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0643" w14:textId="77777777" w:rsidR="009A58DB" w:rsidRDefault="00000000">
      <w:pPr>
        <w:pStyle w:val="BodyText"/>
        <w:spacing w:before="4"/>
        <w:ind w:left="0"/>
        <w:jc w:val="left"/>
        <w:rPr>
          <w:sz w:val="17"/>
        </w:rPr>
      </w:pPr>
      <w:r>
        <w:rPr>
          <w:noProof/>
          <w:sz w:val="17"/>
        </w:rPr>
        <w:drawing>
          <wp:anchor distT="0" distB="0" distL="0" distR="0" simplePos="0" relativeHeight="15728640" behindDoc="0" locked="0" layoutInCell="1" allowOverlap="1" wp14:anchorId="7E003250" wp14:editId="7E003251">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14:paraId="7E000644" w14:textId="77777777" w:rsidR="009A58DB" w:rsidRDefault="009A58DB">
      <w:pPr>
        <w:pStyle w:val="BodyText"/>
        <w:jc w:val="left"/>
        <w:rPr>
          <w:sz w:val="17"/>
        </w:rPr>
        <w:sectPr w:rsidR="009A58DB">
          <w:type w:val="continuous"/>
          <w:pgSz w:w="12240" w:h="15840"/>
          <w:pgMar w:top="1820" w:right="1080" w:bottom="280" w:left="1080" w:header="720" w:footer="720" w:gutter="0"/>
          <w:cols w:space="720"/>
        </w:sectPr>
      </w:pPr>
    </w:p>
    <w:p w14:paraId="7E000645" w14:textId="77777777" w:rsidR="009A58DB" w:rsidRDefault="009A58DB">
      <w:pPr>
        <w:pStyle w:val="BodyText"/>
        <w:ind w:left="0"/>
        <w:jc w:val="left"/>
        <w:rPr>
          <w:sz w:val="60"/>
        </w:rPr>
      </w:pPr>
    </w:p>
    <w:p w14:paraId="7E000646" w14:textId="77777777" w:rsidR="009A58DB" w:rsidRDefault="009A58DB">
      <w:pPr>
        <w:pStyle w:val="BodyText"/>
        <w:ind w:left="0"/>
        <w:jc w:val="left"/>
        <w:rPr>
          <w:sz w:val="60"/>
        </w:rPr>
      </w:pPr>
    </w:p>
    <w:p w14:paraId="7E000647" w14:textId="77777777" w:rsidR="009A58DB" w:rsidRDefault="009A58DB">
      <w:pPr>
        <w:pStyle w:val="BodyText"/>
        <w:ind w:left="0"/>
        <w:jc w:val="left"/>
        <w:rPr>
          <w:sz w:val="60"/>
        </w:rPr>
      </w:pPr>
    </w:p>
    <w:p w14:paraId="7E000648" w14:textId="77777777" w:rsidR="009A58DB" w:rsidRDefault="009A58DB">
      <w:pPr>
        <w:pStyle w:val="BodyText"/>
        <w:ind w:left="0"/>
        <w:jc w:val="left"/>
        <w:rPr>
          <w:sz w:val="60"/>
        </w:rPr>
      </w:pPr>
    </w:p>
    <w:p w14:paraId="7E000649" w14:textId="77777777" w:rsidR="009A58DB" w:rsidRDefault="009A58DB">
      <w:pPr>
        <w:pStyle w:val="BodyText"/>
        <w:spacing w:before="125"/>
        <w:ind w:left="0"/>
        <w:jc w:val="left"/>
        <w:rPr>
          <w:sz w:val="60"/>
        </w:rPr>
      </w:pPr>
    </w:p>
    <w:p w14:paraId="7E00064A" w14:textId="77777777" w:rsidR="009A58DB" w:rsidRDefault="00000000">
      <w:pPr>
        <w:pStyle w:val="Title"/>
      </w:pPr>
      <w:r>
        <w:t>ANALYTIC</w:t>
      </w:r>
      <w:r>
        <w:rPr>
          <w:spacing w:val="-8"/>
        </w:rPr>
        <w:t xml:space="preserve"> </w:t>
      </w:r>
      <w:r>
        <w:rPr>
          <w:spacing w:val="-2"/>
        </w:rPr>
        <w:t>PHILOSOPHY</w:t>
      </w:r>
    </w:p>
    <w:p w14:paraId="7E00064B" w14:textId="77777777" w:rsidR="009A58DB" w:rsidRDefault="009A58DB">
      <w:pPr>
        <w:pStyle w:val="BodyText"/>
        <w:spacing w:before="507"/>
        <w:ind w:left="0"/>
        <w:jc w:val="left"/>
        <w:rPr>
          <w:b/>
          <w:sz w:val="60"/>
        </w:rPr>
      </w:pPr>
    </w:p>
    <w:p w14:paraId="7E00064C" w14:textId="77777777" w:rsidR="009A58DB" w:rsidRDefault="00000000">
      <w:pPr>
        <w:spacing w:before="1"/>
        <w:ind w:left="332" w:right="332"/>
        <w:jc w:val="center"/>
        <w:rPr>
          <w:b/>
          <w:sz w:val="49"/>
        </w:rPr>
      </w:pPr>
      <w:r>
        <w:rPr>
          <w:b/>
          <w:sz w:val="49"/>
        </w:rPr>
        <w:t>J.-M.</w:t>
      </w:r>
      <w:r>
        <w:rPr>
          <w:b/>
          <w:spacing w:val="13"/>
          <w:sz w:val="49"/>
        </w:rPr>
        <w:t xml:space="preserve"> </w:t>
      </w:r>
      <w:r>
        <w:rPr>
          <w:b/>
          <w:sz w:val="49"/>
        </w:rPr>
        <w:t>Kuczynski,</w:t>
      </w:r>
      <w:r>
        <w:rPr>
          <w:b/>
          <w:spacing w:val="13"/>
          <w:sz w:val="49"/>
        </w:rPr>
        <w:t xml:space="preserve"> </w:t>
      </w:r>
      <w:r>
        <w:rPr>
          <w:b/>
          <w:spacing w:val="-5"/>
          <w:sz w:val="49"/>
        </w:rPr>
        <w:t>PhD</w:t>
      </w:r>
    </w:p>
    <w:p w14:paraId="7E00064D" w14:textId="77777777" w:rsidR="009A58DB" w:rsidRDefault="009A58DB">
      <w:pPr>
        <w:jc w:val="center"/>
        <w:rPr>
          <w:b/>
          <w:sz w:val="49"/>
        </w:rPr>
        <w:sectPr w:rsidR="009A58DB">
          <w:pgSz w:w="12240" w:h="15840"/>
          <w:pgMar w:top="1820" w:right="1080" w:bottom="280" w:left="1080" w:header="720" w:footer="720" w:gutter="0"/>
          <w:cols w:space="720"/>
        </w:sectPr>
      </w:pPr>
    </w:p>
    <w:p w14:paraId="7E00064E" w14:textId="77777777" w:rsidR="009A58DB" w:rsidRDefault="009A58DB">
      <w:pPr>
        <w:pStyle w:val="BodyText"/>
        <w:ind w:left="0"/>
        <w:jc w:val="left"/>
        <w:rPr>
          <w:b/>
          <w:sz w:val="34"/>
        </w:rPr>
      </w:pPr>
    </w:p>
    <w:p w14:paraId="7E00064F" w14:textId="77777777" w:rsidR="009A58DB" w:rsidRDefault="009A58DB">
      <w:pPr>
        <w:pStyle w:val="BodyText"/>
        <w:ind w:left="0"/>
        <w:jc w:val="left"/>
        <w:rPr>
          <w:b/>
          <w:sz w:val="34"/>
        </w:rPr>
      </w:pPr>
    </w:p>
    <w:p w14:paraId="7E000650" w14:textId="77777777" w:rsidR="009A58DB" w:rsidRDefault="009A58DB">
      <w:pPr>
        <w:pStyle w:val="BodyText"/>
        <w:ind w:left="0"/>
        <w:jc w:val="left"/>
        <w:rPr>
          <w:b/>
          <w:sz w:val="34"/>
        </w:rPr>
      </w:pPr>
    </w:p>
    <w:p w14:paraId="7E000651" w14:textId="77777777" w:rsidR="009A58DB" w:rsidRDefault="009A58DB">
      <w:pPr>
        <w:pStyle w:val="BodyText"/>
        <w:ind w:left="0"/>
        <w:jc w:val="left"/>
        <w:rPr>
          <w:b/>
          <w:sz w:val="34"/>
        </w:rPr>
      </w:pPr>
    </w:p>
    <w:p w14:paraId="7E000652" w14:textId="77777777" w:rsidR="009A58DB" w:rsidRDefault="009A58DB">
      <w:pPr>
        <w:pStyle w:val="BodyText"/>
        <w:ind w:left="0"/>
        <w:jc w:val="left"/>
        <w:rPr>
          <w:b/>
          <w:sz w:val="34"/>
        </w:rPr>
      </w:pPr>
    </w:p>
    <w:p w14:paraId="7E000653" w14:textId="77777777" w:rsidR="009A58DB" w:rsidRDefault="009A58DB">
      <w:pPr>
        <w:pStyle w:val="BodyText"/>
        <w:ind w:left="0"/>
        <w:jc w:val="left"/>
        <w:rPr>
          <w:b/>
          <w:sz w:val="34"/>
        </w:rPr>
      </w:pPr>
    </w:p>
    <w:p w14:paraId="7E000654" w14:textId="77777777" w:rsidR="009A58DB" w:rsidRDefault="009A58DB">
      <w:pPr>
        <w:pStyle w:val="BodyText"/>
        <w:ind w:left="0"/>
        <w:jc w:val="left"/>
        <w:rPr>
          <w:b/>
          <w:sz w:val="34"/>
        </w:rPr>
      </w:pPr>
    </w:p>
    <w:p w14:paraId="7E000655" w14:textId="77777777" w:rsidR="009A58DB" w:rsidRDefault="009A58DB">
      <w:pPr>
        <w:pStyle w:val="BodyText"/>
        <w:ind w:left="0"/>
        <w:jc w:val="left"/>
        <w:rPr>
          <w:b/>
          <w:sz w:val="34"/>
        </w:rPr>
      </w:pPr>
    </w:p>
    <w:p w14:paraId="7E000656" w14:textId="77777777" w:rsidR="009A58DB" w:rsidRDefault="009A58DB">
      <w:pPr>
        <w:pStyle w:val="BodyText"/>
        <w:ind w:left="0"/>
        <w:jc w:val="left"/>
        <w:rPr>
          <w:b/>
          <w:sz w:val="34"/>
        </w:rPr>
      </w:pPr>
    </w:p>
    <w:p w14:paraId="7E000657" w14:textId="77777777" w:rsidR="009A58DB" w:rsidRDefault="009A58DB">
      <w:pPr>
        <w:pStyle w:val="BodyText"/>
        <w:ind w:left="0"/>
        <w:jc w:val="left"/>
        <w:rPr>
          <w:b/>
          <w:sz w:val="34"/>
        </w:rPr>
      </w:pPr>
    </w:p>
    <w:p w14:paraId="7E000658" w14:textId="77777777" w:rsidR="009A58DB" w:rsidRDefault="009A58DB">
      <w:pPr>
        <w:pStyle w:val="BodyText"/>
        <w:ind w:left="0"/>
        <w:jc w:val="left"/>
        <w:rPr>
          <w:b/>
          <w:sz w:val="34"/>
        </w:rPr>
      </w:pPr>
    </w:p>
    <w:p w14:paraId="7E000659" w14:textId="77777777" w:rsidR="009A58DB" w:rsidRDefault="009A58DB">
      <w:pPr>
        <w:pStyle w:val="BodyText"/>
        <w:ind w:left="0"/>
        <w:jc w:val="left"/>
        <w:rPr>
          <w:b/>
          <w:sz w:val="34"/>
        </w:rPr>
      </w:pPr>
    </w:p>
    <w:p w14:paraId="7E00065A" w14:textId="77777777" w:rsidR="009A58DB" w:rsidRDefault="009A58DB">
      <w:pPr>
        <w:pStyle w:val="BodyText"/>
        <w:ind w:left="0"/>
        <w:jc w:val="left"/>
        <w:rPr>
          <w:b/>
          <w:sz w:val="34"/>
        </w:rPr>
      </w:pPr>
    </w:p>
    <w:p w14:paraId="7E00065B" w14:textId="77777777" w:rsidR="009A58DB" w:rsidRDefault="009A58DB">
      <w:pPr>
        <w:pStyle w:val="BodyText"/>
        <w:ind w:left="0"/>
        <w:jc w:val="left"/>
        <w:rPr>
          <w:b/>
          <w:sz w:val="34"/>
        </w:rPr>
      </w:pPr>
    </w:p>
    <w:p w14:paraId="7E00065C" w14:textId="77777777" w:rsidR="009A58DB" w:rsidRDefault="009A58DB">
      <w:pPr>
        <w:pStyle w:val="BodyText"/>
        <w:spacing w:before="233"/>
        <w:ind w:left="0"/>
        <w:jc w:val="left"/>
        <w:rPr>
          <w:b/>
          <w:sz w:val="34"/>
        </w:rPr>
      </w:pPr>
    </w:p>
    <w:p w14:paraId="7E00065D" w14:textId="77777777" w:rsidR="009A58DB" w:rsidRDefault="00000000">
      <w:pPr>
        <w:spacing w:line="249" w:lineRule="auto"/>
        <w:ind w:left="360" w:right="6065"/>
        <w:rPr>
          <w:sz w:val="34"/>
        </w:rPr>
      </w:pPr>
      <w:r>
        <w:rPr>
          <w:sz w:val="34"/>
        </w:rPr>
        <w:t xml:space="preserve">TABLE OF CONTENTS </w:t>
      </w:r>
      <w:hyperlink w:anchor="_bookmark0" w:history="1">
        <w:r>
          <w:rPr>
            <w:color w:val="0562C1"/>
            <w:sz w:val="34"/>
            <w:u w:val="single" w:color="0562C1"/>
          </w:rPr>
          <w:t>PART I</w:t>
        </w:r>
      </w:hyperlink>
    </w:p>
    <w:p w14:paraId="7E00065E" w14:textId="77777777" w:rsidR="009A58DB" w:rsidRDefault="00000000">
      <w:pPr>
        <w:spacing w:line="249" w:lineRule="auto"/>
        <w:ind w:left="360" w:right="6065"/>
        <w:rPr>
          <w:sz w:val="34"/>
        </w:rPr>
      </w:pPr>
      <w:hyperlink w:anchor="_bookmark1" w:history="1">
        <w:r>
          <w:rPr>
            <w:color w:val="0562C1"/>
            <w:sz w:val="34"/>
            <w:u w:val="single" w:color="0562C1"/>
          </w:rPr>
          <w:t>The Analysis of Analysis</w:t>
        </w:r>
      </w:hyperlink>
      <w:r>
        <w:rPr>
          <w:color w:val="0562C1"/>
          <w:sz w:val="34"/>
        </w:rPr>
        <w:t xml:space="preserve"> </w:t>
      </w:r>
      <w:hyperlink w:anchor="_bookmark2" w:history="1">
        <w:r>
          <w:rPr>
            <w:color w:val="0562C1"/>
            <w:sz w:val="34"/>
            <w:u w:val="single" w:color="0562C1"/>
          </w:rPr>
          <w:t>Chapter 1</w:t>
        </w:r>
      </w:hyperlink>
    </w:p>
    <w:p w14:paraId="7E00065F" w14:textId="77777777" w:rsidR="009A58DB" w:rsidRDefault="00000000">
      <w:pPr>
        <w:spacing w:line="249" w:lineRule="auto"/>
        <w:ind w:left="360" w:right="3292"/>
        <w:rPr>
          <w:sz w:val="34"/>
        </w:rPr>
      </w:pPr>
      <w:hyperlink w:anchor="_bookmark3" w:history="1">
        <w:r>
          <w:rPr>
            <w:color w:val="0562C1"/>
            <w:sz w:val="34"/>
            <w:u w:val="single" w:color="0562C1"/>
          </w:rPr>
          <w:t>Analytic Philosophy as Logical Analysis</w:t>
        </w:r>
      </w:hyperlink>
      <w:r>
        <w:rPr>
          <w:color w:val="0562C1"/>
          <w:sz w:val="34"/>
        </w:rPr>
        <w:t xml:space="preserve"> </w:t>
      </w:r>
      <w:hyperlink w:anchor="_bookmark107" w:history="1">
        <w:r>
          <w:rPr>
            <w:color w:val="0562C1"/>
            <w:sz w:val="34"/>
            <w:u w:val="single" w:color="0562C1"/>
          </w:rPr>
          <w:t>Chapter 2</w:t>
        </w:r>
      </w:hyperlink>
    </w:p>
    <w:p w14:paraId="7E000660" w14:textId="77777777" w:rsidR="009A58DB" w:rsidRDefault="00000000">
      <w:pPr>
        <w:spacing w:line="249" w:lineRule="auto"/>
        <w:ind w:left="360" w:right="3292"/>
        <w:rPr>
          <w:sz w:val="34"/>
        </w:rPr>
      </w:pPr>
      <w:hyperlink w:anchor="_bookmark108" w:history="1">
        <w:r>
          <w:rPr>
            <w:color w:val="0562C1"/>
            <w:sz w:val="34"/>
            <w:u w:val="single" w:color="0562C1"/>
          </w:rPr>
          <w:t>Properties and Non-Spatiotemporal Existence</w:t>
        </w:r>
      </w:hyperlink>
      <w:r>
        <w:rPr>
          <w:color w:val="0562C1"/>
          <w:sz w:val="34"/>
        </w:rPr>
        <w:t xml:space="preserve"> </w:t>
      </w:r>
      <w:hyperlink w:anchor="_bookmark126" w:history="1">
        <w:r>
          <w:rPr>
            <w:color w:val="0562C1"/>
            <w:sz w:val="34"/>
            <w:u w:val="single" w:color="0562C1"/>
          </w:rPr>
          <w:t>Chapter 3</w:t>
        </w:r>
      </w:hyperlink>
    </w:p>
    <w:p w14:paraId="7E000661" w14:textId="77777777" w:rsidR="009A58DB" w:rsidRDefault="00000000">
      <w:pPr>
        <w:spacing w:line="249" w:lineRule="auto"/>
        <w:ind w:left="360" w:right="3292"/>
        <w:rPr>
          <w:sz w:val="34"/>
        </w:rPr>
      </w:pPr>
      <w:hyperlink w:anchor="_bookmark127" w:history="1">
        <w:r>
          <w:rPr>
            <w:color w:val="0562C1"/>
            <w:sz w:val="34"/>
            <w:u w:val="single" w:color="0562C1"/>
          </w:rPr>
          <w:t>What Are Propositions and What Is Truth?</w:t>
        </w:r>
      </w:hyperlink>
      <w:r>
        <w:rPr>
          <w:color w:val="0562C1"/>
          <w:sz w:val="34"/>
        </w:rPr>
        <w:t xml:space="preserve"> </w:t>
      </w:r>
      <w:hyperlink w:anchor="_bookmark133" w:history="1">
        <w:r>
          <w:rPr>
            <w:color w:val="0562C1"/>
            <w:sz w:val="34"/>
            <w:u w:val="single" w:color="0562C1"/>
          </w:rPr>
          <w:t>P</w:t>
        </w:r>
        <w:r>
          <w:rPr>
            <w:rFonts w:ascii="Liberation Serif"/>
            <w:color w:val="0562C1"/>
            <w:sz w:val="34"/>
            <w:u w:val="single" w:color="0562C1"/>
          </w:rPr>
          <w:t xml:space="preserve">ART </w:t>
        </w:r>
        <w:r>
          <w:rPr>
            <w:color w:val="0562C1"/>
            <w:sz w:val="34"/>
            <w:u w:val="single" w:color="0562C1"/>
          </w:rPr>
          <w:t>II</w:t>
        </w:r>
      </w:hyperlink>
    </w:p>
    <w:p w14:paraId="7E000662" w14:textId="77777777" w:rsidR="009A58DB" w:rsidRDefault="00000000">
      <w:pPr>
        <w:spacing w:line="249" w:lineRule="auto"/>
        <w:ind w:left="360" w:right="6065"/>
        <w:rPr>
          <w:sz w:val="34"/>
        </w:rPr>
      </w:pPr>
      <w:hyperlink w:anchor="_bookmark134" w:history="1">
        <w:r>
          <w:rPr>
            <w:color w:val="0562C1"/>
            <w:sz w:val="34"/>
            <w:u w:val="single" w:color="0562C1"/>
          </w:rPr>
          <w:t>Language and Thought</w:t>
        </w:r>
      </w:hyperlink>
      <w:r>
        <w:rPr>
          <w:color w:val="0562C1"/>
          <w:sz w:val="34"/>
        </w:rPr>
        <w:t xml:space="preserve"> </w:t>
      </w:r>
      <w:hyperlink w:anchor="_bookmark135" w:history="1">
        <w:r>
          <w:rPr>
            <w:color w:val="0562C1"/>
            <w:sz w:val="34"/>
            <w:u w:val="single" w:color="0562C1"/>
          </w:rPr>
          <w:t>Chapter 4</w:t>
        </w:r>
      </w:hyperlink>
    </w:p>
    <w:p w14:paraId="7E000663" w14:textId="77777777" w:rsidR="009A58DB" w:rsidRDefault="00000000">
      <w:pPr>
        <w:spacing w:line="249" w:lineRule="auto"/>
        <w:ind w:left="360" w:right="6065"/>
        <w:rPr>
          <w:sz w:val="34"/>
        </w:rPr>
      </w:pPr>
      <w:hyperlink w:anchor="_bookmark136" w:history="1">
        <w:r>
          <w:rPr>
            <w:color w:val="0562C1"/>
            <w:sz w:val="34"/>
            <w:u w:val="single" w:color="0562C1"/>
          </w:rPr>
          <w:t>What</w:t>
        </w:r>
        <w:r>
          <w:rPr>
            <w:color w:val="0562C1"/>
            <w:spacing w:val="-1"/>
            <w:sz w:val="34"/>
            <w:u w:val="single" w:color="0562C1"/>
          </w:rPr>
          <w:t xml:space="preserve"> </w:t>
        </w:r>
        <w:r>
          <w:rPr>
            <w:color w:val="0562C1"/>
            <w:sz w:val="34"/>
            <w:u w:val="single" w:color="0562C1"/>
          </w:rPr>
          <w:t>is</w:t>
        </w:r>
        <w:r>
          <w:rPr>
            <w:color w:val="0562C1"/>
            <w:spacing w:val="-1"/>
            <w:sz w:val="34"/>
            <w:u w:val="single" w:color="0562C1"/>
          </w:rPr>
          <w:t xml:space="preserve"> </w:t>
        </w:r>
        <w:r>
          <w:rPr>
            <w:color w:val="0562C1"/>
            <w:sz w:val="34"/>
            <w:u w:val="single" w:color="0562C1"/>
          </w:rPr>
          <w:t>Language?</w:t>
        </w:r>
      </w:hyperlink>
      <w:r>
        <w:rPr>
          <w:color w:val="0562C1"/>
          <w:sz w:val="34"/>
        </w:rPr>
        <w:t xml:space="preserve"> </w:t>
      </w:r>
      <w:hyperlink w:anchor="_bookmark163" w:history="1">
        <w:r>
          <w:rPr>
            <w:color w:val="0562C1"/>
            <w:sz w:val="34"/>
            <w:u w:val="single" w:color="0562C1"/>
          </w:rPr>
          <w:t>Chapter 5</w:t>
        </w:r>
      </w:hyperlink>
    </w:p>
    <w:p w14:paraId="7E000664" w14:textId="77777777" w:rsidR="009A58DB" w:rsidRDefault="00000000">
      <w:pPr>
        <w:spacing w:line="249" w:lineRule="auto"/>
        <w:ind w:left="360" w:right="6065"/>
        <w:rPr>
          <w:sz w:val="34"/>
        </w:rPr>
      </w:pPr>
      <w:hyperlink w:anchor="_bookmark164" w:history="1">
        <w:r>
          <w:rPr>
            <w:color w:val="0562C1"/>
            <w:sz w:val="34"/>
            <w:u w:val="single" w:color="0562C1"/>
          </w:rPr>
          <w:t>Do We Think in Words?</w:t>
        </w:r>
      </w:hyperlink>
      <w:r>
        <w:rPr>
          <w:color w:val="0562C1"/>
          <w:sz w:val="34"/>
        </w:rPr>
        <w:t xml:space="preserve"> </w:t>
      </w:r>
      <w:hyperlink w:anchor="_bookmark186" w:history="1">
        <w:r>
          <w:rPr>
            <w:color w:val="0562C1"/>
            <w:sz w:val="34"/>
            <w:u w:val="single" w:color="0562C1"/>
          </w:rPr>
          <w:t>Chapter 6</w:t>
        </w:r>
      </w:hyperlink>
    </w:p>
    <w:p w14:paraId="7E000665" w14:textId="77777777" w:rsidR="009A58DB" w:rsidRDefault="009A58DB">
      <w:pPr>
        <w:spacing w:line="249" w:lineRule="auto"/>
        <w:rPr>
          <w:sz w:val="34"/>
        </w:rPr>
        <w:sectPr w:rsidR="009A58DB">
          <w:pgSz w:w="12240" w:h="15840"/>
          <w:pgMar w:top="1820" w:right="1080" w:bottom="280" w:left="1080" w:header="720" w:footer="720" w:gutter="0"/>
          <w:cols w:space="720"/>
        </w:sectPr>
      </w:pPr>
    </w:p>
    <w:p w14:paraId="7E000666" w14:textId="77777777" w:rsidR="009A58DB" w:rsidRDefault="00000000">
      <w:pPr>
        <w:spacing w:before="77" w:line="249" w:lineRule="auto"/>
        <w:ind w:left="360" w:right="3292"/>
        <w:rPr>
          <w:sz w:val="34"/>
        </w:rPr>
      </w:pPr>
      <w:hyperlink w:anchor="_bookmark187" w:history="1">
        <w:r>
          <w:rPr>
            <w:color w:val="0562C1"/>
            <w:sz w:val="34"/>
            <w:u w:val="single" w:color="0562C1"/>
          </w:rPr>
          <w:t>Russell’s Improvements on Frege’s Work</w:t>
        </w:r>
      </w:hyperlink>
      <w:r>
        <w:rPr>
          <w:color w:val="0562C1"/>
          <w:sz w:val="34"/>
        </w:rPr>
        <w:t xml:space="preserve"> </w:t>
      </w:r>
      <w:hyperlink w:anchor="_bookmark204" w:history="1">
        <w:r>
          <w:rPr>
            <w:color w:val="0562C1"/>
            <w:sz w:val="34"/>
            <w:u w:val="single" w:color="0562C1"/>
          </w:rPr>
          <w:t>Chapter 7</w:t>
        </w:r>
      </w:hyperlink>
    </w:p>
    <w:p w14:paraId="7E000667" w14:textId="77777777" w:rsidR="009A58DB" w:rsidRDefault="00000000">
      <w:pPr>
        <w:spacing w:line="249" w:lineRule="auto"/>
        <w:ind w:left="360"/>
        <w:rPr>
          <w:sz w:val="34"/>
        </w:rPr>
      </w:pPr>
      <w:hyperlink w:anchor="_bookmark205" w:history="1">
        <w:r>
          <w:rPr>
            <w:color w:val="0562C1"/>
            <w:sz w:val="34"/>
            <w:u w:val="single" w:color="0562C1"/>
          </w:rPr>
          <w:t>Logic, logicism, and the viability of attempts to mechanize thought</w:t>
        </w:r>
      </w:hyperlink>
      <w:r>
        <w:rPr>
          <w:color w:val="0562C1"/>
          <w:sz w:val="34"/>
        </w:rPr>
        <w:t xml:space="preserve"> </w:t>
      </w:r>
      <w:hyperlink w:anchor="_bookmark237" w:history="1">
        <w:r>
          <w:rPr>
            <w:color w:val="0562C1"/>
            <w:sz w:val="34"/>
            <w:u w:val="single" w:color="0562C1"/>
          </w:rPr>
          <w:t>Chapter 8</w:t>
        </w:r>
      </w:hyperlink>
    </w:p>
    <w:p w14:paraId="7E000668" w14:textId="77777777" w:rsidR="009A58DB" w:rsidRDefault="00000000">
      <w:pPr>
        <w:spacing w:line="249" w:lineRule="auto"/>
        <w:ind w:left="360" w:right="2223"/>
        <w:rPr>
          <w:sz w:val="34"/>
        </w:rPr>
      </w:pPr>
      <w:hyperlink w:anchor="_bookmark238" w:history="1">
        <w:r>
          <w:rPr>
            <w:color w:val="0562C1"/>
            <w:sz w:val="34"/>
            <w:u w:val="single" w:color="0562C1"/>
          </w:rPr>
          <w:t>The Relationship between Thought and Language:</w:t>
        </w:r>
      </w:hyperlink>
      <w:r>
        <w:rPr>
          <w:color w:val="0562C1"/>
          <w:sz w:val="34"/>
        </w:rPr>
        <w:t xml:space="preserve"> </w:t>
      </w:r>
      <w:hyperlink w:anchor="_bookmark239" w:history="1">
        <w:r>
          <w:rPr>
            <w:color w:val="0562C1"/>
            <w:sz w:val="34"/>
            <w:u w:val="single" w:color="0562C1"/>
          </w:rPr>
          <w:t>Literal Meaning vs. Cognitive Content</w:t>
        </w:r>
      </w:hyperlink>
    </w:p>
    <w:p w14:paraId="7E000669" w14:textId="77777777" w:rsidR="009A58DB" w:rsidRDefault="00000000">
      <w:pPr>
        <w:spacing w:line="388" w:lineRule="exact"/>
        <w:ind w:left="360"/>
        <w:rPr>
          <w:sz w:val="34"/>
        </w:rPr>
      </w:pPr>
      <w:hyperlink w:anchor="_bookmark258" w:history="1">
        <w:r>
          <w:rPr>
            <w:color w:val="0562C1"/>
            <w:sz w:val="34"/>
            <w:u w:val="single" w:color="0562C1"/>
          </w:rPr>
          <w:t>Chapter</w:t>
        </w:r>
        <w:r>
          <w:rPr>
            <w:color w:val="0562C1"/>
            <w:spacing w:val="7"/>
            <w:sz w:val="34"/>
            <w:u w:val="single" w:color="0562C1"/>
          </w:rPr>
          <w:t xml:space="preserve"> </w:t>
        </w:r>
        <w:r>
          <w:rPr>
            <w:color w:val="0562C1"/>
            <w:spacing w:val="-12"/>
            <w:sz w:val="34"/>
            <w:u w:val="single" w:color="0562C1"/>
          </w:rPr>
          <w:t>9</w:t>
        </w:r>
      </w:hyperlink>
    </w:p>
    <w:p w14:paraId="7E00066A" w14:textId="77777777" w:rsidR="009A58DB" w:rsidRDefault="00000000">
      <w:pPr>
        <w:spacing w:before="8" w:line="249" w:lineRule="auto"/>
        <w:ind w:left="360" w:right="3292"/>
        <w:rPr>
          <w:sz w:val="34"/>
        </w:rPr>
      </w:pPr>
      <w:hyperlink w:anchor="_bookmark259" w:history="1">
        <w:r>
          <w:rPr>
            <w:color w:val="0562C1"/>
            <w:sz w:val="34"/>
            <w:u w:val="single" w:color="0562C1"/>
          </w:rPr>
          <w:t>Putnam’s Insight and Burge’s Blunder:</w:t>
        </w:r>
      </w:hyperlink>
      <w:r>
        <w:rPr>
          <w:color w:val="0562C1"/>
          <w:sz w:val="34"/>
        </w:rPr>
        <w:t xml:space="preserve"> </w:t>
      </w:r>
      <w:hyperlink w:anchor="_bookmark260" w:history="1">
        <w:r>
          <w:rPr>
            <w:color w:val="0562C1"/>
            <w:sz w:val="34"/>
            <w:u w:val="single" w:color="0562C1"/>
          </w:rPr>
          <w:t>Semantic Externalism vs. Content-Externalism</w:t>
        </w:r>
      </w:hyperlink>
      <w:r>
        <w:rPr>
          <w:color w:val="0562C1"/>
          <w:sz w:val="34"/>
        </w:rPr>
        <w:t xml:space="preserve"> </w:t>
      </w:r>
      <w:hyperlink w:anchor="_bookmark282" w:history="1">
        <w:r>
          <w:rPr>
            <w:color w:val="0562C1"/>
            <w:sz w:val="34"/>
            <w:u w:val="single" w:color="0562C1"/>
          </w:rPr>
          <w:t>P</w:t>
        </w:r>
        <w:r>
          <w:rPr>
            <w:rFonts w:ascii="Liberation Serif" w:hAnsi="Liberation Serif"/>
            <w:color w:val="0562C1"/>
            <w:sz w:val="34"/>
            <w:u w:val="single" w:color="0562C1"/>
          </w:rPr>
          <w:t xml:space="preserve">ART </w:t>
        </w:r>
        <w:r>
          <w:rPr>
            <w:color w:val="0562C1"/>
            <w:sz w:val="34"/>
            <w:u w:val="single" w:color="0562C1"/>
          </w:rPr>
          <w:t>III</w:t>
        </w:r>
      </w:hyperlink>
    </w:p>
    <w:p w14:paraId="7E00066B" w14:textId="77777777" w:rsidR="009A58DB" w:rsidRDefault="00000000">
      <w:pPr>
        <w:spacing w:line="249" w:lineRule="auto"/>
        <w:ind w:left="360" w:right="4416"/>
        <w:rPr>
          <w:sz w:val="34"/>
        </w:rPr>
      </w:pPr>
      <w:hyperlink w:anchor="_bookmark283" w:history="1">
        <w:r>
          <w:rPr>
            <w:color w:val="0562C1"/>
            <w:sz w:val="34"/>
            <w:u w:val="single" w:color="0562C1"/>
          </w:rPr>
          <w:t>Knowledge and Inductive Inference</w:t>
        </w:r>
      </w:hyperlink>
      <w:r>
        <w:rPr>
          <w:color w:val="0562C1"/>
          <w:sz w:val="34"/>
        </w:rPr>
        <w:t xml:space="preserve"> </w:t>
      </w:r>
      <w:hyperlink w:anchor="_bookmark284" w:history="1">
        <w:r>
          <w:rPr>
            <w:color w:val="0562C1"/>
            <w:sz w:val="34"/>
            <w:u w:val="single" w:color="0562C1"/>
          </w:rPr>
          <w:t>Chapter 10</w:t>
        </w:r>
      </w:hyperlink>
    </w:p>
    <w:p w14:paraId="7E00066C" w14:textId="77777777" w:rsidR="009A58DB" w:rsidRDefault="00000000">
      <w:pPr>
        <w:spacing w:line="249" w:lineRule="auto"/>
        <w:ind w:left="360" w:right="7397"/>
        <w:rPr>
          <w:sz w:val="34"/>
        </w:rPr>
      </w:pPr>
      <w:hyperlink w:anchor="_bookmark285" w:history="1">
        <w:r>
          <w:rPr>
            <w:color w:val="0562C1"/>
            <w:spacing w:val="-2"/>
            <w:sz w:val="34"/>
            <w:u w:val="single" w:color="0562C1"/>
          </w:rPr>
          <w:t>Knowledge</w:t>
        </w:r>
      </w:hyperlink>
      <w:r>
        <w:rPr>
          <w:color w:val="0562C1"/>
          <w:spacing w:val="-2"/>
          <w:sz w:val="34"/>
        </w:rPr>
        <w:t xml:space="preserve"> </w:t>
      </w:r>
      <w:hyperlink w:anchor="_bookmark303" w:history="1">
        <w:r>
          <w:rPr>
            <w:color w:val="0562C1"/>
            <w:sz w:val="34"/>
            <w:u w:val="single" w:color="0562C1"/>
          </w:rPr>
          <w:t>Chapter 11</w:t>
        </w:r>
      </w:hyperlink>
    </w:p>
    <w:p w14:paraId="7E00066D" w14:textId="77777777" w:rsidR="009A58DB" w:rsidRDefault="00000000">
      <w:pPr>
        <w:spacing w:line="249" w:lineRule="auto"/>
        <w:ind w:left="360" w:right="2223"/>
        <w:rPr>
          <w:sz w:val="34"/>
        </w:rPr>
      </w:pPr>
      <w:hyperlink w:anchor="_bookmark304" w:history="1">
        <w:r>
          <w:rPr>
            <w:color w:val="0562C1"/>
            <w:sz w:val="34"/>
            <w:u w:val="single" w:color="0562C1"/>
          </w:rPr>
          <w:t>Cartesian Skepticism and the Birth of Epistemology</w:t>
        </w:r>
      </w:hyperlink>
      <w:r>
        <w:rPr>
          <w:color w:val="0562C1"/>
          <w:sz w:val="34"/>
        </w:rPr>
        <w:t xml:space="preserve"> </w:t>
      </w:r>
      <w:hyperlink w:anchor="_bookmark331" w:history="1">
        <w:r>
          <w:rPr>
            <w:color w:val="0562C1"/>
            <w:sz w:val="34"/>
            <w:u w:val="single" w:color="0562C1"/>
          </w:rPr>
          <w:t>Chapter 12</w:t>
        </w:r>
      </w:hyperlink>
    </w:p>
    <w:p w14:paraId="7E00066E" w14:textId="77777777" w:rsidR="009A58DB" w:rsidRDefault="00000000">
      <w:pPr>
        <w:spacing w:line="249" w:lineRule="auto"/>
        <w:ind w:left="360" w:right="2223"/>
        <w:rPr>
          <w:sz w:val="34"/>
        </w:rPr>
      </w:pPr>
      <w:hyperlink w:anchor="_bookmark332" w:history="1">
        <w:r>
          <w:rPr>
            <w:color w:val="0562C1"/>
            <w:sz w:val="34"/>
            <w:u w:val="single" w:color="0562C1"/>
          </w:rPr>
          <w:t>Skepticism and the Justification of Inductive Inference</w:t>
        </w:r>
      </w:hyperlink>
      <w:r>
        <w:rPr>
          <w:color w:val="0562C1"/>
          <w:sz w:val="34"/>
        </w:rPr>
        <w:t xml:space="preserve"> </w:t>
      </w:r>
      <w:hyperlink w:anchor="_bookmark343" w:history="1">
        <w:r>
          <w:rPr>
            <w:color w:val="0562C1"/>
            <w:sz w:val="34"/>
            <w:u w:val="single" w:color="0562C1"/>
          </w:rPr>
          <w:t>Chapter 13</w:t>
        </w:r>
      </w:hyperlink>
    </w:p>
    <w:p w14:paraId="7E00066F" w14:textId="77777777" w:rsidR="009A58DB" w:rsidRDefault="00000000">
      <w:pPr>
        <w:spacing w:line="249" w:lineRule="auto"/>
        <w:ind w:left="360" w:right="6065"/>
        <w:rPr>
          <w:sz w:val="34"/>
        </w:rPr>
      </w:pPr>
      <w:hyperlink w:anchor="_bookmark344" w:history="1">
        <w:r>
          <w:rPr>
            <w:color w:val="0562C1"/>
            <w:sz w:val="34"/>
            <w:u w:val="single" w:color="0562C1"/>
          </w:rPr>
          <w:t>Empiricism and Its Limits</w:t>
        </w:r>
      </w:hyperlink>
      <w:r>
        <w:rPr>
          <w:color w:val="0562C1"/>
          <w:sz w:val="34"/>
        </w:rPr>
        <w:t xml:space="preserve"> </w:t>
      </w:r>
      <w:hyperlink w:anchor="_bookmark373" w:history="1">
        <w:r>
          <w:rPr>
            <w:color w:val="0562C1"/>
            <w:sz w:val="34"/>
            <w:u w:val="single" w:color="0562C1"/>
          </w:rPr>
          <w:t>P</w:t>
        </w:r>
        <w:r>
          <w:rPr>
            <w:rFonts w:ascii="Liberation Serif"/>
            <w:color w:val="0562C1"/>
            <w:sz w:val="34"/>
            <w:u w:val="single" w:color="0562C1"/>
          </w:rPr>
          <w:t xml:space="preserve">ART </w:t>
        </w:r>
        <w:r>
          <w:rPr>
            <w:color w:val="0562C1"/>
            <w:sz w:val="34"/>
            <w:u w:val="single" w:color="0562C1"/>
          </w:rPr>
          <w:t>IV</w:t>
        </w:r>
      </w:hyperlink>
    </w:p>
    <w:p w14:paraId="7E000670" w14:textId="77777777" w:rsidR="009A58DB" w:rsidRDefault="00000000">
      <w:pPr>
        <w:spacing w:line="249" w:lineRule="auto"/>
        <w:ind w:left="360" w:right="3292"/>
        <w:rPr>
          <w:sz w:val="34"/>
        </w:rPr>
      </w:pPr>
      <w:hyperlink w:anchor="_bookmark374" w:history="1">
        <w:r>
          <w:rPr>
            <w:color w:val="0562C1"/>
            <w:sz w:val="34"/>
            <w:u w:val="single" w:color="0562C1"/>
          </w:rPr>
          <w:t>Necessity, Causality,</w:t>
        </w:r>
        <w:r>
          <w:rPr>
            <w:color w:val="0562C1"/>
            <w:spacing w:val="40"/>
            <w:sz w:val="34"/>
            <w:u w:val="single" w:color="0562C1"/>
          </w:rPr>
          <w:t xml:space="preserve"> </w:t>
        </w:r>
        <w:r>
          <w:rPr>
            <w:color w:val="0562C1"/>
            <w:sz w:val="34"/>
            <w:u w:val="single" w:color="0562C1"/>
          </w:rPr>
          <w:t>and Personal Identity</w:t>
        </w:r>
      </w:hyperlink>
      <w:r>
        <w:rPr>
          <w:color w:val="0562C1"/>
          <w:sz w:val="34"/>
        </w:rPr>
        <w:t xml:space="preserve"> </w:t>
      </w:r>
      <w:hyperlink w:anchor="_bookmark375" w:history="1">
        <w:r>
          <w:rPr>
            <w:color w:val="0562C1"/>
            <w:sz w:val="34"/>
            <w:u w:val="single" w:color="0562C1"/>
          </w:rPr>
          <w:t>Chapter 14</w:t>
        </w:r>
      </w:hyperlink>
    </w:p>
    <w:p w14:paraId="7E000671" w14:textId="77777777" w:rsidR="009A58DB" w:rsidRDefault="00000000">
      <w:pPr>
        <w:spacing w:line="249" w:lineRule="auto"/>
        <w:ind w:left="360" w:right="2223"/>
        <w:rPr>
          <w:sz w:val="34"/>
        </w:rPr>
      </w:pPr>
      <w:hyperlink w:anchor="_bookmark376" w:history="1">
        <w:r>
          <w:rPr>
            <w:color w:val="0562C1"/>
            <w:sz w:val="34"/>
            <w:u w:val="single" w:color="0562C1"/>
          </w:rPr>
          <w:t>Determinism, Randomness, and Unpredictability</w:t>
        </w:r>
      </w:hyperlink>
      <w:r>
        <w:rPr>
          <w:color w:val="0562C1"/>
          <w:sz w:val="34"/>
        </w:rPr>
        <w:t xml:space="preserve"> </w:t>
      </w:r>
      <w:hyperlink w:anchor="_bookmark380" w:history="1">
        <w:r>
          <w:rPr>
            <w:color w:val="0562C1"/>
            <w:sz w:val="34"/>
            <w:u w:val="single" w:color="0562C1"/>
          </w:rPr>
          <w:t>Chapter 15</w:t>
        </w:r>
      </w:hyperlink>
    </w:p>
    <w:p w14:paraId="7E000672" w14:textId="77777777" w:rsidR="009A58DB" w:rsidRDefault="00000000">
      <w:pPr>
        <w:spacing w:line="249" w:lineRule="auto"/>
        <w:ind w:left="360" w:right="3292"/>
        <w:rPr>
          <w:sz w:val="34"/>
        </w:rPr>
      </w:pPr>
      <w:hyperlink w:anchor="_bookmark381" w:history="1">
        <w:r>
          <w:rPr>
            <w:color w:val="0562C1"/>
            <w:sz w:val="34"/>
            <w:u w:val="single" w:color="0562C1"/>
          </w:rPr>
          <w:t>The Compatibilist Conception of Freedom</w:t>
        </w:r>
      </w:hyperlink>
      <w:r>
        <w:rPr>
          <w:color w:val="0562C1"/>
          <w:sz w:val="34"/>
        </w:rPr>
        <w:t xml:space="preserve"> </w:t>
      </w:r>
      <w:hyperlink w:anchor="_bookmark403" w:history="1">
        <w:r>
          <w:rPr>
            <w:color w:val="0562C1"/>
            <w:sz w:val="34"/>
            <w:u w:val="single" w:color="0562C1"/>
          </w:rPr>
          <w:t>Chapter 16</w:t>
        </w:r>
      </w:hyperlink>
    </w:p>
    <w:p w14:paraId="7E000673" w14:textId="77777777" w:rsidR="009A58DB" w:rsidRDefault="00000000">
      <w:pPr>
        <w:spacing w:line="249" w:lineRule="auto"/>
        <w:ind w:left="360" w:right="4416"/>
        <w:rPr>
          <w:sz w:val="34"/>
        </w:rPr>
      </w:pPr>
      <w:hyperlink w:anchor="_bookmark404" w:history="1">
        <w:r>
          <w:rPr>
            <w:color w:val="0562C1"/>
            <w:sz w:val="34"/>
            <w:u w:val="single" w:color="0562C1"/>
          </w:rPr>
          <w:t>Personal and Objectual Identity</w:t>
        </w:r>
      </w:hyperlink>
      <w:r>
        <w:rPr>
          <w:color w:val="0562C1"/>
          <w:sz w:val="34"/>
        </w:rPr>
        <w:t xml:space="preserve"> </w:t>
      </w:r>
      <w:hyperlink w:anchor="_bookmark420" w:history="1">
        <w:r>
          <w:rPr>
            <w:color w:val="0562C1"/>
            <w:sz w:val="34"/>
            <w:u w:val="single" w:color="0562C1"/>
          </w:rPr>
          <w:t>Chapter 17</w:t>
        </w:r>
      </w:hyperlink>
    </w:p>
    <w:p w14:paraId="7E000674" w14:textId="77777777" w:rsidR="009A58DB" w:rsidRDefault="00000000">
      <w:pPr>
        <w:spacing w:line="249" w:lineRule="auto"/>
        <w:ind w:left="360" w:right="7397"/>
        <w:rPr>
          <w:sz w:val="34"/>
        </w:rPr>
      </w:pPr>
      <w:hyperlink w:anchor="_bookmark421" w:history="1">
        <w:r>
          <w:rPr>
            <w:color w:val="0562C1"/>
            <w:spacing w:val="-2"/>
            <w:sz w:val="34"/>
            <w:u w:val="single" w:color="0562C1"/>
          </w:rPr>
          <w:t>Causality</w:t>
        </w:r>
      </w:hyperlink>
      <w:r>
        <w:rPr>
          <w:color w:val="0562C1"/>
          <w:spacing w:val="-2"/>
          <w:sz w:val="34"/>
        </w:rPr>
        <w:t xml:space="preserve"> </w:t>
      </w:r>
      <w:hyperlink w:anchor="_bookmark462" w:history="1">
        <w:r>
          <w:rPr>
            <w:color w:val="0562C1"/>
            <w:sz w:val="34"/>
            <w:u w:val="single" w:color="0562C1"/>
          </w:rPr>
          <w:t>Chapter</w:t>
        </w:r>
        <w:r>
          <w:rPr>
            <w:color w:val="0562C1"/>
            <w:spacing w:val="-17"/>
            <w:sz w:val="34"/>
            <w:u w:val="single" w:color="0562C1"/>
          </w:rPr>
          <w:t xml:space="preserve"> </w:t>
        </w:r>
        <w:r>
          <w:rPr>
            <w:color w:val="0562C1"/>
            <w:sz w:val="34"/>
            <w:u w:val="single" w:color="0562C1"/>
          </w:rPr>
          <w:t>18</w:t>
        </w:r>
      </w:hyperlink>
    </w:p>
    <w:p w14:paraId="7E000675" w14:textId="77777777" w:rsidR="009A58DB" w:rsidRDefault="00000000">
      <w:pPr>
        <w:spacing w:line="249" w:lineRule="auto"/>
        <w:ind w:left="360" w:right="5627"/>
        <w:rPr>
          <w:sz w:val="34"/>
        </w:rPr>
      </w:pPr>
      <w:hyperlink w:anchor="_bookmark463" w:history="1">
        <w:r>
          <w:rPr>
            <w:color w:val="0562C1"/>
            <w:sz w:val="34"/>
            <w:u w:val="single" w:color="0562C1"/>
          </w:rPr>
          <w:t>Modality and Non-Existence</w:t>
        </w:r>
      </w:hyperlink>
      <w:r>
        <w:rPr>
          <w:color w:val="0562C1"/>
          <w:sz w:val="34"/>
        </w:rPr>
        <w:t xml:space="preserve"> </w:t>
      </w:r>
      <w:hyperlink w:anchor="_bookmark481" w:history="1">
        <w:r>
          <w:rPr>
            <w:color w:val="0562C1"/>
            <w:sz w:val="34"/>
            <w:u w:val="single" w:color="0562C1"/>
          </w:rPr>
          <w:t>PART V</w:t>
        </w:r>
      </w:hyperlink>
    </w:p>
    <w:p w14:paraId="7E000676" w14:textId="77777777" w:rsidR="009A58DB" w:rsidRDefault="009A58DB">
      <w:pPr>
        <w:spacing w:line="249" w:lineRule="auto"/>
        <w:rPr>
          <w:sz w:val="34"/>
        </w:rPr>
        <w:sectPr w:rsidR="009A58DB">
          <w:pgSz w:w="12240" w:h="15840"/>
          <w:pgMar w:top="1360" w:right="1080" w:bottom="280" w:left="1080" w:header="720" w:footer="720" w:gutter="0"/>
          <w:cols w:space="720"/>
        </w:sectPr>
      </w:pPr>
    </w:p>
    <w:p w14:paraId="7E000677" w14:textId="77777777" w:rsidR="009A58DB" w:rsidRDefault="00000000">
      <w:pPr>
        <w:spacing w:before="77" w:line="249" w:lineRule="auto"/>
        <w:ind w:left="360" w:right="6065"/>
        <w:rPr>
          <w:sz w:val="34"/>
        </w:rPr>
      </w:pPr>
      <w:hyperlink w:anchor="_bookmark482" w:history="1">
        <w:r>
          <w:rPr>
            <w:color w:val="0562C1"/>
            <w:sz w:val="34"/>
            <w:u w:val="single" w:color="0562C1"/>
          </w:rPr>
          <w:t>Ethics and</w:t>
        </w:r>
        <w:r>
          <w:rPr>
            <w:color w:val="0562C1"/>
            <w:spacing w:val="-1"/>
            <w:sz w:val="34"/>
            <w:u w:val="single" w:color="0562C1"/>
          </w:rPr>
          <w:t xml:space="preserve"> </w:t>
        </w:r>
        <w:r>
          <w:rPr>
            <w:color w:val="0562C1"/>
            <w:sz w:val="34"/>
            <w:u w:val="single" w:color="0562C1"/>
          </w:rPr>
          <w:t>Religion</w:t>
        </w:r>
      </w:hyperlink>
      <w:r>
        <w:rPr>
          <w:color w:val="0562C1"/>
          <w:sz w:val="34"/>
        </w:rPr>
        <w:t xml:space="preserve"> </w:t>
      </w:r>
      <w:hyperlink w:anchor="_bookmark483" w:history="1">
        <w:r>
          <w:rPr>
            <w:color w:val="0562C1"/>
            <w:sz w:val="34"/>
            <w:u w:val="single" w:color="0562C1"/>
          </w:rPr>
          <w:t>Chapter 19</w:t>
        </w:r>
      </w:hyperlink>
    </w:p>
    <w:p w14:paraId="7E000678" w14:textId="77777777" w:rsidR="009A58DB" w:rsidRDefault="00000000">
      <w:pPr>
        <w:spacing w:line="249" w:lineRule="auto"/>
        <w:ind w:left="360" w:right="2223"/>
        <w:rPr>
          <w:sz w:val="34"/>
        </w:rPr>
      </w:pPr>
      <w:hyperlink w:anchor="_bookmark484" w:history="1">
        <w:r>
          <w:rPr>
            <w:color w:val="0562C1"/>
            <w:sz w:val="34"/>
            <w:u w:val="single" w:color="0562C1"/>
          </w:rPr>
          <w:t>Some Fundamental Principles Relating to Ethics</w:t>
        </w:r>
      </w:hyperlink>
      <w:r>
        <w:rPr>
          <w:color w:val="0562C1"/>
          <w:sz w:val="34"/>
        </w:rPr>
        <w:t xml:space="preserve"> </w:t>
      </w:r>
      <w:hyperlink w:anchor="_bookmark487" w:history="1">
        <w:r>
          <w:rPr>
            <w:color w:val="0562C1"/>
            <w:sz w:val="34"/>
            <w:u w:val="single" w:color="0562C1"/>
          </w:rPr>
          <w:t>Chapter 20</w:t>
        </w:r>
      </w:hyperlink>
    </w:p>
    <w:p w14:paraId="7E000679" w14:textId="77777777" w:rsidR="009A58DB" w:rsidRDefault="00000000">
      <w:pPr>
        <w:spacing w:line="249" w:lineRule="auto"/>
        <w:ind w:left="360" w:right="7397"/>
        <w:rPr>
          <w:sz w:val="34"/>
        </w:rPr>
      </w:pPr>
      <w:hyperlink w:anchor="_bookmark488" w:history="1">
        <w:r>
          <w:rPr>
            <w:color w:val="0562C1"/>
            <w:spacing w:val="-2"/>
            <w:sz w:val="34"/>
            <w:u w:val="single" w:color="0562C1"/>
          </w:rPr>
          <w:t>Emotivism</w:t>
        </w:r>
      </w:hyperlink>
      <w:r>
        <w:rPr>
          <w:color w:val="0562C1"/>
          <w:spacing w:val="-2"/>
          <w:sz w:val="34"/>
        </w:rPr>
        <w:t xml:space="preserve"> </w:t>
      </w:r>
      <w:hyperlink w:anchor="_bookmark494" w:history="1">
        <w:r>
          <w:rPr>
            <w:color w:val="0562C1"/>
            <w:sz w:val="34"/>
            <w:u w:val="single" w:color="0562C1"/>
          </w:rPr>
          <w:t>Chapter</w:t>
        </w:r>
        <w:r>
          <w:rPr>
            <w:color w:val="0562C1"/>
            <w:spacing w:val="7"/>
            <w:sz w:val="34"/>
            <w:u w:val="single" w:color="0562C1"/>
          </w:rPr>
          <w:t xml:space="preserve"> </w:t>
        </w:r>
        <w:r>
          <w:rPr>
            <w:color w:val="0562C1"/>
            <w:spacing w:val="-7"/>
            <w:sz w:val="34"/>
            <w:u w:val="single" w:color="0562C1"/>
          </w:rPr>
          <w:t>21</w:t>
        </w:r>
      </w:hyperlink>
    </w:p>
    <w:p w14:paraId="7E00067A" w14:textId="77777777" w:rsidR="009A58DB" w:rsidRDefault="00000000">
      <w:pPr>
        <w:spacing w:line="249" w:lineRule="auto"/>
        <w:ind w:left="360" w:right="3292"/>
        <w:rPr>
          <w:sz w:val="34"/>
        </w:rPr>
      </w:pPr>
      <w:hyperlink w:anchor="_bookmark495" w:history="1">
        <w:r>
          <w:rPr>
            <w:color w:val="0562C1"/>
            <w:sz w:val="34"/>
            <w:u w:val="single" w:color="0562C1"/>
          </w:rPr>
          <w:t>Moral Conventionalism and Moral Nihilism</w:t>
        </w:r>
      </w:hyperlink>
      <w:r>
        <w:rPr>
          <w:color w:val="0562C1"/>
          <w:sz w:val="34"/>
        </w:rPr>
        <w:t xml:space="preserve"> </w:t>
      </w:r>
      <w:hyperlink w:anchor="_bookmark504" w:history="1">
        <w:r>
          <w:rPr>
            <w:color w:val="0562C1"/>
            <w:sz w:val="34"/>
            <w:u w:val="single" w:color="0562C1"/>
          </w:rPr>
          <w:t>Chapter 22</w:t>
        </w:r>
      </w:hyperlink>
    </w:p>
    <w:p w14:paraId="7E00067B" w14:textId="77777777" w:rsidR="009A58DB" w:rsidRDefault="00000000">
      <w:pPr>
        <w:spacing w:line="249" w:lineRule="auto"/>
        <w:ind w:left="360" w:right="365"/>
        <w:rPr>
          <w:sz w:val="34"/>
        </w:rPr>
      </w:pPr>
      <w:hyperlink w:anchor="_bookmark505" w:history="1">
        <w:r>
          <w:rPr>
            <w:color w:val="0562C1"/>
            <w:sz w:val="34"/>
            <w:u w:val="single" w:color="0562C1"/>
          </w:rPr>
          <w:t>The Nature of Subjecthood and the Connection between Self-Interest and Morality</w:t>
        </w:r>
      </w:hyperlink>
    </w:p>
    <w:p w14:paraId="7E00067C" w14:textId="77777777" w:rsidR="009A58DB" w:rsidRDefault="00000000">
      <w:pPr>
        <w:spacing w:line="388" w:lineRule="exact"/>
        <w:ind w:left="360"/>
        <w:rPr>
          <w:sz w:val="34"/>
        </w:rPr>
      </w:pPr>
      <w:hyperlink w:anchor="_bookmark517" w:history="1">
        <w:r>
          <w:rPr>
            <w:color w:val="0562C1"/>
            <w:sz w:val="34"/>
            <w:u w:val="single" w:color="0562C1"/>
          </w:rPr>
          <w:t>Chapter</w:t>
        </w:r>
        <w:r>
          <w:rPr>
            <w:color w:val="0562C1"/>
            <w:spacing w:val="7"/>
            <w:sz w:val="34"/>
            <w:u w:val="single" w:color="0562C1"/>
          </w:rPr>
          <w:t xml:space="preserve"> </w:t>
        </w:r>
        <w:r>
          <w:rPr>
            <w:color w:val="0562C1"/>
            <w:spacing w:val="-7"/>
            <w:sz w:val="34"/>
            <w:u w:val="single" w:color="0562C1"/>
          </w:rPr>
          <w:t>23</w:t>
        </w:r>
      </w:hyperlink>
    </w:p>
    <w:p w14:paraId="7E00067D" w14:textId="77777777" w:rsidR="009A58DB" w:rsidRDefault="00000000">
      <w:pPr>
        <w:spacing w:before="1" w:line="249" w:lineRule="auto"/>
        <w:ind w:left="360" w:right="365"/>
        <w:rPr>
          <w:sz w:val="34"/>
        </w:rPr>
      </w:pPr>
      <w:hyperlink w:anchor="_bookmark518" w:history="1">
        <w:r>
          <w:rPr>
            <w:color w:val="0562C1"/>
            <w:sz w:val="34"/>
            <w:u w:val="single" w:color="0562C1"/>
          </w:rPr>
          <w:t>Kant’s Ethics and His Attempt to Identify Morality with Self-</w:t>
        </w:r>
        <w:r>
          <w:rPr>
            <w:color w:val="0562C1"/>
            <w:spacing w:val="-2"/>
            <w:sz w:val="34"/>
            <w:u w:val="single" w:color="0562C1"/>
          </w:rPr>
          <w:t>Interest</w:t>
        </w:r>
      </w:hyperlink>
    </w:p>
    <w:p w14:paraId="7E00067E" w14:textId="77777777" w:rsidR="009A58DB" w:rsidRDefault="00000000">
      <w:pPr>
        <w:spacing w:line="388" w:lineRule="exact"/>
        <w:ind w:left="360"/>
        <w:rPr>
          <w:sz w:val="34"/>
        </w:rPr>
      </w:pPr>
      <w:hyperlink w:anchor="_bookmark531" w:history="1">
        <w:r>
          <w:rPr>
            <w:color w:val="0562C1"/>
            <w:sz w:val="34"/>
            <w:u w:val="single" w:color="0562C1"/>
          </w:rPr>
          <w:t>Chapter</w:t>
        </w:r>
        <w:r>
          <w:rPr>
            <w:color w:val="0562C1"/>
            <w:spacing w:val="7"/>
            <w:sz w:val="34"/>
            <w:u w:val="single" w:color="0562C1"/>
          </w:rPr>
          <w:t xml:space="preserve"> </w:t>
        </w:r>
        <w:r>
          <w:rPr>
            <w:color w:val="0562C1"/>
            <w:spacing w:val="-7"/>
            <w:sz w:val="34"/>
            <w:u w:val="single" w:color="0562C1"/>
          </w:rPr>
          <w:t>24</w:t>
        </w:r>
      </w:hyperlink>
    </w:p>
    <w:p w14:paraId="7E00067F" w14:textId="77777777" w:rsidR="009A58DB" w:rsidRDefault="00000000">
      <w:pPr>
        <w:spacing w:before="15" w:line="249" w:lineRule="auto"/>
        <w:ind w:left="360" w:right="2223"/>
        <w:rPr>
          <w:sz w:val="34"/>
        </w:rPr>
      </w:pPr>
      <w:hyperlink w:anchor="_bookmark532" w:history="1">
        <w:r>
          <w:rPr>
            <w:color w:val="0562C1"/>
            <w:sz w:val="34"/>
            <w:u w:val="single" w:color="0562C1"/>
          </w:rPr>
          <w:t>Hedonism, Egoism, Utilitarianism, and Deontology</w:t>
        </w:r>
      </w:hyperlink>
      <w:r>
        <w:rPr>
          <w:color w:val="0562C1"/>
          <w:sz w:val="34"/>
        </w:rPr>
        <w:t xml:space="preserve"> </w:t>
      </w:r>
      <w:hyperlink w:anchor="_bookmark546" w:history="1">
        <w:r>
          <w:rPr>
            <w:color w:val="0562C1"/>
            <w:sz w:val="34"/>
            <w:u w:val="single" w:color="0562C1"/>
          </w:rPr>
          <w:t>Chapter 25</w:t>
        </w:r>
      </w:hyperlink>
    </w:p>
    <w:p w14:paraId="7E000680" w14:textId="77777777" w:rsidR="009A58DB" w:rsidRDefault="00000000">
      <w:pPr>
        <w:spacing w:line="249" w:lineRule="auto"/>
        <w:ind w:left="360" w:right="7766"/>
        <w:rPr>
          <w:sz w:val="34"/>
        </w:rPr>
      </w:pPr>
      <w:hyperlink w:anchor="_bookmark547" w:history="1">
        <w:r>
          <w:rPr>
            <w:color w:val="0562C1"/>
            <w:spacing w:val="-2"/>
            <w:sz w:val="34"/>
            <w:u w:val="single" w:color="0562C1"/>
          </w:rPr>
          <w:t>Religion</w:t>
        </w:r>
      </w:hyperlink>
      <w:r>
        <w:rPr>
          <w:color w:val="0562C1"/>
          <w:spacing w:val="-2"/>
          <w:sz w:val="34"/>
        </w:rPr>
        <w:t xml:space="preserve"> </w:t>
      </w:r>
      <w:hyperlink w:anchor="_bookmark562" w:history="1">
        <w:r>
          <w:rPr>
            <w:color w:val="0562C1"/>
            <w:sz w:val="34"/>
            <w:u w:val="single" w:color="0562C1"/>
          </w:rPr>
          <w:t>Chapter 26</w:t>
        </w:r>
      </w:hyperlink>
      <w:r>
        <w:rPr>
          <w:color w:val="0562C1"/>
          <w:sz w:val="34"/>
        </w:rPr>
        <w:t xml:space="preserve"> </w:t>
      </w:r>
      <w:hyperlink w:anchor="_bookmark563" w:history="1">
        <w:r>
          <w:rPr>
            <w:color w:val="0562C1"/>
            <w:spacing w:val="-2"/>
            <w:sz w:val="34"/>
            <w:u w:val="single" w:color="0562C1"/>
          </w:rPr>
          <w:t>Existentialism</w:t>
        </w:r>
      </w:hyperlink>
      <w:r>
        <w:rPr>
          <w:color w:val="0562C1"/>
          <w:spacing w:val="-2"/>
          <w:sz w:val="34"/>
        </w:rPr>
        <w:t xml:space="preserve"> </w:t>
      </w:r>
      <w:hyperlink w:anchor="_bookmark564" w:history="1">
        <w:r>
          <w:rPr>
            <w:color w:val="0562C1"/>
            <w:sz w:val="34"/>
            <w:u w:val="single" w:color="0562C1"/>
          </w:rPr>
          <w:t>Chapter 27</w:t>
        </w:r>
      </w:hyperlink>
      <w:r>
        <w:rPr>
          <w:color w:val="0562C1"/>
          <w:sz w:val="34"/>
        </w:rPr>
        <w:t xml:space="preserve"> </w:t>
      </w:r>
      <w:hyperlink w:anchor="_bookmark565" w:history="1">
        <w:r>
          <w:rPr>
            <w:color w:val="0562C1"/>
            <w:spacing w:val="-4"/>
            <w:sz w:val="34"/>
            <w:u w:val="single" w:color="0562C1"/>
          </w:rPr>
          <w:t>Law</w:t>
        </w:r>
      </w:hyperlink>
      <w:r>
        <w:rPr>
          <w:color w:val="0562C1"/>
          <w:sz w:val="34"/>
        </w:rPr>
        <w:t xml:space="preserve"> </w:t>
      </w:r>
      <w:hyperlink w:anchor="_bookmark567" w:history="1">
        <w:r>
          <w:rPr>
            <w:color w:val="0562C1"/>
            <w:sz w:val="34"/>
            <w:u w:val="single" w:color="0562C1"/>
          </w:rPr>
          <w:t>Appendix 1</w:t>
        </w:r>
      </w:hyperlink>
    </w:p>
    <w:p w14:paraId="7E000681" w14:textId="77777777" w:rsidR="009A58DB" w:rsidRDefault="00000000">
      <w:pPr>
        <w:spacing w:line="249" w:lineRule="auto"/>
        <w:ind w:left="360" w:right="6065"/>
        <w:rPr>
          <w:sz w:val="34"/>
        </w:rPr>
      </w:pPr>
      <w:hyperlink w:anchor="_bookmark568" w:history="1">
        <w:r>
          <w:rPr>
            <w:color w:val="0562C1"/>
            <w:sz w:val="34"/>
            <w:u w:val="single" w:color="0562C1"/>
          </w:rPr>
          <w:t>The Rudiments of Logic</w:t>
        </w:r>
      </w:hyperlink>
      <w:r>
        <w:rPr>
          <w:color w:val="0562C1"/>
          <w:sz w:val="34"/>
        </w:rPr>
        <w:t xml:space="preserve"> </w:t>
      </w:r>
      <w:hyperlink w:anchor="_bookmark583" w:history="1">
        <w:r>
          <w:rPr>
            <w:color w:val="0562C1"/>
            <w:sz w:val="34"/>
            <w:u w:val="single" w:color="0562C1"/>
          </w:rPr>
          <w:t>Appendix 2</w:t>
        </w:r>
      </w:hyperlink>
    </w:p>
    <w:p w14:paraId="7E000682" w14:textId="77777777" w:rsidR="009A58DB" w:rsidRDefault="00000000">
      <w:pPr>
        <w:spacing w:line="388" w:lineRule="exact"/>
        <w:ind w:left="360"/>
        <w:rPr>
          <w:sz w:val="34"/>
        </w:rPr>
      </w:pPr>
      <w:hyperlink w:anchor="_bookmark584" w:history="1">
        <w:r>
          <w:rPr>
            <w:color w:val="0562C1"/>
            <w:sz w:val="34"/>
            <w:u w:val="single" w:color="0562C1"/>
          </w:rPr>
          <w:t>Important</w:t>
        </w:r>
        <w:r>
          <w:rPr>
            <w:color w:val="0562C1"/>
            <w:spacing w:val="6"/>
            <w:sz w:val="34"/>
            <w:u w:val="single" w:color="0562C1"/>
          </w:rPr>
          <w:t xml:space="preserve"> </w:t>
        </w:r>
        <w:r>
          <w:rPr>
            <w:color w:val="0562C1"/>
            <w:sz w:val="34"/>
            <w:u w:val="single" w:color="0562C1"/>
          </w:rPr>
          <w:t>Terms</w:t>
        </w:r>
        <w:r>
          <w:rPr>
            <w:color w:val="0562C1"/>
            <w:spacing w:val="7"/>
            <w:sz w:val="34"/>
            <w:u w:val="single" w:color="0562C1"/>
          </w:rPr>
          <w:t xml:space="preserve"> </w:t>
        </w:r>
        <w:r>
          <w:rPr>
            <w:color w:val="0562C1"/>
            <w:sz w:val="34"/>
            <w:u w:val="single" w:color="0562C1"/>
          </w:rPr>
          <w:t>and</w:t>
        </w:r>
        <w:r>
          <w:rPr>
            <w:color w:val="0562C1"/>
            <w:spacing w:val="7"/>
            <w:sz w:val="34"/>
            <w:u w:val="single" w:color="0562C1"/>
          </w:rPr>
          <w:t xml:space="preserve"> </w:t>
        </w:r>
        <w:r>
          <w:rPr>
            <w:color w:val="0562C1"/>
            <w:spacing w:val="-2"/>
            <w:sz w:val="34"/>
            <w:u w:val="single" w:color="0562C1"/>
          </w:rPr>
          <w:t>Principles</w:t>
        </w:r>
      </w:hyperlink>
    </w:p>
    <w:p w14:paraId="7E000683" w14:textId="77777777" w:rsidR="009A58DB" w:rsidRDefault="009A58DB">
      <w:pPr>
        <w:spacing w:line="388" w:lineRule="exact"/>
        <w:rPr>
          <w:sz w:val="34"/>
        </w:rPr>
        <w:sectPr w:rsidR="009A58DB">
          <w:pgSz w:w="12240" w:h="15840"/>
          <w:pgMar w:top="1360" w:right="1080" w:bottom="280" w:left="1080" w:header="720" w:footer="720" w:gutter="0"/>
          <w:cols w:space="720"/>
        </w:sectPr>
      </w:pPr>
    </w:p>
    <w:p w14:paraId="7E000684" w14:textId="77777777" w:rsidR="009A58DB" w:rsidRDefault="00000000">
      <w:pPr>
        <w:spacing w:line="503" w:lineRule="exact"/>
        <w:ind w:left="326" w:right="332"/>
        <w:jc w:val="center"/>
        <w:rPr>
          <w:rFonts w:ascii="Calibri Light"/>
          <w:sz w:val="42"/>
        </w:rPr>
      </w:pPr>
      <w:bookmarkStart w:id="0" w:name="_bookmark0"/>
      <w:bookmarkEnd w:id="0"/>
      <w:r>
        <w:rPr>
          <w:rFonts w:ascii="Calibri Light"/>
          <w:sz w:val="42"/>
        </w:rPr>
        <w:lastRenderedPageBreak/>
        <w:t>PART</w:t>
      </w:r>
      <w:r>
        <w:rPr>
          <w:rFonts w:ascii="Calibri Light"/>
          <w:spacing w:val="32"/>
          <w:sz w:val="42"/>
        </w:rPr>
        <w:t xml:space="preserve"> </w:t>
      </w:r>
      <w:r>
        <w:rPr>
          <w:rFonts w:ascii="Calibri Light"/>
          <w:spacing w:val="-10"/>
          <w:sz w:val="42"/>
        </w:rPr>
        <w:t>I</w:t>
      </w:r>
    </w:p>
    <w:p w14:paraId="7E000685" w14:textId="77777777" w:rsidR="009A58DB" w:rsidRDefault="00000000">
      <w:pPr>
        <w:spacing w:before="222"/>
        <w:ind w:left="326" w:right="332"/>
        <w:jc w:val="center"/>
        <w:rPr>
          <w:rFonts w:ascii="Calibri Light"/>
          <w:sz w:val="42"/>
        </w:rPr>
      </w:pPr>
      <w:bookmarkStart w:id="1" w:name="_bookmark1"/>
      <w:bookmarkEnd w:id="1"/>
      <w:r>
        <w:rPr>
          <w:rFonts w:ascii="Calibri Light"/>
          <w:sz w:val="42"/>
        </w:rPr>
        <w:t>The</w:t>
      </w:r>
      <w:r>
        <w:rPr>
          <w:rFonts w:ascii="Calibri Light"/>
          <w:spacing w:val="34"/>
          <w:sz w:val="42"/>
        </w:rPr>
        <w:t xml:space="preserve"> </w:t>
      </w:r>
      <w:r>
        <w:rPr>
          <w:rFonts w:ascii="Calibri Light"/>
          <w:sz w:val="42"/>
        </w:rPr>
        <w:t>Analysis</w:t>
      </w:r>
      <w:r>
        <w:rPr>
          <w:rFonts w:ascii="Calibri Light"/>
          <w:spacing w:val="35"/>
          <w:sz w:val="42"/>
        </w:rPr>
        <w:t xml:space="preserve"> </w:t>
      </w:r>
      <w:r>
        <w:rPr>
          <w:rFonts w:ascii="Calibri Light"/>
          <w:sz w:val="42"/>
        </w:rPr>
        <w:t>of</w:t>
      </w:r>
      <w:r>
        <w:rPr>
          <w:rFonts w:ascii="Calibri Light"/>
          <w:spacing w:val="35"/>
          <w:sz w:val="42"/>
        </w:rPr>
        <w:t xml:space="preserve"> </w:t>
      </w:r>
      <w:r>
        <w:rPr>
          <w:rFonts w:ascii="Calibri Light"/>
          <w:spacing w:val="-2"/>
          <w:sz w:val="42"/>
        </w:rPr>
        <w:t>Analysis</w:t>
      </w:r>
    </w:p>
    <w:p w14:paraId="7E000686" w14:textId="77777777" w:rsidR="009A58DB" w:rsidRDefault="009A58DB">
      <w:pPr>
        <w:jc w:val="center"/>
        <w:rPr>
          <w:rFonts w:ascii="Calibri Light"/>
          <w:sz w:val="42"/>
        </w:rPr>
        <w:sectPr w:rsidR="009A58DB">
          <w:pgSz w:w="12240" w:h="15840"/>
          <w:pgMar w:top="1680" w:right="1080" w:bottom="280" w:left="1080" w:header="720" w:footer="720" w:gutter="0"/>
          <w:cols w:space="720"/>
        </w:sectPr>
      </w:pPr>
    </w:p>
    <w:p w14:paraId="7E000687" w14:textId="77777777" w:rsidR="009A58DB" w:rsidRDefault="00000000">
      <w:pPr>
        <w:spacing w:line="503" w:lineRule="exact"/>
        <w:ind w:left="326" w:right="332"/>
        <w:jc w:val="center"/>
        <w:rPr>
          <w:rFonts w:ascii="Calibri Light"/>
          <w:sz w:val="42"/>
        </w:rPr>
      </w:pPr>
      <w:bookmarkStart w:id="2" w:name="_bookmark2"/>
      <w:bookmarkEnd w:id="2"/>
      <w:r>
        <w:rPr>
          <w:rFonts w:ascii="Calibri Light"/>
          <w:sz w:val="42"/>
        </w:rPr>
        <w:lastRenderedPageBreak/>
        <w:t>Chapter</w:t>
      </w:r>
      <w:r>
        <w:rPr>
          <w:rFonts w:ascii="Calibri Light"/>
          <w:spacing w:val="56"/>
          <w:sz w:val="42"/>
        </w:rPr>
        <w:t xml:space="preserve"> </w:t>
      </w:r>
      <w:r>
        <w:rPr>
          <w:rFonts w:ascii="Calibri Light"/>
          <w:spacing w:val="-10"/>
          <w:sz w:val="42"/>
        </w:rPr>
        <w:t>1</w:t>
      </w:r>
    </w:p>
    <w:p w14:paraId="7E000688" w14:textId="77777777" w:rsidR="009A58DB" w:rsidRDefault="00000000">
      <w:pPr>
        <w:spacing w:before="222"/>
        <w:ind w:left="326" w:right="332"/>
        <w:jc w:val="center"/>
        <w:rPr>
          <w:rFonts w:ascii="Calibri Light"/>
          <w:sz w:val="42"/>
        </w:rPr>
      </w:pPr>
      <w:bookmarkStart w:id="3" w:name="_bookmark3"/>
      <w:bookmarkEnd w:id="3"/>
      <w:r>
        <w:rPr>
          <w:rFonts w:ascii="Calibri Light"/>
          <w:sz w:val="42"/>
        </w:rPr>
        <w:t>Analytic</w:t>
      </w:r>
      <w:r>
        <w:rPr>
          <w:rFonts w:ascii="Calibri Light"/>
          <w:spacing w:val="54"/>
          <w:sz w:val="42"/>
        </w:rPr>
        <w:t xml:space="preserve"> </w:t>
      </w:r>
      <w:r>
        <w:rPr>
          <w:rFonts w:ascii="Calibri Light"/>
          <w:sz w:val="42"/>
        </w:rPr>
        <w:t>Philosophy</w:t>
      </w:r>
      <w:r>
        <w:rPr>
          <w:rFonts w:ascii="Calibri Light"/>
          <w:spacing w:val="54"/>
          <w:sz w:val="42"/>
        </w:rPr>
        <w:t xml:space="preserve"> </w:t>
      </w:r>
      <w:r>
        <w:rPr>
          <w:rFonts w:ascii="Calibri Light"/>
          <w:sz w:val="42"/>
        </w:rPr>
        <w:t>as</w:t>
      </w:r>
      <w:r>
        <w:rPr>
          <w:rFonts w:ascii="Calibri Light"/>
          <w:spacing w:val="54"/>
          <w:sz w:val="42"/>
        </w:rPr>
        <w:t xml:space="preserve"> </w:t>
      </w:r>
      <w:r>
        <w:rPr>
          <w:rFonts w:ascii="Calibri Light"/>
          <w:sz w:val="42"/>
        </w:rPr>
        <w:t>Logical</w:t>
      </w:r>
      <w:r>
        <w:rPr>
          <w:rFonts w:ascii="Calibri Light"/>
          <w:spacing w:val="54"/>
          <w:sz w:val="42"/>
        </w:rPr>
        <w:t xml:space="preserve"> </w:t>
      </w:r>
      <w:r>
        <w:rPr>
          <w:rFonts w:ascii="Calibri Light"/>
          <w:spacing w:val="-2"/>
          <w:sz w:val="42"/>
        </w:rPr>
        <w:t>Analysis</w:t>
      </w:r>
    </w:p>
    <w:p w14:paraId="7E000689" w14:textId="77777777" w:rsidR="009A58DB" w:rsidRDefault="00000000">
      <w:pPr>
        <w:pStyle w:val="Heading1"/>
        <w:numPr>
          <w:ilvl w:val="1"/>
          <w:numId w:val="231"/>
        </w:numPr>
        <w:tabs>
          <w:tab w:val="left" w:pos="1065"/>
        </w:tabs>
        <w:spacing w:before="185" w:line="244" w:lineRule="auto"/>
        <w:ind w:right="359" w:firstLine="0"/>
      </w:pPr>
      <w:r>
        <w:t>Philosophy</w:t>
      </w:r>
      <w:r>
        <w:rPr>
          <w:spacing w:val="40"/>
        </w:rPr>
        <w:t xml:space="preserve"> </w:t>
      </w:r>
      <w:r>
        <w:t>as</w:t>
      </w:r>
      <w:r>
        <w:rPr>
          <w:spacing w:val="40"/>
        </w:rPr>
        <w:t xml:space="preserve"> </w:t>
      </w:r>
      <w:r>
        <w:t>the</w:t>
      </w:r>
      <w:r>
        <w:rPr>
          <w:spacing w:val="40"/>
        </w:rPr>
        <w:t xml:space="preserve"> </w:t>
      </w:r>
      <w:r>
        <w:t>analysis</w:t>
      </w:r>
      <w:r>
        <w:rPr>
          <w:spacing w:val="40"/>
        </w:rPr>
        <w:t xml:space="preserve"> </w:t>
      </w:r>
      <w:r>
        <w:t>of</w:t>
      </w:r>
      <w:r>
        <w:rPr>
          <w:spacing w:val="40"/>
        </w:rPr>
        <w:t xml:space="preserve"> </w:t>
      </w:r>
      <w:r>
        <w:t>the</w:t>
      </w:r>
      <w:r>
        <w:rPr>
          <w:spacing w:val="40"/>
        </w:rPr>
        <w:t xml:space="preserve"> </w:t>
      </w:r>
      <w:r>
        <w:t>categories</w:t>
      </w:r>
      <w:r>
        <w:rPr>
          <w:spacing w:val="40"/>
        </w:rPr>
        <w:t xml:space="preserve"> </w:t>
      </w:r>
      <w:r>
        <w:t>in terms of which understand the world</w:t>
      </w:r>
    </w:p>
    <w:p w14:paraId="7E00068A" w14:textId="77777777" w:rsidR="009A58DB" w:rsidRDefault="00000000">
      <w:pPr>
        <w:spacing w:before="132" w:line="249" w:lineRule="auto"/>
        <w:ind w:left="360" w:right="358"/>
        <w:jc w:val="both"/>
        <w:rPr>
          <w:i/>
          <w:sz w:val="30"/>
        </w:rPr>
      </w:pPr>
      <w:r>
        <w:rPr>
          <w:sz w:val="30"/>
        </w:rPr>
        <w:t xml:space="preserve">We understand the world in terms of certain categories (e.g., </w:t>
      </w:r>
      <w:r>
        <w:rPr>
          <w:i/>
          <w:sz w:val="30"/>
        </w:rPr>
        <w:t>person, statement, fact, impossibility, existence</w:t>
      </w:r>
      <w:r>
        <w:rPr>
          <w:sz w:val="30"/>
        </w:rPr>
        <w:t xml:space="preserve">). Philosophy studies these categories. It delineates their structures. This is its sole function. Thus, </w:t>
      </w:r>
      <w:r>
        <w:rPr>
          <w:i/>
          <w:sz w:val="30"/>
        </w:rPr>
        <w:t>philosophy is the discipline</w:t>
      </w:r>
      <w:r>
        <w:rPr>
          <w:i/>
          <w:spacing w:val="-3"/>
          <w:sz w:val="30"/>
        </w:rPr>
        <w:t xml:space="preserve"> </w:t>
      </w:r>
      <w:r>
        <w:rPr>
          <w:i/>
          <w:sz w:val="30"/>
        </w:rPr>
        <w:t>that</w:t>
      </w:r>
      <w:r>
        <w:rPr>
          <w:i/>
          <w:spacing w:val="-3"/>
          <w:sz w:val="30"/>
        </w:rPr>
        <w:t xml:space="preserve"> </w:t>
      </w:r>
      <w:r>
        <w:rPr>
          <w:i/>
          <w:sz w:val="30"/>
        </w:rPr>
        <w:t>delineates</w:t>
      </w:r>
      <w:r>
        <w:rPr>
          <w:i/>
          <w:spacing w:val="-3"/>
          <w:sz w:val="30"/>
        </w:rPr>
        <w:t xml:space="preserve"> </w:t>
      </w:r>
      <w:r>
        <w:rPr>
          <w:i/>
          <w:sz w:val="30"/>
        </w:rPr>
        <w:t>the</w:t>
      </w:r>
      <w:r>
        <w:rPr>
          <w:i/>
          <w:spacing w:val="-3"/>
          <w:sz w:val="30"/>
        </w:rPr>
        <w:t xml:space="preserve"> </w:t>
      </w:r>
      <w:r>
        <w:rPr>
          <w:i/>
          <w:sz w:val="30"/>
        </w:rPr>
        <w:t>structures</w:t>
      </w:r>
      <w:r>
        <w:rPr>
          <w:i/>
          <w:spacing w:val="-3"/>
          <w:sz w:val="30"/>
        </w:rPr>
        <w:t xml:space="preserve"> </w:t>
      </w:r>
      <w:r>
        <w:rPr>
          <w:i/>
          <w:sz w:val="30"/>
        </w:rPr>
        <w:t>of</w:t>
      </w:r>
      <w:r>
        <w:rPr>
          <w:i/>
          <w:spacing w:val="-3"/>
          <w:sz w:val="30"/>
        </w:rPr>
        <w:t xml:space="preserve"> </w:t>
      </w:r>
      <w:r>
        <w:rPr>
          <w:i/>
          <w:sz w:val="30"/>
        </w:rPr>
        <w:t>the</w:t>
      </w:r>
      <w:r>
        <w:rPr>
          <w:i/>
          <w:spacing w:val="-3"/>
          <w:sz w:val="30"/>
        </w:rPr>
        <w:t xml:space="preserve"> </w:t>
      </w:r>
      <w:r>
        <w:rPr>
          <w:i/>
          <w:sz w:val="30"/>
        </w:rPr>
        <w:t>categories</w:t>
      </w:r>
      <w:r>
        <w:rPr>
          <w:i/>
          <w:spacing w:val="-3"/>
          <w:sz w:val="30"/>
        </w:rPr>
        <w:t xml:space="preserve"> </w:t>
      </w:r>
      <w:r>
        <w:rPr>
          <w:i/>
          <w:sz w:val="30"/>
        </w:rPr>
        <w:t>in</w:t>
      </w:r>
      <w:r>
        <w:rPr>
          <w:i/>
          <w:spacing w:val="-3"/>
          <w:sz w:val="30"/>
        </w:rPr>
        <w:t xml:space="preserve"> </w:t>
      </w:r>
      <w:r>
        <w:rPr>
          <w:i/>
          <w:sz w:val="30"/>
        </w:rPr>
        <w:t>terms</w:t>
      </w:r>
      <w:r>
        <w:rPr>
          <w:i/>
          <w:spacing w:val="-3"/>
          <w:sz w:val="30"/>
        </w:rPr>
        <w:t xml:space="preserve"> </w:t>
      </w:r>
      <w:r>
        <w:rPr>
          <w:i/>
          <w:sz w:val="30"/>
        </w:rPr>
        <w:t>of</w:t>
      </w:r>
      <w:r>
        <w:rPr>
          <w:i/>
          <w:spacing w:val="-3"/>
          <w:sz w:val="30"/>
        </w:rPr>
        <w:t xml:space="preserve"> </w:t>
      </w:r>
      <w:r>
        <w:rPr>
          <w:i/>
          <w:sz w:val="30"/>
        </w:rPr>
        <w:t>which</w:t>
      </w:r>
      <w:r>
        <w:rPr>
          <w:i/>
          <w:spacing w:val="-3"/>
          <w:sz w:val="30"/>
        </w:rPr>
        <w:t xml:space="preserve"> </w:t>
      </w:r>
      <w:r>
        <w:rPr>
          <w:i/>
          <w:sz w:val="30"/>
        </w:rPr>
        <w:t>we think about the world.</w:t>
      </w:r>
    </w:p>
    <w:p w14:paraId="7E00068B" w14:textId="77777777" w:rsidR="009A58DB" w:rsidRDefault="00000000">
      <w:pPr>
        <w:pStyle w:val="BodyText"/>
        <w:spacing w:before="6" w:line="249" w:lineRule="auto"/>
        <w:ind w:right="366" w:firstLine="360"/>
      </w:pPr>
      <w:r>
        <w:t>We’ve already identified some of these categories. By stating a few of our most basic beliefs, we can identify some more (they’re the ones denoted by the italicized expressions):</w:t>
      </w:r>
    </w:p>
    <w:p w14:paraId="7E00068C" w14:textId="77777777" w:rsidR="009A58DB" w:rsidRDefault="009A58DB">
      <w:pPr>
        <w:pStyle w:val="BodyText"/>
        <w:spacing w:before="19"/>
        <w:ind w:left="0"/>
        <w:jc w:val="left"/>
      </w:pPr>
    </w:p>
    <w:p w14:paraId="7E00068D" w14:textId="77777777" w:rsidR="009A58DB" w:rsidRDefault="00000000">
      <w:pPr>
        <w:pStyle w:val="BodyText"/>
        <w:spacing w:line="249" w:lineRule="auto"/>
        <w:ind w:left="720" w:right="362"/>
        <w:rPr>
          <w:i/>
        </w:rPr>
      </w:pPr>
      <w:r>
        <w:t xml:space="preserve">The world isn’t homogeneous. It is articulated into </w:t>
      </w:r>
      <w:r>
        <w:rPr>
          <w:i/>
        </w:rPr>
        <w:t xml:space="preserve">events </w:t>
      </w:r>
      <w:r>
        <w:t xml:space="preserve">bearing various </w:t>
      </w:r>
      <w:r>
        <w:rPr>
          <w:i/>
        </w:rPr>
        <w:t>causal</w:t>
      </w:r>
      <w:r>
        <w:rPr>
          <w:i/>
          <w:spacing w:val="-5"/>
        </w:rPr>
        <w:t xml:space="preserve"> </w:t>
      </w:r>
      <w:r>
        <w:t>and,</w:t>
      </w:r>
      <w:r>
        <w:rPr>
          <w:spacing w:val="-4"/>
        </w:rPr>
        <w:t xml:space="preserve"> </w:t>
      </w:r>
      <w:r>
        <w:t>more</w:t>
      </w:r>
      <w:r>
        <w:rPr>
          <w:spacing w:val="-5"/>
        </w:rPr>
        <w:t xml:space="preserve"> </w:t>
      </w:r>
      <w:r>
        <w:t>generally,</w:t>
      </w:r>
      <w:r>
        <w:rPr>
          <w:spacing w:val="-4"/>
        </w:rPr>
        <w:t xml:space="preserve"> </w:t>
      </w:r>
      <w:r>
        <w:rPr>
          <w:i/>
        </w:rPr>
        <w:t>spatiotemporal</w:t>
      </w:r>
      <w:r>
        <w:rPr>
          <w:i/>
          <w:spacing w:val="-5"/>
        </w:rPr>
        <w:t xml:space="preserve"> </w:t>
      </w:r>
      <w:r>
        <w:t xml:space="preserve">relations to one another. Many of these events involve more or less persistent </w:t>
      </w:r>
      <w:r>
        <w:rPr>
          <w:i/>
        </w:rPr>
        <w:t xml:space="preserve">things </w:t>
      </w:r>
      <w:r>
        <w:t xml:space="preserve">(rocks, trees, etc.). Some of these things have </w:t>
      </w:r>
      <w:r>
        <w:rPr>
          <w:i/>
        </w:rPr>
        <w:t xml:space="preserve">minds. </w:t>
      </w:r>
      <w:r>
        <w:t xml:space="preserve">Most animate (mind-having) beings have </w:t>
      </w:r>
      <w:r>
        <w:rPr>
          <w:i/>
        </w:rPr>
        <w:t xml:space="preserve">sense-perceptions; </w:t>
      </w:r>
      <w:r>
        <w:t xml:space="preserve">i.e., they see things, hear things, etc. Most percipient (perception-having) creatures have </w:t>
      </w:r>
      <w:r>
        <w:rPr>
          <w:i/>
        </w:rPr>
        <w:t xml:space="preserve">beliefs. </w:t>
      </w:r>
      <w:r>
        <w:t>Some of these</w:t>
      </w:r>
      <w:r>
        <w:rPr>
          <w:spacing w:val="40"/>
        </w:rPr>
        <w:t xml:space="preserve"> </w:t>
      </w:r>
      <w:r>
        <w:t xml:space="preserve">beliefs are </w:t>
      </w:r>
      <w:r>
        <w:rPr>
          <w:i/>
        </w:rPr>
        <w:t xml:space="preserve">true; </w:t>
      </w:r>
      <w:r>
        <w:t xml:space="preserve">others are </w:t>
      </w:r>
      <w:r>
        <w:rPr>
          <w:i/>
        </w:rPr>
        <w:t xml:space="preserve">false. </w:t>
      </w:r>
      <w:r>
        <w:t xml:space="preserve">Some of the true ones are cases of </w:t>
      </w:r>
      <w:r>
        <w:rPr>
          <w:i/>
        </w:rPr>
        <w:t xml:space="preserve">knowledge. </w:t>
      </w:r>
      <w:r>
        <w:t>Some percipient creatures communicate with one another through</w:t>
      </w:r>
      <w:r>
        <w:rPr>
          <w:spacing w:val="-3"/>
        </w:rPr>
        <w:t xml:space="preserve"> </w:t>
      </w:r>
      <w:r>
        <w:t>the</w:t>
      </w:r>
      <w:r>
        <w:rPr>
          <w:spacing w:val="-4"/>
        </w:rPr>
        <w:t xml:space="preserve"> </w:t>
      </w:r>
      <w:r>
        <w:t>use</w:t>
      </w:r>
      <w:r>
        <w:rPr>
          <w:spacing w:val="-4"/>
        </w:rPr>
        <w:t xml:space="preserve"> </w:t>
      </w:r>
      <w:r>
        <w:t>of</w:t>
      </w:r>
      <w:r>
        <w:rPr>
          <w:spacing w:val="-4"/>
        </w:rPr>
        <w:t xml:space="preserve"> </w:t>
      </w:r>
      <w:r>
        <w:rPr>
          <w:i/>
        </w:rPr>
        <w:t>language.</w:t>
      </w:r>
      <w:r>
        <w:rPr>
          <w:i/>
          <w:spacing w:val="-3"/>
        </w:rPr>
        <w:t xml:space="preserve"> </w:t>
      </w:r>
      <w:r>
        <w:t>Mastery</w:t>
      </w:r>
      <w:r>
        <w:rPr>
          <w:spacing w:val="-2"/>
        </w:rPr>
        <w:t xml:space="preserve"> </w:t>
      </w:r>
      <w:r>
        <w:t>of</w:t>
      </w:r>
      <w:r>
        <w:rPr>
          <w:spacing w:val="-2"/>
        </w:rPr>
        <w:t xml:space="preserve"> </w:t>
      </w:r>
      <w:r>
        <w:t>a</w:t>
      </w:r>
      <w:r>
        <w:rPr>
          <w:spacing w:val="-2"/>
        </w:rPr>
        <w:t xml:space="preserve"> </w:t>
      </w:r>
      <w:r>
        <w:t>language</w:t>
      </w:r>
      <w:r>
        <w:rPr>
          <w:spacing w:val="-2"/>
        </w:rPr>
        <w:t xml:space="preserve"> </w:t>
      </w:r>
      <w:r>
        <w:t>makes</w:t>
      </w:r>
      <w:r>
        <w:rPr>
          <w:spacing w:val="-2"/>
        </w:rPr>
        <w:t xml:space="preserve"> </w:t>
      </w:r>
      <w:r>
        <w:t>it</w:t>
      </w:r>
      <w:r>
        <w:rPr>
          <w:spacing w:val="-2"/>
        </w:rPr>
        <w:t xml:space="preserve"> </w:t>
      </w:r>
      <w:r>
        <w:t>easier</w:t>
      </w:r>
      <w:r>
        <w:rPr>
          <w:spacing w:val="-2"/>
        </w:rPr>
        <w:t xml:space="preserve"> </w:t>
      </w:r>
      <w:r>
        <w:t>for</w:t>
      </w:r>
      <w:r>
        <w:rPr>
          <w:spacing w:val="-2"/>
        </w:rPr>
        <w:t xml:space="preserve"> </w:t>
      </w:r>
      <w:r>
        <w:t xml:space="preserve">one to communicate one’s beliefs to others, and it also enhances one’s ability to </w:t>
      </w:r>
      <w:r>
        <w:rPr>
          <w:i/>
        </w:rPr>
        <w:t xml:space="preserve">reason. </w:t>
      </w:r>
      <w:r>
        <w:t xml:space="preserve">Rational (reason-capable) creatures tend to make </w:t>
      </w:r>
      <w:r>
        <w:rPr>
          <w:i/>
        </w:rPr>
        <w:t>value-judgments.</w:t>
      </w:r>
      <w:r>
        <w:rPr>
          <w:i/>
          <w:spacing w:val="-4"/>
        </w:rPr>
        <w:t xml:space="preserve"> </w:t>
      </w:r>
      <w:r>
        <w:t>They judge one another’s actions, and sometimes their own, to be</w:t>
      </w:r>
      <w:r>
        <w:rPr>
          <w:spacing w:val="-4"/>
        </w:rPr>
        <w:t xml:space="preserve"> </w:t>
      </w:r>
      <w:r>
        <w:rPr>
          <w:i/>
        </w:rPr>
        <w:t>good</w:t>
      </w:r>
      <w:r>
        <w:rPr>
          <w:i/>
          <w:spacing w:val="-3"/>
        </w:rPr>
        <w:t xml:space="preserve"> </w:t>
      </w:r>
      <w:r>
        <w:t>or</w:t>
      </w:r>
      <w:r>
        <w:rPr>
          <w:spacing w:val="-4"/>
        </w:rPr>
        <w:t xml:space="preserve"> </w:t>
      </w:r>
      <w:r>
        <w:rPr>
          <w:i/>
        </w:rPr>
        <w:t>bad.</w:t>
      </w:r>
      <w:r>
        <w:rPr>
          <w:i/>
          <w:spacing w:val="-3"/>
        </w:rPr>
        <w:t xml:space="preserve"> </w:t>
      </w:r>
      <w:r>
        <w:t xml:space="preserve">Creatures that make such judgments tend to regulate their behavior towards one another by means of systems of </w:t>
      </w:r>
      <w:r>
        <w:rPr>
          <w:i/>
        </w:rPr>
        <w:t xml:space="preserve">law, </w:t>
      </w:r>
      <w:r>
        <w:t xml:space="preserve">the supposed purpose of which is to ensure that such behavior satisfy the requirements of </w:t>
      </w:r>
      <w:r>
        <w:rPr>
          <w:i/>
        </w:rPr>
        <w:t>justice.</w:t>
      </w:r>
    </w:p>
    <w:p w14:paraId="7E00068E" w14:textId="77777777" w:rsidR="009A58DB" w:rsidRDefault="00000000">
      <w:pPr>
        <w:pStyle w:val="Heading1"/>
        <w:numPr>
          <w:ilvl w:val="1"/>
          <w:numId w:val="231"/>
        </w:numPr>
        <w:tabs>
          <w:tab w:val="left" w:pos="990"/>
        </w:tabs>
        <w:spacing w:before="222"/>
        <w:ind w:left="990" w:hanging="630"/>
      </w:pPr>
      <w:r>
        <w:t>Knowledge</w:t>
      </w:r>
      <w:r>
        <w:rPr>
          <w:spacing w:val="-7"/>
        </w:rPr>
        <w:t xml:space="preserve"> </w:t>
      </w:r>
      <w:r>
        <w:t>vs.</w:t>
      </w:r>
      <w:r>
        <w:rPr>
          <w:spacing w:val="-5"/>
        </w:rPr>
        <w:t xml:space="preserve"> </w:t>
      </w:r>
      <w:r>
        <w:t>meta-</w:t>
      </w:r>
      <w:r>
        <w:rPr>
          <w:spacing w:val="-2"/>
        </w:rPr>
        <w:t>knowledge</w:t>
      </w:r>
    </w:p>
    <w:p w14:paraId="7E00068F" w14:textId="77777777" w:rsidR="009A58DB" w:rsidRDefault="00000000">
      <w:pPr>
        <w:spacing w:before="139"/>
        <w:ind w:left="360"/>
        <w:jc w:val="both"/>
        <w:rPr>
          <w:i/>
          <w:sz w:val="30"/>
        </w:rPr>
      </w:pPr>
      <w:r>
        <w:rPr>
          <w:i/>
          <w:sz w:val="30"/>
        </w:rPr>
        <w:t>Event,</w:t>
      </w:r>
      <w:r>
        <w:rPr>
          <w:i/>
          <w:spacing w:val="22"/>
          <w:sz w:val="30"/>
        </w:rPr>
        <w:t xml:space="preserve">  </w:t>
      </w:r>
      <w:r>
        <w:rPr>
          <w:i/>
          <w:sz w:val="30"/>
        </w:rPr>
        <w:t>space,</w:t>
      </w:r>
      <w:r>
        <w:rPr>
          <w:i/>
          <w:spacing w:val="23"/>
          <w:sz w:val="30"/>
        </w:rPr>
        <w:t xml:space="preserve">  </w:t>
      </w:r>
      <w:r>
        <w:rPr>
          <w:i/>
          <w:sz w:val="30"/>
        </w:rPr>
        <w:t>time,</w:t>
      </w:r>
      <w:r>
        <w:rPr>
          <w:i/>
          <w:spacing w:val="23"/>
          <w:sz w:val="30"/>
        </w:rPr>
        <w:t xml:space="preserve">  </w:t>
      </w:r>
      <w:r>
        <w:rPr>
          <w:i/>
          <w:sz w:val="30"/>
        </w:rPr>
        <w:t>cause,</w:t>
      </w:r>
      <w:r>
        <w:rPr>
          <w:i/>
          <w:spacing w:val="23"/>
          <w:sz w:val="30"/>
        </w:rPr>
        <w:t xml:space="preserve">  </w:t>
      </w:r>
      <w:r>
        <w:rPr>
          <w:i/>
          <w:sz w:val="30"/>
        </w:rPr>
        <w:t>persistence,</w:t>
      </w:r>
      <w:r>
        <w:rPr>
          <w:i/>
          <w:spacing w:val="23"/>
          <w:sz w:val="30"/>
        </w:rPr>
        <w:t xml:space="preserve">  </w:t>
      </w:r>
      <w:r>
        <w:rPr>
          <w:i/>
          <w:sz w:val="30"/>
        </w:rPr>
        <w:t>thing,</w:t>
      </w:r>
      <w:r>
        <w:rPr>
          <w:i/>
          <w:spacing w:val="23"/>
          <w:sz w:val="30"/>
        </w:rPr>
        <w:t xml:space="preserve">  </w:t>
      </w:r>
      <w:r>
        <w:rPr>
          <w:i/>
          <w:sz w:val="30"/>
        </w:rPr>
        <w:t>mind,</w:t>
      </w:r>
      <w:r>
        <w:rPr>
          <w:i/>
          <w:spacing w:val="23"/>
          <w:sz w:val="30"/>
        </w:rPr>
        <w:t xml:space="preserve">  </w:t>
      </w:r>
      <w:r>
        <w:rPr>
          <w:i/>
          <w:sz w:val="30"/>
        </w:rPr>
        <w:t>perception,</w:t>
      </w:r>
      <w:r>
        <w:rPr>
          <w:i/>
          <w:spacing w:val="23"/>
          <w:sz w:val="30"/>
        </w:rPr>
        <w:t xml:space="preserve">  </w:t>
      </w:r>
      <w:r>
        <w:rPr>
          <w:i/>
          <w:spacing w:val="-2"/>
          <w:sz w:val="30"/>
        </w:rPr>
        <w:t>belief,</w:t>
      </w:r>
    </w:p>
    <w:p w14:paraId="7E000690" w14:textId="77777777" w:rsidR="009A58DB" w:rsidRDefault="009A58DB">
      <w:pPr>
        <w:jc w:val="both"/>
        <w:rPr>
          <w:i/>
          <w:sz w:val="30"/>
        </w:rPr>
        <w:sectPr w:rsidR="009A58DB">
          <w:pgSz w:w="12240" w:h="15840"/>
          <w:pgMar w:top="1680" w:right="1080" w:bottom="280" w:left="1080" w:header="720" w:footer="720" w:gutter="0"/>
          <w:cols w:space="720"/>
        </w:sectPr>
      </w:pPr>
    </w:p>
    <w:p w14:paraId="7E000691" w14:textId="77777777" w:rsidR="009A58DB" w:rsidRDefault="00000000">
      <w:pPr>
        <w:spacing w:before="70" w:line="249" w:lineRule="auto"/>
        <w:ind w:left="360" w:right="365"/>
        <w:jc w:val="both"/>
        <w:rPr>
          <w:sz w:val="30"/>
        </w:rPr>
      </w:pPr>
      <w:r>
        <w:rPr>
          <w:i/>
          <w:sz w:val="30"/>
        </w:rPr>
        <w:lastRenderedPageBreak/>
        <w:t xml:space="preserve">knowledge, language, truth, value-judgment, law, justice. </w:t>
      </w:r>
      <w:r>
        <w:rPr>
          <w:sz w:val="30"/>
        </w:rPr>
        <w:t>Whatever we</w:t>
      </w:r>
      <w:r>
        <w:rPr>
          <w:spacing w:val="40"/>
          <w:sz w:val="30"/>
        </w:rPr>
        <w:t xml:space="preserve"> </w:t>
      </w:r>
      <w:r>
        <w:rPr>
          <w:sz w:val="30"/>
        </w:rPr>
        <w:t xml:space="preserve">know, we know it through these categories (and others like them—the list is not complete). But even though we cannot think without them, they are seldom the </w:t>
      </w:r>
      <w:r>
        <w:rPr>
          <w:i/>
          <w:sz w:val="30"/>
        </w:rPr>
        <w:t xml:space="preserve">objects </w:t>
      </w:r>
      <w:r>
        <w:rPr>
          <w:sz w:val="30"/>
        </w:rPr>
        <w:t>of thought. The result is that, although we’re adept at using them, we know little about them.</w:t>
      </w:r>
    </w:p>
    <w:p w14:paraId="7E000692" w14:textId="77777777" w:rsidR="009A58DB" w:rsidRDefault="00000000">
      <w:pPr>
        <w:pStyle w:val="BodyText"/>
        <w:spacing w:before="1" w:line="249" w:lineRule="auto"/>
        <w:ind w:right="358" w:firstLine="360"/>
      </w:pPr>
      <w:r>
        <w:t>For example, we are excellent at distinguishing linguistic from non-linguistic behavior, which suggests that, at some level, we know what conditions a creature’s behavior must meet if it is to embody knowledge of a language. But when asked to make these conditions explicit, we find we can do so only with great difficulty and only with partial success. So even though we are good at knowing who knows a language and who does not, we don’t know what it is that we know by virtue of knowing this.</w:t>
      </w:r>
    </w:p>
    <w:p w14:paraId="7E000693" w14:textId="77777777" w:rsidR="009A58DB" w:rsidRDefault="00000000">
      <w:pPr>
        <w:pStyle w:val="BodyText"/>
        <w:spacing w:before="8" w:line="249" w:lineRule="auto"/>
        <w:ind w:right="358" w:firstLine="360"/>
      </w:pPr>
      <w:r>
        <w:t>The</w:t>
      </w:r>
      <w:r>
        <w:rPr>
          <w:spacing w:val="-3"/>
        </w:rPr>
        <w:t xml:space="preserve"> </w:t>
      </w:r>
      <w:r>
        <w:t>same</w:t>
      </w:r>
      <w:r>
        <w:rPr>
          <w:spacing w:val="-3"/>
        </w:rPr>
        <w:t xml:space="preserve"> </w:t>
      </w:r>
      <w:r>
        <w:t>thing</w:t>
      </w:r>
      <w:r>
        <w:rPr>
          <w:spacing w:val="-2"/>
        </w:rPr>
        <w:t xml:space="preserve"> </w:t>
      </w:r>
      <w:r>
        <w:rPr>
          <w:i/>
        </w:rPr>
        <w:t>mutatis</w:t>
      </w:r>
      <w:r>
        <w:rPr>
          <w:i/>
          <w:spacing w:val="-3"/>
        </w:rPr>
        <w:t xml:space="preserve"> </w:t>
      </w:r>
      <w:r>
        <w:rPr>
          <w:i/>
        </w:rPr>
        <w:t>mutandi</w:t>
      </w:r>
      <w:bookmarkStart w:id="4" w:name="_bookmark4"/>
      <w:bookmarkEnd w:id="4"/>
      <w:r>
        <w:rPr>
          <w:i/>
        </w:rPr>
        <w:t>s</w:t>
      </w:r>
      <w:r>
        <w:rPr>
          <w:b/>
          <w:i/>
          <w:color w:val="0562C1"/>
          <w:position w:val="21"/>
          <w:u w:val="single" w:color="0562C1"/>
        </w:rPr>
        <w:t>[1]</w:t>
      </w:r>
      <w:r>
        <w:rPr>
          <w:b/>
          <w:i/>
          <w:color w:val="0562C1"/>
          <w:spacing w:val="-3"/>
          <w:position w:val="21"/>
        </w:rPr>
        <w:t xml:space="preserve"> </w:t>
      </w:r>
      <w:r>
        <w:t>is</w:t>
      </w:r>
      <w:r>
        <w:rPr>
          <w:spacing w:val="-3"/>
        </w:rPr>
        <w:t xml:space="preserve"> </w:t>
      </w:r>
      <w:r>
        <w:t>true</w:t>
      </w:r>
      <w:r>
        <w:rPr>
          <w:spacing w:val="-3"/>
        </w:rPr>
        <w:t xml:space="preserve"> </w:t>
      </w:r>
      <w:r>
        <w:t>of</w:t>
      </w:r>
      <w:r>
        <w:rPr>
          <w:spacing w:val="-3"/>
        </w:rPr>
        <w:t xml:space="preserve"> </w:t>
      </w:r>
      <w:r>
        <w:t>each</w:t>
      </w:r>
      <w:r>
        <w:rPr>
          <w:spacing w:val="-2"/>
        </w:rPr>
        <w:t xml:space="preserve"> </w:t>
      </w:r>
      <w:r>
        <w:t>one</w:t>
      </w:r>
      <w:r>
        <w:rPr>
          <w:spacing w:val="-3"/>
        </w:rPr>
        <w:t xml:space="preserve"> </w:t>
      </w:r>
      <w:r>
        <w:t>of</w:t>
      </w:r>
      <w:r>
        <w:rPr>
          <w:spacing w:val="-3"/>
        </w:rPr>
        <w:t xml:space="preserve"> </w:t>
      </w:r>
      <w:r>
        <w:t>these</w:t>
      </w:r>
      <w:r>
        <w:rPr>
          <w:spacing w:val="-3"/>
        </w:rPr>
        <w:t xml:space="preserve"> </w:t>
      </w:r>
      <w:r>
        <w:t>categories. We’re excellent at distinguishing between moral and immoral behavior. We know that rape is immoral and that donating money to charity (for selfless reasons) is moral. But when asked to identify the principles embodied in</w:t>
      </w:r>
      <w:r>
        <w:rPr>
          <w:spacing w:val="40"/>
        </w:rPr>
        <w:t xml:space="preserve"> </w:t>
      </w:r>
      <w:r>
        <w:t>these pedestrian and uncontroversial judgments, we have trouble producing theories that don’t distort them.</w:t>
      </w:r>
    </w:p>
    <w:p w14:paraId="7E000694" w14:textId="77777777" w:rsidR="009A58DB" w:rsidRDefault="00000000">
      <w:pPr>
        <w:pStyle w:val="BodyText"/>
        <w:spacing w:before="8" w:line="249" w:lineRule="auto"/>
        <w:ind w:right="361" w:firstLine="360"/>
      </w:pPr>
      <w:r>
        <w:t xml:space="preserve">In general, it’s hard to identify the principles that guide our thoughts. Self-understanding isn’t the mind’s primary function. Nor could it be. The idea of a mind that thinks about nothing other than itself is an </w:t>
      </w:r>
      <w:r>
        <w:rPr>
          <w:b/>
          <w:i/>
        </w:rPr>
        <w:t>incoheren</w:t>
      </w:r>
      <w:bookmarkStart w:id="5" w:name="_bookmark5"/>
      <w:bookmarkEnd w:id="5"/>
      <w:r>
        <w:rPr>
          <w:b/>
          <w:i/>
        </w:rPr>
        <w:t>t</w:t>
      </w:r>
      <w:r>
        <w:rPr>
          <w:b/>
          <w:i/>
          <w:color w:val="0562C1"/>
          <w:position w:val="21"/>
          <w:u w:val="single" w:color="0562C1"/>
        </w:rPr>
        <w:t>[2]</w:t>
      </w:r>
      <w:r>
        <w:rPr>
          <w:b/>
          <w:i/>
          <w:color w:val="0562C1"/>
          <w:position w:val="21"/>
        </w:rPr>
        <w:t xml:space="preserve"> </w:t>
      </w:r>
      <w:r>
        <w:t>one. Thus, any case of self-awareness, and therefore of self-understanding, is necessarily derivative of, and for that reason of lesser quality than, some</w:t>
      </w:r>
      <w:r>
        <w:rPr>
          <w:spacing w:val="40"/>
        </w:rPr>
        <w:t xml:space="preserve"> </w:t>
      </w:r>
      <w:r>
        <w:t>other more fundamental sort of understanding.</w:t>
      </w:r>
    </w:p>
    <w:p w14:paraId="7E000695" w14:textId="77777777" w:rsidR="009A58DB" w:rsidRDefault="00000000">
      <w:pPr>
        <w:pStyle w:val="BodyText"/>
        <w:spacing w:before="7" w:line="249" w:lineRule="auto"/>
        <w:ind w:right="358" w:firstLine="360"/>
      </w:pPr>
      <w:r>
        <w:t>Being the discipline whose purpose is to delineate the structures of these categories, philosophy has the very non-trivial job of identifying, in as clear and explicit a manner as possible, the conditions that a given thing must satisfy if it is to fall into a given one of these categories. So far as philosophy succeeds in this endeavor, it makes it clear what it is that we are doing when we are doing anything cognitive, be it making an observation or engaging in an extended piece of abstract reasoning. Philosophy is the analysis of the preconditions of all knowledge. It is the analysis of analysis, the logic of logic, the science of science.</w:t>
      </w:r>
    </w:p>
    <w:p w14:paraId="7E00069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97" w14:textId="77777777" w:rsidR="009A58DB" w:rsidRDefault="00000000">
      <w:pPr>
        <w:pStyle w:val="Heading1"/>
        <w:numPr>
          <w:ilvl w:val="1"/>
          <w:numId w:val="231"/>
        </w:numPr>
        <w:tabs>
          <w:tab w:val="left" w:pos="1279"/>
          <w:tab w:val="left" w:pos="2374"/>
          <w:tab w:val="left" w:pos="4915"/>
          <w:tab w:val="left" w:pos="5659"/>
          <w:tab w:val="left" w:pos="8014"/>
          <w:tab w:val="left" w:pos="8759"/>
        </w:tabs>
        <w:spacing w:before="58" w:line="244" w:lineRule="auto"/>
        <w:ind w:right="362" w:firstLine="0"/>
      </w:pPr>
      <w:r>
        <w:rPr>
          <w:spacing w:val="-4"/>
        </w:rPr>
        <w:lastRenderedPageBreak/>
        <w:t>The</w:t>
      </w:r>
      <w:r>
        <w:tab/>
      </w:r>
      <w:r>
        <w:rPr>
          <w:spacing w:val="-2"/>
        </w:rPr>
        <w:t>relationship</w:t>
      </w:r>
      <w:r>
        <w:tab/>
      </w:r>
      <w:r>
        <w:rPr>
          <w:spacing w:val="-6"/>
        </w:rPr>
        <w:t>of</w:t>
      </w:r>
      <w:r>
        <w:tab/>
      </w:r>
      <w:r>
        <w:rPr>
          <w:spacing w:val="-2"/>
        </w:rPr>
        <w:t>philosophy</w:t>
      </w:r>
      <w:r>
        <w:tab/>
      </w:r>
      <w:r>
        <w:rPr>
          <w:spacing w:val="-6"/>
        </w:rPr>
        <w:t>to</w:t>
      </w:r>
      <w:r>
        <w:tab/>
      </w:r>
      <w:r>
        <w:rPr>
          <w:spacing w:val="-2"/>
        </w:rPr>
        <w:t>other disciplines</w:t>
      </w:r>
    </w:p>
    <w:p w14:paraId="7E000698" w14:textId="77777777" w:rsidR="009A58DB" w:rsidRDefault="00000000">
      <w:pPr>
        <w:pStyle w:val="BodyText"/>
        <w:spacing w:before="131" w:line="249" w:lineRule="auto"/>
        <w:ind w:right="359"/>
      </w:pPr>
      <w:r>
        <w:t>The</w:t>
      </w:r>
      <w:r>
        <w:rPr>
          <w:spacing w:val="-1"/>
        </w:rPr>
        <w:t xml:space="preserve"> </w:t>
      </w:r>
      <w:r>
        <w:t>philosopher</w:t>
      </w:r>
      <w:r>
        <w:rPr>
          <w:spacing w:val="-1"/>
        </w:rPr>
        <w:t xml:space="preserve"> </w:t>
      </w:r>
      <w:r>
        <w:t>is</w:t>
      </w:r>
      <w:r>
        <w:rPr>
          <w:spacing w:val="-1"/>
        </w:rPr>
        <w:t xml:space="preserve"> </w:t>
      </w:r>
      <w:r>
        <w:t>interested</w:t>
      </w:r>
      <w:r>
        <w:rPr>
          <w:spacing w:val="-1"/>
        </w:rPr>
        <w:t xml:space="preserve"> </w:t>
      </w:r>
      <w:r>
        <w:t>in</w:t>
      </w:r>
      <w:r>
        <w:rPr>
          <w:spacing w:val="-1"/>
        </w:rPr>
        <w:t xml:space="preserve"> </w:t>
      </w:r>
      <w:r>
        <w:t>the</w:t>
      </w:r>
      <w:r>
        <w:rPr>
          <w:spacing w:val="-1"/>
        </w:rPr>
        <w:t xml:space="preserve"> </w:t>
      </w:r>
      <w:r>
        <w:rPr>
          <w:i/>
        </w:rPr>
        <w:t xml:space="preserve">laws governing the laws. </w:t>
      </w:r>
      <w:r>
        <w:t>He</w:t>
      </w:r>
      <w:r>
        <w:rPr>
          <w:spacing w:val="-3"/>
        </w:rPr>
        <w:t xml:space="preserve"> </w:t>
      </w:r>
      <w:r>
        <w:t>doesn’t</w:t>
      </w:r>
      <w:r>
        <w:rPr>
          <w:spacing w:val="-3"/>
        </w:rPr>
        <w:t xml:space="preserve"> </w:t>
      </w:r>
      <w:r>
        <w:t>want to</w:t>
      </w:r>
      <w:r>
        <w:rPr>
          <w:spacing w:val="-3"/>
        </w:rPr>
        <w:t xml:space="preserve"> </w:t>
      </w:r>
      <w:r>
        <w:t>know</w:t>
      </w:r>
      <w:r>
        <w:rPr>
          <w:spacing w:val="-4"/>
        </w:rPr>
        <w:t xml:space="preserve"> </w:t>
      </w:r>
      <w:r>
        <w:t>what</w:t>
      </w:r>
      <w:r>
        <w:rPr>
          <w:spacing w:val="-4"/>
        </w:rPr>
        <w:t xml:space="preserve"> </w:t>
      </w:r>
      <w:r>
        <w:rPr>
          <w:i/>
        </w:rPr>
        <w:t>in</w:t>
      </w:r>
      <w:r>
        <w:rPr>
          <w:i/>
          <w:spacing w:val="-3"/>
        </w:rPr>
        <w:t xml:space="preserve"> </w:t>
      </w:r>
      <w:r>
        <w:rPr>
          <w:i/>
        </w:rPr>
        <w:t>fact</w:t>
      </w:r>
      <w:r>
        <w:rPr>
          <w:i/>
          <w:spacing w:val="-4"/>
        </w:rPr>
        <w:t xml:space="preserve"> </w:t>
      </w:r>
      <w:r>
        <w:t>holds.</w:t>
      </w:r>
      <w:r>
        <w:rPr>
          <w:spacing w:val="-1"/>
        </w:rPr>
        <w:t xml:space="preserve"> </w:t>
      </w:r>
      <w:r>
        <w:t>He wants to know</w:t>
      </w:r>
      <w:r>
        <w:rPr>
          <w:spacing w:val="-1"/>
        </w:rPr>
        <w:t xml:space="preserve"> </w:t>
      </w:r>
      <w:r>
        <w:t>what</w:t>
      </w:r>
      <w:r>
        <w:rPr>
          <w:spacing w:val="-1"/>
        </w:rPr>
        <w:t xml:space="preserve"> </w:t>
      </w:r>
      <w:r>
        <w:t>it</w:t>
      </w:r>
      <w:r>
        <w:rPr>
          <w:spacing w:val="-1"/>
        </w:rPr>
        <w:t xml:space="preserve"> </w:t>
      </w:r>
      <w:r>
        <w:t>would even make sense to claim to hold. He wants to know the laws that the laws can’t break.</w:t>
      </w:r>
    </w:p>
    <w:p w14:paraId="7E000699" w14:textId="77777777" w:rsidR="009A58DB" w:rsidRDefault="00000000">
      <w:pPr>
        <w:pStyle w:val="BodyText"/>
        <w:spacing w:before="4" w:line="249" w:lineRule="auto"/>
        <w:ind w:right="359" w:firstLine="360"/>
      </w:pPr>
      <w:r>
        <w:t xml:space="preserve">Philosophical knowledge is metaknowledge—knowledge about knowledge. The non-philosopher wants to know specifics. What happened? When did it happen? What did it cause? How did it cause it? The philosopher is interested in these questions </w:t>
      </w:r>
      <w:r>
        <w:rPr>
          <w:i/>
        </w:rPr>
        <w:t>only</w:t>
      </w:r>
      <w:r>
        <w:rPr>
          <w:i/>
          <w:spacing w:val="-4"/>
        </w:rPr>
        <w:t xml:space="preserve"> </w:t>
      </w:r>
      <w:r>
        <w:t>to the extent that knowing the answers to them</w:t>
      </w:r>
      <w:r>
        <w:rPr>
          <w:spacing w:val="-5"/>
        </w:rPr>
        <w:t xml:space="preserve"> </w:t>
      </w:r>
      <w:r>
        <w:t>helps</w:t>
      </w:r>
      <w:r>
        <w:rPr>
          <w:spacing w:val="-5"/>
        </w:rPr>
        <w:t xml:space="preserve"> </w:t>
      </w:r>
      <w:r>
        <w:t>him</w:t>
      </w:r>
      <w:r>
        <w:rPr>
          <w:spacing w:val="-5"/>
        </w:rPr>
        <w:t xml:space="preserve"> </w:t>
      </w:r>
      <w:r>
        <w:t>understand</w:t>
      </w:r>
      <w:r>
        <w:rPr>
          <w:spacing w:val="-4"/>
        </w:rPr>
        <w:t xml:space="preserve"> </w:t>
      </w:r>
      <w:r>
        <w:t>the</w:t>
      </w:r>
      <w:r>
        <w:rPr>
          <w:spacing w:val="-5"/>
        </w:rPr>
        <w:t xml:space="preserve"> </w:t>
      </w:r>
      <w:r>
        <w:t>categories</w:t>
      </w:r>
      <w:r>
        <w:rPr>
          <w:spacing w:val="-5"/>
        </w:rPr>
        <w:t xml:space="preserve"> </w:t>
      </w:r>
      <w:r>
        <w:t>(</w:t>
      </w:r>
      <w:r>
        <w:rPr>
          <w:i/>
        </w:rPr>
        <w:t>cause,</w:t>
      </w:r>
      <w:r>
        <w:rPr>
          <w:i/>
          <w:spacing w:val="-4"/>
        </w:rPr>
        <w:t xml:space="preserve"> </w:t>
      </w:r>
      <w:r>
        <w:rPr>
          <w:i/>
        </w:rPr>
        <w:t>place,</w:t>
      </w:r>
      <w:r>
        <w:rPr>
          <w:i/>
          <w:spacing w:val="-4"/>
        </w:rPr>
        <w:t xml:space="preserve"> </w:t>
      </w:r>
      <w:r>
        <w:rPr>
          <w:i/>
        </w:rPr>
        <w:t>time,</w:t>
      </w:r>
      <w:r>
        <w:rPr>
          <w:i/>
          <w:spacing w:val="-4"/>
        </w:rPr>
        <w:t xml:space="preserve"> </w:t>
      </w:r>
      <w:r>
        <w:t>etc.) underlying such knowledge.</w:t>
      </w:r>
    </w:p>
    <w:p w14:paraId="7E00069A" w14:textId="77777777" w:rsidR="009A58DB" w:rsidRDefault="00000000">
      <w:pPr>
        <w:pStyle w:val="BodyText"/>
        <w:spacing w:before="7" w:line="249" w:lineRule="auto"/>
        <w:ind w:right="360" w:firstLine="360"/>
        <w:rPr>
          <w:position w:val="21"/>
        </w:rPr>
      </w:pPr>
      <w:r>
        <w:t xml:space="preserve">The stranded motorist wants his car to work. He doesn’t care what will get it to do so. The engineer </w:t>
      </w:r>
      <w:r>
        <w:rPr>
          <w:i/>
        </w:rPr>
        <w:t xml:space="preserve">is </w:t>
      </w:r>
      <w:r>
        <w:t>interested in this. But the engineer is not entirely innocent of the motorist’s epistemic parochialism. The engineer has no interest</w:t>
      </w:r>
      <w:r>
        <w:rPr>
          <w:spacing w:val="-1"/>
        </w:rPr>
        <w:t xml:space="preserve"> </w:t>
      </w:r>
      <w:r>
        <w:t>in</w:t>
      </w:r>
      <w:r>
        <w:rPr>
          <w:spacing w:val="-1"/>
        </w:rPr>
        <w:t xml:space="preserve"> </w:t>
      </w:r>
      <w:r>
        <w:t>what</w:t>
      </w:r>
      <w:r>
        <w:rPr>
          <w:spacing w:val="-1"/>
        </w:rPr>
        <w:t xml:space="preserve"> </w:t>
      </w:r>
      <w:r>
        <w:t>the</w:t>
      </w:r>
      <w:r>
        <w:rPr>
          <w:spacing w:val="-1"/>
        </w:rPr>
        <w:t xml:space="preserve"> </w:t>
      </w:r>
      <w:r>
        <w:t>laws</w:t>
      </w:r>
      <w:r>
        <w:rPr>
          <w:spacing w:val="-1"/>
        </w:rPr>
        <w:t xml:space="preserve"> </w:t>
      </w:r>
      <w:r>
        <w:t>of</w:t>
      </w:r>
      <w:r>
        <w:rPr>
          <w:spacing w:val="-1"/>
        </w:rPr>
        <w:t xml:space="preserve"> </w:t>
      </w:r>
      <w:r>
        <w:t>physics</w:t>
      </w:r>
      <w:r>
        <w:rPr>
          <w:spacing w:val="-1"/>
        </w:rPr>
        <w:t xml:space="preserve"> </w:t>
      </w:r>
      <w:r>
        <w:t>are</w:t>
      </w:r>
      <w:r>
        <w:rPr>
          <w:spacing w:val="-1"/>
        </w:rPr>
        <w:t xml:space="preserve"> </w:t>
      </w:r>
      <w:r>
        <w:rPr>
          <w:i/>
        </w:rPr>
        <w:t>except</w:t>
      </w:r>
      <w:r>
        <w:rPr>
          <w:i/>
          <w:spacing w:val="-3"/>
        </w:rPr>
        <w:t xml:space="preserve"> </w:t>
      </w:r>
      <w:r>
        <w:t>in so far as he must know them to create the right mechanisms. But the physicist wants knowledge of the mechanisms only to the extent it will give him knowledge of the laws embodied therein</w:t>
      </w:r>
      <w:bookmarkStart w:id="6" w:name="_bookmark6"/>
      <w:bookmarkEnd w:id="6"/>
      <w:r>
        <w:t>.</w:t>
      </w:r>
      <w:r>
        <w:rPr>
          <w:color w:val="0562C1"/>
          <w:position w:val="21"/>
          <w:u w:val="single" w:color="0562C1"/>
        </w:rPr>
        <w:t>[3]</w:t>
      </w:r>
    </w:p>
    <w:p w14:paraId="7E00069B" w14:textId="77777777" w:rsidR="009A58DB" w:rsidRDefault="00000000">
      <w:pPr>
        <w:pStyle w:val="BodyText"/>
        <w:spacing w:before="9" w:line="249" w:lineRule="auto"/>
        <w:ind w:right="359" w:firstLine="360"/>
      </w:pPr>
      <w:r>
        <w:t>The philosopher is to the physicist what the physicist is to the engineer and, therefore, what the engineer is to the stranded motorist. The philosopher wants</w:t>
      </w:r>
      <w:r>
        <w:rPr>
          <w:spacing w:val="-2"/>
        </w:rPr>
        <w:t xml:space="preserve"> </w:t>
      </w:r>
      <w:r>
        <w:t>to</w:t>
      </w:r>
      <w:r>
        <w:rPr>
          <w:spacing w:val="-2"/>
        </w:rPr>
        <w:t xml:space="preserve"> </w:t>
      </w:r>
      <w:r>
        <w:t>know</w:t>
      </w:r>
      <w:r>
        <w:rPr>
          <w:spacing w:val="-2"/>
        </w:rPr>
        <w:t xml:space="preserve"> </w:t>
      </w:r>
      <w:r>
        <w:t>what</w:t>
      </w:r>
      <w:r>
        <w:rPr>
          <w:spacing w:val="-2"/>
        </w:rPr>
        <w:t xml:space="preserve"> </w:t>
      </w:r>
      <w:r>
        <w:t>causes</w:t>
      </w:r>
      <w:r>
        <w:rPr>
          <w:spacing w:val="-2"/>
        </w:rPr>
        <w:t xml:space="preserve"> </w:t>
      </w:r>
      <w:r>
        <w:t>what</w:t>
      </w:r>
      <w:r>
        <w:rPr>
          <w:spacing w:val="-2"/>
        </w:rPr>
        <w:t xml:space="preserve"> </w:t>
      </w:r>
      <w:r>
        <w:t>and</w:t>
      </w:r>
      <w:r>
        <w:rPr>
          <w:spacing w:val="-2"/>
        </w:rPr>
        <w:t xml:space="preserve"> </w:t>
      </w:r>
      <w:r>
        <w:t>what</w:t>
      </w:r>
      <w:r>
        <w:rPr>
          <w:spacing w:val="-2"/>
        </w:rPr>
        <w:t xml:space="preserve"> </w:t>
      </w:r>
      <w:r>
        <w:t>mechanisms</w:t>
      </w:r>
      <w:r>
        <w:rPr>
          <w:spacing w:val="-2"/>
        </w:rPr>
        <w:t xml:space="preserve"> </w:t>
      </w:r>
      <w:r>
        <w:t>were</w:t>
      </w:r>
      <w:r>
        <w:rPr>
          <w:spacing w:val="-2"/>
        </w:rPr>
        <w:t xml:space="preserve"> </w:t>
      </w:r>
      <w:r>
        <w:t>involved</w:t>
      </w:r>
      <w:r>
        <w:rPr>
          <w:spacing w:val="-2"/>
        </w:rPr>
        <w:t xml:space="preserve"> </w:t>
      </w:r>
      <w:r>
        <w:rPr>
          <w:i/>
        </w:rPr>
        <w:t xml:space="preserve">only </w:t>
      </w:r>
      <w:r>
        <w:t xml:space="preserve">to the extent that knowing this helps him understand </w:t>
      </w:r>
      <w:r>
        <w:rPr>
          <w:i/>
        </w:rPr>
        <w:t xml:space="preserve">what it is </w:t>
      </w:r>
      <w:r>
        <w:t xml:space="preserve">for one thing to cause another— </w:t>
      </w:r>
      <w:r>
        <w:rPr>
          <w:i/>
        </w:rPr>
        <w:t xml:space="preserve">only, </w:t>
      </w:r>
      <w:r>
        <w:t>that is to say, in so far as it helps him know what it is that one knows in knowing that one thing made another happen.</w:t>
      </w:r>
    </w:p>
    <w:p w14:paraId="7E00069C" w14:textId="77777777" w:rsidR="009A58DB" w:rsidRDefault="00000000">
      <w:pPr>
        <w:pStyle w:val="Heading1"/>
        <w:numPr>
          <w:ilvl w:val="1"/>
          <w:numId w:val="231"/>
        </w:numPr>
        <w:tabs>
          <w:tab w:val="left" w:pos="1037"/>
        </w:tabs>
        <w:spacing w:before="195" w:line="244" w:lineRule="auto"/>
        <w:ind w:right="362" w:firstLine="0"/>
      </w:pPr>
      <w:r>
        <w:t>How</w:t>
      </w:r>
      <w:r>
        <w:rPr>
          <w:spacing w:val="40"/>
        </w:rPr>
        <w:t xml:space="preserve"> </w:t>
      </w:r>
      <w:r>
        <w:t>is</w:t>
      </w:r>
      <w:r>
        <w:rPr>
          <w:spacing w:val="40"/>
        </w:rPr>
        <w:t xml:space="preserve"> </w:t>
      </w:r>
      <w:r>
        <w:t>analytic</w:t>
      </w:r>
      <w:r>
        <w:rPr>
          <w:spacing w:val="40"/>
        </w:rPr>
        <w:t xml:space="preserve"> </w:t>
      </w:r>
      <w:r>
        <w:t>philosophy</w:t>
      </w:r>
      <w:r>
        <w:rPr>
          <w:spacing w:val="40"/>
        </w:rPr>
        <w:t xml:space="preserve"> </w:t>
      </w:r>
      <w:r>
        <w:t>different</w:t>
      </w:r>
      <w:r>
        <w:rPr>
          <w:spacing w:val="39"/>
        </w:rPr>
        <w:t xml:space="preserve"> </w:t>
      </w:r>
      <w:r>
        <w:t>from</w:t>
      </w:r>
      <w:r>
        <w:rPr>
          <w:spacing w:val="40"/>
        </w:rPr>
        <w:t xml:space="preserve"> </w:t>
      </w:r>
      <w:r>
        <w:t>non-analytic philosophy?</w:t>
      </w:r>
    </w:p>
    <w:p w14:paraId="7E00069D" w14:textId="77777777" w:rsidR="009A58DB" w:rsidRDefault="00000000">
      <w:pPr>
        <w:pStyle w:val="BodyText"/>
        <w:spacing w:before="132" w:line="249" w:lineRule="auto"/>
        <w:ind w:right="361"/>
      </w:pPr>
      <w:r>
        <w:t>John Stuart Mill (1806–1873), the great philosopher and economist, said that he was an expert in but one science, that being the science of science. What he meant was obviously similar to what we’ve been saying. And it was similar, therefore, to what Gottlob Frege (1848–1925), the great philosopher and</w:t>
      </w:r>
      <w:r>
        <w:rPr>
          <w:spacing w:val="-1"/>
        </w:rPr>
        <w:t xml:space="preserve"> </w:t>
      </w:r>
      <w:r>
        <w:t>mathematical</w:t>
      </w:r>
      <w:r>
        <w:rPr>
          <w:spacing w:val="-1"/>
        </w:rPr>
        <w:t xml:space="preserve"> </w:t>
      </w:r>
      <w:r>
        <w:t>logician,</w:t>
      </w:r>
      <w:r>
        <w:rPr>
          <w:spacing w:val="-1"/>
        </w:rPr>
        <w:t xml:space="preserve"> </w:t>
      </w:r>
      <w:r>
        <w:t>meant</w:t>
      </w:r>
      <w:r>
        <w:rPr>
          <w:spacing w:val="-1"/>
        </w:rPr>
        <w:t xml:space="preserve"> </w:t>
      </w:r>
      <w:r>
        <w:t>when</w:t>
      </w:r>
      <w:r>
        <w:rPr>
          <w:spacing w:val="-1"/>
        </w:rPr>
        <w:t xml:space="preserve"> </w:t>
      </w:r>
      <w:r>
        <w:t>he</w:t>
      </w:r>
      <w:r>
        <w:rPr>
          <w:spacing w:val="-1"/>
        </w:rPr>
        <w:t xml:space="preserve"> </w:t>
      </w:r>
      <w:r>
        <w:t>said</w:t>
      </w:r>
      <w:r>
        <w:rPr>
          <w:spacing w:val="-1"/>
        </w:rPr>
        <w:t xml:space="preserve"> </w:t>
      </w:r>
      <w:r>
        <w:t>that</w:t>
      </w:r>
      <w:r>
        <w:rPr>
          <w:spacing w:val="-1"/>
        </w:rPr>
        <w:t xml:space="preserve"> </w:t>
      </w:r>
      <w:r>
        <w:t>logic</w:t>
      </w:r>
      <w:r>
        <w:rPr>
          <w:spacing w:val="-1"/>
        </w:rPr>
        <w:t xml:space="preserve"> </w:t>
      </w:r>
      <w:r>
        <w:t>studies</w:t>
      </w:r>
      <w:r>
        <w:rPr>
          <w:spacing w:val="-1"/>
        </w:rPr>
        <w:t xml:space="preserve"> </w:t>
      </w:r>
      <w:r>
        <w:t>not</w:t>
      </w:r>
      <w:r>
        <w:rPr>
          <w:spacing w:val="-1"/>
        </w:rPr>
        <w:t xml:space="preserve"> </w:t>
      </w:r>
      <w:r>
        <w:t>the</w:t>
      </w:r>
      <w:r>
        <w:rPr>
          <w:spacing w:val="-1"/>
        </w:rPr>
        <w:t xml:space="preserve"> </w:t>
      </w:r>
      <w:r>
        <w:t>laws of</w:t>
      </w:r>
      <w:r>
        <w:rPr>
          <w:spacing w:val="59"/>
        </w:rPr>
        <w:t xml:space="preserve"> </w:t>
      </w:r>
      <w:r>
        <w:t>nature</w:t>
      </w:r>
      <w:r>
        <w:rPr>
          <w:spacing w:val="61"/>
        </w:rPr>
        <w:t xml:space="preserve"> </w:t>
      </w:r>
      <w:r>
        <w:t>but</w:t>
      </w:r>
      <w:r>
        <w:rPr>
          <w:spacing w:val="61"/>
        </w:rPr>
        <w:t xml:space="preserve"> </w:t>
      </w:r>
      <w:r>
        <w:t>the</w:t>
      </w:r>
      <w:r>
        <w:rPr>
          <w:spacing w:val="61"/>
        </w:rPr>
        <w:t xml:space="preserve"> </w:t>
      </w:r>
      <w:r>
        <w:t>“laws</w:t>
      </w:r>
      <w:r>
        <w:rPr>
          <w:spacing w:val="61"/>
        </w:rPr>
        <w:t xml:space="preserve"> </w:t>
      </w:r>
      <w:r>
        <w:t>of</w:t>
      </w:r>
      <w:r>
        <w:rPr>
          <w:spacing w:val="61"/>
        </w:rPr>
        <w:t xml:space="preserve"> </w:t>
      </w:r>
      <w:r>
        <w:t>the</w:t>
      </w:r>
      <w:r>
        <w:rPr>
          <w:spacing w:val="61"/>
        </w:rPr>
        <w:t xml:space="preserve"> </w:t>
      </w:r>
      <w:r>
        <w:t>laws</w:t>
      </w:r>
      <w:r>
        <w:rPr>
          <w:spacing w:val="61"/>
        </w:rPr>
        <w:t xml:space="preserve"> </w:t>
      </w:r>
      <w:r>
        <w:t>of</w:t>
      </w:r>
      <w:r>
        <w:rPr>
          <w:spacing w:val="61"/>
        </w:rPr>
        <w:t xml:space="preserve"> </w:t>
      </w:r>
      <w:r>
        <w:t>nature.”</w:t>
      </w:r>
      <w:r>
        <w:rPr>
          <w:spacing w:val="61"/>
        </w:rPr>
        <w:t xml:space="preserve"> </w:t>
      </w:r>
      <w:r>
        <w:t>Whether</w:t>
      </w:r>
      <w:r>
        <w:rPr>
          <w:spacing w:val="61"/>
        </w:rPr>
        <w:t xml:space="preserve"> </w:t>
      </w:r>
      <w:r>
        <w:t>Frege</w:t>
      </w:r>
      <w:r>
        <w:rPr>
          <w:spacing w:val="61"/>
        </w:rPr>
        <w:t xml:space="preserve"> </w:t>
      </w:r>
      <w:r>
        <w:t>was</w:t>
      </w:r>
      <w:r>
        <w:rPr>
          <w:spacing w:val="62"/>
        </w:rPr>
        <w:t xml:space="preserve"> </w:t>
      </w:r>
      <w:r>
        <w:rPr>
          <w:spacing w:val="-2"/>
        </w:rPr>
        <w:t>right</w:t>
      </w:r>
    </w:p>
    <w:p w14:paraId="7E00069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9F" w14:textId="77777777" w:rsidR="009A58DB" w:rsidRDefault="00000000">
      <w:pPr>
        <w:pStyle w:val="BodyText"/>
        <w:spacing w:before="60" w:line="249" w:lineRule="auto"/>
        <w:ind w:right="368"/>
      </w:pPr>
      <w:r>
        <w:lastRenderedPageBreak/>
        <w:t>depends on what exactly one means by “logic.” But if, by “logic,” he meant “philosophy,” then Frege’s dictum was spot-on.</w:t>
      </w:r>
    </w:p>
    <w:p w14:paraId="7E0006A0" w14:textId="77777777" w:rsidR="009A58DB" w:rsidRDefault="00000000">
      <w:pPr>
        <w:pStyle w:val="BodyText"/>
        <w:spacing w:before="7" w:line="249" w:lineRule="auto"/>
        <w:ind w:right="358" w:firstLine="360"/>
      </w:pPr>
      <w:r>
        <w:t>Frege is often described as the first analytic philosopher. Michael Dummett (1925–), an exceptionally capable contemporary philosopher of language, said that “analytic philosophy is post-Fregean philosophy.</w:t>
      </w:r>
      <w:bookmarkStart w:id="7" w:name="_bookmark7"/>
      <w:bookmarkEnd w:id="7"/>
      <w:r>
        <w:t>”</w:t>
      </w:r>
      <w:r>
        <w:rPr>
          <w:color w:val="0562C1"/>
          <w:position w:val="21"/>
          <w:u w:val="single" w:color="0562C1"/>
        </w:rPr>
        <w:t>[4]</w:t>
      </w:r>
      <w:r>
        <w:rPr>
          <w:color w:val="0562C1"/>
          <w:position w:val="21"/>
        </w:rPr>
        <w:t xml:space="preserve"> </w:t>
      </w:r>
      <w:r>
        <w:t>What does Dummett mean?</w:t>
      </w:r>
    </w:p>
    <w:p w14:paraId="7E0006A1" w14:textId="77777777" w:rsidR="009A58DB" w:rsidRDefault="00000000">
      <w:pPr>
        <w:pStyle w:val="BodyText"/>
        <w:spacing w:before="5" w:line="249" w:lineRule="auto"/>
        <w:ind w:right="360" w:firstLine="360"/>
      </w:pPr>
      <w:r>
        <w:t>With some exceptions, pre-Fregean philosophers thought they were studying</w:t>
      </w:r>
      <w:r>
        <w:rPr>
          <w:spacing w:val="-1"/>
        </w:rPr>
        <w:t xml:space="preserve"> </w:t>
      </w:r>
      <w:r>
        <w:t>the</w:t>
      </w:r>
      <w:r>
        <w:rPr>
          <w:spacing w:val="-1"/>
        </w:rPr>
        <w:t xml:space="preserve"> </w:t>
      </w:r>
      <w:r>
        <w:t>most</w:t>
      </w:r>
      <w:r>
        <w:rPr>
          <w:spacing w:val="-1"/>
        </w:rPr>
        <w:t xml:space="preserve"> </w:t>
      </w:r>
      <w:r>
        <w:t>general</w:t>
      </w:r>
      <w:r>
        <w:rPr>
          <w:spacing w:val="-1"/>
        </w:rPr>
        <w:t xml:space="preserve"> </w:t>
      </w:r>
      <w:r>
        <w:t>features</w:t>
      </w:r>
      <w:r>
        <w:rPr>
          <w:spacing w:val="-1"/>
        </w:rPr>
        <w:t xml:space="preserve"> </w:t>
      </w:r>
      <w:r>
        <w:t>of</w:t>
      </w:r>
      <w:r>
        <w:rPr>
          <w:spacing w:val="-1"/>
        </w:rPr>
        <w:t xml:space="preserve"> </w:t>
      </w:r>
      <w:r>
        <w:t>the</w:t>
      </w:r>
      <w:r>
        <w:rPr>
          <w:spacing w:val="-1"/>
        </w:rPr>
        <w:t xml:space="preserve"> </w:t>
      </w:r>
      <w:r>
        <w:t>actual</w:t>
      </w:r>
      <w:r>
        <w:rPr>
          <w:spacing w:val="-1"/>
        </w:rPr>
        <w:t xml:space="preserve"> </w:t>
      </w:r>
      <w:r>
        <w:t>world.</w:t>
      </w:r>
      <w:r>
        <w:rPr>
          <w:spacing w:val="-1"/>
        </w:rPr>
        <w:t xml:space="preserve"> </w:t>
      </w:r>
      <w:r>
        <w:t>They</w:t>
      </w:r>
      <w:r>
        <w:rPr>
          <w:spacing w:val="-1"/>
        </w:rPr>
        <w:t xml:space="preserve"> </w:t>
      </w:r>
      <w:r>
        <w:t>thought</w:t>
      </w:r>
      <w:r>
        <w:rPr>
          <w:spacing w:val="-1"/>
        </w:rPr>
        <w:t xml:space="preserve"> </w:t>
      </w:r>
      <w:r>
        <w:t>that,</w:t>
      </w:r>
      <w:r>
        <w:rPr>
          <w:spacing w:val="-1"/>
        </w:rPr>
        <w:t xml:space="preserve"> </w:t>
      </w:r>
      <w:r>
        <w:t>like the botanist, they were in the business of saying how the world is, the only difference between their work and the botanist’s being that theirs is</w:t>
      </w:r>
      <w:r>
        <w:rPr>
          <w:spacing w:val="40"/>
        </w:rPr>
        <w:t xml:space="preserve"> </w:t>
      </w:r>
      <w:r>
        <w:t>concerned with more general features of reality than the botanist’s.</w:t>
      </w:r>
    </w:p>
    <w:p w14:paraId="7E0006A2" w14:textId="77777777" w:rsidR="009A58DB" w:rsidRDefault="00000000">
      <w:pPr>
        <w:pStyle w:val="BodyText"/>
        <w:spacing w:before="6" w:line="249" w:lineRule="auto"/>
        <w:ind w:right="361" w:firstLine="360"/>
      </w:pPr>
      <w:r>
        <w:t xml:space="preserve">Frege showed that this is wrong. Any interest that botanists have in plants that </w:t>
      </w:r>
      <w:r>
        <w:rPr>
          <w:i/>
        </w:rPr>
        <w:t xml:space="preserve">might </w:t>
      </w:r>
      <w:r>
        <w:t xml:space="preserve">exist, but don’t, is subordinate to their interest in what plants </w:t>
      </w:r>
      <w:r>
        <w:rPr>
          <w:i/>
        </w:rPr>
        <w:t xml:space="preserve">actually </w:t>
      </w:r>
      <w:r>
        <w:t xml:space="preserve">exist. Like all scientists, they are interested in what there </w:t>
      </w:r>
      <w:r>
        <w:rPr>
          <w:i/>
        </w:rPr>
        <w:t xml:space="preserve">could </w:t>
      </w:r>
      <w:r>
        <w:t xml:space="preserve">be only to the extent that it helps them figure out what there </w:t>
      </w:r>
      <w:r>
        <w:rPr>
          <w:i/>
        </w:rPr>
        <w:t xml:space="preserve">is. </w:t>
      </w:r>
      <w:r>
        <w:t>But with philosophers,</w:t>
      </w:r>
      <w:r>
        <w:rPr>
          <w:spacing w:val="-3"/>
        </w:rPr>
        <w:t xml:space="preserve"> </w:t>
      </w:r>
      <w:r>
        <w:t>it’s</w:t>
      </w:r>
      <w:r>
        <w:rPr>
          <w:spacing w:val="-4"/>
        </w:rPr>
        <w:t xml:space="preserve"> </w:t>
      </w:r>
      <w:r>
        <w:t>the</w:t>
      </w:r>
      <w:r>
        <w:rPr>
          <w:spacing w:val="-4"/>
        </w:rPr>
        <w:t xml:space="preserve"> </w:t>
      </w:r>
      <w:r>
        <w:t>other</w:t>
      </w:r>
      <w:r>
        <w:rPr>
          <w:spacing w:val="-4"/>
        </w:rPr>
        <w:t xml:space="preserve"> </w:t>
      </w:r>
      <w:r>
        <w:t>way</w:t>
      </w:r>
      <w:r>
        <w:rPr>
          <w:spacing w:val="-3"/>
        </w:rPr>
        <w:t xml:space="preserve"> </w:t>
      </w:r>
      <w:r>
        <w:t>around.</w:t>
      </w:r>
      <w:r>
        <w:rPr>
          <w:spacing w:val="-3"/>
        </w:rPr>
        <w:t xml:space="preserve"> </w:t>
      </w:r>
      <w:r>
        <w:t>Any</w:t>
      </w:r>
      <w:r>
        <w:rPr>
          <w:spacing w:val="-3"/>
        </w:rPr>
        <w:t xml:space="preserve"> </w:t>
      </w:r>
      <w:r>
        <w:t>interest</w:t>
      </w:r>
      <w:r>
        <w:rPr>
          <w:spacing w:val="-4"/>
        </w:rPr>
        <w:t xml:space="preserve"> </w:t>
      </w:r>
      <w:r>
        <w:t>they</w:t>
      </w:r>
      <w:r>
        <w:rPr>
          <w:spacing w:val="-3"/>
        </w:rPr>
        <w:t xml:space="preserve"> </w:t>
      </w:r>
      <w:r>
        <w:t>have</w:t>
      </w:r>
      <w:r>
        <w:rPr>
          <w:spacing w:val="-4"/>
        </w:rPr>
        <w:t xml:space="preserve"> </w:t>
      </w:r>
      <w:r>
        <w:t>in</w:t>
      </w:r>
      <w:r>
        <w:rPr>
          <w:spacing w:val="-3"/>
        </w:rPr>
        <w:t xml:space="preserve"> </w:t>
      </w:r>
      <w:r>
        <w:t>the</w:t>
      </w:r>
      <w:r>
        <w:rPr>
          <w:spacing w:val="-4"/>
        </w:rPr>
        <w:t xml:space="preserve"> </w:t>
      </w:r>
      <w:r>
        <w:t>actual</w:t>
      </w:r>
      <w:r>
        <w:rPr>
          <w:spacing w:val="-4"/>
        </w:rPr>
        <w:t xml:space="preserve"> </w:t>
      </w:r>
      <w:r>
        <w:t>is subordinate to their interest in the possible.</w:t>
      </w:r>
    </w:p>
    <w:p w14:paraId="7E0006A3" w14:textId="77777777" w:rsidR="009A58DB" w:rsidRDefault="00000000">
      <w:pPr>
        <w:pStyle w:val="BodyText"/>
        <w:spacing w:before="8" w:line="249" w:lineRule="auto"/>
        <w:ind w:right="363" w:firstLine="360"/>
        <w:rPr>
          <w:position w:val="21"/>
        </w:rPr>
      </w:pPr>
      <w:r>
        <w:t xml:space="preserve">Unlike non-analytic philosophers, </w:t>
      </w:r>
      <w:r>
        <w:rPr>
          <w:i/>
        </w:rPr>
        <w:t xml:space="preserve">analytic </w:t>
      </w:r>
      <w:r>
        <w:t xml:space="preserve">philosophers figure out what there could be by analyzing statements. Statements that make sense are those that an be true, and statements that don’t are those that can’t. Therefore, statements that make sense describe possible realities and those that don’t </w:t>
      </w:r>
      <w:r>
        <w:rPr>
          <w:spacing w:val="-2"/>
        </w:rPr>
        <w:t>don’t</w:t>
      </w:r>
      <w:bookmarkStart w:id="8" w:name="_bookmark8"/>
      <w:bookmarkEnd w:id="8"/>
      <w:r>
        <w:rPr>
          <w:spacing w:val="-2"/>
        </w:rPr>
        <w:t>.</w:t>
      </w:r>
      <w:r>
        <w:rPr>
          <w:color w:val="0562C1"/>
          <w:spacing w:val="-2"/>
          <w:position w:val="21"/>
          <w:u w:val="single" w:color="0562C1"/>
        </w:rPr>
        <w:t>[5]</w:t>
      </w:r>
    </w:p>
    <w:p w14:paraId="7E0006A4" w14:textId="77777777" w:rsidR="009A58DB" w:rsidRDefault="00000000">
      <w:pPr>
        <w:pStyle w:val="BodyText"/>
        <w:spacing w:before="6"/>
        <w:ind w:left="720"/>
      </w:pPr>
      <w:r>
        <w:t>But</w:t>
      </w:r>
      <w:r>
        <w:rPr>
          <w:spacing w:val="-4"/>
        </w:rPr>
        <w:t xml:space="preserve"> </w:t>
      </w:r>
      <w:r>
        <w:t>what</w:t>
      </w:r>
      <w:r>
        <w:rPr>
          <w:spacing w:val="-3"/>
        </w:rPr>
        <w:t xml:space="preserve"> </w:t>
      </w:r>
      <w:r>
        <w:t>exactly</w:t>
      </w:r>
      <w:r>
        <w:rPr>
          <w:spacing w:val="-3"/>
        </w:rPr>
        <w:t xml:space="preserve"> </w:t>
      </w:r>
      <w:r>
        <w:t>did</w:t>
      </w:r>
      <w:r>
        <w:rPr>
          <w:spacing w:val="-2"/>
        </w:rPr>
        <w:t xml:space="preserve"> </w:t>
      </w:r>
      <w:r>
        <w:t>Frege</w:t>
      </w:r>
      <w:r>
        <w:rPr>
          <w:spacing w:val="-3"/>
        </w:rPr>
        <w:t xml:space="preserve"> </w:t>
      </w:r>
      <w:r>
        <w:rPr>
          <w:spacing w:val="-5"/>
        </w:rPr>
        <w:t>do?</w:t>
      </w:r>
    </w:p>
    <w:p w14:paraId="7E0006A5" w14:textId="77777777" w:rsidR="009A58DB" w:rsidRDefault="00000000">
      <w:pPr>
        <w:pStyle w:val="ListParagraph"/>
        <w:numPr>
          <w:ilvl w:val="1"/>
          <w:numId w:val="230"/>
        </w:numPr>
        <w:tabs>
          <w:tab w:val="left" w:pos="994"/>
        </w:tabs>
        <w:spacing w:before="203" w:line="244" w:lineRule="auto"/>
        <w:ind w:right="363" w:firstLine="0"/>
        <w:rPr>
          <w:b/>
          <w:sz w:val="42"/>
        </w:rPr>
      </w:pPr>
      <w:r>
        <w:rPr>
          <w:b/>
          <w:sz w:val="42"/>
        </w:rPr>
        <w:t>Frege’s</w:t>
      </w:r>
      <w:r>
        <w:rPr>
          <w:b/>
          <w:spacing w:val="-2"/>
          <w:sz w:val="42"/>
        </w:rPr>
        <w:t xml:space="preserve"> </w:t>
      </w:r>
      <w:r>
        <w:rPr>
          <w:b/>
          <w:sz w:val="42"/>
        </w:rPr>
        <w:t>key</w:t>
      </w:r>
      <w:r>
        <w:rPr>
          <w:b/>
          <w:spacing w:val="-2"/>
          <w:sz w:val="42"/>
        </w:rPr>
        <w:t xml:space="preserve"> </w:t>
      </w:r>
      <w:r>
        <w:rPr>
          <w:b/>
          <w:sz w:val="42"/>
        </w:rPr>
        <w:t>insight:</w:t>
      </w:r>
      <w:r>
        <w:rPr>
          <w:b/>
          <w:spacing w:val="-2"/>
          <w:sz w:val="42"/>
        </w:rPr>
        <w:t xml:space="preserve"> </w:t>
      </w:r>
      <w:r>
        <w:rPr>
          <w:b/>
          <w:sz w:val="42"/>
        </w:rPr>
        <w:t>Logical</w:t>
      </w:r>
      <w:r>
        <w:rPr>
          <w:b/>
          <w:spacing w:val="-2"/>
          <w:sz w:val="42"/>
        </w:rPr>
        <w:t xml:space="preserve"> </w:t>
      </w:r>
      <w:r>
        <w:rPr>
          <w:b/>
          <w:sz w:val="42"/>
        </w:rPr>
        <w:t>form</w:t>
      </w:r>
      <w:r>
        <w:rPr>
          <w:b/>
          <w:spacing w:val="-2"/>
          <w:sz w:val="42"/>
        </w:rPr>
        <w:t xml:space="preserve"> </w:t>
      </w:r>
      <w:r>
        <w:rPr>
          <w:sz w:val="42"/>
        </w:rPr>
        <w:t xml:space="preserve">≠ </w:t>
      </w:r>
      <w:r>
        <w:rPr>
          <w:b/>
          <w:sz w:val="42"/>
        </w:rPr>
        <w:t xml:space="preserve">grammatical </w:t>
      </w:r>
      <w:r>
        <w:rPr>
          <w:b/>
          <w:spacing w:val="-4"/>
          <w:sz w:val="42"/>
        </w:rPr>
        <w:t>form</w:t>
      </w:r>
    </w:p>
    <w:p w14:paraId="7E0006A6" w14:textId="77777777" w:rsidR="009A58DB" w:rsidRDefault="00000000">
      <w:pPr>
        <w:pStyle w:val="BodyText"/>
        <w:spacing w:before="131"/>
      </w:pPr>
      <w:r>
        <w:t>Frege’s</w:t>
      </w:r>
      <w:r>
        <w:rPr>
          <w:spacing w:val="-6"/>
        </w:rPr>
        <w:t xml:space="preserve"> </w:t>
      </w:r>
      <w:r>
        <w:t>legacy</w:t>
      </w:r>
      <w:r>
        <w:rPr>
          <w:spacing w:val="-2"/>
        </w:rPr>
        <w:t xml:space="preserve"> </w:t>
      </w:r>
      <w:r>
        <w:t>to</w:t>
      </w:r>
      <w:r>
        <w:rPr>
          <w:spacing w:val="-3"/>
        </w:rPr>
        <w:t xml:space="preserve"> </w:t>
      </w:r>
      <w:r>
        <w:t>philosophy</w:t>
      </w:r>
      <w:r>
        <w:rPr>
          <w:spacing w:val="-2"/>
        </w:rPr>
        <w:t xml:space="preserve"> </w:t>
      </w:r>
      <w:r>
        <w:t>can</w:t>
      </w:r>
      <w:r>
        <w:rPr>
          <w:spacing w:val="-2"/>
        </w:rPr>
        <w:t xml:space="preserve"> </w:t>
      </w:r>
      <w:r>
        <w:t>be</w:t>
      </w:r>
      <w:r>
        <w:rPr>
          <w:spacing w:val="-4"/>
        </w:rPr>
        <w:t xml:space="preserve"> </w:t>
      </w:r>
      <w:r>
        <w:t>summed</w:t>
      </w:r>
      <w:r>
        <w:rPr>
          <w:spacing w:val="-2"/>
        </w:rPr>
        <w:t xml:space="preserve"> </w:t>
      </w:r>
      <w:r>
        <w:t>up</w:t>
      </w:r>
      <w:r>
        <w:rPr>
          <w:spacing w:val="-2"/>
        </w:rPr>
        <w:t xml:space="preserve"> thus:</w:t>
      </w:r>
    </w:p>
    <w:p w14:paraId="7E0006A7" w14:textId="77777777" w:rsidR="009A58DB" w:rsidRDefault="009A58DB">
      <w:pPr>
        <w:pStyle w:val="BodyText"/>
        <w:spacing w:before="30"/>
        <w:ind w:left="0"/>
        <w:jc w:val="left"/>
      </w:pPr>
    </w:p>
    <w:p w14:paraId="7E0006A8" w14:textId="77777777" w:rsidR="009A58DB" w:rsidRDefault="00000000">
      <w:pPr>
        <w:pStyle w:val="BodyText"/>
        <w:spacing w:before="1" w:line="249" w:lineRule="auto"/>
        <w:ind w:left="720" w:right="358"/>
      </w:pPr>
      <w:r>
        <w:t>(FL</w:t>
      </w:r>
      <w:bookmarkStart w:id="9" w:name="_bookmark9"/>
      <w:bookmarkEnd w:id="9"/>
      <w:r>
        <w:t>)</w:t>
      </w:r>
      <w:r>
        <w:rPr>
          <w:color w:val="0562C1"/>
          <w:position w:val="21"/>
          <w:u w:val="single" w:color="0562C1"/>
        </w:rPr>
        <w:t>[6]</w:t>
      </w:r>
      <w:r>
        <w:rPr>
          <w:color w:val="0562C1"/>
          <w:spacing w:val="-6"/>
          <w:position w:val="21"/>
        </w:rPr>
        <w:t xml:space="preserve"> </w:t>
      </w:r>
      <w:r>
        <w:t xml:space="preserve">When people have an obviously correct belief that seems to have an absurd consequence, they should ask themselves whether that absurdity really </w:t>
      </w:r>
      <w:r>
        <w:rPr>
          <w:i/>
        </w:rPr>
        <w:t xml:space="preserve">is </w:t>
      </w:r>
      <w:r>
        <w:t>a consequence of that belief. But they frequently don’t. Instead they</w:t>
      </w:r>
      <w:r>
        <w:rPr>
          <w:spacing w:val="-1"/>
        </w:rPr>
        <w:t xml:space="preserve"> </w:t>
      </w:r>
      <w:r>
        <w:t>accept</w:t>
      </w:r>
      <w:r>
        <w:rPr>
          <w:spacing w:val="-1"/>
        </w:rPr>
        <w:t xml:space="preserve"> </w:t>
      </w:r>
      <w:r>
        <w:t>the</w:t>
      </w:r>
      <w:r>
        <w:rPr>
          <w:spacing w:val="-1"/>
        </w:rPr>
        <w:t xml:space="preserve"> </w:t>
      </w:r>
      <w:r>
        <w:t>absurdity</w:t>
      </w:r>
      <w:r>
        <w:rPr>
          <w:spacing w:val="-1"/>
        </w:rPr>
        <w:t xml:space="preserve"> </w:t>
      </w:r>
      <w:r>
        <w:t>and,</w:t>
      </w:r>
      <w:r>
        <w:rPr>
          <w:spacing w:val="-1"/>
        </w:rPr>
        <w:t xml:space="preserve"> </w:t>
      </w:r>
      <w:r>
        <w:t>in</w:t>
      </w:r>
      <w:r>
        <w:rPr>
          <w:spacing w:val="-1"/>
        </w:rPr>
        <w:t xml:space="preserve"> </w:t>
      </w:r>
      <w:r>
        <w:t>order</w:t>
      </w:r>
      <w:r>
        <w:rPr>
          <w:spacing w:val="-1"/>
        </w:rPr>
        <w:t xml:space="preserve"> </w:t>
      </w:r>
      <w:r>
        <w:t>to</w:t>
      </w:r>
      <w:r>
        <w:rPr>
          <w:spacing w:val="-1"/>
        </w:rPr>
        <w:t xml:space="preserve"> </w:t>
      </w:r>
      <w:r>
        <w:t>make</w:t>
      </w:r>
      <w:r>
        <w:rPr>
          <w:spacing w:val="-1"/>
        </w:rPr>
        <w:t xml:space="preserve"> </w:t>
      </w:r>
      <w:r>
        <w:t>this</w:t>
      </w:r>
      <w:r>
        <w:rPr>
          <w:spacing w:val="-1"/>
        </w:rPr>
        <w:t xml:space="preserve"> </w:t>
      </w:r>
      <w:r>
        <w:t>mistake</w:t>
      </w:r>
      <w:r>
        <w:rPr>
          <w:spacing w:val="-1"/>
        </w:rPr>
        <w:t xml:space="preserve"> </w:t>
      </w:r>
      <w:r>
        <w:t>of</w:t>
      </w:r>
      <w:r>
        <w:rPr>
          <w:spacing w:val="-1"/>
        </w:rPr>
        <w:t xml:space="preserve"> </w:t>
      </w:r>
      <w:r>
        <w:t>theirs</w:t>
      </w:r>
      <w:r>
        <w:rPr>
          <w:spacing w:val="-1"/>
        </w:rPr>
        <w:t xml:space="preserve"> </w:t>
      </w:r>
      <w:r>
        <w:t xml:space="preserve">work, they develop </w:t>
      </w:r>
      <w:r>
        <w:rPr>
          <w:i/>
        </w:rPr>
        <w:t xml:space="preserve">ad hoc </w:t>
      </w:r>
      <w:r>
        <w:t>hypotheses as to the nature of reality that undermine</w:t>
      </w:r>
    </w:p>
    <w:p w14:paraId="7E0006A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AA" w14:textId="77777777" w:rsidR="009A58DB" w:rsidRDefault="00000000">
      <w:pPr>
        <w:pStyle w:val="BodyText"/>
        <w:spacing w:before="60"/>
        <w:ind w:left="720"/>
      </w:pPr>
      <w:r>
        <w:lastRenderedPageBreak/>
        <w:t>the</w:t>
      </w:r>
      <w:r>
        <w:rPr>
          <w:spacing w:val="-4"/>
        </w:rPr>
        <w:t xml:space="preserve"> </w:t>
      </w:r>
      <w:r>
        <w:t>integrity</w:t>
      </w:r>
      <w:r>
        <w:rPr>
          <w:spacing w:val="-3"/>
        </w:rPr>
        <w:t xml:space="preserve"> </w:t>
      </w:r>
      <w:r>
        <w:t>of</w:t>
      </w:r>
      <w:r>
        <w:rPr>
          <w:spacing w:val="-3"/>
        </w:rPr>
        <w:t xml:space="preserve"> </w:t>
      </w:r>
      <w:r>
        <w:t>their</w:t>
      </w:r>
      <w:r>
        <w:rPr>
          <w:spacing w:val="-3"/>
        </w:rPr>
        <w:t xml:space="preserve"> </w:t>
      </w:r>
      <w:r>
        <w:t>own</w:t>
      </w:r>
      <w:r>
        <w:rPr>
          <w:spacing w:val="-3"/>
        </w:rPr>
        <w:t xml:space="preserve"> </w:t>
      </w:r>
      <w:r>
        <w:t>belief</w:t>
      </w:r>
      <w:r>
        <w:rPr>
          <w:spacing w:val="-3"/>
        </w:rPr>
        <w:t xml:space="preserve"> </w:t>
      </w:r>
      <w:r>
        <w:rPr>
          <w:spacing w:val="-2"/>
        </w:rPr>
        <w:t>system.</w:t>
      </w:r>
    </w:p>
    <w:p w14:paraId="7E0006AB" w14:textId="77777777" w:rsidR="009A58DB" w:rsidRDefault="00000000">
      <w:pPr>
        <w:pStyle w:val="BodyText"/>
        <w:spacing w:before="20" w:line="501" w:lineRule="auto"/>
        <w:ind w:left="645" w:right="5627" w:firstLine="435"/>
        <w:jc w:val="left"/>
      </w:pPr>
      <w:r>
        <w:t>Consider the statement: (SC)</w:t>
      </w:r>
      <w:r>
        <w:rPr>
          <w:spacing w:val="-8"/>
        </w:rPr>
        <w:t xml:space="preserve"> </w:t>
      </w:r>
      <w:r>
        <w:t>nothing</w:t>
      </w:r>
      <w:r>
        <w:rPr>
          <w:spacing w:val="-8"/>
        </w:rPr>
        <w:t xml:space="preserve"> </w:t>
      </w:r>
      <w:r>
        <w:t>is</w:t>
      </w:r>
      <w:r>
        <w:rPr>
          <w:spacing w:val="-8"/>
        </w:rPr>
        <w:t xml:space="preserve"> </w:t>
      </w:r>
      <w:r>
        <w:t>a</w:t>
      </w:r>
      <w:r>
        <w:rPr>
          <w:spacing w:val="-8"/>
        </w:rPr>
        <w:t xml:space="preserve"> </w:t>
      </w:r>
      <w:r>
        <w:t>square</w:t>
      </w:r>
      <w:r>
        <w:rPr>
          <w:spacing w:val="-8"/>
        </w:rPr>
        <w:t xml:space="preserve"> </w:t>
      </w:r>
      <w:r>
        <w:t>circle.</w:t>
      </w:r>
    </w:p>
    <w:p w14:paraId="7E0006AC" w14:textId="77777777" w:rsidR="009A58DB" w:rsidRDefault="00000000">
      <w:pPr>
        <w:pStyle w:val="BodyText"/>
        <w:spacing w:line="249" w:lineRule="auto"/>
        <w:ind w:left="720" w:right="360"/>
      </w:pPr>
      <w:r>
        <w:t>SC is true. Everybody knows this. But what does SC say? Judging by its grammatical similarity to “Smith is a very capable lawyer,” which attributes a certain property (that of being a capable lawyer) to a certain individual (Smith), SC would seem to say that a certain entity has the property of being a square circle. Presumably, the entity in question is some non-entity. If this presumption is correct, SC says that:</w:t>
      </w:r>
    </w:p>
    <w:p w14:paraId="7E0006AD" w14:textId="77777777" w:rsidR="009A58DB" w:rsidRDefault="009A58DB">
      <w:pPr>
        <w:pStyle w:val="BodyText"/>
        <w:spacing w:before="20"/>
        <w:ind w:left="0"/>
        <w:jc w:val="left"/>
      </w:pPr>
    </w:p>
    <w:p w14:paraId="7E0006AE" w14:textId="77777777" w:rsidR="009A58DB" w:rsidRDefault="00000000">
      <w:pPr>
        <w:pStyle w:val="BodyText"/>
        <w:ind w:left="645"/>
      </w:pPr>
      <w:r>
        <w:t>(SC*)</w:t>
      </w:r>
      <w:r>
        <w:rPr>
          <w:spacing w:val="-7"/>
        </w:rPr>
        <w:t xml:space="preserve"> </w:t>
      </w:r>
      <w:r>
        <w:t>some</w:t>
      </w:r>
      <w:r>
        <w:rPr>
          <w:spacing w:val="-4"/>
        </w:rPr>
        <w:t xml:space="preserve"> </w:t>
      </w:r>
      <w:r>
        <w:t>non-entity,</w:t>
      </w:r>
      <w:r>
        <w:rPr>
          <w:spacing w:val="-3"/>
        </w:rPr>
        <w:t xml:space="preserve"> </w:t>
      </w:r>
      <w:r>
        <w:t>some</w:t>
      </w:r>
      <w:r>
        <w:rPr>
          <w:spacing w:val="-4"/>
        </w:rPr>
        <w:t xml:space="preserve"> </w:t>
      </w:r>
      <w:r>
        <w:t>featureless</w:t>
      </w:r>
      <w:r>
        <w:rPr>
          <w:spacing w:val="-4"/>
        </w:rPr>
        <w:t xml:space="preserve"> </w:t>
      </w:r>
      <w:r>
        <w:t>un-thing,</w:t>
      </w:r>
      <w:r>
        <w:rPr>
          <w:spacing w:val="-3"/>
        </w:rPr>
        <w:t xml:space="preserve"> </w:t>
      </w:r>
      <w:r>
        <w:t>is</w:t>
      </w:r>
      <w:r>
        <w:rPr>
          <w:spacing w:val="-4"/>
        </w:rPr>
        <w:t xml:space="preserve"> </w:t>
      </w:r>
      <w:r>
        <w:t>a</w:t>
      </w:r>
      <w:r>
        <w:rPr>
          <w:spacing w:val="-4"/>
        </w:rPr>
        <w:t xml:space="preserve"> </w:t>
      </w:r>
      <w:r>
        <w:rPr>
          <w:spacing w:val="-2"/>
        </w:rPr>
        <w:t>circle.</w:t>
      </w:r>
    </w:p>
    <w:p w14:paraId="7E0006AF" w14:textId="77777777" w:rsidR="009A58DB" w:rsidRDefault="009A58DB">
      <w:pPr>
        <w:pStyle w:val="BodyText"/>
        <w:spacing w:before="30"/>
        <w:ind w:left="0"/>
        <w:jc w:val="left"/>
      </w:pPr>
    </w:p>
    <w:p w14:paraId="7E0006B0" w14:textId="77777777" w:rsidR="009A58DB" w:rsidRDefault="00000000">
      <w:pPr>
        <w:pStyle w:val="BodyText"/>
        <w:spacing w:line="249" w:lineRule="auto"/>
        <w:ind w:left="720" w:right="359" w:firstLine="360"/>
      </w:pPr>
      <w:r>
        <w:t xml:space="preserve">But SC* is doubly incoherent. If </w:t>
      </w:r>
      <w:r>
        <w:rPr>
          <w:i/>
        </w:rPr>
        <w:t>anything</w:t>
      </w:r>
      <w:r>
        <w:rPr>
          <w:i/>
          <w:spacing w:val="-3"/>
        </w:rPr>
        <w:t xml:space="preserve"> </w:t>
      </w:r>
      <w:r>
        <w:t>is a square circle, then SC is false—it being irrelevant how much of a cipher the entity in question is. Second,</w:t>
      </w:r>
      <w:r>
        <w:rPr>
          <w:spacing w:val="-1"/>
        </w:rPr>
        <w:t xml:space="preserve"> </w:t>
      </w:r>
      <w:r>
        <w:t>the very idea of</w:t>
      </w:r>
      <w:r>
        <w:rPr>
          <w:spacing w:val="-1"/>
        </w:rPr>
        <w:t xml:space="preserve"> </w:t>
      </w:r>
      <w:r>
        <w:t>a non-entity is an absurd one.</w:t>
      </w:r>
      <w:r>
        <w:rPr>
          <w:spacing w:val="-1"/>
        </w:rPr>
        <w:t xml:space="preserve"> </w:t>
      </w:r>
      <w:r>
        <w:t>But</w:t>
      </w:r>
      <w:r>
        <w:rPr>
          <w:spacing w:val="-1"/>
        </w:rPr>
        <w:t xml:space="preserve"> </w:t>
      </w:r>
      <w:r>
        <w:t>it’s hard to find a layperson or scholar who, when asked what SC means, comes up with anything substantively different from SC*.</w:t>
      </w:r>
    </w:p>
    <w:p w14:paraId="7E0006B1" w14:textId="77777777" w:rsidR="009A58DB" w:rsidRDefault="00000000">
      <w:pPr>
        <w:pStyle w:val="BodyText"/>
        <w:spacing w:before="6" w:line="249" w:lineRule="auto"/>
        <w:ind w:left="720" w:right="361" w:firstLine="360"/>
      </w:pPr>
      <w:r>
        <w:t>Given what a rank absurdity SC* is, we can’t accept it, even though it seems to be an obvious consequence of SC. But we can’t reject SC, since it’s an obvious truth.</w:t>
      </w:r>
    </w:p>
    <w:p w14:paraId="7E0006B2" w14:textId="77777777" w:rsidR="009A58DB" w:rsidRDefault="00000000">
      <w:pPr>
        <w:pStyle w:val="BodyText"/>
        <w:spacing w:before="4" w:line="249" w:lineRule="auto"/>
        <w:ind w:left="720" w:right="361" w:firstLine="360"/>
      </w:pPr>
      <w:r>
        <w:t>To get out of this jam, we need only reflect a bit on what our words mean. If you say that nobody likes Larry, you’re not saying that some un-person likes Larry. You’re saying that if you gathered together all the people who liked Larry and put them in an otherwise empty room, that room</w:t>
      </w:r>
      <w:r>
        <w:rPr>
          <w:spacing w:val="-1"/>
        </w:rPr>
        <w:t xml:space="preserve"> </w:t>
      </w:r>
      <w:r>
        <w:t>would remain empty. Which is the same as saying that, if you put all the people in existence in an otherwise empty room, there would be no things that liked Larry in that room.</w:t>
      </w:r>
    </w:p>
    <w:p w14:paraId="7E0006B3" w14:textId="77777777" w:rsidR="009A58DB" w:rsidRDefault="00000000">
      <w:pPr>
        <w:pStyle w:val="BodyText"/>
        <w:spacing w:before="9" w:line="249" w:lineRule="auto"/>
        <w:ind w:left="720" w:right="360" w:firstLine="360"/>
      </w:pPr>
      <w:r>
        <w:t>Thus, what “nobody likes Larry” means is not that some un-person likes Larry, and is instead that the set of people who like Larry is empty</w:t>
      </w:r>
      <w:r>
        <w:rPr>
          <w:spacing w:val="40"/>
        </w:rPr>
        <w:t xml:space="preserve"> </w:t>
      </w:r>
      <w:r>
        <w:t>or, alternatively, that the set of people doesn’t overlap with the set of things that like Larry.</w:t>
      </w:r>
    </w:p>
    <w:p w14:paraId="7E0006B4" w14:textId="77777777" w:rsidR="009A58DB" w:rsidRDefault="00000000">
      <w:pPr>
        <w:pStyle w:val="BodyText"/>
        <w:spacing w:before="5" w:line="249" w:lineRule="auto"/>
        <w:ind w:left="720" w:right="370" w:firstLine="360"/>
      </w:pPr>
      <w:r>
        <w:t>SC is to be understood along similar lines. If you put all the square circles in existence in an otherwise empty room, that room would remain empty.</w:t>
      </w:r>
      <w:r>
        <w:rPr>
          <w:spacing w:val="13"/>
        </w:rPr>
        <w:t xml:space="preserve"> </w:t>
      </w:r>
      <w:r>
        <w:t>This</w:t>
      </w:r>
      <w:r>
        <w:rPr>
          <w:spacing w:val="14"/>
        </w:rPr>
        <w:t xml:space="preserve"> </w:t>
      </w:r>
      <w:r>
        <w:t>is</w:t>
      </w:r>
      <w:r>
        <w:rPr>
          <w:spacing w:val="13"/>
        </w:rPr>
        <w:t xml:space="preserve"> </w:t>
      </w:r>
      <w:r>
        <w:t>another</w:t>
      </w:r>
      <w:r>
        <w:rPr>
          <w:spacing w:val="15"/>
        </w:rPr>
        <w:t xml:space="preserve"> </w:t>
      </w:r>
      <w:r>
        <w:t>way</w:t>
      </w:r>
      <w:r>
        <w:rPr>
          <w:spacing w:val="13"/>
        </w:rPr>
        <w:t xml:space="preserve"> </w:t>
      </w:r>
      <w:r>
        <w:t>of</w:t>
      </w:r>
      <w:r>
        <w:rPr>
          <w:spacing w:val="14"/>
        </w:rPr>
        <w:t xml:space="preserve"> </w:t>
      </w:r>
      <w:r>
        <w:t>saying</w:t>
      </w:r>
      <w:r>
        <w:rPr>
          <w:spacing w:val="15"/>
        </w:rPr>
        <w:t xml:space="preserve"> </w:t>
      </w:r>
      <w:r>
        <w:t>that,</w:t>
      </w:r>
      <w:r>
        <w:rPr>
          <w:spacing w:val="13"/>
        </w:rPr>
        <w:t xml:space="preserve"> </w:t>
      </w:r>
      <w:r>
        <w:t>if</w:t>
      </w:r>
      <w:r>
        <w:rPr>
          <w:spacing w:val="14"/>
        </w:rPr>
        <w:t xml:space="preserve"> </w:t>
      </w:r>
      <w:r>
        <w:t>you</w:t>
      </w:r>
      <w:r>
        <w:rPr>
          <w:spacing w:val="13"/>
        </w:rPr>
        <w:t xml:space="preserve"> </w:t>
      </w:r>
      <w:r>
        <w:t>put</w:t>
      </w:r>
      <w:r>
        <w:rPr>
          <w:spacing w:val="15"/>
        </w:rPr>
        <w:t xml:space="preserve"> </w:t>
      </w:r>
      <w:r>
        <w:t>all</w:t>
      </w:r>
      <w:r>
        <w:rPr>
          <w:spacing w:val="13"/>
        </w:rPr>
        <w:t xml:space="preserve"> </w:t>
      </w:r>
      <w:r>
        <w:t>the</w:t>
      </w:r>
      <w:r>
        <w:rPr>
          <w:spacing w:val="14"/>
        </w:rPr>
        <w:t xml:space="preserve"> </w:t>
      </w:r>
      <w:r>
        <w:t>square</w:t>
      </w:r>
      <w:r>
        <w:rPr>
          <w:spacing w:val="15"/>
        </w:rPr>
        <w:t xml:space="preserve"> </w:t>
      </w:r>
      <w:r>
        <w:rPr>
          <w:spacing w:val="-2"/>
        </w:rPr>
        <w:t>things</w:t>
      </w:r>
    </w:p>
    <w:p w14:paraId="7E0006B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B6" w14:textId="77777777" w:rsidR="009A58DB" w:rsidRDefault="00000000">
      <w:pPr>
        <w:pStyle w:val="BodyText"/>
        <w:spacing w:before="65" w:line="249" w:lineRule="auto"/>
        <w:ind w:left="720" w:right="364"/>
        <w:jc w:val="left"/>
      </w:pPr>
      <w:r>
        <w:lastRenderedPageBreak/>
        <w:t>in</w:t>
      </w:r>
      <w:r>
        <w:rPr>
          <w:spacing w:val="-3"/>
        </w:rPr>
        <w:t xml:space="preserve"> </w:t>
      </w:r>
      <w:r>
        <w:t>an</w:t>
      </w:r>
      <w:r>
        <w:rPr>
          <w:spacing w:val="-2"/>
        </w:rPr>
        <w:t xml:space="preserve"> </w:t>
      </w:r>
      <w:r>
        <w:t>otherwise</w:t>
      </w:r>
      <w:r>
        <w:rPr>
          <w:spacing w:val="-3"/>
        </w:rPr>
        <w:t xml:space="preserve"> </w:t>
      </w:r>
      <w:r>
        <w:t>empty</w:t>
      </w:r>
      <w:r>
        <w:rPr>
          <w:spacing w:val="-2"/>
        </w:rPr>
        <w:t xml:space="preserve"> </w:t>
      </w:r>
      <w:r>
        <w:t>room,</w:t>
      </w:r>
      <w:r>
        <w:rPr>
          <w:spacing w:val="-3"/>
        </w:rPr>
        <w:t xml:space="preserve"> </w:t>
      </w:r>
      <w:r>
        <w:t>there</w:t>
      </w:r>
      <w:r>
        <w:rPr>
          <w:spacing w:val="-2"/>
        </w:rPr>
        <w:t xml:space="preserve"> </w:t>
      </w:r>
      <w:r>
        <w:t>would</w:t>
      </w:r>
      <w:r>
        <w:rPr>
          <w:spacing w:val="-2"/>
        </w:rPr>
        <w:t xml:space="preserve"> </w:t>
      </w:r>
      <w:r>
        <w:t>be</w:t>
      </w:r>
      <w:r>
        <w:rPr>
          <w:spacing w:val="-3"/>
        </w:rPr>
        <w:t xml:space="preserve"> </w:t>
      </w:r>
      <w:r>
        <w:t>no</w:t>
      </w:r>
      <w:r>
        <w:rPr>
          <w:spacing w:val="-2"/>
        </w:rPr>
        <w:t xml:space="preserve"> </w:t>
      </w:r>
      <w:r>
        <w:t>circles</w:t>
      </w:r>
      <w:r>
        <w:rPr>
          <w:spacing w:val="-3"/>
        </w:rPr>
        <w:t xml:space="preserve"> </w:t>
      </w:r>
      <w:r>
        <w:t>in</w:t>
      </w:r>
      <w:r>
        <w:rPr>
          <w:spacing w:val="-2"/>
        </w:rPr>
        <w:t xml:space="preserve"> </w:t>
      </w:r>
      <w:r>
        <w:t>that</w:t>
      </w:r>
      <w:r>
        <w:rPr>
          <w:spacing w:val="-3"/>
        </w:rPr>
        <w:t xml:space="preserve"> </w:t>
      </w:r>
      <w:r>
        <w:t>room.</w:t>
      </w:r>
      <w:r>
        <w:rPr>
          <w:spacing w:val="-2"/>
        </w:rPr>
        <w:t xml:space="preserve"> </w:t>
      </w:r>
      <w:r>
        <w:t>So</w:t>
      </w:r>
      <w:r>
        <w:rPr>
          <w:spacing w:val="-2"/>
        </w:rPr>
        <w:t xml:space="preserve"> </w:t>
      </w:r>
      <w:r>
        <w:t>SC says, not some un-thing is a circle, but that</w:t>
      </w:r>
    </w:p>
    <w:p w14:paraId="7E0006B7" w14:textId="77777777" w:rsidR="009A58DB" w:rsidRDefault="009A58DB">
      <w:pPr>
        <w:pStyle w:val="BodyText"/>
        <w:spacing w:before="17"/>
        <w:ind w:left="0"/>
        <w:jc w:val="left"/>
      </w:pPr>
    </w:p>
    <w:p w14:paraId="7E0006B8" w14:textId="77777777" w:rsidR="009A58DB" w:rsidRDefault="00000000">
      <w:pPr>
        <w:pStyle w:val="ListParagraph"/>
        <w:numPr>
          <w:ilvl w:val="2"/>
          <w:numId w:val="230"/>
        </w:numPr>
        <w:tabs>
          <w:tab w:val="left" w:pos="1075"/>
        </w:tabs>
        <w:spacing w:line="501" w:lineRule="auto"/>
        <w:ind w:right="1196" w:firstLine="360"/>
        <w:rPr>
          <w:sz w:val="30"/>
        </w:rPr>
      </w:pPr>
      <w:r>
        <w:rPr>
          <w:sz w:val="30"/>
        </w:rPr>
        <w:t>the</w:t>
      </w:r>
      <w:r>
        <w:rPr>
          <w:spacing w:val="-4"/>
          <w:sz w:val="30"/>
        </w:rPr>
        <w:t xml:space="preserve"> </w:t>
      </w:r>
      <w:r>
        <w:rPr>
          <w:sz w:val="30"/>
        </w:rPr>
        <w:t>set</w:t>
      </w:r>
      <w:r>
        <w:rPr>
          <w:spacing w:val="-4"/>
          <w:sz w:val="30"/>
        </w:rPr>
        <w:t xml:space="preserve"> </w:t>
      </w:r>
      <w:r>
        <w:rPr>
          <w:sz w:val="30"/>
        </w:rPr>
        <w:t>of</w:t>
      </w:r>
      <w:r>
        <w:rPr>
          <w:spacing w:val="-4"/>
          <w:sz w:val="30"/>
        </w:rPr>
        <w:t xml:space="preserve"> </w:t>
      </w:r>
      <w:r>
        <w:rPr>
          <w:sz w:val="30"/>
        </w:rPr>
        <w:t>things</w:t>
      </w:r>
      <w:r>
        <w:rPr>
          <w:spacing w:val="-4"/>
          <w:sz w:val="30"/>
        </w:rPr>
        <w:t xml:space="preserve"> </w:t>
      </w:r>
      <w:r>
        <w:rPr>
          <w:sz w:val="30"/>
        </w:rPr>
        <w:t>that</w:t>
      </w:r>
      <w:r>
        <w:rPr>
          <w:spacing w:val="-4"/>
          <w:sz w:val="30"/>
        </w:rPr>
        <w:t xml:space="preserve"> </w:t>
      </w:r>
      <w:r>
        <w:rPr>
          <w:sz w:val="30"/>
        </w:rPr>
        <w:t>are</w:t>
      </w:r>
      <w:r>
        <w:rPr>
          <w:spacing w:val="-4"/>
          <w:sz w:val="30"/>
        </w:rPr>
        <w:t xml:space="preserve"> </w:t>
      </w:r>
      <w:r>
        <w:rPr>
          <w:sz w:val="30"/>
        </w:rPr>
        <w:t>both</w:t>
      </w:r>
      <w:r>
        <w:rPr>
          <w:spacing w:val="-3"/>
          <w:sz w:val="30"/>
        </w:rPr>
        <w:t xml:space="preserve"> </w:t>
      </w:r>
      <w:r>
        <w:rPr>
          <w:sz w:val="30"/>
        </w:rPr>
        <w:t>circular</w:t>
      </w:r>
      <w:r>
        <w:rPr>
          <w:spacing w:val="-4"/>
          <w:sz w:val="30"/>
        </w:rPr>
        <w:t xml:space="preserve"> </w:t>
      </w:r>
      <w:r>
        <w:rPr>
          <w:sz w:val="30"/>
        </w:rPr>
        <w:t>and</w:t>
      </w:r>
      <w:r>
        <w:rPr>
          <w:spacing w:val="-3"/>
          <w:sz w:val="30"/>
        </w:rPr>
        <w:t xml:space="preserve"> </w:t>
      </w:r>
      <w:r>
        <w:rPr>
          <w:sz w:val="30"/>
        </w:rPr>
        <w:t>square</w:t>
      </w:r>
      <w:r>
        <w:rPr>
          <w:spacing w:val="-4"/>
          <w:sz w:val="30"/>
        </w:rPr>
        <w:t xml:space="preserve"> </w:t>
      </w:r>
      <w:r>
        <w:rPr>
          <w:sz w:val="30"/>
        </w:rPr>
        <w:t>is</w:t>
      </w:r>
      <w:r>
        <w:rPr>
          <w:spacing w:val="-4"/>
          <w:sz w:val="30"/>
        </w:rPr>
        <w:t xml:space="preserve"> </w:t>
      </w:r>
      <w:r>
        <w:rPr>
          <w:sz w:val="30"/>
        </w:rPr>
        <w:t>an</w:t>
      </w:r>
      <w:r>
        <w:rPr>
          <w:spacing w:val="-3"/>
          <w:sz w:val="30"/>
        </w:rPr>
        <w:t xml:space="preserve"> </w:t>
      </w:r>
      <w:r>
        <w:rPr>
          <w:sz w:val="30"/>
        </w:rPr>
        <w:t>empty</w:t>
      </w:r>
      <w:r>
        <w:rPr>
          <w:spacing w:val="-3"/>
          <w:sz w:val="30"/>
        </w:rPr>
        <w:t xml:space="preserve"> </w:t>
      </w:r>
      <w:r>
        <w:rPr>
          <w:sz w:val="30"/>
        </w:rPr>
        <w:t>one or, alternatively, that</w:t>
      </w:r>
    </w:p>
    <w:p w14:paraId="7E0006B9" w14:textId="77777777" w:rsidR="009A58DB" w:rsidRDefault="00000000">
      <w:pPr>
        <w:pStyle w:val="ListParagraph"/>
        <w:numPr>
          <w:ilvl w:val="2"/>
          <w:numId w:val="230"/>
        </w:numPr>
        <w:tabs>
          <w:tab w:val="left" w:pos="1157"/>
        </w:tabs>
        <w:spacing w:line="343" w:lineRule="exact"/>
        <w:ind w:left="1157" w:hanging="437"/>
        <w:rPr>
          <w:sz w:val="30"/>
        </w:rPr>
      </w:pPr>
      <w:r>
        <w:rPr>
          <w:sz w:val="30"/>
        </w:rPr>
        <w:t>the</w:t>
      </w:r>
      <w:r>
        <w:rPr>
          <w:spacing w:val="-6"/>
          <w:sz w:val="30"/>
        </w:rPr>
        <w:t xml:space="preserve"> </w:t>
      </w:r>
      <w:r>
        <w:rPr>
          <w:sz w:val="30"/>
        </w:rPr>
        <w:t>set</w:t>
      </w:r>
      <w:r>
        <w:rPr>
          <w:spacing w:val="-3"/>
          <w:sz w:val="30"/>
        </w:rPr>
        <w:t xml:space="preserve"> </w:t>
      </w:r>
      <w:r>
        <w:rPr>
          <w:sz w:val="30"/>
        </w:rPr>
        <w:t>of</w:t>
      </w:r>
      <w:r>
        <w:rPr>
          <w:spacing w:val="-3"/>
          <w:sz w:val="30"/>
        </w:rPr>
        <w:t xml:space="preserve"> </w:t>
      </w:r>
      <w:r>
        <w:rPr>
          <w:sz w:val="30"/>
        </w:rPr>
        <w:t>circles</w:t>
      </w:r>
      <w:r>
        <w:rPr>
          <w:spacing w:val="-3"/>
          <w:sz w:val="30"/>
        </w:rPr>
        <w:t xml:space="preserve"> </w:t>
      </w:r>
      <w:r>
        <w:rPr>
          <w:sz w:val="30"/>
        </w:rPr>
        <w:t>doesn’t</w:t>
      </w:r>
      <w:r>
        <w:rPr>
          <w:spacing w:val="-3"/>
          <w:sz w:val="30"/>
        </w:rPr>
        <w:t xml:space="preserve"> </w:t>
      </w:r>
      <w:r>
        <w:rPr>
          <w:sz w:val="30"/>
        </w:rPr>
        <w:t>overlap</w:t>
      </w:r>
      <w:r>
        <w:rPr>
          <w:spacing w:val="-3"/>
          <w:sz w:val="30"/>
        </w:rPr>
        <w:t xml:space="preserve"> </w:t>
      </w:r>
      <w:r>
        <w:rPr>
          <w:sz w:val="30"/>
        </w:rPr>
        <w:t>with</w:t>
      </w:r>
      <w:r>
        <w:rPr>
          <w:spacing w:val="-2"/>
          <w:sz w:val="30"/>
        </w:rPr>
        <w:t xml:space="preserve"> </w:t>
      </w:r>
      <w:r>
        <w:rPr>
          <w:sz w:val="30"/>
        </w:rPr>
        <w:t>the</w:t>
      </w:r>
      <w:r>
        <w:rPr>
          <w:spacing w:val="-3"/>
          <w:sz w:val="30"/>
        </w:rPr>
        <w:t xml:space="preserve"> </w:t>
      </w:r>
      <w:r>
        <w:rPr>
          <w:sz w:val="30"/>
        </w:rPr>
        <w:t>set</w:t>
      </w:r>
      <w:r>
        <w:rPr>
          <w:spacing w:val="-3"/>
          <w:sz w:val="30"/>
        </w:rPr>
        <w:t xml:space="preserve"> </w:t>
      </w:r>
      <w:r>
        <w:rPr>
          <w:sz w:val="30"/>
        </w:rPr>
        <w:t>of</w:t>
      </w:r>
      <w:r>
        <w:rPr>
          <w:spacing w:val="-3"/>
          <w:sz w:val="30"/>
        </w:rPr>
        <w:t xml:space="preserve"> </w:t>
      </w:r>
      <w:r>
        <w:rPr>
          <w:spacing w:val="-2"/>
          <w:sz w:val="30"/>
        </w:rPr>
        <w:t>squares.</w:t>
      </w:r>
    </w:p>
    <w:p w14:paraId="7E0006BA" w14:textId="77777777" w:rsidR="009A58DB" w:rsidRDefault="009A58DB">
      <w:pPr>
        <w:pStyle w:val="BodyText"/>
        <w:spacing w:before="75"/>
        <w:ind w:left="0"/>
        <w:jc w:val="left"/>
      </w:pPr>
    </w:p>
    <w:p w14:paraId="7E0006BB" w14:textId="77777777" w:rsidR="009A58DB" w:rsidRDefault="00000000">
      <w:pPr>
        <w:pStyle w:val="BodyText"/>
        <w:spacing w:line="249" w:lineRule="auto"/>
        <w:ind w:right="360" w:firstLine="360"/>
        <w:rPr>
          <w:i/>
        </w:rPr>
      </w:pPr>
      <w:r>
        <w:t xml:space="preserve">(i) is a way of saying that any given thing lacks the property of being both a circle and a square. Alternatively, it’s a way of saying this property doesn’t have any instances—that it’s </w:t>
      </w:r>
      <w:r>
        <w:rPr>
          <w:i/>
        </w:rPr>
        <w:t xml:space="preserve">uninstantiated. </w:t>
      </w:r>
      <w:r>
        <w:t xml:space="preserve">(ii) is a way of saying that anything having the property of being a square lacks the property of being a circle. Alternatively, it’s a way of saying that these two properties don’t have any instances in common—that they are not </w:t>
      </w:r>
      <w:r>
        <w:rPr>
          <w:i/>
        </w:rPr>
        <w:t>coinstantiated.</w:t>
      </w:r>
    </w:p>
    <w:p w14:paraId="7E0006BC" w14:textId="77777777" w:rsidR="009A58DB" w:rsidRDefault="00000000">
      <w:pPr>
        <w:pStyle w:val="BodyText"/>
        <w:spacing w:before="8" w:line="249" w:lineRule="auto"/>
        <w:ind w:right="361" w:firstLine="360"/>
      </w:pPr>
      <w:r>
        <w:t>(i) and (ii) thus attribute properties to properties. They say, respectively, that the property of being both a square and a circle is uninstantiated and that the properties of being a square and of being a circle are not coinstantiated.</w:t>
      </w:r>
    </w:p>
    <w:p w14:paraId="7E0006BD" w14:textId="77777777" w:rsidR="009A58DB" w:rsidRDefault="00000000">
      <w:pPr>
        <w:pStyle w:val="BodyText"/>
        <w:spacing w:before="3" w:line="249" w:lineRule="auto"/>
        <w:ind w:right="358" w:firstLine="360"/>
      </w:pPr>
      <w:r>
        <w:t>Since (i) and (ii) are just different ways of saying what SC says, the latter doesn’t make the absurd statement that some non-entity is a circle, and it instead makes the innocuous statement that the set of squares doesn’t overlap with the set of circles or, alternatively, that the property of being a square circle is uninstantiated.</w:t>
      </w:r>
    </w:p>
    <w:p w14:paraId="7E0006BE" w14:textId="77777777" w:rsidR="009A58DB" w:rsidRDefault="00000000">
      <w:pPr>
        <w:pStyle w:val="BodyText"/>
        <w:spacing w:before="6" w:line="249" w:lineRule="auto"/>
        <w:ind w:right="359" w:firstLine="360"/>
        <w:rPr>
          <w:position w:val="21"/>
        </w:rPr>
      </w:pPr>
      <w:r>
        <w:t>What this shows is that, in at least some cases, philosophical insight is acquired, not by doing parascience, but by analyzing meanings—not by positing entities, but by clarifying statements</w:t>
      </w:r>
      <w:bookmarkStart w:id="10" w:name="_bookmark10"/>
      <w:bookmarkEnd w:id="10"/>
      <w:r>
        <w:t>.</w:t>
      </w:r>
      <w:r>
        <w:rPr>
          <w:color w:val="0562C1"/>
          <w:position w:val="21"/>
          <w:u w:val="single" w:color="0562C1"/>
        </w:rPr>
        <w:t>[7]</w:t>
      </w:r>
    </w:p>
    <w:p w14:paraId="7E0006BF" w14:textId="77777777" w:rsidR="009A58DB" w:rsidRDefault="00000000">
      <w:pPr>
        <w:pStyle w:val="BodyText"/>
        <w:spacing w:before="4" w:line="249" w:lineRule="auto"/>
        <w:ind w:right="369" w:firstLine="360"/>
      </w:pPr>
      <w:r>
        <w:t>Analytic philosophy is philosophy that is driven by accep-tance of FL. Let us now expand on FL and make it clear why it’s true.</w:t>
      </w:r>
    </w:p>
    <w:p w14:paraId="7E0006C0" w14:textId="77777777" w:rsidR="009A58DB" w:rsidRDefault="00000000">
      <w:pPr>
        <w:pStyle w:val="Heading1"/>
        <w:numPr>
          <w:ilvl w:val="1"/>
          <w:numId w:val="230"/>
        </w:numPr>
        <w:tabs>
          <w:tab w:val="left" w:pos="1001"/>
        </w:tabs>
        <w:spacing w:before="191" w:line="244" w:lineRule="auto"/>
        <w:ind w:right="358" w:firstLine="0"/>
      </w:pPr>
      <w:r>
        <w:t>The wrong way to react to grammatical surface-</w:t>
      </w:r>
      <w:r>
        <w:rPr>
          <w:spacing w:val="-2"/>
        </w:rPr>
        <w:t>structure</w:t>
      </w:r>
    </w:p>
    <w:p w14:paraId="7E0006C1" w14:textId="77777777" w:rsidR="009A58DB" w:rsidRDefault="00000000">
      <w:pPr>
        <w:pStyle w:val="BodyText"/>
        <w:spacing w:before="131" w:line="501" w:lineRule="auto"/>
        <w:ind w:right="5135"/>
        <w:jc w:val="left"/>
      </w:pPr>
      <w:r>
        <w:t>In</w:t>
      </w:r>
      <w:r>
        <w:rPr>
          <w:spacing w:val="-8"/>
        </w:rPr>
        <w:t xml:space="preserve"> </w:t>
      </w:r>
      <w:r>
        <w:t>respect</w:t>
      </w:r>
      <w:r>
        <w:rPr>
          <w:spacing w:val="-9"/>
        </w:rPr>
        <w:t xml:space="preserve"> </w:t>
      </w:r>
      <w:r>
        <w:t>of</w:t>
      </w:r>
      <w:r>
        <w:rPr>
          <w:spacing w:val="-9"/>
        </w:rPr>
        <w:t xml:space="preserve"> </w:t>
      </w:r>
      <w:r>
        <w:t>its</w:t>
      </w:r>
      <w:r>
        <w:rPr>
          <w:spacing w:val="-9"/>
        </w:rPr>
        <w:t xml:space="preserve"> </w:t>
      </w:r>
      <w:r>
        <w:t>grammatical</w:t>
      </w:r>
      <w:r>
        <w:rPr>
          <w:spacing w:val="-9"/>
        </w:rPr>
        <w:t xml:space="preserve"> </w:t>
      </w:r>
      <w:r>
        <w:t>form, (JS) “John smokes”</w:t>
      </w:r>
    </w:p>
    <w:p w14:paraId="7E0006C2" w14:textId="77777777" w:rsidR="009A58DB" w:rsidRDefault="009A58DB">
      <w:pPr>
        <w:pStyle w:val="BodyText"/>
        <w:spacing w:line="501" w:lineRule="auto"/>
        <w:jc w:val="left"/>
        <w:sectPr w:rsidR="009A58DB">
          <w:pgSz w:w="12240" w:h="15840"/>
          <w:pgMar w:top="1380" w:right="1080" w:bottom="280" w:left="1080" w:header="720" w:footer="720" w:gutter="0"/>
          <w:cols w:space="720"/>
        </w:sectPr>
      </w:pPr>
    </w:p>
    <w:p w14:paraId="7E0006C3" w14:textId="77777777" w:rsidR="009A58DB" w:rsidRDefault="00000000">
      <w:pPr>
        <w:pStyle w:val="BodyText"/>
        <w:spacing w:before="65" w:line="501" w:lineRule="auto"/>
        <w:ind w:right="7044"/>
        <w:jc w:val="left"/>
      </w:pPr>
      <w:r>
        <w:lastRenderedPageBreak/>
        <w:t>is comparable to</w:t>
      </w:r>
      <w:r>
        <w:rPr>
          <w:spacing w:val="40"/>
        </w:rPr>
        <w:t xml:space="preserve"> </w:t>
      </w:r>
      <w:r>
        <w:t>(MS)</w:t>
      </w:r>
      <w:r>
        <w:rPr>
          <w:spacing w:val="-19"/>
        </w:rPr>
        <w:t xml:space="preserve"> </w:t>
      </w:r>
      <w:r>
        <w:t>“Mary</w:t>
      </w:r>
      <w:r>
        <w:rPr>
          <w:spacing w:val="-19"/>
        </w:rPr>
        <w:t xml:space="preserve"> </w:t>
      </w:r>
      <w:r>
        <w:t>smokes.”</w:t>
      </w:r>
    </w:p>
    <w:p w14:paraId="7E0006C4" w14:textId="77777777" w:rsidR="009A58DB" w:rsidRDefault="00000000">
      <w:pPr>
        <w:pStyle w:val="BodyText"/>
        <w:spacing w:line="249" w:lineRule="auto"/>
        <w:jc w:val="left"/>
      </w:pPr>
      <w:r>
        <w:t>JS</w:t>
      </w:r>
      <w:r>
        <w:rPr>
          <w:spacing w:val="40"/>
        </w:rPr>
        <w:t xml:space="preserve"> </w:t>
      </w:r>
      <w:r>
        <w:t>attributes</w:t>
      </w:r>
      <w:r>
        <w:rPr>
          <w:spacing w:val="40"/>
        </w:rPr>
        <w:t xml:space="preserve"> </w:t>
      </w:r>
      <w:r>
        <w:t>the</w:t>
      </w:r>
      <w:r>
        <w:rPr>
          <w:spacing w:val="40"/>
        </w:rPr>
        <w:t xml:space="preserve"> </w:t>
      </w:r>
      <w:r>
        <w:t>property</w:t>
      </w:r>
      <w:r>
        <w:rPr>
          <w:spacing w:val="40"/>
        </w:rPr>
        <w:t xml:space="preserve"> </w:t>
      </w:r>
      <w:r>
        <w:t>of</w:t>
      </w:r>
      <w:r>
        <w:rPr>
          <w:spacing w:val="40"/>
        </w:rPr>
        <w:t xml:space="preserve"> </w:t>
      </w:r>
      <w:r>
        <w:t>being</w:t>
      </w:r>
      <w:r>
        <w:rPr>
          <w:spacing w:val="40"/>
        </w:rPr>
        <w:t xml:space="preserve"> </w:t>
      </w:r>
      <w:r>
        <w:t>a</w:t>
      </w:r>
      <w:r>
        <w:rPr>
          <w:spacing w:val="40"/>
        </w:rPr>
        <w:t xml:space="preserve"> </w:t>
      </w:r>
      <w:r>
        <w:t>smoker</w:t>
      </w:r>
      <w:r>
        <w:rPr>
          <w:spacing w:val="40"/>
        </w:rPr>
        <w:t xml:space="preserve"> </w:t>
      </w:r>
      <w:r>
        <w:t>to</w:t>
      </w:r>
      <w:r>
        <w:rPr>
          <w:spacing w:val="40"/>
        </w:rPr>
        <w:t xml:space="preserve"> </w:t>
      </w:r>
      <w:r>
        <w:t>John;</w:t>
      </w:r>
      <w:r>
        <w:rPr>
          <w:spacing w:val="40"/>
        </w:rPr>
        <w:t xml:space="preserve"> </w:t>
      </w:r>
      <w:r>
        <w:t>MS</w:t>
      </w:r>
      <w:r>
        <w:rPr>
          <w:spacing w:val="40"/>
        </w:rPr>
        <w:t xml:space="preserve"> </w:t>
      </w:r>
      <w:r>
        <w:t>attributes</w:t>
      </w:r>
      <w:r>
        <w:rPr>
          <w:spacing w:val="40"/>
        </w:rPr>
        <w:t xml:space="preserve"> </w:t>
      </w:r>
      <w:r>
        <w:t>that</w:t>
      </w:r>
      <w:r>
        <w:rPr>
          <w:spacing w:val="80"/>
          <w:w w:val="150"/>
        </w:rPr>
        <w:t xml:space="preserve"> </w:t>
      </w:r>
      <w:r>
        <w:t>property to Mary.</w:t>
      </w:r>
    </w:p>
    <w:p w14:paraId="7E0006C5" w14:textId="77777777" w:rsidR="009A58DB" w:rsidRDefault="00000000">
      <w:pPr>
        <w:pStyle w:val="BodyText"/>
        <w:spacing w:line="501" w:lineRule="auto"/>
        <w:ind w:right="365" w:firstLine="360"/>
        <w:jc w:val="left"/>
      </w:pPr>
      <w:r>
        <w:t>In</w:t>
      </w:r>
      <w:r>
        <w:rPr>
          <w:spacing w:val="-3"/>
        </w:rPr>
        <w:t xml:space="preserve"> </w:t>
      </w:r>
      <w:r>
        <w:t>respect</w:t>
      </w:r>
      <w:r>
        <w:rPr>
          <w:spacing w:val="-4"/>
        </w:rPr>
        <w:t xml:space="preserve"> </w:t>
      </w:r>
      <w:r>
        <w:t>of</w:t>
      </w:r>
      <w:r>
        <w:rPr>
          <w:spacing w:val="-4"/>
        </w:rPr>
        <w:t xml:space="preserve"> </w:t>
      </w:r>
      <w:r>
        <w:t>its</w:t>
      </w:r>
      <w:r>
        <w:rPr>
          <w:spacing w:val="-4"/>
        </w:rPr>
        <w:t xml:space="preserve"> </w:t>
      </w:r>
      <w:r>
        <w:t>grammatical</w:t>
      </w:r>
      <w:r>
        <w:rPr>
          <w:spacing w:val="-4"/>
        </w:rPr>
        <w:t xml:space="preserve"> </w:t>
      </w:r>
      <w:r>
        <w:t>form,</w:t>
      </w:r>
      <w:r>
        <w:rPr>
          <w:spacing w:val="-3"/>
        </w:rPr>
        <w:t xml:space="preserve"> </w:t>
      </w:r>
      <w:r>
        <w:t>each</w:t>
      </w:r>
      <w:r>
        <w:rPr>
          <w:spacing w:val="-3"/>
        </w:rPr>
        <w:t xml:space="preserve"> </w:t>
      </w:r>
      <w:r>
        <w:t>of</w:t>
      </w:r>
      <w:r>
        <w:rPr>
          <w:spacing w:val="-4"/>
        </w:rPr>
        <w:t xml:space="preserve"> </w:t>
      </w:r>
      <w:r>
        <w:t>JS</w:t>
      </w:r>
      <w:r>
        <w:rPr>
          <w:spacing w:val="-4"/>
        </w:rPr>
        <w:t xml:space="preserve"> </w:t>
      </w:r>
      <w:r>
        <w:t>and</w:t>
      </w:r>
      <w:r>
        <w:rPr>
          <w:spacing w:val="-3"/>
        </w:rPr>
        <w:t xml:space="preserve"> </w:t>
      </w:r>
      <w:r>
        <w:t>MS</w:t>
      </w:r>
      <w:r>
        <w:rPr>
          <w:spacing w:val="-4"/>
        </w:rPr>
        <w:t xml:space="preserve"> </w:t>
      </w:r>
      <w:r>
        <w:t>is</w:t>
      </w:r>
      <w:r>
        <w:rPr>
          <w:spacing w:val="-4"/>
        </w:rPr>
        <w:t xml:space="preserve"> </w:t>
      </w:r>
      <w:r>
        <w:t>comparable</w:t>
      </w:r>
      <w:r>
        <w:rPr>
          <w:spacing w:val="-4"/>
        </w:rPr>
        <w:t xml:space="preserve"> </w:t>
      </w:r>
      <w:r>
        <w:t>to: (LJ) “Larry juggles”</w:t>
      </w:r>
    </w:p>
    <w:p w14:paraId="7E0006C6" w14:textId="77777777" w:rsidR="009A58DB" w:rsidRDefault="00000000">
      <w:pPr>
        <w:pStyle w:val="BodyText"/>
        <w:spacing w:line="343" w:lineRule="exact"/>
        <w:jc w:val="left"/>
      </w:pPr>
      <w:r>
        <w:t>and</w:t>
      </w:r>
      <w:r>
        <w:rPr>
          <w:spacing w:val="-2"/>
        </w:rPr>
        <w:t xml:space="preserve"> </w:t>
      </w:r>
      <w:r>
        <w:t>also</w:t>
      </w:r>
      <w:r>
        <w:rPr>
          <w:spacing w:val="-2"/>
        </w:rPr>
        <w:t xml:space="preserve"> </w:t>
      </w:r>
      <w:r>
        <w:rPr>
          <w:spacing w:val="-5"/>
        </w:rPr>
        <w:t>to</w:t>
      </w:r>
    </w:p>
    <w:p w14:paraId="7E0006C7" w14:textId="77777777" w:rsidR="009A58DB" w:rsidRDefault="009A58DB">
      <w:pPr>
        <w:pStyle w:val="BodyText"/>
        <w:spacing w:before="30"/>
        <w:ind w:left="0"/>
        <w:jc w:val="left"/>
      </w:pPr>
    </w:p>
    <w:p w14:paraId="7E0006C8" w14:textId="77777777" w:rsidR="009A58DB" w:rsidRDefault="00000000">
      <w:pPr>
        <w:pStyle w:val="BodyText"/>
        <w:jc w:val="left"/>
      </w:pPr>
      <w:r>
        <w:t>(JJ)</w:t>
      </w:r>
      <w:r>
        <w:rPr>
          <w:spacing w:val="-4"/>
        </w:rPr>
        <w:t xml:space="preserve"> </w:t>
      </w:r>
      <w:r>
        <w:t>“Jane</w:t>
      </w:r>
      <w:r>
        <w:rPr>
          <w:spacing w:val="-4"/>
        </w:rPr>
        <w:t xml:space="preserve"> </w:t>
      </w:r>
      <w:r>
        <w:rPr>
          <w:spacing w:val="-2"/>
        </w:rPr>
        <w:t>jogs.”</w:t>
      </w:r>
    </w:p>
    <w:p w14:paraId="7E0006C9" w14:textId="77777777" w:rsidR="009A58DB" w:rsidRDefault="009A58DB">
      <w:pPr>
        <w:pStyle w:val="BodyText"/>
        <w:spacing w:before="30"/>
        <w:ind w:left="0"/>
        <w:jc w:val="left"/>
      </w:pPr>
    </w:p>
    <w:p w14:paraId="7E0006CA" w14:textId="77777777" w:rsidR="009A58DB" w:rsidRDefault="00000000">
      <w:pPr>
        <w:pStyle w:val="BodyText"/>
        <w:spacing w:line="249" w:lineRule="auto"/>
        <w:ind w:right="362" w:firstLine="360"/>
      </w:pPr>
      <w:r>
        <w:t>Each of these sentences says of some individual that he or she has a</w:t>
      </w:r>
      <w:r>
        <w:rPr>
          <w:spacing w:val="40"/>
        </w:rPr>
        <w:t xml:space="preserve"> </w:t>
      </w:r>
      <w:r>
        <w:t xml:space="preserve">certain property. The obvious inference to make is that </w:t>
      </w:r>
      <w:r>
        <w:rPr>
          <w:i/>
        </w:rPr>
        <w:t xml:space="preserve">any </w:t>
      </w:r>
      <w:r>
        <w:t>sentence grammatically comparable to any one of those of four sentences says of some individual that he or she (or it) has some property.</w:t>
      </w:r>
    </w:p>
    <w:p w14:paraId="7E0006CB" w14:textId="77777777" w:rsidR="009A58DB" w:rsidRDefault="00000000">
      <w:pPr>
        <w:pStyle w:val="BodyText"/>
        <w:spacing w:before="5" w:line="501" w:lineRule="auto"/>
        <w:ind w:right="3829" w:firstLine="360"/>
        <w:jc w:val="left"/>
      </w:pPr>
      <w:r>
        <w:t>In</w:t>
      </w:r>
      <w:r>
        <w:rPr>
          <w:spacing w:val="-6"/>
        </w:rPr>
        <w:t xml:space="preserve"> </w:t>
      </w:r>
      <w:r>
        <w:t>light</w:t>
      </w:r>
      <w:r>
        <w:rPr>
          <w:spacing w:val="-6"/>
        </w:rPr>
        <w:t xml:space="preserve"> </w:t>
      </w:r>
      <w:r>
        <w:t>of</w:t>
      </w:r>
      <w:r>
        <w:rPr>
          <w:spacing w:val="-6"/>
        </w:rPr>
        <w:t xml:space="preserve"> </w:t>
      </w:r>
      <w:r>
        <w:t>these</w:t>
      </w:r>
      <w:r>
        <w:rPr>
          <w:spacing w:val="-6"/>
        </w:rPr>
        <w:t xml:space="preserve"> </w:t>
      </w:r>
      <w:r>
        <w:t>points,</w:t>
      </w:r>
      <w:r>
        <w:rPr>
          <w:spacing w:val="-6"/>
        </w:rPr>
        <w:t xml:space="preserve"> </w:t>
      </w:r>
      <w:r>
        <w:t>consider</w:t>
      </w:r>
      <w:r>
        <w:rPr>
          <w:spacing w:val="-6"/>
        </w:rPr>
        <w:t xml:space="preserve"> </w:t>
      </w:r>
      <w:r>
        <w:t>the</w:t>
      </w:r>
      <w:r>
        <w:rPr>
          <w:spacing w:val="-6"/>
        </w:rPr>
        <w:t xml:space="preserve"> </w:t>
      </w:r>
      <w:r>
        <w:t>sentence: (SS) Someone smokes.</w:t>
      </w:r>
    </w:p>
    <w:p w14:paraId="7E0006CC" w14:textId="77777777" w:rsidR="009A58DB" w:rsidRDefault="00000000">
      <w:pPr>
        <w:pStyle w:val="BodyText"/>
        <w:spacing w:line="249" w:lineRule="auto"/>
        <w:ind w:right="362" w:firstLine="360"/>
      </w:pPr>
      <w:r>
        <w:t>Given what we just said, the obvious thing to say about it is that it attributes the property of smoking to some individual. But which individual could that be? Which individual does “someone” pick out?</w:t>
      </w:r>
    </w:p>
    <w:p w14:paraId="7E0006CD" w14:textId="77777777" w:rsidR="009A58DB" w:rsidRDefault="00000000">
      <w:pPr>
        <w:pStyle w:val="BodyText"/>
        <w:spacing w:before="2" w:line="249" w:lineRule="auto"/>
        <w:ind w:right="359" w:firstLine="360"/>
      </w:pPr>
      <w:r>
        <w:rPr>
          <w:spacing w:val="-4"/>
        </w:rPr>
        <w:t>“It</w:t>
      </w:r>
      <w:r>
        <w:rPr>
          <w:spacing w:val="-15"/>
        </w:rPr>
        <w:t xml:space="preserve"> </w:t>
      </w:r>
      <w:r>
        <w:rPr>
          <w:spacing w:val="-4"/>
        </w:rPr>
        <w:t>picks</w:t>
      </w:r>
      <w:r>
        <w:rPr>
          <w:spacing w:val="-15"/>
        </w:rPr>
        <w:t xml:space="preserve"> </w:t>
      </w:r>
      <w:r>
        <w:rPr>
          <w:spacing w:val="-4"/>
        </w:rPr>
        <w:t>out</w:t>
      </w:r>
      <w:r>
        <w:rPr>
          <w:spacing w:val="-15"/>
        </w:rPr>
        <w:t xml:space="preserve"> </w:t>
      </w:r>
      <w:r>
        <w:rPr>
          <w:spacing w:val="-4"/>
        </w:rPr>
        <w:t>an</w:t>
      </w:r>
      <w:r>
        <w:rPr>
          <w:spacing w:val="-14"/>
        </w:rPr>
        <w:t xml:space="preserve"> </w:t>
      </w:r>
      <w:r>
        <w:rPr>
          <w:spacing w:val="-4"/>
        </w:rPr>
        <w:t>ambiguous</w:t>
      </w:r>
      <w:r>
        <w:rPr>
          <w:spacing w:val="-15"/>
        </w:rPr>
        <w:t xml:space="preserve"> </w:t>
      </w:r>
      <w:r>
        <w:rPr>
          <w:spacing w:val="-4"/>
        </w:rPr>
        <w:t>person,”</w:t>
      </w:r>
      <w:r>
        <w:rPr>
          <w:spacing w:val="-15"/>
        </w:rPr>
        <w:t xml:space="preserve"> </w:t>
      </w:r>
      <w:r>
        <w:rPr>
          <w:spacing w:val="-4"/>
        </w:rPr>
        <w:t>said</w:t>
      </w:r>
      <w:r>
        <w:rPr>
          <w:spacing w:val="-15"/>
        </w:rPr>
        <w:t xml:space="preserve"> </w:t>
      </w:r>
      <w:r>
        <w:rPr>
          <w:spacing w:val="-4"/>
        </w:rPr>
        <w:t>one</w:t>
      </w:r>
      <w:r>
        <w:rPr>
          <w:spacing w:val="-14"/>
        </w:rPr>
        <w:t xml:space="preserve"> </w:t>
      </w:r>
      <w:r>
        <w:rPr>
          <w:spacing w:val="-4"/>
        </w:rPr>
        <w:t>logician</w:t>
      </w:r>
      <w:bookmarkStart w:id="11" w:name="_bookmark11"/>
      <w:bookmarkEnd w:id="11"/>
      <w:r>
        <w:rPr>
          <w:spacing w:val="-4"/>
        </w:rPr>
        <w:t>.</w:t>
      </w:r>
      <w:r>
        <w:rPr>
          <w:color w:val="0562C1"/>
          <w:spacing w:val="-4"/>
          <w:position w:val="21"/>
          <w:u w:val="single" w:color="0562C1"/>
        </w:rPr>
        <w:t>[8]</w:t>
      </w:r>
      <w:r>
        <w:rPr>
          <w:color w:val="0562C1"/>
          <w:spacing w:val="-15"/>
          <w:position w:val="21"/>
        </w:rPr>
        <w:t xml:space="preserve"> </w:t>
      </w:r>
      <w:r>
        <w:rPr>
          <w:spacing w:val="-4"/>
        </w:rPr>
        <w:t>But</w:t>
      </w:r>
      <w:r>
        <w:rPr>
          <w:spacing w:val="-15"/>
        </w:rPr>
        <w:t xml:space="preserve"> </w:t>
      </w:r>
      <w:r>
        <w:rPr>
          <w:spacing w:val="-4"/>
        </w:rPr>
        <w:t>this</w:t>
      </w:r>
      <w:r>
        <w:rPr>
          <w:spacing w:val="-15"/>
        </w:rPr>
        <w:t xml:space="preserve"> </w:t>
      </w:r>
      <w:r>
        <w:rPr>
          <w:spacing w:val="-4"/>
        </w:rPr>
        <w:t>answer</w:t>
      </w:r>
      <w:r>
        <w:rPr>
          <w:spacing w:val="-14"/>
        </w:rPr>
        <w:t xml:space="preserve"> </w:t>
      </w:r>
      <w:r>
        <w:rPr>
          <w:spacing w:val="-4"/>
        </w:rPr>
        <w:t>is</w:t>
      </w:r>
      <w:r>
        <w:rPr>
          <w:spacing w:val="-15"/>
        </w:rPr>
        <w:t xml:space="preserve"> </w:t>
      </w:r>
      <w:r>
        <w:rPr>
          <w:spacing w:val="-4"/>
        </w:rPr>
        <w:t xml:space="preserve">no </w:t>
      </w:r>
      <w:r>
        <w:t>good.</w:t>
      </w:r>
      <w:r>
        <w:rPr>
          <w:spacing w:val="-19"/>
        </w:rPr>
        <w:t xml:space="preserve"> </w:t>
      </w:r>
      <w:r>
        <w:t>Words</w:t>
      </w:r>
      <w:r>
        <w:rPr>
          <w:spacing w:val="-17"/>
        </w:rPr>
        <w:t xml:space="preserve"> </w:t>
      </w:r>
      <w:r>
        <w:t>are</w:t>
      </w:r>
      <w:r>
        <w:rPr>
          <w:spacing w:val="-16"/>
        </w:rPr>
        <w:t xml:space="preserve"> </w:t>
      </w:r>
      <w:r>
        <w:t>ambiguous,</w:t>
      </w:r>
      <w:r>
        <w:rPr>
          <w:spacing w:val="-16"/>
        </w:rPr>
        <w:t xml:space="preserve"> </w:t>
      </w:r>
      <w:r>
        <w:t>not</w:t>
      </w:r>
      <w:r>
        <w:rPr>
          <w:spacing w:val="-16"/>
        </w:rPr>
        <w:t xml:space="preserve"> </w:t>
      </w:r>
      <w:r>
        <w:t>people.</w:t>
      </w:r>
      <w:r>
        <w:rPr>
          <w:spacing w:val="-16"/>
        </w:rPr>
        <w:t xml:space="preserve"> </w:t>
      </w:r>
      <w:r>
        <w:t>“Bank”</w:t>
      </w:r>
      <w:r>
        <w:rPr>
          <w:spacing w:val="-16"/>
        </w:rPr>
        <w:t xml:space="preserve"> </w:t>
      </w:r>
      <w:r>
        <w:t>is</w:t>
      </w:r>
      <w:r>
        <w:rPr>
          <w:spacing w:val="-16"/>
        </w:rPr>
        <w:t xml:space="preserve"> </w:t>
      </w:r>
      <w:r>
        <w:t>ambiguous,</w:t>
      </w:r>
      <w:r>
        <w:rPr>
          <w:spacing w:val="-16"/>
        </w:rPr>
        <w:t xml:space="preserve"> </w:t>
      </w:r>
      <w:r>
        <w:t>since</w:t>
      </w:r>
      <w:r>
        <w:rPr>
          <w:spacing w:val="-16"/>
        </w:rPr>
        <w:t xml:space="preserve"> </w:t>
      </w:r>
      <w:r>
        <w:t>it</w:t>
      </w:r>
      <w:r>
        <w:rPr>
          <w:spacing w:val="-16"/>
        </w:rPr>
        <w:t xml:space="preserve"> </w:t>
      </w:r>
      <w:r>
        <w:t>has</w:t>
      </w:r>
      <w:r>
        <w:rPr>
          <w:spacing w:val="-16"/>
        </w:rPr>
        <w:t xml:space="preserve"> </w:t>
      </w:r>
      <w:r>
        <w:t>two meanings.</w:t>
      </w:r>
      <w:r>
        <w:rPr>
          <w:spacing w:val="-14"/>
        </w:rPr>
        <w:t xml:space="preserve"> </w:t>
      </w:r>
      <w:r>
        <w:t>But</w:t>
      </w:r>
      <w:r>
        <w:rPr>
          <w:spacing w:val="-2"/>
        </w:rPr>
        <w:t xml:space="preserve"> </w:t>
      </w:r>
      <w:r>
        <w:t>I’m</w:t>
      </w:r>
      <w:r>
        <w:rPr>
          <w:spacing w:val="-2"/>
        </w:rPr>
        <w:t xml:space="preserve"> </w:t>
      </w:r>
      <w:r>
        <w:t>not</w:t>
      </w:r>
      <w:r>
        <w:rPr>
          <w:spacing w:val="-2"/>
        </w:rPr>
        <w:t xml:space="preserve"> </w:t>
      </w:r>
      <w:r>
        <w:t>ambiguous,</w:t>
      </w:r>
      <w:r>
        <w:rPr>
          <w:spacing w:val="-2"/>
        </w:rPr>
        <w:t xml:space="preserve"> </w:t>
      </w:r>
      <w:r>
        <w:t>and</w:t>
      </w:r>
      <w:r>
        <w:rPr>
          <w:spacing w:val="-2"/>
        </w:rPr>
        <w:t xml:space="preserve"> </w:t>
      </w:r>
      <w:r>
        <w:t>neither</w:t>
      </w:r>
      <w:r>
        <w:rPr>
          <w:spacing w:val="-2"/>
        </w:rPr>
        <w:t xml:space="preserve"> </w:t>
      </w:r>
      <w:r>
        <w:t>are</w:t>
      </w:r>
      <w:r>
        <w:rPr>
          <w:spacing w:val="-2"/>
        </w:rPr>
        <w:t xml:space="preserve"> </w:t>
      </w:r>
      <w:r>
        <w:t>you.</w:t>
      </w:r>
      <w:r>
        <w:rPr>
          <w:spacing w:val="-14"/>
        </w:rPr>
        <w:t xml:space="preserve"> </w:t>
      </w:r>
      <w:r>
        <w:t>And</w:t>
      </w:r>
      <w:r>
        <w:rPr>
          <w:spacing w:val="-2"/>
        </w:rPr>
        <w:t xml:space="preserve"> </w:t>
      </w:r>
      <w:r>
        <w:t>if</w:t>
      </w:r>
      <w:r>
        <w:rPr>
          <w:spacing w:val="-19"/>
        </w:rPr>
        <w:t xml:space="preserve"> </w:t>
      </w:r>
      <w:r>
        <w:rPr>
          <w:i/>
        </w:rPr>
        <w:t>per</w:t>
      </w:r>
      <w:r>
        <w:rPr>
          <w:i/>
          <w:spacing w:val="-9"/>
        </w:rPr>
        <w:t xml:space="preserve"> </w:t>
      </w:r>
      <w:r>
        <w:rPr>
          <w:i/>
        </w:rPr>
        <w:t xml:space="preserve">impossibile </w:t>
      </w:r>
      <w:r>
        <w:rPr>
          <w:spacing w:val="9"/>
        </w:rPr>
        <w:t>there</w:t>
      </w:r>
      <w:r>
        <w:rPr>
          <w:spacing w:val="-19"/>
        </w:rPr>
        <w:t xml:space="preserve"> </w:t>
      </w:r>
      <w:r>
        <w:rPr>
          <w:i/>
          <w:spacing w:val="20"/>
        </w:rPr>
        <w:t>did</w:t>
      </w:r>
      <w:r>
        <w:rPr>
          <w:i/>
          <w:spacing w:val="-19"/>
        </w:rPr>
        <w:t xml:space="preserve"> </w:t>
      </w:r>
      <w:r>
        <w:t xml:space="preserve">exist some ambiguous person—some blank, featureless shell of a person who was picked out by “someone”—SS would unambiguously say of </w:t>
      </w:r>
      <w:r>
        <w:rPr>
          <w:i/>
        </w:rPr>
        <w:t>that</w:t>
      </w:r>
      <w:r>
        <w:rPr>
          <w:i/>
          <w:spacing w:val="-17"/>
        </w:rPr>
        <w:t xml:space="preserve"> </w:t>
      </w:r>
      <w:r>
        <w:t>person that he or she smoked.</w:t>
      </w:r>
      <w:r>
        <w:rPr>
          <w:spacing w:val="40"/>
        </w:rPr>
        <w:t xml:space="preserve"> </w:t>
      </w:r>
      <w:r>
        <w:t>But there clearly</w:t>
      </w:r>
      <w:r>
        <w:rPr>
          <w:spacing w:val="-16"/>
        </w:rPr>
        <w:t xml:space="preserve"> </w:t>
      </w:r>
      <w:r>
        <w:t xml:space="preserve">isn’t any </w:t>
      </w:r>
      <w:r>
        <w:rPr>
          <w:i/>
        </w:rPr>
        <w:t xml:space="preserve">one </w:t>
      </w:r>
      <w:r>
        <w:t>person to whom SS attributes the property of smoking. This is easily shown.</w:t>
      </w:r>
      <w:bookmarkStart w:id="12" w:name="_bookmark12"/>
      <w:bookmarkEnd w:id="12"/>
      <w:r>
        <w:rPr>
          <w:color w:val="0562C1"/>
          <w:position w:val="21"/>
          <w:u w:val="single" w:color="0562C1"/>
        </w:rPr>
        <w:t>[9]</w:t>
      </w:r>
      <w:r>
        <w:rPr>
          <w:color w:val="0562C1"/>
          <w:position w:val="21"/>
        </w:rPr>
        <w:t xml:space="preserve"> </w:t>
      </w:r>
      <w:r>
        <w:t>If</w:t>
      </w:r>
      <w:r>
        <w:rPr>
          <w:spacing w:val="40"/>
        </w:rPr>
        <w:t xml:space="preserve"> </w:t>
      </w:r>
      <w:r>
        <w:t>Smith</w:t>
      </w:r>
      <w:r>
        <w:rPr>
          <w:spacing w:val="28"/>
        </w:rPr>
        <w:t xml:space="preserve"> </w:t>
      </w:r>
      <w:r>
        <w:t>smokes,</w:t>
      </w:r>
      <w:r>
        <w:rPr>
          <w:spacing w:val="28"/>
        </w:rPr>
        <w:t xml:space="preserve"> </w:t>
      </w:r>
      <w:r>
        <w:t>the</w:t>
      </w:r>
      <w:r>
        <w:rPr>
          <w:spacing w:val="28"/>
        </w:rPr>
        <w:t xml:space="preserve"> </w:t>
      </w:r>
      <w:r>
        <w:t>sentence:</w:t>
      </w:r>
      <w:r>
        <w:rPr>
          <w:spacing w:val="28"/>
        </w:rPr>
        <w:t xml:space="preserve"> </w:t>
      </w:r>
      <w:r>
        <w:t>“someone</w:t>
      </w:r>
      <w:r>
        <w:rPr>
          <w:spacing w:val="28"/>
        </w:rPr>
        <w:t xml:space="preserve"> </w:t>
      </w:r>
      <w:r>
        <w:t>smokes</w:t>
      </w:r>
      <w:r>
        <w:rPr>
          <w:spacing w:val="28"/>
        </w:rPr>
        <w:t xml:space="preserve"> </w:t>
      </w:r>
      <w:r>
        <w:t>but</w:t>
      </w:r>
      <w:r>
        <w:rPr>
          <w:spacing w:val="28"/>
        </w:rPr>
        <w:t xml:space="preserve"> </w:t>
      </w:r>
      <w:r>
        <w:t>Smith</w:t>
      </w:r>
      <w:r>
        <w:rPr>
          <w:spacing w:val="28"/>
        </w:rPr>
        <w:t xml:space="preserve"> </w:t>
      </w:r>
      <w:r>
        <w:t>does</w:t>
      </w:r>
      <w:r>
        <w:rPr>
          <w:spacing w:val="28"/>
        </w:rPr>
        <w:t xml:space="preserve"> </w:t>
      </w:r>
      <w:r>
        <w:t>not”</w:t>
      </w:r>
      <w:r>
        <w:rPr>
          <w:spacing w:val="20"/>
        </w:rPr>
        <w:t xml:space="preserve"> </w:t>
      </w:r>
      <w:r>
        <w:t>will</w:t>
      </w:r>
      <w:r>
        <w:rPr>
          <w:spacing w:val="26"/>
        </w:rPr>
        <w:t xml:space="preserve"> </w:t>
      </w:r>
      <w:r>
        <w:t>be</w:t>
      </w:r>
    </w:p>
    <w:p w14:paraId="7E0006C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6CF" w14:textId="77777777" w:rsidR="009A58DB" w:rsidRDefault="00000000">
      <w:pPr>
        <w:pStyle w:val="BodyText"/>
        <w:spacing w:before="65" w:line="249" w:lineRule="auto"/>
        <w:ind w:right="362"/>
      </w:pPr>
      <w:r>
        <w:rPr>
          <w:i/>
        </w:rPr>
        <w:lastRenderedPageBreak/>
        <w:t xml:space="preserve">false. </w:t>
      </w:r>
      <w:r>
        <w:t xml:space="preserve">But it won’t be </w:t>
      </w:r>
      <w:r>
        <w:rPr>
          <w:b/>
          <w:i/>
        </w:rPr>
        <w:t xml:space="preserve">self-contradictory; </w:t>
      </w:r>
      <w:r>
        <w:t>it won’t be like “Smith smokes but Smith does not smoke.” (For a statement to be self-contradictory is for it to bear two mutually opposed meanings.) Of course, there isn’t anything special about the name “Smith,” what we just said could have been said in</w:t>
      </w:r>
      <w:r>
        <w:rPr>
          <w:spacing w:val="40"/>
        </w:rPr>
        <w:t xml:space="preserve"> </w:t>
      </w:r>
      <w:r>
        <w:t>connection with Jones or Brown or any other expression that refers to some individual. Thus, there is no individual N such that it is self-contradictory to say that someone smokes but N does not. Therefore “someone” doesn’t refer to anyone.</w:t>
      </w:r>
    </w:p>
    <w:p w14:paraId="7E0006D0" w14:textId="77777777" w:rsidR="009A58DB" w:rsidRDefault="00000000">
      <w:pPr>
        <w:pStyle w:val="BodyText"/>
        <w:spacing w:before="9" w:line="249" w:lineRule="auto"/>
        <w:ind w:right="367" w:firstLine="360"/>
      </w:pPr>
      <w:r>
        <w:t xml:space="preserve">“But you’ve misunderstood my thesis” it will be said. “The word “someone” doesn’t unambiguously pick out an ambiguous person. It is </w:t>
      </w:r>
      <w:r>
        <w:rPr>
          <w:i/>
        </w:rPr>
        <w:t xml:space="preserve">itself </w:t>
      </w:r>
      <w:r>
        <w:t xml:space="preserve">ambiguous. It refers to Fred and Ethel and Mary. It refers to all people </w:t>
      </w:r>
      <w:r>
        <w:rPr>
          <w:spacing w:val="-2"/>
        </w:rPr>
        <w:t>indifferently.”</w:t>
      </w:r>
    </w:p>
    <w:p w14:paraId="7E0006D1" w14:textId="77777777" w:rsidR="009A58DB" w:rsidRDefault="00000000">
      <w:pPr>
        <w:pStyle w:val="BodyText"/>
        <w:spacing w:before="5" w:line="249" w:lineRule="auto"/>
        <w:ind w:right="358" w:firstLine="360"/>
      </w:pPr>
      <w:r>
        <w:t>That’s false. “Someone” isn’t ambiguous; it isn’t like the word “dumb.”</w:t>
      </w:r>
      <w:r>
        <w:rPr>
          <w:spacing w:val="40"/>
        </w:rPr>
        <w:t xml:space="preserve"> </w:t>
      </w:r>
      <w:r>
        <w:t xml:space="preserve">SS has one meaning, unlike “John is dumb,” which could mean either “John is unintelligent” or “John is mute.” Also, if “someone” were </w:t>
      </w:r>
      <w:r>
        <w:rPr>
          <w:i/>
        </w:rPr>
        <w:t xml:space="preserve">ambiguous </w:t>
      </w:r>
      <w:r>
        <w:t>between</w:t>
      </w:r>
      <w:r>
        <w:rPr>
          <w:spacing w:val="-3"/>
        </w:rPr>
        <w:t xml:space="preserve"> </w:t>
      </w:r>
      <w:r>
        <w:t>“John”</w:t>
      </w:r>
      <w:r>
        <w:rPr>
          <w:spacing w:val="-3"/>
        </w:rPr>
        <w:t xml:space="preserve"> </w:t>
      </w:r>
      <w:r>
        <w:t>and</w:t>
      </w:r>
      <w:r>
        <w:rPr>
          <w:spacing w:val="-3"/>
        </w:rPr>
        <w:t xml:space="preserve"> </w:t>
      </w:r>
      <w:r>
        <w:t>“Ethel”</w:t>
      </w:r>
      <w:r>
        <w:rPr>
          <w:spacing w:val="-3"/>
        </w:rPr>
        <w:t xml:space="preserve"> </w:t>
      </w:r>
      <w:r>
        <w:t>and</w:t>
      </w:r>
      <w:r>
        <w:rPr>
          <w:spacing w:val="-3"/>
        </w:rPr>
        <w:t xml:space="preserve"> </w:t>
      </w:r>
      <w:r>
        <w:t>so</w:t>
      </w:r>
      <w:r>
        <w:rPr>
          <w:spacing w:val="-3"/>
        </w:rPr>
        <w:t xml:space="preserve"> </w:t>
      </w:r>
      <w:r>
        <w:t>on,</w:t>
      </w:r>
      <w:r>
        <w:rPr>
          <w:spacing w:val="-3"/>
        </w:rPr>
        <w:t xml:space="preserve"> </w:t>
      </w:r>
      <w:r>
        <w:t>then,</w:t>
      </w:r>
      <w:r>
        <w:rPr>
          <w:spacing w:val="-3"/>
        </w:rPr>
        <w:t xml:space="preserve"> </w:t>
      </w:r>
      <w:r>
        <w:t>depending</w:t>
      </w:r>
      <w:r>
        <w:rPr>
          <w:spacing w:val="-3"/>
        </w:rPr>
        <w:t xml:space="preserve"> </w:t>
      </w:r>
      <w:r>
        <w:t>on</w:t>
      </w:r>
      <w:r>
        <w:rPr>
          <w:spacing w:val="-3"/>
        </w:rPr>
        <w:t xml:space="preserve"> </w:t>
      </w:r>
      <w:r>
        <w:t>the</w:t>
      </w:r>
      <w:r>
        <w:rPr>
          <w:spacing w:val="-3"/>
        </w:rPr>
        <w:t xml:space="preserve"> </w:t>
      </w:r>
      <w:r>
        <w:t xml:space="preserve">circumstances, it would be synonymous with “John smokes” or “Ethel smokes.” And in that case, “someone smokes, but John does not” would sometimes have the same meaning as “John smokes but John does not smoke,” in which case it would be self-contradictory. But, as we just saw, “someone smokes, but John does not” is not self-contradictory under any circumstances. If John </w:t>
      </w:r>
      <w:r>
        <w:rPr>
          <w:i/>
        </w:rPr>
        <w:t>does</w:t>
      </w:r>
      <w:r>
        <w:rPr>
          <w:i/>
          <w:spacing w:val="-3"/>
        </w:rPr>
        <w:t xml:space="preserve"> </w:t>
      </w:r>
      <w:r>
        <w:t>smoke,</w:t>
      </w:r>
      <w:r>
        <w:rPr>
          <w:spacing w:val="-2"/>
        </w:rPr>
        <w:t xml:space="preserve"> </w:t>
      </w:r>
      <w:r>
        <w:t xml:space="preserve">it will be </w:t>
      </w:r>
      <w:r>
        <w:rPr>
          <w:i/>
        </w:rPr>
        <w:t xml:space="preserve">false, </w:t>
      </w:r>
      <w:r>
        <w:t>but it won’t be self-contradictory.</w:t>
      </w:r>
    </w:p>
    <w:p w14:paraId="7E0006D2" w14:textId="77777777" w:rsidR="009A58DB" w:rsidRDefault="00000000">
      <w:pPr>
        <w:pStyle w:val="BodyText"/>
        <w:spacing w:before="13" w:line="249" w:lineRule="auto"/>
        <w:ind w:right="364" w:firstLine="360"/>
      </w:pPr>
      <w:r>
        <w:t>Also, it isn’t clear what it means to say that “someone” picks out everyone “indifferently.” But if, as is surely the case, picking out everyone</w:t>
      </w:r>
      <w:r>
        <w:rPr>
          <w:spacing w:val="40"/>
        </w:rPr>
        <w:t xml:space="preserve"> </w:t>
      </w:r>
      <w:r>
        <w:t>indifferently involves picking out everyone, then it’s just wrong to say that “someone” picks out everyone “indifferently” (or in any other way). For if it did, it would have the same meaning as “everyone,” which it doesn’t.</w:t>
      </w:r>
    </w:p>
    <w:p w14:paraId="7E0006D3" w14:textId="77777777" w:rsidR="009A58DB" w:rsidRDefault="00000000">
      <w:pPr>
        <w:pStyle w:val="Heading1"/>
        <w:numPr>
          <w:ilvl w:val="1"/>
          <w:numId w:val="230"/>
        </w:numPr>
        <w:tabs>
          <w:tab w:val="left" w:pos="1033"/>
        </w:tabs>
        <w:spacing w:before="194" w:line="244" w:lineRule="auto"/>
        <w:ind w:right="360" w:firstLine="0"/>
      </w:pPr>
      <w:r>
        <w:t>The</w:t>
      </w:r>
      <w:r>
        <w:rPr>
          <w:spacing w:val="37"/>
        </w:rPr>
        <w:t xml:space="preserve"> </w:t>
      </w:r>
      <w:r>
        <w:t>right</w:t>
      </w:r>
      <w:r>
        <w:rPr>
          <w:spacing w:val="36"/>
        </w:rPr>
        <w:t xml:space="preserve"> </w:t>
      </w:r>
      <w:r>
        <w:t>way</w:t>
      </w:r>
      <w:r>
        <w:rPr>
          <w:spacing w:val="37"/>
        </w:rPr>
        <w:t xml:space="preserve"> </w:t>
      </w:r>
      <w:r>
        <w:t>to</w:t>
      </w:r>
      <w:r>
        <w:rPr>
          <w:spacing w:val="37"/>
        </w:rPr>
        <w:t xml:space="preserve"> </w:t>
      </w:r>
      <w:r>
        <w:t>react</w:t>
      </w:r>
      <w:r>
        <w:rPr>
          <w:spacing w:val="36"/>
        </w:rPr>
        <w:t xml:space="preserve"> </w:t>
      </w:r>
      <w:r>
        <w:t>to</w:t>
      </w:r>
      <w:r>
        <w:rPr>
          <w:spacing w:val="37"/>
        </w:rPr>
        <w:t xml:space="preserve"> </w:t>
      </w:r>
      <w:r>
        <w:t>grammatical</w:t>
      </w:r>
      <w:r>
        <w:rPr>
          <w:spacing w:val="36"/>
        </w:rPr>
        <w:t xml:space="preserve"> </w:t>
      </w:r>
      <w:r>
        <w:t>surface-</w:t>
      </w:r>
      <w:r>
        <w:rPr>
          <w:spacing w:val="-2"/>
        </w:rPr>
        <w:t>structure</w:t>
      </w:r>
    </w:p>
    <w:p w14:paraId="7E0006D4" w14:textId="77777777" w:rsidR="009A58DB" w:rsidRDefault="00000000">
      <w:pPr>
        <w:pStyle w:val="BodyText"/>
        <w:spacing w:before="132" w:line="249" w:lineRule="auto"/>
        <w:ind w:right="358" w:firstLine="360"/>
      </w:pPr>
      <w:r>
        <w:t xml:space="preserve">What all this shows is that “someone” isn’t in the same category as “John” and “Ethel.” It doesn’t function in the same way, even though, given its </w:t>
      </w:r>
      <w:r>
        <w:rPr>
          <w:i/>
        </w:rPr>
        <w:t xml:space="preserve">grammatical </w:t>
      </w:r>
      <w:r>
        <w:t>function, one would expect it to. SS is obviously true. The wrong way to react to that fact is to twist reality to make it conform to our assumption</w:t>
      </w:r>
      <w:r>
        <w:rPr>
          <w:spacing w:val="-4"/>
        </w:rPr>
        <w:t xml:space="preserve"> </w:t>
      </w:r>
      <w:r>
        <w:t>that</w:t>
      </w:r>
      <w:r>
        <w:rPr>
          <w:spacing w:val="-4"/>
        </w:rPr>
        <w:t xml:space="preserve"> </w:t>
      </w:r>
      <w:r>
        <w:t>“someone,”</w:t>
      </w:r>
      <w:r>
        <w:rPr>
          <w:spacing w:val="-4"/>
        </w:rPr>
        <w:t xml:space="preserve"> </w:t>
      </w:r>
      <w:r>
        <w:t>being</w:t>
      </w:r>
      <w:r>
        <w:rPr>
          <w:spacing w:val="-4"/>
        </w:rPr>
        <w:t xml:space="preserve"> </w:t>
      </w:r>
      <w:r>
        <w:t>grammatically</w:t>
      </w:r>
      <w:r>
        <w:rPr>
          <w:spacing w:val="-4"/>
        </w:rPr>
        <w:t xml:space="preserve"> </w:t>
      </w:r>
      <w:r>
        <w:t>comparable</w:t>
      </w:r>
      <w:r>
        <w:rPr>
          <w:spacing w:val="-4"/>
        </w:rPr>
        <w:t xml:space="preserve"> </w:t>
      </w:r>
      <w:r>
        <w:t>to</w:t>
      </w:r>
      <w:r>
        <w:rPr>
          <w:spacing w:val="-4"/>
        </w:rPr>
        <w:t xml:space="preserve"> </w:t>
      </w:r>
      <w:r>
        <w:t>“John,”</w:t>
      </w:r>
      <w:r>
        <w:rPr>
          <w:spacing w:val="-4"/>
        </w:rPr>
        <w:t xml:space="preserve"> </w:t>
      </w:r>
      <w:r>
        <w:t>must</w:t>
      </w:r>
    </w:p>
    <w:p w14:paraId="7E0006D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D6" w14:textId="77777777" w:rsidR="009A58DB" w:rsidRDefault="00000000">
      <w:pPr>
        <w:pStyle w:val="BodyText"/>
        <w:spacing w:before="60" w:line="249" w:lineRule="auto"/>
        <w:ind w:right="359"/>
      </w:pPr>
      <w:r>
        <w:lastRenderedPageBreak/>
        <w:t>refer to something. If we take that path, we must say that it refers to an “ambiguous” or “non-specific” person, or some such, given that it obviously doesn’t refer to anyone specific. But then we’re then stuck with the absurd thesis that there is some non-specific entity in the world— that there exists something that isn’t identical with any particular thing and therefore isn’t identical with anything.</w:t>
      </w:r>
    </w:p>
    <w:p w14:paraId="7E0006D7" w14:textId="77777777" w:rsidR="009A58DB" w:rsidRDefault="00000000">
      <w:pPr>
        <w:pStyle w:val="BodyText"/>
        <w:spacing w:before="12" w:line="249" w:lineRule="auto"/>
        <w:ind w:right="360" w:firstLine="360"/>
      </w:pPr>
      <w:r>
        <w:t xml:space="preserve">The right way to react to it is to think more deeply about what SS is really saying. Frege did this, and he solved the puzzle. SS’s </w:t>
      </w:r>
      <w:r>
        <w:rPr>
          <w:b/>
          <w:i/>
        </w:rPr>
        <w:t xml:space="preserve">logical form </w:t>
      </w:r>
      <w:r>
        <w:t xml:space="preserve">diverges from its </w:t>
      </w:r>
      <w:r>
        <w:rPr>
          <w:i/>
        </w:rPr>
        <w:t xml:space="preserve">grammatical </w:t>
      </w:r>
      <w:r>
        <w:t>form. In terms of what its grammar suggests that it is saying, SS is indistinguishable from sentences that attribute the property of smoking to specific objects. In terms of what</w:t>
      </w:r>
      <w:r>
        <w:rPr>
          <w:spacing w:val="-1"/>
        </w:rPr>
        <w:t xml:space="preserve"> </w:t>
      </w:r>
      <w:r>
        <w:t>it really is saying, it is evidently very different from such sentences.</w:t>
      </w:r>
    </w:p>
    <w:p w14:paraId="7E0006D8" w14:textId="77777777" w:rsidR="009A58DB" w:rsidRDefault="00000000">
      <w:pPr>
        <w:pStyle w:val="BodyText"/>
        <w:spacing w:before="7" w:line="249" w:lineRule="auto"/>
        <w:ind w:right="359" w:firstLine="360"/>
      </w:pPr>
      <w:r>
        <w:t xml:space="preserve">What SS is saying, as Frege made clear, is that the characteristic—or as analytic philosophers put it, the </w:t>
      </w:r>
      <w:r>
        <w:rPr>
          <w:b/>
          <w:i/>
        </w:rPr>
        <w:t>property</w:t>
      </w:r>
      <w:r>
        <w:t>—of being a smoker is instantiated. SS</w:t>
      </w:r>
      <w:r>
        <w:rPr>
          <w:spacing w:val="-1"/>
        </w:rPr>
        <w:t xml:space="preserve"> </w:t>
      </w:r>
      <w:r>
        <w:t>is</w:t>
      </w:r>
      <w:r>
        <w:rPr>
          <w:spacing w:val="-1"/>
        </w:rPr>
        <w:t xml:space="preserve"> </w:t>
      </w:r>
      <w:r>
        <w:t>making</w:t>
      </w:r>
      <w:r>
        <w:rPr>
          <w:spacing w:val="-1"/>
        </w:rPr>
        <w:t xml:space="preserve"> </w:t>
      </w:r>
      <w:r>
        <w:t>a</w:t>
      </w:r>
      <w:r>
        <w:rPr>
          <w:spacing w:val="-1"/>
        </w:rPr>
        <w:t xml:space="preserve"> </w:t>
      </w:r>
      <w:r>
        <w:t>statement,</w:t>
      </w:r>
      <w:r>
        <w:rPr>
          <w:spacing w:val="-1"/>
        </w:rPr>
        <w:t xml:space="preserve"> </w:t>
      </w:r>
      <w:r>
        <w:t>not</w:t>
      </w:r>
      <w:r>
        <w:rPr>
          <w:spacing w:val="-1"/>
        </w:rPr>
        <w:t xml:space="preserve"> </w:t>
      </w:r>
      <w:r>
        <w:t>about</w:t>
      </w:r>
      <w:r>
        <w:rPr>
          <w:spacing w:val="-1"/>
        </w:rPr>
        <w:t xml:space="preserve"> </w:t>
      </w:r>
      <w:r>
        <w:t>some</w:t>
      </w:r>
      <w:r>
        <w:rPr>
          <w:spacing w:val="-1"/>
        </w:rPr>
        <w:t xml:space="preserve"> </w:t>
      </w:r>
      <w:r>
        <w:t>non-specific</w:t>
      </w:r>
      <w:r>
        <w:rPr>
          <w:spacing w:val="-1"/>
        </w:rPr>
        <w:t xml:space="preserve"> </w:t>
      </w:r>
      <w:r>
        <w:t>individual,</w:t>
      </w:r>
      <w:r>
        <w:rPr>
          <w:spacing w:val="-1"/>
        </w:rPr>
        <w:t xml:space="preserve"> </w:t>
      </w:r>
      <w:r>
        <w:t>but</w:t>
      </w:r>
      <w:r>
        <w:rPr>
          <w:spacing w:val="-1"/>
        </w:rPr>
        <w:t xml:space="preserve"> </w:t>
      </w:r>
      <w:r>
        <w:t>about</w:t>
      </w:r>
      <w:r>
        <w:rPr>
          <w:spacing w:val="-1"/>
        </w:rPr>
        <w:t xml:space="preserve"> </w:t>
      </w:r>
      <w:r>
        <w:t xml:space="preserve">a very specific property, and it’s saying of this property that it’s </w:t>
      </w:r>
      <w:r>
        <w:rPr>
          <w:b/>
          <w:i/>
        </w:rPr>
        <w:t xml:space="preserve">instantiated. </w:t>
      </w:r>
      <w:r>
        <w:t xml:space="preserve">(For a property to be instantiated is for there to be an </w:t>
      </w:r>
      <w:r>
        <w:rPr>
          <w:b/>
          <w:i/>
        </w:rPr>
        <w:t xml:space="preserve">instance </w:t>
      </w:r>
      <w:r>
        <w:t>of it. An instance of a property is something that has it. You are an instance of, and therefore instantiate, the property of being human since, being human, you have that property. )</w:t>
      </w:r>
    </w:p>
    <w:p w14:paraId="7E0006D9" w14:textId="77777777" w:rsidR="009A58DB" w:rsidRDefault="00000000">
      <w:pPr>
        <w:pStyle w:val="BodyText"/>
        <w:spacing w:before="10" w:line="249" w:lineRule="auto"/>
        <w:ind w:right="357" w:firstLine="360"/>
      </w:pPr>
      <w:r>
        <w:t>There</w:t>
      </w:r>
      <w:r>
        <w:rPr>
          <w:spacing w:val="-1"/>
        </w:rPr>
        <w:t xml:space="preserve"> </w:t>
      </w:r>
      <w:r>
        <w:t>are</w:t>
      </w:r>
      <w:r>
        <w:rPr>
          <w:spacing w:val="-1"/>
        </w:rPr>
        <w:t xml:space="preserve"> </w:t>
      </w:r>
      <w:r>
        <w:t>properties</w:t>
      </w:r>
      <w:r>
        <w:rPr>
          <w:spacing w:val="-1"/>
        </w:rPr>
        <w:t xml:space="preserve"> </w:t>
      </w:r>
      <w:r>
        <w:t>that</w:t>
      </w:r>
      <w:r>
        <w:rPr>
          <w:spacing w:val="-1"/>
        </w:rPr>
        <w:t xml:space="preserve"> </w:t>
      </w:r>
      <w:r>
        <w:t>nothing</w:t>
      </w:r>
      <w:r>
        <w:rPr>
          <w:spacing w:val="-1"/>
        </w:rPr>
        <w:t xml:space="preserve"> </w:t>
      </w:r>
      <w:r>
        <w:t>has.</w:t>
      </w:r>
      <w:r>
        <w:rPr>
          <w:spacing w:val="-1"/>
        </w:rPr>
        <w:t xml:space="preserve"> </w:t>
      </w:r>
      <w:r>
        <w:t>Nobody</w:t>
      </w:r>
      <w:r>
        <w:rPr>
          <w:spacing w:val="-1"/>
        </w:rPr>
        <w:t xml:space="preserve"> </w:t>
      </w:r>
      <w:r>
        <w:t>has</w:t>
      </w:r>
      <w:r>
        <w:rPr>
          <w:spacing w:val="-1"/>
        </w:rPr>
        <w:t xml:space="preserve"> </w:t>
      </w:r>
      <w:r>
        <w:t>run</w:t>
      </w:r>
      <w:r>
        <w:rPr>
          <w:spacing w:val="-1"/>
        </w:rPr>
        <w:t xml:space="preserve"> </w:t>
      </w:r>
      <w:r>
        <w:t>a</w:t>
      </w:r>
      <w:r>
        <w:rPr>
          <w:spacing w:val="-1"/>
        </w:rPr>
        <w:t xml:space="preserve"> </w:t>
      </w:r>
      <w:r>
        <w:t>three-minute</w:t>
      </w:r>
      <w:r>
        <w:rPr>
          <w:spacing w:val="-1"/>
        </w:rPr>
        <w:t xml:space="preserve"> </w:t>
      </w:r>
      <w:r>
        <w:t>mile. Given any individual, x, it is false to attribute the property of being a person who has run a three-minute mile. Thus, there are no instances of that</w:t>
      </w:r>
      <w:r>
        <w:rPr>
          <w:spacing w:val="40"/>
        </w:rPr>
        <w:t xml:space="preserve"> </w:t>
      </w:r>
      <w:r>
        <w:t>property. It is uninstantiated. The grammatical form of (“TM” can be thought of as short for “three minutes”):</w:t>
      </w:r>
    </w:p>
    <w:p w14:paraId="7E0006DA" w14:textId="77777777" w:rsidR="009A58DB" w:rsidRDefault="009A58DB">
      <w:pPr>
        <w:pStyle w:val="BodyText"/>
        <w:spacing w:before="21"/>
        <w:ind w:left="0"/>
        <w:jc w:val="left"/>
      </w:pPr>
    </w:p>
    <w:p w14:paraId="7E0006DB" w14:textId="77777777" w:rsidR="009A58DB" w:rsidRDefault="00000000">
      <w:pPr>
        <w:pStyle w:val="BodyText"/>
        <w:spacing w:line="532" w:lineRule="auto"/>
        <w:ind w:right="4416"/>
        <w:jc w:val="left"/>
      </w:pPr>
      <w:r>
        <w:t>(TM)</w:t>
      </w:r>
      <w:r>
        <w:rPr>
          <w:spacing w:val="-7"/>
        </w:rPr>
        <w:t xml:space="preserve"> </w:t>
      </w:r>
      <w:r>
        <w:t>“nobody</w:t>
      </w:r>
      <w:r>
        <w:rPr>
          <w:spacing w:val="-6"/>
        </w:rPr>
        <w:t xml:space="preserve"> </w:t>
      </w:r>
      <w:r>
        <w:t>has</w:t>
      </w:r>
      <w:r>
        <w:rPr>
          <w:spacing w:val="-7"/>
        </w:rPr>
        <w:t xml:space="preserve"> </w:t>
      </w:r>
      <w:r>
        <w:t>run</w:t>
      </w:r>
      <w:r>
        <w:rPr>
          <w:spacing w:val="-6"/>
        </w:rPr>
        <w:t xml:space="preserve"> </w:t>
      </w:r>
      <w:r>
        <w:t>a</w:t>
      </w:r>
      <w:r>
        <w:rPr>
          <w:spacing w:val="-7"/>
        </w:rPr>
        <w:t xml:space="preserve"> </w:t>
      </w:r>
      <w:r>
        <w:t>three-minute</w:t>
      </w:r>
      <w:r>
        <w:rPr>
          <w:spacing w:val="-7"/>
        </w:rPr>
        <w:t xml:space="preserve"> </w:t>
      </w:r>
      <w:r>
        <w:t>mile” is just like that of</w:t>
      </w:r>
    </w:p>
    <w:p w14:paraId="7E0006DC" w14:textId="77777777" w:rsidR="009A58DB" w:rsidRDefault="00000000">
      <w:pPr>
        <w:pStyle w:val="BodyText"/>
        <w:spacing w:line="298" w:lineRule="exact"/>
        <w:jc w:val="left"/>
      </w:pPr>
      <w:r>
        <w:t>(JTM)</w:t>
      </w:r>
      <w:r>
        <w:rPr>
          <w:spacing w:val="-6"/>
        </w:rPr>
        <w:t xml:space="preserve"> </w:t>
      </w:r>
      <w:r>
        <w:t>“John</w:t>
      </w:r>
      <w:r>
        <w:rPr>
          <w:spacing w:val="-3"/>
        </w:rPr>
        <w:t xml:space="preserve"> </w:t>
      </w:r>
      <w:r>
        <w:t>has</w:t>
      </w:r>
      <w:r>
        <w:rPr>
          <w:spacing w:val="-3"/>
        </w:rPr>
        <w:t xml:space="preserve"> </w:t>
      </w:r>
      <w:r>
        <w:t>run</w:t>
      </w:r>
      <w:r>
        <w:rPr>
          <w:spacing w:val="-3"/>
        </w:rPr>
        <w:t xml:space="preserve"> </w:t>
      </w:r>
      <w:r>
        <w:t>a</w:t>
      </w:r>
      <w:r>
        <w:rPr>
          <w:spacing w:val="-4"/>
        </w:rPr>
        <w:t xml:space="preserve"> </w:t>
      </w:r>
      <w:r>
        <w:t>three-minute</w:t>
      </w:r>
      <w:r>
        <w:rPr>
          <w:spacing w:val="-3"/>
        </w:rPr>
        <w:t xml:space="preserve"> </w:t>
      </w:r>
      <w:r>
        <w:rPr>
          <w:spacing w:val="-2"/>
        </w:rPr>
        <w:t>mile.”</w:t>
      </w:r>
    </w:p>
    <w:p w14:paraId="7E0006DD" w14:textId="77777777" w:rsidR="009A58DB" w:rsidRDefault="009A58DB">
      <w:pPr>
        <w:pStyle w:val="BodyText"/>
        <w:spacing w:before="30"/>
        <w:ind w:left="0"/>
        <w:jc w:val="left"/>
      </w:pPr>
    </w:p>
    <w:p w14:paraId="7E0006DE" w14:textId="77777777" w:rsidR="009A58DB" w:rsidRDefault="00000000">
      <w:pPr>
        <w:pStyle w:val="BodyText"/>
        <w:spacing w:line="249" w:lineRule="auto"/>
        <w:ind w:right="362"/>
      </w:pPr>
      <w:r>
        <w:t xml:space="preserve">JTM clearly attributes that property to an individual. That isn’t what TM does. TM says of that property that it </w:t>
      </w:r>
      <w:r>
        <w:rPr>
          <w:i/>
        </w:rPr>
        <w:t xml:space="preserve">can’t </w:t>
      </w:r>
      <w:r>
        <w:t>be attributed to anyone. So TM says that (“UP” is short for “uninstantiated property”):</w:t>
      </w:r>
    </w:p>
    <w:p w14:paraId="7E0006D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E0" w14:textId="77777777" w:rsidR="009A58DB" w:rsidRDefault="00000000">
      <w:pPr>
        <w:pStyle w:val="BodyText"/>
        <w:spacing w:before="65" w:line="249" w:lineRule="auto"/>
        <w:ind w:right="359"/>
      </w:pPr>
      <w:r>
        <w:lastRenderedPageBreak/>
        <w:t xml:space="preserve">(UP) the property of being a person who has run a three-minute mile is </w:t>
      </w:r>
      <w:r>
        <w:rPr>
          <w:spacing w:val="-2"/>
        </w:rPr>
        <w:t>uninstantiated.</w:t>
      </w:r>
    </w:p>
    <w:p w14:paraId="7E0006E1" w14:textId="77777777" w:rsidR="009A58DB" w:rsidRDefault="009A58DB">
      <w:pPr>
        <w:pStyle w:val="BodyText"/>
        <w:spacing w:before="17"/>
        <w:ind w:left="0"/>
        <w:jc w:val="left"/>
      </w:pPr>
    </w:p>
    <w:p w14:paraId="7E0006E2" w14:textId="77777777" w:rsidR="009A58DB" w:rsidRDefault="00000000">
      <w:pPr>
        <w:pStyle w:val="BodyText"/>
        <w:spacing w:line="249" w:lineRule="auto"/>
        <w:ind w:right="362"/>
      </w:pPr>
      <w:r>
        <w:t>Notice that UP’s grammatical form is the opposite of TM’s. The grammatical subject of TM is “nobody”; the grammatical predicate is “has run a three-minute mile.” By contrast, the grammatical subject of UP is “the property of being a person who has run a three-minute mile,” which corresponds to “has run a three-minute mile,” and the grammatical predicate of UP is uninstantiated, which corresponds to “nobody.”</w:t>
      </w:r>
    </w:p>
    <w:p w14:paraId="7E0006E3" w14:textId="77777777" w:rsidR="009A58DB" w:rsidRDefault="00000000">
      <w:pPr>
        <w:pStyle w:val="BodyText"/>
        <w:spacing w:before="7" w:line="249" w:lineRule="auto"/>
        <w:ind w:right="358" w:firstLine="360"/>
      </w:pPr>
      <w:r>
        <w:t xml:space="preserve">If one were to take TM at face value, and were thus to assume that its meaning paralleled that of JTM, one would have to say that it attributed the property of being a person who has run a three-minute mile to some un-person, or some such. But if this is what it said, then in order to be true, somebody—namely, this unperson— </w:t>
      </w:r>
      <w:r>
        <w:rPr>
          <w:i/>
        </w:rPr>
        <w:t xml:space="preserve">would </w:t>
      </w:r>
      <w:r>
        <w:t xml:space="preserve">have had to run a three-minute mile, in which case TM would be false. When we align TM’s real meaning with its grammar, we don’t have to swallow this rank absurdity. For UP says of some very much existent property (that of being a person who has run a three-minute mile) that </w:t>
      </w:r>
      <w:r>
        <w:rPr>
          <w:i/>
        </w:rPr>
        <w:t xml:space="preserve">it </w:t>
      </w:r>
      <w:r>
        <w:t xml:space="preserve">has a certain very much existent property (that of being uninstantiated). So we get the right result if we do linguistic analysis. We get the wrong result if we do para-science—if, that is, we posit new </w:t>
      </w:r>
      <w:r>
        <w:rPr>
          <w:i/>
        </w:rPr>
        <w:t xml:space="preserve">entities </w:t>
      </w:r>
      <w:r>
        <w:t>in order to account for the datum that TM is true.</w:t>
      </w:r>
    </w:p>
    <w:p w14:paraId="7E0006E4" w14:textId="77777777" w:rsidR="009A58DB" w:rsidRDefault="00000000">
      <w:pPr>
        <w:pStyle w:val="BodyText"/>
        <w:spacing w:before="15" w:line="501" w:lineRule="auto"/>
        <w:ind w:right="6065" w:firstLine="360"/>
        <w:jc w:val="left"/>
      </w:pPr>
      <w:r>
        <w:t>The</w:t>
      </w:r>
      <w:r>
        <w:rPr>
          <w:spacing w:val="-8"/>
        </w:rPr>
        <w:t xml:space="preserve"> </w:t>
      </w:r>
      <w:r>
        <w:t>same</w:t>
      </w:r>
      <w:r>
        <w:rPr>
          <w:spacing w:val="-8"/>
        </w:rPr>
        <w:t xml:space="preserve"> </w:t>
      </w:r>
      <w:r>
        <w:t>thing</w:t>
      </w:r>
      <w:r>
        <w:rPr>
          <w:spacing w:val="-7"/>
        </w:rPr>
        <w:t xml:space="preserve"> </w:t>
      </w:r>
      <w:r>
        <w:t>is</w:t>
      </w:r>
      <w:r>
        <w:rPr>
          <w:spacing w:val="-8"/>
        </w:rPr>
        <w:t xml:space="preserve"> </w:t>
      </w:r>
      <w:r>
        <w:t>true</w:t>
      </w:r>
      <w:r>
        <w:rPr>
          <w:spacing w:val="-8"/>
        </w:rPr>
        <w:t xml:space="preserve"> </w:t>
      </w:r>
      <w:r>
        <w:t>of: (NS) “nothing smokes.”</w:t>
      </w:r>
    </w:p>
    <w:p w14:paraId="7E0006E5" w14:textId="77777777" w:rsidR="009A58DB" w:rsidRDefault="00000000">
      <w:pPr>
        <w:pStyle w:val="BodyText"/>
        <w:spacing w:line="249" w:lineRule="auto"/>
        <w:ind w:right="362"/>
      </w:pPr>
      <w:r>
        <w:t>Pre-Fregeans said that NS says of some non-thing—some blank entity—that it smokes. So, supposing that in 500 years nobody smokes, and that NS is therefore true, it will be in virtue of the fact that some blank entity is around that is smoking.</w:t>
      </w:r>
    </w:p>
    <w:p w14:paraId="7E0006E6" w14:textId="77777777" w:rsidR="009A58DB" w:rsidRDefault="00000000">
      <w:pPr>
        <w:pStyle w:val="BodyText"/>
        <w:spacing w:before="3" w:line="249" w:lineRule="auto"/>
        <w:ind w:right="359" w:firstLine="360"/>
      </w:pPr>
      <w:r>
        <w:t xml:space="preserve">But if there is such a thing, and it’s smoking, then NS is </w:t>
      </w:r>
      <w:r>
        <w:rPr>
          <w:i/>
        </w:rPr>
        <w:t xml:space="preserve">false. </w:t>
      </w:r>
      <w:r>
        <w:t>As long as one thing smokes, NS is false. It doesn’t matter how blank or otherwise deficient that thing is.</w:t>
      </w:r>
    </w:p>
    <w:p w14:paraId="7E0006E7" w14:textId="77777777" w:rsidR="009A58DB" w:rsidRDefault="00000000">
      <w:pPr>
        <w:pStyle w:val="BodyText"/>
        <w:spacing w:before="4" w:line="249" w:lineRule="auto"/>
        <w:ind w:right="364" w:firstLine="360"/>
      </w:pPr>
      <w:r>
        <w:t>Frege</w:t>
      </w:r>
      <w:r>
        <w:rPr>
          <w:spacing w:val="-3"/>
        </w:rPr>
        <w:t xml:space="preserve"> </w:t>
      </w:r>
      <w:r>
        <w:t>straightened</w:t>
      </w:r>
      <w:r>
        <w:rPr>
          <w:spacing w:val="-3"/>
        </w:rPr>
        <w:t xml:space="preserve"> </w:t>
      </w:r>
      <w:r>
        <w:t>this</w:t>
      </w:r>
      <w:r>
        <w:rPr>
          <w:spacing w:val="-3"/>
        </w:rPr>
        <w:t xml:space="preserve"> </w:t>
      </w:r>
      <w:r>
        <w:t>all</w:t>
      </w:r>
      <w:r>
        <w:rPr>
          <w:spacing w:val="-3"/>
        </w:rPr>
        <w:t xml:space="preserve"> </w:t>
      </w:r>
      <w:r>
        <w:t>out.</w:t>
      </w:r>
      <w:r>
        <w:rPr>
          <w:spacing w:val="-3"/>
        </w:rPr>
        <w:t xml:space="preserve"> </w:t>
      </w:r>
      <w:r>
        <w:t>By</w:t>
      </w:r>
      <w:r>
        <w:rPr>
          <w:spacing w:val="-3"/>
        </w:rPr>
        <w:t xml:space="preserve"> </w:t>
      </w:r>
      <w:r>
        <w:t>obvious</w:t>
      </w:r>
      <w:r>
        <w:rPr>
          <w:spacing w:val="-3"/>
        </w:rPr>
        <w:t xml:space="preserve"> </w:t>
      </w:r>
      <w:r>
        <w:t>extensions</w:t>
      </w:r>
      <w:r>
        <w:rPr>
          <w:spacing w:val="-3"/>
        </w:rPr>
        <w:t xml:space="preserve"> </w:t>
      </w:r>
      <w:r>
        <w:t>of</w:t>
      </w:r>
      <w:r>
        <w:rPr>
          <w:spacing w:val="-3"/>
        </w:rPr>
        <w:t xml:space="preserve"> </w:t>
      </w:r>
      <w:r>
        <w:t>what</w:t>
      </w:r>
      <w:r>
        <w:rPr>
          <w:spacing w:val="-3"/>
        </w:rPr>
        <w:t xml:space="preserve"> </w:t>
      </w:r>
      <w:r>
        <w:t>we</w:t>
      </w:r>
      <w:r>
        <w:rPr>
          <w:spacing w:val="-3"/>
        </w:rPr>
        <w:t xml:space="preserve"> </w:t>
      </w:r>
      <w:r>
        <w:t>just</w:t>
      </w:r>
      <w:r>
        <w:rPr>
          <w:spacing w:val="-3"/>
        </w:rPr>
        <w:t xml:space="preserve"> </w:t>
      </w:r>
      <w:r>
        <w:t>said, NS’s real meaning is:</w:t>
      </w:r>
    </w:p>
    <w:p w14:paraId="7E0006E8"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6E9" w14:textId="77777777" w:rsidR="009A58DB" w:rsidRDefault="00000000">
      <w:pPr>
        <w:spacing w:before="65"/>
        <w:ind w:left="360"/>
        <w:jc w:val="both"/>
        <w:rPr>
          <w:b/>
          <w:sz w:val="30"/>
        </w:rPr>
      </w:pPr>
      <w:r>
        <w:rPr>
          <w:sz w:val="30"/>
        </w:rPr>
        <w:lastRenderedPageBreak/>
        <w:t>(NS</w:t>
      </w:r>
      <w:r>
        <w:rPr>
          <w:sz w:val="30"/>
          <w:vertAlign w:val="subscript"/>
        </w:rPr>
        <w:t>2</w:t>
      </w:r>
      <w:r>
        <w:rPr>
          <w:sz w:val="30"/>
        </w:rPr>
        <w:t>)</w:t>
      </w:r>
      <w:r>
        <w:rPr>
          <w:spacing w:val="-1"/>
          <w:sz w:val="30"/>
        </w:rPr>
        <w:t xml:space="preserve"> </w:t>
      </w:r>
      <w:r>
        <w:rPr>
          <w:i/>
          <w:sz w:val="30"/>
        </w:rPr>
        <w:t>the property</w:t>
      </w:r>
      <w:r>
        <w:rPr>
          <w:i/>
          <w:spacing w:val="-1"/>
          <w:sz w:val="30"/>
        </w:rPr>
        <w:t xml:space="preserve"> </w:t>
      </w:r>
      <w:r>
        <w:rPr>
          <w:i/>
          <w:sz w:val="30"/>
        </w:rPr>
        <w:t>of being</w:t>
      </w:r>
      <w:r>
        <w:rPr>
          <w:i/>
          <w:spacing w:val="1"/>
          <w:sz w:val="30"/>
        </w:rPr>
        <w:t xml:space="preserve"> </w:t>
      </w:r>
      <w:r>
        <w:rPr>
          <w:i/>
          <w:sz w:val="30"/>
        </w:rPr>
        <w:t xml:space="preserve">a smoker </w:t>
      </w:r>
      <w:r>
        <w:rPr>
          <w:b/>
          <w:sz w:val="30"/>
        </w:rPr>
        <w:t>is</w:t>
      </w:r>
      <w:r>
        <w:rPr>
          <w:b/>
          <w:spacing w:val="-1"/>
          <w:sz w:val="30"/>
        </w:rPr>
        <w:t xml:space="preserve"> </w:t>
      </w:r>
      <w:r>
        <w:rPr>
          <w:b/>
          <w:spacing w:val="-2"/>
          <w:sz w:val="30"/>
        </w:rPr>
        <w:t>instantiated.</w:t>
      </w:r>
    </w:p>
    <w:p w14:paraId="7E0006EA" w14:textId="77777777" w:rsidR="009A58DB" w:rsidRDefault="009A58DB">
      <w:pPr>
        <w:pStyle w:val="BodyText"/>
        <w:spacing w:before="89"/>
        <w:ind w:left="0"/>
        <w:jc w:val="left"/>
        <w:rPr>
          <w:b/>
        </w:rPr>
      </w:pPr>
    </w:p>
    <w:p w14:paraId="7E0006EB" w14:textId="77777777" w:rsidR="009A58DB" w:rsidRDefault="00000000">
      <w:pPr>
        <w:pStyle w:val="BodyText"/>
        <w:spacing w:before="1" w:line="292" w:lineRule="auto"/>
        <w:ind w:right="361"/>
      </w:pPr>
      <w:r>
        <w:t>NS</w:t>
      </w:r>
      <w:r>
        <w:rPr>
          <w:vertAlign w:val="subscript"/>
        </w:rPr>
        <w:t>2</w:t>
      </w:r>
      <w:r>
        <w:t>‘s grammatical subject (the italicized expression) corresponds to NS’s grammatical</w:t>
      </w:r>
      <w:r>
        <w:rPr>
          <w:spacing w:val="48"/>
          <w:w w:val="150"/>
        </w:rPr>
        <w:t xml:space="preserve"> </w:t>
      </w:r>
      <w:r>
        <w:t>predicate;</w:t>
      </w:r>
      <w:r>
        <w:rPr>
          <w:spacing w:val="49"/>
          <w:w w:val="150"/>
        </w:rPr>
        <w:t xml:space="preserve"> </w:t>
      </w:r>
      <w:r>
        <w:t>and</w:t>
      </w:r>
      <w:r>
        <w:rPr>
          <w:spacing w:val="50"/>
          <w:w w:val="150"/>
        </w:rPr>
        <w:t xml:space="preserve"> </w:t>
      </w:r>
      <w:r>
        <w:t>NS</w:t>
      </w:r>
      <w:r>
        <w:rPr>
          <w:vertAlign w:val="subscript"/>
        </w:rPr>
        <w:t>2</w:t>
      </w:r>
      <w:r>
        <w:t>’s</w:t>
      </w:r>
      <w:r>
        <w:rPr>
          <w:spacing w:val="57"/>
          <w:w w:val="150"/>
        </w:rPr>
        <w:t xml:space="preserve"> </w:t>
      </w:r>
      <w:r>
        <w:t>grammatical</w:t>
      </w:r>
      <w:r>
        <w:rPr>
          <w:spacing w:val="57"/>
          <w:w w:val="150"/>
        </w:rPr>
        <w:t xml:space="preserve"> </w:t>
      </w:r>
      <w:r>
        <w:t>predicate</w:t>
      </w:r>
      <w:r>
        <w:rPr>
          <w:spacing w:val="56"/>
          <w:w w:val="150"/>
        </w:rPr>
        <w:t xml:space="preserve"> </w:t>
      </w:r>
      <w:r>
        <w:t>(the</w:t>
      </w:r>
      <w:r>
        <w:rPr>
          <w:spacing w:val="57"/>
          <w:w w:val="150"/>
        </w:rPr>
        <w:t xml:space="preserve"> </w:t>
      </w:r>
      <w:r>
        <w:t>bold-</w:t>
      </w:r>
      <w:r>
        <w:rPr>
          <w:spacing w:val="-4"/>
        </w:rPr>
        <w:t>faced</w:t>
      </w:r>
    </w:p>
    <w:p w14:paraId="7E0006EC" w14:textId="77777777" w:rsidR="009A58DB" w:rsidRDefault="00000000">
      <w:pPr>
        <w:pStyle w:val="BodyText"/>
        <w:spacing w:line="249" w:lineRule="auto"/>
        <w:ind w:right="365"/>
      </w:pPr>
      <w:r>
        <w:t>expression)</w:t>
      </w:r>
      <w:r>
        <w:rPr>
          <w:spacing w:val="-5"/>
        </w:rPr>
        <w:t xml:space="preserve"> </w:t>
      </w:r>
      <w:r>
        <w:t>corresponds</w:t>
      </w:r>
      <w:r>
        <w:rPr>
          <w:spacing w:val="-5"/>
        </w:rPr>
        <w:t xml:space="preserve"> </w:t>
      </w:r>
      <w:r>
        <w:t>to</w:t>
      </w:r>
      <w:r>
        <w:rPr>
          <w:spacing w:val="-4"/>
        </w:rPr>
        <w:t xml:space="preserve"> </w:t>
      </w:r>
      <w:r>
        <w:t>NS’s</w:t>
      </w:r>
      <w:r>
        <w:rPr>
          <w:spacing w:val="-5"/>
        </w:rPr>
        <w:t xml:space="preserve"> </w:t>
      </w:r>
      <w:r>
        <w:t>grammatical</w:t>
      </w:r>
      <w:r>
        <w:rPr>
          <w:spacing w:val="-5"/>
        </w:rPr>
        <w:t xml:space="preserve"> </w:t>
      </w:r>
      <w:r>
        <w:t>subject.</w:t>
      </w:r>
      <w:r>
        <w:rPr>
          <w:spacing w:val="-4"/>
        </w:rPr>
        <w:t xml:space="preserve"> </w:t>
      </w:r>
      <w:r>
        <w:t>So</w:t>
      </w:r>
      <w:r>
        <w:rPr>
          <w:spacing w:val="-4"/>
        </w:rPr>
        <w:t xml:space="preserve"> </w:t>
      </w:r>
      <w:r>
        <w:t>when</w:t>
      </w:r>
      <w:r>
        <w:rPr>
          <w:spacing w:val="-4"/>
        </w:rPr>
        <w:t xml:space="preserve"> </w:t>
      </w:r>
      <w:r>
        <w:t>we</w:t>
      </w:r>
      <w:r>
        <w:rPr>
          <w:spacing w:val="-5"/>
        </w:rPr>
        <w:t xml:space="preserve"> </w:t>
      </w:r>
      <w:r>
        <w:t>align</w:t>
      </w:r>
      <w:r>
        <w:rPr>
          <w:spacing w:val="-4"/>
        </w:rPr>
        <w:t xml:space="preserve"> </w:t>
      </w:r>
      <w:r>
        <w:t>NS’s logical</w:t>
      </w:r>
      <w:r>
        <w:rPr>
          <w:spacing w:val="-1"/>
        </w:rPr>
        <w:t xml:space="preserve"> </w:t>
      </w:r>
      <w:r>
        <w:t>form</w:t>
      </w:r>
      <w:r>
        <w:rPr>
          <w:spacing w:val="-1"/>
        </w:rPr>
        <w:t xml:space="preserve"> </w:t>
      </w:r>
      <w:r>
        <w:t>(what</w:t>
      </w:r>
      <w:r>
        <w:rPr>
          <w:spacing w:val="-1"/>
        </w:rPr>
        <w:t xml:space="preserve"> </w:t>
      </w:r>
      <w:r>
        <w:t>it</w:t>
      </w:r>
      <w:r>
        <w:rPr>
          <w:spacing w:val="-1"/>
        </w:rPr>
        <w:t xml:space="preserve"> </w:t>
      </w:r>
      <w:r>
        <w:t>actually</w:t>
      </w:r>
      <w:r>
        <w:rPr>
          <w:spacing w:val="-1"/>
        </w:rPr>
        <w:t xml:space="preserve"> </w:t>
      </w:r>
      <w:r>
        <w:t>says)</w:t>
      </w:r>
      <w:r>
        <w:rPr>
          <w:spacing w:val="-1"/>
        </w:rPr>
        <w:t xml:space="preserve"> </w:t>
      </w:r>
      <w:r>
        <w:t>with</w:t>
      </w:r>
      <w:r>
        <w:rPr>
          <w:spacing w:val="-1"/>
        </w:rPr>
        <w:t xml:space="preserve"> </w:t>
      </w:r>
      <w:r>
        <w:t>its</w:t>
      </w:r>
      <w:r>
        <w:rPr>
          <w:spacing w:val="-1"/>
        </w:rPr>
        <w:t xml:space="preserve"> </w:t>
      </w:r>
      <w:r>
        <w:t>grammatical</w:t>
      </w:r>
      <w:r>
        <w:rPr>
          <w:spacing w:val="-1"/>
        </w:rPr>
        <w:t xml:space="preserve"> </w:t>
      </w:r>
      <w:r>
        <w:t>form</w:t>
      </w:r>
      <w:r>
        <w:rPr>
          <w:spacing w:val="-1"/>
        </w:rPr>
        <w:t xml:space="preserve"> </w:t>
      </w:r>
      <w:r>
        <w:t>(what,</w:t>
      </w:r>
      <w:r>
        <w:rPr>
          <w:spacing w:val="-1"/>
        </w:rPr>
        <w:t xml:space="preserve"> </w:t>
      </w:r>
      <w:r>
        <w:t>given</w:t>
      </w:r>
      <w:r>
        <w:rPr>
          <w:spacing w:val="-1"/>
        </w:rPr>
        <w:t xml:space="preserve"> </w:t>
      </w:r>
      <w:r>
        <w:t>its grammar, it appears to say), we no longer have to say, completely absurdly, that NS attributes to some non-specific individual.</w:t>
      </w:r>
    </w:p>
    <w:p w14:paraId="7E0006ED" w14:textId="77777777" w:rsidR="009A58DB" w:rsidRDefault="00000000">
      <w:pPr>
        <w:pStyle w:val="BodyText"/>
        <w:spacing w:before="3" w:line="249" w:lineRule="auto"/>
        <w:ind w:right="362" w:firstLine="360"/>
      </w:pPr>
      <w:r>
        <w:t>Similar remarks hold with respect to SC. That statement says of two properties that they aren’t coinstantiated. It doesn’t say of some non-entity that it is both a square and a circle.</w:t>
      </w:r>
    </w:p>
    <w:p w14:paraId="7E0006EE" w14:textId="77777777" w:rsidR="009A58DB" w:rsidRDefault="00000000">
      <w:pPr>
        <w:pStyle w:val="BodyText"/>
        <w:spacing w:before="4" w:line="249" w:lineRule="auto"/>
        <w:ind w:right="360" w:firstLine="360"/>
      </w:pPr>
      <w:r>
        <w:t xml:space="preserve">Philosophical puzzles are solved by making it clear what statements mean. This is the basic tenet of analytic philosophy. Philosophy explains by clarifying statements. Science explains by positing entities. Science posits entities that are not themselves directly encountered but that, if assumed to exist, would account for phenomena that </w:t>
      </w:r>
      <w:r>
        <w:rPr>
          <w:i/>
        </w:rPr>
        <w:t xml:space="preserve">are </w:t>
      </w:r>
      <w:r>
        <w:t>directly encountered.</w:t>
      </w:r>
    </w:p>
    <w:p w14:paraId="7E0006EF" w14:textId="77777777" w:rsidR="009A58DB" w:rsidRDefault="00000000">
      <w:pPr>
        <w:pStyle w:val="BodyText"/>
        <w:spacing w:before="6" w:line="249" w:lineRule="auto"/>
        <w:ind w:right="359" w:firstLine="360"/>
        <w:rPr>
          <w:position w:val="21"/>
        </w:rPr>
      </w:pPr>
      <w:r>
        <w:t xml:space="preserve">It used to be thought that philosophical explanation was to be understood in the same way—that philosophical progress was to be made by positing entities that are not themselves directly known but that, if assumed to exist, explain what </w:t>
      </w:r>
      <w:r>
        <w:rPr>
          <w:i/>
        </w:rPr>
        <w:t xml:space="preserve">is </w:t>
      </w:r>
      <w:r>
        <w:t>directly known. This is not the case. Philosophy isn’t para-science. Philosophy is conceptual analysis. To make a philosophical discovery is not to discover a new entity; it is to make explicit a previously unrecognized implication of an existing belief. Philosophy is explication; it is the</w:t>
      </w:r>
      <w:r>
        <w:rPr>
          <w:spacing w:val="-3"/>
        </w:rPr>
        <w:t xml:space="preserve"> </w:t>
      </w:r>
      <w:r>
        <w:t>clarification</w:t>
      </w:r>
      <w:r>
        <w:rPr>
          <w:spacing w:val="-3"/>
        </w:rPr>
        <w:t xml:space="preserve"> </w:t>
      </w:r>
      <w:r>
        <w:t>of</w:t>
      </w:r>
      <w:r>
        <w:rPr>
          <w:spacing w:val="-3"/>
        </w:rPr>
        <w:t xml:space="preserve"> </w:t>
      </w:r>
      <w:r>
        <w:t>the</w:t>
      </w:r>
      <w:r>
        <w:rPr>
          <w:spacing w:val="-3"/>
        </w:rPr>
        <w:t xml:space="preserve"> </w:t>
      </w:r>
      <w:r>
        <w:t>statements</w:t>
      </w:r>
      <w:r>
        <w:rPr>
          <w:spacing w:val="-3"/>
        </w:rPr>
        <w:t xml:space="preserve"> </w:t>
      </w:r>
      <w:r>
        <w:t>that</w:t>
      </w:r>
      <w:r>
        <w:rPr>
          <w:spacing w:val="-3"/>
        </w:rPr>
        <w:t xml:space="preserve"> </w:t>
      </w:r>
      <w:r>
        <w:t>we</w:t>
      </w:r>
      <w:r>
        <w:rPr>
          <w:spacing w:val="-3"/>
        </w:rPr>
        <w:t xml:space="preserve"> </w:t>
      </w:r>
      <w:r>
        <w:t>accept</w:t>
      </w:r>
      <w:r>
        <w:rPr>
          <w:spacing w:val="-3"/>
        </w:rPr>
        <w:t xml:space="preserve"> </w:t>
      </w:r>
      <w:r>
        <w:t>but</w:t>
      </w:r>
      <w:r>
        <w:rPr>
          <w:spacing w:val="-3"/>
        </w:rPr>
        <w:t xml:space="preserve"> </w:t>
      </w:r>
      <w:r>
        <w:t>whose</w:t>
      </w:r>
      <w:r>
        <w:rPr>
          <w:spacing w:val="-3"/>
        </w:rPr>
        <w:t xml:space="preserve"> </w:t>
      </w:r>
      <w:r>
        <w:t>depths</w:t>
      </w:r>
      <w:r>
        <w:rPr>
          <w:spacing w:val="-3"/>
        </w:rPr>
        <w:t xml:space="preserve"> </w:t>
      </w:r>
      <w:r>
        <w:t>we</w:t>
      </w:r>
      <w:r>
        <w:rPr>
          <w:spacing w:val="-3"/>
        </w:rPr>
        <w:t xml:space="preserve"> </w:t>
      </w:r>
      <w:r>
        <w:t>haven’t yet fully fathomed</w:t>
      </w:r>
      <w:bookmarkStart w:id="13" w:name="_bookmark13"/>
      <w:bookmarkEnd w:id="13"/>
      <w:r>
        <w:t>.</w:t>
      </w:r>
      <w:r>
        <w:rPr>
          <w:color w:val="0562C1"/>
          <w:position w:val="21"/>
          <w:u w:val="single" w:color="0562C1"/>
        </w:rPr>
        <w:t>[10]</w:t>
      </w:r>
    </w:p>
    <w:p w14:paraId="7E0006F0" w14:textId="77777777" w:rsidR="009A58DB" w:rsidRDefault="00000000">
      <w:pPr>
        <w:pStyle w:val="Heading1"/>
        <w:numPr>
          <w:ilvl w:val="1"/>
          <w:numId w:val="229"/>
        </w:numPr>
        <w:tabs>
          <w:tab w:val="left" w:pos="990"/>
        </w:tabs>
        <w:spacing w:before="199"/>
      </w:pPr>
      <w:r>
        <w:t>Analysis</w:t>
      </w:r>
      <w:r>
        <w:rPr>
          <w:spacing w:val="-4"/>
        </w:rPr>
        <w:t xml:space="preserve"> </w:t>
      </w:r>
      <w:r>
        <w:t>vs.</w:t>
      </w:r>
      <w:r>
        <w:rPr>
          <w:spacing w:val="-3"/>
        </w:rPr>
        <w:t xml:space="preserve"> </w:t>
      </w:r>
      <w:r>
        <w:rPr>
          <w:spacing w:val="-2"/>
        </w:rPr>
        <w:t>ontogenesis</w:t>
      </w:r>
    </w:p>
    <w:p w14:paraId="7E0006F1" w14:textId="77777777" w:rsidR="009A58DB" w:rsidRDefault="00000000">
      <w:pPr>
        <w:pStyle w:val="BodyText"/>
        <w:spacing w:before="139" w:line="249" w:lineRule="auto"/>
        <w:ind w:right="359"/>
      </w:pPr>
      <w:r>
        <w:t xml:space="preserve">In the works of analytic philosophers, one sometimes comes across the word “ontology,” which, etymologically, means “the study of being” (“ontos”= “being,” “logos”= “study”). These days the word “ontology” is usually used to refer to a given philosopher’s beliefs as to what exists. Some philosophers don’t believe in nonspatiotemporal entities. So such entities don’t belong to their “ontology.” Since I do believe in them, they do belong to my </w:t>
      </w:r>
      <w:r>
        <w:rPr>
          <w:spacing w:val="-2"/>
        </w:rPr>
        <w:t>“ontology.”</w:t>
      </w:r>
    </w:p>
    <w:p w14:paraId="7E0006F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6F3" w14:textId="77777777" w:rsidR="009A58DB" w:rsidRDefault="00000000">
      <w:pPr>
        <w:pStyle w:val="BodyText"/>
        <w:spacing w:before="65" w:line="249" w:lineRule="auto"/>
        <w:ind w:right="363" w:firstLine="360"/>
      </w:pPr>
      <w:r>
        <w:lastRenderedPageBreak/>
        <w:t>Analytic philosophers are, almost by definition, ontologically very conservative. In other words, they don’t want to grant existence to anything whose existence hasn’t been demonstrated beyond a shadow of a doubt.</w:t>
      </w:r>
    </w:p>
    <w:p w14:paraId="7E0006F4" w14:textId="77777777" w:rsidR="009A58DB" w:rsidRDefault="00000000">
      <w:pPr>
        <w:pStyle w:val="BodyText"/>
        <w:spacing w:before="3"/>
        <w:ind w:left="720"/>
      </w:pPr>
      <w:r>
        <w:t>Pre-analytic,</w:t>
      </w:r>
      <w:r>
        <w:rPr>
          <w:spacing w:val="74"/>
        </w:rPr>
        <w:t xml:space="preserve"> </w:t>
      </w:r>
      <w:r>
        <w:t>pre-Fregean</w:t>
      </w:r>
      <w:r>
        <w:rPr>
          <w:spacing w:val="76"/>
        </w:rPr>
        <w:t xml:space="preserve"> </w:t>
      </w:r>
      <w:r>
        <w:t>philosophers</w:t>
      </w:r>
      <w:r>
        <w:rPr>
          <w:spacing w:val="76"/>
        </w:rPr>
        <w:t xml:space="preserve"> </w:t>
      </w:r>
      <w:r>
        <w:t>were</w:t>
      </w:r>
      <w:r>
        <w:rPr>
          <w:spacing w:val="76"/>
        </w:rPr>
        <w:t xml:space="preserve"> </w:t>
      </w:r>
      <w:r>
        <w:t>ontologically</w:t>
      </w:r>
      <w:r>
        <w:rPr>
          <w:spacing w:val="76"/>
        </w:rPr>
        <w:t xml:space="preserve"> </w:t>
      </w:r>
      <w:r>
        <w:t>very</w:t>
      </w:r>
      <w:r>
        <w:rPr>
          <w:spacing w:val="77"/>
        </w:rPr>
        <w:t xml:space="preserve"> </w:t>
      </w:r>
      <w:r>
        <w:rPr>
          <w:spacing w:val="-2"/>
        </w:rPr>
        <w:t>liberal.</w:t>
      </w:r>
    </w:p>
    <w:p w14:paraId="7E0006F5" w14:textId="77777777" w:rsidR="009A58DB" w:rsidRDefault="00000000">
      <w:pPr>
        <w:pStyle w:val="BodyText"/>
        <w:spacing w:before="15"/>
      </w:pPr>
      <w:r>
        <w:t>Consider</w:t>
      </w:r>
      <w:r>
        <w:rPr>
          <w:spacing w:val="-4"/>
        </w:rPr>
        <w:t xml:space="preserve"> </w:t>
      </w:r>
      <w:r>
        <w:t>the</w:t>
      </w:r>
      <w:r>
        <w:rPr>
          <w:spacing w:val="-3"/>
        </w:rPr>
        <w:t xml:space="preserve"> </w:t>
      </w:r>
      <w:r>
        <w:rPr>
          <w:spacing w:val="-2"/>
        </w:rPr>
        <w:t>statement:</w:t>
      </w:r>
    </w:p>
    <w:p w14:paraId="7E0006F6" w14:textId="77777777" w:rsidR="009A58DB" w:rsidRDefault="009A58DB">
      <w:pPr>
        <w:pStyle w:val="BodyText"/>
        <w:spacing w:before="30"/>
        <w:ind w:left="0"/>
        <w:jc w:val="left"/>
      </w:pPr>
    </w:p>
    <w:p w14:paraId="7E0006F7" w14:textId="77777777" w:rsidR="009A58DB" w:rsidRDefault="00000000">
      <w:pPr>
        <w:pStyle w:val="BodyText"/>
        <w:spacing w:line="277" w:lineRule="exact"/>
        <w:ind w:left="809"/>
        <w:jc w:val="left"/>
      </w:pPr>
      <w:bookmarkStart w:id="14" w:name="_bookmark14"/>
      <w:bookmarkEnd w:id="14"/>
      <w:r>
        <w:rPr>
          <w:color w:val="0562C1"/>
          <w:spacing w:val="-4"/>
          <w:u w:val="single" w:color="0562C1"/>
        </w:rPr>
        <w:t>[11]</w:t>
      </w:r>
    </w:p>
    <w:p w14:paraId="7E0006F8" w14:textId="77777777" w:rsidR="009A58DB" w:rsidRDefault="00000000">
      <w:pPr>
        <w:pStyle w:val="BodyText"/>
        <w:tabs>
          <w:tab w:val="left" w:pos="1309"/>
        </w:tabs>
        <w:spacing w:line="277" w:lineRule="exact"/>
        <w:jc w:val="left"/>
      </w:pPr>
      <w:r>
        <w:rPr>
          <w:spacing w:val="-5"/>
        </w:rPr>
        <w:t>(TP</w:t>
      </w:r>
      <w:r>
        <w:tab/>
        <w:t>)</w:t>
      </w:r>
      <w:r>
        <w:rPr>
          <w:spacing w:val="-5"/>
        </w:rPr>
        <w:t xml:space="preserve"> </w:t>
      </w:r>
      <w:r>
        <w:t>no</w:t>
      </w:r>
      <w:r>
        <w:rPr>
          <w:spacing w:val="-1"/>
        </w:rPr>
        <w:t xml:space="preserve"> </w:t>
      </w:r>
      <w:r>
        <w:t>person</w:t>
      </w:r>
      <w:r>
        <w:rPr>
          <w:spacing w:val="-2"/>
        </w:rPr>
        <w:t xml:space="preserve"> </w:t>
      </w:r>
      <w:r>
        <w:t>is</w:t>
      </w:r>
      <w:r>
        <w:rPr>
          <w:spacing w:val="-3"/>
        </w:rPr>
        <w:t xml:space="preserve"> </w:t>
      </w:r>
      <w:r>
        <w:t>over</w:t>
      </w:r>
      <w:r>
        <w:rPr>
          <w:spacing w:val="-2"/>
        </w:rPr>
        <w:t xml:space="preserve"> </w:t>
      </w:r>
      <w:r>
        <w:t>20-feet</w:t>
      </w:r>
      <w:r>
        <w:rPr>
          <w:spacing w:val="-2"/>
        </w:rPr>
        <w:t xml:space="preserve"> tall.</w:t>
      </w:r>
    </w:p>
    <w:p w14:paraId="7E0006F9" w14:textId="77777777" w:rsidR="009A58DB" w:rsidRDefault="009A58DB">
      <w:pPr>
        <w:pStyle w:val="BodyText"/>
        <w:spacing w:before="30"/>
        <w:ind w:left="0"/>
        <w:jc w:val="left"/>
      </w:pPr>
    </w:p>
    <w:p w14:paraId="7E0006FA" w14:textId="77777777" w:rsidR="009A58DB" w:rsidRDefault="00000000">
      <w:pPr>
        <w:pStyle w:val="BodyText"/>
        <w:spacing w:line="249" w:lineRule="auto"/>
        <w:ind w:right="358"/>
      </w:pPr>
      <w:r>
        <w:t>Pre-Fregean philosophers took TP to say that there existed some non-person who was over 20-feet tall, and they engaged in a great deal of spurious “ontologizing” to validate this analysis. Frege showed that this ontologizing, in addition to being futile, is unnecessary. TP says that a certain property</w:t>
      </w:r>
      <w:r>
        <w:rPr>
          <w:spacing w:val="40"/>
        </w:rPr>
        <w:t xml:space="preserve"> </w:t>
      </w:r>
      <w:r>
        <w:t>(that of being a person who is over 20-feet tall) has another property (that of not being instantiated). No 20-foot tall (un)person need be postulated. No ontologizing need be done. By contrast, non-analytic (pre-Fregean) philosophers often countenanced bizarre and even logically impossible entities to cover up deficits in their analyses.</w:t>
      </w:r>
    </w:p>
    <w:p w14:paraId="7E0006FB" w14:textId="77777777" w:rsidR="009A58DB" w:rsidRDefault="00000000">
      <w:pPr>
        <w:pStyle w:val="Heading1"/>
        <w:numPr>
          <w:ilvl w:val="1"/>
          <w:numId w:val="229"/>
        </w:numPr>
        <w:tabs>
          <w:tab w:val="left" w:pos="990"/>
        </w:tabs>
        <w:spacing w:before="200"/>
      </w:pPr>
      <w:r>
        <w:t>When</w:t>
      </w:r>
      <w:r>
        <w:rPr>
          <w:spacing w:val="-6"/>
        </w:rPr>
        <w:t xml:space="preserve"> </w:t>
      </w:r>
      <w:r>
        <w:t>is</w:t>
      </w:r>
      <w:r>
        <w:rPr>
          <w:spacing w:val="-3"/>
        </w:rPr>
        <w:t xml:space="preserve"> </w:t>
      </w:r>
      <w:r>
        <w:t>it</w:t>
      </w:r>
      <w:r>
        <w:rPr>
          <w:spacing w:val="-4"/>
        </w:rPr>
        <w:t xml:space="preserve"> </w:t>
      </w:r>
      <w:r>
        <w:t>appropriate</w:t>
      </w:r>
      <w:r>
        <w:rPr>
          <w:spacing w:val="-3"/>
        </w:rPr>
        <w:t xml:space="preserve"> </w:t>
      </w:r>
      <w:r>
        <w:t>to</w:t>
      </w:r>
      <w:r>
        <w:rPr>
          <w:spacing w:val="-2"/>
        </w:rPr>
        <w:t xml:space="preserve"> ontologize?</w:t>
      </w:r>
    </w:p>
    <w:p w14:paraId="7E0006FC" w14:textId="77777777" w:rsidR="009A58DB" w:rsidRDefault="00000000">
      <w:pPr>
        <w:pStyle w:val="BodyText"/>
        <w:spacing w:before="139" w:line="249" w:lineRule="auto"/>
        <w:ind w:right="360"/>
      </w:pPr>
      <w:r>
        <w:t>As a general rule, analytic philosophers do not try to solve philosophical problems by “ontologizing”—that is, by positing an entity, or class of</w:t>
      </w:r>
      <w:r>
        <w:rPr>
          <w:spacing w:val="40"/>
        </w:rPr>
        <w:t xml:space="preserve"> </w:t>
      </w:r>
      <w:r>
        <w:t xml:space="preserve">entities, not previously believed to exist. They try to solve them by clarifying statements. In </w:t>
      </w:r>
      <w:r>
        <w:rPr>
          <w:i/>
        </w:rPr>
        <w:t xml:space="preserve">some </w:t>
      </w:r>
      <w:r>
        <w:t xml:space="preserve">cases, the results of a successfully clarified statement </w:t>
      </w:r>
      <w:r>
        <w:rPr>
          <w:i/>
        </w:rPr>
        <w:t xml:space="preserve">do </w:t>
      </w:r>
      <w:r>
        <w:t xml:space="preserve">demand that we grant existence to something to which we’d otherwise deny existence. But, whenever this happens, the “entity” being posted is </w:t>
      </w:r>
      <w:r>
        <w:rPr>
          <w:i/>
        </w:rPr>
        <w:t xml:space="preserve">never </w:t>
      </w:r>
      <w:r>
        <w:t>a denizen</w:t>
      </w:r>
      <w:r>
        <w:rPr>
          <w:spacing w:val="-1"/>
        </w:rPr>
        <w:t xml:space="preserve"> </w:t>
      </w:r>
      <w:r>
        <w:t>of</w:t>
      </w:r>
      <w:r>
        <w:rPr>
          <w:spacing w:val="-1"/>
        </w:rPr>
        <w:t xml:space="preserve"> </w:t>
      </w:r>
      <w:r>
        <w:t>the</w:t>
      </w:r>
      <w:r>
        <w:rPr>
          <w:spacing w:val="-1"/>
        </w:rPr>
        <w:t xml:space="preserve"> </w:t>
      </w:r>
      <w:r>
        <w:t>spatiotemporal</w:t>
      </w:r>
      <w:r>
        <w:rPr>
          <w:spacing w:val="-1"/>
        </w:rPr>
        <w:t xml:space="preserve"> </w:t>
      </w:r>
      <w:r>
        <w:t>world;</w:t>
      </w:r>
      <w:r>
        <w:rPr>
          <w:spacing w:val="-1"/>
        </w:rPr>
        <w:t xml:space="preserve"> </w:t>
      </w:r>
      <w:r>
        <w:t>the</w:t>
      </w:r>
      <w:r>
        <w:rPr>
          <w:spacing w:val="-1"/>
        </w:rPr>
        <w:t xml:space="preserve"> </w:t>
      </w:r>
      <w:r>
        <w:t>thing</w:t>
      </w:r>
      <w:r>
        <w:rPr>
          <w:spacing w:val="-1"/>
        </w:rPr>
        <w:t xml:space="preserve"> </w:t>
      </w:r>
      <w:r>
        <w:t>that’s</w:t>
      </w:r>
      <w:r>
        <w:rPr>
          <w:spacing w:val="-1"/>
        </w:rPr>
        <w:t xml:space="preserve"> </w:t>
      </w:r>
      <w:r>
        <w:t>posited</w:t>
      </w:r>
      <w:r>
        <w:rPr>
          <w:spacing w:val="-1"/>
        </w:rPr>
        <w:t xml:space="preserve"> </w:t>
      </w:r>
      <w:r>
        <w:t>is</w:t>
      </w:r>
      <w:r>
        <w:rPr>
          <w:spacing w:val="-1"/>
        </w:rPr>
        <w:t xml:space="preserve"> </w:t>
      </w:r>
      <w:r>
        <w:t>never</w:t>
      </w:r>
      <w:r>
        <w:rPr>
          <w:spacing w:val="-1"/>
        </w:rPr>
        <w:t xml:space="preserve"> </w:t>
      </w:r>
      <w:r>
        <w:t>a</w:t>
      </w:r>
      <w:r>
        <w:rPr>
          <w:spacing w:val="-1"/>
        </w:rPr>
        <w:t xml:space="preserve"> </w:t>
      </w:r>
      <w:r>
        <w:t xml:space="preserve">person or a table or a mountain or a monster. It’s always an abstract object of some kind, and it’s posited </w:t>
      </w:r>
      <w:r>
        <w:rPr>
          <w:i/>
        </w:rPr>
        <w:t xml:space="preserve">only </w:t>
      </w:r>
      <w:r>
        <w:t>because, were it not to exist, it would be</w:t>
      </w:r>
      <w:r>
        <w:rPr>
          <w:spacing w:val="40"/>
        </w:rPr>
        <w:t xml:space="preserve"> </w:t>
      </w:r>
      <w:r>
        <w:t>impossible to account for the truth of obviously true statements.</w:t>
      </w:r>
    </w:p>
    <w:p w14:paraId="7E0006FD" w14:textId="77777777" w:rsidR="009A58DB" w:rsidRDefault="00000000">
      <w:pPr>
        <w:pStyle w:val="BodyText"/>
        <w:spacing w:before="12" w:line="249" w:lineRule="auto"/>
        <w:ind w:right="360" w:firstLine="360"/>
      </w:pPr>
      <w:r>
        <w:t xml:space="preserve">For example, given the premise that Bob and Sally are both humans who are intelligent, it follows that there exist characteristics—or, to use the word preferred by analytic philosophers, </w:t>
      </w:r>
      <w:r>
        <w:rPr>
          <w:b/>
          <w:i/>
        </w:rPr>
        <w:t>propertie</w:t>
      </w:r>
      <w:bookmarkStart w:id="15" w:name="_bookmark15"/>
      <w:bookmarkEnd w:id="15"/>
      <w:r>
        <w:rPr>
          <w:b/>
          <w:i/>
        </w:rPr>
        <w:t>s</w:t>
      </w:r>
      <w:r>
        <w:rPr>
          <w:b/>
          <w:color w:val="0562C1"/>
          <w:position w:val="21"/>
          <w:u w:val="single" w:color="0562C1"/>
        </w:rPr>
        <w:t>[12]</w:t>
      </w:r>
      <w:r>
        <w:t>—that Bob and Sally have in common, and from this it follows that properties exist.</w:t>
      </w:r>
    </w:p>
    <w:p w14:paraId="7E0006FE" w14:textId="77777777" w:rsidR="009A58DB" w:rsidRDefault="00000000">
      <w:pPr>
        <w:pStyle w:val="BodyText"/>
        <w:spacing w:before="5"/>
        <w:ind w:left="720"/>
      </w:pPr>
      <w:r>
        <w:t>Given</w:t>
      </w:r>
      <w:r>
        <w:rPr>
          <w:spacing w:val="16"/>
        </w:rPr>
        <w:t xml:space="preserve"> </w:t>
      </w:r>
      <w:r>
        <w:t>that</w:t>
      </w:r>
      <w:r>
        <w:rPr>
          <w:spacing w:val="17"/>
        </w:rPr>
        <w:t xml:space="preserve"> </w:t>
      </w:r>
      <w:r>
        <w:t>properties</w:t>
      </w:r>
      <w:r>
        <w:rPr>
          <w:spacing w:val="17"/>
        </w:rPr>
        <w:t xml:space="preserve"> </w:t>
      </w:r>
      <w:r>
        <w:t>exist,</w:t>
      </w:r>
      <w:r>
        <w:rPr>
          <w:spacing w:val="17"/>
        </w:rPr>
        <w:t xml:space="preserve"> </w:t>
      </w:r>
      <w:r>
        <w:t>are</w:t>
      </w:r>
      <w:r>
        <w:rPr>
          <w:spacing w:val="17"/>
        </w:rPr>
        <w:t xml:space="preserve"> </w:t>
      </w:r>
      <w:r>
        <w:t>they</w:t>
      </w:r>
      <w:r>
        <w:rPr>
          <w:spacing w:val="17"/>
        </w:rPr>
        <w:t xml:space="preserve"> </w:t>
      </w:r>
      <w:r>
        <w:t>identical</w:t>
      </w:r>
      <w:r>
        <w:rPr>
          <w:spacing w:val="17"/>
        </w:rPr>
        <w:t xml:space="preserve"> </w:t>
      </w:r>
      <w:r>
        <w:t>with</w:t>
      </w:r>
      <w:r>
        <w:rPr>
          <w:spacing w:val="17"/>
        </w:rPr>
        <w:t xml:space="preserve"> </w:t>
      </w:r>
      <w:r>
        <w:t>spatiotemporal</w:t>
      </w:r>
      <w:r>
        <w:rPr>
          <w:spacing w:val="17"/>
        </w:rPr>
        <w:t xml:space="preserve"> </w:t>
      </w:r>
      <w:r>
        <w:rPr>
          <w:spacing w:val="-2"/>
        </w:rPr>
        <w:t>entities</w:t>
      </w:r>
    </w:p>
    <w:p w14:paraId="7E0006FF" w14:textId="77777777" w:rsidR="009A58DB" w:rsidRDefault="009A58DB">
      <w:pPr>
        <w:pStyle w:val="BodyText"/>
        <w:sectPr w:rsidR="009A58DB">
          <w:pgSz w:w="12240" w:h="15840"/>
          <w:pgMar w:top="1380" w:right="1080" w:bottom="280" w:left="1080" w:header="720" w:footer="720" w:gutter="0"/>
          <w:cols w:space="720"/>
        </w:sectPr>
      </w:pPr>
    </w:p>
    <w:p w14:paraId="7E000700" w14:textId="77777777" w:rsidR="009A58DB" w:rsidRDefault="00000000">
      <w:pPr>
        <w:pStyle w:val="BodyText"/>
        <w:spacing w:before="60" w:line="249" w:lineRule="auto"/>
        <w:ind w:right="358"/>
      </w:pPr>
      <w:r>
        <w:lastRenderedPageBreak/>
        <w:t xml:space="preserve">(i.e., with things that have locations in space and time)? Obviously, </w:t>
      </w:r>
      <w:r>
        <w:rPr>
          <w:i/>
        </w:rPr>
        <w:t xml:space="preserve">instances </w:t>
      </w:r>
      <w:r>
        <w:t xml:space="preserve">of properties at least sometimes exist in space-time. Bob and Sally, both instances of many properties, exist in space and time. But although you may encounter many instances of intelligence, you’ll never encounter intelligence </w:t>
      </w:r>
      <w:r>
        <w:rPr>
          <w:i/>
        </w:rPr>
        <w:t>per</w:t>
      </w:r>
      <w:r>
        <w:rPr>
          <w:i/>
          <w:spacing w:val="-3"/>
        </w:rPr>
        <w:t xml:space="preserve"> </w:t>
      </w:r>
      <w:r>
        <w:rPr>
          <w:i/>
        </w:rPr>
        <w:t>se</w:t>
      </w:r>
      <w:r>
        <w:rPr>
          <w:i/>
          <w:spacing w:val="-3"/>
        </w:rPr>
        <w:t xml:space="preserve"> </w:t>
      </w:r>
      <w:r>
        <w:t>and it would make no sense to assign any spatiotemporal location to it. Attempts to rebut this argument are doomed to fail, as we’ll see in Chapter 2. Thus, to validate the rather rudimentary inference from “Bob and Sally are both intelligent and kind,” it is necessary to grant the existence of non-spatiotemporal entities and thus to do a bit of ontologizing.</w:t>
      </w:r>
    </w:p>
    <w:p w14:paraId="7E000701" w14:textId="77777777" w:rsidR="009A58DB" w:rsidRDefault="00000000">
      <w:pPr>
        <w:pStyle w:val="BodyText"/>
        <w:spacing w:before="16" w:line="249" w:lineRule="auto"/>
        <w:ind w:right="365" w:firstLine="360"/>
      </w:pPr>
      <w:r>
        <w:t xml:space="preserve">So even though analytic philosophers do ontologize, they do it </w:t>
      </w:r>
      <w:r>
        <w:rPr>
          <w:i/>
        </w:rPr>
        <w:t xml:space="preserve">only </w:t>
      </w:r>
      <w:r>
        <w:t>when there is no other way of demonstrating the legitimacy of some indisputably correct</w:t>
      </w:r>
      <w:r>
        <w:rPr>
          <w:spacing w:val="-1"/>
        </w:rPr>
        <w:t xml:space="preserve"> </w:t>
      </w:r>
      <w:r>
        <w:t>form</w:t>
      </w:r>
      <w:r>
        <w:rPr>
          <w:spacing w:val="-1"/>
        </w:rPr>
        <w:t xml:space="preserve"> </w:t>
      </w:r>
      <w:r>
        <w:t>of</w:t>
      </w:r>
      <w:r>
        <w:rPr>
          <w:spacing w:val="-1"/>
        </w:rPr>
        <w:t xml:space="preserve"> </w:t>
      </w:r>
      <w:r>
        <w:t>inference, and</w:t>
      </w:r>
      <w:r>
        <w:rPr>
          <w:spacing w:val="-1"/>
        </w:rPr>
        <w:t xml:space="preserve"> </w:t>
      </w:r>
      <w:r>
        <w:t>they</w:t>
      </w:r>
      <w:r>
        <w:rPr>
          <w:spacing w:val="-1"/>
        </w:rPr>
        <w:t xml:space="preserve"> </w:t>
      </w:r>
      <w:r>
        <w:t>never</w:t>
      </w:r>
      <w:r>
        <w:rPr>
          <w:spacing w:val="-1"/>
        </w:rPr>
        <w:t xml:space="preserve"> </w:t>
      </w:r>
      <w:r>
        <w:t>posit</w:t>
      </w:r>
      <w:r>
        <w:rPr>
          <w:spacing w:val="-1"/>
        </w:rPr>
        <w:t xml:space="preserve"> </w:t>
      </w:r>
      <w:r>
        <w:t>anything nonspatiotemporal</w:t>
      </w:r>
      <w:r>
        <w:rPr>
          <w:spacing w:val="-1"/>
        </w:rPr>
        <w:t xml:space="preserve"> </w:t>
      </w:r>
      <w:r>
        <w:t>in the process.</w:t>
      </w:r>
    </w:p>
    <w:p w14:paraId="7E000702" w14:textId="77777777" w:rsidR="009A58DB" w:rsidRDefault="00000000">
      <w:pPr>
        <w:pStyle w:val="Heading1"/>
        <w:numPr>
          <w:ilvl w:val="1"/>
          <w:numId w:val="229"/>
        </w:numPr>
        <w:tabs>
          <w:tab w:val="left" w:pos="1274"/>
          <w:tab w:val="left" w:pos="3344"/>
          <w:tab w:val="left" w:pos="4411"/>
          <w:tab w:val="left" w:pos="6526"/>
          <w:tab w:val="left" w:pos="7476"/>
        </w:tabs>
        <w:spacing w:before="193" w:line="244" w:lineRule="auto"/>
        <w:ind w:left="360" w:right="362" w:firstLine="0"/>
      </w:pPr>
      <w:r>
        <w:rPr>
          <w:spacing w:val="-2"/>
        </w:rPr>
        <w:t>Brentano</w:t>
      </w:r>
      <w:r>
        <w:tab/>
      </w:r>
      <w:r>
        <w:rPr>
          <w:spacing w:val="-4"/>
        </w:rPr>
        <w:t>and</w:t>
      </w:r>
      <w:r>
        <w:tab/>
      </w:r>
      <w:r>
        <w:rPr>
          <w:spacing w:val="-2"/>
        </w:rPr>
        <w:t>Meinong:</w:t>
      </w:r>
      <w:r>
        <w:tab/>
      </w:r>
      <w:r>
        <w:rPr>
          <w:spacing w:val="-4"/>
        </w:rPr>
        <w:t>the</w:t>
      </w:r>
      <w:r>
        <w:tab/>
      </w:r>
      <w:r>
        <w:rPr>
          <w:spacing w:val="-2"/>
        </w:rPr>
        <w:t xml:space="preserve">non-analytic </w:t>
      </w:r>
      <w:r>
        <w:t>method epitomized</w:t>
      </w:r>
    </w:p>
    <w:p w14:paraId="7E000703" w14:textId="77777777" w:rsidR="009A58DB" w:rsidRDefault="00000000">
      <w:pPr>
        <w:pStyle w:val="BodyText"/>
        <w:spacing w:before="131" w:line="249" w:lineRule="auto"/>
        <w:ind w:right="361"/>
      </w:pPr>
      <w:r>
        <w:t xml:space="preserve">According to Franz Brentano (1838–1917), the essence of the mental is </w:t>
      </w:r>
      <w:r>
        <w:rPr>
          <w:i/>
        </w:rPr>
        <w:t xml:space="preserve">intentionality. </w:t>
      </w:r>
      <w:r>
        <w:t xml:space="preserve">In this context, the word “intentionality” refers, not to the property of being done deliberately, but to the property of being </w:t>
      </w:r>
      <w:r>
        <w:rPr>
          <w:i/>
        </w:rPr>
        <w:t>representational.</w:t>
      </w:r>
      <w:r>
        <w:rPr>
          <w:i/>
          <w:spacing w:val="-2"/>
        </w:rPr>
        <w:t xml:space="preserve"> </w:t>
      </w:r>
      <w:r>
        <w:t>So, in Brentano’s view, for something to be a mental entity is for it to be representational, and for something to fail to be a mental entity is for it to be non-representational.</w:t>
      </w:r>
    </w:p>
    <w:p w14:paraId="7E000704" w14:textId="77777777" w:rsidR="009A58DB" w:rsidRDefault="00000000">
      <w:pPr>
        <w:pStyle w:val="BodyText"/>
        <w:spacing w:before="8" w:line="249" w:lineRule="auto"/>
        <w:ind w:right="361" w:firstLine="360"/>
      </w:pPr>
      <w:r>
        <w:t xml:space="preserve">To be sure, there are non-mental things (e.g., deposits of ink or pain) that are representational. Utterances and ink deposits are representational, even though they aren’t mental. But this isn’t a threat to Brentano’s position. Utterances (etc.) are representational only in a derivative sense. It’s because </w:t>
      </w:r>
      <w:r>
        <w:rPr>
          <w:i/>
        </w:rPr>
        <w:t>we</w:t>
      </w:r>
      <w:r>
        <w:rPr>
          <w:i/>
          <w:spacing w:val="-4"/>
        </w:rPr>
        <w:t xml:space="preserve"> </w:t>
      </w:r>
      <w:r>
        <w:t>endow</w:t>
      </w:r>
      <w:r>
        <w:rPr>
          <w:spacing w:val="-2"/>
        </w:rPr>
        <w:t xml:space="preserve"> </w:t>
      </w:r>
      <w:r>
        <w:t>it</w:t>
      </w:r>
      <w:r>
        <w:rPr>
          <w:spacing w:val="-2"/>
        </w:rPr>
        <w:t xml:space="preserve"> </w:t>
      </w:r>
      <w:r>
        <w:t>with</w:t>
      </w:r>
      <w:r>
        <w:rPr>
          <w:spacing w:val="-2"/>
        </w:rPr>
        <w:t xml:space="preserve"> </w:t>
      </w:r>
      <w:r>
        <w:t>meaning</w:t>
      </w:r>
      <w:r>
        <w:rPr>
          <w:spacing w:val="-2"/>
        </w:rPr>
        <w:t xml:space="preserve"> </w:t>
      </w:r>
      <w:r>
        <w:t>that</w:t>
      </w:r>
      <w:r>
        <w:rPr>
          <w:spacing w:val="-2"/>
        </w:rPr>
        <w:t xml:space="preserve"> </w:t>
      </w:r>
      <w:r>
        <w:t>an</w:t>
      </w:r>
      <w:r>
        <w:rPr>
          <w:spacing w:val="-2"/>
        </w:rPr>
        <w:t xml:space="preserve"> </w:t>
      </w:r>
      <w:r>
        <w:t>utterance</w:t>
      </w:r>
      <w:r>
        <w:rPr>
          <w:spacing w:val="-2"/>
        </w:rPr>
        <w:t xml:space="preserve"> </w:t>
      </w:r>
      <w:r>
        <w:t>of</w:t>
      </w:r>
      <w:r>
        <w:rPr>
          <w:spacing w:val="-2"/>
        </w:rPr>
        <w:t xml:space="preserve"> </w:t>
      </w:r>
      <w:r>
        <w:t>“snow</w:t>
      </w:r>
      <w:r>
        <w:rPr>
          <w:spacing w:val="-2"/>
        </w:rPr>
        <w:t xml:space="preserve"> </w:t>
      </w:r>
      <w:r>
        <w:t>is</w:t>
      </w:r>
      <w:r>
        <w:rPr>
          <w:spacing w:val="-2"/>
        </w:rPr>
        <w:t xml:space="preserve"> </w:t>
      </w:r>
      <w:r>
        <w:t>white”</w:t>
      </w:r>
      <w:r>
        <w:rPr>
          <w:spacing w:val="-2"/>
        </w:rPr>
        <w:t xml:space="preserve"> </w:t>
      </w:r>
      <w:r>
        <w:t>is</w:t>
      </w:r>
      <w:r>
        <w:rPr>
          <w:spacing w:val="-2"/>
        </w:rPr>
        <w:t xml:space="preserve"> </w:t>
      </w:r>
      <w:r>
        <w:t>meaningful; in a world devoid of sentient beings, it would just be another noise. So Brentano’s thesis is that for something to be mental is for it to be non-derivatively representational.</w:t>
      </w:r>
    </w:p>
    <w:p w14:paraId="7E000705" w14:textId="77777777" w:rsidR="009A58DB" w:rsidRDefault="00000000">
      <w:pPr>
        <w:pStyle w:val="BodyText"/>
        <w:spacing w:before="10" w:line="249" w:lineRule="auto"/>
        <w:ind w:right="357" w:firstLine="360"/>
      </w:pPr>
      <w:r>
        <w:t xml:space="preserve">There is an apparent problem with Brentano’s thesis. To be representational is presumably to represent something. Hallucinations are mental entities. But what does a hallucination of a pink elephant represent? A pink elephant? No—pink elephants don’t exist. More formally, there is nothing x such that x is a pink elephant. </w:t>
      </w:r>
      <w:r>
        <w:rPr>
          <w:i/>
        </w:rPr>
        <w:t>A</w:t>
      </w:r>
      <w:r>
        <w:rPr>
          <w:i/>
          <w:spacing w:val="-3"/>
        </w:rPr>
        <w:t xml:space="preserve"> </w:t>
      </w:r>
      <w:r>
        <w:rPr>
          <w:i/>
        </w:rPr>
        <w:t>fortiori</w:t>
      </w:r>
      <w:r>
        <w:rPr>
          <w:i/>
          <w:spacing w:val="-3"/>
        </w:rPr>
        <w:t xml:space="preserve"> </w:t>
      </w:r>
      <w:r>
        <w:t>there is nothing x such that</w:t>
      </w:r>
    </w:p>
    <w:p w14:paraId="7E0007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07" w14:textId="77777777" w:rsidR="009A58DB" w:rsidRDefault="00000000">
      <w:pPr>
        <w:pStyle w:val="BodyText"/>
        <w:spacing w:before="60" w:line="249" w:lineRule="auto"/>
        <w:ind w:right="364"/>
      </w:pPr>
      <w:r>
        <w:lastRenderedPageBreak/>
        <w:t xml:space="preserve">x is a pink elephant that is represented by some hallucination. Still, there is clearly </w:t>
      </w:r>
      <w:r>
        <w:rPr>
          <w:i/>
        </w:rPr>
        <w:t xml:space="preserve">a </w:t>
      </w:r>
      <w:r>
        <w:t>sense in which hallucinations of pink elephants and other non-entities are representational. How is this to be explained?</w:t>
      </w:r>
    </w:p>
    <w:p w14:paraId="7E000708" w14:textId="77777777" w:rsidR="009A58DB" w:rsidRDefault="00000000">
      <w:pPr>
        <w:pStyle w:val="BodyText"/>
        <w:spacing w:before="8" w:line="249" w:lineRule="auto"/>
        <w:ind w:right="358" w:firstLine="360"/>
      </w:pPr>
      <w:r>
        <w:t xml:space="preserve">The solution to this problem lies in the fact that </w:t>
      </w:r>
      <w:r>
        <w:rPr>
          <w:i/>
        </w:rPr>
        <w:t xml:space="preserve">perception is description. </w:t>
      </w:r>
      <w:r>
        <w:t xml:space="preserve">If you’re looking at an actual elephant, which we’ll call “Larry,” the information encoded in your visual </w:t>
      </w:r>
      <w:r>
        <w:rPr>
          <w:b/>
          <w:i/>
        </w:rPr>
        <w:t xml:space="preserve">perception </w:t>
      </w:r>
      <w:r>
        <w:t>isn’t the effect that:</w:t>
      </w:r>
    </w:p>
    <w:p w14:paraId="7E000709" w14:textId="77777777" w:rsidR="009A58DB" w:rsidRDefault="009A58DB">
      <w:pPr>
        <w:pStyle w:val="BodyText"/>
        <w:spacing w:before="19"/>
        <w:ind w:left="0"/>
        <w:jc w:val="left"/>
      </w:pPr>
    </w:p>
    <w:p w14:paraId="7E00070A" w14:textId="77777777" w:rsidR="009A58DB" w:rsidRDefault="00000000">
      <w:pPr>
        <w:pStyle w:val="BodyText"/>
        <w:spacing w:line="277" w:lineRule="exact"/>
        <w:ind w:left="809"/>
        <w:jc w:val="left"/>
      </w:pPr>
      <w:bookmarkStart w:id="16" w:name="_bookmark16"/>
      <w:bookmarkEnd w:id="16"/>
      <w:r>
        <w:rPr>
          <w:color w:val="0562C1"/>
          <w:spacing w:val="-4"/>
          <w:u w:val="single" w:color="0562C1"/>
        </w:rPr>
        <w:t>[13]</w:t>
      </w:r>
    </w:p>
    <w:p w14:paraId="7E00070B" w14:textId="77777777" w:rsidR="009A58DB" w:rsidRDefault="00000000">
      <w:pPr>
        <w:pStyle w:val="BodyText"/>
        <w:tabs>
          <w:tab w:val="left" w:pos="1309"/>
        </w:tabs>
        <w:spacing w:line="277" w:lineRule="exact"/>
        <w:jc w:val="left"/>
      </w:pPr>
      <w:r>
        <w:rPr>
          <w:spacing w:val="-5"/>
        </w:rPr>
        <w:t>(LP</w:t>
      </w:r>
      <w:r>
        <w:tab/>
        <w:t>)</w:t>
      </w:r>
      <w:r>
        <w:rPr>
          <w:spacing w:val="-6"/>
        </w:rPr>
        <w:t xml:space="preserve"> </w:t>
      </w:r>
      <w:r>
        <w:rPr>
          <w:i/>
        </w:rPr>
        <w:t>Larry</w:t>
      </w:r>
      <w:r>
        <w:rPr>
          <w:i/>
          <w:spacing w:val="-3"/>
        </w:rPr>
        <w:t xml:space="preserve"> </w:t>
      </w:r>
      <w:r>
        <w:t>is</w:t>
      </w:r>
      <w:r>
        <w:rPr>
          <w:spacing w:val="-3"/>
        </w:rPr>
        <w:t xml:space="preserve"> </w:t>
      </w:r>
      <w:r>
        <w:t>standing</w:t>
      </w:r>
      <w:r>
        <w:rPr>
          <w:spacing w:val="-2"/>
        </w:rPr>
        <w:t xml:space="preserve"> </w:t>
      </w:r>
      <w:r>
        <w:t>over</w:t>
      </w:r>
      <w:r>
        <w:rPr>
          <w:spacing w:val="-3"/>
        </w:rPr>
        <w:t xml:space="preserve"> </w:t>
      </w:r>
      <w:r>
        <w:t>there,</w:t>
      </w:r>
      <w:r>
        <w:rPr>
          <w:spacing w:val="-2"/>
        </w:rPr>
        <w:t xml:space="preserve"> </w:t>
      </w:r>
      <w:r>
        <w:t>next</w:t>
      </w:r>
      <w:r>
        <w:rPr>
          <w:spacing w:val="-3"/>
        </w:rPr>
        <w:t xml:space="preserve"> </w:t>
      </w:r>
      <w:r>
        <w:t>to</w:t>
      </w:r>
      <w:r>
        <w:rPr>
          <w:spacing w:val="-2"/>
        </w:rPr>
        <w:t xml:space="preserve"> </w:t>
      </w:r>
      <w:r>
        <w:t>that</w:t>
      </w:r>
      <w:r>
        <w:rPr>
          <w:spacing w:val="-3"/>
        </w:rPr>
        <w:t xml:space="preserve"> </w:t>
      </w:r>
      <w:r>
        <w:t>tree,</w:t>
      </w:r>
      <w:r>
        <w:rPr>
          <w:spacing w:val="-2"/>
        </w:rPr>
        <w:t xml:space="preserve"> </w:t>
      </w:r>
      <w:r>
        <w:t>looking</w:t>
      </w:r>
      <w:r>
        <w:rPr>
          <w:spacing w:val="-2"/>
        </w:rPr>
        <w:t xml:space="preserve"> </w:t>
      </w:r>
      <w:r>
        <w:t>ill</w:t>
      </w:r>
      <w:r>
        <w:rPr>
          <w:spacing w:val="-3"/>
        </w:rPr>
        <w:t xml:space="preserve"> </w:t>
      </w:r>
      <w:r>
        <w:rPr>
          <w:spacing w:val="-2"/>
        </w:rPr>
        <w:t>[etc.].</w:t>
      </w:r>
    </w:p>
    <w:p w14:paraId="7E00070C" w14:textId="77777777" w:rsidR="009A58DB" w:rsidRDefault="009A58DB">
      <w:pPr>
        <w:pStyle w:val="BodyText"/>
        <w:spacing w:before="30"/>
        <w:ind w:left="0"/>
        <w:jc w:val="left"/>
      </w:pPr>
    </w:p>
    <w:p w14:paraId="7E00070D" w14:textId="77777777" w:rsidR="009A58DB" w:rsidRDefault="00000000">
      <w:pPr>
        <w:pStyle w:val="BodyText"/>
        <w:spacing w:line="249" w:lineRule="auto"/>
        <w:ind w:right="360"/>
      </w:pPr>
      <w:r>
        <w:t xml:space="preserve">When you look at an elephant, or a person, or a rock, you don’t </w:t>
      </w:r>
      <w:r>
        <w:rPr>
          <w:i/>
        </w:rPr>
        <w:t xml:space="preserve">just </w:t>
      </w:r>
      <w:r>
        <w:t xml:space="preserve">see that object. Seeing Larry involves seeing </w:t>
      </w:r>
      <w:r>
        <w:rPr>
          <w:i/>
        </w:rPr>
        <w:t xml:space="preserve">a </w:t>
      </w:r>
      <w:r>
        <w:t>thing having various properties—having a certain color, shape, size, position (relative to you), etc. So seeing Larry involves seeing that various properties are instantiated—that there is an instance, in a certain place, of a certain morphology, color, etc.</w:t>
      </w:r>
    </w:p>
    <w:p w14:paraId="7E00070E" w14:textId="77777777" w:rsidR="009A58DB" w:rsidRDefault="00000000">
      <w:pPr>
        <w:pStyle w:val="BodyText"/>
        <w:spacing w:before="6"/>
        <w:ind w:left="720"/>
        <w:rPr>
          <w:i/>
        </w:rPr>
      </w:pPr>
      <w:r>
        <w:t>Perceptions</w:t>
      </w:r>
      <w:r>
        <w:rPr>
          <w:spacing w:val="-6"/>
        </w:rPr>
        <w:t xml:space="preserve"> </w:t>
      </w:r>
      <w:r>
        <w:t>of</w:t>
      </w:r>
      <w:r>
        <w:rPr>
          <w:spacing w:val="-4"/>
        </w:rPr>
        <w:t xml:space="preserve"> </w:t>
      </w:r>
      <w:r>
        <w:t>things</w:t>
      </w:r>
      <w:r>
        <w:rPr>
          <w:spacing w:val="-4"/>
        </w:rPr>
        <w:t xml:space="preserve"> </w:t>
      </w:r>
      <w:r>
        <w:t>aren’t</w:t>
      </w:r>
      <w:r>
        <w:rPr>
          <w:spacing w:val="-3"/>
        </w:rPr>
        <w:t xml:space="preserve"> </w:t>
      </w:r>
      <w:r>
        <w:t>like</w:t>
      </w:r>
      <w:r>
        <w:rPr>
          <w:spacing w:val="-4"/>
        </w:rPr>
        <w:t xml:space="preserve"> </w:t>
      </w:r>
      <w:r>
        <w:t>sentences</w:t>
      </w:r>
      <w:r>
        <w:rPr>
          <w:spacing w:val="-4"/>
        </w:rPr>
        <w:t xml:space="preserve"> </w:t>
      </w:r>
      <w:r>
        <w:t>about</w:t>
      </w:r>
      <w:r>
        <w:rPr>
          <w:spacing w:val="-3"/>
        </w:rPr>
        <w:t xml:space="preserve"> </w:t>
      </w:r>
      <w:r>
        <w:t>them.</w:t>
      </w:r>
      <w:r>
        <w:rPr>
          <w:spacing w:val="-3"/>
        </w:rPr>
        <w:t xml:space="preserve"> </w:t>
      </w:r>
      <w:r>
        <w:t>In</w:t>
      </w:r>
      <w:r>
        <w:rPr>
          <w:spacing w:val="-3"/>
        </w:rPr>
        <w:t xml:space="preserve"> </w:t>
      </w:r>
      <w:r>
        <w:t>the</w:t>
      </w:r>
      <w:r>
        <w:rPr>
          <w:spacing w:val="-3"/>
        </w:rPr>
        <w:t xml:space="preserve"> </w:t>
      </w:r>
      <w:r>
        <w:rPr>
          <w:i/>
          <w:spacing w:val="-2"/>
        </w:rPr>
        <w:t>sentence:</w:t>
      </w:r>
    </w:p>
    <w:p w14:paraId="7E00070F" w14:textId="77777777" w:rsidR="009A58DB" w:rsidRDefault="009A58DB">
      <w:pPr>
        <w:pStyle w:val="BodyText"/>
        <w:spacing w:before="30"/>
        <w:ind w:left="0"/>
        <w:jc w:val="left"/>
        <w:rPr>
          <w:i/>
        </w:rPr>
      </w:pPr>
    </w:p>
    <w:p w14:paraId="7E000710" w14:textId="77777777" w:rsidR="009A58DB" w:rsidRDefault="00000000">
      <w:pPr>
        <w:pStyle w:val="BodyText"/>
        <w:tabs>
          <w:tab w:val="left" w:pos="1483"/>
        </w:tabs>
        <w:jc w:val="left"/>
      </w:pPr>
      <w:r>
        <w:rPr>
          <w:noProof/>
        </w:rPr>
        <mc:AlternateContent>
          <mc:Choice Requires="wps">
            <w:drawing>
              <wp:anchor distT="0" distB="0" distL="0" distR="0" simplePos="0" relativeHeight="480325632" behindDoc="1" locked="0" layoutInCell="1" allowOverlap="1" wp14:anchorId="7E003252" wp14:editId="7E003253">
                <wp:simplePos x="0" y="0"/>
                <wp:positionH relativeFrom="page">
                  <wp:posOffset>1094035</wp:posOffset>
                </wp:positionH>
                <wp:positionV relativeFrom="paragraph">
                  <wp:posOffset>141825</wp:posOffset>
                </wp:positionV>
                <wp:extent cx="48704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045" cy="211454"/>
                        </a:xfrm>
                        <a:prstGeom prst="rect">
                          <a:avLst/>
                        </a:prstGeom>
                      </wps:spPr>
                      <wps:txbx>
                        <w:txbxContent>
                          <w:p w14:paraId="7E0032B0" w14:textId="77777777" w:rsidR="009A58DB" w:rsidRDefault="00000000">
                            <w:pPr>
                              <w:pStyle w:val="BodyText"/>
                              <w:tabs>
                                <w:tab w:val="left" w:pos="666"/>
                              </w:tabs>
                              <w:spacing w:line="332" w:lineRule="exact"/>
                              <w:ind w:left="0"/>
                              <w:jc w:val="left"/>
                            </w:pPr>
                            <w:r>
                              <w:rPr>
                                <w:spacing w:val="-10"/>
                              </w:rPr>
                              <w:t>S</w:t>
                            </w:r>
                            <w:r>
                              <w:tab/>
                            </w:r>
                            <w:r>
                              <w:rPr>
                                <w:spacing w:val="-10"/>
                              </w:rPr>
                              <w:t>)</w:t>
                            </w:r>
                          </w:p>
                        </w:txbxContent>
                      </wps:txbx>
                      <wps:bodyPr wrap="square" lIns="0" tIns="0" rIns="0" bIns="0" rtlCol="0">
                        <a:noAutofit/>
                      </wps:bodyPr>
                    </wps:wsp>
                  </a:graphicData>
                </a:graphic>
              </wp:anchor>
            </w:drawing>
          </mc:Choice>
          <mc:Fallback>
            <w:pict>
              <v:shapetype w14:anchorId="7E003252" id="_x0000_t202" coordsize="21600,21600" o:spt="202" path="m,l,21600r21600,l21600,xe">
                <v:stroke joinstyle="miter"/>
                <v:path gradientshapeok="t" o:connecttype="rect"/>
              </v:shapetype>
              <v:shape id="Textbox 2" o:spid="_x0000_s1026" type="#_x0000_t202" style="position:absolute;left:0;text-align:left;margin-left:86.15pt;margin-top:11.15pt;width:38.35pt;height:16.65pt;z-index:-2299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" filled="f" stroked="f">
                <v:textbox inset="0,0,0,0">
                  <w:txbxContent>
                    <w:p w14:paraId="7E0032B0" w14:textId="77777777" w:rsidR="009A58DB" w:rsidRDefault="00000000">
                      <w:pPr>
                        <w:pStyle w:val="BodyText"/>
                        <w:tabs>
                          <w:tab w:val="left" w:pos="666"/>
                        </w:tabs>
                        <w:spacing w:line="332" w:lineRule="exact"/>
                        <w:ind w:left="0"/>
                        <w:jc w:val="left"/>
                      </w:pPr>
                      <w:r>
                        <w:rPr>
                          <w:spacing w:val="-10"/>
                        </w:rPr>
                        <w:t>S</w:t>
                      </w:r>
                      <w:r>
                        <w:tab/>
                      </w:r>
                      <w:r>
                        <w:rPr>
                          <w:spacing w:val="-10"/>
                        </w:rPr>
                        <w:t>)</w:t>
                      </w:r>
                    </w:p>
                  </w:txbxContent>
                </v:textbox>
                <w10:wrap anchorx="page"/>
              </v:shape>
            </w:pict>
          </mc:Fallback>
        </mc:AlternateContent>
      </w:r>
      <w:bookmarkStart w:id="17" w:name="_bookmark17"/>
      <w:bookmarkEnd w:id="17"/>
      <w:r>
        <w:rPr>
          <w:color w:val="0562C1"/>
          <w:spacing w:val="-3"/>
          <w:position w:val="21"/>
          <w:u w:val="single" w:color="0562C1"/>
        </w:rPr>
        <w:t>[</w:t>
      </w:r>
      <w:r>
        <w:rPr>
          <w:color w:val="0562C1"/>
          <w:spacing w:val="-2"/>
          <w:position w:val="21"/>
          <w:u w:val="single" w:color="0562C1"/>
        </w:rPr>
        <w:t>14</w:t>
      </w:r>
      <w:r>
        <w:rPr>
          <w:color w:val="0562C1"/>
          <w:spacing w:val="-952"/>
          <w:position w:val="21"/>
          <w:u w:val="single" w:color="0562C1"/>
        </w:rPr>
        <w:t>]</w:t>
      </w:r>
      <w:r>
        <w:rPr>
          <w:spacing w:val="-3"/>
        </w:rPr>
        <w:t>(</w:t>
      </w:r>
      <w:r>
        <w:rPr>
          <w:spacing w:val="-2"/>
        </w:rPr>
        <w:t>L</w:t>
      </w:r>
      <w:r>
        <w:tab/>
        <w:t>“</w:t>
      </w:r>
      <w:r>
        <w:rPr>
          <w:i/>
        </w:rPr>
        <w:t>Larry</w:t>
      </w:r>
      <w:r>
        <w:rPr>
          <w:i/>
          <w:spacing w:val="-6"/>
        </w:rPr>
        <w:t xml:space="preserve"> </w:t>
      </w:r>
      <w:r>
        <w:t>is</w:t>
      </w:r>
      <w:r>
        <w:rPr>
          <w:spacing w:val="-3"/>
        </w:rPr>
        <w:t xml:space="preserve"> </w:t>
      </w:r>
      <w:r>
        <w:t>standing</w:t>
      </w:r>
      <w:r>
        <w:rPr>
          <w:spacing w:val="-3"/>
        </w:rPr>
        <w:t xml:space="preserve"> </w:t>
      </w:r>
      <w:r>
        <w:t>over</w:t>
      </w:r>
      <w:r>
        <w:rPr>
          <w:spacing w:val="-3"/>
        </w:rPr>
        <w:t xml:space="preserve"> </w:t>
      </w:r>
      <w:r>
        <w:t>there,</w:t>
      </w:r>
      <w:r>
        <w:rPr>
          <w:spacing w:val="-2"/>
        </w:rPr>
        <w:t xml:space="preserve"> </w:t>
      </w:r>
      <w:r>
        <w:t>next</w:t>
      </w:r>
      <w:r>
        <w:rPr>
          <w:spacing w:val="-4"/>
        </w:rPr>
        <w:t xml:space="preserve"> </w:t>
      </w:r>
      <w:r>
        <w:t>to</w:t>
      </w:r>
      <w:r>
        <w:rPr>
          <w:spacing w:val="-2"/>
        </w:rPr>
        <w:t xml:space="preserve"> </w:t>
      </w:r>
      <w:r>
        <w:t>that</w:t>
      </w:r>
      <w:r>
        <w:rPr>
          <w:spacing w:val="-3"/>
        </w:rPr>
        <w:t xml:space="preserve"> </w:t>
      </w:r>
      <w:r>
        <w:t>tree,</w:t>
      </w:r>
      <w:r>
        <w:rPr>
          <w:spacing w:val="-3"/>
        </w:rPr>
        <w:t xml:space="preserve"> </w:t>
      </w:r>
      <w:r>
        <w:t>looking</w:t>
      </w:r>
      <w:r>
        <w:rPr>
          <w:spacing w:val="-2"/>
        </w:rPr>
        <w:t xml:space="preserve"> </w:t>
      </w:r>
      <w:r>
        <w:t>ill</w:t>
      </w:r>
      <w:r>
        <w:rPr>
          <w:spacing w:val="-3"/>
        </w:rPr>
        <w:t xml:space="preserve"> </w:t>
      </w:r>
      <w:r>
        <w:rPr>
          <w:spacing w:val="-2"/>
        </w:rPr>
        <w:t>[etc.]”</w:t>
      </w:r>
    </w:p>
    <w:p w14:paraId="7E000711" w14:textId="77777777" w:rsidR="009A58DB" w:rsidRDefault="009A58DB">
      <w:pPr>
        <w:pStyle w:val="BodyText"/>
        <w:spacing w:before="30"/>
        <w:ind w:left="0"/>
        <w:jc w:val="left"/>
      </w:pPr>
    </w:p>
    <w:p w14:paraId="7E000712" w14:textId="77777777" w:rsidR="009A58DB" w:rsidRDefault="00000000">
      <w:pPr>
        <w:pStyle w:val="BodyText"/>
        <w:spacing w:line="249" w:lineRule="auto"/>
        <w:ind w:right="365"/>
      </w:pPr>
      <w:r>
        <w:t xml:space="preserve">Larry is represented by a single, </w:t>
      </w:r>
      <w:r>
        <w:rPr>
          <w:b/>
          <w:i/>
        </w:rPr>
        <w:t xml:space="preserve">semantically simple </w:t>
      </w:r>
      <w:r>
        <w:t>symbol (namely, “Larry”).</w:t>
      </w:r>
      <w:bookmarkStart w:id="18" w:name="_bookmark18"/>
      <w:bookmarkEnd w:id="18"/>
      <w:r>
        <w:rPr>
          <w:color w:val="0562C1"/>
          <w:position w:val="21"/>
          <w:u w:val="single" w:color="0562C1"/>
        </w:rPr>
        <w:t>[15]</w:t>
      </w:r>
      <w:r>
        <w:rPr>
          <w:color w:val="0562C1"/>
          <w:position w:val="21"/>
        </w:rPr>
        <w:t xml:space="preserve"> </w:t>
      </w:r>
      <w:r>
        <w:t xml:space="preserve">But in no </w:t>
      </w:r>
      <w:r>
        <w:rPr>
          <w:i/>
        </w:rPr>
        <w:t>sense</w:t>
      </w:r>
      <w:r>
        <w:t>-perception of Larry is he represented by some simple, homogenous, non-composite cipher. So far as he is perceived, Larry is</w:t>
      </w:r>
      <w:r>
        <w:rPr>
          <w:spacing w:val="-4"/>
        </w:rPr>
        <w:t xml:space="preserve"> </w:t>
      </w:r>
      <w:r>
        <w:t>represented</w:t>
      </w:r>
      <w:r>
        <w:rPr>
          <w:spacing w:val="-3"/>
        </w:rPr>
        <w:t xml:space="preserve"> </w:t>
      </w:r>
      <w:r>
        <w:rPr>
          <w:i/>
        </w:rPr>
        <w:t>as</w:t>
      </w:r>
      <w:r>
        <w:rPr>
          <w:i/>
          <w:spacing w:val="-4"/>
        </w:rPr>
        <w:t xml:space="preserve"> </w:t>
      </w:r>
      <w:r>
        <w:t>having these or those properties. This means that seeing him involves seeing that these or those properties are instantiated.</w:t>
      </w:r>
    </w:p>
    <w:p w14:paraId="7E000713" w14:textId="77777777" w:rsidR="009A58DB" w:rsidRDefault="00000000">
      <w:pPr>
        <w:pStyle w:val="BodyText"/>
        <w:spacing w:before="7" w:line="249" w:lineRule="auto"/>
        <w:ind w:right="358" w:firstLine="360"/>
      </w:pPr>
      <w:r>
        <w:t xml:space="preserve">It’s not as though </w:t>
      </w:r>
      <w:r>
        <w:rPr>
          <w:i/>
        </w:rPr>
        <w:t xml:space="preserve">in addition </w:t>
      </w:r>
      <w:r>
        <w:t xml:space="preserve">to seeing an instance of a certain morphology, color, etc., you </w:t>
      </w:r>
      <w:r>
        <w:rPr>
          <w:i/>
        </w:rPr>
        <w:t xml:space="preserve">also, </w:t>
      </w:r>
      <w:r>
        <w:t>separately from that, see Larry.</w:t>
      </w:r>
      <w:bookmarkStart w:id="19" w:name="_bookmark19"/>
      <w:bookmarkEnd w:id="19"/>
      <w:r>
        <w:rPr>
          <w:color w:val="0562C1"/>
          <w:position w:val="21"/>
          <w:u w:val="single" w:color="0562C1"/>
        </w:rPr>
        <w:t>[16]</w:t>
      </w:r>
      <w:r>
        <w:rPr>
          <w:color w:val="0562C1"/>
          <w:position w:val="21"/>
        </w:rPr>
        <w:t xml:space="preserve"> </w:t>
      </w:r>
      <w:r>
        <w:t xml:space="preserve">No, your seeing Larry </w:t>
      </w:r>
      <w:r>
        <w:rPr>
          <w:i/>
        </w:rPr>
        <w:t xml:space="preserve">consists </w:t>
      </w:r>
      <w:r>
        <w:t>in your seeing those property-instances—in your seeing that such and such properties are instantiated. Thus, the content of</w:t>
      </w:r>
      <w:r>
        <w:rPr>
          <w:spacing w:val="40"/>
        </w:rPr>
        <w:t xml:space="preserve"> </w:t>
      </w:r>
      <w:r>
        <w:t xml:space="preserve">your perception of Larry is given by some </w:t>
      </w:r>
      <w:r>
        <w:rPr>
          <w:b/>
          <w:i/>
        </w:rPr>
        <w:t xml:space="preserve">existence-claim </w:t>
      </w:r>
      <w:r>
        <w:t xml:space="preserve">similar to the </w:t>
      </w:r>
      <w:r>
        <w:rPr>
          <w:spacing w:val="-2"/>
        </w:rPr>
        <w:t>following:</w:t>
      </w:r>
    </w:p>
    <w:p w14:paraId="7E000714" w14:textId="77777777" w:rsidR="009A58DB" w:rsidRDefault="00000000">
      <w:pPr>
        <w:pStyle w:val="BodyText"/>
        <w:spacing w:before="112" w:line="249" w:lineRule="auto"/>
        <w:ind w:right="371"/>
      </w:pPr>
      <w:r>
        <w:t>(LC) there exists, over in that place at the present time, instances of such and such properties.</w:t>
      </w:r>
    </w:p>
    <w:p w14:paraId="7E000715" w14:textId="77777777" w:rsidR="009A58DB" w:rsidRDefault="00000000">
      <w:pPr>
        <w:pStyle w:val="BodyText"/>
        <w:spacing w:before="92" w:line="249" w:lineRule="auto"/>
        <w:ind w:right="369" w:firstLine="360"/>
      </w:pPr>
      <w:r>
        <w:t>An existence-claim is any claim to the effect that some property is instantiated.</w:t>
      </w:r>
      <w:r>
        <w:rPr>
          <w:spacing w:val="73"/>
        </w:rPr>
        <w:t xml:space="preserve"> </w:t>
      </w:r>
      <w:r>
        <w:t>Thus,</w:t>
      </w:r>
      <w:r>
        <w:rPr>
          <w:spacing w:val="73"/>
        </w:rPr>
        <w:t xml:space="preserve"> </w:t>
      </w:r>
      <w:r>
        <w:t>“there</w:t>
      </w:r>
      <w:r>
        <w:rPr>
          <w:spacing w:val="73"/>
        </w:rPr>
        <w:t xml:space="preserve"> </w:t>
      </w:r>
      <w:r>
        <w:t>are</w:t>
      </w:r>
      <w:r>
        <w:rPr>
          <w:spacing w:val="73"/>
        </w:rPr>
        <w:t xml:space="preserve"> </w:t>
      </w:r>
      <w:r>
        <w:t>prime</w:t>
      </w:r>
      <w:r>
        <w:rPr>
          <w:spacing w:val="73"/>
        </w:rPr>
        <w:t xml:space="preserve"> </w:t>
      </w:r>
      <w:r>
        <w:t>numbers”</w:t>
      </w:r>
      <w:r>
        <w:rPr>
          <w:spacing w:val="73"/>
        </w:rPr>
        <w:t xml:space="preserve"> </w:t>
      </w:r>
      <w:r>
        <w:t>is</w:t>
      </w:r>
      <w:r>
        <w:rPr>
          <w:spacing w:val="73"/>
        </w:rPr>
        <w:t xml:space="preserve"> </w:t>
      </w:r>
      <w:r>
        <w:t>an</w:t>
      </w:r>
      <w:r>
        <w:rPr>
          <w:spacing w:val="73"/>
        </w:rPr>
        <w:t xml:space="preserve"> </w:t>
      </w:r>
      <w:r>
        <w:t>existence-claim,</w:t>
      </w:r>
      <w:r>
        <w:rPr>
          <w:spacing w:val="73"/>
        </w:rPr>
        <w:t xml:space="preserve"> </w:t>
      </w:r>
      <w:r>
        <w:t>and</w:t>
      </w:r>
    </w:p>
    <w:p w14:paraId="7E00071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17" w14:textId="77777777" w:rsidR="009A58DB" w:rsidRDefault="00000000">
      <w:pPr>
        <w:pStyle w:val="BodyText"/>
        <w:spacing w:before="60" w:line="249" w:lineRule="auto"/>
        <w:ind w:right="364"/>
      </w:pPr>
      <w:r>
        <w:lastRenderedPageBreak/>
        <w:t>sufficient since it says that the property of being a prime number has at least one instance.</w:t>
      </w:r>
    </w:p>
    <w:p w14:paraId="7E000718" w14:textId="77777777" w:rsidR="009A58DB" w:rsidRDefault="00000000">
      <w:pPr>
        <w:pStyle w:val="BodyText"/>
        <w:spacing w:before="7" w:line="249" w:lineRule="auto"/>
        <w:ind w:right="363" w:firstLine="360"/>
      </w:pPr>
      <w:r>
        <w:t xml:space="preserve">Given any existence claim, anything having the requisite properties is said to </w:t>
      </w:r>
      <w:r>
        <w:rPr>
          <w:i/>
        </w:rPr>
        <w:t xml:space="preserve">satisfy </w:t>
      </w:r>
      <w:r>
        <w:t>it.</w:t>
      </w:r>
      <w:r>
        <w:rPr>
          <w:spacing w:val="40"/>
        </w:rPr>
        <w:t xml:space="preserve"> </w:t>
      </w:r>
      <w:r>
        <w:t>So</w:t>
      </w:r>
      <w:r>
        <w:rPr>
          <w:spacing w:val="40"/>
        </w:rPr>
        <w:t xml:space="preserve"> </w:t>
      </w:r>
      <w:r>
        <w:t>the number seven</w:t>
      </w:r>
      <w:r>
        <w:rPr>
          <w:spacing w:val="40"/>
        </w:rPr>
        <w:t xml:space="preserve"> </w:t>
      </w:r>
      <w:r>
        <w:t>satisfies the just-mentioned</w:t>
      </w:r>
      <w:r>
        <w:rPr>
          <w:spacing w:val="40"/>
        </w:rPr>
        <w:t xml:space="preserve"> </w:t>
      </w:r>
      <w:r>
        <w:t>existence-claim.</w:t>
      </w:r>
      <w:r>
        <w:rPr>
          <w:spacing w:val="-3"/>
        </w:rPr>
        <w:t xml:space="preserve"> </w:t>
      </w:r>
      <w:r>
        <w:t>The</w:t>
      </w:r>
      <w:r>
        <w:rPr>
          <w:spacing w:val="-4"/>
        </w:rPr>
        <w:t xml:space="preserve"> </w:t>
      </w:r>
      <w:r>
        <w:t>number</w:t>
      </w:r>
      <w:r>
        <w:rPr>
          <w:spacing w:val="-4"/>
        </w:rPr>
        <w:t xml:space="preserve"> </w:t>
      </w:r>
      <w:r>
        <w:t>two</w:t>
      </w:r>
      <w:r>
        <w:rPr>
          <w:spacing w:val="-3"/>
        </w:rPr>
        <w:t xml:space="preserve"> </w:t>
      </w:r>
      <w:r>
        <w:rPr>
          <w:i/>
        </w:rPr>
        <w:t>uniquely</w:t>
      </w:r>
      <w:r>
        <w:rPr>
          <w:i/>
          <w:spacing w:val="-4"/>
        </w:rPr>
        <w:t xml:space="preserve"> </w:t>
      </w:r>
      <w:r>
        <w:t>satisfies</w:t>
      </w:r>
      <w:r>
        <w:rPr>
          <w:spacing w:val="-4"/>
        </w:rPr>
        <w:t xml:space="preserve"> </w:t>
      </w:r>
      <w:r>
        <w:t>“there</w:t>
      </w:r>
      <w:r>
        <w:rPr>
          <w:spacing w:val="-4"/>
        </w:rPr>
        <w:t xml:space="preserve"> </w:t>
      </w:r>
      <w:r>
        <w:t>is</w:t>
      </w:r>
      <w:r>
        <w:rPr>
          <w:spacing w:val="-4"/>
        </w:rPr>
        <w:t xml:space="preserve"> </w:t>
      </w:r>
      <w:r>
        <w:t>an</w:t>
      </w:r>
      <w:r>
        <w:rPr>
          <w:spacing w:val="-3"/>
        </w:rPr>
        <w:t xml:space="preserve"> </w:t>
      </w:r>
      <w:r>
        <w:t>even</w:t>
      </w:r>
      <w:r>
        <w:rPr>
          <w:spacing w:val="-3"/>
        </w:rPr>
        <w:t xml:space="preserve"> </w:t>
      </w:r>
      <w:r>
        <w:t>prime,”</w:t>
      </w:r>
      <w:r>
        <w:rPr>
          <w:spacing w:val="-4"/>
        </w:rPr>
        <w:t xml:space="preserve"> </w:t>
      </w:r>
      <w:r>
        <w:t>since</w:t>
      </w:r>
      <w:r>
        <w:rPr>
          <w:spacing w:val="-4"/>
        </w:rPr>
        <w:t xml:space="preserve"> </w:t>
      </w:r>
      <w:r>
        <w:t>(a)</w:t>
      </w:r>
      <w:r>
        <w:rPr>
          <w:spacing w:val="-4"/>
        </w:rPr>
        <w:t xml:space="preserve"> </w:t>
      </w:r>
      <w:r>
        <w:t>it satisfies it and (b) nothing else does.</w:t>
      </w:r>
    </w:p>
    <w:p w14:paraId="7E000719" w14:textId="77777777" w:rsidR="009A58DB" w:rsidRDefault="00000000">
      <w:pPr>
        <w:pStyle w:val="BodyText"/>
        <w:spacing w:before="5" w:line="249" w:lineRule="auto"/>
        <w:ind w:right="361" w:firstLine="360"/>
      </w:pPr>
      <w:r>
        <w:t xml:space="preserve">When you look at Larry, your eyes are giving you an existence-claim. Given that Larry, and Larry alone, satisfies that existence-claim, he is the </w:t>
      </w:r>
      <w:r>
        <w:rPr>
          <w:i/>
        </w:rPr>
        <w:t xml:space="preserve">object </w:t>
      </w:r>
      <w:r>
        <w:t xml:space="preserve">of your perception. So given that Larry uniquely instantiates the property of being a thing in such and such a place that has such and such a morphology (etc.), Larry is the object (or, more likely, one of the objects) of your current perception. So, yes, your perception does represent Larry. But it represents him by way of </w:t>
      </w:r>
      <w:r>
        <w:rPr>
          <w:b/>
          <w:i/>
        </w:rPr>
        <w:t xml:space="preserve">encoding </w:t>
      </w:r>
      <w:r>
        <w:t>an existence-claim that he satisfies.</w:t>
      </w:r>
    </w:p>
    <w:p w14:paraId="7E00071A" w14:textId="77777777" w:rsidR="009A58DB" w:rsidRDefault="00000000">
      <w:pPr>
        <w:pStyle w:val="BodyText"/>
        <w:spacing w:before="9" w:line="249" w:lineRule="auto"/>
        <w:ind w:right="357" w:firstLine="360"/>
      </w:pPr>
      <w:r>
        <w:t xml:space="preserve">Given this, suppose that, the next day, you have a hallucination that is experientially just like the </w:t>
      </w:r>
      <w:r>
        <w:rPr>
          <w:b/>
          <w:i/>
        </w:rPr>
        <w:t xml:space="preserve">veridical </w:t>
      </w:r>
      <w:r>
        <w:t xml:space="preserve">perception we’ve been talking about. (A “veridical” perception is an accurate one. “Veridical” is to perceptions what “true” is to sentences. For some reason, perceptions are described as “veridical,” not as “true.”) So even though neither Larry nor anything that looks like him is in front of you, your visual experience is telling you otherwise. That hallucination thus gives you a </w:t>
      </w:r>
      <w:r>
        <w:rPr>
          <w:i/>
        </w:rPr>
        <w:t xml:space="preserve">false </w:t>
      </w:r>
      <w:r>
        <w:t>message. The message encoded in it will be similar to LC. That message is to the effect that, in a certain</w:t>
      </w:r>
      <w:r>
        <w:rPr>
          <w:spacing w:val="-3"/>
        </w:rPr>
        <w:t xml:space="preserve"> </w:t>
      </w:r>
      <w:r>
        <w:t>place,</w:t>
      </w:r>
      <w:r>
        <w:rPr>
          <w:spacing w:val="-3"/>
        </w:rPr>
        <w:t xml:space="preserve"> </w:t>
      </w:r>
      <w:r>
        <w:t>there</w:t>
      </w:r>
      <w:r>
        <w:rPr>
          <w:spacing w:val="-3"/>
        </w:rPr>
        <w:t xml:space="preserve"> </w:t>
      </w:r>
      <w:r>
        <w:t>is</w:t>
      </w:r>
      <w:r>
        <w:rPr>
          <w:spacing w:val="-3"/>
        </w:rPr>
        <w:t xml:space="preserve"> </w:t>
      </w:r>
      <w:r>
        <w:t>a</w:t>
      </w:r>
      <w:r>
        <w:rPr>
          <w:spacing w:val="-3"/>
        </w:rPr>
        <w:t xml:space="preserve"> </w:t>
      </w:r>
      <w:r>
        <w:t>thing</w:t>
      </w:r>
      <w:r>
        <w:rPr>
          <w:spacing w:val="-3"/>
        </w:rPr>
        <w:t xml:space="preserve"> </w:t>
      </w:r>
      <w:r>
        <w:t>having</w:t>
      </w:r>
      <w:r>
        <w:rPr>
          <w:spacing w:val="-3"/>
        </w:rPr>
        <w:t xml:space="preserve"> </w:t>
      </w:r>
      <w:r>
        <w:t>such</w:t>
      </w:r>
      <w:r>
        <w:rPr>
          <w:spacing w:val="-3"/>
        </w:rPr>
        <w:t xml:space="preserve"> </w:t>
      </w:r>
      <w:r>
        <w:t>and</w:t>
      </w:r>
      <w:r>
        <w:rPr>
          <w:spacing w:val="-3"/>
        </w:rPr>
        <w:t xml:space="preserve"> </w:t>
      </w:r>
      <w:r>
        <w:t>such</w:t>
      </w:r>
      <w:r>
        <w:rPr>
          <w:spacing w:val="-3"/>
        </w:rPr>
        <w:t xml:space="preserve"> </w:t>
      </w:r>
      <w:r>
        <w:t>morphological,</w:t>
      </w:r>
      <w:r>
        <w:rPr>
          <w:spacing w:val="-3"/>
        </w:rPr>
        <w:t xml:space="preserve"> </w:t>
      </w:r>
      <w:r>
        <w:t xml:space="preserve">chromatic, kinematic (etc.) properties. On this occasion, the message—the existence-claim—in question is false, the reason being that nothing satisfies it. (Yesterday, the message represented by your visual experience was correct, the reason being that the existence-claim in question </w:t>
      </w:r>
      <w:r>
        <w:rPr>
          <w:i/>
        </w:rPr>
        <w:t xml:space="preserve">was </w:t>
      </w:r>
      <w:r>
        <w:t>satisfied.) The important point is that, although it was hallucinatory, your visual experience encoded an existence-claim and, in so doing, gave you a message and was therefore representational. It wasn’t representational in the sense that there was some thing that it picked out and, for that reason, represented. It was representational in the sense that it gave you a message, albeit a false one,</w:t>
      </w:r>
      <w:r>
        <w:rPr>
          <w:spacing w:val="40"/>
        </w:rPr>
        <w:t xml:space="preserve"> </w:t>
      </w:r>
      <w:r>
        <w:t>and thus represented the world as being a certain way.</w:t>
      </w:r>
    </w:p>
    <w:p w14:paraId="7E00071B" w14:textId="77777777" w:rsidR="009A58DB" w:rsidRDefault="00000000">
      <w:pPr>
        <w:pStyle w:val="BodyText"/>
        <w:spacing w:before="23" w:line="249" w:lineRule="auto"/>
        <w:ind w:right="359" w:firstLine="360"/>
      </w:pPr>
      <w:r>
        <w:t>Your visual perception of yesterday, unlike your visual perception of today,</w:t>
      </w:r>
      <w:r>
        <w:rPr>
          <w:spacing w:val="-3"/>
        </w:rPr>
        <w:t xml:space="preserve"> </w:t>
      </w:r>
      <w:r>
        <w:t>encoded</w:t>
      </w:r>
      <w:r>
        <w:rPr>
          <w:spacing w:val="-3"/>
        </w:rPr>
        <w:t xml:space="preserve"> </w:t>
      </w:r>
      <w:r>
        <w:t>a</w:t>
      </w:r>
      <w:r>
        <w:rPr>
          <w:spacing w:val="-4"/>
        </w:rPr>
        <w:t xml:space="preserve"> </w:t>
      </w:r>
      <w:r>
        <w:rPr>
          <w:i/>
        </w:rPr>
        <w:t>true</w:t>
      </w:r>
      <w:r>
        <w:rPr>
          <w:i/>
          <w:spacing w:val="-4"/>
        </w:rPr>
        <w:t xml:space="preserve"> </w:t>
      </w:r>
      <w:r>
        <w:t>existence-claim.</w:t>
      </w:r>
      <w:r>
        <w:rPr>
          <w:spacing w:val="-3"/>
        </w:rPr>
        <w:t xml:space="preserve"> </w:t>
      </w:r>
      <w:r>
        <w:t>But</w:t>
      </w:r>
      <w:r>
        <w:rPr>
          <w:spacing w:val="-4"/>
        </w:rPr>
        <w:t xml:space="preserve"> </w:t>
      </w:r>
      <w:r>
        <w:t>your</w:t>
      </w:r>
      <w:r>
        <w:rPr>
          <w:spacing w:val="-4"/>
        </w:rPr>
        <w:t xml:space="preserve"> </w:t>
      </w:r>
      <w:r>
        <w:t>visual</w:t>
      </w:r>
      <w:r>
        <w:rPr>
          <w:spacing w:val="-4"/>
        </w:rPr>
        <w:t xml:space="preserve"> </w:t>
      </w:r>
      <w:r>
        <w:t>experience</w:t>
      </w:r>
      <w:r>
        <w:rPr>
          <w:spacing w:val="-4"/>
        </w:rPr>
        <w:t xml:space="preserve"> </w:t>
      </w:r>
      <w:r>
        <w:t>of</w:t>
      </w:r>
      <w:r>
        <w:rPr>
          <w:spacing w:val="-4"/>
        </w:rPr>
        <w:t xml:space="preserve"> </w:t>
      </w:r>
      <w:r>
        <w:t>today</w:t>
      </w:r>
      <w:r>
        <w:rPr>
          <w:spacing w:val="-3"/>
        </w:rPr>
        <w:t xml:space="preserve"> </w:t>
      </w:r>
      <w:r>
        <w:t>no more represents some non-existent entity than your sense-perception yesterday.</w:t>
      </w:r>
      <w:r>
        <w:rPr>
          <w:spacing w:val="-2"/>
        </w:rPr>
        <w:t xml:space="preserve"> </w:t>
      </w:r>
      <w:r>
        <w:t>Your</w:t>
      </w:r>
      <w:r>
        <w:rPr>
          <w:spacing w:val="-2"/>
        </w:rPr>
        <w:t xml:space="preserve"> </w:t>
      </w:r>
      <w:r>
        <w:t>visual</w:t>
      </w:r>
      <w:r>
        <w:rPr>
          <w:spacing w:val="-1"/>
        </w:rPr>
        <w:t xml:space="preserve"> </w:t>
      </w:r>
      <w:r>
        <w:t>experience</w:t>
      </w:r>
      <w:r>
        <w:rPr>
          <w:spacing w:val="-2"/>
        </w:rPr>
        <w:t xml:space="preserve"> </w:t>
      </w:r>
      <w:r>
        <w:t>today</w:t>
      </w:r>
      <w:r>
        <w:rPr>
          <w:spacing w:val="-1"/>
        </w:rPr>
        <w:t xml:space="preserve"> </w:t>
      </w:r>
      <w:r>
        <w:t>has</w:t>
      </w:r>
      <w:r>
        <w:rPr>
          <w:spacing w:val="-2"/>
        </w:rPr>
        <w:t xml:space="preserve"> </w:t>
      </w:r>
      <w:r>
        <w:t>for</w:t>
      </w:r>
      <w:r>
        <w:rPr>
          <w:spacing w:val="-1"/>
        </w:rPr>
        <w:t xml:space="preserve"> </w:t>
      </w:r>
      <w:r>
        <w:t>its</w:t>
      </w:r>
      <w:r>
        <w:rPr>
          <w:spacing w:val="-2"/>
        </w:rPr>
        <w:t xml:space="preserve"> </w:t>
      </w:r>
      <w:r>
        <w:t>content</w:t>
      </w:r>
      <w:r>
        <w:rPr>
          <w:spacing w:val="-1"/>
        </w:rPr>
        <w:t xml:space="preserve"> </w:t>
      </w:r>
      <w:r>
        <w:t>a</w:t>
      </w:r>
      <w:r>
        <w:rPr>
          <w:spacing w:val="-2"/>
        </w:rPr>
        <w:t xml:space="preserve"> </w:t>
      </w:r>
      <w:r>
        <w:rPr>
          <w:i/>
        </w:rPr>
        <w:t>false</w:t>
      </w:r>
      <w:r>
        <w:rPr>
          <w:i/>
          <w:spacing w:val="12"/>
        </w:rPr>
        <w:t xml:space="preserve"> </w:t>
      </w:r>
      <w:r>
        <w:rPr>
          <w:spacing w:val="-2"/>
        </w:rPr>
        <w:t>proposition</w:t>
      </w:r>
    </w:p>
    <w:p w14:paraId="7E00071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1D" w14:textId="77777777" w:rsidR="009A58DB" w:rsidRDefault="00000000">
      <w:pPr>
        <w:pStyle w:val="BodyText"/>
        <w:spacing w:before="65" w:line="249" w:lineRule="auto"/>
        <w:ind w:right="359"/>
      </w:pPr>
      <w:r>
        <w:lastRenderedPageBreak/>
        <w:t xml:space="preserve">to the effect that </w:t>
      </w:r>
      <w:r>
        <w:rPr>
          <w:i/>
        </w:rPr>
        <w:t xml:space="preserve">there is </w:t>
      </w:r>
      <w:r>
        <w:t>a thing having thus and such properties. But just as the sentence “there does not exist a ten-foot tall man” does not, in order to be true, require the existence of a ten-foot tall man, so your perception doesn’t require the existence of an elephant before you.</w:t>
      </w:r>
    </w:p>
    <w:p w14:paraId="7E00071E" w14:textId="77777777" w:rsidR="009A58DB" w:rsidRDefault="00000000">
      <w:pPr>
        <w:pStyle w:val="BodyText"/>
        <w:spacing w:before="5" w:line="249" w:lineRule="auto"/>
        <w:ind w:right="361" w:firstLine="360"/>
      </w:pPr>
      <w:r>
        <w:t>The same thing is true of thoughts about the non-existent. When you think about some non-existent number—for example, an even prime greater than two—there isn’t some mathematically impossible entity that you’re cognitively locking onto. What’s going on is that you’re thinking some false existence-claim along the lines of: there is some number n such that n is both even and prime [etc.].</w:t>
      </w:r>
    </w:p>
    <w:p w14:paraId="7E00071F" w14:textId="77777777" w:rsidR="009A58DB" w:rsidRDefault="00000000">
      <w:pPr>
        <w:pStyle w:val="BodyText"/>
        <w:spacing w:before="7" w:line="249" w:lineRule="auto"/>
        <w:ind w:right="358" w:firstLine="360"/>
      </w:pPr>
      <w:r>
        <w:t xml:space="preserve">Mental entities have </w:t>
      </w:r>
      <w:r>
        <w:rPr>
          <w:b/>
        </w:rPr>
        <w:t xml:space="preserve">propositions </w:t>
      </w:r>
      <w:r>
        <w:t xml:space="preserve">for their contents. When correct, those propositions </w:t>
      </w:r>
      <w:r>
        <w:rPr>
          <w:i/>
        </w:rPr>
        <w:t xml:space="preserve">describe </w:t>
      </w:r>
      <w:r>
        <w:t xml:space="preserve">existing things. When false, they don’t. But nothing non-existent or quasi-existent can be the object of a thought or perception. When we </w:t>
      </w:r>
      <w:r>
        <w:rPr>
          <w:i/>
        </w:rPr>
        <w:t>describe</w:t>
      </w:r>
      <w:r>
        <w:rPr>
          <w:i/>
          <w:spacing w:val="-3"/>
        </w:rPr>
        <w:t xml:space="preserve"> </w:t>
      </w:r>
      <w:r>
        <w:t>a thought or perception as having a “non-existent object,” what we mean, so far as what we mean is coherent, is that it has for its content an existence-claim that nothing satisfies.</w:t>
      </w:r>
    </w:p>
    <w:p w14:paraId="7E000720" w14:textId="77777777" w:rsidR="009A58DB" w:rsidRDefault="00000000">
      <w:pPr>
        <w:pStyle w:val="BodyText"/>
        <w:spacing w:before="7" w:line="249" w:lineRule="auto"/>
        <w:ind w:right="359" w:firstLine="360"/>
        <w:rPr>
          <w:position w:val="21"/>
        </w:rPr>
      </w:pPr>
      <w:r>
        <w:t>But</w:t>
      </w:r>
      <w:r>
        <w:rPr>
          <w:spacing w:val="-2"/>
        </w:rPr>
        <w:t xml:space="preserve"> </w:t>
      </w:r>
      <w:r>
        <w:t>Brentano</w:t>
      </w:r>
      <w:r>
        <w:rPr>
          <w:spacing w:val="-2"/>
        </w:rPr>
        <w:t xml:space="preserve"> </w:t>
      </w:r>
      <w:r>
        <w:t>dropped</w:t>
      </w:r>
      <w:r>
        <w:rPr>
          <w:spacing w:val="-2"/>
        </w:rPr>
        <w:t xml:space="preserve"> </w:t>
      </w:r>
      <w:r>
        <w:t>the</w:t>
      </w:r>
      <w:r>
        <w:rPr>
          <w:spacing w:val="-2"/>
        </w:rPr>
        <w:t xml:space="preserve"> </w:t>
      </w:r>
      <w:r>
        <w:t>ball.</w:t>
      </w:r>
      <w:r>
        <w:rPr>
          <w:spacing w:val="-2"/>
        </w:rPr>
        <w:t xml:space="preserve"> </w:t>
      </w:r>
      <w:r>
        <w:t>He</w:t>
      </w:r>
      <w:r>
        <w:rPr>
          <w:spacing w:val="-2"/>
        </w:rPr>
        <w:t xml:space="preserve"> </w:t>
      </w:r>
      <w:r>
        <w:t>realized</w:t>
      </w:r>
      <w:r>
        <w:rPr>
          <w:spacing w:val="-2"/>
        </w:rPr>
        <w:t xml:space="preserve"> </w:t>
      </w:r>
      <w:r>
        <w:t>that</w:t>
      </w:r>
      <w:r>
        <w:rPr>
          <w:spacing w:val="-2"/>
        </w:rPr>
        <w:t xml:space="preserve"> </w:t>
      </w:r>
      <w:r>
        <w:t>hallucinations</w:t>
      </w:r>
      <w:r>
        <w:rPr>
          <w:spacing w:val="-2"/>
        </w:rPr>
        <w:t xml:space="preserve"> </w:t>
      </w:r>
      <w:r>
        <w:t>are,</w:t>
      </w:r>
      <w:r>
        <w:rPr>
          <w:spacing w:val="-2"/>
        </w:rPr>
        <w:t xml:space="preserve"> </w:t>
      </w:r>
      <w:r>
        <w:t>in</w:t>
      </w:r>
      <w:r>
        <w:rPr>
          <w:spacing w:val="-2"/>
        </w:rPr>
        <w:t xml:space="preserve"> </w:t>
      </w:r>
      <w:r>
        <w:t>some significant sense, representational. Wishing to reconcile this with the fact that there are no pink elephants (etc.), he said that a hallucination of a pink elephant has a non-existent pink elephant for its object</w:t>
      </w:r>
      <w:bookmarkStart w:id="20" w:name="_bookmark20"/>
      <w:bookmarkEnd w:id="20"/>
      <w:r>
        <w:t>.</w:t>
      </w:r>
      <w:r>
        <w:rPr>
          <w:color w:val="0562C1"/>
          <w:position w:val="21"/>
          <w:u w:val="single" w:color="0562C1"/>
        </w:rPr>
        <w:t>[17]</w:t>
      </w:r>
    </w:p>
    <w:p w14:paraId="7E000721" w14:textId="77777777" w:rsidR="009A58DB" w:rsidRDefault="00000000">
      <w:pPr>
        <w:pStyle w:val="BodyText"/>
        <w:spacing w:before="5" w:line="249" w:lineRule="auto"/>
        <w:ind w:right="362" w:firstLine="360"/>
      </w:pPr>
      <w:r>
        <w:t>But that’s absurd, since it’s the same as saying: “there exists some elephant x such that x doesn’t exist and such that what you are hallucinating is x.”</w:t>
      </w:r>
    </w:p>
    <w:p w14:paraId="7E000722" w14:textId="77777777" w:rsidR="009A58DB" w:rsidRDefault="00000000">
      <w:pPr>
        <w:pStyle w:val="BodyText"/>
        <w:spacing w:before="4" w:line="249" w:lineRule="auto"/>
        <w:ind w:right="360" w:firstLine="360"/>
      </w:pPr>
      <w:r>
        <w:t>In a failed to attempt to deal with this, Brentano distinguished different kinds of non-existence, and he used different terms to mark them (“inexistent,” “non-existent,” “un-existent,” etc.) His pupil, Alexius Meinong (1853–1920), added another bogus category to this list—the category of “subsistent” entities. An entity “subsists” if it doesn’t quite fail to exist, but doesn’t quite succeed in existing either.</w:t>
      </w:r>
    </w:p>
    <w:p w14:paraId="7E000723" w14:textId="77777777" w:rsidR="009A58DB" w:rsidRDefault="00000000">
      <w:pPr>
        <w:pStyle w:val="BodyText"/>
        <w:spacing w:before="7" w:line="249" w:lineRule="auto"/>
        <w:ind w:right="362" w:firstLine="360"/>
      </w:pPr>
      <w:r>
        <w:t xml:space="preserve">This entire approach is misguided. Brentano and Meinong were ontologizing when they should have been analyzing. Properly analyzed, hallucinations no more require the existence of non-existent existents than veridical perceptions. The same is true of thoughts about Bart Simpson, the Fountain of Youth, etc. (This is further discussed in Chapters 6, 8, 9, and 25.) </w:t>
      </w:r>
      <w:bookmarkStart w:id="21" w:name="_bookmark21"/>
      <w:bookmarkEnd w:id="21"/>
      <w:r>
        <w:rPr>
          <w:color w:val="0562C1"/>
          <w:spacing w:val="-4"/>
          <w:u w:val="single" w:color="0562C1"/>
        </w:rPr>
        <w:t>[18]</w:t>
      </w:r>
    </w:p>
    <w:p w14:paraId="7E00072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25" w14:textId="77777777" w:rsidR="009A58DB" w:rsidRDefault="00000000">
      <w:pPr>
        <w:pStyle w:val="Heading1"/>
        <w:numPr>
          <w:ilvl w:val="1"/>
          <w:numId w:val="228"/>
        </w:numPr>
        <w:tabs>
          <w:tab w:val="left" w:pos="990"/>
        </w:tabs>
        <w:spacing w:before="58"/>
      </w:pPr>
      <w:r>
        <w:lastRenderedPageBreak/>
        <w:t>Empirical</w:t>
      </w:r>
      <w:r>
        <w:rPr>
          <w:spacing w:val="-9"/>
        </w:rPr>
        <w:t xml:space="preserve"> </w:t>
      </w:r>
      <w:r>
        <w:t>puzzles</w:t>
      </w:r>
      <w:r>
        <w:rPr>
          <w:spacing w:val="-7"/>
        </w:rPr>
        <w:t xml:space="preserve"> </w:t>
      </w:r>
      <w:r>
        <w:t>vs.</w:t>
      </w:r>
      <w:r>
        <w:rPr>
          <w:spacing w:val="-6"/>
        </w:rPr>
        <w:t xml:space="preserve"> </w:t>
      </w:r>
      <w:r>
        <w:t>philosophical</w:t>
      </w:r>
      <w:r>
        <w:rPr>
          <w:spacing w:val="-6"/>
        </w:rPr>
        <w:t xml:space="preserve"> </w:t>
      </w:r>
      <w:r>
        <w:rPr>
          <w:spacing w:val="-2"/>
        </w:rPr>
        <w:t>puzzles</w:t>
      </w:r>
    </w:p>
    <w:p w14:paraId="7E000726" w14:textId="77777777" w:rsidR="009A58DB" w:rsidRDefault="00000000">
      <w:pPr>
        <w:pStyle w:val="BodyText"/>
        <w:spacing w:before="139" w:line="249" w:lineRule="auto"/>
        <w:ind w:right="371" w:firstLine="360"/>
      </w:pPr>
      <w:r>
        <w:t>Some puzzles result from ignorance of spatiotemporal facts. My valuables start disappearing. I’m puzzled. I learn the relevant facts: Larry has been sneaking into my house and stealing my valuables. I’m no longer puzzled.</w:t>
      </w:r>
    </w:p>
    <w:p w14:paraId="7E000727" w14:textId="77777777" w:rsidR="009A58DB" w:rsidRDefault="00000000">
      <w:pPr>
        <w:pStyle w:val="BodyText"/>
        <w:spacing w:before="3" w:line="249" w:lineRule="auto"/>
        <w:ind w:right="361" w:firstLine="360"/>
      </w:pPr>
      <w:r>
        <w:t>The puzzles that science deals with typically involve a failure to know all the facts. The problem isn’t that anyone is making erroneous inferences. The problem</w:t>
      </w:r>
      <w:r>
        <w:rPr>
          <w:spacing w:val="-3"/>
        </w:rPr>
        <w:t xml:space="preserve"> </w:t>
      </w:r>
      <w:r>
        <w:t>is</w:t>
      </w:r>
      <w:r>
        <w:rPr>
          <w:spacing w:val="-3"/>
        </w:rPr>
        <w:t xml:space="preserve"> </w:t>
      </w:r>
      <w:r>
        <w:t>that</w:t>
      </w:r>
      <w:r>
        <w:rPr>
          <w:spacing w:val="-3"/>
        </w:rPr>
        <w:t xml:space="preserve"> </w:t>
      </w:r>
      <w:r>
        <w:t>not</w:t>
      </w:r>
      <w:r>
        <w:rPr>
          <w:spacing w:val="-3"/>
        </w:rPr>
        <w:t xml:space="preserve"> </w:t>
      </w:r>
      <w:r>
        <w:t>all</w:t>
      </w:r>
      <w:r>
        <w:rPr>
          <w:spacing w:val="-3"/>
        </w:rPr>
        <w:t xml:space="preserve"> </w:t>
      </w:r>
      <w:r>
        <w:t>the</w:t>
      </w:r>
      <w:r>
        <w:rPr>
          <w:spacing w:val="-3"/>
        </w:rPr>
        <w:t xml:space="preserve"> </w:t>
      </w:r>
      <w:r>
        <w:t>facts</w:t>
      </w:r>
      <w:r>
        <w:rPr>
          <w:spacing w:val="-3"/>
        </w:rPr>
        <w:t xml:space="preserve"> </w:t>
      </w:r>
      <w:r>
        <w:t>are</w:t>
      </w:r>
      <w:r>
        <w:rPr>
          <w:spacing w:val="-3"/>
        </w:rPr>
        <w:t xml:space="preserve"> </w:t>
      </w:r>
      <w:r>
        <w:t>in.</w:t>
      </w:r>
      <w:r>
        <w:rPr>
          <w:spacing w:val="-2"/>
        </w:rPr>
        <w:t xml:space="preserve"> </w:t>
      </w:r>
      <w:r>
        <w:t>It</w:t>
      </w:r>
      <w:r>
        <w:rPr>
          <w:spacing w:val="-3"/>
        </w:rPr>
        <w:t xml:space="preserve"> </w:t>
      </w:r>
      <w:r>
        <w:t>isn’t</w:t>
      </w:r>
      <w:r>
        <w:rPr>
          <w:spacing w:val="-3"/>
        </w:rPr>
        <w:t xml:space="preserve"> </w:t>
      </w:r>
      <w:r>
        <w:t>yet</w:t>
      </w:r>
      <w:r>
        <w:rPr>
          <w:spacing w:val="-3"/>
        </w:rPr>
        <w:t xml:space="preserve"> </w:t>
      </w:r>
      <w:r>
        <w:t>known</w:t>
      </w:r>
      <w:r>
        <w:rPr>
          <w:spacing w:val="-2"/>
        </w:rPr>
        <w:t xml:space="preserve"> </w:t>
      </w:r>
      <w:r>
        <w:t>that</w:t>
      </w:r>
      <w:r>
        <w:rPr>
          <w:spacing w:val="-3"/>
        </w:rPr>
        <w:t xml:space="preserve"> </w:t>
      </w:r>
      <w:r>
        <w:t>disease</w:t>
      </w:r>
      <w:r>
        <w:rPr>
          <w:spacing w:val="-3"/>
        </w:rPr>
        <w:t xml:space="preserve"> </w:t>
      </w:r>
      <w:r>
        <w:t>X</w:t>
      </w:r>
      <w:r>
        <w:rPr>
          <w:spacing w:val="-3"/>
        </w:rPr>
        <w:t xml:space="preserve"> </w:t>
      </w:r>
      <w:r>
        <w:t>results from an over-production of antibody Y. The reason it isn’t yet known is that, given</w:t>
      </w:r>
      <w:r>
        <w:rPr>
          <w:spacing w:val="-1"/>
        </w:rPr>
        <w:t xml:space="preserve"> </w:t>
      </w:r>
      <w:r>
        <w:t>the</w:t>
      </w:r>
      <w:r>
        <w:rPr>
          <w:spacing w:val="-1"/>
        </w:rPr>
        <w:t xml:space="preserve"> </w:t>
      </w:r>
      <w:r>
        <w:t>available</w:t>
      </w:r>
      <w:r>
        <w:rPr>
          <w:spacing w:val="-1"/>
        </w:rPr>
        <w:t xml:space="preserve"> </w:t>
      </w:r>
      <w:r>
        <w:t>data,</w:t>
      </w:r>
      <w:r>
        <w:rPr>
          <w:spacing w:val="-1"/>
        </w:rPr>
        <w:t xml:space="preserve"> </w:t>
      </w:r>
      <w:r>
        <w:t>there</w:t>
      </w:r>
      <w:r>
        <w:rPr>
          <w:spacing w:val="-1"/>
        </w:rPr>
        <w:t xml:space="preserve"> </w:t>
      </w:r>
      <w:r>
        <w:t>isn’t</w:t>
      </w:r>
      <w:r>
        <w:rPr>
          <w:spacing w:val="-2"/>
        </w:rPr>
        <w:t xml:space="preserve"> </w:t>
      </w:r>
      <w:r>
        <w:t>yet</w:t>
      </w:r>
      <w:r>
        <w:rPr>
          <w:spacing w:val="-2"/>
        </w:rPr>
        <w:t xml:space="preserve"> </w:t>
      </w:r>
      <w:r>
        <w:t>good</w:t>
      </w:r>
      <w:r>
        <w:rPr>
          <w:spacing w:val="-1"/>
        </w:rPr>
        <w:t xml:space="preserve"> </w:t>
      </w:r>
      <w:r>
        <w:t>reason</w:t>
      </w:r>
      <w:r>
        <w:rPr>
          <w:spacing w:val="-1"/>
        </w:rPr>
        <w:t xml:space="preserve"> </w:t>
      </w:r>
      <w:r>
        <w:t>to</w:t>
      </w:r>
      <w:r>
        <w:rPr>
          <w:spacing w:val="-1"/>
        </w:rPr>
        <w:t xml:space="preserve"> </w:t>
      </w:r>
      <w:r>
        <w:t>believe</w:t>
      </w:r>
      <w:r>
        <w:rPr>
          <w:spacing w:val="-1"/>
        </w:rPr>
        <w:t xml:space="preserve"> </w:t>
      </w:r>
      <w:r>
        <w:t>it.</w:t>
      </w:r>
      <w:r>
        <w:rPr>
          <w:spacing w:val="-1"/>
        </w:rPr>
        <w:t xml:space="preserve"> </w:t>
      </w:r>
      <w:r>
        <w:t>But</w:t>
      </w:r>
      <w:r>
        <w:rPr>
          <w:spacing w:val="-2"/>
        </w:rPr>
        <w:t xml:space="preserve"> </w:t>
      </w:r>
      <w:r>
        <w:t>once</w:t>
      </w:r>
      <w:r>
        <w:rPr>
          <w:spacing w:val="-1"/>
        </w:rPr>
        <w:t xml:space="preserve"> </w:t>
      </w:r>
      <w:r>
        <w:t>the data is in, it will be believed, and a cure will be forthcoming.</w:t>
      </w:r>
    </w:p>
    <w:p w14:paraId="7E000728" w14:textId="77777777" w:rsidR="009A58DB" w:rsidRDefault="00000000">
      <w:pPr>
        <w:pStyle w:val="BodyText"/>
        <w:spacing w:before="8" w:line="249" w:lineRule="auto"/>
        <w:ind w:right="359" w:firstLine="360"/>
      </w:pPr>
      <w:r>
        <w:t xml:space="preserve">Of course, scientific puzzles seldom result </w:t>
      </w:r>
      <w:r>
        <w:rPr>
          <w:i/>
        </w:rPr>
        <w:t xml:space="preserve">entirely </w:t>
      </w:r>
      <w:r>
        <w:t>from a failure to have the relevant data. In most cases, scientific breakthroughs involve somebody’s figuring out a new and better way to model already available data.</w:t>
      </w:r>
    </w:p>
    <w:p w14:paraId="7E000729" w14:textId="77777777" w:rsidR="009A58DB" w:rsidRDefault="00000000">
      <w:pPr>
        <w:pStyle w:val="BodyText"/>
        <w:spacing w:before="3" w:line="249" w:lineRule="auto"/>
        <w:ind w:right="358" w:firstLine="360"/>
      </w:pPr>
      <w:r>
        <w:t>The pre-history of relativity theory vividly illustrates this principle. If a train rushes past you at a rate of 100 mph, and I rush past you at a rate of 70 mph,</w:t>
      </w:r>
      <w:r>
        <w:rPr>
          <w:spacing w:val="40"/>
        </w:rPr>
        <w:t xml:space="preserve"> </w:t>
      </w:r>
      <w:r>
        <w:t>the</w:t>
      </w:r>
      <w:r>
        <w:rPr>
          <w:spacing w:val="-9"/>
        </w:rPr>
        <w:t xml:space="preserve"> </w:t>
      </w:r>
      <w:r>
        <w:t>train</w:t>
      </w:r>
      <w:r>
        <w:rPr>
          <w:spacing w:val="-9"/>
        </w:rPr>
        <w:t xml:space="preserve"> </w:t>
      </w:r>
      <w:r>
        <w:t>is</w:t>
      </w:r>
      <w:r>
        <w:rPr>
          <w:spacing w:val="-9"/>
        </w:rPr>
        <w:t xml:space="preserve"> </w:t>
      </w:r>
      <w:r>
        <w:t>traveling</w:t>
      </w:r>
      <w:r>
        <w:rPr>
          <w:spacing w:val="-9"/>
        </w:rPr>
        <w:t xml:space="preserve"> </w:t>
      </w:r>
      <w:r>
        <w:t>at</w:t>
      </w:r>
      <w:r>
        <w:rPr>
          <w:spacing w:val="-9"/>
        </w:rPr>
        <w:t xml:space="preserve"> </w:t>
      </w:r>
      <w:r>
        <w:t>a</w:t>
      </w:r>
      <w:r>
        <w:rPr>
          <w:spacing w:val="-9"/>
        </w:rPr>
        <w:t xml:space="preserve"> </w:t>
      </w:r>
      <w:r>
        <w:t>rate</w:t>
      </w:r>
      <w:r>
        <w:rPr>
          <w:spacing w:val="-9"/>
        </w:rPr>
        <w:t xml:space="preserve"> </w:t>
      </w:r>
      <w:r>
        <w:t>of</w:t>
      </w:r>
      <w:r>
        <w:rPr>
          <w:spacing w:val="-9"/>
        </w:rPr>
        <w:t xml:space="preserve"> </w:t>
      </w:r>
      <w:r>
        <w:t>30</w:t>
      </w:r>
      <w:r>
        <w:rPr>
          <w:spacing w:val="-9"/>
        </w:rPr>
        <w:t xml:space="preserve"> </w:t>
      </w:r>
      <w:r>
        <w:t>mph</w:t>
      </w:r>
      <w:r>
        <w:rPr>
          <w:spacing w:val="-9"/>
        </w:rPr>
        <w:t xml:space="preserve"> </w:t>
      </w:r>
      <w:r>
        <w:t>with</w:t>
      </w:r>
      <w:r>
        <w:rPr>
          <w:spacing w:val="-9"/>
        </w:rPr>
        <w:t xml:space="preserve"> </w:t>
      </w:r>
      <w:r>
        <w:t>respect</w:t>
      </w:r>
      <w:r>
        <w:rPr>
          <w:spacing w:val="-9"/>
        </w:rPr>
        <w:t xml:space="preserve"> </w:t>
      </w:r>
      <w:r>
        <w:t>to</w:t>
      </w:r>
      <w:r>
        <w:rPr>
          <w:spacing w:val="-10"/>
        </w:rPr>
        <w:t xml:space="preserve"> </w:t>
      </w:r>
      <w:r>
        <w:t>me.</w:t>
      </w:r>
      <w:r>
        <w:rPr>
          <w:spacing w:val="-3"/>
        </w:rPr>
        <w:t xml:space="preserve"> </w:t>
      </w:r>
      <w:r>
        <w:t>But</w:t>
      </w:r>
      <w:r>
        <w:rPr>
          <w:spacing w:val="-3"/>
        </w:rPr>
        <w:t xml:space="preserve"> </w:t>
      </w:r>
      <w:r>
        <w:t>if</w:t>
      </w:r>
      <w:r>
        <w:rPr>
          <w:spacing w:val="-3"/>
        </w:rPr>
        <w:t xml:space="preserve"> </w:t>
      </w:r>
      <w:r>
        <w:t>a</w:t>
      </w:r>
      <w:r>
        <w:rPr>
          <w:spacing w:val="-3"/>
        </w:rPr>
        <w:t xml:space="preserve"> </w:t>
      </w:r>
      <w:r>
        <w:t>light beam</w:t>
      </w:r>
      <w:r>
        <w:rPr>
          <w:spacing w:val="-2"/>
        </w:rPr>
        <w:t xml:space="preserve"> </w:t>
      </w:r>
      <w:r>
        <w:t>rushes</w:t>
      </w:r>
      <w:r>
        <w:rPr>
          <w:spacing w:val="-2"/>
        </w:rPr>
        <w:t xml:space="preserve"> </w:t>
      </w:r>
      <w:r>
        <w:t>past</w:t>
      </w:r>
      <w:r>
        <w:rPr>
          <w:spacing w:val="-2"/>
        </w:rPr>
        <w:t xml:space="preserve"> </w:t>
      </w:r>
      <w:r>
        <w:t>you</w:t>
      </w:r>
      <w:r>
        <w:rPr>
          <w:spacing w:val="-1"/>
        </w:rPr>
        <w:t xml:space="preserve"> </w:t>
      </w:r>
      <w:r>
        <w:t>at</w:t>
      </w:r>
      <w:r>
        <w:rPr>
          <w:spacing w:val="-2"/>
        </w:rPr>
        <w:t xml:space="preserve"> </w:t>
      </w:r>
      <w:r>
        <w:t>a</w:t>
      </w:r>
      <w:r>
        <w:rPr>
          <w:spacing w:val="-2"/>
        </w:rPr>
        <w:t xml:space="preserve"> </w:t>
      </w:r>
      <w:r>
        <w:t>rate</w:t>
      </w:r>
      <w:r>
        <w:rPr>
          <w:spacing w:val="-2"/>
        </w:rPr>
        <w:t xml:space="preserve"> </w:t>
      </w:r>
      <w:r>
        <w:t>of</w:t>
      </w:r>
      <w:r>
        <w:rPr>
          <w:spacing w:val="-1"/>
        </w:rPr>
        <w:t xml:space="preserve"> </w:t>
      </w:r>
      <w:r>
        <w:t>186,000</w:t>
      </w:r>
      <w:r>
        <w:rPr>
          <w:spacing w:val="-2"/>
        </w:rPr>
        <w:t xml:space="preserve"> </w:t>
      </w:r>
      <w:r>
        <w:t>miles/second,</w:t>
      </w:r>
      <w:r>
        <w:rPr>
          <w:spacing w:val="-2"/>
        </w:rPr>
        <w:t xml:space="preserve"> </w:t>
      </w:r>
      <w:r>
        <w:t>and</w:t>
      </w:r>
      <w:r>
        <w:rPr>
          <w:spacing w:val="-2"/>
        </w:rPr>
        <w:t xml:space="preserve"> </w:t>
      </w:r>
      <w:r>
        <w:t>I</w:t>
      </w:r>
      <w:r>
        <w:rPr>
          <w:spacing w:val="-1"/>
        </w:rPr>
        <w:t xml:space="preserve"> </w:t>
      </w:r>
      <w:r>
        <w:t>rush</w:t>
      </w:r>
      <w:r>
        <w:rPr>
          <w:spacing w:val="-2"/>
        </w:rPr>
        <w:t xml:space="preserve"> </w:t>
      </w:r>
      <w:r>
        <w:t>past</w:t>
      </w:r>
      <w:r>
        <w:rPr>
          <w:spacing w:val="-2"/>
        </w:rPr>
        <w:t xml:space="preserve"> </w:t>
      </w:r>
      <w:r>
        <w:t>you</w:t>
      </w:r>
      <w:r>
        <w:rPr>
          <w:spacing w:val="-1"/>
        </w:rPr>
        <w:t xml:space="preserve"> </w:t>
      </w:r>
      <w:r>
        <w:t xml:space="preserve">at a rate of 180,000 miles/second, the light beam rushes past </w:t>
      </w:r>
      <w:r>
        <w:rPr>
          <w:i/>
        </w:rPr>
        <w:t xml:space="preserve">me </w:t>
      </w:r>
      <w:r>
        <w:t>at a rate of 186,000 miles/second. There is thus is no optical test for determining one’s own state of motion</w:t>
      </w:r>
      <w:bookmarkStart w:id="22" w:name="_bookmark22"/>
      <w:bookmarkEnd w:id="22"/>
      <w:r>
        <w:t>.</w:t>
      </w:r>
      <w:r>
        <w:rPr>
          <w:color w:val="0562C1"/>
          <w:position w:val="21"/>
          <w:u w:val="single" w:color="0562C1"/>
        </w:rPr>
        <w:t>[19]</w:t>
      </w:r>
      <w:r>
        <w:rPr>
          <w:color w:val="0562C1"/>
          <w:position w:val="21"/>
        </w:rPr>
        <w:t xml:space="preserve"> </w:t>
      </w:r>
      <w:r>
        <w:t xml:space="preserve">In other words, no matter how quickly you travel, you will not be able to detect any change in your velocity </w:t>
      </w:r>
      <w:r>
        <w:rPr>
          <w:i/>
        </w:rPr>
        <w:t>relative</w:t>
      </w:r>
      <w:r>
        <w:rPr>
          <w:i/>
          <w:spacing w:val="-3"/>
        </w:rPr>
        <w:t xml:space="preserve"> </w:t>
      </w:r>
      <w:r>
        <w:t xml:space="preserve">to that of a light beam. People and instruments not traveling with you will be able to detect changes in </w:t>
      </w:r>
      <w:r>
        <w:rPr>
          <w:i/>
        </w:rPr>
        <w:t xml:space="preserve">your </w:t>
      </w:r>
      <w:r>
        <w:t xml:space="preserve">velocity relative to that of a light beam, and you will be able to detect changes in </w:t>
      </w:r>
      <w:r>
        <w:rPr>
          <w:i/>
        </w:rPr>
        <w:t xml:space="preserve">their </w:t>
      </w:r>
      <w:r>
        <w:t>velocities relative to that of a light beam. But nobody can detect any changes in his own velocity relative to that of a light beam.</w:t>
      </w:r>
    </w:p>
    <w:p w14:paraId="7E00072A" w14:textId="77777777" w:rsidR="009A58DB" w:rsidRDefault="00000000">
      <w:pPr>
        <w:pStyle w:val="BodyText"/>
        <w:spacing w:before="16" w:line="249" w:lineRule="auto"/>
        <w:ind w:right="358" w:firstLine="360"/>
      </w:pPr>
      <w:r>
        <w:t xml:space="preserve">This deeply puzzling fact was established in 1879. But nobody had any idea how to explain it until, in 1905, Einstein put forth the Special Theory of Relativity. Einstein didn’t cite any data that hadn’t been available to the physics community for decades. Einstein’s great innovation was of a conceptual nature. The facts were in, but he was the first to make sense of </w:t>
      </w:r>
      <w:r>
        <w:rPr>
          <w:spacing w:val="-2"/>
        </w:rPr>
        <w:t>them.</w:t>
      </w:r>
    </w:p>
    <w:p w14:paraId="7E00072B" w14:textId="77777777" w:rsidR="009A58DB" w:rsidRDefault="00000000">
      <w:pPr>
        <w:pStyle w:val="BodyText"/>
        <w:spacing w:before="8" w:line="249" w:lineRule="auto"/>
        <w:ind w:right="363" w:firstLine="360"/>
      </w:pPr>
      <w:r>
        <w:t>Be</w:t>
      </w:r>
      <w:r>
        <w:rPr>
          <w:spacing w:val="-4"/>
        </w:rPr>
        <w:t xml:space="preserve"> </w:t>
      </w:r>
      <w:r>
        <w:t>all</w:t>
      </w:r>
      <w:r>
        <w:rPr>
          <w:spacing w:val="-4"/>
        </w:rPr>
        <w:t xml:space="preserve"> </w:t>
      </w:r>
      <w:r>
        <w:t>of</w:t>
      </w:r>
      <w:r>
        <w:rPr>
          <w:spacing w:val="-4"/>
        </w:rPr>
        <w:t xml:space="preserve"> </w:t>
      </w:r>
      <w:r>
        <w:t>this</w:t>
      </w:r>
      <w:r>
        <w:rPr>
          <w:spacing w:val="-4"/>
        </w:rPr>
        <w:t xml:space="preserve"> </w:t>
      </w:r>
      <w:r>
        <w:t>as</w:t>
      </w:r>
      <w:r>
        <w:rPr>
          <w:spacing w:val="-4"/>
        </w:rPr>
        <w:t xml:space="preserve"> </w:t>
      </w:r>
      <w:r>
        <w:t>it</w:t>
      </w:r>
      <w:r>
        <w:rPr>
          <w:spacing w:val="-4"/>
        </w:rPr>
        <w:t xml:space="preserve"> </w:t>
      </w:r>
      <w:r>
        <w:t>may,</w:t>
      </w:r>
      <w:r>
        <w:rPr>
          <w:spacing w:val="-3"/>
        </w:rPr>
        <w:t xml:space="preserve"> </w:t>
      </w:r>
      <w:r>
        <w:t>Relativity</w:t>
      </w:r>
      <w:r>
        <w:rPr>
          <w:spacing w:val="-3"/>
        </w:rPr>
        <w:t xml:space="preserve"> </w:t>
      </w:r>
      <w:r>
        <w:t>Theory</w:t>
      </w:r>
      <w:r>
        <w:rPr>
          <w:spacing w:val="-3"/>
        </w:rPr>
        <w:t xml:space="preserve"> </w:t>
      </w:r>
      <w:r>
        <w:t>is</w:t>
      </w:r>
      <w:r>
        <w:rPr>
          <w:spacing w:val="-4"/>
        </w:rPr>
        <w:t xml:space="preserve"> </w:t>
      </w:r>
      <w:r>
        <w:t>an</w:t>
      </w:r>
      <w:r>
        <w:rPr>
          <w:spacing w:val="-4"/>
        </w:rPr>
        <w:t xml:space="preserve"> </w:t>
      </w:r>
      <w:r>
        <w:rPr>
          <w:b/>
          <w:i/>
        </w:rPr>
        <w:t>empirical</w:t>
      </w:r>
      <w:r>
        <w:rPr>
          <w:b/>
          <w:i/>
          <w:spacing w:val="-4"/>
        </w:rPr>
        <w:t xml:space="preserve"> </w:t>
      </w:r>
      <w:r>
        <w:t>theory.</w:t>
      </w:r>
      <w:r>
        <w:rPr>
          <w:spacing w:val="-3"/>
        </w:rPr>
        <w:t xml:space="preserve"> </w:t>
      </w:r>
      <w:r>
        <w:t>It’s</w:t>
      </w:r>
      <w:r>
        <w:rPr>
          <w:spacing w:val="-4"/>
        </w:rPr>
        <w:t xml:space="preserve"> </w:t>
      </w:r>
      <w:r>
        <w:t>based on</w:t>
      </w:r>
      <w:r>
        <w:rPr>
          <w:spacing w:val="8"/>
        </w:rPr>
        <w:t xml:space="preserve"> </w:t>
      </w:r>
      <w:r>
        <w:t>observational</w:t>
      </w:r>
      <w:r>
        <w:rPr>
          <w:spacing w:val="10"/>
        </w:rPr>
        <w:t xml:space="preserve"> </w:t>
      </w:r>
      <w:r>
        <w:t>and</w:t>
      </w:r>
      <w:r>
        <w:rPr>
          <w:spacing w:val="11"/>
        </w:rPr>
        <w:t xml:space="preserve"> </w:t>
      </w:r>
      <w:r>
        <w:t>experimental</w:t>
      </w:r>
      <w:r>
        <w:rPr>
          <w:spacing w:val="10"/>
        </w:rPr>
        <w:t xml:space="preserve"> </w:t>
      </w:r>
      <w:r>
        <w:t>data,</w:t>
      </w:r>
      <w:r>
        <w:rPr>
          <w:spacing w:val="11"/>
        </w:rPr>
        <w:t xml:space="preserve"> </w:t>
      </w:r>
      <w:r>
        <w:t>much</w:t>
      </w:r>
      <w:r>
        <w:rPr>
          <w:spacing w:val="10"/>
        </w:rPr>
        <w:t xml:space="preserve"> </w:t>
      </w:r>
      <w:r>
        <w:t>of</w:t>
      </w:r>
      <w:r>
        <w:rPr>
          <w:spacing w:val="10"/>
        </w:rPr>
        <w:t xml:space="preserve"> </w:t>
      </w:r>
      <w:r>
        <w:t>which</w:t>
      </w:r>
      <w:r>
        <w:rPr>
          <w:spacing w:val="11"/>
        </w:rPr>
        <w:t xml:space="preserve"> </w:t>
      </w:r>
      <w:r>
        <w:t>would</w:t>
      </w:r>
      <w:r>
        <w:rPr>
          <w:spacing w:val="10"/>
        </w:rPr>
        <w:t xml:space="preserve"> </w:t>
      </w:r>
      <w:r>
        <w:t>be</w:t>
      </w:r>
      <w:r>
        <w:rPr>
          <w:spacing w:val="11"/>
        </w:rPr>
        <w:t xml:space="preserve"> </w:t>
      </w:r>
      <w:r>
        <w:rPr>
          <w:spacing w:val="-2"/>
        </w:rPr>
        <w:t>impossible</w:t>
      </w:r>
    </w:p>
    <w:p w14:paraId="7E00072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2D" w14:textId="77777777" w:rsidR="009A58DB" w:rsidRDefault="00000000">
      <w:pPr>
        <w:pStyle w:val="BodyText"/>
        <w:spacing w:before="65" w:line="249" w:lineRule="auto"/>
        <w:ind w:right="358"/>
      </w:pPr>
      <w:r>
        <w:lastRenderedPageBreak/>
        <w:t>to</w:t>
      </w:r>
      <w:r>
        <w:rPr>
          <w:spacing w:val="-1"/>
        </w:rPr>
        <w:t xml:space="preserve"> </w:t>
      </w:r>
      <w:r>
        <w:t>acquire except</w:t>
      </w:r>
      <w:r>
        <w:rPr>
          <w:spacing w:val="-1"/>
        </w:rPr>
        <w:t xml:space="preserve"> </w:t>
      </w:r>
      <w:r>
        <w:t>through carefully executed</w:t>
      </w:r>
      <w:r>
        <w:rPr>
          <w:spacing w:val="-1"/>
        </w:rPr>
        <w:t xml:space="preserve"> </w:t>
      </w:r>
      <w:r>
        <w:t>experiments. This data wasn’t</w:t>
      </w:r>
      <w:r>
        <w:rPr>
          <w:spacing w:val="-1"/>
        </w:rPr>
        <w:t xml:space="preserve"> </w:t>
      </w:r>
      <w:r>
        <w:t xml:space="preserve">in until 1879. So even though nobody came up with Relativity Theory before 1879, that fact can’t be chalked up to the fact that nobody drew the right inferences. It is due, at least in part, to the fact that the necessary data simply wasn’t available. (What </w:t>
      </w:r>
      <w:r>
        <w:rPr>
          <w:i/>
        </w:rPr>
        <w:t xml:space="preserve">can </w:t>
      </w:r>
      <w:r>
        <w:t>be chalked up to a failure to draw the right inferences is the fact that, during the period from 1879 to 1905, nobody came up with Relativity Theory.)</w:t>
      </w:r>
    </w:p>
    <w:p w14:paraId="7E00072E" w14:textId="77777777" w:rsidR="009A58DB" w:rsidRDefault="00000000">
      <w:pPr>
        <w:pStyle w:val="BodyText"/>
        <w:spacing w:before="8" w:line="249" w:lineRule="auto"/>
        <w:ind w:right="359" w:firstLine="360"/>
      </w:pPr>
      <w:r>
        <w:t>In general, scientific breakthroughs have two components: (i) a strictly fact-based</w:t>
      </w:r>
      <w:r>
        <w:rPr>
          <w:spacing w:val="-3"/>
        </w:rPr>
        <w:t xml:space="preserve"> </w:t>
      </w:r>
      <w:r>
        <w:t>component</w:t>
      </w:r>
      <w:r>
        <w:rPr>
          <w:spacing w:val="-3"/>
        </w:rPr>
        <w:t xml:space="preserve"> </w:t>
      </w:r>
      <w:r>
        <w:t>(new</w:t>
      </w:r>
      <w:r>
        <w:rPr>
          <w:spacing w:val="-3"/>
        </w:rPr>
        <w:t xml:space="preserve"> </w:t>
      </w:r>
      <w:r>
        <w:t>raw</w:t>
      </w:r>
      <w:r>
        <w:rPr>
          <w:spacing w:val="-3"/>
        </w:rPr>
        <w:t xml:space="preserve"> </w:t>
      </w:r>
      <w:r>
        <w:t>data</w:t>
      </w:r>
      <w:r>
        <w:rPr>
          <w:spacing w:val="-3"/>
        </w:rPr>
        <w:t xml:space="preserve"> </w:t>
      </w:r>
      <w:r>
        <w:t>is</w:t>
      </w:r>
      <w:r>
        <w:rPr>
          <w:spacing w:val="-3"/>
        </w:rPr>
        <w:t xml:space="preserve"> </w:t>
      </w:r>
      <w:r>
        <w:t>acquired),</w:t>
      </w:r>
      <w:r>
        <w:rPr>
          <w:spacing w:val="-3"/>
        </w:rPr>
        <w:t xml:space="preserve"> </w:t>
      </w:r>
      <w:r>
        <w:t>and</w:t>
      </w:r>
      <w:r>
        <w:rPr>
          <w:spacing w:val="-3"/>
        </w:rPr>
        <w:t xml:space="preserve"> </w:t>
      </w:r>
      <w:r>
        <w:t>(ii)</w:t>
      </w:r>
      <w:r>
        <w:rPr>
          <w:spacing w:val="-3"/>
        </w:rPr>
        <w:t xml:space="preserve"> </w:t>
      </w:r>
      <w:r>
        <w:t>a</w:t>
      </w:r>
      <w:r>
        <w:rPr>
          <w:spacing w:val="-3"/>
        </w:rPr>
        <w:t xml:space="preserve"> </w:t>
      </w:r>
      <w:r>
        <w:t>purely</w:t>
      </w:r>
      <w:r>
        <w:rPr>
          <w:spacing w:val="-3"/>
        </w:rPr>
        <w:t xml:space="preserve"> </w:t>
      </w:r>
      <w:r>
        <w:t>conceptual component (already known data is modeled in a new and better way).</w:t>
      </w:r>
    </w:p>
    <w:p w14:paraId="7E00072F" w14:textId="77777777" w:rsidR="009A58DB" w:rsidRDefault="00000000">
      <w:pPr>
        <w:pStyle w:val="Heading1"/>
        <w:numPr>
          <w:ilvl w:val="1"/>
          <w:numId w:val="228"/>
        </w:numPr>
        <w:tabs>
          <w:tab w:val="left" w:pos="1196"/>
          <w:tab w:val="left" w:pos="3304"/>
          <w:tab w:val="left" w:pos="4921"/>
          <w:tab w:val="left" w:pos="5712"/>
          <w:tab w:val="left" w:pos="8403"/>
        </w:tabs>
        <w:spacing w:before="192" w:line="244" w:lineRule="auto"/>
        <w:ind w:left="360" w:right="368" w:firstLine="0"/>
      </w:pPr>
      <w:r>
        <w:rPr>
          <w:spacing w:val="-2"/>
        </w:rPr>
        <w:t>Empirical</w:t>
      </w:r>
      <w:r>
        <w:tab/>
      </w:r>
      <w:r>
        <w:rPr>
          <w:spacing w:val="-2"/>
        </w:rPr>
        <w:t>puzzles</w:t>
      </w:r>
      <w:r>
        <w:tab/>
      </w:r>
      <w:r>
        <w:rPr>
          <w:spacing w:val="-4"/>
        </w:rPr>
        <w:t>vs.</w:t>
      </w:r>
      <w:r>
        <w:tab/>
      </w:r>
      <w:r>
        <w:rPr>
          <w:spacing w:val="-2"/>
        </w:rPr>
        <w:t>philosophical</w:t>
      </w:r>
      <w:r>
        <w:tab/>
      </w:r>
      <w:r>
        <w:rPr>
          <w:spacing w:val="-2"/>
        </w:rPr>
        <w:t>puzzles (continued)</w:t>
      </w:r>
    </w:p>
    <w:p w14:paraId="7E000730" w14:textId="77777777" w:rsidR="009A58DB" w:rsidRDefault="00000000">
      <w:pPr>
        <w:pStyle w:val="BodyText"/>
        <w:spacing w:before="132" w:line="249" w:lineRule="auto"/>
        <w:ind w:right="360"/>
      </w:pPr>
      <w:r>
        <w:t xml:space="preserve">Unlike scientific puzzles, philosophical puzzles are not solved by generating new raw data. Philosophical puzzles are </w:t>
      </w:r>
      <w:r>
        <w:rPr>
          <w:i/>
        </w:rPr>
        <w:t>purely</w:t>
      </w:r>
      <w:r>
        <w:rPr>
          <w:i/>
          <w:spacing w:val="-4"/>
        </w:rPr>
        <w:t xml:space="preserve"> </w:t>
      </w:r>
      <w:r>
        <w:t>conceptual in nature and have no strictly factual component.</w:t>
      </w:r>
      <w:bookmarkStart w:id="23" w:name="_bookmark23"/>
      <w:bookmarkEnd w:id="23"/>
      <w:r>
        <w:rPr>
          <w:color w:val="0562C1"/>
          <w:position w:val="21"/>
          <w:u w:val="single" w:color="0562C1"/>
        </w:rPr>
        <w:t>[20]</w:t>
      </w:r>
      <w:r>
        <w:rPr>
          <w:color w:val="0562C1"/>
          <w:position w:val="21"/>
        </w:rPr>
        <w:t xml:space="preserve"> </w:t>
      </w:r>
      <w:r>
        <w:t>Philosophical puzzles result, not from a failure to know the facts, but from a failure to draw</w:t>
      </w:r>
      <w:r>
        <w:rPr>
          <w:spacing w:val="-1"/>
        </w:rPr>
        <w:t xml:space="preserve"> </w:t>
      </w:r>
      <w:r>
        <w:t>the right inferences. They result, not from ignorance, but from confusion. In figuring out that:</w:t>
      </w:r>
    </w:p>
    <w:p w14:paraId="7E000731" w14:textId="77777777" w:rsidR="009A58DB" w:rsidRDefault="009A58DB">
      <w:pPr>
        <w:pStyle w:val="BodyText"/>
        <w:spacing w:before="21"/>
        <w:ind w:left="0"/>
        <w:jc w:val="left"/>
      </w:pPr>
    </w:p>
    <w:p w14:paraId="7E000732" w14:textId="77777777" w:rsidR="009A58DB" w:rsidRDefault="00000000">
      <w:pPr>
        <w:ind w:left="360"/>
        <w:jc w:val="both"/>
        <w:rPr>
          <w:b/>
          <w:sz w:val="30"/>
        </w:rPr>
      </w:pPr>
      <w:r>
        <w:rPr>
          <w:sz w:val="30"/>
        </w:rPr>
        <w:t>(NS</w:t>
      </w:r>
      <w:r>
        <w:rPr>
          <w:sz w:val="30"/>
          <w:vertAlign w:val="subscript"/>
        </w:rPr>
        <w:t>2</w:t>
      </w:r>
      <w:r>
        <w:rPr>
          <w:sz w:val="30"/>
        </w:rPr>
        <w:t xml:space="preserve">) </w:t>
      </w:r>
      <w:r>
        <w:rPr>
          <w:i/>
          <w:sz w:val="30"/>
        </w:rPr>
        <w:t>the property</w:t>
      </w:r>
      <w:r>
        <w:rPr>
          <w:i/>
          <w:spacing w:val="-1"/>
          <w:sz w:val="30"/>
        </w:rPr>
        <w:t xml:space="preserve"> </w:t>
      </w:r>
      <w:r>
        <w:rPr>
          <w:i/>
          <w:sz w:val="30"/>
        </w:rPr>
        <w:t>of being</w:t>
      </w:r>
      <w:r>
        <w:rPr>
          <w:i/>
          <w:spacing w:val="1"/>
          <w:sz w:val="30"/>
        </w:rPr>
        <w:t xml:space="preserve"> </w:t>
      </w:r>
      <w:r>
        <w:rPr>
          <w:i/>
          <w:sz w:val="30"/>
        </w:rPr>
        <w:t xml:space="preserve">a smoker </w:t>
      </w:r>
      <w:r>
        <w:rPr>
          <w:b/>
          <w:sz w:val="30"/>
        </w:rPr>
        <w:t>is</w:t>
      </w:r>
      <w:r>
        <w:rPr>
          <w:b/>
          <w:spacing w:val="-1"/>
          <w:sz w:val="30"/>
        </w:rPr>
        <w:t xml:space="preserve"> </w:t>
      </w:r>
      <w:r>
        <w:rPr>
          <w:b/>
          <w:spacing w:val="-2"/>
          <w:sz w:val="30"/>
        </w:rPr>
        <w:t>instantiated</w:t>
      </w:r>
    </w:p>
    <w:p w14:paraId="7E000733" w14:textId="77777777" w:rsidR="009A58DB" w:rsidRDefault="009A58DB">
      <w:pPr>
        <w:pStyle w:val="BodyText"/>
        <w:spacing w:before="90"/>
        <w:ind w:left="0"/>
        <w:jc w:val="left"/>
        <w:rPr>
          <w:b/>
        </w:rPr>
      </w:pPr>
    </w:p>
    <w:p w14:paraId="7E000734" w14:textId="77777777" w:rsidR="009A58DB" w:rsidRDefault="00000000">
      <w:pPr>
        <w:pStyle w:val="BodyText"/>
        <w:spacing w:line="501" w:lineRule="auto"/>
        <w:ind w:right="6827"/>
      </w:pPr>
      <w:r>
        <w:t>is what is meant by (NS)</w:t>
      </w:r>
      <w:r>
        <w:rPr>
          <w:spacing w:val="-4"/>
        </w:rPr>
        <w:t xml:space="preserve"> </w:t>
      </w:r>
      <w:r>
        <w:t>“nothing</w:t>
      </w:r>
      <w:r>
        <w:rPr>
          <w:spacing w:val="-3"/>
        </w:rPr>
        <w:t xml:space="preserve"> </w:t>
      </w:r>
      <w:r>
        <w:rPr>
          <w:spacing w:val="-2"/>
        </w:rPr>
        <w:t>smokes,”</w:t>
      </w:r>
    </w:p>
    <w:p w14:paraId="7E000735" w14:textId="77777777" w:rsidR="009A58DB" w:rsidRDefault="00000000">
      <w:pPr>
        <w:pStyle w:val="BodyText"/>
        <w:spacing w:line="249" w:lineRule="auto"/>
        <w:ind w:right="361"/>
      </w:pPr>
      <w:r>
        <w:t xml:space="preserve">Frege solved a number of outstanding philosophical problems. But Frege didn’t make any new empirical discoveries. In fact, his work didn’t involve him having access to </w:t>
      </w:r>
      <w:r>
        <w:rPr>
          <w:i/>
        </w:rPr>
        <w:t xml:space="preserve">any </w:t>
      </w:r>
      <w:r>
        <w:t xml:space="preserve">empirical information that wasn’t available to </w:t>
      </w:r>
      <w:r>
        <w:rPr>
          <w:i/>
        </w:rPr>
        <w:t xml:space="preserve">anyone </w:t>
      </w:r>
      <w:r>
        <w:t>who knows what (NS) (or its German equivalent) means</w:t>
      </w:r>
      <w:bookmarkStart w:id="24" w:name="_bookmark24"/>
      <w:bookmarkEnd w:id="24"/>
      <w:r>
        <w:t>.</w:t>
      </w:r>
      <w:r>
        <w:rPr>
          <w:color w:val="0562C1"/>
          <w:position w:val="21"/>
          <w:u w:val="single" w:color="0562C1"/>
        </w:rPr>
        <w:t>[21]</w:t>
      </w:r>
      <w:r>
        <w:rPr>
          <w:color w:val="0562C1"/>
          <w:position w:val="21"/>
        </w:rPr>
        <w:t xml:space="preserve"> </w:t>
      </w:r>
      <w:r>
        <w:t xml:space="preserve">Einstein’s work, by contrast, had a heavy empirical component: he was modeling facts that a layperson would know nothing about, and the same thing </w:t>
      </w:r>
      <w:r>
        <w:rPr>
          <w:i/>
        </w:rPr>
        <w:t xml:space="preserve">mutatis mutandis </w:t>
      </w:r>
      <w:r>
        <w:t>is true of any scientific discovery.</w:t>
      </w:r>
    </w:p>
    <w:p w14:paraId="7E000736" w14:textId="77777777" w:rsidR="009A58DB" w:rsidRDefault="00000000">
      <w:pPr>
        <w:pStyle w:val="ListParagraph"/>
        <w:numPr>
          <w:ilvl w:val="1"/>
          <w:numId w:val="227"/>
        </w:numPr>
        <w:tabs>
          <w:tab w:val="left" w:pos="1095"/>
        </w:tabs>
        <w:spacing w:before="210"/>
        <w:rPr>
          <w:b/>
          <w:sz w:val="42"/>
        </w:rPr>
      </w:pPr>
      <w:r>
        <w:rPr>
          <w:b/>
          <w:sz w:val="42"/>
        </w:rPr>
        <w:t>Philosophical</w:t>
      </w:r>
      <w:r>
        <w:rPr>
          <w:b/>
          <w:spacing w:val="-8"/>
          <w:sz w:val="42"/>
        </w:rPr>
        <w:t xml:space="preserve"> </w:t>
      </w:r>
      <w:r>
        <w:rPr>
          <w:b/>
          <w:sz w:val="42"/>
        </w:rPr>
        <w:t>analysis</w:t>
      </w:r>
      <w:r>
        <w:rPr>
          <w:b/>
          <w:spacing w:val="-6"/>
          <w:sz w:val="42"/>
        </w:rPr>
        <w:t xml:space="preserve"> </w:t>
      </w:r>
      <w:r>
        <w:rPr>
          <w:sz w:val="42"/>
        </w:rPr>
        <w:t>≠</w:t>
      </w:r>
      <w:r>
        <w:rPr>
          <w:spacing w:val="15"/>
          <w:sz w:val="42"/>
        </w:rPr>
        <w:t xml:space="preserve"> </w:t>
      </w:r>
      <w:r>
        <w:rPr>
          <w:b/>
          <w:sz w:val="42"/>
        </w:rPr>
        <w:t>linguistic</w:t>
      </w:r>
      <w:r>
        <w:rPr>
          <w:b/>
          <w:spacing w:val="-5"/>
          <w:sz w:val="42"/>
        </w:rPr>
        <w:t xml:space="preserve"> </w:t>
      </w:r>
      <w:r>
        <w:rPr>
          <w:b/>
          <w:spacing w:val="-2"/>
          <w:sz w:val="42"/>
        </w:rPr>
        <w:t>analysis</w:t>
      </w:r>
    </w:p>
    <w:p w14:paraId="7E000737" w14:textId="77777777" w:rsidR="009A58DB" w:rsidRDefault="009A58DB">
      <w:pPr>
        <w:pStyle w:val="ListParagraph"/>
        <w:rPr>
          <w:b/>
          <w:sz w:val="42"/>
        </w:rPr>
        <w:sectPr w:rsidR="009A58DB">
          <w:pgSz w:w="12240" w:h="15840"/>
          <w:pgMar w:top="1380" w:right="1080" w:bottom="280" w:left="1080" w:header="720" w:footer="720" w:gutter="0"/>
          <w:cols w:space="720"/>
        </w:sectPr>
      </w:pPr>
    </w:p>
    <w:p w14:paraId="7E000738" w14:textId="77777777" w:rsidR="009A58DB" w:rsidRDefault="00000000">
      <w:pPr>
        <w:pStyle w:val="BodyText"/>
        <w:spacing w:before="65" w:line="249" w:lineRule="auto"/>
        <w:ind w:right="359"/>
        <w:rPr>
          <w:position w:val="21"/>
        </w:rPr>
      </w:pPr>
      <w:r>
        <w:lastRenderedPageBreak/>
        <w:t xml:space="preserve">Impressed by Frege’s philosophical successes, many came to the conclusion that </w:t>
      </w:r>
      <w:r>
        <w:rPr>
          <w:i/>
        </w:rPr>
        <w:t xml:space="preserve">all </w:t>
      </w:r>
      <w:r>
        <w:t xml:space="preserve">philosophical puzzles are of a purely linguistic nature. The most famous, and also the most vehement, advocate of this view was </w:t>
      </w:r>
      <w:r>
        <w:rPr>
          <w:b/>
          <w:i/>
        </w:rPr>
        <w:t xml:space="preserve">Ludwig Wittgenstein (1889–1951). </w:t>
      </w:r>
      <w:r>
        <w:t>This thesis was the cornerstone of this work. He urged acceptance of it in practically everything he wrote during his long career. He said it before others said it, and he held onto it long after, for reasons to be described forthwith, most of its erstwhile supporters rejected it. “Philosophical confusion begins when language goes on holiday,” he said. Elsewher</w:t>
      </w:r>
      <w:bookmarkStart w:id="25" w:name="_bookmark25"/>
      <w:bookmarkEnd w:id="25"/>
      <w:r>
        <w:t>e</w:t>
      </w:r>
      <w:r>
        <w:rPr>
          <w:color w:val="0562C1"/>
          <w:position w:val="21"/>
          <w:u w:val="single" w:color="0562C1"/>
        </w:rPr>
        <w:t>[22]</w:t>
      </w:r>
      <w:r>
        <w:rPr>
          <w:color w:val="0562C1"/>
          <w:position w:val="21"/>
        </w:rPr>
        <w:t xml:space="preserve"> </w:t>
      </w:r>
      <w:r>
        <w:t>he said that all philosophical confusion “lies in a failure to understand the workings of our own language.</w:t>
      </w:r>
      <w:bookmarkStart w:id="26" w:name="_bookmark26"/>
      <w:bookmarkEnd w:id="26"/>
      <w:r>
        <w:t>”</w:t>
      </w:r>
      <w:r>
        <w:rPr>
          <w:color w:val="0562C1"/>
          <w:position w:val="21"/>
          <w:u w:val="single" w:color="0562C1"/>
        </w:rPr>
        <w:t>[23]</w:t>
      </w:r>
    </w:p>
    <w:p w14:paraId="7E000739" w14:textId="77777777" w:rsidR="009A58DB" w:rsidRDefault="009A58DB">
      <w:pPr>
        <w:pStyle w:val="BodyText"/>
        <w:spacing w:line="249" w:lineRule="auto"/>
        <w:rPr>
          <w:position w:val="21"/>
        </w:rPr>
        <w:sectPr w:rsidR="009A58DB">
          <w:pgSz w:w="12240" w:h="15840"/>
          <w:pgMar w:top="1380" w:right="1080" w:bottom="280" w:left="1080" w:header="720" w:footer="720" w:gutter="0"/>
          <w:cols w:space="720"/>
        </w:sectPr>
      </w:pPr>
    </w:p>
    <w:p w14:paraId="7E00073A" w14:textId="77777777" w:rsidR="009A58DB" w:rsidRDefault="00000000">
      <w:pPr>
        <w:pStyle w:val="BodyText"/>
        <w:spacing w:before="70" w:line="249" w:lineRule="auto"/>
        <w:ind w:right="363" w:firstLine="360"/>
      </w:pPr>
      <w:r>
        <w:lastRenderedPageBreak/>
        <w:t xml:space="preserve">But this position is incorrect. There are many philosophical puzzles that don’t have anything to do with language, and the solutions to these puzzles cannot be modeled on Frege’s solutions to the puzzles discussed a moment </w:t>
      </w:r>
      <w:r>
        <w:rPr>
          <w:spacing w:val="-4"/>
        </w:rPr>
        <w:t>ago.</w:t>
      </w:r>
    </w:p>
    <w:p w14:paraId="7E00073B" w14:textId="77777777" w:rsidR="009A58DB" w:rsidRDefault="00000000">
      <w:pPr>
        <w:pStyle w:val="BodyText"/>
        <w:spacing w:before="5" w:line="249" w:lineRule="auto"/>
        <w:ind w:right="359" w:firstLine="360"/>
      </w:pPr>
      <w:r>
        <w:t xml:space="preserve">Here’s an example from </w:t>
      </w:r>
      <w:r>
        <w:rPr>
          <w:b/>
          <w:i/>
        </w:rPr>
        <w:t>epistemology</w:t>
      </w:r>
      <w:bookmarkStart w:id="27" w:name="_bookmark27"/>
      <w:bookmarkEnd w:id="27"/>
      <w:r>
        <w:rPr>
          <w:b/>
          <w:i/>
        </w:rPr>
        <w:t>.</w:t>
      </w:r>
      <w:r>
        <w:rPr>
          <w:b/>
          <w:color w:val="0562C1"/>
          <w:position w:val="21"/>
          <w:u w:val="single" w:color="0562C1"/>
        </w:rPr>
        <w:t>[24]</w:t>
      </w:r>
      <w:r>
        <w:rPr>
          <w:b/>
          <w:color w:val="0562C1"/>
          <w:position w:val="21"/>
        </w:rPr>
        <w:t xml:space="preserve"> </w:t>
      </w:r>
      <w:r>
        <w:t>You couldn’t see the book in front</w:t>
      </w:r>
      <w:r>
        <w:rPr>
          <w:spacing w:val="-3"/>
        </w:rPr>
        <w:t xml:space="preserve"> </w:t>
      </w:r>
      <w:r>
        <w:t>of</w:t>
      </w:r>
      <w:r>
        <w:rPr>
          <w:spacing w:val="-3"/>
        </w:rPr>
        <w:t xml:space="preserve"> </w:t>
      </w:r>
      <w:r>
        <w:t>you</w:t>
      </w:r>
      <w:r>
        <w:rPr>
          <w:spacing w:val="-2"/>
        </w:rPr>
        <w:t xml:space="preserve"> </w:t>
      </w:r>
      <w:r>
        <w:t>were</w:t>
      </w:r>
      <w:r>
        <w:rPr>
          <w:spacing w:val="-3"/>
        </w:rPr>
        <w:t xml:space="preserve"> </w:t>
      </w:r>
      <w:r>
        <w:t>it</w:t>
      </w:r>
      <w:r>
        <w:rPr>
          <w:spacing w:val="-3"/>
        </w:rPr>
        <w:t xml:space="preserve"> </w:t>
      </w:r>
      <w:r>
        <w:t>not</w:t>
      </w:r>
      <w:r>
        <w:rPr>
          <w:spacing w:val="-3"/>
        </w:rPr>
        <w:t xml:space="preserve"> </w:t>
      </w:r>
      <w:r>
        <w:t>for</w:t>
      </w:r>
      <w:r>
        <w:rPr>
          <w:spacing w:val="-3"/>
        </w:rPr>
        <w:t xml:space="preserve"> </w:t>
      </w:r>
      <w:r>
        <w:t>the</w:t>
      </w:r>
      <w:r>
        <w:rPr>
          <w:spacing w:val="-3"/>
        </w:rPr>
        <w:t xml:space="preserve"> </w:t>
      </w:r>
      <w:r>
        <w:t>disturbances</w:t>
      </w:r>
      <w:r>
        <w:rPr>
          <w:spacing w:val="-3"/>
        </w:rPr>
        <w:t xml:space="preserve"> </w:t>
      </w:r>
      <w:r>
        <w:t>of</w:t>
      </w:r>
      <w:r>
        <w:rPr>
          <w:spacing w:val="-3"/>
        </w:rPr>
        <w:t xml:space="preserve"> </w:t>
      </w:r>
      <w:r>
        <w:t>your</w:t>
      </w:r>
      <w:r>
        <w:rPr>
          <w:spacing w:val="-3"/>
        </w:rPr>
        <w:t xml:space="preserve"> </w:t>
      </w:r>
      <w:r>
        <w:t>eyes</w:t>
      </w:r>
      <w:r>
        <w:rPr>
          <w:spacing w:val="-3"/>
        </w:rPr>
        <w:t xml:space="preserve"> </w:t>
      </w:r>
      <w:r>
        <w:t>brought</w:t>
      </w:r>
      <w:r>
        <w:rPr>
          <w:spacing w:val="-3"/>
        </w:rPr>
        <w:t xml:space="preserve"> </w:t>
      </w:r>
      <w:r>
        <w:t>about</w:t>
      </w:r>
      <w:r>
        <w:rPr>
          <w:spacing w:val="-3"/>
        </w:rPr>
        <w:t xml:space="preserve"> </w:t>
      </w:r>
      <w:r>
        <w:t>by</w:t>
      </w:r>
      <w:r>
        <w:rPr>
          <w:spacing w:val="-2"/>
        </w:rPr>
        <w:t xml:space="preserve"> </w:t>
      </w:r>
      <w:r>
        <w:t>the light-rays bouncing off of it. In general, nothing can sense-perceive anything that doesn’t affect it. All knowledge of what is in space-time is rooted in sense-perception. (If it’s in space-time, it isn’t known unless it’s directly perceived or evidence of it is perceived.) Taking it for granted that nothing that isn’t space-time can possibly be known, many contemporary epistemologists, e.g. Jerry Fodo</w:t>
      </w:r>
      <w:bookmarkStart w:id="28" w:name="_bookmark28"/>
      <w:bookmarkEnd w:id="28"/>
      <w:r>
        <w:t>r</w:t>
      </w:r>
      <w:r>
        <w:rPr>
          <w:color w:val="0562C1"/>
          <w:position w:val="21"/>
          <w:u w:val="single" w:color="0562C1"/>
        </w:rPr>
        <w:t>[25]</w:t>
      </w:r>
      <w:r>
        <w:t xml:space="preserve">, hold that one can’t know of </w:t>
      </w:r>
      <w:r>
        <w:rPr>
          <w:i/>
        </w:rPr>
        <w:t xml:space="preserve">anything </w:t>
      </w:r>
      <w:r>
        <w:t>without being affected by it. Thus, such philosophers hold that:</w:t>
      </w:r>
    </w:p>
    <w:p w14:paraId="7E00073C" w14:textId="77777777" w:rsidR="009A58DB" w:rsidRDefault="00000000">
      <w:pPr>
        <w:pStyle w:val="BodyText"/>
        <w:spacing w:before="116" w:line="249" w:lineRule="auto"/>
        <w:ind w:right="368"/>
      </w:pPr>
      <w:r>
        <w:t>(JK) John’s being aware of the fact that 1 + 1 = 2 involves his being on the receiving end of some causal process initiated by that fact.</w:t>
      </w:r>
    </w:p>
    <w:p w14:paraId="7E00073D" w14:textId="77777777" w:rsidR="009A58DB" w:rsidRDefault="00000000">
      <w:pPr>
        <w:pStyle w:val="BodyText"/>
        <w:spacing w:before="92"/>
        <w:ind w:left="720"/>
        <w:jc w:val="left"/>
      </w:pPr>
      <w:r>
        <w:t>I</w:t>
      </w:r>
      <w:r>
        <w:rPr>
          <w:spacing w:val="9"/>
        </w:rPr>
        <w:t xml:space="preserve"> </w:t>
      </w:r>
      <w:r>
        <w:t>personally</w:t>
      </w:r>
      <w:r>
        <w:rPr>
          <w:spacing w:val="13"/>
        </w:rPr>
        <w:t xml:space="preserve"> </w:t>
      </w:r>
      <w:r>
        <w:t>regard</w:t>
      </w:r>
      <w:r>
        <w:rPr>
          <w:spacing w:val="12"/>
        </w:rPr>
        <w:t xml:space="preserve"> </w:t>
      </w:r>
      <w:r>
        <w:t>JK</w:t>
      </w:r>
      <w:r>
        <w:rPr>
          <w:spacing w:val="12"/>
        </w:rPr>
        <w:t xml:space="preserve"> </w:t>
      </w:r>
      <w:r>
        <w:t>as</w:t>
      </w:r>
      <w:r>
        <w:rPr>
          <w:spacing w:val="11"/>
        </w:rPr>
        <w:t xml:space="preserve"> </w:t>
      </w:r>
      <w:r>
        <w:t>being</w:t>
      </w:r>
      <w:r>
        <w:rPr>
          <w:spacing w:val="13"/>
        </w:rPr>
        <w:t xml:space="preserve"> </w:t>
      </w:r>
      <w:r>
        <w:t>absurd</w:t>
      </w:r>
      <w:r>
        <w:rPr>
          <w:spacing w:val="12"/>
        </w:rPr>
        <w:t xml:space="preserve"> </w:t>
      </w:r>
      <w:r>
        <w:t>in</w:t>
      </w:r>
      <w:r>
        <w:rPr>
          <w:spacing w:val="13"/>
        </w:rPr>
        <w:t xml:space="preserve"> </w:t>
      </w:r>
      <w:r>
        <w:t>the</w:t>
      </w:r>
      <w:r>
        <w:rPr>
          <w:spacing w:val="11"/>
        </w:rPr>
        <w:t xml:space="preserve"> </w:t>
      </w:r>
      <w:r>
        <w:t>extreme</w:t>
      </w:r>
      <w:bookmarkStart w:id="29" w:name="_bookmark29"/>
      <w:bookmarkEnd w:id="29"/>
      <w:r>
        <w:t>.</w:t>
      </w:r>
      <w:r>
        <w:rPr>
          <w:color w:val="0562C1"/>
          <w:position w:val="21"/>
          <w:u w:val="single" w:color="0562C1"/>
        </w:rPr>
        <w:t>[26]</w:t>
      </w:r>
      <w:r>
        <w:rPr>
          <w:color w:val="0562C1"/>
          <w:spacing w:val="12"/>
          <w:position w:val="21"/>
        </w:rPr>
        <w:t xml:space="preserve"> </w:t>
      </w:r>
      <w:r>
        <w:t>The</w:t>
      </w:r>
      <w:r>
        <w:rPr>
          <w:spacing w:val="11"/>
        </w:rPr>
        <w:t xml:space="preserve"> </w:t>
      </w:r>
      <w:r>
        <w:t>fact</w:t>
      </w:r>
      <w:r>
        <w:rPr>
          <w:spacing w:val="12"/>
        </w:rPr>
        <w:t xml:space="preserve"> </w:t>
      </w:r>
      <w:r>
        <w:t>that</w:t>
      </w:r>
      <w:r>
        <w:rPr>
          <w:spacing w:val="12"/>
        </w:rPr>
        <w:t xml:space="preserve"> </w:t>
      </w:r>
      <w:r>
        <w:rPr>
          <w:spacing w:val="-10"/>
        </w:rPr>
        <w:t>1</w:t>
      </w:r>
    </w:p>
    <w:p w14:paraId="7E00073E" w14:textId="77777777" w:rsidR="009A58DB" w:rsidRDefault="00000000">
      <w:pPr>
        <w:pStyle w:val="BodyText"/>
        <w:spacing w:before="15" w:line="249" w:lineRule="auto"/>
        <w:ind w:right="361"/>
      </w:pPr>
      <w:r>
        <w:t xml:space="preserve">+ 1 = 2 isn’t comparable to the fact that there is a book in front of you. Were mass-energy distributed differently, there </w:t>
      </w:r>
      <w:r>
        <w:rPr>
          <w:i/>
        </w:rPr>
        <w:t>wouldn’t</w:t>
      </w:r>
      <w:r>
        <w:rPr>
          <w:i/>
          <w:spacing w:val="-4"/>
        </w:rPr>
        <w:t xml:space="preserve"> </w:t>
      </w:r>
      <w:r>
        <w:t>be a book in front of you. But</w:t>
      </w:r>
      <w:r>
        <w:rPr>
          <w:spacing w:val="-4"/>
        </w:rPr>
        <w:t xml:space="preserve"> </w:t>
      </w:r>
      <w:r>
        <w:t>1+1</w:t>
      </w:r>
      <w:r>
        <w:rPr>
          <w:spacing w:val="-3"/>
        </w:rPr>
        <w:t xml:space="preserve"> </w:t>
      </w:r>
      <w:r>
        <w:t>would</w:t>
      </w:r>
      <w:r>
        <w:rPr>
          <w:spacing w:val="-3"/>
        </w:rPr>
        <w:t xml:space="preserve"> </w:t>
      </w:r>
      <w:r>
        <w:t>equal</w:t>
      </w:r>
      <w:r>
        <w:rPr>
          <w:spacing w:val="-4"/>
        </w:rPr>
        <w:t xml:space="preserve"> </w:t>
      </w:r>
      <w:r>
        <w:t>2</w:t>
      </w:r>
      <w:r>
        <w:rPr>
          <w:spacing w:val="-3"/>
        </w:rPr>
        <w:t xml:space="preserve"> </w:t>
      </w:r>
      <w:r>
        <w:t>no</w:t>
      </w:r>
      <w:r>
        <w:rPr>
          <w:spacing w:val="-3"/>
        </w:rPr>
        <w:t xml:space="preserve"> </w:t>
      </w:r>
      <w:r>
        <w:t>matter</w:t>
      </w:r>
      <w:r>
        <w:rPr>
          <w:spacing w:val="-4"/>
        </w:rPr>
        <w:t xml:space="preserve"> </w:t>
      </w:r>
      <w:r>
        <w:t>how</w:t>
      </w:r>
      <w:r>
        <w:rPr>
          <w:spacing w:val="-4"/>
        </w:rPr>
        <w:t xml:space="preserve"> </w:t>
      </w:r>
      <w:r>
        <w:t>mass-energy</w:t>
      </w:r>
      <w:r>
        <w:rPr>
          <w:spacing w:val="-3"/>
        </w:rPr>
        <w:t xml:space="preserve"> </w:t>
      </w:r>
      <w:r>
        <w:t>were</w:t>
      </w:r>
      <w:r>
        <w:rPr>
          <w:spacing w:val="-4"/>
        </w:rPr>
        <w:t xml:space="preserve"> </w:t>
      </w:r>
      <w:r>
        <w:t>distributed.</w:t>
      </w:r>
      <w:r>
        <w:rPr>
          <w:spacing w:val="-3"/>
        </w:rPr>
        <w:t xml:space="preserve"> </w:t>
      </w:r>
      <w:r>
        <w:t>Thus,</w:t>
      </w:r>
      <w:r>
        <w:rPr>
          <w:spacing w:val="-3"/>
        </w:rPr>
        <w:t xml:space="preserve"> </w:t>
      </w:r>
      <w:r>
        <w:t>“1</w:t>
      </w:r>
    </w:p>
    <w:p w14:paraId="7E00073F" w14:textId="77777777" w:rsidR="009A58DB" w:rsidRDefault="00000000">
      <w:pPr>
        <w:pStyle w:val="BodyText"/>
        <w:spacing w:before="4" w:line="249" w:lineRule="auto"/>
        <w:ind w:right="361"/>
        <w:rPr>
          <w:position w:val="21"/>
        </w:rPr>
      </w:pPr>
      <w:r>
        <w:t>+ 1 = 2” says nothing about how mass-energy is distributed, and it therefore says nothing about the spatiotemporal world. The fact it describes must therefore be non-spatiotemporal. Nothing outside of space-time can bear any causal relation to anything. Therefore, JK is wrong</w:t>
      </w:r>
      <w:bookmarkStart w:id="30" w:name="_bookmark30"/>
      <w:bookmarkEnd w:id="30"/>
      <w:r>
        <w:t>.</w:t>
      </w:r>
      <w:r>
        <w:rPr>
          <w:color w:val="0562C1"/>
          <w:position w:val="21"/>
          <w:u w:val="single" w:color="0562C1"/>
        </w:rPr>
        <w:t>[27]</w:t>
      </w:r>
    </w:p>
    <w:p w14:paraId="7E000740" w14:textId="77777777" w:rsidR="009A58DB" w:rsidRDefault="00000000">
      <w:pPr>
        <w:pStyle w:val="BodyText"/>
        <w:spacing w:before="5" w:line="249" w:lineRule="auto"/>
        <w:ind w:right="358" w:firstLine="360"/>
      </w:pPr>
      <w:r>
        <w:t>In</w:t>
      </w:r>
      <w:r>
        <w:rPr>
          <w:spacing w:val="-3"/>
        </w:rPr>
        <w:t xml:space="preserve"> </w:t>
      </w:r>
      <w:r>
        <w:t>any</w:t>
      </w:r>
      <w:r>
        <w:rPr>
          <w:spacing w:val="-2"/>
        </w:rPr>
        <w:t xml:space="preserve"> </w:t>
      </w:r>
      <w:r>
        <w:t>case,</w:t>
      </w:r>
      <w:r>
        <w:rPr>
          <w:spacing w:val="-2"/>
        </w:rPr>
        <w:t xml:space="preserve"> </w:t>
      </w:r>
      <w:r>
        <w:t>the</w:t>
      </w:r>
      <w:r>
        <w:rPr>
          <w:spacing w:val="-2"/>
        </w:rPr>
        <w:t xml:space="preserve"> </w:t>
      </w:r>
      <w:r>
        <w:t>dispute</w:t>
      </w:r>
      <w:r>
        <w:rPr>
          <w:spacing w:val="-2"/>
        </w:rPr>
        <w:t xml:space="preserve"> </w:t>
      </w:r>
      <w:r>
        <w:t>between</w:t>
      </w:r>
      <w:r>
        <w:rPr>
          <w:spacing w:val="-2"/>
        </w:rPr>
        <w:t xml:space="preserve"> </w:t>
      </w:r>
      <w:r>
        <w:t>those</w:t>
      </w:r>
      <w:r>
        <w:rPr>
          <w:spacing w:val="-2"/>
        </w:rPr>
        <w:t xml:space="preserve"> </w:t>
      </w:r>
      <w:r>
        <w:t>who</w:t>
      </w:r>
      <w:r>
        <w:rPr>
          <w:spacing w:val="-2"/>
        </w:rPr>
        <w:t xml:space="preserve"> </w:t>
      </w:r>
      <w:r>
        <w:t>accept</w:t>
      </w:r>
      <w:r>
        <w:rPr>
          <w:spacing w:val="-2"/>
        </w:rPr>
        <w:t xml:space="preserve"> </w:t>
      </w:r>
      <w:r>
        <w:t>JK</w:t>
      </w:r>
      <w:r>
        <w:rPr>
          <w:spacing w:val="-2"/>
        </w:rPr>
        <w:t xml:space="preserve"> </w:t>
      </w:r>
      <w:r>
        <w:t>and</w:t>
      </w:r>
      <w:r>
        <w:rPr>
          <w:spacing w:val="-2"/>
        </w:rPr>
        <w:t xml:space="preserve"> </w:t>
      </w:r>
      <w:r>
        <w:t>those</w:t>
      </w:r>
      <w:r>
        <w:rPr>
          <w:spacing w:val="-2"/>
        </w:rPr>
        <w:t xml:space="preserve"> </w:t>
      </w:r>
      <w:r>
        <w:t>who</w:t>
      </w:r>
      <w:r>
        <w:rPr>
          <w:spacing w:val="-2"/>
        </w:rPr>
        <w:t xml:space="preserve"> </w:t>
      </w:r>
      <w:r>
        <w:t>reject it has nothing to do with language. It’s agreed what JK means. What isn’t agreed is whether the thing that it’s agreed to mean is true.</w:t>
      </w:r>
    </w:p>
    <w:p w14:paraId="7E000741" w14:textId="77777777" w:rsidR="009A58DB" w:rsidRDefault="00000000">
      <w:pPr>
        <w:pStyle w:val="BodyText"/>
        <w:spacing w:before="3" w:line="249" w:lineRule="auto"/>
        <w:ind w:right="359" w:firstLine="360"/>
      </w:pPr>
      <w:r>
        <w:t xml:space="preserve">But the controversies surrounding NS </w:t>
      </w:r>
      <w:r>
        <w:rPr>
          <w:i/>
        </w:rPr>
        <w:t xml:space="preserve">do </w:t>
      </w:r>
      <w:r>
        <w:t>concern language; they concern the semantics of the word “nothing.” Those who see “nothing” as being a referring term, like “Socrates,” see NS as saying that some featureless entity smokes. Those who deny that “nothing” and “Socrates” belong to the same semantic</w:t>
      </w:r>
      <w:r>
        <w:rPr>
          <w:spacing w:val="22"/>
        </w:rPr>
        <w:t xml:space="preserve"> </w:t>
      </w:r>
      <w:r>
        <w:t>category</w:t>
      </w:r>
      <w:r>
        <w:rPr>
          <w:spacing w:val="23"/>
        </w:rPr>
        <w:t xml:space="preserve"> </w:t>
      </w:r>
      <w:r>
        <w:t>don’t</w:t>
      </w:r>
      <w:r>
        <w:rPr>
          <w:spacing w:val="22"/>
        </w:rPr>
        <w:t xml:space="preserve"> </w:t>
      </w:r>
      <w:r>
        <w:t>see</w:t>
      </w:r>
      <w:r>
        <w:rPr>
          <w:spacing w:val="22"/>
        </w:rPr>
        <w:t xml:space="preserve"> </w:t>
      </w:r>
      <w:r>
        <w:t>NS</w:t>
      </w:r>
      <w:r>
        <w:rPr>
          <w:spacing w:val="22"/>
        </w:rPr>
        <w:t xml:space="preserve"> </w:t>
      </w:r>
      <w:r>
        <w:t>as</w:t>
      </w:r>
      <w:r>
        <w:rPr>
          <w:spacing w:val="22"/>
        </w:rPr>
        <w:t xml:space="preserve"> </w:t>
      </w:r>
      <w:r>
        <w:t>saying</w:t>
      </w:r>
      <w:r>
        <w:rPr>
          <w:spacing w:val="22"/>
        </w:rPr>
        <w:t xml:space="preserve"> </w:t>
      </w:r>
      <w:r>
        <w:t>this.</w:t>
      </w:r>
      <w:r>
        <w:rPr>
          <w:spacing w:val="23"/>
        </w:rPr>
        <w:t xml:space="preserve"> </w:t>
      </w:r>
      <w:r>
        <w:t>Therein</w:t>
      </w:r>
      <w:r>
        <w:rPr>
          <w:spacing w:val="22"/>
        </w:rPr>
        <w:t xml:space="preserve"> </w:t>
      </w:r>
      <w:r>
        <w:t>lies</w:t>
      </w:r>
      <w:r>
        <w:rPr>
          <w:spacing w:val="22"/>
        </w:rPr>
        <w:t xml:space="preserve"> </w:t>
      </w:r>
      <w:r>
        <w:t>the</w:t>
      </w:r>
      <w:r>
        <w:rPr>
          <w:spacing w:val="22"/>
        </w:rPr>
        <w:t xml:space="preserve"> </w:t>
      </w:r>
      <w:r>
        <w:t>controversy.</w:t>
      </w:r>
    </w:p>
    <w:p w14:paraId="7E000742" w14:textId="77777777" w:rsidR="009A58DB" w:rsidRDefault="009A58DB">
      <w:pPr>
        <w:pStyle w:val="BodyText"/>
        <w:spacing w:line="249" w:lineRule="auto"/>
        <w:sectPr w:rsidR="009A58DB">
          <w:pgSz w:w="12240" w:h="15840"/>
          <w:pgMar w:top="1780" w:right="1080" w:bottom="280" w:left="1080" w:header="720" w:footer="720" w:gutter="0"/>
          <w:cols w:space="720"/>
        </w:sectPr>
      </w:pPr>
    </w:p>
    <w:p w14:paraId="7E000743" w14:textId="77777777" w:rsidR="009A58DB" w:rsidRDefault="00000000">
      <w:pPr>
        <w:pStyle w:val="BodyText"/>
        <w:spacing w:before="60"/>
      </w:pPr>
      <w:r>
        <w:lastRenderedPageBreak/>
        <w:t>Nothing</w:t>
      </w:r>
      <w:r>
        <w:rPr>
          <w:spacing w:val="-5"/>
        </w:rPr>
        <w:t xml:space="preserve"> </w:t>
      </w:r>
      <w:r>
        <w:t>comparable</w:t>
      </w:r>
      <w:r>
        <w:rPr>
          <w:spacing w:val="-4"/>
        </w:rPr>
        <w:t xml:space="preserve"> </w:t>
      </w:r>
      <w:r>
        <w:t>to</w:t>
      </w:r>
      <w:r>
        <w:rPr>
          <w:spacing w:val="-3"/>
        </w:rPr>
        <w:t xml:space="preserve"> </w:t>
      </w:r>
      <w:r>
        <w:t>this</w:t>
      </w:r>
      <w:r>
        <w:rPr>
          <w:spacing w:val="-3"/>
        </w:rPr>
        <w:t xml:space="preserve"> </w:t>
      </w:r>
      <w:r>
        <w:t>holds</w:t>
      </w:r>
      <w:r>
        <w:rPr>
          <w:spacing w:val="-4"/>
        </w:rPr>
        <w:t xml:space="preserve"> </w:t>
      </w:r>
      <w:r>
        <w:t>in</w:t>
      </w:r>
      <w:r>
        <w:rPr>
          <w:spacing w:val="-3"/>
        </w:rPr>
        <w:t xml:space="preserve"> </w:t>
      </w:r>
      <w:r>
        <w:t>connection</w:t>
      </w:r>
      <w:r>
        <w:rPr>
          <w:spacing w:val="-3"/>
        </w:rPr>
        <w:t xml:space="preserve"> </w:t>
      </w:r>
      <w:r>
        <w:t>with</w:t>
      </w:r>
      <w:r>
        <w:rPr>
          <w:spacing w:val="-2"/>
        </w:rPr>
        <w:t xml:space="preserve"> </w:t>
      </w:r>
      <w:r>
        <w:rPr>
          <w:spacing w:val="-5"/>
        </w:rPr>
        <w:t>JK.</w:t>
      </w:r>
    </w:p>
    <w:p w14:paraId="7E000744" w14:textId="77777777" w:rsidR="009A58DB" w:rsidRDefault="00000000">
      <w:pPr>
        <w:pStyle w:val="BodyText"/>
        <w:spacing w:before="20" w:line="249" w:lineRule="auto"/>
        <w:ind w:right="361" w:firstLine="360"/>
      </w:pPr>
      <w:r>
        <w:t xml:space="preserve">Analytic philosophers </w:t>
      </w:r>
      <w:r>
        <w:rPr>
          <w:i/>
        </w:rPr>
        <w:t>do</w:t>
      </w:r>
      <w:r>
        <w:rPr>
          <w:i/>
          <w:spacing w:val="-3"/>
        </w:rPr>
        <w:t xml:space="preserve"> </w:t>
      </w:r>
      <w:r>
        <w:t>agree that the right way to figure out whether or not JK is correct is by carefully analyzing its meaning</w:t>
      </w:r>
      <w:bookmarkStart w:id="31" w:name="_bookmark31"/>
      <w:bookmarkEnd w:id="31"/>
      <w:r>
        <w:t>.</w:t>
      </w:r>
      <w:r>
        <w:rPr>
          <w:color w:val="0562C1"/>
          <w:position w:val="21"/>
          <w:u w:val="single" w:color="0562C1"/>
        </w:rPr>
        <w:t>[28]</w:t>
      </w:r>
      <w:r>
        <w:rPr>
          <w:color w:val="0562C1"/>
          <w:position w:val="21"/>
        </w:rPr>
        <w:t xml:space="preserve"> </w:t>
      </w:r>
      <w:r>
        <w:t xml:space="preserve">But they also hold (rightly) that it isn’t to be solved through </w:t>
      </w:r>
      <w:r>
        <w:rPr>
          <w:i/>
        </w:rPr>
        <w:t xml:space="preserve">linguistic </w:t>
      </w:r>
      <w:r>
        <w:t>analysis.</w:t>
      </w:r>
    </w:p>
    <w:p w14:paraId="7E000745" w14:textId="77777777" w:rsidR="009A58DB" w:rsidRDefault="00000000">
      <w:pPr>
        <w:pStyle w:val="BodyText"/>
        <w:spacing w:before="3" w:line="249" w:lineRule="auto"/>
        <w:ind w:right="358" w:firstLine="360"/>
        <w:rPr>
          <w:position w:val="21"/>
        </w:rPr>
      </w:pPr>
      <w:r>
        <w:t xml:space="preserve">It must be emphasized that, according to analytic epistemologists, this puzzle is of a logical, not an empirical, nature. It is to be resolved through statement-analysis </w:t>
      </w:r>
      <w:r>
        <w:rPr>
          <w:i/>
        </w:rPr>
        <w:t xml:space="preserve">alone, </w:t>
      </w:r>
      <w:r>
        <w:t>not through statement-analysis combined with empirical research. They’re clearly right about this. JK says that John’s knowing</w:t>
      </w:r>
      <w:r>
        <w:rPr>
          <w:spacing w:val="-3"/>
        </w:rPr>
        <w:t xml:space="preserve"> </w:t>
      </w:r>
      <w:r>
        <w:t>that</w:t>
      </w:r>
      <w:r>
        <w:rPr>
          <w:spacing w:val="-4"/>
        </w:rPr>
        <w:t xml:space="preserve"> </w:t>
      </w:r>
      <w:r>
        <w:t>1+1=2</w:t>
      </w:r>
      <w:r>
        <w:rPr>
          <w:spacing w:val="-3"/>
        </w:rPr>
        <w:t xml:space="preserve"> </w:t>
      </w:r>
      <w:r>
        <w:t>is</w:t>
      </w:r>
      <w:r>
        <w:rPr>
          <w:spacing w:val="-4"/>
        </w:rPr>
        <w:t xml:space="preserve"> </w:t>
      </w:r>
      <w:r>
        <w:rPr>
          <w:b/>
          <w:i/>
        </w:rPr>
        <w:t>inconsistent</w:t>
      </w:r>
      <w:r>
        <w:rPr>
          <w:b/>
          <w:i/>
          <w:spacing w:val="-4"/>
        </w:rPr>
        <w:t xml:space="preserve"> </w:t>
      </w:r>
      <w:r>
        <w:rPr>
          <w:i/>
        </w:rPr>
        <w:t>with</w:t>
      </w:r>
      <w:r>
        <w:rPr>
          <w:i/>
          <w:spacing w:val="-3"/>
        </w:rPr>
        <w:t xml:space="preserve"> </w:t>
      </w:r>
      <w:r>
        <w:t>his not being on the receiving end of a causal process initiated by that fact. For P to be inconsistent with Q is for it to be impossible for both P and Q to be true. What is impossible or the otherwise non-existent cannot be observed. Thus, observation cannot tell you that anything is inconsistent with anything. So there is no way for it to tell you whether JK is correct</w:t>
      </w:r>
      <w:bookmarkStart w:id="32" w:name="_bookmark32"/>
      <w:bookmarkEnd w:id="32"/>
      <w:r>
        <w:t>.</w:t>
      </w:r>
      <w:r>
        <w:rPr>
          <w:color w:val="0562C1"/>
          <w:position w:val="21"/>
          <w:u w:val="single" w:color="0562C1"/>
        </w:rPr>
        <w:t>[29]</w:t>
      </w:r>
    </w:p>
    <w:p w14:paraId="7E000746" w14:textId="77777777" w:rsidR="009A58DB" w:rsidRDefault="00000000">
      <w:pPr>
        <w:pStyle w:val="BodyText"/>
        <w:spacing w:before="13" w:line="249" w:lineRule="auto"/>
        <w:ind w:right="358" w:firstLine="360"/>
      </w:pPr>
      <w:r>
        <w:t>The philosophy of law provides us with another example of a puzzle that</w:t>
      </w:r>
      <w:r>
        <w:rPr>
          <w:spacing w:val="40"/>
        </w:rPr>
        <w:t xml:space="preserve"> </w:t>
      </w:r>
      <w:r>
        <w:t xml:space="preserve">is to be solved through statement-analysis but </w:t>
      </w:r>
      <w:r>
        <w:rPr>
          <w:i/>
        </w:rPr>
        <w:t xml:space="preserve">not </w:t>
      </w:r>
      <w:r>
        <w:t xml:space="preserve">through linguistic analysis. It’s agreed that legal systems </w:t>
      </w:r>
      <w:r>
        <w:rPr>
          <w:i/>
        </w:rPr>
        <w:t xml:space="preserve">can </w:t>
      </w:r>
      <w:r>
        <w:t xml:space="preserve">be morally good. But it’s fiercely debated whether they </w:t>
      </w:r>
      <w:r>
        <w:rPr>
          <w:i/>
        </w:rPr>
        <w:t xml:space="preserve">have </w:t>
      </w:r>
      <w:r>
        <w:t xml:space="preserve">to be. According to some, a legal system can fail to embody any morality at all. Law is about power, not morality. Advocates of this view are known as </w:t>
      </w:r>
      <w:r>
        <w:rPr>
          <w:b/>
          <w:i/>
        </w:rPr>
        <w:t xml:space="preserve">legal positivists </w:t>
      </w:r>
      <w:r>
        <w:t xml:space="preserve">(no relation to </w:t>
      </w:r>
      <w:r>
        <w:rPr>
          <w:i/>
        </w:rPr>
        <w:t xml:space="preserve">logical </w:t>
      </w:r>
      <w:r>
        <w:t xml:space="preserve">positivism). According to anti-positivists, anything that doesn’t meet certain minimal standards of morality </w:t>
      </w:r>
      <w:r>
        <w:rPr>
          <w:i/>
        </w:rPr>
        <w:t>ipso facto</w:t>
      </w:r>
      <w:r>
        <w:rPr>
          <w:i/>
          <w:spacing w:val="80"/>
        </w:rPr>
        <w:t xml:space="preserve"> </w:t>
      </w:r>
      <w:r>
        <w:t xml:space="preserve">isn’t a legal system. To be sure, legal systems, like all institutions, presuppose the existence of relatively rigid distributions of power. But if an institution qualifies as a </w:t>
      </w:r>
      <w:r>
        <w:rPr>
          <w:i/>
        </w:rPr>
        <w:t xml:space="preserve">bona fide </w:t>
      </w:r>
      <w:r>
        <w:t>legal system, it is at least partly by virtue of its embodying a certain morality.</w:t>
      </w:r>
    </w:p>
    <w:p w14:paraId="7E000747" w14:textId="77777777" w:rsidR="009A58DB" w:rsidRDefault="00000000">
      <w:pPr>
        <w:pStyle w:val="BodyText"/>
        <w:spacing w:before="118"/>
        <w:ind w:left="720"/>
      </w:pPr>
      <w:r>
        <w:t>Positivists</w:t>
      </w:r>
      <w:r>
        <w:rPr>
          <w:spacing w:val="-8"/>
        </w:rPr>
        <w:t xml:space="preserve"> </w:t>
      </w:r>
      <w:r>
        <w:t>and</w:t>
      </w:r>
      <w:r>
        <w:rPr>
          <w:spacing w:val="-5"/>
        </w:rPr>
        <w:t xml:space="preserve"> </w:t>
      </w:r>
      <w:r>
        <w:t>anti-positivists</w:t>
      </w:r>
      <w:r>
        <w:rPr>
          <w:spacing w:val="-5"/>
        </w:rPr>
        <w:t xml:space="preserve"> </w:t>
      </w:r>
      <w:r>
        <w:t>disagree</w:t>
      </w:r>
      <w:r>
        <w:rPr>
          <w:spacing w:val="-5"/>
        </w:rPr>
        <w:t xml:space="preserve"> </w:t>
      </w:r>
      <w:r>
        <w:t>as</w:t>
      </w:r>
      <w:r>
        <w:rPr>
          <w:spacing w:val="-6"/>
        </w:rPr>
        <w:t xml:space="preserve"> </w:t>
      </w:r>
      <w:r>
        <w:t>to</w:t>
      </w:r>
      <w:r>
        <w:rPr>
          <w:spacing w:val="-4"/>
        </w:rPr>
        <w:t xml:space="preserve"> </w:t>
      </w:r>
      <w:r>
        <w:rPr>
          <w:spacing w:val="-2"/>
        </w:rPr>
        <w:t>whether:</w:t>
      </w:r>
    </w:p>
    <w:p w14:paraId="7E000748" w14:textId="77777777" w:rsidR="009A58DB" w:rsidRDefault="00000000">
      <w:pPr>
        <w:pStyle w:val="BodyText"/>
        <w:spacing w:before="105" w:line="249" w:lineRule="auto"/>
        <w:ind w:right="366" w:firstLine="360"/>
      </w:pPr>
      <w:r>
        <w:t xml:space="preserve">(LM) “nothing can be a legal system without embodying a certain </w:t>
      </w:r>
      <w:r>
        <w:rPr>
          <w:spacing w:val="-2"/>
        </w:rPr>
        <w:t>morality”</w:t>
      </w:r>
    </w:p>
    <w:p w14:paraId="7E000749" w14:textId="77777777" w:rsidR="009A58DB" w:rsidRDefault="00000000">
      <w:pPr>
        <w:pStyle w:val="BodyText"/>
        <w:spacing w:before="108" w:line="249" w:lineRule="auto"/>
        <w:ind w:right="360"/>
      </w:pPr>
      <w:r>
        <w:t>is a true sentence. But this debate has nothing to do with semantics. Positivists and anti-positivists are in agreement as to what LM means. What they disagree about is whether the meaning that they agree that it has is a correct</w:t>
      </w:r>
      <w:r>
        <w:rPr>
          <w:spacing w:val="-1"/>
        </w:rPr>
        <w:t xml:space="preserve"> </w:t>
      </w:r>
      <w:r>
        <w:t>one.</w:t>
      </w:r>
      <w:r>
        <w:rPr>
          <w:spacing w:val="-2"/>
        </w:rPr>
        <w:t xml:space="preserve"> </w:t>
      </w:r>
      <w:r>
        <w:t>What</w:t>
      </w:r>
      <w:r>
        <w:rPr>
          <w:spacing w:val="-1"/>
        </w:rPr>
        <w:t xml:space="preserve"> </w:t>
      </w:r>
      <w:r>
        <w:t>analytic</w:t>
      </w:r>
      <w:r>
        <w:rPr>
          <w:spacing w:val="-2"/>
        </w:rPr>
        <w:t xml:space="preserve"> </w:t>
      </w:r>
      <w:r>
        <w:t>philosophers</w:t>
      </w:r>
      <w:r>
        <w:rPr>
          <w:spacing w:val="-1"/>
        </w:rPr>
        <w:t xml:space="preserve"> </w:t>
      </w:r>
      <w:r>
        <w:t>of</w:t>
      </w:r>
      <w:r>
        <w:rPr>
          <w:spacing w:val="-2"/>
        </w:rPr>
        <w:t xml:space="preserve"> </w:t>
      </w:r>
      <w:r>
        <w:t>law,</w:t>
      </w:r>
      <w:r>
        <w:rPr>
          <w:spacing w:val="-1"/>
        </w:rPr>
        <w:t xml:space="preserve"> </w:t>
      </w:r>
      <w:r>
        <w:t>such</w:t>
      </w:r>
      <w:r>
        <w:rPr>
          <w:spacing w:val="-2"/>
        </w:rPr>
        <w:t xml:space="preserve"> </w:t>
      </w:r>
      <w:r>
        <w:t>as</w:t>
      </w:r>
      <w:r>
        <w:rPr>
          <w:spacing w:val="-1"/>
        </w:rPr>
        <w:t xml:space="preserve"> </w:t>
      </w:r>
      <w:r>
        <w:t>positivist</w:t>
      </w:r>
      <w:r>
        <w:rPr>
          <w:spacing w:val="-2"/>
        </w:rPr>
        <w:t xml:space="preserve"> </w:t>
      </w:r>
      <w:r>
        <w:t>H.L.A.</w:t>
      </w:r>
      <w:r>
        <w:rPr>
          <w:spacing w:val="-1"/>
        </w:rPr>
        <w:t xml:space="preserve"> </w:t>
      </w:r>
      <w:r>
        <w:t xml:space="preserve">Hart (1907–1992) and anti-positivist Ronald Dworkin (1931–) , </w:t>
      </w:r>
      <w:r>
        <w:rPr>
          <w:i/>
        </w:rPr>
        <w:t xml:space="preserve">do </w:t>
      </w:r>
      <w:r>
        <w:t>agree about is that LM is to be resolved on the basis of logical analysis.</w:t>
      </w:r>
    </w:p>
    <w:p w14:paraId="7E00074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4B" w14:textId="77777777" w:rsidR="009A58DB" w:rsidRDefault="00000000">
      <w:pPr>
        <w:pStyle w:val="BodyText"/>
        <w:spacing w:before="65" w:line="249" w:lineRule="auto"/>
        <w:ind w:right="362" w:firstLine="360"/>
      </w:pPr>
      <w:r>
        <w:lastRenderedPageBreak/>
        <w:t xml:space="preserve">Echoing what we said a moment ago, analytic philosophers deny that LM makes an </w:t>
      </w:r>
      <w:r>
        <w:rPr>
          <w:b/>
          <w:i/>
        </w:rPr>
        <w:t xml:space="preserve">empirical </w:t>
      </w:r>
      <w:r>
        <w:t>statement. They’re right. LM says that x’s being a legal system is inconsistent with x’s failing to embody a certain morality. We’ve already</w:t>
      </w:r>
      <w:r>
        <w:rPr>
          <w:spacing w:val="-3"/>
        </w:rPr>
        <w:t xml:space="preserve"> </w:t>
      </w:r>
      <w:r>
        <w:t>seen</w:t>
      </w:r>
      <w:r>
        <w:rPr>
          <w:spacing w:val="-3"/>
        </w:rPr>
        <w:t xml:space="preserve"> </w:t>
      </w:r>
      <w:r>
        <w:t>why</w:t>
      </w:r>
      <w:r>
        <w:rPr>
          <w:spacing w:val="-3"/>
        </w:rPr>
        <w:t xml:space="preserve"> </w:t>
      </w:r>
      <w:r>
        <w:t>the</w:t>
      </w:r>
      <w:r>
        <w:rPr>
          <w:spacing w:val="-4"/>
        </w:rPr>
        <w:t xml:space="preserve"> </w:t>
      </w:r>
      <w:r>
        <w:t>merits</w:t>
      </w:r>
      <w:r>
        <w:rPr>
          <w:spacing w:val="-4"/>
        </w:rPr>
        <w:t xml:space="preserve"> </w:t>
      </w:r>
      <w:r>
        <w:t>of</w:t>
      </w:r>
      <w:r>
        <w:rPr>
          <w:spacing w:val="-4"/>
        </w:rPr>
        <w:t xml:space="preserve"> </w:t>
      </w:r>
      <w:r>
        <w:t>such</w:t>
      </w:r>
      <w:r>
        <w:rPr>
          <w:spacing w:val="-3"/>
        </w:rPr>
        <w:t xml:space="preserve"> </w:t>
      </w:r>
      <w:r>
        <w:t>a</w:t>
      </w:r>
      <w:r>
        <w:rPr>
          <w:spacing w:val="-4"/>
        </w:rPr>
        <w:t xml:space="preserve"> </w:t>
      </w:r>
      <w:r>
        <w:t>claim</w:t>
      </w:r>
      <w:r>
        <w:rPr>
          <w:spacing w:val="-4"/>
        </w:rPr>
        <w:t xml:space="preserve"> </w:t>
      </w:r>
      <w:r>
        <w:t>cannot</w:t>
      </w:r>
      <w:r>
        <w:rPr>
          <w:spacing w:val="-4"/>
        </w:rPr>
        <w:t xml:space="preserve"> </w:t>
      </w:r>
      <w:r>
        <w:t>possibly</w:t>
      </w:r>
      <w:r>
        <w:rPr>
          <w:spacing w:val="-3"/>
        </w:rPr>
        <w:t xml:space="preserve"> </w:t>
      </w:r>
      <w:r>
        <w:t>be</w:t>
      </w:r>
      <w:r>
        <w:rPr>
          <w:spacing w:val="-4"/>
        </w:rPr>
        <w:t xml:space="preserve"> </w:t>
      </w:r>
      <w:r>
        <w:t>determined</w:t>
      </w:r>
      <w:r>
        <w:rPr>
          <w:spacing w:val="-3"/>
        </w:rPr>
        <w:t xml:space="preserve"> </w:t>
      </w:r>
      <w:r>
        <w:t>on the basis of observation.</w:t>
      </w:r>
    </w:p>
    <w:p w14:paraId="7E00074C" w14:textId="77777777" w:rsidR="009A58DB" w:rsidRDefault="00000000">
      <w:pPr>
        <w:pStyle w:val="BodyText"/>
        <w:spacing w:before="6" w:line="249" w:lineRule="auto"/>
        <w:ind w:right="357" w:firstLine="360"/>
      </w:pPr>
      <w:r>
        <w:rPr>
          <w:i/>
        </w:rPr>
        <w:t xml:space="preserve">No </w:t>
      </w:r>
      <w:r>
        <w:t>philosophical assertions are empirical. Philosophy analyzes the categories in terms of which we think about the world. It does this by saying exactly what it is that is ruled out by a given thing’s falling into a given category—by, for example, a given thing’s being an instance of knowledge. Since observation can’t tell one whether one statement is inconsistent with another, philosophical assertions are non-empirical.</w:t>
      </w:r>
    </w:p>
    <w:p w14:paraId="7E00074D" w14:textId="77777777" w:rsidR="009A58DB" w:rsidRDefault="00000000">
      <w:pPr>
        <w:pStyle w:val="Heading1"/>
        <w:numPr>
          <w:ilvl w:val="2"/>
          <w:numId w:val="227"/>
        </w:numPr>
        <w:tabs>
          <w:tab w:val="left" w:pos="1859"/>
          <w:tab w:val="left" w:pos="2842"/>
          <w:tab w:val="left" w:pos="3615"/>
          <w:tab w:val="left" w:pos="6325"/>
          <w:tab w:val="left" w:pos="8078"/>
        </w:tabs>
        <w:spacing w:before="195" w:line="244" w:lineRule="auto"/>
        <w:ind w:right="367" w:firstLine="0"/>
      </w:pPr>
      <w:r>
        <w:rPr>
          <w:spacing w:val="-4"/>
        </w:rPr>
        <w:t>Not</w:t>
      </w:r>
      <w:r>
        <w:tab/>
      </w:r>
      <w:r>
        <w:rPr>
          <w:spacing w:val="-4"/>
        </w:rPr>
        <w:t>all</w:t>
      </w:r>
      <w:r>
        <w:tab/>
      </w:r>
      <w:r>
        <w:rPr>
          <w:spacing w:val="-2"/>
        </w:rPr>
        <w:t>philosophical</w:t>
      </w:r>
      <w:r>
        <w:tab/>
      </w:r>
      <w:r>
        <w:rPr>
          <w:spacing w:val="-2"/>
        </w:rPr>
        <w:t>analysis</w:t>
      </w:r>
      <w:r>
        <w:tab/>
      </w:r>
      <w:r>
        <w:rPr>
          <w:spacing w:val="-2"/>
        </w:rPr>
        <w:t xml:space="preserve">linguistic </w:t>
      </w:r>
      <w:r>
        <w:t>analysis (continued)</w:t>
      </w:r>
    </w:p>
    <w:p w14:paraId="7E00074E" w14:textId="77777777" w:rsidR="009A58DB" w:rsidRDefault="00000000">
      <w:pPr>
        <w:pStyle w:val="BodyText"/>
        <w:spacing w:before="132" w:line="249" w:lineRule="auto"/>
        <w:ind w:right="358"/>
        <w:rPr>
          <w:position w:val="21"/>
        </w:rPr>
      </w:pPr>
      <w:r>
        <w:t>Thus, not all philosophical puzzles are linguistic puzzles; and Wittgenstein was wrong to say otherwise. But didn’t we ourselves say that philosophical analysis</w:t>
      </w:r>
      <w:r>
        <w:rPr>
          <w:spacing w:val="-3"/>
        </w:rPr>
        <w:t xml:space="preserve"> </w:t>
      </w:r>
      <w:r>
        <w:t>is</w:t>
      </w:r>
      <w:r>
        <w:rPr>
          <w:spacing w:val="-3"/>
        </w:rPr>
        <w:t xml:space="preserve"> </w:t>
      </w:r>
      <w:r>
        <w:t>the</w:t>
      </w:r>
      <w:r>
        <w:rPr>
          <w:spacing w:val="-3"/>
        </w:rPr>
        <w:t xml:space="preserve"> </w:t>
      </w:r>
      <w:r>
        <w:t>analysis</w:t>
      </w:r>
      <w:r>
        <w:rPr>
          <w:spacing w:val="-3"/>
        </w:rPr>
        <w:t xml:space="preserve"> </w:t>
      </w:r>
      <w:r>
        <w:t>of</w:t>
      </w:r>
      <w:r>
        <w:rPr>
          <w:spacing w:val="-3"/>
        </w:rPr>
        <w:t xml:space="preserve"> </w:t>
      </w:r>
      <w:r>
        <w:t>statements?</w:t>
      </w:r>
      <w:r>
        <w:rPr>
          <w:spacing w:val="-3"/>
        </w:rPr>
        <w:t xml:space="preserve"> </w:t>
      </w:r>
      <w:r>
        <w:t>Yes</w:t>
      </w:r>
      <w:r>
        <w:rPr>
          <w:spacing w:val="-3"/>
        </w:rPr>
        <w:t xml:space="preserve"> </w:t>
      </w:r>
      <w:r>
        <w:t>we</w:t>
      </w:r>
      <w:r>
        <w:rPr>
          <w:spacing w:val="-3"/>
        </w:rPr>
        <w:t xml:space="preserve"> </w:t>
      </w:r>
      <w:r>
        <w:t>did,</w:t>
      </w:r>
      <w:r>
        <w:rPr>
          <w:spacing w:val="-2"/>
        </w:rPr>
        <w:t xml:space="preserve"> </w:t>
      </w:r>
      <w:r>
        <w:t>and</w:t>
      </w:r>
      <w:r>
        <w:rPr>
          <w:spacing w:val="-2"/>
        </w:rPr>
        <w:t xml:space="preserve"> </w:t>
      </w:r>
      <w:r>
        <w:t>we</w:t>
      </w:r>
      <w:r>
        <w:rPr>
          <w:spacing w:val="-3"/>
        </w:rPr>
        <w:t xml:space="preserve"> </w:t>
      </w:r>
      <w:r>
        <w:t>were</w:t>
      </w:r>
      <w:r>
        <w:rPr>
          <w:spacing w:val="-3"/>
        </w:rPr>
        <w:t xml:space="preserve"> </w:t>
      </w:r>
      <w:r>
        <w:t>right</w:t>
      </w:r>
      <w:r>
        <w:rPr>
          <w:spacing w:val="-3"/>
        </w:rPr>
        <w:t xml:space="preserve"> </w:t>
      </w:r>
      <w:r>
        <w:t>to</w:t>
      </w:r>
      <w:r>
        <w:rPr>
          <w:spacing w:val="-2"/>
        </w:rPr>
        <w:t xml:space="preserve"> </w:t>
      </w:r>
      <w:r>
        <w:t>do</w:t>
      </w:r>
      <w:r>
        <w:rPr>
          <w:spacing w:val="-2"/>
        </w:rPr>
        <w:t xml:space="preserve"> </w:t>
      </w:r>
      <w:r>
        <w:t xml:space="preserve">so. To see why, Wittgenstein is nonetheless wrong, we must distinguish sentences from </w:t>
      </w:r>
      <w:r>
        <w:rPr>
          <w:b/>
          <w:i/>
        </w:rPr>
        <w:t xml:space="preserve">propositions. </w:t>
      </w:r>
      <w:r>
        <w:t xml:space="preserve">Propositions are the things meant by sentences. “Snow is white,” “schnee is weiss,” and “la neige est blanche” all mean the same thing. There is some one proposition that is the meaning of each of </w:t>
      </w:r>
      <w:r>
        <w:rPr>
          <w:spacing w:val="-2"/>
        </w:rPr>
        <w:t>them.</w:t>
      </w:r>
      <w:bookmarkStart w:id="33" w:name="_bookmark33"/>
      <w:bookmarkEnd w:id="33"/>
      <w:r>
        <w:rPr>
          <w:color w:val="0562C1"/>
          <w:spacing w:val="-2"/>
          <w:position w:val="21"/>
          <w:u w:val="single" w:color="0562C1"/>
        </w:rPr>
        <w:t>[30]</w:t>
      </w:r>
    </w:p>
    <w:p w14:paraId="7E00074F" w14:textId="77777777" w:rsidR="009A58DB" w:rsidRDefault="00000000">
      <w:pPr>
        <w:pStyle w:val="BodyText"/>
        <w:spacing w:before="10" w:line="249" w:lineRule="auto"/>
        <w:ind w:right="358" w:firstLine="360"/>
      </w:pPr>
      <w:r>
        <w:t>A sentence is true or false depending on whether it has a true or false proposition for its meaning. Thus, when a sentence is described as “true,” the property being attributed to it isn’t the same as the property that is attributed to a proposition that is so described. For a sentence to be “true” is for it to encode a true proposition. But this isn’t what it is for a proposition to be true, since propositions don’t encode anything. In Chapter 3, we’ll say what exactly it is for a proposition to be true. But the obvious answer, though imprecise, is the right one; namely, for a proposition to be true is for it to fit the facts.</w:t>
      </w:r>
    </w:p>
    <w:p w14:paraId="7E000750" w14:textId="77777777" w:rsidR="009A58DB" w:rsidRDefault="00000000">
      <w:pPr>
        <w:pStyle w:val="BodyText"/>
        <w:spacing w:before="11" w:line="249" w:lineRule="auto"/>
        <w:ind w:right="358" w:firstLine="360"/>
      </w:pPr>
      <w:r>
        <w:t>The term “statement” is ambiguous; it has three distinct meanings. Sometimes it refers to propositions, sometimes it refers to the sentences used to</w:t>
      </w:r>
      <w:r>
        <w:rPr>
          <w:spacing w:val="-3"/>
        </w:rPr>
        <w:t xml:space="preserve"> </w:t>
      </w:r>
      <w:r>
        <w:t>affirm</w:t>
      </w:r>
      <w:r>
        <w:rPr>
          <w:spacing w:val="-4"/>
        </w:rPr>
        <w:t xml:space="preserve"> </w:t>
      </w:r>
      <w:r>
        <w:t>them,</w:t>
      </w:r>
      <w:r>
        <w:rPr>
          <w:spacing w:val="-3"/>
        </w:rPr>
        <w:t xml:space="preserve"> </w:t>
      </w:r>
      <w:r>
        <w:t>and</w:t>
      </w:r>
      <w:r>
        <w:rPr>
          <w:spacing w:val="-3"/>
        </w:rPr>
        <w:t xml:space="preserve"> </w:t>
      </w:r>
      <w:r>
        <w:t>sometimes</w:t>
      </w:r>
      <w:r>
        <w:rPr>
          <w:spacing w:val="-4"/>
        </w:rPr>
        <w:t xml:space="preserve"> </w:t>
      </w:r>
      <w:r>
        <w:t>it</w:t>
      </w:r>
      <w:r>
        <w:rPr>
          <w:spacing w:val="-4"/>
        </w:rPr>
        <w:t xml:space="preserve"> </w:t>
      </w:r>
      <w:r>
        <w:t>refers</w:t>
      </w:r>
      <w:r>
        <w:rPr>
          <w:spacing w:val="-4"/>
        </w:rPr>
        <w:t xml:space="preserve"> </w:t>
      </w:r>
      <w:r>
        <w:t>to</w:t>
      </w:r>
      <w:r>
        <w:rPr>
          <w:spacing w:val="-3"/>
        </w:rPr>
        <w:t xml:space="preserve"> </w:t>
      </w:r>
      <w:r>
        <w:t>the</w:t>
      </w:r>
      <w:r>
        <w:rPr>
          <w:spacing w:val="-4"/>
        </w:rPr>
        <w:t xml:space="preserve"> </w:t>
      </w:r>
      <w:r>
        <w:rPr>
          <w:i/>
        </w:rPr>
        <w:t>act</w:t>
      </w:r>
      <w:r>
        <w:rPr>
          <w:i/>
          <w:spacing w:val="-4"/>
        </w:rPr>
        <w:t xml:space="preserve"> </w:t>
      </w:r>
      <w:r>
        <w:t>of</w:t>
      </w:r>
      <w:r>
        <w:rPr>
          <w:spacing w:val="-4"/>
        </w:rPr>
        <w:t xml:space="preserve"> </w:t>
      </w:r>
      <w:r>
        <w:t>using</w:t>
      </w:r>
      <w:r>
        <w:rPr>
          <w:spacing w:val="-3"/>
        </w:rPr>
        <w:t xml:space="preserve"> </w:t>
      </w:r>
      <w:r>
        <w:t>a</w:t>
      </w:r>
      <w:r>
        <w:rPr>
          <w:spacing w:val="-4"/>
        </w:rPr>
        <w:t xml:space="preserve"> </w:t>
      </w:r>
      <w:r>
        <w:t>sentence</w:t>
      </w:r>
      <w:r>
        <w:rPr>
          <w:spacing w:val="-4"/>
        </w:rPr>
        <w:t xml:space="preserve"> </w:t>
      </w:r>
      <w:r>
        <w:t>to</w:t>
      </w:r>
      <w:r>
        <w:rPr>
          <w:spacing w:val="-3"/>
        </w:rPr>
        <w:t xml:space="preserve"> </w:t>
      </w:r>
      <w:r>
        <w:t>affirm</w:t>
      </w:r>
    </w:p>
    <w:p w14:paraId="7E00075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52" w14:textId="77777777" w:rsidR="009A58DB" w:rsidRDefault="00000000">
      <w:pPr>
        <w:pStyle w:val="BodyText"/>
        <w:spacing w:before="60" w:line="249" w:lineRule="auto"/>
        <w:ind w:right="364"/>
      </w:pPr>
      <w:r>
        <w:lastRenderedPageBreak/>
        <w:t xml:space="preserve">a proposition. Wittgenstein didn’t countenance the existence of propositions, and this obviously had a hand in his erroneously believing that philosophy is the analysis of </w:t>
      </w:r>
      <w:r>
        <w:rPr>
          <w:i/>
        </w:rPr>
        <w:t xml:space="preserve">sentences, </w:t>
      </w:r>
      <w:r>
        <w:t xml:space="preserve">when the truth is that philosophy is the analysis of </w:t>
      </w:r>
      <w:r>
        <w:rPr>
          <w:i/>
        </w:rPr>
        <w:t xml:space="preserve">propositions. </w:t>
      </w:r>
      <w:r>
        <w:t>Even Frege’s analyses of sentences such as “someone snores” and “nothing is a square circle” fail to conform to Wittgenstein’s conception of</w:t>
      </w:r>
      <w:r>
        <w:rPr>
          <w:spacing w:val="-4"/>
        </w:rPr>
        <w:t xml:space="preserve"> </w:t>
      </w:r>
      <w:r>
        <w:t>what</w:t>
      </w:r>
      <w:r>
        <w:rPr>
          <w:spacing w:val="-4"/>
        </w:rPr>
        <w:t xml:space="preserve"> </w:t>
      </w:r>
      <w:r>
        <w:t>philosophy</w:t>
      </w:r>
      <w:r>
        <w:rPr>
          <w:spacing w:val="-3"/>
        </w:rPr>
        <w:t xml:space="preserve"> </w:t>
      </w:r>
      <w:r>
        <w:t>is</w:t>
      </w:r>
      <w:r>
        <w:rPr>
          <w:spacing w:val="-4"/>
        </w:rPr>
        <w:t xml:space="preserve"> </w:t>
      </w:r>
      <w:r>
        <w:t>supposed</w:t>
      </w:r>
      <w:r>
        <w:rPr>
          <w:spacing w:val="-3"/>
        </w:rPr>
        <w:t xml:space="preserve"> </w:t>
      </w:r>
      <w:r>
        <w:t>to</w:t>
      </w:r>
      <w:r>
        <w:rPr>
          <w:spacing w:val="-3"/>
        </w:rPr>
        <w:t xml:space="preserve"> </w:t>
      </w:r>
      <w:r>
        <w:t>do,</w:t>
      </w:r>
      <w:r>
        <w:rPr>
          <w:spacing w:val="-3"/>
        </w:rPr>
        <w:t xml:space="preserve"> </w:t>
      </w:r>
      <w:r>
        <w:t>since,</w:t>
      </w:r>
      <w:r>
        <w:rPr>
          <w:spacing w:val="-3"/>
        </w:rPr>
        <w:t xml:space="preserve"> </w:t>
      </w:r>
      <w:r>
        <w:t>as</w:t>
      </w:r>
      <w:r>
        <w:rPr>
          <w:spacing w:val="-4"/>
        </w:rPr>
        <w:t xml:space="preserve"> </w:t>
      </w:r>
      <w:r>
        <w:t>we’ll</w:t>
      </w:r>
      <w:r>
        <w:rPr>
          <w:spacing w:val="-4"/>
        </w:rPr>
        <w:t xml:space="preserve"> </w:t>
      </w:r>
      <w:r>
        <w:t>see</w:t>
      </w:r>
      <w:r>
        <w:rPr>
          <w:spacing w:val="-4"/>
        </w:rPr>
        <w:t xml:space="preserve"> </w:t>
      </w:r>
      <w:r>
        <w:t>in</w:t>
      </w:r>
      <w:r>
        <w:rPr>
          <w:spacing w:val="-3"/>
        </w:rPr>
        <w:t xml:space="preserve"> </w:t>
      </w:r>
      <w:r>
        <w:t>a</w:t>
      </w:r>
      <w:r>
        <w:rPr>
          <w:spacing w:val="-4"/>
        </w:rPr>
        <w:t xml:space="preserve"> </w:t>
      </w:r>
      <w:r>
        <w:t>moment,</w:t>
      </w:r>
      <w:r>
        <w:rPr>
          <w:spacing w:val="-3"/>
        </w:rPr>
        <w:t xml:space="preserve"> </w:t>
      </w:r>
      <w:r>
        <w:t xml:space="preserve">they’re analyses of propositions that </w:t>
      </w:r>
      <w:r>
        <w:rPr>
          <w:i/>
        </w:rPr>
        <w:t>involve</w:t>
      </w:r>
      <w:r>
        <w:rPr>
          <w:i/>
          <w:spacing w:val="-4"/>
        </w:rPr>
        <w:t xml:space="preserve"> </w:t>
      </w:r>
      <w:r>
        <w:t>analyses of sentences and, therefore, are not themselves analyses of sentences.</w:t>
      </w:r>
    </w:p>
    <w:p w14:paraId="7E000753" w14:textId="77777777" w:rsidR="009A58DB" w:rsidRDefault="00000000">
      <w:pPr>
        <w:pStyle w:val="BodyText"/>
        <w:spacing w:before="14"/>
        <w:ind w:left="720"/>
        <w:rPr>
          <w:i/>
        </w:rPr>
      </w:pPr>
      <w:r>
        <w:t>One</w:t>
      </w:r>
      <w:r>
        <w:rPr>
          <w:spacing w:val="-6"/>
        </w:rPr>
        <w:t xml:space="preserve"> </w:t>
      </w:r>
      <w:r>
        <w:t>must</w:t>
      </w:r>
      <w:r>
        <w:rPr>
          <w:spacing w:val="-3"/>
        </w:rPr>
        <w:t xml:space="preserve"> </w:t>
      </w:r>
      <w:r>
        <w:t>know</w:t>
      </w:r>
      <w:r>
        <w:rPr>
          <w:spacing w:val="-3"/>
        </w:rPr>
        <w:t xml:space="preserve"> </w:t>
      </w:r>
      <w:r>
        <w:t>at</w:t>
      </w:r>
      <w:r>
        <w:rPr>
          <w:spacing w:val="-3"/>
        </w:rPr>
        <w:t xml:space="preserve"> </w:t>
      </w:r>
      <w:r>
        <w:t>least</w:t>
      </w:r>
      <w:r>
        <w:rPr>
          <w:spacing w:val="-3"/>
        </w:rPr>
        <w:t xml:space="preserve"> </w:t>
      </w:r>
      <w:r>
        <w:t>some</w:t>
      </w:r>
      <w:r>
        <w:rPr>
          <w:spacing w:val="-3"/>
        </w:rPr>
        <w:t xml:space="preserve"> </w:t>
      </w:r>
      <w:r>
        <w:t>English</w:t>
      </w:r>
      <w:r>
        <w:rPr>
          <w:spacing w:val="-2"/>
        </w:rPr>
        <w:t xml:space="preserve"> </w:t>
      </w:r>
      <w:r>
        <w:t>to</w:t>
      </w:r>
      <w:r>
        <w:rPr>
          <w:spacing w:val="-2"/>
        </w:rPr>
        <w:t xml:space="preserve"> </w:t>
      </w:r>
      <w:r>
        <w:t>understand</w:t>
      </w:r>
      <w:r>
        <w:rPr>
          <w:spacing w:val="-2"/>
        </w:rPr>
        <w:t xml:space="preserve"> </w:t>
      </w:r>
      <w:r>
        <w:t>the</w:t>
      </w:r>
      <w:r>
        <w:rPr>
          <w:spacing w:val="-3"/>
        </w:rPr>
        <w:t xml:space="preserve"> </w:t>
      </w:r>
      <w:r>
        <w:rPr>
          <w:i/>
          <w:spacing w:val="-2"/>
        </w:rPr>
        <w:t>sentence:</w:t>
      </w:r>
    </w:p>
    <w:p w14:paraId="7E000754" w14:textId="77777777" w:rsidR="009A58DB" w:rsidRDefault="009A58DB">
      <w:pPr>
        <w:pStyle w:val="BodyText"/>
        <w:spacing w:before="30"/>
        <w:ind w:left="0"/>
        <w:jc w:val="left"/>
        <w:rPr>
          <w:i/>
        </w:rPr>
      </w:pPr>
    </w:p>
    <w:p w14:paraId="7E000755" w14:textId="77777777" w:rsidR="009A58DB" w:rsidRDefault="00000000">
      <w:pPr>
        <w:pStyle w:val="BodyText"/>
        <w:spacing w:before="1"/>
        <w:ind w:left="720"/>
        <w:jc w:val="left"/>
      </w:pPr>
      <w:r>
        <w:t>(1)</w:t>
      </w:r>
      <w:r>
        <w:rPr>
          <w:spacing w:val="-2"/>
        </w:rPr>
        <w:t xml:space="preserve"> </w:t>
      </w:r>
      <w:r>
        <w:t>“John</w:t>
      </w:r>
      <w:r>
        <w:rPr>
          <w:spacing w:val="-1"/>
        </w:rPr>
        <w:t xml:space="preserve"> </w:t>
      </w:r>
      <w:r>
        <w:t>knows</w:t>
      </w:r>
      <w:r>
        <w:rPr>
          <w:spacing w:val="-2"/>
        </w:rPr>
        <w:t xml:space="preserve"> </w:t>
      </w:r>
      <w:r>
        <w:t>that</w:t>
      </w:r>
      <w:r>
        <w:rPr>
          <w:spacing w:val="-1"/>
        </w:rPr>
        <w:t xml:space="preserve"> </w:t>
      </w:r>
      <w:r>
        <w:t>1</w:t>
      </w:r>
      <w:r>
        <w:rPr>
          <w:spacing w:val="-1"/>
        </w:rPr>
        <w:t xml:space="preserve"> </w:t>
      </w:r>
      <w:r>
        <w:t>+</w:t>
      </w:r>
      <w:r>
        <w:rPr>
          <w:spacing w:val="-2"/>
        </w:rPr>
        <w:t xml:space="preserve"> </w:t>
      </w:r>
      <w:r>
        <w:t>1</w:t>
      </w:r>
      <w:r>
        <w:rPr>
          <w:spacing w:val="-1"/>
        </w:rPr>
        <w:t xml:space="preserve"> </w:t>
      </w:r>
      <w:r>
        <w:t>=</w:t>
      </w:r>
      <w:r>
        <w:rPr>
          <w:spacing w:val="-1"/>
        </w:rPr>
        <w:t xml:space="preserve"> </w:t>
      </w:r>
      <w:r>
        <w:rPr>
          <w:spacing w:val="-5"/>
        </w:rPr>
        <w:t>2”</w:t>
      </w:r>
    </w:p>
    <w:p w14:paraId="7E000756" w14:textId="77777777" w:rsidR="009A58DB" w:rsidRDefault="009A58DB">
      <w:pPr>
        <w:pStyle w:val="BodyText"/>
        <w:spacing w:before="29"/>
        <w:ind w:left="0"/>
        <w:jc w:val="left"/>
      </w:pPr>
    </w:p>
    <w:p w14:paraId="7E000757" w14:textId="77777777" w:rsidR="009A58DB" w:rsidRDefault="00000000">
      <w:pPr>
        <w:pStyle w:val="BodyText"/>
        <w:spacing w:before="1" w:line="249" w:lineRule="auto"/>
        <w:ind w:right="358" w:firstLine="360"/>
      </w:pPr>
      <w:r>
        <w:t>But the proposition meant by that sentence can be grasped without speaking English; and one needn’t know English, or any other given language, to be able to analyze that proposition correctly.</w:t>
      </w:r>
    </w:p>
    <w:p w14:paraId="7E000758" w14:textId="77777777" w:rsidR="009A58DB" w:rsidRDefault="00000000">
      <w:pPr>
        <w:pStyle w:val="BodyText"/>
        <w:spacing w:before="3" w:line="249" w:lineRule="auto"/>
        <w:ind w:right="358" w:firstLine="360"/>
      </w:pPr>
      <w:r>
        <w:t>But analyzing (1)—the sentence, not the corresponding proposition—</w:t>
      </w:r>
      <w:r>
        <w:rPr>
          <w:i/>
        </w:rPr>
        <w:t xml:space="preserve">does </w:t>
      </w:r>
      <w:r>
        <w:t>involve such knowledge. A sentence is an expression; it consist of nouns, verbs, etc. Analyzing (1) involves knowing the various grammatical nuances involved in its structure. Analyzing the corresponding proposition has</w:t>
      </w:r>
      <w:r>
        <w:rPr>
          <w:spacing w:val="40"/>
        </w:rPr>
        <w:t xml:space="preserve"> </w:t>
      </w:r>
      <w:r>
        <w:t xml:space="preserve">nothing to do with anything relating to grammar or any other aspect of language. No such knowledge is needed to analyze the corresponding </w:t>
      </w:r>
      <w:r>
        <w:rPr>
          <w:spacing w:val="-2"/>
        </w:rPr>
        <w:t>proposition.</w:t>
      </w:r>
    </w:p>
    <w:p w14:paraId="7E000759" w14:textId="77777777" w:rsidR="009A58DB" w:rsidRDefault="00000000">
      <w:pPr>
        <w:pStyle w:val="BodyText"/>
        <w:spacing w:before="9" w:line="249" w:lineRule="auto"/>
        <w:ind w:right="363" w:firstLine="360"/>
        <w:rPr>
          <w:position w:val="21"/>
        </w:rPr>
      </w:pPr>
      <w:r>
        <w:t>Even though Frege’s work inspired many to identify philosophy with sentence-analysis, Frege himself always made it very clear that propositions are not sentences and that, although sentences are human creations, their meanings are not</w:t>
      </w:r>
      <w:bookmarkStart w:id="34" w:name="_bookmark34"/>
      <w:bookmarkEnd w:id="34"/>
      <w:r>
        <w:t>.</w:t>
      </w:r>
      <w:r>
        <w:rPr>
          <w:color w:val="0562C1"/>
          <w:position w:val="21"/>
          <w:u w:val="single" w:color="0562C1"/>
        </w:rPr>
        <w:t>[31]</w:t>
      </w:r>
    </w:p>
    <w:p w14:paraId="7E00075A" w14:textId="77777777" w:rsidR="009A58DB" w:rsidRDefault="00000000">
      <w:pPr>
        <w:pStyle w:val="BodyText"/>
        <w:spacing w:before="5" w:line="249" w:lineRule="auto"/>
        <w:ind w:right="359" w:firstLine="360"/>
      </w:pPr>
      <w:r>
        <w:t xml:space="preserve">The sentence “the moon is less massive than Earth” is a human artifact; it didn’t exist until a few centuries ago. But the truth it expresses is in a different category. That truth exists independently of us. After all, the moon was less massive than the Earth before we came along, and it’ll be that way after we sign out. For the same reason </w:t>
      </w:r>
      <w:r>
        <w:rPr>
          <w:i/>
        </w:rPr>
        <w:t xml:space="preserve">mutatis mutandis, </w:t>
      </w:r>
      <w:r>
        <w:t>the falsehood expressed</w:t>
      </w:r>
      <w:r>
        <w:rPr>
          <w:spacing w:val="-1"/>
        </w:rPr>
        <w:t xml:space="preserve"> </w:t>
      </w:r>
      <w:r>
        <w:t>by</w:t>
      </w:r>
      <w:r>
        <w:rPr>
          <w:spacing w:val="-1"/>
        </w:rPr>
        <w:t xml:space="preserve"> </w:t>
      </w:r>
      <w:r>
        <w:t>“the</w:t>
      </w:r>
      <w:r>
        <w:rPr>
          <w:spacing w:val="-1"/>
        </w:rPr>
        <w:t xml:space="preserve"> </w:t>
      </w:r>
      <w:r>
        <w:t>Earth</w:t>
      </w:r>
      <w:r>
        <w:rPr>
          <w:spacing w:val="-1"/>
        </w:rPr>
        <w:t xml:space="preserve"> </w:t>
      </w:r>
      <w:r>
        <w:t>is</w:t>
      </w:r>
      <w:r>
        <w:rPr>
          <w:spacing w:val="-1"/>
        </w:rPr>
        <w:t xml:space="preserve"> </w:t>
      </w:r>
      <w:r>
        <w:t>more</w:t>
      </w:r>
      <w:r>
        <w:rPr>
          <w:spacing w:val="-1"/>
        </w:rPr>
        <w:t xml:space="preserve"> </w:t>
      </w:r>
      <w:r>
        <w:t>massive</w:t>
      </w:r>
      <w:r>
        <w:rPr>
          <w:spacing w:val="-1"/>
        </w:rPr>
        <w:t xml:space="preserve"> </w:t>
      </w:r>
      <w:r>
        <w:t>than</w:t>
      </w:r>
      <w:r>
        <w:rPr>
          <w:spacing w:val="-1"/>
        </w:rPr>
        <w:t xml:space="preserve"> </w:t>
      </w:r>
      <w:r>
        <w:t>the</w:t>
      </w:r>
      <w:r>
        <w:rPr>
          <w:spacing w:val="-1"/>
        </w:rPr>
        <w:t xml:space="preserve"> </w:t>
      </w:r>
      <w:r>
        <w:t>moon”</w:t>
      </w:r>
      <w:r>
        <w:rPr>
          <w:spacing w:val="-1"/>
        </w:rPr>
        <w:t xml:space="preserve"> </w:t>
      </w:r>
      <w:r>
        <w:t>exists</w:t>
      </w:r>
      <w:r>
        <w:rPr>
          <w:spacing w:val="-1"/>
        </w:rPr>
        <w:t xml:space="preserve"> </w:t>
      </w:r>
      <w:r>
        <w:t>independently of our thoughts and deeds, even though that sentence itself is a human</w:t>
      </w:r>
      <w:r>
        <w:rPr>
          <w:spacing w:val="40"/>
        </w:rPr>
        <w:t xml:space="preserve"> </w:t>
      </w:r>
      <w:r>
        <w:rPr>
          <w:spacing w:val="-2"/>
        </w:rPr>
        <w:t>artifact.</w:t>
      </w:r>
    </w:p>
    <w:p w14:paraId="7E00075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5C" w14:textId="77777777" w:rsidR="009A58DB" w:rsidRDefault="00000000">
      <w:pPr>
        <w:pStyle w:val="Heading1"/>
        <w:numPr>
          <w:ilvl w:val="2"/>
          <w:numId w:val="227"/>
        </w:numPr>
        <w:tabs>
          <w:tab w:val="left" w:pos="1860"/>
        </w:tabs>
        <w:spacing w:before="58" w:line="244" w:lineRule="auto"/>
        <w:ind w:right="367" w:firstLine="0"/>
        <w:jc w:val="both"/>
      </w:pPr>
      <w:r>
        <w:lastRenderedPageBreak/>
        <w:t>Not all philosophical analysis linguistic analysis (continued): the nature of sentence-meanings (as opposed to sentences)</w:t>
      </w:r>
    </w:p>
    <w:p w14:paraId="7E00075D" w14:textId="77777777" w:rsidR="009A58DB" w:rsidRDefault="00000000">
      <w:pPr>
        <w:pStyle w:val="BodyText"/>
        <w:spacing w:before="134" w:line="249" w:lineRule="auto"/>
        <w:ind w:right="359"/>
        <w:rPr>
          <w:position w:val="21"/>
        </w:rPr>
      </w:pPr>
      <w:r>
        <w:t>What are propositions? They’re properties. For a proposition to be true is for the world to be a certain way. The proposition that Smith is in Richmond is true if the world is a certain way and it’s false if it isn’t. (If mass-energy is distributed</w:t>
      </w:r>
      <w:r>
        <w:rPr>
          <w:spacing w:val="-3"/>
        </w:rPr>
        <w:t xml:space="preserve"> </w:t>
      </w:r>
      <w:r>
        <w:t>one</w:t>
      </w:r>
      <w:r>
        <w:rPr>
          <w:spacing w:val="-3"/>
        </w:rPr>
        <w:t xml:space="preserve"> </w:t>
      </w:r>
      <w:r>
        <w:t>way,</w:t>
      </w:r>
      <w:r>
        <w:rPr>
          <w:spacing w:val="-3"/>
        </w:rPr>
        <w:t xml:space="preserve"> </w:t>
      </w:r>
      <w:r>
        <w:t>Smith</w:t>
      </w:r>
      <w:r>
        <w:rPr>
          <w:spacing w:val="-3"/>
        </w:rPr>
        <w:t xml:space="preserve"> </w:t>
      </w:r>
      <w:r>
        <w:t>is</w:t>
      </w:r>
      <w:r>
        <w:rPr>
          <w:spacing w:val="-3"/>
        </w:rPr>
        <w:t xml:space="preserve"> </w:t>
      </w:r>
      <w:r>
        <w:t>in</w:t>
      </w:r>
      <w:r>
        <w:rPr>
          <w:spacing w:val="-3"/>
        </w:rPr>
        <w:t xml:space="preserve"> </w:t>
      </w:r>
      <w:r>
        <w:t>Richmond;</w:t>
      </w:r>
      <w:r>
        <w:rPr>
          <w:spacing w:val="-3"/>
        </w:rPr>
        <w:t xml:space="preserve"> </w:t>
      </w:r>
      <w:r>
        <w:t>if</w:t>
      </w:r>
      <w:r>
        <w:rPr>
          <w:spacing w:val="-3"/>
        </w:rPr>
        <w:t xml:space="preserve"> </w:t>
      </w:r>
      <w:r>
        <w:t>it’s</w:t>
      </w:r>
      <w:r>
        <w:rPr>
          <w:spacing w:val="-3"/>
        </w:rPr>
        <w:t xml:space="preserve"> </w:t>
      </w:r>
      <w:r>
        <w:t>distributed</w:t>
      </w:r>
      <w:r>
        <w:rPr>
          <w:spacing w:val="-3"/>
        </w:rPr>
        <w:t xml:space="preserve"> </w:t>
      </w:r>
      <w:r>
        <w:t>some</w:t>
      </w:r>
      <w:r>
        <w:rPr>
          <w:spacing w:val="-3"/>
        </w:rPr>
        <w:t xml:space="preserve"> </w:t>
      </w:r>
      <w:r>
        <w:t>other</w:t>
      </w:r>
      <w:r>
        <w:rPr>
          <w:spacing w:val="-3"/>
        </w:rPr>
        <w:t xml:space="preserve"> </w:t>
      </w:r>
      <w:r>
        <w:t>way, he</w:t>
      </w:r>
      <w:r>
        <w:rPr>
          <w:spacing w:val="-3"/>
        </w:rPr>
        <w:t xml:space="preserve"> </w:t>
      </w:r>
      <w:r>
        <w:t>isn’t.)</w:t>
      </w:r>
      <w:r>
        <w:rPr>
          <w:spacing w:val="-3"/>
        </w:rPr>
        <w:t xml:space="preserve"> </w:t>
      </w:r>
      <w:r>
        <w:t>For</w:t>
      </w:r>
      <w:r>
        <w:rPr>
          <w:spacing w:val="-3"/>
        </w:rPr>
        <w:t xml:space="preserve"> </w:t>
      </w:r>
      <w:r>
        <w:t>a</w:t>
      </w:r>
      <w:r>
        <w:rPr>
          <w:spacing w:val="-3"/>
        </w:rPr>
        <w:t xml:space="preserve"> </w:t>
      </w:r>
      <w:r>
        <w:t>thing</w:t>
      </w:r>
      <w:r>
        <w:rPr>
          <w:spacing w:val="-2"/>
        </w:rPr>
        <w:t xml:space="preserve"> </w:t>
      </w:r>
      <w:r>
        <w:t>to</w:t>
      </w:r>
      <w:r>
        <w:rPr>
          <w:spacing w:val="-2"/>
        </w:rPr>
        <w:t xml:space="preserve"> </w:t>
      </w:r>
      <w:r>
        <w:t>be</w:t>
      </w:r>
      <w:r>
        <w:rPr>
          <w:spacing w:val="-3"/>
        </w:rPr>
        <w:t xml:space="preserve"> </w:t>
      </w:r>
      <w:r>
        <w:t>a</w:t>
      </w:r>
      <w:r>
        <w:rPr>
          <w:spacing w:val="-3"/>
        </w:rPr>
        <w:t xml:space="preserve"> </w:t>
      </w:r>
      <w:r>
        <w:t>certain</w:t>
      </w:r>
      <w:r>
        <w:rPr>
          <w:spacing w:val="-2"/>
        </w:rPr>
        <w:t xml:space="preserve"> </w:t>
      </w:r>
      <w:r>
        <w:t>way</w:t>
      </w:r>
      <w:r>
        <w:rPr>
          <w:spacing w:val="-2"/>
        </w:rPr>
        <w:t xml:space="preserve"> </w:t>
      </w:r>
      <w:r>
        <w:t>is</w:t>
      </w:r>
      <w:r>
        <w:rPr>
          <w:spacing w:val="-3"/>
        </w:rPr>
        <w:t xml:space="preserve"> </w:t>
      </w:r>
      <w:r>
        <w:t>for</w:t>
      </w:r>
      <w:r>
        <w:rPr>
          <w:spacing w:val="-3"/>
        </w:rPr>
        <w:t xml:space="preserve"> </w:t>
      </w:r>
      <w:r>
        <w:t>it</w:t>
      </w:r>
      <w:r>
        <w:rPr>
          <w:spacing w:val="-3"/>
        </w:rPr>
        <w:t xml:space="preserve"> </w:t>
      </w:r>
      <w:r>
        <w:t>to</w:t>
      </w:r>
      <w:r>
        <w:rPr>
          <w:spacing w:val="-2"/>
        </w:rPr>
        <w:t xml:space="preserve"> </w:t>
      </w:r>
      <w:r>
        <w:t>have</w:t>
      </w:r>
      <w:r>
        <w:rPr>
          <w:spacing w:val="-3"/>
        </w:rPr>
        <w:t xml:space="preserve"> </w:t>
      </w:r>
      <w:r>
        <w:t>a</w:t>
      </w:r>
      <w:r>
        <w:rPr>
          <w:spacing w:val="-3"/>
        </w:rPr>
        <w:t xml:space="preserve"> </w:t>
      </w:r>
      <w:r>
        <w:t>certain</w:t>
      </w:r>
      <w:r>
        <w:rPr>
          <w:spacing w:val="-2"/>
        </w:rPr>
        <w:t xml:space="preserve"> </w:t>
      </w:r>
      <w:r>
        <w:t>property.</w:t>
      </w:r>
      <w:r>
        <w:rPr>
          <w:spacing w:val="-2"/>
        </w:rPr>
        <w:t xml:space="preserve"> </w:t>
      </w:r>
      <w:r>
        <w:t>To be round is to be one way; to be square is to be some other way. To be round is to have one property; to be square is to have some other property</w:t>
      </w:r>
      <w:bookmarkStart w:id="35" w:name="_bookmark35"/>
      <w:bookmarkEnd w:id="35"/>
      <w:r>
        <w:t>.</w:t>
      </w:r>
      <w:r>
        <w:rPr>
          <w:color w:val="0562C1"/>
          <w:position w:val="21"/>
          <w:u w:val="single" w:color="0562C1"/>
        </w:rPr>
        <w:t>[32]</w:t>
      </w:r>
      <w:r>
        <w:rPr>
          <w:color w:val="0562C1"/>
          <w:spacing w:val="40"/>
          <w:position w:val="21"/>
        </w:rPr>
        <w:t xml:space="preserve"> </w:t>
      </w:r>
      <w:r>
        <w:t>Thus, the world’s being a certain way is identical with its having a certain property. Since, therefore, the world’s being a certain way is identical with some</w:t>
      </w:r>
      <w:r>
        <w:rPr>
          <w:spacing w:val="-2"/>
        </w:rPr>
        <w:t xml:space="preserve"> </w:t>
      </w:r>
      <w:r>
        <w:t>proposition’s</w:t>
      </w:r>
      <w:r>
        <w:rPr>
          <w:spacing w:val="-2"/>
        </w:rPr>
        <w:t xml:space="preserve"> </w:t>
      </w:r>
      <w:r>
        <w:t>being</w:t>
      </w:r>
      <w:r>
        <w:rPr>
          <w:spacing w:val="-2"/>
        </w:rPr>
        <w:t xml:space="preserve"> </w:t>
      </w:r>
      <w:r>
        <w:t>true,</w:t>
      </w:r>
      <w:r>
        <w:rPr>
          <w:spacing w:val="-2"/>
        </w:rPr>
        <w:t xml:space="preserve"> </w:t>
      </w:r>
      <w:r>
        <w:t>propositions</w:t>
      </w:r>
      <w:r>
        <w:rPr>
          <w:spacing w:val="-2"/>
        </w:rPr>
        <w:t xml:space="preserve"> </w:t>
      </w:r>
      <w:r>
        <w:t>must</w:t>
      </w:r>
      <w:r>
        <w:rPr>
          <w:spacing w:val="-2"/>
        </w:rPr>
        <w:t xml:space="preserve"> </w:t>
      </w:r>
      <w:r>
        <w:t>be</w:t>
      </w:r>
      <w:r>
        <w:rPr>
          <w:spacing w:val="-2"/>
        </w:rPr>
        <w:t xml:space="preserve"> </w:t>
      </w:r>
      <w:r>
        <w:t>identified</w:t>
      </w:r>
      <w:r>
        <w:rPr>
          <w:spacing w:val="-2"/>
        </w:rPr>
        <w:t xml:space="preserve"> </w:t>
      </w:r>
      <w:r>
        <w:t>with</w:t>
      </w:r>
      <w:r>
        <w:rPr>
          <w:spacing w:val="-2"/>
        </w:rPr>
        <w:t xml:space="preserve"> </w:t>
      </w:r>
      <w:r>
        <w:t>properties and a proposition’s being true must be identified with its being instantiated. Propositions are properties and truth is instantiatedness</w:t>
      </w:r>
      <w:bookmarkStart w:id="36" w:name="_bookmark36"/>
      <w:bookmarkEnd w:id="36"/>
      <w:r>
        <w:t>.</w:t>
      </w:r>
      <w:r>
        <w:rPr>
          <w:color w:val="0562C1"/>
          <w:position w:val="21"/>
          <w:u w:val="single" w:color="0562C1"/>
        </w:rPr>
        <w:t>[33]</w:t>
      </w:r>
    </w:p>
    <w:p w14:paraId="7E00075E" w14:textId="77777777" w:rsidR="009A58DB" w:rsidRDefault="00000000">
      <w:pPr>
        <w:pStyle w:val="BodyText"/>
        <w:spacing w:before="15" w:line="249" w:lineRule="auto"/>
        <w:ind w:right="357" w:firstLine="360"/>
        <w:rPr>
          <w:sz w:val="34"/>
        </w:rPr>
      </w:pPr>
      <w:r>
        <w:t>It’s widely thought that propositions are human creations. This is false. The world was a certain way before we were around; it will be a certain way after we’re gone; and the way it is while we’re around is up to us only to a limited</w:t>
      </w:r>
      <w:r>
        <w:rPr>
          <w:spacing w:val="-3"/>
        </w:rPr>
        <w:t xml:space="preserve"> </w:t>
      </w:r>
      <w:r>
        <w:t>extent</w:t>
      </w:r>
      <w:bookmarkStart w:id="37" w:name="_bookmark37"/>
      <w:bookmarkEnd w:id="37"/>
      <w:r>
        <w:t>.</w:t>
      </w:r>
      <w:r>
        <w:rPr>
          <w:color w:val="0562C1"/>
          <w:position w:val="21"/>
          <w:u w:val="single" w:color="0562C1"/>
        </w:rPr>
        <w:t>[34]</w:t>
      </w:r>
      <w:r>
        <w:rPr>
          <w:color w:val="0562C1"/>
          <w:position w:val="21"/>
        </w:rPr>
        <w:t xml:space="preserve"> </w:t>
      </w:r>
      <w:r>
        <w:t>It follows that, independently of our having any beliefs or, indeed, our doing or thinking anything, certain propositions are true; and it follows</w:t>
      </w:r>
      <w:r>
        <w:rPr>
          <w:spacing w:val="-2"/>
        </w:rPr>
        <w:t xml:space="preserve"> </w:t>
      </w:r>
      <w:r>
        <w:t>from</w:t>
      </w:r>
      <w:r>
        <w:rPr>
          <w:spacing w:val="-2"/>
        </w:rPr>
        <w:t xml:space="preserve"> </w:t>
      </w:r>
      <w:r>
        <w:t>this</w:t>
      </w:r>
      <w:r>
        <w:rPr>
          <w:spacing w:val="-2"/>
        </w:rPr>
        <w:t xml:space="preserve"> </w:t>
      </w:r>
      <w:r>
        <w:t>that</w:t>
      </w:r>
      <w:r>
        <w:rPr>
          <w:spacing w:val="-2"/>
        </w:rPr>
        <w:t xml:space="preserve"> </w:t>
      </w:r>
      <w:r>
        <w:t>propositions</w:t>
      </w:r>
      <w:r>
        <w:rPr>
          <w:spacing w:val="-2"/>
        </w:rPr>
        <w:t xml:space="preserve"> </w:t>
      </w:r>
      <w:r>
        <w:t>are</w:t>
      </w:r>
      <w:r>
        <w:rPr>
          <w:spacing w:val="-2"/>
        </w:rPr>
        <w:t xml:space="preserve"> </w:t>
      </w:r>
      <w:r>
        <w:t>not</w:t>
      </w:r>
      <w:r>
        <w:rPr>
          <w:spacing w:val="-2"/>
        </w:rPr>
        <w:t xml:space="preserve"> </w:t>
      </w:r>
      <w:r>
        <w:t>human</w:t>
      </w:r>
      <w:r>
        <w:rPr>
          <w:spacing w:val="-2"/>
        </w:rPr>
        <w:t xml:space="preserve"> </w:t>
      </w:r>
      <w:r>
        <w:t>creations.</w:t>
      </w:r>
      <w:r>
        <w:rPr>
          <w:spacing w:val="-2"/>
        </w:rPr>
        <w:t xml:space="preserve"> </w:t>
      </w:r>
      <w:r>
        <w:t>Sentences,</w:t>
      </w:r>
      <w:r>
        <w:rPr>
          <w:spacing w:val="-2"/>
        </w:rPr>
        <w:t xml:space="preserve"> </w:t>
      </w:r>
      <w:r>
        <w:t>on</w:t>
      </w:r>
      <w:r>
        <w:rPr>
          <w:spacing w:val="-2"/>
        </w:rPr>
        <w:t xml:space="preserve"> </w:t>
      </w:r>
      <w:r>
        <w:t>the other hand, are human creations. They wouldn’t be around if it weren’</w:t>
      </w:r>
      <w:r>
        <w:rPr>
          <w:sz w:val="34"/>
        </w:rPr>
        <w:t>t for us. So sentential analysis is a very different thing from</w:t>
      </w:r>
      <w:r>
        <w:rPr>
          <w:spacing w:val="80"/>
          <w:w w:val="150"/>
          <w:sz w:val="34"/>
        </w:rPr>
        <w:t xml:space="preserve"> </w:t>
      </w:r>
      <w:r>
        <w:rPr>
          <w:sz w:val="34"/>
        </w:rPr>
        <w:t>propositional analysis.</w:t>
      </w:r>
    </w:p>
    <w:p w14:paraId="7E00075F" w14:textId="77777777" w:rsidR="009A58DB" w:rsidRDefault="00000000">
      <w:pPr>
        <w:pStyle w:val="Heading1"/>
        <w:numPr>
          <w:ilvl w:val="2"/>
          <w:numId w:val="227"/>
        </w:numPr>
        <w:tabs>
          <w:tab w:val="left" w:pos="1080"/>
          <w:tab w:val="left" w:pos="1860"/>
        </w:tabs>
        <w:spacing w:before="190" w:line="244" w:lineRule="auto"/>
        <w:ind w:left="1080" w:right="361" w:hanging="720"/>
        <w:jc w:val="both"/>
      </w:pPr>
      <w:r>
        <w:t xml:space="preserve">Not all philosophical analysis linguistic analysis (continued): Frege’s accomplishments </w:t>
      </w:r>
      <w:r>
        <w:rPr>
          <w:spacing w:val="-2"/>
        </w:rPr>
        <w:t>reassessed</w:t>
      </w:r>
    </w:p>
    <w:p w14:paraId="7E000760" w14:textId="77777777" w:rsidR="009A58DB" w:rsidRDefault="00000000">
      <w:pPr>
        <w:pStyle w:val="BodyText"/>
        <w:spacing w:before="134" w:line="249" w:lineRule="auto"/>
        <w:ind w:right="358"/>
      </w:pPr>
      <w:r>
        <w:t xml:space="preserve">But didn’t we say that Frege’s great accomplishment lay in his insights concerning </w:t>
      </w:r>
      <w:r>
        <w:rPr>
          <w:i/>
        </w:rPr>
        <w:t>sentences</w:t>
      </w:r>
      <w:r>
        <w:t xml:space="preserve">—in his seeing that a </w:t>
      </w:r>
      <w:r>
        <w:rPr>
          <w:i/>
        </w:rPr>
        <w:t xml:space="preserve">sentence’s </w:t>
      </w:r>
      <w:r>
        <w:t>surface structure sometimes</w:t>
      </w:r>
      <w:r>
        <w:rPr>
          <w:spacing w:val="36"/>
        </w:rPr>
        <w:t xml:space="preserve"> </w:t>
      </w:r>
      <w:r>
        <w:t>pulled</w:t>
      </w:r>
      <w:r>
        <w:rPr>
          <w:spacing w:val="37"/>
        </w:rPr>
        <w:t xml:space="preserve"> </w:t>
      </w:r>
      <w:r>
        <w:t>part</w:t>
      </w:r>
      <w:r>
        <w:rPr>
          <w:spacing w:val="36"/>
        </w:rPr>
        <w:t xml:space="preserve"> </w:t>
      </w:r>
      <w:r>
        <w:t>from</w:t>
      </w:r>
      <w:r>
        <w:rPr>
          <w:spacing w:val="36"/>
        </w:rPr>
        <w:t xml:space="preserve"> </w:t>
      </w:r>
      <w:r>
        <w:t>its</w:t>
      </w:r>
      <w:r>
        <w:rPr>
          <w:spacing w:val="37"/>
        </w:rPr>
        <w:t xml:space="preserve"> </w:t>
      </w:r>
      <w:r>
        <w:t>deep</w:t>
      </w:r>
      <w:r>
        <w:rPr>
          <w:spacing w:val="37"/>
        </w:rPr>
        <w:t xml:space="preserve"> </w:t>
      </w:r>
      <w:r>
        <w:t>structure?</w:t>
      </w:r>
      <w:r>
        <w:rPr>
          <w:spacing w:val="36"/>
        </w:rPr>
        <w:t xml:space="preserve"> </w:t>
      </w:r>
      <w:r>
        <w:t>And</w:t>
      </w:r>
      <w:r>
        <w:rPr>
          <w:spacing w:val="37"/>
        </w:rPr>
        <w:t xml:space="preserve"> </w:t>
      </w:r>
      <w:r>
        <w:t>didn’t</w:t>
      </w:r>
      <w:r>
        <w:rPr>
          <w:spacing w:val="36"/>
        </w:rPr>
        <w:t xml:space="preserve"> </w:t>
      </w:r>
      <w:r>
        <w:t>we</w:t>
      </w:r>
      <w:r>
        <w:rPr>
          <w:spacing w:val="37"/>
        </w:rPr>
        <w:t xml:space="preserve"> </w:t>
      </w:r>
      <w:r>
        <w:t>say</w:t>
      </w:r>
      <w:r>
        <w:rPr>
          <w:spacing w:val="37"/>
        </w:rPr>
        <w:t xml:space="preserve"> </w:t>
      </w:r>
      <w:r>
        <w:t>that,</w:t>
      </w:r>
      <w:r>
        <w:rPr>
          <w:spacing w:val="37"/>
        </w:rPr>
        <w:t xml:space="preserve"> </w:t>
      </w:r>
      <w:r>
        <w:t>for</w:t>
      </w:r>
    </w:p>
    <w:p w14:paraId="7E00076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62" w14:textId="77777777" w:rsidR="009A58DB" w:rsidRDefault="00000000">
      <w:pPr>
        <w:pStyle w:val="BodyText"/>
        <w:spacing w:before="60" w:line="249" w:lineRule="auto"/>
        <w:ind w:right="359"/>
      </w:pPr>
      <w:r>
        <w:lastRenderedPageBreak/>
        <w:t xml:space="preserve">this very reason, Frege was the first </w:t>
      </w:r>
      <w:r>
        <w:rPr>
          <w:i/>
        </w:rPr>
        <w:t xml:space="preserve">analytic </w:t>
      </w:r>
      <w:r>
        <w:t xml:space="preserve">philosopher—that, as Michael Dummett put it, analytic philosophy is post- Fregean philosophy, the reason being that analytic philosophy is </w:t>
      </w:r>
      <w:r>
        <w:rPr>
          <w:i/>
        </w:rPr>
        <w:t>statement</w:t>
      </w:r>
      <w:r>
        <w:t xml:space="preserve">-analysis? Yes, we did say all this. And yet we just spent a lot of time saying how analytic philosophy is “statement-analysis” </w:t>
      </w:r>
      <w:r>
        <w:rPr>
          <w:i/>
        </w:rPr>
        <w:t xml:space="preserve">only </w:t>
      </w:r>
      <w:r>
        <w:t>in the sense of being statement-</w:t>
      </w:r>
      <w:r>
        <w:rPr>
          <w:i/>
        </w:rPr>
        <w:t>meaning</w:t>
      </w:r>
      <w:r>
        <w:t xml:space="preserve">-analysis; that is, proposition-analysis, as opposed to </w:t>
      </w:r>
      <w:r>
        <w:rPr>
          <w:i/>
        </w:rPr>
        <w:t>sentence</w:t>
      </w:r>
      <w:r>
        <w:t>-analysis. How are we to reconcile those various statements with one another?</w:t>
      </w:r>
    </w:p>
    <w:p w14:paraId="7E000763" w14:textId="77777777" w:rsidR="009A58DB" w:rsidRDefault="00000000">
      <w:pPr>
        <w:spacing w:before="13" w:line="249" w:lineRule="auto"/>
        <w:ind w:left="360" w:right="358" w:firstLine="360"/>
        <w:jc w:val="both"/>
        <w:rPr>
          <w:b/>
          <w:position w:val="21"/>
          <w:sz w:val="30"/>
        </w:rPr>
      </w:pPr>
      <w:r>
        <w:rPr>
          <w:sz w:val="30"/>
        </w:rPr>
        <w:t xml:space="preserve">The term “analytic philosophy” can be construed narrowly or broadly. Construed narrowly, analytic philosophy is post-Fregean philosophy in the sense that it directly flows out of Frege’s work. Frege was interested in </w:t>
      </w:r>
      <w:r>
        <w:rPr>
          <w:b/>
          <w:i/>
          <w:sz w:val="30"/>
        </w:rPr>
        <w:t xml:space="preserve">reference, quantification, </w:t>
      </w:r>
      <w:r>
        <w:rPr>
          <w:sz w:val="30"/>
        </w:rPr>
        <w:t xml:space="preserve">the nature of </w:t>
      </w:r>
      <w:r>
        <w:rPr>
          <w:b/>
          <w:i/>
          <w:sz w:val="30"/>
        </w:rPr>
        <w:t xml:space="preserve">logical truth, </w:t>
      </w:r>
      <w:r>
        <w:rPr>
          <w:sz w:val="30"/>
        </w:rPr>
        <w:t xml:space="preserve">the extent to which it’s possible to </w:t>
      </w:r>
      <w:r>
        <w:rPr>
          <w:b/>
          <w:i/>
          <w:sz w:val="30"/>
        </w:rPr>
        <w:t xml:space="preserve">formalize </w:t>
      </w:r>
      <w:r>
        <w:rPr>
          <w:sz w:val="30"/>
        </w:rPr>
        <w:t xml:space="preserve">intuitively valid inferences, etc. (These terms will be defined soon enough, if they haven’t been already.) The term “analytic philosophy” sometimes refers to what is done by those people who write </w:t>
      </w:r>
      <w:r>
        <w:rPr>
          <w:i/>
          <w:sz w:val="30"/>
        </w:rPr>
        <w:t xml:space="preserve">about those very questions </w:t>
      </w:r>
      <w:r>
        <w:rPr>
          <w:sz w:val="30"/>
        </w:rPr>
        <w:t xml:space="preserve">and who, in so doing, </w:t>
      </w:r>
      <w:r>
        <w:rPr>
          <w:i/>
          <w:sz w:val="30"/>
        </w:rPr>
        <w:t xml:space="preserve">are taking what Frege had to say about them into account. </w:t>
      </w:r>
      <w:r>
        <w:rPr>
          <w:sz w:val="30"/>
        </w:rPr>
        <w:t xml:space="preserve">In other words, “analytic philosophy” sometimes refers to the </w:t>
      </w:r>
      <w:r>
        <w:rPr>
          <w:b/>
          <w:i/>
          <w:sz w:val="30"/>
        </w:rPr>
        <w:t xml:space="preserve">philosophy of language, </w:t>
      </w:r>
      <w:r>
        <w:rPr>
          <w:sz w:val="30"/>
        </w:rPr>
        <w:t xml:space="preserve">along with a related branch of philosophy, known as </w:t>
      </w:r>
      <w:r>
        <w:rPr>
          <w:b/>
          <w:i/>
          <w:sz w:val="30"/>
        </w:rPr>
        <w:t>philosophical logic</w:t>
      </w:r>
      <w:bookmarkStart w:id="38" w:name="_bookmark38"/>
      <w:bookmarkEnd w:id="38"/>
      <w:r>
        <w:rPr>
          <w:b/>
          <w:i/>
          <w:sz w:val="30"/>
        </w:rPr>
        <w:t>.</w:t>
      </w:r>
      <w:r>
        <w:rPr>
          <w:b/>
          <w:color w:val="0562C1"/>
          <w:position w:val="21"/>
          <w:sz w:val="30"/>
          <w:u w:val="single" w:color="0562C1"/>
        </w:rPr>
        <w:t>[35]</w:t>
      </w:r>
    </w:p>
    <w:p w14:paraId="7E000764" w14:textId="77777777" w:rsidR="009A58DB" w:rsidRDefault="00000000">
      <w:pPr>
        <w:pStyle w:val="BodyText"/>
        <w:spacing w:before="14" w:line="249" w:lineRule="auto"/>
        <w:ind w:right="358" w:firstLine="360"/>
      </w:pPr>
      <w:r>
        <w:t>But Frege’s work had a profound influence on philosophers who were working in areas that have no direct connection to language or logic. Frege showed that, by thinking clearly, systematically, and self-critically, one could make real headway on philosophical problems in which others had yet to make so much as a dent, despite hundreds of years of trying. “The devil is in the details,” as they say. Pre-Fregean philosophers tended to disregard the details. Frege did not. He was a stickler for them. And it was partly, though obviously not entirely, for this reason that he was able to solve problems that his predecessors could not. The word “analytic philosopher” sometimes</w:t>
      </w:r>
      <w:r>
        <w:rPr>
          <w:spacing w:val="40"/>
        </w:rPr>
        <w:t xml:space="preserve"> </w:t>
      </w:r>
      <w:r>
        <w:t>refers to the sort of philosophy done by people who aspire to approach philosophical problems in the same careful and clear-headed way as Frege.</w:t>
      </w:r>
    </w:p>
    <w:p w14:paraId="7E000765" w14:textId="77777777" w:rsidR="009A58DB" w:rsidRDefault="00000000">
      <w:pPr>
        <w:pStyle w:val="BodyText"/>
        <w:spacing w:before="13" w:line="249" w:lineRule="auto"/>
        <w:ind w:right="363" w:firstLine="360"/>
      </w:pPr>
      <w:r>
        <w:t>Thus, there are analytic philosophers of law, analytic ethicists, analytic philosophers of religion, etc. What makes them analytic philosophers isn’t that they’re talking about language or logic or any of the things that Frege talked about. It’s that they believe the problems they’re concerned with to be solved</w:t>
      </w:r>
      <w:r>
        <w:rPr>
          <w:spacing w:val="77"/>
        </w:rPr>
        <w:t xml:space="preserve"> </w:t>
      </w:r>
      <w:r>
        <w:t>in</w:t>
      </w:r>
      <w:r>
        <w:rPr>
          <w:spacing w:val="78"/>
        </w:rPr>
        <w:t xml:space="preserve"> </w:t>
      </w:r>
      <w:r>
        <w:t>the</w:t>
      </w:r>
      <w:r>
        <w:rPr>
          <w:spacing w:val="77"/>
        </w:rPr>
        <w:t xml:space="preserve"> </w:t>
      </w:r>
      <w:r>
        <w:t>same</w:t>
      </w:r>
      <w:r>
        <w:rPr>
          <w:spacing w:val="78"/>
        </w:rPr>
        <w:t xml:space="preserve"> </w:t>
      </w:r>
      <w:r>
        <w:t>coolheaded,</w:t>
      </w:r>
      <w:r>
        <w:rPr>
          <w:spacing w:val="78"/>
        </w:rPr>
        <w:t xml:space="preserve"> </w:t>
      </w:r>
      <w:r>
        <w:t>logical</w:t>
      </w:r>
      <w:r>
        <w:rPr>
          <w:spacing w:val="77"/>
        </w:rPr>
        <w:t xml:space="preserve"> </w:t>
      </w:r>
      <w:r>
        <w:t>way</w:t>
      </w:r>
      <w:r>
        <w:rPr>
          <w:spacing w:val="78"/>
        </w:rPr>
        <w:t xml:space="preserve"> </w:t>
      </w:r>
      <w:r>
        <w:t>that</w:t>
      </w:r>
      <w:r>
        <w:rPr>
          <w:spacing w:val="77"/>
        </w:rPr>
        <w:t xml:space="preserve"> </w:t>
      </w:r>
      <w:r>
        <w:t>Frege</w:t>
      </w:r>
      <w:r>
        <w:rPr>
          <w:spacing w:val="78"/>
        </w:rPr>
        <w:t xml:space="preserve"> </w:t>
      </w:r>
      <w:r>
        <w:t>solved</w:t>
      </w:r>
      <w:r>
        <w:rPr>
          <w:spacing w:val="78"/>
        </w:rPr>
        <w:t xml:space="preserve"> </w:t>
      </w:r>
      <w:r>
        <w:t>problems</w:t>
      </w:r>
    </w:p>
    <w:p w14:paraId="7E00076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67" w14:textId="77777777" w:rsidR="009A58DB" w:rsidRDefault="00000000">
      <w:pPr>
        <w:pStyle w:val="BodyText"/>
        <w:spacing w:before="65"/>
        <w:rPr>
          <w:position w:val="21"/>
        </w:rPr>
      </w:pPr>
      <w:r>
        <w:lastRenderedPageBreak/>
        <w:t>relating</w:t>
      </w:r>
      <w:r>
        <w:rPr>
          <w:spacing w:val="-3"/>
        </w:rPr>
        <w:t xml:space="preserve"> </w:t>
      </w:r>
      <w:r>
        <w:t>to</w:t>
      </w:r>
      <w:r>
        <w:rPr>
          <w:spacing w:val="-3"/>
        </w:rPr>
        <w:t xml:space="preserve"> </w:t>
      </w:r>
      <w:r>
        <w:t>language</w:t>
      </w:r>
      <w:r>
        <w:rPr>
          <w:spacing w:val="-4"/>
        </w:rPr>
        <w:t xml:space="preserve"> </w:t>
      </w:r>
      <w:r>
        <w:t>and</w:t>
      </w:r>
      <w:r>
        <w:rPr>
          <w:spacing w:val="-2"/>
        </w:rPr>
        <w:t xml:space="preserve"> logic</w:t>
      </w:r>
      <w:bookmarkStart w:id="39" w:name="_bookmark39"/>
      <w:bookmarkEnd w:id="39"/>
      <w:r>
        <w:rPr>
          <w:spacing w:val="-2"/>
        </w:rPr>
        <w:t>.</w:t>
      </w:r>
      <w:r>
        <w:rPr>
          <w:color w:val="0562C1"/>
          <w:spacing w:val="-2"/>
          <w:position w:val="21"/>
          <w:u w:val="single" w:color="0562C1"/>
        </w:rPr>
        <w:t>[36]</w:t>
      </w:r>
    </w:p>
    <w:p w14:paraId="7E000768" w14:textId="77777777" w:rsidR="009A58DB" w:rsidRDefault="00000000">
      <w:pPr>
        <w:pStyle w:val="BodyText"/>
        <w:spacing w:before="15" w:line="249" w:lineRule="auto"/>
        <w:ind w:right="359" w:firstLine="360"/>
      </w:pPr>
      <w:r>
        <w:t>But even when taken in the narrow sense, “analytic philosophy” (i.e., philosophical logic/the philosophy of language) is only misleadingly described as the analysis of sentences. Philosophers of language are</w:t>
      </w:r>
      <w:r>
        <w:rPr>
          <w:spacing w:val="40"/>
        </w:rPr>
        <w:t xml:space="preserve"> </w:t>
      </w:r>
      <w:r>
        <w:t>interested in the sentence:</w:t>
      </w:r>
    </w:p>
    <w:p w14:paraId="7E000769" w14:textId="77777777" w:rsidR="009A58DB" w:rsidRDefault="00000000">
      <w:pPr>
        <w:pStyle w:val="BodyText"/>
        <w:spacing w:before="110"/>
        <w:ind w:left="720"/>
      </w:pPr>
      <w:r>
        <w:t>(NS)</w:t>
      </w:r>
      <w:r>
        <w:rPr>
          <w:spacing w:val="-3"/>
        </w:rPr>
        <w:t xml:space="preserve"> </w:t>
      </w:r>
      <w:r>
        <w:t>“nothing</w:t>
      </w:r>
      <w:r>
        <w:rPr>
          <w:spacing w:val="-3"/>
        </w:rPr>
        <w:t xml:space="preserve"> </w:t>
      </w:r>
      <w:r>
        <w:t>is</w:t>
      </w:r>
      <w:r>
        <w:rPr>
          <w:spacing w:val="-3"/>
        </w:rPr>
        <w:t xml:space="preserve"> </w:t>
      </w:r>
      <w:r>
        <w:t>a</w:t>
      </w:r>
      <w:r>
        <w:rPr>
          <w:spacing w:val="-2"/>
        </w:rPr>
        <w:t xml:space="preserve"> </w:t>
      </w:r>
      <w:r>
        <w:t>square</w:t>
      </w:r>
      <w:r>
        <w:rPr>
          <w:spacing w:val="-3"/>
        </w:rPr>
        <w:t xml:space="preserve"> </w:t>
      </w:r>
      <w:r>
        <w:rPr>
          <w:spacing w:val="-2"/>
        </w:rPr>
        <w:t>circle”</w:t>
      </w:r>
    </w:p>
    <w:p w14:paraId="7E00076A" w14:textId="77777777" w:rsidR="009A58DB" w:rsidRDefault="00000000">
      <w:pPr>
        <w:pStyle w:val="BodyText"/>
        <w:spacing w:before="105" w:line="249" w:lineRule="auto"/>
        <w:ind w:right="358"/>
      </w:pPr>
      <w:r>
        <w:rPr>
          <w:i/>
        </w:rPr>
        <w:t>only</w:t>
      </w:r>
      <w:r>
        <w:rPr>
          <w:i/>
          <w:spacing w:val="-4"/>
        </w:rPr>
        <w:t xml:space="preserve"> </w:t>
      </w:r>
      <w:r>
        <w:t xml:space="preserve">to the extent that, by understanding it, they will deepen their insight into concepts of a general kind (e.g., </w:t>
      </w:r>
      <w:r>
        <w:rPr>
          <w:b/>
          <w:i/>
        </w:rPr>
        <w:t>meaning, analytic truth, modality</w:t>
      </w:r>
      <w:r>
        <w:t>). Linguists, on the other hand, are interested in those concepts only to the extent that an understanding of them will help them understand specific sentences, such as NS. Frege did indeed painstakingly analyze specific sentences. But he did so only because he knew that, by so doing, he could identify general logical principles. Thus, for Frege, his insight that logical</w:t>
      </w:r>
      <w:r>
        <w:rPr>
          <w:spacing w:val="40"/>
        </w:rPr>
        <w:t xml:space="preserve"> </w:t>
      </w:r>
      <w:r>
        <w:t xml:space="preserve">and grammatical form pull apart was ultimately just a means to an end, the end being the identification of the actual nature of the bearing- relations that propositions have with respect to one another. So, yes, analytic philosophy is statement-analysis; and, yes, it was Frege’s brilliant analyses of </w:t>
      </w:r>
      <w:r>
        <w:rPr>
          <w:i/>
        </w:rPr>
        <w:t>sentences</w:t>
      </w:r>
      <w:r>
        <w:rPr>
          <w:i/>
          <w:spacing w:val="40"/>
        </w:rPr>
        <w:t xml:space="preserve"> </w:t>
      </w:r>
      <w:r>
        <w:t>that availed philosophers of the principles needed to analyze statements properly. But analytic philosophy, even the narrow sense of the term, is not itself sentential analysis.</w:t>
      </w:r>
    </w:p>
    <w:p w14:paraId="7E00076B" w14:textId="77777777" w:rsidR="009A58DB" w:rsidRDefault="00000000">
      <w:pPr>
        <w:pStyle w:val="Heading1"/>
        <w:numPr>
          <w:ilvl w:val="2"/>
          <w:numId w:val="227"/>
        </w:numPr>
        <w:tabs>
          <w:tab w:val="left" w:pos="1080"/>
          <w:tab w:val="left" w:pos="1860"/>
        </w:tabs>
        <w:spacing w:before="220" w:line="244" w:lineRule="auto"/>
        <w:ind w:left="1080" w:right="359" w:hanging="720"/>
        <w:jc w:val="both"/>
      </w:pPr>
      <w:r>
        <w:t xml:space="preserve">Not all philosophical analysis linguistic analysis (continued): Wittgenstein—an </w:t>
      </w:r>
      <w:r>
        <w:rPr>
          <w:spacing w:val="-2"/>
        </w:rPr>
        <w:t>introduction</w:t>
      </w:r>
    </w:p>
    <w:p w14:paraId="7E00076C" w14:textId="77777777" w:rsidR="009A58DB" w:rsidRDefault="00000000">
      <w:pPr>
        <w:pStyle w:val="BodyText"/>
        <w:spacing w:before="134" w:line="249" w:lineRule="auto"/>
        <w:ind w:right="359"/>
      </w:pPr>
      <w:r>
        <w:t>Wittgenstein’s</w:t>
      </w:r>
      <w:r>
        <w:rPr>
          <w:spacing w:val="-3"/>
        </w:rPr>
        <w:t xml:space="preserve"> </w:t>
      </w:r>
      <w:r>
        <w:t>two</w:t>
      </w:r>
      <w:r>
        <w:rPr>
          <w:spacing w:val="-3"/>
        </w:rPr>
        <w:t xml:space="preserve"> </w:t>
      </w:r>
      <w:r>
        <w:t>best-known</w:t>
      </w:r>
      <w:r>
        <w:rPr>
          <w:spacing w:val="-3"/>
        </w:rPr>
        <w:t xml:space="preserve"> </w:t>
      </w:r>
      <w:r>
        <w:t>works</w:t>
      </w:r>
      <w:r>
        <w:rPr>
          <w:spacing w:val="-3"/>
        </w:rPr>
        <w:t xml:space="preserve"> </w:t>
      </w:r>
      <w:r>
        <w:t>are</w:t>
      </w:r>
      <w:r>
        <w:rPr>
          <w:spacing w:val="-3"/>
        </w:rPr>
        <w:t xml:space="preserve"> </w:t>
      </w:r>
      <w:r>
        <w:t>the</w:t>
      </w:r>
      <w:r>
        <w:rPr>
          <w:spacing w:val="-3"/>
        </w:rPr>
        <w:t xml:space="preserve"> </w:t>
      </w:r>
      <w:r>
        <w:rPr>
          <w:i/>
        </w:rPr>
        <w:t>Tractatus</w:t>
      </w:r>
      <w:r>
        <w:rPr>
          <w:i/>
          <w:spacing w:val="-6"/>
        </w:rPr>
        <w:t xml:space="preserve"> </w:t>
      </w:r>
      <w:r>
        <w:rPr>
          <w:i/>
        </w:rPr>
        <w:t xml:space="preserve">Logico-philosophicus </w:t>
      </w:r>
      <w:r>
        <w:t xml:space="preserve">(TLP), which he completed in 1921, and the </w:t>
      </w:r>
      <w:r>
        <w:rPr>
          <w:i/>
        </w:rPr>
        <w:t xml:space="preserve">Philosophical Investigations, </w:t>
      </w:r>
      <w:r>
        <w:t>which he completed in 1949. In many ways, these works are antithetical to each other. But in both of them, Wittgenstein insists that that philosophical problems arise when, and only when, sentences are misused and are solved when, and only when, it is made clear how they are being misused.</w:t>
      </w:r>
    </w:p>
    <w:p w14:paraId="7E00076D" w14:textId="77777777" w:rsidR="009A58DB" w:rsidRDefault="00000000">
      <w:pPr>
        <w:pStyle w:val="BodyText"/>
        <w:spacing w:before="7" w:line="249" w:lineRule="auto"/>
        <w:ind w:right="365" w:firstLine="360"/>
      </w:pPr>
      <w:r>
        <w:t>In the TLP, Wittgenstein contends that all philosophical problems result from a failure to understand the syntactic rules of the languages we use. Sentences</w:t>
      </w:r>
      <w:r>
        <w:rPr>
          <w:spacing w:val="31"/>
        </w:rPr>
        <w:t xml:space="preserve"> </w:t>
      </w:r>
      <w:r>
        <w:t>that</w:t>
      </w:r>
      <w:r>
        <w:rPr>
          <w:spacing w:val="31"/>
        </w:rPr>
        <w:t xml:space="preserve"> </w:t>
      </w:r>
      <w:r>
        <w:t>would,</w:t>
      </w:r>
      <w:r>
        <w:rPr>
          <w:spacing w:val="31"/>
        </w:rPr>
        <w:t xml:space="preserve"> </w:t>
      </w:r>
      <w:r>
        <w:t>if</w:t>
      </w:r>
      <w:r>
        <w:rPr>
          <w:spacing w:val="31"/>
        </w:rPr>
        <w:t xml:space="preserve"> </w:t>
      </w:r>
      <w:r>
        <w:t>meaningful,</w:t>
      </w:r>
      <w:r>
        <w:rPr>
          <w:spacing w:val="31"/>
        </w:rPr>
        <w:t xml:space="preserve"> </w:t>
      </w:r>
      <w:r>
        <w:t>express</w:t>
      </w:r>
      <w:r>
        <w:rPr>
          <w:spacing w:val="31"/>
        </w:rPr>
        <w:t xml:space="preserve"> </w:t>
      </w:r>
      <w:r>
        <w:t>philosophical</w:t>
      </w:r>
      <w:r>
        <w:rPr>
          <w:spacing w:val="31"/>
        </w:rPr>
        <w:t xml:space="preserve"> </w:t>
      </w:r>
      <w:r>
        <w:t>propositions</w:t>
      </w:r>
      <w:r>
        <w:rPr>
          <w:spacing w:val="31"/>
        </w:rPr>
        <w:t xml:space="preserve"> </w:t>
      </w:r>
      <w:r>
        <w:t>are</w:t>
      </w:r>
    </w:p>
    <w:p w14:paraId="7E00076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6F" w14:textId="77777777" w:rsidR="009A58DB" w:rsidRDefault="00000000">
      <w:pPr>
        <w:pStyle w:val="BodyText"/>
        <w:spacing w:before="70" w:line="249" w:lineRule="auto"/>
        <w:ind w:right="358"/>
      </w:pPr>
      <w:r>
        <w:lastRenderedPageBreak/>
        <w:t xml:space="preserve">in all cases ungrammatical nonsense and thus fail to say anything. All such sentences violate the </w:t>
      </w:r>
      <w:r>
        <w:rPr>
          <w:b/>
          <w:i/>
        </w:rPr>
        <w:t xml:space="preserve">syntactic rules </w:t>
      </w:r>
      <w:r>
        <w:t>of the languages to which they belong. (For the time being, “syntactic” may be taken to be synonymous with “grammatical.” See Chapter 4, Section 3.3 for a definition of “syntax.”) Because</w:t>
      </w:r>
      <w:r>
        <w:rPr>
          <w:spacing w:val="-2"/>
        </w:rPr>
        <w:t xml:space="preserve"> </w:t>
      </w:r>
      <w:r>
        <w:t>they</w:t>
      </w:r>
      <w:r>
        <w:rPr>
          <w:spacing w:val="-2"/>
        </w:rPr>
        <w:t xml:space="preserve"> </w:t>
      </w:r>
      <w:r>
        <w:t>violate</w:t>
      </w:r>
      <w:r>
        <w:rPr>
          <w:spacing w:val="-2"/>
        </w:rPr>
        <w:t xml:space="preserve"> </w:t>
      </w:r>
      <w:r>
        <w:t>these</w:t>
      </w:r>
      <w:r>
        <w:rPr>
          <w:spacing w:val="-2"/>
        </w:rPr>
        <w:t xml:space="preserve"> </w:t>
      </w:r>
      <w:r>
        <w:t>rules</w:t>
      </w:r>
      <w:r>
        <w:rPr>
          <w:spacing w:val="-2"/>
        </w:rPr>
        <w:t xml:space="preserve"> </w:t>
      </w:r>
      <w:r>
        <w:t>in</w:t>
      </w:r>
      <w:r>
        <w:rPr>
          <w:spacing w:val="-2"/>
        </w:rPr>
        <w:t xml:space="preserve"> </w:t>
      </w:r>
      <w:r>
        <w:t>subtle,</w:t>
      </w:r>
      <w:r>
        <w:rPr>
          <w:spacing w:val="-2"/>
        </w:rPr>
        <w:t xml:space="preserve"> </w:t>
      </w:r>
      <w:r>
        <w:t>easily</w:t>
      </w:r>
      <w:r>
        <w:rPr>
          <w:spacing w:val="-2"/>
        </w:rPr>
        <w:t xml:space="preserve"> </w:t>
      </w:r>
      <w:r>
        <w:t>overlooked</w:t>
      </w:r>
      <w:r>
        <w:rPr>
          <w:spacing w:val="-2"/>
        </w:rPr>
        <w:t xml:space="preserve"> </w:t>
      </w:r>
      <w:r>
        <w:t>ways,</w:t>
      </w:r>
      <w:r>
        <w:rPr>
          <w:spacing w:val="-2"/>
        </w:rPr>
        <w:t xml:space="preserve"> </w:t>
      </w:r>
      <w:r>
        <w:t>they</w:t>
      </w:r>
      <w:r>
        <w:rPr>
          <w:spacing w:val="-2"/>
        </w:rPr>
        <w:t xml:space="preserve"> </w:t>
      </w:r>
      <w:r>
        <w:t>aren’t always seen for the abject nonsense that they are. But we mustn’t let the appearances deceive us. All such sentences are syntactically ill-formed and therefore devoid of meaning, and there would be no philosophical problems</w:t>
      </w:r>
      <w:r>
        <w:rPr>
          <w:spacing w:val="40"/>
        </w:rPr>
        <w:t xml:space="preserve"> </w:t>
      </w:r>
      <w:r>
        <w:t xml:space="preserve">if people fully understood the syntactic rules of the languages they spoke. So far as philosophy has any legitimate function, it is to identify these rules, thereby heading off the syntactic blunders that lead to philosophical </w:t>
      </w:r>
      <w:r>
        <w:rPr>
          <w:spacing w:val="-2"/>
        </w:rPr>
        <w:t>puzzlement.</w:t>
      </w:r>
    </w:p>
    <w:p w14:paraId="7E000770" w14:textId="77777777" w:rsidR="009A58DB" w:rsidRDefault="00000000">
      <w:pPr>
        <w:pStyle w:val="BodyText"/>
        <w:spacing w:before="9" w:line="249" w:lineRule="auto"/>
        <w:ind w:right="359" w:firstLine="360"/>
      </w:pPr>
      <w:r>
        <w:t xml:space="preserve">In the </w:t>
      </w:r>
      <w:r>
        <w:rPr>
          <w:i/>
        </w:rPr>
        <w:t xml:space="preserve">Philosophical Investigations, </w:t>
      </w:r>
      <w:r>
        <w:t xml:space="preserve">Wittgenstein says, just as he does in the TLP, that philosophical problems arise when language is misused. But in the </w:t>
      </w:r>
      <w:r>
        <w:rPr>
          <w:i/>
        </w:rPr>
        <w:t xml:space="preserve">Investigations, </w:t>
      </w:r>
      <w:r>
        <w:t>he denies that such misuses involve violations of hidden syntactic rules, and instead says that such misuses consist exclusively in</w:t>
      </w:r>
      <w:r>
        <w:rPr>
          <w:spacing w:val="40"/>
        </w:rPr>
        <w:t xml:space="preserve"> </w:t>
      </w:r>
      <w:r>
        <w:t xml:space="preserve">one’s using words in ways in which they are not </w:t>
      </w:r>
      <w:r>
        <w:rPr>
          <w:i/>
        </w:rPr>
        <w:t xml:space="preserve">ordinarily </w:t>
      </w:r>
      <w:r>
        <w:t>used. Thus, Wittgenstein’s</w:t>
      </w:r>
      <w:r>
        <w:rPr>
          <w:spacing w:val="-5"/>
        </w:rPr>
        <w:t xml:space="preserve"> </w:t>
      </w:r>
      <w:r>
        <w:t>position</w:t>
      </w:r>
      <w:r>
        <w:rPr>
          <w:spacing w:val="-4"/>
        </w:rPr>
        <w:t xml:space="preserve"> </w:t>
      </w:r>
      <w:r>
        <w:t>in</w:t>
      </w:r>
      <w:r>
        <w:rPr>
          <w:spacing w:val="-4"/>
        </w:rPr>
        <w:t xml:space="preserve"> </w:t>
      </w:r>
      <w:r>
        <w:t>the</w:t>
      </w:r>
      <w:r>
        <w:rPr>
          <w:spacing w:val="-5"/>
        </w:rPr>
        <w:t xml:space="preserve"> </w:t>
      </w:r>
      <w:r>
        <w:rPr>
          <w:i/>
        </w:rPr>
        <w:t>Investigations</w:t>
      </w:r>
      <w:r>
        <w:rPr>
          <w:i/>
          <w:spacing w:val="-5"/>
        </w:rPr>
        <w:t xml:space="preserve"> </w:t>
      </w:r>
      <w:r>
        <w:t>is</w:t>
      </w:r>
      <w:r>
        <w:rPr>
          <w:spacing w:val="-5"/>
        </w:rPr>
        <w:t xml:space="preserve"> </w:t>
      </w:r>
      <w:r>
        <w:t>that</w:t>
      </w:r>
      <w:r>
        <w:rPr>
          <w:spacing w:val="-5"/>
        </w:rPr>
        <w:t xml:space="preserve"> </w:t>
      </w:r>
      <w:r>
        <w:t>all</w:t>
      </w:r>
      <w:r>
        <w:rPr>
          <w:spacing w:val="-5"/>
        </w:rPr>
        <w:t xml:space="preserve"> </w:t>
      </w:r>
      <w:r>
        <w:t>philosophical</w:t>
      </w:r>
      <w:r>
        <w:rPr>
          <w:spacing w:val="-5"/>
        </w:rPr>
        <w:t xml:space="preserve"> </w:t>
      </w:r>
      <w:r>
        <w:t xml:space="preserve">problems can be quickly and definitively solved by looking at how words are </w:t>
      </w:r>
      <w:r>
        <w:rPr>
          <w:i/>
        </w:rPr>
        <w:t xml:space="preserve">actually </w:t>
      </w:r>
      <w:r>
        <w:t>used and, on the basis of the knowledge thereby obtained, ceasing to use words</w:t>
      </w:r>
      <w:r>
        <w:rPr>
          <w:spacing w:val="-1"/>
        </w:rPr>
        <w:t xml:space="preserve"> </w:t>
      </w:r>
      <w:r>
        <w:t>in</w:t>
      </w:r>
      <w:r>
        <w:rPr>
          <w:spacing w:val="-1"/>
        </w:rPr>
        <w:t xml:space="preserve"> </w:t>
      </w:r>
      <w:r>
        <w:t>deviant</w:t>
      </w:r>
      <w:r>
        <w:rPr>
          <w:spacing w:val="-1"/>
        </w:rPr>
        <w:t xml:space="preserve"> </w:t>
      </w:r>
      <w:r>
        <w:t>ways.</w:t>
      </w:r>
      <w:r>
        <w:rPr>
          <w:spacing w:val="-1"/>
        </w:rPr>
        <w:t xml:space="preserve"> </w:t>
      </w:r>
      <w:r>
        <w:t>What</w:t>
      </w:r>
      <w:r>
        <w:rPr>
          <w:spacing w:val="-1"/>
        </w:rPr>
        <w:t xml:space="preserve"> </w:t>
      </w:r>
      <w:r>
        <w:t>we</w:t>
      </w:r>
      <w:r>
        <w:rPr>
          <w:spacing w:val="-1"/>
        </w:rPr>
        <w:t xml:space="preserve"> </w:t>
      </w:r>
      <w:r>
        <w:t>think</w:t>
      </w:r>
      <w:r>
        <w:rPr>
          <w:spacing w:val="-1"/>
        </w:rPr>
        <w:t xml:space="preserve"> </w:t>
      </w:r>
      <w:r>
        <w:t>of</w:t>
      </w:r>
      <w:r>
        <w:rPr>
          <w:spacing w:val="-1"/>
        </w:rPr>
        <w:t xml:space="preserve"> </w:t>
      </w:r>
      <w:r>
        <w:t>as</w:t>
      </w:r>
      <w:r>
        <w:rPr>
          <w:spacing w:val="-1"/>
        </w:rPr>
        <w:t xml:space="preserve"> </w:t>
      </w:r>
      <w:r>
        <w:t>philosophical</w:t>
      </w:r>
      <w:r>
        <w:rPr>
          <w:spacing w:val="-1"/>
        </w:rPr>
        <w:t xml:space="preserve"> </w:t>
      </w:r>
      <w:r>
        <w:t>puzzles</w:t>
      </w:r>
      <w:r>
        <w:rPr>
          <w:spacing w:val="-1"/>
        </w:rPr>
        <w:t xml:space="preserve"> </w:t>
      </w:r>
      <w:r>
        <w:t>concerning knowledge, logic, and morality are puzzles about the words “knowledge,” “logic”, and “morality.” Those puzzles are created by our using those words in non-standard ways, and they’re solved by our ceasing to do so.</w:t>
      </w:r>
    </w:p>
    <w:p w14:paraId="7E000771" w14:textId="77777777" w:rsidR="009A58DB" w:rsidRDefault="00000000">
      <w:pPr>
        <w:pStyle w:val="Heading1"/>
        <w:numPr>
          <w:ilvl w:val="2"/>
          <w:numId w:val="227"/>
        </w:numPr>
        <w:tabs>
          <w:tab w:val="left" w:pos="1409"/>
        </w:tabs>
        <w:ind w:left="1409" w:hanging="1049"/>
      </w:pPr>
      <w:r>
        <w:t>Is</w:t>
      </w:r>
      <w:r>
        <w:rPr>
          <w:spacing w:val="-5"/>
        </w:rPr>
        <w:t xml:space="preserve"> </w:t>
      </w:r>
      <w:r>
        <w:t>meaning</w:t>
      </w:r>
      <w:r>
        <w:rPr>
          <w:spacing w:val="-5"/>
        </w:rPr>
        <w:t xml:space="preserve"> </w:t>
      </w:r>
      <w:r>
        <w:t>identical</w:t>
      </w:r>
      <w:r>
        <w:rPr>
          <w:spacing w:val="-4"/>
        </w:rPr>
        <w:t xml:space="preserve"> </w:t>
      </w:r>
      <w:r>
        <w:t>with</w:t>
      </w:r>
      <w:r>
        <w:rPr>
          <w:spacing w:val="-5"/>
        </w:rPr>
        <w:t xml:space="preserve"> </w:t>
      </w:r>
      <w:r>
        <w:rPr>
          <w:spacing w:val="-4"/>
        </w:rPr>
        <w:t>use?</w:t>
      </w:r>
    </w:p>
    <w:p w14:paraId="7E000772" w14:textId="77777777" w:rsidR="009A58DB" w:rsidRDefault="00000000">
      <w:pPr>
        <w:pStyle w:val="BodyText"/>
        <w:spacing w:before="139" w:line="249" w:lineRule="auto"/>
        <w:ind w:right="359"/>
      </w:pPr>
      <w:r>
        <w:t>In a moment, we’ll evaluate Wittgenstein’s (1922) contention that all philosophical statements are ungrammatical nonsense. Right now, let us consider Wittgenstein’s (1958) contention that philosophical puzzles are dissolved by looking at how words are used.</w:t>
      </w:r>
    </w:p>
    <w:p w14:paraId="7E000773" w14:textId="77777777" w:rsidR="009A58DB" w:rsidRDefault="00000000">
      <w:pPr>
        <w:pStyle w:val="BodyText"/>
        <w:spacing w:before="5" w:line="249" w:lineRule="auto"/>
        <w:ind w:right="361" w:firstLine="360"/>
      </w:pPr>
      <w:r>
        <w:t>This contention is incoherent on many levels. Given only the acoustical and morphological properties of its spoken and written occurrences, the word “knowledge” could mean anything</w:t>
      </w:r>
      <w:bookmarkStart w:id="40" w:name="_bookmark40"/>
      <w:bookmarkEnd w:id="40"/>
      <w:r>
        <w:t>.</w:t>
      </w:r>
      <w:r>
        <w:rPr>
          <w:color w:val="0562C1"/>
          <w:position w:val="21"/>
          <w:u w:val="single" w:color="0562C1"/>
        </w:rPr>
        <w:t>[37]</w:t>
      </w:r>
      <w:r>
        <w:rPr>
          <w:color w:val="0562C1"/>
          <w:position w:val="21"/>
        </w:rPr>
        <w:t xml:space="preserve"> </w:t>
      </w:r>
      <w:r>
        <w:t>So, supposing that it’s the concept of knowledge that we wish to learn about, we can’t possibly know that the word “knowledge”</w:t>
      </w:r>
      <w:r>
        <w:rPr>
          <w:spacing w:val="14"/>
        </w:rPr>
        <w:t xml:space="preserve"> </w:t>
      </w:r>
      <w:r>
        <w:t>is</w:t>
      </w:r>
      <w:r>
        <w:rPr>
          <w:spacing w:val="17"/>
        </w:rPr>
        <w:t xml:space="preserve"> </w:t>
      </w:r>
      <w:r>
        <w:t>the</w:t>
      </w:r>
      <w:r>
        <w:rPr>
          <w:spacing w:val="17"/>
        </w:rPr>
        <w:t xml:space="preserve"> </w:t>
      </w:r>
      <w:r>
        <w:t>right</w:t>
      </w:r>
      <w:r>
        <w:rPr>
          <w:spacing w:val="17"/>
        </w:rPr>
        <w:t xml:space="preserve"> </w:t>
      </w:r>
      <w:r>
        <w:t>word</w:t>
      </w:r>
      <w:r>
        <w:rPr>
          <w:spacing w:val="17"/>
        </w:rPr>
        <w:t xml:space="preserve"> </w:t>
      </w:r>
      <w:r>
        <w:t>to</w:t>
      </w:r>
      <w:r>
        <w:rPr>
          <w:spacing w:val="17"/>
        </w:rPr>
        <w:t xml:space="preserve"> </w:t>
      </w:r>
      <w:r>
        <w:t>study</w:t>
      </w:r>
      <w:r>
        <w:rPr>
          <w:spacing w:val="17"/>
        </w:rPr>
        <w:t xml:space="preserve"> </w:t>
      </w:r>
      <w:r>
        <w:rPr>
          <w:i/>
        </w:rPr>
        <w:t>unless</w:t>
      </w:r>
      <w:r>
        <w:rPr>
          <w:i/>
          <w:spacing w:val="12"/>
        </w:rPr>
        <w:t xml:space="preserve"> </w:t>
      </w:r>
      <w:r>
        <w:t>we</w:t>
      </w:r>
      <w:r>
        <w:rPr>
          <w:spacing w:val="21"/>
        </w:rPr>
        <w:t xml:space="preserve"> </w:t>
      </w:r>
      <w:r>
        <w:t>know</w:t>
      </w:r>
      <w:r>
        <w:rPr>
          <w:spacing w:val="21"/>
        </w:rPr>
        <w:t xml:space="preserve"> </w:t>
      </w:r>
      <w:r>
        <w:t>that</w:t>
      </w:r>
      <w:r>
        <w:rPr>
          <w:spacing w:val="22"/>
        </w:rPr>
        <w:t xml:space="preserve"> </w:t>
      </w:r>
      <w:r>
        <w:t>it</w:t>
      </w:r>
      <w:r>
        <w:rPr>
          <w:spacing w:val="21"/>
        </w:rPr>
        <w:t xml:space="preserve"> </w:t>
      </w:r>
      <w:r>
        <w:t>expresses</w:t>
      </w:r>
      <w:r>
        <w:rPr>
          <w:spacing w:val="22"/>
        </w:rPr>
        <w:t xml:space="preserve"> </w:t>
      </w:r>
      <w:r>
        <w:rPr>
          <w:spacing w:val="-5"/>
        </w:rPr>
        <w:t>the</w:t>
      </w:r>
    </w:p>
    <w:p w14:paraId="7E00077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75" w14:textId="77777777" w:rsidR="009A58DB" w:rsidRDefault="00000000">
      <w:pPr>
        <w:pStyle w:val="BodyText"/>
        <w:spacing w:before="60" w:line="249" w:lineRule="auto"/>
        <w:ind w:right="358"/>
      </w:pPr>
      <w:r>
        <w:lastRenderedPageBreak/>
        <w:t xml:space="preserve">right concept. But we can’t possibly know </w:t>
      </w:r>
      <w:r>
        <w:rPr>
          <w:i/>
        </w:rPr>
        <w:t xml:space="preserve">that </w:t>
      </w:r>
      <w:r>
        <w:t xml:space="preserve">unless we have some way of grasping that concept that doesn’t involve that word. So we can’t even act on Wittgenstein’s exhortation that we study knowledge by studying how people use the word “knowledge” </w:t>
      </w:r>
      <w:r>
        <w:rPr>
          <w:i/>
        </w:rPr>
        <w:t>unless</w:t>
      </w:r>
      <w:r>
        <w:rPr>
          <w:i/>
          <w:spacing w:val="-3"/>
        </w:rPr>
        <w:t xml:space="preserve"> </w:t>
      </w:r>
      <w:r>
        <w:t xml:space="preserve">we have some way of grasping the concept of knowledge that </w:t>
      </w:r>
      <w:r>
        <w:rPr>
          <w:i/>
        </w:rPr>
        <w:t xml:space="preserve">doesn’t </w:t>
      </w:r>
      <w:r>
        <w:t xml:space="preserve">involve that word. But if we don’t need that word to grasp that concept, we don’t need it to it study it; and if we don’t need it to study it, then Wittgenstein is simply wrong to say that one must study how it is used to understand the concept it expresses. Given any expression E and any concept C, an obvious extension of this argument shows that one can’t learn about C by studying E unless one can grasp C, and can therefore examine it, </w:t>
      </w:r>
      <w:r>
        <w:rPr>
          <w:i/>
        </w:rPr>
        <w:t xml:space="preserve">without </w:t>
      </w:r>
      <w:r>
        <w:t>E’s help. Thus, Wittgenstein is simply wrong to contend that one learns about concepts by learning about how the corresponding words are used.</w:t>
      </w:r>
    </w:p>
    <w:p w14:paraId="7E000776" w14:textId="77777777" w:rsidR="009A58DB" w:rsidRDefault="00000000">
      <w:pPr>
        <w:pStyle w:val="BodyText"/>
        <w:spacing w:before="21" w:line="249" w:lineRule="auto"/>
        <w:ind w:right="358" w:firstLine="360"/>
      </w:pPr>
      <w:r>
        <w:t>“But you’ve over-stated what Wittgenstein is claiming,” it will be said. “Contrary to what you allege, he wasn’t saying that concepts are to be</w:t>
      </w:r>
      <w:r>
        <w:rPr>
          <w:spacing w:val="40"/>
        </w:rPr>
        <w:t xml:space="preserve"> </w:t>
      </w:r>
      <w:r>
        <w:t xml:space="preserve">learned about </w:t>
      </w:r>
      <w:r>
        <w:rPr>
          <w:i/>
        </w:rPr>
        <w:t>solely</w:t>
      </w:r>
      <w:r>
        <w:rPr>
          <w:i/>
          <w:spacing w:val="-4"/>
        </w:rPr>
        <w:t xml:space="preserve"> </w:t>
      </w:r>
      <w:r>
        <w:t>by looking at how the corresponding words are typically used. He was saying only that knowledge of expression-usage would be a useful adjunct to some other, more important way of knowing about concepts.” If that’s what Wittgenstein is saying, then he’s conceding everything said the preceding paragraph.</w:t>
      </w:r>
      <w:bookmarkStart w:id="41" w:name="_bookmark41"/>
      <w:bookmarkEnd w:id="41"/>
      <w:r>
        <w:rPr>
          <w:color w:val="0562C1"/>
          <w:position w:val="21"/>
          <w:u w:val="single" w:color="0562C1"/>
        </w:rPr>
        <w:t>[38]</w:t>
      </w:r>
      <w:r>
        <w:rPr>
          <w:color w:val="0562C1"/>
          <w:position w:val="21"/>
        </w:rPr>
        <w:t xml:space="preserve"> </w:t>
      </w:r>
      <w:r>
        <w:t xml:space="preserve">To grant that there is any expression-independent way of grasping concepts is to grant that expression-usage is to be evaluated </w:t>
      </w:r>
      <w:r>
        <w:rPr>
          <w:i/>
        </w:rPr>
        <w:t xml:space="preserve">in light of </w:t>
      </w:r>
      <w:r>
        <w:t xml:space="preserve">the very conceptual knowledge that, according to Wittgenstein’s thesis, one is supposed to acquire </w:t>
      </w:r>
      <w:r>
        <w:rPr>
          <w:i/>
        </w:rPr>
        <w:t xml:space="preserve">through </w:t>
      </w:r>
      <w:r>
        <w:t>the study of expression-usage.</w:t>
      </w:r>
    </w:p>
    <w:p w14:paraId="7E000777" w14:textId="77777777" w:rsidR="009A58DB" w:rsidRDefault="00000000">
      <w:pPr>
        <w:pStyle w:val="BodyText"/>
        <w:spacing w:before="13" w:line="249" w:lineRule="auto"/>
        <w:ind w:right="360" w:firstLine="360"/>
      </w:pPr>
      <w:r>
        <w:t>But there’s a problem with our argument. It assumes that, given a meaningful expression (e.g. “knowledge”), there is some object that is its meaning.</w:t>
      </w:r>
      <w:r>
        <w:rPr>
          <w:spacing w:val="-2"/>
        </w:rPr>
        <w:t xml:space="preserve"> </w:t>
      </w:r>
      <w:r>
        <w:t>Wittgenstein</w:t>
      </w:r>
      <w:r>
        <w:rPr>
          <w:spacing w:val="-2"/>
        </w:rPr>
        <w:t xml:space="preserve"> </w:t>
      </w:r>
      <w:r>
        <w:t>rejects</w:t>
      </w:r>
      <w:r>
        <w:rPr>
          <w:spacing w:val="-2"/>
        </w:rPr>
        <w:t xml:space="preserve"> </w:t>
      </w:r>
      <w:r>
        <w:t>this</w:t>
      </w:r>
      <w:r>
        <w:rPr>
          <w:spacing w:val="-2"/>
        </w:rPr>
        <w:t xml:space="preserve"> </w:t>
      </w:r>
      <w:r>
        <w:t>assumption.</w:t>
      </w:r>
      <w:r>
        <w:rPr>
          <w:spacing w:val="-2"/>
        </w:rPr>
        <w:t xml:space="preserve"> </w:t>
      </w:r>
      <w:r>
        <w:t>He</w:t>
      </w:r>
      <w:r>
        <w:rPr>
          <w:spacing w:val="-2"/>
        </w:rPr>
        <w:t xml:space="preserve"> </w:t>
      </w:r>
      <w:r>
        <w:t>holds</w:t>
      </w:r>
      <w:r>
        <w:rPr>
          <w:spacing w:val="-2"/>
        </w:rPr>
        <w:t xml:space="preserve"> </w:t>
      </w:r>
      <w:r>
        <w:t>that</w:t>
      </w:r>
      <w:r>
        <w:rPr>
          <w:spacing w:val="-2"/>
        </w:rPr>
        <w:t xml:space="preserve"> </w:t>
      </w:r>
      <w:r>
        <w:t>there</w:t>
      </w:r>
      <w:r>
        <w:rPr>
          <w:spacing w:val="-2"/>
        </w:rPr>
        <w:t xml:space="preserve"> </w:t>
      </w:r>
      <w:r>
        <w:t>is</w:t>
      </w:r>
      <w:r>
        <w:rPr>
          <w:spacing w:val="-2"/>
        </w:rPr>
        <w:t xml:space="preserve"> </w:t>
      </w:r>
      <w:r>
        <w:t>no</w:t>
      </w:r>
      <w:r>
        <w:rPr>
          <w:spacing w:val="-2"/>
        </w:rPr>
        <w:t xml:space="preserve"> </w:t>
      </w:r>
      <w:r>
        <w:rPr>
          <w:i/>
        </w:rPr>
        <w:t xml:space="preserve">entity </w:t>
      </w:r>
      <w:r>
        <w:t>that is the meaning of “knowledge.” Wittgenstein’s position is, I quote, that “meaning is use.</w:t>
      </w:r>
      <w:bookmarkStart w:id="42" w:name="_bookmark42"/>
      <w:bookmarkEnd w:id="42"/>
      <w:r>
        <w:t>”</w:t>
      </w:r>
      <w:r>
        <w:rPr>
          <w:color w:val="0562C1"/>
          <w:position w:val="21"/>
          <w:u w:val="single" w:color="0562C1"/>
        </w:rPr>
        <w:t>[39]</w:t>
      </w:r>
      <w:r>
        <w:rPr>
          <w:color w:val="0562C1"/>
          <w:position w:val="21"/>
        </w:rPr>
        <w:t xml:space="preserve"> </w:t>
      </w:r>
      <w:r>
        <w:t xml:space="preserve">In other words, for an expression to have a given meaning is for it to be used in a certain way. An expression’s having a given meaning does </w:t>
      </w:r>
      <w:r>
        <w:rPr>
          <w:i/>
        </w:rPr>
        <w:t xml:space="preserve">not, </w:t>
      </w:r>
      <w:r>
        <w:t>in Wittgenstein’s view, involve there being some entity that is its meaning.</w:t>
      </w:r>
    </w:p>
    <w:p w14:paraId="7E000778" w14:textId="77777777" w:rsidR="009A58DB" w:rsidRDefault="00000000">
      <w:pPr>
        <w:pStyle w:val="BodyText"/>
        <w:spacing w:before="10" w:line="249" w:lineRule="auto"/>
        <w:ind w:right="361" w:firstLine="360"/>
      </w:pPr>
      <w:r>
        <w:t>Before we evaluate this contention, we must make a few facts about it clear.</w:t>
      </w:r>
      <w:r>
        <w:rPr>
          <w:spacing w:val="43"/>
        </w:rPr>
        <w:t xml:space="preserve">  </w:t>
      </w:r>
      <w:r>
        <w:t>Wittgenstein</w:t>
      </w:r>
      <w:r>
        <w:rPr>
          <w:spacing w:val="42"/>
        </w:rPr>
        <w:t xml:space="preserve">  </w:t>
      </w:r>
      <w:r>
        <w:t>isn’t</w:t>
      </w:r>
      <w:r>
        <w:rPr>
          <w:spacing w:val="43"/>
        </w:rPr>
        <w:t xml:space="preserve">  </w:t>
      </w:r>
      <w:r>
        <w:t>making</w:t>
      </w:r>
      <w:r>
        <w:rPr>
          <w:spacing w:val="43"/>
        </w:rPr>
        <w:t xml:space="preserve">  </w:t>
      </w:r>
      <w:r>
        <w:t>the</w:t>
      </w:r>
      <w:r>
        <w:rPr>
          <w:spacing w:val="43"/>
        </w:rPr>
        <w:t xml:space="preserve">  </w:t>
      </w:r>
      <w:r>
        <w:t>uncontroversial</w:t>
      </w:r>
      <w:r>
        <w:rPr>
          <w:spacing w:val="42"/>
        </w:rPr>
        <w:t xml:space="preserve">  </w:t>
      </w:r>
      <w:r>
        <w:t>point</w:t>
      </w:r>
      <w:r>
        <w:rPr>
          <w:spacing w:val="43"/>
        </w:rPr>
        <w:t xml:space="preserve">  </w:t>
      </w:r>
      <w:r>
        <w:t>that</w:t>
      </w:r>
      <w:r>
        <w:rPr>
          <w:spacing w:val="42"/>
        </w:rPr>
        <w:t xml:space="preserve">  </w:t>
      </w:r>
      <w:r>
        <w:rPr>
          <w:spacing w:val="-5"/>
        </w:rPr>
        <w:t>how</w:t>
      </w:r>
    </w:p>
    <w:p w14:paraId="7E00077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7A" w14:textId="77777777" w:rsidR="009A58DB" w:rsidRDefault="00000000">
      <w:pPr>
        <w:pStyle w:val="BodyText"/>
        <w:spacing w:before="65" w:line="249" w:lineRule="auto"/>
        <w:ind w:right="362"/>
      </w:pPr>
      <w:r>
        <w:lastRenderedPageBreak/>
        <w:t xml:space="preserve">expressions are used is a function, in part, of what they mean. Nor is he making the equally innocuous point that how an expression is used may have </w:t>
      </w:r>
      <w:r>
        <w:rPr>
          <w:i/>
        </w:rPr>
        <w:t xml:space="preserve">effects </w:t>
      </w:r>
      <w:r>
        <w:t xml:space="preserve">on what it means. (“Probable” used to mean “capable of being definitively established.” Enough people used it to mean “likely, but not certain”; and, for that reason, that’s what it now means.) He is saying that </w:t>
      </w:r>
      <w:r>
        <w:rPr>
          <w:i/>
        </w:rPr>
        <w:t xml:space="preserve">what it is </w:t>
      </w:r>
      <w:r>
        <w:t>for an expression to have a given meaning is for it to be used in a certain way. Here is his argument:</w:t>
      </w:r>
    </w:p>
    <w:p w14:paraId="7E00077B" w14:textId="77777777" w:rsidR="009A58DB" w:rsidRDefault="009A58DB">
      <w:pPr>
        <w:pStyle w:val="BodyText"/>
        <w:spacing w:before="23"/>
        <w:ind w:left="0"/>
        <w:jc w:val="left"/>
      </w:pPr>
    </w:p>
    <w:p w14:paraId="7E00077C" w14:textId="77777777" w:rsidR="009A58DB" w:rsidRDefault="00000000">
      <w:pPr>
        <w:pStyle w:val="BodyText"/>
        <w:spacing w:line="277" w:lineRule="exact"/>
        <w:ind w:left="1319"/>
        <w:jc w:val="left"/>
      </w:pPr>
      <w:bookmarkStart w:id="43" w:name="_bookmark43"/>
      <w:bookmarkEnd w:id="43"/>
      <w:r>
        <w:rPr>
          <w:color w:val="0562C1"/>
          <w:spacing w:val="-4"/>
          <w:u w:val="single" w:color="0562C1"/>
        </w:rPr>
        <w:t>[40]</w:t>
      </w:r>
    </w:p>
    <w:p w14:paraId="7E00077D" w14:textId="77777777" w:rsidR="009A58DB" w:rsidRDefault="00000000">
      <w:pPr>
        <w:pStyle w:val="BodyText"/>
        <w:tabs>
          <w:tab w:val="left" w:pos="1819"/>
        </w:tabs>
        <w:spacing w:line="277" w:lineRule="exact"/>
        <w:ind w:left="720"/>
        <w:jc w:val="left"/>
      </w:pPr>
      <w:r>
        <w:rPr>
          <w:spacing w:val="-5"/>
        </w:rPr>
        <w:t>(WA</w:t>
      </w:r>
      <w:r>
        <w:tab/>
        <w:t>)</w:t>
      </w:r>
      <w:r>
        <w:rPr>
          <w:spacing w:val="12"/>
        </w:rPr>
        <w:t xml:space="preserve"> </w:t>
      </w:r>
      <w:r>
        <w:t>According</w:t>
      </w:r>
      <w:r>
        <w:rPr>
          <w:spacing w:val="15"/>
        </w:rPr>
        <w:t xml:space="preserve"> </w:t>
      </w:r>
      <w:r>
        <w:t>to</w:t>
      </w:r>
      <w:r>
        <w:rPr>
          <w:spacing w:val="16"/>
        </w:rPr>
        <w:t xml:space="preserve"> </w:t>
      </w:r>
      <w:r>
        <w:t>some</w:t>
      </w:r>
      <w:r>
        <w:rPr>
          <w:spacing w:val="15"/>
        </w:rPr>
        <w:t xml:space="preserve"> </w:t>
      </w:r>
      <w:r>
        <w:t>philosophers,</w:t>
      </w:r>
      <w:r>
        <w:rPr>
          <w:spacing w:val="15"/>
        </w:rPr>
        <w:t xml:space="preserve"> </w:t>
      </w:r>
      <w:r>
        <w:t>there</w:t>
      </w:r>
      <w:r>
        <w:rPr>
          <w:spacing w:val="15"/>
        </w:rPr>
        <w:t xml:space="preserve"> </w:t>
      </w:r>
      <w:r>
        <w:t>is</w:t>
      </w:r>
      <w:r>
        <w:rPr>
          <w:spacing w:val="15"/>
        </w:rPr>
        <w:t xml:space="preserve"> </w:t>
      </w:r>
      <w:r>
        <w:t>some</w:t>
      </w:r>
      <w:r>
        <w:rPr>
          <w:spacing w:val="16"/>
        </w:rPr>
        <w:t xml:space="preserve"> </w:t>
      </w:r>
      <w:r>
        <w:t>entity</w:t>
      </w:r>
      <w:r>
        <w:rPr>
          <w:spacing w:val="15"/>
        </w:rPr>
        <w:t xml:space="preserve"> </w:t>
      </w:r>
      <w:r>
        <w:t>that</w:t>
      </w:r>
      <w:r>
        <w:rPr>
          <w:spacing w:val="15"/>
        </w:rPr>
        <w:t xml:space="preserve"> </w:t>
      </w:r>
      <w:r>
        <w:rPr>
          <w:spacing w:val="-5"/>
        </w:rPr>
        <w:t>is</w:t>
      </w:r>
    </w:p>
    <w:p w14:paraId="7E00077E" w14:textId="77777777" w:rsidR="009A58DB" w:rsidRDefault="00000000">
      <w:pPr>
        <w:pStyle w:val="BodyText"/>
        <w:spacing w:before="15" w:line="249" w:lineRule="auto"/>
        <w:ind w:left="720"/>
        <w:jc w:val="left"/>
        <w:rPr>
          <w:i/>
        </w:rPr>
      </w:pPr>
      <w:r>
        <w:t>the</w:t>
      </w:r>
      <w:r>
        <w:rPr>
          <w:spacing w:val="74"/>
        </w:rPr>
        <w:t xml:space="preserve"> </w:t>
      </w:r>
      <w:r>
        <w:t>meaning</w:t>
      </w:r>
      <w:r>
        <w:rPr>
          <w:spacing w:val="74"/>
        </w:rPr>
        <w:t xml:space="preserve"> </w:t>
      </w:r>
      <w:r>
        <w:t>of</w:t>
      </w:r>
      <w:r>
        <w:rPr>
          <w:spacing w:val="74"/>
        </w:rPr>
        <w:t xml:space="preserve"> </w:t>
      </w:r>
      <w:r>
        <w:t>“snow</w:t>
      </w:r>
      <w:r>
        <w:rPr>
          <w:spacing w:val="74"/>
        </w:rPr>
        <w:t xml:space="preserve"> </w:t>
      </w:r>
      <w:r>
        <w:t>is</w:t>
      </w:r>
      <w:r>
        <w:rPr>
          <w:spacing w:val="74"/>
        </w:rPr>
        <w:t xml:space="preserve"> </w:t>
      </w:r>
      <w:r>
        <w:t>white”</w:t>
      </w:r>
      <w:r>
        <w:rPr>
          <w:spacing w:val="74"/>
        </w:rPr>
        <w:t xml:space="preserve"> </w:t>
      </w:r>
      <w:r>
        <w:t>and</w:t>
      </w:r>
      <w:r>
        <w:rPr>
          <w:spacing w:val="74"/>
        </w:rPr>
        <w:t xml:space="preserve"> </w:t>
      </w:r>
      <w:r>
        <w:t>some</w:t>
      </w:r>
      <w:r>
        <w:rPr>
          <w:spacing w:val="74"/>
        </w:rPr>
        <w:t xml:space="preserve"> </w:t>
      </w:r>
      <w:r>
        <w:t>other</w:t>
      </w:r>
      <w:r>
        <w:rPr>
          <w:spacing w:val="74"/>
        </w:rPr>
        <w:t xml:space="preserve"> </w:t>
      </w:r>
      <w:r>
        <w:t>entity</w:t>
      </w:r>
      <w:r>
        <w:rPr>
          <w:spacing w:val="74"/>
        </w:rPr>
        <w:t xml:space="preserve"> </w:t>
      </w:r>
      <w:r>
        <w:t>that</w:t>
      </w:r>
      <w:r>
        <w:rPr>
          <w:spacing w:val="74"/>
        </w:rPr>
        <w:t xml:space="preserve"> </w:t>
      </w:r>
      <w:r>
        <w:t>is</w:t>
      </w:r>
      <w:r>
        <w:rPr>
          <w:spacing w:val="74"/>
        </w:rPr>
        <w:t xml:space="preserve"> </w:t>
      </w:r>
      <w:r>
        <w:t>the meaning</w:t>
      </w:r>
      <w:r>
        <w:rPr>
          <w:spacing w:val="12"/>
        </w:rPr>
        <w:t xml:space="preserve"> </w:t>
      </w:r>
      <w:r>
        <w:t>of</w:t>
      </w:r>
      <w:r>
        <w:rPr>
          <w:spacing w:val="15"/>
        </w:rPr>
        <w:t xml:space="preserve"> </w:t>
      </w:r>
      <w:r>
        <w:t>“grass</w:t>
      </w:r>
      <w:r>
        <w:rPr>
          <w:spacing w:val="15"/>
        </w:rPr>
        <w:t xml:space="preserve"> </w:t>
      </w:r>
      <w:r>
        <w:t>is</w:t>
      </w:r>
      <w:r>
        <w:rPr>
          <w:spacing w:val="16"/>
        </w:rPr>
        <w:t xml:space="preserve"> </w:t>
      </w:r>
      <w:r>
        <w:t>green.”</w:t>
      </w:r>
      <w:r>
        <w:rPr>
          <w:spacing w:val="14"/>
        </w:rPr>
        <w:t xml:space="preserve"> </w:t>
      </w:r>
      <w:r>
        <w:t>These</w:t>
      </w:r>
      <w:r>
        <w:rPr>
          <w:spacing w:val="15"/>
        </w:rPr>
        <w:t xml:space="preserve"> </w:t>
      </w:r>
      <w:r>
        <w:t>entities</w:t>
      </w:r>
      <w:r>
        <w:rPr>
          <w:spacing w:val="15"/>
        </w:rPr>
        <w:t xml:space="preserve"> </w:t>
      </w:r>
      <w:r>
        <w:t>are</w:t>
      </w:r>
      <w:r>
        <w:rPr>
          <w:spacing w:val="16"/>
        </w:rPr>
        <w:t xml:space="preserve"> </w:t>
      </w:r>
      <w:r>
        <w:t>known</w:t>
      </w:r>
      <w:r>
        <w:rPr>
          <w:spacing w:val="15"/>
        </w:rPr>
        <w:t xml:space="preserve"> </w:t>
      </w:r>
      <w:r>
        <w:t>as</w:t>
      </w:r>
      <w:r>
        <w:rPr>
          <w:spacing w:val="16"/>
        </w:rPr>
        <w:t xml:space="preserve"> </w:t>
      </w:r>
      <w:r>
        <w:rPr>
          <w:i/>
          <w:spacing w:val="-2"/>
        </w:rPr>
        <w:t>propositions.</w:t>
      </w:r>
    </w:p>
    <w:p w14:paraId="7E00077F" w14:textId="77777777" w:rsidR="009A58DB" w:rsidRDefault="00000000">
      <w:pPr>
        <w:pStyle w:val="BodyText"/>
        <w:spacing w:before="3" w:line="277" w:lineRule="exact"/>
        <w:ind w:left="7548"/>
        <w:jc w:val="left"/>
      </w:pPr>
      <w:bookmarkStart w:id="44" w:name="_bookmark44"/>
      <w:bookmarkEnd w:id="44"/>
      <w:r>
        <w:rPr>
          <w:color w:val="0562C1"/>
          <w:spacing w:val="-4"/>
          <w:u w:val="single" w:color="0562C1"/>
        </w:rPr>
        <w:t>[41]</w:t>
      </w:r>
    </w:p>
    <w:p w14:paraId="7E000780" w14:textId="77777777" w:rsidR="009A58DB" w:rsidRDefault="00000000">
      <w:pPr>
        <w:pStyle w:val="BodyText"/>
        <w:spacing w:line="277" w:lineRule="exact"/>
        <w:ind w:left="720"/>
        <w:jc w:val="left"/>
      </w:pPr>
      <w:r>
        <w:t>Propositions</w:t>
      </w:r>
      <w:r>
        <w:rPr>
          <w:spacing w:val="-9"/>
        </w:rPr>
        <w:t xml:space="preserve"> </w:t>
      </w:r>
      <w:r>
        <w:t>(if</w:t>
      </w:r>
      <w:r>
        <w:rPr>
          <w:spacing w:val="-6"/>
        </w:rPr>
        <w:t xml:space="preserve"> </w:t>
      </w:r>
      <w:r>
        <w:t>existent)</w:t>
      </w:r>
      <w:r>
        <w:rPr>
          <w:spacing w:val="-6"/>
        </w:rPr>
        <w:t xml:space="preserve"> </w:t>
      </w:r>
      <w:r>
        <w:t>are</w:t>
      </w:r>
      <w:r>
        <w:rPr>
          <w:spacing w:val="-6"/>
        </w:rPr>
        <w:t xml:space="preserve"> </w:t>
      </w:r>
      <w:r>
        <w:t>non-spatiotemporal</w:t>
      </w:r>
      <w:r>
        <w:rPr>
          <w:spacing w:val="-6"/>
        </w:rPr>
        <w:t xml:space="preserve"> </w:t>
      </w:r>
      <w:r>
        <w:rPr>
          <w:spacing w:val="-2"/>
        </w:rPr>
        <w:t>entities.</w:t>
      </w:r>
    </w:p>
    <w:p w14:paraId="7E000781" w14:textId="77777777" w:rsidR="009A58DB" w:rsidRDefault="00000000">
      <w:pPr>
        <w:pStyle w:val="BodyText"/>
        <w:spacing w:before="15" w:line="249" w:lineRule="auto"/>
        <w:ind w:left="720" w:right="721" w:firstLine="360"/>
      </w:pPr>
      <w:r>
        <w:t>The</w:t>
      </w:r>
      <w:r>
        <w:rPr>
          <w:spacing w:val="-3"/>
        </w:rPr>
        <w:t xml:space="preserve"> </w:t>
      </w:r>
      <w:r>
        <w:t>very</w:t>
      </w:r>
      <w:r>
        <w:rPr>
          <w:spacing w:val="-2"/>
        </w:rPr>
        <w:t xml:space="preserve"> </w:t>
      </w:r>
      <w:r>
        <w:t>idea</w:t>
      </w:r>
      <w:r>
        <w:rPr>
          <w:spacing w:val="-2"/>
        </w:rPr>
        <w:t xml:space="preserve"> </w:t>
      </w:r>
      <w:r>
        <w:t>of</w:t>
      </w:r>
      <w:r>
        <w:rPr>
          <w:spacing w:val="-2"/>
        </w:rPr>
        <w:t xml:space="preserve"> </w:t>
      </w:r>
      <w:r>
        <w:t>such</w:t>
      </w:r>
      <w:r>
        <w:rPr>
          <w:spacing w:val="-2"/>
        </w:rPr>
        <w:t xml:space="preserve"> </w:t>
      </w:r>
      <w:r>
        <w:t>an</w:t>
      </w:r>
      <w:r>
        <w:rPr>
          <w:spacing w:val="-2"/>
        </w:rPr>
        <w:t xml:space="preserve"> </w:t>
      </w:r>
      <w:r>
        <w:t>entity</w:t>
      </w:r>
      <w:r>
        <w:rPr>
          <w:spacing w:val="-2"/>
        </w:rPr>
        <w:t xml:space="preserve"> </w:t>
      </w:r>
      <w:r>
        <w:t>is</w:t>
      </w:r>
      <w:r>
        <w:rPr>
          <w:spacing w:val="-2"/>
        </w:rPr>
        <w:t xml:space="preserve"> </w:t>
      </w:r>
      <w:r>
        <w:t>of</w:t>
      </w:r>
      <w:r>
        <w:rPr>
          <w:spacing w:val="-2"/>
        </w:rPr>
        <w:t xml:space="preserve"> </w:t>
      </w:r>
      <w:r>
        <w:t>doubtful</w:t>
      </w:r>
      <w:r>
        <w:rPr>
          <w:spacing w:val="-2"/>
        </w:rPr>
        <w:t xml:space="preserve"> </w:t>
      </w:r>
      <w:r>
        <w:t>coherence.</w:t>
      </w:r>
      <w:r>
        <w:rPr>
          <w:spacing w:val="-2"/>
        </w:rPr>
        <w:t xml:space="preserve"> </w:t>
      </w:r>
      <w:r>
        <w:t>And</w:t>
      </w:r>
      <w:r>
        <w:rPr>
          <w:spacing w:val="-2"/>
        </w:rPr>
        <w:t xml:space="preserve"> </w:t>
      </w:r>
      <w:r>
        <w:t>even</w:t>
      </w:r>
      <w:r>
        <w:rPr>
          <w:spacing w:val="-2"/>
        </w:rPr>
        <w:t xml:space="preserve"> </w:t>
      </w:r>
      <w:r>
        <w:t>if such entities do exist, they’re nothing to us. We can’t see them or touch them or otherwise have anything to do with them. So, even if they do exist, they have no role in human affairs. At the same time, “snow is white” and “grass is green” differ in meaning. So we must find a way</w:t>
      </w:r>
      <w:r>
        <w:rPr>
          <w:spacing w:val="40"/>
        </w:rPr>
        <w:t xml:space="preserve"> </w:t>
      </w:r>
      <w:r>
        <w:t>of saying what it is for two expressions to ‘differ in meaning’ that doesn’t involve our positing meanings.</w:t>
      </w:r>
    </w:p>
    <w:p w14:paraId="7E000782" w14:textId="77777777" w:rsidR="009A58DB" w:rsidRDefault="00000000">
      <w:pPr>
        <w:pStyle w:val="BodyText"/>
        <w:spacing w:before="8" w:line="249" w:lineRule="auto"/>
        <w:ind w:left="720" w:right="719" w:firstLine="360"/>
      </w:pPr>
      <w:r>
        <w:rPr>
          <w:spacing w:val="-2"/>
        </w:rPr>
        <w:t>This</w:t>
      </w:r>
      <w:r>
        <w:rPr>
          <w:spacing w:val="-15"/>
        </w:rPr>
        <w:t xml:space="preserve"> </w:t>
      </w:r>
      <w:r>
        <w:rPr>
          <w:spacing w:val="-2"/>
        </w:rPr>
        <w:t>can</w:t>
      </w:r>
      <w:r>
        <w:rPr>
          <w:spacing w:val="-15"/>
        </w:rPr>
        <w:t xml:space="preserve"> </w:t>
      </w:r>
      <w:r>
        <w:rPr>
          <w:spacing w:val="-2"/>
        </w:rPr>
        <w:t>be</w:t>
      </w:r>
      <w:r>
        <w:rPr>
          <w:spacing w:val="-15"/>
        </w:rPr>
        <w:t xml:space="preserve"> </w:t>
      </w:r>
      <w:r>
        <w:rPr>
          <w:spacing w:val="-2"/>
        </w:rPr>
        <w:t>done.</w:t>
      </w:r>
      <w:r>
        <w:rPr>
          <w:spacing w:val="-15"/>
        </w:rPr>
        <w:t xml:space="preserve"> </w:t>
      </w:r>
      <w:r>
        <w:rPr>
          <w:spacing w:val="-2"/>
        </w:rPr>
        <w:t>“Snow</w:t>
      </w:r>
      <w:r>
        <w:rPr>
          <w:spacing w:val="-15"/>
        </w:rPr>
        <w:t xml:space="preserve"> </w:t>
      </w:r>
      <w:r>
        <w:rPr>
          <w:spacing w:val="-2"/>
        </w:rPr>
        <w:t>is</w:t>
      </w:r>
      <w:r>
        <w:rPr>
          <w:spacing w:val="-15"/>
        </w:rPr>
        <w:t xml:space="preserve"> </w:t>
      </w:r>
      <w:r>
        <w:rPr>
          <w:spacing w:val="-2"/>
        </w:rPr>
        <w:t>white”</w:t>
      </w:r>
      <w:r>
        <w:rPr>
          <w:spacing w:val="-15"/>
        </w:rPr>
        <w:t xml:space="preserve"> </w:t>
      </w:r>
      <w:r>
        <w:rPr>
          <w:spacing w:val="-2"/>
        </w:rPr>
        <w:t>isn’t</w:t>
      </w:r>
      <w:r>
        <w:rPr>
          <w:spacing w:val="-15"/>
        </w:rPr>
        <w:t xml:space="preserve"> </w:t>
      </w:r>
      <w:r>
        <w:rPr>
          <w:spacing w:val="-2"/>
        </w:rPr>
        <w:t>used</w:t>
      </w:r>
      <w:r>
        <w:rPr>
          <w:spacing w:val="-15"/>
        </w:rPr>
        <w:t xml:space="preserve"> </w:t>
      </w:r>
      <w:r>
        <w:rPr>
          <w:spacing w:val="-2"/>
        </w:rPr>
        <w:t>in</w:t>
      </w:r>
      <w:r>
        <w:rPr>
          <w:spacing w:val="-15"/>
        </w:rPr>
        <w:t xml:space="preserve"> </w:t>
      </w:r>
      <w:r>
        <w:rPr>
          <w:spacing w:val="-2"/>
        </w:rPr>
        <w:t>the</w:t>
      </w:r>
      <w:r>
        <w:rPr>
          <w:spacing w:val="-15"/>
        </w:rPr>
        <w:t xml:space="preserve"> </w:t>
      </w:r>
      <w:r>
        <w:rPr>
          <w:spacing w:val="-2"/>
        </w:rPr>
        <w:t>same</w:t>
      </w:r>
      <w:r>
        <w:rPr>
          <w:spacing w:val="-15"/>
        </w:rPr>
        <w:t xml:space="preserve"> </w:t>
      </w:r>
      <w:r>
        <w:rPr>
          <w:spacing w:val="-2"/>
        </w:rPr>
        <w:t>way</w:t>
      </w:r>
      <w:r>
        <w:rPr>
          <w:spacing w:val="-14"/>
        </w:rPr>
        <w:t xml:space="preserve"> </w:t>
      </w:r>
      <w:r>
        <w:rPr>
          <w:spacing w:val="-2"/>
        </w:rPr>
        <w:t>as</w:t>
      </w:r>
      <w:r>
        <w:rPr>
          <w:spacing w:val="-14"/>
        </w:rPr>
        <w:t xml:space="preserve"> </w:t>
      </w:r>
      <w:r>
        <w:rPr>
          <w:spacing w:val="-2"/>
        </w:rPr>
        <w:t xml:space="preserve">“grass </w:t>
      </w:r>
      <w:r>
        <w:t>is</w:t>
      </w:r>
      <w:r>
        <w:rPr>
          <w:spacing w:val="-21"/>
        </w:rPr>
        <w:t xml:space="preserve"> </w:t>
      </w:r>
      <w:r>
        <w:t>green.”</w:t>
      </w:r>
      <w:r>
        <w:rPr>
          <w:spacing w:val="-19"/>
        </w:rPr>
        <w:t xml:space="preserve"> </w:t>
      </w:r>
      <w:r>
        <w:t>There</w:t>
      </w:r>
      <w:r>
        <w:rPr>
          <w:spacing w:val="-19"/>
        </w:rPr>
        <w:t xml:space="preserve"> </w:t>
      </w:r>
      <w:r>
        <w:t>are</w:t>
      </w:r>
      <w:r>
        <w:rPr>
          <w:spacing w:val="-18"/>
        </w:rPr>
        <w:t xml:space="preserve"> </w:t>
      </w:r>
      <w:r>
        <w:t>situations</w:t>
      </w:r>
      <w:r>
        <w:rPr>
          <w:spacing w:val="-19"/>
        </w:rPr>
        <w:t xml:space="preserve"> </w:t>
      </w:r>
      <w:r>
        <w:t>that</w:t>
      </w:r>
      <w:r>
        <w:rPr>
          <w:spacing w:val="-19"/>
        </w:rPr>
        <w:t xml:space="preserve"> </w:t>
      </w:r>
      <w:r>
        <w:t>prompt</w:t>
      </w:r>
      <w:r>
        <w:rPr>
          <w:spacing w:val="-19"/>
        </w:rPr>
        <w:t xml:space="preserve"> </w:t>
      </w:r>
      <w:r>
        <w:t>utterances</w:t>
      </w:r>
      <w:r>
        <w:rPr>
          <w:spacing w:val="-18"/>
        </w:rPr>
        <w:t xml:space="preserve"> </w:t>
      </w:r>
      <w:r>
        <w:t>of</w:t>
      </w:r>
      <w:r>
        <w:rPr>
          <w:spacing w:val="-19"/>
        </w:rPr>
        <w:t xml:space="preserve"> </w:t>
      </w:r>
      <w:r>
        <w:t>the</w:t>
      </w:r>
      <w:r>
        <w:rPr>
          <w:spacing w:val="-19"/>
        </w:rPr>
        <w:t xml:space="preserve"> </w:t>
      </w:r>
      <w:r>
        <w:t>one</w:t>
      </w:r>
      <w:r>
        <w:rPr>
          <w:spacing w:val="-19"/>
        </w:rPr>
        <w:t xml:space="preserve"> </w:t>
      </w:r>
      <w:r>
        <w:t>that</w:t>
      </w:r>
      <w:r>
        <w:rPr>
          <w:spacing w:val="-18"/>
        </w:rPr>
        <w:t xml:space="preserve"> </w:t>
      </w:r>
      <w:r>
        <w:t xml:space="preserve">don’t </w:t>
      </w:r>
      <w:r>
        <w:rPr>
          <w:spacing w:val="-2"/>
        </w:rPr>
        <w:t>prompt</w:t>
      </w:r>
      <w:r>
        <w:rPr>
          <w:spacing w:val="-17"/>
        </w:rPr>
        <w:t xml:space="preserve"> </w:t>
      </w:r>
      <w:r>
        <w:rPr>
          <w:spacing w:val="-2"/>
        </w:rPr>
        <w:t>utterances</w:t>
      </w:r>
      <w:r>
        <w:rPr>
          <w:spacing w:val="-17"/>
        </w:rPr>
        <w:t xml:space="preserve"> </w:t>
      </w:r>
      <w:r>
        <w:rPr>
          <w:spacing w:val="-2"/>
        </w:rPr>
        <w:t>of</w:t>
      </w:r>
      <w:r>
        <w:rPr>
          <w:spacing w:val="-17"/>
        </w:rPr>
        <w:t xml:space="preserve"> </w:t>
      </w:r>
      <w:r>
        <w:rPr>
          <w:spacing w:val="-2"/>
        </w:rPr>
        <w:t>the</w:t>
      </w:r>
      <w:r>
        <w:rPr>
          <w:spacing w:val="-16"/>
        </w:rPr>
        <w:t xml:space="preserve"> </w:t>
      </w:r>
      <w:r>
        <w:rPr>
          <w:spacing w:val="-2"/>
        </w:rPr>
        <w:t>other.</w:t>
      </w:r>
      <w:r>
        <w:rPr>
          <w:spacing w:val="-17"/>
        </w:rPr>
        <w:t xml:space="preserve"> </w:t>
      </w:r>
      <w:r>
        <w:rPr>
          <w:spacing w:val="-2"/>
        </w:rPr>
        <w:t>By</w:t>
      </w:r>
      <w:r>
        <w:rPr>
          <w:spacing w:val="-17"/>
        </w:rPr>
        <w:t xml:space="preserve"> </w:t>
      </w:r>
      <w:r>
        <w:rPr>
          <w:spacing w:val="-2"/>
        </w:rPr>
        <w:t>the</w:t>
      </w:r>
      <w:r>
        <w:rPr>
          <w:spacing w:val="-17"/>
        </w:rPr>
        <w:t xml:space="preserve"> </w:t>
      </w:r>
      <w:r>
        <w:rPr>
          <w:spacing w:val="-2"/>
        </w:rPr>
        <w:t>same</w:t>
      </w:r>
      <w:r>
        <w:rPr>
          <w:spacing w:val="-16"/>
        </w:rPr>
        <w:t xml:space="preserve"> </w:t>
      </w:r>
      <w:r>
        <w:rPr>
          <w:spacing w:val="-2"/>
        </w:rPr>
        <w:t>token,</w:t>
      </w:r>
      <w:r>
        <w:rPr>
          <w:spacing w:val="-17"/>
        </w:rPr>
        <w:t xml:space="preserve"> </w:t>
      </w:r>
      <w:r>
        <w:rPr>
          <w:spacing w:val="-2"/>
        </w:rPr>
        <w:t>if</w:t>
      </w:r>
      <w:r>
        <w:rPr>
          <w:spacing w:val="-15"/>
        </w:rPr>
        <w:t xml:space="preserve"> </w:t>
      </w:r>
      <w:r>
        <w:rPr>
          <w:spacing w:val="-2"/>
        </w:rPr>
        <w:t>they</w:t>
      </w:r>
      <w:r>
        <w:rPr>
          <w:spacing w:val="-17"/>
        </w:rPr>
        <w:t xml:space="preserve"> </w:t>
      </w:r>
      <w:r>
        <w:rPr>
          <w:i/>
          <w:spacing w:val="-2"/>
        </w:rPr>
        <w:t>were</w:t>
      </w:r>
      <w:r>
        <w:rPr>
          <w:i/>
          <w:spacing w:val="-17"/>
        </w:rPr>
        <w:t xml:space="preserve"> </w:t>
      </w:r>
      <w:r>
        <w:rPr>
          <w:spacing w:val="-2"/>
        </w:rPr>
        <w:t>used</w:t>
      </w:r>
      <w:r>
        <w:rPr>
          <w:spacing w:val="-13"/>
        </w:rPr>
        <w:t xml:space="preserve"> </w:t>
      </w:r>
      <w:r>
        <w:rPr>
          <w:spacing w:val="-2"/>
        </w:rPr>
        <w:t>in</w:t>
      </w:r>
      <w:r>
        <w:rPr>
          <w:spacing w:val="-13"/>
        </w:rPr>
        <w:t xml:space="preserve"> </w:t>
      </w:r>
      <w:r>
        <w:rPr>
          <w:spacing w:val="-2"/>
        </w:rPr>
        <w:t xml:space="preserve">the </w:t>
      </w:r>
      <w:r>
        <w:t>same</w:t>
      </w:r>
      <w:r>
        <w:rPr>
          <w:spacing w:val="-19"/>
        </w:rPr>
        <w:t xml:space="preserve"> </w:t>
      </w:r>
      <w:r>
        <w:t>way—i.e.,</w:t>
      </w:r>
      <w:r>
        <w:rPr>
          <w:spacing w:val="-19"/>
        </w:rPr>
        <w:t xml:space="preserve"> </w:t>
      </w:r>
      <w:r>
        <w:t>if</w:t>
      </w:r>
      <w:r>
        <w:rPr>
          <w:spacing w:val="-19"/>
        </w:rPr>
        <w:t xml:space="preserve"> </w:t>
      </w:r>
      <w:r>
        <w:t>there</w:t>
      </w:r>
      <w:r>
        <w:rPr>
          <w:spacing w:val="-18"/>
        </w:rPr>
        <w:t xml:space="preserve"> </w:t>
      </w:r>
      <w:r>
        <w:t>were</w:t>
      </w:r>
      <w:r>
        <w:rPr>
          <w:spacing w:val="-19"/>
        </w:rPr>
        <w:t xml:space="preserve"> </w:t>
      </w:r>
      <w:r>
        <w:t>no</w:t>
      </w:r>
      <w:r>
        <w:rPr>
          <w:spacing w:val="-19"/>
        </w:rPr>
        <w:t xml:space="preserve"> </w:t>
      </w:r>
      <w:r>
        <w:t>situation</w:t>
      </w:r>
      <w:r>
        <w:rPr>
          <w:spacing w:val="-19"/>
        </w:rPr>
        <w:t xml:space="preserve"> </w:t>
      </w:r>
      <w:r>
        <w:t>that</w:t>
      </w:r>
      <w:r>
        <w:rPr>
          <w:spacing w:val="-18"/>
        </w:rPr>
        <w:t xml:space="preserve"> </w:t>
      </w:r>
      <w:r>
        <w:t>prompted</w:t>
      </w:r>
      <w:r>
        <w:rPr>
          <w:spacing w:val="-19"/>
        </w:rPr>
        <w:t xml:space="preserve"> </w:t>
      </w:r>
      <w:r>
        <w:t>utterances</w:t>
      </w:r>
      <w:r>
        <w:rPr>
          <w:spacing w:val="-19"/>
        </w:rPr>
        <w:t xml:space="preserve"> </w:t>
      </w:r>
      <w:r>
        <w:t>of</w:t>
      </w:r>
      <w:r>
        <w:rPr>
          <w:spacing w:val="-19"/>
        </w:rPr>
        <w:t xml:space="preserve"> </w:t>
      </w:r>
      <w:r>
        <w:t xml:space="preserve">the </w:t>
      </w:r>
      <w:r>
        <w:rPr>
          <w:spacing w:val="-6"/>
        </w:rPr>
        <w:t>one</w:t>
      </w:r>
      <w:r>
        <w:rPr>
          <w:spacing w:val="-8"/>
        </w:rPr>
        <w:t xml:space="preserve"> </w:t>
      </w:r>
      <w:r>
        <w:rPr>
          <w:spacing w:val="-6"/>
        </w:rPr>
        <w:t>that</w:t>
      </w:r>
      <w:r>
        <w:rPr>
          <w:spacing w:val="-8"/>
        </w:rPr>
        <w:t xml:space="preserve"> </w:t>
      </w:r>
      <w:r>
        <w:rPr>
          <w:spacing w:val="-6"/>
        </w:rPr>
        <w:t>didn’t</w:t>
      </w:r>
      <w:r>
        <w:rPr>
          <w:spacing w:val="-8"/>
        </w:rPr>
        <w:t xml:space="preserve"> </w:t>
      </w:r>
      <w:r>
        <w:rPr>
          <w:spacing w:val="-6"/>
        </w:rPr>
        <w:t>prompt</w:t>
      </w:r>
      <w:r>
        <w:rPr>
          <w:spacing w:val="-8"/>
        </w:rPr>
        <w:t xml:space="preserve"> </w:t>
      </w:r>
      <w:r>
        <w:rPr>
          <w:spacing w:val="-6"/>
        </w:rPr>
        <w:t>utterances of the other—then they wouldn’t</w:t>
      </w:r>
      <w:r>
        <w:rPr>
          <w:spacing w:val="-8"/>
        </w:rPr>
        <w:t xml:space="preserve"> </w:t>
      </w:r>
      <w:r>
        <w:rPr>
          <w:spacing w:val="-6"/>
        </w:rPr>
        <w:t xml:space="preserve">differ in </w:t>
      </w:r>
      <w:r>
        <w:t>meaning.</w:t>
      </w:r>
      <w:r>
        <w:rPr>
          <w:spacing w:val="-6"/>
        </w:rPr>
        <w:t xml:space="preserve"> </w:t>
      </w:r>
      <w:r>
        <w:t>If</w:t>
      </w:r>
      <w:r>
        <w:rPr>
          <w:spacing w:val="-6"/>
        </w:rPr>
        <w:t xml:space="preserve"> </w:t>
      </w:r>
      <w:r>
        <w:t>the</w:t>
      </w:r>
      <w:r>
        <w:rPr>
          <w:spacing w:val="-6"/>
        </w:rPr>
        <w:t xml:space="preserve"> </w:t>
      </w:r>
      <w:r>
        <w:t>sensory</w:t>
      </w:r>
      <w:r>
        <w:rPr>
          <w:spacing w:val="-6"/>
        </w:rPr>
        <w:t xml:space="preserve"> </w:t>
      </w:r>
      <w:r>
        <w:t>stimulations</w:t>
      </w:r>
      <w:r>
        <w:rPr>
          <w:spacing w:val="-6"/>
        </w:rPr>
        <w:t xml:space="preserve"> </w:t>
      </w:r>
      <w:r>
        <w:t>that</w:t>
      </w:r>
      <w:r>
        <w:rPr>
          <w:spacing w:val="-6"/>
        </w:rPr>
        <w:t xml:space="preserve"> </w:t>
      </w:r>
      <w:r>
        <w:t>induced</w:t>
      </w:r>
      <w:r>
        <w:rPr>
          <w:spacing w:val="-6"/>
        </w:rPr>
        <w:t xml:space="preserve"> </w:t>
      </w:r>
      <w:r>
        <w:t>people</w:t>
      </w:r>
      <w:r>
        <w:rPr>
          <w:spacing w:val="-6"/>
        </w:rPr>
        <w:t xml:space="preserve"> </w:t>
      </w:r>
      <w:r>
        <w:t>to</w:t>
      </w:r>
      <w:r>
        <w:rPr>
          <w:spacing w:val="-6"/>
        </w:rPr>
        <w:t xml:space="preserve"> </w:t>
      </w:r>
      <w:r>
        <w:t>say</w:t>
      </w:r>
      <w:r>
        <w:rPr>
          <w:spacing w:val="-6"/>
        </w:rPr>
        <w:t xml:space="preserve"> </w:t>
      </w:r>
      <w:r>
        <w:t>“grass</w:t>
      </w:r>
      <w:r>
        <w:rPr>
          <w:spacing w:val="-6"/>
        </w:rPr>
        <w:t xml:space="preserve"> </w:t>
      </w:r>
      <w:r>
        <w:t>is green”</w:t>
      </w:r>
      <w:r>
        <w:rPr>
          <w:spacing w:val="-19"/>
        </w:rPr>
        <w:t xml:space="preserve"> </w:t>
      </w:r>
      <w:r>
        <w:t>coincided</w:t>
      </w:r>
      <w:r>
        <w:rPr>
          <w:spacing w:val="-19"/>
        </w:rPr>
        <w:t xml:space="preserve"> </w:t>
      </w:r>
      <w:r>
        <w:t>with</w:t>
      </w:r>
      <w:r>
        <w:rPr>
          <w:spacing w:val="-19"/>
        </w:rPr>
        <w:t xml:space="preserve"> </w:t>
      </w:r>
      <w:r>
        <w:t>those</w:t>
      </w:r>
      <w:r>
        <w:rPr>
          <w:spacing w:val="-18"/>
        </w:rPr>
        <w:t xml:space="preserve"> </w:t>
      </w:r>
      <w:r>
        <w:t>that</w:t>
      </w:r>
      <w:r>
        <w:rPr>
          <w:spacing w:val="-19"/>
        </w:rPr>
        <w:t xml:space="preserve"> </w:t>
      </w:r>
      <w:r>
        <w:t>prompted</w:t>
      </w:r>
      <w:r>
        <w:rPr>
          <w:spacing w:val="-19"/>
        </w:rPr>
        <w:t xml:space="preserve"> </w:t>
      </w:r>
      <w:r>
        <w:t>people</w:t>
      </w:r>
      <w:r>
        <w:rPr>
          <w:spacing w:val="-19"/>
        </w:rPr>
        <w:t xml:space="preserve"> </w:t>
      </w:r>
      <w:r>
        <w:t>to</w:t>
      </w:r>
      <w:r>
        <w:rPr>
          <w:spacing w:val="-18"/>
        </w:rPr>
        <w:t xml:space="preserve"> </w:t>
      </w:r>
      <w:r>
        <w:t>say</w:t>
      </w:r>
      <w:r>
        <w:rPr>
          <w:spacing w:val="-19"/>
        </w:rPr>
        <w:t xml:space="preserve"> </w:t>
      </w:r>
      <w:r>
        <w:t>“snow</w:t>
      </w:r>
      <w:r>
        <w:rPr>
          <w:spacing w:val="-19"/>
        </w:rPr>
        <w:t xml:space="preserve"> </w:t>
      </w:r>
      <w:r>
        <w:t>is</w:t>
      </w:r>
      <w:r>
        <w:rPr>
          <w:spacing w:val="-19"/>
        </w:rPr>
        <w:t xml:space="preserve"> </w:t>
      </w:r>
      <w:r>
        <w:t>white,” there</w:t>
      </w:r>
      <w:r>
        <w:rPr>
          <w:spacing w:val="24"/>
        </w:rPr>
        <w:t xml:space="preserve">  </w:t>
      </w:r>
      <w:r>
        <w:t>would</w:t>
      </w:r>
      <w:r>
        <w:rPr>
          <w:spacing w:val="24"/>
        </w:rPr>
        <w:t xml:space="preserve">  </w:t>
      </w:r>
      <w:r>
        <w:t>be</w:t>
      </w:r>
      <w:r>
        <w:rPr>
          <w:spacing w:val="24"/>
        </w:rPr>
        <w:t xml:space="preserve">  </w:t>
      </w:r>
      <w:r>
        <w:t>no</w:t>
      </w:r>
      <w:r>
        <w:rPr>
          <w:spacing w:val="24"/>
        </w:rPr>
        <w:t xml:space="preserve">  </w:t>
      </w:r>
      <w:r>
        <w:t>significant</w:t>
      </w:r>
      <w:r>
        <w:rPr>
          <w:spacing w:val="25"/>
        </w:rPr>
        <w:t xml:space="preserve">  </w:t>
      </w:r>
      <w:r>
        <w:t>sense</w:t>
      </w:r>
      <w:r>
        <w:rPr>
          <w:spacing w:val="24"/>
        </w:rPr>
        <w:t xml:space="preserve">  </w:t>
      </w:r>
      <w:r>
        <w:t>in</w:t>
      </w:r>
      <w:r>
        <w:rPr>
          <w:spacing w:val="24"/>
        </w:rPr>
        <w:t xml:space="preserve">  </w:t>
      </w:r>
      <w:r>
        <w:t>which</w:t>
      </w:r>
      <w:r>
        <w:rPr>
          <w:spacing w:val="24"/>
        </w:rPr>
        <w:t xml:space="preserve">  </w:t>
      </w:r>
      <w:r>
        <w:t>they</w:t>
      </w:r>
      <w:r>
        <w:rPr>
          <w:spacing w:val="24"/>
        </w:rPr>
        <w:t xml:space="preserve">  </w:t>
      </w:r>
      <w:r>
        <w:t>“differed</w:t>
      </w:r>
      <w:r>
        <w:rPr>
          <w:spacing w:val="25"/>
        </w:rPr>
        <w:t xml:space="preserve">  </w:t>
      </w:r>
      <w:r>
        <w:rPr>
          <w:spacing w:val="-5"/>
        </w:rPr>
        <w:t>in</w:t>
      </w:r>
    </w:p>
    <w:p w14:paraId="7E000783" w14:textId="77777777" w:rsidR="009A58DB" w:rsidRDefault="00000000">
      <w:pPr>
        <w:pStyle w:val="BodyText"/>
        <w:spacing w:before="10" w:line="223" w:lineRule="exact"/>
        <w:ind w:left="1908"/>
        <w:jc w:val="left"/>
      </w:pPr>
      <w:bookmarkStart w:id="45" w:name="_bookmark45"/>
      <w:bookmarkEnd w:id="45"/>
      <w:r>
        <w:rPr>
          <w:color w:val="0562C1"/>
          <w:spacing w:val="-4"/>
          <w:u w:val="single" w:color="0562C1"/>
        </w:rPr>
        <w:t>[42]</w:t>
      </w:r>
    </w:p>
    <w:p w14:paraId="7E000784" w14:textId="77777777" w:rsidR="009A58DB" w:rsidRDefault="00000000">
      <w:pPr>
        <w:pStyle w:val="BodyText"/>
        <w:tabs>
          <w:tab w:val="left" w:pos="2470"/>
        </w:tabs>
        <w:spacing w:line="333" w:lineRule="exact"/>
        <w:ind w:left="720"/>
        <w:jc w:val="left"/>
      </w:pPr>
      <w:r>
        <w:rPr>
          <w:spacing w:val="-2"/>
        </w:rPr>
        <w:t>meaning.”</w:t>
      </w:r>
      <w:r>
        <w:tab/>
        <w:t>Thus,</w:t>
      </w:r>
      <w:r>
        <w:rPr>
          <w:spacing w:val="-18"/>
        </w:rPr>
        <w:t xml:space="preserve"> </w:t>
      </w:r>
      <w:r>
        <w:t>two</w:t>
      </w:r>
      <w:r>
        <w:rPr>
          <w:spacing w:val="-17"/>
        </w:rPr>
        <w:t xml:space="preserve"> </w:t>
      </w:r>
      <w:r>
        <w:t>sentences</w:t>
      </w:r>
      <w:r>
        <w:rPr>
          <w:spacing w:val="-17"/>
        </w:rPr>
        <w:t xml:space="preserve"> </w:t>
      </w:r>
      <w:r>
        <w:t>S</w:t>
      </w:r>
      <w:r>
        <w:rPr>
          <w:vertAlign w:val="subscript"/>
        </w:rPr>
        <w:t>1</w:t>
      </w:r>
      <w:r>
        <w:rPr>
          <w:spacing w:val="-15"/>
        </w:rPr>
        <w:t xml:space="preserve"> </w:t>
      </w:r>
      <w:r>
        <w:t>and</w:t>
      </w:r>
      <w:r>
        <w:rPr>
          <w:spacing w:val="-19"/>
        </w:rPr>
        <w:t xml:space="preserve"> </w:t>
      </w:r>
      <w:r>
        <w:t>S</w:t>
      </w:r>
      <w:r>
        <w:rPr>
          <w:vertAlign w:val="subscript"/>
        </w:rPr>
        <w:t>2</w:t>
      </w:r>
      <w:r>
        <w:rPr>
          <w:spacing w:val="-12"/>
        </w:rPr>
        <w:t xml:space="preserve"> </w:t>
      </w:r>
      <w:r>
        <w:t>coincide</w:t>
      </w:r>
      <w:r>
        <w:rPr>
          <w:spacing w:val="-17"/>
        </w:rPr>
        <w:t xml:space="preserve"> </w:t>
      </w:r>
      <w:r>
        <w:t>in</w:t>
      </w:r>
      <w:r>
        <w:rPr>
          <w:spacing w:val="-17"/>
        </w:rPr>
        <w:t xml:space="preserve"> </w:t>
      </w:r>
      <w:r>
        <w:t>meaning</w:t>
      </w:r>
      <w:r>
        <w:rPr>
          <w:spacing w:val="-17"/>
        </w:rPr>
        <w:t xml:space="preserve"> </w:t>
      </w:r>
      <w:r>
        <w:rPr>
          <w:spacing w:val="-2"/>
        </w:rPr>
        <w:t>exactly</w:t>
      </w:r>
    </w:p>
    <w:p w14:paraId="7E000785" w14:textId="77777777" w:rsidR="009A58DB" w:rsidRDefault="00000000">
      <w:pPr>
        <w:pStyle w:val="BodyText"/>
        <w:spacing w:before="75" w:line="249" w:lineRule="auto"/>
        <w:ind w:left="720" w:right="717"/>
      </w:pPr>
      <w:r>
        <w:t>if</w:t>
      </w:r>
      <w:r>
        <w:rPr>
          <w:spacing w:val="-17"/>
        </w:rPr>
        <w:t xml:space="preserve"> </w:t>
      </w:r>
      <w:r>
        <w:t>they</w:t>
      </w:r>
      <w:r>
        <w:rPr>
          <w:spacing w:val="-17"/>
        </w:rPr>
        <w:t xml:space="preserve"> </w:t>
      </w:r>
      <w:r>
        <w:t>are</w:t>
      </w:r>
      <w:r>
        <w:rPr>
          <w:spacing w:val="-17"/>
        </w:rPr>
        <w:t xml:space="preserve"> </w:t>
      </w:r>
      <w:r>
        <w:t>used</w:t>
      </w:r>
      <w:r>
        <w:rPr>
          <w:spacing w:val="-17"/>
        </w:rPr>
        <w:t xml:space="preserve"> </w:t>
      </w:r>
      <w:r>
        <w:t>in</w:t>
      </w:r>
      <w:r>
        <w:rPr>
          <w:spacing w:val="-17"/>
        </w:rPr>
        <w:t xml:space="preserve"> </w:t>
      </w:r>
      <w:r>
        <w:t>the</w:t>
      </w:r>
      <w:r>
        <w:rPr>
          <w:spacing w:val="-17"/>
        </w:rPr>
        <w:t xml:space="preserve"> </w:t>
      </w:r>
      <w:r>
        <w:t>same</w:t>
      </w:r>
      <w:r>
        <w:rPr>
          <w:spacing w:val="-17"/>
        </w:rPr>
        <w:t xml:space="preserve"> </w:t>
      </w:r>
      <w:r>
        <w:t>way.</w:t>
      </w:r>
      <w:r>
        <w:rPr>
          <w:spacing w:val="-17"/>
        </w:rPr>
        <w:t xml:space="preserve"> </w:t>
      </w:r>
      <w:r>
        <w:t>So</w:t>
      </w:r>
      <w:r>
        <w:rPr>
          <w:spacing w:val="-17"/>
        </w:rPr>
        <w:t xml:space="preserve"> </w:t>
      </w:r>
      <w:r>
        <w:t>instead</w:t>
      </w:r>
      <w:r>
        <w:rPr>
          <w:spacing w:val="-17"/>
        </w:rPr>
        <w:t xml:space="preserve"> </w:t>
      </w:r>
      <w:r>
        <w:t>of</w:t>
      </w:r>
      <w:r>
        <w:rPr>
          <w:spacing w:val="-17"/>
        </w:rPr>
        <w:t xml:space="preserve"> </w:t>
      </w:r>
      <w:r>
        <w:t>identifying</w:t>
      </w:r>
      <w:r>
        <w:rPr>
          <w:spacing w:val="-17"/>
        </w:rPr>
        <w:t xml:space="preserve"> </w:t>
      </w:r>
      <w:r>
        <w:t>the</w:t>
      </w:r>
      <w:r>
        <w:rPr>
          <w:spacing w:val="-17"/>
        </w:rPr>
        <w:t xml:space="preserve"> </w:t>
      </w:r>
      <w:r>
        <w:t>meaning</w:t>
      </w:r>
      <w:r>
        <w:rPr>
          <w:spacing w:val="-17"/>
        </w:rPr>
        <w:t xml:space="preserve"> </w:t>
      </w:r>
      <w:r>
        <w:t>of “grass</w:t>
      </w:r>
      <w:r>
        <w:rPr>
          <w:spacing w:val="-10"/>
        </w:rPr>
        <w:t xml:space="preserve"> </w:t>
      </w:r>
      <w:r>
        <w:t>is</w:t>
      </w:r>
      <w:r>
        <w:rPr>
          <w:spacing w:val="-10"/>
        </w:rPr>
        <w:t xml:space="preserve"> </w:t>
      </w:r>
      <w:r>
        <w:t>green”</w:t>
      </w:r>
      <w:r>
        <w:rPr>
          <w:spacing w:val="-10"/>
        </w:rPr>
        <w:t xml:space="preserve"> </w:t>
      </w:r>
      <w:r>
        <w:t>with</w:t>
      </w:r>
      <w:r>
        <w:rPr>
          <w:spacing w:val="-10"/>
        </w:rPr>
        <w:t xml:space="preserve"> </w:t>
      </w:r>
      <w:r>
        <w:t>some</w:t>
      </w:r>
      <w:r>
        <w:rPr>
          <w:spacing w:val="-10"/>
        </w:rPr>
        <w:t xml:space="preserve"> </w:t>
      </w:r>
      <w:r>
        <w:t>non-spatiotemporal</w:t>
      </w:r>
      <w:r>
        <w:rPr>
          <w:spacing w:val="-10"/>
        </w:rPr>
        <w:t xml:space="preserve"> </w:t>
      </w:r>
      <w:r>
        <w:t>entity—with</w:t>
      </w:r>
      <w:r>
        <w:rPr>
          <w:spacing w:val="-10"/>
        </w:rPr>
        <w:t xml:space="preserve"> </w:t>
      </w:r>
      <w:r>
        <w:t>some</w:t>
      </w:r>
      <w:r>
        <w:rPr>
          <w:spacing w:val="-10"/>
        </w:rPr>
        <w:t xml:space="preserve"> </w:t>
      </w:r>
      <w:r>
        <w:t>entity whose</w:t>
      </w:r>
      <w:r>
        <w:rPr>
          <w:spacing w:val="-21"/>
        </w:rPr>
        <w:t xml:space="preserve"> </w:t>
      </w:r>
      <w:r>
        <w:t>existence</w:t>
      </w:r>
      <w:r>
        <w:rPr>
          <w:spacing w:val="-19"/>
        </w:rPr>
        <w:t xml:space="preserve"> </w:t>
      </w:r>
      <w:r>
        <w:t>is</w:t>
      </w:r>
      <w:r>
        <w:rPr>
          <w:spacing w:val="-19"/>
        </w:rPr>
        <w:t xml:space="preserve"> </w:t>
      </w:r>
      <w:r>
        <w:t>in</w:t>
      </w:r>
      <w:r>
        <w:rPr>
          <w:spacing w:val="-18"/>
        </w:rPr>
        <w:t xml:space="preserve"> </w:t>
      </w:r>
      <w:r>
        <w:t>doubt</w:t>
      </w:r>
      <w:r>
        <w:rPr>
          <w:spacing w:val="-19"/>
        </w:rPr>
        <w:t xml:space="preserve"> </w:t>
      </w:r>
      <w:r>
        <w:t>and</w:t>
      </w:r>
      <w:r>
        <w:rPr>
          <w:spacing w:val="-19"/>
        </w:rPr>
        <w:t xml:space="preserve"> </w:t>
      </w:r>
      <w:r>
        <w:t>whose</w:t>
      </w:r>
      <w:r>
        <w:rPr>
          <w:spacing w:val="-19"/>
        </w:rPr>
        <w:t xml:space="preserve"> </w:t>
      </w:r>
      <w:r>
        <w:t>role</w:t>
      </w:r>
      <w:r>
        <w:rPr>
          <w:spacing w:val="-18"/>
        </w:rPr>
        <w:t xml:space="preserve"> </w:t>
      </w:r>
      <w:r>
        <w:t>in</w:t>
      </w:r>
      <w:r>
        <w:rPr>
          <w:spacing w:val="-19"/>
        </w:rPr>
        <w:t xml:space="preserve"> </w:t>
      </w:r>
      <w:r>
        <w:t>human</w:t>
      </w:r>
      <w:r>
        <w:rPr>
          <w:spacing w:val="-19"/>
        </w:rPr>
        <w:t xml:space="preserve"> </w:t>
      </w:r>
      <w:r>
        <w:t>affairs,</w:t>
      </w:r>
      <w:r>
        <w:rPr>
          <w:spacing w:val="-19"/>
        </w:rPr>
        <w:t xml:space="preserve"> </w:t>
      </w:r>
      <w:r>
        <w:t>supposing</w:t>
      </w:r>
      <w:r>
        <w:rPr>
          <w:spacing w:val="-18"/>
        </w:rPr>
        <w:t xml:space="preserve"> </w:t>
      </w:r>
      <w:r>
        <w:t>it to</w:t>
      </w:r>
      <w:r>
        <w:rPr>
          <w:spacing w:val="-14"/>
        </w:rPr>
        <w:t xml:space="preserve"> </w:t>
      </w:r>
      <w:r>
        <w:t>exist,</w:t>
      </w:r>
      <w:r>
        <w:rPr>
          <w:spacing w:val="-14"/>
        </w:rPr>
        <w:t xml:space="preserve"> </w:t>
      </w:r>
      <w:r>
        <w:t>is</w:t>
      </w:r>
      <w:r>
        <w:rPr>
          <w:spacing w:val="-14"/>
        </w:rPr>
        <w:t xml:space="preserve"> </w:t>
      </w:r>
      <w:r>
        <w:t>also</w:t>
      </w:r>
      <w:r>
        <w:rPr>
          <w:spacing w:val="-14"/>
        </w:rPr>
        <w:t xml:space="preserve"> </w:t>
      </w:r>
      <w:r>
        <w:t>in</w:t>
      </w:r>
      <w:r>
        <w:rPr>
          <w:spacing w:val="-14"/>
        </w:rPr>
        <w:t xml:space="preserve"> </w:t>
      </w:r>
      <w:r>
        <w:t>doubt—we</w:t>
      </w:r>
      <w:r>
        <w:rPr>
          <w:spacing w:val="-14"/>
        </w:rPr>
        <w:t xml:space="preserve"> </w:t>
      </w:r>
      <w:r>
        <w:t>can</w:t>
      </w:r>
      <w:r>
        <w:rPr>
          <w:spacing w:val="-14"/>
        </w:rPr>
        <w:t xml:space="preserve"> </w:t>
      </w:r>
      <w:r>
        <w:t>just</w:t>
      </w:r>
      <w:r>
        <w:rPr>
          <w:spacing w:val="-14"/>
        </w:rPr>
        <w:t xml:space="preserve"> </w:t>
      </w:r>
      <w:r>
        <w:t>say</w:t>
      </w:r>
      <w:r>
        <w:rPr>
          <w:spacing w:val="-14"/>
        </w:rPr>
        <w:t xml:space="preserve"> </w:t>
      </w:r>
      <w:r>
        <w:t>that</w:t>
      </w:r>
      <w:r>
        <w:rPr>
          <w:spacing w:val="-14"/>
        </w:rPr>
        <w:t xml:space="preserve"> </w:t>
      </w:r>
      <w:r>
        <w:t>two</w:t>
      </w:r>
      <w:r>
        <w:rPr>
          <w:spacing w:val="-14"/>
        </w:rPr>
        <w:t xml:space="preserve"> </w:t>
      </w:r>
      <w:r>
        <w:t>expressions</w:t>
      </w:r>
      <w:r>
        <w:rPr>
          <w:spacing w:val="40"/>
        </w:rPr>
        <w:t xml:space="preserve"> </w:t>
      </w:r>
      <w:r>
        <w:t>“have</w:t>
      </w:r>
      <w:r>
        <w:rPr>
          <w:spacing w:val="-14"/>
        </w:rPr>
        <w:t xml:space="preserve"> </w:t>
      </w:r>
      <w:r>
        <w:t>the same</w:t>
      </w:r>
      <w:r>
        <w:rPr>
          <w:spacing w:val="-11"/>
        </w:rPr>
        <w:t xml:space="preserve"> </w:t>
      </w:r>
      <w:r>
        <w:t>meaning”</w:t>
      </w:r>
      <w:r>
        <w:rPr>
          <w:spacing w:val="-2"/>
        </w:rPr>
        <w:t xml:space="preserve"> </w:t>
      </w:r>
      <w:r>
        <w:t>if</w:t>
      </w:r>
      <w:r>
        <w:rPr>
          <w:spacing w:val="-2"/>
        </w:rPr>
        <w:t xml:space="preserve"> </w:t>
      </w:r>
      <w:r>
        <w:t>they’re</w:t>
      </w:r>
      <w:r>
        <w:rPr>
          <w:spacing w:val="-2"/>
        </w:rPr>
        <w:t xml:space="preserve"> </w:t>
      </w:r>
      <w:r>
        <w:t>used</w:t>
      </w:r>
      <w:r>
        <w:rPr>
          <w:spacing w:val="-2"/>
        </w:rPr>
        <w:t xml:space="preserve"> </w:t>
      </w:r>
      <w:r>
        <w:t>in</w:t>
      </w:r>
      <w:r>
        <w:rPr>
          <w:spacing w:val="-2"/>
        </w:rPr>
        <w:t xml:space="preserve"> </w:t>
      </w:r>
      <w:r>
        <w:t>the</w:t>
      </w:r>
      <w:r>
        <w:rPr>
          <w:spacing w:val="-2"/>
        </w:rPr>
        <w:t xml:space="preserve"> </w:t>
      </w:r>
      <w:r>
        <w:t>same</w:t>
      </w:r>
      <w:r>
        <w:rPr>
          <w:spacing w:val="-2"/>
        </w:rPr>
        <w:t xml:space="preserve"> </w:t>
      </w:r>
      <w:r>
        <w:t>way.</w:t>
      </w:r>
      <w:r>
        <w:rPr>
          <w:spacing w:val="-15"/>
        </w:rPr>
        <w:t xml:space="preserve"> </w:t>
      </w:r>
      <w:r>
        <w:t>An</w:t>
      </w:r>
      <w:r>
        <w:rPr>
          <w:spacing w:val="-2"/>
        </w:rPr>
        <w:t xml:space="preserve"> </w:t>
      </w:r>
      <w:r>
        <w:t>obvious</w:t>
      </w:r>
      <w:r>
        <w:rPr>
          <w:spacing w:val="-19"/>
        </w:rPr>
        <w:t xml:space="preserve"> </w:t>
      </w:r>
      <w:r>
        <w:t>corollary is that</w:t>
      </w:r>
      <w:r>
        <w:rPr>
          <w:spacing w:val="-2"/>
        </w:rPr>
        <w:t xml:space="preserve"> </w:t>
      </w:r>
      <w:r>
        <w:t>for</w:t>
      </w:r>
      <w:r>
        <w:rPr>
          <w:spacing w:val="1"/>
        </w:rPr>
        <w:t xml:space="preserve"> </w:t>
      </w:r>
      <w:r>
        <w:t>an</w:t>
      </w:r>
      <w:r>
        <w:rPr>
          <w:spacing w:val="1"/>
        </w:rPr>
        <w:t xml:space="preserve"> </w:t>
      </w:r>
      <w:r>
        <w:t>expression</w:t>
      </w:r>
      <w:r>
        <w:rPr>
          <w:spacing w:val="1"/>
        </w:rPr>
        <w:t xml:space="preserve"> </w:t>
      </w:r>
      <w:r>
        <w:t>to</w:t>
      </w:r>
      <w:r>
        <w:rPr>
          <w:spacing w:val="1"/>
        </w:rPr>
        <w:t xml:space="preserve"> </w:t>
      </w:r>
      <w:r>
        <w:t>have</w:t>
      </w:r>
      <w:r>
        <w:rPr>
          <w:spacing w:val="1"/>
        </w:rPr>
        <w:t xml:space="preserve"> </w:t>
      </w:r>
      <w:r>
        <w:t>this</w:t>
      </w:r>
      <w:r>
        <w:rPr>
          <w:spacing w:val="1"/>
        </w:rPr>
        <w:t xml:space="preserve"> </w:t>
      </w:r>
      <w:r>
        <w:t>as</w:t>
      </w:r>
      <w:r>
        <w:rPr>
          <w:spacing w:val="1"/>
        </w:rPr>
        <w:t xml:space="preserve"> </w:t>
      </w:r>
      <w:r>
        <w:t>opposed</w:t>
      </w:r>
      <w:r>
        <w:rPr>
          <w:spacing w:val="1"/>
        </w:rPr>
        <w:t xml:space="preserve"> </w:t>
      </w:r>
      <w:r>
        <w:t>to</w:t>
      </w:r>
      <w:r>
        <w:rPr>
          <w:spacing w:val="1"/>
        </w:rPr>
        <w:t xml:space="preserve"> </w:t>
      </w:r>
      <w:r>
        <w:t>that “meaning”</w:t>
      </w:r>
      <w:r>
        <w:rPr>
          <w:spacing w:val="1"/>
        </w:rPr>
        <w:t xml:space="preserve"> </w:t>
      </w:r>
      <w:r>
        <w:t>is</w:t>
      </w:r>
      <w:r>
        <w:rPr>
          <w:spacing w:val="1"/>
        </w:rPr>
        <w:t xml:space="preserve"> </w:t>
      </w:r>
      <w:r>
        <w:t>for</w:t>
      </w:r>
      <w:r>
        <w:rPr>
          <w:spacing w:val="2"/>
        </w:rPr>
        <w:t xml:space="preserve"> </w:t>
      </w:r>
      <w:r>
        <w:rPr>
          <w:spacing w:val="-5"/>
        </w:rPr>
        <w:t>it</w:t>
      </w:r>
    </w:p>
    <w:p w14:paraId="7E00078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87" w14:textId="77777777" w:rsidR="009A58DB" w:rsidRDefault="00000000">
      <w:pPr>
        <w:pStyle w:val="BodyText"/>
        <w:spacing w:before="65"/>
        <w:ind w:left="720"/>
        <w:jc w:val="left"/>
      </w:pPr>
      <w:r>
        <w:lastRenderedPageBreak/>
        <w:t>to</w:t>
      </w:r>
      <w:r>
        <w:rPr>
          <w:spacing w:val="-4"/>
        </w:rPr>
        <w:t xml:space="preserve"> </w:t>
      </w:r>
      <w:r>
        <w:t>be</w:t>
      </w:r>
      <w:r>
        <w:rPr>
          <w:spacing w:val="-2"/>
        </w:rPr>
        <w:t xml:space="preserve"> </w:t>
      </w:r>
      <w:r>
        <w:t>used</w:t>
      </w:r>
      <w:r>
        <w:rPr>
          <w:spacing w:val="-1"/>
        </w:rPr>
        <w:t xml:space="preserve"> </w:t>
      </w:r>
      <w:r>
        <w:t>in</w:t>
      </w:r>
      <w:r>
        <w:rPr>
          <w:spacing w:val="-2"/>
        </w:rPr>
        <w:t xml:space="preserve"> </w:t>
      </w:r>
      <w:r>
        <w:t>this</w:t>
      </w:r>
      <w:r>
        <w:rPr>
          <w:spacing w:val="-2"/>
        </w:rPr>
        <w:t xml:space="preserve"> </w:t>
      </w:r>
      <w:r>
        <w:t>as</w:t>
      </w:r>
      <w:r>
        <w:rPr>
          <w:spacing w:val="-2"/>
        </w:rPr>
        <w:t xml:space="preserve"> </w:t>
      </w:r>
      <w:r>
        <w:t>opposed</w:t>
      </w:r>
      <w:r>
        <w:rPr>
          <w:spacing w:val="-2"/>
        </w:rPr>
        <w:t xml:space="preserve"> </w:t>
      </w:r>
      <w:r>
        <w:t>to</w:t>
      </w:r>
      <w:r>
        <w:rPr>
          <w:spacing w:val="-1"/>
        </w:rPr>
        <w:t xml:space="preserve"> </w:t>
      </w:r>
      <w:r>
        <w:t>that</w:t>
      </w:r>
      <w:r>
        <w:rPr>
          <w:spacing w:val="-2"/>
        </w:rPr>
        <w:t xml:space="preserve"> </w:t>
      </w:r>
      <w:r>
        <w:rPr>
          <w:spacing w:val="-4"/>
        </w:rPr>
        <w:t>way.</w:t>
      </w:r>
    </w:p>
    <w:p w14:paraId="7E000788" w14:textId="77777777" w:rsidR="009A58DB" w:rsidRDefault="009A58DB">
      <w:pPr>
        <w:pStyle w:val="BodyText"/>
        <w:spacing w:before="29"/>
        <w:ind w:left="0"/>
        <w:jc w:val="left"/>
      </w:pPr>
    </w:p>
    <w:p w14:paraId="7E000789" w14:textId="77777777" w:rsidR="009A58DB" w:rsidRDefault="00000000">
      <w:pPr>
        <w:pStyle w:val="BodyText"/>
        <w:spacing w:before="1" w:line="249" w:lineRule="auto"/>
        <w:ind w:right="358" w:firstLine="360"/>
      </w:pPr>
      <w:r>
        <w:t>Were WA cogent, Wittgenstein would be doing to meanings what Frege did to square circles. Frege got rid of square circles by showing that</w:t>
      </w:r>
      <w:r>
        <w:rPr>
          <w:spacing w:val="40"/>
        </w:rPr>
        <w:t xml:space="preserve"> </w:t>
      </w:r>
      <w:r>
        <w:t xml:space="preserve">sentences appearing to require their existence (e.g. “square circles simultaneously have, and lack, uniform curvatures”) are equivalent to sentences that don’t (e.g. “the statement </w:t>
      </w:r>
      <w:r>
        <w:rPr>
          <w:i/>
        </w:rPr>
        <w:t xml:space="preserve">x is a circle </w:t>
      </w:r>
      <w:r>
        <w:t xml:space="preserve">entails </w:t>
      </w:r>
      <w:r>
        <w:rPr>
          <w:i/>
        </w:rPr>
        <w:t xml:space="preserve">x has a uniform curvature </w:t>
      </w:r>
      <w:r>
        <w:t xml:space="preserve">and the statement </w:t>
      </w:r>
      <w:r>
        <w:rPr>
          <w:i/>
        </w:rPr>
        <w:t xml:space="preserve">x is a square </w:t>
      </w:r>
      <w:r>
        <w:t xml:space="preserve">entails </w:t>
      </w:r>
      <w:r>
        <w:rPr>
          <w:i/>
        </w:rPr>
        <w:t>x does not have a uniform curvature</w:t>
      </w:r>
      <w:r>
        <w:t>”). Wittgenstein wishes to get rid of meanings by showing that statements appearing to require the existence of expression-meanings are equivalent to statements (about expression-usage) that don’t.</w:t>
      </w:r>
    </w:p>
    <w:p w14:paraId="7E00078A" w14:textId="77777777" w:rsidR="009A58DB" w:rsidRDefault="00000000">
      <w:pPr>
        <w:pStyle w:val="BodyText"/>
        <w:spacing w:before="11" w:line="249" w:lineRule="auto"/>
        <w:ind w:right="358" w:firstLine="360"/>
      </w:pPr>
      <w:r>
        <w:t>This wish of Wittgenstein’s embodies some very wrong views as to what linguistic</w:t>
      </w:r>
      <w:r>
        <w:rPr>
          <w:spacing w:val="-1"/>
        </w:rPr>
        <w:t xml:space="preserve"> </w:t>
      </w:r>
      <w:r>
        <w:t>expressions</w:t>
      </w:r>
      <w:r>
        <w:rPr>
          <w:spacing w:val="-1"/>
        </w:rPr>
        <w:t xml:space="preserve"> </w:t>
      </w:r>
      <w:r>
        <w:t>are.</w:t>
      </w:r>
      <w:r>
        <w:rPr>
          <w:spacing w:val="-1"/>
        </w:rPr>
        <w:t xml:space="preserve"> </w:t>
      </w:r>
      <w:r>
        <w:t>A</w:t>
      </w:r>
      <w:r>
        <w:rPr>
          <w:spacing w:val="-1"/>
        </w:rPr>
        <w:t xml:space="preserve"> </w:t>
      </w:r>
      <w:r>
        <w:t>burst</w:t>
      </w:r>
      <w:r>
        <w:rPr>
          <w:spacing w:val="-1"/>
        </w:rPr>
        <w:t xml:space="preserve"> </w:t>
      </w:r>
      <w:r>
        <w:t>of</w:t>
      </w:r>
      <w:r>
        <w:rPr>
          <w:spacing w:val="-1"/>
        </w:rPr>
        <w:t xml:space="preserve"> </w:t>
      </w:r>
      <w:r>
        <w:t>noise</w:t>
      </w:r>
      <w:r>
        <w:rPr>
          <w:spacing w:val="-1"/>
        </w:rPr>
        <w:t xml:space="preserve"> </w:t>
      </w:r>
      <w:r>
        <w:t>that</w:t>
      </w:r>
      <w:r>
        <w:rPr>
          <w:spacing w:val="-1"/>
        </w:rPr>
        <w:t xml:space="preserve"> </w:t>
      </w:r>
      <w:r>
        <w:t>doesn’t</w:t>
      </w:r>
      <w:r>
        <w:rPr>
          <w:spacing w:val="-1"/>
        </w:rPr>
        <w:t xml:space="preserve"> </w:t>
      </w:r>
      <w:r>
        <w:t>have</w:t>
      </w:r>
      <w:r>
        <w:rPr>
          <w:spacing w:val="-1"/>
        </w:rPr>
        <w:t xml:space="preserve"> </w:t>
      </w:r>
      <w:r>
        <w:t>a</w:t>
      </w:r>
      <w:r>
        <w:rPr>
          <w:spacing w:val="-1"/>
        </w:rPr>
        <w:t xml:space="preserve"> </w:t>
      </w:r>
      <w:r>
        <w:t>meaning</w:t>
      </w:r>
      <w:r>
        <w:rPr>
          <w:spacing w:val="-1"/>
        </w:rPr>
        <w:t xml:space="preserve"> </w:t>
      </w:r>
      <w:r>
        <w:t>is</w:t>
      </w:r>
      <w:r>
        <w:rPr>
          <w:spacing w:val="-1"/>
        </w:rPr>
        <w:t xml:space="preserve"> </w:t>
      </w:r>
      <w:r>
        <w:t xml:space="preserve">just a burst of noise. A burst of noise is an </w:t>
      </w:r>
      <w:r>
        <w:rPr>
          <w:i/>
        </w:rPr>
        <w:t xml:space="preserve">expression </w:t>
      </w:r>
      <w:r>
        <w:t>only if it has a meaning.</w:t>
      </w:r>
      <w:r>
        <w:rPr>
          <w:spacing w:val="40"/>
        </w:rPr>
        <w:t xml:space="preserve"> </w:t>
      </w:r>
      <w:r>
        <w:t>But</w:t>
      </w:r>
      <w:r>
        <w:rPr>
          <w:spacing w:val="-2"/>
        </w:rPr>
        <w:t xml:space="preserve"> </w:t>
      </w:r>
      <w:r>
        <w:t>if</w:t>
      </w:r>
      <w:r>
        <w:rPr>
          <w:spacing w:val="-2"/>
        </w:rPr>
        <w:t xml:space="preserve"> </w:t>
      </w:r>
      <w:r>
        <w:t>it</w:t>
      </w:r>
      <w:r>
        <w:rPr>
          <w:spacing w:val="-2"/>
        </w:rPr>
        <w:t xml:space="preserve"> </w:t>
      </w:r>
      <w:r>
        <w:t>already</w:t>
      </w:r>
      <w:r>
        <w:rPr>
          <w:spacing w:val="-2"/>
        </w:rPr>
        <w:t xml:space="preserve"> </w:t>
      </w:r>
      <w:r>
        <w:t>has</w:t>
      </w:r>
      <w:r>
        <w:rPr>
          <w:spacing w:val="-2"/>
        </w:rPr>
        <w:t xml:space="preserve"> </w:t>
      </w:r>
      <w:r>
        <w:t>a</w:t>
      </w:r>
      <w:r>
        <w:rPr>
          <w:spacing w:val="-2"/>
        </w:rPr>
        <w:t xml:space="preserve"> </w:t>
      </w:r>
      <w:r>
        <w:t>meaning,</w:t>
      </w:r>
      <w:r>
        <w:rPr>
          <w:spacing w:val="-2"/>
        </w:rPr>
        <w:t xml:space="preserve"> </w:t>
      </w:r>
      <w:r>
        <w:t>then</w:t>
      </w:r>
      <w:r>
        <w:rPr>
          <w:spacing w:val="-2"/>
        </w:rPr>
        <w:t xml:space="preserve"> </w:t>
      </w:r>
      <w:r>
        <w:t>how</w:t>
      </w:r>
      <w:r>
        <w:rPr>
          <w:spacing w:val="-2"/>
        </w:rPr>
        <w:t xml:space="preserve"> </w:t>
      </w:r>
      <w:r>
        <w:t>it’s</w:t>
      </w:r>
      <w:r>
        <w:rPr>
          <w:spacing w:val="-2"/>
        </w:rPr>
        <w:t xml:space="preserve"> </w:t>
      </w:r>
      <w:r>
        <w:t>being</w:t>
      </w:r>
      <w:r>
        <w:rPr>
          <w:spacing w:val="-2"/>
        </w:rPr>
        <w:t xml:space="preserve"> </w:t>
      </w:r>
      <w:r>
        <w:t>used</w:t>
      </w:r>
      <w:r>
        <w:rPr>
          <w:spacing w:val="-2"/>
        </w:rPr>
        <w:t xml:space="preserve"> </w:t>
      </w:r>
      <w:r>
        <w:t>isn’t</w:t>
      </w:r>
      <w:r>
        <w:rPr>
          <w:spacing w:val="-2"/>
        </w:rPr>
        <w:t xml:space="preserve"> </w:t>
      </w:r>
      <w:r>
        <w:t>what</w:t>
      </w:r>
      <w:r>
        <w:rPr>
          <w:spacing w:val="-2"/>
        </w:rPr>
        <w:t xml:space="preserve"> </w:t>
      </w:r>
      <w:r>
        <w:t>gives</w:t>
      </w:r>
      <w:r>
        <w:rPr>
          <w:spacing w:val="-2"/>
        </w:rPr>
        <w:t xml:space="preserve"> </w:t>
      </w:r>
      <w:r>
        <w:t>it</w:t>
      </w:r>
      <w:r>
        <w:rPr>
          <w:spacing w:val="-2"/>
        </w:rPr>
        <w:t xml:space="preserve"> </w:t>
      </w:r>
      <w:r>
        <w:t xml:space="preserve">its </w:t>
      </w:r>
      <w:r>
        <w:rPr>
          <w:spacing w:val="-2"/>
        </w:rPr>
        <w:t>meaning.</w:t>
      </w:r>
    </w:p>
    <w:p w14:paraId="7E00078B" w14:textId="77777777" w:rsidR="009A58DB" w:rsidRDefault="00000000">
      <w:pPr>
        <w:pStyle w:val="BodyText"/>
        <w:spacing w:before="6" w:line="249" w:lineRule="auto"/>
        <w:ind w:right="358" w:firstLine="360"/>
      </w:pPr>
      <w:r>
        <w:t xml:space="preserve">Our knowledge of what words mean is what </w:t>
      </w:r>
      <w:r>
        <w:rPr>
          <w:i/>
        </w:rPr>
        <w:t xml:space="preserve">guides </w:t>
      </w:r>
      <w:r>
        <w:t>our linguistic</w:t>
      </w:r>
      <w:r>
        <w:rPr>
          <w:spacing w:val="40"/>
        </w:rPr>
        <w:t xml:space="preserve"> </w:t>
      </w:r>
      <w:r>
        <w:t xml:space="preserve">behavior. Expressions have meanings. We know this. And that’s why we use expressions in the way we do. I know what “hug” means; I also know what “discuss” means. That’s why, when talking to my students, I say “I want to discuss the exam,” and not “I want to hug the exam.” If meaning were use, meaning couldn’t </w:t>
      </w:r>
      <w:r>
        <w:rPr>
          <w:i/>
        </w:rPr>
        <w:t xml:space="preserve">guide </w:t>
      </w:r>
      <w:r>
        <w:t>use. But it obviously does.</w:t>
      </w:r>
    </w:p>
    <w:p w14:paraId="7E00078C" w14:textId="77777777" w:rsidR="009A58DB" w:rsidRDefault="00000000">
      <w:pPr>
        <w:pStyle w:val="BodyText"/>
        <w:spacing w:before="7" w:line="249" w:lineRule="auto"/>
        <w:ind w:right="359" w:firstLine="360"/>
      </w:pPr>
      <w:r>
        <w:t xml:space="preserve">To the extent that meaning </w:t>
      </w:r>
      <w:r>
        <w:rPr>
          <w:i/>
        </w:rPr>
        <w:t xml:space="preserve">doesn’t </w:t>
      </w:r>
      <w:r>
        <w:t xml:space="preserve">guide use, people are </w:t>
      </w:r>
      <w:r>
        <w:rPr>
          <w:i/>
        </w:rPr>
        <w:t>mis</w:t>
      </w:r>
      <w:r>
        <w:t xml:space="preserve">speaking. Wanting to tell you that you’re an absolute genius, I say “you’re an absolute moron,” since, despite my generally good command of the English language, I wrongly think that “moron” means </w:t>
      </w:r>
      <w:r>
        <w:rPr>
          <w:i/>
        </w:rPr>
        <w:t xml:space="preserve">genius. </w:t>
      </w:r>
      <w:r>
        <w:t xml:space="preserve">To the extent that my uttering those words embodied a </w:t>
      </w:r>
      <w:r>
        <w:rPr>
          <w:i/>
        </w:rPr>
        <w:t xml:space="preserve">failure </w:t>
      </w:r>
      <w:r>
        <w:t xml:space="preserve">to know the actual meaning of what I was saying—to the extent that meaning </w:t>
      </w:r>
      <w:r>
        <w:rPr>
          <w:i/>
        </w:rPr>
        <w:t xml:space="preserve">failed </w:t>
      </w:r>
      <w:r>
        <w:t xml:space="preserve">to guide use, in other words—I </w:t>
      </w:r>
      <w:r>
        <w:rPr>
          <w:i/>
        </w:rPr>
        <w:t>mis</w:t>
      </w:r>
      <w:r>
        <w:t xml:space="preserve">spoke. And to the extent that my uttering those words embodied a knowledge of what they meant—to the extent that meaning </w:t>
      </w:r>
      <w:r>
        <w:rPr>
          <w:i/>
        </w:rPr>
        <w:t xml:space="preserve">did </w:t>
      </w:r>
      <w:r>
        <w:t>guide use, in other words—I spoke properly. This shows that, to the extent that utterances aren’t</w:t>
      </w:r>
      <w:r>
        <w:rPr>
          <w:spacing w:val="-1"/>
        </w:rPr>
        <w:t xml:space="preserve"> </w:t>
      </w:r>
      <w:r>
        <w:t>simply</w:t>
      </w:r>
      <w:r>
        <w:rPr>
          <w:spacing w:val="-1"/>
        </w:rPr>
        <w:t xml:space="preserve"> </w:t>
      </w:r>
      <w:r>
        <w:t>defective,</w:t>
      </w:r>
      <w:r>
        <w:rPr>
          <w:spacing w:val="-1"/>
        </w:rPr>
        <w:t xml:space="preserve"> </w:t>
      </w:r>
      <w:r>
        <w:t>meaning</w:t>
      </w:r>
      <w:r>
        <w:rPr>
          <w:spacing w:val="-1"/>
        </w:rPr>
        <w:t xml:space="preserve"> </w:t>
      </w:r>
      <w:r>
        <w:t>guides</w:t>
      </w:r>
      <w:r>
        <w:rPr>
          <w:spacing w:val="-1"/>
        </w:rPr>
        <w:t xml:space="preserve"> </w:t>
      </w:r>
      <w:r>
        <w:t>use</w:t>
      </w:r>
      <w:r>
        <w:rPr>
          <w:spacing w:val="-1"/>
        </w:rPr>
        <w:t xml:space="preserve"> </w:t>
      </w:r>
      <w:r>
        <w:t>and,</w:t>
      </w:r>
      <w:r>
        <w:rPr>
          <w:spacing w:val="-1"/>
        </w:rPr>
        <w:t xml:space="preserve"> </w:t>
      </w:r>
      <w:r>
        <w:t>consequently,</w:t>
      </w:r>
      <w:r>
        <w:rPr>
          <w:spacing w:val="-1"/>
        </w:rPr>
        <w:t xml:space="preserve"> </w:t>
      </w:r>
      <w:r>
        <w:t>that</w:t>
      </w:r>
      <w:r>
        <w:rPr>
          <w:spacing w:val="-1"/>
        </w:rPr>
        <w:t xml:space="preserve"> </w:t>
      </w:r>
      <w:r>
        <w:t>use</w:t>
      </w:r>
      <w:r>
        <w:rPr>
          <w:spacing w:val="-1"/>
        </w:rPr>
        <w:t xml:space="preserve"> </w:t>
      </w:r>
      <w:r>
        <w:t>is</w:t>
      </w:r>
      <w:r>
        <w:rPr>
          <w:spacing w:val="-1"/>
        </w:rPr>
        <w:t xml:space="preserve"> </w:t>
      </w:r>
      <w:r>
        <w:rPr>
          <w:i/>
        </w:rPr>
        <w:t xml:space="preserve">not </w:t>
      </w:r>
      <w:r>
        <w:t>constitutive of meaning.</w:t>
      </w:r>
    </w:p>
    <w:p w14:paraId="7E00078D" w14:textId="77777777" w:rsidR="009A58DB" w:rsidRDefault="00000000">
      <w:pPr>
        <w:pStyle w:val="BodyText"/>
        <w:spacing w:before="14" w:line="249" w:lineRule="auto"/>
        <w:ind w:right="366" w:firstLine="360"/>
      </w:pPr>
      <w:r>
        <w:t>Bearing these points in mind, let us revisit Wittgenstein’s (1958) contention that it’s a philosopher’s job, not to analyze concepts or meanings or</w:t>
      </w:r>
      <w:r>
        <w:rPr>
          <w:spacing w:val="14"/>
        </w:rPr>
        <w:t xml:space="preserve"> </w:t>
      </w:r>
      <w:r>
        <w:t>other</w:t>
      </w:r>
      <w:r>
        <w:rPr>
          <w:spacing w:val="15"/>
        </w:rPr>
        <w:t xml:space="preserve"> </w:t>
      </w:r>
      <w:r>
        <w:t>such</w:t>
      </w:r>
      <w:r>
        <w:rPr>
          <w:spacing w:val="15"/>
        </w:rPr>
        <w:t xml:space="preserve"> </w:t>
      </w:r>
      <w:r>
        <w:t>alleged</w:t>
      </w:r>
      <w:r>
        <w:rPr>
          <w:spacing w:val="15"/>
        </w:rPr>
        <w:t xml:space="preserve"> </w:t>
      </w:r>
      <w:r>
        <w:t>phantasms,</w:t>
      </w:r>
      <w:r>
        <w:rPr>
          <w:spacing w:val="15"/>
        </w:rPr>
        <w:t xml:space="preserve"> </w:t>
      </w:r>
      <w:r>
        <w:t>but</w:t>
      </w:r>
      <w:r>
        <w:rPr>
          <w:spacing w:val="15"/>
        </w:rPr>
        <w:t xml:space="preserve"> </w:t>
      </w:r>
      <w:r>
        <w:t>merely</w:t>
      </w:r>
      <w:r>
        <w:rPr>
          <w:spacing w:val="14"/>
        </w:rPr>
        <w:t xml:space="preserve"> </w:t>
      </w:r>
      <w:r>
        <w:t>to</w:t>
      </w:r>
      <w:r>
        <w:rPr>
          <w:spacing w:val="15"/>
        </w:rPr>
        <w:t xml:space="preserve"> </w:t>
      </w:r>
      <w:r>
        <w:t>take</w:t>
      </w:r>
      <w:r>
        <w:rPr>
          <w:spacing w:val="15"/>
        </w:rPr>
        <w:t xml:space="preserve"> </w:t>
      </w:r>
      <w:r>
        <w:t>note</w:t>
      </w:r>
      <w:r>
        <w:rPr>
          <w:spacing w:val="15"/>
        </w:rPr>
        <w:t xml:space="preserve"> </w:t>
      </w:r>
      <w:r>
        <w:t>of</w:t>
      </w:r>
      <w:r>
        <w:rPr>
          <w:spacing w:val="15"/>
        </w:rPr>
        <w:t xml:space="preserve"> </w:t>
      </w:r>
      <w:r>
        <w:rPr>
          <w:i/>
        </w:rPr>
        <w:t>when</w:t>
      </w:r>
      <w:r>
        <w:rPr>
          <w:i/>
          <w:spacing w:val="13"/>
        </w:rPr>
        <w:t xml:space="preserve"> </w:t>
      </w:r>
      <w:r>
        <w:t>words</w:t>
      </w:r>
      <w:r>
        <w:rPr>
          <w:spacing w:val="12"/>
        </w:rPr>
        <w:t xml:space="preserve"> </w:t>
      </w:r>
      <w:r>
        <w:rPr>
          <w:spacing w:val="-4"/>
        </w:rPr>
        <w:t>like</w:t>
      </w:r>
    </w:p>
    <w:p w14:paraId="7E00078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8F" w14:textId="77777777" w:rsidR="009A58DB" w:rsidRDefault="00000000">
      <w:pPr>
        <w:pStyle w:val="BodyText"/>
        <w:spacing w:before="65" w:line="249" w:lineRule="auto"/>
        <w:ind w:right="359"/>
      </w:pPr>
      <w:r>
        <w:lastRenderedPageBreak/>
        <w:t xml:space="preserve">“justice,” “knowledge,” and “truth” are used. What would it be to do this? The situations in which the word “justice” is used don’t necessarily have any observable characteristics in common with one another. It’s not as though people utter the word “justice” when, and only when, they’re just been bitten by a cat. This isn’t to say that uses of the word “justice” cannot be correlated in </w:t>
      </w:r>
      <w:r>
        <w:rPr>
          <w:i/>
        </w:rPr>
        <w:t xml:space="preserve">any </w:t>
      </w:r>
      <w:r>
        <w:t xml:space="preserve">way with facts about the situations in which those uses occur. Such correlations clearly can be made. People are likely to use that word when they’re in classes concerning </w:t>
      </w:r>
      <w:r>
        <w:rPr>
          <w:b/>
        </w:rPr>
        <w:t xml:space="preserve">ethics </w:t>
      </w:r>
      <w:r>
        <w:t xml:space="preserve">or the philosophy of </w:t>
      </w:r>
      <w:r>
        <w:rPr>
          <w:i/>
        </w:rPr>
        <w:t xml:space="preserve">law; </w:t>
      </w:r>
      <w:r>
        <w:t>they’re likely</w:t>
      </w:r>
      <w:r>
        <w:rPr>
          <w:spacing w:val="40"/>
        </w:rPr>
        <w:t xml:space="preserve"> </w:t>
      </w:r>
      <w:r>
        <w:t xml:space="preserve">to use it when they </w:t>
      </w:r>
      <w:r>
        <w:rPr>
          <w:b/>
        </w:rPr>
        <w:t xml:space="preserve">believe </w:t>
      </w:r>
      <w:r>
        <w:t xml:space="preserve">that they’ve been </w:t>
      </w:r>
      <w:r>
        <w:rPr>
          <w:b/>
        </w:rPr>
        <w:t>wronged</w:t>
      </w:r>
      <w:r>
        <w:t xml:space="preserve">; they’re likely to be used by politicians who want people to believe them to be </w:t>
      </w:r>
      <w:r>
        <w:rPr>
          <w:b/>
        </w:rPr>
        <w:t>worthy</w:t>
      </w:r>
      <w:r>
        <w:rPr>
          <w:b/>
          <w:spacing w:val="-3"/>
        </w:rPr>
        <w:t xml:space="preserve"> </w:t>
      </w:r>
      <w:r>
        <w:t xml:space="preserve">of holding </w:t>
      </w:r>
      <w:r>
        <w:rPr>
          <w:spacing w:val="-2"/>
        </w:rPr>
        <w:t>office.</w:t>
      </w:r>
    </w:p>
    <w:p w14:paraId="7E000790" w14:textId="77777777" w:rsidR="009A58DB" w:rsidRDefault="00000000">
      <w:pPr>
        <w:pStyle w:val="BodyText"/>
        <w:spacing w:before="13" w:line="249" w:lineRule="auto"/>
        <w:ind w:right="359" w:firstLine="360"/>
      </w:pPr>
      <w:r>
        <w:t>The boldfaced terms express extremely abstract concepts; and utterances of those words are no more capable than utterances of the word “justice”‘ of being</w:t>
      </w:r>
      <w:r>
        <w:rPr>
          <w:spacing w:val="-3"/>
        </w:rPr>
        <w:t xml:space="preserve"> </w:t>
      </w:r>
      <w:r>
        <w:t>correlated</w:t>
      </w:r>
      <w:r>
        <w:rPr>
          <w:spacing w:val="-3"/>
        </w:rPr>
        <w:t xml:space="preserve"> </w:t>
      </w:r>
      <w:r>
        <w:t>with</w:t>
      </w:r>
      <w:r>
        <w:rPr>
          <w:spacing w:val="-3"/>
        </w:rPr>
        <w:t xml:space="preserve"> </w:t>
      </w:r>
      <w:r>
        <w:t>observable</w:t>
      </w:r>
      <w:r>
        <w:rPr>
          <w:spacing w:val="-3"/>
        </w:rPr>
        <w:t xml:space="preserve"> </w:t>
      </w:r>
      <w:r>
        <w:t>facts</w:t>
      </w:r>
      <w:r>
        <w:rPr>
          <w:spacing w:val="-3"/>
        </w:rPr>
        <w:t xml:space="preserve"> </w:t>
      </w:r>
      <w:r>
        <w:t>about</w:t>
      </w:r>
      <w:r>
        <w:rPr>
          <w:spacing w:val="-3"/>
        </w:rPr>
        <w:t xml:space="preserve"> </w:t>
      </w:r>
      <w:r>
        <w:t>the</w:t>
      </w:r>
      <w:r>
        <w:rPr>
          <w:spacing w:val="-3"/>
        </w:rPr>
        <w:t xml:space="preserve"> </w:t>
      </w:r>
      <w:r>
        <w:t>contexts</w:t>
      </w:r>
      <w:r>
        <w:rPr>
          <w:spacing w:val="-3"/>
        </w:rPr>
        <w:t xml:space="preserve"> </w:t>
      </w:r>
      <w:r>
        <w:t>in</w:t>
      </w:r>
      <w:r>
        <w:rPr>
          <w:spacing w:val="-3"/>
        </w:rPr>
        <w:t xml:space="preserve"> </w:t>
      </w:r>
      <w:r>
        <w:t>which</w:t>
      </w:r>
      <w:r>
        <w:rPr>
          <w:spacing w:val="-3"/>
        </w:rPr>
        <w:t xml:space="preserve"> </w:t>
      </w:r>
      <w:r>
        <w:t>they</w:t>
      </w:r>
      <w:r>
        <w:rPr>
          <w:spacing w:val="-3"/>
        </w:rPr>
        <w:t xml:space="preserve"> </w:t>
      </w:r>
      <w:r>
        <w:t>occur. So, while a person‘s decision to use the word ‘justice’ (or “knowledge” or “law,” etc.) may obviously have a situational basis, there is no way to</w:t>
      </w:r>
      <w:r>
        <w:rPr>
          <w:spacing w:val="40"/>
        </w:rPr>
        <w:t xml:space="preserve"> </w:t>
      </w:r>
      <w:r>
        <w:t xml:space="preserve">identify that basis </w:t>
      </w:r>
      <w:r>
        <w:rPr>
          <w:i/>
        </w:rPr>
        <w:t xml:space="preserve">except </w:t>
      </w:r>
      <w:r>
        <w:t xml:space="preserve">in terms of the very concepts that, according to Wittgenstein, are to be studied by figuring </w:t>
      </w:r>
      <w:r>
        <w:rPr>
          <w:i/>
        </w:rPr>
        <w:t xml:space="preserve">when </w:t>
      </w:r>
      <w:r>
        <w:t>those terms are used. In</w:t>
      </w:r>
      <w:r>
        <w:rPr>
          <w:spacing w:val="40"/>
        </w:rPr>
        <w:t xml:space="preserve"> </w:t>
      </w:r>
      <w:r>
        <w:t xml:space="preserve">other words, any correct generalization as to when words like “justice,” “logic,” “knowledge” and “morality” are used will </w:t>
      </w:r>
      <w:r>
        <w:rPr>
          <w:i/>
        </w:rPr>
        <w:t xml:space="preserve">itself </w:t>
      </w:r>
      <w:r>
        <w:t>employ the very concepts that, according to Wittgenstein, knowledge of such generalizations is supposed to yield.</w:t>
      </w:r>
    </w:p>
    <w:p w14:paraId="7E000791" w14:textId="77777777" w:rsidR="009A58DB" w:rsidRDefault="00000000">
      <w:pPr>
        <w:pStyle w:val="BodyText"/>
        <w:spacing w:before="14" w:line="249" w:lineRule="auto"/>
        <w:ind w:right="359" w:firstLine="360"/>
      </w:pPr>
      <w:r>
        <w:t>These</w:t>
      </w:r>
      <w:r>
        <w:rPr>
          <w:spacing w:val="-13"/>
        </w:rPr>
        <w:t xml:space="preserve"> </w:t>
      </w:r>
      <w:r>
        <w:t>reflections</w:t>
      </w:r>
      <w:r>
        <w:rPr>
          <w:spacing w:val="-13"/>
        </w:rPr>
        <w:t xml:space="preserve"> </w:t>
      </w:r>
      <w:r>
        <w:t>bring</w:t>
      </w:r>
      <w:r>
        <w:rPr>
          <w:spacing w:val="-13"/>
        </w:rPr>
        <w:t xml:space="preserve"> </w:t>
      </w:r>
      <w:r>
        <w:t>us</w:t>
      </w:r>
      <w:r>
        <w:rPr>
          <w:spacing w:val="-13"/>
        </w:rPr>
        <w:t xml:space="preserve"> </w:t>
      </w:r>
      <w:r>
        <w:t>face</w:t>
      </w:r>
      <w:r>
        <w:rPr>
          <w:spacing w:val="-13"/>
        </w:rPr>
        <w:t xml:space="preserve"> </w:t>
      </w:r>
      <w:r>
        <w:t>to</w:t>
      </w:r>
      <w:r>
        <w:rPr>
          <w:spacing w:val="-13"/>
        </w:rPr>
        <w:t xml:space="preserve"> </w:t>
      </w:r>
      <w:r>
        <w:t>face</w:t>
      </w:r>
      <w:r>
        <w:rPr>
          <w:spacing w:val="-13"/>
        </w:rPr>
        <w:t xml:space="preserve"> </w:t>
      </w:r>
      <w:r>
        <w:t>with</w:t>
      </w:r>
      <w:r>
        <w:rPr>
          <w:spacing w:val="-13"/>
        </w:rPr>
        <w:t xml:space="preserve"> </w:t>
      </w:r>
      <w:r>
        <w:t>an</w:t>
      </w:r>
      <w:r>
        <w:rPr>
          <w:spacing w:val="-13"/>
        </w:rPr>
        <w:t xml:space="preserve"> </w:t>
      </w:r>
      <w:r>
        <w:t>incoherence</w:t>
      </w:r>
      <w:r>
        <w:rPr>
          <w:spacing w:val="-13"/>
        </w:rPr>
        <w:t xml:space="preserve"> </w:t>
      </w:r>
      <w:r>
        <w:t>inherent</w:t>
      </w:r>
      <w:r>
        <w:rPr>
          <w:spacing w:val="-13"/>
        </w:rPr>
        <w:t xml:space="preserve"> </w:t>
      </w:r>
      <w:r>
        <w:t>in</w:t>
      </w:r>
      <w:r>
        <w:rPr>
          <w:spacing w:val="-13"/>
        </w:rPr>
        <w:t xml:space="preserve"> </w:t>
      </w:r>
      <w:r>
        <w:t>all</w:t>
      </w:r>
      <w:r>
        <w:rPr>
          <w:spacing w:val="-13"/>
        </w:rPr>
        <w:t xml:space="preserve"> </w:t>
      </w:r>
      <w:r>
        <w:t>of the</w:t>
      </w:r>
      <w:r>
        <w:rPr>
          <w:spacing w:val="-15"/>
        </w:rPr>
        <w:t xml:space="preserve"> </w:t>
      </w:r>
      <w:r>
        <w:t>different</w:t>
      </w:r>
      <w:r>
        <w:rPr>
          <w:spacing w:val="-15"/>
        </w:rPr>
        <w:t xml:space="preserve"> </w:t>
      </w:r>
      <w:r>
        <w:t>variants</w:t>
      </w:r>
      <w:r>
        <w:rPr>
          <w:spacing w:val="-15"/>
        </w:rPr>
        <w:t xml:space="preserve"> </w:t>
      </w:r>
      <w:r>
        <w:t>of</w:t>
      </w:r>
      <w:r>
        <w:rPr>
          <w:spacing w:val="-15"/>
        </w:rPr>
        <w:t xml:space="preserve"> </w:t>
      </w:r>
      <w:r>
        <w:t>the</w:t>
      </w:r>
      <w:r>
        <w:rPr>
          <w:spacing w:val="-15"/>
        </w:rPr>
        <w:t xml:space="preserve"> </w:t>
      </w:r>
      <w:r>
        <w:t>contention</w:t>
      </w:r>
      <w:r>
        <w:rPr>
          <w:spacing w:val="-15"/>
        </w:rPr>
        <w:t xml:space="preserve"> </w:t>
      </w:r>
      <w:r>
        <w:t>that</w:t>
      </w:r>
      <w:r>
        <w:rPr>
          <w:spacing w:val="-15"/>
        </w:rPr>
        <w:t xml:space="preserve"> </w:t>
      </w:r>
      <w:r>
        <w:t>philosophy</w:t>
      </w:r>
      <w:r>
        <w:rPr>
          <w:spacing w:val="-15"/>
        </w:rPr>
        <w:t xml:space="preserve"> </w:t>
      </w:r>
      <w:r>
        <w:t>is</w:t>
      </w:r>
      <w:r>
        <w:rPr>
          <w:spacing w:val="-15"/>
        </w:rPr>
        <w:t xml:space="preserve"> </w:t>
      </w:r>
      <w:r>
        <w:t>sentence-analysis.</w:t>
      </w:r>
      <w:r>
        <w:rPr>
          <w:spacing w:val="-18"/>
        </w:rPr>
        <w:t xml:space="preserve"> </w:t>
      </w:r>
      <w:r>
        <w:t xml:space="preserve">To </w:t>
      </w:r>
      <w:r>
        <w:rPr>
          <w:spacing w:val="-6"/>
        </w:rPr>
        <w:t>speak</w:t>
      </w:r>
      <w:r>
        <w:rPr>
          <w:spacing w:val="-9"/>
        </w:rPr>
        <w:t xml:space="preserve"> </w:t>
      </w:r>
      <w:r>
        <w:rPr>
          <w:spacing w:val="-6"/>
        </w:rPr>
        <w:t>isn’t</w:t>
      </w:r>
      <w:r>
        <w:rPr>
          <w:spacing w:val="-9"/>
        </w:rPr>
        <w:t xml:space="preserve"> </w:t>
      </w:r>
      <w:r>
        <w:rPr>
          <w:spacing w:val="-6"/>
        </w:rPr>
        <w:t>just</w:t>
      </w:r>
      <w:r>
        <w:rPr>
          <w:spacing w:val="-9"/>
        </w:rPr>
        <w:t xml:space="preserve"> </w:t>
      </w:r>
      <w:r>
        <w:rPr>
          <w:spacing w:val="-6"/>
        </w:rPr>
        <w:t>to</w:t>
      </w:r>
      <w:r>
        <w:rPr>
          <w:spacing w:val="-9"/>
        </w:rPr>
        <w:t xml:space="preserve"> </w:t>
      </w:r>
      <w:r>
        <w:rPr>
          <w:spacing w:val="-6"/>
        </w:rPr>
        <w:t>make</w:t>
      </w:r>
      <w:r>
        <w:rPr>
          <w:spacing w:val="-9"/>
        </w:rPr>
        <w:t xml:space="preserve"> </w:t>
      </w:r>
      <w:r>
        <w:rPr>
          <w:spacing w:val="-6"/>
        </w:rPr>
        <w:t>noises;</w:t>
      </w:r>
      <w:r>
        <w:rPr>
          <w:spacing w:val="-9"/>
        </w:rPr>
        <w:t xml:space="preserve"> </w:t>
      </w:r>
      <w:r>
        <w:rPr>
          <w:spacing w:val="-6"/>
        </w:rPr>
        <w:t>it’s</w:t>
      </w:r>
      <w:r>
        <w:rPr>
          <w:spacing w:val="-9"/>
        </w:rPr>
        <w:t xml:space="preserve"> </w:t>
      </w:r>
      <w:r>
        <w:rPr>
          <w:spacing w:val="-6"/>
        </w:rPr>
        <w:t>to</w:t>
      </w:r>
      <w:r>
        <w:rPr>
          <w:spacing w:val="-9"/>
        </w:rPr>
        <w:t xml:space="preserve"> </w:t>
      </w:r>
      <w:r>
        <w:rPr>
          <w:spacing w:val="-6"/>
        </w:rPr>
        <w:t>make</w:t>
      </w:r>
      <w:r>
        <w:rPr>
          <w:spacing w:val="-9"/>
        </w:rPr>
        <w:t xml:space="preserve"> </w:t>
      </w:r>
      <w:r>
        <w:rPr>
          <w:spacing w:val="-6"/>
        </w:rPr>
        <w:t>noises</w:t>
      </w:r>
      <w:r>
        <w:rPr>
          <w:spacing w:val="-9"/>
        </w:rPr>
        <w:t xml:space="preserve"> </w:t>
      </w:r>
      <w:r>
        <w:rPr>
          <w:spacing w:val="-6"/>
        </w:rPr>
        <w:t>for</w:t>
      </w:r>
      <w:r>
        <w:rPr>
          <w:spacing w:val="-9"/>
        </w:rPr>
        <w:t xml:space="preserve"> </w:t>
      </w:r>
      <w:r>
        <w:rPr>
          <w:spacing w:val="-6"/>
        </w:rPr>
        <w:t>the</w:t>
      </w:r>
      <w:r>
        <w:rPr>
          <w:spacing w:val="-9"/>
        </w:rPr>
        <w:t xml:space="preserve"> </w:t>
      </w:r>
      <w:r>
        <w:rPr>
          <w:spacing w:val="-6"/>
        </w:rPr>
        <w:t>reason</w:t>
      </w:r>
      <w:r>
        <w:rPr>
          <w:spacing w:val="-9"/>
        </w:rPr>
        <w:t xml:space="preserve"> </w:t>
      </w:r>
      <w:r>
        <w:rPr>
          <w:spacing w:val="-6"/>
        </w:rPr>
        <w:t>that</w:t>
      </w:r>
      <w:r>
        <w:rPr>
          <w:spacing w:val="-9"/>
        </w:rPr>
        <w:t xml:space="preserve"> </w:t>
      </w:r>
      <w:r>
        <w:rPr>
          <w:spacing w:val="-6"/>
        </w:rPr>
        <w:t>one</w:t>
      </w:r>
      <w:r>
        <w:rPr>
          <w:spacing w:val="-9"/>
        </w:rPr>
        <w:t xml:space="preserve"> </w:t>
      </w:r>
      <w:r>
        <w:rPr>
          <w:spacing w:val="-6"/>
        </w:rPr>
        <w:t xml:space="preserve">believes </w:t>
      </w:r>
      <w:r>
        <w:rPr>
          <w:spacing w:val="-2"/>
        </w:rPr>
        <w:t>those</w:t>
      </w:r>
      <w:r>
        <w:rPr>
          <w:spacing w:val="-17"/>
        </w:rPr>
        <w:t xml:space="preserve"> </w:t>
      </w:r>
      <w:r>
        <w:rPr>
          <w:spacing w:val="-2"/>
        </w:rPr>
        <w:t>noises</w:t>
      </w:r>
      <w:r>
        <w:rPr>
          <w:spacing w:val="-17"/>
        </w:rPr>
        <w:t xml:space="preserve"> </w:t>
      </w:r>
      <w:r>
        <w:rPr>
          <w:spacing w:val="-2"/>
        </w:rPr>
        <w:t>to</w:t>
      </w:r>
      <w:r>
        <w:rPr>
          <w:spacing w:val="-17"/>
        </w:rPr>
        <w:t xml:space="preserve"> </w:t>
      </w:r>
      <w:r>
        <w:rPr>
          <w:spacing w:val="-2"/>
        </w:rPr>
        <w:t>have</w:t>
      </w:r>
      <w:r>
        <w:rPr>
          <w:spacing w:val="-16"/>
        </w:rPr>
        <w:t xml:space="preserve"> </w:t>
      </w:r>
      <w:r>
        <w:rPr>
          <w:spacing w:val="-2"/>
        </w:rPr>
        <w:t>certain</w:t>
      </w:r>
      <w:r>
        <w:rPr>
          <w:spacing w:val="-17"/>
        </w:rPr>
        <w:t xml:space="preserve"> </w:t>
      </w:r>
      <w:r>
        <w:rPr>
          <w:spacing w:val="-2"/>
        </w:rPr>
        <w:t>meanings.</w:t>
      </w:r>
      <w:r>
        <w:rPr>
          <w:spacing w:val="-17"/>
        </w:rPr>
        <w:t xml:space="preserve"> </w:t>
      </w:r>
      <w:r>
        <w:rPr>
          <w:spacing w:val="-2"/>
        </w:rPr>
        <w:t>I’m</w:t>
      </w:r>
      <w:r>
        <w:rPr>
          <w:spacing w:val="-17"/>
        </w:rPr>
        <w:t xml:space="preserve"> </w:t>
      </w:r>
      <w:r>
        <w:rPr>
          <w:spacing w:val="-2"/>
        </w:rPr>
        <w:t>with</w:t>
      </w:r>
      <w:r>
        <w:rPr>
          <w:spacing w:val="-16"/>
        </w:rPr>
        <w:t xml:space="preserve"> </w:t>
      </w:r>
      <w:r>
        <w:rPr>
          <w:spacing w:val="-2"/>
        </w:rPr>
        <w:t>my</w:t>
      </w:r>
      <w:r>
        <w:rPr>
          <w:spacing w:val="-17"/>
        </w:rPr>
        <w:t xml:space="preserve"> </w:t>
      </w:r>
      <w:r>
        <w:rPr>
          <w:spacing w:val="-2"/>
        </w:rPr>
        <w:t>friend</w:t>
      </w:r>
      <w:r>
        <w:rPr>
          <w:spacing w:val="-17"/>
        </w:rPr>
        <w:t xml:space="preserve"> </w:t>
      </w:r>
      <w:r>
        <w:rPr>
          <w:spacing w:val="-2"/>
        </w:rPr>
        <w:t>Larry.</w:t>
      </w:r>
      <w:r>
        <w:rPr>
          <w:spacing w:val="-17"/>
        </w:rPr>
        <w:t xml:space="preserve"> </w:t>
      </w:r>
      <w:r>
        <w:rPr>
          <w:spacing w:val="-2"/>
        </w:rPr>
        <w:t>All</w:t>
      </w:r>
      <w:r>
        <w:rPr>
          <w:spacing w:val="-16"/>
        </w:rPr>
        <w:t xml:space="preserve"> </w:t>
      </w:r>
      <w:r>
        <w:rPr>
          <w:spacing w:val="-2"/>
        </w:rPr>
        <w:t>of</w:t>
      </w:r>
      <w:r>
        <w:rPr>
          <w:spacing w:val="-17"/>
        </w:rPr>
        <w:t xml:space="preserve"> </w:t>
      </w:r>
      <w:r>
        <w:rPr>
          <w:spacing w:val="-2"/>
        </w:rPr>
        <w:t>a</w:t>
      </w:r>
      <w:r>
        <w:rPr>
          <w:spacing w:val="-17"/>
        </w:rPr>
        <w:t xml:space="preserve"> </w:t>
      </w:r>
      <w:r>
        <w:rPr>
          <w:spacing w:val="-2"/>
        </w:rPr>
        <w:t xml:space="preserve">sudden </w:t>
      </w:r>
      <w:r>
        <w:rPr>
          <w:spacing w:val="-4"/>
        </w:rPr>
        <w:t>he</w:t>
      </w:r>
      <w:r>
        <w:rPr>
          <w:spacing w:val="-11"/>
        </w:rPr>
        <w:t xml:space="preserve"> </w:t>
      </w:r>
      <w:r>
        <w:rPr>
          <w:spacing w:val="-4"/>
        </w:rPr>
        <w:t>starts</w:t>
      </w:r>
      <w:r>
        <w:rPr>
          <w:spacing w:val="-11"/>
        </w:rPr>
        <w:t xml:space="preserve"> </w:t>
      </w:r>
      <w:r>
        <w:rPr>
          <w:spacing w:val="-4"/>
        </w:rPr>
        <w:t>convulsing</w:t>
      </w:r>
      <w:r>
        <w:rPr>
          <w:spacing w:val="-11"/>
        </w:rPr>
        <w:t xml:space="preserve"> </w:t>
      </w:r>
      <w:r>
        <w:rPr>
          <w:spacing w:val="-4"/>
        </w:rPr>
        <w:t>and</w:t>
      </w:r>
      <w:r>
        <w:rPr>
          <w:spacing w:val="-11"/>
        </w:rPr>
        <w:t xml:space="preserve"> </w:t>
      </w:r>
      <w:r>
        <w:rPr>
          <w:spacing w:val="-4"/>
        </w:rPr>
        <w:t>foaming</w:t>
      </w:r>
      <w:r>
        <w:rPr>
          <w:spacing w:val="-11"/>
        </w:rPr>
        <w:t xml:space="preserve"> </w:t>
      </w:r>
      <w:r>
        <w:rPr>
          <w:spacing w:val="-4"/>
        </w:rPr>
        <w:t>at</w:t>
      </w:r>
      <w:r>
        <w:rPr>
          <w:spacing w:val="-11"/>
        </w:rPr>
        <w:t xml:space="preserve"> </w:t>
      </w:r>
      <w:r>
        <w:rPr>
          <w:spacing w:val="-4"/>
        </w:rPr>
        <w:t>the</w:t>
      </w:r>
      <w:r>
        <w:rPr>
          <w:spacing w:val="-11"/>
        </w:rPr>
        <w:t xml:space="preserve"> </w:t>
      </w:r>
      <w:r>
        <w:rPr>
          <w:spacing w:val="-4"/>
        </w:rPr>
        <w:t>mouth.</w:t>
      </w:r>
      <w:r>
        <w:rPr>
          <w:spacing w:val="-11"/>
        </w:rPr>
        <w:t xml:space="preserve"> </w:t>
      </w:r>
      <w:r>
        <w:rPr>
          <w:spacing w:val="-4"/>
        </w:rPr>
        <w:t>I</w:t>
      </w:r>
      <w:r>
        <w:rPr>
          <w:spacing w:val="-11"/>
        </w:rPr>
        <w:t xml:space="preserve"> </w:t>
      </w:r>
      <w:r>
        <w:rPr>
          <w:spacing w:val="-4"/>
        </w:rPr>
        <w:t>call</w:t>
      </w:r>
      <w:r>
        <w:rPr>
          <w:spacing w:val="-11"/>
        </w:rPr>
        <w:t xml:space="preserve"> </w:t>
      </w:r>
      <w:r>
        <w:rPr>
          <w:spacing w:val="-4"/>
        </w:rPr>
        <w:t>9-1-1</w:t>
      </w:r>
      <w:r>
        <w:rPr>
          <w:spacing w:val="-11"/>
        </w:rPr>
        <w:t xml:space="preserve"> </w:t>
      </w:r>
      <w:r>
        <w:rPr>
          <w:spacing w:val="-4"/>
        </w:rPr>
        <w:t>and</w:t>
      </w:r>
      <w:r>
        <w:rPr>
          <w:spacing w:val="-11"/>
        </w:rPr>
        <w:t xml:space="preserve"> </w:t>
      </w:r>
      <w:r>
        <w:rPr>
          <w:spacing w:val="-4"/>
        </w:rPr>
        <w:t>say</w:t>
      </w:r>
      <w:r>
        <w:rPr>
          <w:spacing w:val="-11"/>
        </w:rPr>
        <w:t xml:space="preserve"> </w:t>
      </w:r>
      <w:r>
        <w:rPr>
          <w:spacing w:val="-4"/>
        </w:rPr>
        <w:t>(i)</w:t>
      </w:r>
      <w:r>
        <w:rPr>
          <w:spacing w:val="-11"/>
        </w:rPr>
        <w:t xml:space="preserve"> </w:t>
      </w:r>
      <w:r>
        <w:rPr>
          <w:spacing w:val="-4"/>
        </w:rPr>
        <w:t>“my</w:t>
      </w:r>
      <w:r>
        <w:rPr>
          <w:spacing w:val="-11"/>
        </w:rPr>
        <w:t xml:space="preserve"> </w:t>
      </w:r>
      <w:r>
        <w:rPr>
          <w:spacing w:val="-4"/>
        </w:rPr>
        <w:t xml:space="preserve">friend </w:t>
      </w:r>
      <w:r>
        <w:t>is foaming at the mouth and convulsing; please send help.”</w:t>
      </w:r>
      <w:r>
        <w:rPr>
          <w:spacing w:val="-1"/>
        </w:rPr>
        <w:t xml:space="preserve"> </w:t>
      </w:r>
      <w:r>
        <w:t>Why did I choose those</w:t>
      </w:r>
      <w:r>
        <w:rPr>
          <w:spacing w:val="-1"/>
        </w:rPr>
        <w:t xml:space="preserve"> </w:t>
      </w:r>
      <w:r>
        <w:t>words?</w:t>
      </w:r>
      <w:r>
        <w:rPr>
          <w:spacing w:val="-5"/>
        </w:rPr>
        <w:t xml:space="preserve"> </w:t>
      </w:r>
      <w:r>
        <w:t>Why</w:t>
      </w:r>
      <w:r>
        <w:rPr>
          <w:spacing w:val="-1"/>
        </w:rPr>
        <w:t xml:space="preserve"> </w:t>
      </w:r>
      <w:r>
        <w:t>didn’t</w:t>
      </w:r>
      <w:r>
        <w:rPr>
          <w:spacing w:val="-1"/>
        </w:rPr>
        <w:t xml:space="preserve"> </w:t>
      </w:r>
      <w:r>
        <w:t>I</w:t>
      </w:r>
      <w:r>
        <w:rPr>
          <w:spacing w:val="-1"/>
        </w:rPr>
        <w:t xml:space="preserve"> </w:t>
      </w:r>
      <w:r>
        <w:t>say</w:t>
      </w:r>
      <w:r>
        <w:rPr>
          <w:spacing w:val="-1"/>
        </w:rPr>
        <w:t xml:space="preserve"> </w:t>
      </w:r>
      <w:r>
        <w:t>(ii)</w:t>
      </w:r>
      <w:r>
        <w:rPr>
          <w:spacing w:val="-1"/>
        </w:rPr>
        <w:t xml:space="preserve"> </w:t>
      </w:r>
      <w:r>
        <w:t>“I</w:t>
      </w:r>
      <w:r>
        <w:rPr>
          <w:spacing w:val="-1"/>
        </w:rPr>
        <w:t xml:space="preserve"> </w:t>
      </w:r>
      <w:r>
        <w:t>like</w:t>
      </w:r>
      <w:r>
        <w:rPr>
          <w:spacing w:val="-1"/>
        </w:rPr>
        <w:t xml:space="preserve"> </w:t>
      </w:r>
      <w:r>
        <w:t>pizza”</w:t>
      </w:r>
      <w:r>
        <w:rPr>
          <w:spacing w:val="-1"/>
        </w:rPr>
        <w:t xml:space="preserve"> </w:t>
      </w:r>
      <w:r>
        <w:t>or</w:t>
      </w:r>
      <w:r>
        <w:rPr>
          <w:spacing w:val="-1"/>
        </w:rPr>
        <w:t xml:space="preserve"> </w:t>
      </w:r>
      <w:r>
        <w:t>(iii)</w:t>
      </w:r>
      <w:r>
        <w:rPr>
          <w:spacing w:val="-1"/>
        </w:rPr>
        <w:t xml:space="preserve"> </w:t>
      </w:r>
      <w:r>
        <w:t>‘“giraffes</w:t>
      </w:r>
      <w:r>
        <w:rPr>
          <w:spacing w:val="-1"/>
        </w:rPr>
        <w:t xml:space="preserve"> </w:t>
      </w:r>
      <w:r>
        <w:t>are</w:t>
      </w:r>
      <w:r>
        <w:rPr>
          <w:spacing w:val="-1"/>
        </w:rPr>
        <w:t xml:space="preserve"> </w:t>
      </w:r>
      <w:r>
        <w:t>friendly creatures”?</w:t>
      </w:r>
      <w:r>
        <w:rPr>
          <w:spacing w:val="-6"/>
        </w:rPr>
        <w:t xml:space="preserve"> </w:t>
      </w:r>
      <w:r>
        <w:t>Because</w:t>
      </w:r>
      <w:r>
        <w:rPr>
          <w:spacing w:val="-6"/>
        </w:rPr>
        <w:t xml:space="preserve"> </w:t>
      </w:r>
      <w:r>
        <w:t>I</w:t>
      </w:r>
      <w:r>
        <w:rPr>
          <w:spacing w:val="-6"/>
        </w:rPr>
        <w:t xml:space="preserve"> </w:t>
      </w:r>
      <w:r>
        <w:t>know</w:t>
      </w:r>
      <w:r>
        <w:rPr>
          <w:spacing w:val="-6"/>
        </w:rPr>
        <w:t xml:space="preserve"> </w:t>
      </w:r>
      <w:r>
        <w:t>that</w:t>
      </w:r>
      <w:r>
        <w:rPr>
          <w:spacing w:val="-6"/>
        </w:rPr>
        <w:t xml:space="preserve"> </w:t>
      </w:r>
      <w:r>
        <w:t>(i)</w:t>
      </w:r>
      <w:r>
        <w:rPr>
          <w:spacing w:val="-6"/>
        </w:rPr>
        <w:t xml:space="preserve"> </w:t>
      </w:r>
      <w:r>
        <w:t>has</w:t>
      </w:r>
      <w:r>
        <w:rPr>
          <w:spacing w:val="-6"/>
        </w:rPr>
        <w:t xml:space="preserve"> </w:t>
      </w:r>
      <w:r>
        <w:t>the</w:t>
      </w:r>
      <w:r>
        <w:rPr>
          <w:spacing w:val="-6"/>
        </w:rPr>
        <w:t xml:space="preserve"> </w:t>
      </w:r>
      <w:r>
        <w:t>right</w:t>
      </w:r>
      <w:r>
        <w:rPr>
          <w:spacing w:val="-6"/>
        </w:rPr>
        <w:t xml:space="preserve"> </w:t>
      </w:r>
      <w:r>
        <w:t>meaning</w:t>
      </w:r>
      <w:r>
        <w:rPr>
          <w:spacing w:val="-6"/>
        </w:rPr>
        <w:t xml:space="preserve"> </w:t>
      </w:r>
      <w:r>
        <w:t>and</w:t>
      </w:r>
      <w:r>
        <w:rPr>
          <w:spacing w:val="-6"/>
        </w:rPr>
        <w:t xml:space="preserve"> </w:t>
      </w:r>
      <w:r>
        <w:t>that</w:t>
      </w:r>
      <w:r>
        <w:rPr>
          <w:spacing w:val="-6"/>
        </w:rPr>
        <w:t xml:space="preserve"> </w:t>
      </w:r>
      <w:r>
        <w:t>(ii)</w:t>
      </w:r>
      <w:r>
        <w:rPr>
          <w:spacing w:val="-6"/>
        </w:rPr>
        <w:t xml:space="preserve"> </w:t>
      </w:r>
      <w:r>
        <w:t>and</w:t>
      </w:r>
      <w:r>
        <w:rPr>
          <w:spacing w:val="-6"/>
        </w:rPr>
        <w:t xml:space="preserve"> </w:t>
      </w:r>
      <w:r>
        <w:t xml:space="preserve">(iii) don’t. In general, speaking consists in making noises for the reason that one </w:t>
      </w:r>
      <w:r>
        <w:rPr>
          <w:spacing w:val="-2"/>
        </w:rPr>
        <w:t>believes</w:t>
      </w:r>
      <w:r>
        <w:rPr>
          <w:spacing w:val="-13"/>
        </w:rPr>
        <w:t xml:space="preserve"> </w:t>
      </w:r>
      <w:r>
        <w:rPr>
          <w:spacing w:val="-2"/>
        </w:rPr>
        <w:t>that,</w:t>
      </w:r>
      <w:r>
        <w:rPr>
          <w:spacing w:val="-13"/>
        </w:rPr>
        <w:t xml:space="preserve"> </w:t>
      </w:r>
      <w:r>
        <w:rPr>
          <w:spacing w:val="-2"/>
        </w:rPr>
        <w:t>given</w:t>
      </w:r>
      <w:r>
        <w:rPr>
          <w:spacing w:val="-13"/>
        </w:rPr>
        <w:t xml:space="preserve"> </w:t>
      </w:r>
      <w:r>
        <w:rPr>
          <w:spacing w:val="-2"/>
        </w:rPr>
        <w:t>existing</w:t>
      </w:r>
      <w:r>
        <w:rPr>
          <w:spacing w:val="-13"/>
        </w:rPr>
        <w:t xml:space="preserve"> </w:t>
      </w:r>
      <w:r>
        <w:rPr>
          <w:spacing w:val="-2"/>
        </w:rPr>
        <w:t>semantic</w:t>
      </w:r>
      <w:r>
        <w:rPr>
          <w:spacing w:val="-13"/>
        </w:rPr>
        <w:t xml:space="preserve"> </w:t>
      </w:r>
      <w:r>
        <w:rPr>
          <w:spacing w:val="-2"/>
        </w:rPr>
        <w:t>rules,</w:t>
      </w:r>
      <w:r>
        <w:rPr>
          <w:spacing w:val="-13"/>
        </w:rPr>
        <w:t xml:space="preserve"> </w:t>
      </w:r>
      <w:r>
        <w:rPr>
          <w:spacing w:val="-2"/>
        </w:rPr>
        <w:t>those</w:t>
      </w:r>
      <w:r>
        <w:rPr>
          <w:spacing w:val="-13"/>
        </w:rPr>
        <w:t xml:space="preserve"> </w:t>
      </w:r>
      <w:r>
        <w:rPr>
          <w:spacing w:val="-2"/>
        </w:rPr>
        <w:t>noises</w:t>
      </w:r>
      <w:r>
        <w:rPr>
          <w:spacing w:val="-13"/>
        </w:rPr>
        <w:t xml:space="preserve"> </w:t>
      </w:r>
      <w:r>
        <w:rPr>
          <w:spacing w:val="-2"/>
        </w:rPr>
        <w:t>have</w:t>
      </w:r>
      <w:r>
        <w:rPr>
          <w:spacing w:val="-13"/>
        </w:rPr>
        <w:t xml:space="preserve"> </w:t>
      </w:r>
      <w:r>
        <w:rPr>
          <w:spacing w:val="-2"/>
        </w:rPr>
        <w:t>certain</w:t>
      </w:r>
      <w:r>
        <w:rPr>
          <w:spacing w:val="-13"/>
        </w:rPr>
        <w:t xml:space="preserve"> </w:t>
      </w:r>
      <w:r>
        <w:rPr>
          <w:spacing w:val="-2"/>
        </w:rPr>
        <w:t>meanings. If</w:t>
      </w:r>
      <w:r>
        <w:rPr>
          <w:spacing w:val="-17"/>
        </w:rPr>
        <w:t xml:space="preserve"> </w:t>
      </w:r>
      <w:r>
        <w:rPr>
          <w:spacing w:val="-2"/>
        </w:rPr>
        <w:t>somebody</w:t>
      </w:r>
      <w:r>
        <w:rPr>
          <w:spacing w:val="-17"/>
        </w:rPr>
        <w:t xml:space="preserve"> </w:t>
      </w:r>
      <w:r>
        <w:rPr>
          <w:spacing w:val="-2"/>
        </w:rPr>
        <w:t>makes</w:t>
      </w:r>
      <w:r>
        <w:rPr>
          <w:spacing w:val="-11"/>
        </w:rPr>
        <w:t xml:space="preserve"> </w:t>
      </w:r>
      <w:r>
        <w:rPr>
          <w:spacing w:val="-2"/>
        </w:rPr>
        <w:t>a</w:t>
      </w:r>
      <w:r>
        <w:rPr>
          <w:spacing w:val="-11"/>
        </w:rPr>
        <w:t xml:space="preserve"> </w:t>
      </w:r>
      <w:r>
        <w:rPr>
          <w:spacing w:val="-2"/>
        </w:rPr>
        <w:t>noise</w:t>
      </w:r>
      <w:r>
        <w:rPr>
          <w:spacing w:val="-11"/>
        </w:rPr>
        <w:t xml:space="preserve"> </w:t>
      </w:r>
      <w:r>
        <w:rPr>
          <w:spacing w:val="-2"/>
        </w:rPr>
        <w:t>that</w:t>
      </w:r>
      <w:r>
        <w:rPr>
          <w:spacing w:val="-11"/>
        </w:rPr>
        <w:t xml:space="preserve"> </w:t>
      </w:r>
      <w:r>
        <w:rPr>
          <w:spacing w:val="-2"/>
        </w:rPr>
        <w:t>he</w:t>
      </w:r>
      <w:r>
        <w:rPr>
          <w:spacing w:val="-11"/>
        </w:rPr>
        <w:t xml:space="preserve"> </w:t>
      </w:r>
      <w:r>
        <w:rPr>
          <w:spacing w:val="-2"/>
        </w:rPr>
        <w:t>does</w:t>
      </w:r>
      <w:r>
        <w:rPr>
          <w:spacing w:val="-17"/>
        </w:rPr>
        <w:t xml:space="preserve"> </w:t>
      </w:r>
      <w:r>
        <w:rPr>
          <w:i/>
          <w:spacing w:val="-2"/>
        </w:rPr>
        <w:t>not</w:t>
      </w:r>
      <w:r>
        <w:rPr>
          <w:i/>
          <w:spacing w:val="-17"/>
        </w:rPr>
        <w:t xml:space="preserve"> </w:t>
      </w:r>
      <w:r>
        <w:rPr>
          <w:spacing w:val="-2"/>
        </w:rPr>
        <w:t>believe</w:t>
      </w:r>
      <w:r>
        <w:rPr>
          <w:spacing w:val="-12"/>
        </w:rPr>
        <w:t xml:space="preserve"> </w:t>
      </w:r>
      <w:r>
        <w:rPr>
          <w:spacing w:val="-2"/>
        </w:rPr>
        <w:t>to</w:t>
      </w:r>
      <w:r>
        <w:rPr>
          <w:spacing w:val="-12"/>
        </w:rPr>
        <w:t xml:space="preserve"> </w:t>
      </w:r>
      <w:r>
        <w:rPr>
          <w:spacing w:val="-2"/>
        </w:rPr>
        <w:t>be</w:t>
      </w:r>
      <w:r>
        <w:rPr>
          <w:spacing w:val="-12"/>
        </w:rPr>
        <w:t xml:space="preserve"> </w:t>
      </w:r>
      <w:r>
        <w:rPr>
          <w:spacing w:val="-2"/>
        </w:rPr>
        <w:t>assigned</w:t>
      </w:r>
      <w:r>
        <w:rPr>
          <w:spacing w:val="-12"/>
        </w:rPr>
        <w:t xml:space="preserve"> </w:t>
      </w:r>
      <w:r>
        <w:rPr>
          <w:spacing w:val="-2"/>
        </w:rPr>
        <w:t>a</w:t>
      </w:r>
      <w:r>
        <w:rPr>
          <w:spacing w:val="-12"/>
        </w:rPr>
        <w:t xml:space="preserve"> </w:t>
      </w:r>
      <w:r>
        <w:rPr>
          <w:spacing w:val="-2"/>
        </w:rPr>
        <w:t>meaning</w:t>
      </w:r>
      <w:r>
        <w:rPr>
          <w:spacing w:val="-12"/>
        </w:rPr>
        <w:t xml:space="preserve"> </w:t>
      </w:r>
      <w:r>
        <w:rPr>
          <w:spacing w:val="-2"/>
        </w:rPr>
        <w:t>by any</w:t>
      </w:r>
      <w:r>
        <w:rPr>
          <w:spacing w:val="-17"/>
        </w:rPr>
        <w:t xml:space="preserve"> </w:t>
      </w:r>
      <w:r>
        <w:rPr>
          <w:spacing w:val="-2"/>
        </w:rPr>
        <w:t>semantic</w:t>
      </w:r>
      <w:r>
        <w:rPr>
          <w:spacing w:val="-17"/>
        </w:rPr>
        <w:t xml:space="preserve"> </w:t>
      </w:r>
      <w:r>
        <w:rPr>
          <w:spacing w:val="-2"/>
        </w:rPr>
        <w:t>rule,</w:t>
      </w:r>
      <w:r>
        <w:rPr>
          <w:spacing w:val="-17"/>
        </w:rPr>
        <w:t xml:space="preserve"> </w:t>
      </w:r>
      <w:r>
        <w:rPr>
          <w:spacing w:val="-2"/>
        </w:rPr>
        <w:t>he</w:t>
      </w:r>
      <w:r>
        <w:rPr>
          <w:spacing w:val="-16"/>
        </w:rPr>
        <w:t xml:space="preserve"> </w:t>
      </w:r>
      <w:r>
        <w:rPr>
          <w:spacing w:val="-2"/>
        </w:rPr>
        <w:t>isn’t</w:t>
      </w:r>
      <w:r>
        <w:rPr>
          <w:spacing w:val="-17"/>
        </w:rPr>
        <w:t xml:space="preserve"> </w:t>
      </w:r>
      <w:r>
        <w:rPr>
          <w:spacing w:val="-2"/>
        </w:rPr>
        <w:t>speaking.</w:t>
      </w:r>
      <w:r>
        <w:rPr>
          <w:spacing w:val="-17"/>
        </w:rPr>
        <w:t xml:space="preserve"> </w:t>
      </w:r>
      <w:r>
        <w:rPr>
          <w:spacing w:val="-2"/>
        </w:rPr>
        <w:t>If,</w:t>
      </w:r>
      <w:r>
        <w:rPr>
          <w:spacing w:val="-17"/>
        </w:rPr>
        <w:t xml:space="preserve"> </w:t>
      </w:r>
      <w:r>
        <w:rPr>
          <w:spacing w:val="-2"/>
        </w:rPr>
        <w:t>not</w:t>
      </w:r>
      <w:r>
        <w:rPr>
          <w:spacing w:val="-16"/>
        </w:rPr>
        <w:t xml:space="preserve"> </w:t>
      </w:r>
      <w:r>
        <w:rPr>
          <w:spacing w:val="-2"/>
        </w:rPr>
        <w:t>believing</w:t>
      </w:r>
      <w:r>
        <w:rPr>
          <w:spacing w:val="-17"/>
        </w:rPr>
        <w:t xml:space="preserve"> </w:t>
      </w:r>
      <w:r>
        <w:rPr>
          <w:spacing w:val="-2"/>
        </w:rPr>
        <w:t>that</w:t>
      </w:r>
      <w:r>
        <w:rPr>
          <w:spacing w:val="-17"/>
        </w:rPr>
        <w:t xml:space="preserve"> </w:t>
      </w:r>
      <w:r>
        <w:rPr>
          <w:spacing w:val="-2"/>
        </w:rPr>
        <w:t>the</w:t>
      </w:r>
      <w:r>
        <w:rPr>
          <w:spacing w:val="-17"/>
        </w:rPr>
        <w:t xml:space="preserve"> </w:t>
      </w:r>
      <w:r>
        <w:rPr>
          <w:spacing w:val="-2"/>
        </w:rPr>
        <w:t>noises</w:t>
      </w:r>
      <w:r>
        <w:rPr>
          <w:spacing w:val="-16"/>
        </w:rPr>
        <w:t xml:space="preserve"> </w:t>
      </w:r>
      <w:r>
        <w:rPr>
          <w:spacing w:val="-2"/>
        </w:rPr>
        <w:t>I’m</w:t>
      </w:r>
      <w:r>
        <w:rPr>
          <w:spacing w:val="-17"/>
        </w:rPr>
        <w:t xml:space="preserve"> </w:t>
      </w:r>
      <w:r>
        <w:rPr>
          <w:spacing w:val="-2"/>
        </w:rPr>
        <w:t>about</w:t>
      </w:r>
      <w:r>
        <w:rPr>
          <w:spacing w:val="-17"/>
        </w:rPr>
        <w:t xml:space="preserve"> </w:t>
      </w:r>
      <w:r>
        <w:rPr>
          <w:spacing w:val="-2"/>
        </w:rPr>
        <w:t xml:space="preserve">to </w:t>
      </w:r>
      <w:r>
        <w:t>make are assigned any meaning by any semantic rules, I say</w:t>
      </w:r>
      <w:r>
        <w:rPr>
          <w:spacing w:val="40"/>
        </w:rPr>
        <w:t xml:space="preserve"> </w:t>
      </w:r>
      <w:r>
        <w:t>“blurga dunga blurbo,”</w:t>
      </w:r>
      <w:r>
        <w:rPr>
          <w:spacing w:val="60"/>
        </w:rPr>
        <w:t xml:space="preserve"> </w:t>
      </w:r>
      <w:r>
        <w:t>I</w:t>
      </w:r>
      <w:r>
        <w:rPr>
          <w:spacing w:val="-7"/>
        </w:rPr>
        <w:t xml:space="preserve"> </w:t>
      </w:r>
      <w:r>
        <w:t>am</w:t>
      </w:r>
      <w:r>
        <w:rPr>
          <w:spacing w:val="-7"/>
        </w:rPr>
        <w:t xml:space="preserve"> </w:t>
      </w:r>
      <w:r>
        <w:t>not</w:t>
      </w:r>
      <w:r>
        <w:rPr>
          <w:spacing w:val="-7"/>
        </w:rPr>
        <w:t xml:space="preserve"> </w:t>
      </w:r>
      <w:r>
        <w:t>speaking.</w:t>
      </w:r>
      <w:r>
        <w:rPr>
          <w:spacing w:val="66"/>
        </w:rPr>
        <w:t xml:space="preserve"> </w:t>
      </w:r>
      <w:r>
        <w:t>I’m</w:t>
      </w:r>
      <w:r>
        <w:rPr>
          <w:spacing w:val="-8"/>
        </w:rPr>
        <w:t xml:space="preserve"> </w:t>
      </w:r>
      <w:r>
        <w:t>just</w:t>
      </w:r>
      <w:r>
        <w:rPr>
          <w:spacing w:val="-7"/>
        </w:rPr>
        <w:t xml:space="preserve"> </w:t>
      </w:r>
      <w:r>
        <w:t>making</w:t>
      </w:r>
      <w:r>
        <w:rPr>
          <w:spacing w:val="-7"/>
        </w:rPr>
        <w:t xml:space="preserve"> </w:t>
      </w:r>
      <w:r>
        <w:t>noise.</w:t>
      </w:r>
      <w:r>
        <w:rPr>
          <w:spacing w:val="66"/>
        </w:rPr>
        <w:t xml:space="preserve"> </w:t>
      </w:r>
      <w:r>
        <w:t>Maybe</w:t>
      </w:r>
      <w:r>
        <w:rPr>
          <w:spacing w:val="-19"/>
        </w:rPr>
        <w:t xml:space="preserve"> </w:t>
      </w:r>
      <w:r>
        <w:t>the</w:t>
      </w:r>
      <w:r>
        <w:rPr>
          <w:spacing w:val="-2"/>
        </w:rPr>
        <w:t xml:space="preserve"> </w:t>
      </w:r>
      <w:r>
        <w:t>semantic</w:t>
      </w:r>
      <w:r>
        <w:rPr>
          <w:spacing w:val="-2"/>
        </w:rPr>
        <w:t xml:space="preserve"> rules</w:t>
      </w:r>
    </w:p>
    <w:p w14:paraId="7E00079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93" w14:textId="77777777" w:rsidR="009A58DB" w:rsidRDefault="00000000">
      <w:pPr>
        <w:pStyle w:val="BodyText"/>
        <w:spacing w:before="65" w:line="249" w:lineRule="auto"/>
        <w:ind w:right="358"/>
      </w:pPr>
      <w:r>
        <w:lastRenderedPageBreak/>
        <w:t>of</w:t>
      </w:r>
      <w:r>
        <w:rPr>
          <w:spacing w:val="-4"/>
        </w:rPr>
        <w:t xml:space="preserve"> </w:t>
      </w:r>
      <w:r>
        <w:t>some</w:t>
      </w:r>
      <w:r>
        <w:rPr>
          <w:spacing w:val="-4"/>
        </w:rPr>
        <w:t xml:space="preserve"> </w:t>
      </w:r>
      <w:r>
        <w:t>language</w:t>
      </w:r>
      <w:r>
        <w:rPr>
          <w:spacing w:val="-4"/>
        </w:rPr>
        <w:t xml:space="preserve"> </w:t>
      </w:r>
      <w:r>
        <w:rPr>
          <w:i/>
        </w:rPr>
        <w:t>do</w:t>
      </w:r>
      <w:r>
        <w:rPr>
          <w:i/>
          <w:spacing w:val="-3"/>
        </w:rPr>
        <w:t xml:space="preserve"> </w:t>
      </w:r>
      <w:r>
        <w:t>assign</w:t>
      </w:r>
      <w:r>
        <w:rPr>
          <w:spacing w:val="-2"/>
        </w:rPr>
        <w:t xml:space="preserve"> </w:t>
      </w:r>
      <w:r>
        <w:t>them</w:t>
      </w:r>
      <w:r>
        <w:rPr>
          <w:spacing w:val="-2"/>
        </w:rPr>
        <w:t xml:space="preserve"> </w:t>
      </w:r>
      <w:r>
        <w:t>a</w:t>
      </w:r>
      <w:r>
        <w:rPr>
          <w:spacing w:val="-2"/>
        </w:rPr>
        <w:t xml:space="preserve"> </w:t>
      </w:r>
      <w:r>
        <w:t>meaning.</w:t>
      </w:r>
      <w:r>
        <w:rPr>
          <w:spacing w:val="-2"/>
        </w:rPr>
        <w:t xml:space="preserve"> </w:t>
      </w:r>
      <w:r>
        <w:t>That</w:t>
      </w:r>
      <w:r>
        <w:rPr>
          <w:spacing w:val="-2"/>
        </w:rPr>
        <w:t xml:space="preserve"> </w:t>
      </w:r>
      <w:r>
        <w:t>doesn’t</w:t>
      </w:r>
      <w:r>
        <w:rPr>
          <w:spacing w:val="-2"/>
        </w:rPr>
        <w:t xml:space="preserve"> </w:t>
      </w:r>
      <w:r>
        <w:t>matter.</w:t>
      </w:r>
      <w:r>
        <w:rPr>
          <w:spacing w:val="-2"/>
        </w:rPr>
        <w:t xml:space="preserve"> </w:t>
      </w:r>
      <w:r>
        <w:t>My</w:t>
      </w:r>
      <w:r>
        <w:rPr>
          <w:spacing w:val="-2"/>
        </w:rPr>
        <w:t xml:space="preserve"> </w:t>
      </w:r>
      <w:r>
        <w:t>making that noise wasn’t guided by my knowledge of such rules. So I wasn’t saying anything.</w:t>
      </w:r>
      <w:bookmarkStart w:id="46" w:name="_bookmark46"/>
      <w:bookmarkEnd w:id="46"/>
      <w:r>
        <w:rPr>
          <w:color w:val="0562C1"/>
          <w:position w:val="21"/>
          <w:u w:val="single" w:color="0562C1"/>
        </w:rPr>
        <w:t>[43]</w:t>
      </w:r>
      <w:r>
        <w:rPr>
          <w:color w:val="0562C1"/>
          <w:position w:val="21"/>
        </w:rPr>
        <w:t xml:space="preserve"> </w:t>
      </w:r>
      <w:r>
        <w:t xml:space="preserve">And as we saw earlier, I am </w:t>
      </w:r>
      <w:r>
        <w:rPr>
          <w:i/>
        </w:rPr>
        <w:t>mis</w:t>
      </w:r>
      <w:r>
        <w:t xml:space="preserve">speaking if I misidentify the meaning assigned by existing semantic rules to the noises I am making. So there is no </w:t>
      </w:r>
      <w:r>
        <w:rPr>
          <w:i/>
        </w:rPr>
        <w:t xml:space="preserve">bona fide </w:t>
      </w:r>
      <w:r>
        <w:t>speech where there isn’t awareness of semantic rules.</w:t>
      </w:r>
    </w:p>
    <w:p w14:paraId="7E000794" w14:textId="77777777" w:rsidR="009A58DB" w:rsidRDefault="00000000">
      <w:pPr>
        <w:pStyle w:val="BodyText"/>
        <w:spacing w:before="6" w:line="249" w:lineRule="auto"/>
        <w:ind w:right="358" w:firstLine="360"/>
      </w:pPr>
      <w:r>
        <w:t>Thus,</w:t>
      </w:r>
      <w:r>
        <w:rPr>
          <w:spacing w:val="-2"/>
        </w:rPr>
        <w:t xml:space="preserve"> </w:t>
      </w:r>
      <w:r>
        <w:t>the</w:t>
      </w:r>
      <w:r>
        <w:rPr>
          <w:spacing w:val="-3"/>
        </w:rPr>
        <w:t xml:space="preserve"> </w:t>
      </w:r>
      <w:r>
        <w:t>analysis</w:t>
      </w:r>
      <w:r>
        <w:rPr>
          <w:spacing w:val="-3"/>
        </w:rPr>
        <w:t xml:space="preserve"> </w:t>
      </w:r>
      <w:r>
        <w:t>of</w:t>
      </w:r>
      <w:r>
        <w:rPr>
          <w:spacing w:val="-3"/>
        </w:rPr>
        <w:t xml:space="preserve"> </w:t>
      </w:r>
      <w:r>
        <w:t>sentences</w:t>
      </w:r>
      <w:r>
        <w:rPr>
          <w:spacing w:val="-3"/>
        </w:rPr>
        <w:t xml:space="preserve"> </w:t>
      </w:r>
      <w:r>
        <w:t>isn’t</w:t>
      </w:r>
      <w:r>
        <w:rPr>
          <w:spacing w:val="-3"/>
        </w:rPr>
        <w:t xml:space="preserve"> </w:t>
      </w:r>
      <w:r>
        <w:t>the</w:t>
      </w:r>
      <w:r>
        <w:rPr>
          <w:spacing w:val="-3"/>
        </w:rPr>
        <w:t xml:space="preserve"> </w:t>
      </w:r>
      <w:r>
        <w:t>analysis</w:t>
      </w:r>
      <w:r>
        <w:rPr>
          <w:spacing w:val="-3"/>
        </w:rPr>
        <w:t xml:space="preserve"> </w:t>
      </w:r>
      <w:r>
        <w:t>of</w:t>
      </w:r>
      <w:r>
        <w:rPr>
          <w:spacing w:val="-3"/>
        </w:rPr>
        <w:t xml:space="preserve"> </w:t>
      </w:r>
      <w:r>
        <w:t>noises.</w:t>
      </w:r>
      <w:r>
        <w:rPr>
          <w:spacing w:val="-2"/>
        </w:rPr>
        <w:t xml:space="preserve"> </w:t>
      </w:r>
      <w:r>
        <w:t>(In</w:t>
      </w:r>
      <w:r>
        <w:rPr>
          <w:spacing w:val="-2"/>
        </w:rPr>
        <w:t xml:space="preserve"> </w:t>
      </w:r>
      <w:r>
        <w:t>this</w:t>
      </w:r>
      <w:r>
        <w:rPr>
          <w:spacing w:val="-3"/>
        </w:rPr>
        <w:t xml:space="preserve"> </w:t>
      </w:r>
      <w:r>
        <w:t xml:space="preserve">context, take references to “noises” to be short for references to anything that can constitute the occurrence of an expression—e.g., hand-movements, patterns of light on a monitor, etc.) In and of themselves, noises aren’t speech, as we just saw. It is only when a noise embodies an attempt to follow a semantic rule that it constitutes speech. So the analysis of speech—that is, of spoken sentences—concerns noises </w:t>
      </w:r>
      <w:r>
        <w:rPr>
          <w:i/>
        </w:rPr>
        <w:t xml:space="preserve">only </w:t>
      </w:r>
      <w:r>
        <w:t xml:space="preserve">to the extent that they embody attempts to follow such rules; and for the same reason </w:t>
      </w:r>
      <w:r>
        <w:rPr>
          <w:i/>
        </w:rPr>
        <w:t xml:space="preserve">mutatis mutandis, </w:t>
      </w:r>
      <w:r>
        <w:t xml:space="preserve">the analysis of sentences </w:t>
      </w:r>
      <w:r>
        <w:rPr>
          <w:i/>
        </w:rPr>
        <w:t xml:space="preserve">per se, </w:t>
      </w:r>
      <w:r>
        <w:t>as opposed to their spoken (or written) occurrences, necessarily involves, if it doesn’t coincide with, the analysis of those rules.</w:t>
      </w:r>
    </w:p>
    <w:p w14:paraId="7E000795" w14:textId="77777777" w:rsidR="009A58DB" w:rsidRDefault="00000000">
      <w:pPr>
        <w:pStyle w:val="BodyText"/>
        <w:spacing w:before="12" w:line="249" w:lineRule="auto"/>
        <w:ind w:right="361" w:firstLine="360"/>
      </w:pPr>
      <w:r>
        <w:t>Those rules are not themselves sentences. The semantic rule that assigns meaning to “snow is white” is not itself a sentence.</w:t>
      </w:r>
      <w:bookmarkStart w:id="47" w:name="_bookmark47"/>
      <w:bookmarkEnd w:id="47"/>
      <w:r>
        <w:rPr>
          <w:color w:val="0562C1"/>
          <w:position w:val="21"/>
          <w:u w:val="single" w:color="0562C1"/>
        </w:rPr>
        <w:t>[44]</w:t>
      </w:r>
      <w:r>
        <w:rPr>
          <w:color w:val="0562C1"/>
          <w:position w:val="21"/>
        </w:rPr>
        <w:t xml:space="preserve"> </w:t>
      </w:r>
      <w:r>
        <w:t xml:space="preserve">Given these points, what might it mean to say that philosophy is sentential analysis? It </w:t>
      </w:r>
      <w:r>
        <w:rPr>
          <w:i/>
        </w:rPr>
        <w:t xml:space="preserve">could </w:t>
      </w:r>
      <w:r>
        <w:t xml:space="preserve">mean that philosophy is the empirical study of different languages, i.e., that philosophy is linguistics. But that clearly isn’t what philosophy is. So it must mean that philosophy is the study of semantic rules </w:t>
      </w:r>
      <w:r>
        <w:rPr>
          <w:i/>
        </w:rPr>
        <w:t>qua</w:t>
      </w:r>
      <w:r>
        <w:rPr>
          <w:i/>
          <w:spacing w:val="-3"/>
        </w:rPr>
        <w:t xml:space="preserve"> </w:t>
      </w:r>
      <w:r>
        <w:t xml:space="preserve">semantic rules—that, in other words, it is the study of the </w:t>
      </w:r>
      <w:r>
        <w:rPr>
          <w:i/>
        </w:rPr>
        <w:t xml:space="preserve">concept </w:t>
      </w:r>
      <w:r>
        <w:t>of a semantic rule.</w:t>
      </w:r>
    </w:p>
    <w:p w14:paraId="7E000796" w14:textId="77777777" w:rsidR="009A58DB" w:rsidRDefault="00000000">
      <w:pPr>
        <w:spacing w:before="9" w:line="249" w:lineRule="auto"/>
        <w:ind w:left="360" w:right="362" w:firstLine="360"/>
        <w:jc w:val="both"/>
        <w:rPr>
          <w:b/>
          <w:i/>
          <w:sz w:val="30"/>
        </w:rPr>
      </w:pPr>
      <w:r>
        <w:rPr>
          <w:sz w:val="30"/>
        </w:rPr>
        <w:t xml:space="preserve">In that case, philosophy is also the study of those concepts that must be understood to understand the concept of a semantic rule. And there are many such concepts. Among them are narrowly semantic concepts such as </w:t>
      </w:r>
      <w:r>
        <w:rPr>
          <w:b/>
          <w:i/>
          <w:sz w:val="30"/>
        </w:rPr>
        <w:t xml:space="preserve">compositionality, reference, quantification, force, </w:t>
      </w:r>
      <w:r>
        <w:rPr>
          <w:sz w:val="30"/>
        </w:rPr>
        <w:t xml:space="preserve">and </w:t>
      </w:r>
      <w:r>
        <w:rPr>
          <w:b/>
          <w:i/>
          <w:sz w:val="30"/>
        </w:rPr>
        <w:t>negation.</w:t>
      </w:r>
    </w:p>
    <w:p w14:paraId="7E000797" w14:textId="77777777" w:rsidR="009A58DB" w:rsidRDefault="00000000">
      <w:pPr>
        <w:pStyle w:val="BodyText"/>
        <w:spacing w:before="5" w:line="249" w:lineRule="auto"/>
        <w:ind w:right="358" w:firstLine="360"/>
      </w:pPr>
      <w:r>
        <w:t xml:space="preserve">But many of these concepts aren’t </w:t>
      </w:r>
      <w:r>
        <w:rPr>
          <w:i/>
        </w:rPr>
        <w:t xml:space="preserve">only </w:t>
      </w:r>
      <w:r>
        <w:t xml:space="preserve">of relevance to semantics. As we’ve seen, no noise constitutes a sentence-utterance unless it embodies an </w:t>
      </w:r>
      <w:r>
        <w:rPr>
          <w:b/>
          <w:i/>
        </w:rPr>
        <w:t xml:space="preserve">intention </w:t>
      </w:r>
      <w:r>
        <w:t xml:space="preserve">of a certain kind; and there is no linguistic behavior of any kind where people aren’t intentionally following what they </w:t>
      </w:r>
      <w:r>
        <w:rPr>
          <w:b/>
          <w:i/>
        </w:rPr>
        <w:t xml:space="preserve">believe </w:t>
      </w:r>
      <w:r>
        <w:t xml:space="preserve">to be existing semantic </w:t>
      </w:r>
      <w:r>
        <w:rPr>
          <w:b/>
          <w:i/>
        </w:rPr>
        <w:t xml:space="preserve">rules. </w:t>
      </w:r>
      <w:r>
        <w:t xml:space="preserve">Some believe that semantic rules are </w:t>
      </w:r>
      <w:r>
        <w:rPr>
          <w:b/>
          <w:i/>
        </w:rPr>
        <w:t xml:space="preserve">conventions. </w:t>
      </w:r>
      <w:r>
        <w:t xml:space="preserve">Others believe that they are </w:t>
      </w:r>
      <w:r>
        <w:rPr>
          <w:b/>
          <w:i/>
        </w:rPr>
        <w:t xml:space="preserve">functions </w:t>
      </w:r>
      <w:r>
        <w:t xml:space="preserve">(in the mathematical sense)— assignments of meanings or </w:t>
      </w:r>
      <w:r>
        <w:rPr>
          <w:b/>
          <w:i/>
        </w:rPr>
        <w:t xml:space="preserve">truth-conditions </w:t>
      </w:r>
      <w:r>
        <w:t>to noises or to properties that are instantiated</w:t>
      </w:r>
      <w:r>
        <w:rPr>
          <w:spacing w:val="40"/>
        </w:rPr>
        <w:t xml:space="preserve"> </w:t>
      </w:r>
      <w:r>
        <w:t>by</w:t>
      </w:r>
      <w:r>
        <w:rPr>
          <w:spacing w:val="35"/>
        </w:rPr>
        <w:t xml:space="preserve"> </w:t>
      </w:r>
      <w:r>
        <w:t>noises</w:t>
      </w:r>
      <w:r>
        <w:rPr>
          <w:spacing w:val="37"/>
        </w:rPr>
        <w:t xml:space="preserve"> </w:t>
      </w:r>
      <w:r>
        <w:t>(or</w:t>
      </w:r>
      <w:r>
        <w:rPr>
          <w:spacing w:val="37"/>
        </w:rPr>
        <w:t xml:space="preserve"> </w:t>
      </w:r>
      <w:r>
        <w:t>inkmarks,</w:t>
      </w:r>
      <w:r>
        <w:rPr>
          <w:spacing w:val="37"/>
        </w:rPr>
        <w:t xml:space="preserve"> </w:t>
      </w:r>
      <w:r>
        <w:t>etc.).</w:t>
      </w:r>
      <w:r>
        <w:rPr>
          <w:spacing w:val="37"/>
        </w:rPr>
        <w:t xml:space="preserve"> </w:t>
      </w:r>
      <w:r>
        <w:t>There</w:t>
      </w:r>
      <w:r>
        <w:rPr>
          <w:spacing w:val="37"/>
        </w:rPr>
        <w:t xml:space="preserve"> </w:t>
      </w:r>
      <w:r>
        <w:t>is</w:t>
      </w:r>
      <w:r>
        <w:rPr>
          <w:spacing w:val="37"/>
        </w:rPr>
        <w:t xml:space="preserve"> </w:t>
      </w:r>
      <w:r>
        <w:t>no</w:t>
      </w:r>
      <w:r>
        <w:rPr>
          <w:spacing w:val="37"/>
        </w:rPr>
        <w:t xml:space="preserve"> </w:t>
      </w:r>
      <w:r>
        <w:t>way</w:t>
      </w:r>
      <w:r>
        <w:rPr>
          <w:spacing w:val="37"/>
        </w:rPr>
        <w:t xml:space="preserve"> </w:t>
      </w:r>
      <w:r>
        <w:t>to</w:t>
      </w:r>
      <w:r>
        <w:rPr>
          <w:spacing w:val="37"/>
        </w:rPr>
        <w:t xml:space="preserve"> </w:t>
      </w:r>
      <w:r>
        <w:t>figure</w:t>
      </w:r>
      <w:r>
        <w:rPr>
          <w:spacing w:val="37"/>
        </w:rPr>
        <w:t xml:space="preserve"> </w:t>
      </w:r>
      <w:r>
        <w:t>out</w:t>
      </w:r>
      <w:r>
        <w:rPr>
          <w:spacing w:val="37"/>
        </w:rPr>
        <w:t xml:space="preserve"> </w:t>
      </w:r>
      <w:r>
        <w:t>what</w:t>
      </w:r>
      <w:r>
        <w:rPr>
          <w:spacing w:val="38"/>
        </w:rPr>
        <w:t xml:space="preserve"> </w:t>
      </w:r>
      <w:r>
        <w:rPr>
          <w:spacing w:val="-2"/>
        </w:rPr>
        <w:t>semantic</w:t>
      </w:r>
    </w:p>
    <w:p w14:paraId="7E00079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99" w14:textId="77777777" w:rsidR="009A58DB" w:rsidRDefault="00000000">
      <w:pPr>
        <w:pStyle w:val="BodyText"/>
        <w:spacing w:before="65"/>
      </w:pPr>
      <w:r>
        <w:lastRenderedPageBreak/>
        <w:t>rules</w:t>
      </w:r>
      <w:r>
        <w:rPr>
          <w:spacing w:val="-5"/>
        </w:rPr>
        <w:t xml:space="preserve"> </w:t>
      </w:r>
      <w:r>
        <w:t>are</w:t>
      </w:r>
      <w:r>
        <w:rPr>
          <w:spacing w:val="-4"/>
        </w:rPr>
        <w:t xml:space="preserve"> </w:t>
      </w:r>
      <w:r>
        <w:t>without</w:t>
      </w:r>
      <w:r>
        <w:rPr>
          <w:spacing w:val="-4"/>
        </w:rPr>
        <w:t xml:space="preserve"> </w:t>
      </w:r>
      <w:r>
        <w:t>examining</w:t>
      </w:r>
      <w:r>
        <w:rPr>
          <w:spacing w:val="-3"/>
        </w:rPr>
        <w:t xml:space="preserve"> </w:t>
      </w:r>
      <w:r>
        <w:t>these</w:t>
      </w:r>
      <w:r>
        <w:rPr>
          <w:spacing w:val="-4"/>
        </w:rPr>
        <w:t xml:space="preserve"> </w:t>
      </w:r>
      <w:r>
        <w:rPr>
          <w:spacing w:val="-2"/>
        </w:rPr>
        <w:t>concepts.</w:t>
      </w:r>
    </w:p>
    <w:p w14:paraId="7E00079A" w14:textId="77777777" w:rsidR="009A58DB" w:rsidRDefault="00000000">
      <w:pPr>
        <w:pStyle w:val="BodyText"/>
        <w:spacing w:before="15" w:line="249" w:lineRule="auto"/>
        <w:ind w:right="358" w:firstLine="360"/>
      </w:pPr>
      <w:r>
        <w:t xml:space="preserve">And even if these questions are side-stepped, and philosophers focus </w:t>
      </w:r>
      <w:r>
        <w:rPr>
          <w:i/>
        </w:rPr>
        <w:t xml:space="preserve">only </w:t>
      </w:r>
      <w:r>
        <w:t xml:space="preserve">on narrowly semantic concepts (e.g., reference, compositionality, etc.), philosophy ends up being the analysis, not of sentences, but of </w:t>
      </w:r>
      <w:r>
        <w:rPr>
          <w:i/>
        </w:rPr>
        <w:t xml:space="preserve">concepts. </w:t>
      </w:r>
      <w:r>
        <w:t xml:space="preserve">Thus, the thesis that philosophy is the study of sentences either collapses into the obviously false thesis that philosophy is the empirical study of language </w:t>
      </w:r>
      <w:r>
        <w:rPr>
          <w:i/>
        </w:rPr>
        <w:t xml:space="preserve">or </w:t>
      </w:r>
      <w:r>
        <w:t>into the thesis that philosophy is conceptual analysis (i.e., the analysis of the</w:t>
      </w:r>
      <w:r>
        <w:rPr>
          <w:spacing w:val="-1"/>
        </w:rPr>
        <w:t xml:space="preserve"> </w:t>
      </w:r>
      <w:r>
        <w:t>concepts</w:t>
      </w:r>
      <w:r>
        <w:rPr>
          <w:spacing w:val="-1"/>
        </w:rPr>
        <w:t xml:space="preserve"> </w:t>
      </w:r>
      <w:r>
        <w:t>in</w:t>
      </w:r>
      <w:r>
        <w:rPr>
          <w:spacing w:val="-1"/>
        </w:rPr>
        <w:t xml:space="preserve"> </w:t>
      </w:r>
      <w:r>
        <w:t>terms</w:t>
      </w:r>
      <w:r>
        <w:rPr>
          <w:spacing w:val="-1"/>
        </w:rPr>
        <w:t xml:space="preserve"> </w:t>
      </w:r>
      <w:r>
        <w:t>of</w:t>
      </w:r>
      <w:r>
        <w:rPr>
          <w:spacing w:val="-1"/>
        </w:rPr>
        <w:t xml:space="preserve"> </w:t>
      </w:r>
      <w:r>
        <w:t>which</w:t>
      </w:r>
      <w:r>
        <w:rPr>
          <w:spacing w:val="-1"/>
        </w:rPr>
        <w:t xml:space="preserve"> </w:t>
      </w:r>
      <w:r>
        <w:t>the</w:t>
      </w:r>
      <w:r>
        <w:rPr>
          <w:spacing w:val="-1"/>
        </w:rPr>
        <w:t xml:space="preserve"> </w:t>
      </w:r>
      <w:r>
        <w:t>world</w:t>
      </w:r>
      <w:r>
        <w:rPr>
          <w:spacing w:val="-1"/>
        </w:rPr>
        <w:t xml:space="preserve"> </w:t>
      </w:r>
      <w:r>
        <w:t>is</w:t>
      </w:r>
      <w:r>
        <w:rPr>
          <w:spacing w:val="-1"/>
        </w:rPr>
        <w:t xml:space="preserve"> </w:t>
      </w:r>
      <w:r>
        <w:t>understood).</w:t>
      </w:r>
      <w:r>
        <w:rPr>
          <w:spacing w:val="-1"/>
        </w:rPr>
        <w:t xml:space="preserve"> </w:t>
      </w:r>
      <w:r>
        <w:t>Thus,</w:t>
      </w:r>
      <w:r>
        <w:rPr>
          <w:spacing w:val="-1"/>
        </w:rPr>
        <w:t xml:space="preserve"> </w:t>
      </w:r>
      <w:r>
        <w:t>Wittgenstein’s contention that philosophy is the study of sentences collapses into the very view to which it is meant to be an alternative (viz. that philosophy is the analysis of concepts, as opposed to expressions), and is therefore false.</w:t>
      </w:r>
    </w:p>
    <w:p w14:paraId="7E00079B" w14:textId="77777777" w:rsidR="009A58DB" w:rsidRDefault="00000000">
      <w:pPr>
        <w:pStyle w:val="BodyText"/>
        <w:spacing w:before="12" w:line="249" w:lineRule="auto"/>
        <w:ind w:right="358" w:firstLine="360"/>
      </w:pPr>
      <w:r>
        <w:t>Let us now turn to Wittgenstein’s (1922) Tractarian contention that philosophical statements are ungrammatical nonsense.</w:t>
      </w:r>
    </w:p>
    <w:p w14:paraId="7E00079C" w14:textId="77777777" w:rsidR="009A58DB" w:rsidRDefault="00000000">
      <w:pPr>
        <w:pStyle w:val="Heading1"/>
        <w:numPr>
          <w:ilvl w:val="2"/>
          <w:numId w:val="227"/>
        </w:numPr>
        <w:tabs>
          <w:tab w:val="left" w:pos="1080"/>
          <w:tab w:val="left" w:pos="1489"/>
        </w:tabs>
        <w:spacing w:before="190" w:line="244" w:lineRule="auto"/>
        <w:ind w:left="1080" w:right="358" w:hanging="720"/>
      </w:pPr>
      <w:r>
        <w:t>The Tractarian contention that philosophical statements syntactically ill-formed nonsense</w:t>
      </w:r>
    </w:p>
    <w:p w14:paraId="7E00079D" w14:textId="77777777" w:rsidR="009A58DB" w:rsidRDefault="00000000">
      <w:pPr>
        <w:pStyle w:val="BodyText"/>
        <w:spacing w:before="132"/>
      </w:pPr>
      <w:r>
        <w:t>The</w:t>
      </w:r>
      <w:r>
        <w:rPr>
          <w:spacing w:val="-2"/>
        </w:rPr>
        <w:t xml:space="preserve"> sentence</w:t>
      </w:r>
    </w:p>
    <w:p w14:paraId="7E00079E" w14:textId="77777777" w:rsidR="009A58DB" w:rsidRDefault="009A58DB">
      <w:pPr>
        <w:pStyle w:val="BodyText"/>
        <w:spacing w:before="30"/>
        <w:ind w:left="0"/>
        <w:jc w:val="left"/>
      </w:pPr>
    </w:p>
    <w:p w14:paraId="7E00079F" w14:textId="77777777" w:rsidR="009A58DB" w:rsidRDefault="00000000">
      <w:pPr>
        <w:pStyle w:val="ListParagraph"/>
        <w:numPr>
          <w:ilvl w:val="0"/>
          <w:numId w:val="226"/>
        </w:numPr>
        <w:tabs>
          <w:tab w:val="left" w:pos="825"/>
        </w:tabs>
        <w:spacing w:line="249" w:lineRule="auto"/>
        <w:ind w:right="360" w:firstLine="0"/>
        <w:rPr>
          <w:sz w:val="30"/>
        </w:rPr>
      </w:pPr>
      <w:r>
        <w:rPr>
          <w:sz w:val="30"/>
        </w:rPr>
        <w:t>“one</w:t>
      </w:r>
      <w:r>
        <w:rPr>
          <w:spacing w:val="40"/>
          <w:sz w:val="30"/>
        </w:rPr>
        <w:t xml:space="preserve"> </w:t>
      </w:r>
      <w:r>
        <w:rPr>
          <w:sz w:val="30"/>
        </w:rPr>
        <w:t>can</w:t>
      </w:r>
      <w:r>
        <w:rPr>
          <w:spacing w:val="40"/>
          <w:sz w:val="30"/>
        </w:rPr>
        <w:t xml:space="preserve"> </w:t>
      </w:r>
      <w:r>
        <w:rPr>
          <w:sz w:val="30"/>
        </w:rPr>
        <w:t>be</w:t>
      </w:r>
      <w:r>
        <w:rPr>
          <w:spacing w:val="40"/>
          <w:sz w:val="30"/>
        </w:rPr>
        <w:t xml:space="preserve"> </w:t>
      </w:r>
      <w:r>
        <w:rPr>
          <w:sz w:val="30"/>
        </w:rPr>
        <w:t>aware</w:t>
      </w:r>
      <w:r>
        <w:rPr>
          <w:spacing w:val="40"/>
          <w:sz w:val="30"/>
        </w:rPr>
        <w:t xml:space="preserve"> </w:t>
      </w:r>
      <w:r>
        <w:rPr>
          <w:sz w:val="30"/>
        </w:rPr>
        <w:t>of</w:t>
      </w:r>
      <w:r>
        <w:rPr>
          <w:spacing w:val="40"/>
          <w:sz w:val="30"/>
        </w:rPr>
        <w:t xml:space="preserve"> </w:t>
      </w:r>
      <w:r>
        <w:rPr>
          <w:sz w:val="30"/>
        </w:rPr>
        <w:t>the</w:t>
      </w:r>
      <w:r>
        <w:rPr>
          <w:spacing w:val="40"/>
          <w:sz w:val="30"/>
        </w:rPr>
        <w:t xml:space="preserve"> </w:t>
      </w:r>
      <w:r>
        <w:rPr>
          <w:sz w:val="30"/>
        </w:rPr>
        <w:t>fact</w:t>
      </w:r>
      <w:r>
        <w:rPr>
          <w:spacing w:val="40"/>
          <w:sz w:val="30"/>
        </w:rPr>
        <w:t xml:space="preserve"> </w:t>
      </w:r>
      <w:r>
        <w:rPr>
          <w:sz w:val="30"/>
        </w:rPr>
        <w:t>that</w:t>
      </w:r>
      <w:r>
        <w:rPr>
          <w:spacing w:val="40"/>
          <w:sz w:val="30"/>
        </w:rPr>
        <w:t xml:space="preserve"> </w:t>
      </w:r>
      <w:r>
        <w:rPr>
          <w:sz w:val="30"/>
        </w:rPr>
        <w:t>1</w:t>
      </w:r>
      <w:r>
        <w:rPr>
          <w:spacing w:val="40"/>
          <w:sz w:val="30"/>
        </w:rPr>
        <w:t xml:space="preserve"> </w:t>
      </w:r>
      <w:r>
        <w:rPr>
          <w:sz w:val="30"/>
        </w:rPr>
        <w:t>+</w:t>
      </w:r>
      <w:r>
        <w:rPr>
          <w:spacing w:val="40"/>
          <w:sz w:val="30"/>
        </w:rPr>
        <w:t xml:space="preserve"> </w:t>
      </w:r>
      <w:r>
        <w:rPr>
          <w:sz w:val="30"/>
        </w:rPr>
        <w:t>1</w:t>
      </w:r>
      <w:r>
        <w:rPr>
          <w:spacing w:val="40"/>
          <w:sz w:val="30"/>
        </w:rPr>
        <w:t xml:space="preserve"> </w:t>
      </w:r>
      <w:r>
        <w:rPr>
          <w:sz w:val="30"/>
        </w:rPr>
        <w:t>=</w:t>
      </w:r>
      <w:r>
        <w:rPr>
          <w:spacing w:val="40"/>
          <w:sz w:val="30"/>
        </w:rPr>
        <w:t xml:space="preserve"> </w:t>
      </w:r>
      <w:r>
        <w:rPr>
          <w:sz w:val="30"/>
        </w:rPr>
        <w:t>2</w:t>
      </w:r>
      <w:r>
        <w:rPr>
          <w:spacing w:val="40"/>
          <w:sz w:val="30"/>
        </w:rPr>
        <w:t xml:space="preserve"> </w:t>
      </w:r>
      <w:r>
        <w:rPr>
          <w:sz w:val="30"/>
        </w:rPr>
        <w:t>without</w:t>
      </w:r>
      <w:r>
        <w:rPr>
          <w:spacing w:val="40"/>
          <w:sz w:val="30"/>
        </w:rPr>
        <w:t xml:space="preserve"> </w:t>
      </w:r>
      <w:r>
        <w:rPr>
          <w:sz w:val="30"/>
        </w:rPr>
        <w:t>being</w:t>
      </w:r>
      <w:r>
        <w:rPr>
          <w:spacing w:val="40"/>
          <w:sz w:val="30"/>
        </w:rPr>
        <w:t xml:space="preserve"> </w:t>
      </w:r>
      <w:r>
        <w:rPr>
          <w:sz w:val="30"/>
        </w:rPr>
        <w:t>causally</w:t>
      </w:r>
      <w:r>
        <w:rPr>
          <w:spacing w:val="80"/>
          <w:sz w:val="30"/>
        </w:rPr>
        <w:t xml:space="preserve"> </w:t>
      </w:r>
      <w:r>
        <w:rPr>
          <w:sz w:val="30"/>
        </w:rPr>
        <w:t>affected by that fact”</w:t>
      </w:r>
    </w:p>
    <w:p w14:paraId="7E0007A0" w14:textId="77777777" w:rsidR="009A58DB" w:rsidRDefault="009A58DB">
      <w:pPr>
        <w:pStyle w:val="BodyText"/>
        <w:spacing w:before="18"/>
        <w:ind w:left="0"/>
        <w:jc w:val="left"/>
      </w:pPr>
    </w:p>
    <w:p w14:paraId="7E0007A1" w14:textId="77777777" w:rsidR="009A58DB" w:rsidRDefault="00000000">
      <w:pPr>
        <w:pStyle w:val="BodyText"/>
      </w:pPr>
      <w:r>
        <w:t>appears</w:t>
      </w:r>
      <w:r>
        <w:rPr>
          <w:spacing w:val="-4"/>
        </w:rPr>
        <w:t xml:space="preserve"> </w:t>
      </w:r>
      <w:r>
        <w:t>meaningful.</w:t>
      </w:r>
      <w:r>
        <w:rPr>
          <w:spacing w:val="-3"/>
        </w:rPr>
        <w:t xml:space="preserve"> </w:t>
      </w:r>
      <w:r>
        <w:t>So</w:t>
      </w:r>
      <w:r>
        <w:rPr>
          <w:spacing w:val="-2"/>
        </w:rPr>
        <w:t xml:space="preserve"> </w:t>
      </w:r>
      <w:r>
        <w:t>does</w:t>
      </w:r>
      <w:r>
        <w:rPr>
          <w:spacing w:val="-4"/>
        </w:rPr>
        <w:t xml:space="preserve"> </w:t>
      </w:r>
      <w:r>
        <w:t>the</w:t>
      </w:r>
      <w:r>
        <w:rPr>
          <w:spacing w:val="-3"/>
        </w:rPr>
        <w:t xml:space="preserve"> </w:t>
      </w:r>
      <w:r>
        <w:rPr>
          <w:spacing w:val="-2"/>
        </w:rPr>
        <w:t>sentence</w:t>
      </w:r>
    </w:p>
    <w:p w14:paraId="7E0007A2" w14:textId="77777777" w:rsidR="009A58DB" w:rsidRDefault="009A58DB">
      <w:pPr>
        <w:pStyle w:val="BodyText"/>
        <w:spacing w:before="30"/>
        <w:ind w:left="0"/>
        <w:jc w:val="left"/>
      </w:pPr>
    </w:p>
    <w:p w14:paraId="7E0007A3" w14:textId="77777777" w:rsidR="009A58DB" w:rsidRDefault="00000000">
      <w:pPr>
        <w:pStyle w:val="ListParagraph"/>
        <w:numPr>
          <w:ilvl w:val="0"/>
          <w:numId w:val="226"/>
        </w:numPr>
        <w:tabs>
          <w:tab w:val="left" w:pos="839"/>
        </w:tabs>
        <w:spacing w:line="249" w:lineRule="auto"/>
        <w:ind w:right="364" w:firstLine="0"/>
        <w:rPr>
          <w:sz w:val="30"/>
        </w:rPr>
      </w:pPr>
      <w:r>
        <w:rPr>
          <w:sz w:val="30"/>
        </w:rPr>
        <w:t>“there</w:t>
      </w:r>
      <w:r>
        <w:rPr>
          <w:spacing w:val="40"/>
          <w:sz w:val="30"/>
        </w:rPr>
        <w:t xml:space="preserve"> </w:t>
      </w:r>
      <w:r>
        <w:rPr>
          <w:sz w:val="30"/>
        </w:rPr>
        <w:t>could</w:t>
      </w:r>
      <w:r>
        <w:rPr>
          <w:spacing w:val="40"/>
          <w:sz w:val="30"/>
        </w:rPr>
        <w:t xml:space="preserve"> </w:t>
      </w:r>
      <w:r>
        <w:rPr>
          <w:sz w:val="30"/>
        </w:rPr>
        <w:t>in</w:t>
      </w:r>
      <w:r>
        <w:rPr>
          <w:spacing w:val="40"/>
          <w:sz w:val="30"/>
        </w:rPr>
        <w:t xml:space="preserve"> </w:t>
      </w:r>
      <w:r>
        <w:rPr>
          <w:sz w:val="30"/>
        </w:rPr>
        <w:t>principle</w:t>
      </w:r>
      <w:r>
        <w:rPr>
          <w:spacing w:val="40"/>
          <w:sz w:val="30"/>
        </w:rPr>
        <w:t xml:space="preserve"> </w:t>
      </w:r>
      <w:r>
        <w:rPr>
          <w:sz w:val="30"/>
        </w:rPr>
        <w:t>be</w:t>
      </w:r>
      <w:r>
        <w:rPr>
          <w:spacing w:val="40"/>
          <w:sz w:val="30"/>
        </w:rPr>
        <w:t xml:space="preserve"> </w:t>
      </w:r>
      <w:r>
        <w:rPr>
          <w:sz w:val="30"/>
        </w:rPr>
        <w:t>a</w:t>
      </w:r>
      <w:r>
        <w:rPr>
          <w:spacing w:val="40"/>
          <w:sz w:val="30"/>
        </w:rPr>
        <w:t xml:space="preserve"> </w:t>
      </w:r>
      <w:r>
        <w:rPr>
          <w:sz w:val="30"/>
        </w:rPr>
        <w:t>legal</w:t>
      </w:r>
      <w:r>
        <w:rPr>
          <w:spacing w:val="40"/>
          <w:sz w:val="30"/>
        </w:rPr>
        <w:t xml:space="preserve"> </w:t>
      </w:r>
      <w:r>
        <w:rPr>
          <w:sz w:val="30"/>
        </w:rPr>
        <w:t>system</w:t>
      </w:r>
      <w:r>
        <w:rPr>
          <w:spacing w:val="40"/>
          <w:sz w:val="30"/>
        </w:rPr>
        <w:t xml:space="preserve"> </w:t>
      </w:r>
      <w:r>
        <w:rPr>
          <w:sz w:val="30"/>
        </w:rPr>
        <w:t>that</w:t>
      </w:r>
      <w:r>
        <w:rPr>
          <w:spacing w:val="40"/>
          <w:sz w:val="30"/>
        </w:rPr>
        <w:t xml:space="preserve"> </w:t>
      </w:r>
      <w:r>
        <w:rPr>
          <w:sz w:val="30"/>
        </w:rPr>
        <w:t>failed</w:t>
      </w:r>
      <w:r>
        <w:rPr>
          <w:spacing w:val="40"/>
          <w:sz w:val="30"/>
        </w:rPr>
        <w:t xml:space="preserve"> </w:t>
      </w:r>
      <w:r>
        <w:rPr>
          <w:sz w:val="30"/>
        </w:rPr>
        <w:t>to</w:t>
      </w:r>
      <w:r>
        <w:rPr>
          <w:spacing w:val="40"/>
          <w:sz w:val="30"/>
        </w:rPr>
        <w:t xml:space="preserve"> </w:t>
      </w:r>
      <w:r>
        <w:rPr>
          <w:sz w:val="30"/>
        </w:rPr>
        <w:t>embody</w:t>
      </w:r>
      <w:r>
        <w:rPr>
          <w:spacing w:val="40"/>
          <w:sz w:val="30"/>
        </w:rPr>
        <w:t xml:space="preserve"> </w:t>
      </w:r>
      <w:r>
        <w:rPr>
          <w:sz w:val="30"/>
        </w:rPr>
        <w:t>any morality at all.”</w:t>
      </w:r>
    </w:p>
    <w:p w14:paraId="7E0007A4" w14:textId="77777777" w:rsidR="009A58DB" w:rsidRDefault="009A58DB">
      <w:pPr>
        <w:pStyle w:val="BodyText"/>
        <w:spacing w:before="17"/>
        <w:ind w:left="0"/>
        <w:jc w:val="left"/>
      </w:pPr>
    </w:p>
    <w:p w14:paraId="7E0007A5" w14:textId="77777777" w:rsidR="009A58DB" w:rsidRDefault="00000000">
      <w:pPr>
        <w:pStyle w:val="BodyText"/>
        <w:spacing w:line="249" w:lineRule="auto"/>
        <w:ind w:right="365"/>
      </w:pPr>
      <w:r>
        <w:t>But, in the TLP, Wittgenstein says that that this is an illusion. Here is the viewpoint underlying this bold contention:</w:t>
      </w:r>
    </w:p>
    <w:p w14:paraId="7E0007A6" w14:textId="77777777" w:rsidR="009A58DB" w:rsidRDefault="009A58DB">
      <w:pPr>
        <w:pStyle w:val="BodyText"/>
        <w:spacing w:before="18"/>
        <w:ind w:left="0"/>
        <w:jc w:val="left"/>
      </w:pPr>
    </w:p>
    <w:p w14:paraId="7E0007A7" w14:textId="77777777" w:rsidR="009A58DB" w:rsidRDefault="00000000">
      <w:pPr>
        <w:pStyle w:val="BodyText"/>
        <w:spacing w:line="249" w:lineRule="auto"/>
        <w:ind w:right="363"/>
      </w:pPr>
      <w:r>
        <w:t>(T</w:t>
      </w:r>
      <w:bookmarkStart w:id="48" w:name="_bookmark48"/>
      <w:bookmarkEnd w:id="48"/>
      <w:r>
        <w:t>A</w:t>
      </w:r>
      <w:r>
        <w:rPr>
          <w:color w:val="0562C1"/>
          <w:position w:val="21"/>
          <w:u w:val="single" w:color="0562C1"/>
        </w:rPr>
        <w:t>[45]</w:t>
      </w:r>
      <w:r>
        <w:t>) All philosophical statements are ungrammatical nonsense, and all philosophical problems would vanish if we spoke grammatically. “All philosophical problems belong to the same class as the question whether the good is more or less identical than the beautiful.</w:t>
      </w:r>
      <w:bookmarkStart w:id="49" w:name="_bookmark49"/>
      <w:bookmarkEnd w:id="49"/>
      <w:r>
        <w:t>”</w:t>
      </w:r>
      <w:r>
        <w:rPr>
          <w:color w:val="0562C1"/>
          <w:position w:val="21"/>
          <w:u w:val="single" w:color="0562C1"/>
        </w:rPr>
        <w:t>[46]</w:t>
      </w:r>
      <w:r>
        <w:rPr>
          <w:color w:val="0562C1"/>
          <w:position w:val="21"/>
        </w:rPr>
        <w:t xml:space="preserve"> </w:t>
      </w:r>
      <w:r>
        <w:t>Thus, all philosophical statements belong to the same class as:</w:t>
      </w:r>
    </w:p>
    <w:p w14:paraId="7E0007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A9" w14:textId="77777777" w:rsidR="009A58DB" w:rsidRDefault="00000000">
      <w:pPr>
        <w:pStyle w:val="BodyText"/>
        <w:spacing w:before="65"/>
      </w:pPr>
      <w:r>
        <w:lastRenderedPageBreak/>
        <w:t>(BG)</w:t>
      </w:r>
      <w:r>
        <w:rPr>
          <w:spacing w:val="-5"/>
        </w:rPr>
        <w:t xml:space="preserve"> </w:t>
      </w:r>
      <w:r>
        <w:t>the</w:t>
      </w:r>
      <w:r>
        <w:rPr>
          <w:spacing w:val="-3"/>
        </w:rPr>
        <w:t xml:space="preserve"> </w:t>
      </w:r>
      <w:r>
        <w:t>good</w:t>
      </w:r>
      <w:r>
        <w:rPr>
          <w:spacing w:val="-2"/>
        </w:rPr>
        <w:t xml:space="preserve"> </w:t>
      </w:r>
      <w:r>
        <w:t>is</w:t>
      </w:r>
      <w:r>
        <w:rPr>
          <w:spacing w:val="-3"/>
        </w:rPr>
        <w:t xml:space="preserve"> </w:t>
      </w:r>
      <w:r>
        <w:t>more</w:t>
      </w:r>
      <w:r>
        <w:rPr>
          <w:spacing w:val="-3"/>
        </w:rPr>
        <w:t xml:space="preserve"> </w:t>
      </w:r>
      <w:r>
        <w:t>or</w:t>
      </w:r>
      <w:r>
        <w:rPr>
          <w:spacing w:val="-3"/>
        </w:rPr>
        <w:t xml:space="preserve"> </w:t>
      </w:r>
      <w:r>
        <w:t>less</w:t>
      </w:r>
      <w:r>
        <w:rPr>
          <w:spacing w:val="-3"/>
        </w:rPr>
        <w:t xml:space="preserve"> </w:t>
      </w:r>
      <w:r>
        <w:t>identical</w:t>
      </w:r>
      <w:r>
        <w:rPr>
          <w:spacing w:val="-3"/>
        </w:rPr>
        <w:t xml:space="preserve"> </w:t>
      </w:r>
      <w:r>
        <w:t>than</w:t>
      </w:r>
      <w:r>
        <w:rPr>
          <w:spacing w:val="-2"/>
        </w:rPr>
        <w:t xml:space="preserve"> </w:t>
      </w:r>
      <w:r>
        <w:t>the</w:t>
      </w:r>
      <w:r>
        <w:rPr>
          <w:spacing w:val="-2"/>
        </w:rPr>
        <w:t xml:space="preserve"> beautiful.</w:t>
      </w:r>
    </w:p>
    <w:p w14:paraId="7E0007AA" w14:textId="77777777" w:rsidR="009A58DB" w:rsidRDefault="009A58DB">
      <w:pPr>
        <w:pStyle w:val="BodyText"/>
        <w:spacing w:before="29"/>
        <w:ind w:left="0"/>
        <w:jc w:val="left"/>
      </w:pPr>
    </w:p>
    <w:p w14:paraId="7E0007AB" w14:textId="77777777" w:rsidR="009A58DB" w:rsidRDefault="00000000">
      <w:pPr>
        <w:pStyle w:val="BodyText"/>
        <w:spacing w:before="1" w:line="249" w:lineRule="auto"/>
        <w:ind w:right="367" w:firstLine="360"/>
      </w:pPr>
      <w:r>
        <w:t>BG is obviously meaningless. The reason for this is that it’s syntactically ill-formed. If we produced only syntactically well-formed sentences, we wouldn’t produce nonsense like BG. Since all philosophical statements are in the same class as BG, we’d never produce any sentences whose merits it was the job of philosophy to determine.</w:t>
      </w:r>
    </w:p>
    <w:p w14:paraId="7E0007AC" w14:textId="77777777" w:rsidR="009A58DB" w:rsidRDefault="00000000">
      <w:pPr>
        <w:pStyle w:val="BodyText"/>
        <w:spacing w:before="6" w:line="249" w:lineRule="auto"/>
        <w:ind w:right="366" w:firstLine="360"/>
      </w:pPr>
      <w:r>
        <w:t xml:space="preserve">Were the logical forms of (a) and (b) brought into alignment with their logical forms—in other words, were their actual meanings reflected in their grammar—they’d be ungrammatical since they have </w:t>
      </w:r>
      <w:r>
        <w:rPr>
          <w:i/>
        </w:rPr>
        <w:t xml:space="preserve">no </w:t>
      </w:r>
      <w:r>
        <w:t>meanings.</w:t>
      </w:r>
    </w:p>
    <w:p w14:paraId="7E0007AD" w14:textId="77777777" w:rsidR="009A58DB" w:rsidRDefault="009A58DB">
      <w:pPr>
        <w:pStyle w:val="BodyText"/>
        <w:spacing w:before="18"/>
        <w:ind w:left="0"/>
        <w:jc w:val="left"/>
      </w:pPr>
    </w:p>
    <w:p w14:paraId="7E0007AE" w14:textId="77777777" w:rsidR="009A58DB" w:rsidRDefault="00000000">
      <w:pPr>
        <w:pStyle w:val="BodyText"/>
        <w:spacing w:before="1"/>
        <w:ind w:left="720"/>
      </w:pPr>
      <w:r>
        <w:t>Although</w:t>
      </w:r>
      <w:r>
        <w:rPr>
          <w:spacing w:val="-1"/>
        </w:rPr>
        <w:t xml:space="preserve"> </w:t>
      </w:r>
      <w:r>
        <w:t>TA</w:t>
      </w:r>
      <w:r>
        <w:rPr>
          <w:spacing w:val="-1"/>
        </w:rPr>
        <w:t xml:space="preserve"> </w:t>
      </w:r>
      <w:r>
        <w:t>is</w:t>
      </w:r>
      <w:r>
        <w:rPr>
          <w:spacing w:val="-1"/>
        </w:rPr>
        <w:t xml:space="preserve"> </w:t>
      </w:r>
      <w:r>
        <w:t>a paraphrase,</w:t>
      </w:r>
      <w:r>
        <w:rPr>
          <w:spacing w:val="-1"/>
        </w:rPr>
        <w:t xml:space="preserve"> </w:t>
      </w:r>
      <w:r>
        <w:t>not</w:t>
      </w:r>
      <w:r>
        <w:rPr>
          <w:spacing w:val="-1"/>
        </w:rPr>
        <w:t xml:space="preserve"> </w:t>
      </w:r>
      <w:r>
        <w:t>a</w:t>
      </w:r>
      <w:r>
        <w:rPr>
          <w:spacing w:val="-1"/>
        </w:rPr>
        <w:t xml:space="preserve"> </w:t>
      </w:r>
      <w:r>
        <w:t>quotation, the</w:t>
      </w:r>
      <w:r>
        <w:rPr>
          <w:spacing w:val="-1"/>
        </w:rPr>
        <w:t xml:space="preserve"> </w:t>
      </w:r>
      <w:r>
        <w:t>part</w:t>
      </w:r>
      <w:r>
        <w:rPr>
          <w:spacing w:val="-1"/>
        </w:rPr>
        <w:t xml:space="preserve"> </w:t>
      </w:r>
      <w:r>
        <w:t>in quotes</w:t>
      </w:r>
      <w:r>
        <w:rPr>
          <w:spacing w:val="-1"/>
        </w:rPr>
        <w:t xml:space="preserve"> </w:t>
      </w:r>
      <w:r>
        <w:rPr>
          <w:i/>
        </w:rPr>
        <w:t>is</w:t>
      </w:r>
      <w:r>
        <w:rPr>
          <w:i/>
          <w:spacing w:val="-3"/>
        </w:rPr>
        <w:t xml:space="preserve"> </w:t>
      </w:r>
      <w:r>
        <w:t>an</w:t>
      </w:r>
      <w:r>
        <w:rPr>
          <w:spacing w:val="-1"/>
        </w:rPr>
        <w:t xml:space="preserve"> </w:t>
      </w:r>
      <w:r>
        <w:rPr>
          <w:spacing w:val="-2"/>
        </w:rPr>
        <w:t>exact</w:t>
      </w:r>
    </w:p>
    <w:p w14:paraId="7E0007AF" w14:textId="77777777" w:rsidR="009A58DB" w:rsidRDefault="00000000">
      <w:pPr>
        <w:pStyle w:val="BodyText"/>
        <w:spacing w:before="15"/>
        <w:jc w:val="left"/>
      </w:pPr>
      <w:r>
        <w:rPr>
          <w:noProof/>
        </w:rPr>
        <mc:AlternateContent>
          <mc:Choice Requires="wps">
            <w:drawing>
              <wp:anchor distT="0" distB="0" distL="0" distR="0" simplePos="0" relativeHeight="480326144" behindDoc="1" locked="0" layoutInCell="1" allowOverlap="1" wp14:anchorId="7E003254" wp14:editId="7E003255">
                <wp:simplePos x="0" y="0"/>
                <wp:positionH relativeFrom="page">
                  <wp:posOffset>2717601</wp:posOffset>
                </wp:positionH>
                <wp:positionV relativeFrom="paragraph">
                  <wp:posOffset>150893</wp:posOffset>
                </wp:positionV>
                <wp:extent cx="4762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211454"/>
                        </a:xfrm>
                        <a:prstGeom prst="rect">
                          <a:avLst/>
                        </a:prstGeom>
                      </wps:spPr>
                      <wps:txbx>
                        <w:txbxContent>
                          <w:p w14:paraId="7E0032B1" w14:textId="77777777" w:rsidR="009A58DB" w:rsidRDefault="00000000">
                            <w:pPr>
                              <w:spacing w:line="332" w:lineRule="exact"/>
                              <w:rPr>
                                <w:sz w:val="30"/>
                              </w:rPr>
                            </w:pPr>
                            <w:r>
                              <w:rPr>
                                <w:spacing w:val="-10"/>
                                <w:sz w:val="30"/>
                              </w:rPr>
                              <w:t>.</w:t>
                            </w:r>
                          </w:p>
                        </w:txbxContent>
                      </wps:txbx>
                      <wps:bodyPr wrap="square" lIns="0" tIns="0" rIns="0" bIns="0" rtlCol="0">
                        <a:noAutofit/>
                      </wps:bodyPr>
                    </wps:wsp>
                  </a:graphicData>
                </a:graphic>
              </wp:anchor>
            </w:drawing>
          </mc:Choice>
          <mc:Fallback>
            <w:pict>
              <v:shape w14:anchorId="7E003254" id="Textbox 3" o:spid="_x0000_s1027" type="#_x0000_t202" style="position:absolute;left:0;text-align:left;margin-left:214pt;margin-top:11.9pt;width:3.75pt;height:16.65pt;z-index:-2299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" filled="f" stroked="f">
                <v:textbox inset="0,0,0,0">
                  <w:txbxContent>
                    <w:p w14:paraId="7E0032B1" w14:textId="77777777" w:rsidR="009A58DB" w:rsidRDefault="00000000">
                      <w:pPr>
                        <w:spacing w:line="332" w:lineRule="exact"/>
                        <w:rPr>
                          <w:sz w:val="30"/>
                        </w:rPr>
                      </w:pPr>
                      <w:r>
                        <w:rPr>
                          <w:spacing w:val="-10"/>
                          <w:sz w:val="30"/>
                        </w:rPr>
                        <w:t>.</w:t>
                      </w:r>
                    </w:p>
                  </w:txbxContent>
                </v:textbox>
                <w10:wrap anchorx="page"/>
              </v:shape>
            </w:pict>
          </mc:Fallback>
        </mc:AlternateContent>
      </w:r>
      <w:bookmarkStart w:id="50" w:name="_bookmark50"/>
      <w:bookmarkEnd w:id="50"/>
      <w:r>
        <w:rPr>
          <w:color w:val="0562C1"/>
          <w:spacing w:val="-1"/>
          <w:position w:val="21"/>
          <w:u w:val="single" w:color="0562C1"/>
        </w:rPr>
        <w:t>[</w:t>
      </w:r>
      <w:r>
        <w:rPr>
          <w:color w:val="0562C1"/>
          <w:position w:val="21"/>
          <w:u w:val="single" w:color="0562C1"/>
        </w:rPr>
        <w:t>47</w:t>
      </w:r>
      <w:r>
        <w:rPr>
          <w:color w:val="0562C1"/>
          <w:spacing w:val="-3415"/>
          <w:position w:val="21"/>
          <w:u w:val="single" w:color="0562C1"/>
        </w:rPr>
        <w:t>]</w:t>
      </w:r>
      <w:r>
        <w:t>quo</w:t>
      </w:r>
      <w:r>
        <w:rPr>
          <w:spacing w:val="-1"/>
        </w:rPr>
        <w:t>tati</w:t>
      </w:r>
      <w:r>
        <w:t>on</w:t>
      </w:r>
      <w:r>
        <w:rPr>
          <w:spacing w:val="-2"/>
        </w:rPr>
        <w:t xml:space="preserve"> </w:t>
      </w:r>
      <w:r>
        <w:t>from</w:t>
      </w:r>
      <w:r>
        <w:rPr>
          <w:spacing w:val="-3"/>
        </w:rPr>
        <w:t xml:space="preserve"> </w:t>
      </w:r>
      <w:r>
        <w:t>the</w:t>
      </w:r>
      <w:r>
        <w:rPr>
          <w:spacing w:val="-2"/>
        </w:rPr>
        <w:t xml:space="preserve"> </w:t>
      </w:r>
      <w:r>
        <w:rPr>
          <w:spacing w:val="-5"/>
        </w:rPr>
        <w:t>TLP</w:t>
      </w:r>
    </w:p>
    <w:p w14:paraId="7E0007B0" w14:textId="77777777" w:rsidR="009A58DB" w:rsidRDefault="00000000">
      <w:pPr>
        <w:pStyle w:val="BodyText"/>
        <w:spacing w:before="15" w:line="249" w:lineRule="auto"/>
        <w:ind w:right="358" w:firstLine="360"/>
      </w:pPr>
      <w:r>
        <w:t xml:space="preserve">What Wittgenstein is saying isn’t confined to the defensible claim that philosophical problems are to be solved by clarifying statements. Wittgenstein is making two additional claims. First, no sentence that appears to make a philosophical statement means </w:t>
      </w:r>
      <w:r>
        <w:rPr>
          <w:i/>
        </w:rPr>
        <w:t>anything.</w:t>
      </w:r>
      <w:r>
        <w:rPr>
          <w:i/>
          <w:spacing w:val="-3"/>
        </w:rPr>
        <w:t xml:space="preserve"> </w:t>
      </w:r>
      <w:r>
        <w:t xml:space="preserve">Second, it’s </w:t>
      </w:r>
      <w:r>
        <w:rPr>
          <w:i/>
        </w:rPr>
        <w:t xml:space="preserve">only </w:t>
      </w:r>
      <w:r>
        <w:t>because they’re syntactically ill-formed that such sentences are meaningless—there is no other reason.</w:t>
      </w:r>
    </w:p>
    <w:p w14:paraId="7E0007B1" w14:textId="77777777" w:rsidR="009A58DB" w:rsidRDefault="00000000">
      <w:pPr>
        <w:pStyle w:val="BodyText"/>
        <w:spacing w:before="7"/>
        <w:ind w:left="720"/>
      </w:pPr>
      <w:r>
        <w:t>Let</w:t>
      </w:r>
      <w:r>
        <w:rPr>
          <w:spacing w:val="-7"/>
        </w:rPr>
        <w:t xml:space="preserve"> </w:t>
      </w:r>
      <w:r>
        <w:t>us</w:t>
      </w:r>
      <w:r>
        <w:rPr>
          <w:spacing w:val="-4"/>
        </w:rPr>
        <w:t xml:space="preserve"> </w:t>
      </w:r>
      <w:r>
        <w:t>evaluate</w:t>
      </w:r>
      <w:r>
        <w:rPr>
          <w:spacing w:val="-5"/>
        </w:rPr>
        <w:t xml:space="preserve"> </w:t>
      </w:r>
      <w:r>
        <w:t>these</w:t>
      </w:r>
      <w:r>
        <w:rPr>
          <w:spacing w:val="-4"/>
        </w:rPr>
        <w:t xml:space="preserve"> </w:t>
      </w:r>
      <w:r>
        <w:t>claims.</w:t>
      </w:r>
      <w:r>
        <w:rPr>
          <w:spacing w:val="-4"/>
        </w:rPr>
        <w:t xml:space="preserve"> </w:t>
      </w:r>
      <w:r>
        <w:t>Though</w:t>
      </w:r>
      <w:r>
        <w:rPr>
          <w:spacing w:val="-3"/>
        </w:rPr>
        <w:t xml:space="preserve"> </w:t>
      </w:r>
      <w:r>
        <w:t>ungrammatical,</w:t>
      </w:r>
      <w:r>
        <w:rPr>
          <w:spacing w:val="-4"/>
        </w:rPr>
        <w:t xml:space="preserve"> </w:t>
      </w:r>
      <w:r>
        <w:t>the</w:t>
      </w:r>
      <w:r>
        <w:rPr>
          <w:spacing w:val="-4"/>
        </w:rPr>
        <w:t xml:space="preserve"> </w:t>
      </w:r>
      <w:r>
        <w:rPr>
          <w:spacing w:val="-2"/>
        </w:rPr>
        <w:t>sentence:</w:t>
      </w:r>
    </w:p>
    <w:p w14:paraId="7E0007B2" w14:textId="77777777" w:rsidR="009A58DB" w:rsidRDefault="009A58DB">
      <w:pPr>
        <w:pStyle w:val="BodyText"/>
        <w:spacing w:before="30"/>
        <w:ind w:left="0"/>
        <w:jc w:val="left"/>
      </w:pPr>
    </w:p>
    <w:p w14:paraId="7E0007B3" w14:textId="77777777" w:rsidR="009A58DB" w:rsidRDefault="00000000">
      <w:pPr>
        <w:pStyle w:val="BodyText"/>
        <w:spacing w:line="249" w:lineRule="auto"/>
        <w:ind w:right="369"/>
      </w:pPr>
      <w:r>
        <w:t>(MH) “me and Herby play tennis every day, and me always win because Herby not in good shape”</w:t>
      </w:r>
    </w:p>
    <w:p w14:paraId="7E0007B4" w14:textId="77777777" w:rsidR="009A58DB" w:rsidRDefault="009A58DB">
      <w:pPr>
        <w:pStyle w:val="BodyText"/>
        <w:spacing w:before="17"/>
        <w:ind w:left="0"/>
        <w:jc w:val="left"/>
      </w:pPr>
    </w:p>
    <w:p w14:paraId="7E0007B5" w14:textId="77777777" w:rsidR="009A58DB" w:rsidRDefault="00000000">
      <w:pPr>
        <w:pStyle w:val="BodyText"/>
        <w:spacing w:before="1" w:line="249" w:lineRule="auto"/>
        <w:ind w:right="363"/>
      </w:pPr>
      <w:r>
        <w:t xml:space="preserve">is perfectly meaningful. Ungrammatical statements are often meaningful. Thus, BG’s failure to mean anything cannot be entirely blamed on its being </w:t>
      </w:r>
      <w:r>
        <w:rPr>
          <w:spacing w:val="-2"/>
        </w:rPr>
        <w:t>ungrammatical.</w:t>
      </w:r>
    </w:p>
    <w:p w14:paraId="7E0007B6" w14:textId="77777777" w:rsidR="009A58DB" w:rsidRDefault="00000000">
      <w:pPr>
        <w:pStyle w:val="BodyText"/>
        <w:spacing w:before="3" w:line="249" w:lineRule="auto"/>
        <w:ind w:right="358" w:firstLine="360"/>
      </w:pPr>
      <w:r>
        <w:t>What’s</w:t>
      </w:r>
      <w:r>
        <w:rPr>
          <w:spacing w:val="-1"/>
        </w:rPr>
        <w:t xml:space="preserve"> </w:t>
      </w:r>
      <w:r>
        <w:t>the</w:t>
      </w:r>
      <w:r>
        <w:rPr>
          <w:spacing w:val="-1"/>
        </w:rPr>
        <w:t xml:space="preserve"> </w:t>
      </w:r>
      <w:r>
        <w:t>real</w:t>
      </w:r>
      <w:r>
        <w:rPr>
          <w:spacing w:val="-1"/>
        </w:rPr>
        <w:t xml:space="preserve"> </w:t>
      </w:r>
      <w:r>
        <w:t>problem</w:t>
      </w:r>
      <w:r>
        <w:rPr>
          <w:spacing w:val="-1"/>
        </w:rPr>
        <w:t xml:space="preserve"> </w:t>
      </w:r>
      <w:r>
        <w:t>with</w:t>
      </w:r>
      <w:r>
        <w:rPr>
          <w:spacing w:val="-1"/>
        </w:rPr>
        <w:t xml:space="preserve"> </w:t>
      </w:r>
      <w:r>
        <w:t>BG?</w:t>
      </w:r>
      <w:r>
        <w:rPr>
          <w:spacing w:val="-1"/>
        </w:rPr>
        <w:t xml:space="preserve"> </w:t>
      </w:r>
      <w:r>
        <w:t>The</w:t>
      </w:r>
      <w:r>
        <w:rPr>
          <w:spacing w:val="-1"/>
        </w:rPr>
        <w:t xml:space="preserve"> </w:t>
      </w:r>
      <w:r>
        <w:t>expression</w:t>
      </w:r>
      <w:r>
        <w:rPr>
          <w:spacing w:val="-1"/>
        </w:rPr>
        <w:t xml:space="preserve"> </w:t>
      </w:r>
      <w:r>
        <w:t>“more</w:t>
      </w:r>
      <w:r>
        <w:rPr>
          <w:spacing w:val="-1"/>
        </w:rPr>
        <w:t xml:space="preserve"> </w:t>
      </w:r>
      <w:r>
        <w:t>identical</w:t>
      </w:r>
      <w:r>
        <w:rPr>
          <w:spacing w:val="-1"/>
        </w:rPr>
        <w:t xml:space="preserve"> </w:t>
      </w:r>
      <w:r>
        <w:t>than”</w:t>
      </w:r>
      <w:r>
        <w:rPr>
          <w:spacing w:val="-1"/>
        </w:rPr>
        <w:t xml:space="preserve"> </w:t>
      </w:r>
      <w:r>
        <w:t>is obviously supposed to function in the same way as relational expressions,</w:t>
      </w:r>
      <w:r>
        <w:rPr>
          <w:spacing w:val="40"/>
        </w:rPr>
        <w:t xml:space="preserve"> </w:t>
      </w:r>
      <w:r>
        <w:t xml:space="preserve">like “more important than” or “identical with.” But there is no relation that it picks out. Though it </w:t>
      </w:r>
      <w:r>
        <w:rPr>
          <w:i/>
        </w:rPr>
        <w:t xml:space="preserve">consists </w:t>
      </w:r>
      <w:r>
        <w:t xml:space="preserve">of English expressions, the expression “more identical than” is </w:t>
      </w:r>
      <w:r>
        <w:rPr>
          <w:i/>
        </w:rPr>
        <w:t xml:space="preserve">itself </w:t>
      </w:r>
      <w:r>
        <w:t>no more a part of the English lexicon than “blurga derba gurb.” For that reason, the meaninglessness of BG is to be accounted for in the same way as the meaninglessness of:</w:t>
      </w:r>
    </w:p>
    <w:p w14:paraId="7E0007B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7B8" w14:textId="77777777" w:rsidR="009A58DB" w:rsidRDefault="00000000">
      <w:pPr>
        <w:pStyle w:val="BodyText"/>
        <w:spacing w:before="65"/>
      </w:pPr>
      <w:r>
        <w:lastRenderedPageBreak/>
        <w:t>(BG#)</w:t>
      </w:r>
      <w:r>
        <w:rPr>
          <w:spacing w:val="-6"/>
        </w:rPr>
        <w:t xml:space="preserve"> </w:t>
      </w:r>
      <w:r>
        <w:t>“the</w:t>
      </w:r>
      <w:r>
        <w:rPr>
          <w:spacing w:val="-3"/>
        </w:rPr>
        <w:t xml:space="preserve"> </w:t>
      </w:r>
      <w:r>
        <w:t>beautiful</w:t>
      </w:r>
      <w:r>
        <w:rPr>
          <w:spacing w:val="-3"/>
        </w:rPr>
        <w:t xml:space="preserve"> </w:t>
      </w:r>
      <w:r>
        <w:t>is</w:t>
      </w:r>
      <w:r>
        <w:rPr>
          <w:spacing w:val="-3"/>
        </w:rPr>
        <w:t xml:space="preserve"> </w:t>
      </w:r>
      <w:r>
        <w:t>blurga</w:t>
      </w:r>
      <w:r>
        <w:rPr>
          <w:spacing w:val="-3"/>
        </w:rPr>
        <w:t xml:space="preserve"> </w:t>
      </w:r>
      <w:r>
        <w:t>derba</w:t>
      </w:r>
      <w:r>
        <w:rPr>
          <w:spacing w:val="-3"/>
        </w:rPr>
        <w:t xml:space="preserve"> </w:t>
      </w:r>
      <w:r>
        <w:t>gurb</w:t>
      </w:r>
      <w:r>
        <w:rPr>
          <w:spacing w:val="-2"/>
        </w:rPr>
        <w:t xml:space="preserve"> </w:t>
      </w:r>
      <w:r>
        <w:t>the</w:t>
      </w:r>
      <w:r>
        <w:rPr>
          <w:spacing w:val="-3"/>
        </w:rPr>
        <w:t xml:space="preserve"> </w:t>
      </w:r>
      <w:r>
        <w:rPr>
          <w:spacing w:val="-2"/>
        </w:rPr>
        <w:t>good.”</w:t>
      </w:r>
    </w:p>
    <w:p w14:paraId="7E0007B9" w14:textId="77777777" w:rsidR="009A58DB" w:rsidRDefault="009A58DB">
      <w:pPr>
        <w:pStyle w:val="BodyText"/>
        <w:spacing w:before="29"/>
        <w:ind w:left="0"/>
        <w:jc w:val="left"/>
      </w:pPr>
    </w:p>
    <w:p w14:paraId="7E0007BA" w14:textId="77777777" w:rsidR="009A58DB" w:rsidRDefault="00000000">
      <w:pPr>
        <w:pStyle w:val="BodyText"/>
        <w:spacing w:before="1" w:line="249" w:lineRule="auto"/>
        <w:ind w:right="358" w:firstLine="360"/>
        <w:rPr>
          <w:i/>
        </w:rPr>
      </w:pPr>
      <w:r>
        <w:t xml:space="preserve">The problem with BG# is that “blurga derba gurb” doesn’t mean anything. It may be that its meaninglessness is </w:t>
      </w:r>
      <w:r>
        <w:rPr>
          <w:i/>
        </w:rPr>
        <w:t xml:space="preserve">reflected </w:t>
      </w:r>
      <w:r>
        <w:t xml:space="preserve">in its syntax. It may be that </w:t>
      </w:r>
      <w:r>
        <w:rPr>
          <w:i/>
        </w:rPr>
        <w:t xml:space="preserve">because </w:t>
      </w:r>
      <w:r>
        <w:t>“blurga derba gurb” doesn’t mean anything, BG#’s syntax is off.</w:t>
      </w:r>
      <w:r>
        <w:rPr>
          <w:spacing w:val="40"/>
        </w:rPr>
        <w:t xml:space="preserve"> </w:t>
      </w:r>
      <w:r>
        <w:t>But,</w:t>
      </w:r>
      <w:r>
        <w:rPr>
          <w:spacing w:val="-2"/>
        </w:rPr>
        <w:t xml:space="preserve"> </w:t>
      </w:r>
      <w:r>
        <w:t>if</w:t>
      </w:r>
      <w:r>
        <w:rPr>
          <w:spacing w:val="-3"/>
        </w:rPr>
        <w:t xml:space="preserve"> </w:t>
      </w:r>
      <w:r>
        <w:t>so,</w:t>
      </w:r>
      <w:r>
        <w:rPr>
          <w:spacing w:val="-2"/>
        </w:rPr>
        <w:t xml:space="preserve"> </w:t>
      </w:r>
      <w:r>
        <w:t>its</w:t>
      </w:r>
      <w:r>
        <w:rPr>
          <w:spacing w:val="-3"/>
        </w:rPr>
        <w:t xml:space="preserve"> </w:t>
      </w:r>
      <w:r>
        <w:t>syntactic</w:t>
      </w:r>
      <w:r>
        <w:rPr>
          <w:spacing w:val="-3"/>
        </w:rPr>
        <w:t xml:space="preserve"> </w:t>
      </w:r>
      <w:r>
        <w:t>shortcomings</w:t>
      </w:r>
      <w:r>
        <w:rPr>
          <w:spacing w:val="-3"/>
        </w:rPr>
        <w:t xml:space="preserve"> </w:t>
      </w:r>
      <w:r>
        <w:t>are</w:t>
      </w:r>
      <w:r>
        <w:rPr>
          <w:spacing w:val="-3"/>
        </w:rPr>
        <w:t xml:space="preserve"> </w:t>
      </w:r>
      <w:r>
        <w:t>to</w:t>
      </w:r>
      <w:r>
        <w:rPr>
          <w:spacing w:val="-2"/>
        </w:rPr>
        <w:t xml:space="preserve"> </w:t>
      </w:r>
      <w:r>
        <w:t>be</w:t>
      </w:r>
      <w:r>
        <w:rPr>
          <w:spacing w:val="-3"/>
        </w:rPr>
        <w:t xml:space="preserve"> </w:t>
      </w:r>
      <w:r>
        <w:t>explained</w:t>
      </w:r>
      <w:r>
        <w:rPr>
          <w:spacing w:val="-2"/>
        </w:rPr>
        <w:t xml:space="preserve"> </w:t>
      </w:r>
      <w:r>
        <w:t>in</w:t>
      </w:r>
      <w:r>
        <w:rPr>
          <w:spacing w:val="-2"/>
        </w:rPr>
        <w:t xml:space="preserve"> </w:t>
      </w:r>
      <w:r>
        <w:t>terms</w:t>
      </w:r>
      <w:r>
        <w:rPr>
          <w:spacing w:val="-3"/>
        </w:rPr>
        <w:t xml:space="preserve"> </w:t>
      </w:r>
      <w:r>
        <w:t>of</w:t>
      </w:r>
      <w:r>
        <w:rPr>
          <w:spacing w:val="-3"/>
        </w:rPr>
        <w:t xml:space="preserve"> </w:t>
      </w:r>
      <w:r>
        <w:t>its</w:t>
      </w:r>
      <w:r>
        <w:rPr>
          <w:spacing w:val="-3"/>
        </w:rPr>
        <w:t xml:space="preserve"> </w:t>
      </w:r>
      <w:r>
        <w:t>lack</w:t>
      </w:r>
      <w:r>
        <w:rPr>
          <w:spacing w:val="-2"/>
        </w:rPr>
        <w:t xml:space="preserve"> </w:t>
      </w:r>
      <w:r>
        <w:t xml:space="preserve">of meaning, not </w:t>
      </w:r>
      <w:r>
        <w:rPr>
          <w:i/>
        </w:rPr>
        <w:t>vice versa.</w:t>
      </w:r>
    </w:p>
    <w:p w14:paraId="7E0007BB" w14:textId="77777777" w:rsidR="009A58DB" w:rsidRDefault="00000000">
      <w:pPr>
        <w:pStyle w:val="BodyText"/>
        <w:spacing w:before="6" w:line="249" w:lineRule="auto"/>
        <w:ind w:right="367" w:firstLine="360"/>
        <w:rPr>
          <w:i/>
        </w:rPr>
      </w:pPr>
      <w:r>
        <w:t xml:space="preserve">The same holds of BG. The reason that BG doesn’t mean anything is that “more identical than” doesn’t mean anything. BG’s syntactic shortcomings are to be explained in terms of its lack of meaning, and not </w:t>
      </w:r>
      <w:r>
        <w:rPr>
          <w:i/>
        </w:rPr>
        <w:t>vice versa.</w:t>
      </w:r>
    </w:p>
    <w:p w14:paraId="7E0007BC" w14:textId="77777777" w:rsidR="009A58DB" w:rsidRDefault="00000000">
      <w:pPr>
        <w:pStyle w:val="BodyText"/>
        <w:spacing w:before="4" w:line="249" w:lineRule="auto"/>
        <w:ind w:right="358" w:firstLine="360"/>
      </w:pPr>
      <w:r>
        <w:t>This is easily verified. Given any relation R, if “more identical than” denoted R, BG would be meaningful. If, for example, it denoted the relation that is in fact picked out by the expression ‘a better dancer than,” BG would say that the good is a better dancer than the beautiful; and it would thus have the same meaning as</w:t>
      </w:r>
    </w:p>
    <w:p w14:paraId="7E0007BD" w14:textId="77777777" w:rsidR="009A58DB" w:rsidRDefault="009A58DB">
      <w:pPr>
        <w:pStyle w:val="BodyText"/>
        <w:spacing w:before="21"/>
        <w:ind w:left="0"/>
        <w:jc w:val="left"/>
      </w:pPr>
    </w:p>
    <w:p w14:paraId="7E0007BE" w14:textId="77777777" w:rsidR="009A58DB" w:rsidRDefault="00000000">
      <w:pPr>
        <w:pStyle w:val="BodyText"/>
        <w:spacing w:line="249" w:lineRule="auto"/>
        <w:ind w:right="360"/>
      </w:pPr>
      <w:r>
        <w:t xml:space="preserve">(BG*) “the property of goodness is a better dancer than the property of being </w:t>
      </w:r>
      <w:r>
        <w:rPr>
          <w:spacing w:val="-2"/>
        </w:rPr>
        <w:t>beautiful.”</w:t>
      </w:r>
    </w:p>
    <w:p w14:paraId="7E0007BF" w14:textId="77777777" w:rsidR="009A58DB" w:rsidRDefault="009A58DB">
      <w:pPr>
        <w:pStyle w:val="BodyText"/>
        <w:spacing w:before="17"/>
        <w:ind w:left="0"/>
        <w:jc w:val="left"/>
      </w:pPr>
    </w:p>
    <w:p w14:paraId="7E0007C0" w14:textId="77777777" w:rsidR="009A58DB" w:rsidRDefault="00000000">
      <w:pPr>
        <w:pStyle w:val="BodyText"/>
        <w:spacing w:line="249" w:lineRule="auto"/>
        <w:ind w:right="358"/>
      </w:pPr>
      <w:r>
        <w:t xml:space="preserve">BG* isn’t meaningless; it’s false. The property of goodness can’t dance; neither can any other property, including the property of being beautiful. Therefore, the former property isn’t a </w:t>
      </w:r>
      <w:r>
        <w:rPr>
          <w:i/>
        </w:rPr>
        <w:t xml:space="preserve">better </w:t>
      </w:r>
      <w:r>
        <w:t xml:space="preserve">dancer than the latter. Nothing false is meaningless, since to be false is to bear a false meaning. So BG* is </w:t>
      </w:r>
      <w:r>
        <w:rPr>
          <w:spacing w:val="-2"/>
        </w:rPr>
        <w:t>meaningful.</w:t>
      </w:r>
    </w:p>
    <w:p w14:paraId="7E0007C1" w14:textId="77777777" w:rsidR="009A58DB" w:rsidRDefault="00000000">
      <w:pPr>
        <w:pStyle w:val="BodyText"/>
        <w:spacing w:before="6" w:line="249" w:lineRule="auto"/>
        <w:ind w:right="359" w:firstLine="360"/>
      </w:pPr>
      <w:r>
        <w:t>Incidentally, according to Gilbert Ryle (1900–1976), a career-long Wittgenstein-hardliner, it cannot meaningfully be said of properties that they can, or cannot, dance</w:t>
      </w:r>
      <w:bookmarkStart w:id="51" w:name="_bookmark51"/>
      <w:bookmarkEnd w:id="51"/>
      <w:r>
        <w:t>.</w:t>
      </w:r>
      <w:r>
        <w:rPr>
          <w:color w:val="0562C1"/>
          <w:position w:val="21"/>
          <w:u w:val="single" w:color="0562C1"/>
        </w:rPr>
        <w:t>[48]</w:t>
      </w:r>
      <w:r>
        <w:rPr>
          <w:color w:val="0562C1"/>
          <w:position w:val="21"/>
        </w:rPr>
        <w:t xml:space="preserve"> </w:t>
      </w:r>
      <w:r>
        <w:t>It can be said of a human being that he can, or cannot, dance. But nothing that can meaningfully be said of non-properties, such as human beings, can be meaningfully said of properties themselves.</w:t>
      </w:r>
    </w:p>
    <w:p w14:paraId="7E0007C2" w14:textId="77777777" w:rsidR="009A58DB" w:rsidRDefault="00000000">
      <w:pPr>
        <w:pStyle w:val="BodyText"/>
        <w:spacing w:before="7" w:line="249" w:lineRule="auto"/>
        <w:ind w:right="362" w:firstLine="360"/>
      </w:pPr>
      <w:r>
        <w:t>Ryle’s position is false. There are many differences between people and properties. One of them is that people can dance, whereas properties cannot. Ryle’s position is also self-refuting. In saying that it cannot be said that properties cannot dance, Ryle is saying exactly what it is that, according to his theory, cannot be said.</w:t>
      </w:r>
    </w:p>
    <w:p w14:paraId="7E0007C3"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7C4" w14:textId="77777777" w:rsidR="009A58DB" w:rsidRDefault="00000000">
      <w:pPr>
        <w:pStyle w:val="BodyText"/>
        <w:spacing w:before="65" w:line="249" w:lineRule="auto"/>
        <w:ind w:right="361" w:firstLine="360"/>
      </w:pPr>
      <w:r>
        <w:lastRenderedPageBreak/>
        <w:t>Ryle is confusing absurdity with meaninglessness. The sentence “triangles have four sides” makes an absurd, but meaningful, statement. Given that triangles have three sides, not four, it’s false. Given that it’s false, it’s meaningful. “Properties can dance” is absurd and, therefore, false and, therefore meaningful.</w:t>
      </w:r>
    </w:p>
    <w:p w14:paraId="7E0007C5" w14:textId="77777777" w:rsidR="009A58DB" w:rsidRDefault="00000000">
      <w:pPr>
        <w:pStyle w:val="BodyText"/>
        <w:spacing w:before="6" w:line="252" w:lineRule="auto"/>
        <w:ind w:right="365" w:firstLine="360"/>
        <w:rPr>
          <w:position w:val="10"/>
        </w:rPr>
      </w:pPr>
      <w:r>
        <w:t xml:space="preserve">There are two kinds of “nonsense.” A sentence can be nonsense by failing to have </w:t>
      </w:r>
      <w:r>
        <w:rPr>
          <w:i/>
        </w:rPr>
        <w:t>any</w:t>
      </w:r>
      <w:r>
        <w:rPr>
          <w:i/>
          <w:spacing w:val="-3"/>
        </w:rPr>
        <w:t xml:space="preserve"> </w:t>
      </w:r>
      <w:r>
        <w:t xml:space="preserve">meaning. (BG# is nonsense in this sense.) And a sentence can be nonsense by virtue of having of an absurd meaning. (“Properties can dance” is nonsense in </w:t>
      </w:r>
      <w:r>
        <w:rPr>
          <w:i/>
        </w:rPr>
        <w:t xml:space="preserve">this </w:t>
      </w:r>
      <w:r>
        <w:t>sense.) Ryle doesn’t distinguish between these two kinds of nonsense. Neither does Wittgenstein. And Wittgenstein’s position, like Ryle’s, is self-refuting—and for much the same reason. If Wittgenstein is right to say that all philosophical assertions are ungrammatical nonsense, that very assertion is ungrammatical nonsense and therefore isn’t true</w:t>
      </w:r>
      <w:bookmarkStart w:id="52" w:name="_bookmark52"/>
      <w:bookmarkEnd w:id="52"/>
      <w:r>
        <w:t>.</w:t>
      </w:r>
      <w:r>
        <w:rPr>
          <w:color w:val="0562C1"/>
          <w:position w:val="10"/>
          <w:u w:val="single" w:color="0562C1"/>
        </w:rPr>
        <w:t>50</w:t>
      </w:r>
    </w:p>
    <w:p w14:paraId="7E0007C6" w14:textId="77777777" w:rsidR="009A58DB" w:rsidRDefault="00000000">
      <w:pPr>
        <w:pStyle w:val="BodyText"/>
        <w:spacing w:line="249" w:lineRule="auto"/>
        <w:ind w:right="361" w:firstLine="360"/>
      </w:pPr>
      <w:r>
        <w:t>Given how implausible and illogical it is, why on Earth did Wittgenstein hold that philosophical statements are always ungrammatical nonsense? The answer, I believe, is that Wittgenstein thought this view to be the distillation of Frege’s groundbreaking philosophical successes. Frege showed that reparsing sentences sometimes solves philosophical problems. By reparsing</w:t>
      </w:r>
    </w:p>
    <w:p w14:paraId="7E0007C7" w14:textId="77777777" w:rsidR="009A58DB" w:rsidRDefault="009A58DB">
      <w:pPr>
        <w:pStyle w:val="BodyText"/>
        <w:spacing w:before="8"/>
        <w:ind w:left="0"/>
        <w:jc w:val="left"/>
      </w:pPr>
    </w:p>
    <w:p w14:paraId="7E0007C8" w14:textId="77777777" w:rsidR="009A58DB" w:rsidRDefault="00000000">
      <w:pPr>
        <w:pStyle w:val="BodyText"/>
      </w:pPr>
      <w:r>
        <w:t>(NS)</w:t>
      </w:r>
      <w:r>
        <w:rPr>
          <w:spacing w:val="-3"/>
        </w:rPr>
        <w:t xml:space="preserve"> </w:t>
      </w:r>
      <w:r>
        <w:t>“nothing</w:t>
      </w:r>
      <w:r>
        <w:rPr>
          <w:spacing w:val="-3"/>
        </w:rPr>
        <w:t xml:space="preserve"> </w:t>
      </w:r>
      <w:r>
        <w:t>is</w:t>
      </w:r>
      <w:r>
        <w:rPr>
          <w:spacing w:val="-3"/>
        </w:rPr>
        <w:t xml:space="preserve"> </w:t>
      </w:r>
      <w:r>
        <w:t>a</w:t>
      </w:r>
      <w:r>
        <w:rPr>
          <w:spacing w:val="-2"/>
        </w:rPr>
        <w:t xml:space="preserve"> </w:t>
      </w:r>
      <w:r>
        <w:t>square</w:t>
      </w:r>
      <w:r>
        <w:rPr>
          <w:spacing w:val="-3"/>
        </w:rPr>
        <w:t xml:space="preserve"> </w:t>
      </w:r>
      <w:r>
        <w:rPr>
          <w:spacing w:val="-2"/>
        </w:rPr>
        <w:t>circle,”</w:t>
      </w:r>
    </w:p>
    <w:p w14:paraId="7E0007C9" w14:textId="77777777" w:rsidR="009A58DB" w:rsidRDefault="009A58DB">
      <w:pPr>
        <w:pStyle w:val="BodyText"/>
        <w:spacing w:before="30"/>
        <w:ind w:left="0"/>
        <w:jc w:val="left"/>
      </w:pPr>
    </w:p>
    <w:p w14:paraId="7E0007CA" w14:textId="77777777" w:rsidR="009A58DB" w:rsidRDefault="00000000">
      <w:pPr>
        <w:pStyle w:val="BodyText"/>
        <w:spacing w:line="249" w:lineRule="auto"/>
        <w:ind w:right="365"/>
      </w:pPr>
      <w:r>
        <w:t xml:space="preserve">we show that it doesn’t attribute the property of being a square circle to some non-entity, thereby dissolving an age-old riddle. Wittgenstein seems to have inferred from these successes of Frege’s that </w:t>
      </w:r>
      <w:r>
        <w:rPr>
          <w:i/>
        </w:rPr>
        <w:t xml:space="preserve">all </w:t>
      </w:r>
      <w:r>
        <w:t>philosophical problems are</w:t>
      </w:r>
      <w:r>
        <w:rPr>
          <w:spacing w:val="40"/>
        </w:rPr>
        <w:t xml:space="preserve"> </w:t>
      </w:r>
      <w:r>
        <w:t>to be solved by reparsing sentences.</w:t>
      </w:r>
    </w:p>
    <w:p w14:paraId="7E0007CB" w14:textId="77777777" w:rsidR="009A58DB" w:rsidRDefault="00000000">
      <w:pPr>
        <w:pStyle w:val="BodyText"/>
        <w:spacing w:before="5" w:line="249" w:lineRule="auto"/>
        <w:ind w:right="363" w:firstLine="360"/>
      </w:pPr>
      <w:r>
        <w:t>This inference is fallacious. Given only that some philosophical problems are to be solved by reparsing sentences, it doesn’t follow that they are all to be solved in that way. And we’ve seen that, indeed, many of them are not to be solved in that way.</w:t>
      </w:r>
    </w:p>
    <w:p w14:paraId="7E0007CC" w14:textId="77777777" w:rsidR="009A58DB" w:rsidRDefault="00000000">
      <w:pPr>
        <w:pStyle w:val="BodyText"/>
        <w:spacing w:before="5" w:line="249" w:lineRule="auto"/>
        <w:ind w:right="358" w:firstLine="360"/>
      </w:pPr>
      <w:r>
        <w:t xml:space="preserve">Also, there were no cases where Frege’s reparsing of a problematic sentence showed it to be ill-formed. For example, in reparsing NS, Frege showed that its logical syntax differed from its apparent syntax. He didn’t show that there was anything </w:t>
      </w:r>
      <w:r>
        <w:rPr>
          <w:i/>
        </w:rPr>
        <w:t xml:space="preserve">wrong </w:t>
      </w:r>
      <w:r>
        <w:t>with its logical syntax.</w:t>
      </w:r>
    </w:p>
    <w:p w14:paraId="7E0007CD" w14:textId="77777777" w:rsidR="009A58DB" w:rsidRDefault="00000000">
      <w:pPr>
        <w:pStyle w:val="BodyText"/>
        <w:spacing w:before="5" w:line="249" w:lineRule="auto"/>
        <w:ind w:right="360" w:firstLine="360"/>
      </w:pPr>
      <w:r>
        <w:t>To be sure, philosophers often produce deeply absurd statements. For example, according to pre-Fregean philosophers, NS entails that:</w:t>
      </w:r>
    </w:p>
    <w:p w14:paraId="7E0007C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CF" w14:textId="77777777" w:rsidR="009A58DB" w:rsidRDefault="00000000">
      <w:pPr>
        <w:pStyle w:val="BodyText"/>
        <w:spacing w:before="65" w:line="542" w:lineRule="auto"/>
        <w:ind w:right="2223"/>
        <w:jc w:val="left"/>
      </w:pPr>
      <w:r>
        <w:lastRenderedPageBreak/>
        <w:t>(NS</w:t>
      </w:r>
      <w:r>
        <w:rPr>
          <w:vertAlign w:val="subscript"/>
        </w:rPr>
        <w:t>1</w:t>
      </w:r>
      <w:r>
        <w:t>)</w:t>
      </w:r>
      <w:r>
        <w:rPr>
          <w:spacing w:val="-3"/>
        </w:rPr>
        <w:t xml:space="preserve"> </w:t>
      </w:r>
      <w:r>
        <w:t>there</w:t>
      </w:r>
      <w:r>
        <w:rPr>
          <w:spacing w:val="-3"/>
        </w:rPr>
        <w:t xml:space="preserve"> </w:t>
      </w:r>
      <w:r>
        <w:t>exists</w:t>
      </w:r>
      <w:r>
        <w:rPr>
          <w:spacing w:val="-3"/>
        </w:rPr>
        <w:t xml:space="preserve"> </w:t>
      </w:r>
      <w:r>
        <w:t>some</w:t>
      </w:r>
      <w:r>
        <w:rPr>
          <w:spacing w:val="-3"/>
        </w:rPr>
        <w:t xml:space="preserve"> </w:t>
      </w:r>
      <w:r>
        <w:t>non-entity</w:t>
      </w:r>
      <w:r>
        <w:rPr>
          <w:spacing w:val="-2"/>
        </w:rPr>
        <w:t xml:space="preserve"> </w:t>
      </w:r>
      <w:r>
        <w:t>that</w:t>
      </w:r>
      <w:r>
        <w:rPr>
          <w:spacing w:val="-3"/>
        </w:rPr>
        <w:t xml:space="preserve"> </w:t>
      </w:r>
      <w:r>
        <w:t>that</w:t>
      </w:r>
      <w:r>
        <w:rPr>
          <w:spacing w:val="-3"/>
        </w:rPr>
        <w:t xml:space="preserve"> </w:t>
      </w:r>
      <w:r>
        <w:t>is</w:t>
      </w:r>
      <w:r>
        <w:rPr>
          <w:spacing w:val="-3"/>
        </w:rPr>
        <w:t xml:space="preserve"> </w:t>
      </w:r>
      <w:r>
        <w:rPr>
          <w:i/>
        </w:rPr>
        <w:t>a</w:t>
      </w:r>
      <w:r>
        <w:rPr>
          <w:i/>
          <w:spacing w:val="-2"/>
        </w:rPr>
        <w:t xml:space="preserve"> </w:t>
      </w:r>
      <w:r>
        <w:t>square</w:t>
      </w:r>
      <w:r>
        <w:rPr>
          <w:spacing w:val="-3"/>
        </w:rPr>
        <w:t xml:space="preserve"> </w:t>
      </w:r>
      <w:r>
        <w:t>circle. If NS</w:t>
      </w:r>
      <w:r>
        <w:rPr>
          <w:vertAlign w:val="subscript"/>
        </w:rPr>
        <w:t>1</w:t>
      </w:r>
      <w:r>
        <w:t xml:space="preserve"> is right,</w:t>
      </w:r>
    </w:p>
    <w:p w14:paraId="7E0007D0" w14:textId="77777777" w:rsidR="009A58DB" w:rsidRDefault="00000000">
      <w:pPr>
        <w:pStyle w:val="BodyText"/>
        <w:jc w:val="left"/>
      </w:pPr>
      <w:r>
        <w:t>(</w:t>
      </w:r>
      <w:r>
        <w:rPr>
          <w:i/>
        </w:rPr>
        <w:t>NS</w:t>
      </w:r>
      <w:r>
        <w:rPr>
          <w:vertAlign w:val="subscript"/>
        </w:rPr>
        <w:t>2</w:t>
      </w:r>
      <w:r>
        <w:t>)</w:t>
      </w:r>
      <w:r>
        <w:rPr>
          <w:spacing w:val="-2"/>
        </w:rPr>
        <w:t xml:space="preserve"> </w:t>
      </w:r>
      <w:r>
        <w:t>there</w:t>
      </w:r>
      <w:r>
        <w:rPr>
          <w:spacing w:val="-1"/>
        </w:rPr>
        <w:t xml:space="preserve"> </w:t>
      </w:r>
      <w:r>
        <w:t>exists</w:t>
      </w:r>
      <w:r>
        <w:rPr>
          <w:spacing w:val="-2"/>
        </w:rPr>
        <w:t xml:space="preserve"> </w:t>
      </w:r>
      <w:r>
        <w:t>some</w:t>
      </w:r>
      <w:r>
        <w:rPr>
          <w:spacing w:val="-2"/>
        </w:rPr>
        <w:t xml:space="preserve"> </w:t>
      </w:r>
      <w:r>
        <w:t>entity that</w:t>
      </w:r>
      <w:r>
        <w:rPr>
          <w:spacing w:val="-2"/>
        </w:rPr>
        <w:t xml:space="preserve"> </w:t>
      </w:r>
      <w:r>
        <w:t>does</w:t>
      </w:r>
      <w:r>
        <w:rPr>
          <w:spacing w:val="-1"/>
        </w:rPr>
        <w:t xml:space="preserve"> </w:t>
      </w:r>
      <w:r>
        <w:t>not</w:t>
      </w:r>
      <w:r>
        <w:rPr>
          <w:spacing w:val="-2"/>
        </w:rPr>
        <w:t xml:space="preserve"> </w:t>
      </w:r>
      <w:r>
        <w:t>exist</w:t>
      </w:r>
      <w:r>
        <w:rPr>
          <w:spacing w:val="-1"/>
        </w:rPr>
        <w:t xml:space="preserve"> </w:t>
      </w:r>
      <w:r>
        <w:t>that</w:t>
      </w:r>
      <w:r>
        <w:rPr>
          <w:spacing w:val="-2"/>
        </w:rPr>
        <w:t xml:space="preserve"> </w:t>
      </w:r>
      <w:r>
        <w:t>is</w:t>
      </w:r>
      <w:r>
        <w:rPr>
          <w:spacing w:val="-1"/>
        </w:rPr>
        <w:t xml:space="preserve"> </w:t>
      </w:r>
      <w:r>
        <w:t>a</w:t>
      </w:r>
      <w:r>
        <w:rPr>
          <w:spacing w:val="-2"/>
        </w:rPr>
        <w:t xml:space="preserve"> </w:t>
      </w:r>
      <w:r>
        <w:t>square</w:t>
      </w:r>
      <w:r>
        <w:rPr>
          <w:spacing w:val="-1"/>
        </w:rPr>
        <w:t xml:space="preserve"> </w:t>
      </w:r>
      <w:r>
        <w:t>a</w:t>
      </w:r>
      <w:r>
        <w:rPr>
          <w:spacing w:val="-2"/>
        </w:rPr>
        <w:t xml:space="preserve"> circle.</w:t>
      </w:r>
    </w:p>
    <w:p w14:paraId="7E0007D1" w14:textId="77777777" w:rsidR="009A58DB" w:rsidRDefault="009A58DB">
      <w:pPr>
        <w:pStyle w:val="BodyText"/>
        <w:spacing w:before="90"/>
        <w:ind w:left="0"/>
        <w:jc w:val="left"/>
      </w:pPr>
    </w:p>
    <w:p w14:paraId="7E0007D2" w14:textId="77777777" w:rsidR="009A58DB" w:rsidRDefault="00000000">
      <w:pPr>
        <w:pStyle w:val="BodyText"/>
        <w:spacing w:line="273" w:lineRule="auto"/>
        <w:ind w:right="368"/>
      </w:pPr>
      <w:r>
        <w:t>NS</w:t>
      </w:r>
      <w:r>
        <w:rPr>
          <w:vertAlign w:val="subscript"/>
        </w:rPr>
        <w:t>2</w:t>
      </w:r>
      <w:r>
        <w:t xml:space="preserve"> is self-contradictory and therefore absurd. But it’s obviously meaningful.</w:t>
      </w:r>
      <w:bookmarkStart w:id="53" w:name="_bookmark53"/>
      <w:bookmarkEnd w:id="53"/>
      <w:r>
        <w:rPr>
          <w:color w:val="0562C1"/>
          <w:position w:val="10"/>
          <w:u w:val="single" w:color="0562C1"/>
        </w:rPr>
        <w:t>51</w:t>
      </w:r>
      <w:r>
        <w:rPr>
          <w:color w:val="0562C1"/>
          <w:position w:val="10"/>
        </w:rPr>
        <w:t xml:space="preserve"> </w:t>
      </w:r>
      <w:r>
        <w:t>If it weren’t, it wouldn’t contradict itself. (For a sentence to contradict</w:t>
      </w:r>
      <w:r>
        <w:rPr>
          <w:spacing w:val="30"/>
        </w:rPr>
        <w:t xml:space="preserve"> </w:t>
      </w:r>
      <w:r>
        <w:t>itself</w:t>
      </w:r>
      <w:r>
        <w:rPr>
          <w:spacing w:val="30"/>
        </w:rPr>
        <w:t xml:space="preserve"> </w:t>
      </w:r>
      <w:r>
        <w:t>is</w:t>
      </w:r>
      <w:r>
        <w:rPr>
          <w:spacing w:val="30"/>
        </w:rPr>
        <w:t xml:space="preserve"> </w:t>
      </w:r>
      <w:r>
        <w:t>for</w:t>
      </w:r>
      <w:r>
        <w:rPr>
          <w:spacing w:val="30"/>
        </w:rPr>
        <w:t xml:space="preserve"> </w:t>
      </w:r>
      <w:r>
        <w:t>it</w:t>
      </w:r>
      <w:r>
        <w:rPr>
          <w:spacing w:val="30"/>
        </w:rPr>
        <w:t xml:space="preserve"> </w:t>
      </w:r>
      <w:r>
        <w:t>to</w:t>
      </w:r>
      <w:r>
        <w:rPr>
          <w:spacing w:val="30"/>
        </w:rPr>
        <w:t xml:space="preserve"> </w:t>
      </w:r>
      <w:r>
        <w:t>bear</w:t>
      </w:r>
      <w:r>
        <w:rPr>
          <w:spacing w:val="30"/>
        </w:rPr>
        <w:t xml:space="preserve"> </w:t>
      </w:r>
      <w:r>
        <w:t>two</w:t>
      </w:r>
      <w:r>
        <w:rPr>
          <w:spacing w:val="30"/>
        </w:rPr>
        <w:t xml:space="preserve"> </w:t>
      </w:r>
      <w:r>
        <w:t>opposed</w:t>
      </w:r>
      <w:r>
        <w:rPr>
          <w:spacing w:val="30"/>
        </w:rPr>
        <w:t xml:space="preserve"> </w:t>
      </w:r>
      <w:r>
        <w:t>meanings.</w:t>
      </w:r>
      <w:r>
        <w:rPr>
          <w:spacing w:val="30"/>
        </w:rPr>
        <w:t xml:space="preserve"> </w:t>
      </w:r>
      <w:r>
        <w:t>“Smith</w:t>
      </w:r>
      <w:r>
        <w:rPr>
          <w:spacing w:val="30"/>
        </w:rPr>
        <w:t xml:space="preserve"> </w:t>
      </w:r>
      <w:r>
        <w:t>is</w:t>
      </w:r>
      <w:r>
        <w:rPr>
          <w:spacing w:val="30"/>
        </w:rPr>
        <w:t xml:space="preserve"> </w:t>
      </w:r>
      <w:r>
        <w:t>a</w:t>
      </w:r>
      <w:r>
        <w:rPr>
          <w:spacing w:val="30"/>
        </w:rPr>
        <w:t xml:space="preserve"> </w:t>
      </w:r>
      <w:r>
        <w:t>lawyer</w:t>
      </w:r>
    </w:p>
    <w:p w14:paraId="7E0007D3" w14:textId="77777777" w:rsidR="009A58DB" w:rsidRDefault="00000000">
      <w:pPr>
        <w:pStyle w:val="BodyText"/>
        <w:spacing w:before="63" w:line="360" w:lineRule="exact"/>
        <w:ind w:right="359"/>
      </w:pPr>
      <w:r>
        <w:t xml:space="preserve">and Smith is not a lawyer” because the one </w:t>
      </w:r>
      <w:r>
        <w:rPr>
          <w:b/>
          <w:i/>
        </w:rPr>
        <w:t>conjunc</w:t>
      </w:r>
      <w:bookmarkStart w:id="54" w:name="_bookmark54"/>
      <w:bookmarkEnd w:id="54"/>
      <w:r>
        <w:rPr>
          <w:b/>
          <w:i/>
        </w:rPr>
        <w:t>t</w:t>
      </w:r>
      <w:r>
        <w:rPr>
          <w:b/>
          <w:color w:val="0562C1"/>
          <w:position w:val="10"/>
          <w:u w:val="single" w:color="0562C1"/>
        </w:rPr>
        <w:t>52</w:t>
      </w:r>
      <w:r>
        <w:rPr>
          <w:b/>
          <w:color w:val="0562C1"/>
          <w:spacing w:val="-3"/>
          <w:position w:val="10"/>
        </w:rPr>
        <w:t xml:space="preserve"> </w:t>
      </w:r>
      <w:r>
        <w:t>contradicts</w:t>
      </w:r>
      <w:r>
        <w:rPr>
          <w:spacing w:val="-4"/>
        </w:rPr>
        <w:t xml:space="preserve"> </w:t>
      </w:r>
      <w:r>
        <w:t>the</w:t>
      </w:r>
      <w:r>
        <w:rPr>
          <w:spacing w:val="-4"/>
        </w:rPr>
        <w:t xml:space="preserve"> </w:t>
      </w:r>
      <w:r>
        <w:t xml:space="preserve">other.) But whereas this sentence is explicitly self-contradictory, the self-contradictory sentences that people actually utter are usually only implicitly </w:t>
      </w:r>
      <w:r>
        <w:rPr>
          <w:spacing w:val="-4"/>
        </w:rPr>
        <w:t>so.)</w:t>
      </w:r>
    </w:p>
    <w:p w14:paraId="7E0007D4" w14:textId="77777777" w:rsidR="009A58DB" w:rsidRDefault="00000000">
      <w:pPr>
        <w:pStyle w:val="BodyText"/>
        <w:spacing w:before="8" w:line="252" w:lineRule="auto"/>
        <w:ind w:right="361" w:firstLine="360"/>
      </w:pPr>
      <w:r>
        <w:t xml:space="preserve">In any case, even if philosophical statements are meaningless, they’re not meaningless </w:t>
      </w:r>
      <w:r>
        <w:rPr>
          <w:i/>
        </w:rPr>
        <w:t xml:space="preserve">because </w:t>
      </w:r>
      <w:r>
        <w:t>they’re ungrammatical. Second, they’re not meaningless. The statement that they’re meaningless is itself a philosophical statement. That statement is therefore false if it’s true. Therefore it is false. (Any statement that entails its own negation is false.</w:t>
      </w:r>
      <w:bookmarkStart w:id="55" w:name="_bookmark55"/>
      <w:bookmarkEnd w:id="55"/>
      <w:r>
        <w:rPr>
          <w:color w:val="0562C1"/>
          <w:position w:val="10"/>
          <w:u w:val="single" w:color="0562C1"/>
        </w:rPr>
        <w:t>53</w:t>
      </w:r>
      <w:r>
        <w:t>)</w:t>
      </w:r>
    </w:p>
    <w:p w14:paraId="7E0007D5" w14:textId="77777777" w:rsidR="009A58DB" w:rsidRDefault="00000000">
      <w:pPr>
        <w:pStyle w:val="Heading1"/>
        <w:spacing w:before="181"/>
        <w:ind w:left="360" w:firstLine="0"/>
      </w:pPr>
      <w:r>
        <w:t>4.3</w:t>
      </w:r>
      <w:r>
        <w:rPr>
          <w:spacing w:val="-5"/>
        </w:rPr>
        <w:t xml:space="preserve"> </w:t>
      </w:r>
      <w:r>
        <w:t>The</w:t>
      </w:r>
      <w:r>
        <w:rPr>
          <w:spacing w:val="-3"/>
        </w:rPr>
        <w:t xml:space="preserve"> </w:t>
      </w:r>
      <w:r>
        <w:t>Tractarian</w:t>
      </w:r>
      <w:r>
        <w:rPr>
          <w:spacing w:val="-3"/>
        </w:rPr>
        <w:t xml:space="preserve"> </w:t>
      </w:r>
      <w:r>
        <w:t>roots</w:t>
      </w:r>
      <w:r>
        <w:rPr>
          <w:spacing w:val="-3"/>
        </w:rPr>
        <w:t xml:space="preserve"> </w:t>
      </w:r>
      <w:r>
        <w:t>of</w:t>
      </w:r>
      <w:r>
        <w:rPr>
          <w:spacing w:val="-3"/>
        </w:rPr>
        <w:t xml:space="preserve"> </w:t>
      </w:r>
      <w:r>
        <w:t>Logical</w:t>
      </w:r>
      <w:r>
        <w:rPr>
          <w:spacing w:val="-3"/>
        </w:rPr>
        <w:t xml:space="preserve"> </w:t>
      </w:r>
      <w:r>
        <w:rPr>
          <w:spacing w:val="-2"/>
        </w:rPr>
        <w:t>Positivism</w:t>
      </w:r>
    </w:p>
    <w:p w14:paraId="7E0007D6" w14:textId="77777777" w:rsidR="009A58DB" w:rsidRDefault="00000000">
      <w:pPr>
        <w:pStyle w:val="BodyText"/>
        <w:spacing w:before="140" w:line="249" w:lineRule="auto"/>
        <w:ind w:right="363"/>
      </w:pPr>
      <w:r>
        <w:t>Although</w:t>
      </w:r>
      <w:r>
        <w:rPr>
          <w:spacing w:val="-3"/>
        </w:rPr>
        <w:t xml:space="preserve"> </w:t>
      </w:r>
      <w:r>
        <w:t>one</w:t>
      </w:r>
      <w:r>
        <w:rPr>
          <w:spacing w:val="-3"/>
        </w:rPr>
        <w:t xml:space="preserve"> </w:t>
      </w:r>
      <w:r>
        <w:t>of</w:t>
      </w:r>
      <w:r>
        <w:rPr>
          <w:spacing w:val="-3"/>
        </w:rPr>
        <w:t xml:space="preserve"> </w:t>
      </w:r>
      <w:r>
        <w:t>the</w:t>
      </w:r>
      <w:r>
        <w:rPr>
          <w:spacing w:val="-3"/>
        </w:rPr>
        <w:t xml:space="preserve"> </w:t>
      </w:r>
      <w:r>
        <w:t>TLP’s</w:t>
      </w:r>
      <w:r>
        <w:rPr>
          <w:spacing w:val="-3"/>
        </w:rPr>
        <w:t xml:space="preserve"> </w:t>
      </w:r>
      <w:r>
        <w:t>contentions</w:t>
      </w:r>
      <w:r>
        <w:rPr>
          <w:spacing w:val="-3"/>
        </w:rPr>
        <w:t xml:space="preserve"> </w:t>
      </w:r>
      <w:r>
        <w:t>is</w:t>
      </w:r>
      <w:r>
        <w:rPr>
          <w:spacing w:val="-3"/>
        </w:rPr>
        <w:t xml:space="preserve"> </w:t>
      </w:r>
      <w:r>
        <w:t>that</w:t>
      </w:r>
      <w:r>
        <w:rPr>
          <w:spacing w:val="-3"/>
        </w:rPr>
        <w:t xml:space="preserve"> </w:t>
      </w:r>
      <w:r>
        <w:t>all</w:t>
      </w:r>
      <w:r>
        <w:rPr>
          <w:spacing w:val="-3"/>
        </w:rPr>
        <w:t xml:space="preserve"> </w:t>
      </w:r>
      <w:r>
        <w:t>philosophical</w:t>
      </w:r>
      <w:r>
        <w:rPr>
          <w:spacing w:val="-3"/>
        </w:rPr>
        <w:t xml:space="preserve"> </w:t>
      </w:r>
      <w:r>
        <w:t>statements</w:t>
      </w:r>
      <w:r>
        <w:rPr>
          <w:spacing w:val="-3"/>
        </w:rPr>
        <w:t xml:space="preserve"> </w:t>
      </w:r>
      <w:r>
        <w:t>are ungrammatical nonsense, this is not its main contention. The main contention of the TLP is that:</w:t>
      </w:r>
    </w:p>
    <w:p w14:paraId="7E0007D7" w14:textId="77777777" w:rsidR="009A58DB" w:rsidRDefault="009A58DB">
      <w:pPr>
        <w:pStyle w:val="BodyText"/>
        <w:spacing w:before="23"/>
        <w:ind w:left="0"/>
        <w:jc w:val="left"/>
      </w:pPr>
    </w:p>
    <w:p w14:paraId="7E0007D8" w14:textId="77777777" w:rsidR="009A58DB" w:rsidRDefault="00000000">
      <w:pPr>
        <w:pStyle w:val="BodyText"/>
        <w:jc w:val="left"/>
      </w:pPr>
      <w:r>
        <w:t>(C</w:t>
      </w:r>
      <w:bookmarkStart w:id="56" w:name="_bookmark56"/>
      <w:bookmarkEnd w:id="56"/>
      <w:r>
        <w:t>T</w:t>
      </w:r>
      <w:r>
        <w:rPr>
          <w:color w:val="0562C1"/>
          <w:position w:val="10"/>
          <w:u w:val="single" w:color="0562C1"/>
        </w:rPr>
        <w:t>54</w:t>
      </w:r>
      <w:r>
        <w:t>)</w:t>
      </w:r>
      <w:r>
        <w:rPr>
          <w:spacing w:val="13"/>
        </w:rPr>
        <w:t xml:space="preserve"> </w:t>
      </w:r>
      <w:r>
        <w:t>a</w:t>
      </w:r>
      <w:r>
        <w:rPr>
          <w:spacing w:val="15"/>
        </w:rPr>
        <w:t xml:space="preserve"> </w:t>
      </w:r>
      <w:r>
        <w:t>sentence</w:t>
      </w:r>
      <w:r>
        <w:rPr>
          <w:spacing w:val="15"/>
        </w:rPr>
        <w:t xml:space="preserve"> </w:t>
      </w:r>
      <w:r>
        <w:t>is</w:t>
      </w:r>
      <w:r>
        <w:rPr>
          <w:spacing w:val="15"/>
        </w:rPr>
        <w:t xml:space="preserve"> </w:t>
      </w:r>
      <w:r>
        <w:t>meaningful</w:t>
      </w:r>
      <w:r>
        <w:rPr>
          <w:spacing w:val="15"/>
        </w:rPr>
        <w:t xml:space="preserve"> </w:t>
      </w:r>
      <w:r>
        <w:t>if,</w:t>
      </w:r>
      <w:r>
        <w:rPr>
          <w:spacing w:val="15"/>
        </w:rPr>
        <w:t xml:space="preserve"> </w:t>
      </w:r>
      <w:r>
        <w:t>and</w:t>
      </w:r>
      <w:r>
        <w:rPr>
          <w:spacing w:val="15"/>
        </w:rPr>
        <w:t xml:space="preserve"> </w:t>
      </w:r>
      <w:r>
        <w:t>only</w:t>
      </w:r>
      <w:r>
        <w:rPr>
          <w:spacing w:val="15"/>
        </w:rPr>
        <w:t xml:space="preserve"> </w:t>
      </w:r>
      <w:r>
        <w:t>if,</w:t>
      </w:r>
      <w:r>
        <w:rPr>
          <w:spacing w:val="15"/>
        </w:rPr>
        <w:t xml:space="preserve"> </w:t>
      </w:r>
      <w:r>
        <w:t>it</w:t>
      </w:r>
      <w:r>
        <w:rPr>
          <w:spacing w:val="15"/>
        </w:rPr>
        <w:t xml:space="preserve"> </w:t>
      </w:r>
      <w:r>
        <w:t>is</w:t>
      </w:r>
      <w:r>
        <w:rPr>
          <w:spacing w:val="15"/>
        </w:rPr>
        <w:t xml:space="preserve"> </w:t>
      </w:r>
      <w:r>
        <w:t>either</w:t>
      </w:r>
      <w:r>
        <w:rPr>
          <w:spacing w:val="15"/>
        </w:rPr>
        <w:t xml:space="preserve"> </w:t>
      </w:r>
      <w:r>
        <w:t>a</w:t>
      </w:r>
      <w:r>
        <w:rPr>
          <w:spacing w:val="15"/>
        </w:rPr>
        <w:t xml:space="preserve"> </w:t>
      </w:r>
      <w:r>
        <w:rPr>
          <w:b/>
          <w:i/>
        </w:rPr>
        <w:t>tautology</w:t>
      </w:r>
      <w:r>
        <w:rPr>
          <w:b/>
          <w:i/>
          <w:spacing w:val="12"/>
        </w:rPr>
        <w:t xml:space="preserve"> </w:t>
      </w:r>
      <w:r>
        <w:t>or</w:t>
      </w:r>
      <w:r>
        <w:rPr>
          <w:spacing w:val="27"/>
        </w:rPr>
        <w:t xml:space="preserve"> </w:t>
      </w:r>
      <w:r>
        <w:rPr>
          <w:spacing w:val="-5"/>
        </w:rPr>
        <w:t>an</w:t>
      </w:r>
    </w:p>
    <w:p w14:paraId="7E0007D9" w14:textId="77777777" w:rsidR="009A58DB" w:rsidRDefault="00000000">
      <w:pPr>
        <w:pStyle w:val="Heading6"/>
      </w:pPr>
      <w:r>
        <w:t>observation</w:t>
      </w:r>
      <w:r>
        <w:rPr>
          <w:spacing w:val="-9"/>
        </w:rPr>
        <w:t xml:space="preserve"> </w:t>
      </w:r>
      <w:r>
        <w:rPr>
          <w:spacing w:val="-2"/>
        </w:rPr>
        <w:t>report.</w:t>
      </w:r>
    </w:p>
    <w:p w14:paraId="7E0007DA" w14:textId="77777777" w:rsidR="009A58DB" w:rsidRDefault="009A58DB">
      <w:pPr>
        <w:pStyle w:val="BodyText"/>
        <w:spacing w:before="30"/>
        <w:ind w:left="0"/>
        <w:jc w:val="left"/>
        <w:rPr>
          <w:b/>
          <w:i/>
        </w:rPr>
      </w:pPr>
    </w:p>
    <w:p w14:paraId="7E0007DB" w14:textId="77777777" w:rsidR="009A58DB" w:rsidRDefault="00000000">
      <w:pPr>
        <w:pStyle w:val="BodyText"/>
        <w:spacing w:line="249" w:lineRule="auto"/>
        <w:ind w:right="358" w:firstLine="360"/>
      </w:pPr>
      <w:r>
        <w:t>A “tautology” is a definitional truth (e.g., “fathers are male,” “there are three feet in a yard”).</w:t>
      </w:r>
    </w:p>
    <w:p w14:paraId="7E0007DC" w14:textId="77777777" w:rsidR="009A58DB" w:rsidRDefault="00000000">
      <w:pPr>
        <w:pStyle w:val="BodyText"/>
        <w:spacing w:before="3" w:line="249" w:lineRule="auto"/>
        <w:ind w:right="359" w:firstLine="360"/>
      </w:pPr>
      <w:r>
        <w:t>An “observation report” is a statement that reports what one’s senses have told one (e.g., “I am now seeing a dog,” “there is chocolate syrup (or, in any case, a brown discoloration of some kind or other) on Smith’s ice-cream,” “I</w:t>
      </w:r>
    </w:p>
    <w:p w14:paraId="7E0007DD"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7DE" w14:textId="77777777" w:rsidR="009A58DB" w:rsidRDefault="00000000">
      <w:pPr>
        <w:pStyle w:val="BodyText"/>
        <w:spacing w:before="60"/>
        <w:jc w:val="left"/>
      </w:pPr>
      <w:r>
        <w:lastRenderedPageBreak/>
        <w:t>can</w:t>
      </w:r>
      <w:r>
        <w:rPr>
          <w:spacing w:val="-2"/>
        </w:rPr>
        <w:t xml:space="preserve"> </w:t>
      </w:r>
      <w:r>
        <w:t>see</w:t>
      </w:r>
      <w:r>
        <w:rPr>
          <w:spacing w:val="-2"/>
        </w:rPr>
        <w:t xml:space="preserve"> </w:t>
      </w:r>
      <w:r>
        <w:t>your</w:t>
      </w:r>
      <w:r>
        <w:rPr>
          <w:spacing w:val="-3"/>
        </w:rPr>
        <w:t xml:space="preserve"> </w:t>
      </w:r>
      <w:r>
        <w:t>house</w:t>
      </w:r>
      <w:r>
        <w:rPr>
          <w:spacing w:val="-2"/>
        </w:rPr>
        <w:t xml:space="preserve"> </w:t>
      </w:r>
      <w:r>
        <w:t>from</w:t>
      </w:r>
      <w:r>
        <w:rPr>
          <w:spacing w:val="-2"/>
        </w:rPr>
        <w:t xml:space="preserve"> here”).</w:t>
      </w:r>
    </w:p>
    <w:p w14:paraId="7E0007DF" w14:textId="77777777" w:rsidR="009A58DB" w:rsidRDefault="00000000">
      <w:pPr>
        <w:pStyle w:val="BodyText"/>
        <w:spacing w:before="20"/>
        <w:ind w:left="720"/>
        <w:jc w:val="left"/>
      </w:pPr>
      <w:r>
        <w:t>CT</w:t>
      </w:r>
      <w:r>
        <w:rPr>
          <w:spacing w:val="-3"/>
        </w:rPr>
        <w:t xml:space="preserve"> </w:t>
      </w:r>
      <w:r>
        <w:t>can</w:t>
      </w:r>
      <w:r>
        <w:rPr>
          <w:spacing w:val="-1"/>
        </w:rPr>
        <w:t xml:space="preserve"> </w:t>
      </w:r>
      <w:r>
        <w:t>be</w:t>
      </w:r>
      <w:r>
        <w:rPr>
          <w:spacing w:val="-3"/>
        </w:rPr>
        <w:t xml:space="preserve"> </w:t>
      </w:r>
      <w:r>
        <w:t>broken</w:t>
      </w:r>
      <w:r>
        <w:rPr>
          <w:spacing w:val="-1"/>
        </w:rPr>
        <w:t xml:space="preserve"> </w:t>
      </w:r>
      <w:r>
        <w:t>down</w:t>
      </w:r>
      <w:r>
        <w:rPr>
          <w:spacing w:val="-2"/>
        </w:rPr>
        <w:t xml:space="preserve"> </w:t>
      </w:r>
      <w:r>
        <w:t>into</w:t>
      </w:r>
      <w:r>
        <w:rPr>
          <w:spacing w:val="-1"/>
        </w:rPr>
        <w:t xml:space="preserve"> </w:t>
      </w:r>
      <w:r>
        <w:t>two</w:t>
      </w:r>
      <w:r>
        <w:rPr>
          <w:spacing w:val="-1"/>
        </w:rPr>
        <w:t xml:space="preserve"> </w:t>
      </w:r>
      <w:r>
        <w:rPr>
          <w:spacing w:val="-2"/>
        </w:rPr>
        <w:t>claims:</w:t>
      </w:r>
    </w:p>
    <w:p w14:paraId="7E0007E0" w14:textId="77777777" w:rsidR="009A58DB" w:rsidRDefault="009A58DB">
      <w:pPr>
        <w:pStyle w:val="BodyText"/>
        <w:spacing w:before="30"/>
        <w:ind w:left="0"/>
        <w:jc w:val="left"/>
      </w:pPr>
    </w:p>
    <w:p w14:paraId="7E0007E1" w14:textId="77777777" w:rsidR="009A58DB" w:rsidRDefault="00000000">
      <w:pPr>
        <w:pStyle w:val="ListParagraph"/>
        <w:numPr>
          <w:ilvl w:val="0"/>
          <w:numId w:val="225"/>
        </w:numPr>
        <w:tabs>
          <w:tab w:val="left" w:pos="782"/>
        </w:tabs>
        <w:ind w:left="782" w:hanging="422"/>
        <w:rPr>
          <w:i/>
          <w:sz w:val="30"/>
        </w:rPr>
      </w:pPr>
      <w:r>
        <w:rPr>
          <w:sz w:val="30"/>
        </w:rPr>
        <w:t>All</w:t>
      </w:r>
      <w:r>
        <w:rPr>
          <w:spacing w:val="-8"/>
          <w:sz w:val="30"/>
        </w:rPr>
        <w:t xml:space="preserve"> </w:t>
      </w:r>
      <w:r>
        <w:rPr>
          <w:sz w:val="30"/>
        </w:rPr>
        <w:t>meaningful</w:t>
      </w:r>
      <w:r>
        <w:rPr>
          <w:spacing w:val="-6"/>
          <w:sz w:val="30"/>
        </w:rPr>
        <w:t xml:space="preserve"> </w:t>
      </w:r>
      <w:r>
        <w:rPr>
          <w:sz w:val="30"/>
        </w:rPr>
        <w:t>non-empirical</w:t>
      </w:r>
      <w:r>
        <w:rPr>
          <w:spacing w:val="-6"/>
          <w:sz w:val="30"/>
        </w:rPr>
        <w:t xml:space="preserve"> </w:t>
      </w:r>
      <w:r>
        <w:rPr>
          <w:sz w:val="30"/>
        </w:rPr>
        <w:t>statements</w:t>
      </w:r>
      <w:r>
        <w:rPr>
          <w:spacing w:val="-6"/>
          <w:sz w:val="30"/>
        </w:rPr>
        <w:t xml:space="preserve"> </w:t>
      </w:r>
      <w:r>
        <w:rPr>
          <w:sz w:val="30"/>
        </w:rPr>
        <w:t>are</w:t>
      </w:r>
      <w:r>
        <w:rPr>
          <w:spacing w:val="-5"/>
          <w:sz w:val="30"/>
        </w:rPr>
        <w:t xml:space="preserve"> </w:t>
      </w:r>
      <w:r>
        <w:rPr>
          <w:i/>
          <w:spacing w:val="-2"/>
          <w:sz w:val="30"/>
        </w:rPr>
        <w:t>tautologies</w:t>
      </w:r>
    </w:p>
    <w:p w14:paraId="7E0007E2" w14:textId="77777777" w:rsidR="009A58DB" w:rsidRDefault="009A58DB">
      <w:pPr>
        <w:pStyle w:val="BodyText"/>
        <w:spacing w:before="30"/>
        <w:ind w:left="0"/>
        <w:jc w:val="left"/>
        <w:rPr>
          <w:i/>
        </w:rPr>
      </w:pPr>
    </w:p>
    <w:p w14:paraId="7E0007E3" w14:textId="77777777" w:rsidR="009A58DB" w:rsidRDefault="00000000">
      <w:pPr>
        <w:pStyle w:val="BodyText"/>
        <w:jc w:val="left"/>
      </w:pPr>
      <w:r>
        <w:rPr>
          <w:spacing w:val="-5"/>
        </w:rPr>
        <w:t>and</w:t>
      </w:r>
    </w:p>
    <w:p w14:paraId="7E0007E4" w14:textId="77777777" w:rsidR="009A58DB" w:rsidRDefault="009A58DB">
      <w:pPr>
        <w:pStyle w:val="BodyText"/>
        <w:spacing w:before="30"/>
        <w:ind w:left="0"/>
        <w:jc w:val="left"/>
      </w:pPr>
    </w:p>
    <w:p w14:paraId="7E0007E5" w14:textId="77777777" w:rsidR="009A58DB" w:rsidRDefault="00000000">
      <w:pPr>
        <w:pStyle w:val="ListParagraph"/>
        <w:numPr>
          <w:ilvl w:val="0"/>
          <w:numId w:val="225"/>
        </w:numPr>
        <w:tabs>
          <w:tab w:val="left" w:pos="782"/>
        </w:tabs>
        <w:ind w:left="782" w:hanging="422"/>
        <w:rPr>
          <w:i/>
          <w:sz w:val="30"/>
        </w:rPr>
      </w:pPr>
      <w:r>
        <w:rPr>
          <w:sz w:val="30"/>
        </w:rPr>
        <w:t>All</w:t>
      </w:r>
      <w:r>
        <w:rPr>
          <w:spacing w:val="-9"/>
          <w:sz w:val="30"/>
        </w:rPr>
        <w:t xml:space="preserve"> </w:t>
      </w:r>
      <w:r>
        <w:rPr>
          <w:sz w:val="30"/>
        </w:rPr>
        <w:t>meaningful</w:t>
      </w:r>
      <w:r>
        <w:rPr>
          <w:spacing w:val="-7"/>
          <w:sz w:val="30"/>
        </w:rPr>
        <w:t xml:space="preserve"> </w:t>
      </w:r>
      <w:r>
        <w:rPr>
          <w:sz w:val="30"/>
        </w:rPr>
        <w:t>non-tautologous</w:t>
      </w:r>
      <w:r>
        <w:rPr>
          <w:spacing w:val="-7"/>
          <w:sz w:val="30"/>
        </w:rPr>
        <w:t xml:space="preserve"> </w:t>
      </w:r>
      <w:r>
        <w:rPr>
          <w:sz w:val="30"/>
        </w:rPr>
        <w:t>statements</w:t>
      </w:r>
      <w:r>
        <w:rPr>
          <w:spacing w:val="-7"/>
          <w:sz w:val="30"/>
        </w:rPr>
        <w:t xml:space="preserve"> </w:t>
      </w:r>
      <w:r>
        <w:rPr>
          <w:sz w:val="30"/>
        </w:rPr>
        <w:t>are</w:t>
      </w:r>
      <w:r>
        <w:rPr>
          <w:spacing w:val="-6"/>
          <w:sz w:val="30"/>
        </w:rPr>
        <w:t xml:space="preserve"> </w:t>
      </w:r>
      <w:r>
        <w:rPr>
          <w:i/>
          <w:sz w:val="30"/>
        </w:rPr>
        <w:t>observation-</w:t>
      </w:r>
      <w:r>
        <w:rPr>
          <w:i/>
          <w:spacing w:val="-2"/>
          <w:sz w:val="30"/>
        </w:rPr>
        <w:t>reports.</w:t>
      </w:r>
    </w:p>
    <w:p w14:paraId="7E0007E6" w14:textId="77777777" w:rsidR="009A58DB" w:rsidRDefault="009A58DB">
      <w:pPr>
        <w:pStyle w:val="BodyText"/>
        <w:spacing w:before="30"/>
        <w:ind w:left="0"/>
        <w:jc w:val="left"/>
        <w:rPr>
          <w:i/>
        </w:rPr>
      </w:pPr>
    </w:p>
    <w:p w14:paraId="7E0007E7" w14:textId="77777777" w:rsidR="009A58DB" w:rsidRDefault="00000000">
      <w:pPr>
        <w:pStyle w:val="ListParagraph"/>
        <w:numPr>
          <w:ilvl w:val="1"/>
          <w:numId w:val="225"/>
        </w:numPr>
        <w:tabs>
          <w:tab w:val="left" w:pos="1183"/>
        </w:tabs>
        <w:spacing w:line="249" w:lineRule="auto"/>
        <w:ind w:right="359" w:firstLine="360"/>
        <w:jc w:val="both"/>
        <w:rPr>
          <w:sz w:val="30"/>
        </w:rPr>
      </w:pPr>
      <w:r>
        <w:rPr>
          <w:sz w:val="30"/>
        </w:rPr>
        <w:t>entails that non-empirical disciplines (e.g., philosophy, mathematics) consist of statements that say nothing about anything. (2) entails that</w:t>
      </w:r>
      <w:r>
        <w:rPr>
          <w:spacing w:val="40"/>
          <w:sz w:val="30"/>
        </w:rPr>
        <w:t xml:space="preserve"> </w:t>
      </w:r>
      <w:r>
        <w:rPr>
          <w:sz w:val="30"/>
        </w:rPr>
        <w:t xml:space="preserve">anything non-tautologous that cannot be known </w:t>
      </w:r>
      <w:r>
        <w:rPr>
          <w:i/>
          <w:sz w:val="30"/>
        </w:rPr>
        <w:t xml:space="preserve">strictly </w:t>
      </w:r>
      <w:r>
        <w:rPr>
          <w:sz w:val="30"/>
        </w:rPr>
        <w:t>on the basis of what one’s senses tell is meaningless.</w:t>
      </w:r>
    </w:p>
    <w:p w14:paraId="7E0007E8" w14:textId="77777777" w:rsidR="009A58DB" w:rsidRDefault="00000000">
      <w:pPr>
        <w:pStyle w:val="BodyText"/>
        <w:spacing w:before="5" w:line="252" w:lineRule="auto"/>
        <w:ind w:right="361" w:firstLine="360"/>
      </w:pPr>
      <w:r>
        <w:t xml:space="preserve">Wittgenstein’s claim that all philosophical statements are ungrammatical nonsense is a </w:t>
      </w:r>
      <w:r>
        <w:rPr>
          <w:b/>
          <w:i/>
        </w:rPr>
        <w:t>corollar</w:t>
      </w:r>
      <w:bookmarkStart w:id="57" w:name="_bookmark57"/>
      <w:bookmarkEnd w:id="57"/>
      <w:r>
        <w:rPr>
          <w:b/>
          <w:i/>
        </w:rPr>
        <w:t>y</w:t>
      </w:r>
      <w:r>
        <w:rPr>
          <w:b/>
          <w:color w:val="0562C1"/>
          <w:position w:val="10"/>
          <w:u w:val="single" w:color="0562C1"/>
        </w:rPr>
        <w:t>55</w:t>
      </w:r>
      <w:r>
        <w:rPr>
          <w:b/>
          <w:color w:val="0562C1"/>
          <w:position w:val="10"/>
        </w:rPr>
        <w:t xml:space="preserve"> </w:t>
      </w:r>
      <w:r>
        <w:t>of CT. If they’re meaningful, philosophical statements, unlike tautologies, are non-trivial. Consider the statement that:</w:t>
      </w:r>
    </w:p>
    <w:p w14:paraId="7E0007E9" w14:textId="77777777" w:rsidR="009A58DB" w:rsidRDefault="009A58DB">
      <w:pPr>
        <w:pStyle w:val="BodyText"/>
        <w:spacing w:before="13"/>
        <w:ind w:left="0"/>
        <w:jc w:val="left"/>
      </w:pPr>
    </w:p>
    <w:p w14:paraId="7E0007EA" w14:textId="77777777" w:rsidR="009A58DB" w:rsidRDefault="00000000">
      <w:pPr>
        <w:pStyle w:val="BodyText"/>
        <w:spacing w:line="249" w:lineRule="auto"/>
        <w:ind w:right="368"/>
      </w:pPr>
      <w:r>
        <w:t>(KC) “knowing a truth doesn’t necessarily involve one’s being affected by</w:t>
      </w:r>
      <w:r>
        <w:rPr>
          <w:spacing w:val="40"/>
        </w:rPr>
        <w:t xml:space="preserve"> </w:t>
      </w:r>
      <w:r>
        <w:t>the state affairs described by that truth.”</w:t>
      </w:r>
    </w:p>
    <w:p w14:paraId="7E0007EB" w14:textId="77777777" w:rsidR="009A58DB" w:rsidRDefault="009A58DB">
      <w:pPr>
        <w:pStyle w:val="BodyText"/>
        <w:spacing w:before="17"/>
        <w:ind w:left="0"/>
        <w:jc w:val="left"/>
      </w:pPr>
    </w:p>
    <w:p w14:paraId="7E0007EC" w14:textId="77777777" w:rsidR="009A58DB" w:rsidRDefault="00000000">
      <w:pPr>
        <w:pStyle w:val="BodyText"/>
        <w:spacing w:before="1" w:line="249" w:lineRule="auto"/>
        <w:ind w:right="358"/>
      </w:pPr>
      <w:r>
        <w:t xml:space="preserve">KC is a philosophical statement; and so its negation. Neither statement is a tautology, and neither statement is empirical. If CT is correct, it immediately follows that both KC and its negation are ungrammatical nonsense. Since philosophical assertions are </w:t>
      </w:r>
      <w:r>
        <w:rPr>
          <w:i/>
        </w:rPr>
        <w:t xml:space="preserve">never </w:t>
      </w:r>
      <w:r>
        <w:t>tautologous, CT entails, as Wittgenstein knew, that philosophical assertions are categorically meaningless.</w:t>
      </w:r>
    </w:p>
    <w:p w14:paraId="7E0007ED" w14:textId="77777777" w:rsidR="009A58DB" w:rsidRDefault="00000000">
      <w:pPr>
        <w:pStyle w:val="BodyText"/>
        <w:spacing w:before="6" w:line="252" w:lineRule="auto"/>
        <w:ind w:right="360" w:firstLine="360"/>
      </w:pPr>
      <w:r>
        <w:t xml:space="preserve">The position that (1) and (2) are both correct is known as </w:t>
      </w:r>
      <w:r>
        <w:rPr>
          <w:i/>
        </w:rPr>
        <w:t>logical</w:t>
      </w:r>
      <w:r>
        <w:rPr>
          <w:i/>
          <w:spacing w:val="40"/>
        </w:rPr>
        <w:t xml:space="preserve"> </w:t>
      </w:r>
      <w:r>
        <w:rPr>
          <w:i/>
        </w:rPr>
        <w:t xml:space="preserve">positivism </w:t>
      </w:r>
      <w:r>
        <w:t>(LP). During the decade or so following the publication of the TLP, and largely because of it, LP was very popular</w:t>
      </w:r>
      <w:bookmarkStart w:id="58" w:name="_bookmark58"/>
      <w:bookmarkEnd w:id="58"/>
      <w:r>
        <w:t>.</w:t>
      </w:r>
      <w:r>
        <w:rPr>
          <w:color w:val="0562C1"/>
          <w:position w:val="10"/>
          <w:u w:val="single" w:color="0562C1"/>
        </w:rPr>
        <w:t>56</w:t>
      </w:r>
      <w:r>
        <w:rPr>
          <w:color w:val="0562C1"/>
          <w:position w:val="10"/>
        </w:rPr>
        <w:t xml:space="preserve"> </w:t>
      </w:r>
      <w:r>
        <w:t>But (1) and (2) are false. Let us now say why.</w:t>
      </w:r>
    </w:p>
    <w:p w14:paraId="7E0007EE" w14:textId="77777777" w:rsidR="009A58DB" w:rsidRDefault="00000000">
      <w:pPr>
        <w:pStyle w:val="Heading1"/>
        <w:spacing w:before="184"/>
        <w:ind w:left="360" w:firstLine="0"/>
      </w:pPr>
      <w:r>
        <w:t>4.4.</w:t>
      </w:r>
      <w:r>
        <w:rPr>
          <w:spacing w:val="-7"/>
        </w:rPr>
        <w:t xml:space="preserve"> </w:t>
      </w:r>
      <w:r>
        <w:t>Verificationism</w:t>
      </w:r>
      <w:r>
        <w:rPr>
          <w:spacing w:val="-5"/>
        </w:rPr>
        <w:t xml:space="preserve"> </w:t>
      </w:r>
      <w:r>
        <w:t>and</w:t>
      </w:r>
      <w:r>
        <w:rPr>
          <w:spacing w:val="-5"/>
        </w:rPr>
        <w:t xml:space="preserve"> </w:t>
      </w:r>
      <w:r>
        <w:rPr>
          <w:spacing w:val="-2"/>
        </w:rPr>
        <w:t>falsificationism</w:t>
      </w:r>
    </w:p>
    <w:p w14:paraId="7E0007EF" w14:textId="77777777" w:rsidR="009A58DB" w:rsidRDefault="00000000">
      <w:pPr>
        <w:pStyle w:val="ListParagraph"/>
        <w:numPr>
          <w:ilvl w:val="1"/>
          <w:numId w:val="225"/>
        </w:numPr>
        <w:tabs>
          <w:tab w:val="left" w:pos="871"/>
        </w:tabs>
        <w:spacing w:before="139" w:line="252" w:lineRule="auto"/>
        <w:ind w:right="359" w:firstLine="0"/>
        <w:jc w:val="both"/>
        <w:rPr>
          <w:position w:val="10"/>
          <w:sz w:val="30"/>
        </w:rPr>
      </w:pPr>
      <w:r>
        <w:rPr>
          <w:sz w:val="30"/>
        </w:rPr>
        <w:t xml:space="preserve">is identical with a doctrine known as </w:t>
      </w:r>
      <w:r>
        <w:rPr>
          <w:b/>
          <w:i/>
          <w:sz w:val="30"/>
        </w:rPr>
        <w:t xml:space="preserve">verificationism. </w:t>
      </w:r>
      <w:r>
        <w:rPr>
          <w:sz w:val="30"/>
        </w:rPr>
        <w:t xml:space="preserve">According to verificationism a non-tautologous statement is meaningful </w:t>
      </w:r>
      <w:r>
        <w:rPr>
          <w:b/>
          <w:i/>
          <w:sz w:val="30"/>
        </w:rPr>
        <w:t xml:space="preserve">iff </w:t>
      </w:r>
      <w:r>
        <w:rPr>
          <w:sz w:val="30"/>
        </w:rPr>
        <w:t>it’s capable of being verified strictly on the basis of sensory observation</w:t>
      </w:r>
      <w:bookmarkStart w:id="59" w:name="_bookmark59"/>
      <w:bookmarkEnd w:id="59"/>
      <w:r>
        <w:rPr>
          <w:sz w:val="30"/>
        </w:rPr>
        <w:t>.</w:t>
      </w:r>
      <w:r>
        <w:rPr>
          <w:color w:val="0562C1"/>
          <w:position w:val="10"/>
          <w:sz w:val="30"/>
          <w:u w:val="single" w:color="0562C1"/>
        </w:rPr>
        <w:t>57</w:t>
      </w:r>
    </w:p>
    <w:p w14:paraId="7E0007F0" w14:textId="77777777" w:rsidR="009A58DB" w:rsidRDefault="009A58DB">
      <w:pPr>
        <w:pStyle w:val="ListParagraph"/>
        <w:spacing w:line="252" w:lineRule="auto"/>
        <w:jc w:val="both"/>
        <w:rPr>
          <w:position w:val="10"/>
          <w:sz w:val="30"/>
        </w:rPr>
        <w:sectPr w:rsidR="009A58DB">
          <w:pgSz w:w="12240" w:h="15840"/>
          <w:pgMar w:top="1380" w:right="1080" w:bottom="280" w:left="1080" w:header="720" w:footer="720" w:gutter="0"/>
          <w:cols w:space="720"/>
        </w:sectPr>
      </w:pPr>
    </w:p>
    <w:p w14:paraId="7E0007F1" w14:textId="77777777" w:rsidR="009A58DB" w:rsidRDefault="00000000">
      <w:pPr>
        <w:pStyle w:val="BodyText"/>
        <w:spacing w:before="65" w:line="252" w:lineRule="auto"/>
        <w:ind w:right="360" w:firstLine="360"/>
        <w:rPr>
          <w:position w:val="10"/>
        </w:rPr>
      </w:pPr>
      <w:r>
        <w:lastRenderedPageBreak/>
        <w:t>Verificationism is false. The statement “all metal expands when heated” is meaningful. But it cannot be conclusively verified (i.e., shown to be true) strictly on the basis of observation. No matter how many metal objects you find to expand when heated, it’s a possibility that some metal object that you haven’t yet considered will fail to do so</w:t>
      </w:r>
      <w:bookmarkStart w:id="60" w:name="_bookmark60"/>
      <w:bookmarkEnd w:id="60"/>
      <w:r>
        <w:t>.</w:t>
      </w:r>
      <w:r>
        <w:rPr>
          <w:color w:val="0562C1"/>
          <w:position w:val="10"/>
          <w:u w:val="single" w:color="0562C1"/>
        </w:rPr>
        <w:t>58</w:t>
      </w:r>
    </w:p>
    <w:p w14:paraId="7E0007F2" w14:textId="77777777" w:rsidR="009A58DB" w:rsidRDefault="00000000">
      <w:pPr>
        <w:pStyle w:val="BodyText"/>
        <w:spacing w:line="252" w:lineRule="auto"/>
        <w:ind w:right="361" w:firstLine="360"/>
        <w:rPr>
          <w:position w:val="10"/>
        </w:rPr>
      </w:pPr>
      <w:r>
        <w:t xml:space="preserve">Even though it cannot be verified “all metal expands when heated” can be </w:t>
      </w:r>
      <w:r>
        <w:rPr>
          <w:i/>
        </w:rPr>
        <w:t xml:space="preserve">falsified </w:t>
      </w:r>
      <w:r>
        <w:t>(i.e., shown to be false) strictly on the basis of observation. Advocates</w:t>
      </w:r>
      <w:r>
        <w:rPr>
          <w:spacing w:val="-1"/>
        </w:rPr>
        <w:t xml:space="preserve"> </w:t>
      </w:r>
      <w:r>
        <w:t>of</w:t>
      </w:r>
      <w:r>
        <w:rPr>
          <w:spacing w:val="-1"/>
        </w:rPr>
        <w:t xml:space="preserve"> </w:t>
      </w:r>
      <w:r>
        <w:t>LP</w:t>
      </w:r>
      <w:r>
        <w:rPr>
          <w:spacing w:val="-1"/>
        </w:rPr>
        <w:t xml:space="preserve"> </w:t>
      </w:r>
      <w:r>
        <w:t>saw</w:t>
      </w:r>
      <w:r>
        <w:rPr>
          <w:spacing w:val="-1"/>
        </w:rPr>
        <w:t xml:space="preserve"> </w:t>
      </w:r>
      <w:r>
        <w:t>this</w:t>
      </w:r>
      <w:r>
        <w:rPr>
          <w:spacing w:val="-1"/>
        </w:rPr>
        <w:t xml:space="preserve"> </w:t>
      </w:r>
      <w:r>
        <w:t>and,</w:t>
      </w:r>
      <w:r>
        <w:rPr>
          <w:spacing w:val="-1"/>
        </w:rPr>
        <w:t xml:space="preserve"> </w:t>
      </w:r>
      <w:r>
        <w:t>having</w:t>
      </w:r>
      <w:r>
        <w:rPr>
          <w:spacing w:val="-1"/>
        </w:rPr>
        <w:t xml:space="preserve"> </w:t>
      </w:r>
      <w:r>
        <w:t>for</w:t>
      </w:r>
      <w:r>
        <w:rPr>
          <w:spacing w:val="-1"/>
        </w:rPr>
        <w:t xml:space="preserve"> </w:t>
      </w:r>
      <w:r>
        <w:t>this</w:t>
      </w:r>
      <w:r>
        <w:rPr>
          <w:spacing w:val="-1"/>
        </w:rPr>
        <w:t xml:space="preserve"> </w:t>
      </w:r>
      <w:r>
        <w:t>reason</w:t>
      </w:r>
      <w:r>
        <w:rPr>
          <w:spacing w:val="-1"/>
        </w:rPr>
        <w:t xml:space="preserve"> </w:t>
      </w:r>
      <w:r>
        <w:t>rejected</w:t>
      </w:r>
      <w:r>
        <w:rPr>
          <w:spacing w:val="-1"/>
        </w:rPr>
        <w:t xml:space="preserve"> </w:t>
      </w:r>
      <w:r>
        <w:t xml:space="preserve">verificationism, accepted a doctrine known as </w:t>
      </w:r>
      <w:r>
        <w:rPr>
          <w:b/>
          <w:i/>
        </w:rPr>
        <w:t>falsificationism.</w:t>
      </w:r>
      <w:r>
        <w:rPr>
          <w:b/>
          <w:i/>
          <w:spacing w:val="-4"/>
        </w:rPr>
        <w:t xml:space="preserve"> </w:t>
      </w:r>
      <w:r>
        <w:t>According to falsificationism, a non-tautologous statement is meaningful if and only if it’s capable of being falsified strictly on the basis of observation</w:t>
      </w:r>
      <w:bookmarkStart w:id="61" w:name="_bookmark61"/>
      <w:bookmarkEnd w:id="61"/>
      <w:r>
        <w:t>.</w:t>
      </w:r>
      <w:r>
        <w:rPr>
          <w:color w:val="0562C1"/>
          <w:position w:val="10"/>
          <w:u w:val="single" w:color="0562C1"/>
        </w:rPr>
        <w:t>59</w:t>
      </w:r>
    </w:p>
    <w:p w14:paraId="7E0007F3" w14:textId="77777777" w:rsidR="009A58DB" w:rsidRDefault="00000000">
      <w:pPr>
        <w:pStyle w:val="BodyText"/>
        <w:spacing w:line="249" w:lineRule="auto"/>
        <w:ind w:right="358" w:firstLine="360"/>
      </w:pPr>
      <w:r>
        <w:t>Falsificationism is false. Though obviously meaningful, the statement “there exists a gold ball that weighs exactly 27.13654 lbs” cannot be conclusively falsified, since no matter how many gold balls you consider, it’s possible that some gold ball that you haven’t considered has that weight.</w:t>
      </w:r>
    </w:p>
    <w:p w14:paraId="7E0007F4" w14:textId="77777777" w:rsidR="009A58DB" w:rsidRDefault="00000000">
      <w:pPr>
        <w:pStyle w:val="BodyText"/>
        <w:spacing w:line="249" w:lineRule="auto"/>
        <w:ind w:right="358" w:firstLine="360"/>
      </w:pPr>
      <w:r>
        <w:t>Falsificationism is really a version of verificationism. According to verificationism, S is meaningful if verifiable. According to falsificationism, S is meaningful if S’s negation is verifiable. So given that verificationism fails, it’s no surprise that falsificationism does as well.</w:t>
      </w:r>
    </w:p>
    <w:p w14:paraId="7E0007F5" w14:textId="77777777" w:rsidR="009A58DB" w:rsidRDefault="00000000">
      <w:pPr>
        <w:pStyle w:val="BodyText"/>
        <w:spacing w:line="249" w:lineRule="auto"/>
        <w:ind w:right="358" w:firstLine="360"/>
      </w:pPr>
      <w:r>
        <w:t>In</w:t>
      </w:r>
      <w:r>
        <w:rPr>
          <w:spacing w:val="-1"/>
        </w:rPr>
        <w:t xml:space="preserve"> </w:t>
      </w:r>
      <w:r>
        <w:t>light</w:t>
      </w:r>
      <w:r>
        <w:rPr>
          <w:spacing w:val="-1"/>
        </w:rPr>
        <w:t xml:space="preserve"> </w:t>
      </w:r>
      <w:r>
        <w:t>of</w:t>
      </w:r>
      <w:r>
        <w:rPr>
          <w:spacing w:val="-1"/>
        </w:rPr>
        <w:t xml:space="preserve"> </w:t>
      </w:r>
      <w:r>
        <w:t>the</w:t>
      </w:r>
      <w:r>
        <w:rPr>
          <w:spacing w:val="-1"/>
        </w:rPr>
        <w:t xml:space="preserve"> </w:t>
      </w:r>
      <w:r>
        <w:t>failure</w:t>
      </w:r>
      <w:r>
        <w:rPr>
          <w:spacing w:val="-1"/>
        </w:rPr>
        <w:t xml:space="preserve"> </w:t>
      </w:r>
      <w:r>
        <w:t>of</w:t>
      </w:r>
      <w:r>
        <w:rPr>
          <w:spacing w:val="-1"/>
        </w:rPr>
        <w:t xml:space="preserve"> </w:t>
      </w:r>
      <w:r>
        <w:t>falsificationism,</w:t>
      </w:r>
      <w:r>
        <w:rPr>
          <w:spacing w:val="-1"/>
        </w:rPr>
        <w:t xml:space="preserve"> </w:t>
      </w:r>
      <w:r>
        <w:t>advocates</w:t>
      </w:r>
      <w:r>
        <w:rPr>
          <w:spacing w:val="-1"/>
        </w:rPr>
        <w:t xml:space="preserve"> </w:t>
      </w:r>
      <w:r>
        <w:t>of</w:t>
      </w:r>
      <w:r>
        <w:rPr>
          <w:spacing w:val="-1"/>
        </w:rPr>
        <w:t xml:space="preserve"> </w:t>
      </w:r>
      <w:r>
        <w:t>LP</w:t>
      </w:r>
      <w:r>
        <w:rPr>
          <w:spacing w:val="-1"/>
        </w:rPr>
        <w:t xml:space="preserve"> </w:t>
      </w:r>
      <w:r>
        <w:t>decided</w:t>
      </w:r>
      <w:r>
        <w:rPr>
          <w:spacing w:val="-1"/>
        </w:rPr>
        <w:t xml:space="preserve"> </w:t>
      </w:r>
      <w:r>
        <w:t>to</w:t>
      </w:r>
      <w:r>
        <w:rPr>
          <w:spacing w:val="-1"/>
        </w:rPr>
        <w:t xml:space="preserve"> </w:t>
      </w:r>
      <w:r>
        <w:t>soften their views about meaningfulness one more time. This time, they said that a non-tautologous</w:t>
      </w:r>
      <w:r>
        <w:rPr>
          <w:spacing w:val="-4"/>
        </w:rPr>
        <w:t xml:space="preserve"> </w:t>
      </w:r>
      <w:r>
        <w:t>statement</w:t>
      </w:r>
      <w:r>
        <w:rPr>
          <w:spacing w:val="-4"/>
        </w:rPr>
        <w:t xml:space="preserve"> </w:t>
      </w:r>
      <w:r>
        <w:t>is</w:t>
      </w:r>
      <w:r>
        <w:rPr>
          <w:spacing w:val="-4"/>
        </w:rPr>
        <w:t xml:space="preserve"> </w:t>
      </w:r>
      <w:r>
        <w:t>meaningful</w:t>
      </w:r>
      <w:r>
        <w:rPr>
          <w:spacing w:val="-4"/>
        </w:rPr>
        <w:t xml:space="preserve"> </w:t>
      </w:r>
      <w:r>
        <w:t>if</w:t>
      </w:r>
      <w:r>
        <w:rPr>
          <w:spacing w:val="-4"/>
        </w:rPr>
        <w:t xml:space="preserve"> </w:t>
      </w:r>
      <w:r>
        <w:t>possible</w:t>
      </w:r>
      <w:r>
        <w:rPr>
          <w:spacing w:val="-4"/>
        </w:rPr>
        <w:t xml:space="preserve"> </w:t>
      </w:r>
      <w:r>
        <w:t>observations</w:t>
      </w:r>
      <w:r>
        <w:rPr>
          <w:spacing w:val="-4"/>
        </w:rPr>
        <w:t xml:space="preserve"> </w:t>
      </w:r>
      <w:r>
        <w:t>can</w:t>
      </w:r>
      <w:r>
        <w:rPr>
          <w:spacing w:val="-4"/>
        </w:rPr>
        <w:t xml:space="preserve"> </w:t>
      </w:r>
      <w:r>
        <w:rPr>
          <w:b/>
          <w:i/>
        </w:rPr>
        <w:t xml:space="preserve">confirm </w:t>
      </w:r>
      <w:r>
        <w:t>it. (P confirms Q if, other things being equal, Q is more likely to be true if P</w:t>
      </w:r>
      <w:r>
        <w:rPr>
          <w:spacing w:val="40"/>
        </w:rPr>
        <w:t xml:space="preserve"> </w:t>
      </w:r>
      <w:r>
        <w:t>is true than if not-P is true. Other things being equal, Smith is more likely to be wealthy if he wears fancy clothes than if he doesn’t wear fancy clothes. Thus, “Smith wears fancy clothes” confirms “Smith is wealthy.”) We’ll refer to this view as “confirmationalism.”</w:t>
      </w:r>
    </w:p>
    <w:p w14:paraId="7E0007F6" w14:textId="77777777" w:rsidR="009A58DB" w:rsidRDefault="00000000">
      <w:pPr>
        <w:pStyle w:val="BodyText"/>
        <w:spacing w:before="5" w:line="249" w:lineRule="auto"/>
        <w:ind w:right="361" w:firstLine="360"/>
      </w:pPr>
      <w:r>
        <w:t xml:space="preserve">Confirmationalism is equivalent with the position that all meaningful non-tautologous statements are </w:t>
      </w:r>
      <w:r>
        <w:rPr>
          <w:b/>
          <w:i/>
        </w:rPr>
        <w:t xml:space="preserve">empirical. </w:t>
      </w:r>
      <w:r>
        <w:t>An empirical statement is one that, if true, expresses a truth that must be known through observation and that, if false, is the negation of a true empirical statement. “There are trees in Santa Barbara, CA” is a true empirical statement, and “there are no trees in Santa Barbara, CA” is a false one. The negation of an empirical statement is an empirical statement. This is becasue, if it’s an empirical question whether or not</w:t>
      </w:r>
      <w:r>
        <w:rPr>
          <w:spacing w:val="35"/>
        </w:rPr>
        <w:t xml:space="preserve"> </w:t>
      </w:r>
      <w:r>
        <w:t>S</w:t>
      </w:r>
      <w:r>
        <w:rPr>
          <w:spacing w:val="35"/>
        </w:rPr>
        <w:t xml:space="preserve"> </w:t>
      </w:r>
      <w:r>
        <w:t>is</w:t>
      </w:r>
      <w:r>
        <w:rPr>
          <w:spacing w:val="35"/>
        </w:rPr>
        <w:t xml:space="preserve"> </w:t>
      </w:r>
      <w:r>
        <w:t>true,</w:t>
      </w:r>
      <w:r>
        <w:rPr>
          <w:spacing w:val="35"/>
        </w:rPr>
        <w:t xml:space="preserve"> </w:t>
      </w:r>
      <w:r>
        <w:t>then</w:t>
      </w:r>
      <w:r>
        <w:rPr>
          <w:spacing w:val="35"/>
        </w:rPr>
        <w:t xml:space="preserve"> </w:t>
      </w:r>
      <w:r>
        <w:t>it’s</w:t>
      </w:r>
      <w:r>
        <w:rPr>
          <w:spacing w:val="35"/>
        </w:rPr>
        <w:t xml:space="preserve"> </w:t>
      </w:r>
      <w:r>
        <w:t>an</w:t>
      </w:r>
      <w:r>
        <w:rPr>
          <w:spacing w:val="35"/>
        </w:rPr>
        <w:t xml:space="preserve"> </w:t>
      </w:r>
      <w:r>
        <w:t>empirical</w:t>
      </w:r>
      <w:r>
        <w:rPr>
          <w:spacing w:val="36"/>
        </w:rPr>
        <w:t xml:space="preserve"> </w:t>
      </w:r>
      <w:r>
        <w:t>question</w:t>
      </w:r>
      <w:r>
        <w:rPr>
          <w:spacing w:val="35"/>
        </w:rPr>
        <w:t xml:space="preserve"> </w:t>
      </w:r>
      <w:r>
        <w:t>whether</w:t>
      </w:r>
      <w:r>
        <w:rPr>
          <w:spacing w:val="35"/>
        </w:rPr>
        <w:t xml:space="preserve"> </w:t>
      </w:r>
      <w:r>
        <w:t>or</w:t>
      </w:r>
      <w:r>
        <w:rPr>
          <w:spacing w:val="35"/>
        </w:rPr>
        <w:t xml:space="preserve"> </w:t>
      </w:r>
      <w:r>
        <w:t>not</w:t>
      </w:r>
      <w:r>
        <w:rPr>
          <w:spacing w:val="35"/>
        </w:rPr>
        <w:t xml:space="preserve"> </w:t>
      </w:r>
      <w:r>
        <w:t>S</w:t>
      </w:r>
      <w:r>
        <w:rPr>
          <w:spacing w:val="35"/>
        </w:rPr>
        <w:t xml:space="preserve"> </w:t>
      </w:r>
      <w:r>
        <w:t>is</w:t>
      </w:r>
      <w:r>
        <w:rPr>
          <w:spacing w:val="35"/>
        </w:rPr>
        <w:t xml:space="preserve"> </w:t>
      </w:r>
      <w:r>
        <w:t>false</w:t>
      </w:r>
      <w:r>
        <w:rPr>
          <w:spacing w:val="35"/>
        </w:rPr>
        <w:t xml:space="preserve"> </w:t>
      </w:r>
      <w:r>
        <w:t>and,</w:t>
      </w:r>
    </w:p>
    <w:p w14:paraId="7E0007F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7F8" w14:textId="77777777" w:rsidR="009A58DB" w:rsidRDefault="00000000">
      <w:pPr>
        <w:pStyle w:val="BodyText"/>
        <w:spacing w:before="65" w:line="249" w:lineRule="auto"/>
        <w:ind w:right="358"/>
      </w:pPr>
      <w:r>
        <w:lastRenderedPageBreak/>
        <w:t xml:space="preserve">therefore, whether or not not-S is true. (There are, as we will see, very few truths, if any, that can be known </w:t>
      </w:r>
      <w:r>
        <w:rPr>
          <w:i/>
        </w:rPr>
        <w:t xml:space="preserve">strictly </w:t>
      </w:r>
      <w:r>
        <w:t xml:space="preserve">through observation. A statement is empirical if the truth or falsity of it is to be decided on grounds that are at least </w:t>
      </w:r>
      <w:r>
        <w:rPr>
          <w:i/>
        </w:rPr>
        <w:t xml:space="preserve">partly </w:t>
      </w:r>
      <w:r>
        <w:t>observational.)</w:t>
      </w:r>
    </w:p>
    <w:p w14:paraId="7E0007F9" w14:textId="77777777" w:rsidR="009A58DB" w:rsidRDefault="00000000">
      <w:pPr>
        <w:spacing w:before="5" w:line="252" w:lineRule="auto"/>
        <w:ind w:left="360" w:right="358" w:firstLine="360"/>
        <w:jc w:val="both"/>
        <w:rPr>
          <w:b/>
          <w:position w:val="10"/>
          <w:sz w:val="30"/>
        </w:rPr>
      </w:pPr>
      <w:r>
        <w:rPr>
          <w:sz w:val="30"/>
        </w:rPr>
        <w:t>Henceforth</w:t>
      </w:r>
      <w:r>
        <w:rPr>
          <w:spacing w:val="-3"/>
          <w:sz w:val="30"/>
        </w:rPr>
        <w:t xml:space="preserve"> </w:t>
      </w:r>
      <w:r>
        <w:rPr>
          <w:sz w:val="30"/>
        </w:rPr>
        <w:t>when</w:t>
      </w:r>
      <w:r>
        <w:rPr>
          <w:spacing w:val="-3"/>
          <w:sz w:val="30"/>
        </w:rPr>
        <w:t xml:space="preserve"> </w:t>
      </w:r>
      <w:r>
        <w:rPr>
          <w:sz w:val="30"/>
        </w:rPr>
        <w:t>we</w:t>
      </w:r>
      <w:r>
        <w:rPr>
          <w:spacing w:val="-3"/>
          <w:sz w:val="30"/>
        </w:rPr>
        <w:t xml:space="preserve"> </w:t>
      </w:r>
      <w:r>
        <w:rPr>
          <w:sz w:val="30"/>
        </w:rPr>
        <w:t>refer</w:t>
      </w:r>
      <w:r>
        <w:rPr>
          <w:spacing w:val="-3"/>
          <w:sz w:val="30"/>
        </w:rPr>
        <w:t xml:space="preserve"> </w:t>
      </w:r>
      <w:r>
        <w:rPr>
          <w:sz w:val="30"/>
        </w:rPr>
        <w:t>to</w:t>
      </w:r>
      <w:r>
        <w:rPr>
          <w:spacing w:val="-3"/>
          <w:sz w:val="30"/>
        </w:rPr>
        <w:t xml:space="preserve"> </w:t>
      </w:r>
      <w:r>
        <w:rPr>
          <w:sz w:val="30"/>
        </w:rPr>
        <w:t>“logical</w:t>
      </w:r>
      <w:r>
        <w:rPr>
          <w:spacing w:val="-3"/>
          <w:sz w:val="30"/>
        </w:rPr>
        <w:t xml:space="preserve"> </w:t>
      </w:r>
      <w:r>
        <w:rPr>
          <w:sz w:val="30"/>
        </w:rPr>
        <w:t>positivism”</w:t>
      </w:r>
      <w:r>
        <w:rPr>
          <w:spacing w:val="-3"/>
          <w:sz w:val="30"/>
        </w:rPr>
        <w:t xml:space="preserve"> </w:t>
      </w:r>
      <w:r>
        <w:rPr>
          <w:sz w:val="30"/>
        </w:rPr>
        <w:t>(LP),</w:t>
      </w:r>
      <w:r>
        <w:rPr>
          <w:spacing w:val="-3"/>
          <w:sz w:val="30"/>
        </w:rPr>
        <w:t xml:space="preserve"> </w:t>
      </w:r>
      <w:r>
        <w:rPr>
          <w:sz w:val="30"/>
        </w:rPr>
        <w:t>we</w:t>
      </w:r>
      <w:r>
        <w:rPr>
          <w:spacing w:val="-3"/>
          <w:sz w:val="30"/>
        </w:rPr>
        <w:t xml:space="preserve"> </w:t>
      </w:r>
      <w:r>
        <w:rPr>
          <w:sz w:val="30"/>
        </w:rPr>
        <w:t>will</w:t>
      </w:r>
      <w:r>
        <w:rPr>
          <w:spacing w:val="-3"/>
          <w:sz w:val="30"/>
        </w:rPr>
        <w:t xml:space="preserve"> </w:t>
      </w:r>
      <w:r>
        <w:rPr>
          <w:sz w:val="30"/>
        </w:rPr>
        <w:t>refer</w:t>
      </w:r>
      <w:r>
        <w:rPr>
          <w:spacing w:val="-3"/>
          <w:sz w:val="30"/>
        </w:rPr>
        <w:t xml:space="preserve"> </w:t>
      </w:r>
      <w:r>
        <w:rPr>
          <w:sz w:val="30"/>
        </w:rPr>
        <w:t>to</w:t>
      </w:r>
      <w:r>
        <w:rPr>
          <w:spacing w:val="-3"/>
          <w:sz w:val="30"/>
        </w:rPr>
        <w:t xml:space="preserve"> </w:t>
      </w:r>
      <w:r>
        <w:rPr>
          <w:sz w:val="30"/>
        </w:rPr>
        <w:t xml:space="preserve">the position that a </w:t>
      </w:r>
      <w:r>
        <w:rPr>
          <w:b/>
          <w:sz w:val="30"/>
        </w:rPr>
        <w:t>statement S is meaningful if and only if (i) S is a tautology (e.g.,</w:t>
      </w:r>
      <w:r>
        <w:rPr>
          <w:b/>
          <w:spacing w:val="-3"/>
          <w:sz w:val="30"/>
        </w:rPr>
        <w:t xml:space="preserve"> </w:t>
      </w:r>
      <w:r>
        <w:rPr>
          <w:b/>
          <w:sz w:val="30"/>
        </w:rPr>
        <w:t>“sisters</w:t>
      </w:r>
      <w:r>
        <w:rPr>
          <w:b/>
          <w:spacing w:val="-3"/>
          <w:sz w:val="30"/>
        </w:rPr>
        <w:t xml:space="preserve"> </w:t>
      </w:r>
      <w:r>
        <w:rPr>
          <w:b/>
          <w:sz w:val="30"/>
        </w:rPr>
        <w:t>are</w:t>
      </w:r>
      <w:r>
        <w:rPr>
          <w:b/>
          <w:spacing w:val="-3"/>
          <w:sz w:val="30"/>
        </w:rPr>
        <w:t xml:space="preserve"> </w:t>
      </w:r>
      <w:r>
        <w:rPr>
          <w:b/>
          <w:sz w:val="30"/>
        </w:rPr>
        <w:t>female</w:t>
      </w:r>
      <w:r>
        <w:rPr>
          <w:b/>
          <w:spacing w:val="-3"/>
          <w:sz w:val="30"/>
        </w:rPr>
        <w:t xml:space="preserve"> </w:t>
      </w:r>
      <w:r>
        <w:rPr>
          <w:b/>
          <w:sz w:val="30"/>
        </w:rPr>
        <w:t>siblings”)</w:t>
      </w:r>
      <w:r>
        <w:rPr>
          <w:b/>
          <w:spacing w:val="-3"/>
          <w:sz w:val="30"/>
        </w:rPr>
        <w:t xml:space="preserve"> </w:t>
      </w:r>
      <w:r>
        <w:rPr>
          <w:b/>
          <w:sz w:val="30"/>
        </w:rPr>
        <w:t>or</w:t>
      </w:r>
      <w:r>
        <w:rPr>
          <w:b/>
          <w:spacing w:val="-3"/>
          <w:sz w:val="30"/>
        </w:rPr>
        <w:t xml:space="preserve"> </w:t>
      </w:r>
      <w:r>
        <w:rPr>
          <w:b/>
          <w:sz w:val="30"/>
        </w:rPr>
        <w:t>(ii)</w:t>
      </w:r>
      <w:r>
        <w:rPr>
          <w:b/>
          <w:spacing w:val="-3"/>
          <w:sz w:val="30"/>
        </w:rPr>
        <w:t xml:space="preserve"> </w:t>
      </w:r>
      <w:r>
        <w:rPr>
          <w:b/>
          <w:sz w:val="30"/>
        </w:rPr>
        <w:t>S</w:t>
      </w:r>
      <w:r>
        <w:rPr>
          <w:b/>
          <w:spacing w:val="-3"/>
          <w:sz w:val="30"/>
        </w:rPr>
        <w:t xml:space="preserve"> </w:t>
      </w:r>
      <w:r>
        <w:rPr>
          <w:b/>
          <w:sz w:val="30"/>
        </w:rPr>
        <w:t>is</w:t>
      </w:r>
      <w:r>
        <w:rPr>
          <w:b/>
          <w:spacing w:val="-3"/>
          <w:sz w:val="30"/>
        </w:rPr>
        <w:t xml:space="preserve"> </w:t>
      </w:r>
      <w:r>
        <w:rPr>
          <w:b/>
          <w:sz w:val="30"/>
        </w:rPr>
        <w:t>an</w:t>
      </w:r>
      <w:r>
        <w:rPr>
          <w:b/>
          <w:spacing w:val="-3"/>
          <w:sz w:val="30"/>
        </w:rPr>
        <w:t xml:space="preserve"> </w:t>
      </w:r>
      <w:r>
        <w:rPr>
          <w:b/>
          <w:sz w:val="30"/>
        </w:rPr>
        <w:t>empirical</w:t>
      </w:r>
      <w:r>
        <w:rPr>
          <w:b/>
          <w:spacing w:val="-3"/>
          <w:sz w:val="30"/>
        </w:rPr>
        <w:t xml:space="preserve"> </w:t>
      </w:r>
      <w:r>
        <w:rPr>
          <w:b/>
          <w:sz w:val="30"/>
        </w:rPr>
        <w:t>statement</w:t>
      </w:r>
      <w:r>
        <w:rPr>
          <w:b/>
          <w:spacing w:val="-3"/>
          <w:sz w:val="30"/>
        </w:rPr>
        <w:t xml:space="preserve"> </w:t>
      </w:r>
      <w:r>
        <w:rPr>
          <w:b/>
          <w:sz w:val="30"/>
        </w:rPr>
        <w:t>(e.g., “there are trees in Santa Barbara”)</w:t>
      </w:r>
      <w:bookmarkStart w:id="62" w:name="_bookmark62"/>
      <w:bookmarkEnd w:id="62"/>
      <w:r>
        <w:rPr>
          <w:b/>
          <w:sz w:val="30"/>
        </w:rPr>
        <w:t>.</w:t>
      </w:r>
      <w:r>
        <w:rPr>
          <w:b/>
          <w:color w:val="0562C1"/>
          <w:position w:val="10"/>
          <w:sz w:val="30"/>
          <w:u w:val="single" w:color="0562C1"/>
        </w:rPr>
        <w:t>60</w:t>
      </w:r>
    </w:p>
    <w:p w14:paraId="7E0007FA" w14:textId="77777777" w:rsidR="009A58DB" w:rsidRDefault="00000000">
      <w:pPr>
        <w:pStyle w:val="Heading1"/>
        <w:numPr>
          <w:ilvl w:val="1"/>
          <w:numId w:val="224"/>
        </w:numPr>
        <w:tabs>
          <w:tab w:val="left" w:pos="990"/>
        </w:tabs>
        <w:spacing w:before="184"/>
      </w:pPr>
      <w:r>
        <w:t>Logical</w:t>
      </w:r>
      <w:r>
        <w:rPr>
          <w:spacing w:val="-6"/>
        </w:rPr>
        <w:t xml:space="preserve"> </w:t>
      </w:r>
      <w:r>
        <w:t>Positivism</w:t>
      </w:r>
      <w:r>
        <w:rPr>
          <w:spacing w:val="-6"/>
        </w:rPr>
        <w:t xml:space="preserve"> </w:t>
      </w:r>
      <w:r>
        <w:rPr>
          <w:spacing w:val="-2"/>
        </w:rPr>
        <w:t>Evaluated</w:t>
      </w:r>
    </w:p>
    <w:p w14:paraId="7E0007FB" w14:textId="77777777" w:rsidR="009A58DB" w:rsidRDefault="00000000">
      <w:pPr>
        <w:pStyle w:val="BodyText"/>
        <w:spacing w:before="139"/>
      </w:pPr>
      <w:r>
        <w:t>Consider</w:t>
      </w:r>
      <w:r>
        <w:rPr>
          <w:spacing w:val="-4"/>
        </w:rPr>
        <w:t xml:space="preserve"> </w:t>
      </w:r>
      <w:r>
        <w:t>the</w:t>
      </w:r>
      <w:r>
        <w:rPr>
          <w:spacing w:val="-3"/>
        </w:rPr>
        <w:t xml:space="preserve"> </w:t>
      </w:r>
      <w:r>
        <w:rPr>
          <w:spacing w:val="-2"/>
        </w:rPr>
        <w:t>statement:</w:t>
      </w:r>
    </w:p>
    <w:p w14:paraId="7E0007FC" w14:textId="77777777" w:rsidR="009A58DB" w:rsidRDefault="009A58DB">
      <w:pPr>
        <w:pStyle w:val="BodyText"/>
        <w:spacing w:before="30"/>
        <w:ind w:left="0"/>
        <w:jc w:val="left"/>
      </w:pPr>
    </w:p>
    <w:p w14:paraId="7E0007FD" w14:textId="77777777" w:rsidR="009A58DB" w:rsidRDefault="00000000">
      <w:pPr>
        <w:pStyle w:val="ListParagraph"/>
        <w:numPr>
          <w:ilvl w:val="0"/>
          <w:numId w:val="223"/>
        </w:numPr>
        <w:tabs>
          <w:tab w:val="left" w:pos="782"/>
        </w:tabs>
        <w:ind w:left="782" w:hanging="422"/>
        <w:rPr>
          <w:sz w:val="30"/>
        </w:rPr>
      </w:pPr>
      <w:r>
        <w:rPr>
          <w:sz w:val="30"/>
        </w:rPr>
        <w:t>“triangles</w:t>
      </w:r>
      <w:r>
        <w:rPr>
          <w:spacing w:val="-5"/>
          <w:sz w:val="30"/>
        </w:rPr>
        <w:t xml:space="preserve"> </w:t>
      </w:r>
      <w:r>
        <w:rPr>
          <w:sz w:val="30"/>
        </w:rPr>
        <w:t>are</w:t>
      </w:r>
      <w:r>
        <w:rPr>
          <w:spacing w:val="-5"/>
          <w:sz w:val="30"/>
        </w:rPr>
        <w:t xml:space="preserve"> </w:t>
      </w:r>
      <w:r>
        <w:rPr>
          <w:sz w:val="30"/>
        </w:rPr>
        <w:t>three</w:t>
      </w:r>
      <w:r>
        <w:rPr>
          <w:spacing w:val="-5"/>
          <w:sz w:val="30"/>
        </w:rPr>
        <w:t xml:space="preserve"> </w:t>
      </w:r>
      <w:r>
        <w:rPr>
          <w:sz w:val="30"/>
        </w:rPr>
        <w:t>sided</w:t>
      </w:r>
      <w:r>
        <w:rPr>
          <w:spacing w:val="-3"/>
          <w:sz w:val="30"/>
        </w:rPr>
        <w:t xml:space="preserve"> </w:t>
      </w:r>
      <w:r>
        <w:rPr>
          <w:spacing w:val="-2"/>
          <w:sz w:val="30"/>
        </w:rPr>
        <w:t>figures.”</w:t>
      </w:r>
    </w:p>
    <w:p w14:paraId="7E0007FE" w14:textId="77777777" w:rsidR="009A58DB" w:rsidRDefault="009A58DB">
      <w:pPr>
        <w:pStyle w:val="BodyText"/>
        <w:spacing w:before="30"/>
        <w:ind w:left="0"/>
        <w:jc w:val="left"/>
      </w:pPr>
    </w:p>
    <w:p w14:paraId="7E0007FF" w14:textId="77777777" w:rsidR="009A58DB" w:rsidRDefault="00000000">
      <w:pPr>
        <w:pStyle w:val="ListParagraph"/>
        <w:numPr>
          <w:ilvl w:val="0"/>
          <w:numId w:val="222"/>
        </w:numPr>
        <w:tabs>
          <w:tab w:val="left" w:pos="782"/>
        </w:tabs>
        <w:ind w:left="782" w:hanging="422"/>
        <w:rPr>
          <w:sz w:val="30"/>
        </w:rPr>
      </w:pPr>
      <w:r>
        <w:rPr>
          <w:sz w:val="30"/>
        </w:rPr>
        <w:t>is</w:t>
      </w:r>
      <w:r>
        <w:rPr>
          <w:spacing w:val="-6"/>
          <w:sz w:val="30"/>
        </w:rPr>
        <w:t xml:space="preserve"> </w:t>
      </w:r>
      <w:r>
        <w:rPr>
          <w:sz w:val="30"/>
        </w:rPr>
        <w:t>plausibly</w:t>
      </w:r>
      <w:r>
        <w:rPr>
          <w:spacing w:val="-2"/>
          <w:sz w:val="30"/>
        </w:rPr>
        <w:t xml:space="preserve"> </w:t>
      </w:r>
      <w:r>
        <w:rPr>
          <w:sz w:val="30"/>
        </w:rPr>
        <w:t>seen</w:t>
      </w:r>
      <w:r>
        <w:rPr>
          <w:spacing w:val="-2"/>
          <w:sz w:val="30"/>
        </w:rPr>
        <w:t xml:space="preserve"> </w:t>
      </w:r>
      <w:r>
        <w:rPr>
          <w:sz w:val="30"/>
        </w:rPr>
        <w:t>as</w:t>
      </w:r>
      <w:r>
        <w:rPr>
          <w:spacing w:val="-3"/>
          <w:sz w:val="30"/>
        </w:rPr>
        <w:t xml:space="preserve"> </w:t>
      </w:r>
      <w:r>
        <w:rPr>
          <w:sz w:val="30"/>
        </w:rPr>
        <w:t>just</w:t>
      </w:r>
      <w:r>
        <w:rPr>
          <w:spacing w:val="-3"/>
          <w:sz w:val="30"/>
        </w:rPr>
        <w:t xml:space="preserve"> </w:t>
      </w:r>
      <w:r>
        <w:rPr>
          <w:sz w:val="30"/>
        </w:rPr>
        <w:t>being</w:t>
      </w:r>
      <w:r>
        <w:rPr>
          <w:spacing w:val="-2"/>
          <w:sz w:val="30"/>
        </w:rPr>
        <w:t xml:space="preserve"> </w:t>
      </w:r>
      <w:r>
        <w:rPr>
          <w:sz w:val="30"/>
        </w:rPr>
        <w:t>true</w:t>
      </w:r>
      <w:r>
        <w:rPr>
          <w:spacing w:val="-3"/>
          <w:sz w:val="30"/>
        </w:rPr>
        <w:t xml:space="preserve"> </w:t>
      </w:r>
      <w:r>
        <w:rPr>
          <w:sz w:val="30"/>
        </w:rPr>
        <w:t>by</w:t>
      </w:r>
      <w:r>
        <w:rPr>
          <w:spacing w:val="-2"/>
          <w:sz w:val="30"/>
        </w:rPr>
        <w:t xml:space="preserve"> </w:t>
      </w:r>
      <w:r>
        <w:rPr>
          <w:sz w:val="30"/>
        </w:rPr>
        <w:t>convention.</w:t>
      </w:r>
      <w:r>
        <w:rPr>
          <w:spacing w:val="-2"/>
          <w:sz w:val="30"/>
        </w:rPr>
        <w:t xml:space="preserve"> </w:t>
      </w:r>
      <w:r>
        <w:rPr>
          <w:sz w:val="30"/>
        </w:rPr>
        <w:t>The</w:t>
      </w:r>
      <w:r>
        <w:rPr>
          <w:spacing w:val="-3"/>
          <w:sz w:val="30"/>
        </w:rPr>
        <w:t xml:space="preserve"> </w:t>
      </w:r>
      <w:r>
        <w:rPr>
          <w:sz w:val="30"/>
        </w:rPr>
        <w:t>same</w:t>
      </w:r>
      <w:r>
        <w:rPr>
          <w:spacing w:val="-3"/>
          <w:sz w:val="30"/>
        </w:rPr>
        <w:t xml:space="preserve"> </w:t>
      </w:r>
      <w:r>
        <w:rPr>
          <w:sz w:val="30"/>
        </w:rPr>
        <w:t>is</w:t>
      </w:r>
      <w:r>
        <w:rPr>
          <w:spacing w:val="-3"/>
          <w:sz w:val="30"/>
        </w:rPr>
        <w:t xml:space="preserve"> </w:t>
      </w:r>
      <w:r>
        <w:rPr>
          <w:sz w:val="30"/>
        </w:rPr>
        <w:t>true</w:t>
      </w:r>
      <w:r>
        <w:rPr>
          <w:spacing w:val="-3"/>
          <w:sz w:val="30"/>
        </w:rPr>
        <w:t xml:space="preserve"> </w:t>
      </w:r>
      <w:r>
        <w:rPr>
          <w:spacing w:val="-5"/>
          <w:sz w:val="30"/>
        </w:rPr>
        <w:t>of:</w:t>
      </w:r>
    </w:p>
    <w:p w14:paraId="7E000800" w14:textId="77777777" w:rsidR="009A58DB" w:rsidRDefault="009A58DB">
      <w:pPr>
        <w:pStyle w:val="BodyText"/>
        <w:spacing w:before="30"/>
        <w:ind w:left="0"/>
        <w:jc w:val="left"/>
      </w:pPr>
    </w:p>
    <w:p w14:paraId="7E000801" w14:textId="77777777" w:rsidR="009A58DB" w:rsidRDefault="00000000">
      <w:pPr>
        <w:pStyle w:val="ListParagraph"/>
        <w:numPr>
          <w:ilvl w:val="0"/>
          <w:numId w:val="222"/>
        </w:numPr>
        <w:tabs>
          <w:tab w:val="left" w:pos="782"/>
        </w:tabs>
        <w:ind w:left="782" w:hanging="422"/>
        <w:rPr>
          <w:sz w:val="30"/>
        </w:rPr>
      </w:pPr>
      <w:r>
        <w:rPr>
          <w:sz w:val="30"/>
        </w:rPr>
        <w:t>“pentagons</w:t>
      </w:r>
      <w:r>
        <w:rPr>
          <w:spacing w:val="-4"/>
          <w:sz w:val="30"/>
        </w:rPr>
        <w:t xml:space="preserve"> </w:t>
      </w:r>
      <w:r>
        <w:rPr>
          <w:sz w:val="30"/>
        </w:rPr>
        <w:t>have</w:t>
      </w:r>
      <w:r>
        <w:rPr>
          <w:spacing w:val="-3"/>
          <w:sz w:val="30"/>
        </w:rPr>
        <w:t xml:space="preserve"> </w:t>
      </w:r>
      <w:r>
        <w:rPr>
          <w:sz w:val="30"/>
        </w:rPr>
        <w:t>five</w:t>
      </w:r>
      <w:r>
        <w:rPr>
          <w:spacing w:val="-3"/>
          <w:sz w:val="30"/>
        </w:rPr>
        <w:t xml:space="preserve"> </w:t>
      </w:r>
      <w:r>
        <w:rPr>
          <w:spacing w:val="-2"/>
          <w:sz w:val="30"/>
        </w:rPr>
        <w:t>sides.”</w:t>
      </w:r>
    </w:p>
    <w:p w14:paraId="7E000802" w14:textId="77777777" w:rsidR="009A58DB" w:rsidRDefault="009A58DB">
      <w:pPr>
        <w:pStyle w:val="BodyText"/>
        <w:spacing w:before="30"/>
        <w:ind w:left="0"/>
        <w:jc w:val="left"/>
      </w:pPr>
    </w:p>
    <w:p w14:paraId="7E000803" w14:textId="77777777" w:rsidR="009A58DB" w:rsidRDefault="00000000">
      <w:pPr>
        <w:pStyle w:val="BodyText"/>
        <w:spacing w:line="252" w:lineRule="auto"/>
        <w:ind w:right="363"/>
      </w:pPr>
      <w:r>
        <w:t>For argument’s sake, we’ll grant that, indeed, (1) and (2) are true by convention—that they’re definitional truths</w:t>
      </w:r>
      <w:bookmarkStart w:id="63" w:name="_bookmark63"/>
      <w:bookmarkEnd w:id="63"/>
      <w:r>
        <w:t>.</w:t>
      </w:r>
      <w:r>
        <w:rPr>
          <w:color w:val="0562C1"/>
          <w:position w:val="10"/>
          <w:u w:val="single" w:color="0562C1"/>
        </w:rPr>
        <w:t>61</w:t>
      </w:r>
      <w:r>
        <w:rPr>
          <w:color w:val="0562C1"/>
          <w:position w:val="10"/>
        </w:rPr>
        <w:t xml:space="preserve"> </w:t>
      </w:r>
      <w:r>
        <w:t xml:space="preserve">Given (1) and (2), it follows </w:t>
      </w:r>
      <w:r>
        <w:rPr>
          <w:spacing w:val="-2"/>
        </w:rPr>
        <w:t>that:</w:t>
      </w:r>
    </w:p>
    <w:p w14:paraId="7E000804" w14:textId="77777777" w:rsidR="009A58DB" w:rsidRDefault="009A58DB">
      <w:pPr>
        <w:pStyle w:val="BodyText"/>
        <w:spacing w:before="13"/>
        <w:ind w:left="0"/>
        <w:jc w:val="left"/>
      </w:pPr>
    </w:p>
    <w:p w14:paraId="7E000805" w14:textId="77777777" w:rsidR="009A58DB" w:rsidRDefault="00000000">
      <w:pPr>
        <w:pStyle w:val="ListParagraph"/>
        <w:numPr>
          <w:ilvl w:val="0"/>
          <w:numId w:val="222"/>
        </w:numPr>
        <w:tabs>
          <w:tab w:val="left" w:pos="797"/>
        </w:tabs>
        <w:spacing w:line="249" w:lineRule="auto"/>
        <w:ind w:left="360" w:right="358" w:firstLine="0"/>
        <w:jc w:val="both"/>
        <w:rPr>
          <w:sz w:val="30"/>
        </w:rPr>
      </w:pPr>
      <w:r>
        <w:rPr>
          <w:sz w:val="30"/>
        </w:rPr>
        <w:t>If x is the number of sides of an arbitrary triangle and y is the number of sides</w:t>
      </w:r>
      <w:r>
        <w:rPr>
          <w:spacing w:val="-2"/>
          <w:sz w:val="30"/>
        </w:rPr>
        <w:t xml:space="preserve"> </w:t>
      </w:r>
      <w:r>
        <w:rPr>
          <w:sz w:val="30"/>
        </w:rPr>
        <w:t>of</w:t>
      </w:r>
      <w:r>
        <w:rPr>
          <w:spacing w:val="-2"/>
          <w:sz w:val="30"/>
        </w:rPr>
        <w:t xml:space="preserve"> </w:t>
      </w:r>
      <w:r>
        <w:rPr>
          <w:sz w:val="30"/>
        </w:rPr>
        <w:t>an</w:t>
      </w:r>
      <w:r>
        <w:rPr>
          <w:spacing w:val="-2"/>
          <w:sz w:val="30"/>
        </w:rPr>
        <w:t xml:space="preserve"> </w:t>
      </w:r>
      <w:r>
        <w:rPr>
          <w:sz w:val="30"/>
        </w:rPr>
        <w:t>arbitrary</w:t>
      </w:r>
      <w:r>
        <w:rPr>
          <w:spacing w:val="-2"/>
          <w:sz w:val="30"/>
        </w:rPr>
        <w:t xml:space="preserve"> </w:t>
      </w:r>
      <w:r>
        <w:rPr>
          <w:sz w:val="30"/>
        </w:rPr>
        <w:t>pentagon,</w:t>
      </w:r>
      <w:r>
        <w:rPr>
          <w:spacing w:val="-2"/>
          <w:sz w:val="30"/>
        </w:rPr>
        <w:t xml:space="preserve"> </w:t>
      </w:r>
      <w:r>
        <w:rPr>
          <w:sz w:val="30"/>
        </w:rPr>
        <w:t>then</w:t>
      </w:r>
      <w:r>
        <w:rPr>
          <w:spacing w:val="-2"/>
          <w:sz w:val="30"/>
        </w:rPr>
        <w:t xml:space="preserve"> </w:t>
      </w:r>
      <w:r>
        <w:rPr>
          <w:sz w:val="30"/>
        </w:rPr>
        <w:t>w</w:t>
      </w:r>
      <w:r>
        <w:rPr>
          <w:spacing w:val="-2"/>
          <w:sz w:val="30"/>
        </w:rPr>
        <w:t xml:space="preserve"> </w:t>
      </w:r>
      <w:r>
        <w:rPr>
          <w:sz w:val="30"/>
        </w:rPr>
        <w:t>is</w:t>
      </w:r>
      <w:r>
        <w:rPr>
          <w:spacing w:val="-2"/>
          <w:sz w:val="30"/>
        </w:rPr>
        <w:t xml:space="preserve"> </w:t>
      </w:r>
      <w:r>
        <w:rPr>
          <w:sz w:val="30"/>
        </w:rPr>
        <w:t>an</w:t>
      </w:r>
      <w:r>
        <w:rPr>
          <w:spacing w:val="-2"/>
          <w:sz w:val="30"/>
        </w:rPr>
        <w:t xml:space="preserve"> </w:t>
      </w:r>
      <w:r>
        <w:rPr>
          <w:sz w:val="30"/>
        </w:rPr>
        <w:t>even</w:t>
      </w:r>
      <w:r>
        <w:rPr>
          <w:spacing w:val="-2"/>
          <w:sz w:val="30"/>
        </w:rPr>
        <w:t xml:space="preserve"> </w:t>
      </w:r>
      <w:r>
        <w:rPr>
          <w:sz w:val="30"/>
        </w:rPr>
        <w:t>prime</w:t>
      </w:r>
      <w:r>
        <w:rPr>
          <w:spacing w:val="-2"/>
          <w:sz w:val="30"/>
        </w:rPr>
        <w:t xml:space="preserve"> </w:t>
      </w:r>
      <w:r>
        <w:rPr>
          <w:sz w:val="30"/>
        </w:rPr>
        <w:t>iff</w:t>
      </w:r>
      <w:r>
        <w:rPr>
          <w:spacing w:val="-2"/>
          <w:sz w:val="30"/>
        </w:rPr>
        <w:t xml:space="preserve"> </w:t>
      </w:r>
      <w:r>
        <w:rPr>
          <w:sz w:val="30"/>
        </w:rPr>
        <w:t>w</w:t>
      </w:r>
      <w:r>
        <w:rPr>
          <w:spacing w:val="-2"/>
          <w:sz w:val="30"/>
        </w:rPr>
        <w:t xml:space="preserve"> </w:t>
      </w:r>
      <w:r>
        <w:rPr>
          <w:sz w:val="30"/>
        </w:rPr>
        <w:t>is</w:t>
      </w:r>
      <w:r>
        <w:rPr>
          <w:spacing w:val="-2"/>
          <w:sz w:val="30"/>
        </w:rPr>
        <w:t xml:space="preserve"> </w:t>
      </w:r>
      <w:r>
        <w:rPr>
          <w:sz w:val="30"/>
        </w:rPr>
        <w:t>one</w:t>
      </w:r>
      <w:r>
        <w:rPr>
          <w:spacing w:val="-2"/>
          <w:sz w:val="30"/>
        </w:rPr>
        <w:t xml:space="preserve"> </w:t>
      </w:r>
      <w:r>
        <w:rPr>
          <w:sz w:val="30"/>
        </w:rPr>
        <w:t>less</w:t>
      </w:r>
      <w:r>
        <w:rPr>
          <w:spacing w:val="-2"/>
          <w:sz w:val="30"/>
        </w:rPr>
        <w:t xml:space="preserve"> </w:t>
      </w:r>
      <w:r>
        <w:rPr>
          <w:sz w:val="30"/>
        </w:rPr>
        <w:t>than</w:t>
      </w:r>
      <w:r>
        <w:rPr>
          <w:spacing w:val="-2"/>
          <w:sz w:val="30"/>
        </w:rPr>
        <w:t xml:space="preserve"> </w:t>
      </w:r>
      <w:r>
        <w:rPr>
          <w:sz w:val="30"/>
        </w:rPr>
        <w:t>x and three less than y.</w:t>
      </w:r>
    </w:p>
    <w:p w14:paraId="7E000806" w14:textId="77777777" w:rsidR="009A58DB" w:rsidRDefault="009A58DB">
      <w:pPr>
        <w:pStyle w:val="BodyText"/>
        <w:spacing w:before="19"/>
        <w:ind w:left="0"/>
        <w:jc w:val="left"/>
      </w:pPr>
    </w:p>
    <w:p w14:paraId="7E000807" w14:textId="77777777" w:rsidR="009A58DB" w:rsidRDefault="00000000">
      <w:pPr>
        <w:pStyle w:val="BodyText"/>
        <w:spacing w:line="249" w:lineRule="auto"/>
        <w:ind w:right="358"/>
      </w:pPr>
      <w:r>
        <w:t>But (3) clearly isn’t a conventional truth. Though it follows from</w:t>
      </w:r>
      <w:r>
        <w:rPr>
          <w:spacing w:val="40"/>
        </w:rPr>
        <w:t xml:space="preserve"> </w:t>
      </w:r>
      <w:r>
        <w:t>conventions, (3) is not itself a convention. (3) is thus a non-tautologous, non-empirical truth. It follows that LP is false.</w:t>
      </w:r>
    </w:p>
    <w:p w14:paraId="7E000808" w14:textId="77777777" w:rsidR="009A58DB" w:rsidRDefault="00000000">
      <w:pPr>
        <w:pStyle w:val="BodyText"/>
        <w:spacing w:before="4" w:line="249" w:lineRule="auto"/>
        <w:ind w:right="358" w:firstLine="360"/>
      </w:pPr>
      <w:r>
        <w:t xml:space="preserve">It’s possible to have conventions that are </w:t>
      </w:r>
      <w:r>
        <w:rPr>
          <w:b/>
          <w:i/>
        </w:rPr>
        <w:t>inconsistent</w:t>
      </w:r>
      <w:r>
        <w:rPr>
          <w:b/>
          <w:i/>
          <w:spacing w:val="-4"/>
        </w:rPr>
        <w:t xml:space="preserve"> </w:t>
      </w:r>
      <w:r>
        <w:t>with one another. If I stipulate that “x” unambiguously refers to the number two, and I also stipulate that “x” refers to the number of sides of a triangle, my definitions</w:t>
      </w:r>
      <w:r>
        <w:rPr>
          <w:spacing w:val="40"/>
        </w:rPr>
        <w:t xml:space="preserve"> </w:t>
      </w:r>
      <w:r>
        <w:t>are inconsistent with one another. The internal consistency of conventions is not</w:t>
      </w:r>
      <w:r>
        <w:rPr>
          <w:spacing w:val="-4"/>
        </w:rPr>
        <w:t xml:space="preserve"> </w:t>
      </w:r>
      <w:r>
        <w:t>itself</w:t>
      </w:r>
      <w:r>
        <w:rPr>
          <w:spacing w:val="-4"/>
        </w:rPr>
        <w:t xml:space="preserve"> </w:t>
      </w:r>
      <w:r>
        <w:t>a</w:t>
      </w:r>
      <w:r>
        <w:rPr>
          <w:spacing w:val="-4"/>
        </w:rPr>
        <w:t xml:space="preserve"> </w:t>
      </w:r>
      <w:r>
        <w:t>matter</w:t>
      </w:r>
      <w:r>
        <w:rPr>
          <w:spacing w:val="-4"/>
        </w:rPr>
        <w:t xml:space="preserve"> </w:t>
      </w:r>
      <w:r>
        <w:t>of</w:t>
      </w:r>
      <w:r>
        <w:rPr>
          <w:spacing w:val="-4"/>
        </w:rPr>
        <w:t xml:space="preserve"> </w:t>
      </w:r>
      <w:r>
        <w:t>convention.</w:t>
      </w:r>
      <w:r>
        <w:rPr>
          <w:spacing w:val="-3"/>
        </w:rPr>
        <w:t xml:space="preserve"> </w:t>
      </w:r>
      <w:r>
        <w:t>It</w:t>
      </w:r>
      <w:r>
        <w:rPr>
          <w:spacing w:val="-4"/>
        </w:rPr>
        <w:t xml:space="preserve"> </w:t>
      </w:r>
      <w:r>
        <w:t>isn’t</w:t>
      </w:r>
      <w:r>
        <w:rPr>
          <w:spacing w:val="-4"/>
        </w:rPr>
        <w:t xml:space="preserve"> </w:t>
      </w:r>
      <w:r>
        <w:t>an</w:t>
      </w:r>
      <w:r>
        <w:rPr>
          <w:spacing w:val="-3"/>
        </w:rPr>
        <w:t xml:space="preserve"> </w:t>
      </w:r>
      <w:r>
        <w:t>empirical</w:t>
      </w:r>
      <w:r>
        <w:rPr>
          <w:spacing w:val="-4"/>
        </w:rPr>
        <w:t xml:space="preserve"> </w:t>
      </w:r>
      <w:r>
        <w:t>fact</w:t>
      </w:r>
      <w:r>
        <w:rPr>
          <w:spacing w:val="-4"/>
        </w:rPr>
        <w:t xml:space="preserve"> </w:t>
      </w:r>
      <w:r>
        <w:t>that</w:t>
      </w:r>
      <w:r>
        <w:rPr>
          <w:spacing w:val="-4"/>
        </w:rPr>
        <w:t xml:space="preserve"> </w:t>
      </w:r>
      <w:r>
        <w:t>the</w:t>
      </w:r>
      <w:r>
        <w:rPr>
          <w:spacing w:val="-4"/>
        </w:rPr>
        <w:t xml:space="preserve"> </w:t>
      </w:r>
      <w:r>
        <w:t>conventions just</w:t>
      </w:r>
      <w:r>
        <w:rPr>
          <w:spacing w:val="23"/>
        </w:rPr>
        <w:t xml:space="preserve"> </w:t>
      </w:r>
      <w:r>
        <w:t>described</w:t>
      </w:r>
      <w:r>
        <w:rPr>
          <w:spacing w:val="23"/>
        </w:rPr>
        <w:t xml:space="preserve"> </w:t>
      </w:r>
      <w:r>
        <w:t>are</w:t>
      </w:r>
      <w:r>
        <w:rPr>
          <w:spacing w:val="23"/>
        </w:rPr>
        <w:t xml:space="preserve"> </w:t>
      </w:r>
      <w:r>
        <w:t>inconsistent</w:t>
      </w:r>
      <w:r>
        <w:rPr>
          <w:spacing w:val="23"/>
        </w:rPr>
        <w:t xml:space="preserve"> </w:t>
      </w:r>
      <w:r>
        <w:t>with</w:t>
      </w:r>
      <w:r>
        <w:rPr>
          <w:spacing w:val="23"/>
        </w:rPr>
        <w:t xml:space="preserve"> </w:t>
      </w:r>
      <w:r>
        <w:t>each</w:t>
      </w:r>
      <w:r>
        <w:rPr>
          <w:spacing w:val="23"/>
        </w:rPr>
        <w:t xml:space="preserve"> </w:t>
      </w:r>
      <w:r>
        <w:t>other.</w:t>
      </w:r>
      <w:r>
        <w:rPr>
          <w:spacing w:val="23"/>
        </w:rPr>
        <w:t xml:space="preserve"> </w:t>
      </w:r>
      <w:r>
        <w:t>To</w:t>
      </w:r>
      <w:r>
        <w:rPr>
          <w:spacing w:val="23"/>
        </w:rPr>
        <w:t xml:space="preserve"> </w:t>
      </w:r>
      <w:r>
        <w:t>say</w:t>
      </w:r>
      <w:r>
        <w:rPr>
          <w:spacing w:val="23"/>
        </w:rPr>
        <w:t xml:space="preserve"> </w:t>
      </w:r>
      <w:r>
        <w:t>that</w:t>
      </w:r>
      <w:r>
        <w:rPr>
          <w:spacing w:val="23"/>
        </w:rPr>
        <w:t xml:space="preserve"> </w:t>
      </w:r>
      <w:r>
        <w:t>P</w:t>
      </w:r>
      <w:r>
        <w:rPr>
          <w:spacing w:val="23"/>
        </w:rPr>
        <w:t xml:space="preserve"> </w:t>
      </w:r>
      <w:r>
        <w:t>is</w:t>
      </w:r>
      <w:r>
        <w:rPr>
          <w:spacing w:val="23"/>
        </w:rPr>
        <w:t xml:space="preserve"> </w:t>
      </w:r>
      <w:r>
        <w:t>inconsistent</w:t>
      </w:r>
    </w:p>
    <w:p w14:paraId="7E00080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0A" w14:textId="77777777" w:rsidR="009A58DB" w:rsidRDefault="00000000">
      <w:pPr>
        <w:pStyle w:val="BodyText"/>
        <w:spacing w:before="60" w:line="249" w:lineRule="auto"/>
        <w:ind w:right="365"/>
      </w:pPr>
      <w:r>
        <w:lastRenderedPageBreak/>
        <w:t xml:space="preserve">with Q is to say that P </w:t>
      </w:r>
      <w:r>
        <w:rPr>
          <w:i/>
        </w:rPr>
        <w:t>must</w:t>
      </w:r>
      <w:r>
        <w:rPr>
          <w:i/>
          <w:spacing w:val="-3"/>
        </w:rPr>
        <w:t xml:space="preserve"> </w:t>
      </w:r>
      <w:r>
        <w:t xml:space="preserve">be false if Q is true. Observation cannot tell you what </w:t>
      </w:r>
      <w:r>
        <w:rPr>
          <w:i/>
        </w:rPr>
        <w:t xml:space="preserve">must </w:t>
      </w:r>
      <w:r>
        <w:t xml:space="preserve">be the case; it can tell you, at most, what </w:t>
      </w:r>
      <w:r>
        <w:rPr>
          <w:i/>
        </w:rPr>
        <w:t xml:space="preserve">is </w:t>
      </w:r>
      <w:r>
        <w:t>the case. So it cannot tell you that two linguistic conventions are inconsistent with each other.</w:t>
      </w:r>
    </w:p>
    <w:p w14:paraId="7E00080B" w14:textId="77777777" w:rsidR="009A58DB" w:rsidRDefault="00000000">
      <w:pPr>
        <w:pStyle w:val="BodyText"/>
        <w:spacing w:before="8" w:line="249" w:lineRule="auto"/>
        <w:ind w:right="360" w:firstLine="360"/>
      </w:pPr>
      <w:r>
        <w:t>Since observation cannot tell you whether or not two statements are inconsistent with each other, it cannot tell you whether or not one statement</w:t>
      </w:r>
      <w:r>
        <w:rPr>
          <w:spacing w:val="40"/>
        </w:rPr>
        <w:t xml:space="preserve"> </w:t>
      </w:r>
      <w:r>
        <w:t xml:space="preserve">is a necessary consequence of some other. This is because for Q to be a necessary consequence of P is to P to be inconsistent with the </w:t>
      </w:r>
      <w:r>
        <w:rPr>
          <w:b/>
          <w:i/>
        </w:rPr>
        <w:t>negation</w:t>
      </w:r>
      <w:r>
        <w:rPr>
          <w:b/>
          <w:i/>
          <w:spacing w:val="-3"/>
        </w:rPr>
        <w:t xml:space="preserve"> </w:t>
      </w:r>
      <w:r>
        <w:t>of Q. (The negation of "snow is white" is "snow is not white." In general, the negation of a Q is not-Q.)</w:t>
      </w:r>
    </w:p>
    <w:p w14:paraId="7E00080C" w14:textId="77777777" w:rsidR="009A58DB" w:rsidRDefault="00000000">
      <w:pPr>
        <w:pStyle w:val="BodyText"/>
        <w:spacing w:before="8" w:line="249" w:lineRule="auto"/>
        <w:ind w:right="358" w:firstLine="360"/>
      </w:pPr>
      <w:r>
        <w:t xml:space="preserve">When evaluating LP, one must be careful to distinguish sentences from their meanings. Two different sentences can have the same meaning (e.g., “snow is white” and “schnee ist weiss”). The meaning of a sentence is a </w:t>
      </w:r>
      <w:r>
        <w:rPr>
          <w:b/>
          <w:i/>
        </w:rPr>
        <w:t xml:space="preserve">proposition. </w:t>
      </w:r>
      <w:r>
        <w:t>Propositions are not sentences. The thing meant by “snow is white” is not itself a sentence. Some sentences express propositions that are logically true. A proposition is logically true if the laws of logic prohibit its negation from being true. The proposition meant by</w:t>
      </w:r>
    </w:p>
    <w:p w14:paraId="7E00080D" w14:textId="77777777" w:rsidR="009A58DB" w:rsidRDefault="009A58DB">
      <w:pPr>
        <w:pStyle w:val="BodyText"/>
        <w:spacing w:before="23"/>
        <w:ind w:left="0"/>
        <w:jc w:val="left"/>
      </w:pPr>
    </w:p>
    <w:p w14:paraId="7E00080E" w14:textId="77777777" w:rsidR="009A58DB" w:rsidRDefault="00000000">
      <w:pPr>
        <w:pStyle w:val="ListParagraph"/>
        <w:numPr>
          <w:ilvl w:val="0"/>
          <w:numId w:val="222"/>
        </w:numPr>
        <w:tabs>
          <w:tab w:val="left" w:pos="782"/>
        </w:tabs>
        <w:ind w:left="782" w:hanging="422"/>
        <w:rPr>
          <w:sz w:val="30"/>
        </w:rPr>
      </w:pPr>
      <w:r>
        <w:rPr>
          <w:sz w:val="30"/>
        </w:rPr>
        <w:t>“If</w:t>
      </w:r>
      <w:r>
        <w:rPr>
          <w:spacing w:val="-3"/>
          <w:sz w:val="30"/>
        </w:rPr>
        <w:t xml:space="preserve"> </w:t>
      </w:r>
      <w:r>
        <w:rPr>
          <w:sz w:val="30"/>
        </w:rPr>
        <w:t>a</w:t>
      </w:r>
      <w:r>
        <w:rPr>
          <w:spacing w:val="-2"/>
          <w:sz w:val="30"/>
        </w:rPr>
        <w:t xml:space="preserve"> </w:t>
      </w:r>
      <w:r>
        <w:rPr>
          <w:sz w:val="30"/>
        </w:rPr>
        <w:t>given</w:t>
      </w:r>
      <w:r>
        <w:rPr>
          <w:spacing w:val="-1"/>
          <w:sz w:val="30"/>
        </w:rPr>
        <w:t xml:space="preserve"> </w:t>
      </w:r>
      <w:r>
        <w:rPr>
          <w:sz w:val="30"/>
        </w:rPr>
        <w:t>thing</w:t>
      </w:r>
      <w:r>
        <w:rPr>
          <w:spacing w:val="-1"/>
          <w:sz w:val="30"/>
        </w:rPr>
        <w:t xml:space="preserve"> </w:t>
      </w:r>
      <w:r>
        <w:rPr>
          <w:sz w:val="30"/>
        </w:rPr>
        <w:t>is</w:t>
      </w:r>
      <w:r>
        <w:rPr>
          <w:spacing w:val="-3"/>
          <w:sz w:val="30"/>
        </w:rPr>
        <w:t xml:space="preserve"> </w:t>
      </w:r>
      <w:r>
        <w:rPr>
          <w:sz w:val="30"/>
        </w:rPr>
        <w:t>round,</w:t>
      </w:r>
      <w:r>
        <w:rPr>
          <w:spacing w:val="-1"/>
          <w:sz w:val="30"/>
        </w:rPr>
        <w:t xml:space="preserve"> </w:t>
      </w:r>
      <w:r>
        <w:rPr>
          <w:sz w:val="30"/>
        </w:rPr>
        <w:t>then</w:t>
      </w:r>
      <w:r>
        <w:rPr>
          <w:spacing w:val="-1"/>
          <w:sz w:val="30"/>
        </w:rPr>
        <w:t xml:space="preserve"> </w:t>
      </w:r>
      <w:r>
        <w:rPr>
          <w:sz w:val="30"/>
        </w:rPr>
        <w:t>that</w:t>
      </w:r>
      <w:r>
        <w:rPr>
          <w:spacing w:val="-3"/>
          <w:sz w:val="30"/>
        </w:rPr>
        <w:t xml:space="preserve"> </w:t>
      </w:r>
      <w:r>
        <w:rPr>
          <w:sz w:val="30"/>
        </w:rPr>
        <w:t>thing</w:t>
      </w:r>
      <w:r>
        <w:rPr>
          <w:spacing w:val="-1"/>
          <w:sz w:val="30"/>
        </w:rPr>
        <w:t xml:space="preserve"> </w:t>
      </w:r>
      <w:r>
        <w:rPr>
          <w:sz w:val="30"/>
        </w:rPr>
        <w:t>is</w:t>
      </w:r>
      <w:r>
        <w:rPr>
          <w:spacing w:val="-2"/>
          <w:sz w:val="30"/>
        </w:rPr>
        <w:t xml:space="preserve"> </w:t>
      </w:r>
      <w:r>
        <w:rPr>
          <w:sz w:val="30"/>
        </w:rPr>
        <w:t>not</w:t>
      </w:r>
      <w:r>
        <w:rPr>
          <w:spacing w:val="-2"/>
          <w:sz w:val="30"/>
        </w:rPr>
        <w:t xml:space="preserve"> </w:t>
      </w:r>
      <w:r>
        <w:rPr>
          <w:sz w:val="30"/>
        </w:rPr>
        <w:t>a</w:t>
      </w:r>
      <w:r>
        <w:rPr>
          <w:spacing w:val="-2"/>
          <w:sz w:val="30"/>
        </w:rPr>
        <w:t xml:space="preserve"> square”</w:t>
      </w:r>
    </w:p>
    <w:p w14:paraId="7E00080F" w14:textId="77777777" w:rsidR="009A58DB" w:rsidRDefault="009A58DB">
      <w:pPr>
        <w:pStyle w:val="BodyText"/>
        <w:spacing w:before="30"/>
        <w:ind w:left="0"/>
        <w:jc w:val="left"/>
      </w:pPr>
    </w:p>
    <w:p w14:paraId="7E000810" w14:textId="77777777" w:rsidR="009A58DB" w:rsidRDefault="00000000">
      <w:pPr>
        <w:pStyle w:val="BodyText"/>
        <w:spacing w:line="249" w:lineRule="auto"/>
        <w:ind w:right="360"/>
      </w:pPr>
      <w:r>
        <w:t>is</w:t>
      </w:r>
      <w:r>
        <w:rPr>
          <w:spacing w:val="-1"/>
        </w:rPr>
        <w:t xml:space="preserve"> </w:t>
      </w:r>
      <w:r>
        <w:t>logically</w:t>
      </w:r>
      <w:r>
        <w:rPr>
          <w:spacing w:val="-1"/>
        </w:rPr>
        <w:t xml:space="preserve"> </w:t>
      </w:r>
      <w:r>
        <w:t>true,</w:t>
      </w:r>
      <w:r>
        <w:rPr>
          <w:spacing w:val="-1"/>
        </w:rPr>
        <w:t xml:space="preserve"> </w:t>
      </w:r>
      <w:r>
        <w:t>since</w:t>
      </w:r>
      <w:r>
        <w:rPr>
          <w:spacing w:val="-1"/>
        </w:rPr>
        <w:t xml:space="preserve"> </w:t>
      </w:r>
      <w:r>
        <w:t>the</w:t>
      </w:r>
      <w:r>
        <w:rPr>
          <w:spacing w:val="-1"/>
        </w:rPr>
        <w:t xml:space="preserve"> </w:t>
      </w:r>
      <w:r>
        <w:t>laws</w:t>
      </w:r>
      <w:r>
        <w:rPr>
          <w:spacing w:val="-1"/>
        </w:rPr>
        <w:t xml:space="preserve"> </w:t>
      </w:r>
      <w:r>
        <w:t>of</w:t>
      </w:r>
      <w:r>
        <w:rPr>
          <w:spacing w:val="-1"/>
        </w:rPr>
        <w:t xml:space="preserve"> </w:t>
      </w:r>
      <w:r>
        <w:t>logic</w:t>
      </w:r>
      <w:r>
        <w:rPr>
          <w:spacing w:val="-1"/>
        </w:rPr>
        <w:t xml:space="preserve"> </w:t>
      </w:r>
      <w:r>
        <w:t>don’t</w:t>
      </w:r>
      <w:r>
        <w:rPr>
          <w:spacing w:val="-2"/>
        </w:rPr>
        <w:t xml:space="preserve"> </w:t>
      </w:r>
      <w:r>
        <w:t>allow</w:t>
      </w:r>
      <w:r>
        <w:rPr>
          <w:spacing w:val="-1"/>
        </w:rPr>
        <w:t xml:space="preserve"> </w:t>
      </w:r>
      <w:r>
        <w:t>round</w:t>
      </w:r>
      <w:r>
        <w:rPr>
          <w:spacing w:val="-1"/>
        </w:rPr>
        <w:t xml:space="preserve"> </w:t>
      </w:r>
      <w:r>
        <w:t>things</w:t>
      </w:r>
      <w:r>
        <w:rPr>
          <w:spacing w:val="-1"/>
        </w:rPr>
        <w:t xml:space="preserve"> </w:t>
      </w:r>
      <w:r>
        <w:t>to</w:t>
      </w:r>
      <w:r>
        <w:rPr>
          <w:spacing w:val="-1"/>
        </w:rPr>
        <w:t xml:space="preserve"> </w:t>
      </w:r>
      <w:r>
        <w:t>be</w:t>
      </w:r>
      <w:r>
        <w:rPr>
          <w:spacing w:val="-1"/>
        </w:rPr>
        <w:t xml:space="preserve"> </w:t>
      </w:r>
      <w:r>
        <w:t xml:space="preserve">square. And some authors, for this reason, would describe (4) itself, the sentence, as logically true. But what they mean is that, </w:t>
      </w:r>
      <w:r>
        <w:rPr>
          <w:i/>
        </w:rPr>
        <w:t xml:space="preserve">given </w:t>
      </w:r>
      <w:r>
        <w:t xml:space="preserve">what it is that it means, (4) must be true. So what they are </w:t>
      </w:r>
      <w:r>
        <w:rPr>
          <w:i/>
        </w:rPr>
        <w:t xml:space="preserve">in fact </w:t>
      </w:r>
      <w:r>
        <w:t>describing as logically true is the proposition that (4) couldn’t be false, given what it is that it means.</w:t>
      </w:r>
    </w:p>
    <w:p w14:paraId="7E000811" w14:textId="77777777" w:rsidR="009A58DB" w:rsidRDefault="00000000">
      <w:pPr>
        <w:pStyle w:val="BodyText"/>
        <w:spacing w:before="7" w:line="249" w:lineRule="auto"/>
        <w:ind w:right="358" w:firstLine="360"/>
      </w:pPr>
      <w:r>
        <w:t>Thus,</w:t>
      </w:r>
      <w:r>
        <w:rPr>
          <w:spacing w:val="-2"/>
        </w:rPr>
        <w:t xml:space="preserve"> </w:t>
      </w:r>
      <w:r>
        <w:t>it</w:t>
      </w:r>
      <w:r>
        <w:rPr>
          <w:spacing w:val="-3"/>
        </w:rPr>
        <w:t xml:space="preserve"> </w:t>
      </w:r>
      <w:r>
        <w:t>is</w:t>
      </w:r>
      <w:r>
        <w:rPr>
          <w:spacing w:val="-3"/>
        </w:rPr>
        <w:t xml:space="preserve"> </w:t>
      </w:r>
      <w:r>
        <w:t>always</w:t>
      </w:r>
      <w:r>
        <w:rPr>
          <w:spacing w:val="-3"/>
        </w:rPr>
        <w:t xml:space="preserve"> </w:t>
      </w:r>
      <w:r>
        <w:t>propositions,</w:t>
      </w:r>
      <w:r>
        <w:rPr>
          <w:spacing w:val="-2"/>
        </w:rPr>
        <w:t xml:space="preserve"> </w:t>
      </w:r>
      <w:r>
        <w:t>and</w:t>
      </w:r>
      <w:r>
        <w:rPr>
          <w:spacing w:val="-2"/>
        </w:rPr>
        <w:t xml:space="preserve"> </w:t>
      </w:r>
      <w:r>
        <w:t>never</w:t>
      </w:r>
      <w:r>
        <w:rPr>
          <w:spacing w:val="-3"/>
        </w:rPr>
        <w:t xml:space="preserve"> </w:t>
      </w:r>
      <w:r>
        <w:t>sentences,</w:t>
      </w:r>
      <w:r>
        <w:rPr>
          <w:spacing w:val="-2"/>
        </w:rPr>
        <w:t xml:space="preserve"> </w:t>
      </w:r>
      <w:r>
        <w:t>that</w:t>
      </w:r>
      <w:r>
        <w:rPr>
          <w:spacing w:val="-3"/>
        </w:rPr>
        <w:t xml:space="preserve"> </w:t>
      </w:r>
      <w:r>
        <w:t>are</w:t>
      </w:r>
      <w:r>
        <w:rPr>
          <w:spacing w:val="-3"/>
        </w:rPr>
        <w:t xml:space="preserve"> </w:t>
      </w:r>
      <w:r>
        <w:t>logically</w:t>
      </w:r>
      <w:r>
        <w:rPr>
          <w:spacing w:val="-2"/>
        </w:rPr>
        <w:t xml:space="preserve"> </w:t>
      </w:r>
      <w:r>
        <w:t xml:space="preserve">true. But no </w:t>
      </w:r>
      <w:r>
        <w:rPr>
          <w:i/>
        </w:rPr>
        <w:t xml:space="preserve">proposition </w:t>
      </w:r>
      <w:r>
        <w:t>is true by convention. It’s up to us what our symbols mean. But it’s not up to us whether those meanings are correct. It’s up to us what it is that “the moon is not made of cheese” means. But it isn’t up to us whether that meaning is correct. LP identifies logical truth with conventional truth: truths of logic are sentences that are true by convention. But that’s false. Logical truths are never sentences; they’re always propositions, and propositions are never conventionally true.</w:t>
      </w:r>
    </w:p>
    <w:p w14:paraId="7E000812" w14:textId="77777777" w:rsidR="009A58DB" w:rsidRDefault="00000000">
      <w:pPr>
        <w:pStyle w:val="BodyText"/>
        <w:spacing w:before="9" w:line="252" w:lineRule="auto"/>
        <w:ind w:right="362" w:firstLine="360"/>
      </w:pPr>
      <w:r>
        <w:t>Incidentally, (ii) collapses into (i). Linguistic conventions are known empirically. It can be known only through observation that “triangles have three sides” is true. That sentence could mean anything</w:t>
      </w:r>
      <w:bookmarkStart w:id="64" w:name="_bookmark64"/>
      <w:bookmarkEnd w:id="64"/>
      <w:r>
        <w:t>.</w:t>
      </w:r>
      <w:r>
        <w:rPr>
          <w:color w:val="0562C1"/>
          <w:position w:val="10"/>
          <w:u w:val="single" w:color="0562C1"/>
        </w:rPr>
        <w:t>62</w:t>
      </w:r>
      <w:r>
        <w:rPr>
          <w:color w:val="0562C1"/>
          <w:position w:val="10"/>
        </w:rPr>
        <w:t xml:space="preserve"> </w:t>
      </w:r>
      <w:r>
        <w:t>It could mean that</w:t>
      </w:r>
    </w:p>
    <w:p w14:paraId="7E000813"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0814" w14:textId="77777777" w:rsidR="009A58DB" w:rsidRDefault="00000000">
      <w:pPr>
        <w:pStyle w:val="BodyText"/>
        <w:spacing w:before="65" w:line="249" w:lineRule="auto"/>
        <w:ind w:right="361"/>
      </w:pPr>
      <w:r>
        <w:lastRenderedPageBreak/>
        <w:t>penguins are smarter than humans; and it’s only because you’ve had the requisite sense-perceptions that you know it not to mean this.</w:t>
      </w:r>
    </w:p>
    <w:p w14:paraId="7E000815" w14:textId="77777777" w:rsidR="009A58DB" w:rsidRDefault="00000000">
      <w:pPr>
        <w:pStyle w:val="BodyText"/>
        <w:spacing w:before="2" w:line="252" w:lineRule="auto"/>
        <w:ind w:right="358" w:firstLine="360"/>
      </w:pPr>
      <w:r>
        <w:t>It</w:t>
      </w:r>
      <w:r>
        <w:rPr>
          <w:spacing w:val="-1"/>
        </w:rPr>
        <w:t xml:space="preserve"> </w:t>
      </w:r>
      <w:r>
        <w:t>should</w:t>
      </w:r>
      <w:r>
        <w:rPr>
          <w:spacing w:val="-1"/>
        </w:rPr>
        <w:t xml:space="preserve"> </w:t>
      </w:r>
      <w:r>
        <w:t>be pointed</w:t>
      </w:r>
      <w:r>
        <w:rPr>
          <w:spacing w:val="-1"/>
        </w:rPr>
        <w:t xml:space="preserve"> </w:t>
      </w:r>
      <w:r>
        <w:t>out that</w:t>
      </w:r>
      <w:r>
        <w:rPr>
          <w:spacing w:val="-1"/>
        </w:rPr>
        <w:t xml:space="preserve"> </w:t>
      </w:r>
      <w:r>
        <w:t>logical positivists</w:t>
      </w:r>
      <w:r>
        <w:rPr>
          <w:spacing w:val="-1"/>
        </w:rPr>
        <w:t xml:space="preserve"> </w:t>
      </w:r>
      <w:r>
        <w:t>were unanimous</w:t>
      </w:r>
      <w:r>
        <w:rPr>
          <w:spacing w:val="-1"/>
        </w:rPr>
        <w:t xml:space="preserve"> </w:t>
      </w:r>
      <w:r>
        <w:t>in denying the existence of propositions and of meanings generally. Logical positivists didn’t accept the view that for a lecture to concern triangles is for the</w:t>
      </w:r>
      <w:r>
        <w:rPr>
          <w:spacing w:val="40"/>
        </w:rPr>
        <w:t xml:space="preserve"> </w:t>
      </w:r>
      <w:r>
        <w:t>meaning of that lecture to concern triangles. This is why Rudolph Carnap</w:t>
      </w:r>
      <w:bookmarkStart w:id="65" w:name="_bookmark65"/>
      <w:bookmarkEnd w:id="65"/>
      <w:r>
        <w:rPr>
          <w:color w:val="0562C1"/>
          <w:position w:val="10"/>
          <w:u w:val="single" w:color="0562C1"/>
        </w:rPr>
        <w:t>63</w:t>
      </w:r>
      <w:r>
        <w:rPr>
          <w:color w:val="0562C1"/>
          <w:position w:val="10"/>
        </w:rPr>
        <w:t xml:space="preserve"> </w:t>
      </w:r>
      <w:r>
        <w:t>(1890–1970), an LPhardliner for many years, said that for a lecture to</w:t>
      </w:r>
      <w:r>
        <w:rPr>
          <w:spacing w:val="40"/>
        </w:rPr>
        <w:t xml:space="preserve"> </w:t>
      </w:r>
      <w:r>
        <w:t>concern triangles is for the word “triangle” to occur in the lecture.</w:t>
      </w:r>
    </w:p>
    <w:p w14:paraId="7E000816" w14:textId="77777777" w:rsidR="009A58DB" w:rsidRDefault="00000000">
      <w:pPr>
        <w:pStyle w:val="BodyText"/>
        <w:spacing w:line="249" w:lineRule="auto"/>
        <w:ind w:right="358" w:firstLine="360"/>
      </w:pPr>
      <w:r>
        <w:t>Carnap’s view is false. Many a lecture that doesn’t contain the word “triangle” concerns triangles. (Think of all the mathematics lectures given in Japanese, Swedish, and Arabic. How often does the word “triangle” occur in them?) And a lecture that contains the word “triangle” isn’t necessarily about triangles. Somebody giving a lecture on linguistics may use the word ‘triangle’</w:t>
      </w:r>
      <w:r>
        <w:rPr>
          <w:spacing w:val="-2"/>
        </w:rPr>
        <w:t xml:space="preserve"> </w:t>
      </w:r>
      <w:r>
        <w:t>to</w:t>
      </w:r>
      <w:r>
        <w:rPr>
          <w:spacing w:val="-2"/>
        </w:rPr>
        <w:t xml:space="preserve"> </w:t>
      </w:r>
      <w:r>
        <w:t>illustrate</w:t>
      </w:r>
      <w:r>
        <w:rPr>
          <w:spacing w:val="-2"/>
        </w:rPr>
        <w:t xml:space="preserve"> </w:t>
      </w:r>
      <w:r>
        <w:t>some</w:t>
      </w:r>
      <w:r>
        <w:rPr>
          <w:spacing w:val="-2"/>
        </w:rPr>
        <w:t xml:space="preserve"> </w:t>
      </w:r>
      <w:r>
        <w:t>point</w:t>
      </w:r>
      <w:r>
        <w:rPr>
          <w:spacing w:val="-2"/>
        </w:rPr>
        <w:t xml:space="preserve"> </w:t>
      </w:r>
      <w:r>
        <w:t>about</w:t>
      </w:r>
      <w:r>
        <w:rPr>
          <w:spacing w:val="-2"/>
        </w:rPr>
        <w:t xml:space="preserve"> </w:t>
      </w:r>
      <w:r>
        <w:t>phonetics;</w:t>
      </w:r>
      <w:r>
        <w:rPr>
          <w:spacing w:val="-2"/>
        </w:rPr>
        <w:t xml:space="preserve"> </w:t>
      </w:r>
      <w:r>
        <w:t>but</w:t>
      </w:r>
      <w:r>
        <w:rPr>
          <w:spacing w:val="-2"/>
        </w:rPr>
        <w:t xml:space="preserve"> </w:t>
      </w:r>
      <w:r>
        <w:t>in</w:t>
      </w:r>
      <w:r>
        <w:rPr>
          <w:spacing w:val="-2"/>
        </w:rPr>
        <w:t xml:space="preserve"> </w:t>
      </w:r>
      <w:r>
        <w:t>so</w:t>
      </w:r>
      <w:r>
        <w:rPr>
          <w:spacing w:val="-2"/>
        </w:rPr>
        <w:t xml:space="preserve"> </w:t>
      </w:r>
      <w:r>
        <w:t>doing,</w:t>
      </w:r>
      <w:r>
        <w:rPr>
          <w:spacing w:val="-2"/>
        </w:rPr>
        <w:t xml:space="preserve"> </w:t>
      </w:r>
      <w:r>
        <w:t>that</w:t>
      </w:r>
      <w:r>
        <w:rPr>
          <w:spacing w:val="-2"/>
        </w:rPr>
        <w:t xml:space="preserve"> </w:t>
      </w:r>
      <w:r>
        <w:t>person isn’t talking about triangles. They’re talking, not about triangles, but about</w:t>
      </w:r>
      <w:r>
        <w:rPr>
          <w:spacing w:val="40"/>
        </w:rPr>
        <w:t xml:space="preserve"> </w:t>
      </w:r>
      <w:r>
        <w:t xml:space="preserve">the </w:t>
      </w:r>
      <w:r>
        <w:rPr>
          <w:i/>
        </w:rPr>
        <w:t xml:space="preserve">word </w:t>
      </w:r>
      <w:r>
        <w:t>“triangle.”</w:t>
      </w:r>
    </w:p>
    <w:p w14:paraId="7E000817" w14:textId="77777777" w:rsidR="009A58DB" w:rsidRDefault="00000000">
      <w:pPr>
        <w:pStyle w:val="BodyText"/>
        <w:spacing w:before="2" w:line="249" w:lineRule="auto"/>
        <w:ind w:right="358" w:firstLine="360"/>
      </w:pPr>
      <w:r>
        <w:t xml:space="preserve">The distinction between the word “triangle” and the corresponding meaning is one that Carnap couldn’t countenance without ceasing to be a logical positivist. The very essence of logical positivism is the denial of meaning. For argument’s sake, suppose there to exist objects that are the meanings of sentences. (Following convention, we’ll refer to these things as “propositions.”) Given the existence of propositions, whether a given sentence is meaningful is </w:t>
      </w:r>
      <w:r>
        <w:rPr>
          <w:i/>
        </w:rPr>
        <w:t xml:space="preserve">not </w:t>
      </w:r>
      <w:r>
        <w:t>to be explained in terms of its being either tautologous or confirmable. Rather, a sentence’s being tautologous or confirmable is to be explained in terms of its bearing a proposition of a certain</w:t>
      </w:r>
      <w:r>
        <w:rPr>
          <w:spacing w:val="-2"/>
        </w:rPr>
        <w:t xml:space="preserve"> </w:t>
      </w:r>
      <w:r>
        <w:t>kind.</w:t>
      </w:r>
      <w:r>
        <w:rPr>
          <w:spacing w:val="-2"/>
        </w:rPr>
        <w:t xml:space="preserve"> </w:t>
      </w:r>
      <w:r>
        <w:t>A</w:t>
      </w:r>
      <w:r>
        <w:rPr>
          <w:spacing w:val="-2"/>
        </w:rPr>
        <w:t xml:space="preserve"> </w:t>
      </w:r>
      <w:r>
        <w:t>tautologous</w:t>
      </w:r>
      <w:r>
        <w:rPr>
          <w:spacing w:val="-2"/>
        </w:rPr>
        <w:t xml:space="preserve"> </w:t>
      </w:r>
      <w:r>
        <w:t>sentence</w:t>
      </w:r>
      <w:r>
        <w:rPr>
          <w:spacing w:val="-2"/>
        </w:rPr>
        <w:t xml:space="preserve"> </w:t>
      </w:r>
      <w:r>
        <w:t>would</w:t>
      </w:r>
      <w:r>
        <w:rPr>
          <w:spacing w:val="-2"/>
        </w:rPr>
        <w:t xml:space="preserve"> </w:t>
      </w:r>
      <w:r>
        <w:t>be</w:t>
      </w:r>
      <w:r>
        <w:rPr>
          <w:spacing w:val="-2"/>
        </w:rPr>
        <w:t xml:space="preserve"> </w:t>
      </w:r>
      <w:r>
        <w:t>one</w:t>
      </w:r>
      <w:r>
        <w:rPr>
          <w:spacing w:val="-2"/>
        </w:rPr>
        <w:t xml:space="preserve"> </w:t>
      </w:r>
      <w:r>
        <w:t>that</w:t>
      </w:r>
      <w:r>
        <w:rPr>
          <w:spacing w:val="-2"/>
        </w:rPr>
        <w:t xml:space="preserve"> </w:t>
      </w:r>
      <w:r>
        <w:t>had</w:t>
      </w:r>
      <w:r>
        <w:rPr>
          <w:spacing w:val="-2"/>
        </w:rPr>
        <w:t xml:space="preserve"> </w:t>
      </w:r>
      <w:r>
        <w:t>a</w:t>
      </w:r>
      <w:r>
        <w:rPr>
          <w:spacing w:val="-2"/>
        </w:rPr>
        <w:t xml:space="preserve"> </w:t>
      </w:r>
      <w:r>
        <w:t>logically</w:t>
      </w:r>
      <w:r>
        <w:rPr>
          <w:spacing w:val="-2"/>
        </w:rPr>
        <w:t xml:space="preserve"> </w:t>
      </w:r>
      <w:r>
        <w:t xml:space="preserve">correct proposition for its meaning, and a confirmable sentence would be one that had a confirmable proposition for its meaning. But if there are logically true propositions, then some truths are </w:t>
      </w:r>
      <w:r>
        <w:rPr>
          <w:i/>
        </w:rPr>
        <w:t>ipso facto</w:t>
      </w:r>
      <w:r>
        <w:rPr>
          <w:i/>
          <w:spacing w:val="40"/>
        </w:rPr>
        <w:t xml:space="preserve"> </w:t>
      </w:r>
      <w:r>
        <w:t>not empirical.</w:t>
      </w:r>
    </w:p>
    <w:p w14:paraId="7E000818" w14:textId="77777777" w:rsidR="009A58DB" w:rsidRDefault="00000000">
      <w:pPr>
        <w:pStyle w:val="BodyText"/>
        <w:spacing w:before="16" w:line="249" w:lineRule="auto"/>
        <w:ind w:right="358" w:firstLine="360"/>
      </w:pPr>
      <w:r>
        <w:t>We can use words in any way that we like. We can use the words “if</w:t>
      </w:r>
      <w:r>
        <w:rPr>
          <w:spacing w:val="40"/>
        </w:rPr>
        <w:t xml:space="preserve"> </w:t>
      </w:r>
      <w:r>
        <w:t>Smith has three boats, then Smith has more than one boat” to mean that 1+1=3.</w:t>
      </w:r>
      <w:r>
        <w:rPr>
          <w:spacing w:val="-3"/>
        </w:rPr>
        <w:t xml:space="preserve"> </w:t>
      </w:r>
      <w:r>
        <w:t>But</w:t>
      </w:r>
      <w:r>
        <w:rPr>
          <w:spacing w:val="-4"/>
        </w:rPr>
        <w:t xml:space="preserve"> </w:t>
      </w:r>
      <w:r>
        <w:t>whatever</w:t>
      </w:r>
      <w:r>
        <w:rPr>
          <w:spacing w:val="-4"/>
        </w:rPr>
        <w:t xml:space="preserve"> </w:t>
      </w:r>
      <w:r>
        <w:t>meaning</w:t>
      </w:r>
      <w:r>
        <w:rPr>
          <w:spacing w:val="-3"/>
        </w:rPr>
        <w:t xml:space="preserve"> </w:t>
      </w:r>
      <w:r>
        <w:t>we</w:t>
      </w:r>
      <w:r>
        <w:rPr>
          <w:spacing w:val="-4"/>
        </w:rPr>
        <w:t xml:space="preserve"> </w:t>
      </w:r>
      <w:r>
        <w:t>end</w:t>
      </w:r>
      <w:r>
        <w:rPr>
          <w:spacing w:val="-3"/>
        </w:rPr>
        <w:t xml:space="preserve"> </w:t>
      </w:r>
      <w:r>
        <w:t>up</w:t>
      </w:r>
      <w:r>
        <w:rPr>
          <w:spacing w:val="-3"/>
        </w:rPr>
        <w:t xml:space="preserve"> </w:t>
      </w:r>
      <w:r>
        <w:t>assigning</w:t>
      </w:r>
      <w:r>
        <w:rPr>
          <w:spacing w:val="-3"/>
        </w:rPr>
        <w:t xml:space="preserve"> </w:t>
      </w:r>
      <w:r>
        <w:t>to</w:t>
      </w:r>
      <w:r>
        <w:rPr>
          <w:spacing w:val="-3"/>
        </w:rPr>
        <w:t xml:space="preserve"> </w:t>
      </w:r>
      <w:r>
        <w:t>those</w:t>
      </w:r>
      <w:r>
        <w:rPr>
          <w:spacing w:val="-4"/>
        </w:rPr>
        <w:t xml:space="preserve"> </w:t>
      </w:r>
      <w:r>
        <w:t>words,</w:t>
      </w:r>
      <w:r>
        <w:rPr>
          <w:spacing w:val="-3"/>
        </w:rPr>
        <w:t xml:space="preserve"> </w:t>
      </w:r>
      <w:r>
        <w:t>it’s</w:t>
      </w:r>
      <w:r>
        <w:rPr>
          <w:spacing w:val="-4"/>
        </w:rPr>
        <w:t xml:space="preserve"> </w:t>
      </w:r>
      <w:r>
        <w:t>not</w:t>
      </w:r>
      <w:r>
        <w:rPr>
          <w:spacing w:val="-4"/>
        </w:rPr>
        <w:t xml:space="preserve"> </w:t>
      </w:r>
      <w:r>
        <w:t xml:space="preserve">up to us whether that meaning is correct. And if, as is actually the case, that meaning is of a logical nature, there is </w:t>
      </w:r>
      <w:r>
        <w:rPr>
          <w:i/>
        </w:rPr>
        <w:t>ipso facto</w:t>
      </w:r>
      <w:r>
        <w:rPr>
          <w:i/>
          <w:spacing w:val="40"/>
        </w:rPr>
        <w:t xml:space="preserve"> </w:t>
      </w:r>
      <w:r>
        <w:t>non-empirical truth, an immediate consequence being that LP is wrong.</w:t>
      </w:r>
    </w:p>
    <w:p w14:paraId="7E00081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1A" w14:textId="77777777" w:rsidR="009A58DB" w:rsidRDefault="00000000">
      <w:pPr>
        <w:pStyle w:val="BodyText"/>
        <w:spacing w:before="65" w:line="252" w:lineRule="auto"/>
        <w:ind w:right="363" w:firstLine="360"/>
      </w:pPr>
      <w:r>
        <w:lastRenderedPageBreak/>
        <w:t>Carnap’s attempt to do away with meanings consisted in his saying (though he did not himself put it this starkly) that the meaning of the word “snow” was that very word, i.e., that words were their own meanings</w:t>
      </w:r>
      <w:bookmarkStart w:id="66" w:name="_bookmark66"/>
      <w:bookmarkEnd w:id="66"/>
      <w:r>
        <w:t>.</w:t>
      </w:r>
      <w:r>
        <w:rPr>
          <w:color w:val="0562C1"/>
          <w:position w:val="10"/>
          <w:u w:val="single" w:color="0562C1"/>
        </w:rPr>
        <w:t>64</w:t>
      </w:r>
      <w:r>
        <w:rPr>
          <w:color w:val="0562C1"/>
          <w:position w:val="10"/>
        </w:rPr>
        <w:t xml:space="preserve"> </w:t>
      </w:r>
      <w:r>
        <w:t>Given how brazenly wrong this view is, Carnap’s attempt to do away with meanings never had many takers.</w:t>
      </w:r>
    </w:p>
    <w:p w14:paraId="7E00081B" w14:textId="77777777" w:rsidR="009A58DB" w:rsidRDefault="00000000">
      <w:pPr>
        <w:pStyle w:val="BodyText"/>
        <w:spacing w:line="252" w:lineRule="auto"/>
        <w:ind w:right="357" w:firstLine="360"/>
        <w:rPr>
          <w:position w:val="10"/>
        </w:rPr>
      </w:pPr>
      <w:r>
        <w:t>A much better received attempt to do away with meanings is to be found</w:t>
      </w:r>
      <w:r>
        <w:rPr>
          <w:spacing w:val="40"/>
        </w:rPr>
        <w:t xml:space="preserve"> </w:t>
      </w:r>
      <w:r>
        <w:t xml:space="preserve">in a doctrine known as </w:t>
      </w:r>
      <w:r>
        <w:rPr>
          <w:b/>
          <w:i/>
        </w:rPr>
        <w:t xml:space="preserve">conceptual role semantics </w:t>
      </w:r>
      <w:r>
        <w:t xml:space="preserve">(CRS). According to CRS, two sentences have the same meaning if, and only if, they are </w:t>
      </w:r>
      <w:r>
        <w:rPr>
          <w:i/>
        </w:rPr>
        <w:t xml:space="preserve">used </w:t>
      </w:r>
      <w:r>
        <w:t xml:space="preserve">in the same way. So “hace mucho calor” is the Spanish translation of “it’s hot” </w:t>
      </w:r>
      <w:r>
        <w:rPr>
          <w:i/>
        </w:rPr>
        <w:t xml:space="preserve">not because </w:t>
      </w:r>
      <w:r>
        <w:t>those sentences share a meaning—meanings don’t exist, according</w:t>
      </w:r>
      <w:r>
        <w:rPr>
          <w:spacing w:val="40"/>
        </w:rPr>
        <w:t xml:space="preserve"> </w:t>
      </w:r>
      <w:r>
        <w:t>to CRS—but because the one sentence is used in the same way as the</w:t>
      </w:r>
      <w:r>
        <w:rPr>
          <w:spacing w:val="40"/>
        </w:rPr>
        <w:t xml:space="preserve"> </w:t>
      </w:r>
      <w:r>
        <w:rPr>
          <w:spacing w:val="-2"/>
        </w:rPr>
        <w:t>other.</w:t>
      </w:r>
      <w:bookmarkStart w:id="67" w:name="_bookmark67"/>
      <w:bookmarkEnd w:id="67"/>
      <w:r>
        <w:rPr>
          <w:color w:val="0562C1"/>
          <w:spacing w:val="-2"/>
          <w:position w:val="10"/>
          <w:u w:val="single" w:color="0562C1"/>
        </w:rPr>
        <w:t>65</w:t>
      </w:r>
    </w:p>
    <w:p w14:paraId="7E00081C" w14:textId="77777777" w:rsidR="009A58DB" w:rsidRDefault="00000000">
      <w:pPr>
        <w:pStyle w:val="BodyText"/>
        <w:spacing w:line="249" w:lineRule="auto"/>
        <w:ind w:right="364" w:firstLine="360"/>
      </w:pPr>
      <w:r>
        <w:t>CRS</w:t>
      </w:r>
      <w:r>
        <w:rPr>
          <w:spacing w:val="-5"/>
        </w:rPr>
        <w:t xml:space="preserve"> </w:t>
      </w:r>
      <w:r>
        <w:t>seems</w:t>
      </w:r>
      <w:r>
        <w:rPr>
          <w:spacing w:val="-5"/>
        </w:rPr>
        <w:t xml:space="preserve"> </w:t>
      </w:r>
      <w:r>
        <w:t>to</w:t>
      </w:r>
      <w:r>
        <w:rPr>
          <w:spacing w:val="-4"/>
        </w:rPr>
        <w:t xml:space="preserve"> </w:t>
      </w:r>
      <w:r>
        <w:t>coincide</w:t>
      </w:r>
      <w:r>
        <w:rPr>
          <w:spacing w:val="-5"/>
        </w:rPr>
        <w:t xml:space="preserve"> </w:t>
      </w:r>
      <w:r>
        <w:t>with</w:t>
      </w:r>
      <w:r>
        <w:rPr>
          <w:spacing w:val="-4"/>
        </w:rPr>
        <w:t xml:space="preserve"> </w:t>
      </w:r>
      <w:r>
        <w:t>the</w:t>
      </w:r>
      <w:r>
        <w:rPr>
          <w:spacing w:val="-5"/>
        </w:rPr>
        <w:t xml:space="preserve"> </w:t>
      </w:r>
      <w:r>
        <w:t>Wittgenstein-Grice</w:t>
      </w:r>
      <w:r>
        <w:rPr>
          <w:spacing w:val="-5"/>
        </w:rPr>
        <w:t xml:space="preserve"> </w:t>
      </w:r>
      <w:r>
        <w:t>thesis</w:t>
      </w:r>
      <w:r>
        <w:rPr>
          <w:spacing w:val="-5"/>
        </w:rPr>
        <w:t xml:space="preserve"> </w:t>
      </w:r>
      <w:r>
        <w:t>that</w:t>
      </w:r>
      <w:r>
        <w:rPr>
          <w:spacing w:val="-5"/>
        </w:rPr>
        <w:t xml:space="preserve"> </w:t>
      </w:r>
      <w:r>
        <w:t>“meaning</w:t>
      </w:r>
      <w:r>
        <w:rPr>
          <w:spacing w:val="-4"/>
        </w:rPr>
        <w:t xml:space="preserve"> </w:t>
      </w:r>
      <w:r>
        <w:t>is use.” It’s thus a mystery why CRS is so popular, given that Grice’s</w:t>
      </w:r>
      <w:r>
        <w:rPr>
          <w:spacing w:val="40"/>
        </w:rPr>
        <w:t xml:space="preserve"> </w:t>
      </w:r>
      <w:r>
        <w:t>coincident position was universally rejected long ago.</w:t>
      </w:r>
    </w:p>
    <w:p w14:paraId="7E00081D" w14:textId="77777777" w:rsidR="009A58DB" w:rsidRDefault="00000000">
      <w:pPr>
        <w:pStyle w:val="BodyText"/>
        <w:spacing w:line="249" w:lineRule="auto"/>
        <w:ind w:right="360" w:firstLine="360"/>
      </w:pPr>
      <w:r>
        <w:t>In any case, CRS is indefensible. So far as she isn’t misspeaking or randomly barking out noises, anyone who says “it’s hot out” or “hace much calor,” or any other sentence, does so because she knows that existing semantic rules assign a certain proposition to those words and she wishes to put that proposition into words.</w:t>
      </w:r>
    </w:p>
    <w:p w14:paraId="7E00081E" w14:textId="77777777" w:rsidR="009A58DB" w:rsidRDefault="00000000">
      <w:pPr>
        <w:pStyle w:val="BodyText"/>
        <w:spacing w:line="249" w:lineRule="auto"/>
        <w:ind w:right="368" w:firstLine="360"/>
      </w:pPr>
      <w:r>
        <w:t xml:space="preserve">One immediate consequence of this is that Carnap’s position is false. Another immediate consequence is that what it is for those two sentences to have the same meaning is </w:t>
      </w:r>
      <w:r>
        <w:rPr>
          <w:i/>
        </w:rPr>
        <w:t xml:space="preserve">not </w:t>
      </w:r>
      <w:r>
        <w:t>for them to be “used in the same way.”</w:t>
      </w:r>
    </w:p>
    <w:p w14:paraId="7E00081F" w14:textId="77777777" w:rsidR="009A58DB" w:rsidRDefault="00000000">
      <w:pPr>
        <w:pStyle w:val="BodyText"/>
        <w:spacing w:line="249" w:lineRule="auto"/>
        <w:ind w:right="358" w:firstLine="360"/>
      </w:pPr>
      <w:r>
        <w:t>Also, given any natural language, there are infinitely many sentences belonging to it that have never been used. The thesis that sentences have the same meaning iff they’re used in the same way has the absurd consequence that any two sentences that haven’t been used before have the same meaning. (If two sentences aren’t used at all, they aren’t used differently, and are therefore used in the same way, if only in a vacuous sense.)</w:t>
      </w:r>
    </w:p>
    <w:p w14:paraId="7E000820" w14:textId="77777777" w:rsidR="009A58DB" w:rsidRDefault="00000000">
      <w:pPr>
        <w:pStyle w:val="Heading1"/>
        <w:numPr>
          <w:ilvl w:val="1"/>
          <w:numId w:val="224"/>
        </w:numPr>
        <w:tabs>
          <w:tab w:val="left" w:pos="990"/>
        </w:tabs>
        <w:spacing w:before="192"/>
      </w:pPr>
      <w:r>
        <w:t>Logical</w:t>
      </w:r>
      <w:r>
        <w:rPr>
          <w:spacing w:val="-8"/>
        </w:rPr>
        <w:t xml:space="preserve"> </w:t>
      </w:r>
      <w:r>
        <w:t>Positivism</w:t>
      </w:r>
      <w:r>
        <w:rPr>
          <w:spacing w:val="-6"/>
        </w:rPr>
        <w:t xml:space="preserve"> </w:t>
      </w:r>
      <w:r>
        <w:t>Evaluated</w:t>
      </w:r>
      <w:r>
        <w:rPr>
          <w:spacing w:val="-6"/>
        </w:rPr>
        <w:t xml:space="preserve"> </w:t>
      </w:r>
      <w:r>
        <w:rPr>
          <w:spacing w:val="-2"/>
        </w:rPr>
        <w:t>(continued)</w:t>
      </w:r>
    </w:p>
    <w:p w14:paraId="7E000821" w14:textId="77777777" w:rsidR="009A58DB" w:rsidRDefault="00000000">
      <w:pPr>
        <w:pStyle w:val="BodyText"/>
        <w:spacing w:before="139" w:line="249" w:lineRule="auto"/>
        <w:ind w:right="359"/>
      </w:pPr>
      <w:r>
        <w:t>Let’s resume our discussion of Logical Positivism (LP). We’ve seen that, contrary to what LP says, there are non-empirical truths that have nothing to do</w:t>
      </w:r>
      <w:r>
        <w:rPr>
          <w:spacing w:val="-3"/>
        </w:rPr>
        <w:t xml:space="preserve"> </w:t>
      </w:r>
      <w:r>
        <w:t>with</w:t>
      </w:r>
      <w:r>
        <w:rPr>
          <w:spacing w:val="-3"/>
        </w:rPr>
        <w:t xml:space="preserve"> </w:t>
      </w:r>
      <w:r>
        <w:t>anyone’s</w:t>
      </w:r>
      <w:r>
        <w:rPr>
          <w:spacing w:val="-3"/>
        </w:rPr>
        <w:t xml:space="preserve"> </w:t>
      </w:r>
      <w:r>
        <w:t>linguistic</w:t>
      </w:r>
      <w:r>
        <w:rPr>
          <w:spacing w:val="-3"/>
        </w:rPr>
        <w:t xml:space="preserve"> </w:t>
      </w:r>
      <w:r>
        <w:t>practices.</w:t>
      </w:r>
      <w:r>
        <w:rPr>
          <w:spacing w:val="-3"/>
        </w:rPr>
        <w:t xml:space="preserve"> </w:t>
      </w:r>
      <w:r>
        <w:t>We’ll</w:t>
      </w:r>
      <w:r>
        <w:rPr>
          <w:spacing w:val="-3"/>
        </w:rPr>
        <w:t xml:space="preserve"> </w:t>
      </w:r>
      <w:r>
        <w:t>now</w:t>
      </w:r>
      <w:r>
        <w:rPr>
          <w:spacing w:val="-3"/>
        </w:rPr>
        <w:t xml:space="preserve"> </w:t>
      </w:r>
      <w:r>
        <w:t>see</w:t>
      </w:r>
      <w:r>
        <w:rPr>
          <w:spacing w:val="-3"/>
        </w:rPr>
        <w:t xml:space="preserve"> </w:t>
      </w:r>
      <w:r>
        <w:t>that,</w:t>
      </w:r>
      <w:r>
        <w:rPr>
          <w:spacing w:val="-3"/>
        </w:rPr>
        <w:t xml:space="preserve"> </w:t>
      </w:r>
      <w:r>
        <w:t>contrary</w:t>
      </w:r>
      <w:r>
        <w:rPr>
          <w:spacing w:val="-3"/>
        </w:rPr>
        <w:t xml:space="preserve"> </w:t>
      </w:r>
      <w:r>
        <w:t>to</w:t>
      </w:r>
      <w:r>
        <w:rPr>
          <w:spacing w:val="-3"/>
        </w:rPr>
        <w:t xml:space="preserve"> </w:t>
      </w:r>
      <w:r>
        <w:t>what</w:t>
      </w:r>
      <w:r>
        <w:rPr>
          <w:spacing w:val="-3"/>
        </w:rPr>
        <w:t xml:space="preserve"> </w:t>
      </w:r>
      <w:r>
        <w:t>LP says,</w:t>
      </w:r>
      <w:r>
        <w:rPr>
          <w:spacing w:val="29"/>
        </w:rPr>
        <w:t xml:space="preserve"> </w:t>
      </w:r>
      <w:r>
        <w:t>there</w:t>
      </w:r>
      <w:r>
        <w:rPr>
          <w:spacing w:val="29"/>
        </w:rPr>
        <w:t xml:space="preserve"> </w:t>
      </w:r>
      <w:r>
        <w:t>are</w:t>
      </w:r>
      <w:r>
        <w:rPr>
          <w:spacing w:val="29"/>
        </w:rPr>
        <w:t xml:space="preserve"> </w:t>
      </w:r>
      <w:r>
        <w:t>facts</w:t>
      </w:r>
      <w:r>
        <w:rPr>
          <w:spacing w:val="29"/>
        </w:rPr>
        <w:t xml:space="preserve"> </w:t>
      </w:r>
      <w:r>
        <w:t>about</w:t>
      </w:r>
      <w:r>
        <w:rPr>
          <w:spacing w:val="29"/>
        </w:rPr>
        <w:t xml:space="preserve"> </w:t>
      </w:r>
      <w:r>
        <w:t>the</w:t>
      </w:r>
      <w:r>
        <w:rPr>
          <w:spacing w:val="29"/>
        </w:rPr>
        <w:t xml:space="preserve"> </w:t>
      </w:r>
      <w:r>
        <w:t>spatiotemporal</w:t>
      </w:r>
      <w:r>
        <w:rPr>
          <w:spacing w:val="29"/>
        </w:rPr>
        <w:t xml:space="preserve"> </w:t>
      </w:r>
      <w:r>
        <w:t>world</w:t>
      </w:r>
      <w:r>
        <w:rPr>
          <w:spacing w:val="29"/>
        </w:rPr>
        <w:t xml:space="preserve"> </w:t>
      </w:r>
      <w:r>
        <w:t>that</w:t>
      </w:r>
      <w:r>
        <w:rPr>
          <w:spacing w:val="29"/>
        </w:rPr>
        <w:t xml:space="preserve"> </w:t>
      </w:r>
      <w:r>
        <w:t>cannot</w:t>
      </w:r>
      <w:r>
        <w:rPr>
          <w:spacing w:val="29"/>
        </w:rPr>
        <w:t xml:space="preserve"> </w:t>
      </w:r>
      <w:r>
        <w:t>possibly</w:t>
      </w:r>
      <w:r>
        <w:rPr>
          <w:spacing w:val="29"/>
        </w:rPr>
        <w:t xml:space="preserve"> </w:t>
      </w:r>
      <w:r>
        <w:t>be</w:t>
      </w:r>
    </w:p>
    <w:p w14:paraId="7E00082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23" w14:textId="77777777" w:rsidR="009A58DB" w:rsidRDefault="00000000">
      <w:pPr>
        <w:pStyle w:val="BodyText"/>
        <w:spacing w:before="60"/>
      </w:pPr>
      <w:r>
        <w:lastRenderedPageBreak/>
        <w:t>known</w:t>
      </w:r>
      <w:r>
        <w:rPr>
          <w:spacing w:val="-3"/>
        </w:rPr>
        <w:t xml:space="preserve"> </w:t>
      </w:r>
      <w:r>
        <w:t>strictly</w:t>
      </w:r>
      <w:r>
        <w:rPr>
          <w:spacing w:val="-3"/>
        </w:rPr>
        <w:t xml:space="preserve"> </w:t>
      </w:r>
      <w:r>
        <w:t>on</w:t>
      </w:r>
      <w:r>
        <w:rPr>
          <w:spacing w:val="-3"/>
        </w:rPr>
        <w:t xml:space="preserve"> </w:t>
      </w:r>
      <w:r>
        <w:t>the</w:t>
      </w:r>
      <w:r>
        <w:rPr>
          <w:spacing w:val="-4"/>
        </w:rPr>
        <w:t xml:space="preserve"> </w:t>
      </w:r>
      <w:r>
        <w:t>basis</w:t>
      </w:r>
      <w:r>
        <w:rPr>
          <w:spacing w:val="-4"/>
        </w:rPr>
        <w:t xml:space="preserve"> </w:t>
      </w:r>
      <w:r>
        <w:t>of</w:t>
      </w:r>
      <w:r>
        <w:rPr>
          <w:spacing w:val="-3"/>
        </w:rPr>
        <w:t xml:space="preserve"> </w:t>
      </w:r>
      <w:r>
        <w:t>sense-</w:t>
      </w:r>
      <w:r>
        <w:rPr>
          <w:spacing w:val="-2"/>
        </w:rPr>
        <w:t>perception.</w:t>
      </w:r>
    </w:p>
    <w:p w14:paraId="7E000824" w14:textId="77777777" w:rsidR="009A58DB" w:rsidRDefault="00000000">
      <w:pPr>
        <w:pStyle w:val="BodyText"/>
        <w:spacing w:before="25" w:line="252" w:lineRule="auto"/>
        <w:ind w:right="360" w:firstLine="360"/>
      </w:pPr>
      <w:r>
        <w:t>Let NT be the body of assertions jointly constituting Newton’s physics</w:t>
      </w:r>
      <w:bookmarkStart w:id="68" w:name="_bookmark68"/>
      <w:bookmarkEnd w:id="68"/>
      <w:r>
        <w:t>.</w:t>
      </w:r>
      <w:r>
        <w:rPr>
          <w:color w:val="0562C1"/>
          <w:position w:val="10"/>
          <w:u w:val="single" w:color="0562C1"/>
        </w:rPr>
        <w:t>66</w:t>
      </w:r>
      <w:r>
        <w:rPr>
          <w:color w:val="0562C1"/>
          <w:position w:val="10"/>
        </w:rPr>
        <w:t xml:space="preserve"> </w:t>
      </w:r>
      <w:r>
        <w:t xml:space="preserve">There is no denying that NT is meaningful. But </w:t>
      </w:r>
      <w:r>
        <w:rPr>
          <w:i/>
        </w:rPr>
        <w:t xml:space="preserve">by itself </w:t>
      </w:r>
      <w:r>
        <w:t>NT doesn’t make</w:t>
      </w:r>
      <w:r>
        <w:rPr>
          <w:spacing w:val="40"/>
        </w:rPr>
        <w:t xml:space="preserve"> </w:t>
      </w:r>
      <w:r>
        <w:t>any predictions or otherwise have observable consequences. Physical laws</w:t>
      </w:r>
      <w:r>
        <w:rPr>
          <w:spacing w:val="40"/>
        </w:rPr>
        <w:t xml:space="preserve"> </w:t>
      </w:r>
      <w:r>
        <w:t>are</w:t>
      </w:r>
      <w:r>
        <w:rPr>
          <w:spacing w:val="-5"/>
        </w:rPr>
        <w:t xml:space="preserve"> </w:t>
      </w:r>
      <w:r>
        <w:t>expressed</w:t>
      </w:r>
      <w:r>
        <w:rPr>
          <w:spacing w:val="-4"/>
        </w:rPr>
        <w:t xml:space="preserve"> </w:t>
      </w:r>
      <w:r>
        <w:t>by</w:t>
      </w:r>
      <w:r>
        <w:rPr>
          <w:spacing w:val="-4"/>
        </w:rPr>
        <w:t xml:space="preserve"> </w:t>
      </w:r>
      <w:r>
        <w:rPr>
          <w:b/>
          <w:i/>
        </w:rPr>
        <w:t>conditional</w:t>
      </w:r>
      <w:r>
        <w:rPr>
          <w:b/>
          <w:i/>
          <w:spacing w:val="-5"/>
        </w:rPr>
        <w:t xml:space="preserve"> </w:t>
      </w:r>
      <w:r>
        <w:t>assertions—that is, by statements of the form ‹if P, then Q.</w:t>
      </w:r>
      <w:bookmarkStart w:id="69" w:name="_bookmark69"/>
      <w:bookmarkEnd w:id="69"/>
      <w:r>
        <w:t>›</w:t>
      </w:r>
      <w:r>
        <w:rPr>
          <w:color w:val="0562C1"/>
          <w:position w:val="10"/>
          <w:u w:val="single" w:color="0562C1"/>
        </w:rPr>
        <w:t>67</w:t>
      </w:r>
      <w:r>
        <w:rPr>
          <w:color w:val="0562C1"/>
          <w:position w:val="10"/>
        </w:rPr>
        <w:t xml:space="preserve"> </w:t>
      </w:r>
      <w:r>
        <w:t xml:space="preserve">NT doesn’t say anything about how this or that physical object will behave. It says how a given object will behave </w:t>
      </w:r>
      <w:r>
        <w:rPr>
          <w:i/>
        </w:rPr>
        <w:t xml:space="preserve">if </w:t>
      </w:r>
      <w:r>
        <w:t xml:space="preserve">certain conditions are met. NT says, for example, how an object will behave </w:t>
      </w:r>
      <w:r>
        <w:rPr>
          <w:i/>
        </w:rPr>
        <w:t>if</w:t>
      </w:r>
      <w:r>
        <w:rPr>
          <w:i/>
          <w:spacing w:val="-3"/>
        </w:rPr>
        <w:t xml:space="preserve"> </w:t>
      </w:r>
      <w:r>
        <w:t>it has a certain mass and is within a certain distance of another body having a certain mass.</w:t>
      </w:r>
      <w:bookmarkStart w:id="70" w:name="_bookmark70"/>
      <w:bookmarkEnd w:id="70"/>
      <w:r>
        <w:rPr>
          <w:color w:val="0562C1"/>
          <w:position w:val="10"/>
          <w:u w:val="single" w:color="0562C1"/>
        </w:rPr>
        <w:t>68</w:t>
      </w:r>
      <w:r>
        <w:rPr>
          <w:color w:val="0562C1"/>
          <w:spacing w:val="-2"/>
          <w:position w:val="10"/>
        </w:rPr>
        <w:t xml:space="preserve"> </w:t>
      </w:r>
      <w:r>
        <w:t xml:space="preserve">But NT itself obviously doesn’t say that this or that object has this or that mass or is within this or that distance of this or that other specific body. Thus, </w:t>
      </w:r>
      <w:r>
        <w:rPr>
          <w:i/>
        </w:rPr>
        <w:t xml:space="preserve">taken by itself, </w:t>
      </w:r>
      <w:r>
        <w:t xml:space="preserve">NT isn’t confirmable. What </w:t>
      </w:r>
      <w:r>
        <w:rPr>
          <w:i/>
        </w:rPr>
        <w:t xml:space="preserve">is </w:t>
      </w:r>
      <w:r>
        <w:t xml:space="preserve">confirmable isn’t NT, but NT </w:t>
      </w:r>
      <w:r>
        <w:rPr>
          <w:i/>
        </w:rPr>
        <w:t xml:space="preserve">plus </w:t>
      </w:r>
      <w:r>
        <w:t>statements describing specific matters of fact. What is confirmable isn’t NT, but some statement of the form t ‹given such and such, NT makes it likely that thus and such.›</w:t>
      </w:r>
    </w:p>
    <w:p w14:paraId="7E000825" w14:textId="77777777" w:rsidR="009A58DB" w:rsidRDefault="00000000">
      <w:pPr>
        <w:pStyle w:val="BodyText"/>
        <w:spacing w:line="324" w:lineRule="exact"/>
        <w:ind w:left="720"/>
      </w:pPr>
      <w:r>
        <w:t>But</w:t>
      </w:r>
      <w:r>
        <w:rPr>
          <w:spacing w:val="-2"/>
        </w:rPr>
        <w:t xml:space="preserve"> </w:t>
      </w:r>
      <w:r>
        <w:t>NT</w:t>
      </w:r>
      <w:r>
        <w:rPr>
          <w:spacing w:val="1"/>
        </w:rPr>
        <w:t xml:space="preserve"> </w:t>
      </w:r>
      <w:r>
        <w:t>is</w:t>
      </w:r>
      <w:r>
        <w:rPr>
          <w:spacing w:val="1"/>
        </w:rPr>
        <w:t xml:space="preserve"> </w:t>
      </w:r>
      <w:r>
        <w:t>obviously</w:t>
      </w:r>
      <w:r>
        <w:rPr>
          <w:spacing w:val="1"/>
        </w:rPr>
        <w:t xml:space="preserve"> </w:t>
      </w:r>
      <w:r>
        <w:t>meaningful.</w:t>
      </w:r>
      <w:r>
        <w:rPr>
          <w:spacing w:val="1"/>
        </w:rPr>
        <w:t xml:space="preserve"> </w:t>
      </w:r>
      <w:r>
        <w:t>This</w:t>
      </w:r>
      <w:r>
        <w:rPr>
          <w:spacing w:val="1"/>
        </w:rPr>
        <w:t xml:space="preserve"> </w:t>
      </w:r>
      <w:r>
        <w:t>is</w:t>
      </w:r>
      <w:r>
        <w:rPr>
          <w:spacing w:val="1"/>
        </w:rPr>
        <w:t xml:space="preserve"> </w:t>
      </w:r>
      <w:r>
        <w:t>a</w:t>
      </w:r>
      <w:r>
        <w:rPr>
          <w:spacing w:val="1"/>
        </w:rPr>
        <w:t xml:space="preserve"> </w:t>
      </w:r>
      <w:r>
        <w:t>problem</w:t>
      </w:r>
      <w:r>
        <w:rPr>
          <w:spacing w:val="1"/>
        </w:rPr>
        <w:t xml:space="preserve"> </w:t>
      </w:r>
      <w:r>
        <w:t>for</w:t>
      </w:r>
      <w:r>
        <w:rPr>
          <w:spacing w:val="1"/>
        </w:rPr>
        <w:t xml:space="preserve"> </w:t>
      </w:r>
      <w:r>
        <w:t>LP.</w:t>
      </w:r>
      <w:r>
        <w:rPr>
          <w:spacing w:val="1"/>
        </w:rPr>
        <w:t xml:space="preserve"> </w:t>
      </w:r>
      <w:r>
        <w:t>To</w:t>
      </w:r>
      <w:r>
        <w:rPr>
          <w:spacing w:val="1"/>
        </w:rPr>
        <w:t xml:space="preserve"> </w:t>
      </w:r>
      <w:r>
        <w:t>deal</w:t>
      </w:r>
      <w:r>
        <w:rPr>
          <w:spacing w:val="1"/>
        </w:rPr>
        <w:t xml:space="preserve"> </w:t>
      </w:r>
      <w:r>
        <w:t>with</w:t>
      </w:r>
      <w:r>
        <w:rPr>
          <w:spacing w:val="2"/>
        </w:rPr>
        <w:t xml:space="preserve"> </w:t>
      </w:r>
      <w:r>
        <w:rPr>
          <w:spacing w:val="-5"/>
        </w:rPr>
        <w:t>it,</w:t>
      </w:r>
    </w:p>
    <w:p w14:paraId="7E000826" w14:textId="77777777" w:rsidR="009A58DB" w:rsidRDefault="00000000">
      <w:pPr>
        <w:pStyle w:val="BodyText"/>
        <w:spacing w:before="15" w:line="271" w:lineRule="auto"/>
        <w:ind w:right="364"/>
      </w:pPr>
      <w:r>
        <w:t>advocates of that doctrine proposed that (ii) be replaced with the position that (ii*) a statement S</w:t>
      </w:r>
      <w:r>
        <w:rPr>
          <w:vertAlign w:val="subscript"/>
        </w:rPr>
        <w:t>1</w:t>
      </w:r>
      <w:r>
        <w:t xml:space="preserve"> is meaningful if there is some statement S</w:t>
      </w:r>
      <w:r>
        <w:rPr>
          <w:vertAlign w:val="subscript"/>
        </w:rPr>
        <w:t>2</w:t>
      </w:r>
      <w:r>
        <w:t xml:space="preserve">, such that </w:t>
      </w:r>
      <w:r>
        <w:rPr>
          <w:i/>
        </w:rPr>
        <w:t xml:space="preserve">given </w:t>
      </w:r>
      <w:r>
        <w:t>S</w:t>
      </w:r>
      <w:r>
        <w:rPr>
          <w:vertAlign w:val="subscript"/>
        </w:rPr>
        <w:t>2</w:t>
      </w:r>
      <w:r>
        <w:t>, S</w:t>
      </w:r>
      <w:r>
        <w:rPr>
          <w:vertAlign w:val="subscript"/>
        </w:rPr>
        <w:t>1</w:t>
      </w:r>
      <w:r>
        <w:t xml:space="preserve"> is confirmable (i.e., capable of being supported by observation).</w:t>
      </w:r>
    </w:p>
    <w:p w14:paraId="7E000827" w14:textId="77777777" w:rsidR="009A58DB" w:rsidRDefault="00000000">
      <w:pPr>
        <w:pStyle w:val="BodyText"/>
        <w:spacing w:before="30" w:line="249" w:lineRule="auto"/>
        <w:ind w:right="360" w:firstLine="360"/>
      </w:pPr>
      <w:r>
        <w:t>By this standard, “the nothing nothings” qualifies as meaningful and so does every other nonsense sentence one can think of. Given the statement “if grass is green, then the nothing nothings,” anything that confirms “grass is green” confirms “the nothing nothings,” and “the nothing nothings” thus qualifies as meaningful.</w:t>
      </w:r>
    </w:p>
    <w:p w14:paraId="7E000828" w14:textId="77777777" w:rsidR="009A58DB" w:rsidRDefault="00000000">
      <w:pPr>
        <w:pStyle w:val="BodyText"/>
        <w:spacing w:before="6" w:line="254" w:lineRule="auto"/>
        <w:ind w:right="367" w:firstLine="360"/>
        <w:rPr>
          <w:position w:val="10"/>
        </w:rPr>
      </w:pPr>
      <w:r>
        <w:t>LP replaced (ii*) with other, similar proposals. But they all ended failing for reasons similar to the one just discussed.</w:t>
      </w:r>
      <w:bookmarkStart w:id="71" w:name="_bookmark71"/>
      <w:bookmarkEnd w:id="71"/>
      <w:r>
        <w:rPr>
          <w:color w:val="0562C1"/>
          <w:position w:val="10"/>
          <w:u w:val="single" w:color="0562C1"/>
        </w:rPr>
        <w:t>69</w:t>
      </w:r>
    </w:p>
    <w:p w14:paraId="7E000829" w14:textId="77777777" w:rsidR="009A58DB" w:rsidRDefault="00000000">
      <w:pPr>
        <w:pStyle w:val="Heading1"/>
        <w:numPr>
          <w:ilvl w:val="1"/>
          <w:numId w:val="224"/>
        </w:numPr>
        <w:tabs>
          <w:tab w:val="left" w:pos="990"/>
        </w:tabs>
        <w:spacing w:before="182"/>
      </w:pPr>
      <w:r>
        <w:t>LP</w:t>
      </w:r>
      <w:r>
        <w:rPr>
          <w:spacing w:val="-7"/>
        </w:rPr>
        <w:t xml:space="preserve"> </w:t>
      </w:r>
      <w:r>
        <w:t>self-</w:t>
      </w:r>
      <w:r>
        <w:rPr>
          <w:spacing w:val="-2"/>
        </w:rPr>
        <w:t>defeating</w:t>
      </w:r>
    </w:p>
    <w:p w14:paraId="7E00082A" w14:textId="77777777" w:rsidR="009A58DB" w:rsidRDefault="00000000">
      <w:pPr>
        <w:pStyle w:val="BodyText"/>
        <w:spacing w:before="139" w:line="249" w:lineRule="auto"/>
        <w:ind w:right="360"/>
      </w:pPr>
      <w:r>
        <w:t>For</w:t>
      </w:r>
      <w:r>
        <w:rPr>
          <w:spacing w:val="-19"/>
        </w:rPr>
        <w:t xml:space="preserve"> </w:t>
      </w:r>
      <w:r>
        <w:t>the</w:t>
      </w:r>
      <w:r>
        <w:rPr>
          <w:spacing w:val="-19"/>
        </w:rPr>
        <w:t xml:space="preserve"> </w:t>
      </w:r>
      <w:r>
        <w:t>reasons</w:t>
      </w:r>
      <w:r>
        <w:rPr>
          <w:spacing w:val="-17"/>
        </w:rPr>
        <w:t xml:space="preserve"> </w:t>
      </w:r>
      <w:r>
        <w:t>just</w:t>
      </w:r>
      <w:r>
        <w:rPr>
          <w:spacing w:val="-17"/>
        </w:rPr>
        <w:t xml:space="preserve"> </w:t>
      </w:r>
      <w:r>
        <w:t>given,</w:t>
      </w:r>
      <w:r>
        <w:rPr>
          <w:spacing w:val="-17"/>
        </w:rPr>
        <w:t xml:space="preserve"> </w:t>
      </w:r>
      <w:r>
        <w:t>it</w:t>
      </w:r>
      <w:r>
        <w:rPr>
          <w:spacing w:val="-17"/>
        </w:rPr>
        <w:t xml:space="preserve"> </w:t>
      </w:r>
      <w:r>
        <w:t>soon</w:t>
      </w:r>
      <w:r>
        <w:rPr>
          <w:spacing w:val="-17"/>
        </w:rPr>
        <w:t xml:space="preserve"> </w:t>
      </w:r>
      <w:r>
        <w:t>became</w:t>
      </w:r>
      <w:r>
        <w:rPr>
          <w:spacing w:val="-17"/>
        </w:rPr>
        <w:t xml:space="preserve"> </w:t>
      </w:r>
      <w:r>
        <w:t>clear</w:t>
      </w:r>
      <w:r>
        <w:rPr>
          <w:spacing w:val="-17"/>
        </w:rPr>
        <w:t xml:space="preserve"> </w:t>
      </w:r>
      <w:r>
        <w:t>that</w:t>
      </w:r>
      <w:r>
        <w:rPr>
          <w:spacing w:val="-17"/>
        </w:rPr>
        <w:t xml:space="preserve"> </w:t>
      </w:r>
      <w:r>
        <w:t>LP</w:t>
      </w:r>
      <w:r>
        <w:rPr>
          <w:spacing w:val="-19"/>
        </w:rPr>
        <w:t xml:space="preserve"> </w:t>
      </w:r>
      <w:r>
        <w:t>was</w:t>
      </w:r>
      <w:r>
        <w:rPr>
          <w:spacing w:val="-16"/>
        </w:rPr>
        <w:t xml:space="preserve"> </w:t>
      </w:r>
      <w:r>
        <w:t>unsalvageable,</w:t>
      </w:r>
      <w:r>
        <w:rPr>
          <w:spacing w:val="-17"/>
        </w:rPr>
        <w:t xml:space="preserve"> </w:t>
      </w:r>
      <w:r>
        <w:t>and soon everybody jumped ship. In fact, it was some of LP’s most staunch proponents</w:t>
      </w:r>
      <w:r>
        <w:rPr>
          <w:spacing w:val="-21"/>
        </w:rPr>
        <w:t xml:space="preserve"> </w:t>
      </w:r>
      <w:r>
        <w:t>who</w:t>
      </w:r>
      <w:r>
        <w:rPr>
          <w:spacing w:val="-19"/>
        </w:rPr>
        <w:t xml:space="preserve"> </w:t>
      </w:r>
      <w:r>
        <w:t>first</w:t>
      </w:r>
      <w:r>
        <w:rPr>
          <w:spacing w:val="-19"/>
        </w:rPr>
        <w:t xml:space="preserve"> </w:t>
      </w:r>
      <w:r>
        <w:t>made</w:t>
      </w:r>
      <w:r>
        <w:rPr>
          <w:spacing w:val="-18"/>
        </w:rPr>
        <w:t xml:space="preserve"> </w:t>
      </w:r>
      <w:r>
        <w:t>it</w:t>
      </w:r>
      <w:r>
        <w:rPr>
          <w:spacing w:val="-19"/>
        </w:rPr>
        <w:t xml:space="preserve"> </w:t>
      </w:r>
      <w:r>
        <w:t>clear</w:t>
      </w:r>
      <w:r>
        <w:rPr>
          <w:spacing w:val="-19"/>
        </w:rPr>
        <w:t xml:space="preserve"> </w:t>
      </w:r>
      <w:r>
        <w:t>what</w:t>
      </w:r>
      <w:r>
        <w:rPr>
          <w:spacing w:val="-19"/>
        </w:rPr>
        <w:t xml:space="preserve"> </w:t>
      </w:r>
      <w:r>
        <w:t>LP’s</w:t>
      </w:r>
      <w:r>
        <w:rPr>
          <w:spacing w:val="-18"/>
        </w:rPr>
        <w:t xml:space="preserve"> </w:t>
      </w:r>
      <w:r>
        <w:t>shortcomings</w:t>
      </w:r>
      <w:r>
        <w:rPr>
          <w:spacing w:val="-19"/>
        </w:rPr>
        <w:t xml:space="preserve"> </w:t>
      </w:r>
      <w:r>
        <w:t>were.</w:t>
      </w:r>
      <w:r>
        <w:rPr>
          <w:spacing w:val="-19"/>
        </w:rPr>
        <w:t xml:space="preserve"> </w:t>
      </w:r>
      <w:r>
        <w:t>We’ll</w:t>
      </w:r>
      <w:r>
        <w:rPr>
          <w:spacing w:val="-19"/>
        </w:rPr>
        <w:t xml:space="preserve"> </w:t>
      </w:r>
      <w:r>
        <w:t>see</w:t>
      </w:r>
      <w:r>
        <w:rPr>
          <w:spacing w:val="-18"/>
        </w:rPr>
        <w:t xml:space="preserve"> </w:t>
      </w:r>
      <w:r>
        <w:t>this in</w:t>
      </w:r>
      <w:r>
        <w:rPr>
          <w:spacing w:val="-1"/>
        </w:rPr>
        <w:t xml:space="preserve"> </w:t>
      </w:r>
      <w:r>
        <w:t>this</w:t>
      </w:r>
      <w:r>
        <w:rPr>
          <w:spacing w:val="-1"/>
        </w:rPr>
        <w:t xml:space="preserve"> </w:t>
      </w:r>
      <w:r>
        <w:t>chapter</w:t>
      </w:r>
      <w:r>
        <w:rPr>
          <w:spacing w:val="-1"/>
        </w:rPr>
        <w:t xml:space="preserve"> </w:t>
      </w:r>
      <w:r>
        <w:t>when</w:t>
      </w:r>
      <w:r>
        <w:rPr>
          <w:spacing w:val="-1"/>
        </w:rPr>
        <w:t xml:space="preserve"> </w:t>
      </w:r>
      <w:r>
        <w:t>we</w:t>
      </w:r>
      <w:r>
        <w:rPr>
          <w:spacing w:val="-1"/>
        </w:rPr>
        <w:t xml:space="preserve"> </w:t>
      </w:r>
      <w:r>
        <w:t>discuss</w:t>
      </w:r>
      <w:r>
        <w:rPr>
          <w:spacing w:val="-1"/>
        </w:rPr>
        <w:t xml:space="preserve"> </w:t>
      </w:r>
      <w:r>
        <w:t>the</w:t>
      </w:r>
      <w:r>
        <w:rPr>
          <w:spacing w:val="-1"/>
        </w:rPr>
        <w:t xml:space="preserve"> </w:t>
      </w:r>
      <w:r>
        <w:t>brilliant</w:t>
      </w:r>
      <w:r>
        <w:rPr>
          <w:spacing w:val="-2"/>
        </w:rPr>
        <w:t xml:space="preserve"> </w:t>
      </w:r>
      <w:r>
        <w:t>criticisms</w:t>
      </w:r>
      <w:r>
        <w:rPr>
          <w:spacing w:val="-1"/>
        </w:rPr>
        <w:t xml:space="preserve"> </w:t>
      </w:r>
      <w:r>
        <w:t>of</w:t>
      </w:r>
      <w:r>
        <w:rPr>
          <w:spacing w:val="-1"/>
        </w:rPr>
        <w:t xml:space="preserve"> </w:t>
      </w:r>
      <w:r>
        <w:t>LP</w:t>
      </w:r>
      <w:r>
        <w:rPr>
          <w:spacing w:val="-2"/>
        </w:rPr>
        <w:t xml:space="preserve"> </w:t>
      </w:r>
      <w:r>
        <w:t>put</w:t>
      </w:r>
      <w:r>
        <w:rPr>
          <w:spacing w:val="-2"/>
        </w:rPr>
        <w:t xml:space="preserve"> </w:t>
      </w:r>
      <w:r>
        <w:t>forth</w:t>
      </w:r>
      <w:r>
        <w:rPr>
          <w:spacing w:val="-1"/>
        </w:rPr>
        <w:t xml:space="preserve"> </w:t>
      </w:r>
      <w:r>
        <w:t>by</w:t>
      </w:r>
      <w:r>
        <w:rPr>
          <w:spacing w:val="-1"/>
        </w:rPr>
        <w:t xml:space="preserve"> </w:t>
      </w:r>
      <w:r>
        <w:t>Carl Hempel (1905–1997), who was one of LP’s first and most ardent advocates.</w:t>
      </w:r>
    </w:p>
    <w:p w14:paraId="7E00082B" w14:textId="77777777" w:rsidR="009A58DB" w:rsidRDefault="00000000">
      <w:pPr>
        <w:pStyle w:val="BodyText"/>
        <w:spacing w:before="6"/>
        <w:ind w:left="720"/>
      </w:pPr>
      <w:r>
        <w:t>But</w:t>
      </w:r>
      <w:r>
        <w:rPr>
          <w:spacing w:val="-3"/>
        </w:rPr>
        <w:t xml:space="preserve"> </w:t>
      </w:r>
      <w:r>
        <w:t>erstwhile</w:t>
      </w:r>
      <w:r>
        <w:rPr>
          <w:spacing w:val="-1"/>
        </w:rPr>
        <w:t xml:space="preserve"> </w:t>
      </w:r>
      <w:r>
        <w:t>advocates</w:t>
      </w:r>
      <w:r>
        <w:rPr>
          <w:spacing w:val="-2"/>
        </w:rPr>
        <w:t xml:space="preserve"> </w:t>
      </w:r>
      <w:r>
        <w:t>of</w:t>
      </w:r>
      <w:r>
        <w:rPr>
          <w:spacing w:val="-1"/>
        </w:rPr>
        <w:t xml:space="preserve"> </w:t>
      </w:r>
      <w:r>
        <w:t>LP</w:t>
      </w:r>
      <w:r>
        <w:rPr>
          <w:spacing w:val="-3"/>
        </w:rPr>
        <w:t xml:space="preserve"> </w:t>
      </w:r>
      <w:r>
        <w:t>tended</w:t>
      </w:r>
      <w:r>
        <w:rPr>
          <w:spacing w:val="-1"/>
        </w:rPr>
        <w:t xml:space="preserve"> </w:t>
      </w:r>
      <w:r>
        <w:t>not</w:t>
      </w:r>
      <w:r>
        <w:rPr>
          <w:spacing w:val="-2"/>
        </w:rPr>
        <w:t xml:space="preserve"> </w:t>
      </w:r>
      <w:r>
        <w:t>to</w:t>
      </w:r>
      <w:r>
        <w:rPr>
          <w:spacing w:val="-1"/>
        </w:rPr>
        <w:t xml:space="preserve"> </w:t>
      </w:r>
      <w:r>
        <w:t>see</w:t>
      </w:r>
      <w:r>
        <w:rPr>
          <w:spacing w:val="-2"/>
        </w:rPr>
        <w:t xml:space="preserve"> </w:t>
      </w:r>
      <w:r>
        <w:t>the</w:t>
      </w:r>
      <w:r>
        <w:rPr>
          <w:spacing w:val="-1"/>
        </w:rPr>
        <w:t xml:space="preserve"> </w:t>
      </w:r>
      <w:r>
        <w:t>incoherence</w:t>
      </w:r>
      <w:r>
        <w:rPr>
          <w:spacing w:val="-2"/>
        </w:rPr>
        <w:t xml:space="preserve"> </w:t>
      </w:r>
      <w:r>
        <w:t>that</w:t>
      </w:r>
      <w:r>
        <w:rPr>
          <w:spacing w:val="-1"/>
        </w:rPr>
        <w:t xml:space="preserve"> </w:t>
      </w:r>
      <w:r>
        <w:t>lies</w:t>
      </w:r>
      <w:r>
        <w:rPr>
          <w:spacing w:val="-1"/>
        </w:rPr>
        <w:t xml:space="preserve"> </w:t>
      </w:r>
      <w:r>
        <w:rPr>
          <w:spacing w:val="-5"/>
        </w:rPr>
        <w:t>at</w:t>
      </w:r>
    </w:p>
    <w:p w14:paraId="7E00082C" w14:textId="77777777" w:rsidR="009A58DB" w:rsidRDefault="009A58DB">
      <w:pPr>
        <w:pStyle w:val="BodyText"/>
        <w:sectPr w:rsidR="009A58DB">
          <w:pgSz w:w="12240" w:h="15840"/>
          <w:pgMar w:top="1380" w:right="1080" w:bottom="280" w:left="1080" w:header="720" w:footer="720" w:gutter="0"/>
          <w:cols w:space="720"/>
        </w:sectPr>
      </w:pPr>
    </w:p>
    <w:p w14:paraId="7E00082D" w14:textId="77777777" w:rsidR="009A58DB" w:rsidRDefault="00000000">
      <w:pPr>
        <w:pStyle w:val="BodyText"/>
        <w:spacing w:before="60" w:line="252" w:lineRule="auto"/>
        <w:ind w:right="359"/>
        <w:rPr>
          <w:position w:val="10"/>
        </w:rPr>
      </w:pPr>
      <w:r>
        <w:lastRenderedPageBreak/>
        <w:t>the center of that doctrine. When saying why they rejected LP, they usually cited narrow, technical problems of the sort just discussed. What they didn’t do, but what we’re about to do, is to say why LP is at its very core a broken and illogical doctrine</w:t>
      </w:r>
      <w:bookmarkStart w:id="72" w:name="_bookmark72"/>
      <w:bookmarkEnd w:id="72"/>
      <w:r>
        <w:t>.</w:t>
      </w:r>
      <w:r>
        <w:rPr>
          <w:color w:val="0562C1"/>
          <w:position w:val="10"/>
          <w:u w:val="single" w:color="0562C1"/>
        </w:rPr>
        <w:t>70</w:t>
      </w:r>
    </w:p>
    <w:p w14:paraId="7E00082E" w14:textId="77777777" w:rsidR="009A58DB" w:rsidRDefault="00000000">
      <w:pPr>
        <w:pStyle w:val="BodyText"/>
        <w:spacing w:before="1" w:line="249" w:lineRule="auto"/>
        <w:ind w:right="361" w:firstLine="360"/>
      </w:pPr>
      <w:r>
        <w:t>Anything that is true or false is meaningful. Truth implies meaningfulness and so does falsity. Thus, LP is meaningful if it’s correct. LP says that any meaningful statement is either a tautology or is empirical. So if LP is correct, it is itself either a tautology or it is empirical.</w:t>
      </w:r>
    </w:p>
    <w:p w14:paraId="7E00082F" w14:textId="77777777" w:rsidR="009A58DB" w:rsidRDefault="00000000">
      <w:pPr>
        <w:pStyle w:val="BodyText"/>
        <w:spacing w:before="5" w:line="252" w:lineRule="auto"/>
        <w:ind w:right="359" w:firstLine="360"/>
        <w:rPr>
          <w:position w:val="10"/>
        </w:rPr>
      </w:pPr>
      <w:r>
        <w:t>It</w:t>
      </w:r>
      <w:r>
        <w:rPr>
          <w:spacing w:val="-3"/>
        </w:rPr>
        <w:t xml:space="preserve"> </w:t>
      </w:r>
      <w:r>
        <w:t>isn’t</w:t>
      </w:r>
      <w:r>
        <w:rPr>
          <w:spacing w:val="-3"/>
        </w:rPr>
        <w:t xml:space="preserve"> </w:t>
      </w:r>
      <w:r>
        <w:t>a</w:t>
      </w:r>
      <w:r>
        <w:rPr>
          <w:spacing w:val="-3"/>
        </w:rPr>
        <w:t xml:space="preserve"> </w:t>
      </w:r>
      <w:r>
        <w:t>matter</w:t>
      </w:r>
      <w:r>
        <w:rPr>
          <w:spacing w:val="-3"/>
        </w:rPr>
        <w:t xml:space="preserve"> </w:t>
      </w:r>
      <w:r>
        <w:t>of</w:t>
      </w:r>
      <w:r>
        <w:rPr>
          <w:spacing w:val="-3"/>
        </w:rPr>
        <w:t xml:space="preserve"> </w:t>
      </w:r>
      <w:r>
        <w:t>convention</w:t>
      </w:r>
      <w:r>
        <w:rPr>
          <w:spacing w:val="-2"/>
        </w:rPr>
        <w:t xml:space="preserve"> </w:t>
      </w:r>
      <w:r>
        <w:t>that</w:t>
      </w:r>
      <w:r>
        <w:rPr>
          <w:spacing w:val="-3"/>
        </w:rPr>
        <w:t xml:space="preserve"> </w:t>
      </w:r>
      <w:r>
        <w:t>the</w:t>
      </w:r>
      <w:r>
        <w:rPr>
          <w:spacing w:val="-3"/>
        </w:rPr>
        <w:t xml:space="preserve"> </w:t>
      </w:r>
      <w:r>
        <w:t>expression</w:t>
      </w:r>
      <w:r>
        <w:rPr>
          <w:spacing w:val="-2"/>
        </w:rPr>
        <w:t xml:space="preserve"> </w:t>
      </w:r>
      <w:r>
        <w:t>“meaningful</w:t>
      </w:r>
      <w:r>
        <w:rPr>
          <w:spacing w:val="-3"/>
        </w:rPr>
        <w:t xml:space="preserve"> </w:t>
      </w:r>
      <w:r>
        <w:t>sentence”</w:t>
      </w:r>
      <w:r>
        <w:rPr>
          <w:spacing w:val="-3"/>
        </w:rPr>
        <w:t xml:space="preserve"> </w:t>
      </w:r>
      <w:r>
        <w:t>is interchangeable with the expression “sentence that is either a tautology or is empirical.” Therefore, LP isn’t a tautology</w:t>
      </w:r>
      <w:bookmarkStart w:id="73" w:name="_bookmark73"/>
      <w:bookmarkEnd w:id="73"/>
      <w:r>
        <w:t>.</w:t>
      </w:r>
      <w:r>
        <w:rPr>
          <w:color w:val="0562C1"/>
          <w:position w:val="10"/>
          <w:u w:val="single" w:color="0562C1"/>
        </w:rPr>
        <w:t>71</w:t>
      </w:r>
    </w:p>
    <w:p w14:paraId="7E000830" w14:textId="77777777" w:rsidR="009A58DB" w:rsidRDefault="00000000">
      <w:pPr>
        <w:pStyle w:val="BodyText"/>
        <w:spacing w:line="343" w:lineRule="exact"/>
        <w:ind w:left="720"/>
      </w:pPr>
      <w:r>
        <w:t>Since</w:t>
      </w:r>
      <w:r>
        <w:rPr>
          <w:spacing w:val="-6"/>
        </w:rPr>
        <w:t xml:space="preserve"> </w:t>
      </w:r>
      <w:r>
        <w:t>it</w:t>
      </w:r>
      <w:r>
        <w:rPr>
          <w:spacing w:val="-3"/>
        </w:rPr>
        <w:t xml:space="preserve"> </w:t>
      </w:r>
      <w:r>
        <w:t>isn’t</w:t>
      </w:r>
      <w:r>
        <w:rPr>
          <w:spacing w:val="-3"/>
        </w:rPr>
        <w:t xml:space="preserve"> </w:t>
      </w:r>
      <w:r>
        <w:t>a</w:t>
      </w:r>
      <w:r>
        <w:rPr>
          <w:spacing w:val="-3"/>
        </w:rPr>
        <w:t xml:space="preserve"> </w:t>
      </w:r>
      <w:r>
        <w:t>tautology,</w:t>
      </w:r>
      <w:r>
        <w:rPr>
          <w:spacing w:val="-3"/>
        </w:rPr>
        <w:t xml:space="preserve"> </w:t>
      </w:r>
      <w:r>
        <w:t>LP</w:t>
      </w:r>
      <w:r>
        <w:rPr>
          <w:spacing w:val="-3"/>
        </w:rPr>
        <w:t xml:space="preserve"> </w:t>
      </w:r>
      <w:r>
        <w:t>is</w:t>
      </w:r>
      <w:r>
        <w:rPr>
          <w:spacing w:val="-3"/>
        </w:rPr>
        <w:t xml:space="preserve"> </w:t>
      </w:r>
      <w:r>
        <w:t>an</w:t>
      </w:r>
      <w:r>
        <w:rPr>
          <w:spacing w:val="-2"/>
        </w:rPr>
        <w:t xml:space="preserve"> </w:t>
      </w:r>
      <w:r>
        <w:t>empirical</w:t>
      </w:r>
      <w:r>
        <w:rPr>
          <w:spacing w:val="-4"/>
        </w:rPr>
        <w:t xml:space="preserve"> </w:t>
      </w:r>
      <w:r>
        <w:t>truth</w:t>
      </w:r>
      <w:r>
        <w:rPr>
          <w:spacing w:val="-2"/>
        </w:rPr>
        <w:t xml:space="preserve"> </w:t>
      </w:r>
      <w:r>
        <w:t>if</w:t>
      </w:r>
      <w:r>
        <w:rPr>
          <w:spacing w:val="-3"/>
        </w:rPr>
        <w:t xml:space="preserve"> </w:t>
      </w:r>
      <w:r>
        <w:t>it</w:t>
      </w:r>
      <w:r>
        <w:rPr>
          <w:spacing w:val="-3"/>
        </w:rPr>
        <w:t xml:space="preserve"> </w:t>
      </w:r>
      <w:r>
        <w:t>isn’t</w:t>
      </w:r>
      <w:r>
        <w:rPr>
          <w:spacing w:val="-3"/>
        </w:rPr>
        <w:t xml:space="preserve"> </w:t>
      </w:r>
      <w:r>
        <w:rPr>
          <w:spacing w:val="-2"/>
        </w:rPr>
        <w:t>false.</w:t>
      </w:r>
    </w:p>
    <w:p w14:paraId="7E000831" w14:textId="77777777" w:rsidR="009A58DB" w:rsidRDefault="00000000">
      <w:pPr>
        <w:pStyle w:val="BodyText"/>
        <w:spacing w:before="15" w:line="249" w:lineRule="auto"/>
        <w:ind w:right="359" w:firstLine="360"/>
      </w:pPr>
      <w:r>
        <w:t>But LP isn’t an empirical truth. Any attempt to provide an observational basis for any statement presupposes the meaningfulness of that statement and thus presupposes an answer to the question “what conditions must a</w:t>
      </w:r>
      <w:r>
        <w:rPr>
          <w:spacing w:val="40"/>
        </w:rPr>
        <w:t xml:space="preserve"> </w:t>
      </w:r>
      <w:r>
        <w:t xml:space="preserve">statement fulfill to be meaningful?” For this reason, the question “what conditions must a statement satisfy if it is to be meaningful?” isn’t empirical in nature. It follows that one cannot coherently attempt to find </w:t>
      </w:r>
      <w:r>
        <w:rPr>
          <w:i/>
        </w:rPr>
        <w:t xml:space="preserve">empirical </w:t>
      </w:r>
      <w:r>
        <w:t xml:space="preserve">grounds for accepting LP, since any attempt to do so </w:t>
      </w:r>
      <w:r>
        <w:rPr>
          <w:i/>
        </w:rPr>
        <w:t xml:space="preserve">itself </w:t>
      </w:r>
      <w:r>
        <w:t>presupposes the meaningfulness of LP. Thus, LP isn’t an empirical theory.</w:t>
      </w:r>
    </w:p>
    <w:p w14:paraId="7E000832" w14:textId="77777777" w:rsidR="009A58DB" w:rsidRDefault="00000000">
      <w:pPr>
        <w:pStyle w:val="BodyText"/>
        <w:spacing w:before="10" w:line="249" w:lineRule="auto"/>
        <w:ind w:right="358" w:firstLine="360"/>
      </w:pPr>
      <w:r>
        <w:t>Thus, LP is neither an empirical truth nor a tautology. It is thus a counterexample to itself and is therefore false.</w:t>
      </w:r>
    </w:p>
    <w:p w14:paraId="7E000833" w14:textId="77777777" w:rsidR="009A58DB" w:rsidRDefault="00000000">
      <w:pPr>
        <w:pStyle w:val="BodyText"/>
        <w:spacing w:before="2" w:line="249" w:lineRule="auto"/>
        <w:ind w:right="358" w:firstLine="360"/>
      </w:pPr>
      <w:r>
        <w:t>Interestingly, in the TLP, Wittgenstein seems to be aware that one cannot coherently say that there can be non-tautologous meaningful statements. Not a single one of the assertions in the TLP is empirical; and not a single one of them is a tautology. This means that, if the TLP's main thesis is correct, the TLP is nonsense. Wittgenstein acknowledges this. For he ends his book by saying that everything that he says in it is meaningless and that those points ought to be seen, not as truths, but as ladders that one can use to get to the truth but that, once one actually gets there, one must throw away, since they are not themselves truths. Here are the very last words of the TLP:</w:t>
      </w:r>
    </w:p>
    <w:p w14:paraId="7E000834" w14:textId="77777777" w:rsidR="009A58DB" w:rsidRDefault="009A58DB">
      <w:pPr>
        <w:pStyle w:val="BodyText"/>
        <w:spacing w:before="26"/>
        <w:ind w:left="0"/>
        <w:jc w:val="left"/>
      </w:pPr>
    </w:p>
    <w:p w14:paraId="7E000835" w14:textId="77777777" w:rsidR="009A58DB" w:rsidRDefault="00000000">
      <w:pPr>
        <w:pStyle w:val="BodyText"/>
        <w:spacing w:line="249" w:lineRule="auto"/>
        <w:ind w:left="1230" w:right="1233"/>
      </w:pPr>
      <w:r>
        <w:t>My propositions serve as elucidations in the following way: anyone who understands me eventually recognizes them as nonsensical,</w:t>
      </w:r>
      <w:r>
        <w:rPr>
          <w:spacing w:val="44"/>
        </w:rPr>
        <w:t xml:space="preserve"> </w:t>
      </w:r>
      <w:r>
        <w:t>when</w:t>
      </w:r>
      <w:r>
        <w:rPr>
          <w:spacing w:val="45"/>
        </w:rPr>
        <w:t xml:space="preserve"> </w:t>
      </w:r>
      <w:r>
        <w:t>he</w:t>
      </w:r>
      <w:r>
        <w:rPr>
          <w:spacing w:val="45"/>
        </w:rPr>
        <w:t xml:space="preserve"> </w:t>
      </w:r>
      <w:r>
        <w:t>has</w:t>
      </w:r>
      <w:r>
        <w:rPr>
          <w:spacing w:val="45"/>
        </w:rPr>
        <w:t xml:space="preserve"> </w:t>
      </w:r>
      <w:r>
        <w:t>used</w:t>
      </w:r>
      <w:r>
        <w:rPr>
          <w:spacing w:val="45"/>
        </w:rPr>
        <w:t xml:space="preserve"> </w:t>
      </w:r>
      <w:r>
        <w:t>them—as</w:t>
      </w:r>
      <w:r>
        <w:rPr>
          <w:spacing w:val="45"/>
        </w:rPr>
        <w:t xml:space="preserve"> </w:t>
      </w:r>
      <w:r>
        <w:t>steps—to</w:t>
      </w:r>
      <w:r>
        <w:rPr>
          <w:spacing w:val="45"/>
        </w:rPr>
        <w:t xml:space="preserve"> </w:t>
      </w:r>
      <w:r>
        <w:t>climb</w:t>
      </w:r>
      <w:r>
        <w:rPr>
          <w:spacing w:val="45"/>
        </w:rPr>
        <w:t xml:space="preserve"> </w:t>
      </w:r>
      <w:r>
        <w:rPr>
          <w:spacing w:val="-5"/>
        </w:rPr>
        <w:t>up</w:t>
      </w:r>
    </w:p>
    <w:p w14:paraId="7E00083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37" w14:textId="77777777" w:rsidR="009A58DB" w:rsidRDefault="00000000">
      <w:pPr>
        <w:pStyle w:val="BodyText"/>
        <w:spacing w:before="65" w:line="252" w:lineRule="auto"/>
        <w:ind w:left="1230" w:right="1228"/>
        <w:rPr>
          <w:position w:val="10"/>
        </w:rPr>
      </w:pPr>
      <w:r>
        <w:lastRenderedPageBreak/>
        <w:t>beyond them. (He must, so to speak, throw away the ladder after he has climbed up it.) He must transcend these propositions, and then he will see the world aright. What we cannot speak about we must pass over in silence</w:t>
      </w:r>
      <w:bookmarkStart w:id="74" w:name="_bookmark74"/>
      <w:bookmarkEnd w:id="74"/>
      <w:r>
        <w:t>.</w:t>
      </w:r>
      <w:r>
        <w:rPr>
          <w:color w:val="0562C1"/>
          <w:position w:val="10"/>
          <w:u w:val="single" w:color="0562C1"/>
        </w:rPr>
        <w:t>72</w:t>
      </w:r>
    </w:p>
    <w:p w14:paraId="7E000838" w14:textId="77777777" w:rsidR="009A58DB" w:rsidRDefault="009A58DB">
      <w:pPr>
        <w:pStyle w:val="BodyText"/>
        <w:spacing w:before="11"/>
        <w:ind w:left="0"/>
        <w:jc w:val="left"/>
      </w:pPr>
    </w:p>
    <w:p w14:paraId="7E000839" w14:textId="77777777" w:rsidR="009A58DB" w:rsidRDefault="00000000">
      <w:pPr>
        <w:pStyle w:val="BodyText"/>
        <w:spacing w:line="249" w:lineRule="auto"/>
        <w:ind w:right="361" w:firstLine="360"/>
      </w:pPr>
      <w:r>
        <w:t xml:space="preserve">So far as they aren’t trivial, these magisterial words are false. To understand something </w:t>
      </w:r>
      <w:r>
        <w:rPr>
          <w:i/>
        </w:rPr>
        <w:t xml:space="preserve">is </w:t>
      </w:r>
      <w:r>
        <w:t xml:space="preserve">to see its meaning. Therefore, anything that is understood has a meaning. So Wittgenstein’s words, if understood, have a meaning, and Wittgenstein is therefore contradicting himself in saying that those who understand his words will see that they’re meaningless. Wittgenstein’s awe-inspiring injunction that we pass over in silence what we can’t speak about involves a similar solecism. To remain silent about something </w:t>
      </w:r>
      <w:r>
        <w:rPr>
          <w:i/>
        </w:rPr>
        <w:t xml:space="preserve">is </w:t>
      </w:r>
      <w:r>
        <w:t>to pass over it in silence. So Wittgenstein is asking, emptily,</w:t>
      </w:r>
      <w:r>
        <w:rPr>
          <w:spacing w:val="40"/>
        </w:rPr>
        <w:t xml:space="preserve"> </w:t>
      </w:r>
      <w:r>
        <w:t>that we not say anything about what we can’t possibly say anything about.</w:t>
      </w:r>
    </w:p>
    <w:p w14:paraId="7E00083A" w14:textId="77777777" w:rsidR="009A58DB" w:rsidRDefault="00000000">
      <w:pPr>
        <w:pStyle w:val="Heading1"/>
        <w:numPr>
          <w:ilvl w:val="2"/>
          <w:numId w:val="224"/>
        </w:numPr>
        <w:tabs>
          <w:tab w:val="left" w:pos="1305"/>
        </w:tabs>
        <w:spacing w:before="199"/>
        <w:jc w:val="both"/>
      </w:pPr>
      <w:r>
        <w:t>Empiricism</w:t>
      </w:r>
      <w:r>
        <w:rPr>
          <w:spacing w:val="-15"/>
        </w:rPr>
        <w:t xml:space="preserve"> </w:t>
      </w:r>
      <w:r>
        <w:t>self-</w:t>
      </w:r>
      <w:r>
        <w:rPr>
          <w:spacing w:val="-2"/>
        </w:rPr>
        <w:t>refuting</w:t>
      </w:r>
    </w:p>
    <w:p w14:paraId="7E00083B" w14:textId="77777777" w:rsidR="009A58DB" w:rsidRDefault="00000000">
      <w:pPr>
        <w:pStyle w:val="BodyText"/>
        <w:spacing w:before="139" w:line="249" w:lineRule="auto"/>
        <w:ind w:right="367" w:firstLine="360"/>
      </w:pPr>
      <w:r>
        <w:t xml:space="preserve">These points are easily extended to show that </w:t>
      </w:r>
      <w:r>
        <w:rPr>
          <w:b/>
          <w:i/>
        </w:rPr>
        <w:t xml:space="preserve">empiricism </w:t>
      </w:r>
      <w:r>
        <w:t>is false if it’s true and, therefore, that it’s false.</w:t>
      </w:r>
    </w:p>
    <w:p w14:paraId="7E00083C" w14:textId="77777777" w:rsidR="009A58DB" w:rsidRDefault="00000000">
      <w:pPr>
        <w:pStyle w:val="BodyText"/>
        <w:spacing w:before="2"/>
        <w:ind w:left="720"/>
        <w:jc w:val="left"/>
      </w:pPr>
      <w:r>
        <w:t>Empiricism</w:t>
      </w:r>
      <w:r>
        <w:rPr>
          <w:spacing w:val="-5"/>
        </w:rPr>
        <w:t xml:space="preserve"> </w:t>
      </w:r>
      <w:r>
        <w:t>isn’t</w:t>
      </w:r>
      <w:r>
        <w:rPr>
          <w:spacing w:val="-5"/>
        </w:rPr>
        <w:t xml:space="preserve"> </w:t>
      </w:r>
      <w:r>
        <w:t>the</w:t>
      </w:r>
      <w:r>
        <w:rPr>
          <w:spacing w:val="-5"/>
        </w:rPr>
        <w:t xml:space="preserve"> </w:t>
      </w:r>
      <w:r>
        <w:t>claim</w:t>
      </w:r>
      <w:r>
        <w:rPr>
          <w:spacing w:val="-5"/>
        </w:rPr>
        <w:t xml:space="preserve"> </w:t>
      </w:r>
      <w:r>
        <w:rPr>
          <w:spacing w:val="-4"/>
        </w:rPr>
        <w:t>that</w:t>
      </w:r>
    </w:p>
    <w:p w14:paraId="7E00083D" w14:textId="77777777" w:rsidR="009A58DB" w:rsidRDefault="009A58DB">
      <w:pPr>
        <w:pStyle w:val="BodyText"/>
        <w:spacing w:before="30"/>
        <w:ind w:left="0"/>
        <w:jc w:val="left"/>
      </w:pPr>
    </w:p>
    <w:p w14:paraId="7E00083E" w14:textId="77777777" w:rsidR="009A58DB" w:rsidRDefault="00000000">
      <w:pPr>
        <w:pStyle w:val="ListParagraph"/>
        <w:numPr>
          <w:ilvl w:val="0"/>
          <w:numId w:val="221"/>
        </w:numPr>
        <w:tabs>
          <w:tab w:val="left" w:pos="797"/>
        </w:tabs>
        <w:spacing w:line="249" w:lineRule="auto"/>
        <w:ind w:right="362" w:firstLine="0"/>
        <w:jc w:val="both"/>
        <w:rPr>
          <w:sz w:val="30"/>
        </w:rPr>
      </w:pPr>
      <w:r>
        <w:rPr>
          <w:sz w:val="30"/>
        </w:rPr>
        <w:t xml:space="preserve">whatever we know </w:t>
      </w:r>
      <w:r>
        <w:rPr>
          <w:i/>
          <w:sz w:val="30"/>
        </w:rPr>
        <w:t xml:space="preserve">now, </w:t>
      </w:r>
      <w:r>
        <w:rPr>
          <w:sz w:val="30"/>
        </w:rPr>
        <w:t>we learned it through sense-perception—but it’s possible that at some time in the future we’ll acquire knowledge in some other way.</w:t>
      </w:r>
    </w:p>
    <w:p w14:paraId="7E00083F" w14:textId="77777777" w:rsidR="009A58DB" w:rsidRDefault="009A58DB">
      <w:pPr>
        <w:pStyle w:val="BodyText"/>
        <w:spacing w:before="64"/>
        <w:ind w:left="0"/>
        <w:jc w:val="left"/>
      </w:pPr>
    </w:p>
    <w:p w14:paraId="7E000840" w14:textId="77777777" w:rsidR="009A58DB" w:rsidRDefault="00000000">
      <w:pPr>
        <w:pStyle w:val="BodyText"/>
        <w:spacing w:line="249" w:lineRule="auto"/>
        <w:jc w:val="left"/>
      </w:pPr>
      <w:r>
        <w:t xml:space="preserve">Empiricism is the doctrine that everything that can be known </w:t>
      </w:r>
      <w:r>
        <w:rPr>
          <w:i/>
        </w:rPr>
        <w:t>must</w:t>
      </w:r>
      <w:r>
        <w:rPr>
          <w:i/>
          <w:spacing w:val="-4"/>
        </w:rPr>
        <w:t xml:space="preserve"> </w:t>
      </w:r>
      <w:r>
        <w:t>be known through observation, i.e., that</w:t>
      </w:r>
    </w:p>
    <w:p w14:paraId="7E000841" w14:textId="77777777" w:rsidR="009A58DB" w:rsidRDefault="009A58DB">
      <w:pPr>
        <w:pStyle w:val="BodyText"/>
        <w:spacing w:before="17"/>
        <w:ind w:left="0"/>
        <w:jc w:val="left"/>
      </w:pPr>
    </w:p>
    <w:p w14:paraId="7E000842" w14:textId="77777777" w:rsidR="009A58DB" w:rsidRDefault="00000000">
      <w:pPr>
        <w:pStyle w:val="ListParagraph"/>
        <w:numPr>
          <w:ilvl w:val="0"/>
          <w:numId w:val="221"/>
        </w:numPr>
        <w:tabs>
          <w:tab w:val="left" w:pos="836"/>
        </w:tabs>
        <w:spacing w:before="1" w:line="249" w:lineRule="auto"/>
        <w:ind w:right="362" w:firstLine="0"/>
        <w:jc w:val="both"/>
        <w:rPr>
          <w:sz w:val="30"/>
        </w:rPr>
      </w:pPr>
      <w:r>
        <w:rPr>
          <w:sz w:val="30"/>
        </w:rPr>
        <w:t xml:space="preserve">it’s inherent in the nature of knowledge that all knowledge be strictly </w:t>
      </w:r>
      <w:r>
        <w:rPr>
          <w:spacing w:val="-2"/>
          <w:sz w:val="30"/>
        </w:rPr>
        <w:t>observation-based.</w:t>
      </w:r>
    </w:p>
    <w:p w14:paraId="7E000843" w14:textId="77777777" w:rsidR="009A58DB" w:rsidRDefault="009A58DB">
      <w:pPr>
        <w:pStyle w:val="BodyText"/>
        <w:spacing w:before="17"/>
        <w:ind w:left="0"/>
        <w:jc w:val="left"/>
      </w:pPr>
    </w:p>
    <w:p w14:paraId="7E000844" w14:textId="77777777" w:rsidR="009A58DB" w:rsidRDefault="00000000">
      <w:pPr>
        <w:pStyle w:val="BodyText"/>
        <w:spacing w:line="249" w:lineRule="auto"/>
        <w:ind w:right="364" w:firstLine="360"/>
      </w:pPr>
      <w:r>
        <w:t>But it cannot be known through observation that (2) is correct. According to (2), ‹x is knowledge› is inconsistent with ‹x isn’t known through observation.› But, as we noted on page 24, observation cannot tell you whether one statement is consistent with some other statement. Thus, any body observational data is consistent with the assumption that empiricism is</w:t>
      </w:r>
    </w:p>
    <w:p w14:paraId="7E00084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46" w14:textId="77777777" w:rsidR="009A58DB" w:rsidRDefault="00000000">
      <w:pPr>
        <w:pStyle w:val="BodyText"/>
        <w:spacing w:before="60"/>
        <w:jc w:val="left"/>
      </w:pPr>
      <w:r>
        <w:rPr>
          <w:spacing w:val="-2"/>
        </w:rPr>
        <w:lastRenderedPageBreak/>
        <w:t>false.</w:t>
      </w:r>
    </w:p>
    <w:p w14:paraId="7E000847" w14:textId="77777777" w:rsidR="009A58DB" w:rsidRDefault="00000000">
      <w:pPr>
        <w:pStyle w:val="BodyText"/>
        <w:spacing w:before="20" w:line="249" w:lineRule="auto"/>
        <w:ind w:right="362" w:firstLine="360"/>
      </w:pPr>
      <w:r>
        <w:t>This means that there cannot be strictly observational grounds for believing empiricism correct. Thus, so far as empiricism is correct, there are no grounds for believing it correct; and so far as there are such grounds, empiricism is false. Thus, the likelihood that empiricism is correct is inversely proportional to the degree of probability that the information at our disposal confers on it. And this means that, if it’s a certainty that empiricism is correct, it’s a certainty that it’s false. Therefore, empiricism, if true, is</w:t>
      </w:r>
      <w:r>
        <w:rPr>
          <w:spacing w:val="40"/>
        </w:rPr>
        <w:t xml:space="preserve"> </w:t>
      </w:r>
      <w:r>
        <w:t>false; therefore it’s false.</w:t>
      </w:r>
    </w:p>
    <w:p w14:paraId="7E000848" w14:textId="77777777" w:rsidR="009A58DB" w:rsidRDefault="00000000">
      <w:pPr>
        <w:pStyle w:val="BodyText"/>
        <w:spacing w:before="9" w:line="249" w:lineRule="auto"/>
        <w:ind w:right="358" w:firstLine="360"/>
      </w:pPr>
      <w:r>
        <w:t>The final sentence of a famous argument given by Bertrand Russell</w:t>
      </w:r>
      <w:r>
        <w:rPr>
          <w:spacing w:val="40"/>
        </w:rPr>
        <w:t xml:space="preserve"> </w:t>
      </w:r>
      <w:r>
        <w:t>(1872–1970) ends with a sentence very similar to the last one. (This was deliberate.) The argument in question is to the effect that “naïve realism”—which is a specific, particularly extreme form of empiricism, and is therefore relevant in this context—is false:</w:t>
      </w:r>
    </w:p>
    <w:p w14:paraId="7E000849" w14:textId="77777777" w:rsidR="009A58DB" w:rsidRDefault="009A58DB">
      <w:pPr>
        <w:pStyle w:val="BodyText"/>
        <w:spacing w:before="21"/>
        <w:ind w:left="0"/>
        <w:jc w:val="left"/>
      </w:pPr>
    </w:p>
    <w:p w14:paraId="7E00084A" w14:textId="77777777" w:rsidR="009A58DB" w:rsidRDefault="00000000">
      <w:pPr>
        <w:pStyle w:val="BodyText"/>
        <w:spacing w:before="1" w:line="249" w:lineRule="auto"/>
        <w:ind w:left="1230" w:right="1219" w:firstLine="360"/>
        <w:rPr>
          <w:position w:val="10"/>
        </w:rPr>
      </w:pPr>
      <w:r>
        <w:t>We all start from naïve realism, i.e., the doctrine that things are what they seem. We think that grass is green, that stones</w:t>
      </w:r>
      <w:r>
        <w:rPr>
          <w:spacing w:val="40"/>
        </w:rPr>
        <w:t xml:space="preserve"> </w:t>
      </w:r>
      <w:r>
        <w:t>are hard, and that snow is cold. But physics assures us that the greenness of grass, the hardness of stones, and coldness of snow are not the greenness, hardness, and coldness that we know in our experience, but something very different. The observer, when he seems to himself to be observing a stone, is really, if physics is to be believed, observing the effects of the stone upon himself. Thus, science seems to be at war upon itself. When it most means to be objective, it finds itself plunged</w:t>
      </w:r>
      <w:r>
        <w:rPr>
          <w:spacing w:val="-5"/>
        </w:rPr>
        <w:t xml:space="preserve"> </w:t>
      </w:r>
      <w:r>
        <w:t>into</w:t>
      </w:r>
      <w:r>
        <w:rPr>
          <w:spacing w:val="-5"/>
        </w:rPr>
        <w:t xml:space="preserve"> </w:t>
      </w:r>
      <w:r>
        <w:t>subjectivity</w:t>
      </w:r>
      <w:r>
        <w:rPr>
          <w:spacing w:val="-5"/>
        </w:rPr>
        <w:t xml:space="preserve"> </w:t>
      </w:r>
      <w:r>
        <w:t>against</w:t>
      </w:r>
      <w:r>
        <w:rPr>
          <w:spacing w:val="-5"/>
        </w:rPr>
        <w:t xml:space="preserve"> </w:t>
      </w:r>
      <w:r>
        <w:t>its</w:t>
      </w:r>
      <w:r>
        <w:rPr>
          <w:spacing w:val="-5"/>
        </w:rPr>
        <w:t xml:space="preserve"> </w:t>
      </w:r>
      <w:r>
        <w:t>will.</w:t>
      </w:r>
      <w:r>
        <w:rPr>
          <w:spacing w:val="-5"/>
        </w:rPr>
        <w:t xml:space="preserve"> </w:t>
      </w:r>
      <w:r>
        <w:t>Naïve</w:t>
      </w:r>
      <w:r>
        <w:rPr>
          <w:spacing w:val="-5"/>
        </w:rPr>
        <w:t xml:space="preserve"> </w:t>
      </w:r>
      <w:r>
        <w:t>realism</w:t>
      </w:r>
      <w:r>
        <w:rPr>
          <w:spacing w:val="-5"/>
        </w:rPr>
        <w:t xml:space="preserve"> </w:t>
      </w:r>
      <w:r>
        <w:t>leads</w:t>
      </w:r>
      <w:r>
        <w:rPr>
          <w:spacing w:val="-5"/>
        </w:rPr>
        <w:t xml:space="preserve"> </w:t>
      </w:r>
      <w:r>
        <w:t>to physics; and physics, if true, shows that naïve realism is false. Therefore, naïve realism, if true, is false; therefore it’s false</w:t>
      </w:r>
      <w:bookmarkStart w:id="75" w:name="_bookmark75"/>
      <w:bookmarkEnd w:id="75"/>
      <w:r>
        <w:t>.</w:t>
      </w:r>
      <w:r>
        <w:rPr>
          <w:color w:val="0562C1"/>
          <w:position w:val="10"/>
          <w:u w:val="single" w:color="0562C1"/>
        </w:rPr>
        <w:t>73</w:t>
      </w:r>
    </w:p>
    <w:p w14:paraId="7E00084B" w14:textId="77777777" w:rsidR="009A58DB" w:rsidRDefault="009A58DB">
      <w:pPr>
        <w:pStyle w:val="BodyText"/>
        <w:spacing w:before="36"/>
        <w:ind w:left="0"/>
        <w:jc w:val="left"/>
      </w:pPr>
    </w:p>
    <w:p w14:paraId="7E00084C" w14:textId="77777777" w:rsidR="009A58DB" w:rsidRDefault="00000000">
      <w:pPr>
        <w:pStyle w:val="BodyText"/>
        <w:spacing w:line="249" w:lineRule="auto"/>
        <w:ind w:right="367" w:firstLine="360"/>
      </w:pPr>
      <w:r>
        <w:t xml:space="preserve">Though eloquently stated, this argument consists of spurious reasoning for a false conclusion. In observing the paper-weight on my desk, I’m not observing some effect of the stone upon myself: I’m observing the stone itself. To be sure, my observing the stone is </w:t>
      </w:r>
      <w:r>
        <w:rPr>
          <w:i/>
        </w:rPr>
        <w:t xml:space="preserve">itself </w:t>
      </w:r>
      <w:r>
        <w:t>an effect of some event involving the stone. (Light bounces off the stone and, in due course, strikes my retinas, precipitating various physiological and psychological responses,</w:t>
      </w:r>
    </w:p>
    <w:p w14:paraId="7E00084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4E" w14:textId="77777777" w:rsidR="009A58DB" w:rsidRDefault="00000000">
      <w:pPr>
        <w:pStyle w:val="BodyText"/>
        <w:spacing w:before="65" w:line="249" w:lineRule="auto"/>
        <w:ind w:right="365"/>
      </w:pPr>
      <w:r>
        <w:lastRenderedPageBreak/>
        <w:t xml:space="preserve">among them the aforementioned sense-perception.) But that doesn’t mean that </w:t>
      </w:r>
      <w:r>
        <w:rPr>
          <w:i/>
        </w:rPr>
        <w:t xml:space="preserve">what </w:t>
      </w:r>
      <w:r>
        <w:t>I’m seeing, in having that sense-perception, is some effect that the stone had on me; and unless we’re perpetually hallucinating, in which case we’re never observing anything external, we very obviously do observe external objects.</w:t>
      </w:r>
    </w:p>
    <w:p w14:paraId="7E00084F" w14:textId="77777777" w:rsidR="009A58DB" w:rsidRDefault="00000000">
      <w:pPr>
        <w:pStyle w:val="BodyText"/>
        <w:spacing w:before="6" w:line="249" w:lineRule="auto"/>
        <w:ind w:right="358" w:firstLine="360"/>
        <w:rPr>
          <w:position w:val="10"/>
        </w:rPr>
      </w:pPr>
      <w:r>
        <w:t xml:space="preserve">This brings us to the second problem with Russell’s argument. Russell says that the greenness, hardness, and coldness of daily observation are not identical with the counterparts in physics. This is false. Physics has a lot to say about greenness, hardness, and coldness that commonsense does not. But that’s very different from saying that the coldness we feel, the greenness we see, etc., </w:t>
      </w:r>
      <w:r>
        <w:rPr>
          <w:i/>
        </w:rPr>
        <w:t xml:space="preserve">aren’t </w:t>
      </w:r>
      <w:r>
        <w:t>the greenness, coldness, and hardness of physics. Physics</w:t>
      </w:r>
      <w:r>
        <w:rPr>
          <w:spacing w:val="40"/>
        </w:rPr>
        <w:t xml:space="preserve"> </w:t>
      </w:r>
      <w:r>
        <w:t xml:space="preserve">tells us </w:t>
      </w:r>
      <w:r>
        <w:rPr>
          <w:i/>
        </w:rPr>
        <w:t xml:space="preserve">what it is </w:t>
      </w:r>
      <w:r>
        <w:t>for something to have the properties we know them to have through sight, touch, etc. When you grab and object and feel that it’s cold, you</w:t>
      </w:r>
      <w:r>
        <w:rPr>
          <w:spacing w:val="-3"/>
        </w:rPr>
        <w:t xml:space="preserve"> </w:t>
      </w:r>
      <w:r>
        <w:t>don’t</w:t>
      </w:r>
      <w:r>
        <w:rPr>
          <w:spacing w:val="-4"/>
        </w:rPr>
        <w:t xml:space="preserve"> </w:t>
      </w:r>
      <w:r>
        <w:t>feel</w:t>
      </w:r>
      <w:r>
        <w:rPr>
          <w:spacing w:val="-4"/>
        </w:rPr>
        <w:t xml:space="preserve"> </w:t>
      </w:r>
      <w:r>
        <w:t>or</w:t>
      </w:r>
      <w:r>
        <w:rPr>
          <w:spacing w:val="-4"/>
        </w:rPr>
        <w:t xml:space="preserve"> </w:t>
      </w:r>
      <w:r>
        <w:t>otherwise</w:t>
      </w:r>
      <w:r>
        <w:rPr>
          <w:spacing w:val="-4"/>
        </w:rPr>
        <w:t xml:space="preserve"> </w:t>
      </w:r>
      <w:r>
        <w:t>sense-perceive</w:t>
      </w:r>
      <w:r>
        <w:rPr>
          <w:spacing w:val="-4"/>
        </w:rPr>
        <w:t xml:space="preserve"> </w:t>
      </w:r>
      <w:r>
        <w:t>the</w:t>
      </w:r>
      <w:r>
        <w:rPr>
          <w:spacing w:val="-4"/>
        </w:rPr>
        <w:t xml:space="preserve"> </w:t>
      </w:r>
      <w:r>
        <w:t>micro-events</w:t>
      </w:r>
      <w:r>
        <w:rPr>
          <w:spacing w:val="-4"/>
        </w:rPr>
        <w:t xml:space="preserve"> </w:t>
      </w:r>
      <w:r>
        <w:rPr>
          <w:i/>
        </w:rPr>
        <w:t>in</w:t>
      </w:r>
      <w:r>
        <w:rPr>
          <w:i/>
          <w:spacing w:val="-3"/>
        </w:rPr>
        <w:t xml:space="preserve"> </w:t>
      </w:r>
      <w:r>
        <w:rPr>
          <w:i/>
        </w:rPr>
        <w:t>virtue</w:t>
      </w:r>
      <w:r>
        <w:rPr>
          <w:i/>
          <w:spacing w:val="-4"/>
        </w:rPr>
        <w:t xml:space="preserve"> </w:t>
      </w:r>
      <w:r>
        <w:rPr>
          <w:i/>
        </w:rPr>
        <w:t>of</w:t>
      </w:r>
      <w:r>
        <w:rPr>
          <w:i/>
          <w:spacing w:val="-4"/>
        </w:rPr>
        <w:t xml:space="preserve"> </w:t>
      </w:r>
      <w:r>
        <w:rPr>
          <w:i/>
        </w:rPr>
        <w:t xml:space="preserve">which </w:t>
      </w:r>
      <w:r>
        <w:t>it is cold. It’s the job of the theoretical physicist to tell you about these microevents.</w:t>
      </w:r>
      <w:r>
        <w:rPr>
          <w:spacing w:val="-4"/>
        </w:rPr>
        <w:t xml:space="preserve"> </w:t>
      </w:r>
      <w:r>
        <w:t>This</w:t>
      </w:r>
      <w:r>
        <w:rPr>
          <w:spacing w:val="-5"/>
        </w:rPr>
        <w:t xml:space="preserve"> </w:t>
      </w:r>
      <w:r>
        <w:t>means</w:t>
      </w:r>
      <w:r>
        <w:rPr>
          <w:spacing w:val="-5"/>
        </w:rPr>
        <w:t xml:space="preserve"> </w:t>
      </w:r>
      <w:r>
        <w:t>that</w:t>
      </w:r>
      <w:r>
        <w:rPr>
          <w:spacing w:val="-5"/>
        </w:rPr>
        <w:t xml:space="preserve"> </w:t>
      </w:r>
      <w:r>
        <w:t>the</w:t>
      </w:r>
      <w:r>
        <w:rPr>
          <w:spacing w:val="-5"/>
        </w:rPr>
        <w:t xml:space="preserve"> </w:t>
      </w:r>
      <w:r>
        <w:t>coldness</w:t>
      </w:r>
      <w:r>
        <w:rPr>
          <w:spacing w:val="-5"/>
        </w:rPr>
        <w:t xml:space="preserve"> </w:t>
      </w:r>
      <w:r>
        <w:t>studied</w:t>
      </w:r>
      <w:r>
        <w:rPr>
          <w:spacing w:val="-4"/>
        </w:rPr>
        <w:t xml:space="preserve"> </w:t>
      </w:r>
      <w:r>
        <w:t>by</w:t>
      </w:r>
      <w:r>
        <w:rPr>
          <w:spacing w:val="-4"/>
        </w:rPr>
        <w:t xml:space="preserve"> </w:t>
      </w:r>
      <w:r>
        <w:t>the</w:t>
      </w:r>
      <w:r>
        <w:rPr>
          <w:spacing w:val="-5"/>
        </w:rPr>
        <w:t xml:space="preserve"> </w:t>
      </w:r>
      <w:r>
        <w:t>physicist</w:t>
      </w:r>
      <w:r>
        <w:rPr>
          <w:spacing w:val="-5"/>
        </w:rPr>
        <w:t xml:space="preserve"> </w:t>
      </w:r>
      <w:r>
        <w:rPr>
          <w:i/>
        </w:rPr>
        <w:t xml:space="preserve">is </w:t>
      </w:r>
      <w:r>
        <w:t xml:space="preserve">identical with the coldness that you feel. Physics tells us that many of our pre-theoretic beliefs as to what </w:t>
      </w:r>
      <w:r>
        <w:rPr>
          <w:i/>
        </w:rPr>
        <w:t xml:space="preserve">that coldness is </w:t>
      </w:r>
      <w:r>
        <w:t>are wrong; and in order to do that, it has to study the coldness that those pre-theoretic beliefs concern. So Russell’s argument, despite Einstein’s high regard for it, is a failure</w:t>
      </w:r>
      <w:bookmarkStart w:id="76" w:name="_bookmark76"/>
      <w:bookmarkEnd w:id="76"/>
      <w:r>
        <w:t>.</w:t>
      </w:r>
      <w:r>
        <w:rPr>
          <w:color w:val="0562C1"/>
          <w:position w:val="10"/>
          <w:u w:val="single" w:color="0562C1"/>
        </w:rPr>
        <w:t>74</w:t>
      </w:r>
    </w:p>
    <w:p w14:paraId="7E000850" w14:textId="77777777" w:rsidR="009A58DB" w:rsidRDefault="00000000">
      <w:pPr>
        <w:pStyle w:val="Heading1"/>
        <w:numPr>
          <w:ilvl w:val="2"/>
          <w:numId w:val="224"/>
        </w:numPr>
        <w:tabs>
          <w:tab w:val="left" w:pos="1367"/>
        </w:tabs>
        <w:spacing w:before="211" w:line="244" w:lineRule="auto"/>
        <w:ind w:left="360" w:right="366" w:firstLine="0"/>
      </w:pPr>
      <w:r>
        <w:t>The</w:t>
      </w:r>
      <w:r>
        <w:rPr>
          <w:spacing w:val="40"/>
        </w:rPr>
        <w:t xml:space="preserve"> </w:t>
      </w:r>
      <w:r>
        <w:t>empiricism-unfriendliness</w:t>
      </w:r>
      <w:r>
        <w:rPr>
          <w:spacing w:val="40"/>
        </w:rPr>
        <w:t xml:space="preserve"> </w:t>
      </w:r>
      <w:r>
        <w:t>of</w:t>
      </w:r>
      <w:r>
        <w:rPr>
          <w:spacing w:val="40"/>
        </w:rPr>
        <w:t xml:space="preserve"> </w:t>
      </w:r>
      <w:r>
        <w:t>the</w:t>
      </w:r>
      <w:r>
        <w:rPr>
          <w:spacing w:val="40"/>
        </w:rPr>
        <w:t xml:space="preserve"> </w:t>
      </w:r>
      <w:r>
        <w:t>concept of confirmation</w:t>
      </w:r>
    </w:p>
    <w:p w14:paraId="7E000851" w14:textId="77777777" w:rsidR="009A58DB" w:rsidRDefault="00000000">
      <w:pPr>
        <w:pStyle w:val="BodyText"/>
        <w:spacing w:before="132" w:line="249" w:lineRule="auto"/>
        <w:ind w:right="366"/>
      </w:pPr>
      <w:r>
        <w:t xml:space="preserve">Confirmationalism, the doctrine that a non-tautology is meaningful iff confirmable, is a form of empiricism. But we’ll now see that the concept of confirmation is an incoherent one </w:t>
      </w:r>
      <w:r>
        <w:rPr>
          <w:i/>
        </w:rPr>
        <w:t xml:space="preserve">unless </w:t>
      </w:r>
      <w:r>
        <w:t>it’s granted that there is nonempirical knowledge and, therefore, that confirmationalism is incoherent.</w:t>
      </w:r>
    </w:p>
    <w:p w14:paraId="7E000852" w14:textId="77777777" w:rsidR="009A58DB" w:rsidRDefault="00000000">
      <w:pPr>
        <w:pStyle w:val="BodyText"/>
        <w:spacing w:before="10"/>
        <w:ind w:left="720"/>
        <w:jc w:val="left"/>
      </w:pPr>
      <w:r>
        <w:t>An</w:t>
      </w:r>
      <w:r>
        <w:rPr>
          <w:spacing w:val="-5"/>
        </w:rPr>
        <w:t xml:space="preserve"> </w:t>
      </w:r>
      <w:r>
        <w:t>argument</w:t>
      </w:r>
      <w:r>
        <w:rPr>
          <w:spacing w:val="-3"/>
        </w:rPr>
        <w:t xml:space="preserve"> </w:t>
      </w:r>
      <w:r>
        <w:t>due</w:t>
      </w:r>
      <w:r>
        <w:rPr>
          <w:spacing w:val="-3"/>
        </w:rPr>
        <w:t xml:space="preserve"> </w:t>
      </w:r>
      <w:r>
        <w:t>to</w:t>
      </w:r>
      <w:r>
        <w:rPr>
          <w:spacing w:val="-2"/>
        </w:rPr>
        <w:t xml:space="preserve"> </w:t>
      </w:r>
      <w:r>
        <w:t>Nelson</w:t>
      </w:r>
      <w:r>
        <w:rPr>
          <w:spacing w:val="-2"/>
        </w:rPr>
        <w:t xml:space="preserve"> </w:t>
      </w:r>
      <w:r>
        <w:t>Goodman</w:t>
      </w:r>
      <w:r>
        <w:rPr>
          <w:spacing w:val="-2"/>
        </w:rPr>
        <w:t xml:space="preserve"> </w:t>
      </w:r>
      <w:r>
        <w:t>(1954)</w:t>
      </w:r>
      <w:r>
        <w:rPr>
          <w:spacing w:val="-3"/>
        </w:rPr>
        <w:t xml:space="preserve"> </w:t>
      </w:r>
      <w:r>
        <w:t>makes</w:t>
      </w:r>
      <w:r>
        <w:rPr>
          <w:spacing w:val="-3"/>
        </w:rPr>
        <w:t xml:space="preserve"> </w:t>
      </w:r>
      <w:r>
        <w:t>this</w:t>
      </w:r>
      <w:r>
        <w:rPr>
          <w:spacing w:val="-3"/>
        </w:rPr>
        <w:t xml:space="preserve"> </w:t>
      </w:r>
      <w:r>
        <w:rPr>
          <w:spacing w:val="-2"/>
        </w:rPr>
        <w:t>clea</w:t>
      </w:r>
      <w:bookmarkStart w:id="77" w:name="_bookmark77"/>
      <w:bookmarkEnd w:id="77"/>
      <w:r>
        <w:rPr>
          <w:spacing w:val="-2"/>
        </w:rPr>
        <w:t>r</w:t>
      </w:r>
      <w:r>
        <w:rPr>
          <w:color w:val="0562C1"/>
          <w:spacing w:val="-2"/>
          <w:position w:val="10"/>
          <w:u w:val="single" w:color="0562C1"/>
        </w:rPr>
        <w:t>75</w:t>
      </w:r>
      <w:r>
        <w:rPr>
          <w:spacing w:val="-2"/>
        </w:rPr>
        <w:t>:</w:t>
      </w:r>
    </w:p>
    <w:p w14:paraId="7E000853" w14:textId="77777777" w:rsidR="009A58DB" w:rsidRDefault="009A58DB">
      <w:pPr>
        <w:pStyle w:val="BodyText"/>
        <w:spacing w:before="35"/>
        <w:ind w:left="0"/>
        <w:jc w:val="left"/>
      </w:pPr>
    </w:p>
    <w:p w14:paraId="7E000854" w14:textId="77777777" w:rsidR="009A58DB" w:rsidRDefault="00000000">
      <w:pPr>
        <w:pStyle w:val="BodyText"/>
        <w:spacing w:line="249" w:lineRule="auto"/>
        <w:ind w:left="1230" w:right="1228"/>
      </w:pPr>
      <w:r>
        <w:t>(G</w:t>
      </w:r>
      <w:bookmarkStart w:id="78" w:name="_bookmark78"/>
      <w:bookmarkEnd w:id="78"/>
      <w:r>
        <w:t>A</w:t>
      </w:r>
      <w:r>
        <w:rPr>
          <w:color w:val="0562C1"/>
          <w:position w:val="10"/>
          <w:u w:val="single" w:color="0562C1"/>
        </w:rPr>
        <w:t>76</w:t>
      </w:r>
      <w:r>
        <w:t>) Let’s say that an object is “grue” if it’s green and examined before Jan. 1, 2010, or it’s blue and examined anytime thereafter. All green objects examined before Jan. 1, 2010, are grue. So, supposing that we’ve examined ten million emeralds</w:t>
      </w:r>
      <w:r>
        <w:rPr>
          <w:spacing w:val="20"/>
        </w:rPr>
        <w:t xml:space="preserve"> </w:t>
      </w:r>
      <w:r>
        <w:t>before</w:t>
      </w:r>
      <w:r>
        <w:rPr>
          <w:spacing w:val="22"/>
        </w:rPr>
        <w:t xml:space="preserve"> </w:t>
      </w:r>
      <w:r>
        <w:t>Jan.</w:t>
      </w:r>
      <w:r>
        <w:rPr>
          <w:spacing w:val="23"/>
        </w:rPr>
        <w:t xml:space="preserve"> </w:t>
      </w:r>
      <w:r>
        <w:t>1,</w:t>
      </w:r>
      <w:r>
        <w:rPr>
          <w:spacing w:val="22"/>
        </w:rPr>
        <w:t xml:space="preserve"> </w:t>
      </w:r>
      <w:r>
        <w:t>2010,</w:t>
      </w:r>
      <w:r>
        <w:rPr>
          <w:spacing w:val="22"/>
        </w:rPr>
        <w:t xml:space="preserve"> </w:t>
      </w:r>
      <w:r>
        <w:t>and</w:t>
      </w:r>
      <w:r>
        <w:rPr>
          <w:spacing w:val="23"/>
        </w:rPr>
        <w:t xml:space="preserve"> </w:t>
      </w:r>
      <w:r>
        <w:t>found</w:t>
      </w:r>
      <w:r>
        <w:rPr>
          <w:spacing w:val="22"/>
        </w:rPr>
        <w:t xml:space="preserve"> </w:t>
      </w:r>
      <w:r>
        <w:t>them</w:t>
      </w:r>
      <w:r>
        <w:rPr>
          <w:spacing w:val="22"/>
        </w:rPr>
        <w:t xml:space="preserve"> </w:t>
      </w:r>
      <w:r>
        <w:t>all</w:t>
      </w:r>
      <w:r>
        <w:rPr>
          <w:spacing w:val="23"/>
        </w:rPr>
        <w:t xml:space="preserve"> </w:t>
      </w:r>
      <w:r>
        <w:t>to</w:t>
      </w:r>
      <w:r>
        <w:rPr>
          <w:spacing w:val="22"/>
        </w:rPr>
        <w:t xml:space="preserve"> </w:t>
      </w:r>
      <w:r>
        <w:t>be</w:t>
      </w:r>
      <w:r>
        <w:rPr>
          <w:spacing w:val="23"/>
        </w:rPr>
        <w:t xml:space="preserve"> </w:t>
      </w:r>
      <w:r>
        <w:rPr>
          <w:spacing w:val="-2"/>
        </w:rPr>
        <w:t>green,</w:t>
      </w:r>
    </w:p>
    <w:p w14:paraId="7E00085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56" w14:textId="77777777" w:rsidR="009A58DB" w:rsidRDefault="00000000">
      <w:pPr>
        <w:pStyle w:val="BodyText"/>
        <w:spacing w:before="60" w:line="249" w:lineRule="auto"/>
        <w:ind w:left="1230" w:right="1232"/>
      </w:pPr>
      <w:r>
        <w:lastRenderedPageBreak/>
        <w:t>we’ve also found them to be grue. Presumably, the fact that they’ve all been green warrants the inference that they’ll be green after Jan. 1, 2010. But, so far as that data entitles us to infer that they’ll be green, it also entitles us to infer that they’ll be grue and, therefore, blue.</w:t>
      </w:r>
    </w:p>
    <w:p w14:paraId="7E000857" w14:textId="77777777" w:rsidR="009A58DB" w:rsidRDefault="00000000">
      <w:pPr>
        <w:pStyle w:val="BodyText"/>
        <w:spacing w:before="11" w:line="249" w:lineRule="auto"/>
        <w:ind w:left="1230" w:right="1228" w:firstLine="360"/>
      </w:pPr>
      <w:r>
        <w:t>This</w:t>
      </w:r>
      <w:r>
        <w:rPr>
          <w:spacing w:val="-3"/>
        </w:rPr>
        <w:t xml:space="preserve"> </w:t>
      </w:r>
      <w:r>
        <w:t>line</w:t>
      </w:r>
      <w:r>
        <w:rPr>
          <w:spacing w:val="-3"/>
        </w:rPr>
        <w:t xml:space="preserve"> </w:t>
      </w:r>
      <w:r>
        <w:t>of</w:t>
      </w:r>
      <w:r>
        <w:rPr>
          <w:spacing w:val="-4"/>
        </w:rPr>
        <w:t xml:space="preserve"> </w:t>
      </w:r>
      <w:r>
        <w:t>thought</w:t>
      </w:r>
      <w:r>
        <w:rPr>
          <w:spacing w:val="-3"/>
        </w:rPr>
        <w:t xml:space="preserve"> </w:t>
      </w:r>
      <w:r>
        <w:t>is</w:t>
      </w:r>
      <w:r>
        <w:rPr>
          <w:spacing w:val="-3"/>
        </w:rPr>
        <w:t xml:space="preserve"> </w:t>
      </w:r>
      <w:r>
        <w:t>easily</w:t>
      </w:r>
      <w:r>
        <w:rPr>
          <w:spacing w:val="-3"/>
        </w:rPr>
        <w:t xml:space="preserve"> </w:t>
      </w:r>
      <w:r>
        <w:t>extended</w:t>
      </w:r>
      <w:r>
        <w:rPr>
          <w:spacing w:val="-3"/>
        </w:rPr>
        <w:t xml:space="preserve"> </w:t>
      </w:r>
      <w:r>
        <w:t>to</w:t>
      </w:r>
      <w:r>
        <w:rPr>
          <w:spacing w:val="-3"/>
        </w:rPr>
        <w:t xml:space="preserve"> </w:t>
      </w:r>
      <w:r>
        <w:t>show</w:t>
      </w:r>
      <w:r>
        <w:rPr>
          <w:spacing w:val="-3"/>
        </w:rPr>
        <w:t xml:space="preserve"> </w:t>
      </w:r>
      <w:r>
        <w:t>that</w:t>
      </w:r>
      <w:r>
        <w:rPr>
          <w:spacing w:val="-3"/>
        </w:rPr>
        <w:t xml:space="preserve"> </w:t>
      </w:r>
      <w:r>
        <w:t>anything can confirm anything</w:t>
      </w:r>
      <w:bookmarkStart w:id="79" w:name="_bookmark79"/>
      <w:bookmarkEnd w:id="79"/>
      <w:r>
        <w:t>.</w:t>
      </w:r>
      <w:r>
        <w:rPr>
          <w:color w:val="0562C1"/>
          <w:position w:val="10"/>
          <w:u w:val="single" w:color="0562C1"/>
        </w:rPr>
        <w:t>77</w:t>
      </w:r>
      <w:r>
        <w:rPr>
          <w:color w:val="0562C1"/>
          <w:position w:val="10"/>
        </w:rPr>
        <w:t xml:space="preserve"> </w:t>
      </w:r>
      <w:r>
        <w:t>Let phi, psi, and chi be three properties such that (i) a thing is phi if it’s examined by a human being who knows and therefore truly believes that, at that time, no human being can fly; (ii) a thing is psi if examined by a human who knows that, at that time, all human beings can fly; and (iii) a thing is chi if it’s examined before Jan. 1, 2010, and known to have phi or it’s examined after that time</w:t>
      </w:r>
      <w:r>
        <w:rPr>
          <w:spacing w:val="-2"/>
        </w:rPr>
        <w:t xml:space="preserve"> </w:t>
      </w:r>
      <w:r>
        <w:t>and</w:t>
      </w:r>
      <w:r>
        <w:rPr>
          <w:spacing w:val="-1"/>
        </w:rPr>
        <w:t xml:space="preserve"> </w:t>
      </w:r>
      <w:r>
        <w:t>is</w:t>
      </w:r>
      <w:r>
        <w:rPr>
          <w:spacing w:val="-1"/>
        </w:rPr>
        <w:t xml:space="preserve"> </w:t>
      </w:r>
      <w:r>
        <w:t>known</w:t>
      </w:r>
      <w:r>
        <w:rPr>
          <w:spacing w:val="-1"/>
        </w:rPr>
        <w:t xml:space="preserve"> </w:t>
      </w:r>
      <w:r>
        <w:t>to</w:t>
      </w:r>
      <w:r>
        <w:rPr>
          <w:spacing w:val="-2"/>
        </w:rPr>
        <w:t xml:space="preserve"> </w:t>
      </w:r>
      <w:r>
        <w:t>have</w:t>
      </w:r>
      <w:r>
        <w:rPr>
          <w:spacing w:val="-1"/>
        </w:rPr>
        <w:t xml:space="preserve"> </w:t>
      </w:r>
      <w:r>
        <w:t>psi.</w:t>
      </w:r>
      <w:r>
        <w:rPr>
          <w:spacing w:val="-1"/>
        </w:rPr>
        <w:t xml:space="preserve"> </w:t>
      </w:r>
      <w:r>
        <w:t>Since</w:t>
      </w:r>
      <w:r>
        <w:rPr>
          <w:spacing w:val="-1"/>
        </w:rPr>
        <w:t xml:space="preserve"> </w:t>
      </w:r>
      <w:r>
        <w:t>everything</w:t>
      </w:r>
      <w:r>
        <w:rPr>
          <w:spacing w:val="-1"/>
        </w:rPr>
        <w:t xml:space="preserve"> </w:t>
      </w:r>
      <w:r>
        <w:t>ever</w:t>
      </w:r>
      <w:r>
        <w:rPr>
          <w:spacing w:val="-2"/>
        </w:rPr>
        <w:t xml:space="preserve"> </w:t>
      </w:r>
      <w:r>
        <w:t>examined as of the present time (May 24, 2009) has had phi, it’s also had chi. So given that, thus far, no human has been able to fly, we’re no less entitled to infer that in 2015 they’ll all be able to fly than we are entitled to infer that, at that same time, none of them will.</w:t>
      </w:r>
    </w:p>
    <w:p w14:paraId="7E000858" w14:textId="77777777" w:rsidR="009A58DB" w:rsidRDefault="009A58DB">
      <w:pPr>
        <w:pStyle w:val="BodyText"/>
        <w:spacing w:before="37"/>
        <w:ind w:left="0"/>
        <w:jc w:val="left"/>
      </w:pPr>
    </w:p>
    <w:p w14:paraId="7E000859" w14:textId="77777777" w:rsidR="009A58DB" w:rsidRDefault="00000000">
      <w:pPr>
        <w:pStyle w:val="BodyText"/>
        <w:spacing w:line="249" w:lineRule="auto"/>
        <w:ind w:right="358" w:firstLine="360"/>
      </w:pPr>
      <w:r>
        <w:t xml:space="preserve">GA can be taken to show </w:t>
      </w:r>
      <w:r>
        <w:rPr>
          <w:i/>
        </w:rPr>
        <w:t xml:space="preserve">either </w:t>
      </w:r>
      <w:r>
        <w:t xml:space="preserve">that no inductive inference is better than any other </w:t>
      </w:r>
      <w:r>
        <w:rPr>
          <w:i/>
        </w:rPr>
        <w:t xml:space="preserve">or </w:t>
      </w:r>
      <w:r>
        <w:t xml:space="preserve">that, since some inductive inferences clearly are better than others, GA must involve an error of some kind. Supposing that the second interpretation is the right one, it’s easy to identify the problem with GA. Contrary to what that argument tacitly assumes, induction does not have strictly observational basis. From a strictly </w:t>
      </w:r>
      <w:r>
        <w:rPr>
          <w:i/>
        </w:rPr>
        <w:t xml:space="preserve">observational </w:t>
      </w:r>
      <w:r>
        <w:t>standpoint, it’s no less correct to describe an emerald examined in 2009 as “grue” than it is to describe</w:t>
      </w:r>
      <w:r>
        <w:rPr>
          <w:spacing w:val="-1"/>
        </w:rPr>
        <w:t xml:space="preserve"> </w:t>
      </w:r>
      <w:r>
        <w:t>it</w:t>
      </w:r>
      <w:r>
        <w:rPr>
          <w:spacing w:val="-1"/>
        </w:rPr>
        <w:t xml:space="preserve"> </w:t>
      </w:r>
      <w:r>
        <w:t>as</w:t>
      </w:r>
      <w:r>
        <w:rPr>
          <w:spacing w:val="-1"/>
        </w:rPr>
        <w:t xml:space="preserve"> </w:t>
      </w:r>
      <w:r>
        <w:t>“green.”</w:t>
      </w:r>
      <w:r>
        <w:rPr>
          <w:spacing w:val="-1"/>
        </w:rPr>
        <w:t xml:space="preserve"> </w:t>
      </w:r>
      <w:r>
        <w:t>Given</w:t>
      </w:r>
      <w:r>
        <w:rPr>
          <w:spacing w:val="-1"/>
        </w:rPr>
        <w:t xml:space="preserve"> </w:t>
      </w:r>
      <w:r>
        <w:t>any</w:t>
      </w:r>
      <w:r>
        <w:rPr>
          <w:spacing w:val="-1"/>
        </w:rPr>
        <w:t xml:space="preserve"> </w:t>
      </w:r>
      <w:r>
        <w:t>body</w:t>
      </w:r>
      <w:r>
        <w:rPr>
          <w:spacing w:val="-1"/>
        </w:rPr>
        <w:t xml:space="preserve"> </w:t>
      </w:r>
      <w:r>
        <w:t>of</w:t>
      </w:r>
      <w:r>
        <w:rPr>
          <w:spacing w:val="-1"/>
        </w:rPr>
        <w:t xml:space="preserve"> </w:t>
      </w:r>
      <w:r>
        <w:t>data,</w:t>
      </w:r>
      <w:r>
        <w:rPr>
          <w:spacing w:val="-1"/>
        </w:rPr>
        <w:t xml:space="preserve"> </w:t>
      </w:r>
      <w:r>
        <w:t>there</w:t>
      </w:r>
      <w:r>
        <w:rPr>
          <w:spacing w:val="-1"/>
        </w:rPr>
        <w:t xml:space="preserve"> </w:t>
      </w:r>
      <w:r>
        <w:t>are</w:t>
      </w:r>
      <w:r>
        <w:rPr>
          <w:spacing w:val="-1"/>
        </w:rPr>
        <w:t xml:space="preserve"> </w:t>
      </w:r>
      <w:r>
        <w:t>different,</w:t>
      </w:r>
      <w:r>
        <w:rPr>
          <w:spacing w:val="-1"/>
        </w:rPr>
        <w:t xml:space="preserve"> </w:t>
      </w:r>
      <w:r>
        <w:t>but</w:t>
      </w:r>
      <w:r>
        <w:rPr>
          <w:spacing w:val="-1"/>
        </w:rPr>
        <w:t xml:space="preserve"> </w:t>
      </w:r>
      <w:r>
        <w:t xml:space="preserve">equally </w:t>
      </w:r>
      <w:r>
        <w:rPr>
          <w:i/>
        </w:rPr>
        <w:t xml:space="preserve">observationally legitimate </w:t>
      </w:r>
      <w:r>
        <w:t xml:space="preserve">ways of describing it. This means that, if any inductions are better than any others, we must have legitimate but at least partly </w:t>
      </w:r>
      <w:r>
        <w:rPr>
          <w:i/>
        </w:rPr>
        <w:t>non</w:t>
      </w:r>
      <w:r>
        <w:t xml:space="preserve">observational grounds for believing that, when making inductive inferences, certain properties (e.g., </w:t>
      </w:r>
      <w:r>
        <w:rPr>
          <w:i/>
        </w:rPr>
        <w:t>green</w:t>
      </w:r>
      <w:r>
        <w:t xml:space="preserve">) are relevant and others (e.g., </w:t>
      </w:r>
      <w:r>
        <w:rPr>
          <w:i/>
        </w:rPr>
        <w:t>grue</w:t>
      </w:r>
      <w:r>
        <w:t>) are not. (These grounds are identified in Chapters 12 and 18.)</w:t>
      </w:r>
    </w:p>
    <w:p w14:paraId="7E00085A" w14:textId="77777777" w:rsidR="009A58DB" w:rsidRDefault="00000000">
      <w:pPr>
        <w:pStyle w:val="Heading1"/>
        <w:numPr>
          <w:ilvl w:val="1"/>
          <w:numId w:val="224"/>
        </w:numPr>
        <w:tabs>
          <w:tab w:val="left" w:pos="1080"/>
        </w:tabs>
        <w:spacing w:before="204"/>
        <w:ind w:left="1080" w:hanging="720"/>
      </w:pPr>
      <w:r>
        <w:t>The</w:t>
      </w:r>
      <w:r>
        <w:rPr>
          <w:spacing w:val="31"/>
          <w:w w:val="150"/>
        </w:rPr>
        <w:t xml:space="preserve"> </w:t>
      </w:r>
      <w:r>
        <w:t>brokenness</w:t>
      </w:r>
      <w:r>
        <w:rPr>
          <w:spacing w:val="34"/>
          <w:w w:val="150"/>
        </w:rPr>
        <w:t xml:space="preserve"> </w:t>
      </w:r>
      <w:r>
        <w:t>of</w:t>
      </w:r>
      <w:r>
        <w:rPr>
          <w:spacing w:val="34"/>
          <w:w w:val="150"/>
        </w:rPr>
        <w:t xml:space="preserve"> </w:t>
      </w:r>
      <w:r>
        <w:t>the</w:t>
      </w:r>
      <w:r>
        <w:rPr>
          <w:spacing w:val="33"/>
          <w:w w:val="150"/>
        </w:rPr>
        <w:t xml:space="preserve"> </w:t>
      </w:r>
      <w:r>
        <w:t>concept</w:t>
      </w:r>
      <w:r>
        <w:rPr>
          <w:spacing w:val="34"/>
          <w:w w:val="150"/>
        </w:rPr>
        <w:t xml:space="preserve"> </w:t>
      </w:r>
      <w:r>
        <w:t>of</w:t>
      </w:r>
      <w:r>
        <w:rPr>
          <w:spacing w:val="34"/>
          <w:w w:val="150"/>
        </w:rPr>
        <w:t xml:space="preserve"> </w:t>
      </w:r>
      <w:r>
        <w:rPr>
          <w:spacing w:val="-2"/>
        </w:rPr>
        <w:t>tautological</w:t>
      </w:r>
    </w:p>
    <w:p w14:paraId="7E00085B" w14:textId="77777777" w:rsidR="009A58DB" w:rsidRDefault="009A58DB">
      <w:pPr>
        <w:pStyle w:val="Heading1"/>
        <w:sectPr w:rsidR="009A58DB">
          <w:pgSz w:w="12240" w:h="15840"/>
          <w:pgMar w:top="1380" w:right="1080" w:bottom="280" w:left="1080" w:header="720" w:footer="720" w:gutter="0"/>
          <w:cols w:space="720"/>
        </w:sectPr>
      </w:pPr>
    </w:p>
    <w:p w14:paraId="7E00085C" w14:textId="77777777" w:rsidR="009A58DB" w:rsidRDefault="00000000">
      <w:pPr>
        <w:spacing w:before="53"/>
        <w:ind w:left="1080"/>
        <w:rPr>
          <w:b/>
          <w:sz w:val="42"/>
        </w:rPr>
      </w:pPr>
      <w:r>
        <w:rPr>
          <w:b/>
          <w:spacing w:val="-2"/>
          <w:sz w:val="42"/>
        </w:rPr>
        <w:lastRenderedPageBreak/>
        <w:t>truth</w:t>
      </w:r>
    </w:p>
    <w:p w14:paraId="7E00085D" w14:textId="77777777" w:rsidR="009A58DB" w:rsidRDefault="00000000">
      <w:pPr>
        <w:pStyle w:val="BodyText"/>
        <w:spacing w:before="144" w:line="249" w:lineRule="auto"/>
        <w:ind w:right="359" w:firstLine="360"/>
      </w:pPr>
      <w:r>
        <w:t>In this section we'll see that it is utterances of sentences, not sentences per se, that are tautologies. For reasons that will become clear, this entails that, contrary to what LP alleges, non-empirical truth cannot be identified with conventional truth.</w:t>
      </w:r>
    </w:p>
    <w:p w14:paraId="7E00085E" w14:textId="77777777" w:rsidR="009A58DB" w:rsidRDefault="00000000">
      <w:pPr>
        <w:pStyle w:val="BodyText"/>
        <w:spacing w:before="5" w:line="249" w:lineRule="auto"/>
        <w:ind w:right="359" w:firstLine="360"/>
      </w:pPr>
      <w:r>
        <w:t>Whether a given utterance is tautologous very much depends on the manner in which the person hearing that utterance learned the meanings of</w:t>
      </w:r>
      <w:r>
        <w:rPr>
          <w:spacing w:val="40"/>
        </w:rPr>
        <w:t xml:space="preserve"> </w:t>
      </w:r>
      <w:r>
        <w:t>the expressions composing it. A story may help make this clear. You don’t know</w:t>
      </w:r>
      <w:r>
        <w:rPr>
          <w:spacing w:val="-1"/>
        </w:rPr>
        <w:t xml:space="preserve"> </w:t>
      </w:r>
      <w:r>
        <w:t>to</w:t>
      </w:r>
      <w:r>
        <w:rPr>
          <w:spacing w:val="-1"/>
        </w:rPr>
        <w:t xml:space="preserve"> </w:t>
      </w:r>
      <w:r>
        <w:t>what</w:t>
      </w:r>
      <w:r>
        <w:rPr>
          <w:spacing w:val="-2"/>
        </w:rPr>
        <w:t xml:space="preserve"> </w:t>
      </w:r>
      <w:r>
        <w:t>length</w:t>
      </w:r>
      <w:r>
        <w:rPr>
          <w:spacing w:val="-1"/>
        </w:rPr>
        <w:t xml:space="preserve"> </w:t>
      </w:r>
      <w:r>
        <w:t>the</w:t>
      </w:r>
      <w:r>
        <w:rPr>
          <w:spacing w:val="-1"/>
        </w:rPr>
        <w:t xml:space="preserve"> </w:t>
      </w:r>
      <w:r>
        <w:t>word</w:t>
      </w:r>
      <w:r>
        <w:rPr>
          <w:spacing w:val="-1"/>
        </w:rPr>
        <w:t xml:space="preserve"> </w:t>
      </w:r>
      <w:r>
        <w:t>“yard”</w:t>
      </w:r>
      <w:r>
        <w:rPr>
          <w:spacing w:val="-1"/>
        </w:rPr>
        <w:t xml:space="preserve"> </w:t>
      </w:r>
      <w:r>
        <w:t>refers,</w:t>
      </w:r>
      <w:r>
        <w:rPr>
          <w:spacing w:val="-1"/>
        </w:rPr>
        <w:t xml:space="preserve"> </w:t>
      </w:r>
      <w:r>
        <w:t>and</w:t>
      </w:r>
      <w:r>
        <w:rPr>
          <w:spacing w:val="-1"/>
        </w:rPr>
        <w:t xml:space="preserve"> </w:t>
      </w:r>
      <w:r>
        <w:t>you</w:t>
      </w:r>
      <w:r>
        <w:rPr>
          <w:spacing w:val="-1"/>
        </w:rPr>
        <w:t xml:space="preserve"> </w:t>
      </w:r>
      <w:r>
        <w:t>ask</w:t>
      </w:r>
      <w:r>
        <w:rPr>
          <w:spacing w:val="-1"/>
        </w:rPr>
        <w:t xml:space="preserve"> </w:t>
      </w:r>
      <w:r>
        <w:t>your</w:t>
      </w:r>
      <w:r>
        <w:rPr>
          <w:spacing w:val="-1"/>
        </w:rPr>
        <w:t xml:space="preserve"> </w:t>
      </w:r>
      <w:r>
        <w:t>friend</w:t>
      </w:r>
      <w:r>
        <w:rPr>
          <w:spacing w:val="-1"/>
        </w:rPr>
        <w:t xml:space="preserve"> </w:t>
      </w:r>
      <w:r>
        <w:t>Smith</w:t>
      </w:r>
      <w:r>
        <w:rPr>
          <w:spacing w:val="-1"/>
        </w:rPr>
        <w:t xml:space="preserve"> </w:t>
      </w:r>
      <w:r>
        <w:t xml:space="preserve">to give you this information. In response, he points to some object L and says: “the length of </w:t>
      </w:r>
      <w:r>
        <w:rPr>
          <w:i/>
        </w:rPr>
        <w:t xml:space="preserve">that </w:t>
      </w:r>
      <w:r>
        <w:t xml:space="preserve">object is one yard.” L is </w:t>
      </w:r>
      <w:r>
        <w:rPr>
          <w:i/>
        </w:rPr>
        <w:t xml:space="preserve">in fact </w:t>
      </w:r>
      <w:r>
        <w:t>three-feet long. But you can’t tell this just from looking at it. You can tell roughly, but not exactly, how long L is. You don’t bother to measure L. This all happens on Monday.</w:t>
      </w:r>
    </w:p>
    <w:p w14:paraId="7E00085F" w14:textId="77777777" w:rsidR="009A58DB" w:rsidRDefault="00000000">
      <w:pPr>
        <w:pStyle w:val="BodyText"/>
        <w:spacing w:before="9" w:line="249" w:lineRule="auto"/>
        <w:ind w:right="354" w:firstLine="360"/>
      </w:pPr>
      <w:r>
        <w:t>The</w:t>
      </w:r>
      <w:r>
        <w:rPr>
          <w:spacing w:val="-19"/>
        </w:rPr>
        <w:t xml:space="preserve"> </w:t>
      </w:r>
      <w:r>
        <w:t>next</w:t>
      </w:r>
      <w:r>
        <w:rPr>
          <w:spacing w:val="-19"/>
        </w:rPr>
        <w:t xml:space="preserve"> </w:t>
      </w:r>
      <w:r>
        <w:t>day,</w:t>
      </w:r>
      <w:r>
        <w:rPr>
          <w:spacing w:val="-19"/>
        </w:rPr>
        <w:t xml:space="preserve"> </w:t>
      </w:r>
      <w:r>
        <w:t>you</w:t>
      </w:r>
      <w:r>
        <w:rPr>
          <w:spacing w:val="-18"/>
        </w:rPr>
        <w:t xml:space="preserve"> </w:t>
      </w:r>
      <w:r>
        <w:t>see</w:t>
      </w:r>
      <w:r>
        <w:rPr>
          <w:spacing w:val="-19"/>
        </w:rPr>
        <w:t xml:space="preserve"> </w:t>
      </w:r>
      <w:r>
        <w:t>some</w:t>
      </w:r>
      <w:r>
        <w:rPr>
          <w:spacing w:val="-19"/>
        </w:rPr>
        <w:t xml:space="preserve"> </w:t>
      </w:r>
      <w:r>
        <w:t>object</w:t>
      </w:r>
      <w:r>
        <w:rPr>
          <w:spacing w:val="-19"/>
        </w:rPr>
        <w:t xml:space="preserve"> </w:t>
      </w:r>
      <w:r>
        <w:t>M.</w:t>
      </w:r>
      <w:r>
        <w:rPr>
          <w:spacing w:val="-18"/>
        </w:rPr>
        <w:t xml:space="preserve"> </w:t>
      </w:r>
      <w:r>
        <w:t>You</w:t>
      </w:r>
      <w:r>
        <w:rPr>
          <w:spacing w:val="-19"/>
        </w:rPr>
        <w:t xml:space="preserve"> </w:t>
      </w:r>
      <w:r>
        <w:t>measure</w:t>
      </w:r>
      <w:r>
        <w:rPr>
          <w:spacing w:val="-18"/>
        </w:rPr>
        <w:t xml:space="preserve"> </w:t>
      </w:r>
      <w:r>
        <w:t>it</w:t>
      </w:r>
      <w:r>
        <w:rPr>
          <w:spacing w:val="-19"/>
        </w:rPr>
        <w:t xml:space="preserve"> </w:t>
      </w:r>
      <w:r>
        <w:t>and</w:t>
      </w:r>
      <w:r>
        <w:rPr>
          <w:spacing w:val="-17"/>
        </w:rPr>
        <w:t xml:space="preserve"> </w:t>
      </w:r>
      <w:r>
        <w:t>find</w:t>
      </w:r>
      <w:r>
        <w:rPr>
          <w:spacing w:val="-18"/>
        </w:rPr>
        <w:t xml:space="preserve"> </w:t>
      </w:r>
      <w:r>
        <w:t>that</w:t>
      </w:r>
      <w:r>
        <w:rPr>
          <w:spacing w:val="-18"/>
        </w:rPr>
        <w:t xml:space="preserve"> </w:t>
      </w:r>
      <w:r>
        <w:t>its</w:t>
      </w:r>
      <w:r>
        <w:rPr>
          <w:spacing w:val="-17"/>
        </w:rPr>
        <w:t xml:space="preserve"> </w:t>
      </w:r>
      <w:r>
        <w:t xml:space="preserve">length </w:t>
      </w:r>
      <w:r>
        <w:rPr>
          <w:spacing w:val="-2"/>
        </w:rPr>
        <w:t>is</w:t>
      </w:r>
      <w:r>
        <w:rPr>
          <w:spacing w:val="-17"/>
        </w:rPr>
        <w:t xml:space="preserve"> </w:t>
      </w:r>
      <w:r>
        <w:rPr>
          <w:spacing w:val="-2"/>
        </w:rPr>
        <w:t>three</w:t>
      </w:r>
      <w:r>
        <w:rPr>
          <w:spacing w:val="-17"/>
        </w:rPr>
        <w:t xml:space="preserve"> </w:t>
      </w:r>
      <w:r>
        <w:rPr>
          <w:spacing w:val="-2"/>
        </w:rPr>
        <w:t>feet.</w:t>
      </w:r>
      <w:r>
        <w:rPr>
          <w:spacing w:val="-17"/>
        </w:rPr>
        <w:t xml:space="preserve"> </w:t>
      </w:r>
      <w:r>
        <w:rPr>
          <w:spacing w:val="-2"/>
        </w:rPr>
        <w:t>You</w:t>
      </w:r>
      <w:r>
        <w:rPr>
          <w:spacing w:val="-16"/>
        </w:rPr>
        <w:t xml:space="preserve"> </w:t>
      </w:r>
      <w:r>
        <w:rPr>
          <w:spacing w:val="-2"/>
        </w:rPr>
        <w:t>tell</w:t>
      </w:r>
      <w:r>
        <w:rPr>
          <w:spacing w:val="-17"/>
        </w:rPr>
        <w:t xml:space="preserve"> </w:t>
      </w:r>
      <w:r>
        <w:rPr>
          <w:spacing w:val="-2"/>
        </w:rPr>
        <w:t>your</w:t>
      </w:r>
      <w:r>
        <w:rPr>
          <w:spacing w:val="-17"/>
        </w:rPr>
        <w:t xml:space="preserve"> </w:t>
      </w:r>
      <w:r>
        <w:rPr>
          <w:spacing w:val="-2"/>
        </w:rPr>
        <w:t>(still</w:t>
      </w:r>
      <w:r>
        <w:rPr>
          <w:spacing w:val="-17"/>
        </w:rPr>
        <w:t xml:space="preserve"> </w:t>
      </w:r>
      <w:r>
        <w:rPr>
          <w:spacing w:val="-2"/>
        </w:rPr>
        <w:t>present)</w:t>
      </w:r>
      <w:r>
        <w:rPr>
          <w:spacing w:val="-16"/>
        </w:rPr>
        <w:t xml:space="preserve"> </w:t>
      </w:r>
      <w:r>
        <w:rPr>
          <w:spacing w:val="-2"/>
        </w:rPr>
        <w:t>friend</w:t>
      </w:r>
      <w:r>
        <w:rPr>
          <w:spacing w:val="-17"/>
        </w:rPr>
        <w:t xml:space="preserve"> </w:t>
      </w:r>
      <w:r>
        <w:rPr>
          <w:spacing w:val="-2"/>
        </w:rPr>
        <w:t>Smith</w:t>
      </w:r>
      <w:r>
        <w:rPr>
          <w:spacing w:val="-17"/>
        </w:rPr>
        <w:t xml:space="preserve"> </w:t>
      </w:r>
      <w:r>
        <w:rPr>
          <w:spacing w:val="-2"/>
        </w:rPr>
        <w:t>that</w:t>
      </w:r>
      <w:r>
        <w:rPr>
          <w:spacing w:val="-17"/>
        </w:rPr>
        <w:t xml:space="preserve"> </w:t>
      </w:r>
      <w:r>
        <w:rPr>
          <w:spacing w:val="-2"/>
        </w:rPr>
        <w:t>M</w:t>
      </w:r>
      <w:r>
        <w:rPr>
          <w:spacing w:val="-16"/>
        </w:rPr>
        <w:t xml:space="preserve"> </w:t>
      </w:r>
      <w:r>
        <w:rPr>
          <w:spacing w:val="-2"/>
        </w:rPr>
        <w:t>is</w:t>
      </w:r>
      <w:r>
        <w:rPr>
          <w:spacing w:val="-17"/>
        </w:rPr>
        <w:t xml:space="preserve"> </w:t>
      </w:r>
      <w:r>
        <w:rPr>
          <w:spacing w:val="-2"/>
        </w:rPr>
        <w:t>exactly</w:t>
      </w:r>
      <w:r>
        <w:rPr>
          <w:spacing w:val="-17"/>
        </w:rPr>
        <w:t xml:space="preserve"> </w:t>
      </w:r>
      <w:r>
        <w:rPr>
          <w:spacing w:val="-2"/>
        </w:rPr>
        <w:t xml:space="preserve">three-feet </w:t>
      </w:r>
      <w:r>
        <w:t>long.</w:t>
      </w:r>
      <w:r>
        <w:rPr>
          <w:spacing w:val="-19"/>
        </w:rPr>
        <w:t xml:space="preserve"> </w:t>
      </w:r>
      <w:r>
        <w:t>You</w:t>
      </w:r>
      <w:r>
        <w:rPr>
          <w:spacing w:val="-19"/>
        </w:rPr>
        <w:t xml:space="preserve"> </w:t>
      </w:r>
      <w:r>
        <w:t>know,</w:t>
      </w:r>
      <w:r>
        <w:rPr>
          <w:spacing w:val="-19"/>
        </w:rPr>
        <w:t xml:space="preserve"> </w:t>
      </w:r>
      <w:r>
        <w:t>of</w:t>
      </w:r>
      <w:r>
        <w:rPr>
          <w:spacing w:val="-17"/>
        </w:rPr>
        <w:t xml:space="preserve"> </w:t>
      </w:r>
      <w:r>
        <w:t>course,</w:t>
      </w:r>
      <w:r>
        <w:rPr>
          <w:spacing w:val="-17"/>
        </w:rPr>
        <w:t xml:space="preserve"> </w:t>
      </w:r>
      <w:r>
        <w:t>that</w:t>
      </w:r>
      <w:r>
        <w:rPr>
          <w:spacing w:val="-17"/>
        </w:rPr>
        <w:t xml:space="preserve"> </w:t>
      </w:r>
      <w:r>
        <w:t>M’s</w:t>
      </w:r>
      <w:r>
        <w:rPr>
          <w:spacing w:val="-16"/>
        </w:rPr>
        <w:t xml:space="preserve"> </w:t>
      </w:r>
      <w:r>
        <w:t>length</w:t>
      </w:r>
      <w:r>
        <w:rPr>
          <w:spacing w:val="-16"/>
        </w:rPr>
        <w:t xml:space="preserve"> </w:t>
      </w:r>
      <w:r>
        <w:t>is</w:t>
      </w:r>
      <w:r>
        <w:rPr>
          <w:spacing w:val="-16"/>
        </w:rPr>
        <w:t xml:space="preserve"> </w:t>
      </w:r>
      <w:r>
        <w:t>more</w:t>
      </w:r>
      <w:r>
        <w:rPr>
          <w:spacing w:val="-16"/>
        </w:rPr>
        <w:t xml:space="preserve"> </w:t>
      </w:r>
      <w:r>
        <w:t>or</w:t>
      </w:r>
      <w:r>
        <w:rPr>
          <w:spacing w:val="-16"/>
        </w:rPr>
        <w:t xml:space="preserve"> </w:t>
      </w:r>
      <w:r>
        <w:t>less</w:t>
      </w:r>
      <w:r>
        <w:rPr>
          <w:spacing w:val="-16"/>
        </w:rPr>
        <w:t xml:space="preserve"> </w:t>
      </w:r>
      <w:r>
        <w:t>comparable</w:t>
      </w:r>
      <w:r>
        <w:rPr>
          <w:spacing w:val="-16"/>
        </w:rPr>
        <w:t xml:space="preserve"> </w:t>
      </w:r>
      <w:r>
        <w:t>to</w:t>
      </w:r>
      <w:r>
        <w:rPr>
          <w:spacing w:val="-16"/>
        </w:rPr>
        <w:t xml:space="preserve"> </w:t>
      </w:r>
      <w:r>
        <w:t>L’s—that</w:t>
      </w:r>
      <w:r>
        <w:rPr>
          <w:spacing w:val="-17"/>
        </w:rPr>
        <w:t xml:space="preserve"> </w:t>
      </w:r>
      <w:r>
        <w:t>neither</w:t>
      </w:r>
      <w:r>
        <w:rPr>
          <w:spacing w:val="-17"/>
        </w:rPr>
        <w:t xml:space="preserve"> </w:t>
      </w:r>
      <w:r>
        <w:t>length</w:t>
      </w:r>
      <w:r>
        <w:rPr>
          <w:spacing w:val="-17"/>
        </w:rPr>
        <w:t xml:space="preserve"> </w:t>
      </w:r>
      <w:r>
        <w:t>is,</w:t>
      </w:r>
      <w:r>
        <w:rPr>
          <w:spacing w:val="-17"/>
        </w:rPr>
        <w:t xml:space="preserve"> </w:t>
      </w:r>
      <w:r>
        <w:t>for</w:t>
      </w:r>
      <w:r>
        <w:rPr>
          <w:spacing w:val="-17"/>
        </w:rPr>
        <w:t xml:space="preserve"> </w:t>
      </w:r>
      <w:r>
        <w:t>example,</w:t>
      </w:r>
      <w:r>
        <w:rPr>
          <w:spacing w:val="-17"/>
        </w:rPr>
        <w:t xml:space="preserve"> </w:t>
      </w:r>
      <w:r>
        <w:t>ten</w:t>
      </w:r>
      <w:r>
        <w:rPr>
          <w:spacing w:val="-17"/>
        </w:rPr>
        <w:t xml:space="preserve"> </w:t>
      </w:r>
      <w:r>
        <w:t>times</w:t>
      </w:r>
      <w:r>
        <w:rPr>
          <w:spacing w:val="-17"/>
        </w:rPr>
        <w:t xml:space="preserve"> </w:t>
      </w:r>
      <w:r>
        <w:t>as</w:t>
      </w:r>
      <w:r>
        <w:rPr>
          <w:spacing w:val="-17"/>
        </w:rPr>
        <w:t xml:space="preserve"> </w:t>
      </w:r>
      <w:r>
        <w:t>great</w:t>
      </w:r>
      <w:r>
        <w:rPr>
          <w:spacing w:val="-16"/>
        </w:rPr>
        <w:t xml:space="preserve"> </w:t>
      </w:r>
      <w:r>
        <w:t>as</w:t>
      </w:r>
      <w:r>
        <w:rPr>
          <w:spacing w:val="-16"/>
        </w:rPr>
        <w:t xml:space="preserve"> </w:t>
      </w:r>
      <w:r>
        <w:t>the</w:t>
      </w:r>
      <w:r>
        <w:rPr>
          <w:spacing w:val="-16"/>
        </w:rPr>
        <w:t xml:space="preserve"> </w:t>
      </w:r>
      <w:r>
        <w:t>other.</w:t>
      </w:r>
      <w:r>
        <w:rPr>
          <w:spacing w:val="-16"/>
        </w:rPr>
        <w:t xml:space="preserve"> </w:t>
      </w:r>
      <w:r>
        <w:t>But</w:t>
      </w:r>
      <w:r>
        <w:rPr>
          <w:spacing w:val="-16"/>
        </w:rPr>
        <w:t xml:space="preserve"> </w:t>
      </w:r>
      <w:r>
        <w:t>you</w:t>
      </w:r>
      <w:r>
        <w:rPr>
          <w:spacing w:val="-16"/>
        </w:rPr>
        <w:t xml:space="preserve"> </w:t>
      </w:r>
      <w:r>
        <w:t>don’t have precise knowledge of their comparative lengths; you don’t know, for example, whether L’s length is within six inches of M’s. Because you have a passion</w:t>
      </w:r>
      <w:r>
        <w:rPr>
          <w:spacing w:val="-19"/>
        </w:rPr>
        <w:t xml:space="preserve"> </w:t>
      </w:r>
      <w:r>
        <w:t>for</w:t>
      </w:r>
      <w:r>
        <w:rPr>
          <w:spacing w:val="-19"/>
        </w:rPr>
        <w:t xml:space="preserve"> </w:t>
      </w:r>
      <w:r>
        <w:t>knowing</w:t>
      </w:r>
      <w:r>
        <w:rPr>
          <w:spacing w:val="-19"/>
        </w:rPr>
        <w:t xml:space="preserve"> </w:t>
      </w:r>
      <w:r>
        <w:t>the</w:t>
      </w:r>
      <w:r>
        <w:rPr>
          <w:spacing w:val="-18"/>
        </w:rPr>
        <w:t xml:space="preserve"> </w:t>
      </w:r>
      <w:r>
        <w:t>comparative</w:t>
      </w:r>
      <w:r>
        <w:rPr>
          <w:spacing w:val="-19"/>
        </w:rPr>
        <w:t xml:space="preserve"> </w:t>
      </w:r>
      <w:r>
        <w:t>lengths</w:t>
      </w:r>
      <w:r>
        <w:rPr>
          <w:spacing w:val="-19"/>
        </w:rPr>
        <w:t xml:space="preserve"> </w:t>
      </w:r>
      <w:r>
        <w:t>of</w:t>
      </w:r>
      <w:r>
        <w:rPr>
          <w:spacing w:val="-19"/>
        </w:rPr>
        <w:t xml:space="preserve"> </w:t>
      </w:r>
      <w:r>
        <w:t>objects,</w:t>
      </w:r>
      <w:r>
        <w:rPr>
          <w:spacing w:val="-18"/>
        </w:rPr>
        <w:t xml:space="preserve"> </w:t>
      </w:r>
      <w:r>
        <w:t>you</w:t>
      </w:r>
      <w:r>
        <w:rPr>
          <w:spacing w:val="-19"/>
        </w:rPr>
        <w:t xml:space="preserve"> </w:t>
      </w:r>
      <w:r>
        <w:t>find</w:t>
      </w:r>
      <w:r>
        <w:rPr>
          <w:spacing w:val="-19"/>
        </w:rPr>
        <w:t xml:space="preserve"> </w:t>
      </w:r>
      <w:r>
        <w:t>this</w:t>
      </w:r>
      <w:r>
        <w:rPr>
          <w:spacing w:val="-19"/>
        </w:rPr>
        <w:t xml:space="preserve"> </w:t>
      </w:r>
      <w:r>
        <w:t>upsetting, and you tell Smith that you wish you knew how L’s length compared to M’s. Smith says: “I don’t know</w:t>
      </w:r>
      <w:r>
        <w:rPr>
          <w:spacing w:val="-19"/>
        </w:rPr>
        <w:t xml:space="preserve"> </w:t>
      </w:r>
      <w:r>
        <w:t>why you’re upset. You’ve measured M and found that it’s three-feet long. Since, as you know, L is a yard long, it’s patently obvious what M’s length is.” You don’t quite know what he means, and you tell him this. Somewhat irritated, he says:</w:t>
      </w:r>
    </w:p>
    <w:p w14:paraId="7E000860" w14:textId="77777777" w:rsidR="009A58DB" w:rsidRDefault="009A58DB">
      <w:pPr>
        <w:pStyle w:val="BodyText"/>
        <w:spacing w:before="30"/>
        <w:ind w:left="0"/>
        <w:jc w:val="left"/>
      </w:pPr>
    </w:p>
    <w:p w14:paraId="7E000861" w14:textId="77777777" w:rsidR="009A58DB" w:rsidRDefault="00000000">
      <w:pPr>
        <w:pStyle w:val="BodyText"/>
        <w:jc w:val="left"/>
      </w:pPr>
      <w:r>
        <w:t>(i)</w:t>
      </w:r>
      <w:r>
        <w:rPr>
          <w:spacing w:val="-4"/>
        </w:rPr>
        <w:t xml:space="preserve"> </w:t>
      </w:r>
      <w:r>
        <w:t>“there</w:t>
      </w:r>
      <w:r>
        <w:rPr>
          <w:spacing w:val="-3"/>
        </w:rPr>
        <w:t xml:space="preserve"> </w:t>
      </w:r>
      <w:r>
        <w:t>are</w:t>
      </w:r>
      <w:r>
        <w:rPr>
          <w:spacing w:val="-3"/>
        </w:rPr>
        <w:t xml:space="preserve"> </w:t>
      </w:r>
      <w:r>
        <w:t>three</w:t>
      </w:r>
      <w:r>
        <w:rPr>
          <w:spacing w:val="-3"/>
        </w:rPr>
        <w:t xml:space="preserve"> </w:t>
      </w:r>
      <w:r>
        <w:t>feet</w:t>
      </w:r>
      <w:r>
        <w:rPr>
          <w:spacing w:val="-3"/>
        </w:rPr>
        <w:t xml:space="preserve"> </w:t>
      </w:r>
      <w:r>
        <w:t>in</w:t>
      </w:r>
      <w:r>
        <w:rPr>
          <w:spacing w:val="-2"/>
        </w:rPr>
        <w:t xml:space="preserve"> </w:t>
      </w:r>
      <w:r>
        <w:t>a</w:t>
      </w:r>
      <w:r>
        <w:rPr>
          <w:spacing w:val="-3"/>
        </w:rPr>
        <w:t xml:space="preserve"> </w:t>
      </w:r>
      <w:r>
        <w:rPr>
          <w:spacing w:val="-2"/>
        </w:rPr>
        <w:t>yard.”</w:t>
      </w:r>
    </w:p>
    <w:p w14:paraId="7E000862" w14:textId="77777777" w:rsidR="009A58DB" w:rsidRDefault="009A58DB">
      <w:pPr>
        <w:pStyle w:val="BodyText"/>
        <w:spacing w:before="30"/>
        <w:ind w:left="0"/>
        <w:jc w:val="left"/>
      </w:pPr>
    </w:p>
    <w:p w14:paraId="7E000863" w14:textId="77777777" w:rsidR="009A58DB" w:rsidRDefault="00000000">
      <w:pPr>
        <w:pStyle w:val="BodyText"/>
        <w:spacing w:line="249" w:lineRule="auto"/>
        <w:ind w:right="360"/>
      </w:pPr>
      <w:r>
        <w:t xml:space="preserve">Under these circumstances, (i) is </w:t>
      </w:r>
      <w:r>
        <w:rPr>
          <w:i/>
        </w:rPr>
        <w:t>not</w:t>
      </w:r>
      <w:r>
        <w:rPr>
          <w:i/>
          <w:spacing w:val="-3"/>
        </w:rPr>
        <w:t xml:space="preserve"> </w:t>
      </w:r>
      <w:r>
        <w:t xml:space="preserve">trivial and, therefore, is </w:t>
      </w:r>
      <w:r>
        <w:rPr>
          <w:i/>
        </w:rPr>
        <w:t xml:space="preserve">not </w:t>
      </w:r>
      <w:r>
        <w:t>a tautology. It</w:t>
      </w:r>
      <w:r>
        <w:rPr>
          <w:spacing w:val="-4"/>
        </w:rPr>
        <w:t xml:space="preserve"> </w:t>
      </w:r>
      <w:r>
        <w:rPr>
          <w:i/>
        </w:rPr>
        <w:t>would</w:t>
      </w:r>
      <w:r>
        <w:rPr>
          <w:i/>
          <w:spacing w:val="-3"/>
        </w:rPr>
        <w:t xml:space="preserve"> </w:t>
      </w:r>
      <w:r>
        <w:t>be</w:t>
      </w:r>
      <w:r>
        <w:rPr>
          <w:spacing w:val="-1"/>
        </w:rPr>
        <w:t xml:space="preserve"> </w:t>
      </w:r>
      <w:r>
        <w:t>tautologous</w:t>
      </w:r>
      <w:r>
        <w:rPr>
          <w:spacing w:val="-1"/>
        </w:rPr>
        <w:t xml:space="preserve"> </w:t>
      </w:r>
      <w:r>
        <w:t>if</w:t>
      </w:r>
      <w:r>
        <w:rPr>
          <w:spacing w:val="-1"/>
        </w:rPr>
        <w:t xml:space="preserve"> </w:t>
      </w:r>
      <w:r>
        <w:t>you</w:t>
      </w:r>
      <w:r>
        <w:rPr>
          <w:spacing w:val="-1"/>
        </w:rPr>
        <w:t xml:space="preserve"> </w:t>
      </w:r>
      <w:r>
        <w:t>had</w:t>
      </w:r>
      <w:r>
        <w:rPr>
          <w:spacing w:val="-1"/>
        </w:rPr>
        <w:t xml:space="preserve"> </w:t>
      </w:r>
      <w:r>
        <w:t>learned</w:t>
      </w:r>
      <w:r>
        <w:rPr>
          <w:spacing w:val="-1"/>
        </w:rPr>
        <w:t xml:space="preserve"> </w:t>
      </w:r>
      <w:r>
        <w:t>the</w:t>
      </w:r>
      <w:r>
        <w:rPr>
          <w:spacing w:val="-1"/>
        </w:rPr>
        <w:t xml:space="preserve"> </w:t>
      </w:r>
      <w:r>
        <w:t>meaning</w:t>
      </w:r>
      <w:r>
        <w:rPr>
          <w:spacing w:val="-1"/>
        </w:rPr>
        <w:t xml:space="preserve"> </w:t>
      </w:r>
      <w:r>
        <w:t>of</w:t>
      </w:r>
      <w:r>
        <w:rPr>
          <w:spacing w:val="-1"/>
        </w:rPr>
        <w:t xml:space="preserve"> </w:t>
      </w:r>
      <w:r>
        <w:t>the</w:t>
      </w:r>
      <w:r>
        <w:rPr>
          <w:spacing w:val="-1"/>
        </w:rPr>
        <w:t xml:space="preserve"> </w:t>
      </w:r>
      <w:r>
        <w:t>word</w:t>
      </w:r>
      <w:r>
        <w:rPr>
          <w:spacing w:val="-1"/>
        </w:rPr>
        <w:t xml:space="preserve"> </w:t>
      </w:r>
      <w:r>
        <w:t>“yard”</w:t>
      </w:r>
      <w:r>
        <w:rPr>
          <w:spacing w:val="-1"/>
        </w:rPr>
        <w:t xml:space="preserve"> </w:t>
      </w:r>
      <w:r>
        <w:t xml:space="preserve">by being told that “yards are lengths of three feet.” But this isn’t how you were told it. You were </w:t>
      </w:r>
      <w:r>
        <w:rPr>
          <w:i/>
        </w:rPr>
        <w:t xml:space="preserve">shown </w:t>
      </w:r>
      <w:r>
        <w:t xml:space="preserve">a yard-long object and told that the word “yard” refers to its length. Obviously that visual perception </w:t>
      </w:r>
      <w:r>
        <w:rPr>
          <w:i/>
        </w:rPr>
        <w:t xml:space="preserve">did </w:t>
      </w:r>
      <w:r>
        <w:t xml:space="preserve">apprise you of that object’s length. But the </w:t>
      </w:r>
      <w:r>
        <w:rPr>
          <w:i/>
        </w:rPr>
        <w:t>way</w:t>
      </w:r>
      <w:r>
        <w:rPr>
          <w:i/>
          <w:spacing w:val="-4"/>
        </w:rPr>
        <w:t xml:space="preserve"> </w:t>
      </w:r>
      <w:r>
        <w:t>it described that length to you was different from the</w:t>
      </w:r>
      <w:r>
        <w:rPr>
          <w:spacing w:val="-3"/>
        </w:rPr>
        <w:t xml:space="preserve"> </w:t>
      </w:r>
      <w:r>
        <w:rPr>
          <w:i/>
        </w:rPr>
        <w:t>way</w:t>
      </w:r>
      <w:r>
        <w:rPr>
          <w:i/>
          <w:spacing w:val="-3"/>
        </w:rPr>
        <w:t xml:space="preserve"> </w:t>
      </w:r>
      <w:r>
        <w:t>that this same information would be conveyed to you by an utterance</w:t>
      </w:r>
    </w:p>
    <w:p w14:paraId="7E00086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65" w14:textId="77777777" w:rsidR="009A58DB" w:rsidRDefault="00000000">
      <w:pPr>
        <w:pStyle w:val="BodyText"/>
        <w:spacing w:before="65"/>
      </w:pPr>
      <w:r>
        <w:lastRenderedPageBreak/>
        <w:t>of:</w:t>
      </w:r>
      <w:r>
        <w:rPr>
          <w:spacing w:val="-5"/>
        </w:rPr>
        <w:t xml:space="preserve"> </w:t>
      </w:r>
      <w:r>
        <w:t>“the</w:t>
      </w:r>
      <w:r>
        <w:rPr>
          <w:spacing w:val="-2"/>
        </w:rPr>
        <w:t xml:space="preserve"> </w:t>
      </w:r>
      <w:r>
        <w:t>lenght</w:t>
      </w:r>
      <w:r>
        <w:rPr>
          <w:spacing w:val="-2"/>
        </w:rPr>
        <w:t xml:space="preserve"> </w:t>
      </w:r>
      <w:r>
        <w:t>of</w:t>
      </w:r>
      <w:r>
        <w:rPr>
          <w:spacing w:val="-2"/>
        </w:rPr>
        <w:t xml:space="preserve"> </w:t>
      </w:r>
      <w:r>
        <w:rPr>
          <w:i/>
        </w:rPr>
        <w:t>that</w:t>
      </w:r>
      <w:r>
        <w:rPr>
          <w:i/>
          <w:spacing w:val="-3"/>
        </w:rPr>
        <w:t xml:space="preserve"> </w:t>
      </w:r>
      <w:r>
        <w:t>object</w:t>
      </w:r>
      <w:r>
        <w:rPr>
          <w:spacing w:val="-2"/>
        </w:rPr>
        <w:t xml:space="preserve"> </w:t>
      </w:r>
      <w:r>
        <w:t>is</w:t>
      </w:r>
      <w:r>
        <w:rPr>
          <w:spacing w:val="-2"/>
        </w:rPr>
        <w:t xml:space="preserve"> </w:t>
      </w:r>
      <w:r>
        <w:t>one</w:t>
      </w:r>
      <w:r>
        <w:rPr>
          <w:spacing w:val="-2"/>
        </w:rPr>
        <w:t xml:space="preserve"> yard.”</w:t>
      </w:r>
    </w:p>
    <w:p w14:paraId="7E000866" w14:textId="77777777" w:rsidR="009A58DB" w:rsidRDefault="00000000">
      <w:pPr>
        <w:pStyle w:val="BodyText"/>
        <w:spacing w:before="15" w:line="249" w:lineRule="auto"/>
        <w:ind w:right="358" w:firstLine="360"/>
      </w:pPr>
      <w:r>
        <w:t>And given the information embodied in your visual perception’s of L and M, it wouldn’t be a trivial matter to know that the length described by the contents of your L-perceptions coincided with that described by your M-perceptions. Therefore, (i) would not, under those circumstances, express a tautology,</w:t>
      </w:r>
      <w:r>
        <w:rPr>
          <w:spacing w:val="-2"/>
        </w:rPr>
        <w:t xml:space="preserve"> </w:t>
      </w:r>
      <w:r>
        <w:t>at</w:t>
      </w:r>
      <w:r>
        <w:rPr>
          <w:spacing w:val="-2"/>
        </w:rPr>
        <w:t xml:space="preserve"> </w:t>
      </w:r>
      <w:r>
        <w:t>least</w:t>
      </w:r>
      <w:r>
        <w:rPr>
          <w:spacing w:val="-2"/>
        </w:rPr>
        <w:t xml:space="preserve"> </w:t>
      </w:r>
      <w:r>
        <w:t>not</w:t>
      </w:r>
      <w:r>
        <w:rPr>
          <w:spacing w:val="-2"/>
        </w:rPr>
        <w:t xml:space="preserve"> </w:t>
      </w:r>
      <w:r>
        <w:t>from</w:t>
      </w:r>
      <w:r>
        <w:rPr>
          <w:spacing w:val="-2"/>
        </w:rPr>
        <w:t xml:space="preserve"> </w:t>
      </w:r>
      <w:r>
        <w:t>your</w:t>
      </w:r>
      <w:r>
        <w:rPr>
          <w:spacing w:val="-2"/>
        </w:rPr>
        <w:t xml:space="preserve"> </w:t>
      </w:r>
      <w:r>
        <w:t>perspective.</w:t>
      </w:r>
      <w:r>
        <w:rPr>
          <w:spacing w:val="-2"/>
        </w:rPr>
        <w:t xml:space="preserve"> </w:t>
      </w:r>
      <w:r>
        <w:t>But</w:t>
      </w:r>
      <w:r>
        <w:rPr>
          <w:spacing w:val="-2"/>
        </w:rPr>
        <w:t xml:space="preserve"> </w:t>
      </w:r>
      <w:r>
        <w:t>it</w:t>
      </w:r>
      <w:r>
        <w:rPr>
          <w:spacing w:val="-2"/>
        </w:rPr>
        <w:t xml:space="preserve"> </w:t>
      </w:r>
      <w:r>
        <w:rPr>
          <w:i/>
        </w:rPr>
        <w:t>would</w:t>
      </w:r>
      <w:r>
        <w:rPr>
          <w:i/>
          <w:spacing w:val="-3"/>
        </w:rPr>
        <w:t xml:space="preserve"> </w:t>
      </w:r>
      <w:r>
        <w:t>express a tautology from the perspective of somebody to whom “yard” had initially been defined as “distance of three feet.”</w:t>
      </w:r>
    </w:p>
    <w:p w14:paraId="7E000867" w14:textId="77777777" w:rsidR="009A58DB" w:rsidRDefault="00000000">
      <w:pPr>
        <w:pStyle w:val="BodyText"/>
        <w:spacing w:before="8" w:line="249" w:lineRule="auto"/>
        <w:ind w:right="359" w:firstLine="360"/>
      </w:pPr>
      <w:r>
        <w:t xml:space="preserve">So even though it’s standard practice among philosophers to describe </w:t>
      </w:r>
      <w:r>
        <w:rPr>
          <w:i/>
        </w:rPr>
        <w:t xml:space="preserve">sentences </w:t>
      </w:r>
      <w:r>
        <w:t xml:space="preserve">as “tautologies,” this practice embodies a serious confusion. A given sentence may or may not be tautology, depending on the manner in which the auditor learned the meanings of its constituent expressions and depending, therefore, on the information </w:t>
      </w:r>
      <w:r>
        <w:rPr>
          <w:i/>
        </w:rPr>
        <w:t xml:space="preserve">on the basis of which </w:t>
      </w:r>
      <w:r>
        <w:t>the auditor knows those meanings.</w:t>
      </w:r>
    </w:p>
    <w:p w14:paraId="7E000868" w14:textId="77777777" w:rsidR="009A58DB" w:rsidRDefault="00000000">
      <w:pPr>
        <w:pStyle w:val="BodyText"/>
        <w:spacing w:before="8" w:line="249" w:lineRule="auto"/>
        <w:ind w:right="359" w:firstLine="360"/>
        <w:rPr>
          <w:position w:val="10"/>
        </w:rPr>
      </w:pPr>
      <w:r>
        <w:t>It</w:t>
      </w:r>
      <w:r>
        <w:rPr>
          <w:spacing w:val="-1"/>
        </w:rPr>
        <w:t xml:space="preserve"> </w:t>
      </w:r>
      <w:r>
        <w:t>might</w:t>
      </w:r>
      <w:r>
        <w:rPr>
          <w:spacing w:val="-1"/>
        </w:rPr>
        <w:t xml:space="preserve"> </w:t>
      </w:r>
      <w:r>
        <w:t>be thought</w:t>
      </w:r>
      <w:r>
        <w:rPr>
          <w:spacing w:val="-1"/>
        </w:rPr>
        <w:t xml:space="preserve"> </w:t>
      </w:r>
      <w:r>
        <w:t>that,</w:t>
      </w:r>
      <w:r>
        <w:rPr>
          <w:spacing w:val="-1"/>
        </w:rPr>
        <w:t xml:space="preserve"> </w:t>
      </w:r>
      <w:r>
        <w:t>so far</w:t>
      </w:r>
      <w:r>
        <w:rPr>
          <w:spacing w:val="-1"/>
        </w:rPr>
        <w:t xml:space="preserve"> </w:t>
      </w:r>
      <w:r>
        <w:t>as (i)</w:t>
      </w:r>
      <w:r>
        <w:rPr>
          <w:spacing w:val="-1"/>
        </w:rPr>
        <w:t xml:space="preserve"> </w:t>
      </w:r>
      <w:r>
        <w:t>is non-trivial</w:t>
      </w:r>
      <w:r>
        <w:rPr>
          <w:spacing w:val="-1"/>
        </w:rPr>
        <w:t xml:space="preserve"> </w:t>
      </w:r>
      <w:r>
        <w:t xml:space="preserve">to you, it’s only because you don’t </w:t>
      </w:r>
      <w:r>
        <w:rPr>
          <w:i/>
        </w:rPr>
        <w:t xml:space="preserve">really </w:t>
      </w:r>
      <w:r>
        <w:t>understand it. This isn’t true. To somebody who doesn’t speak Albanian, a sentence of Albanian isn’t trivial or non-trivial. It doesn’t mean</w:t>
      </w:r>
      <w:r>
        <w:rPr>
          <w:spacing w:val="-2"/>
        </w:rPr>
        <w:t xml:space="preserve"> </w:t>
      </w:r>
      <w:r>
        <w:t>anything</w:t>
      </w:r>
      <w:r>
        <w:rPr>
          <w:spacing w:val="-2"/>
        </w:rPr>
        <w:t xml:space="preserve"> </w:t>
      </w:r>
      <w:r>
        <w:t>to</w:t>
      </w:r>
      <w:r>
        <w:rPr>
          <w:spacing w:val="-2"/>
        </w:rPr>
        <w:t xml:space="preserve"> </w:t>
      </w:r>
      <w:r>
        <w:t>you</w:t>
      </w:r>
      <w:r>
        <w:rPr>
          <w:spacing w:val="-2"/>
        </w:rPr>
        <w:t xml:space="preserve"> </w:t>
      </w:r>
      <w:r>
        <w:t>and</w:t>
      </w:r>
      <w:r>
        <w:rPr>
          <w:spacing w:val="-2"/>
        </w:rPr>
        <w:t xml:space="preserve"> </w:t>
      </w:r>
      <w:r>
        <w:t>is,</w:t>
      </w:r>
      <w:r>
        <w:rPr>
          <w:spacing w:val="-2"/>
        </w:rPr>
        <w:t xml:space="preserve"> </w:t>
      </w:r>
      <w:r>
        <w:t>from</w:t>
      </w:r>
      <w:r>
        <w:rPr>
          <w:spacing w:val="-3"/>
        </w:rPr>
        <w:t xml:space="preserve"> </w:t>
      </w:r>
      <w:r>
        <w:t>your</w:t>
      </w:r>
      <w:r>
        <w:rPr>
          <w:spacing w:val="-3"/>
        </w:rPr>
        <w:t xml:space="preserve"> </w:t>
      </w:r>
      <w:r>
        <w:t>perspective,</w:t>
      </w:r>
      <w:r>
        <w:rPr>
          <w:spacing w:val="-2"/>
        </w:rPr>
        <w:t xml:space="preserve"> </w:t>
      </w:r>
      <w:r>
        <w:t>just</w:t>
      </w:r>
      <w:r>
        <w:rPr>
          <w:spacing w:val="-3"/>
        </w:rPr>
        <w:t xml:space="preserve"> </w:t>
      </w:r>
      <w:r>
        <w:t>so</w:t>
      </w:r>
      <w:r>
        <w:rPr>
          <w:spacing w:val="-2"/>
        </w:rPr>
        <w:t xml:space="preserve"> </w:t>
      </w:r>
      <w:r>
        <w:t>much</w:t>
      </w:r>
      <w:r>
        <w:rPr>
          <w:spacing w:val="-2"/>
        </w:rPr>
        <w:t xml:space="preserve"> </w:t>
      </w:r>
      <w:r>
        <w:t>noise</w:t>
      </w:r>
      <w:r>
        <w:rPr>
          <w:spacing w:val="-3"/>
        </w:rPr>
        <w:t xml:space="preserve"> </w:t>
      </w:r>
      <w:r>
        <w:t>and</w:t>
      </w:r>
      <w:r>
        <w:rPr>
          <w:spacing w:val="-2"/>
        </w:rPr>
        <w:t xml:space="preserve"> </w:t>
      </w:r>
      <w:r>
        <w:t xml:space="preserve">is no more “trivial” or “non-trivial” than the sound of wind chimes. But, in our story, you </w:t>
      </w:r>
      <w:r>
        <w:rPr>
          <w:i/>
        </w:rPr>
        <w:t xml:space="preserve">do </w:t>
      </w:r>
      <w:r>
        <w:t xml:space="preserve">know what is meant by (i). It’s not as though you’re hearing a sentence of Albanian (or, if you happen to speak Albanian, a sentence of some language that you don’t know). Therefore, it is only because you understand Smith’s utterance of (i) that it is nontrivial for you. Therefore, tautologousness, and non-tautologousness, are properties, not of sentences, but of the information on the basis of which auditors figure out the meanings of sentences. And it’s wrong to say that sentences </w:t>
      </w:r>
      <w:r>
        <w:rPr>
          <w:i/>
        </w:rPr>
        <w:t xml:space="preserve">per se </w:t>
      </w:r>
      <w:r>
        <w:t xml:space="preserve">are, or are not, </w:t>
      </w:r>
      <w:r>
        <w:rPr>
          <w:spacing w:val="-2"/>
        </w:rPr>
        <w:t>tautologies.</w:t>
      </w:r>
      <w:bookmarkStart w:id="80" w:name="_bookmark80"/>
      <w:bookmarkEnd w:id="80"/>
      <w:r>
        <w:rPr>
          <w:color w:val="0562C1"/>
          <w:spacing w:val="-2"/>
          <w:position w:val="10"/>
          <w:u w:val="single" w:color="0562C1"/>
        </w:rPr>
        <w:t>78</w:t>
      </w:r>
    </w:p>
    <w:p w14:paraId="7E000869" w14:textId="77777777" w:rsidR="009A58DB" w:rsidRDefault="00000000">
      <w:pPr>
        <w:pStyle w:val="BodyText"/>
        <w:spacing w:before="21" w:line="249" w:lineRule="auto"/>
        <w:ind w:right="358" w:firstLine="360"/>
      </w:pPr>
      <w:r>
        <w:t>This story illustrates some deeply important facts that are in the</w:t>
      </w:r>
      <w:r>
        <w:rPr>
          <w:spacing w:val="40"/>
        </w:rPr>
        <w:t xml:space="preserve"> </w:t>
      </w:r>
      <w:r>
        <w:t>philosophy of language. First, one knows the meanings of expressions descriptively. It is through sight and hearing (and, possibly, other sensory modalities; e.g., touch) that you learn what words mean. Your perceptions apprise you of facts about the world by describing them to you—by apprising you of their colors, shapes, etc. Two very different descriptions can pick out some one thing (cf. “the third U.S. President” and “the President responsible for</w:t>
      </w:r>
      <w:r>
        <w:rPr>
          <w:spacing w:val="62"/>
        </w:rPr>
        <w:t xml:space="preserve">  </w:t>
      </w:r>
      <w:r>
        <w:t>the</w:t>
      </w:r>
      <w:r>
        <w:rPr>
          <w:spacing w:val="63"/>
        </w:rPr>
        <w:t xml:space="preserve">  </w:t>
      </w:r>
      <w:r>
        <w:t>Louisiana</w:t>
      </w:r>
      <w:r>
        <w:rPr>
          <w:spacing w:val="63"/>
        </w:rPr>
        <w:t xml:space="preserve">  </w:t>
      </w:r>
      <w:r>
        <w:t>Purchase”).</w:t>
      </w:r>
      <w:r>
        <w:rPr>
          <w:spacing w:val="63"/>
        </w:rPr>
        <w:t xml:space="preserve">  </w:t>
      </w:r>
      <w:r>
        <w:t>Therefore,</w:t>
      </w:r>
      <w:r>
        <w:rPr>
          <w:spacing w:val="62"/>
        </w:rPr>
        <w:t xml:space="preserve">  </w:t>
      </w:r>
      <w:r>
        <w:t>the</w:t>
      </w:r>
      <w:r>
        <w:rPr>
          <w:spacing w:val="63"/>
        </w:rPr>
        <w:t xml:space="preserve">  </w:t>
      </w:r>
      <w:r>
        <w:t>perceptually</w:t>
      </w:r>
      <w:r>
        <w:rPr>
          <w:spacing w:val="63"/>
        </w:rPr>
        <w:t xml:space="preserve">  </w:t>
      </w:r>
      <w:r>
        <w:rPr>
          <w:spacing w:val="-2"/>
        </w:rPr>
        <w:t>encoded</w:t>
      </w:r>
    </w:p>
    <w:p w14:paraId="7E00086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6B" w14:textId="77777777" w:rsidR="009A58DB" w:rsidRDefault="00000000">
      <w:pPr>
        <w:pStyle w:val="BodyText"/>
        <w:spacing w:before="65" w:line="249" w:lineRule="auto"/>
        <w:ind w:right="358"/>
      </w:pPr>
      <w:r>
        <w:lastRenderedPageBreak/>
        <w:t>descriptions</w:t>
      </w:r>
      <w:r>
        <w:rPr>
          <w:spacing w:val="-4"/>
        </w:rPr>
        <w:t xml:space="preserve"> </w:t>
      </w:r>
      <w:r>
        <w:rPr>
          <w:i/>
        </w:rPr>
        <w:t>through</w:t>
      </w:r>
      <w:r>
        <w:rPr>
          <w:i/>
          <w:spacing w:val="-3"/>
        </w:rPr>
        <w:t xml:space="preserve"> </w:t>
      </w:r>
      <w:r>
        <w:t>which one learns what two expressions mean may differ enormously,</w:t>
      </w:r>
      <w:r>
        <w:rPr>
          <w:spacing w:val="-3"/>
        </w:rPr>
        <w:t xml:space="preserve"> </w:t>
      </w:r>
      <w:r>
        <w:rPr>
          <w:i/>
        </w:rPr>
        <w:t>even</w:t>
      </w:r>
      <w:r>
        <w:rPr>
          <w:i/>
          <w:spacing w:val="-4"/>
        </w:rPr>
        <w:t xml:space="preserve"> </w:t>
      </w:r>
      <w:r>
        <w:t>if</w:t>
      </w:r>
      <w:r>
        <w:rPr>
          <w:spacing w:val="-4"/>
        </w:rPr>
        <w:t xml:space="preserve"> </w:t>
      </w:r>
      <w:r>
        <w:t>those</w:t>
      </w:r>
      <w:r>
        <w:rPr>
          <w:spacing w:val="-4"/>
        </w:rPr>
        <w:t xml:space="preserve"> </w:t>
      </w:r>
      <w:r>
        <w:t>expressions</w:t>
      </w:r>
      <w:r>
        <w:rPr>
          <w:spacing w:val="-4"/>
        </w:rPr>
        <w:t xml:space="preserve"> </w:t>
      </w:r>
      <w:r>
        <w:t>mean</w:t>
      </w:r>
      <w:r>
        <w:rPr>
          <w:spacing w:val="-3"/>
        </w:rPr>
        <w:t xml:space="preserve"> </w:t>
      </w:r>
      <w:r>
        <w:t>the</w:t>
      </w:r>
      <w:r>
        <w:rPr>
          <w:spacing w:val="-4"/>
        </w:rPr>
        <w:t xml:space="preserve"> </w:t>
      </w:r>
      <w:r>
        <w:t>same</w:t>
      </w:r>
      <w:r>
        <w:rPr>
          <w:spacing w:val="-4"/>
        </w:rPr>
        <w:t xml:space="preserve"> </w:t>
      </w:r>
      <w:r>
        <w:t>thing.</w:t>
      </w:r>
      <w:r>
        <w:rPr>
          <w:spacing w:val="-3"/>
        </w:rPr>
        <w:t xml:space="preserve"> </w:t>
      </w:r>
      <w:r>
        <w:t>A</w:t>
      </w:r>
      <w:r>
        <w:rPr>
          <w:spacing w:val="-4"/>
        </w:rPr>
        <w:t xml:space="preserve"> </w:t>
      </w:r>
      <w:r>
        <w:t>consequence</w:t>
      </w:r>
      <w:r>
        <w:rPr>
          <w:spacing w:val="-4"/>
        </w:rPr>
        <w:t xml:space="preserve"> </w:t>
      </w:r>
      <w:r>
        <w:t>is that what utterances tell you is as much a function of the information through which you learn their meanings as it is of the those meanings themselves. Thus, a given sentence may convey very different propositions to different people, all of whom know what it means, the reason being that those people access that meaning through different descriptions.</w:t>
      </w:r>
    </w:p>
    <w:p w14:paraId="7E00086C" w14:textId="77777777" w:rsidR="009A58DB" w:rsidRDefault="00000000">
      <w:pPr>
        <w:pStyle w:val="Heading1"/>
        <w:numPr>
          <w:ilvl w:val="1"/>
          <w:numId w:val="224"/>
        </w:numPr>
        <w:tabs>
          <w:tab w:val="left" w:pos="990"/>
          <w:tab w:val="left" w:pos="1080"/>
        </w:tabs>
        <w:spacing w:before="196" w:line="244" w:lineRule="auto"/>
        <w:ind w:left="1080" w:right="368" w:hanging="720"/>
      </w:pPr>
      <w:r>
        <w:t>An</w:t>
      </w:r>
      <w:r>
        <w:rPr>
          <w:spacing w:val="-8"/>
        </w:rPr>
        <w:t xml:space="preserve"> </w:t>
      </w:r>
      <w:r>
        <w:t>alternative</w:t>
      </w:r>
      <w:r>
        <w:rPr>
          <w:spacing w:val="-8"/>
        </w:rPr>
        <w:t xml:space="preserve"> </w:t>
      </w:r>
      <w:r>
        <w:t>to</w:t>
      </w:r>
      <w:r>
        <w:rPr>
          <w:spacing w:val="-7"/>
        </w:rPr>
        <w:t xml:space="preserve"> </w:t>
      </w:r>
      <w:r>
        <w:t>the</w:t>
      </w:r>
      <w:r>
        <w:rPr>
          <w:spacing w:val="-8"/>
        </w:rPr>
        <w:t xml:space="preserve"> </w:t>
      </w:r>
      <w:r>
        <w:t>logical</w:t>
      </w:r>
      <w:r>
        <w:rPr>
          <w:spacing w:val="-8"/>
        </w:rPr>
        <w:t xml:space="preserve"> </w:t>
      </w:r>
      <w:r>
        <w:t>positivist</w:t>
      </w:r>
      <w:r>
        <w:rPr>
          <w:spacing w:val="-8"/>
        </w:rPr>
        <w:t xml:space="preserve"> </w:t>
      </w:r>
      <w:r>
        <w:t>conception of meaningfulness</w:t>
      </w:r>
    </w:p>
    <w:p w14:paraId="7E00086D" w14:textId="77777777" w:rsidR="009A58DB" w:rsidRDefault="00000000">
      <w:pPr>
        <w:pStyle w:val="BodyText"/>
        <w:spacing w:before="132" w:line="249" w:lineRule="auto"/>
        <w:ind w:right="366"/>
      </w:pPr>
      <w:r>
        <w:t>The</w:t>
      </w:r>
      <w:r>
        <w:rPr>
          <w:spacing w:val="-5"/>
        </w:rPr>
        <w:t xml:space="preserve"> </w:t>
      </w:r>
      <w:r>
        <w:t>logical</w:t>
      </w:r>
      <w:r>
        <w:rPr>
          <w:spacing w:val="-5"/>
        </w:rPr>
        <w:t xml:space="preserve"> </w:t>
      </w:r>
      <w:r>
        <w:t>positivist’s</w:t>
      </w:r>
      <w:r>
        <w:rPr>
          <w:spacing w:val="-5"/>
        </w:rPr>
        <w:t xml:space="preserve"> </w:t>
      </w:r>
      <w:r>
        <w:t>analysis</w:t>
      </w:r>
      <w:r>
        <w:rPr>
          <w:spacing w:val="-5"/>
        </w:rPr>
        <w:t xml:space="preserve"> </w:t>
      </w:r>
      <w:r>
        <w:t>of</w:t>
      </w:r>
      <w:r>
        <w:rPr>
          <w:spacing w:val="-5"/>
        </w:rPr>
        <w:t xml:space="preserve"> </w:t>
      </w:r>
      <w:r>
        <w:t>meaningfulness</w:t>
      </w:r>
      <w:r>
        <w:rPr>
          <w:spacing w:val="-5"/>
        </w:rPr>
        <w:t xml:space="preserve"> </w:t>
      </w:r>
      <w:r>
        <w:t>was</w:t>
      </w:r>
      <w:r>
        <w:rPr>
          <w:spacing w:val="-5"/>
        </w:rPr>
        <w:t xml:space="preserve"> </w:t>
      </w:r>
      <w:r>
        <w:t>a</w:t>
      </w:r>
      <w:r>
        <w:rPr>
          <w:spacing w:val="-5"/>
        </w:rPr>
        <w:t xml:space="preserve"> </w:t>
      </w:r>
      <w:r>
        <w:t>complete</w:t>
      </w:r>
      <w:r>
        <w:rPr>
          <w:spacing w:val="-5"/>
        </w:rPr>
        <w:t xml:space="preserve"> </w:t>
      </w:r>
      <w:r>
        <w:t>failure.</w:t>
      </w:r>
      <w:r>
        <w:rPr>
          <w:spacing w:val="-4"/>
        </w:rPr>
        <w:t xml:space="preserve"> </w:t>
      </w:r>
      <w:r>
        <w:t>I’d like to propose an alternative to it.</w:t>
      </w:r>
    </w:p>
    <w:p w14:paraId="7E00086E" w14:textId="77777777" w:rsidR="009A58DB" w:rsidRDefault="00000000">
      <w:pPr>
        <w:pStyle w:val="BodyText"/>
        <w:spacing w:before="2" w:line="252" w:lineRule="auto"/>
        <w:ind w:right="360" w:firstLine="360"/>
      </w:pPr>
      <w:r>
        <w:t>First of all, when asked to give examples of meaningless statements, the logical positivists tended to cite sentences that nobody ever uses; for</w:t>
      </w:r>
      <w:r>
        <w:rPr>
          <w:spacing w:val="40"/>
        </w:rPr>
        <w:t xml:space="preserve"> </w:t>
      </w:r>
      <w:r>
        <w:t>example, “the nothing nothings”</w:t>
      </w:r>
      <w:r>
        <w:rPr>
          <w:vertAlign w:val="superscript"/>
        </w:rPr>
        <w:t>1</w:t>
      </w:r>
      <w:r>
        <w:t>, “the all is one,” “the absolute is perfect.” This is deeply suspicious: a theory that only takes on straw men can’t be much of a theory.</w:t>
      </w:r>
    </w:p>
    <w:p w14:paraId="7E00086F" w14:textId="77777777" w:rsidR="009A58DB" w:rsidRDefault="00000000">
      <w:pPr>
        <w:pStyle w:val="BodyText"/>
        <w:spacing w:before="4" w:line="249" w:lineRule="auto"/>
        <w:ind w:right="358" w:firstLine="360"/>
      </w:pPr>
      <w:r>
        <w:t xml:space="preserve">And LP can’t even prevail against these straw men. For, contrary to what its advocates said, the problem with these so-called statements is </w:t>
      </w:r>
      <w:r>
        <w:rPr>
          <w:i/>
        </w:rPr>
        <w:t xml:space="preserve">not </w:t>
      </w:r>
      <w:r>
        <w:t>that they’re incapable of empirical corroboration. Consider the sentence:</w:t>
      </w:r>
    </w:p>
    <w:p w14:paraId="7E000870" w14:textId="77777777" w:rsidR="009A58DB" w:rsidRDefault="009A58DB">
      <w:pPr>
        <w:pStyle w:val="BodyText"/>
        <w:spacing w:before="19"/>
        <w:ind w:left="0"/>
        <w:jc w:val="left"/>
      </w:pPr>
    </w:p>
    <w:p w14:paraId="7E000871" w14:textId="77777777" w:rsidR="009A58DB" w:rsidRDefault="00000000">
      <w:pPr>
        <w:pStyle w:val="BodyText"/>
        <w:jc w:val="left"/>
      </w:pPr>
      <w:r>
        <w:t>(i)</w:t>
      </w:r>
      <w:r>
        <w:rPr>
          <w:spacing w:val="-6"/>
        </w:rPr>
        <w:t xml:space="preserve"> </w:t>
      </w:r>
      <w:r>
        <w:t>“the</w:t>
      </w:r>
      <w:r>
        <w:rPr>
          <w:spacing w:val="-3"/>
        </w:rPr>
        <w:t xml:space="preserve"> </w:t>
      </w:r>
      <w:r>
        <w:t>universe</w:t>
      </w:r>
      <w:r>
        <w:rPr>
          <w:spacing w:val="-3"/>
        </w:rPr>
        <w:t xml:space="preserve"> </w:t>
      </w:r>
      <w:r>
        <w:t>is</w:t>
      </w:r>
      <w:r>
        <w:rPr>
          <w:spacing w:val="-4"/>
        </w:rPr>
        <w:t xml:space="preserve"> </w:t>
      </w:r>
      <w:r>
        <w:t>a</w:t>
      </w:r>
      <w:r>
        <w:rPr>
          <w:spacing w:val="-3"/>
        </w:rPr>
        <w:t xml:space="preserve"> </w:t>
      </w:r>
      <w:r>
        <w:t>perfect</w:t>
      </w:r>
      <w:r>
        <w:rPr>
          <w:spacing w:val="-3"/>
        </w:rPr>
        <w:t xml:space="preserve"> </w:t>
      </w:r>
      <w:r>
        <w:rPr>
          <w:spacing w:val="-2"/>
        </w:rPr>
        <w:t>unity.”</w:t>
      </w:r>
    </w:p>
    <w:p w14:paraId="7E000872" w14:textId="77777777" w:rsidR="009A58DB" w:rsidRDefault="009A58DB">
      <w:pPr>
        <w:pStyle w:val="BodyText"/>
        <w:spacing w:before="30"/>
        <w:ind w:left="0"/>
        <w:jc w:val="left"/>
      </w:pPr>
    </w:p>
    <w:p w14:paraId="7E000873" w14:textId="77777777" w:rsidR="009A58DB" w:rsidRDefault="00000000">
      <w:pPr>
        <w:pStyle w:val="BodyText"/>
        <w:spacing w:line="249" w:lineRule="auto"/>
        <w:ind w:right="365"/>
      </w:pPr>
      <w:r>
        <w:t>Much loved by many a freshman narco-intellectual, this is a meaningless sentence if ever there was one; and it is just the sort of sentence that logical positivists had in mind.</w:t>
      </w:r>
    </w:p>
    <w:p w14:paraId="7E000874" w14:textId="77777777" w:rsidR="009A58DB" w:rsidRDefault="00000000">
      <w:pPr>
        <w:pStyle w:val="BodyText"/>
        <w:spacing w:before="4" w:line="252" w:lineRule="auto"/>
        <w:ind w:right="358" w:firstLine="360"/>
      </w:pPr>
      <w:r>
        <w:t xml:space="preserve">But if it were said what exactly it means to describe something as a “perfect unity,” (i) </w:t>
      </w:r>
      <w:r>
        <w:rPr>
          <w:i/>
        </w:rPr>
        <w:t>would</w:t>
      </w:r>
      <w:r>
        <w:rPr>
          <w:i/>
          <w:spacing w:val="-3"/>
        </w:rPr>
        <w:t xml:space="preserve"> </w:t>
      </w:r>
      <w:r>
        <w:t>be meaningful, as it would then be true or false. If, by a “perfect unity”, one means an object that consists of events bearing a specified</w:t>
      </w:r>
      <w:r>
        <w:rPr>
          <w:spacing w:val="-1"/>
        </w:rPr>
        <w:t xml:space="preserve"> </w:t>
      </w:r>
      <w:r>
        <w:t>causal</w:t>
      </w:r>
      <w:r>
        <w:rPr>
          <w:spacing w:val="-1"/>
        </w:rPr>
        <w:t xml:space="preserve"> </w:t>
      </w:r>
      <w:r>
        <w:t>or</w:t>
      </w:r>
      <w:r>
        <w:rPr>
          <w:spacing w:val="-1"/>
        </w:rPr>
        <w:t xml:space="preserve"> </w:t>
      </w:r>
      <w:r>
        <w:t>logical</w:t>
      </w:r>
      <w:r>
        <w:rPr>
          <w:spacing w:val="-1"/>
        </w:rPr>
        <w:t xml:space="preserve"> </w:t>
      </w:r>
      <w:r>
        <w:t>relationship</w:t>
      </w:r>
      <w:r>
        <w:rPr>
          <w:spacing w:val="-1"/>
        </w:rPr>
        <w:t xml:space="preserve"> </w:t>
      </w:r>
      <w:r>
        <w:t>to</w:t>
      </w:r>
      <w:r>
        <w:rPr>
          <w:spacing w:val="-1"/>
        </w:rPr>
        <w:t xml:space="preserve"> </w:t>
      </w:r>
      <w:r>
        <w:t>one</w:t>
      </w:r>
      <w:r>
        <w:rPr>
          <w:spacing w:val="-1"/>
        </w:rPr>
        <w:t xml:space="preserve"> </w:t>
      </w:r>
      <w:r>
        <w:t>another,</w:t>
      </w:r>
      <w:r>
        <w:rPr>
          <w:spacing w:val="-1"/>
        </w:rPr>
        <w:t xml:space="preserve"> </w:t>
      </w:r>
      <w:r>
        <w:t>then</w:t>
      </w:r>
      <w:r>
        <w:rPr>
          <w:spacing w:val="-1"/>
        </w:rPr>
        <w:t xml:space="preserve"> </w:t>
      </w:r>
      <w:r>
        <w:t>(i)</w:t>
      </w:r>
      <w:r>
        <w:rPr>
          <w:spacing w:val="-1"/>
        </w:rPr>
        <w:t xml:space="preserve"> </w:t>
      </w:r>
      <w:r>
        <w:t>is</w:t>
      </w:r>
      <w:r>
        <w:rPr>
          <w:spacing w:val="-1"/>
        </w:rPr>
        <w:t xml:space="preserve"> </w:t>
      </w:r>
      <w:r>
        <w:t>either</w:t>
      </w:r>
      <w:r>
        <w:rPr>
          <w:spacing w:val="-1"/>
        </w:rPr>
        <w:t xml:space="preserve"> </w:t>
      </w:r>
      <w:r>
        <w:t>true</w:t>
      </w:r>
      <w:r>
        <w:rPr>
          <w:spacing w:val="-1"/>
        </w:rPr>
        <w:t xml:space="preserve"> </w:t>
      </w:r>
      <w:r>
        <w:t>or false,</w:t>
      </w:r>
      <w:r>
        <w:rPr>
          <w:spacing w:val="-3"/>
        </w:rPr>
        <w:t xml:space="preserve"> </w:t>
      </w:r>
      <w:r>
        <w:t>depending</w:t>
      </w:r>
      <w:r>
        <w:rPr>
          <w:spacing w:val="-3"/>
        </w:rPr>
        <w:t xml:space="preserve"> </w:t>
      </w:r>
      <w:r>
        <w:t>on</w:t>
      </w:r>
      <w:r>
        <w:rPr>
          <w:spacing w:val="-3"/>
        </w:rPr>
        <w:t xml:space="preserve"> </w:t>
      </w:r>
      <w:r>
        <w:t>the</w:t>
      </w:r>
      <w:r>
        <w:rPr>
          <w:spacing w:val="-4"/>
        </w:rPr>
        <w:t xml:space="preserve"> </w:t>
      </w:r>
      <w:r>
        <w:t>identity</w:t>
      </w:r>
      <w:r>
        <w:rPr>
          <w:spacing w:val="-3"/>
        </w:rPr>
        <w:t xml:space="preserve"> </w:t>
      </w:r>
      <w:r>
        <w:t>of</w:t>
      </w:r>
      <w:r>
        <w:rPr>
          <w:spacing w:val="-4"/>
        </w:rPr>
        <w:t xml:space="preserve"> </w:t>
      </w:r>
      <w:r>
        <w:t>that</w:t>
      </w:r>
      <w:r>
        <w:rPr>
          <w:spacing w:val="-4"/>
        </w:rPr>
        <w:t xml:space="preserve"> </w:t>
      </w:r>
      <w:r>
        <w:t>relationship.</w:t>
      </w:r>
      <w:r>
        <w:rPr>
          <w:spacing w:val="-3"/>
        </w:rPr>
        <w:t xml:space="preserve"> </w:t>
      </w:r>
      <w:r>
        <w:t>For</w:t>
      </w:r>
      <w:r>
        <w:rPr>
          <w:spacing w:val="-4"/>
        </w:rPr>
        <w:t xml:space="preserve"> </w:t>
      </w:r>
      <w:r>
        <w:t>example,</w:t>
      </w:r>
      <w:r>
        <w:rPr>
          <w:spacing w:val="-3"/>
        </w:rPr>
        <w:t xml:space="preserve"> </w:t>
      </w:r>
      <w:r>
        <w:t>if</w:t>
      </w:r>
      <w:r>
        <w:rPr>
          <w:spacing w:val="-4"/>
        </w:rPr>
        <w:t xml:space="preserve"> </w:t>
      </w:r>
      <w:r>
        <w:t>a</w:t>
      </w:r>
      <w:r>
        <w:rPr>
          <w:spacing w:val="-4"/>
        </w:rPr>
        <w:t xml:space="preserve"> </w:t>
      </w:r>
      <w:r>
        <w:t>“perfect unity” is an object such that, given any two nonsimultaneous events composing it, there is a possible causal process connecting the first of those two events with the second, then (i) is true.</w:t>
      </w:r>
      <w:r>
        <w:rPr>
          <w:vertAlign w:val="superscript"/>
        </w:rPr>
        <w:t>1</w:t>
      </w:r>
      <w:r>
        <w:t xml:space="preserve"> (In contemporary physics, ‹x precedes</w:t>
      </w:r>
      <w:r>
        <w:rPr>
          <w:spacing w:val="40"/>
        </w:rPr>
        <w:t xml:space="preserve"> </w:t>
      </w:r>
      <w:r>
        <w:t>y›</w:t>
      </w:r>
      <w:r>
        <w:rPr>
          <w:spacing w:val="40"/>
        </w:rPr>
        <w:t xml:space="preserve"> </w:t>
      </w:r>
      <w:r>
        <w:t>is</w:t>
      </w:r>
      <w:r>
        <w:rPr>
          <w:spacing w:val="40"/>
        </w:rPr>
        <w:t xml:space="preserve"> </w:t>
      </w:r>
      <w:r>
        <w:t>defined</w:t>
      </w:r>
      <w:r>
        <w:rPr>
          <w:spacing w:val="40"/>
        </w:rPr>
        <w:t xml:space="preserve"> </w:t>
      </w:r>
      <w:r>
        <w:t>as:</w:t>
      </w:r>
      <w:r>
        <w:rPr>
          <w:spacing w:val="40"/>
        </w:rPr>
        <w:t xml:space="preserve"> </w:t>
      </w:r>
      <w:r>
        <w:t>‹there</w:t>
      </w:r>
      <w:r>
        <w:rPr>
          <w:spacing w:val="40"/>
        </w:rPr>
        <w:t xml:space="preserve"> </w:t>
      </w:r>
      <w:r>
        <w:t>is</w:t>
      </w:r>
      <w:r>
        <w:rPr>
          <w:spacing w:val="40"/>
        </w:rPr>
        <w:t xml:space="preserve"> </w:t>
      </w:r>
      <w:r>
        <w:t>a</w:t>
      </w:r>
      <w:r>
        <w:rPr>
          <w:spacing w:val="40"/>
        </w:rPr>
        <w:t xml:space="preserve"> </w:t>
      </w:r>
      <w:r>
        <w:t>possible</w:t>
      </w:r>
      <w:r>
        <w:rPr>
          <w:spacing w:val="40"/>
        </w:rPr>
        <w:t xml:space="preserve"> </w:t>
      </w:r>
      <w:r>
        <w:t>causal</w:t>
      </w:r>
      <w:r>
        <w:rPr>
          <w:spacing w:val="40"/>
        </w:rPr>
        <w:t xml:space="preserve"> </w:t>
      </w:r>
      <w:r>
        <w:t>process,</w:t>
      </w:r>
      <w:r>
        <w:rPr>
          <w:spacing w:val="40"/>
        </w:rPr>
        <w:t xml:space="preserve"> </w:t>
      </w:r>
      <w:r>
        <w:t>e.g.</w:t>
      </w:r>
      <w:r>
        <w:rPr>
          <w:spacing w:val="40"/>
        </w:rPr>
        <w:t xml:space="preserve"> </w:t>
      </w:r>
      <w:r>
        <w:t>a</w:t>
      </w:r>
      <w:r>
        <w:rPr>
          <w:spacing w:val="40"/>
        </w:rPr>
        <w:t xml:space="preserve"> </w:t>
      </w:r>
      <w:r>
        <w:t>light-</w:t>
      </w:r>
    </w:p>
    <w:p w14:paraId="7E000875"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0876" w14:textId="77777777" w:rsidR="009A58DB" w:rsidRDefault="00000000">
      <w:pPr>
        <w:pStyle w:val="BodyText"/>
        <w:spacing w:before="60" w:line="249" w:lineRule="auto"/>
        <w:ind w:right="359"/>
      </w:pPr>
      <w:r>
        <w:lastRenderedPageBreak/>
        <w:t>signal, beginning with x and ending with y.› ) On the other hand, if, by a “perfect unity,” one means an object such that, if x and y are any two of its parts, the very idea of x’s existing in the absence of y is an incoherent one, then (i) is meaningful—and false. (One can coherently imagine a universe in which Cheney exists but Biden does not.)</w:t>
      </w:r>
    </w:p>
    <w:p w14:paraId="7E000877" w14:textId="77777777" w:rsidR="009A58DB" w:rsidRDefault="00000000">
      <w:pPr>
        <w:pStyle w:val="BodyText"/>
        <w:spacing w:before="11" w:line="249" w:lineRule="auto"/>
        <w:ind w:right="359" w:firstLine="360"/>
      </w:pPr>
      <w:r>
        <w:t>In any case, the term “perfect unity” is clearly intended to refer to some sort of causal or logical integratedness, and once that mode of integration is pinpointed, (i) speedily becomes a true or false claim.</w:t>
      </w:r>
    </w:p>
    <w:p w14:paraId="7E000878" w14:textId="77777777" w:rsidR="009A58DB" w:rsidRDefault="00000000">
      <w:pPr>
        <w:pStyle w:val="BodyText"/>
        <w:spacing w:before="3" w:line="249" w:lineRule="auto"/>
        <w:ind w:right="360" w:firstLine="360"/>
        <w:rPr>
          <w:i/>
        </w:rPr>
      </w:pPr>
      <w:r>
        <w:t>“Statements” such as “the universe is a perfect unity,” “the nothing nothings,”</w:t>
      </w:r>
      <w:r>
        <w:rPr>
          <w:spacing w:val="-2"/>
        </w:rPr>
        <w:t xml:space="preserve"> </w:t>
      </w:r>
      <w:r>
        <w:t>and</w:t>
      </w:r>
      <w:r>
        <w:rPr>
          <w:spacing w:val="-1"/>
        </w:rPr>
        <w:t xml:space="preserve"> </w:t>
      </w:r>
      <w:r>
        <w:t>so</w:t>
      </w:r>
      <w:r>
        <w:rPr>
          <w:spacing w:val="-1"/>
        </w:rPr>
        <w:t xml:space="preserve"> </w:t>
      </w:r>
      <w:r>
        <w:t>on,</w:t>
      </w:r>
      <w:r>
        <w:rPr>
          <w:spacing w:val="-1"/>
        </w:rPr>
        <w:t xml:space="preserve"> </w:t>
      </w:r>
      <w:r>
        <w:t>aren’t</w:t>
      </w:r>
      <w:r>
        <w:rPr>
          <w:spacing w:val="-2"/>
        </w:rPr>
        <w:t xml:space="preserve"> </w:t>
      </w:r>
      <w:r>
        <w:t>really</w:t>
      </w:r>
      <w:r>
        <w:rPr>
          <w:spacing w:val="-2"/>
        </w:rPr>
        <w:t xml:space="preserve"> </w:t>
      </w:r>
      <w:r>
        <w:t>statements</w:t>
      </w:r>
      <w:r>
        <w:rPr>
          <w:spacing w:val="-1"/>
        </w:rPr>
        <w:t xml:space="preserve"> </w:t>
      </w:r>
      <w:r>
        <w:t>at</w:t>
      </w:r>
      <w:r>
        <w:rPr>
          <w:spacing w:val="-2"/>
        </w:rPr>
        <w:t xml:space="preserve"> </w:t>
      </w:r>
      <w:r>
        <w:t>all.</w:t>
      </w:r>
      <w:r>
        <w:rPr>
          <w:spacing w:val="-1"/>
        </w:rPr>
        <w:t xml:space="preserve"> </w:t>
      </w:r>
      <w:r>
        <w:t>They’re</w:t>
      </w:r>
      <w:r>
        <w:rPr>
          <w:spacing w:val="-1"/>
        </w:rPr>
        <w:t xml:space="preserve"> </w:t>
      </w:r>
      <w:r>
        <w:rPr>
          <w:b/>
          <w:i/>
        </w:rPr>
        <w:t>statement-forms</w:t>
      </w:r>
      <w:r>
        <w:rPr>
          <w:i/>
        </w:rPr>
        <w:t>.</w:t>
      </w:r>
    </w:p>
    <w:p w14:paraId="7E000879" w14:textId="77777777" w:rsidR="009A58DB" w:rsidRDefault="00000000">
      <w:pPr>
        <w:pStyle w:val="BodyText"/>
        <w:spacing w:before="3" w:line="249" w:lineRule="auto"/>
        <w:ind w:right="362"/>
      </w:pPr>
      <w:r>
        <w:t>(i) is obviously supposed to attribute some property to the universe. But since this property isn’t identified, (i) contains an undefined term and therefore</w:t>
      </w:r>
      <w:r>
        <w:rPr>
          <w:spacing w:val="40"/>
        </w:rPr>
        <w:t xml:space="preserve"> </w:t>
      </w:r>
      <w:r>
        <w:t>says nothing. Once that term is defined, a meaningful statement results.</w:t>
      </w:r>
    </w:p>
    <w:p w14:paraId="7E00087A" w14:textId="77777777" w:rsidR="009A58DB" w:rsidRDefault="00000000">
      <w:pPr>
        <w:pStyle w:val="BodyText"/>
        <w:spacing w:before="4" w:line="249" w:lineRule="auto"/>
        <w:ind w:right="357" w:firstLine="360"/>
      </w:pPr>
      <w:r>
        <w:t xml:space="preserve">It’s true that (i) is neither tautologous nor confirmable. But that’s a </w:t>
      </w:r>
      <w:r>
        <w:rPr>
          <w:i/>
        </w:rPr>
        <w:t xml:space="preserve">consequence </w:t>
      </w:r>
      <w:r>
        <w:t>of the real problem, viz. that “perfect unity” is undefined. (i) is comparable to “x is tall.” The reason “x is tall” says nothing is that “x” is undefined—it hasn’t been assigned a referent. And no sooner is a referent assigned to “x” than “x is tall” becomes meaningful. (“x is tall” comes to have the same meaning as “Bob Dole is tall” the moment Bob Dole is assigned to “x.”)</w:t>
      </w:r>
    </w:p>
    <w:p w14:paraId="7E00087B" w14:textId="77777777" w:rsidR="009A58DB" w:rsidRDefault="00000000">
      <w:pPr>
        <w:pStyle w:val="BodyText"/>
        <w:spacing w:before="8" w:line="249" w:lineRule="auto"/>
        <w:ind w:right="358" w:firstLine="360"/>
      </w:pPr>
      <w:r>
        <w:t xml:space="preserve">Before “x” is assigned a referent, “x is tall” is neither confirmable nor tautologous. But that’s only a symptom of the real problem, viz. that “x” doesn’t have a referent. The same thing </w:t>
      </w:r>
      <w:r>
        <w:rPr>
          <w:i/>
        </w:rPr>
        <w:t xml:space="preserve">mutatis mutandis </w:t>
      </w:r>
      <w:r>
        <w:t>is true of (i).</w:t>
      </w:r>
    </w:p>
    <w:p w14:paraId="7E00087C" w14:textId="77777777" w:rsidR="009A58DB" w:rsidRDefault="00000000">
      <w:pPr>
        <w:pStyle w:val="BodyText"/>
        <w:spacing w:before="4" w:line="249" w:lineRule="auto"/>
        <w:ind w:right="357" w:firstLine="360"/>
      </w:pPr>
      <w:r>
        <w:t>Let’s move onto the next phase of our argument. If S is a meaningful sentence, there is some object x and some property phi such that S says that x has phi. In other words, any given sentence is equivalent to one that has the form: ‹x has phi.› Let us now say why this is so.</w:t>
      </w:r>
    </w:p>
    <w:p w14:paraId="7E00087D" w14:textId="77777777" w:rsidR="009A58DB" w:rsidRDefault="00000000">
      <w:pPr>
        <w:pStyle w:val="BodyText"/>
        <w:spacing w:before="5" w:line="249" w:lineRule="auto"/>
        <w:ind w:right="363" w:firstLine="360"/>
      </w:pPr>
      <w:r>
        <w:t>Any non-compound sentence (i.e., any sentence that doesn’t consist of other sentences) either says of some individual that it has some property or it says that two more individuals are interrelated in a certain way. Thus, “Smith is tall” says of some individual (Smith) that he has a certain property (tallness), and “Bob loves Sally” says that one individual (Bob) bears a certain relation (that of loving) with respect to some other individual (Sally).</w:t>
      </w:r>
    </w:p>
    <w:p w14:paraId="7E00087E" w14:textId="77777777" w:rsidR="009A58DB" w:rsidRDefault="00000000">
      <w:pPr>
        <w:pStyle w:val="BodyText"/>
        <w:spacing w:before="7" w:line="249" w:lineRule="auto"/>
        <w:ind w:right="358" w:firstLine="360"/>
      </w:pPr>
      <w:r>
        <w:t>“Smith is tall,” “Jerry snores,” and all other non-relational, non-compound sentences obviously have the form ‹x has phi.› And, though it isn’t obvious, the</w:t>
      </w:r>
      <w:r>
        <w:rPr>
          <w:spacing w:val="25"/>
        </w:rPr>
        <w:t xml:space="preserve"> </w:t>
      </w:r>
      <w:r>
        <w:t>same</w:t>
      </w:r>
      <w:r>
        <w:rPr>
          <w:spacing w:val="25"/>
        </w:rPr>
        <w:t xml:space="preserve"> </w:t>
      </w:r>
      <w:r>
        <w:t>is</w:t>
      </w:r>
      <w:r>
        <w:rPr>
          <w:spacing w:val="25"/>
        </w:rPr>
        <w:t xml:space="preserve"> </w:t>
      </w:r>
      <w:r>
        <w:t>true</w:t>
      </w:r>
      <w:r>
        <w:rPr>
          <w:spacing w:val="25"/>
        </w:rPr>
        <w:t xml:space="preserve"> </w:t>
      </w:r>
      <w:r>
        <w:t>of</w:t>
      </w:r>
      <w:r>
        <w:rPr>
          <w:spacing w:val="25"/>
        </w:rPr>
        <w:t xml:space="preserve"> </w:t>
      </w:r>
      <w:r>
        <w:t>“Bob</w:t>
      </w:r>
      <w:r>
        <w:rPr>
          <w:spacing w:val="25"/>
        </w:rPr>
        <w:t xml:space="preserve"> </w:t>
      </w:r>
      <w:r>
        <w:t>loves</w:t>
      </w:r>
      <w:r>
        <w:rPr>
          <w:spacing w:val="25"/>
        </w:rPr>
        <w:t xml:space="preserve"> </w:t>
      </w:r>
      <w:r>
        <w:t>Sally,”</w:t>
      </w:r>
      <w:r>
        <w:rPr>
          <w:spacing w:val="25"/>
        </w:rPr>
        <w:t xml:space="preserve"> </w:t>
      </w:r>
      <w:r>
        <w:t>“Wilma</w:t>
      </w:r>
      <w:r>
        <w:rPr>
          <w:spacing w:val="25"/>
        </w:rPr>
        <w:t xml:space="preserve"> </w:t>
      </w:r>
      <w:r>
        <w:t>detests</w:t>
      </w:r>
      <w:r>
        <w:rPr>
          <w:spacing w:val="25"/>
        </w:rPr>
        <w:t xml:space="preserve"> </w:t>
      </w:r>
      <w:r>
        <w:t>Linda,”</w:t>
      </w:r>
      <w:r>
        <w:rPr>
          <w:spacing w:val="25"/>
        </w:rPr>
        <w:t xml:space="preserve"> </w:t>
      </w:r>
      <w:r>
        <w:t>and</w:t>
      </w:r>
      <w:r>
        <w:rPr>
          <w:spacing w:val="25"/>
        </w:rPr>
        <w:t xml:space="preserve"> </w:t>
      </w:r>
      <w:r>
        <w:t>all</w:t>
      </w:r>
      <w:r>
        <w:rPr>
          <w:spacing w:val="25"/>
        </w:rPr>
        <w:t xml:space="preserve"> </w:t>
      </w:r>
      <w:r>
        <w:t>other</w:t>
      </w:r>
    </w:p>
    <w:p w14:paraId="7E00087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80" w14:textId="77777777" w:rsidR="009A58DB" w:rsidRDefault="00000000">
      <w:pPr>
        <w:pStyle w:val="BodyText"/>
        <w:spacing w:before="65" w:line="249" w:lineRule="auto"/>
        <w:ind w:right="365"/>
        <w:jc w:val="left"/>
      </w:pPr>
      <w:r>
        <w:lastRenderedPageBreak/>
        <w:t>non-compound sentences that affirm the existence of relations between two</w:t>
      </w:r>
      <w:r>
        <w:rPr>
          <w:spacing w:val="40"/>
        </w:rPr>
        <w:t xml:space="preserve"> </w:t>
      </w:r>
      <w:r>
        <w:t>or</w:t>
      </w:r>
      <w:r>
        <w:rPr>
          <w:spacing w:val="38"/>
        </w:rPr>
        <w:t xml:space="preserve"> </w:t>
      </w:r>
      <w:r>
        <w:t>more</w:t>
      </w:r>
      <w:r>
        <w:rPr>
          <w:spacing w:val="38"/>
        </w:rPr>
        <w:t xml:space="preserve"> </w:t>
      </w:r>
      <w:r>
        <w:t>objects.</w:t>
      </w:r>
      <w:r>
        <w:rPr>
          <w:spacing w:val="39"/>
        </w:rPr>
        <w:t xml:space="preserve"> </w:t>
      </w:r>
      <w:r>
        <w:t>Let</w:t>
      </w:r>
      <w:r>
        <w:rPr>
          <w:spacing w:val="38"/>
        </w:rPr>
        <w:t xml:space="preserve"> </w:t>
      </w:r>
      <w:r>
        <w:t>“R”</w:t>
      </w:r>
      <w:r>
        <w:rPr>
          <w:spacing w:val="38"/>
        </w:rPr>
        <w:t xml:space="preserve"> </w:t>
      </w:r>
      <w:r>
        <w:t>be</w:t>
      </w:r>
      <w:r>
        <w:rPr>
          <w:spacing w:val="38"/>
        </w:rPr>
        <w:t xml:space="preserve"> </w:t>
      </w:r>
      <w:r>
        <w:t>defined</w:t>
      </w:r>
      <w:r>
        <w:rPr>
          <w:spacing w:val="39"/>
        </w:rPr>
        <w:t xml:space="preserve"> </w:t>
      </w:r>
      <w:r>
        <w:t>as</w:t>
      </w:r>
      <w:r>
        <w:rPr>
          <w:spacing w:val="39"/>
        </w:rPr>
        <w:t xml:space="preserve"> </w:t>
      </w:r>
      <w:r>
        <w:t>follows:</w:t>
      </w:r>
      <w:r>
        <w:rPr>
          <w:spacing w:val="38"/>
        </w:rPr>
        <w:t xml:space="preserve"> </w:t>
      </w:r>
      <w:r>
        <w:t>for</w:t>
      </w:r>
      <w:r>
        <w:rPr>
          <w:spacing w:val="38"/>
        </w:rPr>
        <w:t xml:space="preserve"> </w:t>
      </w:r>
      <w:r>
        <w:t>any</w:t>
      </w:r>
      <w:r>
        <w:rPr>
          <w:spacing w:val="39"/>
        </w:rPr>
        <w:t xml:space="preserve"> </w:t>
      </w:r>
      <w:r>
        <w:t>objects</w:t>
      </w:r>
      <w:r>
        <w:rPr>
          <w:spacing w:val="38"/>
        </w:rPr>
        <w:t xml:space="preserve"> </w:t>
      </w:r>
      <w:r>
        <w:t>x</w:t>
      </w:r>
      <w:r>
        <w:rPr>
          <w:spacing w:val="39"/>
        </w:rPr>
        <w:t xml:space="preserve"> </w:t>
      </w:r>
      <w:r>
        <w:t>and</w:t>
      </w:r>
      <w:r>
        <w:rPr>
          <w:spacing w:val="39"/>
        </w:rPr>
        <w:t xml:space="preserve"> </w:t>
      </w:r>
      <w:r>
        <w:t>y,</w:t>
      </w:r>
      <w:r>
        <w:rPr>
          <w:spacing w:val="40"/>
        </w:rPr>
        <w:t xml:space="preserve"> </w:t>
      </w:r>
      <w:r>
        <w:rPr>
          <w:spacing w:val="-10"/>
        </w:rPr>
        <w:t>‹</w:t>
      </w:r>
    </w:p>
    <w:p w14:paraId="7E000881" w14:textId="77777777" w:rsidR="009A58DB" w:rsidRDefault="00000000">
      <w:pPr>
        <w:pStyle w:val="BodyText"/>
        <w:spacing w:before="2"/>
        <w:jc w:val="left"/>
      </w:pPr>
      <w:r>
        <w:t>&lt;x,y&gt;</w:t>
      </w:r>
      <w:r>
        <w:rPr>
          <w:spacing w:val="-1"/>
        </w:rPr>
        <w:t xml:space="preserve"> </w:t>
      </w:r>
      <w:r>
        <w:t>has R› is</w:t>
      </w:r>
      <w:r>
        <w:rPr>
          <w:spacing w:val="-1"/>
        </w:rPr>
        <w:t xml:space="preserve"> </w:t>
      </w:r>
      <w:r>
        <w:t>true iff x</w:t>
      </w:r>
      <w:r>
        <w:rPr>
          <w:spacing w:val="-1"/>
        </w:rPr>
        <w:t xml:space="preserve"> </w:t>
      </w:r>
      <w:r>
        <w:t>loves y. (So</w:t>
      </w:r>
      <w:r>
        <w:rPr>
          <w:spacing w:val="-1"/>
        </w:rPr>
        <w:t xml:space="preserve"> </w:t>
      </w:r>
      <w:r>
        <w:t>for any objects</w:t>
      </w:r>
      <w:r>
        <w:rPr>
          <w:spacing w:val="-1"/>
        </w:rPr>
        <w:t xml:space="preserve"> </w:t>
      </w:r>
      <w:r>
        <w:t>x and y,</w:t>
      </w:r>
      <w:r>
        <w:rPr>
          <w:spacing w:val="-1"/>
        </w:rPr>
        <w:t xml:space="preserve"> </w:t>
      </w:r>
      <w:r>
        <w:t xml:space="preserve">the ordered </w:t>
      </w:r>
      <w:r>
        <w:rPr>
          <w:spacing w:val="-4"/>
        </w:rPr>
        <w:t>pair</w:t>
      </w:r>
    </w:p>
    <w:p w14:paraId="7E000882" w14:textId="77777777" w:rsidR="009A58DB" w:rsidRDefault="00000000">
      <w:pPr>
        <w:pStyle w:val="BodyText"/>
        <w:spacing w:before="15" w:line="249" w:lineRule="auto"/>
        <w:jc w:val="left"/>
      </w:pPr>
      <w:r>
        <w:t>&lt;x,y&gt; has R exactly if x loves y.) Thus, “Bob loves Sally” is equivalent with “&lt;Bob, Sally&gt; has R,” which has the form ‹x has phi.›</w:t>
      </w:r>
    </w:p>
    <w:p w14:paraId="7E000883" w14:textId="77777777" w:rsidR="009A58DB" w:rsidRDefault="00000000">
      <w:pPr>
        <w:pStyle w:val="BodyText"/>
        <w:spacing w:before="3" w:line="249" w:lineRule="auto"/>
        <w:ind w:right="358" w:firstLine="360"/>
      </w:pPr>
      <w:r>
        <w:t>A similar procedure can be performed on sentences (such as “Bob is standing in between Sally and Larry”) that affirm the existence of relations involving three or more objects. Let “R*” be defined as follows: for any objects x, y, and z, ‹&lt;x,y,z&gt; has R*› is true iff x is standing in between y and</w:t>
      </w:r>
    </w:p>
    <w:p w14:paraId="7E000884" w14:textId="77777777" w:rsidR="009A58DB" w:rsidRDefault="00000000">
      <w:pPr>
        <w:pStyle w:val="BodyText"/>
        <w:spacing w:before="4" w:line="249" w:lineRule="auto"/>
        <w:ind w:right="363"/>
      </w:pPr>
      <w:r>
        <w:t>z. Thus, “Bob is standing in between Sally and Larry” is equivalent with “&lt;Bob, Sally, Larry&gt; has R*,” which has the form ‹x has phi.› Other non-compound relational sentences are to be dealt with similarly.</w:t>
      </w:r>
    </w:p>
    <w:p w14:paraId="7E000885" w14:textId="77777777" w:rsidR="009A58DB" w:rsidRDefault="00000000">
      <w:pPr>
        <w:pStyle w:val="BodyText"/>
        <w:spacing w:before="4" w:line="249" w:lineRule="auto"/>
        <w:ind w:right="361" w:firstLine="360"/>
      </w:pPr>
      <w:r>
        <w:t>What about compound sentences? Not a problem. Let “K” be defined as follows: for any sentences S</w:t>
      </w:r>
      <w:r>
        <w:rPr>
          <w:position w:val="-7"/>
          <w:sz w:val="22"/>
        </w:rPr>
        <w:t xml:space="preserve">1 </w:t>
      </w:r>
      <w:r>
        <w:t>and S</w:t>
      </w:r>
      <w:r>
        <w:rPr>
          <w:position w:val="-7"/>
          <w:sz w:val="22"/>
        </w:rPr>
        <w:t>2</w:t>
      </w:r>
      <w:r>
        <w:t>, ‹ &lt;S</w:t>
      </w:r>
      <w:r>
        <w:rPr>
          <w:position w:val="-7"/>
          <w:sz w:val="22"/>
        </w:rPr>
        <w:t>1</w:t>
      </w:r>
      <w:r>
        <w:t>,</w:t>
      </w:r>
      <w:r>
        <w:rPr>
          <w:spacing w:val="-1"/>
        </w:rPr>
        <w:t xml:space="preserve"> </w:t>
      </w:r>
      <w:r>
        <w:t>S</w:t>
      </w:r>
      <w:r>
        <w:rPr>
          <w:position w:val="-7"/>
          <w:sz w:val="22"/>
        </w:rPr>
        <w:t>2</w:t>
      </w:r>
      <w:r>
        <w:t>&gt; has K› is true iff the state of affairs</w:t>
      </w:r>
      <w:r>
        <w:rPr>
          <w:spacing w:val="18"/>
        </w:rPr>
        <w:t xml:space="preserve"> </w:t>
      </w:r>
      <w:r>
        <w:t>described</w:t>
      </w:r>
      <w:r>
        <w:rPr>
          <w:spacing w:val="19"/>
        </w:rPr>
        <w:t xml:space="preserve"> </w:t>
      </w:r>
      <w:r>
        <w:t>by</w:t>
      </w:r>
      <w:r>
        <w:rPr>
          <w:spacing w:val="18"/>
        </w:rPr>
        <w:t xml:space="preserve"> </w:t>
      </w:r>
      <w:r>
        <w:t>S</w:t>
      </w:r>
      <w:r>
        <w:rPr>
          <w:vertAlign w:val="subscript"/>
        </w:rPr>
        <w:t>1</w:t>
      </w:r>
      <w:r>
        <w:rPr>
          <w:spacing w:val="21"/>
        </w:rPr>
        <w:t xml:space="preserve"> </w:t>
      </w:r>
      <w:r>
        <w:t>is</w:t>
      </w:r>
      <w:r>
        <w:rPr>
          <w:spacing w:val="20"/>
        </w:rPr>
        <w:t xml:space="preserve"> </w:t>
      </w:r>
      <w:r>
        <w:t>a</w:t>
      </w:r>
      <w:r>
        <w:rPr>
          <w:spacing w:val="21"/>
        </w:rPr>
        <w:t xml:space="preserve"> </w:t>
      </w:r>
      <w:r>
        <w:t>consequence</w:t>
      </w:r>
      <w:r>
        <w:rPr>
          <w:spacing w:val="21"/>
        </w:rPr>
        <w:t xml:space="preserve"> </w:t>
      </w:r>
      <w:r>
        <w:t>(of</w:t>
      </w:r>
      <w:r>
        <w:rPr>
          <w:spacing w:val="20"/>
        </w:rPr>
        <w:t xml:space="preserve"> </w:t>
      </w:r>
      <w:r>
        <w:t>some</w:t>
      </w:r>
      <w:r>
        <w:rPr>
          <w:spacing w:val="21"/>
        </w:rPr>
        <w:t xml:space="preserve"> </w:t>
      </w:r>
      <w:r>
        <w:t>kind</w:t>
      </w:r>
      <w:r>
        <w:rPr>
          <w:spacing w:val="20"/>
        </w:rPr>
        <w:t xml:space="preserve"> </w:t>
      </w:r>
      <w:r>
        <w:t>or</w:t>
      </w:r>
      <w:r>
        <w:rPr>
          <w:spacing w:val="21"/>
        </w:rPr>
        <w:t xml:space="preserve"> </w:t>
      </w:r>
      <w:r>
        <w:t>other)</w:t>
      </w:r>
      <w:r>
        <w:rPr>
          <w:spacing w:val="20"/>
        </w:rPr>
        <w:t xml:space="preserve"> </w:t>
      </w:r>
      <w:r>
        <w:t>of</w:t>
      </w:r>
      <w:r>
        <w:rPr>
          <w:spacing w:val="21"/>
        </w:rPr>
        <w:t xml:space="preserve"> </w:t>
      </w:r>
      <w:r>
        <w:t>the</w:t>
      </w:r>
      <w:r>
        <w:rPr>
          <w:spacing w:val="21"/>
        </w:rPr>
        <w:t xml:space="preserve"> </w:t>
      </w:r>
      <w:r>
        <w:rPr>
          <w:spacing w:val="-4"/>
        </w:rPr>
        <w:t>state</w:t>
      </w:r>
    </w:p>
    <w:p w14:paraId="7E000886" w14:textId="77777777" w:rsidR="009A58DB" w:rsidRDefault="00000000">
      <w:pPr>
        <w:pStyle w:val="BodyText"/>
        <w:spacing w:before="61" w:line="271" w:lineRule="auto"/>
        <w:ind w:right="361"/>
      </w:pPr>
      <w:r>
        <w:t>of affairs described by S</w:t>
      </w:r>
      <w:r>
        <w:rPr>
          <w:vertAlign w:val="subscript"/>
        </w:rPr>
        <w:t>2</w:t>
      </w:r>
      <w:r>
        <w:t>. Thus, “Smith broke his leg because he fell out of the a tree” is equivalent with “&lt;Smith broke his leg, Smith fell out of the a tree.&gt; has K,” which has the form ‹x has phi.› Other compound sentences are</w:t>
      </w:r>
    </w:p>
    <w:p w14:paraId="7E000887" w14:textId="77777777" w:rsidR="009A58DB" w:rsidRDefault="00000000">
      <w:pPr>
        <w:pStyle w:val="BodyText"/>
        <w:spacing w:line="316" w:lineRule="exact"/>
      </w:pPr>
      <w:r>
        <w:t>to</w:t>
      </w:r>
      <w:r>
        <w:rPr>
          <w:spacing w:val="-2"/>
        </w:rPr>
        <w:t xml:space="preserve"> </w:t>
      </w:r>
      <w:r>
        <w:t>be</w:t>
      </w:r>
      <w:r>
        <w:rPr>
          <w:spacing w:val="-3"/>
        </w:rPr>
        <w:t xml:space="preserve"> </w:t>
      </w:r>
      <w:r>
        <w:t>dealt</w:t>
      </w:r>
      <w:r>
        <w:rPr>
          <w:spacing w:val="-3"/>
        </w:rPr>
        <w:t xml:space="preserve"> </w:t>
      </w:r>
      <w:r>
        <w:t>with</w:t>
      </w:r>
      <w:r>
        <w:rPr>
          <w:spacing w:val="-1"/>
        </w:rPr>
        <w:t xml:space="preserve"> </w:t>
      </w:r>
      <w:r>
        <w:rPr>
          <w:spacing w:val="-2"/>
        </w:rPr>
        <w:t>similarly.</w:t>
      </w:r>
    </w:p>
    <w:p w14:paraId="7E000888" w14:textId="77777777" w:rsidR="009A58DB" w:rsidRDefault="00000000">
      <w:pPr>
        <w:pStyle w:val="BodyText"/>
        <w:spacing w:before="15" w:line="249" w:lineRule="auto"/>
        <w:ind w:right="359" w:firstLine="360"/>
      </w:pPr>
      <w:r>
        <w:t>Negative sentences are particularly easy to deal with. “Smith doesn’t smoke” is equivalent with “the proposition that Smith smokes is false,”</w:t>
      </w:r>
      <w:r>
        <w:rPr>
          <w:spacing w:val="40"/>
        </w:rPr>
        <w:t xml:space="preserve"> </w:t>
      </w:r>
      <w:r>
        <w:t>which clearly has the form: ‹x has phi.› Other negative sentences are to be dealt with similarly.</w:t>
      </w:r>
    </w:p>
    <w:p w14:paraId="7E000889" w14:textId="77777777" w:rsidR="009A58DB" w:rsidRDefault="00000000">
      <w:pPr>
        <w:pStyle w:val="BodyText"/>
        <w:spacing w:before="5" w:line="249" w:lineRule="auto"/>
        <w:ind w:right="361" w:firstLine="360"/>
      </w:pPr>
      <w:r>
        <w:t>There</w:t>
      </w:r>
      <w:r>
        <w:rPr>
          <w:spacing w:val="-2"/>
        </w:rPr>
        <w:t xml:space="preserve"> </w:t>
      </w:r>
      <w:r>
        <w:t>is</w:t>
      </w:r>
      <w:r>
        <w:rPr>
          <w:spacing w:val="-2"/>
        </w:rPr>
        <w:t xml:space="preserve"> </w:t>
      </w:r>
      <w:r>
        <w:t>only</w:t>
      </w:r>
      <w:r>
        <w:rPr>
          <w:spacing w:val="-2"/>
        </w:rPr>
        <w:t xml:space="preserve"> </w:t>
      </w:r>
      <w:r>
        <w:t>one</w:t>
      </w:r>
      <w:r>
        <w:rPr>
          <w:spacing w:val="-2"/>
        </w:rPr>
        <w:t xml:space="preserve"> </w:t>
      </w:r>
      <w:r>
        <w:t>kind</w:t>
      </w:r>
      <w:r>
        <w:rPr>
          <w:spacing w:val="-2"/>
        </w:rPr>
        <w:t xml:space="preserve"> </w:t>
      </w:r>
      <w:r>
        <w:t>of</w:t>
      </w:r>
      <w:r>
        <w:rPr>
          <w:spacing w:val="-2"/>
        </w:rPr>
        <w:t xml:space="preserve"> </w:t>
      </w:r>
      <w:r>
        <w:t>sentence</w:t>
      </w:r>
      <w:r>
        <w:rPr>
          <w:spacing w:val="-2"/>
        </w:rPr>
        <w:t xml:space="preserve"> </w:t>
      </w:r>
      <w:r>
        <w:t>that</w:t>
      </w:r>
      <w:r>
        <w:rPr>
          <w:spacing w:val="-2"/>
        </w:rPr>
        <w:t xml:space="preserve"> </w:t>
      </w:r>
      <w:r>
        <w:t>we</w:t>
      </w:r>
      <w:r>
        <w:rPr>
          <w:spacing w:val="-2"/>
        </w:rPr>
        <w:t xml:space="preserve"> </w:t>
      </w:r>
      <w:r>
        <w:t>haven’t</w:t>
      </w:r>
      <w:r>
        <w:rPr>
          <w:spacing w:val="-2"/>
        </w:rPr>
        <w:t xml:space="preserve"> </w:t>
      </w:r>
      <w:r>
        <w:t>yet</w:t>
      </w:r>
      <w:r>
        <w:rPr>
          <w:spacing w:val="-2"/>
        </w:rPr>
        <w:t xml:space="preserve"> </w:t>
      </w:r>
      <w:r>
        <w:t>considered,</w:t>
      </w:r>
      <w:r>
        <w:rPr>
          <w:spacing w:val="-2"/>
        </w:rPr>
        <w:t xml:space="preserve"> </w:t>
      </w:r>
      <w:r>
        <w:t xml:space="preserve">namely, </w:t>
      </w:r>
      <w:r>
        <w:rPr>
          <w:b/>
          <w:i/>
        </w:rPr>
        <w:t xml:space="preserve">quantified generalizations. </w:t>
      </w:r>
      <w:r>
        <w:t>A “quantified generalization” is any statement that says how many members one class of objects has in common with some other class of objects. Examples are: (a) “some person smokes,” (b) “no giraffes fly,” and (c) “all mice read Tolstoy.” (a) says that the class of people has at least one member in common with the class of smokers. (b) says that the class of giraffes has no members in common with the class of things that fly. And (c) says that the class of mice has no members in common with the class of things that don’t read Tolstoy.</w:t>
      </w:r>
    </w:p>
    <w:p w14:paraId="7E00088A" w14:textId="77777777" w:rsidR="009A58DB" w:rsidRDefault="00000000">
      <w:pPr>
        <w:pStyle w:val="BodyText"/>
        <w:spacing w:before="11" w:line="249" w:lineRule="auto"/>
        <w:ind w:right="358" w:firstLine="360"/>
      </w:pPr>
      <w:r>
        <w:t>Bearing this in mind, let “E” be defined as follows: for any properties P and Q, ‹ &lt;P, Q&gt; has E› is true iff the class of things having P has a least one member with the class of things having Q. Thus, (a) is equivalent with: “&lt;the</w:t>
      </w:r>
    </w:p>
    <w:p w14:paraId="7E00088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8C" w14:textId="77777777" w:rsidR="009A58DB" w:rsidRDefault="00000000">
      <w:pPr>
        <w:pStyle w:val="BodyText"/>
        <w:spacing w:before="65" w:line="249" w:lineRule="auto"/>
        <w:ind w:right="360"/>
      </w:pPr>
      <w:r>
        <w:lastRenderedPageBreak/>
        <w:t>property of being a person, the property of being a smoker&gt;, has E” which obviously has the form ‹x has phi.› Other quantified generalizations are to be dealt with similarly.</w:t>
      </w:r>
    </w:p>
    <w:p w14:paraId="7E00088D" w14:textId="77777777" w:rsidR="009A58DB" w:rsidRDefault="00000000">
      <w:pPr>
        <w:pStyle w:val="BodyText"/>
        <w:spacing w:before="3" w:line="252" w:lineRule="auto"/>
        <w:ind w:right="359" w:firstLine="360"/>
      </w:pPr>
      <w:r>
        <w:t>We have thus established that any given sentence S is equivalent to some sentence having the form ‹x has phi.› Given this fact, there is an obvious answer to the question “what is it for a sentence to be meaningful?” A sentence is meaningful if it attributes some property to some object. A sentence S is meaningful if, for some object x and some property phi, S says that x has phi.</w:t>
      </w:r>
      <w:r>
        <w:rPr>
          <w:vertAlign w:val="superscript"/>
        </w:rPr>
        <w:t>1</w:t>
      </w:r>
      <w:r>
        <w:t xml:space="preserve"> It’s irrelevant whether it can be perceptually confirmed, let alone verified, that x has phi.</w:t>
      </w:r>
    </w:p>
    <w:p w14:paraId="7E00088E" w14:textId="77777777" w:rsidR="009A58DB" w:rsidRDefault="00000000">
      <w:pPr>
        <w:pStyle w:val="BodyText"/>
        <w:spacing w:line="249" w:lineRule="auto"/>
        <w:ind w:right="359" w:firstLine="360"/>
      </w:pPr>
      <w:r>
        <w:t>How could this theory be wrong? If a sentence attributes any property to any thing, it says something about something and is therefore meaningful. And if a sentence doesn’t attribute any property to anything, it doesn’t say anything about anything and is therefore meaningless.</w:t>
      </w:r>
    </w:p>
    <w:p w14:paraId="7E00088F" w14:textId="77777777" w:rsidR="009A58DB" w:rsidRDefault="00000000">
      <w:pPr>
        <w:pStyle w:val="Heading1"/>
        <w:numPr>
          <w:ilvl w:val="1"/>
          <w:numId w:val="220"/>
        </w:numPr>
        <w:tabs>
          <w:tab w:val="left" w:pos="990"/>
        </w:tabs>
        <w:spacing w:before="193"/>
      </w:pPr>
      <w:r>
        <w:t>The</w:t>
      </w:r>
      <w:r>
        <w:rPr>
          <w:spacing w:val="-4"/>
        </w:rPr>
        <w:t xml:space="preserve"> </w:t>
      </w:r>
      <w:r>
        <w:t>picture</w:t>
      </w:r>
      <w:r>
        <w:rPr>
          <w:spacing w:val="-4"/>
        </w:rPr>
        <w:t xml:space="preserve"> </w:t>
      </w:r>
      <w:r>
        <w:t>theory</w:t>
      </w:r>
      <w:r>
        <w:rPr>
          <w:spacing w:val="-3"/>
        </w:rPr>
        <w:t xml:space="preserve"> </w:t>
      </w:r>
      <w:r>
        <w:t>of</w:t>
      </w:r>
      <w:r>
        <w:rPr>
          <w:spacing w:val="-4"/>
        </w:rPr>
        <w:t xml:space="preserve"> </w:t>
      </w:r>
      <w:r>
        <w:rPr>
          <w:spacing w:val="-2"/>
        </w:rPr>
        <w:t>meaning</w:t>
      </w:r>
    </w:p>
    <w:p w14:paraId="7E000890" w14:textId="77777777" w:rsidR="009A58DB" w:rsidRDefault="00000000">
      <w:pPr>
        <w:pStyle w:val="BodyText"/>
        <w:spacing w:before="139" w:line="249" w:lineRule="auto"/>
        <w:ind w:right="366" w:firstLine="360"/>
      </w:pPr>
      <w:r>
        <w:t xml:space="preserve">One of the most interesting contentions put forth in the </w:t>
      </w:r>
      <w:r>
        <w:rPr>
          <w:i/>
        </w:rPr>
        <w:t>Tractatus Logico-Philosophicus</w:t>
      </w:r>
      <w:r>
        <w:rPr>
          <w:i/>
          <w:spacing w:val="-5"/>
        </w:rPr>
        <w:t xml:space="preserve"> </w:t>
      </w:r>
      <w:r>
        <w:t>(TLP)</w:t>
      </w:r>
      <w:r>
        <w:rPr>
          <w:spacing w:val="-5"/>
        </w:rPr>
        <w:t xml:space="preserve"> </w:t>
      </w:r>
      <w:r>
        <w:t>is</w:t>
      </w:r>
      <w:r>
        <w:rPr>
          <w:spacing w:val="-5"/>
        </w:rPr>
        <w:t xml:space="preserve"> </w:t>
      </w:r>
      <w:r>
        <w:t>the</w:t>
      </w:r>
      <w:r>
        <w:rPr>
          <w:spacing w:val="-5"/>
        </w:rPr>
        <w:t xml:space="preserve"> </w:t>
      </w:r>
      <w:r>
        <w:t>so-called</w:t>
      </w:r>
      <w:r>
        <w:rPr>
          <w:spacing w:val="-4"/>
        </w:rPr>
        <w:t xml:space="preserve"> </w:t>
      </w:r>
      <w:r>
        <w:t>“picture</w:t>
      </w:r>
      <w:r>
        <w:rPr>
          <w:spacing w:val="-5"/>
        </w:rPr>
        <w:t xml:space="preserve"> </w:t>
      </w:r>
      <w:r>
        <w:t>theory</w:t>
      </w:r>
      <w:r>
        <w:rPr>
          <w:spacing w:val="-4"/>
        </w:rPr>
        <w:t xml:space="preserve"> </w:t>
      </w:r>
      <w:r>
        <w:t>of</w:t>
      </w:r>
      <w:r>
        <w:rPr>
          <w:spacing w:val="-5"/>
        </w:rPr>
        <w:t xml:space="preserve"> </w:t>
      </w:r>
      <w:r>
        <w:t>meaning.”</w:t>
      </w:r>
      <w:r>
        <w:rPr>
          <w:spacing w:val="-5"/>
        </w:rPr>
        <w:t xml:space="preserve"> </w:t>
      </w:r>
      <w:r>
        <w:t>In</w:t>
      </w:r>
      <w:r>
        <w:rPr>
          <w:spacing w:val="-4"/>
        </w:rPr>
        <w:t xml:space="preserve"> </w:t>
      </w:r>
      <w:r>
        <w:t>the</w:t>
      </w:r>
      <w:r>
        <w:rPr>
          <w:spacing w:val="-5"/>
        </w:rPr>
        <w:t xml:space="preserve"> </w:t>
      </w:r>
      <w:r>
        <w:t>TLP, Wittgenstein says that sentences are “pictures” of the facts they describe.</w:t>
      </w:r>
    </w:p>
    <w:p w14:paraId="7E000891" w14:textId="77777777" w:rsidR="009A58DB" w:rsidRDefault="00000000">
      <w:pPr>
        <w:pStyle w:val="BodyText"/>
        <w:spacing w:before="3" w:line="249" w:lineRule="auto"/>
        <w:ind w:right="361" w:firstLine="360"/>
      </w:pPr>
      <w:r>
        <w:t>What does he mean? Maybe he means that sentences are picture-</w:t>
      </w:r>
      <w:r>
        <w:rPr>
          <w:i/>
        </w:rPr>
        <w:t xml:space="preserve">like </w:t>
      </w:r>
      <w:r>
        <w:t>in that they, like pictures, represent facts. But in that case what Wittgenstein is saying is completely and utterly trivial.</w:t>
      </w:r>
    </w:p>
    <w:p w14:paraId="7E000892" w14:textId="77777777" w:rsidR="009A58DB" w:rsidRDefault="00000000">
      <w:pPr>
        <w:pStyle w:val="BodyText"/>
        <w:spacing w:before="4" w:line="249" w:lineRule="auto"/>
        <w:ind w:right="367" w:firstLine="360"/>
      </w:pPr>
      <w:r>
        <w:t xml:space="preserve">Thus, so far as what Wittgenstein is saying has substance, it isn’t that sentences are </w:t>
      </w:r>
      <w:r>
        <w:rPr>
          <w:i/>
        </w:rPr>
        <w:t>like</w:t>
      </w:r>
      <w:r>
        <w:rPr>
          <w:i/>
          <w:spacing w:val="-4"/>
        </w:rPr>
        <w:t xml:space="preserve"> </w:t>
      </w:r>
      <w:r>
        <w:t xml:space="preserve">pictures of the facts they describe; and it must therefore be that they </w:t>
      </w:r>
      <w:r>
        <w:rPr>
          <w:i/>
        </w:rPr>
        <w:t xml:space="preserve">are </w:t>
      </w:r>
      <w:r>
        <w:t>such pictures.</w:t>
      </w:r>
    </w:p>
    <w:p w14:paraId="7E000893" w14:textId="77777777" w:rsidR="009A58DB" w:rsidRDefault="00000000">
      <w:pPr>
        <w:pStyle w:val="BodyText"/>
        <w:spacing w:before="4" w:line="249" w:lineRule="auto"/>
        <w:ind w:right="358" w:firstLine="360"/>
      </w:pPr>
      <w:r>
        <w:t>But in that case, what Wittgenstein is saying is false. It is only relative to arbitrary conventions that “Smith punched Jones” describes the fact that Smith punched Jones. But it isn’t relative to such conventions that a film or painting of Smith punching Jones describes that fact.</w:t>
      </w:r>
    </w:p>
    <w:p w14:paraId="7E000894" w14:textId="77777777" w:rsidR="009A58DB" w:rsidRDefault="00000000">
      <w:pPr>
        <w:pStyle w:val="BodyText"/>
        <w:spacing w:before="5" w:line="249" w:lineRule="auto"/>
        <w:ind w:right="367" w:firstLine="360"/>
      </w:pPr>
      <w:r>
        <w:t xml:space="preserve">To be sure, there is a non-conventional </w:t>
      </w:r>
      <w:r>
        <w:rPr>
          <w:i/>
        </w:rPr>
        <w:t xml:space="preserve">component </w:t>
      </w:r>
      <w:r>
        <w:t>to sentential representation. Let P be the proposition meant by the sentence:</w:t>
      </w:r>
    </w:p>
    <w:p w14:paraId="7E000895" w14:textId="77777777" w:rsidR="009A58DB" w:rsidRDefault="009A58DB">
      <w:pPr>
        <w:pStyle w:val="BodyText"/>
        <w:spacing w:before="17"/>
        <w:ind w:left="0"/>
        <w:jc w:val="left"/>
      </w:pPr>
    </w:p>
    <w:p w14:paraId="7E000896" w14:textId="77777777" w:rsidR="009A58DB" w:rsidRDefault="00000000">
      <w:pPr>
        <w:pStyle w:val="BodyText"/>
        <w:spacing w:line="249" w:lineRule="auto"/>
        <w:ind w:firstLine="360"/>
        <w:jc w:val="left"/>
      </w:pPr>
      <w:r>
        <w:t>(1)</w:t>
      </w:r>
      <w:r>
        <w:rPr>
          <w:spacing w:val="30"/>
        </w:rPr>
        <w:t xml:space="preserve"> </w:t>
      </w:r>
      <w:r>
        <w:t>“Given</w:t>
      </w:r>
      <w:r>
        <w:rPr>
          <w:spacing w:val="30"/>
        </w:rPr>
        <w:t xml:space="preserve"> </w:t>
      </w:r>
      <w:r>
        <w:t>that</w:t>
      </w:r>
      <w:r>
        <w:rPr>
          <w:spacing w:val="30"/>
        </w:rPr>
        <w:t xml:space="preserve"> </w:t>
      </w:r>
      <w:r>
        <w:t>Socrates</w:t>
      </w:r>
      <w:r>
        <w:rPr>
          <w:spacing w:val="30"/>
        </w:rPr>
        <w:t xml:space="preserve"> </w:t>
      </w:r>
      <w:r>
        <w:t>was</w:t>
      </w:r>
      <w:r>
        <w:rPr>
          <w:spacing w:val="30"/>
        </w:rPr>
        <w:t xml:space="preserve"> </w:t>
      </w:r>
      <w:r>
        <w:t>a</w:t>
      </w:r>
      <w:r>
        <w:rPr>
          <w:spacing w:val="30"/>
        </w:rPr>
        <w:t xml:space="preserve"> </w:t>
      </w:r>
      <w:r>
        <w:t>philosopher,</w:t>
      </w:r>
      <w:r>
        <w:rPr>
          <w:spacing w:val="30"/>
        </w:rPr>
        <w:t xml:space="preserve"> </w:t>
      </w:r>
      <w:r>
        <w:t>it</w:t>
      </w:r>
      <w:r>
        <w:rPr>
          <w:spacing w:val="30"/>
        </w:rPr>
        <w:t xml:space="preserve"> </w:t>
      </w:r>
      <w:r>
        <w:t>follows</w:t>
      </w:r>
      <w:r>
        <w:rPr>
          <w:spacing w:val="30"/>
        </w:rPr>
        <w:t xml:space="preserve"> </w:t>
      </w:r>
      <w:r>
        <w:t>from</w:t>
      </w:r>
      <w:r>
        <w:rPr>
          <w:spacing w:val="30"/>
        </w:rPr>
        <w:t xml:space="preserve"> </w:t>
      </w:r>
      <w:r>
        <w:t>the</w:t>
      </w:r>
      <w:r>
        <w:rPr>
          <w:spacing w:val="30"/>
        </w:rPr>
        <w:t xml:space="preserve"> </w:t>
      </w:r>
      <w:r>
        <w:t>fact</w:t>
      </w:r>
      <w:r>
        <w:rPr>
          <w:spacing w:val="30"/>
        </w:rPr>
        <w:t xml:space="preserve"> </w:t>
      </w:r>
      <w:r>
        <w:t>that Socrates was bald that there has been at least one bald philosopher.”</w:t>
      </w:r>
    </w:p>
    <w:p w14:paraId="7E000897"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898" w14:textId="77777777" w:rsidR="009A58DB" w:rsidRDefault="00000000">
      <w:pPr>
        <w:pStyle w:val="BodyText"/>
        <w:spacing w:before="65" w:line="249" w:lineRule="auto"/>
        <w:ind w:right="360" w:firstLine="360"/>
      </w:pPr>
      <w:r>
        <w:lastRenderedPageBreak/>
        <w:t xml:space="preserve">The fact that (1) means P is not itself a convention. It is a logical </w:t>
      </w:r>
      <w:r>
        <w:rPr>
          <w:i/>
        </w:rPr>
        <w:t xml:space="preserve">consequence </w:t>
      </w:r>
      <w:r>
        <w:t xml:space="preserve">of our semantic conventions (e.g., that “Socrates” refers to Socrates, etc.). But for that very reason, there is a conventional component to that fact. And since graphic resemblance is a </w:t>
      </w:r>
      <w:r>
        <w:rPr>
          <w:i/>
        </w:rPr>
        <w:t>non</w:t>
      </w:r>
      <w:r>
        <w:t xml:space="preserve">-conventional method of representation, it follows that, so far as (1)’s relation to the fact it describes is conventional, that relation is fundamentally </w:t>
      </w:r>
      <w:r>
        <w:rPr>
          <w:i/>
        </w:rPr>
        <w:t xml:space="preserve">not </w:t>
      </w:r>
      <w:r>
        <w:t>like the relation borne by a picture of an event to that event. Thus, the picture-theory is false if taken literally and it’s empty if taken non-literally.</w:t>
      </w:r>
    </w:p>
    <w:p w14:paraId="7E000899" w14:textId="77777777" w:rsidR="009A58DB" w:rsidRDefault="00000000">
      <w:pPr>
        <w:pStyle w:val="BodyText"/>
        <w:spacing w:before="9" w:line="249" w:lineRule="auto"/>
        <w:ind w:right="360" w:firstLine="360"/>
      </w:pPr>
      <w:r>
        <w:t>But maybe there’s some way of interpreting that theory that we’ve overlooked. To see whether this is so, let’s consider Wittgenstein’s argument for it:</w:t>
      </w:r>
    </w:p>
    <w:p w14:paraId="7E00089A" w14:textId="77777777" w:rsidR="009A58DB" w:rsidRDefault="009A58DB">
      <w:pPr>
        <w:pStyle w:val="BodyText"/>
        <w:spacing w:before="19"/>
        <w:ind w:left="0"/>
        <w:jc w:val="left"/>
      </w:pPr>
    </w:p>
    <w:p w14:paraId="7E00089B" w14:textId="77777777" w:rsidR="009A58DB" w:rsidRDefault="00000000">
      <w:pPr>
        <w:pStyle w:val="BodyText"/>
        <w:spacing w:line="249" w:lineRule="auto"/>
        <w:ind w:left="1230" w:right="1228"/>
      </w:pPr>
      <w:r>
        <w:t>At first sight a sentence—one set out on the printed page, for example—does not seem to be a picture of the reality with which</w:t>
      </w:r>
      <w:r>
        <w:rPr>
          <w:spacing w:val="-2"/>
        </w:rPr>
        <w:t xml:space="preserve"> </w:t>
      </w:r>
      <w:r>
        <w:t>it</w:t>
      </w:r>
      <w:r>
        <w:rPr>
          <w:spacing w:val="-2"/>
        </w:rPr>
        <w:t xml:space="preserve"> </w:t>
      </w:r>
      <w:r>
        <w:t>is</w:t>
      </w:r>
      <w:r>
        <w:rPr>
          <w:spacing w:val="-2"/>
        </w:rPr>
        <w:t xml:space="preserve"> </w:t>
      </w:r>
      <w:r>
        <w:t>concerned.</w:t>
      </w:r>
      <w:r>
        <w:rPr>
          <w:spacing w:val="-2"/>
        </w:rPr>
        <w:t xml:space="preserve"> </w:t>
      </w:r>
      <w:r>
        <w:t>But</w:t>
      </w:r>
      <w:r>
        <w:rPr>
          <w:spacing w:val="-2"/>
        </w:rPr>
        <w:t xml:space="preserve"> </w:t>
      </w:r>
      <w:r>
        <w:t>neither</w:t>
      </w:r>
      <w:r>
        <w:rPr>
          <w:spacing w:val="-2"/>
        </w:rPr>
        <w:t xml:space="preserve"> </w:t>
      </w:r>
      <w:r>
        <w:t>do</w:t>
      </w:r>
      <w:r>
        <w:rPr>
          <w:spacing w:val="-2"/>
        </w:rPr>
        <w:t xml:space="preserve"> </w:t>
      </w:r>
      <w:r>
        <w:t>written</w:t>
      </w:r>
      <w:r>
        <w:rPr>
          <w:spacing w:val="-2"/>
        </w:rPr>
        <w:t xml:space="preserve"> </w:t>
      </w:r>
      <w:r>
        <w:t>notes</w:t>
      </w:r>
      <w:r>
        <w:rPr>
          <w:spacing w:val="-2"/>
        </w:rPr>
        <w:t xml:space="preserve"> </w:t>
      </w:r>
      <w:r>
        <w:t>seem</w:t>
      </w:r>
      <w:r>
        <w:rPr>
          <w:spacing w:val="-2"/>
        </w:rPr>
        <w:t xml:space="preserve"> </w:t>
      </w:r>
      <w:r>
        <w:t>at</w:t>
      </w:r>
      <w:r>
        <w:rPr>
          <w:spacing w:val="-2"/>
        </w:rPr>
        <w:t xml:space="preserve"> </w:t>
      </w:r>
      <w:r>
        <w:t>first sight to be a picture of a piece of music, nor our phonetic notation (the alphabet) to be a picture of our speech. At yet these sign-languages prove to be pictures, even in the ordinary sense, of what they represen</w:t>
      </w:r>
      <w:bookmarkStart w:id="81" w:name="_bookmark81"/>
      <w:bookmarkEnd w:id="81"/>
      <w:r>
        <w:t>t</w:t>
      </w:r>
      <w:r>
        <w:rPr>
          <w:color w:val="0562C1"/>
          <w:position w:val="10"/>
          <w:u w:val="single" w:color="0562C1"/>
        </w:rPr>
        <w:t>79</w:t>
      </w:r>
      <w:r>
        <w:rPr>
          <w:color w:val="0562C1"/>
          <w:position w:val="10"/>
        </w:rPr>
        <w:t xml:space="preserve"> </w:t>
      </w:r>
      <w:r>
        <w:t>. . . There is a general rule by means of which the musician can obtain the symphony from the score, and which makes it possible to derive the symphony from the groove on the gramophone record, and, using the first rule, to drive the score again. That is what constitutes the inner similarity between these things which seem to be constructed</w:t>
      </w:r>
      <w:r>
        <w:rPr>
          <w:spacing w:val="40"/>
        </w:rPr>
        <w:t xml:space="preserve"> </w:t>
      </w:r>
      <w:r>
        <w:t>in such entirely different ways. And that rule is the law of projection which projects the symphony into the language of musical notation. It is the rule for translating this language into the language of gramophone records.</w:t>
      </w:r>
    </w:p>
    <w:p w14:paraId="7E00089C" w14:textId="77777777" w:rsidR="009A58DB" w:rsidRDefault="009A58DB">
      <w:pPr>
        <w:pStyle w:val="BodyText"/>
        <w:spacing w:before="40"/>
        <w:ind w:left="0"/>
        <w:jc w:val="left"/>
      </w:pPr>
    </w:p>
    <w:p w14:paraId="7E00089D" w14:textId="77777777" w:rsidR="009A58DB" w:rsidRDefault="00000000">
      <w:pPr>
        <w:pStyle w:val="BodyText"/>
        <w:spacing w:line="252" w:lineRule="auto"/>
        <w:ind w:right="360" w:firstLine="360"/>
        <w:rPr>
          <w:position w:val="10"/>
        </w:rPr>
      </w:pPr>
      <w:r>
        <w:t xml:space="preserve">The idea seems to be that just as laws of projection coordinate the painting of the bowl of fruit with the bowl of fruit itself, so the </w:t>
      </w:r>
      <w:r>
        <w:rPr>
          <w:b/>
          <w:i/>
        </w:rPr>
        <w:t xml:space="preserve">semantic rules </w:t>
      </w:r>
      <w:r>
        <w:t>of a language coordinate its sentences with the realities they describe</w:t>
      </w:r>
      <w:bookmarkStart w:id="82" w:name="_bookmark82"/>
      <w:bookmarkEnd w:id="82"/>
      <w:r>
        <w:t>.</w:t>
      </w:r>
      <w:r>
        <w:rPr>
          <w:color w:val="0562C1"/>
          <w:position w:val="10"/>
          <w:u w:val="single" w:color="0562C1"/>
        </w:rPr>
        <w:t>80</w:t>
      </w:r>
    </w:p>
    <w:p w14:paraId="7E00089E" w14:textId="77777777" w:rsidR="009A58DB" w:rsidRDefault="00000000">
      <w:pPr>
        <w:pStyle w:val="BodyText"/>
        <w:spacing w:line="249" w:lineRule="auto"/>
        <w:ind w:right="368" w:firstLine="360"/>
      </w:pPr>
      <w:r>
        <w:t xml:space="preserve">But this analogy is a shallow one; and when it’s scrutinized, it becomes even more clear than before how </w:t>
      </w:r>
      <w:r>
        <w:rPr>
          <w:i/>
        </w:rPr>
        <w:t>un</w:t>
      </w:r>
      <w:r>
        <w:t>like pictures sentences are.</w:t>
      </w:r>
    </w:p>
    <w:p w14:paraId="7E00089F" w14:textId="77777777" w:rsidR="009A58DB" w:rsidRDefault="00000000">
      <w:pPr>
        <w:pStyle w:val="BodyText"/>
        <w:spacing w:before="1"/>
        <w:ind w:left="720"/>
      </w:pPr>
      <w:r>
        <w:t>What</w:t>
      </w:r>
      <w:r>
        <w:rPr>
          <w:spacing w:val="13"/>
        </w:rPr>
        <w:t xml:space="preserve"> </w:t>
      </w:r>
      <w:r>
        <w:t>if,</w:t>
      </w:r>
      <w:r>
        <w:rPr>
          <w:spacing w:val="16"/>
        </w:rPr>
        <w:t xml:space="preserve"> </w:t>
      </w:r>
      <w:r>
        <w:t>because</w:t>
      </w:r>
      <w:r>
        <w:rPr>
          <w:spacing w:val="17"/>
        </w:rPr>
        <w:t xml:space="preserve"> </w:t>
      </w:r>
      <w:r>
        <w:t>of</w:t>
      </w:r>
      <w:r>
        <w:rPr>
          <w:spacing w:val="16"/>
        </w:rPr>
        <w:t xml:space="preserve"> </w:t>
      </w:r>
      <w:r>
        <w:t>some</w:t>
      </w:r>
      <w:r>
        <w:rPr>
          <w:spacing w:val="17"/>
        </w:rPr>
        <w:t xml:space="preserve"> </w:t>
      </w:r>
      <w:r>
        <w:t>change</w:t>
      </w:r>
      <w:r>
        <w:rPr>
          <w:spacing w:val="15"/>
        </w:rPr>
        <w:t xml:space="preserve"> </w:t>
      </w:r>
      <w:r>
        <w:t>in</w:t>
      </w:r>
      <w:r>
        <w:rPr>
          <w:spacing w:val="17"/>
        </w:rPr>
        <w:t xml:space="preserve"> </w:t>
      </w:r>
      <w:r>
        <w:t>the</w:t>
      </w:r>
      <w:r>
        <w:rPr>
          <w:spacing w:val="16"/>
        </w:rPr>
        <w:t xml:space="preserve"> </w:t>
      </w:r>
      <w:r>
        <w:t>environment,</w:t>
      </w:r>
      <w:r>
        <w:rPr>
          <w:spacing w:val="17"/>
        </w:rPr>
        <w:t xml:space="preserve"> </w:t>
      </w:r>
      <w:r>
        <w:t>snow</w:t>
      </w:r>
      <w:r>
        <w:rPr>
          <w:spacing w:val="16"/>
        </w:rPr>
        <w:t xml:space="preserve"> </w:t>
      </w:r>
      <w:r>
        <w:t>turned</w:t>
      </w:r>
      <w:r>
        <w:rPr>
          <w:spacing w:val="17"/>
        </w:rPr>
        <w:t xml:space="preserve"> </w:t>
      </w:r>
      <w:r>
        <w:rPr>
          <w:spacing w:val="-2"/>
        </w:rPr>
        <w:t>black?</w:t>
      </w:r>
    </w:p>
    <w:p w14:paraId="7E0008A0" w14:textId="77777777" w:rsidR="009A58DB" w:rsidRDefault="009A58DB">
      <w:pPr>
        <w:pStyle w:val="BodyText"/>
        <w:sectPr w:rsidR="009A58DB">
          <w:pgSz w:w="12240" w:h="15840"/>
          <w:pgMar w:top="1380" w:right="1080" w:bottom="280" w:left="1080" w:header="720" w:footer="720" w:gutter="0"/>
          <w:cols w:space="720"/>
        </w:sectPr>
      </w:pPr>
    </w:p>
    <w:p w14:paraId="7E0008A1" w14:textId="77777777" w:rsidR="009A58DB" w:rsidRDefault="00000000">
      <w:pPr>
        <w:pStyle w:val="BodyText"/>
        <w:spacing w:before="65" w:line="252" w:lineRule="auto"/>
        <w:ind w:right="358"/>
        <w:rPr>
          <w:position w:val="10"/>
        </w:rPr>
      </w:pPr>
      <w:r>
        <w:lastRenderedPageBreak/>
        <w:t xml:space="preserve">The English language would not for that reason be impaired. In fact, the English language would, without itself having to change, give us the resources to describe this change. We could describe it by saying “snow is black.” Thus, as far as the English language is concerned, snow can be any color. The semantic rules of English don’t say that snow </w:t>
      </w:r>
      <w:r>
        <w:rPr>
          <w:i/>
        </w:rPr>
        <w:t xml:space="preserve">is </w:t>
      </w:r>
      <w:r>
        <w:t xml:space="preserve">white. They say that, </w:t>
      </w:r>
      <w:r>
        <w:rPr>
          <w:i/>
        </w:rPr>
        <w:t xml:space="preserve">if </w:t>
      </w:r>
      <w:r>
        <w:t xml:space="preserve">snow is white, one can express that fact by saying “snow is white.” And those rules are to the effect that </w:t>
      </w:r>
      <w:r>
        <w:rPr>
          <w:i/>
        </w:rPr>
        <w:t xml:space="preserve">if </w:t>
      </w:r>
      <w:r>
        <w:t xml:space="preserve">snow is black, one can express </w:t>
      </w:r>
      <w:r>
        <w:rPr>
          <w:i/>
        </w:rPr>
        <w:t xml:space="preserve">that </w:t>
      </w:r>
      <w:r>
        <w:t xml:space="preserve">fact by saying “snow is black.” So the semantic rules of English assigns sentences not to the </w:t>
      </w:r>
      <w:r>
        <w:rPr>
          <w:i/>
        </w:rPr>
        <w:t xml:space="preserve">fact </w:t>
      </w:r>
      <w:r>
        <w:t>that snow is white—for as far those semantic rules know, it isn’t a fact that snow is white—but to the proposition that, when</w:t>
      </w:r>
      <w:r>
        <w:rPr>
          <w:spacing w:val="40"/>
        </w:rPr>
        <w:t xml:space="preserve"> </w:t>
      </w:r>
      <w:r>
        <w:t>true, gives rise to that fact</w:t>
      </w:r>
      <w:bookmarkStart w:id="83" w:name="_bookmark83"/>
      <w:bookmarkEnd w:id="83"/>
      <w:r>
        <w:t>.</w:t>
      </w:r>
      <w:r>
        <w:rPr>
          <w:color w:val="0562C1"/>
          <w:position w:val="10"/>
          <w:u w:val="single" w:color="0562C1"/>
        </w:rPr>
        <w:t>81</w:t>
      </w:r>
      <w:r>
        <w:rPr>
          <w:color w:val="0562C1"/>
          <w:position w:val="10"/>
        </w:rPr>
        <w:t xml:space="preserve"> </w:t>
      </w:r>
      <w:r>
        <w:t xml:space="preserve">Thus, sentences depict facts </w:t>
      </w:r>
      <w:r>
        <w:rPr>
          <w:i/>
        </w:rPr>
        <w:t xml:space="preserve">by way of </w:t>
      </w:r>
      <w:r>
        <w:t>having propositions for their meanings. But this isn’t how photographs work. A photograph doesn’t go through the corresponding proposition. It goes straight to the fact (when there is one). No picture goes through a proposition. Pictures, unlike sentences, go straight to the facts, if any there be, that they represent. This shows how fundamentally unlike pictures sentences are.</w:t>
      </w:r>
      <w:bookmarkStart w:id="84" w:name="_bookmark84"/>
      <w:bookmarkEnd w:id="84"/>
      <w:r>
        <w:rPr>
          <w:color w:val="0562C1"/>
          <w:position w:val="10"/>
          <w:u w:val="single" w:color="0562C1"/>
        </w:rPr>
        <w:t>82</w:t>
      </w:r>
    </w:p>
    <w:p w14:paraId="7E0008A2" w14:textId="77777777" w:rsidR="009A58DB" w:rsidRDefault="00000000">
      <w:pPr>
        <w:pStyle w:val="BodyText"/>
        <w:spacing w:line="319" w:lineRule="exact"/>
        <w:ind w:left="720"/>
      </w:pPr>
      <w:r>
        <w:t>A</w:t>
      </w:r>
      <w:r>
        <w:rPr>
          <w:spacing w:val="19"/>
        </w:rPr>
        <w:t xml:space="preserve"> </w:t>
      </w:r>
      <w:r>
        <w:t>related</w:t>
      </w:r>
      <w:r>
        <w:rPr>
          <w:spacing w:val="23"/>
        </w:rPr>
        <w:t xml:space="preserve"> </w:t>
      </w:r>
      <w:r>
        <w:t>point</w:t>
      </w:r>
      <w:r>
        <w:rPr>
          <w:spacing w:val="22"/>
        </w:rPr>
        <w:t xml:space="preserve"> </w:t>
      </w:r>
      <w:r>
        <w:t>is</w:t>
      </w:r>
      <w:r>
        <w:rPr>
          <w:spacing w:val="22"/>
        </w:rPr>
        <w:t xml:space="preserve"> </w:t>
      </w:r>
      <w:r>
        <w:t>that</w:t>
      </w:r>
      <w:r>
        <w:rPr>
          <w:spacing w:val="22"/>
        </w:rPr>
        <w:t xml:space="preserve"> </w:t>
      </w:r>
      <w:r>
        <w:t>pictures</w:t>
      </w:r>
      <w:r>
        <w:rPr>
          <w:spacing w:val="22"/>
        </w:rPr>
        <w:t xml:space="preserve"> </w:t>
      </w:r>
      <w:r>
        <w:t>have</w:t>
      </w:r>
      <w:r>
        <w:rPr>
          <w:spacing w:val="22"/>
        </w:rPr>
        <w:t xml:space="preserve"> </w:t>
      </w:r>
      <w:r>
        <w:t>structures</w:t>
      </w:r>
      <w:r>
        <w:rPr>
          <w:spacing w:val="22"/>
        </w:rPr>
        <w:t xml:space="preserve"> </w:t>
      </w:r>
      <w:r>
        <w:t>that</w:t>
      </w:r>
      <w:r>
        <w:rPr>
          <w:spacing w:val="22"/>
        </w:rPr>
        <w:t xml:space="preserve"> </w:t>
      </w:r>
      <w:r>
        <w:t>are</w:t>
      </w:r>
      <w:r>
        <w:rPr>
          <w:spacing w:val="22"/>
        </w:rPr>
        <w:t xml:space="preserve"> </w:t>
      </w:r>
      <w:r>
        <w:t>radically</w:t>
      </w:r>
      <w:r>
        <w:rPr>
          <w:spacing w:val="23"/>
        </w:rPr>
        <w:t xml:space="preserve"> </w:t>
      </w:r>
      <w:r>
        <w:rPr>
          <w:spacing w:val="-2"/>
        </w:rPr>
        <w:t>different</w:t>
      </w:r>
    </w:p>
    <w:p w14:paraId="7E0008A3" w14:textId="77777777" w:rsidR="009A58DB" w:rsidRDefault="00000000">
      <w:pPr>
        <w:pStyle w:val="BodyText"/>
        <w:spacing w:before="20" w:line="249" w:lineRule="auto"/>
        <w:ind w:right="364"/>
      </w:pPr>
      <w:r>
        <w:t xml:space="preserve">from those of any sentences. Sentences are </w:t>
      </w:r>
      <w:r>
        <w:rPr>
          <w:b/>
          <w:i/>
        </w:rPr>
        <w:t xml:space="preserve">digital </w:t>
      </w:r>
      <w:r>
        <w:t>structures.</w:t>
      </w:r>
      <w:bookmarkStart w:id="85" w:name="_bookmark85"/>
      <w:bookmarkEnd w:id="85"/>
      <w:r>
        <w:rPr>
          <w:color w:val="0562C1"/>
          <w:position w:val="10"/>
          <w:u w:val="single" w:color="0562C1"/>
        </w:rPr>
        <w:t>83</w:t>
      </w:r>
      <w:r>
        <w:rPr>
          <w:color w:val="0562C1"/>
          <w:position w:val="10"/>
        </w:rPr>
        <w:t xml:space="preserve"> </w:t>
      </w:r>
      <w:r>
        <w:t>They have a unique decomposition into a finite number of discrete parts. (“The cat is on the mat” decomposes into “cat,” “mat,” etc.) Pictures aren’t like this. A picture of a cat on the mat doesn’t have one, minimal unit of significance corresponding to the cat, another to the mat, etc. The part of the picture corresponding to the cat may also contain a part corresponding to the cat’s</w:t>
      </w:r>
      <w:r>
        <w:rPr>
          <w:spacing w:val="40"/>
        </w:rPr>
        <w:t xml:space="preserve"> </w:t>
      </w:r>
      <w:r>
        <w:t>ear and to the cat’s leg, etc.</w:t>
      </w:r>
    </w:p>
    <w:p w14:paraId="7E0008A4" w14:textId="77777777" w:rsidR="009A58DB" w:rsidRDefault="00000000">
      <w:pPr>
        <w:pStyle w:val="BodyText"/>
        <w:spacing w:before="8" w:line="249" w:lineRule="auto"/>
        <w:ind w:right="358" w:firstLine="360"/>
      </w:pPr>
      <w:r>
        <w:t>The fact that sentences, unlike graphic representations, are digital structures</w:t>
      </w:r>
      <w:r>
        <w:rPr>
          <w:spacing w:val="-4"/>
        </w:rPr>
        <w:t xml:space="preserve"> </w:t>
      </w:r>
      <w:r>
        <w:t>is</w:t>
      </w:r>
      <w:r>
        <w:rPr>
          <w:spacing w:val="-4"/>
        </w:rPr>
        <w:t xml:space="preserve"> </w:t>
      </w:r>
      <w:r>
        <w:t>a</w:t>
      </w:r>
      <w:r>
        <w:rPr>
          <w:spacing w:val="-4"/>
        </w:rPr>
        <w:t xml:space="preserve"> </w:t>
      </w:r>
      <w:r>
        <w:t>consequence</w:t>
      </w:r>
      <w:r>
        <w:rPr>
          <w:spacing w:val="-4"/>
        </w:rPr>
        <w:t xml:space="preserve"> </w:t>
      </w:r>
      <w:r>
        <w:t>of</w:t>
      </w:r>
      <w:r>
        <w:rPr>
          <w:spacing w:val="-4"/>
        </w:rPr>
        <w:t xml:space="preserve"> </w:t>
      </w:r>
      <w:r>
        <w:t>the</w:t>
      </w:r>
      <w:r>
        <w:rPr>
          <w:spacing w:val="-4"/>
        </w:rPr>
        <w:t xml:space="preserve"> </w:t>
      </w:r>
      <w:r>
        <w:t>fact</w:t>
      </w:r>
      <w:r>
        <w:rPr>
          <w:spacing w:val="-4"/>
        </w:rPr>
        <w:t xml:space="preserve"> </w:t>
      </w:r>
      <w:r>
        <w:t>that</w:t>
      </w:r>
      <w:r>
        <w:rPr>
          <w:spacing w:val="-4"/>
        </w:rPr>
        <w:t xml:space="preserve"> </w:t>
      </w:r>
      <w:r>
        <w:t>the</w:t>
      </w:r>
      <w:r>
        <w:rPr>
          <w:spacing w:val="-4"/>
        </w:rPr>
        <w:t xml:space="preserve"> </w:t>
      </w:r>
      <w:r>
        <w:t>former,</w:t>
      </w:r>
      <w:r>
        <w:rPr>
          <w:spacing w:val="-3"/>
        </w:rPr>
        <w:t xml:space="preserve"> </w:t>
      </w:r>
      <w:r>
        <w:t>unlike</w:t>
      </w:r>
      <w:r>
        <w:rPr>
          <w:spacing w:val="-4"/>
        </w:rPr>
        <w:t xml:space="preserve"> </w:t>
      </w:r>
      <w:r>
        <w:t>the</w:t>
      </w:r>
      <w:r>
        <w:rPr>
          <w:spacing w:val="-4"/>
        </w:rPr>
        <w:t xml:space="preserve"> </w:t>
      </w:r>
      <w:r>
        <w:t>latter,</w:t>
      </w:r>
      <w:r>
        <w:rPr>
          <w:spacing w:val="-3"/>
        </w:rPr>
        <w:t xml:space="preserve"> </w:t>
      </w:r>
      <w:r>
        <w:t>have</w:t>
      </w:r>
      <w:r>
        <w:rPr>
          <w:spacing w:val="-4"/>
        </w:rPr>
        <w:t xml:space="preserve"> </w:t>
      </w:r>
      <w:r>
        <w:t>a conventional component. The reason for this is a subtle one. But it’s worth stating,</w:t>
      </w:r>
      <w:r>
        <w:rPr>
          <w:spacing w:val="-3"/>
        </w:rPr>
        <w:t xml:space="preserve"> </w:t>
      </w:r>
      <w:r>
        <w:t>since</w:t>
      </w:r>
      <w:r>
        <w:rPr>
          <w:spacing w:val="-4"/>
        </w:rPr>
        <w:t xml:space="preserve"> </w:t>
      </w:r>
      <w:r>
        <w:t>it</w:t>
      </w:r>
      <w:r>
        <w:rPr>
          <w:spacing w:val="-4"/>
        </w:rPr>
        <w:t xml:space="preserve"> </w:t>
      </w:r>
      <w:r>
        <w:t>shows</w:t>
      </w:r>
      <w:r>
        <w:rPr>
          <w:spacing w:val="-4"/>
        </w:rPr>
        <w:t xml:space="preserve"> </w:t>
      </w:r>
      <w:r>
        <w:t>how</w:t>
      </w:r>
      <w:r>
        <w:rPr>
          <w:spacing w:val="-4"/>
        </w:rPr>
        <w:t xml:space="preserve"> </w:t>
      </w:r>
      <w:r>
        <w:t>deeply</w:t>
      </w:r>
      <w:r>
        <w:rPr>
          <w:spacing w:val="-3"/>
        </w:rPr>
        <w:t xml:space="preserve"> </w:t>
      </w:r>
      <w:r>
        <w:t>wrong</w:t>
      </w:r>
      <w:r>
        <w:rPr>
          <w:spacing w:val="-3"/>
        </w:rPr>
        <w:t xml:space="preserve"> </w:t>
      </w:r>
      <w:r>
        <w:t>the</w:t>
      </w:r>
      <w:r>
        <w:rPr>
          <w:spacing w:val="-4"/>
        </w:rPr>
        <w:t xml:space="preserve"> </w:t>
      </w:r>
      <w:r>
        <w:t>picture-theory</w:t>
      </w:r>
      <w:r>
        <w:rPr>
          <w:spacing w:val="-3"/>
        </w:rPr>
        <w:t xml:space="preserve"> </w:t>
      </w:r>
      <w:r>
        <w:t>is</w:t>
      </w:r>
      <w:r>
        <w:rPr>
          <w:spacing w:val="-4"/>
        </w:rPr>
        <w:t xml:space="preserve"> </w:t>
      </w:r>
      <w:r>
        <w:t>and</w:t>
      </w:r>
      <w:r>
        <w:rPr>
          <w:spacing w:val="-3"/>
        </w:rPr>
        <w:t xml:space="preserve"> </w:t>
      </w:r>
      <w:r>
        <w:t>since,</w:t>
      </w:r>
      <w:r>
        <w:rPr>
          <w:spacing w:val="-3"/>
        </w:rPr>
        <w:t xml:space="preserve"> </w:t>
      </w:r>
      <w:r>
        <w:t>in</w:t>
      </w:r>
      <w:r>
        <w:rPr>
          <w:spacing w:val="-3"/>
        </w:rPr>
        <w:t xml:space="preserve"> </w:t>
      </w:r>
      <w:r>
        <w:t>so doing, it reveals a lot about language.</w:t>
      </w:r>
    </w:p>
    <w:p w14:paraId="7E0008A5" w14:textId="77777777" w:rsidR="009A58DB" w:rsidRDefault="00000000">
      <w:pPr>
        <w:pStyle w:val="BodyText"/>
        <w:spacing w:before="6" w:line="271" w:lineRule="auto"/>
        <w:ind w:right="360" w:firstLine="360"/>
      </w:pPr>
      <w:r>
        <w:t>Let</w:t>
      </w:r>
      <w:r>
        <w:rPr>
          <w:spacing w:val="-1"/>
        </w:rPr>
        <w:t xml:space="preserve"> </w:t>
      </w:r>
      <w:r>
        <w:t>D</w:t>
      </w:r>
      <w:r>
        <w:rPr>
          <w:vertAlign w:val="subscript"/>
        </w:rPr>
        <w:t>1</w:t>
      </w:r>
      <w:r>
        <w:t xml:space="preserve"> be some random photograph of a person smiling. D</w:t>
      </w:r>
      <w:r>
        <w:rPr>
          <w:vertAlign w:val="subscript"/>
        </w:rPr>
        <w:t>1</w:t>
      </w:r>
      <w:r>
        <w:t xml:space="preserve"> isn’t a symbol of a language. But that could easily change. For this to happen, some convention</w:t>
      </w:r>
      <w:r>
        <w:rPr>
          <w:spacing w:val="4"/>
        </w:rPr>
        <w:t xml:space="preserve"> </w:t>
      </w:r>
      <w:r>
        <w:t>would</w:t>
      </w:r>
      <w:r>
        <w:rPr>
          <w:spacing w:val="8"/>
        </w:rPr>
        <w:t xml:space="preserve"> </w:t>
      </w:r>
      <w:r>
        <w:t>have</w:t>
      </w:r>
      <w:r>
        <w:rPr>
          <w:spacing w:val="8"/>
        </w:rPr>
        <w:t xml:space="preserve"> </w:t>
      </w:r>
      <w:r>
        <w:t>to</w:t>
      </w:r>
      <w:r>
        <w:rPr>
          <w:spacing w:val="7"/>
        </w:rPr>
        <w:t xml:space="preserve"> </w:t>
      </w:r>
      <w:r>
        <w:t>arise</w:t>
      </w:r>
      <w:r>
        <w:rPr>
          <w:spacing w:val="8"/>
        </w:rPr>
        <w:t xml:space="preserve"> </w:t>
      </w:r>
      <w:r>
        <w:t>whereby</w:t>
      </w:r>
      <w:r>
        <w:rPr>
          <w:spacing w:val="8"/>
        </w:rPr>
        <w:t xml:space="preserve"> </w:t>
      </w:r>
      <w:r>
        <w:t>it</w:t>
      </w:r>
      <w:r>
        <w:rPr>
          <w:spacing w:val="7"/>
        </w:rPr>
        <w:t xml:space="preserve"> </w:t>
      </w:r>
      <w:r>
        <w:t>had</w:t>
      </w:r>
      <w:r>
        <w:rPr>
          <w:spacing w:val="8"/>
        </w:rPr>
        <w:t xml:space="preserve"> </w:t>
      </w:r>
      <w:r>
        <w:t>a</w:t>
      </w:r>
      <w:r>
        <w:rPr>
          <w:spacing w:val="7"/>
        </w:rPr>
        <w:t xml:space="preserve"> </w:t>
      </w:r>
      <w:r>
        <w:t>fixed</w:t>
      </w:r>
      <w:r>
        <w:rPr>
          <w:spacing w:val="8"/>
        </w:rPr>
        <w:t xml:space="preserve"> </w:t>
      </w:r>
      <w:r>
        <w:t>a</w:t>
      </w:r>
      <w:r>
        <w:rPr>
          <w:spacing w:val="8"/>
        </w:rPr>
        <w:t xml:space="preserve"> </w:t>
      </w:r>
      <w:r>
        <w:t>meaning—</w:t>
      </w:r>
      <w:r>
        <w:rPr>
          <w:spacing w:val="7"/>
        </w:rPr>
        <w:t xml:space="preserve"> </w:t>
      </w:r>
      <w:r>
        <w:rPr>
          <w:spacing w:val="-2"/>
        </w:rPr>
        <w:t>whereby</w:t>
      </w:r>
    </w:p>
    <w:p w14:paraId="7E0008A6" w14:textId="77777777" w:rsidR="009A58DB" w:rsidRDefault="00000000">
      <w:pPr>
        <w:pStyle w:val="BodyText"/>
        <w:spacing w:line="316" w:lineRule="exact"/>
      </w:pPr>
      <w:r>
        <w:t>it</w:t>
      </w:r>
      <w:r>
        <w:rPr>
          <w:spacing w:val="43"/>
        </w:rPr>
        <w:t xml:space="preserve"> </w:t>
      </w:r>
      <w:r>
        <w:t>meant,</w:t>
      </w:r>
      <w:r>
        <w:rPr>
          <w:spacing w:val="44"/>
        </w:rPr>
        <w:t xml:space="preserve"> </w:t>
      </w:r>
      <w:r>
        <w:t>for</w:t>
      </w:r>
      <w:r>
        <w:rPr>
          <w:spacing w:val="43"/>
        </w:rPr>
        <w:t xml:space="preserve"> </w:t>
      </w:r>
      <w:r>
        <w:t>example,</w:t>
      </w:r>
      <w:r>
        <w:rPr>
          <w:spacing w:val="44"/>
        </w:rPr>
        <w:t xml:space="preserve"> </w:t>
      </w:r>
      <w:r>
        <w:t>that</w:t>
      </w:r>
      <w:r>
        <w:rPr>
          <w:spacing w:val="43"/>
        </w:rPr>
        <w:t xml:space="preserve"> </w:t>
      </w:r>
      <w:r>
        <w:t>people</w:t>
      </w:r>
      <w:r>
        <w:rPr>
          <w:spacing w:val="44"/>
        </w:rPr>
        <w:t xml:space="preserve"> </w:t>
      </w:r>
      <w:r>
        <w:t>are</w:t>
      </w:r>
      <w:r>
        <w:rPr>
          <w:spacing w:val="44"/>
        </w:rPr>
        <w:t xml:space="preserve"> </w:t>
      </w:r>
      <w:r>
        <w:t>sometimes</w:t>
      </w:r>
      <w:r>
        <w:rPr>
          <w:spacing w:val="43"/>
        </w:rPr>
        <w:t xml:space="preserve"> </w:t>
      </w:r>
      <w:r>
        <w:t>are</w:t>
      </w:r>
      <w:r>
        <w:rPr>
          <w:spacing w:val="44"/>
        </w:rPr>
        <w:t xml:space="preserve"> </w:t>
      </w:r>
      <w:r>
        <w:t>happy,</w:t>
      </w:r>
      <w:r>
        <w:rPr>
          <w:spacing w:val="43"/>
        </w:rPr>
        <w:t xml:space="preserve"> </w:t>
      </w:r>
      <w:r>
        <w:t>and</w:t>
      </w:r>
      <w:r>
        <w:rPr>
          <w:spacing w:val="44"/>
        </w:rPr>
        <w:t xml:space="preserve"> </w:t>
      </w:r>
      <w:r>
        <w:t>the</w:t>
      </w:r>
      <w:r>
        <w:rPr>
          <w:spacing w:val="44"/>
        </w:rPr>
        <w:t xml:space="preserve"> </w:t>
      </w:r>
      <w:r>
        <w:rPr>
          <w:spacing w:val="-4"/>
        </w:rPr>
        <w:t>same</w:t>
      </w:r>
    </w:p>
    <w:p w14:paraId="7E0008A7" w14:textId="77777777" w:rsidR="009A58DB" w:rsidRDefault="00000000">
      <w:pPr>
        <w:spacing w:before="15"/>
        <w:ind w:left="360"/>
        <w:jc w:val="both"/>
        <w:rPr>
          <w:sz w:val="30"/>
        </w:rPr>
      </w:pPr>
      <w:r>
        <w:rPr>
          <w:sz w:val="30"/>
        </w:rPr>
        <w:t>thing</w:t>
      </w:r>
      <w:r>
        <w:rPr>
          <w:spacing w:val="54"/>
          <w:sz w:val="30"/>
        </w:rPr>
        <w:t xml:space="preserve"> </w:t>
      </w:r>
      <w:r>
        <w:rPr>
          <w:i/>
          <w:sz w:val="30"/>
        </w:rPr>
        <w:t>mutatis</w:t>
      </w:r>
      <w:r>
        <w:rPr>
          <w:i/>
          <w:spacing w:val="64"/>
          <w:sz w:val="30"/>
        </w:rPr>
        <w:t xml:space="preserve"> </w:t>
      </w:r>
      <w:r>
        <w:rPr>
          <w:i/>
          <w:sz w:val="30"/>
        </w:rPr>
        <w:t>mutandis</w:t>
      </w:r>
      <w:r>
        <w:rPr>
          <w:i/>
          <w:spacing w:val="64"/>
          <w:sz w:val="30"/>
        </w:rPr>
        <w:t xml:space="preserve"> </w:t>
      </w:r>
      <w:r>
        <w:rPr>
          <w:sz w:val="30"/>
        </w:rPr>
        <w:t>happens</w:t>
      </w:r>
      <w:r>
        <w:rPr>
          <w:spacing w:val="65"/>
          <w:sz w:val="30"/>
        </w:rPr>
        <w:t xml:space="preserve"> </w:t>
      </w:r>
      <w:r>
        <w:rPr>
          <w:sz w:val="30"/>
        </w:rPr>
        <w:t>in</w:t>
      </w:r>
      <w:r>
        <w:rPr>
          <w:spacing w:val="66"/>
          <w:sz w:val="30"/>
        </w:rPr>
        <w:t xml:space="preserve"> </w:t>
      </w:r>
      <w:r>
        <w:rPr>
          <w:sz w:val="30"/>
        </w:rPr>
        <w:t>connection</w:t>
      </w:r>
      <w:r>
        <w:rPr>
          <w:spacing w:val="65"/>
          <w:sz w:val="30"/>
        </w:rPr>
        <w:t xml:space="preserve"> </w:t>
      </w:r>
      <w:r>
        <w:rPr>
          <w:sz w:val="30"/>
        </w:rPr>
        <w:t>with</w:t>
      </w:r>
      <w:r>
        <w:rPr>
          <w:spacing w:val="65"/>
          <w:sz w:val="30"/>
        </w:rPr>
        <w:t xml:space="preserve"> </w:t>
      </w:r>
      <w:r>
        <w:rPr>
          <w:sz w:val="30"/>
        </w:rPr>
        <w:t>each</w:t>
      </w:r>
      <w:r>
        <w:rPr>
          <w:spacing w:val="65"/>
          <w:sz w:val="30"/>
        </w:rPr>
        <w:t xml:space="preserve"> </w:t>
      </w:r>
      <w:r>
        <w:rPr>
          <w:sz w:val="30"/>
        </w:rPr>
        <w:t>of</w:t>
      </w:r>
      <w:r>
        <w:rPr>
          <w:spacing w:val="65"/>
          <w:sz w:val="30"/>
        </w:rPr>
        <w:t xml:space="preserve"> </w:t>
      </w:r>
      <w:r>
        <w:rPr>
          <w:sz w:val="30"/>
        </w:rPr>
        <w:t>several</w:t>
      </w:r>
      <w:r>
        <w:rPr>
          <w:spacing w:val="66"/>
          <w:sz w:val="30"/>
        </w:rPr>
        <w:t xml:space="preserve"> </w:t>
      </w:r>
      <w:r>
        <w:rPr>
          <w:spacing w:val="-2"/>
          <w:sz w:val="30"/>
        </w:rPr>
        <w:t>other</w:t>
      </w:r>
    </w:p>
    <w:p w14:paraId="7E0008A8" w14:textId="77777777" w:rsidR="009A58DB" w:rsidRDefault="009A58DB">
      <w:pPr>
        <w:jc w:val="both"/>
        <w:rPr>
          <w:sz w:val="30"/>
        </w:rPr>
        <w:sectPr w:rsidR="009A58DB">
          <w:pgSz w:w="12240" w:h="15840"/>
          <w:pgMar w:top="1380" w:right="1080" w:bottom="280" w:left="1080" w:header="720" w:footer="720" w:gutter="0"/>
          <w:cols w:space="720"/>
        </w:sectPr>
      </w:pPr>
    </w:p>
    <w:p w14:paraId="7E0008A9" w14:textId="77777777" w:rsidR="009A58DB" w:rsidRDefault="00000000">
      <w:pPr>
        <w:pStyle w:val="BodyText"/>
        <w:spacing w:before="65" w:line="292" w:lineRule="auto"/>
        <w:ind w:right="360"/>
      </w:pPr>
      <w:r>
        <w:lastRenderedPageBreak/>
        <w:t>photographs. So for example, there is some photograph D</w:t>
      </w:r>
      <w:r>
        <w:rPr>
          <w:vertAlign w:val="subscript"/>
        </w:rPr>
        <w:t>2</w:t>
      </w:r>
      <w:r>
        <w:t xml:space="preserve"> of a person who is crying,</w:t>
      </w:r>
      <w:r>
        <w:rPr>
          <w:spacing w:val="40"/>
        </w:rPr>
        <w:t xml:space="preserve"> </w:t>
      </w:r>
      <w:r>
        <w:t>and</w:t>
      </w:r>
      <w:r>
        <w:rPr>
          <w:spacing w:val="40"/>
        </w:rPr>
        <w:t xml:space="preserve"> </w:t>
      </w:r>
      <w:r>
        <w:t>some</w:t>
      </w:r>
      <w:r>
        <w:rPr>
          <w:spacing w:val="40"/>
        </w:rPr>
        <w:t xml:space="preserve"> </w:t>
      </w:r>
      <w:r>
        <w:t>convention</w:t>
      </w:r>
      <w:r>
        <w:rPr>
          <w:spacing w:val="40"/>
        </w:rPr>
        <w:t xml:space="preserve"> </w:t>
      </w:r>
      <w:r>
        <w:t>is</w:t>
      </w:r>
      <w:r>
        <w:rPr>
          <w:spacing w:val="40"/>
        </w:rPr>
        <w:t xml:space="preserve"> </w:t>
      </w:r>
      <w:r>
        <w:t>created</w:t>
      </w:r>
      <w:r>
        <w:rPr>
          <w:spacing w:val="40"/>
        </w:rPr>
        <w:t xml:space="preserve"> </w:t>
      </w:r>
      <w:r>
        <w:t>whereby</w:t>
      </w:r>
      <w:r>
        <w:rPr>
          <w:spacing w:val="40"/>
        </w:rPr>
        <w:t xml:space="preserve"> </w:t>
      </w:r>
      <w:r>
        <w:t>D</w:t>
      </w:r>
      <w:r>
        <w:rPr>
          <w:vertAlign w:val="subscript"/>
        </w:rPr>
        <w:t>2</w:t>
      </w:r>
      <w:r>
        <w:rPr>
          <w:spacing w:val="40"/>
        </w:rPr>
        <w:t xml:space="preserve"> </w:t>
      </w:r>
      <w:r>
        <w:t>means</w:t>
      </w:r>
      <w:r>
        <w:rPr>
          <w:spacing w:val="40"/>
        </w:rPr>
        <w:t xml:space="preserve"> </w:t>
      </w:r>
      <w:r>
        <w:t>that</w:t>
      </w:r>
      <w:r>
        <w:rPr>
          <w:spacing w:val="40"/>
        </w:rPr>
        <w:t xml:space="preserve"> </w:t>
      </w:r>
      <w:r>
        <w:t>people</w:t>
      </w:r>
      <w:r>
        <w:rPr>
          <w:spacing w:val="40"/>
        </w:rPr>
        <w:t xml:space="preserve"> </w:t>
      </w:r>
      <w:r>
        <w:t>are</w:t>
      </w:r>
    </w:p>
    <w:p w14:paraId="7E0008AA" w14:textId="77777777" w:rsidR="009A58DB" w:rsidRDefault="00000000">
      <w:pPr>
        <w:pStyle w:val="BodyText"/>
        <w:spacing w:line="249" w:lineRule="auto"/>
        <w:ind w:right="360"/>
      </w:pPr>
      <w:r>
        <w:t>sometimes unhappy; and so on. Let L be the language defined by the totality of these conventions.</w:t>
      </w:r>
    </w:p>
    <w:p w14:paraId="7E0008AB" w14:textId="77777777" w:rsidR="009A58DB" w:rsidRDefault="00000000">
      <w:pPr>
        <w:pStyle w:val="BodyText"/>
        <w:spacing w:line="292" w:lineRule="auto"/>
        <w:ind w:right="358" w:firstLine="360"/>
      </w:pPr>
      <w:r>
        <w:t>Even though D</w:t>
      </w:r>
      <w:r>
        <w:rPr>
          <w:vertAlign w:val="subscript"/>
        </w:rPr>
        <w:t>1</w:t>
      </w:r>
      <w:r>
        <w:t xml:space="preserve"> is an image, it isn’t functioning as an image so far it’s functioning as an expression of L. The fact that D</w:t>
      </w:r>
      <w:r>
        <w:rPr>
          <w:vertAlign w:val="subscript"/>
        </w:rPr>
        <w:t>1</w:t>
      </w:r>
      <w:r>
        <w:t xml:space="preserve"> is a picture of a smiling person may obviously make it easier for people to remember that, in L, D</w:t>
      </w:r>
      <w:r>
        <w:rPr>
          <w:vertAlign w:val="subscript"/>
        </w:rPr>
        <w:t>1</w:t>
      </w:r>
      <w:r>
        <w:t xml:space="preserve"> means</w:t>
      </w:r>
      <w:r>
        <w:rPr>
          <w:spacing w:val="-19"/>
        </w:rPr>
        <w:t xml:space="preserve"> </w:t>
      </w:r>
      <w:r>
        <w:t>that</w:t>
      </w:r>
      <w:r>
        <w:rPr>
          <w:spacing w:val="-19"/>
        </w:rPr>
        <w:t xml:space="preserve"> </w:t>
      </w:r>
      <w:r>
        <w:t>people</w:t>
      </w:r>
      <w:r>
        <w:rPr>
          <w:spacing w:val="-19"/>
        </w:rPr>
        <w:t xml:space="preserve"> </w:t>
      </w:r>
      <w:r>
        <w:t>are</w:t>
      </w:r>
      <w:r>
        <w:rPr>
          <w:spacing w:val="-18"/>
        </w:rPr>
        <w:t xml:space="preserve"> </w:t>
      </w:r>
      <w:r>
        <w:t>sometimes</w:t>
      </w:r>
      <w:r>
        <w:rPr>
          <w:spacing w:val="-19"/>
        </w:rPr>
        <w:t xml:space="preserve"> </w:t>
      </w:r>
      <w:r>
        <w:t>happy.</w:t>
      </w:r>
      <w:r>
        <w:rPr>
          <w:spacing w:val="-19"/>
        </w:rPr>
        <w:t xml:space="preserve"> </w:t>
      </w:r>
      <w:r>
        <w:t>But</w:t>
      </w:r>
      <w:r>
        <w:rPr>
          <w:spacing w:val="-18"/>
        </w:rPr>
        <w:t xml:space="preserve"> </w:t>
      </w:r>
      <w:r>
        <w:t>it</w:t>
      </w:r>
      <w:r>
        <w:rPr>
          <w:spacing w:val="-17"/>
        </w:rPr>
        <w:t xml:space="preserve"> </w:t>
      </w:r>
      <w:r>
        <w:t>won’t</w:t>
      </w:r>
      <w:r>
        <w:rPr>
          <w:spacing w:val="-18"/>
        </w:rPr>
        <w:t xml:space="preserve"> </w:t>
      </w:r>
      <w:r>
        <w:t>be</w:t>
      </w:r>
      <w:r>
        <w:rPr>
          <w:spacing w:val="-19"/>
        </w:rPr>
        <w:t xml:space="preserve"> </w:t>
      </w:r>
      <w:r>
        <w:rPr>
          <w:i/>
        </w:rPr>
        <w:t>what</w:t>
      </w:r>
      <w:r>
        <w:rPr>
          <w:i/>
          <w:spacing w:val="-14"/>
        </w:rPr>
        <w:t xml:space="preserve"> </w:t>
      </w:r>
      <w:r>
        <w:rPr>
          <w:i/>
        </w:rPr>
        <w:t>it</w:t>
      </w:r>
      <w:r>
        <w:rPr>
          <w:i/>
          <w:spacing w:val="-15"/>
        </w:rPr>
        <w:t xml:space="preserve"> </w:t>
      </w:r>
      <w:r>
        <w:rPr>
          <w:i/>
        </w:rPr>
        <w:t>is</w:t>
      </w:r>
      <w:r>
        <w:rPr>
          <w:i/>
          <w:spacing w:val="-18"/>
        </w:rPr>
        <w:t xml:space="preserve"> </w:t>
      </w:r>
      <w:r>
        <w:t>for</w:t>
      </w:r>
      <w:r>
        <w:rPr>
          <w:spacing w:val="-19"/>
        </w:rPr>
        <w:t xml:space="preserve"> </w:t>
      </w:r>
      <w:r>
        <w:t>D</w:t>
      </w:r>
      <w:r>
        <w:rPr>
          <w:vertAlign w:val="subscript"/>
        </w:rPr>
        <w:t>1</w:t>
      </w:r>
      <w:r>
        <w:rPr>
          <w:spacing w:val="-11"/>
        </w:rPr>
        <w:t xml:space="preserve"> </w:t>
      </w:r>
      <w:r>
        <w:t>to</w:t>
      </w:r>
      <w:r>
        <w:rPr>
          <w:spacing w:val="-15"/>
        </w:rPr>
        <w:t xml:space="preserve"> </w:t>
      </w:r>
      <w:r>
        <w:rPr>
          <w:spacing w:val="-4"/>
        </w:rPr>
        <w:t>bear</w:t>
      </w:r>
    </w:p>
    <w:p w14:paraId="7E0008AC" w14:textId="77777777" w:rsidR="009A58DB" w:rsidRDefault="00000000">
      <w:pPr>
        <w:pStyle w:val="BodyText"/>
        <w:spacing w:line="249" w:lineRule="auto"/>
        <w:ind w:right="361"/>
      </w:pPr>
      <w:r>
        <w:t>that meaning, or any other, in L.</w:t>
      </w:r>
      <w:r>
        <w:rPr>
          <w:spacing w:val="-4"/>
        </w:rPr>
        <w:t xml:space="preserve"> </w:t>
      </w:r>
      <w:r>
        <w:t>The character “0” is an unfilled hole and can thus</w:t>
      </w:r>
      <w:r>
        <w:rPr>
          <w:spacing w:val="-11"/>
        </w:rPr>
        <w:t xml:space="preserve"> </w:t>
      </w:r>
      <w:r>
        <w:t>be</w:t>
      </w:r>
      <w:r>
        <w:rPr>
          <w:spacing w:val="-11"/>
        </w:rPr>
        <w:t xml:space="preserve"> </w:t>
      </w:r>
      <w:r>
        <w:t>taken</w:t>
      </w:r>
      <w:r>
        <w:rPr>
          <w:spacing w:val="-11"/>
        </w:rPr>
        <w:t xml:space="preserve"> </w:t>
      </w:r>
      <w:r>
        <w:t>as</w:t>
      </w:r>
      <w:r>
        <w:rPr>
          <w:spacing w:val="-11"/>
        </w:rPr>
        <w:t xml:space="preserve"> </w:t>
      </w:r>
      <w:r>
        <w:t>graphic</w:t>
      </w:r>
      <w:r>
        <w:rPr>
          <w:spacing w:val="-11"/>
        </w:rPr>
        <w:t xml:space="preserve"> </w:t>
      </w:r>
      <w:r>
        <w:t>representation</w:t>
      </w:r>
      <w:r>
        <w:rPr>
          <w:spacing w:val="-11"/>
        </w:rPr>
        <w:t xml:space="preserve"> </w:t>
      </w:r>
      <w:r>
        <w:t>of</w:t>
      </w:r>
      <w:r>
        <w:rPr>
          <w:spacing w:val="-12"/>
        </w:rPr>
        <w:t xml:space="preserve"> </w:t>
      </w:r>
      <w:r>
        <w:t>emptiness.</w:t>
      </w:r>
    </w:p>
    <w:p w14:paraId="7E0008AD" w14:textId="77777777" w:rsidR="009A58DB" w:rsidRDefault="00000000">
      <w:pPr>
        <w:pStyle w:val="BodyText"/>
        <w:spacing w:line="249" w:lineRule="auto"/>
        <w:ind w:right="365" w:firstLine="360"/>
      </w:pPr>
      <w:r>
        <w:t xml:space="preserve">But so far as, “0” is such a representation, that isn’t </w:t>
      </w:r>
      <w:r>
        <w:rPr>
          <w:i/>
        </w:rPr>
        <w:t xml:space="preserve">what it is </w:t>
      </w:r>
      <w:r>
        <w:t xml:space="preserve">for it to denote the integer preceding the number one. The same point </w:t>
      </w:r>
      <w:r>
        <w:rPr>
          <w:i/>
        </w:rPr>
        <w:t xml:space="preserve">mutatis mutandis </w:t>
      </w:r>
      <w:r>
        <w:t>holds of D</w:t>
      </w:r>
      <w:r>
        <w:rPr>
          <w:vertAlign w:val="subscript"/>
        </w:rPr>
        <w:t>1</w:t>
      </w:r>
      <w:r>
        <w:t>.</w:t>
      </w:r>
    </w:p>
    <w:p w14:paraId="7E0008AE" w14:textId="77777777" w:rsidR="009A58DB" w:rsidRDefault="00000000">
      <w:pPr>
        <w:pStyle w:val="BodyText"/>
        <w:spacing w:before="63" w:line="271" w:lineRule="auto"/>
        <w:ind w:right="368" w:firstLine="360"/>
      </w:pPr>
      <w:r>
        <w:t>Also, D</w:t>
      </w:r>
      <w:r>
        <w:rPr>
          <w:vertAlign w:val="subscript"/>
        </w:rPr>
        <w:t>1</w:t>
      </w:r>
      <w:r>
        <w:t xml:space="preserve"> </w:t>
      </w:r>
      <w:r>
        <w:rPr>
          <w:i/>
        </w:rPr>
        <w:t xml:space="preserve">doesn’t </w:t>
      </w:r>
      <w:r>
        <w:t>graphically represent the fact that people are sometimes happy; it graphically represents the tenuously related fact that, on some one occasion,</w:t>
      </w:r>
      <w:r>
        <w:rPr>
          <w:spacing w:val="23"/>
        </w:rPr>
        <w:t xml:space="preserve"> </w:t>
      </w:r>
      <w:r>
        <w:t>some</w:t>
      </w:r>
      <w:r>
        <w:rPr>
          <w:spacing w:val="26"/>
        </w:rPr>
        <w:t xml:space="preserve"> </w:t>
      </w:r>
      <w:r>
        <w:t>one</w:t>
      </w:r>
      <w:r>
        <w:rPr>
          <w:spacing w:val="25"/>
        </w:rPr>
        <w:t xml:space="preserve"> </w:t>
      </w:r>
      <w:r>
        <w:t>individual</w:t>
      </w:r>
      <w:r>
        <w:rPr>
          <w:spacing w:val="26"/>
        </w:rPr>
        <w:t xml:space="preserve"> </w:t>
      </w:r>
      <w:r>
        <w:t>was</w:t>
      </w:r>
      <w:r>
        <w:rPr>
          <w:spacing w:val="26"/>
        </w:rPr>
        <w:t xml:space="preserve"> </w:t>
      </w:r>
      <w:r>
        <w:t>happy,</w:t>
      </w:r>
      <w:r>
        <w:rPr>
          <w:spacing w:val="25"/>
        </w:rPr>
        <w:t xml:space="preserve"> </w:t>
      </w:r>
      <w:r>
        <w:t>along</w:t>
      </w:r>
      <w:r>
        <w:rPr>
          <w:spacing w:val="26"/>
        </w:rPr>
        <w:t xml:space="preserve"> </w:t>
      </w:r>
      <w:r>
        <w:t>with</w:t>
      </w:r>
      <w:r>
        <w:rPr>
          <w:spacing w:val="25"/>
        </w:rPr>
        <w:t xml:space="preserve"> </w:t>
      </w:r>
      <w:r>
        <w:t>various</w:t>
      </w:r>
      <w:r>
        <w:rPr>
          <w:spacing w:val="26"/>
        </w:rPr>
        <w:t xml:space="preserve"> </w:t>
      </w:r>
      <w:r>
        <w:t>other</w:t>
      </w:r>
      <w:r>
        <w:rPr>
          <w:spacing w:val="26"/>
        </w:rPr>
        <w:t xml:space="preserve"> </w:t>
      </w:r>
      <w:r>
        <w:rPr>
          <w:spacing w:val="-2"/>
        </w:rPr>
        <w:t>specific</w:t>
      </w:r>
    </w:p>
    <w:p w14:paraId="7E0008AF" w14:textId="77777777" w:rsidR="009A58DB" w:rsidRDefault="00000000">
      <w:pPr>
        <w:pStyle w:val="BodyText"/>
        <w:spacing w:line="316" w:lineRule="exact"/>
      </w:pPr>
      <w:r>
        <w:t>facts</w:t>
      </w:r>
      <w:r>
        <w:rPr>
          <w:spacing w:val="33"/>
        </w:rPr>
        <w:t xml:space="preserve"> </w:t>
      </w:r>
      <w:r>
        <w:t>about</w:t>
      </w:r>
      <w:r>
        <w:rPr>
          <w:spacing w:val="34"/>
        </w:rPr>
        <w:t xml:space="preserve"> </w:t>
      </w:r>
      <w:r>
        <w:t>that</w:t>
      </w:r>
      <w:r>
        <w:rPr>
          <w:spacing w:val="33"/>
        </w:rPr>
        <w:t xml:space="preserve"> </w:t>
      </w:r>
      <w:r>
        <w:t>person’s</w:t>
      </w:r>
      <w:r>
        <w:rPr>
          <w:spacing w:val="34"/>
        </w:rPr>
        <w:t xml:space="preserve"> </w:t>
      </w:r>
      <w:r>
        <w:t>appearance</w:t>
      </w:r>
      <w:r>
        <w:rPr>
          <w:spacing w:val="34"/>
        </w:rPr>
        <w:t xml:space="preserve"> </w:t>
      </w:r>
      <w:r>
        <w:t>that</w:t>
      </w:r>
      <w:r>
        <w:rPr>
          <w:spacing w:val="33"/>
        </w:rPr>
        <w:t xml:space="preserve"> </w:t>
      </w:r>
      <w:r>
        <w:t>have</w:t>
      </w:r>
      <w:r>
        <w:rPr>
          <w:spacing w:val="34"/>
        </w:rPr>
        <w:t xml:space="preserve"> </w:t>
      </w:r>
      <w:r>
        <w:t>nothing</w:t>
      </w:r>
      <w:r>
        <w:rPr>
          <w:spacing w:val="34"/>
        </w:rPr>
        <w:t xml:space="preserve"> </w:t>
      </w:r>
      <w:r>
        <w:t>to</w:t>
      </w:r>
      <w:r>
        <w:rPr>
          <w:spacing w:val="33"/>
        </w:rPr>
        <w:t xml:space="preserve"> </w:t>
      </w:r>
      <w:r>
        <w:t>do</w:t>
      </w:r>
      <w:r>
        <w:rPr>
          <w:spacing w:val="34"/>
        </w:rPr>
        <w:t xml:space="preserve"> </w:t>
      </w:r>
      <w:r>
        <w:t>with</w:t>
      </w:r>
      <w:r>
        <w:rPr>
          <w:spacing w:val="35"/>
        </w:rPr>
        <w:t xml:space="preserve"> </w:t>
      </w:r>
      <w:r>
        <w:rPr>
          <w:spacing w:val="-2"/>
        </w:rPr>
        <w:t>anyone’s</w:t>
      </w:r>
    </w:p>
    <w:p w14:paraId="7E0008B0" w14:textId="77777777" w:rsidR="009A58DB" w:rsidRDefault="00000000">
      <w:pPr>
        <w:pStyle w:val="BodyText"/>
        <w:spacing w:before="15" w:line="273" w:lineRule="auto"/>
        <w:ind w:right="362"/>
        <w:rPr>
          <w:position w:val="10"/>
        </w:rPr>
      </w:pPr>
      <w:r>
        <w:t>being happy. So isn’t by virtue of graphically representing the fact that</w:t>
      </w:r>
      <w:r>
        <w:rPr>
          <w:spacing w:val="40"/>
        </w:rPr>
        <w:t xml:space="preserve"> </w:t>
      </w:r>
      <w:r>
        <w:t>people are sometimes happy that, when functioning as a sentence of L, D</w:t>
      </w:r>
      <w:r>
        <w:rPr>
          <w:vertAlign w:val="subscript"/>
        </w:rPr>
        <w:t>1</w:t>
      </w:r>
      <w:r>
        <w:t xml:space="preserve"> describes that fact.</w:t>
      </w:r>
      <w:bookmarkStart w:id="86" w:name="_bookmark86"/>
      <w:bookmarkEnd w:id="86"/>
      <w:r>
        <w:rPr>
          <w:color w:val="0562C1"/>
          <w:position w:val="10"/>
          <w:u w:val="single" w:color="0562C1"/>
        </w:rPr>
        <w:t>84</w:t>
      </w:r>
    </w:p>
    <w:p w14:paraId="7E0008B1" w14:textId="77777777" w:rsidR="009A58DB" w:rsidRDefault="00000000">
      <w:pPr>
        <w:pStyle w:val="BodyText"/>
        <w:spacing w:line="310" w:lineRule="exact"/>
        <w:ind w:left="720"/>
      </w:pPr>
      <w:r>
        <w:t>So</w:t>
      </w:r>
      <w:r>
        <w:rPr>
          <w:spacing w:val="53"/>
        </w:rPr>
        <w:t xml:space="preserve"> </w:t>
      </w:r>
      <w:r>
        <w:t>far</w:t>
      </w:r>
      <w:r>
        <w:rPr>
          <w:spacing w:val="55"/>
        </w:rPr>
        <w:t xml:space="preserve"> </w:t>
      </w:r>
      <w:r>
        <w:t>as</w:t>
      </w:r>
      <w:r>
        <w:rPr>
          <w:spacing w:val="54"/>
        </w:rPr>
        <w:t xml:space="preserve"> </w:t>
      </w:r>
      <w:r>
        <w:t>D</w:t>
      </w:r>
      <w:r>
        <w:rPr>
          <w:vertAlign w:val="subscript"/>
        </w:rPr>
        <w:t>1</w:t>
      </w:r>
      <w:r>
        <w:rPr>
          <w:spacing w:val="54"/>
        </w:rPr>
        <w:t xml:space="preserve"> </w:t>
      </w:r>
      <w:r>
        <w:t>is</w:t>
      </w:r>
      <w:r>
        <w:rPr>
          <w:spacing w:val="54"/>
        </w:rPr>
        <w:t xml:space="preserve"> </w:t>
      </w:r>
      <w:r>
        <w:t>a</w:t>
      </w:r>
      <w:r>
        <w:rPr>
          <w:spacing w:val="55"/>
        </w:rPr>
        <w:t xml:space="preserve"> </w:t>
      </w:r>
      <w:r>
        <w:t>sentence</w:t>
      </w:r>
      <w:r>
        <w:rPr>
          <w:spacing w:val="54"/>
        </w:rPr>
        <w:t xml:space="preserve"> </w:t>
      </w:r>
      <w:r>
        <w:t>of</w:t>
      </w:r>
      <w:r>
        <w:rPr>
          <w:spacing w:val="54"/>
        </w:rPr>
        <w:t xml:space="preserve"> </w:t>
      </w:r>
      <w:r>
        <w:t>a</w:t>
      </w:r>
      <w:r>
        <w:rPr>
          <w:spacing w:val="55"/>
        </w:rPr>
        <w:t xml:space="preserve"> </w:t>
      </w:r>
      <w:r>
        <w:t>language,</w:t>
      </w:r>
      <w:r>
        <w:rPr>
          <w:spacing w:val="53"/>
        </w:rPr>
        <w:t xml:space="preserve"> </w:t>
      </w:r>
      <w:r>
        <w:t>what</w:t>
      </w:r>
      <w:r>
        <w:rPr>
          <w:spacing w:val="54"/>
        </w:rPr>
        <w:t xml:space="preserve"> </w:t>
      </w:r>
      <w:r>
        <w:t>it</w:t>
      </w:r>
      <w:r>
        <w:rPr>
          <w:spacing w:val="54"/>
        </w:rPr>
        <w:t xml:space="preserve"> </w:t>
      </w:r>
      <w:r>
        <w:t>actually</w:t>
      </w:r>
      <w:r>
        <w:rPr>
          <w:spacing w:val="53"/>
        </w:rPr>
        <w:t xml:space="preserve"> </w:t>
      </w:r>
      <w:r>
        <w:t>picks</w:t>
      </w:r>
      <w:r>
        <w:rPr>
          <w:spacing w:val="55"/>
        </w:rPr>
        <w:t xml:space="preserve"> </w:t>
      </w:r>
      <w:r>
        <w:t>out</w:t>
      </w:r>
      <w:r>
        <w:rPr>
          <w:spacing w:val="53"/>
        </w:rPr>
        <w:t xml:space="preserve"> </w:t>
      </w:r>
      <w:r>
        <w:rPr>
          <w:spacing w:val="-5"/>
        </w:rPr>
        <w:t>is</w:t>
      </w:r>
    </w:p>
    <w:p w14:paraId="7E0008B2" w14:textId="77777777" w:rsidR="009A58DB" w:rsidRDefault="00000000">
      <w:pPr>
        <w:pStyle w:val="BodyText"/>
        <w:spacing w:before="75" w:line="249" w:lineRule="auto"/>
        <w:ind w:right="360"/>
      </w:pPr>
      <w:r>
        <w:t xml:space="preserve">irrelevant; the various nuances of the smiling gentleman’s face are irrelevant. In general, its internal structure is irrelevant. Considered as an expression of L, it </w:t>
      </w:r>
      <w:r>
        <w:rPr>
          <w:i/>
        </w:rPr>
        <w:t xml:space="preserve">has </w:t>
      </w:r>
      <w:r>
        <w:t xml:space="preserve">no internal structure. (It is what philosophers of language call a </w:t>
      </w:r>
      <w:r>
        <w:rPr>
          <w:b/>
        </w:rPr>
        <w:t xml:space="preserve">semantic primitive. </w:t>
      </w:r>
      <w:r>
        <w:t>A semantic primitive,” or primitive symbol,” is one that doesn’t consist of other symbols and that, so far as it is an expression of a language, thus has no internal structure.) For exactly similar reasons, each of the other photographs composing L is, when considered as an expression of L, devoid of internal structure and thus, in the most extreme way possible,</w:t>
      </w:r>
      <w:r>
        <w:rPr>
          <w:spacing w:val="40"/>
        </w:rPr>
        <w:t xml:space="preserve"> </w:t>
      </w:r>
      <w:r>
        <w:rPr>
          <w:i/>
        </w:rPr>
        <w:t xml:space="preserve">not </w:t>
      </w:r>
      <w:r>
        <w:t>like a graphic representation.</w:t>
      </w:r>
    </w:p>
    <w:p w14:paraId="7E0008B3" w14:textId="77777777" w:rsidR="009A58DB" w:rsidRDefault="00000000">
      <w:pPr>
        <w:pStyle w:val="BodyText"/>
        <w:spacing w:before="11" w:line="249" w:lineRule="auto"/>
        <w:ind w:right="361" w:firstLine="360"/>
      </w:pPr>
      <w:r>
        <w:t>We</w:t>
      </w:r>
      <w:r>
        <w:rPr>
          <w:spacing w:val="-3"/>
        </w:rPr>
        <w:t xml:space="preserve"> </w:t>
      </w:r>
      <w:r>
        <w:t>must</w:t>
      </w:r>
      <w:r>
        <w:rPr>
          <w:spacing w:val="-3"/>
        </w:rPr>
        <w:t xml:space="preserve"> </w:t>
      </w:r>
      <w:r>
        <w:t>make</w:t>
      </w:r>
      <w:r>
        <w:rPr>
          <w:spacing w:val="-3"/>
        </w:rPr>
        <w:t xml:space="preserve"> </w:t>
      </w:r>
      <w:r>
        <w:t>one</w:t>
      </w:r>
      <w:r>
        <w:rPr>
          <w:spacing w:val="-3"/>
        </w:rPr>
        <w:t xml:space="preserve"> </w:t>
      </w:r>
      <w:r>
        <w:t>more</w:t>
      </w:r>
      <w:r>
        <w:rPr>
          <w:spacing w:val="-3"/>
        </w:rPr>
        <w:t xml:space="preserve"> </w:t>
      </w:r>
      <w:r>
        <w:t>point</w:t>
      </w:r>
      <w:r>
        <w:rPr>
          <w:spacing w:val="-3"/>
        </w:rPr>
        <w:t xml:space="preserve"> </w:t>
      </w:r>
      <w:r>
        <w:t>before</w:t>
      </w:r>
      <w:r>
        <w:rPr>
          <w:spacing w:val="-3"/>
        </w:rPr>
        <w:t xml:space="preserve"> </w:t>
      </w:r>
      <w:r>
        <w:t>we</w:t>
      </w:r>
      <w:r>
        <w:rPr>
          <w:spacing w:val="-3"/>
        </w:rPr>
        <w:t xml:space="preserve"> </w:t>
      </w:r>
      <w:r>
        <w:t>can</w:t>
      </w:r>
      <w:r>
        <w:rPr>
          <w:spacing w:val="-2"/>
        </w:rPr>
        <w:t xml:space="preserve"> </w:t>
      </w:r>
      <w:r>
        <w:t>close</w:t>
      </w:r>
      <w:r>
        <w:rPr>
          <w:spacing w:val="-3"/>
        </w:rPr>
        <w:t xml:space="preserve"> </w:t>
      </w:r>
      <w:r>
        <w:t>the</w:t>
      </w:r>
      <w:r>
        <w:rPr>
          <w:spacing w:val="-3"/>
        </w:rPr>
        <w:t xml:space="preserve"> </w:t>
      </w:r>
      <w:r>
        <w:t>argument.</w:t>
      </w:r>
      <w:r>
        <w:rPr>
          <w:spacing w:val="-2"/>
        </w:rPr>
        <w:t xml:space="preserve"> </w:t>
      </w:r>
      <w:r>
        <w:t>Let</w:t>
      </w:r>
      <w:r>
        <w:rPr>
          <w:spacing w:val="-3"/>
        </w:rPr>
        <w:t xml:space="preserve"> </w:t>
      </w:r>
      <w:r>
        <w:t>N</w:t>
      </w:r>
      <w:r>
        <w:rPr>
          <w:spacing w:val="-3"/>
        </w:rPr>
        <w:t xml:space="preserve"> </w:t>
      </w:r>
      <w:r>
        <w:t>be a photograph of a bolt of lightning, and suppose that N is the L-translation of the English expression “it is not the case that.” So if S is the L-translation of “grass</w:t>
      </w:r>
      <w:r>
        <w:rPr>
          <w:spacing w:val="67"/>
        </w:rPr>
        <w:t xml:space="preserve"> </w:t>
      </w:r>
      <w:r>
        <w:t>is</w:t>
      </w:r>
      <w:r>
        <w:rPr>
          <w:spacing w:val="67"/>
        </w:rPr>
        <w:t xml:space="preserve"> </w:t>
      </w:r>
      <w:r>
        <w:t>green,”</w:t>
      </w:r>
      <w:r>
        <w:rPr>
          <w:spacing w:val="67"/>
        </w:rPr>
        <w:t xml:space="preserve"> </w:t>
      </w:r>
      <w:r>
        <w:t>NS</w:t>
      </w:r>
      <w:r>
        <w:rPr>
          <w:spacing w:val="67"/>
        </w:rPr>
        <w:t xml:space="preserve"> </w:t>
      </w:r>
      <w:r>
        <w:t>is</w:t>
      </w:r>
      <w:r>
        <w:rPr>
          <w:spacing w:val="67"/>
        </w:rPr>
        <w:t xml:space="preserve"> </w:t>
      </w:r>
      <w:r>
        <w:t>the</w:t>
      </w:r>
      <w:r>
        <w:rPr>
          <w:spacing w:val="67"/>
        </w:rPr>
        <w:t xml:space="preserve"> </w:t>
      </w:r>
      <w:r>
        <w:t>L-translation</w:t>
      </w:r>
      <w:r>
        <w:rPr>
          <w:spacing w:val="67"/>
        </w:rPr>
        <w:t xml:space="preserve"> </w:t>
      </w:r>
      <w:r>
        <w:t>of</w:t>
      </w:r>
      <w:r>
        <w:rPr>
          <w:spacing w:val="67"/>
        </w:rPr>
        <w:t xml:space="preserve"> </w:t>
      </w:r>
      <w:r>
        <w:t>“grass</w:t>
      </w:r>
      <w:r>
        <w:rPr>
          <w:spacing w:val="67"/>
        </w:rPr>
        <w:t xml:space="preserve"> </w:t>
      </w:r>
      <w:r>
        <w:t>is</w:t>
      </w:r>
      <w:r>
        <w:rPr>
          <w:spacing w:val="67"/>
        </w:rPr>
        <w:t xml:space="preserve"> </w:t>
      </w:r>
      <w:r>
        <w:t>not</w:t>
      </w:r>
      <w:r>
        <w:rPr>
          <w:spacing w:val="67"/>
        </w:rPr>
        <w:t xml:space="preserve"> </w:t>
      </w:r>
      <w:r>
        <w:t>green.”</w:t>
      </w:r>
      <w:r>
        <w:rPr>
          <w:spacing w:val="67"/>
        </w:rPr>
        <w:t xml:space="preserve"> </w:t>
      </w:r>
      <w:r>
        <w:t>(NS</w:t>
      </w:r>
      <w:r>
        <w:rPr>
          <w:spacing w:val="67"/>
        </w:rPr>
        <w:t xml:space="preserve"> </w:t>
      </w:r>
      <w:r>
        <w:t>is</w:t>
      </w:r>
    </w:p>
    <w:p w14:paraId="7E0008B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B5" w14:textId="77777777" w:rsidR="009A58DB" w:rsidRDefault="00000000">
      <w:pPr>
        <w:pStyle w:val="BodyText"/>
        <w:spacing w:before="65" w:line="252" w:lineRule="auto"/>
        <w:ind w:right="364"/>
      </w:pPr>
      <w:r>
        <w:lastRenderedPageBreak/>
        <w:t xml:space="preserve">formed by putting N to the left of S.) Even though NS consists of pictures, it is not itself a picture. Putting two pictures together isn’t one picture; it’s just two pictures that are next to each other. For exactly similar reasons, if conventions were created whereby the sentences of L could be </w:t>
      </w:r>
      <w:r>
        <w:rPr>
          <w:b/>
          <w:i/>
        </w:rPr>
        <w:t>conjoined, disjoined</w:t>
      </w:r>
      <w:bookmarkStart w:id="87" w:name="_bookmark87"/>
      <w:bookmarkEnd w:id="87"/>
      <w:r>
        <w:rPr>
          <w:b/>
          <w:color w:val="0562C1"/>
          <w:position w:val="10"/>
          <w:u w:val="single" w:color="0562C1"/>
        </w:rPr>
        <w:t>85</w:t>
      </w:r>
      <w:r>
        <w:t>,</w:t>
      </w:r>
      <w:r>
        <w:rPr>
          <w:spacing w:val="-4"/>
        </w:rPr>
        <w:t xml:space="preserve"> </w:t>
      </w:r>
      <w:r>
        <w:t>or</w:t>
      </w:r>
      <w:r>
        <w:rPr>
          <w:spacing w:val="-5"/>
        </w:rPr>
        <w:t xml:space="preserve"> </w:t>
      </w:r>
      <w:r>
        <w:t>otherwise</w:t>
      </w:r>
      <w:r>
        <w:rPr>
          <w:spacing w:val="-5"/>
        </w:rPr>
        <w:t xml:space="preserve"> </w:t>
      </w:r>
      <w:r>
        <w:t>combined,</w:t>
      </w:r>
      <w:r>
        <w:rPr>
          <w:spacing w:val="-4"/>
        </w:rPr>
        <w:t xml:space="preserve"> </w:t>
      </w:r>
      <w:r>
        <w:t>the</w:t>
      </w:r>
      <w:r>
        <w:rPr>
          <w:spacing w:val="-5"/>
        </w:rPr>
        <w:t xml:space="preserve"> </w:t>
      </w:r>
      <w:r>
        <w:t>resulting</w:t>
      </w:r>
      <w:r>
        <w:rPr>
          <w:spacing w:val="-4"/>
        </w:rPr>
        <w:t xml:space="preserve"> </w:t>
      </w:r>
      <w:r>
        <w:t>compound</w:t>
      </w:r>
      <w:r>
        <w:rPr>
          <w:spacing w:val="-4"/>
        </w:rPr>
        <w:t xml:space="preserve"> </w:t>
      </w:r>
      <w:r>
        <w:t>sentences</w:t>
      </w:r>
      <w:r>
        <w:rPr>
          <w:spacing w:val="-5"/>
        </w:rPr>
        <w:t xml:space="preserve"> </w:t>
      </w:r>
      <w:r>
        <w:t>would not be pictures.</w:t>
      </w:r>
    </w:p>
    <w:p w14:paraId="7E0008B6" w14:textId="77777777" w:rsidR="009A58DB" w:rsidRDefault="00000000">
      <w:pPr>
        <w:pStyle w:val="BodyText"/>
        <w:spacing w:line="249" w:lineRule="auto"/>
        <w:ind w:right="358" w:firstLine="360"/>
      </w:pPr>
      <w:r>
        <w:t>Let</w:t>
      </w:r>
      <w:r>
        <w:rPr>
          <w:spacing w:val="-1"/>
        </w:rPr>
        <w:t xml:space="preserve"> </w:t>
      </w:r>
      <w:r>
        <w:t>us take</w:t>
      </w:r>
      <w:r>
        <w:rPr>
          <w:spacing w:val="-1"/>
        </w:rPr>
        <w:t xml:space="preserve"> </w:t>
      </w:r>
      <w:r>
        <w:t>stock. Not</w:t>
      </w:r>
      <w:r>
        <w:rPr>
          <w:spacing w:val="-1"/>
        </w:rPr>
        <w:t xml:space="preserve"> </w:t>
      </w:r>
      <w:r>
        <w:t>a single</w:t>
      </w:r>
      <w:r>
        <w:rPr>
          <w:spacing w:val="-1"/>
        </w:rPr>
        <w:t xml:space="preserve"> </w:t>
      </w:r>
      <w:r>
        <w:t>one of</w:t>
      </w:r>
      <w:r>
        <w:rPr>
          <w:spacing w:val="-1"/>
        </w:rPr>
        <w:t xml:space="preserve"> </w:t>
      </w:r>
      <w:r>
        <w:t>the simple</w:t>
      </w:r>
      <w:r>
        <w:rPr>
          <w:spacing w:val="-1"/>
        </w:rPr>
        <w:t xml:space="preserve"> </w:t>
      </w:r>
      <w:r>
        <w:t>symbols belonging</w:t>
      </w:r>
      <w:r>
        <w:rPr>
          <w:spacing w:val="-1"/>
        </w:rPr>
        <w:t xml:space="preserve"> </w:t>
      </w:r>
      <w:r>
        <w:t>to L</w:t>
      </w:r>
      <w:r>
        <w:rPr>
          <w:spacing w:val="-1"/>
        </w:rPr>
        <w:t xml:space="preserve"> </w:t>
      </w:r>
      <w:r>
        <w:t>is a graphic representation of the fact that it depicts, and not a single one of the complex symbols belonging to L is a graphic representation of the fact depicted by any one of its components. In general, to the extent that a given thing is functioning as a linguistic expression, it is not functioning as a picture.</w:t>
      </w:r>
      <w:r>
        <w:rPr>
          <w:spacing w:val="-3"/>
        </w:rPr>
        <w:t xml:space="preserve"> </w:t>
      </w:r>
      <w:r>
        <w:t>Things</w:t>
      </w:r>
      <w:r>
        <w:rPr>
          <w:spacing w:val="-2"/>
        </w:rPr>
        <w:t xml:space="preserve"> </w:t>
      </w:r>
      <w:r>
        <w:t>that</w:t>
      </w:r>
      <w:r>
        <w:rPr>
          <w:spacing w:val="-2"/>
        </w:rPr>
        <w:t xml:space="preserve"> </w:t>
      </w:r>
      <w:r>
        <w:t>happen</w:t>
      </w:r>
      <w:r>
        <w:rPr>
          <w:spacing w:val="-2"/>
        </w:rPr>
        <w:t xml:space="preserve"> </w:t>
      </w:r>
      <w:r>
        <w:t>to</w:t>
      </w:r>
      <w:r>
        <w:rPr>
          <w:spacing w:val="-2"/>
        </w:rPr>
        <w:t xml:space="preserve"> </w:t>
      </w:r>
      <w:r>
        <w:t>be</w:t>
      </w:r>
      <w:r>
        <w:rPr>
          <w:spacing w:val="-2"/>
        </w:rPr>
        <w:t xml:space="preserve"> </w:t>
      </w:r>
      <w:r>
        <w:t>pictures</w:t>
      </w:r>
      <w:r>
        <w:rPr>
          <w:spacing w:val="-2"/>
        </w:rPr>
        <w:t xml:space="preserve"> </w:t>
      </w:r>
      <w:r>
        <w:t>cannot</w:t>
      </w:r>
      <w:r>
        <w:rPr>
          <w:spacing w:val="-2"/>
        </w:rPr>
        <w:t xml:space="preserve"> </w:t>
      </w:r>
      <w:r>
        <w:t>function</w:t>
      </w:r>
      <w:r>
        <w:rPr>
          <w:spacing w:val="-2"/>
        </w:rPr>
        <w:t xml:space="preserve"> </w:t>
      </w:r>
      <w:r>
        <w:t>as</w:t>
      </w:r>
      <w:r>
        <w:rPr>
          <w:spacing w:val="-2"/>
        </w:rPr>
        <w:t xml:space="preserve"> </w:t>
      </w:r>
      <w:r>
        <w:t>pictures</w:t>
      </w:r>
      <w:r>
        <w:rPr>
          <w:spacing w:val="-2"/>
        </w:rPr>
        <w:t xml:space="preserve"> </w:t>
      </w:r>
      <w:r>
        <w:t>so</w:t>
      </w:r>
      <w:r>
        <w:rPr>
          <w:spacing w:val="-2"/>
        </w:rPr>
        <w:t xml:space="preserve"> </w:t>
      </w:r>
      <w:r>
        <w:t>far</w:t>
      </w:r>
      <w:r>
        <w:rPr>
          <w:spacing w:val="-2"/>
        </w:rPr>
        <w:t xml:space="preserve"> </w:t>
      </w:r>
      <w:r>
        <w:t xml:space="preserve">as they are functioning as linguistic expressions or, therefore, as sentences. Thus, Wittgenstein's contention that sentences are pictures of the facts they describe is the antithesis of the truth. In addition to showing that Wittgenstein’s picture-theory is false, this shows that </w:t>
      </w:r>
      <w:r>
        <w:rPr>
          <w:i/>
        </w:rPr>
        <w:t xml:space="preserve">any </w:t>
      </w:r>
      <w:r>
        <w:t xml:space="preserve">conventional assignment of meaning to </w:t>
      </w:r>
      <w:r>
        <w:rPr>
          <w:i/>
        </w:rPr>
        <w:t>any</w:t>
      </w:r>
      <w:r>
        <w:rPr>
          <w:i/>
          <w:spacing w:val="-4"/>
        </w:rPr>
        <w:t xml:space="preserve"> </w:t>
      </w:r>
      <w:r>
        <w:t xml:space="preserve">collection of symbols—any </w:t>
      </w:r>
      <w:r>
        <w:rPr>
          <w:i/>
        </w:rPr>
        <w:t xml:space="preserve">language, </w:t>
      </w:r>
      <w:r>
        <w:t xml:space="preserve">in other words—necessarily yields symbols that have a unique decomposition into discrete parts. This is obviously, almost tautologically, true of compound symbols; and it’s </w:t>
      </w:r>
      <w:r>
        <w:rPr>
          <w:b/>
          <w:i/>
        </w:rPr>
        <w:t>vacuously</w:t>
      </w:r>
      <w:r>
        <w:rPr>
          <w:b/>
          <w:i/>
          <w:spacing w:val="-4"/>
        </w:rPr>
        <w:t xml:space="preserve"> </w:t>
      </w:r>
      <w:r>
        <w:rPr>
          <w:b/>
          <w:i/>
        </w:rPr>
        <w:t>tru</w:t>
      </w:r>
      <w:bookmarkStart w:id="88" w:name="_bookmark88"/>
      <w:bookmarkEnd w:id="88"/>
      <w:r>
        <w:rPr>
          <w:b/>
          <w:i/>
        </w:rPr>
        <w:t>e</w:t>
      </w:r>
      <w:r>
        <w:rPr>
          <w:b/>
          <w:color w:val="0562C1"/>
          <w:position w:val="10"/>
          <w:u w:val="single" w:color="0562C1"/>
        </w:rPr>
        <w:t>86</w:t>
      </w:r>
      <w:r>
        <w:rPr>
          <w:b/>
          <w:color w:val="0562C1"/>
          <w:position w:val="10"/>
        </w:rPr>
        <w:t xml:space="preserve"> </w:t>
      </w:r>
      <w:r>
        <w:t>of non-compound symbols, since no such symbol has any internal structure at all.</w:t>
      </w:r>
    </w:p>
    <w:p w14:paraId="7E0008B7" w14:textId="77777777" w:rsidR="009A58DB" w:rsidRDefault="00000000">
      <w:pPr>
        <w:pStyle w:val="Heading1"/>
        <w:numPr>
          <w:ilvl w:val="1"/>
          <w:numId w:val="220"/>
        </w:numPr>
        <w:tabs>
          <w:tab w:val="left" w:pos="990"/>
        </w:tabs>
      </w:pPr>
      <w:r>
        <w:t>The</w:t>
      </w:r>
      <w:r>
        <w:rPr>
          <w:spacing w:val="-7"/>
        </w:rPr>
        <w:t xml:space="preserve"> </w:t>
      </w:r>
      <w:r>
        <w:t>picture</w:t>
      </w:r>
      <w:r>
        <w:rPr>
          <w:spacing w:val="-4"/>
        </w:rPr>
        <w:t xml:space="preserve"> </w:t>
      </w:r>
      <w:r>
        <w:t>theory</w:t>
      </w:r>
      <w:r>
        <w:rPr>
          <w:spacing w:val="-4"/>
        </w:rPr>
        <w:t xml:space="preserve"> </w:t>
      </w:r>
      <w:r>
        <w:t>of</w:t>
      </w:r>
      <w:r>
        <w:rPr>
          <w:spacing w:val="-4"/>
        </w:rPr>
        <w:t xml:space="preserve"> </w:t>
      </w:r>
      <w:r>
        <w:t>meaning</w:t>
      </w:r>
      <w:r>
        <w:rPr>
          <w:spacing w:val="-3"/>
        </w:rPr>
        <w:t xml:space="preserve"> </w:t>
      </w:r>
      <w:r>
        <w:rPr>
          <w:spacing w:val="-2"/>
        </w:rPr>
        <w:t>(continued)</w:t>
      </w:r>
    </w:p>
    <w:p w14:paraId="7E0008B8" w14:textId="77777777" w:rsidR="009A58DB" w:rsidRDefault="00000000">
      <w:pPr>
        <w:pStyle w:val="BodyText"/>
        <w:spacing w:before="139" w:line="249" w:lineRule="auto"/>
        <w:ind w:right="371"/>
      </w:pPr>
      <w:r>
        <w:t>It’s not entirely clear why Wittgenstein said that sentences are pictures. But it is clear that this contention of his is consistent with this empiricism.</w:t>
      </w:r>
    </w:p>
    <w:p w14:paraId="7E0008B9" w14:textId="77777777" w:rsidR="009A58DB" w:rsidRDefault="00000000">
      <w:pPr>
        <w:pStyle w:val="BodyText"/>
        <w:spacing w:before="2" w:line="249" w:lineRule="auto"/>
        <w:ind w:right="361" w:firstLine="360"/>
      </w:pPr>
      <w:r>
        <w:t xml:space="preserve">Empiricism says that all knowledge is observation based. Thus, if you know it, you either (i) sense-perceived it or (ii) you inferred it from what you saw, provided that the inference rule you used is one that is known through sense-perception. (So far as knowledge is obtained with the help of inference rule whose legitimacy can’t be authenticated by sense-perception, some knowledge is </w:t>
      </w:r>
      <w:r>
        <w:rPr>
          <w:i/>
        </w:rPr>
        <w:t xml:space="preserve">not </w:t>
      </w:r>
      <w:r>
        <w:t>perception-based.)</w:t>
      </w:r>
    </w:p>
    <w:p w14:paraId="7E0008BA" w14:textId="77777777" w:rsidR="009A58DB" w:rsidRDefault="00000000">
      <w:pPr>
        <w:pStyle w:val="BodyText"/>
        <w:spacing w:before="8" w:line="249" w:lineRule="auto"/>
        <w:ind w:right="359" w:firstLine="360"/>
      </w:pPr>
      <w:r>
        <w:t xml:space="preserve">Our sense-perceptions give us pictures. Not all sensory modalities give us </w:t>
      </w:r>
      <w:r>
        <w:rPr>
          <w:i/>
        </w:rPr>
        <w:t xml:space="preserve">visual </w:t>
      </w:r>
      <w:r>
        <w:t>pictures, of course. Hearing gives us auditory pictures, touch gives us tactile pictures, etc. But perceptual representation is pictorial representation. (In what follows, when I say “see,” I mean “see or hear or touch [etc.].”)</w:t>
      </w:r>
    </w:p>
    <w:p w14:paraId="7E0008B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BC" w14:textId="77777777" w:rsidR="009A58DB" w:rsidRDefault="00000000">
      <w:pPr>
        <w:pStyle w:val="BodyText"/>
        <w:spacing w:before="65" w:line="249" w:lineRule="auto"/>
        <w:ind w:right="360" w:firstLine="360"/>
      </w:pPr>
      <w:r>
        <w:lastRenderedPageBreak/>
        <w:t>But much of what we know can’t be embodied in images of any kind. (In this context, I’ll use the word ‘image’ not just to still-images, but to moving pictures.) I know that:</w:t>
      </w:r>
    </w:p>
    <w:p w14:paraId="7E0008BD" w14:textId="77777777" w:rsidR="009A58DB" w:rsidRDefault="009A58DB">
      <w:pPr>
        <w:pStyle w:val="BodyText"/>
        <w:spacing w:before="18"/>
        <w:ind w:left="0"/>
        <w:jc w:val="left"/>
      </w:pPr>
    </w:p>
    <w:p w14:paraId="7E0008BE" w14:textId="77777777" w:rsidR="009A58DB" w:rsidRDefault="00000000">
      <w:pPr>
        <w:pStyle w:val="BodyText"/>
        <w:jc w:val="left"/>
      </w:pPr>
      <w:r>
        <w:t>(1)</w:t>
      </w:r>
      <w:r>
        <w:rPr>
          <w:spacing w:val="-2"/>
        </w:rPr>
        <w:t xml:space="preserve"> </w:t>
      </w:r>
      <w:r>
        <w:t>the</w:t>
      </w:r>
      <w:r>
        <w:rPr>
          <w:spacing w:val="-2"/>
        </w:rPr>
        <w:t xml:space="preserve"> </w:t>
      </w:r>
      <w:r>
        <w:t>moon</w:t>
      </w:r>
      <w:r>
        <w:rPr>
          <w:spacing w:val="-1"/>
        </w:rPr>
        <w:t xml:space="preserve"> </w:t>
      </w:r>
      <w:r>
        <w:t>is</w:t>
      </w:r>
      <w:r>
        <w:rPr>
          <w:spacing w:val="-2"/>
        </w:rPr>
        <w:t xml:space="preserve"> </w:t>
      </w:r>
      <w:r>
        <w:t>not</w:t>
      </w:r>
      <w:r>
        <w:rPr>
          <w:spacing w:val="-2"/>
        </w:rPr>
        <w:t xml:space="preserve"> </w:t>
      </w:r>
      <w:r>
        <w:t>made</w:t>
      </w:r>
      <w:r>
        <w:rPr>
          <w:spacing w:val="-2"/>
        </w:rPr>
        <w:t xml:space="preserve"> </w:t>
      </w:r>
      <w:r>
        <w:t>of</w:t>
      </w:r>
      <w:r>
        <w:rPr>
          <w:spacing w:val="-1"/>
        </w:rPr>
        <w:t xml:space="preserve"> </w:t>
      </w:r>
      <w:r>
        <w:rPr>
          <w:spacing w:val="-2"/>
        </w:rPr>
        <w:t>cheese.</w:t>
      </w:r>
    </w:p>
    <w:p w14:paraId="7E0008BF" w14:textId="77777777" w:rsidR="009A58DB" w:rsidRDefault="009A58DB">
      <w:pPr>
        <w:pStyle w:val="BodyText"/>
        <w:spacing w:before="30"/>
        <w:ind w:left="0"/>
        <w:jc w:val="left"/>
      </w:pPr>
    </w:p>
    <w:p w14:paraId="7E0008C0" w14:textId="77777777" w:rsidR="009A58DB" w:rsidRDefault="00000000">
      <w:pPr>
        <w:pStyle w:val="BodyText"/>
        <w:spacing w:line="256" w:lineRule="auto"/>
        <w:ind w:right="361"/>
      </w:pPr>
      <w:r>
        <w:t>What</w:t>
      </w:r>
      <w:r>
        <w:rPr>
          <w:spacing w:val="-14"/>
        </w:rPr>
        <w:t xml:space="preserve"> </w:t>
      </w:r>
      <w:r>
        <w:t>would</w:t>
      </w:r>
      <w:r>
        <w:rPr>
          <w:spacing w:val="-10"/>
        </w:rPr>
        <w:t xml:space="preserve"> </w:t>
      </w:r>
      <w:r>
        <w:t>an</w:t>
      </w:r>
      <w:r>
        <w:rPr>
          <w:spacing w:val="-10"/>
        </w:rPr>
        <w:t xml:space="preserve"> </w:t>
      </w:r>
      <w:r>
        <w:t>image</w:t>
      </w:r>
      <w:r>
        <w:rPr>
          <w:spacing w:val="-10"/>
        </w:rPr>
        <w:t xml:space="preserve"> </w:t>
      </w:r>
      <w:r>
        <w:t>of</w:t>
      </w:r>
      <w:r>
        <w:rPr>
          <w:spacing w:val="-10"/>
        </w:rPr>
        <w:t xml:space="preserve"> </w:t>
      </w:r>
      <w:r>
        <w:t>this</w:t>
      </w:r>
      <w:r>
        <w:rPr>
          <w:spacing w:val="-10"/>
        </w:rPr>
        <w:t xml:space="preserve"> </w:t>
      </w:r>
      <w:r>
        <w:t>fact</w:t>
      </w:r>
      <w:r>
        <w:rPr>
          <w:spacing w:val="-10"/>
        </w:rPr>
        <w:t xml:space="preserve"> </w:t>
      </w:r>
      <w:r>
        <w:t>be?</w:t>
      </w:r>
      <w:r>
        <w:rPr>
          <w:spacing w:val="-19"/>
        </w:rPr>
        <w:t xml:space="preserve"> </w:t>
      </w:r>
      <w:r>
        <w:t>An</w:t>
      </w:r>
      <w:r>
        <w:rPr>
          <w:spacing w:val="-9"/>
        </w:rPr>
        <w:t xml:space="preserve"> </w:t>
      </w:r>
      <w:r>
        <w:t>image</w:t>
      </w:r>
      <w:r>
        <w:rPr>
          <w:spacing w:val="-10"/>
        </w:rPr>
        <w:t xml:space="preserve"> </w:t>
      </w:r>
      <w:r>
        <w:t>of</w:t>
      </w:r>
      <w:r>
        <w:rPr>
          <w:spacing w:val="-10"/>
        </w:rPr>
        <w:t xml:space="preserve"> </w:t>
      </w:r>
      <w:r>
        <w:t>a</w:t>
      </w:r>
      <w:r>
        <w:rPr>
          <w:spacing w:val="-10"/>
        </w:rPr>
        <w:t xml:space="preserve"> </w:t>
      </w:r>
      <w:r>
        <w:t>cheesy</w:t>
      </w:r>
      <w:r>
        <w:rPr>
          <w:spacing w:val="-10"/>
        </w:rPr>
        <w:t xml:space="preserve"> </w:t>
      </w:r>
      <w:r>
        <w:t>moon</w:t>
      </w:r>
      <w:r>
        <w:rPr>
          <w:spacing w:val="-10"/>
        </w:rPr>
        <w:t xml:space="preserve"> </w:t>
      </w:r>
      <w:r>
        <w:t>with</w:t>
      </w:r>
      <w:r>
        <w:rPr>
          <w:spacing w:val="-10"/>
        </w:rPr>
        <w:t xml:space="preserve"> </w:t>
      </w:r>
      <w:r>
        <w:t>a</w:t>
      </w:r>
      <w:r>
        <w:rPr>
          <w:spacing w:val="-10"/>
        </w:rPr>
        <w:t xml:space="preserve"> </w:t>
      </w:r>
      <w:r>
        <w:t>big</w:t>
      </w:r>
      <w:r>
        <w:rPr>
          <w:spacing w:val="-10"/>
        </w:rPr>
        <w:t xml:space="preserve"> </w:t>
      </w:r>
      <w:r>
        <w:t>X on</w:t>
      </w:r>
      <w:r>
        <w:rPr>
          <w:spacing w:val="-19"/>
        </w:rPr>
        <w:t xml:space="preserve"> </w:t>
      </w:r>
      <w:r>
        <w:t>it?</w:t>
      </w:r>
      <w:r>
        <w:rPr>
          <w:spacing w:val="-17"/>
        </w:rPr>
        <w:t xml:space="preserve"> </w:t>
      </w:r>
      <w:r>
        <w:t>No.</w:t>
      </w:r>
      <w:r>
        <w:rPr>
          <w:spacing w:val="-19"/>
        </w:rPr>
        <w:t xml:space="preserve"> </w:t>
      </w:r>
      <w:r>
        <w:t>The</w:t>
      </w:r>
      <w:r>
        <w:rPr>
          <w:spacing w:val="-17"/>
        </w:rPr>
        <w:t xml:space="preserve"> </w:t>
      </w:r>
      <w:r>
        <w:t>big</w:t>
      </w:r>
      <w:r>
        <w:rPr>
          <w:spacing w:val="-17"/>
        </w:rPr>
        <w:t xml:space="preserve"> </w:t>
      </w:r>
      <w:r>
        <w:t>X</w:t>
      </w:r>
      <w:r>
        <w:rPr>
          <w:spacing w:val="-17"/>
        </w:rPr>
        <w:t xml:space="preserve"> </w:t>
      </w:r>
      <w:r>
        <w:t>wouldn’t</w:t>
      </w:r>
      <w:r>
        <w:rPr>
          <w:spacing w:val="-17"/>
        </w:rPr>
        <w:t xml:space="preserve"> </w:t>
      </w:r>
      <w:r>
        <w:t>be</w:t>
      </w:r>
      <w:r>
        <w:rPr>
          <w:spacing w:val="-17"/>
        </w:rPr>
        <w:t xml:space="preserve"> </w:t>
      </w:r>
      <w:r>
        <w:t>an</w:t>
      </w:r>
      <w:r>
        <w:rPr>
          <w:spacing w:val="-19"/>
        </w:rPr>
        <w:t xml:space="preserve"> </w:t>
      </w:r>
      <w:r>
        <w:rPr>
          <w:i/>
        </w:rPr>
        <w:t>image</w:t>
      </w:r>
      <w:r>
        <w:rPr>
          <w:i/>
          <w:spacing w:val="-19"/>
        </w:rPr>
        <w:t xml:space="preserve"> </w:t>
      </w:r>
      <w:r>
        <w:t>at</w:t>
      </w:r>
      <w:r>
        <w:rPr>
          <w:spacing w:val="-15"/>
        </w:rPr>
        <w:t xml:space="preserve"> </w:t>
      </w:r>
      <w:r>
        <w:t>all.</w:t>
      </w:r>
      <w:r>
        <w:rPr>
          <w:spacing w:val="-15"/>
        </w:rPr>
        <w:t xml:space="preserve"> </w:t>
      </w:r>
      <w:r>
        <w:t>Like</w:t>
      </w:r>
      <w:r>
        <w:rPr>
          <w:spacing w:val="-15"/>
        </w:rPr>
        <w:t xml:space="preserve"> </w:t>
      </w:r>
      <w:r>
        <w:t>the</w:t>
      </w:r>
      <w:r>
        <w:rPr>
          <w:spacing w:val="-15"/>
        </w:rPr>
        <w:t xml:space="preserve"> </w:t>
      </w:r>
      <w:r>
        <w:t>word</w:t>
      </w:r>
      <w:r>
        <w:rPr>
          <w:spacing w:val="-15"/>
        </w:rPr>
        <w:t xml:space="preserve"> </w:t>
      </w:r>
      <w:r>
        <w:t>“not,”</w:t>
      </w:r>
      <w:r>
        <w:rPr>
          <w:spacing w:val="40"/>
        </w:rPr>
        <w:t xml:space="preserve"> </w:t>
      </w:r>
      <w:r>
        <w:t>it</w:t>
      </w:r>
      <w:r>
        <w:rPr>
          <w:spacing w:val="-15"/>
        </w:rPr>
        <w:t xml:space="preserve"> </w:t>
      </w:r>
      <w:r>
        <w:t>would be</w:t>
      </w:r>
      <w:r>
        <w:rPr>
          <w:spacing w:val="-19"/>
        </w:rPr>
        <w:t xml:space="preserve"> </w:t>
      </w:r>
      <w:r>
        <w:t>a</w:t>
      </w:r>
      <w:r>
        <w:rPr>
          <w:spacing w:val="-19"/>
        </w:rPr>
        <w:t xml:space="preserve"> </w:t>
      </w:r>
      <w:r>
        <w:t>conventional</w:t>
      </w:r>
      <w:r>
        <w:rPr>
          <w:spacing w:val="-18"/>
        </w:rPr>
        <w:t xml:space="preserve"> </w:t>
      </w:r>
      <w:r>
        <w:t>sign</w:t>
      </w:r>
      <w:r>
        <w:rPr>
          <w:spacing w:val="-18"/>
        </w:rPr>
        <w:t xml:space="preserve"> </w:t>
      </w:r>
      <w:r>
        <w:t>of</w:t>
      </w:r>
      <w:r>
        <w:rPr>
          <w:spacing w:val="-18"/>
        </w:rPr>
        <w:t xml:space="preserve"> </w:t>
      </w:r>
      <w:r>
        <w:t>negation.</w:t>
      </w:r>
      <w:r>
        <w:rPr>
          <w:spacing w:val="40"/>
        </w:rPr>
        <w:t xml:space="preserve"> </w:t>
      </w:r>
      <w:r>
        <w:t>Whereas</w:t>
      </w:r>
      <w:r>
        <w:rPr>
          <w:spacing w:val="-14"/>
        </w:rPr>
        <w:t xml:space="preserve"> </w:t>
      </w:r>
      <w:r>
        <w:t>a</w:t>
      </w:r>
      <w:r>
        <w:rPr>
          <w:spacing w:val="-14"/>
        </w:rPr>
        <w:t xml:space="preserve"> </w:t>
      </w:r>
      <w:r>
        <w:t>picture</w:t>
      </w:r>
      <w:r>
        <w:rPr>
          <w:spacing w:val="-14"/>
        </w:rPr>
        <w:t xml:space="preserve"> </w:t>
      </w:r>
      <w:r>
        <w:t>of</w:t>
      </w:r>
      <w:r>
        <w:rPr>
          <w:spacing w:val="-14"/>
        </w:rPr>
        <w:t xml:space="preserve"> </w:t>
      </w:r>
      <w:r>
        <w:t>a</w:t>
      </w:r>
      <w:r>
        <w:rPr>
          <w:spacing w:val="-19"/>
        </w:rPr>
        <w:t xml:space="preserve"> </w:t>
      </w:r>
      <w:r>
        <w:t>cheesy</w:t>
      </w:r>
      <w:r>
        <w:rPr>
          <w:spacing w:val="-8"/>
        </w:rPr>
        <w:t xml:space="preserve"> </w:t>
      </w:r>
      <w:r>
        <w:t>moon</w:t>
      </w:r>
      <w:r>
        <w:rPr>
          <w:spacing w:val="-8"/>
        </w:rPr>
        <w:t xml:space="preserve"> </w:t>
      </w:r>
      <w:r>
        <w:t>would indeed resemble a cheesy moon, a big X doesn’t resemble the operation of negation. Nothing could physically resemble that operation, since it isn’t something that could possibly be seen or otherwise sense-perceived.</w:t>
      </w:r>
    </w:p>
    <w:p w14:paraId="7E0008C1" w14:textId="77777777" w:rsidR="009A58DB" w:rsidRDefault="00000000">
      <w:pPr>
        <w:pStyle w:val="BodyText"/>
        <w:spacing w:line="252" w:lineRule="auto"/>
        <w:ind w:right="362" w:firstLine="360"/>
      </w:pPr>
      <w:r>
        <w:t>Also, a picture of a cheesy moon corresponds to a lot of different propositions</w:t>
      </w:r>
      <w:bookmarkStart w:id="89" w:name="_bookmark89"/>
      <w:bookmarkEnd w:id="89"/>
      <w:r>
        <w:t>.</w:t>
      </w:r>
      <w:r>
        <w:rPr>
          <w:color w:val="0562C1"/>
          <w:position w:val="10"/>
          <w:u w:val="single" w:color="0562C1"/>
        </w:rPr>
        <w:t>87</w:t>
      </w:r>
      <w:r>
        <w:rPr>
          <w:color w:val="0562C1"/>
          <w:position w:val="10"/>
        </w:rPr>
        <w:t xml:space="preserve"> </w:t>
      </w:r>
      <w:r>
        <w:t xml:space="preserve">Any such picture will also depict an object having a certain color, shape, etc. Since (1) doesn’t anything about the moon’s shape or color, it isn’t identical with such an image. No proposition is identical with </w:t>
      </w:r>
      <w:r>
        <w:rPr>
          <w:i/>
        </w:rPr>
        <w:t xml:space="preserve">any </w:t>
      </w:r>
      <w:r>
        <w:t>image, since any image will contain information not contained in the image.</w:t>
      </w:r>
    </w:p>
    <w:p w14:paraId="7E0008C2" w14:textId="77777777" w:rsidR="009A58DB" w:rsidRDefault="00000000">
      <w:pPr>
        <w:pStyle w:val="BodyText"/>
        <w:spacing w:line="249" w:lineRule="auto"/>
        <w:ind w:right="359" w:firstLine="360"/>
        <w:rPr>
          <w:i/>
        </w:rPr>
      </w:pPr>
      <w:r>
        <w:t>Thus, there are at least some cases where one’s knowing of some fact doesn’t consist in there being an image in one’s mind of that fact. How is the strict empiricist to deal with this? First of all, it’s hard to see how sense-perception,</w:t>
      </w:r>
      <w:r>
        <w:rPr>
          <w:spacing w:val="-1"/>
        </w:rPr>
        <w:t xml:space="preserve"> </w:t>
      </w:r>
      <w:r>
        <w:t>which</w:t>
      </w:r>
      <w:r>
        <w:rPr>
          <w:spacing w:val="-1"/>
        </w:rPr>
        <w:t xml:space="preserve"> </w:t>
      </w:r>
      <w:r>
        <w:t>gives</w:t>
      </w:r>
      <w:r>
        <w:rPr>
          <w:spacing w:val="-1"/>
        </w:rPr>
        <w:t xml:space="preserve"> </w:t>
      </w:r>
      <w:r>
        <w:t>us</w:t>
      </w:r>
      <w:r>
        <w:rPr>
          <w:spacing w:val="-1"/>
        </w:rPr>
        <w:t xml:space="preserve"> </w:t>
      </w:r>
      <w:r>
        <w:t>nothing</w:t>
      </w:r>
      <w:r>
        <w:rPr>
          <w:spacing w:val="-1"/>
        </w:rPr>
        <w:t xml:space="preserve"> </w:t>
      </w:r>
      <w:r>
        <w:t>but</w:t>
      </w:r>
      <w:r>
        <w:rPr>
          <w:spacing w:val="-1"/>
        </w:rPr>
        <w:t xml:space="preserve"> </w:t>
      </w:r>
      <w:r>
        <w:t>one</w:t>
      </w:r>
      <w:r>
        <w:rPr>
          <w:spacing w:val="-1"/>
        </w:rPr>
        <w:t xml:space="preserve"> </w:t>
      </w:r>
      <w:r>
        <w:t>image</w:t>
      </w:r>
      <w:r>
        <w:rPr>
          <w:spacing w:val="-1"/>
        </w:rPr>
        <w:t xml:space="preserve"> </w:t>
      </w:r>
      <w:r>
        <w:t>after</w:t>
      </w:r>
      <w:r>
        <w:rPr>
          <w:spacing w:val="-1"/>
        </w:rPr>
        <w:t xml:space="preserve"> </w:t>
      </w:r>
      <w:r>
        <w:t>another,</w:t>
      </w:r>
      <w:r>
        <w:rPr>
          <w:spacing w:val="-1"/>
        </w:rPr>
        <w:t xml:space="preserve"> </w:t>
      </w:r>
      <w:r>
        <w:t>could</w:t>
      </w:r>
      <w:r>
        <w:rPr>
          <w:spacing w:val="-1"/>
        </w:rPr>
        <w:t xml:space="preserve"> </w:t>
      </w:r>
      <w:r>
        <w:t xml:space="preserve">apprise us of truths that are incapable of being expressed in a strictly imagistic form. For argument’s sake, let’s concede to the empiricist that it’s strictly through perception that I know that the Moon is made of XYZ. How are we to deal with my subsequent knowledge that the Moon is not made of cheese? Obviously that knowledge is </w:t>
      </w:r>
      <w:r>
        <w:rPr>
          <w:i/>
        </w:rPr>
        <w:t xml:space="preserve">largely </w:t>
      </w:r>
      <w:r>
        <w:t>based on my knowledge that it’s made</w:t>
      </w:r>
      <w:r>
        <w:rPr>
          <w:spacing w:val="40"/>
        </w:rPr>
        <w:t xml:space="preserve"> </w:t>
      </w:r>
      <w:r>
        <w:t xml:space="preserve">of XYZ. But it can’t be </w:t>
      </w:r>
      <w:r>
        <w:rPr>
          <w:i/>
        </w:rPr>
        <w:t>entirely</w:t>
      </w:r>
      <w:r>
        <w:rPr>
          <w:i/>
          <w:spacing w:val="-2"/>
        </w:rPr>
        <w:t xml:space="preserve"> </w:t>
      </w:r>
      <w:r>
        <w:t xml:space="preserve">based on it. What my senses tell me, at most, is what the moon </w:t>
      </w:r>
      <w:r>
        <w:rPr>
          <w:i/>
        </w:rPr>
        <w:t>is</w:t>
      </w:r>
      <w:r>
        <w:rPr>
          <w:i/>
          <w:spacing w:val="-3"/>
        </w:rPr>
        <w:t xml:space="preserve"> </w:t>
      </w:r>
      <w:r>
        <w:t xml:space="preserve">made of, not what it isn’t made of. So </w:t>
      </w:r>
      <w:r>
        <w:rPr>
          <w:i/>
        </w:rPr>
        <w:t>some</w:t>
      </w:r>
      <w:r>
        <w:rPr>
          <w:i/>
          <w:spacing w:val="-3"/>
        </w:rPr>
        <w:t xml:space="preserve"> </w:t>
      </w:r>
      <w:r>
        <w:t xml:space="preserve">kind of non-perceptual knowledge is involved in my making the leap from </w:t>
      </w:r>
      <w:r>
        <w:rPr>
          <w:i/>
        </w:rPr>
        <w:t xml:space="preserve">the moon is made of XYZ </w:t>
      </w:r>
      <w:r>
        <w:t xml:space="preserve">to </w:t>
      </w:r>
      <w:r>
        <w:rPr>
          <w:i/>
        </w:rPr>
        <w:t>the moon is not made of cheese.</w:t>
      </w:r>
    </w:p>
    <w:p w14:paraId="7E0008C3" w14:textId="77777777" w:rsidR="009A58DB" w:rsidRDefault="00000000">
      <w:pPr>
        <w:pStyle w:val="BodyText"/>
        <w:spacing w:before="1" w:line="249" w:lineRule="auto"/>
        <w:ind w:right="361" w:firstLine="360"/>
      </w:pPr>
      <w:r>
        <w:t>Here</w:t>
      </w:r>
      <w:r>
        <w:rPr>
          <w:spacing w:val="-1"/>
        </w:rPr>
        <w:t xml:space="preserve"> </w:t>
      </w:r>
      <w:r>
        <w:t>is</w:t>
      </w:r>
      <w:r>
        <w:rPr>
          <w:spacing w:val="-1"/>
        </w:rPr>
        <w:t xml:space="preserve"> </w:t>
      </w:r>
      <w:r>
        <w:t>a</w:t>
      </w:r>
      <w:r>
        <w:rPr>
          <w:spacing w:val="-1"/>
        </w:rPr>
        <w:t xml:space="preserve"> </w:t>
      </w:r>
      <w:r>
        <w:t>related,</w:t>
      </w:r>
      <w:r>
        <w:rPr>
          <w:spacing w:val="-1"/>
        </w:rPr>
        <w:t xml:space="preserve"> </w:t>
      </w:r>
      <w:r>
        <w:t>if</w:t>
      </w:r>
      <w:r>
        <w:rPr>
          <w:spacing w:val="-1"/>
        </w:rPr>
        <w:t xml:space="preserve"> </w:t>
      </w:r>
      <w:r>
        <w:t>not</w:t>
      </w:r>
      <w:r>
        <w:rPr>
          <w:spacing w:val="-1"/>
        </w:rPr>
        <w:t xml:space="preserve"> </w:t>
      </w:r>
      <w:r>
        <w:t>quite</w:t>
      </w:r>
      <w:r>
        <w:rPr>
          <w:spacing w:val="-1"/>
        </w:rPr>
        <w:t xml:space="preserve"> </w:t>
      </w:r>
      <w:r>
        <w:t>coincident,</w:t>
      </w:r>
      <w:r>
        <w:rPr>
          <w:spacing w:val="-1"/>
        </w:rPr>
        <w:t xml:space="preserve"> </w:t>
      </w:r>
      <w:r>
        <w:t>argument.</w:t>
      </w:r>
      <w:r>
        <w:rPr>
          <w:spacing w:val="-1"/>
        </w:rPr>
        <w:t xml:space="preserve"> </w:t>
      </w:r>
      <w:r>
        <w:t>Even</w:t>
      </w:r>
      <w:r>
        <w:rPr>
          <w:spacing w:val="-1"/>
        </w:rPr>
        <w:t xml:space="preserve"> </w:t>
      </w:r>
      <w:r>
        <w:t>if</w:t>
      </w:r>
      <w:r>
        <w:rPr>
          <w:spacing w:val="-1"/>
        </w:rPr>
        <w:t xml:space="preserve"> </w:t>
      </w:r>
      <w:r>
        <w:t>image-resistant facts (e.g., those expressed by negative statements) are learned in a strictly perceptual manner, the mental states that mediate our knowledge of them are not</w:t>
      </w:r>
      <w:r>
        <w:rPr>
          <w:spacing w:val="-1"/>
        </w:rPr>
        <w:t xml:space="preserve"> </w:t>
      </w:r>
      <w:r>
        <w:t>themselves</w:t>
      </w:r>
      <w:r>
        <w:rPr>
          <w:spacing w:val="-1"/>
        </w:rPr>
        <w:t xml:space="preserve"> </w:t>
      </w:r>
      <w:r>
        <w:t>images. The</w:t>
      </w:r>
      <w:r>
        <w:rPr>
          <w:spacing w:val="-1"/>
        </w:rPr>
        <w:t xml:space="preserve"> </w:t>
      </w:r>
      <w:r>
        <w:t>information borne</w:t>
      </w:r>
      <w:r>
        <w:rPr>
          <w:spacing w:val="-1"/>
        </w:rPr>
        <w:t xml:space="preserve"> </w:t>
      </w:r>
      <w:r>
        <w:t>by those</w:t>
      </w:r>
      <w:r>
        <w:rPr>
          <w:spacing w:val="-1"/>
        </w:rPr>
        <w:t xml:space="preserve"> </w:t>
      </w:r>
      <w:r>
        <w:t>mental states</w:t>
      </w:r>
      <w:r>
        <w:rPr>
          <w:spacing w:val="-1"/>
        </w:rPr>
        <w:t xml:space="preserve"> </w:t>
      </w:r>
      <w:r>
        <w:t>must be encoded</w:t>
      </w:r>
      <w:r>
        <w:rPr>
          <w:spacing w:val="29"/>
        </w:rPr>
        <w:t xml:space="preserve"> </w:t>
      </w:r>
      <w:r>
        <w:t>in</w:t>
      </w:r>
      <w:r>
        <w:rPr>
          <w:spacing w:val="29"/>
        </w:rPr>
        <w:t xml:space="preserve"> </w:t>
      </w:r>
      <w:r>
        <w:t>some</w:t>
      </w:r>
      <w:r>
        <w:rPr>
          <w:spacing w:val="29"/>
        </w:rPr>
        <w:t xml:space="preserve"> </w:t>
      </w:r>
      <w:r>
        <w:t>non-iconic</w:t>
      </w:r>
      <w:r>
        <w:rPr>
          <w:spacing w:val="29"/>
        </w:rPr>
        <w:t xml:space="preserve"> </w:t>
      </w:r>
      <w:r>
        <w:t>form.</w:t>
      </w:r>
      <w:r>
        <w:rPr>
          <w:spacing w:val="29"/>
        </w:rPr>
        <w:t xml:space="preserve"> </w:t>
      </w:r>
      <w:r>
        <w:t>This</w:t>
      </w:r>
      <w:r>
        <w:rPr>
          <w:spacing w:val="29"/>
        </w:rPr>
        <w:t xml:space="preserve"> </w:t>
      </w:r>
      <w:r>
        <w:t>means</w:t>
      </w:r>
      <w:r>
        <w:rPr>
          <w:spacing w:val="29"/>
        </w:rPr>
        <w:t xml:space="preserve"> </w:t>
      </w:r>
      <w:r>
        <w:t>that,</w:t>
      </w:r>
      <w:r>
        <w:rPr>
          <w:spacing w:val="29"/>
        </w:rPr>
        <w:t xml:space="preserve"> </w:t>
      </w:r>
      <w:r>
        <w:t>at</w:t>
      </w:r>
      <w:r>
        <w:rPr>
          <w:spacing w:val="29"/>
        </w:rPr>
        <w:t xml:space="preserve"> </w:t>
      </w:r>
      <w:r>
        <w:t>some</w:t>
      </w:r>
      <w:r>
        <w:rPr>
          <w:spacing w:val="29"/>
        </w:rPr>
        <w:t xml:space="preserve"> </w:t>
      </w:r>
      <w:r>
        <w:t>point,</w:t>
      </w:r>
      <w:r>
        <w:rPr>
          <w:spacing w:val="29"/>
        </w:rPr>
        <w:t xml:space="preserve"> </w:t>
      </w:r>
      <w:r>
        <w:t>pictorial</w:t>
      </w:r>
    </w:p>
    <w:p w14:paraId="7E0008C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C5" w14:textId="77777777" w:rsidR="009A58DB" w:rsidRDefault="00000000">
      <w:pPr>
        <w:pStyle w:val="BodyText"/>
        <w:spacing w:before="65" w:line="249" w:lineRule="auto"/>
        <w:ind w:right="358"/>
      </w:pPr>
      <w:r>
        <w:lastRenderedPageBreak/>
        <w:t>information was converted into non-pictorial information. But if our post-perceptual mental states are to be knowledge, that conversion process must</w:t>
      </w:r>
      <w:r>
        <w:rPr>
          <w:spacing w:val="40"/>
        </w:rPr>
        <w:t xml:space="preserve"> </w:t>
      </w:r>
      <w:r>
        <w:t xml:space="preserve">be a legitimate one. In other words, it can’t, when given pictorial input x, yield some output y that is inconsistent with x. Moreover, we must </w:t>
      </w:r>
      <w:r>
        <w:rPr>
          <w:i/>
        </w:rPr>
        <w:t xml:space="preserve">know </w:t>
      </w:r>
      <w:r>
        <w:t xml:space="preserve">that the conversations being made are legitimate. For argument’s sake, suppose that I don’t </w:t>
      </w:r>
      <w:r>
        <w:rPr>
          <w:i/>
        </w:rPr>
        <w:t xml:space="preserve">know </w:t>
      </w:r>
      <w:r>
        <w:t xml:space="preserve">that, given my (let us assume) strictly perception-based knowledge that the moon is made of XYZ, it is </w:t>
      </w:r>
      <w:r>
        <w:rPr>
          <w:i/>
        </w:rPr>
        <w:t>correct</w:t>
      </w:r>
      <w:r>
        <w:rPr>
          <w:i/>
          <w:spacing w:val="-3"/>
        </w:rPr>
        <w:t xml:space="preserve"> </w:t>
      </w:r>
      <w:r>
        <w:t xml:space="preserve">to hold that the moon is not made of cheese. In that case, to the extent that my belief that it isn’t made of cheese is based on my knowledge that it’s made of XYZ, that belief isn’t knowledge. If, on the basis of testimony given by a source of whose reliability I have knowledge, I believe P, I don’t </w:t>
      </w:r>
      <w:r>
        <w:rPr>
          <w:i/>
        </w:rPr>
        <w:t>know</w:t>
      </w:r>
      <w:r>
        <w:rPr>
          <w:i/>
          <w:spacing w:val="-3"/>
        </w:rPr>
        <w:t xml:space="preserve"> </w:t>
      </w:r>
      <w:r>
        <w:t>that P. Uncorroborated testimony, though a helpful initial step on the road towards knowledge, is not itself enough for knowledge. For much the same reason, if I don’t know the rules that permit the derivation of non-perceptual beliefs from strictly perceptual ones, then, even if my post-perceptual beliefs are correct, they aren’t knowledge.</w:t>
      </w:r>
    </w:p>
    <w:p w14:paraId="7E0008C6" w14:textId="77777777" w:rsidR="009A58DB" w:rsidRDefault="00000000">
      <w:pPr>
        <w:pStyle w:val="BodyText"/>
        <w:spacing w:before="19" w:line="249" w:lineRule="auto"/>
        <w:ind w:right="359" w:firstLine="360"/>
      </w:pPr>
      <w:r>
        <w:t>But there couldn’t possibly be any strictly perceptual way of knowing that those conversions were accurate. Those conversions, by supposition, turn pictures into non-pictures. So our knowledge of their existence, or (</w:t>
      </w:r>
      <w:r>
        <w:rPr>
          <w:i/>
        </w:rPr>
        <w:t>a</w:t>
      </w:r>
      <w:r>
        <w:rPr>
          <w:i/>
          <w:spacing w:val="-3"/>
        </w:rPr>
        <w:t xml:space="preserve"> </w:t>
      </w:r>
      <w:r>
        <w:rPr>
          <w:i/>
        </w:rPr>
        <w:t>fortior</w:t>
      </w:r>
      <w:r>
        <w:t xml:space="preserve">i) of their legitimacy, cannot itself be strictly pictorial. This is the real problem with empiricism. The rules that we use to make inferences </w:t>
      </w:r>
      <w:r>
        <w:rPr>
          <w:i/>
        </w:rPr>
        <w:t xml:space="preserve">from </w:t>
      </w:r>
      <w:r>
        <w:t xml:space="preserve">perceptual experience cannot </w:t>
      </w:r>
      <w:r>
        <w:rPr>
          <w:i/>
        </w:rPr>
        <w:t xml:space="preserve">themselves </w:t>
      </w:r>
      <w:r>
        <w:t>be learned strictly on the basis of sense-perception. This will be discussed at length in Chapters 12 and 13.</w:t>
      </w:r>
    </w:p>
    <w:p w14:paraId="7E0008C7" w14:textId="77777777" w:rsidR="009A58DB" w:rsidRDefault="00000000">
      <w:pPr>
        <w:pStyle w:val="Heading1"/>
        <w:numPr>
          <w:ilvl w:val="1"/>
          <w:numId w:val="220"/>
        </w:numPr>
        <w:tabs>
          <w:tab w:val="left" w:pos="990"/>
        </w:tabs>
        <w:spacing w:before="197"/>
      </w:pPr>
      <w:r>
        <w:t>The</w:t>
      </w:r>
      <w:r>
        <w:rPr>
          <w:spacing w:val="-7"/>
        </w:rPr>
        <w:t xml:space="preserve"> </w:t>
      </w:r>
      <w:r>
        <w:t>picture</w:t>
      </w:r>
      <w:r>
        <w:rPr>
          <w:spacing w:val="-4"/>
        </w:rPr>
        <w:t xml:space="preserve"> </w:t>
      </w:r>
      <w:r>
        <w:t>theory</w:t>
      </w:r>
      <w:r>
        <w:rPr>
          <w:spacing w:val="-4"/>
        </w:rPr>
        <w:t xml:space="preserve"> </w:t>
      </w:r>
      <w:r>
        <w:t>of</w:t>
      </w:r>
      <w:r>
        <w:rPr>
          <w:spacing w:val="-4"/>
        </w:rPr>
        <w:t xml:space="preserve"> </w:t>
      </w:r>
      <w:r>
        <w:t>meaning</w:t>
      </w:r>
      <w:r>
        <w:rPr>
          <w:spacing w:val="-3"/>
        </w:rPr>
        <w:t xml:space="preserve"> </w:t>
      </w:r>
      <w:r>
        <w:rPr>
          <w:spacing w:val="-2"/>
        </w:rPr>
        <w:t>(continued)</w:t>
      </w:r>
    </w:p>
    <w:p w14:paraId="7E0008C8" w14:textId="77777777" w:rsidR="009A58DB" w:rsidRDefault="00000000">
      <w:pPr>
        <w:pStyle w:val="BodyText"/>
        <w:spacing w:before="139"/>
      </w:pPr>
      <w:r>
        <w:t>Interestingly,</w:t>
      </w:r>
      <w:r>
        <w:rPr>
          <w:spacing w:val="-6"/>
        </w:rPr>
        <w:t xml:space="preserve"> </w:t>
      </w:r>
      <w:r>
        <w:t>Wittgenstein</w:t>
      </w:r>
      <w:r>
        <w:rPr>
          <w:spacing w:val="-3"/>
        </w:rPr>
        <w:t xml:space="preserve"> </w:t>
      </w:r>
      <w:r>
        <w:t>made</w:t>
      </w:r>
      <w:r>
        <w:rPr>
          <w:spacing w:val="-5"/>
        </w:rPr>
        <w:t xml:space="preserve"> </w:t>
      </w:r>
      <w:r>
        <w:t>points</w:t>
      </w:r>
      <w:r>
        <w:rPr>
          <w:spacing w:val="-4"/>
        </w:rPr>
        <w:t xml:space="preserve"> </w:t>
      </w:r>
      <w:r>
        <w:t>at</w:t>
      </w:r>
      <w:r>
        <w:rPr>
          <w:spacing w:val="-4"/>
        </w:rPr>
        <w:t xml:space="preserve"> </w:t>
      </w:r>
      <w:r>
        <w:t>least</w:t>
      </w:r>
      <w:r>
        <w:rPr>
          <w:spacing w:val="-5"/>
        </w:rPr>
        <w:t xml:space="preserve"> </w:t>
      </w:r>
      <w:r>
        <w:t>vaguely</w:t>
      </w:r>
      <w:r>
        <w:rPr>
          <w:spacing w:val="-3"/>
        </w:rPr>
        <w:t xml:space="preserve"> </w:t>
      </w:r>
      <w:r>
        <w:t>like</w:t>
      </w:r>
      <w:r>
        <w:rPr>
          <w:spacing w:val="-4"/>
        </w:rPr>
        <w:t xml:space="preserve"> </w:t>
      </w:r>
      <w:r>
        <w:t>these</w:t>
      </w:r>
      <w:r>
        <w:rPr>
          <w:spacing w:val="-5"/>
        </w:rPr>
        <w:t xml:space="preserve"> </w:t>
      </w:r>
      <w:r>
        <w:t>in</w:t>
      </w:r>
      <w:r>
        <w:rPr>
          <w:spacing w:val="-3"/>
        </w:rPr>
        <w:t xml:space="preserve"> </w:t>
      </w:r>
      <w:r>
        <w:t>the</w:t>
      </w:r>
      <w:r>
        <w:rPr>
          <w:spacing w:val="-4"/>
        </w:rPr>
        <w:t xml:space="preserve"> TLP:</w:t>
      </w:r>
    </w:p>
    <w:p w14:paraId="7E0008C9" w14:textId="77777777" w:rsidR="009A58DB" w:rsidRDefault="00000000">
      <w:pPr>
        <w:pStyle w:val="BodyText"/>
        <w:spacing w:before="255" w:line="249" w:lineRule="auto"/>
        <w:ind w:left="1230" w:right="1229" w:firstLine="360"/>
      </w:pPr>
      <w:r>
        <w:t>In order to be ale to represent logical form, we should have to</w:t>
      </w:r>
      <w:r>
        <w:rPr>
          <w:spacing w:val="-3"/>
        </w:rPr>
        <w:t xml:space="preserve"> </w:t>
      </w:r>
      <w:r>
        <w:t>be</w:t>
      </w:r>
      <w:r>
        <w:rPr>
          <w:spacing w:val="-3"/>
        </w:rPr>
        <w:t xml:space="preserve"> </w:t>
      </w:r>
      <w:r>
        <w:t>able</w:t>
      </w:r>
      <w:r>
        <w:rPr>
          <w:spacing w:val="-3"/>
        </w:rPr>
        <w:t xml:space="preserve"> </w:t>
      </w:r>
      <w:r>
        <w:t>to</w:t>
      </w:r>
      <w:r>
        <w:rPr>
          <w:spacing w:val="-3"/>
        </w:rPr>
        <w:t xml:space="preserve"> </w:t>
      </w:r>
      <w:r>
        <w:t>station</w:t>
      </w:r>
      <w:r>
        <w:rPr>
          <w:spacing w:val="-3"/>
        </w:rPr>
        <w:t xml:space="preserve"> </w:t>
      </w:r>
      <w:r>
        <w:t>ourselves</w:t>
      </w:r>
      <w:r>
        <w:rPr>
          <w:spacing w:val="-3"/>
        </w:rPr>
        <w:t xml:space="preserve"> </w:t>
      </w:r>
      <w:r>
        <w:t>with</w:t>
      </w:r>
      <w:r>
        <w:rPr>
          <w:spacing w:val="-3"/>
        </w:rPr>
        <w:t xml:space="preserve"> </w:t>
      </w:r>
      <w:r>
        <w:t>sentences</w:t>
      </w:r>
      <w:r>
        <w:rPr>
          <w:spacing w:val="-3"/>
        </w:rPr>
        <w:t xml:space="preserve"> </w:t>
      </w:r>
      <w:r>
        <w:t>outside</w:t>
      </w:r>
      <w:r>
        <w:rPr>
          <w:spacing w:val="-3"/>
        </w:rPr>
        <w:t xml:space="preserve"> </w:t>
      </w:r>
      <w:r>
        <w:t>logic,</w:t>
      </w:r>
      <w:r>
        <w:rPr>
          <w:spacing w:val="-3"/>
        </w:rPr>
        <w:t xml:space="preserve"> </w:t>
      </w:r>
      <w:r>
        <w:t xml:space="preserve">that is to say outside the world. Sentences cannot represent logical form: it is mirrored in them. What finds its reflection in language, language cannot represent. What expresses </w:t>
      </w:r>
      <w:r>
        <w:rPr>
          <w:i/>
        </w:rPr>
        <w:t xml:space="preserve">itself </w:t>
      </w:r>
      <w:r>
        <w:t xml:space="preserve">in language, </w:t>
      </w:r>
      <w:r>
        <w:rPr>
          <w:i/>
        </w:rPr>
        <w:t xml:space="preserve">we </w:t>
      </w:r>
      <w:r>
        <w:t xml:space="preserve">cannot express by means of language. Propositions </w:t>
      </w:r>
      <w:r>
        <w:rPr>
          <w:i/>
        </w:rPr>
        <w:t xml:space="preserve">show </w:t>
      </w:r>
      <w:r>
        <w:t>the logical form of reality. They display it.</w:t>
      </w:r>
    </w:p>
    <w:p w14:paraId="7E0008CA" w14:textId="77777777" w:rsidR="009A58DB" w:rsidRDefault="00000000">
      <w:pPr>
        <w:pStyle w:val="BodyText"/>
        <w:spacing w:before="9" w:line="249" w:lineRule="auto"/>
        <w:ind w:left="1230" w:right="1229" w:firstLine="360"/>
      </w:pPr>
      <w:r>
        <w:t>Thus, if one proposition ‘fa’ shows that the object a occurs in</w:t>
      </w:r>
      <w:r>
        <w:rPr>
          <w:spacing w:val="43"/>
        </w:rPr>
        <w:t xml:space="preserve"> </w:t>
      </w:r>
      <w:r>
        <w:t>its</w:t>
      </w:r>
      <w:r>
        <w:rPr>
          <w:spacing w:val="46"/>
        </w:rPr>
        <w:t xml:space="preserve"> </w:t>
      </w:r>
      <w:r>
        <w:t>sense,</w:t>
      </w:r>
      <w:r>
        <w:rPr>
          <w:spacing w:val="47"/>
        </w:rPr>
        <w:t xml:space="preserve"> </w:t>
      </w:r>
      <w:r>
        <w:t>two</w:t>
      </w:r>
      <w:r>
        <w:rPr>
          <w:spacing w:val="45"/>
        </w:rPr>
        <w:t xml:space="preserve"> </w:t>
      </w:r>
      <w:r>
        <w:t>sentences</w:t>
      </w:r>
      <w:r>
        <w:rPr>
          <w:spacing w:val="47"/>
        </w:rPr>
        <w:t xml:space="preserve"> </w:t>
      </w:r>
      <w:r>
        <w:t>‘fa’</w:t>
      </w:r>
      <w:r>
        <w:rPr>
          <w:spacing w:val="46"/>
        </w:rPr>
        <w:t xml:space="preserve"> </w:t>
      </w:r>
      <w:r>
        <w:t>and</w:t>
      </w:r>
      <w:r>
        <w:rPr>
          <w:spacing w:val="47"/>
        </w:rPr>
        <w:t xml:space="preserve"> </w:t>
      </w:r>
      <w:r>
        <w:t>‘ga’</w:t>
      </w:r>
      <w:r>
        <w:rPr>
          <w:spacing w:val="45"/>
        </w:rPr>
        <w:t xml:space="preserve"> </w:t>
      </w:r>
      <w:r>
        <w:t>show</w:t>
      </w:r>
      <w:r>
        <w:rPr>
          <w:spacing w:val="47"/>
        </w:rPr>
        <w:t xml:space="preserve"> </w:t>
      </w:r>
      <w:r>
        <w:t>that</w:t>
      </w:r>
      <w:r>
        <w:rPr>
          <w:spacing w:val="46"/>
        </w:rPr>
        <w:t xml:space="preserve"> </w:t>
      </w:r>
      <w:r>
        <w:t>the</w:t>
      </w:r>
      <w:r>
        <w:rPr>
          <w:spacing w:val="47"/>
        </w:rPr>
        <w:t xml:space="preserve"> </w:t>
      </w:r>
      <w:r>
        <w:rPr>
          <w:spacing w:val="-4"/>
        </w:rPr>
        <w:t>same</w:t>
      </w:r>
    </w:p>
    <w:p w14:paraId="7E0008C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8CC" w14:textId="77777777" w:rsidR="009A58DB" w:rsidRDefault="00000000">
      <w:pPr>
        <w:pStyle w:val="BodyText"/>
        <w:spacing w:before="61" w:line="252" w:lineRule="auto"/>
        <w:ind w:left="1230" w:right="1228"/>
        <w:rPr>
          <w:position w:val="10"/>
        </w:rPr>
      </w:pPr>
      <w:r>
        <w:lastRenderedPageBreak/>
        <w:t>object is mentioned in both of them. If two sentences</w:t>
      </w:r>
      <w:r>
        <w:rPr>
          <w:spacing w:val="40"/>
        </w:rPr>
        <w:t xml:space="preserve"> </w:t>
      </w:r>
      <w:r>
        <w:t>contradict one another, then their structure shows it; the same</w:t>
      </w:r>
      <w:r>
        <w:rPr>
          <w:spacing w:val="40"/>
        </w:rPr>
        <w:t xml:space="preserve"> </w:t>
      </w:r>
      <w:r>
        <w:t xml:space="preserve">is true if one of them follows from the other. And so on. What </w:t>
      </w:r>
      <w:r>
        <w:rPr>
          <w:i/>
        </w:rPr>
        <w:t xml:space="preserve">can </w:t>
      </w:r>
      <w:r>
        <w:t xml:space="preserve">be shown, </w:t>
      </w:r>
      <w:r>
        <w:rPr>
          <w:i/>
        </w:rPr>
        <w:t xml:space="preserve">cannot </w:t>
      </w:r>
      <w:r>
        <w:t>be said</w:t>
      </w:r>
      <w:bookmarkStart w:id="90" w:name="_bookmark90"/>
      <w:bookmarkEnd w:id="90"/>
      <w:r>
        <w:t>.</w:t>
      </w:r>
      <w:r>
        <w:rPr>
          <w:color w:val="0562C1"/>
          <w:position w:val="10"/>
          <w:u w:val="single" w:color="0562C1"/>
        </w:rPr>
        <w:t>90</w:t>
      </w:r>
    </w:p>
    <w:p w14:paraId="7E0008CD" w14:textId="77777777" w:rsidR="009A58DB" w:rsidRDefault="009A58DB">
      <w:pPr>
        <w:pStyle w:val="BodyText"/>
        <w:spacing w:before="60"/>
        <w:ind w:left="0"/>
        <w:jc w:val="left"/>
      </w:pPr>
    </w:p>
    <w:p w14:paraId="7E0008CE" w14:textId="77777777" w:rsidR="009A58DB" w:rsidRDefault="00000000">
      <w:pPr>
        <w:pStyle w:val="BodyText"/>
        <w:spacing w:line="252" w:lineRule="auto"/>
        <w:ind w:right="361" w:firstLine="360"/>
        <w:rPr>
          <w:position w:val="10"/>
        </w:rPr>
      </w:pPr>
      <w:r>
        <w:t xml:space="preserve">Wittgenstein seems to be saying that we cannot correctly describe the relationship holding between our words and the facts they describe. But, if correct, that point </w:t>
      </w:r>
      <w:r>
        <w:rPr>
          <w:i/>
        </w:rPr>
        <w:t xml:space="preserve">itself </w:t>
      </w:r>
      <w:r>
        <w:t>describes that relationship, calling into question its own coherence.</w:t>
      </w:r>
      <w:bookmarkStart w:id="91" w:name="_bookmark91"/>
      <w:bookmarkEnd w:id="91"/>
      <w:r>
        <w:rPr>
          <w:color w:val="0562C1"/>
          <w:position w:val="10"/>
          <w:u w:val="single" w:color="0562C1"/>
        </w:rPr>
        <w:t>91</w:t>
      </w:r>
    </w:p>
    <w:p w14:paraId="7E0008CF" w14:textId="77777777" w:rsidR="009A58DB" w:rsidRDefault="00000000">
      <w:pPr>
        <w:pStyle w:val="BodyText"/>
        <w:spacing w:line="249" w:lineRule="auto"/>
        <w:ind w:right="359" w:firstLine="360"/>
      </w:pPr>
      <w:r>
        <w:t xml:space="preserve">In any case, contrary to what Wittgenstein says, we </w:t>
      </w:r>
      <w:r>
        <w:rPr>
          <w:i/>
        </w:rPr>
        <w:t xml:space="preserve">can </w:t>
      </w:r>
      <w:r>
        <w:t>identify the</w:t>
      </w:r>
      <w:r>
        <w:rPr>
          <w:spacing w:val="40"/>
        </w:rPr>
        <w:t xml:space="preserve"> </w:t>
      </w:r>
      <w:r>
        <w:t xml:space="preserve">logical forms of our own utterances. To identify the logical form of a statement is simply to make it clear what it means. We can do this. We do it all the time. We do it whenever we put the meanings of words into words. There are </w:t>
      </w:r>
      <w:r>
        <w:rPr>
          <w:i/>
        </w:rPr>
        <w:t>some</w:t>
      </w:r>
      <w:r>
        <w:rPr>
          <w:i/>
          <w:spacing w:val="-3"/>
        </w:rPr>
        <w:t xml:space="preserve"> </w:t>
      </w:r>
      <w:r>
        <w:t>qualifications to this, as we’ll see in a moment, but none that redound to the credit of Wittgenstein’s point.</w:t>
      </w:r>
    </w:p>
    <w:p w14:paraId="7E0008D0" w14:textId="77777777" w:rsidR="009A58DB" w:rsidRDefault="00000000">
      <w:pPr>
        <w:pStyle w:val="BodyText"/>
        <w:spacing w:before="3" w:line="249" w:lineRule="auto"/>
        <w:ind w:right="363" w:firstLine="360"/>
      </w:pPr>
      <w:r>
        <w:t xml:space="preserve">Wittgenstein’s assertion that “what </w:t>
      </w:r>
      <w:r>
        <w:rPr>
          <w:i/>
        </w:rPr>
        <w:t xml:space="preserve">can </w:t>
      </w:r>
      <w:r>
        <w:t xml:space="preserve">be shown, </w:t>
      </w:r>
      <w:r>
        <w:rPr>
          <w:i/>
        </w:rPr>
        <w:t xml:space="preserve">cannot </w:t>
      </w:r>
      <w:r>
        <w:t>be said” is obviously false. I tell you that I can do fifty push-ups. (I say “I can do fifty push-ups.”)</w:t>
      </w:r>
      <w:r>
        <w:rPr>
          <w:spacing w:val="-3"/>
        </w:rPr>
        <w:t xml:space="preserve"> </w:t>
      </w:r>
      <w:r>
        <w:t>You</w:t>
      </w:r>
      <w:r>
        <w:rPr>
          <w:spacing w:val="-2"/>
        </w:rPr>
        <w:t xml:space="preserve"> </w:t>
      </w:r>
      <w:r>
        <w:t>don’t</w:t>
      </w:r>
      <w:r>
        <w:rPr>
          <w:spacing w:val="-3"/>
        </w:rPr>
        <w:t xml:space="preserve"> </w:t>
      </w:r>
      <w:r>
        <w:t>believe</w:t>
      </w:r>
      <w:r>
        <w:rPr>
          <w:spacing w:val="-2"/>
        </w:rPr>
        <w:t xml:space="preserve"> </w:t>
      </w:r>
      <w:r>
        <w:t>me.</w:t>
      </w:r>
      <w:r>
        <w:rPr>
          <w:spacing w:val="-3"/>
        </w:rPr>
        <w:t xml:space="preserve"> </w:t>
      </w:r>
      <w:r>
        <w:t>So</w:t>
      </w:r>
      <w:r>
        <w:rPr>
          <w:spacing w:val="-2"/>
        </w:rPr>
        <w:t xml:space="preserve"> </w:t>
      </w:r>
      <w:r>
        <w:t>I</w:t>
      </w:r>
      <w:r>
        <w:rPr>
          <w:spacing w:val="-2"/>
        </w:rPr>
        <w:t xml:space="preserve"> </w:t>
      </w:r>
      <w:r>
        <w:t>show</w:t>
      </w:r>
      <w:r>
        <w:rPr>
          <w:spacing w:val="-3"/>
        </w:rPr>
        <w:t xml:space="preserve"> </w:t>
      </w:r>
      <w:r>
        <w:t>you</w:t>
      </w:r>
      <w:r>
        <w:rPr>
          <w:spacing w:val="-2"/>
        </w:rPr>
        <w:t xml:space="preserve"> </w:t>
      </w:r>
      <w:r>
        <w:t>that</w:t>
      </w:r>
      <w:r>
        <w:rPr>
          <w:spacing w:val="-3"/>
        </w:rPr>
        <w:t xml:space="preserve"> </w:t>
      </w:r>
      <w:r>
        <w:t>I</w:t>
      </w:r>
      <w:r>
        <w:rPr>
          <w:spacing w:val="-2"/>
        </w:rPr>
        <w:t xml:space="preserve"> </w:t>
      </w:r>
      <w:r>
        <w:t>can</w:t>
      </w:r>
      <w:r>
        <w:rPr>
          <w:spacing w:val="-3"/>
        </w:rPr>
        <w:t xml:space="preserve"> </w:t>
      </w:r>
      <w:r>
        <w:t>do</w:t>
      </w:r>
      <w:r>
        <w:rPr>
          <w:spacing w:val="-2"/>
        </w:rPr>
        <w:t xml:space="preserve"> </w:t>
      </w:r>
      <w:r>
        <w:t>fifty</w:t>
      </w:r>
      <w:r>
        <w:rPr>
          <w:spacing w:val="-2"/>
        </w:rPr>
        <w:t xml:space="preserve"> </w:t>
      </w:r>
      <w:r>
        <w:t>push-ups. (I do fifty push-ups in front of you.) And, as we just saw, that principle holds no less in connection with logical forms than in connection with a person’s ability to do push-ups.</w:t>
      </w:r>
    </w:p>
    <w:p w14:paraId="7E0008D1" w14:textId="77777777" w:rsidR="009A58DB" w:rsidRDefault="00000000">
      <w:pPr>
        <w:pStyle w:val="BodyText"/>
        <w:spacing w:before="8" w:line="249" w:lineRule="auto"/>
        <w:ind w:right="358" w:firstLine="360"/>
      </w:pPr>
      <w:r>
        <w:t>Echoing what we said earlier, although it isn’t clear why Wittgenstein made these claims or what he meant by them, it is clear that they’re</w:t>
      </w:r>
      <w:r>
        <w:rPr>
          <w:spacing w:val="40"/>
        </w:rPr>
        <w:t xml:space="preserve"> </w:t>
      </w:r>
      <w:r>
        <w:t xml:space="preserve">consistent with his view that sentences are pictures of reality. A </w:t>
      </w:r>
      <w:r>
        <w:rPr>
          <w:i/>
        </w:rPr>
        <w:t xml:space="preserve">picture </w:t>
      </w:r>
      <w:r>
        <w:t xml:space="preserve">cannot picture itself. If P is a picture of a seagull, P can’t contain a picture of itself, for the simple reason that nothing can be a proper part of itself. Of course, P might be a picture of a big seagull </w:t>
      </w:r>
      <w:r>
        <w:rPr>
          <w:i/>
        </w:rPr>
        <w:t xml:space="preserve">and also </w:t>
      </w:r>
      <w:r>
        <w:t xml:space="preserve">of some other, much littler, but otherwise identical seagull. But the big-seagull part of the picture isn’t identical with the little-seagull part. The big part contains </w:t>
      </w:r>
      <w:r>
        <w:rPr>
          <w:i/>
        </w:rPr>
        <w:t xml:space="preserve">two </w:t>
      </w:r>
      <w:r>
        <w:t>seagull-images; the little part only contains one.</w:t>
      </w:r>
    </w:p>
    <w:p w14:paraId="7E0008D2" w14:textId="77777777" w:rsidR="009A58DB" w:rsidRDefault="00000000">
      <w:pPr>
        <w:pStyle w:val="BodyText"/>
        <w:spacing w:before="11" w:line="292" w:lineRule="auto"/>
        <w:ind w:right="360" w:firstLine="360"/>
      </w:pPr>
      <w:r>
        <w:t>So i</w:t>
      </w:r>
      <w:r>
        <w:rPr>
          <w:i/>
        </w:rPr>
        <w:t xml:space="preserve">f </w:t>
      </w:r>
      <w:r>
        <w:t>sentences were pictures, then a given sentence S</w:t>
      </w:r>
      <w:r>
        <w:rPr>
          <w:vertAlign w:val="subscript"/>
        </w:rPr>
        <w:t>1</w:t>
      </w:r>
      <w:r>
        <w:t xml:space="preserve"> couldn’t be a picture of itself. But it doesn’t follow that some other picture S</w:t>
      </w:r>
      <w:r>
        <w:rPr>
          <w:vertAlign w:val="subscript"/>
        </w:rPr>
        <w:t>2</w:t>
      </w:r>
      <w:r>
        <w:t xml:space="preserve"> couldn’t be a picture of S</w:t>
      </w:r>
      <w:r>
        <w:rPr>
          <w:vertAlign w:val="subscript"/>
        </w:rPr>
        <w:t>1</w:t>
      </w:r>
      <w:r>
        <w:t xml:space="preserve">. Nor, therefore, does Wittgenstein’s much stronger claim that </w:t>
      </w:r>
      <w:r>
        <w:rPr>
          <w:i/>
        </w:rPr>
        <w:t>nothing</w:t>
      </w:r>
      <w:r>
        <w:t>—no</w:t>
      </w:r>
      <w:r>
        <w:rPr>
          <w:spacing w:val="77"/>
          <w:w w:val="150"/>
        </w:rPr>
        <w:t xml:space="preserve"> </w:t>
      </w:r>
      <w:r>
        <w:t>picture,</w:t>
      </w:r>
      <w:r>
        <w:rPr>
          <w:spacing w:val="78"/>
          <w:w w:val="150"/>
        </w:rPr>
        <w:t xml:space="preserve"> </w:t>
      </w:r>
      <w:r>
        <w:t>no</w:t>
      </w:r>
      <w:r>
        <w:rPr>
          <w:spacing w:val="77"/>
          <w:w w:val="150"/>
        </w:rPr>
        <w:t xml:space="preserve"> </w:t>
      </w:r>
      <w:r>
        <w:t>set</w:t>
      </w:r>
      <w:r>
        <w:rPr>
          <w:spacing w:val="78"/>
          <w:w w:val="150"/>
        </w:rPr>
        <w:t xml:space="preserve"> </w:t>
      </w:r>
      <w:r>
        <w:t>of</w:t>
      </w:r>
      <w:r>
        <w:rPr>
          <w:spacing w:val="77"/>
          <w:w w:val="150"/>
        </w:rPr>
        <w:t xml:space="preserve"> </w:t>
      </w:r>
      <w:r>
        <w:t>pictures,</w:t>
      </w:r>
      <w:r>
        <w:rPr>
          <w:spacing w:val="78"/>
          <w:w w:val="150"/>
        </w:rPr>
        <w:t xml:space="preserve"> </w:t>
      </w:r>
      <w:r>
        <w:t>no</w:t>
      </w:r>
      <w:r>
        <w:rPr>
          <w:spacing w:val="77"/>
          <w:w w:val="150"/>
        </w:rPr>
        <w:t xml:space="preserve"> </w:t>
      </w:r>
      <w:r>
        <w:t>sentence—could</w:t>
      </w:r>
      <w:r>
        <w:rPr>
          <w:spacing w:val="78"/>
          <w:w w:val="150"/>
        </w:rPr>
        <w:t xml:space="preserve"> </w:t>
      </w:r>
      <w:r>
        <w:t>depict</w:t>
      </w:r>
      <w:r>
        <w:rPr>
          <w:spacing w:val="77"/>
          <w:w w:val="150"/>
        </w:rPr>
        <w:t xml:space="preserve"> </w:t>
      </w:r>
      <w:r>
        <w:rPr>
          <w:spacing w:val="-5"/>
        </w:rPr>
        <w:t>or</w:t>
      </w:r>
    </w:p>
    <w:p w14:paraId="7E0008D3"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08D4" w14:textId="77777777" w:rsidR="009A58DB" w:rsidRDefault="00000000">
      <w:pPr>
        <w:pStyle w:val="BodyText"/>
        <w:spacing w:before="65" w:line="249" w:lineRule="auto"/>
        <w:ind w:right="370"/>
      </w:pPr>
      <w:r>
        <w:lastRenderedPageBreak/>
        <w:t>otherwise represent the rules by which true statements are paired off with the facts they described.</w:t>
      </w:r>
    </w:p>
    <w:p w14:paraId="7E0008D5" w14:textId="77777777" w:rsidR="009A58DB" w:rsidRDefault="00000000">
      <w:pPr>
        <w:pStyle w:val="BodyText"/>
        <w:spacing w:before="2" w:line="249" w:lineRule="auto"/>
        <w:ind w:right="359" w:firstLine="360"/>
      </w:pPr>
      <w:r>
        <w:t xml:space="preserve">Wittgenstein’s claim that we cannot state the logical forms of sentences, which collapses into the brazenly false claim that we can never say what our words mean, has two roots. One of them is his just-discussed belief that sentences are pictures of the facts they describe. The other is his not yet discussed belief that, if it’s assumed that we </w:t>
      </w:r>
      <w:r>
        <w:rPr>
          <w:i/>
        </w:rPr>
        <w:t xml:space="preserve">can </w:t>
      </w:r>
      <w:r>
        <w:t xml:space="preserve">say what our words mean, we have no way of dealing with paradoxes like the following. If somebody </w:t>
      </w:r>
      <w:r>
        <w:rPr>
          <w:spacing w:val="-2"/>
        </w:rPr>
        <w:t>says:</w:t>
      </w:r>
    </w:p>
    <w:p w14:paraId="7E0008D6" w14:textId="77777777" w:rsidR="009A58DB" w:rsidRDefault="009A58DB">
      <w:pPr>
        <w:pStyle w:val="BodyText"/>
        <w:spacing w:before="24"/>
        <w:ind w:left="0"/>
        <w:jc w:val="left"/>
      </w:pPr>
    </w:p>
    <w:p w14:paraId="7E0008D7" w14:textId="77777777" w:rsidR="009A58DB" w:rsidRDefault="00000000">
      <w:pPr>
        <w:pStyle w:val="ListParagraph"/>
        <w:numPr>
          <w:ilvl w:val="0"/>
          <w:numId w:val="3"/>
        </w:numPr>
        <w:tabs>
          <w:tab w:val="left" w:pos="715"/>
        </w:tabs>
        <w:ind w:left="715" w:hanging="355"/>
        <w:jc w:val="both"/>
        <w:rPr>
          <w:sz w:val="30"/>
        </w:rPr>
      </w:pPr>
      <w:r>
        <w:rPr>
          <w:sz w:val="30"/>
        </w:rPr>
        <w:t>“what</w:t>
      </w:r>
      <w:r>
        <w:rPr>
          <w:spacing w:val="-4"/>
          <w:sz w:val="30"/>
        </w:rPr>
        <w:t xml:space="preserve"> </w:t>
      </w:r>
      <w:r>
        <w:rPr>
          <w:sz w:val="30"/>
        </w:rPr>
        <w:t>I’m</w:t>
      </w:r>
      <w:r>
        <w:rPr>
          <w:spacing w:val="-3"/>
          <w:sz w:val="30"/>
        </w:rPr>
        <w:t xml:space="preserve"> </w:t>
      </w:r>
      <w:r>
        <w:rPr>
          <w:sz w:val="30"/>
        </w:rPr>
        <w:t>saying</w:t>
      </w:r>
      <w:r>
        <w:rPr>
          <w:spacing w:val="-2"/>
          <w:sz w:val="30"/>
        </w:rPr>
        <w:t xml:space="preserve"> </w:t>
      </w:r>
      <w:r>
        <w:rPr>
          <w:sz w:val="30"/>
        </w:rPr>
        <w:t>is</w:t>
      </w:r>
      <w:r>
        <w:rPr>
          <w:spacing w:val="-3"/>
          <w:sz w:val="30"/>
        </w:rPr>
        <w:t xml:space="preserve"> </w:t>
      </w:r>
      <w:r>
        <w:rPr>
          <w:spacing w:val="-2"/>
          <w:sz w:val="30"/>
        </w:rPr>
        <w:t>false,”</w:t>
      </w:r>
    </w:p>
    <w:p w14:paraId="7E0008D8" w14:textId="77777777" w:rsidR="009A58DB" w:rsidRDefault="009A58DB">
      <w:pPr>
        <w:pStyle w:val="BodyText"/>
        <w:spacing w:before="30"/>
        <w:ind w:left="0"/>
        <w:jc w:val="left"/>
      </w:pPr>
    </w:p>
    <w:p w14:paraId="7E0008D9" w14:textId="77777777" w:rsidR="009A58DB" w:rsidRDefault="00000000">
      <w:pPr>
        <w:pStyle w:val="BodyText"/>
        <w:spacing w:line="252" w:lineRule="auto"/>
        <w:ind w:right="358"/>
        <w:rPr>
          <w:position w:val="10"/>
        </w:rPr>
      </w:pPr>
      <w:r>
        <w:t>what that person is saying is true if it’s false and false if it’s true.</w:t>
      </w:r>
      <w:r>
        <w:rPr>
          <w:spacing w:val="40"/>
        </w:rPr>
        <w:t xml:space="preserve"> </w:t>
      </w:r>
      <w:r>
        <w:t>Wittgenstein was keenly interested in this paradox during his pre-Tractarian years</w:t>
      </w:r>
      <w:bookmarkStart w:id="92" w:name="_bookmark92"/>
      <w:bookmarkEnd w:id="92"/>
      <w:r>
        <w:t>.</w:t>
      </w:r>
      <w:r>
        <w:rPr>
          <w:color w:val="0562C1"/>
          <w:position w:val="10"/>
          <w:u w:val="single" w:color="0562C1"/>
        </w:rPr>
        <w:t>92</w:t>
      </w:r>
      <w:r>
        <w:rPr>
          <w:color w:val="0562C1"/>
          <w:position w:val="10"/>
        </w:rPr>
        <w:t xml:space="preserve"> </w:t>
      </w:r>
      <w:r>
        <w:t xml:space="preserve">His reaction to it, it appears, was to hold that </w:t>
      </w:r>
      <w:r>
        <w:rPr>
          <w:i/>
        </w:rPr>
        <w:t xml:space="preserve">any </w:t>
      </w:r>
      <w:r>
        <w:t>attempt to articulate semantic rules would self-refer in the same the same paradox-engendering way as (i) and, therefore, that such rules cannot possibly be put into words.</w:t>
      </w:r>
      <w:bookmarkStart w:id="93" w:name="_bookmark93"/>
      <w:bookmarkEnd w:id="93"/>
      <w:r>
        <w:rPr>
          <w:color w:val="0562C1"/>
          <w:position w:val="10"/>
          <w:u w:val="single" w:color="0562C1"/>
        </w:rPr>
        <w:t>93</w:t>
      </w:r>
    </w:p>
    <w:p w14:paraId="7E0008DA" w14:textId="77777777" w:rsidR="009A58DB" w:rsidRDefault="00000000">
      <w:pPr>
        <w:pStyle w:val="BodyText"/>
        <w:spacing w:line="249" w:lineRule="auto"/>
        <w:ind w:right="363" w:firstLine="360"/>
      </w:pPr>
      <w:r>
        <w:t>But this is not good reasoning. When I say, while pointing at the person exiting the limo, “that’s Mick Jagger,” I’m stating a semantic rule. There is some individual x such that I am saying (correctly, we may suppose) that it’s a semantic rule that “Mick Jagger” refers to x. The semantic rule I’m expressing doesn’t self-refer and isn’t otherwise defective.</w:t>
      </w:r>
    </w:p>
    <w:p w14:paraId="7E0008DB" w14:textId="77777777" w:rsidR="009A58DB" w:rsidRDefault="00000000">
      <w:pPr>
        <w:pStyle w:val="BodyText"/>
        <w:spacing w:before="3" w:line="249" w:lineRule="auto"/>
        <w:ind w:right="360" w:firstLine="360"/>
      </w:pPr>
      <w:r>
        <w:t xml:space="preserve">As we’ll see in a moment, there are reasons to think that </w:t>
      </w:r>
      <w:r>
        <w:rPr>
          <w:i/>
        </w:rPr>
        <w:t xml:space="preserve">some </w:t>
      </w:r>
      <w:r>
        <w:t xml:space="preserve">semantic rules cannot be put into words, and Wittgenstein seems to have had at least a vague knowledge of some of them. But given only that </w:t>
      </w:r>
      <w:r>
        <w:rPr>
          <w:i/>
        </w:rPr>
        <w:t xml:space="preserve">some </w:t>
      </w:r>
      <w:r>
        <w:t xml:space="preserve">semantic rules can be put into words, it obviously doesn’t follow, contrary to what Wittgenstein seems to have inferred, that </w:t>
      </w:r>
      <w:r>
        <w:rPr>
          <w:i/>
        </w:rPr>
        <w:t xml:space="preserve">no </w:t>
      </w:r>
      <w:r>
        <w:t xml:space="preserve">semantic rules can be put into </w:t>
      </w:r>
      <w:r>
        <w:rPr>
          <w:spacing w:val="-2"/>
        </w:rPr>
        <w:t>words.</w:t>
      </w:r>
    </w:p>
    <w:p w14:paraId="7E0008DC" w14:textId="77777777" w:rsidR="009A58DB" w:rsidRDefault="00000000">
      <w:pPr>
        <w:pStyle w:val="BodyText"/>
        <w:spacing w:before="7" w:line="249" w:lineRule="auto"/>
        <w:ind w:right="360" w:firstLine="360"/>
      </w:pPr>
      <w:r>
        <w:t xml:space="preserve">Having spent pages dwelling on the shortcomings of the </w:t>
      </w:r>
      <w:r>
        <w:rPr>
          <w:i/>
        </w:rPr>
        <w:t xml:space="preserve">Tractatus, </w:t>
      </w:r>
      <w:r>
        <w:t>let’s end this section on a sunnier and more constructive note.</w:t>
      </w:r>
    </w:p>
    <w:p w14:paraId="7E0008DD" w14:textId="77777777" w:rsidR="009A58DB" w:rsidRDefault="00000000">
      <w:pPr>
        <w:pStyle w:val="BodyText"/>
        <w:spacing w:before="2" w:line="249" w:lineRule="auto"/>
        <w:ind w:right="367" w:firstLine="360"/>
      </w:pPr>
      <w:r>
        <w:t>It is often said that truth is indefinable. Many people say this without meaning</w:t>
      </w:r>
      <w:r>
        <w:rPr>
          <w:spacing w:val="-1"/>
        </w:rPr>
        <w:t xml:space="preserve"> </w:t>
      </w:r>
      <w:r>
        <w:t>anything</w:t>
      </w:r>
      <w:r>
        <w:rPr>
          <w:spacing w:val="-1"/>
        </w:rPr>
        <w:t xml:space="preserve"> </w:t>
      </w:r>
      <w:r>
        <w:t>by</w:t>
      </w:r>
      <w:r>
        <w:rPr>
          <w:spacing w:val="-1"/>
        </w:rPr>
        <w:t xml:space="preserve"> </w:t>
      </w:r>
      <w:r>
        <w:t>it.</w:t>
      </w:r>
      <w:r>
        <w:rPr>
          <w:spacing w:val="-1"/>
        </w:rPr>
        <w:t xml:space="preserve"> </w:t>
      </w:r>
      <w:r>
        <w:t>Setting</w:t>
      </w:r>
      <w:r>
        <w:rPr>
          <w:spacing w:val="-1"/>
        </w:rPr>
        <w:t xml:space="preserve"> </w:t>
      </w:r>
      <w:r>
        <w:t>such</w:t>
      </w:r>
      <w:r>
        <w:rPr>
          <w:spacing w:val="-1"/>
        </w:rPr>
        <w:t xml:space="preserve"> </w:t>
      </w:r>
      <w:r>
        <w:t>people</w:t>
      </w:r>
      <w:r>
        <w:rPr>
          <w:spacing w:val="-1"/>
        </w:rPr>
        <w:t xml:space="preserve"> </w:t>
      </w:r>
      <w:r>
        <w:t>aside,</w:t>
      </w:r>
      <w:r>
        <w:rPr>
          <w:spacing w:val="-1"/>
        </w:rPr>
        <w:t xml:space="preserve"> </w:t>
      </w:r>
      <w:r>
        <w:t>those</w:t>
      </w:r>
      <w:r>
        <w:rPr>
          <w:spacing w:val="-1"/>
        </w:rPr>
        <w:t xml:space="preserve"> </w:t>
      </w:r>
      <w:r>
        <w:t>who</w:t>
      </w:r>
      <w:r>
        <w:rPr>
          <w:spacing w:val="-1"/>
        </w:rPr>
        <w:t xml:space="preserve"> </w:t>
      </w:r>
      <w:r>
        <w:t>say</w:t>
      </w:r>
      <w:r>
        <w:rPr>
          <w:spacing w:val="-1"/>
        </w:rPr>
        <w:t xml:space="preserve"> </w:t>
      </w:r>
      <w:r>
        <w:t>this</w:t>
      </w:r>
      <w:r>
        <w:rPr>
          <w:spacing w:val="-1"/>
        </w:rPr>
        <w:t xml:space="preserve"> </w:t>
      </w:r>
      <w:r>
        <w:t>seem</w:t>
      </w:r>
      <w:r>
        <w:rPr>
          <w:spacing w:val="-1"/>
        </w:rPr>
        <w:t xml:space="preserve"> </w:t>
      </w:r>
      <w:r>
        <w:t>to mean</w:t>
      </w:r>
      <w:r>
        <w:rPr>
          <w:spacing w:val="9"/>
        </w:rPr>
        <w:t xml:space="preserve"> </w:t>
      </w:r>
      <w:r>
        <w:t>either</w:t>
      </w:r>
      <w:r>
        <w:rPr>
          <w:spacing w:val="9"/>
        </w:rPr>
        <w:t xml:space="preserve"> </w:t>
      </w:r>
      <w:r>
        <w:t>(a)</w:t>
      </w:r>
      <w:r>
        <w:rPr>
          <w:spacing w:val="9"/>
        </w:rPr>
        <w:t xml:space="preserve"> </w:t>
      </w:r>
      <w:r>
        <w:t>that</w:t>
      </w:r>
      <w:r>
        <w:rPr>
          <w:spacing w:val="9"/>
        </w:rPr>
        <w:t xml:space="preserve"> </w:t>
      </w:r>
      <w:r>
        <w:t>it</w:t>
      </w:r>
      <w:r>
        <w:rPr>
          <w:spacing w:val="10"/>
        </w:rPr>
        <w:t xml:space="preserve"> </w:t>
      </w:r>
      <w:r>
        <w:t>cannot</w:t>
      </w:r>
      <w:r>
        <w:rPr>
          <w:spacing w:val="9"/>
        </w:rPr>
        <w:t xml:space="preserve"> </w:t>
      </w:r>
      <w:r>
        <w:t>be</w:t>
      </w:r>
      <w:r>
        <w:rPr>
          <w:spacing w:val="9"/>
        </w:rPr>
        <w:t xml:space="preserve"> </w:t>
      </w:r>
      <w:r>
        <w:t>said</w:t>
      </w:r>
      <w:r>
        <w:rPr>
          <w:spacing w:val="9"/>
        </w:rPr>
        <w:t xml:space="preserve"> </w:t>
      </w:r>
      <w:r>
        <w:t>what</w:t>
      </w:r>
      <w:r>
        <w:rPr>
          <w:spacing w:val="10"/>
        </w:rPr>
        <w:t xml:space="preserve"> </w:t>
      </w:r>
      <w:r>
        <w:t>it</w:t>
      </w:r>
      <w:r>
        <w:rPr>
          <w:spacing w:val="9"/>
        </w:rPr>
        <w:t xml:space="preserve"> </w:t>
      </w:r>
      <w:r>
        <w:t>is</w:t>
      </w:r>
      <w:r>
        <w:rPr>
          <w:spacing w:val="9"/>
        </w:rPr>
        <w:t xml:space="preserve"> </w:t>
      </w:r>
      <w:r>
        <w:t>for</w:t>
      </w:r>
      <w:r>
        <w:rPr>
          <w:spacing w:val="9"/>
        </w:rPr>
        <w:t xml:space="preserve"> </w:t>
      </w:r>
      <w:r>
        <w:t>a</w:t>
      </w:r>
      <w:r>
        <w:rPr>
          <w:spacing w:val="10"/>
        </w:rPr>
        <w:t xml:space="preserve"> </w:t>
      </w:r>
      <w:r>
        <w:t>proposition</w:t>
      </w:r>
      <w:r>
        <w:rPr>
          <w:spacing w:val="9"/>
        </w:rPr>
        <w:t xml:space="preserve"> </w:t>
      </w:r>
      <w:r>
        <w:t>to</w:t>
      </w:r>
      <w:r>
        <w:rPr>
          <w:spacing w:val="9"/>
        </w:rPr>
        <w:t xml:space="preserve"> </w:t>
      </w:r>
      <w:r>
        <w:t>be</w:t>
      </w:r>
      <w:r>
        <w:rPr>
          <w:spacing w:val="9"/>
        </w:rPr>
        <w:t xml:space="preserve"> </w:t>
      </w:r>
      <w:r>
        <w:t>true</w:t>
      </w:r>
      <w:r>
        <w:rPr>
          <w:spacing w:val="10"/>
        </w:rPr>
        <w:t xml:space="preserve"> </w:t>
      </w:r>
      <w:r>
        <w:rPr>
          <w:spacing w:val="-5"/>
        </w:rPr>
        <w:t>or</w:t>
      </w:r>
    </w:p>
    <w:p w14:paraId="7E0008DE" w14:textId="77777777" w:rsidR="009A58DB" w:rsidRDefault="00000000">
      <w:pPr>
        <w:pStyle w:val="BodyText"/>
        <w:spacing w:before="4"/>
      </w:pPr>
      <w:r>
        <w:t>(b)</w:t>
      </w:r>
      <w:r>
        <w:rPr>
          <w:spacing w:val="5"/>
        </w:rPr>
        <w:t xml:space="preserve"> </w:t>
      </w:r>
      <w:r>
        <w:t>that</w:t>
      </w:r>
      <w:r>
        <w:rPr>
          <w:spacing w:val="8"/>
        </w:rPr>
        <w:t xml:space="preserve"> </w:t>
      </w:r>
      <w:r>
        <w:t>no</w:t>
      </w:r>
      <w:r>
        <w:rPr>
          <w:spacing w:val="8"/>
        </w:rPr>
        <w:t xml:space="preserve"> </w:t>
      </w:r>
      <w:r>
        <w:t>language</w:t>
      </w:r>
      <w:r>
        <w:rPr>
          <w:spacing w:val="8"/>
        </w:rPr>
        <w:t xml:space="preserve"> </w:t>
      </w:r>
      <w:r>
        <w:t>can</w:t>
      </w:r>
      <w:r>
        <w:rPr>
          <w:spacing w:val="8"/>
        </w:rPr>
        <w:t xml:space="preserve"> </w:t>
      </w:r>
      <w:r>
        <w:t>state</w:t>
      </w:r>
      <w:r>
        <w:rPr>
          <w:spacing w:val="8"/>
        </w:rPr>
        <w:t xml:space="preserve"> </w:t>
      </w:r>
      <w:r>
        <w:t>all</w:t>
      </w:r>
      <w:r>
        <w:rPr>
          <w:spacing w:val="8"/>
        </w:rPr>
        <w:t xml:space="preserve"> </w:t>
      </w:r>
      <w:r>
        <w:t>of</w:t>
      </w:r>
      <w:r>
        <w:rPr>
          <w:spacing w:val="8"/>
        </w:rPr>
        <w:t xml:space="preserve"> </w:t>
      </w:r>
      <w:r>
        <w:t>the</w:t>
      </w:r>
      <w:r>
        <w:rPr>
          <w:spacing w:val="8"/>
        </w:rPr>
        <w:t xml:space="preserve"> </w:t>
      </w:r>
      <w:r>
        <w:t>semantic</w:t>
      </w:r>
      <w:r>
        <w:rPr>
          <w:spacing w:val="8"/>
        </w:rPr>
        <w:t xml:space="preserve"> </w:t>
      </w:r>
      <w:r>
        <w:t>rules</w:t>
      </w:r>
      <w:r>
        <w:rPr>
          <w:spacing w:val="8"/>
        </w:rPr>
        <w:t xml:space="preserve"> </w:t>
      </w:r>
      <w:r>
        <w:t>that</w:t>
      </w:r>
      <w:r>
        <w:rPr>
          <w:spacing w:val="8"/>
        </w:rPr>
        <w:t xml:space="preserve"> </w:t>
      </w:r>
      <w:r>
        <w:t>belong</w:t>
      </w:r>
      <w:r>
        <w:rPr>
          <w:spacing w:val="8"/>
        </w:rPr>
        <w:t xml:space="preserve"> </w:t>
      </w:r>
      <w:r>
        <w:t>to</w:t>
      </w:r>
      <w:r>
        <w:rPr>
          <w:spacing w:val="8"/>
        </w:rPr>
        <w:t xml:space="preserve"> </w:t>
      </w:r>
      <w:r>
        <w:t>it.</w:t>
      </w:r>
      <w:r>
        <w:rPr>
          <w:spacing w:val="8"/>
        </w:rPr>
        <w:t xml:space="preserve"> </w:t>
      </w:r>
      <w:r>
        <w:t>(a)</w:t>
      </w:r>
      <w:r>
        <w:rPr>
          <w:spacing w:val="8"/>
        </w:rPr>
        <w:t xml:space="preserve"> </w:t>
      </w:r>
      <w:r>
        <w:rPr>
          <w:spacing w:val="-5"/>
        </w:rPr>
        <w:t>is</w:t>
      </w:r>
    </w:p>
    <w:p w14:paraId="7E0008DF" w14:textId="77777777" w:rsidR="009A58DB" w:rsidRDefault="009A58DB">
      <w:pPr>
        <w:pStyle w:val="BodyText"/>
        <w:sectPr w:rsidR="009A58DB">
          <w:pgSz w:w="12240" w:h="15840"/>
          <w:pgMar w:top="1380" w:right="1080" w:bottom="280" w:left="1080" w:header="720" w:footer="720" w:gutter="0"/>
          <w:cols w:space="720"/>
        </w:sectPr>
      </w:pPr>
    </w:p>
    <w:p w14:paraId="7E0008E0" w14:textId="77777777" w:rsidR="009A58DB" w:rsidRDefault="00000000">
      <w:pPr>
        <w:pStyle w:val="BodyText"/>
        <w:spacing w:before="65"/>
      </w:pPr>
      <w:r>
        <w:lastRenderedPageBreak/>
        <w:t>false.</w:t>
      </w:r>
      <w:r>
        <w:rPr>
          <w:spacing w:val="-5"/>
        </w:rPr>
        <w:t xml:space="preserve"> </w:t>
      </w:r>
      <w:r>
        <w:t>(See</w:t>
      </w:r>
      <w:r>
        <w:rPr>
          <w:spacing w:val="-3"/>
        </w:rPr>
        <w:t xml:space="preserve"> </w:t>
      </w:r>
      <w:r>
        <w:t>Chapter</w:t>
      </w:r>
      <w:r>
        <w:rPr>
          <w:spacing w:val="-3"/>
        </w:rPr>
        <w:t xml:space="preserve"> </w:t>
      </w:r>
      <w:r>
        <w:t>3.)</w:t>
      </w:r>
      <w:r>
        <w:rPr>
          <w:spacing w:val="-3"/>
        </w:rPr>
        <w:t xml:space="preserve"> </w:t>
      </w:r>
      <w:r>
        <w:t>But</w:t>
      </w:r>
      <w:r>
        <w:rPr>
          <w:spacing w:val="-3"/>
        </w:rPr>
        <w:t xml:space="preserve"> </w:t>
      </w:r>
      <w:r>
        <w:t>(b)</w:t>
      </w:r>
      <w:r>
        <w:rPr>
          <w:spacing w:val="-3"/>
        </w:rPr>
        <w:t xml:space="preserve"> </w:t>
      </w:r>
      <w:r>
        <w:t>is</w:t>
      </w:r>
      <w:r>
        <w:rPr>
          <w:spacing w:val="-3"/>
        </w:rPr>
        <w:t xml:space="preserve"> </w:t>
      </w:r>
      <w:r>
        <w:rPr>
          <w:spacing w:val="-4"/>
        </w:rPr>
        <w:t>true.</w:t>
      </w:r>
    </w:p>
    <w:p w14:paraId="7E0008E1" w14:textId="77777777" w:rsidR="009A58DB" w:rsidRDefault="00000000">
      <w:pPr>
        <w:pStyle w:val="BodyText"/>
        <w:spacing w:before="15" w:line="249" w:lineRule="auto"/>
        <w:ind w:right="362" w:firstLine="360"/>
      </w:pPr>
      <w:r>
        <w:t xml:space="preserve">(b) isn’t the absurd claim that no language can state </w:t>
      </w:r>
      <w:r>
        <w:rPr>
          <w:i/>
        </w:rPr>
        <w:t xml:space="preserve">any </w:t>
      </w:r>
      <w:r>
        <w:t xml:space="preserve">of its own semantic rules. Every time one uses an English sentence to define an English expression, one is expressing a semantic rule of English in English. But neither the English language, nor any other, can state </w:t>
      </w:r>
      <w:r>
        <w:rPr>
          <w:i/>
        </w:rPr>
        <w:t xml:space="preserve">all </w:t>
      </w:r>
      <w:r>
        <w:t>of its own semantic rules. Here’s why.</w:t>
      </w:r>
    </w:p>
    <w:p w14:paraId="7E0008E2" w14:textId="77777777" w:rsidR="009A58DB" w:rsidRDefault="00000000">
      <w:pPr>
        <w:pStyle w:val="BodyText"/>
        <w:spacing w:before="6" w:line="249" w:lineRule="auto"/>
        <w:ind w:right="358" w:firstLine="360"/>
        <w:rPr>
          <w:position w:val="10"/>
        </w:rPr>
      </w:pPr>
      <w:r>
        <w:t xml:space="preserve">Given any meaningful expressions, there is a semantic rule r saying what s’s meaning is. (This is trivially true. A meaningful expression is one that has a meaning and is therefore one such that some true proposition identifies that meaning; and any proposition that, like r, says what an expression means is </w:t>
      </w:r>
      <w:r>
        <w:rPr>
          <w:i/>
        </w:rPr>
        <w:t>ipso facto</w:t>
      </w:r>
      <w:r>
        <w:rPr>
          <w:i/>
          <w:spacing w:val="80"/>
        </w:rPr>
        <w:t xml:space="preserve"> </w:t>
      </w:r>
      <w:r>
        <w:t>a semantic rule.) So, for example, supposing that x is Dick Cheney, there is a semantic rule of English to the effect that “Dick Cheney” refers</w:t>
      </w:r>
      <w:r>
        <w:rPr>
          <w:spacing w:val="-3"/>
        </w:rPr>
        <w:t xml:space="preserve"> </w:t>
      </w:r>
      <w:r>
        <w:t>to</w:t>
      </w:r>
      <w:r>
        <w:rPr>
          <w:spacing w:val="-2"/>
        </w:rPr>
        <w:t xml:space="preserve"> </w:t>
      </w:r>
      <w:r>
        <w:t>x.</w:t>
      </w:r>
      <w:r>
        <w:rPr>
          <w:spacing w:val="-2"/>
        </w:rPr>
        <w:t xml:space="preserve"> </w:t>
      </w:r>
      <w:r>
        <w:t>That</w:t>
      </w:r>
      <w:r>
        <w:rPr>
          <w:spacing w:val="-3"/>
        </w:rPr>
        <w:t xml:space="preserve"> </w:t>
      </w:r>
      <w:r>
        <w:t>rule</w:t>
      </w:r>
      <w:r>
        <w:rPr>
          <w:spacing w:val="-3"/>
        </w:rPr>
        <w:t xml:space="preserve"> </w:t>
      </w:r>
      <w:r>
        <w:t>is</w:t>
      </w:r>
      <w:r>
        <w:rPr>
          <w:spacing w:val="-3"/>
        </w:rPr>
        <w:t xml:space="preserve"> </w:t>
      </w:r>
      <w:r>
        <w:t>not</w:t>
      </w:r>
      <w:r>
        <w:rPr>
          <w:spacing w:val="-3"/>
        </w:rPr>
        <w:t xml:space="preserve"> </w:t>
      </w:r>
      <w:r>
        <w:rPr>
          <w:i/>
        </w:rPr>
        <w:t>itself</w:t>
      </w:r>
      <w:r>
        <w:rPr>
          <w:i/>
          <w:spacing w:val="-3"/>
        </w:rPr>
        <w:t xml:space="preserve"> </w:t>
      </w:r>
      <w:r>
        <w:t>a</w:t>
      </w:r>
      <w:r>
        <w:rPr>
          <w:spacing w:val="-3"/>
        </w:rPr>
        <w:t xml:space="preserve"> </w:t>
      </w:r>
      <w:r>
        <w:t>sentence.</w:t>
      </w:r>
      <w:r>
        <w:rPr>
          <w:spacing w:val="-2"/>
        </w:rPr>
        <w:t xml:space="preserve"> </w:t>
      </w:r>
      <w:r>
        <w:t>But</w:t>
      </w:r>
      <w:r>
        <w:rPr>
          <w:spacing w:val="-3"/>
        </w:rPr>
        <w:t xml:space="preserve"> </w:t>
      </w:r>
      <w:r>
        <w:t>it</w:t>
      </w:r>
      <w:r>
        <w:rPr>
          <w:spacing w:val="-3"/>
        </w:rPr>
        <w:t xml:space="preserve"> </w:t>
      </w:r>
      <w:r>
        <w:t>can</w:t>
      </w:r>
      <w:r>
        <w:rPr>
          <w:spacing w:val="-2"/>
        </w:rPr>
        <w:t xml:space="preserve"> </w:t>
      </w:r>
      <w:r>
        <w:t>obviously</w:t>
      </w:r>
      <w:r>
        <w:rPr>
          <w:spacing w:val="-2"/>
        </w:rPr>
        <w:t xml:space="preserve"> </w:t>
      </w:r>
      <w:r>
        <w:t>be</w:t>
      </w:r>
      <w:r>
        <w:rPr>
          <w:spacing w:val="-3"/>
        </w:rPr>
        <w:t xml:space="preserve"> </w:t>
      </w:r>
      <w:r>
        <w:t>expressed by a sentence (as we just saw). In general, semantic rules, though often capable of being expressed by sentences, are not themselves sentences. In light of this fact, suppose for argument’s sake that, for each semantic rule of English, there is a sentence of English that expresses that rule. Let K be the class containing all and only sentences of English that correctly express</w:t>
      </w:r>
      <w:r>
        <w:rPr>
          <w:spacing w:val="40"/>
        </w:rPr>
        <w:t xml:space="preserve"> </w:t>
      </w:r>
      <w:r>
        <w:t>actual semantic rules of English. Let SRE be the conjunction of all of K’s members.</w:t>
      </w:r>
      <w:r>
        <w:rPr>
          <w:spacing w:val="-1"/>
        </w:rPr>
        <w:t xml:space="preserve"> </w:t>
      </w:r>
      <w:r>
        <w:t>SRE</w:t>
      </w:r>
      <w:r>
        <w:rPr>
          <w:spacing w:val="-1"/>
        </w:rPr>
        <w:t xml:space="preserve"> </w:t>
      </w:r>
      <w:r>
        <w:t>is</w:t>
      </w:r>
      <w:r>
        <w:rPr>
          <w:spacing w:val="-1"/>
        </w:rPr>
        <w:t xml:space="preserve"> </w:t>
      </w:r>
      <w:r>
        <w:t>a</w:t>
      </w:r>
      <w:r>
        <w:rPr>
          <w:spacing w:val="-1"/>
        </w:rPr>
        <w:t xml:space="preserve"> </w:t>
      </w:r>
      <w:r>
        <w:t>true</w:t>
      </w:r>
      <w:r>
        <w:rPr>
          <w:spacing w:val="-1"/>
        </w:rPr>
        <w:t xml:space="preserve"> </w:t>
      </w:r>
      <w:r>
        <w:t>and</w:t>
      </w:r>
      <w:r>
        <w:rPr>
          <w:spacing w:val="-1"/>
        </w:rPr>
        <w:t xml:space="preserve"> </w:t>
      </w:r>
      <w:r>
        <w:t>therefore</w:t>
      </w:r>
      <w:r>
        <w:rPr>
          <w:spacing w:val="-1"/>
        </w:rPr>
        <w:t xml:space="preserve"> </w:t>
      </w:r>
      <w:r>
        <w:t>meaningful</w:t>
      </w:r>
      <w:r>
        <w:rPr>
          <w:spacing w:val="-1"/>
        </w:rPr>
        <w:t xml:space="preserve"> </w:t>
      </w:r>
      <w:r>
        <w:t>sentence</w:t>
      </w:r>
      <w:r>
        <w:rPr>
          <w:spacing w:val="-1"/>
        </w:rPr>
        <w:t xml:space="preserve"> </w:t>
      </w:r>
      <w:r>
        <w:t>of</w:t>
      </w:r>
      <w:r>
        <w:rPr>
          <w:spacing w:val="-1"/>
        </w:rPr>
        <w:t xml:space="preserve"> </w:t>
      </w:r>
      <w:r>
        <w:t>English.</w:t>
      </w:r>
      <w:r>
        <w:rPr>
          <w:spacing w:val="-1"/>
        </w:rPr>
        <w:t xml:space="preserve"> </w:t>
      </w:r>
      <w:r>
        <w:t>SRE</w:t>
      </w:r>
      <w:r>
        <w:rPr>
          <w:spacing w:val="-1"/>
        </w:rPr>
        <w:t xml:space="preserve"> </w:t>
      </w:r>
      <w:r>
        <w:t xml:space="preserve">is also a member of K. After all, K contains every sentence that correctly says what is meant by at least one expression of English, and SRE obviously satisfies that requirement. But given that SRE is also a conjunction consisting of all of K’s members, it follows that SRE is one of its own conjuncts. No conjunction can be one of its conjuncts. (The conjunction “snow is white and snow is white” is not one of its own conjuncts, since that sentence is a conjunction, whereas “snow is white” is not.) We’re forced to reject this obvious truth </w:t>
      </w:r>
      <w:r>
        <w:rPr>
          <w:i/>
        </w:rPr>
        <w:t xml:space="preserve">if </w:t>
      </w:r>
      <w:r>
        <w:t>we grant the supposition that the English language can express each of its own semantic rules. Therefore, the English language cannot</w:t>
      </w:r>
      <w:r>
        <w:rPr>
          <w:spacing w:val="-3"/>
        </w:rPr>
        <w:t xml:space="preserve"> </w:t>
      </w:r>
      <w:r>
        <w:t>state</w:t>
      </w:r>
      <w:r>
        <w:rPr>
          <w:spacing w:val="-2"/>
        </w:rPr>
        <w:t xml:space="preserve"> </w:t>
      </w:r>
      <w:r>
        <w:t>all</w:t>
      </w:r>
      <w:r>
        <w:rPr>
          <w:spacing w:val="-3"/>
        </w:rPr>
        <w:t xml:space="preserve"> </w:t>
      </w:r>
      <w:r>
        <w:t>of</w:t>
      </w:r>
      <w:r>
        <w:rPr>
          <w:spacing w:val="-2"/>
        </w:rPr>
        <w:t xml:space="preserve"> </w:t>
      </w:r>
      <w:r>
        <w:t>its</w:t>
      </w:r>
      <w:r>
        <w:rPr>
          <w:spacing w:val="-3"/>
        </w:rPr>
        <w:t xml:space="preserve"> </w:t>
      </w:r>
      <w:r>
        <w:t>own</w:t>
      </w:r>
      <w:r>
        <w:rPr>
          <w:spacing w:val="-2"/>
        </w:rPr>
        <w:t xml:space="preserve"> </w:t>
      </w:r>
      <w:r>
        <w:t>semantic</w:t>
      </w:r>
      <w:r>
        <w:rPr>
          <w:spacing w:val="-2"/>
        </w:rPr>
        <w:t xml:space="preserve"> </w:t>
      </w:r>
      <w:r>
        <w:t>rules.</w:t>
      </w:r>
      <w:r>
        <w:rPr>
          <w:spacing w:val="-3"/>
        </w:rPr>
        <w:t xml:space="preserve"> </w:t>
      </w:r>
      <w:r>
        <w:t>Given</w:t>
      </w:r>
      <w:r>
        <w:rPr>
          <w:spacing w:val="-2"/>
        </w:rPr>
        <w:t xml:space="preserve"> </w:t>
      </w:r>
      <w:r>
        <w:t>any</w:t>
      </w:r>
      <w:r>
        <w:rPr>
          <w:spacing w:val="-3"/>
        </w:rPr>
        <w:t xml:space="preserve"> </w:t>
      </w:r>
      <w:r>
        <w:t>language</w:t>
      </w:r>
      <w:r>
        <w:rPr>
          <w:spacing w:val="-2"/>
        </w:rPr>
        <w:t xml:space="preserve"> </w:t>
      </w:r>
      <w:r>
        <w:t>L,</w:t>
      </w:r>
      <w:r>
        <w:rPr>
          <w:spacing w:val="-3"/>
        </w:rPr>
        <w:t xml:space="preserve"> </w:t>
      </w:r>
      <w:r>
        <w:t>what</w:t>
      </w:r>
      <w:r>
        <w:rPr>
          <w:spacing w:val="-2"/>
        </w:rPr>
        <w:t xml:space="preserve"> </w:t>
      </w:r>
      <w:r>
        <w:t>we</w:t>
      </w:r>
      <w:r>
        <w:rPr>
          <w:spacing w:val="-2"/>
        </w:rPr>
        <w:t xml:space="preserve"> </w:t>
      </w:r>
      <w:r>
        <w:t>just said about English is true of L. Thus, no language can express all of its own semantic rules.</w:t>
      </w:r>
      <w:bookmarkStart w:id="94" w:name="_bookmark94"/>
      <w:bookmarkEnd w:id="94"/>
      <w:r>
        <w:rPr>
          <w:color w:val="0562C1"/>
          <w:position w:val="10"/>
          <w:u w:val="single" w:color="0562C1"/>
        </w:rPr>
        <w:t>94</w:t>
      </w:r>
    </w:p>
    <w:p w14:paraId="7E0008E3" w14:textId="77777777" w:rsidR="009A58DB" w:rsidRDefault="00000000">
      <w:pPr>
        <w:spacing w:before="225"/>
        <w:ind w:left="360"/>
        <w:rPr>
          <w:b/>
          <w:sz w:val="42"/>
        </w:rPr>
      </w:pPr>
      <w:r>
        <w:rPr>
          <w:b/>
          <w:sz w:val="42"/>
        </w:rPr>
        <w:t>6.0</w:t>
      </w:r>
      <w:r>
        <w:rPr>
          <w:b/>
          <w:spacing w:val="-6"/>
          <w:sz w:val="42"/>
        </w:rPr>
        <w:t xml:space="preserve"> </w:t>
      </w:r>
      <w:r>
        <w:rPr>
          <w:b/>
          <w:sz w:val="42"/>
        </w:rPr>
        <w:t>(ii)</w:t>
      </w:r>
      <w:r>
        <w:rPr>
          <w:b/>
          <w:spacing w:val="-4"/>
          <w:sz w:val="42"/>
        </w:rPr>
        <w:t xml:space="preserve"> </w:t>
      </w:r>
      <w:r>
        <w:rPr>
          <w:b/>
          <w:sz w:val="42"/>
        </w:rPr>
        <w:t>revisited:</w:t>
      </w:r>
      <w:r>
        <w:rPr>
          <w:b/>
          <w:spacing w:val="-4"/>
          <w:sz w:val="42"/>
        </w:rPr>
        <w:t xml:space="preserve"> </w:t>
      </w:r>
      <w:r>
        <w:rPr>
          <w:b/>
          <w:sz w:val="42"/>
        </w:rPr>
        <w:t>formal</w:t>
      </w:r>
      <w:r>
        <w:rPr>
          <w:b/>
          <w:spacing w:val="-4"/>
          <w:sz w:val="42"/>
        </w:rPr>
        <w:t xml:space="preserve"> </w:t>
      </w:r>
      <w:r>
        <w:rPr>
          <w:b/>
          <w:sz w:val="42"/>
        </w:rPr>
        <w:t>truth</w:t>
      </w:r>
      <w:r>
        <w:rPr>
          <w:b/>
          <w:spacing w:val="-4"/>
          <w:sz w:val="42"/>
        </w:rPr>
        <w:t xml:space="preserve"> </w:t>
      </w:r>
      <w:r>
        <w:rPr>
          <w:sz w:val="42"/>
        </w:rPr>
        <w:t>≠</w:t>
      </w:r>
      <w:r>
        <w:rPr>
          <w:spacing w:val="-4"/>
          <w:sz w:val="42"/>
        </w:rPr>
        <w:t xml:space="preserve"> </w:t>
      </w:r>
      <w:r>
        <w:rPr>
          <w:b/>
          <w:sz w:val="42"/>
        </w:rPr>
        <w:t>analytic</w:t>
      </w:r>
      <w:r>
        <w:rPr>
          <w:b/>
          <w:spacing w:val="-4"/>
          <w:sz w:val="42"/>
        </w:rPr>
        <w:t xml:space="preserve"> </w:t>
      </w:r>
      <w:r>
        <w:rPr>
          <w:b/>
          <w:spacing w:val="-2"/>
          <w:sz w:val="42"/>
        </w:rPr>
        <w:t>truth</w:t>
      </w:r>
    </w:p>
    <w:p w14:paraId="7E0008E4" w14:textId="77777777" w:rsidR="009A58DB" w:rsidRDefault="00000000">
      <w:pPr>
        <w:spacing w:before="139"/>
        <w:ind w:left="360"/>
        <w:jc w:val="both"/>
        <w:rPr>
          <w:i/>
          <w:sz w:val="30"/>
        </w:rPr>
      </w:pPr>
      <w:r>
        <w:rPr>
          <w:sz w:val="30"/>
        </w:rPr>
        <w:t>One</w:t>
      </w:r>
      <w:r>
        <w:rPr>
          <w:spacing w:val="63"/>
          <w:sz w:val="30"/>
        </w:rPr>
        <w:t xml:space="preserve"> </w:t>
      </w:r>
      <w:r>
        <w:rPr>
          <w:sz w:val="30"/>
        </w:rPr>
        <w:t>of</w:t>
      </w:r>
      <w:r>
        <w:rPr>
          <w:spacing w:val="64"/>
          <w:sz w:val="30"/>
        </w:rPr>
        <w:t xml:space="preserve"> </w:t>
      </w:r>
      <w:r>
        <w:rPr>
          <w:sz w:val="30"/>
        </w:rPr>
        <w:t>the</w:t>
      </w:r>
      <w:r>
        <w:rPr>
          <w:spacing w:val="64"/>
          <w:sz w:val="30"/>
        </w:rPr>
        <w:t xml:space="preserve"> </w:t>
      </w:r>
      <w:r>
        <w:rPr>
          <w:sz w:val="30"/>
        </w:rPr>
        <w:t>main</w:t>
      </w:r>
      <w:r>
        <w:rPr>
          <w:spacing w:val="64"/>
          <w:sz w:val="30"/>
        </w:rPr>
        <w:t xml:space="preserve"> </w:t>
      </w:r>
      <w:r>
        <w:rPr>
          <w:sz w:val="30"/>
        </w:rPr>
        <w:t>contentions</w:t>
      </w:r>
      <w:r>
        <w:rPr>
          <w:spacing w:val="64"/>
          <w:sz w:val="30"/>
        </w:rPr>
        <w:t xml:space="preserve"> </w:t>
      </w:r>
      <w:r>
        <w:rPr>
          <w:sz w:val="30"/>
        </w:rPr>
        <w:t>of</w:t>
      </w:r>
      <w:r>
        <w:rPr>
          <w:spacing w:val="64"/>
          <w:sz w:val="30"/>
        </w:rPr>
        <w:t xml:space="preserve"> </w:t>
      </w:r>
      <w:r>
        <w:rPr>
          <w:sz w:val="30"/>
        </w:rPr>
        <w:t>the</w:t>
      </w:r>
      <w:r>
        <w:rPr>
          <w:spacing w:val="64"/>
          <w:sz w:val="30"/>
        </w:rPr>
        <w:t xml:space="preserve"> </w:t>
      </w:r>
      <w:r>
        <w:rPr>
          <w:sz w:val="30"/>
        </w:rPr>
        <w:t>TLP</w:t>
      </w:r>
      <w:r>
        <w:rPr>
          <w:spacing w:val="64"/>
          <w:sz w:val="30"/>
        </w:rPr>
        <w:t xml:space="preserve"> </w:t>
      </w:r>
      <w:r>
        <w:rPr>
          <w:sz w:val="30"/>
        </w:rPr>
        <w:t>is</w:t>
      </w:r>
      <w:r>
        <w:rPr>
          <w:spacing w:val="64"/>
          <w:sz w:val="30"/>
        </w:rPr>
        <w:t xml:space="preserve"> </w:t>
      </w:r>
      <w:r>
        <w:rPr>
          <w:sz w:val="30"/>
        </w:rPr>
        <w:t>that</w:t>
      </w:r>
      <w:r>
        <w:rPr>
          <w:spacing w:val="64"/>
          <w:sz w:val="30"/>
        </w:rPr>
        <w:t xml:space="preserve"> </w:t>
      </w:r>
      <w:r>
        <w:rPr>
          <w:sz w:val="30"/>
        </w:rPr>
        <w:t>all</w:t>
      </w:r>
      <w:r>
        <w:rPr>
          <w:spacing w:val="64"/>
          <w:sz w:val="30"/>
        </w:rPr>
        <w:t xml:space="preserve"> </w:t>
      </w:r>
      <w:r>
        <w:rPr>
          <w:b/>
          <w:i/>
          <w:sz w:val="30"/>
        </w:rPr>
        <w:t>entailment</w:t>
      </w:r>
      <w:r>
        <w:rPr>
          <w:b/>
          <w:i/>
          <w:spacing w:val="57"/>
          <w:sz w:val="30"/>
        </w:rPr>
        <w:t xml:space="preserve"> </w:t>
      </w:r>
      <w:r>
        <w:rPr>
          <w:sz w:val="30"/>
        </w:rPr>
        <w:t>is</w:t>
      </w:r>
      <w:r>
        <w:rPr>
          <w:spacing w:val="73"/>
          <w:sz w:val="30"/>
        </w:rPr>
        <w:t xml:space="preserve"> </w:t>
      </w:r>
      <w:r>
        <w:rPr>
          <w:i/>
          <w:spacing w:val="-2"/>
          <w:sz w:val="30"/>
        </w:rPr>
        <w:t>formal</w:t>
      </w:r>
    </w:p>
    <w:p w14:paraId="7E0008E5" w14:textId="77777777" w:rsidR="009A58DB" w:rsidRDefault="009A58DB">
      <w:pPr>
        <w:jc w:val="both"/>
        <w:rPr>
          <w:i/>
          <w:sz w:val="30"/>
        </w:rPr>
        <w:sectPr w:rsidR="009A58DB">
          <w:pgSz w:w="12240" w:h="15840"/>
          <w:pgMar w:top="1380" w:right="1080" w:bottom="280" w:left="1080" w:header="720" w:footer="720" w:gutter="0"/>
          <w:cols w:space="720"/>
        </w:sectPr>
      </w:pPr>
    </w:p>
    <w:p w14:paraId="7E0008E6" w14:textId="77777777" w:rsidR="009A58DB" w:rsidRDefault="00000000">
      <w:pPr>
        <w:pStyle w:val="BodyText"/>
        <w:spacing w:before="60" w:line="249" w:lineRule="auto"/>
        <w:ind w:right="361"/>
      </w:pPr>
      <w:r>
        <w:lastRenderedPageBreak/>
        <w:t xml:space="preserve">entailment. One statement </w:t>
      </w:r>
      <w:r>
        <w:rPr>
          <w:i/>
        </w:rPr>
        <w:t xml:space="preserve">entails </w:t>
      </w:r>
      <w:r>
        <w:t>another if, supposing the first is true, the second couldn’t possibly be false. So “Smith is a triangle” entails “Smith has more</w:t>
      </w:r>
      <w:r>
        <w:rPr>
          <w:spacing w:val="-3"/>
        </w:rPr>
        <w:t xml:space="preserve"> </w:t>
      </w:r>
      <w:r>
        <w:t>than</w:t>
      </w:r>
      <w:r>
        <w:rPr>
          <w:spacing w:val="-1"/>
        </w:rPr>
        <w:t xml:space="preserve"> </w:t>
      </w:r>
      <w:r>
        <w:t>one</w:t>
      </w:r>
      <w:r>
        <w:rPr>
          <w:spacing w:val="-3"/>
        </w:rPr>
        <w:t xml:space="preserve"> </w:t>
      </w:r>
      <w:r>
        <w:t>side.”</w:t>
      </w:r>
      <w:r>
        <w:rPr>
          <w:spacing w:val="-2"/>
        </w:rPr>
        <w:t xml:space="preserve"> </w:t>
      </w:r>
      <w:r>
        <w:t>One</w:t>
      </w:r>
      <w:r>
        <w:rPr>
          <w:spacing w:val="-3"/>
        </w:rPr>
        <w:t xml:space="preserve"> </w:t>
      </w:r>
      <w:r>
        <w:t>statement,</w:t>
      </w:r>
      <w:r>
        <w:rPr>
          <w:spacing w:val="-1"/>
        </w:rPr>
        <w:t xml:space="preserve"> </w:t>
      </w:r>
      <w:r>
        <w:t>S</w:t>
      </w:r>
      <w:r>
        <w:rPr>
          <w:vertAlign w:val="subscript"/>
        </w:rPr>
        <w:t>1</w:t>
      </w:r>
      <w:r>
        <w:t>,</w:t>
      </w:r>
      <w:r>
        <w:rPr>
          <w:spacing w:val="-2"/>
        </w:rPr>
        <w:t xml:space="preserve"> </w:t>
      </w:r>
      <w:r>
        <w:rPr>
          <w:b/>
          <w:i/>
        </w:rPr>
        <w:t>formally</w:t>
      </w:r>
      <w:r>
        <w:rPr>
          <w:b/>
          <w:i/>
          <w:spacing w:val="-2"/>
        </w:rPr>
        <w:t xml:space="preserve"> </w:t>
      </w:r>
      <w:r>
        <w:t>entails</w:t>
      </w:r>
      <w:r>
        <w:rPr>
          <w:spacing w:val="-3"/>
        </w:rPr>
        <w:t xml:space="preserve"> </w:t>
      </w:r>
      <w:r>
        <w:t>another</w:t>
      </w:r>
      <w:r>
        <w:rPr>
          <w:spacing w:val="-2"/>
        </w:rPr>
        <w:t xml:space="preserve"> </w:t>
      </w:r>
      <w:r>
        <w:t>sentence,</w:t>
      </w:r>
      <w:r>
        <w:rPr>
          <w:spacing w:val="-2"/>
        </w:rPr>
        <w:t xml:space="preserve"> </w:t>
      </w:r>
      <w:r>
        <w:rPr>
          <w:spacing w:val="-5"/>
        </w:rPr>
        <w:t>S</w:t>
      </w:r>
      <w:r>
        <w:rPr>
          <w:spacing w:val="-5"/>
          <w:vertAlign w:val="subscript"/>
        </w:rPr>
        <w:t>2</w:t>
      </w:r>
      <w:r>
        <w:rPr>
          <w:spacing w:val="-5"/>
        </w:rPr>
        <w:t>,</w:t>
      </w:r>
    </w:p>
    <w:p w14:paraId="7E0008E7" w14:textId="77777777" w:rsidR="009A58DB" w:rsidRDefault="00000000">
      <w:pPr>
        <w:pStyle w:val="BodyText"/>
        <w:spacing w:before="63" w:line="292" w:lineRule="auto"/>
        <w:ind w:right="370"/>
      </w:pPr>
      <w:r>
        <w:t>if the statement “if S</w:t>
      </w:r>
      <w:r>
        <w:rPr>
          <w:vertAlign w:val="subscript"/>
        </w:rPr>
        <w:t>1</w:t>
      </w:r>
      <w:r>
        <w:t>, then S</w:t>
      </w:r>
      <w:r>
        <w:rPr>
          <w:vertAlign w:val="subscript"/>
        </w:rPr>
        <w:t>2</w:t>
      </w:r>
      <w:r>
        <w:t xml:space="preserve">” is a </w:t>
      </w:r>
      <w:r>
        <w:rPr>
          <w:b/>
          <w:i/>
        </w:rPr>
        <w:t xml:space="preserve">formal truth. </w:t>
      </w:r>
      <w:r>
        <w:t>A statement is a formal</w:t>
      </w:r>
      <w:r>
        <w:rPr>
          <w:spacing w:val="40"/>
        </w:rPr>
        <w:t xml:space="preserve"> </w:t>
      </w:r>
      <w:r>
        <w:t>truth if every statement having the same form as it is true. Thus,</w:t>
      </w:r>
    </w:p>
    <w:p w14:paraId="7E0008E8" w14:textId="77777777" w:rsidR="009A58DB" w:rsidRDefault="00000000">
      <w:pPr>
        <w:pStyle w:val="BodyText"/>
        <w:spacing w:before="304" w:line="249" w:lineRule="auto"/>
        <w:ind w:right="794"/>
        <w:jc w:val="left"/>
      </w:pPr>
      <w:r>
        <w:t>(1)</w:t>
      </w:r>
      <w:r>
        <w:rPr>
          <w:spacing w:val="-2"/>
        </w:rPr>
        <w:t xml:space="preserve"> </w:t>
      </w:r>
      <w:r>
        <w:t>“If</w:t>
      </w:r>
      <w:r>
        <w:rPr>
          <w:spacing w:val="-2"/>
        </w:rPr>
        <w:t xml:space="preserve"> </w:t>
      </w:r>
      <w:r>
        <w:t>Smith</w:t>
      </w:r>
      <w:r>
        <w:rPr>
          <w:spacing w:val="-2"/>
        </w:rPr>
        <w:t xml:space="preserve"> </w:t>
      </w:r>
      <w:r>
        <w:t>is</w:t>
      </w:r>
      <w:r>
        <w:rPr>
          <w:spacing w:val="-2"/>
        </w:rPr>
        <w:t xml:space="preserve"> </w:t>
      </w:r>
      <w:r>
        <w:t>in</w:t>
      </w:r>
      <w:r>
        <w:rPr>
          <w:spacing w:val="-2"/>
        </w:rPr>
        <w:t xml:space="preserve"> </w:t>
      </w:r>
      <w:r>
        <w:t>the</w:t>
      </w:r>
      <w:r>
        <w:rPr>
          <w:spacing w:val="-2"/>
        </w:rPr>
        <w:t xml:space="preserve"> </w:t>
      </w:r>
      <w:r>
        <w:t>barn,</w:t>
      </w:r>
      <w:r>
        <w:rPr>
          <w:spacing w:val="-2"/>
        </w:rPr>
        <w:t xml:space="preserve"> </w:t>
      </w:r>
      <w:r>
        <w:t>then</w:t>
      </w:r>
      <w:r>
        <w:rPr>
          <w:spacing w:val="-2"/>
        </w:rPr>
        <w:t xml:space="preserve"> </w:t>
      </w:r>
      <w:r>
        <w:t>it</w:t>
      </w:r>
      <w:r>
        <w:rPr>
          <w:spacing w:val="-2"/>
        </w:rPr>
        <w:t xml:space="preserve"> </w:t>
      </w:r>
      <w:r>
        <w:t>is</w:t>
      </w:r>
      <w:r>
        <w:rPr>
          <w:spacing w:val="-2"/>
        </w:rPr>
        <w:t xml:space="preserve"> </w:t>
      </w:r>
      <w:r>
        <w:t>not</w:t>
      </w:r>
      <w:r>
        <w:rPr>
          <w:spacing w:val="-2"/>
        </w:rPr>
        <w:t xml:space="preserve"> </w:t>
      </w:r>
      <w:r>
        <w:t>the</w:t>
      </w:r>
      <w:r>
        <w:rPr>
          <w:spacing w:val="-2"/>
        </w:rPr>
        <w:t xml:space="preserve"> </w:t>
      </w:r>
      <w:r>
        <w:t>case</w:t>
      </w:r>
      <w:r>
        <w:rPr>
          <w:spacing w:val="-2"/>
        </w:rPr>
        <w:t xml:space="preserve"> </w:t>
      </w:r>
      <w:r>
        <w:t>that</w:t>
      </w:r>
      <w:r>
        <w:rPr>
          <w:spacing w:val="-2"/>
        </w:rPr>
        <w:t xml:space="preserve"> </w:t>
      </w:r>
      <w:r>
        <w:t>it</w:t>
      </w:r>
      <w:r>
        <w:rPr>
          <w:spacing w:val="-2"/>
        </w:rPr>
        <w:t xml:space="preserve"> </w:t>
      </w:r>
      <w:r>
        <w:t>is</w:t>
      </w:r>
      <w:r>
        <w:rPr>
          <w:spacing w:val="-2"/>
        </w:rPr>
        <w:t xml:space="preserve"> </w:t>
      </w:r>
      <w:r>
        <w:t>not</w:t>
      </w:r>
      <w:r>
        <w:rPr>
          <w:spacing w:val="-2"/>
        </w:rPr>
        <w:t xml:space="preserve"> </w:t>
      </w:r>
      <w:r>
        <w:t>the</w:t>
      </w:r>
      <w:r>
        <w:rPr>
          <w:spacing w:val="-2"/>
        </w:rPr>
        <w:t xml:space="preserve"> </w:t>
      </w:r>
      <w:r>
        <w:t>case Smith is barn”</w:t>
      </w:r>
    </w:p>
    <w:p w14:paraId="7E0008E9" w14:textId="77777777" w:rsidR="009A58DB" w:rsidRDefault="00000000">
      <w:pPr>
        <w:pStyle w:val="BodyText"/>
        <w:spacing w:before="122"/>
        <w:jc w:val="left"/>
      </w:pPr>
      <w:r>
        <w:t>is</w:t>
      </w:r>
      <w:r>
        <w:rPr>
          <w:spacing w:val="-6"/>
        </w:rPr>
        <w:t xml:space="preserve"> </w:t>
      </w:r>
      <w:r>
        <w:t>a</w:t>
      </w:r>
      <w:r>
        <w:rPr>
          <w:spacing w:val="-3"/>
        </w:rPr>
        <w:t xml:space="preserve"> </w:t>
      </w:r>
      <w:r>
        <w:t>formal</w:t>
      </w:r>
      <w:r>
        <w:rPr>
          <w:spacing w:val="-4"/>
        </w:rPr>
        <w:t xml:space="preserve"> </w:t>
      </w:r>
      <w:r>
        <w:t>truth,</w:t>
      </w:r>
      <w:r>
        <w:rPr>
          <w:spacing w:val="-2"/>
        </w:rPr>
        <w:t xml:space="preserve"> </w:t>
      </w:r>
      <w:r>
        <w:t>since</w:t>
      </w:r>
      <w:r>
        <w:rPr>
          <w:spacing w:val="-4"/>
        </w:rPr>
        <w:t xml:space="preserve"> </w:t>
      </w:r>
      <w:r>
        <w:t>every</w:t>
      </w:r>
      <w:r>
        <w:rPr>
          <w:spacing w:val="-2"/>
        </w:rPr>
        <w:t xml:space="preserve"> </w:t>
      </w:r>
      <w:r>
        <w:t>statement</w:t>
      </w:r>
      <w:r>
        <w:rPr>
          <w:spacing w:val="-4"/>
        </w:rPr>
        <w:t xml:space="preserve"> </w:t>
      </w:r>
      <w:r>
        <w:t>of</w:t>
      </w:r>
      <w:r>
        <w:rPr>
          <w:spacing w:val="-3"/>
        </w:rPr>
        <w:t xml:space="preserve"> </w:t>
      </w:r>
      <w:r>
        <w:t>the</w:t>
      </w:r>
      <w:r>
        <w:rPr>
          <w:spacing w:val="-3"/>
        </w:rPr>
        <w:t xml:space="preserve"> </w:t>
      </w:r>
      <w:r>
        <w:rPr>
          <w:spacing w:val="-4"/>
        </w:rPr>
        <w:t>form</w:t>
      </w:r>
    </w:p>
    <w:p w14:paraId="7E0008EA" w14:textId="77777777" w:rsidR="009A58DB" w:rsidRDefault="00000000">
      <w:pPr>
        <w:pStyle w:val="BodyText"/>
        <w:spacing w:before="135" w:line="333" w:lineRule="auto"/>
        <w:ind w:right="2634"/>
        <w:jc w:val="left"/>
      </w:pPr>
      <w:r>
        <w:t>(2)</w:t>
      </w:r>
      <w:r>
        <w:rPr>
          <w:spacing w:val="-3"/>
        </w:rPr>
        <w:t xml:space="preserve"> </w:t>
      </w:r>
      <w:r>
        <w:t>“if</w:t>
      </w:r>
      <w:r>
        <w:rPr>
          <w:spacing w:val="-3"/>
        </w:rPr>
        <w:t xml:space="preserve"> </w:t>
      </w:r>
      <w:r>
        <w:t>P,</w:t>
      </w:r>
      <w:r>
        <w:rPr>
          <w:spacing w:val="-2"/>
        </w:rPr>
        <w:t xml:space="preserve"> </w:t>
      </w:r>
      <w:r>
        <w:t>then</w:t>
      </w:r>
      <w:r>
        <w:rPr>
          <w:spacing w:val="-2"/>
        </w:rPr>
        <w:t xml:space="preserve"> </w:t>
      </w:r>
      <w:r>
        <w:t>it</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it</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P” is true.</w:t>
      </w:r>
    </w:p>
    <w:p w14:paraId="7E0008EB" w14:textId="77777777" w:rsidR="009A58DB" w:rsidRDefault="00000000">
      <w:pPr>
        <w:spacing w:before="1" w:line="249" w:lineRule="auto"/>
        <w:ind w:left="360" w:right="360"/>
        <w:jc w:val="both"/>
        <w:rPr>
          <w:sz w:val="30"/>
        </w:rPr>
      </w:pPr>
      <w:r>
        <w:rPr>
          <w:sz w:val="30"/>
        </w:rPr>
        <w:t>(1) is also an example of a formal entailment. It’s a formal entailment since it’s a formal truth that is also an entailment. (It’s an entailment since it’s to the effect that that one statement (</w:t>
      </w:r>
      <w:r>
        <w:rPr>
          <w:i/>
          <w:sz w:val="30"/>
        </w:rPr>
        <w:t>Smith is in the barn</w:t>
      </w:r>
      <w:r>
        <w:rPr>
          <w:sz w:val="30"/>
        </w:rPr>
        <w:t>) entails another (</w:t>
      </w:r>
      <w:r>
        <w:rPr>
          <w:i/>
          <w:sz w:val="30"/>
        </w:rPr>
        <w:t>it is not the case that it is not the case that Smith is in the barn</w:t>
      </w:r>
      <w:r>
        <w:rPr>
          <w:sz w:val="30"/>
        </w:rPr>
        <w:t>).</w:t>
      </w:r>
    </w:p>
    <w:p w14:paraId="7E0008EC" w14:textId="77777777" w:rsidR="009A58DB" w:rsidRDefault="00000000">
      <w:pPr>
        <w:pStyle w:val="BodyText"/>
        <w:spacing w:before="5" w:line="249" w:lineRule="auto"/>
        <w:ind w:right="357" w:firstLine="360"/>
      </w:pPr>
      <w:r>
        <w:t>In the TLP, Wittgenstein asserted that all entailments are of this kind. He was aware that there are apparent counterexamples to this. For example:</w:t>
      </w:r>
    </w:p>
    <w:p w14:paraId="7E0008ED" w14:textId="77777777" w:rsidR="009A58DB" w:rsidRDefault="00000000">
      <w:pPr>
        <w:pStyle w:val="ListParagraph"/>
        <w:numPr>
          <w:ilvl w:val="0"/>
          <w:numId w:val="219"/>
        </w:numPr>
        <w:tabs>
          <w:tab w:val="left" w:pos="1174"/>
          <w:tab w:val="left" w:pos="2589"/>
          <w:tab w:val="left" w:pos="3253"/>
        </w:tabs>
        <w:spacing w:before="242" w:line="249" w:lineRule="auto"/>
        <w:ind w:right="6690" w:firstLine="0"/>
        <w:rPr>
          <w:sz w:val="30"/>
        </w:rPr>
      </w:pPr>
      <w:r>
        <w:rPr>
          <w:spacing w:val="-2"/>
          <w:sz w:val="30"/>
        </w:rPr>
        <w:t>“Brown</w:t>
      </w:r>
      <w:r>
        <w:rPr>
          <w:sz w:val="30"/>
        </w:rPr>
        <w:tab/>
      </w:r>
      <w:r>
        <w:rPr>
          <w:spacing w:val="-6"/>
          <w:sz w:val="30"/>
        </w:rPr>
        <w:t>is</w:t>
      </w:r>
      <w:r>
        <w:rPr>
          <w:sz w:val="30"/>
        </w:rPr>
        <w:tab/>
      </w:r>
      <w:r>
        <w:rPr>
          <w:spacing w:val="-10"/>
          <w:sz w:val="30"/>
        </w:rPr>
        <w:t xml:space="preserve">a </w:t>
      </w:r>
      <w:r>
        <w:rPr>
          <w:spacing w:val="-2"/>
          <w:sz w:val="30"/>
        </w:rPr>
        <w:t>bachelor”</w:t>
      </w:r>
    </w:p>
    <w:p w14:paraId="7E0008EE" w14:textId="77777777" w:rsidR="009A58DB" w:rsidRDefault="00000000">
      <w:pPr>
        <w:pStyle w:val="BodyText"/>
        <w:spacing w:before="123"/>
        <w:jc w:val="left"/>
      </w:pPr>
      <w:r>
        <w:t>entails</w:t>
      </w:r>
      <w:r>
        <w:rPr>
          <w:spacing w:val="-8"/>
        </w:rPr>
        <w:t xml:space="preserve"> </w:t>
      </w:r>
      <w:r>
        <w:rPr>
          <w:spacing w:val="-4"/>
        </w:rPr>
        <w:t>that</w:t>
      </w:r>
    </w:p>
    <w:p w14:paraId="7E0008EF" w14:textId="77777777" w:rsidR="009A58DB" w:rsidRDefault="00000000">
      <w:pPr>
        <w:pStyle w:val="ListParagraph"/>
        <w:numPr>
          <w:ilvl w:val="0"/>
          <w:numId w:val="219"/>
        </w:numPr>
        <w:tabs>
          <w:tab w:val="left" w:pos="1474"/>
          <w:tab w:val="left" w:pos="3189"/>
        </w:tabs>
        <w:spacing w:before="120" w:line="249" w:lineRule="auto"/>
        <w:ind w:right="6688" w:firstLine="0"/>
        <w:rPr>
          <w:sz w:val="30"/>
        </w:rPr>
      </w:pPr>
      <w:r>
        <w:rPr>
          <w:spacing w:val="-2"/>
          <w:sz w:val="30"/>
        </w:rPr>
        <w:t>“Brown</w:t>
      </w:r>
      <w:r>
        <w:rPr>
          <w:sz w:val="30"/>
        </w:rPr>
        <w:tab/>
      </w:r>
      <w:r>
        <w:rPr>
          <w:spacing w:val="-6"/>
          <w:sz w:val="30"/>
        </w:rPr>
        <w:t xml:space="preserve">is </w:t>
      </w:r>
      <w:r>
        <w:rPr>
          <w:spacing w:val="-2"/>
          <w:sz w:val="30"/>
        </w:rPr>
        <w:t>unmarried.”</w:t>
      </w:r>
    </w:p>
    <w:p w14:paraId="7E0008F0" w14:textId="77777777" w:rsidR="009A58DB" w:rsidRDefault="00000000">
      <w:pPr>
        <w:pStyle w:val="BodyText"/>
        <w:spacing w:before="122"/>
        <w:jc w:val="left"/>
      </w:pPr>
      <w:r>
        <w:rPr>
          <w:spacing w:val="-5"/>
        </w:rPr>
        <w:t>But</w:t>
      </w:r>
    </w:p>
    <w:p w14:paraId="7E0008F1" w14:textId="77777777" w:rsidR="009A58DB" w:rsidRDefault="00000000">
      <w:pPr>
        <w:pStyle w:val="ListParagraph"/>
        <w:numPr>
          <w:ilvl w:val="0"/>
          <w:numId w:val="219"/>
        </w:numPr>
        <w:tabs>
          <w:tab w:val="left" w:pos="782"/>
        </w:tabs>
        <w:spacing w:before="135" w:line="417" w:lineRule="auto"/>
        <w:ind w:right="3222" w:firstLine="0"/>
        <w:rPr>
          <w:sz w:val="30"/>
        </w:rPr>
      </w:pPr>
      <w:r>
        <w:rPr>
          <w:sz w:val="30"/>
        </w:rPr>
        <w:t>“if</w:t>
      </w:r>
      <w:r>
        <w:rPr>
          <w:spacing w:val="-6"/>
          <w:sz w:val="30"/>
        </w:rPr>
        <w:t xml:space="preserve"> </w:t>
      </w:r>
      <w:r>
        <w:rPr>
          <w:sz w:val="30"/>
        </w:rPr>
        <w:t>Brown</w:t>
      </w:r>
      <w:r>
        <w:rPr>
          <w:spacing w:val="-5"/>
          <w:sz w:val="30"/>
        </w:rPr>
        <w:t xml:space="preserve"> </w:t>
      </w:r>
      <w:r>
        <w:rPr>
          <w:sz w:val="30"/>
        </w:rPr>
        <w:t>is</w:t>
      </w:r>
      <w:r>
        <w:rPr>
          <w:spacing w:val="-6"/>
          <w:sz w:val="30"/>
        </w:rPr>
        <w:t xml:space="preserve"> </w:t>
      </w:r>
      <w:r>
        <w:rPr>
          <w:sz w:val="30"/>
        </w:rPr>
        <w:t>a</w:t>
      </w:r>
      <w:r>
        <w:rPr>
          <w:spacing w:val="-6"/>
          <w:sz w:val="30"/>
        </w:rPr>
        <w:t xml:space="preserve"> </w:t>
      </w:r>
      <w:r>
        <w:rPr>
          <w:sz w:val="30"/>
        </w:rPr>
        <w:t>bachelor,</w:t>
      </w:r>
      <w:r>
        <w:rPr>
          <w:spacing w:val="-5"/>
          <w:sz w:val="30"/>
        </w:rPr>
        <w:t xml:space="preserve"> </w:t>
      </w:r>
      <w:r>
        <w:rPr>
          <w:sz w:val="30"/>
        </w:rPr>
        <w:t>then</w:t>
      </w:r>
      <w:r>
        <w:rPr>
          <w:spacing w:val="-5"/>
          <w:sz w:val="30"/>
        </w:rPr>
        <w:t xml:space="preserve"> </w:t>
      </w:r>
      <w:r>
        <w:rPr>
          <w:sz w:val="30"/>
        </w:rPr>
        <w:t>Brown</w:t>
      </w:r>
      <w:r>
        <w:rPr>
          <w:spacing w:val="-5"/>
          <w:sz w:val="30"/>
        </w:rPr>
        <w:t xml:space="preserve"> </w:t>
      </w:r>
      <w:r>
        <w:rPr>
          <w:sz w:val="30"/>
        </w:rPr>
        <w:t>is</w:t>
      </w:r>
      <w:r>
        <w:rPr>
          <w:spacing w:val="-6"/>
          <w:sz w:val="30"/>
        </w:rPr>
        <w:t xml:space="preserve"> </w:t>
      </w:r>
      <w:r>
        <w:rPr>
          <w:sz w:val="30"/>
        </w:rPr>
        <w:t>unmarried” isn’t formally true, since it has the same form as</w:t>
      </w:r>
    </w:p>
    <w:p w14:paraId="7E0008F2" w14:textId="77777777" w:rsidR="009A58DB" w:rsidRDefault="00000000">
      <w:pPr>
        <w:pStyle w:val="ListParagraph"/>
        <w:numPr>
          <w:ilvl w:val="0"/>
          <w:numId w:val="219"/>
        </w:numPr>
        <w:tabs>
          <w:tab w:val="left" w:pos="782"/>
        </w:tabs>
        <w:spacing w:line="344" w:lineRule="exact"/>
        <w:ind w:left="782" w:hanging="422"/>
        <w:jc w:val="both"/>
        <w:rPr>
          <w:sz w:val="30"/>
        </w:rPr>
      </w:pPr>
      <w:r>
        <w:rPr>
          <w:sz w:val="30"/>
        </w:rPr>
        <w:t>“if</w:t>
      </w:r>
      <w:r>
        <w:rPr>
          <w:spacing w:val="-5"/>
          <w:sz w:val="30"/>
        </w:rPr>
        <w:t xml:space="preserve"> </w:t>
      </w:r>
      <w:r>
        <w:rPr>
          <w:sz w:val="30"/>
        </w:rPr>
        <w:t>Brown</w:t>
      </w:r>
      <w:r>
        <w:rPr>
          <w:spacing w:val="-2"/>
          <w:sz w:val="30"/>
        </w:rPr>
        <w:t xml:space="preserve"> </w:t>
      </w:r>
      <w:r>
        <w:rPr>
          <w:sz w:val="30"/>
        </w:rPr>
        <w:t>is</w:t>
      </w:r>
      <w:r>
        <w:rPr>
          <w:spacing w:val="-3"/>
          <w:sz w:val="30"/>
        </w:rPr>
        <w:t xml:space="preserve"> </w:t>
      </w:r>
      <w:r>
        <w:rPr>
          <w:sz w:val="30"/>
        </w:rPr>
        <w:t>a</w:t>
      </w:r>
      <w:r>
        <w:rPr>
          <w:spacing w:val="-3"/>
          <w:sz w:val="30"/>
        </w:rPr>
        <w:t xml:space="preserve"> </w:t>
      </w:r>
      <w:r>
        <w:rPr>
          <w:sz w:val="30"/>
        </w:rPr>
        <w:t>bachelor,</w:t>
      </w:r>
      <w:r>
        <w:rPr>
          <w:spacing w:val="-2"/>
          <w:sz w:val="30"/>
        </w:rPr>
        <w:t xml:space="preserve"> </w:t>
      </w:r>
      <w:r>
        <w:rPr>
          <w:sz w:val="30"/>
        </w:rPr>
        <w:t>then</w:t>
      </w:r>
      <w:r>
        <w:rPr>
          <w:spacing w:val="-2"/>
          <w:sz w:val="30"/>
        </w:rPr>
        <w:t xml:space="preserve"> </w:t>
      </w:r>
      <w:r>
        <w:rPr>
          <w:sz w:val="30"/>
        </w:rPr>
        <w:t>Brown</w:t>
      </w:r>
      <w:r>
        <w:rPr>
          <w:spacing w:val="-2"/>
          <w:sz w:val="30"/>
        </w:rPr>
        <w:t xml:space="preserve"> </w:t>
      </w:r>
      <w:r>
        <w:rPr>
          <w:sz w:val="30"/>
        </w:rPr>
        <w:t>is</w:t>
      </w:r>
      <w:r>
        <w:rPr>
          <w:spacing w:val="-3"/>
          <w:sz w:val="30"/>
        </w:rPr>
        <w:t xml:space="preserve"> </w:t>
      </w:r>
      <w:r>
        <w:rPr>
          <w:sz w:val="30"/>
        </w:rPr>
        <w:t>a</w:t>
      </w:r>
      <w:r>
        <w:rPr>
          <w:spacing w:val="-2"/>
          <w:sz w:val="30"/>
        </w:rPr>
        <w:t xml:space="preserve"> cupcake”</w:t>
      </w:r>
    </w:p>
    <w:p w14:paraId="7E0008F3" w14:textId="77777777" w:rsidR="009A58DB" w:rsidRDefault="00000000">
      <w:pPr>
        <w:pStyle w:val="BodyText"/>
        <w:spacing w:before="255"/>
        <w:jc w:val="left"/>
      </w:pPr>
      <w:r>
        <w:t>which</w:t>
      </w:r>
      <w:r>
        <w:rPr>
          <w:spacing w:val="-3"/>
        </w:rPr>
        <w:t xml:space="preserve"> </w:t>
      </w:r>
      <w:r>
        <w:t>isn’t</w:t>
      </w:r>
      <w:r>
        <w:rPr>
          <w:spacing w:val="-3"/>
        </w:rPr>
        <w:t xml:space="preserve"> </w:t>
      </w:r>
      <w:r>
        <w:t>true</w:t>
      </w:r>
      <w:r>
        <w:rPr>
          <w:spacing w:val="-3"/>
        </w:rPr>
        <w:t xml:space="preserve"> </w:t>
      </w:r>
      <w:r>
        <w:t>at</w:t>
      </w:r>
      <w:r>
        <w:rPr>
          <w:spacing w:val="-3"/>
        </w:rPr>
        <w:t xml:space="preserve"> </w:t>
      </w:r>
      <w:r>
        <w:rPr>
          <w:spacing w:val="-4"/>
        </w:rPr>
        <w:t>all.</w:t>
      </w:r>
    </w:p>
    <w:p w14:paraId="7E0008F4" w14:textId="77777777" w:rsidR="009A58DB" w:rsidRDefault="00000000">
      <w:pPr>
        <w:pStyle w:val="BodyText"/>
        <w:spacing w:before="15" w:line="249" w:lineRule="auto"/>
        <w:ind w:left="1080" w:right="364"/>
        <w:jc w:val="left"/>
      </w:pPr>
      <w:r>
        <w:t>Wittgenstein</w:t>
      </w:r>
      <w:r>
        <w:rPr>
          <w:spacing w:val="40"/>
        </w:rPr>
        <w:t xml:space="preserve"> </w:t>
      </w:r>
      <w:r>
        <w:t>deals</w:t>
      </w:r>
      <w:r>
        <w:rPr>
          <w:spacing w:val="40"/>
        </w:rPr>
        <w:t xml:space="preserve"> </w:t>
      </w:r>
      <w:r>
        <w:t>with</w:t>
      </w:r>
      <w:r>
        <w:rPr>
          <w:spacing w:val="40"/>
        </w:rPr>
        <w:t xml:space="preserve"> </w:t>
      </w:r>
      <w:r>
        <w:t>this</w:t>
      </w:r>
      <w:r>
        <w:rPr>
          <w:spacing w:val="40"/>
        </w:rPr>
        <w:t xml:space="preserve"> </w:t>
      </w:r>
      <w:r>
        <w:t>by</w:t>
      </w:r>
      <w:r>
        <w:rPr>
          <w:spacing w:val="40"/>
        </w:rPr>
        <w:t xml:space="preserve"> </w:t>
      </w:r>
      <w:r>
        <w:t>saying,</w:t>
      </w:r>
      <w:r>
        <w:rPr>
          <w:spacing w:val="40"/>
        </w:rPr>
        <w:t xml:space="preserve"> </w:t>
      </w:r>
      <w:r>
        <w:t>very</w:t>
      </w:r>
      <w:r>
        <w:rPr>
          <w:spacing w:val="40"/>
        </w:rPr>
        <w:t xml:space="preserve"> </w:t>
      </w:r>
      <w:r>
        <w:t>reasonably,</w:t>
      </w:r>
      <w:r>
        <w:rPr>
          <w:spacing w:val="40"/>
        </w:rPr>
        <w:t xml:space="preserve"> </w:t>
      </w:r>
      <w:r>
        <w:t>that</w:t>
      </w:r>
      <w:r>
        <w:rPr>
          <w:spacing w:val="40"/>
        </w:rPr>
        <w:t xml:space="preserve"> </w:t>
      </w:r>
      <w:r>
        <w:t>(4)</w:t>
      </w:r>
      <w:r>
        <w:rPr>
          <w:spacing w:val="40"/>
        </w:rPr>
        <w:t xml:space="preserve"> </w:t>
      </w:r>
      <w:r>
        <w:t>is</w:t>
      </w:r>
      <w:r>
        <w:rPr>
          <w:spacing w:val="40"/>
        </w:rPr>
        <w:t xml:space="preserve"> </w:t>
      </w:r>
      <w:r>
        <w:t>synonymous with:</w:t>
      </w:r>
    </w:p>
    <w:p w14:paraId="7E0008F5"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8F6" w14:textId="77777777" w:rsidR="009A58DB" w:rsidRDefault="00000000">
      <w:pPr>
        <w:pStyle w:val="BodyText"/>
        <w:spacing w:before="65"/>
      </w:pPr>
      <w:r>
        <w:lastRenderedPageBreak/>
        <w:t>(4</w:t>
      </w:r>
      <w:r>
        <w:rPr>
          <w:position w:val="-7"/>
          <w:sz w:val="22"/>
        </w:rPr>
        <w:t>F</w:t>
      </w:r>
      <w:r>
        <w:t>)</w:t>
      </w:r>
      <w:r>
        <w:rPr>
          <w:spacing w:val="-3"/>
        </w:rPr>
        <w:t xml:space="preserve"> </w:t>
      </w:r>
      <w:r>
        <w:t>“Brown</w:t>
      </w:r>
      <w:r>
        <w:rPr>
          <w:spacing w:val="-2"/>
        </w:rPr>
        <w:t xml:space="preserve"> </w:t>
      </w:r>
      <w:r>
        <w:t>is</w:t>
      </w:r>
      <w:r>
        <w:rPr>
          <w:spacing w:val="-3"/>
        </w:rPr>
        <w:t xml:space="preserve"> </w:t>
      </w:r>
      <w:r>
        <w:t>unmarried</w:t>
      </w:r>
      <w:r>
        <w:rPr>
          <w:spacing w:val="-2"/>
        </w:rPr>
        <w:t xml:space="preserve"> </w:t>
      </w:r>
      <w:r>
        <w:t>and</w:t>
      </w:r>
      <w:r>
        <w:rPr>
          <w:spacing w:val="-2"/>
        </w:rPr>
        <w:t xml:space="preserve"> </w:t>
      </w:r>
      <w:r>
        <w:t>Brown</w:t>
      </w:r>
      <w:r>
        <w:rPr>
          <w:spacing w:val="-2"/>
        </w:rPr>
        <w:t xml:space="preserve"> </w:t>
      </w:r>
      <w:r>
        <w:t>is</w:t>
      </w:r>
      <w:r>
        <w:rPr>
          <w:spacing w:val="-3"/>
        </w:rPr>
        <w:t xml:space="preserve"> </w:t>
      </w:r>
      <w:r>
        <w:t>an</w:t>
      </w:r>
      <w:r>
        <w:rPr>
          <w:spacing w:val="-1"/>
        </w:rPr>
        <w:t xml:space="preserve"> </w:t>
      </w:r>
      <w:r>
        <w:t>adult</w:t>
      </w:r>
      <w:r>
        <w:rPr>
          <w:spacing w:val="-3"/>
        </w:rPr>
        <w:t xml:space="preserve"> </w:t>
      </w:r>
      <w:r>
        <w:t>and</w:t>
      </w:r>
      <w:r>
        <w:rPr>
          <w:spacing w:val="-2"/>
        </w:rPr>
        <w:t xml:space="preserve"> </w:t>
      </w:r>
      <w:r>
        <w:t>is</w:t>
      </w:r>
      <w:r>
        <w:rPr>
          <w:spacing w:val="-3"/>
        </w:rPr>
        <w:t xml:space="preserve"> </w:t>
      </w:r>
      <w:r>
        <w:rPr>
          <w:spacing w:val="-2"/>
        </w:rPr>
        <w:t>male.”</w:t>
      </w:r>
    </w:p>
    <w:p w14:paraId="7E0008F7" w14:textId="77777777" w:rsidR="009A58DB" w:rsidRDefault="00000000">
      <w:pPr>
        <w:pStyle w:val="BodyText"/>
        <w:spacing w:before="207" w:line="249" w:lineRule="auto"/>
        <w:ind w:right="358"/>
      </w:pPr>
      <w:r>
        <w:t>Unlike (4), (4</w:t>
      </w:r>
      <w:r>
        <w:rPr>
          <w:position w:val="-7"/>
          <w:sz w:val="22"/>
        </w:rPr>
        <w:t>F</w:t>
      </w:r>
      <w:r>
        <w:t xml:space="preserve">) </w:t>
      </w:r>
      <w:r>
        <w:rPr>
          <w:i/>
        </w:rPr>
        <w:t xml:space="preserve">does </w:t>
      </w:r>
      <w:r>
        <w:t>formally entail (5). According to Wittgenstein, all apparent</w:t>
      </w:r>
      <w:r>
        <w:rPr>
          <w:spacing w:val="-5"/>
        </w:rPr>
        <w:t xml:space="preserve"> </w:t>
      </w:r>
      <w:r>
        <w:t>counterexamples</w:t>
      </w:r>
      <w:r>
        <w:rPr>
          <w:spacing w:val="-5"/>
        </w:rPr>
        <w:t xml:space="preserve"> </w:t>
      </w:r>
      <w:r>
        <w:t>to</w:t>
      </w:r>
      <w:r>
        <w:rPr>
          <w:spacing w:val="-4"/>
        </w:rPr>
        <w:t xml:space="preserve"> </w:t>
      </w:r>
      <w:r>
        <w:t>his</w:t>
      </w:r>
      <w:r>
        <w:rPr>
          <w:spacing w:val="-5"/>
        </w:rPr>
        <w:t xml:space="preserve"> </w:t>
      </w:r>
      <w:r>
        <w:t>thesis</w:t>
      </w:r>
      <w:r>
        <w:rPr>
          <w:spacing w:val="-5"/>
        </w:rPr>
        <w:t xml:space="preserve"> </w:t>
      </w:r>
      <w:r>
        <w:t>that</w:t>
      </w:r>
      <w:r>
        <w:rPr>
          <w:spacing w:val="-5"/>
        </w:rPr>
        <w:t xml:space="preserve"> </w:t>
      </w:r>
      <w:r>
        <w:t>all</w:t>
      </w:r>
      <w:r>
        <w:rPr>
          <w:spacing w:val="-5"/>
        </w:rPr>
        <w:t xml:space="preserve"> </w:t>
      </w:r>
      <w:r>
        <w:t>entailment</w:t>
      </w:r>
      <w:r>
        <w:rPr>
          <w:spacing w:val="-5"/>
        </w:rPr>
        <w:t xml:space="preserve"> </w:t>
      </w:r>
      <w:r>
        <w:t>is</w:t>
      </w:r>
      <w:r>
        <w:rPr>
          <w:spacing w:val="-5"/>
        </w:rPr>
        <w:t xml:space="preserve"> </w:t>
      </w:r>
      <w:r>
        <w:t>formal</w:t>
      </w:r>
      <w:r>
        <w:rPr>
          <w:spacing w:val="-5"/>
        </w:rPr>
        <w:t xml:space="preserve"> </w:t>
      </w:r>
      <w:r>
        <w:t>entailment can be dealt with similarly.</w:t>
      </w:r>
    </w:p>
    <w:p w14:paraId="7E0008F8" w14:textId="77777777" w:rsidR="009A58DB" w:rsidRDefault="00000000">
      <w:pPr>
        <w:pStyle w:val="BodyText"/>
        <w:spacing w:before="1" w:line="249" w:lineRule="auto"/>
        <w:ind w:right="360" w:firstLine="360"/>
      </w:pPr>
      <w:r>
        <w:t>But the method used in connection with this particular counterexample fails in connection with others. The sentence:</w:t>
      </w:r>
    </w:p>
    <w:p w14:paraId="7E0008F9" w14:textId="77777777" w:rsidR="009A58DB" w:rsidRDefault="00000000">
      <w:pPr>
        <w:pStyle w:val="ListParagraph"/>
        <w:numPr>
          <w:ilvl w:val="0"/>
          <w:numId w:val="219"/>
        </w:numPr>
        <w:tabs>
          <w:tab w:val="left" w:pos="782"/>
        </w:tabs>
        <w:spacing w:before="242" w:line="417" w:lineRule="auto"/>
        <w:ind w:right="6987" w:firstLine="0"/>
        <w:rPr>
          <w:sz w:val="30"/>
        </w:rPr>
      </w:pPr>
      <w:r>
        <w:rPr>
          <w:sz w:val="30"/>
        </w:rPr>
        <w:t>“Brown</w:t>
      </w:r>
      <w:r>
        <w:rPr>
          <w:spacing w:val="-12"/>
          <w:sz w:val="30"/>
        </w:rPr>
        <w:t xml:space="preserve"> </w:t>
      </w:r>
      <w:r>
        <w:rPr>
          <w:sz w:val="30"/>
        </w:rPr>
        <w:t>is</w:t>
      </w:r>
      <w:r>
        <w:rPr>
          <w:spacing w:val="-13"/>
          <w:sz w:val="30"/>
        </w:rPr>
        <w:t xml:space="preserve"> </w:t>
      </w:r>
      <w:r>
        <w:rPr>
          <w:sz w:val="30"/>
        </w:rPr>
        <w:t>a</w:t>
      </w:r>
      <w:r>
        <w:rPr>
          <w:spacing w:val="-13"/>
          <w:sz w:val="30"/>
        </w:rPr>
        <w:t xml:space="preserve"> </w:t>
      </w:r>
      <w:r>
        <w:rPr>
          <w:sz w:val="30"/>
        </w:rPr>
        <w:t xml:space="preserve">circle” </w:t>
      </w:r>
      <w:r>
        <w:rPr>
          <w:spacing w:val="-2"/>
          <w:sz w:val="30"/>
        </w:rPr>
        <w:t>entails</w:t>
      </w:r>
    </w:p>
    <w:p w14:paraId="7E0008FA" w14:textId="77777777" w:rsidR="009A58DB" w:rsidRDefault="00000000">
      <w:pPr>
        <w:pStyle w:val="ListParagraph"/>
        <w:numPr>
          <w:ilvl w:val="0"/>
          <w:numId w:val="219"/>
        </w:numPr>
        <w:tabs>
          <w:tab w:val="left" w:pos="782"/>
        </w:tabs>
        <w:spacing w:line="344" w:lineRule="exact"/>
        <w:ind w:left="782" w:hanging="422"/>
        <w:rPr>
          <w:sz w:val="30"/>
        </w:rPr>
      </w:pPr>
      <w:r>
        <w:rPr>
          <w:sz w:val="30"/>
        </w:rPr>
        <w:t>“Brown</w:t>
      </w:r>
      <w:r>
        <w:rPr>
          <w:spacing w:val="-4"/>
          <w:sz w:val="30"/>
        </w:rPr>
        <w:t xml:space="preserve"> </w:t>
      </w:r>
      <w:r>
        <w:rPr>
          <w:sz w:val="30"/>
        </w:rPr>
        <w:t>is</w:t>
      </w:r>
      <w:r>
        <w:rPr>
          <w:spacing w:val="-5"/>
          <w:sz w:val="30"/>
        </w:rPr>
        <w:t xml:space="preserve"> </w:t>
      </w:r>
      <w:r>
        <w:rPr>
          <w:sz w:val="30"/>
        </w:rPr>
        <w:t>a</w:t>
      </w:r>
      <w:r>
        <w:rPr>
          <w:spacing w:val="-4"/>
          <w:sz w:val="30"/>
        </w:rPr>
        <w:t xml:space="preserve"> </w:t>
      </w:r>
      <w:r>
        <w:rPr>
          <w:sz w:val="30"/>
        </w:rPr>
        <w:t>two-dimensional</w:t>
      </w:r>
      <w:r>
        <w:rPr>
          <w:spacing w:val="-4"/>
          <w:sz w:val="30"/>
        </w:rPr>
        <w:t xml:space="preserve"> </w:t>
      </w:r>
      <w:r>
        <w:rPr>
          <w:spacing w:val="-2"/>
          <w:sz w:val="30"/>
        </w:rPr>
        <w:t>figure.”</w:t>
      </w:r>
    </w:p>
    <w:p w14:paraId="7E0008FB" w14:textId="77777777" w:rsidR="009A58DB" w:rsidRDefault="00000000">
      <w:pPr>
        <w:pStyle w:val="BodyText"/>
        <w:spacing w:before="255" w:line="249" w:lineRule="auto"/>
        <w:ind w:right="357"/>
      </w:pPr>
      <w:r>
        <w:t xml:space="preserve">(8) doesn’t </w:t>
      </w:r>
      <w:r>
        <w:rPr>
          <w:i/>
        </w:rPr>
        <w:t xml:space="preserve">formally </w:t>
      </w:r>
      <w:r>
        <w:t xml:space="preserve">entail (9). Wittgenstein must say that (8) is synonymous with something that </w:t>
      </w:r>
      <w:r>
        <w:rPr>
          <w:i/>
        </w:rPr>
        <w:t xml:space="preserve">does </w:t>
      </w:r>
      <w:r>
        <w:t xml:space="preserve">formally entail (9). If there is </w:t>
      </w:r>
      <w:r>
        <w:rPr>
          <w:i/>
        </w:rPr>
        <w:t xml:space="preserve">any </w:t>
      </w:r>
      <w:r>
        <w:t>sentence that is synonymous with (8) that formally entails (9), it’s:</w:t>
      </w:r>
    </w:p>
    <w:p w14:paraId="7E0008FC" w14:textId="77777777" w:rsidR="009A58DB" w:rsidRDefault="00000000">
      <w:pPr>
        <w:pStyle w:val="ListParagraph"/>
        <w:numPr>
          <w:ilvl w:val="0"/>
          <w:numId w:val="219"/>
        </w:numPr>
        <w:tabs>
          <w:tab w:val="left" w:pos="956"/>
        </w:tabs>
        <w:spacing w:before="244" w:line="249" w:lineRule="auto"/>
        <w:ind w:right="1438" w:firstLine="0"/>
        <w:rPr>
          <w:sz w:val="30"/>
        </w:rPr>
      </w:pPr>
      <w:r>
        <w:rPr>
          <w:sz w:val="30"/>
        </w:rPr>
        <w:t xml:space="preserve">“Brown is a closed, planar, two-dimensional figure of uniform </w:t>
      </w:r>
      <w:r>
        <w:rPr>
          <w:spacing w:val="-2"/>
          <w:sz w:val="30"/>
        </w:rPr>
        <w:t>curvature.”</w:t>
      </w:r>
    </w:p>
    <w:p w14:paraId="7E0008FD" w14:textId="77777777" w:rsidR="009A58DB" w:rsidRDefault="00000000">
      <w:pPr>
        <w:pStyle w:val="ListParagraph"/>
        <w:numPr>
          <w:ilvl w:val="0"/>
          <w:numId w:val="218"/>
        </w:numPr>
        <w:tabs>
          <w:tab w:val="left" w:pos="935"/>
        </w:tabs>
        <w:spacing w:before="123"/>
        <w:ind w:left="935" w:hanging="575"/>
        <w:rPr>
          <w:sz w:val="30"/>
        </w:rPr>
      </w:pPr>
      <w:r>
        <w:rPr>
          <w:sz w:val="30"/>
        </w:rPr>
        <w:t>does</w:t>
      </w:r>
      <w:r>
        <w:rPr>
          <w:spacing w:val="-2"/>
          <w:sz w:val="30"/>
        </w:rPr>
        <w:t xml:space="preserve"> </w:t>
      </w:r>
      <w:r>
        <w:rPr>
          <w:sz w:val="30"/>
        </w:rPr>
        <w:t>indeed formally</w:t>
      </w:r>
      <w:r>
        <w:rPr>
          <w:spacing w:val="1"/>
          <w:sz w:val="30"/>
        </w:rPr>
        <w:t xml:space="preserve"> </w:t>
      </w:r>
      <w:r>
        <w:rPr>
          <w:sz w:val="30"/>
        </w:rPr>
        <w:t>entail</w:t>
      </w:r>
      <w:r>
        <w:rPr>
          <w:spacing w:val="-1"/>
          <w:sz w:val="30"/>
        </w:rPr>
        <w:t xml:space="preserve"> </w:t>
      </w:r>
      <w:r>
        <w:rPr>
          <w:sz w:val="30"/>
        </w:rPr>
        <w:t>(9). But</w:t>
      </w:r>
      <w:r>
        <w:rPr>
          <w:spacing w:val="-1"/>
          <w:sz w:val="30"/>
        </w:rPr>
        <w:t xml:space="preserve"> </w:t>
      </w:r>
      <w:r>
        <w:rPr>
          <w:sz w:val="30"/>
        </w:rPr>
        <w:t>(10) isn’t</w:t>
      </w:r>
      <w:r>
        <w:rPr>
          <w:spacing w:val="-1"/>
          <w:sz w:val="30"/>
        </w:rPr>
        <w:t xml:space="preserve"> </w:t>
      </w:r>
      <w:r>
        <w:rPr>
          <w:sz w:val="30"/>
        </w:rPr>
        <w:t>synonymous</w:t>
      </w:r>
      <w:r>
        <w:rPr>
          <w:spacing w:val="1"/>
          <w:sz w:val="30"/>
        </w:rPr>
        <w:t xml:space="preserve"> </w:t>
      </w:r>
      <w:r>
        <w:rPr>
          <w:spacing w:val="-4"/>
          <w:sz w:val="30"/>
        </w:rPr>
        <w:t>with</w:t>
      </w:r>
    </w:p>
    <w:p w14:paraId="7E0008FE" w14:textId="77777777" w:rsidR="009A58DB" w:rsidRDefault="00000000">
      <w:pPr>
        <w:pStyle w:val="BodyText"/>
        <w:spacing w:before="15"/>
        <w:jc w:val="left"/>
      </w:pPr>
      <w:r>
        <w:t>(8).</w:t>
      </w:r>
      <w:r>
        <w:rPr>
          <w:spacing w:val="-4"/>
        </w:rPr>
        <w:t xml:space="preserve"> </w:t>
      </w:r>
      <w:r>
        <w:t>That’s</w:t>
      </w:r>
      <w:r>
        <w:rPr>
          <w:spacing w:val="-3"/>
        </w:rPr>
        <w:t xml:space="preserve"> </w:t>
      </w:r>
      <w:r>
        <w:rPr>
          <w:spacing w:val="-4"/>
        </w:rPr>
        <w:t>why:</w:t>
      </w:r>
    </w:p>
    <w:p w14:paraId="7E0008FF" w14:textId="77777777" w:rsidR="009A58DB" w:rsidRDefault="00000000">
      <w:pPr>
        <w:pStyle w:val="ListParagraph"/>
        <w:numPr>
          <w:ilvl w:val="0"/>
          <w:numId w:val="218"/>
        </w:numPr>
        <w:tabs>
          <w:tab w:val="left" w:pos="932"/>
        </w:tabs>
        <w:spacing w:before="120" w:line="333" w:lineRule="auto"/>
        <w:ind w:left="360" w:right="4364" w:firstLine="0"/>
        <w:rPr>
          <w:sz w:val="30"/>
        </w:rPr>
      </w:pPr>
      <w:r>
        <w:rPr>
          <w:sz w:val="30"/>
        </w:rPr>
        <w:t>“Brown</w:t>
      </w:r>
      <w:r>
        <w:rPr>
          <w:spacing w:val="-4"/>
          <w:sz w:val="30"/>
        </w:rPr>
        <w:t xml:space="preserve"> </w:t>
      </w:r>
      <w:r>
        <w:rPr>
          <w:sz w:val="30"/>
        </w:rPr>
        <w:t>is</w:t>
      </w:r>
      <w:r>
        <w:rPr>
          <w:spacing w:val="-5"/>
          <w:sz w:val="30"/>
        </w:rPr>
        <w:t xml:space="preserve"> </w:t>
      </w:r>
      <w:r>
        <w:rPr>
          <w:sz w:val="30"/>
        </w:rPr>
        <w:t>a</w:t>
      </w:r>
      <w:r>
        <w:rPr>
          <w:spacing w:val="-5"/>
          <w:sz w:val="30"/>
        </w:rPr>
        <w:t xml:space="preserve"> </w:t>
      </w:r>
      <w:r>
        <w:rPr>
          <w:sz w:val="30"/>
        </w:rPr>
        <w:t>circle</w:t>
      </w:r>
      <w:r>
        <w:rPr>
          <w:spacing w:val="-5"/>
          <w:sz w:val="30"/>
        </w:rPr>
        <w:t xml:space="preserve"> </w:t>
      </w:r>
      <w:r>
        <w:rPr>
          <w:sz w:val="30"/>
        </w:rPr>
        <w:t>iff</w:t>
      </w:r>
      <w:r>
        <w:rPr>
          <w:spacing w:val="-5"/>
          <w:sz w:val="30"/>
        </w:rPr>
        <w:t xml:space="preserve"> </w:t>
      </w:r>
      <w:r>
        <w:rPr>
          <w:sz w:val="30"/>
        </w:rPr>
        <w:t>Brown</w:t>
      </w:r>
      <w:r>
        <w:rPr>
          <w:spacing w:val="-4"/>
          <w:sz w:val="30"/>
        </w:rPr>
        <w:t xml:space="preserve"> </w:t>
      </w:r>
      <w:r>
        <w:rPr>
          <w:sz w:val="30"/>
        </w:rPr>
        <w:t>is</w:t>
      </w:r>
      <w:r>
        <w:rPr>
          <w:spacing w:val="-5"/>
          <w:sz w:val="30"/>
        </w:rPr>
        <w:t xml:space="preserve"> </w:t>
      </w:r>
      <w:r>
        <w:rPr>
          <w:sz w:val="30"/>
        </w:rPr>
        <w:t>a</w:t>
      </w:r>
      <w:r>
        <w:rPr>
          <w:spacing w:val="-5"/>
          <w:sz w:val="30"/>
        </w:rPr>
        <w:t xml:space="preserve"> </w:t>
      </w:r>
      <w:r>
        <w:rPr>
          <w:sz w:val="30"/>
        </w:rPr>
        <w:t>circle” is trivial, and says nothing, whereas</w:t>
      </w:r>
    </w:p>
    <w:p w14:paraId="7E000900" w14:textId="77777777" w:rsidR="009A58DB" w:rsidRDefault="00000000">
      <w:pPr>
        <w:pStyle w:val="ListParagraph"/>
        <w:numPr>
          <w:ilvl w:val="0"/>
          <w:numId w:val="218"/>
        </w:numPr>
        <w:tabs>
          <w:tab w:val="left" w:pos="947"/>
        </w:tabs>
        <w:spacing w:before="1" w:line="249" w:lineRule="auto"/>
        <w:ind w:left="360" w:right="361" w:firstLine="0"/>
        <w:rPr>
          <w:sz w:val="30"/>
        </w:rPr>
      </w:pPr>
      <w:r>
        <w:rPr>
          <w:sz w:val="30"/>
        </w:rPr>
        <w:t>“Brown is a circle iff Brown is a closed, planar, two-dimensional figure of uniform curvature”</w:t>
      </w:r>
    </w:p>
    <w:p w14:paraId="7E000901" w14:textId="77777777" w:rsidR="009A58DB" w:rsidRDefault="00000000">
      <w:pPr>
        <w:pStyle w:val="BodyText"/>
        <w:spacing w:before="242"/>
      </w:pPr>
      <w:r>
        <w:t>is</w:t>
      </w:r>
      <w:r>
        <w:rPr>
          <w:spacing w:val="-3"/>
        </w:rPr>
        <w:t xml:space="preserve"> </w:t>
      </w:r>
      <w:r>
        <w:t>non-</w:t>
      </w:r>
      <w:r>
        <w:rPr>
          <w:spacing w:val="-2"/>
        </w:rPr>
        <w:t>trivial.</w:t>
      </w:r>
    </w:p>
    <w:p w14:paraId="7E000902" w14:textId="77777777" w:rsidR="009A58DB" w:rsidRDefault="00000000">
      <w:pPr>
        <w:pStyle w:val="BodyText"/>
        <w:spacing w:before="15" w:line="249" w:lineRule="auto"/>
        <w:ind w:right="359" w:firstLine="360"/>
      </w:pPr>
      <w:r>
        <w:t>(12)</w:t>
      </w:r>
      <w:r>
        <w:rPr>
          <w:spacing w:val="-2"/>
        </w:rPr>
        <w:t xml:space="preserve"> </w:t>
      </w:r>
      <w:r>
        <w:t>doesn’t</w:t>
      </w:r>
      <w:r>
        <w:rPr>
          <w:spacing w:val="-2"/>
        </w:rPr>
        <w:t xml:space="preserve"> </w:t>
      </w:r>
      <w:r>
        <w:t>say</w:t>
      </w:r>
      <w:r>
        <w:rPr>
          <w:spacing w:val="-2"/>
        </w:rPr>
        <w:t xml:space="preserve"> </w:t>
      </w:r>
      <w:r>
        <w:t>anything</w:t>
      </w:r>
      <w:r>
        <w:rPr>
          <w:spacing w:val="-2"/>
        </w:rPr>
        <w:t xml:space="preserve"> </w:t>
      </w:r>
      <w:r>
        <w:t>about</w:t>
      </w:r>
      <w:r>
        <w:rPr>
          <w:spacing w:val="-2"/>
        </w:rPr>
        <w:t xml:space="preserve"> </w:t>
      </w:r>
      <w:r>
        <w:t>the</w:t>
      </w:r>
      <w:r>
        <w:rPr>
          <w:spacing w:val="-2"/>
        </w:rPr>
        <w:t xml:space="preserve"> </w:t>
      </w:r>
      <w:r>
        <w:rPr>
          <w:i/>
        </w:rPr>
        <w:t>spatiotemporal</w:t>
      </w:r>
      <w:r>
        <w:rPr>
          <w:i/>
          <w:spacing w:val="-5"/>
        </w:rPr>
        <w:t xml:space="preserve"> </w:t>
      </w:r>
      <w:r>
        <w:t xml:space="preserve">world. (12) is logically true; its truth is guaranteed by the structures of the concepts composing it. Unlike (11), (12) isn’t a tautology. Therefore, it’s a non-tautologous, non-empirical truth. Thus, there are non-formal entailments, and this entails that the Tractarian conception criterion of meaningfulness advocated false. (“Tractarian” is the adjective form of “the </w:t>
      </w:r>
      <w:r>
        <w:rPr>
          <w:i/>
        </w:rPr>
        <w:t>Tractatus Logic-Philosophicus</w:t>
      </w:r>
      <w:r>
        <w:t>.”)</w:t>
      </w:r>
    </w:p>
    <w:p w14:paraId="7E000903" w14:textId="77777777" w:rsidR="009A58DB" w:rsidRDefault="00000000">
      <w:pPr>
        <w:pStyle w:val="Heading1"/>
        <w:numPr>
          <w:ilvl w:val="1"/>
          <w:numId w:val="217"/>
        </w:numPr>
        <w:tabs>
          <w:tab w:val="left" w:pos="2118"/>
        </w:tabs>
        <w:spacing w:before="210"/>
        <w:ind w:hanging="1758"/>
        <w:jc w:val="both"/>
      </w:pPr>
      <w:r>
        <w:t>Why</w:t>
      </w:r>
      <w:r>
        <w:rPr>
          <w:spacing w:val="16"/>
        </w:rPr>
        <w:t xml:space="preserve">  </w:t>
      </w:r>
      <w:r>
        <w:t>the</w:t>
      </w:r>
      <w:r>
        <w:rPr>
          <w:spacing w:val="17"/>
        </w:rPr>
        <w:t xml:space="preserve">  </w:t>
      </w:r>
      <w:r>
        <w:t>concept</w:t>
      </w:r>
      <w:r>
        <w:rPr>
          <w:spacing w:val="17"/>
        </w:rPr>
        <w:t xml:space="preserve">  </w:t>
      </w:r>
      <w:r>
        <w:t>of</w:t>
      </w:r>
      <w:r>
        <w:rPr>
          <w:spacing w:val="17"/>
        </w:rPr>
        <w:t xml:space="preserve">  </w:t>
      </w:r>
      <w:r>
        <w:t>a</w:t>
      </w:r>
      <w:r>
        <w:rPr>
          <w:spacing w:val="17"/>
        </w:rPr>
        <w:t xml:space="preserve">  </w:t>
      </w:r>
      <w:r>
        <w:t>logically</w:t>
      </w:r>
      <w:r>
        <w:rPr>
          <w:spacing w:val="17"/>
        </w:rPr>
        <w:t xml:space="preserve">  </w:t>
      </w:r>
      <w:r>
        <w:rPr>
          <w:spacing w:val="-2"/>
        </w:rPr>
        <w:t>perfect</w:t>
      </w:r>
    </w:p>
    <w:p w14:paraId="7E000904" w14:textId="77777777" w:rsidR="009A58DB" w:rsidRDefault="009A58DB">
      <w:pPr>
        <w:pStyle w:val="Heading1"/>
        <w:jc w:val="both"/>
        <w:sectPr w:rsidR="009A58DB">
          <w:pgSz w:w="12240" w:h="15840"/>
          <w:pgMar w:top="1380" w:right="1080" w:bottom="280" w:left="1080" w:header="720" w:footer="720" w:gutter="0"/>
          <w:cols w:space="720"/>
        </w:sectPr>
      </w:pPr>
    </w:p>
    <w:p w14:paraId="7E000905" w14:textId="77777777" w:rsidR="009A58DB" w:rsidRDefault="00000000">
      <w:pPr>
        <w:spacing w:before="64" w:line="244" w:lineRule="auto"/>
        <w:ind w:left="1080" w:right="364"/>
        <w:rPr>
          <w:b/>
          <w:sz w:val="42"/>
        </w:rPr>
      </w:pPr>
      <w:r>
        <w:rPr>
          <w:b/>
          <w:sz w:val="42"/>
        </w:rPr>
        <w:lastRenderedPageBreak/>
        <w:t>language</w:t>
      </w:r>
      <w:r>
        <w:rPr>
          <w:b/>
          <w:spacing w:val="40"/>
          <w:sz w:val="42"/>
        </w:rPr>
        <w:t xml:space="preserve"> </w:t>
      </w:r>
      <w:r>
        <w:rPr>
          <w:b/>
          <w:sz w:val="42"/>
        </w:rPr>
        <w:t>is</w:t>
      </w:r>
      <w:r>
        <w:rPr>
          <w:b/>
          <w:spacing w:val="40"/>
          <w:sz w:val="42"/>
        </w:rPr>
        <w:t xml:space="preserve"> </w:t>
      </w:r>
      <w:r>
        <w:rPr>
          <w:b/>
          <w:sz w:val="42"/>
        </w:rPr>
        <w:t>an</w:t>
      </w:r>
      <w:r>
        <w:rPr>
          <w:b/>
          <w:spacing w:val="40"/>
          <w:sz w:val="42"/>
        </w:rPr>
        <w:t xml:space="preserve"> </w:t>
      </w:r>
      <w:r>
        <w:rPr>
          <w:b/>
          <w:sz w:val="42"/>
        </w:rPr>
        <w:t>incoherent</w:t>
      </w:r>
      <w:r>
        <w:rPr>
          <w:b/>
          <w:spacing w:val="40"/>
          <w:sz w:val="42"/>
        </w:rPr>
        <w:t xml:space="preserve"> </w:t>
      </w:r>
      <w:r>
        <w:rPr>
          <w:b/>
          <w:sz w:val="42"/>
        </w:rPr>
        <w:t>one</w:t>
      </w:r>
      <w:r>
        <w:rPr>
          <w:b/>
          <w:spacing w:val="40"/>
          <w:sz w:val="42"/>
        </w:rPr>
        <w:t xml:space="preserve"> </w:t>
      </w:r>
      <w:r>
        <w:rPr>
          <w:b/>
          <w:sz w:val="42"/>
        </w:rPr>
        <w:t>(This</w:t>
      </w:r>
      <w:r>
        <w:rPr>
          <w:b/>
          <w:spacing w:val="40"/>
          <w:sz w:val="42"/>
        </w:rPr>
        <w:t xml:space="preserve"> </w:t>
      </w:r>
      <w:r>
        <w:rPr>
          <w:b/>
          <w:sz w:val="42"/>
        </w:rPr>
        <w:t>section</w:t>
      </w:r>
      <w:r>
        <w:rPr>
          <w:b/>
          <w:spacing w:val="40"/>
          <w:sz w:val="42"/>
        </w:rPr>
        <w:t xml:space="preserve"> </w:t>
      </w:r>
      <w:r>
        <w:rPr>
          <w:b/>
          <w:sz w:val="42"/>
        </w:rPr>
        <w:t>is hard and should be skipped on a first reading.)</w:t>
      </w:r>
    </w:p>
    <w:p w14:paraId="7E000906" w14:textId="77777777" w:rsidR="009A58DB" w:rsidRDefault="00000000">
      <w:pPr>
        <w:pStyle w:val="BodyText"/>
        <w:spacing w:before="125" w:line="249" w:lineRule="auto"/>
        <w:ind w:right="370"/>
      </w:pPr>
      <w:r>
        <w:t xml:space="preserve">Let’s say that a sentence is </w:t>
      </w:r>
      <w:r>
        <w:rPr>
          <w:b/>
          <w:i/>
        </w:rPr>
        <w:t>perspicuous</w:t>
      </w:r>
      <w:r>
        <w:rPr>
          <w:b/>
          <w:i/>
          <w:spacing w:val="-4"/>
        </w:rPr>
        <w:t xml:space="preserve"> </w:t>
      </w:r>
      <w:r>
        <w:t xml:space="preserve">iff its logical and grammatical forms coincide; and let’s say that a language is </w:t>
      </w:r>
      <w:r>
        <w:rPr>
          <w:b/>
          <w:i/>
        </w:rPr>
        <w:t xml:space="preserve">logically perfect </w:t>
      </w:r>
      <w:r>
        <w:t>iff every sentence belonging to it is perspicuous.</w:t>
      </w:r>
    </w:p>
    <w:p w14:paraId="7E000907" w14:textId="77777777" w:rsidR="009A58DB" w:rsidRDefault="00000000">
      <w:pPr>
        <w:pStyle w:val="BodyText"/>
        <w:spacing w:before="4" w:line="252" w:lineRule="auto"/>
        <w:ind w:right="358" w:firstLine="360"/>
        <w:rPr>
          <w:position w:val="10"/>
        </w:rPr>
      </w:pPr>
      <w:r>
        <w:t xml:space="preserve">Many non-perspicuous sentences belong to any given natural language (e.g., English, Swedish). One of Wittgenstein’s objectives in the TLP is to identify the conditions that a language must meet if it is to be logically perfect. Wittgenstein takes it for granted that the concept of such a language is a coherent one. Influenced by the TLP, many early analytic philosophers longed for the day when logically perfect languages would replace natural </w:t>
      </w:r>
      <w:r>
        <w:rPr>
          <w:spacing w:val="-2"/>
        </w:rPr>
        <w:t>languages</w:t>
      </w:r>
      <w:bookmarkStart w:id="95" w:name="_bookmark95"/>
      <w:bookmarkEnd w:id="95"/>
      <w:r>
        <w:rPr>
          <w:spacing w:val="-2"/>
        </w:rPr>
        <w:t>.</w:t>
      </w:r>
      <w:r>
        <w:rPr>
          <w:color w:val="0562C1"/>
          <w:spacing w:val="-2"/>
          <w:position w:val="10"/>
          <w:u w:val="single" w:color="0562C1"/>
        </w:rPr>
        <w:t>95</w:t>
      </w:r>
    </w:p>
    <w:p w14:paraId="7E000908" w14:textId="77777777" w:rsidR="009A58DB" w:rsidRDefault="00000000">
      <w:pPr>
        <w:pStyle w:val="BodyText"/>
        <w:spacing w:line="249" w:lineRule="auto"/>
        <w:ind w:right="358" w:firstLine="360"/>
      </w:pPr>
      <w:r>
        <w:t xml:space="preserve">In any case, the concept of a logically perfect language is not a coherent one. It isn’t possible for </w:t>
      </w:r>
      <w:r>
        <w:rPr>
          <w:i/>
        </w:rPr>
        <w:t xml:space="preserve">everything </w:t>
      </w:r>
      <w:r>
        <w:t>about a sentence’s meaning to be</w:t>
      </w:r>
      <w:r>
        <w:rPr>
          <w:spacing w:val="40"/>
        </w:rPr>
        <w:t xml:space="preserve"> </w:t>
      </w:r>
      <w:r>
        <w:t xml:space="preserve">reflected in its grammar. And if </w:t>
      </w:r>
      <w:r>
        <w:rPr>
          <w:i/>
        </w:rPr>
        <w:t xml:space="preserve">per impossibile </w:t>
      </w:r>
      <w:r>
        <w:t>there did exist a logically perfect language, it would be expressively inferior to English, Arabic, and every other natural language. In other words, there would be much that couldn’t be said in it that could be said in any natural language.</w:t>
      </w:r>
    </w:p>
    <w:p w14:paraId="7E000909" w14:textId="77777777" w:rsidR="009A58DB" w:rsidRDefault="00000000">
      <w:pPr>
        <w:pStyle w:val="BodyText"/>
        <w:spacing w:line="249" w:lineRule="auto"/>
        <w:ind w:right="359" w:firstLine="360"/>
      </w:pPr>
      <w:r>
        <w:t xml:space="preserve">More precisely, for each analytic truth capable of being expressed by a logically perfect language, there would be infinitely many that it could not express </w:t>
      </w:r>
      <w:r>
        <w:rPr>
          <w:i/>
        </w:rPr>
        <w:t xml:space="preserve">and </w:t>
      </w:r>
      <w:r>
        <w:t xml:space="preserve">that English or Spanish or any other natural language </w:t>
      </w:r>
      <w:r>
        <w:rPr>
          <w:i/>
        </w:rPr>
        <w:t xml:space="preserve">could </w:t>
      </w:r>
      <w:r>
        <w:t>express. At the same time, there would be no truth that could be expressed in a logically perfectly language that couldn’t also be expressed in a logically imperfect language, such as English. Let us now discuss why this is so.</w:t>
      </w:r>
    </w:p>
    <w:p w14:paraId="7E00090A" w14:textId="77777777" w:rsidR="009A58DB" w:rsidRDefault="00000000">
      <w:pPr>
        <w:pStyle w:val="BodyText"/>
        <w:spacing w:before="4" w:line="249" w:lineRule="auto"/>
        <w:ind w:right="359" w:firstLine="360"/>
      </w:pPr>
      <w:r>
        <w:t xml:space="preserve">A sentence belonging to a logically perfect language is analytically true iff it is formally true. </w:t>
      </w:r>
      <w:r>
        <w:rPr>
          <w:i/>
        </w:rPr>
        <w:t>Why</w:t>
      </w:r>
      <w:r>
        <w:rPr>
          <w:i/>
          <w:spacing w:val="40"/>
        </w:rPr>
        <w:t xml:space="preserve"> </w:t>
      </w:r>
      <w:r>
        <w:rPr>
          <w:i/>
        </w:rPr>
        <w:t xml:space="preserve">is this? </w:t>
      </w:r>
      <w:r>
        <w:t>A sentence is perspicuous only to the extent that its grammatical form makes it clear what it says and, therefore, makes it clear what it entails and what entails it. Bearing this in mind, let S be some arbitrary sentence. To the extent that there are false sentences, or true but non-analytic sentences, that have the same surface-structure as S, S’s grammatical and logical forms don’t coalesce and, consequently, S isn’t perspicuous. So an analytically true sentence is perspicuous only if all other sentences having the same form are true. A sentence is formally true if, and only</w:t>
      </w:r>
      <w:r>
        <w:rPr>
          <w:spacing w:val="70"/>
        </w:rPr>
        <w:t xml:space="preserve"> </w:t>
      </w:r>
      <w:r>
        <w:t>if,</w:t>
      </w:r>
      <w:r>
        <w:rPr>
          <w:spacing w:val="70"/>
        </w:rPr>
        <w:t xml:space="preserve"> </w:t>
      </w:r>
      <w:r>
        <w:t>any</w:t>
      </w:r>
      <w:r>
        <w:rPr>
          <w:spacing w:val="70"/>
        </w:rPr>
        <w:t xml:space="preserve"> </w:t>
      </w:r>
      <w:r>
        <w:t>sentence</w:t>
      </w:r>
      <w:r>
        <w:rPr>
          <w:spacing w:val="70"/>
        </w:rPr>
        <w:t xml:space="preserve"> </w:t>
      </w:r>
      <w:r>
        <w:t>having</w:t>
      </w:r>
      <w:r>
        <w:rPr>
          <w:spacing w:val="70"/>
        </w:rPr>
        <w:t xml:space="preserve"> </w:t>
      </w:r>
      <w:r>
        <w:t>the</w:t>
      </w:r>
      <w:r>
        <w:rPr>
          <w:spacing w:val="70"/>
        </w:rPr>
        <w:t xml:space="preserve"> </w:t>
      </w:r>
      <w:r>
        <w:t>same</w:t>
      </w:r>
      <w:r>
        <w:rPr>
          <w:spacing w:val="70"/>
        </w:rPr>
        <w:t xml:space="preserve"> </w:t>
      </w:r>
      <w:r>
        <w:t>form</w:t>
      </w:r>
      <w:r>
        <w:rPr>
          <w:spacing w:val="70"/>
        </w:rPr>
        <w:t xml:space="preserve"> </w:t>
      </w:r>
      <w:r>
        <w:t>is</w:t>
      </w:r>
      <w:r>
        <w:rPr>
          <w:spacing w:val="70"/>
        </w:rPr>
        <w:t xml:space="preserve"> </w:t>
      </w:r>
      <w:r>
        <w:t>true.</w:t>
      </w:r>
      <w:r>
        <w:rPr>
          <w:spacing w:val="70"/>
        </w:rPr>
        <w:t xml:space="preserve"> </w:t>
      </w:r>
      <w:r>
        <w:t>Thus,</w:t>
      </w:r>
      <w:r>
        <w:rPr>
          <w:spacing w:val="70"/>
        </w:rPr>
        <w:t xml:space="preserve"> </w:t>
      </w:r>
      <w:r>
        <w:t>a</w:t>
      </w:r>
      <w:r>
        <w:rPr>
          <w:spacing w:val="70"/>
        </w:rPr>
        <w:t xml:space="preserve"> </w:t>
      </w:r>
      <w:r>
        <w:t>sentence</w:t>
      </w:r>
      <w:r>
        <w:rPr>
          <w:spacing w:val="71"/>
        </w:rPr>
        <w:t xml:space="preserve"> </w:t>
      </w:r>
      <w:r>
        <w:t>is</w:t>
      </w:r>
    </w:p>
    <w:p w14:paraId="7E00090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90C" w14:textId="77777777" w:rsidR="009A58DB" w:rsidRDefault="00000000">
      <w:pPr>
        <w:pStyle w:val="BodyText"/>
        <w:spacing w:before="65" w:line="254" w:lineRule="auto"/>
        <w:ind w:right="372"/>
        <w:rPr>
          <w:position w:val="10"/>
        </w:rPr>
      </w:pPr>
      <w:r>
        <w:lastRenderedPageBreak/>
        <w:t>perspicuous only if formally true. Therefore, a sentence belonging to a logically perfect language is analytic only if formally true</w:t>
      </w:r>
      <w:bookmarkStart w:id="96" w:name="_bookmark96"/>
      <w:bookmarkEnd w:id="96"/>
      <w:r>
        <w:t>.</w:t>
      </w:r>
      <w:r>
        <w:rPr>
          <w:color w:val="0562C1"/>
          <w:position w:val="10"/>
          <w:u w:val="single" w:color="0562C1"/>
        </w:rPr>
        <w:t>96</w:t>
      </w:r>
    </w:p>
    <w:p w14:paraId="7E00090D" w14:textId="77777777" w:rsidR="009A58DB" w:rsidRDefault="00000000">
      <w:pPr>
        <w:pStyle w:val="BodyText"/>
        <w:spacing w:line="249" w:lineRule="auto"/>
        <w:ind w:right="371" w:firstLine="360"/>
      </w:pPr>
      <w:r>
        <w:t>A consequence is that, for each analytic truth that a logically perfect language can express, there are infinitely many that it cannot express. Given any object x and any property phi, the sentence</w:t>
      </w:r>
    </w:p>
    <w:p w14:paraId="7E00090E" w14:textId="77777777" w:rsidR="009A58DB" w:rsidRDefault="00000000">
      <w:pPr>
        <w:pStyle w:val="BodyText"/>
        <w:spacing w:before="342"/>
        <w:jc w:val="left"/>
      </w:pPr>
      <w:r>
        <w:t>(S</w:t>
      </w:r>
      <w:r>
        <w:rPr>
          <w:vertAlign w:val="subscript"/>
        </w:rPr>
        <w:t>1</w:t>
      </w:r>
      <w:r>
        <w:t>)</w:t>
      </w:r>
      <w:r>
        <w:rPr>
          <w:spacing w:val="-1"/>
        </w:rPr>
        <w:t xml:space="preserve"> </w:t>
      </w:r>
      <w:r>
        <w:t>‹if</w:t>
      </w:r>
      <w:r>
        <w:rPr>
          <w:spacing w:val="-1"/>
        </w:rPr>
        <w:t xml:space="preserve"> </w:t>
      </w:r>
      <w:r>
        <w:t>x has</w:t>
      </w:r>
      <w:r>
        <w:rPr>
          <w:spacing w:val="-1"/>
        </w:rPr>
        <w:t xml:space="preserve"> </w:t>
      </w:r>
      <w:r>
        <w:t>phi, then it</w:t>
      </w:r>
      <w:r>
        <w:rPr>
          <w:spacing w:val="-1"/>
        </w:rPr>
        <w:t xml:space="preserve"> </w:t>
      </w:r>
      <w:r>
        <w:t>is</w:t>
      </w:r>
      <w:r>
        <w:rPr>
          <w:spacing w:val="-1"/>
        </w:rPr>
        <w:t xml:space="preserve"> </w:t>
      </w:r>
      <w:r>
        <w:t>not the</w:t>
      </w:r>
      <w:r>
        <w:rPr>
          <w:spacing w:val="-1"/>
        </w:rPr>
        <w:t xml:space="preserve"> </w:t>
      </w:r>
      <w:r>
        <w:t>case</w:t>
      </w:r>
      <w:r>
        <w:rPr>
          <w:spacing w:val="-1"/>
        </w:rPr>
        <w:t xml:space="preserve"> </w:t>
      </w:r>
      <w:r>
        <w:t>that</w:t>
      </w:r>
      <w:r>
        <w:rPr>
          <w:spacing w:val="-1"/>
        </w:rPr>
        <w:t xml:space="preserve"> </w:t>
      </w:r>
      <w:r>
        <w:t>x does</w:t>
      </w:r>
      <w:r>
        <w:rPr>
          <w:spacing w:val="-1"/>
        </w:rPr>
        <w:t xml:space="preserve"> </w:t>
      </w:r>
      <w:r>
        <w:t>not</w:t>
      </w:r>
      <w:r>
        <w:rPr>
          <w:spacing w:val="-1"/>
        </w:rPr>
        <w:t xml:space="preserve"> </w:t>
      </w:r>
      <w:r>
        <w:t>have</w:t>
      </w:r>
      <w:r>
        <w:rPr>
          <w:spacing w:val="-1"/>
        </w:rPr>
        <w:t xml:space="preserve"> </w:t>
      </w:r>
      <w:r>
        <w:rPr>
          <w:spacing w:val="-4"/>
        </w:rPr>
        <w:t>phi›</w:t>
      </w:r>
    </w:p>
    <w:p w14:paraId="7E00090F" w14:textId="77777777" w:rsidR="009A58DB" w:rsidRDefault="00000000">
      <w:pPr>
        <w:pStyle w:val="BodyText"/>
        <w:spacing w:before="270" w:line="249" w:lineRule="auto"/>
        <w:ind w:right="364"/>
      </w:pPr>
      <w:r>
        <w:t>is perspicuous, the reason being that nothing having the same surface structure is false. But the superficially similar sentence</w:t>
      </w:r>
    </w:p>
    <w:p w14:paraId="7E000910" w14:textId="77777777" w:rsidR="009A58DB" w:rsidRDefault="00000000">
      <w:pPr>
        <w:pStyle w:val="BodyText"/>
        <w:spacing w:before="332" w:line="292" w:lineRule="auto"/>
        <w:ind w:left="570" w:right="364" w:hanging="210"/>
      </w:pPr>
      <w:r>
        <w:t>(S</w:t>
      </w:r>
      <w:r>
        <w:rPr>
          <w:vertAlign w:val="subscript"/>
        </w:rPr>
        <w:t>2</w:t>
      </w:r>
      <w:r>
        <w:t>) “given any object x and any property phi</w:t>
      </w:r>
      <w:r>
        <w:rPr>
          <w:i/>
        </w:rPr>
        <w:t>,</w:t>
      </w:r>
      <w:r>
        <w:rPr>
          <w:i/>
          <w:spacing w:val="-1"/>
        </w:rPr>
        <w:t xml:space="preserve"> </w:t>
      </w:r>
      <w:r>
        <w:t xml:space="preserve">x has phi, then x does not have </w:t>
      </w:r>
      <w:r>
        <w:rPr>
          <w:spacing w:val="-4"/>
        </w:rPr>
        <w:t>phi”</w:t>
      </w:r>
    </w:p>
    <w:p w14:paraId="7E000911" w14:textId="77777777" w:rsidR="009A58DB" w:rsidRDefault="00000000">
      <w:pPr>
        <w:pStyle w:val="BodyText"/>
        <w:spacing w:before="134"/>
        <w:jc w:val="left"/>
      </w:pPr>
      <w:r>
        <w:t>is</w:t>
      </w:r>
      <w:r>
        <w:rPr>
          <w:spacing w:val="-5"/>
        </w:rPr>
        <w:t xml:space="preserve"> </w:t>
      </w:r>
      <w:r>
        <w:rPr>
          <w:i/>
        </w:rPr>
        <w:t>not</w:t>
      </w:r>
      <w:r>
        <w:rPr>
          <w:i/>
          <w:spacing w:val="-4"/>
        </w:rPr>
        <w:t xml:space="preserve"> </w:t>
      </w:r>
      <w:r>
        <w:t>perspicuous,</w:t>
      </w:r>
      <w:r>
        <w:rPr>
          <w:spacing w:val="-3"/>
        </w:rPr>
        <w:t xml:space="preserve"> </w:t>
      </w:r>
      <w:r>
        <w:t>since</w:t>
      </w:r>
      <w:r>
        <w:rPr>
          <w:spacing w:val="-3"/>
        </w:rPr>
        <w:t xml:space="preserve"> </w:t>
      </w:r>
      <w:r>
        <w:t>it</w:t>
      </w:r>
      <w:r>
        <w:rPr>
          <w:spacing w:val="-4"/>
        </w:rPr>
        <w:t xml:space="preserve"> </w:t>
      </w:r>
      <w:r>
        <w:t>has</w:t>
      </w:r>
      <w:r>
        <w:rPr>
          <w:spacing w:val="-4"/>
        </w:rPr>
        <w:t xml:space="preserve"> </w:t>
      </w:r>
      <w:r>
        <w:t>the</w:t>
      </w:r>
      <w:r>
        <w:rPr>
          <w:spacing w:val="-3"/>
        </w:rPr>
        <w:t xml:space="preserve"> </w:t>
      </w:r>
      <w:r>
        <w:t>same</w:t>
      </w:r>
      <w:r>
        <w:rPr>
          <w:spacing w:val="-4"/>
        </w:rPr>
        <w:t xml:space="preserve"> </w:t>
      </w:r>
      <w:r>
        <w:t>surface</w:t>
      </w:r>
      <w:r>
        <w:rPr>
          <w:spacing w:val="-4"/>
        </w:rPr>
        <w:t xml:space="preserve"> </w:t>
      </w:r>
      <w:r>
        <w:t>structure</w:t>
      </w:r>
      <w:r>
        <w:rPr>
          <w:spacing w:val="-3"/>
        </w:rPr>
        <w:t xml:space="preserve"> </w:t>
      </w:r>
      <w:r>
        <w:rPr>
          <w:spacing w:val="-5"/>
        </w:rPr>
        <w:t>as:</w:t>
      </w:r>
    </w:p>
    <w:p w14:paraId="7E000912" w14:textId="77777777" w:rsidR="009A58DB" w:rsidRDefault="009A58DB">
      <w:pPr>
        <w:pStyle w:val="BodyText"/>
        <w:spacing w:before="15"/>
        <w:ind w:left="0"/>
        <w:jc w:val="left"/>
      </w:pPr>
    </w:p>
    <w:p w14:paraId="7E000913" w14:textId="77777777" w:rsidR="009A58DB" w:rsidRDefault="00000000">
      <w:pPr>
        <w:pStyle w:val="BodyText"/>
        <w:spacing w:line="292" w:lineRule="auto"/>
        <w:ind w:left="570" w:right="357" w:hanging="210"/>
      </w:pPr>
      <w:r>
        <w:t>(S</w:t>
      </w:r>
      <w:r>
        <w:rPr>
          <w:vertAlign w:val="subscript"/>
        </w:rPr>
        <w:t>3</w:t>
      </w:r>
      <w:r>
        <w:t>) “given no object x and no property phi</w:t>
      </w:r>
      <w:r>
        <w:rPr>
          <w:i/>
        </w:rPr>
        <w:t>,</w:t>
      </w:r>
      <w:r>
        <w:rPr>
          <w:i/>
          <w:spacing w:val="-1"/>
        </w:rPr>
        <w:t xml:space="preserve"> </w:t>
      </w:r>
      <w:r>
        <w:t xml:space="preserve">if x has phi, then x does not have </w:t>
      </w:r>
      <w:r>
        <w:rPr>
          <w:spacing w:val="-2"/>
        </w:rPr>
        <w:t>phi,”</w:t>
      </w:r>
    </w:p>
    <w:p w14:paraId="7E000914" w14:textId="77777777" w:rsidR="009A58DB" w:rsidRDefault="00000000">
      <w:pPr>
        <w:pStyle w:val="BodyText"/>
        <w:spacing w:before="133" w:line="249" w:lineRule="auto"/>
        <w:ind w:right="362"/>
      </w:pPr>
      <w:r>
        <w:t>which is false. Formally true sentences are instances of informally true universal generalizations. So no sentence capable of expressing such generalizations is logically perfect.</w:t>
      </w:r>
    </w:p>
    <w:p w14:paraId="7E000915" w14:textId="77777777" w:rsidR="009A58DB" w:rsidRDefault="00000000">
      <w:pPr>
        <w:pStyle w:val="BodyText"/>
        <w:spacing w:before="4" w:line="249" w:lineRule="auto"/>
        <w:ind w:right="359" w:firstLine="360"/>
      </w:pPr>
      <w:r>
        <w:t xml:space="preserve">This point has important and often overlooked consequences. Making a </w:t>
      </w:r>
      <w:r>
        <w:rPr>
          <w:b/>
          <w:i/>
        </w:rPr>
        <w:t xml:space="preserve">valid </w:t>
      </w:r>
      <w:r>
        <w:t>deductive inference involves recognizing an entailment. Your deductively inferring Q from P involves your recognizing that P entails Q. The only way to know that some formal entailment is valid is to know that some informal entailment is valid. You know that:</w:t>
      </w:r>
    </w:p>
    <w:p w14:paraId="7E000916" w14:textId="77777777" w:rsidR="009A58DB" w:rsidRDefault="009A58DB">
      <w:pPr>
        <w:pStyle w:val="BodyText"/>
        <w:spacing w:before="21"/>
        <w:ind w:left="0"/>
        <w:jc w:val="left"/>
      </w:pPr>
    </w:p>
    <w:p w14:paraId="7E000917" w14:textId="77777777" w:rsidR="009A58DB" w:rsidRDefault="00000000">
      <w:pPr>
        <w:pStyle w:val="BodyText"/>
        <w:spacing w:line="542" w:lineRule="auto"/>
        <w:ind w:right="6065"/>
        <w:jc w:val="left"/>
      </w:pPr>
      <w:r>
        <w:t>(S</w:t>
      </w:r>
      <w:r>
        <w:rPr>
          <w:vertAlign w:val="subscript"/>
        </w:rPr>
        <w:t>4</w:t>
      </w:r>
      <w:r>
        <w:t>)</w:t>
      </w:r>
      <w:r>
        <w:rPr>
          <w:spacing w:val="-6"/>
        </w:rPr>
        <w:t xml:space="preserve"> </w:t>
      </w:r>
      <w:r>
        <w:t>“Jerry</w:t>
      </w:r>
      <w:r>
        <w:rPr>
          <w:spacing w:val="-5"/>
        </w:rPr>
        <w:t xml:space="preserve"> </w:t>
      </w:r>
      <w:r>
        <w:t>is</w:t>
      </w:r>
      <w:r>
        <w:rPr>
          <w:spacing w:val="-6"/>
        </w:rPr>
        <w:t xml:space="preserve"> </w:t>
      </w:r>
      <w:r>
        <w:t>in</w:t>
      </w:r>
      <w:r>
        <w:rPr>
          <w:spacing w:val="-5"/>
        </w:rPr>
        <w:t xml:space="preserve"> </w:t>
      </w:r>
      <w:r>
        <w:t>Richmond,” entails that</w:t>
      </w:r>
    </w:p>
    <w:p w14:paraId="7E000918" w14:textId="77777777" w:rsidR="009A58DB" w:rsidRDefault="00000000">
      <w:pPr>
        <w:pStyle w:val="BodyText"/>
        <w:spacing w:line="286" w:lineRule="exact"/>
        <w:jc w:val="left"/>
      </w:pPr>
      <w:r>
        <w:t>(S</w:t>
      </w:r>
      <w:r>
        <w:rPr>
          <w:vertAlign w:val="subscript"/>
        </w:rPr>
        <w:t>5</w:t>
      </w:r>
      <w:r>
        <w:t>)</w:t>
      </w:r>
      <w:r>
        <w:rPr>
          <w:spacing w:val="-1"/>
        </w:rPr>
        <w:t xml:space="preserve"> </w:t>
      </w:r>
      <w:r>
        <w:t>“it’s</w:t>
      </w:r>
      <w:r>
        <w:rPr>
          <w:spacing w:val="-1"/>
        </w:rPr>
        <w:t xml:space="preserve"> </w:t>
      </w:r>
      <w:r>
        <w:t>not the</w:t>
      </w:r>
      <w:r>
        <w:rPr>
          <w:spacing w:val="-1"/>
        </w:rPr>
        <w:t xml:space="preserve"> </w:t>
      </w:r>
      <w:r>
        <w:t>case Jerry is not</w:t>
      </w:r>
      <w:r>
        <w:rPr>
          <w:spacing w:val="-1"/>
        </w:rPr>
        <w:t xml:space="preserve"> </w:t>
      </w:r>
      <w:r>
        <w:t xml:space="preserve">in </w:t>
      </w:r>
      <w:r>
        <w:rPr>
          <w:spacing w:val="-2"/>
        </w:rPr>
        <w:t>Richmond”</w:t>
      </w:r>
    </w:p>
    <w:p w14:paraId="7E000919" w14:textId="77777777" w:rsidR="009A58DB" w:rsidRDefault="009A58DB">
      <w:pPr>
        <w:pStyle w:val="BodyText"/>
        <w:spacing w:before="90"/>
        <w:ind w:left="0"/>
        <w:jc w:val="left"/>
      </w:pPr>
    </w:p>
    <w:p w14:paraId="7E00091A" w14:textId="77777777" w:rsidR="009A58DB" w:rsidRDefault="00000000">
      <w:pPr>
        <w:pStyle w:val="BodyText"/>
        <w:jc w:val="left"/>
      </w:pPr>
      <w:r>
        <w:t>And that’s</w:t>
      </w:r>
      <w:r>
        <w:rPr>
          <w:spacing w:val="-1"/>
        </w:rPr>
        <w:t xml:space="preserve"> </w:t>
      </w:r>
      <w:r>
        <w:t>why, if</w:t>
      </w:r>
      <w:r>
        <w:rPr>
          <w:spacing w:val="-1"/>
        </w:rPr>
        <w:t xml:space="preserve"> </w:t>
      </w:r>
      <w:r>
        <w:t>you accept</w:t>
      </w:r>
      <w:r>
        <w:rPr>
          <w:spacing w:val="-1"/>
        </w:rPr>
        <w:t xml:space="preserve"> </w:t>
      </w:r>
      <w:r>
        <w:t>S</w:t>
      </w:r>
      <w:r>
        <w:rPr>
          <w:vertAlign w:val="subscript"/>
        </w:rPr>
        <w:t>4</w:t>
      </w:r>
      <w:r>
        <w:t>, you also accept</w:t>
      </w:r>
      <w:r>
        <w:rPr>
          <w:spacing w:val="-1"/>
        </w:rPr>
        <w:t xml:space="preserve"> </w:t>
      </w:r>
      <w:r>
        <w:rPr>
          <w:spacing w:val="-5"/>
        </w:rPr>
        <w:t>S</w:t>
      </w:r>
      <w:r>
        <w:rPr>
          <w:spacing w:val="-5"/>
          <w:vertAlign w:val="subscript"/>
        </w:rPr>
        <w:t>5</w:t>
      </w:r>
      <w:r>
        <w:rPr>
          <w:spacing w:val="-5"/>
        </w:rPr>
        <w:t>.</w:t>
      </w:r>
    </w:p>
    <w:p w14:paraId="7E00091B" w14:textId="77777777" w:rsidR="009A58DB" w:rsidRDefault="00000000">
      <w:pPr>
        <w:pStyle w:val="BodyText"/>
        <w:spacing w:before="75"/>
        <w:ind w:left="720"/>
        <w:jc w:val="left"/>
      </w:pPr>
      <w:r>
        <w:t>But</w:t>
      </w:r>
      <w:r>
        <w:rPr>
          <w:spacing w:val="75"/>
        </w:rPr>
        <w:t xml:space="preserve"> </w:t>
      </w:r>
      <w:r>
        <w:t>how</w:t>
      </w:r>
      <w:r>
        <w:rPr>
          <w:spacing w:val="76"/>
        </w:rPr>
        <w:t xml:space="preserve"> </w:t>
      </w:r>
      <w:r>
        <w:t>do</w:t>
      </w:r>
      <w:r>
        <w:rPr>
          <w:spacing w:val="76"/>
        </w:rPr>
        <w:t xml:space="preserve"> </w:t>
      </w:r>
      <w:r>
        <w:t>you</w:t>
      </w:r>
      <w:r>
        <w:rPr>
          <w:spacing w:val="76"/>
        </w:rPr>
        <w:t xml:space="preserve"> </w:t>
      </w:r>
      <w:r>
        <w:t>know</w:t>
      </w:r>
      <w:r>
        <w:rPr>
          <w:spacing w:val="76"/>
        </w:rPr>
        <w:t xml:space="preserve"> </w:t>
      </w:r>
      <w:r>
        <w:t>that</w:t>
      </w:r>
      <w:r>
        <w:rPr>
          <w:spacing w:val="76"/>
        </w:rPr>
        <w:t xml:space="preserve"> </w:t>
      </w:r>
      <w:r>
        <w:t>S</w:t>
      </w:r>
      <w:r>
        <w:rPr>
          <w:vertAlign w:val="subscript"/>
        </w:rPr>
        <w:t>4</w:t>
      </w:r>
      <w:r>
        <w:rPr>
          <w:spacing w:val="78"/>
        </w:rPr>
        <w:t xml:space="preserve"> </w:t>
      </w:r>
      <w:r>
        <w:t>entails</w:t>
      </w:r>
      <w:r>
        <w:rPr>
          <w:spacing w:val="76"/>
        </w:rPr>
        <w:t xml:space="preserve"> </w:t>
      </w:r>
      <w:r>
        <w:t>S</w:t>
      </w:r>
      <w:r>
        <w:rPr>
          <w:vertAlign w:val="subscript"/>
        </w:rPr>
        <w:t>5</w:t>
      </w:r>
      <w:r>
        <w:t>?</w:t>
      </w:r>
      <w:r>
        <w:rPr>
          <w:spacing w:val="77"/>
        </w:rPr>
        <w:t xml:space="preserve"> </w:t>
      </w:r>
      <w:r>
        <w:t>Is</w:t>
      </w:r>
      <w:r>
        <w:rPr>
          <w:spacing w:val="77"/>
        </w:rPr>
        <w:t xml:space="preserve"> </w:t>
      </w:r>
      <w:r>
        <w:t>it</w:t>
      </w:r>
      <w:r>
        <w:rPr>
          <w:spacing w:val="77"/>
        </w:rPr>
        <w:t xml:space="preserve"> </w:t>
      </w:r>
      <w:r>
        <w:t>on</w:t>
      </w:r>
      <w:r>
        <w:rPr>
          <w:spacing w:val="77"/>
        </w:rPr>
        <w:t xml:space="preserve"> </w:t>
      </w:r>
      <w:r>
        <w:t>the</w:t>
      </w:r>
      <w:r>
        <w:rPr>
          <w:spacing w:val="77"/>
        </w:rPr>
        <w:t xml:space="preserve"> </w:t>
      </w:r>
      <w:r>
        <w:t>basis</w:t>
      </w:r>
      <w:r>
        <w:rPr>
          <w:spacing w:val="76"/>
        </w:rPr>
        <w:t xml:space="preserve"> </w:t>
      </w:r>
      <w:r>
        <w:t>of</w:t>
      </w:r>
      <w:r>
        <w:rPr>
          <w:spacing w:val="77"/>
        </w:rPr>
        <w:t xml:space="preserve"> </w:t>
      </w:r>
      <w:r>
        <w:rPr>
          <w:spacing w:val="-4"/>
        </w:rPr>
        <w:t>your</w:t>
      </w:r>
    </w:p>
    <w:p w14:paraId="7E00091C" w14:textId="77777777" w:rsidR="009A58DB" w:rsidRDefault="009A58DB">
      <w:pPr>
        <w:pStyle w:val="BodyText"/>
        <w:jc w:val="left"/>
        <w:sectPr w:rsidR="009A58DB">
          <w:pgSz w:w="12240" w:h="15840"/>
          <w:pgMar w:top="1380" w:right="1080" w:bottom="280" w:left="1080" w:header="720" w:footer="720" w:gutter="0"/>
          <w:cols w:space="720"/>
        </w:sectPr>
      </w:pPr>
    </w:p>
    <w:p w14:paraId="7E00091D" w14:textId="77777777" w:rsidR="009A58DB" w:rsidRDefault="00000000">
      <w:pPr>
        <w:pStyle w:val="BodyText"/>
        <w:spacing w:before="68" w:line="297" w:lineRule="auto"/>
        <w:ind w:right="359"/>
      </w:pPr>
      <w:r>
        <w:rPr>
          <w:noProof/>
        </w:rPr>
        <w:lastRenderedPageBreak/>
        <mc:AlternateContent>
          <mc:Choice Requires="wps">
            <w:drawing>
              <wp:anchor distT="0" distB="0" distL="0" distR="0" simplePos="0" relativeHeight="480326656" behindDoc="1" locked="0" layoutInCell="1" allowOverlap="1" wp14:anchorId="7E003256" wp14:editId="7E003257">
                <wp:simplePos x="0" y="0"/>
                <wp:positionH relativeFrom="page">
                  <wp:posOffset>2410015</wp:posOffset>
                </wp:positionH>
                <wp:positionV relativeFrom="paragraph">
                  <wp:posOffset>417691</wp:posOffset>
                </wp:positionV>
                <wp:extent cx="71755" cy="1587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58750"/>
                        </a:xfrm>
                        <a:prstGeom prst="rect">
                          <a:avLst/>
                        </a:prstGeom>
                      </wps:spPr>
                      <wps:txbx>
                        <w:txbxContent>
                          <w:p w14:paraId="7E0032B2" w14:textId="77777777" w:rsidR="009A58DB" w:rsidRDefault="00000000">
                            <w:pPr>
                              <w:spacing w:line="248" w:lineRule="exact"/>
                            </w:pPr>
                            <w:r>
                              <w:rPr>
                                <w:spacing w:val="-10"/>
                              </w:rPr>
                              <w:t>1</w:t>
                            </w:r>
                          </w:p>
                        </w:txbxContent>
                      </wps:txbx>
                      <wps:bodyPr wrap="square" lIns="0" tIns="0" rIns="0" bIns="0" rtlCol="0">
                        <a:noAutofit/>
                      </wps:bodyPr>
                    </wps:wsp>
                  </a:graphicData>
                </a:graphic>
              </wp:anchor>
            </w:drawing>
          </mc:Choice>
          <mc:Fallback>
            <w:pict>
              <v:shape w14:anchorId="7E003256" id="Textbox 4" o:spid="_x0000_s1028" type="#_x0000_t202" style="position:absolute;left:0;text-align:left;margin-left:189.75pt;margin-top:32.9pt;width:5.65pt;height:12.5pt;z-index:-2298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" filled="f" stroked="f">
                <v:textbox inset="0,0,0,0">
                  <w:txbxContent>
                    <w:p w14:paraId="7E0032B2" w14:textId="77777777" w:rsidR="009A58DB" w:rsidRDefault="00000000">
                      <w:pPr>
                        <w:spacing w:line="248" w:lineRule="exact"/>
                      </w:pPr>
                      <w:r>
                        <w:rPr>
                          <w:spacing w:val="-10"/>
                        </w:rPr>
                        <w:t>1</w:t>
                      </w:r>
                    </w:p>
                  </w:txbxContent>
                </v:textbox>
                <w10:wrap anchorx="page"/>
              </v:shape>
            </w:pict>
          </mc:Fallback>
        </mc:AlternateContent>
      </w:r>
      <w:r>
        <w:t>knowledge that all instances of S</w:t>
      </w:r>
      <w:r>
        <w:rPr>
          <w:vertAlign w:val="subscript"/>
        </w:rPr>
        <w:t>1</w:t>
      </w:r>
      <w:r>
        <w:t xml:space="preserve"> are true? No.</w:t>
      </w:r>
      <w:r>
        <w:rPr>
          <w:spacing w:val="80"/>
        </w:rPr>
        <w:t xml:space="preserve"> </w:t>
      </w:r>
      <w:r>
        <w:t xml:space="preserve">How could you possibly know that all of S </w:t>
      </w:r>
      <w:r>
        <w:rPr>
          <w:vertAlign w:val="superscript"/>
        </w:rPr>
        <w:t>’</w:t>
      </w:r>
      <w:r>
        <w:t xml:space="preserve"> s instances were true unless you could recognize the validity</w:t>
      </w:r>
      <w:r>
        <w:rPr>
          <w:spacing w:val="-1"/>
        </w:rPr>
        <w:t xml:space="preserve"> </w:t>
      </w:r>
      <w:r>
        <w:t>of</w:t>
      </w:r>
      <w:r>
        <w:rPr>
          <w:spacing w:val="-2"/>
        </w:rPr>
        <w:t xml:space="preserve"> </w:t>
      </w:r>
      <w:r>
        <w:t>specific</w:t>
      </w:r>
      <w:r>
        <w:rPr>
          <w:spacing w:val="-2"/>
        </w:rPr>
        <w:t xml:space="preserve"> </w:t>
      </w:r>
      <w:r>
        <w:t>inferences</w:t>
      </w:r>
      <w:r>
        <w:rPr>
          <w:spacing w:val="-2"/>
        </w:rPr>
        <w:t xml:space="preserve"> </w:t>
      </w:r>
      <w:r>
        <w:t>that</w:t>
      </w:r>
      <w:r>
        <w:rPr>
          <w:spacing w:val="-2"/>
        </w:rPr>
        <w:t xml:space="preserve"> </w:t>
      </w:r>
      <w:r>
        <w:t>it</w:t>
      </w:r>
      <w:r>
        <w:rPr>
          <w:spacing w:val="-2"/>
        </w:rPr>
        <w:t xml:space="preserve"> </w:t>
      </w:r>
      <w:r>
        <w:t>licenses</w:t>
      </w:r>
      <w:r>
        <w:rPr>
          <w:spacing w:val="-2"/>
        </w:rPr>
        <w:t xml:space="preserve"> </w:t>
      </w:r>
      <w:r>
        <w:t>(such</w:t>
      </w:r>
      <w:r>
        <w:rPr>
          <w:spacing w:val="-1"/>
        </w:rPr>
        <w:t xml:space="preserve"> </w:t>
      </w:r>
      <w:r>
        <w:t>as</w:t>
      </w:r>
      <w:r>
        <w:rPr>
          <w:spacing w:val="-2"/>
        </w:rPr>
        <w:t xml:space="preserve"> </w:t>
      </w:r>
      <w:r>
        <w:t>the</w:t>
      </w:r>
      <w:r>
        <w:rPr>
          <w:spacing w:val="-2"/>
        </w:rPr>
        <w:t xml:space="preserve"> </w:t>
      </w:r>
      <w:r>
        <w:t>inference</w:t>
      </w:r>
      <w:r>
        <w:rPr>
          <w:spacing w:val="-2"/>
        </w:rPr>
        <w:t xml:space="preserve"> </w:t>
      </w:r>
      <w:r>
        <w:t>from</w:t>
      </w:r>
      <w:r>
        <w:rPr>
          <w:spacing w:val="-2"/>
        </w:rPr>
        <w:t xml:space="preserve"> </w:t>
      </w:r>
      <w:r>
        <w:t>S</w:t>
      </w:r>
      <w:r>
        <w:rPr>
          <w:vertAlign w:val="subscript"/>
        </w:rPr>
        <w:t>4</w:t>
      </w:r>
      <w:r>
        <w:rPr>
          <w:spacing w:val="-1"/>
        </w:rPr>
        <w:t xml:space="preserve"> </w:t>
      </w:r>
      <w:r>
        <w:t>to</w:t>
      </w:r>
    </w:p>
    <w:p w14:paraId="7E00091E" w14:textId="77777777" w:rsidR="009A58DB" w:rsidRDefault="00000000">
      <w:pPr>
        <w:pStyle w:val="BodyText"/>
        <w:spacing w:line="249" w:lineRule="auto"/>
        <w:ind w:right="365"/>
      </w:pPr>
      <w:r>
        <w:t>S</w:t>
      </w:r>
      <w:r>
        <w:rPr>
          <w:position w:val="-7"/>
          <w:sz w:val="22"/>
        </w:rPr>
        <w:t>5</w:t>
      </w:r>
      <w:r>
        <w:t>)? If you couldn’t recognize that S</w:t>
      </w:r>
      <w:r>
        <w:rPr>
          <w:position w:val="-7"/>
          <w:sz w:val="22"/>
        </w:rPr>
        <w:t>4</w:t>
      </w:r>
      <w:r>
        <w:rPr>
          <w:spacing w:val="40"/>
          <w:position w:val="-7"/>
          <w:sz w:val="22"/>
        </w:rPr>
        <w:t xml:space="preserve"> </w:t>
      </w:r>
      <w:r>
        <w:t>entailed S</w:t>
      </w:r>
      <w:r>
        <w:rPr>
          <w:position w:val="-7"/>
          <w:sz w:val="22"/>
        </w:rPr>
        <w:t>5</w:t>
      </w:r>
      <w:r>
        <w:t>, then you obviously wouldn’t have any idea why all of S</w:t>
      </w:r>
      <w:r>
        <w:rPr>
          <w:vertAlign w:val="subscript"/>
        </w:rPr>
        <w:t>1</w:t>
      </w:r>
      <w:r>
        <w:t>’s instances were correct.</w:t>
      </w:r>
    </w:p>
    <w:p w14:paraId="7E00091F" w14:textId="77777777" w:rsidR="009A58DB" w:rsidRDefault="009A58DB">
      <w:pPr>
        <w:pStyle w:val="BodyText"/>
        <w:spacing w:before="48"/>
        <w:ind w:left="0"/>
        <w:jc w:val="left"/>
      </w:pPr>
    </w:p>
    <w:p w14:paraId="7E000920" w14:textId="77777777" w:rsidR="009A58DB" w:rsidRDefault="00000000">
      <w:pPr>
        <w:pStyle w:val="BodyText"/>
        <w:spacing w:line="249" w:lineRule="auto"/>
        <w:ind w:right="359" w:firstLine="360"/>
      </w:pPr>
      <w:r>
        <w:t>This is not, at least not merely, a psychological point. It’s a psychological corollary of an epistemological point, which, in its turn, is a corollary of a logical</w:t>
      </w:r>
      <w:r>
        <w:rPr>
          <w:spacing w:val="47"/>
        </w:rPr>
        <w:t xml:space="preserve"> </w:t>
      </w:r>
      <w:r>
        <w:t>point.</w:t>
      </w:r>
      <w:r>
        <w:rPr>
          <w:spacing w:val="47"/>
        </w:rPr>
        <w:t xml:space="preserve"> </w:t>
      </w:r>
      <w:r>
        <w:t>The</w:t>
      </w:r>
      <w:r>
        <w:rPr>
          <w:spacing w:val="47"/>
        </w:rPr>
        <w:t xml:space="preserve"> </w:t>
      </w:r>
      <w:r>
        <w:t>reason</w:t>
      </w:r>
      <w:r>
        <w:rPr>
          <w:spacing w:val="47"/>
        </w:rPr>
        <w:t xml:space="preserve"> </w:t>
      </w:r>
      <w:r>
        <w:t>why</w:t>
      </w:r>
      <w:r>
        <w:rPr>
          <w:spacing w:val="47"/>
        </w:rPr>
        <w:t xml:space="preserve"> </w:t>
      </w:r>
      <w:r>
        <w:t>every</w:t>
      </w:r>
      <w:r>
        <w:rPr>
          <w:spacing w:val="47"/>
        </w:rPr>
        <w:t xml:space="preserve"> </w:t>
      </w:r>
      <w:r>
        <w:t>instance</w:t>
      </w:r>
      <w:r>
        <w:rPr>
          <w:spacing w:val="48"/>
        </w:rPr>
        <w:t xml:space="preserve"> </w:t>
      </w:r>
      <w:r>
        <w:t>of</w:t>
      </w:r>
      <w:r>
        <w:rPr>
          <w:spacing w:val="47"/>
        </w:rPr>
        <w:t xml:space="preserve"> </w:t>
      </w:r>
      <w:r>
        <w:t>S</w:t>
      </w:r>
      <w:r>
        <w:rPr>
          <w:vertAlign w:val="subscript"/>
        </w:rPr>
        <w:t>1</w:t>
      </w:r>
      <w:r>
        <w:rPr>
          <w:spacing w:val="47"/>
        </w:rPr>
        <w:t xml:space="preserve"> </w:t>
      </w:r>
      <w:r>
        <w:t>is</w:t>
      </w:r>
      <w:r>
        <w:rPr>
          <w:spacing w:val="47"/>
        </w:rPr>
        <w:t xml:space="preserve"> </w:t>
      </w:r>
      <w:r>
        <w:t>true—the</w:t>
      </w:r>
      <w:r>
        <w:rPr>
          <w:spacing w:val="47"/>
        </w:rPr>
        <w:t xml:space="preserve"> </w:t>
      </w:r>
      <w:r>
        <w:t>reason,</w:t>
      </w:r>
      <w:r>
        <w:rPr>
          <w:spacing w:val="47"/>
        </w:rPr>
        <w:t xml:space="preserve"> </w:t>
      </w:r>
      <w:r>
        <w:rPr>
          <w:spacing w:val="-5"/>
        </w:rPr>
        <w:t>in</w:t>
      </w:r>
    </w:p>
    <w:p w14:paraId="7E000921" w14:textId="77777777" w:rsidR="009A58DB" w:rsidRDefault="00000000">
      <w:pPr>
        <w:pStyle w:val="BodyText"/>
        <w:spacing w:before="64" w:line="292" w:lineRule="auto"/>
        <w:ind w:right="362"/>
      </w:pPr>
      <w:r>
        <w:t>other words, why S</w:t>
      </w:r>
      <w:r>
        <w:rPr>
          <w:vertAlign w:val="subscript"/>
        </w:rPr>
        <w:t>2</w:t>
      </w:r>
      <w:r>
        <w:t xml:space="preserve"> is true—is that and each of infinitely many specific inferences,</w:t>
      </w:r>
      <w:r>
        <w:rPr>
          <w:spacing w:val="15"/>
        </w:rPr>
        <w:t xml:space="preserve"> </w:t>
      </w:r>
      <w:r>
        <w:t>of</w:t>
      </w:r>
      <w:r>
        <w:rPr>
          <w:spacing w:val="15"/>
        </w:rPr>
        <w:t xml:space="preserve"> </w:t>
      </w:r>
      <w:r>
        <w:t>which</w:t>
      </w:r>
      <w:r>
        <w:rPr>
          <w:spacing w:val="16"/>
        </w:rPr>
        <w:t xml:space="preserve"> </w:t>
      </w:r>
      <w:r>
        <w:t>the</w:t>
      </w:r>
      <w:r>
        <w:rPr>
          <w:spacing w:val="14"/>
        </w:rPr>
        <w:t xml:space="preserve"> </w:t>
      </w:r>
      <w:r>
        <w:t>inference</w:t>
      </w:r>
      <w:r>
        <w:rPr>
          <w:spacing w:val="15"/>
        </w:rPr>
        <w:t xml:space="preserve"> </w:t>
      </w:r>
      <w:r>
        <w:t>from</w:t>
      </w:r>
      <w:r>
        <w:rPr>
          <w:spacing w:val="15"/>
        </w:rPr>
        <w:t xml:space="preserve"> </w:t>
      </w:r>
      <w:r>
        <w:t>S</w:t>
      </w:r>
      <w:r>
        <w:rPr>
          <w:vertAlign w:val="subscript"/>
        </w:rPr>
        <w:t>4</w:t>
      </w:r>
      <w:r>
        <w:rPr>
          <w:spacing w:val="15"/>
        </w:rPr>
        <w:t xml:space="preserve"> </w:t>
      </w:r>
      <w:r>
        <w:t>entails</w:t>
      </w:r>
      <w:r>
        <w:rPr>
          <w:spacing w:val="15"/>
        </w:rPr>
        <w:t xml:space="preserve"> </w:t>
      </w:r>
      <w:r>
        <w:t>S</w:t>
      </w:r>
      <w:r>
        <w:rPr>
          <w:vertAlign w:val="subscript"/>
        </w:rPr>
        <w:t>5</w:t>
      </w:r>
      <w:r>
        <w:rPr>
          <w:spacing w:val="16"/>
        </w:rPr>
        <w:t xml:space="preserve"> </w:t>
      </w:r>
      <w:r>
        <w:t>is</w:t>
      </w:r>
      <w:r>
        <w:rPr>
          <w:spacing w:val="14"/>
        </w:rPr>
        <w:t xml:space="preserve"> </w:t>
      </w:r>
      <w:r>
        <w:t>but</w:t>
      </w:r>
      <w:r>
        <w:rPr>
          <w:spacing w:val="15"/>
        </w:rPr>
        <w:t xml:space="preserve"> </w:t>
      </w:r>
      <w:r>
        <w:t>a</w:t>
      </w:r>
      <w:r>
        <w:rPr>
          <w:spacing w:val="15"/>
        </w:rPr>
        <w:t xml:space="preserve"> </w:t>
      </w:r>
      <w:r>
        <w:t>single</w:t>
      </w:r>
      <w:r>
        <w:rPr>
          <w:spacing w:val="14"/>
        </w:rPr>
        <w:t xml:space="preserve"> </w:t>
      </w:r>
      <w:r>
        <w:rPr>
          <w:spacing w:val="-2"/>
        </w:rPr>
        <w:t>instance,</w:t>
      </w:r>
    </w:p>
    <w:p w14:paraId="7E000922" w14:textId="77777777" w:rsidR="009A58DB" w:rsidRDefault="00000000">
      <w:pPr>
        <w:pStyle w:val="BodyText"/>
        <w:spacing w:line="249" w:lineRule="auto"/>
        <w:ind w:right="364"/>
      </w:pPr>
      <w:r>
        <w:t>is valid. There are, quite literally, infinitely many informally valid inferences for each formally valid one. So Wittgenstein’s allegation that all entailments are formal entailment is not feasible.</w:t>
      </w:r>
    </w:p>
    <w:p w14:paraId="7E000923" w14:textId="77777777" w:rsidR="009A58DB" w:rsidRDefault="00000000">
      <w:pPr>
        <w:pStyle w:val="Heading1"/>
        <w:numPr>
          <w:ilvl w:val="1"/>
          <w:numId w:val="217"/>
        </w:numPr>
        <w:tabs>
          <w:tab w:val="left" w:pos="990"/>
        </w:tabs>
        <w:spacing w:before="190"/>
        <w:ind w:left="990" w:hanging="630"/>
      </w:pPr>
      <w:r>
        <w:t>Hempel</w:t>
      </w:r>
      <w:r>
        <w:rPr>
          <w:spacing w:val="-6"/>
        </w:rPr>
        <w:t xml:space="preserve"> </w:t>
      </w:r>
      <w:r>
        <w:t>on</w:t>
      </w:r>
      <w:r>
        <w:rPr>
          <w:spacing w:val="-4"/>
        </w:rPr>
        <w:t xml:space="preserve"> </w:t>
      </w:r>
      <w:r>
        <w:t>the</w:t>
      </w:r>
      <w:r>
        <w:rPr>
          <w:spacing w:val="-4"/>
        </w:rPr>
        <w:t xml:space="preserve"> </w:t>
      </w:r>
      <w:r>
        <w:t>limits</w:t>
      </w:r>
      <w:r>
        <w:rPr>
          <w:spacing w:val="-4"/>
        </w:rPr>
        <w:t xml:space="preserve"> </w:t>
      </w:r>
      <w:r>
        <w:t>of</w:t>
      </w:r>
      <w:r>
        <w:rPr>
          <w:spacing w:val="-4"/>
        </w:rPr>
        <w:t xml:space="preserve"> </w:t>
      </w:r>
      <w:r>
        <w:t>strict</w:t>
      </w:r>
      <w:r>
        <w:rPr>
          <w:spacing w:val="-3"/>
        </w:rPr>
        <w:t xml:space="preserve"> </w:t>
      </w:r>
      <w:r>
        <w:rPr>
          <w:spacing w:val="-2"/>
        </w:rPr>
        <w:t>empiricism</w:t>
      </w:r>
    </w:p>
    <w:p w14:paraId="7E000924" w14:textId="77777777" w:rsidR="009A58DB" w:rsidRDefault="00000000">
      <w:pPr>
        <w:pStyle w:val="BodyText"/>
        <w:spacing w:before="139" w:line="254" w:lineRule="auto"/>
        <w:ind w:right="368"/>
      </w:pPr>
      <w:r>
        <w:t>Carl Hempel (1905–1997) provided the following rigorous proof of the</w:t>
      </w:r>
      <w:r>
        <w:rPr>
          <w:spacing w:val="40"/>
        </w:rPr>
        <w:t xml:space="preserve"> </w:t>
      </w:r>
      <w:r>
        <w:t>falsity of strict empiricis</w:t>
      </w:r>
      <w:bookmarkStart w:id="97" w:name="_bookmark97"/>
      <w:bookmarkEnd w:id="97"/>
      <w:r>
        <w:t>m</w:t>
      </w:r>
      <w:r>
        <w:rPr>
          <w:color w:val="0562C1"/>
          <w:position w:val="10"/>
          <w:u w:val="single" w:color="0562C1"/>
        </w:rPr>
        <w:t>97</w:t>
      </w:r>
      <w:r>
        <w:t>:</w:t>
      </w:r>
    </w:p>
    <w:p w14:paraId="7E000925" w14:textId="77777777" w:rsidR="009A58DB" w:rsidRDefault="00000000">
      <w:pPr>
        <w:pStyle w:val="BodyText"/>
        <w:spacing w:before="193" w:line="247" w:lineRule="auto"/>
        <w:ind w:left="1230" w:right="1227"/>
      </w:pPr>
      <w:r>
        <w:t>(H</w:t>
      </w:r>
      <w:bookmarkStart w:id="98" w:name="_bookmark98"/>
      <w:bookmarkEnd w:id="98"/>
      <w:r>
        <w:t>A</w:t>
      </w:r>
      <w:r>
        <w:rPr>
          <w:color w:val="0562C1"/>
          <w:position w:val="10"/>
          <w:u w:val="single" w:color="0562C1"/>
        </w:rPr>
        <w:t>98</w:t>
      </w:r>
      <w:r>
        <w:t xml:space="preserve">) If x’s length is one unit, and y’s length is </w:t>
      </w:r>
      <w:r>
        <w:rPr>
          <w:rFonts w:ascii="Segoe UI Symbol" w:hAnsi="Segoe UI Symbol"/>
        </w:rPr>
        <w:t>✓</w:t>
      </w:r>
      <w:r>
        <w:t>2 units, then</w:t>
      </w:r>
      <w:r>
        <w:rPr>
          <w:spacing w:val="-3"/>
        </w:rPr>
        <w:t xml:space="preserve"> </w:t>
      </w:r>
      <w:r>
        <w:t>there</w:t>
      </w:r>
      <w:r>
        <w:rPr>
          <w:spacing w:val="-4"/>
        </w:rPr>
        <w:t xml:space="preserve"> </w:t>
      </w:r>
      <w:r>
        <w:t>is</w:t>
      </w:r>
      <w:r>
        <w:rPr>
          <w:spacing w:val="-4"/>
        </w:rPr>
        <w:t xml:space="preserve"> </w:t>
      </w:r>
      <w:r>
        <w:t>no</w:t>
      </w:r>
      <w:r>
        <w:rPr>
          <w:spacing w:val="-3"/>
        </w:rPr>
        <w:t xml:space="preserve"> </w:t>
      </w:r>
      <w:r>
        <w:t>length</w:t>
      </w:r>
      <w:r>
        <w:rPr>
          <w:spacing w:val="-3"/>
        </w:rPr>
        <w:t xml:space="preserve"> </w:t>
      </w:r>
      <w:r>
        <w:t>L</w:t>
      </w:r>
      <w:r>
        <w:rPr>
          <w:spacing w:val="-4"/>
        </w:rPr>
        <w:t xml:space="preserve"> </w:t>
      </w:r>
      <w:r>
        <w:t>such</w:t>
      </w:r>
      <w:r>
        <w:rPr>
          <w:spacing w:val="-3"/>
        </w:rPr>
        <w:t xml:space="preserve"> </w:t>
      </w:r>
      <w:r>
        <w:t>that</w:t>
      </w:r>
      <w:r>
        <w:rPr>
          <w:spacing w:val="-4"/>
        </w:rPr>
        <w:t xml:space="preserve"> </w:t>
      </w:r>
      <w:r>
        <w:t>L</w:t>
      </w:r>
      <w:r>
        <w:rPr>
          <w:spacing w:val="-4"/>
        </w:rPr>
        <w:t xml:space="preserve"> </w:t>
      </w:r>
      <w:r>
        <w:t>goes</w:t>
      </w:r>
      <w:r>
        <w:rPr>
          <w:spacing w:val="-4"/>
        </w:rPr>
        <w:t xml:space="preserve"> </w:t>
      </w:r>
      <w:r>
        <w:t>an</w:t>
      </w:r>
      <w:r>
        <w:rPr>
          <w:spacing w:val="-3"/>
        </w:rPr>
        <w:t xml:space="preserve"> </w:t>
      </w:r>
      <w:r>
        <w:t>integral</w:t>
      </w:r>
      <w:r>
        <w:rPr>
          <w:spacing w:val="-4"/>
        </w:rPr>
        <w:t xml:space="preserve"> </w:t>
      </w:r>
      <w:r>
        <w:t>number</w:t>
      </w:r>
      <w:r>
        <w:rPr>
          <w:spacing w:val="-4"/>
        </w:rPr>
        <w:t xml:space="preserve"> </w:t>
      </w:r>
      <w:r>
        <w:t>of times into both x’s length and y’s length.</w:t>
      </w:r>
    </w:p>
    <w:p w14:paraId="7E000926" w14:textId="77777777" w:rsidR="009A58DB" w:rsidRDefault="00000000">
      <w:pPr>
        <w:pStyle w:val="BodyText"/>
        <w:spacing w:before="3" w:line="247" w:lineRule="auto"/>
        <w:ind w:left="1230" w:right="1228" w:firstLine="360"/>
      </w:pPr>
      <w:r>
        <w:t>Measurement is comparison with respect to some standard. To compare x’s length with y’s—in other words, to establish their comparative lengths—it is necessary to find some third body z that is taken as a standar</w:t>
      </w:r>
      <w:bookmarkStart w:id="99" w:name="_bookmark99"/>
      <w:bookmarkEnd w:id="99"/>
      <w:r>
        <w:t>d</w:t>
      </w:r>
      <w:r>
        <w:rPr>
          <w:color w:val="0562C1"/>
          <w:position w:val="10"/>
          <w:u w:val="single" w:color="0562C1"/>
        </w:rPr>
        <w:t>99</w:t>
      </w:r>
      <w:r>
        <w:t>; and the relative lengths of x and y are determined by finding out how many z-length segments each of x and y can be divided into. (If one object</w:t>
      </w:r>
      <w:r>
        <w:rPr>
          <w:spacing w:val="40"/>
        </w:rPr>
        <w:t xml:space="preserve"> </w:t>
      </w:r>
      <w:r>
        <w:t>can</w:t>
      </w:r>
      <w:r>
        <w:rPr>
          <w:spacing w:val="-2"/>
        </w:rPr>
        <w:t xml:space="preserve"> </w:t>
      </w:r>
      <w:r>
        <w:t>be</w:t>
      </w:r>
      <w:r>
        <w:rPr>
          <w:spacing w:val="-2"/>
        </w:rPr>
        <w:t xml:space="preserve"> </w:t>
      </w:r>
      <w:r>
        <w:t>divided</w:t>
      </w:r>
      <w:r>
        <w:rPr>
          <w:spacing w:val="-2"/>
        </w:rPr>
        <w:t xml:space="preserve"> </w:t>
      </w:r>
      <w:r>
        <w:t>into</w:t>
      </w:r>
      <w:r>
        <w:rPr>
          <w:spacing w:val="-2"/>
        </w:rPr>
        <w:t xml:space="preserve"> </w:t>
      </w:r>
      <w:r>
        <w:t>exactly</w:t>
      </w:r>
      <w:r>
        <w:rPr>
          <w:spacing w:val="-2"/>
        </w:rPr>
        <w:t xml:space="preserve"> </w:t>
      </w:r>
      <w:r>
        <w:t>twice</w:t>
      </w:r>
      <w:r>
        <w:rPr>
          <w:spacing w:val="-2"/>
        </w:rPr>
        <w:t xml:space="preserve"> </w:t>
      </w:r>
      <w:r>
        <w:t>as</w:t>
      </w:r>
      <w:r>
        <w:rPr>
          <w:spacing w:val="-2"/>
        </w:rPr>
        <w:t xml:space="preserve"> </w:t>
      </w:r>
      <w:r>
        <w:t>many</w:t>
      </w:r>
      <w:r>
        <w:rPr>
          <w:spacing w:val="-2"/>
        </w:rPr>
        <w:t xml:space="preserve"> </w:t>
      </w:r>
      <w:r>
        <w:t>z-length</w:t>
      </w:r>
      <w:r>
        <w:rPr>
          <w:spacing w:val="-2"/>
        </w:rPr>
        <w:t xml:space="preserve"> </w:t>
      </w:r>
      <w:r>
        <w:t>segments</w:t>
      </w:r>
      <w:r>
        <w:rPr>
          <w:spacing w:val="-2"/>
        </w:rPr>
        <w:t xml:space="preserve"> </w:t>
      </w:r>
      <w:r>
        <w:t>as some other, then the first is twice as long as the second.) Supposing</w:t>
      </w:r>
      <w:r>
        <w:rPr>
          <w:spacing w:val="-3"/>
        </w:rPr>
        <w:t xml:space="preserve"> </w:t>
      </w:r>
      <w:r>
        <w:t>that</w:t>
      </w:r>
      <w:r>
        <w:rPr>
          <w:spacing w:val="-3"/>
        </w:rPr>
        <w:t xml:space="preserve"> </w:t>
      </w:r>
      <w:r>
        <w:t>x’s</w:t>
      </w:r>
      <w:r>
        <w:rPr>
          <w:spacing w:val="-3"/>
        </w:rPr>
        <w:t xml:space="preserve"> </w:t>
      </w:r>
      <w:r>
        <w:t>length</w:t>
      </w:r>
      <w:r>
        <w:rPr>
          <w:spacing w:val="-3"/>
        </w:rPr>
        <w:t xml:space="preserve"> </w:t>
      </w:r>
      <w:r>
        <w:t>is</w:t>
      </w:r>
      <w:r>
        <w:rPr>
          <w:spacing w:val="-3"/>
        </w:rPr>
        <w:t xml:space="preserve"> </w:t>
      </w:r>
      <w:r>
        <w:t>one</w:t>
      </w:r>
      <w:r>
        <w:rPr>
          <w:spacing w:val="-3"/>
        </w:rPr>
        <w:t xml:space="preserve"> </w:t>
      </w:r>
      <w:r>
        <w:t>unit</w:t>
      </w:r>
      <w:r>
        <w:rPr>
          <w:spacing w:val="-3"/>
        </w:rPr>
        <w:t xml:space="preserve"> </w:t>
      </w:r>
      <w:r>
        <w:t>and</w:t>
      </w:r>
      <w:r>
        <w:rPr>
          <w:spacing w:val="-3"/>
        </w:rPr>
        <w:t xml:space="preserve"> </w:t>
      </w:r>
      <w:r>
        <w:t>y’s</w:t>
      </w:r>
      <w:r>
        <w:rPr>
          <w:spacing w:val="-3"/>
        </w:rPr>
        <w:t xml:space="preserve"> </w:t>
      </w:r>
      <w:r>
        <w:t>length</w:t>
      </w:r>
      <w:r>
        <w:rPr>
          <w:spacing w:val="-3"/>
        </w:rPr>
        <w:t xml:space="preserve"> </w:t>
      </w:r>
      <w:r>
        <w:t>is</w:t>
      </w:r>
      <w:r>
        <w:rPr>
          <w:spacing w:val="-3"/>
        </w:rPr>
        <w:t xml:space="preserve"> </w:t>
      </w:r>
      <w:r>
        <w:rPr>
          <w:rFonts w:ascii="Segoe UI Symbol" w:hAnsi="Segoe UI Symbol"/>
        </w:rPr>
        <w:t>✓</w:t>
      </w:r>
      <w:r>
        <w:t>2</w:t>
      </w:r>
      <w:r>
        <w:rPr>
          <w:spacing w:val="-8"/>
        </w:rPr>
        <w:t xml:space="preserve"> </w:t>
      </w:r>
      <w:r>
        <w:t xml:space="preserve">units, it follows that there is </w:t>
      </w:r>
      <w:r>
        <w:rPr>
          <w:i/>
        </w:rPr>
        <w:t>no</w:t>
      </w:r>
      <w:r>
        <w:rPr>
          <w:i/>
          <w:spacing w:val="-2"/>
        </w:rPr>
        <w:t xml:space="preserve"> </w:t>
      </w:r>
      <w:r>
        <w:t>body z such that both x and y can be divided,</w:t>
      </w:r>
      <w:r>
        <w:rPr>
          <w:spacing w:val="78"/>
          <w:w w:val="150"/>
        </w:rPr>
        <w:t xml:space="preserve"> </w:t>
      </w:r>
      <w:r>
        <w:t>without</w:t>
      </w:r>
      <w:r>
        <w:rPr>
          <w:spacing w:val="77"/>
          <w:w w:val="150"/>
        </w:rPr>
        <w:t xml:space="preserve"> </w:t>
      </w:r>
      <w:r>
        <w:t>remainder,</w:t>
      </w:r>
      <w:r>
        <w:rPr>
          <w:spacing w:val="78"/>
          <w:w w:val="150"/>
        </w:rPr>
        <w:t xml:space="preserve"> </w:t>
      </w:r>
      <w:r>
        <w:t>into</w:t>
      </w:r>
      <w:r>
        <w:rPr>
          <w:spacing w:val="78"/>
          <w:w w:val="150"/>
        </w:rPr>
        <w:t xml:space="preserve"> </w:t>
      </w:r>
      <w:r>
        <w:t>z-length</w:t>
      </w:r>
      <w:r>
        <w:rPr>
          <w:spacing w:val="78"/>
          <w:w w:val="150"/>
        </w:rPr>
        <w:t xml:space="preserve"> </w:t>
      </w:r>
      <w:r>
        <w:t>segments</w:t>
      </w:r>
      <w:bookmarkStart w:id="100" w:name="_bookmark100"/>
      <w:bookmarkEnd w:id="100"/>
      <w:r>
        <w:t>.</w:t>
      </w:r>
      <w:r>
        <w:rPr>
          <w:color w:val="0562C1"/>
          <w:position w:val="10"/>
          <w:u w:val="single" w:color="0562C1"/>
        </w:rPr>
        <w:t>100</w:t>
      </w:r>
      <w:r>
        <w:rPr>
          <w:color w:val="0562C1"/>
          <w:spacing w:val="80"/>
          <w:position w:val="10"/>
        </w:rPr>
        <w:t xml:space="preserve"> </w:t>
      </w:r>
      <w:r>
        <w:t>It</w:t>
      </w:r>
    </w:p>
    <w:p w14:paraId="7E000927" w14:textId="77777777" w:rsidR="009A58DB" w:rsidRDefault="009A58DB">
      <w:pPr>
        <w:pStyle w:val="BodyText"/>
        <w:spacing w:line="247" w:lineRule="auto"/>
        <w:sectPr w:rsidR="009A58DB">
          <w:pgSz w:w="12240" w:h="15840"/>
          <w:pgMar w:top="1380" w:right="1080" w:bottom="280" w:left="1080" w:header="720" w:footer="720" w:gutter="0"/>
          <w:cols w:space="720"/>
        </w:sectPr>
      </w:pPr>
    </w:p>
    <w:p w14:paraId="7E000928" w14:textId="77777777" w:rsidR="009A58DB" w:rsidRDefault="00000000">
      <w:pPr>
        <w:pStyle w:val="BodyText"/>
        <w:spacing w:before="63" w:line="247" w:lineRule="auto"/>
        <w:ind w:left="1230" w:right="1228"/>
      </w:pPr>
      <w:r>
        <w:lastRenderedPageBreak/>
        <w:t xml:space="preserve">follows that, if an object’s length is given by an irrational number, that fact cannot be known directly on the basis of measurement. It therefore follows that there is no strictly observation-based way to know that y’s length equals x’s multiplied by </w:t>
      </w:r>
      <w:r>
        <w:rPr>
          <w:rFonts w:ascii="Segoe UI Symbol" w:hAnsi="Segoe UI Symbol"/>
        </w:rPr>
        <w:t>✓</w:t>
      </w:r>
      <w:r>
        <w:t xml:space="preserve">2. In general, for any two objects x and y, there is no strictly observation-based way of establishing that x’s length (or mass, etc.) is </w:t>
      </w:r>
      <w:r>
        <w:rPr>
          <w:i/>
        </w:rPr>
        <w:t xml:space="preserve">incommensurable </w:t>
      </w:r>
      <w:r>
        <w:t>with y’s. (Two magnitudes</w:t>
      </w:r>
      <w:r>
        <w:rPr>
          <w:spacing w:val="60"/>
        </w:rPr>
        <w:t xml:space="preserve"> </w:t>
      </w:r>
      <w:r>
        <w:t>M</w:t>
      </w:r>
      <w:r>
        <w:rPr>
          <w:vertAlign w:val="subscript"/>
        </w:rPr>
        <w:t>1</w:t>
      </w:r>
      <w:r>
        <w:rPr>
          <w:spacing w:val="62"/>
        </w:rPr>
        <w:t xml:space="preserve"> </w:t>
      </w:r>
      <w:r>
        <w:t>and</w:t>
      </w:r>
      <w:r>
        <w:rPr>
          <w:spacing w:val="62"/>
        </w:rPr>
        <w:t xml:space="preserve"> </w:t>
      </w:r>
      <w:r>
        <w:t>M</w:t>
      </w:r>
      <w:r>
        <w:rPr>
          <w:vertAlign w:val="subscript"/>
        </w:rPr>
        <w:t>2</w:t>
      </w:r>
      <w:r>
        <w:rPr>
          <w:spacing w:val="69"/>
        </w:rPr>
        <w:t xml:space="preserve"> </w:t>
      </w:r>
      <w:r>
        <w:t>are</w:t>
      </w:r>
      <w:r>
        <w:rPr>
          <w:spacing w:val="69"/>
        </w:rPr>
        <w:t xml:space="preserve"> </w:t>
      </w:r>
      <w:r>
        <w:t>incommensurable</w:t>
      </w:r>
      <w:r>
        <w:rPr>
          <w:spacing w:val="69"/>
        </w:rPr>
        <w:t xml:space="preserve"> </w:t>
      </w:r>
      <w:r>
        <w:t>if</w:t>
      </w:r>
      <w:r>
        <w:rPr>
          <w:spacing w:val="69"/>
        </w:rPr>
        <w:t xml:space="preserve"> </w:t>
      </w:r>
      <w:r>
        <w:t>there</w:t>
      </w:r>
      <w:r>
        <w:rPr>
          <w:spacing w:val="68"/>
        </w:rPr>
        <w:t xml:space="preserve"> </w:t>
      </w:r>
      <w:r>
        <w:t>is</w:t>
      </w:r>
      <w:r>
        <w:rPr>
          <w:spacing w:val="69"/>
        </w:rPr>
        <w:t xml:space="preserve"> </w:t>
      </w:r>
      <w:r>
        <w:rPr>
          <w:spacing w:val="-5"/>
        </w:rPr>
        <w:t>no</w:t>
      </w:r>
    </w:p>
    <w:p w14:paraId="7E000929" w14:textId="77777777" w:rsidR="009A58DB" w:rsidRDefault="00000000">
      <w:pPr>
        <w:pStyle w:val="BodyText"/>
        <w:spacing w:before="57" w:line="292" w:lineRule="auto"/>
        <w:ind w:left="1230" w:right="1229"/>
      </w:pPr>
      <w:r>
        <w:t>magnitude M</w:t>
      </w:r>
      <w:r>
        <w:rPr>
          <w:vertAlign w:val="subscript"/>
        </w:rPr>
        <w:t>3</w:t>
      </w:r>
      <w:r>
        <w:t xml:space="preserve"> that goes an integral number of times into both M</w:t>
      </w:r>
      <w:r>
        <w:rPr>
          <w:position w:val="-7"/>
          <w:sz w:val="22"/>
        </w:rPr>
        <w:t xml:space="preserve">1 </w:t>
      </w:r>
      <w:r>
        <w:t>and M</w:t>
      </w:r>
      <w:r>
        <w:rPr>
          <w:position w:val="-7"/>
          <w:sz w:val="22"/>
        </w:rPr>
        <w:t>2</w:t>
      </w:r>
      <w:r>
        <w:t>.)</w:t>
      </w:r>
    </w:p>
    <w:p w14:paraId="7E00092A" w14:textId="77777777" w:rsidR="009A58DB" w:rsidRDefault="00000000">
      <w:pPr>
        <w:pStyle w:val="BodyText"/>
        <w:spacing w:line="282" w:lineRule="exact"/>
        <w:ind w:left="1590"/>
      </w:pPr>
      <w:r>
        <w:t>The</w:t>
      </w:r>
      <w:r>
        <w:rPr>
          <w:spacing w:val="17"/>
        </w:rPr>
        <w:t xml:space="preserve"> </w:t>
      </w:r>
      <w:r>
        <w:t>branch</w:t>
      </w:r>
      <w:r>
        <w:rPr>
          <w:spacing w:val="19"/>
        </w:rPr>
        <w:t xml:space="preserve"> </w:t>
      </w:r>
      <w:r>
        <w:t>of</w:t>
      </w:r>
      <w:r>
        <w:rPr>
          <w:spacing w:val="19"/>
        </w:rPr>
        <w:t xml:space="preserve"> </w:t>
      </w:r>
      <w:r>
        <w:t>mathematics</w:t>
      </w:r>
      <w:r>
        <w:rPr>
          <w:spacing w:val="19"/>
        </w:rPr>
        <w:t xml:space="preserve"> </w:t>
      </w:r>
      <w:r>
        <w:t>known</w:t>
      </w:r>
      <w:r>
        <w:rPr>
          <w:spacing w:val="19"/>
        </w:rPr>
        <w:t xml:space="preserve"> </w:t>
      </w:r>
      <w:r>
        <w:t>as</w:t>
      </w:r>
      <w:r>
        <w:rPr>
          <w:spacing w:val="19"/>
        </w:rPr>
        <w:t xml:space="preserve"> </w:t>
      </w:r>
      <w:r>
        <w:t>“calculus”</w:t>
      </w:r>
      <w:r>
        <w:rPr>
          <w:spacing w:val="19"/>
        </w:rPr>
        <w:t xml:space="preserve"> </w:t>
      </w:r>
      <w:r>
        <w:t>is</w:t>
      </w:r>
      <w:r>
        <w:rPr>
          <w:spacing w:val="20"/>
        </w:rPr>
        <w:t xml:space="preserve"> </w:t>
      </w:r>
      <w:r>
        <w:rPr>
          <w:spacing w:val="-2"/>
        </w:rPr>
        <w:t>integral</w:t>
      </w:r>
    </w:p>
    <w:p w14:paraId="7E00092B" w14:textId="77777777" w:rsidR="009A58DB" w:rsidRDefault="00000000">
      <w:pPr>
        <w:pStyle w:val="BodyText"/>
        <w:spacing w:before="15" w:line="249" w:lineRule="auto"/>
        <w:ind w:left="1230" w:right="1229"/>
      </w:pPr>
      <w:r>
        <w:t>to modern physics. Calculus is the study of continuously changing quantities. In order to describe physical phenomena in a way that makes it possible to use the powerful techniques of the calculus to describe them, it must be assumed that they change continuously and, therefore, that the degree to which a given phenomenon has a given property may sometimes be given by an irrational number</w:t>
      </w:r>
      <w:bookmarkStart w:id="101" w:name="_bookmark101"/>
      <w:bookmarkEnd w:id="101"/>
      <w:r>
        <w:t>.</w:t>
      </w:r>
      <w:r>
        <w:rPr>
          <w:color w:val="0562C1"/>
          <w:position w:val="10"/>
          <w:u w:val="single" w:color="0562C1"/>
        </w:rPr>
        <w:t>101</w:t>
      </w:r>
      <w:r>
        <w:rPr>
          <w:color w:val="0562C1"/>
          <w:position w:val="10"/>
        </w:rPr>
        <w:t xml:space="preserve"> </w:t>
      </w:r>
      <w:r>
        <w:t>Thus, it must be assumed that,</w:t>
      </w:r>
      <w:r>
        <w:rPr>
          <w:spacing w:val="-4"/>
        </w:rPr>
        <w:t xml:space="preserve"> </w:t>
      </w:r>
      <w:r>
        <w:t>at</w:t>
      </w:r>
      <w:r>
        <w:rPr>
          <w:spacing w:val="-5"/>
        </w:rPr>
        <w:t xml:space="preserve"> </w:t>
      </w:r>
      <w:r>
        <w:t>certain</w:t>
      </w:r>
      <w:r>
        <w:rPr>
          <w:spacing w:val="-4"/>
        </w:rPr>
        <w:t xml:space="preserve"> </w:t>
      </w:r>
      <w:r>
        <w:t>junctures,</w:t>
      </w:r>
      <w:r>
        <w:rPr>
          <w:spacing w:val="-4"/>
        </w:rPr>
        <w:t xml:space="preserve"> </w:t>
      </w:r>
      <w:r>
        <w:t>the</w:t>
      </w:r>
      <w:r>
        <w:rPr>
          <w:spacing w:val="-5"/>
        </w:rPr>
        <w:t xml:space="preserve"> </w:t>
      </w:r>
      <w:r>
        <w:t>velocities,</w:t>
      </w:r>
      <w:r>
        <w:rPr>
          <w:spacing w:val="-4"/>
        </w:rPr>
        <w:t xml:space="preserve"> </w:t>
      </w:r>
      <w:r>
        <w:t>lengths,</w:t>
      </w:r>
      <w:r>
        <w:rPr>
          <w:spacing w:val="-4"/>
        </w:rPr>
        <w:t xml:space="preserve"> </w:t>
      </w:r>
      <w:r>
        <w:t>masses,</w:t>
      </w:r>
      <w:r>
        <w:rPr>
          <w:spacing w:val="-4"/>
        </w:rPr>
        <w:t xml:space="preserve"> </w:t>
      </w:r>
      <w:r>
        <w:t>etc.,</w:t>
      </w:r>
      <w:r>
        <w:rPr>
          <w:spacing w:val="-4"/>
        </w:rPr>
        <w:t xml:space="preserve"> </w:t>
      </w:r>
      <w:r>
        <w:t xml:space="preserve">of objects are sometimes given by irrational numbers. But there cannot, as we’ve seen, be strictly observational grounds for believing that a given object‘s length is </w:t>
      </w:r>
      <w:r>
        <w:rPr>
          <w:rFonts w:ascii="Segoe UI Symbol" w:hAnsi="Segoe UI Symbol"/>
        </w:rPr>
        <w:t>✓</w:t>
      </w:r>
      <w:r>
        <w:t xml:space="preserve">2 meters (or that its mass is </w:t>
      </w:r>
      <w:r>
        <w:rPr>
          <w:rFonts w:ascii="Segoe UI Symbol" w:hAnsi="Segoe UI Symbol"/>
        </w:rPr>
        <w:t>✓</w:t>
      </w:r>
      <w:r>
        <w:t>2 lbs, etc.)</w:t>
      </w:r>
      <w:bookmarkStart w:id="102" w:name="_bookmark102"/>
      <w:bookmarkEnd w:id="102"/>
      <w:r>
        <w:t>.</w:t>
      </w:r>
      <w:r>
        <w:rPr>
          <w:color w:val="0562C1"/>
          <w:position w:val="10"/>
          <w:u w:val="single" w:color="0562C1"/>
        </w:rPr>
        <w:t>102</w:t>
      </w:r>
      <w:r>
        <w:rPr>
          <w:color w:val="0562C1"/>
          <w:spacing w:val="-11"/>
          <w:position w:val="10"/>
        </w:rPr>
        <w:t xml:space="preserve"> </w:t>
      </w:r>
      <w:r>
        <w:t>Since the calculus can’t be applied to observable phenomena unless it’s assumed that things’ weights, velocities, etc., can at least sometimes assume values given by irrational numbers, it follows that modern physics integrally depends on an assumption for which there cannot be possibly a strictly observational basis. This means that strict empiricism is inconsistent with the obvious fact that modern physics is a source of knowledge.</w:t>
      </w:r>
    </w:p>
    <w:p w14:paraId="7E00092C" w14:textId="77777777" w:rsidR="009A58DB" w:rsidRDefault="00000000">
      <w:pPr>
        <w:pStyle w:val="Heading1"/>
        <w:numPr>
          <w:ilvl w:val="1"/>
          <w:numId w:val="216"/>
        </w:numPr>
        <w:tabs>
          <w:tab w:val="left" w:pos="990"/>
        </w:tabs>
        <w:spacing w:before="167"/>
      </w:pPr>
      <w:r>
        <w:t>The</w:t>
      </w:r>
      <w:r>
        <w:rPr>
          <w:spacing w:val="-9"/>
        </w:rPr>
        <w:t xml:space="preserve"> </w:t>
      </w:r>
      <w:r>
        <w:t>sub-disciplines</w:t>
      </w:r>
      <w:r>
        <w:rPr>
          <w:spacing w:val="-8"/>
        </w:rPr>
        <w:t xml:space="preserve"> </w:t>
      </w:r>
      <w:r>
        <w:t>composing</w:t>
      </w:r>
      <w:r>
        <w:rPr>
          <w:spacing w:val="-7"/>
        </w:rPr>
        <w:t xml:space="preserve"> </w:t>
      </w:r>
      <w:r>
        <w:rPr>
          <w:spacing w:val="-2"/>
        </w:rPr>
        <w:t>philosophy</w:t>
      </w:r>
    </w:p>
    <w:p w14:paraId="7E00092D" w14:textId="77777777" w:rsidR="009A58DB" w:rsidRDefault="00000000">
      <w:pPr>
        <w:pStyle w:val="BodyText"/>
        <w:tabs>
          <w:tab w:val="left" w:pos="1944"/>
          <w:tab w:val="left" w:pos="2446"/>
          <w:tab w:val="left" w:pos="3855"/>
          <w:tab w:val="left" w:pos="4473"/>
          <w:tab w:val="left" w:pos="5491"/>
          <w:tab w:val="left" w:pos="5992"/>
          <w:tab w:val="left" w:pos="7560"/>
          <w:tab w:val="left" w:pos="8394"/>
          <w:tab w:val="left" w:pos="9463"/>
        </w:tabs>
        <w:spacing w:before="139" w:line="249" w:lineRule="auto"/>
        <w:ind w:right="364"/>
        <w:jc w:val="left"/>
      </w:pPr>
      <w:r>
        <w:t>The</w:t>
      </w:r>
      <w:r>
        <w:rPr>
          <w:spacing w:val="33"/>
        </w:rPr>
        <w:t xml:space="preserve"> </w:t>
      </w:r>
      <w:r>
        <w:t>main</w:t>
      </w:r>
      <w:r>
        <w:rPr>
          <w:spacing w:val="33"/>
        </w:rPr>
        <w:t xml:space="preserve"> </w:t>
      </w:r>
      <w:r>
        <w:t>branches</w:t>
      </w:r>
      <w:r>
        <w:rPr>
          <w:spacing w:val="33"/>
        </w:rPr>
        <w:t xml:space="preserve"> </w:t>
      </w:r>
      <w:r>
        <w:t>of</w:t>
      </w:r>
      <w:r>
        <w:rPr>
          <w:spacing w:val="33"/>
        </w:rPr>
        <w:t xml:space="preserve"> </w:t>
      </w:r>
      <w:r>
        <w:t>analytic</w:t>
      </w:r>
      <w:r>
        <w:rPr>
          <w:spacing w:val="33"/>
        </w:rPr>
        <w:t xml:space="preserve"> </w:t>
      </w:r>
      <w:r>
        <w:t>philosophy</w:t>
      </w:r>
      <w:r>
        <w:rPr>
          <w:spacing w:val="33"/>
        </w:rPr>
        <w:t xml:space="preserve"> </w:t>
      </w:r>
      <w:r>
        <w:t>are:</w:t>
      </w:r>
      <w:r>
        <w:rPr>
          <w:spacing w:val="33"/>
        </w:rPr>
        <w:t xml:space="preserve"> </w:t>
      </w:r>
      <w:r>
        <w:t>the</w:t>
      </w:r>
      <w:r>
        <w:rPr>
          <w:spacing w:val="33"/>
        </w:rPr>
        <w:t xml:space="preserve"> </w:t>
      </w:r>
      <w:r>
        <w:t>philosophy</w:t>
      </w:r>
      <w:r>
        <w:rPr>
          <w:spacing w:val="33"/>
        </w:rPr>
        <w:t xml:space="preserve"> </w:t>
      </w:r>
      <w:r>
        <w:t>of</w:t>
      </w:r>
      <w:r>
        <w:rPr>
          <w:spacing w:val="33"/>
        </w:rPr>
        <w:t xml:space="preserve"> </w:t>
      </w:r>
      <w:r>
        <w:t>mind,</w:t>
      </w:r>
      <w:r>
        <w:rPr>
          <w:spacing w:val="34"/>
        </w:rPr>
        <w:t xml:space="preserve"> </w:t>
      </w:r>
      <w:r>
        <w:t xml:space="preserve">the </w:t>
      </w:r>
      <w:r>
        <w:rPr>
          <w:spacing w:val="-2"/>
        </w:rPr>
        <w:t>philosophy</w:t>
      </w:r>
      <w:r>
        <w:tab/>
      </w:r>
      <w:r>
        <w:rPr>
          <w:spacing w:val="-5"/>
        </w:rPr>
        <w:t>of</w:t>
      </w:r>
      <w:r>
        <w:tab/>
      </w:r>
      <w:r>
        <w:rPr>
          <w:spacing w:val="-2"/>
        </w:rPr>
        <w:t>language,</w:t>
      </w:r>
      <w:r>
        <w:tab/>
      </w:r>
      <w:r>
        <w:rPr>
          <w:spacing w:val="-5"/>
        </w:rPr>
        <w:t>the</w:t>
      </w:r>
      <w:r>
        <w:tab/>
      </w:r>
      <w:r>
        <w:rPr>
          <w:spacing w:val="-2"/>
        </w:rPr>
        <w:t>theory</w:t>
      </w:r>
      <w:r>
        <w:tab/>
      </w:r>
      <w:r>
        <w:rPr>
          <w:spacing w:val="-7"/>
        </w:rPr>
        <w:t>of</w:t>
      </w:r>
      <w:r>
        <w:tab/>
      </w:r>
      <w:r>
        <w:rPr>
          <w:spacing w:val="-2"/>
        </w:rPr>
        <w:t>knowledge</w:t>
      </w:r>
      <w:r>
        <w:tab/>
      </w:r>
      <w:r>
        <w:rPr>
          <w:spacing w:val="-2"/>
        </w:rPr>
        <w:t>(also</w:t>
      </w:r>
      <w:r>
        <w:tab/>
      </w:r>
      <w:r>
        <w:rPr>
          <w:spacing w:val="-2"/>
        </w:rPr>
        <w:t>known</w:t>
      </w:r>
      <w:r>
        <w:tab/>
      </w:r>
      <w:r>
        <w:rPr>
          <w:spacing w:val="-5"/>
        </w:rPr>
        <w:t>as</w:t>
      </w:r>
    </w:p>
    <w:p w14:paraId="7E00092E"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92F" w14:textId="77777777" w:rsidR="009A58DB" w:rsidRDefault="00000000">
      <w:pPr>
        <w:pStyle w:val="BodyText"/>
        <w:spacing w:before="60" w:line="249" w:lineRule="auto"/>
        <w:ind w:right="362"/>
      </w:pPr>
      <w:r>
        <w:lastRenderedPageBreak/>
        <w:t>“epistemology”),</w:t>
      </w:r>
      <w:r>
        <w:rPr>
          <w:spacing w:val="-3"/>
        </w:rPr>
        <w:t xml:space="preserve"> </w:t>
      </w:r>
      <w:r>
        <w:t>philosophical</w:t>
      </w:r>
      <w:r>
        <w:rPr>
          <w:spacing w:val="-4"/>
        </w:rPr>
        <w:t xml:space="preserve"> </w:t>
      </w:r>
      <w:r>
        <w:t>logic,</w:t>
      </w:r>
      <w:r>
        <w:rPr>
          <w:spacing w:val="-3"/>
        </w:rPr>
        <w:t xml:space="preserve"> </w:t>
      </w:r>
      <w:r>
        <w:t>metaphysics,</w:t>
      </w:r>
      <w:r>
        <w:rPr>
          <w:spacing w:val="-3"/>
        </w:rPr>
        <w:t xml:space="preserve"> </w:t>
      </w:r>
      <w:r>
        <w:t>the</w:t>
      </w:r>
      <w:r>
        <w:rPr>
          <w:spacing w:val="-3"/>
        </w:rPr>
        <w:t xml:space="preserve"> </w:t>
      </w:r>
      <w:r>
        <w:t>philosophy</w:t>
      </w:r>
      <w:r>
        <w:rPr>
          <w:spacing w:val="-3"/>
        </w:rPr>
        <w:t xml:space="preserve"> </w:t>
      </w:r>
      <w:r>
        <w:t>of</w:t>
      </w:r>
      <w:r>
        <w:rPr>
          <w:spacing w:val="-3"/>
        </w:rPr>
        <w:t xml:space="preserve"> </w:t>
      </w:r>
      <w:r>
        <w:t>science, ethics, political philosophy, legal philosophy, the philosophy of religion, and formal logic.</w:t>
      </w:r>
    </w:p>
    <w:p w14:paraId="7E000930" w14:textId="77777777" w:rsidR="009A58DB" w:rsidRDefault="00000000">
      <w:pPr>
        <w:pStyle w:val="BodyText"/>
        <w:spacing w:before="8" w:line="249" w:lineRule="auto"/>
        <w:ind w:right="358" w:firstLine="360"/>
      </w:pPr>
      <w:r>
        <w:t xml:space="preserve">It should be kept in mind that these sub-disciplines overlap a great deal. So, for example, the question “do we think in words?” belongs to the philosophy of mind </w:t>
      </w:r>
      <w:r>
        <w:rPr>
          <w:i/>
        </w:rPr>
        <w:t xml:space="preserve">and </w:t>
      </w:r>
      <w:r>
        <w:t>to the philosophy of language.</w:t>
      </w:r>
    </w:p>
    <w:p w14:paraId="7E000931" w14:textId="77777777" w:rsidR="009A58DB" w:rsidRDefault="00000000">
      <w:pPr>
        <w:pStyle w:val="Heading1"/>
        <w:numPr>
          <w:ilvl w:val="1"/>
          <w:numId w:val="216"/>
        </w:numPr>
        <w:tabs>
          <w:tab w:val="left" w:pos="990"/>
        </w:tabs>
        <w:spacing w:before="192"/>
      </w:pPr>
      <w:r>
        <w:t>The</w:t>
      </w:r>
      <w:r>
        <w:rPr>
          <w:spacing w:val="-6"/>
        </w:rPr>
        <w:t xml:space="preserve"> </w:t>
      </w:r>
      <w:r>
        <w:t>philosophy</w:t>
      </w:r>
      <w:r>
        <w:rPr>
          <w:spacing w:val="-3"/>
        </w:rPr>
        <w:t xml:space="preserve"> </w:t>
      </w:r>
      <w:r>
        <w:t>of</w:t>
      </w:r>
      <w:r>
        <w:rPr>
          <w:spacing w:val="-4"/>
        </w:rPr>
        <w:t xml:space="preserve"> mind</w:t>
      </w:r>
    </w:p>
    <w:p w14:paraId="7E000932" w14:textId="77777777" w:rsidR="009A58DB" w:rsidRDefault="00000000">
      <w:pPr>
        <w:pStyle w:val="BodyText"/>
        <w:spacing w:before="139" w:line="249" w:lineRule="auto"/>
        <w:ind w:right="359"/>
      </w:pPr>
      <w:r>
        <w:t>This discipline studies the concepts in terms of which the mind is to be understood. Among the questions it tries to answer are:</w:t>
      </w:r>
    </w:p>
    <w:p w14:paraId="7E000933" w14:textId="77777777" w:rsidR="009A58DB" w:rsidRDefault="00000000">
      <w:pPr>
        <w:pStyle w:val="BodyText"/>
        <w:spacing w:before="243" w:line="249" w:lineRule="auto"/>
        <w:ind w:right="364" w:firstLine="360"/>
      </w:pPr>
      <w:r>
        <w:t>Must one know a language in order to think? Or, on the contrary, is the ability to think a prerequisite to learning and operating with a language?</w:t>
      </w:r>
    </w:p>
    <w:p w14:paraId="7E000934" w14:textId="77777777" w:rsidR="009A58DB" w:rsidRDefault="00000000">
      <w:pPr>
        <w:pStyle w:val="BodyText"/>
        <w:spacing w:before="2" w:line="249" w:lineRule="auto"/>
        <w:ind w:left="720" w:right="364"/>
      </w:pPr>
      <w:r>
        <w:t>Given that knowing a language seems to enhance some kinds of thinking, how does it do so?</w:t>
      </w:r>
    </w:p>
    <w:p w14:paraId="7E000935" w14:textId="77777777" w:rsidR="009A58DB" w:rsidRDefault="00000000">
      <w:pPr>
        <w:pStyle w:val="BodyText"/>
        <w:spacing w:before="2" w:line="249" w:lineRule="auto"/>
        <w:ind w:right="369" w:firstLine="360"/>
      </w:pPr>
      <w:r>
        <w:t>What are beliefs, and what is the difference between believing that Smith is tall and wondering whether he is tall?</w:t>
      </w:r>
    </w:p>
    <w:p w14:paraId="7E000936" w14:textId="77777777" w:rsidR="009A58DB" w:rsidRDefault="00000000">
      <w:pPr>
        <w:pStyle w:val="BodyText"/>
        <w:spacing w:before="3"/>
        <w:ind w:left="720"/>
      </w:pPr>
      <w:r>
        <w:t>How</w:t>
      </w:r>
      <w:r>
        <w:rPr>
          <w:spacing w:val="-4"/>
        </w:rPr>
        <w:t xml:space="preserve"> </w:t>
      </w:r>
      <w:r>
        <w:t>is</w:t>
      </w:r>
      <w:r>
        <w:rPr>
          <w:spacing w:val="-4"/>
        </w:rPr>
        <w:t xml:space="preserve"> </w:t>
      </w:r>
      <w:r>
        <w:t>perception</w:t>
      </w:r>
      <w:r>
        <w:rPr>
          <w:spacing w:val="-3"/>
        </w:rPr>
        <w:t xml:space="preserve"> </w:t>
      </w:r>
      <w:r>
        <w:t>related</w:t>
      </w:r>
      <w:r>
        <w:rPr>
          <w:spacing w:val="-3"/>
        </w:rPr>
        <w:t xml:space="preserve"> </w:t>
      </w:r>
      <w:r>
        <w:t>to</w:t>
      </w:r>
      <w:r>
        <w:rPr>
          <w:spacing w:val="-3"/>
        </w:rPr>
        <w:t xml:space="preserve"> </w:t>
      </w:r>
      <w:r>
        <w:rPr>
          <w:spacing w:val="-2"/>
        </w:rPr>
        <w:t>thought?</w:t>
      </w:r>
    </w:p>
    <w:p w14:paraId="7E000937" w14:textId="77777777" w:rsidR="009A58DB" w:rsidRDefault="00000000">
      <w:pPr>
        <w:pStyle w:val="BodyText"/>
        <w:spacing w:before="15" w:line="249" w:lineRule="auto"/>
        <w:ind w:right="365" w:firstLine="360"/>
      </w:pPr>
      <w:r>
        <w:t>Can perceptual content (i.e., what our eyes, ears, etc., tell us) be put into words? Or is there a fundamental difference between the kind of information that our sense-perceptions bear, on the one hand, and the kind of information that can be encoded in sentences, on the other?</w:t>
      </w:r>
    </w:p>
    <w:p w14:paraId="7E000938" w14:textId="77777777" w:rsidR="009A58DB" w:rsidRDefault="00000000">
      <w:pPr>
        <w:pStyle w:val="BodyText"/>
        <w:spacing w:before="5" w:line="249" w:lineRule="auto"/>
        <w:ind w:left="720" w:right="361"/>
      </w:pPr>
      <w:r>
        <w:t>To what extent is self-knowledge possible? What factors limit our ability to know ourselves? How is mind related to brain? Are they one? If not, what is the relationship between the two? Can there be unconscious</w:t>
      </w:r>
      <w:r>
        <w:rPr>
          <w:spacing w:val="40"/>
        </w:rPr>
        <w:t xml:space="preserve"> </w:t>
      </w:r>
      <w:r>
        <w:t>mental activity?</w:t>
      </w:r>
    </w:p>
    <w:p w14:paraId="7E000939" w14:textId="77777777" w:rsidR="009A58DB" w:rsidRDefault="00000000">
      <w:pPr>
        <w:pStyle w:val="Heading1"/>
        <w:numPr>
          <w:ilvl w:val="1"/>
          <w:numId w:val="216"/>
        </w:numPr>
        <w:tabs>
          <w:tab w:val="left" w:pos="990"/>
        </w:tabs>
        <w:spacing w:before="208"/>
      </w:pPr>
      <w:r>
        <w:t>The</w:t>
      </w:r>
      <w:r>
        <w:rPr>
          <w:spacing w:val="-4"/>
        </w:rPr>
        <w:t xml:space="preserve"> </w:t>
      </w:r>
      <w:r>
        <w:t>philosophy</w:t>
      </w:r>
      <w:r>
        <w:rPr>
          <w:spacing w:val="-3"/>
        </w:rPr>
        <w:t xml:space="preserve"> </w:t>
      </w:r>
      <w:r>
        <w:t>of</w:t>
      </w:r>
      <w:r>
        <w:rPr>
          <w:spacing w:val="-4"/>
        </w:rPr>
        <w:t xml:space="preserve"> </w:t>
      </w:r>
      <w:r>
        <w:rPr>
          <w:spacing w:val="-2"/>
        </w:rPr>
        <w:t>language</w:t>
      </w:r>
    </w:p>
    <w:p w14:paraId="7E00093A" w14:textId="77777777" w:rsidR="009A58DB" w:rsidRDefault="00000000">
      <w:pPr>
        <w:pStyle w:val="BodyText"/>
        <w:spacing w:before="139" w:line="249" w:lineRule="auto"/>
        <w:ind w:right="365"/>
        <w:jc w:val="left"/>
      </w:pPr>
      <w:r>
        <w:t>This discipline studies the nature of linguistic meaning. Among the questions it tries to answer are:</w:t>
      </w:r>
    </w:p>
    <w:p w14:paraId="7E00093B" w14:textId="77777777" w:rsidR="009A58DB" w:rsidRDefault="00000000">
      <w:pPr>
        <w:pStyle w:val="BodyText"/>
        <w:spacing w:before="2" w:line="249" w:lineRule="auto"/>
        <w:ind w:right="364" w:firstLine="360"/>
        <w:jc w:val="left"/>
      </w:pPr>
      <w:r>
        <w:t xml:space="preserve">What does it mean to say that “Smith” </w:t>
      </w:r>
      <w:r>
        <w:rPr>
          <w:b/>
          <w:i/>
        </w:rPr>
        <w:t xml:space="preserve">refers to </w:t>
      </w:r>
      <w:r>
        <w:t>Smith? What, in general, does it mean to say of an expression E that it picks out some object O?</w:t>
      </w:r>
    </w:p>
    <w:p w14:paraId="7E00093C" w14:textId="77777777" w:rsidR="009A58DB" w:rsidRDefault="00000000">
      <w:pPr>
        <w:pStyle w:val="BodyText"/>
        <w:spacing w:before="3" w:line="249" w:lineRule="auto"/>
        <w:ind w:left="720"/>
        <w:jc w:val="left"/>
      </w:pPr>
      <w:r>
        <w:t>How</w:t>
      </w:r>
      <w:r>
        <w:rPr>
          <w:spacing w:val="34"/>
        </w:rPr>
        <w:t xml:space="preserve"> </w:t>
      </w:r>
      <w:r>
        <w:t>do</w:t>
      </w:r>
      <w:r>
        <w:rPr>
          <w:spacing w:val="34"/>
        </w:rPr>
        <w:t xml:space="preserve"> </w:t>
      </w:r>
      <w:r>
        <w:t>the</w:t>
      </w:r>
      <w:r>
        <w:rPr>
          <w:spacing w:val="35"/>
        </w:rPr>
        <w:t xml:space="preserve"> </w:t>
      </w:r>
      <w:r>
        <w:t>meanings</w:t>
      </w:r>
      <w:r>
        <w:rPr>
          <w:spacing w:val="34"/>
        </w:rPr>
        <w:t xml:space="preserve"> </w:t>
      </w:r>
      <w:r>
        <w:t>of</w:t>
      </w:r>
      <w:r>
        <w:rPr>
          <w:spacing w:val="35"/>
        </w:rPr>
        <w:t xml:space="preserve"> </w:t>
      </w:r>
      <w:r>
        <w:t>a</w:t>
      </w:r>
      <w:r>
        <w:rPr>
          <w:spacing w:val="34"/>
        </w:rPr>
        <w:t xml:space="preserve"> </w:t>
      </w:r>
      <w:r>
        <w:t>sentence’s</w:t>
      </w:r>
      <w:r>
        <w:rPr>
          <w:spacing w:val="35"/>
        </w:rPr>
        <w:t xml:space="preserve"> </w:t>
      </w:r>
      <w:r>
        <w:t>parts</w:t>
      </w:r>
      <w:r>
        <w:rPr>
          <w:spacing w:val="34"/>
        </w:rPr>
        <w:t xml:space="preserve"> </w:t>
      </w:r>
      <w:r>
        <w:t>relate</w:t>
      </w:r>
      <w:r>
        <w:rPr>
          <w:spacing w:val="35"/>
        </w:rPr>
        <w:t xml:space="preserve"> </w:t>
      </w:r>
      <w:r>
        <w:t>to</w:t>
      </w:r>
      <w:r>
        <w:rPr>
          <w:spacing w:val="34"/>
        </w:rPr>
        <w:t xml:space="preserve"> </w:t>
      </w:r>
      <w:r>
        <w:t>the</w:t>
      </w:r>
      <w:r>
        <w:rPr>
          <w:spacing w:val="35"/>
        </w:rPr>
        <w:t xml:space="preserve"> </w:t>
      </w:r>
      <w:r>
        <w:t>meaning</w:t>
      </w:r>
      <w:r>
        <w:rPr>
          <w:spacing w:val="34"/>
        </w:rPr>
        <w:t xml:space="preserve"> </w:t>
      </w:r>
      <w:r>
        <w:t>of</w:t>
      </w:r>
      <w:r>
        <w:rPr>
          <w:spacing w:val="34"/>
        </w:rPr>
        <w:t xml:space="preserve"> </w:t>
      </w:r>
      <w:r>
        <w:t>the sentence as a whole?</w:t>
      </w:r>
    </w:p>
    <w:p w14:paraId="7E00093D" w14:textId="77777777" w:rsidR="009A58DB" w:rsidRDefault="00000000">
      <w:pPr>
        <w:pStyle w:val="BodyText"/>
        <w:spacing w:before="2"/>
        <w:ind w:left="720"/>
        <w:jc w:val="left"/>
      </w:pPr>
      <w:r>
        <w:t>Do</w:t>
      </w:r>
      <w:r>
        <w:rPr>
          <w:spacing w:val="-2"/>
        </w:rPr>
        <w:t xml:space="preserve"> </w:t>
      </w:r>
      <w:r>
        <w:t>expressions</w:t>
      </w:r>
      <w:r>
        <w:rPr>
          <w:spacing w:val="-2"/>
        </w:rPr>
        <w:t xml:space="preserve"> </w:t>
      </w:r>
      <w:r>
        <w:t>like</w:t>
      </w:r>
      <w:r>
        <w:rPr>
          <w:spacing w:val="-1"/>
        </w:rPr>
        <w:t xml:space="preserve"> </w:t>
      </w:r>
      <w:r>
        <w:t>“some</w:t>
      </w:r>
      <w:r>
        <w:rPr>
          <w:spacing w:val="-2"/>
        </w:rPr>
        <w:t xml:space="preserve"> </w:t>
      </w:r>
      <w:r>
        <w:t>person,”</w:t>
      </w:r>
      <w:r>
        <w:rPr>
          <w:spacing w:val="-1"/>
        </w:rPr>
        <w:t xml:space="preserve"> </w:t>
      </w:r>
      <w:r>
        <w:t>“all</w:t>
      </w:r>
      <w:r>
        <w:rPr>
          <w:spacing w:val="-2"/>
        </w:rPr>
        <w:t xml:space="preserve"> </w:t>
      </w:r>
      <w:r>
        <w:t>people,”</w:t>
      </w:r>
      <w:r>
        <w:rPr>
          <w:spacing w:val="-2"/>
        </w:rPr>
        <w:t xml:space="preserve"> </w:t>
      </w:r>
      <w:r>
        <w:t>and</w:t>
      </w:r>
      <w:r>
        <w:rPr>
          <w:spacing w:val="-1"/>
        </w:rPr>
        <w:t xml:space="preserve"> </w:t>
      </w:r>
      <w:r>
        <w:t>“no</w:t>
      </w:r>
      <w:r>
        <w:rPr>
          <w:spacing w:val="-2"/>
        </w:rPr>
        <w:t xml:space="preserve"> </w:t>
      </w:r>
      <w:r>
        <w:t>people”</w:t>
      </w:r>
      <w:r>
        <w:rPr>
          <w:spacing w:val="-1"/>
        </w:rPr>
        <w:t xml:space="preserve"> </w:t>
      </w:r>
      <w:r>
        <w:rPr>
          <w:spacing w:val="-2"/>
        </w:rPr>
        <w:t>function</w:t>
      </w:r>
    </w:p>
    <w:p w14:paraId="7E00093E" w14:textId="77777777" w:rsidR="009A58DB" w:rsidRDefault="009A58DB">
      <w:pPr>
        <w:pStyle w:val="BodyText"/>
        <w:jc w:val="left"/>
        <w:sectPr w:rsidR="009A58DB">
          <w:pgSz w:w="12240" w:h="15840"/>
          <w:pgMar w:top="1380" w:right="1080" w:bottom="280" w:left="1080" w:header="720" w:footer="720" w:gutter="0"/>
          <w:cols w:space="720"/>
        </w:sectPr>
      </w:pPr>
    </w:p>
    <w:p w14:paraId="7E00093F" w14:textId="77777777" w:rsidR="009A58DB" w:rsidRDefault="00000000">
      <w:pPr>
        <w:pStyle w:val="BodyText"/>
        <w:spacing w:before="71" w:line="249" w:lineRule="auto"/>
        <w:ind w:right="359"/>
      </w:pPr>
      <w:r>
        <w:lastRenderedPageBreak/>
        <w:t>in the same way as proper names (e.g., “Smith,” “Jones”)—that is, do they pick out objects? Or do they function in some other way? If so, what is that other way?</w:t>
      </w:r>
    </w:p>
    <w:p w14:paraId="7E000940" w14:textId="77777777" w:rsidR="009A58DB" w:rsidRDefault="00000000">
      <w:pPr>
        <w:pStyle w:val="BodyText"/>
        <w:spacing w:line="249" w:lineRule="auto"/>
        <w:ind w:right="370" w:firstLine="360"/>
      </w:pPr>
      <w:r>
        <w:t>To what extent can the nature of linguistic meaning in general be understood in terms of the relationship that proper names bear to their referents (the things they refer to)?</w:t>
      </w:r>
    </w:p>
    <w:p w14:paraId="7E000941" w14:textId="77777777" w:rsidR="009A58DB" w:rsidRDefault="00000000">
      <w:pPr>
        <w:pStyle w:val="BodyText"/>
        <w:spacing w:before="1"/>
        <w:ind w:left="720"/>
      </w:pPr>
      <w:r>
        <w:t>How</w:t>
      </w:r>
      <w:r>
        <w:rPr>
          <w:spacing w:val="-6"/>
        </w:rPr>
        <w:t xml:space="preserve"> </w:t>
      </w:r>
      <w:r>
        <w:t>is</w:t>
      </w:r>
      <w:r>
        <w:rPr>
          <w:spacing w:val="-3"/>
        </w:rPr>
        <w:t xml:space="preserve"> </w:t>
      </w:r>
      <w:r>
        <w:t>it</w:t>
      </w:r>
      <w:r>
        <w:rPr>
          <w:spacing w:val="-4"/>
        </w:rPr>
        <w:t xml:space="preserve"> </w:t>
      </w:r>
      <w:r>
        <w:t>that</w:t>
      </w:r>
      <w:r>
        <w:rPr>
          <w:spacing w:val="-3"/>
        </w:rPr>
        <w:t xml:space="preserve"> </w:t>
      </w:r>
      <w:r>
        <w:t>statements</w:t>
      </w:r>
      <w:r>
        <w:rPr>
          <w:spacing w:val="-3"/>
        </w:rPr>
        <w:t xml:space="preserve"> </w:t>
      </w:r>
      <w:r>
        <w:t>about</w:t>
      </w:r>
      <w:r>
        <w:rPr>
          <w:spacing w:val="-4"/>
        </w:rPr>
        <w:t xml:space="preserve"> </w:t>
      </w:r>
      <w:r>
        <w:t>non-existent</w:t>
      </w:r>
      <w:r>
        <w:rPr>
          <w:spacing w:val="-3"/>
        </w:rPr>
        <w:t xml:space="preserve"> </w:t>
      </w:r>
      <w:r>
        <w:t>things</w:t>
      </w:r>
      <w:r>
        <w:rPr>
          <w:spacing w:val="-4"/>
        </w:rPr>
        <w:t xml:space="preserve"> </w:t>
      </w:r>
      <w:r>
        <w:t>can</w:t>
      </w:r>
      <w:r>
        <w:rPr>
          <w:spacing w:val="-2"/>
        </w:rPr>
        <w:t xml:space="preserve"> </w:t>
      </w:r>
      <w:r>
        <w:t>be</w:t>
      </w:r>
      <w:r>
        <w:rPr>
          <w:spacing w:val="-3"/>
        </w:rPr>
        <w:t xml:space="preserve"> </w:t>
      </w:r>
      <w:r>
        <w:rPr>
          <w:spacing w:val="-2"/>
        </w:rPr>
        <w:t>meaningful?</w:t>
      </w:r>
    </w:p>
    <w:p w14:paraId="7E000942" w14:textId="77777777" w:rsidR="009A58DB" w:rsidRDefault="00000000">
      <w:pPr>
        <w:pStyle w:val="BodyText"/>
        <w:spacing w:before="15" w:line="249" w:lineRule="auto"/>
        <w:ind w:right="360" w:firstLine="360"/>
      </w:pPr>
      <w:r>
        <w:t>How is the meaning of a sentence related to the thoughts of those who utter that sentence? Do the thought and the meaning coincide? Or is the relationship more indirect? If so, what exactly is that relationship?</w:t>
      </w:r>
    </w:p>
    <w:p w14:paraId="7E000943" w14:textId="77777777" w:rsidR="009A58DB" w:rsidRDefault="00000000">
      <w:pPr>
        <w:pStyle w:val="BodyText"/>
        <w:spacing w:before="4" w:line="249" w:lineRule="auto"/>
        <w:ind w:right="359" w:firstLine="360"/>
      </w:pPr>
      <w:r>
        <w:t xml:space="preserve">How well does the grammatical structure of a sentence reveal what it actually says? Does grammar distort meaning or, on the contrary, is grammar a good guide to </w:t>
      </w:r>
      <w:r>
        <w:rPr>
          <w:b/>
          <w:i/>
        </w:rPr>
        <w:t>logical form</w:t>
      </w:r>
      <w:r>
        <w:t>?</w:t>
      </w:r>
    </w:p>
    <w:p w14:paraId="7E000944" w14:textId="77777777" w:rsidR="009A58DB" w:rsidRDefault="00000000">
      <w:pPr>
        <w:pStyle w:val="BodyText"/>
        <w:spacing w:before="3" w:line="249" w:lineRule="auto"/>
        <w:ind w:right="357" w:firstLine="360"/>
      </w:pPr>
      <w:r>
        <w:t xml:space="preserve">Are the </w:t>
      </w:r>
      <w:r>
        <w:rPr>
          <w:b/>
          <w:i/>
        </w:rPr>
        <w:t xml:space="preserve">semantic rules </w:t>
      </w:r>
      <w:r>
        <w:t>of a language (e.g., the rule that, in English, “snow” refers to a certain crystalline substance) known to speakers of that language? Or are such rules merely idealized descriptions of the behavior of those speakers?</w:t>
      </w:r>
    </w:p>
    <w:p w14:paraId="7E000945" w14:textId="77777777" w:rsidR="009A58DB" w:rsidRDefault="00000000">
      <w:pPr>
        <w:pStyle w:val="BodyText"/>
        <w:spacing w:before="5" w:line="249" w:lineRule="auto"/>
        <w:ind w:right="361" w:firstLine="360"/>
        <w:rPr>
          <w:i/>
        </w:rPr>
      </w:pPr>
      <w:r>
        <w:t xml:space="preserve">Assuming, as some authors do, that there is an innately known language-like code in which we think, to what extent does that code resemble the languages (e.g., English, Spanish) that we </w:t>
      </w:r>
      <w:r>
        <w:rPr>
          <w:i/>
        </w:rPr>
        <w:t>learn?</w:t>
      </w:r>
    </w:p>
    <w:p w14:paraId="7E000946" w14:textId="77777777" w:rsidR="009A58DB" w:rsidRDefault="00000000">
      <w:pPr>
        <w:pStyle w:val="BodyText"/>
        <w:spacing w:before="4" w:line="249" w:lineRule="auto"/>
        <w:ind w:right="370" w:firstLine="360"/>
      </w:pPr>
      <w:r>
        <w:t>How “transparent” is meaning? To what extent do users of a language know what sentences of that language mean?</w:t>
      </w:r>
    </w:p>
    <w:p w14:paraId="7E000947" w14:textId="77777777" w:rsidR="009A58DB" w:rsidRDefault="00000000">
      <w:pPr>
        <w:pStyle w:val="BodyText"/>
        <w:spacing w:before="2" w:line="249" w:lineRule="auto"/>
        <w:ind w:right="363" w:firstLine="360"/>
      </w:pPr>
      <w:r>
        <w:t>What</w:t>
      </w:r>
      <w:r>
        <w:rPr>
          <w:spacing w:val="-3"/>
        </w:rPr>
        <w:t xml:space="preserve"> </w:t>
      </w:r>
      <w:r>
        <w:t>does</w:t>
      </w:r>
      <w:r>
        <w:rPr>
          <w:spacing w:val="-3"/>
        </w:rPr>
        <w:t xml:space="preserve"> </w:t>
      </w:r>
      <w:r>
        <w:t>it</w:t>
      </w:r>
      <w:r>
        <w:rPr>
          <w:spacing w:val="-3"/>
        </w:rPr>
        <w:t xml:space="preserve"> </w:t>
      </w:r>
      <w:r>
        <w:t>say</w:t>
      </w:r>
      <w:r>
        <w:rPr>
          <w:spacing w:val="-2"/>
        </w:rPr>
        <w:t xml:space="preserve"> </w:t>
      </w:r>
      <w:r>
        <w:t>of</w:t>
      </w:r>
      <w:r>
        <w:rPr>
          <w:spacing w:val="-3"/>
        </w:rPr>
        <w:t xml:space="preserve"> </w:t>
      </w:r>
      <w:r>
        <w:t>a</w:t>
      </w:r>
      <w:r>
        <w:rPr>
          <w:spacing w:val="-3"/>
        </w:rPr>
        <w:t xml:space="preserve"> </w:t>
      </w:r>
      <w:r>
        <w:t>sentence</w:t>
      </w:r>
      <w:r>
        <w:rPr>
          <w:spacing w:val="-3"/>
        </w:rPr>
        <w:t xml:space="preserve"> </w:t>
      </w:r>
      <w:r>
        <w:t>S</w:t>
      </w:r>
      <w:r>
        <w:rPr>
          <w:spacing w:val="-3"/>
        </w:rPr>
        <w:t xml:space="preserve"> </w:t>
      </w:r>
      <w:r>
        <w:t>that</w:t>
      </w:r>
      <w:r>
        <w:rPr>
          <w:spacing w:val="-3"/>
        </w:rPr>
        <w:t xml:space="preserve"> </w:t>
      </w:r>
      <w:r>
        <w:t>its</w:t>
      </w:r>
      <w:r>
        <w:rPr>
          <w:spacing w:val="-2"/>
        </w:rPr>
        <w:t xml:space="preserve"> </w:t>
      </w:r>
      <w:r>
        <w:rPr>
          <w:i/>
        </w:rPr>
        <w:t>literal</w:t>
      </w:r>
      <w:r>
        <w:rPr>
          <w:i/>
          <w:spacing w:val="-3"/>
        </w:rPr>
        <w:t xml:space="preserve"> </w:t>
      </w:r>
      <w:r>
        <w:rPr>
          <w:i/>
        </w:rPr>
        <w:t>meaning</w:t>
      </w:r>
      <w:r>
        <w:rPr>
          <w:i/>
          <w:spacing w:val="-3"/>
        </w:rPr>
        <w:t xml:space="preserve"> </w:t>
      </w:r>
      <w:r>
        <w:t>is</w:t>
      </w:r>
      <w:r>
        <w:rPr>
          <w:spacing w:val="-3"/>
        </w:rPr>
        <w:t xml:space="preserve"> </w:t>
      </w:r>
      <w:r>
        <w:t>P?</w:t>
      </w:r>
      <w:r>
        <w:rPr>
          <w:spacing w:val="-3"/>
        </w:rPr>
        <w:t xml:space="preserve"> </w:t>
      </w:r>
      <w:r>
        <w:t>What</w:t>
      </w:r>
      <w:r>
        <w:rPr>
          <w:spacing w:val="-3"/>
        </w:rPr>
        <w:t xml:space="preserve"> </w:t>
      </w:r>
      <w:r>
        <w:t>exactly is “literal” meaning? How is it different from communicated meaning? Is literal meaning merely an idealized description of communicated meaning, or is it something else entirely?</w:t>
      </w:r>
    </w:p>
    <w:p w14:paraId="7E000948" w14:textId="77777777" w:rsidR="009A58DB" w:rsidRDefault="00000000">
      <w:pPr>
        <w:pStyle w:val="Heading1"/>
        <w:numPr>
          <w:ilvl w:val="1"/>
          <w:numId w:val="216"/>
        </w:numPr>
        <w:tabs>
          <w:tab w:val="left" w:pos="990"/>
        </w:tabs>
        <w:spacing w:before="193"/>
      </w:pPr>
      <w:r>
        <w:rPr>
          <w:spacing w:val="-2"/>
        </w:rPr>
        <w:t>Epistemology</w:t>
      </w:r>
    </w:p>
    <w:p w14:paraId="7E000949" w14:textId="77777777" w:rsidR="009A58DB" w:rsidRDefault="00000000">
      <w:pPr>
        <w:pStyle w:val="BodyText"/>
        <w:spacing w:before="139" w:line="249" w:lineRule="auto"/>
        <w:ind w:right="362"/>
      </w:pPr>
      <w:r>
        <w:t>This discipline studies the nature and extent of knowledge. Among the questions it tries to answer are:</w:t>
      </w:r>
    </w:p>
    <w:p w14:paraId="7E00094A" w14:textId="77777777" w:rsidR="009A58DB" w:rsidRDefault="00000000">
      <w:pPr>
        <w:pStyle w:val="BodyText"/>
        <w:spacing w:before="243" w:line="249" w:lineRule="auto"/>
        <w:ind w:left="720" w:right="369"/>
      </w:pPr>
      <w:r>
        <w:t>What is knowledge? What separates those beliefs that are knowledge from those that are not?</w:t>
      </w:r>
    </w:p>
    <w:p w14:paraId="7E00094B" w14:textId="77777777" w:rsidR="009A58DB" w:rsidRDefault="00000000">
      <w:pPr>
        <w:pStyle w:val="BodyText"/>
        <w:spacing w:before="2" w:line="249" w:lineRule="auto"/>
        <w:ind w:right="357"/>
        <w:jc w:val="right"/>
      </w:pPr>
      <w:r>
        <w:t>What</w:t>
      </w:r>
      <w:r>
        <w:rPr>
          <w:spacing w:val="-3"/>
        </w:rPr>
        <w:t xml:space="preserve"> </w:t>
      </w:r>
      <w:r>
        <w:t>can</w:t>
      </w:r>
      <w:r>
        <w:rPr>
          <w:spacing w:val="-2"/>
        </w:rPr>
        <w:t xml:space="preserve"> </w:t>
      </w:r>
      <w:r>
        <w:t>be</w:t>
      </w:r>
      <w:r>
        <w:rPr>
          <w:spacing w:val="-3"/>
        </w:rPr>
        <w:t xml:space="preserve"> </w:t>
      </w:r>
      <w:r>
        <w:t>known</w:t>
      </w:r>
      <w:r>
        <w:rPr>
          <w:spacing w:val="-2"/>
        </w:rPr>
        <w:t xml:space="preserve"> </w:t>
      </w:r>
      <w:r>
        <w:t>and</w:t>
      </w:r>
      <w:r>
        <w:rPr>
          <w:spacing w:val="-3"/>
        </w:rPr>
        <w:t xml:space="preserve"> </w:t>
      </w:r>
      <w:r>
        <w:t>what</w:t>
      </w:r>
      <w:r>
        <w:rPr>
          <w:spacing w:val="-2"/>
        </w:rPr>
        <w:t xml:space="preserve"> </w:t>
      </w:r>
      <w:r>
        <w:t>cannot</w:t>
      </w:r>
      <w:r>
        <w:rPr>
          <w:spacing w:val="-2"/>
        </w:rPr>
        <w:t xml:space="preserve"> </w:t>
      </w:r>
      <w:r>
        <w:t>be</w:t>
      </w:r>
      <w:r>
        <w:rPr>
          <w:spacing w:val="-3"/>
        </w:rPr>
        <w:t xml:space="preserve"> </w:t>
      </w:r>
      <w:r>
        <w:t>know?</w:t>
      </w:r>
      <w:r>
        <w:rPr>
          <w:spacing w:val="-2"/>
        </w:rPr>
        <w:t xml:space="preserve"> </w:t>
      </w:r>
      <w:r>
        <w:t>(Can</w:t>
      </w:r>
      <w:r>
        <w:rPr>
          <w:spacing w:val="-3"/>
        </w:rPr>
        <w:t xml:space="preserve"> </w:t>
      </w:r>
      <w:r>
        <w:t>it</w:t>
      </w:r>
      <w:r>
        <w:rPr>
          <w:spacing w:val="-2"/>
        </w:rPr>
        <w:t xml:space="preserve"> </w:t>
      </w:r>
      <w:r>
        <w:t>be</w:t>
      </w:r>
      <w:r>
        <w:rPr>
          <w:spacing w:val="-3"/>
        </w:rPr>
        <w:t xml:space="preserve"> </w:t>
      </w:r>
      <w:r>
        <w:t>known</w:t>
      </w:r>
      <w:r>
        <w:rPr>
          <w:spacing w:val="-2"/>
        </w:rPr>
        <w:t xml:space="preserve"> </w:t>
      </w:r>
      <w:r>
        <w:t>what</w:t>
      </w:r>
      <w:r>
        <w:rPr>
          <w:spacing w:val="-2"/>
        </w:rPr>
        <w:t xml:space="preserve"> </w:t>
      </w:r>
      <w:r>
        <w:t>cannot be known? Or is it incoherent to give an affirmative answer to this question?) Can</w:t>
      </w:r>
      <w:r>
        <w:rPr>
          <w:spacing w:val="40"/>
        </w:rPr>
        <w:t xml:space="preserve"> </w:t>
      </w:r>
      <w:r>
        <w:t>we</w:t>
      </w:r>
      <w:r>
        <w:rPr>
          <w:spacing w:val="40"/>
        </w:rPr>
        <w:t xml:space="preserve"> </w:t>
      </w:r>
      <w:r>
        <w:t>know</w:t>
      </w:r>
      <w:r>
        <w:rPr>
          <w:spacing w:val="40"/>
        </w:rPr>
        <w:t xml:space="preserve"> </w:t>
      </w:r>
      <w:r>
        <w:t>about</w:t>
      </w:r>
      <w:r>
        <w:rPr>
          <w:spacing w:val="40"/>
        </w:rPr>
        <w:t xml:space="preserve"> </w:t>
      </w:r>
      <w:r>
        <w:t>the</w:t>
      </w:r>
      <w:r>
        <w:rPr>
          <w:spacing w:val="40"/>
        </w:rPr>
        <w:t xml:space="preserve"> </w:t>
      </w:r>
      <w:r>
        <w:t>future,</w:t>
      </w:r>
      <w:r>
        <w:rPr>
          <w:spacing w:val="40"/>
        </w:rPr>
        <w:t xml:space="preserve"> </w:t>
      </w:r>
      <w:r>
        <w:t>the</w:t>
      </w:r>
      <w:r>
        <w:rPr>
          <w:spacing w:val="40"/>
        </w:rPr>
        <w:t xml:space="preserve"> </w:t>
      </w:r>
      <w:r>
        <w:t>past,</w:t>
      </w:r>
      <w:r>
        <w:rPr>
          <w:spacing w:val="40"/>
        </w:rPr>
        <w:t xml:space="preserve"> </w:t>
      </w:r>
      <w:r>
        <w:t>the</w:t>
      </w:r>
      <w:r>
        <w:rPr>
          <w:spacing w:val="40"/>
        </w:rPr>
        <w:t xml:space="preserve"> </w:t>
      </w:r>
      <w:r>
        <w:t>possible</w:t>
      </w:r>
      <w:r>
        <w:rPr>
          <w:spacing w:val="40"/>
        </w:rPr>
        <w:t xml:space="preserve"> </w:t>
      </w:r>
      <w:r>
        <w:t>but</w:t>
      </w:r>
      <w:r>
        <w:rPr>
          <w:spacing w:val="40"/>
        </w:rPr>
        <w:t xml:space="preserve"> </w:t>
      </w:r>
      <w:r>
        <w:t>not</w:t>
      </w:r>
      <w:r>
        <w:rPr>
          <w:spacing w:val="40"/>
        </w:rPr>
        <w:t xml:space="preserve"> </w:t>
      </w:r>
      <w:r>
        <w:t>actual,</w:t>
      </w:r>
      <w:r>
        <w:rPr>
          <w:spacing w:val="40"/>
        </w:rPr>
        <w:t xml:space="preserve"> </w:t>
      </w:r>
      <w:r>
        <w:t>the</w:t>
      </w:r>
    </w:p>
    <w:p w14:paraId="7E00094C" w14:textId="77777777" w:rsidR="009A58DB" w:rsidRDefault="009A58DB">
      <w:pPr>
        <w:pStyle w:val="BodyText"/>
        <w:spacing w:line="249" w:lineRule="auto"/>
        <w:jc w:val="right"/>
        <w:sectPr w:rsidR="009A58DB">
          <w:pgSz w:w="12240" w:h="15840"/>
          <w:pgMar w:top="1380" w:right="1080" w:bottom="280" w:left="1080" w:header="720" w:footer="720" w:gutter="0"/>
          <w:cols w:space="720"/>
        </w:sectPr>
      </w:pPr>
    </w:p>
    <w:p w14:paraId="7E00094D" w14:textId="77777777" w:rsidR="009A58DB" w:rsidRDefault="00000000">
      <w:pPr>
        <w:pStyle w:val="BodyText"/>
        <w:spacing w:before="61"/>
        <w:jc w:val="left"/>
      </w:pPr>
      <w:r>
        <w:rPr>
          <w:spacing w:val="-2"/>
        </w:rPr>
        <w:lastRenderedPageBreak/>
        <w:t>impossible?</w:t>
      </w:r>
    </w:p>
    <w:p w14:paraId="7E00094E" w14:textId="77777777" w:rsidR="009A58DB" w:rsidRDefault="00000000">
      <w:pPr>
        <w:pStyle w:val="BodyText"/>
        <w:spacing w:before="19" w:line="249" w:lineRule="auto"/>
        <w:ind w:left="720" w:right="367"/>
      </w:pPr>
      <w:r>
        <w:t>Can we know about the external world, or is knowledge limited to our</w:t>
      </w:r>
      <w:r>
        <w:rPr>
          <w:spacing w:val="40"/>
        </w:rPr>
        <w:t xml:space="preserve"> </w:t>
      </w:r>
      <w:r>
        <w:t>own mental states? Can there be knowledge of things that are not in space or time (e.g., numbers) and, if so, how?</w:t>
      </w:r>
    </w:p>
    <w:p w14:paraId="7E00094F" w14:textId="77777777" w:rsidR="009A58DB" w:rsidRDefault="00000000">
      <w:pPr>
        <w:pStyle w:val="BodyText"/>
        <w:spacing w:before="3" w:line="249" w:lineRule="auto"/>
        <w:ind w:right="364" w:firstLine="360"/>
      </w:pPr>
      <w:r>
        <w:t>Are there any self-evident or self-justifying beliefs? Or must all justified beliefs be justified by beliefs other than themselves?</w:t>
      </w:r>
    </w:p>
    <w:p w14:paraId="7E000950" w14:textId="77777777" w:rsidR="009A58DB" w:rsidRDefault="00000000">
      <w:pPr>
        <w:pStyle w:val="BodyText"/>
        <w:spacing w:before="3" w:line="249" w:lineRule="auto"/>
        <w:ind w:right="362" w:firstLine="360"/>
      </w:pPr>
      <w:r>
        <w:t xml:space="preserve">What is the structure of the </w:t>
      </w:r>
      <w:r>
        <w:rPr>
          <w:i/>
        </w:rPr>
        <w:t xml:space="preserve">totality </w:t>
      </w:r>
      <w:r>
        <w:t>of our knowledge? Are there some pieces of knowledge from which all the rest are derived or are all pieces of knowledge interdependent?</w:t>
      </w:r>
    </w:p>
    <w:p w14:paraId="7E000951" w14:textId="77777777" w:rsidR="009A58DB" w:rsidRDefault="00000000">
      <w:pPr>
        <w:pStyle w:val="BodyText"/>
        <w:spacing w:before="3" w:line="249" w:lineRule="auto"/>
        <w:ind w:right="357" w:firstLine="360"/>
      </w:pPr>
      <w:r>
        <w:t>Is there a fundamental difference between knowledge of spatiotemporal fact (e.g., knowledge that there is a dog over there) and knowledge of purely conceptual truths (e.g., that there are laws only where there is government)? Or is the one kind of knowledge to be reduced to, or modeled on, the other?</w:t>
      </w:r>
    </w:p>
    <w:p w14:paraId="7E000952" w14:textId="77777777" w:rsidR="009A58DB" w:rsidRDefault="00000000">
      <w:pPr>
        <w:pStyle w:val="Heading1"/>
        <w:numPr>
          <w:ilvl w:val="1"/>
          <w:numId w:val="216"/>
        </w:numPr>
        <w:tabs>
          <w:tab w:val="left" w:pos="990"/>
        </w:tabs>
        <w:spacing w:before="193"/>
      </w:pPr>
      <w:r>
        <w:t>Philosophical</w:t>
      </w:r>
      <w:r>
        <w:rPr>
          <w:spacing w:val="-10"/>
        </w:rPr>
        <w:t xml:space="preserve"> </w:t>
      </w:r>
      <w:r>
        <w:rPr>
          <w:spacing w:val="-4"/>
        </w:rPr>
        <w:t>logic</w:t>
      </w:r>
    </w:p>
    <w:p w14:paraId="7E000953" w14:textId="77777777" w:rsidR="009A58DB" w:rsidRDefault="00000000">
      <w:pPr>
        <w:pStyle w:val="BodyText"/>
        <w:tabs>
          <w:tab w:val="left" w:pos="3491"/>
          <w:tab w:val="left" w:pos="6906"/>
          <w:tab w:val="left" w:pos="7928"/>
          <w:tab w:val="left" w:pos="9282"/>
        </w:tabs>
        <w:spacing w:before="139" w:line="249" w:lineRule="auto"/>
        <w:ind w:right="362"/>
        <w:jc w:val="left"/>
      </w:pPr>
      <w:r>
        <w:t>This</w:t>
      </w:r>
      <w:r>
        <w:rPr>
          <w:spacing w:val="80"/>
        </w:rPr>
        <w:t xml:space="preserve"> </w:t>
      </w:r>
      <w:r>
        <w:t>discipline</w:t>
      </w:r>
      <w:r>
        <w:rPr>
          <w:spacing w:val="80"/>
        </w:rPr>
        <w:t xml:space="preserve"> </w:t>
      </w:r>
      <w:r>
        <w:t>studies</w:t>
      </w:r>
      <w:r>
        <w:tab/>
      </w:r>
      <w:r>
        <w:rPr>
          <w:i/>
        </w:rPr>
        <w:t>bearing-relations</w:t>
      </w:r>
      <w:r>
        <w:rPr>
          <w:i/>
          <w:spacing w:val="80"/>
        </w:rPr>
        <w:t xml:space="preserve"> </w:t>
      </w:r>
      <w:r>
        <w:t>holding</w:t>
      </w:r>
      <w:r>
        <w:tab/>
      </w:r>
      <w:r>
        <w:rPr>
          <w:spacing w:val="-2"/>
        </w:rPr>
        <w:t>among</w:t>
      </w:r>
      <w:r>
        <w:tab/>
      </w:r>
      <w:r>
        <w:rPr>
          <w:spacing w:val="-2"/>
        </w:rPr>
        <w:t>sentences</w:t>
      </w:r>
      <w:r>
        <w:tab/>
      </w:r>
      <w:r>
        <w:rPr>
          <w:spacing w:val="-4"/>
        </w:rPr>
        <w:t xml:space="preserve">and </w:t>
      </w:r>
      <w:r>
        <w:t>propositions</w:t>
      </w:r>
      <w:r>
        <w:rPr>
          <w:spacing w:val="-2"/>
        </w:rPr>
        <w:t xml:space="preserve"> </w:t>
      </w:r>
      <w:r>
        <w:t>(sentence-meanings).</w:t>
      </w:r>
      <w:r>
        <w:rPr>
          <w:spacing w:val="-1"/>
        </w:rPr>
        <w:t xml:space="preserve"> </w:t>
      </w:r>
      <w:r>
        <w:t>Among</w:t>
      </w:r>
      <w:r>
        <w:rPr>
          <w:spacing w:val="-1"/>
        </w:rPr>
        <w:t xml:space="preserve"> </w:t>
      </w:r>
      <w:r>
        <w:t>the</w:t>
      </w:r>
      <w:r>
        <w:rPr>
          <w:spacing w:val="-2"/>
        </w:rPr>
        <w:t xml:space="preserve"> </w:t>
      </w:r>
      <w:r>
        <w:t>questions</w:t>
      </w:r>
      <w:r>
        <w:rPr>
          <w:spacing w:val="-2"/>
        </w:rPr>
        <w:t xml:space="preserve"> </w:t>
      </w:r>
      <w:r>
        <w:t>it</w:t>
      </w:r>
      <w:r>
        <w:rPr>
          <w:spacing w:val="-2"/>
        </w:rPr>
        <w:t xml:space="preserve"> </w:t>
      </w:r>
      <w:r>
        <w:t>tries</w:t>
      </w:r>
      <w:r>
        <w:rPr>
          <w:spacing w:val="-2"/>
        </w:rPr>
        <w:t xml:space="preserve"> </w:t>
      </w:r>
      <w:r>
        <w:t>to</w:t>
      </w:r>
      <w:r>
        <w:rPr>
          <w:spacing w:val="-1"/>
        </w:rPr>
        <w:t xml:space="preserve"> </w:t>
      </w:r>
      <w:r>
        <w:t>answer</w:t>
      </w:r>
      <w:r>
        <w:rPr>
          <w:spacing w:val="-2"/>
        </w:rPr>
        <w:t xml:space="preserve"> </w:t>
      </w:r>
      <w:r>
        <w:t>are:</w:t>
      </w:r>
    </w:p>
    <w:p w14:paraId="7E000954" w14:textId="77777777" w:rsidR="009A58DB" w:rsidRDefault="00000000">
      <w:pPr>
        <w:pStyle w:val="BodyText"/>
        <w:spacing w:before="243" w:line="249" w:lineRule="auto"/>
        <w:ind w:right="366" w:firstLine="360"/>
      </w:pPr>
      <w:r>
        <w:t xml:space="preserve">What is it for one statement to </w:t>
      </w:r>
      <w:r>
        <w:rPr>
          <w:b/>
          <w:i/>
        </w:rPr>
        <w:t>entail</w:t>
      </w:r>
      <w:r>
        <w:rPr>
          <w:b/>
          <w:i/>
          <w:spacing w:val="-3"/>
        </w:rPr>
        <w:t xml:space="preserve"> </w:t>
      </w:r>
      <w:r>
        <w:t>another? (P “entails” Q if there is no way that Q can be false if P is true.) Are there different kinds of entailment? If so, are some more central to reasoning than others?</w:t>
      </w:r>
    </w:p>
    <w:p w14:paraId="7E000955" w14:textId="77777777" w:rsidR="009A58DB" w:rsidRDefault="00000000">
      <w:pPr>
        <w:pStyle w:val="BodyText"/>
        <w:spacing w:before="4" w:line="249" w:lineRule="auto"/>
        <w:ind w:right="359" w:firstLine="360"/>
        <w:rPr>
          <w:i/>
        </w:rPr>
      </w:pPr>
      <w:r>
        <w:t xml:space="preserve">Are inferences concerning the non-existent (e.g., “if Zeus is tall, then at least one god is tall”) to be modeled on inferences concerning the existent (e.g. , “if Bush is tall, then at least one president is tall”)? Are the same principles involved? Or is the non-existent logically </w:t>
      </w:r>
      <w:r>
        <w:rPr>
          <w:i/>
        </w:rPr>
        <w:t>sui generis?</w:t>
      </w:r>
    </w:p>
    <w:p w14:paraId="7E000956" w14:textId="77777777" w:rsidR="009A58DB" w:rsidRDefault="00000000">
      <w:pPr>
        <w:pStyle w:val="BodyText"/>
        <w:spacing w:before="5" w:line="249" w:lineRule="auto"/>
        <w:ind w:right="367" w:firstLine="360"/>
      </w:pPr>
      <w:r>
        <w:t>To what extent can reasoning be “mechanized”? In other words, to what extent is it possible to produce rules that can be applied without any thought that will do the work of a rational being?</w:t>
      </w:r>
    </w:p>
    <w:p w14:paraId="7E000957" w14:textId="77777777" w:rsidR="009A58DB" w:rsidRDefault="00000000">
      <w:pPr>
        <w:pStyle w:val="BodyText"/>
        <w:spacing w:before="3" w:line="249" w:lineRule="auto"/>
        <w:ind w:right="359" w:firstLine="360"/>
      </w:pPr>
      <w:r>
        <w:t>How are statements about what might have been, but is not, to be understood? Are they similar, logically, to statements about what is? Or do they have an altogether different logical form?</w:t>
      </w:r>
    </w:p>
    <w:p w14:paraId="7E000958" w14:textId="77777777" w:rsidR="009A58DB" w:rsidRDefault="00000000">
      <w:pPr>
        <w:pStyle w:val="BodyText"/>
        <w:spacing w:before="4" w:line="249" w:lineRule="auto"/>
        <w:ind w:right="365" w:firstLine="360"/>
      </w:pPr>
      <w:r>
        <w:t>Are all statements either true or false? Or are some “indeterminate”—that is, is there a “gray zone”? And are there “degrees” of truth?</w:t>
      </w:r>
    </w:p>
    <w:p w14:paraId="7E000959" w14:textId="77777777" w:rsidR="009A58DB" w:rsidRDefault="00000000">
      <w:pPr>
        <w:pStyle w:val="Heading1"/>
        <w:numPr>
          <w:ilvl w:val="1"/>
          <w:numId w:val="216"/>
        </w:numPr>
        <w:tabs>
          <w:tab w:val="left" w:pos="990"/>
        </w:tabs>
        <w:spacing w:before="205"/>
      </w:pPr>
      <w:r>
        <w:rPr>
          <w:spacing w:val="-2"/>
        </w:rPr>
        <w:t>Metaphysics</w:t>
      </w:r>
    </w:p>
    <w:p w14:paraId="7E00095A" w14:textId="77777777" w:rsidR="009A58DB" w:rsidRDefault="009A58DB">
      <w:pPr>
        <w:pStyle w:val="Heading1"/>
        <w:sectPr w:rsidR="009A58DB">
          <w:pgSz w:w="12240" w:h="15840"/>
          <w:pgMar w:top="1380" w:right="1080" w:bottom="280" w:left="1080" w:header="720" w:footer="720" w:gutter="0"/>
          <w:cols w:space="720"/>
        </w:sectPr>
      </w:pPr>
    </w:p>
    <w:p w14:paraId="7E00095B" w14:textId="77777777" w:rsidR="009A58DB" w:rsidRDefault="00000000">
      <w:pPr>
        <w:pStyle w:val="BodyText"/>
        <w:spacing w:before="65" w:line="249" w:lineRule="auto"/>
        <w:ind w:right="359"/>
      </w:pPr>
      <w:r>
        <w:lastRenderedPageBreak/>
        <w:t>This discipline studies the nature of possibility and necessity, of causal relations between objects. It also studies the nature of identity and the conditions</w:t>
      </w:r>
      <w:r>
        <w:rPr>
          <w:spacing w:val="-1"/>
        </w:rPr>
        <w:t xml:space="preserve"> </w:t>
      </w:r>
      <w:r>
        <w:t>that</w:t>
      </w:r>
      <w:r>
        <w:rPr>
          <w:spacing w:val="-1"/>
        </w:rPr>
        <w:t xml:space="preserve"> </w:t>
      </w:r>
      <w:r>
        <w:t>something</w:t>
      </w:r>
      <w:r>
        <w:rPr>
          <w:spacing w:val="-1"/>
        </w:rPr>
        <w:t xml:space="preserve"> </w:t>
      </w:r>
      <w:r>
        <w:t>must</w:t>
      </w:r>
      <w:r>
        <w:rPr>
          <w:spacing w:val="-1"/>
        </w:rPr>
        <w:t xml:space="preserve"> </w:t>
      </w:r>
      <w:r>
        <w:t>meet</w:t>
      </w:r>
      <w:r>
        <w:rPr>
          <w:spacing w:val="-1"/>
        </w:rPr>
        <w:t xml:space="preserve"> </w:t>
      </w:r>
      <w:r>
        <w:t>in</w:t>
      </w:r>
      <w:r>
        <w:rPr>
          <w:spacing w:val="-1"/>
        </w:rPr>
        <w:t xml:space="preserve"> </w:t>
      </w:r>
      <w:r>
        <w:t>order</w:t>
      </w:r>
      <w:r>
        <w:rPr>
          <w:spacing w:val="-1"/>
        </w:rPr>
        <w:t xml:space="preserve"> </w:t>
      </w:r>
      <w:r>
        <w:t>to</w:t>
      </w:r>
      <w:r>
        <w:rPr>
          <w:spacing w:val="-1"/>
        </w:rPr>
        <w:t xml:space="preserve"> </w:t>
      </w:r>
      <w:r>
        <w:t>exist.</w:t>
      </w:r>
      <w:r>
        <w:rPr>
          <w:spacing w:val="-1"/>
        </w:rPr>
        <w:t xml:space="preserve"> </w:t>
      </w:r>
      <w:r>
        <w:t>Among</w:t>
      </w:r>
      <w:r>
        <w:rPr>
          <w:spacing w:val="-1"/>
        </w:rPr>
        <w:t xml:space="preserve"> </w:t>
      </w:r>
      <w:r>
        <w:t>the</w:t>
      </w:r>
      <w:r>
        <w:rPr>
          <w:spacing w:val="-1"/>
        </w:rPr>
        <w:t xml:space="preserve"> </w:t>
      </w:r>
      <w:r>
        <w:t>questions</w:t>
      </w:r>
      <w:r>
        <w:rPr>
          <w:spacing w:val="-1"/>
        </w:rPr>
        <w:t xml:space="preserve"> </w:t>
      </w:r>
      <w:r>
        <w:t>it tries to answer are:</w:t>
      </w:r>
    </w:p>
    <w:p w14:paraId="7E00095C" w14:textId="77777777" w:rsidR="009A58DB" w:rsidRDefault="00000000">
      <w:pPr>
        <w:pStyle w:val="BodyText"/>
        <w:spacing w:before="245" w:line="249" w:lineRule="auto"/>
        <w:ind w:right="367" w:firstLine="360"/>
      </w:pPr>
      <w:r>
        <w:t xml:space="preserve">Under what circumstances are two distinct objects (e.g., my heart and my liver) both parts of some </w:t>
      </w:r>
      <w:r>
        <w:rPr>
          <w:i/>
        </w:rPr>
        <w:t xml:space="preserve">one </w:t>
      </w:r>
      <w:r>
        <w:t>thing?</w:t>
      </w:r>
    </w:p>
    <w:p w14:paraId="7E00095D" w14:textId="77777777" w:rsidR="009A58DB" w:rsidRDefault="00000000">
      <w:pPr>
        <w:pStyle w:val="BodyText"/>
        <w:spacing w:before="2"/>
        <w:ind w:left="720"/>
      </w:pPr>
      <w:r>
        <w:t>What</w:t>
      </w:r>
      <w:r>
        <w:rPr>
          <w:spacing w:val="-5"/>
        </w:rPr>
        <w:t xml:space="preserve"> </w:t>
      </w:r>
      <w:r>
        <w:t>is</w:t>
      </w:r>
      <w:r>
        <w:rPr>
          <w:spacing w:val="-3"/>
        </w:rPr>
        <w:t xml:space="preserve"> </w:t>
      </w:r>
      <w:r>
        <w:t>it</w:t>
      </w:r>
      <w:r>
        <w:rPr>
          <w:spacing w:val="-3"/>
        </w:rPr>
        <w:t xml:space="preserve"> </w:t>
      </w:r>
      <w:r>
        <w:t>for</w:t>
      </w:r>
      <w:r>
        <w:rPr>
          <w:spacing w:val="-3"/>
        </w:rPr>
        <w:t xml:space="preserve"> </w:t>
      </w:r>
      <w:r>
        <w:t>an</w:t>
      </w:r>
      <w:r>
        <w:rPr>
          <w:spacing w:val="-2"/>
        </w:rPr>
        <w:t xml:space="preserve"> </w:t>
      </w:r>
      <w:r>
        <w:t>inanimate</w:t>
      </w:r>
      <w:r>
        <w:rPr>
          <w:spacing w:val="-3"/>
        </w:rPr>
        <w:t xml:space="preserve"> </w:t>
      </w:r>
      <w:r>
        <w:t>object</w:t>
      </w:r>
      <w:r>
        <w:rPr>
          <w:spacing w:val="-3"/>
        </w:rPr>
        <w:t xml:space="preserve"> </w:t>
      </w:r>
      <w:r>
        <w:t>to</w:t>
      </w:r>
      <w:r>
        <w:rPr>
          <w:spacing w:val="-2"/>
        </w:rPr>
        <w:t xml:space="preserve"> </w:t>
      </w:r>
      <w:r>
        <w:t>endure</w:t>
      </w:r>
      <w:r>
        <w:rPr>
          <w:spacing w:val="-3"/>
        </w:rPr>
        <w:t xml:space="preserve"> </w:t>
      </w:r>
      <w:r>
        <w:t>in</w:t>
      </w:r>
      <w:r>
        <w:rPr>
          <w:spacing w:val="-1"/>
        </w:rPr>
        <w:t xml:space="preserve"> </w:t>
      </w:r>
      <w:r>
        <w:rPr>
          <w:spacing w:val="-2"/>
        </w:rPr>
        <w:t>time?</w:t>
      </w:r>
    </w:p>
    <w:p w14:paraId="7E00095E" w14:textId="77777777" w:rsidR="009A58DB" w:rsidRDefault="00000000">
      <w:pPr>
        <w:pStyle w:val="BodyText"/>
        <w:spacing w:before="15"/>
        <w:ind w:left="720"/>
      </w:pPr>
      <w:r>
        <w:t>What</w:t>
      </w:r>
      <w:r>
        <w:rPr>
          <w:spacing w:val="-5"/>
        </w:rPr>
        <w:t xml:space="preserve"> </w:t>
      </w:r>
      <w:r>
        <w:t>is</w:t>
      </w:r>
      <w:r>
        <w:rPr>
          <w:spacing w:val="-3"/>
        </w:rPr>
        <w:t xml:space="preserve"> </w:t>
      </w:r>
      <w:r>
        <w:t>it</w:t>
      </w:r>
      <w:r>
        <w:rPr>
          <w:spacing w:val="-3"/>
        </w:rPr>
        <w:t xml:space="preserve"> </w:t>
      </w:r>
      <w:r>
        <w:t>for</w:t>
      </w:r>
      <w:r>
        <w:rPr>
          <w:spacing w:val="-3"/>
        </w:rPr>
        <w:t xml:space="preserve"> </w:t>
      </w:r>
      <w:r>
        <w:t>an</w:t>
      </w:r>
      <w:r>
        <w:rPr>
          <w:spacing w:val="-1"/>
        </w:rPr>
        <w:t xml:space="preserve"> </w:t>
      </w:r>
      <w:r>
        <w:t>animate</w:t>
      </w:r>
      <w:r>
        <w:rPr>
          <w:spacing w:val="-3"/>
        </w:rPr>
        <w:t xml:space="preserve"> </w:t>
      </w:r>
      <w:r>
        <w:t>object</w:t>
      </w:r>
      <w:r>
        <w:rPr>
          <w:spacing w:val="-3"/>
        </w:rPr>
        <w:t xml:space="preserve"> </w:t>
      </w:r>
      <w:r>
        <w:t>(e.g.,</w:t>
      </w:r>
      <w:r>
        <w:rPr>
          <w:spacing w:val="-2"/>
        </w:rPr>
        <w:t xml:space="preserve"> </w:t>
      </w:r>
      <w:r>
        <w:t>a</w:t>
      </w:r>
      <w:r>
        <w:rPr>
          <w:spacing w:val="-2"/>
        </w:rPr>
        <w:t xml:space="preserve"> </w:t>
      </w:r>
      <w:r>
        <w:t>person)</w:t>
      </w:r>
      <w:r>
        <w:rPr>
          <w:spacing w:val="-3"/>
        </w:rPr>
        <w:t xml:space="preserve"> </w:t>
      </w:r>
      <w:r>
        <w:t>to</w:t>
      </w:r>
      <w:r>
        <w:rPr>
          <w:spacing w:val="-2"/>
        </w:rPr>
        <w:t xml:space="preserve"> </w:t>
      </w:r>
      <w:r>
        <w:t>endure</w:t>
      </w:r>
      <w:r>
        <w:rPr>
          <w:spacing w:val="-3"/>
        </w:rPr>
        <w:t xml:space="preserve"> </w:t>
      </w:r>
      <w:r>
        <w:t>in</w:t>
      </w:r>
      <w:r>
        <w:rPr>
          <w:spacing w:val="-1"/>
        </w:rPr>
        <w:t xml:space="preserve"> </w:t>
      </w:r>
      <w:r>
        <w:rPr>
          <w:spacing w:val="-2"/>
        </w:rPr>
        <w:t>time?</w:t>
      </w:r>
    </w:p>
    <w:p w14:paraId="7E00095F" w14:textId="77777777" w:rsidR="009A58DB" w:rsidRDefault="00000000">
      <w:pPr>
        <w:pStyle w:val="BodyText"/>
        <w:spacing w:before="15" w:line="249" w:lineRule="auto"/>
        <w:ind w:right="359" w:firstLine="360"/>
      </w:pPr>
      <w:r>
        <w:t>Is there a sense in which fictional objects (e.g., Fred Flintstone) exist? Or is there no need to assume the existence of such things to account for the</w:t>
      </w:r>
      <w:r>
        <w:rPr>
          <w:spacing w:val="40"/>
        </w:rPr>
        <w:t xml:space="preserve"> </w:t>
      </w:r>
      <w:r>
        <w:t>facts of experience?</w:t>
      </w:r>
    </w:p>
    <w:p w14:paraId="7E000960" w14:textId="77777777" w:rsidR="009A58DB" w:rsidRDefault="00000000">
      <w:pPr>
        <w:pStyle w:val="BodyText"/>
        <w:spacing w:before="4" w:line="249" w:lineRule="auto"/>
        <w:ind w:right="357" w:firstLine="360"/>
      </w:pPr>
      <w:r>
        <w:t xml:space="preserve">What is it for something to be possible but not actual? What is it for something to be actual not necessary? What is it for something to be </w:t>
      </w:r>
      <w:r>
        <w:rPr>
          <w:spacing w:val="-2"/>
        </w:rPr>
        <w:t>necessary?</w:t>
      </w:r>
    </w:p>
    <w:p w14:paraId="7E000961" w14:textId="77777777" w:rsidR="009A58DB" w:rsidRDefault="00000000">
      <w:pPr>
        <w:pStyle w:val="BodyText"/>
        <w:spacing w:before="3" w:line="249" w:lineRule="auto"/>
        <w:ind w:left="720" w:right="429"/>
      </w:pPr>
      <w:r>
        <w:t>Are necessity and possibility properties of objects (e.g., rocks, trees, people) or of statements? Are there things that are not in space or time?</w:t>
      </w:r>
    </w:p>
    <w:p w14:paraId="7E000962" w14:textId="77777777" w:rsidR="009A58DB" w:rsidRDefault="00000000">
      <w:pPr>
        <w:pStyle w:val="BodyText"/>
        <w:spacing w:before="3"/>
        <w:ind w:left="720"/>
      </w:pPr>
      <w:r>
        <w:t>Must</w:t>
      </w:r>
      <w:r>
        <w:rPr>
          <w:spacing w:val="-6"/>
        </w:rPr>
        <w:t xml:space="preserve"> </w:t>
      </w:r>
      <w:r>
        <w:t>things</w:t>
      </w:r>
      <w:r>
        <w:rPr>
          <w:spacing w:val="-3"/>
        </w:rPr>
        <w:t xml:space="preserve"> </w:t>
      </w:r>
      <w:r>
        <w:t>have</w:t>
      </w:r>
      <w:r>
        <w:rPr>
          <w:spacing w:val="-4"/>
        </w:rPr>
        <w:t xml:space="preserve"> </w:t>
      </w:r>
      <w:r>
        <w:t>causal</w:t>
      </w:r>
      <w:r>
        <w:rPr>
          <w:spacing w:val="-3"/>
        </w:rPr>
        <w:t xml:space="preserve"> </w:t>
      </w:r>
      <w:r>
        <w:t>properties</w:t>
      </w:r>
      <w:r>
        <w:rPr>
          <w:spacing w:val="-3"/>
        </w:rPr>
        <w:t xml:space="preserve"> </w:t>
      </w:r>
      <w:r>
        <w:t>in</w:t>
      </w:r>
      <w:r>
        <w:rPr>
          <w:spacing w:val="-3"/>
        </w:rPr>
        <w:t xml:space="preserve"> </w:t>
      </w:r>
      <w:r>
        <w:t>order</w:t>
      </w:r>
      <w:r>
        <w:rPr>
          <w:spacing w:val="-3"/>
        </w:rPr>
        <w:t xml:space="preserve"> </w:t>
      </w:r>
      <w:r>
        <w:t>to</w:t>
      </w:r>
      <w:r>
        <w:rPr>
          <w:spacing w:val="-2"/>
        </w:rPr>
        <w:t xml:space="preserve"> exist?</w:t>
      </w:r>
    </w:p>
    <w:p w14:paraId="7E000963" w14:textId="77777777" w:rsidR="009A58DB" w:rsidRDefault="00000000">
      <w:pPr>
        <w:pStyle w:val="Heading1"/>
        <w:numPr>
          <w:ilvl w:val="1"/>
          <w:numId w:val="216"/>
        </w:numPr>
        <w:tabs>
          <w:tab w:val="left" w:pos="990"/>
        </w:tabs>
      </w:pPr>
      <w:r>
        <w:t>The</w:t>
      </w:r>
      <w:r>
        <w:rPr>
          <w:spacing w:val="-4"/>
        </w:rPr>
        <w:t xml:space="preserve"> </w:t>
      </w:r>
      <w:r>
        <w:t>philosophy</w:t>
      </w:r>
      <w:r>
        <w:rPr>
          <w:spacing w:val="-3"/>
        </w:rPr>
        <w:t xml:space="preserve"> </w:t>
      </w:r>
      <w:r>
        <w:t>of</w:t>
      </w:r>
      <w:r>
        <w:rPr>
          <w:spacing w:val="-4"/>
        </w:rPr>
        <w:t xml:space="preserve"> </w:t>
      </w:r>
      <w:r>
        <w:rPr>
          <w:spacing w:val="-2"/>
        </w:rPr>
        <w:t>science</w:t>
      </w:r>
    </w:p>
    <w:p w14:paraId="7E000964" w14:textId="77777777" w:rsidR="009A58DB" w:rsidRDefault="00000000">
      <w:pPr>
        <w:pStyle w:val="BodyText"/>
        <w:spacing w:before="139" w:line="249" w:lineRule="auto"/>
        <w:ind w:right="371"/>
      </w:pPr>
      <w:r>
        <w:t>This discipline studies the logical structure of scientific endeavor and of its results. Among the questions it tries to answer are:</w:t>
      </w:r>
    </w:p>
    <w:p w14:paraId="7E000965" w14:textId="77777777" w:rsidR="009A58DB" w:rsidRDefault="00000000">
      <w:pPr>
        <w:pStyle w:val="BodyText"/>
        <w:spacing w:before="242" w:line="249" w:lineRule="auto"/>
        <w:ind w:left="720" w:right="1159"/>
      </w:pPr>
      <w:r>
        <w:t xml:space="preserve">What is the difference between statements that are scientific and those that are not? What are explanations? What is it to explain an </w:t>
      </w:r>
      <w:r>
        <w:rPr>
          <w:spacing w:val="-2"/>
        </w:rPr>
        <w:t>event?</w:t>
      </w:r>
    </w:p>
    <w:p w14:paraId="7E000966" w14:textId="77777777" w:rsidR="009A58DB" w:rsidRDefault="00000000">
      <w:pPr>
        <w:pStyle w:val="BodyText"/>
        <w:spacing w:before="4" w:line="249" w:lineRule="auto"/>
        <w:ind w:right="359" w:firstLine="360"/>
      </w:pPr>
      <w:r>
        <w:t>Is</w:t>
      </w:r>
      <w:r>
        <w:rPr>
          <w:spacing w:val="-2"/>
        </w:rPr>
        <w:t xml:space="preserve"> </w:t>
      </w:r>
      <w:r>
        <w:t>there</w:t>
      </w:r>
      <w:r>
        <w:rPr>
          <w:spacing w:val="-2"/>
        </w:rPr>
        <w:t xml:space="preserve"> </w:t>
      </w:r>
      <w:r>
        <w:t>a</w:t>
      </w:r>
      <w:r>
        <w:rPr>
          <w:spacing w:val="-2"/>
        </w:rPr>
        <w:t xml:space="preserve"> </w:t>
      </w:r>
      <w:r>
        <w:t>sharp</w:t>
      </w:r>
      <w:r>
        <w:rPr>
          <w:spacing w:val="-2"/>
        </w:rPr>
        <w:t xml:space="preserve"> </w:t>
      </w:r>
      <w:r>
        <w:t>distinction</w:t>
      </w:r>
      <w:r>
        <w:rPr>
          <w:spacing w:val="-2"/>
        </w:rPr>
        <w:t xml:space="preserve"> </w:t>
      </w:r>
      <w:r>
        <w:t>between</w:t>
      </w:r>
      <w:r>
        <w:rPr>
          <w:spacing w:val="-2"/>
        </w:rPr>
        <w:t xml:space="preserve"> </w:t>
      </w:r>
      <w:r>
        <w:t>theoretical</w:t>
      </w:r>
      <w:r>
        <w:rPr>
          <w:spacing w:val="-2"/>
        </w:rPr>
        <w:t xml:space="preserve"> </w:t>
      </w:r>
      <w:r>
        <w:t>and</w:t>
      </w:r>
      <w:r>
        <w:rPr>
          <w:spacing w:val="-2"/>
        </w:rPr>
        <w:t xml:space="preserve"> </w:t>
      </w:r>
      <w:r>
        <w:t>non-theoretical</w:t>
      </w:r>
      <w:r>
        <w:rPr>
          <w:spacing w:val="-2"/>
        </w:rPr>
        <w:t xml:space="preserve"> </w:t>
      </w:r>
      <w:r>
        <w:t xml:space="preserve">claims? Or, as some claim, are all statements (even basic ones; e.g., “that’s a rock”) </w:t>
      </w:r>
      <w:r>
        <w:rPr>
          <w:spacing w:val="-2"/>
        </w:rPr>
        <w:t>“theory-infected”?</w:t>
      </w:r>
    </w:p>
    <w:p w14:paraId="7E000967" w14:textId="77777777" w:rsidR="009A58DB" w:rsidRDefault="00000000">
      <w:pPr>
        <w:pStyle w:val="BodyText"/>
        <w:spacing w:before="4" w:line="249" w:lineRule="auto"/>
        <w:ind w:right="358" w:firstLine="360"/>
      </w:pPr>
      <w:r>
        <w:t xml:space="preserve">Given two rival theories, how is it to be determined which, if either, is the more accurate one? And supposing that one of them is the more accurate one, does it follow that it is the </w:t>
      </w:r>
      <w:r>
        <w:rPr>
          <w:i/>
        </w:rPr>
        <w:t xml:space="preserve">better </w:t>
      </w:r>
      <w:r>
        <w:t>one? In other words, is accuracy the only virtue a theory can have or, if not the only such virtue, then the most important one? Are theories to be evaluated (judged correct and, what may or may not be different, judged good) entirely in terms of their degree of agreement</w:t>
      </w:r>
      <w:r>
        <w:rPr>
          <w:spacing w:val="22"/>
        </w:rPr>
        <w:t xml:space="preserve"> </w:t>
      </w:r>
      <w:r>
        <w:t>with</w:t>
      </w:r>
      <w:r>
        <w:rPr>
          <w:spacing w:val="22"/>
        </w:rPr>
        <w:t xml:space="preserve"> </w:t>
      </w:r>
      <w:r>
        <w:t>the</w:t>
      </w:r>
      <w:r>
        <w:rPr>
          <w:spacing w:val="22"/>
        </w:rPr>
        <w:t xml:space="preserve"> </w:t>
      </w:r>
      <w:r>
        <w:t>experimental</w:t>
      </w:r>
      <w:r>
        <w:rPr>
          <w:spacing w:val="22"/>
        </w:rPr>
        <w:t xml:space="preserve"> </w:t>
      </w:r>
      <w:r>
        <w:t>data?</w:t>
      </w:r>
      <w:r>
        <w:rPr>
          <w:spacing w:val="22"/>
        </w:rPr>
        <w:t xml:space="preserve"> </w:t>
      </w:r>
      <w:r>
        <w:t>Or</w:t>
      </w:r>
      <w:r>
        <w:rPr>
          <w:spacing w:val="22"/>
        </w:rPr>
        <w:t xml:space="preserve"> </w:t>
      </w:r>
      <w:r>
        <w:t>are</w:t>
      </w:r>
      <w:r>
        <w:rPr>
          <w:spacing w:val="22"/>
        </w:rPr>
        <w:t xml:space="preserve"> </w:t>
      </w:r>
      <w:r>
        <w:t>other</w:t>
      </w:r>
      <w:r>
        <w:rPr>
          <w:spacing w:val="22"/>
        </w:rPr>
        <w:t xml:space="preserve"> </w:t>
      </w:r>
      <w:r>
        <w:t>factors</w:t>
      </w:r>
      <w:r>
        <w:rPr>
          <w:spacing w:val="22"/>
        </w:rPr>
        <w:t xml:space="preserve"> </w:t>
      </w:r>
      <w:r>
        <w:t>(e.g.,</w:t>
      </w:r>
      <w:r>
        <w:rPr>
          <w:spacing w:val="22"/>
        </w:rPr>
        <w:t xml:space="preserve"> </w:t>
      </w:r>
      <w:r>
        <w:t>simplicity,</w:t>
      </w:r>
    </w:p>
    <w:p w14:paraId="7E00096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969" w14:textId="77777777" w:rsidR="009A58DB" w:rsidRDefault="00000000">
      <w:pPr>
        <w:pStyle w:val="BodyText"/>
        <w:spacing w:before="62"/>
      </w:pPr>
      <w:r>
        <w:lastRenderedPageBreak/>
        <w:t>comprehensiveness)</w:t>
      </w:r>
      <w:r>
        <w:rPr>
          <w:spacing w:val="-12"/>
        </w:rPr>
        <w:t xml:space="preserve"> </w:t>
      </w:r>
      <w:r>
        <w:rPr>
          <w:spacing w:val="-2"/>
        </w:rPr>
        <w:t>involved?</w:t>
      </w:r>
    </w:p>
    <w:p w14:paraId="7E00096A" w14:textId="77777777" w:rsidR="009A58DB" w:rsidRDefault="00000000">
      <w:pPr>
        <w:pStyle w:val="BodyText"/>
        <w:spacing w:before="18" w:line="249" w:lineRule="auto"/>
        <w:ind w:right="360" w:firstLine="360"/>
      </w:pPr>
      <w:r>
        <w:t>What is the nature of measurement? Are there any reasons, other than reasons of convenience, for taking certain objects or events as standards? To use Hempel’s (1952) example, is one wrong to take the Dalai Lama’s heartbeat as a periodic process, or is it simply inconvenient to do so?</w:t>
      </w:r>
    </w:p>
    <w:p w14:paraId="7E00096B" w14:textId="77777777" w:rsidR="009A58DB" w:rsidRDefault="00000000">
      <w:pPr>
        <w:pStyle w:val="BodyText"/>
        <w:spacing w:before="5" w:line="249" w:lineRule="auto"/>
        <w:ind w:right="359" w:firstLine="360"/>
      </w:pPr>
      <w:r>
        <w:t>What is the nature of probability? What does it mean to say that there is a 50% chance that the coin will come up heads? Is probability just “a measure of ignorance,” as Laplace (1749–1827) said? Or is it an objective fact about the world?</w:t>
      </w:r>
    </w:p>
    <w:p w14:paraId="7E00096C" w14:textId="77777777" w:rsidR="009A58DB" w:rsidRDefault="00000000">
      <w:pPr>
        <w:pStyle w:val="BodyText"/>
        <w:spacing w:before="4" w:line="249" w:lineRule="auto"/>
        <w:ind w:right="360" w:firstLine="360"/>
      </w:pPr>
      <w:r>
        <w:t>Do theoretical entities (e.g., protons, unconscious urges) exist in the same way as non-theoretical entities? Or are theoretical entities merely devices that we use to make sense of non-theoretical entities? Are statements about “protons” just abbreviated statements about meter readings and other macroscopic phenomena?</w:t>
      </w:r>
    </w:p>
    <w:p w14:paraId="7E00096D" w14:textId="77777777" w:rsidR="009A58DB" w:rsidRDefault="00000000">
      <w:pPr>
        <w:pStyle w:val="BodyText"/>
        <w:spacing w:before="7" w:line="249" w:lineRule="auto"/>
        <w:ind w:right="366" w:firstLine="360"/>
      </w:pPr>
      <w:r>
        <w:t>Is there a fundamental difference between explanations in the physical sciences and explanation in the psychological sciences?</w:t>
      </w:r>
    </w:p>
    <w:p w14:paraId="7E00096E" w14:textId="77777777" w:rsidR="009A58DB" w:rsidRDefault="00000000">
      <w:pPr>
        <w:pStyle w:val="BodyText"/>
        <w:spacing w:before="2" w:line="249" w:lineRule="auto"/>
        <w:ind w:right="368" w:firstLine="360"/>
      </w:pPr>
      <w:r>
        <w:t xml:space="preserve">Under what circumstances is a hypothesis (a tentative theory) to be rejected? Is a single disconfirmatory result enough? If not, what else is </w:t>
      </w:r>
      <w:r>
        <w:rPr>
          <w:spacing w:val="-2"/>
        </w:rPr>
        <w:t>needed?</w:t>
      </w:r>
    </w:p>
    <w:p w14:paraId="7E00096F" w14:textId="77777777" w:rsidR="009A58DB" w:rsidRDefault="00000000">
      <w:pPr>
        <w:pStyle w:val="BodyText"/>
        <w:spacing w:before="4" w:line="252" w:lineRule="auto"/>
        <w:ind w:right="361" w:firstLine="360"/>
      </w:pPr>
      <w:r>
        <w:t>Must all theories be “deterministic”? (In other words, must they posit a rigid causal order?) (Einstein said “yes.” Peirce (1839–1914) said “no.”) Others, e.g., Ernest Nagel (1901–1985), say that the question is ill-formed, the reason being that whether a system is deterministic or not depends on</w:t>
      </w:r>
      <w:r>
        <w:rPr>
          <w:spacing w:val="40"/>
        </w:rPr>
        <w:t xml:space="preserve"> </w:t>
      </w:r>
      <w:r>
        <w:t>how it is described. Determinism is a logical property of statements, in Nagel’s view, not of the events they describe</w:t>
      </w:r>
      <w:bookmarkStart w:id="103" w:name="_bookmark103"/>
      <w:bookmarkEnd w:id="103"/>
      <w:r>
        <w:t>.</w:t>
      </w:r>
      <w:r>
        <w:rPr>
          <w:color w:val="0562C1"/>
          <w:position w:val="10"/>
          <w:u w:val="single" w:color="0562C1"/>
        </w:rPr>
        <w:t>103</w:t>
      </w:r>
      <w:r>
        <w:rPr>
          <w:color w:val="0562C1"/>
          <w:position w:val="10"/>
        </w:rPr>
        <w:t xml:space="preserve"> </w:t>
      </w:r>
      <w:r>
        <w:t xml:space="preserve">A consequence is that a given domain may be deterministic with respect to one method of describing it, but indeterministic with respect to some other method of describing it. Thus, the sub-atomic realm, Nagel says, is indeterministic with respect to the concepts in terms of which we describe the macroscopic realm; but it doesn't follow, Nagel plausibly alleges, that it is indeterministic </w:t>
      </w:r>
      <w:r>
        <w:rPr>
          <w:i/>
        </w:rPr>
        <w:t>tout court</w:t>
      </w:r>
      <w:r>
        <w:t>.)</w:t>
      </w:r>
    </w:p>
    <w:p w14:paraId="7E000970" w14:textId="77777777" w:rsidR="009A58DB" w:rsidRDefault="00000000">
      <w:pPr>
        <w:pStyle w:val="BodyText"/>
        <w:spacing w:line="326" w:lineRule="exact"/>
        <w:ind w:left="720"/>
      </w:pPr>
      <w:r>
        <w:t>Should</w:t>
      </w:r>
      <w:r>
        <w:rPr>
          <w:spacing w:val="33"/>
        </w:rPr>
        <w:t xml:space="preserve"> </w:t>
      </w:r>
      <w:r>
        <w:t>science</w:t>
      </w:r>
      <w:r>
        <w:rPr>
          <w:spacing w:val="33"/>
        </w:rPr>
        <w:t xml:space="preserve"> </w:t>
      </w:r>
      <w:r>
        <w:t>attempt</w:t>
      </w:r>
      <w:r>
        <w:rPr>
          <w:spacing w:val="33"/>
        </w:rPr>
        <w:t xml:space="preserve"> </w:t>
      </w:r>
      <w:r>
        <w:t>to</w:t>
      </w:r>
      <w:r>
        <w:rPr>
          <w:spacing w:val="33"/>
        </w:rPr>
        <w:t xml:space="preserve"> </w:t>
      </w:r>
      <w:r>
        <w:t>state</w:t>
      </w:r>
      <w:r>
        <w:rPr>
          <w:spacing w:val="33"/>
        </w:rPr>
        <w:t xml:space="preserve"> </w:t>
      </w:r>
      <w:r>
        <w:t>how</w:t>
      </w:r>
      <w:r>
        <w:rPr>
          <w:spacing w:val="33"/>
        </w:rPr>
        <w:t xml:space="preserve"> </w:t>
      </w:r>
      <w:r>
        <w:t>the</w:t>
      </w:r>
      <w:r>
        <w:rPr>
          <w:spacing w:val="33"/>
        </w:rPr>
        <w:t xml:space="preserve"> </w:t>
      </w:r>
      <w:r>
        <w:t>world</w:t>
      </w:r>
      <w:r>
        <w:rPr>
          <w:spacing w:val="33"/>
        </w:rPr>
        <w:t xml:space="preserve"> </w:t>
      </w:r>
      <w:r>
        <w:t>actually</w:t>
      </w:r>
      <w:r>
        <w:rPr>
          <w:spacing w:val="33"/>
        </w:rPr>
        <w:t xml:space="preserve"> </w:t>
      </w:r>
      <w:r>
        <w:t>is?</w:t>
      </w:r>
      <w:r>
        <w:rPr>
          <w:spacing w:val="33"/>
        </w:rPr>
        <w:t xml:space="preserve"> </w:t>
      </w:r>
      <w:r>
        <w:t>(Karl</w:t>
      </w:r>
      <w:r>
        <w:rPr>
          <w:spacing w:val="33"/>
        </w:rPr>
        <w:t xml:space="preserve"> </w:t>
      </w:r>
      <w:r>
        <w:rPr>
          <w:spacing w:val="-2"/>
        </w:rPr>
        <w:t>Popper</w:t>
      </w:r>
    </w:p>
    <w:p w14:paraId="7E000971" w14:textId="77777777" w:rsidR="009A58DB" w:rsidRDefault="00000000">
      <w:pPr>
        <w:pStyle w:val="BodyText"/>
        <w:spacing w:before="15" w:line="252" w:lineRule="auto"/>
        <w:ind w:right="359"/>
      </w:pPr>
      <w:r>
        <w:t xml:space="preserve">says “yes.”) Is that even possible? (Kant says “no.”) Or should science confine itself to producing theories that are </w:t>
      </w:r>
      <w:r>
        <w:rPr>
          <w:i/>
        </w:rPr>
        <w:t xml:space="preserve">consistent </w:t>
      </w:r>
      <w:r>
        <w:t xml:space="preserve">with the data, while leaving it open whether those </w:t>
      </w:r>
      <w:r>
        <w:rPr>
          <w:b/>
          <w:i/>
        </w:rPr>
        <w:t xml:space="preserve">models </w:t>
      </w:r>
      <w:r>
        <w:t>are actually correct or not? (Bas van Fraassen</w:t>
      </w:r>
      <w:r>
        <w:rPr>
          <w:spacing w:val="79"/>
        </w:rPr>
        <w:t xml:space="preserve"> </w:t>
      </w:r>
      <w:r>
        <w:t>says</w:t>
      </w:r>
      <w:r>
        <w:rPr>
          <w:spacing w:val="79"/>
        </w:rPr>
        <w:t xml:space="preserve"> </w:t>
      </w:r>
      <w:r>
        <w:t>“yes.</w:t>
      </w:r>
      <w:bookmarkStart w:id="104" w:name="_bookmark104"/>
      <w:bookmarkEnd w:id="104"/>
      <w:r>
        <w:t>”</w:t>
      </w:r>
      <w:r>
        <w:rPr>
          <w:color w:val="0562C1"/>
          <w:position w:val="10"/>
          <w:u w:val="single" w:color="0562C1"/>
        </w:rPr>
        <w:t>104</w:t>
      </w:r>
      <w:r>
        <w:t>)</w:t>
      </w:r>
      <w:r>
        <w:rPr>
          <w:spacing w:val="80"/>
        </w:rPr>
        <w:t xml:space="preserve"> </w:t>
      </w:r>
      <w:r>
        <w:t>(A</w:t>
      </w:r>
      <w:r>
        <w:rPr>
          <w:spacing w:val="80"/>
        </w:rPr>
        <w:t xml:space="preserve"> </w:t>
      </w:r>
      <w:r>
        <w:t>“model”</w:t>
      </w:r>
      <w:r>
        <w:rPr>
          <w:spacing w:val="80"/>
        </w:rPr>
        <w:t xml:space="preserve"> </w:t>
      </w:r>
      <w:r>
        <w:t>is</w:t>
      </w:r>
      <w:r>
        <w:rPr>
          <w:spacing w:val="80"/>
        </w:rPr>
        <w:t xml:space="preserve"> </w:t>
      </w:r>
      <w:r>
        <w:t>a</w:t>
      </w:r>
      <w:r>
        <w:rPr>
          <w:spacing w:val="80"/>
        </w:rPr>
        <w:t xml:space="preserve"> </w:t>
      </w:r>
      <w:r>
        <w:t>description</w:t>
      </w:r>
      <w:r>
        <w:rPr>
          <w:spacing w:val="80"/>
        </w:rPr>
        <w:t xml:space="preserve"> </w:t>
      </w:r>
      <w:r>
        <w:t>of</w:t>
      </w:r>
      <w:r>
        <w:rPr>
          <w:spacing w:val="80"/>
        </w:rPr>
        <w:t xml:space="preserve"> </w:t>
      </w:r>
      <w:r>
        <w:t>a</w:t>
      </w:r>
      <w:r>
        <w:rPr>
          <w:spacing w:val="80"/>
        </w:rPr>
        <w:t xml:space="preserve"> </w:t>
      </w:r>
      <w:r>
        <w:t>hypothetical</w:t>
      </w:r>
    </w:p>
    <w:p w14:paraId="7E000972"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0973" w14:textId="77777777" w:rsidR="009A58DB" w:rsidRDefault="00000000">
      <w:pPr>
        <w:pStyle w:val="BodyText"/>
        <w:spacing w:before="65"/>
      </w:pPr>
      <w:r>
        <w:lastRenderedPageBreak/>
        <w:t>structure</w:t>
      </w:r>
      <w:r>
        <w:rPr>
          <w:spacing w:val="-7"/>
        </w:rPr>
        <w:t xml:space="preserve"> </w:t>
      </w:r>
      <w:r>
        <w:t>that,</w:t>
      </w:r>
      <w:r>
        <w:rPr>
          <w:spacing w:val="-3"/>
        </w:rPr>
        <w:t xml:space="preserve"> </w:t>
      </w:r>
      <w:r>
        <w:rPr>
          <w:i/>
        </w:rPr>
        <w:t>if</w:t>
      </w:r>
      <w:r>
        <w:rPr>
          <w:i/>
          <w:spacing w:val="-4"/>
        </w:rPr>
        <w:t xml:space="preserve"> </w:t>
      </w:r>
      <w:r>
        <w:t>existent,</w:t>
      </w:r>
      <w:r>
        <w:rPr>
          <w:spacing w:val="-4"/>
        </w:rPr>
        <w:t xml:space="preserve"> </w:t>
      </w:r>
      <w:r>
        <w:rPr>
          <w:i/>
        </w:rPr>
        <w:t>would</w:t>
      </w:r>
      <w:r>
        <w:rPr>
          <w:i/>
          <w:spacing w:val="-3"/>
        </w:rPr>
        <w:t xml:space="preserve"> </w:t>
      </w:r>
      <w:r>
        <w:t>account</w:t>
      </w:r>
      <w:r>
        <w:rPr>
          <w:spacing w:val="-4"/>
        </w:rPr>
        <w:t xml:space="preserve"> </w:t>
      </w:r>
      <w:r>
        <w:t>for</w:t>
      </w:r>
      <w:r>
        <w:rPr>
          <w:spacing w:val="-4"/>
        </w:rPr>
        <w:t xml:space="preserve"> </w:t>
      </w:r>
      <w:r>
        <w:t>the</w:t>
      </w:r>
      <w:r>
        <w:rPr>
          <w:spacing w:val="-4"/>
        </w:rPr>
        <w:t xml:space="preserve"> </w:t>
      </w:r>
      <w:r>
        <w:t>relevant</w:t>
      </w:r>
      <w:r>
        <w:rPr>
          <w:spacing w:val="-4"/>
        </w:rPr>
        <w:t xml:space="preserve"> </w:t>
      </w:r>
      <w:r>
        <w:rPr>
          <w:spacing w:val="-2"/>
        </w:rPr>
        <w:t>data.)</w:t>
      </w:r>
    </w:p>
    <w:p w14:paraId="7E000974" w14:textId="77777777" w:rsidR="009A58DB" w:rsidRDefault="00000000">
      <w:pPr>
        <w:pStyle w:val="Heading1"/>
        <w:numPr>
          <w:ilvl w:val="1"/>
          <w:numId w:val="216"/>
        </w:numPr>
        <w:tabs>
          <w:tab w:val="left" w:pos="990"/>
        </w:tabs>
      </w:pPr>
      <w:r>
        <w:rPr>
          <w:spacing w:val="-2"/>
        </w:rPr>
        <w:t>Ethics</w:t>
      </w:r>
    </w:p>
    <w:p w14:paraId="7E000975" w14:textId="77777777" w:rsidR="009A58DB" w:rsidRDefault="00000000">
      <w:pPr>
        <w:pStyle w:val="BodyText"/>
        <w:spacing w:before="139" w:line="249" w:lineRule="auto"/>
        <w:ind w:right="369"/>
      </w:pPr>
      <w:r>
        <w:t>This discipline studies the nature of good and bad, right and wrong. Among the questions it tries to answer are:</w:t>
      </w:r>
    </w:p>
    <w:p w14:paraId="7E000976" w14:textId="77777777" w:rsidR="009A58DB" w:rsidRDefault="00000000">
      <w:pPr>
        <w:pStyle w:val="BodyText"/>
        <w:spacing w:before="242"/>
        <w:ind w:left="720"/>
        <w:jc w:val="left"/>
      </w:pPr>
      <w:r>
        <w:t>What</w:t>
      </w:r>
      <w:r>
        <w:rPr>
          <w:spacing w:val="-3"/>
        </w:rPr>
        <w:t xml:space="preserve"> </w:t>
      </w:r>
      <w:r>
        <w:t>is</w:t>
      </w:r>
      <w:r>
        <w:rPr>
          <w:spacing w:val="-2"/>
        </w:rPr>
        <w:t xml:space="preserve"> </w:t>
      </w:r>
      <w:r>
        <w:t>it</w:t>
      </w:r>
      <w:r>
        <w:rPr>
          <w:spacing w:val="-2"/>
        </w:rPr>
        <w:t xml:space="preserve"> </w:t>
      </w:r>
      <w:r>
        <w:t>for</w:t>
      </w:r>
      <w:r>
        <w:rPr>
          <w:spacing w:val="-2"/>
        </w:rPr>
        <w:t xml:space="preserve"> </w:t>
      </w:r>
      <w:r>
        <w:t>an</w:t>
      </w:r>
      <w:r>
        <w:rPr>
          <w:spacing w:val="-1"/>
        </w:rPr>
        <w:t xml:space="preserve"> </w:t>
      </w:r>
      <w:r>
        <w:t>act</w:t>
      </w:r>
      <w:r>
        <w:rPr>
          <w:spacing w:val="-2"/>
        </w:rPr>
        <w:t xml:space="preserve"> </w:t>
      </w:r>
      <w:r>
        <w:t>to</w:t>
      </w:r>
      <w:r>
        <w:rPr>
          <w:spacing w:val="-1"/>
        </w:rPr>
        <w:t xml:space="preserve"> </w:t>
      </w:r>
      <w:r>
        <w:t>be</w:t>
      </w:r>
      <w:r>
        <w:rPr>
          <w:spacing w:val="-2"/>
        </w:rPr>
        <w:t xml:space="preserve"> </w:t>
      </w:r>
      <w:r>
        <w:t>good</w:t>
      </w:r>
      <w:r>
        <w:rPr>
          <w:spacing w:val="-1"/>
        </w:rPr>
        <w:t xml:space="preserve"> </w:t>
      </w:r>
      <w:r>
        <w:t>and</w:t>
      </w:r>
      <w:r>
        <w:rPr>
          <w:spacing w:val="-1"/>
        </w:rPr>
        <w:t xml:space="preserve"> </w:t>
      </w:r>
      <w:r>
        <w:t>what</w:t>
      </w:r>
      <w:r>
        <w:rPr>
          <w:spacing w:val="-2"/>
        </w:rPr>
        <w:t xml:space="preserve"> </w:t>
      </w:r>
      <w:r>
        <w:t>is</w:t>
      </w:r>
      <w:r>
        <w:rPr>
          <w:spacing w:val="-2"/>
        </w:rPr>
        <w:t xml:space="preserve"> </w:t>
      </w:r>
      <w:r>
        <w:t>it</w:t>
      </w:r>
      <w:r>
        <w:rPr>
          <w:spacing w:val="-2"/>
        </w:rPr>
        <w:t xml:space="preserve"> </w:t>
      </w:r>
      <w:r>
        <w:t>for</w:t>
      </w:r>
      <w:r>
        <w:rPr>
          <w:spacing w:val="-2"/>
        </w:rPr>
        <w:t xml:space="preserve"> </w:t>
      </w:r>
      <w:r>
        <w:t>an</w:t>
      </w:r>
      <w:r>
        <w:rPr>
          <w:spacing w:val="-1"/>
        </w:rPr>
        <w:t xml:space="preserve"> </w:t>
      </w:r>
      <w:r>
        <w:t>act</w:t>
      </w:r>
      <w:r>
        <w:rPr>
          <w:spacing w:val="-2"/>
        </w:rPr>
        <w:t xml:space="preserve"> </w:t>
      </w:r>
      <w:r>
        <w:t>to</w:t>
      </w:r>
      <w:r>
        <w:rPr>
          <w:spacing w:val="-1"/>
        </w:rPr>
        <w:t xml:space="preserve"> </w:t>
      </w:r>
      <w:r>
        <w:t>be</w:t>
      </w:r>
      <w:r>
        <w:rPr>
          <w:spacing w:val="-2"/>
        </w:rPr>
        <w:t xml:space="preserve"> </w:t>
      </w:r>
      <w:r>
        <w:rPr>
          <w:spacing w:val="-4"/>
        </w:rPr>
        <w:t>bad?</w:t>
      </w:r>
    </w:p>
    <w:p w14:paraId="7E000977" w14:textId="77777777" w:rsidR="009A58DB" w:rsidRDefault="00000000">
      <w:pPr>
        <w:pStyle w:val="BodyText"/>
        <w:spacing w:before="15" w:line="249" w:lineRule="auto"/>
        <w:ind w:left="720"/>
        <w:jc w:val="left"/>
      </w:pPr>
      <w:r>
        <w:t>Are</w:t>
      </w:r>
      <w:r>
        <w:rPr>
          <w:spacing w:val="80"/>
        </w:rPr>
        <w:t xml:space="preserve"> </w:t>
      </w:r>
      <w:r>
        <w:t>there</w:t>
      </w:r>
      <w:r>
        <w:rPr>
          <w:spacing w:val="80"/>
        </w:rPr>
        <w:t xml:space="preserve"> </w:t>
      </w:r>
      <w:r>
        <w:t>absolute</w:t>
      </w:r>
      <w:r>
        <w:rPr>
          <w:spacing w:val="80"/>
        </w:rPr>
        <w:t xml:space="preserve"> </w:t>
      </w:r>
      <w:r>
        <w:t>standards</w:t>
      </w:r>
      <w:r>
        <w:rPr>
          <w:spacing w:val="80"/>
        </w:rPr>
        <w:t xml:space="preserve"> </w:t>
      </w:r>
      <w:r>
        <w:t>of</w:t>
      </w:r>
      <w:r>
        <w:rPr>
          <w:spacing w:val="80"/>
        </w:rPr>
        <w:t xml:space="preserve"> </w:t>
      </w:r>
      <w:r>
        <w:t>goodness</w:t>
      </w:r>
      <w:r>
        <w:rPr>
          <w:spacing w:val="80"/>
        </w:rPr>
        <w:t xml:space="preserve"> </w:t>
      </w:r>
      <w:r>
        <w:t>and</w:t>
      </w:r>
      <w:r>
        <w:rPr>
          <w:spacing w:val="80"/>
        </w:rPr>
        <w:t xml:space="preserve"> </w:t>
      </w:r>
      <w:r>
        <w:t>badness,</w:t>
      </w:r>
      <w:r>
        <w:rPr>
          <w:spacing w:val="80"/>
        </w:rPr>
        <w:t xml:space="preserve"> </w:t>
      </w:r>
      <w:r>
        <w:t>or</w:t>
      </w:r>
      <w:r>
        <w:rPr>
          <w:spacing w:val="80"/>
        </w:rPr>
        <w:t xml:space="preserve"> </w:t>
      </w:r>
      <w:r>
        <w:t>do</w:t>
      </w:r>
      <w:r>
        <w:rPr>
          <w:spacing w:val="80"/>
        </w:rPr>
        <w:t xml:space="preserve"> </w:t>
      </w:r>
      <w:r>
        <w:t>such</w:t>
      </w:r>
      <w:r>
        <w:rPr>
          <w:spacing w:val="80"/>
        </w:rPr>
        <w:t xml:space="preserve"> </w:t>
      </w:r>
      <w:r>
        <w:t>standards vary from culture to culture?</w:t>
      </w:r>
    </w:p>
    <w:p w14:paraId="7E000978" w14:textId="77777777" w:rsidR="009A58DB" w:rsidRDefault="00000000">
      <w:pPr>
        <w:pStyle w:val="BodyText"/>
        <w:spacing w:before="3"/>
        <w:ind w:left="720"/>
        <w:jc w:val="left"/>
      </w:pPr>
      <w:r>
        <w:t>Are</w:t>
      </w:r>
      <w:r>
        <w:rPr>
          <w:spacing w:val="-3"/>
        </w:rPr>
        <w:t xml:space="preserve"> </w:t>
      </w:r>
      <w:r>
        <w:t>there</w:t>
      </w:r>
      <w:r>
        <w:rPr>
          <w:spacing w:val="-3"/>
        </w:rPr>
        <w:t xml:space="preserve"> </w:t>
      </w:r>
      <w:r>
        <w:t>in</w:t>
      </w:r>
      <w:r>
        <w:rPr>
          <w:spacing w:val="-2"/>
        </w:rPr>
        <w:t xml:space="preserve"> </w:t>
      </w:r>
      <w:r>
        <w:t>fact</w:t>
      </w:r>
      <w:r>
        <w:rPr>
          <w:spacing w:val="-3"/>
        </w:rPr>
        <w:t xml:space="preserve"> </w:t>
      </w:r>
      <w:r>
        <w:t>such</w:t>
      </w:r>
      <w:r>
        <w:rPr>
          <w:spacing w:val="-2"/>
        </w:rPr>
        <w:t xml:space="preserve"> </w:t>
      </w:r>
      <w:r>
        <w:t>things</w:t>
      </w:r>
      <w:r>
        <w:rPr>
          <w:spacing w:val="-3"/>
        </w:rPr>
        <w:t xml:space="preserve"> </w:t>
      </w:r>
      <w:r>
        <w:t>as</w:t>
      </w:r>
      <w:r>
        <w:rPr>
          <w:spacing w:val="-3"/>
        </w:rPr>
        <w:t xml:space="preserve"> </w:t>
      </w:r>
      <w:r>
        <w:t>right</w:t>
      </w:r>
      <w:r>
        <w:rPr>
          <w:spacing w:val="-3"/>
        </w:rPr>
        <w:t xml:space="preserve"> </w:t>
      </w:r>
      <w:r>
        <w:t>and</w:t>
      </w:r>
      <w:r>
        <w:rPr>
          <w:spacing w:val="-1"/>
        </w:rPr>
        <w:t xml:space="preserve"> </w:t>
      </w:r>
      <w:r>
        <w:rPr>
          <w:spacing w:val="-2"/>
        </w:rPr>
        <w:t>wrong?</w:t>
      </w:r>
    </w:p>
    <w:p w14:paraId="7E000979" w14:textId="77777777" w:rsidR="009A58DB" w:rsidRDefault="00000000">
      <w:pPr>
        <w:pStyle w:val="BodyText"/>
        <w:spacing w:before="15" w:line="249" w:lineRule="auto"/>
        <w:ind w:right="366" w:firstLine="360"/>
      </w:pPr>
      <w:r>
        <w:t>Are any of our beliefs about the rightness and wrongness of things</w:t>
      </w:r>
      <w:r>
        <w:rPr>
          <w:spacing w:val="40"/>
        </w:rPr>
        <w:t xml:space="preserve"> </w:t>
      </w:r>
      <w:r>
        <w:t>correct? Or are all our ethical beliefs illusions of some kind?</w:t>
      </w:r>
    </w:p>
    <w:p w14:paraId="7E00097A" w14:textId="77777777" w:rsidR="009A58DB" w:rsidRDefault="00000000">
      <w:pPr>
        <w:pStyle w:val="BodyText"/>
        <w:spacing w:before="2" w:line="249" w:lineRule="auto"/>
        <w:ind w:right="367" w:firstLine="360"/>
      </w:pPr>
      <w:r>
        <w:t>How</w:t>
      </w:r>
      <w:r>
        <w:rPr>
          <w:spacing w:val="-2"/>
        </w:rPr>
        <w:t xml:space="preserve"> </w:t>
      </w:r>
      <w:r>
        <w:t>are</w:t>
      </w:r>
      <w:r>
        <w:rPr>
          <w:spacing w:val="-1"/>
        </w:rPr>
        <w:t xml:space="preserve"> </w:t>
      </w:r>
      <w:r>
        <w:t>ethical</w:t>
      </w:r>
      <w:r>
        <w:rPr>
          <w:spacing w:val="-2"/>
        </w:rPr>
        <w:t xml:space="preserve"> </w:t>
      </w:r>
      <w:r>
        <w:t>statements</w:t>
      </w:r>
      <w:r>
        <w:rPr>
          <w:spacing w:val="-1"/>
        </w:rPr>
        <w:t xml:space="preserve"> </w:t>
      </w:r>
      <w:r>
        <w:t>(e.g.,</w:t>
      </w:r>
      <w:r>
        <w:rPr>
          <w:spacing w:val="-1"/>
        </w:rPr>
        <w:t xml:space="preserve"> </w:t>
      </w:r>
      <w:r>
        <w:t>“killing</w:t>
      </w:r>
      <w:r>
        <w:rPr>
          <w:spacing w:val="-2"/>
        </w:rPr>
        <w:t xml:space="preserve"> </w:t>
      </w:r>
      <w:r>
        <w:t>is</w:t>
      </w:r>
      <w:r>
        <w:rPr>
          <w:spacing w:val="-1"/>
        </w:rPr>
        <w:t xml:space="preserve"> </w:t>
      </w:r>
      <w:r>
        <w:t>wrong”)</w:t>
      </w:r>
      <w:r>
        <w:rPr>
          <w:spacing w:val="-2"/>
        </w:rPr>
        <w:t xml:space="preserve"> </w:t>
      </w:r>
      <w:r>
        <w:t>related</w:t>
      </w:r>
      <w:r>
        <w:rPr>
          <w:spacing w:val="-1"/>
        </w:rPr>
        <w:t xml:space="preserve"> </w:t>
      </w:r>
      <w:r>
        <w:t>to</w:t>
      </w:r>
      <w:r>
        <w:rPr>
          <w:spacing w:val="-1"/>
        </w:rPr>
        <w:t xml:space="preserve"> </w:t>
      </w:r>
      <w:r>
        <w:t xml:space="preserve">non-ethical, purely “descriptive” statements (e.g., “killing tends to undermine social </w:t>
      </w:r>
      <w:r>
        <w:rPr>
          <w:spacing w:val="-2"/>
        </w:rPr>
        <w:t>order”)?</w:t>
      </w:r>
    </w:p>
    <w:p w14:paraId="7E00097B" w14:textId="77777777" w:rsidR="009A58DB" w:rsidRDefault="00000000">
      <w:pPr>
        <w:pStyle w:val="BodyText"/>
        <w:spacing w:before="4"/>
        <w:ind w:left="720"/>
      </w:pPr>
      <w:r>
        <w:t>To</w:t>
      </w:r>
      <w:r>
        <w:rPr>
          <w:spacing w:val="-5"/>
        </w:rPr>
        <w:t xml:space="preserve"> </w:t>
      </w:r>
      <w:r>
        <w:t>what</w:t>
      </w:r>
      <w:r>
        <w:rPr>
          <w:spacing w:val="-4"/>
        </w:rPr>
        <w:t xml:space="preserve"> </w:t>
      </w:r>
      <w:r>
        <w:t>extent</w:t>
      </w:r>
      <w:r>
        <w:rPr>
          <w:spacing w:val="-3"/>
        </w:rPr>
        <w:t xml:space="preserve"> </w:t>
      </w:r>
      <w:r>
        <w:t>can</w:t>
      </w:r>
      <w:r>
        <w:rPr>
          <w:spacing w:val="-3"/>
        </w:rPr>
        <w:t xml:space="preserve"> </w:t>
      </w:r>
      <w:r>
        <w:t>one</w:t>
      </w:r>
      <w:r>
        <w:rPr>
          <w:spacing w:val="-3"/>
        </w:rPr>
        <w:t xml:space="preserve"> </w:t>
      </w:r>
      <w:r>
        <w:t>have</w:t>
      </w:r>
      <w:r>
        <w:rPr>
          <w:spacing w:val="-4"/>
        </w:rPr>
        <w:t xml:space="preserve"> </w:t>
      </w:r>
      <w:r>
        <w:t>ethical</w:t>
      </w:r>
      <w:r>
        <w:rPr>
          <w:spacing w:val="-3"/>
        </w:rPr>
        <w:t xml:space="preserve"> </w:t>
      </w:r>
      <w:r>
        <w:t>obligations</w:t>
      </w:r>
      <w:r>
        <w:rPr>
          <w:spacing w:val="-4"/>
        </w:rPr>
        <w:t xml:space="preserve"> </w:t>
      </w:r>
      <w:r>
        <w:t>towards</w:t>
      </w:r>
      <w:r>
        <w:rPr>
          <w:spacing w:val="-3"/>
        </w:rPr>
        <w:t xml:space="preserve"> </w:t>
      </w:r>
      <w:r>
        <w:rPr>
          <w:spacing w:val="-2"/>
        </w:rPr>
        <w:t>oneself?</w:t>
      </w:r>
    </w:p>
    <w:p w14:paraId="7E00097C" w14:textId="77777777" w:rsidR="009A58DB" w:rsidRDefault="00000000">
      <w:pPr>
        <w:pStyle w:val="BodyText"/>
        <w:spacing w:before="15" w:line="249" w:lineRule="auto"/>
        <w:ind w:left="720" w:right="362"/>
      </w:pPr>
      <w:r>
        <w:t>Does one have ethical obligations towards others, or should one be concerned only for oneself? To what extent, if</w:t>
      </w:r>
      <w:r>
        <w:rPr>
          <w:spacing w:val="-1"/>
        </w:rPr>
        <w:t xml:space="preserve"> </w:t>
      </w:r>
      <w:r>
        <w:t>any, is it</w:t>
      </w:r>
      <w:r>
        <w:rPr>
          <w:spacing w:val="-1"/>
        </w:rPr>
        <w:t xml:space="preserve"> </w:t>
      </w:r>
      <w:r>
        <w:t>in one’s interest to act morally?</w:t>
      </w:r>
    </w:p>
    <w:p w14:paraId="7E00097D" w14:textId="77777777" w:rsidR="009A58DB" w:rsidRDefault="00000000">
      <w:pPr>
        <w:pStyle w:val="Heading1"/>
        <w:numPr>
          <w:ilvl w:val="1"/>
          <w:numId w:val="216"/>
        </w:numPr>
        <w:tabs>
          <w:tab w:val="left" w:pos="990"/>
        </w:tabs>
        <w:spacing w:before="207"/>
      </w:pPr>
      <w:r>
        <w:t>Political</w:t>
      </w:r>
      <w:r>
        <w:rPr>
          <w:spacing w:val="-7"/>
        </w:rPr>
        <w:t xml:space="preserve"> </w:t>
      </w:r>
      <w:r>
        <w:rPr>
          <w:spacing w:val="-2"/>
        </w:rPr>
        <w:t>philosophy</w:t>
      </w:r>
    </w:p>
    <w:p w14:paraId="7E00097E" w14:textId="77777777" w:rsidR="009A58DB" w:rsidRDefault="00000000">
      <w:pPr>
        <w:pStyle w:val="BodyText"/>
        <w:spacing w:before="139" w:line="249" w:lineRule="auto"/>
        <w:ind w:right="367"/>
      </w:pPr>
      <w:r>
        <w:t>This discipline studies the nature of law and government. It tries to identify the</w:t>
      </w:r>
      <w:r>
        <w:rPr>
          <w:spacing w:val="-3"/>
        </w:rPr>
        <w:t xml:space="preserve"> </w:t>
      </w:r>
      <w:r>
        <w:t>conditions</w:t>
      </w:r>
      <w:r>
        <w:rPr>
          <w:spacing w:val="-3"/>
        </w:rPr>
        <w:t xml:space="preserve"> </w:t>
      </w:r>
      <w:r>
        <w:t>under</w:t>
      </w:r>
      <w:r>
        <w:rPr>
          <w:spacing w:val="-3"/>
        </w:rPr>
        <w:t xml:space="preserve"> </w:t>
      </w:r>
      <w:r>
        <w:t>which</w:t>
      </w:r>
      <w:r>
        <w:rPr>
          <w:spacing w:val="-3"/>
        </w:rPr>
        <w:t xml:space="preserve"> </w:t>
      </w:r>
      <w:r>
        <w:t>laws</w:t>
      </w:r>
      <w:r>
        <w:rPr>
          <w:spacing w:val="-3"/>
        </w:rPr>
        <w:t xml:space="preserve"> </w:t>
      </w:r>
      <w:r>
        <w:t>and</w:t>
      </w:r>
      <w:r>
        <w:rPr>
          <w:spacing w:val="-3"/>
        </w:rPr>
        <w:t xml:space="preserve"> </w:t>
      </w:r>
      <w:r>
        <w:t>other</w:t>
      </w:r>
      <w:r>
        <w:rPr>
          <w:spacing w:val="-3"/>
        </w:rPr>
        <w:t xml:space="preserve"> </w:t>
      </w:r>
      <w:r>
        <w:t>political</w:t>
      </w:r>
      <w:r>
        <w:rPr>
          <w:spacing w:val="-3"/>
        </w:rPr>
        <w:t xml:space="preserve"> </w:t>
      </w:r>
      <w:r>
        <w:t>institutions</w:t>
      </w:r>
      <w:r>
        <w:rPr>
          <w:spacing w:val="-3"/>
        </w:rPr>
        <w:t xml:space="preserve"> </w:t>
      </w:r>
      <w:r>
        <w:t>are</w:t>
      </w:r>
      <w:r>
        <w:rPr>
          <w:spacing w:val="-3"/>
        </w:rPr>
        <w:t xml:space="preserve"> </w:t>
      </w:r>
      <w:r>
        <w:t>legitimate. Among the questions it tries to answer are:</w:t>
      </w:r>
    </w:p>
    <w:p w14:paraId="7E00097F" w14:textId="77777777" w:rsidR="009A58DB" w:rsidRDefault="00000000">
      <w:pPr>
        <w:pStyle w:val="BodyText"/>
        <w:spacing w:before="243"/>
        <w:ind w:left="720"/>
      </w:pPr>
      <w:r>
        <w:t>What</w:t>
      </w:r>
      <w:r>
        <w:rPr>
          <w:spacing w:val="-2"/>
        </w:rPr>
        <w:t xml:space="preserve"> </w:t>
      </w:r>
      <w:r>
        <w:t>is</w:t>
      </w:r>
      <w:r>
        <w:rPr>
          <w:spacing w:val="-2"/>
        </w:rPr>
        <w:t xml:space="preserve"> </w:t>
      </w:r>
      <w:r>
        <w:t>a</w:t>
      </w:r>
      <w:r>
        <w:rPr>
          <w:spacing w:val="-2"/>
        </w:rPr>
        <w:t xml:space="preserve"> </w:t>
      </w:r>
      <w:r>
        <w:rPr>
          <w:spacing w:val="-4"/>
        </w:rPr>
        <w:t>law?</w:t>
      </w:r>
    </w:p>
    <w:p w14:paraId="7E000980" w14:textId="77777777" w:rsidR="009A58DB" w:rsidRDefault="00000000">
      <w:pPr>
        <w:pStyle w:val="BodyText"/>
        <w:spacing w:before="15" w:line="249" w:lineRule="auto"/>
        <w:ind w:left="720" w:right="361"/>
      </w:pPr>
      <w:r>
        <w:t>What</w:t>
      </w:r>
      <w:r>
        <w:rPr>
          <w:spacing w:val="-2"/>
        </w:rPr>
        <w:t xml:space="preserve"> </w:t>
      </w:r>
      <w:r>
        <w:t>is</w:t>
      </w:r>
      <w:r>
        <w:rPr>
          <w:spacing w:val="-2"/>
        </w:rPr>
        <w:t xml:space="preserve"> </w:t>
      </w:r>
      <w:r>
        <w:t>the</w:t>
      </w:r>
      <w:r>
        <w:rPr>
          <w:spacing w:val="-2"/>
        </w:rPr>
        <w:t xml:space="preserve"> </w:t>
      </w:r>
      <w:r>
        <w:t>difference</w:t>
      </w:r>
      <w:r>
        <w:rPr>
          <w:spacing w:val="-2"/>
        </w:rPr>
        <w:t xml:space="preserve"> </w:t>
      </w:r>
      <w:r>
        <w:t>between</w:t>
      </w:r>
      <w:r>
        <w:rPr>
          <w:spacing w:val="-1"/>
        </w:rPr>
        <w:t xml:space="preserve"> </w:t>
      </w:r>
      <w:r>
        <w:t>a</w:t>
      </w:r>
      <w:r>
        <w:rPr>
          <w:spacing w:val="-2"/>
        </w:rPr>
        <w:t xml:space="preserve"> </w:t>
      </w:r>
      <w:r>
        <w:t>law</w:t>
      </w:r>
      <w:r>
        <w:rPr>
          <w:spacing w:val="-2"/>
        </w:rPr>
        <w:t xml:space="preserve"> </w:t>
      </w:r>
      <w:r>
        <w:t>and,</w:t>
      </w:r>
      <w:r>
        <w:rPr>
          <w:spacing w:val="-1"/>
        </w:rPr>
        <w:t xml:space="preserve"> </w:t>
      </w:r>
      <w:r>
        <w:t>for</w:t>
      </w:r>
      <w:r>
        <w:rPr>
          <w:spacing w:val="-2"/>
        </w:rPr>
        <w:t xml:space="preserve"> </w:t>
      </w:r>
      <w:r>
        <w:t>example,</w:t>
      </w:r>
      <w:r>
        <w:rPr>
          <w:spacing w:val="-1"/>
        </w:rPr>
        <w:t xml:space="preserve"> </w:t>
      </w:r>
      <w:r>
        <w:t>a</w:t>
      </w:r>
      <w:r>
        <w:rPr>
          <w:spacing w:val="-2"/>
        </w:rPr>
        <w:t xml:space="preserve"> </w:t>
      </w:r>
      <w:r>
        <w:t>gunman’s</w:t>
      </w:r>
      <w:r>
        <w:rPr>
          <w:spacing w:val="-2"/>
        </w:rPr>
        <w:t xml:space="preserve"> </w:t>
      </w:r>
      <w:r>
        <w:t>threat? What is a government? What is the difference between a government and, for example, the Mafia? How are legal rights related to ethical rights?</w:t>
      </w:r>
    </w:p>
    <w:p w14:paraId="7E000981" w14:textId="77777777" w:rsidR="009A58DB" w:rsidRDefault="00000000">
      <w:pPr>
        <w:pStyle w:val="BodyText"/>
        <w:spacing w:before="4" w:line="249" w:lineRule="auto"/>
        <w:ind w:right="367" w:firstLine="360"/>
      </w:pPr>
      <w:r>
        <w:t>Can there be legal systems that are entirely evil, or must something embody at least a minimum of morality to qualify as a legal system?</w:t>
      </w:r>
    </w:p>
    <w:p w14:paraId="7E000982" w14:textId="77777777" w:rsidR="009A58DB" w:rsidRDefault="00000000">
      <w:pPr>
        <w:pStyle w:val="BodyText"/>
        <w:spacing w:before="2" w:line="249" w:lineRule="auto"/>
        <w:ind w:left="720" w:right="365"/>
      </w:pPr>
      <w:r>
        <w:t xml:space="preserve">Under what circumstances, if any, is one ethically entitled to break the </w:t>
      </w:r>
      <w:r>
        <w:rPr>
          <w:spacing w:val="-4"/>
        </w:rPr>
        <w:t>law?</w:t>
      </w:r>
    </w:p>
    <w:p w14:paraId="7E000983" w14:textId="77777777" w:rsidR="009A58DB" w:rsidRDefault="00000000">
      <w:pPr>
        <w:pStyle w:val="BodyText"/>
        <w:spacing w:before="3" w:line="249" w:lineRule="auto"/>
        <w:ind w:right="363" w:firstLine="360"/>
      </w:pPr>
      <w:r>
        <w:t>Under what circumstances, if any, does a government have the right to thwart the interests of its subjects?</w:t>
      </w:r>
    </w:p>
    <w:p w14:paraId="7E000984" w14:textId="77777777" w:rsidR="009A58DB" w:rsidRDefault="00000000">
      <w:pPr>
        <w:pStyle w:val="BodyText"/>
        <w:spacing w:before="2"/>
        <w:ind w:left="720"/>
      </w:pPr>
      <w:r>
        <w:t>What</w:t>
      </w:r>
      <w:r>
        <w:rPr>
          <w:spacing w:val="-3"/>
        </w:rPr>
        <w:t xml:space="preserve"> </w:t>
      </w:r>
      <w:r>
        <w:t>is</w:t>
      </w:r>
      <w:r>
        <w:rPr>
          <w:spacing w:val="-2"/>
        </w:rPr>
        <w:t xml:space="preserve"> </w:t>
      </w:r>
      <w:r>
        <w:t>the</w:t>
      </w:r>
      <w:r>
        <w:rPr>
          <w:spacing w:val="-3"/>
        </w:rPr>
        <w:t xml:space="preserve"> </w:t>
      </w:r>
      <w:r>
        <w:t>most</w:t>
      </w:r>
      <w:r>
        <w:rPr>
          <w:spacing w:val="-2"/>
        </w:rPr>
        <w:t xml:space="preserve"> </w:t>
      </w:r>
      <w:r>
        <w:t>just</w:t>
      </w:r>
      <w:r>
        <w:rPr>
          <w:spacing w:val="-3"/>
        </w:rPr>
        <w:t xml:space="preserve"> </w:t>
      </w:r>
      <w:r>
        <w:t>form</w:t>
      </w:r>
      <w:r>
        <w:rPr>
          <w:spacing w:val="-2"/>
        </w:rPr>
        <w:t xml:space="preserve"> </w:t>
      </w:r>
      <w:r>
        <w:t>of</w:t>
      </w:r>
      <w:r>
        <w:rPr>
          <w:spacing w:val="-2"/>
        </w:rPr>
        <w:t xml:space="preserve"> government?</w:t>
      </w:r>
    </w:p>
    <w:p w14:paraId="7E000985" w14:textId="77777777" w:rsidR="009A58DB" w:rsidRDefault="009A58DB">
      <w:pPr>
        <w:pStyle w:val="BodyText"/>
        <w:sectPr w:rsidR="009A58DB">
          <w:pgSz w:w="12240" w:h="15840"/>
          <w:pgMar w:top="1380" w:right="1080" w:bottom="280" w:left="1080" w:header="720" w:footer="720" w:gutter="0"/>
          <w:cols w:space="720"/>
        </w:sectPr>
      </w:pPr>
    </w:p>
    <w:p w14:paraId="7E000986" w14:textId="77777777" w:rsidR="009A58DB" w:rsidRDefault="00000000">
      <w:pPr>
        <w:pStyle w:val="BodyText"/>
        <w:spacing w:before="65"/>
        <w:ind w:left="720"/>
      </w:pPr>
      <w:r>
        <w:lastRenderedPageBreak/>
        <w:t>Which</w:t>
      </w:r>
      <w:r>
        <w:rPr>
          <w:spacing w:val="-4"/>
        </w:rPr>
        <w:t xml:space="preserve"> </w:t>
      </w:r>
      <w:r>
        <w:t>kinds</w:t>
      </w:r>
      <w:r>
        <w:rPr>
          <w:spacing w:val="-3"/>
        </w:rPr>
        <w:t xml:space="preserve"> </w:t>
      </w:r>
      <w:r>
        <w:t>of</w:t>
      </w:r>
      <w:r>
        <w:rPr>
          <w:spacing w:val="-3"/>
        </w:rPr>
        <w:t xml:space="preserve"> </w:t>
      </w:r>
      <w:r>
        <w:t>freedoms</w:t>
      </w:r>
      <w:r>
        <w:rPr>
          <w:spacing w:val="-2"/>
        </w:rPr>
        <w:t xml:space="preserve"> </w:t>
      </w:r>
      <w:r>
        <w:t>ought</w:t>
      </w:r>
      <w:r>
        <w:rPr>
          <w:spacing w:val="-3"/>
        </w:rPr>
        <w:t xml:space="preserve"> </w:t>
      </w:r>
      <w:r>
        <w:t>a</w:t>
      </w:r>
      <w:r>
        <w:rPr>
          <w:spacing w:val="-3"/>
        </w:rPr>
        <w:t xml:space="preserve"> </w:t>
      </w:r>
      <w:r>
        <w:t>government</w:t>
      </w:r>
      <w:r>
        <w:rPr>
          <w:spacing w:val="-3"/>
        </w:rPr>
        <w:t xml:space="preserve"> </w:t>
      </w:r>
      <w:r>
        <w:t>to</w:t>
      </w:r>
      <w:r>
        <w:rPr>
          <w:spacing w:val="-1"/>
        </w:rPr>
        <w:t xml:space="preserve"> </w:t>
      </w:r>
      <w:r>
        <w:rPr>
          <w:spacing w:val="-2"/>
        </w:rPr>
        <w:t>protect?</w:t>
      </w:r>
    </w:p>
    <w:p w14:paraId="7E000987" w14:textId="77777777" w:rsidR="009A58DB" w:rsidRDefault="00000000">
      <w:pPr>
        <w:pStyle w:val="Heading1"/>
        <w:numPr>
          <w:ilvl w:val="1"/>
          <w:numId w:val="216"/>
        </w:numPr>
        <w:tabs>
          <w:tab w:val="left" w:pos="990"/>
        </w:tabs>
      </w:pPr>
      <w:r>
        <w:t>The</w:t>
      </w:r>
      <w:r>
        <w:rPr>
          <w:spacing w:val="-6"/>
        </w:rPr>
        <w:t xml:space="preserve"> </w:t>
      </w:r>
      <w:r>
        <w:t>philosophy</w:t>
      </w:r>
      <w:r>
        <w:rPr>
          <w:spacing w:val="-3"/>
        </w:rPr>
        <w:t xml:space="preserve"> </w:t>
      </w:r>
      <w:r>
        <w:t>of</w:t>
      </w:r>
      <w:r>
        <w:rPr>
          <w:spacing w:val="-4"/>
        </w:rPr>
        <w:t xml:space="preserve"> </w:t>
      </w:r>
      <w:r>
        <w:rPr>
          <w:spacing w:val="-2"/>
        </w:rPr>
        <w:t>religion</w:t>
      </w:r>
    </w:p>
    <w:p w14:paraId="7E000988" w14:textId="77777777" w:rsidR="009A58DB" w:rsidRDefault="00000000">
      <w:pPr>
        <w:pStyle w:val="BodyText"/>
        <w:spacing w:before="139" w:line="249" w:lineRule="auto"/>
        <w:ind w:right="363"/>
      </w:pPr>
      <w:r>
        <w:t>This discipline studies the nature and existence of God and the conditions under which religious belief is justified. Among the questions it tries to answer are:</w:t>
      </w:r>
    </w:p>
    <w:p w14:paraId="7E000989" w14:textId="77777777" w:rsidR="009A58DB" w:rsidRDefault="00000000">
      <w:pPr>
        <w:pStyle w:val="BodyText"/>
        <w:spacing w:before="243"/>
        <w:ind w:left="720"/>
      </w:pPr>
      <w:r>
        <w:t>If</w:t>
      </w:r>
      <w:r>
        <w:rPr>
          <w:spacing w:val="-3"/>
        </w:rPr>
        <w:t xml:space="preserve"> </w:t>
      </w:r>
      <w:r>
        <w:t>there</w:t>
      </w:r>
      <w:r>
        <w:rPr>
          <w:spacing w:val="-2"/>
        </w:rPr>
        <w:t xml:space="preserve"> </w:t>
      </w:r>
      <w:r>
        <w:t>is</w:t>
      </w:r>
      <w:r>
        <w:rPr>
          <w:spacing w:val="-2"/>
        </w:rPr>
        <w:t xml:space="preserve"> </w:t>
      </w:r>
      <w:r>
        <w:t>a</w:t>
      </w:r>
      <w:r>
        <w:rPr>
          <w:spacing w:val="-2"/>
        </w:rPr>
        <w:t xml:space="preserve"> </w:t>
      </w:r>
      <w:r>
        <w:t>God,</w:t>
      </w:r>
      <w:r>
        <w:rPr>
          <w:spacing w:val="-1"/>
        </w:rPr>
        <w:t xml:space="preserve"> </w:t>
      </w:r>
      <w:r>
        <w:t>why</w:t>
      </w:r>
      <w:r>
        <w:rPr>
          <w:spacing w:val="-1"/>
        </w:rPr>
        <w:t xml:space="preserve"> </w:t>
      </w:r>
      <w:r>
        <w:t>do</w:t>
      </w:r>
      <w:r>
        <w:rPr>
          <w:spacing w:val="-1"/>
        </w:rPr>
        <w:t xml:space="preserve"> </w:t>
      </w:r>
      <w:r>
        <w:t>bad</w:t>
      </w:r>
      <w:r>
        <w:rPr>
          <w:spacing w:val="-1"/>
        </w:rPr>
        <w:t xml:space="preserve"> </w:t>
      </w:r>
      <w:r>
        <w:t>things</w:t>
      </w:r>
      <w:r>
        <w:rPr>
          <w:spacing w:val="-2"/>
        </w:rPr>
        <w:t xml:space="preserve"> happen?</w:t>
      </w:r>
    </w:p>
    <w:p w14:paraId="7E00098A" w14:textId="77777777" w:rsidR="009A58DB" w:rsidRDefault="00000000">
      <w:pPr>
        <w:pStyle w:val="BodyText"/>
        <w:spacing w:before="15" w:line="249" w:lineRule="auto"/>
        <w:ind w:right="372" w:firstLine="360"/>
      </w:pPr>
      <w:r>
        <w:t>Given that God, being invulnerable, cannot know what it is like to be vulnerable, how can God know everything?</w:t>
      </w:r>
    </w:p>
    <w:p w14:paraId="7E00098B" w14:textId="77777777" w:rsidR="009A58DB" w:rsidRDefault="00000000">
      <w:pPr>
        <w:pStyle w:val="BodyText"/>
        <w:spacing w:before="3" w:line="249" w:lineRule="auto"/>
        <w:ind w:left="720" w:right="1261"/>
      </w:pPr>
      <w:r>
        <w:t>If God knows everything, including what we will do, how can we have</w:t>
      </w:r>
      <w:r>
        <w:rPr>
          <w:spacing w:val="-3"/>
        </w:rPr>
        <w:t xml:space="preserve"> </w:t>
      </w:r>
      <w:r>
        <w:t>free</w:t>
      </w:r>
      <w:r>
        <w:rPr>
          <w:spacing w:val="-3"/>
        </w:rPr>
        <w:t xml:space="preserve"> </w:t>
      </w:r>
      <w:r>
        <w:t>will?</w:t>
      </w:r>
      <w:r>
        <w:rPr>
          <w:spacing w:val="-3"/>
        </w:rPr>
        <w:t xml:space="preserve"> </w:t>
      </w:r>
      <w:r>
        <w:t>If</w:t>
      </w:r>
      <w:r>
        <w:rPr>
          <w:spacing w:val="-3"/>
        </w:rPr>
        <w:t xml:space="preserve"> </w:t>
      </w:r>
      <w:r>
        <w:t>God</w:t>
      </w:r>
      <w:r>
        <w:rPr>
          <w:spacing w:val="-2"/>
        </w:rPr>
        <w:t xml:space="preserve"> </w:t>
      </w:r>
      <w:r>
        <w:t>is</w:t>
      </w:r>
      <w:r>
        <w:rPr>
          <w:spacing w:val="-3"/>
        </w:rPr>
        <w:t xml:space="preserve"> </w:t>
      </w:r>
      <w:r>
        <w:t>responsible</w:t>
      </w:r>
      <w:r>
        <w:rPr>
          <w:spacing w:val="-3"/>
        </w:rPr>
        <w:t xml:space="preserve"> </w:t>
      </w:r>
      <w:r>
        <w:t>for</w:t>
      </w:r>
      <w:r>
        <w:rPr>
          <w:spacing w:val="-3"/>
        </w:rPr>
        <w:t xml:space="preserve"> </w:t>
      </w:r>
      <w:r>
        <w:t>everything,</w:t>
      </w:r>
      <w:r>
        <w:rPr>
          <w:spacing w:val="-2"/>
        </w:rPr>
        <w:t xml:space="preserve"> </w:t>
      </w:r>
      <w:r>
        <w:t>how</w:t>
      </w:r>
      <w:r>
        <w:rPr>
          <w:spacing w:val="-3"/>
        </w:rPr>
        <w:t xml:space="preserve"> </w:t>
      </w:r>
      <w:r>
        <w:t>we</w:t>
      </w:r>
      <w:r>
        <w:rPr>
          <w:spacing w:val="-3"/>
        </w:rPr>
        <w:t xml:space="preserve"> </w:t>
      </w:r>
      <w:r>
        <w:t>can</w:t>
      </w:r>
      <w:r>
        <w:rPr>
          <w:spacing w:val="-2"/>
        </w:rPr>
        <w:t xml:space="preserve"> </w:t>
      </w:r>
      <w:r>
        <w:t>be justly punished for what we do?</w:t>
      </w:r>
    </w:p>
    <w:p w14:paraId="7E00098C" w14:textId="77777777" w:rsidR="009A58DB" w:rsidRDefault="00000000">
      <w:pPr>
        <w:pStyle w:val="BodyText"/>
        <w:spacing w:before="4" w:line="249" w:lineRule="auto"/>
        <w:ind w:left="720" w:right="364"/>
      </w:pPr>
      <w:r>
        <w:t>Does God have a gender? Does it make sense to say that God is a male as opposed to a female? Is there a God? If so, how is that to be established?</w:t>
      </w:r>
    </w:p>
    <w:p w14:paraId="7E00098D" w14:textId="77777777" w:rsidR="009A58DB" w:rsidRDefault="00000000">
      <w:pPr>
        <w:pStyle w:val="BodyText"/>
        <w:spacing w:before="2" w:line="249" w:lineRule="auto"/>
        <w:ind w:right="364" w:firstLine="360"/>
      </w:pPr>
      <w:r>
        <w:t xml:space="preserve">Is religious knowledge acquired in the same way as non-religious knowledge, or are different cognitive vehicles involved? And, once acquired, is religious knowledge (supposing such a thing to exist) to be </w:t>
      </w:r>
      <w:r>
        <w:rPr>
          <w:i/>
        </w:rPr>
        <w:t xml:space="preserve">justified </w:t>
      </w:r>
      <w:r>
        <w:t>in the same way as non-religious knowledge, or are different standards involved?</w:t>
      </w:r>
    </w:p>
    <w:p w14:paraId="7E00098E" w14:textId="77777777" w:rsidR="009A58DB" w:rsidRDefault="00000000">
      <w:pPr>
        <w:pStyle w:val="BodyText"/>
        <w:spacing w:before="5" w:line="249" w:lineRule="auto"/>
        <w:ind w:left="720" w:right="3685"/>
      </w:pPr>
      <w:r>
        <w:t>What is the relationship between religion and morality? Can there be valid moral codes in a Godless world?</w:t>
      </w:r>
    </w:p>
    <w:p w14:paraId="7E00098F" w14:textId="77777777" w:rsidR="009A58DB" w:rsidRDefault="00000000">
      <w:pPr>
        <w:pStyle w:val="BodyText"/>
        <w:spacing w:before="4" w:line="249" w:lineRule="auto"/>
        <w:ind w:right="364" w:firstLine="360"/>
      </w:pPr>
      <w:r>
        <w:t>Can a genuinely religious person believe that God herself is bound by ethical principles? Or, in holding that God is so bound, is one undermining God’s authority and, therefore, abjuring a religious outlook?</w:t>
      </w:r>
    </w:p>
    <w:p w14:paraId="7E000990" w14:textId="77777777" w:rsidR="009A58DB" w:rsidRDefault="00000000">
      <w:pPr>
        <w:pStyle w:val="BodyText"/>
        <w:spacing w:before="3"/>
        <w:ind w:left="720"/>
      </w:pPr>
      <w:r>
        <w:t>Is</w:t>
      </w:r>
      <w:r>
        <w:rPr>
          <w:spacing w:val="-6"/>
        </w:rPr>
        <w:t xml:space="preserve"> </w:t>
      </w:r>
      <w:r>
        <w:t>acceptance</w:t>
      </w:r>
      <w:r>
        <w:rPr>
          <w:spacing w:val="-4"/>
        </w:rPr>
        <w:t xml:space="preserve"> </w:t>
      </w:r>
      <w:r>
        <w:t>of</w:t>
      </w:r>
      <w:r>
        <w:rPr>
          <w:spacing w:val="-3"/>
        </w:rPr>
        <w:t xml:space="preserve"> </w:t>
      </w:r>
      <w:r>
        <w:t>some</w:t>
      </w:r>
      <w:r>
        <w:rPr>
          <w:spacing w:val="-4"/>
        </w:rPr>
        <w:t xml:space="preserve"> </w:t>
      </w:r>
      <w:r>
        <w:t>kind</w:t>
      </w:r>
      <w:r>
        <w:rPr>
          <w:spacing w:val="-3"/>
        </w:rPr>
        <w:t xml:space="preserve"> </w:t>
      </w:r>
      <w:r>
        <w:t>of</w:t>
      </w:r>
      <w:r>
        <w:rPr>
          <w:spacing w:val="-3"/>
        </w:rPr>
        <w:t xml:space="preserve"> </w:t>
      </w:r>
      <w:r>
        <w:t>religion</w:t>
      </w:r>
      <w:r>
        <w:rPr>
          <w:spacing w:val="-3"/>
        </w:rPr>
        <w:t xml:space="preserve"> </w:t>
      </w:r>
      <w:r>
        <w:t>necessary</w:t>
      </w:r>
      <w:r>
        <w:rPr>
          <w:spacing w:val="-3"/>
        </w:rPr>
        <w:t xml:space="preserve"> </w:t>
      </w:r>
      <w:r>
        <w:t>for</w:t>
      </w:r>
      <w:r>
        <w:rPr>
          <w:spacing w:val="-3"/>
        </w:rPr>
        <w:t xml:space="preserve"> </w:t>
      </w:r>
      <w:r>
        <w:t>a</w:t>
      </w:r>
      <w:r>
        <w:rPr>
          <w:spacing w:val="-4"/>
        </w:rPr>
        <w:t xml:space="preserve"> </w:t>
      </w:r>
      <w:r>
        <w:t>meaningful</w:t>
      </w:r>
      <w:r>
        <w:rPr>
          <w:spacing w:val="-3"/>
        </w:rPr>
        <w:t xml:space="preserve"> </w:t>
      </w:r>
      <w:r>
        <w:rPr>
          <w:spacing w:val="-2"/>
        </w:rPr>
        <w:t>life?</w:t>
      </w:r>
    </w:p>
    <w:p w14:paraId="7E000991" w14:textId="77777777" w:rsidR="009A58DB" w:rsidRDefault="00000000">
      <w:pPr>
        <w:pStyle w:val="BodyText"/>
        <w:spacing w:before="15" w:line="249" w:lineRule="auto"/>
        <w:ind w:right="364" w:firstLine="360"/>
      </w:pPr>
      <w:r>
        <w:t>If there is an after-life of never-ending bliss, wouldn’t we get bored? Does fulfillment involve adversity? Isn’t struggle what gives life meaning?</w:t>
      </w:r>
    </w:p>
    <w:p w14:paraId="7E000992" w14:textId="77777777" w:rsidR="009A58DB" w:rsidRDefault="00000000">
      <w:pPr>
        <w:pStyle w:val="Heading1"/>
        <w:numPr>
          <w:ilvl w:val="1"/>
          <w:numId w:val="216"/>
        </w:numPr>
        <w:tabs>
          <w:tab w:val="left" w:pos="1257"/>
        </w:tabs>
        <w:spacing w:before="206" w:line="244" w:lineRule="auto"/>
        <w:ind w:left="360" w:right="371" w:firstLine="0"/>
      </w:pPr>
      <w:r>
        <w:t>Formal</w:t>
      </w:r>
      <w:r>
        <w:rPr>
          <w:spacing w:val="40"/>
        </w:rPr>
        <w:t xml:space="preserve"> </w:t>
      </w:r>
      <w:r>
        <w:t>logic</w:t>
      </w:r>
      <w:r>
        <w:rPr>
          <w:spacing w:val="40"/>
        </w:rPr>
        <w:t xml:space="preserve"> </w:t>
      </w:r>
      <w:r>
        <w:t>(a.k.a.</w:t>
      </w:r>
      <w:r>
        <w:rPr>
          <w:spacing w:val="40"/>
        </w:rPr>
        <w:t xml:space="preserve"> </w:t>
      </w:r>
      <w:r>
        <w:t>mathematical</w:t>
      </w:r>
      <w:r>
        <w:rPr>
          <w:spacing w:val="40"/>
        </w:rPr>
        <w:t xml:space="preserve"> </w:t>
      </w:r>
      <w:r>
        <w:t>logic,</w:t>
      </w:r>
      <w:r>
        <w:rPr>
          <w:spacing w:val="40"/>
        </w:rPr>
        <w:t xml:space="preserve"> </w:t>
      </w:r>
      <w:r>
        <w:t>a.k.a. symbolic logic)</w:t>
      </w:r>
    </w:p>
    <w:p w14:paraId="7E000993" w14:textId="77777777" w:rsidR="009A58DB" w:rsidRDefault="00000000">
      <w:pPr>
        <w:pStyle w:val="BodyText"/>
        <w:spacing w:before="132" w:line="249" w:lineRule="auto"/>
        <w:ind w:right="359" w:firstLine="360"/>
      </w:pPr>
      <w:r>
        <w:t xml:space="preserve">This discipline studies </w:t>
      </w:r>
      <w:r>
        <w:rPr>
          <w:b/>
        </w:rPr>
        <w:t xml:space="preserve">formal truth. </w:t>
      </w:r>
      <w:r>
        <w:t>The concept of “formal truth” is discussed in Chapter 7 and a precise definition of it is given in Chapter 18. But here’s the basic idea.</w:t>
      </w:r>
    </w:p>
    <w:p w14:paraId="7E000994" w14:textId="77777777" w:rsidR="009A58DB" w:rsidRDefault="00000000">
      <w:pPr>
        <w:pStyle w:val="BodyText"/>
        <w:spacing w:before="3"/>
        <w:ind w:left="720"/>
      </w:pPr>
      <w:r>
        <w:t>S</w:t>
      </w:r>
      <w:r>
        <w:rPr>
          <w:position w:val="-7"/>
          <w:sz w:val="22"/>
        </w:rPr>
        <w:t>2</w:t>
      </w:r>
      <w:r>
        <w:rPr>
          <w:spacing w:val="63"/>
          <w:position w:val="-7"/>
          <w:sz w:val="22"/>
        </w:rPr>
        <w:t xml:space="preserve"> </w:t>
      </w:r>
      <w:r>
        <w:t>formally</w:t>
      </w:r>
      <w:r>
        <w:rPr>
          <w:spacing w:val="44"/>
        </w:rPr>
        <w:t xml:space="preserve"> </w:t>
      </w:r>
      <w:r>
        <w:t>follows</w:t>
      </w:r>
      <w:r>
        <w:rPr>
          <w:spacing w:val="42"/>
        </w:rPr>
        <w:t xml:space="preserve"> </w:t>
      </w:r>
      <w:r>
        <w:t>from</w:t>
      </w:r>
      <w:r>
        <w:rPr>
          <w:spacing w:val="43"/>
        </w:rPr>
        <w:t xml:space="preserve"> </w:t>
      </w:r>
      <w:r>
        <w:t>S</w:t>
      </w:r>
      <w:r>
        <w:rPr>
          <w:position w:val="-7"/>
          <w:sz w:val="22"/>
        </w:rPr>
        <w:t>1</w:t>
      </w:r>
      <w:r>
        <w:rPr>
          <w:spacing w:val="63"/>
          <w:position w:val="-7"/>
          <w:sz w:val="22"/>
        </w:rPr>
        <w:t xml:space="preserve"> </w:t>
      </w:r>
      <w:r>
        <w:t>if</w:t>
      </w:r>
      <w:r>
        <w:rPr>
          <w:spacing w:val="43"/>
        </w:rPr>
        <w:t xml:space="preserve"> </w:t>
      </w:r>
      <w:r>
        <w:t>the</w:t>
      </w:r>
      <w:r>
        <w:rPr>
          <w:spacing w:val="42"/>
        </w:rPr>
        <w:t xml:space="preserve"> </w:t>
      </w:r>
      <w:r>
        <w:t>sentence</w:t>
      </w:r>
      <w:r>
        <w:rPr>
          <w:spacing w:val="43"/>
        </w:rPr>
        <w:t xml:space="preserve"> </w:t>
      </w:r>
      <w:r>
        <w:t>‹if</w:t>
      </w:r>
      <w:r>
        <w:rPr>
          <w:spacing w:val="42"/>
        </w:rPr>
        <w:t xml:space="preserve"> </w:t>
      </w:r>
      <w:r>
        <w:t>S</w:t>
      </w:r>
      <w:r>
        <w:rPr>
          <w:position w:val="-7"/>
          <w:sz w:val="22"/>
        </w:rPr>
        <w:t>1</w:t>
      </w:r>
      <w:r>
        <w:t>,</w:t>
      </w:r>
      <w:r>
        <w:rPr>
          <w:spacing w:val="44"/>
        </w:rPr>
        <w:t xml:space="preserve"> </w:t>
      </w:r>
      <w:r>
        <w:t>then</w:t>
      </w:r>
      <w:r>
        <w:rPr>
          <w:spacing w:val="43"/>
        </w:rPr>
        <w:t xml:space="preserve"> </w:t>
      </w:r>
      <w:r>
        <w:t>S</w:t>
      </w:r>
      <w:r>
        <w:rPr>
          <w:position w:val="-7"/>
          <w:sz w:val="22"/>
        </w:rPr>
        <w:t>2</w:t>
      </w:r>
      <w:r>
        <w:t>›</w:t>
      </w:r>
      <w:r>
        <w:rPr>
          <w:spacing w:val="51"/>
        </w:rPr>
        <w:t xml:space="preserve"> </w:t>
      </w:r>
      <w:r>
        <w:t>is</w:t>
      </w:r>
      <w:r>
        <w:rPr>
          <w:spacing w:val="50"/>
        </w:rPr>
        <w:t xml:space="preserve"> </w:t>
      </w:r>
      <w:r>
        <w:rPr>
          <w:spacing w:val="-2"/>
        </w:rPr>
        <w:t>formally</w:t>
      </w:r>
    </w:p>
    <w:p w14:paraId="7E000995" w14:textId="77777777" w:rsidR="009A58DB" w:rsidRDefault="009A58DB">
      <w:pPr>
        <w:pStyle w:val="BodyText"/>
        <w:sectPr w:rsidR="009A58DB">
          <w:pgSz w:w="12240" w:h="15840"/>
          <w:pgMar w:top="1380" w:right="1080" w:bottom="280" w:left="1080" w:header="720" w:footer="720" w:gutter="0"/>
          <w:cols w:space="720"/>
        </w:sectPr>
      </w:pPr>
    </w:p>
    <w:p w14:paraId="7E000996" w14:textId="77777777" w:rsidR="009A58DB" w:rsidRDefault="00000000">
      <w:pPr>
        <w:pStyle w:val="BodyText"/>
        <w:spacing w:before="71" w:line="252" w:lineRule="auto"/>
        <w:ind w:right="357"/>
      </w:pPr>
      <w:r>
        <w:lastRenderedPageBreak/>
        <w:t xml:space="preserve">true. A sentence is formally true if every sentence of the same </w:t>
      </w:r>
      <w:r>
        <w:rPr>
          <w:b/>
          <w:i/>
        </w:rPr>
        <w:t>form</w:t>
      </w:r>
      <w:r>
        <w:rPr>
          <w:b/>
          <w:i/>
          <w:spacing w:val="-3"/>
        </w:rPr>
        <w:t xml:space="preserve"> </w:t>
      </w:r>
      <w:r>
        <w:t xml:space="preserve">is true. A sentence has the same form as a given sentence if there is some </w:t>
      </w:r>
      <w:r>
        <w:rPr>
          <w:b/>
          <w:i/>
        </w:rPr>
        <w:t xml:space="preserve">open-sentence </w:t>
      </w:r>
      <w:r>
        <w:t xml:space="preserve">of which both sentences are instances. An open sentence is a sentence-like expression that contains a </w:t>
      </w:r>
      <w:r>
        <w:rPr>
          <w:b/>
          <w:i/>
        </w:rPr>
        <w:t xml:space="preserve">free variable </w:t>
      </w:r>
      <w:r>
        <w:t>and is thus neither true nor false. Synonyms of “open-sentence” are “statement-form” and “sentence-schema.</w:t>
      </w:r>
      <w:bookmarkStart w:id="105" w:name="_bookmark105"/>
      <w:bookmarkEnd w:id="105"/>
      <w:r>
        <w:t>”</w:t>
      </w:r>
      <w:r>
        <w:rPr>
          <w:color w:val="0562C1"/>
          <w:position w:val="10"/>
          <w:u w:val="single" w:color="0562C1"/>
        </w:rPr>
        <w:t>105</w:t>
      </w:r>
      <w:r>
        <w:rPr>
          <w:color w:val="0562C1"/>
          <w:position w:val="10"/>
        </w:rPr>
        <w:t xml:space="preserve"> </w:t>
      </w:r>
      <w:r>
        <w:t>An open-sentence is formed by taking an actual sentence and replacing one of the expressions in it with a variable. “Two is even” is an actual sentence. If the “two” is replaced with a variable, the result is ‹x is even›, which is an open sentence.</w:t>
      </w:r>
    </w:p>
    <w:p w14:paraId="7E000997" w14:textId="77777777" w:rsidR="009A58DB" w:rsidRDefault="00000000">
      <w:pPr>
        <w:pStyle w:val="BodyText"/>
        <w:spacing w:line="324" w:lineRule="exact"/>
        <w:ind w:left="720"/>
      </w:pPr>
      <w:r>
        <w:t>An</w:t>
      </w:r>
      <w:r>
        <w:rPr>
          <w:spacing w:val="12"/>
        </w:rPr>
        <w:t xml:space="preserve"> </w:t>
      </w:r>
      <w:r>
        <w:rPr>
          <w:b/>
          <w:i/>
        </w:rPr>
        <w:t>instance</w:t>
      </w:r>
      <w:r>
        <w:rPr>
          <w:b/>
          <w:i/>
          <w:spacing w:val="11"/>
        </w:rPr>
        <w:t xml:space="preserve"> </w:t>
      </w:r>
      <w:r>
        <w:t>of</w:t>
      </w:r>
      <w:r>
        <w:rPr>
          <w:spacing w:val="19"/>
        </w:rPr>
        <w:t xml:space="preserve"> </w:t>
      </w:r>
      <w:r>
        <w:t>a</w:t>
      </w:r>
      <w:r>
        <w:rPr>
          <w:spacing w:val="19"/>
        </w:rPr>
        <w:t xml:space="preserve"> </w:t>
      </w:r>
      <w:r>
        <w:t>sentence-form</w:t>
      </w:r>
      <w:r>
        <w:rPr>
          <w:spacing w:val="20"/>
        </w:rPr>
        <w:t xml:space="preserve"> </w:t>
      </w:r>
      <w:r>
        <w:t>is</w:t>
      </w:r>
      <w:r>
        <w:rPr>
          <w:spacing w:val="19"/>
        </w:rPr>
        <w:t xml:space="preserve"> </w:t>
      </w:r>
      <w:r>
        <w:t>what</w:t>
      </w:r>
      <w:r>
        <w:rPr>
          <w:spacing w:val="19"/>
        </w:rPr>
        <w:t xml:space="preserve"> </w:t>
      </w:r>
      <w:r>
        <w:t>results</w:t>
      </w:r>
      <w:r>
        <w:rPr>
          <w:spacing w:val="19"/>
        </w:rPr>
        <w:t xml:space="preserve"> </w:t>
      </w:r>
      <w:r>
        <w:t>when</w:t>
      </w:r>
      <w:r>
        <w:rPr>
          <w:spacing w:val="19"/>
        </w:rPr>
        <w:t xml:space="preserve"> </w:t>
      </w:r>
      <w:r>
        <w:t>the</w:t>
      </w:r>
      <w:r>
        <w:rPr>
          <w:spacing w:val="19"/>
        </w:rPr>
        <w:t xml:space="preserve"> </w:t>
      </w:r>
      <w:r>
        <w:t>variables</w:t>
      </w:r>
      <w:r>
        <w:rPr>
          <w:spacing w:val="19"/>
        </w:rPr>
        <w:t xml:space="preserve"> </w:t>
      </w:r>
      <w:r>
        <w:t>in</w:t>
      </w:r>
      <w:r>
        <w:rPr>
          <w:spacing w:val="20"/>
        </w:rPr>
        <w:t xml:space="preserve"> </w:t>
      </w:r>
      <w:r>
        <w:rPr>
          <w:spacing w:val="-4"/>
        </w:rPr>
        <w:t>that</w:t>
      </w:r>
    </w:p>
    <w:p w14:paraId="7E000998" w14:textId="77777777" w:rsidR="009A58DB" w:rsidRDefault="00000000">
      <w:pPr>
        <w:pStyle w:val="BodyText"/>
        <w:spacing w:before="15" w:line="249" w:lineRule="auto"/>
        <w:ind w:right="363"/>
      </w:pPr>
      <w:r>
        <w:t xml:space="preserve">sentence-form are replaced with constants. Thus, “two is even” and “five is even” are instances of ‹x is even.› To </w:t>
      </w:r>
      <w:r>
        <w:rPr>
          <w:b/>
          <w:i/>
        </w:rPr>
        <w:t>interpret</w:t>
      </w:r>
      <w:r>
        <w:rPr>
          <w:b/>
          <w:i/>
          <w:spacing w:val="-4"/>
        </w:rPr>
        <w:t xml:space="preserve"> </w:t>
      </w:r>
      <w:r>
        <w:t>an open-sentence is to replace the</w:t>
      </w:r>
      <w:r>
        <w:rPr>
          <w:spacing w:val="-2"/>
        </w:rPr>
        <w:t xml:space="preserve"> </w:t>
      </w:r>
      <w:r>
        <w:t>variables</w:t>
      </w:r>
      <w:r>
        <w:rPr>
          <w:spacing w:val="-2"/>
        </w:rPr>
        <w:t xml:space="preserve"> </w:t>
      </w:r>
      <w:r>
        <w:t>in</w:t>
      </w:r>
      <w:r>
        <w:rPr>
          <w:spacing w:val="-2"/>
        </w:rPr>
        <w:t xml:space="preserve"> </w:t>
      </w:r>
      <w:r>
        <w:t>it</w:t>
      </w:r>
      <w:r>
        <w:rPr>
          <w:spacing w:val="-2"/>
        </w:rPr>
        <w:t xml:space="preserve"> </w:t>
      </w:r>
      <w:r>
        <w:t>with</w:t>
      </w:r>
      <w:r>
        <w:rPr>
          <w:spacing w:val="-2"/>
        </w:rPr>
        <w:t xml:space="preserve"> </w:t>
      </w:r>
      <w:r>
        <w:t>constants,</w:t>
      </w:r>
      <w:r>
        <w:rPr>
          <w:spacing w:val="-2"/>
        </w:rPr>
        <w:t xml:space="preserve"> </w:t>
      </w:r>
      <w:r>
        <w:t>and</w:t>
      </w:r>
      <w:r>
        <w:rPr>
          <w:spacing w:val="-2"/>
        </w:rPr>
        <w:t xml:space="preserve"> </w:t>
      </w:r>
      <w:r>
        <w:t>an</w:t>
      </w:r>
      <w:r>
        <w:rPr>
          <w:spacing w:val="-2"/>
        </w:rPr>
        <w:t xml:space="preserve"> </w:t>
      </w:r>
      <w:r>
        <w:rPr>
          <w:b/>
          <w:i/>
        </w:rPr>
        <w:t>interpretation</w:t>
      </w:r>
      <w:r>
        <w:rPr>
          <w:b/>
          <w:i/>
          <w:spacing w:val="-4"/>
        </w:rPr>
        <w:t xml:space="preserve"> </w:t>
      </w:r>
      <w:r>
        <w:t>of</w:t>
      </w:r>
      <w:r>
        <w:rPr>
          <w:spacing w:val="-4"/>
        </w:rPr>
        <w:t xml:space="preserve"> </w:t>
      </w:r>
      <w:r>
        <w:t>an</w:t>
      </w:r>
      <w:r>
        <w:rPr>
          <w:spacing w:val="-3"/>
        </w:rPr>
        <w:t xml:space="preserve"> </w:t>
      </w:r>
      <w:r>
        <w:t>open-sentence</w:t>
      </w:r>
      <w:r>
        <w:rPr>
          <w:spacing w:val="-4"/>
        </w:rPr>
        <w:t xml:space="preserve"> </w:t>
      </w:r>
      <w:r>
        <w:t>is an assignment of constants to the variables in it. Consider the open-sentence</w:t>
      </w:r>
    </w:p>
    <w:p w14:paraId="7E000999" w14:textId="77777777" w:rsidR="009A58DB" w:rsidRDefault="00000000">
      <w:pPr>
        <w:pStyle w:val="BodyText"/>
        <w:spacing w:before="5" w:line="249" w:lineRule="auto"/>
        <w:ind w:right="358"/>
      </w:pPr>
      <w:r>
        <w:t>‹x has property phi.› An interpretation of that open-sentence is simply a proposal to the effect that the variables in it be replaced with constants. Thus, if I propose that the expressions “two” and “even” replace the first and</w:t>
      </w:r>
      <w:r>
        <w:rPr>
          <w:spacing w:val="40"/>
        </w:rPr>
        <w:t xml:space="preserve"> </w:t>
      </w:r>
      <w:r>
        <w:t>second variables in that open-sentence, I am proposing an interpretation of it. Since the corresponding sentence (“two is even”) is correct, that</w:t>
      </w:r>
      <w:r>
        <w:rPr>
          <w:spacing w:val="40"/>
        </w:rPr>
        <w:t xml:space="preserve"> </w:t>
      </w:r>
      <w:r>
        <w:t>interpretation</w:t>
      </w:r>
      <w:r>
        <w:rPr>
          <w:spacing w:val="-5"/>
        </w:rPr>
        <w:t xml:space="preserve"> </w:t>
      </w:r>
      <w:r>
        <w:rPr>
          <w:b/>
          <w:i/>
        </w:rPr>
        <w:t>validates</w:t>
      </w:r>
      <w:r>
        <w:rPr>
          <w:b/>
          <w:i/>
          <w:spacing w:val="-5"/>
        </w:rPr>
        <w:t xml:space="preserve"> </w:t>
      </w:r>
      <w:r>
        <w:t>that open-sentence. In general, an interpretation of an open-sentence validates it if the corresponding sentence is correct.</w:t>
      </w:r>
    </w:p>
    <w:p w14:paraId="7E00099A" w14:textId="77777777" w:rsidR="009A58DB" w:rsidRDefault="00000000">
      <w:pPr>
        <w:pStyle w:val="BodyText"/>
        <w:spacing w:before="9" w:line="249" w:lineRule="auto"/>
        <w:ind w:right="364" w:firstLine="360"/>
      </w:pPr>
      <w:r>
        <w:t>Not every interpretation of ‹x has property phi› validates it. For example, the interpretation of it that generates “two is odd” fails to do so.</w:t>
      </w:r>
    </w:p>
    <w:p w14:paraId="7E00099B" w14:textId="77777777" w:rsidR="009A58DB" w:rsidRDefault="00000000">
      <w:pPr>
        <w:pStyle w:val="BodyText"/>
        <w:spacing w:before="2" w:line="249" w:lineRule="auto"/>
        <w:ind w:right="360" w:firstLine="360"/>
      </w:pPr>
      <w:r>
        <w:t>If a given open-sentence is validated by every interpretation of it, then each instance of it is formally correct. This coincides with our earlier definition of “formally correct.” If every interpretation of a given open-sentence is correct, that open-sentence is said to be “true under all its interpretations.” It must be kept in mind that this is just a figure of speech, since open-sentences are not, in fact, true.</w:t>
      </w:r>
    </w:p>
    <w:p w14:paraId="7E00099C" w14:textId="77777777" w:rsidR="009A58DB" w:rsidRDefault="00000000">
      <w:pPr>
        <w:pStyle w:val="BodyText"/>
        <w:spacing w:before="7" w:line="249" w:lineRule="auto"/>
        <w:ind w:right="360" w:firstLine="360"/>
      </w:pPr>
      <w:r>
        <w:t>Statement-forms fall into three categories: (i) those whose instances are sometimes, but not always, correct (e.g., ‹x is even›); (ii) those whose instances</w:t>
      </w:r>
      <w:r>
        <w:rPr>
          <w:spacing w:val="-2"/>
        </w:rPr>
        <w:t xml:space="preserve"> </w:t>
      </w:r>
      <w:r>
        <w:t>are</w:t>
      </w:r>
      <w:r>
        <w:rPr>
          <w:spacing w:val="-1"/>
        </w:rPr>
        <w:t xml:space="preserve"> </w:t>
      </w:r>
      <w:r>
        <w:t>always</w:t>
      </w:r>
      <w:r>
        <w:rPr>
          <w:spacing w:val="-2"/>
        </w:rPr>
        <w:t xml:space="preserve"> </w:t>
      </w:r>
      <w:r>
        <w:t>false</w:t>
      </w:r>
      <w:r>
        <w:rPr>
          <w:spacing w:val="-1"/>
        </w:rPr>
        <w:t xml:space="preserve"> </w:t>
      </w:r>
      <w:r>
        <w:t>(e.g.,</w:t>
      </w:r>
      <w:r>
        <w:rPr>
          <w:spacing w:val="-2"/>
        </w:rPr>
        <w:t xml:space="preserve"> </w:t>
      </w:r>
      <w:r>
        <w:t>‹x</w:t>
      </w:r>
      <w:r>
        <w:rPr>
          <w:spacing w:val="-1"/>
        </w:rPr>
        <w:t xml:space="preserve"> </w:t>
      </w:r>
      <w:r>
        <w:t>is</w:t>
      </w:r>
      <w:r>
        <w:rPr>
          <w:spacing w:val="-2"/>
        </w:rPr>
        <w:t xml:space="preserve"> </w:t>
      </w:r>
      <w:r>
        <w:t>even</w:t>
      </w:r>
      <w:r>
        <w:rPr>
          <w:spacing w:val="-1"/>
        </w:rPr>
        <w:t xml:space="preserve"> </w:t>
      </w:r>
      <w:r>
        <w:t>but</w:t>
      </w:r>
      <w:r>
        <w:rPr>
          <w:spacing w:val="-2"/>
        </w:rPr>
        <w:t xml:space="preserve"> </w:t>
      </w:r>
      <w:r>
        <w:t>not</w:t>
      </w:r>
      <w:r>
        <w:rPr>
          <w:spacing w:val="-2"/>
        </w:rPr>
        <w:t xml:space="preserve"> </w:t>
      </w:r>
      <w:r>
        <w:t>divisible</w:t>
      </w:r>
      <w:r>
        <w:rPr>
          <w:spacing w:val="-2"/>
        </w:rPr>
        <w:t xml:space="preserve"> </w:t>
      </w:r>
      <w:r>
        <w:t>by</w:t>
      </w:r>
      <w:r>
        <w:rPr>
          <w:spacing w:val="-1"/>
        </w:rPr>
        <w:t xml:space="preserve"> </w:t>
      </w:r>
      <w:r>
        <w:t>two</w:t>
      </w:r>
      <w:r>
        <w:rPr>
          <w:spacing w:val="-2"/>
        </w:rPr>
        <w:t xml:space="preserve"> </w:t>
      </w:r>
      <w:r>
        <w:t>›):</w:t>
      </w:r>
      <w:r>
        <w:rPr>
          <w:spacing w:val="-2"/>
        </w:rPr>
        <w:t xml:space="preserve"> </w:t>
      </w:r>
      <w:r>
        <w:t>and</w:t>
      </w:r>
      <w:r>
        <w:rPr>
          <w:spacing w:val="-1"/>
        </w:rPr>
        <w:t xml:space="preserve"> </w:t>
      </w:r>
      <w:r>
        <w:t>(iii) those whose instances are always correct (e.g., ‹x is identical with x›. ) An open-sentence falls into (i), (ii), or (iii) depending on whether it is (i*) true under</w:t>
      </w:r>
      <w:r>
        <w:rPr>
          <w:spacing w:val="53"/>
        </w:rPr>
        <w:t xml:space="preserve"> </w:t>
      </w:r>
      <w:r>
        <w:t>some,</w:t>
      </w:r>
      <w:r>
        <w:rPr>
          <w:spacing w:val="53"/>
        </w:rPr>
        <w:t xml:space="preserve"> </w:t>
      </w:r>
      <w:r>
        <w:t>but</w:t>
      </w:r>
      <w:r>
        <w:rPr>
          <w:spacing w:val="53"/>
        </w:rPr>
        <w:t xml:space="preserve"> </w:t>
      </w:r>
      <w:r>
        <w:t>not</w:t>
      </w:r>
      <w:r>
        <w:rPr>
          <w:spacing w:val="53"/>
        </w:rPr>
        <w:t xml:space="preserve"> </w:t>
      </w:r>
      <w:r>
        <w:t>all,</w:t>
      </w:r>
      <w:r>
        <w:rPr>
          <w:spacing w:val="53"/>
        </w:rPr>
        <w:t xml:space="preserve"> </w:t>
      </w:r>
      <w:r>
        <w:t>of</w:t>
      </w:r>
      <w:r>
        <w:rPr>
          <w:spacing w:val="53"/>
        </w:rPr>
        <w:t xml:space="preserve"> </w:t>
      </w:r>
      <w:r>
        <w:t>its</w:t>
      </w:r>
      <w:r>
        <w:rPr>
          <w:spacing w:val="53"/>
        </w:rPr>
        <w:t xml:space="preserve"> </w:t>
      </w:r>
      <w:r>
        <w:t>interpretations;</w:t>
      </w:r>
      <w:r>
        <w:rPr>
          <w:spacing w:val="53"/>
        </w:rPr>
        <w:t xml:space="preserve"> </w:t>
      </w:r>
      <w:r>
        <w:t>(ii*)</w:t>
      </w:r>
      <w:r>
        <w:rPr>
          <w:spacing w:val="53"/>
        </w:rPr>
        <w:t xml:space="preserve"> </w:t>
      </w:r>
      <w:r>
        <w:t>true</w:t>
      </w:r>
      <w:r>
        <w:rPr>
          <w:spacing w:val="53"/>
        </w:rPr>
        <w:t xml:space="preserve"> </w:t>
      </w:r>
      <w:r>
        <w:t>under</w:t>
      </w:r>
      <w:r>
        <w:rPr>
          <w:spacing w:val="53"/>
        </w:rPr>
        <w:t xml:space="preserve"> </w:t>
      </w:r>
      <w:r>
        <w:t>none</w:t>
      </w:r>
      <w:r>
        <w:rPr>
          <w:spacing w:val="53"/>
        </w:rPr>
        <w:t xml:space="preserve"> </w:t>
      </w:r>
      <w:r>
        <w:t>of</w:t>
      </w:r>
      <w:r>
        <w:rPr>
          <w:spacing w:val="53"/>
        </w:rPr>
        <w:t xml:space="preserve"> </w:t>
      </w:r>
      <w:r>
        <w:rPr>
          <w:spacing w:val="-5"/>
        </w:rPr>
        <w:t>its</w:t>
      </w:r>
    </w:p>
    <w:p w14:paraId="7E00099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99E" w14:textId="77777777" w:rsidR="009A58DB" w:rsidRDefault="00000000">
      <w:pPr>
        <w:pStyle w:val="BodyText"/>
        <w:spacing w:before="65"/>
      </w:pPr>
      <w:r>
        <w:lastRenderedPageBreak/>
        <w:t>interpretations;</w:t>
      </w:r>
      <w:r>
        <w:rPr>
          <w:spacing w:val="-6"/>
        </w:rPr>
        <w:t xml:space="preserve"> </w:t>
      </w:r>
      <w:r>
        <w:t>or</w:t>
      </w:r>
      <w:r>
        <w:rPr>
          <w:spacing w:val="-4"/>
        </w:rPr>
        <w:t xml:space="preserve"> </w:t>
      </w:r>
      <w:r>
        <w:t>(iii*)</w:t>
      </w:r>
      <w:r>
        <w:rPr>
          <w:spacing w:val="-4"/>
        </w:rPr>
        <w:t xml:space="preserve"> </w:t>
      </w:r>
      <w:r>
        <w:t>true</w:t>
      </w:r>
      <w:r>
        <w:rPr>
          <w:spacing w:val="-3"/>
        </w:rPr>
        <w:t xml:space="preserve"> </w:t>
      </w:r>
      <w:r>
        <w:t>under</w:t>
      </w:r>
      <w:r>
        <w:rPr>
          <w:spacing w:val="-4"/>
        </w:rPr>
        <w:t xml:space="preserve"> </w:t>
      </w:r>
      <w:r>
        <w:t>all</w:t>
      </w:r>
      <w:r>
        <w:rPr>
          <w:spacing w:val="-4"/>
        </w:rPr>
        <w:t xml:space="preserve"> </w:t>
      </w:r>
      <w:r>
        <w:t>of</w:t>
      </w:r>
      <w:r>
        <w:rPr>
          <w:spacing w:val="-4"/>
        </w:rPr>
        <w:t xml:space="preserve"> </w:t>
      </w:r>
      <w:r>
        <w:t>its</w:t>
      </w:r>
      <w:r>
        <w:rPr>
          <w:spacing w:val="-3"/>
        </w:rPr>
        <w:t xml:space="preserve"> </w:t>
      </w:r>
      <w:r>
        <w:rPr>
          <w:spacing w:val="-2"/>
        </w:rPr>
        <w:t>interpretations.</w:t>
      </w:r>
    </w:p>
    <w:p w14:paraId="7E00099F" w14:textId="77777777" w:rsidR="009A58DB" w:rsidRDefault="00000000">
      <w:pPr>
        <w:pStyle w:val="BodyText"/>
        <w:spacing w:before="15" w:line="249" w:lineRule="auto"/>
        <w:ind w:right="358" w:firstLine="360"/>
      </w:pPr>
      <w:r>
        <w:t xml:space="preserve">Formal logic tries to </w:t>
      </w:r>
      <w:r>
        <w:rPr>
          <w:b/>
          <w:i/>
        </w:rPr>
        <w:t xml:space="preserve">formalize informal analytic truth, </w:t>
      </w:r>
      <w:r>
        <w:t>so far as that’s possible to do so, and to say when it isn’t possible, so far as it isn’t. An analytic truth is one whose negation is incoherent, and an analytic truth is informal if it has the same form as some false statement. Thus, “triangles have three sides” is analytic, since “triangles don’t have three sides is incoherent,” and it’s informal, since it has the same form as “squares have three sides.” To formalize an informal analytic truth T is to identify an open-sentence S such that every instance of S is true and such that one of S’s instances is equivalent with T.</w:t>
      </w:r>
    </w:p>
    <w:p w14:paraId="7E0009A0" w14:textId="77777777" w:rsidR="009A58DB" w:rsidRDefault="00000000">
      <w:pPr>
        <w:pStyle w:val="BodyText"/>
        <w:spacing w:before="11"/>
        <w:ind w:left="720"/>
      </w:pPr>
      <w:r>
        <w:t>Consider</w:t>
      </w:r>
      <w:r>
        <w:rPr>
          <w:spacing w:val="-4"/>
        </w:rPr>
        <w:t xml:space="preserve"> </w:t>
      </w:r>
      <w:r>
        <w:t>the</w:t>
      </w:r>
      <w:r>
        <w:rPr>
          <w:spacing w:val="-3"/>
        </w:rPr>
        <w:t xml:space="preserve"> </w:t>
      </w:r>
      <w:r>
        <w:rPr>
          <w:spacing w:val="-2"/>
        </w:rPr>
        <w:t>sentence:</w:t>
      </w:r>
    </w:p>
    <w:p w14:paraId="7E0009A1" w14:textId="77777777" w:rsidR="009A58DB" w:rsidRDefault="00000000">
      <w:pPr>
        <w:pStyle w:val="ListParagraph"/>
        <w:numPr>
          <w:ilvl w:val="0"/>
          <w:numId w:val="215"/>
        </w:numPr>
        <w:tabs>
          <w:tab w:val="left" w:pos="782"/>
        </w:tabs>
        <w:spacing w:before="255"/>
        <w:ind w:left="782" w:hanging="422"/>
        <w:rPr>
          <w:sz w:val="30"/>
        </w:rPr>
      </w:pPr>
      <w:r>
        <w:rPr>
          <w:sz w:val="30"/>
        </w:rPr>
        <w:t>Bill</w:t>
      </w:r>
      <w:r>
        <w:rPr>
          <w:spacing w:val="-6"/>
          <w:sz w:val="30"/>
        </w:rPr>
        <w:t xml:space="preserve"> </w:t>
      </w:r>
      <w:r>
        <w:rPr>
          <w:sz w:val="30"/>
        </w:rPr>
        <w:t>is</w:t>
      </w:r>
      <w:r>
        <w:rPr>
          <w:spacing w:val="-5"/>
          <w:sz w:val="30"/>
        </w:rPr>
        <w:t xml:space="preserve"> </w:t>
      </w:r>
      <w:r>
        <w:rPr>
          <w:sz w:val="30"/>
        </w:rPr>
        <w:t>self-</w:t>
      </w:r>
      <w:r>
        <w:rPr>
          <w:spacing w:val="-2"/>
          <w:sz w:val="30"/>
        </w:rPr>
        <w:t>identical.</w:t>
      </w:r>
    </w:p>
    <w:p w14:paraId="7E0009A2" w14:textId="77777777" w:rsidR="009A58DB" w:rsidRDefault="00000000">
      <w:pPr>
        <w:pStyle w:val="ListParagraph"/>
        <w:numPr>
          <w:ilvl w:val="0"/>
          <w:numId w:val="214"/>
        </w:numPr>
        <w:tabs>
          <w:tab w:val="left" w:pos="917"/>
          <w:tab w:val="left" w:pos="1324"/>
          <w:tab w:val="left" w:pos="1815"/>
          <w:tab w:val="left" w:pos="2971"/>
          <w:tab w:val="left" w:pos="3820"/>
          <w:tab w:val="left" w:pos="4644"/>
        </w:tabs>
        <w:spacing w:before="255" w:line="249" w:lineRule="auto"/>
        <w:ind w:right="5150" w:firstLine="0"/>
        <w:rPr>
          <w:sz w:val="30"/>
        </w:rPr>
      </w:pPr>
      <w:r>
        <w:rPr>
          <w:spacing w:val="-6"/>
          <w:sz w:val="30"/>
        </w:rPr>
        <w:t>is</w:t>
      </w:r>
      <w:r>
        <w:rPr>
          <w:sz w:val="30"/>
        </w:rPr>
        <w:tab/>
      </w:r>
      <w:r>
        <w:rPr>
          <w:spacing w:val="-6"/>
          <w:sz w:val="30"/>
        </w:rPr>
        <w:t>an</w:t>
      </w:r>
      <w:r>
        <w:rPr>
          <w:sz w:val="30"/>
        </w:rPr>
        <w:tab/>
      </w:r>
      <w:r>
        <w:rPr>
          <w:spacing w:val="-2"/>
          <w:sz w:val="30"/>
        </w:rPr>
        <w:t>analytic</w:t>
      </w:r>
      <w:r>
        <w:rPr>
          <w:sz w:val="30"/>
        </w:rPr>
        <w:tab/>
      </w:r>
      <w:r>
        <w:rPr>
          <w:spacing w:val="-2"/>
          <w:sz w:val="30"/>
        </w:rPr>
        <w:t>truth,</w:t>
      </w:r>
      <w:r>
        <w:rPr>
          <w:sz w:val="30"/>
        </w:rPr>
        <w:tab/>
      </w:r>
      <w:r>
        <w:rPr>
          <w:spacing w:val="-4"/>
          <w:sz w:val="30"/>
        </w:rPr>
        <w:t>since</w:t>
      </w:r>
      <w:r>
        <w:rPr>
          <w:sz w:val="30"/>
        </w:rPr>
        <w:tab/>
      </w:r>
      <w:r>
        <w:rPr>
          <w:spacing w:val="-4"/>
          <w:sz w:val="30"/>
        </w:rPr>
        <w:t xml:space="preserve">its </w:t>
      </w:r>
      <w:r>
        <w:rPr>
          <w:sz w:val="30"/>
        </w:rPr>
        <w:t>negation is</w:t>
      </w:r>
    </w:p>
    <w:p w14:paraId="7E0009A3" w14:textId="77777777" w:rsidR="009A58DB" w:rsidRDefault="00000000">
      <w:pPr>
        <w:pStyle w:val="ListParagraph"/>
        <w:numPr>
          <w:ilvl w:val="0"/>
          <w:numId w:val="214"/>
        </w:numPr>
        <w:tabs>
          <w:tab w:val="left" w:pos="830"/>
        </w:tabs>
        <w:spacing w:before="122" w:line="249" w:lineRule="auto"/>
        <w:ind w:right="5147" w:firstLine="0"/>
        <w:rPr>
          <w:sz w:val="30"/>
        </w:rPr>
      </w:pPr>
      <w:r>
        <w:rPr>
          <w:sz w:val="30"/>
        </w:rPr>
        <w:t>Bill</w:t>
      </w:r>
      <w:r>
        <w:rPr>
          <w:spacing w:val="38"/>
          <w:sz w:val="30"/>
        </w:rPr>
        <w:t xml:space="preserve"> </w:t>
      </w:r>
      <w:r>
        <w:rPr>
          <w:sz w:val="30"/>
        </w:rPr>
        <w:t>is</w:t>
      </w:r>
      <w:r>
        <w:rPr>
          <w:spacing w:val="39"/>
          <w:sz w:val="30"/>
        </w:rPr>
        <w:t xml:space="preserve"> </w:t>
      </w:r>
      <w:r>
        <w:rPr>
          <w:sz w:val="30"/>
        </w:rPr>
        <w:t>not</w:t>
      </w:r>
      <w:r>
        <w:rPr>
          <w:spacing w:val="38"/>
          <w:sz w:val="30"/>
        </w:rPr>
        <w:t xml:space="preserve"> </w:t>
      </w:r>
      <w:r>
        <w:rPr>
          <w:sz w:val="30"/>
        </w:rPr>
        <w:t>self-identical,which</w:t>
      </w:r>
      <w:r>
        <w:rPr>
          <w:spacing w:val="39"/>
          <w:sz w:val="30"/>
        </w:rPr>
        <w:t xml:space="preserve"> </w:t>
      </w:r>
      <w:r>
        <w:rPr>
          <w:sz w:val="30"/>
        </w:rPr>
        <w:t xml:space="preserve">is </w:t>
      </w:r>
      <w:r>
        <w:rPr>
          <w:spacing w:val="-2"/>
          <w:sz w:val="30"/>
        </w:rPr>
        <w:t>incoherent.</w:t>
      </w:r>
    </w:p>
    <w:p w14:paraId="7E0009A4" w14:textId="77777777" w:rsidR="009A58DB" w:rsidRDefault="00000000">
      <w:pPr>
        <w:pStyle w:val="BodyText"/>
        <w:spacing w:before="123"/>
        <w:jc w:val="left"/>
      </w:pPr>
      <w:r>
        <w:t>But</w:t>
      </w:r>
      <w:r>
        <w:rPr>
          <w:spacing w:val="-6"/>
        </w:rPr>
        <w:t xml:space="preserve"> </w:t>
      </w:r>
      <w:r>
        <w:t>(1)</w:t>
      </w:r>
      <w:r>
        <w:rPr>
          <w:spacing w:val="-4"/>
        </w:rPr>
        <w:t xml:space="preserve"> </w:t>
      </w:r>
      <w:r>
        <w:t>isn’t</w:t>
      </w:r>
      <w:r>
        <w:rPr>
          <w:spacing w:val="-3"/>
        </w:rPr>
        <w:t xml:space="preserve"> </w:t>
      </w:r>
      <w:r>
        <w:t>formally</w:t>
      </w:r>
      <w:r>
        <w:rPr>
          <w:spacing w:val="-3"/>
        </w:rPr>
        <w:t xml:space="preserve"> </w:t>
      </w:r>
      <w:r>
        <w:t>correct,</w:t>
      </w:r>
      <w:r>
        <w:rPr>
          <w:spacing w:val="-2"/>
        </w:rPr>
        <w:t xml:space="preserve"> </w:t>
      </w:r>
      <w:r>
        <w:t>since</w:t>
      </w:r>
      <w:r>
        <w:rPr>
          <w:spacing w:val="-4"/>
        </w:rPr>
        <w:t xml:space="preserve"> </w:t>
      </w:r>
      <w:r>
        <w:t>it</w:t>
      </w:r>
      <w:r>
        <w:rPr>
          <w:spacing w:val="-3"/>
        </w:rPr>
        <w:t xml:space="preserve"> </w:t>
      </w:r>
      <w:r>
        <w:t>has</w:t>
      </w:r>
      <w:r>
        <w:rPr>
          <w:spacing w:val="-4"/>
        </w:rPr>
        <w:t xml:space="preserve"> </w:t>
      </w:r>
      <w:r>
        <w:t>the</w:t>
      </w:r>
      <w:r>
        <w:rPr>
          <w:spacing w:val="-3"/>
        </w:rPr>
        <w:t xml:space="preserve"> </w:t>
      </w:r>
      <w:r>
        <w:t>same</w:t>
      </w:r>
      <w:r>
        <w:rPr>
          <w:spacing w:val="-4"/>
        </w:rPr>
        <w:t xml:space="preserve"> </w:t>
      </w:r>
      <w:r>
        <w:t>form</w:t>
      </w:r>
      <w:r>
        <w:rPr>
          <w:spacing w:val="-3"/>
        </w:rPr>
        <w:t xml:space="preserve"> </w:t>
      </w:r>
      <w:r>
        <w:rPr>
          <w:spacing w:val="-5"/>
        </w:rPr>
        <w:t>as:</w:t>
      </w:r>
    </w:p>
    <w:p w14:paraId="7E0009A5" w14:textId="77777777" w:rsidR="009A58DB" w:rsidRDefault="009A58DB">
      <w:pPr>
        <w:pStyle w:val="BodyText"/>
        <w:spacing w:before="150"/>
        <w:ind w:left="0"/>
        <w:jc w:val="left"/>
      </w:pPr>
    </w:p>
    <w:p w14:paraId="7E0009A6" w14:textId="77777777" w:rsidR="009A58DB" w:rsidRDefault="00000000">
      <w:pPr>
        <w:pStyle w:val="ListParagraph"/>
        <w:numPr>
          <w:ilvl w:val="0"/>
          <w:numId w:val="214"/>
        </w:numPr>
        <w:tabs>
          <w:tab w:val="left" w:pos="782"/>
        </w:tabs>
        <w:ind w:left="782" w:hanging="422"/>
        <w:rPr>
          <w:sz w:val="30"/>
        </w:rPr>
      </w:pPr>
      <w:r>
        <w:rPr>
          <w:sz w:val="30"/>
        </w:rPr>
        <w:t>Bill</w:t>
      </w:r>
      <w:r>
        <w:rPr>
          <w:spacing w:val="-3"/>
          <w:sz w:val="30"/>
        </w:rPr>
        <w:t xml:space="preserve"> </w:t>
      </w:r>
      <w:r>
        <w:rPr>
          <w:sz w:val="30"/>
        </w:rPr>
        <w:t>is</w:t>
      </w:r>
      <w:r>
        <w:rPr>
          <w:spacing w:val="-3"/>
          <w:sz w:val="30"/>
        </w:rPr>
        <w:t xml:space="preserve"> </w:t>
      </w:r>
      <w:r>
        <w:rPr>
          <w:spacing w:val="-2"/>
          <w:sz w:val="30"/>
        </w:rPr>
        <w:t>green,</w:t>
      </w:r>
    </w:p>
    <w:p w14:paraId="7E0009A7" w14:textId="77777777" w:rsidR="009A58DB" w:rsidRDefault="00000000">
      <w:pPr>
        <w:pStyle w:val="BodyText"/>
        <w:spacing w:before="135" w:line="249" w:lineRule="auto"/>
        <w:jc w:val="left"/>
      </w:pPr>
      <w:r>
        <w:t>which</w:t>
      </w:r>
      <w:r>
        <w:rPr>
          <w:spacing w:val="40"/>
        </w:rPr>
        <w:t xml:space="preserve"> </w:t>
      </w:r>
      <w:r>
        <w:t>is</w:t>
      </w:r>
      <w:r>
        <w:rPr>
          <w:spacing w:val="40"/>
        </w:rPr>
        <w:t xml:space="preserve"> </w:t>
      </w:r>
      <w:r>
        <w:t>false,</w:t>
      </w:r>
      <w:r>
        <w:rPr>
          <w:spacing w:val="40"/>
        </w:rPr>
        <w:t xml:space="preserve"> </w:t>
      </w:r>
      <w:r>
        <w:t>given</w:t>
      </w:r>
      <w:r>
        <w:rPr>
          <w:spacing w:val="40"/>
        </w:rPr>
        <w:t xml:space="preserve"> </w:t>
      </w:r>
      <w:r>
        <w:t>that</w:t>
      </w:r>
      <w:r>
        <w:rPr>
          <w:spacing w:val="40"/>
        </w:rPr>
        <w:t xml:space="preserve"> </w:t>
      </w:r>
      <w:r>
        <w:t>Bill</w:t>
      </w:r>
      <w:r>
        <w:rPr>
          <w:spacing w:val="40"/>
        </w:rPr>
        <w:t xml:space="preserve"> </w:t>
      </w:r>
      <w:r>
        <w:t>is</w:t>
      </w:r>
      <w:r>
        <w:rPr>
          <w:spacing w:val="40"/>
        </w:rPr>
        <w:t xml:space="preserve"> </w:t>
      </w:r>
      <w:r>
        <w:t>a</w:t>
      </w:r>
      <w:r>
        <w:rPr>
          <w:spacing w:val="40"/>
        </w:rPr>
        <w:t xml:space="preserve"> </w:t>
      </w:r>
      <w:r>
        <w:t>non-green</w:t>
      </w:r>
      <w:r>
        <w:rPr>
          <w:spacing w:val="40"/>
        </w:rPr>
        <w:t xml:space="preserve"> </w:t>
      </w:r>
      <w:r>
        <w:t>person.</w:t>
      </w:r>
      <w:r>
        <w:rPr>
          <w:spacing w:val="40"/>
        </w:rPr>
        <w:t xml:space="preserve"> </w:t>
      </w:r>
      <w:r>
        <w:t>(1)</w:t>
      </w:r>
      <w:r>
        <w:rPr>
          <w:spacing w:val="40"/>
        </w:rPr>
        <w:t xml:space="preserve"> </w:t>
      </w:r>
      <w:r>
        <w:t>and</w:t>
      </w:r>
      <w:r>
        <w:rPr>
          <w:spacing w:val="40"/>
        </w:rPr>
        <w:t xml:space="preserve"> </w:t>
      </w:r>
      <w:r>
        <w:t>(3)</w:t>
      </w:r>
      <w:r>
        <w:rPr>
          <w:spacing w:val="40"/>
        </w:rPr>
        <w:t xml:space="preserve"> </w:t>
      </w:r>
      <w:r>
        <w:t>are</w:t>
      </w:r>
      <w:r>
        <w:rPr>
          <w:spacing w:val="40"/>
        </w:rPr>
        <w:t xml:space="preserve"> </w:t>
      </w:r>
      <w:r>
        <w:t>both instances of the form sentence-form:</w:t>
      </w:r>
    </w:p>
    <w:p w14:paraId="7E0009A8" w14:textId="77777777" w:rsidR="009A58DB" w:rsidRDefault="00000000">
      <w:pPr>
        <w:pStyle w:val="ListParagraph"/>
        <w:numPr>
          <w:ilvl w:val="0"/>
          <w:numId w:val="214"/>
        </w:numPr>
        <w:tabs>
          <w:tab w:val="left" w:pos="782"/>
        </w:tabs>
        <w:spacing w:before="92"/>
        <w:ind w:left="782" w:hanging="422"/>
        <w:rPr>
          <w:sz w:val="30"/>
        </w:rPr>
      </w:pPr>
      <w:r>
        <w:rPr>
          <w:sz w:val="30"/>
        </w:rPr>
        <w:t>Bill</w:t>
      </w:r>
      <w:r>
        <w:rPr>
          <w:spacing w:val="-3"/>
          <w:sz w:val="30"/>
        </w:rPr>
        <w:t xml:space="preserve"> </w:t>
      </w:r>
      <w:r>
        <w:rPr>
          <w:sz w:val="30"/>
        </w:rPr>
        <w:t>has</w:t>
      </w:r>
      <w:r>
        <w:rPr>
          <w:spacing w:val="-3"/>
          <w:sz w:val="30"/>
        </w:rPr>
        <w:t xml:space="preserve"> </w:t>
      </w:r>
      <w:r>
        <w:rPr>
          <w:spacing w:val="-4"/>
          <w:sz w:val="30"/>
        </w:rPr>
        <w:t>phi,</w:t>
      </w:r>
    </w:p>
    <w:p w14:paraId="7E0009A9" w14:textId="77777777" w:rsidR="009A58DB" w:rsidRDefault="00000000">
      <w:pPr>
        <w:pStyle w:val="BodyText"/>
        <w:spacing w:before="135" w:line="249" w:lineRule="auto"/>
        <w:jc w:val="left"/>
      </w:pPr>
      <w:r>
        <w:t>Since</w:t>
      </w:r>
      <w:r>
        <w:rPr>
          <w:spacing w:val="34"/>
        </w:rPr>
        <w:t xml:space="preserve"> </w:t>
      </w:r>
      <w:r>
        <w:t>some</w:t>
      </w:r>
      <w:r>
        <w:rPr>
          <w:spacing w:val="34"/>
        </w:rPr>
        <w:t xml:space="preserve"> </w:t>
      </w:r>
      <w:r>
        <w:t>of</w:t>
      </w:r>
      <w:r>
        <w:rPr>
          <w:spacing w:val="34"/>
        </w:rPr>
        <w:t xml:space="preserve"> </w:t>
      </w:r>
      <w:r>
        <w:t>(4)’s</w:t>
      </w:r>
      <w:r>
        <w:rPr>
          <w:spacing w:val="34"/>
        </w:rPr>
        <w:t xml:space="preserve"> </w:t>
      </w:r>
      <w:r>
        <w:t>instances</w:t>
      </w:r>
      <w:r>
        <w:rPr>
          <w:spacing w:val="34"/>
        </w:rPr>
        <w:t xml:space="preserve"> </w:t>
      </w:r>
      <w:r>
        <w:t>are</w:t>
      </w:r>
      <w:r>
        <w:rPr>
          <w:spacing w:val="34"/>
        </w:rPr>
        <w:t xml:space="preserve"> </w:t>
      </w:r>
      <w:r>
        <w:t>false,</w:t>
      </w:r>
      <w:r>
        <w:rPr>
          <w:spacing w:val="34"/>
        </w:rPr>
        <w:t xml:space="preserve"> </w:t>
      </w:r>
      <w:r>
        <w:t>(1),</w:t>
      </w:r>
      <w:r>
        <w:rPr>
          <w:spacing w:val="34"/>
        </w:rPr>
        <w:t xml:space="preserve"> </w:t>
      </w:r>
      <w:r>
        <w:t>though</w:t>
      </w:r>
      <w:r>
        <w:rPr>
          <w:spacing w:val="34"/>
        </w:rPr>
        <w:t xml:space="preserve"> </w:t>
      </w:r>
      <w:r>
        <w:t>analytically</w:t>
      </w:r>
      <w:r>
        <w:rPr>
          <w:spacing w:val="34"/>
        </w:rPr>
        <w:t xml:space="preserve"> </w:t>
      </w:r>
      <w:r>
        <w:t>true,</w:t>
      </w:r>
      <w:r>
        <w:rPr>
          <w:spacing w:val="34"/>
        </w:rPr>
        <w:t xml:space="preserve"> </w:t>
      </w:r>
      <w:r>
        <w:t>is</w:t>
      </w:r>
      <w:r>
        <w:rPr>
          <w:spacing w:val="34"/>
        </w:rPr>
        <w:t xml:space="preserve"> </w:t>
      </w:r>
      <w:r>
        <w:t xml:space="preserve">not formally so. But (1) is </w:t>
      </w:r>
      <w:r>
        <w:rPr>
          <w:i/>
        </w:rPr>
        <w:t xml:space="preserve">equivalent </w:t>
      </w:r>
      <w:r>
        <w:t>with a formal truth, namely:</w:t>
      </w:r>
    </w:p>
    <w:p w14:paraId="7E0009AA" w14:textId="77777777" w:rsidR="009A58DB" w:rsidRDefault="00000000">
      <w:pPr>
        <w:pStyle w:val="ListParagraph"/>
        <w:numPr>
          <w:ilvl w:val="0"/>
          <w:numId w:val="214"/>
        </w:numPr>
        <w:tabs>
          <w:tab w:val="left" w:pos="906"/>
        </w:tabs>
        <w:spacing w:before="243" w:line="249" w:lineRule="auto"/>
        <w:ind w:right="6358" w:firstLine="0"/>
        <w:rPr>
          <w:sz w:val="30"/>
        </w:rPr>
      </w:pPr>
      <w:r>
        <w:rPr>
          <w:sz w:val="30"/>
        </w:rPr>
        <w:t>Bill</w:t>
      </w:r>
      <w:r>
        <w:rPr>
          <w:spacing w:val="80"/>
          <w:sz w:val="30"/>
        </w:rPr>
        <w:t xml:space="preserve"> </w:t>
      </w:r>
      <w:r>
        <w:rPr>
          <w:sz w:val="30"/>
        </w:rPr>
        <w:t>is</w:t>
      </w:r>
      <w:r>
        <w:rPr>
          <w:spacing w:val="80"/>
          <w:sz w:val="30"/>
        </w:rPr>
        <w:t xml:space="preserve"> </w:t>
      </w:r>
      <w:r>
        <w:rPr>
          <w:sz w:val="30"/>
        </w:rPr>
        <w:t>identical</w:t>
      </w:r>
      <w:r>
        <w:rPr>
          <w:spacing w:val="80"/>
          <w:sz w:val="30"/>
        </w:rPr>
        <w:t xml:space="preserve"> </w:t>
      </w:r>
      <w:r>
        <w:rPr>
          <w:sz w:val="30"/>
        </w:rPr>
        <w:t xml:space="preserve">with </w:t>
      </w:r>
      <w:r>
        <w:rPr>
          <w:spacing w:val="-2"/>
          <w:sz w:val="30"/>
        </w:rPr>
        <w:t>Bill.</w:t>
      </w:r>
    </w:p>
    <w:p w14:paraId="7E0009AB" w14:textId="77777777" w:rsidR="009A58DB" w:rsidRDefault="00000000">
      <w:pPr>
        <w:pStyle w:val="ListParagraph"/>
        <w:numPr>
          <w:ilvl w:val="0"/>
          <w:numId w:val="213"/>
        </w:numPr>
        <w:tabs>
          <w:tab w:val="left" w:pos="890"/>
        </w:tabs>
        <w:spacing w:before="122" w:line="249" w:lineRule="auto"/>
        <w:ind w:right="6371" w:firstLine="0"/>
        <w:rPr>
          <w:sz w:val="30"/>
        </w:rPr>
      </w:pPr>
      <w:r>
        <w:rPr>
          <w:sz w:val="30"/>
        </w:rPr>
        <w:t>is</w:t>
      </w:r>
      <w:r>
        <w:rPr>
          <w:spacing w:val="80"/>
          <w:sz w:val="30"/>
        </w:rPr>
        <w:t xml:space="preserve"> </w:t>
      </w:r>
      <w:r>
        <w:rPr>
          <w:sz w:val="30"/>
        </w:rPr>
        <w:t>an</w:t>
      </w:r>
      <w:r>
        <w:rPr>
          <w:spacing w:val="80"/>
          <w:sz w:val="30"/>
        </w:rPr>
        <w:t xml:space="preserve"> </w:t>
      </w:r>
      <w:r>
        <w:rPr>
          <w:sz w:val="30"/>
        </w:rPr>
        <w:t>instance</w:t>
      </w:r>
      <w:r>
        <w:rPr>
          <w:spacing w:val="80"/>
          <w:sz w:val="30"/>
        </w:rPr>
        <w:t xml:space="preserve"> </w:t>
      </w:r>
      <w:r>
        <w:rPr>
          <w:sz w:val="30"/>
        </w:rPr>
        <w:t>of</w:t>
      </w:r>
      <w:r>
        <w:rPr>
          <w:spacing w:val="80"/>
          <w:sz w:val="30"/>
        </w:rPr>
        <w:t xml:space="preserve"> </w:t>
      </w:r>
      <w:r>
        <w:rPr>
          <w:sz w:val="30"/>
        </w:rPr>
        <w:t xml:space="preserve">the </w:t>
      </w:r>
      <w:r>
        <w:rPr>
          <w:spacing w:val="-2"/>
          <w:sz w:val="30"/>
        </w:rPr>
        <w:t>form:</w:t>
      </w:r>
    </w:p>
    <w:p w14:paraId="7E0009AC" w14:textId="77777777" w:rsidR="009A58DB" w:rsidRDefault="00000000">
      <w:pPr>
        <w:pStyle w:val="ListParagraph"/>
        <w:numPr>
          <w:ilvl w:val="0"/>
          <w:numId w:val="213"/>
        </w:numPr>
        <w:tabs>
          <w:tab w:val="left" w:pos="782"/>
        </w:tabs>
        <w:spacing w:before="123"/>
        <w:ind w:left="782" w:hanging="422"/>
        <w:rPr>
          <w:sz w:val="30"/>
        </w:rPr>
      </w:pPr>
      <w:r>
        <w:rPr>
          <w:sz w:val="30"/>
        </w:rPr>
        <w:t>x</w:t>
      </w:r>
      <w:r>
        <w:rPr>
          <w:spacing w:val="-5"/>
          <w:sz w:val="30"/>
        </w:rPr>
        <w:t xml:space="preserve"> </w:t>
      </w:r>
      <w:r>
        <w:rPr>
          <w:sz w:val="30"/>
        </w:rPr>
        <w:t>is</w:t>
      </w:r>
      <w:r>
        <w:rPr>
          <w:spacing w:val="-3"/>
          <w:sz w:val="30"/>
        </w:rPr>
        <w:t xml:space="preserve"> </w:t>
      </w:r>
      <w:r>
        <w:rPr>
          <w:sz w:val="30"/>
        </w:rPr>
        <w:t>identical</w:t>
      </w:r>
      <w:r>
        <w:rPr>
          <w:spacing w:val="-4"/>
          <w:sz w:val="30"/>
        </w:rPr>
        <w:t xml:space="preserve"> </w:t>
      </w:r>
      <w:r>
        <w:rPr>
          <w:sz w:val="30"/>
        </w:rPr>
        <w:t>with</w:t>
      </w:r>
      <w:r>
        <w:rPr>
          <w:spacing w:val="-2"/>
          <w:sz w:val="30"/>
        </w:rPr>
        <w:t xml:space="preserve"> </w:t>
      </w:r>
      <w:r>
        <w:rPr>
          <w:spacing w:val="-5"/>
          <w:sz w:val="30"/>
        </w:rPr>
        <w:t>x.</w:t>
      </w:r>
    </w:p>
    <w:p w14:paraId="7E0009AD" w14:textId="77777777" w:rsidR="009A58DB" w:rsidRDefault="00000000">
      <w:pPr>
        <w:pStyle w:val="BodyText"/>
        <w:spacing w:before="135" w:line="249" w:lineRule="auto"/>
        <w:jc w:val="left"/>
      </w:pPr>
      <w:r>
        <w:t>The</w:t>
      </w:r>
      <w:r>
        <w:rPr>
          <w:spacing w:val="40"/>
        </w:rPr>
        <w:t xml:space="preserve"> </w:t>
      </w:r>
      <w:r>
        <w:t>reason</w:t>
      </w:r>
      <w:r>
        <w:rPr>
          <w:spacing w:val="40"/>
        </w:rPr>
        <w:t xml:space="preserve"> </w:t>
      </w:r>
      <w:r>
        <w:t>that</w:t>
      </w:r>
      <w:r>
        <w:rPr>
          <w:spacing w:val="40"/>
        </w:rPr>
        <w:t xml:space="preserve"> </w:t>
      </w:r>
      <w:r>
        <w:t>(5)</w:t>
      </w:r>
      <w:r>
        <w:rPr>
          <w:spacing w:val="40"/>
        </w:rPr>
        <w:t xml:space="preserve"> </w:t>
      </w:r>
      <w:r>
        <w:t>is</w:t>
      </w:r>
      <w:r>
        <w:rPr>
          <w:spacing w:val="40"/>
        </w:rPr>
        <w:t xml:space="preserve"> </w:t>
      </w:r>
      <w:r>
        <w:t>formally</w:t>
      </w:r>
      <w:r>
        <w:rPr>
          <w:spacing w:val="40"/>
        </w:rPr>
        <w:t xml:space="preserve"> </w:t>
      </w:r>
      <w:r>
        <w:t>true</w:t>
      </w:r>
      <w:r>
        <w:rPr>
          <w:spacing w:val="40"/>
        </w:rPr>
        <w:t xml:space="preserve"> </w:t>
      </w:r>
      <w:r>
        <w:t>is</w:t>
      </w:r>
      <w:r>
        <w:rPr>
          <w:spacing w:val="40"/>
        </w:rPr>
        <w:t xml:space="preserve"> </w:t>
      </w:r>
      <w:r>
        <w:t>that</w:t>
      </w:r>
      <w:r>
        <w:rPr>
          <w:spacing w:val="40"/>
        </w:rPr>
        <w:t xml:space="preserve"> </w:t>
      </w:r>
      <w:r>
        <w:t>it’s</w:t>
      </w:r>
      <w:r>
        <w:rPr>
          <w:spacing w:val="40"/>
        </w:rPr>
        <w:t xml:space="preserve"> </w:t>
      </w:r>
      <w:r>
        <w:t>an</w:t>
      </w:r>
      <w:r>
        <w:rPr>
          <w:spacing w:val="40"/>
        </w:rPr>
        <w:t xml:space="preserve"> </w:t>
      </w:r>
      <w:r>
        <w:t>instance</w:t>
      </w:r>
      <w:r>
        <w:rPr>
          <w:spacing w:val="40"/>
        </w:rPr>
        <w:t xml:space="preserve"> </w:t>
      </w:r>
      <w:r>
        <w:t>of</w:t>
      </w:r>
      <w:r>
        <w:rPr>
          <w:spacing w:val="40"/>
        </w:rPr>
        <w:t xml:space="preserve"> </w:t>
      </w:r>
      <w:r>
        <w:t>(6)</w:t>
      </w:r>
      <w:r>
        <w:rPr>
          <w:spacing w:val="40"/>
        </w:rPr>
        <w:t xml:space="preserve"> </w:t>
      </w:r>
      <w:r>
        <w:t>and</w:t>
      </w:r>
      <w:r>
        <w:rPr>
          <w:spacing w:val="40"/>
        </w:rPr>
        <w:t xml:space="preserve"> </w:t>
      </w:r>
      <w:r>
        <w:t>no instances</w:t>
      </w:r>
      <w:r>
        <w:rPr>
          <w:spacing w:val="17"/>
        </w:rPr>
        <w:t xml:space="preserve"> </w:t>
      </w:r>
      <w:r>
        <w:t>of</w:t>
      </w:r>
      <w:r>
        <w:rPr>
          <w:spacing w:val="18"/>
        </w:rPr>
        <w:t xml:space="preserve"> </w:t>
      </w:r>
      <w:r>
        <w:t>(6)</w:t>
      </w:r>
      <w:r>
        <w:rPr>
          <w:spacing w:val="18"/>
        </w:rPr>
        <w:t xml:space="preserve"> </w:t>
      </w:r>
      <w:r>
        <w:t>are</w:t>
      </w:r>
      <w:r>
        <w:rPr>
          <w:spacing w:val="17"/>
        </w:rPr>
        <w:t xml:space="preserve"> </w:t>
      </w:r>
      <w:r>
        <w:t>false.</w:t>
      </w:r>
      <w:r>
        <w:rPr>
          <w:spacing w:val="18"/>
        </w:rPr>
        <w:t xml:space="preserve"> </w:t>
      </w:r>
      <w:r>
        <w:t>We</w:t>
      </w:r>
      <w:r>
        <w:rPr>
          <w:spacing w:val="18"/>
        </w:rPr>
        <w:t xml:space="preserve"> </w:t>
      </w:r>
      <w:r>
        <w:t>just</w:t>
      </w:r>
      <w:r>
        <w:rPr>
          <w:spacing w:val="17"/>
        </w:rPr>
        <w:t xml:space="preserve"> </w:t>
      </w:r>
      <w:r>
        <w:t>formalized</w:t>
      </w:r>
      <w:r>
        <w:rPr>
          <w:spacing w:val="18"/>
        </w:rPr>
        <w:t xml:space="preserve"> </w:t>
      </w:r>
      <w:r>
        <w:t>an</w:t>
      </w:r>
      <w:r>
        <w:rPr>
          <w:spacing w:val="17"/>
        </w:rPr>
        <w:t xml:space="preserve"> </w:t>
      </w:r>
      <w:r>
        <w:t>informal</w:t>
      </w:r>
      <w:r>
        <w:rPr>
          <w:spacing w:val="18"/>
        </w:rPr>
        <w:t xml:space="preserve"> </w:t>
      </w:r>
      <w:r>
        <w:t>analytic</w:t>
      </w:r>
      <w:r>
        <w:rPr>
          <w:spacing w:val="18"/>
        </w:rPr>
        <w:t xml:space="preserve"> </w:t>
      </w:r>
      <w:r>
        <w:t>truth</w:t>
      </w:r>
      <w:r>
        <w:rPr>
          <w:spacing w:val="18"/>
        </w:rPr>
        <w:t xml:space="preserve"> </w:t>
      </w:r>
      <w:r>
        <w:rPr>
          <w:spacing w:val="-4"/>
        </w:rPr>
        <w:t>and,</w:t>
      </w:r>
    </w:p>
    <w:p w14:paraId="7E0009AE"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9AF" w14:textId="77777777" w:rsidR="009A58DB" w:rsidRDefault="00000000">
      <w:pPr>
        <w:pStyle w:val="BodyText"/>
        <w:spacing w:before="68" w:line="249" w:lineRule="auto"/>
        <w:ind w:right="366"/>
      </w:pPr>
      <w:r>
        <w:lastRenderedPageBreak/>
        <w:t>therefore, did on a very small scale what mathematical logicians do on a very big scale.</w:t>
      </w:r>
    </w:p>
    <w:p w14:paraId="7E0009B0" w14:textId="77777777" w:rsidR="009A58DB" w:rsidRDefault="00000000">
      <w:pPr>
        <w:pStyle w:val="BodyText"/>
        <w:spacing w:line="252" w:lineRule="auto"/>
        <w:ind w:right="359" w:firstLine="360"/>
      </w:pPr>
      <w:r>
        <w:t xml:space="preserve">What we believe to be </w:t>
      </w:r>
      <w:r>
        <w:rPr>
          <w:i/>
        </w:rPr>
        <w:t xml:space="preserve">bona fide </w:t>
      </w:r>
      <w:r>
        <w:t xml:space="preserve">statements sometimes turn out to be statement-forms; and statement-forms that we believe to have only true instances sometimes turn out to have false ones. </w:t>
      </w:r>
      <w:bookmarkStart w:id="106" w:name="_bookmark106"/>
      <w:bookmarkEnd w:id="106"/>
      <w:r>
        <w:rPr>
          <w:color w:val="0562C1"/>
          <w:position w:val="10"/>
          <w:u w:val="single" w:color="0562C1"/>
        </w:rPr>
        <w:t>106</w:t>
      </w:r>
      <w:r>
        <w:rPr>
          <w:color w:val="0562C1"/>
          <w:position w:val="10"/>
        </w:rPr>
        <w:t xml:space="preserve"> </w:t>
      </w:r>
      <w:r>
        <w:t>Both of these deeply important</w:t>
      </w:r>
      <w:r>
        <w:rPr>
          <w:spacing w:val="-3"/>
        </w:rPr>
        <w:t xml:space="preserve"> </w:t>
      </w:r>
      <w:r>
        <w:t>facts</w:t>
      </w:r>
      <w:r>
        <w:rPr>
          <w:spacing w:val="-3"/>
        </w:rPr>
        <w:t xml:space="preserve"> </w:t>
      </w:r>
      <w:r>
        <w:t>first</w:t>
      </w:r>
      <w:r>
        <w:rPr>
          <w:spacing w:val="-3"/>
        </w:rPr>
        <w:t xml:space="preserve"> </w:t>
      </w:r>
      <w:r>
        <w:t>became</w:t>
      </w:r>
      <w:r>
        <w:rPr>
          <w:spacing w:val="-3"/>
        </w:rPr>
        <w:t xml:space="preserve"> </w:t>
      </w:r>
      <w:r>
        <w:t>apparent</w:t>
      </w:r>
      <w:r>
        <w:rPr>
          <w:spacing w:val="-3"/>
        </w:rPr>
        <w:t xml:space="preserve"> </w:t>
      </w:r>
      <w:r>
        <w:t>when,</w:t>
      </w:r>
      <w:r>
        <w:rPr>
          <w:spacing w:val="-3"/>
        </w:rPr>
        <w:t xml:space="preserve"> </w:t>
      </w:r>
      <w:r>
        <w:t>in</w:t>
      </w:r>
      <w:r>
        <w:rPr>
          <w:spacing w:val="-3"/>
        </w:rPr>
        <w:t xml:space="preserve"> </w:t>
      </w:r>
      <w:r>
        <w:t>the</w:t>
      </w:r>
      <w:r>
        <w:rPr>
          <w:spacing w:val="-3"/>
        </w:rPr>
        <w:t xml:space="preserve"> </w:t>
      </w:r>
      <w:r>
        <w:t>middle</w:t>
      </w:r>
      <w:r>
        <w:rPr>
          <w:spacing w:val="-3"/>
        </w:rPr>
        <w:t xml:space="preserve"> </w:t>
      </w:r>
      <w:r>
        <w:t>of</w:t>
      </w:r>
      <w:r>
        <w:rPr>
          <w:spacing w:val="-3"/>
        </w:rPr>
        <w:t xml:space="preserve"> </w:t>
      </w:r>
      <w:r>
        <w:t>the</w:t>
      </w:r>
      <w:r>
        <w:rPr>
          <w:spacing w:val="-3"/>
        </w:rPr>
        <w:t xml:space="preserve"> </w:t>
      </w:r>
      <w:r>
        <w:t>19th</w:t>
      </w:r>
      <w:r>
        <w:rPr>
          <w:spacing w:val="-3"/>
        </w:rPr>
        <w:t xml:space="preserve"> </w:t>
      </w:r>
      <w:r>
        <w:t xml:space="preserve">century, Euclid’s </w:t>
      </w:r>
      <w:r>
        <w:rPr>
          <w:b/>
          <w:i/>
        </w:rPr>
        <w:t xml:space="preserve">axiomatization </w:t>
      </w:r>
      <w:r>
        <w:t>of geometry was re-examined. Euclid showed that a great many geometrical truths follow from a small set of assumptions. These assumptions were:</w:t>
      </w:r>
    </w:p>
    <w:p w14:paraId="7E0009B1" w14:textId="77777777" w:rsidR="009A58DB" w:rsidRDefault="009A58DB">
      <w:pPr>
        <w:pStyle w:val="BodyText"/>
        <w:spacing w:before="3"/>
        <w:ind w:left="0"/>
        <w:jc w:val="left"/>
      </w:pPr>
    </w:p>
    <w:p w14:paraId="7E0009B2" w14:textId="77777777" w:rsidR="009A58DB" w:rsidRDefault="00000000">
      <w:pPr>
        <w:pStyle w:val="ListParagraph"/>
        <w:numPr>
          <w:ilvl w:val="0"/>
          <w:numId w:val="212"/>
        </w:numPr>
        <w:tabs>
          <w:tab w:val="left" w:pos="834"/>
        </w:tabs>
        <w:spacing w:before="1" w:line="249" w:lineRule="auto"/>
        <w:ind w:right="3281" w:firstLine="0"/>
        <w:rPr>
          <w:sz w:val="30"/>
        </w:rPr>
      </w:pPr>
      <w:r>
        <w:rPr>
          <w:sz w:val="30"/>
        </w:rPr>
        <w:t>Any</w:t>
      </w:r>
      <w:r>
        <w:rPr>
          <w:spacing w:val="40"/>
          <w:sz w:val="30"/>
        </w:rPr>
        <w:t xml:space="preserve"> </w:t>
      </w:r>
      <w:r>
        <w:rPr>
          <w:sz w:val="30"/>
        </w:rPr>
        <w:t>two</w:t>
      </w:r>
      <w:r>
        <w:rPr>
          <w:spacing w:val="40"/>
          <w:sz w:val="30"/>
        </w:rPr>
        <w:t xml:space="preserve"> </w:t>
      </w:r>
      <w:r>
        <w:rPr>
          <w:sz w:val="30"/>
        </w:rPr>
        <w:t>points</w:t>
      </w:r>
      <w:r>
        <w:rPr>
          <w:spacing w:val="40"/>
          <w:sz w:val="30"/>
        </w:rPr>
        <w:t xml:space="preserve"> </w:t>
      </w:r>
      <w:r>
        <w:rPr>
          <w:sz w:val="30"/>
        </w:rPr>
        <w:t>can</w:t>
      </w:r>
      <w:r>
        <w:rPr>
          <w:spacing w:val="40"/>
          <w:sz w:val="30"/>
        </w:rPr>
        <w:t xml:space="preserve"> </w:t>
      </w:r>
      <w:r>
        <w:rPr>
          <w:sz w:val="30"/>
        </w:rPr>
        <w:t>be</w:t>
      </w:r>
      <w:r>
        <w:rPr>
          <w:spacing w:val="40"/>
          <w:sz w:val="30"/>
        </w:rPr>
        <w:t xml:space="preserve"> </w:t>
      </w:r>
      <w:r>
        <w:rPr>
          <w:sz w:val="30"/>
        </w:rPr>
        <w:t>connected</w:t>
      </w:r>
      <w:r>
        <w:rPr>
          <w:spacing w:val="40"/>
          <w:sz w:val="30"/>
        </w:rPr>
        <w:t xml:space="preserve"> </w:t>
      </w:r>
      <w:r>
        <w:rPr>
          <w:sz w:val="30"/>
        </w:rPr>
        <w:t>by</w:t>
      </w:r>
      <w:r>
        <w:rPr>
          <w:spacing w:val="40"/>
          <w:sz w:val="30"/>
        </w:rPr>
        <w:t xml:space="preserve"> </w:t>
      </w:r>
      <w:r>
        <w:rPr>
          <w:sz w:val="30"/>
        </w:rPr>
        <w:t>a</w:t>
      </w:r>
      <w:r>
        <w:rPr>
          <w:spacing w:val="40"/>
          <w:sz w:val="30"/>
        </w:rPr>
        <w:t xml:space="preserve"> </w:t>
      </w:r>
      <w:r>
        <w:rPr>
          <w:sz w:val="30"/>
        </w:rPr>
        <w:t xml:space="preserve">straight </w:t>
      </w:r>
      <w:r>
        <w:rPr>
          <w:spacing w:val="-2"/>
          <w:sz w:val="30"/>
        </w:rPr>
        <w:t>line-segment.</w:t>
      </w:r>
    </w:p>
    <w:p w14:paraId="7E0009B3" w14:textId="77777777" w:rsidR="009A58DB" w:rsidRDefault="00000000">
      <w:pPr>
        <w:pStyle w:val="ListParagraph"/>
        <w:numPr>
          <w:ilvl w:val="0"/>
          <w:numId w:val="212"/>
        </w:numPr>
        <w:tabs>
          <w:tab w:val="left" w:pos="782"/>
        </w:tabs>
        <w:spacing w:before="2"/>
        <w:ind w:left="782" w:hanging="422"/>
        <w:rPr>
          <w:sz w:val="30"/>
        </w:rPr>
      </w:pPr>
      <w:r>
        <w:rPr>
          <w:sz w:val="30"/>
        </w:rPr>
        <w:t>Any</w:t>
      </w:r>
      <w:r>
        <w:rPr>
          <w:spacing w:val="-3"/>
          <w:sz w:val="30"/>
        </w:rPr>
        <w:t xml:space="preserve"> </w:t>
      </w:r>
      <w:r>
        <w:rPr>
          <w:sz w:val="30"/>
        </w:rPr>
        <w:t>line-segment</w:t>
      </w:r>
      <w:r>
        <w:rPr>
          <w:spacing w:val="-3"/>
          <w:sz w:val="30"/>
        </w:rPr>
        <w:t xml:space="preserve"> </w:t>
      </w:r>
      <w:r>
        <w:rPr>
          <w:sz w:val="30"/>
        </w:rPr>
        <w:t>is</w:t>
      </w:r>
      <w:r>
        <w:rPr>
          <w:spacing w:val="-3"/>
          <w:sz w:val="30"/>
        </w:rPr>
        <w:t xml:space="preserve"> </w:t>
      </w:r>
      <w:r>
        <w:rPr>
          <w:sz w:val="30"/>
        </w:rPr>
        <w:t>a</w:t>
      </w:r>
      <w:r>
        <w:rPr>
          <w:spacing w:val="-3"/>
          <w:sz w:val="30"/>
        </w:rPr>
        <w:t xml:space="preserve"> </w:t>
      </w:r>
      <w:r>
        <w:rPr>
          <w:sz w:val="30"/>
        </w:rPr>
        <w:t>part</w:t>
      </w:r>
      <w:r>
        <w:rPr>
          <w:spacing w:val="-2"/>
          <w:sz w:val="30"/>
        </w:rPr>
        <w:t xml:space="preserve"> </w:t>
      </w:r>
      <w:r>
        <w:rPr>
          <w:sz w:val="30"/>
        </w:rPr>
        <w:t>of</w:t>
      </w:r>
      <w:r>
        <w:rPr>
          <w:spacing w:val="-3"/>
          <w:sz w:val="30"/>
        </w:rPr>
        <w:t xml:space="preserve"> </w:t>
      </w:r>
      <w:r>
        <w:rPr>
          <w:sz w:val="30"/>
        </w:rPr>
        <w:t>some</w:t>
      </w:r>
      <w:r>
        <w:rPr>
          <w:spacing w:val="-3"/>
          <w:sz w:val="30"/>
        </w:rPr>
        <w:t xml:space="preserve"> </w:t>
      </w:r>
      <w:r>
        <w:rPr>
          <w:spacing w:val="-4"/>
          <w:sz w:val="30"/>
        </w:rPr>
        <w:t>line.</w:t>
      </w:r>
    </w:p>
    <w:p w14:paraId="7E0009B4" w14:textId="77777777" w:rsidR="009A58DB" w:rsidRDefault="00000000">
      <w:pPr>
        <w:pStyle w:val="ListParagraph"/>
        <w:numPr>
          <w:ilvl w:val="0"/>
          <w:numId w:val="212"/>
        </w:numPr>
        <w:tabs>
          <w:tab w:val="left" w:pos="784"/>
        </w:tabs>
        <w:spacing w:before="15" w:line="249" w:lineRule="auto"/>
        <w:ind w:right="367" w:firstLine="0"/>
        <w:rPr>
          <w:sz w:val="30"/>
        </w:rPr>
      </w:pPr>
      <w:r>
        <w:rPr>
          <w:sz w:val="30"/>
        </w:rPr>
        <w:t>Given</w:t>
      </w:r>
      <w:r>
        <w:rPr>
          <w:spacing w:val="-3"/>
          <w:sz w:val="30"/>
        </w:rPr>
        <w:t xml:space="preserve"> </w:t>
      </w:r>
      <w:r>
        <w:rPr>
          <w:sz w:val="30"/>
        </w:rPr>
        <w:t>any</w:t>
      </w:r>
      <w:r>
        <w:rPr>
          <w:spacing w:val="-3"/>
          <w:sz w:val="30"/>
        </w:rPr>
        <w:t xml:space="preserve"> </w:t>
      </w:r>
      <w:r>
        <w:rPr>
          <w:sz w:val="30"/>
        </w:rPr>
        <w:t>point</w:t>
      </w:r>
      <w:r>
        <w:rPr>
          <w:spacing w:val="-3"/>
          <w:sz w:val="30"/>
        </w:rPr>
        <w:t xml:space="preserve"> </w:t>
      </w:r>
      <w:r>
        <w:rPr>
          <w:sz w:val="30"/>
        </w:rPr>
        <w:t>and</w:t>
      </w:r>
      <w:r>
        <w:rPr>
          <w:spacing w:val="-3"/>
          <w:sz w:val="30"/>
        </w:rPr>
        <w:t xml:space="preserve"> </w:t>
      </w:r>
      <w:r>
        <w:rPr>
          <w:sz w:val="30"/>
        </w:rPr>
        <w:t>given</w:t>
      </w:r>
      <w:r>
        <w:rPr>
          <w:spacing w:val="-3"/>
          <w:sz w:val="30"/>
        </w:rPr>
        <w:t xml:space="preserve"> </w:t>
      </w:r>
      <w:r>
        <w:rPr>
          <w:sz w:val="30"/>
        </w:rPr>
        <w:t>any</w:t>
      </w:r>
      <w:r>
        <w:rPr>
          <w:spacing w:val="-3"/>
          <w:sz w:val="30"/>
        </w:rPr>
        <w:t xml:space="preserve"> </w:t>
      </w:r>
      <w:r>
        <w:rPr>
          <w:sz w:val="30"/>
        </w:rPr>
        <w:t>line-segment</w:t>
      </w:r>
      <w:r>
        <w:rPr>
          <w:spacing w:val="-3"/>
          <w:sz w:val="30"/>
        </w:rPr>
        <w:t xml:space="preserve"> </w:t>
      </w:r>
      <w:r>
        <w:rPr>
          <w:sz w:val="30"/>
        </w:rPr>
        <w:t>starting</w:t>
      </w:r>
      <w:r>
        <w:rPr>
          <w:spacing w:val="-3"/>
          <w:sz w:val="30"/>
        </w:rPr>
        <w:t xml:space="preserve"> </w:t>
      </w:r>
      <w:r>
        <w:rPr>
          <w:sz w:val="30"/>
        </w:rPr>
        <w:t>from</w:t>
      </w:r>
      <w:r>
        <w:rPr>
          <w:spacing w:val="-3"/>
          <w:sz w:val="30"/>
        </w:rPr>
        <w:t xml:space="preserve"> </w:t>
      </w:r>
      <w:r>
        <w:rPr>
          <w:sz w:val="30"/>
        </w:rPr>
        <w:t>that</w:t>
      </w:r>
      <w:r>
        <w:rPr>
          <w:spacing w:val="-3"/>
          <w:sz w:val="30"/>
        </w:rPr>
        <w:t xml:space="preserve"> </w:t>
      </w:r>
      <w:r>
        <w:rPr>
          <w:sz w:val="30"/>
        </w:rPr>
        <w:t>point,</w:t>
      </w:r>
      <w:r>
        <w:rPr>
          <w:spacing w:val="-3"/>
          <w:sz w:val="30"/>
        </w:rPr>
        <w:t xml:space="preserve"> </w:t>
      </w:r>
      <w:r>
        <w:rPr>
          <w:sz w:val="30"/>
        </w:rPr>
        <w:t>there is a circle whose radius is the length of that line-segment.</w:t>
      </w:r>
    </w:p>
    <w:p w14:paraId="7E0009B5" w14:textId="77777777" w:rsidR="009A58DB" w:rsidRDefault="00000000">
      <w:pPr>
        <w:pStyle w:val="ListParagraph"/>
        <w:numPr>
          <w:ilvl w:val="0"/>
          <w:numId w:val="212"/>
        </w:numPr>
        <w:tabs>
          <w:tab w:val="left" w:pos="782"/>
        </w:tabs>
        <w:spacing w:before="3"/>
        <w:ind w:left="782" w:hanging="422"/>
        <w:rPr>
          <w:sz w:val="30"/>
        </w:rPr>
      </w:pPr>
      <w:r>
        <w:rPr>
          <w:sz w:val="30"/>
        </w:rPr>
        <w:t>All</w:t>
      </w:r>
      <w:r>
        <w:rPr>
          <w:spacing w:val="-4"/>
          <w:sz w:val="30"/>
        </w:rPr>
        <w:t xml:space="preserve"> </w:t>
      </w:r>
      <w:r>
        <w:rPr>
          <w:sz w:val="30"/>
        </w:rPr>
        <w:t>right-angles</w:t>
      </w:r>
      <w:r>
        <w:rPr>
          <w:spacing w:val="-4"/>
          <w:sz w:val="30"/>
        </w:rPr>
        <w:t xml:space="preserve"> </w:t>
      </w:r>
      <w:r>
        <w:rPr>
          <w:sz w:val="30"/>
        </w:rPr>
        <w:t>are</w:t>
      </w:r>
      <w:r>
        <w:rPr>
          <w:spacing w:val="-4"/>
          <w:sz w:val="30"/>
        </w:rPr>
        <w:t xml:space="preserve"> </w:t>
      </w:r>
      <w:r>
        <w:rPr>
          <w:sz w:val="30"/>
        </w:rPr>
        <w:t>equal</w:t>
      </w:r>
      <w:r>
        <w:rPr>
          <w:spacing w:val="-4"/>
          <w:sz w:val="30"/>
        </w:rPr>
        <w:t xml:space="preserve"> </w:t>
      </w:r>
      <w:r>
        <w:rPr>
          <w:sz w:val="30"/>
        </w:rPr>
        <w:t>to</w:t>
      </w:r>
      <w:r>
        <w:rPr>
          <w:spacing w:val="-3"/>
          <w:sz w:val="30"/>
        </w:rPr>
        <w:t xml:space="preserve"> </w:t>
      </w:r>
      <w:r>
        <w:rPr>
          <w:sz w:val="30"/>
        </w:rPr>
        <w:t>each</w:t>
      </w:r>
      <w:r>
        <w:rPr>
          <w:spacing w:val="-2"/>
          <w:sz w:val="30"/>
        </w:rPr>
        <w:t xml:space="preserve"> other.</w:t>
      </w:r>
    </w:p>
    <w:p w14:paraId="7E0009B6" w14:textId="77777777" w:rsidR="009A58DB" w:rsidRDefault="00000000">
      <w:pPr>
        <w:pStyle w:val="ListParagraph"/>
        <w:numPr>
          <w:ilvl w:val="0"/>
          <w:numId w:val="212"/>
        </w:numPr>
        <w:tabs>
          <w:tab w:val="left" w:pos="801"/>
        </w:tabs>
        <w:spacing w:before="15" w:line="292" w:lineRule="auto"/>
        <w:ind w:right="366" w:firstLine="0"/>
        <w:rPr>
          <w:sz w:val="30"/>
        </w:rPr>
      </w:pPr>
      <w:r>
        <w:rPr>
          <w:sz w:val="30"/>
        </w:rPr>
        <w:t>Given a line L</w:t>
      </w:r>
      <w:r>
        <w:rPr>
          <w:sz w:val="30"/>
          <w:vertAlign w:val="subscript"/>
        </w:rPr>
        <w:t>1</w:t>
      </w:r>
      <w:r>
        <w:rPr>
          <w:spacing w:val="20"/>
          <w:sz w:val="30"/>
        </w:rPr>
        <w:t xml:space="preserve"> </w:t>
      </w:r>
      <w:r>
        <w:rPr>
          <w:sz w:val="30"/>
        </w:rPr>
        <w:t>and</w:t>
      </w:r>
      <w:r>
        <w:rPr>
          <w:spacing w:val="20"/>
          <w:sz w:val="30"/>
        </w:rPr>
        <w:t xml:space="preserve"> </w:t>
      </w:r>
      <w:r>
        <w:rPr>
          <w:sz w:val="30"/>
        </w:rPr>
        <w:t>a</w:t>
      </w:r>
      <w:r>
        <w:rPr>
          <w:spacing w:val="20"/>
          <w:sz w:val="30"/>
        </w:rPr>
        <w:t xml:space="preserve"> </w:t>
      </w:r>
      <w:r>
        <w:rPr>
          <w:sz w:val="30"/>
        </w:rPr>
        <w:t>point</w:t>
      </w:r>
      <w:r>
        <w:rPr>
          <w:spacing w:val="20"/>
          <w:sz w:val="30"/>
        </w:rPr>
        <w:t xml:space="preserve"> </w:t>
      </w:r>
      <w:r>
        <w:rPr>
          <w:sz w:val="30"/>
        </w:rPr>
        <w:t>P</w:t>
      </w:r>
      <w:r>
        <w:rPr>
          <w:spacing w:val="20"/>
          <w:sz w:val="30"/>
        </w:rPr>
        <w:t xml:space="preserve"> </w:t>
      </w:r>
      <w:r>
        <w:rPr>
          <w:sz w:val="30"/>
        </w:rPr>
        <w:t>not</w:t>
      </w:r>
      <w:r>
        <w:rPr>
          <w:spacing w:val="20"/>
          <w:sz w:val="30"/>
        </w:rPr>
        <w:t xml:space="preserve"> </w:t>
      </w:r>
      <w:r>
        <w:rPr>
          <w:sz w:val="30"/>
        </w:rPr>
        <w:t>on</w:t>
      </w:r>
      <w:r>
        <w:rPr>
          <w:spacing w:val="20"/>
          <w:sz w:val="30"/>
        </w:rPr>
        <w:t xml:space="preserve"> </w:t>
      </w:r>
      <w:r>
        <w:rPr>
          <w:sz w:val="30"/>
        </w:rPr>
        <w:t>L</w:t>
      </w:r>
      <w:r>
        <w:rPr>
          <w:sz w:val="30"/>
          <w:vertAlign w:val="subscript"/>
        </w:rPr>
        <w:t>1</w:t>
      </w:r>
      <w:r>
        <w:rPr>
          <w:sz w:val="30"/>
        </w:rPr>
        <w:t>,</w:t>
      </w:r>
      <w:r>
        <w:rPr>
          <w:spacing w:val="20"/>
          <w:sz w:val="30"/>
        </w:rPr>
        <w:t xml:space="preserve"> </w:t>
      </w:r>
      <w:r>
        <w:rPr>
          <w:sz w:val="30"/>
        </w:rPr>
        <w:t>there</w:t>
      </w:r>
      <w:r>
        <w:rPr>
          <w:spacing w:val="20"/>
          <w:sz w:val="30"/>
        </w:rPr>
        <w:t xml:space="preserve"> </w:t>
      </w:r>
      <w:r>
        <w:rPr>
          <w:sz w:val="30"/>
        </w:rPr>
        <w:t>is</w:t>
      </w:r>
      <w:r>
        <w:rPr>
          <w:spacing w:val="21"/>
          <w:sz w:val="30"/>
        </w:rPr>
        <w:t xml:space="preserve"> </w:t>
      </w:r>
      <w:r>
        <w:rPr>
          <w:sz w:val="30"/>
        </w:rPr>
        <w:t>exactly</w:t>
      </w:r>
      <w:r>
        <w:rPr>
          <w:spacing w:val="20"/>
          <w:sz w:val="30"/>
        </w:rPr>
        <w:t xml:space="preserve"> </w:t>
      </w:r>
      <w:r>
        <w:rPr>
          <w:sz w:val="30"/>
        </w:rPr>
        <w:t>one</w:t>
      </w:r>
      <w:r>
        <w:rPr>
          <w:spacing w:val="20"/>
          <w:sz w:val="30"/>
        </w:rPr>
        <w:t xml:space="preserve"> </w:t>
      </w:r>
      <w:r>
        <w:rPr>
          <w:sz w:val="30"/>
        </w:rPr>
        <w:t>line</w:t>
      </w:r>
      <w:r>
        <w:rPr>
          <w:spacing w:val="20"/>
          <w:sz w:val="30"/>
        </w:rPr>
        <w:t xml:space="preserve"> </w:t>
      </w:r>
      <w:r>
        <w:rPr>
          <w:sz w:val="30"/>
        </w:rPr>
        <w:t>L</w:t>
      </w:r>
      <w:r>
        <w:rPr>
          <w:sz w:val="30"/>
          <w:vertAlign w:val="subscript"/>
        </w:rPr>
        <w:t>2</w:t>
      </w:r>
      <w:r>
        <w:rPr>
          <w:sz w:val="30"/>
        </w:rPr>
        <w:t xml:space="preserve"> that passes through P and doesn’t intersect with L</w:t>
      </w:r>
      <w:r>
        <w:rPr>
          <w:sz w:val="30"/>
          <w:vertAlign w:val="subscript"/>
        </w:rPr>
        <w:t>1</w:t>
      </w:r>
    </w:p>
    <w:p w14:paraId="7E0009B7" w14:textId="77777777" w:rsidR="009A58DB" w:rsidRDefault="009A58DB">
      <w:pPr>
        <w:pStyle w:val="BodyText"/>
        <w:spacing w:before="13"/>
        <w:ind w:left="0"/>
        <w:jc w:val="left"/>
      </w:pPr>
    </w:p>
    <w:p w14:paraId="7E0009B8" w14:textId="77777777" w:rsidR="009A58DB" w:rsidRDefault="00000000">
      <w:pPr>
        <w:pStyle w:val="BodyText"/>
        <w:ind w:left="720"/>
      </w:pPr>
      <w:r>
        <w:t>(5)</w:t>
      </w:r>
      <w:r>
        <w:rPr>
          <w:spacing w:val="-5"/>
        </w:rPr>
        <w:t xml:space="preserve"> </w:t>
      </w:r>
      <w:r>
        <w:t>is</w:t>
      </w:r>
      <w:r>
        <w:rPr>
          <w:spacing w:val="-3"/>
        </w:rPr>
        <w:t xml:space="preserve"> </w:t>
      </w:r>
      <w:r>
        <w:t>known</w:t>
      </w:r>
      <w:r>
        <w:rPr>
          <w:spacing w:val="-3"/>
        </w:rPr>
        <w:t xml:space="preserve"> </w:t>
      </w:r>
      <w:r>
        <w:t>as</w:t>
      </w:r>
      <w:r>
        <w:rPr>
          <w:spacing w:val="-2"/>
        </w:rPr>
        <w:t xml:space="preserve"> </w:t>
      </w:r>
      <w:r>
        <w:t>the</w:t>
      </w:r>
      <w:r>
        <w:rPr>
          <w:spacing w:val="-3"/>
        </w:rPr>
        <w:t xml:space="preserve"> </w:t>
      </w:r>
      <w:r>
        <w:t>“parallel</w:t>
      </w:r>
      <w:r>
        <w:rPr>
          <w:spacing w:val="-3"/>
        </w:rPr>
        <w:t xml:space="preserve"> </w:t>
      </w:r>
      <w:r>
        <w:rPr>
          <w:spacing w:val="-2"/>
        </w:rPr>
        <w:t>postulate.”</w:t>
      </w:r>
    </w:p>
    <w:p w14:paraId="7E0009B9" w14:textId="77777777" w:rsidR="009A58DB" w:rsidRDefault="00000000">
      <w:pPr>
        <w:pStyle w:val="BodyText"/>
        <w:spacing w:before="15" w:line="249" w:lineRule="auto"/>
        <w:ind w:right="359" w:firstLine="360"/>
      </w:pPr>
      <w:r>
        <w:t>We’ll</w:t>
      </w:r>
      <w:r>
        <w:rPr>
          <w:spacing w:val="-2"/>
        </w:rPr>
        <w:t xml:space="preserve"> </w:t>
      </w:r>
      <w:r>
        <w:t>use</w:t>
      </w:r>
      <w:r>
        <w:rPr>
          <w:spacing w:val="-2"/>
        </w:rPr>
        <w:t xml:space="preserve"> </w:t>
      </w:r>
      <w:r>
        <w:t>the</w:t>
      </w:r>
      <w:r>
        <w:rPr>
          <w:spacing w:val="-2"/>
        </w:rPr>
        <w:t xml:space="preserve"> </w:t>
      </w:r>
      <w:r>
        <w:t>expression</w:t>
      </w:r>
      <w:r>
        <w:rPr>
          <w:spacing w:val="-2"/>
        </w:rPr>
        <w:t xml:space="preserve"> </w:t>
      </w:r>
      <w:r>
        <w:t>“(1)-(5)”</w:t>
      </w:r>
      <w:r>
        <w:rPr>
          <w:spacing w:val="-2"/>
        </w:rPr>
        <w:t xml:space="preserve"> </w:t>
      </w:r>
      <w:r>
        <w:t>to</w:t>
      </w:r>
      <w:r>
        <w:rPr>
          <w:spacing w:val="-2"/>
        </w:rPr>
        <w:t xml:space="preserve"> </w:t>
      </w:r>
      <w:r>
        <w:t>refer</w:t>
      </w:r>
      <w:r>
        <w:rPr>
          <w:spacing w:val="-2"/>
        </w:rPr>
        <w:t xml:space="preserve"> </w:t>
      </w:r>
      <w:r>
        <w:t>to</w:t>
      </w:r>
      <w:r>
        <w:rPr>
          <w:spacing w:val="-2"/>
        </w:rPr>
        <w:t xml:space="preserve"> </w:t>
      </w:r>
      <w:r>
        <w:t>the</w:t>
      </w:r>
      <w:r>
        <w:rPr>
          <w:spacing w:val="-2"/>
        </w:rPr>
        <w:t xml:space="preserve"> </w:t>
      </w:r>
      <w:r>
        <w:rPr>
          <w:i/>
        </w:rPr>
        <w:t>conjunction</w:t>
      </w:r>
      <w:r>
        <w:rPr>
          <w:i/>
          <w:spacing w:val="-3"/>
        </w:rPr>
        <w:t xml:space="preserve"> </w:t>
      </w:r>
      <w:r>
        <w:t xml:space="preserve">of (1) and (2) and (3), etc. Thus, (1)-(5) is a </w:t>
      </w:r>
      <w:r>
        <w:rPr>
          <w:i/>
        </w:rPr>
        <w:t xml:space="preserve">single </w:t>
      </w:r>
      <w:r>
        <w:t>open-sentence, and “(1)-(5)” is thus a singular, not a plural, noun. One would think that (1)-(5) is correct. But this turned out not to be so. It turned out that (1)-(5) is a statement-</w:t>
      </w:r>
      <w:r>
        <w:rPr>
          <w:i/>
        </w:rPr>
        <w:t xml:space="preserve">form, </w:t>
      </w:r>
      <w:r>
        <w:t xml:space="preserve">not a statement proper, and that (1)-(5) therefore isn’t true </w:t>
      </w:r>
      <w:r>
        <w:rPr>
          <w:i/>
        </w:rPr>
        <w:t xml:space="preserve">or </w:t>
      </w:r>
      <w:r>
        <w:t>false. It also turned out that some of its instances are false. Let us now describe one such</w:t>
      </w:r>
      <w:r>
        <w:rPr>
          <w:spacing w:val="40"/>
        </w:rPr>
        <w:t xml:space="preserve"> </w:t>
      </w:r>
      <w:r>
        <w:rPr>
          <w:spacing w:val="-2"/>
        </w:rPr>
        <w:t>instance.</w:t>
      </w:r>
    </w:p>
    <w:p w14:paraId="7E0009BA" w14:textId="77777777" w:rsidR="009A58DB" w:rsidRDefault="00000000">
      <w:pPr>
        <w:pStyle w:val="BodyText"/>
        <w:spacing w:before="9" w:line="249" w:lineRule="auto"/>
        <w:ind w:right="358" w:firstLine="360"/>
      </w:pPr>
      <w:r>
        <w:t>Let S be some sphere. Given an arbitrary point on S’s surface, there is a path leading from that point back to that same point that cuts S into two symmetrical halves. If by a “line” we mean such a path, and we make the corresponding changes to the otherwise unchanged meanings of (1)-(4), the propositions thereby assigned to (1)-(4) are true, but the proposition assigned to (5) is false. For, if “space” and “line” are so defined, a line has zero parallels, as opposed to one.</w:t>
      </w:r>
    </w:p>
    <w:p w14:paraId="7E0009BB" w14:textId="77777777" w:rsidR="009A58DB" w:rsidRDefault="00000000">
      <w:pPr>
        <w:pStyle w:val="BodyText"/>
        <w:spacing w:before="8"/>
        <w:ind w:left="720"/>
      </w:pPr>
      <w:r>
        <w:t>According</w:t>
      </w:r>
      <w:r>
        <w:rPr>
          <w:spacing w:val="58"/>
        </w:rPr>
        <w:t xml:space="preserve"> </w:t>
      </w:r>
      <w:r>
        <w:t>to</w:t>
      </w:r>
      <w:r>
        <w:rPr>
          <w:spacing w:val="60"/>
        </w:rPr>
        <w:t xml:space="preserve"> </w:t>
      </w:r>
      <w:r>
        <w:t>many,</w:t>
      </w:r>
      <w:r>
        <w:rPr>
          <w:spacing w:val="61"/>
        </w:rPr>
        <w:t xml:space="preserve"> </w:t>
      </w:r>
      <w:r>
        <w:t>this</w:t>
      </w:r>
      <w:r>
        <w:rPr>
          <w:spacing w:val="60"/>
        </w:rPr>
        <w:t xml:space="preserve"> </w:t>
      </w:r>
      <w:r>
        <w:t>shows</w:t>
      </w:r>
      <w:r>
        <w:rPr>
          <w:spacing w:val="61"/>
        </w:rPr>
        <w:t xml:space="preserve"> </w:t>
      </w:r>
      <w:r>
        <w:t>that</w:t>
      </w:r>
      <w:r>
        <w:rPr>
          <w:spacing w:val="61"/>
        </w:rPr>
        <w:t xml:space="preserve"> </w:t>
      </w:r>
      <w:r>
        <w:t>the</w:t>
      </w:r>
      <w:r>
        <w:rPr>
          <w:spacing w:val="61"/>
        </w:rPr>
        <w:t xml:space="preserve"> </w:t>
      </w:r>
      <w:r>
        <w:t>parallel</w:t>
      </w:r>
      <w:r>
        <w:rPr>
          <w:spacing w:val="60"/>
        </w:rPr>
        <w:t xml:space="preserve"> </w:t>
      </w:r>
      <w:r>
        <w:t>postulate</w:t>
      </w:r>
      <w:r>
        <w:rPr>
          <w:spacing w:val="61"/>
        </w:rPr>
        <w:t xml:space="preserve"> </w:t>
      </w:r>
      <w:r>
        <w:t>isn’t</w:t>
      </w:r>
      <w:r>
        <w:rPr>
          <w:spacing w:val="60"/>
        </w:rPr>
        <w:t xml:space="preserve"> </w:t>
      </w:r>
      <w:r>
        <w:t>true</w:t>
      </w:r>
      <w:r>
        <w:rPr>
          <w:spacing w:val="62"/>
        </w:rPr>
        <w:t xml:space="preserve"> </w:t>
      </w:r>
      <w:r>
        <w:rPr>
          <w:spacing w:val="-5"/>
        </w:rPr>
        <w:t>of</w:t>
      </w:r>
    </w:p>
    <w:p w14:paraId="7E0009BC" w14:textId="77777777" w:rsidR="009A58DB" w:rsidRDefault="009A58DB">
      <w:pPr>
        <w:pStyle w:val="BodyText"/>
        <w:sectPr w:rsidR="009A58DB">
          <w:pgSz w:w="12240" w:h="15840"/>
          <w:pgMar w:top="1380" w:right="1080" w:bottom="280" w:left="1080" w:header="720" w:footer="720" w:gutter="0"/>
          <w:cols w:space="720"/>
        </w:sectPr>
      </w:pPr>
    </w:p>
    <w:p w14:paraId="7E0009BD" w14:textId="77777777" w:rsidR="009A58DB" w:rsidRDefault="00000000">
      <w:pPr>
        <w:pStyle w:val="BodyText"/>
        <w:spacing w:before="65" w:line="249" w:lineRule="auto"/>
        <w:ind w:right="359"/>
      </w:pPr>
      <w:r>
        <w:lastRenderedPageBreak/>
        <w:t>every possible space. This isn’t what it shows. The parallel postulate isn’t</w:t>
      </w:r>
      <w:r>
        <w:rPr>
          <w:spacing w:val="40"/>
        </w:rPr>
        <w:t xml:space="preserve"> </w:t>
      </w:r>
      <w:r>
        <w:t xml:space="preserve">true or false of anything. It’s a statement-form, not a statement, and statement-forms aren’t true or false of anything. The right conclusion to draw is that there are possible spaces that are (partly) described by sentences that are negations of </w:t>
      </w:r>
      <w:r>
        <w:rPr>
          <w:i/>
        </w:rPr>
        <w:t xml:space="preserve">instances </w:t>
      </w:r>
      <w:r>
        <w:t>of the parallel postulate.</w:t>
      </w:r>
    </w:p>
    <w:p w14:paraId="7E0009BE" w14:textId="77777777" w:rsidR="009A58DB" w:rsidRDefault="00000000">
      <w:pPr>
        <w:pStyle w:val="BodyText"/>
        <w:spacing w:before="6" w:line="249" w:lineRule="auto"/>
        <w:ind w:right="359" w:firstLine="360"/>
      </w:pPr>
      <w:r>
        <w:t>If “space” and “line” are defined in the conventional, Euclidean way, the sum of the interior angles of a triangle is 180. But if “space” and “line” are defined in the way just proposed, that sum may be anything greater than 180° and less than 360°. The larger the triangle, the greater the sum.</w:t>
      </w:r>
    </w:p>
    <w:p w14:paraId="7E0009BF" w14:textId="77777777" w:rsidR="009A58DB" w:rsidRDefault="00000000">
      <w:pPr>
        <w:pStyle w:val="BodyText"/>
        <w:spacing w:before="5" w:line="249" w:lineRule="auto"/>
        <w:ind w:right="359" w:firstLine="360"/>
      </w:pPr>
      <w:r>
        <w:t xml:space="preserve">In (1)-(5), the words “line” and ‘space’ are functioning as variables, not as constants. This is an immediate consequence of the just-seen fact that, depending on what specific meanings are assigned to those words, (1)-(5) may come out either true or false. “But a ‘space’ isn’t the surface of a sphere,” one might protest. “And a ‘line’ isn’t a pathway of the sort just described. So all you’ve shown is that by </w:t>
      </w:r>
      <w:r>
        <w:rPr>
          <w:i/>
        </w:rPr>
        <w:t>mis</w:t>
      </w:r>
      <w:r>
        <w:t>interpreting (1)-(5), you can generate some interesting results. But that means that you haven’t really shown anything.” Not true. In saying that “space” and “line” don’t have these non-Euclidean</w:t>
      </w:r>
      <w:r>
        <w:rPr>
          <w:spacing w:val="-1"/>
        </w:rPr>
        <w:t xml:space="preserve"> </w:t>
      </w:r>
      <w:r>
        <w:t>meanings,</w:t>
      </w:r>
      <w:r>
        <w:rPr>
          <w:spacing w:val="-1"/>
        </w:rPr>
        <w:t xml:space="preserve"> </w:t>
      </w:r>
      <w:r>
        <w:t>one</w:t>
      </w:r>
      <w:r>
        <w:rPr>
          <w:spacing w:val="-1"/>
        </w:rPr>
        <w:t xml:space="preserve"> </w:t>
      </w:r>
      <w:r>
        <w:t>is</w:t>
      </w:r>
      <w:r>
        <w:rPr>
          <w:spacing w:val="-1"/>
        </w:rPr>
        <w:t xml:space="preserve"> </w:t>
      </w:r>
      <w:r>
        <w:t>making</w:t>
      </w:r>
      <w:r>
        <w:rPr>
          <w:spacing w:val="-1"/>
        </w:rPr>
        <w:t xml:space="preserve"> </w:t>
      </w:r>
      <w:r>
        <w:t>assumptions</w:t>
      </w:r>
      <w:r>
        <w:rPr>
          <w:spacing w:val="-1"/>
        </w:rPr>
        <w:t xml:space="preserve"> </w:t>
      </w:r>
      <w:r>
        <w:t>as</w:t>
      </w:r>
      <w:r>
        <w:rPr>
          <w:spacing w:val="-1"/>
        </w:rPr>
        <w:t xml:space="preserve"> </w:t>
      </w:r>
      <w:r>
        <w:t>to</w:t>
      </w:r>
      <w:r>
        <w:rPr>
          <w:spacing w:val="-1"/>
        </w:rPr>
        <w:t xml:space="preserve"> </w:t>
      </w:r>
      <w:r>
        <w:t>the</w:t>
      </w:r>
      <w:r>
        <w:rPr>
          <w:spacing w:val="-1"/>
        </w:rPr>
        <w:t xml:space="preserve"> </w:t>
      </w:r>
      <w:r>
        <w:t>nature</w:t>
      </w:r>
      <w:r>
        <w:rPr>
          <w:spacing w:val="-1"/>
        </w:rPr>
        <w:t xml:space="preserve"> </w:t>
      </w:r>
      <w:r>
        <w:t>of</w:t>
      </w:r>
      <w:r>
        <w:rPr>
          <w:spacing w:val="-1"/>
        </w:rPr>
        <w:t xml:space="preserve"> </w:t>
      </w:r>
      <w:r>
        <w:t xml:space="preserve">space that it is the very purpose of (1)-(5) to </w:t>
      </w:r>
      <w:r>
        <w:rPr>
          <w:i/>
        </w:rPr>
        <w:t xml:space="preserve">establish. </w:t>
      </w:r>
      <w:r>
        <w:t>In presupposing that ‹x is a space›</w:t>
      </w:r>
      <w:r>
        <w:rPr>
          <w:spacing w:val="-3"/>
        </w:rPr>
        <w:t xml:space="preserve"> </w:t>
      </w:r>
      <w:r>
        <w:t>entails</w:t>
      </w:r>
      <w:r>
        <w:rPr>
          <w:spacing w:val="-3"/>
        </w:rPr>
        <w:t xml:space="preserve"> </w:t>
      </w:r>
      <w:r>
        <w:t>that</w:t>
      </w:r>
      <w:r>
        <w:rPr>
          <w:spacing w:val="-3"/>
        </w:rPr>
        <w:t xml:space="preserve"> </w:t>
      </w:r>
      <w:r>
        <w:t>x</w:t>
      </w:r>
      <w:r>
        <w:rPr>
          <w:spacing w:val="-2"/>
        </w:rPr>
        <w:t xml:space="preserve"> </w:t>
      </w:r>
      <w:r>
        <w:t>isn’t</w:t>
      </w:r>
      <w:r>
        <w:rPr>
          <w:spacing w:val="-3"/>
        </w:rPr>
        <w:t xml:space="preserve"> </w:t>
      </w:r>
      <w:r>
        <w:t>the</w:t>
      </w:r>
      <w:r>
        <w:rPr>
          <w:spacing w:val="-3"/>
        </w:rPr>
        <w:t xml:space="preserve"> </w:t>
      </w:r>
      <w:r>
        <w:t>surface</w:t>
      </w:r>
      <w:r>
        <w:rPr>
          <w:spacing w:val="-3"/>
        </w:rPr>
        <w:t xml:space="preserve"> </w:t>
      </w:r>
      <w:r>
        <w:t>of</w:t>
      </w:r>
      <w:r>
        <w:rPr>
          <w:spacing w:val="-3"/>
        </w:rPr>
        <w:t xml:space="preserve"> </w:t>
      </w:r>
      <w:r>
        <w:t>a</w:t>
      </w:r>
      <w:r>
        <w:rPr>
          <w:spacing w:val="-3"/>
        </w:rPr>
        <w:t xml:space="preserve"> </w:t>
      </w:r>
      <w:r>
        <w:t>sphere,</w:t>
      </w:r>
      <w:r>
        <w:rPr>
          <w:spacing w:val="-2"/>
        </w:rPr>
        <w:t xml:space="preserve"> </w:t>
      </w:r>
      <w:r>
        <w:t>one</w:t>
      </w:r>
      <w:r>
        <w:rPr>
          <w:spacing w:val="-3"/>
        </w:rPr>
        <w:t xml:space="preserve"> </w:t>
      </w:r>
      <w:r>
        <w:t>is</w:t>
      </w:r>
      <w:r>
        <w:rPr>
          <w:spacing w:val="-3"/>
        </w:rPr>
        <w:t xml:space="preserve"> </w:t>
      </w:r>
      <w:r>
        <w:t>in</w:t>
      </w:r>
      <w:r>
        <w:rPr>
          <w:spacing w:val="-2"/>
        </w:rPr>
        <w:t xml:space="preserve"> </w:t>
      </w:r>
      <w:r>
        <w:t>effect</w:t>
      </w:r>
      <w:r>
        <w:rPr>
          <w:spacing w:val="-3"/>
        </w:rPr>
        <w:t xml:space="preserve"> </w:t>
      </w:r>
      <w:r>
        <w:t>presupposing that triangles have interior angles adding up to 180°—one is, indeed, presupposing a great many of the principles that (1)-(5) are supposed to establish. So one cannot, without invalidating one’s attempt to ground geometry in (1)-(5), assume that “line” and “space” are not to be defined in this way.</w:t>
      </w:r>
    </w:p>
    <w:p w14:paraId="7E0009C0" w14:textId="77777777" w:rsidR="009A58DB" w:rsidRDefault="00000000">
      <w:pPr>
        <w:pStyle w:val="BodyText"/>
        <w:spacing w:before="19" w:line="249" w:lineRule="auto"/>
        <w:ind w:right="364" w:firstLine="360"/>
      </w:pPr>
      <w:r>
        <w:t>In</w:t>
      </w:r>
      <w:r>
        <w:rPr>
          <w:spacing w:val="-3"/>
        </w:rPr>
        <w:t xml:space="preserve"> </w:t>
      </w:r>
      <w:r>
        <w:t>(1)-(5),</w:t>
      </w:r>
      <w:r>
        <w:rPr>
          <w:spacing w:val="-3"/>
        </w:rPr>
        <w:t xml:space="preserve"> </w:t>
      </w:r>
      <w:r>
        <w:t>the</w:t>
      </w:r>
      <w:r>
        <w:rPr>
          <w:spacing w:val="-4"/>
        </w:rPr>
        <w:t xml:space="preserve"> </w:t>
      </w:r>
      <w:r>
        <w:t>words</w:t>
      </w:r>
      <w:r>
        <w:rPr>
          <w:spacing w:val="-4"/>
        </w:rPr>
        <w:t xml:space="preserve"> </w:t>
      </w:r>
      <w:r>
        <w:t>“line”</w:t>
      </w:r>
      <w:r>
        <w:rPr>
          <w:spacing w:val="-4"/>
        </w:rPr>
        <w:t xml:space="preserve"> </w:t>
      </w:r>
      <w:r>
        <w:t>and</w:t>
      </w:r>
      <w:r>
        <w:rPr>
          <w:spacing w:val="-3"/>
        </w:rPr>
        <w:t xml:space="preserve"> </w:t>
      </w:r>
      <w:r>
        <w:t>“space”</w:t>
      </w:r>
      <w:r>
        <w:rPr>
          <w:spacing w:val="-4"/>
        </w:rPr>
        <w:t xml:space="preserve"> </w:t>
      </w:r>
      <w:r>
        <w:t>are</w:t>
      </w:r>
      <w:r>
        <w:rPr>
          <w:spacing w:val="-4"/>
        </w:rPr>
        <w:t xml:space="preserve"> </w:t>
      </w:r>
      <w:r>
        <w:t>functioning</w:t>
      </w:r>
      <w:r>
        <w:rPr>
          <w:spacing w:val="-3"/>
        </w:rPr>
        <w:t xml:space="preserve"> </w:t>
      </w:r>
      <w:r>
        <w:t>as</w:t>
      </w:r>
      <w:r>
        <w:rPr>
          <w:spacing w:val="-4"/>
        </w:rPr>
        <w:t xml:space="preserve"> </w:t>
      </w:r>
      <w:r>
        <w:t>variables,</w:t>
      </w:r>
      <w:r>
        <w:rPr>
          <w:spacing w:val="-3"/>
        </w:rPr>
        <w:t xml:space="preserve"> </w:t>
      </w:r>
      <w:r>
        <w:t>not</w:t>
      </w:r>
      <w:r>
        <w:rPr>
          <w:spacing w:val="-4"/>
        </w:rPr>
        <w:t xml:space="preserve"> </w:t>
      </w:r>
      <w:r>
        <w:t xml:space="preserve">as constants. We’ve seen that (1)-(5) isn’t true for all values of those variables. That is, some instances of that open-sentence are false. That is, that open-sentence isn’t true under all its interpretations. Formal logicians aspire to identify open-sentences that </w:t>
      </w:r>
      <w:r>
        <w:rPr>
          <w:i/>
        </w:rPr>
        <w:t>are</w:t>
      </w:r>
      <w:r>
        <w:rPr>
          <w:i/>
          <w:spacing w:val="-3"/>
        </w:rPr>
        <w:t xml:space="preserve"> </w:t>
      </w:r>
      <w:r>
        <w:t>true under all their interpretations, since it is only to the extent that they can do this that they can formalize analytic truth, which is their main objective. In the course of this search, they inevitably come across many open-sentences, such as (1)-(5), that they had hoped were true under all their interpretations but turned out not to be. Given an open-sentence S of this kind, they try to say, as precisely as possible, what it is that all</w:t>
      </w:r>
      <w:r>
        <w:rPr>
          <w:spacing w:val="-3"/>
        </w:rPr>
        <w:t xml:space="preserve"> </w:t>
      </w:r>
      <w:r>
        <w:t>those</w:t>
      </w:r>
      <w:r>
        <w:rPr>
          <w:spacing w:val="-1"/>
        </w:rPr>
        <w:t xml:space="preserve"> </w:t>
      </w:r>
      <w:r>
        <w:t>interpretations</w:t>
      </w:r>
      <w:r>
        <w:rPr>
          <w:spacing w:val="-1"/>
        </w:rPr>
        <w:t xml:space="preserve"> </w:t>
      </w:r>
      <w:r>
        <w:t>of</w:t>
      </w:r>
      <w:r>
        <w:rPr>
          <w:spacing w:val="-2"/>
        </w:rPr>
        <w:t xml:space="preserve"> </w:t>
      </w:r>
      <w:r>
        <w:t>S</w:t>
      </w:r>
      <w:r>
        <w:rPr>
          <w:spacing w:val="-2"/>
        </w:rPr>
        <w:t xml:space="preserve"> </w:t>
      </w:r>
      <w:r>
        <w:t>that</w:t>
      </w:r>
      <w:r>
        <w:rPr>
          <w:spacing w:val="-1"/>
        </w:rPr>
        <w:t xml:space="preserve"> </w:t>
      </w:r>
      <w:r>
        <w:t>validate</w:t>
      </w:r>
      <w:r>
        <w:rPr>
          <w:spacing w:val="-2"/>
        </w:rPr>
        <w:t xml:space="preserve"> </w:t>
      </w:r>
      <w:r>
        <w:t>it</w:t>
      </w:r>
      <w:r>
        <w:rPr>
          <w:spacing w:val="-1"/>
        </w:rPr>
        <w:t xml:space="preserve"> </w:t>
      </w:r>
      <w:r>
        <w:t>have</w:t>
      </w:r>
      <w:r>
        <w:rPr>
          <w:spacing w:val="-1"/>
        </w:rPr>
        <w:t xml:space="preserve"> </w:t>
      </w:r>
      <w:r>
        <w:t>in</w:t>
      </w:r>
      <w:r>
        <w:rPr>
          <w:spacing w:val="-2"/>
        </w:rPr>
        <w:t xml:space="preserve"> </w:t>
      </w:r>
      <w:r>
        <w:t>common</w:t>
      </w:r>
      <w:r>
        <w:rPr>
          <w:spacing w:val="-1"/>
        </w:rPr>
        <w:t xml:space="preserve"> </w:t>
      </w:r>
      <w:r>
        <w:t>with</w:t>
      </w:r>
      <w:r>
        <w:rPr>
          <w:spacing w:val="-1"/>
        </w:rPr>
        <w:t xml:space="preserve"> </w:t>
      </w:r>
      <w:r>
        <w:t>one</w:t>
      </w:r>
      <w:r>
        <w:rPr>
          <w:spacing w:val="-1"/>
        </w:rPr>
        <w:t xml:space="preserve"> </w:t>
      </w:r>
      <w:r>
        <w:rPr>
          <w:spacing w:val="-2"/>
        </w:rPr>
        <w:t>another</w:t>
      </w:r>
    </w:p>
    <w:p w14:paraId="7E0009C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9C2" w14:textId="77777777" w:rsidR="009A58DB" w:rsidRDefault="00000000">
      <w:pPr>
        <w:pStyle w:val="BodyText"/>
        <w:spacing w:before="65"/>
      </w:pPr>
      <w:r>
        <w:lastRenderedPageBreak/>
        <w:t>that</w:t>
      </w:r>
      <w:r>
        <w:rPr>
          <w:spacing w:val="17"/>
        </w:rPr>
        <w:t xml:space="preserve"> </w:t>
      </w:r>
      <w:r>
        <w:t>they</w:t>
      </w:r>
      <w:r>
        <w:rPr>
          <w:spacing w:val="19"/>
        </w:rPr>
        <w:t xml:space="preserve"> </w:t>
      </w:r>
      <w:r>
        <w:rPr>
          <w:i/>
        </w:rPr>
        <w:t>don’t</w:t>
      </w:r>
      <w:r>
        <w:rPr>
          <w:i/>
          <w:spacing w:val="12"/>
        </w:rPr>
        <w:t xml:space="preserve"> </w:t>
      </w:r>
      <w:r>
        <w:t>have</w:t>
      </w:r>
      <w:r>
        <w:rPr>
          <w:spacing w:val="20"/>
        </w:rPr>
        <w:t xml:space="preserve"> </w:t>
      </w:r>
      <w:r>
        <w:t>in</w:t>
      </w:r>
      <w:r>
        <w:rPr>
          <w:spacing w:val="21"/>
        </w:rPr>
        <w:t xml:space="preserve"> </w:t>
      </w:r>
      <w:r>
        <w:t>common</w:t>
      </w:r>
      <w:r>
        <w:rPr>
          <w:spacing w:val="20"/>
        </w:rPr>
        <w:t xml:space="preserve"> </w:t>
      </w:r>
      <w:r>
        <w:t>with</w:t>
      </w:r>
      <w:r>
        <w:rPr>
          <w:spacing w:val="21"/>
        </w:rPr>
        <w:t xml:space="preserve"> </w:t>
      </w:r>
      <w:r>
        <w:t>any</w:t>
      </w:r>
      <w:r>
        <w:rPr>
          <w:spacing w:val="20"/>
        </w:rPr>
        <w:t xml:space="preserve"> </w:t>
      </w:r>
      <w:r>
        <w:t>interpretation</w:t>
      </w:r>
      <w:r>
        <w:rPr>
          <w:spacing w:val="20"/>
        </w:rPr>
        <w:t xml:space="preserve"> </w:t>
      </w:r>
      <w:r>
        <w:t>that</w:t>
      </w:r>
      <w:r>
        <w:rPr>
          <w:spacing w:val="21"/>
        </w:rPr>
        <w:t xml:space="preserve"> </w:t>
      </w:r>
      <w:r>
        <w:t>fails</w:t>
      </w:r>
      <w:r>
        <w:rPr>
          <w:spacing w:val="20"/>
        </w:rPr>
        <w:t xml:space="preserve"> </w:t>
      </w:r>
      <w:r>
        <w:t>to</w:t>
      </w:r>
      <w:r>
        <w:rPr>
          <w:spacing w:val="21"/>
        </w:rPr>
        <w:t xml:space="preserve"> </w:t>
      </w:r>
      <w:r>
        <w:rPr>
          <w:spacing w:val="-2"/>
        </w:rPr>
        <w:t>validate</w:t>
      </w:r>
    </w:p>
    <w:p w14:paraId="7E0009C3" w14:textId="77777777" w:rsidR="009A58DB" w:rsidRDefault="00000000">
      <w:pPr>
        <w:pStyle w:val="BodyText"/>
        <w:spacing w:before="15" w:line="249" w:lineRule="auto"/>
        <w:ind w:right="358"/>
      </w:pPr>
      <w:r>
        <w:t xml:space="preserve">S. In other words, they try to come up with a </w:t>
      </w:r>
      <w:r>
        <w:rPr>
          <w:i/>
        </w:rPr>
        <w:t xml:space="preserve">general </w:t>
      </w:r>
      <w:r>
        <w:t>characterization of “truth under S.”</w:t>
      </w:r>
    </w:p>
    <w:p w14:paraId="7E0009C4" w14:textId="77777777" w:rsidR="009A58DB" w:rsidRDefault="00000000">
      <w:pPr>
        <w:pStyle w:val="BodyText"/>
        <w:spacing w:before="2" w:line="249" w:lineRule="auto"/>
        <w:ind w:right="365" w:firstLine="360"/>
      </w:pPr>
      <w:r>
        <w:t xml:space="preserve">There are some classes of true statements that one would </w:t>
      </w:r>
      <w:r>
        <w:rPr>
          <w:i/>
        </w:rPr>
        <w:t xml:space="preserve">expect </w:t>
      </w:r>
      <w:r>
        <w:t>to be formalizable but turn out not to be. The class of arithmetical statements (“1 + 2 = 3,” “2 × 9 = 18,” etc.) is an example. In other words, arithmetical truth cannot be formalized.</w:t>
      </w:r>
    </w:p>
    <w:p w14:paraId="7E0009C5" w14:textId="77777777" w:rsidR="009A58DB" w:rsidRDefault="00000000">
      <w:pPr>
        <w:pStyle w:val="BodyText"/>
        <w:spacing w:before="5" w:line="249" w:lineRule="auto"/>
        <w:ind w:right="358" w:firstLine="360"/>
      </w:pPr>
      <w:r>
        <w:t>First of all, arithmetical statements, as they are ordinarily expressed, are not formally true. “2 + 2 = 4” has the same form as “2 + 2 = 5.” They both have the form “x + x = y.” Since “2 + 2 = 5” is false, and has the same form as “2 + 2 = 4,” the latter, though true, isn’t formally so.</w:t>
      </w:r>
    </w:p>
    <w:p w14:paraId="7E0009C6" w14:textId="77777777" w:rsidR="009A58DB" w:rsidRDefault="00000000">
      <w:pPr>
        <w:pStyle w:val="BodyText"/>
        <w:spacing w:before="5" w:line="249" w:lineRule="auto"/>
        <w:ind w:right="359" w:firstLine="360"/>
      </w:pPr>
      <w:r>
        <w:t>Formalizing arithmetic would involve finding some open-sentence S such that,</w:t>
      </w:r>
      <w:r>
        <w:rPr>
          <w:spacing w:val="-3"/>
        </w:rPr>
        <w:t xml:space="preserve"> </w:t>
      </w:r>
      <w:r>
        <w:t>for</w:t>
      </w:r>
      <w:r>
        <w:rPr>
          <w:spacing w:val="-4"/>
        </w:rPr>
        <w:t xml:space="preserve"> </w:t>
      </w:r>
      <w:r>
        <w:t>some</w:t>
      </w:r>
      <w:r>
        <w:rPr>
          <w:spacing w:val="-4"/>
        </w:rPr>
        <w:t xml:space="preserve"> </w:t>
      </w:r>
      <w:r>
        <w:t>interpretation</w:t>
      </w:r>
      <w:r>
        <w:rPr>
          <w:spacing w:val="-3"/>
        </w:rPr>
        <w:t xml:space="preserve"> </w:t>
      </w:r>
      <w:r>
        <w:t>of</w:t>
      </w:r>
      <w:r>
        <w:rPr>
          <w:spacing w:val="-4"/>
        </w:rPr>
        <w:t xml:space="preserve"> </w:t>
      </w:r>
      <w:r>
        <w:t>S,</w:t>
      </w:r>
      <w:r>
        <w:rPr>
          <w:spacing w:val="-3"/>
        </w:rPr>
        <w:t xml:space="preserve"> </w:t>
      </w:r>
      <w:r>
        <w:t>every</w:t>
      </w:r>
      <w:r>
        <w:rPr>
          <w:spacing w:val="-3"/>
        </w:rPr>
        <w:t xml:space="preserve"> </w:t>
      </w:r>
      <w:r>
        <w:t>true</w:t>
      </w:r>
      <w:r>
        <w:rPr>
          <w:spacing w:val="-4"/>
        </w:rPr>
        <w:t xml:space="preserve"> </w:t>
      </w:r>
      <w:r>
        <w:t>arithmetical</w:t>
      </w:r>
      <w:r>
        <w:rPr>
          <w:spacing w:val="-4"/>
        </w:rPr>
        <w:t xml:space="preserve"> </w:t>
      </w:r>
      <w:r>
        <w:t>statement</w:t>
      </w:r>
      <w:r>
        <w:rPr>
          <w:spacing w:val="-4"/>
        </w:rPr>
        <w:t xml:space="preserve"> </w:t>
      </w:r>
      <w:r>
        <w:t>is</w:t>
      </w:r>
      <w:r>
        <w:rPr>
          <w:spacing w:val="-4"/>
        </w:rPr>
        <w:t xml:space="preserve"> </w:t>
      </w:r>
      <w:r>
        <w:t>a</w:t>
      </w:r>
      <w:r>
        <w:rPr>
          <w:spacing w:val="-4"/>
        </w:rPr>
        <w:t xml:space="preserve"> </w:t>
      </w:r>
      <w:r>
        <w:t>formal consequence of that interpretation and such that no false arithmetical statement is such a consequence.</w:t>
      </w:r>
    </w:p>
    <w:p w14:paraId="7E0009C7" w14:textId="77777777" w:rsidR="009A58DB" w:rsidRDefault="00000000">
      <w:pPr>
        <w:pStyle w:val="BodyText"/>
        <w:spacing w:before="5" w:line="249" w:lineRule="auto"/>
        <w:ind w:right="360" w:firstLine="360"/>
      </w:pPr>
      <w:r>
        <w:t xml:space="preserve">It turned out that this is not possible. This means that any formal characterization of arithmetic is either </w:t>
      </w:r>
      <w:r>
        <w:rPr>
          <w:b/>
          <w:i/>
        </w:rPr>
        <w:t xml:space="preserve">inconsistent </w:t>
      </w:r>
      <w:r>
        <w:t xml:space="preserve">(i.e., it entails a contradiction), or </w:t>
      </w:r>
      <w:r>
        <w:rPr>
          <w:b/>
          <w:i/>
        </w:rPr>
        <w:t>incomplete</w:t>
      </w:r>
      <w:r>
        <w:rPr>
          <w:b/>
          <w:i/>
          <w:spacing w:val="-5"/>
        </w:rPr>
        <w:t xml:space="preserve"> </w:t>
      </w:r>
      <w:r>
        <w:rPr>
          <w:i/>
        </w:rPr>
        <w:t xml:space="preserve">(i.e., there is some arithmetical truth that is not a consequence of it). </w:t>
      </w:r>
      <w:r>
        <w:t>(The reasons for this are outlined in Chapter 7.) Given a body of truths that might appear to be capable of being formalized, mathematical</w:t>
      </w:r>
      <w:r>
        <w:rPr>
          <w:spacing w:val="-2"/>
        </w:rPr>
        <w:t xml:space="preserve"> </w:t>
      </w:r>
      <w:r>
        <w:t>logicians</w:t>
      </w:r>
      <w:r>
        <w:rPr>
          <w:spacing w:val="-2"/>
        </w:rPr>
        <w:t xml:space="preserve"> </w:t>
      </w:r>
      <w:r>
        <w:t>wish</w:t>
      </w:r>
      <w:r>
        <w:rPr>
          <w:spacing w:val="-2"/>
        </w:rPr>
        <w:t xml:space="preserve"> </w:t>
      </w:r>
      <w:r>
        <w:t>prove</w:t>
      </w:r>
      <w:r>
        <w:rPr>
          <w:spacing w:val="-2"/>
        </w:rPr>
        <w:t xml:space="preserve"> </w:t>
      </w:r>
      <w:r>
        <w:t>whether</w:t>
      </w:r>
      <w:r>
        <w:rPr>
          <w:spacing w:val="-2"/>
        </w:rPr>
        <w:t xml:space="preserve"> </w:t>
      </w:r>
      <w:r>
        <w:t>or</w:t>
      </w:r>
      <w:r>
        <w:rPr>
          <w:spacing w:val="-2"/>
        </w:rPr>
        <w:t xml:space="preserve"> </w:t>
      </w:r>
      <w:r>
        <w:t>not</w:t>
      </w:r>
      <w:r>
        <w:rPr>
          <w:spacing w:val="-2"/>
        </w:rPr>
        <w:t xml:space="preserve"> </w:t>
      </w:r>
      <w:r>
        <w:t>it</w:t>
      </w:r>
      <w:r>
        <w:rPr>
          <w:spacing w:val="-2"/>
        </w:rPr>
        <w:t xml:space="preserve"> </w:t>
      </w:r>
      <w:r>
        <w:t>is</w:t>
      </w:r>
      <w:r>
        <w:rPr>
          <w:spacing w:val="-2"/>
        </w:rPr>
        <w:t xml:space="preserve"> </w:t>
      </w:r>
      <w:r>
        <w:t>so;</w:t>
      </w:r>
      <w:r>
        <w:rPr>
          <w:spacing w:val="-2"/>
        </w:rPr>
        <w:t xml:space="preserve"> </w:t>
      </w:r>
      <w:r>
        <w:t>and,</w:t>
      </w:r>
      <w:r>
        <w:rPr>
          <w:spacing w:val="-2"/>
        </w:rPr>
        <w:t xml:space="preserve"> </w:t>
      </w:r>
      <w:r>
        <w:t>supposing</w:t>
      </w:r>
      <w:r>
        <w:rPr>
          <w:spacing w:val="-2"/>
        </w:rPr>
        <w:t xml:space="preserve"> </w:t>
      </w:r>
      <w:r>
        <w:t>that it can be formalized, they wish to find a model for it.</w:t>
      </w:r>
    </w:p>
    <w:p w14:paraId="7E0009C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9C9" w14:textId="77777777" w:rsidR="009A58DB" w:rsidRDefault="009A58DB">
      <w:pPr>
        <w:pStyle w:val="BodyText"/>
        <w:spacing w:before="4"/>
        <w:ind w:left="0"/>
        <w:jc w:val="left"/>
        <w:rPr>
          <w:sz w:val="17"/>
        </w:rPr>
      </w:pPr>
    </w:p>
    <w:p w14:paraId="7E0009CA"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09CB" w14:textId="77777777" w:rsidR="009A58DB" w:rsidRDefault="00000000">
      <w:pPr>
        <w:spacing w:line="503" w:lineRule="exact"/>
        <w:ind w:left="326" w:right="332"/>
        <w:jc w:val="center"/>
        <w:rPr>
          <w:rFonts w:ascii="Calibri Light"/>
          <w:sz w:val="42"/>
        </w:rPr>
      </w:pPr>
      <w:bookmarkStart w:id="107" w:name="_bookmark107"/>
      <w:bookmarkEnd w:id="107"/>
      <w:r>
        <w:rPr>
          <w:rFonts w:ascii="Calibri Light"/>
          <w:sz w:val="42"/>
        </w:rPr>
        <w:lastRenderedPageBreak/>
        <w:t>Chapter</w:t>
      </w:r>
      <w:r>
        <w:rPr>
          <w:rFonts w:ascii="Calibri Light"/>
          <w:spacing w:val="56"/>
          <w:sz w:val="42"/>
        </w:rPr>
        <w:t xml:space="preserve"> </w:t>
      </w:r>
      <w:r>
        <w:rPr>
          <w:rFonts w:ascii="Calibri Light"/>
          <w:spacing w:val="-10"/>
          <w:sz w:val="42"/>
        </w:rPr>
        <w:t>2</w:t>
      </w:r>
    </w:p>
    <w:p w14:paraId="7E0009CC" w14:textId="77777777" w:rsidR="009A58DB" w:rsidRDefault="00000000">
      <w:pPr>
        <w:spacing w:before="222"/>
        <w:ind w:left="326" w:right="332"/>
        <w:jc w:val="center"/>
        <w:rPr>
          <w:rFonts w:ascii="Calibri Light"/>
          <w:sz w:val="42"/>
        </w:rPr>
      </w:pPr>
      <w:bookmarkStart w:id="108" w:name="_bookmark108"/>
      <w:bookmarkEnd w:id="108"/>
      <w:r>
        <w:rPr>
          <w:rFonts w:ascii="Calibri Light"/>
          <w:sz w:val="42"/>
        </w:rPr>
        <w:t>Properties</w:t>
      </w:r>
      <w:r>
        <w:rPr>
          <w:rFonts w:ascii="Calibri Light"/>
          <w:spacing w:val="35"/>
          <w:w w:val="150"/>
          <w:sz w:val="42"/>
        </w:rPr>
        <w:t xml:space="preserve"> </w:t>
      </w:r>
      <w:r>
        <w:rPr>
          <w:rFonts w:ascii="Calibri Light"/>
          <w:sz w:val="42"/>
        </w:rPr>
        <w:t>and</w:t>
      </w:r>
      <w:r>
        <w:rPr>
          <w:rFonts w:ascii="Calibri Light"/>
          <w:spacing w:val="35"/>
          <w:w w:val="150"/>
          <w:sz w:val="42"/>
        </w:rPr>
        <w:t xml:space="preserve"> </w:t>
      </w:r>
      <w:r>
        <w:rPr>
          <w:rFonts w:ascii="Calibri Light"/>
          <w:sz w:val="42"/>
        </w:rPr>
        <w:t>Non-Spatiotemporal</w:t>
      </w:r>
      <w:r>
        <w:rPr>
          <w:rFonts w:ascii="Calibri Light"/>
          <w:spacing w:val="35"/>
          <w:w w:val="150"/>
          <w:sz w:val="42"/>
        </w:rPr>
        <w:t xml:space="preserve"> </w:t>
      </w:r>
      <w:r>
        <w:rPr>
          <w:rFonts w:ascii="Calibri Light"/>
          <w:spacing w:val="-2"/>
          <w:sz w:val="42"/>
        </w:rPr>
        <w:t>Existence</w:t>
      </w:r>
    </w:p>
    <w:p w14:paraId="7E0009CD" w14:textId="77777777" w:rsidR="009A58DB" w:rsidRDefault="00000000">
      <w:pPr>
        <w:pStyle w:val="Heading1"/>
        <w:numPr>
          <w:ilvl w:val="1"/>
          <w:numId w:val="211"/>
        </w:numPr>
        <w:tabs>
          <w:tab w:val="left" w:pos="1203"/>
          <w:tab w:val="left" w:pos="2385"/>
          <w:tab w:val="left" w:pos="3194"/>
          <w:tab w:val="left" w:pos="4399"/>
          <w:tab w:val="left" w:pos="5697"/>
          <w:tab w:val="left" w:pos="6738"/>
          <w:tab w:val="left" w:pos="7989"/>
          <w:tab w:val="left" w:pos="8891"/>
        </w:tabs>
        <w:spacing w:before="185" w:line="244" w:lineRule="auto"/>
        <w:ind w:right="370" w:firstLine="0"/>
      </w:pPr>
      <w:r>
        <w:rPr>
          <w:spacing w:val="-4"/>
        </w:rPr>
        <w:t>Why</w:t>
      </w:r>
      <w:r>
        <w:tab/>
      </w:r>
      <w:r>
        <w:rPr>
          <w:spacing w:val="-6"/>
        </w:rPr>
        <w:t>we</w:t>
      </w:r>
      <w:r>
        <w:tab/>
      </w:r>
      <w:r>
        <w:rPr>
          <w:spacing w:val="-4"/>
        </w:rPr>
        <w:t>must</w:t>
      </w:r>
      <w:r>
        <w:tab/>
      </w:r>
      <w:r>
        <w:rPr>
          <w:spacing w:val="-4"/>
        </w:rPr>
        <w:t>grant</w:t>
      </w:r>
      <w:r>
        <w:tab/>
      </w:r>
      <w:r>
        <w:rPr>
          <w:spacing w:val="-4"/>
        </w:rPr>
        <w:t>that</w:t>
      </w:r>
      <w:r>
        <w:tab/>
      </w:r>
      <w:r>
        <w:rPr>
          <w:spacing w:val="-2"/>
        </w:rPr>
        <w:t>there</w:t>
      </w:r>
      <w:r>
        <w:tab/>
      </w:r>
      <w:r>
        <w:rPr>
          <w:spacing w:val="-4"/>
        </w:rPr>
        <w:t>are</w:t>
      </w:r>
      <w:r>
        <w:tab/>
      </w:r>
      <w:r>
        <w:rPr>
          <w:spacing w:val="-4"/>
        </w:rPr>
        <w:t>non-</w:t>
      </w:r>
      <w:r>
        <w:t>spatiotemporal entities</w:t>
      </w:r>
    </w:p>
    <w:p w14:paraId="7E0009CE" w14:textId="77777777" w:rsidR="009A58DB" w:rsidRDefault="00000000">
      <w:pPr>
        <w:pStyle w:val="BodyText"/>
        <w:spacing w:before="132" w:line="249" w:lineRule="auto"/>
        <w:ind w:right="364"/>
      </w:pPr>
      <w:r>
        <w:t xml:space="preserve">Not everything that exists is in space-time. Everything that is in space-time is an </w:t>
      </w:r>
      <w:r>
        <w:rPr>
          <w:b/>
          <w:i/>
        </w:rPr>
        <w:t xml:space="preserve">instance </w:t>
      </w:r>
      <w:r>
        <w:t xml:space="preserve">of at least one </w:t>
      </w:r>
      <w:r>
        <w:rPr>
          <w:b/>
          <w:i/>
        </w:rPr>
        <w:t xml:space="preserve">property, </w:t>
      </w:r>
      <w:r>
        <w:t>and properties are not themselves in space-time. I like to play tennis. I thus have the property of liking to play tennis and am thus an instance of that property. I am obviously in space-time, but that property is not. No matter how thoroughly one searches the universe, one will never encounter the property of liking to play tennis. One will, at most, encounter its instances.</w:t>
      </w:r>
    </w:p>
    <w:p w14:paraId="7E0009CF" w14:textId="77777777" w:rsidR="009A58DB" w:rsidRDefault="00000000">
      <w:pPr>
        <w:pStyle w:val="BodyText"/>
        <w:spacing w:before="9" w:line="249" w:lineRule="auto"/>
        <w:ind w:right="358" w:firstLine="360"/>
      </w:pPr>
      <w:r>
        <w:t xml:space="preserve">Many hold that, although property-instances exist, properties </w:t>
      </w:r>
      <w:r>
        <w:rPr>
          <w:i/>
        </w:rPr>
        <w:t xml:space="preserve">per se </w:t>
      </w:r>
      <w:r>
        <w:t xml:space="preserve">either don’t exist or exist but only because they’re identical with spatiotemporal entities of some kind (e.g., aggregates of their own instances, ideas in people’s minds). In this chapter, we’ll discuss why this seemingly reasonable viewpoint cannot be sustained. We’ll also see why the negation of this viewpoint is, contrary to initial appearances, utterly consonant with </w:t>
      </w:r>
      <w:r>
        <w:rPr>
          <w:spacing w:val="-2"/>
        </w:rPr>
        <w:t>commonsense.</w:t>
      </w:r>
    </w:p>
    <w:p w14:paraId="7E0009D0" w14:textId="77777777" w:rsidR="009A58DB" w:rsidRDefault="00000000">
      <w:pPr>
        <w:pStyle w:val="BodyText"/>
        <w:spacing w:before="8" w:line="249" w:lineRule="auto"/>
        <w:ind w:right="358" w:firstLine="360"/>
      </w:pPr>
      <w:r>
        <w:t xml:space="preserve">Properties themselves have properties. The property of being a square circle has the property of being uninstantiated. Properties of properties are </w:t>
      </w:r>
      <w:r>
        <w:rPr>
          <w:b/>
          <w:i/>
        </w:rPr>
        <w:t xml:space="preserve">higher-order properties. </w:t>
      </w:r>
      <w:r>
        <w:t xml:space="preserve">Properties that are not higher-order properties are </w:t>
      </w:r>
      <w:r>
        <w:rPr>
          <w:b/>
          <w:i/>
        </w:rPr>
        <w:t xml:space="preserve">first-order </w:t>
      </w:r>
      <w:r>
        <w:t>properties. The instances of higher-properties, being properties themselves, are not in space-time. The instances of first-order properties are in space-time.</w:t>
      </w:r>
    </w:p>
    <w:p w14:paraId="7E0009D1" w14:textId="77777777" w:rsidR="009A58DB" w:rsidRDefault="00000000">
      <w:pPr>
        <w:pStyle w:val="BodyText"/>
        <w:spacing w:before="8" w:line="249" w:lineRule="auto"/>
        <w:ind w:right="358" w:firstLine="360"/>
      </w:pPr>
      <w:r>
        <w:t>Everything that exists is either a property or is in space-time. Non-spatiotemporal</w:t>
      </w:r>
      <w:r>
        <w:rPr>
          <w:spacing w:val="-4"/>
        </w:rPr>
        <w:t xml:space="preserve"> </w:t>
      </w:r>
      <w:r>
        <w:t>entities</w:t>
      </w:r>
      <w:r>
        <w:rPr>
          <w:spacing w:val="-4"/>
        </w:rPr>
        <w:t xml:space="preserve"> </w:t>
      </w:r>
      <w:r>
        <w:t>that</w:t>
      </w:r>
      <w:r>
        <w:rPr>
          <w:spacing w:val="-4"/>
        </w:rPr>
        <w:t xml:space="preserve"> </w:t>
      </w:r>
      <w:r>
        <w:rPr>
          <w:i/>
        </w:rPr>
        <w:t>seem</w:t>
      </w:r>
      <w:r>
        <w:rPr>
          <w:i/>
          <w:spacing w:val="-4"/>
        </w:rPr>
        <w:t xml:space="preserve"> </w:t>
      </w:r>
      <w:r>
        <w:t xml:space="preserve">not to be properties always turn out to be so. For example, </w:t>
      </w:r>
      <w:r>
        <w:rPr>
          <w:b/>
          <w:i/>
        </w:rPr>
        <w:t xml:space="preserve">propositions </w:t>
      </w:r>
      <w:r>
        <w:t xml:space="preserve">are not spatiotemporal and propositions do not initially seem to be identical with properties. (Propositions are sentence-meanings.) But propositions turn out to be properties. (We’ll see why in Chapter 3.) </w:t>
      </w:r>
      <w:r>
        <w:rPr>
          <w:b/>
          <w:i/>
        </w:rPr>
        <w:t xml:space="preserve">Sets </w:t>
      </w:r>
      <w:r>
        <w:t>are not spatiotemporal, and sets do not initially appear to be identical</w:t>
      </w:r>
      <w:r>
        <w:rPr>
          <w:spacing w:val="-2"/>
        </w:rPr>
        <w:t xml:space="preserve"> </w:t>
      </w:r>
      <w:r>
        <w:t>with</w:t>
      </w:r>
      <w:r>
        <w:rPr>
          <w:spacing w:val="-2"/>
        </w:rPr>
        <w:t xml:space="preserve"> </w:t>
      </w:r>
      <w:r>
        <w:t>properties.</w:t>
      </w:r>
      <w:r>
        <w:rPr>
          <w:spacing w:val="-2"/>
        </w:rPr>
        <w:t xml:space="preserve"> </w:t>
      </w:r>
      <w:r>
        <w:t>But</w:t>
      </w:r>
      <w:r>
        <w:rPr>
          <w:spacing w:val="-2"/>
        </w:rPr>
        <w:t xml:space="preserve"> </w:t>
      </w:r>
      <w:r>
        <w:t>they</w:t>
      </w:r>
      <w:r>
        <w:rPr>
          <w:spacing w:val="-2"/>
        </w:rPr>
        <w:t xml:space="preserve"> </w:t>
      </w:r>
      <w:r>
        <w:t>too</w:t>
      </w:r>
      <w:r>
        <w:rPr>
          <w:spacing w:val="-2"/>
        </w:rPr>
        <w:t xml:space="preserve"> </w:t>
      </w:r>
      <w:r>
        <w:t>turn</w:t>
      </w:r>
      <w:r>
        <w:rPr>
          <w:spacing w:val="-2"/>
        </w:rPr>
        <w:t xml:space="preserve"> </w:t>
      </w:r>
      <w:r>
        <w:t>out</w:t>
      </w:r>
      <w:r>
        <w:rPr>
          <w:spacing w:val="-2"/>
        </w:rPr>
        <w:t xml:space="preserve"> </w:t>
      </w:r>
      <w:r>
        <w:t>to</w:t>
      </w:r>
      <w:r>
        <w:rPr>
          <w:spacing w:val="-2"/>
        </w:rPr>
        <w:t xml:space="preserve"> </w:t>
      </w:r>
      <w:r>
        <w:t>be</w:t>
      </w:r>
      <w:r>
        <w:rPr>
          <w:spacing w:val="-2"/>
        </w:rPr>
        <w:t xml:space="preserve"> </w:t>
      </w:r>
      <w:r>
        <w:t>properties.</w:t>
      </w:r>
      <w:r>
        <w:rPr>
          <w:spacing w:val="-2"/>
        </w:rPr>
        <w:t xml:space="preserve"> </w:t>
      </w:r>
      <w:r>
        <w:t>(But,</w:t>
      </w:r>
      <w:r>
        <w:rPr>
          <w:spacing w:val="-2"/>
        </w:rPr>
        <w:t xml:space="preserve"> </w:t>
      </w:r>
      <w:r>
        <w:t xml:space="preserve">contrary to what many a philosopher has said, properties are </w:t>
      </w:r>
      <w:r>
        <w:rPr>
          <w:i/>
        </w:rPr>
        <w:t>not</w:t>
      </w:r>
      <w:r>
        <w:rPr>
          <w:i/>
          <w:spacing w:val="-3"/>
        </w:rPr>
        <w:t xml:space="preserve"> </w:t>
      </w:r>
      <w:r>
        <w:t>identical with the sets</w:t>
      </w:r>
    </w:p>
    <w:p w14:paraId="7E0009D2"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09D3" w14:textId="77777777" w:rsidR="009A58DB" w:rsidRDefault="00000000">
      <w:pPr>
        <w:pStyle w:val="BodyText"/>
        <w:spacing w:before="60" w:line="249" w:lineRule="auto"/>
        <w:ind w:right="360"/>
      </w:pPr>
      <w:r>
        <w:lastRenderedPageBreak/>
        <w:t>that contain their own instances. The property of being a bird is not identical with the set of all birds. It’s identical with a very different set, as we’ll see at the end of the present chapter.)</w:t>
      </w:r>
    </w:p>
    <w:p w14:paraId="7E0009D4" w14:textId="77777777" w:rsidR="009A58DB" w:rsidRDefault="00000000">
      <w:pPr>
        <w:pStyle w:val="BodyText"/>
        <w:spacing w:before="8" w:line="249" w:lineRule="auto"/>
        <w:ind w:right="359" w:firstLine="360"/>
      </w:pPr>
      <w:r>
        <w:t xml:space="preserve">The doctrine that spatiotemporal things are instances of non-spatiotemporal things is known as “Platonism.” This is because Plato was the first person to advocate that doctrine. Sometimes Platonism is known as the </w:t>
      </w:r>
      <w:r>
        <w:rPr>
          <w:i/>
        </w:rPr>
        <w:t xml:space="preserve">theory of universals, </w:t>
      </w:r>
      <w:r>
        <w:t>and we will sometimes refer to it that way. The doctrine that</w:t>
      </w:r>
      <w:r>
        <w:rPr>
          <w:spacing w:val="-2"/>
        </w:rPr>
        <w:t xml:space="preserve"> </w:t>
      </w:r>
      <w:r>
        <w:t>properties</w:t>
      </w:r>
      <w:r>
        <w:rPr>
          <w:spacing w:val="-1"/>
        </w:rPr>
        <w:t xml:space="preserve"> </w:t>
      </w:r>
      <w:r>
        <w:t>don’t</w:t>
      </w:r>
      <w:r>
        <w:rPr>
          <w:spacing w:val="-1"/>
        </w:rPr>
        <w:t xml:space="preserve"> </w:t>
      </w:r>
      <w:r>
        <w:t>exist,</w:t>
      </w:r>
      <w:r>
        <w:rPr>
          <w:spacing w:val="-1"/>
        </w:rPr>
        <w:t xml:space="preserve"> </w:t>
      </w:r>
      <w:r>
        <w:t>or</w:t>
      </w:r>
      <w:r>
        <w:rPr>
          <w:spacing w:val="-1"/>
        </w:rPr>
        <w:t xml:space="preserve"> </w:t>
      </w:r>
      <w:r>
        <w:t>do</w:t>
      </w:r>
      <w:r>
        <w:rPr>
          <w:spacing w:val="-1"/>
        </w:rPr>
        <w:t xml:space="preserve"> </w:t>
      </w:r>
      <w:r>
        <w:t>exist</w:t>
      </w:r>
      <w:r>
        <w:rPr>
          <w:spacing w:val="-2"/>
        </w:rPr>
        <w:t xml:space="preserve"> </w:t>
      </w:r>
      <w:r>
        <w:t>but</w:t>
      </w:r>
      <w:r>
        <w:rPr>
          <w:spacing w:val="-1"/>
        </w:rPr>
        <w:t xml:space="preserve"> </w:t>
      </w:r>
      <w:r>
        <w:t>only</w:t>
      </w:r>
      <w:r>
        <w:rPr>
          <w:spacing w:val="-1"/>
        </w:rPr>
        <w:t xml:space="preserve"> </w:t>
      </w:r>
      <w:r>
        <w:t>because</w:t>
      </w:r>
      <w:r>
        <w:rPr>
          <w:spacing w:val="-1"/>
        </w:rPr>
        <w:t xml:space="preserve"> </w:t>
      </w:r>
      <w:r>
        <w:t>they</w:t>
      </w:r>
      <w:r>
        <w:rPr>
          <w:spacing w:val="-1"/>
        </w:rPr>
        <w:t xml:space="preserve"> </w:t>
      </w:r>
      <w:r>
        <w:t>are</w:t>
      </w:r>
      <w:r>
        <w:rPr>
          <w:spacing w:val="-1"/>
        </w:rPr>
        <w:t xml:space="preserve"> </w:t>
      </w:r>
      <w:r>
        <w:t>identical</w:t>
      </w:r>
      <w:r>
        <w:rPr>
          <w:spacing w:val="-1"/>
        </w:rPr>
        <w:t xml:space="preserve"> </w:t>
      </w:r>
      <w:r>
        <w:t>with spatiotemporal entities, is sometimes referred to as “nominalism.” But we’ll usually refer to it as “anti-Platonism.”</w:t>
      </w:r>
    </w:p>
    <w:p w14:paraId="7E0009D5" w14:textId="77777777" w:rsidR="009A58DB" w:rsidRDefault="00000000">
      <w:pPr>
        <w:pStyle w:val="BodyText"/>
        <w:spacing w:before="9" w:line="249" w:lineRule="auto"/>
        <w:ind w:right="358" w:firstLine="360"/>
      </w:pPr>
      <w:r>
        <w:t>Incidentally, nominalism is so called because some anti-Platonists held that universals are identical with word. (“Nomen” being the Latin word for “name” or “word.”) In Section 3.0, we’ll see that this position, in addition to being</w:t>
      </w:r>
      <w:r>
        <w:rPr>
          <w:spacing w:val="63"/>
          <w:w w:val="150"/>
        </w:rPr>
        <w:t xml:space="preserve"> </w:t>
      </w:r>
      <w:r>
        <w:t>false,</w:t>
      </w:r>
      <w:r>
        <w:rPr>
          <w:spacing w:val="66"/>
          <w:w w:val="150"/>
        </w:rPr>
        <w:t xml:space="preserve"> </w:t>
      </w:r>
      <w:r>
        <w:t>is</w:t>
      </w:r>
      <w:r>
        <w:rPr>
          <w:spacing w:val="66"/>
          <w:w w:val="150"/>
        </w:rPr>
        <w:t xml:space="preserve"> </w:t>
      </w:r>
      <w:r>
        <w:t>incoherent,</w:t>
      </w:r>
      <w:r>
        <w:rPr>
          <w:spacing w:val="66"/>
          <w:w w:val="150"/>
        </w:rPr>
        <w:t xml:space="preserve"> </w:t>
      </w:r>
      <w:r>
        <w:t>the</w:t>
      </w:r>
      <w:r>
        <w:rPr>
          <w:spacing w:val="66"/>
          <w:w w:val="150"/>
        </w:rPr>
        <w:t xml:space="preserve"> </w:t>
      </w:r>
      <w:r>
        <w:t>reason</w:t>
      </w:r>
      <w:r>
        <w:rPr>
          <w:spacing w:val="65"/>
          <w:w w:val="150"/>
        </w:rPr>
        <w:t xml:space="preserve"> </w:t>
      </w:r>
      <w:r>
        <w:t>being</w:t>
      </w:r>
      <w:r>
        <w:rPr>
          <w:spacing w:val="66"/>
          <w:w w:val="150"/>
        </w:rPr>
        <w:t xml:space="preserve"> </w:t>
      </w:r>
      <w:r>
        <w:t>that</w:t>
      </w:r>
      <w:r>
        <w:rPr>
          <w:spacing w:val="66"/>
          <w:w w:val="150"/>
        </w:rPr>
        <w:t xml:space="preserve"> </w:t>
      </w:r>
      <w:r>
        <w:t>words</w:t>
      </w:r>
      <w:r>
        <w:rPr>
          <w:spacing w:val="66"/>
          <w:w w:val="150"/>
        </w:rPr>
        <w:t xml:space="preserve"> </w:t>
      </w:r>
      <w:r>
        <w:t>are</w:t>
      </w:r>
      <w:r>
        <w:rPr>
          <w:spacing w:val="66"/>
          <w:w w:val="150"/>
        </w:rPr>
        <w:t xml:space="preserve"> </w:t>
      </w:r>
      <w:r>
        <w:rPr>
          <w:spacing w:val="-2"/>
        </w:rPr>
        <w:t>themselves</w:t>
      </w:r>
    </w:p>
    <w:p w14:paraId="7E0009D6" w14:textId="77777777" w:rsidR="009A58DB" w:rsidRDefault="00000000">
      <w:pPr>
        <w:pStyle w:val="BodyText"/>
        <w:spacing w:before="5" w:line="277" w:lineRule="exact"/>
        <w:ind w:left="1650"/>
        <w:jc w:val="left"/>
      </w:pPr>
      <w:bookmarkStart w:id="109" w:name="_bookmark109"/>
      <w:bookmarkEnd w:id="109"/>
      <w:r>
        <w:rPr>
          <w:color w:val="0562C1"/>
          <w:spacing w:val="-4"/>
          <w:u w:val="single" w:color="0562C1"/>
        </w:rPr>
        <w:t>[49]</w:t>
      </w:r>
    </w:p>
    <w:p w14:paraId="7E0009D7" w14:textId="77777777" w:rsidR="009A58DB" w:rsidRDefault="00000000">
      <w:pPr>
        <w:pStyle w:val="BodyText"/>
        <w:spacing w:line="277" w:lineRule="exact"/>
        <w:jc w:val="left"/>
      </w:pPr>
      <w:r>
        <w:rPr>
          <w:spacing w:val="-2"/>
        </w:rPr>
        <w:t>universals.</w:t>
      </w:r>
    </w:p>
    <w:p w14:paraId="7E0009D8" w14:textId="77777777" w:rsidR="009A58DB" w:rsidRDefault="00000000">
      <w:pPr>
        <w:pStyle w:val="Heading1"/>
        <w:numPr>
          <w:ilvl w:val="1"/>
          <w:numId w:val="211"/>
        </w:numPr>
        <w:tabs>
          <w:tab w:val="left" w:pos="990"/>
        </w:tabs>
        <w:spacing w:line="244" w:lineRule="auto"/>
        <w:ind w:right="2080" w:firstLine="0"/>
      </w:pPr>
      <w:r>
        <w:t>Why</w:t>
      </w:r>
      <w:r>
        <w:rPr>
          <w:spacing w:val="-6"/>
        </w:rPr>
        <w:t xml:space="preserve"> </w:t>
      </w:r>
      <w:r>
        <w:t>we</w:t>
      </w:r>
      <w:r>
        <w:rPr>
          <w:spacing w:val="-6"/>
        </w:rPr>
        <w:t xml:space="preserve"> </w:t>
      </w:r>
      <w:r>
        <w:t>must</w:t>
      </w:r>
      <w:r>
        <w:rPr>
          <w:spacing w:val="-6"/>
        </w:rPr>
        <w:t xml:space="preserve"> </w:t>
      </w:r>
      <w:r>
        <w:t>grant</w:t>
      </w:r>
      <w:r>
        <w:rPr>
          <w:spacing w:val="-6"/>
        </w:rPr>
        <w:t xml:space="preserve"> </w:t>
      </w:r>
      <w:r>
        <w:t>that</w:t>
      </w:r>
      <w:r>
        <w:rPr>
          <w:spacing w:val="-6"/>
        </w:rPr>
        <w:t xml:space="preserve"> </w:t>
      </w:r>
      <w:r>
        <w:t>there</w:t>
      </w:r>
      <w:r>
        <w:rPr>
          <w:spacing w:val="-6"/>
        </w:rPr>
        <w:t xml:space="preserve"> </w:t>
      </w:r>
      <w:r>
        <w:t>are</w:t>
      </w:r>
      <w:r>
        <w:rPr>
          <w:spacing w:val="-6"/>
        </w:rPr>
        <w:t xml:space="preserve"> </w:t>
      </w:r>
      <w:r>
        <w:t>non-</w:t>
      </w:r>
      <w:r>
        <w:rPr>
          <w:spacing w:val="-2"/>
        </w:rPr>
        <w:t>spatiotemporal</w:t>
      </w:r>
    </w:p>
    <w:p w14:paraId="7E0009D9" w14:textId="77777777" w:rsidR="009A58DB" w:rsidRDefault="00000000">
      <w:pPr>
        <w:spacing w:before="5"/>
        <w:ind w:left="990"/>
        <w:rPr>
          <w:b/>
          <w:sz w:val="42"/>
        </w:rPr>
      </w:pPr>
      <w:r>
        <w:rPr>
          <w:b/>
          <w:sz w:val="42"/>
        </w:rPr>
        <w:t>entities</w:t>
      </w:r>
      <w:r>
        <w:rPr>
          <w:b/>
          <w:spacing w:val="-8"/>
          <w:sz w:val="42"/>
        </w:rPr>
        <w:t xml:space="preserve"> </w:t>
      </w:r>
      <w:r>
        <w:rPr>
          <w:b/>
          <w:spacing w:val="-2"/>
          <w:sz w:val="42"/>
        </w:rPr>
        <w:t>(continued)</w:t>
      </w:r>
    </w:p>
    <w:p w14:paraId="7E0009DA" w14:textId="77777777" w:rsidR="009A58DB" w:rsidRDefault="00000000">
      <w:pPr>
        <w:pStyle w:val="BodyText"/>
        <w:spacing w:before="139"/>
        <w:jc w:val="left"/>
      </w:pPr>
      <w:r>
        <w:t>Given</w:t>
      </w:r>
      <w:r>
        <w:rPr>
          <w:spacing w:val="-3"/>
        </w:rPr>
        <w:t xml:space="preserve"> </w:t>
      </w:r>
      <w:r>
        <w:rPr>
          <w:spacing w:val="-2"/>
        </w:rPr>
        <w:t>that:</w:t>
      </w:r>
    </w:p>
    <w:p w14:paraId="7E0009DB" w14:textId="77777777" w:rsidR="009A58DB" w:rsidRDefault="009A58DB">
      <w:pPr>
        <w:pStyle w:val="BodyText"/>
        <w:spacing w:before="30"/>
        <w:ind w:left="0"/>
        <w:jc w:val="left"/>
      </w:pPr>
    </w:p>
    <w:p w14:paraId="7E0009DC" w14:textId="77777777" w:rsidR="009A58DB" w:rsidRDefault="00000000">
      <w:pPr>
        <w:pStyle w:val="ListParagraph"/>
        <w:numPr>
          <w:ilvl w:val="0"/>
          <w:numId w:val="210"/>
        </w:numPr>
        <w:tabs>
          <w:tab w:val="left" w:pos="782"/>
        </w:tabs>
        <w:ind w:left="782" w:hanging="422"/>
        <w:rPr>
          <w:sz w:val="30"/>
        </w:rPr>
      </w:pPr>
      <w:r>
        <w:rPr>
          <w:sz w:val="30"/>
        </w:rPr>
        <w:t>Sally</w:t>
      </w:r>
      <w:r>
        <w:rPr>
          <w:spacing w:val="-3"/>
          <w:sz w:val="30"/>
        </w:rPr>
        <w:t xml:space="preserve"> </w:t>
      </w:r>
      <w:r>
        <w:rPr>
          <w:sz w:val="30"/>
        </w:rPr>
        <w:t>and</w:t>
      </w:r>
      <w:r>
        <w:rPr>
          <w:spacing w:val="-2"/>
          <w:sz w:val="30"/>
        </w:rPr>
        <w:t xml:space="preserve"> </w:t>
      </w:r>
      <w:r>
        <w:rPr>
          <w:sz w:val="30"/>
        </w:rPr>
        <w:t>Fred</w:t>
      </w:r>
      <w:r>
        <w:rPr>
          <w:spacing w:val="-2"/>
          <w:sz w:val="30"/>
        </w:rPr>
        <w:t xml:space="preserve"> </w:t>
      </w:r>
      <w:r>
        <w:rPr>
          <w:sz w:val="30"/>
        </w:rPr>
        <w:t>are</w:t>
      </w:r>
      <w:r>
        <w:rPr>
          <w:spacing w:val="-3"/>
          <w:sz w:val="30"/>
        </w:rPr>
        <w:t xml:space="preserve"> </w:t>
      </w:r>
      <w:r>
        <w:rPr>
          <w:sz w:val="30"/>
        </w:rPr>
        <w:t>both</w:t>
      </w:r>
      <w:r>
        <w:rPr>
          <w:spacing w:val="-2"/>
          <w:sz w:val="30"/>
        </w:rPr>
        <w:t xml:space="preserve"> intelligent</w:t>
      </w:r>
    </w:p>
    <w:p w14:paraId="7E0009DD" w14:textId="77777777" w:rsidR="009A58DB" w:rsidRDefault="009A58DB">
      <w:pPr>
        <w:pStyle w:val="BodyText"/>
        <w:spacing w:before="30"/>
        <w:ind w:left="0"/>
        <w:jc w:val="left"/>
      </w:pPr>
    </w:p>
    <w:p w14:paraId="7E0009DE" w14:textId="77777777" w:rsidR="009A58DB" w:rsidRDefault="00000000">
      <w:pPr>
        <w:pStyle w:val="BodyText"/>
        <w:jc w:val="left"/>
      </w:pPr>
      <w:r>
        <w:t>it</w:t>
      </w:r>
      <w:r>
        <w:rPr>
          <w:spacing w:val="-6"/>
        </w:rPr>
        <w:t xml:space="preserve"> </w:t>
      </w:r>
      <w:r>
        <w:t>follows</w:t>
      </w:r>
      <w:r>
        <w:rPr>
          <w:spacing w:val="-3"/>
        </w:rPr>
        <w:t xml:space="preserve"> </w:t>
      </w:r>
      <w:r>
        <w:t>that</w:t>
      </w:r>
      <w:r>
        <w:rPr>
          <w:spacing w:val="-3"/>
        </w:rPr>
        <w:t xml:space="preserve"> </w:t>
      </w:r>
      <w:r>
        <w:t>there</w:t>
      </w:r>
      <w:r>
        <w:rPr>
          <w:spacing w:val="-3"/>
        </w:rPr>
        <w:t xml:space="preserve"> </w:t>
      </w:r>
      <w:r>
        <w:t>is</w:t>
      </w:r>
      <w:r>
        <w:rPr>
          <w:spacing w:val="-4"/>
        </w:rPr>
        <w:t xml:space="preserve"> </w:t>
      </w:r>
      <w:r>
        <w:t>something</w:t>
      </w:r>
      <w:r>
        <w:rPr>
          <w:spacing w:val="-2"/>
        </w:rPr>
        <w:t xml:space="preserve"> </w:t>
      </w:r>
      <w:r>
        <w:t>that</w:t>
      </w:r>
      <w:r>
        <w:rPr>
          <w:spacing w:val="-3"/>
        </w:rPr>
        <w:t xml:space="preserve"> </w:t>
      </w:r>
      <w:r>
        <w:t>they</w:t>
      </w:r>
      <w:r>
        <w:rPr>
          <w:spacing w:val="-2"/>
        </w:rPr>
        <w:t xml:space="preserve"> </w:t>
      </w:r>
      <w:r>
        <w:t>have</w:t>
      </w:r>
      <w:r>
        <w:rPr>
          <w:spacing w:val="-4"/>
        </w:rPr>
        <w:t xml:space="preserve"> </w:t>
      </w:r>
      <w:r>
        <w:t>in</w:t>
      </w:r>
      <w:r>
        <w:rPr>
          <w:spacing w:val="-2"/>
        </w:rPr>
        <w:t xml:space="preserve"> </w:t>
      </w:r>
      <w:r>
        <w:t>common;</w:t>
      </w:r>
      <w:r>
        <w:rPr>
          <w:spacing w:val="-3"/>
        </w:rPr>
        <w:t xml:space="preserve"> </w:t>
      </w:r>
      <w:r>
        <w:t>that</w:t>
      </w:r>
      <w:r>
        <w:rPr>
          <w:spacing w:val="-3"/>
        </w:rPr>
        <w:t xml:space="preserve"> </w:t>
      </w:r>
      <w:r>
        <w:t>is,</w:t>
      </w:r>
      <w:r>
        <w:rPr>
          <w:spacing w:val="-2"/>
        </w:rPr>
        <w:t xml:space="preserve"> </w:t>
      </w:r>
      <w:r>
        <w:rPr>
          <w:spacing w:val="-4"/>
        </w:rPr>
        <w:t>that</w:t>
      </w:r>
    </w:p>
    <w:p w14:paraId="7E0009DF" w14:textId="77777777" w:rsidR="009A58DB" w:rsidRDefault="009A58DB">
      <w:pPr>
        <w:pStyle w:val="BodyText"/>
        <w:spacing w:before="30"/>
        <w:ind w:left="0"/>
        <w:jc w:val="left"/>
      </w:pPr>
    </w:p>
    <w:p w14:paraId="7E0009E0" w14:textId="77777777" w:rsidR="009A58DB" w:rsidRDefault="00000000">
      <w:pPr>
        <w:pStyle w:val="ListParagraph"/>
        <w:numPr>
          <w:ilvl w:val="0"/>
          <w:numId w:val="210"/>
        </w:numPr>
        <w:tabs>
          <w:tab w:val="left" w:pos="784"/>
        </w:tabs>
        <w:spacing w:line="249" w:lineRule="auto"/>
        <w:ind w:left="360" w:right="360" w:firstLine="0"/>
        <w:rPr>
          <w:sz w:val="30"/>
        </w:rPr>
      </w:pPr>
      <w:r>
        <w:rPr>
          <w:sz w:val="30"/>
        </w:rPr>
        <w:t>there</w:t>
      </w:r>
      <w:r>
        <w:rPr>
          <w:spacing w:val="-1"/>
          <w:sz w:val="30"/>
        </w:rPr>
        <w:t xml:space="preserve"> </w:t>
      </w:r>
      <w:r>
        <w:rPr>
          <w:sz w:val="30"/>
        </w:rPr>
        <w:t>exists</w:t>
      </w:r>
      <w:r>
        <w:rPr>
          <w:spacing w:val="-1"/>
          <w:sz w:val="30"/>
        </w:rPr>
        <w:t xml:space="preserve"> </w:t>
      </w:r>
      <w:r>
        <w:rPr>
          <w:sz w:val="30"/>
        </w:rPr>
        <w:t>some</w:t>
      </w:r>
      <w:r>
        <w:rPr>
          <w:spacing w:val="-1"/>
          <w:sz w:val="30"/>
        </w:rPr>
        <w:t xml:space="preserve"> </w:t>
      </w:r>
      <w:r>
        <w:rPr>
          <w:sz w:val="30"/>
        </w:rPr>
        <w:t>property</w:t>
      </w:r>
      <w:r>
        <w:rPr>
          <w:spacing w:val="-1"/>
          <w:sz w:val="30"/>
        </w:rPr>
        <w:t xml:space="preserve"> </w:t>
      </w:r>
      <w:r>
        <w:rPr>
          <w:sz w:val="30"/>
        </w:rPr>
        <w:t>P</w:t>
      </w:r>
      <w:r>
        <w:rPr>
          <w:spacing w:val="-1"/>
          <w:sz w:val="30"/>
        </w:rPr>
        <w:t xml:space="preserve"> </w:t>
      </w:r>
      <w:r>
        <w:rPr>
          <w:sz w:val="30"/>
        </w:rPr>
        <w:t>such</w:t>
      </w:r>
      <w:r>
        <w:rPr>
          <w:spacing w:val="-1"/>
          <w:sz w:val="30"/>
        </w:rPr>
        <w:t xml:space="preserve"> </w:t>
      </w:r>
      <w:r>
        <w:rPr>
          <w:sz w:val="30"/>
        </w:rPr>
        <w:t>that</w:t>
      </w:r>
      <w:r>
        <w:rPr>
          <w:spacing w:val="-1"/>
          <w:sz w:val="30"/>
        </w:rPr>
        <w:t xml:space="preserve"> </w:t>
      </w:r>
      <w:r>
        <w:rPr>
          <w:sz w:val="30"/>
        </w:rPr>
        <w:t>Fred</w:t>
      </w:r>
      <w:r>
        <w:rPr>
          <w:spacing w:val="-1"/>
          <w:sz w:val="30"/>
        </w:rPr>
        <w:t xml:space="preserve"> </w:t>
      </w:r>
      <w:r>
        <w:rPr>
          <w:sz w:val="30"/>
        </w:rPr>
        <w:t>is</w:t>
      </w:r>
      <w:r>
        <w:rPr>
          <w:spacing w:val="-1"/>
          <w:sz w:val="30"/>
        </w:rPr>
        <w:t xml:space="preserve"> </w:t>
      </w:r>
      <w:r>
        <w:rPr>
          <w:sz w:val="30"/>
        </w:rPr>
        <w:t>an</w:t>
      </w:r>
      <w:r>
        <w:rPr>
          <w:spacing w:val="-1"/>
          <w:sz w:val="30"/>
        </w:rPr>
        <w:t xml:space="preserve"> </w:t>
      </w:r>
      <w:r>
        <w:rPr>
          <w:sz w:val="30"/>
        </w:rPr>
        <w:t>instance</w:t>
      </w:r>
      <w:r>
        <w:rPr>
          <w:spacing w:val="-1"/>
          <w:sz w:val="30"/>
        </w:rPr>
        <w:t xml:space="preserve"> </w:t>
      </w:r>
      <w:r>
        <w:rPr>
          <w:sz w:val="30"/>
        </w:rPr>
        <w:t>of</w:t>
      </w:r>
      <w:r>
        <w:rPr>
          <w:spacing w:val="-1"/>
          <w:sz w:val="30"/>
        </w:rPr>
        <w:t xml:space="preserve"> </w:t>
      </w:r>
      <w:r>
        <w:rPr>
          <w:sz w:val="30"/>
        </w:rPr>
        <w:t>P</w:t>
      </w:r>
      <w:r>
        <w:rPr>
          <w:spacing w:val="-1"/>
          <w:sz w:val="30"/>
        </w:rPr>
        <w:t xml:space="preserve"> </w:t>
      </w:r>
      <w:r>
        <w:rPr>
          <w:sz w:val="30"/>
        </w:rPr>
        <w:t>and</w:t>
      </w:r>
      <w:r>
        <w:rPr>
          <w:spacing w:val="-1"/>
          <w:sz w:val="30"/>
        </w:rPr>
        <w:t xml:space="preserve"> </w:t>
      </w:r>
      <w:r>
        <w:rPr>
          <w:sz w:val="30"/>
        </w:rPr>
        <w:t>Sally</w:t>
      </w:r>
      <w:r>
        <w:rPr>
          <w:spacing w:val="-1"/>
          <w:sz w:val="30"/>
        </w:rPr>
        <w:t xml:space="preserve"> </w:t>
      </w:r>
      <w:r>
        <w:rPr>
          <w:sz w:val="30"/>
        </w:rPr>
        <w:t>is an instance of P.</w:t>
      </w:r>
    </w:p>
    <w:p w14:paraId="7E0009E1" w14:textId="77777777" w:rsidR="009A58DB" w:rsidRDefault="009A58DB">
      <w:pPr>
        <w:pStyle w:val="BodyText"/>
        <w:spacing w:before="17"/>
        <w:ind w:left="0"/>
        <w:jc w:val="left"/>
      </w:pPr>
    </w:p>
    <w:p w14:paraId="7E0009E2" w14:textId="77777777" w:rsidR="009A58DB" w:rsidRDefault="00000000">
      <w:pPr>
        <w:pStyle w:val="BodyText"/>
        <w:spacing w:line="249" w:lineRule="auto"/>
        <w:ind w:right="360" w:firstLine="360"/>
      </w:pPr>
      <w:r>
        <w:t>Instances of intelligence are in space-time. Einstein was in space-time; so was Keynes. But intelligence itself is not in space-time. “But mightn’t the property of intelligence be nothing other than some sort of aggregate of all its instances?,” one might ask. “Mightn’t there be some way of spatio-temporalizing that entity?”</w:t>
      </w:r>
    </w:p>
    <w:p w14:paraId="7E0009E3" w14:textId="77777777" w:rsidR="009A58DB" w:rsidRDefault="00000000">
      <w:pPr>
        <w:pStyle w:val="BodyText"/>
        <w:spacing w:before="7"/>
        <w:ind w:left="720"/>
      </w:pPr>
      <w:r>
        <w:t>No.</w:t>
      </w:r>
      <w:r>
        <w:rPr>
          <w:spacing w:val="11"/>
        </w:rPr>
        <w:t xml:space="preserve"> </w:t>
      </w:r>
      <w:r>
        <w:t>Consider</w:t>
      </w:r>
      <w:r>
        <w:rPr>
          <w:spacing w:val="13"/>
        </w:rPr>
        <w:t xml:space="preserve"> </w:t>
      </w:r>
      <w:r>
        <w:t>the</w:t>
      </w:r>
      <w:r>
        <w:rPr>
          <w:spacing w:val="13"/>
        </w:rPr>
        <w:t xml:space="preserve"> </w:t>
      </w:r>
      <w:r>
        <w:t>property</w:t>
      </w:r>
      <w:r>
        <w:rPr>
          <w:spacing w:val="13"/>
        </w:rPr>
        <w:t xml:space="preserve"> </w:t>
      </w:r>
      <w:r>
        <w:t>of</w:t>
      </w:r>
      <w:r>
        <w:rPr>
          <w:spacing w:val="14"/>
        </w:rPr>
        <w:t xml:space="preserve"> </w:t>
      </w:r>
      <w:r>
        <w:t>having</w:t>
      </w:r>
      <w:r>
        <w:rPr>
          <w:spacing w:val="13"/>
        </w:rPr>
        <w:t xml:space="preserve"> </w:t>
      </w:r>
      <w:r>
        <w:t>a</w:t>
      </w:r>
      <w:r>
        <w:rPr>
          <w:spacing w:val="13"/>
        </w:rPr>
        <w:t xml:space="preserve"> </w:t>
      </w:r>
      <w:r>
        <w:t>perfectly</w:t>
      </w:r>
      <w:r>
        <w:rPr>
          <w:spacing w:val="13"/>
        </w:rPr>
        <w:t xml:space="preserve"> </w:t>
      </w:r>
      <w:r>
        <w:t>triangular</w:t>
      </w:r>
      <w:r>
        <w:rPr>
          <w:spacing w:val="13"/>
        </w:rPr>
        <w:t xml:space="preserve"> </w:t>
      </w:r>
      <w:r>
        <w:t>shape.</w:t>
      </w:r>
      <w:r>
        <w:rPr>
          <w:spacing w:val="14"/>
        </w:rPr>
        <w:t xml:space="preserve"> </w:t>
      </w:r>
      <w:r>
        <w:rPr>
          <w:spacing w:val="-2"/>
        </w:rPr>
        <w:t>Nothing</w:t>
      </w:r>
    </w:p>
    <w:p w14:paraId="7E0009E4" w14:textId="77777777" w:rsidR="009A58DB" w:rsidRDefault="009A58DB">
      <w:pPr>
        <w:pStyle w:val="BodyText"/>
        <w:sectPr w:rsidR="009A58DB">
          <w:pgSz w:w="12240" w:h="15840"/>
          <w:pgMar w:top="1380" w:right="1080" w:bottom="280" w:left="1080" w:header="720" w:footer="720" w:gutter="0"/>
          <w:cols w:space="720"/>
        </w:sectPr>
      </w:pPr>
    </w:p>
    <w:p w14:paraId="7E0009E5" w14:textId="77777777" w:rsidR="009A58DB" w:rsidRDefault="00000000">
      <w:pPr>
        <w:pStyle w:val="BodyText"/>
        <w:spacing w:before="60" w:line="249" w:lineRule="auto"/>
        <w:ind w:right="363"/>
      </w:pPr>
      <w:r>
        <w:lastRenderedPageBreak/>
        <w:t>has this property. Are we to say that it doesn’t exist? Were we to do so, we’d be saying that, since there are no instances of the property of triangularity, that property doesn’t exist. Which is the same as saying there exists a property,</w:t>
      </w:r>
      <w:r>
        <w:rPr>
          <w:spacing w:val="-1"/>
        </w:rPr>
        <w:t xml:space="preserve"> </w:t>
      </w:r>
      <w:r>
        <w:t>viz.</w:t>
      </w:r>
      <w:r>
        <w:rPr>
          <w:spacing w:val="-1"/>
        </w:rPr>
        <w:t xml:space="preserve"> </w:t>
      </w:r>
      <w:r>
        <w:t>that</w:t>
      </w:r>
      <w:r>
        <w:rPr>
          <w:spacing w:val="-1"/>
        </w:rPr>
        <w:t xml:space="preserve"> </w:t>
      </w:r>
      <w:r>
        <w:t>of</w:t>
      </w:r>
      <w:r>
        <w:rPr>
          <w:spacing w:val="-1"/>
        </w:rPr>
        <w:t xml:space="preserve"> </w:t>
      </w:r>
      <w:r>
        <w:t>triangularity,</w:t>
      </w:r>
      <w:r>
        <w:rPr>
          <w:spacing w:val="-1"/>
        </w:rPr>
        <w:t xml:space="preserve"> </w:t>
      </w:r>
      <w:r>
        <w:t>such</w:t>
      </w:r>
      <w:r>
        <w:rPr>
          <w:spacing w:val="-1"/>
        </w:rPr>
        <w:t xml:space="preserve"> </w:t>
      </w:r>
      <w:r>
        <w:t>that,</w:t>
      </w:r>
      <w:r>
        <w:rPr>
          <w:spacing w:val="-1"/>
        </w:rPr>
        <w:t xml:space="preserve"> </w:t>
      </w:r>
      <w:r>
        <w:t>because</w:t>
      </w:r>
      <w:r>
        <w:rPr>
          <w:spacing w:val="-1"/>
        </w:rPr>
        <w:t xml:space="preserve"> </w:t>
      </w:r>
      <w:r>
        <w:t>nothing</w:t>
      </w:r>
      <w:r>
        <w:rPr>
          <w:spacing w:val="-1"/>
        </w:rPr>
        <w:t xml:space="preserve"> </w:t>
      </w:r>
      <w:r>
        <w:t>has</w:t>
      </w:r>
      <w:r>
        <w:rPr>
          <w:spacing w:val="-1"/>
        </w:rPr>
        <w:t xml:space="preserve"> </w:t>
      </w:r>
      <w:r>
        <w:t>it,</w:t>
      </w:r>
      <w:r>
        <w:rPr>
          <w:spacing w:val="-1"/>
        </w:rPr>
        <w:t xml:space="preserve"> </w:t>
      </w:r>
      <w:r>
        <w:t>it</w:t>
      </w:r>
      <w:r>
        <w:rPr>
          <w:spacing w:val="-1"/>
        </w:rPr>
        <w:t xml:space="preserve"> </w:t>
      </w:r>
      <w:r>
        <w:t>doesn’t exist. Which is absurd.</w:t>
      </w:r>
    </w:p>
    <w:p w14:paraId="7E0009E6" w14:textId="77777777" w:rsidR="009A58DB" w:rsidRDefault="00000000">
      <w:pPr>
        <w:pStyle w:val="BodyText"/>
        <w:spacing w:before="11" w:line="249" w:lineRule="auto"/>
        <w:ind w:right="361" w:firstLine="360"/>
      </w:pPr>
      <w:r>
        <w:t xml:space="preserve">Also, a consequence of identifying properties with “aggregates” of their instances is that properties that clearly aren’t identical with each other must be seen as being identical with each other. (In this context, the word “aggregate” can refer to any spatiotemporal entity that is composed, in </w:t>
      </w:r>
      <w:r>
        <w:rPr>
          <w:i/>
        </w:rPr>
        <w:t xml:space="preserve">any </w:t>
      </w:r>
      <w:r>
        <w:t>sense of the word “compose,” of other spatiotemporal entities.) There are no perfectly spherical objects; nor, as we just pointed out, are there any perfectly triangular objects. So, if we identify properties with aggregates of their instances, the aggregate of all the instances of the one property is identical with the aggregate of all the instances of the other, the reason being that each aggregate is a perfect nullity.</w:t>
      </w:r>
    </w:p>
    <w:p w14:paraId="7E0009E7" w14:textId="77777777" w:rsidR="009A58DB" w:rsidRDefault="00000000">
      <w:pPr>
        <w:pStyle w:val="BodyText"/>
        <w:spacing w:before="12" w:line="249" w:lineRule="auto"/>
        <w:ind w:right="359" w:firstLine="360"/>
      </w:pPr>
      <w:r>
        <w:t>A story will clarify these points. Max is the world’s greatest harpsichord player. He’s also the only redhaired person who ever has, or ever will, set</w:t>
      </w:r>
      <w:r>
        <w:rPr>
          <w:spacing w:val="40"/>
        </w:rPr>
        <w:t xml:space="preserve"> </w:t>
      </w:r>
      <w:r>
        <w:t xml:space="preserve">foot in house X. The property </w:t>
      </w:r>
      <w:r>
        <w:rPr>
          <w:i/>
        </w:rPr>
        <w:t xml:space="preserve">red-haired person who sets foot in X </w:t>
      </w:r>
      <w:r>
        <w:t xml:space="preserve">is co-extensive with the property </w:t>
      </w:r>
      <w:r>
        <w:rPr>
          <w:i/>
        </w:rPr>
        <w:t xml:space="preserve">world’s greatest harpsichord player. </w:t>
      </w:r>
      <w:r>
        <w:t xml:space="preserve">Given that, for this reason, there is </w:t>
      </w:r>
      <w:r>
        <w:rPr>
          <w:i/>
        </w:rPr>
        <w:t xml:space="preserve">no </w:t>
      </w:r>
      <w:r>
        <w:t>aggregate of things having either property, it follows that no aggregate of things having the one property is different in any respect from any aggregate having the other property. This means that, anything x that is an aggregate of the one kind will be identical with anything y that is an aggregate of the other. Thus, a consequence of identifying properties with aggregates of their instances is that there cannot be distinct, uninstantiated properties. But that’s absurd. The property of being a perfect husband is obviously distinct from the property of being a perfect soldier, even though neither property is instantiated.</w:t>
      </w:r>
    </w:p>
    <w:p w14:paraId="7E0009E8" w14:textId="77777777" w:rsidR="009A58DB" w:rsidRDefault="00000000">
      <w:pPr>
        <w:pStyle w:val="Heading1"/>
        <w:numPr>
          <w:ilvl w:val="1"/>
          <w:numId w:val="211"/>
        </w:numPr>
        <w:tabs>
          <w:tab w:val="left" w:pos="990"/>
        </w:tabs>
        <w:spacing w:before="204"/>
        <w:ind w:left="990" w:hanging="630"/>
      </w:pPr>
      <w:r>
        <w:t>Logic</w:t>
      </w:r>
      <w:r>
        <w:rPr>
          <w:spacing w:val="-9"/>
        </w:rPr>
        <w:t xml:space="preserve"> </w:t>
      </w:r>
      <w:r>
        <w:t>property-based,</w:t>
      </w:r>
      <w:r>
        <w:rPr>
          <w:spacing w:val="-7"/>
        </w:rPr>
        <w:t xml:space="preserve"> </w:t>
      </w:r>
      <w:r>
        <w:t>not</w:t>
      </w:r>
      <w:r>
        <w:rPr>
          <w:spacing w:val="-6"/>
        </w:rPr>
        <w:t xml:space="preserve"> </w:t>
      </w:r>
      <w:r>
        <w:t>set-</w:t>
      </w:r>
      <w:r>
        <w:rPr>
          <w:spacing w:val="-2"/>
        </w:rPr>
        <w:t>based</w:t>
      </w:r>
    </w:p>
    <w:p w14:paraId="7E0009E9" w14:textId="77777777" w:rsidR="009A58DB" w:rsidRDefault="00000000">
      <w:pPr>
        <w:pStyle w:val="BodyText"/>
        <w:spacing w:before="139"/>
      </w:pPr>
      <w:r>
        <w:t>Consider</w:t>
      </w:r>
      <w:r>
        <w:rPr>
          <w:spacing w:val="-6"/>
        </w:rPr>
        <w:t xml:space="preserve"> </w:t>
      </w:r>
      <w:r>
        <w:t>the</w:t>
      </w:r>
      <w:r>
        <w:rPr>
          <w:spacing w:val="-6"/>
        </w:rPr>
        <w:t xml:space="preserve"> </w:t>
      </w:r>
      <w:r>
        <w:t>clearly</w:t>
      </w:r>
      <w:r>
        <w:rPr>
          <w:spacing w:val="-4"/>
        </w:rPr>
        <w:t xml:space="preserve"> </w:t>
      </w:r>
      <w:r>
        <w:t>correct</w:t>
      </w:r>
      <w:r>
        <w:rPr>
          <w:spacing w:val="-6"/>
        </w:rPr>
        <w:t xml:space="preserve"> </w:t>
      </w:r>
      <w:r>
        <w:t>statement</w:t>
      </w:r>
      <w:r>
        <w:rPr>
          <w:spacing w:val="-5"/>
        </w:rPr>
        <w:t xml:space="preserve"> </w:t>
      </w:r>
      <w:r>
        <w:rPr>
          <w:spacing w:val="-4"/>
        </w:rPr>
        <w:t>that:</w:t>
      </w:r>
    </w:p>
    <w:p w14:paraId="7E0009EA" w14:textId="77777777" w:rsidR="009A58DB" w:rsidRDefault="009A58DB">
      <w:pPr>
        <w:pStyle w:val="BodyText"/>
        <w:spacing w:before="30"/>
        <w:ind w:left="0"/>
        <w:jc w:val="left"/>
      </w:pPr>
    </w:p>
    <w:p w14:paraId="7E0009EB" w14:textId="77777777" w:rsidR="009A58DB" w:rsidRDefault="00000000">
      <w:pPr>
        <w:pStyle w:val="ListParagraph"/>
        <w:numPr>
          <w:ilvl w:val="0"/>
          <w:numId w:val="209"/>
        </w:numPr>
        <w:tabs>
          <w:tab w:val="left" w:pos="782"/>
        </w:tabs>
        <w:ind w:left="782" w:hanging="422"/>
        <w:rPr>
          <w:sz w:val="30"/>
        </w:rPr>
      </w:pPr>
      <w:r>
        <w:rPr>
          <w:sz w:val="30"/>
        </w:rPr>
        <w:t>squareness</w:t>
      </w:r>
      <w:r>
        <w:rPr>
          <w:spacing w:val="-3"/>
          <w:sz w:val="30"/>
        </w:rPr>
        <w:t xml:space="preserve"> </w:t>
      </w:r>
      <w:r>
        <w:rPr>
          <w:sz w:val="30"/>
        </w:rPr>
        <w:t>is</w:t>
      </w:r>
      <w:r>
        <w:rPr>
          <w:spacing w:val="-3"/>
          <w:sz w:val="30"/>
        </w:rPr>
        <w:t xml:space="preserve"> </w:t>
      </w:r>
      <w:r>
        <w:rPr>
          <w:sz w:val="30"/>
        </w:rPr>
        <w:t>a</w:t>
      </w:r>
      <w:r>
        <w:rPr>
          <w:spacing w:val="-3"/>
          <w:sz w:val="30"/>
        </w:rPr>
        <w:t xml:space="preserve"> </w:t>
      </w:r>
      <w:r>
        <w:rPr>
          <w:sz w:val="30"/>
        </w:rPr>
        <w:t>form</w:t>
      </w:r>
      <w:r>
        <w:rPr>
          <w:spacing w:val="-3"/>
          <w:sz w:val="30"/>
        </w:rPr>
        <w:t xml:space="preserve"> </w:t>
      </w:r>
      <w:r>
        <w:rPr>
          <w:sz w:val="30"/>
        </w:rPr>
        <w:t>of</w:t>
      </w:r>
      <w:r>
        <w:rPr>
          <w:spacing w:val="-2"/>
          <w:sz w:val="30"/>
        </w:rPr>
        <w:t xml:space="preserve"> rectangularity.</w:t>
      </w:r>
    </w:p>
    <w:p w14:paraId="7E0009EC" w14:textId="77777777" w:rsidR="009A58DB" w:rsidRDefault="009A58DB">
      <w:pPr>
        <w:pStyle w:val="BodyText"/>
        <w:spacing w:before="30"/>
        <w:ind w:left="0"/>
        <w:jc w:val="left"/>
      </w:pPr>
    </w:p>
    <w:p w14:paraId="7E0009ED" w14:textId="77777777" w:rsidR="009A58DB" w:rsidRDefault="00000000">
      <w:pPr>
        <w:pStyle w:val="BodyText"/>
      </w:pPr>
      <w:r>
        <w:t>On</w:t>
      </w:r>
      <w:r>
        <w:rPr>
          <w:spacing w:val="69"/>
        </w:rPr>
        <w:t xml:space="preserve"> </w:t>
      </w:r>
      <w:r>
        <w:t>the</w:t>
      </w:r>
      <w:r>
        <w:rPr>
          <w:spacing w:val="71"/>
        </w:rPr>
        <w:t xml:space="preserve"> </w:t>
      </w:r>
      <w:r>
        <w:t>face</w:t>
      </w:r>
      <w:r>
        <w:rPr>
          <w:spacing w:val="72"/>
        </w:rPr>
        <w:t xml:space="preserve"> </w:t>
      </w:r>
      <w:r>
        <w:t>of</w:t>
      </w:r>
      <w:r>
        <w:rPr>
          <w:spacing w:val="71"/>
        </w:rPr>
        <w:t xml:space="preserve"> </w:t>
      </w:r>
      <w:r>
        <w:t>it,</w:t>
      </w:r>
      <w:r>
        <w:rPr>
          <w:spacing w:val="72"/>
        </w:rPr>
        <w:t xml:space="preserve"> </w:t>
      </w:r>
      <w:r>
        <w:t>(1)</w:t>
      </w:r>
      <w:r>
        <w:rPr>
          <w:spacing w:val="71"/>
        </w:rPr>
        <w:t xml:space="preserve"> </w:t>
      </w:r>
      <w:r>
        <w:t>seems</w:t>
      </w:r>
      <w:r>
        <w:rPr>
          <w:spacing w:val="72"/>
        </w:rPr>
        <w:t xml:space="preserve"> </w:t>
      </w:r>
      <w:r>
        <w:t>to</w:t>
      </w:r>
      <w:r>
        <w:rPr>
          <w:spacing w:val="71"/>
        </w:rPr>
        <w:t xml:space="preserve"> </w:t>
      </w:r>
      <w:r>
        <w:t>make</w:t>
      </w:r>
      <w:r>
        <w:rPr>
          <w:spacing w:val="71"/>
        </w:rPr>
        <w:t xml:space="preserve"> </w:t>
      </w:r>
      <w:r>
        <w:t>a</w:t>
      </w:r>
      <w:r>
        <w:rPr>
          <w:spacing w:val="72"/>
        </w:rPr>
        <w:t xml:space="preserve"> </w:t>
      </w:r>
      <w:r>
        <w:t>statement</w:t>
      </w:r>
      <w:r>
        <w:rPr>
          <w:spacing w:val="71"/>
        </w:rPr>
        <w:t xml:space="preserve"> </w:t>
      </w:r>
      <w:r>
        <w:t>about</w:t>
      </w:r>
      <w:r>
        <w:rPr>
          <w:spacing w:val="71"/>
        </w:rPr>
        <w:t xml:space="preserve"> </w:t>
      </w:r>
      <w:r>
        <w:t>the</w:t>
      </w:r>
      <w:r>
        <w:rPr>
          <w:spacing w:val="71"/>
        </w:rPr>
        <w:t xml:space="preserve"> </w:t>
      </w:r>
      <w:r>
        <w:t>property</w:t>
      </w:r>
      <w:r>
        <w:rPr>
          <w:spacing w:val="72"/>
        </w:rPr>
        <w:t xml:space="preserve"> </w:t>
      </w:r>
      <w:r>
        <w:rPr>
          <w:spacing w:val="-5"/>
        </w:rPr>
        <w:t>of</w:t>
      </w:r>
    </w:p>
    <w:p w14:paraId="7E0009EE" w14:textId="77777777" w:rsidR="009A58DB" w:rsidRDefault="009A58DB">
      <w:pPr>
        <w:pStyle w:val="BodyText"/>
        <w:sectPr w:rsidR="009A58DB">
          <w:pgSz w:w="12240" w:h="15840"/>
          <w:pgMar w:top="1380" w:right="1080" w:bottom="280" w:left="1080" w:header="720" w:footer="720" w:gutter="0"/>
          <w:cols w:space="720"/>
        </w:sectPr>
      </w:pPr>
    </w:p>
    <w:p w14:paraId="7E0009EF" w14:textId="77777777" w:rsidR="009A58DB" w:rsidRDefault="00000000">
      <w:pPr>
        <w:pStyle w:val="BodyText"/>
        <w:spacing w:before="60" w:line="249" w:lineRule="auto"/>
        <w:ind w:left="327" w:right="332"/>
        <w:jc w:val="center"/>
      </w:pPr>
      <w:r>
        <w:lastRenderedPageBreak/>
        <w:t>squareness.</w:t>
      </w:r>
      <w:r>
        <w:rPr>
          <w:spacing w:val="72"/>
        </w:rPr>
        <w:t xml:space="preserve"> </w:t>
      </w:r>
      <w:r>
        <w:t>So,</w:t>
      </w:r>
      <w:r>
        <w:rPr>
          <w:spacing w:val="72"/>
        </w:rPr>
        <w:t xml:space="preserve"> </w:t>
      </w:r>
      <w:r>
        <w:t>if</w:t>
      </w:r>
      <w:r>
        <w:rPr>
          <w:spacing w:val="71"/>
        </w:rPr>
        <w:t xml:space="preserve"> </w:t>
      </w:r>
      <w:r>
        <w:t>(1)</w:t>
      </w:r>
      <w:r>
        <w:rPr>
          <w:spacing w:val="71"/>
        </w:rPr>
        <w:t xml:space="preserve"> </w:t>
      </w:r>
      <w:r>
        <w:t>‘s</w:t>
      </w:r>
      <w:r>
        <w:rPr>
          <w:spacing w:val="71"/>
        </w:rPr>
        <w:t xml:space="preserve"> </w:t>
      </w:r>
      <w:r>
        <w:t>appearance</w:t>
      </w:r>
      <w:r>
        <w:rPr>
          <w:spacing w:val="71"/>
        </w:rPr>
        <w:t xml:space="preserve"> </w:t>
      </w:r>
      <w:r>
        <w:t>is</w:t>
      </w:r>
      <w:r>
        <w:rPr>
          <w:spacing w:val="71"/>
        </w:rPr>
        <w:t xml:space="preserve"> </w:t>
      </w:r>
      <w:r>
        <w:t>to</w:t>
      </w:r>
      <w:r>
        <w:rPr>
          <w:spacing w:val="72"/>
        </w:rPr>
        <w:t xml:space="preserve"> </w:t>
      </w:r>
      <w:r>
        <w:t>be</w:t>
      </w:r>
      <w:r>
        <w:rPr>
          <w:spacing w:val="71"/>
        </w:rPr>
        <w:t xml:space="preserve"> </w:t>
      </w:r>
      <w:r>
        <w:t>trusted,</w:t>
      </w:r>
      <w:r>
        <w:rPr>
          <w:spacing w:val="72"/>
        </w:rPr>
        <w:t xml:space="preserve"> </w:t>
      </w:r>
      <w:r>
        <w:t>then</w:t>
      </w:r>
      <w:r>
        <w:rPr>
          <w:spacing w:val="72"/>
        </w:rPr>
        <w:t xml:space="preserve"> </w:t>
      </w:r>
      <w:r>
        <w:t>there</w:t>
      </w:r>
      <w:r>
        <w:rPr>
          <w:spacing w:val="71"/>
        </w:rPr>
        <w:t xml:space="preserve"> </w:t>
      </w:r>
      <w:r>
        <w:t>exists</w:t>
      </w:r>
      <w:r>
        <w:rPr>
          <w:spacing w:val="71"/>
        </w:rPr>
        <w:t xml:space="preserve"> </w:t>
      </w:r>
      <w:r>
        <w:t>a property</w:t>
      </w:r>
      <w:r>
        <w:rPr>
          <w:spacing w:val="4"/>
        </w:rPr>
        <w:t xml:space="preserve"> </w:t>
      </w:r>
      <w:r>
        <w:t>(viz.</w:t>
      </w:r>
      <w:r>
        <w:rPr>
          <w:spacing w:val="7"/>
        </w:rPr>
        <w:t xml:space="preserve"> </w:t>
      </w:r>
      <w:r>
        <w:t>that</w:t>
      </w:r>
      <w:r>
        <w:rPr>
          <w:spacing w:val="7"/>
        </w:rPr>
        <w:t xml:space="preserve"> </w:t>
      </w:r>
      <w:r>
        <w:t>of</w:t>
      </w:r>
      <w:r>
        <w:rPr>
          <w:spacing w:val="6"/>
        </w:rPr>
        <w:t xml:space="preserve"> </w:t>
      </w:r>
      <w:r>
        <w:t>squareness)</w:t>
      </w:r>
      <w:r>
        <w:rPr>
          <w:spacing w:val="8"/>
        </w:rPr>
        <w:t xml:space="preserve"> </w:t>
      </w:r>
      <w:r>
        <w:t>that</w:t>
      </w:r>
      <w:r>
        <w:rPr>
          <w:spacing w:val="6"/>
        </w:rPr>
        <w:t xml:space="preserve"> </w:t>
      </w:r>
      <w:r>
        <w:t>has</w:t>
      </w:r>
      <w:r>
        <w:rPr>
          <w:spacing w:val="6"/>
        </w:rPr>
        <w:t xml:space="preserve"> </w:t>
      </w:r>
      <w:r>
        <w:t>another</w:t>
      </w:r>
      <w:r>
        <w:rPr>
          <w:spacing w:val="8"/>
        </w:rPr>
        <w:t xml:space="preserve"> </w:t>
      </w:r>
      <w:r>
        <w:t>property</w:t>
      </w:r>
      <w:r>
        <w:rPr>
          <w:spacing w:val="6"/>
        </w:rPr>
        <w:t xml:space="preserve"> </w:t>
      </w:r>
      <w:r>
        <w:t>(viz.</w:t>
      </w:r>
      <w:r>
        <w:rPr>
          <w:spacing w:val="8"/>
        </w:rPr>
        <w:t xml:space="preserve"> </w:t>
      </w:r>
      <w:r>
        <w:t>that</w:t>
      </w:r>
      <w:r>
        <w:rPr>
          <w:spacing w:val="6"/>
        </w:rPr>
        <w:t xml:space="preserve"> </w:t>
      </w:r>
      <w:r>
        <w:t>of</w:t>
      </w:r>
      <w:r>
        <w:rPr>
          <w:spacing w:val="8"/>
        </w:rPr>
        <w:t xml:space="preserve"> </w:t>
      </w:r>
      <w:r>
        <w:rPr>
          <w:spacing w:val="-2"/>
        </w:rPr>
        <w:t>being</w:t>
      </w:r>
    </w:p>
    <w:p w14:paraId="7E0009F0" w14:textId="77777777" w:rsidR="009A58DB" w:rsidRDefault="00000000">
      <w:pPr>
        <w:pStyle w:val="BodyText"/>
        <w:spacing w:before="2" w:line="277" w:lineRule="exact"/>
        <w:ind w:left="2688" w:right="332"/>
        <w:jc w:val="center"/>
      </w:pPr>
      <w:bookmarkStart w:id="110" w:name="_bookmark110"/>
      <w:bookmarkEnd w:id="110"/>
      <w:r>
        <w:rPr>
          <w:color w:val="0562C1"/>
          <w:spacing w:val="-4"/>
          <w:u w:val="single" w:color="0562C1"/>
        </w:rPr>
        <w:t>[50]</w:t>
      </w:r>
    </w:p>
    <w:p w14:paraId="7E0009F1" w14:textId="77777777" w:rsidR="009A58DB" w:rsidRDefault="00000000">
      <w:pPr>
        <w:pStyle w:val="BodyText"/>
        <w:spacing w:line="277" w:lineRule="exact"/>
      </w:pPr>
      <w:r>
        <w:t>a</w:t>
      </w:r>
      <w:r>
        <w:rPr>
          <w:spacing w:val="64"/>
        </w:rPr>
        <w:t xml:space="preserve"> </w:t>
      </w:r>
      <w:r>
        <w:t>form</w:t>
      </w:r>
      <w:r>
        <w:rPr>
          <w:spacing w:val="65"/>
        </w:rPr>
        <w:t xml:space="preserve"> </w:t>
      </w:r>
      <w:r>
        <w:t>of</w:t>
      </w:r>
      <w:r>
        <w:rPr>
          <w:spacing w:val="65"/>
        </w:rPr>
        <w:t xml:space="preserve"> </w:t>
      </w:r>
      <w:r>
        <w:t>rectangularity).Many</w:t>
      </w:r>
      <w:r>
        <w:rPr>
          <w:spacing w:val="65"/>
        </w:rPr>
        <w:t xml:space="preserve"> </w:t>
      </w:r>
      <w:r>
        <w:t>philosophers</w:t>
      </w:r>
      <w:r>
        <w:rPr>
          <w:spacing w:val="46"/>
          <w:w w:val="150"/>
        </w:rPr>
        <w:t xml:space="preserve">    </w:t>
      </w:r>
      <w:r>
        <w:t>have</w:t>
      </w:r>
      <w:r>
        <w:rPr>
          <w:spacing w:val="71"/>
        </w:rPr>
        <w:t xml:space="preserve"> </w:t>
      </w:r>
      <w:r>
        <w:t>tried</w:t>
      </w:r>
      <w:r>
        <w:rPr>
          <w:spacing w:val="69"/>
        </w:rPr>
        <w:t xml:space="preserve"> </w:t>
      </w:r>
      <w:r>
        <w:t>to</w:t>
      </w:r>
      <w:r>
        <w:rPr>
          <w:spacing w:val="69"/>
        </w:rPr>
        <w:t xml:space="preserve"> </w:t>
      </w:r>
      <w:r>
        <w:t>show</w:t>
      </w:r>
      <w:r>
        <w:rPr>
          <w:spacing w:val="70"/>
        </w:rPr>
        <w:t xml:space="preserve"> </w:t>
      </w:r>
      <w:r>
        <w:rPr>
          <w:spacing w:val="-2"/>
        </w:rPr>
        <w:t>that,</w:t>
      </w:r>
    </w:p>
    <w:p w14:paraId="7E0009F2" w14:textId="77777777" w:rsidR="009A58DB" w:rsidRDefault="00000000">
      <w:pPr>
        <w:pStyle w:val="BodyText"/>
        <w:spacing w:before="15" w:line="249" w:lineRule="auto"/>
        <w:ind w:right="359"/>
      </w:pPr>
      <w:r>
        <w:t xml:space="preserve">despite its appearance, (1) doesn’t really talk about properties </w:t>
      </w:r>
      <w:r>
        <w:rPr>
          <w:i/>
        </w:rPr>
        <w:t xml:space="preserve">per se </w:t>
      </w:r>
      <w:r>
        <w:t>and that it instead talks about their instances. They’ve proposed that the real meaning of (1) is:</w:t>
      </w:r>
    </w:p>
    <w:p w14:paraId="7E0009F3" w14:textId="77777777" w:rsidR="009A58DB" w:rsidRDefault="009A58DB">
      <w:pPr>
        <w:pStyle w:val="BodyText"/>
        <w:spacing w:before="24"/>
        <w:ind w:left="0"/>
        <w:jc w:val="left"/>
      </w:pPr>
    </w:p>
    <w:p w14:paraId="7E0009F4" w14:textId="77777777" w:rsidR="009A58DB" w:rsidRDefault="00000000">
      <w:pPr>
        <w:pStyle w:val="ListParagraph"/>
        <w:numPr>
          <w:ilvl w:val="0"/>
          <w:numId w:val="209"/>
        </w:numPr>
        <w:tabs>
          <w:tab w:val="left" w:pos="782"/>
        </w:tabs>
        <w:ind w:left="782" w:hanging="422"/>
        <w:rPr>
          <w:sz w:val="30"/>
        </w:rPr>
      </w:pPr>
      <w:r>
        <w:rPr>
          <w:sz w:val="30"/>
        </w:rPr>
        <w:t>everything</w:t>
      </w:r>
      <w:r>
        <w:rPr>
          <w:spacing w:val="-3"/>
          <w:sz w:val="30"/>
        </w:rPr>
        <w:t xml:space="preserve"> </w:t>
      </w:r>
      <w:r>
        <w:rPr>
          <w:sz w:val="30"/>
        </w:rPr>
        <w:t>that</w:t>
      </w:r>
      <w:r>
        <w:rPr>
          <w:spacing w:val="-3"/>
          <w:sz w:val="30"/>
        </w:rPr>
        <w:t xml:space="preserve"> </w:t>
      </w:r>
      <w:r>
        <w:rPr>
          <w:sz w:val="30"/>
        </w:rPr>
        <w:t>is</w:t>
      </w:r>
      <w:r>
        <w:rPr>
          <w:spacing w:val="-3"/>
          <w:sz w:val="30"/>
        </w:rPr>
        <w:t xml:space="preserve"> </w:t>
      </w:r>
      <w:r>
        <w:rPr>
          <w:sz w:val="30"/>
        </w:rPr>
        <w:t>square</w:t>
      </w:r>
      <w:r>
        <w:rPr>
          <w:spacing w:val="-2"/>
          <w:sz w:val="30"/>
        </w:rPr>
        <w:t xml:space="preserve"> </w:t>
      </w:r>
      <w:r>
        <w:rPr>
          <w:sz w:val="30"/>
        </w:rPr>
        <w:t>is</w:t>
      </w:r>
      <w:r>
        <w:rPr>
          <w:spacing w:val="-3"/>
          <w:sz w:val="30"/>
        </w:rPr>
        <w:t xml:space="preserve"> </w:t>
      </w:r>
      <w:r>
        <w:rPr>
          <w:sz w:val="30"/>
        </w:rPr>
        <w:t>a</w:t>
      </w:r>
      <w:r>
        <w:rPr>
          <w:spacing w:val="-3"/>
          <w:sz w:val="30"/>
        </w:rPr>
        <w:t xml:space="preserve"> </w:t>
      </w:r>
      <w:r>
        <w:rPr>
          <w:spacing w:val="-2"/>
          <w:sz w:val="30"/>
        </w:rPr>
        <w:t>rectangle.</w:t>
      </w:r>
    </w:p>
    <w:p w14:paraId="7E0009F5" w14:textId="77777777" w:rsidR="009A58DB" w:rsidRDefault="009A58DB">
      <w:pPr>
        <w:pStyle w:val="BodyText"/>
        <w:spacing w:before="30"/>
        <w:ind w:left="0"/>
        <w:jc w:val="left"/>
      </w:pPr>
    </w:p>
    <w:p w14:paraId="7E0009F6" w14:textId="77777777" w:rsidR="009A58DB" w:rsidRDefault="00000000">
      <w:pPr>
        <w:pStyle w:val="BodyText"/>
        <w:spacing w:line="249" w:lineRule="auto"/>
        <w:ind w:right="359"/>
      </w:pPr>
      <w:r>
        <w:t>And they’ve proposed that other statements that, like (1), seem to refer to properties be treated similarly. (So “green is a color,” they say really just means that everything green has a color.)</w:t>
      </w:r>
    </w:p>
    <w:p w14:paraId="7E0009F7" w14:textId="77777777" w:rsidR="009A58DB" w:rsidRDefault="00000000">
      <w:pPr>
        <w:pStyle w:val="BodyText"/>
        <w:spacing w:before="4" w:line="249" w:lineRule="auto"/>
        <w:ind w:right="362" w:firstLine="360"/>
      </w:pPr>
      <w:r>
        <w:t>But (1) doesn’t mean the same thing as (2). If there were exactly two square things, x and y, and x and y happened to be green, the statement:</w:t>
      </w:r>
    </w:p>
    <w:p w14:paraId="7E0009F8" w14:textId="77777777" w:rsidR="009A58DB" w:rsidRDefault="00000000">
      <w:pPr>
        <w:pStyle w:val="ListParagraph"/>
        <w:numPr>
          <w:ilvl w:val="0"/>
          <w:numId w:val="209"/>
        </w:numPr>
        <w:tabs>
          <w:tab w:val="left" w:pos="782"/>
        </w:tabs>
        <w:spacing w:before="107" w:line="312" w:lineRule="auto"/>
        <w:ind w:left="360" w:right="5337" w:firstLine="0"/>
        <w:jc w:val="both"/>
        <w:rPr>
          <w:sz w:val="30"/>
        </w:rPr>
      </w:pPr>
      <w:r>
        <w:rPr>
          <w:sz w:val="30"/>
        </w:rPr>
        <w:t>everything</w:t>
      </w:r>
      <w:r>
        <w:rPr>
          <w:spacing w:val="-7"/>
          <w:sz w:val="30"/>
        </w:rPr>
        <w:t xml:space="preserve"> </w:t>
      </w:r>
      <w:r>
        <w:rPr>
          <w:sz w:val="30"/>
        </w:rPr>
        <w:t>that</w:t>
      </w:r>
      <w:r>
        <w:rPr>
          <w:spacing w:val="-8"/>
          <w:sz w:val="30"/>
        </w:rPr>
        <w:t xml:space="preserve"> </w:t>
      </w:r>
      <w:r>
        <w:rPr>
          <w:sz w:val="30"/>
        </w:rPr>
        <w:t>is</w:t>
      </w:r>
      <w:r>
        <w:rPr>
          <w:spacing w:val="-8"/>
          <w:sz w:val="30"/>
        </w:rPr>
        <w:t xml:space="preserve"> </w:t>
      </w:r>
      <w:r>
        <w:rPr>
          <w:sz w:val="30"/>
        </w:rPr>
        <w:t>square</w:t>
      </w:r>
      <w:r>
        <w:rPr>
          <w:spacing w:val="-8"/>
          <w:sz w:val="30"/>
        </w:rPr>
        <w:t xml:space="preserve"> </w:t>
      </w:r>
      <w:r>
        <w:rPr>
          <w:sz w:val="30"/>
        </w:rPr>
        <w:t>is</w:t>
      </w:r>
      <w:r>
        <w:rPr>
          <w:spacing w:val="-8"/>
          <w:sz w:val="30"/>
        </w:rPr>
        <w:t xml:space="preserve"> </w:t>
      </w:r>
      <w:r>
        <w:rPr>
          <w:sz w:val="30"/>
        </w:rPr>
        <w:t>green would be true, but</w:t>
      </w:r>
    </w:p>
    <w:p w14:paraId="7E0009F9" w14:textId="77777777" w:rsidR="009A58DB" w:rsidRDefault="00000000">
      <w:pPr>
        <w:pStyle w:val="ListParagraph"/>
        <w:numPr>
          <w:ilvl w:val="0"/>
          <w:numId w:val="209"/>
        </w:numPr>
        <w:tabs>
          <w:tab w:val="left" w:pos="782"/>
        </w:tabs>
        <w:spacing w:before="273"/>
        <w:ind w:left="782" w:hanging="422"/>
        <w:rPr>
          <w:sz w:val="30"/>
        </w:rPr>
      </w:pPr>
      <w:r>
        <w:rPr>
          <w:sz w:val="30"/>
        </w:rPr>
        <w:t>squareness</w:t>
      </w:r>
      <w:r>
        <w:rPr>
          <w:spacing w:val="-3"/>
          <w:sz w:val="30"/>
        </w:rPr>
        <w:t xml:space="preserve"> </w:t>
      </w:r>
      <w:r>
        <w:rPr>
          <w:sz w:val="30"/>
        </w:rPr>
        <w:t>is</w:t>
      </w:r>
      <w:r>
        <w:rPr>
          <w:spacing w:val="-3"/>
          <w:sz w:val="30"/>
        </w:rPr>
        <w:t xml:space="preserve"> </w:t>
      </w:r>
      <w:r>
        <w:rPr>
          <w:sz w:val="30"/>
        </w:rPr>
        <w:t>a</w:t>
      </w:r>
      <w:r>
        <w:rPr>
          <w:spacing w:val="-3"/>
          <w:sz w:val="30"/>
        </w:rPr>
        <w:t xml:space="preserve"> </w:t>
      </w:r>
      <w:r>
        <w:rPr>
          <w:sz w:val="30"/>
        </w:rPr>
        <w:t>form</w:t>
      </w:r>
      <w:r>
        <w:rPr>
          <w:spacing w:val="-3"/>
          <w:sz w:val="30"/>
        </w:rPr>
        <w:t xml:space="preserve"> </w:t>
      </w:r>
      <w:r>
        <w:rPr>
          <w:sz w:val="30"/>
        </w:rPr>
        <w:t>of</w:t>
      </w:r>
      <w:r>
        <w:rPr>
          <w:spacing w:val="-2"/>
          <w:sz w:val="30"/>
        </w:rPr>
        <w:t xml:space="preserve"> greenness</w:t>
      </w:r>
    </w:p>
    <w:p w14:paraId="7E0009FA" w14:textId="77777777" w:rsidR="009A58DB" w:rsidRDefault="009A58DB">
      <w:pPr>
        <w:pStyle w:val="BodyText"/>
        <w:spacing w:before="30"/>
        <w:ind w:left="0"/>
        <w:jc w:val="left"/>
      </w:pPr>
    </w:p>
    <w:p w14:paraId="7E0009FB" w14:textId="77777777" w:rsidR="009A58DB" w:rsidRDefault="00000000">
      <w:pPr>
        <w:pStyle w:val="BodyText"/>
        <w:spacing w:line="249" w:lineRule="auto"/>
        <w:ind w:right="371"/>
      </w:pPr>
      <w:r>
        <w:t xml:space="preserve">would be false (and so would other statements of its ilk; e.g., “squareness is a </w:t>
      </w:r>
      <w:r>
        <w:rPr>
          <w:spacing w:val="-2"/>
        </w:rPr>
        <w:t>color”).</w:t>
      </w:r>
    </w:p>
    <w:p w14:paraId="7E0009FC" w14:textId="77777777" w:rsidR="009A58DB" w:rsidRDefault="00000000">
      <w:pPr>
        <w:pStyle w:val="BodyText"/>
        <w:spacing w:before="3"/>
        <w:ind w:left="720"/>
        <w:jc w:val="left"/>
      </w:pPr>
      <w:r>
        <w:t>Of</w:t>
      </w:r>
      <w:r>
        <w:rPr>
          <w:spacing w:val="-3"/>
        </w:rPr>
        <w:t xml:space="preserve"> </w:t>
      </w:r>
      <w:r>
        <w:t>course,</w:t>
      </w:r>
      <w:r>
        <w:rPr>
          <w:spacing w:val="-2"/>
        </w:rPr>
        <w:t xml:space="preserve"> </w:t>
      </w:r>
      <w:r>
        <w:t>the</w:t>
      </w:r>
      <w:r>
        <w:rPr>
          <w:spacing w:val="-3"/>
        </w:rPr>
        <w:t xml:space="preserve"> </w:t>
      </w:r>
      <w:r>
        <w:rPr>
          <w:spacing w:val="-2"/>
        </w:rPr>
        <w:t>statement</w:t>
      </w:r>
    </w:p>
    <w:p w14:paraId="7E0009FD" w14:textId="77777777" w:rsidR="009A58DB" w:rsidRDefault="009A58DB">
      <w:pPr>
        <w:pStyle w:val="BodyText"/>
        <w:spacing w:before="30"/>
        <w:ind w:left="0"/>
        <w:jc w:val="left"/>
      </w:pPr>
    </w:p>
    <w:p w14:paraId="7E0009FE" w14:textId="77777777" w:rsidR="009A58DB" w:rsidRDefault="00000000">
      <w:pPr>
        <w:pStyle w:val="ListParagraph"/>
        <w:numPr>
          <w:ilvl w:val="0"/>
          <w:numId w:val="209"/>
        </w:numPr>
        <w:tabs>
          <w:tab w:val="left" w:pos="782"/>
        </w:tabs>
        <w:spacing w:line="501" w:lineRule="auto"/>
        <w:ind w:left="360" w:right="2247" w:firstLine="0"/>
        <w:rPr>
          <w:sz w:val="30"/>
        </w:rPr>
      </w:pPr>
      <w:r>
        <w:rPr>
          <w:sz w:val="30"/>
        </w:rPr>
        <w:t>everything</w:t>
      </w:r>
      <w:r>
        <w:rPr>
          <w:spacing w:val="-3"/>
          <w:sz w:val="30"/>
        </w:rPr>
        <w:t xml:space="preserve"> </w:t>
      </w:r>
      <w:r>
        <w:rPr>
          <w:sz w:val="30"/>
        </w:rPr>
        <w:t>that</w:t>
      </w:r>
      <w:r>
        <w:rPr>
          <w:spacing w:val="-4"/>
          <w:sz w:val="30"/>
        </w:rPr>
        <w:t xml:space="preserve"> </w:t>
      </w:r>
      <w:r>
        <w:rPr>
          <w:sz w:val="30"/>
        </w:rPr>
        <w:t>is</w:t>
      </w:r>
      <w:r>
        <w:rPr>
          <w:spacing w:val="-4"/>
          <w:sz w:val="30"/>
        </w:rPr>
        <w:t xml:space="preserve"> </w:t>
      </w:r>
      <w:r>
        <w:rPr>
          <w:sz w:val="30"/>
        </w:rPr>
        <w:t>square</w:t>
      </w:r>
      <w:r>
        <w:rPr>
          <w:spacing w:val="-4"/>
          <w:sz w:val="30"/>
        </w:rPr>
        <w:t xml:space="preserve"> </w:t>
      </w:r>
      <w:r>
        <w:rPr>
          <w:sz w:val="30"/>
        </w:rPr>
        <w:t>is</w:t>
      </w:r>
      <w:r>
        <w:rPr>
          <w:spacing w:val="-4"/>
          <w:sz w:val="30"/>
        </w:rPr>
        <w:t xml:space="preserve"> </w:t>
      </w:r>
      <w:r>
        <w:rPr>
          <w:i/>
          <w:sz w:val="30"/>
        </w:rPr>
        <w:t>for</w:t>
      </w:r>
      <w:r>
        <w:rPr>
          <w:i/>
          <w:spacing w:val="-4"/>
          <w:sz w:val="30"/>
        </w:rPr>
        <w:t xml:space="preserve"> </w:t>
      </w:r>
      <w:r>
        <w:rPr>
          <w:i/>
          <w:sz w:val="30"/>
        </w:rPr>
        <w:t>that</w:t>
      </w:r>
      <w:r>
        <w:rPr>
          <w:i/>
          <w:spacing w:val="-4"/>
          <w:sz w:val="30"/>
        </w:rPr>
        <w:t xml:space="preserve"> </w:t>
      </w:r>
      <w:r>
        <w:rPr>
          <w:i/>
          <w:sz w:val="30"/>
        </w:rPr>
        <w:t>very</w:t>
      </w:r>
      <w:r>
        <w:rPr>
          <w:i/>
          <w:spacing w:val="-4"/>
          <w:sz w:val="30"/>
        </w:rPr>
        <w:t xml:space="preserve"> </w:t>
      </w:r>
      <w:r>
        <w:rPr>
          <w:i/>
          <w:sz w:val="30"/>
        </w:rPr>
        <w:t>reason</w:t>
      </w:r>
      <w:r>
        <w:rPr>
          <w:i/>
          <w:spacing w:val="-3"/>
          <w:sz w:val="30"/>
        </w:rPr>
        <w:t xml:space="preserve"> </w:t>
      </w:r>
      <w:r>
        <w:rPr>
          <w:sz w:val="30"/>
        </w:rPr>
        <w:t>a</w:t>
      </w:r>
      <w:r>
        <w:rPr>
          <w:spacing w:val="-4"/>
          <w:sz w:val="30"/>
        </w:rPr>
        <w:t xml:space="preserve"> </w:t>
      </w:r>
      <w:r>
        <w:rPr>
          <w:sz w:val="30"/>
        </w:rPr>
        <w:t>rectangle is true, whereas</w:t>
      </w:r>
    </w:p>
    <w:p w14:paraId="7E0009FF" w14:textId="77777777" w:rsidR="009A58DB" w:rsidRDefault="00000000">
      <w:pPr>
        <w:pStyle w:val="ListParagraph"/>
        <w:numPr>
          <w:ilvl w:val="0"/>
          <w:numId w:val="209"/>
        </w:numPr>
        <w:tabs>
          <w:tab w:val="left" w:pos="782"/>
        </w:tabs>
        <w:spacing w:line="343" w:lineRule="exact"/>
        <w:ind w:left="782" w:hanging="422"/>
        <w:rPr>
          <w:sz w:val="30"/>
        </w:rPr>
      </w:pPr>
      <w:r>
        <w:rPr>
          <w:sz w:val="30"/>
        </w:rPr>
        <w:t>everything</w:t>
      </w:r>
      <w:r>
        <w:rPr>
          <w:spacing w:val="-5"/>
          <w:sz w:val="30"/>
        </w:rPr>
        <w:t xml:space="preserve"> </w:t>
      </w:r>
      <w:r>
        <w:rPr>
          <w:sz w:val="30"/>
        </w:rPr>
        <w:t>that</w:t>
      </w:r>
      <w:r>
        <w:rPr>
          <w:spacing w:val="-3"/>
          <w:sz w:val="30"/>
        </w:rPr>
        <w:t xml:space="preserve"> </w:t>
      </w:r>
      <w:r>
        <w:rPr>
          <w:sz w:val="30"/>
        </w:rPr>
        <w:t>is</w:t>
      </w:r>
      <w:r>
        <w:rPr>
          <w:spacing w:val="-3"/>
          <w:sz w:val="30"/>
        </w:rPr>
        <w:t xml:space="preserve"> </w:t>
      </w:r>
      <w:r>
        <w:rPr>
          <w:sz w:val="30"/>
        </w:rPr>
        <w:t>square</w:t>
      </w:r>
      <w:r>
        <w:rPr>
          <w:spacing w:val="-3"/>
          <w:sz w:val="30"/>
        </w:rPr>
        <w:t xml:space="preserve"> </w:t>
      </w:r>
      <w:r>
        <w:rPr>
          <w:sz w:val="30"/>
        </w:rPr>
        <w:t>is</w:t>
      </w:r>
      <w:r>
        <w:rPr>
          <w:spacing w:val="-4"/>
          <w:sz w:val="30"/>
        </w:rPr>
        <w:t xml:space="preserve"> </w:t>
      </w:r>
      <w:r>
        <w:rPr>
          <w:i/>
          <w:sz w:val="30"/>
        </w:rPr>
        <w:t>for</w:t>
      </w:r>
      <w:r>
        <w:rPr>
          <w:i/>
          <w:spacing w:val="-3"/>
          <w:sz w:val="30"/>
        </w:rPr>
        <w:t xml:space="preserve"> </w:t>
      </w:r>
      <w:r>
        <w:rPr>
          <w:i/>
          <w:sz w:val="30"/>
        </w:rPr>
        <w:t>that</w:t>
      </w:r>
      <w:r>
        <w:rPr>
          <w:i/>
          <w:spacing w:val="-3"/>
          <w:sz w:val="30"/>
        </w:rPr>
        <w:t xml:space="preserve"> </w:t>
      </w:r>
      <w:r>
        <w:rPr>
          <w:i/>
          <w:sz w:val="30"/>
        </w:rPr>
        <w:t>very</w:t>
      </w:r>
      <w:r>
        <w:rPr>
          <w:i/>
          <w:spacing w:val="-3"/>
          <w:sz w:val="30"/>
        </w:rPr>
        <w:t xml:space="preserve"> </w:t>
      </w:r>
      <w:r>
        <w:rPr>
          <w:i/>
          <w:sz w:val="30"/>
        </w:rPr>
        <w:t>reason</w:t>
      </w:r>
      <w:r>
        <w:rPr>
          <w:i/>
          <w:spacing w:val="-2"/>
          <w:sz w:val="30"/>
        </w:rPr>
        <w:t xml:space="preserve"> </w:t>
      </w:r>
      <w:r>
        <w:rPr>
          <w:spacing w:val="-2"/>
          <w:sz w:val="30"/>
        </w:rPr>
        <w:t>green</w:t>
      </w:r>
    </w:p>
    <w:p w14:paraId="7E000A00" w14:textId="77777777" w:rsidR="009A58DB" w:rsidRDefault="009A58DB">
      <w:pPr>
        <w:pStyle w:val="BodyText"/>
        <w:spacing w:before="30"/>
        <w:ind w:left="0"/>
        <w:jc w:val="left"/>
      </w:pPr>
    </w:p>
    <w:p w14:paraId="7E000A01" w14:textId="77777777" w:rsidR="009A58DB" w:rsidRDefault="00000000">
      <w:pPr>
        <w:pStyle w:val="BodyText"/>
      </w:pPr>
      <w:r>
        <w:t>is</w:t>
      </w:r>
      <w:r>
        <w:rPr>
          <w:spacing w:val="-5"/>
        </w:rPr>
        <w:t xml:space="preserve"> </w:t>
      </w:r>
      <w:r>
        <w:t>false,</w:t>
      </w:r>
      <w:r>
        <w:rPr>
          <w:spacing w:val="-2"/>
        </w:rPr>
        <w:t xml:space="preserve"> </w:t>
      </w:r>
      <w:r>
        <w:t>even</w:t>
      </w:r>
      <w:r>
        <w:rPr>
          <w:spacing w:val="-2"/>
        </w:rPr>
        <w:t xml:space="preserve"> </w:t>
      </w:r>
      <w:r>
        <w:t>if</w:t>
      </w:r>
      <w:r>
        <w:rPr>
          <w:spacing w:val="-2"/>
        </w:rPr>
        <w:t xml:space="preserve"> </w:t>
      </w:r>
      <w:r>
        <w:t>the</w:t>
      </w:r>
      <w:r>
        <w:rPr>
          <w:spacing w:val="-3"/>
        </w:rPr>
        <w:t xml:space="preserve"> </w:t>
      </w:r>
      <w:r>
        <w:t>only</w:t>
      </w:r>
      <w:r>
        <w:rPr>
          <w:spacing w:val="-2"/>
        </w:rPr>
        <w:t xml:space="preserve"> </w:t>
      </w:r>
      <w:r>
        <w:t>two</w:t>
      </w:r>
      <w:r>
        <w:rPr>
          <w:spacing w:val="-2"/>
        </w:rPr>
        <w:t xml:space="preserve"> </w:t>
      </w:r>
      <w:r>
        <w:t>square</w:t>
      </w:r>
      <w:r>
        <w:rPr>
          <w:spacing w:val="-2"/>
        </w:rPr>
        <w:t xml:space="preserve"> </w:t>
      </w:r>
      <w:r>
        <w:t>things</w:t>
      </w:r>
      <w:r>
        <w:rPr>
          <w:spacing w:val="-3"/>
        </w:rPr>
        <w:t xml:space="preserve"> </w:t>
      </w:r>
      <w:r>
        <w:t>happen</w:t>
      </w:r>
      <w:r>
        <w:rPr>
          <w:spacing w:val="-2"/>
        </w:rPr>
        <w:t xml:space="preserve"> </w:t>
      </w:r>
      <w:r>
        <w:t>to</w:t>
      </w:r>
      <w:r>
        <w:rPr>
          <w:spacing w:val="-2"/>
        </w:rPr>
        <w:t xml:space="preserve"> </w:t>
      </w:r>
      <w:r>
        <w:t>be</w:t>
      </w:r>
      <w:r>
        <w:rPr>
          <w:spacing w:val="-2"/>
        </w:rPr>
        <w:t xml:space="preserve"> green.</w:t>
      </w:r>
    </w:p>
    <w:p w14:paraId="7E000A02" w14:textId="77777777" w:rsidR="009A58DB" w:rsidRDefault="00000000">
      <w:pPr>
        <w:pStyle w:val="BodyText"/>
        <w:spacing w:before="15"/>
        <w:ind w:left="720"/>
        <w:jc w:val="left"/>
      </w:pPr>
      <w:r>
        <w:t>What</w:t>
      </w:r>
      <w:r>
        <w:rPr>
          <w:spacing w:val="-3"/>
        </w:rPr>
        <w:t xml:space="preserve"> </w:t>
      </w:r>
      <w:r>
        <w:t>(5)</w:t>
      </w:r>
      <w:r>
        <w:rPr>
          <w:spacing w:val="-2"/>
        </w:rPr>
        <w:t xml:space="preserve"> </w:t>
      </w:r>
      <w:r>
        <w:t>says</w:t>
      </w:r>
      <w:r>
        <w:rPr>
          <w:spacing w:val="-3"/>
        </w:rPr>
        <w:t xml:space="preserve"> </w:t>
      </w:r>
      <w:r>
        <w:t>is</w:t>
      </w:r>
      <w:r>
        <w:rPr>
          <w:spacing w:val="-2"/>
        </w:rPr>
        <w:t xml:space="preserve"> that:</w:t>
      </w:r>
    </w:p>
    <w:p w14:paraId="7E000A03" w14:textId="77777777" w:rsidR="009A58DB" w:rsidRDefault="009A58DB">
      <w:pPr>
        <w:pStyle w:val="BodyText"/>
        <w:spacing w:before="30"/>
        <w:ind w:left="0"/>
        <w:jc w:val="left"/>
      </w:pPr>
    </w:p>
    <w:p w14:paraId="7E000A04" w14:textId="77777777" w:rsidR="009A58DB" w:rsidRDefault="00000000">
      <w:pPr>
        <w:pStyle w:val="ListParagraph"/>
        <w:numPr>
          <w:ilvl w:val="0"/>
          <w:numId w:val="209"/>
        </w:numPr>
        <w:tabs>
          <w:tab w:val="left" w:pos="782"/>
        </w:tabs>
        <w:ind w:left="782" w:hanging="422"/>
        <w:rPr>
          <w:sz w:val="30"/>
        </w:rPr>
      </w:pPr>
      <w:r>
        <w:rPr>
          <w:sz w:val="30"/>
        </w:rPr>
        <w:t>a</w:t>
      </w:r>
      <w:r>
        <w:rPr>
          <w:spacing w:val="-5"/>
          <w:sz w:val="30"/>
        </w:rPr>
        <w:t xml:space="preserve"> </w:t>
      </w:r>
      <w:r>
        <w:rPr>
          <w:sz w:val="30"/>
        </w:rPr>
        <w:t>thing’s</w:t>
      </w:r>
      <w:r>
        <w:rPr>
          <w:spacing w:val="-3"/>
          <w:sz w:val="30"/>
        </w:rPr>
        <w:t xml:space="preserve"> </w:t>
      </w:r>
      <w:r>
        <w:rPr>
          <w:sz w:val="30"/>
        </w:rPr>
        <w:t>being</w:t>
      </w:r>
      <w:r>
        <w:rPr>
          <w:spacing w:val="-2"/>
          <w:sz w:val="30"/>
        </w:rPr>
        <w:t xml:space="preserve"> </w:t>
      </w:r>
      <w:r>
        <w:rPr>
          <w:sz w:val="30"/>
        </w:rPr>
        <w:t>a</w:t>
      </w:r>
      <w:r>
        <w:rPr>
          <w:spacing w:val="-3"/>
          <w:sz w:val="30"/>
        </w:rPr>
        <w:t xml:space="preserve"> </w:t>
      </w:r>
      <w:r>
        <w:rPr>
          <w:sz w:val="30"/>
        </w:rPr>
        <w:t>square</w:t>
      </w:r>
      <w:r>
        <w:rPr>
          <w:spacing w:val="-3"/>
          <w:sz w:val="30"/>
        </w:rPr>
        <w:t xml:space="preserve"> </w:t>
      </w:r>
      <w:r>
        <w:rPr>
          <w:sz w:val="30"/>
        </w:rPr>
        <w:t>is</w:t>
      </w:r>
      <w:r>
        <w:rPr>
          <w:spacing w:val="-2"/>
          <w:sz w:val="30"/>
        </w:rPr>
        <w:t xml:space="preserve"> </w:t>
      </w:r>
      <w:r>
        <w:rPr>
          <w:sz w:val="30"/>
        </w:rPr>
        <w:t>responsible</w:t>
      </w:r>
      <w:r>
        <w:rPr>
          <w:spacing w:val="-3"/>
          <w:sz w:val="30"/>
        </w:rPr>
        <w:t xml:space="preserve"> </w:t>
      </w:r>
      <w:r>
        <w:rPr>
          <w:sz w:val="30"/>
        </w:rPr>
        <w:t>for</w:t>
      </w:r>
      <w:r>
        <w:rPr>
          <w:spacing w:val="-3"/>
          <w:sz w:val="30"/>
        </w:rPr>
        <w:t xml:space="preserve"> </w:t>
      </w:r>
      <w:r>
        <w:rPr>
          <w:sz w:val="30"/>
        </w:rPr>
        <w:t>its</w:t>
      </w:r>
      <w:r>
        <w:rPr>
          <w:spacing w:val="-3"/>
          <w:sz w:val="30"/>
        </w:rPr>
        <w:t xml:space="preserve"> </w:t>
      </w:r>
      <w:r>
        <w:rPr>
          <w:sz w:val="30"/>
        </w:rPr>
        <w:t>being</w:t>
      </w:r>
      <w:r>
        <w:rPr>
          <w:spacing w:val="-2"/>
          <w:sz w:val="30"/>
        </w:rPr>
        <w:t xml:space="preserve"> </w:t>
      </w:r>
      <w:r>
        <w:rPr>
          <w:sz w:val="30"/>
        </w:rPr>
        <w:t>a</w:t>
      </w:r>
      <w:r>
        <w:rPr>
          <w:spacing w:val="-2"/>
          <w:sz w:val="30"/>
        </w:rPr>
        <w:t xml:space="preserve"> rectangle,</w:t>
      </w:r>
    </w:p>
    <w:p w14:paraId="7E000A05"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0A06" w14:textId="77777777" w:rsidR="009A58DB" w:rsidRDefault="00000000">
      <w:pPr>
        <w:pStyle w:val="BodyText"/>
        <w:spacing w:before="65"/>
      </w:pPr>
      <w:r>
        <w:lastRenderedPageBreak/>
        <w:t>which</w:t>
      </w:r>
      <w:r>
        <w:rPr>
          <w:spacing w:val="-5"/>
        </w:rPr>
        <w:t xml:space="preserve"> </w:t>
      </w:r>
      <w:r>
        <w:t>is</w:t>
      </w:r>
      <w:r>
        <w:rPr>
          <w:spacing w:val="-3"/>
        </w:rPr>
        <w:t xml:space="preserve"> </w:t>
      </w:r>
      <w:r>
        <w:t>obviously</w:t>
      </w:r>
      <w:r>
        <w:rPr>
          <w:spacing w:val="-3"/>
        </w:rPr>
        <w:t xml:space="preserve"> </w:t>
      </w:r>
      <w:r>
        <w:t>correct;</w:t>
      </w:r>
      <w:r>
        <w:rPr>
          <w:spacing w:val="-3"/>
        </w:rPr>
        <w:t xml:space="preserve"> </w:t>
      </w:r>
      <w:r>
        <w:t>and</w:t>
      </w:r>
      <w:r>
        <w:rPr>
          <w:spacing w:val="-3"/>
        </w:rPr>
        <w:t xml:space="preserve"> </w:t>
      </w:r>
      <w:r>
        <w:t>(6)</w:t>
      </w:r>
      <w:r>
        <w:rPr>
          <w:spacing w:val="-3"/>
        </w:rPr>
        <w:t xml:space="preserve"> </w:t>
      </w:r>
      <w:r>
        <w:t>says</w:t>
      </w:r>
      <w:r>
        <w:rPr>
          <w:spacing w:val="-3"/>
        </w:rPr>
        <w:t xml:space="preserve"> </w:t>
      </w:r>
      <w:r>
        <w:rPr>
          <w:spacing w:val="-2"/>
        </w:rPr>
        <w:t>that:</w:t>
      </w:r>
    </w:p>
    <w:p w14:paraId="7E000A07" w14:textId="77777777" w:rsidR="009A58DB" w:rsidRDefault="009A58DB">
      <w:pPr>
        <w:pStyle w:val="BodyText"/>
        <w:spacing w:before="134"/>
        <w:ind w:left="0"/>
        <w:jc w:val="left"/>
      </w:pPr>
    </w:p>
    <w:p w14:paraId="7E000A08" w14:textId="77777777" w:rsidR="009A58DB" w:rsidRDefault="00000000">
      <w:pPr>
        <w:pStyle w:val="ListParagraph"/>
        <w:numPr>
          <w:ilvl w:val="0"/>
          <w:numId w:val="209"/>
        </w:numPr>
        <w:tabs>
          <w:tab w:val="left" w:pos="782"/>
        </w:tabs>
        <w:spacing w:before="1"/>
        <w:ind w:left="782" w:hanging="422"/>
        <w:rPr>
          <w:sz w:val="30"/>
        </w:rPr>
      </w:pPr>
      <w:r>
        <w:rPr>
          <w:sz w:val="30"/>
        </w:rPr>
        <w:t>a</w:t>
      </w:r>
      <w:r>
        <w:rPr>
          <w:spacing w:val="-5"/>
          <w:sz w:val="30"/>
        </w:rPr>
        <w:t xml:space="preserve"> </w:t>
      </w:r>
      <w:r>
        <w:rPr>
          <w:sz w:val="30"/>
        </w:rPr>
        <w:t>thing’s</w:t>
      </w:r>
      <w:r>
        <w:rPr>
          <w:spacing w:val="-3"/>
          <w:sz w:val="30"/>
        </w:rPr>
        <w:t xml:space="preserve"> </w:t>
      </w:r>
      <w:r>
        <w:rPr>
          <w:sz w:val="30"/>
        </w:rPr>
        <w:t>being</w:t>
      </w:r>
      <w:r>
        <w:rPr>
          <w:spacing w:val="-3"/>
          <w:sz w:val="30"/>
        </w:rPr>
        <w:t xml:space="preserve"> </w:t>
      </w:r>
      <w:r>
        <w:rPr>
          <w:sz w:val="30"/>
        </w:rPr>
        <w:t>a</w:t>
      </w:r>
      <w:r>
        <w:rPr>
          <w:spacing w:val="-2"/>
          <w:sz w:val="30"/>
        </w:rPr>
        <w:t xml:space="preserve"> </w:t>
      </w:r>
      <w:r>
        <w:rPr>
          <w:sz w:val="30"/>
        </w:rPr>
        <w:t>square</w:t>
      </w:r>
      <w:r>
        <w:rPr>
          <w:spacing w:val="-3"/>
          <w:sz w:val="30"/>
        </w:rPr>
        <w:t xml:space="preserve"> </w:t>
      </w:r>
      <w:r>
        <w:rPr>
          <w:sz w:val="30"/>
        </w:rPr>
        <w:t>is</w:t>
      </w:r>
      <w:r>
        <w:rPr>
          <w:spacing w:val="-3"/>
          <w:sz w:val="30"/>
        </w:rPr>
        <w:t xml:space="preserve"> </w:t>
      </w:r>
      <w:r>
        <w:rPr>
          <w:sz w:val="30"/>
        </w:rPr>
        <w:t>responsible</w:t>
      </w:r>
      <w:r>
        <w:rPr>
          <w:spacing w:val="-3"/>
          <w:sz w:val="30"/>
        </w:rPr>
        <w:t xml:space="preserve"> </w:t>
      </w:r>
      <w:r>
        <w:rPr>
          <w:sz w:val="30"/>
        </w:rPr>
        <w:t>for</w:t>
      </w:r>
      <w:r>
        <w:rPr>
          <w:spacing w:val="-3"/>
          <w:sz w:val="30"/>
        </w:rPr>
        <w:t xml:space="preserve"> </w:t>
      </w:r>
      <w:r>
        <w:rPr>
          <w:sz w:val="30"/>
        </w:rPr>
        <w:t>its</w:t>
      </w:r>
      <w:r>
        <w:rPr>
          <w:spacing w:val="-3"/>
          <w:sz w:val="30"/>
        </w:rPr>
        <w:t xml:space="preserve"> </w:t>
      </w:r>
      <w:r>
        <w:rPr>
          <w:sz w:val="30"/>
        </w:rPr>
        <w:t>being</w:t>
      </w:r>
      <w:r>
        <w:rPr>
          <w:spacing w:val="-2"/>
          <w:sz w:val="30"/>
        </w:rPr>
        <w:t xml:space="preserve"> green,</w:t>
      </w:r>
    </w:p>
    <w:p w14:paraId="7E000A09" w14:textId="77777777" w:rsidR="009A58DB" w:rsidRDefault="009A58DB">
      <w:pPr>
        <w:pStyle w:val="BodyText"/>
        <w:spacing w:before="120"/>
        <w:ind w:left="0"/>
        <w:jc w:val="left"/>
      </w:pPr>
    </w:p>
    <w:p w14:paraId="7E000A0A" w14:textId="77777777" w:rsidR="009A58DB" w:rsidRDefault="00000000">
      <w:pPr>
        <w:pStyle w:val="BodyText"/>
        <w:spacing w:line="249" w:lineRule="auto"/>
        <w:ind w:right="357"/>
      </w:pPr>
      <w:r>
        <w:t>which is obviously false. But (6) collapses into (1). (6) says that, to the extent that everything square is rectangular, it’s because the property of squareness bears a certain relation (that of being a form of) to the relation of rectangularity. The relationship between a thing’s being a square and its</w:t>
      </w:r>
      <w:r>
        <w:rPr>
          <w:spacing w:val="40"/>
        </w:rPr>
        <w:t xml:space="preserve"> </w:t>
      </w:r>
      <w:r>
        <w:t xml:space="preserve">being a rectangle is, (6) rightly says, to be understood in terms of a relationship holding between squareness and rectangularity. But the relationship between a thing’s being square and its being </w:t>
      </w:r>
      <w:r>
        <w:rPr>
          <w:i/>
        </w:rPr>
        <w:t xml:space="preserve">green </w:t>
      </w:r>
      <w:r>
        <w:t>is not to be understood in such terms.</w:t>
      </w:r>
    </w:p>
    <w:p w14:paraId="7E000A0B" w14:textId="77777777" w:rsidR="009A58DB" w:rsidRDefault="00000000">
      <w:pPr>
        <w:pStyle w:val="BodyText"/>
        <w:spacing w:before="10" w:line="249" w:lineRule="auto"/>
        <w:ind w:right="359" w:firstLine="360"/>
      </w:pPr>
      <w:r>
        <w:t xml:space="preserve">A thing is a rectangle </w:t>
      </w:r>
      <w:r>
        <w:rPr>
          <w:i/>
        </w:rPr>
        <w:t xml:space="preserve">in virtue of </w:t>
      </w:r>
      <w:r>
        <w:t>its being a square, but a thing isn’t green not</w:t>
      </w:r>
      <w:r>
        <w:rPr>
          <w:spacing w:val="-3"/>
        </w:rPr>
        <w:t xml:space="preserve"> </w:t>
      </w:r>
      <w:r>
        <w:rPr>
          <w:i/>
        </w:rPr>
        <w:t xml:space="preserve">in virtue of </w:t>
      </w:r>
      <w:r>
        <w:t>its being a square even if it happens to be a square. Whenever one encounters an expression like “in virtue of,” “</w:t>
      </w:r>
      <w:r>
        <w:rPr>
          <w:i/>
        </w:rPr>
        <w:t xml:space="preserve">ipso facto </w:t>
      </w:r>
      <w:r>
        <w:t xml:space="preserve">,” “to the extent that,” or “for that very reason,” one knows that one is dealing with a statement that is primarily about properties and only secondarily about objects. If I say that “copper things are </w:t>
      </w:r>
      <w:r>
        <w:rPr>
          <w:i/>
        </w:rPr>
        <w:t>ipso facto</w:t>
      </w:r>
      <w:r>
        <w:rPr>
          <w:i/>
          <w:spacing w:val="40"/>
        </w:rPr>
        <w:t xml:space="preserve"> </w:t>
      </w:r>
      <w:r>
        <w:t xml:space="preserve">good conductors of electricity,” I’m saying that the relationship between a given thing’s being made of copper and its being a good conductor of electricity isn’t fortuitous and is grounded in the natures of those two properties. In other words, to understand why an instance of the first property is an instance of the second, one looks to the natures of those properties. The connection goes from property instance (instance of being made of copper) to property (property of being made of copper) to property (property of being a good conductor of electricity) to property-instance (instance of being a good conductor of electricity). And the reason why “copper things are </w:t>
      </w:r>
      <w:r>
        <w:rPr>
          <w:i/>
        </w:rPr>
        <w:t>ipso facto</w:t>
      </w:r>
      <w:r>
        <w:rPr>
          <w:i/>
          <w:spacing w:val="80"/>
        </w:rPr>
        <w:t xml:space="preserve"> </w:t>
      </w:r>
      <w:r>
        <w:t>in JMK’s living room” is false is that, even though (so we will suppose for argument’s sake) every copper object happens to be in my living room, the connection between x’s being made of copper and x’s being in my living room isn’t routed in that way through those properties.</w:t>
      </w:r>
    </w:p>
    <w:p w14:paraId="7E000A0C" w14:textId="77777777" w:rsidR="009A58DB" w:rsidRDefault="00000000">
      <w:pPr>
        <w:pStyle w:val="BodyText"/>
        <w:spacing w:before="23" w:line="249" w:lineRule="auto"/>
        <w:ind w:right="363" w:firstLine="360"/>
      </w:pPr>
      <w:r>
        <w:t xml:space="preserve">All </w:t>
      </w:r>
      <w:r>
        <w:rPr>
          <w:i/>
        </w:rPr>
        <w:t xml:space="preserve">principles </w:t>
      </w:r>
      <w:r>
        <w:t xml:space="preserve">connections are relationships between properties. This means that </w:t>
      </w:r>
      <w:r>
        <w:rPr>
          <w:b/>
          <w:i/>
        </w:rPr>
        <w:t>nomi</w:t>
      </w:r>
      <w:bookmarkStart w:id="111" w:name="_bookmark111"/>
      <w:bookmarkEnd w:id="111"/>
      <w:r>
        <w:rPr>
          <w:b/>
          <w:i/>
        </w:rPr>
        <w:t>c</w:t>
      </w:r>
      <w:r>
        <w:rPr>
          <w:b/>
          <w:color w:val="0562C1"/>
          <w:position w:val="21"/>
          <w:u w:val="single" w:color="0562C1"/>
        </w:rPr>
        <w:t>[51]</w:t>
      </w:r>
      <w:r>
        <w:rPr>
          <w:b/>
          <w:color w:val="0562C1"/>
          <w:position w:val="21"/>
        </w:rPr>
        <w:t xml:space="preserve"> </w:t>
      </w:r>
      <w:r>
        <w:t>connections (e.g., the connection between a thing’s being</w:t>
      </w:r>
      <w:r>
        <w:rPr>
          <w:spacing w:val="13"/>
        </w:rPr>
        <w:t xml:space="preserve"> </w:t>
      </w:r>
      <w:r>
        <w:t>made</w:t>
      </w:r>
      <w:r>
        <w:rPr>
          <w:spacing w:val="14"/>
        </w:rPr>
        <w:t xml:space="preserve"> </w:t>
      </w:r>
      <w:r>
        <w:t>of</w:t>
      </w:r>
      <w:r>
        <w:rPr>
          <w:spacing w:val="14"/>
        </w:rPr>
        <w:t xml:space="preserve"> </w:t>
      </w:r>
      <w:r>
        <w:t>copper</w:t>
      </w:r>
      <w:r>
        <w:rPr>
          <w:spacing w:val="14"/>
        </w:rPr>
        <w:t xml:space="preserve"> </w:t>
      </w:r>
      <w:r>
        <w:t>and</w:t>
      </w:r>
      <w:r>
        <w:rPr>
          <w:spacing w:val="14"/>
        </w:rPr>
        <w:t xml:space="preserve"> </w:t>
      </w:r>
      <w:r>
        <w:t>its</w:t>
      </w:r>
      <w:r>
        <w:rPr>
          <w:spacing w:val="14"/>
        </w:rPr>
        <w:t xml:space="preserve"> </w:t>
      </w:r>
      <w:r>
        <w:t>being</w:t>
      </w:r>
      <w:r>
        <w:rPr>
          <w:spacing w:val="14"/>
        </w:rPr>
        <w:t xml:space="preserve"> </w:t>
      </w:r>
      <w:r>
        <w:t>a</w:t>
      </w:r>
      <w:r>
        <w:rPr>
          <w:spacing w:val="14"/>
        </w:rPr>
        <w:t xml:space="preserve"> </w:t>
      </w:r>
      <w:r>
        <w:t>good</w:t>
      </w:r>
      <w:r>
        <w:rPr>
          <w:spacing w:val="14"/>
        </w:rPr>
        <w:t xml:space="preserve"> </w:t>
      </w:r>
      <w:r>
        <w:t>conductor</w:t>
      </w:r>
      <w:r>
        <w:rPr>
          <w:spacing w:val="14"/>
        </w:rPr>
        <w:t xml:space="preserve"> </w:t>
      </w:r>
      <w:r>
        <w:t>of</w:t>
      </w:r>
      <w:r>
        <w:rPr>
          <w:spacing w:val="14"/>
        </w:rPr>
        <w:t xml:space="preserve"> </w:t>
      </w:r>
      <w:r>
        <w:t>electricity)</w:t>
      </w:r>
      <w:r>
        <w:rPr>
          <w:spacing w:val="14"/>
        </w:rPr>
        <w:t xml:space="preserve"> </w:t>
      </w:r>
      <w:r>
        <w:t>and</w:t>
      </w:r>
      <w:r>
        <w:rPr>
          <w:spacing w:val="15"/>
        </w:rPr>
        <w:t xml:space="preserve"> </w:t>
      </w:r>
      <w:r>
        <w:rPr>
          <w:spacing w:val="-4"/>
        </w:rPr>
        <w:t>also</w:t>
      </w:r>
    </w:p>
    <w:p w14:paraId="7E000A0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0E" w14:textId="77777777" w:rsidR="009A58DB" w:rsidRDefault="00000000">
      <w:pPr>
        <w:pStyle w:val="BodyText"/>
        <w:spacing w:before="60" w:line="249" w:lineRule="auto"/>
        <w:ind w:right="361"/>
      </w:pPr>
      <w:r>
        <w:lastRenderedPageBreak/>
        <w:t>all logical connections (e.g., the connections between a thing’s having knowledge and its having a mind) are expressed by statements whose</w:t>
      </w:r>
      <w:r>
        <w:rPr>
          <w:spacing w:val="40"/>
        </w:rPr>
        <w:t xml:space="preserve"> </w:t>
      </w:r>
      <w:r>
        <w:t>subjects are properties. The correct statement that:</w:t>
      </w:r>
    </w:p>
    <w:p w14:paraId="7E000A0F" w14:textId="77777777" w:rsidR="009A58DB" w:rsidRDefault="00000000">
      <w:pPr>
        <w:pStyle w:val="ListParagraph"/>
        <w:numPr>
          <w:ilvl w:val="0"/>
          <w:numId w:val="209"/>
        </w:numPr>
        <w:tabs>
          <w:tab w:val="left" w:pos="782"/>
        </w:tabs>
        <w:spacing w:before="113"/>
        <w:ind w:left="782" w:hanging="422"/>
        <w:jc w:val="both"/>
        <w:rPr>
          <w:i/>
          <w:sz w:val="30"/>
        </w:rPr>
      </w:pPr>
      <w:r>
        <w:rPr>
          <w:sz w:val="30"/>
        </w:rPr>
        <w:t>For</w:t>
      </w:r>
      <w:r>
        <w:rPr>
          <w:spacing w:val="-5"/>
          <w:sz w:val="30"/>
        </w:rPr>
        <w:t xml:space="preserve"> </w:t>
      </w:r>
      <w:r>
        <w:rPr>
          <w:sz w:val="30"/>
        </w:rPr>
        <w:t>any</w:t>
      </w:r>
      <w:r>
        <w:rPr>
          <w:spacing w:val="-2"/>
          <w:sz w:val="30"/>
        </w:rPr>
        <w:t xml:space="preserve"> </w:t>
      </w:r>
      <w:r>
        <w:rPr>
          <w:sz w:val="30"/>
        </w:rPr>
        <w:t>x,</w:t>
      </w:r>
      <w:r>
        <w:rPr>
          <w:spacing w:val="-1"/>
          <w:sz w:val="30"/>
        </w:rPr>
        <w:t xml:space="preserve"> </w:t>
      </w:r>
      <w:r>
        <w:rPr>
          <w:sz w:val="30"/>
        </w:rPr>
        <w:t>the</w:t>
      </w:r>
      <w:r>
        <w:rPr>
          <w:spacing w:val="-3"/>
          <w:sz w:val="30"/>
        </w:rPr>
        <w:t xml:space="preserve"> </w:t>
      </w:r>
      <w:r>
        <w:rPr>
          <w:sz w:val="30"/>
        </w:rPr>
        <w:t>statement</w:t>
      </w:r>
      <w:r>
        <w:rPr>
          <w:spacing w:val="-2"/>
          <w:sz w:val="30"/>
        </w:rPr>
        <w:t xml:space="preserve"> </w:t>
      </w:r>
      <w:r>
        <w:rPr>
          <w:i/>
          <w:sz w:val="30"/>
        </w:rPr>
        <w:t>x</w:t>
      </w:r>
      <w:r>
        <w:rPr>
          <w:i/>
          <w:spacing w:val="-3"/>
          <w:sz w:val="30"/>
        </w:rPr>
        <w:t xml:space="preserve"> </w:t>
      </w:r>
      <w:r>
        <w:rPr>
          <w:i/>
          <w:sz w:val="30"/>
        </w:rPr>
        <w:t>has</w:t>
      </w:r>
      <w:r>
        <w:rPr>
          <w:i/>
          <w:spacing w:val="-3"/>
          <w:sz w:val="30"/>
        </w:rPr>
        <w:t xml:space="preserve"> </w:t>
      </w:r>
      <w:r>
        <w:rPr>
          <w:i/>
          <w:sz w:val="30"/>
        </w:rPr>
        <w:t>knowledge</w:t>
      </w:r>
      <w:r>
        <w:rPr>
          <w:i/>
          <w:spacing w:val="-2"/>
          <w:sz w:val="30"/>
        </w:rPr>
        <w:t xml:space="preserve"> </w:t>
      </w:r>
      <w:r>
        <w:rPr>
          <w:sz w:val="30"/>
        </w:rPr>
        <w:t>entails</w:t>
      </w:r>
      <w:r>
        <w:rPr>
          <w:spacing w:val="-3"/>
          <w:sz w:val="30"/>
        </w:rPr>
        <w:t xml:space="preserve"> </w:t>
      </w:r>
      <w:r>
        <w:rPr>
          <w:i/>
          <w:sz w:val="30"/>
        </w:rPr>
        <w:t>x</w:t>
      </w:r>
      <w:r>
        <w:rPr>
          <w:i/>
          <w:spacing w:val="-2"/>
          <w:sz w:val="30"/>
        </w:rPr>
        <w:t xml:space="preserve"> </w:t>
      </w:r>
      <w:r>
        <w:rPr>
          <w:i/>
          <w:sz w:val="30"/>
        </w:rPr>
        <w:t>has</w:t>
      </w:r>
      <w:r>
        <w:rPr>
          <w:i/>
          <w:spacing w:val="-3"/>
          <w:sz w:val="30"/>
        </w:rPr>
        <w:t xml:space="preserve"> </w:t>
      </w:r>
      <w:r>
        <w:rPr>
          <w:i/>
          <w:sz w:val="30"/>
        </w:rPr>
        <w:t>a</w:t>
      </w:r>
      <w:r>
        <w:rPr>
          <w:i/>
          <w:spacing w:val="-1"/>
          <w:sz w:val="30"/>
        </w:rPr>
        <w:t xml:space="preserve"> </w:t>
      </w:r>
      <w:r>
        <w:rPr>
          <w:i/>
          <w:spacing w:val="-4"/>
          <w:sz w:val="30"/>
        </w:rPr>
        <w:t>mind</w:t>
      </w:r>
    </w:p>
    <w:p w14:paraId="7E000A10" w14:textId="77777777" w:rsidR="009A58DB" w:rsidRDefault="00000000">
      <w:pPr>
        <w:pStyle w:val="BodyText"/>
        <w:spacing w:before="105"/>
      </w:pPr>
      <w:r>
        <w:t>is</w:t>
      </w:r>
      <w:r>
        <w:rPr>
          <w:spacing w:val="-3"/>
        </w:rPr>
        <w:t xml:space="preserve"> </w:t>
      </w:r>
      <w:r>
        <w:t>another</w:t>
      </w:r>
      <w:r>
        <w:rPr>
          <w:spacing w:val="-3"/>
        </w:rPr>
        <w:t xml:space="preserve"> </w:t>
      </w:r>
      <w:r>
        <w:t>way</w:t>
      </w:r>
      <w:r>
        <w:rPr>
          <w:spacing w:val="-2"/>
        </w:rPr>
        <w:t xml:space="preserve"> </w:t>
      </w:r>
      <w:r>
        <w:t>of</w:t>
      </w:r>
      <w:r>
        <w:rPr>
          <w:spacing w:val="-3"/>
        </w:rPr>
        <w:t xml:space="preserve"> </w:t>
      </w:r>
      <w:r>
        <w:t>saying</w:t>
      </w:r>
      <w:r>
        <w:rPr>
          <w:spacing w:val="-1"/>
        </w:rPr>
        <w:t xml:space="preserve"> </w:t>
      </w:r>
      <w:r>
        <w:rPr>
          <w:spacing w:val="-4"/>
        </w:rPr>
        <w:t>that</w:t>
      </w:r>
    </w:p>
    <w:p w14:paraId="7E000A11" w14:textId="77777777" w:rsidR="009A58DB" w:rsidRDefault="00000000">
      <w:pPr>
        <w:pStyle w:val="ListParagraph"/>
        <w:numPr>
          <w:ilvl w:val="0"/>
          <w:numId w:val="209"/>
        </w:numPr>
        <w:tabs>
          <w:tab w:val="left" w:pos="953"/>
        </w:tabs>
        <w:spacing w:before="120" w:line="249" w:lineRule="auto"/>
        <w:ind w:left="360" w:right="362" w:firstLine="0"/>
        <w:jc w:val="both"/>
        <w:rPr>
          <w:sz w:val="30"/>
        </w:rPr>
      </w:pPr>
      <w:r>
        <w:rPr>
          <w:sz w:val="30"/>
        </w:rPr>
        <w:t xml:space="preserve">something that has knowledge </w:t>
      </w:r>
      <w:r>
        <w:rPr>
          <w:i/>
          <w:sz w:val="30"/>
        </w:rPr>
        <w:t xml:space="preserve">for that very reason </w:t>
      </w:r>
      <w:r>
        <w:rPr>
          <w:sz w:val="30"/>
        </w:rPr>
        <w:t xml:space="preserve">has a mind of some </w:t>
      </w:r>
      <w:r>
        <w:rPr>
          <w:spacing w:val="-2"/>
          <w:sz w:val="30"/>
        </w:rPr>
        <w:t>kind.</w:t>
      </w:r>
    </w:p>
    <w:p w14:paraId="7E000A12" w14:textId="77777777" w:rsidR="009A58DB" w:rsidRDefault="00000000">
      <w:pPr>
        <w:pStyle w:val="BodyText"/>
        <w:spacing w:before="108"/>
      </w:pPr>
      <w:r>
        <w:t>And</w:t>
      </w:r>
      <w:r>
        <w:rPr>
          <w:spacing w:val="-2"/>
        </w:rPr>
        <w:t xml:space="preserve"> </w:t>
      </w:r>
      <w:r>
        <w:t>(10)</w:t>
      </w:r>
      <w:r>
        <w:rPr>
          <w:spacing w:val="-3"/>
        </w:rPr>
        <w:t xml:space="preserve"> </w:t>
      </w:r>
      <w:r>
        <w:t>is</w:t>
      </w:r>
      <w:r>
        <w:rPr>
          <w:spacing w:val="-2"/>
        </w:rPr>
        <w:t xml:space="preserve"> </w:t>
      </w:r>
      <w:r>
        <w:t>another</w:t>
      </w:r>
      <w:r>
        <w:rPr>
          <w:spacing w:val="-3"/>
        </w:rPr>
        <w:t xml:space="preserve"> </w:t>
      </w:r>
      <w:r>
        <w:t>way</w:t>
      </w:r>
      <w:r>
        <w:rPr>
          <w:spacing w:val="-1"/>
        </w:rPr>
        <w:t xml:space="preserve"> </w:t>
      </w:r>
      <w:r>
        <w:t>of</w:t>
      </w:r>
      <w:r>
        <w:rPr>
          <w:spacing w:val="-3"/>
        </w:rPr>
        <w:t xml:space="preserve"> </w:t>
      </w:r>
      <w:r>
        <w:t>saying</w:t>
      </w:r>
      <w:r>
        <w:rPr>
          <w:spacing w:val="-1"/>
        </w:rPr>
        <w:t xml:space="preserve"> </w:t>
      </w:r>
      <w:r>
        <w:rPr>
          <w:spacing w:val="-4"/>
        </w:rPr>
        <w:t>that:</w:t>
      </w:r>
    </w:p>
    <w:p w14:paraId="7E000A13" w14:textId="77777777" w:rsidR="009A58DB" w:rsidRDefault="009A58DB">
      <w:pPr>
        <w:pStyle w:val="BodyText"/>
        <w:spacing w:before="30"/>
        <w:ind w:left="0"/>
        <w:jc w:val="left"/>
      </w:pPr>
    </w:p>
    <w:p w14:paraId="7E000A14" w14:textId="77777777" w:rsidR="009A58DB" w:rsidRDefault="00000000">
      <w:pPr>
        <w:pStyle w:val="BodyText"/>
        <w:spacing w:line="249" w:lineRule="auto"/>
        <w:ind w:right="371"/>
      </w:pPr>
      <w:r>
        <w:t xml:space="preserve">(10) the property of having knowledge is a form of the property of having a </w:t>
      </w:r>
      <w:r>
        <w:rPr>
          <w:spacing w:val="-2"/>
        </w:rPr>
        <w:t>mind.</w:t>
      </w:r>
    </w:p>
    <w:p w14:paraId="7E000A15" w14:textId="77777777" w:rsidR="009A58DB" w:rsidRDefault="009A58DB">
      <w:pPr>
        <w:pStyle w:val="BodyText"/>
        <w:spacing w:before="17"/>
        <w:ind w:left="0"/>
        <w:jc w:val="left"/>
      </w:pPr>
    </w:p>
    <w:p w14:paraId="7E000A16" w14:textId="77777777" w:rsidR="009A58DB" w:rsidRDefault="00000000">
      <w:pPr>
        <w:pStyle w:val="BodyText"/>
        <w:spacing w:line="249" w:lineRule="auto"/>
        <w:ind w:right="358" w:firstLine="360"/>
      </w:pPr>
      <w:r>
        <w:t xml:space="preserve">In conclusion, unless it’s conceded that properties exist, there is no way to account for the fact that there are </w:t>
      </w:r>
      <w:r>
        <w:rPr>
          <w:i/>
        </w:rPr>
        <w:t>principled</w:t>
      </w:r>
      <w:r>
        <w:rPr>
          <w:i/>
          <w:spacing w:val="-4"/>
        </w:rPr>
        <w:t xml:space="preserve"> </w:t>
      </w:r>
      <w:r>
        <w:t xml:space="preserve">relationships of any kind. And in fact those who deny that properties exist tend </w:t>
      </w:r>
      <w:r>
        <w:rPr>
          <w:i/>
        </w:rPr>
        <w:t>not</w:t>
      </w:r>
      <w:r>
        <w:rPr>
          <w:i/>
          <w:spacing w:val="-3"/>
        </w:rPr>
        <w:t xml:space="preserve"> </w:t>
      </w:r>
      <w:r>
        <w:t xml:space="preserve">to grant that there exist any such relationships. Those who deny the existence of properties tend to be </w:t>
      </w:r>
      <w:r>
        <w:rPr>
          <w:b/>
          <w:i/>
        </w:rPr>
        <w:t xml:space="preserve">empiricists. </w:t>
      </w:r>
      <w:r>
        <w:t xml:space="preserve">Since empiricists cannot grant the existence of things, such as properties, that cannot be seen or otherwise known (more or less) directly on the basis of observation, they end up </w:t>
      </w:r>
      <w:r>
        <w:rPr>
          <w:i/>
        </w:rPr>
        <w:t xml:space="preserve">denying </w:t>
      </w:r>
      <w:r>
        <w:t>that anything has any bearing</w:t>
      </w:r>
      <w:r>
        <w:rPr>
          <w:spacing w:val="40"/>
        </w:rPr>
        <w:t xml:space="preserve"> </w:t>
      </w:r>
      <w:r>
        <w:t>on anything. (See Chapter 18.)</w:t>
      </w:r>
    </w:p>
    <w:p w14:paraId="7E000A17" w14:textId="77777777" w:rsidR="009A58DB" w:rsidRDefault="00000000">
      <w:pPr>
        <w:pStyle w:val="Heading1"/>
        <w:numPr>
          <w:ilvl w:val="1"/>
          <w:numId w:val="211"/>
        </w:numPr>
        <w:tabs>
          <w:tab w:val="left" w:pos="990"/>
        </w:tabs>
        <w:spacing w:before="198"/>
        <w:ind w:left="990" w:hanging="630"/>
        <w:jc w:val="both"/>
      </w:pPr>
      <w:r>
        <w:t>Logic</w:t>
      </w:r>
      <w:r>
        <w:rPr>
          <w:spacing w:val="-9"/>
        </w:rPr>
        <w:t xml:space="preserve"> </w:t>
      </w:r>
      <w:r>
        <w:t>property-based,</w:t>
      </w:r>
      <w:r>
        <w:rPr>
          <w:spacing w:val="-5"/>
        </w:rPr>
        <w:t xml:space="preserve"> </w:t>
      </w:r>
      <w:r>
        <w:t>not</w:t>
      </w:r>
      <w:r>
        <w:rPr>
          <w:spacing w:val="-6"/>
        </w:rPr>
        <w:t xml:space="preserve"> </w:t>
      </w:r>
      <w:r>
        <w:t>set-based</w:t>
      </w:r>
      <w:r>
        <w:rPr>
          <w:spacing w:val="-6"/>
        </w:rPr>
        <w:t xml:space="preserve"> </w:t>
      </w:r>
      <w:r>
        <w:rPr>
          <w:spacing w:val="-2"/>
        </w:rPr>
        <w:t>(continued)</w:t>
      </w:r>
    </w:p>
    <w:p w14:paraId="7E000A18" w14:textId="77777777" w:rsidR="009A58DB" w:rsidRDefault="00000000">
      <w:pPr>
        <w:pStyle w:val="BodyText"/>
        <w:spacing w:before="139" w:line="292" w:lineRule="auto"/>
        <w:ind w:right="361"/>
      </w:pPr>
      <w:r>
        <w:t>Let S</w:t>
      </w:r>
      <w:r>
        <w:rPr>
          <w:vertAlign w:val="subscript"/>
        </w:rPr>
        <w:t>1</w:t>
      </w:r>
      <w:r>
        <w:t xml:space="preserve"> be the set containing the smallest number greater than zero that is divisible by two, and let S</w:t>
      </w:r>
      <w:r>
        <w:rPr>
          <w:vertAlign w:val="subscript"/>
        </w:rPr>
        <w:t>2</w:t>
      </w:r>
      <w:r>
        <w:t xml:space="preserve"> be Fred’s favorite number, which happens to be the number two. S</w:t>
      </w:r>
      <w:r>
        <w:rPr>
          <w:vertAlign w:val="subscript"/>
        </w:rPr>
        <w:t>1</w:t>
      </w:r>
      <w:r>
        <w:t xml:space="preserve"> and S</w:t>
      </w:r>
      <w:r>
        <w:rPr>
          <w:vertAlign w:val="subscript"/>
        </w:rPr>
        <w:t>2</w:t>
      </w:r>
      <w:r>
        <w:t xml:space="preserve"> are the same set, and the statement:</w:t>
      </w:r>
    </w:p>
    <w:p w14:paraId="7E000A19" w14:textId="77777777" w:rsidR="009A58DB" w:rsidRDefault="009A58DB">
      <w:pPr>
        <w:pStyle w:val="BodyText"/>
        <w:spacing w:before="13"/>
        <w:ind w:left="0"/>
        <w:jc w:val="left"/>
      </w:pPr>
    </w:p>
    <w:p w14:paraId="7E000A1A" w14:textId="77777777" w:rsidR="009A58DB" w:rsidRDefault="00000000">
      <w:pPr>
        <w:pStyle w:val="ListParagraph"/>
        <w:numPr>
          <w:ilvl w:val="0"/>
          <w:numId w:val="208"/>
        </w:numPr>
        <w:tabs>
          <w:tab w:val="left" w:pos="782"/>
        </w:tabs>
        <w:ind w:left="782" w:hanging="422"/>
        <w:jc w:val="both"/>
        <w:rPr>
          <w:sz w:val="30"/>
        </w:rPr>
      </w:pPr>
      <w:r>
        <w:rPr>
          <w:sz w:val="30"/>
        </w:rPr>
        <w:t>x</w:t>
      </w:r>
      <w:r>
        <w:rPr>
          <w:spacing w:val="-2"/>
          <w:sz w:val="30"/>
        </w:rPr>
        <w:t xml:space="preserve"> </w:t>
      </w:r>
      <w:r>
        <w:rPr>
          <w:sz w:val="30"/>
        </w:rPr>
        <w:t>is</w:t>
      </w:r>
      <w:r>
        <w:rPr>
          <w:spacing w:val="-1"/>
          <w:sz w:val="30"/>
        </w:rPr>
        <w:t xml:space="preserve"> </w:t>
      </w:r>
      <w:r>
        <w:rPr>
          <w:sz w:val="30"/>
        </w:rPr>
        <w:t>a</w:t>
      </w:r>
      <w:r>
        <w:rPr>
          <w:spacing w:val="-2"/>
          <w:sz w:val="30"/>
        </w:rPr>
        <w:t xml:space="preserve"> </w:t>
      </w:r>
      <w:r>
        <w:rPr>
          <w:sz w:val="30"/>
        </w:rPr>
        <w:t>member</w:t>
      </w:r>
      <w:r>
        <w:rPr>
          <w:spacing w:val="-2"/>
          <w:sz w:val="30"/>
        </w:rPr>
        <w:t xml:space="preserve"> </w:t>
      </w:r>
      <w:r>
        <w:rPr>
          <w:sz w:val="30"/>
        </w:rPr>
        <w:t>of</w:t>
      </w:r>
      <w:r>
        <w:rPr>
          <w:spacing w:val="-2"/>
          <w:sz w:val="30"/>
        </w:rPr>
        <w:t xml:space="preserve"> </w:t>
      </w:r>
      <w:r>
        <w:rPr>
          <w:spacing w:val="-5"/>
          <w:sz w:val="30"/>
        </w:rPr>
        <w:t>S</w:t>
      </w:r>
      <w:r>
        <w:rPr>
          <w:spacing w:val="-5"/>
          <w:sz w:val="30"/>
          <w:vertAlign w:val="subscript"/>
        </w:rPr>
        <w:t>1</w:t>
      </w:r>
    </w:p>
    <w:p w14:paraId="7E000A1B" w14:textId="77777777" w:rsidR="009A58DB" w:rsidRDefault="009A58DB">
      <w:pPr>
        <w:pStyle w:val="BodyText"/>
        <w:spacing w:before="90"/>
        <w:ind w:left="0"/>
        <w:jc w:val="left"/>
      </w:pPr>
    </w:p>
    <w:p w14:paraId="7E000A1C" w14:textId="77777777" w:rsidR="009A58DB" w:rsidRDefault="00000000">
      <w:pPr>
        <w:pStyle w:val="BodyText"/>
      </w:pPr>
      <w:r>
        <w:t>is</w:t>
      </w:r>
      <w:r>
        <w:rPr>
          <w:spacing w:val="-5"/>
        </w:rPr>
        <w:t xml:space="preserve"> </w:t>
      </w:r>
      <w:r>
        <w:t>therefore</w:t>
      </w:r>
      <w:r>
        <w:rPr>
          <w:spacing w:val="-4"/>
        </w:rPr>
        <w:t xml:space="preserve"> </w:t>
      </w:r>
      <w:r>
        <w:t>identical</w:t>
      </w:r>
      <w:r>
        <w:rPr>
          <w:spacing w:val="-5"/>
        </w:rPr>
        <w:t xml:space="preserve"> </w:t>
      </w:r>
      <w:r>
        <w:t>with</w:t>
      </w:r>
      <w:r>
        <w:rPr>
          <w:spacing w:val="-3"/>
        </w:rPr>
        <w:t xml:space="preserve"> </w:t>
      </w:r>
      <w:r>
        <w:t>the</w:t>
      </w:r>
      <w:r>
        <w:rPr>
          <w:spacing w:val="-4"/>
        </w:rPr>
        <w:t xml:space="preserve"> </w:t>
      </w:r>
      <w:r>
        <w:rPr>
          <w:spacing w:val="-2"/>
        </w:rPr>
        <w:t>statement</w:t>
      </w:r>
    </w:p>
    <w:p w14:paraId="7E000A1D" w14:textId="77777777" w:rsidR="009A58DB" w:rsidRDefault="009A58DB">
      <w:pPr>
        <w:pStyle w:val="BodyText"/>
        <w:spacing w:before="30"/>
        <w:ind w:left="0"/>
        <w:jc w:val="left"/>
      </w:pPr>
    </w:p>
    <w:p w14:paraId="7E000A1E" w14:textId="77777777" w:rsidR="009A58DB" w:rsidRDefault="00000000">
      <w:pPr>
        <w:pStyle w:val="ListParagraph"/>
        <w:numPr>
          <w:ilvl w:val="0"/>
          <w:numId w:val="208"/>
        </w:numPr>
        <w:tabs>
          <w:tab w:val="left" w:pos="788"/>
        </w:tabs>
        <w:spacing w:line="249" w:lineRule="auto"/>
        <w:ind w:left="360" w:right="358" w:firstLine="0"/>
        <w:jc w:val="both"/>
        <w:rPr>
          <w:sz w:val="30"/>
        </w:rPr>
      </w:pPr>
      <w:r>
        <w:rPr>
          <w:sz w:val="30"/>
        </w:rPr>
        <w:t>x is a member of the set that contains the number two and doesn’t contain anything else;</w:t>
      </w:r>
    </w:p>
    <w:p w14:paraId="7E000A1F" w14:textId="77777777" w:rsidR="009A58DB" w:rsidRDefault="009A58DB">
      <w:pPr>
        <w:pStyle w:val="ListParagraph"/>
        <w:spacing w:line="249" w:lineRule="auto"/>
        <w:jc w:val="both"/>
        <w:rPr>
          <w:sz w:val="30"/>
        </w:rPr>
        <w:sectPr w:rsidR="009A58DB">
          <w:pgSz w:w="12240" w:h="15840"/>
          <w:pgMar w:top="1380" w:right="1080" w:bottom="280" w:left="1080" w:header="720" w:footer="720" w:gutter="0"/>
          <w:cols w:space="720"/>
        </w:sectPr>
      </w:pPr>
    </w:p>
    <w:p w14:paraId="7E000A20" w14:textId="77777777" w:rsidR="009A58DB" w:rsidRDefault="00000000">
      <w:pPr>
        <w:pStyle w:val="BodyText"/>
        <w:spacing w:before="65"/>
      </w:pPr>
      <w:r>
        <w:lastRenderedPageBreak/>
        <w:t>and</w:t>
      </w:r>
      <w:r>
        <w:rPr>
          <w:spacing w:val="-4"/>
        </w:rPr>
        <w:t xml:space="preserve"> </w:t>
      </w:r>
      <w:r>
        <w:t>both</w:t>
      </w:r>
      <w:r>
        <w:rPr>
          <w:spacing w:val="-4"/>
        </w:rPr>
        <w:t xml:space="preserve"> </w:t>
      </w:r>
      <w:r>
        <w:t>statements</w:t>
      </w:r>
      <w:r>
        <w:rPr>
          <w:spacing w:val="-4"/>
        </w:rPr>
        <w:t xml:space="preserve"> </w:t>
      </w:r>
      <w:r>
        <w:t>are</w:t>
      </w:r>
      <w:r>
        <w:rPr>
          <w:spacing w:val="-5"/>
        </w:rPr>
        <w:t xml:space="preserve"> </w:t>
      </w:r>
      <w:r>
        <w:t>identical</w:t>
      </w:r>
      <w:r>
        <w:rPr>
          <w:spacing w:val="-4"/>
        </w:rPr>
        <w:t xml:space="preserve"> with</w:t>
      </w:r>
    </w:p>
    <w:p w14:paraId="7E000A21" w14:textId="77777777" w:rsidR="009A58DB" w:rsidRDefault="009A58DB">
      <w:pPr>
        <w:pStyle w:val="BodyText"/>
        <w:spacing w:before="29"/>
        <w:ind w:left="0"/>
        <w:jc w:val="left"/>
      </w:pPr>
    </w:p>
    <w:p w14:paraId="7E000A22" w14:textId="77777777" w:rsidR="009A58DB" w:rsidRDefault="00000000">
      <w:pPr>
        <w:pStyle w:val="ListParagraph"/>
        <w:numPr>
          <w:ilvl w:val="0"/>
          <w:numId w:val="208"/>
        </w:numPr>
        <w:tabs>
          <w:tab w:val="left" w:pos="782"/>
        </w:tabs>
        <w:spacing w:before="1"/>
        <w:ind w:left="782" w:hanging="422"/>
        <w:rPr>
          <w:sz w:val="30"/>
        </w:rPr>
      </w:pPr>
      <w:r>
        <w:rPr>
          <w:sz w:val="30"/>
        </w:rPr>
        <w:t>x</w:t>
      </w:r>
      <w:r>
        <w:rPr>
          <w:spacing w:val="-2"/>
          <w:sz w:val="30"/>
        </w:rPr>
        <w:t xml:space="preserve"> </w:t>
      </w:r>
      <w:r>
        <w:rPr>
          <w:sz w:val="30"/>
        </w:rPr>
        <w:t>is</w:t>
      </w:r>
      <w:r>
        <w:rPr>
          <w:spacing w:val="-1"/>
          <w:sz w:val="30"/>
        </w:rPr>
        <w:t xml:space="preserve"> </w:t>
      </w:r>
      <w:r>
        <w:rPr>
          <w:sz w:val="30"/>
        </w:rPr>
        <w:t>a</w:t>
      </w:r>
      <w:r>
        <w:rPr>
          <w:spacing w:val="-2"/>
          <w:sz w:val="30"/>
        </w:rPr>
        <w:t xml:space="preserve"> </w:t>
      </w:r>
      <w:r>
        <w:rPr>
          <w:sz w:val="30"/>
        </w:rPr>
        <w:t>member</w:t>
      </w:r>
      <w:r>
        <w:rPr>
          <w:spacing w:val="-2"/>
          <w:sz w:val="30"/>
        </w:rPr>
        <w:t xml:space="preserve"> </w:t>
      </w:r>
      <w:r>
        <w:rPr>
          <w:sz w:val="30"/>
        </w:rPr>
        <w:t>of</w:t>
      </w:r>
      <w:r>
        <w:rPr>
          <w:spacing w:val="-2"/>
          <w:sz w:val="30"/>
        </w:rPr>
        <w:t xml:space="preserve"> </w:t>
      </w:r>
      <w:r>
        <w:rPr>
          <w:spacing w:val="-5"/>
          <w:sz w:val="30"/>
        </w:rPr>
        <w:t>S2.</w:t>
      </w:r>
    </w:p>
    <w:p w14:paraId="7E000A23" w14:textId="77777777" w:rsidR="009A58DB" w:rsidRDefault="009A58DB">
      <w:pPr>
        <w:pStyle w:val="BodyText"/>
        <w:spacing w:before="30"/>
        <w:ind w:left="0"/>
        <w:jc w:val="left"/>
      </w:pPr>
    </w:p>
    <w:p w14:paraId="7E000A24" w14:textId="77777777" w:rsidR="009A58DB" w:rsidRDefault="00000000">
      <w:pPr>
        <w:pStyle w:val="BodyText"/>
        <w:spacing w:line="249" w:lineRule="auto"/>
        <w:ind w:right="371"/>
      </w:pPr>
      <w:r>
        <w:t>Thus, anything entailed by any one of those statements is entailed by each of the others, and anything that entails any one of those statements entails each of the others. Thus, (1) entails:</w:t>
      </w:r>
    </w:p>
    <w:p w14:paraId="7E000A25" w14:textId="77777777" w:rsidR="009A58DB" w:rsidRDefault="009A58DB">
      <w:pPr>
        <w:pStyle w:val="BodyText"/>
        <w:spacing w:before="18"/>
        <w:ind w:left="0"/>
        <w:jc w:val="left"/>
      </w:pPr>
    </w:p>
    <w:p w14:paraId="7E000A26" w14:textId="77777777" w:rsidR="009A58DB" w:rsidRDefault="00000000">
      <w:pPr>
        <w:pStyle w:val="ListParagraph"/>
        <w:numPr>
          <w:ilvl w:val="0"/>
          <w:numId w:val="208"/>
        </w:numPr>
        <w:tabs>
          <w:tab w:val="left" w:pos="782"/>
        </w:tabs>
        <w:spacing w:line="501" w:lineRule="auto"/>
        <w:ind w:left="360" w:right="6544" w:firstLine="0"/>
        <w:rPr>
          <w:sz w:val="30"/>
        </w:rPr>
      </w:pPr>
      <w:r>
        <w:rPr>
          <w:sz w:val="30"/>
        </w:rPr>
        <w:t>x is less than twenty, and</w:t>
      </w:r>
      <w:r>
        <w:rPr>
          <w:spacing w:val="-7"/>
          <w:sz w:val="30"/>
        </w:rPr>
        <w:t xml:space="preserve"> </w:t>
      </w:r>
      <w:r>
        <w:rPr>
          <w:sz w:val="30"/>
        </w:rPr>
        <w:t>so</w:t>
      </w:r>
      <w:r>
        <w:rPr>
          <w:spacing w:val="-7"/>
          <w:sz w:val="30"/>
        </w:rPr>
        <w:t xml:space="preserve"> </w:t>
      </w:r>
      <w:r>
        <w:rPr>
          <w:sz w:val="30"/>
        </w:rPr>
        <w:t>do</w:t>
      </w:r>
      <w:r>
        <w:rPr>
          <w:spacing w:val="-7"/>
          <w:sz w:val="30"/>
        </w:rPr>
        <w:t xml:space="preserve"> </w:t>
      </w:r>
      <w:r>
        <w:rPr>
          <w:sz w:val="30"/>
        </w:rPr>
        <w:t>(2)</w:t>
      </w:r>
      <w:r>
        <w:rPr>
          <w:spacing w:val="-8"/>
          <w:sz w:val="30"/>
        </w:rPr>
        <w:t xml:space="preserve"> </w:t>
      </w:r>
      <w:r>
        <w:rPr>
          <w:sz w:val="30"/>
        </w:rPr>
        <w:t>and</w:t>
      </w:r>
      <w:r>
        <w:rPr>
          <w:spacing w:val="-7"/>
          <w:sz w:val="30"/>
        </w:rPr>
        <w:t xml:space="preserve"> </w:t>
      </w:r>
      <w:r>
        <w:rPr>
          <w:sz w:val="30"/>
        </w:rPr>
        <w:t>(3).</w:t>
      </w:r>
      <w:r>
        <w:rPr>
          <w:spacing w:val="-7"/>
          <w:sz w:val="30"/>
        </w:rPr>
        <w:t xml:space="preserve"> </w:t>
      </w:r>
      <w:r>
        <w:rPr>
          <w:sz w:val="30"/>
        </w:rPr>
        <w:t>And</w:t>
      </w:r>
    </w:p>
    <w:p w14:paraId="7E000A27" w14:textId="77777777" w:rsidR="009A58DB" w:rsidRDefault="00000000">
      <w:pPr>
        <w:pStyle w:val="ListParagraph"/>
        <w:numPr>
          <w:ilvl w:val="0"/>
          <w:numId w:val="208"/>
        </w:numPr>
        <w:tabs>
          <w:tab w:val="left" w:pos="782"/>
        </w:tabs>
        <w:spacing w:line="343" w:lineRule="exact"/>
        <w:ind w:left="782" w:hanging="422"/>
        <w:rPr>
          <w:sz w:val="30"/>
        </w:rPr>
      </w:pPr>
      <w:r>
        <w:rPr>
          <w:sz w:val="30"/>
        </w:rPr>
        <w:t>x</w:t>
      </w:r>
      <w:r>
        <w:rPr>
          <w:spacing w:val="-4"/>
          <w:sz w:val="30"/>
        </w:rPr>
        <w:t xml:space="preserve"> </w:t>
      </w:r>
      <w:r>
        <w:rPr>
          <w:sz w:val="30"/>
        </w:rPr>
        <w:t>is</w:t>
      </w:r>
      <w:r>
        <w:rPr>
          <w:spacing w:val="-3"/>
          <w:sz w:val="30"/>
        </w:rPr>
        <w:t xml:space="preserve"> </w:t>
      </w:r>
      <w:r>
        <w:rPr>
          <w:sz w:val="30"/>
        </w:rPr>
        <w:t>a</w:t>
      </w:r>
      <w:r>
        <w:rPr>
          <w:spacing w:val="-2"/>
          <w:sz w:val="30"/>
        </w:rPr>
        <w:t xml:space="preserve"> </w:t>
      </w:r>
      <w:r>
        <w:rPr>
          <w:sz w:val="30"/>
        </w:rPr>
        <w:t>whole</w:t>
      </w:r>
      <w:r>
        <w:rPr>
          <w:spacing w:val="-3"/>
          <w:sz w:val="30"/>
        </w:rPr>
        <w:t xml:space="preserve"> </w:t>
      </w:r>
      <w:r>
        <w:rPr>
          <w:sz w:val="30"/>
        </w:rPr>
        <w:t>number</w:t>
      </w:r>
      <w:r>
        <w:rPr>
          <w:spacing w:val="-2"/>
          <w:sz w:val="30"/>
        </w:rPr>
        <w:t xml:space="preserve"> </w:t>
      </w:r>
      <w:r>
        <w:rPr>
          <w:sz w:val="30"/>
        </w:rPr>
        <w:t>greater</w:t>
      </w:r>
      <w:r>
        <w:rPr>
          <w:spacing w:val="-3"/>
          <w:sz w:val="30"/>
        </w:rPr>
        <w:t xml:space="preserve"> </w:t>
      </w:r>
      <w:r>
        <w:rPr>
          <w:sz w:val="30"/>
        </w:rPr>
        <w:t>than</w:t>
      </w:r>
      <w:r>
        <w:rPr>
          <w:spacing w:val="-1"/>
          <w:sz w:val="30"/>
        </w:rPr>
        <w:t xml:space="preserve"> </w:t>
      </w:r>
      <w:r>
        <w:rPr>
          <w:sz w:val="30"/>
        </w:rPr>
        <w:t>one</w:t>
      </w:r>
      <w:r>
        <w:rPr>
          <w:spacing w:val="-3"/>
          <w:sz w:val="30"/>
        </w:rPr>
        <w:t xml:space="preserve"> </w:t>
      </w:r>
      <w:r>
        <w:rPr>
          <w:sz w:val="30"/>
        </w:rPr>
        <w:t>but</w:t>
      </w:r>
      <w:r>
        <w:rPr>
          <w:spacing w:val="-2"/>
          <w:sz w:val="30"/>
        </w:rPr>
        <w:t xml:space="preserve"> </w:t>
      </w:r>
      <w:r>
        <w:rPr>
          <w:sz w:val="30"/>
        </w:rPr>
        <w:t>less</w:t>
      </w:r>
      <w:r>
        <w:rPr>
          <w:spacing w:val="-3"/>
          <w:sz w:val="30"/>
        </w:rPr>
        <w:t xml:space="preserve"> </w:t>
      </w:r>
      <w:r>
        <w:rPr>
          <w:sz w:val="30"/>
        </w:rPr>
        <w:t>than</w:t>
      </w:r>
      <w:r>
        <w:rPr>
          <w:spacing w:val="-1"/>
          <w:sz w:val="30"/>
        </w:rPr>
        <w:t xml:space="preserve"> </w:t>
      </w:r>
      <w:r>
        <w:rPr>
          <w:spacing w:val="-2"/>
          <w:sz w:val="30"/>
        </w:rPr>
        <w:t>three</w:t>
      </w:r>
    </w:p>
    <w:p w14:paraId="7E000A28" w14:textId="77777777" w:rsidR="009A58DB" w:rsidRDefault="009A58DB">
      <w:pPr>
        <w:pStyle w:val="BodyText"/>
        <w:spacing w:before="30"/>
        <w:ind w:left="0"/>
        <w:jc w:val="left"/>
      </w:pPr>
    </w:p>
    <w:p w14:paraId="7E000A29" w14:textId="77777777" w:rsidR="009A58DB" w:rsidRDefault="00000000">
      <w:pPr>
        <w:pStyle w:val="BodyText"/>
        <w:spacing w:before="1"/>
      </w:pPr>
      <w:r>
        <w:t>entails</w:t>
      </w:r>
      <w:r>
        <w:rPr>
          <w:spacing w:val="-4"/>
        </w:rPr>
        <w:t xml:space="preserve"> </w:t>
      </w:r>
      <w:r>
        <w:t>(1),</w:t>
      </w:r>
      <w:r>
        <w:rPr>
          <w:spacing w:val="-2"/>
        </w:rPr>
        <w:t xml:space="preserve"> </w:t>
      </w:r>
      <w:r>
        <w:t>and</w:t>
      </w:r>
      <w:r>
        <w:rPr>
          <w:spacing w:val="-2"/>
        </w:rPr>
        <w:t xml:space="preserve"> </w:t>
      </w:r>
      <w:r>
        <w:t>it</w:t>
      </w:r>
      <w:r>
        <w:rPr>
          <w:spacing w:val="-3"/>
        </w:rPr>
        <w:t xml:space="preserve"> </w:t>
      </w:r>
      <w:r>
        <w:t>also</w:t>
      </w:r>
      <w:r>
        <w:rPr>
          <w:spacing w:val="-3"/>
        </w:rPr>
        <w:t xml:space="preserve"> </w:t>
      </w:r>
      <w:r>
        <w:t>entails</w:t>
      </w:r>
      <w:r>
        <w:rPr>
          <w:spacing w:val="-3"/>
        </w:rPr>
        <w:t xml:space="preserve"> </w:t>
      </w:r>
      <w:r>
        <w:t>each</w:t>
      </w:r>
      <w:r>
        <w:rPr>
          <w:spacing w:val="-2"/>
        </w:rPr>
        <w:t xml:space="preserve"> </w:t>
      </w:r>
      <w:r>
        <w:t>of</w:t>
      </w:r>
      <w:r>
        <w:rPr>
          <w:spacing w:val="-3"/>
        </w:rPr>
        <w:t xml:space="preserve"> </w:t>
      </w:r>
      <w:r>
        <w:t>(2)</w:t>
      </w:r>
      <w:r>
        <w:rPr>
          <w:spacing w:val="-3"/>
        </w:rPr>
        <w:t xml:space="preserve"> </w:t>
      </w:r>
      <w:r>
        <w:t>and</w:t>
      </w:r>
      <w:r>
        <w:rPr>
          <w:spacing w:val="-2"/>
        </w:rPr>
        <w:t xml:space="preserve"> </w:t>
      </w:r>
      <w:r>
        <w:rPr>
          <w:spacing w:val="-4"/>
        </w:rPr>
        <w:t>(3).</w:t>
      </w:r>
    </w:p>
    <w:p w14:paraId="7E000A2A" w14:textId="77777777" w:rsidR="009A58DB" w:rsidRDefault="00000000">
      <w:pPr>
        <w:pStyle w:val="BodyText"/>
        <w:spacing w:before="15"/>
        <w:ind w:left="720"/>
        <w:jc w:val="left"/>
      </w:pPr>
      <w:r>
        <w:t>But</w:t>
      </w:r>
      <w:r>
        <w:rPr>
          <w:spacing w:val="-2"/>
        </w:rPr>
        <w:t xml:space="preserve"> </w:t>
      </w:r>
      <w:r>
        <w:t>the</w:t>
      </w:r>
      <w:r>
        <w:rPr>
          <w:spacing w:val="-2"/>
        </w:rPr>
        <w:t xml:space="preserve"> statement:</w:t>
      </w:r>
    </w:p>
    <w:p w14:paraId="7E000A2B" w14:textId="77777777" w:rsidR="009A58DB" w:rsidRDefault="009A58DB">
      <w:pPr>
        <w:pStyle w:val="BodyText"/>
        <w:spacing w:before="29"/>
        <w:ind w:left="0"/>
        <w:jc w:val="left"/>
      </w:pPr>
    </w:p>
    <w:p w14:paraId="7E000A2C" w14:textId="77777777" w:rsidR="009A58DB" w:rsidRDefault="00000000">
      <w:pPr>
        <w:pStyle w:val="ListParagraph"/>
        <w:numPr>
          <w:ilvl w:val="0"/>
          <w:numId w:val="208"/>
        </w:numPr>
        <w:tabs>
          <w:tab w:val="left" w:pos="782"/>
        </w:tabs>
        <w:spacing w:before="1" w:line="501" w:lineRule="auto"/>
        <w:ind w:left="360" w:right="3230" w:firstLine="0"/>
        <w:rPr>
          <w:sz w:val="30"/>
        </w:rPr>
      </w:pPr>
      <w:r>
        <w:rPr>
          <w:sz w:val="30"/>
        </w:rPr>
        <w:t>x</w:t>
      </w:r>
      <w:r>
        <w:rPr>
          <w:spacing w:val="-5"/>
          <w:sz w:val="30"/>
        </w:rPr>
        <w:t xml:space="preserve"> </w:t>
      </w:r>
      <w:r>
        <w:rPr>
          <w:sz w:val="30"/>
        </w:rPr>
        <w:t>has</w:t>
      </w:r>
      <w:r>
        <w:rPr>
          <w:spacing w:val="-5"/>
          <w:sz w:val="30"/>
        </w:rPr>
        <w:t xml:space="preserve"> </w:t>
      </w:r>
      <w:r>
        <w:rPr>
          <w:sz w:val="30"/>
        </w:rPr>
        <w:t>the</w:t>
      </w:r>
      <w:r>
        <w:rPr>
          <w:spacing w:val="-5"/>
          <w:sz w:val="30"/>
        </w:rPr>
        <w:t xml:space="preserve"> </w:t>
      </w:r>
      <w:r>
        <w:rPr>
          <w:sz w:val="30"/>
        </w:rPr>
        <w:t>property</w:t>
      </w:r>
      <w:r>
        <w:rPr>
          <w:spacing w:val="-5"/>
          <w:sz w:val="30"/>
        </w:rPr>
        <w:t xml:space="preserve"> </w:t>
      </w:r>
      <w:r>
        <w:rPr>
          <w:sz w:val="30"/>
        </w:rPr>
        <w:t>of</w:t>
      </w:r>
      <w:r>
        <w:rPr>
          <w:spacing w:val="-5"/>
          <w:sz w:val="30"/>
        </w:rPr>
        <w:t xml:space="preserve"> </w:t>
      </w:r>
      <w:r>
        <w:rPr>
          <w:sz w:val="30"/>
        </w:rPr>
        <w:t>being</w:t>
      </w:r>
      <w:r>
        <w:rPr>
          <w:spacing w:val="-5"/>
          <w:sz w:val="30"/>
        </w:rPr>
        <w:t xml:space="preserve"> </w:t>
      </w:r>
      <w:r>
        <w:rPr>
          <w:sz w:val="30"/>
        </w:rPr>
        <w:t>Fred’s</w:t>
      </w:r>
      <w:r>
        <w:rPr>
          <w:spacing w:val="-5"/>
          <w:sz w:val="30"/>
        </w:rPr>
        <w:t xml:space="preserve"> </w:t>
      </w:r>
      <w:r>
        <w:rPr>
          <w:sz w:val="30"/>
        </w:rPr>
        <w:t>favorite</w:t>
      </w:r>
      <w:r>
        <w:rPr>
          <w:spacing w:val="-5"/>
          <w:sz w:val="30"/>
        </w:rPr>
        <w:t xml:space="preserve"> </w:t>
      </w:r>
      <w:r>
        <w:rPr>
          <w:sz w:val="30"/>
        </w:rPr>
        <w:t xml:space="preserve">number </w:t>
      </w:r>
      <w:r>
        <w:rPr>
          <w:spacing w:val="-2"/>
          <w:sz w:val="30"/>
        </w:rPr>
        <w:t>entails</w:t>
      </w:r>
    </w:p>
    <w:p w14:paraId="7E000A2D" w14:textId="77777777" w:rsidR="009A58DB" w:rsidRDefault="00000000">
      <w:pPr>
        <w:pStyle w:val="ListParagraph"/>
        <w:numPr>
          <w:ilvl w:val="0"/>
          <w:numId w:val="208"/>
        </w:numPr>
        <w:tabs>
          <w:tab w:val="left" w:pos="782"/>
        </w:tabs>
        <w:spacing w:line="501" w:lineRule="auto"/>
        <w:ind w:left="360" w:right="2972" w:firstLine="0"/>
        <w:rPr>
          <w:sz w:val="30"/>
        </w:rPr>
      </w:pPr>
      <w:r>
        <w:rPr>
          <w:sz w:val="30"/>
        </w:rPr>
        <w:t>x</w:t>
      </w:r>
      <w:r>
        <w:rPr>
          <w:spacing w:val="-4"/>
          <w:sz w:val="30"/>
        </w:rPr>
        <w:t xml:space="preserve"> </w:t>
      </w:r>
      <w:r>
        <w:rPr>
          <w:sz w:val="30"/>
        </w:rPr>
        <w:t>has</w:t>
      </w:r>
      <w:r>
        <w:rPr>
          <w:spacing w:val="-4"/>
          <w:sz w:val="30"/>
        </w:rPr>
        <w:t xml:space="preserve"> </w:t>
      </w:r>
      <w:r>
        <w:rPr>
          <w:sz w:val="30"/>
        </w:rPr>
        <w:t>the</w:t>
      </w:r>
      <w:r>
        <w:rPr>
          <w:spacing w:val="-5"/>
          <w:sz w:val="30"/>
        </w:rPr>
        <w:t xml:space="preserve"> </w:t>
      </w:r>
      <w:r>
        <w:rPr>
          <w:sz w:val="30"/>
        </w:rPr>
        <w:t>property</w:t>
      </w:r>
      <w:r>
        <w:rPr>
          <w:spacing w:val="-4"/>
          <w:sz w:val="30"/>
        </w:rPr>
        <w:t xml:space="preserve"> </w:t>
      </w:r>
      <w:r>
        <w:rPr>
          <w:sz w:val="30"/>
        </w:rPr>
        <w:t>that</w:t>
      </w:r>
      <w:r>
        <w:rPr>
          <w:spacing w:val="-4"/>
          <w:sz w:val="30"/>
        </w:rPr>
        <w:t xml:space="preserve"> </w:t>
      </w:r>
      <w:r>
        <w:rPr>
          <w:sz w:val="30"/>
        </w:rPr>
        <w:t>Fred</w:t>
      </w:r>
      <w:r>
        <w:rPr>
          <w:spacing w:val="-4"/>
          <w:sz w:val="30"/>
        </w:rPr>
        <w:t xml:space="preserve"> </w:t>
      </w:r>
      <w:r>
        <w:rPr>
          <w:sz w:val="30"/>
        </w:rPr>
        <w:t>is</w:t>
      </w:r>
      <w:r>
        <w:rPr>
          <w:spacing w:val="-4"/>
          <w:sz w:val="30"/>
        </w:rPr>
        <w:t xml:space="preserve"> </w:t>
      </w:r>
      <w:r>
        <w:rPr>
          <w:sz w:val="30"/>
        </w:rPr>
        <w:t>aware</w:t>
      </w:r>
      <w:r>
        <w:rPr>
          <w:spacing w:val="-5"/>
          <w:sz w:val="30"/>
        </w:rPr>
        <w:t xml:space="preserve"> </w:t>
      </w:r>
      <w:r>
        <w:rPr>
          <w:sz w:val="30"/>
        </w:rPr>
        <w:t>of</w:t>
      </w:r>
      <w:r>
        <w:rPr>
          <w:spacing w:val="-4"/>
          <w:sz w:val="30"/>
        </w:rPr>
        <w:t xml:space="preserve"> </w:t>
      </w:r>
      <w:r>
        <w:rPr>
          <w:sz w:val="30"/>
        </w:rPr>
        <w:t>its</w:t>
      </w:r>
      <w:r>
        <w:rPr>
          <w:spacing w:val="-5"/>
          <w:sz w:val="30"/>
        </w:rPr>
        <w:t xml:space="preserve"> </w:t>
      </w:r>
      <w:r>
        <w:rPr>
          <w:sz w:val="30"/>
        </w:rPr>
        <w:t>existence, but</w:t>
      </w:r>
      <w:r>
        <w:rPr>
          <w:spacing w:val="-2"/>
          <w:sz w:val="30"/>
        </w:rPr>
        <w:t xml:space="preserve"> </w:t>
      </w:r>
      <w:r>
        <w:rPr>
          <w:sz w:val="30"/>
        </w:rPr>
        <w:t>(1)</w:t>
      </w:r>
      <w:r>
        <w:rPr>
          <w:spacing w:val="-2"/>
          <w:sz w:val="30"/>
        </w:rPr>
        <w:t xml:space="preserve"> </w:t>
      </w:r>
      <w:r>
        <w:rPr>
          <w:sz w:val="30"/>
        </w:rPr>
        <w:t>doesn’t</w:t>
      </w:r>
      <w:r>
        <w:rPr>
          <w:spacing w:val="-2"/>
          <w:sz w:val="30"/>
        </w:rPr>
        <w:t xml:space="preserve"> </w:t>
      </w:r>
      <w:r>
        <w:rPr>
          <w:sz w:val="30"/>
        </w:rPr>
        <w:t>entail</w:t>
      </w:r>
      <w:r>
        <w:rPr>
          <w:spacing w:val="-2"/>
          <w:sz w:val="30"/>
        </w:rPr>
        <w:t xml:space="preserve"> </w:t>
      </w:r>
      <w:r>
        <w:rPr>
          <w:sz w:val="30"/>
        </w:rPr>
        <w:t>this,</w:t>
      </w:r>
      <w:r>
        <w:rPr>
          <w:spacing w:val="-1"/>
          <w:sz w:val="30"/>
        </w:rPr>
        <w:t xml:space="preserve"> </w:t>
      </w:r>
      <w:r>
        <w:rPr>
          <w:sz w:val="30"/>
        </w:rPr>
        <w:t>and</w:t>
      </w:r>
      <w:r>
        <w:rPr>
          <w:spacing w:val="-1"/>
          <w:sz w:val="30"/>
        </w:rPr>
        <w:t xml:space="preserve"> </w:t>
      </w:r>
      <w:r>
        <w:rPr>
          <w:sz w:val="30"/>
        </w:rPr>
        <w:t>neither</w:t>
      </w:r>
      <w:r>
        <w:rPr>
          <w:spacing w:val="-2"/>
          <w:sz w:val="30"/>
        </w:rPr>
        <w:t xml:space="preserve"> </w:t>
      </w:r>
      <w:r>
        <w:rPr>
          <w:sz w:val="30"/>
        </w:rPr>
        <w:t>do</w:t>
      </w:r>
      <w:r>
        <w:rPr>
          <w:spacing w:val="-1"/>
          <w:sz w:val="30"/>
        </w:rPr>
        <w:t xml:space="preserve"> </w:t>
      </w:r>
      <w:r>
        <w:rPr>
          <w:sz w:val="30"/>
        </w:rPr>
        <w:t>(2)</w:t>
      </w:r>
      <w:r>
        <w:rPr>
          <w:spacing w:val="-2"/>
          <w:sz w:val="30"/>
        </w:rPr>
        <w:t xml:space="preserve"> </w:t>
      </w:r>
      <w:r>
        <w:rPr>
          <w:sz w:val="30"/>
        </w:rPr>
        <w:t>or</w:t>
      </w:r>
      <w:r>
        <w:rPr>
          <w:spacing w:val="-2"/>
          <w:sz w:val="30"/>
        </w:rPr>
        <w:t xml:space="preserve"> </w:t>
      </w:r>
      <w:r>
        <w:rPr>
          <w:sz w:val="30"/>
        </w:rPr>
        <w:t>(3).</w:t>
      </w:r>
      <w:r>
        <w:rPr>
          <w:spacing w:val="-1"/>
          <w:sz w:val="30"/>
        </w:rPr>
        <w:t xml:space="preserve"> </w:t>
      </w:r>
      <w:r>
        <w:rPr>
          <w:sz w:val="30"/>
        </w:rPr>
        <w:t>And</w:t>
      </w:r>
    </w:p>
    <w:p w14:paraId="7E000A2E" w14:textId="77777777" w:rsidR="009A58DB" w:rsidRDefault="00000000">
      <w:pPr>
        <w:pStyle w:val="ListParagraph"/>
        <w:numPr>
          <w:ilvl w:val="0"/>
          <w:numId w:val="208"/>
        </w:numPr>
        <w:tabs>
          <w:tab w:val="left" w:pos="814"/>
        </w:tabs>
        <w:spacing w:line="249" w:lineRule="auto"/>
        <w:ind w:left="360" w:right="363" w:firstLine="0"/>
        <w:rPr>
          <w:sz w:val="30"/>
        </w:rPr>
      </w:pPr>
      <w:r>
        <w:rPr>
          <w:sz w:val="30"/>
        </w:rPr>
        <w:t>x</w:t>
      </w:r>
      <w:r>
        <w:rPr>
          <w:spacing w:val="29"/>
          <w:sz w:val="30"/>
        </w:rPr>
        <w:t xml:space="preserve"> </w:t>
      </w:r>
      <w:r>
        <w:rPr>
          <w:sz w:val="30"/>
        </w:rPr>
        <w:t>has</w:t>
      </w:r>
      <w:r>
        <w:rPr>
          <w:spacing w:val="29"/>
          <w:sz w:val="30"/>
        </w:rPr>
        <w:t xml:space="preserve"> </w:t>
      </w:r>
      <w:r>
        <w:rPr>
          <w:sz w:val="30"/>
        </w:rPr>
        <w:t>the</w:t>
      </w:r>
      <w:r>
        <w:rPr>
          <w:spacing w:val="29"/>
          <w:sz w:val="30"/>
        </w:rPr>
        <w:t xml:space="preserve"> </w:t>
      </w:r>
      <w:r>
        <w:rPr>
          <w:sz w:val="30"/>
        </w:rPr>
        <w:t>property</w:t>
      </w:r>
      <w:r>
        <w:rPr>
          <w:spacing w:val="29"/>
          <w:sz w:val="30"/>
        </w:rPr>
        <w:t xml:space="preserve"> </w:t>
      </w:r>
      <w:r>
        <w:rPr>
          <w:sz w:val="30"/>
        </w:rPr>
        <w:t>that</w:t>
      </w:r>
      <w:r>
        <w:rPr>
          <w:spacing w:val="29"/>
          <w:sz w:val="30"/>
        </w:rPr>
        <w:t xml:space="preserve"> </w:t>
      </w:r>
      <w:r>
        <w:rPr>
          <w:sz w:val="30"/>
        </w:rPr>
        <w:t>it</w:t>
      </w:r>
      <w:r>
        <w:rPr>
          <w:spacing w:val="29"/>
          <w:sz w:val="30"/>
        </w:rPr>
        <w:t xml:space="preserve"> </w:t>
      </w:r>
      <w:r>
        <w:rPr>
          <w:sz w:val="30"/>
        </w:rPr>
        <w:t>is</w:t>
      </w:r>
      <w:r>
        <w:rPr>
          <w:spacing w:val="29"/>
          <w:sz w:val="30"/>
        </w:rPr>
        <w:t xml:space="preserve"> </w:t>
      </w:r>
      <w:r>
        <w:rPr>
          <w:sz w:val="30"/>
        </w:rPr>
        <w:t>a</w:t>
      </w:r>
      <w:r>
        <w:rPr>
          <w:spacing w:val="29"/>
          <w:sz w:val="30"/>
        </w:rPr>
        <w:t xml:space="preserve"> </w:t>
      </w:r>
      <w:r>
        <w:rPr>
          <w:sz w:val="30"/>
        </w:rPr>
        <w:t>number</w:t>
      </w:r>
      <w:r>
        <w:rPr>
          <w:spacing w:val="29"/>
          <w:sz w:val="30"/>
        </w:rPr>
        <w:t xml:space="preserve"> </w:t>
      </w:r>
      <w:r>
        <w:rPr>
          <w:sz w:val="30"/>
        </w:rPr>
        <w:t>that</w:t>
      </w:r>
      <w:r>
        <w:rPr>
          <w:spacing w:val="29"/>
          <w:sz w:val="30"/>
        </w:rPr>
        <w:t xml:space="preserve"> </w:t>
      </w:r>
      <w:r>
        <w:rPr>
          <w:sz w:val="30"/>
        </w:rPr>
        <w:t>is</w:t>
      </w:r>
      <w:r>
        <w:rPr>
          <w:spacing w:val="29"/>
          <w:sz w:val="30"/>
        </w:rPr>
        <w:t xml:space="preserve"> </w:t>
      </w:r>
      <w:r>
        <w:rPr>
          <w:sz w:val="30"/>
        </w:rPr>
        <w:t>preferred</w:t>
      </w:r>
      <w:r>
        <w:rPr>
          <w:spacing w:val="29"/>
          <w:sz w:val="30"/>
        </w:rPr>
        <w:t xml:space="preserve"> </w:t>
      </w:r>
      <w:r>
        <w:rPr>
          <w:sz w:val="30"/>
        </w:rPr>
        <w:t>by</w:t>
      </w:r>
      <w:r>
        <w:rPr>
          <w:spacing w:val="29"/>
          <w:sz w:val="30"/>
        </w:rPr>
        <w:t xml:space="preserve"> </w:t>
      </w:r>
      <w:r>
        <w:rPr>
          <w:sz w:val="30"/>
        </w:rPr>
        <w:t>Fred</w:t>
      </w:r>
      <w:r>
        <w:rPr>
          <w:spacing w:val="29"/>
          <w:sz w:val="30"/>
        </w:rPr>
        <w:t xml:space="preserve"> </w:t>
      </w:r>
      <w:r>
        <w:rPr>
          <w:sz w:val="30"/>
        </w:rPr>
        <w:t>to</w:t>
      </w:r>
      <w:r>
        <w:rPr>
          <w:spacing w:val="29"/>
          <w:sz w:val="30"/>
        </w:rPr>
        <w:t xml:space="preserve"> </w:t>
      </w:r>
      <w:r>
        <w:rPr>
          <w:sz w:val="30"/>
        </w:rPr>
        <w:t>every other number that Fred has considered</w:t>
      </w:r>
    </w:p>
    <w:p w14:paraId="7E000A2F" w14:textId="77777777" w:rsidR="009A58DB" w:rsidRDefault="009A58DB">
      <w:pPr>
        <w:pStyle w:val="BodyText"/>
        <w:spacing w:before="13"/>
        <w:ind w:left="0"/>
        <w:jc w:val="left"/>
      </w:pPr>
    </w:p>
    <w:p w14:paraId="7E000A30" w14:textId="77777777" w:rsidR="009A58DB" w:rsidRDefault="00000000">
      <w:pPr>
        <w:pStyle w:val="BodyText"/>
        <w:spacing w:line="249" w:lineRule="auto"/>
        <w:ind w:right="362"/>
      </w:pPr>
      <w:r>
        <w:t>entails (6), but it doesn’t entail (1) or (2) or (3). It follows that properties cannot be identified with sets of their instances without mutilating the most basic principles of logic.</w:t>
      </w:r>
    </w:p>
    <w:p w14:paraId="7E000A31" w14:textId="77777777" w:rsidR="009A58DB" w:rsidRDefault="00000000">
      <w:pPr>
        <w:pStyle w:val="BodyText"/>
        <w:spacing w:before="4" w:line="249" w:lineRule="auto"/>
        <w:ind w:right="361" w:firstLine="360"/>
      </w:pPr>
      <w:r>
        <w:t>“But surely that’s wrong,” one will say. “(1) is the statement that x is a member of the set that contains the smallest number divisible by two (and nothing else),” and (2) is the statement that x is a member of the set containing Fred’s favorite number (and nothing else). So I don’t see how (1) and (2) could entail, and be entailed by, the same things; nor do I see how (1)</w:t>
      </w:r>
    </w:p>
    <w:p w14:paraId="7E000A3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33" w14:textId="77777777" w:rsidR="009A58DB" w:rsidRDefault="00000000">
      <w:pPr>
        <w:pStyle w:val="BodyText"/>
        <w:spacing w:before="65"/>
      </w:pPr>
      <w:r>
        <w:lastRenderedPageBreak/>
        <w:t>and</w:t>
      </w:r>
      <w:r>
        <w:rPr>
          <w:spacing w:val="-5"/>
        </w:rPr>
        <w:t xml:space="preserve"> </w:t>
      </w:r>
      <w:r>
        <w:t>(6)</w:t>
      </w:r>
      <w:r>
        <w:rPr>
          <w:spacing w:val="-3"/>
        </w:rPr>
        <w:t xml:space="preserve"> </w:t>
      </w:r>
      <w:r>
        <w:t>could</w:t>
      </w:r>
      <w:r>
        <w:rPr>
          <w:spacing w:val="-3"/>
        </w:rPr>
        <w:t xml:space="preserve"> </w:t>
      </w:r>
      <w:r>
        <w:t>entail,</w:t>
      </w:r>
      <w:r>
        <w:rPr>
          <w:spacing w:val="-2"/>
        </w:rPr>
        <w:t xml:space="preserve"> </w:t>
      </w:r>
      <w:r>
        <w:t>or</w:t>
      </w:r>
      <w:r>
        <w:rPr>
          <w:spacing w:val="-3"/>
        </w:rPr>
        <w:t xml:space="preserve"> </w:t>
      </w:r>
      <w:r>
        <w:t>be</w:t>
      </w:r>
      <w:r>
        <w:rPr>
          <w:spacing w:val="-3"/>
        </w:rPr>
        <w:t xml:space="preserve"> </w:t>
      </w:r>
      <w:r>
        <w:t>entailed</w:t>
      </w:r>
      <w:r>
        <w:rPr>
          <w:spacing w:val="-3"/>
        </w:rPr>
        <w:t xml:space="preserve"> </w:t>
      </w:r>
      <w:r>
        <w:t>by,</w:t>
      </w:r>
      <w:r>
        <w:rPr>
          <w:spacing w:val="-2"/>
        </w:rPr>
        <w:t xml:space="preserve"> </w:t>
      </w:r>
      <w:r>
        <w:t>different</w:t>
      </w:r>
      <w:r>
        <w:rPr>
          <w:spacing w:val="-3"/>
        </w:rPr>
        <w:t xml:space="preserve"> </w:t>
      </w:r>
      <w:r>
        <w:rPr>
          <w:spacing w:val="-2"/>
        </w:rPr>
        <w:t>things.”</w:t>
      </w:r>
    </w:p>
    <w:p w14:paraId="7E000A34" w14:textId="77777777" w:rsidR="009A58DB" w:rsidRDefault="00000000">
      <w:pPr>
        <w:pStyle w:val="BodyText"/>
        <w:spacing w:before="15" w:line="249" w:lineRule="auto"/>
        <w:ind w:right="358" w:firstLine="360"/>
      </w:pPr>
      <w:r>
        <w:t>If the expression “the set containing Fred’s favorite number” is taken in this way—in other words, if it’s taken in such a way that (1) and (6) are equivalent, whereas (1) and (2) are not—then the word “set” is going proxy for the word “property.” If by “the set containing Fred’s favorite number”</w:t>
      </w:r>
      <w:r>
        <w:rPr>
          <w:spacing w:val="40"/>
        </w:rPr>
        <w:t xml:space="preserve"> </w:t>
      </w:r>
      <w:r>
        <w:t xml:space="preserve">you mean, </w:t>
      </w:r>
      <w:r>
        <w:rPr>
          <w:i/>
        </w:rPr>
        <w:t xml:space="preserve">not </w:t>
      </w:r>
      <w:r>
        <w:t>“the set containing the number two,” but instead “</w:t>
      </w:r>
      <w:r>
        <w:rPr>
          <w:i/>
        </w:rPr>
        <w:t xml:space="preserve">any </w:t>
      </w:r>
      <w:r>
        <w:t xml:space="preserve">set, whatever its membership, that comprises Fred’s favorite number,” then what you mean by “the set containing Fred’s favorite number” is: “any set that is generated by the </w:t>
      </w:r>
      <w:r>
        <w:rPr>
          <w:i/>
        </w:rPr>
        <w:t>property</w:t>
      </w:r>
      <w:r>
        <w:rPr>
          <w:i/>
          <w:spacing w:val="-3"/>
        </w:rPr>
        <w:t xml:space="preserve"> </w:t>
      </w:r>
      <w:r>
        <w:t xml:space="preserve">of being Fred’s favorite number.” But in that case, when you make statements about “sets,” you’re really talking about </w:t>
      </w:r>
      <w:r>
        <w:rPr>
          <w:spacing w:val="-2"/>
        </w:rPr>
        <w:t>properties.</w:t>
      </w:r>
    </w:p>
    <w:p w14:paraId="7E000A35" w14:textId="77777777" w:rsidR="009A58DB" w:rsidRDefault="00000000">
      <w:pPr>
        <w:pStyle w:val="Heading1"/>
        <w:numPr>
          <w:ilvl w:val="1"/>
          <w:numId w:val="211"/>
        </w:numPr>
        <w:tabs>
          <w:tab w:val="left" w:pos="990"/>
        </w:tabs>
        <w:spacing w:before="200"/>
        <w:ind w:left="990" w:hanging="630"/>
      </w:pPr>
      <w:r>
        <w:t>The</w:t>
      </w:r>
      <w:r>
        <w:rPr>
          <w:spacing w:val="-2"/>
        </w:rPr>
        <w:t xml:space="preserve"> </w:t>
      </w:r>
      <w:r>
        <w:t>axiom</w:t>
      </w:r>
      <w:r>
        <w:rPr>
          <w:spacing w:val="-2"/>
        </w:rPr>
        <w:t xml:space="preserve"> </w:t>
      </w:r>
      <w:r>
        <w:t>of</w:t>
      </w:r>
      <w:r>
        <w:rPr>
          <w:spacing w:val="-2"/>
        </w:rPr>
        <w:t xml:space="preserve"> extensionality</w:t>
      </w:r>
    </w:p>
    <w:p w14:paraId="7E000A36" w14:textId="77777777" w:rsidR="009A58DB" w:rsidRDefault="00000000">
      <w:pPr>
        <w:pStyle w:val="BodyText"/>
        <w:spacing w:before="139" w:line="249" w:lineRule="auto"/>
        <w:ind w:right="359"/>
      </w:pPr>
      <w:r>
        <w:t>It may be obvious at this point that properties aren’t identical with sets of their instances. But this now obvious point is easily extended to reveal the futility</w:t>
      </w:r>
      <w:r>
        <w:rPr>
          <w:spacing w:val="-3"/>
        </w:rPr>
        <w:t xml:space="preserve"> </w:t>
      </w:r>
      <w:r>
        <w:t>of</w:t>
      </w:r>
      <w:r>
        <w:rPr>
          <w:spacing w:val="-3"/>
        </w:rPr>
        <w:t xml:space="preserve"> </w:t>
      </w:r>
      <w:r>
        <w:t>attempts</w:t>
      </w:r>
      <w:r>
        <w:rPr>
          <w:spacing w:val="-3"/>
        </w:rPr>
        <w:t xml:space="preserve"> </w:t>
      </w:r>
      <w:r>
        <w:t>to</w:t>
      </w:r>
      <w:r>
        <w:rPr>
          <w:spacing w:val="-3"/>
        </w:rPr>
        <w:t xml:space="preserve"> </w:t>
      </w:r>
      <w:r>
        <w:t>show</w:t>
      </w:r>
      <w:r>
        <w:rPr>
          <w:spacing w:val="-3"/>
        </w:rPr>
        <w:t xml:space="preserve"> </w:t>
      </w:r>
      <w:r>
        <w:t>that</w:t>
      </w:r>
      <w:r>
        <w:rPr>
          <w:spacing w:val="-3"/>
        </w:rPr>
        <w:t xml:space="preserve"> </w:t>
      </w:r>
      <w:r>
        <w:t>properties,</w:t>
      </w:r>
      <w:r>
        <w:rPr>
          <w:spacing w:val="-3"/>
        </w:rPr>
        <w:t xml:space="preserve"> </w:t>
      </w:r>
      <w:r>
        <w:t>if</w:t>
      </w:r>
      <w:r>
        <w:rPr>
          <w:spacing w:val="-3"/>
        </w:rPr>
        <w:t xml:space="preserve"> </w:t>
      </w:r>
      <w:r>
        <w:t>existent,</w:t>
      </w:r>
      <w:r>
        <w:rPr>
          <w:spacing w:val="-3"/>
        </w:rPr>
        <w:t xml:space="preserve"> </w:t>
      </w:r>
      <w:r>
        <w:t>are</w:t>
      </w:r>
      <w:r>
        <w:rPr>
          <w:spacing w:val="-3"/>
        </w:rPr>
        <w:t xml:space="preserve"> </w:t>
      </w:r>
      <w:r>
        <w:t>spatiotemporal.</w:t>
      </w:r>
      <w:r>
        <w:rPr>
          <w:spacing w:val="-3"/>
        </w:rPr>
        <w:t xml:space="preserve"> </w:t>
      </w:r>
      <w:r>
        <w:t>But in order to make the needed extensions, we must take a very quick detour through a bit of set theory.</w:t>
      </w:r>
    </w:p>
    <w:p w14:paraId="7E000A37" w14:textId="77777777" w:rsidR="009A58DB" w:rsidRDefault="00000000">
      <w:pPr>
        <w:pStyle w:val="BodyText"/>
        <w:spacing w:before="6" w:line="249" w:lineRule="auto"/>
        <w:ind w:right="358" w:firstLine="360"/>
      </w:pPr>
      <w:r>
        <w:t xml:space="preserve">Two very different properties can be </w:t>
      </w:r>
      <w:r>
        <w:rPr>
          <w:b/>
          <w:i/>
        </w:rPr>
        <w:t xml:space="preserve">co-extensive. </w:t>
      </w:r>
      <w:r>
        <w:t xml:space="preserve">Two properties are co-extensive if any instance of the one is an instance of the other. But different </w:t>
      </w:r>
      <w:r>
        <w:rPr>
          <w:i/>
        </w:rPr>
        <w:t xml:space="preserve">sets </w:t>
      </w:r>
      <w:r>
        <w:t xml:space="preserve">cannot have the same members. This is known as the </w:t>
      </w:r>
      <w:r>
        <w:rPr>
          <w:b/>
          <w:i/>
        </w:rPr>
        <w:t xml:space="preserve">axiom of extensionality. </w:t>
      </w:r>
      <w:r>
        <w:t>Since different properties can generate the same set,</w:t>
      </w:r>
      <w:r>
        <w:rPr>
          <w:spacing w:val="40"/>
        </w:rPr>
        <w:t xml:space="preserve"> </w:t>
      </w:r>
      <w:r>
        <w:t>properties aren’t identical with sets of their instances. We’ll revisit this point later</w:t>
      </w:r>
      <w:r>
        <w:rPr>
          <w:spacing w:val="15"/>
        </w:rPr>
        <w:t xml:space="preserve"> </w:t>
      </w:r>
      <w:r>
        <w:t>in</w:t>
      </w:r>
      <w:r>
        <w:rPr>
          <w:spacing w:val="16"/>
        </w:rPr>
        <w:t xml:space="preserve"> </w:t>
      </w:r>
      <w:r>
        <w:t>this</w:t>
      </w:r>
      <w:r>
        <w:rPr>
          <w:spacing w:val="16"/>
        </w:rPr>
        <w:t xml:space="preserve"> </w:t>
      </w:r>
      <w:r>
        <w:t>chapter.</w:t>
      </w:r>
      <w:r>
        <w:rPr>
          <w:spacing w:val="16"/>
        </w:rPr>
        <w:t xml:space="preserve"> </w:t>
      </w:r>
      <w:r>
        <w:t>So</w:t>
      </w:r>
      <w:r>
        <w:rPr>
          <w:spacing w:val="16"/>
        </w:rPr>
        <w:t xml:space="preserve"> </w:t>
      </w:r>
      <w:r>
        <w:t>if</w:t>
      </w:r>
      <w:r>
        <w:rPr>
          <w:spacing w:val="16"/>
        </w:rPr>
        <w:t xml:space="preserve"> </w:t>
      </w:r>
      <w:r>
        <w:t>S</w:t>
      </w:r>
      <w:r>
        <w:rPr>
          <w:vertAlign w:val="subscript"/>
        </w:rPr>
        <w:t>1</w:t>
      </w:r>
      <w:r>
        <w:rPr>
          <w:spacing w:val="16"/>
        </w:rPr>
        <w:t xml:space="preserve"> </w:t>
      </w:r>
      <w:r>
        <w:t>is</w:t>
      </w:r>
      <w:r>
        <w:rPr>
          <w:spacing w:val="15"/>
        </w:rPr>
        <w:t xml:space="preserve"> </w:t>
      </w:r>
      <w:r>
        <w:t>a</w:t>
      </w:r>
      <w:r>
        <w:rPr>
          <w:spacing w:val="16"/>
        </w:rPr>
        <w:t xml:space="preserve"> </w:t>
      </w:r>
      <w:r>
        <w:t>set</w:t>
      </w:r>
      <w:r>
        <w:rPr>
          <w:spacing w:val="15"/>
        </w:rPr>
        <w:t xml:space="preserve"> </w:t>
      </w:r>
      <w:r>
        <w:t>and</w:t>
      </w:r>
      <w:r>
        <w:rPr>
          <w:spacing w:val="16"/>
        </w:rPr>
        <w:t xml:space="preserve"> </w:t>
      </w:r>
      <w:r>
        <w:t>S</w:t>
      </w:r>
      <w:r>
        <w:rPr>
          <w:vertAlign w:val="subscript"/>
        </w:rPr>
        <w:t>2</w:t>
      </w:r>
      <w:r>
        <w:rPr>
          <w:spacing w:val="19"/>
        </w:rPr>
        <w:t xml:space="preserve"> </w:t>
      </w:r>
      <w:r>
        <w:t>is</w:t>
      </w:r>
      <w:r>
        <w:rPr>
          <w:spacing w:val="19"/>
        </w:rPr>
        <w:t xml:space="preserve"> </w:t>
      </w:r>
      <w:r>
        <w:t>a</w:t>
      </w:r>
      <w:r>
        <w:rPr>
          <w:spacing w:val="19"/>
        </w:rPr>
        <w:t xml:space="preserve"> </w:t>
      </w:r>
      <w:r>
        <w:t>set,</w:t>
      </w:r>
      <w:r>
        <w:rPr>
          <w:spacing w:val="20"/>
        </w:rPr>
        <w:t xml:space="preserve"> </w:t>
      </w:r>
      <w:r>
        <w:t>then</w:t>
      </w:r>
      <w:r>
        <w:rPr>
          <w:spacing w:val="19"/>
        </w:rPr>
        <w:t xml:space="preserve"> </w:t>
      </w:r>
      <w:r>
        <w:t>S</w:t>
      </w:r>
      <w:r>
        <w:rPr>
          <w:vertAlign w:val="subscript"/>
        </w:rPr>
        <w:t>1</w:t>
      </w:r>
      <w:r>
        <w:rPr>
          <w:spacing w:val="21"/>
        </w:rPr>
        <w:t xml:space="preserve"> </w:t>
      </w:r>
      <w:r>
        <w:t>is</w:t>
      </w:r>
      <w:r>
        <w:rPr>
          <w:spacing w:val="20"/>
        </w:rPr>
        <w:t xml:space="preserve"> </w:t>
      </w:r>
      <w:r>
        <w:t>identical</w:t>
      </w:r>
      <w:r>
        <w:rPr>
          <w:spacing w:val="21"/>
        </w:rPr>
        <w:t xml:space="preserve"> </w:t>
      </w:r>
      <w:r>
        <w:rPr>
          <w:spacing w:val="-4"/>
        </w:rPr>
        <w:t>with</w:t>
      </w:r>
    </w:p>
    <w:p w14:paraId="7E000A38" w14:textId="77777777" w:rsidR="009A58DB" w:rsidRDefault="00000000">
      <w:pPr>
        <w:pStyle w:val="BodyText"/>
        <w:spacing w:before="68" w:line="271" w:lineRule="auto"/>
        <w:ind w:right="359"/>
      </w:pPr>
      <w:r>
        <w:t>S</w:t>
      </w:r>
      <w:r>
        <w:rPr>
          <w:vertAlign w:val="subscript"/>
        </w:rPr>
        <w:t>2</w:t>
      </w:r>
      <w:r>
        <w:t xml:space="preserve"> if and only if nothing is a member of the one that isn’t also a member of the other. A set whose members are x, y, and z can’t fail to have those members</w:t>
      </w:r>
      <w:r>
        <w:rPr>
          <w:spacing w:val="19"/>
        </w:rPr>
        <w:t xml:space="preserve"> </w:t>
      </w:r>
      <w:r>
        <w:t>any</w:t>
      </w:r>
      <w:r>
        <w:rPr>
          <w:spacing w:val="20"/>
        </w:rPr>
        <w:t xml:space="preserve"> </w:t>
      </w:r>
      <w:r>
        <w:t>more</w:t>
      </w:r>
      <w:r>
        <w:rPr>
          <w:spacing w:val="20"/>
        </w:rPr>
        <w:t xml:space="preserve"> </w:t>
      </w:r>
      <w:r>
        <w:t>than</w:t>
      </w:r>
      <w:r>
        <w:rPr>
          <w:spacing w:val="20"/>
        </w:rPr>
        <w:t xml:space="preserve"> </w:t>
      </w:r>
      <w:r>
        <w:t>it</w:t>
      </w:r>
      <w:r>
        <w:rPr>
          <w:spacing w:val="20"/>
        </w:rPr>
        <w:t xml:space="preserve"> </w:t>
      </w:r>
      <w:r>
        <w:t>can</w:t>
      </w:r>
      <w:r>
        <w:rPr>
          <w:spacing w:val="19"/>
        </w:rPr>
        <w:t xml:space="preserve"> </w:t>
      </w:r>
      <w:r>
        <w:t>fail</w:t>
      </w:r>
      <w:r>
        <w:rPr>
          <w:spacing w:val="20"/>
        </w:rPr>
        <w:t xml:space="preserve"> </w:t>
      </w:r>
      <w:r>
        <w:t>to</w:t>
      </w:r>
      <w:r>
        <w:rPr>
          <w:spacing w:val="21"/>
        </w:rPr>
        <w:t xml:space="preserve"> </w:t>
      </w:r>
      <w:r>
        <w:t>be</w:t>
      </w:r>
      <w:r>
        <w:rPr>
          <w:spacing w:val="20"/>
        </w:rPr>
        <w:t xml:space="preserve"> </w:t>
      </w:r>
      <w:r>
        <w:t>itself—indeed,</w:t>
      </w:r>
      <w:r>
        <w:rPr>
          <w:spacing w:val="20"/>
        </w:rPr>
        <w:t xml:space="preserve"> </w:t>
      </w:r>
      <w:r>
        <w:t>for</w:t>
      </w:r>
      <w:r>
        <w:rPr>
          <w:spacing w:val="19"/>
        </w:rPr>
        <w:t xml:space="preserve"> </w:t>
      </w:r>
      <w:r>
        <w:t>it</w:t>
      </w:r>
      <w:r>
        <w:rPr>
          <w:spacing w:val="20"/>
        </w:rPr>
        <w:t xml:space="preserve"> </w:t>
      </w:r>
      <w:r>
        <w:t>to</w:t>
      </w:r>
      <w:r>
        <w:rPr>
          <w:spacing w:val="20"/>
        </w:rPr>
        <w:t xml:space="preserve"> </w:t>
      </w:r>
      <w:r>
        <w:t>fail</w:t>
      </w:r>
      <w:r>
        <w:rPr>
          <w:spacing w:val="20"/>
        </w:rPr>
        <w:t xml:space="preserve"> </w:t>
      </w:r>
      <w:r>
        <w:t>to</w:t>
      </w:r>
      <w:r>
        <w:rPr>
          <w:spacing w:val="20"/>
        </w:rPr>
        <w:t xml:space="preserve"> </w:t>
      </w:r>
      <w:r>
        <w:rPr>
          <w:spacing w:val="-4"/>
        </w:rPr>
        <w:t>have</w:t>
      </w:r>
    </w:p>
    <w:p w14:paraId="7E000A39" w14:textId="77777777" w:rsidR="009A58DB" w:rsidRDefault="00000000">
      <w:pPr>
        <w:pStyle w:val="BodyText"/>
        <w:spacing w:line="316" w:lineRule="exact"/>
      </w:pPr>
      <w:r>
        <w:t>those</w:t>
      </w:r>
      <w:r>
        <w:rPr>
          <w:spacing w:val="61"/>
          <w:w w:val="150"/>
        </w:rPr>
        <w:t xml:space="preserve"> </w:t>
      </w:r>
      <w:r>
        <w:t>members</w:t>
      </w:r>
      <w:r>
        <w:rPr>
          <w:spacing w:val="62"/>
          <w:w w:val="150"/>
        </w:rPr>
        <w:t xml:space="preserve"> </w:t>
      </w:r>
      <w:r>
        <w:t>would</w:t>
      </w:r>
      <w:r>
        <w:rPr>
          <w:spacing w:val="61"/>
          <w:w w:val="150"/>
        </w:rPr>
        <w:t xml:space="preserve"> </w:t>
      </w:r>
      <w:r>
        <w:t>be</w:t>
      </w:r>
      <w:r>
        <w:rPr>
          <w:spacing w:val="62"/>
          <w:w w:val="150"/>
        </w:rPr>
        <w:t xml:space="preserve"> </w:t>
      </w:r>
      <w:r>
        <w:t>for</w:t>
      </w:r>
      <w:r>
        <w:rPr>
          <w:spacing w:val="61"/>
          <w:w w:val="150"/>
        </w:rPr>
        <w:t xml:space="preserve"> </w:t>
      </w:r>
      <w:r>
        <w:t>it</w:t>
      </w:r>
      <w:r>
        <w:rPr>
          <w:spacing w:val="62"/>
          <w:w w:val="150"/>
        </w:rPr>
        <w:t xml:space="preserve"> </w:t>
      </w:r>
      <w:r>
        <w:t>to</w:t>
      </w:r>
      <w:r>
        <w:rPr>
          <w:spacing w:val="62"/>
          <w:w w:val="150"/>
        </w:rPr>
        <w:t xml:space="preserve"> </w:t>
      </w:r>
      <w:r>
        <w:t>be</w:t>
      </w:r>
      <w:r>
        <w:rPr>
          <w:spacing w:val="61"/>
          <w:w w:val="150"/>
        </w:rPr>
        <w:t xml:space="preserve"> </w:t>
      </w:r>
      <w:r>
        <w:t>fail</w:t>
      </w:r>
      <w:r>
        <w:rPr>
          <w:spacing w:val="62"/>
          <w:w w:val="150"/>
        </w:rPr>
        <w:t xml:space="preserve"> </w:t>
      </w:r>
      <w:r>
        <w:t>to</w:t>
      </w:r>
      <w:r>
        <w:rPr>
          <w:spacing w:val="61"/>
          <w:w w:val="150"/>
        </w:rPr>
        <w:t xml:space="preserve"> </w:t>
      </w:r>
      <w:r>
        <w:t>be</w:t>
      </w:r>
      <w:r>
        <w:rPr>
          <w:spacing w:val="62"/>
          <w:w w:val="150"/>
        </w:rPr>
        <w:t xml:space="preserve"> </w:t>
      </w:r>
      <w:r>
        <w:t>itself.</w:t>
      </w:r>
      <w:r>
        <w:rPr>
          <w:spacing w:val="61"/>
          <w:w w:val="150"/>
        </w:rPr>
        <w:t xml:space="preserve"> </w:t>
      </w:r>
      <w:r>
        <w:t>Thus,</w:t>
      </w:r>
      <w:r>
        <w:rPr>
          <w:spacing w:val="62"/>
          <w:w w:val="150"/>
        </w:rPr>
        <w:t xml:space="preserve"> </w:t>
      </w:r>
      <w:r>
        <w:t>sets</w:t>
      </w:r>
      <w:r>
        <w:rPr>
          <w:spacing w:val="62"/>
          <w:w w:val="150"/>
        </w:rPr>
        <w:t xml:space="preserve"> </w:t>
      </w:r>
      <w:r>
        <w:rPr>
          <w:spacing w:val="-5"/>
        </w:rPr>
        <w:t>are</w:t>
      </w:r>
    </w:p>
    <w:p w14:paraId="7E000A3A" w14:textId="77777777" w:rsidR="009A58DB" w:rsidRDefault="00000000">
      <w:pPr>
        <w:pStyle w:val="BodyText"/>
        <w:spacing w:before="15" w:line="249" w:lineRule="auto"/>
        <w:ind w:right="371"/>
      </w:pPr>
      <w:r>
        <w:rPr>
          <w:i/>
        </w:rPr>
        <w:t>individuated</w:t>
      </w:r>
      <w:r>
        <w:rPr>
          <w:i/>
          <w:spacing w:val="-4"/>
        </w:rPr>
        <w:t xml:space="preserve"> </w:t>
      </w:r>
      <w:r>
        <w:t>by their memberships. This principle is sometimes known as the axiom of extensionality.</w:t>
      </w:r>
    </w:p>
    <w:p w14:paraId="7E000A3B" w14:textId="77777777" w:rsidR="009A58DB" w:rsidRDefault="00000000">
      <w:pPr>
        <w:pStyle w:val="BodyText"/>
        <w:spacing w:before="2" w:line="249" w:lineRule="auto"/>
        <w:ind w:right="358" w:firstLine="360"/>
      </w:pPr>
      <w:r>
        <w:t xml:space="preserve">A corollary of this axiom is that a set’s membership is frozen—frozen, indeed, in two senses. First, it’s temporally frozen. Sets don’t gain members and they don’t lose them. Second, it’s </w:t>
      </w:r>
      <w:r>
        <w:rPr>
          <w:i/>
        </w:rPr>
        <w:t xml:space="preserve">modally </w:t>
      </w:r>
      <w:r>
        <w:t>frozen. If a set’s actual members are x</w:t>
      </w:r>
      <w:r>
        <w:rPr>
          <w:vertAlign w:val="subscript"/>
        </w:rPr>
        <w:t>1</w:t>
      </w:r>
      <w:r>
        <w:t>...x</w:t>
      </w:r>
      <w:r>
        <w:rPr>
          <w:position w:val="-7"/>
          <w:sz w:val="22"/>
        </w:rPr>
        <w:t>n</w:t>
      </w:r>
      <w:r>
        <w:t xml:space="preserve">, it couldn’t possibly exist without having exactly those </w:t>
      </w:r>
      <w:r>
        <w:rPr>
          <w:spacing w:val="-2"/>
        </w:rPr>
        <w:t>members.</w:t>
      </w:r>
    </w:p>
    <w:p w14:paraId="7E000A3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3D" w14:textId="77777777" w:rsidR="009A58DB" w:rsidRDefault="00000000">
      <w:pPr>
        <w:pStyle w:val="BodyText"/>
        <w:spacing w:before="65" w:line="249" w:lineRule="auto"/>
        <w:ind w:right="360" w:firstLine="360"/>
      </w:pPr>
      <w:r>
        <w:lastRenderedPageBreak/>
        <w:t xml:space="preserve">This may at first seem patently false. “Surely the set of people changes from year to year; people are born; people die.” This is the wrong view. The right view is that some one </w:t>
      </w:r>
      <w:r>
        <w:rPr>
          <w:i/>
        </w:rPr>
        <w:t>property</w:t>
      </w:r>
      <w:r>
        <w:t xml:space="preserve">—that of being a person—generates </w:t>
      </w:r>
      <w:r>
        <w:rPr>
          <w:i/>
        </w:rPr>
        <w:t xml:space="preserve">different </w:t>
      </w:r>
      <w:r>
        <w:t xml:space="preserve">sets at different times. So really there is no such thing as </w:t>
      </w:r>
      <w:r>
        <w:rPr>
          <w:i/>
        </w:rPr>
        <w:t xml:space="preserve">the </w:t>
      </w:r>
      <w:r>
        <w:t>set of people. There is the set of people at 3:00 P.M. April 28, 2009, the set of people at 3:01 P.M. April 28, 2009, etc.</w:t>
      </w:r>
    </w:p>
    <w:p w14:paraId="7E000A3E" w14:textId="77777777" w:rsidR="009A58DB" w:rsidRDefault="00000000">
      <w:pPr>
        <w:pStyle w:val="BodyText"/>
        <w:spacing w:before="7" w:line="249" w:lineRule="auto"/>
        <w:ind w:right="359" w:firstLine="360"/>
      </w:pPr>
      <w:r>
        <w:t>And if S is the set of people—in other words, if it’s the set that contains you, me, Barack Obama, etc.—S couldn’t possibly exist in a universe in which</w:t>
      </w:r>
      <w:r>
        <w:rPr>
          <w:spacing w:val="-2"/>
        </w:rPr>
        <w:t xml:space="preserve"> </w:t>
      </w:r>
      <w:r>
        <w:t>one</w:t>
      </w:r>
      <w:r>
        <w:rPr>
          <w:spacing w:val="-3"/>
        </w:rPr>
        <w:t xml:space="preserve"> </w:t>
      </w:r>
      <w:r>
        <w:t>of</w:t>
      </w:r>
      <w:r>
        <w:rPr>
          <w:spacing w:val="-3"/>
        </w:rPr>
        <w:t xml:space="preserve"> </w:t>
      </w:r>
      <w:r>
        <w:t>us</w:t>
      </w:r>
      <w:r>
        <w:rPr>
          <w:spacing w:val="-3"/>
        </w:rPr>
        <w:t xml:space="preserve"> </w:t>
      </w:r>
      <w:r>
        <w:t>three</w:t>
      </w:r>
      <w:r>
        <w:rPr>
          <w:spacing w:val="-3"/>
        </w:rPr>
        <w:t xml:space="preserve"> </w:t>
      </w:r>
      <w:r>
        <w:t>didn’t</w:t>
      </w:r>
      <w:r>
        <w:rPr>
          <w:spacing w:val="-3"/>
        </w:rPr>
        <w:t xml:space="preserve"> </w:t>
      </w:r>
      <w:r>
        <w:t>exist.</w:t>
      </w:r>
      <w:r>
        <w:rPr>
          <w:spacing w:val="-2"/>
        </w:rPr>
        <w:t xml:space="preserve"> </w:t>
      </w:r>
      <w:r>
        <w:t>Of</w:t>
      </w:r>
      <w:r>
        <w:rPr>
          <w:spacing w:val="-3"/>
        </w:rPr>
        <w:t xml:space="preserve"> </w:t>
      </w:r>
      <w:r>
        <w:t>course,</w:t>
      </w:r>
      <w:r>
        <w:rPr>
          <w:spacing w:val="-2"/>
        </w:rPr>
        <w:t xml:space="preserve"> </w:t>
      </w:r>
      <w:r>
        <w:t>there</w:t>
      </w:r>
      <w:r>
        <w:rPr>
          <w:spacing w:val="-3"/>
        </w:rPr>
        <w:t xml:space="preserve"> </w:t>
      </w:r>
      <w:r>
        <w:t>could</w:t>
      </w:r>
      <w:r>
        <w:rPr>
          <w:spacing w:val="-2"/>
        </w:rPr>
        <w:t xml:space="preserve"> </w:t>
      </w:r>
      <w:r>
        <w:t>be</w:t>
      </w:r>
      <w:r>
        <w:rPr>
          <w:spacing w:val="-3"/>
        </w:rPr>
        <w:t xml:space="preserve"> </w:t>
      </w:r>
      <w:r>
        <w:rPr>
          <w:i/>
        </w:rPr>
        <w:t>people</w:t>
      </w:r>
      <w:r>
        <w:rPr>
          <w:i/>
          <w:spacing w:val="-3"/>
        </w:rPr>
        <w:t xml:space="preserve"> </w:t>
      </w:r>
      <w:r>
        <w:t>in</w:t>
      </w:r>
      <w:r>
        <w:rPr>
          <w:spacing w:val="-2"/>
        </w:rPr>
        <w:t xml:space="preserve"> </w:t>
      </w:r>
      <w:r>
        <w:t>a</w:t>
      </w:r>
      <w:r>
        <w:rPr>
          <w:spacing w:val="-3"/>
        </w:rPr>
        <w:t xml:space="preserve"> </w:t>
      </w:r>
      <w:r>
        <w:t xml:space="preserve">world where one of us didn’t exist. And, in that world, the </w:t>
      </w:r>
      <w:r>
        <w:rPr>
          <w:i/>
        </w:rPr>
        <w:t xml:space="preserve">property </w:t>
      </w:r>
      <w:r>
        <w:t xml:space="preserve">of being a person would generate </w:t>
      </w:r>
      <w:r>
        <w:rPr>
          <w:i/>
        </w:rPr>
        <w:t xml:space="preserve">a </w:t>
      </w:r>
      <w:r>
        <w:t>set. But that set wouldn’t be S. It would be some other set.</w:t>
      </w:r>
    </w:p>
    <w:p w14:paraId="7E000A3F" w14:textId="77777777" w:rsidR="009A58DB" w:rsidRDefault="00000000">
      <w:pPr>
        <w:pStyle w:val="BodyText"/>
        <w:spacing w:before="7" w:line="249" w:lineRule="auto"/>
        <w:ind w:right="358" w:firstLine="360"/>
      </w:pPr>
      <w:r>
        <w:t xml:space="preserve">“But isn’t the axiom of extensionality just a matter of convention? Couldn’t we stipulate that sets </w:t>
      </w:r>
      <w:r>
        <w:rPr>
          <w:i/>
        </w:rPr>
        <w:t>could</w:t>
      </w:r>
      <w:r>
        <w:rPr>
          <w:i/>
          <w:spacing w:val="-3"/>
        </w:rPr>
        <w:t xml:space="preserve"> </w:t>
      </w:r>
      <w:r>
        <w:t xml:space="preserve">lose and gain members?” If we used the word “set” in this way, it would become a proxy for the word “property.” To say that the “set” of humans changes every time someone is born or dies is to say that, at any given time, this set’s membership is determined by what it is that, at that time, has the </w:t>
      </w:r>
      <w:r>
        <w:rPr>
          <w:i/>
        </w:rPr>
        <w:t xml:space="preserve">property </w:t>
      </w:r>
      <w:r>
        <w:t>of being human. So, while there’s nothing wrong with using the word “set” in this way, it isn’t an option for somebody who wishes to replace properties with sets.</w:t>
      </w:r>
    </w:p>
    <w:p w14:paraId="7E000A40" w14:textId="77777777" w:rsidR="009A58DB" w:rsidRDefault="00000000">
      <w:pPr>
        <w:pStyle w:val="BodyText"/>
        <w:spacing w:before="10" w:line="249" w:lineRule="auto"/>
        <w:ind w:right="358" w:firstLine="360"/>
        <w:rPr>
          <w:position w:val="21"/>
        </w:rPr>
      </w:pPr>
      <w:r>
        <w:t>Having taken care of these technical preliminaries, let us move on to matters of substance. If some piece of copper happens, at a given time, to be conducting electricity, it’s because of what is going on right then and there. The</w:t>
      </w:r>
      <w:r>
        <w:rPr>
          <w:spacing w:val="-3"/>
        </w:rPr>
        <w:t xml:space="preserve"> </w:t>
      </w:r>
      <w:r>
        <w:t>fact</w:t>
      </w:r>
      <w:r>
        <w:rPr>
          <w:spacing w:val="-2"/>
        </w:rPr>
        <w:t xml:space="preserve"> </w:t>
      </w:r>
      <w:r>
        <w:t>that</w:t>
      </w:r>
      <w:r>
        <w:rPr>
          <w:spacing w:val="-3"/>
        </w:rPr>
        <w:t xml:space="preserve"> </w:t>
      </w:r>
      <w:r>
        <w:t>there</w:t>
      </w:r>
      <w:r>
        <w:rPr>
          <w:spacing w:val="-2"/>
        </w:rPr>
        <w:t xml:space="preserve"> </w:t>
      </w:r>
      <w:r>
        <w:t>exists</w:t>
      </w:r>
      <w:r>
        <w:rPr>
          <w:spacing w:val="-3"/>
        </w:rPr>
        <w:t xml:space="preserve"> </w:t>
      </w:r>
      <w:r>
        <w:t>some</w:t>
      </w:r>
      <w:r>
        <w:rPr>
          <w:spacing w:val="-2"/>
        </w:rPr>
        <w:t xml:space="preserve"> </w:t>
      </w:r>
      <w:r>
        <w:t>other</w:t>
      </w:r>
      <w:r>
        <w:rPr>
          <w:spacing w:val="-2"/>
        </w:rPr>
        <w:t xml:space="preserve"> </w:t>
      </w:r>
      <w:r>
        <w:t>piece</w:t>
      </w:r>
      <w:r>
        <w:rPr>
          <w:spacing w:val="-3"/>
        </w:rPr>
        <w:t xml:space="preserve"> </w:t>
      </w:r>
      <w:r>
        <w:t>of</w:t>
      </w:r>
      <w:r>
        <w:rPr>
          <w:spacing w:val="-2"/>
        </w:rPr>
        <w:t xml:space="preserve"> </w:t>
      </w:r>
      <w:r>
        <w:t>copper</w:t>
      </w:r>
      <w:r>
        <w:rPr>
          <w:spacing w:val="-3"/>
        </w:rPr>
        <w:t xml:space="preserve"> </w:t>
      </w:r>
      <w:r>
        <w:t>in</w:t>
      </w:r>
      <w:r>
        <w:rPr>
          <w:spacing w:val="-2"/>
        </w:rPr>
        <w:t xml:space="preserve"> </w:t>
      </w:r>
      <w:r>
        <w:t>some</w:t>
      </w:r>
      <w:r>
        <w:rPr>
          <w:spacing w:val="-3"/>
        </w:rPr>
        <w:t xml:space="preserve"> </w:t>
      </w:r>
      <w:r>
        <w:t>remote</w:t>
      </w:r>
      <w:r>
        <w:rPr>
          <w:spacing w:val="-2"/>
        </w:rPr>
        <w:t xml:space="preserve"> </w:t>
      </w:r>
      <w:r>
        <w:t>galaxy</w:t>
      </w:r>
      <w:r>
        <w:rPr>
          <w:spacing w:val="-2"/>
        </w:rPr>
        <w:t xml:space="preserve"> </w:t>
      </w:r>
      <w:r>
        <w:t>is irrelevant.</w:t>
      </w:r>
      <w:r>
        <w:rPr>
          <w:spacing w:val="-2"/>
        </w:rPr>
        <w:t xml:space="preserve"> </w:t>
      </w:r>
      <w:r>
        <w:t>But</w:t>
      </w:r>
      <w:r>
        <w:rPr>
          <w:spacing w:val="-2"/>
        </w:rPr>
        <w:t xml:space="preserve"> </w:t>
      </w:r>
      <w:r>
        <w:t>if</w:t>
      </w:r>
      <w:r>
        <w:rPr>
          <w:spacing w:val="-2"/>
        </w:rPr>
        <w:t xml:space="preserve"> </w:t>
      </w:r>
      <w:r>
        <w:t>S</w:t>
      </w:r>
      <w:r>
        <w:rPr>
          <w:spacing w:val="-2"/>
        </w:rPr>
        <w:t xml:space="preserve"> </w:t>
      </w:r>
      <w:r>
        <w:t>is</w:t>
      </w:r>
      <w:r>
        <w:rPr>
          <w:spacing w:val="-2"/>
        </w:rPr>
        <w:t xml:space="preserve"> </w:t>
      </w:r>
      <w:r>
        <w:t>the</w:t>
      </w:r>
      <w:r>
        <w:rPr>
          <w:spacing w:val="-2"/>
        </w:rPr>
        <w:t xml:space="preserve"> </w:t>
      </w:r>
      <w:r>
        <w:t>set</w:t>
      </w:r>
      <w:r>
        <w:rPr>
          <w:spacing w:val="-2"/>
        </w:rPr>
        <w:t xml:space="preserve"> </w:t>
      </w:r>
      <w:r>
        <w:t>of</w:t>
      </w:r>
      <w:r>
        <w:rPr>
          <w:spacing w:val="-2"/>
        </w:rPr>
        <w:t xml:space="preserve"> </w:t>
      </w:r>
      <w:r>
        <w:t>all</w:t>
      </w:r>
      <w:r>
        <w:rPr>
          <w:spacing w:val="-2"/>
        </w:rPr>
        <w:t xml:space="preserve"> </w:t>
      </w:r>
      <w:r>
        <w:t>pieces</w:t>
      </w:r>
      <w:r>
        <w:rPr>
          <w:spacing w:val="-2"/>
        </w:rPr>
        <w:t xml:space="preserve"> </w:t>
      </w:r>
      <w:r>
        <w:t>of</w:t>
      </w:r>
      <w:r>
        <w:rPr>
          <w:spacing w:val="-2"/>
        </w:rPr>
        <w:t xml:space="preserve"> </w:t>
      </w:r>
      <w:r>
        <w:t>copper,</w:t>
      </w:r>
      <w:r>
        <w:rPr>
          <w:spacing w:val="-2"/>
        </w:rPr>
        <w:t xml:space="preserve"> </w:t>
      </w:r>
      <w:r>
        <w:t>the</w:t>
      </w:r>
      <w:r>
        <w:rPr>
          <w:spacing w:val="-2"/>
        </w:rPr>
        <w:t xml:space="preserve"> </w:t>
      </w:r>
      <w:r>
        <w:t>existence</w:t>
      </w:r>
      <w:r>
        <w:rPr>
          <w:spacing w:val="-2"/>
        </w:rPr>
        <w:t xml:space="preserve"> </w:t>
      </w:r>
      <w:r>
        <w:t>of</w:t>
      </w:r>
      <w:r>
        <w:rPr>
          <w:spacing w:val="-2"/>
        </w:rPr>
        <w:t xml:space="preserve"> </w:t>
      </w:r>
      <w:r>
        <w:t>that</w:t>
      </w:r>
      <w:r>
        <w:rPr>
          <w:spacing w:val="-2"/>
        </w:rPr>
        <w:t xml:space="preserve"> </w:t>
      </w:r>
      <w:r>
        <w:t xml:space="preserve">other piece of copper </w:t>
      </w:r>
      <w:r>
        <w:rPr>
          <w:i/>
        </w:rPr>
        <w:t xml:space="preserve">is </w:t>
      </w:r>
      <w:r>
        <w:t xml:space="preserve">relevant to S’s existence. Sets are individuated by their memberships. (The set consisting of Smith, Larry, and Sally ceases to exist if Smith does.) So if, for some reason, the universe hadn’t begotten that other piece of copper, then S wouldn’t exist. But what difference would that make to the fact that </w:t>
      </w:r>
      <w:r>
        <w:rPr>
          <w:i/>
        </w:rPr>
        <w:t xml:space="preserve">this </w:t>
      </w:r>
      <w:r>
        <w:t>piece of copper is conducting electricity? None</w:t>
      </w:r>
      <w:bookmarkStart w:id="112" w:name="_bookmark112"/>
      <w:bookmarkEnd w:id="112"/>
      <w:r>
        <w:t>.</w:t>
      </w:r>
      <w:r>
        <w:rPr>
          <w:color w:val="0562C1"/>
          <w:position w:val="21"/>
          <w:u w:val="single" w:color="0562C1"/>
        </w:rPr>
        <w:t>[52]</w:t>
      </w:r>
    </w:p>
    <w:p w14:paraId="7E000A41" w14:textId="77777777" w:rsidR="009A58DB" w:rsidRDefault="00000000">
      <w:pPr>
        <w:pStyle w:val="BodyText"/>
        <w:spacing w:before="13" w:line="249" w:lineRule="auto"/>
        <w:ind w:right="358" w:firstLine="360"/>
      </w:pPr>
      <w:r>
        <w:t>Any</w:t>
      </w:r>
      <w:r>
        <w:rPr>
          <w:spacing w:val="-3"/>
        </w:rPr>
        <w:t xml:space="preserve"> </w:t>
      </w:r>
      <w:r>
        <w:t>given</w:t>
      </w:r>
      <w:r>
        <w:rPr>
          <w:spacing w:val="-3"/>
        </w:rPr>
        <w:t xml:space="preserve"> </w:t>
      </w:r>
      <w:r>
        <w:t>thing</w:t>
      </w:r>
      <w:r>
        <w:rPr>
          <w:spacing w:val="-3"/>
        </w:rPr>
        <w:t xml:space="preserve"> </w:t>
      </w:r>
      <w:r>
        <w:t>belongs</w:t>
      </w:r>
      <w:r>
        <w:rPr>
          <w:spacing w:val="-4"/>
        </w:rPr>
        <w:t xml:space="preserve"> </w:t>
      </w:r>
      <w:r>
        <w:t>to</w:t>
      </w:r>
      <w:r>
        <w:rPr>
          <w:spacing w:val="-3"/>
        </w:rPr>
        <w:t xml:space="preserve"> </w:t>
      </w:r>
      <w:r>
        <w:t>many</w:t>
      </w:r>
      <w:r>
        <w:rPr>
          <w:spacing w:val="-3"/>
        </w:rPr>
        <w:t xml:space="preserve"> </w:t>
      </w:r>
      <w:r>
        <w:t>different</w:t>
      </w:r>
      <w:r>
        <w:rPr>
          <w:spacing w:val="-4"/>
        </w:rPr>
        <w:t xml:space="preserve"> </w:t>
      </w:r>
      <w:r>
        <w:t>sets.</w:t>
      </w:r>
      <w:r>
        <w:rPr>
          <w:spacing w:val="-3"/>
        </w:rPr>
        <w:t xml:space="preserve"> </w:t>
      </w:r>
      <w:r>
        <w:t>What</w:t>
      </w:r>
      <w:r>
        <w:rPr>
          <w:spacing w:val="-4"/>
        </w:rPr>
        <w:t xml:space="preserve"> </w:t>
      </w:r>
      <w:r>
        <w:t>those</w:t>
      </w:r>
      <w:r>
        <w:rPr>
          <w:spacing w:val="-4"/>
        </w:rPr>
        <w:t xml:space="preserve"> </w:t>
      </w:r>
      <w:r>
        <w:t>sets</w:t>
      </w:r>
      <w:r>
        <w:rPr>
          <w:spacing w:val="-4"/>
        </w:rPr>
        <w:t xml:space="preserve"> </w:t>
      </w:r>
      <w:r>
        <w:t>are</w:t>
      </w:r>
      <w:r>
        <w:rPr>
          <w:spacing w:val="-4"/>
        </w:rPr>
        <w:t xml:space="preserve"> </w:t>
      </w:r>
      <w:r>
        <w:t>is</w:t>
      </w:r>
      <w:r>
        <w:rPr>
          <w:spacing w:val="-4"/>
        </w:rPr>
        <w:t xml:space="preserve"> </w:t>
      </w:r>
      <w:r>
        <w:t>only as good an indicator of how that thing is as it is an indicator of what properties that thing has. If S is the set of people who actually exist, then S doesn’t exist in a world W that where Dick Cheney doesn’t exist but is otherwise</w:t>
      </w:r>
      <w:r>
        <w:rPr>
          <w:spacing w:val="21"/>
        </w:rPr>
        <w:t xml:space="preserve"> </w:t>
      </w:r>
      <w:r>
        <w:t>exactly</w:t>
      </w:r>
      <w:r>
        <w:rPr>
          <w:spacing w:val="22"/>
        </w:rPr>
        <w:t xml:space="preserve"> </w:t>
      </w:r>
      <w:r>
        <w:t>like</w:t>
      </w:r>
      <w:r>
        <w:rPr>
          <w:spacing w:val="22"/>
        </w:rPr>
        <w:t xml:space="preserve"> </w:t>
      </w:r>
      <w:r>
        <w:t>our</w:t>
      </w:r>
      <w:r>
        <w:rPr>
          <w:spacing w:val="21"/>
        </w:rPr>
        <w:t xml:space="preserve"> </w:t>
      </w:r>
      <w:r>
        <w:t>world.</w:t>
      </w:r>
      <w:r>
        <w:rPr>
          <w:spacing w:val="22"/>
        </w:rPr>
        <w:t xml:space="preserve"> </w:t>
      </w:r>
      <w:r>
        <w:t>But</w:t>
      </w:r>
      <w:r>
        <w:rPr>
          <w:spacing w:val="21"/>
        </w:rPr>
        <w:t xml:space="preserve"> </w:t>
      </w:r>
      <w:r>
        <w:t>what</w:t>
      </w:r>
      <w:r>
        <w:rPr>
          <w:spacing w:val="21"/>
        </w:rPr>
        <w:t xml:space="preserve"> </w:t>
      </w:r>
      <w:r>
        <w:t>difference</w:t>
      </w:r>
      <w:r>
        <w:rPr>
          <w:spacing w:val="22"/>
        </w:rPr>
        <w:t xml:space="preserve"> </w:t>
      </w:r>
      <w:r>
        <w:t>does</w:t>
      </w:r>
      <w:r>
        <w:rPr>
          <w:spacing w:val="21"/>
        </w:rPr>
        <w:t xml:space="preserve"> </w:t>
      </w:r>
      <w:r>
        <w:t>that</w:t>
      </w:r>
      <w:r>
        <w:rPr>
          <w:spacing w:val="21"/>
        </w:rPr>
        <w:t xml:space="preserve"> </w:t>
      </w:r>
      <w:r>
        <w:t>make</w:t>
      </w:r>
      <w:r>
        <w:rPr>
          <w:spacing w:val="22"/>
        </w:rPr>
        <w:t xml:space="preserve"> </w:t>
      </w:r>
      <w:r>
        <w:t>to</w:t>
      </w:r>
      <w:r>
        <w:rPr>
          <w:spacing w:val="22"/>
        </w:rPr>
        <w:t xml:space="preserve"> </w:t>
      </w:r>
      <w:r>
        <w:t>my</w:t>
      </w:r>
    </w:p>
    <w:p w14:paraId="7E000A4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43" w14:textId="77777777" w:rsidR="009A58DB" w:rsidRDefault="00000000">
      <w:pPr>
        <w:pStyle w:val="BodyText"/>
        <w:spacing w:before="65" w:line="249" w:lineRule="auto"/>
        <w:ind w:right="370"/>
      </w:pPr>
      <w:r>
        <w:lastRenderedPageBreak/>
        <w:t>life-path in W? None. So far as you can learn anything about me from the</w:t>
      </w:r>
      <w:r>
        <w:rPr>
          <w:spacing w:val="40"/>
        </w:rPr>
        <w:t xml:space="preserve"> </w:t>
      </w:r>
      <w:r>
        <w:t>fact that I belong to the set of humans, it’s because, in learning this, you are learning that I have the property of being human.</w:t>
      </w:r>
    </w:p>
    <w:p w14:paraId="7E000A44" w14:textId="77777777" w:rsidR="009A58DB" w:rsidRDefault="00000000">
      <w:pPr>
        <w:pStyle w:val="BodyText"/>
        <w:spacing w:before="3" w:line="249" w:lineRule="auto"/>
        <w:ind w:right="358" w:firstLine="360"/>
      </w:pPr>
      <w:r>
        <w:t xml:space="preserve">Everything just said about sets can be said of </w:t>
      </w:r>
      <w:r>
        <w:rPr>
          <w:i/>
        </w:rPr>
        <w:t>any</w:t>
      </w:r>
      <w:r>
        <w:rPr>
          <w:i/>
          <w:spacing w:val="-3"/>
        </w:rPr>
        <w:t xml:space="preserve"> </w:t>
      </w:r>
      <w:r>
        <w:t>entity that is constituted by</w:t>
      </w:r>
      <w:r>
        <w:rPr>
          <w:spacing w:val="-1"/>
        </w:rPr>
        <w:t xml:space="preserve"> </w:t>
      </w:r>
      <w:r>
        <w:t>property-instances. Suppose, for</w:t>
      </w:r>
      <w:r>
        <w:rPr>
          <w:spacing w:val="-1"/>
        </w:rPr>
        <w:t xml:space="preserve"> </w:t>
      </w:r>
      <w:r>
        <w:t>argument’s sake,</w:t>
      </w:r>
      <w:r>
        <w:rPr>
          <w:spacing w:val="-1"/>
        </w:rPr>
        <w:t xml:space="preserve"> </w:t>
      </w:r>
      <w:r>
        <w:t>that</w:t>
      </w:r>
      <w:r>
        <w:rPr>
          <w:spacing w:val="-1"/>
        </w:rPr>
        <w:t xml:space="preserve"> </w:t>
      </w:r>
      <w:r>
        <w:t>there is a “scattered object” consisting of all and only those human beings in existence. (This is a popular view among philosophers.</w:t>
      </w:r>
      <w:bookmarkStart w:id="113" w:name="_bookmark113"/>
      <w:bookmarkEnd w:id="113"/>
      <w:r>
        <w:rPr>
          <w:color w:val="0562C1"/>
          <w:position w:val="21"/>
          <w:u w:val="single" w:color="0562C1"/>
        </w:rPr>
        <w:t>[53]</w:t>
      </w:r>
      <w:r>
        <w:t>) Just replace each occurrence of “set” in the argument just given with “scattered object consisting of all and only human</w:t>
      </w:r>
      <w:r>
        <w:rPr>
          <w:spacing w:val="-1"/>
        </w:rPr>
        <w:t xml:space="preserve"> </w:t>
      </w:r>
      <w:r>
        <w:t>beings,”</w:t>
      </w:r>
      <w:r>
        <w:rPr>
          <w:spacing w:val="-1"/>
        </w:rPr>
        <w:t xml:space="preserve"> </w:t>
      </w:r>
      <w:r>
        <w:t>and</w:t>
      </w:r>
      <w:r>
        <w:rPr>
          <w:spacing w:val="-1"/>
        </w:rPr>
        <w:t xml:space="preserve"> </w:t>
      </w:r>
      <w:r>
        <w:t>the</w:t>
      </w:r>
      <w:r>
        <w:rPr>
          <w:spacing w:val="-1"/>
        </w:rPr>
        <w:t xml:space="preserve"> </w:t>
      </w:r>
      <w:r>
        <w:t>resulting</w:t>
      </w:r>
      <w:r>
        <w:rPr>
          <w:spacing w:val="-1"/>
        </w:rPr>
        <w:t xml:space="preserve"> </w:t>
      </w:r>
      <w:r>
        <w:t>argument</w:t>
      </w:r>
      <w:r>
        <w:rPr>
          <w:spacing w:val="-1"/>
        </w:rPr>
        <w:t xml:space="preserve"> </w:t>
      </w:r>
      <w:r>
        <w:t>shows</w:t>
      </w:r>
      <w:r>
        <w:rPr>
          <w:spacing w:val="-1"/>
        </w:rPr>
        <w:t xml:space="preserve"> </w:t>
      </w:r>
      <w:r>
        <w:t>that</w:t>
      </w:r>
      <w:r>
        <w:rPr>
          <w:spacing w:val="-1"/>
        </w:rPr>
        <w:t xml:space="preserve"> </w:t>
      </w:r>
      <w:r>
        <w:t>the</w:t>
      </w:r>
      <w:r>
        <w:rPr>
          <w:spacing w:val="-1"/>
        </w:rPr>
        <w:t xml:space="preserve"> </w:t>
      </w:r>
      <w:r>
        <w:t>property</w:t>
      </w:r>
      <w:r>
        <w:rPr>
          <w:spacing w:val="-1"/>
        </w:rPr>
        <w:t xml:space="preserve"> </w:t>
      </w:r>
      <w:r>
        <w:t>of</w:t>
      </w:r>
      <w:r>
        <w:rPr>
          <w:spacing w:val="-1"/>
        </w:rPr>
        <w:t xml:space="preserve"> </w:t>
      </w:r>
      <w:r>
        <w:t>being</w:t>
      </w:r>
      <w:r>
        <w:rPr>
          <w:spacing w:val="-1"/>
        </w:rPr>
        <w:t xml:space="preserve"> </w:t>
      </w:r>
      <w:r>
        <w:t xml:space="preserve">a person isn’t identical with that set. (Also, we’ll see in the next section that, setting aside properties that have only one instance, there are </w:t>
      </w:r>
      <w:r>
        <w:rPr>
          <w:i/>
        </w:rPr>
        <w:t xml:space="preserve">no </w:t>
      </w:r>
      <w:r>
        <w:t>spatiotemporal entities that can be identified with a given property’s instances. There are no “scattered objects.”)</w:t>
      </w:r>
    </w:p>
    <w:p w14:paraId="7E000A45" w14:textId="77777777" w:rsidR="009A58DB" w:rsidRDefault="00000000">
      <w:pPr>
        <w:pStyle w:val="Heading1"/>
        <w:spacing w:before="201"/>
        <w:ind w:left="360" w:firstLine="0"/>
      </w:pPr>
      <w:r>
        <w:t>2.0</w:t>
      </w:r>
      <w:r>
        <w:rPr>
          <w:spacing w:val="-6"/>
        </w:rPr>
        <w:t xml:space="preserve"> </w:t>
      </w:r>
      <w:r>
        <w:t>Arguments</w:t>
      </w:r>
      <w:r>
        <w:rPr>
          <w:spacing w:val="-4"/>
        </w:rPr>
        <w:t xml:space="preserve"> </w:t>
      </w:r>
      <w:r>
        <w:t>against</w:t>
      </w:r>
      <w:r>
        <w:rPr>
          <w:spacing w:val="-4"/>
        </w:rPr>
        <w:t xml:space="preserve"> </w:t>
      </w:r>
      <w:r>
        <w:rPr>
          <w:spacing w:val="-2"/>
        </w:rPr>
        <w:t>Platonism</w:t>
      </w:r>
    </w:p>
    <w:p w14:paraId="7E000A46" w14:textId="77777777" w:rsidR="009A58DB" w:rsidRDefault="00000000">
      <w:pPr>
        <w:pStyle w:val="BodyText"/>
        <w:spacing w:before="139" w:line="249" w:lineRule="auto"/>
        <w:ind w:right="359"/>
      </w:pPr>
      <w:r>
        <w:t>It is seldom denied that there are instances of properties, but it has often been denied that there are non-spatiotemporal entities. But it’s hard to see (i) how there could be instances of properties without there being properties themselves, and it is also hard to see (ii) how properties could be given spatiotemporal coordinates.</w:t>
      </w:r>
    </w:p>
    <w:p w14:paraId="7E000A47" w14:textId="77777777" w:rsidR="009A58DB" w:rsidRDefault="00000000">
      <w:pPr>
        <w:pStyle w:val="BodyText"/>
        <w:spacing w:before="6" w:line="249" w:lineRule="auto"/>
        <w:ind w:right="361" w:firstLine="360"/>
      </w:pPr>
      <w:r>
        <w:t xml:space="preserve">Opponents of Platonism respond either by saying that (i) involves some sort of logical or linguistic trickery or by saying that properties </w:t>
      </w:r>
      <w:r>
        <w:rPr>
          <w:i/>
        </w:rPr>
        <w:t xml:space="preserve">can </w:t>
      </w:r>
      <w:r>
        <w:t>be identified with spatiotemporal entities. Let us now consider how anti-Platonists defend their view.</w:t>
      </w:r>
    </w:p>
    <w:p w14:paraId="7E000A48" w14:textId="77777777" w:rsidR="009A58DB" w:rsidRDefault="00000000">
      <w:pPr>
        <w:pStyle w:val="Heading1"/>
        <w:spacing w:before="208"/>
        <w:ind w:left="360" w:firstLine="0"/>
      </w:pPr>
      <w:r>
        <w:t>2.1.</w:t>
      </w:r>
      <w:r>
        <w:rPr>
          <w:spacing w:val="-5"/>
        </w:rPr>
        <w:t xml:space="preserve"> </w:t>
      </w:r>
      <w:r>
        <w:t>Argument</w:t>
      </w:r>
      <w:r>
        <w:rPr>
          <w:spacing w:val="-3"/>
        </w:rPr>
        <w:t xml:space="preserve"> </w:t>
      </w:r>
      <w:r>
        <w:t>#1</w:t>
      </w:r>
      <w:r>
        <w:rPr>
          <w:spacing w:val="-2"/>
        </w:rPr>
        <w:t xml:space="preserve"> </w:t>
      </w:r>
      <w:r>
        <w:t>against</w:t>
      </w:r>
      <w:r>
        <w:rPr>
          <w:spacing w:val="-3"/>
        </w:rPr>
        <w:t xml:space="preserve"> </w:t>
      </w:r>
      <w:r>
        <w:rPr>
          <w:spacing w:val="-2"/>
        </w:rPr>
        <w:t>Platonism</w:t>
      </w:r>
    </w:p>
    <w:p w14:paraId="7E000A49" w14:textId="77777777" w:rsidR="009A58DB" w:rsidRDefault="00000000">
      <w:pPr>
        <w:pStyle w:val="BodyText"/>
        <w:spacing w:before="139" w:line="249" w:lineRule="auto"/>
        <w:ind w:right="358" w:firstLine="360"/>
      </w:pPr>
      <w:r>
        <w:t>Not every word in a sentence corresponds to some entity in the world. If I say “for the sake of all that is good, make sure you give at least some money to</w:t>
      </w:r>
      <w:r>
        <w:rPr>
          <w:spacing w:val="-3"/>
        </w:rPr>
        <w:t xml:space="preserve"> </w:t>
      </w:r>
      <w:r>
        <w:t>charity”</w:t>
      </w:r>
      <w:r>
        <w:rPr>
          <w:spacing w:val="-3"/>
        </w:rPr>
        <w:t xml:space="preserve"> </w:t>
      </w:r>
      <w:r>
        <w:t>the</w:t>
      </w:r>
      <w:r>
        <w:rPr>
          <w:spacing w:val="-3"/>
        </w:rPr>
        <w:t xml:space="preserve"> </w:t>
      </w:r>
      <w:r>
        <w:t>word</w:t>
      </w:r>
      <w:r>
        <w:rPr>
          <w:spacing w:val="-3"/>
        </w:rPr>
        <w:t xml:space="preserve"> </w:t>
      </w:r>
      <w:r>
        <w:t>“sake”</w:t>
      </w:r>
      <w:r>
        <w:rPr>
          <w:spacing w:val="-3"/>
        </w:rPr>
        <w:t xml:space="preserve"> </w:t>
      </w:r>
      <w:r>
        <w:t>doesn’t</w:t>
      </w:r>
      <w:r>
        <w:rPr>
          <w:spacing w:val="-3"/>
        </w:rPr>
        <w:t xml:space="preserve"> </w:t>
      </w:r>
      <w:r>
        <w:t>denote</w:t>
      </w:r>
      <w:r>
        <w:rPr>
          <w:spacing w:val="-3"/>
        </w:rPr>
        <w:t xml:space="preserve"> </w:t>
      </w:r>
      <w:r>
        <w:t>anything—there</w:t>
      </w:r>
      <w:r>
        <w:rPr>
          <w:spacing w:val="-3"/>
        </w:rPr>
        <w:t xml:space="preserve"> </w:t>
      </w:r>
      <w:r>
        <w:t>aren’t</w:t>
      </w:r>
      <w:r>
        <w:rPr>
          <w:spacing w:val="-3"/>
        </w:rPr>
        <w:t xml:space="preserve"> </w:t>
      </w:r>
      <w:r>
        <w:t>such</w:t>
      </w:r>
      <w:r>
        <w:rPr>
          <w:spacing w:val="-3"/>
        </w:rPr>
        <w:t xml:space="preserve"> </w:t>
      </w:r>
      <w:r>
        <w:t>things as sakes, after all—even though, being a noun, the word “sake” has the same syntactic function as words that do have denotations.</w:t>
      </w:r>
    </w:p>
    <w:p w14:paraId="7E000A4A" w14:textId="77777777" w:rsidR="009A58DB" w:rsidRDefault="00000000">
      <w:pPr>
        <w:pStyle w:val="BodyText"/>
        <w:spacing w:before="6" w:line="249" w:lineRule="auto"/>
        <w:ind w:right="358" w:firstLine="360"/>
      </w:pPr>
      <w:r>
        <w:t xml:space="preserve">We can develop this point by taking a brief tour through linguistic theory. It seems fairly clear that not all expressions </w:t>
      </w:r>
      <w:r>
        <w:rPr>
          <w:i/>
        </w:rPr>
        <w:t xml:space="preserve">refer </w:t>
      </w:r>
      <w:r>
        <w:t>to things. Consider words like</w:t>
      </w:r>
      <w:r>
        <w:rPr>
          <w:spacing w:val="-4"/>
        </w:rPr>
        <w:t xml:space="preserve"> </w:t>
      </w:r>
      <w:r>
        <w:t>“of,”</w:t>
      </w:r>
      <w:r>
        <w:rPr>
          <w:spacing w:val="-4"/>
        </w:rPr>
        <w:t xml:space="preserve"> </w:t>
      </w:r>
      <w:r>
        <w:t>“and,”</w:t>
      </w:r>
      <w:r>
        <w:rPr>
          <w:spacing w:val="-4"/>
        </w:rPr>
        <w:t xml:space="preserve"> </w:t>
      </w:r>
      <w:r>
        <w:t>“the,”</w:t>
      </w:r>
      <w:r>
        <w:rPr>
          <w:spacing w:val="-4"/>
        </w:rPr>
        <w:t xml:space="preserve"> </w:t>
      </w:r>
      <w:r>
        <w:t>“nonetheless.”</w:t>
      </w:r>
      <w:r>
        <w:rPr>
          <w:spacing w:val="-4"/>
        </w:rPr>
        <w:t xml:space="preserve"> </w:t>
      </w:r>
      <w:r>
        <w:t>It’s</w:t>
      </w:r>
      <w:r>
        <w:rPr>
          <w:spacing w:val="-4"/>
        </w:rPr>
        <w:t xml:space="preserve"> </w:t>
      </w:r>
      <w:r>
        <w:t>hard</w:t>
      </w:r>
      <w:r>
        <w:rPr>
          <w:spacing w:val="-3"/>
        </w:rPr>
        <w:t xml:space="preserve"> </w:t>
      </w:r>
      <w:r>
        <w:t>to</w:t>
      </w:r>
      <w:r>
        <w:rPr>
          <w:spacing w:val="-3"/>
        </w:rPr>
        <w:t xml:space="preserve"> </w:t>
      </w:r>
      <w:r>
        <w:t>believe</w:t>
      </w:r>
      <w:r>
        <w:rPr>
          <w:spacing w:val="-4"/>
        </w:rPr>
        <w:t xml:space="preserve"> </w:t>
      </w:r>
      <w:r>
        <w:t>that</w:t>
      </w:r>
      <w:r>
        <w:rPr>
          <w:spacing w:val="-4"/>
        </w:rPr>
        <w:t xml:space="preserve"> </w:t>
      </w:r>
      <w:r>
        <w:t>these</w:t>
      </w:r>
      <w:r>
        <w:rPr>
          <w:spacing w:val="-4"/>
        </w:rPr>
        <w:t xml:space="preserve"> </w:t>
      </w:r>
      <w:r>
        <w:t>words</w:t>
      </w:r>
      <w:r>
        <w:rPr>
          <w:spacing w:val="-4"/>
        </w:rPr>
        <w:t xml:space="preserve"> </w:t>
      </w:r>
      <w:r>
        <w:t>are</w:t>
      </w:r>
    </w:p>
    <w:p w14:paraId="7E000A4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4C" w14:textId="77777777" w:rsidR="009A58DB" w:rsidRDefault="00000000">
      <w:pPr>
        <w:pStyle w:val="BodyText"/>
        <w:spacing w:before="70" w:line="249" w:lineRule="auto"/>
        <w:ind w:right="361"/>
      </w:pPr>
      <w:r>
        <w:lastRenderedPageBreak/>
        <w:t>comparable to “Smith,” “Jones,” and “cow.” The medievals referred to expressions like “Smith” and “Jones” as “categorematic” expressions, and to expressions like “of” and “the” as “syncategorematic” expressions. A syncategorematic expression is one that doesn’t refer to anything and whose linguistic function is strictly syntactical. Contemporary linguists make a similar distinction: they distinguish between “lexical” and “non-lexical” items: the former include “Smith,” “Jones,” “red,” and “cow”; the latter include “the,” “of,” and “nonetheless.” A lexical item is one that has a referent; a non-lexical item is one that does not, and whose purpose is strictly syntactic. (In other words, the purpose of a non-lexical items is simply to facilitate the unification of lexical items to form larger lexical items.)</w:t>
      </w:r>
    </w:p>
    <w:p w14:paraId="7E000A4D" w14:textId="77777777" w:rsidR="009A58DB" w:rsidRDefault="00000000">
      <w:pPr>
        <w:pStyle w:val="BodyText"/>
        <w:spacing w:before="8" w:line="249" w:lineRule="auto"/>
        <w:ind w:right="358" w:firstLine="360"/>
      </w:pPr>
      <w:r>
        <w:t>Even though there are many expressions that appear to denote properties, they are really syncategorematic non-lexical expressions. Words like “red” or “the property of redness” don’t refer to anything. This is not to say that they are</w:t>
      </w:r>
      <w:r>
        <w:rPr>
          <w:spacing w:val="52"/>
          <w:w w:val="150"/>
        </w:rPr>
        <w:t xml:space="preserve"> </w:t>
      </w:r>
      <w:r>
        <w:t>not</w:t>
      </w:r>
      <w:r>
        <w:rPr>
          <w:spacing w:val="54"/>
          <w:w w:val="150"/>
        </w:rPr>
        <w:t xml:space="preserve"> </w:t>
      </w:r>
      <w:r>
        <w:t>meaningful.</w:t>
      </w:r>
      <w:r>
        <w:rPr>
          <w:spacing w:val="54"/>
          <w:w w:val="150"/>
        </w:rPr>
        <w:t xml:space="preserve"> </w:t>
      </w:r>
      <w:r>
        <w:t>“Of”</w:t>
      </w:r>
      <w:r>
        <w:rPr>
          <w:spacing w:val="54"/>
          <w:w w:val="150"/>
        </w:rPr>
        <w:t xml:space="preserve"> </w:t>
      </w:r>
      <w:r>
        <w:t>is</w:t>
      </w:r>
      <w:r>
        <w:rPr>
          <w:spacing w:val="54"/>
          <w:w w:val="150"/>
        </w:rPr>
        <w:t xml:space="preserve"> </w:t>
      </w:r>
      <w:r>
        <w:t>meaningful,</w:t>
      </w:r>
      <w:r>
        <w:rPr>
          <w:spacing w:val="54"/>
          <w:w w:val="150"/>
        </w:rPr>
        <w:t xml:space="preserve"> </w:t>
      </w:r>
      <w:r>
        <w:t>even</w:t>
      </w:r>
      <w:r>
        <w:rPr>
          <w:spacing w:val="54"/>
          <w:w w:val="150"/>
        </w:rPr>
        <w:t xml:space="preserve"> </w:t>
      </w:r>
      <w:r>
        <w:t>though</w:t>
      </w:r>
      <w:r>
        <w:rPr>
          <w:spacing w:val="54"/>
          <w:w w:val="150"/>
        </w:rPr>
        <w:t xml:space="preserve"> </w:t>
      </w:r>
      <w:r>
        <w:t>it</w:t>
      </w:r>
      <w:r>
        <w:rPr>
          <w:spacing w:val="54"/>
          <w:w w:val="150"/>
        </w:rPr>
        <w:t xml:space="preserve"> </w:t>
      </w:r>
      <w:r>
        <w:t>doesn’t</w:t>
      </w:r>
      <w:r>
        <w:rPr>
          <w:spacing w:val="54"/>
          <w:w w:val="150"/>
        </w:rPr>
        <w:t xml:space="preserve"> </w:t>
      </w:r>
      <w:r>
        <w:rPr>
          <w:spacing w:val="-2"/>
        </w:rPr>
        <w:t>denote</w:t>
      </w:r>
    </w:p>
    <w:p w14:paraId="7E000A4E" w14:textId="77777777" w:rsidR="009A58DB" w:rsidRDefault="00000000">
      <w:pPr>
        <w:pStyle w:val="BodyText"/>
        <w:spacing w:before="5" w:line="277" w:lineRule="exact"/>
        <w:ind w:left="7439"/>
        <w:jc w:val="left"/>
      </w:pPr>
      <w:bookmarkStart w:id="114" w:name="_bookmark114"/>
      <w:bookmarkEnd w:id="114"/>
      <w:r>
        <w:rPr>
          <w:color w:val="0562C1"/>
          <w:spacing w:val="-4"/>
          <w:u w:val="single" w:color="0562C1"/>
        </w:rPr>
        <w:t>[54]</w:t>
      </w:r>
    </w:p>
    <w:p w14:paraId="7E000A4F" w14:textId="77777777" w:rsidR="009A58DB" w:rsidRDefault="00000000">
      <w:pPr>
        <w:pStyle w:val="BodyText"/>
        <w:spacing w:line="277" w:lineRule="exact"/>
        <w:jc w:val="left"/>
      </w:pPr>
      <w:r>
        <w:t>anything,</w:t>
      </w:r>
      <w:r>
        <w:rPr>
          <w:spacing w:val="-2"/>
        </w:rPr>
        <w:t xml:space="preserve"> </w:t>
      </w:r>
      <w:r>
        <w:t>and</w:t>
      </w:r>
      <w:r>
        <w:rPr>
          <w:spacing w:val="-2"/>
        </w:rPr>
        <w:t xml:space="preserve"> </w:t>
      </w:r>
      <w:r>
        <w:t>the</w:t>
      </w:r>
      <w:r>
        <w:rPr>
          <w:spacing w:val="-3"/>
        </w:rPr>
        <w:t xml:space="preserve"> </w:t>
      </w:r>
      <w:r>
        <w:t>same</w:t>
      </w:r>
      <w:r>
        <w:rPr>
          <w:spacing w:val="-2"/>
        </w:rPr>
        <w:t xml:space="preserve"> </w:t>
      </w:r>
      <w:r>
        <w:t>is</w:t>
      </w:r>
      <w:r>
        <w:rPr>
          <w:spacing w:val="-3"/>
        </w:rPr>
        <w:t xml:space="preserve"> </w:t>
      </w:r>
      <w:r>
        <w:t>true</w:t>
      </w:r>
      <w:r>
        <w:rPr>
          <w:spacing w:val="-3"/>
        </w:rPr>
        <w:t xml:space="preserve"> </w:t>
      </w:r>
      <w:r>
        <w:t>of</w:t>
      </w:r>
      <w:r>
        <w:rPr>
          <w:spacing w:val="-2"/>
        </w:rPr>
        <w:t xml:space="preserve"> </w:t>
      </w:r>
      <w:r>
        <w:t>“the</w:t>
      </w:r>
      <w:r>
        <w:rPr>
          <w:spacing w:val="-3"/>
        </w:rPr>
        <w:t xml:space="preserve"> </w:t>
      </w:r>
      <w:r>
        <w:t>property</w:t>
      </w:r>
      <w:r>
        <w:rPr>
          <w:spacing w:val="-2"/>
        </w:rPr>
        <w:t xml:space="preserve"> </w:t>
      </w:r>
      <w:r>
        <w:t>of</w:t>
      </w:r>
      <w:r>
        <w:rPr>
          <w:spacing w:val="-2"/>
        </w:rPr>
        <w:t xml:space="preserve"> redness.”</w:t>
      </w:r>
    </w:p>
    <w:p w14:paraId="7E000A50" w14:textId="77777777" w:rsidR="009A58DB" w:rsidRDefault="009A58DB">
      <w:pPr>
        <w:pStyle w:val="BodyText"/>
        <w:spacing w:before="30"/>
        <w:ind w:left="0"/>
        <w:jc w:val="left"/>
      </w:pPr>
    </w:p>
    <w:p w14:paraId="7E000A51" w14:textId="77777777" w:rsidR="009A58DB" w:rsidRDefault="00000000">
      <w:pPr>
        <w:pStyle w:val="BodyText"/>
        <w:spacing w:line="249" w:lineRule="auto"/>
        <w:ind w:right="361"/>
      </w:pPr>
      <w:r>
        <w:t>This argument evaluated: Expressions like “red” and “the property of redness” have very different logical properties from expressions that are known to be syncategorematic. If I know that:</w:t>
      </w:r>
    </w:p>
    <w:p w14:paraId="7E000A52" w14:textId="77777777" w:rsidR="009A58DB" w:rsidRDefault="009A58DB">
      <w:pPr>
        <w:pStyle w:val="BodyText"/>
        <w:spacing w:before="19"/>
        <w:ind w:left="0"/>
        <w:jc w:val="left"/>
      </w:pPr>
    </w:p>
    <w:p w14:paraId="7E000A53" w14:textId="77777777" w:rsidR="009A58DB" w:rsidRDefault="00000000">
      <w:pPr>
        <w:pStyle w:val="ListParagraph"/>
        <w:numPr>
          <w:ilvl w:val="0"/>
          <w:numId w:val="207"/>
        </w:numPr>
        <w:tabs>
          <w:tab w:val="left" w:pos="782"/>
        </w:tabs>
        <w:ind w:left="782" w:hanging="422"/>
        <w:rPr>
          <w:sz w:val="30"/>
        </w:rPr>
      </w:pPr>
      <w:r>
        <w:rPr>
          <w:sz w:val="30"/>
        </w:rPr>
        <w:t>x</w:t>
      </w:r>
      <w:r>
        <w:rPr>
          <w:spacing w:val="-1"/>
          <w:sz w:val="30"/>
        </w:rPr>
        <w:t xml:space="preserve"> </w:t>
      </w:r>
      <w:r>
        <w:rPr>
          <w:sz w:val="30"/>
        </w:rPr>
        <w:t>is</w:t>
      </w:r>
      <w:r>
        <w:rPr>
          <w:spacing w:val="-1"/>
          <w:sz w:val="30"/>
        </w:rPr>
        <w:t xml:space="preserve"> </w:t>
      </w:r>
      <w:r>
        <w:rPr>
          <w:spacing w:val="-5"/>
          <w:sz w:val="30"/>
        </w:rPr>
        <w:t>red</w:t>
      </w:r>
    </w:p>
    <w:p w14:paraId="7E000A54" w14:textId="77777777" w:rsidR="009A58DB" w:rsidRDefault="009A58DB">
      <w:pPr>
        <w:pStyle w:val="BodyText"/>
        <w:spacing w:before="30"/>
        <w:ind w:left="0"/>
        <w:jc w:val="left"/>
      </w:pPr>
    </w:p>
    <w:p w14:paraId="7E000A55" w14:textId="77777777" w:rsidR="009A58DB" w:rsidRDefault="00000000">
      <w:pPr>
        <w:pStyle w:val="BodyText"/>
      </w:pPr>
      <w:r>
        <w:t>is</w:t>
      </w:r>
      <w:r>
        <w:rPr>
          <w:spacing w:val="-4"/>
        </w:rPr>
        <w:t xml:space="preserve"> </w:t>
      </w:r>
      <w:r>
        <w:t>true,</w:t>
      </w:r>
      <w:r>
        <w:rPr>
          <w:spacing w:val="-2"/>
        </w:rPr>
        <w:t xml:space="preserve"> </w:t>
      </w:r>
      <w:r>
        <w:t>then</w:t>
      </w:r>
      <w:r>
        <w:rPr>
          <w:spacing w:val="-2"/>
        </w:rPr>
        <w:t xml:space="preserve"> </w:t>
      </w:r>
      <w:r>
        <w:t>I</w:t>
      </w:r>
      <w:r>
        <w:rPr>
          <w:spacing w:val="-4"/>
        </w:rPr>
        <w:t xml:space="preserve"> </w:t>
      </w:r>
      <w:r>
        <w:t>can</w:t>
      </w:r>
      <w:r>
        <w:rPr>
          <w:spacing w:val="-2"/>
        </w:rPr>
        <w:t xml:space="preserve"> </w:t>
      </w:r>
      <w:r>
        <w:t>logically</w:t>
      </w:r>
      <w:r>
        <w:rPr>
          <w:spacing w:val="-2"/>
        </w:rPr>
        <w:t xml:space="preserve"> </w:t>
      </w:r>
      <w:r>
        <w:rPr>
          <w:spacing w:val="-4"/>
        </w:rPr>
        <w:t>infer</w:t>
      </w:r>
    </w:p>
    <w:p w14:paraId="7E000A56" w14:textId="77777777" w:rsidR="009A58DB" w:rsidRDefault="009A58DB">
      <w:pPr>
        <w:pStyle w:val="BodyText"/>
        <w:spacing w:before="30"/>
        <w:ind w:left="0"/>
        <w:jc w:val="left"/>
      </w:pPr>
    </w:p>
    <w:p w14:paraId="7E000A57" w14:textId="77777777" w:rsidR="009A58DB" w:rsidRDefault="00000000">
      <w:pPr>
        <w:pStyle w:val="ListParagraph"/>
        <w:numPr>
          <w:ilvl w:val="0"/>
          <w:numId w:val="207"/>
        </w:numPr>
        <w:tabs>
          <w:tab w:val="left" w:pos="782"/>
        </w:tabs>
        <w:ind w:left="782" w:hanging="422"/>
        <w:rPr>
          <w:sz w:val="30"/>
        </w:rPr>
      </w:pPr>
      <w:r>
        <w:rPr>
          <w:sz w:val="30"/>
        </w:rPr>
        <w:t>There</w:t>
      </w:r>
      <w:r>
        <w:rPr>
          <w:spacing w:val="-5"/>
          <w:sz w:val="30"/>
        </w:rPr>
        <w:t xml:space="preserve"> </w:t>
      </w:r>
      <w:r>
        <w:rPr>
          <w:sz w:val="30"/>
        </w:rPr>
        <w:t>exists</w:t>
      </w:r>
      <w:r>
        <w:rPr>
          <w:spacing w:val="-3"/>
          <w:sz w:val="30"/>
        </w:rPr>
        <w:t xml:space="preserve"> </w:t>
      </w:r>
      <w:r>
        <w:rPr>
          <w:sz w:val="30"/>
        </w:rPr>
        <w:t>some</w:t>
      </w:r>
      <w:r>
        <w:rPr>
          <w:spacing w:val="-3"/>
          <w:sz w:val="30"/>
        </w:rPr>
        <w:t xml:space="preserve"> </w:t>
      </w:r>
      <w:r>
        <w:rPr>
          <w:sz w:val="30"/>
        </w:rPr>
        <w:t>color</w:t>
      </w:r>
      <w:r>
        <w:rPr>
          <w:spacing w:val="-3"/>
          <w:sz w:val="30"/>
        </w:rPr>
        <w:t xml:space="preserve"> </w:t>
      </w:r>
      <w:r>
        <w:rPr>
          <w:sz w:val="30"/>
        </w:rPr>
        <w:t>or</w:t>
      </w:r>
      <w:r>
        <w:rPr>
          <w:spacing w:val="-3"/>
          <w:sz w:val="30"/>
        </w:rPr>
        <w:t xml:space="preserve"> </w:t>
      </w:r>
      <w:r>
        <w:rPr>
          <w:sz w:val="30"/>
        </w:rPr>
        <w:t>other</w:t>
      </w:r>
      <w:r>
        <w:rPr>
          <w:spacing w:val="-3"/>
          <w:sz w:val="30"/>
        </w:rPr>
        <w:t xml:space="preserve"> </w:t>
      </w:r>
      <w:r>
        <w:rPr>
          <w:sz w:val="30"/>
        </w:rPr>
        <w:t>that</w:t>
      </w:r>
      <w:r>
        <w:rPr>
          <w:spacing w:val="-3"/>
          <w:sz w:val="30"/>
        </w:rPr>
        <w:t xml:space="preserve"> </w:t>
      </w:r>
      <w:r>
        <w:rPr>
          <w:sz w:val="30"/>
        </w:rPr>
        <w:t>x</w:t>
      </w:r>
      <w:r>
        <w:rPr>
          <w:spacing w:val="-1"/>
          <w:sz w:val="30"/>
        </w:rPr>
        <w:t xml:space="preserve"> </w:t>
      </w:r>
      <w:r>
        <w:rPr>
          <w:spacing w:val="-4"/>
          <w:sz w:val="30"/>
        </w:rPr>
        <w:t>has.</w:t>
      </w:r>
    </w:p>
    <w:p w14:paraId="7E000A58" w14:textId="77777777" w:rsidR="009A58DB" w:rsidRDefault="009A58DB">
      <w:pPr>
        <w:pStyle w:val="BodyText"/>
        <w:spacing w:before="30"/>
        <w:ind w:left="0"/>
        <w:jc w:val="left"/>
      </w:pPr>
    </w:p>
    <w:p w14:paraId="7E000A59" w14:textId="77777777" w:rsidR="009A58DB" w:rsidRDefault="00000000">
      <w:pPr>
        <w:pStyle w:val="BodyText"/>
        <w:spacing w:line="249" w:lineRule="auto"/>
        <w:ind w:right="358"/>
      </w:pPr>
      <w:r>
        <w:t>This</w:t>
      </w:r>
      <w:r>
        <w:rPr>
          <w:spacing w:val="-4"/>
        </w:rPr>
        <w:t xml:space="preserve"> </w:t>
      </w:r>
      <w:r>
        <w:t>inference</w:t>
      </w:r>
      <w:r>
        <w:rPr>
          <w:spacing w:val="-4"/>
        </w:rPr>
        <w:t xml:space="preserve"> </w:t>
      </w:r>
      <w:r>
        <w:t>involves</w:t>
      </w:r>
      <w:r>
        <w:rPr>
          <w:spacing w:val="-4"/>
        </w:rPr>
        <w:t xml:space="preserve"> </w:t>
      </w:r>
      <w:r>
        <w:t>affirming</w:t>
      </w:r>
      <w:r>
        <w:rPr>
          <w:spacing w:val="-3"/>
        </w:rPr>
        <w:t xml:space="preserve"> </w:t>
      </w:r>
      <w:r>
        <w:t>the</w:t>
      </w:r>
      <w:r>
        <w:rPr>
          <w:spacing w:val="-4"/>
        </w:rPr>
        <w:t xml:space="preserve"> </w:t>
      </w:r>
      <w:r>
        <w:t>existence</w:t>
      </w:r>
      <w:r>
        <w:rPr>
          <w:spacing w:val="-4"/>
        </w:rPr>
        <w:t xml:space="preserve"> </w:t>
      </w:r>
      <w:r>
        <w:t>of</w:t>
      </w:r>
      <w:r>
        <w:rPr>
          <w:spacing w:val="-4"/>
        </w:rPr>
        <w:t xml:space="preserve"> </w:t>
      </w:r>
      <w:r>
        <w:t>the</w:t>
      </w:r>
      <w:r>
        <w:rPr>
          <w:spacing w:val="-4"/>
        </w:rPr>
        <w:t xml:space="preserve"> </w:t>
      </w:r>
      <w:r>
        <w:t>thing</w:t>
      </w:r>
      <w:r>
        <w:rPr>
          <w:spacing w:val="-3"/>
        </w:rPr>
        <w:t xml:space="preserve"> </w:t>
      </w:r>
      <w:r>
        <w:t>meant</w:t>
      </w:r>
      <w:r>
        <w:rPr>
          <w:spacing w:val="-4"/>
        </w:rPr>
        <w:t xml:space="preserve"> </w:t>
      </w:r>
      <w:r>
        <w:t>by</w:t>
      </w:r>
      <w:r>
        <w:rPr>
          <w:spacing w:val="-3"/>
        </w:rPr>
        <w:t xml:space="preserve"> </w:t>
      </w:r>
      <w:r>
        <w:t>the</w:t>
      </w:r>
      <w:r>
        <w:rPr>
          <w:spacing w:val="-4"/>
        </w:rPr>
        <w:t xml:space="preserve"> </w:t>
      </w:r>
      <w:r>
        <w:t>term “red.” Many inferences have this structure. Given:</w:t>
      </w:r>
    </w:p>
    <w:p w14:paraId="7E000A5A" w14:textId="77777777" w:rsidR="009A58DB" w:rsidRDefault="009A58DB">
      <w:pPr>
        <w:pStyle w:val="BodyText"/>
        <w:spacing w:before="17"/>
        <w:ind w:left="0"/>
        <w:jc w:val="left"/>
      </w:pPr>
    </w:p>
    <w:p w14:paraId="7E000A5B" w14:textId="77777777" w:rsidR="009A58DB" w:rsidRDefault="00000000">
      <w:pPr>
        <w:pStyle w:val="ListParagraph"/>
        <w:numPr>
          <w:ilvl w:val="0"/>
          <w:numId w:val="207"/>
        </w:numPr>
        <w:tabs>
          <w:tab w:val="left" w:pos="782"/>
        </w:tabs>
        <w:spacing w:before="1"/>
        <w:ind w:left="782" w:hanging="422"/>
        <w:rPr>
          <w:sz w:val="30"/>
        </w:rPr>
      </w:pPr>
      <w:r>
        <w:rPr>
          <w:sz w:val="30"/>
        </w:rPr>
        <w:t>Fred</w:t>
      </w:r>
      <w:r>
        <w:rPr>
          <w:spacing w:val="-3"/>
          <w:sz w:val="30"/>
        </w:rPr>
        <w:t xml:space="preserve"> </w:t>
      </w:r>
      <w:r>
        <w:rPr>
          <w:sz w:val="30"/>
        </w:rPr>
        <w:t>is</w:t>
      </w:r>
      <w:r>
        <w:rPr>
          <w:spacing w:val="-3"/>
          <w:sz w:val="30"/>
        </w:rPr>
        <w:t xml:space="preserve"> </w:t>
      </w:r>
      <w:r>
        <w:rPr>
          <w:sz w:val="30"/>
        </w:rPr>
        <w:t>smart</w:t>
      </w:r>
      <w:r>
        <w:rPr>
          <w:spacing w:val="-3"/>
          <w:sz w:val="30"/>
        </w:rPr>
        <w:t xml:space="preserve"> </w:t>
      </w:r>
      <w:r>
        <w:rPr>
          <w:sz w:val="30"/>
        </w:rPr>
        <w:t>but</w:t>
      </w:r>
      <w:r>
        <w:rPr>
          <w:spacing w:val="-3"/>
          <w:sz w:val="30"/>
        </w:rPr>
        <w:t xml:space="preserve"> </w:t>
      </w:r>
      <w:r>
        <w:rPr>
          <w:sz w:val="30"/>
        </w:rPr>
        <w:t>Larry</w:t>
      </w:r>
      <w:r>
        <w:rPr>
          <w:spacing w:val="-2"/>
          <w:sz w:val="30"/>
        </w:rPr>
        <w:t xml:space="preserve"> </w:t>
      </w:r>
      <w:r>
        <w:rPr>
          <w:sz w:val="30"/>
        </w:rPr>
        <w:t>is</w:t>
      </w:r>
      <w:r>
        <w:rPr>
          <w:spacing w:val="-3"/>
          <w:sz w:val="30"/>
        </w:rPr>
        <w:t xml:space="preserve"> </w:t>
      </w:r>
      <w:r>
        <w:rPr>
          <w:spacing w:val="-4"/>
          <w:sz w:val="30"/>
        </w:rPr>
        <w:t>not,</w:t>
      </w:r>
    </w:p>
    <w:p w14:paraId="7E000A5C" w14:textId="77777777" w:rsidR="009A58DB" w:rsidRDefault="009A58DB">
      <w:pPr>
        <w:pStyle w:val="BodyText"/>
        <w:spacing w:before="29"/>
        <w:ind w:left="0"/>
        <w:jc w:val="left"/>
      </w:pPr>
    </w:p>
    <w:p w14:paraId="7E000A5D" w14:textId="77777777" w:rsidR="009A58DB" w:rsidRDefault="00000000">
      <w:pPr>
        <w:pStyle w:val="BodyText"/>
        <w:spacing w:before="1"/>
      </w:pPr>
      <w:r>
        <w:t>I</w:t>
      </w:r>
      <w:r>
        <w:rPr>
          <w:spacing w:val="-5"/>
        </w:rPr>
        <w:t xml:space="preserve"> </w:t>
      </w:r>
      <w:r>
        <w:t>can</w:t>
      </w:r>
      <w:r>
        <w:rPr>
          <w:spacing w:val="-2"/>
        </w:rPr>
        <w:t xml:space="preserve"> </w:t>
      </w:r>
      <w:r>
        <w:t>infer</w:t>
      </w:r>
      <w:r>
        <w:rPr>
          <w:spacing w:val="-2"/>
        </w:rPr>
        <w:t xml:space="preserve"> </w:t>
      </w:r>
      <w:r>
        <w:rPr>
          <w:spacing w:val="-4"/>
        </w:rPr>
        <w:t>that</w:t>
      </w:r>
    </w:p>
    <w:p w14:paraId="7E000A5E" w14:textId="77777777" w:rsidR="009A58DB" w:rsidRDefault="009A58DB">
      <w:pPr>
        <w:pStyle w:val="BodyText"/>
        <w:spacing w:before="29"/>
        <w:ind w:left="0"/>
        <w:jc w:val="left"/>
      </w:pPr>
    </w:p>
    <w:p w14:paraId="7E000A5F" w14:textId="77777777" w:rsidR="009A58DB" w:rsidRDefault="00000000">
      <w:pPr>
        <w:pStyle w:val="ListParagraph"/>
        <w:numPr>
          <w:ilvl w:val="0"/>
          <w:numId w:val="207"/>
        </w:numPr>
        <w:tabs>
          <w:tab w:val="left" w:pos="782"/>
        </w:tabs>
        <w:spacing w:before="1"/>
        <w:ind w:left="782" w:hanging="422"/>
        <w:rPr>
          <w:sz w:val="30"/>
        </w:rPr>
      </w:pPr>
      <w:r>
        <w:rPr>
          <w:sz w:val="30"/>
        </w:rPr>
        <w:t>there</w:t>
      </w:r>
      <w:r>
        <w:rPr>
          <w:spacing w:val="-6"/>
          <w:sz w:val="30"/>
        </w:rPr>
        <w:t xml:space="preserve"> </w:t>
      </w:r>
      <w:r>
        <w:rPr>
          <w:sz w:val="30"/>
        </w:rPr>
        <w:t>exists</w:t>
      </w:r>
      <w:r>
        <w:rPr>
          <w:spacing w:val="-4"/>
          <w:sz w:val="30"/>
        </w:rPr>
        <w:t xml:space="preserve"> </w:t>
      </w:r>
      <w:r>
        <w:rPr>
          <w:sz w:val="30"/>
        </w:rPr>
        <w:t>some</w:t>
      </w:r>
      <w:r>
        <w:rPr>
          <w:spacing w:val="-4"/>
          <w:sz w:val="30"/>
        </w:rPr>
        <w:t xml:space="preserve"> </w:t>
      </w:r>
      <w:r>
        <w:rPr>
          <w:sz w:val="30"/>
        </w:rPr>
        <w:t>property</w:t>
      </w:r>
      <w:r>
        <w:rPr>
          <w:spacing w:val="-3"/>
          <w:sz w:val="30"/>
        </w:rPr>
        <w:t xml:space="preserve"> </w:t>
      </w:r>
      <w:r>
        <w:rPr>
          <w:sz w:val="30"/>
        </w:rPr>
        <w:t>that</w:t>
      </w:r>
      <w:r>
        <w:rPr>
          <w:spacing w:val="-3"/>
          <w:sz w:val="30"/>
        </w:rPr>
        <w:t xml:space="preserve"> </w:t>
      </w:r>
      <w:r>
        <w:rPr>
          <w:sz w:val="30"/>
        </w:rPr>
        <w:t>Fred</w:t>
      </w:r>
      <w:r>
        <w:rPr>
          <w:spacing w:val="-3"/>
          <w:sz w:val="30"/>
        </w:rPr>
        <w:t xml:space="preserve"> </w:t>
      </w:r>
      <w:r>
        <w:rPr>
          <w:sz w:val="30"/>
        </w:rPr>
        <w:t>has</w:t>
      </w:r>
      <w:r>
        <w:rPr>
          <w:spacing w:val="-4"/>
          <w:sz w:val="30"/>
        </w:rPr>
        <w:t xml:space="preserve"> </w:t>
      </w:r>
      <w:r>
        <w:rPr>
          <w:sz w:val="30"/>
        </w:rPr>
        <w:t>that</w:t>
      </w:r>
      <w:r>
        <w:rPr>
          <w:spacing w:val="-4"/>
          <w:sz w:val="30"/>
        </w:rPr>
        <w:t xml:space="preserve"> </w:t>
      </w:r>
      <w:r>
        <w:rPr>
          <w:sz w:val="30"/>
        </w:rPr>
        <w:t>Larry</w:t>
      </w:r>
      <w:r>
        <w:rPr>
          <w:spacing w:val="-2"/>
          <w:sz w:val="30"/>
        </w:rPr>
        <w:t xml:space="preserve"> lacks.</w:t>
      </w:r>
    </w:p>
    <w:p w14:paraId="7E000A60"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0A61" w14:textId="77777777" w:rsidR="009A58DB" w:rsidRDefault="00000000">
      <w:pPr>
        <w:pStyle w:val="BodyText"/>
        <w:spacing w:before="65"/>
        <w:ind w:left="720"/>
      </w:pPr>
      <w:r>
        <w:lastRenderedPageBreak/>
        <w:t>Words</w:t>
      </w:r>
      <w:r>
        <w:rPr>
          <w:spacing w:val="-6"/>
        </w:rPr>
        <w:t xml:space="preserve"> </w:t>
      </w:r>
      <w:r>
        <w:t>like</w:t>
      </w:r>
      <w:r>
        <w:rPr>
          <w:spacing w:val="-3"/>
        </w:rPr>
        <w:t xml:space="preserve"> </w:t>
      </w:r>
      <w:r>
        <w:t>“of”</w:t>
      </w:r>
      <w:r>
        <w:rPr>
          <w:spacing w:val="-3"/>
        </w:rPr>
        <w:t xml:space="preserve"> </w:t>
      </w:r>
      <w:r>
        <w:t>don’t</w:t>
      </w:r>
      <w:r>
        <w:rPr>
          <w:spacing w:val="-3"/>
        </w:rPr>
        <w:t xml:space="preserve"> </w:t>
      </w:r>
      <w:r>
        <w:t>behave</w:t>
      </w:r>
      <w:r>
        <w:rPr>
          <w:spacing w:val="-4"/>
        </w:rPr>
        <w:t xml:space="preserve"> </w:t>
      </w:r>
      <w:r>
        <w:t>in</w:t>
      </w:r>
      <w:r>
        <w:rPr>
          <w:spacing w:val="-2"/>
        </w:rPr>
        <w:t xml:space="preserve"> </w:t>
      </w:r>
      <w:r>
        <w:t>a</w:t>
      </w:r>
      <w:r>
        <w:rPr>
          <w:spacing w:val="-3"/>
        </w:rPr>
        <w:t xml:space="preserve"> </w:t>
      </w:r>
      <w:r>
        <w:t>comparable</w:t>
      </w:r>
      <w:r>
        <w:rPr>
          <w:spacing w:val="-3"/>
        </w:rPr>
        <w:t xml:space="preserve"> </w:t>
      </w:r>
      <w:r>
        <w:t>manner.</w:t>
      </w:r>
      <w:r>
        <w:rPr>
          <w:spacing w:val="-2"/>
        </w:rPr>
        <w:t xml:space="preserve"> Consider:</w:t>
      </w:r>
    </w:p>
    <w:p w14:paraId="7E000A62" w14:textId="77777777" w:rsidR="009A58DB" w:rsidRDefault="009A58DB">
      <w:pPr>
        <w:pStyle w:val="BodyText"/>
        <w:ind w:left="0"/>
        <w:jc w:val="left"/>
      </w:pPr>
    </w:p>
    <w:p w14:paraId="7E000A63" w14:textId="77777777" w:rsidR="009A58DB" w:rsidRDefault="009A58DB">
      <w:pPr>
        <w:pStyle w:val="BodyText"/>
        <w:spacing w:before="45"/>
        <w:ind w:left="0"/>
        <w:jc w:val="left"/>
      </w:pPr>
    </w:p>
    <w:p w14:paraId="7E000A64" w14:textId="77777777" w:rsidR="009A58DB" w:rsidRDefault="00000000">
      <w:pPr>
        <w:pStyle w:val="BodyText"/>
        <w:spacing w:line="249" w:lineRule="auto"/>
        <w:ind w:right="364"/>
      </w:pPr>
      <w:r>
        <w:t>(4) There is a picture of Paul on the mantelpiece; nonetheless, I don’t think that the owner of the mantelpiece likes Paul, since the picture is an extremely unflattering one.</w:t>
      </w:r>
    </w:p>
    <w:p w14:paraId="7E000A65" w14:textId="77777777" w:rsidR="009A58DB" w:rsidRDefault="009A58DB">
      <w:pPr>
        <w:pStyle w:val="BodyText"/>
        <w:spacing w:before="18"/>
        <w:ind w:left="0"/>
        <w:jc w:val="left"/>
      </w:pPr>
    </w:p>
    <w:p w14:paraId="7E000A66" w14:textId="77777777" w:rsidR="009A58DB" w:rsidRDefault="00000000">
      <w:pPr>
        <w:pStyle w:val="BodyText"/>
        <w:spacing w:line="249" w:lineRule="auto"/>
        <w:ind w:right="369"/>
      </w:pPr>
      <w:r>
        <w:t>I can make many inferences from (4), but not a single one involves affirming the existence of something meant by “of” or “nonetheless.”</w:t>
      </w:r>
    </w:p>
    <w:p w14:paraId="7E000A67" w14:textId="77777777" w:rsidR="009A58DB" w:rsidRDefault="00000000">
      <w:pPr>
        <w:pStyle w:val="BodyText"/>
        <w:spacing w:before="3" w:line="249" w:lineRule="auto"/>
        <w:ind w:right="361" w:firstLine="360"/>
      </w:pPr>
      <w:r>
        <w:t>So it is not easy to make a case that words like “smart” and “red”—words that denote properties—lack referents and are really to be thought of on the model of purely syntactic terms like “of.”</w:t>
      </w:r>
    </w:p>
    <w:p w14:paraId="7E000A68" w14:textId="77777777" w:rsidR="009A58DB" w:rsidRDefault="00000000">
      <w:pPr>
        <w:pStyle w:val="BodyText"/>
        <w:spacing w:before="4" w:line="249" w:lineRule="auto"/>
        <w:ind w:right="362" w:firstLine="360"/>
      </w:pPr>
      <w:r>
        <w:t xml:space="preserve">There is another problem with Argument #1.Words are themselves universals. The word “red” isn’t identical with this or that ink mark or burst of noise. Given any inscription or burst of noise—given </w:t>
      </w:r>
      <w:r>
        <w:rPr>
          <w:i/>
        </w:rPr>
        <w:t xml:space="preserve">any </w:t>
      </w:r>
      <w:r>
        <w:t xml:space="preserve">spatiotemporal entity—that word can exist even if that spatiotemporal entity is destroyed. When you erase an inscription of the word “red,” you don’t erase </w:t>
      </w:r>
      <w:r>
        <w:rPr>
          <w:i/>
        </w:rPr>
        <w:t xml:space="preserve">the word itself. </w:t>
      </w:r>
      <w:r>
        <w:t xml:space="preserve">Inscriptions of words, and spoken utterances of them, are </w:t>
      </w:r>
      <w:r>
        <w:rPr>
          <w:i/>
        </w:rPr>
        <w:t xml:space="preserve">instances </w:t>
      </w:r>
      <w:r>
        <w:t xml:space="preserve">of words, not words </w:t>
      </w:r>
      <w:r>
        <w:rPr>
          <w:i/>
        </w:rPr>
        <w:t xml:space="preserve">per se. </w:t>
      </w:r>
      <w:r>
        <w:t xml:space="preserve">Words themselves are </w:t>
      </w:r>
      <w:r>
        <w:rPr>
          <w:i/>
        </w:rPr>
        <w:t xml:space="preserve">properties </w:t>
      </w:r>
      <w:r>
        <w:t>of such physical entities. We’ll pick this up later.</w:t>
      </w:r>
    </w:p>
    <w:p w14:paraId="7E000A69" w14:textId="77777777" w:rsidR="009A58DB" w:rsidRDefault="00000000">
      <w:pPr>
        <w:pStyle w:val="Heading1"/>
        <w:numPr>
          <w:ilvl w:val="1"/>
          <w:numId w:val="206"/>
        </w:numPr>
        <w:tabs>
          <w:tab w:val="left" w:pos="990"/>
        </w:tabs>
        <w:spacing w:before="197"/>
        <w:jc w:val="both"/>
      </w:pPr>
      <w:r>
        <w:t>Argument</w:t>
      </w:r>
      <w:r>
        <w:rPr>
          <w:spacing w:val="-9"/>
        </w:rPr>
        <w:t xml:space="preserve"> </w:t>
      </w:r>
      <w:r>
        <w:rPr>
          <w:spacing w:val="-5"/>
        </w:rPr>
        <w:t>#2</w:t>
      </w:r>
    </w:p>
    <w:p w14:paraId="7E000A6A" w14:textId="77777777" w:rsidR="009A58DB" w:rsidRDefault="00000000">
      <w:pPr>
        <w:pStyle w:val="BodyText"/>
        <w:spacing w:before="139" w:line="249" w:lineRule="auto"/>
        <w:ind w:left="630" w:right="359"/>
      </w:pPr>
      <w:r>
        <w:t xml:space="preserve">Although properties exist, they are identical with spatiotemporal entities. The property of being a rock is identical with the </w:t>
      </w:r>
      <w:r>
        <w:rPr>
          <w:i/>
        </w:rPr>
        <w:t xml:space="preserve">set </w:t>
      </w:r>
      <w:r>
        <w:t>of rocks. And the set of rocks is a spatiotemporal entity. That set, after all, is simply a very spread out object that consists of rocks.</w:t>
      </w:r>
    </w:p>
    <w:p w14:paraId="7E000A6B" w14:textId="77777777" w:rsidR="009A58DB" w:rsidRDefault="009A58DB">
      <w:pPr>
        <w:pStyle w:val="BodyText"/>
        <w:spacing w:before="20"/>
        <w:ind w:left="0"/>
        <w:jc w:val="left"/>
      </w:pPr>
    </w:p>
    <w:p w14:paraId="7E000A6C" w14:textId="77777777" w:rsidR="009A58DB" w:rsidRDefault="00000000">
      <w:pPr>
        <w:pStyle w:val="BodyText"/>
        <w:spacing w:line="249" w:lineRule="auto"/>
        <w:ind w:right="359"/>
      </w:pPr>
      <w:r>
        <w:t xml:space="preserve">This argument evaluated: (The first two paragraphs of this section repeat many of the points made in Sections 1.0–1.5.) This answer is no good. Sets are abstract objects. They don’t have space-time coordinates. The </w:t>
      </w:r>
      <w:r>
        <w:rPr>
          <w:i/>
        </w:rPr>
        <w:t>set</w:t>
      </w:r>
      <w:r>
        <w:rPr>
          <w:i/>
          <w:spacing w:val="-4"/>
        </w:rPr>
        <w:t xml:space="preserve"> </w:t>
      </w:r>
      <w:r>
        <w:t>of</w:t>
      </w:r>
      <w:r>
        <w:rPr>
          <w:spacing w:val="-4"/>
        </w:rPr>
        <w:t xml:space="preserve"> </w:t>
      </w:r>
      <w:r>
        <w:t>rocks is not some big rock and it</w:t>
      </w:r>
      <w:r>
        <w:rPr>
          <w:spacing w:val="-1"/>
        </w:rPr>
        <w:t xml:space="preserve"> </w:t>
      </w:r>
      <w:r>
        <w:t>isn’t some big object</w:t>
      </w:r>
      <w:r>
        <w:rPr>
          <w:spacing w:val="-1"/>
        </w:rPr>
        <w:t xml:space="preserve"> </w:t>
      </w:r>
      <w:r>
        <w:t>consisting of rocks separated by stretches of empty space. If all the rocks in the world move to some new place, and none are destroyed, the set of rocks hasn’t changed at all: it is the same as it was before. But, under those circumstances, any object consisting</w:t>
      </w:r>
    </w:p>
    <w:p w14:paraId="7E000A6D"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A6E" w14:textId="77777777" w:rsidR="009A58DB" w:rsidRDefault="00000000">
      <w:pPr>
        <w:pStyle w:val="BodyText"/>
        <w:spacing w:before="60" w:line="249" w:lineRule="auto"/>
        <w:ind w:right="367"/>
      </w:pPr>
      <w:r>
        <w:lastRenderedPageBreak/>
        <w:t xml:space="preserve">of all the rocks in the world </w:t>
      </w:r>
      <w:r>
        <w:rPr>
          <w:i/>
        </w:rPr>
        <w:t xml:space="preserve">has </w:t>
      </w:r>
      <w:r>
        <w:t>changed: it has acquired a new location (or, in any case, it has undergone an internal structural change).</w:t>
      </w:r>
    </w:p>
    <w:p w14:paraId="7E000A6F" w14:textId="77777777" w:rsidR="009A58DB" w:rsidRDefault="00000000">
      <w:pPr>
        <w:pStyle w:val="BodyText"/>
        <w:spacing w:before="7" w:line="249" w:lineRule="auto"/>
        <w:ind w:right="359" w:firstLine="360"/>
      </w:pPr>
      <w:r>
        <w:t xml:space="preserve">A set is a mathematical entity; it has no location and is defined entirely by its formal properties. </w:t>
      </w:r>
      <w:r>
        <w:rPr>
          <w:i/>
        </w:rPr>
        <w:t xml:space="preserve">Where </w:t>
      </w:r>
      <w:r>
        <w:t>its members are, and what they are doing, is irrelevant (so long as its members don’t cease to exist). But any object that is actually</w:t>
      </w:r>
      <w:r>
        <w:rPr>
          <w:spacing w:val="-2"/>
        </w:rPr>
        <w:t xml:space="preserve"> </w:t>
      </w:r>
      <w:r>
        <w:rPr>
          <w:i/>
        </w:rPr>
        <w:t>composed</w:t>
      </w:r>
      <w:r>
        <w:rPr>
          <w:i/>
          <w:spacing w:val="-3"/>
        </w:rPr>
        <w:t xml:space="preserve"> </w:t>
      </w:r>
      <w:r>
        <w:t xml:space="preserve">of all the rocks in the world </w:t>
      </w:r>
      <w:r>
        <w:rPr>
          <w:i/>
        </w:rPr>
        <w:t xml:space="preserve">is </w:t>
      </w:r>
      <w:r>
        <w:t xml:space="preserve">affected by the movements of their members, and thus cannot be identified with sets. (Of course, it is unclear whether there is such an object—an issue we’ll revisit shortly—but what is clear is that </w:t>
      </w:r>
      <w:r>
        <w:rPr>
          <w:i/>
        </w:rPr>
        <w:t xml:space="preserve">if </w:t>
      </w:r>
      <w:r>
        <w:t xml:space="preserve">there is, </w:t>
      </w:r>
      <w:r>
        <w:rPr>
          <w:i/>
        </w:rPr>
        <w:t xml:space="preserve">then </w:t>
      </w:r>
      <w:r>
        <w:t xml:space="preserve">it is affected by movements of the kind just described.) Thus, sets aren’t spatiotemporal entities. Consequently, they are </w:t>
      </w:r>
      <w:r>
        <w:rPr>
          <w:i/>
        </w:rPr>
        <w:t xml:space="preserve">themselves </w:t>
      </w:r>
      <w:r>
        <w:t>Platonic entities. So one is conceding the truth of Platonism, not undermining it, by identifying properties with sets.</w:t>
      </w:r>
    </w:p>
    <w:p w14:paraId="7E000A70" w14:textId="77777777" w:rsidR="009A58DB" w:rsidRDefault="00000000">
      <w:pPr>
        <w:pStyle w:val="BodyText"/>
        <w:spacing w:before="12" w:line="249" w:lineRule="auto"/>
        <w:ind w:right="365" w:firstLine="360"/>
        <w:rPr>
          <w:i/>
        </w:rPr>
      </w:pPr>
      <w:r>
        <w:t xml:space="preserve">Aware that, for the reasons just given, sets cannot be identified with sets, philosophers of an anti-Platonist bent have sometimes chosen to identify properties with what are referred to by contemporary philosophers as </w:t>
      </w:r>
      <w:r>
        <w:rPr>
          <w:i/>
        </w:rPr>
        <w:t>scattered objects.</w:t>
      </w:r>
    </w:p>
    <w:p w14:paraId="7E000A71" w14:textId="77777777" w:rsidR="009A58DB" w:rsidRDefault="00000000">
      <w:pPr>
        <w:pStyle w:val="BodyText"/>
        <w:spacing w:before="5" w:line="249" w:lineRule="auto"/>
        <w:ind w:right="364" w:firstLine="360"/>
      </w:pPr>
      <w:r>
        <w:t>What is a scattered object? Ordinary objects are geographically and dynamically cohesive. Consider your back-pack. If you move one of the straps ten feet across the room, you have moved the whole bag across the room (unless, of course, you’ve damaged the bag in some way). And even though (at the microscopic level) the bag consists mostly of empty space, all of its parts occupy one, fairly compact, relatively continuous region of space-</w:t>
      </w:r>
      <w:r>
        <w:rPr>
          <w:spacing w:val="-2"/>
        </w:rPr>
        <w:t>time.</w:t>
      </w:r>
    </w:p>
    <w:p w14:paraId="7E000A72" w14:textId="77777777" w:rsidR="009A58DB" w:rsidRDefault="00000000">
      <w:pPr>
        <w:pStyle w:val="BodyText"/>
        <w:spacing w:before="9" w:line="249" w:lineRule="auto"/>
        <w:ind w:right="358" w:firstLine="360"/>
      </w:pPr>
      <w:r>
        <w:t xml:space="preserve">Now consider all the rocks in the universe. Those rocks clearly </w:t>
      </w:r>
      <w:r>
        <w:rPr>
          <w:i/>
        </w:rPr>
        <w:t xml:space="preserve">don’t </w:t>
      </w:r>
      <w:r>
        <w:t>constitute a dynamically or geographically integrated unit. Supposing that those rocks collectively constitute any object at all, the object they constitute is a “scattered object.” In general, a scattered object is one that lacks the cohesiveness and dynamic integrity of ordinary objects. According to some anti-Platonists, properties are scattered objects. Is this correct?</w:t>
      </w:r>
    </w:p>
    <w:p w14:paraId="7E000A73" w14:textId="77777777" w:rsidR="009A58DB" w:rsidRDefault="00000000">
      <w:pPr>
        <w:pStyle w:val="BodyText"/>
        <w:spacing w:before="7" w:line="249" w:lineRule="auto"/>
        <w:ind w:right="360" w:firstLine="360"/>
      </w:pPr>
      <w:r>
        <w:t>No. There are no scattered objects. The very concept of such a thing is an incoherent one. In Chapter 16, we’ll see why. Here’s an outline of what we said. If spatially disjoint entities are to constitute a single spatiotemporal object, their interactions must be characterized by a certain regularity and predictability. Since it cannot be known without doing empirical research whether the various rocks in the world have this property, it cannot be said whether</w:t>
      </w:r>
      <w:r>
        <w:rPr>
          <w:spacing w:val="80"/>
        </w:rPr>
        <w:t xml:space="preserve"> </w:t>
      </w:r>
      <w:r>
        <w:t>there</w:t>
      </w:r>
      <w:r>
        <w:rPr>
          <w:spacing w:val="80"/>
        </w:rPr>
        <w:t xml:space="preserve"> </w:t>
      </w:r>
      <w:r>
        <w:t>is</w:t>
      </w:r>
      <w:r>
        <w:rPr>
          <w:spacing w:val="80"/>
        </w:rPr>
        <w:t xml:space="preserve"> </w:t>
      </w:r>
      <w:r>
        <w:t>some</w:t>
      </w:r>
      <w:r>
        <w:rPr>
          <w:spacing w:val="80"/>
        </w:rPr>
        <w:t xml:space="preserve"> </w:t>
      </w:r>
      <w:r>
        <w:t>“scattered</w:t>
      </w:r>
      <w:r>
        <w:rPr>
          <w:spacing w:val="80"/>
        </w:rPr>
        <w:t xml:space="preserve"> </w:t>
      </w:r>
      <w:r>
        <w:t>object”</w:t>
      </w:r>
      <w:r>
        <w:rPr>
          <w:spacing w:val="80"/>
        </w:rPr>
        <w:t xml:space="preserve"> </w:t>
      </w:r>
      <w:r>
        <w:t>consisting</w:t>
      </w:r>
      <w:r>
        <w:rPr>
          <w:spacing w:val="80"/>
        </w:rPr>
        <w:t xml:space="preserve"> </w:t>
      </w:r>
      <w:r>
        <w:t>of</w:t>
      </w:r>
      <w:r>
        <w:rPr>
          <w:spacing w:val="80"/>
        </w:rPr>
        <w:t xml:space="preserve"> </w:t>
      </w:r>
      <w:r>
        <w:t>all</w:t>
      </w:r>
      <w:r>
        <w:rPr>
          <w:spacing w:val="80"/>
        </w:rPr>
        <w:t xml:space="preserve"> </w:t>
      </w:r>
      <w:r>
        <w:t>the</w:t>
      </w:r>
      <w:r>
        <w:rPr>
          <w:spacing w:val="80"/>
        </w:rPr>
        <w:t xml:space="preserve"> </w:t>
      </w:r>
      <w:r>
        <w:t>rocks</w:t>
      </w:r>
      <w:r>
        <w:rPr>
          <w:spacing w:val="80"/>
        </w:rPr>
        <w:t xml:space="preserve"> </w:t>
      </w:r>
      <w:r>
        <w:t>in</w:t>
      </w:r>
    </w:p>
    <w:p w14:paraId="7E000A7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75" w14:textId="77777777" w:rsidR="009A58DB" w:rsidRDefault="00000000">
      <w:pPr>
        <w:pStyle w:val="BodyText"/>
        <w:spacing w:before="65"/>
        <w:jc w:val="left"/>
      </w:pPr>
      <w:r>
        <w:rPr>
          <w:spacing w:val="-2"/>
        </w:rPr>
        <w:lastRenderedPageBreak/>
        <w:t>existence.</w:t>
      </w:r>
    </w:p>
    <w:p w14:paraId="7E000A76" w14:textId="77777777" w:rsidR="009A58DB" w:rsidRDefault="00000000">
      <w:pPr>
        <w:pStyle w:val="BodyText"/>
        <w:spacing w:before="15" w:line="249" w:lineRule="auto"/>
        <w:ind w:right="357" w:firstLine="360"/>
      </w:pPr>
      <w:r>
        <w:t>But even if scattered objects do exist, properties aren’t identical with</w:t>
      </w:r>
      <w:r>
        <w:rPr>
          <w:spacing w:val="40"/>
        </w:rPr>
        <w:t xml:space="preserve"> </w:t>
      </w:r>
      <w:r>
        <w:t>them. Let R be some scattered object composed of all the rocks in the universe. If you destroy half of the rocks in the world, you have changed the just-mentioned scattered object. But you haven’t changed the conditions that a thing must satisfy to be a rock. (To be a rock, a thing must still have a certain</w:t>
      </w:r>
      <w:r>
        <w:rPr>
          <w:spacing w:val="-2"/>
        </w:rPr>
        <w:t xml:space="preserve"> </w:t>
      </w:r>
      <w:r>
        <w:t>microstructure,</w:t>
      </w:r>
      <w:r>
        <w:rPr>
          <w:spacing w:val="-2"/>
        </w:rPr>
        <w:t xml:space="preserve"> </w:t>
      </w:r>
      <w:r>
        <w:t>or</w:t>
      </w:r>
      <w:r>
        <w:rPr>
          <w:spacing w:val="-2"/>
        </w:rPr>
        <w:t xml:space="preserve"> </w:t>
      </w:r>
      <w:r>
        <w:t>whatnot.)</w:t>
      </w:r>
      <w:r>
        <w:rPr>
          <w:spacing w:val="-2"/>
        </w:rPr>
        <w:t xml:space="preserve"> </w:t>
      </w:r>
      <w:r>
        <w:t>Therefore,</w:t>
      </w:r>
      <w:r>
        <w:rPr>
          <w:spacing w:val="-2"/>
        </w:rPr>
        <w:t xml:space="preserve"> </w:t>
      </w:r>
      <w:r>
        <w:t>you</w:t>
      </w:r>
      <w:r>
        <w:rPr>
          <w:spacing w:val="-2"/>
        </w:rPr>
        <w:t xml:space="preserve"> </w:t>
      </w:r>
      <w:r>
        <w:t>haven’t</w:t>
      </w:r>
      <w:r>
        <w:rPr>
          <w:spacing w:val="-2"/>
        </w:rPr>
        <w:t xml:space="preserve"> </w:t>
      </w:r>
      <w:r>
        <w:t>changed</w:t>
      </w:r>
      <w:r>
        <w:rPr>
          <w:spacing w:val="-2"/>
        </w:rPr>
        <w:t xml:space="preserve"> </w:t>
      </w:r>
      <w:r>
        <w:t>what</w:t>
      </w:r>
      <w:r>
        <w:rPr>
          <w:spacing w:val="-2"/>
        </w:rPr>
        <w:t xml:space="preserve"> </w:t>
      </w:r>
      <w:r>
        <w:t>it</w:t>
      </w:r>
      <w:r>
        <w:rPr>
          <w:spacing w:val="-2"/>
        </w:rPr>
        <w:t xml:space="preserve"> </w:t>
      </w:r>
      <w:r>
        <w:t xml:space="preserve">is to be a rock or, consequently, the property of being a rock. So, by Leibniz’s Law, that scattered object, if it even exists, cannot be identified with the property of being a rock. Given any other property, the same points </w:t>
      </w:r>
      <w:r>
        <w:rPr>
          <w:i/>
        </w:rPr>
        <w:t xml:space="preserve">mutatis mutandis </w:t>
      </w:r>
      <w:r>
        <w:t>show it not to be a scattered object.</w:t>
      </w:r>
    </w:p>
    <w:p w14:paraId="7E000A77" w14:textId="77777777" w:rsidR="009A58DB" w:rsidRDefault="00000000">
      <w:pPr>
        <w:pStyle w:val="Heading1"/>
        <w:numPr>
          <w:ilvl w:val="1"/>
          <w:numId w:val="206"/>
        </w:numPr>
        <w:tabs>
          <w:tab w:val="left" w:pos="990"/>
        </w:tabs>
        <w:spacing w:before="200"/>
      </w:pPr>
      <w:r>
        <w:t>Argument</w:t>
      </w:r>
      <w:r>
        <w:rPr>
          <w:spacing w:val="-7"/>
        </w:rPr>
        <w:t xml:space="preserve"> </w:t>
      </w:r>
      <w:r>
        <w:t>#3:</w:t>
      </w:r>
      <w:r>
        <w:rPr>
          <w:spacing w:val="-5"/>
        </w:rPr>
        <w:t xml:space="preserve"> </w:t>
      </w:r>
      <w:r>
        <w:t>The</w:t>
      </w:r>
      <w:r>
        <w:rPr>
          <w:spacing w:val="-5"/>
        </w:rPr>
        <w:t xml:space="preserve"> </w:t>
      </w:r>
      <w:r>
        <w:t>third-man</w:t>
      </w:r>
      <w:r>
        <w:rPr>
          <w:spacing w:val="-4"/>
        </w:rPr>
        <w:t xml:space="preserve"> </w:t>
      </w:r>
      <w:r>
        <w:rPr>
          <w:spacing w:val="-2"/>
        </w:rPr>
        <w:t>argument</w:t>
      </w:r>
    </w:p>
    <w:p w14:paraId="7E000A78" w14:textId="77777777" w:rsidR="009A58DB" w:rsidRDefault="00000000">
      <w:pPr>
        <w:pStyle w:val="BodyText"/>
        <w:spacing w:before="139" w:line="249" w:lineRule="auto"/>
        <w:ind w:left="720" w:right="360"/>
      </w:pPr>
      <w:r>
        <w:t>According to Platonism, any given spatiotemporal entity is an instance of at least one property, and for two spatiotemporal entities to resemble each other in some respect is for there to be some property of which each is an instance. Presumably, properties must resemble their instances. For example,</w:t>
      </w:r>
      <w:r>
        <w:rPr>
          <w:spacing w:val="-1"/>
        </w:rPr>
        <w:t xml:space="preserve"> </w:t>
      </w:r>
      <w:r>
        <w:t>the property of</w:t>
      </w:r>
      <w:r>
        <w:rPr>
          <w:spacing w:val="-1"/>
        </w:rPr>
        <w:t xml:space="preserve"> </w:t>
      </w:r>
      <w:r>
        <w:t>being</w:t>
      </w:r>
      <w:r>
        <w:rPr>
          <w:spacing w:val="-1"/>
        </w:rPr>
        <w:t xml:space="preserve"> </w:t>
      </w:r>
      <w:r>
        <w:t>triangular</w:t>
      </w:r>
      <w:r>
        <w:rPr>
          <w:spacing w:val="-1"/>
        </w:rPr>
        <w:t xml:space="preserve"> </w:t>
      </w:r>
      <w:r>
        <w:t>must</w:t>
      </w:r>
      <w:r>
        <w:rPr>
          <w:spacing w:val="-1"/>
        </w:rPr>
        <w:t xml:space="preserve"> </w:t>
      </w:r>
      <w:r>
        <w:t>itself</w:t>
      </w:r>
      <w:r>
        <w:rPr>
          <w:spacing w:val="-1"/>
        </w:rPr>
        <w:t xml:space="preserve"> </w:t>
      </w:r>
      <w:r>
        <w:t>be triangular. Bearing this in mind, let T be the property of being triangular, and let x be an arbitrary triangle. If Platonism is correct, it follows that there is some property T</w:t>
      </w:r>
      <w:r>
        <w:rPr>
          <w:vertAlign w:val="subscript"/>
        </w:rPr>
        <w:t>1</w:t>
      </w:r>
      <w:r>
        <w:t xml:space="preserve"> such that T and x are both instances of T</w:t>
      </w:r>
      <w:r>
        <w:rPr>
          <w:vertAlign w:val="subscript"/>
        </w:rPr>
        <w:t>1</w:t>
      </w:r>
      <w:r>
        <w:t xml:space="preserve"> and such that it is in</w:t>
      </w:r>
    </w:p>
    <w:p w14:paraId="7E000A79" w14:textId="77777777" w:rsidR="009A58DB" w:rsidRDefault="00000000">
      <w:pPr>
        <w:pStyle w:val="BodyText"/>
        <w:spacing w:before="70" w:line="271" w:lineRule="auto"/>
        <w:ind w:left="720" w:right="357"/>
      </w:pPr>
      <w:r>
        <w:t>virtue of their both being instances of T</w:t>
      </w:r>
      <w:r>
        <w:rPr>
          <w:vertAlign w:val="subscript"/>
        </w:rPr>
        <w:t>1</w:t>
      </w:r>
      <w:r>
        <w:t xml:space="preserve"> that they are triangular. Given that,</w:t>
      </w:r>
      <w:r>
        <w:rPr>
          <w:spacing w:val="-1"/>
        </w:rPr>
        <w:t xml:space="preserve"> </w:t>
      </w:r>
      <w:r>
        <w:t>according</w:t>
      </w:r>
      <w:r>
        <w:rPr>
          <w:spacing w:val="-1"/>
        </w:rPr>
        <w:t xml:space="preserve"> </w:t>
      </w:r>
      <w:r>
        <w:t>to</w:t>
      </w:r>
      <w:r>
        <w:rPr>
          <w:spacing w:val="-1"/>
        </w:rPr>
        <w:t xml:space="preserve"> </w:t>
      </w:r>
      <w:r>
        <w:t>Platonism,</w:t>
      </w:r>
      <w:r>
        <w:rPr>
          <w:spacing w:val="-1"/>
        </w:rPr>
        <w:t xml:space="preserve"> </w:t>
      </w:r>
      <w:r>
        <w:t>properties</w:t>
      </w:r>
      <w:r>
        <w:rPr>
          <w:spacing w:val="-1"/>
        </w:rPr>
        <w:t xml:space="preserve"> </w:t>
      </w:r>
      <w:r>
        <w:t>resemble</w:t>
      </w:r>
      <w:r>
        <w:rPr>
          <w:spacing w:val="-1"/>
        </w:rPr>
        <w:t xml:space="preserve"> </w:t>
      </w:r>
      <w:r>
        <w:t>their</w:t>
      </w:r>
      <w:r>
        <w:rPr>
          <w:spacing w:val="-1"/>
        </w:rPr>
        <w:t xml:space="preserve"> </w:t>
      </w:r>
      <w:r>
        <w:t>instances,</w:t>
      </w:r>
      <w:r>
        <w:rPr>
          <w:spacing w:val="-1"/>
        </w:rPr>
        <w:t xml:space="preserve"> </w:t>
      </w:r>
      <w:r>
        <w:t>it</w:t>
      </w:r>
      <w:r>
        <w:rPr>
          <w:spacing w:val="-1"/>
        </w:rPr>
        <w:t xml:space="preserve"> </w:t>
      </w:r>
      <w:r>
        <w:t>follows that</w:t>
      </w:r>
      <w:r>
        <w:rPr>
          <w:spacing w:val="45"/>
        </w:rPr>
        <w:t xml:space="preserve"> </w:t>
      </w:r>
      <w:r>
        <w:t>T</w:t>
      </w:r>
      <w:r>
        <w:rPr>
          <w:vertAlign w:val="subscript"/>
        </w:rPr>
        <w:t>1</w:t>
      </w:r>
      <w:r>
        <w:rPr>
          <w:spacing w:val="58"/>
        </w:rPr>
        <w:t xml:space="preserve"> </w:t>
      </w:r>
      <w:r>
        <w:t>must</w:t>
      </w:r>
      <w:r>
        <w:rPr>
          <w:spacing w:val="58"/>
        </w:rPr>
        <w:t xml:space="preserve"> </w:t>
      </w:r>
      <w:r>
        <w:t>resemble</w:t>
      </w:r>
      <w:r>
        <w:rPr>
          <w:spacing w:val="58"/>
        </w:rPr>
        <w:t xml:space="preserve"> </w:t>
      </w:r>
      <w:r>
        <w:t>each</w:t>
      </w:r>
      <w:r>
        <w:rPr>
          <w:spacing w:val="58"/>
        </w:rPr>
        <w:t xml:space="preserve"> </w:t>
      </w:r>
      <w:r>
        <w:t>of</w:t>
      </w:r>
      <w:r>
        <w:rPr>
          <w:spacing w:val="58"/>
        </w:rPr>
        <w:t xml:space="preserve"> </w:t>
      </w:r>
      <w:r>
        <w:t>T</w:t>
      </w:r>
      <w:r>
        <w:rPr>
          <w:spacing w:val="58"/>
        </w:rPr>
        <w:t xml:space="preserve"> </w:t>
      </w:r>
      <w:r>
        <w:t>and</w:t>
      </w:r>
      <w:r>
        <w:rPr>
          <w:spacing w:val="58"/>
        </w:rPr>
        <w:t xml:space="preserve"> </w:t>
      </w:r>
      <w:r>
        <w:t>x.</w:t>
      </w:r>
      <w:r>
        <w:rPr>
          <w:spacing w:val="59"/>
        </w:rPr>
        <w:t xml:space="preserve"> </w:t>
      </w:r>
      <w:r>
        <w:t>In</w:t>
      </w:r>
      <w:r>
        <w:rPr>
          <w:spacing w:val="58"/>
        </w:rPr>
        <w:t xml:space="preserve"> </w:t>
      </w:r>
      <w:r>
        <w:t>other</w:t>
      </w:r>
      <w:r>
        <w:rPr>
          <w:spacing w:val="58"/>
        </w:rPr>
        <w:t xml:space="preserve"> </w:t>
      </w:r>
      <w:r>
        <w:t>words,</w:t>
      </w:r>
      <w:r>
        <w:rPr>
          <w:spacing w:val="58"/>
        </w:rPr>
        <w:t xml:space="preserve"> </w:t>
      </w:r>
      <w:r>
        <w:t>T</w:t>
      </w:r>
      <w:r>
        <w:rPr>
          <w:vertAlign w:val="subscript"/>
        </w:rPr>
        <w:t>1</w:t>
      </w:r>
      <w:r>
        <w:rPr>
          <w:spacing w:val="61"/>
        </w:rPr>
        <w:t xml:space="preserve"> </w:t>
      </w:r>
      <w:r>
        <w:t>must</w:t>
      </w:r>
      <w:r>
        <w:rPr>
          <w:spacing w:val="60"/>
        </w:rPr>
        <w:t xml:space="preserve"> </w:t>
      </w:r>
      <w:r>
        <w:t>be</w:t>
      </w:r>
      <w:r>
        <w:rPr>
          <w:spacing w:val="60"/>
        </w:rPr>
        <w:t xml:space="preserve"> </w:t>
      </w:r>
      <w:r>
        <w:rPr>
          <w:spacing w:val="-10"/>
        </w:rPr>
        <w:t>a</w:t>
      </w:r>
    </w:p>
    <w:p w14:paraId="7E000A7A" w14:textId="77777777" w:rsidR="009A58DB" w:rsidRDefault="00000000">
      <w:pPr>
        <w:pStyle w:val="BodyText"/>
        <w:spacing w:before="30" w:line="249" w:lineRule="auto"/>
        <w:ind w:left="720" w:right="364"/>
      </w:pPr>
      <w:r>
        <w:t>triangle. It follows that, if Platonism is correct, there must be some property</w:t>
      </w:r>
      <w:r>
        <w:rPr>
          <w:spacing w:val="-2"/>
        </w:rPr>
        <w:t xml:space="preserve"> </w:t>
      </w:r>
      <w:r>
        <w:t>T</w:t>
      </w:r>
      <w:r>
        <w:rPr>
          <w:position w:val="-7"/>
          <w:sz w:val="22"/>
        </w:rPr>
        <w:t xml:space="preserve">2 </w:t>
      </w:r>
      <w:r>
        <w:t>such that each of T</w:t>
      </w:r>
      <w:r>
        <w:rPr>
          <w:position w:val="-7"/>
          <w:sz w:val="22"/>
        </w:rPr>
        <w:t xml:space="preserve">1 </w:t>
      </w:r>
      <w:r>
        <w:t>and T and x is an instance of T</w:t>
      </w:r>
      <w:r>
        <w:rPr>
          <w:position w:val="-7"/>
          <w:sz w:val="22"/>
        </w:rPr>
        <w:t xml:space="preserve">2 </w:t>
      </w:r>
      <w:r>
        <w:t>and such that</w:t>
      </w:r>
      <w:r>
        <w:rPr>
          <w:spacing w:val="34"/>
        </w:rPr>
        <w:t xml:space="preserve"> </w:t>
      </w:r>
      <w:r>
        <w:t>it</w:t>
      </w:r>
      <w:r>
        <w:rPr>
          <w:spacing w:val="35"/>
        </w:rPr>
        <w:t xml:space="preserve"> </w:t>
      </w:r>
      <w:r>
        <w:t>is</w:t>
      </w:r>
      <w:r>
        <w:rPr>
          <w:spacing w:val="34"/>
        </w:rPr>
        <w:t xml:space="preserve"> </w:t>
      </w:r>
      <w:r>
        <w:t>in</w:t>
      </w:r>
      <w:r>
        <w:rPr>
          <w:spacing w:val="36"/>
        </w:rPr>
        <w:t xml:space="preserve"> </w:t>
      </w:r>
      <w:r>
        <w:t>virtue</w:t>
      </w:r>
      <w:r>
        <w:rPr>
          <w:spacing w:val="36"/>
        </w:rPr>
        <w:t xml:space="preserve"> </w:t>
      </w:r>
      <w:r>
        <w:t>of</w:t>
      </w:r>
      <w:r>
        <w:rPr>
          <w:spacing w:val="34"/>
        </w:rPr>
        <w:t xml:space="preserve"> </w:t>
      </w:r>
      <w:r>
        <w:t>their</w:t>
      </w:r>
      <w:r>
        <w:rPr>
          <w:spacing w:val="36"/>
        </w:rPr>
        <w:t xml:space="preserve"> </w:t>
      </w:r>
      <w:r>
        <w:t>being</w:t>
      </w:r>
      <w:r>
        <w:rPr>
          <w:spacing w:val="35"/>
        </w:rPr>
        <w:t xml:space="preserve"> </w:t>
      </w:r>
      <w:r>
        <w:t>instances</w:t>
      </w:r>
      <w:r>
        <w:rPr>
          <w:spacing w:val="35"/>
        </w:rPr>
        <w:t xml:space="preserve"> </w:t>
      </w:r>
      <w:r>
        <w:t>of</w:t>
      </w:r>
      <w:r>
        <w:rPr>
          <w:spacing w:val="35"/>
        </w:rPr>
        <w:t xml:space="preserve"> </w:t>
      </w:r>
      <w:r>
        <w:t>T</w:t>
      </w:r>
      <w:r>
        <w:rPr>
          <w:vertAlign w:val="subscript"/>
        </w:rPr>
        <w:t>2</w:t>
      </w:r>
      <w:r>
        <w:rPr>
          <w:spacing w:val="37"/>
        </w:rPr>
        <w:t xml:space="preserve"> </w:t>
      </w:r>
      <w:r>
        <w:t>that</w:t>
      </w:r>
      <w:r>
        <w:rPr>
          <w:spacing w:val="36"/>
        </w:rPr>
        <w:t xml:space="preserve"> </w:t>
      </w:r>
      <w:r>
        <w:t>they</w:t>
      </w:r>
      <w:r>
        <w:rPr>
          <w:spacing w:val="37"/>
        </w:rPr>
        <w:t xml:space="preserve"> </w:t>
      </w:r>
      <w:r>
        <w:t>are</w:t>
      </w:r>
      <w:r>
        <w:rPr>
          <w:spacing w:val="36"/>
        </w:rPr>
        <w:t xml:space="preserve"> </w:t>
      </w:r>
      <w:r>
        <w:rPr>
          <w:spacing w:val="-2"/>
        </w:rPr>
        <w:t>triangular.</w:t>
      </w:r>
    </w:p>
    <w:p w14:paraId="7E000A7B" w14:textId="77777777" w:rsidR="009A58DB" w:rsidRDefault="00000000">
      <w:pPr>
        <w:pStyle w:val="BodyText"/>
        <w:spacing w:before="61" w:line="249" w:lineRule="auto"/>
        <w:ind w:left="720" w:right="359"/>
        <w:rPr>
          <w:position w:val="21"/>
        </w:rPr>
      </w:pPr>
      <w:r>
        <w:t>And so on ad infinitum. Were they to exist, properties would be useless, since the very questions that arise in connection with their instances arise in connection with them</w:t>
      </w:r>
      <w:bookmarkStart w:id="115" w:name="_bookmark115"/>
      <w:bookmarkEnd w:id="115"/>
      <w:r>
        <w:t>.</w:t>
      </w:r>
      <w:r>
        <w:rPr>
          <w:color w:val="0562C1"/>
          <w:position w:val="21"/>
          <w:u w:val="single" w:color="0562C1"/>
        </w:rPr>
        <w:t>[55]</w:t>
      </w:r>
    </w:p>
    <w:p w14:paraId="7E000A7C" w14:textId="77777777" w:rsidR="009A58DB" w:rsidRDefault="009A58DB">
      <w:pPr>
        <w:pStyle w:val="BodyText"/>
        <w:spacing w:before="19"/>
        <w:ind w:left="0"/>
        <w:jc w:val="left"/>
      </w:pPr>
    </w:p>
    <w:p w14:paraId="7E000A7D" w14:textId="77777777" w:rsidR="009A58DB" w:rsidRDefault="00000000">
      <w:pPr>
        <w:pStyle w:val="BodyText"/>
        <w:spacing w:line="249" w:lineRule="auto"/>
        <w:ind w:right="362"/>
      </w:pPr>
      <w:r>
        <w:t>This argument evaluated: Consider the property of being spatiotemporal. If Platonism is right, that property is not itself spatiotemporal and, in the relevant</w:t>
      </w:r>
      <w:r>
        <w:rPr>
          <w:spacing w:val="80"/>
        </w:rPr>
        <w:t xml:space="preserve"> </w:t>
      </w:r>
      <w:r>
        <w:t>sense</w:t>
      </w:r>
      <w:r>
        <w:rPr>
          <w:spacing w:val="80"/>
        </w:rPr>
        <w:t xml:space="preserve"> </w:t>
      </w:r>
      <w:r>
        <w:t>of</w:t>
      </w:r>
      <w:r>
        <w:rPr>
          <w:spacing w:val="80"/>
        </w:rPr>
        <w:t xml:space="preserve"> </w:t>
      </w:r>
      <w:r>
        <w:t>“resemble,”</w:t>
      </w:r>
      <w:r>
        <w:rPr>
          <w:spacing w:val="80"/>
        </w:rPr>
        <w:t xml:space="preserve"> </w:t>
      </w:r>
      <w:r>
        <w:t>it</w:t>
      </w:r>
      <w:r>
        <w:rPr>
          <w:spacing w:val="80"/>
        </w:rPr>
        <w:t xml:space="preserve"> </w:t>
      </w:r>
      <w:r>
        <w:t>doesn’t</w:t>
      </w:r>
      <w:r>
        <w:rPr>
          <w:spacing w:val="80"/>
        </w:rPr>
        <w:t xml:space="preserve"> </w:t>
      </w:r>
      <w:r>
        <w:t>resemble</w:t>
      </w:r>
      <w:r>
        <w:rPr>
          <w:spacing w:val="80"/>
        </w:rPr>
        <w:t xml:space="preserve"> </w:t>
      </w:r>
      <w:r>
        <w:t>its</w:t>
      </w:r>
      <w:r>
        <w:rPr>
          <w:spacing w:val="80"/>
        </w:rPr>
        <w:t xml:space="preserve"> </w:t>
      </w:r>
      <w:r>
        <w:t>instances.</w:t>
      </w:r>
      <w:r>
        <w:rPr>
          <w:spacing w:val="80"/>
        </w:rPr>
        <w:t xml:space="preserve"> </w:t>
      </w:r>
      <w:r>
        <w:t>Here</w:t>
      </w:r>
      <w:r>
        <w:rPr>
          <w:spacing w:val="80"/>
        </w:rPr>
        <w:t xml:space="preserve"> </w:t>
      </w:r>
      <w:r>
        <w:t>is</w:t>
      </w:r>
    </w:p>
    <w:p w14:paraId="7E000A7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7F" w14:textId="77777777" w:rsidR="009A58DB" w:rsidRDefault="00000000">
      <w:pPr>
        <w:pStyle w:val="BodyText"/>
        <w:spacing w:before="60" w:line="249" w:lineRule="auto"/>
        <w:ind w:right="360"/>
      </w:pPr>
      <w:r>
        <w:lastRenderedPageBreak/>
        <w:t>another example. To be triangular is to have a certain shape. Only things that are in space have shapes. The property of triangularity is not in space and, therefore, doesn’t have a shape and, therefore, isn’t an instance of itself.</w:t>
      </w:r>
      <w:r>
        <w:rPr>
          <w:spacing w:val="40"/>
        </w:rPr>
        <w:t xml:space="preserve"> </w:t>
      </w:r>
      <w:r>
        <w:t xml:space="preserve">TMA succeeds in showing that instantiation isn’t resemblance. This means that it succeeds in proving nothing, given that it’s inherent in Platonism that instantiation </w:t>
      </w:r>
      <w:r>
        <w:rPr>
          <w:i/>
        </w:rPr>
        <w:t xml:space="preserve">not </w:t>
      </w:r>
      <w:r>
        <w:t>be resemblance.</w:t>
      </w:r>
    </w:p>
    <w:p w14:paraId="7E000A80" w14:textId="77777777" w:rsidR="009A58DB" w:rsidRDefault="00000000">
      <w:pPr>
        <w:pStyle w:val="Heading1"/>
        <w:numPr>
          <w:ilvl w:val="1"/>
          <w:numId w:val="206"/>
        </w:numPr>
        <w:tabs>
          <w:tab w:val="left" w:pos="1107"/>
        </w:tabs>
        <w:spacing w:before="200" w:line="244" w:lineRule="auto"/>
        <w:ind w:left="360" w:right="357" w:firstLine="0"/>
      </w:pPr>
      <w:r>
        <w:t>Argument</w:t>
      </w:r>
      <w:r>
        <w:rPr>
          <w:spacing w:val="80"/>
        </w:rPr>
        <w:t xml:space="preserve"> </w:t>
      </w:r>
      <w:r>
        <w:t>#4:</w:t>
      </w:r>
      <w:r>
        <w:rPr>
          <w:spacing w:val="80"/>
        </w:rPr>
        <w:t xml:space="preserve"> </w:t>
      </w:r>
      <w:r>
        <w:t>the</w:t>
      </w:r>
      <w:r>
        <w:rPr>
          <w:spacing w:val="80"/>
        </w:rPr>
        <w:t xml:space="preserve"> </w:t>
      </w:r>
      <w:r>
        <w:t>argument</w:t>
      </w:r>
      <w:r>
        <w:rPr>
          <w:spacing w:val="80"/>
        </w:rPr>
        <w:t xml:space="preserve"> </w:t>
      </w:r>
      <w:r>
        <w:t>from</w:t>
      </w:r>
      <w:r>
        <w:rPr>
          <w:spacing w:val="80"/>
        </w:rPr>
        <w:t xml:space="preserve"> </w:t>
      </w:r>
      <w:r>
        <w:t>the</w:t>
      </w:r>
      <w:r>
        <w:rPr>
          <w:spacing w:val="80"/>
        </w:rPr>
        <w:t xml:space="preserve"> </w:t>
      </w:r>
      <w:r>
        <w:t>causal impotence of properties</w:t>
      </w:r>
    </w:p>
    <w:p w14:paraId="7E000A81" w14:textId="77777777" w:rsidR="009A58DB" w:rsidRDefault="00000000">
      <w:pPr>
        <w:pStyle w:val="BodyText"/>
        <w:spacing w:before="132" w:line="249" w:lineRule="auto"/>
        <w:ind w:right="364"/>
      </w:pPr>
      <w:r>
        <w:t>Properties lack causal powers. For this reason, they can serve no explanatory function. To explain something is to show how it came about. Being causally impotent, properties can’t make anything come about. Therefore, there is no reason to posit them.</w:t>
      </w:r>
    </w:p>
    <w:p w14:paraId="7E000A82" w14:textId="77777777" w:rsidR="009A58DB" w:rsidRDefault="009A58DB">
      <w:pPr>
        <w:pStyle w:val="BodyText"/>
        <w:spacing w:before="20"/>
        <w:ind w:left="0"/>
        <w:jc w:val="left"/>
      </w:pPr>
    </w:p>
    <w:p w14:paraId="7E000A83" w14:textId="77777777" w:rsidR="009A58DB" w:rsidRDefault="00000000">
      <w:pPr>
        <w:pStyle w:val="BodyText"/>
        <w:spacing w:line="249" w:lineRule="auto"/>
        <w:ind w:right="364"/>
      </w:pPr>
      <w:r>
        <w:t>This argument evaluated: Properties do indeed lack causal powers. Causes</w:t>
      </w:r>
      <w:r>
        <w:rPr>
          <w:spacing w:val="40"/>
        </w:rPr>
        <w:t xml:space="preserve"> </w:t>
      </w:r>
      <w:r>
        <w:t xml:space="preserve">are necessarily in space and time. To be a cause is to induce change. Changes and their causes are </w:t>
      </w:r>
      <w:r>
        <w:rPr>
          <w:i/>
        </w:rPr>
        <w:t>ipso facto</w:t>
      </w:r>
      <w:r>
        <w:rPr>
          <w:i/>
          <w:spacing w:val="40"/>
        </w:rPr>
        <w:t xml:space="preserve"> </w:t>
      </w:r>
      <w:r>
        <w:t>in space-time.</w:t>
      </w:r>
    </w:p>
    <w:p w14:paraId="7E000A84" w14:textId="77777777" w:rsidR="009A58DB" w:rsidRDefault="00000000">
      <w:pPr>
        <w:pStyle w:val="BodyText"/>
        <w:spacing w:before="3" w:line="249" w:lineRule="auto"/>
        <w:ind w:right="360" w:firstLine="360"/>
        <w:rPr>
          <w:position w:val="21"/>
        </w:rPr>
      </w:pPr>
      <w:r>
        <w:t xml:space="preserve">But this is no reason to think that properties are explanatory deadwood or, therefore, that there’s no good reason to believe them to exist. Not all explanation is </w:t>
      </w:r>
      <w:r>
        <w:rPr>
          <w:i/>
        </w:rPr>
        <w:t xml:space="preserve">causal </w:t>
      </w:r>
      <w:r>
        <w:t xml:space="preserve">explanation. Some explanation is what we call </w:t>
      </w:r>
      <w:r>
        <w:rPr>
          <w:i/>
        </w:rPr>
        <w:t xml:space="preserve">analytic </w:t>
      </w:r>
      <w:r>
        <w:t xml:space="preserve">or </w:t>
      </w:r>
      <w:r>
        <w:rPr>
          <w:i/>
        </w:rPr>
        <w:t xml:space="preserve">conceptual. </w:t>
      </w:r>
      <w:r>
        <w:t>There are as many even numbers as there are whole numbers. (This is a theorem of set-theory.) How is this to be explained? Even though the even numbers are a subset of the whole numbers, it is possible to put the two</w:t>
      </w:r>
      <w:r>
        <w:rPr>
          <w:spacing w:val="-2"/>
        </w:rPr>
        <w:t xml:space="preserve"> </w:t>
      </w:r>
      <w:r>
        <w:t>sets</w:t>
      </w:r>
      <w:r>
        <w:rPr>
          <w:spacing w:val="-2"/>
        </w:rPr>
        <w:t xml:space="preserve"> </w:t>
      </w:r>
      <w:r>
        <w:t>of</w:t>
      </w:r>
      <w:r>
        <w:rPr>
          <w:spacing w:val="-2"/>
        </w:rPr>
        <w:t xml:space="preserve"> </w:t>
      </w:r>
      <w:r>
        <w:t>numbers</w:t>
      </w:r>
      <w:r>
        <w:rPr>
          <w:spacing w:val="-2"/>
        </w:rPr>
        <w:t xml:space="preserve"> </w:t>
      </w:r>
      <w:r>
        <w:t>into</w:t>
      </w:r>
      <w:r>
        <w:rPr>
          <w:spacing w:val="-2"/>
        </w:rPr>
        <w:t xml:space="preserve"> </w:t>
      </w:r>
      <w:r>
        <w:t>a</w:t>
      </w:r>
      <w:r>
        <w:rPr>
          <w:spacing w:val="-2"/>
        </w:rPr>
        <w:t xml:space="preserve"> </w:t>
      </w:r>
      <w:r>
        <w:t>one-on</w:t>
      </w:r>
      <w:bookmarkStart w:id="116" w:name="_bookmark116"/>
      <w:bookmarkEnd w:id="116"/>
      <w:r>
        <w:t>e</w:t>
      </w:r>
      <w:r>
        <w:rPr>
          <w:color w:val="0562C1"/>
          <w:position w:val="21"/>
          <w:u w:val="single" w:color="0562C1"/>
        </w:rPr>
        <w:t>[56]</w:t>
      </w:r>
      <w:r>
        <w:rPr>
          <w:color w:val="0562C1"/>
          <w:position w:val="21"/>
        </w:rPr>
        <w:t xml:space="preserve"> </w:t>
      </w:r>
      <w:r>
        <w:t>correspondence. Since, whenever two sets can be put into such a correspondence they have the same number of members, it</w:t>
      </w:r>
      <w:r>
        <w:rPr>
          <w:spacing w:val="-1"/>
        </w:rPr>
        <w:t xml:space="preserve"> </w:t>
      </w:r>
      <w:r>
        <w:t>follows that</w:t>
      </w:r>
      <w:r>
        <w:rPr>
          <w:spacing w:val="-1"/>
        </w:rPr>
        <w:t xml:space="preserve"> </w:t>
      </w:r>
      <w:r>
        <w:t>the set</w:t>
      </w:r>
      <w:r>
        <w:rPr>
          <w:spacing w:val="-1"/>
        </w:rPr>
        <w:t xml:space="preserve"> </w:t>
      </w:r>
      <w:r>
        <w:t>of even numbers has as many members as the set of whole numbers</w:t>
      </w:r>
      <w:bookmarkStart w:id="117" w:name="_bookmark117"/>
      <w:bookmarkEnd w:id="117"/>
      <w:r>
        <w:t>.</w:t>
      </w:r>
      <w:r>
        <w:rPr>
          <w:color w:val="0562C1"/>
          <w:position w:val="21"/>
          <w:u w:val="single" w:color="0562C1"/>
        </w:rPr>
        <w:t>[57]</w:t>
      </w:r>
    </w:p>
    <w:p w14:paraId="7E000A85" w14:textId="77777777" w:rsidR="009A58DB" w:rsidRDefault="00000000">
      <w:pPr>
        <w:pStyle w:val="BodyText"/>
        <w:spacing w:before="13" w:line="249" w:lineRule="auto"/>
        <w:ind w:right="358" w:firstLine="360"/>
      </w:pPr>
      <w:r>
        <w:t xml:space="preserve">This explanation is not </w:t>
      </w:r>
      <w:r>
        <w:rPr>
          <w:i/>
        </w:rPr>
        <w:t xml:space="preserve">causal. </w:t>
      </w:r>
      <w:r>
        <w:t xml:space="preserve">It explains a truth </w:t>
      </w:r>
      <w:r>
        <w:rPr>
          <w:i/>
        </w:rPr>
        <w:t xml:space="preserve">not </w:t>
      </w:r>
      <w:r>
        <w:t>by identifying its causal antecedents, but by delineating the structures of concepts. Many explanations</w:t>
      </w:r>
      <w:r>
        <w:rPr>
          <w:spacing w:val="-1"/>
        </w:rPr>
        <w:t xml:space="preserve"> </w:t>
      </w:r>
      <w:r>
        <w:t>are</w:t>
      </w:r>
      <w:r>
        <w:rPr>
          <w:spacing w:val="-1"/>
        </w:rPr>
        <w:t xml:space="preserve"> </w:t>
      </w:r>
      <w:r>
        <w:t>like</w:t>
      </w:r>
      <w:r>
        <w:rPr>
          <w:spacing w:val="-1"/>
        </w:rPr>
        <w:t xml:space="preserve"> </w:t>
      </w:r>
      <w:r>
        <w:t>this.</w:t>
      </w:r>
      <w:r>
        <w:rPr>
          <w:spacing w:val="-1"/>
        </w:rPr>
        <w:t xml:space="preserve"> </w:t>
      </w:r>
      <w:r>
        <w:t>You</w:t>
      </w:r>
      <w:r>
        <w:rPr>
          <w:spacing w:val="-1"/>
        </w:rPr>
        <w:t xml:space="preserve"> </w:t>
      </w:r>
      <w:r>
        <w:t>ask</w:t>
      </w:r>
      <w:r>
        <w:rPr>
          <w:spacing w:val="-1"/>
        </w:rPr>
        <w:t xml:space="preserve"> </w:t>
      </w:r>
      <w:r>
        <w:t>me:</w:t>
      </w:r>
      <w:r>
        <w:rPr>
          <w:spacing w:val="-1"/>
        </w:rPr>
        <w:t xml:space="preserve"> </w:t>
      </w:r>
      <w:r>
        <w:t>“Why</w:t>
      </w:r>
      <w:r>
        <w:rPr>
          <w:spacing w:val="-1"/>
        </w:rPr>
        <w:t xml:space="preserve"> </w:t>
      </w:r>
      <w:r>
        <w:t>can’t</w:t>
      </w:r>
      <w:r>
        <w:rPr>
          <w:spacing w:val="-1"/>
        </w:rPr>
        <w:t xml:space="preserve"> </w:t>
      </w:r>
      <w:r>
        <w:t>someone</w:t>
      </w:r>
      <w:r>
        <w:rPr>
          <w:spacing w:val="-1"/>
        </w:rPr>
        <w:t xml:space="preserve"> </w:t>
      </w:r>
      <w:r>
        <w:t>know</w:t>
      </w:r>
      <w:r>
        <w:rPr>
          <w:spacing w:val="-1"/>
        </w:rPr>
        <w:t xml:space="preserve"> </w:t>
      </w:r>
      <w:r>
        <w:t>something without having any form of awareness?” I answer (correctly) by saying: “because knowing something involves having a true belief, and a belief is a form of awareness.” This explanation identifies conditions that are conceptually,</w:t>
      </w:r>
      <w:r>
        <w:rPr>
          <w:spacing w:val="67"/>
        </w:rPr>
        <w:t xml:space="preserve"> </w:t>
      </w:r>
      <w:r>
        <w:t>not</w:t>
      </w:r>
      <w:r>
        <w:rPr>
          <w:spacing w:val="67"/>
        </w:rPr>
        <w:t xml:space="preserve"> </w:t>
      </w:r>
      <w:r>
        <w:t>causally,</w:t>
      </w:r>
      <w:r>
        <w:rPr>
          <w:spacing w:val="67"/>
        </w:rPr>
        <w:t xml:space="preserve"> </w:t>
      </w:r>
      <w:r>
        <w:t>necessary</w:t>
      </w:r>
      <w:r>
        <w:rPr>
          <w:spacing w:val="67"/>
        </w:rPr>
        <w:t xml:space="preserve"> </w:t>
      </w:r>
      <w:r>
        <w:t>conditions</w:t>
      </w:r>
      <w:r>
        <w:rPr>
          <w:spacing w:val="67"/>
        </w:rPr>
        <w:t xml:space="preserve"> </w:t>
      </w:r>
      <w:r>
        <w:t>for</w:t>
      </w:r>
      <w:r>
        <w:rPr>
          <w:spacing w:val="67"/>
        </w:rPr>
        <w:t xml:space="preserve"> </w:t>
      </w:r>
      <w:r>
        <w:t>knowledge.</w:t>
      </w:r>
      <w:r>
        <w:rPr>
          <w:spacing w:val="67"/>
        </w:rPr>
        <w:t xml:space="preserve"> </w:t>
      </w:r>
      <w:r>
        <w:t>Like</w:t>
      </w:r>
      <w:r>
        <w:rPr>
          <w:spacing w:val="68"/>
        </w:rPr>
        <w:t xml:space="preserve"> </w:t>
      </w:r>
      <w:r>
        <w:rPr>
          <w:spacing w:val="-4"/>
        </w:rPr>
        <w:t>this</w:t>
      </w:r>
    </w:p>
    <w:p w14:paraId="7E000A8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87" w14:textId="77777777" w:rsidR="009A58DB" w:rsidRDefault="00000000">
      <w:pPr>
        <w:pStyle w:val="BodyText"/>
        <w:spacing w:before="60" w:line="249" w:lineRule="auto"/>
        <w:ind w:right="365"/>
        <w:jc w:val="left"/>
      </w:pPr>
      <w:r>
        <w:lastRenderedPageBreak/>
        <w:t>explanation, Plato’s theory isn’t a causal theory, and it’s therefore irrelevant that properties aren’t in space-time.</w:t>
      </w:r>
    </w:p>
    <w:p w14:paraId="7E000A88" w14:textId="77777777" w:rsidR="009A58DB" w:rsidRDefault="00000000">
      <w:pPr>
        <w:pStyle w:val="Heading1"/>
        <w:numPr>
          <w:ilvl w:val="1"/>
          <w:numId w:val="206"/>
        </w:numPr>
        <w:tabs>
          <w:tab w:val="left" w:pos="1078"/>
        </w:tabs>
        <w:spacing w:before="195" w:line="244" w:lineRule="auto"/>
        <w:ind w:left="360" w:right="372" w:firstLine="0"/>
      </w:pPr>
      <w:r>
        <w:t>Argument</w:t>
      </w:r>
      <w:r>
        <w:rPr>
          <w:spacing w:val="40"/>
        </w:rPr>
        <w:t xml:space="preserve"> </w:t>
      </w:r>
      <w:r>
        <w:t>#5</w:t>
      </w:r>
      <w:r>
        <w:rPr>
          <w:spacing w:val="40"/>
        </w:rPr>
        <w:t xml:space="preserve"> </w:t>
      </w:r>
      <w:r>
        <w:t>(a</w:t>
      </w:r>
      <w:r>
        <w:rPr>
          <w:spacing w:val="40"/>
        </w:rPr>
        <w:t xml:space="preserve"> </w:t>
      </w:r>
      <w:r>
        <w:t>variant</w:t>
      </w:r>
      <w:r>
        <w:rPr>
          <w:spacing w:val="40"/>
        </w:rPr>
        <w:t xml:space="preserve"> </w:t>
      </w:r>
      <w:r>
        <w:t>of</w:t>
      </w:r>
      <w:r>
        <w:rPr>
          <w:spacing w:val="40"/>
        </w:rPr>
        <w:t xml:space="preserve"> </w:t>
      </w:r>
      <w:r>
        <w:t>#4):</w:t>
      </w:r>
      <w:r>
        <w:rPr>
          <w:spacing w:val="40"/>
        </w:rPr>
        <w:t xml:space="preserve"> </w:t>
      </w:r>
      <w:r>
        <w:t>the</w:t>
      </w:r>
      <w:r>
        <w:rPr>
          <w:spacing w:val="40"/>
        </w:rPr>
        <w:t xml:space="preserve"> </w:t>
      </w:r>
      <w:r>
        <w:t>argument</w:t>
      </w:r>
      <w:r>
        <w:rPr>
          <w:spacing w:val="80"/>
        </w:rPr>
        <w:t xml:space="preserve"> </w:t>
      </w:r>
      <w:r>
        <w:t>from the causal theory of knowledge (CTK)</w:t>
      </w:r>
    </w:p>
    <w:p w14:paraId="7E000A89" w14:textId="77777777" w:rsidR="009A58DB" w:rsidRDefault="00000000">
      <w:pPr>
        <w:pStyle w:val="BodyText"/>
        <w:spacing w:before="132" w:line="249" w:lineRule="auto"/>
        <w:ind w:left="720" w:right="720"/>
      </w:pPr>
      <w:r>
        <w:t xml:space="preserve">For x to know of y, y must have causal </w:t>
      </w:r>
      <w:r>
        <w:rPr>
          <w:i/>
        </w:rPr>
        <w:t xml:space="preserve">effects </w:t>
      </w:r>
      <w:r>
        <w:t>on x. You can see the dog only because the dog has certain effects on you—light bounces off its fur and hits your eyes. You can know about Socrates only because, long ago, Socrates made various noises, which were transcribed, and copies of those transcripts made their way to. So it is only because</w:t>
      </w:r>
      <w:r>
        <w:rPr>
          <w:spacing w:val="40"/>
        </w:rPr>
        <w:t xml:space="preserve"> </w:t>
      </w:r>
      <w:r>
        <w:t>there is a causal process linking Socrates to you that you know about him and are able to have thoughts about him.</w:t>
      </w:r>
    </w:p>
    <w:p w14:paraId="7E000A8A" w14:textId="77777777" w:rsidR="009A58DB" w:rsidRDefault="00000000">
      <w:pPr>
        <w:pStyle w:val="BodyText"/>
        <w:spacing w:before="8" w:line="249" w:lineRule="auto"/>
        <w:ind w:left="720" w:right="723" w:firstLine="360"/>
      </w:pPr>
      <w:r>
        <w:t>Properties don’t have effects on anything. They don’t initiate or otherwise participate in causal processes. So we can’t know about</w:t>
      </w:r>
      <w:r>
        <w:rPr>
          <w:spacing w:val="40"/>
        </w:rPr>
        <w:t xml:space="preserve"> </w:t>
      </w:r>
      <w:r>
        <w:t>them, even if they exist. So there is</w:t>
      </w:r>
      <w:r>
        <w:rPr>
          <w:spacing w:val="1"/>
        </w:rPr>
        <w:t xml:space="preserve"> </w:t>
      </w:r>
      <w:r>
        <w:t xml:space="preserve">no good reason to suppose that </w:t>
      </w:r>
      <w:r>
        <w:rPr>
          <w:spacing w:val="-4"/>
        </w:rPr>
        <w:t>they</w:t>
      </w:r>
    </w:p>
    <w:p w14:paraId="7E000A8B" w14:textId="77777777" w:rsidR="009A58DB" w:rsidRDefault="00000000">
      <w:pPr>
        <w:pStyle w:val="BodyText"/>
        <w:spacing w:before="4" w:line="277" w:lineRule="exact"/>
        <w:ind w:left="1361"/>
        <w:jc w:val="left"/>
      </w:pPr>
      <w:bookmarkStart w:id="118" w:name="_bookmark118"/>
      <w:bookmarkEnd w:id="118"/>
      <w:r>
        <w:rPr>
          <w:color w:val="0562C1"/>
          <w:spacing w:val="-4"/>
          <w:u w:val="single" w:color="0562C1"/>
        </w:rPr>
        <w:t>[58]</w:t>
      </w:r>
    </w:p>
    <w:p w14:paraId="7E000A8C" w14:textId="77777777" w:rsidR="009A58DB" w:rsidRDefault="00000000">
      <w:pPr>
        <w:pStyle w:val="BodyText"/>
        <w:spacing w:line="277" w:lineRule="exact"/>
        <w:ind w:left="720"/>
        <w:jc w:val="left"/>
      </w:pPr>
      <w:r>
        <w:rPr>
          <w:spacing w:val="-2"/>
        </w:rPr>
        <w:t>exist.</w:t>
      </w:r>
    </w:p>
    <w:p w14:paraId="7E000A8D" w14:textId="77777777" w:rsidR="009A58DB" w:rsidRDefault="009A58DB">
      <w:pPr>
        <w:pStyle w:val="BodyText"/>
        <w:spacing w:before="30"/>
        <w:ind w:left="0"/>
        <w:jc w:val="left"/>
      </w:pPr>
    </w:p>
    <w:p w14:paraId="7E000A8E" w14:textId="77777777" w:rsidR="009A58DB" w:rsidRDefault="00000000">
      <w:pPr>
        <w:pStyle w:val="BodyText"/>
        <w:spacing w:line="249" w:lineRule="auto"/>
        <w:ind w:right="358"/>
      </w:pPr>
      <w:r>
        <w:t xml:space="preserve">This argument evaluated: Seeing a dog does indeed involve the dog having effects on you—it involves your eyes being disturbed by photons bouncing off of the dog. But, in and of themselves, those photonic disturbances are lifeless and informationally empty. If they were to hit a rock, vision wouldn’t result. The photons responsible for those disturbances don’t contain little dog images. You have to </w:t>
      </w:r>
      <w:r>
        <w:rPr>
          <w:i/>
        </w:rPr>
        <w:t xml:space="preserve">read such information into them. </w:t>
      </w:r>
      <w:r>
        <w:t>Your mind must extract such images from them; and to do this, your mind must have some way of interpreting those disturbances. The knowledge needed to interpret these disturbances cannot come from sense-perception, since that knowledge is itself a prerequisite for sense-perception. This entails that, in at least some cases, it isn’t through a causal process that the knower becomes aware of the known. It also entails that a prerequisite for the very existence of sense-perceptions, or indeed of any mental activity that results from causal exchanges with the world, is knowledge of properties. Why does it entail</w:t>
      </w:r>
      <w:r>
        <w:rPr>
          <w:spacing w:val="40"/>
        </w:rPr>
        <w:t xml:space="preserve"> </w:t>
      </w:r>
      <w:r>
        <w:t>this? Because, were it not for a grasp of what it is for a thing to have the property of having this or that shape, or being this or that distance from one, or</w:t>
      </w:r>
      <w:r>
        <w:rPr>
          <w:spacing w:val="74"/>
        </w:rPr>
        <w:t xml:space="preserve"> </w:t>
      </w:r>
      <w:r>
        <w:t>having</w:t>
      </w:r>
      <w:r>
        <w:rPr>
          <w:spacing w:val="75"/>
        </w:rPr>
        <w:t xml:space="preserve"> </w:t>
      </w:r>
      <w:r>
        <w:t>this</w:t>
      </w:r>
      <w:r>
        <w:rPr>
          <w:spacing w:val="75"/>
        </w:rPr>
        <w:t xml:space="preserve"> </w:t>
      </w:r>
      <w:r>
        <w:t>or</w:t>
      </w:r>
      <w:r>
        <w:rPr>
          <w:spacing w:val="74"/>
        </w:rPr>
        <w:t xml:space="preserve"> </w:t>
      </w:r>
      <w:r>
        <w:t>that</w:t>
      </w:r>
      <w:r>
        <w:rPr>
          <w:spacing w:val="74"/>
        </w:rPr>
        <w:t xml:space="preserve"> </w:t>
      </w:r>
      <w:r>
        <w:t>color,</w:t>
      </w:r>
      <w:r>
        <w:rPr>
          <w:spacing w:val="75"/>
        </w:rPr>
        <w:t xml:space="preserve"> </w:t>
      </w:r>
      <w:r>
        <w:t>one</w:t>
      </w:r>
      <w:r>
        <w:rPr>
          <w:spacing w:val="75"/>
        </w:rPr>
        <w:t xml:space="preserve"> </w:t>
      </w:r>
      <w:r>
        <w:t>couldn’t</w:t>
      </w:r>
      <w:r>
        <w:rPr>
          <w:spacing w:val="74"/>
        </w:rPr>
        <w:t xml:space="preserve"> </w:t>
      </w:r>
      <w:r>
        <w:t>interpret</w:t>
      </w:r>
      <w:r>
        <w:rPr>
          <w:spacing w:val="74"/>
        </w:rPr>
        <w:t xml:space="preserve"> </w:t>
      </w:r>
      <w:r>
        <w:t>the</w:t>
      </w:r>
      <w:r>
        <w:rPr>
          <w:spacing w:val="75"/>
        </w:rPr>
        <w:t xml:space="preserve"> </w:t>
      </w:r>
      <w:r>
        <w:t>radiation-induced</w:t>
      </w:r>
    </w:p>
    <w:p w14:paraId="7E000A8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90" w14:textId="77777777" w:rsidR="009A58DB" w:rsidRDefault="00000000">
      <w:pPr>
        <w:pStyle w:val="BodyText"/>
        <w:spacing w:before="60" w:line="249" w:lineRule="auto"/>
        <w:ind w:right="367"/>
      </w:pPr>
      <w:r>
        <w:lastRenderedPageBreak/>
        <w:t>disturbances of one’s sensory receptors in the way needed to generate sense-</w:t>
      </w:r>
      <w:r>
        <w:rPr>
          <w:spacing w:val="-2"/>
        </w:rPr>
        <w:t>perceptions.</w:t>
      </w:r>
    </w:p>
    <w:p w14:paraId="7E000A91" w14:textId="77777777" w:rsidR="009A58DB" w:rsidRDefault="00000000">
      <w:pPr>
        <w:pStyle w:val="Heading1"/>
        <w:spacing w:before="195"/>
        <w:ind w:left="360" w:firstLine="0"/>
      </w:pPr>
      <w:r>
        <w:t>2.6.</w:t>
      </w:r>
      <w:r>
        <w:rPr>
          <w:spacing w:val="-5"/>
        </w:rPr>
        <w:t xml:space="preserve"> </w:t>
      </w:r>
      <w:r>
        <w:t>Argument</w:t>
      </w:r>
      <w:r>
        <w:rPr>
          <w:spacing w:val="-2"/>
        </w:rPr>
        <w:t xml:space="preserve"> </w:t>
      </w:r>
      <w:r>
        <w:t>#6:</w:t>
      </w:r>
      <w:r>
        <w:rPr>
          <w:spacing w:val="-3"/>
        </w:rPr>
        <w:t xml:space="preserve"> </w:t>
      </w:r>
      <w:r>
        <w:rPr>
          <w:spacing w:val="-2"/>
        </w:rPr>
        <w:t>Conceptualism</w:t>
      </w:r>
    </w:p>
    <w:p w14:paraId="7E000A92" w14:textId="77777777" w:rsidR="009A58DB" w:rsidRDefault="00000000">
      <w:pPr>
        <w:pStyle w:val="BodyText"/>
        <w:spacing w:before="139" w:line="249" w:lineRule="auto"/>
        <w:ind w:left="720" w:right="718"/>
        <w:rPr>
          <w:position w:val="21"/>
        </w:rPr>
      </w:pPr>
      <w:r>
        <w:t xml:space="preserve">If they exist, properties are identical with mental representations of some kind or other—presumably, with thoughts </w:t>
      </w:r>
      <w:r>
        <w:rPr>
          <w:i/>
        </w:rPr>
        <w:t xml:space="preserve">about </w:t>
      </w:r>
      <w:r>
        <w:t>rocks or, in any case, with categories created by the mind that help it upload and</w:t>
      </w:r>
      <w:r>
        <w:rPr>
          <w:spacing w:val="40"/>
        </w:rPr>
        <w:t xml:space="preserve"> </w:t>
      </w:r>
      <w:r>
        <w:t>process sensory information</w:t>
      </w:r>
      <w:bookmarkStart w:id="119" w:name="_bookmark119"/>
      <w:bookmarkEnd w:id="119"/>
      <w:r>
        <w:t>.</w:t>
      </w:r>
      <w:r>
        <w:rPr>
          <w:color w:val="0562C1"/>
          <w:position w:val="21"/>
          <w:u w:val="single" w:color="0562C1"/>
        </w:rPr>
        <w:t>[59]</w:t>
      </w:r>
    </w:p>
    <w:p w14:paraId="7E000A93" w14:textId="77777777" w:rsidR="009A58DB" w:rsidRDefault="00000000">
      <w:pPr>
        <w:pStyle w:val="BodyText"/>
        <w:spacing w:before="5" w:line="249" w:lineRule="auto"/>
        <w:ind w:right="364"/>
      </w:pPr>
      <w:r>
        <w:t>This argument evaluated: Since conceptualism is thoroughly evaluated in Chapter 13, I’ll be brief. There were rocks before there people. And, back then, rocks were similar to one another in ways that they weren’t similar to bats and stars and other non-rocks For two things to be similar to one another in</w:t>
      </w:r>
      <w:r>
        <w:rPr>
          <w:spacing w:val="-2"/>
        </w:rPr>
        <w:t xml:space="preserve"> </w:t>
      </w:r>
      <w:r>
        <w:t>a</w:t>
      </w:r>
      <w:r>
        <w:rPr>
          <w:spacing w:val="-3"/>
        </w:rPr>
        <w:t xml:space="preserve"> </w:t>
      </w:r>
      <w:r>
        <w:t>certain</w:t>
      </w:r>
      <w:r>
        <w:rPr>
          <w:spacing w:val="-2"/>
        </w:rPr>
        <w:t xml:space="preserve"> </w:t>
      </w:r>
      <w:r>
        <w:t>respect</w:t>
      </w:r>
      <w:r>
        <w:rPr>
          <w:spacing w:val="-3"/>
        </w:rPr>
        <w:t xml:space="preserve"> </w:t>
      </w:r>
      <w:r>
        <w:t>is</w:t>
      </w:r>
      <w:r>
        <w:rPr>
          <w:spacing w:val="-3"/>
        </w:rPr>
        <w:t xml:space="preserve"> </w:t>
      </w:r>
      <w:r>
        <w:t>for</w:t>
      </w:r>
      <w:r>
        <w:rPr>
          <w:spacing w:val="-3"/>
        </w:rPr>
        <w:t xml:space="preserve"> </w:t>
      </w:r>
      <w:r>
        <w:t>there</w:t>
      </w:r>
      <w:r>
        <w:rPr>
          <w:spacing w:val="-3"/>
        </w:rPr>
        <w:t xml:space="preserve"> </w:t>
      </w:r>
      <w:r>
        <w:t>to</w:t>
      </w:r>
      <w:r>
        <w:rPr>
          <w:spacing w:val="-2"/>
        </w:rPr>
        <w:t xml:space="preserve"> </w:t>
      </w:r>
      <w:r>
        <w:t>be</w:t>
      </w:r>
      <w:r>
        <w:rPr>
          <w:spacing w:val="-3"/>
        </w:rPr>
        <w:t xml:space="preserve"> </w:t>
      </w:r>
      <w:r>
        <w:t>some</w:t>
      </w:r>
      <w:r>
        <w:rPr>
          <w:spacing w:val="-3"/>
        </w:rPr>
        <w:t xml:space="preserve"> </w:t>
      </w:r>
      <w:r>
        <w:t>property</w:t>
      </w:r>
      <w:r>
        <w:rPr>
          <w:spacing w:val="-2"/>
        </w:rPr>
        <w:t xml:space="preserve"> </w:t>
      </w:r>
      <w:r>
        <w:t>that</w:t>
      </w:r>
      <w:r>
        <w:rPr>
          <w:spacing w:val="-3"/>
        </w:rPr>
        <w:t xml:space="preserve"> </w:t>
      </w:r>
      <w:r>
        <w:t>they</w:t>
      </w:r>
      <w:r>
        <w:rPr>
          <w:spacing w:val="-2"/>
        </w:rPr>
        <w:t xml:space="preserve"> </w:t>
      </w:r>
      <w:r>
        <w:t>both</w:t>
      </w:r>
      <w:r>
        <w:rPr>
          <w:spacing w:val="-2"/>
        </w:rPr>
        <w:t xml:space="preserve"> </w:t>
      </w:r>
      <w:r>
        <w:t>have.</w:t>
      </w:r>
      <w:r>
        <w:rPr>
          <w:spacing w:val="-2"/>
        </w:rPr>
        <w:t xml:space="preserve"> </w:t>
      </w:r>
      <w:r>
        <w:t>So</w:t>
      </w:r>
      <w:r>
        <w:rPr>
          <w:spacing w:val="-2"/>
        </w:rPr>
        <w:t xml:space="preserve"> </w:t>
      </w:r>
      <w:r>
        <w:t>for two rocks to resemble each other in some respect is for there to exist some property that they both have. Thus, before there were human minds, there were properties. Therefore, properties are not products of human artifice.</w:t>
      </w:r>
    </w:p>
    <w:p w14:paraId="7E000A94" w14:textId="77777777" w:rsidR="009A58DB" w:rsidRDefault="00000000">
      <w:pPr>
        <w:pStyle w:val="Heading1"/>
        <w:numPr>
          <w:ilvl w:val="1"/>
          <w:numId w:val="205"/>
        </w:numPr>
        <w:tabs>
          <w:tab w:val="left" w:pos="990"/>
        </w:tabs>
        <w:spacing w:before="213"/>
      </w:pPr>
      <w:r>
        <w:t>Argument</w:t>
      </w:r>
      <w:r>
        <w:rPr>
          <w:spacing w:val="-7"/>
        </w:rPr>
        <w:t xml:space="preserve"> </w:t>
      </w:r>
      <w:r>
        <w:t>#7:</w:t>
      </w:r>
      <w:r>
        <w:rPr>
          <w:spacing w:val="-6"/>
        </w:rPr>
        <w:t xml:space="preserve"> </w:t>
      </w:r>
      <w:r>
        <w:t>Resemblance</w:t>
      </w:r>
      <w:r>
        <w:rPr>
          <w:spacing w:val="-7"/>
        </w:rPr>
        <w:t xml:space="preserve"> </w:t>
      </w:r>
      <w:r>
        <w:t>nominalism</w:t>
      </w:r>
      <w:r>
        <w:rPr>
          <w:spacing w:val="-6"/>
        </w:rPr>
        <w:t xml:space="preserve"> </w:t>
      </w:r>
      <w:r>
        <w:rPr>
          <w:spacing w:val="-4"/>
        </w:rPr>
        <w:t>(RN)</w:t>
      </w:r>
    </w:p>
    <w:p w14:paraId="7E000A95" w14:textId="77777777" w:rsidR="009A58DB" w:rsidRDefault="00000000">
      <w:pPr>
        <w:pStyle w:val="BodyText"/>
        <w:spacing w:before="139" w:line="249" w:lineRule="auto"/>
        <w:ind w:left="720" w:right="720"/>
      </w:pPr>
      <w:r>
        <w:t>Let x be some red thing. x’s being red consists, not in its being related in some way or other to some non-spatiotemporal entity but in its resembling roses, spots of blood, stop-signs, and other such things. Being red is a relation, not between the spatiotemporal and the non-spatiotemporal</w:t>
      </w:r>
      <w:r>
        <w:rPr>
          <w:spacing w:val="13"/>
        </w:rPr>
        <w:t xml:space="preserve"> </w:t>
      </w:r>
      <w:r>
        <w:t>but</w:t>
      </w:r>
      <w:r>
        <w:rPr>
          <w:spacing w:val="15"/>
        </w:rPr>
        <w:t xml:space="preserve"> </w:t>
      </w:r>
      <w:r>
        <w:t>between</w:t>
      </w:r>
      <w:r>
        <w:rPr>
          <w:spacing w:val="15"/>
        </w:rPr>
        <w:t xml:space="preserve"> </w:t>
      </w:r>
      <w:r>
        <w:t>the</w:t>
      </w:r>
      <w:r>
        <w:rPr>
          <w:spacing w:val="16"/>
        </w:rPr>
        <w:t xml:space="preserve"> </w:t>
      </w:r>
      <w:r>
        <w:t>spatiotemporal</w:t>
      </w:r>
      <w:r>
        <w:rPr>
          <w:spacing w:val="15"/>
        </w:rPr>
        <w:t xml:space="preserve"> </w:t>
      </w:r>
      <w:r>
        <w:t>and</w:t>
      </w:r>
      <w:r>
        <w:rPr>
          <w:spacing w:val="15"/>
        </w:rPr>
        <w:t xml:space="preserve"> </w:t>
      </w:r>
      <w:r>
        <w:t>the</w:t>
      </w:r>
      <w:r>
        <w:rPr>
          <w:spacing w:val="16"/>
        </w:rPr>
        <w:t xml:space="preserve"> </w:t>
      </w:r>
      <w:r>
        <w:rPr>
          <w:spacing w:val="-2"/>
        </w:rPr>
        <w:t>spatiotemporal.</w:t>
      </w:r>
    </w:p>
    <w:p w14:paraId="7E000A96" w14:textId="77777777" w:rsidR="009A58DB" w:rsidRDefault="00000000">
      <w:pPr>
        <w:pStyle w:val="BodyText"/>
        <w:spacing w:before="6"/>
        <w:ind w:left="720"/>
      </w:pPr>
      <w:r>
        <w:t>In</w:t>
      </w:r>
      <w:r>
        <w:rPr>
          <w:spacing w:val="29"/>
        </w:rPr>
        <w:t xml:space="preserve"> </w:t>
      </w:r>
      <w:r>
        <w:t>general,</w:t>
      </w:r>
      <w:r>
        <w:rPr>
          <w:spacing w:val="30"/>
        </w:rPr>
        <w:t xml:space="preserve"> </w:t>
      </w:r>
      <w:r>
        <w:t>to</w:t>
      </w:r>
      <w:r>
        <w:rPr>
          <w:spacing w:val="30"/>
        </w:rPr>
        <w:t xml:space="preserve"> </w:t>
      </w:r>
      <w:r>
        <w:t>have</w:t>
      </w:r>
      <w:r>
        <w:rPr>
          <w:spacing w:val="30"/>
        </w:rPr>
        <w:t xml:space="preserve"> </w:t>
      </w:r>
      <w:r>
        <w:t>a</w:t>
      </w:r>
      <w:r>
        <w:rPr>
          <w:spacing w:val="30"/>
        </w:rPr>
        <w:t xml:space="preserve"> </w:t>
      </w:r>
      <w:r>
        <w:t>property</w:t>
      </w:r>
      <w:r>
        <w:rPr>
          <w:spacing w:val="30"/>
        </w:rPr>
        <w:t xml:space="preserve"> </w:t>
      </w:r>
      <w:r>
        <w:t>phi</w:t>
      </w:r>
      <w:r>
        <w:rPr>
          <w:spacing w:val="29"/>
        </w:rPr>
        <w:t xml:space="preserve"> </w:t>
      </w:r>
      <w:r>
        <w:t>isn’t</w:t>
      </w:r>
      <w:r>
        <w:rPr>
          <w:spacing w:val="30"/>
        </w:rPr>
        <w:t xml:space="preserve"> </w:t>
      </w:r>
      <w:r>
        <w:t>to</w:t>
      </w:r>
      <w:r>
        <w:rPr>
          <w:spacing w:val="30"/>
        </w:rPr>
        <w:t xml:space="preserve"> </w:t>
      </w:r>
      <w:r>
        <w:t>bear</w:t>
      </w:r>
      <w:r>
        <w:rPr>
          <w:spacing w:val="30"/>
        </w:rPr>
        <w:t xml:space="preserve"> </w:t>
      </w:r>
      <w:r>
        <w:t>some</w:t>
      </w:r>
      <w:r>
        <w:rPr>
          <w:spacing w:val="30"/>
        </w:rPr>
        <w:t xml:space="preserve"> </w:t>
      </w:r>
      <w:r>
        <w:t>relation</w:t>
      </w:r>
      <w:r>
        <w:rPr>
          <w:spacing w:val="30"/>
        </w:rPr>
        <w:t xml:space="preserve"> </w:t>
      </w:r>
      <w:r>
        <w:t>to</w:t>
      </w:r>
      <w:r>
        <w:rPr>
          <w:spacing w:val="30"/>
        </w:rPr>
        <w:t xml:space="preserve"> </w:t>
      </w:r>
      <w:r>
        <w:rPr>
          <w:spacing w:val="-4"/>
        </w:rPr>
        <w:t>some</w:t>
      </w:r>
    </w:p>
    <w:p w14:paraId="7E000A97" w14:textId="77777777" w:rsidR="009A58DB" w:rsidRDefault="00000000">
      <w:pPr>
        <w:pStyle w:val="BodyText"/>
        <w:spacing w:before="15" w:line="277" w:lineRule="exact"/>
        <w:ind w:left="0" w:right="1526"/>
        <w:jc w:val="center"/>
      </w:pPr>
      <w:bookmarkStart w:id="120" w:name="_bookmark120"/>
      <w:bookmarkEnd w:id="120"/>
      <w:r>
        <w:rPr>
          <w:color w:val="0562C1"/>
          <w:spacing w:val="-4"/>
          <w:u w:val="single" w:color="0562C1"/>
        </w:rPr>
        <w:t>[60]</w:t>
      </w:r>
    </w:p>
    <w:p w14:paraId="7E000A98" w14:textId="77777777" w:rsidR="009A58DB" w:rsidRDefault="00000000">
      <w:pPr>
        <w:pStyle w:val="BodyText"/>
        <w:spacing w:line="277" w:lineRule="exact"/>
        <w:ind w:left="0" w:right="5332"/>
        <w:jc w:val="center"/>
      </w:pPr>
      <w:r>
        <w:t>other</w:t>
      </w:r>
      <w:r>
        <w:rPr>
          <w:spacing w:val="-7"/>
        </w:rPr>
        <w:t xml:space="preserve"> </w:t>
      </w:r>
      <w:r>
        <w:t>spatiotemporal</w:t>
      </w:r>
      <w:r>
        <w:rPr>
          <w:spacing w:val="-6"/>
        </w:rPr>
        <w:t xml:space="preserve"> </w:t>
      </w:r>
      <w:r>
        <w:rPr>
          <w:spacing w:val="-2"/>
        </w:rPr>
        <w:t>entity.</w:t>
      </w:r>
    </w:p>
    <w:p w14:paraId="7E000A99" w14:textId="77777777" w:rsidR="009A58DB" w:rsidRDefault="009A58DB">
      <w:pPr>
        <w:pStyle w:val="BodyText"/>
        <w:spacing w:before="30"/>
        <w:ind w:left="0"/>
        <w:jc w:val="left"/>
      </w:pPr>
    </w:p>
    <w:p w14:paraId="7E000A9A" w14:textId="77777777" w:rsidR="009A58DB" w:rsidRDefault="00000000">
      <w:pPr>
        <w:pStyle w:val="BodyText"/>
        <w:spacing w:line="249" w:lineRule="auto"/>
        <w:ind w:right="361"/>
      </w:pPr>
      <w:r>
        <w:t>This argument evaluated: For two otherwise dissimilar square-shaped objects to resemble each other in respect of shape is for there to exist some shape,</w:t>
      </w:r>
      <w:r>
        <w:rPr>
          <w:spacing w:val="40"/>
        </w:rPr>
        <w:t xml:space="preserve"> </w:t>
      </w:r>
      <w:r>
        <w:t>and therefore some property, that they both have. For two otherwise dissimilar</w:t>
      </w:r>
      <w:r>
        <w:rPr>
          <w:spacing w:val="-1"/>
        </w:rPr>
        <w:t xml:space="preserve"> </w:t>
      </w:r>
      <w:r>
        <w:t>red</w:t>
      </w:r>
      <w:r>
        <w:rPr>
          <w:spacing w:val="-1"/>
        </w:rPr>
        <w:t xml:space="preserve"> </w:t>
      </w:r>
      <w:r>
        <w:t>objects</w:t>
      </w:r>
      <w:r>
        <w:rPr>
          <w:spacing w:val="-1"/>
        </w:rPr>
        <w:t xml:space="preserve"> </w:t>
      </w:r>
      <w:r>
        <w:t>to</w:t>
      </w:r>
      <w:r>
        <w:rPr>
          <w:spacing w:val="-1"/>
        </w:rPr>
        <w:t xml:space="preserve"> </w:t>
      </w:r>
      <w:r>
        <w:t>resemble</w:t>
      </w:r>
      <w:r>
        <w:rPr>
          <w:spacing w:val="-1"/>
        </w:rPr>
        <w:t xml:space="preserve"> </w:t>
      </w:r>
      <w:r>
        <w:t>each</w:t>
      </w:r>
      <w:r>
        <w:rPr>
          <w:spacing w:val="-1"/>
        </w:rPr>
        <w:t xml:space="preserve"> </w:t>
      </w:r>
      <w:r>
        <w:t>other</w:t>
      </w:r>
      <w:r>
        <w:rPr>
          <w:spacing w:val="-1"/>
        </w:rPr>
        <w:t xml:space="preserve"> </w:t>
      </w:r>
      <w:r>
        <w:t>in</w:t>
      </w:r>
      <w:r>
        <w:rPr>
          <w:spacing w:val="-1"/>
        </w:rPr>
        <w:t xml:space="preserve"> </w:t>
      </w:r>
      <w:r>
        <w:t>respect</w:t>
      </w:r>
      <w:r>
        <w:rPr>
          <w:spacing w:val="-2"/>
        </w:rPr>
        <w:t xml:space="preserve"> </w:t>
      </w:r>
      <w:r>
        <w:t>to</w:t>
      </w:r>
      <w:r>
        <w:rPr>
          <w:spacing w:val="-1"/>
        </w:rPr>
        <w:t xml:space="preserve"> </w:t>
      </w:r>
      <w:r>
        <w:t>shape</w:t>
      </w:r>
      <w:r>
        <w:rPr>
          <w:spacing w:val="-1"/>
        </w:rPr>
        <w:t xml:space="preserve"> </w:t>
      </w:r>
      <w:r>
        <w:t>is</w:t>
      </w:r>
      <w:r>
        <w:rPr>
          <w:spacing w:val="-1"/>
        </w:rPr>
        <w:t xml:space="preserve"> </w:t>
      </w:r>
      <w:r>
        <w:t>for</w:t>
      </w:r>
      <w:r>
        <w:rPr>
          <w:spacing w:val="-1"/>
        </w:rPr>
        <w:t xml:space="preserve"> </w:t>
      </w:r>
      <w:r>
        <w:t>there</w:t>
      </w:r>
      <w:r>
        <w:rPr>
          <w:spacing w:val="-1"/>
        </w:rPr>
        <w:t xml:space="preserve"> </w:t>
      </w:r>
      <w:r>
        <w:t xml:space="preserve">to exist some color, and therefore some property, that they both have. There is no such thing as </w:t>
      </w:r>
      <w:r>
        <w:rPr>
          <w:i/>
        </w:rPr>
        <w:t xml:space="preserve">mere </w:t>
      </w:r>
      <w:r>
        <w:t>resemblance; there is only resemblance in this or that respect. For two things to resemble each other in a given respect is for there</w:t>
      </w:r>
      <w:r>
        <w:rPr>
          <w:spacing w:val="40"/>
        </w:rPr>
        <w:t xml:space="preserve"> </w:t>
      </w:r>
      <w:r>
        <w:t>to</w:t>
      </w:r>
      <w:r>
        <w:rPr>
          <w:spacing w:val="40"/>
        </w:rPr>
        <w:t xml:space="preserve"> </w:t>
      </w:r>
      <w:r>
        <w:t>exist</w:t>
      </w:r>
      <w:r>
        <w:rPr>
          <w:spacing w:val="40"/>
        </w:rPr>
        <w:t xml:space="preserve"> </w:t>
      </w:r>
      <w:r>
        <w:t>a</w:t>
      </w:r>
      <w:r>
        <w:rPr>
          <w:spacing w:val="40"/>
        </w:rPr>
        <w:t xml:space="preserve"> </w:t>
      </w:r>
      <w:r>
        <w:t>property</w:t>
      </w:r>
      <w:r>
        <w:rPr>
          <w:spacing w:val="40"/>
        </w:rPr>
        <w:t xml:space="preserve"> </w:t>
      </w:r>
      <w:r>
        <w:t>that</w:t>
      </w:r>
      <w:r>
        <w:rPr>
          <w:spacing w:val="40"/>
        </w:rPr>
        <w:t xml:space="preserve"> </w:t>
      </w:r>
      <w:r>
        <w:t>they</w:t>
      </w:r>
      <w:r>
        <w:rPr>
          <w:spacing w:val="40"/>
        </w:rPr>
        <w:t xml:space="preserve"> </w:t>
      </w:r>
      <w:r>
        <w:t>share,</w:t>
      </w:r>
      <w:r>
        <w:rPr>
          <w:spacing w:val="40"/>
        </w:rPr>
        <w:t xml:space="preserve"> </w:t>
      </w:r>
      <w:r>
        <w:t>and</w:t>
      </w:r>
      <w:r>
        <w:rPr>
          <w:spacing w:val="40"/>
        </w:rPr>
        <w:t xml:space="preserve"> </w:t>
      </w:r>
      <w:r>
        <w:t>resemblance</w:t>
      </w:r>
      <w:r>
        <w:rPr>
          <w:spacing w:val="40"/>
        </w:rPr>
        <w:t xml:space="preserve"> </w:t>
      </w:r>
      <w:r>
        <w:t>nominalism</w:t>
      </w:r>
      <w:r>
        <w:rPr>
          <w:spacing w:val="40"/>
        </w:rPr>
        <w:t xml:space="preserve"> </w:t>
      </w:r>
      <w:r>
        <w:t>therefore</w:t>
      </w:r>
    </w:p>
    <w:p w14:paraId="7E000A9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9C" w14:textId="77777777" w:rsidR="009A58DB" w:rsidRDefault="00000000">
      <w:pPr>
        <w:pStyle w:val="BodyText"/>
        <w:spacing w:before="70"/>
        <w:jc w:val="left"/>
      </w:pPr>
      <w:r>
        <w:rPr>
          <w:spacing w:val="-2"/>
        </w:rPr>
        <w:lastRenderedPageBreak/>
        <w:t>collapses.</w:t>
      </w:r>
    </w:p>
    <w:p w14:paraId="7E000A9D" w14:textId="77777777" w:rsidR="009A58DB" w:rsidRDefault="00000000">
      <w:pPr>
        <w:pStyle w:val="Heading1"/>
        <w:numPr>
          <w:ilvl w:val="1"/>
          <w:numId w:val="205"/>
        </w:numPr>
        <w:tabs>
          <w:tab w:val="left" w:pos="990"/>
        </w:tabs>
        <w:spacing w:before="198"/>
      </w:pPr>
      <w:r>
        <w:t>Argument</w:t>
      </w:r>
      <w:r>
        <w:rPr>
          <w:spacing w:val="-4"/>
        </w:rPr>
        <w:t xml:space="preserve"> </w:t>
      </w:r>
      <w:r>
        <w:t>#8:</w:t>
      </w:r>
      <w:r>
        <w:rPr>
          <w:spacing w:val="-4"/>
        </w:rPr>
        <w:t xml:space="preserve"> </w:t>
      </w:r>
      <w:r>
        <w:rPr>
          <w:spacing w:val="-2"/>
        </w:rPr>
        <w:t>Conventionalism</w:t>
      </w:r>
    </w:p>
    <w:p w14:paraId="7E000A9E" w14:textId="77777777" w:rsidR="009A58DB" w:rsidRDefault="00000000">
      <w:pPr>
        <w:pStyle w:val="BodyText"/>
        <w:spacing w:before="139" w:line="249" w:lineRule="auto"/>
        <w:ind w:left="720" w:right="721"/>
      </w:pPr>
      <w:r>
        <w:t>The only non-empirical truths are linguistic conventions (e.g., “there are three feet in a yard”). Therefore, all non-conventional truths are empirical. Empirical truths register spatiotemporal facts. Conventions, whether</w:t>
      </w:r>
      <w:r>
        <w:rPr>
          <w:spacing w:val="35"/>
        </w:rPr>
        <w:t xml:space="preserve">  </w:t>
      </w:r>
      <w:r>
        <w:t>linguistic</w:t>
      </w:r>
      <w:r>
        <w:rPr>
          <w:spacing w:val="35"/>
        </w:rPr>
        <w:t xml:space="preserve">  </w:t>
      </w:r>
      <w:r>
        <w:t>or</w:t>
      </w:r>
      <w:r>
        <w:rPr>
          <w:spacing w:val="35"/>
        </w:rPr>
        <w:t xml:space="preserve">  </w:t>
      </w:r>
      <w:r>
        <w:t>not,</w:t>
      </w:r>
      <w:r>
        <w:rPr>
          <w:spacing w:val="36"/>
        </w:rPr>
        <w:t xml:space="preserve">  </w:t>
      </w:r>
      <w:r>
        <w:t>are</w:t>
      </w:r>
      <w:r>
        <w:rPr>
          <w:spacing w:val="35"/>
        </w:rPr>
        <w:t xml:space="preserve">  </w:t>
      </w:r>
      <w:r>
        <w:t>obviously</w:t>
      </w:r>
      <w:r>
        <w:rPr>
          <w:spacing w:val="36"/>
        </w:rPr>
        <w:t xml:space="preserve">  </w:t>
      </w:r>
      <w:r>
        <w:t>spatiotemporal</w:t>
      </w:r>
      <w:r>
        <w:rPr>
          <w:spacing w:val="35"/>
        </w:rPr>
        <w:t xml:space="preserve">  </w:t>
      </w:r>
      <w:r>
        <w:rPr>
          <w:spacing w:val="-2"/>
        </w:rPr>
        <w:t>entities.</w:t>
      </w:r>
    </w:p>
    <w:p w14:paraId="7E000A9F" w14:textId="77777777" w:rsidR="009A58DB" w:rsidRDefault="00000000">
      <w:pPr>
        <w:pStyle w:val="BodyText"/>
        <w:spacing w:before="5" w:line="277" w:lineRule="exact"/>
        <w:ind w:left="1384"/>
        <w:jc w:val="center"/>
      </w:pPr>
      <w:bookmarkStart w:id="121" w:name="_bookmark121"/>
      <w:bookmarkEnd w:id="121"/>
      <w:r>
        <w:rPr>
          <w:color w:val="0562C1"/>
          <w:spacing w:val="-4"/>
          <w:u w:val="single" w:color="0562C1"/>
        </w:rPr>
        <w:t>[61]</w:t>
      </w:r>
    </w:p>
    <w:p w14:paraId="7E000AA0" w14:textId="77777777" w:rsidR="009A58DB" w:rsidRDefault="00000000">
      <w:pPr>
        <w:pStyle w:val="BodyText"/>
        <w:spacing w:line="277" w:lineRule="exact"/>
        <w:ind w:left="0" w:right="3875"/>
        <w:jc w:val="center"/>
      </w:pPr>
      <w:r>
        <w:t>Therefore,</w:t>
      </w:r>
      <w:r>
        <w:rPr>
          <w:spacing w:val="-4"/>
        </w:rPr>
        <w:t xml:space="preserve"> </w:t>
      </w:r>
      <w:r>
        <w:t>all</w:t>
      </w:r>
      <w:r>
        <w:rPr>
          <w:spacing w:val="-5"/>
        </w:rPr>
        <w:t xml:space="preserve"> </w:t>
      </w:r>
      <w:r>
        <w:t>truths</w:t>
      </w:r>
      <w:r>
        <w:rPr>
          <w:spacing w:val="-4"/>
        </w:rPr>
        <w:t xml:space="preserve"> </w:t>
      </w:r>
      <w:r>
        <w:t>are</w:t>
      </w:r>
      <w:r>
        <w:rPr>
          <w:spacing w:val="-4"/>
        </w:rPr>
        <w:t xml:space="preserve"> </w:t>
      </w:r>
      <w:r>
        <w:rPr>
          <w:spacing w:val="-2"/>
        </w:rPr>
        <w:t>spatiotemporal.</w:t>
      </w:r>
    </w:p>
    <w:p w14:paraId="7E000AA1" w14:textId="77777777" w:rsidR="009A58DB" w:rsidRDefault="009A58DB">
      <w:pPr>
        <w:pStyle w:val="BodyText"/>
        <w:spacing w:before="29"/>
        <w:ind w:left="0"/>
        <w:jc w:val="left"/>
      </w:pPr>
    </w:p>
    <w:p w14:paraId="7E000AA2" w14:textId="77777777" w:rsidR="009A58DB" w:rsidRDefault="00000000">
      <w:pPr>
        <w:pStyle w:val="BodyText"/>
        <w:spacing w:before="1" w:line="249" w:lineRule="auto"/>
        <w:ind w:right="359"/>
        <w:rPr>
          <w:position w:val="21"/>
        </w:rPr>
      </w:pPr>
      <w:r>
        <w:t>This argument evaluated: Since conventionalism is evaluated in Chapters 1, 13, and 18, we can be brief.</w:t>
      </w:r>
      <w:bookmarkStart w:id="122" w:name="_bookmark122"/>
      <w:bookmarkEnd w:id="122"/>
      <w:r>
        <w:rPr>
          <w:color w:val="0562C1"/>
          <w:position w:val="21"/>
          <w:u w:val="single" w:color="0562C1"/>
        </w:rPr>
        <w:t>[62]</w:t>
      </w:r>
      <w:r>
        <w:rPr>
          <w:color w:val="0562C1"/>
          <w:position w:val="21"/>
        </w:rPr>
        <w:t xml:space="preserve"> </w:t>
      </w:r>
      <w:r>
        <w:t xml:space="preserve">Not all non-empirical truths are conventions. It’s a non-empirical truth that there are continuous functions that cannot be differentiated at any point. But it’s not a convention. </w:t>
      </w:r>
      <w:r>
        <w:rPr>
          <w:i/>
        </w:rPr>
        <w:t xml:space="preserve">Given </w:t>
      </w:r>
      <w:r>
        <w:t xml:space="preserve">the symbolic conventions that govern our usage of the relevant words (“continuous”, “function,” “differentiated”, etc.), it </w:t>
      </w:r>
      <w:r>
        <w:rPr>
          <w:i/>
        </w:rPr>
        <w:t xml:space="preserve">follows </w:t>
      </w:r>
      <w:r>
        <w:t xml:space="preserve">that the sentence “there are continuous functions that cannot be differentiated at any point” expresses a truth. But this means that it holds in virtue of convention </w:t>
      </w:r>
      <w:r>
        <w:rPr>
          <w:i/>
        </w:rPr>
        <w:t xml:space="preserve">plus </w:t>
      </w:r>
      <w:r>
        <w:t>some various non-conventional facts. Those facts are not empirical; they don’t concern the spatiotemporal world. Therefore, the fact described by that sentence is not spatiotemporal. Further, since that fact concerns logical structures of properties (e.g., the property of being differentiable), it follows that there are properties. Since, as we just noted, that fact is non-spatiotemporal, it follows that properties are non-spatiotemporal</w:t>
      </w:r>
      <w:bookmarkStart w:id="123" w:name="_bookmark123"/>
      <w:bookmarkEnd w:id="123"/>
      <w:r>
        <w:t>.</w:t>
      </w:r>
      <w:r>
        <w:rPr>
          <w:color w:val="0562C1"/>
          <w:position w:val="21"/>
          <w:u w:val="single" w:color="0562C1"/>
        </w:rPr>
        <w:t>[63]</w:t>
      </w:r>
    </w:p>
    <w:p w14:paraId="7E000AA3" w14:textId="77777777" w:rsidR="009A58DB" w:rsidRDefault="00000000">
      <w:pPr>
        <w:pStyle w:val="Heading1"/>
        <w:numPr>
          <w:ilvl w:val="0"/>
          <w:numId w:val="204"/>
        </w:numPr>
        <w:tabs>
          <w:tab w:val="left" w:pos="990"/>
        </w:tabs>
        <w:spacing w:before="220"/>
      </w:pPr>
      <w:r>
        <w:rPr>
          <w:spacing w:val="-2"/>
        </w:rPr>
        <w:t>Nominalism</w:t>
      </w:r>
    </w:p>
    <w:p w14:paraId="7E000AA4" w14:textId="77777777" w:rsidR="009A58DB" w:rsidRDefault="00000000">
      <w:pPr>
        <w:pStyle w:val="BodyText"/>
        <w:spacing w:before="139" w:line="249" w:lineRule="auto"/>
        <w:ind w:right="366"/>
      </w:pPr>
      <w:r>
        <w:t xml:space="preserve">Many medieval philosophers, and some 20th century philosophers, held that properties are identical with words and, therefore, that properties are not </w:t>
      </w:r>
      <w:r>
        <w:rPr>
          <w:spacing w:val="-2"/>
        </w:rPr>
        <w:t>spatiotemporal.</w:t>
      </w:r>
    </w:p>
    <w:p w14:paraId="7E000AA5" w14:textId="77777777" w:rsidR="009A58DB" w:rsidRDefault="00000000">
      <w:pPr>
        <w:pStyle w:val="BodyText"/>
        <w:spacing w:before="4" w:line="249" w:lineRule="auto"/>
        <w:ind w:right="367" w:firstLine="360"/>
      </w:pPr>
      <w:r>
        <w:t xml:space="preserve">But this position is incoherent, since words and linguistic expressions generally are </w:t>
      </w:r>
      <w:r>
        <w:rPr>
          <w:i/>
        </w:rPr>
        <w:t xml:space="preserve">themselves </w:t>
      </w:r>
      <w:r>
        <w:t>universals or properties. How many words are right below this sentence?</w:t>
      </w:r>
    </w:p>
    <w:p w14:paraId="7E000AA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A7" w14:textId="77777777" w:rsidR="009A58DB" w:rsidRDefault="00000000">
      <w:pPr>
        <w:pStyle w:val="BodyText"/>
        <w:spacing w:before="65"/>
        <w:jc w:val="left"/>
      </w:pPr>
      <w:r>
        <w:rPr>
          <w:spacing w:val="-2"/>
        </w:rPr>
        <w:lastRenderedPageBreak/>
        <w:t>“snow”</w:t>
      </w:r>
    </w:p>
    <w:p w14:paraId="7E000AA8" w14:textId="77777777" w:rsidR="009A58DB" w:rsidRDefault="00000000">
      <w:pPr>
        <w:pStyle w:val="BodyText"/>
        <w:spacing w:before="15"/>
        <w:jc w:val="left"/>
      </w:pPr>
      <w:r>
        <w:rPr>
          <w:spacing w:val="-2"/>
        </w:rPr>
        <w:t>“snow”</w:t>
      </w:r>
    </w:p>
    <w:p w14:paraId="7E000AA9" w14:textId="77777777" w:rsidR="009A58DB" w:rsidRDefault="00000000">
      <w:pPr>
        <w:pStyle w:val="BodyText"/>
        <w:spacing w:before="15"/>
        <w:jc w:val="left"/>
      </w:pPr>
      <w:r>
        <w:rPr>
          <w:spacing w:val="-2"/>
        </w:rPr>
        <w:t>“snow”</w:t>
      </w:r>
    </w:p>
    <w:p w14:paraId="7E000AAA" w14:textId="77777777" w:rsidR="009A58DB" w:rsidRDefault="009A58DB">
      <w:pPr>
        <w:pStyle w:val="BodyText"/>
        <w:spacing w:before="30"/>
        <w:ind w:left="0"/>
        <w:jc w:val="left"/>
      </w:pPr>
    </w:p>
    <w:p w14:paraId="7E000AAB" w14:textId="77777777" w:rsidR="009A58DB" w:rsidRDefault="00000000">
      <w:pPr>
        <w:pStyle w:val="BodyText"/>
        <w:spacing w:line="249" w:lineRule="auto"/>
        <w:ind w:right="360"/>
      </w:pPr>
      <w:r>
        <w:t>Is</w:t>
      </w:r>
      <w:r>
        <w:rPr>
          <w:spacing w:val="-1"/>
        </w:rPr>
        <w:t xml:space="preserve"> </w:t>
      </w:r>
      <w:r>
        <w:t>it</w:t>
      </w:r>
      <w:r>
        <w:rPr>
          <w:spacing w:val="-1"/>
        </w:rPr>
        <w:t xml:space="preserve"> </w:t>
      </w:r>
      <w:r>
        <w:t>one</w:t>
      </w:r>
      <w:r>
        <w:rPr>
          <w:spacing w:val="-1"/>
        </w:rPr>
        <w:t xml:space="preserve"> </w:t>
      </w:r>
      <w:r>
        <w:t>or</w:t>
      </w:r>
      <w:r>
        <w:rPr>
          <w:spacing w:val="-1"/>
        </w:rPr>
        <w:t xml:space="preserve"> </w:t>
      </w:r>
      <w:r>
        <w:t>three?</w:t>
      </w:r>
      <w:r>
        <w:rPr>
          <w:spacing w:val="-1"/>
        </w:rPr>
        <w:t xml:space="preserve"> </w:t>
      </w:r>
      <w:r>
        <w:t>The</w:t>
      </w:r>
      <w:r>
        <w:rPr>
          <w:spacing w:val="-1"/>
        </w:rPr>
        <w:t xml:space="preserve"> </w:t>
      </w:r>
      <w:r>
        <w:t>answer:</w:t>
      </w:r>
      <w:r>
        <w:rPr>
          <w:spacing w:val="-1"/>
        </w:rPr>
        <w:t xml:space="preserve"> </w:t>
      </w:r>
      <w:r>
        <w:t>there</w:t>
      </w:r>
      <w:r>
        <w:rPr>
          <w:spacing w:val="-1"/>
        </w:rPr>
        <w:t xml:space="preserve"> </w:t>
      </w:r>
      <w:r>
        <w:t>are</w:t>
      </w:r>
      <w:r>
        <w:rPr>
          <w:spacing w:val="-1"/>
        </w:rPr>
        <w:t xml:space="preserve"> </w:t>
      </w:r>
      <w:r>
        <w:t>three</w:t>
      </w:r>
      <w:r>
        <w:rPr>
          <w:spacing w:val="-1"/>
        </w:rPr>
        <w:t xml:space="preserve"> </w:t>
      </w:r>
      <w:r>
        <w:rPr>
          <w:i/>
        </w:rPr>
        <w:t>instances</w:t>
      </w:r>
      <w:r>
        <w:rPr>
          <w:i/>
          <w:spacing w:val="-3"/>
        </w:rPr>
        <w:t xml:space="preserve"> </w:t>
      </w:r>
      <w:r>
        <w:t>of</w:t>
      </w:r>
      <w:r>
        <w:rPr>
          <w:spacing w:val="-3"/>
        </w:rPr>
        <w:t xml:space="preserve"> </w:t>
      </w:r>
      <w:r>
        <w:t>one</w:t>
      </w:r>
      <w:r>
        <w:rPr>
          <w:spacing w:val="-3"/>
        </w:rPr>
        <w:t xml:space="preserve"> </w:t>
      </w:r>
      <w:r>
        <w:rPr>
          <w:i/>
        </w:rPr>
        <w:t>word.</w:t>
      </w:r>
      <w:r>
        <w:rPr>
          <w:i/>
          <w:spacing w:val="-2"/>
        </w:rPr>
        <w:t xml:space="preserve"> </w:t>
      </w:r>
      <w:r>
        <w:t>To</w:t>
      </w:r>
      <w:r>
        <w:rPr>
          <w:spacing w:val="-2"/>
        </w:rPr>
        <w:t xml:space="preserve"> </w:t>
      </w:r>
      <w:r>
        <w:t>put</w:t>
      </w:r>
      <w:r>
        <w:rPr>
          <w:spacing w:val="-3"/>
        </w:rPr>
        <w:t xml:space="preserve"> </w:t>
      </w:r>
      <w:r>
        <w:t xml:space="preserve">it another way, there are three </w:t>
      </w:r>
      <w:r>
        <w:rPr>
          <w:i/>
        </w:rPr>
        <w:t xml:space="preserve">s tokens </w:t>
      </w:r>
      <w:r>
        <w:t>of one word-</w:t>
      </w:r>
      <w:r>
        <w:rPr>
          <w:i/>
        </w:rPr>
        <w:t>type</w:t>
      </w:r>
      <w:bookmarkStart w:id="124" w:name="_bookmark124"/>
      <w:bookmarkEnd w:id="124"/>
      <w:r>
        <w:rPr>
          <w:i/>
        </w:rPr>
        <w:t>.</w:t>
      </w:r>
      <w:r>
        <w:rPr>
          <w:color w:val="0562C1"/>
          <w:position w:val="21"/>
          <w:u w:val="single" w:color="0562C1"/>
        </w:rPr>
        <w:t>[64]</w:t>
      </w:r>
      <w:r>
        <w:rPr>
          <w:color w:val="0562C1"/>
          <w:position w:val="21"/>
        </w:rPr>
        <w:t xml:space="preserve"> </w:t>
      </w:r>
      <w:r>
        <w:rPr>
          <w:i/>
        </w:rPr>
        <w:t xml:space="preserve">Instances </w:t>
      </w:r>
      <w:r>
        <w:t>of an expression are called expression-tokens and the expressions themselves are called expression-types.</w:t>
      </w:r>
    </w:p>
    <w:p w14:paraId="7E000AAC" w14:textId="77777777" w:rsidR="009A58DB" w:rsidRDefault="00000000">
      <w:pPr>
        <w:pStyle w:val="BodyText"/>
        <w:spacing w:before="5" w:line="249" w:lineRule="auto"/>
        <w:ind w:right="358" w:firstLine="360"/>
      </w:pPr>
      <w:r>
        <w:t>No one utterance of the word “snow” is identical with that word. It’s not</w:t>
      </w:r>
      <w:r>
        <w:rPr>
          <w:spacing w:val="40"/>
        </w:rPr>
        <w:t xml:space="preserve"> </w:t>
      </w:r>
      <w:r>
        <w:t xml:space="preserve">as though the word-type “snow” will disappear when the inscriptions of it in the line above this one is destroyed. That word-type is a </w:t>
      </w:r>
      <w:r>
        <w:rPr>
          <w:i/>
        </w:rPr>
        <w:t xml:space="preserve">property </w:t>
      </w:r>
      <w:r>
        <w:t xml:space="preserve">of certain deposits of ink (e.g., the ones above) and burst of noise, and those ink-deposits and bursts of noise are therefore instances of that property. This shows that, even if the nominalist is right to replace identify the property of being a rock with the word “rock,” he has still conceded the truth of </w:t>
      </w:r>
      <w:r>
        <w:rPr>
          <w:spacing w:val="-2"/>
        </w:rPr>
        <w:t>Platonism.</w:t>
      </w:r>
    </w:p>
    <w:p w14:paraId="7E000AAD" w14:textId="77777777" w:rsidR="009A58DB" w:rsidRDefault="00000000">
      <w:pPr>
        <w:pStyle w:val="BodyText"/>
        <w:spacing w:before="10" w:line="249" w:lineRule="auto"/>
        <w:ind w:right="359" w:firstLine="360"/>
      </w:pPr>
      <w:r>
        <w:t>Plus, that property isn’t identical with that word. The Spanish word for rock is “piedra.” It would be arbitrary to identify that property with the word “rock” but not with the word “piedra.” Since “rock” and “piedra” are obviously different words, the nominalist must say that the property of being a rock is not identical with itself, which is absurd.</w:t>
      </w:r>
    </w:p>
    <w:p w14:paraId="7E000AAE" w14:textId="77777777" w:rsidR="009A58DB" w:rsidRDefault="00000000">
      <w:pPr>
        <w:pStyle w:val="BodyText"/>
        <w:spacing w:before="6" w:line="249" w:lineRule="auto"/>
        <w:ind w:right="363" w:firstLine="360"/>
      </w:pPr>
      <w:r>
        <w:t>All</w:t>
      </w:r>
      <w:r>
        <w:rPr>
          <w:spacing w:val="-4"/>
        </w:rPr>
        <w:t xml:space="preserve"> </w:t>
      </w:r>
      <w:r>
        <w:t>of</w:t>
      </w:r>
      <w:r>
        <w:rPr>
          <w:spacing w:val="-4"/>
        </w:rPr>
        <w:t xml:space="preserve"> </w:t>
      </w:r>
      <w:r>
        <w:t>these</w:t>
      </w:r>
      <w:r>
        <w:rPr>
          <w:spacing w:val="-4"/>
        </w:rPr>
        <w:t xml:space="preserve"> </w:t>
      </w:r>
      <w:r>
        <w:t>points</w:t>
      </w:r>
      <w:r>
        <w:rPr>
          <w:spacing w:val="-4"/>
        </w:rPr>
        <w:t xml:space="preserve"> </w:t>
      </w:r>
      <w:r>
        <w:t>aside,</w:t>
      </w:r>
      <w:r>
        <w:rPr>
          <w:spacing w:val="-3"/>
        </w:rPr>
        <w:t xml:space="preserve"> </w:t>
      </w:r>
      <w:r>
        <w:t>it</w:t>
      </w:r>
      <w:r>
        <w:rPr>
          <w:spacing w:val="-4"/>
        </w:rPr>
        <w:t xml:space="preserve"> </w:t>
      </w:r>
      <w:r>
        <w:t>makes</w:t>
      </w:r>
      <w:r>
        <w:rPr>
          <w:spacing w:val="-4"/>
        </w:rPr>
        <w:t xml:space="preserve"> </w:t>
      </w:r>
      <w:r>
        <w:t>no</w:t>
      </w:r>
      <w:r>
        <w:rPr>
          <w:spacing w:val="-3"/>
        </w:rPr>
        <w:t xml:space="preserve"> </w:t>
      </w:r>
      <w:r>
        <w:t>sense</w:t>
      </w:r>
      <w:r>
        <w:rPr>
          <w:spacing w:val="-4"/>
        </w:rPr>
        <w:t xml:space="preserve"> </w:t>
      </w:r>
      <w:r>
        <w:t>to</w:t>
      </w:r>
      <w:r>
        <w:rPr>
          <w:spacing w:val="-3"/>
        </w:rPr>
        <w:t xml:space="preserve"> </w:t>
      </w:r>
      <w:r>
        <w:t>identify</w:t>
      </w:r>
      <w:r>
        <w:rPr>
          <w:spacing w:val="-3"/>
        </w:rPr>
        <w:t xml:space="preserve"> </w:t>
      </w:r>
      <w:r>
        <w:t>that</w:t>
      </w:r>
      <w:r>
        <w:rPr>
          <w:spacing w:val="-4"/>
        </w:rPr>
        <w:t xml:space="preserve"> </w:t>
      </w:r>
      <w:r>
        <w:t>property,</w:t>
      </w:r>
      <w:r>
        <w:rPr>
          <w:spacing w:val="-3"/>
        </w:rPr>
        <w:t xml:space="preserve"> </w:t>
      </w:r>
      <w:r>
        <w:t>or</w:t>
      </w:r>
      <w:r>
        <w:rPr>
          <w:spacing w:val="-4"/>
        </w:rPr>
        <w:t xml:space="preserve"> </w:t>
      </w:r>
      <w:r>
        <w:t>any other,</w:t>
      </w:r>
      <w:r>
        <w:rPr>
          <w:spacing w:val="-3"/>
        </w:rPr>
        <w:t xml:space="preserve"> </w:t>
      </w:r>
      <w:r>
        <w:t>with</w:t>
      </w:r>
      <w:r>
        <w:rPr>
          <w:spacing w:val="-3"/>
        </w:rPr>
        <w:t xml:space="preserve"> </w:t>
      </w:r>
      <w:r>
        <w:t>a</w:t>
      </w:r>
      <w:r>
        <w:rPr>
          <w:spacing w:val="-4"/>
        </w:rPr>
        <w:t xml:space="preserve"> </w:t>
      </w:r>
      <w:r>
        <w:t>word.</w:t>
      </w:r>
      <w:r>
        <w:rPr>
          <w:spacing w:val="-3"/>
        </w:rPr>
        <w:t xml:space="preserve"> </w:t>
      </w:r>
      <w:r>
        <w:t>A</w:t>
      </w:r>
      <w:r>
        <w:rPr>
          <w:spacing w:val="-4"/>
        </w:rPr>
        <w:t xml:space="preserve"> </w:t>
      </w:r>
      <w:r>
        <w:t>thing’s</w:t>
      </w:r>
      <w:r>
        <w:rPr>
          <w:spacing w:val="-4"/>
        </w:rPr>
        <w:t xml:space="preserve"> </w:t>
      </w:r>
      <w:r>
        <w:t>being</w:t>
      </w:r>
      <w:r>
        <w:rPr>
          <w:spacing w:val="-3"/>
        </w:rPr>
        <w:t xml:space="preserve"> </w:t>
      </w:r>
      <w:r>
        <w:t>a</w:t>
      </w:r>
      <w:r>
        <w:rPr>
          <w:spacing w:val="-4"/>
        </w:rPr>
        <w:t xml:space="preserve"> </w:t>
      </w:r>
      <w:r>
        <w:t>rock</w:t>
      </w:r>
      <w:r>
        <w:rPr>
          <w:spacing w:val="-3"/>
        </w:rPr>
        <w:t xml:space="preserve"> </w:t>
      </w:r>
      <w:r>
        <w:t>has</w:t>
      </w:r>
      <w:r>
        <w:rPr>
          <w:spacing w:val="-4"/>
        </w:rPr>
        <w:t xml:space="preserve"> </w:t>
      </w:r>
      <w:r>
        <w:t>nothing</w:t>
      </w:r>
      <w:r>
        <w:rPr>
          <w:spacing w:val="-3"/>
        </w:rPr>
        <w:t xml:space="preserve"> </w:t>
      </w:r>
      <w:r>
        <w:t>to</w:t>
      </w:r>
      <w:r>
        <w:rPr>
          <w:spacing w:val="-3"/>
        </w:rPr>
        <w:t xml:space="preserve"> </w:t>
      </w:r>
      <w:r>
        <w:t>do</w:t>
      </w:r>
      <w:r>
        <w:rPr>
          <w:spacing w:val="-3"/>
        </w:rPr>
        <w:t xml:space="preserve"> </w:t>
      </w:r>
      <w:r>
        <w:t>with</w:t>
      </w:r>
      <w:r>
        <w:rPr>
          <w:spacing w:val="-3"/>
        </w:rPr>
        <w:t xml:space="preserve"> </w:t>
      </w:r>
      <w:r>
        <w:t>words;</w:t>
      </w:r>
      <w:r>
        <w:rPr>
          <w:spacing w:val="-4"/>
        </w:rPr>
        <w:t xml:space="preserve"> </w:t>
      </w:r>
      <w:r>
        <w:t>there were rocks before there were words.</w:t>
      </w:r>
    </w:p>
    <w:p w14:paraId="7E000AAF" w14:textId="77777777" w:rsidR="009A58DB" w:rsidRDefault="00000000">
      <w:pPr>
        <w:pStyle w:val="Heading1"/>
        <w:numPr>
          <w:ilvl w:val="0"/>
          <w:numId w:val="204"/>
        </w:numPr>
        <w:tabs>
          <w:tab w:val="left" w:pos="990"/>
        </w:tabs>
        <w:spacing w:before="191"/>
      </w:pPr>
      <w:r>
        <w:t>Properties</w:t>
      </w:r>
      <w:r>
        <w:rPr>
          <w:spacing w:val="-9"/>
        </w:rPr>
        <w:t xml:space="preserve"> </w:t>
      </w:r>
      <w:r>
        <w:rPr>
          <w:spacing w:val="-2"/>
        </w:rPr>
        <w:t>demystified</w:t>
      </w:r>
    </w:p>
    <w:p w14:paraId="7E000AB0" w14:textId="77777777" w:rsidR="009A58DB" w:rsidRDefault="00000000">
      <w:pPr>
        <w:pStyle w:val="BodyText"/>
        <w:spacing w:before="139" w:line="249" w:lineRule="auto"/>
        <w:ind w:right="360"/>
      </w:pPr>
      <w:r>
        <w:t>David Armstrong (1989) says that properties are “ways that things can be.” To be round is to be one way; to be square is another. Armstrong’s conception of what properties are is a fruitful one; and if it is kept in mind that</w:t>
      </w:r>
      <w:r>
        <w:rPr>
          <w:spacing w:val="-2"/>
        </w:rPr>
        <w:t xml:space="preserve"> </w:t>
      </w:r>
      <w:r>
        <w:t>properties</w:t>
      </w:r>
      <w:r>
        <w:rPr>
          <w:spacing w:val="-1"/>
        </w:rPr>
        <w:t xml:space="preserve"> </w:t>
      </w:r>
      <w:r>
        <w:t>are</w:t>
      </w:r>
      <w:r>
        <w:rPr>
          <w:spacing w:val="-2"/>
        </w:rPr>
        <w:t xml:space="preserve"> </w:t>
      </w:r>
      <w:r>
        <w:t>just</w:t>
      </w:r>
      <w:r>
        <w:rPr>
          <w:spacing w:val="-1"/>
        </w:rPr>
        <w:t xml:space="preserve"> </w:t>
      </w:r>
      <w:r>
        <w:t>ways</w:t>
      </w:r>
      <w:r>
        <w:rPr>
          <w:spacing w:val="-2"/>
        </w:rPr>
        <w:t xml:space="preserve"> </w:t>
      </w:r>
      <w:r>
        <w:t>that</w:t>
      </w:r>
      <w:r>
        <w:rPr>
          <w:spacing w:val="-1"/>
        </w:rPr>
        <w:t xml:space="preserve"> </w:t>
      </w:r>
      <w:r>
        <w:t>things</w:t>
      </w:r>
      <w:r>
        <w:rPr>
          <w:spacing w:val="-1"/>
        </w:rPr>
        <w:t xml:space="preserve"> </w:t>
      </w:r>
      <w:r>
        <w:t>can</w:t>
      </w:r>
      <w:r>
        <w:rPr>
          <w:spacing w:val="-2"/>
        </w:rPr>
        <w:t xml:space="preserve"> </w:t>
      </w:r>
      <w:r>
        <w:t>be,</w:t>
      </w:r>
      <w:r>
        <w:rPr>
          <w:spacing w:val="-1"/>
        </w:rPr>
        <w:t xml:space="preserve"> </w:t>
      </w:r>
      <w:r>
        <w:t>the</w:t>
      </w:r>
      <w:r>
        <w:rPr>
          <w:spacing w:val="-2"/>
        </w:rPr>
        <w:t xml:space="preserve"> </w:t>
      </w:r>
      <w:r>
        <w:t>resistances</w:t>
      </w:r>
      <w:r>
        <w:rPr>
          <w:spacing w:val="-1"/>
        </w:rPr>
        <w:t xml:space="preserve"> </w:t>
      </w:r>
      <w:r>
        <w:t>that</w:t>
      </w:r>
      <w:r>
        <w:rPr>
          <w:spacing w:val="-2"/>
        </w:rPr>
        <w:t xml:space="preserve"> </w:t>
      </w:r>
      <w:r>
        <w:t>we</w:t>
      </w:r>
      <w:r>
        <w:rPr>
          <w:spacing w:val="-1"/>
        </w:rPr>
        <w:t xml:space="preserve"> </w:t>
      </w:r>
      <w:r>
        <w:t>have</w:t>
      </w:r>
      <w:r>
        <w:rPr>
          <w:spacing w:val="-1"/>
        </w:rPr>
        <w:t xml:space="preserve"> </w:t>
      </w:r>
      <w:r>
        <w:t>to accepting their existence crumble.</w:t>
      </w:r>
    </w:p>
    <w:p w14:paraId="7E000AB1" w14:textId="77777777" w:rsidR="009A58DB" w:rsidRDefault="00000000">
      <w:pPr>
        <w:pStyle w:val="BodyText"/>
        <w:spacing w:before="7" w:line="249" w:lineRule="auto"/>
        <w:ind w:right="363" w:firstLine="360"/>
        <w:rPr>
          <w:i/>
        </w:rPr>
      </w:pPr>
      <w:r>
        <w:t>Nobody denies that there are ways things can be. To say that there are ways things can be is to say that there are possibilities as to how things can be.</w:t>
      </w:r>
      <w:r>
        <w:rPr>
          <w:spacing w:val="17"/>
        </w:rPr>
        <w:t xml:space="preserve"> </w:t>
      </w:r>
      <w:r>
        <w:t>Not</w:t>
      </w:r>
      <w:r>
        <w:rPr>
          <w:spacing w:val="17"/>
        </w:rPr>
        <w:t xml:space="preserve"> </w:t>
      </w:r>
      <w:r>
        <w:t>all</w:t>
      </w:r>
      <w:r>
        <w:rPr>
          <w:spacing w:val="17"/>
        </w:rPr>
        <w:t xml:space="preserve"> </w:t>
      </w:r>
      <w:r>
        <w:t>of</w:t>
      </w:r>
      <w:r>
        <w:rPr>
          <w:spacing w:val="17"/>
        </w:rPr>
        <w:t xml:space="preserve"> </w:t>
      </w:r>
      <w:r>
        <w:t>those</w:t>
      </w:r>
      <w:r>
        <w:rPr>
          <w:spacing w:val="17"/>
        </w:rPr>
        <w:t xml:space="preserve"> </w:t>
      </w:r>
      <w:r>
        <w:t>possibilities</w:t>
      </w:r>
      <w:r>
        <w:rPr>
          <w:spacing w:val="17"/>
        </w:rPr>
        <w:t xml:space="preserve"> </w:t>
      </w:r>
      <w:r>
        <w:t>are</w:t>
      </w:r>
      <w:r>
        <w:rPr>
          <w:spacing w:val="17"/>
        </w:rPr>
        <w:t xml:space="preserve"> </w:t>
      </w:r>
      <w:r>
        <w:t>actualized.</w:t>
      </w:r>
      <w:r>
        <w:rPr>
          <w:spacing w:val="17"/>
        </w:rPr>
        <w:t xml:space="preserve"> </w:t>
      </w:r>
      <w:r>
        <w:t>Not</w:t>
      </w:r>
      <w:r>
        <w:rPr>
          <w:spacing w:val="17"/>
        </w:rPr>
        <w:t xml:space="preserve"> </w:t>
      </w:r>
      <w:r>
        <w:t>everything</w:t>
      </w:r>
      <w:r>
        <w:rPr>
          <w:spacing w:val="17"/>
        </w:rPr>
        <w:t xml:space="preserve"> </w:t>
      </w:r>
      <w:r>
        <w:t>that</w:t>
      </w:r>
      <w:r>
        <w:rPr>
          <w:spacing w:val="17"/>
        </w:rPr>
        <w:t xml:space="preserve"> </w:t>
      </w:r>
      <w:r>
        <w:rPr>
          <w:i/>
        </w:rPr>
        <w:t>could be</w:t>
      </w:r>
    </w:p>
    <w:p w14:paraId="7E000AB2" w14:textId="77777777" w:rsidR="009A58DB" w:rsidRDefault="009A58DB">
      <w:pPr>
        <w:pStyle w:val="BodyText"/>
        <w:spacing w:line="249" w:lineRule="auto"/>
        <w:rPr>
          <w:i/>
        </w:rPr>
        <w:sectPr w:rsidR="009A58DB">
          <w:pgSz w:w="12240" w:h="15840"/>
          <w:pgMar w:top="1740" w:right="1080" w:bottom="280" w:left="1080" w:header="720" w:footer="720" w:gutter="0"/>
          <w:cols w:space="720"/>
        </w:sectPr>
      </w:pPr>
    </w:p>
    <w:p w14:paraId="7E000AB3" w14:textId="77777777" w:rsidR="009A58DB" w:rsidRDefault="00000000">
      <w:pPr>
        <w:pStyle w:val="BodyText"/>
        <w:spacing w:before="60" w:line="249" w:lineRule="auto"/>
        <w:ind w:right="360"/>
      </w:pPr>
      <w:r>
        <w:lastRenderedPageBreak/>
        <w:t>the case is the case. Now, actualized possibilities are in space-time</w:t>
      </w:r>
      <w:bookmarkStart w:id="125" w:name="_bookmark125"/>
      <w:bookmarkEnd w:id="125"/>
      <w:r>
        <w:t>.</w:t>
      </w:r>
      <w:r>
        <w:rPr>
          <w:color w:val="0562C1"/>
          <w:position w:val="21"/>
          <w:u w:val="single" w:color="0562C1"/>
        </w:rPr>
        <w:t>[65]</w:t>
      </w:r>
      <w:r>
        <w:rPr>
          <w:color w:val="0562C1"/>
          <w:position w:val="21"/>
        </w:rPr>
        <w:t xml:space="preserve"> </w:t>
      </w:r>
      <w:r>
        <w:t xml:space="preserve">But </w:t>
      </w:r>
      <w:r>
        <w:rPr>
          <w:i/>
        </w:rPr>
        <w:t xml:space="preserve">unactualized </w:t>
      </w:r>
      <w:r>
        <w:t xml:space="preserve">possibilities— possibilities that never “came true”—are surely </w:t>
      </w:r>
      <w:r>
        <w:rPr>
          <w:i/>
        </w:rPr>
        <w:t xml:space="preserve">not </w:t>
      </w:r>
      <w:r>
        <w:t>in space-time. So where are they?</w:t>
      </w:r>
    </w:p>
    <w:p w14:paraId="7E000AB4" w14:textId="77777777" w:rsidR="009A58DB" w:rsidRDefault="00000000">
      <w:pPr>
        <w:pStyle w:val="BodyText"/>
        <w:spacing w:before="8" w:line="249" w:lineRule="auto"/>
        <w:ind w:right="358" w:firstLine="360"/>
      </w:pPr>
      <w:r>
        <w:t xml:space="preserve">One could say that they don’t exist. But that would be absurd. It’s one thing to say that a possibility wasn’t (or won’t be) </w:t>
      </w:r>
      <w:r>
        <w:rPr>
          <w:i/>
        </w:rPr>
        <w:t xml:space="preserve">actualized; </w:t>
      </w:r>
      <w:r>
        <w:t xml:space="preserve">it’s a very different thing to say that the possibility </w:t>
      </w:r>
      <w:r>
        <w:rPr>
          <w:i/>
        </w:rPr>
        <w:t xml:space="preserve">itself </w:t>
      </w:r>
      <w:r>
        <w:t>doesn’t exist. It’s possible that you will you go to law school. But (let us suppose) you’re not going to go to law school (because you’re going to pharmacy school instead). Does the fact that</w:t>
      </w:r>
      <w:r>
        <w:rPr>
          <w:spacing w:val="-3"/>
        </w:rPr>
        <w:t xml:space="preserve"> </w:t>
      </w:r>
      <w:r>
        <w:t>you</w:t>
      </w:r>
      <w:r>
        <w:rPr>
          <w:spacing w:val="-2"/>
        </w:rPr>
        <w:t xml:space="preserve"> </w:t>
      </w:r>
      <w:r>
        <w:rPr>
          <w:i/>
        </w:rPr>
        <w:t>won’t</w:t>
      </w:r>
      <w:r>
        <w:rPr>
          <w:i/>
          <w:spacing w:val="-3"/>
        </w:rPr>
        <w:t xml:space="preserve"> </w:t>
      </w:r>
      <w:r>
        <w:t xml:space="preserve">go to law school mean that it isn’t an option? Surely not. Your situation is very different from that of somebody (e.g., somebody on death-row) for whom it simply isn’t an option. So the fact that a path isn’t taken doesn’t mean that the path doesn’t </w:t>
      </w:r>
      <w:r>
        <w:rPr>
          <w:i/>
        </w:rPr>
        <w:t xml:space="preserve">exist; </w:t>
      </w:r>
      <w:r>
        <w:t xml:space="preserve">and the fact that a possibility isn’t actualized doesn’t mean that the possibility </w:t>
      </w:r>
      <w:r>
        <w:rPr>
          <w:i/>
        </w:rPr>
        <w:t>itself</w:t>
      </w:r>
      <w:r>
        <w:rPr>
          <w:i/>
          <w:spacing w:val="-4"/>
        </w:rPr>
        <w:t xml:space="preserve"> </w:t>
      </w:r>
      <w:r>
        <w:t xml:space="preserve">doesn’t exist. So, given that possibilities, even unactualized ones, </w:t>
      </w:r>
      <w:r>
        <w:rPr>
          <w:i/>
        </w:rPr>
        <w:t xml:space="preserve">do </w:t>
      </w:r>
      <w:r>
        <w:t xml:space="preserve">exist, we must again ask: where are they? They’re not in space-time. The </w:t>
      </w:r>
      <w:r>
        <w:rPr>
          <w:i/>
        </w:rPr>
        <w:t xml:space="preserve">possibility </w:t>
      </w:r>
      <w:r>
        <w:t>of your going to law school</w:t>
      </w:r>
      <w:r>
        <w:rPr>
          <w:spacing w:val="40"/>
        </w:rPr>
        <w:t xml:space="preserve"> </w:t>
      </w:r>
      <w:r>
        <w:t>is not in space-time. So that possibility, being outside of space-time and thus being without location, is nowhere.</w:t>
      </w:r>
    </w:p>
    <w:p w14:paraId="7E000AB5" w14:textId="77777777" w:rsidR="009A58DB" w:rsidRDefault="00000000">
      <w:pPr>
        <w:pStyle w:val="BodyText"/>
        <w:spacing w:before="18" w:line="249" w:lineRule="auto"/>
        <w:ind w:right="358" w:firstLine="360"/>
      </w:pPr>
      <w:r>
        <w:t>At first this may seem alarming, but it ceases to be so if we choose to see possibilities as properties and actualizations of possibilities as property-instances. It thus seems that the presumptive existence of unactualized possibilities provides support for the theory of universals.</w:t>
      </w:r>
    </w:p>
    <w:p w14:paraId="7E000AB6" w14:textId="77777777" w:rsidR="009A58DB" w:rsidRDefault="00000000">
      <w:pPr>
        <w:pStyle w:val="BodyText"/>
        <w:spacing w:before="4" w:line="249" w:lineRule="auto"/>
        <w:ind w:right="358" w:firstLine="360"/>
      </w:pPr>
      <w:r>
        <w:t>A story may help clarify the nature of properties. You are a meat</w:t>
      </w:r>
      <w:r>
        <w:rPr>
          <w:spacing w:val="40"/>
        </w:rPr>
        <w:t xml:space="preserve"> </w:t>
      </w:r>
      <w:r>
        <w:t>inspector. You’ve just inspected all the meat in slaughterhouse X. None of it passes inspection. All of it was completely rotten. There is obviously a way something</w:t>
      </w:r>
      <w:r>
        <w:rPr>
          <w:spacing w:val="-2"/>
        </w:rPr>
        <w:t xml:space="preserve"> </w:t>
      </w:r>
      <w:r>
        <w:rPr>
          <w:i/>
        </w:rPr>
        <w:t>would</w:t>
      </w:r>
      <w:r>
        <w:rPr>
          <w:i/>
          <w:spacing w:val="-2"/>
        </w:rPr>
        <w:t xml:space="preserve"> </w:t>
      </w:r>
      <w:r>
        <w:t xml:space="preserve">have to be to be a piece of meat that passed inspection; and there is obviously a way something would have to be to be a piece of meat </w:t>
      </w:r>
      <w:r>
        <w:rPr>
          <w:i/>
        </w:rPr>
        <w:t xml:space="preserve">in slaughterhouse X </w:t>
      </w:r>
      <w:r>
        <w:t>that passed inspection. So when reporting to your supervisor, you say “none of the pieces of meat in X deserved to pass inspection,” you’re saying: “none of those pieces of meat was the right way.” Which is the same as saying: “there exists a way that something would have to be in order to be a piece of meat in X that deserved to pass inspection; but nothing is that way.” Which is the same as saying: “the property of being a piece of meat in X that deserved to pass inspection is uninstantiated.”</w:t>
      </w:r>
    </w:p>
    <w:p w14:paraId="7E000AB7" w14:textId="77777777" w:rsidR="009A58DB" w:rsidRDefault="00000000">
      <w:pPr>
        <w:pStyle w:val="BodyText"/>
        <w:spacing w:before="15" w:line="249" w:lineRule="auto"/>
        <w:ind w:right="365" w:firstLine="360"/>
      </w:pPr>
      <w:r>
        <w:t>Thus, the property of being a piece of meat in X that deserves to pass inspection isn’t a giant piece of meat in the sky. It’s simply a way something</w:t>
      </w:r>
    </w:p>
    <w:p w14:paraId="7E000AB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B9" w14:textId="77777777" w:rsidR="009A58DB" w:rsidRDefault="00000000">
      <w:pPr>
        <w:pStyle w:val="BodyText"/>
        <w:spacing w:before="65"/>
      </w:pPr>
      <w:r>
        <w:lastRenderedPageBreak/>
        <w:t>would</w:t>
      </w:r>
      <w:r>
        <w:rPr>
          <w:spacing w:val="-4"/>
        </w:rPr>
        <w:t xml:space="preserve"> </w:t>
      </w:r>
      <w:r>
        <w:t>have</w:t>
      </w:r>
      <w:r>
        <w:rPr>
          <w:spacing w:val="-2"/>
        </w:rPr>
        <w:t xml:space="preserve"> </w:t>
      </w:r>
      <w:r>
        <w:t>to</w:t>
      </w:r>
      <w:r>
        <w:rPr>
          <w:spacing w:val="-1"/>
        </w:rPr>
        <w:t xml:space="preserve"> </w:t>
      </w:r>
      <w:r>
        <w:t>be</w:t>
      </w:r>
      <w:r>
        <w:rPr>
          <w:spacing w:val="-3"/>
        </w:rPr>
        <w:t xml:space="preserve"> </w:t>
      </w:r>
      <w:r>
        <w:t>in</w:t>
      </w:r>
      <w:r>
        <w:rPr>
          <w:spacing w:val="-1"/>
        </w:rPr>
        <w:t xml:space="preserve"> </w:t>
      </w:r>
      <w:r>
        <w:t>order</w:t>
      </w:r>
      <w:r>
        <w:rPr>
          <w:spacing w:val="-2"/>
        </w:rPr>
        <w:t xml:space="preserve"> </w:t>
      </w:r>
      <w:r>
        <w:t>to</w:t>
      </w:r>
      <w:r>
        <w:rPr>
          <w:spacing w:val="-2"/>
        </w:rPr>
        <w:t xml:space="preserve"> </w:t>
      </w:r>
      <w:r>
        <w:t>be</w:t>
      </w:r>
      <w:r>
        <w:rPr>
          <w:spacing w:val="-2"/>
        </w:rPr>
        <w:t xml:space="preserve"> </w:t>
      </w:r>
      <w:r>
        <w:t>a</w:t>
      </w:r>
      <w:r>
        <w:rPr>
          <w:spacing w:val="-2"/>
        </w:rPr>
        <w:t xml:space="preserve"> </w:t>
      </w:r>
      <w:r>
        <w:t>piece</w:t>
      </w:r>
      <w:r>
        <w:rPr>
          <w:spacing w:val="-3"/>
        </w:rPr>
        <w:t xml:space="preserve"> </w:t>
      </w:r>
      <w:r>
        <w:t>of</w:t>
      </w:r>
      <w:r>
        <w:rPr>
          <w:spacing w:val="-2"/>
        </w:rPr>
        <w:t xml:space="preserve"> </w:t>
      </w:r>
      <w:r>
        <w:t>meat</w:t>
      </w:r>
      <w:r>
        <w:rPr>
          <w:spacing w:val="-2"/>
        </w:rPr>
        <w:t xml:space="preserve"> </w:t>
      </w:r>
      <w:r>
        <w:t>in</w:t>
      </w:r>
      <w:r>
        <w:rPr>
          <w:spacing w:val="-2"/>
        </w:rPr>
        <w:t xml:space="preserve"> </w:t>
      </w:r>
      <w:r>
        <w:t>X</w:t>
      </w:r>
      <w:r>
        <w:rPr>
          <w:spacing w:val="-2"/>
        </w:rPr>
        <w:t xml:space="preserve"> </w:t>
      </w:r>
      <w:r>
        <w:t>that</w:t>
      </w:r>
      <w:r>
        <w:rPr>
          <w:spacing w:val="-2"/>
        </w:rPr>
        <w:t xml:space="preserve"> </w:t>
      </w:r>
      <w:r>
        <w:t>passed</w:t>
      </w:r>
      <w:r>
        <w:rPr>
          <w:spacing w:val="-1"/>
        </w:rPr>
        <w:t xml:space="preserve"> </w:t>
      </w:r>
      <w:r>
        <w:rPr>
          <w:spacing w:val="-2"/>
        </w:rPr>
        <w:t>inspection.</w:t>
      </w:r>
    </w:p>
    <w:p w14:paraId="7E000ABA" w14:textId="77777777" w:rsidR="009A58DB" w:rsidRDefault="00000000">
      <w:pPr>
        <w:pStyle w:val="BodyText"/>
        <w:spacing w:before="15" w:line="249" w:lineRule="auto"/>
        <w:ind w:right="359" w:firstLine="360"/>
      </w:pPr>
      <w:r>
        <w:t xml:space="preserve">The same is true of the property of being a pink elephant. There are no instances of that property, since there are no pink elephants. But there is a way that something </w:t>
      </w:r>
      <w:r>
        <w:rPr>
          <w:i/>
        </w:rPr>
        <w:t>would</w:t>
      </w:r>
      <w:r>
        <w:rPr>
          <w:i/>
          <w:spacing w:val="-2"/>
        </w:rPr>
        <w:t xml:space="preserve"> </w:t>
      </w:r>
      <w:r>
        <w:t>have to be to be a pink elephant. I know what that way is, and so do you. That’s why we both know that, by going to the zoo</w:t>
      </w:r>
      <w:r>
        <w:rPr>
          <w:spacing w:val="40"/>
        </w:rPr>
        <w:t xml:space="preserve"> </w:t>
      </w:r>
      <w:r>
        <w:t xml:space="preserve">and spray-painting one of the elephants there, we could </w:t>
      </w:r>
      <w:r>
        <w:rPr>
          <w:i/>
        </w:rPr>
        <w:t xml:space="preserve">make </w:t>
      </w:r>
      <w:r>
        <w:t>something be that way; and that’s why we also know that nothing is that way (or, in any case, that nothing we’ve ever heard of is that way—maybe some prankster spray painted an elephant). For something to “instantiate the property of</w:t>
      </w:r>
      <w:r>
        <w:rPr>
          <w:spacing w:val="40"/>
        </w:rPr>
        <w:t xml:space="preserve"> </w:t>
      </w:r>
      <w:r>
        <w:t>being a pink elephant” is simply for it</w:t>
      </w:r>
      <w:r>
        <w:rPr>
          <w:spacing w:val="40"/>
        </w:rPr>
        <w:t xml:space="preserve"> </w:t>
      </w:r>
      <w:r>
        <w:t>to be that way. So that property isn’t some pink elephant in the sky. It’s just a way something would have to be to be a pink elephant. And for there to be no instances of that property is simply for nothing to be that way.</w:t>
      </w:r>
    </w:p>
    <w:p w14:paraId="7E000ABB" w14:textId="77777777" w:rsidR="009A58DB" w:rsidRDefault="00000000">
      <w:pPr>
        <w:pStyle w:val="BodyText"/>
        <w:spacing w:before="14" w:line="249" w:lineRule="auto"/>
        <w:ind w:right="358" w:firstLine="360"/>
      </w:pPr>
      <w:r>
        <w:t>Properties can be thought of as conditions. The property of being a pink elephant</w:t>
      </w:r>
      <w:r>
        <w:rPr>
          <w:spacing w:val="-2"/>
        </w:rPr>
        <w:t xml:space="preserve"> </w:t>
      </w:r>
      <w:r>
        <w:t>is</w:t>
      </w:r>
      <w:r>
        <w:rPr>
          <w:spacing w:val="-2"/>
        </w:rPr>
        <w:t xml:space="preserve"> </w:t>
      </w:r>
      <w:r>
        <w:t>a</w:t>
      </w:r>
      <w:r>
        <w:rPr>
          <w:spacing w:val="-2"/>
        </w:rPr>
        <w:t xml:space="preserve"> </w:t>
      </w:r>
      <w:r>
        <w:t>condition</w:t>
      </w:r>
      <w:r>
        <w:rPr>
          <w:spacing w:val="-2"/>
        </w:rPr>
        <w:t xml:space="preserve"> </w:t>
      </w:r>
      <w:r>
        <w:t>a</w:t>
      </w:r>
      <w:r>
        <w:rPr>
          <w:spacing w:val="-2"/>
        </w:rPr>
        <w:t xml:space="preserve"> </w:t>
      </w:r>
      <w:r>
        <w:t>thing</w:t>
      </w:r>
      <w:r>
        <w:rPr>
          <w:spacing w:val="-2"/>
        </w:rPr>
        <w:t xml:space="preserve"> </w:t>
      </w:r>
      <w:r>
        <w:t>must</w:t>
      </w:r>
      <w:r>
        <w:rPr>
          <w:spacing w:val="-2"/>
        </w:rPr>
        <w:t xml:space="preserve"> </w:t>
      </w:r>
      <w:r>
        <w:t>fulfill</w:t>
      </w:r>
      <w:r>
        <w:rPr>
          <w:spacing w:val="-2"/>
        </w:rPr>
        <w:t xml:space="preserve"> </w:t>
      </w:r>
      <w:r>
        <w:t>in</w:t>
      </w:r>
      <w:r>
        <w:rPr>
          <w:spacing w:val="-2"/>
        </w:rPr>
        <w:t xml:space="preserve"> </w:t>
      </w:r>
      <w:r>
        <w:rPr>
          <w:i/>
        </w:rPr>
        <w:t>order</w:t>
      </w:r>
      <w:r>
        <w:rPr>
          <w:i/>
          <w:spacing w:val="-4"/>
        </w:rPr>
        <w:t xml:space="preserve"> </w:t>
      </w:r>
      <w:r>
        <w:t>to</w:t>
      </w:r>
      <w:r>
        <w:rPr>
          <w:spacing w:val="-1"/>
        </w:rPr>
        <w:t xml:space="preserve"> </w:t>
      </w:r>
      <w:r>
        <w:t>be a pink elephant. Lots of unfulfilled conditions exist. Mary won’t marry someone unless he fulfills the following condition: he’s a genius who is always friendly and never</w:t>
      </w:r>
      <w:r>
        <w:rPr>
          <w:spacing w:val="40"/>
        </w:rPr>
        <w:t xml:space="preserve"> </w:t>
      </w:r>
      <w:r>
        <w:t>sleeps and always dotes on her and has a billion dollars. That condition isn’t fulfilled by anyone. But the condition exists. Thus, properties that aren’t instantiated are just unfulfilled conditions.</w:t>
      </w:r>
    </w:p>
    <w:p w14:paraId="7E000ABC" w14:textId="77777777" w:rsidR="009A58DB" w:rsidRDefault="00000000">
      <w:pPr>
        <w:pStyle w:val="BodyText"/>
        <w:spacing w:before="9" w:line="249" w:lineRule="auto"/>
        <w:ind w:right="359" w:firstLine="360"/>
      </w:pPr>
      <w:r>
        <w:t>So given that there are unfulfilled conditions, it follows that there are uninstantiated properties. And given that properties exist, even when they have no instances, it follows that, when they do exist, they aren’t identical with their instances. The property of being a pink elephant exists, but is currently uninstantiated. If there were to come into being a single pink elephant, which promptly died, the property wouldn’t go out of existence. It would still be around. But if it were identical with instances, then it would go out of existence the moment its one instance did.</w:t>
      </w:r>
    </w:p>
    <w:p w14:paraId="7E000ABD" w14:textId="77777777" w:rsidR="009A58DB" w:rsidRDefault="00000000">
      <w:pPr>
        <w:pStyle w:val="Heading1"/>
        <w:numPr>
          <w:ilvl w:val="0"/>
          <w:numId w:val="204"/>
        </w:numPr>
        <w:tabs>
          <w:tab w:val="left" w:pos="990"/>
        </w:tabs>
        <w:spacing w:before="198"/>
      </w:pPr>
      <w:r>
        <w:t>Relations</w:t>
      </w:r>
      <w:r>
        <w:rPr>
          <w:spacing w:val="-9"/>
        </w:rPr>
        <w:t xml:space="preserve"> </w:t>
      </w:r>
      <w:r>
        <w:t>and</w:t>
      </w:r>
      <w:r>
        <w:rPr>
          <w:spacing w:val="-6"/>
        </w:rPr>
        <w:t xml:space="preserve"> </w:t>
      </w:r>
      <w:r>
        <w:t>higher-order</w:t>
      </w:r>
      <w:r>
        <w:rPr>
          <w:spacing w:val="-6"/>
        </w:rPr>
        <w:t xml:space="preserve"> </w:t>
      </w:r>
      <w:r>
        <w:rPr>
          <w:spacing w:val="-2"/>
        </w:rPr>
        <w:t>properties</w:t>
      </w:r>
    </w:p>
    <w:p w14:paraId="7E000ABE" w14:textId="77777777" w:rsidR="009A58DB" w:rsidRDefault="00000000">
      <w:pPr>
        <w:pStyle w:val="BodyText"/>
        <w:spacing w:before="139" w:line="249" w:lineRule="auto"/>
        <w:ind w:right="361"/>
      </w:pPr>
      <w:r>
        <w:t>We pointed out earlier that properties have properties. The property of being</w:t>
      </w:r>
      <w:r>
        <w:rPr>
          <w:spacing w:val="40"/>
        </w:rPr>
        <w:t xml:space="preserve"> </w:t>
      </w:r>
      <w:r>
        <w:t>a bird has the property that there are more instances of it than the property of being a penguin. Actually, any statement can be interpreted as a statement about higher-order properties. “Smith has a dog” is equivalent to “the property of having a dog has the property of instantiated by Smith.”</w:t>
      </w:r>
    </w:p>
    <w:p w14:paraId="7E000AB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C0" w14:textId="77777777" w:rsidR="009A58DB" w:rsidRDefault="00000000">
      <w:pPr>
        <w:pStyle w:val="BodyText"/>
        <w:spacing w:before="65" w:line="249" w:lineRule="auto"/>
        <w:ind w:right="358" w:firstLine="360"/>
      </w:pPr>
      <w:r>
        <w:lastRenderedPageBreak/>
        <w:t>Higher-order properties are indispensable to scientific and ordinary discourse. If you say “true integrity is rare,” you’re saying that the property</w:t>
      </w:r>
      <w:r>
        <w:rPr>
          <w:spacing w:val="40"/>
        </w:rPr>
        <w:t xml:space="preserve"> </w:t>
      </w:r>
      <w:r>
        <w:t>of having true integrity has the property of being seldom instantiated. If you say that ambition is more important to success than ability, you’re saying that the property of being ambitious has the property of comparing favorably with the property of having ability in respect to whether, in virtue of having it, its instances are likely to succeed.</w:t>
      </w:r>
    </w:p>
    <w:p w14:paraId="7E000AC1" w14:textId="77777777" w:rsidR="009A58DB" w:rsidRDefault="00000000">
      <w:pPr>
        <w:pStyle w:val="BodyText"/>
        <w:spacing w:before="8" w:line="249" w:lineRule="auto"/>
        <w:ind w:right="358" w:firstLine="360"/>
      </w:pPr>
      <w:r>
        <w:t>Gottlob Frege (1844–1925) discovered that statements about numbers are statements about higher-order properties. “There are zero penguins in the house” means: the property of being a penguin in the house has the property of being uninstantiated. “There are two penguins in the house” says that the property of being a pair of penguins in the house is instantiated. The number two may be defined as what all pairs of objects have in common. For x to be</w:t>
      </w:r>
      <w:r>
        <w:rPr>
          <w:spacing w:val="40"/>
        </w:rPr>
        <w:t xml:space="preserve"> </w:t>
      </w:r>
      <w:r>
        <w:t>a</w:t>
      </w:r>
      <w:r>
        <w:rPr>
          <w:spacing w:val="19"/>
        </w:rPr>
        <w:t xml:space="preserve"> </w:t>
      </w:r>
      <w:r>
        <w:t>pair</w:t>
      </w:r>
      <w:r>
        <w:rPr>
          <w:spacing w:val="20"/>
        </w:rPr>
        <w:t xml:space="preserve"> </w:t>
      </w:r>
      <w:r>
        <w:t>of</w:t>
      </w:r>
      <w:r>
        <w:rPr>
          <w:spacing w:val="20"/>
        </w:rPr>
        <w:t xml:space="preserve"> </w:t>
      </w:r>
      <w:r>
        <w:t>objects</w:t>
      </w:r>
      <w:r>
        <w:rPr>
          <w:spacing w:val="19"/>
        </w:rPr>
        <w:t xml:space="preserve"> </w:t>
      </w:r>
      <w:r>
        <w:t>is</w:t>
      </w:r>
      <w:r>
        <w:rPr>
          <w:spacing w:val="20"/>
        </w:rPr>
        <w:t xml:space="preserve"> </w:t>
      </w:r>
      <w:r>
        <w:t>for</w:t>
      </w:r>
      <w:r>
        <w:rPr>
          <w:spacing w:val="20"/>
        </w:rPr>
        <w:t xml:space="preserve"> </w:t>
      </w:r>
      <w:r>
        <w:t>it</w:t>
      </w:r>
      <w:r>
        <w:rPr>
          <w:spacing w:val="19"/>
        </w:rPr>
        <w:t xml:space="preserve"> </w:t>
      </w:r>
      <w:r>
        <w:t>to</w:t>
      </w:r>
      <w:r>
        <w:rPr>
          <w:spacing w:val="20"/>
        </w:rPr>
        <w:t xml:space="preserve"> </w:t>
      </w:r>
      <w:r>
        <w:t>be</w:t>
      </w:r>
      <w:r>
        <w:rPr>
          <w:spacing w:val="20"/>
        </w:rPr>
        <w:t xml:space="preserve"> </w:t>
      </w:r>
      <w:r>
        <w:t>a</w:t>
      </w:r>
      <w:r>
        <w:rPr>
          <w:spacing w:val="19"/>
        </w:rPr>
        <w:t xml:space="preserve"> </w:t>
      </w:r>
      <w:r>
        <w:t>set</w:t>
      </w:r>
      <w:r>
        <w:rPr>
          <w:spacing w:val="20"/>
        </w:rPr>
        <w:t xml:space="preserve"> </w:t>
      </w:r>
      <w:r>
        <w:t>S</w:t>
      </w:r>
      <w:r>
        <w:rPr>
          <w:spacing w:val="20"/>
        </w:rPr>
        <w:t xml:space="preserve"> </w:t>
      </w:r>
      <w:r>
        <w:t>such</w:t>
      </w:r>
      <w:r>
        <w:rPr>
          <w:spacing w:val="19"/>
        </w:rPr>
        <w:t xml:space="preserve"> </w:t>
      </w:r>
      <w:r>
        <w:t>that</w:t>
      </w:r>
      <w:r>
        <w:rPr>
          <w:spacing w:val="20"/>
        </w:rPr>
        <w:t xml:space="preserve"> </w:t>
      </w:r>
      <w:r>
        <w:t>there</w:t>
      </w:r>
      <w:r>
        <w:rPr>
          <w:spacing w:val="20"/>
        </w:rPr>
        <w:t xml:space="preserve"> </w:t>
      </w:r>
      <w:r>
        <w:t>are</w:t>
      </w:r>
      <w:r>
        <w:rPr>
          <w:spacing w:val="19"/>
        </w:rPr>
        <w:t xml:space="preserve"> </w:t>
      </w:r>
      <w:r>
        <w:t>objects</w:t>
      </w:r>
      <w:r>
        <w:rPr>
          <w:spacing w:val="20"/>
        </w:rPr>
        <w:t xml:space="preserve"> </w:t>
      </w:r>
      <w:r>
        <w:t>O</w:t>
      </w:r>
      <w:r>
        <w:rPr>
          <w:vertAlign w:val="subscript"/>
        </w:rPr>
        <w:t>1</w:t>
      </w:r>
      <w:r>
        <w:rPr>
          <w:spacing w:val="22"/>
        </w:rPr>
        <w:t xml:space="preserve"> </w:t>
      </w:r>
      <w:r>
        <w:t>and</w:t>
      </w:r>
      <w:r>
        <w:rPr>
          <w:spacing w:val="21"/>
        </w:rPr>
        <w:t xml:space="preserve"> </w:t>
      </w:r>
      <w:r>
        <w:rPr>
          <w:spacing w:val="-5"/>
        </w:rPr>
        <w:t>O</w:t>
      </w:r>
      <w:r>
        <w:rPr>
          <w:spacing w:val="-5"/>
          <w:vertAlign w:val="subscript"/>
        </w:rPr>
        <w:t>2</w:t>
      </w:r>
      <w:r>
        <w:rPr>
          <w:spacing w:val="-5"/>
        </w:rPr>
        <w:t>,</w:t>
      </w:r>
    </w:p>
    <w:p w14:paraId="7E000AC2" w14:textId="77777777" w:rsidR="009A58DB" w:rsidRDefault="00000000">
      <w:pPr>
        <w:pStyle w:val="BodyText"/>
        <w:spacing w:before="69" w:line="292" w:lineRule="auto"/>
        <w:ind w:right="360"/>
      </w:pPr>
      <w:r>
        <w:t>distinct from each other, that belong to S and such that anything O</w:t>
      </w:r>
      <w:r>
        <w:rPr>
          <w:vertAlign w:val="subscript"/>
        </w:rPr>
        <w:t>2</w:t>
      </w:r>
      <w:r>
        <w:t xml:space="preserve"> that belongs</w:t>
      </w:r>
      <w:r>
        <w:rPr>
          <w:spacing w:val="-1"/>
        </w:rPr>
        <w:t xml:space="preserve"> </w:t>
      </w:r>
      <w:r>
        <w:t>to it</w:t>
      </w:r>
      <w:r>
        <w:rPr>
          <w:spacing w:val="-1"/>
        </w:rPr>
        <w:t xml:space="preserve"> </w:t>
      </w:r>
      <w:r>
        <w:t>is</w:t>
      </w:r>
      <w:r>
        <w:rPr>
          <w:spacing w:val="-1"/>
        </w:rPr>
        <w:t xml:space="preserve"> </w:t>
      </w:r>
      <w:r>
        <w:t>identical</w:t>
      </w:r>
      <w:r>
        <w:rPr>
          <w:spacing w:val="-1"/>
        </w:rPr>
        <w:t xml:space="preserve"> </w:t>
      </w:r>
      <w:r>
        <w:t>to either</w:t>
      </w:r>
      <w:r>
        <w:rPr>
          <w:spacing w:val="-1"/>
        </w:rPr>
        <w:t xml:space="preserve"> </w:t>
      </w:r>
      <w:r>
        <w:t>O</w:t>
      </w:r>
      <w:r>
        <w:rPr>
          <w:vertAlign w:val="subscript"/>
        </w:rPr>
        <w:t>1</w:t>
      </w:r>
      <w:r>
        <w:t xml:space="preserve"> or</w:t>
      </w:r>
      <w:r>
        <w:rPr>
          <w:spacing w:val="-1"/>
        </w:rPr>
        <w:t xml:space="preserve"> </w:t>
      </w:r>
      <w:r>
        <w:t>O</w:t>
      </w:r>
      <w:r>
        <w:rPr>
          <w:vertAlign w:val="subscript"/>
        </w:rPr>
        <w:t>2</w:t>
      </w:r>
      <w:r>
        <w:t>. The number two is the property of being such a pair. See Chapter 7.</w:t>
      </w:r>
    </w:p>
    <w:p w14:paraId="7E000AC3" w14:textId="77777777" w:rsidR="009A58DB" w:rsidRDefault="00000000">
      <w:pPr>
        <w:pStyle w:val="BodyText"/>
        <w:spacing w:line="282" w:lineRule="exact"/>
        <w:ind w:left="720"/>
      </w:pPr>
      <w:r>
        <w:t>Relations</w:t>
      </w:r>
      <w:r>
        <w:rPr>
          <w:spacing w:val="-7"/>
        </w:rPr>
        <w:t xml:space="preserve"> </w:t>
      </w:r>
      <w:r>
        <w:t>may</w:t>
      </w:r>
      <w:r>
        <w:rPr>
          <w:spacing w:val="-3"/>
        </w:rPr>
        <w:t xml:space="preserve"> </w:t>
      </w:r>
      <w:r>
        <w:t>be</w:t>
      </w:r>
      <w:r>
        <w:rPr>
          <w:spacing w:val="-4"/>
        </w:rPr>
        <w:t xml:space="preserve"> </w:t>
      </w:r>
      <w:r>
        <w:t>identified</w:t>
      </w:r>
      <w:r>
        <w:rPr>
          <w:spacing w:val="-4"/>
        </w:rPr>
        <w:t xml:space="preserve"> </w:t>
      </w:r>
      <w:r>
        <w:t>with</w:t>
      </w:r>
      <w:r>
        <w:rPr>
          <w:spacing w:val="-3"/>
        </w:rPr>
        <w:t xml:space="preserve"> </w:t>
      </w:r>
      <w:r>
        <w:t>properties</w:t>
      </w:r>
      <w:r>
        <w:rPr>
          <w:spacing w:val="-4"/>
        </w:rPr>
        <w:t xml:space="preserve"> </w:t>
      </w:r>
      <w:r>
        <w:t>of</w:t>
      </w:r>
      <w:r>
        <w:rPr>
          <w:spacing w:val="-4"/>
        </w:rPr>
        <w:t xml:space="preserve"> </w:t>
      </w:r>
      <w:r>
        <w:t>ordered</w:t>
      </w:r>
      <w:r>
        <w:rPr>
          <w:spacing w:val="-4"/>
        </w:rPr>
        <w:t xml:space="preserve"> </w:t>
      </w:r>
      <w:r>
        <w:t>pairs.</w:t>
      </w:r>
      <w:r>
        <w:rPr>
          <w:spacing w:val="-3"/>
        </w:rPr>
        <w:t xml:space="preserve"> </w:t>
      </w:r>
      <w:r>
        <w:t>There</w:t>
      </w:r>
      <w:r>
        <w:rPr>
          <w:spacing w:val="-4"/>
        </w:rPr>
        <w:t xml:space="preserve"> </w:t>
      </w:r>
      <w:r>
        <w:t>is</w:t>
      </w:r>
      <w:r>
        <w:rPr>
          <w:spacing w:val="-4"/>
        </w:rPr>
        <w:t xml:space="preserve"> some</w:t>
      </w:r>
    </w:p>
    <w:p w14:paraId="7E000AC4" w14:textId="77777777" w:rsidR="009A58DB" w:rsidRDefault="00000000">
      <w:pPr>
        <w:pStyle w:val="BodyText"/>
        <w:spacing w:before="15" w:line="249" w:lineRule="auto"/>
        <w:ind w:right="358"/>
      </w:pPr>
      <w:r>
        <w:t>property P such that x is taller than y exactly if the ordered pair &lt;x, y&gt; has P. This conception of what relations are may seem contrived, but it’s an extremely useful one, since, without it, the logical forms of many inferences couldn’t be identified.</w:t>
      </w:r>
    </w:p>
    <w:p w14:paraId="7E000AC5" w14:textId="77777777" w:rsidR="009A58DB" w:rsidRDefault="00000000">
      <w:pPr>
        <w:pStyle w:val="Heading1"/>
        <w:numPr>
          <w:ilvl w:val="0"/>
          <w:numId w:val="204"/>
        </w:numPr>
        <w:tabs>
          <w:tab w:val="left" w:pos="990"/>
        </w:tabs>
        <w:spacing w:before="193"/>
      </w:pPr>
      <w:r>
        <w:t>Sets</w:t>
      </w:r>
      <w:r>
        <w:rPr>
          <w:spacing w:val="-8"/>
        </w:rPr>
        <w:t xml:space="preserve"> </w:t>
      </w:r>
      <w:r>
        <w:t>and</w:t>
      </w:r>
      <w:r>
        <w:rPr>
          <w:spacing w:val="-5"/>
        </w:rPr>
        <w:t xml:space="preserve"> </w:t>
      </w:r>
      <w:r>
        <w:t>propositions</w:t>
      </w:r>
      <w:r>
        <w:rPr>
          <w:spacing w:val="-6"/>
        </w:rPr>
        <w:t xml:space="preserve"> </w:t>
      </w:r>
      <w:r>
        <w:t>identical</w:t>
      </w:r>
      <w:r>
        <w:rPr>
          <w:spacing w:val="-5"/>
        </w:rPr>
        <w:t xml:space="preserve"> </w:t>
      </w:r>
      <w:r>
        <w:t>with</w:t>
      </w:r>
      <w:r>
        <w:rPr>
          <w:spacing w:val="-5"/>
        </w:rPr>
        <w:t xml:space="preserve"> </w:t>
      </w:r>
      <w:r>
        <w:rPr>
          <w:spacing w:val="-2"/>
        </w:rPr>
        <w:t>properties</w:t>
      </w:r>
    </w:p>
    <w:p w14:paraId="7E000AC6" w14:textId="77777777" w:rsidR="009A58DB" w:rsidRDefault="00000000">
      <w:pPr>
        <w:pStyle w:val="BodyText"/>
        <w:spacing w:before="139" w:line="249" w:lineRule="auto"/>
        <w:ind w:right="358"/>
      </w:pPr>
      <w:r>
        <w:t>We’ve seen that properties are not identical with sets of their instances. The main</w:t>
      </w:r>
      <w:r>
        <w:rPr>
          <w:spacing w:val="-3"/>
        </w:rPr>
        <w:t xml:space="preserve"> </w:t>
      </w:r>
      <w:r>
        <w:t>reason</w:t>
      </w:r>
      <w:r>
        <w:rPr>
          <w:spacing w:val="-2"/>
        </w:rPr>
        <w:t xml:space="preserve"> </w:t>
      </w:r>
      <w:r>
        <w:t>for</w:t>
      </w:r>
      <w:r>
        <w:rPr>
          <w:spacing w:val="-2"/>
        </w:rPr>
        <w:t xml:space="preserve"> </w:t>
      </w:r>
      <w:r>
        <w:t>this,</w:t>
      </w:r>
      <w:r>
        <w:rPr>
          <w:spacing w:val="-2"/>
        </w:rPr>
        <w:t xml:space="preserve"> </w:t>
      </w:r>
      <w:r>
        <w:t>we</w:t>
      </w:r>
      <w:r>
        <w:rPr>
          <w:spacing w:val="-2"/>
        </w:rPr>
        <w:t xml:space="preserve"> </w:t>
      </w:r>
      <w:r>
        <w:t>saw,</w:t>
      </w:r>
      <w:r>
        <w:rPr>
          <w:spacing w:val="-2"/>
        </w:rPr>
        <w:t xml:space="preserve"> </w:t>
      </w:r>
      <w:r>
        <w:t>is</w:t>
      </w:r>
      <w:r>
        <w:rPr>
          <w:spacing w:val="-2"/>
        </w:rPr>
        <w:t xml:space="preserve"> </w:t>
      </w:r>
      <w:r>
        <w:t>properties</w:t>
      </w:r>
      <w:r>
        <w:rPr>
          <w:spacing w:val="-2"/>
        </w:rPr>
        <w:t xml:space="preserve"> </w:t>
      </w:r>
      <w:r>
        <w:t>tend</w:t>
      </w:r>
      <w:r>
        <w:rPr>
          <w:spacing w:val="-2"/>
        </w:rPr>
        <w:t xml:space="preserve"> </w:t>
      </w:r>
      <w:r>
        <w:t>to</w:t>
      </w:r>
      <w:r>
        <w:rPr>
          <w:spacing w:val="-2"/>
        </w:rPr>
        <w:t xml:space="preserve"> </w:t>
      </w:r>
      <w:r>
        <w:t>be</w:t>
      </w:r>
      <w:r>
        <w:rPr>
          <w:spacing w:val="-2"/>
        </w:rPr>
        <w:t xml:space="preserve"> </w:t>
      </w:r>
      <w:r>
        <w:t>modally</w:t>
      </w:r>
      <w:r>
        <w:rPr>
          <w:spacing w:val="-2"/>
        </w:rPr>
        <w:t xml:space="preserve"> </w:t>
      </w:r>
      <w:r>
        <w:t>elastic,</w:t>
      </w:r>
      <w:r>
        <w:rPr>
          <w:spacing w:val="-2"/>
        </w:rPr>
        <w:t xml:space="preserve"> </w:t>
      </w:r>
      <w:r>
        <w:t>whereas sets</w:t>
      </w:r>
      <w:r>
        <w:rPr>
          <w:spacing w:val="-3"/>
        </w:rPr>
        <w:t xml:space="preserve"> </w:t>
      </w:r>
      <w:r>
        <w:t>are</w:t>
      </w:r>
      <w:r>
        <w:rPr>
          <w:spacing w:val="-2"/>
        </w:rPr>
        <w:t xml:space="preserve"> </w:t>
      </w:r>
      <w:r>
        <w:t>modally</w:t>
      </w:r>
      <w:r>
        <w:rPr>
          <w:spacing w:val="-2"/>
        </w:rPr>
        <w:t xml:space="preserve"> </w:t>
      </w:r>
      <w:r>
        <w:t>frozen.</w:t>
      </w:r>
      <w:r>
        <w:rPr>
          <w:spacing w:val="-2"/>
        </w:rPr>
        <w:t xml:space="preserve"> </w:t>
      </w:r>
      <w:r>
        <w:t>In</w:t>
      </w:r>
      <w:r>
        <w:rPr>
          <w:spacing w:val="-2"/>
        </w:rPr>
        <w:t xml:space="preserve"> </w:t>
      </w:r>
      <w:r>
        <w:t>other</w:t>
      </w:r>
      <w:r>
        <w:rPr>
          <w:spacing w:val="-2"/>
        </w:rPr>
        <w:t xml:space="preserve"> </w:t>
      </w:r>
      <w:r>
        <w:t>words,</w:t>
      </w:r>
      <w:r>
        <w:rPr>
          <w:spacing w:val="-2"/>
        </w:rPr>
        <w:t xml:space="preserve"> </w:t>
      </w:r>
      <w:r>
        <w:t>a</w:t>
      </w:r>
      <w:r>
        <w:rPr>
          <w:spacing w:val="-2"/>
        </w:rPr>
        <w:t xml:space="preserve"> </w:t>
      </w:r>
      <w:r>
        <w:t>given</w:t>
      </w:r>
      <w:r>
        <w:rPr>
          <w:spacing w:val="-2"/>
        </w:rPr>
        <w:t xml:space="preserve"> </w:t>
      </w:r>
      <w:r>
        <w:t>property</w:t>
      </w:r>
      <w:r>
        <w:rPr>
          <w:spacing w:val="-2"/>
        </w:rPr>
        <w:t xml:space="preserve"> </w:t>
      </w:r>
      <w:r>
        <w:t>(e.g.,</w:t>
      </w:r>
      <w:r>
        <w:rPr>
          <w:spacing w:val="-2"/>
        </w:rPr>
        <w:t xml:space="preserve"> </w:t>
      </w:r>
      <w:r>
        <w:t>the</w:t>
      </w:r>
      <w:r>
        <w:rPr>
          <w:spacing w:val="-2"/>
        </w:rPr>
        <w:t xml:space="preserve"> </w:t>
      </w:r>
      <w:r>
        <w:t>property</w:t>
      </w:r>
      <w:r>
        <w:rPr>
          <w:spacing w:val="-2"/>
        </w:rPr>
        <w:t xml:space="preserve"> </w:t>
      </w:r>
      <w:r>
        <w:t xml:space="preserve">of being a poet) can generate different instances in different worlds, whereas the </w:t>
      </w:r>
      <w:r>
        <w:rPr>
          <w:i/>
        </w:rPr>
        <w:t xml:space="preserve">set </w:t>
      </w:r>
      <w:r>
        <w:t>of poets is frozen. If Smith is a member of the set of poets in this world, and</w:t>
      </w:r>
      <w:r>
        <w:rPr>
          <w:spacing w:val="-1"/>
        </w:rPr>
        <w:t xml:space="preserve"> </w:t>
      </w:r>
      <w:r>
        <w:t>S</w:t>
      </w:r>
      <w:r>
        <w:rPr>
          <w:spacing w:val="-1"/>
        </w:rPr>
        <w:t xml:space="preserve"> </w:t>
      </w:r>
      <w:r>
        <w:t>is</w:t>
      </w:r>
      <w:r>
        <w:rPr>
          <w:spacing w:val="-1"/>
        </w:rPr>
        <w:t xml:space="preserve"> </w:t>
      </w:r>
      <w:r>
        <w:t>the</w:t>
      </w:r>
      <w:r>
        <w:rPr>
          <w:spacing w:val="-1"/>
        </w:rPr>
        <w:t xml:space="preserve"> </w:t>
      </w:r>
      <w:r>
        <w:t>set</w:t>
      </w:r>
      <w:r>
        <w:rPr>
          <w:spacing w:val="-1"/>
        </w:rPr>
        <w:t xml:space="preserve"> </w:t>
      </w:r>
      <w:r>
        <w:t>of</w:t>
      </w:r>
      <w:r>
        <w:rPr>
          <w:spacing w:val="-1"/>
        </w:rPr>
        <w:t xml:space="preserve"> </w:t>
      </w:r>
      <w:r>
        <w:t>poets</w:t>
      </w:r>
      <w:r>
        <w:rPr>
          <w:spacing w:val="-1"/>
        </w:rPr>
        <w:t xml:space="preserve"> </w:t>
      </w:r>
      <w:r>
        <w:t>in</w:t>
      </w:r>
      <w:r>
        <w:rPr>
          <w:spacing w:val="-1"/>
        </w:rPr>
        <w:t xml:space="preserve"> </w:t>
      </w:r>
      <w:r>
        <w:t>this</w:t>
      </w:r>
      <w:r>
        <w:rPr>
          <w:spacing w:val="-1"/>
        </w:rPr>
        <w:t xml:space="preserve"> </w:t>
      </w:r>
      <w:r>
        <w:t>world,</w:t>
      </w:r>
      <w:r>
        <w:rPr>
          <w:spacing w:val="-1"/>
        </w:rPr>
        <w:t xml:space="preserve"> </w:t>
      </w:r>
      <w:r>
        <w:t>then</w:t>
      </w:r>
      <w:r>
        <w:rPr>
          <w:spacing w:val="-1"/>
        </w:rPr>
        <w:t xml:space="preserve"> </w:t>
      </w:r>
      <w:r>
        <w:t>S</w:t>
      </w:r>
      <w:r>
        <w:rPr>
          <w:spacing w:val="-1"/>
        </w:rPr>
        <w:t xml:space="preserve"> </w:t>
      </w:r>
      <w:r>
        <w:t>doesn’t</w:t>
      </w:r>
      <w:r>
        <w:rPr>
          <w:spacing w:val="-1"/>
        </w:rPr>
        <w:t xml:space="preserve"> </w:t>
      </w:r>
      <w:r>
        <w:t>exist</w:t>
      </w:r>
      <w:r>
        <w:rPr>
          <w:spacing w:val="-1"/>
        </w:rPr>
        <w:t xml:space="preserve"> </w:t>
      </w:r>
      <w:r>
        <w:t>in</w:t>
      </w:r>
      <w:r>
        <w:rPr>
          <w:spacing w:val="-1"/>
        </w:rPr>
        <w:t xml:space="preserve"> </w:t>
      </w:r>
      <w:r>
        <w:t>any</w:t>
      </w:r>
      <w:r>
        <w:rPr>
          <w:spacing w:val="-1"/>
        </w:rPr>
        <w:t xml:space="preserve"> </w:t>
      </w:r>
      <w:r>
        <w:t>world</w:t>
      </w:r>
      <w:r>
        <w:rPr>
          <w:spacing w:val="-1"/>
        </w:rPr>
        <w:t xml:space="preserve"> </w:t>
      </w:r>
      <w:r>
        <w:t>where Smith does not (or where Smith does exist but isn’t a poet).</w:t>
      </w:r>
    </w:p>
    <w:p w14:paraId="7E000AC7" w14:textId="77777777" w:rsidR="009A58DB" w:rsidRDefault="00000000">
      <w:pPr>
        <w:pStyle w:val="BodyText"/>
        <w:spacing w:before="8" w:line="249" w:lineRule="auto"/>
        <w:ind w:right="360" w:firstLine="360"/>
      </w:pPr>
      <w:r>
        <w:t>But sets still may be identified with properties. Suppose that Smith, Jones, and Brown are the only three poets in existence. Let S be the set of actual poets—that is, the set containing Smith, Jones, Brown, and nothing else. In that case, the statement:</w:t>
      </w:r>
    </w:p>
    <w:p w14:paraId="7E000AC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C9" w14:textId="77777777" w:rsidR="009A58DB" w:rsidRDefault="00000000">
      <w:pPr>
        <w:pStyle w:val="ListParagraph"/>
        <w:numPr>
          <w:ilvl w:val="1"/>
          <w:numId w:val="204"/>
        </w:numPr>
        <w:tabs>
          <w:tab w:val="left" w:pos="782"/>
        </w:tabs>
        <w:spacing w:before="65" w:line="324" w:lineRule="auto"/>
        <w:ind w:right="7036" w:firstLine="0"/>
        <w:rPr>
          <w:sz w:val="30"/>
        </w:rPr>
      </w:pPr>
      <w:r>
        <w:rPr>
          <w:sz w:val="30"/>
        </w:rPr>
        <w:lastRenderedPageBreak/>
        <w:t>x</w:t>
      </w:r>
      <w:r>
        <w:rPr>
          <w:spacing w:val="-7"/>
          <w:sz w:val="30"/>
        </w:rPr>
        <w:t xml:space="preserve"> </w:t>
      </w:r>
      <w:r>
        <w:rPr>
          <w:sz w:val="30"/>
        </w:rPr>
        <w:t>is</w:t>
      </w:r>
      <w:r>
        <w:rPr>
          <w:spacing w:val="-8"/>
          <w:sz w:val="30"/>
        </w:rPr>
        <w:t xml:space="preserve"> </w:t>
      </w:r>
      <w:r>
        <w:rPr>
          <w:sz w:val="30"/>
        </w:rPr>
        <w:t>a</w:t>
      </w:r>
      <w:r>
        <w:rPr>
          <w:spacing w:val="-8"/>
          <w:sz w:val="30"/>
        </w:rPr>
        <w:t xml:space="preserve"> </w:t>
      </w:r>
      <w:r>
        <w:rPr>
          <w:sz w:val="30"/>
        </w:rPr>
        <w:t>member</w:t>
      </w:r>
      <w:r>
        <w:rPr>
          <w:spacing w:val="-8"/>
          <w:sz w:val="30"/>
        </w:rPr>
        <w:t xml:space="preserve"> </w:t>
      </w:r>
      <w:r>
        <w:rPr>
          <w:sz w:val="30"/>
        </w:rPr>
        <w:t>of</w:t>
      </w:r>
      <w:r>
        <w:rPr>
          <w:spacing w:val="-8"/>
          <w:sz w:val="30"/>
        </w:rPr>
        <w:t xml:space="preserve"> </w:t>
      </w:r>
      <w:r>
        <w:rPr>
          <w:sz w:val="30"/>
        </w:rPr>
        <w:t>S is equivalent with</w:t>
      </w:r>
    </w:p>
    <w:p w14:paraId="7E000ACA" w14:textId="77777777" w:rsidR="009A58DB" w:rsidRDefault="00000000">
      <w:pPr>
        <w:pStyle w:val="ListParagraph"/>
        <w:numPr>
          <w:ilvl w:val="1"/>
          <w:numId w:val="204"/>
        </w:numPr>
        <w:tabs>
          <w:tab w:val="left" w:pos="782"/>
        </w:tabs>
        <w:spacing w:line="329" w:lineRule="exact"/>
        <w:ind w:left="782" w:hanging="422"/>
        <w:rPr>
          <w:sz w:val="30"/>
        </w:rPr>
      </w:pPr>
      <w:r>
        <w:rPr>
          <w:sz w:val="30"/>
        </w:rPr>
        <w:t>x</w:t>
      </w:r>
      <w:r>
        <w:rPr>
          <w:spacing w:val="-5"/>
          <w:sz w:val="30"/>
        </w:rPr>
        <w:t xml:space="preserve"> </w:t>
      </w:r>
      <w:r>
        <w:rPr>
          <w:sz w:val="30"/>
        </w:rPr>
        <w:t>is</w:t>
      </w:r>
      <w:r>
        <w:rPr>
          <w:spacing w:val="-2"/>
          <w:sz w:val="30"/>
        </w:rPr>
        <w:t xml:space="preserve"> </w:t>
      </w:r>
      <w:r>
        <w:rPr>
          <w:sz w:val="30"/>
        </w:rPr>
        <w:t>identical</w:t>
      </w:r>
      <w:r>
        <w:rPr>
          <w:spacing w:val="-3"/>
          <w:sz w:val="30"/>
        </w:rPr>
        <w:t xml:space="preserve"> </w:t>
      </w:r>
      <w:r>
        <w:rPr>
          <w:sz w:val="30"/>
        </w:rPr>
        <w:t>with</w:t>
      </w:r>
      <w:r>
        <w:rPr>
          <w:spacing w:val="-3"/>
          <w:sz w:val="30"/>
        </w:rPr>
        <w:t xml:space="preserve"> </w:t>
      </w:r>
      <w:r>
        <w:rPr>
          <w:sz w:val="30"/>
        </w:rPr>
        <w:t>Smith</w:t>
      </w:r>
      <w:r>
        <w:rPr>
          <w:spacing w:val="-2"/>
          <w:sz w:val="30"/>
        </w:rPr>
        <w:t xml:space="preserve"> </w:t>
      </w:r>
      <w:r>
        <w:rPr>
          <w:sz w:val="30"/>
        </w:rPr>
        <w:t>or</w:t>
      </w:r>
      <w:r>
        <w:rPr>
          <w:spacing w:val="-3"/>
          <w:sz w:val="30"/>
        </w:rPr>
        <w:t xml:space="preserve"> </w:t>
      </w:r>
      <w:r>
        <w:rPr>
          <w:sz w:val="30"/>
        </w:rPr>
        <w:t>Jones</w:t>
      </w:r>
      <w:r>
        <w:rPr>
          <w:spacing w:val="-3"/>
          <w:sz w:val="30"/>
        </w:rPr>
        <w:t xml:space="preserve"> </w:t>
      </w:r>
      <w:r>
        <w:rPr>
          <w:sz w:val="30"/>
        </w:rPr>
        <w:t>or</w:t>
      </w:r>
      <w:r>
        <w:rPr>
          <w:spacing w:val="-2"/>
          <w:sz w:val="30"/>
        </w:rPr>
        <w:t xml:space="preserve"> Brown</w:t>
      </w:r>
    </w:p>
    <w:p w14:paraId="7E000ACB" w14:textId="77777777" w:rsidR="009A58DB" w:rsidRDefault="00000000">
      <w:pPr>
        <w:pStyle w:val="BodyText"/>
        <w:spacing w:before="120"/>
        <w:jc w:val="left"/>
      </w:pPr>
      <w:r>
        <w:t>and,</w:t>
      </w:r>
      <w:r>
        <w:rPr>
          <w:spacing w:val="-4"/>
        </w:rPr>
        <w:t xml:space="preserve"> </w:t>
      </w:r>
      <w:r>
        <w:t>therefore,</w:t>
      </w:r>
      <w:r>
        <w:rPr>
          <w:spacing w:val="-4"/>
        </w:rPr>
        <w:t xml:space="preserve"> with</w:t>
      </w:r>
    </w:p>
    <w:p w14:paraId="7E000ACC" w14:textId="77777777" w:rsidR="009A58DB" w:rsidRDefault="00000000">
      <w:pPr>
        <w:pStyle w:val="ListParagraph"/>
        <w:numPr>
          <w:ilvl w:val="1"/>
          <w:numId w:val="204"/>
        </w:numPr>
        <w:tabs>
          <w:tab w:val="left" w:pos="782"/>
        </w:tabs>
        <w:spacing w:before="120"/>
        <w:ind w:left="782" w:hanging="422"/>
        <w:rPr>
          <w:sz w:val="30"/>
        </w:rPr>
      </w:pPr>
      <w:r>
        <w:rPr>
          <w:sz w:val="30"/>
        </w:rPr>
        <w:t>x</w:t>
      </w:r>
      <w:r>
        <w:rPr>
          <w:spacing w:val="-4"/>
          <w:sz w:val="30"/>
        </w:rPr>
        <w:t xml:space="preserve"> </w:t>
      </w:r>
      <w:r>
        <w:rPr>
          <w:sz w:val="30"/>
        </w:rPr>
        <w:t>has</w:t>
      </w:r>
      <w:r>
        <w:rPr>
          <w:spacing w:val="-3"/>
          <w:sz w:val="30"/>
        </w:rPr>
        <w:t xml:space="preserve"> </w:t>
      </w: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2"/>
          <w:sz w:val="30"/>
        </w:rPr>
        <w:t xml:space="preserve"> </w:t>
      </w:r>
      <w:r>
        <w:rPr>
          <w:sz w:val="30"/>
        </w:rPr>
        <w:t>identical</w:t>
      </w:r>
      <w:r>
        <w:rPr>
          <w:spacing w:val="-3"/>
          <w:sz w:val="30"/>
        </w:rPr>
        <w:t xml:space="preserve"> </w:t>
      </w:r>
      <w:r>
        <w:rPr>
          <w:sz w:val="30"/>
        </w:rPr>
        <w:t>with</w:t>
      </w:r>
      <w:r>
        <w:rPr>
          <w:spacing w:val="-2"/>
          <w:sz w:val="30"/>
        </w:rPr>
        <w:t xml:space="preserve"> </w:t>
      </w:r>
      <w:r>
        <w:rPr>
          <w:sz w:val="30"/>
        </w:rPr>
        <w:t>Smith</w:t>
      </w:r>
      <w:r>
        <w:rPr>
          <w:spacing w:val="-2"/>
          <w:sz w:val="30"/>
        </w:rPr>
        <w:t xml:space="preserve"> </w:t>
      </w:r>
      <w:r>
        <w:rPr>
          <w:sz w:val="30"/>
        </w:rPr>
        <w:t>or</w:t>
      </w:r>
      <w:r>
        <w:rPr>
          <w:spacing w:val="-3"/>
          <w:sz w:val="30"/>
        </w:rPr>
        <w:t xml:space="preserve"> </w:t>
      </w:r>
      <w:r>
        <w:rPr>
          <w:sz w:val="30"/>
        </w:rPr>
        <w:t>Jones</w:t>
      </w:r>
      <w:r>
        <w:rPr>
          <w:spacing w:val="-3"/>
          <w:sz w:val="30"/>
        </w:rPr>
        <w:t xml:space="preserve"> </w:t>
      </w:r>
      <w:r>
        <w:rPr>
          <w:sz w:val="30"/>
        </w:rPr>
        <w:t>or</w:t>
      </w:r>
      <w:r>
        <w:rPr>
          <w:spacing w:val="-2"/>
          <w:sz w:val="30"/>
        </w:rPr>
        <w:t xml:space="preserve"> Brown.</w:t>
      </w:r>
    </w:p>
    <w:p w14:paraId="7E000ACD" w14:textId="77777777" w:rsidR="009A58DB" w:rsidRDefault="00000000">
      <w:pPr>
        <w:pStyle w:val="BodyText"/>
        <w:spacing w:before="105" w:line="249" w:lineRule="auto"/>
        <w:ind w:right="360" w:firstLine="360"/>
      </w:pPr>
      <w:r>
        <w:t>Thus, S may be identified with the property of being identical with Smith or Jones or Brown; and membership in S may be identified with possession</w:t>
      </w:r>
      <w:r>
        <w:rPr>
          <w:spacing w:val="40"/>
        </w:rPr>
        <w:t xml:space="preserve"> </w:t>
      </w:r>
      <w:r>
        <w:t>of that property.</w:t>
      </w:r>
    </w:p>
    <w:p w14:paraId="7E000ACE" w14:textId="77777777" w:rsidR="009A58DB" w:rsidRDefault="00000000">
      <w:pPr>
        <w:pStyle w:val="BodyText"/>
        <w:spacing w:before="3" w:line="249" w:lineRule="auto"/>
        <w:ind w:right="358" w:firstLine="360"/>
      </w:pPr>
      <w:r>
        <w:t>Sets are non-spatiotemporal entities. Given that sets are really properties,</w:t>
      </w:r>
      <w:r>
        <w:rPr>
          <w:spacing w:val="40"/>
        </w:rPr>
        <w:t xml:space="preserve"> </w:t>
      </w:r>
      <w:r>
        <w:t>it follows that, given only that sets are non-spatiotemporal, it doesn’t follow that anything non-spatiotemporal isn’t a property.</w:t>
      </w:r>
    </w:p>
    <w:p w14:paraId="7E000ACF" w14:textId="77777777" w:rsidR="009A58DB" w:rsidRDefault="00000000">
      <w:pPr>
        <w:pStyle w:val="BodyText"/>
        <w:spacing w:before="4" w:line="249" w:lineRule="auto"/>
        <w:ind w:right="360" w:firstLine="360"/>
      </w:pPr>
      <w:r>
        <w:t xml:space="preserve">Propositions are non-spatiotemporal entities. But they two are properties. The proposition </w:t>
      </w:r>
      <w:r>
        <w:rPr>
          <w:i/>
        </w:rPr>
        <w:t xml:space="preserve">JM is playing tennis at time t </w:t>
      </w:r>
      <w:r>
        <w:t>is true just in case certain properties are instantiated at certain times, and we may therefore identify that proposition with the set containing the relevant properties and identify that proposition’s being true with the fact of all of that set’s members’ being instantiated. We’ll work out the details in the next chapter. Since sets can, in the way just described, be identified with properties, it follows that propositions are properties.</w:t>
      </w:r>
    </w:p>
    <w:p w14:paraId="7E000AD0" w14:textId="77777777" w:rsidR="009A58DB" w:rsidRDefault="00000000">
      <w:pPr>
        <w:pStyle w:val="BodyText"/>
        <w:spacing w:before="10" w:line="249" w:lineRule="auto"/>
        <w:ind w:right="367" w:firstLine="360"/>
      </w:pPr>
      <w:r>
        <w:t>Properties aren’t mind-independent and neither (therefore) are propositions. But, of course, it’s a popular belief, mainly among empiricists, that propositions, if existent, are human creations. Here is a reason, distinct from the one just given, to think otherwise.</w:t>
      </w:r>
    </w:p>
    <w:p w14:paraId="7E000AD1" w14:textId="77777777" w:rsidR="009A58DB" w:rsidRDefault="00000000">
      <w:pPr>
        <w:pStyle w:val="BodyText"/>
        <w:spacing w:before="5" w:line="249" w:lineRule="auto"/>
        <w:ind w:right="357" w:firstLine="360"/>
      </w:pPr>
      <w:r>
        <w:t xml:space="preserve">There are infinitely many propositions. (Since there are infinitely many locations, there are, for any given particle x, infinitely propositions of the form </w:t>
      </w:r>
      <w:r>
        <w:rPr>
          <w:i/>
        </w:rPr>
        <w:t>x is in place y at time t.</w:t>
      </w:r>
      <w:r>
        <w:t xml:space="preserve">)We couldn’t therefore have directly created every proposition there is. So, supposing that propositions are human creations, we must be only </w:t>
      </w:r>
      <w:r>
        <w:rPr>
          <w:i/>
        </w:rPr>
        <w:t xml:space="preserve">indirectly </w:t>
      </w:r>
      <w:r>
        <w:t>responsible for infinity many of them, and it must therefore be supposed that we created some finite stock of propositions that somehow brought about the rest. But in that case there are true propositions, which we’ll refer to as “intermediary” propositions, that describe how the ones we directly created brought about the others. But since there are infinitely many propositions that we didn’t create, there are infinitely</w:t>
      </w:r>
      <w:r>
        <w:rPr>
          <w:spacing w:val="59"/>
          <w:w w:val="150"/>
        </w:rPr>
        <w:t xml:space="preserve"> </w:t>
      </w:r>
      <w:r>
        <w:t>many</w:t>
      </w:r>
      <w:r>
        <w:rPr>
          <w:spacing w:val="59"/>
          <w:w w:val="150"/>
        </w:rPr>
        <w:t xml:space="preserve"> </w:t>
      </w:r>
      <w:r>
        <w:t>intermediary</w:t>
      </w:r>
      <w:r>
        <w:rPr>
          <w:spacing w:val="60"/>
          <w:w w:val="150"/>
        </w:rPr>
        <w:t xml:space="preserve"> </w:t>
      </w:r>
      <w:r>
        <w:t>propositions:</w:t>
      </w:r>
      <w:r>
        <w:rPr>
          <w:spacing w:val="59"/>
          <w:w w:val="150"/>
        </w:rPr>
        <w:t xml:space="preserve"> </w:t>
      </w:r>
      <w:r>
        <w:t>one</w:t>
      </w:r>
      <w:r>
        <w:rPr>
          <w:spacing w:val="59"/>
          <w:w w:val="150"/>
        </w:rPr>
        <w:t xml:space="preserve"> </w:t>
      </w:r>
      <w:r>
        <w:t>for</w:t>
      </w:r>
      <w:r>
        <w:rPr>
          <w:spacing w:val="60"/>
          <w:w w:val="150"/>
        </w:rPr>
        <w:t xml:space="preserve"> </w:t>
      </w:r>
      <w:r>
        <w:t>each</w:t>
      </w:r>
      <w:r>
        <w:rPr>
          <w:spacing w:val="59"/>
          <w:w w:val="150"/>
        </w:rPr>
        <w:t xml:space="preserve"> </w:t>
      </w:r>
      <w:r>
        <w:t>proposition</w:t>
      </w:r>
      <w:r>
        <w:rPr>
          <w:spacing w:val="60"/>
          <w:w w:val="150"/>
        </w:rPr>
        <w:t xml:space="preserve"> </w:t>
      </w:r>
      <w:r>
        <w:rPr>
          <w:spacing w:val="-5"/>
        </w:rPr>
        <w:t>not</w:t>
      </w:r>
    </w:p>
    <w:p w14:paraId="7E000AD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D3" w14:textId="77777777" w:rsidR="009A58DB" w:rsidRDefault="00000000">
      <w:pPr>
        <w:pStyle w:val="BodyText"/>
        <w:spacing w:before="60" w:line="249" w:lineRule="auto"/>
        <w:ind w:right="358"/>
      </w:pPr>
      <w:r>
        <w:lastRenderedPageBreak/>
        <w:t>directly created. (Suppose for argument’s sake that we didn’t directly create the proposition that dinosaurs wore tweed, and also suppose that p</w:t>
      </w:r>
      <w:r>
        <w:rPr>
          <w:vertAlign w:val="subscript"/>
        </w:rPr>
        <w:t>1</w:t>
      </w:r>
      <w:r>
        <w:t>...p</w:t>
      </w:r>
      <w:r>
        <w:rPr>
          <w:position w:val="-7"/>
          <w:sz w:val="22"/>
        </w:rPr>
        <w:t>n</w:t>
      </w:r>
      <w:r>
        <w:rPr>
          <w:spacing w:val="40"/>
          <w:position w:val="-7"/>
          <w:sz w:val="22"/>
        </w:rPr>
        <w:t xml:space="preserve"> </w:t>
      </w:r>
      <w:r>
        <w:t>are the propositions that we directly created. In that case, there is a true intermediary proposition to the effect that p</w:t>
      </w:r>
      <w:r>
        <w:rPr>
          <w:vertAlign w:val="subscript"/>
        </w:rPr>
        <w:t>1</w:t>
      </w:r>
      <w:r>
        <w:t>...p</w:t>
      </w:r>
      <w:r>
        <w:rPr>
          <w:position w:val="-7"/>
          <w:sz w:val="22"/>
        </w:rPr>
        <w:t>n</w:t>
      </w:r>
      <w:r>
        <w:rPr>
          <w:spacing w:val="40"/>
          <w:position w:val="-7"/>
          <w:sz w:val="22"/>
        </w:rPr>
        <w:t xml:space="preserve"> </w:t>
      </w:r>
      <w:r>
        <w:t>brought about the propositions that dinosaurs wear tweed, another intermediary proposition another to the effect that p</w:t>
      </w:r>
      <w:r>
        <w:rPr>
          <w:vertAlign w:val="subscript"/>
        </w:rPr>
        <w:t>1</w:t>
      </w:r>
      <w:r>
        <w:t>...p</w:t>
      </w:r>
      <w:r>
        <w:rPr>
          <w:position w:val="-7"/>
          <w:sz w:val="22"/>
        </w:rPr>
        <w:t>n</w:t>
      </w:r>
      <w:r>
        <w:rPr>
          <w:spacing w:val="40"/>
          <w:position w:val="-7"/>
          <w:sz w:val="22"/>
        </w:rPr>
        <w:t xml:space="preserve"> </w:t>
      </w:r>
      <w:r>
        <w:t xml:space="preserve">brought about the proposition that </w:t>
      </w:r>
      <w:r>
        <w:rPr>
          <w:i/>
        </w:rPr>
        <w:t xml:space="preserve">either </w:t>
      </w:r>
      <w:r>
        <w:t xml:space="preserve">dinosaurs wore tweed </w:t>
      </w:r>
      <w:r>
        <w:rPr>
          <w:i/>
        </w:rPr>
        <w:t xml:space="preserve">or </w:t>
      </w:r>
      <w:r>
        <w:t>1 + 1 = 2, and another to the effect that p</w:t>
      </w:r>
      <w:r>
        <w:rPr>
          <w:vertAlign w:val="subscript"/>
        </w:rPr>
        <w:t>1</w:t>
      </w:r>
      <w:r>
        <w:t>...p</w:t>
      </w:r>
      <w:r>
        <w:rPr>
          <w:position w:val="-7"/>
          <w:sz w:val="22"/>
        </w:rPr>
        <w:t xml:space="preserve">n </w:t>
      </w:r>
      <w:r>
        <w:t xml:space="preserve">brought about the proposition that it’s possible that it’s the case that </w:t>
      </w:r>
      <w:r>
        <w:rPr>
          <w:i/>
        </w:rPr>
        <w:t xml:space="preserve">either </w:t>
      </w:r>
      <w:r>
        <w:t>dinosaurs</w:t>
      </w:r>
      <w:r>
        <w:rPr>
          <w:spacing w:val="-3"/>
        </w:rPr>
        <w:t xml:space="preserve"> </w:t>
      </w:r>
      <w:r>
        <w:t>wore</w:t>
      </w:r>
      <w:r>
        <w:rPr>
          <w:spacing w:val="-3"/>
        </w:rPr>
        <w:t xml:space="preserve"> </w:t>
      </w:r>
      <w:r>
        <w:t>tweed</w:t>
      </w:r>
      <w:r>
        <w:rPr>
          <w:spacing w:val="-2"/>
        </w:rPr>
        <w:t xml:space="preserve"> </w:t>
      </w:r>
      <w:r>
        <w:rPr>
          <w:i/>
        </w:rPr>
        <w:t>or</w:t>
      </w:r>
      <w:r>
        <w:rPr>
          <w:i/>
          <w:spacing w:val="-3"/>
        </w:rPr>
        <w:t xml:space="preserve"> </w:t>
      </w:r>
      <w:r>
        <w:t>1 + 1 = 2, and so on.) We didn’t create each of these individually many intermediary propositions. (Supposing that we didn’t directly create the propositions that dinosaurs wore tweed; we also didn’t directly create any proposition having it as a proper part—e.g., the proposition</w:t>
      </w:r>
      <w:r>
        <w:rPr>
          <w:spacing w:val="-3"/>
        </w:rPr>
        <w:t xml:space="preserve"> </w:t>
      </w:r>
      <w:r>
        <w:t>that</w:t>
      </w:r>
      <w:r>
        <w:rPr>
          <w:spacing w:val="-4"/>
        </w:rPr>
        <w:t xml:space="preserve"> </w:t>
      </w:r>
      <w:r>
        <w:rPr>
          <w:i/>
        </w:rPr>
        <w:t>either</w:t>
      </w:r>
      <w:r>
        <w:rPr>
          <w:i/>
          <w:spacing w:val="-4"/>
        </w:rPr>
        <w:t xml:space="preserve"> </w:t>
      </w:r>
      <w:r>
        <w:t>dinosaurs</w:t>
      </w:r>
      <w:r>
        <w:rPr>
          <w:spacing w:val="-4"/>
        </w:rPr>
        <w:t xml:space="preserve"> </w:t>
      </w:r>
      <w:r>
        <w:t>wore</w:t>
      </w:r>
      <w:r>
        <w:rPr>
          <w:spacing w:val="-4"/>
        </w:rPr>
        <w:t xml:space="preserve"> </w:t>
      </w:r>
      <w:r>
        <w:t>tweed</w:t>
      </w:r>
      <w:r>
        <w:rPr>
          <w:spacing w:val="-3"/>
        </w:rPr>
        <w:t xml:space="preserve"> </w:t>
      </w:r>
      <w:r>
        <w:rPr>
          <w:i/>
        </w:rPr>
        <w:t>or</w:t>
      </w:r>
      <w:r>
        <w:rPr>
          <w:i/>
          <w:spacing w:val="-4"/>
        </w:rPr>
        <w:t xml:space="preserve"> </w:t>
      </w:r>
      <w:r>
        <w:t>1</w:t>
      </w:r>
      <w:r>
        <w:rPr>
          <w:spacing w:val="-1"/>
        </w:rPr>
        <w:t xml:space="preserve"> </w:t>
      </w:r>
      <w:r>
        <w:t>+</w:t>
      </w:r>
      <w:r>
        <w:rPr>
          <w:spacing w:val="-2"/>
        </w:rPr>
        <w:t xml:space="preserve"> </w:t>
      </w:r>
      <w:r>
        <w:t>1</w:t>
      </w:r>
      <w:r>
        <w:rPr>
          <w:spacing w:val="-1"/>
        </w:rPr>
        <w:t xml:space="preserve"> </w:t>
      </w:r>
      <w:r>
        <w:t>=</w:t>
      </w:r>
      <w:r>
        <w:rPr>
          <w:spacing w:val="-2"/>
        </w:rPr>
        <w:t xml:space="preserve"> </w:t>
      </w:r>
      <w:r>
        <w:t>2.)</w:t>
      </w:r>
      <w:r>
        <w:rPr>
          <w:spacing w:val="-1"/>
        </w:rPr>
        <w:t xml:space="preserve"> </w:t>
      </w:r>
      <w:r>
        <w:t>We</w:t>
      </w:r>
      <w:r>
        <w:rPr>
          <w:spacing w:val="-1"/>
        </w:rPr>
        <w:t xml:space="preserve"> </w:t>
      </w:r>
      <w:r>
        <w:t>must</w:t>
      </w:r>
      <w:r>
        <w:rPr>
          <w:spacing w:val="-1"/>
        </w:rPr>
        <w:t xml:space="preserve"> </w:t>
      </w:r>
      <w:r>
        <w:t xml:space="preserve">therefore posit a second group of intermediary propositions that will mediate between the first group and the propositions that we directly created. But everything just said about the first group of intermediary propositions will hold of the second, and we’ll be no further along. Thus, it cannot coherently be supposed that we directly create every proposition in existence. This might appear to leave open the possibility that some propositions, but not others, are human artifacts. But such a view would be arbitrary and implausible, like the view </w:t>
      </w:r>
      <w:r>
        <w:rPr>
          <w:spacing w:val="-4"/>
        </w:rPr>
        <w:t>that</w:t>
      </w:r>
      <w:r>
        <w:rPr>
          <w:spacing w:val="-6"/>
        </w:rPr>
        <w:t xml:space="preserve"> </w:t>
      </w:r>
      <w:r>
        <w:rPr>
          <w:spacing w:val="-4"/>
        </w:rPr>
        <w:t>some</w:t>
      </w:r>
      <w:r>
        <w:rPr>
          <w:spacing w:val="-12"/>
        </w:rPr>
        <w:t xml:space="preserve"> </w:t>
      </w:r>
      <w:r>
        <w:rPr>
          <w:spacing w:val="-4"/>
        </w:rPr>
        <w:t>whole</w:t>
      </w:r>
      <w:r>
        <w:rPr>
          <w:spacing w:val="-12"/>
        </w:rPr>
        <w:t xml:space="preserve"> </w:t>
      </w:r>
      <w:r>
        <w:rPr>
          <w:spacing w:val="-4"/>
        </w:rPr>
        <w:t>numbers</w:t>
      </w:r>
      <w:r>
        <w:rPr>
          <w:spacing w:val="-12"/>
        </w:rPr>
        <w:t xml:space="preserve"> </w:t>
      </w:r>
      <w:r>
        <w:rPr>
          <w:spacing w:val="-4"/>
        </w:rPr>
        <w:t>are</w:t>
      </w:r>
      <w:r>
        <w:rPr>
          <w:spacing w:val="-12"/>
        </w:rPr>
        <w:t xml:space="preserve"> </w:t>
      </w:r>
      <w:r>
        <w:rPr>
          <w:spacing w:val="-4"/>
        </w:rPr>
        <w:t>human</w:t>
      </w:r>
      <w:r>
        <w:rPr>
          <w:spacing w:val="-12"/>
        </w:rPr>
        <w:t xml:space="preserve"> </w:t>
      </w:r>
      <w:r>
        <w:rPr>
          <w:spacing w:val="-4"/>
        </w:rPr>
        <w:t>creations</w:t>
      </w:r>
      <w:r>
        <w:rPr>
          <w:spacing w:val="-12"/>
        </w:rPr>
        <w:t xml:space="preserve"> </w:t>
      </w:r>
      <w:r>
        <w:rPr>
          <w:spacing w:val="-4"/>
        </w:rPr>
        <w:t>while</w:t>
      </w:r>
      <w:r>
        <w:rPr>
          <w:spacing w:val="-12"/>
        </w:rPr>
        <w:t xml:space="preserve"> </w:t>
      </w:r>
      <w:r>
        <w:rPr>
          <w:spacing w:val="-4"/>
        </w:rPr>
        <w:t>others</w:t>
      </w:r>
      <w:r>
        <w:rPr>
          <w:spacing w:val="-12"/>
        </w:rPr>
        <w:t xml:space="preserve"> </w:t>
      </w:r>
      <w:r>
        <w:rPr>
          <w:spacing w:val="-4"/>
        </w:rPr>
        <w:t>are</w:t>
      </w:r>
      <w:r>
        <w:rPr>
          <w:spacing w:val="-12"/>
        </w:rPr>
        <w:t xml:space="preserve"> </w:t>
      </w:r>
      <w:r>
        <w:rPr>
          <w:spacing w:val="-4"/>
        </w:rPr>
        <w:t>not.</w:t>
      </w:r>
      <w:r>
        <w:rPr>
          <w:spacing w:val="-12"/>
        </w:rPr>
        <w:t xml:space="preserve"> </w:t>
      </w:r>
      <w:r>
        <w:rPr>
          <w:spacing w:val="-4"/>
        </w:rPr>
        <w:t>It</w:t>
      </w:r>
      <w:r>
        <w:rPr>
          <w:spacing w:val="-12"/>
        </w:rPr>
        <w:t xml:space="preserve"> </w:t>
      </w:r>
      <w:r>
        <w:rPr>
          <w:spacing w:val="-4"/>
        </w:rPr>
        <w:t>would</w:t>
      </w:r>
      <w:r>
        <w:rPr>
          <w:spacing w:val="-12"/>
        </w:rPr>
        <w:t xml:space="preserve"> </w:t>
      </w:r>
      <w:r>
        <w:rPr>
          <w:spacing w:val="-4"/>
        </w:rPr>
        <w:t xml:space="preserve">also </w:t>
      </w:r>
      <w:r>
        <w:t>be</w:t>
      </w:r>
      <w:r>
        <w:rPr>
          <w:spacing w:val="-9"/>
        </w:rPr>
        <w:t xml:space="preserve"> </w:t>
      </w:r>
      <w:r>
        <w:t>demonstrably</w:t>
      </w:r>
      <w:r>
        <w:rPr>
          <w:spacing w:val="-9"/>
        </w:rPr>
        <w:t xml:space="preserve"> </w:t>
      </w:r>
      <w:r>
        <w:t>false.</w:t>
      </w:r>
      <w:r>
        <w:rPr>
          <w:spacing w:val="-15"/>
        </w:rPr>
        <w:t xml:space="preserve"> </w:t>
      </w:r>
      <w:r>
        <w:t>We’ve</w:t>
      </w:r>
    </w:p>
    <w:p w14:paraId="7E000AD4" w14:textId="77777777" w:rsidR="009A58DB" w:rsidRDefault="00000000">
      <w:pPr>
        <w:pStyle w:val="BodyText"/>
        <w:spacing w:before="21" w:line="249" w:lineRule="auto"/>
        <w:ind w:right="358"/>
      </w:pPr>
      <w:r>
        <w:t>seen that we don’t directly or indirectly create the propositions describing how</w:t>
      </w:r>
      <w:r>
        <w:rPr>
          <w:spacing w:val="-1"/>
        </w:rPr>
        <w:t xml:space="preserve"> </w:t>
      </w:r>
      <w:r>
        <w:t>those</w:t>
      </w:r>
      <w:r>
        <w:rPr>
          <w:spacing w:val="-1"/>
        </w:rPr>
        <w:t xml:space="preserve"> </w:t>
      </w:r>
      <w:r>
        <w:t>that</w:t>
      </w:r>
      <w:r>
        <w:rPr>
          <w:spacing w:val="-2"/>
        </w:rPr>
        <w:t xml:space="preserve"> </w:t>
      </w:r>
      <w:r>
        <w:t>we</w:t>
      </w:r>
      <w:r>
        <w:rPr>
          <w:spacing w:val="-1"/>
        </w:rPr>
        <w:t xml:space="preserve"> </w:t>
      </w:r>
      <w:r>
        <w:t>do</w:t>
      </w:r>
      <w:r>
        <w:rPr>
          <w:spacing w:val="-1"/>
        </w:rPr>
        <w:t xml:space="preserve"> </w:t>
      </w:r>
      <w:r>
        <w:t>directly</w:t>
      </w:r>
      <w:r>
        <w:rPr>
          <w:spacing w:val="-1"/>
        </w:rPr>
        <w:t xml:space="preserve"> </w:t>
      </w:r>
      <w:r>
        <w:t>create,</w:t>
      </w:r>
      <w:r>
        <w:rPr>
          <w:spacing w:val="-1"/>
        </w:rPr>
        <w:t xml:space="preserve"> </w:t>
      </w:r>
      <w:r>
        <w:t>supposing</w:t>
      </w:r>
      <w:r>
        <w:rPr>
          <w:spacing w:val="-1"/>
        </w:rPr>
        <w:t xml:space="preserve"> </w:t>
      </w:r>
      <w:r>
        <w:t>that</w:t>
      </w:r>
      <w:r>
        <w:rPr>
          <w:spacing w:val="-2"/>
        </w:rPr>
        <w:t xml:space="preserve"> </w:t>
      </w:r>
      <w:r>
        <w:t>there</w:t>
      </w:r>
      <w:r>
        <w:rPr>
          <w:spacing w:val="-1"/>
        </w:rPr>
        <w:t xml:space="preserve"> </w:t>
      </w:r>
      <w:r>
        <w:t>are</w:t>
      </w:r>
      <w:r>
        <w:rPr>
          <w:spacing w:val="-1"/>
        </w:rPr>
        <w:t xml:space="preserve"> </w:t>
      </w:r>
      <w:r>
        <w:t>any,</w:t>
      </w:r>
      <w:r>
        <w:rPr>
          <w:spacing w:val="-1"/>
        </w:rPr>
        <w:t xml:space="preserve"> </w:t>
      </w:r>
      <w:r>
        <w:t>give</w:t>
      </w:r>
      <w:r>
        <w:rPr>
          <w:spacing w:val="-1"/>
        </w:rPr>
        <w:t xml:space="preserve"> </w:t>
      </w:r>
      <w:r>
        <w:t>rise</w:t>
      </w:r>
      <w:r>
        <w:rPr>
          <w:spacing w:val="-1"/>
        </w:rPr>
        <w:t xml:space="preserve"> </w:t>
      </w:r>
      <w:r>
        <w:t>to those we don’t. Those that we don’t directly create demonstrably entail those that we do. Suppose that we didn’t create the proposition that dinosaurs wore tweed but that we did create the proposition that snow is white. In that case, we</w:t>
      </w:r>
      <w:r>
        <w:rPr>
          <w:spacing w:val="-4"/>
        </w:rPr>
        <w:t xml:space="preserve"> </w:t>
      </w:r>
      <w:r>
        <w:t>didn’t</w:t>
      </w:r>
      <w:r>
        <w:rPr>
          <w:spacing w:val="-4"/>
        </w:rPr>
        <w:t xml:space="preserve"> </w:t>
      </w:r>
      <w:r>
        <w:t>create</w:t>
      </w:r>
      <w:r>
        <w:rPr>
          <w:spacing w:val="-4"/>
        </w:rPr>
        <w:t xml:space="preserve"> </w:t>
      </w:r>
      <w:r>
        <w:t>the</w:t>
      </w:r>
      <w:r>
        <w:rPr>
          <w:spacing w:val="-4"/>
        </w:rPr>
        <w:t xml:space="preserve"> </w:t>
      </w:r>
      <w:r>
        <w:t>proposition</w:t>
      </w:r>
      <w:r>
        <w:rPr>
          <w:spacing w:val="-3"/>
        </w:rPr>
        <w:t xml:space="preserve"> </w:t>
      </w:r>
      <w:r>
        <w:t>that</w:t>
      </w:r>
      <w:r>
        <w:rPr>
          <w:spacing w:val="-4"/>
        </w:rPr>
        <w:t xml:space="preserve"> </w:t>
      </w:r>
      <w:r>
        <w:rPr>
          <w:i/>
        </w:rPr>
        <w:t>dinosaurs</w:t>
      </w:r>
      <w:r>
        <w:rPr>
          <w:i/>
          <w:spacing w:val="-1"/>
        </w:rPr>
        <w:t xml:space="preserve"> </w:t>
      </w:r>
      <w:r>
        <w:rPr>
          <w:i/>
        </w:rPr>
        <w:t>wore</w:t>
      </w:r>
      <w:r>
        <w:rPr>
          <w:i/>
          <w:spacing w:val="-1"/>
        </w:rPr>
        <w:t xml:space="preserve"> </w:t>
      </w:r>
      <w:r>
        <w:rPr>
          <w:i/>
        </w:rPr>
        <w:t>tweed</w:t>
      </w:r>
      <w:r>
        <w:rPr>
          <w:i/>
          <w:spacing w:val="-1"/>
        </w:rPr>
        <w:t xml:space="preserve"> </w:t>
      </w:r>
      <w:r>
        <w:rPr>
          <w:i/>
        </w:rPr>
        <w:t>and</w:t>
      </w:r>
      <w:r>
        <w:rPr>
          <w:i/>
          <w:spacing w:val="-1"/>
        </w:rPr>
        <w:t xml:space="preserve"> </w:t>
      </w:r>
      <w:r>
        <w:rPr>
          <w:i/>
        </w:rPr>
        <w:t>snow</w:t>
      </w:r>
      <w:r>
        <w:rPr>
          <w:i/>
          <w:spacing w:val="-1"/>
        </w:rPr>
        <w:t xml:space="preserve"> </w:t>
      </w:r>
      <w:r>
        <w:rPr>
          <w:i/>
        </w:rPr>
        <w:t>is</w:t>
      </w:r>
      <w:r>
        <w:rPr>
          <w:i/>
          <w:spacing w:val="-1"/>
        </w:rPr>
        <w:t xml:space="preserve"> </w:t>
      </w:r>
      <w:r>
        <w:rPr>
          <w:i/>
        </w:rPr>
        <w:t xml:space="preserve">white. </w:t>
      </w:r>
      <w:r>
        <w:t>That proposition entails that snow is white, and thus requires its existence. Therefore the proposition that snow is white doesn’t need us to create it,</w:t>
      </w:r>
      <w:r>
        <w:rPr>
          <w:spacing w:val="40"/>
        </w:rPr>
        <w:t xml:space="preserve"> </w:t>
      </w:r>
      <w:r>
        <w:t xml:space="preserve">since its existence follows from one that we didn’t create. Therefore, we </w:t>
      </w:r>
      <w:r>
        <w:rPr>
          <w:i/>
        </w:rPr>
        <w:t xml:space="preserve">couldn’t </w:t>
      </w:r>
      <w:r>
        <w:t>have created the proposition that snow is white, since one can’t create what already exists.</w:t>
      </w:r>
    </w:p>
    <w:p w14:paraId="7E000AD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AD6" w14:textId="77777777" w:rsidR="009A58DB" w:rsidRDefault="009A58DB">
      <w:pPr>
        <w:pStyle w:val="BodyText"/>
        <w:spacing w:before="4"/>
        <w:ind w:left="0"/>
        <w:jc w:val="left"/>
        <w:rPr>
          <w:sz w:val="17"/>
        </w:rPr>
      </w:pPr>
    </w:p>
    <w:p w14:paraId="7E000AD7"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0AD8" w14:textId="77777777" w:rsidR="009A58DB" w:rsidRDefault="009A58DB">
      <w:pPr>
        <w:pStyle w:val="BodyText"/>
        <w:spacing w:before="4"/>
        <w:ind w:left="0"/>
        <w:jc w:val="left"/>
        <w:rPr>
          <w:sz w:val="17"/>
        </w:rPr>
      </w:pPr>
    </w:p>
    <w:p w14:paraId="7E000AD9"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0ADA" w14:textId="77777777" w:rsidR="009A58DB" w:rsidRDefault="00000000">
      <w:pPr>
        <w:spacing w:line="503" w:lineRule="exact"/>
        <w:ind w:left="326" w:right="332"/>
        <w:jc w:val="center"/>
        <w:rPr>
          <w:rFonts w:ascii="Calibri Light"/>
          <w:sz w:val="42"/>
        </w:rPr>
      </w:pPr>
      <w:bookmarkStart w:id="126" w:name="_bookmark126"/>
      <w:bookmarkEnd w:id="126"/>
      <w:r>
        <w:rPr>
          <w:rFonts w:ascii="Calibri Light"/>
          <w:sz w:val="42"/>
        </w:rPr>
        <w:lastRenderedPageBreak/>
        <w:t>Chapter</w:t>
      </w:r>
      <w:r>
        <w:rPr>
          <w:rFonts w:ascii="Calibri Light"/>
          <w:spacing w:val="56"/>
          <w:sz w:val="42"/>
        </w:rPr>
        <w:t xml:space="preserve"> </w:t>
      </w:r>
      <w:r>
        <w:rPr>
          <w:rFonts w:ascii="Calibri Light"/>
          <w:spacing w:val="-10"/>
          <w:sz w:val="42"/>
        </w:rPr>
        <w:t>3</w:t>
      </w:r>
    </w:p>
    <w:p w14:paraId="7E000ADB" w14:textId="77777777" w:rsidR="009A58DB" w:rsidRDefault="00000000">
      <w:pPr>
        <w:spacing w:before="222" w:line="406" w:lineRule="exact"/>
        <w:ind w:left="7734" w:right="332"/>
        <w:jc w:val="center"/>
        <w:rPr>
          <w:rFonts w:ascii="Calibri Light"/>
          <w:sz w:val="42"/>
        </w:rPr>
      </w:pPr>
      <w:bookmarkStart w:id="127" w:name="_bookmark127"/>
      <w:bookmarkStart w:id="128" w:name="_bookmark128"/>
      <w:bookmarkEnd w:id="127"/>
      <w:bookmarkEnd w:id="128"/>
      <w:r>
        <w:rPr>
          <w:rFonts w:ascii="Calibri Light"/>
          <w:color w:val="0562C1"/>
          <w:spacing w:val="-4"/>
          <w:sz w:val="42"/>
          <w:u w:val="single" w:color="0562C1"/>
        </w:rPr>
        <w:t>[66]</w:t>
      </w:r>
    </w:p>
    <w:p w14:paraId="7E000ADC" w14:textId="77777777" w:rsidR="009A58DB" w:rsidRDefault="00000000">
      <w:pPr>
        <w:spacing w:line="406" w:lineRule="exact"/>
        <w:ind w:right="681"/>
        <w:jc w:val="center"/>
        <w:rPr>
          <w:rFonts w:ascii="Calibri Light"/>
          <w:sz w:val="42"/>
        </w:rPr>
      </w:pPr>
      <w:r>
        <w:rPr>
          <w:rFonts w:ascii="Calibri Light"/>
          <w:sz w:val="42"/>
        </w:rPr>
        <w:t>What</w:t>
      </w:r>
      <w:r>
        <w:rPr>
          <w:rFonts w:ascii="Calibri Light"/>
          <w:spacing w:val="37"/>
          <w:sz w:val="42"/>
        </w:rPr>
        <w:t xml:space="preserve"> </w:t>
      </w:r>
      <w:r>
        <w:rPr>
          <w:rFonts w:ascii="Calibri Light"/>
          <w:sz w:val="42"/>
        </w:rPr>
        <w:t>Are</w:t>
      </w:r>
      <w:r>
        <w:rPr>
          <w:rFonts w:ascii="Calibri Light"/>
          <w:spacing w:val="37"/>
          <w:sz w:val="42"/>
        </w:rPr>
        <w:t xml:space="preserve"> </w:t>
      </w:r>
      <w:r>
        <w:rPr>
          <w:rFonts w:ascii="Calibri Light"/>
          <w:sz w:val="42"/>
        </w:rPr>
        <w:t>Propositions</w:t>
      </w:r>
      <w:r>
        <w:rPr>
          <w:rFonts w:ascii="Calibri Light"/>
          <w:spacing w:val="38"/>
          <w:sz w:val="42"/>
        </w:rPr>
        <w:t xml:space="preserve"> </w:t>
      </w:r>
      <w:r>
        <w:rPr>
          <w:rFonts w:ascii="Calibri Light"/>
          <w:sz w:val="42"/>
        </w:rPr>
        <w:t>and</w:t>
      </w:r>
      <w:r>
        <w:rPr>
          <w:rFonts w:ascii="Calibri Light"/>
          <w:spacing w:val="37"/>
          <w:sz w:val="42"/>
        </w:rPr>
        <w:t xml:space="preserve"> </w:t>
      </w:r>
      <w:r>
        <w:rPr>
          <w:rFonts w:ascii="Calibri Light"/>
          <w:sz w:val="42"/>
        </w:rPr>
        <w:t>What</w:t>
      </w:r>
      <w:r>
        <w:rPr>
          <w:rFonts w:ascii="Calibri Light"/>
          <w:spacing w:val="37"/>
          <w:sz w:val="42"/>
        </w:rPr>
        <w:t xml:space="preserve"> </w:t>
      </w:r>
      <w:r>
        <w:rPr>
          <w:rFonts w:ascii="Calibri Light"/>
          <w:sz w:val="42"/>
        </w:rPr>
        <w:t>Is</w:t>
      </w:r>
      <w:r>
        <w:rPr>
          <w:rFonts w:ascii="Calibri Light"/>
          <w:spacing w:val="38"/>
          <w:sz w:val="42"/>
        </w:rPr>
        <w:t xml:space="preserve"> </w:t>
      </w:r>
      <w:r>
        <w:rPr>
          <w:rFonts w:ascii="Calibri Light"/>
          <w:spacing w:val="-2"/>
          <w:sz w:val="42"/>
        </w:rPr>
        <w:t>Truth?</w:t>
      </w:r>
    </w:p>
    <w:p w14:paraId="7E000ADD" w14:textId="77777777" w:rsidR="009A58DB" w:rsidRDefault="00000000">
      <w:pPr>
        <w:pStyle w:val="Heading1"/>
        <w:numPr>
          <w:ilvl w:val="0"/>
          <w:numId w:val="203"/>
        </w:numPr>
        <w:tabs>
          <w:tab w:val="left" w:pos="1165"/>
          <w:tab w:val="left" w:pos="3685"/>
          <w:tab w:val="left" w:pos="4339"/>
          <w:tab w:val="left" w:pos="5272"/>
          <w:tab w:val="left" w:pos="5903"/>
          <w:tab w:val="left" w:pos="8130"/>
          <w:tab w:val="left" w:pos="9343"/>
        </w:tabs>
        <w:spacing w:before="185" w:line="244" w:lineRule="auto"/>
        <w:ind w:right="360" w:firstLine="0"/>
      </w:pPr>
      <w:r>
        <w:rPr>
          <w:spacing w:val="-2"/>
        </w:rPr>
        <w:t>Propositions</w:t>
      </w:r>
      <w:r>
        <w:tab/>
      </w:r>
      <w:r>
        <w:rPr>
          <w:spacing w:val="-6"/>
        </w:rPr>
        <w:t>as</w:t>
      </w:r>
      <w:r>
        <w:tab/>
      </w:r>
      <w:r>
        <w:rPr>
          <w:spacing w:val="-4"/>
        </w:rPr>
        <w:t>sets</w:t>
      </w:r>
      <w:r>
        <w:tab/>
      </w:r>
      <w:r>
        <w:rPr>
          <w:spacing w:val="-6"/>
        </w:rPr>
        <w:t>of</w:t>
      </w:r>
      <w:r>
        <w:tab/>
      </w:r>
      <w:r>
        <w:rPr>
          <w:spacing w:val="-2"/>
        </w:rPr>
        <w:t>properties,</w:t>
      </w:r>
      <w:r>
        <w:tab/>
      </w:r>
      <w:r>
        <w:rPr>
          <w:spacing w:val="-2"/>
        </w:rPr>
        <w:t>truth</w:t>
      </w:r>
      <w:r>
        <w:tab/>
      </w:r>
      <w:r>
        <w:rPr>
          <w:spacing w:val="-6"/>
        </w:rPr>
        <w:t xml:space="preserve">as </w:t>
      </w:r>
      <w:r>
        <w:t>instantiatedness of said properties</w:t>
      </w:r>
    </w:p>
    <w:p w14:paraId="7E000ADE" w14:textId="77777777" w:rsidR="009A58DB" w:rsidRDefault="00000000">
      <w:pPr>
        <w:pStyle w:val="BodyText"/>
        <w:spacing w:before="132" w:line="249" w:lineRule="auto"/>
        <w:ind w:right="365"/>
      </w:pPr>
      <w:r>
        <w:t>By a “proposition,” I mean what is meant by an utterance of a sentence. If I point at Smith and say “that man is a scoundrel,” the meaning of my</w:t>
      </w:r>
      <w:r>
        <w:rPr>
          <w:spacing w:val="40"/>
        </w:rPr>
        <w:t xml:space="preserve"> </w:t>
      </w:r>
      <w:r>
        <w:t>utterance is is a proposition.</w:t>
      </w:r>
    </w:p>
    <w:p w14:paraId="7E000ADF" w14:textId="77777777" w:rsidR="009A58DB" w:rsidRDefault="00000000">
      <w:pPr>
        <w:pStyle w:val="BodyText"/>
        <w:spacing w:before="4" w:line="249" w:lineRule="auto"/>
        <w:ind w:right="358" w:firstLine="360"/>
      </w:pPr>
      <w:r>
        <w:t xml:space="preserve">In this chapter, we’ll provide answers to the questions “what are propositions?” and “what is it for propositions to be true?” Here’s what we’ll see. Propositions are </w:t>
      </w:r>
      <w:r>
        <w:rPr>
          <w:b/>
          <w:i/>
        </w:rPr>
        <w:t xml:space="preserve">sets </w:t>
      </w:r>
      <w:r>
        <w:t xml:space="preserve">of properties; and a proposition is true just in case the properties that are members of it are instantiated—so what it is for a proposition to be true is for the members of the set with which it is identical to be jointly instantiated. Roughly, truth is instantiatedness. Less roughly, truth is identical with the property of being a set (of a certain kind) all of whose members are instantiated. Aside from a few brief remarks, I will leave it open whether </w:t>
      </w:r>
      <w:r>
        <w:rPr>
          <w:i/>
        </w:rPr>
        <w:t xml:space="preserve">all </w:t>
      </w:r>
      <w:r>
        <w:t xml:space="preserve">sets of properties qualify as propositions (hence the parenthetical hedge in the last sentence). But a case will be made that </w:t>
      </w:r>
      <w:r>
        <w:rPr>
          <w:i/>
        </w:rPr>
        <w:t xml:space="preserve">only </w:t>
      </w:r>
      <w:r>
        <w:t>sets of properties are propositions.</w:t>
      </w:r>
    </w:p>
    <w:p w14:paraId="7E000AE0" w14:textId="77777777" w:rsidR="009A58DB" w:rsidRDefault="00000000">
      <w:pPr>
        <w:pStyle w:val="Heading1"/>
        <w:numPr>
          <w:ilvl w:val="0"/>
          <w:numId w:val="203"/>
        </w:numPr>
        <w:tabs>
          <w:tab w:val="left" w:pos="990"/>
        </w:tabs>
        <w:spacing w:before="216"/>
        <w:ind w:left="990" w:hanging="630"/>
      </w:pPr>
      <w:r>
        <w:t>The</w:t>
      </w:r>
      <w:r>
        <w:rPr>
          <w:spacing w:val="-5"/>
        </w:rPr>
        <w:t xml:space="preserve"> </w:t>
      </w:r>
      <w:r>
        <w:rPr>
          <w:spacing w:val="-2"/>
        </w:rPr>
        <w:t>Argument</w:t>
      </w:r>
    </w:p>
    <w:p w14:paraId="7E000AE1" w14:textId="77777777" w:rsidR="009A58DB" w:rsidRDefault="00000000">
      <w:pPr>
        <w:pStyle w:val="BodyText"/>
        <w:spacing w:before="139"/>
      </w:pPr>
      <w:r>
        <w:t>Consider</w:t>
      </w:r>
      <w:r>
        <w:rPr>
          <w:spacing w:val="-4"/>
        </w:rPr>
        <w:t xml:space="preserve"> </w:t>
      </w:r>
      <w:r>
        <w:t>the</w:t>
      </w:r>
      <w:r>
        <w:rPr>
          <w:spacing w:val="-3"/>
        </w:rPr>
        <w:t xml:space="preserve"> </w:t>
      </w:r>
      <w:r>
        <w:rPr>
          <w:spacing w:val="-2"/>
        </w:rPr>
        <w:t>proposition:</w:t>
      </w:r>
    </w:p>
    <w:p w14:paraId="7E000AE2" w14:textId="77777777" w:rsidR="009A58DB" w:rsidRDefault="009A58DB">
      <w:pPr>
        <w:pStyle w:val="BodyText"/>
        <w:spacing w:before="30"/>
        <w:ind w:left="0"/>
        <w:jc w:val="left"/>
      </w:pPr>
    </w:p>
    <w:p w14:paraId="7E000AE3" w14:textId="77777777" w:rsidR="009A58DB" w:rsidRDefault="00000000">
      <w:pPr>
        <w:pStyle w:val="BodyText"/>
        <w:jc w:val="left"/>
      </w:pPr>
      <w:r>
        <w:t>1.</w:t>
      </w:r>
      <w:r>
        <w:rPr>
          <w:spacing w:val="-2"/>
        </w:rPr>
        <w:t xml:space="preserve"> </w:t>
      </w:r>
      <w:r>
        <w:t>Tommy</w:t>
      </w:r>
      <w:r>
        <w:rPr>
          <w:spacing w:val="-1"/>
        </w:rPr>
        <w:t xml:space="preserve"> </w:t>
      </w:r>
      <w:r>
        <w:t>is</w:t>
      </w:r>
      <w:r>
        <w:rPr>
          <w:spacing w:val="-2"/>
        </w:rPr>
        <w:t xml:space="preserve"> smoking.</w:t>
      </w:r>
    </w:p>
    <w:p w14:paraId="7E000AE4" w14:textId="77777777" w:rsidR="009A58DB" w:rsidRDefault="009A58DB">
      <w:pPr>
        <w:pStyle w:val="BodyText"/>
        <w:spacing w:before="30"/>
        <w:ind w:left="0"/>
        <w:jc w:val="left"/>
      </w:pPr>
    </w:p>
    <w:p w14:paraId="7E000AE5" w14:textId="77777777" w:rsidR="009A58DB" w:rsidRDefault="00000000">
      <w:pPr>
        <w:pStyle w:val="BodyText"/>
        <w:spacing w:line="249" w:lineRule="auto"/>
        <w:ind w:right="358" w:firstLine="360"/>
      </w:pPr>
      <w:r>
        <w:t>Intuitively, this proposition seems to consist of at least three components: first, Tommy (or, in any case, something “individuative” of Tommy: perhaps a property that he uniquely instantiates or a concept under which he and he alone falls); second, the property of smoking; and, third, some kind of “synthesis” of the two—some complex constituent that involves Tommy’s smoking. (We will try to state precisely what this synthesis involves.)</w:t>
      </w:r>
    </w:p>
    <w:p w14:paraId="7E000AE6" w14:textId="77777777" w:rsidR="009A58DB" w:rsidRDefault="00000000">
      <w:pPr>
        <w:pStyle w:val="BodyText"/>
        <w:spacing w:before="8"/>
        <w:ind w:left="720"/>
      </w:pPr>
      <w:r>
        <w:t>If</w:t>
      </w:r>
      <w:r>
        <w:rPr>
          <w:spacing w:val="-3"/>
        </w:rPr>
        <w:t xml:space="preserve"> </w:t>
      </w:r>
      <w:r>
        <w:t>1</w:t>
      </w:r>
      <w:r>
        <w:rPr>
          <w:spacing w:val="-1"/>
        </w:rPr>
        <w:t xml:space="preserve"> </w:t>
      </w:r>
      <w:r>
        <w:t>is</w:t>
      </w:r>
      <w:r>
        <w:rPr>
          <w:spacing w:val="-2"/>
        </w:rPr>
        <w:t xml:space="preserve"> </w:t>
      </w:r>
      <w:r>
        <w:t>true,</w:t>
      </w:r>
      <w:r>
        <w:rPr>
          <w:spacing w:val="-1"/>
        </w:rPr>
        <w:t xml:space="preserve"> </w:t>
      </w:r>
      <w:r>
        <w:rPr>
          <w:spacing w:val="-4"/>
        </w:rPr>
        <w:t>then:</w:t>
      </w:r>
    </w:p>
    <w:p w14:paraId="7E000AE7" w14:textId="77777777" w:rsidR="009A58DB" w:rsidRDefault="009A58DB">
      <w:pPr>
        <w:pStyle w:val="BodyText"/>
        <w:sectPr w:rsidR="009A58DB">
          <w:pgSz w:w="12240" w:h="15840"/>
          <w:pgMar w:top="1680" w:right="1080" w:bottom="280" w:left="1080" w:header="720" w:footer="720" w:gutter="0"/>
          <w:cols w:space="720"/>
        </w:sectPr>
      </w:pPr>
    </w:p>
    <w:p w14:paraId="7E000AE8" w14:textId="77777777" w:rsidR="009A58DB" w:rsidRDefault="00000000">
      <w:pPr>
        <w:pStyle w:val="ListParagraph"/>
        <w:numPr>
          <w:ilvl w:val="0"/>
          <w:numId w:val="202"/>
        </w:numPr>
        <w:tabs>
          <w:tab w:val="left" w:pos="725"/>
        </w:tabs>
        <w:spacing w:before="65" w:line="501" w:lineRule="auto"/>
        <w:ind w:right="4088" w:firstLine="0"/>
        <w:rPr>
          <w:sz w:val="30"/>
        </w:rPr>
      </w:pPr>
      <w:r>
        <w:rPr>
          <w:sz w:val="30"/>
        </w:rPr>
        <w:lastRenderedPageBreak/>
        <w:t>the</w:t>
      </w:r>
      <w:r>
        <w:rPr>
          <w:spacing w:val="-7"/>
          <w:sz w:val="30"/>
        </w:rPr>
        <w:t xml:space="preserve"> </w:t>
      </w:r>
      <w:r>
        <w:rPr>
          <w:sz w:val="30"/>
        </w:rPr>
        <w:t>property</w:t>
      </w:r>
      <w:r>
        <w:rPr>
          <w:spacing w:val="-6"/>
          <w:sz w:val="30"/>
        </w:rPr>
        <w:t xml:space="preserve"> </w:t>
      </w:r>
      <w:r>
        <w:rPr>
          <w:sz w:val="30"/>
        </w:rPr>
        <w:t>of</w:t>
      </w:r>
      <w:r>
        <w:rPr>
          <w:spacing w:val="-7"/>
          <w:sz w:val="30"/>
        </w:rPr>
        <w:t xml:space="preserve"> </w:t>
      </w:r>
      <w:r>
        <w:rPr>
          <w:sz w:val="30"/>
        </w:rPr>
        <w:t>being</w:t>
      </w:r>
      <w:r>
        <w:rPr>
          <w:spacing w:val="-6"/>
          <w:sz w:val="30"/>
        </w:rPr>
        <w:t xml:space="preserve"> </w:t>
      </w:r>
      <w:r>
        <w:rPr>
          <w:sz w:val="30"/>
        </w:rPr>
        <w:t>identical</w:t>
      </w:r>
      <w:r>
        <w:rPr>
          <w:spacing w:val="-7"/>
          <w:sz w:val="30"/>
        </w:rPr>
        <w:t xml:space="preserve"> </w:t>
      </w:r>
      <w:r>
        <w:rPr>
          <w:sz w:val="30"/>
        </w:rPr>
        <w:t>with</w:t>
      </w:r>
      <w:r>
        <w:rPr>
          <w:spacing w:val="-6"/>
          <w:sz w:val="30"/>
        </w:rPr>
        <w:t xml:space="preserve"> </w:t>
      </w:r>
      <w:r>
        <w:rPr>
          <w:sz w:val="30"/>
        </w:rPr>
        <w:t>Tommy is instantiated, and so is</w:t>
      </w:r>
    </w:p>
    <w:p w14:paraId="7E000AE9" w14:textId="77777777" w:rsidR="009A58DB" w:rsidRDefault="00000000">
      <w:pPr>
        <w:pStyle w:val="ListParagraph"/>
        <w:numPr>
          <w:ilvl w:val="0"/>
          <w:numId w:val="202"/>
        </w:numPr>
        <w:tabs>
          <w:tab w:val="left" w:pos="709"/>
        </w:tabs>
        <w:spacing w:line="343" w:lineRule="exact"/>
        <w:ind w:left="709" w:hanging="349"/>
        <w:rPr>
          <w:sz w:val="30"/>
        </w:rPr>
      </w:pPr>
      <w:r>
        <w:rPr>
          <w:sz w:val="30"/>
        </w:rPr>
        <w:t>the</w:t>
      </w:r>
      <w:r>
        <w:rPr>
          <w:spacing w:val="-5"/>
          <w:sz w:val="30"/>
        </w:rPr>
        <w:t xml:space="preserve"> </w:t>
      </w:r>
      <w:r>
        <w:rPr>
          <w:sz w:val="30"/>
        </w:rPr>
        <w:t>property</w:t>
      </w:r>
      <w:r>
        <w:rPr>
          <w:spacing w:val="-2"/>
          <w:sz w:val="30"/>
        </w:rPr>
        <w:t xml:space="preserve"> </w:t>
      </w:r>
      <w:r>
        <w:rPr>
          <w:sz w:val="30"/>
        </w:rPr>
        <w:t>of</w:t>
      </w:r>
      <w:r>
        <w:rPr>
          <w:spacing w:val="-2"/>
          <w:sz w:val="30"/>
        </w:rPr>
        <w:t xml:space="preserve"> smoking.</w:t>
      </w:r>
    </w:p>
    <w:p w14:paraId="7E000AEA" w14:textId="77777777" w:rsidR="009A58DB" w:rsidRDefault="009A58DB">
      <w:pPr>
        <w:pStyle w:val="BodyText"/>
        <w:spacing w:before="29"/>
        <w:ind w:left="0"/>
        <w:jc w:val="left"/>
      </w:pPr>
    </w:p>
    <w:p w14:paraId="7E000AEB" w14:textId="77777777" w:rsidR="009A58DB" w:rsidRDefault="00000000">
      <w:pPr>
        <w:pStyle w:val="BodyText"/>
        <w:spacing w:before="1" w:line="249" w:lineRule="auto"/>
        <w:ind w:right="364"/>
      </w:pPr>
      <w:r>
        <w:t>But, of course, those two properties could be instantiated in a world where Tommy is not smoking—in a world where, for example, Larry is smoking and a non-smoking Tommy is playing golf. We thus need a third property—a property such that, if a set S contains that property along with A and B, then</w:t>
      </w:r>
      <w:r>
        <w:rPr>
          <w:spacing w:val="40"/>
        </w:rPr>
        <w:t xml:space="preserve"> </w:t>
      </w:r>
      <w:r>
        <w:t>1 will be true just in case all of S’s members are instantiated. That third property is not hard to identify. It is:</w:t>
      </w:r>
    </w:p>
    <w:p w14:paraId="7E000AEC" w14:textId="77777777" w:rsidR="009A58DB" w:rsidRDefault="009A58DB">
      <w:pPr>
        <w:pStyle w:val="BodyText"/>
        <w:spacing w:before="22"/>
        <w:ind w:left="0"/>
        <w:jc w:val="left"/>
      </w:pPr>
    </w:p>
    <w:p w14:paraId="7E000AED" w14:textId="77777777" w:rsidR="009A58DB" w:rsidRDefault="00000000">
      <w:pPr>
        <w:pStyle w:val="ListParagraph"/>
        <w:numPr>
          <w:ilvl w:val="0"/>
          <w:numId w:val="202"/>
        </w:numPr>
        <w:tabs>
          <w:tab w:val="left" w:pos="762"/>
        </w:tabs>
        <w:spacing w:line="249" w:lineRule="auto"/>
        <w:ind w:right="369" w:firstLine="0"/>
        <w:rPr>
          <w:sz w:val="30"/>
        </w:rPr>
      </w:pPr>
      <w:r>
        <w:rPr>
          <w:sz w:val="30"/>
        </w:rPr>
        <w:t>The</w:t>
      </w:r>
      <w:r>
        <w:rPr>
          <w:spacing w:val="40"/>
          <w:sz w:val="30"/>
        </w:rPr>
        <w:t xml:space="preserve"> </w:t>
      </w:r>
      <w:r>
        <w:rPr>
          <w:sz w:val="30"/>
        </w:rPr>
        <w:t>property</w:t>
      </w:r>
      <w:r>
        <w:rPr>
          <w:spacing w:val="40"/>
          <w:sz w:val="30"/>
        </w:rPr>
        <w:t xml:space="preserve"> </w:t>
      </w:r>
      <w:r>
        <w:rPr>
          <w:sz w:val="30"/>
        </w:rPr>
        <w:t>of</w:t>
      </w:r>
      <w:r>
        <w:rPr>
          <w:spacing w:val="40"/>
          <w:sz w:val="30"/>
        </w:rPr>
        <w:t xml:space="preserve"> </w:t>
      </w:r>
      <w:r>
        <w:rPr>
          <w:sz w:val="30"/>
        </w:rPr>
        <w:t>being</w:t>
      </w:r>
      <w:r>
        <w:rPr>
          <w:spacing w:val="40"/>
          <w:sz w:val="30"/>
        </w:rPr>
        <w:t xml:space="preserve"> </w:t>
      </w:r>
      <w:r>
        <w:rPr>
          <w:sz w:val="30"/>
        </w:rPr>
        <w:t>identical</w:t>
      </w:r>
      <w:r>
        <w:rPr>
          <w:spacing w:val="40"/>
          <w:sz w:val="30"/>
        </w:rPr>
        <w:t xml:space="preserve"> </w:t>
      </w:r>
      <w:r>
        <w:rPr>
          <w:sz w:val="30"/>
        </w:rPr>
        <w:t>with</w:t>
      </w:r>
      <w:r>
        <w:rPr>
          <w:spacing w:val="40"/>
          <w:sz w:val="30"/>
        </w:rPr>
        <w:t xml:space="preserve"> </w:t>
      </w:r>
      <w:r>
        <w:rPr>
          <w:sz w:val="30"/>
        </w:rPr>
        <w:t>something</w:t>
      </w:r>
      <w:r>
        <w:rPr>
          <w:spacing w:val="40"/>
          <w:sz w:val="30"/>
        </w:rPr>
        <w:t xml:space="preserve"> </w:t>
      </w:r>
      <w:r>
        <w:rPr>
          <w:sz w:val="30"/>
        </w:rPr>
        <w:t>that</w:t>
      </w:r>
      <w:r>
        <w:rPr>
          <w:spacing w:val="40"/>
          <w:sz w:val="30"/>
        </w:rPr>
        <w:t xml:space="preserve"> </w:t>
      </w:r>
      <w:r>
        <w:rPr>
          <w:sz w:val="30"/>
        </w:rPr>
        <w:t>is</w:t>
      </w:r>
      <w:r>
        <w:rPr>
          <w:spacing w:val="40"/>
          <w:sz w:val="30"/>
        </w:rPr>
        <w:t xml:space="preserve"> </w:t>
      </w:r>
      <w:r>
        <w:rPr>
          <w:sz w:val="30"/>
        </w:rPr>
        <w:t>smoking</w:t>
      </w:r>
      <w:r>
        <w:rPr>
          <w:spacing w:val="40"/>
          <w:sz w:val="30"/>
        </w:rPr>
        <w:t xml:space="preserve"> </w:t>
      </w:r>
      <w:r>
        <w:rPr>
          <w:sz w:val="30"/>
        </w:rPr>
        <w:t>and</w:t>
      </w:r>
      <w:r>
        <w:rPr>
          <w:spacing w:val="40"/>
          <w:sz w:val="30"/>
        </w:rPr>
        <w:t xml:space="preserve"> </w:t>
      </w:r>
      <w:r>
        <w:rPr>
          <w:sz w:val="30"/>
        </w:rPr>
        <w:t>is identical with Tommy.</w:t>
      </w:r>
    </w:p>
    <w:p w14:paraId="7E000AEE" w14:textId="77777777" w:rsidR="009A58DB" w:rsidRDefault="009A58DB">
      <w:pPr>
        <w:pStyle w:val="BodyText"/>
        <w:spacing w:before="17"/>
        <w:ind w:left="0"/>
        <w:jc w:val="left"/>
      </w:pPr>
    </w:p>
    <w:p w14:paraId="7E000AEF" w14:textId="77777777" w:rsidR="009A58DB" w:rsidRDefault="00000000">
      <w:pPr>
        <w:pStyle w:val="BodyText"/>
        <w:spacing w:before="1" w:line="249" w:lineRule="auto"/>
        <w:ind w:right="368" w:firstLine="360"/>
      </w:pPr>
      <w:r>
        <w:t xml:space="preserve">Before moving on, let’s look at the apparatus that we’ve been developing. Once again, let S be a set that contains all and only A, B, and </w:t>
      </w:r>
      <w:bookmarkStart w:id="129" w:name="_bookmark129"/>
      <w:bookmarkEnd w:id="129"/>
      <w:r>
        <w:t>C</w:t>
      </w:r>
      <w:r>
        <w:rPr>
          <w:color w:val="0562C1"/>
          <w:position w:val="21"/>
          <w:u w:val="single" w:color="0562C1"/>
        </w:rPr>
        <w:t>[67]</w:t>
      </w:r>
      <w:r>
        <w:t xml:space="preserve">; and remember that we have identified S with 1 (the proposition that Tommy is </w:t>
      </w:r>
      <w:r>
        <w:rPr>
          <w:spacing w:val="-2"/>
        </w:rPr>
        <w:t>smoking).</w:t>
      </w:r>
    </w:p>
    <w:p w14:paraId="7E000AF0" w14:textId="77777777" w:rsidR="009A58DB" w:rsidRDefault="00000000">
      <w:pPr>
        <w:pStyle w:val="BodyText"/>
        <w:spacing w:before="5" w:line="249" w:lineRule="auto"/>
        <w:ind w:right="358" w:firstLine="360"/>
      </w:pPr>
      <w:r>
        <w:t xml:space="preserve">First of all, if C is instantiated, so are B and A. Further, if C, and therefore B and A, are instantiated, then, and only then, is 1 true. It follows that 1 is true if and only if each of A, B, and C is instantiated. This is consistent with, and even corroborates, the thesis that 1 </w:t>
      </w:r>
      <w:r>
        <w:rPr>
          <w:i/>
        </w:rPr>
        <w:t xml:space="preserve">is </w:t>
      </w:r>
      <w:r>
        <w:t xml:space="preserve">S and that 1’s being true </w:t>
      </w:r>
      <w:r>
        <w:rPr>
          <w:i/>
        </w:rPr>
        <w:t xml:space="preserve">is </w:t>
      </w:r>
      <w:r>
        <w:t>S’s members being jointly instantiated.</w:t>
      </w:r>
    </w:p>
    <w:p w14:paraId="7E000AF1" w14:textId="77777777" w:rsidR="009A58DB" w:rsidRDefault="00000000">
      <w:pPr>
        <w:pStyle w:val="BodyText"/>
        <w:spacing w:before="6" w:line="249" w:lineRule="auto"/>
        <w:ind w:right="359" w:firstLine="360"/>
      </w:pPr>
      <w:r>
        <w:t>Of course, that does not by itself show that 1 can be identified with S or that 1’s being true can be identified with S’s members being jointly instantiated.</w:t>
      </w:r>
      <w:r>
        <w:rPr>
          <w:spacing w:val="-3"/>
        </w:rPr>
        <w:t xml:space="preserve"> </w:t>
      </w:r>
      <w:r>
        <w:t>After</w:t>
      </w:r>
      <w:r>
        <w:rPr>
          <w:spacing w:val="-4"/>
        </w:rPr>
        <w:t xml:space="preserve"> </w:t>
      </w:r>
      <w:r>
        <w:t>all,</w:t>
      </w:r>
      <w:r>
        <w:rPr>
          <w:spacing w:val="-3"/>
        </w:rPr>
        <w:t xml:space="preserve"> </w:t>
      </w:r>
      <w:r>
        <w:t>there</w:t>
      </w:r>
      <w:r>
        <w:rPr>
          <w:spacing w:val="-4"/>
        </w:rPr>
        <w:t xml:space="preserve"> </w:t>
      </w:r>
      <w:r>
        <w:t>are</w:t>
      </w:r>
      <w:r>
        <w:rPr>
          <w:spacing w:val="-4"/>
        </w:rPr>
        <w:t xml:space="preserve"> </w:t>
      </w:r>
      <w:r>
        <w:t>infinitely</w:t>
      </w:r>
      <w:r>
        <w:rPr>
          <w:spacing w:val="-3"/>
        </w:rPr>
        <w:t xml:space="preserve"> </w:t>
      </w:r>
      <w:r>
        <w:t>many</w:t>
      </w:r>
      <w:r>
        <w:rPr>
          <w:spacing w:val="-3"/>
        </w:rPr>
        <w:t xml:space="preserve"> </w:t>
      </w:r>
      <w:r>
        <w:t>distinct</w:t>
      </w:r>
      <w:r>
        <w:rPr>
          <w:spacing w:val="-4"/>
        </w:rPr>
        <w:t xml:space="preserve"> </w:t>
      </w:r>
      <w:r>
        <w:t>sets</w:t>
      </w:r>
      <w:r>
        <w:rPr>
          <w:spacing w:val="-4"/>
        </w:rPr>
        <w:t xml:space="preserve"> </w:t>
      </w:r>
      <w:r>
        <w:t>of</w:t>
      </w:r>
      <w:r>
        <w:rPr>
          <w:spacing w:val="-4"/>
        </w:rPr>
        <w:t xml:space="preserve"> </w:t>
      </w:r>
      <w:r>
        <w:t>properties</w:t>
      </w:r>
      <w:r>
        <w:rPr>
          <w:spacing w:val="-4"/>
        </w:rPr>
        <w:t xml:space="preserve"> </w:t>
      </w:r>
      <w:r>
        <w:t>such that</w:t>
      </w:r>
      <w:r>
        <w:rPr>
          <w:spacing w:val="-1"/>
        </w:rPr>
        <w:t xml:space="preserve"> </w:t>
      </w:r>
      <w:r>
        <w:t>1 is</w:t>
      </w:r>
      <w:r>
        <w:rPr>
          <w:spacing w:val="-1"/>
        </w:rPr>
        <w:t xml:space="preserve"> </w:t>
      </w:r>
      <w:r>
        <w:t>true just</w:t>
      </w:r>
      <w:r>
        <w:rPr>
          <w:spacing w:val="-1"/>
        </w:rPr>
        <w:t xml:space="preserve"> </w:t>
      </w:r>
      <w:r>
        <w:t>in case</w:t>
      </w:r>
      <w:r>
        <w:rPr>
          <w:spacing w:val="-1"/>
        </w:rPr>
        <w:t xml:space="preserve"> </w:t>
      </w:r>
      <w:r>
        <w:t>their members</w:t>
      </w:r>
      <w:r>
        <w:rPr>
          <w:spacing w:val="-1"/>
        </w:rPr>
        <w:t xml:space="preserve"> </w:t>
      </w:r>
      <w:r>
        <w:t>are instantiated.</w:t>
      </w:r>
      <w:r>
        <w:rPr>
          <w:spacing w:val="-1"/>
        </w:rPr>
        <w:t xml:space="preserve"> </w:t>
      </w:r>
      <w:r>
        <w:t>For example,</w:t>
      </w:r>
      <w:r>
        <w:rPr>
          <w:spacing w:val="-1"/>
        </w:rPr>
        <w:t xml:space="preserve"> </w:t>
      </w:r>
      <w:r>
        <w:t>let</w:t>
      </w:r>
      <w:r>
        <w:rPr>
          <w:spacing w:val="-1"/>
        </w:rPr>
        <w:t xml:space="preserve"> </w:t>
      </w:r>
      <w:r>
        <w:t>Z</w:t>
      </w:r>
      <w:r>
        <w:rPr>
          <w:spacing w:val="-1"/>
        </w:rPr>
        <w:t xml:space="preserve"> </w:t>
      </w:r>
      <w:r>
        <w:t xml:space="preserve">be the set containing the following properties and nothing besides: the property of being identical with a smoking Tommy; the property of being an even number; the property of being three sided </w:t>
      </w:r>
      <w:r>
        <w:rPr>
          <w:i/>
        </w:rPr>
        <w:t xml:space="preserve">if </w:t>
      </w:r>
      <w:r>
        <w:t>a triangle. The second two properties are instantiated in every possible world, given that even numbers necessarily</w:t>
      </w:r>
      <w:r>
        <w:rPr>
          <w:spacing w:val="19"/>
        </w:rPr>
        <w:t xml:space="preserve"> </w:t>
      </w:r>
      <w:r>
        <w:t>exist</w:t>
      </w:r>
      <w:r>
        <w:rPr>
          <w:spacing w:val="19"/>
        </w:rPr>
        <w:t xml:space="preserve"> </w:t>
      </w:r>
      <w:r>
        <w:t>and</w:t>
      </w:r>
      <w:r>
        <w:rPr>
          <w:spacing w:val="19"/>
        </w:rPr>
        <w:t xml:space="preserve"> </w:t>
      </w:r>
      <w:r>
        <w:t>given</w:t>
      </w:r>
      <w:r>
        <w:rPr>
          <w:spacing w:val="19"/>
        </w:rPr>
        <w:t xml:space="preserve"> </w:t>
      </w:r>
      <w:r>
        <w:t>that</w:t>
      </w:r>
      <w:r>
        <w:rPr>
          <w:spacing w:val="19"/>
        </w:rPr>
        <w:t xml:space="preserve"> </w:t>
      </w:r>
      <w:r>
        <w:t>triangles</w:t>
      </w:r>
      <w:r>
        <w:rPr>
          <w:spacing w:val="19"/>
        </w:rPr>
        <w:t xml:space="preserve"> </w:t>
      </w:r>
      <w:r>
        <w:t>cannot</w:t>
      </w:r>
      <w:r>
        <w:rPr>
          <w:spacing w:val="19"/>
        </w:rPr>
        <w:t xml:space="preserve"> </w:t>
      </w:r>
      <w:r>
        <w:t>fail</w:t>
      </w:r>
      <w:r>
        <w:rPr>
          <w:spacing w:val="19"/>
        </w:rPr>
        <w:t xml:space="preserve"> </w:t>
      </w:r>
      <w:r>
        <w:t>to</w:t>
      </w:r>
      <w:r>
        <w:rPr>
          <w:spacing w:val="19"/>
        </w:rPr>
        <w:t xml:space="preserve"> </w:t>
      </w:r>
      <w:r>
        <w:t>have</w:t>
      </w:r>
      <w:r>
        <w:rPr>
          <w:spacing w:val="19"/>
        </w:rPr>
        <w:t xml:space="preserve"> </w:t>
      </w:r>
      <w:r>
        <w:t>three</w:t>
      </w:r>
      <w:r>
        <w:rPr>
          <w:spacing w:val="19"/>
        </w:rPr>
        <w:t xml:space="preserve"> </w:t>
      </w:r>
      <w:r>
        <w:t>sides.</w:t>
      </w:r>
      <w:r>
        <w:rPr>
          <w:spacing w:val="19"/>
        </w:rPr>
        <w:t xml:space="preserve"> </w:t>
      </w:r>
      <w:r>
        <w:t>But</w:t>
      </w:r>
    </w:p>
    <w:p w14:paraId="7E000AF2"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AF3" w14:textId="77777777" w:rsidR="009A58DB" w:rsidRDefault="00000000">
      <w:pPr>
        <w:pStyle w:val="BodyText"/>
        <w:spacing w:before="65" w:line="249" w:lineRule="auto"/>
        <w:ind w:right="360"/>
      </w:pPr>
      <w:r>
        <w:lastRenderedPageBreak/>
        <w:t>surely Z cannot be identified with 1, the reason being that Z’s membership cannot, at least not in a sufficiently natural manner, be aligned with what we know about 1’s constituency.</w:t>
      </w:r>
    </w:p>
    <w:p w14:paraId="7E000AF4" w14:textId="77777777" w:rsidR="009A58DB" w:rsidRDefault="00000000">
      <w:pPr>
        <w:pStyle w:val="BodyText"/>
        <w:spacing w:before="3" w:line="249" w:lineRule="auto"/>
        <w:ind w:right="362" w:firstLine="360"/>
      </w:pPr>
      <w:r>
        <w:t xml:space="preserve">But S’s membership </w:t>
      </w:r>
      <w:r>
        <w:rPr>
          <w:i/>
        </w:rPr>
        <w:t xml:space="preserve">does </w:t>
      </w:r>
      <w:r>
        <w:t xml:space="preserve">so align, as a brief look back makes clear. S’s members are (or at least include) A, B, and C. 1’s constituents are (or at least </w:t>
      </w:r>
      <w:r>
        <w:rPr>
          <w:spacing w:val="-2"/>
        </w:rPr>
        <w:t>include):</w:t>
      </w:r>
    </w:p>
    <w:p w14:paraId="7E000AF5" w14:textId="77777777" w:rsidR="009A58DB" w:rsidRDefault="009A58DB">
      <w:pPr>
        <w:pStyle w:val="BodyText"/>
        <w:spacing w:before="19"/>
        <w:ind w:left="0"/>
        <w:jc w:val="left"/>
      </w:pPr>
    </w:p>
    <w:p w14:paraId="7E000AF6" w14:textId="77777777" w:rsidR="009A58DB" w:rsidRDefault="00000000">
      <w:pPr>
        <w:pStyle w:val="ListParagraph"/>
        <w:numPr>
          <w:ilvl w:val="1"/>
          <w:numId w:val="202"/>
        </w:numPr>
        <w:tabs>
          <w:tab w:val="left" w:pos="715"/>
        </w:tabs>
        <w:ind w:left="715" w:hanging="355"/>
        <w:rPr>
          <w:sz w:val="30"/>
        </w:rPr>
      </w:pPr>
      <w:r>
        <w:rPr>
          <w:sz w:val="30"/>
        </w:rPr>
        <w:t>something</w:t>
      </w:r>
      <w:r>
        <w:rPr>
          <w:spacing w:val="-4"/>
          <w:sz w:val="30"/>
        </w:rPr>
        <w:t xml:space="preserve"> </w:t>
      </w:r>
      <w:r>
        <w:rPr>
          <w:sz w:val="30"/>
        </w:rPr>
        <w:t>individuative</w:t>
      </w:r>
      <w:r>
        <w:rPr>
          <w:spacing w:val="-5"/>
          <w:sz w:val="30"/>
        </w:rPr>
        <w:t xml:space="preserve"> </w:t>
      </w:r>
      <w:r>
        <w:rPr>
          <w:sz w:val="30"/>
        </w:rPr>
        <w:t>of</w:t>
      </w:r>
      <w:r>
        <w:rPr>
          <w:spacing w:val="-4"/>
          <w:sz w:val="30"/>
        </w:rPr>
        <w:t xml:space="preserve"> </w:t>
      </w:r>
      <w:r>
        <w:rPr>
          <w:spacing w:val="-2"/>
          <w:sz w:val="30"/>
        </w:rPr>
        <w:t>Tommy,</w:t>
      </w:r>
    </w:p>
    <w:p w14:paraId="7E000AF7" w14:textId="77777777" w:rsidR="009A58DB" w:rsidRDefault="009A58DB">
      <w:pPr>
        <w:pStyle w:val="BodyText"/>
        <w:spacing w:before="30"/>
        <w:ind w:left="0"/>
        <w:jc w:val="left"/>
      </w:pPr>
    </w:p>
    <w:p w14:paraId="7E000AF8" w14:textId="77777777" w:rsidR="009A58DB" w:rsidRDefault="00000000">
      <w:pPr>
        <w:pStyle w:val="ListParagraph"/>
        <w:numPr>
          <w:ilvl w:val="1"/>
          <w:numId w:val="202"/>
        </w:numPr>
        <w:tabs>
          <w:tab w:val="left" w:pos="797"/>
        </w:tabs>
        <w:ind w:left="797" w:hanging="437"/>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smoking,</w:t>
      </w:r>
      <w:r>
        <w:rPr>
          <w:spacing w:val="-2"/>
          <w:sz w:val="30"/>
        </w:rPr>
        <w:t xml:space="preserve"> </w:t>
      </w:r>
      <w:r>
        <w:rPr>
          <w:spacing w:val="-5"/>
          <w:sz w:val="30"/>
        </w:rPr>
        <w:t>and</w:t>
      </w:r>
    </w:p>
    <w:p w14:paraId="7E000AF9" w14:textId="77777777" w:rsidR="009A58DB" w:rsidRDefault="009A58DB">
      <w:pPr>
        <w:pStyle w:val="BodyText"/>
        <w:spacing w:before="30"/>
        <w:ind w:left="0"/>
        <w:jc w:val="left"/>
      </w:pPr>
    </w:p>
    <w:p w14:paraId="7E000AFA" w14:textId="77777777" w:rsidR="009A58DB" w:rsidRDefault="00000000">
      <w:pPr>
        <w:pStyle w:val="ListParagraph"/>
        <w:numPr>
          <w:ilvl w:val="1"/>
          <w:numId w:val="202"/>
        </w:numPr>
        <w:tabs>
          <w:tab w:val="left" w:pos="879"/>
        </w:tabs>
        <w:ind w:left="879" w:hanging="519"/>
        <w:rPr>
          <w:sz w:val="30"/>
        </w:rPr>
      </w:pPr>
      <w:r>
        <w:rPr>
          <w:sz w:val="30"/>
        </w:rPr>
        <w:t>something</w:t>
      </w:r>
      <w:r>
        <w:rPr>
          <w:spacing w:val="-4"/>
          <w:sz w:val="30"/>
        </w:rPr>
        <w:t xml:space="preserve"> </w:t>
      </w:r>
      <w:r>
        <w:rPr>
          <w:sz w:val="30"/>
        </w:rPr>
        <w:t>that</w:t>
      </w:r>
      <w:r>
        <w:rPr>
          <w:spacing w:val="-3"/>
          <w:sz w:val="30"/>
        </w:rPr>
        <w:t xml:space="preserve"> </w:t>
      </w:r>
      <w:r>
        <w:rPr>
          <w:sz w:val="30"/>
        </w:rPr>
        <w:t>combines</w:t>
      </w:r>
      <w:r>
        <w:rPr>
          <w:spacing w:val="-4"/>
          <w:sz w:val="30"/>
        </w:rPr>
        <w:t xml:space="preserve"> </w:t>
      </w:r>
      <w:r>
        <w:rPr>
          <w:sz w:val="30"/>
        </w:rPr>
        <w:t>those</w:t>
      </w:r>
      <w:r>
        <w:rPr>
          <w:spacing w:val="-4"/>
          <w:sz w:val="30"/>
        </w:rPr>
        <w:t xml:space="preserve"> </w:t>
      </w:r>
      <w:r>
        <w:rPr>
          <w:sz w:val="30"/>
        </w:rPr>
        <w:t>two</w:t>
      </w:r>
      <w:r>
        <w:rPr>
          <w:spacing w:val="-3"/>
          <w:sz w:val="30"/>
        </w:rPr>
        <w:t xml:space="preserve"> </w:t>
      </w:r>
      <w:r>
        <w:rPr>
          <w:spacing w:val="-2"/>
          <w:sz w:val="30"/>
        </w:rPr>
        <w:t>things.</w:t>
      </w:r>
    </w:p>
    <w:p w14:paraId="7E000AFB" w14:textId="77777777" w:rsidR="009A58DB" w:rsidRDefault="009A58DB">
      <w:pPr>
        <w:pStyle w:val="BodyText"/>
        <w:spacing w:before="30"/>
        <w:ind w:left="0"/>
        <w:jc w:val="left"/>
      </w:pPr>
    </w:p>
    <w:p w14:paraId="7E000AFC" w14:textId="77777777" w:rsidR="009A58DB" w:rsidRDefault="00000000">
      <w:pPr>
        <w:pStyle w:val="BodyText"/>
        <w:spacing w:line="249" w:lineRule="auto"/>
        <w:ind w:right="360"/>
      </w:pPr>
      <w:r>
        <w:t>Obviously</w:t>
      </w:r>
      <w:r>
        <w:rPr>
          <w:spacing w:val="-19"/>
        </w:rPr>
        <w:t xml:space="preserve"> </w:t>
      </w:r>
      <w:r>
        <w:t>A</w:t>
      </w:r>
      <w:r>
        <w:rPr>
          <w:spacing w:val="-19"/>
        </w:rPr>
        <w:t xml:space="preserve"> </w:t>
      </w:r>
      <w:r>
        <w:t>is</w:t>
      </w:r>
      <w:r>
        <w:rPr>
          <w:spacing w:val="-19"/>
        </w:rPr>
        <w:t xml:space="preserve"> </w:t>
      </w:r>
      <w:r>
        <w:t>individuative</w:t>
      </w:r>
      <w:r>
        <w:rPr>
          <w:spacing w:val="-18"/>
        </w:rPr>
        <w:t xml:space="preserve"> </w:t>
      </w:r>
      <w:r>
        <w:t>of</w:t>
      </w:r>
      <w:r>
        <w:rPr>
          <w:spacing w:val="-19"/>
        </w:rPr>
        <w:t xml:space="preserve"> </w:t>
      </w:r>
      <w:r>
        <w:t>Tommy.</w:t>
      </w:r>
      <w:r>
        <w:rPr>
          <w:spacing w:val="-19"/>
        </w:rPr>
        <w:t xml:space="preserve"> </w:t>
      </w:r>
      <w:r>
        <w:t>(Only</w:t>
      </w:r>
      <w:r>
        <w:rPr>
          <w:spacing w:val="-19"/>
        </w:rPr>
        <w:t xml:space="preserve"> </w:t>
      </w:r>
      <w:r>
        <w:t>Tommy</w:t>
      </w:r>
      <w:r>
        <w:rPr>
          <w:spacing w:val="-18"/>
        </w:rPr>
        <w:t xml:space="preserve"> </w:t>
      </w:r>
      <w:r>
        <w:t>can</w:t>
      </w:r>
      <w:r>
        <w:rPr>
          <w:spacing w:val="-19"/>
        </w:rPr>
        <w:t xml:space="preserve"> </w:t>
      </w:r>
      <w:r>
        <w:t>have</w:t>
      </w:r>
      <w:r>
        <w:rPr>
          <w:spacing w:val="-19"/>
        </w:rPr>
        <w:t xml:space="preserve"> </w:t>
      </w:r>
      <w:r>
        <w:t>that</w:t>
      </w:r>
      <w:r>
        <w:rPr>
          <w:spacing w:val="-19"/>
        </w:rPr>
        <w:t xml:space="preserve"> </w:t>
      </w:r>
      <w:r>
        <w:t>property; and,</w:t>
      </w:r>
      <w:r>
        <w:rPr>
          <w:spacing w:val="-19"/>
        </w:rPr>
        <w:t xml:space="preserve"> </w:t>
      </w:r>
      <w:r>
        <w:t>what</w:t>
      </w:r>
      <w:r>
        <w:rPr>
          <w:spacing w:val="-6"/>
        </w:rPr>
        <w:t xml:space="preserve"> </w:t>
      </w:r>
      <w:r>
        <w:t>is</w:t>
      </w:r>
      <w:r>
        <w:rPr>
          <w:spacing w:val="-6"/>
        </w:rPr>
        <w:t xml:space="preserve"> </w:t>
      </w:r>
      <w:r>
        <w:t>more,</w:t>
      </w:r>
      <w:r>
        <w:rPr>
          <w:spacing w:val="-6"/>
        </w:rPr>
        <w:t xml:space="preserve"> </w:t>
      </w:r>
      <w:r>
        <w:t>he</w:t>
      </w:r>
      <w:r>
        <w:rPr>
          <w:spacing w:val="-19"/>
        </w:rPr>
        <w:t xml:space="preserve"> </w:t>
      </w:r>
      <w:r>
        <w:rPr>
          <w:i/>
        </w:rPr>
        <w:t>must</w:t>
      </w:r>
      <w:r>
        <w:rPr>
          <w:i/>
          <w:spacing w:val="-19"/>
        </w:rPr>
        <w:t xml:space="preserve"> </w:t>
      </w:r>
      <w:r>
        <w:t>have</w:t>
      </w:r>
      <w:r>
        <w:rPr>
          <w:spacing w:val="-7"/>
        </w:rPr>
        <w:t xml:space="preserve"> </w:t>
      </w:r>
      <w:r>
        <w:t>it.)</w:t>
      </w:r>
      <w:r>
        <w:rPr>
          <w:spacing w:val="-8"/>
        </w:rPr>
        <w:t xml:space="preserve"> </w:t>
      </w:r>
      <w:r>
        <w:t>So</w:t>
      </w:r>
      <w:r>
        <w:rPr>
          <w:spacing w:val="-8"/>
        </w:rPr>
        <w:t xml:space="preserve"> </w:t>
      </w:r>
      <w:r>
        <w:t>far,</w:t>
      </w:r>
      <w:r>
        <w:rPr>
          <w:spacing w:val="-8"/>
        </w:rPr>
        <w:t xml:space="preserve"> </w:t>
      </w:r>
      <w:r>
        <w:t>so</w:t>
      </w:r>
      <w:r>
        <w:rPr>
          <w:spacing w:val="-8"/>
        </w:rPr>
        <w:t xml:space="preserve"> </w:t>
      </w:r>
      <w:r>
        <w:t>good.</w:t>
      </w:r>
      <w:r>
        <w:rPr>
          <w:spacing w:val="-8"/>
        </w:rPr>
        <w:t xml:space="preserve"> </w:t>
      </w:r>
      <w:r>
        <w:t>(ii)</w:t>
      </w:r>
      <w:r>
        <w:rPr>
          <w:spacing w:val="-8"/>
        </w:rPr>
        <w:t xml:space="preserve"> </w:t>
      </w:r>
      <w:r>
        <w:t>and</w:t>
      </w:r>
      <w:r>
        <w:rPr>
          <w:spacing w:val="-8"/>
        </w:rPr>
        <w:t xml:space="preserve"> </w:t>
      </w:r>
      <w:r>
        <w:t>B</w:t>
      </w:r>
      <w:r>
        <w:rPr>
          <w:spacing w:val="-8"/>
        </w:rPr>
        <w:t xml:space="preserve"> </w:t>
      </w:r>
      <w:r>
        <w:t>are</w:t>
      </w:r>
      <w:r>
        <w:rPr>
          <w:spacing w:val="-8"/>
        </w:rPr>
        <w:t xml:space="preserve"> </w:t>
      </w:r>
      <w:r>
        <w:t>identical.</w:t>
      </w:r>
      <w:r>
        <w:rPr>
          <w:spacing w:val="-8"/>
        </w:rPr>
        <w:t xml:space="preserve"> </w:t>
      </w:r>
      <w:r>
        <w:t>So far, still so good.</w:t>
      </w:r>
    </w:p>
    <w:p w14:paraId="7E000AFD" w14:textId="77777777" w:rsidR="009A58DB" w:rsidRDefault="00000000">
      <w:pPr>
        <w:pStyle w:val="BodyText"/>
        <w:spacing w:before="4" w:line="249" w:lineRule="auto"/>
        <w:ind w:right="354" w:firstLine="360"/>
      </w:pPr>
      <w:r>
        <w:t xml:space="preserve">What about C? That property is instantiated exactly if A and B are both instantiated. So, in a very clear sense of the term “combine,” that property </w:t>
      </w:r>
      <w:r>
        <w:rPr>
          <w:spacing w:val="-4"/>
        </w:rPr>
        <w:t>combines</w:t>
      </w:r>
      <w:r>
        <w:rPr>
          <w:spacing w:val="-15"/>
        </w:rPr>
        <w:t xml:space="preserve"> </w:t>
      </w:r>
      <w:r>
        <w:rPr>
          <w:spacing w:val="-4"/>
        </w:rPr>
        <w:t>the</w:t>
      </w:r>
      <w:r>
        <w:rPr>
          <w:spacing w:val="-15"/>
        </w:rPr>
        <w:t xml:space="preserve"> </w:t>
      </w:r>
      <w:r>
        <w:rPr>
          <w:spacing w:val="-4"/>
        </w:rPr>
        <w:t>property</w:t>
      </w:r>
      <w:r>
        <w:rPr>
          <w:spacing w:val="-15"/>
        </w:rPr>
        <w:t xml:space="preserve"> </w:t>
      </w:r>
      <w:r>
        <w:rPr>
          <w:spacing w:val="-4"/>
        </w:rPr>
        <w:t>of</w:t>
      </w:r>
      <w:r>
        <w:rPr>
          <w:spacing w:val="-14"/>
        </w:rPr>
        <w:t xml:space="preserve"> </w:t>
      </w:r>
      <w:r>
        <w:rPr>
          <w:spacing w:val="-4"/>
        </w:rPr>
        <w:t>smoking</w:t>
      </w:r>
      <w:r>
        <w:rPr>
          <w:spacing w:val="-15"/>
        </w:rPr>
        <w:t xml:space="preserve"> </w:t>
      </w:r>
      <w:r>
        <w:rPr>
          <w:spacing w:val="-4"/>
        </w:rPr>
        <w:t>with</w:t>
      </w:r>
      <w:r>
        <w:rPr>
          <w:spacing w:val="-15"/>
        </w:rPr>
        <w:t xml:space="preserve"> </w:t>
      </w:r>
      <w:r>
        <w:rPr>
          <w:spacing w:val="-4"/>
        </w:rPr>
        <w:t>(something</w:t>
      </w:r>
      <w:r>
        <w:rPr>
          <w:spacing w:val="-15"/>
        </w:rPr>
        <w:t xml:space="preserve"> </w:t>
      </w:r>
      <w:r>
        <w:rPr>
          <w:spacing w:val="-4"/>
        </w:rPr>
        <w:t>individuative</w:t>
      </w:r>
      <w:r>
        <w:rPr>
          <w:spacing w:val="-14"/>
        </w:rPr>
        <w:t xml:space="preserve"> </w:t>
      </w:r>
      <w:r>
        <w:rPr>
          <w:spacing w:val="-4"/>
        </w:rPr>
        <w:t>of)</w:t>
      </w:r>
      <w:r>
        <w:rPr>
          <w:spacing w:val="-15"/>
        </w:rPr>
        <w:t xml:space="preserve"> </w:t>
      </w:r>
      <w:r>
        <w:rPr>
          <w:spacing w:val="-4"/>
        </w:rPr>
        <w:t>Tommy.</w:t>
      </w:r>
      <w:r>
        <w:rPr>
          <w:spacing w:val="-15"/>
        </w:rPr>
        <w:t xml:space="preserve"> </w:t>
      </w:r>
      <w:r>
        <w:rPr>
          <w:spacing w:val="-4"/>
        </w:rPr>
        <w:t xml:space="preserve">(In </w:t>
      </w:r>
      <w:r>
        <w:t>the relevant sense of the term “combine,” one property “combines” n other properties</w:t>
      </w:r>
      <w:r>
        <w:rPr>
          <w:spacing w:val="-7"/>
        </w:rPr>
        <w:t xml:space="preserve"> </w:t>
      </w:r>
      <w:r>
        <w:t>exactly</w:t>
      </w:r>
      <w:r>
        <w:rPr>
          <w:spacing w:val="-7"/>
        </w:rPr>
        <w:t xml:space="preserve"> </w:t>
      </w:r>
      <w:r>
        <w:t>if</w:t>
      </w:r>
      <w:r>
        <w:rPr>
          <w:spacing w:val="-7"/>
        </w:rPr>
        <w:t xml:space="preserve"> </w:t>
      </w:r>
      <w:r>
        <w:t>the</w:t>
      </w:r>
      <w:r>
        <w:rPr>
          <w:spacing w:val="-7"/>
        </w:rPr>
        <w:t xml:space="preserve"> </w:t>
      </w:r>
      <w:r>
        <w:t>first</w:t>
      </w:r>
      <w:r>
        <w:rPr>
          <w:spacing w:val="-7"/>
        </w:rPr>
        <w:t xml:space="preserve"> </w:t>
      </w:r>
      <w:r>
        <w:t>is</w:t>
      </w:r>
      <w:r>
        <w:rPr>
          <w:spacing w:val="-7"/>
        </w:rPr>
        <w:t xml:space="preserve"> </w:t>
      </w:r>
      <w:r>
        <w:t>instantiated</w:t>
      </w:r>
      <w:r>
        <w:rPr>
          <w:spacing w:val="-7"/>
        </w:rPr>
        <w:t xml:space="preserve"> </w:t>
      </w:r>
      <w:r>
        <w:t>exactly</w:t>
      </w:r>
      <w:r>
        <w:rPr>
          <w:spacing w:val="-7"/>
        </w:rPr>
        <w:t xml:space="preserve"> </w:t>
      </w:r>
      <w:r>
        <w:t>if</w:t>
      </w:r>
      <w:r>
        <w:rPr>
          <w:spacing w:val="-7"/>
        </w:rPr>
        <w:t xml:space="preserve"> </w:t>
      </w:r>
      <w:r>
        <w:t>the</w:t>
      </w:r>
      <w:r>
        <w:rPr>
          <w:spacing w:val="-7"/>
        </w:rPr>
        <w:t xml:space="preserve"> </w:t>
      </w:r>
      <w:r>
        <w:t>other</w:t>
      </w:r>
      <w:r>
        <w:rPr>
          <w:spacing w:val="-7"/>
        </w:rPr>
        <w:t xml:space="preserve"> </w:t>
      </w:r>
      <w:r>
        <w:t>n</w:t>
      </w:r>
      <w:r>
        <w:rPr>
          <w:spacing w:val="-7"/>
        </w:rPr>
        <w:t xml:space="preserve"> </w:t>
      </w:r>
      <w:r>
        <w:t>properties</w:t>
      </w:r>
      <w:r>
        <w:rPr>
          <w:spacing w:val="-7"/>
        </w:rPr>
        <w:t xml:space="preserve"> </w:t>
      </w:r>
      <w:r>
        <w:t xml:space="preserve">are jointly instantiated.) And we know that, in some way or other, 1 combines </w:t>
      </w:r>
      <w:r>
        <w:rPr>
          <w:spacing w:val="-6"/>
        </w:rPr>
        <w:t>(something</w:t>
      </w:r>
      <w:r>
        <w:rPr>
          <w:spacing w:val="-13"/>
        </w:rPr>
        <w:t xml:space="preserve"> </w:t>
      </w:r>
      <w:r>
        <w:rPr>
          <w:spacing w:val="-6"/>
        </w:rPr>
        <w:t>individuative</w:t>
      </w:r>
      <w:r>
        <w:rPr>
          <w:spacing w:val="-10"/>
        </w:rPr>
        <w:t xml:space="preserve"> </w:t>
      </w:r>
      <w:r>
        <w:rPr>
          <w:spacing w:val="-6"/>
        </w:rPr>
        <w:t>of)</w:t>
      </w:r>
      <w:r>
        <w:rPr>
          <w:spacing w:val="-13"/>
        </w:rPr>
        <w:t xml:space="preserve"> </w:t>
      </w:r>
      <w:r>
        <w:rPr>
          <w:spacing w:val="-6"/>
        </w:rPr>
        <w:t>Tommy</w:t>
      </w:r>
      <w:r>
        <w:rPr>
          <w:spacing w:val="-10"/>
        </w:rPr>
        <w:t xml:space="preserve"> </w:t>
      </w:r>
      <w:r>
        <w:rPr>
          <w:spacing w:val="-6"/>
        </w:rPr>
        <w:t>with</w:t>
      </w:r>
      <w:r>
        <w:rPr>
          <w:spacing w:val="-10"/>
        </w:rPr>
        <w:t xml:space="preserve"> </w:t>
      </w:r>
      <w:r>
        <w:rPr>
          <w:spacing w:val="-6"/>
        </w:rPr>
        <w:t>the</w:t>
      </w:r>
      <w:r>
        <w:rPr>
          <w:spacing w:val="-10"/>
        </w:rPr>
        <w:t xml:space="preserve"> </w:t>
      </w:r>
      <w:r>
        <w:rPr>
          <w:spacing w:val="-6"/>
        </w:rPr>
        <w:t>property</w:t>
      </w:r>
      <w:r>
        <w:rPr>
          <w:spacing w:val="-10"/>
        </w:rPr>
        <w:t xml:space="preserve"> </w:t>
      </w:r>
      <w:r>
        <w:rPr>
          <w:spacing w:val="-6"/>
        </w:rPr>
        <w:t>of</w:t>
      </w:r>
      <w:r>
        <w:rPr>
          <w:spacing w:val="-10"/>
        </w:rPr>
        <w:t xml:space="preserve"> </w:t>
      </w:r>
      <w:r>
        <w:rPr>
          <w:spacing w:val="-6"/>
        </w:rPr>
        <w:t>smoking.</w:t>
      </w:r>
      <w:r>
        <w:rPr>
          <w:spacing w:val="-10"/>
        </w:rPr>
        <w:t xml:space="preserve"> </w:t>
      </w:r>
      <w:r>
        <w:rPr>
          <w:spacing w:val="-6"/>
        </w:rPr>
        <w:t>In</w:t>
      </w:r>
      <w:r>
        <w:rPr>
          <w:spacing w:val="-10"/>
        </w:rPr>
        <w:t xml:space="preserve"> </w:t>
      </w:r>
      <w:r>
        <w:rPr>
          <w:spacing w:val="-6"/>
        </w:rPr>
        <w:t>at</w:t>
      </w:r>
      <w:r>
        <w:rPr>
          <w:spacing w:val="-10"/>
        </w:rPr>
        <w:t xml:space="preserve"> </w:t>
      </w:r>
      <w:r>
        <w:rPr>
          <w:spacing w:val="-6"/>
        </w:rPr>
        <w:t>least</w:t>
      </w:r>
      <w:r>
        <w:rPr>
          <w:spacing w:val="-10"/>
        </w:rPr>
        <w:t xml:space="preserve"> </w:t>
      </w:r>
      <w:r>
        <w:rPr>
          <w:spacing w:val="-6"/>
        </w:rPr>
        <w:t xml:space="preserve">one </w:t>
      </w:r>
      <w:r>
        <w:t>respect, then, C’s relationship to A and B is suggestively similar to 1’s relationship to its parts. Moreover, C “dominates” each of A and B in a way suggestively</w:t>
      </w:r>
      <w:r>
        <w:rPr>
          <w:spacing w:val="-21"/>
        </w:rPr>
        <w:t xml:space="preserve"> </w:t>
      </w:r>
      <w:r>
        <w:t>similar</w:t>
      </w:r>
      <w:r>
        <w:rPr>
          <w:spacing w:val="-19"/>
        </w:rPr>
        <w:t xml:space="preserve"> </w:t>
      </w:r>
      <w:r>
        <w:t>to</w:t>
      </w:r>
      <w:r>
        <w:rPr>
          <w:spacing w:val="-19"/>
        </w:rPr>
        <w:t xml:space="preserve"> </w:t>
      </w:r>
      <w:r>
        <w:t>the</w:t>
      </w:r>
      <w:r>
        <w:rPr>
          <w:spacing w:val="-18"/>
        </w:rPr>
        <w:t xml:space="preserve"> </w:t>
      </w:r>
      <w:r>
        <w:t>way</w:t>
      </w:r>
      <w:r>
        <w:rPr>
          <w:spacing w:val="-19"/>
        </w:rPr>
        <w:t xml:space="preserve"> </w:t>
      </w:r>
      <w:r>
        <w:t>in</w:t>
      </w:r>
      <w:r>
        <w:rPr>
          <w:spacing w:val="-19"/>
        </w:rPr>
        <w:t xml:space="preserve"> </w:t>
      </w:r>
      <w:r>
        <w:t>which</w:t>
      </w:r>
      <w:r>
        <w:rPr>
          <w:spacing w:val="-19"/>
        </w:rPr>
        <w:t xml:space="preserve"> </w:t>
      </w:r>
      <w:r>
        <w:t>1</w:t>
      </w:r>
      <w:r>
        <w:rPr>
          <w:spacing w:val="-18"/>
        </w:rPr>
        <w:t xml:space="preserve"> </w:t>
      </w:r>
      <w:r>
        <w:t>dominates</w:t>
      </w:r>
      <w:r>
        <w:rPr>
          <w:spacing w:val="-19"/>
        </w:rPr>
        <w:t xml:space="preserve"> </w:t>
      </w:r>
      <w:r>
        <w:t>its</w:t>
      </w:r>
      <w:r>
        <w:rPr>
          <w:spacing w:val="-19"/>
        </w:rPr>
        <w:t xml:space="preserve"> </w:t>
      </w:r>
      <w:r>
        <w:t>constituents.</w:t>
      </w:r>
      <w:r>
        <w:rPr>
          <w:spacing w:val="-19"/>
        </w:rPr>
        <w:t xml:space="preserve"> </w:t>
      </w:r>
      <w:r>
        <w:t>A’s</w:t>
      </w:r>
      <w:r>
        <w:rPr>
          <w:spacing w:val="-18"/>
        </w:rPr>
        <w:t xml:space="preserve"> </w:t>
      </w:r>
      <w:r>
        <w:t>being instantiated</w:t>
      </w:r>
      <w:r>
        <w:rPr>
          <w:spacing w:val="-2"/>
        </w:rPr>
        <w:t xml:space="preserve"> </w:t>
      </w:r>
      <w:r>
        <w:t>is</w:t>
      </w:r>
      <w:r>
        <w:rPr>
          <w:spacing w:val="-2"/>
        </w:rPr>
        <w:t xml:space="preserve"> </w:t>
      </w:r>
      <w:r>
        <w:t>necessary</w:t>
      </w:r>
      <w:r>
        <w:rPr>
          <w:spacing w:val="-2"/>
        </w:rPr>
        <w:t xml:space="preserve"> </w:t>
      </w:r>
      <w:r>
        <w:t>but</w:t>
      </w:r>
      <w:r>
        <w:rPr>
          <w:spacing w:val="-2"/>
        </w:rPr>
        <w:t xml:space="preserve"> </w:t>
      </w:r>
      <w:r>
        <w:t>not</w:t>
      </w:r>
      <w:r>
        <w:rPr>
          <w:spacing w:val="-2"/>
        </w:rPr>
        <w:t xml:space="preserve"> </w:t>
      </w:r>
      <w:r>
        <w:t>sufficient</w:t>
      </w:r>
      <w:r>
        <w:rPr>
          <w:spacing w:val="-2"/>
        </w:rPr>
        <w:t xml:space="preserve"> </w:t>
      </w:r>
      <w:r>
        <w:t>for</w:t>
      </w:r>
      <w:r>
        <w:rPr>
          <w:spacing w:val="-2"/>
        </w:rPr>
        <w:t xml:space="preserve"> </w:t>
      </w:r>
      <w:r>
        <w:t>C’s</w:t>
      </w:r>
      <w:r>
        <w:rPr>
          <w:spacing w:val="-2"/>
        </w:rPr>
        <w:t xml:space="preserve"> </w:t>
      </w:r>
      <w:r>
        <w:t>being</w:t>
      </w:r>
      <w:r>
        <w:rPr>
          <w:spacing w:val="-2"/>
        </w:rPr>
        <w:t xml:space="preserve"> </w:t>
      </w:r>
      <w:r>
        <w:t>instantiated,</w:t>
      </w:r>
      <w:r>
        <w:rPr>
          <w:spacing w:val="-2"/>
        </w:rPr>
        <w:t xml:space="preserve"> </w:t>
      </w:r>
      <w:r>
        <w:t>the</w:t>
      </w:r>
      <w:r>
        <w:rPr>
          <w:spacing w:val="-2"/>
        </w:rPr>
        <w:t xml:space="preserve"> </w:t>
      </w:r>
      <w:r>
        <w:t xml:space="preserve">same being true of B’s being instantiated. Tommy’s existing is necessary but not </w:t>
      </w:r>
      <w:r>
        <w:rPr>
          <w:spacing w:val="-2"/>
        </w:rPr>
        <w:t>sufficient</w:t>
      </w:r>
      <w:r>
        <w:rPr>
          <w:spacing w:val="-17"/>
        </w:rPr>
        <w:t xml:space="preserve"> </w:t>
      </w:r>
      <w:r>
        <w:rPr>
          <w:spacing w:val="-2"/>
        </w:rPr>
        <w:t>for</w:t>
      </w:r>
      <w:r>
        <w:rPr>
          <w:spacing w:val="-17"/>
        </w:rPr>
        <w:t xml:space="preserve"> </w:t>
      </w:r>
      <w:r>
        <w:rPr>
          <w:spacing w:val="-2"/>
        </w:rPr>
        <w:t>1’s</w:t>
      </w:r>
      <w:r>
        <w:rPr>
          <w:spacing w:val="-17"/>
        </w:rPr>
        <w:t xml:space="preserve"> </w:t>
      </w:r>
      <w:r>
        <w:rPr>
          <w:spacing w:val="-2"/>
        </w:rPr>
        <w:t>being</w:t>
      </w:r>
      <w:r>
        <w:rPr>
          <w:spacing w:val="-16"/>
        </w:rPr>
        <w:t xml:space="preserve"> </w:t>
      </w:r>
      <w:r>
        <w:rPr>
          <w:spacing w:val="-2"/>
        </w:rPr>
        <w:t>true,</w:t>
      </w:r>
      <w:r>
        <w:rPr>
          <w:spacing w:val="-17"/>
        </w:rPr>
        <w:t xml:space="preserve"> </w:t>
      </w:r>
      <w:r>
        <w:rPr>
          <w:spacing w:val="-2"/>
        </w:rPr>
        <w:t>the</w:t>
      </w:r>
      <w:r>
        <w:rPr>
          <w:spacing w:val="-17"/>
        </w:rPr>
        <w:t xml:space="preserve"> </w:t>
      </w:r>
      <w:r>
        <w:rPr>
          <w:spacing w:val="-2"/>
        </w:rPr>
        <w:t>same</w:t>
      </w:r>
      <w:r>
        <w:rPr>
          <w:spacing w:val="-17"/>
        </w:rPr>
        <w:t xml:space="preserve"> </w:t>
      </w:r>
      <w:r>
        <w:rPr>
          <w:spacing w:val="-2"/>
        </w:rPr>
        <w:t>being</w:t>
      </w:r>
      <w:r>
        <w:rPr>
          <w:spacing w:val="-16"/>
        </w:rPr>
        <w:t xml:space="preserve"> </w:t>
      </w:r>
      <w:r>
        <w:rPr>
          <w:spacing w:val="-2"/>
        </w:rPr>
        <w:t>true</w:t>
      </w:r>
      <w:r>
        <w:rPr>
          <w:spacing w:val="-17"/>
        </w:rPr>
        <w:t xml:space="preserve"> </w:t>
      </w:r>
      <w:r>
        <w:rPr>
          <w:spacing w:val="-2"/>
        </w:rPr>
        <w:t>of</w:t>
      </w:r>
      <w:r>
        <w:rPr>
          <w:spacing w:val="-17"/>
        </w:rPr>
        <w:t xml:space="preserve"> </w:t>
      </w:r>
      <w:r>
        <w:rPr>
          <w:spacing w:val="-2"/>
        </w:rPr>
        <w:t>somebody’s</w:t>
      </w:r>
      <w:r>
        <w:rPr>
          <w:spacing w:val="-17"/>
        </w:rPr>
        <w:t xml:space="preserve"> </w:t>
      </w:r>
      <w:r>
        <w:rPr>
          <w:spacing w:val="-2"/>
        </w:rPr>
        <w:t>being</w:t>
      </w:r>
      <w:r>
        <w:rPr>
          <w:spacing w:val="-16"/>
        </w:rPr>
        <w:t xml:space="preserve"> </w:t>
      </w:r>
      <w:r>
        <w:rPr>
          <w:spacing w:val="-2"/>
        </w:rPr>
        <w:t>a</w:t>
      </w:r>
      <w:r>
        <w:rPr>
          <w:spacing w:val="-17"/>
        </w:rPr>
        <w:t xml:space="preserve"> </w:t>
      </w:r>
      <w:r>
        <w:rPr>
          <w:spacing w:val="-2"/>
        </w:rPr>
        <w:t>smoker.</w:t>
      </w:r>
    </w:p>
    <w:p w14:paraId="7E000AFE" w14:textId="77777777" w:rsidR="009A58DB" w:rsidRDefault="00000000">
      <w:pPr>
        <w:pStyle w:val="BodyText"/>
        <w:spacing w:before="16" w:line="249" w:lineRule="auto"/>
        <w:ind w:right="358" w:firstLine="360"/>
      </w:pPr>
      <w:r>
        <w:t>While</w:t>
      </w:r>
      <w:r>
        <w:rPr>
          <w:spacing w:val="-17"/>
        </w:rPr>
        <w:t xml:space="preserve"> </w:t>
      </w:r>
      <w:r>
        <w:t>none</w:t>
      </w:r>
      <w:r>
        <w:rPr>
          <w:spacing w:val="-17"/>
        </w:rPr>
        <w:t xml:space="preserve"> </w:t>
      </w:r>
      <w:r>
        <w:t>of</w:t>
      </w:r>
      <w:r>
        <w:rPr>
          <w:spacing w:val="-17"/>
        </w:rPr>
        <w:t xml:space="preserve"> </w:t>
      </w:r>
      <w:r>
        <w:t>this</w:t>
      </w:r>
      <w:r>
        <w:rPr>
          <w:spacing w:val="-17"/>
        </w:rPr>
        <w:t xml:space="preserve"> </w:t>
      </w:r>
      <w:r>
        <w:t>demonstrates</w:t>
      </w:r>
      <w:r>
        <w:rPr>
          <w:spacing w:val="-17"/>
        </w:rPr>
        <w:t xml:space="preserve"> </w:t>
      </w:r>
      <w:r>
        <w:t>definitively</w:t>
      </w:r>
      <w:r>
        <w:rPr>
          <w:spacing w:val="-17"/>
        </w:rPr>
        <w:t xml:space="preserve"> </w:t>
      </w:r>
      <w:r>
        <w:t>that</w:t>
      </w:r>
      <w:r>
        <w:rPr>
          <w:spacing w:val="-17"/>
        </w:rPr>
        <w:t xml:space="preserve"> </w:t>
      </w:r>
      <w:r>
        <w:t>1</w:t>
      </w:r>
      <w:r>
        <w:rPr>
          <w:spacing w:val="-17"/>
        </w:rPr>
        <w:t xml:space="preserve"> </w:t>
      </w:r>
      <w:r>
        <w:t>is</w:t>
      </w:r>
      <w:r>
        <w:rPr>
          <w:spacing w:val="-17"/>
        </w:rPr>
        <w:t xml:space="preserve"> </w:t>
      </w:r>
      <w:r>
        <w:t>identical</w:t>
      </w:r>
      <w:r>
        <w:rPr>
          <w:spacing w:val="-17"/>
        </w:rPr>
        <w:t xml:space="preserve"> </w:t>
      </w:r>
      <w:r>
        <w:t>with</w:t>
      </w:r>
      <w:r>
        <w:rPr>
          <w:spacing w:val="-17"/>
        </w:rPr>
        <w:t xml:space="preserve"> </w:t>
      </w:r>
      <w:r>
        <w:t>S</w:t>
      </w:r>
      <w:r>
        <w:rPr>
          <w:spacing w:val="-17"/>
        </w:rPr>
        <w:t xml:space="preserve"> </w:t>
      </w:r>
      <w:r>
        <w:t>or</w:t>
      </w:r>
      <w:r>
        <w:rPr>
          <w:spacing w:val="-17"/>
        </w:rPr>
        <w:t xml:space="preserve"> </w:t>
      </w:r>
      <w:r>
        <w:t>that 1’s</w:t>
      </w:r>
      <w:r>
        <w:rPr>
          <w:spacing w:val="-13"/>
        </w:rPr>
        <w:t xml:space="preserve"> </w:t>
      </w:r>
      <w:r>
        <w:t>being</w:t>
      </w:r>
      <w:r>
        <w:rPr>
          <w:spacing w:val="-13"/>
        </w:rPr>
        <w:t xml:space="preserve"> </w:t>
      </w:r>
      <w:r>
        <w:t>true</w:t>
      </w:r>
      <w:r>
        <w:rPr>
          <w:spacing w:val="-13"/>
        </w:rPr>
        <w:t xml:space="preserve"> </w:t>
      </w:r>
      <w:r>
        <w:t>is</w:t>
      </w:r>
      <w:r>
        <w:rPr>
          <w:spacing w:val="-13"/>
        </w:rPr>
        <w:t xml:space="preserve"> </w:t>
      </w:r>
      <w:r>
        <w:t>identical</w:t>
      </w:r>
      <w:r>
        <w:rPr>
          <w:spacing w:val="-13"/>
        </w:rPr>
        <w:t xml:space="preserve"> </w:t>
      </w:r>
      <w:r>
        <w:t>with</w:t>
      </w:r>
      <w:r>
        <w:rPr>
          <w:spacing w:val="-13"/>
        </w:rPr>
        <w:t xml:space="preserve"> </w:t>
      </w:r>
      <w:r>
        <w:t>S’s</w:t>
      </w:r>
      <w:r>
        <w:rPr>
          <w:spacing w:val="-13"/>
        </w:rPr>
        <w:t xml:space="preserve"> </w:t>
      </w:r>
      <w:r>
        <w:t>being</w:t>
      </w:r>
      <w:r>
        <w:rPr>
          <w:spacing w:val="-13"/>
        </w:rPr>
        <w:t xml:space="preserve"> </w:t>
      </w:r>
      <w:r>
        <w:t>instantiated,</w:t>
      </w:r>
      <w:r>
        <w:rPr>
          <w:spacing w:val="-13"/>
        </w:rPr>
        <w:t xml:space="preserve"> </w:t>
      </w:r>
      <w:r>
        <w:t>we</w:t>
      </w:r>
      <w:r>
        <w:rPr>
          <w:spacing w:val="-13"/>
        </w:rPr>
        <w:t xml:space="preserve"> </w:t>
      </w:r>
      <w:r>
        <w:t>have,</w:t>
      </w:r>
      <w:r>
        <w:rPr>
          <w:spacing w:val="-13"/>
        </w:rPr>
        <w:t xml:space="preserve"> </w:t>
      </w:r>
      <w:r>
        <w:t>I</w:t>
      </w:r>
      <w:r>
        <w:rPr>
          <w:spacing w:val="-13"/>
        </w:rPr>
        <w:t xml:space="preserve"> </w:t>
      </w:r>
      <w:r>
        <w:t>believe,</w:t>
      </w:r>
      <w:r>
        <w:rPr>
          <w:spacing w:val="-13"/>
        </w:rPr>
        <w:t xml:space="preserve"> </w:t>
      </w:r>
      <w:r>
        <w:t xml:space="preserve">found enough of a match between 1/1’s being true and S/S’s members’ being </w:t>
      </w:r>
      <w:r>
        <w:rPr>
          <w:spacing w:val="-2"/>
        </w:rPr>
        <w:t>instantiated</w:t>
      </w:r>
      <w:r>
        <w:rPr>
          <w:spacing w:val="-17"/>
        </w:rPr>
        <w:t xml:space="preserve"> </w:t>
      </w:r>
      <w:r>
        <w:rPr>
          <w:spacing w:val="-2"/>
        </w:rPr>
        <w:t>to</w:t>
      </w:r>
      <w:r>
        <w:rPr>
          <w:spacing w:val="-17"/>
        </w:rPr>
        <w:t xml:space="preserve"> </w:t>
      </w:r>
      <w:r>
        <w:rPr>
          <w:spacing w:val="-2"/>
        </w:rPr>
        <w:t>warrant</w:t>
      </w:r>
      <w:r>
        <w:rPr>
          <w:spacing w:val="-17"/>
        </w:rPr>
        <w:t xml:space="preserve"> </w:t>
      </w:r>
      <w:r>
        <w:rPr>
          <w:spacing w:val="-2"/>
        </w:rPr>
        <w:t>looking</w:t>
      </w:r>
      <w:r>
        <w:rPr>
          <w:spacing w:val="-16"/>
        </w:rPr>
        <w:t xml:space="preserve"> </w:t>
      </w:r>
      <w:r>
        <w:rPr>
          <w:spacing w:val="-2"/>
        </w:rPr>
        <w:t>into</w:t>
      </w:r>
      <w:r>
        <w:rPr>
          <w:spacing w:val="-17"/>
        </w:rPr>
        <w:t xml:space="preserve"> </w:t>
      </w:r>
      <w:r>
        <w:rPr>
          <w:spacing w:val="-2"/>
        </w:rPr>
        <w:t>the</w:t>
      </w:r>
      <w:r>
        <w:rPr>
          <w:spacing w:val="-17"/>
        </w:rPr>
        <w:t xml:space="preserve"> </w:t>
      </w:r>
      <w:r>
        <w:rPr>
          <w:spacing w:val="-2"/>
        </w:rPr>
        <w:t>idea</w:t>
      </w:r>
      <w:r>
        <w:rPr>
          <w:spacing w:val="-17"/>
        </w:rPr>
        <w:t xml:space="preserve"> </w:t>
      </w:r>
      <w:r>
        <w:rPr>
          <w:spacing w:val="-2"/>
        </w:rPr>
        <w:t>that</w:t>
      </w:r>
      <w:r>
        <w:rPr>
          <w:spacing w:val="-16"/>
        </w:rPr>
        <w:t xml:space="preserve"> </w:t>
      </w:r>
      <w:r>
        <w:rPr>
          <w:spacing w:val="-2"/>
        </w:rPr>
        <w:t>they</w:t>
      </w:r>
      <w:r>
        <w:rPr>
          <w:spacing w:val="-17"/>
        </w:rPr>
        <w:t xml:space="preserve"> </w:t>
      </w:r>
      <w:r>
        <w:rPr>
          <w:spacing w:val="-2"/>
        </w:rPr>
        <w:t>might</w:t>
      </w:r>
      <w:r>
        <w:rPr>
          <w:spacing w:val="-17"/>
        </w:rPr>
        <w:t xml:space="preserve"> </w:t>
      </w:r>
      <w:r>
        <w:rPr>
          <w:spacing w:val="-2"/>
        </w:rPr>
        <w:t>be</w:t>
      </w:r>
      <w:r>
        <w:rPr>
          <w:spacing w:val="-17"/>
        </w:rPr>
        <w:t xml:space="preserve"> </w:t>
      </w:r>
      <w:r>
        <w:rPr>
          <w:spacing w:val="-2"/>
        </w:rPr>
        <w:t>one</w:t>
      </w:r>
      <w:r>
        <w:rPr>
          <w:spacing w:val="-16"/>
        </w:rPr>
        <w:t xml:space="preserve"> </w:t>
      </w:r>
      <w:r>
        <w:rPr>
          <w:spacing w:val="-2"/>
        </w:rPr>
        <w:t>and</w:t>
      </w:r>
      <w:r>
        <w:rPr>
          <w:spacing w:val="-17"/>
        </w:rPr>
        <w:t xml:space="preserve"> </w:t>
      </w:r>
      <w:r>
        <w:rPr>
          <w:spacing w:val="-2"/>
        </w:rPr>
        <w:t>the</w:t>
      </w:r>
      <w:r>
        <w:rPr>
          <w:spacing w:val="-17"/>
        </w:rPr>
        <w:t xml:space="preserve"> </w:t>
      </w:r>
      <w:r>
        <w:rPr>
          <w:spacing w:val="-2"/>
        </w:rPr>
        <w:t>same.</w:t>
      </w:r>
    </w:p>
    <w:p w14:paraId="7E000AFF" w14:textId="77777777" w:rsidR="009A58DB" w:rsidRDefault="00000000">
      <w:pPr>
        <w:pStyle w:val="Heading1"/>
        <w:numPr>
          <w:ilvl w:val="1"/>
          <w:numId w:val="203"/>
        </w:numPr>
        <w:tabs>
          <w:tab w:val="left" w:pos="990"/>
        </w:tabs>
        <w:spacing w:before="193"/>
        <w:ind w:left="990" w:hanging="630"/>
      </w:pPr>
      <w:r>
        <w:t>The</w:t>
      </w:r>
      <w:r>
        <w:rPr>
          <w:spacing w:val="-3"/>
        </w:rPr>
        <w:t xml:space="preserve"> </w:t>
      </w:r>
      <w:r>
        <w:t>unity</w:t>
      </w:r>
      <w:r>
        <w:rPr>
          <w:spacing w:val="-2"/>
        </w:rPr>
        <w:t xml:space="preserve"> </w:t>
      </w:r>
      <w:r>
        <w:t>of</w:t>
      </w:r>
      <w:r>
        <w:rPr>
          <w:spacing w:val="-3"/>
        </w:rPr>
        <w:t xml:space="preserve"> </w:t>
      </w:r>
      <w:r>
        <w:t>the</w:t>
      </w:r>
      <w:r>
        <w:rPr>
          <w:spacing w:val="-3"/>
        </w:rPr>
        <w:t xml:space="preserve"> </w:t>
      </w:r>
      <w:r>
        <w:rPr>
          <w:spacing w:val="-2"/>
        </w:rPr>
        <w:t>proposition</w:t>
      </w:r>
    </w:p>
    <w:p w14:paraId="7E000B00" w14:textId="77777777" w:rsidR="009A58DB" w:rsidRDefault="009A58DB">
      <w:pPr>
        <w:pStyle w:val="Heading1"/>
        <w:sectPr w:rsidR="009A58DB">
          <w:pgSz w:w="12240" w:h="15840"/>
          <w:pgMar w:top="1380" w:right="1080" w:bottom="280" w:left="1080" w:header="720" w:footer="720" w:gutter="0"/>
          <w:cols w:space="720"/>
        </w:sectPr>
      </w:pPr>
    </w:p>
    <w:p w14:paraId="7E000B01" w14:textId="77777777" w:rsidR="009A58DB" w:rsidRDefault="00000000">
      <w:pPr>
        <w:pStyle w:val="BodyText"/>
        <w:spacing w:before="65" w:line="249" w:lineRule="auto"/>
        <w:ind w:right="360"/>
      </w:pPr>
      <w:r>
        <w:rPr>
          <w:spacing w:val="-4"/>
        </w:rPr>
        <w:lastRenderedPageBreak/>
        <w:t>How</w:t>
      </w:r>
      <w:r>
        <w:rPr>
          <w:spacing w:val="-17"/>
        </w:rPr>
        <w:t xml:space="preserve"> </w:t>
      </w:r>
      <w:r>
        <w:rPr>
          <w:spacing w:val="-4"/>
        </w:rPr>
        <w:t>does</w:t>
      </w:r>
      <w:r>
        <w:rPr>
          <w:spacing w:val="-15"/>
        </w:rPr>
        <w:t xml:space="preserve"> </w:t>
      </w:r>
      <w:r>
        <w:rPr>
          <w:spacing w:val="-4"/>
        </w:rPr>
        <w:t>1</w:t>
      </w:r>
      <w:r>
        <w:rPr>
          <w:spacing w:val="-15"/>
        </w:rPr>
        <w:t xml:space="preserve"> </w:t>
      </w:r>
      <w:r>
        <w:rPr>
          <w:spacing w:val="-4"/>
        </w:rPr>
        <w:t>combine</w:t>
      </w:r>
      <w:r>
        <w:rPr>
          <w:spacing w:val="-14"/>
        </w:rPr>
        <w:t xml:space="preserve"> </w:t>
      </w:r>
      <w:r>
        <w:rPr>
          <w:spacing w:val="-4"/>
        </w:rPr>
        <w:t>Tommy</w:t>
      </w:r>
      <w:r>
        <w:rPr>
          <w:spacing w:val="-15"/>
        </w:rPr>
        <w:t xml:space="preserve"> </w:t>
      </w:r>
      <w:r>
        <w:rPr>
          <w:spacing w:val="-4"/>
        </w:rPr>
        <w:t>with</w:t>
      </w:r>
      <w:r>
        <w:rPr>
          <w:spacing w:val="-15"/>
        </w:rPr>
        <w:t xml:space="preserve"> </w:t>
      </w:r>
      <w:r>
        <w:rPr>
          <w:spacing w:val="-4"/>
        </w:rPr>
        <w:t>the</w:t>
      </w:r>
      <w:r>
        <w:rPr>
          <w:spacing w:val="-15"/>
        </w:rPr>
        <w:t xml:space="preserve"> </w:t>
      </w:r>
      <w:r>
        <w:rPr>
          <w:spacing w:val="-4"/>
        </w:rPr>
        <w:t>property</w:t>
      </w:r>
      <w:r>
        <w:rPr>
          <w:spacing w:val="-14"/>
        </w:rPr>
        <w:t xml:space="preserve"> </w:t>
      </w:r>
      <w:r>
        <w:rPr>
          <w:spacing w:val="-4"/>
        </w:rPr>
        <w:t>of</w:t>
      </w:r>
      <w:r>
        <w:rPr>
          <w:spacing w:val="-15"/>
        </w:rPr>
        <w:t xml:space="preserve"> </w:t>
      </w:r>
      <w:r>
        <w:rPr>
          <w:spacing w:val="-4"/>
        </w:rPr>
        <w:t>smoking?</w:t>
      </w:r>
      <w:r>
        <w:rPr>
          <w:spacing w:val="-15"/>
        </w:rPr>
        <w:t xml:space="preserve"> </w:t>
      </w:r>
      <w:r>
        <w:rPr>
          <w:spacing w:val="-4"/>
        </w:rPr>
        <w:t>According</w:t>
      </w:r>
      <w:r>
        <w:rPr>
          <w:spacing w:val="-15"/>
        </w:rPr>
        <w:t xml:space="preserve"> </w:t>
      </w:r>
      <w:r>
        <w:rPr>
          <w:spacing w:val="-4"/>
        </w:rPr>
        <w:t>to</w:t>
      </w:r>
      <w:r>
        <w:rPr>
          <w:spacing w:val="-14"/>
        </w:rPr>
        <w:t xml:space="preserve"> </w:t>
      </w:r>
      <w:r>
        <w:rPr>
          <w:spacing w:val="-4"/>
        </w:rPr>
        <w:t xml:space="preserve">Frege, </w:t>
      </w:r>
      <w:r>
        <w:t>Tommy (or some concept thereof)</w:t>
      </w:r>
      <w:r>
        <w:rPr>
          <w:spacing w:val="-19"/>
        </w:rPr>
        <w:t xml:space="preserve"> </w:t>
      </w:r>
      <w:r>
        <w:rPr>
          <w:i/>
        </w:rPr>
        <w:t>saturates</w:t>
      </w:r>
      <w:r>
        <w:rPr>
          <w:i/>
          <w:spacing w:val="-19"/>
        </w:rPr>
        <w:t xml:space="preserve"> </w:t>
      </w:r>
      <w:r>
        <w:t xml:space="preserve">that property (or some concept </w:t>
      </w:r>
      <w:r>
        <w:rPr>
          <w:spacing w:val="-2"/>
        </w:rPr>
        <w:t>thereof).</w:t>
      </w:r>
      <w:r>
        <w:rPr>
          <w:spacing w:val="-17"/>
        </w:rPr>
        <w:t xml:space="preserve"> </w:t>
      </w:r>
      <w:r>
        <w:rPr>
          <w:spacing w:val="-2"/>
        </w:rPr>
        <w:t>(Henceforth,</w:t>
      </w:r>
      <w:r>
        <w:rPr>
          <w:spacing w:val="-17"/>
        </w:rPr>
        <w:t xml:space="preserve"> </w:t>
      </w:r>
      <w:r>
        <w:rPr>
          <w:spacing w:val="-2"/>
        </w:rPr>
        <w:t>I’ll</w:t>
      </w:r>
      <w:r>
        <w:rPr>
          <w:spacing w:val="-17"/>
        </w:rPr>
        <w:t xml:space="preserve"> </w:t>
      </w:r>
      <w:r>
        <w:rPr>
          <w:spacing w:val="-2"/>
        </w:rPr>
        <w:t>omit</w:t>
      </w:r>
      <w:r>
        <w:rPr>
          <w:spacing w:val="-16"/>
        </w:rPr>
        <w:t xml:space="preserve"> </w:t>
      </w:r>
      <w:r>
        <w:rPr>
          <w:spacing w:val="-2"/>
        </w:rPr>
        <w:t>the</w:t>
      </w:r>
      <w:r>
        <w:rPr>
          <w:spacing w:val="-17"/>
        </w:rPr>
        <w:t xml:space="preserve"> </w:t>
      </w:r>
      <w:r>
        <w:rPr>
          <w:spacing w:val="-2"/>
        </w:rPr>
        <w:t>qualification</w:t>
      </w:r>
      <w:r>
        <w:rPr>
          <w:spacing w:val="-17"/>
        </w:rPr>
        <w:t xml:space="preserve"> </w:t>
      </w:r>
      <w:r>
        <w:rPr>
          <w:spacing w:val="-2"/>
        </w:rPr>
        <w:t>“or</w:t>
      </w:r>
      <w:r>
        <w:rPr>
          <w:spacing w:val="-17"/>
        </w:rPr>
        <w:t xml:space="preserve"> </w:t>
      </w:r>
      <w:r>
        <w:rPr>
          <w:spacing w:val="-2"/>
        </w:rPr>
        <w:t>some</w:t>
      </w:r>
      <w:r>
        <w:rPr>
          <w:spacing w:val="-16"/>
        </w:rPr>
        <w:t xml:space="preserve"> </w:t>
      </w:r>
      <w:r>
        <w:rPr>
          <w:spacing w:val="-2"/>
        </w:rPr>
        <w:t>concept</w:t>
      </w:r>
      <w:r>
        <w:rPr>
          <w:spacing w:val="-17"/>
        </w:rPr>
        <w:t xml:space="preserve"> </w:t>
      </w:r>
      <w:r>
        <w:rPr>
          <w:spacing w:val="-2"/>
        </w:rPr>
        <w:t>thereof.”)</w:t>
      </w:r>
      <w:r>
        <w:rPr>
          <w:spacing w:val="-17"/>
        </w:rPr>
        <w:t xml:space="preserve"> </w:t>
      </w:r>
      <w:r>
        <w:rPr>
          <w:spacing w:val="-2"/>
        </w:rPr>
        <w:t xml:space="preserve">But </w:t>
      </w:r>
      <w:r>
        <w:t>this</w:t>
      </w:r>
      <w:r>
        <w:rPr>
          <w:spacing w:val="-19"/>
        </w:rPr>
        <w:t xml:space="preserve"> </w:t>
      </w:r>
      <w:r>
        <w:t>doesn’t</w:t>
      </w:r>
      <w:r>
        <w:rPr>
          <w:spacing w:val="-19"/>
        </w:rPr>
        <w:t xml:space="preserve"> </w:t>
      </w:r>
      <w:r>
        <w:t>help</w:t>
      </w:r>
      <w:r>
        <w:rPr>
          <w:spacing w:val="-19"/>
        </w:rPr>
        <w:t xml:space="preserve"> </w:t>
      </w:r>
      <w:r>
        <w:t>at</w:t>
      </w:r>
      <w:r>
        <w:rPr>
          <w:spacing w:val="-18"/>
        </w:rPr>
        <w:t xml:space="preserve"> </w:t>
      </w:r>
      <w:r>
        <w:t>all.</w:t>
      </w:r>
      <w:r>
        <w:rPr>
          <w:spacing w:val="-19"/>
        </w:rPr>
        <w:t xml:space="preserve"> </w:t>
      </w:r>
      <w:r>
        <w:t>For,</w:t>
      </w:r>
      <w:r>
        <w:rPr>
          <w:spacing w:val="-19"/>
        </w:rPr>
        <w:t xml:space="preserve"> </w:t>
      </w:r>
      <w:r>
        <w:t>as</w:t>
      </w:r>
      <w:r>
        <w:rPr>
          <w:spacing w:val="-19"/>
        </w:rPr>
        <w:t xml:space="preserve"> </w:t>
      </w:r>
      <w:r>
        <w:t>Davidson</w:t>
      </w:r>
      <w:r>
        <w:rPr>
          <w:spacing w:val="-18"/>
        </w:rPr>
        <w:t xml:space="preserve"> </w:t>
      </w:r>
      <w:r>
        <w:t>(1967)</w:t>
      </w:r>
      <w:r>
        <w:rPr>
          <w:spacing w:val="-19"/>
        </w:rPr>
        <w:t xml:space="preserve"> </w:t>
      </w:r>
      <w:r>
        <w:t>observed,</w:t>
      </w:r>
      <w:r>
        <w:rPr>
          <w:spacing w:val="-19"/>
        </w:rPr>
        <w:t xml:space="preserve"> </w:t>
      </w:r>
      <w:r>
        <w:t>the</w:t>
      </w:r>
      <w:r>
        <w:rPr>
          <w:spacing w:val="-19"/>
        </w:rPr>
        <w:t xml:space="preserve"> </w:t>
      </w:r>
      <w:r>
        <w:t>term</w:t>
      </w:r>
      <w:r>
        <w:rPr>
          <w:spacing w:val="-18"/>
        </w:rPr>
        <w:t xml:space="preserve"> </w:t>
      </w:r>
      <w:r>
        <w:t>“saturate”</w:t>
      </w:r>
      <w:r>
        <w:rPr>
          <w:spacing w:val="-19"/>
        </w:rPr>
        <w:t xml:space="preserve"> </w:t>
      </w:r>
      <w:r>
        <w:t xml:space="preserve">is </w:t>
      </w:r>
      <w:r>
        <w:rPr>
          <w:spacing w:val="-2"/>
        </w:rPr>
        <w:t>just</w:t>
      </w:r>
      <w:r>
        <w:rPr>
          <w:spacing w:val="-16"/>
        </w:rPr>
        <w:t xml:space="preserve"> </w:t>
      </w:r>
      <w:r>
        <w:rPr>
          <w:spacing w:val="-2"/>
        </w:rPr>
        <w:t>another</w:t>
      </w:r>
      <w:r>
        <w:rPr>
          <w:spacing w:val="-16"/>
        </w:rPr>
        <w:t xml:space="preserve"> </w:t>
      </w:r>
      <w:r>
        <w:rPr>
          <w:spacing w:val="-2"/>
        </w:rPr>
        <w:t>label</w:t>
      </w:r>
      <w:r>
        <w:rPr>
          <w:spacing w:val="-16"/>
        </w:rPr>
        <w:t xml:space="preserve"> </w:t>
      </w:r>
      <w:r>
        <w:rPr>
          <w:spacing w:val="-2"/>
        </w:rPr>
        <w:t>for</w:t>
      </w:r>
      <w:r>
        <w:rPr>
          <w:spacing w:val="-16"/>
        </w:rPr>
        <w:t xml:space="preserve"> </w:t>
      </w:r>
      <w:r>
        <w:rPr>
          <w:spacing w:val="-2"/>
        </w:rPr>
        <w:t>the</w:t>
      </w:r>
      <w:r>
        <w:rPr>
          <w:spacing w:val="-16"/>
        </w:rPr>
        <w:t xml:space="preserve"> </w:t>
      </w:r>
      <w:r>
        <w:rPr>
          <w:spacing w:val="-2"/>
        </w:rPr>
        <w:t>operation</w:t>
      </w:r>
      <w:r>
        <w:rPr>
          <w:spacing w:val="-16"/>
        </w:rPr>
        <w:t xml:space="preserve"> </w:t>
      </w:r>
      <w:r>
        <w:rPr>
          <w:spacing w:val="-2"/>
        </w:rPr>
        <w:t>in</w:t>
      </w:r>
      <w:r>
        <w:rPr>
          <w:spacing w:val="-16"/>
        </w:rPr>
        <w:t xml:space="preserve"> </w:t>
      </w:r>
      <w:r>
        <w:rPr>
          <w:spacing w:val="-2"/>
        </w:rPr>
        <w:t>question.</w:t>
      </w:r>
      <w:r>
        <w:rPr>
          <w:spacing w:val="-16"/>
        </w:rPr>
        <w:t xml:space="preserve"> </w:t>
      </w:r>
      <w:r>
        <w:rPr>
          <w:spacing w:val="-2"/>
        </w:rPr>
        <w:t>So</w:t>
      </w:r>
      <w:r>
        <w:rPr>
          <w:spacing w:val="-16"/>
        </w:rPr>
        <w:t xml:space="preserve"> </w:t>
      </w:r>
      <w:r>
        <w:rPr>
          <w:spacing w:val="-2"/>
        </w:rPr>
        <w:t>while</w:t>
      </w:r>
      <w:r>
        <w:rPr>
          <w:spacing w:val="-16"/>
        </w:rPr>
        <w:t xml:space="preserve"> </w:t>
      </w:r>
      <w:r>
        <w:rPr>
          <w:spacing w:val="-2"/>
        </w:rPr>
        <w:t>the</w:t>
      </w:r>
      <w:r>
        <w:rPr>
          <w:spacing w:val="-16"/>
        </w:rPr>
        <w:t xml:space="preserve"> </w:t>
      </w:r>
      <w:r>
        <w:rPr>
          <w:spacing w:val="-2"/>
        </w:rPr>
        <w:t>Fregean</w:t>
      </w:r>
      <w:r>
        <w:rPr>
          <w:spacing w:val="-16"/>
        </w:rPr>
        <w:t xml:space="preserve"> </w:t>
      </w:r>
      <w:r>
        <w:rPr>
          <w:spacing w:val="-2"/>
        </w:rPr>
        <w:t>statement:</w:t>
      </w:r>
    </w:p>
    <w:p w14:paraId="7E000B02" w14:textId="77777777" w:rsidR="009A58DB" w:rsidRDefault="00000000">
      <w:pPr>
        <w:pStyle w:val="BodyText"/>
        <w:spacing w:before="6" w:line="450" w:lineRule="atLeast"/>
        <w:ind w:right="1567" w:firstLine="360"/>
      </w:pPr>
      <w:r>
        <w:rPr>
          <w:spacing w:val="-6"/>
        </w:rPr>
        <w:t>(FR)</w:t>
      </w:r>
      <w:r>
        <w:rPr>
          <w:spacing w:val="-13"/>
        </w:rPr>
        <w:t xml:space="preserve"> </w:t>
      </w:r>
      <w:r>
        <w:rPr>
          <w:spacing w:val="-6"/>
        </w:rPr>
        <w:t>“1</w:t>
      </w:r>
      <w:r>
        <w:rPr>
          <w:spacing w:val="-13"/>
        </w:rPr>
        <w:t xml:space="preserve"> </w:t>
      </w:r>
      <w:r>
        <w:rPr>
          <w:spacing w:val="-6"/>
        </w:rPr>
        <w:t>is</w:t>
      </w:r>
      <w:r>
        <w:rPr>
          <w:spacing w:val="-13"/>
        </w:rPr>
        <w:t xml:space="preserve"> </w:t>
      </w:r>
      <w:r>
        <w:rPr>
          <w:spacing w:val="-6"/>
        </w:rPr>
        <w:t>the</w:t>
      </w:r>
      <w:r>
        <w:rPr>
          <w:spacing w:val="-12"/>
        </w:rPr>
        <w:t xml:space="preserve"> </w:t>
      </w:r>
      <w:r>
        <w:rPr>
          <w:spacing w:val="-6"/>
        </w:rPr>
        <w:t>result</w:t>
      </w:r>
      <w:r>
        <w:rPr>
          <w:spacing w:val="-13"/>
        </w:rPr>
        <w:t xml:space="preserve"> </w:t>
      </w:r>
      <w:r>
        <w:rPr>
          <w:spacing w:val="-6"/>
        </w:rPr>
        <w:t>of</w:t>
      </w:r>
      <w:r>
        <w:rPr>
          <w:spacing w:val="-13"/>
        </w:rPr>
        <w:t xml:space="preserve"> </w:t>
      </w:r>
      <w:r>
        <w:rPr>
          <w:spacing w:val="-6"/>
        </w:rPr>
        <w:t>Tommy’s</w:t>
      </w:r>
      <w:r>
        <w:rPr>
          <w:spacing w:val="-11"/>
        </w:rPr>
        <w:t xml:space="preserve"> </w:t>
      </w:r>
      <w:r>
        <w:rPr>
          <w:spacing w:val="-6"/>
        </w:rPr>
        <w:t>saturating</w:t>
      </w:r>
      <w:r>
        <w:rPr>
          <w:spacing w:val="-12"/>
        </w:rPr>
        <w:t xml:space="preserve"> </w:t>
      </w:r>
      <w:r>
        <w:rPr>
          <w:spacing w:val="-6"/>
        </w:rPr>
        <w:t>the</w:t>
      </w:r>
      <w:r>
        <w:rPr>
          <w:spacing w:val="-12"/>
        </w:rPr>
        <w:t xml:space="preserve"> </w:t>
      </w:r>
      <w:r>
        <w:rPr>
          <w:spacing w:val="-6"/>
        </w:rPr>
        <w:t>concept</w:t>
      </w:r>
      <w:r>
        <w:rPr>
          <w:spacing w:val="-12"/>
        </w:rPr>
        <w:t xml:space="preserve"> </w:t>
      </w:r>
      <w:r>
        <w:rPr>
          <w:spacing w:val="-6"/>
        </w:rPr>
        <w:t>of</w:t>
      </w:r>
      <w:r>
        <w:rPr>
          <w:spacing w:val="-12"/>
        </w:rPr>
        <w:t xml:space="preserve"> </w:t>
      </w:r>
      <w:r>
        <w:rPr>
          <w:spacing w:val="-6"/>
        </w:rPr>
        <w:t xml:space="preserve">smoking” </w:t>
      </w:r>
      <w:r>
        <w:t>may</w:t>
      </w:r>
      <w:r>
        <w:rPr>
          <w:spacing w:val="-15"/>
        </w:rPr>
        <w:t xml:space="preserve"> </w:t>
      </w:r>
      <w:r>
        <w:t>well</w:t>
      </w:r>
      <w:r>
        <w:rPr>
          <w:spacing w:val="-15"/>
        </w:rPr>
        <w:t xml:space="preserve"> </w:t>
      </w:r>
      <w:r>
        <w:t>be</w:t>
      </w:r>
      <w:r>
        <w:rPr>
          <w:spacing w:val="-15"/>
        </w:rPr>
        <w:t xml:space="preserve"> </w:t>
      </w:r>
      <w:r>
        <w:t>correct,</w:t>
      </w:r>
      <w:r>
        <w:rPr>
          <w:spacing w:val="-15"/>
        </w:rPr>
        <w:t xml:space="preserve"> </w:t>
      </w:r>
      <w:r>
        <w:t>we</w:t>
      </w:r>
      <w:r>
        <w:rPr>
          <w:spacing w:val="-15"/>
        </w:rPr>
        <w:t xml:space="preserve"> </w:t>
      </w:r>
      <w:r>
        <w:t>don’t</w:t>
      </w:r>
      <w:r>
        <w:rPr>
          <w:spacing w:val="-15"/>
        </w:rPr>
        <w:t xml:space="preserve"> </w:t>
      </w:r>
      <w:r>
        <w:t>know</w:t>
      </w:r>
      <w:r>
        <w:rPr>
          <w:spacing w:val="-15"/>
        </w:rPr>
        <w:t xml:space="preserve"> </w:t>
      </w:r>
      <w:r>
        <w:t>what</w:t>
      </w:r>
      <w:r>
        <w:rPr>
          <w:spacing w:val="-15"/>
        </w:rPr>
        <w:t xml:space="preserve"> </w:t>
      </w:r>
      <w:r>
        <w:t>it</w:t>
      </w:r>
      <w:r>
        <w:rPr>
          <w:spacing w:val="-15"/>
        </w:rPr>
        <w:t xml:space="preserve"> </w:t>
      </w:r>
      <w:r>
        <w:t>means.</w:t>
      </w:r>
    </w:p>
    <w:p w14:paraId="7E000B03" w14:textId="77777777" w:rsidR="009A58DB" w:rsidRDefault="00000000">
      <w:pPr>
        <w:pStyle w:val="BodyText"/>
        <w:spacing w:before="15" w:line="249" w:lineRule="auto"/>
        <w:ind w:right="360" w:firstLine="360"/>
      </w:pPr>
      <w:r>
        <w:t>We are in a position to give the meaning of FR and to say what this mysterious “saturating” amounts to. We’ve argued that 1 is a set whose members include the property of being Tommy, the property of smoking, and the property of being a smoking Tommy. 1 is the result of Tommy’s “saturating” the property/concept of smoking in the sense that 1 is identical with a set S that consists of those three properties.</w:t>
      </w:r>
    </w:p>
    <w:p w14:paraId="7E000B04" w14:textId="77777777" w:rsidR="009A58DB" w:rsidRDefault="00000000">
      <w:pPr>
        <w:pStyle w:val="BodyText"/>
        <w:spacing w:before="7" w:line="249" w:lineRule="auto"/>
        <w:ind w:right="367" w:firstLine="360"/>
      </w:pPr>
      <w:r>
        <w:t>For any proposition X, to say that X is the result of Y’s “saturating” Z (for some Y and Z) is to say that X is a set whose members are the property of being identical with X, and Z itself, and also the property of being identical with something that is identical with X and also has Z.</w:t>
      </w:r>
    </w:p>
    <w:p w14:paraId="7E000B05" w14:textId="77777777" w:rsidR="009A58DB" w:rsidRDefault="00000000">
      <w:pPr>
        <w:pStyle w:val="Heading1"/>
        <w:numPr>
          <w:ilvl w:val="1"/>
          <w:numId w:val="203"/>
        </w:numPr>
        <w:tabs>
          <w:tab w:val="left" w:pos="990"/>
        </w:tabs>
        <w:spacing w:before="208"/>
        <w:ind w:left="990" w:hanging="630"/>
      </w:pPr>
      <w:r>
        <w:t>More</w:t>
      </w:r>
      <w:r>
        <w:rPr>
          <w:spacing w:val="-6"/>
        </w:rPr>
        <w:t xml:space="preserve"> </w:t>
      </w:r>
      <w:r>
        <w:t>on</w:t>
      </w:r>
      <w:r>
        <w:rPr>
          <w:spacing w:val="-4"/>
        </w:rPr>
        <w:t xml:space="preserve"> </w:t>
      </w:r>
      <w:r>
        <w:t>the</w:t>
      </w:r>
      <w:r>
        <w:rPr>
          <w:spacing w:val="-3"/>
        </w:rPr>
        <w:t xml:space="preserve"> </w:t>
      </w:r>
      <w:r>
        <w:t>decomposition</w:t>
      </w:r>
      <w:r>
        <w:rPr>
          <w:spacing w:val="-4"/>
        </w:rPr>
        <w:t xml:space="preserve"> </w:t>
      </w:r>
      <w:r>
        <w:t>of</w:t>
      </w:r>
      <w:r>
        <w:rPr>
          <w:spacing w:val="-3"/>
        </w:rPr>
        <w:t xml:space="preserve"> </w:t>
      </w:r>
      <w:r>
        <w:rPr>
          <w:spacing w:val="-2"/>
        </w:rPr>
        <w:t>propositions</w:t>
      </w:r>
    </w:p>
    <w:p w14:paraId="7E000B06" w14:textId="77777777" w:rsidR="009A58DB" w:rsidRDefault="00000000">
      <w:pPr>
        <w:pStyle w:val="BodyText"/>
        <w:spacing w:before="139" w:line="249" w:lineRule="auto"/>
        <w:ind w:right="361"/>
      </w:pPr>
      <w:r>
        <w:t>It is indisputable that 1 is true just in case C is instantiated. So why not just identify 1 with C, and 1’s being true with C’s being instantiated? Why go through the rigmarole that we went through? Why bother with A and B and, in general, any other properties other than C? Because if we identify 1 with</w:t>
      </w:r>
      <w:r>
        <w:rPr>
          <w:spacing w:val="40"/>
        </w:rPr>
        <w:t xml:space="preserve"> </w:t>
      </w:r>
      <w:r>
        <w:t>C, and 1’s being true with C’s being instantiated, our theory won’t accommodate the very reasonable presumption that 1 has discrete parts corresponding to Tommy and to the property of smoking.</w:t>
      </w:r>
    </w:p>
    <w:p w14:paraId="7E000B07" w14:textId="77777777" w:rsidR="009A58DB" w:rsidRDefault="00000000">
      <w:pPr>
        <w:pStyle w:val="BodyText"/>
        <w:spacing w:before="9" w:line="249" w:lineRule="auto"/>
        <w:ind w:right="360" w:firstLine="360"/>
      </w:pPr>
      <w:r>
        <w:t xml:space="preserve">Consider an instance of the property of being a smoking Tommy. Obviously that instance will </w:t>
      </w:r>
      <w:r>
        <w:rPr>
          <w:i/>
        </w:rPr>
        <w:t>involve</w:t>
      </w:r>
      <w:r>
        <w:rPr>
          <w:i/>
          <w:spacing w:val="-4"/>
        </w:rPr>
        <w:t xml:space="preserve"> </w:t>
      </w:r>
      <w:r>
        <w:t xml:space="preserve">Tommy smoking. But it will not, at least in any obvious way, contain a discrete part corresponding to Tommy or a discrete part corresponding to smoking. And what is true of an instance of that property is, quite possibly, true of the property itself. It cannot be taken for granted that C has a </w:t>
      </w:r>
      <w:r>
        <w:rPr>
          <w:i/>
        </w:rPr>
        <w:t>discrete</w:t>
      </w:r>
      <w:r>
        <w:rPr>
          <w:i/>
          <w:spacing w:val="-4"/>
        </w:rPr>
        <w:t xml:space="preserve"> </w:t>
      </w:r>
      <w:r>
        <w:t>part corresponding to Tommy or to smoking or to anything else. In fact, being a non-spatiotemporal entity, C won’t have discrete parts in any straightforward sense at all.</w:t>
      </w:r>
    </w:p>
    <w:p w14:paraId="7E000B08" w14:textId="77777777" w:rsidR="009A58DB" w:rsidRDefault="00000000">
      <w:pPr>
        <w:pStyle w:val="BodyText"/>
        <w:spacing w:before="10"/>
        <w:ind w:left="720"/>
      </w:pPr>
      <w:r>
        <w:t>The</w:t>
      </w:r>
      <w:r>
        <w:rPr>
          <w:spacing w:val="23"/>
        </w:rPr>
        <w:t xml:space="preserve"> </w:t>
      </w:r>
      <w:r>
        <w:t>impression</w:t>
      </w:r>
      <w:r>
        <w:rPr>
          <w:spacing w:val="24"/>
        </w:rPr>
        <w:t xml:space="preserve"> </w:t>
      </w:r>
      <w:r>
        <w:t>that</w:t>
      </w:r>
      <w:r>
        <w:rPr>
          <w:spacing w:val="23"/>
        </w:rPr>
        <w:t xml:space="preserve"> </w:t>
      </w:r>
      <w:r>
        <w:t>C</w:t>
      </w:r>
      <w:r>
        <w:rPr>
          <w:spacing w:val="24"/>
        </w:rPr>
        <w:t xml:space="preserve"> </w:t>
      </w:r>
      <w:r>
        <w:t>is</w:t>
      </w:r>
      <w:r>
        <w:rPr>
          <w:spacing w:val="24"/>
        </w:rPr>
        <w:t xml:space="preserve"> </w:t>
      </w:r>
      <w:r>
        <w:t>part-less,</w:t>
      </w:r>
      <w:r>
        <w:rPr>
          <w:spacing w:val="23"/>
        </w:rPr>
        <w:t xml:space="preserve"> </w:t>
      </w:r>
      <w:r>
        <w:t>or</w:t>
      </w:r>
      <w:r>
        <w:rPr>
          <w:spacing w:val="24"/>
        </w:rPr>
        <w:t xml:space="preserve"> </w:t>
      </w:r>
      <w:r>
        <w:t>at</w:t>
      </w:r>
      <w:r>
        <w:rPr>
          <w:spacing w:val="24"/>
        </w:rPr>
        <w:t xml:space="preserve"> </w:t>
      </w:r>
      <w:r>
        <w:t>least</w:t>
      </w:r>
      <w:r>
        <w:rPr>
          <w:spacing w:val="23"/>
        </w:rPr>
        <w:t xml:space="preserve"> </w:t>
      </w:r>
      <w:r>
        <w:t>lacking</w:t>
      </w:r>
      <w:r>
        <w:rPr>
          <w:spacing w:val="24"/>
        </w:rPr>
        <w:t xml:space="preserve"> </w:t>
      </w:r>
      <w:r>
        <w:t>in</w:t>
      </w:r>
      <w:r>
        <w:rPr>
          <w:spacing w:val="24"/>
        </w:rPr>
        <w:t xml:space="preserve"> </w:t>
      </w:r>
      <w:r>
        <w:t>the</w:t>
      </w:r>
      <w:r>
        <w:rPr>
          <w:spacing w:val="23"/>
        </w:rPr>
        <w:t xml:space="preserve"> </w:t>
      </w:r>
      <w:r>
        <w:t>right</w:t>
      </w:r>
      <w:r>
        <w:rPr>
          <w:spacing w:val="24"/>
        </w:rPr>
        <w:t xml:space="preserve"> </w:t>
      </w:r>
      <w:r>
        <w:t>kind</w:t>
      </w:r>
      <w:r>
        <w:rPr>
          <w:spacing w:val="24"/>
        </w:rPr>
        <w:t xml:space="preserve"> </w:t>
      </w:r>
      <w:r>
        <w:rPr>
          <w:spacing w:val="-7"/>
        </w:rPr>
        <w:t>of</w:t>
      </w:r>
    </w:p>
    <w:p w14:paraId="7E000B09" w14:textId="77777777" w:rsidR="009A58DB" w:rsidRDefault="009A58DB">
      <w:pPr>
        <w:pStyle w:val="BodyText"/>
        <w:sectPr w:rsidR="009A58DB">
          <w:pgSz w:w="12240" w:h="15840"/>
          <w:pgMar w:top="1380" w:right="1080" w:bottom="280" w:left="1080" w:header="720" w:footer="720" w:gutter="0"/>
          <w:cols w:space="720"/>
        </w:sectPr>
      </w:pPr>
    </w:p>
    <w:p w14:paraId="7E000B0A" w14:textId="77777777" w:rsidR="009A58DB" w:rsidRDefault="00000000">
      <w:pPr>
        <w:pStyle w:val="BodyText"/>
        <w:spacing w:before="70" w:line="249" w:lineRule="auto"/>
        <w:ind w:right="358"/>
      </w:pPr>
      <w:r>
        <w:lastRenderedPageBreak/>
        <w:t>parts, is reinforced when we look at what an instance of C is like. Such an instance is, to adapt Kenneth Taylor’s (1998) apt expression, a dent or ripple in the quantum; it is a shift in the movement of mass-energy. Of course, that mass-energy is (by hypothesis) sufficient for the existence of Tommy and of smoking and, indeed, of a smoking Tommy. But you would have a devil of a time isolating some part of that distribution that corresponded to Tommy, then distinguishing that from some other part corresponding to smoking, and then finding a third that fused those two, otherwise discrete, entities into a discrete instance of a smoking Tommy.</w:t>
      </w:r>
    </w:p>
    <w:p w14:paraId="7E000B0B" w14:textId="77777777" w:rsidR="009A58DB" w:rsidRDefault="00000000">
      <w:pPr>
        <w:pStyle w:val="BodyText"/>
        <w:spacing w:before="6"/>
        <w:ind w:left="720"/>
      </w:pPr>
      <w:r>
        <w:t>By</w:t>
      </w:r>
      <w:r>
        <w:rPr>
          <w:spacing w:val="-3"/>
        </w:rPr>
        <w:t xml:space="preserve"> </w:t>
      </w:r>
      <w:r>
        <w:t>contrast,</w:t>
      </w:r>
      <w:r>
        <w:rPr>
          <w:spacing w:val="-3"/>
        </w:rPr>
        <w:t xml:space="preserve"> </w:t>
      </w:r>
      <w:r>
        <w:t>the</w:t>
      </w:r>
      <w:r>
        <w:rPr>
          <w:spacing w:val="-3"/>
        </w:rPr>
        <w:t xml:space="preserve"> </w:t>
      </w:r>
      <w:r>
        <w:rPr>
          <w:spacing w:val="-2"/>
        </w:rPr>
        <w:t>proposition:</w:t>
      </w:r>
    </w:p>
    <w:p w14:paraId="7E000B0C" w14:textId="77777777" w:rsidR="009A58DB" w:rsidRDefault="009A58DB">
      <w:pPr>
        <w:pStyle w:val="BodyText"/>
        <w:spacing w:before="30"/>
        <w:ind w:left="0"/>
        <w:jc w:val="left"/>
      </w:pPr>
    </w:p>
    <w:p w14:paraId="7E000B0D" w14:textId="77777777" w:rsidR="009A58DB" w:rsidRDefault="00000000">
      <w:pPr>
        <w:pStyle w:val="ListParagraph"/>
        <w:numPr>
          <w:ilvl w:val="0"/>
          <w:numId w:val="201"/>
        </w:numPr>
        <w:tabs>
          <w:tab w:val="left" w:pos="660"/>
        </w:tabs>
        <w:jc w:val="both"/>
        <w:rPr>
          <w:sz w:val="30"/>
        </w:rPr>
      </w:pPr>
      <w:r>
        <w:rPr>
          <w:sz w:val="30"/>
        </w:rPr>
        <w:t>Tommy</w:t>
      </w:r>
      <w:r>
        <w:rPr>
          <w:spacing w:val="-3"/>
          <w:sz w:val="30"/>
        </w:rPr>
        <w:t xml:space="preserve"> </w:t>
      </w:r>
      <w:r>
        <w:rPr>
          <w:sz w:val="30"/>
        </w:rPr>
        <w:t>is</w:t>
      </w:r>
      <w:r>
        <w:rPr>
          <w:spacing w:val="-2"/>
          <w:sz w:val="30"/>
        </w:rPr>
        <w:t xml:space="preserve"> smoking</w:t>
      </w:r>
    </w:p>
    <w:p w14:paraId="7E000B0E" w14:textId="77777777" w:rsidR="009A58DB" w:rsidRDefault="009A58DB">
      <w:pPr>
        <w:pStyle w:val="BodyText"/>
        <w:spacing w:before="30"/>
        <w:ind w:left="0"/>
        <w:jc w:val="left"/>
      </w:pPr>
    </w:p>
    <w:p w14:paraId="7E000B0F" w14:textId="77777777" w:rsidR="009A58DB" w:rsidRDefault="00000000">
      <w:pPr>
        <w:pStyle w:val="BodyText"/>
        <w:spacing w:line="249" w:lineRule="auto"/>
        <w:ind w:right="358"/>
      </w:pPr>
      <w:r>
        <w:t>is,</w:t>
      </w:r>
      <w:r>
        <w:rPr>
          <w:spacing w:val="-1"/>
        </w:rPr>
        <w:t xml:space="preserve"> </w:t>
      </w:r>
      <w:r>
        <w:t>of</w:t>
      </w:r>
      <w:r>
        <w:rPr>
          <w:spacing w:val="-1"/>
        </w:rPr>
        <w:t xml:space="preserve"> </w:t>
      </w:r>
      <w:r>
        <w:t>its</w:t>
      </w:r>
      <w:r>
        <w:rPr>
          <w:spacing w:val="-1"/>
        </w:rPr>
        <w:t xml:space="preserve"> </w:t>
      </w:r>
      <w:r>
        <w:t>very</w:t>
      </w:r>
      <w:r>
        <w:rPr>
          <w:spacing w:val="-1"/>
        </w:rPr>
        <w:t xml:space="preserve"> </w:t>
      </w:r>
      <w:r>
        <w:t>nature,</w:t>
      </w:r>
      <w:r>
        <w:rPr>
          <w:spacing w:val="-1"/>
        </w:rPr>
        <w:t xml:space="preserve"> </w:t>
      </w:r>
      <w:r>
        <w:t>neatly</w:t>
      </w:r>
      <w:r>
        <w:rPr>
          <w:spacing w:val="-1"/>
        </w:rPr>
        <w:t xml:space="preserve"> </w:t>
      </w:r>
      <w:r>
        <w:t>parsed</w:t>
      </w:r>
      <w:r>
        <w:rPr>
          <w:spacing w:val="-1"/>
        </w:rPr>
        <w:t xml:space="preserve"> </w:t>
      </w:r>
      <w:r>
        <w:t>into</w:t>
      </w:r>
      <w:r>
        <w:rPr>
          <w:spacing w:val="-1"/>
        </w:rPr>
        <w:t xml:space="preserve"> </w:t>
      </w:r>
      <w:r>
        <w:t>Tommy,</w:t>
      </w:r>
      <w:r>
        <w:rPr>
          <w:spacing w:val="-1"/>
        </w:rPr>
        <w:t xml:space="preserve"> </w:t>
      </w:r>
      <w:r>
        <w:t>the</w:t>
      </w:r>
      <w:r>
        <w:rPr>
          <w:spacing w:val="-1"/>
        </w:rPr>
        <w:t xml:space="preserve"> </w:t>
      </w:r>
      <w:r>
        <w:t>property</w:t>
      </w:r>
      <w:r>
        <w:rPr>
          <w:spacing w:val="-1"/>
        </w:rPr>
        <w:t xml:space="preserve"> </w:t>
      </w:r>
      <w:r>
        <w:t>of</w:t>
      </w:r>
      <w:r>
        <w:rPr>
          <w:spacing w:val="-1"/>
        </w:rPr>
        <w:t xml:space="preserve"> </w:t>
      </w:r>
      <w:r>
        <w:t>smoking,</w:t>
      </w:r>
      <w:r>
        <w:rPr>
          <w:spacing w:val="-1"/>
        </w:rPr>
        <w:t xml:space="preserve"> </w:t>
      </w:r>
      <w:r>
        <w:t>and a third constituent that synthesizes the two just mentioned. The neat articulations found in 1 are found, in some form, in S. Those articulations, though found in S’s membership as a whole, are not found in C taken by itself,</w:t>
      </w:r>
      <w:r>
        <w:rPr>
          <w:spacing w:val="-2"/>
        </w:rPr>
        <w:t xml:space="preserve"> </w:t>
      </w:r>
      <w:r>
        <w:t>making</w:t>
      </w:r>
      <w:r>
        <w:rPr>
          <w:spacing w:val="-2"/>
        </w:rPr>
        <w:t xml:space="preserve"> </w:t>
      </w:r>
      <w:r>
        <w:t>S,</w:t>
      </w:r>
      <w:r>
        <w:rPr>
          <w:spacing w:val="-2"/>
        </w:rPr>
        <w:t xml:space="preserve"> </w:t>
      </w:r>
      <w:r>
        <w:t>but</w:t>
      </w:r>
      <w:r>
        <w:rPr>
          <w:spacing w:val="-2"/>
        </w:rPr>
        <w:t xml:space="preserve"> </w:t>
      </w:r>
      <w:r>
        <w:t>not</w:t>
      </w:r>
      <w:r>
        <w:rPr>
          <w:spacing w:val="-2"/>
        </w:rPr>
        <w:t xml:space="preserve"> </w:t>
      </w:r>
      <w:r>
        <w:t>C,</w:t>
      </w:r>
      <w:r>
        <w:rPr>
          <w:spacing w:val="-2"/>
        </w:rPr>
        <w:t xml:space="preserve"> </w:t>
      </w:r>
      <w:r>
        <w:t>a</w:t>
      </w:r>
      <w:r>
        <w:rPr>
          <w:spacing w:val="-2"/>
        </w:rPr>
        <w:t xml:space="preserve"> </w:t>
      </w:r>
      <w:r>
        <w:t>suitable</w:t>
      </w:r>
      <w:r>
        <w:rPr>
          <w:spacing w:val="-2"/>
        </w:rPr>
        <w:t xml:space="preserve"> </w:t>
      </w:r>
      <w:r>
        <w:t>mirror</w:t>
      </w:r>
      <w:r>
        <w:rPr>
          <w:spacing w:val="-2"/>
        </w:rPr>
        <w:t xml:space="preserve"> </w:t>
      </w:r>
      <w:r>
        <w:t>for</w:t>
      </w:r>
      <w:r>
        <w:rPr>
          <w:spacing w:val="-2"/>
        </w:rPr>
        <w:t xml:space="preserve"> </w:t>
      </w:r>
      <w:r>
        <w:t>the</w:t>
      </w:r>
      <w:r>
        <w:rPr>
          <w:spacing w:val="-2"/>
        </w:rPr>
        <w:t xml:space="preserve"> </w:t>
      </w:r>
      <w:r>
        <w:t>decompositional</w:t>
      </w:r>
      <w:r>
        <w:rPr>
          <w:spacing w:val="-2"/>
        </w:rPr>
        <w:t xml:space="preserve"> </w:t>
      </w:r>
      <w:r>
        <w:t>structure of 1.</w:t>
      </w:r>
    </w:p>
    <w:p w14:paraId="7E000B10" w14:textId="77777777" w:rsidR="009A58DB" w:rsidRDefault="00000000">
      <w:pPr>
        <w:pStyle w:val="BodyText"/>
        <w:spacing w:before="7" w:line="249" w:lineRule="auto"/>
        <w:ind w:right="360" w:firstLine="360"/>
      </w:pPr>
      <w:r>
        <w:t>States of affairs (or “facts,” as they are sometimes called) do not, as Ian Hacking (1975) long ago put it, have the same kinds of “articulations” as propositions. The quantum-ripples on which the truth of a proposition supervenes don’t have anything like the structure of that proposition.</w:t>
      </w:r>
      <w:r>
        <w:rPr>
          <w:spacing w:val="40"/>
        </w:rPr>
        <w:t xml:space="preserve"> </w:t>
      </w:r>
      <w:r>
        <w:t xml:space="preserve">Whereas the proposition </w:t>
      </w:r>
      <w:r>
        <w:rPr>
          <w:i/>
        </w:rPr>
        <w:t xml:space="preserve">Tommy is smoking </w:t>
      </w:r>
      <w:r>
        <w:t>clearly has a unique, and relatively simple decomposition into Tommy (or some property/concept individuative thereof), the property of smoking, etc., the state of affairs in which Tommy’s smoking consists—the confluence of psychological, physiological, and, ultimately, sub-atomic disturbances—obviously doesn’t uniquely</w:t>
      </w:r>
      <w:r>
        <w:rPr>
          <w:spacing w:val="-2"/>
        </w:rPr>
        <w:t xml:space="preserve"> </w:t>
      </w:r>
      <w:r>
        <w:t>decompose</w:t>
      </w:r>
      <w:r>
        <w:rPr>
          <w:spacing w:val="-2"/>
        </w:rPr>
        <w:t xml:space="preserve"> </w:t>
      </w:r>
      <w:r>
        <w:t>into</w:t>
      </w:r>
      <w:r>
        <w:rPr>
          <w:spacing w:val="-2"/>
        </w:rPr>
        <w:t xml:space="preserve"> </w:t>
      </w:r>
      <w:r>
        <w:t>Tommy,</w:t>
      </w:r>
      <w:r>
        <w:rPr>
          <w:spacing w:val="-2"/>
        </w:rPr>
        <w:t xml:space="preserve"> </w:t>
      </w:r>
      <w:r>
        <w:t>the</w:t>
      </w:r>
      <w:r>
        <w:rPr>
          <w:spacing w:val="-2"/>
        </w:rPr>
        <w:t xml:space="preserve"> </w:t>
      </w:r>
      <w:r>
        <w:t>property</w:t>
      </w:r>
      <w:r>
        <w:rPr>
          <w:spacing w:val="-2"/>
        </w:rPr>
        <w:t xml:space="preserve"> </w:t>
      </w:r>
      <w:r>
        <w:t>of</w:t>
      </w:r>
      <w:r>
        <w:rPr>
          <w:spacing w:val="-2"/>
        </w:rPr>
        <w:t xml:space="preserve"> </w:t>
      </w:r>
      <w:r>
        <w:t>smoking.</w:t>
      </w:r>
      <w:r>
        <w:rPr>
          <w:spacing w:val="-2"/>
        </w:rPr>
        <w:t xml:space="preserve"> </w:t>
      </w:r>
      <w:r>
        <w:t>In</w:t>
      </w:r>
      <w:r>
        <w:rPr>
          <w:spacing w:val="-2"/>
        </w:rPr>
        <w:t xml:space="preserve"> </w:t>
      </w:r>
      <w:r>
        <w:t>fact,</w:t>
      </w:r>
      <w:r>
        <w:rPr>
          <w:spacing w:val="-2"/>
        </w:rPr>
        <w:t xml:space="preserve"> </w:t>
      </w:r>
      <w:r>
        <w:t>it</w:t>
      </w:r>
      <w:r>
        <w:rPr>
          <w:spacing w:val="-2"/>
        </w:rPr>
        <w:t xml:space="preserve"> </w:t>
      </w:r>
      <w:r>
        <w:t>seems</w:t>
      </w:r>
      <w:r>
        <w:rPr>
          <w:spacing w:val="-2"/>
        </w:rPr>
        <w:t xml:space="preserve"> </w:t>
      </w:r>
      <w:r>
        <w:t xml:space="preserve">a stretch to suppose that it even has </w:t>
      </w:r>
      <w:r>
        <w:rPr>
          <w:i/>
        </w:rPr>
        <w:t xml:space="preserve">one </w:t>
      </w:r>
      <w:r>
        <w:t>such decomposition.</w:t>
      </w:r>
    </w:p>
    <w:p w14:paraId="7E000B11" w14:textId="77777777" w:rsidR="009A58DB" w:rsidRDefault="00000000">
      <w:pPr>
        <w:pStyle w:val="Heading3"/>
        <w:numPr>
          <w:ilvl w:val="2"/>
          <w:numId w:val="203"/>
        </w:numPr>
        <w:tabs>
          <w:tab w:val="left" w:pos="1136"/>
        </w:tabs>
        <w:spacing w:before="111"/>
        <w:ind w:hanging="776"/>
        <w:jc w:val="both"/>
      </w:pPr>
      <w:r>
        <w:t>A</w:t>
      </w:r>
      <w:r>
        <w:rPr>
          <w:spacing w:val="3"/>
        </w:rPr>
        <w:t xml:space="preserve"> </w:t>
      </w:r>
      <w:r>
        <w:rPr>
          <w:spacing w:val="-2"/>
        </w:rPr>
        <w:t>corollary</w:t>
      </w:r>
    </w:p>
    <w:p w14:paraId="7E000B12" w14:textId="77777777" w:rsidR="009A58DB" w:rsidRDefault="00000000">
      <w:pPr>
        <w:pStyle w:val="BodyText"/>
        <w:spacing w:before="82"/>
      </w:pPr>
      <w:r>
        <w:t>Consider</w:t>
      </w:r>
      <w:r>
        <w:rPr>
          <w:spacing w:val="-4"/>
        </w:rPr>
        <w:t xml:space="preserve"> </w:t>
      </w:r>
      <w:r>
        <w:t>the</w:t>
      </w:r>
      <w:r>
        <w:rPr>
          <w:spacing w:val="-3"/>
        </w:rPr>
        <w:t xml:space="preserve"> </w:t>
      </w:r>
      <w:r>
        <w:rPr>
          <w:spacing w:val="-2"/>
        </w:rPr>
        <w:t>proposition:</w:t>
      </w:r>
    </w:p>
    <w:p w14:paraId="7E000B13" w14:textId="77777777" w:rsidR="009A58DB" w:rsidRDefault="009A58DB">
      <w:pPr>
        <w:pStyle w:val="BodyText"/>
        <w:spacing w:before="30"/>
        <w:ind w:left="0"/>
        <w:jc w:val="left"/>
      </w:pPr>
    </w:p>
    <w:p w14:paraId="7E000B14" w14:textId="77777777" w:rsidR="009A58DB" w:rsidRDefault="00000000">
      <w:pPr>
        <w:pStyle w:val="ListParagraph"/>
        <w:numPr>
          <w:ilvl w:val="0"/>
          <w:numId w:val="201"/>
        </w:numPr>
        <w:tabs>
          <w:tab w:val="left" w:pos="660"/>
        </w:tabs>
        <w:jc w:val="both"/>
        <w:rPr>
          <w:sz w:val="30"/>
        </w:rPr>
      </w:pPr>
      <w:r>
        <w:rPr>
          <w:sz w:val="30"/>
        </w:rPr>
        <w:t>Tommy</w:t>
      </w:r>
      <w:r>
        <w:rPr>
          <w:spacing w:val="-3"/>
          <w:sz w:val="30"/>
        </w:rPr>
        <w:t xml:space="preserve"> </w:t>
      </w:r>
      <w:r>
        <w:rPr>
          <w:sz w:val="30"/>
        </w:rPr>
        <w:t>is</w:t>
      </w:r>
      <w:r>
        <w:rPr>
          <w:spacing w:val="-2"/>
          <w:sz w:val="30"/>
        </w:rPr>
        <w:t xml:space="preserve"> snoring.</w:t>
      </w:r>
    </w:p>
    <w:p w14:paraId="7E000B15" w14:textId="77777777" w:rsidR="009A58DB" w:rsidRDefault="009A58DB">
      <w:pPr>
        <w:pStyle w:val="ListParagraph"/>
        <w:jc w:val="both"/>
        <w:rPr>
          <w:sz w:val="30"/>
        </w:rPr>
        <w:sectPr w:rsidR="009A58DB">
          <w:pgSz w:w="12240" w:h="15840"/>
          <w:pgMar w:top="1380" w:right="1080" w:bottom="280" w:left="1080" w:header="720" w:footer="720" w:gutter="0"/>
          <w:cols w:space="720"/>
        </w:sectPr>
      </w:pPr>
    </w:p>
    <w:p w14:paraId="7E000B16" w14:textId="77777777" w:rsidR="009A58DB" w:rsidRDefault="00000000">
      <w:pPr>
        <w:pStyle w:val="BodyText"/>
        <w:spacing w:before="65"/>
      </w:pPr>
      <w:r>
        <w:lastRenderedPageBreak/>
        <w:t>Let</w:t>
      </w:r>
      <w:r>
        <w:rPr>
          <w:spacing w:val="-5"/>
        </w:rPr>
        <w:t xml:space="preserve"> </w:t>
      </w:r>
      <w:r>
        <w:t>D</w:t>
      </w:r>
      <w:r>
        <w:rPr>
          <w:spacing w:val="-2"/>
        </w:rPr>
        <w:t xml:space="preserve"> </w:t>
      </w:r>
      <w:r>
        <w:t>be</w:t>
      </w:r>
      <w:r>
        <w:rPr>
          <w:spacing w:val="-3"/>
        </w:rPr>
        <w:t xml:space="preserve"> </w:t>
      </w:r>
      <w:r>
        <w:t>the</w:t>
      </w:r>
      <w:r>
        <w:rPr>
          <w:spacing w:val="-2"/>
        </w:rPr>
        <w:t xml:space="preserve"> </w:t>
      </w:r>
      <w:r>
        <w:t>property</w:t>
      </w:r>
      <w:r>
        <w:rPr>
          <w:spacing w:val="-1"/>
        </w:rPr>
        <w:t xml:space="preserve"> </w:t>
      </w:r>
      <w:r>
        <w:t>of</w:t>
      </w:r>
      <w:r>
        <w:rPr>
          <w:spacing w:val="-3"/>
        </w:rPr>
        <w:t xml:space="preserve"> </w:t>
      </w:r>
      <w:r>
        <w:t>being</w:t>
      </w:r>
      <w:r>
        <w:rPr>
          <w:spacing w:val="-1"/>
        </w:rPr>
        <w:t xml:space="preserve"> </w:t>
      </w:r>
      <w:r>
        <w:t>a</w:t>
      </w:r>
      <w:r>
        <w:rPr>
          <w:spacing w:val="-3"/>
        </w:rPr>
        <w:t xml:space="preserve"> </w:t>
      </w:r>
      <w:r>
        <w:t>snoring</w:t>
      </w:r>
      <w:r>
        <w:rPr>
          <w:spacing w:val="-1"/>
        </w:rPr>
        <w:t xml:space="preserve"> </w:t>
      </w:r>
      <w:r>
        <w:t>Tommy.</w:t>
      </w:r>
      <w:r>
        <w:rPr>
          <w:spacing w:val="-1"/>
        </w:rPr>
        <w:t xml:space="preserve"> </w:t>
      </w:r>
      <w:r>
        <w:t>It</w:t>
      </w:r>
      <w:r>
        <w:rPr>
          <w:spacing w:val="-3"/>
        </w:rPr>
        <w:t xml:space="preserve"> </w:t>
      </w:r>
      <w:r>
        <w:t>is</w:t>
      </w:r>
      <w:r>
        <w:rPr>
          <w:spacing w:val="-2"/>
        </w:rPr>
        <w:t xml:space="preserve"> </w:t>
      </w:r>
      <w:r>
        <w:t>obvious</w:t>
      </w:r>
      <w:r>
        <w:rPr>
          <w:spacing w:val="-2"/>
        </w:rPr>
        <w:t xml:space="preserve"> that:</w:t>
      </w:r>
    </w:p>
    <w:p w14:paraId="7E000B17" w14:textId="77777777" w:rsidR="009A58DB" w:rsidRDefault="009A58DB">
      <w:pPr>
        <w:pStyle w:val="BodyText"/>
        <w:spacing w:before="29"/>
        <w:ind w:left="0"/>
        <w:jc w:val="left"/>
      </w:pPr>
    </w:p>
    <w:p w14:paraId="7E000B18" w14:textId="77777777" w:rsidR="009A58DB" w:rsidRDefault="00000000">
      <w:pPr>
        <w:pStyle w:val="ListParagraph"/>
        <w:numPr>
          <w:ilvl w:val="0"/>
          <w:numId w:val="200"/>
        </w:numPr>
        <w:tabs>
          <w:tab w:val="left" w:pos="660"/>
        </w:tabs>
        <w:spacing w:before="1" w:line="501" w:lineRule="auto"/>
        <w:ind w:right="7085" w:firstLine="0"/>
        <w:rPr>
          <w:sz w:val="30"/>
        </w:rPr>
      </w:pPr>
      <w:r>
        <w:rPr>
          <w:sz w:val="30"/>
        </w:rPr>
        <w:t>Tommy</w:t>
      </w:r>
      <w:r>
        <w:rPr>
          <w:spacing w:val="-19"/>
          <w:sz w:val="30"/>
        </w:rPr>
        <w:t xml:space="preserve"> </w:t>
      </w:r>
      <w:r>
        <w:rPr>
          <w:sz w:val="30"/>
        </w:rPr>
        <w:t>is</w:t>
      </w:r>
      <w:r>
        <w:rPr>
          <w:spacing w:val="-19"/>
          <w:sz w:val="30"/>
        </w:rPr>
        <w:t xml:space="preserve"> </w:t>
      </w:r>
      <w:r>
        <w:rPr>
          <w:sz w:val="30"/>
        </w:rPr>
        <w:t xml:space="preserve">smoking </w:t>
      </w:r>
      <w:r>
        <w:rPr>
          <w:spacing w:val="-4"/>
          <w:sz w:val="30"/>
        </w:rPr>
        <w:t>and</w:t>
      </w:r>
    </w:p>
    <w:p w14:paraId="7E000B19" w14:textId="77777777" w:rsidR="009A58DB" w:rsidRDefault="00000000">
      <w:pPr>
        <w:pStyle w:val="ListParagraph"/>
        <w:numPr>
          <w:ilvl w:val="0"/>
          <w:numId w:val="200"/>
        </w:numPr>
        <w:tabs>
          <w:tab w:val="left" w:pos="660"/>
        </w:tabs>
        <w:spacing w:line="343" w:lineRule="exact"/>
        <w:ind w:left="660"/>
        <w:rPr>
          <w:sz w:val="30"/>
        </w:rPr>
      </w:pPr>
      <w:r>
        <w:rPr>
          <w:sz w:val="30"/>
        </w:rPr>
        <w:t>Tommy</w:t>
      </w:r>
      <w:r>
        <w:rPr>
          <w:spacing w:val="-5"/>
          <w:sz w:val="30"/>
        </w:rPr>
        <w:t xml:space="preserve"> </w:t>
      </w:r>
      <w:r>
        <w:rPr>
          <w:sz w:val="30"/>
        </w:rPr>
        <w:t>is</w:t>
      </w:r>
      <w:r>
        <w:rPr>
          <w:spacing w:val="-2"/>
          <w:sz w:val="30"/>
        </w:rPr>
        <w:t xml:space="preserve"> snoring</w:t>
      </w:r>
    </w:p>
    <w:p w14:paraId="7E000B1A" w14:textId="77777777" w:rsidR="009A58DB" w:rsidRDefault="009A58DB">
      <w:pPr>
        <w:pStyle w:val="BodyText"/>
        <w:spacing w:before="30"/>
        <w:ind w:left="0"/>
        <w:jc w:val="left"/>
      </w:pPr>
    </w:p>
    <w:p w14:paraId="7E000B1B" w14:textId="77777777" w:rsidR="009A58DB" w:rsidRDefault="00000000">
      <w:pPr>
        <w:pStyle w:val="BodyText"/>
        <w:spacing w:line="249" w:lineRule="auto"/>
        <w:ind w:right="359"/>
      </w:pPr>
      <w:r>
        <w:t xml:space="preserve">have much in common. They have in common the constituent </w:t>
      </w:r>
      <w:r>
        <w:rPr>
          <w:i/>
        </w:rPr>
        <w:t xml:space="preserve">Tommy </w:t>
      </w:r>
      <w:r>
        <w:t>(or, in any case, something corresponding thereto). They have in common the property of being a Tommy who is doing something (in other words, they have in common the property of being identical with a thing x such that x is identical with Tommy and such that, for some y, x is doing y); and they also have in common the property of being a thing that is doing something (in other words, they have in common the property of being a thing x such that, for some y, x is doing y).</w:t>
      </w:r>
    </w:p>
    <w:p w14:paraId="7E000B1C" w14:textId="77777777" w:rsidR="009A58DB" w:rsidRDefault="00000000">
      <w:pPr>
        <w:spacing w:before="10" w:line="249" w:lineRule="auto"/>
        <w:ind w:left="360" w:right="358" w:firstLine="360"/>
        <w:jc w:val="both"/>
        <w:rPr>
          <w:sz w:val="30"/>
        </w:rPr>
      </w:pPr>
      <w:r>
        <w:rPr>
          <w:sz w:val="30"/>
        </w:rPr>
        <w:t xml:space="preserve">In light of this, consider some instance of D. In other words, consider the kind of property-instance, the kind of mass-energy distribution, on which the truth of 2 supervenes. That instance will, of course, suffice for the existence of Tommy, as will an instance of C. But will those instances, in virtue of that fact, have some </w:t>
      </w:r>
      <w:r>
        <w:rPr>
          <w:i/>
          <w:sz w:val="30"/>
        </w:rPr>
        <w:t xml:space="preserve">discrete </w:t>
      </w:r>
      <w:r>
        <w:rPr>
          <w:sz w:val="30"/>
        </w:rPr>
        <w:t>part in common? Unlikely. In neither case do we have</w:t>
      </w:r>
      <w:r>
        <w:rPr>
          <w:spacing w:val="-5"/>
          <w:sz w:val="30"/>
        </w:rPr>
        <w:t xml:space="preserve"> </w:t>
      </w:r>
      <w:r>
        <w:rPr>
          <w:sz w:val="30"/>
        </w:rPr>
        <w:t>Tommy</w:t>
      </w:r>
      <w:r>
        <w:rPr>
          <w:spacing w:val="-4"/>
          <w:sz w:val="30"/>
        </w:rPr>
        <w:t xml:space="preserve"> </w:t>
      </w:r>
      <w:r>
        <w:rPr>
          <w:i/>
          <w:sz w:val="30"/>
        </w:rPr>
        <w:t>simpliciter.</w:t>
      </w:r>
      <w:r>
        <w:rPr>
          <w:i/>
          <w:spacing w:val="-4"/>
          <w:sz w:val="30"/>
        </w:rPr>
        <w:t xml:space="preserve"> </w:t>
      </w:r>
      <w:r>
        <w:rPr>
          <w:sz w:val="30"/>
        </w:rPr>
        <w:t>We</w:t>
      </w:r>
      <w:r>
        <w:rPr>
          <w:spacing w:val="-5"/>
          <w:sz w:val="30"/>
        </w:rPr>
        <w:t xml:space="preserve"> </w:t>
      </w:r>
      <w:r>
        <w:rPr>
          <w:sz w:val="30"/>
        </w:rPr>
        <w:t>have</w:t>
      </w:r>
      <w:r>
        <w:rPr>
          <w:spacing w:val="-5"/>
          <w:sz w:val="30"/>
        </w:rPr>
        <w:t xml:space="preserve"> </w:t>
      </w:r>
      <w:r>
        <w:rPr>
          <w:i/>
          <w:sz w:val="30"/>
        </w:rPr>
        <w:t>Tommy</w:t>
      </w:r>
      <w:r>
        <w:rPr>
          <w:i/>
          <w:spacing w:val="-2"/>
          <w:sz w:val="30"/>
        </w:rPr>
        <w:t xml:space="preserve"> </w:t>
      </w:r>
      <w:r>
        <w:rPr>
          <w:i/>
          <w:sz w:val="30"/>
        </w:rPr>
        <w:t>smoking</w:t>
      </w:r>
      <w:r>
        <w:rPr>
          <w:i/>
          <w:spacing w:val="-2"/>
          <w:sz w:val="30"/>
        </w:rPr>
        <w:t xml:space="preserve"> </w:t>
      </w:r>
      <w:r>
        <w:rPr>
          <w:i/>
          <w:sz w:val="30"/>
        </w:rPr>
        <w:t>(while</w:t>
      </w:r>
      <w:r>
        <w:rPr>
          <w:i/>
          <w:spacing w:val="-2"/>
          <w:sz w:val="30"/>
        </w:rPr>
        <w:t xml:space="preserve"> </w:t>
      </w:r>
      <w:r>
        <w:rPr>
          <w:i/>
          <w:sz w:val="30"/>
        </w:rPr>
        <w:t>sweating</w:t>
      </w:r>
      <w:r>
        <w:rPr>
          <w:i/>
          <w:spacing w:val="-2"/>
          <w:sz w:val="30"/>
        </w:rPr>
        <w:t xml:space="preserve"> </w:t>
      </w:r>
      <w:r>
        <w:rPr>
          <w:i/>
          <w:sz w:val="30"/>
        </w:rPr>
        <w:t xml:space="preserve">profusely and worrying about his algebra test and his nascent nicotine addition, all the while talking with his cousin Albert); </w:t>
      </w:r>
      <w:r>
        <w:rPr>
          <w:sz w:val="30"/>
        </w:rPr>
        <w:t xml:space="preserve">in the other we have </w:t>
      </w:r>
      <w:r>
        <w:rPr>
          <w:i/>
          <w:sz w:val="30"/>
        </w:rPr>
        <w:t>Tommy snoring (while</w:t>
      </w:r>
      <w:r>
        <w:rPr>
          <w:i/>
          <w:spacing w:val="-1"/>
          <w:sz w:val="30"/>
        </w:rPr>
        <w:t xml:space="preserve"> </w:t>
      </w:r>
      <w:r>
        <w:rPr>
          <w:i/>
          <w:sz w:val="30"/>
        </w:rPr>
        <w:t>having</w:t>
      </w:r>
      <w:r>
        <w:rPr>
          <w:i/>
          <w:spacing w:val="-1"/>
          <w:sz w:val="30"/>
        </w:rPr>
        <w:t xml:space="preserve"> </w:t>
      </w:r>
      <w:r>
        <w:rPr>
          <w:i/>
          <w:sz w:val="30"/>
        </w:rPr>
        <w:t>terrible</w:t>
      </w:r>
      <w:r>
        <w:rPr>
          <w:i/>
          <w:spacing w:val="-1"/>
          <w:sz w:val="30"/>
        </w:rPr>
        <w:t xml:space="preserve"> </w:t>
      </w:r>
      <w:r>
        <w:rPr>
          <w:i/>
          <w:sz w:val="30"/>
        </w:rPr>
        <w:t>dreams</w:t>
      </w:r>
      <w:r>
        <w:rPr>
          <w:i/>
          <w:spacing w:val="-1"/>
          <w:sz w:val="30"/>
        </w:rPr>
        <w:t xml:space="preserve"> </w:t>
      </w:r>
      <w:r>
        <w:rPr>
          <w:i/>
          <w:sz w:val="30"/>
        </w:rPr>
        <w:t>about</w:t>
      </w:r>
      <w:r>
        <w:rPr>
          <w:i/>
          <w:spacing w:val="-1"/>
          <w:sz w:val="30"/>
        </w:rPr>
        <w:t xml:space="preserve"> </w:t>
      </w:r>
      <w:r>
        <w:rPr>
          <w:i/>
          <w:sz w:val="30"/>
        </w:rPr>
        <w:t>his</w:t>
      </w:r>
      <w:r>
        <w:rPr>
          <w:i/>
          <w:spacing w:val="-1"/>
          <w:sz w:val="30"/>
        </w:rPr>
        <w:t xml:space="preserve"> </w:t>
      </w:r>
      <w:r>
        <w:rPr>
          <w:i/>
          <w:sz w:val="30"/>
        </w:rPr>
        <w:t>future</w:t>
      </w:r>
      <w:r>
        <w:rPr>
          <w:i/>
          <w:spacing w:val="-1"/>
          <w:sz w:val="30"/>
        </w:rPr>
        <w:t xml:space="preserve"> </w:t>
      </w:r>
      <w:r>
        <w:rPr>
          <w:i/>
          <w:sz w:val="30"/>
        </w:rPr>
        <w:t>as</w:t>
      </w:r>
      <w:r>
        <w:rPr>
          <w:i/>
          <w:spacing w:val="-1"/>
          <w:sz w:val="30"/>
        </w:rPr>
        <w:t xml:space="preserve"> </w:t>
      </w:r>
      <w:r>
        <w:rPr>
          <w:i/>
          <w:sz w:val="30"/>
        </w:rPr>
        <w:t>a</w:t>
      </w:r>
      <w:r>
        <w:rPr>
          <w:i/>
          <w:spacing w:val="-1"/>
          <w:sz w:val="30"/>
        </w:rPr>
        <w:t xml:space="preserve"> </w:t>
      </w:r>
      <w:r>
        <w:rPr>
          <w:i/>
          <w:sz w:val="30"/>
        </w:rPr>
        <w:t>second</w:t>
      </w:r>
      <w:r>
        <w:rPr>
          <w:i/>
          <w:spacing w:val="-1"/>
          <w:sz w:val="30"/>
        </w:rPr>
        <w:t xml:space="preserve"> </w:t>
      </w:r>
      <w:r>
        <w:rPr>
          <w:i/>
          <w:sz w:val="30"/>
        </w:rPr>
        <w:t>string</w:t>
      </w:r>
      <w:r>
        <w:rPr>
          <w:i/>
          <w:spacing w:val="-1"/>
          <w:sz w:val="30"/>
        </w:rPr>
        <w:t xml:space="preserve"> </w:t>
      </w:r>
      <w:r>
        <w:rPr>
          <w:i/>
          <w:sz w:val="30"/>
        </w:rPr>
        <w:t>pitcher</w:t>
      </w:r>
      <w:r>
        <w:rPr>
          <w:i/>
          <w:spacing w:val="-1"/>
          <w:sz w:val="30"/>
        </w:rPr>
        <w:t xml:space="preserve"> </w:t>
      </w:r>
      <w:r>
        <w:rPr>
          <w:i/>
          <w:sz w:val="30"/>
        </w:rPr>
        <w:t>on</w:t>
      </w:r>
      <w:r>
        <w:rPr>
          <w:i/>
          <w:spacing w:val="-1"/>
          <w:sz w:val="30"/>
        </w:rPr>
        <w:t xml:space="preserve"> </w:t>
      </w:r>
      <w:r>
        <w:rPr>
          <w:i/>
          <w:sz w:val="30"/>
        </w:rPr>
        <w:t>a mediocre</w:t>
      </w:r>
      <w:r>
        <w:rPr>
          <w:i/>
          <w:spacing w:val="-4"/>
          <w:sz w:val="30"/>
        </w:rPr>
        <w:t xml:space="preserve"> </w:t>
      </w:r>
      <w:r>
        <w:rPr>
          <w:i/>
          <w:sz w:val="30"/>
        </w:rPr>
        <w:t>team).</w:t>
      </w:r>
      <w:r>
        <w:rPr>
          <w:i/>
          <w:spacing w:val="-3"/>
          <w:sz w:val="30"/>
        </w:rPr>
        <w:t xml:space="preserve"> </w:t>
      </w:r>
      <w:r>
        <w:rPr>
          <w:sz w:val="30"/>
        </w:rPr>
        <w:t xml:space="preserve">There is no such thing, in either case, as Tommy </w:t>
      </w:r>
      <w:r>
        <w:rPr>
          <w:i/>
          <w:sz w:val="30"/>
        </w:rPr>
        <w:t xml:space="preserve">simpliciter. </w:t>
      </w:r>
      <w:r>
        <w:rPr>
          <w:sz w:val="30"/>
        </w:rPr>
        <w:t>There is only Tommy doing this or that, having this or that property. A corollary is that two situations that comprise Tommy do not, in virtue of that fact, have in common some discrete, isolable entity. So while it is true that C and D both comprise Tommy, the one does not, in comprising him, have a discrete constituent in common with the other.</w:t>
      </w:r>
    </w:p>
    <w:p w14:paraId="7E000B1D" w14:textId="77777777" w:rsidR="009A58DB" w:rsidRDefault="00000000">
      <w:pPr>
        <w:pStyle w:val="BodyText"/>
        <w:spacing w:before="18" w:line="249" w:lineRule="auto"/>
        <w:ind w:right="363" w:firstLine="360"/>
      </w:pPr>
      <w:r>
        <w:t>But now we must consider what we’ve said about the composition of 1</w:t>
      </w:r>
      <w:r>
        <w:rPr>
          <w:spacing w:val="40"/>
        </w:rPr>
        <w:t xml:space="preserve"> </w:t>
      </w:r>
      <w:r>
        <w:t>and also what follows, by obvious extensions of what we’ve said about 1, about 2. 1 is a set S whose members are:</w:t>
      </w:r>
    </w:p>
    <w:p w14:paraId="7E000B1E" w14:textId="77777777" w:rsidR="009A58DB" w:rsidRDefault="009A58DB">
      <w:pPr>
        <w:pStyle w:val="BodyText"/>
        <w:spacing w:before="19"/>
        <w:ind w:left="0"/>
        <w:jc w:val="left"/>
      </w:pPr>
    </w:p>
    <w:p w14:paraId="7E000B1F" w14:textId="77777777" w:rsidR="009A58DB" w:rsidRDefault="00000000">
      <w:pPr>
        <w:pStyle w:val="BodyText"/>
      </w:pPr>
      <w:r>
        <w:t>a:</w:t>
      </w:r>
      <w:r>
        <w:rPr>
          <w:spacing w:val="35"/>
        </w:rPr>
        <w:t xml:space="preserve">  </w:t>
      </w:r>
      <w:r>
        <w:t>the</w:t>
      </w:r>
      <w:r>
        <w:rPr>
          <w:spacing w:val="-2"/>
        </w:rPr>
        <w:t xml:space="preserve"> </w:t>
      </w:r>
      <w:r>
        <w:t>property</w:t>
      </w:r>
      <w:r>
        <w:rPr>
          <w:spacing w:val="-1"/>
        </w:rPr>
        <w:t xml:space="preserve"> </w:t>
      </w:r>
      <w:r>
        <w:t>of</w:t>
      </w:r>
      <w:r>
        <w:rPr>
          <w:spacing w:val="-2"/>
        </w:rPr>
        <w:t xml:space="preserve"> </w:t>
      </w:r>
      <w:r>
        <w:t>being</w:t>
      </w:r>
      <w:r>
        <w:rPr>
          <w:spacing w:val="-1"/>
        </w:rPr>
        <w:t xml:space="preserve"> </w:t>
      </w:r>
      <w:r>
        <w:rPr>
          <w:spacing w:val="-4"/>
        </w:rPr>
        <w:t>Tommy</w:t>
      </w:r>
    </w:p>
    <w:p w14:paraId="7E000B20" w14:textId="77777777" w:rsidR="009A58DB" w:rsidRDefault="009A58DB">
      <w:pPr>
        <w:pStyle w:val="BodyText"/>
        <w:sectPr w:rsidR="009A58DB">
          <w:pgSz w:w="12240" w:h="15840"/>
          <w:pgMar w:top="1380" w:right="1080" w:bottom="280" w:left="1080" w:header="720" w:footer="720" w:gutter="0"/>
          <w:cols w:space="720"/>
        </w:sectPr>
      </w:pPr>
    </w:p>
    <w:p w14:paraId="7E000B21" w14:textId="77777777" w:rsidR="009A58DB" w:rsidRDefault="00000000">
      <w:pPr>
        <w:pStyle w:val="BodyText"/>
        <w:tabs>
          <w:tab w:val="left" w:pos="818"/>
        </w:tabs>
        <w:spacing w:before="65"/>
        <w:jc w:val="left"/>
      </w:pPr>
      <w:r>
        <w:rPr>
          <w:spacing w:val="-5"/>
        </w:rPr>
        <w:lastRenderedPageBreak/>
        <w:t>b:</w:t>
      </w:r>
      <w:r>
        <w:tab/>
        <w:t>the</w:t>
      </w:r>
      <w:r>
        <w:rPr>
          <w:spacing w:val="-3"/>
        </w:rPr>
        <w:t xml:space="preserve"> </w:t>
      </w:r>
      <w:r>
        <w:t>property</w:t>
      </w:r>
      <w:r>
        <w:rPr>
          <w:spacing w:val="-2"/>
        </w:rPr>
        <w:t xml:space="preserve"> </w:t>
      </w:r>
      <w:r>
        <w:t>of</w:t>
      </w:r>
      <w:r>
        <w:rPr>
          <w:spacing w:val="-2"/>
        </w:rPr>
        <w:t xml:space="preserve"> smoking</w:t>
      </w:r>
    </w:p>
    <w:p w14:paraId="7E000B22" w14:textId="77777777" w:rsidR="009A58DB" w:rsidRDefault="00000000">
      <w:pPr>
        <w:pStyle w:val="BodyText"/>
        <w:tabs>
          <w:tab w:val="left" w:pos="801"/>
        </w:tabs>
        <w:spacing w:before="15"/>
        <w:jc w:val="left"/>
      </w:pPr>
      <w:r>
        <w:rPr>
          <w:spacing w:val="-5"/>
        </w:rPr>
        <w:t>c:</w:t>
      </w:r>
      <w:r>
        <w:tab/>
        <w:t>the</w:t>
      </w:r>
      <w:r>
        <w:rPr>
          <w:spacing w:val="-5"/>
        </w:rPr>
        <w:t xml:space="preserve"> </w:t>
      </w:r>
      <w:r>
        <w:t>property</w:t>
      </w:r>
      <w:r>
        <w:rPr>
          <w:spacing w:val="-2"/>
        </w:rPr>
        <w:t xml:space="preserve"> </w:t>
      </w:r>
      <w:r>
        <w:t>of</w:t>
      </w:r>
      <w:r>
        <w:rPr>
          <w:spacing w:val="-2"/>
        </w:rPr>
        <w:t xml:space="preserve"> </w:t>
      </w:r>
      <w:r>
        <w:t>being</w:t>
      </w:r>
      <w:r>
        <w:rPr>
          <w:spacing w:val="-2"/>
        </w:rPr>
        <w:t xml:space="preserve"> </w:t>
      </w:r>
      <w:r>
        <w:t>a</w:t>
      </w:r>
      <w:r>
        <w:rPr>
          <w:spacing w:val="-3"/>
        </w:rPr>
        <w:t xml:space="preserve"> </w:t>
      </w:r>
      <w:r>
        <w:t>smoking</w:t>
      </w:r>
      <w:r>
        <w:rPr>
          <w:spacing w:val="-1"/>
        </w:rPr>
        <w:t xml:space="preserve"> </w:t>
      </w:r>
      <w:r>
        <w:rPr>
          <w:spacing w:val="-2"/>
        </w:rPr>
        <w:t>Tommy</w:t>
      </w:r>
    </w:p>
    <w:p w14:paraId="7E000B23" w14:textId="77777777" w:rsidR="009A58DB" w:rsidRDefault="00000000">
      <w:pPr>
        <w:pStyle w:val="BodyText"/>
        <w:tabs>
          <w:tab w:val="left" w:pos="801"/>
        </w:tabs>
        <w:spacing w:line="720" w:lineRule="atLeast"/>
        <w:ind w:right="2480"/>
        <w:jc w:val="left"/>
      </w:pPr>
      <w:r>
        <w:t>And,</w:t>
      </w:r>
      <w:r>
        <w:rPr>
          <w:spacing w:val="-4"/>
        </w:rPr>
        <w:t xml:space="preserve"> </w:t>
      </w:r>
      <w:r>
        <w:t>by</w:t>
      </w:r>
      <w:r>
        <w:rPr>
          <w:spacing w:val="-4"/>
        </w:rPr>
        <w:t xml:space="preserve"> </w:t>
      </w:r>
      <w:r>
        <w:t>similar</w:t>
      </w:r>
      <w:r>
        <w:rPr>
          <w:spacing w:val="-5"/>
        </w:rPr>
        <w:t xml:space="preserve"> </w:t>
      </w:r>
      <w:r>
        <w:t>reasoning,</w:t>
      </w:r>
      <w:r>
        <w:rPr>
          <w:spacing w:val="-4"/>
        </w:rPr>
        <w:t xml:space="preserve"> </w:t>
      </w:r>
      <w:r>
        <w:t>2</w:t>
      </w:r>
      <w:r>
        <w:rPr>
          <w:spacing w:val="-4"/>
        </w:rPr>
        <w:t xml:space="preserve"> </w:t>
      </w:r>
      <w:r>
        <w:t>is</w:t>
      </w:r>
      <w:r>
        <w:rPr>
          <w:spacing w:val="-5"/>
        </w:rPr>
        <w:t xml:space="preserve"> </w:t>
      </w:r>
      <w:r>
        <w:t>a</w:t>
      </w:r>
      <w:r>
        <w:rPr>
          <w:spacing w:val="-5"/>
        </w:rPr>
        <w:t xml:space="preserve"> </w:t>
      </w:r>
      <w:r>
        <w:t>set</w:t>
      </w:r>
      <w:r>
        <w:rPr>
          <w:spacing w:val="-5"/>
        </w:rPr>
        <w:t xml:space="preserve"> </w:t>
      </w:r>
      <w:r>
        <w:t>S*</w:t>
      </w:r>
      <w:r>
        <w:rPr>
          <w:spacing w:val="-4"/>
        </w:rPr>
        <w:t xml:space="preserve"> </w:t>
      </w:r>
      <w:r>
        <w:t>whose</w:t>
      </w:r>
      <w:r>
        <w:rPr>
          <w:spacing w:val="-5"/>
        </w:rPr>
        <w:t xml:space="preserve"> </w:t>
      </w:r>
      <w:r>
        <w:t>members</w:t>
      </w:r>
      <w:r>
        <w:rPr>
          <w:spacing w:val="-5"/>
        </w:rPr>
        <w:t xml:space="preserve"> </w:t>
      </w:r>
      <w:r>
        <w:t xml:space="preserve">are: </w:t>
      </w:r>
      <w:r>
        <w:rPr>
          <w:spacing w:val="-6"/>
        </w:rPr>
        <w:t>a:</w:t>
      </w:r>
      <w:r>
        <w:tab/>
        <w:t>the property of being Tommy</w:t>
      </w:r>
    </w:p>
    <w:p w14:paraId="7E000B24" w14:textId="77777777" w:rsidR="009A58DB" w:rsidRDefault="00000000">
      <w:pPr>
        <w:pStyle w:val="BodyText"/>
        <w:spacing w:before="15"/>
        <w:jc w:val="left"/>
      </w:pPr>
      <w:r>
        <w:t>b*:</w:t>
      </w:r>
      <w:r>
        <w:rPr>
          <w:spacing w:val="-3"/>
        </w:rPr>
        <w:t xml:space="preserve"> </w:t>
      </w:r>
      <w:r>
        <w:t>the</w:t>
      </w:r>
      <w:r>
        <w:rPr>
          <w:spacing w:val="-2"/>
        </w:rPr>
        <w:t xml:space="preserve"> </w:t>
      </w:r>
      <w:r>
        <w:t>property</w:t>
      </w:r>
      <w:r>
        <w:rPr>
          <w:spacing w:val="-1"/>
        </w:rPr>
        <w:t xml:space="preserve"> </w:t>
      </w:r>
      <w:r>
        <w:t>of</w:t>
      </w:r>
      <w:r>
        <w:rPr>
          <w:spacing w:val="-2"/>
        </w:rPr>
        <w:t xml:space="preserve"> snoring</w:t>
      </w:r>
    </w:p>
    <w:p w14:paraId="7E000B25" w14:textId="77777777" w:rsidR="009A58DB" w:rsidRDefault="00000000">
      <w:pPr>
        <w:pStyle w:val="BodyText"/>
        <w:tabs>
          <w:tab w:val="left" w:pos="801"/>
        </w:tabs>
        <w:spacing w:before="15"/>
        <w:jc w:val="left"/>
      </w:pPr>
      <w:r>
        <w:rPr>
          <w:spacing w:val="-5"/>
        </w:rPr>
        <w:t>c:</w:t>
      </w:r>
      <w:r>
        <w:tab/>
        <w:t>the</w:t>
      </w:r>
      <w:r>
        <w:rPr>
          <w:spacing w:val="-5"/>
        </w:rPr>
        <w:t xml:space="preserve"> </w:t>
      </w:r>
      <w:r>
        <w:t>property</w:t>
      </w:r>
      <w:r>
        <w:rPr>
          <w:spacing w:val="-2"/>
        </w:rPr>
        <w:t xml:space="preserve"> </w:t>
      </w:r>
      <w:r>
        <w:t>of</w:t>
      </w:r>
      <w:r>
        <w:rPr>
          <w:spacing w:val="-2"/>
        </w:rPr>
        <w:t xml:space="preserve"> </w:t>
      </w:r>
      <w:r>
        <w:t>being</w:t>
      </w:r>
      <w:r>
        <w:rPr>
          <w:spacing w:val="-2"/>
        </w:rPr>
        <w:t xml:space="preserve"> </w:t>
      </w:r>
      <w:r>
        <w:t>a</w:t>
      </w:r>
      <w:r>
        <w:rPr>
          <w:spacing w:val="-3"/>
        </w:rPr>
        <w:t xml:space="preserve"> </w:t>
      </w:r>
      <w:r>
        <w:t>snoring</w:t>
      </w:r>
      <w:r>
        <w:rPr>
          <w:spacing w:val="-1"/>
        </w:rPr>
        <w:t xml:space="preserve"> </w:t>
      </w:r>
      <w:r>
        <w:rPr>
          <w:spacing w:val="-2"/>
        </w:rPr>
        <w:t>Tommy</w:t>
      </w:r>
    </w:p>
    <w:p w14:paraId="7E000B26" w14:textId="77777777" w:rsidR="009A58DB" w:rsidRDefault="009A58DB">
      <w:pPr>
        <w:pStyle w:val="BodyText"/>
        <w:spacing w:before="30"/>
        <w:ind w:left="0"/>
        <w:jc w:val="left"/>
      </w:pPr>
    </w:p>
    <w:p w14:paraId="7E000B27" w14:textId="77777777" w:rsidR="009A58DB" w:rsidRDefault="00000000">
      <w:pPr>
        <w:pStyle w:val="BodyText"/>
        <w:spacing w:line="249" w:lineRule="auto"/>
        <w:ind w:right="365"/>
        <w:jc w:val="left"/>
      </w:pPr>
      <w:r>
        <w:t xml:space="preserve">S and S* </w:t>
      </w:r>
      <w:r>
        <w:rPr>
          <w:i/>
        </w:rPr>
        <w:t xml:space="preserve">do </w:t>
      </w:r>
      <w:r>
        <w:t>have well-defined, discrete parts in common. Indeed, they have in common precisely what is had in common by:</w:t>
      </w:r>
    </w:p>
    <w:p w14:paraId="7E000B28" w14:textId="77777777" w:rsidR="009A58DB" w:rsidRDefault="009A58DB">
      <w:pPr>
        <w:pStyle w:val="BodyText"/>
        <w:spacing w:before="17"/>
        <w:ind w:left="0"/>
        <w:jc w:val="left"/>
      </w:pPr>
    </w:p>
    <w:p w14:paraId="7E000B29" w14:textId="77777777" w:rsidR="009A58DB" w:rsidRDefault="00000000">
      <w:pPr>
        <w:pStyle w:val="ListParagraph"/>
        <w:numPr>
          <w:ilvl w:val="0"/>
          <w:numId w:val="199"/>
        </w:numPr>
        <w:tabs>
          <w:tab w:val="left" w:pos="660"/>
        </w:tabs>
        <w:spacing w:line="501" w:lineRule="auto"/>
        <w:ind w:right="7085" w:firstLine="0"/>
        <w:rPr>
          <w:sz w:val="30"/>
        </w:rPr>
      </w:pPr>
      <w:r>
        <w:rPr>
          <w:sz w:val="30"/>
        </w:rPr>
        <w:t>Tommy</w:t>
      </w:r>
      <w:r>
        <w:rPr>
          <w:spacing w:val="-19"/>
          <w:sz w:val="30"/>
        </w:rPr>
        <w:t xml:space="preserve"> </w:t>
      </w:r>
      <w:r>
        <w:rPr>
          <w:sz w:val="30"/>
        </w:rPr>
        <w:t>is</w:t>
      </w:r>
      <w:r>
        <w:rPr>
          <w:spacing w:val="-19"/>
          <w:sz w:val="30"/>
        </w:rPr>
        <w:t xml:space="preserve"> </w:t>
      </w:r>
      <w:r>
        <w:rPr>
          <w:sz w:val="30"/>
        </w:rPr>
        <w:t xml:space="preserve">smoking </w:t>
      </w:r>
      <w:r>
        <w:rPr>
          <w:spacing w:val="-4"/>
          <w:sz w:val="30"/>
        </w:rPr>
        <w:t>and</w:t>
      </w:r>
    </w:p>
    <w:p w14:paraId="7E000B2A" w14:textId="77777777" w:rsidR="009A58DB" w:rsidRDefault="00000000">
      <w:pPr>
        <w:pStyle w:val="ListParagraph"/>
        <w:numPr>
          <w:ilvl w:val="0"/>
          <w:numId w:val="199"/>
        </w:numPr>
        <w:tabs>
          <w:tab w:val="left" w:pos="660"/>
        </w:tabs>
        <w:spacing w:line="343" w:lineRule="exact"/>
        <w:ind w:left="660"/>
        <w:rPr>
          <w:sz w:val="30"/>
        </w:rPr>
      </w:pPr>
      <w:r>
        <w:rPr>
          <w:sz w:val="30"/>
        </w:rPr>
        <w:t>Tommy</w:t>
      </w:r>
      <w:r>
        <w:rPr>
          <w:spacing w:val="-3"/>
          <w:sz w:val="30"/>
        </w:rPr>
        <w:t xml:space="preserve"> </w:t>
      </w:r>
      <w:r>
        <w:rPr>
          <w:sz w:val="30"/>
        </w:rPr>
        <w:t>is</w:t>
      </w:r>
      <w:r>
        <w:rPr>
          <w:spacing w:val="-2"/>
          <w:sz w:val="30"/>
        </w:rPr>
        <w:t xml:space="preserve"> snoring.</w:t>
      </w:r>
    </w:p>
    <w:p w14:paraId="7E000B2B" w14:textId="77777777" w:rsidR="009A58DB" w:rsidRDefault="009A58DB">
      <w:pPr>
        <w:pStyle w:val="BodyText"/>
        <w:spacing w:before="30"/>
        <w:ind w:left="0"/>
        <w:jc w:val="left"/>
      </w:pPr>
    </w:p>
    <w:p w14:paraId="7E000B2C" w14:textId="77777777" w:rsidR="009A58DB" w:rsidRDefault="00000000">
      <w:pPr>
        <w:pStyle w:val="BodyText"/>
        <w:spacing w:line="249" w:lineRule="auto"/>
        <w:ind w:firstLine="360"/>
        <w:jc w:val="left"/>
      </w:pPr>
      <w:r>
        <w:t>If</w:t>
      </w:r>
      <w:r>
        <w:rPr>
          <w:spacing w:val="31"/>
        </w:rPr>
        <w:t xml:space="preserve"> </w:t>
      </w:r>
      <w:r>
        <w:t>we</w:t>
      </w:r>
      <w:r>
        <w:rPr>
          <w:spacing w:val="31"/>
        </w:rPr>
        <w:t xml:space="preserve"> </w:t>
      </w:r>
      <w:r>
        <w:t>were</w:t>
      </w:r>
      <w:r>
        <w:rPr>
          <w:spacing w:val="31"/>
        </w:rPr>
        <w:t xml:space="preserve"> </w:t>
      </w:r>
      <w:r>
        <w:t>to</w:t>
      </w:r>
      <w:r>
        <w:rPr>
          <w:spacing w:val="31"/>
        </w:rPr>
        <w:t xml:space="preserve"> </w:t>
      </w:r>
      <w:r>
        <w:t>be</w:t>
      </w:r>
      <w:r>
        <w:rPr>
          <w:spacing w:val="31"/>
        </w:rPr>
        <w:t xml:space="preserve"> </w:t>
      </w:r>
      <w:r>
        <w:t>really</w:t>
      </w:r>
      <w:r>
        <w:rPr>
          <w:spacing w:val="31"/>
        </w:rPr>
        <w:t xml:space="preserve"> </w:t>
      </w:r>
      <w:r>
        <w:t>precise</w:t>
      </w:r>
      <w:r>
        <w:rPr>
          <w:spacing w:val="31"/>
        </w:rPr>
        <w:t xml:space="preserve"> </w:t>
      </w:r>
      <w:r>
        <w:t>about</w:t>
      </w:r>
      <w:r>
        <w:rPr>
          <w:spacing w:val="31"/>
        </w:rPr>
        <w:t xml:space="preserve"> </w:t>
      </w:r>
      <w:r>
        <w:t>it,</w:t>
      </w:r>
      <w:r>
        <w:rPr>
          <w:spacing w:val="31"/>
        </w:rPr>
        <w:t xml:space="preserve"> </w:t>
      </w:r>
      <w:r>
        <w:t>we’d</w:t>
      </w:r>
      <w:r>
        <w:rPr>
          <w:spacing w:val="31"/>
        </w:rPr>
        <w:t xml:space="preserve"> </w:t>
      </w:r>
      <w:r>
        <w:t>say</w:t>
      </w:r>
      <w:r>
        <w:rPr>
          <w:spacing w:val="31"/>
        </w:rPr>
        <w:t xml:space="preserve"> </w:t>
      </w:r>
      <w:r>
        <w:t>that</w:t>
      </w:r>
      <w:r>
        <w:rPr>
          <w:spacing w:val="31"/>
        </w:rPr>
        <w:t xml:space="preserve"> </w:t>
      </w:r>
      <w:r>
        <w:t>each</w:t>
      </w:r>
      <w:r>
        <w:rPr>
          <w:spacing w:val="31"/>
        </w:rPr>
        <w:t xml:space="preserve"> </w:t>
      </w:r>
      <w:r>
        <w:t>of</w:t>
      </w:r>
      <w:r>
        <w:rPr>
          <w:spacing w:val="31"/>
        </w:rPr>
        <w:t xml:space="preserve"> </w:t>
      </w:r>
      <w:r>
        <w:t>S</w:t>
      </w:r>
      <w:r>
        <w:rPr>
          <w:spacing w:val="31"/>
        </w:rPr>
        <w:t xml:space="preserve"> </w:t>
      </w:r>
      <w:r>
        <w:t>and</w:t>
      </w:r>
      <w:r>
        <w:rPr>
          <w:spacing w:val="31"/>
        </w:rPr>
        <w:t xml:space="preserve"> </w:t>
      </w:r>
      <w:r>
        <w:t>S* comprised, not only a–c, but also</w:t>
      </w:r>
    </w:p>
    <w:p w14:paraId="7E000B2D" w14:textId="77777777" w:rsidR="009A58DB" w:rsidRDefault="009A58DB">
      <w:pPr>
        <w:pStyle w:val="BodyText"/>
        <w:spacing w:before="18"/>
        <w:ind w:left="0"/>
        <w:jc w:val="left"/>
      </w:pPr>
    </w:p>
    <w:p w14:paraId="7E000B2E" w14:textId="77777777" w:rsidR="009A58DB" w:rsidRDefault="00000000">
      <w:pPr>
        <w:pStyle w:val="ListParagraph"/>
        <w:numPr>
          <w:ilvl w:val="0"/>
          <w:numId w:val="198"/>
        </w:numPr>
        <w:tabs>
          <w:tab w:val="left" w:pos="720"/>
          <w:tab w:val="left" w:pos="922"/>
        </w:tabs>
        <w:spacing w:line="249" w:lineRule="auto"/>
        <w:ind w:right="364" w:hanging="360"/>
        <w:jc w:val="both"/>
        <w:rPr>
          <w:sz w:val="30"/>
        </w:rPr>
      </w:pPr>
      <w:r>
        <w:rPr>
          <w:sz w:val="30"/>
        </w:rPr>
        <w:tab/>
        <w:t>the property of being a Tommy that does something (i.e., the property being a Tommy that does something or, in any case, has some property),</w:t>
      </w:r>
    </w:p>
    <w:p w14:paraId="7E000B2F" w14:textId="77777777" w:rsidR="009A58DB" w:rsidRDefault="009A58DB">
      <w:pPr>
        <w:pStyle w:val="BodyText"/>
        <w:spacing w:before="17"/>
        <w:ind w:left="0"/>
        <w:jc w:val="left"/>
      </w:pPr>
    </w:p>
    <w:p w14:paraId="7E000B30" w14:textId="77777777" w:rsidR="009A58DB" w:rsidRDefault="00000000">
      <w:pPr>
        <w:pStyle w:val="BodyText"/>
        <w:jc w:val="left"/>
      </w:pPr>
      <w:r>
        <w:t>and</w:t>
      </w:r>
      <w:r>
        <w:rPr>
          <w:spacing w:val="-3"/>
        </w:rPr>
        <w:t xml:space="preserve"> </w:t>
      </w:r>
      <w:r>
        <w:rPr>
          <w:spacing w:val="-4"/>
        </w:rPr>
        <w:t>also</w:t>
      </w:r>
    </w:p>
    <w:p w14:paraId="7E000B31" w14:textId="77777777" w:rsidR="009A58DB" w:rsidRDefault="009A58DB">
      <w:pPr>
        <w:pStyle w:val="BodyText"/>
        <w:spacing w:before="30"/>
        <w:ind w:left="0"/>
        <w:jc w:val="left"/>
      </w:pPr>
    </w:p>
    <w:p w14:paraId="7E000B32" w14:textId="77777777" w:rsidR="009A58DB" w:rsidRDefault="00000000">
      <w:pPr>
        <w:pStyle w:val="ListParagraph"/>
        <w:numPr>
          <w:ilvl w:val="0"/>
          <w:numId w:val="198"/>
        </w:numPr>
        <w:tabs>
          <w:tab w:val="left" w:pos="720"/>
          <w:tab w:val="left" w:pos="843"/>
        </w:tabs>
        <w:spacing w:line="249" w:lineRule="auto"/>
        <w:ind w:right="360" w:hanging="360"/>
        <w:jc w:val="both"/>
        <w:rPr>
          <w:sz w:val="30"/>
        </w:rPr>
      </w:pPr>
      <w:r>
        <w:rPr>
          <w:sz w:val="30"/>
        </w:rPr>
        <w:tab/>
        <w:t>the property of being a something that does something (i.e., the property being a something that does something or, in any case, has some</w:t>
      </w:r>
      <w:r>
        <w:rPr>
          <w:spacing w:val="80"/>
          <w:sz w:val="30"/>
        </w:rPr>
        <w:t xml:space="preserve"> </w:t>
      </w:r>
      <w:r>
        <w:rPr>
          <w:spacing w:val="-2"/>
          <w:sz w:val="30"/>
        </w:rPr>
        <w:t>property).</w:t>
      </w:r>
    </w:p>
    <w:p w14:paraId="7E000B33" w14:textId="77777777" w:rsidR="009A58DB" w:rsidRDefault="009A58DB">
      <w:pPr>
        <w:pStyle w:val="BodyText"/>
        <w:spacing w:before="19"/>
        <w:ind w:left="0"/>
        <w:jc w:val="left"/>
      </w:pPr>
    </w:p>
    <w:p w14:paraId="7E000B34" w14:textId="77777777" w:rsidR="009A58DB" w:rsidRDefault="00000000">
      <w:pPr>
        <w:pStyle w:val="BodyText"/>
        <w:ind w:left="720"/>
        <w:jc w:val="left"/>
      </w:pPr>
      <w:r>
        <w:t>Let’s</w:t>
      </w:r>
      <w:r>
        <w:rPr>
          <w:spacing w:val="-4"/>
        </w:rPr>
        <w:t xml:space="preserve"> </w:t>
      </w:r>
      <w:r>
        <w:t>look</w:t>
      </w:r>
      <w:r>
        <w:rPr>
          <w:spacing w:val="-2"/>
        </w:rPr>
        <w:t xml:space="preserve"> </w:t>
      </w:r>
      <w:r>
        <w:t>at</w:t>
      </w:r>
      <w:r>
        <w:rPr>
          <w:spacing w:val="-4"/>
        </w:rPr>
        <w:t xml:space="preserve"> </w:t>
      </w:r>
      <w:r>
        <w:t>1</w:t>
      </w:r>
      <w:r>
        <w:rPr>
          <w:spacing w:val="-2"/>
        </w:rPr>
        <w:t xml:space="preserve"> </w:t>
      </w:r>
      <w:r>
        <w:t>for</w:t>
      </w:r>
      <w:r>
        <w:rPr>
          <w:spacing w:val="-4"/>
        </w:rPr>
        <w:t xml:space="preserve"> </w:t>
      </w:r>
      <w:r>
        <w:t>a</w:t>
      </w:r>
      <w:r>
        <w:rPr>
          <w:spacing w:val="-3"/>
        </w:rPr>
        <w:t xml:space="preserve"> </w:t>
      </w:r>
      <w:r>
        <w:t>second.</w:t>
      </w:r>
      <w:r>
        <w:rPr>
          <w:spacing w:val="-3"/>
        </w:rPr>
        <w:t xml:space="preserve"> </w:t>
      </w:r>
      <w:r>
        <w:t>It</w:t>
      </w:r>
      <w:r>
        <w:rPr>
          <w:spacing w:val="-3"/>
        </w:rPr>
        <w:t xml:space="preserve"> </w:t>
      </w:r>
      <w:r>
        <w:t>immediately</w:t>
      </w:r>
      <w:r>
        <w:rPr>
          <w:spacing w:val="-3"/>
        </w:rPr>
        <w:t xml:space="preserve"> </w:t>
      </w:r>
      <w:r>
        <w:t>and</w:t>
      </w:r>
      <w:r>
        <w:rPr>
          <w:spacing w:val="-2"/>
        </w:rPr>
        <w:t xml:space="preserve"> </w:t>
      </w:r>
      <w:r>
        <w:t>formally</w:t>
      </w:r>
      <w:r>
        <w:rPr>
          <w:spacing w:val="-2"/>
        </w:rPr>
        <w:t xml:space="preserve"> implies:</w:t>
      </w:r>
    </w:p>
    <w:p w14:paraId="7E000B35" w14:textId="77777777" w:rsidR="009A58DB" w:rsidRDefault="009A58DB">
      <w:pPr>
        <w:pStyle w:val="BodyText"/>
        <w:spacing w:before="30"/>
        <w:ind w:left="0"/>
        <w:jc w:val="left"/>
      </w:pPr>
    </w:p>
    <w:p w14:paraId="7E000B36" w14:textId="77777777" w:rsidR="009A58DB" w:rsidRDefault="00000000">
      <w:pPr>
        <w:pStyle w:val="ListParagraph"/>
        <w:numPr>
          <w:ilvl w:val="1"/>
          <w:numId w:val="198"/>
        </w:numPr>
        <w:tabs>
          <w:tab w:val="left" w:pos="818"/>
        </w:tabs>
        <w:ind w:hanging="458"/>
        <w:rPr>
          <w:sz w:val="30"/>
        </w:rPr>
      </w:pPr>
      <w:r>
        <w:rPr>
          <w:sz w:val="30"/>
        </w:rPr>
        <w:t>Tommy</w:t>
      </w:r>
      <w:r>
        <w:rPr>
          <w:spacing w:val="-5"/>
          <w:sz w:val="30"/>
        </w:rPr>
        <w:t xml:space="preserve"> </w:t>
      </w:r>
      <w:r>
        <w:rPr>
          <w:spacing w:val="-2"/>
          <w:sz w:val="30"/>
        </w:rPr>
        <w:t>smokes;</w:t>
      </w:r>
    </w:p>
    <w:p w14:paraId="7E000B37" w14:textId="77777777" w:rsidR="009A58DB" w:rsidRDefault="00000000">
      <w:pPr>
        <w:pStyle w:val="ListParagraph"/>
        <w:numPr>
          <w:ilvl w:val="1"/>
          <w:numId w:val="198"/>
        </w:numPr>
        <w:tabs>
          <w:tab w:val="left" w:pos="826"/>
        </w:tabs>
        <w:spacing w:before="15"/>
        <w:ind w:left="826" w:hanging="466"/>
        <w:rPr>
          <w:sz w:val="30"/>
        </w:rPr>
      </w:pPr>
      <w:r>
        <w:rPr>
          <w:sz w:val="30"/>
        </w:rPr>
        <w:t>something</w:t>
      </w:r>
      <w:r>
        <w:rPr>
          <w:spacing w:val="-7"/>
          <w:sz w:val="30"/>
        </w:rPr>
        <w:t xml:space="preserve"> </w:t>
      </w:r>
      <w:r>
        <w:rPr>
          <w:spacing w:val="-2"/>
          <w:sz w:val="30"/>
        </w:rPr>
        <w:t>smokes;</w:t>
      </w:r>
    </w:p>
    <w:p w14:paraId="7E000B38" w14:textId="77777777" w:rsidR="009A58DB" w:rsidRDefault="00000000">
      <w:pPr>
        <w:pStyle w:val="ListParagraph"/>
        <w:numPr>
          <w:ilvl w:val="1"/>
          <w:numId w:val="198"/>
        </w:numPr>
        <w:tabs>
          <w:tab w:val="left" w:pos="834"/>
        </w:tabs>
        <w:spacing w:before="15"/>
        <w:ind w:left="834" w:hanging="474"/>
        <w:rPr>
          <w:sz w:val="30"/>
        </w:rPr>
      </w:pPr>
      <w:r>
        <w:rPr>
          <w:sz w:val="30"/>
        </w:rPr>
        <w:t>Tommy</w:t>
      </w:r>
      <w:r>
        <w:rPr>
          <w:spacing w:val="-3"/>
          <w:sz w:val="30"/>
        </w:rPr>
        <w:t xml:space="preserve"> </w:t>
      </w:r>
      <w:r>
        <w:rPr>
          <w:sz w:val="30"/>
        </w:rPr>
        <w:t>does</w:t>
      </w:r>
      <w:r>
        <w:rPr>
          <w:spacing w:val="-2"/>
          <w:sz w:val="30"/>
        </w:rPr>
        <w:t xml:space="preserve"> something;</w:t>
      </w:r>
    </w:p>
    <w:p w14:paraId="7E000B39" w14:textId="77777777" w:rsidR="009A58DB" w:rsidRDefault="00000000">
      <w:pPr>
        <w:pStyle w:val="ListParagraph"/>
        <w:numPr>
          <w:ilvl w:val="1"/>
          <w:numId w:val="198"/>
        </w:numPr>
        <w:tabs>
          <w:tab w:val="left" w:pos="818"/>
        </w:tabs>
        <w:spacing w:before="15"/>
        <w:ind w:hanging="458"/>
        <w:rPr>
          <w:sz w:val="30"/>
        </w:rPr>
      </w:pPr>
      <w:r>
        <w:rPr>
          <w:sz w:val="30"/>
        </w:rPr>
        <w:t>Tommy</w:t>
      </w:r>
      <w:r>
        <w:rPr>
          <w:spacing w:val="-3"/>
          <w:sz w:val="30"/>
        </w:rPr>
        <w:t xml:space="preserve"> </w:t>
      </w:r>
      <w:r>
        <w:rPr>
          <w:spacing w:val="-2"/>
          <w:sz w:val="30"/>
        </w:rPr>
        <w:t>exists;</w:t>
      </w:r>
    </w:p>
    <w:p w14:paraId="7E000B3A"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0B3B" w14:textId="77777777" w:rsidR="009A58DB" w:rsidRDefault="00000000">
      <w:pPr>
        <w:pStyle w:val="ListParagraph"/>
        <w:numPr>
          <w:ilvl w:val="1"/>
          <w:numId w:val="198"/>
        </w:numPr>
        <w:tabs>
          <w:tab w:val="left" w:pos="809"/>
        </w:tabs>
        <w:spacing w:before="65" w:line="501" w:lineRule="auto"/>
        <w:ind w:left="360" w:right="5994" w:firstLine="0"/>
        <w:rPr>
          <w:sz w:val="30"/>
        </w:rPr>
      </w:pPr>
      <w:r>
        <w:rPr>
          <w:sz w:val="30"/>
        </w:rPr>
        <w:lastRenderedPageBreak/>
        <w:t>something</w:t>
      </w:r>
      <w:r>
        <w:rPr>
          <w:spacing w:val="-19"/>
          <w:sz w:val="30"/>
        </w:rPr>
        <w:t xml:space="preserve"> </w:t>
      </w:r>
      <w:r>
        <w:rPr>
          <w:sz w:val="30"/>
        </w:rPr>
        <w:t>does</w:t>
      </w:r>
      <w:r>
        <w:rPr>
          <w:spacing w:val="-19"/>
          <w:sz w:val="30"/>
        </w:rPr>
        <w:t xml:space="preserve"> </w:t>
      </w:r>
      <w:r>
        <w:rPr>
          <w:sz w:val="30"/>
        </w:rPr>
        <w:t>something. And 2 immediately implies:</w:t>
      </w:r>
    </w:p>
    <w:p w14:paraId="7E000B3C" w14:textId="77777777" w:rsidR="009A58DB" w:rsidRDefault="00000000">
      <w:pPr>
        <w:pStyle w:val="BodyText"/>
        <w:tabs>
          <w:tab w:val="left" w:pos="818"/>
        </w:tabs>
        <w:spacing w:line="249" w:lineRule="auto"/>
        <w:ind w:right="7077"/>
        <w:jc w:val="left"/>
      </w:pPr>
      <w:r>
        <w:rPr>
          <w:spacing w:val="-6"/>
        </w:rPr>
        <w:t>i*</w:t>
      </w:r>
      <w:r>
        <w:tab/>
        <w:t>Tommy snores; ii*</w:t>
      </w:r>
      <w:r>
        <w:rPr>
          <w:spacing w:val="40"/>
        </w:rPr>
        <w:t xml:space="preserve"> </w:t>
      </w:r>
      <w:r>
        <w:t>something</w:t>
      </w:r>
      <w:r>
        <w:rPr>
          <w:spacing w:val="-13"/>
        </w:rPr>
        <w:t xml:space="preserve"> </w:t>
      </w:r>
      <w:r>
        <w:t>snores;</w:t>
      </w:r>
    </w:p>
    <w:p w14:paraId="7E000B3D" w14:textId="77777777" w:rsidR="009A58DB" w:rsidRDefault="00000000">
      <w:pPr>
        <w:pStyle w:val="ListParagraph"/>
        <w:numPr>
          <w:ilvl w:val="0"/>
          <w:numId w:val="197"/>
        </w:numPr>
        <w:tabs>
          <w:tab w:val="left" w:pos="834"/>
        </w:tabs>
        <w:ind w:hanging="474"/>
        <w:rPr>
          <w:sz w:val="30"/>
        </w:rPr>
      </w:pPr>
      <w:r>
        <w:rPr>
          <w:sz w:val="30"/>
        </w:rPr>
        <w:t>Tommy</w:t>
      </w:r>
      <w:r>
        <w:rPr>
          <w:spacing w:val="-3"/>
          <w:sz w:val="30"/>
        </w:rPr>
        <w:t xml:space="preserve"> </w:t>
      </w:r>
      <w:r>
        <w:rPr>
          <w:sz w:val="30"/>
        </w:rPr>
        <w:t>does</w:t>
      </w:r>
      <w:r>
        <w:rPr>
          <w:spacing w:val="-2"/>
          <w:sz w:val="30"/>
        </w:rPr>
        <w:t xml:space="preserve"> something;</w:t>
      </w:r>
    </w:p>
    <w:p w14:paraId="7E000B3E" w14:textId="77777777" w:rsidR="009A58DB" w:rsidRDefault="00000000">
      <w:pPr>
        <w:pStyle w:val="ListParagraph"/>
        <w:numPr>
          <w:ilvl w:val="0"/>
          <w:numId w:val="197"/>
        </w:numPr>
        <w:tabs>
          <w:tab w:val="left" w:pos="818"/>
        </w:tabs>
        <w:spacing w:before="15"/>
        <w:ind w:left="818" w:hanging="458"/>
        <w:rPr>
          <w:sz w:val="30"/>
        </w:rPr>
      </w:pPr>
      <w:r>
        <w:rPr>
          <w:sz w:val="30"/>
        </w:rPr>
        <w:t>Tommy</w:t>
      </w:r>
      <w:r>
        <w:rPr>
          <w:spacing w:val="-3"/>
          <w:sz w:val="30"/>
        </w:rPr>
        <w:t xml:space="preserve"> </w:t>
      </w:r>
      <w:r>
        <w:rPr>
          <w:spacing w:val="-2"/>
          <w:sz w:val="30"/>
        </w:rPr>
        <w:t>exists;</w:t>
      </w:r>
    </w:p>
    <w:p w14:paraId="7E000B3F" w14:textId="77777777" w:rsidR="009A58DB" w:rsidRDefault="00000000">
      <w:pPr>
        <w:pStyle w:val="ListParagraph"/>
        <w:numPr>
          <w:ilvl w:val="0"/>
          <w:numId w:val="197"/>
        </w:numPr>
        <w:tabs>
          <w:tab w:val="left" w:pos="809"/>
        </w:tabs>
        <w:spacing w:before="15"/>
        <w:ind w:left="809" w:hanging="449"/>
        <w:rPr>
          <w:sz w:val="30"/>
        </w:rPr>
      </w:pPr>
      <w:r>
        <w:rPr>
          <w:sz w:val="30"/>
        </w:rPr>
        <w:t>something</w:t>
      </w:r>
      <w:r>
        <w:rPr>
          <w:spacing w:val="-4"/>
          <w:sz w:val="30"/>
        </w:rPr>
        <w:t xml:space="preserve"> </w:t>
      </w:r>
      <w:r>
        <w:rPr>
          <w:sz w:val="30"/>
        </w:rPr>
        <w:t>does</w:t>
      </w:r>
      <w:r>
        <w:rPr>
          <w:spacing w:val="-3"/>
          <w:sz w:val="30"/>
        </w:rPr>
        <w:t xml:space="preserve"> </w:t>
      </w:r>
      <w:r>
        <w:rPr>
          <w:spacing w:val="-2"/>
          <w:sz w:val="30"/>
        </w:rPr>
        <w:t>something.</w:t>
      </w:r>
    </w:p>
    <w:p w14:paraId="7E000B40" w14:textId="77777777" w:rsidR="009A58DB" w:rsidRDefault="009A58DB">
      <w:pPr>
        <w:pStyle w:val="BodyText"/>
        <w:spacing w:before="30"/>
        <w:ind w:left="0"/>
        <w:jc w:val="left"/>
      </w:pPr>
    </w:p>
    <w:p w14:paraId="7E000B41" w14:textId="77777777" w:rsidR="009A58DB" w:rsidRDefault="00000000">
      <w:pPr>
        <w:pStyle w:val="BodyText"/>
        <w:jc w:val="left"/>
      </w:pPr>
      <w:r>
        <w:t>Now</w:t>
      </w:r>
      <w:r>
        <w:rPr>
          <w:spacing w:val="-3"/>
        </w:rPr>
        <w:t xml:space="preserve"> </w:t>
      </w:r>
      <w:r>
        <w:t>let’s</w:t>
      </w:r>
      <w:r>
        <w:rPr>
          <w:spacing w:val="-2"/>
        </w:rPr>
        <w:t xml:space="preserve"> </w:t>
      </w:r>
      <w:r>
        <w:t>look</w:t>
      </w:r>
      <w:r>
        <w:rPr>
          <w:spacing w:val="-1"/>
        </w:rPr>
        <w:t xml:space="preserve"> </w:t>
      </w:r>
      <w:r>
        <w:t>at</w:t>
      </w:r>
      <w:r>
        <w:rPr>
          <w:spacing w:val="-3"/>
        </w:rPr>
        <w:t xml:space="preserve"> </w:t>
      </w:r>
      <w:r>
        <w:t>S</w:t>
      </w:r>
      <w:r>
        <w:rPr>
          <w:spacing w:val="-2"/>
        </w:rPr>
        <w:t xml:space="preserve"> </w:t>
      </w:r>
      <w:r>
        <w:t>and</w:t>
      </w:r>
      <w:r>
        <w:rPr>
          <w:spacing w:val="-1"/>
        </w:rPr>
        <w:t xml:space="preserve"> </w:t>
      </w:r>
      <w:r>
        <w:t>at</w:t>
      </w:r>
      <w:r>
        <w:rPr>
          <w:spacing w:val="-3"/>
        </w:rPr>
        <w:t xml:space="preserve"> </w:t>
      </w:r>
      <w:r>
        <w:t>S*.</w:t>
      </w:r>
      <w:r>
        <w:rPr>
          <w:spacing w:val="-1"/>
        </w:rPr>
        <w:t xml:space="preserve"> </w:t>
      </w:r>
      <w:r>
        <w:t>The</w:t>
      </w:r>
      <w:r>
        <w:rPr>
          <w:spacing w:val="-3"/>
        </w:rPr>
        <w:t xml:space="preserve"> </w:t>
      </w:r>
      <w:r>
        <w:t>members</w:t>
      </w:r>
      <w:r>
        <w:rPr>
          <w:spacing w:val="-2"/>
        </w:rPr>
        <w:t xml:space="preserve"> </w:t>
      </w:r>
      <w:r>
        <w:t>of</w:t>
      </w:r>
      <w:r>
        <w:rPr>
          <w:spacing w:val="-2"/>
        </w:rPr>
        <w:t xml:space="preserve"> </w:t>
      </w:r>
      <w:r>
        <w:t>S</w:t>
      </w:r>
      <w:r>
        <w:rPr>
          <w:spacing w:val="-2"/>
        </w:rPr>
        <w:t xml:space="preserve"> </w:t>
      </w:r>
      <w:r>
        <w:rPr>
          <w:spacing w:val="-4"/>
        </w:rPr>
        <w:t>are:</w:t>
      </w:r>
    </w:p>
    <w:p w14:paraId="7E000B42" w14:textId="77777777" w:rsidR="009A58DB" w:rsidRDefault="009A58DB">
      <w:pPr>
        <w:pStyle w:val="BodyText"/>
        <w:spacing w:before="30"/>
        <w:ind w:left="0"/>
        <w:jc w:val="left"/>
      </w:pPr>
    </w:p>
    <w:p w14:paraId="7E000B43" w14:textId="77777777" w:rsidR="009A58DB" w:rsidRDefault="00000000">
      <w:pPr>
        <w:pStyle w:val="ListParagraph"/>
        <w:numPr>
          <w:ilvl w:val="1"/>
          <w:numId w:val="197"/>
        </w:numPr>
        <w:tabs>
          <w:tab w:val="left" w:pos="834"/>
        </w:tabs>
        <w:ind w:hanging="474"/>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pacing w:val="-4"/>
          <w:sz w:val="30"/>
        </w:rPr>
        <w:t>Tommy</w:t>
      </w:r>
    </w:p>
    <w:p w14:paraId="7E000B44" w14:textId="77777777" w:rsidR="009A58DB" w:rsidRDefault="00000000">
      <w:pPr>
        <w:pStyle w:val="ListParagraph"/>
        <w:numPr>
          <w:ilvl w:val="1"/>
          <w:numId w:val="197"/>
        </w:numPr>
        <w:tabs>
          <w:tab w:val="left" w:pos="859"/>
        </w:tabs>
        <w:spacing w:before="15"/>
        <w:ind w:left="859" w:hanging="499"/>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2"/>
          <w:sz w:val="30"/>
        </w:rPr>
        <w:t xml:space="preserve"> smoking</w:t>
      </w:r>
    </w:p>
    <w:p w14:paraId="7E000B45" w14:textId="77777777" w:rsidR="009A58DB" w:rsidRDefault="00000000">
      <w:pPr>
        <w:pStyle w:val="ListParagraph"/>
        <w:numPr>
          <w:ilvl w:val="1"/>
          <w:numId w:val="197"/>
        </w:numPr>
        <w:tabs>
          <w:tab w:val="left" w:pos="806"/>
        </w:tabs>
        <w:spacing w:before="15"/>
        <w:ind w:left="806" w:hanging="446"/>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z w:val="30"/>
        </w:rPr>
        <w:t>a</w:t>
      </w:r>
      <w:r>
        <w:rPr>
          <w:spacing w:val="-3"/>
          <w:sz w:val="30"/>
        </w:rPr>
        <w:t xml:space="preserve"> </w:t>
      </w:r>
      <w:r>
        <w:rPr>
          <w:sz w:val="30"/>
        </w:rPr>
        <w:t>Tommy</w:t>
      </w:r>
      <w:r>
        <w:rPr>
          <w:spacing w:val="-2"/>
          <w:sz w:val="30"/>
        </w:rPr>
        <w:t xml:space="preserve"> </w:t>
      </w:r>
      <w:r>
        <w:rPr>
          <w:sz w:val="30"/>
        </w:rPr>
        <w:t>that</w:t>
      </w:r>
      <w:r>
        <w:rPr>
          <w:spacing w:val="-2"/>
          <w:sz w:val="30"/>
        </w:rPr>
        <w:t xml:space="preserve"> smokes</w:t>
      </w:r>
    </w:p>
    <w:p w14:paraId="7E000B46" w14:textId="77777777" w:rsidR="009A58DB" w:rsidRDefault="00000000">
      <w:pPr>
        <w:pStyle w:val="ListParagraph"/>
        <w:numPr>
          <w:ilvl w:val="1"/>
          <w:numId w:val="197"/>
        </w:numPr>
        <w:tabs>
          <w:tab w:val="left" w:pos="824"/>
        </w:tabs>
        <w:spacing w:before="15"/>
        <w:ind w:left="824" w:hanging="464"/>
        <w:rPr>
          <w:sz w:val="30"/>
        </w:rPr>
      </w:pPr>
      <w:r>
        <w:rPr>
          <w:sz w:val="30"/>
        </w:rPr>
        <w:t>The</w:t>
      </w:r>
      <w:r>
        <w:rPr>
          <w:spacing w:val="-5"/>
          <w:sz w:val="30"/>
        </w:rPr>
        <w:t xml:space="preserve"> </w:t>
      </w:r>
      <w:r>
        <w:rPr>
          <w:sz w:val="30"/>
        </w:rPr>
        <w:t>property</w:t>
      </w:r>
      <w:r>
        <w:rPr>
          <w:spacing w:val="-2"/>
          <w:sz w:val="30"/>
        </w:rPr>
        <w:t xml:space="preserve"> </w:t>
      </w:r>
      <w:r>
        <w:rPr>
          <w:sz w:val="30"/>
        </w:rPr>
        <w:t>of</w:t>
      </w:r>
      <w:r>
        <w:rPr>
          <w:spacing w:val="-2"/>
          <w:sz w:val="30"/>
        </w:rPr>
        <w:t xml:space="preserve"> </w:t>
      </w:r>
      <w:r>
        <w:rPr>
          <w:sz w:val="30"/>
        </w:rPr>
        <w:t>being</w:t>
      </w:r>
      <w:r>
        <w:rPr>
          <w:spacing w:val="-2"/>
          <w:sz w:val="30"/>
        </w:rPr>
        <w:t xml:space="preserve"> </w:t>
      </w:r>
      <w:r>
        <w:rPr>
          <w:sz w:val="30"/>
        </w:rPr>
        <w:t>a</w:t>
      </w:r>
      <w:r>
        <w:rPr>
          <w:spacing w:val="-3"/>
          <w:sz w:val="30"/>
        </w:rPr>
        <w:t xml:space="preserve"> </w:t>
      </w:r>
      <w:r>
        <w:rPr>
          <w:sz w:val="30"/>
        </w:rPr>
        <w:t>Tommy</w:t>
      </w:r>
      <w:r>
        <w:rPr>
          <w:spacing w:val="-1"/>
          <w:sz w:val="30"/>
        </w:rPr>
        <w:t xml:space="preserve"> </w:t>
      </w:r>
      <w:r>
        <w:rPr>
          <w:sz w:val="30"/>
        </w:rPr>
        <w:t>that</w:t>
      </w:r>
      <w:r>
        <w:rPr>
          <w:spacing w:val="-3"/>
          <w:sz w:val="30"/>
        </w:rPr>
        <w:t xml:space="preserve"> </w:t>
      </w:r>
      <w:r>
        <w:rPr>
          <w:sz w:val="30"/>
        </w:rPr>
        <w:t>does</w:t>
      </w:r>
      <w:r>
        <w:rPr>
          <w:spacing w:val="-2"/>
          <w:sz w:val="30"/>
        </w:rPr>
        <w:t xml:space="preserve"> something</w:t>
      </w:r>
    </w:p>
    <w:p w14:paraId="7E000B47" w14:textId="77777777" w:rsidR="009A58DB" w:rsidRDefault="00000000">
      <w:pPr>
        <w:pStyle w:val="ListParagraph"/>
        <w:numPr>
          <w:ilvl w:val="1"/>
          <w:numId w:val="197"/>
        </w:numPr>
        <w:tabs>
          <w:tab w:val="left" w:pos="801"/>
        </w:tabs>
        <w:spacing w:before="15" w:line="501" w:lineRule="auto"/>
        <w:ind w:left="360" w:right="2646" w:firstLine="0"/>
        <w:rPr>
          <w:sz w:val="30"/>
        </w:rPr>
      </w:pPr>
      <w:r>
        <w:rPr>
          <w:sz w:val="30"/>
        </w:rPr>
        <w:t>The</w:t>
      </w:r>
      <w:r>
        <w:rPr>
          <w:spacing w:val="-6"/>
          <w:sz w:val="30"/>
        </w:rPr>
        <w:t xml:space="preserve"> </w:t>
      </w:r>
      <w:r>
        <w:rPr>
          <w:sz w:val="30"/>
        </w:rPr>
        <w:t>property</w:t>
      </w:r>
      <w:r>
        <w:rPr>
          <w:spacing w:val="-5"/>
          <w:sz w:val="30"/>
        </w:rPr>
        <w:t xml:space="preserve"> </w:t>
      </w:r>
      <w:r>
        <w:rPr>
          <w:sz w:val="30"/>
        </w:rPr>
        <w:t>of</w:t>
      </w:r>
      <w:r>
        <w:rPr>
          <w:spacing w:val="-6"/>
          <w:sz w:val="30"/>
        </w:rPr>
        <w:t xml:space="preserve"> </w:t>
      </w:r>
      <w:r>
        <w:rPr>
          <w:sz w:val="30"/>
        </w:rPr>
        <w:t>being</w:t>
      </w:r>
      <w:r>
        <w:rPr>
          <w:spacing w:val="-5"/>
          <w:sz w:val="30"/>
        </w:rPr>
        <w:t xml:space="preserve"> </w:t>
      </w:r>
      <w:r>
        <w:rPr>
          <w:sz w:val="30"/>
        </w:rPr>
        <w:t>a</w:t>
      </w:r>
      <w:r>
        <w:rPr>
          <w:spacing w:val="-6"/>
          <w:sz w:val="30"/>
        </w:rPr>
        <w:t xml:space="preserve"> </w:t>
      </w:r>
      <w:r>
        <w:rPr>
          <w:sz w:val="30"/>
        </w:rPr>
        <w:t>something</w:t>
      </w:r>
      <w:r>
        <w:rPr>
          <w:spacing w:val="-5"/>
          <w:sz w:val="30"/>
        </w:rPr>
        <w:t xml:space="preserve"> </w:t>
      </w:r>
      <w:r>
        <w:rPr>
          <w:sz w:val="30"/>
        </w:rPr>
        <w:t>that</w:t>
      </w:r>
      <w:r>
        <w:rPr>
          <w:spacing w:val="-6"/>
          <w:sz w:val="30"/>
        </w:rPr>
        <w:t xml:space="preserve"> </w:t>
      </w:r>
      <w:r>
        <w:rPr>
          <w:sz w:val="30"/>
        </w:rPr>
        <w:t>does</w:t>
      </w:r>
      <w:r>
        <w:rPr>
          <w:spacing w:val="-6"/>
          <w:sz w:val="30"/>
        </w:rPr>
        <w:t xml:space="preserve"> </w:t>
      </w:r>
      <w:r>
        <w:rPr>
          <w:sz w:val="30"/>
        </w:rPr>
        <w:t>something The members of S* are:</w:t>
      </w:r>
    </w:p>
    <w:p w14:paraId="7E000B48" w14:textId="77777777" w:rsidR="009A58DB" w:rsidRDefault="00000000">
      <w:pPr>
        <w:pStyle w:val="ListParagraph"/>
        <w:numPr>
          <w:ilvl w:val="0"/>
          <w:numId w:val="196"/>
        </w:numPr>
        <w:tabs>
          <w:tab w:val="left" w:pos="834"/>
        </w:tabs>
        <w:spacing w:line="249" w:lineRule="auto"/>
        <w:ind w:right="5595" w:firstLine="0"/>
        <w:rPr>
          <w:sz w:val="30"/>
        </w:rPr>
      </w:pPr>
      <w:r>
        <w:rPr>
          <w:sz w:val="30"/>
        </w:rPr>
        <w:t>The</w:t>
      </w:r>
      <w:r>
        <w:rPr>
          <w:spacing w:val="-10"/>
          <w:sz w:val="30"/>
        </w:rPr>
        <w:t xml:space="preserve"> </w:t>
      </w:r>
      <w:r>
        <w:rPr>
          <w:sz w:val="30"/>
        </w:rPr>
        <w:t>property</w:t>
      </w:r>
      <w:r>
        <w:rPr>
          <w:spacing w:val="-10"/>
          <w:sz w:val="30"/>
        </w:rPr>
        <w:t xml:space="preserve"> </w:t>
      </w:r>
      <w:r>
        <w:rPr>
          <w:sz w:val="30"/>
        </w:rPr>
        <w:t>of</w:t>
      </w:r>
      <w:r>
        <w:rPr>
          <w:spacing w:val="-10"/>
          <w:sz w:val="30"/>
        </w:rPr>
        <w:t xml:space="preserve"> </w:t>
      </w:r>
      <w:r>
        <w:rPr>
          <w:sz w:val="30"/>
        </w:rPr>
        <w:t>being</w:t>
      </w:r>
      <w:r>
        <w:rPr>
          <w:spacing w:val="-10"/>
          <w:sz w:val="30"/>
        </w:rPr>
        <w:t xml:space="preserve"> </w:t>
      </w:r>
      <w:r>
        <w:rPr>
          <w:sz w:val="30"/>
        </w:rPr>
        <w:t>Tommy II*</w:t>
      </w:r>
      <w:r>
        <w:rPr>
          <w:spacing w:val="40"/>
          <w:sz w:val="30"/>
        </w:rPr>
        <w:t xml:space="preserve"> </w:t>
      </w:r>
      <w:r>
        <w:rPr>
          <w:sz w:val="30"/>
        </w:rPr>
        <w:t>The property of snoring</w:t>
      </w:r>
    </w:p>
    <w:p w14:paraId="7E000B49" w14:textId="77777777" w:rsidR="009A58DB" w:rsidRDefault="00000000">
      <w:pPr>
        <w:pStyle w:val="BodyText"/>
        <w:spacing w:before="1"/>
        <w:jc w:val="left"/>
      </w:pPr>
      <w:r>
        <w:t>III*</w:t>
      </w:r>
      <w:r>
        <w:rPr>
          <w:spacing w:val="-4"/>
        </w:rPr>
        <w:t xml:space="preserve"> </w:t>
      </w:r>
      <w:r>
        <w:t>The</w:t>
      </w:r>
      <w:r>
        <w:rPr>
          <w:spacing w:val="-3"/>
        </w:rPr>
        <w:t xml:space="preserve"> </w:t>
      </w:r>
      <w:r>
        <w:t>property</w:t>
      </w:r>
      <w:r>
        <w:rPr>
          <w:spacing w:val="-2"/>
        </w:rPr>
        <w:t xml:space="preserve"> </w:t>
      </w:r>
      <w:r>
        <w:t>of</w:t>
      </w:r>
      <w:r>
        <w:rPr>
          <w:spacing w:val="-3"/>
        </w:rPr>
        <w:t xml:space="preserve"> </w:t>
      </w:r>
      <w:r>
        <w:t>being</w:t>
      </w:r>
      <w:r>
        <w:rPr>
          <w:spacing w:val="-2"/>
        </w:rPr>
        <w:t xml:space="preserve"> </w:t>
      </w:r>
      <w:r>
        <w:t>a</w:t>
      </w:r>
      <w:r>
        <w:rPr>
          <w:spacing w:val="-3"/>
        </w:rPr>
        <w:t xml:space="preserve"> </w:t>
      </w:r>
      <w:r>
        <w:t>Tommy</w:t>
      </w:r>
      <w:r>
        <w:rPr>
          <w:spacing w:val="-2"/>
        </w:rPr>
        <w:t xml:space="preserve"> </w:t>
      </w:r>
      <w:r>
        <w:t>that</w:t>
      </w:r>
      <w:r>
        <w:rPr>
          <w:spacing w:val="-2"/>
        </w:rPr>
        <w:t xml:space="preserve"> snores</w:t>
      </w:r>
    </w:p>
    <w:p w14:paraId="7E000B4A" w14:textId="77777777" w:rsidR="009A58DB" w:rsidRDefault="00000000">
      <w:pPr>
        <w:pStyle w:val="BodyText"/>
        <w:spacing w:before="15"/>
        <w:jc w:val="left"/>
      </w:pPr>
      <w:r>
        <w:t>IV</w:t>
      </w:r>
      <w:r>
        <w:rPr>
          <w:spacing w:val="69"/>
        </w:rPr>
        <w:t xml:space="preserve"> </w:t>
      </w:r>
      <w:r>
        <w:t>The</w:t>
      </w:r>
      <w:r>
        <w:rPr>
          <w:spacing w:val="-3"/>
        </w:rPr>
        <w:t xml:space="preserve"> </w:t>
      </w:r>
      <w:r>
        <w:t>property</w:t>
      </w:r>
      <w:r>
        <w:rPr>
          <w:spacing w:val="-1"/>
        </w:rPr>
        <w:t xml:space="preserve"> </w:t>
      </w:r>
      <w:r>
        <w:t>of</w:t>
      </w:r>
      <w:r>
        <w:rPr>
          <w:spacing w:val="-2"/>
        </w:rPr>
        <w:t xml:space="preserve"> </w:t>
      </w:r>
      <w:r>
        <w:t>being</w:t>
      </w:r>
      <w:r>
        <w:rPr>
          <w:spacing w:val="-2"/>
        </w:rPr>
        <w:t xml:space="preserve"> </w:t>
      </w:r>
      <w:r>
        <w:t>a</w:t>
      </w:r>
      <w:r>
        <w:rPr>
          <w:spacing w:val="-2"/>
        </w:rPr>
        <w:t xml:space="preserve"> </w:t>
      </w:r>
      <w:r>
        <w:t>Tommy</w:t>
      </w:r>
      <w:r>
        <w:rPr>
          <w:spacing w:val="-2"/>
        </w:rPr>
        <w:t xml:space="preserve"> </w:t>
      </w:r>
      <w:r>
        <w:t>that</w:t>
      </w:r>
      <w:r>
        <w:rPr>
          <w:spacing w:val="-2"/>
        </w:rPr>
        <w:t xml:space="preserve"> </w:t>
      </w:r>
      <w:r>
        <w:t>does</w:t>
      </w:r>
      <w:r>
        <w:rPr>
          <w:spacing w:val="-2"/>
        </w:rPr>
        <w:t xml:space="preserve"> something</w:t>
      </w:r>
    </w:p>
    <w:p w14:paraId="7E000B4B" w14:textId="77777777" w:rsidR="009A58DB" w:rsidRDefault="00000000">
      <w:pPr>
        <w:pStyle w:val="BodyText"/>
        <w:tabs>
          <w:tab w:val="left" w:pos="801"/>
        </w:tabs>
        <w:spacing w:before="15"/>
        <w:jc w:val="left"/>
      </w:pPr>
      <w:r>
        <w:rPr>
          <w:spacing w:val="-10"/>
        </w:rPr>
        <w:t>V</w:t>
      </w:r>
      <w:r>
        <w:tab/>
        <w:t>The</w:t>
      </w:r>
      <w:r>
        <w:rPr>
          <w:spacing w:val="-5"/>
        </w:rPr>
        <w:t xml:space="preserve"> </w:t>
      </w:r>
      <w:r>
        <w:t>property</w:t>
      </w:r>
      <w:r>
        <w:rPr>
          <w:spacing w:val="-2"/>
        </w:rPr>
        <w:t xml:space="preserve"> </w:t>
      </w:r>
      <w:r>
        <w:t>of</w:t>
      </w:r>
      <w:r>
        <w:rPr>
          <w:spacing w:val="-3"/>
        </w:rPr>
        <w:t xml:space="preserve"> </w:t>
      </w:r>
      <w:r>
        <w:t>being</w:t>
      </w:r>
      <w:r>
        <w:rPr>
          <w:spacing w:val="-2"/>
        </w:rPr>
        <w:t xml:space="preserve"> </w:t>
      </w:r>
      <w:r>
        <w:t>a</w:t>
      </w:r>
      <w:r>
        <w:rPr>
          <w:spacing w:val="-3"/>
        </w:rPr>
        <w:t xml:space="preserve"> </w:t>
      </w:r>
      <w:r>
        <w:t>something</w:t>
      </w:r>
      <w:r>
        <w:rPr>
          <w:spacing w:val="-2"/>
        </w:rPr>
        <w:t xml:space="preserve"> </w:t>
      </w:r>
      <w:r>
        <w:t>that</w:t>
      </w:r>
      <w:r>
        <w:rPr>
          <w:spacing w:val="-3"/>
        </w:rPr>
        <w:t xml:space="preserve"> </w:t>
      </w:r>
      <w:r>
        <w:t>does</w:t>
      </w:r>
      <w:r>
        <w:rPr>
          <w:spacing w:val="-2"/>
        </w:rPr>
        <w:t xml:space="preserve"> something</w:t>
      </w:r>
    </w:p>
    <w:p w14:paraId="7E000B4C" w14:textId="77777777" w:rsidR="009A58DB" w:rsidRDefault="009A58DB">
      <w:pPr>
        <w:pStyle w:val="BodyText"/>
        <w:spacing w:before="30"/>
        <w:ind w:left="0"/>
        <w:jc w:val="left"/>
      </w:pPr>
    </w:p>
    <w:p w14:paraId="7E000B4D" w14:textId="77777777" w:rsidR="009A58DB" w:rsidRDefault="00000000">
      <w:pPr>
        <w:pStyle w:val="BodyText"/>
        <w:spacing w:line="249" w:lineRule="auto"/>
        <w:ind w:right="361" w:firstLine="360"/>
      </w:pPr>
      <w:r>
        <w:t>Having</w:t>
      </w:r>
      <w:r>
        <w:rPr>
          <w:spacing w:val="-1"/>
        </w:rPr>
        <w:t xml:space="preserve"> </w:t>
      </w:r>
      <w:r>
        <w:t>identified</w:t>
      </w:r>
      <w:r>
        <w:rPr>
          <w:spacing w:val="-1"/>
        </w:rPr>
        <w:t xml:space="preserve"> </w:t>
      </w:r>
      <w:r>
        <w:t>1</w:t>
      </w:r>
      <w:r>
        <w:rPr>
          <w:spacing w:val="-1"/>
        </w:rPr>
        <w:t xml:space="preserve"> </w:t>
      </w:r>
      <w:r>
        <w:t>with</w:t>
      </w:r>
      <w:r>
        <w:rPr>
          <w:spacing w:val="-1"/>
        </w:rPr>
        <w:t xml:space="preserve"> </w:t>
      </w:r>
      <w:r>
        <w:t>S</w:t>
      </w:r>
      <w:r>
        <w:rPr>
          <w:spacing w:val="-1"/>
        </w:rPr>
        <w:t xml:space="preserve"> </w:t>
      </w:r>
      <w:r>
        <w:t>and</w:t>
      </w:r>
      <w:r>
        <w:rPr>
          <w:spacing w:val="-1"/>
        </w:rPr>
        <w:t xml:space="preserve"> </w:t>
      </w:r>
      <w:r>
        <w:t>2</w:t>
      </w:r>
      <w:r>
        <w:rPr>
          <w:spacing w:val="-1"/>
        </w:rPr>
        <w:t xml:space="preserve"> </w:t>
      </w:r>
      <w:r>
        <w:t>with</w:t>
      </w:r>
      <w:r>
        <w:rPr>
          <w:spacing w:val="-1"/>
        </w:rPr>
        <w:t xml:space="preserve"> </w:t>
      </w:r>
      <w:r>
        <w:t>S*,</w:t>
      </w:r>
      <w:r>
        <w:rPr>
          <w:spacing w:val="-1"/>
        </w:rPr>
        <w:t xml:space="preserve"> </w:t>
      </w:r>
      <w:r>
        <w:t>everything</w:t>
      </w:r>
      <w:r>
        <w:rPr>
          <w:spacing w:val="-1"/>
        </w:rPr>
        <w:t xml:space="preserve"> </w:t>
      </w:r>
      <w:r>
        <w:t>we</w:t>
      </w:r>
      <w:r>
        <w:rPr>
          <w:spacing w:val="-1"/>
        </w:rPr>
        <w:t xml:space="preserve"> </w:t>
      </w:r>
      <w:r>
        <w:t>know</w:t>
      </w:r>
      <w:r>
        <w:rPr>
          <w:spacing w:val="-1"/>
        </w:rPr>
        <w:t xml:space="preserve"> </w:t>
      </w:r>
      <w:r>
        <w:t>about</w:t>
      </w:r>
      <w:r>
        <w:rPr>
          <w:spacing w:val="-2"/>
        </w:rPr>
        <w:t xml:space="preserve"> </w:t>
      </w:r>
      <w:r>
        <w:t>those propositions—about what they entail, about what their components are, and about</w:t>
      </w:r>
      <w:r>
        <w:rPr>
          <w:spacing w:val="-1"/>
        </w:rPr>
        <w:t xml:space="preserve"> </w:t>
      </w:r>
      <w:r>
        <w:t>how</w:t>
      </w:r>
      <w:r>
        <w:rPr>
          <w:spacing w:val="-1"/>
        </w:rPr>
        <w:t xml:space="preserve"> </w:t>
      </w:r>
      <w:r>
        <w:t>their</w:t>
      </w:r>
      <w:r>
        <w:rPr>
          <w:spacing w:val="-1"/>
        </w:rPr>
        <w:t xml:space="preserve"> </w:t>
      </w:r>
      <w:r>
        <w:t>higher-level</w:t>
      </w:r>
      <w:r>
        <w:rPr>
          <w:spacing w:val="-1"/>
        </w:rPr>
        <w:t xml:space="preserve"> </w:t>
      </w:r>
      <w:r>
        <w:t>components</w:t>
      </w:r>
      <w:r>
        <w:rPr>
          <w:spacing w:val="-1"/>
        </w:rPr>
        <w:t xml:space="preserve"> </w:t>
      </w:r>
      <w:r>
        <w:t>are</w:t>
      </w:r>
      <w:r>
        <w:rPr>
          <w:spacing w:val="-1"/>
        </w:rPr>
        <w:t xml:space="preserve"> </w:t>
      </w:r>
      <w:r>
        <w:t>“forged”</w:t>
      </w:r>
      <w:r>
        <w:rPr>
          <w:spacing w:val="-1"/>
        </w:rPr>
        <w:t xml:space="preserve"> </w:t>
      </w:r>
      <w:r>
        <w:t>out</w:t>
      </w:r>
      <w:r>
        <w:rPr>
          <w:spacing w:val="-1"/>
        </w:rPr>
        <w:t xml:space="preserve"> </w:t>
      </w:r>
      <w:r>
        <w:t>of</w:t>
      </w:r>
      <w:r>
        <w:rPr>
          <w:spacing w:val="-1"/>
        </w:rPr>
        <w:t xml:space="preserve"> </w:t>
      </w:r>
      <w:r>
        <w:t>their</w:t>
      </w:r>
      <w:r>
        <w:rPr>
          <w:spacing w:val="-1"/>
        </w:rPr>
        <w:t xml:space="preserve"> </w:t>
      </w:r>
      <w:r>
        <w:t>lower</w:t>
      </w:r>
      <w:r>
        <w:rPr>
          <w:spacing w:val="-1"/>
        </w:rPr>
        <w:t xml:space="preserve"> </w:t>
      </w:r>
      <w:r>
        <w:t>level components—is accounted for.</w:t>
      </w:r>
    </w:p>
    <w:p w14:paraId="7E000B4E" w14:textId="77777777" w:rsidR="009A58DB" w:rsidRDefault="009A58DB">
      <w:pPr>
        <w:pStyle w:val="BodyText"/>
        <w:spacing w:before="133"/>
        <w:ind w:left="0"/>
        <w:jc w:val="left"/>
      </w:pPr>
    </w:p>
    <w:p w14:paraId="7E000B4F" w14:textId="77777777" w:rsidR="009A58DB" w:rsidRDefault="00000000">
      <w:pPr>
        <w:pStyle w:val="Heading1"/>
        <w:numPr>
          <w:ilvl w:val="1"/>
          <w:numId w:val="203"/>
        </w:numPr>
        <w:tabs>
          <w:tab w:val="left" w:pos="990"/>
        </w:tabs>
        <w:spacing w:before="0"/>
        <w:ind w:left="990" w:hanging="630"/>
      </w:pPr>
      <w:r>
        <w:t>Another</w:t>
      </w:r>
      <w:r>
        <w:rPr>
          <w:spacing w:val="-8"/>
        </w:rPr>
        <w:t xml:space="preserve"> </w:t>
      </w:r>
      <w:r>
        <w:t>desideratum</w:t>
      </w:r>
      <w:r>
        <w:rPr>
          <w:spacing w:val="-6"/>
        </w:rPr>
        <w:t xml:space="preserve"> </w:t>
      </w:r>
      <w:r>
        <w:t>satisfied</w:t>
      </w:r>
      <w:r>
        <w:rPr>
          <w:spacing w:val="-5"/>
        </w:rPr>
        <w:t xml:space="preserve"> </w:t>
      </w:r>
      <w:r>
        <w:t>by</w:t>
      </w:r>
      <w:r>
        <w:rPr>
          <w:spacing w:val="-5"/>
        </w:rPr>
        <w:t xml:space="preserve"> </w:t>
      </w:r>
      <w:r>
        <w:t>our</w:t>
      </w:r>
      <w:r>
        <w:rPr>
          <w:spacing w:val="-5"/>
        </w:rPr>
        <w:t xml:space="preserve"> </w:t>
      </w:r>
      <w:r>
        <w:rPr>
          <w:spacing w:val="-2"/>
        </w:rPr>
        <w:t>analysis</w:t>
      </w:r>
    </w:p>
    <w:p w14:paraId="7E000B50" w14:textId="77777777" w:rsidR="009A58DB" w:rsidRDefault="00000000">
      <w:pPr>
        <w:pStyle w:val="BodyText"/>
        <w:tabs>
          <w:tab w:val="left" w:pos="1286"/>
          <w:tab w:val="left" w:pos="2978"/>
          <w:tab w:val="left" w:pos="3871"/>
          <w:tab w:val="left" w:pos="4631"/>
          <w:tab w:val="left" w:pos="5307"/>
          <w:tab w:val="left" w:pos="6150"/>
          <w:tab w:val="left" w:pos="6810"/>
          <w:tab w:val="left" w:pos="8052"/>
          <w:tab w:val="left" w:pos="8645"/>
        </w:tabs>
        <w:spacing w:before="139"/>
        <w:jc w:val="left"/>
        <w:rPr>
          <w:i/>
        </w:rPr>
      </w:pPr>
      <w:r>
        <w:rPr>
          <w:spacing w:val="-4"/>
        </w:rPr>
        <w:t>Many</w:t>
      </w:r>
      <w:r>
        <w:tab/>
      </w:r>
      <w:r>
        <w:rPr>
          <w:spacing w:val="-2"/>
        </w:rPr>
        <w:t>semanticists</w:t>
      </w:r>
      <w:r>
        <w:tab/>
      </w:r>
      <w:r>
        <w:rPr>
          <w:spacing w:val="-2"/>
        </w:rPr>
        <w:t>today</w:t>
      </w:r>
      <w:r>
        <w:tab/>
      </w:r>
      <w:r>
        <w:rPr>
          <w:spacing w:val="-4"/>
        </w:rPr>
        <w:t>hold</w:t>
      </w:r>
      <w:r>
        <w:tab/>
      </w:r>
      <w:r>
        <w:rPr>
          <w:spacing w:val="-4"/>
        </w:rPr>
        <w:t>that</w:t>
      </w:r>
      <w:r>
        <w:tab/>
      </w:r>
      <w:r>
        <w:rPr>
          <w:spacing w:val="-2"/>
        </w:rPr>
        <w:t>Plato</w:t>
      </w:r>
      <w:r>
        <w:tab/>
      </w:r>
      <w:r>
        <w:rPr>
          <w:spacing w:val="-5"/>
        </w:rPr>
        <w:t>and</w:t>
      </w:r>
      <w:r>
        <w:tab/>
      </w:r>
      <w:r>
        <w:rPr>
          <w:spacing w:val="-2"/>
        </w:rPr>
        <w:t>Socrates</w:t>
      </w:r>
      <w:r>
        <w:tab/>
      </w:r>
      <w:r>
        <w:rPr>
          <w:spacing w:val="-5"/>
        </w:rPr>
        <w:t>are</w:t>
      </w:r>
      <w:r>
        <w:tab/>
      </w:r>
      <w:r>
        <w:rPr>
          <w:i/>
          <w:spacing w:val="-2"/>
        </w:rPr>
        <w:t>veritable</w:t>
      </w:r>
    </w:p>
    <w:p w14:paraId="7E000B51" w14:textId="77777777" w:rsidR="009A58DB" w:rsidRDefault="00000000">
      <w:pPr>
        <w:pStyle w:val="BodyText"/>
        <w:spacing w:before="15"/>
        <w:jc w:val="left"/>
      </w:pPr>
      <w:r>
        <w:t>constituents</w:t>
      </w:r>
      <w:r>
        <w:rPr>
          <w:spacing w:val="35"/>
        </w:rPr>
        <w:t xml:space="preserve"> </w:t>
      </w:r>
      <w:r>
        <w:t>of</w:t>
      </w:r>
      <w:r>
        <w:rPr>
          <w:spacing w:val="37"/>
        </w:rPr>
        <w:t xml:space="preserve"> </w:t>
      </w:r>
      <w:r>
        <w:t>the</w:t>
      </w:r>
      <w:r>
        <w:rPr>
          <w:spacing w:val="37"/>
        </w:rPr>
        <w:t xml:space="preserve"> </w:t>
      </w:r>
      <w:r>
        <w:t>propositions</w:t>
      </w:r>
      <w:r>
        <w:rPr>
          <w:spacing w:val="37"/>
        </w:rPr>
        <w:t xml:space="preserve"> </w:t>
      </w:r>
      <w:r>
        <w:t>that</w:t>
      </w:r>
      <w:r>
        <w:rPr>
          <w:spacing w:val="37"/>
        </w:rPr>
        <w:t xml:space="preserve"> </w:t>
      </w:r>
      <w:r>
        <w:t>concern</w:t>
      </w:r>
      <w:r>
        <w:rPr>
          <w:spacing w:val="37"/>
        </w:rPr>
        <w:t xml:space="preserve"> </w:t>
      </w:r>
      <w:r>
        <w:t>them.</w:t>
      </w:r>
      <w:r>
        <w:rPr>
          <w:spacing w:val="37"/>
        </w:rPr>
        <w:t xml:space="preserve"> </w:t>
      </w:r>
      <w:r>
        <w:t>So</w:t>
      </w:r>
      <w:r>
        <w:rPr>
          <w:spacing w:val="37"/>
        </w:rPr>
        <w:t xml:space="preserve"> </w:t>
      </w:r>
      <w:r>
        <w:t>according</w:t>
      </w:r>
      <w:r>
        <w:rPr>
          <w:spacing w:val="37"/>
        </w:rPr>
        <w:t xml:space="preserve"> </w:t>
      </w:r>
      <w:r>
        <w:t>to</w:t>
      </w:r>
      <w:r>
        <w:rPr>
          <w:spacing w:val="38"/>
        </w:rPr>
        <w:t xml:space="preserve"> </w:t>
      </w:r>
      <w:r>
        <w:rPr>
          <w:spacing w:val="-2"/>
        </w:rPr>
        <w:t>Kaplan</w:t>
      </w:r>
    </w:p>
    <w:p w14:paraId="7E000B52" w14:textId="77777777" w:rsidR="009A58DB" w:rsidRDefault="009A58DB">
      <w:pPr>
        <w:pStyle w:val="BodyText"/>
        <w:jc w:val="left"/>
        <w:sectPr w:rsidR="009A58DB">
          <w:pgSz w:w="12240" w:h="15840"/>
          <w:pgMar w:top="1380" w:right="1080" w:bottom="280" w:left="1080" w:header="720" w:footer="720" w:gutter="0"/>
          <w:cols w:space="720"/>
        </w:sectPr>
      </w:pPr>
    </w:p>
    <w:p w14:paraId="7E000B53" w14:textId="77777777" w:rsidR="009A58DB" w:rsidRDefault="00000000">
      <w:pPr>
        <w:pStyle w:val="BodyText"/>
        <w:spacing w:before="65" w:line="249" w:lineRule="auto"/>
        <w:ind w:right="360"/>
      </w:pPr>
      <w:r>
        <w:lastRenderedPageBreak/>
        <w:t>(1989),who is following and agreeing with Russell (1903), Timmy—the person, not some Fregean concept thereof—is a constituent of both 1 and 2. Other adherents of this view are Scott Soames (2003), Nathan Salmon</w:t>
      </w:r>
      <w:r>
        <w:rPr>
          <w:spacing w:val="40"/>
        </w:rPr>
        <w:t xml:space="preserve"> </w:t>
      </w:r>
      <w:r>
        <w:t>(2005), and Robert Moore (1995). (Opponents are J. Searle (1983), M. Dummett</w:t>
      </w:r>
      <w:r>
        <w:rPr>
          <w:spacing w:val="19"/>
        </w:rPr>
        <w:t xml:space="preserve"> </w:t>
      </w:r>
      <w:r>
        <w:t>(1973),</w:t>
      </w:r>
      <w:r>
        <w:rPr>
          <w:spacing w:val="22"/>
        </w:rPr>
        <w:t xml:space="preserve"> </w:t>
      </w:r>
      <w:r>
        <w:t>and—with</w:t>
      </w:r>
      <w:r>
        <w:rPr>
          <w:spacing w:val="22"/>
        </w:rPr>
        <w:t xml:space="preserve"> </w:t>
      </w:r>
      <w:r>
        <w:t>some</w:t>
      </w:r>
      <w:r>
        <w:rPr>
          <w:spacing w:val="22"/>
        </w:rPr>
        <w:t xml:space="preserve"> </w:t>
      </w:r>
      <w:r>
        <w:t>very</w:t>
      </w:r>
      <w:r>
        <w:rPr>
          <w:spacing w:val="22"/>
        </w:rPr>
        <w:t xml:space="preserve"> </w:t>
      </w:r>
      <w:r>
        <w:t>heavy</w:t>
      </w:r>
      <w:r>
        <w:rPr>
          <w:spacing w:val="22"/>
        </w:rPr>
        <w:t xml:space="preserve"> </w:t>
      </w:r>
      <w:r>
        <w:t>reservations</w:t>
      </w:r>
      <w:r>
        <w:rPr>
          <w:spacing w:val="22"/>
        </w:rPr>
        <w:t xml:space="preserve"> </w:t>
      </w:r>
      <w:r>
        <w:t>to</w:t>
      </w:r>
      <w:r>
        <w:rPr>
          <w:spacing w:val="22"/>
        </w:rPr>
        <w:t xml:space="preserve"> </w:t>
      </w:r>
      <w:r>
        <w:t>be</w:t>
      </w:r>
      <w:r>
        <w:rPr>
          <w:spacing w:val="22"/>
        </w:rPr>
        <w:t xml:space="preserve"> </w:t>
      </w:r>
      <w:r>
        <w:t>stated</w:t>
      </w:r>
      <w:r>
        <w:rPr>
          <w:spacing w:val="22"/>
        </w:rPr>
        <w:t xml:space="preserve"> </w:t>
      </w:r>
      <w:r>
        <w:rPr>
          <w:spacing w:val="-2"/>
        </w:rPr>
        <w:t>later</w:t>
      </w:r>
    </w:p>
    <w:p w14:paraId="7E000B54" w14:textId="77777777" w:rsidR="009A58DB" w:rsidRDefault="00000000">
      <w:pPr>
        <w:pStyle w:val="BodyText"/>
        <w:spacing w:before="6"/>
      </w:pPr>
      <w:r>
        <w:t>—the</w:t>
      </w:r>
      <w:r>
        <w:rPr>
          <w:spacing w:val="-4"/>
        </w:rPr>
        <w:t xml:space="preserve"> </w:t>
      </w:r>
      <w:r>
        <w:t>present</w:t>
      </w:r>
      <w:r>
        <w:rPr>
          <w:spacing w:val="-3"/>
        </w:rPr>
        <w:t xml:space="preserve"> </w:t>
      </w:r>
      <w:r>
        <w:rPr>
          <w:spacing w:val="-2"/>
        </w:rPr>
        <w:t>author.)</w:t>
      </w:r>
    </w:p>
    <w:p w14:paraId="7E000B55" w14:textId="77777777" w:rsidR="009A58DB" w:rsidRDefault="00000000">
      <w:pPr>
        <w:pStyle w:val="BodyText"/>
        <w:spacing w:before="15" w:line="249" w:lineRule="auto"/>
        <w:ind w:right="359" w:firstLine="360"/>
      </w:pPr>
      <w:r>
        <w:t xml:space="preserve">There is a rather serious problem with this view. Consider, not 1 or 2, but </w:t>
      </w:r>
      <w:r>
        <w:rPr>
          <w:spacing w:val="-2"/>
        </w:rPr>
        <w:t>rather:</w:t>
      </w:r>
    </w:p>
    <w:p w14:paraId="7E000B56" w14:textId="77777777" w:rsidR="009A58DB" w:rsidRDefault="00000000">
      <w:pPr>
        <w:pStyle w:val="ListParagraph"/>
        <w:numPr>
          <w:ilvl w:val="0"/>
          <w:numId w:val="199"/>
        </w:numPr>
        <w:tabs>
          <w:tab w:val="left" w:pos="660"/>
        </w:tabs>
        <w:spacing w:before="107"/>
        <w:ind w:left="660"/>
        <w:jc w:val="both"/>
        <w:rPr>
          <w:sz w:val="30"/>
        </w:rPr>
      </w:pPr>
      <w:r>
        <w:rPr>
          <w:sz w:val="30"/>
        </w:rPr>
        <w:t>Plato</w:t>
      </w:r>
      <w:r>
        <w:rPr>
          <w:spacing w:val="-4"/>
          <w:sz w:val="30"/>
        </w:rPr>
        <w:t xml:space="preserve"> </w:t>
      </w:r>
      <w:r>
        <w:rPr>
          <w:spacing w:val="-2"/>
          <w:sz w:val="30"/>
        </w:rPr>
        <w:t>snores.</w:t>
      </w:r>
    </w:p>
    <w:p w14:paraId="7E000B57" w14:textId="77777777" w:rsidR="009A58DB" w:rsidRDefault="00000000">
      <w:pPr>
        <w:pStyle w:val="BodyText"/>
        <w:spacing w:before="105"/>
      </w:pPr>
      <w:r>
        <w:rPr>
          <w:spacing w:val="-2"/>
        </w:rPr>
        <w:t>At</w:t>
      </w:r>
      <w:r>
        <w:rPr>
          <w:spacing w:val="-14"/>
        </w:rPr>
        <w:t xml:space="preserve"> </w:t>
      </w:r>
      <w:r>
        <w:rPr>
          <w:spacing w:val="-2"/>
        </w:rPr>
        <w:t>this</w:t>
      </w:r>
      <w:r>
        <w:rPr>
          <w:spacing w:val="-13"/>
        </w:rPr>
        <w:t xml:space="preserve"> </w:t>
      </w:r>
      <w:r>
        <w:rPr>
          <w:spacing w:val="-2"/>
        </w:rPr>
        <w:t>point</w:t>
      </w:r>
      <w:r>
        <w:rPr>
          <w:spacing w:val="-13"/>
        </w:rPr>
        <w:t xml:space="preserve"> </w:t>
      </w:r>
      <w:r>
        <w:rPr>
          <w:spacing w:val="-2"/>
        </w:rPr>
        <w:t>in</w:t>
      </w:r>
      <w:r>
        <w:rPr>
          <w:spacing w:val="-13"/>
        </w:rPr>
        <w:t xml:space="preserve"> </w:t>
      </w:r>
      <w:r>
        <w:rPr>
          <w:spacing w:val="-2"/>
        </w:rPr>
        <w:t>time,</w:t>
      </w:r>
      <w:r>
        <w:rPr>
          <w:spacing w:val="-13"/>
        </w:rPr>
        <w:t xml:space="preserve"> </w:t>
      </w:r>
      <w:r>
        <w:rPr>
          <w:spacing w:val="-2"/>
        </w:rPr>
        <w:t>Plato</w:t>
      </w:r>
      <w:r>
        <w:rPr>
          <w:spacing w:val="-13"/>
        </w:rPr>
        <w:t xml:space="preserve"> </w:t>
      </w:r>
      <w:r>
        <w:rPr>
          <w:spacing w:val="-2"/>
        </w:rPr>
        <w:t>doesn’t</w:t>
      </w:r>
      <w:r>
        <w:rPr>
          <w:spacing w:val="-13"/>
        </w:rPr>
        <w:t xml:space="preserve"> </w:t>
      </w:r>
      <w:r>
        <w:rPr>
          <w:spacing w:val="-2"/>
        </w:rPr>
        <w:t>exist.</w:t>
      </w:r>
      <w:r>
        <w:rPr>
          <w:spacing w:val="-13"/>
        </w:rPr>
        <w:t xml:space="preserve"> </w:t>
      </w:r>
      <w:r>
        <w:rPr>
          <w:spacing w:val="-2"/>
        </w:rPr>
        <w:t>So</w:t>
      </w:r>
      <w:r>
        <w:rPr>
          <w:spacing w:val="-13"/>
        </w:rPr>
        <w:t xml:space="preserve"> </w:t>
      </w:r>
      <w:r>
        <w:rPr>
          <w:spacing w:val="-2"/>
        </w:rPr>
        <w:t>if</w:t>
      </w:r>
      <w:r>
        <w:rPr>
          <w:spacing w:val="-13"/>
        </w:rPr>
        <w:t xml:space="preserve"> </w:t>
      </w:r>
      <w:r>
        <w:rPr>
          <w:spacing w:val="-2"/>
        </w:rPr>
        <w:t>he’s</w:t>
      </w:r>
      <w:r>
        <w:rPr>
          <w:spacing w:val="-13"/>
        </w:rPr>
        <w:t xml:space="preserve"> </w:t>
      </w:r>
      <w:r>
        <w:rPr>
          <w:spacing w:val="-2"/>
        </w:rPr>
        <w:t>a</w:t>
      </w:r>
      <w:r>
        <w:rPr>
          <w:spacing w:val="-13"/>
        </w:rPr>
        <w:t xml:space="preserve"> </w:t>
      </w:r>
      <w:r>
        <w:rPr>
          <w:spacing w:val="-2"/>
        </w:rPr>
        <w:t>(necessary)</w:t>
      </w:r>
      <w:r>
        <w:rPr>
          <w:spacing w:val="-13"/>
        </w:rPr>
        <w:t xml:space="preserve"> </w:t>
      </w:r>
      <w:r>
        <w:rPr>
          <w:spacing w:val="-2"/>
        </w:rPr>
        <w:t>constituent</w:t>
      </w:r>
      <w:r>
        <w:rPr>
          <w:spacing w:val="-13"/>
        </w:rPr>
        <w:t xml:space="preserve"> </w:t>
      </w:r>
      <w:r>
        <w:rPr>
          <w:spacing w:val="-2"/>
        </w:rPr>
        <w:t>of</w:t>
      </w:r>
      <w:r>
        <w:rPr>
          <w:spacing w:val="-13"/>
        </w:rPr>
        <w:t xml:space="preserve"> </w:t>
      </w:r>
      <w:r>
        <w:rPr>
          <w:spacing w:val="-10"/>
        </w:rPr>
        <w:t>3</w:t>
      </w:r>
    </w:p>
    <w:p w14:paraId="7E000B58" w14:textId="77777777" w:rsidR="009A58DB" w:rsidRDefault="00000000">
      <w:pPr>
        <w:pStyle w:val="BodyText"/>
        <w:spacing w:before="15" w:line="249" w:lineRule="auto"/>
        <w:ind w:right="360"/>
      </w:pPr>
      <w:r>
        <w:rPr>
          <w:spacing w:val="-4"/>
        </w:rPr>
        <w:t>—if,</w:t>
      </w:r>
      <w:r>
        <w:rPr>
          <w:spacing w:val="-15"/>
        </w:rPr>
        <w:t xml:space="preserve"> </w:t>
      </w:r>
      <w:r>
        <w:rPr>
          <w:spacing w:val="-4"/>
        </w:rPr>
        <w:t>in</w:t>
      </w:r>
      <w:r>
        <w:rPr>
          <w:spacing w:val="-15"/>
        </w:rPr>
        <w:t xml:space="preserve"> </w:t>
      </w:r>
      <w:r>
        <w:rPr>
          <w:spacing w:val="-4"/>
        </w:rPr>
        <w:t>other</w:t>
      </w:r>
      <w:r>
        <w:rPr>
          <w:spacing w:val="-15"/>
        </w:rPr>
        <w:t xml:space="preserve"> </w:t>
      </w:r>
      <w:r>
        <w:rPr>
          <w:spacing w:val="-4"/>
        </w:rPr>
        <w:t>words,</w:t>
      </w:r>
      <w:r>
        <w:rPr>
          <w:spacing w:val="-14"/>
        </w:rPr>
        <w:t xml:space="preserve"> </w:t>
      </w:r>
      <w:r>
        <w:rPr>
          <w:spacing w:val="-4"/>
        </w:rPr>
        <w:t>3</w:t>
      </w:r>
      <w:r>
        <w:rPr>
          <w:spacing w:val="-15"/>
        </w:rPr>
        <w:t xml:space="preserve"> </w:t>
      </w:r>
      <w:r>
        <w:rPr>
          <w:spacing w:val="-4"/>
        </w:rPr>
        <w:t>exists</w:t>
      </w:r>
      <w:r>
        <w:rPr>
          <w:spacing w:val="-15"/>
        </w:rPr>
        <w:t xml:space="preserve"> </w:t>
      </w:r>
      <w:r>
        <w:rPr>
          <w:spacing w:val="-4"/>
        </w:rPr>
        <w:t>only</w:t>
      </w:r>
      <w:r>
        <w:rPr>
          <w:spacing w:val="-15"/>
        </w:rPr>
        <w:t xml:space="preserve"> </w:t>
      </w:r>
      <w:r>
        <w:rPr>
          <w:spacing w:val="-4"/>
        </w:rPr>
        <w:t>if</w:t>
      </w:r>
      <w:r>
        <w:rPr>
          <w:spacing w:val="-14"/>
        </w:rPr>
        <w:t xml:space="preserve"> </w:t>
      </w:r>
      <w:r>
        <w:rPr>
          <w:spacing w:val="-4"/>
        </w:rPr>
        <w:t>Plato</w:t>
      </w:r>
      <w:r>
        <w:rPr>
          <w:spacing w:val="-15"/>
        </w:rPr>
        <w:t xml:space="preserve"> </w:t>
      </w:r>
      <w:r>
        <w:rPr>
          <w:spacing w:val="-4"/>
        </w:rPr>
        <w:t>does—then</w:t>
      </w:r>
      <w:r>
        <w:rPr>
          <w:spacing w:val="-15"/>
        </w:rPr>
        <w:t xml:space="preserve"> </w:t>
      </w:r>
      <w:r>
        <w:rPr>
          <w:spacing w:val="-4"/>
        </w:rPr>
        <w:t>3</w:t>
      </w:r>
      <w:r>
        <w:rPr>
          <w:spacing w:val="-15"/>
        </w:rPr>
        <w:t xml:space="preserve"> </w:t>
      </w:r>
      <w:r>
        <w:rPr>
          <w:spacing w:val="-4"/>
        </w:rPr>
        <w:t>doesn’t</w:t>
      </w:r>
      <w:r>
        <w:rPr>
          <w:spacing w:val="-14"/>
        </w:rPr>
        <w:t xml:space="preserve"> </w:t>
      </w:r>
      <w:r>
        <w:rPr>
          <w:spacing w:val="-4"/>
        </w:rPr>
        <w:t>exist.</w:t>
      </w:r>
      <w:r>
        <w:rPr>
          <w:spacing w:val="-15"/>
        </w:rPr>
        <w:t xml:space="preserve"> </w:t>
      </w:r>
      <w:r>
        <w:rPr>
          <w:spacing w:val="-4"/>
        </w:rPr>
        <w:t>Salmon</w:t>
      </w:r>
      <w:r>
        <w:rPr>
          <w:spacing w:val="-15"/>
        </w:rPr>
        <w:t xml:space="preserve"> </w:t>
      </w:r>
      <w:r>
        <w:rPr>
          <w:spacing w:val="-4"/>
        </w:rPr>
        <w:t>and Soames,</w:t>
      </w:r>
      <w:r>
        <w:rPr>
          <w:spacing w:val="-15"/>
        </w:rPr>
        <w:t xml:space="preserve"> </w:t>
      </w:r>
      <w:r>
        <w:rPr>
          <w:spacing w:val="-4"/>
        </w:rPr>
        <w:t>both</w:t>
      </w:r>
      <w:r>
        <w:rPr>
          <w:spacing w:val="-15"/>
        </w:rPr>
        <w:t xml:space="preserve"> </w:t>
      </w:r>
      <w:r>
        <w:rPr>
          <w:spacing w:val="-4"/>
        </w:rPr>
        <w:t>of</w:t>
      </w:r>
      <w:r>
        <w:rPr>
          <w:spacing w:val="-15"/>
        </w:rPr>
        <w:t xml:space="preserve"> </w:t>
      </w:r>
      <w:r>
        <w:rPr>
          <w:spacing w:val="-4"/>
        </w:rPr>
        <w:t>them</w:t>
      </w:r>
      <w:r>
        <w:rPr>
          <w:spacing w:val="-14"/>
        </w:rPr>
        <w:t xml:space="preserve"> </w:t>
      </w:r>
      <w:r>
        <w:rPr>
          <w:spacing w:val="-4"/>
        </w:rPr>
        <w:t>hard-line</w:t>
      </w:r>
      <w:r>
        <w:rPr>
          <w:spacing w:val="-15"/>
        </w:rPr>
        <w:t xml:space="preserve"> </w:t>
      </w:r>
      <w:r>
        <w:rPr>
          <w:spacing w:val="-4"/>
        </w:rPr>
        <w:t>direct</w:t>
      </w:r>
      <w:r>
        <w:rPr>
          <w:spacing w:val="-15"/>
        </w:rPr>
        <w:t xml:space="preserve"> </w:t>
      </w:r>
      <w:r>
        <w:rPr>
          <w:spacing w:val="-4"/>
        </w:rPr>
        <w:t>reference</w:t>
      </w:r>
      <w:r>
        <w:rPr>
          <w:spacing w:val="-15"/>
        </w:rPr>
        <w:t xml:space="preserve"> </w:t>
      </w:r>
      <w:r>
        <w:rPr>
          <w:spacing w:val="-4"/>
        </w:rPr>
        <w:t>theorists,</w:t>
      </w:r>
      <w:r>
        <w:rPr>
          <w:spacing w:val="-14"/>
        </w:rPr>
        <w:t xml:space="preserve"> </w:t>
      </w:r>
      <w:r>
        <w:rPr>
          <w:spacing w:val="-4"/>
        </w:rPr>
        <w:t>deal</w:t>
      </w:r>
      <w:r>
        <w:rPr>
          <w:spacing w:val="-15"/>
        </w:rPr>
        <w:t xml:space="preserve"> </w:t>
      </w:r>
      <w:r>
        <w:rPr>
          <w:spacing w:val="-4"/>
        </w:rPr>
        <w:t>with</w:t>
      </w:r>
      <w:r>
        <w:rPr>
          <w:spacing w:val="-15"/>
        </w:rPr>
        <w:t xml:space="preserve"> </w:t>
      </w:r>
      <w:r>
        <w:rPr>
          <w:spacing w:val="-4"/>
        </w:rPr>
        <w:t>this</w:t>
      </w:r>
      <w:r>
        <w:rPr>
          <w:spacing w:val="-15"/>
        </w:rPr>
        <w:t xml:space="preserve"> </w:t>
      </w:r>
      <w:r>
        <w:rPr>
          <w:spacing w:val="-4"/>
        </w:rPr>
        <w:t>by</w:t>
      </w:r>
      <w:r>
        <w:rPr>
          <w:spacing w:val="-14"/>
        </w:rPr>
        <w:t xml:space="preserve"> </w:t>
      </w:r>
      <w:r>
        <w:rPr>
          <w:spacing w:val="-4"/>
        </w:rPr>
        <w:t xml:space="preserve">taking </w:t>
      </w:r>
      <w:r>
        <w:t>a</w:t>
      </w:r>
      <w:r>
        <w:rPr>
          <w:spacing w:val="40"/>
        </w:rPr>
        <w:t xml:space="preserve"> </w:t>
      </w:r>
      <w:r>
        <w:t>desperate</w:t>
      </w:r>
      <w:r>
        <w:rPr>
          <w:spacing w:val="-15"/>
        </w:rPr>
        <w:t xml:space="preserve"> </w:t>
      </w:r>
      <w:r>
        <w:t xml:space="preserve">measure, viz. by saying that 3 exists </w:t>
      </w:r>
      <w:r>
        <w:rPr>
          <w:i/>
        </w:rPr>
        <w:t xml:space="preserve">and </w:t>
      </w:r>
      <w:r>
        <w:t xml:space="preserve">that its existence constitutively depends on Plato’s existence </w:t>
      </w:r>
      <w:r>
        <w:rPr>
          <w:i/>
        </w:rPr>
        <w:t xml:space="preserve">and </w:t>
      </w:r>
      <w:r>
        <w:t>that these two positions can be</w:t>
      </w:r>
      <w:r>
        <w:rPr>
          <w:spacing w:val="-3"/>
        </w:rPr>
        <w:t xml:space="preserve"> </w:t>
      </w:r>
      <w:r>
        <w:t>reconciled</w:t>
      </w:r>
      <w:r>
        <w:rPr>
          <w:spacing w:val="-3"/>
        </w:rPr>
        <w:t xml:space="preserve"> </w:t>
      </w:r>
      <w:r>
        <w:t>with</w:t>
      </w:r>
      <w:r>
        <w:rPr>
          <w:spacing w:val="-3"/>
        </w:rPr>
        <w:t xml:space="preserve"> </w:t>
      </w:r>
      <w:r>
        <w:t>each</w:t>
      </w:r>
      <w:r>
        <w:rPr>
          <w:spacing w:val="-3"/>
        </w:rPr>
        <w:t xml:space="preserve"> </w:t>
      </w:r>
      <w:r>
        <w:t>other—that,</w:t>
      </w:r>
      <w:r>
        <w:rPr>
          <w:spacing w:val="-3"/>
        </w:rPr>
        <w:t xml:space="preserve"> </w:t>
      </w:r>
      <w:r>
        <w:t>more</w:t>
      </w:r>
      <w:r>
        <w:rPr>
          <w:spacing w:val="-3"/>
        </w:rPr>
        <w:t xml:space="preserve"> </w:t>
      </w:r>
      <w:r>
        <w:t>specifically,</w:t>
      </w:r>
      <w:r>
        <w:rPr>
          <w:spacing w:val="-3"/>
        </w:rPr>
        <w:t xml:space="preserve"> </w:t>
      </w:r>
      <w:r>
        <w:t>they</w:t>
      </w:r>
      <w:r>
        <w:rPr>
          <w:spacing w:val="-3"/>
        </w:rPr>
        <w:t xml:space="preserve"> </w:t>
      </w:r>
      <w:r>
        <w:t>can</w:t>
      </w:r>
      <w:r>
        <w:rPr>
          <w:spacing w:val="-3"/>
        </w:rPr>
        <w:t xml:space="preserve"> </w:t>
      </w:r>
      <w:r>
        <w:t>be</w:t>
      </w:r>
      <w:r>
        <w:rPr>
          <w:spacing w:val="-3"/>
        </w:rPr>
        <w:t xml:space="preserve"> </w:t>
      </w:r>
      <w:r>
        <w:t>reconciled by saying that 3 exists, albeit as a non-existent proposition.</w:t>
      </w:r>
    </w:p>
    <w:p w14:paraId="7E000B59" w14:textId="77777777" w:rsidR="009A58DB" w:rsidRDefault="00000000">
      <w:pPr>
        <w:pStyle w:val="BodyText"/>
        <w:spacing w:before="8" w:line="249" w:lineRule="auto"/>
        <w:ind w:right="358" w:firstLine="360"/>
      </w:pPr>
      <w:r>
        <w:t>This is not necessary or plausible or helpful. 3 exists. Plato does not. But the</w:t>
      </w:r>
      <w:r>
        <w:rPr>
          <w:spacing w:val="-3"/>
        </w:rPr>
        <w:t xml:space="preserve"> </w:t>
      </w:r>
      <w:r>
        <w:t>property</w:t>
      </w:r>
      <w:r>
        <w:rPr>
          <w:spacing w:val="-2"/>
        </w:rPr>
        <w:t xml:space="preserve"> </w:t>
      </w:r>
      <w:r>
        <w:t>of</w:t>
      </w:r>
      <w:r>
        <w:rPr>
          <w:spacing w:val="-3"/>
        </w:rPr>
        <w:t xml:space="preserve"> </w:t>
      </w:r>
      <w:r>
        <w:t>being</w:t>
      </w:r>
      <w:r>
        <w:rPr>
          <w:spacing w:val="-2"/>
        </w:rPr>
        <w:t xml:space="preserve"> </w:t>
      </w:r>
      <w:r>
        <w:t>identical</w:t>
      </w:r>
      <w:r>
        <w:rPr>
          <w:spacing w:val="-3"/>
        </w:rPr>
        <w:t xml:space="preserve"> </w:t>
      </w:r>
      <w:r>
        <w:t>with</w:t>
      </w:r>
      <w:r>
        <w:rPr>
          <w:spacing w:val="-2"/>
        </w:rPr>
        <w:t xml:space="preserve"> </w:t>
      </w:r>
      <w:r>
        <w:t>Plato,</w:t>
      </w:r>
      <w:r>
        <w:rPr>
          <w:spacing w:val="-2"/>
        </w:rPr>
        <w:t xml:space="preserve"> </w:t>
      </w:r>
      <w:r>
        <w:t>whatever</w:t>
      </w:r>
      <w:r>
        <w:rPr>
          <w:spacing w:val="-3"/>
        </w:rPr>
        <w:t xml:space="preserve"> </w:t>
      </w:r>
      <w:r>
        <w:t>it</w:t>
      </w:r>
      <w:r>
        <w:rPr>
          <w:spacing w:val="-3"/>
        </w:rPr>
        <w:t xml:space="preserve"> </w:t>
      </w:r>
      <w:r>
        <w:t>is,</w:t>
      </w:r>
      <w:r>
        <w:rPr>
          <w:spacing w:val="-2"/>
        </w:rPr>
        <w:t xml:space="preserve"> </w:t>
      </w:r>
      <w:r>
        <w:t>does</w:t>
      </w:r>
      <w:r>
        <w:rPr>
          <w:spacing w:val="-3"/>
        </w:rPr>
        <w:t xml:space="preserve"> </w:t>
      </w:r>
      <w:r>
        <w:t>exist.</w:t>
      </w:r>
      <w:r>
        <w:rPr>
          <w:spacing w:val="-2"/>
        </w:rPr>
        <w:t xml:space="preserve"> </w:t>
      </w:r>
      <w:r>
        <w:t>What</w:t>
      </w:r>
      <w:r>
        <w:rPr>
          <w:spacing w:val="-3"/>
        </w:rPr>
        <w:t xml:space="preserve"> </w:t>
      </w:r>
      <w:r>
        <w:t>is</w:t>
      </w:r>
      <w:r>
        <w:rPr>
          <w:spacing w:val="-3"/>
        </w:rPr>
        <w:t xml:space="preserve"> </w:t>
      </w:r>
      <w:r>
        <w:t xml:space="preserve">it to be Plato? To be Plato is, perhaps, to be a causal sequence that is initiated by the fertilizing of a certain egg by a certain spermatozoa. To be Plato is, perhaps, to have a soul or mind of a certain kind. What we know is that, if something is Plato, its being Plato supervenes on something probably having to do with the mass-energy distribution in the cosmos—on its mode of origination, on the quotient of spiritual energy in the particle-interactions that constitute it, on who knows what. In any case, even though Plato does not exist, the property of being identical with Plato does. That’s why I can meaningfully, not to mention correctly, say “I am not Plato” or, equivalently, “I don’t have the property of being identical with Plato.” And it’s also why we can meaningfully, and presumably correctly, say that Plato does not exist. For, in making such a statement, we aren’t picking out a non-object—which would, having been picked out, </w:t>
      </w:r>
      <w:r>
        <w:rPr>
          <w:i/>
        </w:rPr>
        <w:t>ipso facto</w:t>
      </w:r>
      <w:r>
        <w:rPr>
          <w:i/>
          <w:spacing w:val="80"/>
        </w:rPr>
        <w:t xml:space="preserve"> </w:t>
      </w:r>
      <w:r>
        <w:t>cease to be a non-object—and</w:t>
      </w:r>
      <w:r>
        <w:rPr>
          <w:spacing w:val="40"/>
        </w:rPr>
        <w:t xml:space="preserve"> </w:t>
      </w:r>
      <w:r>
        <w:t>then saying of it that it doesn’t exist. We are saying of an existing property, viz. that of being identical with Plato, that it is uninstantiated.</w:t>
      </w:r>
    </w:p>
    <w:p w14:paraId="7E000B5A" w14:textId="77777777" w:rsidR="009A58DB" w:rsidRDefault="00000000">
      <w:pPr>
        <w:pStyle w:val="BodyText"/>
        <w:spacing w:before="21" w:line="249" w:lineRule="auto"/>
        <w:ind w:right="358" w:firstLine="360"/>
      </w:pPr>
      <w:r>
        <w:t>But</w:t>
      </w:r>
      <w:r>
        <w:rPr>
          <w:spacing w:val="-3"/>
        </w:rPr>
        <w:t xml:space="preserve"> </w:t>
      </w:r>
      <w:r>
        <w:t>our</w:t>
      </w:r>
      <w:r>
        <w:rPr>
          <w:spacing w:val="-3"/>
        </w:rPr>
        <w:t xml:space="preserve"> </w:t>
      </w:r>
      <w:r>
        <w:t>analysis</w:t>
      </w:r>
      <w:r>
        <w:rPr>
          <w:spacing w:val="-3"/>
        </w:rPr>
        <w:t xml:space="preserve"> </w:t>
      </w:r>
      <w:r>
        <w:t>is</w:t>
      </w:r>
      <w:r>
        <w:rPr>
          <w:spacing w:val="-3"/>
        </w:rPr>
        <w:t xml:space="preserve"> </w:t>
      </w:r>
      <w:r>
        <w:t>still</w:t>
      </w:r>
      <w:r>
        <w:rPr>
          <w:spacing w:val="-3"/>
        </w:rPr>
        <w:t xml:space="preserve"> </w:t>
      </w:r>
      <w:r>
        <w:t>consistent</w:t>
      </w:r>
      <w:r>
        <w:rPr>
          <w:spacing w:val="-3"/>
        </w:rPr>
        <w:t xml:space="preserve"> </w:t>
      </w:r>
      <w:r>
        <w:t>with</w:t>
      </w:r>
      <w:r>
        <w:rPr>
          <w:spacing w:val="-3"/>
        </w:rPr>
        <w:t xml:space="preserve"> </w:t>
      </w:r>
      <w:r>
        <w:t>the</w:t>
      </w:r>
      <w:r>
        <w:rPr>
          <w:spacing w:val="-3"/>
        </w:rPr>
        <w:t xml:space="preserve"> </w:t>
      </w:r>
      <w:r>
        <w:t>heart</w:t>
      </w:r>
      <w:r>
        <w:rPr>
          <w:spacing w:val="-3"/>
        </w:rPr>
        <w:t xml:space="preserve"> </w:t>
      </w:r>
      <w:r>
        <w:t>of</w:t>
      </w:r>
      <w:r>
        <w:rPr>
          <w:spacing w:val="-3"/>
        </w:rPr>
        <w:t xml:space="preserve"> </w:t>
      </w:r>
      <w:r>
        <w:t>direct-reference-theory, this</w:t>
      </w:r>
      <w:r>
        <w:rPr>
          <w:spacing w:val="39"/>
        </w:rPr>
        <w:t xml:space="preserve"> </w:t>
      </w:r>
      <w:r>
        <w:t>being</w:t>
      </w:r>
      <w:r>
        <w:rPr>
          <w:spacing w:val="39"/>
        </w:rPr>
        <w:t xml:space="preserve"> </w:t>
      </w:r>
      <w:r>
        <w:t>the</w:t>
      </w:r>
      <w:r>
        <w:rPr>
          <w:spacing w:val="39"/>
        </w:rPr>
        <w:t xml:space="preserve"> </w:t>
      </w:r>
      <w:r>
        <w:t>idea</w:t>
      </w:r>
      <w:r>
        <w:rPr>
          <w:spacing w:val="39"/>
        </w:rPr>
        <w:t xml:space="preserve"> </w:t>
      </w:r>
      <w:r>
        <w:t>that,</w:t>
      </w:r>
      <w:r>
        <w:rPr>
          <w:spacing w:val="40"/>
        </w:rPr>
        <w:t xml:space="preserve"> </w:t>
      </w:r>
      <w:r>
        <w:t>for</w:t>
      </w:r>
      <w:r>
        <w:rPr>
          <w:spacing w:val="39"/>
        </w:rPr>
        <w:t xml:space="preserve"> </w:t>
      </w:r>
      <w:r>
        <w:t>some</w:t>
      </w:r>
      <w:r>
        <w:rPr>
          <w:spacing w:val="39"/>
        </w:rPr>
        <w:t xml:space="preserve"> </w:t>
      </w:r>
      <w:r>
        <w:t>x</w:t>
      </w:r>
      <w:r>
        <w:rPr>
          <w:spacing w:val="39"/>
        </w:rPr>
        <w:t xml:space="preserve"> </w:t>
      </w:r>
      <w:r>
        <w:t>such</w:t>
      </w:r>
      <w:r>
        <w:rPr>
          <w:spacing w:val="39"/>
        </w:rPr>
        <w:t xml:space="preserve"> </w:t>
      </w:r>
      <w:r>
        <w:t>that</w:t>
      </w:r>
      <w:r>
        <w:rPr>
          <w:spacing w:val="39"/>
        </w:rPr>
        <w:t xml:space="preserve"> </w:t>
      </w:r>
      <w:r>
        <w:t>x</w:t>
      </w:r>
      <w:r>
        <w:rPr>
          <w:spacing w:val="40"/>
        </w:rPr>
        <w:t xml:space="preserve"> </w:t>
      </w:r>
      <w:r>
        <w:t>is</w:t>
      </w:r>
      <w:r>
        <w:rPr>
          <w:spacing w:val="39"/>
        </w:rPr>
        <w:t xml:space="preserve"> </w:t>
      </w:r>
      <w:r>
        <w:t>identical</w:t>
      </w:r>
      <w:r>
        <w:rPr>
          <w:spacing w:val="39"/>
        </w:rPr>
        <w:t xml:space="preserve"> </w:t>
      </w:r>
      <w:r>
        <w:t>with</w:t>
      </w:r>
      <w:r>
        <w:rPr>
          <w:spacing w:val="39"/>
        </w:rPr>
        <w:t xml:space="preserve"> </w:t>
      </w:r>
      <w:r>
        <w:t>Plato,</w:t>
      </w:r>
      <w:r>
        <w:rPr>
          <w:spacing w:val="39"/>
        </w:rPr>
        <w:t xml:space="preserve"> </w:t>
      </w:r>
      <w:r>
        <w:t>the</w:t>
      </w:r>
    </w:p>
    <w:p w14:paraId="7E000B5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5C" w14:textId="77777777" w:rsidR="009A58DB" w:rsidRDefault="00000000">
      <w:pPr>
        <w:pStyle w:val="BodyText"/>
        <w:spacing w:before="60" w:line="249" w:lineRule="auto"/>
        <w:ind w:right="362"/>
      </w:pPr>
      <w:r>
        <w:lastRenderedPageBreak/>
        <w:t>proposition meant by “Plato snores” is true just in case x snores, it being completely irrelevant what properties (other than being a snorer) x has. (The Fregean indirectreferentialist holds that for “Plato snores” to be correct is necessary that, for example, a unique great philosopher to die of hemlock-poisoning snore.) It is clear why our analysis is consistent on this matter with the viewpoint of the direct referentialist. According to our analysis, 3 is true exactly if the following properties are instantiated:</w:t>
      </w:r>
    </w:p>
    <w:p w14:paraId="7E000B5D" w14:textId="77777777" w:rsidR="009A58DB" w:rsidRDefault="00000000">
      <w:pPr>
        <w:pStyle w:val="ListParagraph"/>
        <w:numPr>
          <w:ilvl w:val="1"/>
          <w:numId w:val="199"/>
        </w:numPr>
        <w:tabs>
          <w:tab w:val="left" w:pos="793"/>
        </w:tabs>
        <w:spacing w:before="73"/>
        <w:ind w:hanging="433"/>
        <w:rPr>
          <w:sz w:val="30"/>
        </w:rPr>
      </w:pPr>
      <w:r>
        <w:rPr>
          <w:sz w:val="30"/>
        </w:rPr>
        <w:t>the</w:t>
      </w:r>
      <w:r>
        <w:rPr>
          <w:spacing w:val="-6"/>
          <w:sz w:val="30"/>
        </w:rPr>
        <w:t xml:space="preserve"> </w:t>
      </w:r>
      <w:r>
        <w:rPr>
          <w:sz w:val="30"/>
        </w:rPr>
        <w:t>property</w:t>
      </w:r>
      <w:r>
        <w:rPr>
          <w:spacing w:val="-3"/>
          <w:sz w:val="30"/>
        </w:rPr>
        <w:t xml:space="preserve"> </w:t>
      </w:r>
      <w:r>
        <w:rPr>
          <w:sz w:val="30"/>
        </w:rPr>
        <w:t>of</w:t>
      </w:r>
      <w:r>
        <w:rPr>
          <w:spacing w:val="-3"/>
          <w:sz w:val="30"/>
        </w:rPr>
        <w:t xml:space="preserve"> </w:t>
      </w:r>
      <w:r>
        <w:rPr>
          <w:sz w:val="30"/>
        </w:rPr>
        <w:t>being</w:t>
      </w:r>
      <w:r>
        <w:rPr>
          <w:spacing w:val="-3"/>
          <w:sz w:val="30"/>
        </w:rPr>
        <w:t xml:space="preserve"> </w:t>
      </w:r>
      <w:r>
        <w:rPr>
          <w:sz w:val="30"/>
        </w:rPr>
        <w:t>identical</w:t>
      </w:r>
      <w:r>
        <w:rPr>
          <w:spacing w:val="-4"/>
          <w:sz w:val="30"/>
        </w:rPr>
        <w:t xml:space="preserve"> </w:t>
      </w:r>
      <w:r>
        <w:rPr>
          <w:sz w:val="30"/>
        </w:rPr>
        <w:t>with</w:t>
      </w:r>
      <w:r>
        <w:rPr>
          <w:spacing w:val="-2"/>
          <w:sz w:val="30"/>
        </w:rPr>
        <w:t xml:space="preserve"> Plato</w:t>
      </w:r>
    </w:p>
    <w:p w14:paraId="7E000B5E" w14:textId="77777777" w:rsidR="009A58DB" w:rsidRDefault="00000000">
      <w:pPr>
        <w:pStyle w:val="ListParagraph"/>
        <w:numPr>
          <w:ilvl w:val="1"/>
          <w:numId w:val="199"/>
        </w:numPr>
        <w:tabs>
          <w:tab w:val="left" w:pos="809"/>
        </w:tabs>
        <w:spacing w:before="15"/>
        <w:ind w:left="809" w:hanging="449"/>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2"/>
          <w:sz w:val="30"/>
        </w:rPr>
        <w:t xml:space="preserve"> snoring</w:t>
      </w:r>
    </w:p>
    <w:p w14:paraId="7E000B5F" w14:textId="77777777" w:rsidR="009A58DB" w:rsidRDefault="00000000">
      <w:pPr>
        <w:pStyle w:val="ListParagraph"/>
        <w:numPr>
          <w:ilvl w:val="1"/>
          <w:numId w:val="199"/>
        </w:numPr>
        <w:tabs>
          <w:tab w:val="left" w:pos="793"/>
        </w:tabs>
        <w:spacing w:before="15"/>
        <w:ind w:hanging="433"/>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z w:val="30"/>
        </w:rPr>
        <w:t>a</w:t>
      </w:r>
      <w:r>
        <w:rPr>
          <w:spacing w:val="-3"/>
          <w:sz w:val="30"/>
        </w:rPr>
        <w:t xml:space="preserve"> </w:t>
      </w:r>
      <w:r>
        <w:rPr>
          <w:sz w:val="30"/>
        </w:rPr>
        <w:t>Plato</w:t>
      </w:r>
      <w:r>
        <w:rPr>
          <w:spacing w:val="-2"/>
          <w:sz w:val="30"/>
        </w:rPr>
        <w:t xml:space="preserve"> </w:t>
      </w:r>
      <w:r>
        <w:rPr>
          <w:sz w:val="30"/>
        </w:rPr>
        <w:t>who</w:t>
      </w:r>
      <w:r>
        <w:rPr>
          <w:spacing w:val="-1"/>
          <w:sz w:val="30"/>
        </w:rPr>
        <w:t xml:space="preserve"> </w:t>
      </w:r>
      <w:r>
        <w:rPr>
          <w:spacing w:val="-2"/>
          <w:sz w:val="30"/>
        </w:rPr>
        <w:t>snores</w:t>
      </w:r>
    </w:p>
    <w:p w14:paraId="7E000B60" w14:textId="77777777" w:rsidR="009A58DB" w:rsidRDefault="00000000">
      <w:pPr>
        <w:pStyle w:val="ListParagraph"/>
        <w:numPr>
          <w:ilvl w:val="1"/>
          <w:numId w:val="199"/>
        </w:numPr>
        <w:tabs>
          <w:tab w:val="left" w:pos="809"/>
        </w:tabs>
        <w:spacing w:before="15"/>
        <w:ind w:left="809" w:hanging="449"/>
        <w:rPr>
          <w:sz w:val="30"/>
        </w:rPr>
      </w:pPr>
      <w:r>
        <w:rPr>
          <w:sz w:val="30"/>
        </w:rPr>
        <w:t>the</w:t>
      </w:r>
      <w:r>
        <w:rPr>
          <w:spacing w:val="-6"/>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3"/>
          <w:sz w:val="30"/>
        </w:rPr>
        <w:t xml:space="preserve"> </w:t>
      </w:r>
      <w:r>
        <w:rPr>
          <w:sz w:val="30"/>
        </w:rPr>
        <w:t>something</w:t>
      </w:r>
      <w:r>
        <w:rPr>
          <w:spacing w:val="-2"/>
          <w:sz w:val="30"/>
        </w:rPr>
        <w:t xml:space="preserve"> </w:t>
      </w:r>
      <w:r>
        <w:rPr>
          <w:sz w:val="30"/>
        </w:rPr>
        <w:t>that</w:t>
      </w:r>
      <w:r>
        <w:rPr>
          <w:spacing w:val="-3"/>
          <w:sz w:val="30"/>
        </w:rPr>
        <w:t xml:space="preserve"> </w:t>
      </w:r>
      <w:r>
        <w:rPr>
          <w:spacing w:val="-2"/>
          <w:sz w:val="30"/>
        </w:rPr>
        <w:t>snores</w:t>
      </w:r>
    </w:p>
    <w:p w14:paraId="7E000B61" w14:textId="77777777" w:rsidR="009A58DB" w:rsidRDefault="00000000">
      <w:pPr>
        <w:pStyle w:val="ListParagraph"/>
        <w:numPr>
          <w:ilvl w:val="1"/>
          <w:numId w:val="199"/>
        </w:numPr>
        <w:tabs>
          <w:tab w:val="left" w:pos="1021"/>
        </w:tabs>
        <w:spacing w:before="15" w:line="249" w:lineRule="auto"/>
        <w:ind w:left="360" w:right="365" w:firstLine="0"/>
        <w:rPr>
          <w:sz w:val="30"/>
        </w:rPr>
      </w:pPr>
      <w:r>
        <w:rPr>
          <w:sz w:val="30"/>
        </w:rPr>
        <w:t>the</w:t>
      </w:r>
      <w:r>
        <w:rPr>
          <w:spacing w:val="40"/>
          <w:sz w:val="30"/>
        </w:rPr>
        <w:t xml:space="preserve"> </w:t>
      </w:r>
      <w:r>
        <w:rPr>
          <w:sz w:val="30"/>
        </w:rPr>
        <w:t>property</w:t>
      </w:r>
      <w:r>
        <w:rPr>
          <w:spacing w:val="40"/>
          <w:sz w:val="30"/>
        </w:rPr>
        <w:t xml:space="preserve"> </w:t>
      </w:r>
      <w:r>
        <w:rPr>
          <w:sz w:val="30"/>
        </w:rPr>
        <w:t>of</w:t>
      </w:r>
      <w:r>
        <w:rPr>
          <w:spacing w:val="40"/>
          <w:sz w:val="30"/>
        </w:rPr>
        <w:t xml:space="preserve"> </w:t>
      </w:r>
      <w:r>
        <w:rPr>
          <w:sz w:val="30"/>
        </w:rPr>
        <w:t>being</w:t>
      </w:r>
      <w:r>
        <w:rPr>
          <w:spacing w:val="40"/>
          <w:sz w:val="30"/>
        </w:rPr>
        <w:t xml:space="preserve"> </w:t>
      </w:r>
      <w:r>
        <w:rPr>
          <w:sz w:val="30"/>
        </w:rPr>
        <w:t>something</w:t>
      </w:r>
      <w:r>
        <w:rPr>
          <w:spacing w:val="40"/>
          <w:sz w:val="30"/>
        </w:rPr>
        <w:t xml:space="preserve"> </w:t>
      </w:r>
      <w:r>
        <w:rPr>
          <w:sz w:val="30"/>
        </w:rPr>
        <w:t>that</w:t>
      </w:r>
      <w:r>
        <w:rPr>
          <w:spacing w:val="40"/>
          <w:sz w:val="30"/>
        </w:rPr>
        <w:t xml:space="preserve"> </w:t>
      </w:r>
      <w:r>
        <w:rPr>
          <w:sz w:val="30"/>
        </w:rPr>
        <w:t>does</w:t>
      </w:r>
      <w:r>
        <w:rPr>
          <w:spacing w:val="40"/>
          <w:sz w:val="30"/>
        </w:rPr>
        <w:t xml:space="preserve"> </w:t>
      </w:r>
      <w:r>
        <w:rPr>
          <w:sz w:val="30"/>
        </w:rPr>
        <w:t>something</w:t>
      </w:r>
      <w:r>
        <w:rPr>
          <w:spacing w:val="40"/>
          <w:sz w:val="30"/>
        </w:rPr>
        <w:t xml:space="preserve"> </w:t>
      </w:r>
      <w:r>
        <w:rPr>
          <w:sz w:val="30"/>
        </w:rPr>
        <w:t>(or</w:t>
      </w:r>
      <w:r>
        <w:rPr>
          <w:spacing w:val="40"/>
          <w:sz w:val="30"/>
        </w:rPr>
        <w:t xml:space="preserve"> </w:t>
      </w:r>
      <w:r>
        <w:rPr>
          <w:sz w:val="30"/>
        </w:rPr>
        <w:t>has</w:t>
      </w:r>
      <w:r>
        <w:rPr>
          <w:spacing w:val="40"/>
          <w:sz w:val="30"/>
        </w:rPr>
        <w:t xml:space="preserve"> </w:t>
      </w:r>
      <w:r>
        <w:rPr>
          <w:sz w:val="30"/>
        </w:rPr>
        <w:t>some</w:t>
      </w:r>
      <w:r>
        <w:rPr>
          <w:spacing w:val="80"/>
          <w:w w:val="150"/>
          <w:sz w:val="30"/>
        </w:rPr>
        <w:t xml:space="preserve"> </w:t>
      </w:r>
      <w:r>
        <w:rPr>
          <w:spacing w:val="-2"/>
          <w:sz w:val="30"/>
        </w:rPr>
        <w:t>property)</w:t>
      </w:r>
    </w:p>
    <w:p w14:paraId="7E000B62" w14:textId="77777777" w:rsidR="009A58DB" w:rsidRDefault="00000000">
      <w:pPr>
        <w:pStyle w:val="BodyText"/>
        <w:spacing w:before="108" w:line="249" w:lineRule="auto"/>
        <w:ind w:right="358"/>
      </w:pPr>
      <w:r>
        <w:t>It</w:t>
      </w:r>
      <w:r>
        <w:rPr>
          <w:spacing w:val="-2"/>
        </w:rPr>
        <w:t xml:space="preserve"> </w:t>
      </w:r>
      <w:r>
        <w:t>is</w:t>
      </w:r>
      <w:r>
        <w:rPr>
          <w:spacing w:val="-2"/>
        </w:rPr>
        <w:t xml:space="preserve"> </w:t>
      </w:r>
      <w:r>
        <w:t>readily</w:t>
      </w:r>
      <w:r>
        <w:rPr>
          <w:spacing w:val="-2"/>
        </w:rPr>
        <w:t xml:space="preserve"> </w:t>
      </w:r>
      <w:r>
        <w:t>seen</w:t>
      </w:r>
      <w:r>
        <w:rPr>
          <w:spacing w:val="-2"/>
        </w:rPr>
        <w:t xml:space="preserve"> </w:t>
      </w:r>
      <w:r>
        <w:t>that,</w:t>
      </w:r>
      <w:r>
        <w:rPr>
          <w:spacing w:val="-2"/>
        </w:rPr>
        <w:t xml:space="preserve"> </w:t>
      </w:r>
      <w:r>
        <w:t>on</w:t>
      </w:r>
      <w:r>
        <w:rPr>
          <w:spacing w:val="-2"/>
        </w:rPr>
        <w:t xml:space="preserve"> </w:t>
      </w:r>
      <w:r>
        <w:t>our</w:t>
      </w:r>
      <w:r>
        <w:rPr>
          <w:spacing w:val="-2"/>
        </w:rPr>
        <w:t xml:space="preserve"> </w:t>
      </w:r>
      <w:r>
        <w:t>analysis,</w:t>
      </w:r>
      <w:r>
        <w:rPr>
          <w:spacing w:val="-2"/>
        </w:rPr>
        <w:t xml:space="preserve"> </w:t>
      </w:r>
      <w:r>
        <w:t>there</w:t>
      </w:r>
      <w:r>
        <w:rPr>
          <w:spacing w:val="-2"/>
        </w:rPr>
        <w:t xml:space="preserve"> </w:t>
      </w:r>
      <w:r>
        <w:t>is</w:t>
      </w:r>
      <w:r>
        <w:rPr>
          <w:spacing w:val="-2"/>
        </w:rPr>
        <w:t xml:space="preserve"> </w:t>
      </w:r>
      <w:r>
        <w:t>some</w:t>
      </w:r>
      <w:r>
        <w:rPr>
          <w:spacing w:val="-2"/>
        </w:rPr>
        <w:t xml:space="preserve"> </w:t>
      </w:r>
      <w:r>
        <w:t>x,</w:t>
      </w:r>
      <w:r>
        <w:rPr>
          <w:spacing w:val="-2"/>
        </w:rPr>
        <w:t xml:space="preserve"> </w:t>
      </w:r>
      <w:r>
        <w:t>such</w:t>
      </w:r>
      <w:r>
        <w:rPr>
          <w:spacing w:val="-2"/>
        </w:rPr>
        <w:t xml:space="preserve"> </w:t>
      </w:r>
      <w:r>
        <w:t>that</w:t>
      </w:r>
      <w:r>
        <w:rPr>
          <w:spacing w:val="-2"/>
        </w:rPr>
        <w:t xml:space="preserve"> </w:t>
      </w:r>
      <w:r>
        <w:t>x</w:t>
      </w:r>
      <w:r>
        <w:rPr>
          <w:spacing w:val="-2"/>
        </w:rPr>
        <w:t xml:space="preserve"> </w:t>
      </w:r>
      <w:r>
        <w:t>is</w:t>
      </w:r>
      <w:r>
        <w:rPr>
          <w:spacing w:val="-2"/>
        </w:rPr>
        <w:t xml:space="preserve"> </w:t>
      </w:r>
      <w:r>
        <w:t>Plato</w:t>
      </w:r>
      <w:r>
        <w:rPr>
          <w:spacing w:val="-2"/>
        </w:rPr>
        <w:t xml:space="preserve"> </w:t>
      </w:r>
      <w:r>
        <w:t xml:space="preserve">and such that 3 is true exactly if x snores, it being irrelevant what other properties x has. This is exactly what the direct-referentialist holds. At the same time, our analysis guarantees the existence of the proposition </w:t>
      </w:r>
      <w:r>
        <w:rPr>
          <w:i/>
        </w:rPr>
        <w:t>that Plato snores</w:t>
      </w:r>
      <w:r>
        <w:t xml:space="preserve">—after all, the </w:t>
      </w:r>
      <w:r>
        <w:rPr>
          <w:i/>
        </w:rPr>
        <w:t xml:space="preserve">property </w:t>
      </w:r>
      <w:r>
        <w:t>of being Plato exists, even though it is now uninstantiated.</w:t>
      </w:r>
      <w:r>
        <w:rPr>
          <w:spacing w:val="-3"/>
        </w:rPr>
        <w:t xml:space="preserve"> </w:t>
      </w:r>
      <w:r>
        <w:t>So</w:t>
      </w:r>
      <w:r>
        <w:rPr>
          <w:spacing w:val="-3"/>
        </w:rPr>
        <w:t xml:space="preserve"> </w:t>
      </w:r>
      <w:r>
        <w:t>our</w:t>
      </w:r>
      <w:r>
        <w:rPr>
          <w:spacing w:val="-4"/>
        </w:rPr>
        <w:t xml:space="preserve"> </w:t>
      </w:r>
      <w:r>
        <w:t>analysis</w:t>
      </w:r>
      <w:r>
        <w:rPr>
          <w:spacing w:val="-4"/>
        </w:rPr>
        <w:t xml:space="preserve"> </w:t>
      </w:r>
      <w:r>
        <w:t>of</w:t>
      </w:r>
      <w:r>
        <w:rPr>
          <w:spacing w:val="-4"/>
        </w:rPr>
        <w:t xml:space="preserve"> </w:t>
      </w:r>
      <w:r>
        <w:rPr>
          <w:i/>
        </w:rPr>
        <w:t>that</w:t>
      </w:r>
      <w:r>
        <w:rPr>
          <w:i/>
          <w:spacing w:val="-4"/>
        </w:rPr>
        <w:t xml:space="preserve"> </w:t>
      </w:r>
      <w:r>
        <w:rPr>
          <w:i/>
        </w:rPr>
        <w:t>Plato</w:t>
      </w:r>
      <w:r>
        <w:rPr>
          <w:i/>
          <w:spacing w:val="-3"/>
        </w:rPr>
        <w:t xml:space="preserve"> </w:t>
      </w:r>
      <w:r>
        <w:rPr>
          <w:i/>
        </w:rPr>
        <w:t>snores</w:t>
      </w:r>
      <w:r>
        <w:rPr>
          <w:i/>
          <w:spacing w:val="-4"/>
        </w:rPr>
        <w:t xml:space="preserve"> </w:t>
      </w:r>
      <w:r>
        <w:t>gives the direct-reference-theorist the truth conditions that she wants and that (given certain compelling arguments due to Kripke 1980 and Soames 2003, 2004) she probably deserves. At the same time, our analysis doesn’t put the direct-reference-theorist in the awkward, logic-bending position of having to say that the proposition that Plato snores exists despite the failure of existence of entities on whose existence its own existence is constitutively dependent.</w:t>
      </w:r>
    </w:p>
    <w:p w14:paraId="7E000B63" w14:textId="77777777" w:rsidR="009A58DB" w:rsidRDefault="009A58DB">
      <w:pPr>
        <w:pStyle w:val="BodyText"/>
        <w:spacing w:before="22"/>
        <w:ind w:left="0"/>
        <w:jc w:val="left"/>
      </w:pPr>
    </w:p>
    <w:p w14:paraId="7E000B64" w14:textId="77777777" w:rsidR="009A58DB" w:rsidRDefault="00000000">
      <w:pPr>
        <w:pStyle w:val="Heading1"/>
        <w:numPr>
          <w:ilvl w:val="0"/>
          <w:numId w:val="203"/>
        </w:numPr>
        <w:tabs>
          <w:tab w:val="left" w:pos="990"/>
        </w:tabs>
        <w:spacing w:before="1"/>
        <w:ind w:left="990" w:hanging="630"/>
      </w:pPr>
      <w:r>
        <w:t>Molecular</w:t>
      </w:r>
      <w:r>
        <w:rPr>
          <w:spacing w:val="-7"/>
        </w:rPr>
        <w:t xml:space="preserve"> </w:t>
      </w:r>
      <w:r>
        <w:rPr>
          <w:spacing w:val="-2"/>
        </w:rPr>
        <w:t>propositions</w:t>
      </w:r>
    </w:p>
    <w:p w14:paraId="7E000B65" w14:textId="77777777" w:rsidR="009A58DB" w:rsidRDefault="00000000">
      <w:pPr>
        <w:pStyle w:val="BodyText"/>
        <w:spacing w:before="19" w:line="249" w:lineRule="auto"/>
        <w:ind w:right="358"/>
      </w:pPr>
      <w:r>
        <w:t>(Because this section and the three that follow it are more technical than substantive, I suggest skipping straight to Section 4.0 on a first and probably</w:t>
      </w:r>
      <w:r>
        <w:rPr>
          <w:spacing w:val="40"/>
        </w:rPr>
        <w:t xml:space="preserve"> </w:t>
      </w:r>
      <w:r>
        <w:t>a</w:t>
      </w:r>
      <w:r>
        <w:rPr>
          <w:spacing w:val="-1"/>
        </w:rPr>
        <w:t xml:space="preserve"> </w:t>
      </w:r>
      <w:r>
        <w:t>second</w:t>
      </w:r>
      <w:r>
        <w:rPr>
          <w:spacing w:val="-1"/>
        </w:rPr>
        <w:t xml:space="preserve"> </w:t>
      </w:r>
      <w:r>
        <w:t>reading.)</w:t>
      </w:r>
      <w:r>
        <w:rPr>
          <w:spacing w:val="-1"/>
        </w:rPr>
        <w:t xml:space="preserve"> </w:t>
      </w:r>
      <w:r>
        <w:t>Our</w:t>
      </w:r>
      <w:r>
        <w:rPr>
          <w:spacing w:val="-1"/>
        </w:rPr>
        <w:t xml:space="preserve"> </w:t>
      </w:r>
      <w:r>
        <w:t>analysis</w:t>
      </w:r>
      <w:r>
        <w:rPr>
          <w:spacing w:val="-1"/>
        </w:rPr>
        <w:t xml:space="preserve"> </w:t>
      </w:r>
      <w:r>
        <w:t>applies</w:t>
      </w:r>
      <w:r>
        <w:rPr>
          <w:spacing w:val="-1"/>
        </w:rPr>
        <w:t xml:space="preserve"> </w:t>
      </w:r>
      <w:r>
        <w:t>to</w:t>
      </w:r>
      <w:r>
        <w:rPr>
          <w:spacing w:val="-1"/>
        </w:rPr>
        <w:t xml:space="preserve"> </w:t>
      </w:r>
      <w:r>
        <w:t>molecular</w:t>
      </w:r>
      <w:r>
        <w:rPr>
          <w:spacing w:val="-1"/>
        </w:rPr>
        <w:t xml:space="preserve"> </w:t>
      </w:r>
      <w:r>
        <w:t>propositions</w:t>
      </w:r>
      <w:r>
        <w:rPr>
          <w:spacing w:val="-1"/>
        </w:rPr>
        <w:t xml:space="preserve"> </w:t>
      </w:r>
      <w:r>
        <w:t>no</w:t>
      </w:r>
      <w:r>
        <w:rPr>
          <w:spacing w:val="-1"/>
        </w:rPr>
        <w:t xml:space="preserve"> </w:t>
      </w:r>
      <w:r>
        <w:t>less</w:t>
      </w:r>
      <w:r>
        <w:rPr>
          <w:spacing w:val="-1"/>
        </w:rPr>
        <w:t xml:space="preserve"> </w:t>
      </w:r>
      <w:r>
        <w:t>than to atomic propositions. But making this transposition go through will involve a certain amount of sensitivity to details and technicalities. A certain amount of “engineering,” as opposed to philosophy “proper,” will be needed.</w:t>
      </w:r>
    </w:p>
    <w:p w14:paraId="7E000B66" w14:textId="77777777" w:rsidR="009A58DB" w:rsidRDefault="00000000">
      <w:pPr>
        <w:pStyle w:val="Heading3"/>
        <w:numPr>
          <w:ilvl w:val="1"/>
          <w:numId w:val="203"/>
        </w:numPr>
        <w:tabs>
          <w:tab w:val="left" w:pos="877"/>
        </w:tabs>
        <w:spacing w:before="195"/>
        <w:ind w:hanging="517"/>
        <w:jc w:val="both"/>
      </w:pPr>
      <w:r>
        <w:t>Existence-</w:t>
      </w:r>
      <w:r>
        <w:rPr>
          <w:spacing w:val="-2"/>
        </w:rPr>
        <w:t>claims</w:t>
      </w:r>
    </w:p>
    <w:p w14:paraId="7E000B67" w14:textId="77777777" w:rsidR="009A58DB" w:rsidRDefault="009A58DB">
      <w:pPr>
        <w:pStyle w:val="Heading3"/>
        <w:sectPr w:rsidR="009A58DB">
          <w:pgSz w:w="12240" w:h="15840"/>
          <w:pgMar w:top="1380" w:right="1080" w:bottom="280" w:left="1080" w:header="720" w:footer="720" w:gutter="0"/>
          <w:cols w:space="720"/>
        </w:sectPr>
      </w:pPr>
    </w:p>
    <w:p w14:paraId="7E000B68" w14:textId="77777777" w:rsidR="009A58DB" w:rsidRDefault="00000000">
      <w:pPr>
        <w:pStyle w:val="BodyText"/>
        <w:spacing w:before="65" w:line="249" w:lineRule="auto"/>
        <w:ind w:right="372"/>
      </w:pPr>
      <w:r>
        <w:lastRenderedPageBreak/>
        <w:t>In keeping with tradition, I will treat generalizations as molecular propositions. So:</w:t>
      </w:r>
    </w:p>
    <w:p w14:paraId="7E000B69" w14:textId="77777777" w:rsidR="009A58DB" w:rsidRDefault="009A58DB">
      <w:pPr>
        <w:pStyle w:val="BodyText"/>
        <w:spacing w:before="17"/>
        <w:ind w:left="0"/>
        <w:jc w:val="left"/>
      </w:pPr>
    </w:p>
    <w:p w14:paraId="7E000B6A" w14:textId="77777777" w:rsidR="009A58DB" w:rsidRDefault="00000000">
      <w:pPr>
        <w:pStyle w:val="ListParagraph"/>
        <w:numPr>
          <w:ilvl w:val="0"/>
          <w:numId w:val="199"/>
        </w:numPr>
        <w:tabs>
          <w:tab w:val="left" w:pos="660"/>
        </w:tabs>
        <w:ind w:left="660"/>
        <w:rPr>
          <w:sz w:val="30"/>
        </w:rPr>
      </w:pPr>
      <w:r>
        <w:rPr>
          <w:sz w:val="30"/>
        </w:rPr>
        <w:t>something</w:t>
      </w:r>
      <w:r>
        <w:rPr>
          <w:spacing w:val="-5"/>
          <w:sz w:val="30"/>
        </w:rPr>
        <w:t xml:space="preserve"> </w:t>
      </w:r>
      <w:r>
        <w:rPr>
          <w:spacing w:val="-2"/>
          <w:sz w:val="30"/>
        </w:rPr>
        <w:t>snores</w:t>
      </w:r>
    </w:p>
    <w:p w14:paraId="7E000B6B" w14:textId="77777777" w:rsidR="009A58DB" w:rsidRDefault="009A58DB">
      <w:pPr>
        <w:pStyle w:val="BodyText"/>
        <w:spacing w:before="30"/>
        <w:ind w:left="0"/>
        <w:jc w:val="left"/>
      </w:pPr>
    </w:p>
    <w:p w14:paraId="7E000B6C" w14:textId="77777777" w:rsidR="009A58DB" w:rsidRDefault="00000000">
      <w:pPr>
        <w:pStyle w:val="BodyText"/>
        <w:spacing w:line="249" w:lineRule="auto"/>
        <w:ind w:right="358"/>
      </w:pPr>
      <w:r>
        <w:t>is an existential generalization. Given what we’ve said, the most obvious analysis of 4 would be to say that 4 is the property of snoring (or a set whose sole member is that property) and that 4’s being true is identical with that property’s being instantiated.</w:t>
      </w:r>
    </w:p>
    <w:p w14:paraId="7E000B6D" w14:textId="77777777" w:rsidR="009A58DB" w:rsidRDefault="00000000">
      <w:pPr>
        <w:pStyle w:val="BodyText"/>
        <w:spacing w:before="5" w:line="249" w:lineRule="auto"/>
        <w:ind w:right="361" w:firstLine="360"/>
      </w:pPr>
      <w:r>
        <w:t>That would not be the correct analysis. Even though 4 is true just in case the property of snoring is instantiated, 4 is not identical with that property</w:t>
      </w:r>
      <w:r>
        <w:rPr>
          <w:spacing w:val="40"/>
        </w:rPr>
        <w:t xml:space="preserve"> </w:t>
      </w:r>
      <w:r>
        <w:t>and its truth is not identical with that property’s being instantiated. We know from Frege that 4, unlike the property of snoring, has a rather distinctive decompositional structure, and that 4 thus consists of (at least) three or four constituents. (Note: In this context, by an “instantiated function,” I mean a proposition-form at least one of whose members is correct. Thus x snores is such a function. An “instance” of a function is anything satisfying it. So, supposing that he snores, Smith is an instance of the just-mentioned function. A “propositional form” may be thought of as a class of propositions all of the same form.)We also know from Frege what the first two constituents are:</w:t>
      </w:r>
    </w:p>
    <w:p w14:paraId="7E000B6E" w14:textId="77777777" w:rsidR="009A58DB" w:rsidRDefault="009A58DB">
      <w:pPr>
        <w:pStyle w:val="BodyText"/>
        <w:spacing w:before="28"/>
        <w:ind w:left="0"/>
        <w:jc w:val="left"/>
      </w:pPr>
    </w:p>
    <w:p w14:paraId="7E000B6F" w14:textId="77777777" w:rsidR="009A58DB" w:rsidRDefault="00000000">
      <w:pPr>
        <w:pStyle w:val="ListParagraph"/>
        <w:numPr>
          <w:ilvl w:val="1"/>
          <w:numId w:val="199"/>
        </w:numPr>
        <w:tabs>
          <w:tab w:val="left" w:pos="793"/>
        </w:tabs>
        <w:spacing w:before="1"/>
        <w:ind w:hanging="433"/>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2"/>
          <w:sz w:val="30"/>
        </w:rPr>
        <w:t xml:space="preserve"> snoring</w:t>
      </w:r>
    </w:p>
    <w:p w14:paraId="7E000B70" w14:textId="77777777" w:rsidR="009A58DB" w:rsidRDefault="00000000">
      <w:pPr>
        <w:pStyle w:val="ListParagraph"/>
        <w:numPr>
          <w:ilvl w:val="1"/>
          <w:numId w:val="199"/>
        </w:numPr>
        <w:tabs>
          <w:tab w:val="left" w:pos="809"/>
        </w:tabs>
        <w:spacing w:before="15"/>
        <w:ind w:left="809" w:hanging="449"/>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pacing w:val="-2"/>
          <w:sz w:val="30"/>
        </w:rPr>
        <w:t>instantiated</w:t>
      </w:r>
    </w:p>
    <w:p w14:paraId="7E000B71" w14:textId="77777777" w:rsidR="009A58DB" w:rsidRDefault="009A58DB">
      <w:pPr>
        <w:pStyle w:val="BodyText"/>
        <w:spacing w:before="30"/>
        <w:ind w:left="0"/>
        <w:jc w:val="left"/>
      </w:pPr>
    </w:p>
    <w:p w14:paraId="7E000B72" w14:textId="77777777" w:rsidR="009A58DB" w:rsidRDefault="00000000">
      <w:pPr>
        <w:pStyle w:val="BodyText"/>
        <w:spacing w:line="249" w:lineRule="auto"/>
        <w:ind w:right="372" w:firstLine="360"/>
      </w:pPr>
      <w:r>
        <w:t>In light of what we’ve already said, it is not hard to generate some (if not all) of the remaining constituents of 4, these being:</w:t>
      </w:r>
    </w:p>
    <w:p w14:paraId="7E000B73" w14:textId="77777777" w:rsidR="009A58DB" w:rsidRDefault="009A58DB">
      <w:pPr>
        <w:pStyle w:val="BodyText"/>
        <w:spacing w:before="17"/>
        <w:ind w:left="0"/>
        <w:jc w:val="left"/>
      </w:pPr>
    </w:p>
    <w:p w14:paraId="7E000B74" w14:textId="77777777" w:rsidR="009A58DB" w:rsidRDefault="00000000">
      <w:pPr>
        <w:pStyle w:val="ListParagraph"/>
        <w:numPr>
          <w:ilvl w:val="1"/>
          <w:numId w:val="199"/>
        </w:numPr>
        <w:tabs>
          <w:tab w:val="left" w:pos="917"/>
        </w:tabs>
        <w:spacing w:line="249" w:lineRule="auto"/>
        <w:ind w:left="360" w:right="367" w:firstLine="0"/>
        <w:rPr>
          <w:sz w:val="30"/>
        </w:rPr>
      </w:pPr>
      <w:r>
        <w:rPr>
          <w:sz w:val="30"/>
        </w:rPr>
        <w:t>the</w:t>
      </w:r>
      <w:r>
        <w:rPr>
          <w:spacing w:val="37"/>
          <w:sz w:val="30"/>
        </w:rPr>
        <w:t xml:space="preserve"> </w:t>
      </w:r>
      <w:r>
        <w:rPr>
          <w:sz w:val="30"/>
        </w:rPr>
        <w:t>property</w:t>
      </w:r>
      <w:r>
        <w:rPr>
          <w:spacing w:val="37"/>
          <w:sz w:val="30"/>
        </w:rPr>
        <w:t xml:space="preserve"> </w:t>
      </w:r>
      <w:r>
        <w:rPr>
          <w:sz w:val="30"/>
        </w:rPr>
        <w:t>of</w:t>
      </w:r>
      <w:r>
        <w:rPr>
          <w:spacing w:val="37"/>
          <w:sz w:val="30"/>
        </w:rPr>
        <w:t xml:space="preserve"> </w:t>
      </w:r>
      <w:r>
        <w:rPr>
          <w:sz w:val="30"/>
        </w:rPr>
        <w:t>being</w:t>
      </w:r>
      <w:r>
        <w:rPr>
          <w:spacing w:val="37"/>
          <w:sz w:val="30"/>
        </w:rPr>
        <w:t xml:space="preserve"> </w:t>
      </w:r>
      <w:r>
        <w:rPr>
          <w:sz w:val="30"/>
        </w:rPr>
        <w:t>an</w:t>
      </w:r>
      <w:r>
        <w:rPr>
          <w:spacing w:val="37"/>
          <w:sz w:val="30"/>
        </w:rPr>
        <w:t xml:space="preserve"> </w:t>
      </w:r>
      <w:r>
        <w:rPr>
          <w:sz w:val="30"/>
        </w:rPr>
        <w:t>instantiated</w:t>
      </w:r>
      <w:r>
        <w:rPr>
          <w:spacing w:val="37"/>
          <w:sz w:val="30"/>
        </w:rPr>
        <w:t xml:space="preserve"> </w:t>
      </w:r>
      <w:r>
        <w:rPr>
          <w:sz w:val="30"/>
        </w:rPr>
        <w:t>function</w:t>
      </w:r>
      <w:r>
        <w:rPr>
          <w:spacing w:val="37"/>
          <w:sz w:val="30"/>
        </w:rPr>
        <w:t xml:space="preserve"> </w:t>
      </w:r>
      <w:r>
        <w:rPr>
          <w:sz w:val="30"/>
        </w:rPr>
        <w:t>each</w:t>
      </w:r>
      <w:r>
        <w:rPr>
          <w:spacing w:val="37"/>
          <w:sz w:val="30"/>
        </w:rPr>
        <w:t xml:space="preserve"> </w:t>
      </w:r>
      <w:r>
        <w:rPr>
          <w:sz w:val="30"/>
        </w:rPr>
        <w:t>of</w:t>
      </w:r>
      <w:r>
        <w:rPr>
          <w:spacing w:val="37"/>
          <w:sz w:val="30"/>
        </w:rPr>
        <w:t xml:space="preserve"> </w:t>
      </w:r>
      <w:r>
        <w:rPr>
          <w:sz w:val="30"/>
        </w:rPr>
        <w:t>whose</w:t>
      </w:r>
      <w:r>
        <w:rPr>
          <w:spacing w:val="37"/>
          <w:sz w:val="30"/>
        </w:rPr>
        <w:t xml:space="preserve"> </w:t>
      </w:r>
      <w:r>
        <w:rPr>
          <w:sz w:val="30"/>
        </w:rPr>
        <w:t xml:space="preserve">instances </w:t>
      </w:r>
      <w:r>
        <w:rPr>
          <w:spacing w:val="-2"/>
          <w:sz w:val="30"/>
        </w:rPr>
        <w:t>snores</w:t>
      </w:r>
    </w:p>
    <w:p w14:paraId="7E000B75" w14:textId="77777777" w:rsidR="009A58DB" w:rsidRDefault="00000000">
      <w:pPr>
        <w:pStyle w:val="ListParagraph"/>
        <w:numPr>
          <w:ilvl w:val="1"/>
          <w:numId w:val="199"/>
        </w:numPr>
        <w:tabs>
          <w:tab w:val="left" w:pos="720"/>
          <w:tab w:val="left" w:pos="829"/>
        </w:tabs>
        <w:spacing w:before="3" w:line="249" w:lineRule="auto"/>
        <w:ind w:left="720" w:right="358" w:hanging="360"/>
        <w:rPr>
          <w:sz w:val="30"/>
        </w:rPr>
      </w:pPr>
      <w:r>
        <w:rPr>
          <w:sz w:val="30"/>
        </w:rPr>
        <w:tab/>
        <w:t>the property of an instantiated function each of whose instances has some property or other</w:t>
      </w:r>
    </w:p>
    <w:p w14:paraId="7E000B76" w14:textId="77777777" w:rsidR="009A58DB" w:rsidRDefault="009A58DB">
      <w:pPr>
        <w:pStyle w:val="BodyText"/>
        <w:spacing w:before="17"/>
        <w:ind w:left="0"/>
        <w:jc w:val="left"/>
      </w:pPr>
    </w:p>
    <w:p w14:paraId="7E000B77" w14:textId="77777777" w:rsidR="009A58DB" w:rsidRDefault="00000000">
      <w:pPr>
        <w:pStyle w:val="BodyText"/>
        <w:spacing w:line="249" w:lineRule="auto"/>
        <w:ind w:right="359" w:firstLine="360"/>
      </w:pPr>
      <w:r>
        <w:t>Let S be a set containing all and only a–d. 4 will be true iff a–d are instantiated. So, from the viewpoint of truth-conditions, there is no barrier to identifying 4 with S or to identifying 4’s being true with S’s members being instantiated. Further, 4’s structure is easily mapped onto S’s. 4, if true, entails</w:t>
      </w:r>
    </w:p>
    <w:p w14:paraId="7E000B7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79" w14:textId="77777777" w:rsidR="009A58DB" w:rsidRDefault="00000000">
      <w:pPr>
        <w:pStyle w:val="BodyText"/>
        <w:spacing w:before="65" w:line="249" w:lineRule="auto"/>
        <w:ind w:right="359"/>
      </w:pPr>
      <w:r>
        <w:lastRenderedPageBreak/>
        <w:t>that there exists some property that has some instances; that there exists at least one snorer; that at least one property is instantiated; and that at least one property exists. And all of this is precisely what S’s members’ being instantiated involves.</w:t>
      </w:r>
    </w:p>
    <w:p w14:paraId="7E000B7A" w14:textId="77777777" w:rsidR="009A58DB" w:rsidRDefault="00000000">
      <w:pPr>
        <w:pStyle w:val="BodyText"/>
        <w:spacing w:before="5"/>
        <w:ind w:left="720"/>
      </w:pPr>
      <w:r>
        <w:t>Now</w:t>
      </w:r>
      <w:r>
        <w:rPr>
          <w:spacing w:val="-3"/>
        </w:rPr>
        <w:t xml:space="preserve"> </w:t>
      </w:r>
      <w:r>
        <w:t>consider</w:t>
      </w:r>
      <w:r>
        <w:rPr>
          <w:spacing w:val="-3"/>
        </w:rPr>
        <w:t xml:space="preserve"> </w:t>
      </w:r>
      <w:r>
        <w:t>the</w:t>
      </w:r>
      <w:r>
        <w:rPr>
          <w:spacing w:val="-3"/>
        </w:rPr>
        <w:t xml:space="preserve"> </w:t>
      </w:r>
      <w:r>
        <w:rPr>
          <w:spacing w:val="-2"/>
        </w:rPr>
        <w:t>proposition:</w:t>
      </w:r>
    </w:p>
    <w:p w14:paraId="7E000B7B" w14:textId="77777777" w:rsidR="009A58DB" w:rsidRDefault="009A58DB">
      <w:pPr>
        <w:pStyle w:val="BodyText"/>
        <w:spacing w:before="29"/>
        <w:ind w:left="0"/>
        <w:jc w:val="left"/>
      </w:pPr>
    </w:p>
    <w:p w14:paraId="7E000B7C" w14:textId="77777777" w:rsidR="009A58DB" w:rsidRDefault="00000000">
      <w:pPr>
        <w:pStyle w:val="ListParagraph"/>
        <w:numPr>
          <w:ilvl w:val="0"/>
          <w:numId w:val="199"/>
        </w:numPr>
        <w:tabs>
          <w:tab w:val="left" w:pos="660"/>
        </w:tabs>
        <w:spacing w:before="1"/>
        <w:ind w:left="660"/>
        <w:rPr>
          <w:sz w:val="30"/>
        </w:rPr>
      </w:pPr>
      <w:r>
        <w:rPr>
          <w:sz w:val="30"/>
        </w:rPr>
        <w:t>Something</w:t>
      </w:r>
      <w:r>
        <w:rPr>
          <w:spacing w:val="-7"/>
          <w:sz w:val="30"/>
        </w:rPr>
        <w:t xml:space="preserve"> </w:t>
      </w:r>
      <w:r>
        <w:rPr>
          <w:spacing w:val="-2"/>
          <w:sz w:val="30"/>
        </w:rPr>
        <w:t>smokes.</w:t>
      </w:r>
    </w:p>
    <w:p w14:paraId="7E000B7D" w14:textId="77777777" w:rsidR="009A58DB" w:rsidRDefault="009A58DB">
      <w:pPr>
        <w:pStyle w:val="BodyText"/>
        <w:spacing w:before="29"/>
        <w:ind w:left="0"/>
        <w:jc w:val="left"/>
      </w:pPr>
    </w:p>
    <w:p w14:paraId="7E000B7E" w14:textId="77777777" w:rsidR="009A58DB" w:rsidRDefault="00000000">
      <w:pPr>
        <w:pStyle w:val="BodyText"/>
        <w:spacing w:before="1" w:line="249" w:lineRule="auto"/>
        <w:ind w:right="359"/>
      </w:pPr>
      <w:r>
        <w:t>By reasoning similar to that just given, the constituents of this proposition</w:t>
      </w:r>
      <w:r>
        <w:rPr>
          <w:spacing w:val="40"/>
        </w:rPr>
        <w:t xml:space="preserve"> </w:t>
      </w:r>
      <w:r>
        <w:rPr>
          <w:spacing w:val="-4"/>
        </w:rPr>
        <w:t>are:</w:t>
      </w:r>
    </w:p>
    <w:p w14:paraId="7E000B7F" w14:textId="77777777" w:rsidR="009A58DB" w:rsidRDefault="009A58DB">
      <w:pPr>
        <w:pStyle w:val="BodyText"/>
        <w:spacing w:before="17"/>
        <w:ind w:left="0"/>
        <w:jc w:val="left"/>
      </w:pPr>
    </w:p>
    <w:p w14:paraId="7E000B80" w14:textId="77777777" w:rsidR="009A58DB" w:rsidRDefault="00000000">
      <w:pPr>
        <w:pStyle w:val="ListParagraph"/>
        <w:numPr>
          <w:ilvl w:val="1"/>
          <w:numId w:val="199"/>
        </w:numPr>
        <w:tabs>
          <w:tab w:val="left" w:pos="567"/>
        </w:tabs>
        <w:ind w:left="567" w:hanging="207"/>
        <w:rPr>
          <w:sz w:val="30"/>
        </w:rPr>
      </w:pPr>
      <w:r>
        <w:rPr>
          <w:sz w:val="30"/>
        </w:rPr>
        <w:t>*</w:t>
      </w:r>
      <w:r>
        <w:rPr>
          <w:spacing w:val="-2"/>
          <w:sz w:val="30"/>
        </w:rPr>
        <w:t xml:space="preserve"> </w:t>
      </w:r>
      <w:r>
        <w:rPr>
          <w:sz w:val="30"/>
        </w:rPr>
        <w:t>the</w:t>
      </w:r>
      <w:r>
        <w:rPr>
          <w:spacing w:val="-2"/>
          <w:sz w:val="30"/>
        </w:rPr>
        <w:t xml:space="preserve"> </w:t>
      </w:r>
      <w:r>
        <w:rPr>
          <w:sz w:val="30"/>
        </w:rPr>
        <w:t>property</w:t>
      </w:r>
      <w:r>
        <w:rPr>
          <w:spacing w:val="-1"/>
          <w:sz w:val="30"/>
        </w:rPr>
        <w:t xml:space="preserve"> </w:t>
      </w:r>
      <w:r>
        <w:rPr>
          <w:sz w:val="30"/>
        </w:rPr>
        <w:t>of</w:t>
      </w:r>
      <w:r>
        <w:rPr>
          <w:spacing w:val="-2"/>
          <w:sz w:val="30"/>
        </w:rPr>
        <w:t xml:space="preserve"> smoking</w:t>
      </w:r>
    </w:p>
    <w:p w14:paraId="7E000B81" w14:textId="77777777" w:rsidR="009A58DB" w:rsidRDefault="00000000">
      <w:pPr>
        <w:pStyle w:val="ListParagraph"/>
        <w:numPr>
          <w:ilvl w:val="1"/>
          <w:numId w:val="199"/>
        </w:numPr>
        <w:tabs>
          <w:tab w:val="left" w:pos="809"/>
        </w:tabs>
        <w:spacing w:before="15"/>
        <w:ind w:left="809" w:hanging="449"/>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pacing w:val="-2"/>
          <w:sz w:val="30"/>
        </w:rPr>
        <w:t>instantiated</w:t>
      </w:r>
    </w:p>
    <w:p w14:paraId="7E000B82" w14:textId="77777777" w:rsidR="009A58DB" w:rsidRDefault="00000000">
      <w:pPr>
        <w:pStyle w:val="ListParagraph"/>
        <w:numPr>
          <w:ilvl w:val="1"/>
          <w:numId w:val="199"/>
        </w:numPr>
        <w:tabs>
          <w:tab w:val="left" w:pos="567"/>
        </w:tabs>
        <w:spacing w:before="15"/>
        <w:ind w:left="567" w:hanging="207"/>
        <w:rPr>
          <w:sz w:val="30"/>
        </w:rPr>
      </w:pPr>
      <w:r>
        <w:rPr>
          <w:sz w:val="30"/>
        </w:rPr>
        <w:t>*</w:t>
      </w:r>
      <w:r>
        <w:rPr>
          <w:spacing w:val="-5"/>
          <w:sz w:val="30"/>
        </w:rPr>
        <w:t xml:space="preserve"> </w:t>
      </w:r>
      <w:r>
        <w:rPr>
          <w:sz w:val="30"/>
        </w:rPr>
        <w:t>the</w:t>
      </w:r>
      <w:r>
        <w:rPr>
          <w:spacing w:val="-2"/>
          <w:sz w:val="30"/>
        </w:rPr>
        <w:t xml:space="preserve"> </w:t>
      </w:r>
      <w:r>
        <w:rPr>
          <w:sz w:val="30"/>
        </w:rPr>
        <w:t>property</w:t>
      </w:r>
      <w:r>
        <w:rPr>
          <w:spacing w:val="-3"/>
          <w:sz w:val="30"/>
        </w:rPr>
        <w:t xml:space="preserve"> </w:t>
      </w:r>
      <w:r>
        <w:rPr>
          <w:sz w:val="30"/>
        </w:rPr>
        <w:t>of</w:t>
      </w:r>
      <w:r>
        <w:rPr>
          <w:spacing w:val="-3"/>
          <w:sz w:val="30"/>
        </w:rPr>
        <w:t xml:space="preserve"> </w:t>
      </w:r>
      <w:r>
        <w:rPr>
          <w:sz w:val="30"/>
        </w:rPr>
        <w:t>a</w:t>
      </w:r>
      <w:r>
        <w:rPr>
          <w:spacing w:val="-2"/>
          <w:sz w:val="30"/>
        </w:rPr>
        <w:t xml:space="preserve"> </w:t>
      </w:r>
      <w:r>
        <w:rPr>
          <w:sz w:val="30"/>
        </w:rPr>
        <w:t>function</w:t>
      </w:r>
      <w:r>
        <w:rPr>
          <w:spacing w:val="-3"/>
          <w:sz w:val="30"/>
        </w:rPr>
        <w:t xml:space="preserve"> </w:t>
      </w:r>
      <w:r>
        <w:rPr>
          <w:sz w:val="30"/>
        </w:rPr>
        <w:t>each</w:t>
      </w:r>
      <w:r>
        <w:rPr>
          <w:spacing w:val="-2"/>
          <w:sz w:val="30"/>
        </w:rPr>
        <w:t xml:space="preserve"> </w:t>
      </w:r>
      <w:r>
        <w:rPr>
          <w:sz w:val="30"/>
        </w:rPr>
        <w:t>of</w:t>
      </w:r>
      <w:r>
        <w:rPr>
          <w:spacing w:val="-3"/>
          <w:sz w:val="30"/>
        </w:rPr>
        <w:t xml:space="preserve"> </w:t>
      </w:r>
      <w:r>
        <w:rPr>
          <w:sz w:val="30"/>
        </w:rPr>
        <w:t>whose</w:t>
      </w:r>
      <w:r>
        <w:rPr>
          <w:spacing w:val="-3"/>
          <w:sz w:val="30"/>
        </w:rPr>
        <w:t xml:space="preserve"> </w:t>
      </w:r>
      <w:r>
        <w:rPr>
          <w:sz w:val="30"/>
        </w:rPr>
        <w:t>instances</w:t>
      </w:r>
      <w:r>
        <w:rPr>
          <w:spacing w:val="-2"/>
          <w:sz w:val="30"/>
        </w:rPr>
        <w:t xml:space="preserve"> smokes</w:t>
      </w:r>
    </w:p>
    <w:p w14:paraId="7E000B83" w14:textId="77777777" w:rsidR="009A58DB" w:rsidRDefault="00000000">
      <w:pPr>
        <w:pStyle w:val="ListParagraph"/>
        <w:numPr>
          <w:ilvl w:val="1"/>
          <w:numId w:val="199"/>
        </w:numPr>
        <w:tabs>
          <w:tab w:val="left" w:pos="863"/>
        </w:tabs>
        <w:spacing w:before="15" w:line="249" w:lineRule="auto"/>
        <w:ind w:left="360" w:right="369" w:firstLine="0"/>
        <w:rPr>
          <w:sz w:val="30"/>
        </w:rPr>
      </w:pPr>
      <w:r>
        <w:rPr>
          <w:sz w:val="30"/>
        </w:rPr>
        <w:t xml:space="preserve">the property of a function each of whose instances has some property or </w:t>
      </w:r>
      <w:r>
        <w:rPr>
          <w:spacing w:val="-2"/>
          <w:sz w:val="30"/>
        </w:rPr>
        <w:t>other</w:t>
      </w:r>
    </w:p>
    <w:p w14:paraId="7E000B84" w14:textId="77777777" w:rsidR="009A58DB" w:rsidRDefault="009A58DB">
      <w:pPr>
        <w:pStyle w:val="BodyText"/>
        <w:spacing w:before="18"/>
        <w:ind w:left="0"/>
        <w:jc w:val="left"/>
      </w:pPr>
    </w:p>
    <w:p w14:paraId="7E000B85" w14:textId="77777777" w:rsidR="009A58DB" w:rsidRDefault="00000000">
      <w:pPr>
        <w:pStyle w:val="BodyText"/>
        <w:spacing w:line="249" w:lineRule="auto"/>
        <w:ind w:right="358" w:firstLine="360"/>
      </w:pPr>
      <w:r>
        <w:t xml:space="preserve">We know pre-theoretically that 4 and 5 have certain constituents in common (e.g., the property of being instantiated or, in any case, </w:t>
      </w:r>
      <w:r>
        <w:rPr>
          <w:i/>
        </w:rPr>
        <w:t xml:space="preserve">some </w:t>
      </w:r>
      <w:r>
        <w:t>property expressed by “something”). Our analysis of 4 and 5 validate everything we know, theoretically and pre-theoretically, about the decompositions and logical forms of the propositions.</w:t>
      </w:r>
    </w:p>
    <w:p w14:paraId="7E000B86" w14:textId="77777777" w:rsidR="009A58DB" w:rsidRDefault="00000000">
      <w:pPr>
        <w:pStyle w:val="Heading1"/>
        <w:numPr>
          <w:ilvl w:val="1"/>
          <w:numId w:val="203"/>
        </w:numPr>
        <w:tabs>
          <w:tab w:val="left" w:pos="990"/>
        </w:tabs>
        <w:spacing w:before="194"/>
        <w:ind w:left="990" w:hanging="630"/>
      </w:pPr>
      <w:r>
        <w:t>Negative</w:t>
      </w:r>
      <w:r>
        <w:rPr>
          <w:spacing w:val="-11"/>
        </w:rPr>
        <w:t xml:space="preserve"> </w:t>
      </w:r>
      <w:r>
        <w:t>non-quantified</w:t>
      </w:r>
      <w:r>
        <w:rPr>
          <w:spacing w:val="-8"/>
        </w:rPr>
        <w:t xml:space="preserve"> </w:t>
      </w:r>
      <w:r>
        <w:rPr>
          <w:spacing w:val="-2"/>
        </w:rPr>
        <w:t>propositions</w:t>
      </w:r>
    </w:p>
    <w:p w14:paraId="7E000B87" w14:textId="77777777" w:rsidR="009A58DB" w:rsidRDefault="00000000">
      <w:pPr>
        <w:pStyle w:val="BodyText"/>
        <w:spacing w:before="139" w:line="249" w:lineRule="auto"/>
        <w:ind w:right="364"/>
        <w:jc w:val="left"/>
      </w:pPr>
      <w:r>
        <w:t>Before considering “nothing snores,” I want to consider a negative, but non-quantified, proposition:</w:t>
      </w:r>
    </w:p>
    <w:p w14:paraId="7E000B88" w14:textId="77777777" w:rsidR="009A58DB" w:rsidRDefault="00000000">
      <w:pPr>
        <w:pStyle w:val="ListParagraph"/>
        <w:numPr>
          <w:ilvl w:val="0"/>
          <w:numId w:val="199"/>
        </w:numPr>
        <w:tabs>
          <w:tab w:val="left" w:pos="660"/>
        </w:tabs>
        <w:spacing w:before="62" w:line="292" w:lineRule="auto"/>
        <w:ind w:right="6619" w:firstLine="0"/>
        <w:rPr>
          <w:sz w:val="30"/>
        </w:rPr>
      </w:pPr>
      <w:r>
        <w:rPr>
          <w:sz w:val="30"/>
        </w:rPr>
        <w:t>Timmy</w:t>
      </w:r>
      <w:r>
        <w:rPr>
          <w:spacing w:val="-13"/>
          <w:sz w:val="30"/>
        </w:rPr>
        <w:t xml:space="preserve"> </w:t>
      </w:r>
      <w:r>
        <w:rPr>
          <w:sz w:val="30"/>
        </w:rPr>
        <w:t>is</w:t>
      </w:r>
      <w:r>
        <w:rPr>
          <w:spacing w:val="-14"/>
          <w:sz w:val="30"/>
        </w:rPr>
        <w:t xml:space="preserve"> </w:t>
      </w:r>
      <w:r>
        <w:rPr>
          <w:sz w:val="30"/>
        </w:rPr>
        <w:t>not</w:t>
      </w:r>
      <w:r>
        <w:rPr>
          <w:spacing w:val="-14"/>
          <w:sz w:val="30"/>
        </w:rPr>
        <w:t xml:space="preserve"> </w:t>
      </w:r>
      <w:r>
        <w:rPr>
          <w:sz w:val="30"/>
        </w:rPr>
        <w:t>smoking, in other words,</w:t>
      </w:r>
    </w:p>
    <w:p w14:paraId="7E000B89" w14:textId="77777777" w:rsidR="009A58DB" w:rsidRDefault="00000000">
      <w:pPr>
        <w:pStyle w:val="ListParagraph"/>
        <w:numPr>
          <w:ilvl w:val="0"/>
          <w:numId w:val="195"/>
        </w:numPr>
        <w:tabs>
          <w:tab w:val="left" w:pos="660"/>
        </w:tabs>
        <w:spacing w:line="343" w:lineRule="exact"/>
        <w:rPr>
          <w:i/>
          <w:sz w:val="30"/>
        </w:rPr>
      </w:pPr>
      <w:r>
        <w:rPr>
          <w:sz w:val="30"/>
        </w:rPr>
        <w:t>It</w:t>
      </w:r>
      <w:r>
        <w:rPr>
          <w:spacing w:val="-3"/>
          <w:sz w:val="30"/>
        </w:rPr>
        <w:t xml:space="preserve"> </w:t>
      </w:r>
      <w:r>
        <w:rPr>
          <w:sz w:val="30"/>
        </w:rPr>
        <w:t>is</w:t>
      </w:r>
      <w:r>
        <w:rPr>
          <w:spacing w:val="-2"/>
          <w:sz w:val="30"/>
        </w:rPr>
        <w:t xml:space="preserve"> </w:t>
      </w:r>
      <w:r>
        <w:rPr>
          <w:sz w:val="30"/>
        </w:rPr>
        <w:t>not</w:t>
      </w:r>
      <w:r>
        <w:rPr>
          <w:spacing w:val="-3"/>
          <w:sz w:val="30"/>
        </w:rPr>
        <w:t xml:space="preserve"> </w:t>
      </w:r>
      <w:r>
        <w:rPr>
          <w:sz w:val="30"/>
        </w:rPr>
        <w:t>the</w:t>
      </w:r>
      <w:r>
        <w:rPr>
          <w:spacing w:val="-2"/>
          <w:sz w:val="30"/>
        </w:rPr>
        <w:t xml:space="preserve"> </w:t>
      </w:r>
      <w:r>
        <w:rPr>
          <w:sz w:val="30"/>
        </w:rPr>
        <w:t>case</w:t>
      </w:r>
      <w:r>
        <w:rPr>
          <w:spacing w:val="-3"/>
          <w:sz w:val="30"/>
        </w:rPr>
        <w:t xml:space="preserve"> </w:t>
      </w:r>
      <w:r>
        <w:rPr>
          <w:i/>
          <w:sz w:val="30"/>
        </w:rPr>
        <w:t>that</w:t>
      </w:r>
      <w:r>
        <w:rPr>
          <w:i/>
          <w:spacing w:val="-2"/>
          <w:sz w:val="30"/>
        </w:rPr>
        <w:t xml:space="preserve"> </w:t>
      </w:r>
      <w:r>
        <w:rPr>
          <w:i/>
          <w:sz w:val="30"/>
        </w:rPr>
        <w:t>Timmy</w:t>
      </w:r>
      <w:r>
        <w:rPr>
          <w:i/>
          <w:spacing w:val="-3"/>
          <w:sz w:val="30"/>
        </w:rPr>
        <w:t xml:space="preserve"> </w:t>
      </w:r>
      <w:r>
        <w:rPr>
          <w:i/>
          <w:sz w:val="30"/>
        </w:rPr>
        <w:t>is</w:t>
      </w:r>
      <w:r>
        <w:rPr>
          <w:i/>
          <w:spacing w:val="-2"/>
          <w:sz w:val="30"/>
        </w:rPr>
        <w:t xml:space="preserve"> smoking.</w:t>
      </w:r>
    </w:p>
    <w:p w14:paraId="7E000B8A" w14:textId="77777777" w:rsidR="009A58DB" w:rsidRDefault="00000000">
      <w:pPr>
        <w:pStyle w:val="BodyText"/>
        <w:spacing w:before="75" w:line="249" w:lineRule="auto"/>
        <w:ind w:right="358" w:firstLine="360"/>
      </w:pPr>
      <w:r>
        <w:t xml:space="preserve">(The reason for the underlining will be clear in a moment.) The two immediate constituents of 6 would </w:t>
      </w:r>
      <w:r>
        <w:rPr>
          <w:i/>
        </w:rPr>
        <w:t>appear</w:t>
      </w:r>
      <w:r>
        <w:rPr>
          <w:i/>
          <w:spacing w:val="-3"/>
        </w:rPr>
        <w:t xml:space="preserve"> </w:t>
      </w:r>
      <w:r>
        <w:t>to be “It is not the case” and “that Timmy is smoking.” But there’s a problem here. We have said that propositions are sets of properties that are true when instantiated. In any case, this is what we have said about atomic propositions and, for uniformity’s sake,</w:t>
      </w:r>
      <w:r>
        <w:rPr>
          <w:spacing w:val="30"/>
        </w:rPr>
        <w:t xml:space="preserve"> </w:t>
      </w:r>
      <w:r>
        <w:t>this</w:t>
      </w:r>
      <w:r>
        <w:rPr>
          <w:spacing w:val="30"/>
        </w:rPr>
        <w:t xml:space="preserve"> </w:t>
      </w:r>
      <w:r>
        <w:t>is</w:t>
      </w:r>
      <w:r>
        <w:rPr>
          <w:spacing w:val="30"/>
        </w:rPr>
        <w:t xml:space="preserve"> </w:t>
      </w:r>
      <w:r>
        <w:t>what</w:t>
      </w:r>
      <w:r>
        <w:rPr>
          <w:spacing w:val="30"/>
        </w:rPr>
        <w:t xml:space="preserve"> </w:t>
      </w:r>
      <w:r>
        <w:t>we</w:t>
      </w:r>
      <w:r>
        <w:rPr>
          <w:spacing w:val="30"/>
        </w:rPr>
        <w:t xml:space="preserve"> </w:t>
      </w:r>
      <w:r>
        <w:t>must</w:t>
      </w:r>
      <w:r>
        <w:rPr>
          <w:spacing w:val="30"/>
        </w:rPr>
        <w:t xml:space="preserve"> </w:t>
      </w:r>
      <w:r>
        <w:t>say</w:t>
      </w:r>
      <w:r>
        <w:rPr>
          <w:spacing w:val="30"/>
        </w:rPr>
        <w:t xml:space="preserve"> </w:t>
      </w:r>
      <w:r>
        <w:t>about</w:t>
      </w:r>
      <w:r>
        <w:rPr>
          <w:spacing w:val="30"/>
        </w:rPr>
        <w:t xml:space="preserve"> </w:t>
      </w:r>
      <w:r>
        <w:t>molecular</w:t>
      </w:r>
      <w:r>
        <w:rPr>
          <w:spacing w:val="30"/>
        </w:rPr>
        <w:t xml:space="preserve"> </w:t>
      </w:r>
      <w:r>
        <w:t>propositions.</w:t>
      </w:r>
      <w:r>
        <w:rPr>
          <w:spacing w:val="30"/>
        </w:rPr>
        <w:t xml:space="preserve"> </w:t>
      </w:r>
      <w:r>
        <w:t>But</w:t>
      </w:r>
      <w:r>
        <w:rPr>
          <w:spacing w:val="30"/>
        </w:rPr>
        <w:t xml:space="preserve"> </w:t>
      </w:r>
      <w:r>
        <w:t>if</w:t>
      </w:r>
      <w:r>
        <w:rPr>
          <w:spacing w:val="30"/>
        </w:rPr>
        <w:t xml:space="preserve"> </w:t>
      </w:r>
      <w:r>
        <w:t>we</w:t>
      </w:r>
      <w:r>
        <w:rPr>
          <w:spacing w:val="30"/>
        </w:rPr>
        <w:t xml:space="preserve"> </w:t>
      </w:r>
      <w:r>
        <w:t>say</w:t>
      </w:r>
    </w:p>
    <w:p w14:paraId="7E000B8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8C" w14:textId="77777777" w:rsidR="009A58DB" w:rsidRDefault="00000000">
      <w:pPr>
        <w:pStyle w:val="BodyText"/>
        <w:spacing w:before="60" w:line="249" w:lineRule="auto"/>
        <w:ind w:right="363"/>
      </w:pPr>
      <w:r>
        <w:lastRenderedPageBreak/>
        <w:t xml:space="preserve">that, in 6, the underlined proposition is instantiated—that is, that all its members are instantiated— then </w:t>
      </w:r>
      <w:r>
        <w:rPr>
          <w:i/>
        </w:rPr>
        <w:t xml:space="preserve">that Timmy is smoking </w:t>
      </w:r>
      <w:r>
        <w:t>will be true and 6</w:t>
      </w:r>
      <w:r>
        <w:rPr>
          <w:spacing w:val="40"/>
        </w:rPr>
        <w:t xml:space="preserve"> </w:t>
      </w:r>
      <w:r>
        <w:t>will be false and indeed self-negating.</w:t>
      </w:r>
    </w:p>
    <w:p w14:paraId="7E000B8D" w14:textId="77777777" w:rsidR="009A58DB" w:rsidRDefault="00000000">
      <w:pPr>
        <w:pStyle w:val="BodyText"/>
        <w:spacing w:before="8" w:line="249" w:lineRule="auto"/>
        <w:ind w:right="362" w:firstLine="360"/>
      </w:pPr>
      <w:r>
        <w:t xml:space="preserve">Not-P is true just in case P is false. So “not” can be thought of as expressing a function that assigns truth to all and only false propositions or (what, in this context, is scarcely different) as a property of all and only false </w:t>
      </w:r>
      <w:r>
        <w:rPr>
          <w:spacing w:val="-2"/>
        </w:rPr>
        <w:t>propositions.</w:t>
      </w:r>
    </w:p>
    <w:p w14:paraId="7E000B8E" w14:textId="77777777" w:rsidR="009A58DB" w:rsidRDefault="00000000">
      <w:pPr>
        <w:pStyle w:val="BodyText"/>
        <w:spacing w:before="5" w:line="249" w:lineRule="auto"/>
        <w:ind w:right="358" w:firstLine="360"/>
      </w:pPr>
      <w:r>
        <w:t xml:space="preserve">For the reason given a moment ago, we don’t want to say that </w:t>
      </w:r>
      <w:r>
        <w:rPr>
          <w:i/>
        </w:rPr>
        <w:t>that</w:t>
      </w:r>
      <w:r>
        <w:rPr>
          <w:i/>
          <w:spacing w:val="-3"/>
        </w:rPr>
        <w:t xml:space="preserve"> </w:t>
      </w:r>
      <w:r>
        <w:rPr>
          <w:i/>
        </w:rPr>
        <w:t>Timmy is</w:t>
      </w:r>
      <w:r>
        <w:rPr>
          <w:i/>
          <w:spacing w:val="-4"/>
        </w:rPr>
        <w:t xml:space="preserve"> </w:t>
      </w:r>
      <w:r>
        <w:rPr>
          <w:i/>
        </w:rPr>
        <w:t>smoking</w:t>
      </w:r>
      <w:r>
        <w:rPr>
          <w:i/>
          <w:spacing w:val="-3"/>
        </w:rPr>
        <w:t xml:space="preserve"> </w:t>
      </w:r>
      <w:r>
        <w:t>is</w:t>
      </w:r>
      <w:r>
        <w:rPr>
          <w:spacing w:val="-3"/>
        </w:rPr>
        <w:t xml:space="preserve"> </w:t>
      </w:r>
      <w:r>
        <w:t>a</w:t>
      </w:r>
      <w:r>
        <w:rPr>
          <w:spacing w:val="-2"/>
        </w:rPr>
        <w:t xml:space="preserve"> </w:t>
      </w:r>
      <w:r>
        <w:t>constituent</w:t>
      </w:r>
      <w:r>
        <w:rPr>
          <w:spacing w:val="-2"/>
        </w:rPr>
        <w:t xml:space="preserve"> </w:t>
      </w:r>
      <w:r>
        <w:t>of</w:t>
      </w:r>
      <w:r>
        <w:rPr>
          <w:spacing w:val="-2"/>
        </w:rPr>
        <w:t xml:space="preserve"> </w:t>
      </w:r>
      <w:r>
        <w:t>6,</w:t>
      </w:r>
      <w:r>
        <w:rPr>
          <w:spacing w:val="-2"/>
        </w:rPr>
        <w:t xml:space="preserve"> </w:t>
      </w:r>
      <w:r>
        <w:t>and</w:t>
      </w:r>
      <w:r>
        <w:rPr>
          <w:spacing w:val="-2"/>
        </w:rPr>
        <w:t xml:space="preserve"> </w:t>
      </w:r>
      <w:r>
        <w:t>will</w:t>
      </w:r>
      <w:r>
        <w:rPr>
          <w:spacing w:val="-2"/>
        </w:rPr>
        <w:t xml:space="preserve"> </w:t>
      </w:r>
      <w:r>
        <w:t>instead</w:t>
      </w:r>
      <w:r>
        <w:rPr>
          <w:spacing w:val="-2"/>
        </w:rPr>
        <w:t xml:space="preserve"> </w:t>
      </w:r>
      <w:r>
        <w:t>say</w:t>
      </w:r>
      <w:r>
        <w:rPr>
          <w:spacing w:val="-2"/>
        </w:rPr>
        <w:t xml:space="preserve"> </w:t>
      </w:r>
      <w:r>
        <w:t>that</w:t>
      </w:r>
      <w:r>
        <w:rPr>
          <w:spacing w:val="-2"/>
        </w:rPr>
        <w:t xml:space="preserve"> </w:t>
      </w:r>
      <w:r>
        <w:t>the</w:t>
      </w:r>
      <w:r>
        <w:rPr>
          <w:spacing w:val="-2"/>
        </w:rPr>
        <w:t xml:space="preserve"> </w:t>
      </w:r>
      <w:r>
        <w:t>property</w:t>
      </w:r>
      <w:r>
        <w:rPr>
          <w:spacing w:val="-2"/>
        </w:rPr>
        <w:t xml:space="preserve"> </w:t>
      </w:r>
      <w:r>
        <w:t>of</w:t>
      </w:r>
      <w:r>
        <w:rPr>
          <w:spacing w:val="-2"/>
        </w:rPr>
        <w:t xml:space="preserve"> </w:t>
      </w:r>
      <w:r>
        <w:t xml:space="preserve">being </w:t>
      </w:r>
      <w:r>
        <w:rPr>
          <w:i/>
        </w:rPr>
        <w:t xml:space="preserve">identical with </w:t>
      </w:r>
      <w:r>
        <w:t>that proposition is such a property. We will also say that the property of being a false proposition is such a constituent. Then we</w:t>
      </w:r>
      <w:r>
        <w:rPr>
          <w:spacing w:val="40"/>
        </w:rPr>
        <w:t xml:space="preserve"> </w:t>
      </w:r>
      <w:r>
        <w:t>synthesize those two components into the property of being the false proposition that Tommy is smoking. That property, it will be noticed, is instantiated exactly if the proposition that Tommy is smoking is false. So, according to our analysis, the constituents of 6 are:</w:t>
      </w:r>
    </w:p>
    <w:p w14:paraId="7E000B8F" w14:textId="77777777" w:rsidR="009A58DB" w:rsidRDefault="009A58DB">
      <w:pPr>
        <w:pStyle w:val="BodyText"/>
        <w:spacing w:before="25"/>
        <w:ind w:left="0"/>
        <w:jc w:val="left"/>
      </w:pPr>
    </w:p>
    <w:p w14:paraId="7E000B90" w14:textId="77777777" w:rsidR="009A58DB" w:rsidRDefault="00000000">
      <w:pPr>
        <w:pStyle w:val="ListParagraph"/>
        <w:numPr>
          <w:ilvl w:val="1"/>
          <w:numId w:val="195"/>
        </w:numPr>
        <w:tabs>
          <w:tab w:val="left" w:pos="793"/>
        </w:tabs>
        <w:ind w:hanging="433"/>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2"/>
          <w:sz w:val="30"/>
        </w:rPr>
        <w:t xml:space="preserve"> </w:t>
      </w:r>
      <w:r>
        <w:rPr>
          <w:sz w:val="30"/>
        </w:rPr>
        <w:t>a</w:t>
      </w:r>
      <w:r>
        <w:rPr>
          <w:spacing w:val="-3"/>
          <w:sz w:val="30"/>
        </w:rPr>
        <w:t xml:space="preserve"> </w:t>
      </w:r>
      <w:r>
        <w:rPr>
          <w:sz w:val="30"/>
        </w:rPr>
        <w:t>false</w:t>
      </w:r>
      <w:r>
        <w:rPr>
          <w:spacing w:val="-2"/>
          <w:sz w:val="30"/>
        </w:rPr>
        <w:t xml:space="preserve"> proposition</w:t>
      </w:r>
    </w:p>
    <w:p w14:paraId="7E000B91" w14:textId="77777777" w:rsidR="009A58DB" w:rsidRDefault="00000000">
      <w:pPr>
        <w:pStyle w:val="ListParagraph"/>
        <w:numPr>
          <w:ilvl w:val="1"/>
          <w:numId w:val="195"/>
        </w:numPr>
        <w:tabs>
          <w:tab w:val="left" w:pos="1042"/>
        </w:tabs>
        <w:spacing w:before="15" w:line="249" w:lineRule="auto"/>
        <w:ind w:left="360" w:right="367" w:firstLine="0"/>
        <w:rPr>
          <w:i/>
          <w:sz w:val="30"/>
        </w:rPr>
      </w:pPr>
      <w:r>
        <w:rPr>
          <w:sz w:val="30"/>
        </w:rPr>
        <w:t>the</w:t>
      </w:r>
      <w:r>
        <w:rPr>
          <w:spacing w:val="40"/>
          <w:sz w:val="30"/>
        </w:rPr>
        <w:t xml:space="preserve"> </w:t>
      </w:r>
      <w:r>
        <w:rPr>
          <w:sz w:val="30"/>
        </w:rPr>
        <w:t>property</w:t>
      </w:r>
      <w:r>
        <w:rPr>
          <w:spacing w:val="40"/>
          <w:sz w:val="30"/>
        </w:rPr>
        <w:t xml:space="preserve"> </w:t>
      </w:r>
      <w:r>
        <w:rPr>
          <w:sz w:val="30"/>
        </w:rPr>
        <w:t>of</w:t>
      </w:r>
      <w:r>
        <w:rPr>
          <w:spacing w:val="40"/>
          <w:sz w:val="30"/>
        </w:rPr>
        <w:t xml:space="preserve"> </w:t>
      </w:r>
      <w:r>
        <w:rPr>
          <w:sz w:val="30"/>
        </w:rPr>
        <w:t>being</w:t>
      </w:r>
      <w:r>
        <w:rPr>
          <w:spacing w:val="40"/>
          <w:sz w:val="30"/>
        </w:rPr>
        <w:t xml:space="preserve"> </w:t>
      </w:r>
      <w:r>
        <w:rPr>
          <w:sz w:val="30"/>
        </w:rPr>
        <w:t>identical</w:t>
      </w:r>
      <w:r>
        <w:rPr>
          <w:spacing w:val="40"/>
          <w:sz w:val="30"/>
        </w:rPr>
        <w:t xml:space="preserve"> </w:t>
      </w:r>
      <w:r>
        <w:rPr>
          <w:sz w:val="30"/>
        </w:rPr>
        <w:t>with</w:t>
      </w:r>
      <w:r>
        <w:rPr>
          <w:spacing w:val="40"/>
          <w:sz w:val="30"/>
        </w:rPr>
        <w:t xml:space="preserve"> </w:t>
      </w:r>
      <w:r>
        <w:rPr>
          <w:sz w:val="30"/>
        </w:rPr>
        <w:t>the</w:t>
      </w:r>
      <w:r>
        <w:rPr>
          <w:spacing w:val="40"/>
          <w:sz w:val="30"/>
        </w:rPr>
        <w:t xml:space="preserve"> </w:t>
      </w:r>
      <w:r>
        <w:rPr>
          <w:sz w:val="30"/>
        </w:rPr>
        <w:t>proposition</w:t>
      </w:r>
      <w:r>
        <w:rPr>
          <w:spacing w:val="40"/>
          <w:sz w:val="30"/>
        </w:rPr>
        <w:t xml:space="preserve"> </w:t>
      </w:r>
      <w:r>
        <w:rPr>
          <w:i/>
          <w:sz w:val="30"/>
        </w:rPr>
        <w:t>that</w:t>
      </w:r>
      <w:r>
        <w:rPr>
          <w:i/>
          <w:spacing w:val="40"/>
          <w:sz w:val="30"/>
        </w:rPr>
        <w:t xml:space="preserve"> </w:t>
      </w:r>
      <w:r>
        <w:rPr>
          <w:i/>
          <w:sz w:val="30"/>
        </w:rPr>
        <w:t>Tommy</w:t>
      </w:r>
      <w:r>
        <w:rPr>
          <w:i/>
          <w:spacing w:val="40"/>
          <w:sz w:val="30"/>
        </w:rPr>
        <w:t xml:space="preserve"> </w:t>
      </w:r>
      <w:r>
        <w:rPr>
          <w:i/>
          <w:sz w:val="30"/>
        </w:rPr>
        <w:t>is</w:t>
      </w:r>
      <w:r>
        <w:rPr>
          <w:i/>
          <w:spacing w:val="80"/>
          <w:w w:val="150"/>
          <w:sz w:val="30"/>
        </w:rPr>
        <w:t xml:space="preserve"> </w:t>
      </w:r>
      <w:r>
        <w:rPr>
          <w:i/>
          <w:spacing w:val="-2"/>
          <w:sz w:val="30"/>
        </w:rPr>
        <w:t>smoking</w:t>
      </w:r>
    </w:p>
    <w:p w14:paraId="7E000B92" w14:textId="77777777" w:rsidR="009A58DB" w:rsidRDefault="00000000">
      <w:pPr>
        <w:pStyle w:val="ListParagraph"/>
        <w:numPr>
          <w:ilvl w:val="1"/>
          <w:numId w:val="195"/>
        </w:numPr>
        <w:tabs>
          <w:tab w:val="left" w:pos="846"/>
        </w:tabs>
        <w:spacing w:before="3" w:line="249" w:lineRule="auto"/>
        <w:ind w:left="360" w:right="363" w:firstLine="0"/>
        <w:rPr>
          <w:i/>
          <w:sz w:val="30"/>
        </w:rPr>
      </w:pPr>
      <w:r>
        <w:rPr>
          <w:sz w:val="30"/>
        </w:rPr>
        <w:t xml:space="preserve">the property of being identical with a proposition that is false and that is identical with </w:t>
      </w:r>
      <w:r>
        <w:rPr>
          <w:i/>
          <w:sz w:val="30"/>
        </w:rPr>
        <w:t>that Tommy is smoking.</w:t>
      </w:r>
    </w:p>
    <w:p w14:paraId="7E000B93" w14:textId="77777777" w:rsidR="009A58DB" w:rsidRDefault="009A58DB">
      <w:pPr>
        <w:pStyle w:val="BodyText"/>
        <w:spacing w:before="17"/>
        <w:ind w:left="0"/>
        <w:jc w:val="left"/>
        <w:rPr>
          <w:i/>
        </w:rPr>
      </w:pPr>
    </w:p>
    <w:p w14:paraId="7E000B94" w14:textId="77777777" w:rsidR="009A58DB" w:rsidRDefault="00000000">
      <w:pPr>
        <w:pStyle w:val="BodyText"/>
        <w:spacing w:line="249" w:lineRule="auto"/>
        <w:ind w:right="360"/>
      </w:pPr>
      <w:r>
        <w:t>Let S be the set containing all and only a–c. Let us consider what happens when</w:t>
      </w:r>
      <w:r>
        <w:rPr>
          <w:spacing w:val="-1"/>
        </w:rPr>
        <w:t xml:space="preserve"> </w:t>
      </w:r>
      <w:r>
        <w:t>each</w:t>
      </w:r>
      <w:r>
        <w:rPr>
          <w:spacing w:val="-1"/>
        </w:rPr>
        <w:t xml:space="preserve"> </w:t>
      </w:r>
      <w:r>
        <w:t>of</w:t>
      </w:r>
      <w:r>
        <w:rPr>
          <w:spacing w:val="-1"/>
        </w:rPr>
        <w:t xml:space="preserve"> </w:t>
      </w:r>
      <w:r>
        <w:t>S’s</w:t>
      </w:r>
      <w:r>
        <w:rPr>
          <w:spacing w:val="-1"/>
        </w:rPr>
        <w:t xml:space="preserve"> </w:t>
      </w:r>
      <w:r>
        <w:t>members</w:t>
      </w:r>
      <w:r>
        <w:rPr>
          <w:spacing w:val="-1"/>
        </w:rPr>
        <w:t xml:space="preserve"> </w:t>
      </w:r>
      <w:r>
        <w:t>is</w:t>
      </w:r>
      <w:r>
        <w:rPr>
          <w:spacing w:val="-1"/>
        </w:rPr>
        <w:t xml:space="preserve"> </w:t>
      </w:r>
      <w:r>
        <w:t>instantiated.</w:t>
      </w:r>
      <w:r>
        <w:rPr>
          <w:spacing w:val="-1"/>
        </w:rPr>
        <w:t xml:space="preserve"> </w:t>
      </w:r>
      <w:r>
        <w:t>First,</w:t>
      </w:r>
      <w:r>
        <w:rPr>
          <w:spacing w:val="-1"/>
        </w:rPr>
        <w:t xml:space="preserve"> </w:t>
      </w:r>
      <w:r>
        <w:t>suppose</w:t>
      </w:r>
      <w:r>
        <w:rPr>
          <w:spacing w:val="-1"/>
        </w:rPr>
        <w:t xml:space="preserve"> </w:t>
      </w:r>
      <w:r>
        <w:t>that</w:t>
      </w:r>
      <w:r>
        <w:rPr>
          <w:spacing w:val="-1"/>
        </w:rPr>
        <w:t xml:space="preserve"> </w:t>
      </w:r>
      <w:r>
        <w:t>c</w:t>
      </w:r>
      <w:r>
        <w:rPr>
          <w:spacing w:val="-1"/>
        </w:rPr>
        <w:t xml:space="preserve"> </w:t>
      </w:r>
      <w:r>
        <w:t>is</w:t>
      </w:r>
      <w:r>
        <w:rPr>
          <w:spacing w:val="-1"/>
        </w:rPr>
        <w:t xml:space="preserve"> </w:t>
      </w:r>
      <w:r>
        <w:t>instantiated. In that case, there is an instance of a proposition that is false and that is identical with the proposition that Tommy is smoking. So 6 is true just in</w:t>
      </w:r>
      <w:r>
        <w:rPr>
          <w:spacing w:val="40"/>
        </w:rPr>
        <w:t xml:space="preserve"> </w:t>
      </w:r>
      <w:r>
        <w:t>case c is instantiated. Since, if c is instantiated if the other members of S are instantiated,</w:t>
      </w:r>
      <w:r>
        <w:rPr>
          <w:spacing w:val="-3"/>
        </w:rPr>
        <w:t xml:space="preserve"> </w:t>
      </w:r>
      <w:r>
        <w:t>it</w:t>
      </w:r>
      <w:r>
        <w:rPr>
          <w:spacing w:val="-4"/>
        </w:rPr>
        <w:t xml:space="preserve"> </w:t>
      </w:r>
      <w:r>
        <w:t>follows</w:t>
      </w:r>
      <w:r>
        <w:rPr>
          <w:spacing w:val="-4"/>
        </w:rPr>
        <w:t xml:space="preserve"> </w:t>
      </w:r>
      <w:r>
        <w:t>that</w:t>
      </w:r>
      <w:r>
        <w:rPr>
          <w:spacing w:val="-4"/>
        </w:rPr>
        <w:t xml:space="preserve"> </w:t>
      </w:r>
      <w:r>
        <w:t>6</w:t>
      </w:r>
      <w:r>
        <w:rPr>
          <w:spacing w:val="-3"/>
        </w:rPr>
        <w:t xml:space="preserve"> </w:t>
      </w:r>
      <w:r>
        <w:t>is</w:t>
      </w:r>
      <w:r>
        <w:rPr>
          <w:spacing w:val="-4"/>
        </w:rPr>
        <w:t xml:space="preserve"> </w:t>
      </w:r>
      <w:r>
        <w:t>instantiated</w:t>
      </w:r>
      <w:r>
        <w:rPr>
          <w:spacing w:val="-3"/>
        </w:rPr>
        <w:t xml:space="preserve"> </w:t>
      </w:r>
      <w:r>
        <w:t>if</w:t>
      </w:r>
      <w:r>
        <w:rPr>
          <w:spacing w:val="-4"/>
        </w:rPr>
        <w:t xml:space="preserve"> </w:t>
      </w:r>
      <w:r>
        <w:t>and</w:t>
      </w:r>
      <w:r>
        <w:rPr>
          <w:spacing w:val="-3"/>
        </w:rPr>
        <w:t xml:space="preserve"> </w:t>
      </w:r>
      <w:r>
        <w:t>only</w:t>
      </w:r>
      <w:r>
        <w:rPr>
          <w:spacing w:val="-3"/>
        </w:rPr>
        <w:t xml:space="preserve"> </w:t>
      </w:r>
      <w:r>
        <w:t>if</w:t>
      </w:r>
      <w:r>
        <w:rPr>
          <w:spacing w:val="-4"/>
        </w:rPr>
        <w:t xml:space="preserve"> </w:t>
      </w:r>
      <w:r>
        <w:t>each</w:t>
      </w:r>
      <w:r>
        <w:rPr>
          <w:spacing w:val="-3"/>
        </w:rPr>
        <w:t xml:space="preserve"> </w:t>
      </w:r>
      <w:r>
        <w:t>of</w:t>
      </w:r>
      <w:r>
        <w:rPr>
          <w:spacing w:val="-4"/>
        </w:rPr>
        <w:t xml:space="preserve"> </w:t>
      </w:r>
      <w:r>
        <w:t>the</w:t>
      </w:r>
      <w:r>
        <w:rPr>
          <w:spacing w:val="-4"/>
        </w:rPr>
        <w:t xml:space="preserve"> </w:t>
      </w:r>
      <w:r>
        <w:t>members of S is instantiated. Thus, there are, as of yet, no bars to identifying 6 with S and 6’s truth with S’s members’ being instantiated.</w:t>
      </w:r>
    </w:p>
    <w:p w14:paraId="7E000B95" w14:textId="77777777" w:rsidR="009A58DB" w:rsidRDefault="00000000">
      <w:pPr>
        <w:pStyle w:val="BodyText"/>
        <w:spacing w:before="10" w:line="249" w:lineRule="auto"/>
        <w:ind w:right="361" w:firstLine="360"/>
      </w:pPr>
      <w:r>
        <w:t xml:space="preserve">Next, suppose that b is instantiated. In that case, the property </w:t>
      </w:r>
      <w:r>
        <w:rPr>
          <w:i/>
        </w:rPr>
        <w:t>Tommy is smoking</w:t>
      </w:r>
      <w:r>
        <w:rPr>
          <w:i/>
          <w:spacing w:val="-3"/>
        </w:rPr>
        <w:t xml:space="preserve"> </w:t>
      </w:r>
      <w:r>
        <w:t xml:space="preserve">exists—but it isn’t necessarily true. And if 6 should be true—which, according to our analysis, would mean that all of a–c were instantiated—we’d be stuck with the </w:t>
      </w:r>
      <w:r>
        <w:rPr>
          <w:i/>
        </w:rPr>
        <w:t xml:space="preserve">existence, </w:t>
      </w:r>
      <w:r>
        <w:t xml:space="preserve">but not the </w:t>
      </w:r>
      <w:r>
        <w:rPr>
          <w:i/>
        </w:rPr>
        <w:t xml:space="preserve">truth </w:t>
      </w:r>
      <w:r>
        <w:t>of the proposition that Tommy is smoking. Which is precisely what we want.</w:t>
      </w:r>
    </w:p>
    <w:p w14:paraId="7E000B96" w14:textId="77777777" w:rsidR="009A58DB" w:rsidRDefault="00000000">
      <w:pPr>
        <w:pStyle w:val="BodyText"/>
        <w:spacing w:before="6"/>
        <w:ind w:left="720"/>
      </w:pPr>
      <w:r>
        <w:t>Finally,</w:t>
      </w:r>
      <w:r>
        <w:rPr>
          <w:spacing w:val="9"/>
        </w:rPr>
        <w:t xml:space="preserve"> </w:t>
      </w:r>
      <w:r>
        <w:t>suppose</w:t>
      </w:r>
      <w:r>
        <w:rPr>
          <w:spacing w:val="9"/>
        </w:rPr>
        <w:t xml:space="preserve"> </w:t>
      </w:r>
      <w:r>
        <w:t>that</w:t>
      </w:r>
      <w:r>
        <w:rPr>
          <w:spacing w:val="10"/>
        </w:rPr>
        <w:t xml:space="preserve"> </w:t>
      </w:r>
      <w:r>
        <w:t>a</w:t>
      </w:r>
      <w:r>
        <w:rPr>
          <w:spacing w:val="9"/>
        </w:rPr>
        <w:t xml:space="preserve"> </w:t>
      </w:r>
      <w:r>
        <w:t>is</w:t>
      </w:r>
      <w:r>
        <w:rPr>
          <w:spacing w:val="10"/>
        </w:rPr>
        <w:t xml:space="preserve"> </w:t>
      </w:r>
      <w:r>
        <w:t>instantiated.</w:t>
      </w:r>
      <w:r>
        <w:rPr>
          <w:spacing w:val="9"/>
        </w:rPr>
        <w:t xml:space="preserve"> </w:t>
      </w:r>
      <w:r>
        <w:t>In</w:t>
      </w:r>
      <w:r>
        <w:rPr>
          <w:spacing w:val="10"/>
        </w:rPr>
        <w:t xml:space="preserve"> </w:t>
      </w:r>
      <w:r>
        <w:t>that</w:t>
      </w:r>
      <w:r>
        <w:rPr>
          <w:spacing w:val="9"/>
        </w:rPr>
        <w:t xml:space="preserve"> </w:t>
      </w:r>
      <w:r>
        <w:t>case,</w:t>
      </w:r>
      <w:r>
        <w:rPr>
          <w:spacing w:val="10"/>
        </w:rPr>
        <w:t xml:space="preserve"> </w:t>
      </w:r>
      <w:r>
        <w:t>the</w:t>
      </w:r>
      <w:r>
        <w:rPr>
          <w:spacing w:val="9"/>
        </w:rPr>
        <w:t xml:space="preserve"> </w:t>
      </w:r>
      <w:r>
        <w:t>property</w:t>
      </w:r>
      <w:r>
        <w:rPr>
          <w:spacing w:val="10"/>
        </w:rPr>
        <w:t xml:space="preserve"> </w:t>
      </w:r>
      <w:r>
        <w:t>of</w:t>
      </w:r>
      <w:r>
        <w:rPr>
          <w:spacing w:val="9"/>
        </w:rPr>
        <w:t xml:space="preserve"> </w:t>
      </w:r>
      <w:r>
        <w:t>being</w:t>
      </w:r>
      <w:r>
        <w:rPr>
          <w:spacing w:val="10"/>
        </w:rPr>
        <w:t xml:space="preserve"> </w:t>
      </w:r>
      <w:r>
        <w:rPr>
          <w:spacing w:val="-10"/>
        </w:rPr>
        <w:t>a</w:t>
      </w:r>
    </w:p>
    <w:p w14:paraId="7E000B97" w14:textId="77777777" w:rsidR="009A58DB" w:rsidRDefault="009A58DB">
      <w:pPr>
        <w:pStyle w:val="BodyText"/>
        <w:sectPr w:rsidR="009A58DB">
          <w:pgSz w:w="12240" w:h="15840"/>
          <w:pgMar w:top="1380" w:right="1080" w:bottom="280" w:left="1080" w:header="720" w:footer="720" w:gutter="0"/>
          <w:cols w:space="720"/>
        </w:sectPr>
      </w:pPr>
    </w:p>
    <w:p w14:paraId="7E000B98" w14:textId="77777777" w:rsidR="009A58DB" w:rsidRDefault="00000000">
      <w:pPr>
        <w:pStyle w:val="BodyText"/>
        <w:spacing w:before="65" w:line="249" w:lineRule="auto"/>
        <w:ind w:right="357"/>
      </w:pPr>
      <w:r>
        <w:lastRenderedPageBreak/>
        <w:t>false proposition is instantiated. And, of course, if 6 is true—if, in other words, the members of S are all instantiated—then that property is instantiated. Which, again, is precisely what we want.</w:t>
      </w:r>
    </w:p>
    <w:p w14:paraId="7E000B99" w14:textId="77777777" w:rsidR="009A58DB" w:rsidRDefault="00000000">
      <w:pPr>
        <w:pStyle w:val="BodyText"/>
        <w:spacing w:before="3" w:line="249" w:lineRule="auto"/>
        <w:ind w:right="358" w:firstLine="360"/>
      </w:pPr>
      <w:r>
        <w:t xml:space="preserve">Thus, our analysis is consistent with most of our pretheoretic intuitions about the decomposition of 6. (The one exception that being that, where our pre-theoretic intuition wants to </w:t>
      </w:r>
      <w:r>
        <w:rPr>
          <w:i/>
        </w:rPr>
        <w:t xml:space="preserve">that Tommy is smoking </w:t>
      </w:r>
      <w:r>
        <w:t>in 6, our analysis puts the property of being identical with that proposition in its place.) And our analysis is also inconsistent with the logical properties of 6.</w:t>
      </w:r>
    </w:p>
    <w:p w14:paraId="7E000B9A" w14:textId="77777777" w:rsidR="009A58DB" w:rsidRDefault="00000000">
      <w:pPr>
        <w:pStyle w:val="Heading1"/>
        <w:numPr>
          <w:ilvl w:val="1"/>
          <w:numId w:val="203"/>
        </w:numPr>
        <w:tabs>
          <w:tab w:val="left" w:pos="990"/>
        </w:tabs>
        <w:spacing w:before="194"/>
        <w:ind w:left="990" w:hanging="630"/>
      </w:pPr>
      <w:r>
        <w:t>Quantified</w:t>
      </w:r>
      <w:r>
        <w:rPr>
          <w:spacing w:val="-11"/>
        </w:rPr>
        <w:t xml:space="preserve"> </w:t>
      </w:r>
      <w:r>
        <w:t>propositions</w:t>
      </w:r>
      <w:r>
        <w:rPr>
          <w:spacing w:val="-9"/>
        </w:rPr>
        <w:t xml:space="preserve"> </w:t>
      </w:r>
      <w:r>
        <w:rPr>
          <w:spacing w:val="-2"/>
        </w:rPr>
        <w:t>revisited</w:t>
      </w:r>
    </w:p>
    <w:p w14:paraId="7E000B9B" w14:textId="77777777" w:rsidR="009A58DB" w:rsidRDefault="00000000">
      <w:pPr>
        <w:pStyle w:val="BodyText"/>
        <w:spacing w:before="140"/>
        <w:jc w:val="left"/>
      </w:pPr>
      <w:r>
        <w:rPr>
          <w:spacing w:val="-2"/>
        </w:rPr>
        <w:t>Consider:</w:t>
      </w:r>
    </w:p>
    <w:p w14:paraId="7E000B9C" w14:textId="77777777" w:rsidR="009A58DB" w:rsidRDefault="009A58DB">
      <w:pPr>
        <w:pStyle w:val="BodyText"/>
        <w:spacing w:before="29"/>
        <w:ind w:left="0"/>
        <w:jc w:val="left"/>
      </w:pPr>
    </w:p>
    <w:p w14:paraId="7E000B9D" w14:textId="77777777" w:rsidR="009A58DB" w:rsidRDefault="00000000">
      <w:pPr>
        <w:pStyle w:val="ListParagraph"/>
        <w:numPr>
          <w:ilvl w:val="0"/>
          <w:numId w:val="195"/>
        </w:numPr>
        <w:tabs>
          <w:tab w:val="left" w:pos="660"/>
        </w:tabs>
        <w:spacing w:before="1"/>
        <w:rPr>
          <w:sz w:val="30"/>
        </w:rPr>
      </w:pPr>
      <w:r>
        <w:rPr>
          <w:sz w:val="30"/>
        </w:rPr>
        <w:t>Everything</w:t>
      </w:r>
      <w:r>
        <w:rPr>
          <w:spacing w:val="-5"/>
          <w:sz w:val="30"/>
        </w:rPr>
        <w:t xml:space="preserve"> </w:t>
      </w:r>
      <w:r>
        <w:rPr>
          <w:spacing w:val="-2"/>
          <w:sz w:val="30"/>
        </w:rPr>
        <w:t>snores.</w:t>
      </w:r>
    </w:p>
    <w:p w14:paraId="7E000B9E" w14:textId="77777777" w:rsidR="009A58DB" w:rsidRDefault="009A58DB">
      <w:pPr>
        <w:pStyle w:val="BodyText"/>
        <w:spacing w:before="29"/>
        <w:ind w:left="0"/>
        <w:jc w:val="left"/>
      </w:pPr>
    </w:p>
    <w:p w14:paraId="7E000B9F" w14:textId="77777777" w:rsidR="009A58DB" w:rsidRDefault="00000000">
      <w:pPr>
        <w:pStyle w:val="BodyText"/>
        <w:spacing w:before="1"/>
        <w:jc w:val="left"/>
      </w:pPr>
      <w:r>
        <w:t>By</w:t>
      </w:r>
      <w:r>
        <w:rPr>
          <w:spacing w:val="-5"/>
        </w:rPr>
        <w:t xml:space="preserve"> </w:t>
      </w:r>
      <w:r>
        <w:t>reasoning</w:t>
      </w:r>
      <w:r>
        <w:rPr>
          <w:spacing w:val="-3"/>
        </w:rPr>
        <w:t xml:space="preserve"> </w:t>
      </w:r>
      <w:r>
        <w:t>similar</w:t>
      </w:r>
      <w:r>
        <w:rPr>
          <w:spacing w:val="-4"/>
        </w:rPr>
        <w:t xml:space="preserve"> </w:t>
      </w:r>
      <w:r>
        <w:t>to</w:t>
      </w:r>
      <w:r>
        <w:rPr>
          <w:spacing w:val="-3"/>
        </w:rPr>
        <w:t xml:space="preserve"> </w:t>
      </w:r>
      <w:r>
        <w:t>that</w:t>
      </w:r>
      <w:r>
        <w:rPr>
          <w:spacing w:val="-4"/>
        </w:rPr>
        <w:t xml:space="preserve"> </w:t>
      </w:r>
      <w:r>
        <w:t>already</w:t>
      </w:r>
      <w:r>
        <w:rPr>
          <w:spacing w:val="-3"/>
        </w:rPr>
        <w:t xml:space="preserve"> </w:t>
      </w:r>
      <w:r>
        <w:t>given,</w:t>
      </w:r>
      <w:r>
        <w:rPr>
          <w:spacing w:val="-3"/>
        </w:rPr>
        <w:t xml:space="preserve"> </w:t>
      </w:r>
      <w:r>
        <w:t>the</w:t>
      </w:r>
      <w:r>
        <w:rPr>
          <w:spacing w:val="-4"/>
        </w:rPr>
        <w:t xml:space="preserve"> </w:t>
      </w:r>
      <w:r>
        <w:t>main</w:t>
      </w:r>
      <w:r>
        <w:rPr>
          <w:spacing w:val="-3"/>
        </w:rPr>
        <w:t xml:space="preserve"> </w:t>
      </w:r>
      <w:r>
        <w:t>constituents</w:t>
      </w:r>
      <w:r>
        <w:rPr>
          <w:spacing w:val="-4"/>
        </w:rPr>
        <w:t xml:space="preserve"> </w:t>
      </w:r>
      <w:r>
        <w:t>of</w:t>
      </w:r>
      <w:r>
        <w:rPr>
          <w:spacing w:val="-4"/>
        </w:rPr>
        <w:t xml:space="preserve"> </w:t>
      </w:r>
      <w:r>
        <w:t>this</w:t>
      </w:r>
      <w:r>
        <w:rPr>
          <w:spacing w:val="-3"/>
        </w:rPr>
        <w:t xml:space="preserve"> </w:t>
      </w:r>
      <w:r>
        <w:rPr>
          <w:spacing w:val="-4"/>
        </w:rPr>
        <w:t>are:</w:t>
      </w:r>
    </w:p>
    <w:p w14:paraId="7E000BA0" w14:textId="77777777" w:rsidR="009A58DB" w:rsidRDefault="009A58DB">
      <w:pPr>
        <w:pStyle w:val="BodyText"/>
        <w:spacing w:before="29"/>
        <w:ind w:left="0"/>
        <w:jc w:val="left"/>
      </w:pPr>
    </w:p>
    <w:p w14:paraId="7E000BA1" w14:textId="77777777" w:rsidR="009A58DB" w:rsidRDefault="00000000">
      <w:pPr>
        <w:pStyle w:val="ListParagraph"/>
        <w:numPr>
          <w:ilvl w:val="1"/>
          <w:numId w:val="195"/>
        </w:numPr>
        <w:tabs>
          <w:tab w:val="left" w:pos="793"/>
        </w:tabs>
        <w:spacing w:before="1"/>
        <w:ind w:hanging="433"/>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2"/>
          <w:sz w:val="30"/>
        </w:rPr>
        <w:t xml:space="preserve"> snoring</w:t>
      </w:r>
    </w:p>
    <w:p w14:paraId="7E000BA2" w14:textId="77777777" w:rsidR="009A58DB" w:rsidRDefault="00000000">
      <w:pPr>
        <w:pStyle w:val="ListParagraph"/>
        <w:numPr>
          <w:ilvl w:val="1"/>
          <w:numId w:val="195"/>
        </w:numPr>
        <w:tabs>
          <w:tab w:val="left" w:pos="809"/>
        </w:tabs>
        <w:spacing w:before="15"/>
        <w:ind w:left="809" w:hanging="449"/>
        <w:rPr>
          <w:sz w:val="30"/>
        </w:rPr>
      </w:pPr>
      <w:r>
        <w:rPr>
          <w:sz w:val="30"/>
        </w:rPr>
        <w:t>the</w:t>
      </w:r>
      <w:r>
        <w:rPr>
          <w:spacing w:val="-6"/>
          <w:sz w:val="30"/>
        </w:rPr>
        <w:t xml:space="preserve"> </w:t>
      </w:r>
      <w:r>
        <w:rPr>
          <w:sz w:val="30"/>
        </w:rPr>
        <w:t>property</w:t>
      </w:r>
      <w:r>
        <w:rPr>
          <w:spacing w:val="-3"/>
          <w:sz w:val="30"/>
        </w:rPr>
        <w:t xml:space="preserve"> </w:t>
      </w:r>
      <w:r>
        <w:rPr>
          <w:sz w:val="30"/>
        </w:rPr>
        <w:t>of</w:t>
      </w:r>
      <w:r>
        <w:rPr>
          <w:spacing w:val="-4"/>
          <w:sz w:val="30"/>
        </w:rPr>
        <w:t xml:space="preserve"> </w:t>
      </w:r>
      <w:r>
        <w:rPr>
          <w:sz w:val="30"/>
        </w:rPr>
        <w:t>being</w:t>
      </w:r>
      <w:r>
        <w:rPr>
          <w:spacing w:val="-3"/>
          <w:sz w:val="30"/>
        </w:rPr>
        <w:t xml:space="preserve"> </w:t>
      </w:r>
      <w:r>
        <w:rPr>
          <w:sz w:val="30"/>
        </w:rPr>
        <w:t>universally</w:t>
      </w:r>
      <w:r>
        <w:rPr>
          <w:spacing w:val="-2"/>
          <w:sz w:val="30"/>
        </w:rPr>
        <w:t xml:space="preserve"> instantiated</w:t>
      </w:r>
    </w:p>
    <w:p w14:paraId="7E000BA3" w14:textId="77777777" w:rsidR="009A58DB" w:rsidRDefault="00000000">
      <w:pPr>
        <w:pStyle w:val="ListParagraph"/>
        <w:numPr>
          <w:ilvl w:val="1"/>
          <w:numId w:val="195"/>
        </w:numPr>
        <w:tabs>
          <w:tab w:val="left" w:pos="720"/>
          <w:tab w:val="left" w:pos="793"/>
        </w:tabs>
        <w:spacing w:before="15" w:line="249" w:lineRule="auto"/>
        <w:ind w:left="720" w:right="357" w:hanging="360"/>
        <w:rPr>
          <w:sz w:val="30"/>
        </w:rPr>
      </w:pPr>
      <w:r>
        <w:rPr>
          <w:sz w:val="30"/>
        </w:rPr>
        <w:tab/>
        <w:t>the</w:t>
      </w:r>
      <w:r>
        <w:rPr>
          <w:spacing w:val="-5"/>
          <w:sz w:val="30"/>
        </w:rPr>
        <w:t xml:space="preserve"> </w:t>
      </w:r>
      <w:r>
        <w:rPr>
          <w:sz w:val="30"/>
        </w:rPr>
        <w:t>property</w:t>
      </w:r>
      <w:r>
        <w:rPr>
          <w:spacing w:val="-4"/>
          <w:sz w:val="30"/>
        </w:rPr>
        <w:t xml:space="preserve"> </w:t>
      </w:r>
      <w:r>
        <w:rPr>
          <w:sz w:val="30"/>
        </w:rPr>
        <w:t>of</w:t>
      </w:r>
      <w:r>
        <w:rPr>
          <w:spacing w:val="-5"/>
          <w:sz w:val="30"/>
        </w:rPr>
        <w:t xml:space="preserve"> </w:t>
      </w:r>
      <w:r>
        <w:rPr>
          <w:sz w:val="30"/>
        </w:rPr>
        <w:t>being</w:t>
      </w:r>
      <w:r>
        <w:rPr>
          <w:spacing w:val="-4"/>
          <w:sz w:val="30"/>
        </w:rPr>
        <w:t xml:space="preserve"> </w:t>
      </w:r>
      <w:r>
        <w:rPr>
          <w:sz w:val="30"/>
        </w:rPr>
        <w:t>identical</w:t>
      </w:r>
      <w:r>
        <w:rPr>
          <w:spacing w:val="-5"/>
          <w:sz w:val="30"/>
        </w:rPr>
        <w:t xml:space="preserve"> </w:t>
      </w:r>
      <w:r>
        <w:rPr>
          <w:sz w:val="30"/>
        </w:rPr>
        <w:t>with</w:t>
      </w:r>
      <w:r>
        <w:rPr>
          <w:spacing w:val="-4"/>
          <w:sz w:val="30"/>
        </w:rPr>
        <w:t xml:space="preserve"> </w:t>
      </w:r>
      <w:r>
        <w:rPr>
          <w:sz w:val="30"/>
        </w:rPr>
        <w:t>a</w:t>
      </w:r>
      <w:r>
        <w:rPr>
          <w:spacing w:val="-5"/>
          <w:sz w:val="30"/>
        </w:rPr>
        <w:t xml:space="preserve"> </w:t>
      </w:r>
      <w:r>
        <w:rPr>
          <w:sz w:val="30"/>
        </w:rPr>
        <w:t>universally</w:t>
      </w:r>
      <w:r>
        <w:rPr>
          <w:spacing w:val="-4"/>
          <w:sz w:val="30"/>
        </w:rPr>
        <w:t xml:space="preserve"> </w:t>
      </w:r>
      <w:r>
        <w:rPr>
          <w:sz w:val="30"/>
        </w:rPr>
        <w:t>instantiated</w:t>
      </w:r>
      <w:r>
        <w:rPr>
          <w:spacing w:val="-4"/>
          <w:sz w:val="30"/>
        </w:rPr>
        <w:t xml:space="preserve"> </w:t>
      </w:r>
      <w:r>
        <w:rPr>
          <w:sz w:val="30"/>
        </w:rPr>
        <w:t>property</w:t>
      </w:r>
      <w:r>
        <w:rPr>
          <w:spacing w:val="-4"/>
          <w:sz w:val="30"/>
        </w:rPr>
        <w:t xml:space="preserve"> </w:t>
      </w:r>
      <w:r>
        <w:rPr>
          <w:sz w:val="30"/>
        </w:rPr>
        <w:t>that is identical with the property of snoring</w:t>
      </w:r>
    </w:p>
    <w:p w14:paraId="7E000BA4" w14:textId="77777777" w:rsidR="009A58DB" w:rsidRDefault="009A58DB">
      <w:pPr>
        <w:pStyle w:val="BodyText"/>
        <w:spacing w:before="17"/>
        <w:ind w:left="0"/>
        <w:jc w:val="left"/>
      </w:pPr>
    </w:p>
    <w:p w14:paraId="7E000BA5" w14:textId="77777777" w:rsidR="009A58DB" w:rsidRDefault="00000000">
      <w:pPr>
        <w:pStyle w:val="BodyText"/>
        <w:ind w:left="720"/>
        <w:jc w:val="left"/>
      </w:pPr>
      <w:r>
        <w:t>Of</w:t>
      </w:r>
      <w:r>
        <w:rPr>
          <w:spacing w:val="23"/>
        </w:rPr>
        <w:t xml:space="preserve"> </w:t>
      </w:r>
      <w:r>
        <w:t>course,</w:t>
      </w:r>
      <w:r>
        <w:rPr>
          <w:spacing w:val="24"/>
        </w:rPr>
        <w:t xml:space="preserve"> </w:t>
      </w:r>
      <w:r>
        <w:t>c</w:t>
      </w:r>
      <w:r>
        <w:rPr>
          <w:spacing w:val="24"/>
        </w:rPr>
        <w:t xml:space="preserve"> </w:t>
      </w:r>
      <w:r>
        <w:t>is</w:t>
      </w:r>
      <w:r>
        <w:rPr>
          <w:spacing w:val="24"/>
        </w:rPr>
        <w:t xml:space="preserve"> </w:t>
      </w:r>
      <w:r>
        <w:t>a</w:t>
      </w:r>
      <w:r>
        <w:rPr>
          <w:spacing w:val="24"/>
        </w:rPr>
        <w:t xml:space="preserve"> </w:t>
      </w:r>
      <w:r>
        <w:t>property</w:t>
      </w:r>
      <w:r>
        <w:rPr>
          <w:spacing w:val="24"/>
        </w:rPr>
        <w:t xml:space="preserve"> </w:t>
      </w:r>
      <w:r>
        <w:t>each</w:t>
      </w:r>
      <w:r>
        <w:rPr>
          <w:spacing w:val="24"/>
        </w:rPr>
        <w:t xml:space="preserve"> </w:t>
      </w:r>
      <w:r>
        <w:t>of</w:t>
      </w:r>
      <w:r>
        <w:rPr>
          <w:spacing w:val="24"/>
        </w:rPr>
        <w:t xml:space="preserve"> </w:t>
      </w:r>
      <w:r>
        <w:t>whose</w:t>
      </w:r>
      <w:r>
        <w:rPr>
          <w:spacing w:val="24"/>
        </w:rPr>
        <w:t xml:space="preserve"> </w:t>
      </w:r>
      <w:r>
        <w:t>instances</w:t>
      </w:r>
      <w:r>
        <w:rPr>
          <w:spacing w:val="24"/>
        </w:rPr>
        <w:t xml:space="preserve"> </w:t>
      </w:r>
      <w:r>
        <w:t>is</w:t>
      </w:r>
      <w:r>
        <w:rPr>
          <w:spacing w:val="24"/>
        </w:rPr>
        <w:t xml:space="preserve"> </w:t>
      </w:r>
      <w:r>
        <w:t>an</w:t>
      </w:r>
      <w:r>
        <w:rPr>
          <w:spacing w:val="24"/>
        </w:rPr>
        <w:t xml:space="preserve"> </w:t>
      </w:r>
      <w:r>
        <w:t>instance</w:t>
      </w:r>
      <w:r>
        <w:rPr>
          <w:spacing w:val="24"/>
        </w:rPr>
        <w:t xml:space="preserve"> </w:t>
      </w:r>
      <w:r>
        <w:t>both</w:t>
      </w:r>
      <w:r>
        <w:rPr>
          <w:spacing w:val="24"/>
        </w:rPr>
        <w:t xml:space="preserve"> </w:t>
      </w:r>
      <w:r>
        <w:rPr>
          <w:spacing w:val="-5"/>
        </w:rPr>
        <w:t>of</w:t>
      </w:r>
    </w:p>
    <w:p w14:paraId="7E000BA6" w14:textId="77777777" w:rsidR="009A58DB" w:rsidRDefault="00000000">
      <w:pPr>
        <w:pStyle w:val="BodyText"/>
        <w:spacing w:before="15" w:line="249" w:lineRule="auto"/>
        <w:ind w:right="359"/>
        <w:jc w:val="left"/>
      </w:pPr>
      <w:r>
        <w:t>(a)</w:t>
      </w:r>
      <w:r>
        <w:rPr>
          <w:spacing w:val="74"/>
        </w:rPr>
        <w:t xml:space="preserve"> </w:t>
      </w:r>
      <w:r>
        <w:t>the</w:t>
      </w:r>
      <w:r>
        <w:rPr>
          <w:spacing w:val="74"/>
        </w:rPr>
        <w:t xml:space="preserve"> </w:t>
      </w:r>
      <w:r>
        <w:t>property</w:t>
      </w:r>
      <w:r>
        <w:rPr>
          <w:spacing w:val="74"/>
        </w:rPr>
        <w:t xml:space="preserve"> </w:t>
      </w:r>
      <w:r>
        <w:t>of</w:t>
      </w:r>
      <w:r>
        <w:rPr>
          <w:spacing w:val="74"/>
        </w:rPr>
        <w:t xml:space="preserve"> </w:t>
      </w:r>
      <w:r>
        <w:t>snoring</w:t>
      </w:r>
      <w:r>
        <w:rPr>
          <w:spacing w:val="74"/>
        </w:rPr>
        <w:t xml:space="preserve"> </w:t>
      </w:r>
      <w:r>
        <w:t>and</w:t>
      </w:r>
      <w:r>
        <w:rPr>
          <w:spacing w:val="74"/>
        </w:rPr>
        <w:t xml:space="preserve"> </w:t>
      </w:r>
      <w:r>
        <w:t>(b)</w:t>
      </w:r>
      <w:r>
        <w:rPr>
          <w:spacing w:val="74"/>
        </w:rPr>
        <w:t xml:space="preserve"> </w:t>
      </w:r>
      <w:r>
        <w:t>of</w:t>
      </w:r>
      <w:r>
        <w:rPr>
          <w:spacing w:val="74"/>
        </w:rPr>
        <w:t xml:space="preserve"> </w:t>
      </w:r>
      <w:r>
        <w:t>the</w:t>
      </w:r>
      <w:r>
        <w:rPr>
          <w:spacing w:val="74"/>
        </w:rPr>
        <w:t xml:space="preserve"> </w:t>
      </w:r>
      <w:r>
        <w:t>property</w:t>
      </w:r>
      <w:r>
        <w:rPr>
          <w:spacing w:val="74"/>
        </w:rPr>
        <w:t xml:space="preserve"> </w:t>
      </w:r>
      <w:r>
        <w:t>of</w:t>
      </w:r>
      <w:r>
        <w:rPr>
          <w:spacing w:val="74"/>
        </w:rPr>
        <w:t xml:space="preserve"> </w:t>
      </w:r>
      <w:r>
        <w:t>being</w:t>
      </w:r>
      <w:r>
        <w:rPr>
          <w:spacing w:val="74"/>
        </w:rPr>
        <w:t xml:space="preserve"> </w:t>
      </w:r>
      <w:r>
        <w:t xml:space="preserve">universally </w:t>
      </w:r>
      <w:r>
        <w:rPr>
          <w:spacing w:val="-2"/>
        </w:rPr>
        <w:t>instantiated.</w:t>
      </w:r>
    </w:p>
    <w:p w14:paraId="7E000BA7" w14:textId="77777777" w:rsidR="009A58DB" w:rsidRDefault="00000000">
      <w:pPr>
        <w:pStyle w:val="BodyText"/>
        <w:spacing w:before="3"/>
        <w:ind w:left="720"/>
        <w:jc w:val="left"/>
      </w:pPr>
      <w:r>
        <w:t>Let</w:t>
      </w:r>
      <w:r>
        <w:rPr>
          <w:spacing w:val="-2"/>
        </w:rPr>
        <w:t xml:space="preserve"> </w:t>
      </w:r>
      <w:r>
        <w:t>us</w:t>
      </w:r>
      <w:r>
        <w:rPr>
          <w:spacing w:val="-2"/>
        </w:rPr>
        <w:t xml:space="preserve"> </w:t>
      </w:r>
      <w:r>
        <w:t>now</w:t>
      </w:r>
      <w:r>
        <w:rPr>
          <w:spacing w:val="-1"/>
        </w:rPr>
        <w:t xml:space="preserve"> </w:t>
      </w:r>
      <w:r>
        <w:rPr>
          <w:spacing w:val="-2"/>
        </w:rPr>
        <w:t>consider:</w:t>
      </w:r>
    </w:p>
    <w:p w14:paraId="7E000BA8" w14:textId="77777777" w:rsidR="009A58DB" w:rsidRDefault="009A58DB">
      <w:pPr>
        <w:pStyle w:val="BodyText"/>
        <w:spacing w:before="30"/>
        <w:ind w:left="0"/>
        <w:jc w:val="left"/>
      </w:pPr>
    </w:p>
    <w:p w14:paraId="7E000BA9" w14:textId="77777777" w:rsidR="009A58DB" w:rsidRDefault="00000000">
      <w:pPr>
        <w:pStyle w:val="ListParagraph"/>
        <w:numPr>
          <w:ilvl w:val="0"/>
          <w:numId w:val="195"/>
        </w:numPr>
        <w:tabs>
          <w:tab w:val="left" w:pos="660"/>
        </w:tabs>
        <w:rPr>
          <w:sz w:val="30"/>
        </w:rPr>
      </w:pPr>
      <w:r>
        <w:rPr>
          <w:sz w:val="30"/>
        </w:rPr>
        <w:t>Nothing</w:t>
      </w:r>
      <w:r>
        <w:rPr>
          <w:spacing w:val="-3"/>
          <w:sz w:val="30"/>
        </w:rPr>
        <w:t xml:space="preserve"> </w:t>
      </w:r>
      <w:r>
        <w:rPr>
          <w:spacing w:val="-2"/>
          <w:sz w:val="30"/>
        </w:rPr>
        <w:t>snores</w:t>
      </w:r>
    </w:p>
    <w:p w14:paraId="7E000BAA" w14:textId="77777777" w:rsidR="009A58DB" w:rsidRDefault="009A58DB">
      <w:pPr>
        <w:pStyle w:val="BodyText"/>
        <w:spacing w:before="30"/>
        <w:ind w:left="0"/>
        <w:jc w:val="left"/>
      </w:pPr>
    </w:p>
    <w:p w14:paraId="7E000BAB" w14:textId="77777777" w:rsidR="009A58DB" w:rsidRDefault="00000000">
      <w:pPr>
        <w:pStyle w:val="BodyText"/>
        <w:spacing w:line="501" w:lineRule="auto"/>
        <w:ind w:right="794" w:firstLine="360"/>
        <w:jc w:val="left"/>
        <w:rPr>
          <w:i/>
        </w:rPr>
      </w:pPr>
      <w:r>
        <w:t>I</w:t>
      </w:r>
      <w:r>
        <w:rPr>
          <w:spacing w:val="-3"/>
        </w:rPr>
        <w:t xml:space="preserve"> </w:t>
      </w:r>
      <w:r>
        <w:t>will</w:t>
      </w:r>
      <w:r>
        <w:rPr>
          <w:spacing w:val="-3"/>
        </w:rPr>
        <w:t xml:space="preserve"> </w:t>
      </w:r>
      <w:r>
        <w:t>treat</w:t>
      </w:r>
      <w:r>
        <w:rPr>
          <w:spacing w:val="-3"/>
        </w:rPr>
        <w:t xml:space="preserve"> </w:t>
      </w:r>
      <w:r>
        <w:t>this</w:t>
      </w:r>
      <w:r>
        <w:rPr>
          <w:spacing w:val="-3"/>
        </w:rPr>
        <w:t xml:space="preserve"> </w:t>
      </w:r>
      <w:r>
        <w:t>is</w:t>
      </w:r>
      <w:r>
        <w:rPr>
          <w:spacing w:val="-3"/>
        </w:rPr>
        <w:t xml:space="preserve"> </w:t>
      </w:r>
      <w:r>
        <w:t>as</w:t>
      </w:r>
      <w:r>
        <w:rPr>
          <w:spacing w:val="-3"/>
        </w:rPr>
        <w:t xml:space="preserve"> </w:t>
      </w:r>
      <w:r>
        <w:t>the</w:t>
      </w:r>
      <w:r>
        <w:rPr>
          <w:spacing w:val="-3"/>
        </w:rPr>
        <w:t xml:space="preserve"> </w:t>
      </w:r>
      <w:r>
        <w:t>negation</w:t>
      </w:r>
      <w:r>
        <w:rPr>
          <w:spacing w:val="-2"/>
        </w:rPr>
        <w:t xml:space="preserve"> </w:t>
      </w:r>
      <w:r>
        <w:t>of</w:t>
      </w:r>
      <w:r>
        <w:rPr>
          <w:spacing w:val="-3"/>
        </w:rPr>
        <w:t xml:space="preserve"> </w:t>
      </w:r>
      <w:r>
        <w:t>5.</w:t>
      </w:r>
      <w:r>
        <w:rPr>
          <w:spacing w:val="-2"/>
        </w:rPr>
        <w:t xml:space="preserve"> </w:t>
      </w:r>
      <w:r>
        <w:t>I</w:t>
      </w:r>
      <w:r>
        <w:rPr>
          <w:spacing w:val="-3"/>
        </w:rPr>
        <w:t xml:space="preserve"> </w:t>
      </w:r>
      <w:r>
        <w:t>will</w:t>
      </w:r>
      <w:r>
        <w:rPr>
          <w:spacing w:val="-3"/>
        </w:rPr>
        <w:t xml:space="preserve"> </w:t>
      </w:r>
      <w:r>
        <w:t>treat</w:t>
      </w:r>
      <w:r>
        <w:rPr>
          <w:spacing w:val="-3"/>
        </w:rPr>
        <w:t xml:space="preserve"> </w:t>
      </w:r>
      <w:r>
        <w:t>it,</w:t>
      </w:r>
      <w:r>
        <w:rPr>
          <w:spacing w:val="-2"/>
        </w:rPr>
        <w:t xml:space="preserve"> </w:t>
      </w:r>
      <w:r>
        <w:t>in</w:t>
      </w:r>
      <w:r>
        <w:rPr>
          <w:spacing w:val="-2"/>
        </w:rPr>
        <w:t xml:space="preserve"> </w:t>
      </w:r>
      <w:r>
        <w:t>other</w:t>
      </w:r>
      <w:r>
        <w:rPr>
          <w:spacing w:val="-3"/>
        </w:rPr>
        <w:t xml:space="preserve"> </w:t>
      </w:r>
      <w:r>
        <w:t>words,</w:t>
      </w:r>
      <w:r>
        <w:rPr>
          <w:spacing w:val="-2"/>
        </w:rPr>
        <w:t xml:space="preserve"> </w:t>
      </w:r>
      <w:r>
        <w:t xml:space="preserve">as: 8: It is not the case </w:t>
      </w:r>
      <w:r>
        <w:rPr>
          <w:i/>
        </w:rPr>
        <w:t>that something snores.</w:t>
      </w:r>
    </w:p>
    <w:p w14:paraId="7E000BAC" w14:textId="77777777" w:rsidR="009A58DB" w:rsidRDefault="00000000">
      <w:pPr>
        <w:pStyle w:val="BodyText"/>
        <w:spacing w:line="249" w:lineRule="auto"/>
        <w:ind w:right="366"/>
      </w:pPr>
      <w:r>
        <w:t>For reasons now already clear, the constituents of 8 include (but are not confined to):</w:t>
      </w:r>
    </w:p>
    <w:p w14:paraId="7E000BA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AE" w14:textId="77777777" w:rsidR="009A58DB" w:rsidRDefault="00000000">
      <w:pPr>
        <w:pStyle w:val="ListParagraph"/>
        <w:numPr>
          <w:ilvl w:val="1"/>
          <w:numId w:val="195"/>
        </w:numPr>
        <w:tabs>
          <w:tab w:val="left" w:pos="793"/>
        </w:tabs>
        <w:spacing w:before="65"/>
        <w:ind w:hanging="433"/>
        <w:rPr>
          <w:sz w:val="30"/>
        </w:rPr>
      </w:pPr>
      <w:r>
        <w:rPr>
          <w:sz w:val="30"/>
        </w:rPr>
        <w:lastRenderedPageBreak/>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2"/>
          <w:sz w:val="30"/>
        </w:rPr>
        <w:t xml:space="preserve"> </w:t>
      </w:r>
      <w:r>
        <w:rPr>
          <w:sz w:val="30"/>
        </w:rPr>
        <w:t>a</w:t>
      </w:r>
      <w:r>
        <w:rPr>
          <w:spacing w:val="-3"/>
          <w:sz w:val="30"/>
        </w:rPr>
        <w:t xml:space="preserve"> </w:t>
      </w:r>
      <w:r>
        <w:rPr>
          <w:sz w:val="30"/>
        </w:rPr>
        <w:t>false</w:t>
      </w:r>
      <w:r>
        <w:rPr>
          <w:spacing w:val="-2"/>
          <w:sz w:val="30"/>
        </w:rPr>
        <w:t xml:space="preserve"> proposition</w:t>
      </w:r>
    </w:p>
    <w:p w14:paraId="7E000BAF" w14:textId="77777777" w:rsidR="009A58DB" w:rsidRDefault="00000000">
      <w:pPr>
        <w:pStyle w:val="ListParagraph"/>
        <w:numPr>
          <w:ilvl w:val="1"/>
          <w:numId w:val="195"/>
        </w:numPr>
        <w:tabs>
          <w:tab w:val="left" w:pos="809"/>
        </w:tabs>
        <w:spacing w:before="15"/>
        <w:ind w:left="809" w:hanging="449"/>
        <w:rPr>
          <w:sz w:val="30"/>
        </w:rPr>
      </w:pPr>
      <w:r>
        <w:rPr>
          <w:sz w:val="30"/>
        </w:rPr>
        <w:t>the</w:t>
      </w:r>
      <w:r>
        <w:rPr>
          <w:spacing w:val="-6"/>
          <w:sz w:val="30"/>
        </w:rPr>
        <w:t xml:space="preserve"> </w:t>
      </w:r>
      <w:r>
        <w:rPr>
          <w:sz w:val="30"/>
        </w:rPr>
        <w:t>property</w:t>
      </w:r>
      <w:r>
        <w:rPr>
          <w:spacing w:val="-3"/>
          <w:sz w:val="30"/>
        </w:rPr>
        <w:t xml:space="preserve"> </w:t>
      </w:r>
      <w:r>
        <w:rPr>
          <w:sz w:val="30"/>
        </w:rPr>
        <w:t>of</w:t>
      </w:r>
      <w:r>
        <w:rPr>
          <w:spacing w:val="-4"/>
          <w:sz w:val="30"/>
        </w:rPr>
        <w:t xml:space="preserve"> </w:t>
      </w:r>
      <w:r>
        <w:rPr>
          <w:sz w:val="30"/>
        </w:rPr>
        <w:t>being</w:t>
      </w:r>
      <w:r>
        <w:rPr>
          <w:spacing w:val="-3"/>
          <w:sz w:val="30"/>
        </w:rPr>
        <w:t xml:space="preserve"> </w:t>
      </w:r>
      <w:r>
        <w:rPr>
          <w:sz w:val="30"/>
        </w:rPr>
        <w:t>identical</w:t>
      </w:r>
      <w:r>
        <w:rPr>
          <w:spacing w:val="-4"/>
          <w:sz w:val="30"/>
        </w:rPr>
        <w:t xml:space="preserve"> </w:t>
      </w:r>
      <w:r>
        <w:rPr>
          <w:sz w:val="30"/>
        </w:rPr>
        <w:t>with</w:t>
      </w:r>
      <w:r>
        <w:rPr>
          <w:spacing w:val="-3"/>
          <w:sz w:val="30"/>
        </w:rPr>
        <w:t xml:space="preserve"> </w:t>
      </w:r>
      <w:r>
        <w:rPr>
          <w:sz w:val="30"/>
        </w:rPr>
        <w:t>the</w:t>
      </w:r>
      <w:r>
        <w:rPr>
          <w:spacing w:val="-4"/>
          <w:sz w:val="30"/>
        </w:rPr>
        <w:t xml:space="preserve"> </w:t>
      </w:r>
      <w:r>
        <w:rPr>
          <w:sz w:val="30"/>
        </w:rPr>
        <w:t>proposition</w:t>
      </w:r>
      <w:r>
        <w:rPr>
          <w:spacing w:val="-3"/>
          <w:sz w:val="30"/>
        </w:rPr>
        <w:t xml:space="preserve"> </w:t>
      </w:r>
      <w:r>
        <w:rPr>
          <w:sz w:val="30"/>
        </w:rPr>
        <w:t>that</w:t>
      </w:r>
      <w:r>
        <w:rPr>
          <w:spacing w:val="-4"/>
          <w:sz w:val="30"/>
        </w:rPr>
        <w:t xml:space="preserve"> </w:t>
      </w:r>
      <w:r>
        <w:rPr>
          <w:sz w:val="30"/>
        </w:rPr>
        <w:t>something</w:t>
      </w:r>
      <w:r>
        <w:rPr>
          <w:spacing w:val="-2"/>
          <w:sz w:val="30"/>
        </w:rPr>
        <w:t xml:space="preserve"> snores</w:t>
      </w:r>
    </w:p>
    <w:p w14:paraId="7E000BB0" w14:textId="77777777" w:rsidR="009A58DB" w:rsidRDefault="00000000">
      <w:pPr>
        <w:pStyle w:val="ListParagraph"/>
        <w:numPr>
          <w:ilvl w:val="1"/>
          <w:numId w:val="195"/>
        </w:numPr>
        <w:tabs>
          <w:tab w:val="left" w:pos="720"/>
          <w:tab w:val="left" w:pos="895"/>
        </w:tabs>
        <w:spacing w:before="15" w:line="249" w:lineRule="auto"/>
        <w:ind w:left="720" w:right="369" w:hanging="360"/>
        <w:rPr>
          <w:sz w:val="30"/>
        </w:rPr>
      </w:pPr>
      <w:r>
        <w:rPr>
          <w:sz w:val="30"/>
        </w:rPr>
        <w:tab/>
        <w:t>the property of being identical with a false proposition that is identical</w:t>
      </w:r>
      <w:r>
        <w:rPr>
          <w:spacing w:val="80"/>
          <w:w w:val="150"/>
          <w:sz w:val="30"/>
        </w:rPr>
        <w:t xml:space="preserve"> </w:t>
      </w:r>
      <w:r>
        <w:rPr>
          <w:sz w:val="30"/>
        </w:rPr>
        <w:t>with the proposition that something snores</w:t>
      </w:r>
    </w:p>
    <w:p w14:paraId="7E000BB1" w14:textId="77777777" w:rsidR="009A58DB" w:rsidRDefault="009A58DB">
      <w:pPr>
        <w:pStyle w:val="BodyText"/>
        <w:spacing w:before="17"/>
        <w:ind w:left="0"/>
        <w:jc w:val="left"/>
      </w:pPr>
    </w:p>
    <w:p w14:paraId="7E000BB2" w14:textId="77777777" w:rsidR="009A58DB" w:rsidRDefault="00000000">
      <w:pPr>
        <w:pStyle w:val="BodyText"/>
        <w:spacing w:line="249" w:lineRule="auto"/>
        <w:ind w:right="366"/>
        <w:rPr>
          <w:i/>
        </w:rPr>
      </w:pPr>
      <w:r>
        <w:t xml:space="preserve">Notice that, if c is instantiated, so are b and a. And notice that, if c is instantiated, then the proposition that something snores is false. Finally, notice that c is related to a and b in the usual way—any instance of 6 is an instance both of (a) the property of being a false proposition and (b) the property of being identical with </w:t>
      </w:r>
      <w:r>
        <w:rPr>
          <w:i/>
        </w:rPr>
        <w:t>that Tommy smokes.</w:t>
      </w:r>
    </w:p>
    <w:p w14:paraId="7E000BB3" w14:textId="77777777" w:rsidR="009A58DB" w:rsidRDefault="00000000">
      <w:pPr>
        <w:pStyle w:val="Heading1"/>
        <w:numPr>
          <w:ilvl w:val="1"/>
          <w:numId w:val="203"/>
        </w:numPr>
        <w:tabs>
          <w:tab w:val="left" w:pos="990"/>
        </w:tabs>
        <w:spacing w:before="194"/>
        <w:ind w:left="990" w:hanging="630"/>
      </w:pPr>
      <w:r>
        <w:t>Non-quantified</w:t>
      </w:r>
      <w:r>
        <w:rPr>
          <w:spacing w:val="-12"/>
        </w:rPr>
        <w:t xml:space="preserve"> </w:t>
      </w:r>
      <w:r>
        <w:t>molecular</w:t>
      </w:r>
      <w:r>
        <w:rPr>
          <w:spacing w:val="-9"/>
        </w:rPr>
        <w:t xml:space="preserve"> </w:t>
      </w:r>
      <w:r>
        <w:rPr>
          <w:spacing w:val="-2"/>
        </w:rPr>
        <w:t>propositions</w:t>
      </w:r>
    </w:p>
    <w:p w14:paraId="7E000BB4" w14:textId="77777777" w:rsidR="009A58DB" w:rsidRDefault="00000000">
      <w:pPr>
        <w:pStyle w:val="BodyText"/>
        <w:spacing w:before="139" w:line="249" w:lineRule="auto"/>
        <w:ind w:right="367"/>
      </w:pPr>
      <w:r>
        <w:t>Let’s finish up by considering two non-quantified molecular propositions. Consider the sentence:</w:t>
      </w:r>
    </w:p>
    <w:p w14:paraId="7E000BB5" w14:textId="77777777" w:rsidR="009A58DB" w:rsidRDefault="009A58DB">
      <w:pPr>
        <w:pStyle w:val="BodyText"/>
        <w:spacing w:before="18"/>
        <w:ind w:left="0"/>
        <w:jc w:val="left"/>
      </w:pPr>
    </w:p>
    <w:p w14:paraId="7E000BB6" w14:textId="77777777" w:rsidR="009A58DB" w:rsidRDefault="00000000">
      <w:pPr>
        <w:pStyle w:val="ListParagraph"/>
        <w:numPr>
          <w:ilvl w:val="0"/>
          <w:numId w:val="195"/>
        </w:numPr>
        <w:tabs>
          <w:tab w:val="left" w:pos="660"/>
        </w:tabs>
        <w:rPr>
          <w:sz w:val="30"/>
        </w:rPr>
      </w:pPr>
      <w:r>
        <w:rPr>
          <w:sz w:val="30"/>
        </w:rPr>
        <w:t>Tommy</w:t>
      </w:r>
      <w:r>
        <w:rPr>
          <w:spacing w:val="-2"/>
          <w:sz w:val="30"/>
        </w:rPr>
        <w:t xml:space="preserve"> </w:t>
      </w:r>
      <w:r>
        <w:rPr>
          <w:sz w:val="30"/>
        </w:rPr>
        <w:t>is</w:t>
      </w:r>
      <w:r>
        <w:rPr>
          <w:spacing w:val="-3"/>
          <w:sz w:val="30"/>
        </w:rPr>
        <w:t xml:space="preserve"> </w:t>
      </w:r>
      <w:r>
        <w:rPr>
          <w:sz w:val="30"/>
        </w:rPr>
        <w:t>smoking</w:t>
      </w:r>
      <w:r>
        <w:rPr>
          <w:spacing w:val="-2"/>
          <w:sz w:val="30"/>
        </w:rPr>
        <w:t xml:space="preserve"> </w:t>
      </w:r>
      <w:r>
        <w:rPr>
          <w:sz w:val="30"/>
        </w:rPr>
        <w:t>or</w:t>
      </w:r>
      <w:r>
        <w:rPr>
          <w:spacing w:val="-3"/>
          <w:sz w:val="30"/>
        </w:rPr>
        <w:t xml:space="preserve"> </w:t>
      </w:r>
      <w:r>
        <w:rPr>
          <w:sz w:val="30"/>
        </w:rPr>
        <w:t>Tommy</w:t>
      </w:r>
      <w:r>
        <w:rPr>
          <w:spacing w:val="-2"/>
          <w:sz w:val="30"/>
        </w:rPr>
        <w:t xml:space="preserve"> </w:t>
      </w:r>
      <w:r>
        <w:rPr>
          <w:sz w:val="30"/>
        </w:rPr>
        <w:t>is</w:t>
      </w:r>
      <w:r>
        <w:rPr>
          <w:spacing w:val="-2"/>
          <w:sz w:val="30"/>
        </w:rPr>
        <w:t xml:space="preserve"> snoring</w:t>
      </w:r>
    </w:p>
    <w:p w14:paraId="7E000BB7" w14:textId="77777777" w:rsidR="009A58DB" w:rsidRDefault="009A58DB">
      <w:pPr>
        <w:pStyle w:val="BodyText"/>
        <w:spacing w:before="30"/>
        <w:ind w:left="0"/>
        <w:jc w:val="left"/>
      </w:pPr>
    </w:p>
    <w:p w14:paraId="7E000BB8" w14:textId="77777777" w:rsidR="009A58DB" w:rsidRDefault="00000000">
      <w:pPr>
        <w:spacing w:line="249" w:lineRule="auto"/>
        <w:ind w:left="360" w:right="358"/>
        <w:jc w:val="both"/>
        <w:rPr>
          <w:sz w:val="30"/>
        </w:rPr>
      </w:pPr>
      <w:r>
        <w:rPr>
          <w:sz w:val="30"/>
        </w:rPr>
        <w:t xml:space="preserve">9 can be seen as saying of a certain pair of propositions (namely, </w:t>
      </w:r>
      <w:r>
        <w:rPr>
          <w:i/>
          <w:sz w:val="30"/>
        </w:rPr>
        <w:t>that Tommy is</w:t>
      </w:r>
      <w:r>
        <w:rPr>
          <w:i/>
          <w:spacing w:val="-4"/>
          <w:sz w:val="30"/>
        </w:rPr>
        <w:t xml:space="preserve"> </w:t>
      </w:r>
      <w:r>
        <w:rPr>
          <w:i/>
          <w:sz w:val="30"/>
        </w:rPr>
        <w:t>smoking</w:t>
      </w:r>
      <w:r>
        <w:rPr>
          <w:i/>
          <w:spacing w:val="-3"/>
          <w:sz w:val="30"/>
        </w:rPr>
        <w:t xml:space="preserve"> </w:t>
      </w:r>
      <w:r>
        <w:rPr>
          <w:sz w:val="30"/>
        </w:rPr>
        <w:t>and</w:t>
      </w:r>
      <w:r>
        <w:rPr>
          <w:spacing w:val="-3"/>
          <w:sz w:val="30"/>
        </w:rPr>
        <w:t xml:space="preserve"> </w:t>
      </w:r>
      <w:r>
        <w:rPr>
          <w:i/>
          <w:sz w:val="30"/>
        </w:rPr>
        <w:t>that</w:t>
      </w:r>
      <w:r>
        <w:rPr>
          <w:i/>
          <w:spacing w:val="-4"/>
          <w:sz w:val="30"/>
        </w:rPr>
        <w:t xml:space="preserve"> </w:t>
      </w:r>
      <w:r>
        <w:rPr>
          <w:i/>
          <w:sz w:val="30"/>
        </w:rPr>
        <w:t>Tommy</w:t>
      </w:r>
      <w:r>
        <w:rPr>
          <w:i/>
          <w:spacing w:val="-4"/>
          <w:sz w:val="30"/>
        </w:rPr>
        <w:t xml:space="preserve"> </w:t>
      </w:r>
      <w:r>
        <w:rPr>
          <w:i/>
          <w:sz w:val="30"/>
        </w:rPr>
        <w:t>is</w:t>
      </w:r>
      <w:r>
        <w:rPr>
          <w:i/>
          <w:spacing w:val="-4"/>
          <w:sz w:val="30"/>
        </w:rPr>
        <w:t xml:space="preserve"> </w:t>
      </w:r>
      <w:r>
        <w:rPr>
          <w:i/>
          <w:sz w:val="30"/>
        </w:rPr>
        <w:t>snoring</w:t>
      </w:r>
      <w:r>
        <w:rPr>
          <w:sz w:val="30"/>
        </w:rPr>
        <w:t>)</w:t>
      </w:r>
      <w:r>
        <w:rPr>
          <w:spacing w:val="-2"/>
          <w:sz w:val="30"/>
        </w:rPr>
        <w:t xml:space="preserve"> </w:t>
      </w:r>
      <w:r>
        <w:rPr>
          <w:sz w:val="30"/>
        </w:rPr>
        <w:t>that</w:t>
      </w:r>
      <w:r>
        <w:rPr>
          <w:spacing w:val="-2"/>
          <w:sz w:val="30"/>
        </w:rPr>
        <w:t xml:space="preserve"> </w:t>
      </w:r>
      <w:r>
        <w:rPr>
          <w:sz w:val="30"/>
        </w:rPr>
        <w:t>at</w:t>
      </w:r>
      <w:r>
        <w:rPr>
          <w:spacing w:val="-2"/>
          <w:sz w:val="30"/>
        </w:rPr>
        <w:t xml:space="preserve"> </w:t>
      </w:r>
      <w:r>
        <w:rPr>
          <w:sz w:val="30"/>
        </w:rPr>
        <w:t>least</w:t>
      </w:r>
      <w:r>
        <w:rPr>
          <w:spacing w:val="-2"/>
          <w:sz w:val="30"/>
        </w:rPr>
        <w:t xml:space="preserve"> </w:t>
      </w:r>
      <w:r>
        <w:rPr>
          <w:sz w:val="30"/>
        </w:rPr>
        <w:t>one</w:t>
      </w:r>
      <w:r>
        <w:rPr>
          <w:spacing w:val="-2"/>
          <w:sz w:val="30"/>
        </w:rPr>
        <w:t xml:space="preserve"> </w:t>
      </w:r>
      <w:r>
        <w:rPr>
          <w:sz w:val="30"/>
        </w:rPr>
        <w:t>of</w:t>
      </w:r>
      <w:r>
        <w:rPr>
          <w:spacing w:val="-2"/>
          <w:sz w:val="30"/>
        </w:rPr>
        <w:t xml:space="preserve"> </w:t>
      </w:r>
      <w:r>
        <w:rPr>
          <w:sz w:val="30"/>
        </w:rPr>
        <w:t>its</w:t>
      </w:r>
      <w:r>
        <w:rPr>
          <w:spacing w:val="-2"/>
          <w:sz w:val="30"/>
        </w:rPr>
        <w:t xml:space="preserve"> </w:t>
      </w:r>
      <w:r>
        <w:rPr>
          <w:sz w:val="30"/>
        </w:rPr>
        <w:t>members</w:t>
      </w:r>
      <w:r>
        <w:rPr>
          <w:spacing w:val="-2"/>
          <w:sz w:val="30"/>
        </w:rPr>
        <w:t xml:space="preserve"> </w:t>
      </w:r>
      <w:r>
        <w:rPr>
          <w:sz w:val="30"/>
        </w:rPr>
        <w:t>is</w:t>
      </w:r>
      <w:r>
        <w:rPr>
          <w:spacing w:val="-2"/>
          <w:sz w:val="30"/>
        </w:rPr>
        <w:t xml:space="preserve"> </w:t>
      </w:r>
      <w:r>
        <w:rPr>
          <w:sz w:val="30"/>
        </w:rPr>
        <w:t>true. I thus see 9 as consisting of:</w:t>
      </w:r>
    </w:p>
    <w:p w14:paraId="7E000BB9" w14:textId="77777777" w:rsidR="009A58DB" w:rsidRDefault="009A58DB">
      <w:pPr>
        <w:pStyle w:val="BodyText"/>
        <w:spacing w:before="18"/>
        <w:ind w:left="0"/>
        <w:jc w:val="left"/>
      </w:pPr>
    </w:p>
    <w:p w14:paraId="7E000BBA" w14:textId="77777777" w:rsidR="009A58DB" w:rsidRDefault="00000000">
      <w:pPr>
        <w:pStyle w:val="ListParagraph"/>
        <w:numPr>
          <w:ilvl w:val="0"/>
          <w:numId w:val="1"/>
        </w:numPr>
        <w:tabs>
          <w:tab w:val="left" w:pos="793"/>
        </w:tabs>
        <w:spacing w:before="1"/>
        <w:ind w:hanging="433"/>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2"/>
          <w:sz w:val="30"/>
        </w:rPr>
        <w:t xml:space="preserve"> disjunction</w:t>
      </w:r>
    </w:p>
    <w:p w14:paraId="7E000BBB" w14:textId="77777777" w:rsidR="009A58DB" w:rsidRDefault="009A58DB">
      <w:pPr>
        <w:pStyle w:val="BodyText"/>
        <w:spacing w:before="30"/>
        <w:ind w:left="0"/>
        <w:jc w:val="left"/>
      </w:pPr>
    </w:p>
    <w:p w14:paraId="7E000BBC" w14:textId="77777777" w:rsidR="009A58DB" w:rsidRDefault="00000000">
      <w:pPr>
        <w:pStyle w:val="BodyText"/>
        <w:spacing w:line="249" w:lineRule="auto"/>
        <w:ind w:right="366"/>
      </w:pPr>
      <w:r>
        <w:t>which in this context we may regard as the property of being a pair of propositions at least one of which is true, and</w:t>
      </w:r>
    </w:p>
    <w:p w14:paraId="7E000BBD" w14:textId="77777777" w:rsidR="009A58DB" w:rsidRDefault="00000000">
      <w:pPr>
        <w:pStyle w:val="ListParagraph"/>
        <w:numPr>
          <w:ilvl w:val="0"/>
          <w:numId w:val="1"/>
        </w:numPr>
        <w:tabs>
          <w:tab w:val="left" w:pos="720"/>
          <w:tab w:val="left" w:pos="870"/>
        </w:tabs>
        <w:spacing w:before="107" w:line="249" w:lineRule="auto"/>
        <w:ind w:left="720" w:right="359" w:hanging="360"/>
        <w:jc w:val="both"/>
        <w:rPr>
          <w:i/>
          <w:sz w:val="30"/>
        </w:rPr>
      </w:pPr>
      <w:r>
        <w:rPr>
          <w:sz w:val="30"/>
        </w:rPr>
        <w:tab/>
        <w:t xml:space="preserve">the property of being identical with a pair of propositions, such that one member of that pair is </w:t>
      </w:r>
      <w:r>
        <w:rPr>
          <w:i/>
          <w:sz w:val="30"/>
        </w:rPr>
        <w:t xml:space="preserve">that Tommy is smoking, </w:t>
      </w:r>
      <w:r>
        <w:rPr>
          <w:sz w:val="30"/>
        </w:rPr>
        <w:t xml:space="preserve">the other member being </w:t>
      </w:r>
      <w:r>
        <w:rPr>
          <w:i/>
          <w:sz w:val="30"/>
        </w:rPr>
        <w:t>that Tommy is snoring.</w:t>
      </w:r>
    </w:p>
    <w:p w14:paraId="7E000BBE" w14:textId="77777777" w:rsidR="009A58DB" w:rsidRDefault="00000000">
      <w:pPr>
        <w:pStyle w:val="BodyText"/>
        <w:spacing w:before="64" w:line="249" w:lineRule="auto"/>
        <w:ind w:right="359" w:firstLine="360"/>
      </w:pPr>
      <w:r>
        <w:t xml:space="preserve">Of course, 9 could be false even if both a and b were instantiated. (This would be the case in any world where both </w:t>
      </w:r>
      <w:r>
        <w:rPr>
          <w:i/>
        </w:rPr>
        <w:t xml:space="preserve">Tommy is smoking </w:t>
      </w:r>
      <w:r>
        <w:t>and</w:t>
      </w:r>
      <w:r>
        <w:rPr>
          <w:spacing w:val="-2"/>
        </w:rPr>
        <w:t xml:space="preserve"> </w:t>
      </w:r>
      <w:r>
        <w:rPr>
          <w:i/>
        </w:rPr>
        <w:t xml:space="preserve">Tommy is snoring </w:t>
      </w:r>
      <w:r>
        <w:t xml:space="preserve">were false, but where some disjunction or other was true.) So, for now familiar reasons, we must look for a third constituent, where that constituent must be a property c such that each instance of c is (i) an instance of a pair of propositions at least one of which is true and is also (ii) an instance of a pair of propositions, one them being </w:t>
      </w:r>
      <w:r>
        <w:rPr>
          <w:i/>
        </w:rPr>
        <w:t xml:space="preserve">that Tommy is smoking, </w:t>
      </w:r>
      <w:r>
        <w:t>the</w:t>
      </w:r>
    </w:p>
    <w:p w14:paraId="7E000BB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C0" w14:textId="77777777" w:rsidR="009A58DB" w:rsidRDefault="00000000">
      <w:pPr>
        <w:spacing w:before="65"/>
        <w:ind w:left="360"/>
        <w:jc w:val="both"/>
        <w:rPr>
          <w:sz w:val="30"/>
        </w:rPr>
      </w:pPr>
      <w:r>
        <w:rPr>
          <w:sz w:val="30"/>
        </w:rPr>
        <w:lastRenderedPageBreak/>
        <w:t>other</w:t>
      </w:r>
      <w:r>
        <w:rPr>
          <w:spacing w:val="-6"/>
          <w:sz w:val="30"/>
        </w:rPr>
        <w:t xml:space="preserve"> </w:t>
      </w:r>
      <w:r>
        <w:rPr>
          <w:sz w:val="30"/>
        </w:rPr>
        <w:t>being</w:t>
      </w:r>
      <w:r>
        <w:rPr>
          <w:spacing w:val="-2"/>
          <w:sz w:val="30"/>
        </w:rPr>
        <w:t xml:space="preserve"> </w:t>
      </w:r>
      <w:r>
        <w:rPr>
          <w:i/>
          <w:sz w:val="30"/>
        </w:rPr>
        <w:t>that</w:t>
      </w:r>
      <w:r>
        <w:rPr>
          <w:i/>
          <w:spacing w:val="-3"/>
          <w:sz w:val="30"/>
        </w:rPr>
        <w:t xml:space="preserve"> </w:t>
      </w:r>
      <w:r>
        <w:rPr>
          <w:i/>
          <w:sz w:val="30"/>
        </w:rPr>
        <w:t>Tommy</w:t>
      </w:r>
      <w:r>
        <w:rPr>
          <w:i/>
          <w:spacing w:val="-3"/>
          <w:sz w:val="30"/>
        </w:rPr>
        <w:t xml:space="preserve"> </w:t>
      </w:r>
      <w:r>
        <w:rPr>
          <w:i/>
          <w:sz w:val="30"/>
        </w:rPr>
        <w:t>is</w:t>
      </w:r>
      <w:r>
        <w:rPr>
          <w:i/>
          <w:spacing w:val="-3"/>
          <w:sz w:val="30"/>
        </w:rPr>
        <w:t xml:space="preserve"> </w:t>
      </w:r>
      <w:r>
        <w:rPr>
          <w:i/>
          <w:sz w:val="30"/>
        </w:rPr>
        <w:t>snoring.</w:t>
      </w:r>
      <w:r>
        <w:rPr>
          <w:i/>
          <w:spacing w:val="-3"/>
          <w:sz w:val="30"/>
        </w:rPr>
        <w:t xml:space="preserve"> </w:t>
      </w:r>
      <w:r>
        <w:rPr>
          <w:sz w:val="30"/>
        </w:rPr>
        <w:t>So</w:t>
      </w:r>
      <w:r>
        <w:rPr>
          <w:spacing w:val="-2"/>
          <w:sz w:val="30"/>
        </w:rPr>
        <w:t xml:space="preserve"> </w:t>
      </w:r>
      <w:r>
        <w:rPr>
          <w:sz w:val="30"/>
        </w:rPr>
        <w:t>our</w:t>
      </w:r>
      <w:r>
        <w:rPr>
          <w:spacing w:val="-3"/>
          <w:sz w:val="30"/>
        </w:rPr>
        <w:t xml:space="preserve"> </w:t>
      </w:r>
      <w:r>
        <w:rPr>
          <w:sz w:val="30"/>
        </w:rPr>
        <w:t>final</w:t>
      </w:r>
      <w:r>
        <w:rPr>
          <w:spacing w:val="-3"/>
          <w:sz w:val="30"/>
        </w:rPr>
        <w:t xml:space="preserve"> </w:t>
      </w:r>
      <w:r>
        <w:rPr>
          <w:sz w:val="30"/>
        </w:rPr>
        <w:t>properties</w:t>
      </w:r>
      <w:r>
        <w:rPr>
          <w:spacing w:val="-3"/>
          <w:sz w:val="30"/>
        </w:rPr>
        <w:t xml:space="preserve"> </w:t>
      </w:r>
      <w:r>
        <w:rPr>
          <w:spacing w:val="-4"/>
          <w:sz w:val="30"/>
        </w:rPr>
        <w:t>are:</w:t>
      </w:r>
    </w:p>
    <w:p w14:paraId="7E000BC1" w14:textId="77777777" w:rsidR="009A58DB" w:rsidRDefault="00000000">
      <w:pPr>
        <w:pStyle w:val="ListParagraph"/>
        <w:numPr>
          <w:ilvl w:val="0"/>
          <w:numId w:val="194"/>
        </w:numPr>
        <w:tabs>
          <w:tab w:val="left" w:pos="792"/>
        </w:tabs>
        <w:spacing w:before="120"/>
        <w:ind w:left="792" w:hanging="432"/>
        <w:jc w:val="both"/>
        <w:rPr>
          <w:sz w:val="30"/>
        </w:rPr>
      </w:pPr>
      <w:r>
        <w:rPr>
          <w:sz w:val="30"/>
        </w:rPr>
        <w:t>the</w:t>
      </w:r>
      <w:r>
        <w:rPr>
          <w:spacing w:val="-3"/>
          <w:sz w:val="30"/>
        </w:rPr>
        <w:t xml:space="preserve"> </w:t>
      </w:r>
      <w:r>
        <w:rPr>
          <w:sz w:val="30"/>
        </w:rPr>
        <w:t>property</w:t>
      </w:r>
      <w:r>
        <w:rPr>
          <w:spacing w:val="-2"/>
          <w:sz w:val="30"/>
        </w:rPr>
        <w:t xml:space="preserve"> </w:t>
      </w:r>
      <w:r>
        <w:rPr>
          <w:sz w:val="30"/>
        </w:rPr>
        <w:t>of</w:t>
      </w:r>
      <w:r>
        <w:rPr>
          <w:spacing w:val="-3"/>
          <w:sz w:val="30"/>
        </w:rPr>
        <w:t xml:space="preserve"> </w:t>
      </w:r>
      <w:r>
        <w:rPr>
          <w:sz w:val="30"/>
        </w:rPr>
        <w:t>being</w:t>
      </w:r>
      <w:r>
        <w:rPr>
          <w:spacing w:val="-1"/>
          <w:sz w:val="30"/>
        </w:rPr>
        <w:t xml:space="preserve"> </w:t>
      </w:r>
      <w:r>
        <w:rPr>
          <w:sz w:val="30"/>
        </w:rPr>
        <w:t>a</w:t>
      </w:r>
      <w:r>
        <w:rPr>
          <w:spacing w:val="-3"/>
          <w:sz w:val="30"/>
        </w:rPr>
        <w:t xml:space="preserve"> </w:t>
      </w:r>
      <w:r>
        <w:rPr>
          <w:sz w:val="30"/>
        </w:rPr>
        <w:t>pair</w:t>
      </w:r>
      <w:r>
        <w:rPr>
          <w:spacing w:val="-3"/>
          <w:sz w:val="30"/>
        </w:rPr>
        <w:t xml:space="preserve"> </w:t>
      </w:r>
      <w:r>
        <w:rPr>
          <w:sz w:val="30"/>
        </w:rPr>
        <w:t>of</w:t>
      </w:r>
      <w:r>
        <w:rPr>
          <w:spacing w:val="-2"/>
          <w:sz w:val="30"/>
        </w:rPr>
        <w:t xml:space="preserve"> </w:t>
      </w:r>
      <w:r>
        <w:rPr>
          <w:sz w:val="30"/>
        </w:rPr>
        <w:t>propositions,</w:t>
      </w:r>
      <w:r>
        <w:rPr>
          <w:spacing w:val="-2"/>
          <w:sz w:val="30"/>
        </w:rPr>
        <w:t xml:space="preserve"> </w:t>
      </w:r>
      <w:r>
        <w:rPr>
          <w:sz w:val="30"/>
        </w:rPr>
        <w:t>at</w:t>
      </w:r>
      <w:r>
        <w:rPr>
          <w:spacing w:val="-3"/>
          <w:sz w:val="30"/>
        </w:rPr>
        <w:t xml:space="preserve"> </w:t>
      </w:r>
      <w:r>
        <w:rPr>
          <w:sz w:val="30"/>
        </w:rPr>
        <w:t>least</w:t>
      </w:r>
      <w:r>
        <w:rPr>
          <w:spacing w:val="-3"/>
          <w:sz w:val="30"/>
        </w:rPr>
        <w:t xml:space="preserve"> </w:t>
      </w:r>
      <w:r>
        <w:rPr>
          <w:sz w:val="30"/>
        </w:rPr>
        <w:t>one</w:t>
      </w:r>
      <w:r>
        <w:rPr>
          <w:spacing w:val="-2"/>
          <w:sz w:val="30"/>
        </w:rPr>
        <w:t xml:space="preserve"> </w:t>
      </w:r>
      <w:r>
        <w:rPr>
          <w:sz w:val="30"/>
        </w:rPr>
        <w:t>of</w:t>
      </w:r>
      <w:r>
        <w:rPr>
          <w:spacing w:val="-3"/>
          <w:sz w:val="30"/>
        </w:rPr>
        <w:t xml:space="preserve"> </w:t>
      </w:r>
      <w:r>
        <w:rPr>
          <w:sz w:val="30"/>
        </w:rPr>
        <w:t>which</w:t>
      </w:r>
      <w:r>
        <w:rPr>
          <w:spacing w:val="-2"/>
          <w:sz w:val="30"/>
        </w:rPr>
        <w:t xml:space="preserve"> </w:t>
      </w:r>
      <w:r>
        <w:rPr>
          <w:sz w:val="30"/>
        </w:rPr>
        <w:t>is</w:t>
      </w:r>
      <w:r>
        <w:rPr>
          <w:spacing w:val="-2"/>
          <w:sz w:val="30"/>
        </w:rPr>
        <w:t xml:space="preserve"> </w:t>
      </w:r>
      <w:r>
        <w:rPr>
          <w:spacing w:val="-4"/>
          <w:sz w:val="30"/>
        </w:rPr>
        <w:t>true</w:t>
      </w:r>
    </w:p>
    <w:p w14:paraId="7E000BC2" w14:textId="77777777" w:rsidR="009A58DB" w:rsidRDefault="00000000">
      <w:pPr>
        <w:pStyle w:val="ListParagraph"/>
        <w:numPr>
          <w:ilvl w:val="0"/>
          <w:numId w:val="194"/>
        </w:numPr>
        <w:tabs>
          <w:tab w:val="left" w:pos="720"/>
          <w:tab w:val="left" w:pos="986"/>
        </w:tabs>
        <w:spacing w:before="15" w:line="249" w:lineRule="auto"/>
        <w:ind w:left="720" w:right="362" w:hanging="360"/>
        <w:jc w:val="both"/>
        <w:rPr>
          <w:i/>
          <w:sz w:val="30"/>
        </w:rPr>
      </w:pPr>
      <w:r>
        <w:rPr>
          <w:sz w:val="30"/>
        </w:rPr>
        <w:tab/>
        <w:t xml:space="preserve">the property of being a pair of propositions, one of them being </w:t>
      </w:r>
      <w:r>
        <w:rPr>
          <w:i/>
          <w:sz w:val="30"/>
        </w:rPr>
        <w:t xml:space="preserve">that Tommy is smoking, </w:t>
      </w:r>
      <w:r>
        <w:rPr>
          <w:sz w:val="30"/>
        </w:rPr>
        <w:t xml:space="preserve">the other being </w:t>
      </w:r>
      <w:r>
        <w:rPr>
          <w:i/>
          <w:sz w:val="30"/>
        </w:rPr>
        <w:t>that Tommy is snoring</w:t>
      </w:r>
    </w:p>
    <w:p w14:paraId="7E000BC3" w14:textId="77777777" w:rsidR="009A58DB" w:rsidRDefault="00000000">
      <w:pPr>
        <w:pStyle w:val="ListParagraph"/>
        <w:numPr>
          <w:ilvl w:val="0"/>
          <w:numId w:val="194"/>
        </w:numPr>
        <w:tabs>
          <w:tab w:val="left" w:pos="720"/>
          <w:tab w:val="left" w:pos="834"/>
        </w:tabs>
        <w:spacing w:before="2" w:line="249" w:lineRule="auto"/>
        <w:ind w:left="720" w:right="366" w:hanging="360"/>
        <w:jc w:val="both"/>
        <w:rPr>
          <w:i/>
          <w:sz w:val="30"/>
        </w:rPr>
      </w:pPr>
      <w:r>
        <w:rPr>
          <w:sz w:val="30"/>
        </w:rPr>
        <w:tab/>
        <w:t xml:space="preserve">the property of being a pair of propositions, at least one of which is true, and at least one of which is </w:t>
      </w:r>
      <w:r>
        <w:rPr>
          <w:i/>
          <w:sz w:val="30"/>
        </w:rPr>
        <w:t xml:space="preserve">that Tommy is smoking </w:t>
      </w:r>
      <w:r>
        <w:rPr>
          <w:sz w:val="30"/>
        </w:rPr>
        <w:t xml:space="preserve">and at least one of which is </w:t>
      </w:r>
      <w:r>
        <w:rPr>
          <w:i/>
          <w:sz w:val="30"/>
        </w:rPr>
        <w:t>that Tommy is snoring</w:t>
      </w:r>
    </w:p>
    <w:p w14:paraId="7E000BC4" w14:textId="77777777" w:rsidR="009A58DB" w:rsidRDefault="009A58DB">
      <w:pPr>
        <w:pStyle w:val="BodyText"/>
        <w:spacing w:before="19"/>
        <w:ind w:left="0"/>
        <w:jc w:val="left"/>
        <w:rPr>
          <w:i/>
        </w:rPr>
      </w:pPr>
    </w:p>
    <w:p w14:paraId="7E000BC5" w14:textId="77777777" w:rsidR="009A58DB" w:rsidRDefault="00000000">
      <w:pPr>
        <w:pStyle w:val="BodyText"/>
        <w:spacing w:line="249" w:lineRule="auto"/>
        <w:ind w:right="366"/>
      </w:pPr>
      <w:r>
        <w:t>Of course, if c is instantiated, then so are b and c. And if c is instantiated,</w:t>
      </w:r>
      <w:r>
        <w:rPr>
          <w:spacing w:val="40"/>
        </w:rPr>
        <w:t xml:space="preserve"> </w:t>
      </w:r>
      <w:r>
        <w:t>then either Tommy is snoring or Tommy is smoking. So c, and therefore a–c, are instantiated exactly if 9 is true. So if S is the set containing a–c, then 9 is true iff all of S’s members are instantiated.</w:t>
      </w:r>
    </w:p>
    <w:p w14:paraId="7E000BC6" w14:textId="77777777" w:rsidR="009A58DB" w:rsidRDefault="00000000">
      <w:pPr>
        <w:pStyle w:val="BodyText"/>
        <w:spacing w:before="5" w:line="249" w:lineRule="auto"/>
        <w:ind w:right="359" w:firstLine="360"/>
      </w:pPr>
      <w:r>
        <w:t>We’ve thus made it clear (i) what it is for something to be a “constituent” of a proposition, (ii) what it is for an argument to “saturate” a function, (iii) more generally what it is for two propositional constituents to “synthesize” into a third constituent, (iv) what it is to be a proposition, and (v) what it is</w:t>
      </w:r>
      <w:r>
        <w:rPr>
          <w:spacing w:val="40"/>
        </w:rPr>
        <w:t xml:space="preserve"> </w:t>
      </w:r>
      <w:r>
        <w:t>for a proposition to be true. And our analysis is to a non-trivial degree (though not completely) consistent with what pretheoretic intuition and common sense have to tell us about propositions.</w:t>
      </w:r>
    </w:p>
    <w:p w14:paraId="7E000BC7" w14:textId="77777777" w:rsidR="009A58DB" w:rsidRDefault="00000000">
      <w:pPr>
        <w:pStyle w:val="Heading1"/>
        <w:numPr>
          <w:ilvl w:val="1"/>
          <w:numId w:val="193"/>
        </w:numPr>
        <w:tabs>
          <w:tab w:val="left" w:pos="1413"/>
        </w:tabs>
        <w:spacing w:before="196" w:line="244" w:lineRule="auto"/>
        <w:ind w:right="360" w:firstLine="0"/>
        <w:jc w:val="both"/>
      </w:pPr>
      <w:r>
        <w:t xml:space="preserve">The Russell-Kaplan-Salmon analysis of </w:t>
      </w:r>
      <w:r>
        <w:rPr>
          <w:spacing w:val="-2"/>
        </w:rPr>
        <w:t>propositions</w:t>
      </w:r>
    </w:p>
    <w:p w14:paraId="7E000BC8" w14:textId="77777777" w:rsidR="009A58DB" w:rsidRDefault="00000000">
      <w:pPr>
        <w:pStyle w:val="BodyText"/>
        <w:spacing w:before="132" w:line="249" w:lineRule="auto"/>
        <w:ind w:right="357"/>
      </w:pPr>
      <w:r>
        <w:t>According to Russell (1903), Salmon (1986), Kaplan (1989), R. Moore (1995), J. Perry (1996), J. King (1996, 1997), to name but a few, a proposition</w:t>
      </w:r>
      <w:r>
        <w:rPr>
          <w:spacing w:val="-2"/>
        </w:rPr>
        <w:t xml:space="preserve"> </w:t>
      </w:r>
      <w:r>
        <w:t>is</w:t>
      </w:r>
      <w:r>
        <w:rPr>
          <w:spacing w:val="-2"/>
        </w:rPr>
        <w:t xml:space="preserve"> </w:t>
      </w:r>
      <w:r>
        <w:t>some</w:t>
      </w:r>
      <w:r>
        <w:rPr>
          <w:spacing w:val="-2"/>
        </w:rPr>
        <w:t xml:space="preserve"> </w:t>
      </w:r>
      <w:r>
        <w:t>kind</w:t>
      </w:r>
      <w:r>
        <w:rPr>
          <w:spacing w:val="-2"/>
        </w:rPr>
        <w:t xml:space="preserve"> </w:t>
      </w:r>
      <w:r>
        <w:t>of</w:t>
      </w:r>
      <w:r>
        <w:rPr>
          <w:spacing w:val="-2"/>
        </w:rPr>
        <w:t xml:space="preserve"> </w:t>
      </w:r>
      <w:r>
        <w:t>“structure”</w:t>
      </w:r>
      <w:r>
        <w:rPr>
          <w:spacing w:val="-2"/>
        </w:rPr>
        <w:t xml:space="preserve"> </w:t>
      </w:r>
      <w:r>
        <w:t>consisting</w:t>
      </w:r>
      <w:r>
        <w:rPr>
          <w:spacing w:val="-2"/>
        </w:rPr>
        <w:t xml:space="preserve"> </w:t>
      </w:r>
      <w:r>
        <w:t>of</w:t>
      </w:r>
      <w:r>
        <w:rPr>
          <w:spacing w:val="-2"/>
        </w:rPr>
        <w:t xml:space="preserve"> </w:t>
      </w:r>
      <w:r>
        <w:t>“objects</w:t>
      </w:r>
      <w:r>
        <w:rPr>
          <w:spacing w:val="-2"/>
        </w:rPr>
        <w:t xml:space="preserve"> </w:t>
      </w:r>
      <w:r>
        <w:t>and</w:t>
      </w:r>
      <w:r>
        <w:rPr>
          <w:spacing w:val="-2"/>
        </w:rPr>
        <w:t xml:space="preserve"> </w:t>
      </w:r>
      <w:r>
        <w:t>properties.” So,</w:t>
      </w:r>
      <w:r>
        <w:rPr>
          <w:spacing w:val="-1"/>
        </w:rPr>
        <w:t xml:space="preserve"> </w:t>
      </w:r>
      <w:r>
        <w:t>according</w:t>
      </w:r>
      <w:r>
        <w:rPr>
          <w:spacing w:val="-1"/>
        </w:rPr>
        <w:t xml:space="preserve"> </w:t>
      </w:r>
      <w:r>
        <w:t>to</w:t>
      </w:r>
      <w:r>
        <w:rPr>
          <w:spacing w:val="-1"/>
        </w:rPr>
        <w:t xml:space="preserve"> </w:t>
      </w:r>
      <w:r>
        <w:t>this</w:t>
      </w:r>
      <w:r>
        <w:rPr>
          <w:spacing w:val="-1"/>
        </w:rPr>
        <w:t xml:space="preserve"> </w:t>
      </w:r>
      <w:r>
        <w:t>view,</w:t>
      </w:r>
      <w:r>
        <w:rPr>
          <w:spacing w:val="-1"/>
        </w:rPr>
        <w:t xml:space="preserve"> </w:t>
      </w:r>
      <w:r>
        <w:t>the</w:t>
      </w:r>
      <w:r>
        <w:rPr>
          <w:spacing w:val="-1"/>
        </w:rPr>
        <w:t xml:space="preserve"> </w:t>
      </w:r>
      <w:r>
        <w:t>proposition</w:t>
      </w:r>
      <w:r>
        <w:rPr>
          <w:spacing w:val="-1"/>
        </w:rPr>
        <w:t xml:space="preserve"> </w:t>
      </w:r>
      <w:r>
        <w:t>expressed</w:t>
      </w:r>
      <w:r>
        <w:rPr>
          <w:spacing w:val="-1"/>
        </w:rPr>
        <w:t xml:space="preserve"> </w:t>
      </w:r>
      <w:r>
        <w:t>by</w:t>
      </w:r>
      <w:r>
        <w:rPr>
          <w:spacing w:val="-1"/>
        </w:rPr>
        <w:t xml:space="preserve"> </w:t>
      </w:r>
      <w:r>
        <w:t>(tokens</w:t>
      </w:r>
      <w:r>
        <w:rPr>
          <w:spacing w:val="-1"/>
        </w:rPr>
        <w:t xml:space="preserve"> </w:t>
      </w:r>
      <w:r>
        <w:t>of)</w:t>
      </w:r>
      <w:r>
        <w:rPr>
          <w:spacing w:val="-1"/>
        </w:rPr>
        <w:t xml:space="preserve"> </w:t>
      </w:r>
      <w:r>
        <w:t xml:space="preserve">“Socrates is bald” is some kind of structure consisting of Socrates—the man himself, not some property that he has or some concept that he satisfies—and the property of baldness. It is usually said that the structure in question is an </w:t>
      </w:r>
      <w:r>
        <w:rPr>
          <w:i/>
        </w:rPr>
        <w:t>ordered</w:t>
      </w:r>
      <w:r>
        <w:rPr>
          <w:i/>
          <w:spacing w:val="-3"/>
        </w:rPr>
        <w:t xml:space="preserve"> </w:t>
      </w:r>
      <w:r>
        <w:t xml:space="preserve">pair. At least part of the reason for is that different propositions seem capable of having the same parts (cf. </w:t>
      </w:r>
      <w:r>
        <w:rPr>
          <w:i/>
        </w:rPr>
        <w:t xml:space="preserve">Brutus killed Caesar </w:t>
      </w:r>
      <w:r>
        <w:t xml:space="preserve">and </w:t>
      </w:r>
      <w:r>
        <w:rPr>
          <w:i/>
        </w:rPr>
        <w:t>Caesar killed Brutus</w:t>
      </w:r>
      <w:r>
        <w:t>).</w:t>
      </w:r>
      <w:r>
        <w:rPr>
          <w:spacing w:val="-3"/>
        </w:rPr>
        <w:t xml:space="preserve"> </w:t>
      </w:r>
      <w:r>
        <w:t>And</w:t>
      </w:r>
      <w:r>
        <w:rPr>
          <w:spacing w:val="-3"/>
        </w:rPr>
        <w:t xml:space="preserve"> </w:t>
      </w:r>
      <w:r>
        <w:t>unless</w:t>
      </w:r>
      <w:r>
        <w:rPr>
          <w:spacing w:val="-3"/>
        </w:rPr>
        <w:t xml:space="preserve"> </w:t>
      </w:r>
      <w:r>
        <w:t>the</w:t>
      </w:r>
      <w:r>
        <w:rPr>
          <w:spacing w:val="-3"/>
        </w:rPr>
        <w:t xml:space="preserve"> </w:t>
      </w:r>
      <w:r>
        <w:t>sets</w:t>
      </w:r>
      <w:r>
        <w:rPr>
          <w:spacing w:val="-3"/>
        </w:rPr>
        <w:t xml:space="preserve"> </w:t>
      </w:r>
      <w:r>
        <w:t>with</w:t>
      </w:r>
      <w:r>
        <w:rPr>
          <w:spacing w:val="-3"/>
        </w:rPr>
        <w:t xml:space="preserve"> </w:t>
      </w:r>
      <w:r>
        <w:t>which</w:t>
      </w:r>
      <w:r>
        <w:rPr>
          <w:spacing w:val="-3"/>
        </w:rPr>
        <w:t xml:space="preserve"> </w:t>
      </w:r>
      <w:r>
        <w:t>propositions</w:t>
      </w:r>
      <w:r>
        <w:rPr>
          <w:spacing w:val="-3"/>
        </w:rPr>
        <w:t xml:space="preserve"> </w:t>
      </w:r>
      <w:r>
        <w:t>are</w:t>
      </w:r>
      <w:r>
        <w:rPr>
          <w:spacing w:val="-3"/>
        </w:rPr>
        <w:t xml:space="preserve"> </w:t>
      </w:r>
      <w:r>
        <w:t>identified</w:t>
      </w:r>
      <w:r>
        <w:rPr>
          <w:spacing w:val="-3"/>
        </w:rPr>
        <w:t xml:space="preserve"> </w:t>
      </w:r>
      <w:r>
        <w:t>have</w:t>
      </w:r>
      <w:r>
        <w:rPr>
          <w:spacing w:val="-3"/>
        </w:rPr>
        <w:t xml:space="preserve"> </w:t>
      </w:r>
      <w:r>
        <w:t xml:space="preserve">some kind of ordinal structure, distinct propositions (e.g., the two mentioned in the last parenthesis) will collapse into one another. Thus </w:t>
      </w:r>
      <w:r>
        <w:rPr>
          <w:i/>
        </w:rPr>
        <w:t xml:space="preserve">Socrates is bald </w:t>
      </w:r>
      <w:r>
        <w:t>is identified,</w:t>
      </w:r>
      <w:r>
        <w:rPr>
          <w:spacing w:val="34"/>
        </w:rPr>
        <w:t xml:space="preserve">  </w:t>
      </w:r>
      <w:r>
        <w:t>not</w:t>
      </w:r>
      <w:r>
        <w:rPr>
          <w:spacing w:val="80"/>
          <w:w w:val="150"/>
        </w:rPr>
        <w:t xml:space="preserve"> </w:t>
      </w:r>
      <w:r>
        <w:t>with</w:t>
      </w:r>
      <w:r>
        <w:rPr>
          <w:spacing w:val="34"/>
        </w:rPr>
        <w:t xml:space="preserve">  </w:t>
      </w:r>
      <w:r>
        <w:t>(Socrates,</w:t>
      </w:r>
      <w:r>
        <w:rPr>
          <w:spacing w:val="34"/>
        </w:rPr>
        <w:t xml:space="preserve">  </w:t>
      </w:r>
      <w:r>
        <w:t>baldness),</w:t>
      </w:r>
      <w:r>
        <w:rPr>
          <w:spacing w:val="34"/>
        </w:rPr>
        <w:t xml:space="preserve">  </w:t>
      </w:r>
      <w:r>
        <w:t>but</w:t>
      </w:r>
      <w:r>
        <w:rPr>
          <w:spacing w:val="80"/>
          <w:w w:val="150"/>
        </w:rPr>
        <w:t xml:space="preserve"> </w:t>
      </w:r>
      <w:r>
        <w:t>instead</w:t>
      </w:r>
      <w:r>
        <w:rPr>
          <w:spacing w:val="34"/>
        </w:rPr>
        <w:t xml:space="preserve">  </w:t>
      </w:r>
      <w:r>
        <w:t>with</w:t>
      </w:r>
      <w:r>
        <w:rPr>
          <w:spacing w:val="34"/>
        </w:rPr>
        <w:t xml:space="preserve">  </w:t>
      </w:r>
      <w:r>
        <w:t>&lt;Socrates,</w:t>
      </w:r>
    </w:p>
    <w:p w14:paraId="7E000BC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CA" w14:textId="77777777" w:rsidR="009A58DB" w:rsidRDefault="00000000">
      <w:pPr>
        <w:pStyle w:val="BodyText"/>
        <w:spacing w:before="65" w:line="249" w:lineRule="auto"/>
        <w:ind w:right="367"/>
      </w:pPr>
      <w:r>
        <w:lastRenderedPageBreak/>
        <w:t xml:space="preserve">baldness&gt; or with the &lt;relation of having &lt;Socrates, baldness&gt;&gt;, or some </w:t>
      </w:r>
      <w:r>
        <w:rPr>
          <w:spacing w:val="-4"/>
        </w:rPr>
        <w:t>such.</w:t>
      </w:r>
    </w:p>
    <w:p w14:paraId="7E000BCB" w14:textId="77777777" w:rsidR="009A58DB" w:rsidRDefault="00000000">
      <w:pPr>
        <w:pStyle w:val="Heading1"/>
        <w:numPr>
          <w:ilvl w:val="1"/>
          <w:numId w:val="193"/>
        </w:numPr>
        <w:tabs>
          <w:tab w:val="left" w:pos="990"/>
        </w:tabs>
        <w:spacing w:before="190"/>
        <w:ind w:left="990" w:hanging="630"/>
        <w:jc w:val="both"/>
      </w:pPr>
      <w:r>
        <w:t>Problems</w:t>
      </w:r>
      <w:r>
        <w:rPr>
          <w:spacing w:val="-5"/>
        </w:rPr>
        <w:t xml:space="preserve"> </w:t>
      </w:r>
      <w:r>
        <w:t>with</w:t>
      </w:r>
      <w:r>
        <w:rPr>
          <w:spacing w:val="-5"/>
        </w:rPr>
        <w:t xml:space="preserve"> </w:t>
      </w:r>
      <w:r>
        <w:t>this</w:t>
      </w:r>
      <w:r>
        <w:rPr>
          <w:spacing w:val="-5"/>
        </w:rPr>
        <w:t xml:space="preserve"> </w:t>
      </w:r>
      <w:r>
        <w:rPr>
          <w:spacing w:val="-4"/>
        </w:rPr>
        <w:t>view</w:t>
      </w:r>
    </w:p>
    <w:p w14:paraId="7E000BCC" w14:textId="77777777" w:rsidR="009A58DB" w:rsidRDefault="00000000">
      <w:pPr>
        <w:pStyle w:val="BodyText"/>
        <w:spacing w:before="139"/>
      </w:pPr>
      <w:r>
        <w:t>The</w:t>
      </w:r>
      <w:r>
        <w:rPr>
          <w:spacing w:val="38"/>
        </w:rPr>
        <w:t xml:space="preserve"> </w:t>
      </w:r>
      <w:r>
        <w:t>ordered</w:t>
      </w:r>
      <w:r>
        <w:rPr>
          <w:spacing w:val="39"/>
        </w:rPr>
        <w:t xml:space="preserve"> </w:t>
      </w:r>
      <w:r>
        <w:t>pair</w:t>
      </w:r>
      <w:r>
        <w:rPr>
          <w:spacing w:val="38"/>
        </w:rPr>
        <w:t xml:space="preserve"> </w:t>
      </w:r>
      <w:r>
        <w:t>&lt;2,7&gt;</w:t>
      </w:r>
      <w:r>
        <w:rPr>
          <w:spacing w:val="39"/>
        </w:rPr>
        <w:t xml:space="preserve"> </w:t>
      </w:r>
      <w:r>
        <w:t>isn’t</w:t>
      </w:r>
      <w:r>
        <w:rPr>
          <w:spacing w:val="39"/>
        </w:rPr>
        <w:t xml:space="preserve"> </w:t>
      </w:r>
      <w:r>
        <w:t>true</w:t>
      </w:r>
      <w:r>
        <w:rPr>
          <w:spacing w:val="38"/>
        </w:rPr>
        <w:t xml:space="preserve"> </w:t>
      </w:r>
      <w:r>
        <w:t>or</w:t>
      </w:r>
      <w:r>
        <w:rPr>
          <w:spacing w:val="39"/>
        </w:rPr>
        <w:t xml:space="preserve"> </w:t>
      </w:r>
      <w:r>
        <w:t>false.</w:t>
      </w:r>
      <w:r>
        <w:rPr>
          <w:spacing w:val="38"/>
        </w:rPr>
        <w:t xml:space="preserve"> </w:t>
      </w:r>
      <w:r>
        <w:t>Neither</w:t>
      </w:r>
      <w:r>
        <w:rPr>
          <w:spacing w:val="39"/>
        </w:rPr>
        <w:t xml:space="preserve"> </w:t>
      </w:r>
      <w:r>
        <w:t>is</w:t>
      </w:r>
      <w:r>
        <w:rPr>
          <w:spacing w:val="39"/>
        </w:rPr>
        <w:t xml:space="preserve"> </w:t>
      </w:r>
      <w:r>
        <w:t>the</w:t>
      </w:r>
      <w:r>
        <w:rPr>
          <w:spacing w:val="38"/>
        </w:rPr>
        <w:t xml:space="preserve"> </w:t>
      </w:r>
      <w:r>
        <w:t>ordered</w:t>
      </w:r>
      <w:r>
        <w:rPr>
          <w:spacing w:val="39"/>
        </w:rPr>
        <w:t xml:space="preserve"> </w:t>
      </w:r>
      <w:r>
        <w:t>pair</w:t>
      </w:r>
      <w:r>
        <w:rPr>
          <w:spacing w:val="39"/>
        </w:rPr>
        <w:t xml:space="preserve"> </w:t>
      </w:r>
      <w:r>
        <w:rPr>
          <w:spacing w:val="-4"/>
        </w:rPr>
        <w:t>&lt;2,7</w:t>
      </w:r>
    </w:p>
    <w:p w14:paraId="7E000BCD" w14:textId="77777777" w:rsidR="009A58DB" w:rsidRDefault="00000000">
      <w:pPr>
        <w:pStyle w:val="BodyText"/>
        <w:spacing w:before="15"/>
      </w:pPr>
      <w:r>
        <w:t>&lt;less</w:t>
      </w:r>
      <w:r>
        <w:rPr>
          <w:spacing w:val="64"/>
        </w:rPr>
        <w:t xml:space="preserve"> </w:t>
      </w:r>
      <w:r>
        <w:t>than&gt;&gt;.</w:t>
      </w:r>
      <w:r>
        <w:rPr>
          <w:spacing w:val="67"/>
        </w:rPr>
        <w:t xml:space="preserve"> </w:t>
      </w:r>
      <w:r>
        <w:t>Given</w:t>
      </w:r>
      <w:r>
        <w:rPr>
          <w:spacing w:val="67"/>
        </w:rPr>
        <w:t xml:space="preserve"> </w:t>
      </w:r>
      <w:r>
        <w:t>that</w:t>
      </w:r>
      <w:r>
        <w:rPr>
          <w:spacing w:val="66"/>
        </w:rPr>
        <w:t xml:space="preserve"> </w:t>
      </w:r>
      <w:r>
        <w:t>these</w:t>
      </w:r>
      <w:r>
        <w:rPr>
          <w:spacing w:val="67"/>
        </w:rPr>
        <w:t xml:space="preserve"> </w:t>
      </w:r>
      <w:r>
        <w:t>ordered</w:t>
      </w:r>
      <w:r>
        <w:rPr>
          <w:spacing w:val="67"/>
        </w:rPr>
        <w:t xml:space="preserve"> </w:t>
      </w:r>
      <w:r>
        <w:t>pairs</w:t>
      </w:r>
      <w:r>
        <w:rPr>
          <w:spacing w:val="66"/>
        </w:rPr>
        <w:t xml:space="preserve"> </w:t>
      </w:r>
      <w:r>
        <w:t>aren’t</w:t>
      </w:r>
      <w:r>
        <w:rPr>
          <w:spacing w:val="66"/>
        </w:rPr>
        <w:t xml:space="preserve"> </w:t>
      </w:r>
      <w:r>
        <w:t>true</w:t>
      </w:r>
      <w:r>
        <w:rPr>
          <w:spacing w:val="66"/>
        </w:rPr>
        <w:t xml:space="preserve"> </w:t>
      </w:r>
      <w:r>
        <w:t>or</w:t>
      </w:r>
      <w:r>
        <w:rPr>
          <w:spacing w:val="67"/>
        </w:rPr>
        <w:t xml:space="preserve"> </w:t>
      </w:r>
      <w:r>
        <w:t>false,</w:t>
      </w:r>
      <w:r>
        <w:rPr>
          <w:spacing w:val="67"/>
        </w:rPr>
        <w:t xml:space="preserve"> </w:t>
      </w:r>
      <w:r>
        <w:t>why</w:t>
      </w:r>
      <w:r>
        <w:rPr>
          <w:spacing w:val="68"/>
        </w:rPr>
        <w:t xml:space="preserve"> </w:t>
      </w:r>
      <w:r>
        <w:rPr>
          <w:spacing w:val="-5"/>
        </w:rPr>
        <w:t>is</w:t>
      </w:r>
    </w:p>
    <w:p w14:paraId="7E000BCE" w14:textId="77777777" w:rsidR="009A58DB" w:rsidRDefault="00000000">
      <w:pPr>
        <w:pStyle w:val="BodyText"/>
        <w:spacing w:before="15" w:line="249" w:lineRule="auto"/>
        <w:ind w:right="362"/>
      </w:pPr>
      <w:r>
        <w:t xml:space="preserve">&lt;Socrates, the relation of having &lt;baldness&gt;&gt;rue or false? There’s no denying that we could </w:t>
      </w:r>
      <w:r>
        <w:rPr>
          <w:i/>
        </w:rPr>
        <w:t>use</w:t>
      </w:r>
      <w:r>
        <w:rPr>
          <w:i/>
          <w:spacing w:val="-3"/>
        </w:rPr>
        <w:t xml:space="preserve"> </w:t>
      </w:r>
      <w:r>
        <w:t>the corresponding expression (viz. “&lt;Socrates, the relation of having &lt;baldness&gt;&gt;”) to express the proposition expressed by the sentence</w:t>
      </w:r>
      <w:r>
        <w:rPr>
          <w:spacing w:val="-4"/>
        </w:rPr>
        <w:t xml:space="preserve"> </w:t>
      </w:r>
      <w:r>
        <w:t>“Socrates</w:t>
      </w:r>
      <w:r>
        <w:rPr>
          <w:spacing w:val="-4"/>
        </w:rPr>
        <w:t xml:space="preserve"> </w:t>
      </w:r>
      <w:r>
        <w:t>is</w:t>
      </w:r>
      <w:r>
        <w:rPr>
          <w:spacing w:val="-4"/>
        </w:rPr>
        <w:t xml:space="preserve"> </w:t>
      </w:r>
      <w:r>
        <w:t>bald.”</w:t>
      </w:r>
      <w:r>
        <w:rPr>
          <w:spacing w:val="-4"/>
        </w:rPr>
        <w:t xml:space="preserve"> </w:t>
      </w:r>
      <w:r>
        <w:t>We</w:t>
      </w:r>
      <w:r>
        <w:rPr>
          <w:spacing w:val="-4"/>
        </w:rPr>
        <w:t xml:space="preserve"> </w:t>
      </w:r>
      <w:r>
        <w:t>could</w:t>
      </w:r>
      <w:r>
        <w:rPr>
          <w:spacing w:val="-3"/>
        </w:rPr>
        <w:t xml:space="preserve"> </w:t>
      </w:r>
      <w:r>
        <w:t>obviously</w:t>
      </w:r>
      <w:r>
        <w:rPr>
          <w:spacing w:val="-3"/>
        </w:rPr>
        <w:t xml:space="preserve"> </w:t>
      </w:r>
      <w:r>
        <w:t>invent</w:t>
      </w:r>
      <w:r>
        <w:rPr>
          <w:spacing w:val="-4"/>
        </w:rPr>
        <w:t xml:space="preserve"> </w:t>
      </w:r>
      <w:r>
        <w:t>a</w:t>
      </w:r>
      <w:r>
        <w:rPr>
          <w:spacing w:val="-4"/>
        </w:rPr>
        <w:t xml:space="preserve"> </w:t>
      </w:r>
      <w:r>
        <w:t>code</w:t>
      </w:r>
      <w:r>
        <w:rPr>
          <w:spacing w:val="-4"/>
        </w:rPr>
        <w:t xml:space="preserve"> </w:t>
      </w:r>
      <w:r>
        <w:t>whereby</w:t>
      </w:r>
      <w:r>
        <w:rPr>
          <w:spacing w:val="-3"/>
        </w:rPr>
        <w:t xml:space="preserve"> </w:t>
      </w:r>
      <w:r>
        <w:t xml:space="preserve">“&lt;the relation of having &lt;Socrates, baldness&gt;&gt;” meant </w:t>
      </w:r>
      <w:r>
        <w:rPr>
          <w:i/>
        </w:rPr>
        <w:t xml:space="preserve">Socrates is bald. </w:t>
      </w:r>
      <w:r>
        <w:t>But this fact tells us little, if anything, about the structure of the corresponding proposition that we didn’t already know from the fact that it can be expressed by “Socrates is bald.”</w:t>
      </w:r>
    </w:p>
    <w:p w14:paraId="7E000BCF" w14:textId="77777777" w:rsidR="009A58DB" w:rsidRDefault="009A58DB">
      <w:pPr>
        <w:pStyle w:val="BodyText"/>
        <w:spacing w:before="18"/>
        <w:ind w:left="0"/>
        <w:jc w:val="left"/>
      </w:pPr>
    </w:p>
    <w:p w14:paraId="7E000BD0" w14:textId="77777777" w:rsidR="009A58DB" w:rsidRDefault="00000000">
      <w:pPr>
        <w:pStyle w:val="Heading3"/>
        <w:numPr>
          <w:ilvl w:val="2"/>
          <w:numId w:val="193"/>
        </w:numPr>
        <w:tabs>
          <w:tab w:val="left" w:pos="1136"/>
        </w:tabs>
        <w:spacing w:before="0"/>
        <w:ind w:hanging="776"/>
        <w:jc w:val="both"/>
      </w:pPr>
      <w:r>
        <w:t>Another</w:t>
      </w:r>
      <w:r>
        <w:rPr>
          <w:spacing w:val="9"/>
        </w:rPr>
        <w:t xml:space="preserve"> </w:t>
      </w:r>
      <w:r>
        <w:rPr>
          <w:spacing w:val="-2"/>
        </w:rPr>
        <w:t>concern</w:t>
      </w:r>
    </w:p>
    <w:p w14:paraId="7E000BD1" w14:textId="77777777" w:rsidR="009A58DB" w:rsidRDefault="00000000">
      <w:pPr>
        <w:pStyle w:val="BodyText"/>
        <w:spacing w:before="21" w:line="249" w:lineRule="auto"/>
        <w:ind w:right="358"/>
      </w:pPr>
      <w:r>
        <w:t xml:space="preserve">Obviously the brackets are meant to be symbolic of </w:t>
      </w:r>
      <w:r>
        <w:rPr>
          <w:i/>
        </w:rPr>
        <w:t xml:space="preserve">some </w:t>
      </w:r>
      <w:r>
        <w:t xml:space="preserve">kind of order that holds among Socrates and baldness (and the relation of having). But what is that ordinal relation? If that ordinal relation bears no resemblance to the relation that would </w:t>
      </w:r>
      <w:r>
        <w:rPr>
          <w:i/>
        </w:rPr>
        <w:t xml:space="preserve">actually </w:t>
      </w:r>
      <w:r>
        <w:t>be had by Socrates, in a situation where he was bald, with respect to the property of baldness, then it wouldn’t be clear why what relation was the right one: some kind of reason—the likes of which</w:t>
      </w:r>
      <w:r>
        <w:rPr>
          <w:spacing w:val="40"/>
        </w:rPr>
        <w:t xml:space="preserve"> </w:t>
      </w:r>
      <w:r>
        <w:t>have never been provided by advocates of this model—would have to be provided why that particular ordinal relation was the right one. So, thus construed, the analysis in question is highly programmatic. On the other</w:t>
      </w:r>
      <w:r>
        <w:rPr>
          <w:spacing w:val="40"/>
        </w:rPr>
        <w:t xml:space="preserve"> </w:t>
      </w:r>
      <w:r>
        <w:t xml:space="preserve">hand, if that relation </w:t>
      </w:r>
      <w:r>
        <w:rPr>
          <w:i/>
        </w:rPr>
        <w:t xml:space="preserve">is </w:t>
      </w:r>
      <w:r>
        <w:t xml:space="preserve">the very relation that would be had by Socrates, with respect to the property of baldness, in a situation where he was bald, then Socrates’ baldness—his actual baldness—would be built into the very existence of the proposition that he was bald. In other words, the proposition that Socrates is bald would, by virtue of its own configuration, make him bald, and would thus predetermine its own truth. But obviously the truth of </w:t>
      </w:r>
      <w:r>
        <w:rPr>
          <w:i/>
        </w:rPr>
        <w:t xml:space="preserve">Socrates is bald </w:t>
      </w:r>
      <w:r>
        <w:t xml:space="preserve">isn’t self-determining. Basically, if a theory requires propositions to model facts </w:t>
      </w:r>
      <w:r>
        <w:rPr>
          <w:i/>
        </w:rPr>
        <w:t xml:space="preserve">too </w:t>
      </w:r>
      <w:r>
        <w:t>well, then that theory wrongly requires contingent</w:t>
      </w:r>
      <w:r>
        <w:rPr>
          <w:spacing w:val="-1"/>
        </w:rPr>
        <w:t xml:space="preserve"> </w:t>
      </w:r>
      <w:r>
        <w:t>propositions</w:t>
      </w:r>
      <w:r>
        <w:rPr>
          <w:spacing w:val="-1"/>
        </w:rPr>
        <w:t xml:space="preserve"> </w:t>
      </w:r>
      <w:r>
        <w:t>to</w:t>
      </w:r>
      <w:r>
        <w:rPr>
          <w:spacing w:val="-1"/>
        </w:rPr>
        <w:t xml:space="preserve"> </w:t>
      </w:r>
      <w:r>
        <w:t>be</w:t>
      </w:r>
      <w:r>
        <w:rPr>
          <w:spacing w:val="-1"/>
        </w:rPr>
        <w:t xml:space="preserve"> </w:t>
      </w:r>
      <w:r>
        <w:t>true;</w:t>
      </w:r>
      <w:r>
        <w:rPr>
          <w:spacing w:val="-1"/>
        </w:rPr>
        <w:t xml:space="preserve"> </w:t>
      </w:r>
      <w:r>
        <w:t>but</w:t>
      </w:r>
      <w:r>
        <w:rPr>
          <w:spacing w:val="-1"/>
        </w:rPr>
        <w:t xml:space="preserve"> </w:t>
      </w:r>
      <w:r>
        <w:t>a</w:t>
      </w:r>
      <w:r>
        <w:rPr>
          <w:spacing w:val="-1"/>
        </w:rPr>
        <w:t xml:space="preserve"> </w:t>
      </w:r>
      <w:r>
        <w:t>theory</w:t>
      </w:r>
      <w:r>
        <w:rPr>
          <w:spacing w:val="-1"/>
        </w:rPr>
        <w:t xml:space="preserve"> </w:t>
      </w:r>
      <w:r>
        <w:t>runs</w:t>
      </w:r>
      <w:r>
        <w:rPr>
          <w:spacing w:val="-1"/>
        </w:rPr>
        <w:t xml:space="preserve"> </w:t>
      </w:r>
      <w:r>
        <w:t>the</w:t>
      </w:r>
      <w:r>
        <w:rPr>
          <w:spacing w:val="-1"/>
        </w:rPr>
        <w:t xml:space="preserve"> </w:t>
      </w:r>
      <w:r>
        <w:t>risk</w:t>
      </w:r>
      <w:r>
        <w:rPr>
          <w:spacing w:val="-1"/>
        </w:rPr>
        <w:t xml:space="preserve"> </w:t>
      </w:r>
      <w:r>
        <w:t>of</w:t>
      </w:r>
      <w:r>
        <w:rPr>
          <w:spacing w:val="-1"/>
        </w:rPr>
        <w:t xml:space="preserve"> </w:t>
      </w:r>
      <w:r>
        <w:t>arbitrariness</w:t>
      </w:r>
      <w:r>
        <w:rPr>
          <w:spacing w:val="-1"/>
        </w:rPr>
        <w:t xml:space="preserve"> </w:t>
      </w:r>
      <w:r>
        <w:t>if the relations that, according to it, hold among a proposition’s parts are not in</w:t>
      </w:r>
    </w:p>
    <w:p w14:paraId="7E000BD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D3" w14:textId="77777777" w:rsidR="009A58DB" w:rsidRDefault="00000000">
      <w:pPr>
        <w:pStyle w:val="BodyText"/>
        <w:spacing w:before="60" w:line="249" w:lineRule="auto"/>
        <w:ind w:right="359"/>
      </w:pPr>
      <w:r>
        <w:lastRenderedPageBreak/>
        <w:t xml:space="preserve">any intuitive way counterbalanced by the facts that, if that proposition were true, hold among the components of the corresponding fact. If we turn the proposition </w:t>
      </w:r>
      <w:r>
        <w:rPr>
          <w:i/>
        </w:rPr>
        <w:t xml:space="preserve">Socrates is bald </w:t>
      </w:r>
      <w:r>
        <w:t xml:space="preserve">into a model consisting of Socrates standing in the relation of having with respect to baldness, then the proposition </w:t>
      </w:r>
      <w:r>
        <w:rPr>
          <w:i/>
        </w:rPr>
        <w:t xml:space="preserve">itself </w:t>
      </w:r>
      <w:r>
        <w:t>is the fact of Socrates’ being bald, and no way is left open for the obvious possibility that it might be false. At the same time, it would be easy to render overly tenuous and schematic the relationship between, on the one hand, the fact of Socrates’ being bald and, on the other hand, the relationship that, in the proposition that Socrates is bald, Socrates bears with respect to baldness. This mistake is, I believe committed by the theory according to which that proposition is identical with ordered pair &lt;the relation of having &lt;Socrates, baldness&gt;&gt;. The relation borne that, in that structure, Socrates bears with respect to baldness is, it seems to me, too schematic—too without any counterpart in the fact that, supposing that proposition true, makes it so.</w:t>
      </w:r>
    </w:p>
    <w:p w14:paraId="7E000BD4" w14:textId="77777777" w:rsidR="009A58DB" w:rsidRDefault="00000000">
      <w:pPr>
        <w:pStyle w:val="Heading3"/>
        <w:numPr>
          <w:ilvl w:val="2"/>
          <w:numId w:val="193"/>
        </w:numPr>
        <w:tabs>
          <w:tab w:val="left" w:pos="1136"/>
        </w:tabs>
        <w:spacing w:before="120"/>
        <w:ind w:hanging="776"/>
        <w:jc w:val="both"/>
      </w:pPr>
      <w:r>
        <w:t>Another</w:t>
      </w:r>
      <w:r>
        <w:rPr>
          <w:spacing w:val="9"/>
        </w:rPr>
        <w:t xml:space="preserve"> </w:t>
      </w:r>
      <w:r>
        <w:rPr>
          <w:spacing w:val="-2"/>
        </w:rPr>
        <w:t>problem</w:t>
      </w:r>
    </w:p>
    <w:p w14:paraId="7E000BD5" w14:textId="77777777" w:rsidR="009A58DB" w:rsidRDefault="00000000">
      <w:pPr>
        <w:pStyle w:val="BodyText"/>
        <w:spacing w:before="81" w:line="249" w:lineRule="auto"/>
        <w:ind w:right="360"/>
      </w:pPr>
      <w:r>
        <w:t xml:space="preserve">Though it is now false, the proposition </w:t>
      </w:r>
      <w:r>
        <w:rPr>
          <w:i/>
        </w:rPr>
        <w:t xml:space="preserve">Socrates is alive </w:t>
      </w:r>
      <w:r>
        <w:t>obviously exists. What if, unbeknownst to you, your friend Joey died some time during the last five</w:t>
      </w:r>
      <w:r>
        <w:rPr>
          <w:spacing w:val="-2"/>
        </w:rPr>
        <w:t xml:space="preserve"> </w:t>
      </w:r>
      <w:r>
        <w:t>minutes?</w:t>
      </w:r>
      <w:r>
        <w:rPr>
          <w:spacing w:val="-2"/>
        </w:rPr>
        <w:t xml:space="preserve"> </w:t>
      </w:r>
      <w:r>
        <w:t>Surely</w:t>
      </w:r>
      <w:r>
        <w:rPr>
          <w:spacing w:val="-2"/>
        </w:rPr>
        <w:t xml:space="preserve"> </w:t>
      </w:r>
      <w:r>
        <w:t>you</w:t>
      </w:r>
      <w:r>
        <w:rPr>
          <w:spacing w:val="-3"/>
        </w:rPr>
        <w:t xml:space="preserve"> </w:t>
      </w:r>
      <w:r>
        <w:t>wouldn’t</w:t>
      </w:r>
      <w:r>
        <w:rPr>
          <w:spacing w:val="-2"/>
        </w:rPr>
        <w:t xml:space="preserve"> </w:t>
      </w:r>
      <w:r>
        <w:t>want</w:t>
      </w:r>
      <w:r>
        <w:rPr>
          <w:spacing w:val="-2"/>
        </w:rPr>
        <w:t xml:space="preserve"> </w:t>
      </w:r>
      <w:r>
        <w:t>to</w:t>
      </w:r>
      <w:r>
        <w:rPr>
          <w:spacing w:val="-2"/>
        </w:rPr>
        <w:t xml:space="preserve"> </w:t>
      </w:r>
      <w:r>
        <w:t>say</w:t>
      </w:r>
      <w:r>
        <w:rPr>
          <w:spacing w:val="-3"/>
        </w:rPr>
        <w:t xml:space="preserve"> </w:t>
      </w:r>
      <w:r>
        <w:t>that</w:t>
      </w:r>
      <w:r>
        <w:rPr>
          <w:spacing w:val="-2"/>
        </w:rPr>
        <w:t xml:space="preserve"> </w:t>
      </w:r>
      <w:r>
        <w:t>the</w:t>
      </w:r>
      <w:r>
        <w:rPr>
          <w:spacing w:val="-2"/>
        </w:rPr>
        <w:t xml:space="preserve"> </w:t>
      </w:r>
      <w:r>
        <w:t>proposition</w:t>
      </w:r>
      <w:r>
        <w:rPr>
          <w:spacing w:val="-2"/>
        </w:rPr>
        <w:t xml:space="preserve"> </w:t>
      </w:r>
      <w:r>
        <w:rPr>
          <w:i/>
        </w:rPr>
        <w:t xml:space="preserve">Joey loves to read </w:t>
      </w:r>
      <w:r>
        <w:t>suddenly ceased to exist. Apart from an acceptance of a certain version of direct-reference theory, there is no reason to accept that view.</w:t>
      </w:r>
    </w:p>
    <w:p w14:paraId="7E000BD6" w14:textId="77777777" w:rsidR="009A58DB" w:rsidRDefault="00000000">
      <w:pPr>
        <w:pStyle w:val="BodyText"/>
        <w:spacing w:before="6" w:line="249" w:lineRule="auto"/>
        <w:ind w:right="359" w:firstLine="360"/>
      </w:pPr>
      <w:r>
        <w:t xml:space="preserve">Some authors (e.g., Salmon (2005)), </w:t>
      </w:r>
      <w:r>
        <w:rPr>
          <w:i/>
        </w:rPr>
        <w:t xml:space="preserve">do </w:t>
      </w:r>
      <w:r>
        <w:t xml:space="preserve">say that </w:t>
      </w:r>
      <w:r>
        <w:rPr>
          <w:i/>
        </w:rPr>
        <w:t xml:space="preserve">Joey loves to read </w:t>
      </w:r>
      <w:r>
        <w:t xml:space="preserve">does cease to exist when Joey dies (or that it continues to exist, but only in some curious form—that it exists, but only as a non-existent entity, or some such). The reasoning underlying this extraordinary view seems to be as follows. There is some x—namely, Joey—such that “Joey loves to read” is true exactly if x loves to read. It follows, it is said, that the proposition meant by that sentence—namely, </w:t>
      </w:r>
      <w:r>
        <w:rPr>
          <w:i/>
        </w:rPr>
        <w:t>Joey loves to read</w:t>
      </w:r>
      <w:r>
        <w:t xml:space="preserve">—must have Joey as a constituent. And from this, it is said, it follows that </w:t>
      </w:r>
      <w:r>
        <w:rPr>
          <w:i/>
        </w:rPr>
        <w:t xml:space="preserve">Joey loves to read </w:t>
      </w:r>
      <w:r>
        <w:t>ceases to exist when Joey does.</w:t>
      </w:r>
    </w:p>
    <w:p w14:paraId="7E000BD7" w14:textId="77777777" w:rsidR="009A58DB" w:rsidRDefault="00000000">
      <w:pPr>
        <w:pStyle w:val="BodyText"/>
        <w:spacing w:before="11" w:line="249" w:lineRule="auto"/>
        <w:ind w:right="359" w:firstLine="360"/>
      </w:pPr>
      <w:r>
        <w:t>This</w:t>
      </w:r>
      <w:r>
        <w:rPr>
          <w:spacing w:val="-3"/>
        </w:rPr>
        <w:t xml:space="preserve"> </w:t>
      </w:r>
      <w:r>
        <w:t>reasoning</w:t>
      </w:r>
      <w:r>
        <w:rPr>
          <w:spacing w:val="-2"/>
        </w:rPr>
        <w:t xml:space="preserve"> </w:t>
      </w:r>
      <w:r>
        <w:t>is</w:t>
      </w:r>
      <w:r>
        <w:rPr>
          <w:spacing w:val="-3"/>
        </w:rPr>
        <w:t xml:space="preserve"> </w:t>
      </w:r>
      <w:r>
        <w:t>spurious.</w:t>
      </w:r>
      <w:r>
        <w:rPr>
          <w:spacing w:val="-2"/>
        </w:rPr>
        <w:t xml:space="preserve"> </w:t>
      </w:r>
      <w:r>
        <w:t>If</w:t>
      </w:r>
      <w:r>
        <w:rPr>
          <w:spacing w:val="-3"/>
        </w:rPr>
        <w:t xml:space="preserve"> </w:t>
      </w:r>
      <w:r>
        <w:t>only</w:t>
      </w:r>
      <w:r>
        <w:rPr>
          <w:spacing w:val="-2"/>
        </w:rPr>
        <w:t xml:space="preserve"> </w:t>
      </w:r>
      <w:r>
        <w:t>for</w:t>
      </w:r>
      <w:r>
        <w:rPr>
          <w:spacing w:val="-3"/>
        </w:rPr>
        <w:t xml:space="preserve"> </w:t>
      </w:r>
      <w:r>
        <w:t>argument’s</w:t>
      </w:r>
      <w:r>
        <w:rPr>
          <w:spacing w:val="-3"/>
        </w:rPr>
        <w:t xml:space="preserve"> </w:t>
      </w:r>
      <w:r>
        <w:t>sake,</w:t>
      </w:r>
      <w:r>
        <w:rPr>
          <w:spacing w:val="-2"/>
        </w:rPr>
        <w:t xml:space="preserve"> </w:t>
      </w:r>
      <w:r>
        <w:t>let</w:t>
      </w:r>
      <w:r>
        <w:rPr>
          <w:spacing w:val="-3"/>
        </w:rPr>
        <w:t xml:space="preserve"> </w:t>
      </w:r>
      <w:r>
        <w:t>us</w:t>
      </w:r>
      <w:r>
        <w:rPr>
          <w:spacing w:val="-3"/>
        </w:rPr>
        <w:t xml:space="preserve"> </w:t>
      </w:r>
      <w:r>
        <w:t>suppose</w:t>
      </w:r>
      <w:r>
        <w:rPr>
          <w:spacing w:val="-3"/>
        </w:rPr>
        <w:t xml:space="preserve"> </w:t>
      </w:r>
      <w:r>
        <w:t xml:space="preserve">that, for some x, such that x is Joey, “Joey loves to read” is true iff x loves to read. It doesn’t follow that </w:t>
      </w:r>
      <w:r>
        <w:rPr>
          <w:i/>
        </w:rPr>
        <w:t xml:space="preserve">Joey loves to read </w:t>
      </w:r>
      <w:r>
        <w:t>ceases to exist when Joey does. For, if anything like the view I am advocating is right, it could be that it is not</w:t>
      </w:r>
      <w:r>
        <w:rPr>
          <w:spacing w:val="40"/>
        </w:rPr>
        <w:t xml:space="preserve"> </w:t>
      </w:r>
      <w:r>
        <w:t>Joey</w:t>
      </w:r>
      <w:r>
        <w:rPr>
          <w:spacing w:val="-2"/>
        </w:rPr>
        <w:t xml:space="preserve"> </w:t>
      </w:r>
      <w:r>
        <w:rPr>
          <w:i/>
        </w:rPr>
        <w:t xml:space="preserve">per se, </w:t>
      </w:r>
      <w:r>
        <w:t>but the property of being identical with him, that is a constituent of</w:t>
      </w:r>
      <w:r>
        <w:rPr>
          <w:spacing w:val="30"/>
        </w:rPr>
        <w:t xml:space="preserve"> </w:t>
      </w:r>
      <w:r>
        <w:t>that</w:t>
      </w:r>
      <w:r>
        <w:rPr>
          <w:spacing w:val="30"/>
        </w:rPr>
        <w:t xml:space="preserve"> </w:t>
      </w:r>
      <w:r>
        <w:t>proposition.</w:t>
      </w:r>
      <w:r>
        <w:rPr>
          <w:spacing w:val="30"/>
        </w:rPr>
        <w:t xml:space="preserve"> </w:t>
      </w:r>
      <w:r>
        <w:t>Our</w:t>
      </w:r>
      <w:r>
        <w:rPr>
          <w:spacing w:val="30"/>
        </w:rPr>
        <w:t xml:space="preserve"> </w:t>
      </w:r>
      <w:r>
        <w:t>view</w:t>
      </w:r>
      <w:r>
        <w:rPr>
          <w:spacing w:val="30"/>
        </w:rPr>
        <w:t xml:space="preserve"> </w:t>
      </w:r>
      <w:r>
        <w:t>is</w:t>
      </w:r>
      <w:r>
        <w:rPr>
          <w:spacing w:val="30"/>
        </w:rPr>
        <w:t xml:space="preserve"> </w:t>
      </w:r>
      <w:r>
        <w:t>consistent</w:t>
      </w:r>
      <w:r>
        <w:rPr>
          <w:spacing w:val="30"/>
        </w:rPr>
        <w:t xml:space="preserve"> </w:t>
      </w:r>
      <w:r>
        <w:t>with</w:t>
      </w:r>
      <w:r>
        <w:rPr>
          <w:spacing w:val="30"/>
        </w:rPr>
        <w:t xml:space="preserve"> </w:t>
      </w:r>
      <w:r>
        <w:t>the</w:t>
      </w:r>
      <w:r>
        <w:rPr>
          <w:spacing w:val="30"/>
        </w:rPr>
        <w:t xml:space="preserve"> </w:t>
      </w:r>
      <w:r>
        <w:t>idea</w:t>
      </w:r>
      <w:r>
        <w:rPr>
          <w:spacing w:val="30"/>
        </w:rPr>
        <w:t xml:space="preserve"> </w:t>
      </w:r>
      <w:r>
        <w:t>that</w:t>
      </w:r>
      <w:r>
        <w:rPr>
          <w:spacing w:val="30"/>
        </w:rPr>
        <w:t xml:space="preserve"> </w:t>
      </w:r>
      <w:r>
        <w:t>“Joey”</w:t>
      </w:r>
      <w:r>
        <w:rPr>
          <w:spacing w:val="30"/>
        </w:rPr>
        <w:t xml:space="preserve"> </w:t>
      </w:r>
      <w:r>
        <w:t>rigidly</w:t>
      </w:r>
    </w:p>
    <w:p w14:paraId="7E000BD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D9" w14:textId="77777777" w:rsidR="009A58DB" w:rsidRDefault="00000000">
      <w:pPr>
        <w:pStyle w:val="BodyText"/>
        <w:spacing w:before="70" w:line="249" w:lineRule="auto"/>
        <w:ind w:right="358"/>
      </w:pPr>
      <w:r>
        <w:lastRenderedPageBreak/>
        <w:t>designates Joey—that there is some x such that x is Joey such that “Joey</w:t>
      </w:r>
      <w:r>
        <w:rPr>
          <w:spacing w:val="40"/>
        </w:rPr>
        <w:t xml:space="preserve"> </w:t>
      </w:r>
      <w:r>
        <w:t xml:space="preserve">loves to read” is true just in case x loves to read, it being irrelevant what properties are had by other things. But, according to our view, it isn’t Joey </w:t>
      </w:r>
      <w:r>
        <w:rPr>
          <w:i/>
        </w:rPr>
        <w:t xml:space="preserve">per se, </w:t>
      </w:r>
      <w:r>
        <w:t xml:space="preserve">but some property that is a constituent of </w:t>
      </w:r>
      <w:r>
        <w:rPr>
          <w:i/>
        </w:rPr>
        <w:t xml:space="preserve">Joey loves to read. </w:t>
      </w:r>
      <w:r>
        <w:t xml:space="preserve">That property, which is the property of being identical with Joey, is one that nothing other than Joey could possibly instantiate. (It isn’t like the concept </w:t>
      </w:r>
      <w:r>
        <w:rPr>
          <w:i/>
        </w:rPr>
        <w:t xml:space="preserve">bifocal inventor, </w:t>
      </w:r>
      <w:r>
        <w:t xml:space="preserve">which could be instantiated by something other than the thing which is its actual instance.) According to our analysis, the proposition that Joey loves to read is </w:t>
      </w:r>
      <w:r>
        <w:rPr>
          <w:i/>
        </w:rPr>
        <w:t>true</w:t>
      </w:r>
      <w:r>
        <w:rPr>
          <w:i/>
          <w:spacing w:val="-3"/>
        </w:rPr>
        <w:t xml:space="preserve"> </w:t>
      </w:r>
      <w:r>
        <w:t>only if that property is instantiated. Thus, there is</w:t>
      </w:r>
      <w:r>
        <w:rPr>
          <w:spacing w:val="-3"/>
        </w:rPr>
        <w:t xml:space="preserve"> </w:t>
      </w:r>
      <w:r>
        <w:t>indeed</w:t>
      </w:r>
      <w:r>
        <w:rPr>
          <w:spacing w:val="-3"/>
        </w:rPr>
        <w:t xml:space="preserve"> </w:t>
      </w:r>
      <w:r>
        <w:t>some</w:t>
      </w:r>
      <w:r>
        <w:rPr>
          <w:spacing w:val="-3"/>
        </w:rPr>
        <w:t xml:space="preserve"> </w:t>
      </w:r>
      <w:r>
        <w:t>x,</w:t>
      </w:r>
      <w:r>
        <w:rPr>
          <w:spacing w:val="-3"/>
        </w:rPr>
        <w:t xml:space="preserve"> </w:t>
      </w:r>
      <w:r>
        <w:t>namely</w:t>
      </w:r>
      <w:r>
        <w:rPr>
          <w:spacing w:val="-3"/>
        </w:rPr>
        <w:t xml:space="preserve"> </w:t>
      </w:r>
      <w:r>
        <w:t>Joey,</w:t>
      </w:r>
      <w:r>
        <w:rPr>
          <w:spacing w:val="-3"/>
        </w:rPr>
        <w:t xml:space="preserve"> </w:t>
      </w:r>
      <w:r>
        <w:t>such</w:t>
      </w:r>
      <w:r>
        <w:rPr>
          <w:spacing w:val="-3"/>
        </w:rPr>
        <w:t xml:space="preserve"> </w:t>
      </w:r>
      <w:r>
        <w:t>that</w:t>
      </w:r>
      <w:r>
        <w:rPr>
          <w:spacing w:val="-3"/>
        </w:rPr>
        <w:t xml:space="preserve"> </w:t>
      </w:r>
      <w:r>
        <w:t>each</w:t>
      </w:r>
      <w:r>
        <w:rPr>
          <w:spacing w:val="-3"/>
        </w:rPr>
        <w:t xml:space="preserve"> </w:t>
      </w:r>
      <w:r>
        <w:t>of</w:t>
      </w:r>
      <w:r>
        <w:rPr>
          <w:spacing w:val="-3"/>
        </w:rPr>
        <w:t xml:space="preserve"> </w:t>
      </w:r>
      <w:r>
        <w:rPr>
          <w:i/>
        </w:rPr>
        <w:t>Joey</w:t>
      </w:r>
      <w:r>
        <w:rPr>
          <w:i/>
          <w:spacing w:val="-1"/>
        </w:rPr>
        <w:t xml:space="preserve"> </w:t>
      </w:r>
      <w:r>
        <w:rPr>
          <w:i/>
        </w:rPr>
        <w:t>loves</w:t>
      </w:r>
      <w:r>
        <w:rPr>
          <w:i/>
          <w:spacing w:val="-1"/>
        </w:rPr>
        <w:t xml:space="preserve"> </w:t>
      </w:r>
      <w:r>
        <w:rPr>
          <w:i/>
        </w:rPr>
        <w:t>to</w:t>
      </w:r>
      <w:r>
        <w:rPr>
          <w:i/>
          <w:spacing w:val="-1"/>
        </w:rPr>
        <w:t xml:space="preserve"> </w:t>
      </w:r>
      <w:r>
        <w:rPr>
          <w:i/>
        </w:rPr>
        <w:t>read</w:t>
      </w:r>
      <w:r>
        <w:rPr>
          <w:i/>
          <w:spacing w:val="-1"/>
        </w:rPr>
        <w:t xml:space="preserve"> </w:t>
      </w:r>
      <w:r>
        <w:t>and</w:t>
      </w:r>
      <w:r>
        <w:rPr>
          <w:spacing w:val="-4"/>
        </w:rPr>
        <w:t xml:space="preserve"> </w:t>
      </w:r>
      <w:r>
        <w:t xml:space="preserve">“Joey </w:t>
      </w:r>
      <w:r>
        <w:rPr>
          <w:spacing w:val="-4"/>
        </w:rPr>
        <w:t>loves</w:t>
      </w:r>
      <w:r>
        <w:rPr>
          <w:spacing w:val="-12"/>
        </w:rPr>
        <w:t xml:space="preserve"> </w:t>
      </w:r>
      <w:r>
        <w:rPr>
          <w:spacing w:val="-4"/>
        </w:rPr>
        <w:t>to</w:t>
      </w:r>
      <w:r>
        <w:rPr>
          <w:spacing w:val="-12"/>
        </w:rPr>
        <w:t xml:space="preserve"> </w:t>
      </w:r>
      <w:r>
        <w:rPr>
          <w:spacing w:val="-4"/>
        </w:rPr>
        <w:t>read”</w:t>
      </w:r>
      <w:r>
        <w:rPr>
          <w:spacing w:val="-12"/>
        </w:rPr>
        <w:t xml:space="preserve"> </w:t>
      </w:r>
      <w:r>
        <w:rPr>
          <w:spacing w:val="-4"/>
        </w:rPr>
        <w:t>is</w:t>
      </w:r>
      <w:r>
        <w:rPr>
          <w:spacing w:val="-12"/>
        </w:rPr>
        <w:t xml:space="preserve"> </w:t>
      </w:r>
      <w:r>
        <w:rPr>
          <w:spacing w:val="-4"/>
        </w:rPr>
        <w:t>true</w:t>
      </w:r>
      <w:r>
        <w:rPr>
          <w:spacing w:val="-12"/>
        </w:rPr>
        <w:t xml:space="preserve"> </w:t>
      </w:r>
      <w:r>
        <w:rPr>
          <w:spacing w:val="-4"/>
        </w:rPr>
        <w:t>iff</w:t>
      </w:r>
      <w:r>
        <w:rPr>
          <w:spacing w:val="-12"/>
        </w:rPr>
        <w:t xml:space="preserve"> </w:t>
      </w:r>
      <w:r>
        <w:rPr>
          <w:spacing w:val="-4"/>
        </w:rPr>
        <w:t>x</w:t>
      </w:r>
      <w:r>
        <w:rPr>
          <w:spacing w:val="-12"/>
        </w:rPr>
        <w:t xml:space="preserve"> </w:t>
      </w:r>
      <w:r>
        <w:rPr>
          <w:spacing w:val="-4"/>
        </w:rPr>
        <w:t>loves</w:t>
      </w:r>
      <w:r>
        <w:rPr>
          <w:spacing w:val="-12"/>
        </w:rPr>
        <w:t xml:space="preserve"> </w:t>
      </w:r>
      <w:r>
        <w:rPr>
          <w:spacing w:val="-4"/>
        </w:rPr>
        <w:t>to</w:t>
      </w:r>
      <w:r>
        <w:rPr>
          <w:spacing w:val="-12"/>
        </w:rPr>
        <w:t xml:space="preserve"> </w:t>
      </w:r>
      <w:r>
        <w:rPr>
          <w:spacing w:val="-4"/>
        </w:rPr>
        <w:t>read.</w:t>
      </w:r>
      <w:r>
        <w:rPr>
          <w:spacing w:val="-12"/>
        </w:rPr>
        <w:t xml:space="preserve"> </w:t>
      </w:r>
      <w:r>
        <w:rPr>
          <w:spacing w:val="-4"/>
        </w:rPr>
        <w:t>But</w:t>
      </w:r>
      <w:r>
        <w:rPr>
          <w:spacing w:val="-12"/>
        </w:rPr>
        <w:t xml:space="preserve"> </w:t>
      </w:r>
      <w:r>
        <w:rPr>
          <w:spacing w:val="-4"/>
        </w:rPr>
        <w:t>Joey’s</w:t>
      </w:r>
      <w:r>
        <w:rPr>
          <w:spacing w:val="-12"/>
        </w:rPr>
        <w:t xml:space="preserve"> </w:t>
      </w:r>
      <w:r>
        <w:rPr>
          <w:spacing w:val="-4"/>
        </w:rPr>
        <w:t>existence</w:t>
      </w:r>
      <w:r>
        <w:rPr>
          <w:spacing w:val="-12"/>
        </w:rPr>
        <w:t xml:space="preserve"> </w:t>
      </w:r>
      <w:r>
        <w:rPr>
          <w:spacing w:val="-4"/>
        </w:rPr>
        <w:t>is</w:t>
      </w:r>
      <w:r>
        <w:rPr>
          <w:spacing w:val="-12"/>
        </w:rPr>
        <w:t xml:space="preserve"> </w:t>
      </w:r>
      <w:r>
        <w:rPr>
          <w:spacing w:val="-4"/>
        </w:rPr>
        <w:t>a</w:t>
      </w:r>
      <w:r>
        <w:rPr>
          <w:spacing w:val="-12"/>
        </w:rPr>
        <w:t xml:space="preserve"> </w:t>
      </w:r>
      <w:r>
        <w:rPr>
          <w:spacing w:val="-4"/>
        </w:rPr>
        <w:t>pre-requisite</w:t>
      </w:r>
      <w:r>
        <w:rPr>
          <w:spacing w:val="-12"/>
        </w:rPr>
        <w:t xml:space="preserve"> </w:t>
      </w:r>
      <w:r>
        <w:rPr>
          <w:spacing w:val="-4"/>
        </w:rPr>
        <w:t xml:space="preserve">for </w:t>
      </w:r>
      <w:r>
        <w:t>the truth, not the existence, of that proposition. So, unless one maintains (implausibly) that</w:t>
      </w:r>
      <w:r>
        <w:rPr>
          <w:spacing w:val="-1"/>
        </w:rPr>
        <w:t xml:space="preserve"> </w:t>
      </w:r>
      <w:r>
        <w:t>the property</w:t>
      </w:r>
      <w:r>
        <w:rPr>
          <w:spacing w:val="-1"/>
        </w:rPr>
        <w:t xml:space="preserve"> </w:t>
      </w:r>
      <w:r>
        <w:t>of being</w:t>
      </w:r>
      <w:r>
        <w:rPr>
          <w:spacing w:val="-1"/>
        </w:rPr>
        <w:t xml:space="preserve"> </w:t>
      </w:r>
      <w:r>
        <w:t>identical</w:t>
      </w:r>
      <w:r>
        <w:rPr>
          <w:spacing w:val="-1"/>
        </w:rPr>
        <w:t xml:space="preserve"> </w:t>
      </w:r>
      <w:r>
        <w:t>with Joey</w:t>
      </w:r>
      <w:r>
        <w:rPr>
          <w:spacing w:val="-1"/>
        </w:rPr>
        <w:t xml:space="preserve"> </w:t>
      </w:r>
      <w:r>
        <w:t>can exist</w:t>
      </w:r>
      <w:r>
        <w:rPr>
          <w:spacing w:val="-1"/>
        </w:rPr>
        <w:t xml:space="preserve"> </w:t>
      </w:r>
      <w:r>
        <w:t>only if</w:t>
      </w:r>
      <w:r>
        <w:rPr>
          <w:spacing w:val="-1"/>
        </w:rPr>
        <w:t xml:space="preserve"> </w:t>
      </w:r>
      <w:r>
        <w:t xml:space="preserve">it is instantiated, it follows that </w:t>
      </w:r>
      <w:r>
        <w:rPr>
          <w:i/>
        </w:rPr>
        <w:t xml:space="preserve">Joey loves to read </w:t>
      </w:r>
      <w:r>
        <w:t>doesn’t cease to exist when Joey does.</w:t>
      </w:r>
    </w:p>
    <w:p w14:paraId="7E000BDA" w14:textId="77777777" w:rsidR="009A58DB" w:rsidRDefault="00000000">
      <w:pPr>
        <w:pStyle w:val="BodyText"/>
        <w:spacing w:before="13" w:line="249" w:lineRule="auto"/>
        <w:ind w:right="360" w:firstLine="360"/>
      </w:pPr>
      <w:r>
        <w:t xml:space="preserve">Like the present author, Frege held that it wasn’t Socrates </w:t>
      </w:r>
      <w:r>
        <w:rPr>
          <w:i/>
        </w:rPr>
        <w:t xml:space="preserve">per se </w:t>
      </w:r>
      <w:r>
        <w:t>that was</w:t>
      </w:r>
      <w:r>
        <w:rPr>
          <w:spacing w:val="40"/>
        </w:rPr>
        <w:t xml:space="preserve"> </w:t>
      </w:r>
      <w:r>
        <w:t xml:space="preserve">a part of the proposition </w:t>
      </w:r>
      <w:r>
        <w:rPr>
          <w:i/>
        </w:rPr>
        <w:t xml:space="preserve">Socrates is alive </w:t>
      </w:r>
      <w:r>
        <w:t>but was instead some concept that Socrates uniquely satisfied. (Frege’s analysis is therefore consistent with the fact that “Joey likes to read” holds onto its meaning even if Joey ceases to exist.) But, apart from that, Frege’s view is quite as vague as Russell’s. Frege was extremely opaque about the nature of the structure of this proposition; and what he failed to provide in the way of clear formulations he tried, unsuccessfully, to make up for with unhelpful terms such as “saturate.”</w:t>
      </w:r>
    </w:p>
    <w:p w14:paraId="7E000BDB" w14:textId="77777777" w:rsidR="009A58DB" w:rsidRDefault="00000000">
      <w:pPr>
        <w:pStyle w:val="BodyText"/>
        <w:spacing w:before="10" w:line="249" w:lineRule="auto"/>
        <w:ind w:right="358" w:firstLine="360"/>
      </w:pPr>
      <w:r>
        <w:t>What is good about the Russell-Frege-Kaplan-King view is that it insists that propositions resemble the sentences that express them. So that view is, at least, consistent with the fact that languages can be learned and used. (For, presumably, learning and using languages involves there being systematic ways of hooking up meanings to sentences.) And, as we’ll now see, other analyses don’t do such a good job of satisfying this requirement.</w:t>
      </w:r>
    </w:p>
    <w:p w14:paraId="7E000BDC" w14:textId="77777777" w:rsidR="009A58DB" w:rsidRDefault="00000000">
      <w:pPr>
        <w:pStyle w:val="Heading1"/>
        <w:numPr>
          <w:ilvl w:val="1"/>
          <w:numId w:val="192"/>
        </w:numPr>
        <w:tabs>
          <w:tab w:val="left" w:pos="990"/>
        </w:tabs>
        <w:spacing w:before="195"/>
      </w:pPr>
      <w:r>
        <w:t>Propositions</w:t>
      </w:r>
      <w:r>
        <w:rPr>
          <w:spacing w:val="-6"/>
        </w:rPr>
        <w:t xml:space="preserve"> </w:t>
      </w:r>
      <w:r>
        <w:t>as</w:t>
      </w:r>
      <w:r>
        <w:rPr>
          <w:spacing w:val="-4"/>
        </w:rPr>
        <w:t xml:space="preserve"> </w:t>
      </w:r>
      <w:r>
        <w:t>sets</w:t>
      </w:r>
      <w:r>
        <w:rPr>
          <w:spacing w:val="-3"/>
        </w:rPr>
        <w:t xml:space="preserve"> </w:t>
      </w:r>
      <w:r>
        <w:t>of</w:t>
      </w:r>
      <w:r>
        <w:rPr>
          <w:spacing w:val="-4"/>
        </w:rPr>
        <w:t xml:space="preserve"> </w:t>
      </w:r>
      <w:r>
        <w:t>their</w:t>
      </w:r>
      <w:r>
        <w:rPr>
          <w:spacing w:val="-4"/>
        </w:rPr>
        <w:t xml:space="preserve"> </w:t>
      </w:r>
      <w:r>
        <w:t>own</w:t>
      </w:r>
      <w:r>
        <w:rPr>
          <w:spacing w:val="-3"/>
        </w:rPr>
        <w:t xml:space="preserve"> </w:t>
      </w:r>
      <w:r>
        <w:rPr>
          <w:spacing w:val="-2"/>
        </w:rPr>
        <w:t>consequences</w:t>
      </w:r>
    </w:p>
    <w:p w14:paraId="7E000BDD" w14:textId="77777777" w:rsidR="009A58DB" w:rsidRDefault="00000000">
      <w:pPr>
        <w:pStyle w:val="BodyText"/>
        <w:spacing w:before="139" w:line="249" w:lineRule="auto"/>
        <w:ind w:right="362"/>
      </w:pPr>
      <w:r>
        <w:t>For a while, it was widely held (by e.g., Clarence Lewis (1946) and Rudolph Carnap (1934)) that the “intension” of a sentence (which, in this context, we may identify with what we would now call the “meaning” of that sentence or the</w:t>
      </w:r>
      <w:r>
        <w:rPr>
          <w:spacing w:val="71"/>
          <w:w w:val="150"/>
        </w:rPr>
        <w:t xml:space="preserve"> </w:t>
      </w:r>
      <w:r>
        <w:t>“proposition”</w:t>
      </w:r>
      <w:r>
        <w:rPr>
          <w:spacing w:val="72"/>
          <w:w w:val="150"/>
        </w:rPr>
        <w:t xml:space="preserve"> </w:t>
      </w:r>
      <w:r>
        <w:t>expressed</w:t>
      </w:r>
      <w:r>
        <w:rPr>
          <w:spacing w:val="72"/>
          <w:w w:val="150"/>
        </w:rPr>
        <w:t xml:space="preserve"> </w:t>
      </w:r>
      <w:r>
        <w:t>by</w:t>
      </w:r>
      <w:r>
        <w:rPr>
          <w:spacing w:val="72"/>
          <w:w w:val="150"/>
        </w:rPr>
        <w:t xml:space="preserve"> </w:t>
      </w:r>
      <w:r>
        <w:t>it)</w:t>
      </w:r>
      <w:r>
        <w:rPr>
          <w:spacing w:val="72"/>
          <w:w w:val="150"/>
        </w:rPr>
        <w:t xml:space="preserve"> </w:t>
      </w:r>
      <w:r>
        <w:t>was</w:t>
      </w:r>
      <w:r>
        <w:rPr>
          <w:spacing w:val="72"/>
          <w:w w:val="150"/>
        </w:rPr>
        <w:t xml:space="preserve"> </w:t>
      </w:r>
      <w:r>
        <w:t>identical</w:t>
      </w:r>
      <w:r>
        <w:rPr>
          <w:spacing w:val="72"/>
          <w:w w:val="150"/>
        </w:rPr>
        <w:t xml:space="preserve"> </w:t>
      </w:r>
      <w:r>
        <w:t>with</w:t>
      </w:r>
      <w:r>
        <w:rPr>
          <w:spacing w:val="72"/>
          <w:w w:val="150"/>
        </w:rPr>
        <w:t xml:space="preserve"> </w:t>
      </w:r>
      <w:r>
        <w:t>the</w:t>
      </w:r>
      <w:r>
        <w:rPr>
          <w:spacing w:val="72"/>
          <w:w w:val="150"/>
        </w:rPr>
        <w:t xml:space="preserve"> </w:t>
      </w:r>
      <w:r>
        <w:t>class</w:t>
      </w:r>
      <w:r>
        <w:rPr>
          <w:spacing w:val="72"/>
          <w:w w:val="150"/>
        </w:rPr>
        <w:t xml:space="preserve"> </w:t>
      </w:r>
      <w:r>
        <w:t>of</w:t>
      </w:r>
      <w:r>
        <w:rPr>
          <w:spacing w:val="71"/>
          <w:w w:val="150"/>
        </w:rPr>
        <w:t xml:space="preserve"> </w:t>
      </w:r>
      <w:r>
        <w:t>all</w:t>
      </w:r>
    </w:p>
    <w:p w14:paraId="7E000BD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DF" w14:textId="77777777" w:rsidR="009A58DB" w:rsidRDefault="00000000">
      <w:pPr>
        <w:spacing w:before="60" w:line="249" w:lineRule="auto"/>
        <w:ind w:left="360" w:right="357"/>
        <w:jc w:val="both"/>
        <w:rPr>
          <w:sz w:val="30"/>
        </w:rPr>
      </w:pPr>
      <w:r>
        <w:rPr>
          <w:sz w:val="30"/>
        </w:rPr>
        <w:lastRenderedPageBreak/>
        <w:t>propositions</w:t>
      </w:r>
      <w:r>
        <w:rPr>
          <w:spacing w:val="-1"/>
          <w:sz w:val="30"/>
        </w:rPr>
        <w:t xml:space="preserve"> </w:t>
      </w:r>
      <w:r>
        <w:rPr>
          <w:sz w:val="30"/>
        </w:rPr>
        <w:t>that</w:t>
      </w:r>
      <w:r>
        <w:rPr>
          <w:spacing w:val="-1"/>
          <w:sz w:val="30"/>
        </w:rPr>
        <w:t xml:space="preserve"> </w:t>
      </w:r>
      <w:r>
        <w:rPr>
          <w:sz w:val="30"/>
        </w:rPr>
        <w:t>could</w:t>
      </w:r>
      <w:r>
        <w:rPr>
          <w:spacing w:val="-1"/>
          <w:sz w:val="30"/>
        </w:rPr>
        <w:t xml:space="preserve"> </w:t>
      </w:r>
      <w:r>
        <w:rPr>
          <w:sz w:val="30"/>
        </w:rPr>
        <w:t>be</w:t>
      </w:r>
      <w:r>
        <w:rPr>
          <w:spacing w:val="-1"/>
          <w:sz w:val="30"/>
        </w:rPr>
        <w:t xml:space="preserve"> </w:t>
      </w:r>
      <w:r>
        <w:rPr>
          <w:sz w:val="30"/>
        </w:rPr>
        <w:t>inferred</w:t>
      </w:r>
      <w:r>
        <w:rPr>
          <w:spacing w:val="-1"/>
          <w:sz w:val="30"/>
        </w:rPr>
        <w:t xml:space="preserve"> </w:t>
      </w:r>
      <w:r>
        <w:rPr>
          <w:sz w:val="30"/>
        </w:rPr>
        <w:t>from</w:t>
      </w:r>
      <w:r>
        <w:rPr>
          <w:spacing w:val="-1"/>
          <w:sz w:val="30"/>
        </w:rPr>
        <w:t xml:space="preserve"> </w:t>
      </w:r>
      <w:r>
        <w:rPr>
          <w:sz w:val="30"/>
        </w:rPr>
        <w:t>that</w:t>
      </w:r>
      <w:r>
        <w:rPr>
          <w:spacing w:val="-1"/>
          <w:sz w:val="30"/>
        </w:rPr>
        <w:t xml:space="preserve"> </w:t>
      </w:r>
      <w:r>
        <w:rPr>
          <w:sz w:val="30"/>
        </w:rPr>
        <w:t>sentence.</w:t>
      </w:r>
      <w:r>
        <w:rPr>
          <w:spacing w:val="-1"/>
          <w:sz w:val="30"/>
        </w:rPr>
        <w:t xml:space="preserve"> </w:t>
      </w:r>
      <w:r>
        <w:rPr>
          <w:sz w:val="30"/>
        </w:rPr>
        <w:t>So</w:t>
      </w:r>
      <w:r>
        <w:rPr>
          <w:spacing w:val="-1"/>
          <w:sz w:val="30"/>
        </w:rPr>
        <w:t xml:space="preserve"> </w:t>
      </w:r>
      <w:r>
        <w:rPr>
          <w:sz w:val="30"/>
        </w:rPr>
        <w:t>(a</w:t>
      </w:r>
      <w:r>
        <w:rPr>
          <w:spacing w:val="-1"/>
          <w:sz w:val="30"/>
        </w:rPr>
        <w:t xml:space="preserve"> </w:t>
      </w:r>
      <w:r>
        <w:rPr>
          <w:sz w:val="30"/>
        </w:rPr>
        <w:t>natural</w:t>
      </w:r>
      <w:r>
        <w:rPr>
          <w:spacing w:val="-1"/>
          <w:sz w:val="30"/>
        </w:rPr>
        <w:t xml:space="preserve"> </w:t>
      </w:r>
      <w:r>
        <w:rPr>
          <w:sz w:val="30"/>
        </w:rPr>
        <w:t xml:space="preserve">extension of this view would be that) the proposition </w:t>
      </w:r>
      <w:r>
        <w:rPr>
          <w:i/>
          <w:sz w:val="30"/>
        </w:rPr>
        <w:t xml:space="preserve">John knows that corn is yummy </w:t>
      </w:r>
      <w:r>
        <w:rPr>
          <w:sz w:val="30"/>
        </w:rPr>
        <w:t xml:space="preserve">is the class of all propositions deducible from that proposition—for example, </w:t>
      </w:r>
      <w:r>
        <w:rPr>
          <w:i/>
          <w:sz w:val="30"/>
        </w:rPr>
        <w:t>John believes that corn is yummy, John knows something, John has some</w:t>
      </w:r>
      <w:r>
        <w:rPr>
          <w:i/>
          <w:spacing w:val="40"/>
          <w:sz w:val="30"/>
        </w:rPr>
        <w:t xml:space="preserve"> </w:t>
      </w:r>
      <w:r>
        <w:rPr>
          <w:i/>
          <w:sz w:val="30"/>
        </w:rPr>
        <w:t>kind of attitude towards the proposition that corn is yummy.</w:t>
      </w:r>
      <w:bookmarkStart w:id="130" w:name="_bookmark130"/>
      <w:bookmarkEnd w:id="130"/>
      <w:r>
        <w:rPr>
          <w:color w:val="0562C1"/>
          <w:position w:val="22"/>
          <w:sz w:val="30"/>
          <w:u w:val="single" w:color="0562C1"/>
        </w:rPr>
        <w:t>[68]</w:t>
      </w:r>
      <w:r>
        <w:rPr>
          <w:color w:val="0562C1"/>
          <w:position w:val="22"/>
          <w:sz w:val="30"/>
        </w:rPr>
        <w:t xml:space="preserve"> </w:t>
      </w:r>
      <w:r>
        <w:rPr>
          <w:sz w:val="30"/>
        </w:rPr>
        <w:t>There are a few problems with this analysis, some minor, some major. A minor problem is that, as it was stated by Lewis and Carnap, analysis is viciously circular, since</w:t>
      </w:r>
      <w:r>
        <w:rPr>
          <w:spacing w:val="-3"/>
          <w:sz w:val="30"/>
        </w:rPr>
        <w:t xml:space="preserve"> </w:t>
      </w:r>
      <w:r>
        <w:rPr>
          <w:sz w:val="30"/>
        </w:rPr>
        <w:t>many</w:t>
      </w:r>
      <w:r>
        <w:rPr>
          <w:spacing w:val="-2"/>
          <w:sz w:val="30"/>
        </w:rPr>
        <w:t xml:space="preserve"> </w:t>
      </w:r>
      <w:r>
        <w:rPr>
          <w:sz w:val="30"/>
        </w:rPr>
        <w:t>propositions</w:t>
      </w:r>
      <w:r>
        <w:rPr>
          <w:spacing w:val="-3"/>
          <w:sz w:val="30"/>
        </w:rPr>
        <w:t xml:space="preserve"> </w:t>
      </w:r>
      <w:r>
        <w:rPr>
          <w:sz w:val="30"/>
        </w:rPr>
        <w:t>can</w:t>
      </w:r>
      <w:r>
        <w:rPr>
          <w:spacing w:val="-2"/>
          <w:sz w:val="30"/>
        </w:rPr>
        <w:t xml:space="preserve"> </w:t>
      </w:r>
      <w:r>
        <w:rPr>
          <w:sz w:val="30"/>
        </w:rPr>
        <w:t>be</w:t>
      </w:r>
      <w:r>
        <w:rPr>
          <w:spacing w:val="-3"/>
          <w:sz w:val="30"/>
        </w:rPr>
        <w:t xml:space="preserve"> </w:t>
      </w:r>
      <w:r>
        <w:rPr>
          <w:sz w:val="30"/>
        </w:rPr>
        <w:t>deduced</w:t>
      </w:r>
      <w:r>
        <w:rPr>
          <w:spacing w:val="-2"/>
          <w:sz w:val="30"/>
        </w:rPr>
        <w:t xml:space="preserve"> </w:t>
      </w:r>
      <w:r>
        <w:rPr>
          <w:sz w:val="30"/>
        </w:rPr>
        <w:t>from</w:t>
      </w:r>
      <w:r>
        <w:rPr>
          <w:spacing w:val="-3"/>
          <w:sz w:val="30"/>
        </w:rPr>
        <w:t xml:space="preserve"> </w:t>
      </w:r>
      <w:r>
        <w:rPr>
          <w:i/>
          <w:sz w:val="30"/>
        </w:rPr>
        <w:t>John</w:t>
      </w:r>
      <w:r>
        <w:rPr>
          <w:i/>
          <w:spacing w:val="-2"/>
          <w:sz w:val="30"/>
        </w:rPr>
        <w:t xml:space="preserve"> </w:t>
      </w:r>
      <w:r>
        <w:rPr>
          <w:i/>
          <w:sz w:val="30"/>
        </w:rPr>
        <w:t>knows</w:t>
      </w:r>
      <w:r>
        <w:rPr>
          <w:i/>
          <w:spacing w:val="-3"/>
          <w:sz w:val="30"/>
        </w:rPr>
        <w:t xml:space="preserve"> </w:t>
      </w:r>
      <w:r>
        <w:rPr>
          <w:i/>
          <w:sz w:val="30"/>
        </w:rPr>
        <w:t>that</w:t>
      </w:r>
      <w:r>
        <w:rPr>
          <w:i/>
          <w:spacing w:val="-3"/>
          <w:sz w:val="30"/>
        </w:rPr>
        <w:t xml:space="preserve"> </w:t>
      </w:r>
      <w:r>
        <w:rPr>
          <w:i/>
          <w:sz w:val="30"/>
        </w:rPr>
        <w:t>corn</w:t>
      </w:r>
      <w:r>
        <w:rPr>
          <w:i/>
          <w:spacing w:val="-2"/>
          <w:sz w:val="30"/>
        </w:rPr>
        <w:t xml:space="preserve"> </w:t>
      </w:r>
      <w:r>
        <w:rPr>
          <w:i/>
          <w:sz w:val="30"/>
        </w:rPr>
        <w:t>is</w:t>
      </w:r>
      <w:r>
        <w:rPr>
          <w:i/>
          <w:spacing w:val="-3"/>
          <w:sz w:val="30"/>
        </w:rPr>
        <w:t xml:space="preserve"> </w:t>
      </w:r>
      <w:r>
        <w:rPr>
          <w:i/>
          <w:sz w:val="30"/>
        </w:rPr>
        <w:t xml:space="preserve">yummy </w:t>
      </w:r>
      <w:r>
        <w:rPr>
          <w:sz w:val="30"/>
        </w:rPr>
        <w:t xml:space="preserve">that involve that very proposition—for example, </w:t>
      </w:r>
      <w:r>
        <w:rPr>
          <w:i/>
          <w:sz w:val="30"/>
        </w:rPr>
        <w:t xml:space="preserve">either John knows that corn is yummy or there are square circles. </w:t>
      </w:r>
      <w:r>
        <w:rPr>
          <w:sz w:val="30"/>
        </w:rPr>
        <w:t>This particular problem is not, I</w:t>
      </w:r>
      <w:r>
        <w:rPr>
          <w:spacing w:val="40"/>
          <w:sz w:val="30"/>
        </w:rPr>
        <w:t xml:space="preserve"> </w:t>
      </w:r>
      <w:r>
        <w:rPr>
          <w:sz w:val="30"/>
        </w:rPr>
        <w:t>believe, insuperable, since the position can be amended to avoid it. The right emendation would seem to be: a proposition is identical with the class of all propositions—setting aside that proposition itself, and any propositions having it as a component (e.g., disjunctions of which it is a disjunct)—that can be inferred from it.</w:t>
      </w:r>
    </w:p>
    <w:p w14:paraId="7E000BE0" w14:textId="77777777" w:rsidR="009A58DB" w:rsidRDefault="00000000">
      <w:pPr>
        <w:pStyle w:val="Heading1"/>
        <w:numPr>
          <w:ilvl w:val="1"/>
          <w:numId w:val="192"/>
        </w:numPr>
        <w:tabs>
          <w:tab w:val="left" w:pos="990"/>
        </w:tabs>
        <w:spacing w:before="216"/>
      </w:pPr>
      <w:r>
        <w:t>Why</w:t>
      </w:r>
      <w:r>
        <w:rPr>
          <w:spacing w:val="-2"/>
        </w:rPr>
        <w:t xml:space="preserve"> </w:t>
      </w:r>
      <w:r>
        <w:t>this</w:t>
      </w:r>
      <w:r>
        <w:rPr>
          <w:spacing w:val="-3"/>
        </w:rPr>
        <w:t xml:space="preserve"> </w:t>
      </w:r>
      <w:r>
        <w:t>view</w:t>
      </w:r>
      <w:r>
        <w:rPr>
          <w:spacing w:val="-3"/>
        </w:rPr>
        <w:t xml:space="preserve"> </w:t>
      </w:r>
      <w:r>
        <w:t>is</w:t>
      </w:r>
      <w:r>
        <w:rPr>
          <w:spacing w:val="-2"/>
        </w:rPr>
        <w:t xml:space="preserve"> </w:t>
      </w:r>
      <w:r>
        <w:rPr>
          <w:spacing w:val="-4"/>
        </w:rPr>
        <w:t>false</w:t>
      </w:r>
    </w:p>
    <w:p w14:paraId="7E000BE1" w14:textId="77777777" w:rsidR="009A58DB" w:rsidRDefault="00000000">
      <w:pPr>
        <w:pStyle w:val="BodyText"/>
        <w:spacing w:before="139" w:line="249" w:lineRule="auto"/>
        <w:ind w:right="359"/>
      </w:pPr>
      <w:r>
        <w:t>Even</w:t>
      </w:r>
      <w:r>
        <w:rPr>
          <w:spacing w:val="-1"/>
        </w:rPr>
        <w:t xml:space="preserve"> </w:t>
      </w:r>
      <w:r>
        <w:t>so,</w:t>
      </w:r>
      <w:r>
        <w:rPr>
          <w:spacing w:val="-1"/>
        </w:rPr>
        <w:t xml:space="preserve"> </w:t>
      </w:r>
      <w:r>
        <w:t>the</w:t>
      </w:r>
      <w:r>
        <w:rPr>
          <w:spacing w:val="-1"/>
        </w:rPr>
        <w:t xml:space="preserve"> </w:t>
      </w:r>
      <w:r>
        <w:t>position</w:t>
      </w:r>
      <w:r>
        <w:rPr>
          <w:spacing w:val="-1"/>
        </w:rPr>
        <w:t xml:space="preserve"> </w:t>
      </w:r>
      <w:r>
        <w:t>in</w:t>
      </w:r>
      <w:r>
        <w:rPr>
          <w:spacing w:val="-1"/>
        </w:rPr>
        <w:t xml:space="preserve"> </w:t>
      </w:r>
      <w:r>
        <w:t>question</w:t>
      </w:r>
      <w:r>
        <w:rPr>
          <w:spacing w:val="-1"/>
        </w:rPr>
        <w:t xml:space="preserve"> </w:t>
      </w:r>
      <w:r>
        <w:t>isn’t</w:t>
      </w:r>
      <w:r>
        <w:rPr>
          <w:spacing w:val="-2"/>
        </w:rPr>
        <w:t xml:space="preserve"> </w:t>
      </w:r>
      <w:r>
        <w:t>very</w:t>
      </w:r>
      <w:r>
        <w:rPr>
          <w:spacing w:val="-1"/>
        </w:rPr>
        <w:t xml:space="preserve"> </w:t>
      </w:r>
      <w:r>
        <w:t>plausible.</w:t>
      </w:r>
      <w:r>
        <w:rPr>
          <w:spacing w:val="-1"/>
        </w:rPr>
        <w:t xml:space="preserve"> </w:t>
      </w:r>
      <w:r>
        <w:t>Consider</w:t>
      </w:r>
      <w:r>
        <w:rPr>
          <w:spacing w:val="-1"/>
        </w:rPr>
        <w:t xml:space="preserve"> </w:t>
      </w:r>
      <w:r>
        <w:t>the</w:t>
      </w:r>
      <w:r>
        <w:rPr>
          <w:spacing w:val="-1"/>
        </w:rPr>
        <w:t xml:space="preserve"> </w:t>
      </w:r>
      <w:r>
        <w:t>class</w:t>
      </w:r>
      <w:r>
        <w:rPr>
          <w:spacing w:val="-1"/>
        </w:rPr>
        <w:t xml:space="preserve"> </w:t>
      </w:r>
      <w:r>
        <w:t>of</w:t>
      </w:r>
      <w:r>
        <w:rPr>
          <w:spacing w:val="-1"/>
        </w:rPr>
        <w:t xml:space="preserve"> </w:t>
      </w:r>
      <w:r>
        <w:t xml:space="preserve">all propositions that follow from </w:t>
      </w:r>
      <w:r>
        <w:rPr>
          <w:i/>
        </w:rPr>
        <w:t xml:space="preserve">John knows that corn is yummy. </w:t>
      </w:r>
      <w:r>
        <w:t xml:space="preserve">That class doesn’t have a structure corresponding even remotely to the structure that we would expect that proposition to have, given that it almost certainly has a structure non-trivially similar to that of the sentences that express it. Also, in order to figure out whether a given proposition is a consequence of </w:t>
      </w:r>
      <w:r>
        <w:rPr>
          <w:i/>
        </w:rPr>
        <w:t>John knows</w:t>
      </w:r>
      <w:r>
        <w:rPr>
          <w:i/>
          <w:spacing w:val="-3"/>
        </w:rPr>
        <w:t xml:space="preserve"> </w:t>
      </w:r>
      <w:r>
        <w:rPr>
          <w:i/>
        </w:rPr>
        <w:t>that</w:t>
      </w:r>
      <w:r>
        <w:rPr>
          <w:i/>
          <w:spacing w:val="-3"/>
        </w:rPr>
        <w:t xml:space="preserve"> </w:t>
      </w:r>
      <w:r>
        <w:rPr>
          <w:i/>
        </w:rPr>
        <w:t>corn</w:t>
      </w:r>
      <w:r>
        <w:rPr>
          <w:i/>
          <w:spacing w:val="-2"/>
        </w:rPr>
        <w:t xml:space="preserve"> </w:t>
      </w:r>
      <w:r>
        <w:rPr>
          <w:i/>
        </w:rPr>
        <w:t>is</w:t>
      </w:r>
      <w:r>
        <w:rPr>
          <w:i/>
          <w:spacing w:val="-3"/>
        </w:rPr>
        <w:t xml:space="preserve"> </w:t>
      </w:r>
      <w:r>
        <w:rPr>
          <w:i/>
        </w:rPr>
        <w:t>yummy,</w:t>
      </w:r>
      <w:r>
        <w:rPr>
          <w:i/>
          <w:spacing w:val="-2"/>
        </w:rPr>
        <w:t xml:space="preserve"> </w:t>
      </w:r>
      <w:r>
        <w:t>one</w:t>
      </w:r>
      <w:r>
        <w:rPr>
          <w:spacing w:val="-3"/>
        </w:rPr>
        <w:t xml:space="preserve"> </w:t>
      </w:r>
      <w:r>
        <w:t>must</w:t>
      </w:r>
      <w:r>
        <w:rPr>
          <w:spacing w:val="-3"/>
        </w:rPr>
        <w:t xml:space="preserve"> </w:t>
      </w:r>
      <w:r>
        <w:t>grasp</w:t>
      </w:r>
      <w:r>
        <w:rPr>
          <w:spacing w:val="-2"/>
        </w:rPr>
        <w:t xml:space="preserve"> </w:t>
      </w:r>
      <w:r>
        <w:t>that</w:t>
      </w:r>
      <w:r>
        <w:rPr>
          <w:spacing w:val="-3"/>
        </w:rPr>
        <w:t xml:space="preserve"> </w:t>
      </w:r>
      <w:r>
        <w:t>proposition</w:t>
      </w:r>
      <w:r>
        <w:rPr>
          <w:spacing w:val="-2"/>
        </w:rPr>
        <w:t xml:space="preserve"> </w:t>
      </w:r>
      <w:r>
        <w:t>itself.</w:t>
      </w:r>
      <w:r>
        <w:rPr>
          <w:spacing w:val="-2"/>
        </w:rPr>
        <w:t xml:space="preserve"> </w:t>
      </w:r>
      <w:r>
        <w:t>Here’s</w:t>
      </w:r>
      <w:r>
        <w:rPr>
          <w:spacing w:val="-3"/>
        </w:rPr>
        <w:t xml:space="preserve"> </w:t>
      </w:r>
      <w:r>
        <w:t xml:space="preserve">why: The set of propositions that follow from </w:t>
      </w:r>
      <w:r>
        <w:rPr>
          <w:i/>
        </w:rPr>
        <w:t xml:space="preserve">John knows that corn is yummy </w:t>
      </w:r>
      <w:r>
        <w:t xml:space="preserve">is infinitely large. One can grasp that set only in the sense that one grasps some rule that generates its members—after all, one obviously cannot grasp them all one by one. And grasping that rule would seem to involve grasping </w:t>
      </w:r>
      <w:r>
        <w:rPr>
          <w:i/>
        </w:rPr>
        <w:t xml:space="preserve">John knows that corn is yummy </w:t>
      </w:r>
      <w:r>
        <w:t>or some other similar proposition.</w:t>
      </w:r>
    </w:p>
    <w:p w14:paraId="7E000BE2" w14:textId="77777777" w:rsidR="009A58DB" w:rsidRDefault="00000000">
      <w:pPr>
        <w:pStyle w:val="Heading1"/>
        <w:numPr>
          <w:ilvl w:val="1"/>
          <w:numId w:val="191"/>
        </w:numPr>
        <w:tabs>
          <w:tab w:val="left" w:pos="990"/>
        </w:tabs>
        <w:spacing w:before="218"/>
      </w:pPr>
      <w:r>
        <w:t>The</w:t>
      </w:r>
      <w:r>
        <w:rPr>
          <w:spacing w:val="-5"/>
        </w:rPr>
        <w:t xml:space="preserve"> </w:t>
      </w:r>
      <w:r>
        <w:t>possible</w:t>
      </w:r>
      <w:r>
        <w:rPr>
          <w:spacing w:val="-5"/>
        </w:rPr>
        <w:t xml:space="preserve"> </w:t>
      </w:r>
      <w:r>
        <w:t>worlds</w:t>
      </w:r>
      <w:r>
        <w:rPr>
          <w:spacing w:val="-5"/>
        </w:rPr>
        <w:t xml:space="preserve"> </w:t>
      </w:r>
      <w:r>
        <w:rPr>
          <w:spacing w:val="-2"/>
        </w:rPr>
        <w:t>approach</w:t>
      </w:r>
    </w:p>
    <w:p w14:paraId="7E000BE3" w14:textId="77777777" w:rsidR="009A58DB" w:rsidRDefault="00000000">
      <w:pPr>
        <w:pStyle w:val="BodyText"/>
        <w:spacing w:before="139" w:line="249" w:lineRule="auto"/>
        <w:ind w:right="362"/>
      </w:pPr>
      <w:r>
        <w:t>We now turn to</w:t>
      </w:r>
      <w:r>
        <w:rPr>
          <w:spacing w:val="-19"/>
        </w:rPr>
        <w:t xml:space="preserve"> </w:t>
      </w:r>
      <w:r>
        <w:t xml:space="preserve">what is nowadays probably the most popular analysis of </w:t>
      </w:r>
      <w:r>
        <w:rPr>
          <w:spacing w:val="-4"/>
        </w:rPr>
        <w:t>propositions</w:t>
      </w:r>
      <w:r>
        <w:rPr>
          <w:spacing w:val="-15"/>
        </w:rPr>
        <w:t xml:space="preserve"> </w:t>
      </w:r>
      <w:r>
        <w:rPr>
          <w:spacing w:val="-4"/>
        </w:rPr>
        <w:t>and,</w:t>
      </w:r>
      <w:r>
        <w:rPr>
          <w:spacing w:val="-15"/>
        </w:rPr>
        <w:t xml:space="preserve"> </w:t>
      </w:r>
      <w:r>
        <w:rPr>
          <w:spacing w:val="-4"/>
        </w:rPr>
        <w:t>indeed,</w:t>
      </w:r>
      <w:r>
        <w:rPr>
          <w:spacing w:val="-13"/>
        </w:rPr>
        <w:t xml:space="preserve"> </w:t>
      </w:r>
      <w:r>
        <w:rPr>
          <w:spacing w:val="-4"/>
        </w:rPr>
        <w:t>of</w:t>
      </w:r>
      <w:r>
        <w:rPr>
          <w:spacing w:val="-11"/>
        </w:rPr>
        <w:t xml:space="preserve"> </w:t>
      </w:r>
      <w:r>
        <w:rPr>
          <w:spacing w:val="-4"/>
        </w:rPr>
        <w:t>modality:</w:t>
      </w:r>
      <w:r>
        <w:rPr>
          <w:spacing w:val="-11"/>
        </w:rPr>
        <w:t xml:space="preserve"> </w:t>
      </w:r>
      <w:r>
        <w:rPr>
          <w:spacing w:val="-4"/>
        </w:rPr>
        <w:t>the</w:t>
      </w:r>
      <w:r>
        <w:rPr>
          <w:spacing w:val="-11"/>
        </w:rPr>
        <w:t xml:space="preserve"> </w:t>
      </w:r>
      <w:r>
        <w:rPr>
          <w:spacing w:val="-4"/>
        </w:rPr>
        <w:t>possible</w:t>
      </w:r>
      <w:r>
        <w:rPr>
          <w:spacing w:val="-11"/>
        </w:rPr>
        <w:t xml:space="preserve"> </w:t>
      </w:r>
      <w:r>
        <w:rPr>
          <w:spacing w:val="-4"/>
        </w:rPr>
        <w:t>worlds</w:t>
      </w:r>
      <w:r>
        <w:rPr>
          <w:spacing w:val="-11"/>
        </w:rPr>
        <w:t xml:space="preserve"> </w:t>
      </w:r>
      <w:r>
        <w:rPr>
          <w:spacing w:val="-4"/>
        </w:rPr>
        <w:t>analysis.</w:t>
      </w:r>
      <w:r>
        <w:rPr>
          <w:spacing w:val="-15"/>
        </w:rPr>
        <w:t xml:space="preserve"> </w:t>
      </w:r>
      <w:r>
        <w:rPr>
          <w:spacing w:val="-4"/>
        </w:rPr>
        <w:t>According</w:t>
      </w:r>
      <w:r>
        <w:rPr>
          <w:spacing w:val="-11"/>
        </w:rPr>
        <w:t xml:space="preserve"> </w:t>
      </w:r>
      <w:r>
        <w:rPr>
          <w:spacing w:val="-4"/>
        </w:rPr>
        <w:t xml:space="preserve">to </w:t>
      </w:r>
      <w:r>
        <w:rPr>
          <w:spacing w:val="-2"/>
        </w:rPr>
        <w:t>possible</w:t>
      </w:r>
      <w:r>
        <w:rPr>
          <w:spacing w:val="-16"/>
        </w:rPr>
        <w:t xml:space="preserve"> </w:t>
      </w:r>
      <w:r>
        <w:rPr>
          <w:spacing w:val="-2"/>
        </w:rPr>
        <w:t>worlds</w:t>
      </w:r>
      <w:r>
        <w:rPr>
          <w:spacing w:val="-14"/>
        </w:rPr>
        <w:t xml:space="preserve"> </w:t>
      </w:r>
      <w:r>
        <w:rPr>
          <w:spacing w:val="-2"/>
        </w:rPr>
        <w:t>semantics</w:t>
      </w:r>
      <w:r>
        <w:rPr>
          <w:spacing w:val="-14"/>
        </w:rPr>
        <w:t xml:space="preserve"> </w:t>
      </w:r>
      <w:r>
        <w:rPr>
          <w:spacing w:val="-2"/>
        </w:rPr>
        <w:t>(PWS),</w:t>
      </w:r>
      <w:r>
        <w:rPr>
          <w:spacing w:val="-14"/>
        </w:rPr>
        <w:t xml:space="preserve"> </w:t>
      </w:r>
      <w:r>
        <w:rPr>
          <w:spacing w:val="-2"/>
        </w:rPr>
        <w:t>a</w:t>
      </w:r>
      <w:r>
        <w:rPr>
          <w:spacing w:val="-13"/>
        </w:rPr>
        <w:t xml:space="preserve"> </w:t>
      </w:r>
      <w:r>
        <w:rPr>
          <w:spacing w:val="-2"/>
        </w:rPr>
        <w:t>proposition</w:t>
      </w:r>
      <w:r>
        <w:rPr>
          <w:spacing w:val="-13"/>
        </w:rPr>
        <w:t xml:space="preserve"> </w:t>
      </w:r>
      <w:r>
        <w:rPr>
          <w:spacing w:val="-2"/>
        </w:rPr>
        <w:t>is</w:t>
      </w:r>
      <w:r>
        <w:rPr>
          <w:spacing w:val="-13"/>
        </w:rPr>
        <w:t xml:space="preserve"> </w:t>
      </w:r>
      <w:r>
        <w:rPr>
          <w:spacing w:val="-2"/>
        </w:rPr>
        <w:t>necessary</w:t>
      </w:r>
      <w:r>
        <w:rPr>
          <w:spacing w:val="-13"/>
        </w:rPr>
        <w:t xml:space="preserve"> </w:t>
      </w:r>
      <w:r>
        <w:rPr>
          <w:spacing w:val="-2"/>
        </w:rPr>
        <w:t>(possible)</w:t>
      </w:r>
      <w:r>
        <w:rPr>
          <w:spacing w:val="-13"/>
        </w:rPr>
        <w:t xml:space="preserve"> </w:t>
      </w:r>
      <w:r>
        <w:rPr>
          <w:spacing w:val="-2"/>
        </w:rPr>
        <w:t>if</w:t>
      </w:r>
      <w:r>
        <w:rPr>
          <w:spacing w:val="-12"/>
        </w:rPr>
        <w:t xml:space="preserve"> </w:t>
      </w:r>
      <w:r>
        <w:rPr>
          <w:spacing w:val="-2"/>
        </w:rPr>
        <w:t>true</w:t>
      </w:r>
      <w:r>
        <w:rPr>
          <w:spacing w:val="-13"/>
        </w:rPr>
        <w:t xml:space="preserve"> </w:t>
      </w:r>
      <w:r>
        <w:rPr>
          <w:spacing w:val="-5"/>
        </w:rPr>
        <w:t>in</w:t>
      </w:r>
    </w:p>
    <w:p w14:paraId="7E000BE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E5" w14:textId="77777777" w:rsidR="009A58DB" w:rsidRDefault="00000000">
      <w:pPr>
        <w:pStyle w:val="BodyText"/>
        <w:spacing w:before="70" w:line="249" w:lineRule="auto"/>
        <w:ind w:right="364"/>
      </w:pPr>
      <w:r>
        <w:lastRenderedPageBreak/>
        <w:t>all</w:t>
      </w:r>
      <w:r>
        <w:rPr>
          <w:spacing w:val="-3"/>
        </w:rPr>
        <w:t xml:space="preserve"> </w:t>
      </w:r>
      <w:r>
        <w:t>(some)</w:t>
      </w:r>
      <w:r>
        <w:rPr>
          <w:spacing w:val="-2"/>
        </w:rPr>
        <w:t xml:space="preserve"> </w:t>
      </w:r>
      <w:r>
        <w:t>worlds,</w:t>
      </w:r>
      <w:r>
        <w:rPr>
          <w:spacing w:val="-2"/>
        </w:rPr>
        <w:t xml:space="preserve"> </w:t>
      </w:r>
      <w:r>
        <w:t>and</w:t>
      </w:r>
      <w:r>
        <w:rPr>
          <w:spacing w:val="-2"/>
        </w:rPr>
        <w:t xml:space="preserve"> </w:t>
      </w:r>
      <w:r>
        <w:t>a</w:t>
      </w:r>
      <w:r>
        <w:rPr>
          <w:spacing w:val="-2"/>
        </w:rPr>
        <w:t xml:space="preserve"> </w:t>
      </w:r>
      <w:r>
        <w:t>proposition</w:t>
      </w:r>
      <w:r>
        <w:rPr>
          <w:spacing w:val="-2"/>
        </w:rPr>
        <w:t xml:space="preserve"> </w:t>
      </w:r>
      <w:r>
        <w:t>is</w:t>
      </w:r>
      <w:r>
        <w:rPr>
          <w:spacing w:val="-2"/>
        </w:rPr>
        <w:t xml:space="preserve"> </w:t>
      </w:r>
      <w:r>
        <w:t>a</w:t>
      </w:r>
      <w:r>
        <w:rPr>
          <w:spacing w:val="-2"/>
        </w:rPr>
        <w:t xml:space="preserve"> </w:t>
      </w:r>
      <w:r>
        <w:t>function</w:t>
      </w:r>
      <w:r>
        <w:rPr>
          <w:spacing w:val="-2"/>
        </w:rPr>
        <w:t xml:space="preserve"> </w:t>
      </w:r>
      <w:r>
        <w:t>that</w:t>
      </w:r>
      <w:r>
        <w:rPr>
          <w:spacing w:val="-2"/>
        </w:rPr>
        <w:t xml:space="preserve"> </w:t>
      </w:r>
      <w:r>
        <w:t>assigns</w:t>
      </w:r>
      <w:r>
        <w:rPr>
          <w:spacing w:val="-2"/>
        </w:rPr>
        <w:t xml:space="preserve"> </w:t>
      </w:r>
      <w:r>
        <w:t>truths–values</w:t>
      </w:r>
      <w:r>
        <w:rPr>
          <w:spacing w:val="-2"/>
        </w:rPr>
        <w:t xml:space="preserve"> </w:t>
      </w:r>
      <w:r>
        <w:t>to worlds or, alternatively, is a set of worlds (viz. the set of worlds where it is true). So the proposition</w:t>
      </w:r>
    </w:p>
    <w:p w14:paraId="7E000BE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BE7" w14:textId="77777777" w:rsidR="009A58DB" w:rsidRDefault="00000000">
      <w:pPr>
        <w:pStyle w:val="BodyText"/>
        <w:spacing w:before="65" w:line="249" w:lineRule="auto"/>
        <w:ind w:right="365"/>
      </w:pPr>
      <w:r>
        <w:rPr>
          <w:i/>
        </w:rPr>
        <w:lastRenderedPageBreak/>
        <w:t xml:space="preserve">grass is green </w:t>
      </w:r>
      <w:r>
        <w:t xml:space="preserve">is a function that assigns </w:t>
      </w:r>
      <w:r>
        <w:rPr>
          <w:i/>
        </w:rPr>
        <w:t xml:space="preserve">truth </w:t>
      </w:r>
      <w:r>
        <w:t xml:space="preserve">to all the world where grass is green, </w:t>
      </w:r>
      <w:r>
        <w:rPr>
          <w:i/>
        </w:rPr>
        <w:t xml:space="preserve">falsity </w:t>
      </w:r>
      <w:r>
        <w:t>to worlds where grass is not green, and either assigns falsity to grass-free worlds or assigns them no truth-value at all.</w:t>
      </w:r>
    </w:p>
    <w:p w14:paraId="7E000BE8" w14:textId="77777777" w:rsidR="009A58DB" w:rsidRDefault="00000000">
      <w:pPr>
        <w:pStyle w:val="BodyText"/>
        <w:spacing w:before="3" w:line="249" w:lineRule="auto"/>
        <w:ind w:right="359" w:firstLine="360"/>
      </w:pPr>
      <w:r>
        <w:t xml:space="preserve">In this context, the first question to ask is: what is meant by the term “world”? Oftentimes, advocates of PWS say that “worlds,” as they are using the term, are propositions (or sets of propositions). In that case, as David Lewis (1986) was quick to point out, the PWS slogan that “a proposition is a set of worlds” becomes “a proposition is a set of propositions,” which is not only false but viciously regressive, the same thing </w:t>
      </w:r>
      <w:r>
        <w:rPr>
          <w:i/>
        </w:rPr>
        <w:t xml:space="preserve">mutatis mutandis </w:t>
      </w:r>
      <w:r>
        <w:t xml:space="preserve">holding of the statement “a proposition is a function that assigns truth-values to </w:t>
      </w:r>
      <w:r>
        <w:rPr>
          <w:spacing w:val="-2"/>
        </w:rPr>
        <w:t>worlds.”</w:t>
      </w:r>
    </w:p>
    <w:p w14:paraId="7E000BE9" w14:textId="77777777" w:rsidR="009A58DB" w:rsidRDefault="00000000">
      <w:pPr>
        <w:pStyle w:val="BodyText"/>
        <w:spacing w:before="10" w:line="249" w:lineRule="auto"/>
        <w:ind w:right="359" w:firstLine="360"/>
      </w:pPr>
      <w:r>
        <w:t xml:space="preserve">Aware that treating worlds as propositions (or sets thereof) eviscerates PWS, some advocates of that doctrine say that worlds are just that—worlds: concrete objects like our own, “maximal states of affairs.” </w:t>
      </w:r>
      <w:r>
        <w:rPr>
          <w:i/>
        </w:rPr>
        <w:t xml:space="preserve">Not, </w:t>
      </w:r>
      <w:r>
        <w:t>it must be emphasized,</w:t>
      </w:r>
      <w:r>
        <w:rPr>
          <w:spacing w:val="59"/>
        </w:rPr>
        <w:t xml:space="preserve"> </w:t>
      </w:r>
      <w:r>
        <w:t>properties</w:t>
      </w:r>
      <w:r>
        <w:rPr>
          <w:spacing w:val="61"/>
        </w:rPr>
        <w:t xml:space="preserve"> </w:t>
      </w:r>
      <w:r>
        <w:t>that,</w:t>
      </w:r>
      <w:r>
        <w:rPr>
          <w:spacing w:val="62"/>
        </w:rPr>
        <w:t xml:space="preserve"> </w:t>
      </w:r>
      <w:r>
        <w:t>if</w:t>
      </w:r>
      <w:r>
        <w:rPr>
          <w:spacing w:val="61"/>
        </w:rPr>
        <w:t xml:space="preserve"> </w:t>
      </w:r>
      <w:r>
        <w:t>instantiated,</w:t>
      </w:r>
      <w:r>
        <w:rPr>
          <w:spacing w:val="43"/>
        </w:rPr>
        <w:t xml:space="preserve"> </w:t>
      </w:r>
      <w:r>
        <w:rPr>
          <w:i/>
        </w:rPr>
        <w:t>would</w:t>
      </w:r>
      <w:r>
        <w:rPr>
          <w:i/>
          <w:spacing w:val="-14"/>
        </w:rPr>
        <w:t xml:space="preserve"> </w:t>
      </w:r>
      <w:r>
        <w:t>be</w:t>
      </w:r>
      <w:r>
        <w:rPr>
          <w:spacing w:val="57"/>
        </w:rPr>
        <w:t xml:space="preserve"> </w:t>
      </w:r>
      <w:r>
        <w:t>worlds.</w:t>
      </w:r>
      <w:r>
        <w:rPr>
          <w:spacing w:val="58"/>
        </w:rPr>
        <w:t xml:space="preserve"> </w:t>
      </w:r>
      <w:r>
        <w:t>But</w:t>
      </w:r>
      <w:r>
        <w:rPr>
          <w:spacing w:val="58"/>
        </w:rPr>
        <w:t xml:space="preserve"> </w:t>
      </w:r>
      <w:r>
        <w:rPr>
          <w:spacing w:val="-4"/>
        </w:rPr>
        <w:t>veritable</w:t>
      </w:r>
    </w:p>
    <w:p w14:paraId="7E000BEA" w14:textId="77777777" w:rsidR="009A58DB" w:rsidRDefault="00000000">
      <w:pPr>
        <w:pStyle w:val="BodyText"/>
        <w:spacing w:before="5" w:line="277" w:lineRule="exact"/>
        <w:ind w:left="1210"/>
        <w:jc w:val="left"/>
      </w:pPr>
      <w:bookmarkStart w:id="131" w:name="_bookmark131"/>
      <w:bookmarkEnd w:id="131"/>
      <w:r>
        <w:rPr>
          <w:color w:val="0562C1"/>
          <w:spacing w:val="-4"/>
          <w:u w:val="single" w:color="0562C1"/>
        </w:rPr>
        <w:t>[69]</w:t>
      </w:r>
    </w:p>
    <w:p w14:paraId="7E000BEB" w14:textId="77777777" w:rsidR="009A58DB" w:rsidRDefault="00000000">
      <w:pPr>
        <w:pStyle w:val="BodyText"/>
        <w:spacing w:line="277" w:lineRule="exact"/>
        <w:jc w:val="left"/>
      </w:pPr>
      <w:r>
        <w:rPr>
          <w:spacing w:val="-2"/>
        </w:rPr>
        <w:t>worlds.</w:t>
      </w:r>
    </w:p>
    <w:p w14:paraId="7E000BEC" w14:textId="77777777" w:rsidR="009A58DB" w:rsidRDefault="00000000">
      <w:pPr>
        <w:pStyle w:val="Heading1"/>
        <w:numPr>
          <w:ilvl w:val="1"/>
          <w:numId w:val="191"/>
        </w:numPr>
        <w:tabs>
          <w:tab w:val="left" w:pos="990"/>
        </w:tabs>
        <w:spacing w:before="173"/>
      </w:pPr>
      <w:r>
        <w:t>Problems</w:t>
      </w:r>
      <w:r>
        <w:rPr>
          <w:spacing w:val="-5"/>
        </w:rPr>
        <w:t xml:space="preserve"> </w:t>
      </w:r>
      <w:r>
        <w:t>with</w:t>
      </w:r>
      <w:r>
        <w:rPr>
          <w:spacing w:val="-5"/>
        </w:rPr>
        <w:t xml:space="preserve"> </w:t>
      </w:r>
      <w:r>
        <w:t>this</w:t>
      </w:r>
      <w:r>
        <w:rPr>
          <w:spacing w:val="-5"/>
        </w:rPr>
        <w:t xml:space="preserve"> </w:t>
      </w:r>
      <w:r>
        <w:rPr>
          <w:spacing w:val="-2"/>
        </w:rPr>
        <w:t>approach</w:t>
      </w:r>
    </w:p>
    <w:p w14:paraId="7E000BED" w14:textId="77777777" w:rsidR="009A58DB" w:rsidRDefault="00000000">
      <w:pPr>
        <w:spacing w:before="94" w:line="249" w:lineRule="auto"/>
        <w:ind w:left="360" w:right="361"/>
        <w:jc w:val="both"/>
        <w:rPr>
          <w:i/>
          <w:sz w:val="30"/>
        </w:rPr>
      </w:pPr>
      <w:r>
        <w:rPr>
          <w:sz w:val="30"/>
        </w:rPr>
        <w:t>Not</w:t>
      </w:r>
      <w:r>
        <w:rPr>
          <w:spacing w:val="-1"/>
          <w:sz w:val="30"/>
        </w:rPr>
        <w:t xml:space="preserve"> </w:t>
      </w:r>
      <w:r>
        <w:rPr>
          <w:sz w:val="30"/>
        </w:rPr>
        <w:t>too many are going to</w:t>
      </w:r>
      <w:r>
        <w:rPr>
          <w:spacing w:val="-1"/>
          <w:sz w:val="30"/>
        </w:rPr>
        <w:t xml:space="preserve"> </w:t>
      </w:r>
      <w:r>
        <w:rPr>
          <w:sz w:val="30"/>
        </w:rPr>
        <w:t>grant</w:t>
      </w:r>
      <w:r>
        <w:rPr>
          <w:spacing w:val="-1"/>
          <w:sz w:val="30"/>
        </w:rPr>
        <w:t xml:space="preserve"> </w:t>
      </w:r>
      <w:r>
        <w:rPr>
          <w:sz w:val="30"/>
        </w:rPr>
        <w:t>the existence of</w:t>
      </w:r>
      <w:r>
        <w:rPr>
          <w:spacing w:val="-1"/>
          <w:sz w:val="30"/>
        </w:rPr>
        <w:t xml:space="preserve"> </w:t>
      </w:r>
      <w:r>
        <w:rPr>
          <w:i/>
          <w:sz w:val="30"/>
        </w:rPr>
        <w:t>bona</w:t>
      </w:r>
      <w:r>
        <w:rPr>
          <w:i/>
          <w:spacing w:val="-3"/>
          <w:sz w:val="30"/>
        </w:rPr>
        <w:t xml:space="preserve"> </w:t>
      </w:r>
      <w:r>
        <w:rPr>
          <w:i/>
          <w:sz w:val="30"/>
        </w:rPr>
        <w:t xml:space="preserve">fide </w:t>
      </w:r>
      <w:r>
        <w:rPr>
          <w:sz w:val="30"/>
        </w:rPr>
        <w:t xml:space="preserve">alternative worlds. Second, even if they do exist, we can’t know anything about them </w:t>
      </w:r>
      <w:r>
        <w:rPr>
          <w:i/>
          <w:sz w:val="30"/>
        </w:rPr>
        <w:t>except what we can figure out on the basis of modal knowledge obtained independently of our knowledge of those worlds.</w:t>
      </w:r>
    </w:p>
    <w:p w14:paraId="7E000BEE" w14:textId="77777777" w:rsidR="009A58DB" w:rsidRDefault="00000000">
      <w:pPr>
        <w:pStyle w:val="BodyText"/>
        <w:spacing w:before="5" w:line="249" w:lineRule="auto"/>
        <w:ind w:right="361" w:firstLine="360"/>
      </w:pPr>
      <w:r>
        <w:t>Lewis (1986) says, correctly, that we don’t know about alternative worlds by taking a tour of them. We know about them by considering materials that are available to us here and “employing a principle of recombination”—by, basically, applying modal principles that we already know to hold and then seeing if those principles square with the proposition whose modal status we wish to know (e.g,. there might be square circles in other worlds). But in that case, the worlds answer to us, not us to them. Our modal knowledge is the</w:t>
      </w:r>
      <w:r>
        <w:rPr>
          <w:spacing w:val="40"/>
        </w:rPr>
        <w:t xml:space="preserve"> </w:t>
      </w:r>
      <w:r>
        <w:t xml:space="preserve">tail that wags the dog, the dog being these other worlds; and from the viewpoint of explaining (or validating) our modal knowledge, those extra worlds are useless (though there may be other good reasons for positing </w:t>
      </w:r>
      <w:r>
        <w:rPr>
          <w:spacing w:val="-2"/>
        </w:rPr>
        <w:t>them).</w:t>
      </w:r>
    </w:p>
    <w:p w14:paraId="7E000BEF"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BF0" w14:textId="77777777" w:rsidR="009A58DB" w:rsidRDefault="00000000">
      <w:pPr>
        <w:pStyle w:val="Heading1"/>
        <w:numPr>
          <w:ilvl w:val="1"/>
          <w:numId w:val="191"/>
        </w:numPr>
        <w:tabs>
          <w:tab w:val="left" w:pos="990"/>
        </w:tabs>
        <w:spacing w:before="58"/>
      </w:pPr>
      <w:r>
        <w:lastRenderedPageBreak/>
        <w:t>Other</w:t>
      </w:r>
      <w:r>
        <w:rPr>
          <w:spacing w:val="-5"/>
        </w:rPr>
        <w:t xml:space="preserve"> </w:t>
      </w:r>
      <w:r>
        <w:rPr>
          <w:spacing w:val="-2"/>
        </w:rPr>
        <w:t>problems</w:t>
      </w:r>
    </w:p>
    <w:p w14:paraId="7E000BF1" w14:textId="77777777" w:rsidR="009A58DB" w:rsidRDefault="00000000">
      <w:pPr>
        <w:pStyle w:val="BodyText"/>
        <w:spacing w:before="94" w:line="249" w:lineRule="auto"/>
        <w:ind w:right="359"/>
      </w:pPr>
      <w:r>
        <w:t xml:space="preserve">The class of worlds where 1 + 1 = 2 is identical with the class of worlds </w:t>
      </w:r>
      <w:r>
        <w:rPr>
          <w:i/>
        </w:rPr>
        <w:t xml:space="preserve">triangles have three sides. </w:t>
      </w:r>
      <w:r>
        <w:t xml:space="preserve">But those propositions are obviously distinct, that being why you can think the one without thinking the other. (There’s no intensional fallacy here, since propositions </w:t>
      </w:r>
      <w:r>
        <w:rPr>
          <w:i/>
        </w:rPr>
        <w:t xml:space="preserve">are </w:t>
      </w:r>
      <w:r>
        <w:t>intensions.) In its most primitive form, PWS can’t distinguish analytically equivalent propositions. Some advocates of PWS deal with this by saying the following:</w:t>
      </w:r>
    </w:p>
    <w:p w14:paraId="7E000BF2" w14:textId="77777777" w:rsidR="009A58DB" w:rsidRDefault="00000000">
      <w:pPr>
        <w:pStyle w:val="BodyText"/>
        <w:spacing w:before="112" w:line="249" w:lineRule="auto"/>
        <w:ind w:left="720" w:right="719"/>
      </w:pPr>
      <w:r>
        <w:t>There are two ways of thinking of what functions are. A function can</w:t>
      </w:r>
      <w:r>
        <w:rPr>
          <w:spacing w:val="40"/>
        </w:rPr>
        <w:t xml:space="preserve"> </w:t>
      </w:r>
      <w:r>
        <w:t>be thought of as a set of ordered pairs. So, from that viewpoint, the function F(x) = x + 1 just is the set of pairs: &lt;1, 2&gt;, &lt;2, 3&gt;....And from that</w:t>
      </w:r>
      <w:r>
        <w:rPr>
          <w:spacing w:val="-2"/>
        </w:rPr>
        <w:t xml:space="preserve"> </w:t>
      </w:r>
      <w:r>
        <w:t>viewpoint,</w:t>
      </w:r>
      <w:r>
        <w:rPr>
          <w:spacing w:val="-2"/>
        </w:rPr>
        <w:t xml:space="preserve"> </w:t>
      </w:r>
      <w:r>
        <w:t>F(x)</w:t>
      </w:r>
      <w:r>
        <w:rPr>
          <w:spacing w:val="-2"/>
        </w:rPr>
        <w:t xml:space="preserve"> </w:t>
      </w:r>
      <w:r>
        <w:t>=</w:t>
      </w:r>
      <w:r>
        <w:rPr>
          <w:spacing w:val="-2"/>
        </w:rPr>
        <w:t xml:space="preserve"> </w:t>
      </w:r>
      <w:r>
        <w:t>x</w:t>
      </w:r>
      <w:r>
        <w:rPr>
          <w:spacing w:val="-2"/>
        </w:rPr>
        <w:t xml:space="preserve"> </w:t>
      </w:r>
      <w:r>
        <w:t>+</w:t>
      </w:r>
      <w:r>
        <w:rPr>
          <w:spacing w:val="-2"/>
        </w:rPr>
        <w:t xml:space="preserve"> </w:t>
      </w:r>
      <w:r>
        <w:t>1</w:t>
      </w:r>
      <w:r>
        <w:rPr>
          <w:spacing w:val="-2"/>
        </w:rPr>
        <w:t xml:space="preserve"> </w:t>
      </w:r>
      <w:r>
        <w:t>is</w:t>
      </w:r>
      <w:r>
        <w:rPr>
          <w:spacing w:val="-2"/>
        </w:rPr>
        <w:t xml:space="preserve"> </w:t>
      </w:r>
      <w:r>
        <w:t>identical</w:t>
      </w:r>
      <w:r>
        <w:rPr>
          <w:spacing w:val="-2"/>
        </w:rPr>
        <w:t xml:space="preserve"> </w:t>
      </w:r>
      <w:r>
        <w:t>with</w:t>
      </w:r>
      <w:r>
        <w:rPr>
          <w:spacing w:val="-2"/>
        </w:rPr>
        <w:t xml:space="preserve"> </w:t>
      </w:r>
      <w:r>
        <w:t>the</w:t>
      </w:r>
      <w:r>
        <w:rPr>
          <w:spacing w:val="-2"/>
        </w:rPr>
        <w:t xml:space="preserve"> </w:t>
      </w:r>
      <w:r>
        <w:t>function</w:t>
      </w:r>
      <w:r>
        <w:rPr>
          <w:spacing w:val="-2"/>
        </w:rPr>
        <w:t xml:space="preserve"> </w:t>
      </w:r>
      <w:r>
        <w:t>F(x)</w:t>
      </w:r>
      <w:r>
        <w:rPr>
          <w:spacing w:val="-2"/>
        </w:rPr>
        <w:t xml:space="preserve"> </w:t>
      </w:r>
      <w:r>
        <w:t>=</w:t>
      </w:r>
      <w:r>
        <w:rPr>
          <w:spacing w:val="-2"/>
        </w:rPr>
        <w:t xml:space="preserve"> </w:t>
      </w:r>
      <w:r>
        <w:t>x</w:t>
      </w:r>
      <w:r>
        <w:rPr>
          <w:spacing w:val="-2"/>
        </w:rPr>
        <w:t xml:space="preserve"> </w:t>
      </w:r>
      <w:r>
        <w:t>+</w:t>
      </w:r>
      <w:r>
        <w:rPr>
          <w:spacing w:val="-2"/>
        </w:rPr>
        <w:t xml:space="preserve"> </w:t>
      </w:r>
      <w:r>
        <w:t xml:space="preserve">(90 – 89). This is the </w:t>
      </w:r>
      <w:r>
        <w:rPr>
          <w:i/>
        </w:rPr>
        <w:t xml:space="preserve">extensional </w:t>
      </w:r>
      <w:r>
        <w:t xml:space="preserve">view of functions: functions just </w:t>
      </w:r>
      <w:r>
        <w:rPr>
          <w:i/>
        </w:rPr>
        <w:t xml:space="preserve">are </w:t>
      </w:r>
      <w:r>
        <w:t>the pairs they generate—</w:t>
      </w:r>
      <w:r>
        <w:rPr>
          <w:i/>
        </w:rPr>
        <w:t xml:space="preserve">how </w:t>
      </w:r>
      <w:r>
        <w:t>they generate them is irrelevant. But the extensionalist view of functions isn’t the only one, since there’s also</w:t>
      </w:r>
      <w:r>
        <w:rPr>
          <w:spacing w:val="40"/>
        </w:rPr>
        <w:t xml:space="preserve"> </w:t>
      </w:r>
      <w:r>
        <w:t xml:space="preserve">the </w:t>
      </w:r>
      <w:r>
        <w:rPr>
          <w:i/>
        </w:rPr>
        <w:t xml:space="preserve">intensionalist </w:t>
      </w:r>
      <w:r>
        <w:t xml:space="preserve">view. The intensionalist says that functions are individuated by </w:t>
      </w:r>
      <w:r>
        <w:rPr>
          <w:i/>
        </w:rPr>
        <w:t xml:space="preserve">how </w:t>
      </w:r>
      <w:r>
        <w:t xml:space="preserve">they generate the pairs they generate. So, for the intensionalist, for functions to be identical, it is necessary but not sufficient that they generate the same ordered pairs. To avoid falsely identifying distinct, analytically equivalent propositions, PWS must take an intensionalist view of functions. So propositions are functions, and those functions are individuated by their intensions, not their </w:t>
      </w:r>
      <w:r>
        <w:rPr>
          <w:spacing w:val="-2"/>
        </w:rPr>
        <w:t>extensions.</w:t>
      </w:r>
    </w:p>
    <w:p w14:paraId="7E000BF3" w14:textId="77777777" w:rsidR="009A58DB" w:rsidRDefault="00000000">
      <w:pPr>
        <w:pStyle w:val="BodyText"/>
        <w:spacing w:before="124" w:line="249" w:lineRule="auto"/>
        <w:ind w:right="359"/>
      </w:pPr>
      <w:r>
        <w:t>There</w:t>
      </w:r>
      <w:r>
        <w:rPr>
          <w:spacing w:val="-3"/>
        </w:rPr>
        <w:t xml:space="preserve"> </w:t>
      </w:r>
      <w:r>
        <w:t>are</w:t>
      </w:r>
      <w:r>
        <w:rPr>
          <w:spacing w:val="-3"/>
        </w:rPr>
        <w:t xml:space="preserve"> </w:t>
      </w:r>
      <w:r>
        <w:t>two</w:t>
      </w:r>
      <w:r>
        <w:rPr>
          <w:spacing w:val="-17"/>
        </w:rPr>
        <w:t xml:space="preserve"> </w:t>
      </w:r>
      <w:r>
        <w:t>problems here. First, this view still demands that there be other worlds. If those worlds are propositions, then we’re no further along. If those worlds are concrete, then we’re stuck with some useless metaphysical</w:t>
      </w:r>
      <w:r>
        <w:rPr>
          <w:spacing w:val="40"/>
        </w:rPr>
        <w:t xml:space="preserve"> </w:t>
      </w:r>
      <w:r>
        <w:t>lumber. But leaving those problems aside, the solution just proposed</w:t>
      </w:r>
      <w:r>
        <w:rPr>
          <w:spacing w:val="40"/>
        </w:rPr>
        <w:t xml:space="preserve"> </w:t>
      </w:r>
      <w:r>
        <w:t xml:space="preserve">collapses on itself. Propositions </w:t>
      </w:r>
      <w:r>
        <w:rPr>
          <w:i/>
        </w:rPr>
        <w:t xml:space="preserve">are </w:t>
      </w:r>
      <w:r>
        <w:t xml:space="preserve">intensions (though not all intensions are propositions—e.g., the propositional function </w:t>
      </w:r>
      <w:r>
        <w:rPr>
          <w:i/>
        </w:rPr>
        <w:t xml:space="preserve">x is a human being </w:t>
      </w:r>
      <w:r>
        <w:t>is not a proposition, even though it is an intension). This by itself is a problem for PWS</w:t>
      </w:r>
      <w:r>
        <w:rPr>
          <w:spacing w:val="21"/>
        </w:rPr>
        <w:t xml:space="preserve"> </w:t>
      </w:r>
      <w:r>
        <w:t>since</w:t>
      </w:r>
      <w:r>
        <w:rPr>
          <w:spacing w:val="21"/>
        </w:rPr>
        <w:t xml:space="preserve"> </w:t>
      </w:r>
      <w:r>
        <w:t>much</w:t>
      </w:r>
      <w:r>
        <w:rPr>
          <w:spacing w:val="21"/>
        </w:rPr>
        <w:t xml:space="preserve"> </w:t>
      </w:r>
      <w:r>
        <w:t>of</w:t>
      </w:r>
      <w:r>
        <w:rPr>
          <w:spacing w:val="21"/>
        </w:rPr>
        <w:t xml:space="preserve"> </w:t>
      </w:r>
      <w:r>
        <w:t>its</w:t>
      </w:r>
      <w:r>
        <w:rPr>
          <w:spacing w:val="22"/>
        </w:rPr>
        <w:t xml:space="preserve"> </w:t>
      </w:r>
      <w:r>
        <w:rPr>
          <w:i/>
        </w:rPr>
        <w:t>raison</w:t>
      </w:r>
      <w:r>
        <w:rPr>
          <w:i/>
          <w:spacing w:val="17"/>
        </w:rPr>
        <w:t xml:space="preserve"> </w:t>
      </w:r>
      <w:r>
        <w:rPr>
          <w:i/>
        </w:rPr>
        <w:t>d’être</w:t>
      </w:r>
      <w:r>
        <w:rPr>
          <w:i/>
          <w:spacing w:val="17"/>
        </w:rPr>
        <w:t xml:space="preserve"> </w:t>
      </w:r>
      <w:r>
        <w:t>is</w:t>
      </w:r>
      <w:r>
        <w:rPr>
          <w:spacing w:val="21"/>
        </w:rPr>
        <w:t xml:space="preserve"> </w:t>
      </w:r>
      <w:r>
        <w:t>that</w:t>
      </w:r>
      <w:r>
        <w:rPr>
          <w:spacing w:val="21"/>
        </w:rPr>
        <w:t xml:space="preserve"> </w:t>
      </w:r>
      <w:r>
        <w:t>it</w:t>
      </w:r>
      <w:r>
        <w:rPr>
          <w:spacing w:val="21"/>
        </w:rPr>
        <w:t xml:space="preserve"> </w:t>
      </w:r>
      <w:r>
        <w:t>replaces</w:t>
      </w:r>
      <w:r>
        <w:rPr>
          <w:spacing w:val="21"/>
        </w:rPr>
        <w:t xml:space="preserve"> </w:t>
      </w:r>
      <w:r>
        <w:t>intensions, which for</w:t>
      </w:r>
    </w:p>
    <w:p w14:paraId="7E000BF4" w14:textId="77777777" w:rsidR="009A58DB" w:rsidRDefault="00000000">
      <w:pPr>
        <w:pStyle w:val="BodyText"/>
        <w:spacing w:before="9" w:line="223" w:lineRule="exact"/>
        <w:ind w:right="2447"/>
        <w:jc w:val="right"/>
      </w:pPr>
      <w:bookmarkStart w:id="132" w:name="_bookmark132"/>
      <w:bookmarkEnd w:id="132"/>
      <w:r>
        <w:rPr>
          <w:color w:val="0562C1"/>
          <w:spacing w:val="-4"/>
          <w:u w:val="single" w:color="0562C1"/>
        </w:rPr>
        <w:t>[70]</w:t>
      </w:r>
    </w:p>
    <w:p w14:paraId="7E000BF5" w14:textId="77777777" w:rsidR="009A58DB" w:rsidRDefault="00000000">
      <w:pPr>
        <w:pStyle w:val="BodyText"/>
        <w:tabs>
          <w:tab w:val="left" w:pos="7624"/>
        </w:tabs>
        <w:spacing w:line="333" w:lineRule="exact"/>
        <w:jc w:val="left"/>
      </w:pPr>
      <w:r>
        <w:t>various</w:t>
      </w:r>
      <w:r>
        <w:rPr>
          <w:spacing w:val="4"/>
        </w:rPr>
        <w:t xml:space="preserve"> </w:t>
      </w:r>
      <w:r>
        <w:t>reasons</w:t>
      </w:r>
      <w:r>
        <w:rPr>
          <w:spacing w:val="7"/>
        </w:rPr>
        <w:t xml:space="preserve"> </w:t>
      </w:r>
      <w:r>
        <w:t>are</w:t>
      </w:r>
      <w:r>
        <w:rPr>
          <w:spacing w:val="7"/>
        </w:rPr>
        <w:t xml:space="preserve"> </w:t>
      </w:r>
      <w:r>
        <w:t>seen</w:t>
      </w:r>
      <w:r>
        <w:rPr>
          <w:spacing w:val="7"/>
        </w:rPr>
        <w:t xml:space="preserve"> </w:t>
      </w:r>
      <w:r>
        <w:t>as</w:t>
      </w:r>
      <w:r>
        <w:rPr>
          <w:spacing w:val="6"/>
        </w:rPr>
        <w:t xml:space="preserve"> </w:t>
      </w:r>
      <w:r>
        <w:t>inimical</w:t>
      </w:r>
      <w:r>
        <w:rPr>
          <w:spacing w:val="7"/>
        </w:rPr>
        <w:t xml:space="preserve"> </w:t>
      </w:r>
      <w:r>
        <w:t>to</w:t>
      </w:r>
      <w:r>
        <w:rPr>
          <w:spacing w:val="7"/>
        </w:rPr>
        <w:t xml:space="preserve"> </w:t>
      </w:r>
      <w:r>
        <w:t>scientific</w:t>
      </w:r>
      <w:r>
        <w:rPr>
          <w:spacing w:val="7"/>
        </w:rPr>
        <w:t xml:space="preserve"> </w:t>
      </w:r>
      <w:r>
        <w:rPr>
          <w:spacing w:val="-2"/>
        </w:rPr>
        <w:t>thought</w:t>
      </w:r>
      <w:r>
        <w:tab/>
        <w:t>,</w:t>
      </w:r>
      <w:r>
        <w:rPr>
          <w:spacing w:val="22"/>
        </w:rPr>
        <w:t xml:space="preserve"> </w:t>
      </w:r>
      <w:r>
        <w:t>with</w:t>
      </w:r>
      <w:r>
        <w:rPr>
          <w:spacing w:val="24"/>
        </w:rPr>
        <w:t xml:space="preserve"> </w:t>
      </w:r>
      <w:r>
        <w:rPr>
          <w:spacing w:val="-2"/>
        </w:rPr>
        <w:t>extensions,</w:t>
      </w:r>
    </w:p>
    <w:p w14:paraId="7E000BF6" w14:textId="77777777" w:rsidR="009A58DB" w:rsidRDefault="00000000">
      <w:pPr>
        <w:pStyle w:val="BodyText"/>
        <w:spacing w:before="15" w:line="249" w:lineRule="auto"/>
        <w:jc w:val="left"/>
      </w:pPr>
      <w:r>
        <w:rPr>
          <w:spacing w:val="-6"/>
        </w:rPr>
        <w:t>which</w:t>
      </w:r>
      <w:r>
        <w:rPr>
          <w:spacing w:val="-7"/>
        </w:rPr>
        <w:t xml:space="preserve"> </w:t>
      </w:r>
      <w:r>
        <w:rPr>
          <w:spacing w:val="-6"/>
        </w:rPr>
        <w:t>are</w:t>
      </w:r>
      <w:r>
        <w:rPr>
          <w:spacing w:val="-7"/>
        </w:rPr>
        <w:t xml:space="preserve"> </w:t>
      </w:r>
      <w:r>
        <w:rPr>
          <w:spacing w:val="-6"/>
        </w:rPr>
        <w:t>seen</w:t>
      </w:r>
      <w:r>
        <w:rPr>
          <w:spacing w:val="-7"/>
        </w:rPr>
        <w:t xml:space="preserve"> </w:t>
      </w:r>
      <w:r>
        <w:rPr>
          <w:spacing w:val="-6"/>
        </w:rPr>
        <w:t>as</w:t>
      </w:r>
      <w:r>
        <w:rPr>
          <w:spacing w:val="-7"/>
        </w:rPr>
        <w:t xml:space="preserve"> </w:t>
      </w:r>
      <w:r>
        <w:rPr>
          <w:spacing w:val="-6"/>
        </w:rPr>
        <w:t>methodologically</w:t>
      </w:r>
      <w:r>
        <w:rPr>
          <w:spacing w:val="-7"/>
        </w:rPr>
        <w:t xml:space="preserve"> </w:t>
      </w:r>
      <w:r>
        <w:rPr>
          <w:spacing w:val="-6"/>
        </w:rPr>
        <w:t>unimpeachable.</w:t>
      </w:r>
      <w:r>
        <w:rPr>
          <w:spacing w:val="-7"/>
        </w:rPr>
        <w:t xml:space="preserve"> </w:t>
      </w:r>
      <w:r>
        <w:rPr>
          <w:spacing w:val="-6"/>
        </w:rPr>
        <w:t>So</w:t>
      </w:r>
      <w:r>
        <w:rPr>
          <w:spacing w:val="-7"/>
        </w:rPr>
        <w:t xml:space="preserve"> </w:t>
      </w:r>
      <w:r>
        <w:rPr>
          <w:spacing w:val="-6"/>
        </w:rPr>
        <w:t>in</w:t>
      </w:r>
      <w:r>
        <w:rPr>
          <w:spacing w:val="-7"/>
        </w:rPr>
        <w:t xml:space="preserve"> </w:t>
      </w:r>
      <w:r>
        <w:rPr>
          <w:spacing w:val="-6"/>
        </w:rPr>
        <w:t>taking</w:t>
      </w:r>
      <w:r>
        <w:rPr>
          <w:spacing w:val="-7"/>
        </w:rPr>
        <w:t xml:space="preserve"> </w:t>
      </w:r>
      <w:r>
        <w:rPr>
          <w:spacing w:val="-6"/>
        </w:rPr>
        <w:t>an</w:t>
      </w:r>
      <w:r>
        <w:rPr>
          <w:spacing w:val="-7"/>
        </w:rPr>
        <w:t xml:space="preserve"> </w:t>
      </w:r>
      <w:r>
        <w:rPr>
          <w:spacing w:val="-6"/>
        </w:rPr>
        <w:t xml:space="preserve">intensionalist </w:t>
      </w:r>
      <w:r>
        <w:t>view of</w:t>
      </w:r>
    </w:p>
    <w:p w14:paraId="7E000BF7"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BF8" w14:textId="77777777" w:rsidR="009A58DB" w:rsidRDefault="00000000">
      <w:pPr>
        <w:pStyle w:val="BodyText"/>
        <w:spacing w:before="65" w:line="249" w:lineRule="auto"/>
        <w:ind w:right="359"/>
      </w:pPr>
      <w:r>
        <w:lastRenderedPageBreak/>
        <w:t xml:space="preserve">functions, PWS is undermining itself. For, in taking such a view, PWS is letting properties back in—properties are no longer to be identified with sets of their instances. But, by parity of reasoning, propositions needn’t be identified with sets of </w:t>
      </w:r>
      <w:r>
        <w:rPr>
          <w:i/>
        </w:rPr>
        <w:t xml:space="preserve">their </w:t>
      </w:r>
      <w:r>
        <w:t>instances (i.e., with sets of worlds where they hold). So PWS cannot, without arbitrariness, take an intensionalist view of functions; but it cannot, without failing to distinguish between obviously distinct propositions, take an extensionalist view of them either.</w:t>
      </w:r>
    </w:p>
    <w:p w14:paraId="7E000BF9" w14:textId="77777777" w:rsidR="009A58DB" w:rsidRDefault="00000000">
      <w:pPr>
        <w:pStyle w:val="Heading3"/>
        <w:numPr>
          <w:ilvl w:val="2"/>
          <w:numId w:val="191"/>
        </w:numPr>
        <w:tabs>
          <w:tab w:val="left" w:pos="1136"/>
        </w:tabs>
        <w:ind w:hanging="776"/>
        <w:jc w:val="both"/>
      </w:pPr>
      <w:r>
        <w:t>A</w:t>
      </w:r>
      <w:r>
        <w:rPr>
          <w:spacing w:val="4"/>
        </w:rPr>
        <w:t xml:space="preserve"> </w:t>
      </w:r>
      <w:r>
        <w:t>similar</w:t>
      </w:r>
      <w:r>
        <w:rPr>
          <w:spacing w:val="5"/>
        </w:rPr>
        <w:t xml:space="preserve"> </w:t>
      </w:r>
      <w:r>
        <w:rPr>
          <w:spacing w:val="-2"/>
        </w:rPr>
        <w:t>problem</w:t>
      </w:r>
    </w:p>
    <w:p w14:paraId="7E000BFA" w14:textId="77777777" w:rsidR="009A58DB" w:rsidRDefault="00000000">
      <w:pPr>
        <w:pStyle w:val="BodyText"/>
        <w:spacing w:before="111" w:line="249" w:lineRule="auto"/>
        <w:ind w:right="361"/>
      </w:pPr>
      <w:r>
        <w:t xml:space="preserve">Consider the proposition </w:t>
      </w:r>
      <w:r>
        <w:rPr>
          <w:i/>
        </w:rPr>
        <w:t xml:space="preserve">grass is green. </w:t>
      </w:r>
      <w:r>
        <w:t xml:space="preserve">As we know, PWS identifies that proposition with a function (that assigns truth to worlds where grass is green) or with a set of worlds (containing all and only those worlds where grass is green). If it isn’t thought of as a set of ordered pairs, that function must be thought of as a </w:t>
      </w:r>
      <w:r>
        <w:rPr>
          <w:i/>
        </w:rPr>
        <w:t xml:space="preserve">rule </w:t>
      </w:r>
      <w:r>
        <w:t>of some kind. What kind of rule? One that assigns truth</w:t>
      </w:r>
      <w:r>
        <w:rPr>
          <w:spacing w:val="40"/>
        </w:rPr>
        <w:t xml:space="preserve"> </w:t>
      </w:r>
      <w:r>
        <w:t xml:space="preserve">to certain worlds on the basis of their satisfying some condition. What condition is that? The condition that, in those worlds, grass is green. So the function in question, understood intensionally, must be understood </w:t>
      </w:r>
      <w:r>
        <w:rPr>
          <w:i/>
        </w:rPr>
        <w:t>in terms</w:t>
      </w:r>
      <w:r>
        <w:rPr>
          <w:i/>
          <w:spacing w:val="40"/>
        </w:rPr>
        <w:t xml:space="preserve"> </w:t>
      </w:r>
      <w:r>
        <w:rPr>
          <w:i/>
        </w:rPr>
        <w:t xml:space="preserve">of the very proposition in question. </w:t>
      </w:r>
      <w:r>
        <w:t xml:space="preserve">So unless the advocate of PWS wants to falsely identify 1 + 1 = 2 with </w:t>
      </w:r>
      <w:r>
        <w:rPr>
          <w:i/>
        </w:rPr>
        <w:t xml:space="preserve">triangles have three sides, </w:t>
      </w:r>
      <w:r>
        <w:t>he must take an intensionalist view of functions, which means that he must circularly understand the functions with which he aspires to identify propositions with the very propositions with which he aspires to identify them.</w:t>
      </w:r>
    </w:p>
    <w:p w14:paraId="7E000BFB" w14:textId="77777777" w:rsidR="009A58DB" w:rsidRDefault="00000000">
      <w:pPr>
        <w:pStyle w:val="Heading1"/>
        <w:spacing w:before="219"/>
        <w:ind w:left="360" w:firstLine="0"/>
        <w:jc w:val="both"/>
      </w:pPr>
      <w:r>
        <w:t xml:space="preserve">7.0 </w:t>
      </w:r>
      <w:r>
        <w:rPr>
          <w:spacing w:val="-2"/>
        </w:rPr>
        <w:t>Conclusion</w:t>
      </w:r>
    </w:p>
    <w:p w14:paraId="7E000BFC" w14:textId="77777777" w:rsidR="009A58DB" w:rsidRDefault="00000000">
      <w:pPr>
        <w:pStyle w:val="BodyText"/>
        <w:spacing w:before="139" w:line="249" w:lineRule="auto"/>
        <w:ind w:right="361"/>
      </w:pPr>
      <w:r>
        <w:t>Frege (1918) made it clear that propositions are the</w:t>
      </w:r>
      <w:r>
        <w:rPr>
          <w:spacing w:val="-19"/>
        </w:rPr>
        <w:t xml:space="preserve"> </w:t>
      </w:r>
      <w:r>
        <w:rPr>
          <w:i/>
        </w:rPr>
        <w:t>contents</w:t>
      </w:r>
      <w:r>
        <w:rPr>
          <w:i/>
          <w:spacing w:val="-19"/>
        </w:rPr>
        <w:t xml:space="preserve"> </w:t>
      </w:r>
      <w:r>
        <w:t>of psychological entities and are not themselves psychological entities. Since Frege, many attempts have been made to say what propositions are. Those attempts have either</w:t>
      </w:r>
      <w:r>
        <w:rPr>
          <w:spacing w:val="-10"/>
        </w:rPr>
        <w:t xml:space="preserve"> </w:t>
      </w:r>
      <w:r>
        <w:t>been</w:t>
      </w:r>
      <w:r>
        <w:rPr>
          <w:spacing w:val="-10"/>
        </w:rPr>
        <w:t xml:space="preserve"> </w:t>
      </w:r>
      <w:r>
        <w:t>programmatic</w:t>
      </w:r>
      <w:r>
        <w:rPr>
          <w:spacing w:val="-10"/>
        </w:rPr>
        <w:t xml:space="preserve"> </w:t>
      </w:r>
      <w:r>
        <w:t>to</w:t>
      </w:r>
      <w:r>
        <w:rPr>
          <w:spacing w:val="-10"/>
        </w:rPr>
        <w:t xml:space="preserve"> </w:t>
      </w:r>
      <w:r>
        <w:t>the</w:t>
      </w:r>
      <w:r>
        <w:rPr>
          <w:spacing w:val="-10"/>
        </w:rPr>
        <w:t xml:space="preserve"> </w:t>
      </w:r>
      <w:r>
        <w:t>point</w:t>
      </w:r>
      <w:r>
        <w:rPr>
          <w:spacing w:val="-10"/>
        </w:rPr>
        <w:t xml:space="preserve"> </w:t>
      </w:r>
      <w:r>
        <w:t>of</w:t>
      </w:r>
      <w:r>
        <w:rPr>
          <w:spacing w:val="-10"/>
        </w:rPr>
        <w:t xml:space="preserve"> </w:t>
      </w:r>
      <w:r>
        <w:t>near-emptiness</w:t>
      </w:r>
      <w:r>
        <w:rPr>
          <w:spacing w:val="-10"/>
        </w:rPr>
        <w:t xml:space="preserve"> </w:t>
      </w:r>
      <w:r>
        <w:t>or</w:t>
      </w:r>
      <w:r>
        <w:rPr>
          <w:spacing w:val="-10"/>
        </w:rPr>
        <w:t xml:space="preserve"> </w:t>
      </w:r>
      <w:r>
        <w:t>demonstrably</w:t>
      </w:r>
      <w:r>
        <w:rPr>
          <w:spacing w:val="-10"/>
        </w:rPr>
        <w:t xml:space="preserve"> </w:t>
      </w:r>
      <w:r>
        <w:t>false or both.</w:t>
      </w:r>
    </w:p>
    <w:p w14:paraId="7E000BFD" w14:textId="77777777" w:rsidR="009A58DB" w:rsidRDefault="00000000">
      <w:pPr>
        <w:pStyle w:val="BodyText"/>
        <w:spacing w:before="6" w:line="249" w:lineRule="auto"/>
        <w:ind w:right="355" w:firstLine="360"/>
      </w:pPr>
      <w:r>
        <w:t>But it is possible to identify structures that model the properties that we know,</w:t>
      </w:r>
      <w:r>
        <w:rPr>
          <w:spacing w:val="-3"/>
        </w:rPr>
        <w:t xml:space="preserve"> </w:t>
      </w:r>
      <w:r>
        <w:t>on</w:t>
      </w:r>
      <w:r>
        <w:rPr>
          <w:spacing w:val="-3"/>
        </w:rPr>
        <w:t xml:space="preserve"> </w:t>
      </w:r>
      <w:r>
        <w:t>both</w:t>
      </w:r>
      <w:r>
        <w:rPr>
          <w:spacing w:val="-3"/>
        </w:rPr>
        <w:t xml:space="preserve"> </w:t>
      </w:r>
      <w:r>
        <w:t>theoretical</w:t>
      </w:r>
      <w:r>
        <w:rPr>
          <w:spacing w:val="-3"/>
        </w:rPr>
        <w:t xml:space="preserve"> </w:t>
      </w:r>
      <w:r>
        <w:t>and</w:t>
      </w:r>
      <w:r>
        <w:rPr>
          <w:spacing w:val="-3"/>
        </w:rPr>
        <w:t xml:space="preserve"> </w:t>
      </w:r>
      <w:r>
        <w:t>commonsensical</w:t>
      </w:r>
      <w:r>
        <w:rPr>
          <w:spacing w:val="-3"/>
        </w:rPr>
        <w:t xml:space="preserve"> </w:t>
      </w:r>
      <w:r>
        <w:t>grounds,</w:t>
      </w:r>
      <w:r>
        <w:rPr>
          <w:spacing w:val="-3"/>
        </w:rPr>
        <w:t xml:space="preserve"> </w:t>
      </w:r>
      <w:r>
        <w:t>propositions</w:t>
      </w:r>
      <w:r>
        <w:rPr>
          <w:spacing w:val="-3"/>
        </w:rPr>
        <w:t xml:space="preserve"> </w:t>
      </w:r>
      <w:r>
        <w:t>to</w:t>
      </w:r>
      <w:r>
        <w:rPr>
          <w:spacing w:val="-3"/>
        </w:rPr>
        <w:t xml:space="preserve"> </w:t>
      </w:r>
      <w:r>
        <w:t xml:space="preserve">have. </w:t>
      </w:r>
      <w:r>
        <w:rPr>
          <w:spacing w:val="-2"/>
        </w:rPr>
        <w:t>Given</w:t>
      </w:r>
      <w:r>
        <w:rPr>
          <w:spacing w:val="-16"/>
        </w:rPr>
        <w:t xml:space="preserve"> </w:t>
      </w:r>
      <w:r>
        <w:rPr>
          <w:spacing w:val="-2"/>
        </w:rPr>
        <w:t>any</w:t>
      </w:r>
      <w:r>
        <w:rPr>
          <w:spacing w:val="-16"/>
        </w:rPr>
        <w:t xml:space="preserve"> </w:t>
      </w:r>
      <w:r>
        <w:rPr>
          <w:spacing w:val="-2"/>
        </w:rPr>
        <w:t>proposition</w:t>
      </w:r>
      <w:r>
        <w:rPr>
          <w:spacing w:val="-16"/>
        </w:rPr>
        <w:t xml:space="preserve"> </w:t>
      </w:r>
      <w:r>
        <w:rPr>
          <w:spacing w:val="-2"/>
        </w:rPr>
        <w:t>P,</w:t>
      </w:r>
      <w:r>
        <w:rPr>
          <w:spacing w:val="-16"/>
        </w:rPr>
        <w:t xml:space="preserve"> </w:t>
      </w:r>
      <w:r>
        <w:rPr>
          <w:spacing w:val="-2"/>
        </w:rPr>
        <w:t>it</w:t>
      </w:r>
      <w:r>
        <w:rPr>
          <w:spacing w:val="-16"/>
        </w:rPr>
        <w:t xml:space="preserve"> </w:t>
      </w:r>
      <w:r>
        <w:rPr>
          <w:spacing w:val="-2"/>
        </w:rPr>
        <w:t>is</w:t>
      </w:r>
      <w:r>
        <w:rPr>
          <w:spacing w:val="-16"/>
        </w:rPr>
        <w:t xml:space="preserve"> </w:t>
      </w:r>
      <w:r>
        <w:rPr>
          <w:spacing w:val="-2"/>
        </w:rPr>
        <w:t>clear</w:t>
      </w:r>
      <w:r>
        <w:rPr>
          <w:spacing w:val="-16"/>
        </w:rPr>
        <w:t xml:space="preserve"> </w:t>
      </w:r>
      <w:r>
        <w:rPr>
          <w:spacing w:val="-2"/>
        </w:rPr>
        <w:t>that</w:t>
      </w:r>
      <w:r>
        <w:rPr>
          <w:spacing w:val="-16"/>
        </w:rPr>
        <w:t xml:space="preserve"> </w:t>
      </w:r>
      <w:r>
        <w:rPr>
          <w:spacing w:val="-2"/>
        </w:rPr>
        <w:t>there</w:t>
      </w:r>
      <w:r>
        <w:rPr>
          <w:spacing w:val="-16"/>
        </w:rPr>
        <w:t xml:space="preserve"> </w:t>
      </w:r>
      <w:r>
        <w:rPr>
          <w:spacing w:val="-2"/>
        </w:rPr>
        <w:t>is</w:t>
      </w:r>
      <w:r>
        <w:rPr>
          <w:spacing w:val="-16"/>
        </w:rPr>
        <w:t xml:space="preserve"> </w:t>
      </w:r>
      <w:r>
        <w:rPr>
          <w:spacing w:val="-2"/>
        </w:rPr>
        <w:t>some</w:t>
      </w:r>
      <w:r>
        <w:rPr>
          <w:spacing w:val="-16"/>
        </w:rPr>
        <w:t xml:space="preserve"> </w:t>
      </w:r>
      <w:r>
        <w:rPr>
          <w:spacing w:val="-2"/>
        </w:rPr>
        <w:t>set</w:t>
      </w:r>
      <w:r>
        <w:rPr>
          <w:spacing w:val="-16"/>
        </w:rPr>
        <w:t xml:space="preserve"> </w:t>
      </w:r>
      <w:r>
        <w:rPr>
          <w:spacing w:val="-2"/>
        </w:rPr>
        <w:t>of</w:t>
      </w:r>
      <w:r>
        <w:rPr>
          <w:spacing w:val="-16"/>
        </w:rPr>
        <w:t xml:space="preserve"> </w:t>
      </w:r>
      <w:r>
        <w:rPr>
          <w:spacing w:val="-2"/>
        </w:rPr>
        <w:t>properties</w:t>
      </w:r>
      <w:r>
        <w:rPr>
          <w:spacing w:val="-16"/>
        </w:rPr>
        <w:t xml:space="preserve"> </w:t>
      </w:r>
      <w:r>
        <w:rPr>
          <w:spacing w:val="-2"/>
        </w:rPr>
        <w:t>p</w:t>
      </w:r>
      <w:r>
        <w:rPr>
          <w:spacing w:val="-2"/>
          <w:vertAlign w:val="subscript"/>
        </w:rPr>
        <w:t>1</w:t>
      </w:r>
      <w:r>
        <w:rPr>
          <w:spacing w:val="-2"/>
        </w:rPr>
        <w:t>...p</w:t>
      </w:r>
      <w:r>
        <w:rPr>
          <w:spacing w:val="-2"/>
          <w:position w:val="-7"/>
          <w:sz w:val="22"/>
        </w:rPr>
        <w:t>n</w:t>
      </w:r>
      <w:r>
        <w:rPr>
          <w:spacing w:val="7"/>
          <w:position w:val="-7"/>
          <w:sz w:val="22"/>
        </w:rPr>
        <w:t xml:space="preserve"> </w:t>
      </w:r>
      <w:r>
        <w:rPr>
          <w:spacing w:val="-2"/>
        </w:rPr>
        <w:t xml:space="preserve">that </w:t>
      </w:r>
      <w:r>
        <w:t>will</w:t>
      </w:r>
      <w:r>
        <w:rPr>
          <w:spacing w:val="-5"/>
        </w:rPr>
        <w:t xml:space="preserve"> </w:t>
      </w:r>
      <w:r>
        <w:t>be</w:t>
      </w:r>
      <w:r>
        <w:rPr>
          <w:spacing w:val="-5"/>
        </w:rPr>
        <w:t xml:space="preserve"> </w:t>
      </w:r>
      <w:r>
        <w:t>instantiated</w:t>
      </w:r>
      <w:r>
        <w:rPr>
          <w:spacing w:val="-5"/>
        </w:rPr>
        <w:t xml:space="preserve"> </w:t>
      </w:r>
      <w:r>
        <w:t>just</w:t>
      </w:r>
      <w:r>
        <w:rPr>
          <w:spacing w:val="-5"/>
        </w:rPr>
        <w:t xml:space="preserve"> </w:t>
      </w:r>
      <w:r>
        <w:t>in</w:t>
      </w:r>
      <w:r>
        <w:rPr>
          <w:spacing w:val="-5"/>
        </w:rPr>
        <w:t xml:space="preserve"> </w:t>
      </w:r>
      <w:r>
        <w:t>case</w:t>
      </w:r>
      <w:r>
        <w:rPr>
          <w:spacing w:val="-5"/>
        </w:rPr>
        <w:t xml:space="preserve"> </w:t>
      </w:r>
      <w:r>
        <w:t>P</w:t>
      </w:r>
      <w:r>
        <w:rPr>
          <w:spacing w:val="-14"/>
        </w:rPr>
        <w:t xml:space="preserve"> </w:t>
      </w:r>
      <w:r>
        <w:t>is</w:t>
      </w:r>
      <w:r>
        <w:rPr>
          <w:spacing w:val="-5"/>
        </w:rPr>
        <w:t xml:space="preserve"> </w:t>
      </w:r>
      <w:r>
        <w:t>true.</w:t>
      </w:r>
      <w:r>
        <w:rPr>
          <w:spacing w:val="-5"/>
        </w:rPr>
        <w:t xml:space="preserve"> </w:t>
      </w:r>
      <w:r>
        <w:t>Supposing</w:t>
      </w:r>
      <w:r>
        <w:rPr>
          <w:spacing w:val="-5"/>
        </w:rPr>
        <w:t xml:space="preserve"> </w:t>
      </w:r>
      <w:r>
        <w:t>that</w:t>
      </w:r>
      <w:r>
        <w:rPr>
          <w:spacing w:val="-4"/>
        </w:rPr>
        <w:t xml:space="preserve"> </w:t>
      </w:r>
      <w:r>
        <w:t>S</w:t>
      </w:r>
      <w:r>
        <w:rPr>
          <w:spacing w:val="-5"/>
        </w:rPr>
        <w:t xml:space="preserve"> </w:t>
      </w:r>
      <w:r>
        <w:t>is</w:t>
      </w:r>
      <w:r>
        <w:rPr>
          <w:spacing w:val="-4"/>
        </w:rPr>
        <w:t xml:space="preserve"> </w:t>
      </w:r>
      <w:r>
        <w:t>the</w:t>
      </w:r>
      <w:r>
        <w:rPr>
          <w:spacing w:val="-4"/>
        </w:rPr>
        <w:t xml:space="preserve"> </w:t>
      </w:r>
      <w:r>
        <w:t>set</w:t>
      </w:r>
      <w:r>
        <w:rPr>
          <w:spacing w:val="-4"/>
        </w:rPr>
        <w:t xml:space="preserve"> </w:t>
      </w:r>
      <w:r>
        <w:t xml:space="preserve">containing </w:t>
      </w:r>
      <w:r>
        <w:rPr>
          <w:spacing w:val="-2"/>
        </w:rPr>
        <w:t>those</w:t>
      </w:r>
      <w:r>
        <w:rPr>
          <w:spacing w:val="-16"/>
        </w:rPr>
        <w:t xml:space="preserve"> </w:t>
      </w:r>
      <w:r>
        <w:rPr>
          <w:spacing w:val="-2"/>
        </w:rPr>
        <w:t>properties,</w:t>
      </w:r>
      <w:r>
        <w:rPr>
          <w:spacing w:val="-12"/>
        </w:rPr>
        <w:t xml:space="preserve"> </w:t>
      </w:r>
      <w:r>
        <w:rPr>
          <w:spacing w:val="-2"/>
        </w:rPr>
        <w:t>this</w:t>
      </w:r>
      <w:r>
        <w:rPr>
          <w:spacing w:val="-11"/>
        </w:rPr>
        <w:t xml:space="preserve"> </w:t>
      </w:r>
      <w:r>
        <w:rPr>
          <w:spacing w:val="-2"/>
        </w:rPr>
        <w:t>suggests</w:t>
      </w:r>
      <w:r>
        <w:rPr>
          <w:spacing w:val="-11"/>
        </w:rPr>
        <w:t xml:space="preserve"> </w:t>
      </w:r>
      <w:r>
        <w:rPr>
          <w:spacing w:val="-2"/>
        </w:rPr>
        <w:t>that</w:t>
      </w:r>
      <w:r>
        <w:rPr>
          <w:spacing w:val="-12"/>
        </w:rPr>
        <w:t xml:space="preserve"> </w:t>
      </w:r>
      <w:r>
        <w:rPr>
          <w:spacing w:val="-2"/>
        </w:rPr>
        <w:t>S</w:t>
      </w:r>
      <w:r>
        <w:rPr>
          <w:spacing w:val="-17"/>
        </w:rPr>
        <w:t xml:space="preserve"> </w:t>
      </w:r>
      <w:r>
        <w:rPr>
          <w:i/>
          <w:spacing w:val="-2"/>
        </w:rPr>
        <w:t>is</w:t>
      </w:r>
      <w:r>
        <w:rPr>
          <w:i/>
          <w:spacing w:val="-16"/>
        </w:rPr>
        <w:t xml:space="preserve"> </w:t>
      </w:r>
      <w:r>
        <w:rPr>
          <w:spacing w:val="-2"/>
        </w:rPr>
        <w:t>P</w:t>
      </w:r>
      <w:r>
        <w:rPr>
          <w:spacing w:val="-17"/>
        </w:rPr>
        <w:t xml:space="preserve"> </w:t>
      </w:r>
      <w:r>
        <w:rPr>
          <w:spacing w:val="-2"/>
        </w:rPr>
        <w:t>and</w:t>
      </w:r>
      <w:r>
        <w:rPr>
          <w:spacing w:val="-12"/>
        </w:rPr>
        <w:t xml:space="preserve"> </w:t>
      </w:r>
      <w:r>
        <w:rPr>
          <w:spacing w:val="-2"/>
        </w:rPr>
        <w:t>that</w:t>
      </w:r>
      <w:r>
        <w:rPr>
          <w:spacing w:val="-12"/>
        </w:rPr>
        <w:t xml:space="preserve"> </w:t>
      </w:r>
      <w:r>
        <w:rPr>
          <w:spacing w:val="-2"/>
        </w:rPr>
        <w:t>P’s</w:t>
      </w:r>
      <w:r>
        <w:rPr>
          <w:spacing w:val="-11"/>
        </w:rPr>
        <w:t xml:space="preserve"> </w:t>
      </w:r>
      <w:r>
        <w:rPr>
          <w:spacing w:val="-2"/>
        </w:rPr>
        <w:t>being</w:t>
      </w:r>
      <w:r>
        <w:rPr>
          <w:spacing w:val="-11"/>
        </w:rPr>
        <w:t xml:space="preserve"> </w:t>
      </w:r>
      <w:r>
        <w:rPr>
          <w:spacing w:val="-2"/>
        </w:rPr>
        <w:t>true</w:t>
      </w:r>
      <w:r>
        <w:rPr>
          <w:spacing w:val="-16"/>
        </w:rPr>
        <w:t xml:space="preserve"> </w:t>
      </w:r>
      <w:r>
        <w:rPr>
          <w:i/>
          <w:spacing w:val="-2"/>
        </w:rPr>
        <w:t>is</w:t>
      </w:r>
      <w:r>
        <w:rPr>
          <w:i/>
          <w:spacing w:val="-16"/>
        </w:rPr>
        <w:t xml:space="preserve"> </w:t>
      </w:r>
      <w:r>
        <w:rPr>
          <w:spacing w:val="-2"/>
        </w:rPr>
        <w:t>S’s</w:t>
      </w:r>
      <w:r>
        <w:rPr>
          <w:spacing w:val="-3"/>
        </w:rPr>
        <w:t xml:space="preserve"> </w:t>
      </w:r>
      <w:r>
        <w:rPr>
          <w:spacing w:val="-2"/>
        </w:rPr>
        <w:t>members’</w:t>
      </w:r>
    </w:p>
    <w:p w14:paraId="7E000BF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BFF" w14:textId="77777777" w:rsidR="009A58DB" w:rsidRDefault="00000000">
      <w:pPr>
        <w:pStyle w:val="BodyText"/>
        <w:spacing w:before="70"/>
      </w:pPr>
      <w:r>
        <w:rPr>
          <w:spacing w:val="-2"/>
        </w:rPr>
        <w:lastRenderedPageBreak/>
        <w:t>being</w:t>
      </w:r>
      <w:r>
        <w:rPr>
          <w:spacing w:val="-18"/>
        </w:rPr>
        <w:t xml:space="preserve"> </w:t>
      </w:r>
      <w:r>
        <w:rPr>
          <w:spacing w:val="-2"/>
        </w:rPr>
        <w:t>instantiated.</w:t>
      </w:r>
    </w:p>
    <w:p w14:paraId="7E000C00" w14:textId="77777777" w:rsidR="009A58DB" w:rsidRDefault="00000000">
      <w:pPr>
        <w:pStyle w:val="BodyText"/>
        <w:spacing w:before="10" w:line="249" w:lineRule="auto"/>
        <w:ind w:right="361" w:firstLine="360"/>
      </w:pPr>
      <w:r>
        <w:t>We found that, taking this approach, we could give non-metaphorical meanings to terms that, though liberally used, have thus far been used in a purely metaphorical way—terms like “constituent” and “synthesize.” A “constituent” of a proposition, we found reason to believe, is a</w:t>
      </w:r>
      <w:r>
        <w:rPr>
          <w:spacing w:val="-19"/>
        </w:rPr>
        <w:t xml:space="preserve"> </w:t>
      </w:r>
      <w:r>
        <w:rPr>
          <w:i/>
        </w:rPr>
        <w:t>member</w:t>
      </w:r>
      <w:r>
        <w:rPr>
          <w:i/>
          <w:spacing w:val="-19"/>
        </w:rPr>
        <w:t xml:space="preserve"> </w:t>
      </w:r>
      <w:r>
        <w:t>of the set (or, more accurately, of</w:t>
      </w:r>
      <w:r>
        <w:rPr>
          <w:spacing w:val="-17"/>
        </w:rPr>
        <w:t xml:space="preserve"> </w:t>
      </w:r>
      <w:r>
        <w:rPr>
          <w:i/>
          <w:spacing w:val="15"/>
        </w:rPr>
        <w:t>some</w:t>
      </w:r>
      <w:r>
        <w:rPr>
          <w:i/>
          <w:spacing w:val="-16"/>
        </w:rPr>
        <w:t xml:space="preserve"> </w:t>
      </w:r>
      <w:r>
        <w:t>set, since there are many of the kind in question)</w:t>
      </w:r>
      <w:r>
        <w:rPr>
          <w:spacing w:val="-12"/>
        </w:rPr>
        <w:t xml:space="preserve"> </w:t>
      </w:r>
      <w:r>
        <w:t>of</w:t>
      </w:r>
      <w:r>
        <w:rPr>
          <w:spacing w:val="-12"/>
        </w:rPr>
        <w:t xml:space="preserve"> </w:t>
      </w:r>
      <w:r>
        <w:t>properties</w:t>
      </w:r>
      <w:r>
        <w:rPr>
          <w:spacing w:val="-12"/>
        </w:rPr>
        <w:t xml:space="preserve"> </w:t>
      </w:r>
      <w:r>
        <w:t>whose</w:t>
      </w:r>
      <w:r>
        <w:rPr>
          <w:spacing w:val="-12"/>
        </w:rPr>
        <w:t xml:space="preserve"> </w:t>
      </w:r>
      <w:r>
        <w:t>joint-instantiatedness</w:t>
      </w:r>
      <w:r>
        <w:rPr>
          <w:spacing w:val="-12"/>
        </w:rPr>
        <w:t xml:space="preserve"> </w:t>
      </w:r>
      <w:r>
        <w:t>is</w:t>
      </w:r>
      <w:r>
        <w:rPr>
          <w:spacing w:val="-12"/>
        </w:rPr>
        <w:t xml:space="preserve"> </w:t>
      </w:r>
      <w:r>
        <w:t>necessary</w:t>
      </w:r>
      <w:r>
        <w:rPr>
          <w:spacing w:val="-12"/>
        </w:rPr>
        <w:t xml:space="preserve"> </w:t>
      </w:r>
      <w:r>
        <w:t>and</w:t>
      </w:r>
      <w:r>
        <w:rPr>
          <w:spacing w:val="-12"/>
        </w:rPr>
        <w:t xml:space="preserve"> </w:t>
      </w:r>
      <w:r>
        <w:t>sufficient for</w:t>
      </w:r>
      <w:r>
        <w:rPr>
          <w:spacing w:val="-9"/>
        </w:rPr>
        <w:t xml:space="preserve"> </w:t>
      </w:r>
      <w:r>
        <w:t>that</w:t>
      </w:r>
      <w:r>
        <w:rPr>
          <w:spacing w:val="-8"/>
        </w:rPr>
        <w:t xml:space="preserve"> </w:t>
      </w:r>
      <w:r>
        <w:t>proposition’s</w:t>
      </w:r>
      <w:r>
        <w:rPr>
          <w:spacing w:val="-8"/>
        </w:rPr>
        <w:t xml:space="preserve"> </w:t>
      </w:r>
      <w:r>
        <w:t>truth.</w:t>
      </w:r>
      <w:r>
        <w:rPr>
          <w:spacing w:val="-19"/>
        </w:rPr>
        <w:t xml:space="preserve"> </w:t>
      </w:r>
      <w:r>
        <w:t>As</w:t>
      </w:r>
      <w:r>
        <w:rPr>
          <w:spacing w:val="-8"/>
        </w:rPr>
        <w:t xml:space="preserve"> </w:t>
      </w:r>
      <w:r>
        <w:t>for</w:t>
      </w:r>
      <w:r>
        <w:rPr>
          <w:spacing w:val="-8"/>
        </w:rPr>
        <w:t xml:space="preserve"> </w:t>
      </w:r>
      <w:r>
        <w:t>the</w:t>
      </w:r>
      <w:r>
        <w:rPr>
          <w:spacing w:val="-8"/>
        </w:rPr>
        <w:t xml:space="preserve"> </w:t>
      </w:r>
      <w:r>
        <w:t>term</w:t>
      </w:r>
      <w:r>
        <w:rPr>
          <w:spacing w:val="-8"/>
        </w:rPr>
        <w:t xml:space="preserve"> </w:t>
      </w:r>
      <w:r>
        <w:t>“synthesize”:</w:t>
      </w:r>
      <w:r>
        <w:rPr>
          <w:spacing w:val="-8"/>
        </w:rPr>
        <w:t xml:space="preserve"> </w:t>
      </w:r>
      <w:r>
        <w:t>since</w:t>
      </w:r>
      <w:r>
        <w:rPr>
          <w:spacing w:val="-8"/>
        </w:rPr>
        <w:t xml:space="preserve"> </w:t>
      </w:r>
      <w:r>
        <w:t>all</w:t>
      </w:r>
      <w:r>
        <w:rPr>
          <w:spacing w:val="-8"/>
        </w:rPr>
        <w:t xml:space="preserve"> </w:t>
      </w:r>
      <w:r>
        <w:t>components of propositions are properties, only properties can, in any relevant sense, be synthesized.</w:t>
      </w:r>
      <w:r>
        <w:rPr>
          <w:spacing w:val="40"/>
        </w:rPr>
        <w:t xml:space="preserve"> </w:t>
      </w:r>
      <w:r>
        <w:t>And</w:t>
      </w:r>
      <w:r>
        <w:rPr>
          <w:spacing w:val="40"/>
        </w:rPr>
        <w:t xml:space="preserve"> </w:t>
      </w:r>
      <w:r>
        <w:t>two</w:t>
      </w:r>
      <w:r>
        <w:rPr>
          <w:spacing w:val="40"/>
        </w:rPr>
        <w:t xml:space="preserve"> </w:t>
      </w:r>
      <w:r>
        <w:t>properties</w:t>
      </w:r>
      <w:r>
        <w:rPr>
          <w:spacing w:val="40"/>
        </w:rPr>
        <w:t xml:space="preserve"> </w:t>
      </w:r>
      <w:r>
        <w:t>p</w:t>
      </w:r>
      <w:r>
        <w:rPr>
          <w:vertAlign w:val="subscript"/>
        </w:rPr>
        <w:t>1</w:t>
      </w:r>
      <w:r>
        <w:rPr>
          <w:spacing w:val="65"/>
        </w:rPr>
        <w:t xml:space="preserve"> </w:t>
      </w:r>
      <w:r>
        <w:t>and</w:t>
      </w:r>
      <w:r>
        <w:rPr>
          <w:spacing w:val="62"/>
        </w:rPr>
        <w:t xml:space="preserve"> </w:t>
      </w:r>
      <w:r>
        <w:t>p</w:t>
      </w:r>
      <w:r>
        <w:rPr>
          <w:vertAlign w:val="subscript"/>
        </w:rPr>
        <w:t>2</w:t>
      </w:r>
      <w:r>
        <w:rPr>
          <w:spacing w:val="66"/>
        </w:rPr>
        <w:t xml:space="preserve"> </w:t>
      </w:r>
      <w:r>
        <w:t>are</w:t>
      </w:r>
      <w:r>
        <w:rPr>
          <w:spacing w:val="62"/>
        </w:rPr>
        <w:t xml:space="preserve"> </w:t>
      </w:r>
      <w:r>
        <w:t>“synthesized”</w:t>
      </w:r>
      <w:r>
        <w:rPr>
          <w:spacing w:val="62"/>
        </w:rPr>
        <w:t xml:space="preserve"> </w:t>
      </w:r>
      <w:r>
        <w:t>into</w:t>
      </w:r>
      <w:r>
        <w:rPr>
          <w:spacing w:val="62"/>
        </w:rPr>
        <w:t xml:space="preserve"> </w:t>
      </w:r>
      <w:r>
        <w:t>another</w:t>
      </w:r>
    </w:p>
    <w:p w14:paraId="7E000C01" w14:textId="77777777" w:rsidR="009A58DB" w:rsidRDefault="00000000">
      <w:pPr>
        <w:pStyle w:val="BodyText"/>
        <w:spacing w:before="71" w:line="292" w:lineRule="auto"/>
        <w:ind w:right="356"/>
      </w:pPr>
      <w:r>
        <w:t>component when a third property, p</w:t>
      </w:r>
      <w:r>
        <w:rPr>
          <w:vertAlign w:val="subscript"/>
        </w:rPr>
        <w:t>3</w:t>
      </w:r>
      <w:r>
        <w:t xml:space="preserve">, is identified each of whose instances is </w:t>
      </w:r>
      <w:r>
        <w:rPr>
          <w:i/>
        </w:rPr>
        <w:t>ipso</w:t>
      </w:r>
      <w:r>
        <w:rPr>
          <w:i/>
          <w:spacing w:val="-19"/>
        </w:rPr>
        <w:t xml:space="preserve"> </w:t>
      </w:r>
      <w:r>
        <w:rPr>
          <w:i/>
        </w:rPr>
        <w:t>facto</w:t>
      </w:r>
      <w:r>
        <w:rPr>
          <w:i/>
          <w:spacing w:val="40"/>
        </w:rPr>
        <w:t xml:space="preserve"> </w:t>
      </w:r>
      <w:r>
        <w:t>an</w:t>
      </w:r>
      <w:r>
        <w:rPr>
          <w:spacing w:val="-19"/>
        </w:rPr>
        <w:t xml:space="preserve"> </w:t>
      </w:r>
      <w:r>
        <w:t>instance</w:t>
      </w:r>
      <w:r>
        <w:rPr>
          <w:spacing w:val="-19"/>
        </w:rPr>
        <w:t xml:space="preserve"> </w:t>
      </w:r>
      <w:r>
        <w:t>of</w:t>
      </w:r>
      <w:r>
        <w:rPr>
          <w:spacing w:val="-19"/>
        </w:rPr>
        <w:t xml:space="preserve"> </w:t>
      </w:r>
      <w:r>
        <w:t>both</w:t>
      </w:r>
      <w:r>
        <w:rPr>
          <w:spacing w:val="-18"/>
        </w:rPr>
        <w:t xml:space="preserve"> </w:t>
      </w:r>
      <w:r>
        <w:t>p1</w:t>
      </w:r>
      <w:r>
        <w:rPr>
          <w:spacing w:val="-19"/>
        </w:rPr>
        <w:t xml:space="preserve"> </w:t>
      </w:r>
      <w:r>
        <w:t>and</w:t>
      </w:r>
      <w:r>
        <w:rPr>
          <w:spacing w:val="-19"/>
        </w:rPr>
        <w:t xml:space="preserve"> </w:t>
      </w:r>
      <w:r>
        <w:t>p</w:t>
      </w:r>
      <w:r>
        <w:rPr>
          <w:vertAlign w:val="subscript"/>
        </w:rPr>
        <w:t>2</w:t>
      </w:r>
      <w:r>
        <w:t>.</w:t>
      </w:r>
      <w:r>
        <w:rPr>
          <w:spacing w:val="-18"/>
        </w:rPr>
        <w:t xml:space="preserve"> </w:t>
      </w:r>
      <w:r>
        <w:t>(Or,</w:t>
      </w:r>
      <w:r>
        <w:rPr>
          <w:spacing w:val="-18"/>
        </w:rPr>
        <w:t xml:space="preserve"> </w:t>
      </w:r>
      <w:r>
        <w:t>to</w:t>
      </w:r>
      <w:r>
        <w:rPr>
          <w:spacing w:val="-18"/>
        </w:rPr>
        <w:t xml:space="preserve"> </w:t>
      </w:r>
      <w:r>
        <w:t>put</w:t>
      </w:r>
      <w:r>
        <w:rPr>
          <w:spacing w:val="-18"/>
        </w:rPr>
        <w:t xml:space="preserve"> </w:t>
      </w:r>
      <w:r>
        <w:t>it</w:t>
      </w:r>
      <w:r>
        <w:rPr>
          <w:spacing w:val="-18"/>
        </w:rPr>
        <w:t xml:space="preserve"> </w:t>
      </w:r>
      <w:r>
        <w:t>in</w:t>
      </w:r>
      <w:r>
        <w:rPr>
          <w:spacing w:val="-18"/>
        </w:rPr>
        <w:t xml:space="preserve"> </w:t>
      </w:r>
      <w:r>
        <w:t>a</w:t>
      </w:r>
      <w:r>
        <w:rPr>
          <w:spacing w:val="-18"/>
        </w:rPr>
        <w:t xml:space="preserve"> </w:t>
      </w:r>
      <w:r>
        <w:t>way</w:t>
      </w:r>
      <w:r>
        <w:rPr>
          <w:spacing w:val="-18"/>
        </w:rPr>
        <w:t xml:space="preserve"> </w:t>
      </w:r>
      <w:r>
        <w:t>that</w:t>
      </w:r>
      <w:r>
        <w:rPr>
          <w:spacing w:val="-18"/>
        </w:rPr>
        <w:t xml:space="preserve"> </w:t>
      </w:r>
      <w:r>
        <w:t>doesn’t</w:t>
      </w:r>
      <w:r>
        <w:rPr>
          <w:spacing w:val="-18"/>
        </w:rPr>
        <w:t xml:space="preserve"> </w:t>
      </w:r>
      <w:r>
        <w:t xml:space="preserve">have </w:t>
      </w:r>
      <w:r>
        <w:rPr>
          <w:spacing w:val="-2"/>
        </w:rPr>
        <w:t>any</w:t>
      </w:r>
      <w:r>
        <w:rPr>
          <w:spacing w:val="-11"/>
        </w:rPr>
        <w:t xml:space="preserve"> </w:t>
      </w:r>
      <w:r>
        <w:rPr>
          <w:spacing w:val="-2"/>
        </w:rPr>
        <w:t>misleading</w:t>
      </w:r>
      <w:r>
        <w:rPr>
          <w:spacing w:val="-11"/>
        </w:rPr>
        <w:t xml:space="preserve"> </w:t>
      </w:r>
      <w:r>
        <w:rPr>
          <w:spacing w:val="-2"/>
        </w:rPr>
        <w:t>chronological</w:t>
      </w:r>
      <w:r>
        <w:rPr>
          <w:spacing w:val="-11"/>
        </w:rPr>
        <w:t xml:space="preserve"> </w:t>
      </w:r>
      <w:r>
        <w:rPr>
          <w:spacing w:val="-2"/>
        </w:rPr>
        <w:t>or</w:t>
      </w:r>
      <w:r>
        <w:rPr>
          <w:spacing w:val="-11"/>
        </w:rPr>
        <w:t xml:space="preserve"> </w:t>
      </w:r>
      <w:r>
        <w:rPr>
          <w:spacing w:val="-2"/>
        </w:rPr>
        <w:t>psychological</w:t>
      </w:r>
      <w:r>
        <w:rPr>
          <w:spacing w:val="-10"/>
        </w:rPr>
        <w:t xml:space="preserve"> </w:t>
      </w:r>
      <w:r>
        <w:rPr>
          <w:spacing w:val="-2"/>
        </w:rPr>
        <w:t>overtones:</w:t>
      </w:r>
      <w:r>
        <w:rPr>
          <w:spacing w:val="-10"/>
        </w:rPr>
        <w:t xml:space="preserve"> </w:t>
      </w:r>
      <w:r>
        <w:rPr>
          <w:spacing w:val="-2"/>
        </w:rPr>
        <w:t>p</w:t>
      </w:r>
      <w:r>
        <w:rPr>
          <w:spacing w:val="-2"/>
          <w:vertAlign w:val="subscript"/>
        </w:rPr>
        <w:t>3</w:t>
      </w:r>
      <w:r>
        <w:rPr>
          <w:spacing w:val="-6"/>
        </w:rPr>
        <w:t xml:space="preserve"> </w:t>
      </w:r>
      <w:r>
        <w:rPr>
          <w:spacing w:val="-2"/>
        </w:rPr>
        <w:t>is</w:t>
      </w:r>
      <w:r>
        <w:rPr>
          <w:spacing w:val="-10"/>
        </w:rPr>
        <w:t xml:space="preserve"> </w:t>
      </w:r>
      <w:r>
        <w:rPr>
          <w:spacing w:val="-2"/>
        </w:rPr>
        <w:t>a</w:t>
      </w:r>
      <w:r>
        <w:rPr>
          <w:spacing w:val="-9"/>
        </w:rPr>
        <w:t xml:space="preserve"> </w:t>
      </w:r>
      <w:r>
        <w:rPr>
          <w:spacing w:val="-2"/>
        </w:rPr>
        <w:t>synthesis</w:t>
      </w:r>
      <w:r>
        <w:rPr>
          <w:spacing w:val="-9"/>
        </w:rPr>
        <w:t xml:space="preserve"> </w:t>
      </w:r>
      <w:r>
        <w:rPr>
          <w:spacing w:val="-2"/>
        </w:rPr>
        <w:t>of</w:t>
      </w:r>
      <w:r>
        <w:rPr>
          <w:spacing w:val="-9"/>
        </w:rPr>
        <w:t xml:space="preserve"> </w:t>
      </w:r>
      <w:r>
        <w:rPr>
          <w:spacing w:val="-2"/>
        </w:rPr>
        <w:t>p</w:t>
      </w:r>
      <w:r>
        <w:rPr>
          <w:spacing w:val="-2"/>
          <w:vertAlign w:val="subscript"/>
        </w:rPr>
        <w:t>1</w:t>
      </w:r>
      <w:r>
        <w:rPr>
          <w:spacing w:val="-2"/>
        </w:rPr>
        <w:t xml:space="preserve"> </w:t>
      </w:r>
      <w:r>
        <w:t>and</w:t>
      </w:r>
      <w:r>
        <w:rPr>
          <w:spacing w:val="-16"/>
        </w:rPr>
        <w:t xml:space="preserve"> </w:t>
      </w:r>
      <w:r>
        <w:t>p</w:t>
      </w:r>
      <w:r>
        <w:rPr>
          <w:vertAlign w:val="subscript"/>
        </w:rPr>
        <w:t>2</w:t>
      </w:r>
      <w:r>
        <w:rPr>
          <w:spacing w:val="-7"/>
        </w:rPr>
        <w:t xml:space="preserve"> </w:t>
      </w:r>
      <w:r>
        <w:t>just</w:t>
      </w:r>
      <w:r>
        <w:rPr>
          <w:spacing w:val="-10"/>
        </w:rPr>
        <w:t xml:space="preserve"> </w:t>
      </w:r>
      <w:r>
        <w:t>in</w:t>
      </w:r>
      <w:r>
        <w:rPr>
          <w:spacing w:val="-10"/>
        </w:rPr>
        <w:t xml:space="preserve"> </w:t>
      </w:r>
      <w:r>
        <w:t>case</w:t>
      </w:r>
      <w:r>
        <w:rPr>
          <w:spacing w:val="-10"/>
        </w:rPr>
        <w:t xml:space="preserve"> </w:t>
      </w:r>
      <w:r>
        <w:t>any</w:t>
      </w:r>
      <w:r>
        <w:rPr>
          <w:spacing w:val="-10"/>
        </w:rPr>
        <w:t xml:space="preserve"> </w:t>
      </w:r>
      <w:r>
        <w:t>instance</w:t>
      </w:r>
      <w:r>
        <w:rPr>
          <w:spacing w:val="-10"/>
        </w:rPr>
        <w:t xml:space="preserve"> </w:t>
      </w:r>
      <w:r>
        <w:t>of</w:t>
      </w:r>
      <w:r>
        <w:rPr>
          <w:spacing w:val="-10"/>
        </w:rPr>
        <w:t xml:space="preserve"> </w:t>
      </w:r>
      <w:r>
        <w:t>p</w:t>
      </w:r>
      <w:r>
        <w:rPr>
          <w:vertAlign w:val="subscript"/>
        </w:rPr>
        <w:t>3</w:t>
      </w:r>
      <w:r>
        <w:rPr>
          <w:spacing w:val="-12"/>
        </w:rPr>
        <w:t xml:space="preserve"> </w:t>
      </w:r>
      <w:r>
        <w:t>is</w:t>
      </w:r>
      <w:r>
        <w:rPr>
          <w:spacing w:val="-16"/>
        </w:rPr>
        <w:t xml:space="preserve"> </w:t>
      </w:r>
      <w:r>
        <w:rPr>
          <w:i/>
        </w:rPr>
        <w:t>ipso</w:t>
      </w:r>
      <w:r>
        <w:rPr>
          <w:i/>
          <w:spacing w:val="-2"/>
        </w:rPr>
        <w:t xml:space="preserve"> </w:t>
      </w:r>
      <w:r>
        <w:rPr>
          <w:i/>
        </w:rPr>
        <w:t>facto</w:t>
      </w:r>
      <w:r>
        <w:rPr>
          <w:i/>
          <w:spacing w:val="40"/>
        </w:rPr>
        <w:t xml:space="preserve"> </w:t>
      </w:r>
      <w:r>
        <w:t>an</w:t>
      </w:r>
      <w:r>
        <w:rPr>
          <w:spacing w:val="-9"/>
        </w:rPr>
        <w:t xml:space="preserve"> </w:t>
      </w:r>
      <w:r>
        <w:t>instance</w:t>
      </w:r>
      <w:r>
        <w:rPr>
          <w:spacing w:val="-9"/>
        </w:rPr>
        <w:t xml:space="preserve"> </w:t>
      </w:r>
      <w:r>
        <w:t>of</w:t>
      </w:r>
      <w:r>
        <w:rPr>
          <w:spacing w:val="-9"/>
        </w:rPr>
        <w:t xml:space="preserve"> </w:t>
      </w:r>
      <w:r>
        <w:t>each</w:t>
      </w:r>
      <w:r>
        <w:rPr>
          <w:spacing w:val="-9"/>
        </w:rPr>
        <w:t xml:space="preserve"> </w:t>
      </w:r>
      <w:r>
        <w:t>of</w:t>
      </w:r>
      <w:r>
        <w:rPr>
          <w:spacing w:val="-9"/>
        </w:rPr>
        <w:t xml:space="preserve"> </w:t>
      </w:r>
      <w:r>
        <w:t>p</w:t>
      </w:r>
      <w:r>
        <w:rPr>
          <w:vertAlign w:val="subscript"/>
        </w:rPr>
        <w:t>1</w:t>
      </w:r>
      <w:r>
        <w:t xml:space="preserve"> and </w:t>
      </w:r>
      <w:r>
        <w:rPr>
          <w:spacing w:val="-4"/>
        </w:rPr>
        <w:t>p</w:t>
      </w:r>
      <w:r>
        <w:rPr>
          <w:spacing w:val="-4"/>
          <w:position w:val="-7"/>
          <w:sz w:val="22"/>
        </w:rPr>
        <w:t>2</w:t>
      </w:r>
      <w:r>
        <w:rPr>
          <w:spacing w:val="-4"/>
        </w:rPr>
        <w:t>.)</w:t>
      </w:r>
    </w:p>
    <w:p w14:paraId="7E000C02"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0C03" w14:textId="77777777" w:rsidR="009A58DB" w:rsidRDefault="00000000">
      <w:pPr>
        <w:spacing w:before="50"/>
        <w:ind w:left="326" w:right="332"/>
        <w:jc w:val="center"/>
        <w:rPr>
          <w:rFonts w:ascii="Calibri Light"/>
          <w:sz w:val="42"/>
        </w:rPr>
      </w:pPr>
      <w:bookmarkStart w:id="133" w:name="_bookmark133"/>
      <w:bookmarkEnd w:id="133"/>
      <w:r>
        <w:rPr>
          <w:rFonts w:ascii="Calibri Light"/>
          <w:sz w:val="42"/>
        </w:rPr>
        <w:lastRenderedPageBreak/>
        <w:t>P</w:t>
      </w:r>
      <w:r>
        <w:rPr>
          <w:rFonts w:ascii="Liberation Serif"/>
          <w:b/>
          <w:sz w:val="42"/>
        </w:rPr>
        <w:t>ART</w:t>
      </w:r>
      <w:r>
        <w:rPr>
          <w:rFonts w:ascii="Liberation Serif"/>
          <w:b/>
          <w:spacing w:val="-5"/>
          <w:sz w:val="42"/>
        </w:rPr>
        <w:t xml:space="preserve"> </w:t>
      </w:r>
      <w:r>
        <w:rPr>
          <w:rFonts w:ascii="Calibri Light"/>
          <w:spacing w:val="-5"/>
          <w:sz w:val="42"/>
        </w:rPr>
        <w:t>II</w:t>
      </w:r>
    </w:p>
    <w:p w14:paraId="7E000C04" w14:textId="77777777" w:rsidR="009A58DB" w:rsidRDefault="00000000">
      <w:pPr>
        <w:spacing w:before="222"/>
        <w:ind w:left="326" w:right="332"/>
        <w:jc w:val="center"/>
        <w:rPr>
          <w:rFonts w:ascii="Calibri Light"/>
          <w:sz w:val="42"/>
        </w:rPr>
      </w:pPr>
      <w:bookmarkStart w:id="134" w:name="_bookmark134"/>
      <w:bookmarkEnd w:id="134"/>
      <w:r>
        <w:rPr>
          <w:rFonts w:ascii="Calibri Light"/>
          <w:sz w:val="42"/>
        </w:rPr>
        <w:t>Language</w:t>
      </w:r>
      <w:r>
        <w:rPr>
          <w:rFonts w:ascii="Calibri Light"/>
          <w:spacing w:val="44"/>
          <w:sz w:val="42"/>
        </w:rPr>
        <w:t xml:space="preserve"> </w:t>
      </w:r>
      <w:r>
        <w:rPr>
          <w:rFonts w:ascii="Calibri Light"/>
          <w:sz w:val="42"/>
        </w:rPr>
        <w:t>and</w:t>
      </w:r>
      <w:r>
        <w:rPr>
          <w:rFonts w:ascii="Calibri Light"/>
          <w:spacing w:val="44"/>
          <w:sz w:val="42"/>
        </w:rPr>
        <w:t xml:space="preserve"> </w:t>
      </w:r>
      <w:r>
        <w:rPr>
          <w:rFonts w:ascii="Calibri Light"/>
          <w:spacing w:val="-2"/>
          <w:sz w:val="42"/>
        </w:rPr>
        <w:t>Thought</w:t>
      </w:r>
    </w:p>
    <w:p w14:paraId="7E000C05" w14:textId="77777777" w:rsidR="009A58DB" w:rsidRDefault="009A58DB">
      <w:pPr>
        <w:jc w:val="center"/>
        <w:rPr>
          <w:rFonts w:ascii="Calibri Light"/>
          <w:sz w:val="42"/>
        </w:rPr>
        <w:sectPr w:rsidR="009A58DB">
          <w:pgSz w:w="12240" w:h="15840"/>
          <w:pgMar w:top="1620" w:right="1080" w:bottom="280" w:left="1080" w:header="720" w:footer="720" w:gutter="0"/>
          <w:cols w:space="720"/>
        </w:sectPr>
      </w:pPr>
    </w:p>
    <w:p w14:paraId="7E000C06" w14:textId="77777777" w:rsidR="009A58DB" w:rsidRDefault="00000000">
      <w:pPr>
        <w:spacing w:line="503" w:lineRule="exact"/>
        <w:ind w:left="326" w:right="332"/>
        <w:jc w:val="center"/>
        <w:rPr>
          <w:rFonts w:ascii="Calibri Light"/>
          <w:sz w:val="42"/>
        </w:rPr>
      </w:pPr>
      <w:bookmarkStart w:id="135" w:name="_bookmark135"/>
      <w:bookmarkEnd w:id="135"/>
      <w:r>
        <w:rPr>
          <w:rFonts w:ascii="Calibri Light"/>
          <w:sz w:val="42"/>
        </w:rPr>
        <w:lastRenderedPageBreak/>
        <w:t>Chapter</w:t>
      </w:r>
      <w:r>
        <w:rPr>
          <w:rFonts w:ascii="Calibri Light"/>
          <w:spacing w:val="56"/>
          <w:sz w:val="42"/>
        </w:rPr>
        <w:t xml:space="preserve"> </w:t>
      </w:r>
      <w:r>
        <w:rPr>
          <w:rFonts w:ascii="Calibri Light"/>
          <w:spacing w:val="-10"/>
          <w:sz w:val="42"/>
        </w:rPr>
        <w:t>4</w:t>
      </w:r>
    </w:p>
    <w:p w14:paraId="7E000C07" w14:textId="77777777" w:rsidR="009A58DB" w:rsidRDefault="00000000">
      <w:pPr>
        <w:spacing w:before="222"/>
        <w:ind w:left="326" w:right="332"/>
        <w:jc w:val="center"/>
        <w:rPr>
          <w:rFonts w:ascii="Calibri Light"/>
          <w:sz w:val="42"/>
        </w:rPr>
      </w:pPr>
      <w:bookmarkStart w:id="136" w:name="_bookmark136"/>
      <w:bookmarkEnd w:id="136"/>
      <w:r>
        <w:rPr>
          <w:rFonts w:ascii="Calibri Light"/>
          <w:sz w:val="42"/>
        </w:rPr>
        <w:t>What</w:t>
      </w:r>
      <w:r>
        <w:rPr>
          <w:rFonts w:ascii="Calibri Light"/>
          <w:spacing w:val="24"/>
          <w:sz w:val="42"/>
        </w:rPr>
        <w:t xml:space="preserve"> </w:t>
      </w:r>
      <w:r>
        <w:rPr>
          <w:rFonts w:ascii="Calibri Light"/>
          <w:sz w:val="42"/>
        </w:rPr>
        <w:t>is</w:t>
      </w:r>
      <w:r>
        <w:rPr>
          <w:rFonts w:ascii="Calibri Light"/>
          <w:spacing w:val="24"/>
          <w:sz w:val="42"/>
        </w:rPr>
        <w:t xml:space="preserve"> </w:t>
      </w:r>
      <w:r>
        <w:rPr>
          <w:rFonts w:ascii="Calibri Light"/>
          <w:spacing w:val="-2"/>
          <w:sz w:val="42"/>
        </w:rPr>
        <w:t>Language?</w:t>
      </w:r>
    </w:p>
    <w:p w14:paraId="7E000C08" w14:textId="77777777" w:rsidR="009A58DB" w:rsidRDefault="009A58DB">
      <w:pPr>
        <w:pStyle w:val="BodyText"/>
        <w:spacing w:before="167"/>
        <w:ind w:left="0"/>
        <w:jc w:val="left"/>
        <w:rPr>
          <w:rFonts w:ascii="Calibri Light"/>
          <w:sz w:val="42"/>
        </w:rPr>
      </w:pPr>
    </w:p>
    <w:p w14:paraId="7E000C09" w14:textId="77777777" w:rsidR="009A58DB" w:rsidRDefault="00000000">
      <w:pPr>
        <w:pStyle w:val="Heading1"/>
        <w:spacing w:before="0"/>
        <w:ind w:left="360" w:firstLine="0"/>
        <w:jc w:val="both"/>
      </w:pPr>
      <w:r>
        <w:t>1.0</w:t>
      </w:r>
      <w:r>
        <w:rPr>
          <w:spacing w:val="-2"/>
        </w:rPr>
        <w:t xml:space="preserve"> </w:t>
      </w:r>
      <w:r>
        <w:t>The</w:t>
      </w:r>
      <w:r>
        <w:rPr>
          <w:spacing w:val="-3"/>
        </w:rPr>
        <w:t xml:space="preserve"> </w:t>
      </w:r>
      <w:r>
        <w:t>meaning</w:t>
      </w:r>
      <w:r>
        <w:rPr>
          <w:spacing w:val="-2"/>
        </w:rPr>
        <w:t xml:space="preserve"> </w:t>
      </w:r>
      <w:r>
        <w:t>of</w:t>
      </w:r>
      <w:r>
        <w:rPr>
          <w:spacing w:val="-2"/>
        </w:rPr>
        <w:t xml:space="preserve"> “meaning”</w:t>
      </w:r>
    </w:p>
    <w:p w14:paraId="7E000C0A" w14:textId="77777777" w:rsidR="009A58DB" w:rsidRDefault="00000000">
      <w:pPr>
        <w:pStyle w:val="BodyText"/>
        <w:spacing w:before="79" w:line="249" w:lineRule="auto"/>
        <w:ind w:right="359"/>
      </w:pPr>
      <w:r>
        <w:t>There would be no languages if there were no expressions (words, phrases, sentences, etc.). Nothing meaningless is an expression. For this reason, the concept of an expression must be understood in terms of the concept of meaning, the same therefore being true of the concept of language.</w:t>
      </w:r>
    </w:p>
    <w:p w14:paraId="7E000C0B" w14:textId="77777777" w:rsidR="009A58DB" w:rsidRDefault="00000000">
      <w:pPr>
        <w:pStyle w:val="BodyText"/>
        <w:spacing w:before="5" w:line="249" w:lineRule="auto"/>
        <w:ind w:right="364" w:firstLine="360"/>
      </w:pPr>
      <w:r>
        <w:t>But</w:t>
      </w:r>
      <w:r>
        <w:rPr>
          <w:spacing w:val="-3"/>
        </w:rPr>
        <w:t xml:space="preserve"> </w:t>
      </w:r>
      <w:r>
        <w:t>it</w:t>
      </w:r>
      <w:r>
        <w:rPr>
          <w:spacing w:val="-2"/>
        </w:rPr>
        <w:t xml:space="preserve"> </w:t>
      </w:r>
      <w:r>
        <w:t>isn’t</w:t>
      </w:r>
      <w:r>
        <w:rPr>
          <w:spacing w:val="-2"/>
        </w:rPr>
        <w:t xml:space="preserve"> </w:t>
      </w:r>
      <w:r>
        <w:t>much</w:t>
      </w:r>
      <w:r>
        <w:rPr>
          <w:spacing w:val="-2"/>
        </w:rPr>
        <w:t xml:space="preserve"> </w:t>
      </w:r>
      <w:r>
        <w:t>use</w:t>
      </w:r>
      <w:r>
        <w:rPr>
          <w:spacing w:val="-2"/>
        </w:rPr>
        <w:t xml:space="preserve"> </w:t>
      </w:r>
      <w:r>
        <w:t>to</w:t>
      </w:r>
      <w:r>
        <w:rPr>
          <w:spacing w:val="-2"/>
        </w:rPr>
        <w:t xml:space="preserve"> </w:t>
      </w:r>
      <w:r>
        <w:t>be</w:t>
      </w:r>
      <w:r>
        <w:rPr>
          <w:spacing w:val="-2"/>
        </w:rPr>
        <w:t xml:space="preserve"> </w:t>
      </w:r>
      <w:r>
        <w:t>told</w:t>
      </w:r>
      <w:r>
        <w:rPr>
          <w:spacing w:val="-2"/>
        </w:rPr>
        <w:t xml:space="preserve"> </w:t>
      </w:r>
      <w:r>
        <w:t>that</w:t>
      </w:r>
      <w:r>
        <w:rPr>
          <w:spacing w:val="-2"/>
        </w:rPr>
        <w:t xml:space="preserve"> </w:t>
      </w:r>
      <w:r>
        <w:t>words</w:t>
      </w:r>
      <w:r>
        <w:rPr>
          <w:spacing w:val="-2"/>
        </w:rPr>
        <w:t xml:space="preserve"> </w:t>
      </w:r>
      <w:r>
        <w:t>and</w:t>
      </w:r>
      <w:r>
        <w:rPr>
          <w:spacing w:val="-2"/>
        </w:rPr>
        <w:t xml:space="preserve"> </w:t>
      </w:r>
      <w:r>
        <w:t>sentences</w:t>
      </w:r>
      <w:r>
        <w:rPr>
          <w:spacing w:val="-2"/>
        </w:rPr>
        <w:t xml:space="preserve"> </w:t>
      </w:r>
      <w:r>
        <w:t>“have</w:t>
      </w:r>
      <w:r>
        <w:rPr>
          <w:spacing w:val="-2"/>
        </w:rPr>
        <w:t xml:space="preserve"> </w:t>
      </w:r>
      <w:r>
        <w:t>meanings,” since</w:t>
      </w:r>
      <w:r>
        <w:rPr>
          <w:spacing w:val="-1"/>
        </w:rPr>
        <w:t xml:space="preserve"> </w:t>
      </w:r>
      <w:r>
        <w:t>the</w:t>
      </w:r>
      <w:r>
        <w:rPr>
          <w:spacing w:val="-1"/>
        </w:rPr>
        <w:t xml:space="preserve"> </w:t>
      </w:r>
      <w:r>
        <w:t>word</w:t>
      </w:r>
      <w:r>
        <w:rPr>
          <w:spacing w:val="-1"/>
        </w:rPr>
        <w:t xml:space="preserve"> </w:t>
      </w:r>
      <w:r>
        <w:t>“meaning”</w:t>
      </w:r>
      <w:r>
        <w:rPr>
          <w:spacing w:val="-1"/>
        </w:rPr>
        <w:t xml:space="preserve"> </w:t>
      </w:r>
      <w:r>
        <w:t>has</w:t>
      </w:r>
      <w:r>
        <w:rPr>
          <w:spacing w:val="-1"/>
        </w:rPr>
        <w:t xml:space="preserve"> </w:t>
      </w:r>
      <w:r>
        <w:t>three</w:t>
      </w:r>
      <w:r>
        <w:rPr>
          <w:spacing w:val="-1"/>
        </w:rPr>
        <w:t xml:space="preserve"> </w:t>
      </w:r>
      <w:r>
        <w:t>different</w:t>
      </w:r>
      <w:r>
        <w:rPr>
          <w:spacing w:val="-1"/>
        </w:rPr>
        <w:t xml:space="preserve"> </w:t>
      </w:r>
      <w:r>
        <w:t>meanings,</w:t>
      </w:r>
      <w:r>
        <w:rPr>
          <w:spacing w:val="-1"/>
        </w:rPr>
        <w:t xml:space="preserve"> </w:t>
      </w:r>
      <w:r>
        <w:t>and</w:t>
      </w:r>
      <w:r>
        <w:rPr>
          <w:spacing w:val="-1"/>
        </w:rPr>
        <w:t xml:space="preserve"> </w:t>
      </w:r>
      <w:r>
        <w:t>only</w:t>
      </w:r>
      <w:r>
        <w:rPr>
          <w:spacing w:val="-1"/>
        </w:rPr>
        <w:t xml:space="preserve"> </w:t>
      </w:r>
      <w:r>
        <w:t>one</w:t>
      </w:r>
      <w:r>
        <w:rPr>
          <w:spacing w:val="-1"/>
        </w:rPr>
        <w:t xml:space="preserve"> </w:t>
      </w:r>
      <w:r>
        <w:t>of</w:t>
      </w:r>
      <w:r>
        <w:rPr>
          <w:spacing w:val="-1"/>
        </w:rPr>
        <w:t xml:space="preserve"> </w:t>
      </w:r>
      <w:r>
        <w:t>these directly relates to the nature of language.</w:t>
      </w:r>
    </w:p>
    <w:p w14:paraId="7E000C0C" w14:textId="77777777" w:rsidR="009A58DB" w:rsidRDefault="00000000">
      <w:pPr>
        <w:pStyle w:val="Heading2"/>
        <w:spacing w:before="102"/>
      </w:pPr>
      <w:r>
        <w:t>Meaning</w:t>
      </w:r>
      <w:r>
        <w:rPr>
          <w:spacing w:val="-6"/>
        </w:rPr>
        <w:t xml:space="preserve"> </w:t>
      </w:r>
      <w:r>
        <w:t>#1:</w:t>
      </w:r>
      <w:r>
        <w:rPr>
          <w:spacing w:val="-4"/>
        </w:rPr>
        <w:t xml:space="preserve"> </w:t>
      </w:r>
      <w:r>
        <w:t>The</w:t>
      </w:r>
      <w:r>
        <w:rPr>
          <w:spacing w:val="-4"/>
        </w:rPr>
        <w:t xml:space="preserve"> </w:t>
      </w:r>
      <w:r>
        <w:t>evidential</w:t>
      </w:r>
      <w:r>
        <w:rPr>
          <w:spacing w:val="-4"/>
        </w:rPr>
        <w:t xml:space="preserve"> </w:t>
      </w:r>
      <w:r>
        <w:t>meaning</w:t>
      </w:r>
      <w:r>
        <w:rPr>
          <w:spacing w:val="-3"/>
        </w:rPr>
        <w:t xml:space="preserve"> </w:t>
      </w:r>
      <w:r>
        <w:t>of</w:t>
      </w:r>
      <w:r>
        <w:rPr>
          <w:spacing w:val="-4"/>
        </w:rPr>
        <w:t xml:space="preserve"> </w:t>
      </w:r>
      <w:r>
        <w:rPr>
          <w:spacing w:val="-2"/>
        </w:rPr>
        <w:t>“meaning”</w:t>
      </w:r>
    </w:p>
    <w:p w14:paraId="7E000C0D" w14:textId="77777777" w:rsidR="009A58DB" w:rsidRDefault="00000000">
      <w:pPr>
        <w:pStyle w:val="BodyText"/>
        <w:spacing w:before="79" w:line="249" w:lineRule="auto"/>
        <w:ind w:right="360"/>
      </w:pPr>
      <w:r>
        <w:t>In</w:t>
      </w:r>
      <w:r>
        <w:rPr>
          <w:spacing w:val="-2"/>
        </w:rPr>
        <w:t xml:space="preserve"> </w:t>
      </w:r>
      <w:r>
        <w:t>some</w:t>
      </w:r>
      <w:r>
        <w:rPr>
          <w:spacing w:val="-2"/>
        </w:rPr>
        <w:t xml:space="preserve"> </w:t>
      </w:r>
      <w:r>
        <w:t>cases,</w:t>
      </w:r>
      <w:r>
        <w:rPr>
          <w:spacing w:val="-2"/>
        </w:rPr>
        <w:t xml:space="preserve"> </w:t>
      </w:r>
      <w:r>
        <w:t>to</w:t>
      </w:r>
      <w:r>
        <w:rPr>
          <w:spacing w:val="-1"/>
        </w:rPr>
        <w:t xml:space="preserve"> </w:t>
      </w:r>
      <w:r>
        <w:t>say</w:t>
      </w:r>
      <w:r>
        <w:rPr>
          <w:spacing w:val="-2"/>
        </w:rPr>
        <w:t xml:space="preserve"> </w:t>
      </w:r>
      <w:r>
        <w:t>that</w:t>
      </w:r>
      <w:r>
        <w:rPr>
          <w:spacing w:val="-2"/>
        </w:rPr>
        <w:t xml:space="preserve"> </w:t>
      </w:r>
      <w:r>
        <w:t>x</w:t>
      </w:r>
      <w:r>
        <w:rPr>
          <w:spacing w:val="-2"/>
        </w:rPr>
        <w:t xml:space="preserve"> </w:t>
      </w:r>
      <w:r>
        <w:t>“means”</w:t>
      </w:r>
      <w:r>
        <w:rPr>
          <w:spacing w:val="-1"/>
        </w:rPr>
        <w:t xml:space="preserve"> </w:t>
      </w:r>
      <w:r>
        <w:t>y</w:t>
      </w:r>
      <w:r>
        <w:rPr>
          <w:spacing w:val="-2"/>
        </w:rPr>
        <w:t xml:space="preserve"> </w:t>
      </w:r>
      <w:r>
        <w:t>is</w:t>
      </w:r>
      <w:r>
        <w:rPr>
          <w:spacing w:val="-2"/>
        </w:rPr>
        <w:t xml:space="preserve"> </w:t>
      </w:r>
      <w:r>
        <w:t>to</w:t>
      </w:r>
      <w:r>
        <w:rPr>
          <w:spacing w:val="-2"/>
        </w:rPr>
        <w:t xml:space="preserve"> </w:t>
      </w:r>
      <w:r>
        <w:t>say</w:t>
      </w:r>
      <w:r>
        <w:rPr>
          <w:spacing w:val="-1"/>
        </w:rPr>
        <w:t xml:space="preserve"> </w:t>
      </w:r>
      <w:r>
        <w:t>that</w:t>
      </w:r>
      <w:r>
        <w:rPr>
          <w:spacing w:val="-2"/>
        </w:rPr>
        <w:t xml:space="preserve"> </w:t>
      </w:r>
      <w:r>
        <w:t>x</w:t>
      </w:r>
      <w:r>
        <w:rPr>
          <w:spacing w:val="-2"/>
        </w:rPr>
        <w:t xml:space="preserve"> </w:t>
      </w:r>
      <w:r>
        <w:t>is</w:t>
      </w:r>
      <w:r>
        <w:rPr>
          <w:spacing w:val="-1"/>
        </w:rPr>
        <w:t xml:space="preserve"> </w:t>
      </w:r>
      <w:r>
        <w:rPr>
          <w:i/>
        </w:rPr>
        <w:t>evidence</w:t>
      </w:r>
      <w:r>
        <w:rPr>
          <w:i/>
          <w:spacing w:val="-3"/>
        </w:rPr>
        <w:t xml:space="preserve"> </w:t>
      </w:r>
      <w:r>
        <w:t>of</w:t>
      </w:r>
      <w:r>
        <w:rPr>
          <w:spacing w:val="-3"/>
        </w:rPr>
        <w:t xml:space="preserve"> </w:t>
      </w:r>
      <w:r>
        <w:t>y—that</w:t>
      </w:r>
      <w:r>
        <w:rPr>
          <w:spacing w:val="-3"/>
        </w:rPr>
        <w:t xml:space="preserve"> </w:t>
      </w:r>
      <w:r>
        <w:t xml:space="preserve">x and y are causally interrelated in such a way that, given x, it can reasonably be inferred that y. “Smith’s hacking cough means that he has a violent lung infection” means “Smith’s hacking cough is evidence that he has a violent lung infection.” And the latter means that coughs like Smith’s are </w:t>
      </w:r>
      <w:r>
        <w:rPr>
          <w:i/>
        </w:rPr>
        <w:t xml:space="preserve">causally connected </w:t>
      </w:r>
      <w:r>
        <w:t>to violent lung infections in such a way that it may reasonably be inferred that Smith has a violent lung infection.</w:t>
      </w:r>
    </w:p>
    <w:p w14:paraId="7E000C0E" w14:textId="77777777" w:rsidR="009A58DB" w:rsidRDefault="00000000">
      <w:pPr>
        <w:pStyle w:val="BodyText"/>
        <w:spacing w:before="9" w:line="249" w:lineRule="auto"/>
        <w:ind w:right="359" w:firstLine="360"/>
      </w:pPr>
      <w:r>
        <w:t xml:space="preserve">Smith’s violent lung infection is a </w:t>
      </w:r>
      <w:r>
        <w:rPr>
          <w:i/>
        </w:rPr>
        <w:t xml:space="preserve">cause </w:t>
      </w:r>
      <w:r>
        <w:t>of Smith’s hacking cough. But</w:t>
      </w:r>
      <w:r>
        <w:rPr>
          <w:spacing w:val="40"/>
        </w:rPr>
        <w:t xml:space="preserve"> </w:t>
      </w:r>
      <w:r>
        <w:t>for x to be evidence to of y, it is neither necessary nor sufficient that y cause</w:t>
      </w:r>
    </w:p>
    <w:p w14:paraId="7E000C0F" w14:textId="77777777" w:rsidR="009A58DB" w:rsidRDefault="00000000">
      <w:pPr>
        <w:pStyle w:val="BodyText"/>
        <w:spacing w:before="2" w:line="249" w:lineRule="auto"/>
        <w:ind w:right="358"/>
      </w:pPr>
      <w:r>
        <w:t xml:space="preserve">x. Why isn’t it </w:t>
      </w:r>
      <w:r>
        <w:rPr>
          <w:i/>
        </w:rPr>
        <w:t xml:space="preserve">necessary? </w:t>
      </w:r>
      <w:r>
        <w:t>First of all, causes can be evidence of their own effects. (Bill’s current drunkenness is evidence of a poor performance on his upcoming economics exam.) Second, if some event or state of affairs z is a cause</w:t>
      </w:r>
      <w:r>
        <w:rPr>
          <w:spacing w:val="-3"/>
        </w:rPr>
        <w:t xml:space="preserve"> </w:t>
      </w:r>
      <w:r>
        <w:t>of</w:t>
      </w:r>
      <w:r>
        <w:rPr>
          <w:spacing w:val="-3"/>
        </w:rPr>
        <w:t xml:space="preserve"> </w:t>
      </w:r>
      <w:r>
        <w:t>both</w:t>
      </w:r>
      <w:r>
        <w:rPr>
          <w:spacing w:val="-2"/>
        </w:rPr>
        <w:t xml:space="preserve"> </w:t>
      </w:r>
      <w:r>
        <w:t>x</w:t>
      </w:r>
      <w:r>
        <w:rPr>
          <w:spacing w:val="-2"/>
        </w:rPr>
        <w:t xml:space="preserve"> </w:t>
      </w:r>
      <w:r>
        <w:t>and</w:t>
      </w:r>
      <w:r>
        <w:rPr>
          <w:spacing w:val="-2"/>
        </w:rPr>
        <w:t xml:space="preserve"> </w:t>
      </w:r>
      <w:r>
        <w:t>y,</w:t>
      </w:r>
      <w:r>
        <w:rPr>
          <w:spacing w:val="-2"/>
        </w:rPr>
        <w:t xml:space="preserve"> </w:t>
      </w:r>
      <w:r>
        <w:t>then</w:t>
      </w:r>
      <w:r>
        <w:rPr>
          <w:spacing w:val="-2"/>
        </w:rPr>
        <w:t xml:space="preserve"> </w:t>
      </w:r>
      <w:r>
        <w:t>x</w:t>
      </w:r>
      <w:r>
        <w:rPr>
          <w:spacing w:val="-2"/>
        </w:rPr>
        <w:t xml:space="preserve"> </w:t>
      </w:r>
      <w:r>
        <w:t>can</w:t>
      </w:r>
      <w:r>
        <w:rPr>
          <w:spacing w:val="-2"/>
        </w:rPr>
        <w:t xml:space="preserve"> </w:t>
      </w:r>
      <w:r>
        <w:t>be</w:t>
      </w:r>
      <w:r>
        <w:rPr>
          <w:spacing w:val="-3"/>
        </w:rPr>
        <w:t xml:space="preserve"> </w:t>
      </w:r>
      <w:r>
        <w:t>evidence</w:t>
      </w:r>
      <w:r>
        <w:rPr>
          <w:spacing w:val="-3"/>
        </w:rPr>
        <w:t xml:space="preserve"> </w:t>
      </w:r>
      <w:r>
        <w:t>of</w:t>
      </w:r>
      <w:r>
        <w:rPr>
          <w:spacing w:val="-3"/>
        </w:rPr>
        <w:t xml:space="preserve"> </w:t>
      </w:r>
      <w:r>
        <w:t>y</w:t>
      </w:r>
      <w:r>
        <w:rPr>
          <w:spacing w:val="-2"/>
        </w:rPr>
        <w:t xml:space="preserve"> </w:t>
      </w:r>
      <w:r>
        <w:t>without</w:t>
      </w:r>
      <w:r>
        <w:rPr>
          <w:spacing w:val="-3"/>
        </w:rPr>
        <w:t xml:space="preserve"> </w:t>
      </w:r>
      <w:r>
        <w:t>being</w:t>
      </w:r>
      <w:r>
        <w:rPr>
          <w:spacing w:val="-2"/>
        </w:rPr>
        <w:t xml:space="preserve"> </w:t>
      </w:r>
      <w:r>
        <w:t>a</w:t>
      </w:r>
      <w:r>
        <w:rPr>
          <w:spacing w:val="-3"/>
        </w:rPr>
        <w:t xml:space="preserve"> </w:t>
      </w:r>
      <w:r>
        <w:t>cause</w:t>
      </w:r>
      <w:r>
        <w:rPr>
          <w:spacing w:val="-3"/>
        </w:rPr>
        <w:t xml:space="preserve"> </w:t>
      </w:r>
      <w:r>
        <w:t>or</w:t>
      </w:r>
      <w:r>
        <w:rPr>
          <w:spacing w:val="-3"/>
        </w:rPr>
        <w:t xml:space="preserve"> </w:t>
      </w:r>
      <w:r>
        <w:t>an effect</w:t>
      </w:r>
      <w:r>
        <w:rPr>
          <w:spacing w:val="-1"/>
        </w:rPr>
        <w:t xml:space="preserve"> </w:t>
      </w:r>
      <w:r>
        <w:t>of y. (Suppose that Bill is slurring his words. This is evidence that he’ll do poorly on the upcoming test. But his slurring his words is neither a cause, nor an effect, of his</w:t>
      </w:r>
      <w:r>
        <w:rPr>
          <w:spacing w:val="-1"/>
        </w:rPr>
        <w:t xml:space="preserve"> </w:t>
      </w:r>
      <w:r>
        <w:t>substandard test-performance. His drunkenness is</w:t>
      </w:r>
      <w:r>
        <w:rPr>
          <w:spacing w:val="-1"/>
        </w:rPr>
        <w:t xml:space="preserve"> </w:t>
      </w:r>
      <w:r>
        <w:t>a cause of (a) his slurred speech and (b) his imminent, substandard test-performance. And it’s because his slurred speech has a causal ancestor in common with his poor</w:t>
      </w:r>
      <w:r>
        <w:rPr>
          <w:spacing w:val="29"/>
        </w:rPr>
        <w:t xml:space="preserve"> </w:t>
      </w:r>
      <w:r>
        <w:t>test-performance</w:t>
      </w:r>
      <w:r>
        <w:rPr>
          <w:spacing w:val="29"/>
        </w:rPr>
        <w:t xml:space="preserve"> </w:t>
      </w:r>
      <w:r>
        <w:t>that</w:t>
      </w:r>
      <w:r>
        <w:rPr>
          <w:spacing w:val="29"/>
        </w:rPr>
        <w:t xml:space="preserve"> </w:t>
      </w:r>
      <w:r>
        <w:t>the</w:t>
      </w:r>
      <w:r>
        <w:rPr>
          <w:spacing w:val="29"/>
        </w:rPr>
        <w:t xml:space="preserve"> </w:t>
      </w:r>
      <w:r>
        <w:t>former</w:t>
      </w:r>
      <w:r>
        <w:rPr>
          <w:spacing w:val="29"/>
        </w:rPr>
        <w:t xml:space="preserve"> </w:t>
      </w:r>
      <w:r>
        <w:t>is</w:t>
      </w:r>
      <w:r>
        <w:rPr>
          <w:spacing w:val="29"/>
        </w:rPr>
        <w:t xml:space="preserve"> </w:t>
      </w:r>
      <w:r>
        <w:t>evidence</w:t>
      </w:r>
      <w:r>
        <w:rPr>
          <w:spacing w:val="29"/>
        </w:rPr>
        <w:t xml:space="preserve"> </w:t>
      </w:r>
      <w:r>
        <w:t>of</w:t>
      </w:r>
      <w:r>
        <w:rPr>
          <w:spacing w:val="29"/>
        </w:rPr>
        <w:t xml:space="preserve"> </w:t>
      </w:r>
      <w:r>
        <w:t>the</w:t>
      </w:r>
      <w:r>
        <w:rPr>
          <w:spacing w:val="29"/>
        </w:rPr>
        <w:t xml:space="preserve"> </w:t>
      </w:r>
      <w:r>
        <w:t>latter.)Why</w:t>
      </w:r>
      <w:r>
        <w:rPr>
          <w:spacing w:val="29"/>
        </w:rPr>
        <w:t xml:space="preserve"> </w:t>
      </w:r>
      <w:r>
        <w:t>isn’t</w:t>
      </w:r>
      <w:r>
        <w:rPr>
          <w:spacing w:val="29"/>
        </w:rPr>
        <w:t xml:space="preserve"> </w:t>
      </w:r>
      <w:r>
        <w:t>it</w:t>
      </w:r>
    </w:p>
    <w:p w14:paraId="7E000C10"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0C11" w14:textId="77777777" w:rsidR="009A58DB" w:rsidRDefault="00000000">
      <w:pPr>
        <w:pStyle w:val="BodyText"/>
        <w:spacing w:before="65" w:line="249" w:lineRule="auto"/>
        <w:ind w:right="360"/>
      </w:pPr>
      <w:r>
        <w:rPr>
          <w:i/>
        </w:rPr>
        <w:lastRenderedPageBreak/>
        <w:t xml:space="preserve">sufficient? </w:t>
      </w:r>
      <w:r>
        <w:t>Given only that the cause of Bill’s failing was that he was drunk, we can’t infer from the fact that he failed that he was drunk. There are many reasons why a person may fail a test. Supposing that y caused x to occur, x is evidence of y only if it can’t reasonably be supposed that anything other than y was the cause. (Only a violent lung infection could be responsible for Smith’s hacking cough, that being why the latter is evidence of the former.)</w:t>
      </w:r>
    </w:p>
    <w:p w14:paraId="7E000C12" w14:textId="77777777" w:rsidR="009A58DB" w:rsidRDefault="00000000">
      <w:pPr>
        <w:pStyle w:val="Heading2"/>
        <w:spacing w:before="105" w:line="244" w:lineRule="auto"/>
        <w:ind w:right="357"/>
      </w:pPr>
      <w:r>
        <w:t xml:space="preserve">Meaning #2: The psychological meaning of </w:t>
      </w:r>
      <w:r>
        <w:rPr>
          <w:spacing w:val="-2"/>
        </w:rPr>
        <w:t>“meaning”</w:t>
      </w:r>
    </w:p>
    <w:p w14:paraId="7E000C13" w14:textId="77777777" w:rsidR="009A58DB" w:rsidRDefault="00000000">
      <w:pPr>
        <w:pStyle w:val="BodyText"/>
        <w:spacing w:before="72" w:line="249" w:lineRule="auto"/>
        <w:ind w:right="359"/>
      </w:pPr>
      <w:r>
        <w:t xml:space="preserve">When we use sentences, we mean things by them. Meaning in this sense is a psychological notion. You tell me that Sally is the most wonderful, decent person you’ve ever known. I respond by saying “things aren’t always as they seem.” What I mean is that Sally is devious. In other words, my intention in making this statement is to say that Sally is devious. Given that intentions are psychological entities, meaning in this sense is obviously a psychological </w:t>
      </w:r>
      <w:r>
        <w:rPr>
          <w:spacing w:val="-2"/>
        </w:rPr>
        <w:t>notion.</w:t>
      </w:r>
    </w:p>
    <w:p w14:paraId="7E000C14" w14:textId="77777777" w:rsidR="009A58DB" w:rsidRDefault="00000000">
      <w:pPr>
        <w:pStyle w:val="Heading2"/>
      </w:pPr>
      <w:r>
        <w:t>Meaning</w:t>
      </w:r>
      <w:r>
        <w:rPr>
          <w:spacing w:val="-6"/>
        </w:rPr>
        <w:t xml:space="preserve"> </w:t>
      </w:r>
      <w:r>
        <w:t>#3:</w:t>
      </w:r>
      <w:r>
        <w:rPr>
          <w:spacing w:val="-4"/>
        </w:rPr>
        <w:t xml:space="preserve"> </w:t>
      </w:r>
      <w:r>
        <w:t>The</w:t>
      </w:r>
      <w:r>
        <w:rPr>
          <w:spacing w:val="-4"/>
        </w:rPr>
        <w:t xml:space="preserve"> </w:t>
      </w:r>
      <w:r>
        <w:t>linguistic</w:t>
      </w:r>
      <w:r>
        <w:rPr>
          <w:spacing w:val="-5"/>
        </w:rPr>
        <w:t xml:space="preserve"> </w:t>
      </w:r>
      <w:r>
        <w:t>meaning</w:t>
      </w:r>
      <w:r>
        <w:rPr>
          <w:spacing w:val="-3"/>
        </w:rPr>
        <w:t xml:space="preserve"> </w:t>
      </w:r>
      <w:r>
        <w:t>of</w:t>
      </w:r>
      <w:r>
        <w:rPr>
          <w:spacing w:val="-4"/>
        </w:rPr>
        <w:t xml:space="preserve"> </w:t>
      </w:r>
      <w:r>
        <w:rPr>
          <w:spacing w:val="-2"/>
        </w:rPr>
        <w:t>“meaning”</w:t>
      </w:r>
    </w:p>
    <w:p w14:paraId="7E000C15" w14:textId="77777777" w:rsidR="009A58DB" w:rsidRDefault="00000000">
      <w:pPr>
        <w:pStyle w:val="BodyText"/>
        <w:spacing w:before="79" w:line="249" w:lineRule="auto"/>
        <w:ind w:right="365"/>
      </w:pPr>
      <w:r>
        <w:t xml:space="preserve">The sentence “snow is white” says something about something; it attributes the property of being white to snow. Therefore, it </w:t>
      </w:r>
      <w:r>
        <w:rPr>
          <w:i/>
        </w:rPr>
        <w:t xml:space="preserve">means </w:t>
      </w:r>
      <w:r>
        <w:t>that snow is white. This kind of meaning is in a class by itself; it isn’t identical with either of the two kinds mentioned so far; and there isn’t any obvious way to understand it in terms of them. Let us now say why.</w:t>
      </w:r>
    </w:p>
    <w:p w14:paraId="7E000C16" w14:textId="77777777" w:rsidR="009A58DB" w:rsidRDefault="00000000">
      <w:pPr>
        <w:pStyle w:val="BodyText"/>
        <w:spacing w:before="7" w:line="249" w:lineRule="auto"/>
        <w:ind w:right="359" w:firstLine="360"/>
      </w:pPr>
      <w:r>
        <w:t xml:space="preserve">Meaning in the psychological sense </w:t>
      </w:r>
      <w:r>
        <w:rPr>
          <w:i/>
        </w:rPr>
        <w:t xml:space="preserve">involves, </w:t>
      </w:r>
      <w:r>
        <w:t>but does not coincide with, meaning in the linguistic sense. Once again suppose that, in response to your telling</w:t>
      </w:r>
      <w:r>
        <w:rPr>
          <w:spacing w:val="-2"/>
        </w:rPr>
        <w:t xml:space="preserve"> </w:t>
      </w:r>
      <w:r>
        <w:t>me</w:t>
      </w:r>
      <w:r>
        <w:rPr>
          <w:spacing w:val="-3"/>
        </w:rPr>
        <w:t xml:space="preserve"> </w:t>
      </w:r>
      <w:r>
        <w:t>that</w:t>
      </w:r>
      <w:r>
        <w:rPr>
          <w:spacing w:val="-3"/>
        </w:rPr>
        <w:t xml:space="preserve"> </w:t>
      </w:r>
      <w:r>
        <w:t>Sally</w:t>
      </w:r>
      <w:r>
        <w:rPr>
          <w:spacing w:val="-2"/>
        </w:rPr>
        <w:t xml:space="preserve"> </w:t>
      </w:r>
      <w:r>
        <w:t>is</w:t>
      </w:r>
      <w:r>
        <w:rPr>
          <w:spacing w:val="-3"/>
        </w:rPr>
        <w:t xml:space="preserve"> </w:t>
      </w:r>
      <w:r>
        <w:t>a</w:t>
      </w:r>
      <w:r>
        <w:rPr>
          <w:spacing w:val="-3"/>
        </w:rPr>
        <w:t xml:space="preserve"> </w:t>
      </w:r>
      <w:r>
        <w:t>wonderful</w:t>
      </w:r>
      <w:r>
        <w:rPr>
          <w:spacing w:val="-3"/>
        </w:rPr>
        <w:t xml:space="preserve"> </w:t>
      </w:r>
      <w:r>
        <w:t>person,</w:t>
      </w:r>
      <w:r>
        <w:rPr>
          <w:spacing w:val="-2"/>
        </w:rPr>
        <w:t xml:space="preserve"> </w:t>
      </w:r>
      <w:r>
        <w:t>I</w:t>
      </w:r>
      <w:r>
        <w:rPr>
          <w:spacing w:val="-3"/>
        </w:rPr>
        <w:t xml:space="preserve"> </w:t>
      </w:r>
      <w:r>
        <w:t>say</w:t>
      </w:r>
      <w:r>
        <w:rPr>
          <w:spacing w:val="-2"/>
        </w:rPr>
        <w:t xml:space="preserve"> </w:t>
      </w:r>
      <w:r>
        <w:t>“things</w:t>
      </w:r>
      <w:r>
        <w:rPr>
          <w:spacing w:val="-3"/>
        </w:rPr>
        <w:t xml:space="preserve"> </w:t>
      </w:r>
      <w:r>
        <w:t>aren’t</w:t>
      </w:r>
      <w:r>
        <w:rPr>
          <w:spacing w:val="-3"/>
        </w:rPr>
        <w:t xml:space="preserve"> </w:t>
      </w:r>
      <w:r>
        <w:t>always</w:t>
      </w:r>
      <w:r>
        <w:rPr>
          <w:spacing w:val="-3"/>
        </w:rPr>
        <w:t xml:space="preserve"> </w:t>
      </w:r>
      <w:r>
        <w:t>as</w:t>
      </w:r>
      <w:r>
        <w:rPr>
          <w:spacing w:val="-3"/>
        </w:rPr>
        <w:t xml:space="preserve"> </w:t>
      </w:r>
      <w:r>
        <w:t>they seem.”</w:t>
      </w:r>
      <w:r>
        <w:rPr>
          <w:spacing w:val="-4"/>
        </w:rPr>
        <w:t xml:space="preserve"> </w:t>
      </w:r>
      <w:r>
        <w:rPr>
          <w:i/>
        </w:rPr>
        <w:t>My</w:t>
      </w:r>
      <w:r>
        <w:rPr>
          <w:i/>
          <w:spacing w:val="-4"/>
        </w:rPr>
        <w:t xml:space="preserve"> </w:t>
      </w:r>
      <w:r>
        <w:t>meaning—what I’m trying to get across—is that Sally is devious. But in my attempt to get this across, I’m taking advantage of the fact that “things aren’t always as they seem” has an existing (linguistic) meaning. My meaning that Sally is devious is parasitic on my utterance’s meaning that things aren’t always as they seem. Meaning in the psychological sense is therefore parasitic on meaning in the linguistic sense.</w:t>
      </w:r>
    </w:p>
    <w:p w14:paraId="7E000C17" w14:textId="77777777" w:rsidR="009A58DB" w:rsidRDefault="00000000">
      <w:pPr>
        <w:spacing w:before="214"/>
        <w:ind w:left="360"/>
        <w:rPr>
          <w:b/>
          <w:sz w:val="42"/>
        </w:rPr>
      </w:pPr>
      <w:r>
        <w:rPr>
          <w:b/>
          <w:sz w:val="42"/>
        </w:rPr>
        <w:t>1.2</w:t>
      </w:r>
      <w:r>
        <w:rPr>
          <w:b/>
          <w:spacing w:val="-4"/>
          <w:sz w:val="42"/>
        </w:rPr>
        <w:t xml:space="preserve"> </w:t>
      </w:r>
      <w:r>
        <w:rPr>
          <w:b/>
          <w:sz w:val="42"/>
        </w:rPr>
        <w:t>Why</w:t>
      </w:r>
      <w:r>
        <w:rPr>
          <w:b/>
          <w:spacing w:val="-2"/>
          <w:sz w:val="42"/>
        </w:rPr>
        <w:t xml:space="preserve"> </w:t>
      </w:r>
      <w:r>
        <w:rPr>
          <w:b/>
          <w:sz w:val="42"/>
        </w:rPr>
        <w:t>Meaning</w:t>
      </w:r>
      <w:r>
        <w:rPr>
          <w:b/>
          <w:spacing w:val="-2"/>
          <w:sz w:val="42"/>
        </w:rPr>
        <w:t xml:space="preserve"> </w:t>
      </w:r>
      <w:r>
        <w:rPr>
          <w:b/>
          <w:sz w:val="42"/>
        </w:rPr>
        <w:t>#3</w:t>
      </w:r>
      <w:r>
        <w:rPr>
          <w:b/>
          <w:spacing w:val="-2"/>
          <w:sz w:val="42"/>
        </w:rPr>
        <w:t xml:space="preserve"> </w:t>
      </w:r>
      <w:r>
        <w:rPr>
          <w:sz w:val="42"/>
        </w:rPr>
        <w:t>≠</w:t>
      </w:r>
      <w:r>
        <w:rPr>
          <w:spacing w:val="-3"/>
          <w:sz w:val="42"/>
        </w:rPr>
        <w:t xml:space="preserve"> </w:t>
      </w:r>
      <w:r>
        <w:rPr>
          <w:b/>
          <w:sz w:val="42"/>
        </w:rPr>
        <w:t>Meaning</w:t>
      </w:r>
      <w:r>
        <w:rPr>
          <w:b/>
          <w:spacing w:val="-1"/>
          <w:sz w:val="42"/>
        </w:rPr>
        <w:t xml:space="preserve"> </w:t>
      </w:r>
      <w:r>
        <w:rPr>
          <w:b/>
          <w:spacing w:val="-5"/>
          <w:sz w:val="42"/>
        </w:rPr>
        <w:t>#2</w:t>
      </w:r>
    </w:p>
    <w:p w14:paraId="7E000C18" w14:textId="77777777" w:rsidR="009A58DB" w:rsidRDefault="00000000">
      <w:pPr>
        <w:pStyle w:val="BodyText"/>
        <w:spacing w:before="139"/>
      </w:pPr>
      <w:r>
        <w:t>Some</w:t>
      </w:r>
      <w:r>
        <w:rPr>
          <w:spacing w:val="-4"/>
        </w:rPr>
        <w:t xml:space="preserve"> </w:t>
      </w:r>
      <w:r>
        <w:t>philosophers</w:t>
      </w:r>
      <w:r>
        <w:rPr>
          <w:spacing w:val="-4"/>
        </w:rPr>
        <w:t xml:space="preserve"> </w:t>
      </w:r>
      <w:r>
        <w:t>and</w:t>
      </w:r>
      <w:r>
        <w:rPr>
          <w:spacing w:val="-2"/>
        </w:rPr>
        <w:t xml:space="preserve"> </w:t>
      </w:r>
      <w:r>
        <w:t>linguists</w:t>
      </w:r>
      <w:r>
        <w:rPr>
          <w:spacing w:val="-4"/>
        </w:rPr>
        <w:t xml:space="preserve"> </w:t>
      </w:r>
      <w:r>
        <w:t>have</w:t>
      </w:r>
      <w:r>
        <w:rPr>
          <w:spacing w:val="-3"/>
        </w:rPr>
        <w:t xml:space="preserve"> </w:t>
      </w:r>
      <w:r>
        <w:t>held</w:t>
      </w:r>
      <w:r>
        <w:rPr>
          <w:spacing w:val="-3"/>
        </w:rPr>
        <w:t xml:space="preserve"> </w:t>
      </w:r>
      <w:r>
        <w:t>that</w:t>
      </w:r>
      <w:r>
        <w:rPr>
          <w:spacing w:val="-3"/>
        </w:rPr>
        <w:t xml:space="preserve"> </w:t>
      </w:r>
      <w:r>
        <w:rPr>
          <w:spacing w:val="-4"/>
        </w:rPr>
        <w:t>for:</w:t>
      </w:r>
    </w:p>
    <w:p w14:paraId="7E000C19" w14:textId="77777777" w:rsidR="009A58DB" w:rsidRDefault="009A58DB">
      <w:pPr>
        <w:pStyle w:val="BodyText"/>
        <w:sectPr w:rsidR="009A58DB">
          <w:pgSz w:w="12240" w:h="15840"/>
          <w:pgMar w:top="1380" w:right="1080" w:bottom="280" w:left="1080" w:header="720" w:footer="720" w:gutter="0"/>
          <w:cols w:space="720"/>
        </w:sectPr>
      </w:pPr>
    </w:p>
    <w:p w14:paraId="7E000C1A" w14:textId="77777777" w:rsidR="009A58DB" w:rsidRDefault="00000000">
      <w:pPr>
        <w:pStyle w:val="ListParagraph"/>
        <w:numPr>
          <w:ilvl w:val="0"/>
          <w:numId w:val="190"/>
        </w:numPr>
        <w:tabs>
          <w:tab w:val="left" w:pos="782"/>
        </w:tabs>
        <w:spacing w:before="65"/>
        <w:ind w:left="782" w:hanging="422"/>
        <w:jc w:val="both"/>
        <w:rPr>
          <w:sz w:val="30"/>
        </w:rPr>
      </w:pPr>
      <w:r>
        <w:rPr>
          <w:sz w:val="30"/>
        </w:rPr>
        <w:lastRenderedPageBreak/>
        <w:t>“snow</w:t>
      </w:r>
      <w:r>
        <w:rPr>
          <w:spacing w:val="-3"/>
          <w:sz w:val="30"/>
        </w:rPr>
        <w:t xml:space="preserve"> </w:t>
      </w:r>
      <w:r>
        <w:rPr>
          <w:sz w:val="30"/>
        </w:rPr>
        <w:t>is</w:t>
      </w:r>
      <w:r>
        <w:rPr>
          <w:spacing w:val="-2"/>
          <w:sz w:val="30"/>
        </w:rPr>
        <w:t xml:space="preserve"> white”</w:t>
      </w:r>
    </w:p>
    <w:p w14:paraId="7E000C1B" w14:textId="77777777" w:rsidR="009A58DB" w:rsidRDefault="00000000">
      <w:pPr>
        <w:pStyle w:val="BodyText"/>
        <w:spacing w:before="120" w:line="249" w:lineRule="auto"/>
        <w:ind w:right="360"/>
        <w:rPr>
          <w:position w:val="21"/>
        </w:rPr>
      </w:pPr>
      <w:r>
        <w:t xml:space="preserve">to mean that snow is white is for it to be the case that, in uttering “snow is white,” what </w:t>
      </w:r>
      <w:r>
        <w:rPr>
          <w:i/>
        </w:rPr>
        <w:t>people</w:t>
      </w:r>
      <w:r>
        <w:rPr>
          <w:i/>
          <w:spacing w:val="-3"/>
        </w:rPr>
        <w:t xml:space="preserve"> </w:t>
      </w:r>
      <w:r>
        <w:t>mean is that snow is white. This view, duly generalized, is that for a sentence S to have meaning M is for it to be the case that, in uttering S, people to mean M</w:t>
      </w:r>
      <w:bookmarkStart w:id="137" w:name="_bookmark137"/>
      <w:bookmarkEnd w:id="137"/>
      <w:r>
        <w:t>.</w:t>
      </w:r>
      <w:r>
        <w:rPr>
          <w:color w:val="0562C1"/>
          <w:position w:val="21"/>
          <w:u w:val="single" w:color="0562C1"/>
        </w:rPr>
        <w:t>[71]</w:t>
      </w:r>
    </w:p>
    <w:p w14:paraId="7E000C1C" w14:textId="77777777" w:rsidR="009A58DB" w:rsidRDefault="00000000">
      <w:pPr>
        <w:pStyle w:val="BodyText"/>
        <w:spacing w:before="5" w:line="249" w:lineRule="auto"/>
        <w:ind w:right="363" w:firstLine="360"/>
      </w:pPr>
      <w:r>
        <w:t xml:space="preserve">This position is false. There are many sentences that have determinate meanings even though they’ve never been uttered before and, therefore, no one as of yet has ever meant </w:t>
      </w:r>
      <w:r>
        <w:rPr>
          <w:i/>
        </w:rPr>
        <w:t xml:space="preserve">anything </w:t>
      </w:r>
      <w:r>
        <w:t>by them. The sentence:</w:t>
      </w:r>
    </w:p>
    <w:p w14:paraId="7E000C1D" w14:textId="77777777" w:rsidR="009A58DB" w:rsidRDefault="00000000">
      <w:pPr>
        <w:pStyle w:val="ListParagraph"/>
        <w:numPr>
          <w:ilvl w:val="0"/>
          <w:numId w:val="190"/>
        </w:numPr>
        <w:tabs>
          <w:tab w:val="left" w:pos="1260"/>
          <w:tab w:val="left" w:pos="3182"/>
        </w:tabs>
        <w:spacing w:before="93" w:line="249" w:lineRule="auto"/>
        <w:ind w:left="3182" w:right="837" w:hanging="2344"/>
        <w:jc w:val="both"/>
        <w:rPr>
          <w:sz w:val="30"/>
        </w:rPr>
      </w:pPr>
      <w:r>
        <w:rPr>
          <w:sz w:val="30"/>
        </w:rPr>
        <w:t>“the</w:t>
      </w:r>
      <w:r>
        <w:rPr>
          <w:spacing w:val="-4"/>
          <w:sz w:val="30"/>
        </w:rPr>
        <w:t xml:space="preserve"> </w:t>
      </w:r>
      <w:r>
        <w:rPr>
          <w:sz w:val="30"/>
        </w:rPr>
        <w:t>cube</w:t>
      </w:r>
      <w:r>
        <w:rPr>
          <w:spacing w:val="-4"/>
          <w:sz w:val="30"/>
        </w:rPr>
        <w:t xml:space="preserve"> </w:t>
      </w:r>
      <w:r>
        <w:rPr>
          <w:sz w:val="30"/>
        </w:rPr>
        <w:t>root</w:t>
      </w:r>
      <w:r>
        <w:rPr>
          <w:spacing w:val="-4"/>
          <w:sz w:val="30"/>
        </w:rPr>
        <w:t xml:space="preserve"> </w:t>
      </w:r>
      <w:r>
        <w:rPr>
          <w:sz w:val="30"/>
        </w:rPr>
        <w:t>of</w:t>
      </w:r>
      <w:r>
        <w:rPr>
          <w:spacing w:val="-4"/>
          <w:sz w:val="30"/>
        </w:rPr>
        <w:t xml:space="preserve"> </w:t>
      </w:r>
      <w:r>
        <w:rPr>
          <w:sz w:val="30"/>
        </w:rPr>
        <w:t>three</w:t>
      </w:r>
      <w:r>
        <w:rPr>
          <w:spacing w:val="-4"/>
          <w:sz w:val="30"/>
        </w:rPr>
        <w:t xml:space="preserve"> </w:t>
      </w:r>
      <w:r>
        <w:rPr>
          <w:sz w:val="30"/>
        </w:rPr>
        <w:t>is</w:t>
      </w:r>
      <w:r>
        <w:rPr>
          <w:spacing w:val="-4"/>
          <w:sz w:val="30"/>
        </w:rPr>
        <w:t xml:space="preserve"> </w:t>
      </w:r>
      <w:r>
        <w:rPr>
          <w:sz w:val="30"/>
        </w:rPr>
        <w:t>Sir</w:t>
      </w:r>
      <w:r>
        <w:rPr>
          <w:spacing w:val="-4"/>
          <w:sz w:val="30"/>
        </w:rPr>
        <w:t xml:space="preserve"> </w:t>
      </w:r>
      <w:r>
        <w:rPr>
          <w:sz w:val="30"/>
        </w:rPr>
        <w:t>Lawrence</w:t>
      </w:r>
      <w:r>
        <w:rPr>
          <w:spacing w:val="-4"/>
          <w:sz w:val="30"/>
        </w:rPr>
        <w:t xml:space="preserve"> </w:t>
      </w:r>
      <w:r>
        <w:rPr>
          <w:sz w:val="30"/>
        </w:rPr>
        <w:t>Olivier’s</w:t>
      </w:r>
      <w:r>
        <w:rPr>
          <w:spacing w:val="-4"/>
          <w:sz w:val="30"/>
        </w:rPr>
        <w:t xml:space="preserve"> </w:t>
      </w:r>
      <w:r>
        <w:rPr>
          <w:sz w:val="30"/>
        </w:rPr>
        <w:t>favorite</w:t>
      </w:r>
      <w:r>
        <w:rPr>
          <w:spacing w:val="-4"/>
          <w:sz w:val="30"/>
        </w:rPr>
        <w:t xml:space="preserve"> </w:t>
      </w:r>
      <w:r>
        <w:rPr>
          <w:sz w:val="30"/>
        </w:rPr>
        <w:t>irrational number between one and four”</w:t>
      </w:r>
    </w:p>
    <w:p w14:paraId="7E000C1E" w14:textId="77777777" w:rsidR="009A58DB" w:rsidRDefault="00000000">
      <w:pPr>
        <w:pStyle w:val="BodyText"/>
        <w:spacing w:before="108" w:line="249" w:lineRule="auto"/>
        <w:ind w:right="358"/>
      </w:pPr>
      <w:r>
        <w:t xml:space="preserve">has a determinate meaning, even though that sentence never probably has been uttered. Thus, meaning in the linguistic sense is not in </w:t>
      </w:r>
      <w:r>
        <w:rPr>
          <w:i/>
        </w:rPr>
        <w:t>all</w:t>
      </w:r>
      <w:r>
        <w:rPr>
          <w:i/>
          <w:spacing w:val="-3"/>
        </w:rPr>
        <w:t xml:space="preserve"> </w:t>
      </w:r>
      <w:r>
        <w:t>cases</w:t>
      </w:r>
      <w:r>
        <w:rPr>
          <w:spacing w:val="-3"/>
        </w:rPr>
        <w:t xml:space="preserve"> </w:t>
      </w:r>
      <w:r>
        <w:t>identical with meaning in the psychological sense.</w:t>
      </w:r>
    </w:p>
    <w:p w14:paraId="7E000C1F" w14:textId="77777777" w:rsidR="009A58DB" w:rsidRDefault="00000000">
      <w:pPr>
        <w:pStyle w:val="BodyText"/>
        <w:spacing w:before="3" w:line="292" w:lineRule="auto"/>
        <w:ind w:right="359" w:firstLine="360"/>
      </w:pPr>
      <w:r>
        <w:t>But a stronger point is warranted. Let’s say that P</w:t>
      </w:r>
      <w:r>
        <w:rPr>
          <w:vertAlign w:val="subscript"/>
        </w:rPr>
        <w:t>1</w:t>
      </w:r>
      <w:r>
        <w:t xml:space="preserve"> and P</w:t>
      </w:r>
      <w:r>
        <w:rPr>
          <w:vertAlign w:val="subscript"/>
        </w:rPr>
        <w:t>2</w:t>
      </w:r>
      <w:r>
        <w:t xml:space="preserve"> are the propositions meant by (1) and (2), respectively. In saying that (1) means P</w:t>
      </w:r>
      <w:r>
        <w:rPr>
          <w:vertAlign w:val="subscript"/>
        </w:rPr>
        <w:t>1</w:t>
      </w:r>
      <w:r>
        <w:t xml:space="preserve"> and</w:t>
      </w:r>
      <w:r>
        <w:rPr>
          <w:spacing w:val="14"/>
        </w:rPr>
        <w:t xml:space="preserve"> </w:t>
      </w:r>
      <w:r>
        <w:t>that</w:t>
      </w:r>
      <w:r>
        <w:rPr>
          <w:spacing w:val="13"/>
        </w:rPr>
        <w:t xml:space="preserve"> </w:t>
      </w:r>
      <w:r>
        <w:t>(2)</w:t>
      </w:r>
      <w:r>
        <w:rPr>
          <w:spacing w:val="14"/>
        </w:rPr>
        <w:t xml:space="preserve"> </w:t>
      </w:r>
      <w:r>
        <w:t>means</w:t>
      </w:r>
      <w:r>
        <w:rPr>
          <w:spacing w:val="13"/>
        </w:rPr>
        <w:t xml:space="preserve"> </w:t>
      </w:r>
      <w:r>
        <w:t>P</w:t>
      </w:r>
      <w:r>
        <w:rPr>
          <w:vertAlign w:val="subscript"/>
        </w:rPr>
        <w:t>2</w:t>
      </w:r>
      <w:r>
        <w:t>,</w:t>
      </w:r>
      <w:r>
        <w:rPr>
          <w:spacing w:val="16"/>
        </w:rPr>
        <w:t xml:space="preserve"> </w:t>
      </w:r>
      <w:r>
        <w:t>we</w:t>
      </w:r>
      <w:r>
        <w:rPr>
          <w:spacing w:val="15"/>
        </w:rPr>
        <w:t xml:space="preserve"> </w:t>
      </w:r>
      <w:r>
        <w:t>are</w:t>
      </w:r>
      <w:r>
        <w:rPr>
          <w:spacing w:val="16"/>
        </w:rPr>
        <w:t xml:space="preserve"> </w:t>
      </w:r>
      <w:r>
        <w:t>not</w:t>
      </w:r>
      <w:r>
        <w:rPr>
          <w:spacing w:val="15"/>
        </w:rPr>
        <w:t xml:space="preserve"> </w:t>
      </w:r>
      <w:r>
        <w:t>using</w:t>
      </w:r>
      <w:r>
        <w:rPr>
          <w:spacing w:val="16"/>
        </w:rPr>
        <w:t xml:space="preserve"> </w:t>
      </w:r>
      <w:r>
        <w:t>the</w:t>
      </w:r>
      <w:r>
        <w:rPr>
          <w:spacing w:val="15"/>
        </w:rPr>
        <w:t xml:space="preserve"> </w:t>
      </w:r>
      <w:r>
        <w:t>word</w:t>
      </w:r>
      <w:r>
        <w:rPr>
          <w:spacing w:val="16"/>
        </w:rPr>
        <w:t xml:space="preserve"> </w:t>
      </w:r>
      <w:r>
        <w:t>“means”</w:t>
      </w:r>
      <w:r>
        <w:rPr>
          <w:spacing w:val="15"/>
        </w:rPr>
        <w:t xml:space="preserve"> </w:t>
      </w:r>
      <w:r>
        <w:t>equivocally.</w:t>
      </w:r>
      <w:r>
        <w:rPr>
          <w:spacing w:val="15"/>
        </w:rPr>
        <w:t xml:space="preserve"> </w:t>
      </w:r>
      <w:r>
        <w:rPr>
          <w:spacing w:val="-4"/>
        </w:rPr>
        <w:t>Both</w:t>
      </w:r>
    </w:p>
    <w:p w14:paraId="7E000C20" w14:textId="77777777" w:rsidR="009A58DB" w:rsidRDefault="00000000">
      <w:pPr>
        <w:pStyle w:val="BodyText"/>
        <w:spacing w:line="249" w:lineRule="auto"/>
        <w:ind w:right="358"/>
      </w:pPr>
      <w:r>
        <w:t xml:space="preserve">occurrences of “means” in the last sentence denote the same relationship. Thus, the relationship that (1) bears to its meaning is the same as the relationship that (2) bears to </w:t>
      </w:r>
      <w:r>
        <w:rPr>
          <w:i/>
        </w:rPr>
        <w:t>its</w:t>
      </w:r>
      <w:r>
        <w:rPr>
          <w:i/>
          <w:spacing w:val="-3"/>
        </w:rPr>
        <w:t xml:space="preserve"> </w:t>
      </w:r>
      <w:r>
        <w:t>meaning. Given that, as we saw, (2)’s having P</w:t>
      </w:r>
      <w:r>
        <w:rPr>
          <w:vertAlign w:val="subscript"/>
        </w:rPr>
        <w:t>2</w:t>
      </w:r>
      <w:r>
        <w:rPr>
          <w:spacing w:val="44"/>
          <w:w w:val="150"/>
        </w:rPr>
        <w:t xml:space="preserve"> </w:t>
      </w:r>
      <w:r>
        <w:t>for</w:t>
      </w:r>
      <w:r>
        <w:rPr>
          <w:spacing w:val="44"/>
          <w:w w:val="150"/>
        </w:rPr>
        <w:t xml:space="preserve"> </w:t>
      </w:r>
      <w:r>
        <w:t>its</w:t>
      </w:r>
      <w:r>
        <w:rPr>
          <w:spacing w:val="44"/>
          <w:w w:val="150"/>
        </w:rPr>
        <w:t xml:space="preserve"> </w:t>
      </w:r>
      <w:r>
        <w:t>meaning</w:t>
      </w:r>
      <w:r>
        <w:rPr>
          <w:spacing w:val="44"/>
          <w:w w:val="150"/>
        </w:rPr>
        <w:t xml:space="preserve"> </w:t>
      </w:r>
      <w:r>
        <w:t>isn’t</w:t>
      </w:r>
      <w:r>
        <w:rPr>
          <w:spacing w:val="45"/>
          <w:w w:val="150"/>
        </w:rPr>
        <w:t xml:space="preserve"> </w:t>
      </w:r>
      <w:r>
        <w:t>identical</w:t>
      </w:r>
      <w:r>
        <w:rPr>
          <w:spacing w:val="44"/>
          <w:w w:val="150"/>
        </w:rPr>
        <w:t xml:space="preserve"> </w:t>
      </w:r>
      <w:r>
        <w:t>with</w:t>
      </w:r>
      <w:r>
        <w:rPr>
          <w:spacing w:val="44"/>
          <w:w w:val="150"/>
        </w:rPr>
        <w:t xml:space="preserve"> </w:t>
      </w:r>
      <w:r>
        <w:t>P</w:t>
      </w:r>
      <w:r>
        <w:rPr>
          <w:vertAlign w:val="subscript"/>
        </w:rPr>
        <w:t>2</w:t>
      </w:r>
      <w:r>
        <w:t>’s</w:t>
      </w:r>
      <w:r>
        <w:rPr>
          <w:spacing w:val="46"/>
          <w:w w:val="150"/>
        </w:rPr>
        <w:t xml:space="preserve"> </w:t>
      </w:r>
      <w:r>
        <w:t>being</w:t>
      </w:r>
      <w:r>
        <w:rPr>
          <w:spacing w:val="47"/>
          <w:w w:val="150"/>
        </w:rPr>
        <w:t xml:space="preserve"> </w:t>
      </w:r>
      <w:r>
        <w:t>what</w:t>
      </w:r>
      <w:r>
        <w:rPr>
          <w:spacing w:val="47"/>
          <w:w w:val="150"/>
        </w:rPr>
        <w:t xml:space="preserve"> </w:t>
      </w:r>
      <w:r>
        <w:t>people</w:t>
      </w:r>
      <w:r>
        <w:rPr>
          <w:spacing w:val="46"/>
          <w:w w:val="150"/>
        </w:rPr>
        <w:t xml:space="preserve"> </w:t>
      </w:r>
      <w:r>
        <w:t>mean</w:t>
      </w:r>
      <w:r>
        <w:rPr>
          <w:spacing w:val="47"/>
          <w:w w:val="150"/>
        </w:rPr>
        <w:t xml:space="preserve"> </w:t>
      </w:r>
      <w:r>
        <w:rPr>
          <w:spacing w:val="-5"/>
        </w:rPr>
        <w:t>in</w:t>
      </w:r>
    </w:p>
    <w:p w14:paraId="7E000C21" w14:textId="77777777" w:rsidR="009A58DB" w:rsidRDefault="00000000">
      <w:pPr>
        <w:pStyle w:val="BodyText"/>
        <w:spacing w:before="63" w:line="292" w:lineRule="auto"/>
        <w:ind w:right="365"/>
      </w:pPr>
      <w:r>
        <w:t>uttering (2), it follows that (1)’s having P</w:t>
      </w:r>
      <w:r>
        <w:rPr>
          <w:vertAlign w:val="subscript"/>
        </w:rPr>
        <w:t>1</w:t>
      </w:r>
      <w:r>
        <w:t xml:space="preserve"> for its meaning isn’t identical with P</w:t>
      </w:r>
      <w:r>
        <w:rPr>
          <w:vertAlign w:val="subscript"/>
        </w:rPr>
        <w:t>1</w:t>
      </w:r>
      <w:r>
        <w:t>’s</w:t>
      </w:r>
      <w:r>
        <w:rPr>
          <w:spacing w:val="40"/>
        </w:rPr>
        <w:t xml:space="preserve"> </w:t>
      </w:r>
      <w:r>
        <w:t>being</w:t>
      </w:r>
      <w:r>
        <w:rPr>
          <w:spacing w:val="40"/>
        </w:rPr>
        <w:t xml:space="preserve"> </w:t>
      </w:r>
      <w:r>
        <w:t>what</w:t>
      </w:r>
      <w:r>
        <w:rPr>
          <w:spacing w:val="40"/>
        </w:rPr>
        <w:t xml:space="preserve"> </w:t>
      </w:r>
      <w:r>
        <w:t>people</w:t>
      </w:r>
      <w:r>
        <w:rPr>
          <w:spacing w:val="40"/>
        </w:rPr>
        <w:t xml:space="preserve"> </w:t>
      </w:r>
      <w:r>
        <w:t>mean</w:t>
      </w:r>
      <w:r>
        <w:rPr>
          <w:spacing w:val="40"/>
        </w:rPr>
        <w:t xml:space="preserve"> </w:t>
      </w:r>
      <w:r>
        <w:t>in</w:t>
      </w:r>
      <w:r>
        <w:rPr>
          <w:spacing w:val="40"/>
        </w:rPr>
        <w:t xml:space="preserve"> </w:t>
      </w:r>
      <w:r>
        <w:t>uttering</w:t>
      </w:r>
      <w:r>
        <w:rPr>
          <w:spacing w:val="40"/>
        </w:rPr>
        <w:t xml:space="preserve"> </w:t>
      </w:r>
      <w:r>
        <w:t>(1).</w:t>
      </w:r>
      <w:r>
        <w:rPr>
          <w:spacing w:val="40"/>
        </w:rPr>
        <w:t xml:space="preserve"> </w:t>
      </w:r>
      <w:r>
        <w:t>Of</w:t>
      </w:r>
      <w:r>
        <w:rPr>
          <w:spacing w:val="40"/>
        </w:rPr>
        <w:t xml:space="preserve"> </w:t>
      </w:r>
      <w:r>
        <w:t>course,</w:t>
      </w:r>
      <w:r>
        <w:rPr>
          <w:spacing w:val="40"/>
        </w:rPr>
        <w:t xml:space="preserve"> </w:t>
      </w:r>
      <w:r>
        <w:t>what</w:t>
      </w:r>
      <w:r>
        <w:rPr>
          <w:spacing w:val="40"/>
        </w:rPr>
        <w:t xml:space="preserve"> </w:t>
      </w:r>
      <w:r>
        <w:t>we</w:t>
      </w:r>
      <w:r>
        <w:rPr>
          <w:spacing w:val="40"/>
        </w:rPr>
        <w:t xml:space="preserve"> </w:t>
      </w:r>
      <w:r>
        <w:t>just</w:t>
      </w:r>
      <w:r>
        <w:rPr>
          <w:spacing w:val="40"/>
        </w:rPr>
        <w:t xml:space="preserve"> </w:t>
      </w:r>
      <w:r>
        <w:t>said</w:t>
      </w:r>
    </w:p>
    <w:p w14:paraId="7E000C22" w14:textId="77777777" w:rsidR="009A58DB" w:rsidRDefault="00000000">
      <w:pPr>
        <w:pStyle w:val="BodyText"/>
        <w:spacing w:line="249" w:lineRule="auto"/>
        <w:ind w:right="358"/>
      </w:pPr>
      <w:r>
        <w:t>about (1) and (2) can be said of any other sentence. So even if what people mean in uttering a given sentence happens to coincide with its literal meaning,</w:t>
      </w:r>
      <w:r>
        <w:rPr>
          <w:spacing w:val="-2"/>
        </w:rPr>
        <w:t xml:space="preserve"> </w:t>
      </w:r>
      <w:r>
        <w:t>what</w:t>
      </w:r>
      <w:r>
        <w:rPr>
          <w:spacing w:val="-3"/>
        </w:rPr>
        <w:t xml:space="preserve"> </w:t>
      </w:r>
      <w:r>
        <w:t>it</w:t>
      </w:r>
      <w:r>
        <w:rPr>
          <w:spacing w:val="-3"/>
        </w:rPr>
        <w:t xml:space="preserve"> </w:t>
      </w:r>
      <w:r>
        <w:t>is</w:t>
      </w:r>
      <w:r>
        <w:rPr>
          <w:spacing w:val="-3"/>
        </w:rPr>
        <w:t xml:space="preserve"> </w:t>
      </w:r>
      <w:r>
        <w:t>for</w:t>
      </w:r>
      <w:r>
        <w:rPr>
          <w:spacing w:val="-3"/>
        </w:rPr>
        <w:t xml:space="preserve"> </w:t>
      </w:r>
      <w:r>
        <w:t>sentence</w:t>
      </w:r>
      <w:r>
        <w:rPr>
          <w:spacing w:val="-3"/>
        </w:rPr>
        <w:t xml:space="preserve"> </w:t>
      </w:r>
      <w:r>
        <w:t>S</w:t>
      </w:r>
      <w:r>
        <w:rPr>
          <w:spacing w:val="-3"/>
        </w:rPr>
        <w:t xml:space="preserve"> </w:t>
      </w:r>
      <w:r>
        <w:t>to</w:t>
      </w:r>
      <w:r>
        <w:rPr>
          <w:spacing w:val="-2"/>
        </w:rPr>
        <w:t xml:space="preserve"> </w:t>
      </w:r>
      <w:r>
        <w:t>have</w:t>
      </w:r>
      <w:r>
        <w:rPr>
          <w:spacing w:val="-3"/>
        </w:rPr>
        <w:t xml:space="preserve"> </w:t>
      </w:r>
      <w:r>
        <w:t>proposition</w:t>
      </w:r>
      <w:r>
        <w:rPr>
          <w:spacing w:val="-2"/>
        </w:rPr>
        <w:t xml:space="preserve"> </w:t>
      </w:r>
      <w:r>
        <w:t>P</w:t>
      </w:r>
      <w:r>
        <w:rPr>
          <w:spacing w:val="-3"/>
        </w:rPr>
        <w:t xml:space="preserve"> </w:t>
      </w:r>
      <w:r>
        <w:t>for</w:t>
      </w:r>
      <w:r>
        <w:rPr>
          <w:spacing w:val="-3"/>
        </w:rPr>
        <w:t xml:space="preserve"> </w:t>
      </w:r>
      <w:r>
        <w:t>its</w:t>
      </w:r>
      <w:r>
        <w:rPr>
          <w:spacing w:val="-3"/>
        </w:rPr>
        <w:t xml:space="preserve"> </w:t>
      </w:r>
      <w:r>
        <w:t>literal</w:t>
      </w:r>
      <w:r>
        <w:rPr>
          <w:spacing w:val="-3"/>
        </w:rPr>
        <w:t xml:space="preserve"> </w:t>
      </w:r>
      <w:r>
        <w:t>meaning isn’t for people to mean P in uttering S.</w:t>
      </w:r>
    </w:p>
    <w:p w14:paraId="7E000C23" w14:textId="77777777" w:rsidR="009A58DB" w:rsidRDefault="00000000">
      <w:pPr>
        <w:pStyle w:val="BodyText"/>
        <w:spacing w:before="3" w:line="249" w:lineRule="auto"/>
        <w:ind w:right="362" w:firstLine="360"/>
      </w:pPr>
      <w:r>
        <w:t xml:space="preserve">Psychological meaning presupposes linguistic meaning. What a person means when uttering a given sentence is a function of, among other things, his beliefs as to what that sentence </w:t>
      </w:r>
      <w:r>
        <w:rPr>
          <w:i/>
        </w:rPr>
        <w:t xml:space="preserve">already </w:t>
      </w:r>
      <w:r>
        <w:t xml:space="preserve">means. You must believe that “snow is white” means </w:t>
      </w:r>
      <w:r>
        <w:rPr>
          <w:i/>
        </w:rPr>
        <w:t xml:space="preserve">snow is white </w:t>
      </w:r>
      <w:r>
        <w:t xml:space="preserve">if, intending to speak sincerely and literally, you say “snow is white” with the intention of getting it across that snow is white. If you think that “snow is white” means </w:t>
      </w:r>
      <w:r>
        <w:rPr>
          <w:i/>
        </w:rPr>
        <w:t xml:space="preserve">grass is green, </w:t>
      </w:r>
      <w:r>
        <w:t>you cannot, if your intention is to speak sincerely and literally, believe that “snow</w:t>
      </w:r>
    </w:p>
    <w:p w14:paraId="7E000C2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25" w14:textId="77777777" w:rsidR="009A58DB" w:rsidRDefault="00000000">
      <w:pPr>
        <w:spacing w:before="65"/>
        <w:ind w:left="360"/>
        <w:jc w:val="both"/>
        <w:rPr>
          <w:i/>
          <w:sz w:val="30"/>
        </w:rPr>
      </w:pPr>
      <w:r>
        <w:rPr>
          <w:sz w:val="30"/>
        </w:rPr>
        <w:lastRenderedPageBreak/>
        <w:t>is</w:t>
      </w:r>
      <w:r>
        <w:rPr>
          <w:spacing w:val="-5"/>
          <w:sz w:val="30"/>
        </w:rPr>
        <w:t xml:space="preserve"> </w:t>
      </w:r>
      <w:r>
        <w:rPr>
          <w:sz w:val="30"/>
        </w:rPr>
        <w:t>white”</w:t>
      </w:r>
      <w:r>
        <w:rPr>
          <w:spacing w:val="-3"/>
          <w:sz w:val="30"/>
        </w:rPr>
        <w:t xml:space="preserve"> </w:t>
      </w:r>
      <w:r>
        <w:rPr>
          <w:sz w:val="30"/>
        </w:rPr>
        <w:t>means</w:t>
      </w:r>
      <w:r>
        <w:rPr>
          <w:spacing w:val="-3"/>
          <w:sz w:val="30"/>
        </w:rPr>
        <w:t xml:space="preserve"> </w:t>
      </w:r>
      <w:r>
        <w:rPr>
          <w:i/>
          <w:sz w:val="30"/>
        </w:rPr>
        <w:t>snow</w:t>
      </w:r>
      <w:r>
        <w:rPr>
          <w:i/>
          <w:spacing w:val="-3"/>
          <w:sz w:val="30"/>
        </w:rPr>
        <w:t xml:space="preserve"> </w:t>
      </w:r>
      <w:r>
        <w:rPr>
          <w:i/>
          <w:sz w:val="30"/>
        </w:rPr>
        <w:t>is</w:t>
      </w:r>
      <w:r>
        <w:rPr>
          <w:i/>
          <w:spacing w:val="-3"/>
          <w:sz w:val="30"/>
        </w:rPr>
        <w:t xml:space="preserve"> </w:t>
      </w:r>
      <w:r>
        <w:rPr>
          <w:i/>
          <w:spacing w:val="-2"/>
          <w:sz w:val="30"/>
        </w:rPr>
        <w:t>white.</w:t>
      </w:r>
    </w:p>
    <w:p w14:paraId="7E000C26" w14:textId="77777777" w:rsidR="009A58DB" w:rsidRDefault="00000000">
      <w:pPr>
        <w:pStyle w:val="BodyText"/>
        <w:spacing w:before="15" w:line="249" w:lineRule="auto"/>
        <w:ind w:right="359" w:firstLine="360"/>
      </w:pPr>
      <w:r>
        <w:t>Of course, you could know full well what “snow is white” in fact means, but use that sentence to get across something that has nothing to do with the color of snow. Knowing what “snow is white” actually means, you might utter that sentence with the intention of getting it across that the government is controlling our thoughts with alpha waves. And, depending on the circumstances, that could be precisely what an utterance of that sentence would convey.</w:t>
      </w:r>
    </w:p>
    <w:p w14:paraId="7E000C27" w14:textId="77777777" w:rsidR="009A58DB" w:rsidRDefault="00000000">
      <w:pPr>
        <w:pStyle w:val="BodyText"/>
        <w:spacing w:before="8" w:line="249" w:lineRule="auto"/>
        <w:ind w:right="359" w:firstLine="360"/>
      </w:pPr>
      <w:r>
        <w:t xml:space="preserve">But whatever the message is that, in uttering a certain sentence, you wish to convey, you must believe that message to have </w:t>
      </w:r>
      <w:r>
        <w:rPr>
          <w:i/>
        </w:rPr>
        <w:t xml:space="preserve">some </w:t>
      </w:r>
      <w:r>
        <w:t>kind of relationship</w:t>
      </w:r>
      <w:r>
        <w:rPr>
          <w:spacing w:val="40"/>
        </w:rPr>
        <w:t xml:space="preserve"> </w:t>
      </w:r>
      <w:r>
        <w:t xml:space="preserve">to the one meant by that sentence itself. Furthermore, if you are to </w:t>
      </w:r>
      <w:r>
        <w:rPr>
          <w:i/>
        </w:rPr>
        <w:t>succeed</w:t>
      </w:r>
      <w:r>
        <w:rPr>
          <w:i/>
          <w:spacing w:val="-2"/>
        </w:rPr>
        <w:t xml:space="preserve"> </w:t>
      </w:r>
      <w:r>
        <w:t xml:space="preserve">in saying what it is you wish to say, what you believe to be meant by the sentence you are using must be </w:t>
      </w:r>
      <w:r>
        <w:rPr>
          <w:i/>
        </w:rPr>
        <w:t xml:space="preserve">right. </w:t>
      </w:r>
      <w:r>
        <w:t xml:space="preserve">If, intending to speak sincerely and literally, you say “snow is white,” thinking that it means </w:t>
      </w:r>
      <w:r>
        <w:rPr>
          <w:i/>
        </w:rPr>
        <w:t xml:space="preserve">bananas are yellow, </w:t>
      </w:r>
      <w:r>
        <w:t>you will fail to say what you wanted to say.</w:t>
      </w:r>
    </w:p>
    <w:p w14:paraId="7E000C28" w14:textId="77777777" w:rsidR="009A58DB" w:rsidRDefault="00000000">
      <w:pPr>
        <w:pStyle w:val="BodyText"/>
        <w:spacing w:before="9" w:line="249" w:lineRule="auto"/>
        <w:ind w:right="360" w:firstLine="360"/>
      </w:pPr>
      <w:r>
        <w:t xml:space="preserve">Thus, setting aside defective utterances, one cannot, in uttering a given sentence, mean </w:t>
      </w:r>
      <w:r>
        <w:rPr>
          <w:i/>
        </w:rPr>
        <w:t xml:space="preserve">anything </w:t>
      </w:r>
      <w:r>
        <w:t xml:space="preserve">by it unless one knows what it </w:t>
      </w:r>
      <w:r>
        <w:rPr>
          <w:i/>
        </w:rPr>
        <w:t xml:space="preserve">already </w:t>
      </w:r>
      <w:r>
        <w:t xml:space="preserve">means. So meaning in the </w:t>
      </w:r>
      <w:r>
        <w:rPr>
          <w:i/>
        </w:rPr>
        <w:t xml:space="preserve">psychological </w:t>
      </w:r>
      <w:r>
        <w:t>sense is parasitic on meaning in the linguistic sense, and the two kinds of meaning are therefore entirely distinct.</w:t>
      </w:r>
    </w:p>
    <w:p w14:paraId="7E000C29" w14:textId="77777777" w:rsidR="009A58DB" w:rsidRDefault="00000000">
      <w:pPr>
        <w:spacing w:before="193"/>
        <w:ind w:left="360"/>
        <w:jc w:val="both"/>
        <w:rPr>
          <w:b/>
          <w:sz w:val="42"/>
        </w:rPr>
      </w:pPr>
      <w:r>
        <w:rPr>
          <w:b/>
          <w:sz w:val="42"/>
        </w:rPr>
        <w:t>1.3</w:t>
      </w:r>
      <w:r>
        <w:rPr>
          <w:b/>
          <w:spacing w:val="-4"/>
          <w:sz w:val="42"/>
        </w:rPr>
        <w:t xml:space="preserve"> </w:t>
      </w:r>
      <w:r>
        <w:rPr>
          <w:b/>
          <w:sz w:val="42"/>
        </w:rPr>
        <w:t>Why</w:t>
      </w:r>
      <w:r>
        <w:rPr>
          <w:b/>
          <w:spacing w:val="-2"/>
          <w:sz w:val="42"/>
        </w:rPr>
        <w:t xml:space="preserve"> </w:t>
      </w:r>
      <w:r>
        <w:rPr>
          <w:b/>
          <w:sz w:val="42"/>
        </w:rPr>
        <w:t>Meaning</w:t>
      </w:r>
      <w:r>
        <w:rPr>
          <w:b/>
          <w:spacing w:val="-2"/>
          <w:sz w:val="42"/>
        </w:rPr>
        <w:t xml:space="preserve"> </w:t>
      </w:r>
      <w:r>
        <w:rPr>
          <w:b/>
          <w:sz w:val="42"/>
        </w:rPr>
        <w:t>#3</w:t>
      </w:r>
      <w:r>
        <w:rPr>
          <w:b/>
          <w:spacing w:val="-2"/>
          <w:sz w:val="42"/>
        </w:rPr>
        <w:t xml:space="preserve"> </w:t>
      </w:r>
      <w:r>
        <w:rPr>
          <w:sz w:val="42"/>
        </w:rPr>
        <w:t>≠</w:t>
      </w:r>
      <w:r>
        <w:rPr>
          <w:spacing w:val="-3"/>
          <w:sz w:val="42"/>
        </w:rPr>
        <w:t xml:space="preserve"> </w:t>
      </w:r>
      <w:r>
        <w:rPr>
          <w:b/>
          <w:sz w:val="42"/>
        </w:rPr>
        <w:t>Meaning</w:t>
      </w:r>
      <w:r>
        <w:rPr>
          <w:b/>
          <w:spacing w:val="-1"/>
          <w:sz w:val="42"/>
        </w:rPr>
        <w:t xml:space="preserve"> </w:t>
      </w:r>
      <w:r>
        <w:rPr>
          <w:b/>
          <w:spacing w:val="-5"/>
          <w:sz w:val="42"/>
        </w:rPr>
        <w:t>#1</w:t>
      </w:r>
    </w:p>
    <w:p w14:paraId="7E000C2A" w14:textId="77777777" w:rsidR="009A58DB" w:rsidRDefault="00000000">
      <w:pPr>
        <w:pStyle w:val="BodyText"/>
        <w:spacing w:before="139" w:line="249" w:lineRule="auto"/>
        <w:ind w:right="370"/>
      </w:pPr>
      <w:r>
        <w:t>The sense in which “snow is white” means that snow is white isn’t comparable to the sense in which smoke means fire. The fact that smoke means</w:t>
      </w:r>
      <w:r>
        <w:rPr>
          <w:spacing w:val="18"/>
        </w:rPr>
        <w:t xml:space="preserve"> </w:t>
      </w:r>
      <w:r>
        <w:t>fire</w:t>
      </w:r>
      <w:r>
        <w:rPr>
          <w:spacing w:val="20"/>
        </w:rPr>
        <w:t xml:space="preserve"> </w:t>
      </w:r>
      <w:r>
        <w:t>has</w:t>
      </w:r>
      <w:r>
        <w:rPr>
          <w:spacing w:val="21"/>
        </w:rPr>
        <w:t xml:space="preserve"> </w:t>
      </w:r>
      <w:r>
        <w:t>nothing</w:t>
      </w:r>
      <w:r>
        <w:rPr>
          <w:spacing w:val="21"/>
        </w:rPr>
        <w:t xml:space="preserve"> </w:t>
      </w:r>
      <w:r>
        <w:t>to</w:t>
      </w:r>
      <w:r>
        <w:rPr>
          <w:spacing w:val="21"/>
        </w:rPr>
        <w:t xml:space="preserve"> </w:t>
      </w:r>
      <w:r>
        <w:t>do</w:t>
      </w:r>
      <w:r>
        <w:rPr>
          <w:spacing w:val="20"/>
        </w:rPr>
        <w:t xml:space="preserve"> </w:t>
      </w:r>
      <w:r>
        <w:t>with</w:t>
      </w:r>
      <w:r>
        <w:rPr>
          <w:spacing w:val="22"/>
        </w:rPr>
        <w:t xml:space="preserve"> </w:t>
      </w:r>
      <w:r>
        <w:t>conventions</w:t>
      </w:r>
      <w:r>
        <w:rPr>
          <w:spacing w:val="20"/>
        </w:rPr>
        <w:t xml:space="preserve"> </w:t>
      </w:r>
      <w:r>
        <w:t>on</w:t>
      </w:r>
      <w:r>
        <w:rPr>
          <w:spacing w:val="21"/>
        </w:rPr>
        <w:t xml:space="preserve"> </w:t>
      </w:r>
      <w:r>
        <w:t>the</w:t>
      </w:r>
      <w:r>
        <w:rPr>
          <w:spacing w:val="21"/>
        </w:rPr>
        <w:t xml:space="preserve"> </w:t>
      </w:r>
      <w:r>
        <w:t>part</w:t>
      </w:r>
      <w:r>
        <w:rPr>
          <w:spacing w:val="21"/>
        </w:rPr>
        <w:t xml:space="preserve"> </w:t>
      </w:r>
      <w:r>
        <w:t>of</w:t>
      </w:r>
      <w:r>
        <w:rPr>
          <w:spacing w:val="20"/>
        </w:rPr>
        <w:t xml:space="preserve"> </w:t>
      </w:r>
      <w:r>
        <w:t>human</w:t>
      </w:r>
      <w:r>
        <w:rPr>
          <w:spacing w:val="21"/>
        </w:rPr>
        <w:t xml:space="preserve"> </w:t>
      </w:r>
      <w:r>
        <w:rPr>
          <w:spacing w:val="-2"/>
        </w:rPr>
        <w:t>beings.</w:t>
      </w:r>
    </w:p>
    <w:p w14:paraId="7E000C2B" w14:textId="77777777" w:rsidR="009A58DB" w:rsidRDefault="00000000">
      <w:pPr>
        <w:pStyle w:val="BodyText"/>
        <w:spacing w:before="4" w:line="249" w:lineRule="auto"/>
        <w:ind w:right="361"/>
      </w:pPr>
      <w:bookmarkStart w:id="138" w:name="_bookmark138"/>
      <w:bookmarkEnd w:id="138"/>
      <w:r>
        <w:rPr>
          <w:color w:val="0562C1"/>
          <w:position w:val="21"/>
          <w:u w:val="single" w:color="0562C1"/>
        </w:rPr>
        <w:t>[72]</w:t>
      </w:r>
      <w:r>
        <w:rPr>
          <w:color w:val="0562C1"/>
          <w:position w:val="21"/>
        </w:rPr>
        <w:t xml:space="preserve"> </w:t>
      </w:r>
      <w:r>
        <w:t xml:space="preserve">But the fact that “snow is white” means what it does </w:t>
      </w:r>
      <w:r>
        <w:rPr>
          <w:i/>
        </w:rPr>
        <w:t>is,</w:t>
      </w:r>
      <w:r>
        <w:rPr>
          <w:i/>
          <w:spacing w:val="-2"/>
        </w:rPr>
        <w:t xml:space="preserve"> </w:t>
      </w:r>
      <w:r>
        <w:t xml:space="preserve">at least in part, a matter of convention. It’s a matter of convention that “snow” doesn’t refer to grass and, therefore, that “snow is white” doesn’t mean that grass is white; it’s a matter of convention that “white” doesn’t mean </w:t>
      </w:r>
      <w:r>
        <w:rPr>
          <w:i/>
        </w:rPr>
        <w:t xml:space="preserve">green </w:t>
      </w:r>
      <w:r>
        <w:t>and, therefore, that “snow is white” doesn’t mean that snow is green.</w:t>
      </w:r>
    </w:p>
    <w:p w14:paraId="7E000C2C" w14:textId="77777777" w:rsidR="009A58DB" w:rsidRDefault="00000000">
      <w:pPr>
        <w:pStyle w:val="BodyText"/>
        <w:spacing w:before="6" w:line="249" w:lineRule="auto"/>
        <w:ind w:right="358" w:firstLine="360"/>
      </w:pPr>
      <w:r>
        <w:t xml:space="preserve">Although the whiteness of snow sometimes causes people to say “snow is white,” it doesn’t do so in the way that fire causes there to be smoke. Fire happens; smoke happens as a result. The presence of smoke doesn’t embody any </w:t>
      </w:r>
      <w:r>
        <w:rPr>
          <w:i/>
        </w:rPr>
        <w:t xml:space="preserve">judgment </w:t>
      </w:r>
      <w:r>
        <w:t xml:space="preserve">about anything. But, when caused by the whiteness of snow, utterances of “snow is white” </w:t>
      </w:r>
      <w:r>
        <w:rPr>
          <w:i/>
        </w:rPr>
        <w:t>do</w:t>
      </w:r>
      <w:r>
        <w:rPr>
          <w:i/>
          <w:spacing w:val="-2"/>
        </w:rPr>
        <w:t xml:space="preserve"> </w:t>
      </w:r>
      <w:r>
        <w:t>embody judgments of various kinds. People see or otherwise come to believe that snow is white; and, since they know the</w:t>
      </w:r>
    </w:p>
    <w:p w14:paraId="7E000C2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2E" w14:textId="77777777" w:rsidR="009A58DB" w:rsidRDefault="00000000">
      <w:pPr>
        <w:pStyle w:val="BodyText"/>
        <w:spacing w:before="60" w:line="249" w:lineRule="auto"/>
        <w:ind w:right="358"/>
      </w:pPr>
      <w:r>
        <w:lastRenderedPageBreak/>
        <w:t xml:space="preserve">relevant linguistic rules, they know that, were they to say, “snow is white,” they judge that they’d be making a </w:t>
      </w:r>
      <w:r>
        <w:rPr>
          <w:i/>
        </w:rPr>
        <w:t xml:space="preserve">correct </w:t>
      </w:r>
      <w:r>
        <w:t>statement. Thus, utterances of “snow is white” embody judgments about the color of snow and about how, linguistic conventions being what they are, one can report the color of snow. Also, people don’t say everything that occurs to them. Before deciding to utter a given sentence, people typically make context-based judgments about the appropriateness of uttering that sentence. So various judgments—about snow, about language, and about human psychology—are involved in the causal</w:t>
      </w:r>
      <w:r>
        <w:rPr>
          <w:spacing w:val="-4"/>
        </w:rPr>
        <w:t xml:space="preserve"> </w:t>
      </w:r>
      <w:r>
        <w:t>connection</w:t>
      </w:r>
      <w:r>
        <w:rPr>
          <w:spacing w:val="-3"/>
        </w:rPr>
        <w:t xml:space="preserve"> </w:t>
      </w:r>
      <w:r>
        <w:t>between</w:t>
      </w:r>
      <w:r>
        <w:rPr>
          <w:spacing w:val="-3"/>
        </w:rPr>
        <w:t xml:space="preserve"> </w:t>
      </w:r>
      <w:r>
        <w:t>the</w:t>
      </w:r>
      <w:r>
        <w:rPr>
          <w:spacing w:val="-4"/>
        </w:rPr>
        <w:t xml:space="preserve"> </w:t>
      </w:r>
      <w:r>
        <w:t>whiteness</w:t>
      </w:r>
      <w:r>
        <w:rPr>
          <w:spacing w:val="-4"/>
        </w:rPr>
        <w:t xml:space="preserve"> </w:t>
      </w:r>
      <w:r>
        <w:t>of</w:t>
      </w:r>
      <w:r>
        <w:rPr>
          <w:spacing w:val="-4"/>
        </w:rPr>
        <w:t xml:space="preserve"> </w:t>
      </w:r>
      <w:r>
        <w:t>snow</w:t>
      </w:r>
      <w:r>
        <w:rPr>
          <w:spacing w:val="-4"/>
        </w:rPr>
        <w:t xml:space="preserve"> </w:t>
      </w:r>
      <w:r>
        <w:t>and</w:t>
      </w:r>
      <w:r>
        <w:rPr>
          <w:spacing w:val="-3"/>
        </w:rPr>
        <w:t xml:space="preserve"> </w:t>
      </w:r>
      <w:r>
        <w:t>a</w:t>
      </w:r>
      <w:r>
        <w:rPr>
          <w:spacing w:val="-4"/>
        </w:rPr>
        <w:t xml:space="preserve"> </w:t>
      </w:r>
      <w:r>
        <w:t>given</w:t>
      </w:r>
      <w:r>
        <w:rPr>
          <w:spacing w:val="-3"/>
        </w:rPr>
        <w:t xml:space="preserve"> </w:t>
      </w:r>
      <w:r>
        <w:t>gerson’s</w:t>
      </w:r>
      <w:r>
        <w:rPr>
          <w:spacing w:val="-4"/>
        </w:rPr>
        <w:t xml:space="preserve"> </w:t>
      </w:r>
      <w:r>
        <w:t xml:space="preserve">saying “snow is white.” There is thus a </w:t>
      </w:r>
      <w:r>
        <w:rPr>
          <w:i/>
        </w:rPr>
        <w:t xml:space="preserve">normative </w:t>
      </w:r>
      <w:r>
        <w:t xml:space="preserve">dimension to language use that is absent where purely natural, non-conventional cause-effect relations are </w:t>
      </w:r>
      <w:r>
        <w:rPr>
          <w:spacing w:val="-2"/>
        </w:rPr>
        <w:t>concerned.</w:t>
      </w:r>
    </w:p>
    <w:p w14:paraId="7E000C2F" w14:textId="77777777" w:rsidR="009A58DB" w:rsidRDefault="00000000">
      <w:pPr>
        <w:pStyle w:val="Heading1"/>
        <w:spacing w:before="207"/>
        <w:ind w:left="360" w:firstLine="0"/>
      </w:pPr>
      <w:r>
        <w:t>2.0</w:t>
      </w:r>
      <w:r>
        <w:rPr>
          <w:spacing w:val="-8"/>
        </w:rPr>
        <w:t xml:space="preserve"> </w:t>
      </w:r>
      <w:r>
        <w:t>Sentences</w:t>
      </w:r>
      <w:r>
        <w:rPr>
          <w:spacing w:val="-7"/>
        </w:rPr>
        <w:t xml:space="preserve"> </w:t>
      </w:r>
      <w:r>
        <w:t>as</w:t>
      </w:r>
      <w:r>
        <w:rPr>
          <w:spacing w:val="-6"/>
        </w:rPr>
        <w:t xml:space="preserve"> </w:t>
      </w:r>
      <w:r>
        <w:t>proposition-</w:t>
      </w:r>
      <w:r>
        <w:rPr>
          <w:spacing w:val="-2"/>
        </w:rPr>
        <w:t>isomorphs</w:t>
      </w:r>
    </w:p>
    <w:p w14:paraId="7E000C30" w14:textId="77777777" w:rsidR="009A58DB" w:rsidRDefault="00000000">
      <w:pPr>
        <w:pStyle w:val="BodyText"/>
        <w:spacing w:before="139" w:line="249" w:lineRule="auto"/>
        <w:ind w:right="358"/>
      </w:pPr>
      <w:r>
        <w:t xml:space="preserve">The meaning of a true or false sentence is a </w:t>
      </w:r>
      <w:r>
        <w:rPr>
          <w:b/>
          <w:i/>
        </w:rPr>
        <w:t>proposition.</w:t>
      </w:r>
      <w:r>
        <w:rPr>
          <w:b/>
          <w:i/>
          <w:spacing w:val="-2"/>
        </w:rPr>
        <w:t xml:space="preserve"> </w:t>
      </w:r>
      <w:r>
        <w:t>Propositions are not themselves sentences. That is why different sentences (e.g., “schnee ist</w:t>
      </w:r>
      <w:r>
        <w:rPr>
          <w:spacing w:val="40"/>
        </w:rPr>
        <w:t xml:space="preserve"> </w:t>
      </w:r>
      <w:r>
        <w:t>weiss” and “snow is white”) can express the same proposition.</w:t>
      </w:r>
    </w:p>
    <w:p w14:paraId="7E000C31" w14:textId="77777777" w:rsidR="009A58DB" w:rsidRDefault="00000000">
      <w:pPr>
        <w:pStyle w:val="BodyText"/>
        <w:spacing w:before="4" w:line="249" w:lineRule="auto"/>
        <w:ind w:right="363" w:firstLine="360"/>
      </w:pPr>
      <w:r>
        <w:t xml:space="preserve">Propositions, when true, are </w:t>
      </w:r>
      <w:r>
        <w:rPr>
          <w:i/>
        </w:rPr>
        <w:t xml:space="preserve">truths. </w:t>
      </w:r>
      <w:r>
        <w:t>Thus, propositions have existed as</w:t>
      </w:r>
      <w:r>
        <w:rPr>
          <w:spacing w:val="40"/>
        </w:rPr>
        <w:t xml:space="preserve"> </w:t>
      </w:r>
      <w:r>
        <w:t>long as there have been truths; which means that they’ve existed as long as there has been anything and, consequently, that propositions are not creations of human creations.</w:t>
      </w:r>
    </w:p>
    <w:p w14:paraId="7E000C32" w14:textId="77777777" w:rsidR="009A58DB" w:rsidRDefault="00000000">
      <w:pPr>
        <w:pStyle w:val="BodyText"/>
        <w:spacing w:before="5" w:line="249" w:lineRule="auto"/>
        <w:ind w:right="358" w:firstLine="360"/>
      </w:pPr>
      <w:r>
        <w:t>Though distinct from the sentences that express them, propositions are structurally</w:t>
      </w:r>
      <w:r>
        <w:rPr>
          <w:spacing w:val="-1"/>
        </w:rPr>
        <w:t xml:space="preserve"> </w:t>
      </w:r>
      <w:r>
        <w:t>similar</w:t>
      </w:r>
      <w:r>
        <w:rPr>
          <w:spacing w:val="-1"/>
        </w:rPr>
        <w:t xml:space="preserve"> </w:t>
      </w:r>
      <w:r>
        <w:t>to them. Two otherwise</w:t>
      </w:r>
      <w:r>
        <w:rPr>
          <w:spacing w:val="-1"/>
        </w:rPr>
        <w:t xml:space="preserve"> </w:t>
      </w:r>
      <w:r>
        <w:t>dissimilar</w:t>
      </w:r>
      <w:r>
        <w:rPr>
          <w:spacing w:val="-1"/>
        </w:rPr>
        <w:t xml:space="preserve"> </w:t>
      </w:r>
      <w:r>
        <w:t>sentences can share the word “John.” “John loves Mary” and “Sally punched John” are two such sentences. The meanings of those sentences obviously have something in common corresponding to the fact that they share the word “John.” Since</w:t>
      </w:r>
      <w:r>
        <w:rPr>
          <w:spacing w:val="40"/>
        </w:rPr>
        <w:t xml:space="preserve"> </w:t>
      </w:r>
      <w:r>
        <w:t xml:space="preserve">they share no other constituents, the thing meant by “John” must be capable of moving </w:t>
      </w:r>
      <w:r>
        <w:rPr>
          <w:i/>
        </w:rPr>
        <w:t xml:space="preserve">on its own </w:t>
      </w:r>
      <w:r>
        <w:t>from sentence-meaning to sentence-meaning. This would not be the case if the thing meant by “John” in the proposition meant by “John loves Mary” were incapable of being disengaged from the things meant by “loves” and “Mary.” It follows that propositions consist of discrete parts; it also follows that those discrete parts correspond to discrete parts of the sentences that express them. Taken together, these two points entail that sentences are structurally like the propositions they express.</w:t>
      </w:r>
    </w:p>
    <w:p w14:paraId="7E000C3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34" w14:textId="77777777" w:rsidR="009A58DB" w:rsidRDefault="00000000">
      <w:pPr>
        <w:pStyle w:val="Heading1"/>
        <w:spacing w:before="58"/>
        <w:ind w:left="360" w:firstLine="0"/>
      </w:pPr>
      <w:r>
        <w:lastRenderedPageBreak/>
        <w:t>2.1</w:t>
      </w:r>
      <w:r>
        <w:rPr>
          <w:spacing w:val="-6"/>
        </w:rPr>
        <w:t xml:space="preserve"> </w:t>
      </w:r>
      <w:r>
        <w:t>Propositions</w:t>
      </w:r>
      <w:r>
        <w:rPr>
          <w:spacing w:val="-4"/>
        </w:rPr>
        <w:t xml:space="preserve"> </w:t>
      </w:r>
      <w:r>
        <w:t>as</w:t>
      </w:r>
      <w:r>
        <w:rPr>
          <w:spacing w:val="-3"/>
        </w:rPr>
        <w:t xml:space="preserve"> </w:t>
      </w:r>
      <w:r>
        <w:t>digital</w:t>
      </w:r>
      <w:r>
        <w:rPr>
          <w:spacing w:val="-4"/>
        </w:rPr>
        <w:t xml:space="preserve"> </w:t>
      </w:r>
      <w:r>
        <w:rPr>
          <w:spacing w:val="-2"/>
        </w:rPr>
        <w:t>structures</w:t>
      </w:r>
    </w:p>
    <w:p w14:paraId="7E000C35" w14:textId="77777777" w:rsidR="009A58DB" w:rsidRDefault="00000000">
      <w:pPr>
        <w:pStyle w:val="BodyText"/>
        <w:spacing w:before="139" w:line="249" w:lineRule="auto"/>
        <w:ind w:right="358"/>
      </w:pPr>
      <w:r>
        <w:t>Given that propositions consist of discrete, isolable entities, it follows that, like sentences and unlike visual perceptions and photographs, propositions</w:t>
      </w:r>
      <w:r>
        <w:rPr>
          <w:spacing w:val="40"/>
        </w:rPr>
        <w:t xml:space="preserve"> </w:t>
      </w:r>
      <w:r>
        <w:t xml:space="preserve">are </w:t>
      </w:r>
      <w:r>
        <w:rPr>
          <w:i/>
        </w:rPr>
        <w:t xml:space="preserve">digital </w:t>
      </w:r>
      <w:r>
        <w:t>structures. The sentence “Sally punched Bob” has a unique decomposition into a certain “minimal units of significance,” or “morphemes,”</w:t>
      </w:r>
      <w:r>
        <w:rPr>
          <w:spacing w:val="-4"/>
        </w:rPr>
        <w:t xml:space="preserve"> </w:t>
      </w:r>
      <w:r>
        <w:t>these</w:t>
      </w:r>
      <w:r>
        <w:rPr>
          <w:spacing w:val="-4"/>
        </w:rPr>
        <w:t xml:space="preserve"> </w:t>
      </w:r>
      <w:r>
        <w:t>being</w:t>
      </w:r>
      <w:r>
        <w:rPr>
          <w:spacing w:val="-3"/>
        </w:rPr>
        <w:t xml:space="preserve"> </w:t>
      </w:r>
      <w:r>
        <w:t>“Sally,”</w:t>
      </w:r>
      <w:r>
        <w:rPr>
          <w:spacing w:val="-4"/>
        </w:rPr>
        <w:t xml:space="preserve"> </w:t>
      </w:r>
      <w:r>
        <w:t>“Bob,”</w:t>
      </w:r>
      <w:r>
        <w:rPr>
          <w:spacing w:val="-4"/>
        </w:rPr>
        <w:t xml:space="preserve"> </w:t>
      </w:r>
      <w:r>
        <w:t>etc.</w:t>
      </w:r>
      <w:r>
        <w:rPr>
          <w:spacing w:val="-3"/>
        </w:rPr>
        <w:t xml:space="preserve"> </w:t>
      </w:r>
      <w:r>
        <w:t>Given</w:t>
      </w:r>
      <w:r>
        <w:rPr>
          <w:spacing w:val="-3"/>
        </w:rPr>
        <w:t xml:space="preserve"> </w:t>
      </w:r>
      <w:r>
        <w:t>what</w:t>
      </w:r>
      <w:r>
        <w:rPr>
          <w:spacing w:val="-4"/>
        </w:rPr>
        <w:t xml:space="preserve"> </w:t>
      </w:r>
      <w:r>
        <w:t>we</w:t>
      </w:r>
      <w:r>
        <w:rPr>
          <w:spacing w:val="-4"/>
        </w:rPr>
        <w:t xml:space="preserve"> </w:t>
      </w:r>
      <w:r>
        <w:t>said</w:t>
      </w:r>
      <w:r>
        <w:rPr>
          <w:spacing w:val="-3"/>
        </w:rPr>
        <w:t xml:space="preserve"> </w:t>
      </w:r>
      <w:r>
        <w:t>in</w:t>
      </w:r>
      <w:r>
        <w:rPr>
          <w:spacing w:val="-3"/>
        </w:rPr>
        <w:t xml:space="preserve"> </w:t>
      </w:r>
      <w:r>
        <w:t xml:space="preserve">Section 2.0, it follows that something similar is true of the corresponding proposition. Sentences and propositions are </w:t>
      </w:r>
      <w:r>
        <w:rPr>
          <w:i/>
        </w:rPr>
        <w:t xml:space="preserve">digital </w:t>
      </w:r>
      <w:r>
        <w:t>structures, meaning that they have unique breakdowns into minimal significant units.</w:t>
      </w:r>
    </w:p>
    <w:p w14:paraId="7E000C36" w14:textId="77777777" w:rsidR="009A58DB" w:rsidRDefault="00000000">
      <w:pPr>
        <w:pStyle w:val="BodyText"/>
        <w:spacing w:before="10" w:line="249" w:lineRule="auto"/>
        <w:ind w:right="360" w:firstLine="360"/>
      </w:pPr>
      <w:r>
        <w:t>A visual perception of Sally punching Bob doesn’t have a structure comparable to that of “Sally punched Bob” or any other sentence. Unlike sentences,</w:t>
      </w:r>
      <w:r>
        <w:rPr>
          <w:spacing w:val="-16"/>
        </w:rPr>
        <w:t xml:space="preserve"> </w:t>
      </w:r>
      <w:r>
        <w:t>perceptions</w:t>
      </w:r>
      <w:r>
        <w:rPr>
          <w:spacing w:val="-16"/>
        </w:rPr>
        <w:t xml:space="preserve"> </w:t>
      </w:r>
      <w:r>
        <w:t>don’t</w:t>
      </w:r>
      <w:r>
        <w:rPr>
          <w:spacing w:val="-16"/>
        </w:rPr>
        <w:t xml:space="preserve"> </w:t>
      </w:r>
      <w:r>
        <w:t>have</w:t>
      </w:r>
      <w:r>
        <w:rPr>
          <w:spacing w:val="-16"/>
        </w:rPr>
        <w:t xml:space="preserve"> </w:t>
      </w:r>
      <w:r>
        <w:t>to</w:t>
      </w:r>
      <w:r>
        <w:rPr>
          <w:spacing w:val="-16"/>
        </w:rPr>
        <w:t xml:space="preserve"> </w:t>
      </w:r>
      <w:r>
        <w:t>decompose</w:t>
      </w:r>
      <w:r>
        <w:rPr>
          <w:spacing w:val="-16"/>
        </w:rPr>
        <w:t xml:space="preserve"> </w:t>
      </w:r>
      <w:r>
        <w:t>into</w:t>
      </w:r>
      <w:r>
        <w:rPr>
          <w:spacing w:val="-16"/>
        </w:rPr>
        <w:t xml:space="preserve"> </w:t>
      </w:r>
      <w:r>
        <w:t>minimal</w:t>
      </w:r>
      <w:r>
        <w:rPr>
          <w:spacing w:val="-16"/>
        </w:rPr>
        <w:t xml:space="preserve"> </w:t>
      </w:r>
      <w:r>
        <w:t>significant</w:t>
      </w:r>
      <w:r>
        <w:rPr>
          <w:spacing w:val="-16"/>
        </w:rPr>
        <w:t xml:space="preserve"> </w:t>
      </w:r>
      <w:r>
        <w:t>units. Visual perceptions, unlike sentences and propositions, therefore have a non-digital</w:t>
      </w:r>
      <w:r>
        <w:rPr>
          <w:spacing w:val="40"/>
        </w:rPr>
        <w:t xml:space="preserve"> </w:t>
      </w:r>
      <w:r>
        <w:t>or</w:t>
      </w:r>
      <w:r>
        <w:rPr>
          <w:spacing w:val="-19"/>
        </w:rPr>
        <w:t xml:space="preserve"> </w:t>
      </w:r>
      <w:r>
        <w:rPr>
          <w:i/>
        </w:rPr>
        <w:t>analogue</w:t>
      </w:r>
      <w:r>
        <w:rPr>
          <w:i/>
          <w:spacing w:val="-19"/>
        </w:rPr>
        <w:t xml:space="preserve"> </w:t>
      </w:r>
      <w:r>
        <w:t xml:space="preserve">structures. Given that at least some thought involves the </w:t>
      </w:r>
      <w:r>
        <w:rPr>
          <w:spacing w:val="-8"/>
        </w:rPr>
        <w:t>processing</w:t>
      </w:r>
      <w:r>
        <w:rPr>
          <w:spacing w:val="-21"/>
        </w:rPr>
        <w:t xml:space="preserve"> </w:t>
      </w:r>
      <w:r>
        <w:rPr>
          <w:spacing w:val="-8"/>
        </w:rPr>
        <w:t>of</w:t>
      </w:r>
      <w:r>
        <w:rPr>
          <w:spacing w:val="-21"/>
        </w:rPr>
        <w:t xml:space="preserve"> </w:t>
      </w:r>
      <w:r>
        <w:rPr>
          <w:spacing w:val="-8"/>
        </w:rPr>
        <w:t>perceptual</w:t>
      </w:r>
      <w:r>
        <w:rPr>
          <w:spacing w:val="-22"/>
        </w:rPr>
        <w:t xml:space="preserve"> </w:t>
      </w:r>
      <w:r>
        <w:rPr>
          <w:spacing w:val="-8"/>
        </w:rPr>
        <w:t>information,</w:t>
      </w:r>
      <w:r>
        <w:rPr>
          <w:spacing w:val="-21"/>
        </w:rPr>
        <w:t xml:space="preserve"> </w:t>
      </w:r>
      <w:r>
        <w:rPr>
          <w:spacing w:val="-8"/>
        </w:rPr>
        <w:t>it</w:t>
      </w:r>
      <w:r>
        <w:rPr>
          <w:spacing w:val="-22"/>
        </w:rPr>
        <w:t xml:space="preserve"> </w:t>
      </w:r>
      <w:r>
        <w:rPr>
          <w:spacing w:val="-8"/>
        </w:rPr>
        <w:t>follows</w:t>
      </w:r>
      <w:r>
        <w:rPr>
          <w:spacing w:val="-21"/>
        </w:rPr>
        <w:t xml:space="preserve"> </w:t>
      </w:r>
      <w:r>
        <w:rPr>
          <w:spacing w:val="-8"/>
        </w:rPr>
        <w:t>that</w:t>
      </w:r>
      <w:r>
        <w:rPr>
          <w:spacing w:val="-22"/>
        </w:rPr>
        <w:t xml:space="preserve"> </w:t>
      </w:r>
      <w:r>
        <w:rPr>
          <w:spacing w:val="-8"/>
        </w:rPr>
        <w:t>thought</w:t>
      </w:r>
    </w:p>
    <w:p w14:paraId="7E000C37" w14:textId="77777777" w:rsidR="009A58DB" w:rsidRDefault="00000000">
      <w:pPr>
        <w:pStyle w:val="BodyText"/>
        <w:spacing w:before="7" w:line="249" w:lineRule="auto"/>
        <w:ind w:right="360"/>
      </w:pPr>
      <w:r>
        <w:t>at least sometimes has a structure very different from language. (See Section 5.4 for further discussion of this.) The nature of propositions is discussed in Chapter 3.</w:t>
      </w:r>
    </w:p>
    <w:p w14:paraId="7E000C38" w14:textId="77777777" w:rsidR="009A58DB" w:rsidRDefault="00000000">
      <w:pPr>
        <w:pStyle w:val="Heading1"/>
        <w:tabs>
          <w:tab w:val="left" w:pos="1219"/>
          <w:tab w:val="left" w:pos="2253"/>
          <w:tab w:val="left" w:pos="3519"/>
          <w:tab w:val="left" w:pos="5486"/>
          <w:tab w:val="left" w:pos="6170"/>
          <w:tab w:val="left" w:pos="7064"/>
          <w:tab w:val="left" w:pos="9358"/>
        </w:tabs>
        <w:spacing w:before="192" w:line="244" w:lineRule="auto"/>
        <w:ind w:left="360" w:right="369" w:firstLine="0"/>
      </w:pPr>
      <w:r>
        <w:rPr>
          <w:spacing w:val="-4"/>
        </w:rPr>
        <w:t>3.0</w:t>
      </w:r>
      <w:r>
        <w:tab/>
      </w:r>
      <w:r>
        <w:rPr>
          <w:spacing w:val="-4"/>
        </w:rPr>
        <w:t>The</w:t>
      </w:r>
      <w:r>
        <w:tab/>
      </w:r>
      <w:r>
        <w:rPr>
          <w:spacing w:val="-4"/>
        </w:rPr>
        <w:t>three</w:t>
      </w:r>
      <w:r>
        <w:tab/>
      </w:r>
      <w:r>
        <w:rPr>
          <w:spacing w:val="-2"/>
        </w:rPr>
        <w:t>branches</w:t>
      </w:r>
      <w:r>
        <w:tab/>
      </w:r>
      <w:r>
        <w:rPr>
          <w:spacing w:val="-6"/>
        </w:rPr>
        <w:t>of</w:t>
      </w:r>
      <w:r>
        <w:tab/>
      </w:r>
      <w:r>
        <w:rPr>
          <w:spacing w:val="-4"/>
        </w:rPr>
        <w:t>the</w:t>
      </w:r>
      <w:r>
        <w:tab/>
      </w:r>
      <w:r>
        <w:rPr>
          <w:spacing w:val="-2"/>
        </w:rPr>
        <w:t>philosophy</w:t>
      </w:r>
      <w:r>
        <w:tab/>
      </w:r>
      <w:r>
        <w:rPr>
          <w:spacing w:val="-6"/>
        </w:rPr>
        <w:t xml:space="preserve">of </w:t>
      </w:r>
      <w:r>
        <w:t>language: syntax, semantics, and pragmatics</w:t>
      </w:r>
    </w:p>
    <w:p w14:paraId="7E000C39" w14:textId="77777777" w:rsidR="009A58DB" w:rsidRDefault="00000000">
      <w:pPr>
        <w:pStyle w:val="BodyText"/>
        <w:spacing w:before="131" w:line="249" w:lineRule="auto"/>
        <w:ind w:right="364"/>
      </w:pPr>
      <w:r>
        <w:t>The study of language is typically divided into three sub-disciplines—semantics, syntax, and pragmatics</w:t>
      </w:r>
      <w:bookmarkStart w:id="139" w:name="_bookmark139"/>
      <w:bookmarkEnd w:id="139"/>
      <w:r>
        <w:t>.</w:t>
      </w:r>
      <w:r>
        <w:rPr>
          <w:color w:val="0562C1"/>
          <w:position w:val="21"/>
          <w:u w:val="single" w:color="0562C1"/>
        </w:rPr>
        <w:t>[73]</w:t>
      </w:r>
      <w:r>
        <w:rPr>
          <w:color w:val="0562C1"/>
          <w:position w:val="21"/>
        </w:rPr>
        <w:t xml:space="preserve"> </w:t>
      </w:r>
      <w:r>
        <w:t>In addition to denoting a branch of linguistic study, each of these three words denotes dimension of language. So “semantics” refers to a certain discipline and also to a feature of expressions, the same being true of the other two expressions.</w:t>
      </w:r>
    </w:p>
    <w:p w14:paraId="7E000C3A" w14:textId="77777777" w:rsidR="009A58DB" w:rsidRDefault="00000000">
      <w:pPr>
        <w:pStyle w:val="Heading1"/>
        <w:spacing w:before="209"/>
        <w:ind w:left="360" w:firstLine="0"/>
      </w:pPr>
      <w:r>
        <w:t xml:space="preserve">3.1. </w:t>
      </w:r>
      <w:r>
        <w:rPr>
          <w:spacing w:val="-2"/>
        </w:rPr>
        <w:t>Semantics</w:t>
      </w:r>
    </w:p>
    <w:p w14:paraId="7E000C3B" w14:textId="77777777" w:rsidR="009A58DB" w:rsidRDefault="00000000">
      <w:pPr>
        <w:pStyle w:val="BodyText"/>
        <w:spacing w:before="140" w:line="249" w:lineRule="auto"/>
        <w:ind w:right="359"/>
      </w:pPr>
      <w:r>
        <w:t xml:space="preserve">The discipline of semantics attempts to make it clear what our utterances literally mean. It has no interest in what is conveyed through suggestion or </w:t>
      </w:r>
      <w:r>
        <w:rPr>
          <w:spacing w:val="-2"/>
        </w:rPr>
        <w:t>innuendo.</w:t>
      </w:r>
    </w:p>
    <w:p w14:paraId="7E000C3C" w14:textId="77777777" w:rsidR="009A58DB" w:rsidRDefault="00000000">
      <w:pPr>
        <w:pStyle w:val="BodyText"/>
        <w:spacing w:before="3" w:line="249" w:lineRule="auto"/>
        <w:ind w:right="359" w:firstLine="360"/>
      </w:pPr>
      <w:r>
        <w:t>If a disappointed boss says to a substandard employee, “it might not be a bad</w:t>
      </w:r>
      <w:r>
        <w:rPr>
          <w:spacing w:val="33"/>
        </w:rPr>
        <w:t xml:space="preserve"> </w:t>
      </w:r>
      <w:r>
        <w:t>idea</w:t>
      </w:r>
      <w:r>
        <w:rPr>
          <w:spacing w:val="35"/>
        </w:rPr>
        <w:t xml:space="preserve"> </w:t>
      </w:r>
      <w:r>
        <w:t>for</w:t>
      </w:r>
      <w:r>
        <w:rPr>
          <w:spacing w:val="36"/>
        </w:rPr>
        <w:t xml:space="preserve"> </w:t>
      </w:r>
      <w:r>
        <w:t>you</w:t>
      </w:r>
      <w:r>
        <w:rPr>
          <w:spacing w:val="36"/>
        </w:rPr>
        <w:t xml:space="preserve"> </w:t>
      </w:r>
      <w:r>
        <w:t>to</w:t>
      </w:r>
      <w:r>
        <w:rPr>
          <w:spacing w:val="36"/>
        </w:rPr>
        <w:t xml:space="preserve"> </w:t>
      </w:r>
      <w:r>
        <w:t>start</w:t>
      </w:r>
      <w:r>
        <w:rPr>
          <w:spacing w:val="35"/>
        </w:rPr>
        <w:t xml:space="preserve"> </w:t>
      </w:r>
      <w:r>
        <w:t>thinking</w:t>
      </w:r>
      <w:r>
        <w:rPr>
          <w:spacing w:val="37"/>
        </w:rPr>
        <w:t xml:space="preserve"> </w:t>
      </w:r>
      <w:r>
        <w:t>about</w:t>
      </w:r>
      <w:r>
        <w:rPr>
          <w:spacing w:val="35"/>
        </w:rPr>
        <w:t xml:space="preserve"> </w:t>
      </w:r>
      <w:r>
        <w:t>finding</w:t>
      </w:r>
      <w:r>
        <w:rPr>
          <w:spacing w:val="36"/>
        </w:rPr>
        <w:t xml:space="preserve"> </w:t>
      </w:r>
      <w:r>
        <w:t>a</w:t>
      </w:r>
      <w:r>
        <w:rPr>
          <w:spacing w:val="36"/>
        </w:rPr>
        <w:t xml:space="preserve"> </w:t>
      </w:r>
      <w:r>
        <w:t>new</w:t>
      </w:r>
      <w:r>
        <w:rPr>
          <w:spacing w:val="36"/>
        </w:rPr>
        <w:t xml:space="preserve"> </w:t>
      </w:r>
      <w:r>
        <w:t>position,”</w:t>
      </w:r>
      <w:r>
        <w:rPr>
          <w:spacing w:val="35"/>
        </w:rPr>
        <w:t xml:space="preserve"> </w:t>
      </w:r>
      <w:r>
        <w:t>the</w:t>
      </w:r>
      <w:r>
        <w:rPr>
          <w:spacing w:val="36"/>
        </w:rPr>
        <w:t xml:space="preserve"> </w:t>
      </w:r>
      <w:r>
        <w:rPr>
          <w:spacing w:val="-2"/>
        </w:rPr>
        <w:t>literal</w:t>
      </w:r>
    </w:p>
    <w:p w14:paraId="7E000C3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3E" w14:textId="77777777" w:rsidR="009A58DB" w:rsidRDefault="00000000">
      <w:pPr>
        <w:spacing w:before="70" w:line="249" w:lineRule="auto"/>
        <w:ind w:left="360" w:right="357"/>
        <w:jc w:val="both"/>
        <w:rPr>
          <w:sz w:val="30"/>
        </w:rPr>
      </w:pPr>
      <w:r>
        <w:rPr>
          <w:sz w:val="30"/>
        </w:rPr>
        <w:lastRenderedPageBreak/>
        <w:t xml:space="preserve">meaning of his utterance is quite innocuous. But the message that is being </w:t>
      </w:r>
      <w:r>
        <w:rPr>
          <w:i/>
          <w:sz w:val="30"/>
        </w:rPr>
        <w:t xml:space="preserve">sent </w:t>
      </w:r>
      <w:r>
        <w:rPr>
          <w:sz w:val="30"/>
        </w:rPr>
        <w:t xml:space="preserve">is not innocuous—that message is: </w:t>
      </w:r>
      <w:r>
        <w:rPr>
          <w:i/>
          <w:sz w:val="30"/>
        </w:rPr>
        <w:t xml:space="preserve">you’re fired; you’re a disgrace; go away; </w:t>
      </w:r>
      <w:r>
        <w:rPr>
          <w:sz w:val="30"/>
        </w:rPr>
        <w:t xml:space="preserve">etc. The utterance’s </w:t>
      </w:r>
      <w:r>
        <w:rPr>
          <w:i/>
          <w:sz w:val="30"/>
        </w:rPr>
        <w:t xml:space="preserve">semantic </w:t>
      </w:r>
      <w:r>
        <w:rPr>
          <w:sz w:val="30"/>
        </w:rPr>
        <w:t xml:space="preserve">coincides with its literal (innocuous) </w:t>
      </w:r>
      <w:r>
        <w:rPr>
          <w:spacing w:val="-2"/>
          <w:sz w:val="30"/>
        </w:rPr>
        <w:t>meaning.</w:t>
      </w:r>
    </w:p>
    <w:p w14:paraId="7E000C3F" w14:textId="77777777" w:rsidR="009A58DB" w:rsidRDefault="00000000">
      <w:pPr>
        <w:pStyle w:val="Heading1"/>
        <w:spacing w:before="188"/>
        <w:ind w:left="360" w:firstLine="0"/>
      </w:pPr>
      <w:r>
        <w:t xml:space="preserve">3.2 </w:t>
      </w:r>
      <w:r>
        <w:rPr>
          <w:spacing w:val="-2"/>
        </w:rPr>
        <w:t>Pragmatics</w:t>
      </w:r>
    </w:p>
    <w:p w14:paraId="7E000C40" w14:textId="77777777" w:rsidR="009A58DB" w:rsidRDefault="00000000">
      <w:pPr>
        <w:pStyle w:val="BodyText"/>
        <w:spacing w:before="139" w:line="249" w:lineRule="auto"/>
        <w:ind w:right="365"/>
      </w:pPr>
      <w:r>
        <w:t xml:space="preserve">Pragmatics studies the </w:t>
      </w:r>
      <w:r>
        <w:rPr>
          <w:i/>
        </w:rPr>
        <w:t>use</w:t>
      </w:r>
      <w:r>
        <w:rPr>
          <w:i/>
          <w:spacing w:val="-4"/>
        </w:rPr>
        <w:t xml:space="preserve"> </w:t>
      </w:r>
      <w:r>
        <w:t xml:space="preserve">of language. Sometimes language is used literally. Asked whether I’m over thirty years of age, I say “yes, I’m over thirty years of age.” What </w:t>
      </w:r>
      <w:r>
        <w:rPr>
          <w:i/>
        </w:rPr>
        <w:t xml:space="preserve">I </w:t>
      </w:r>
      <w:r>
        <w:t>mean coincides with what my utterance literally means.</w:t>
      </w:r>
    </w:p>
    <w:p w14:paraId="7E000C41" w14:textId="77777777" w:rsidR="009A58DB" w:rsidRDefault="00000000">
      <w:pPr>
        <w:pStyle w:val="BodyText"/>
        <w:spacing w:before="3" w:line="249" w:lineRule="auto"/>
        <w:ind w:right="358" w:firstLine="360"/>
      </w:pPr>
      <w:r>
        <w:t>Language is often used non-literally. If, while addressing a pan-handler, I say “you’ve made a fine life for yourself,” what I mean is the antitheses of what my utterance means. But usually the propositions literally meant by our utterances</w:t>
      </w:r>
      <w:r>
        <w:rPr>
          <w:spacing w:val="-1"/>
        </w:rPr>
        <w:t xml:space="preserve"> </w:t>
      </w:r>
      <w:r>
        <w:t>are</w:t>
      </w:r>
      <w:r>
        <w:rPr>
          <w:spacing w:val="-1"/>
        </w:rPr>
        <w:t xml:space="preserve"> </w:t>
      </w:r>
      <w:r>
        <w:t>neither</w:t>
      </w:r>
      <w:r>
        <w:rPr>
          <w:spacing w:val="-1"/>
        </w:rPr>
        <w:t xml:space="preserve"> </w:t>
      </w:r>
      <w:r>
        <w:t>opposed</w:t>
      </w:r>
      <w:r>
        <w:rPr>
          <w:spacing w:val="-1"/>
        </w:rPr>
        <w:t xml:space="preserve"> </w:t>
      </w:r>
      <w:r>
        <w:t>to,</w:t>
      </w:r>
      <w:r>
        <w:rPr>
          <w:spacing w:val="-1"/>
        </w:rPr>
        <w:t xml:space="preserve"> </w:t>
      </w:r>
      <w:r>
        <w:t>nor</w:t>
      </w:r>
      <w:r>
        <w:rPr>
          <w:spacing w:val="-1"/>
        </w:rPr>
        <w:t xml:space="preserve"> </w:t>
      </w:r>
      <w:r>
        <w:t>exhaustive</w:t>
      </w:r>
      <w:r>
        <w:rPr>
          <w:spacing w:val="-1"/>
        </w:rPr>
        <w:t xml:space="preserve"> </w:t>
      </w:r>
      <w:r>
        <w:t>of,</w:t>
      </w:r>
      <w:r>
        <w:rPr>
          <w:spacing w:val="-1"/>
        </w:rPr>
        <w:t xml:space="preserve"> </w:t>
      </w:r>
      <w:r>
        <w:t>the</w:t>
      </w:r>
      <w:r>
        <w:rPr>
          <w:spacing w:val="-1"/>
        </w:rPr>
        <w:t xml:space="preserve"> </w:t>
      </w:r>
      <w:r>
        <w:t>propositions</w:t>
      </w:r>
      <w:r>
        <w:rPr>
          <w:spacing w:val="-1"/>
        </w:rPr>
        <w:t xml:space="preserve"> </w:t>
      </w:r>
      <w:r>
        <w:t>we</w:t>
      </w:r>
      <w:r>
        <w:rPr>
          <w:spacing w:val="-1"/>
        </w:rPr>
        <w:t xml:space="preserve"> </w:t>
      </w:r>
      <w:r>
        <w:t>wish to affirm in producing those utterances. Asked whether there’s a place to get food, I say “there’s a McDonalds down the road.” The proposition I’m affirming</w:t>
      </w:r>
      <w:r>
        <w:rPr>
          <w:spacing w:val="-3"/>
        </w:rPr>
        <w:t xml:space="preserve"> </w:t>
      </w:r>
      <w:r>
        <w:t>is:</w:t>
      </w:r>
      <w:r>
        <w:rPr>
          <w:spacing w:val="-4"/>
        </w:rPr>
        <w:t xml:space="preserve"> </w:t>
      </w:r>
      <w:r>
        <w:t>there</w:t>
      </w:r>
      <w:r>
        <w:rPr>
          <w:spacing w:val="-4"/>
        </w:rPr>
        <w:t xml:space="preserve"> </w:t>
      </w:r>
      <w:r>
        <w:t>is</w:t>
      </w:r>
      <w:r>
        <w:rPr>
          <w:spacing w:val="-4"/>
        </w:rPr>
        <w:t xml:space="preserve"> </w:t>
      </w:r>
      <w:r>
        <w:t>a</w:t>
      </w:r>
      <w:r>
        <w:rPr>
          <w:spacing w:val="-4"/>
        </w:rPr>
        <w:t xml:space="preserve"> </w:t>
      </w:r>
      <w:r>
        <w:t>nearby</w:t>
      </w:r>
      <w:r>
        <w:rPr>
          <w:spacing w:val="-3"/>
        </w:rPr>
        <w:t xml:space="preserve"> </w:t>
      </w:r>
      <w:r>
        <w:t>place</w:t>
      </w:r>
      <w:r>
        <w:rPr>
          <w:spacing w:val="-4"/>
        </w:rPr>
        <w:t xml:space="preserve"> </w:t>
      </w:r>
      <w:r>
        <w:t>to</w:t>
      </w:r>
      <w:r>
        <w:rPr>
          <w:spacing w:val="-3"/>
        </w:rPr>
        <w:t xml:space="preserve"> </w:t>
      </w:r>
      <w:r>
        <w:t>get</w:t>
      </w:r>
      <w:r>
        <w:rPr>
          <w:spacing w:val="-4"/>
        </w:rPr>
        <w:t xml:space="preserve"> </w:t>
      </w:r>
      <w:r>
        <w:t>food,</w:t>
      </w:r>
      <w:r>
        <w:rPr>
          <w:spacing w:val="-3"/>
        </w:rPr>
        <w:t xml:space="preserve"> </w:t>
      </w:r>
      <w:r>
        <w:t>the</w:t>
      </w:r>
      <w:r>
        <w:rPr>
          <w:spacing w:val="-4"/>
        </w:rPr>
        <w:t xml:space="preserve"> </w:t>
      </w:r>
      <w:r>
        <w:t>reason</w:t>
      </w:r>
      <w:r>
        <w:rPr>
          <w:spacing w:val="-3"/>
        </w:rPr>
        <w:t xml:space="preserve"> </w:t>
      </w:r>
      <w:r>
        <w:t>being</w:t>
      </w:r>
      <w:r>
        <w:rPr>
          <w:spacing w:val="-3"/>
        </w:rPr>
        <w:t xml:space="preserve"> </w:t>
      </w:r>
      <w:r>
        <w:t>that</w:t>
      </w:r>
      <w:r>
        <w:rPr>
          <w:spacing w:val="-4"/>
        </w:rPr>
        <w:t xml:space="preserve"> </w:t>
      </w:r>
      <w:r>
        <w:t>there’s</w:t>
      </w:r>
      <w:r>
        <w:rPr>
          <w:spacing w:val="-4"/>
        </w:rPr>
        <w:t xml:space="preserve"> </w:t>
      </w:r>
      <w:r>
        <w:t>a McDonalds down the road. Thus, the proposition literally meant by my utterance is a only a part of what it is that I’m saying. Thus, what a sentence literally means is only one of many factors governing what</w:t>
      </w:r>
      <w:r>
        <w:rPr>
          <w:spacing w:val="-1"/>
        </w:rPr>
        <w:t xml:space="preserve"> </w:t>
      </w:r>
      <w:r>
        <w:t>it</w:t>
      </w:r>
      <w:r>
        <w:rPr>
          <w:spacing w:val="-1"/>
        </w:rPr>
        <w:t xml:space="preserve"> </w:t>
      </w:r>
      <w:r>
        <w:t>is used to mean. The discipline of pragmatics tries to identify the remaining factors.</w:t>
      </w:r>
    </w:p>
    <w:p w14:paraId="7E000C42" w14:textId="77777777" w:rsidR="009A58DB" w:rsidRDefault="00000000">
      <w:pPr>
        <w:pStyle w:val="Heading1"/>
        <w:spacing w:before="217"/>
        <w:ind w:left="360" w:firstLine="0"/>
      </w:pPr>
      <w:r>
        <w:t>3.3</w:t>
      </w:r>
      <w:r>
        <w:rPr>
          <w:spacing w:val="-2"/>
        </w:rPr>
        <w:t xml:space="preserve"> Syntax</w:t>
      </w:r>
    </w:p>
    <w:p w14:paraId="7E000C43" w14:textId="77777777" w:rsidR="009A58DB" w:rsidRDefault="00000000">
      <w:pPr>
        <w:pStyle w:val="BodyText"/>
        <w:spacing w:before="139" w:line="249" w:lineRule="auto"/>
        <w:ind w:right="357"/>
      </w:pPr>
      <w:r>
        <w:t xml:space="preserve">The disciplines of syntax studies the structures of the meanings of </w:t>
      </w:r>
      <w:r>
        <w:rPr>
          <w:b/>
          <w:i/>
        </w:rPr>
        <w:t xml:space="preserve">complex expressions. </w:t>
      </w:r>
      <w:r>
        <w:t>A complex expression is one that consists of other expressions. (Thus, “the man who ate my cookie” is a complex expression, since it consists</w:t>
      </w:r>
      <w:r>
        <w:rPr>
          <w:spacing w:val="-2"/>
        </w:rPr>
        <w:t xml:space="preserve"> </w:t>
      </w:r>
      <w:r>
        <w:t>of</w:t>
      </w:r>
      <w:r>
        <w:rPr>
          <w:spacing w:val="-2"/>
        </w:rPr>
        <w:t xml:space="preserve"> </w:t>
      </w:r>
      <w:r>
        <w:t>“man,”</w:t>
      </w:r>
      <w:r>
        <w:rPr>
          <w:spacing w:val="-2"/>
        </w:rPr>
        <w:t xml:space="preserve"> </w:t>
      </w:r>
      <w:r>
        <w:t>“ate,”</w:t>
      </w:r>
      <w:r>
        <w:rPr>
          <w:spacing w:val="-2"/>
        </w:rPr>
        <w:t xml:space="preserve"> </w:t>
      </w:r>
      <w:r>
        <w:t>etc.,</w:t>
      </w:r>
      <w:r>
        <w:rPr>
          <w:spacing w:val="-2"/>
        </w:rPr>
        <w:t xml:space="preserve"> </w:t>
      </w:r>
      <w:r>
        <w:t>each</w:t>
      </w:r>
      <w:r>
        <w:rPr>
          <w:spacing w:val="-2"/>
        </w:rPr>
        <w:t xml:space="preserve"> </w:t>
      </w:r>
      <w:r>
        <w:t>of</w:t>
      </w:r>
      <w:r>
        <w:rPr>
          <w:spacing w:val="-2"/>
        </w:rPr>
        <w:t xml:space="preserve"> </w:t>
      </w:r>
      <w:r>
        <w:t>which</w:t>
      </w:r>
      <w:r>
        <w:rPr>
          <w:spacing w:val="-2"/>
        </w:rPr>
        <w:t xml:space="preserve"> </w:t>
      </w:r>
      <w:r>
        <w:t>is</w:t>
      </w:r>
      <w:r>
        <w:rPr>
          <w:spacing w:val="-2"/>
        </w:rPr>
        <w:t xml:space="preserve"> </w:t>
      </w:r>
      <w:r>
        <w:t>meaningful.</w:t>
      </w:r>
      <w:r>
        <w:rPr>
          <w:spacing w:val="-2"/>
        </w:rPr>
        <w:t xml:space="preserve"> </w:t>
      </w:r>
      <w:r>
        <w:t>By</w:t>
      </w:r>
      <w:r>
        <w:rPr>
          <w:spacing w:val="-2"/>
        </w:rPr>
        <w:t xml:space="preserve"> </w:t>
      </w:r>
      <w:r>
        <w:t>contrast,</w:t>
      </w:r>
      <w:r>
        <w:rPr>
          <w:spacing w:val="-2"/>
        </w:rPr>
        <w:t xml:space="preserve"> </w:t>
      </w:r>
      <w:r>
        <w:t>“red” is not a complex expression, since it doesn’t have any meaningful proper parts.) The discipline of syntax tries to make it clear how the meanings of complex expressions depend on those of their parts.</w:t>
      </w:r>
    </w:p>
    <w:p w14:paraId="7E000C44" w14:textId="77777777" w:rsidR="009A58DB" w:rsidRDefault="00000000">
      <w:pPr>
        <w:pStyle w:val="BodyText"/>
        <w:spacing w:before="8" w:line="249" w:lineRule="auto"/>
        <w:ind w:right="362" w:firstLine="360"/>
      </w:pPr>
      <w:r>
        <w:t xml:space="preserve">Thus, the discipline of syntax doesn’t study the meanings of complex expressions </w:t>
      </w:r>
      <w:r>
        <w:rPr>
          <w:i/>
        </w:rPr>
        <w:t xml:space="preserve">per se. </w:t>
      </w:r>
      <w:r>
        <w:t xml:space="preserve">It studies the </w:t>
      </w:r>
      <w:r>
        <w:rPr>
          <w:i/>
        </w:rPr>
        <w:t xml:space="preserve">relationships </w:t>
      </w:r>
      <w:r>
        <w:t xml:space="preserve">that such meanings have to those of their constituents. Consider the sentence “Sally hates Bob.” The word “hates” </w:t>
      </w:r>
      <w:r>
        <w:rPr>
          <w:b/>
          <w:i/>
        </w:rPr>
        <w:t xml:space="preserve">occurs </w:t>
      </w:r>
      <w:r>
        <w:t>in that sentence. If that occurrence is replaced with an occurrence of “loves” or “is amused by,” the resulting sentence has a very different</w:t>
      </w:r>
      <w:r>
        <w:rPr>
          <w:spacing w:val="40"/>
        </w:rPr>
        <w:t xml:space="preserve"> </w:t>
      </w:r>
      <w:r>
        <w:t>meaning</w:t>
      </w:r>
      <w:r>
        <w:rPr>
          <w:spacing w:val="40"/>
        </w:rPr>
        <w:t xml:space="preserve"> </w:t>
      </w:r>
      <w:r>
        <w:t>from</w:t>
      </w:r>
      <w:r>
        <w:rPr>
          <w:spacing w:val="40"/>
        </w:rPr>
        <w:t xml:space="preserve"> </w:t>
      </w:r>
      <w:r>
        <w:t>the</w:t>
      </w:r>
      <w:r>
        <w:rPr>
          <w:spacing w:val="40"/>
        </w:rPr>
        <w:t xml:space="preserve"> </w:t>
      </w:r>
      <w:r>
        <w:t>first.</w:t>
      </w:r>
      <w:r>
        <w:rPr>
          <w:spacing w:val="40"/>
        </w:rPr>
        <w:t xml:space="preserve"> </w:t>
      </w:r>
      <w:r>
        <w:t>This</w:t>
      </w:r>
      <w:r>
        <w:rPr>
          <w:spacing w:val="40"/>
        </w:rPr>
        <w:t xml:space="preserve"> </w:t>
      </w:r>
      <w:r>
        <w:t>shows</w:t>
      </w:r>
      <w:r>
        <w:rPr>
          <w:spacing w:val="40"/>
        </w:rPr>
        <w:t xml:space="preserve"> </w:t>
      </w:r>
      <w:r>
        <w:t>that</w:t>
      </w:r>
      <w:r>
        <w:rPr>
          <w:spacing w:val="40"/>
        </w:rPr>
        <w:t xml:space="preserve"> </w:t>
      </w:r>
      <w:r>
        <w:t>what</w:t>
      </w:r>
      <w:r>
        <w:rPr>
          <w:spacing w:val="40"/>
        </w:rPr>
        <w:t xml:space="preserve"> </w:t>
      </w:r>
      <w:r>
        <w:t>“Sally</w:t>
      </w:r>
      <w:r>
        <w:rPr>
          <w:spacing w:val="40"/>
        </w:rPr>
        <w:t xml:space="preserve"> </w:t>
      </w:r>
      <w:r>
        <w:t>hates</w:t>
      </w:r>
      <w:r>
        <w:rPr>
          <w:spacing w:val="40"/>
        </w:rPr>
        <w:t xml:space="preserve"> </w:t>
      </w:r>
      <w:r>
        <w:t>Bob”</w:t>
      </w:r>
    </w:p>
    <w:p w14:paraId="7E000C4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46" w14:textId="77777777" w:rsidR="009A58DB" w:rsidRDefault="00000000">
      <w:pPr>
        <w:pStyle w:val="BodyText"/>
        <w:spacing w:before="70"/>
      </w:pPr>
      <w:r>
        <w:lastRenderedPageBreak/>
        <w:t>means</w:t>
      </w:r>
      <w:r>
        <w:rPr>
          <w:spacing w:val="-4"/>
        </w:rPr>
        <w:t xml:space="preserve"> </w:t>
      </w:r>
      <w:r>
        <w:t>depends</w:t>
      </w:r>
      <w:r>
        <w:rPr>
          <w:spacing w:val="-3"/>
        </w:rPr>
        <w:t xml:space="preserve"> </w:t>
      </w:r>
      <w:r>
        <w:t>on</w:t>
      </w:r>
      <w:r>
        <w:rPr>
          <w:spacing w:val="-3"/>
        </w:rPr>
        <w:t xml:space="preserve"> </w:t>
      </w:r>
      <w:r>
        <w:t>what</w:t>
      </w:r>
      <w:r>
        <w:rPr>
          <w:spacing w:val="-3"/>
        </w:rPr>
        <w:t xml:space="preserve"> </w:t>
      </w:r>
      <w:r>
        <w:t>“hates”</w:t>
      </w:r>
      <w:r>
        <w:rPr>
          <w:spacing w:val="-3"/>
        </w:rPr>
        <w:t xml:space="preserve"> </w:t>
      </w:r>
      <w:r>
        <w:rPr>
          <w:spacing w:val="-2"/>
        </w:rPr>
        <w:t>means.</w:t>
      </w:r>
    </w:p>
    <w:p w14:paraId="7E000C47" w14:textId="77777777" w:rsidR="009A58DB" w:rsidRDefault="00000000">
      <w:pPr>
        <w:pStyle w:val="BodyText"/>
        <w:spacing w:before="10" w:line="249" w:lineRule="auto"/>
        <w:ind w:right="358" w:firstLine="360"/>
      </w:pPr>
      <w:r>
        <w:t xml:space="preserve">Bearing this point in mind, consider the sentence “Larry loves Julie.” Obviously this sentence doesn’t mean the same thing as “Sally hates Bob.” But the </w:t>
      </w:r>
      <w:r>
        <w:rPr>
          <w:i/>
        </w:rPr>
        <w:t xml:space="preserve">relationship </w:t>
      </w:r>
      <w:r>
        <w:t xml:space="preserve">borne by the meaning of “Sally hates Bob” to the meaning “hates” is identical with the relationship borne by the meaning of “Larry loves Julie” to that of “loves.” Exactly similar points hold in connection with each of the remaining two constituents of each of those </w:t>
      </w:r>
      <w:r>
        <w:rPr>
          <w:spacing w:val="-2"/>
        </w:rPr>
        <w:t>sentences.</w:t>
      </w:r>
    </w:p>
    <w:p w14:paraId="7E000C48" w14:textId="77777777" w:rsidR="009A58DB" w:rsidRDefault="00000000">
      <w:pPr>
        <w:pStyle w:val="BodyText"/>
        <w:spacing w:before="8" w:line="249" w:lineRule="auto"/>
        <w:ind w:right="362" w:firstLine="360"/>
      </w:pPr>
      <w:r>
        <w:t xml:space="preserve">The discipline of syntax studies the </w:t>
      </w:r>
      <w:r>
        <w:rPr>
          <w:i/>
        </w:rPr>
        <w:t>relation</w:t>
      </w:r>
      <w:r>
        <w:rPr>
          <w:i/>
          <w:spacing w:val="-3"/>
        </w:rPr>
        <w:t xml:space="preserve"> </w:t>
      </w:r>
      <w:r>
        <w:t>that the meanings of complex expressions bear to the meanings of the simple expressions composing them. Thus,</w:t>
      </w:r>
      <w:r>
        <w:rPr>
          <w:spacing w:val="-1"/>
        </w:rPr>
        <w:t xml:space="preserve"> </w:t>
      </w:r>
      <w:r>
        <w:t>syntax</w:t>
      </w:r>
      <w:r>
        <w:rPr>
          <w:spacing w:val="-1"/>
        </w:rPr>
        <w:t xml:space="preserve"> </w:t>
      </w:r>
      <w:r>
        <w:t>doesn’t</w:t>
      </w:r>
      <w:r>
        <w:rPr>
          <w:spacing w:val="-1"/>
        </w:rPr>
        <w:t xml:space="preserve"> </w:t>
      </w:r>
      <w:r>
        <w:t>study</w:t>
      </w:r>
      <w:r>
        <w:rPr>
          <w:spacing w:val="-1"/>
        </w:rPr>
        <w:t xml:space="preserve"> </w:t>
      </w:r>
      <w:r>
        <w:t>the</w:t>
      </w:r>
      <w:r>
        <w:rPr>
          <w:spacing w:val="-1"/>
        </w:rPr>
        <w:t xml:space="preserve"> </w:t>
      </w:r>
      <w:r>
        <w:t>semantics</w:t>
      </w:r>
      <w:r>
        <w:rPr>
          <w:spacing w:val="-1"/>
        </w:rPr>
        <w:t xml:space="preserve"> </w:t>
      </w:r>
      <w:r>
        <w:t>(meanings)</w:t>
      </w:r>
      <w:r>
        <w:rPr>
          <w:spacing w:val="-1"/>
        </w:rPr>
        <w:t xml:space="preserve"> </w:t>
      </w:r>
      <w:r>
        <w:t>of</w:t>
      </w:r>
      <w:r>
        <w:rPr>
          <w:spacing w:val="-1"/>
        </w:rPr>
        <w:t xml:space="preserve"> </w:t>
      </w:r>
      <w:r>
        <w:t>complex</w:t>
      </w:r>
      <w:r>
        <w:rPr>
          <w:spacing w:val="-1"/>
        </w:rPr>
        <w:t xml:space="preserve"> </w:t>
      </w:r>
      <w:r>
        <w:t xml:space="preserve">expressions. It studies the </w:t>
      </w:r>
      <w:r>
        <w:rPr>
          <w:i/>
        </w:rPr>
        <w:t xml:space="preserve">structures </w:t>
      </w:r>
      <w:r>
        <w:t>of the semantics of complex expressions. Syntax studies semantic structure.</w:t>
      </w:r>
    </w:p>
    <w:p w14:paraId="7E000C49" w14:textId="77777777" w:rsidR="009A58DB" w:rsidRDefault="00000000">
      <w:pPr>
        <w:pStyle w:val="Heading1"/>
        <w:numPr>
          <w:ilvl w:val="1"/>
          <w:numId w:val="189"/>
        </w:numPr>
        <w:tabs>
          <w:tab w:val="left" w:pos="990"/>
        </w:tabs>
        <w:spacing w:before="194"/>
      </w:pPr>
      <w:r>
        <w:t>The</w:t>
      </w:r>
      <w:r>
        <w:rPr>
          <w:spacing w:val="-6"/>
        </w:rPr>
        <w:t xml:space="preserve"> </w:t>
      </w:r>
      <w:r>
        <w:t>need</w:t>
      </w:r>
      <w:r>
        <w:rPr>
          <w:spacing w:val="-4"/>
        </w:rPr>
        <w:t xml:space="preserve"> </w:t>
      </w:r>
      <w:r>
        <w:t>for</w:t>
      </w:r>
      <w:r>
        <w:rPr>
          <w:spacing w:val="-4"/>
        </w:rPr>
        <w:t xml:space="preserve"> </w:t>
      </w:r>
      <w:r>
        <w:t>the</w:t>
      </w:r>
      <w:r>
        <w:rPr>
          <w:spacing w:val="-4"/>
        </w:rPr>
        <w:t xml:space="preserve"> </w:t>
      </w:r>
      <w:r>
        <w:t>discipline</w:t>
      </w:r>
      <w:r>
        <w:rPr>
          <w:spacing w:val="-4"/>
        </w:rPr>
        <w:t xml:space="preserve"> </w:t>
      </w:r>
      <w:r>
        <w:t>of</w:t>
      </w:r>
      <w:r>
        <w:rPr>
          <w:spacing w:val="-3"/>
        </w:rPr>
        <w:t xml:space="preserve"> </w:t>
      </w:r>
      <w:r>
        <w:rPr>
          <w:spacing w:val="-2"/>
        </w:rPr>
        <w:t>semantics</w:t>
      </w:r>
    </w:p>
    <w:p w14:paraId="7E000C4A" w14:textId="77777777" w:rsidR="009A58DB" w:rsidRDefault="00000000">
      <w:pPr>
        <w:pStyle w:val="BodyText"/>
        <w:spacing w:before="139"/>
        <w:jc w:val="left"/>
      </w:pPr>
      <w:r>
        <w:t>Even</w:t>
      </w:r>
      <w:r>
        <w:rPr>
          <w:spacing w:val="-2"/>
        </w:rPr>
        <w:t xml:space="preserve"> </w:t>
      </w:r>
      <w:r>
        <w:t>though</w:t>
      </w:r>
      <w:r>
        <w:rPr>
          <w:spacing w:val="-1"/>
        </w:rPr>
        <w:t xml:space="preserve"> </w:t>
      </w:r>
      <w:r>
        <w:t>we</w:t>
      </w:r>
      <w:r>
        <w:rPr>
          <w:spacing w:val="-2"/>
        </w:rPr>
        <w:t xml:space="preserve"> </w:t>
      </w:r>
      <w:r>
        <w:t>all</w:t>
      </w:r>
      <w:r>
        <w:rPr>
          <w:spacing w:val="-2"/>
        </w:rPr>
        <w:t xml:space="preserve"> </w:t>
      </w:r>
      <w:r>
        <w:t>know</w:t>
      </w:r>
      <w:r>
        <w:rPr>
          <w:spacing w:val="-2"/>
        </w:rPr>
        <w:t xml:space="preserve"> </w:t>
      </w:r>
      <w:r>
        <w:rPr>
          <w:spacing w:val="-4"/>
        </w:rPr>
        <w:t>what:</w:t>
      </w:r>
    </w:p>
    <w:p w14:paraId="7E000C4B" w14:textId="77777777" w:rsidR="009A58DB" w:rsidRDefault="00000000">
      <w:pPr>
        <w:pStyle w:val="ListParagraph"/>
        <w:numPr>
          <w:ilvl w:val="0"/>
          <w:numId w:val="188"/>
        </w:numPr>
        <w:tabs>
          <w:tab w:val="left" w:pos="782"/>
        </w:tabs>
        <w:spacing w:before="120"/>
        <w:ind w:left="782" w:hanging="422"/>
        <w:rPr>
          <w:sz w:val="30"/>
        </w:rPr>
      </w:pPr>
      <w:r>
        <w:rPr>
          <w:sz w:val="30"/>
        </w:rPr>
        <w:t>“John</w:t>
      </w:r>
      <w:r>
        <w:rPr>
          <w:spacing w:val="-5"/>
          <w:sz w:val="30"/>
        </w:rPr>
        <w:t xml:space="preserve"> </w:t>
      </w:r>
      <w:r>
        <w:rPr>
          <w:sz w:val="30"/>
        </w:rPr>
        <w:t>wants</w:t>
      </w:r>
      <w:r>
        <w:rPr>
          <w:spacing w:val="-3"/>
          <w:sz w:val="30"/>
        </w:rPr>
        <w:t xml:space="preserve"> </w:t>
      </w:r>
      <w:r>
        <w:rPr>
          <w:sz w:val="30"/>
        </w:rPr>
        <w:t>to</w:t>
      </w:r>
      <w:r>
        <w:rPr>
          <w:spacing w:val="-2"/>
          <w:sz w:val="30"/>
        </w:rPr>
        <w:t xml:space="preserve"> </w:t>
      </w:r>
      <w:r>
        <w:rPr>
          <w:sz w:val="30"/>
        </w:rPr>
        <w:t>catch</w:t>
      </w:r>
      <w:r>
        <w:rPr>
          <w:spacing w:val="-3"/>
          <w:sz w:val="30"/>
        </w:rPr>
        <w:t xml:space="preserve"> </w:t>
      </w:r>
      <w:r>
        <w:rPr>
          <w:sz w:val="30"/>
        </w:rPr>
        <w:t>a</w:t>
      </w:r>
      <w:r>
        <w:rPr>
          <w:spacing w:val="-3"/>
          <w:sz w:val="30"/>
        </w:rPr>
        <w:t xml:space="preserve"> </w:t>
      </w:r>
      <w:r>
        <w:rPr>
          <w:sz w:val="30"/>
        </w:rPr>
        <w:t>20-pound</w:t>
      </w:r>
      <w:r>
        <w:rPr>
          <w:spacing w:val="-2"/>
          <w:sz w:val="30"/>
        </w:rPr>
        <w:t xml:space="preserve"> </w:t>
      </w:r>
      <w:r>
        <w:rPr>
          <w:sz w:val="30"/>
        </w:rPr>
        <w:t>striped</w:t>
      </w:r>
      <w:r>
        <w:rPr>
          <w:spacing w:val="-2"/>
          <w:sz w:val="30"/>
        </w:rPr>
        <w:t xml:space="preserve"> bass”</w:t>
      </w:r>
    </w:p>
    <w:p w14:paraId="7E000C4C" w14:textId="77777777" w:rsidR="009A58DB" w:rsidRDefault="00000000">
      <w:pPr>
        <w:pStyle w:val="BodyText"/>
        <w:spacing w:before="121" w:line="249" w:lineRule="auto"/>
        <w:jc w:val="left"/>
      </w:pPr>
      <w:r>
        <w:t>means, we don’t know what it is that we know in knowing this. Semanticists supply us with the missing metaknowledge. Consider the sentence:</w:t>
      </w:r>
    </w:p>
    <w:p w14:paraId="7E000C4D" w14:textId="77777777" w:rsidR="009A58DB" w:rsidRDefault="00000000">
      <w:pPr>
        <w:pStyle w:val="ListParagraph"/>
        <w:numPr>
          <w:ilvl w:val="0"/>
          <w:numId w:val="188"/>
        </w:numPr>
        <w:tabs>
          <w:tab w:val="left" w:pos="782"/>
        </w:tabs>
        <w:spacing w:before="92"/>
        <w:ind w:left="782" w:hanging="422"/>
        <w:jc w:val="both"/>
        <w:rPr>
          <w:sz w:val="30"/>
        </w:rPr>
      </w:pPr>
      <w:r>
        <w:rPr>
          <w:sz w:val="30"/>
        </w:rPr>
        <w:t>“John</w:t>
      </w:r>
      <w:r>
        <w:rPr>
          <w:spacing w:val="-2"/>
          <w:sz w:val="30"/>
        </w:rPr>
        <w:t xml:space="preserve"> </w:t>
      </w:r>
      <w:r>
        <w:rPr>
          <w:sz w:val="30"/>
        </w:rPr>
        <w:t>wants</w:t>
      </w:r>
      <w:r>
        <w:rPr>
          <w:spacing w:val="-3"/>
          <w:sz w:val="30"/>
        </w:rPr>
        <w:t xml:space="preserve"> </w:t>
      </w:r>
      <w:r>
        <w:rPr>
          <w:sz w:val="30"/>
        </w:rPr>
        <w:t>to</w:t>
      </w:r>
      <w:r>
        <w:rPr>
          <w:spacing w:val="-2"/>
          <w:sz w:val="30"/>
        </w:rPr>
        <w:t xml:space="preserve"> </w:t>
      </w:r>
      <w:r>
        <w:rPr>
          <w:sz w:val="30"/>
        </w:rPr>
        <w:t>punch</w:t>
      </w:r>
      <w:r>
        <w:rPr>
          <w:spacing w:val="-1"/>
          <w:sz w:val="30"/>
        </w:rPr>
        <w:t xml:space="preserve"> </w:t>
      </w:r>
      <w:r>
        <w:rPr>
          <w:spacing w:val="-2"/>
          <w:sz w:val="30"/>
        </w:rPr>
        <w:t>Bob.”</w:t>
      </w:r>
    </w:p>
    <w:p w14:paraId="7E000C4E" w14:textId="77777777" w:rsidR="009A58DB" w:rsidRDefault="00000000">
      <w:pPr>
        <w:pStyle w:val="ListParagraph"/>
        <w:numPr>
          <w:ilvl w:val="0"/>
          <w:numId w:val="187"/>
        </w:numPr>
        <w:tabs>
          <w:tab w:val="left" w:pos="855"/>
        </w:tabs>
        <w:spacing w:before="120" w:line="249" w:lineRule="auto"/>
        <w:ind w:right="361" w:firstLine="0"/>
        <w:jc w:val="both"/>
        <w:rPr>
          <w:sz w:val="30"/>
        </w:rPr>
      </w:pPr>
      <w:r>
        <w:rPr>
          <w:sz w:val="30"/>
        </w:rPr>
        <w:t>attributes a certain property to John—that of wanting to punch Bob. Given that (1) and (2) are grammatically isomorphic, it’s natural to assume that there exists some 20-pound striped bass x such that the proposition expressed by (1) is:</w:t>
      </w:r>
    </w:p>
    <w:p w14:paraId="7E000C4F" w14:textId="77777777" w:rsidR="009A58DB" w:rsidRDefault="00000000">
      <w:pPr>
        <w:pStyle w:val="ListParagraph"/>
        <w:numPr>
          <w:ilvl w:val="0"/>
          <w:numId w:val="187"/>
        </w:numPr>
        <w:tabs>
          <w:tab w:val="left" w:pos="782"/>
        </w:tabs>
        <w:spacing w:before="110"/>
        <w:ind w:left="782" w:hanging="422"/>
        <w:jc w:val="both"/>
        <w:rPr>
          <w:sz w:val="30"/>
        </w:rPr>
      </w:pPr>
      <w:r>
        <w:rPr>
          <w:sz w:val="30"/>
        </w:rPr>
        <w:t>John</w:t>
      </w:r>
      <w:r>
        <w:rPr>
          <w:spacing w:val="-3"/>
          <w:sz w:val="30"/>
        </w:rPr>
        <w:t xml:space="preserve"> </w:t>
      </w:r>
      <w:r>
        <w:rPr>
          <w:sz w:val="30"/>
        </w:rPr>
        <w:t>wants</w:t>
      </w:r>
      <w:r>
        <w:rPr>
          <w:spacing w:val="-3"/>
          <w:sz w:val="30"/>
        </w:rPr>
        <w:t xml:space="preserve"> </w:t>
      </w:r>
      <w:r>
        <w:rPr>
          <w:sz w:val="30"/>
        </w:rPr>
        <w:t>to</w:t>
      </w:r>
      <w:r>
        <w:rPr>
          <w:spacing w:val="-2"/>
          <w:sz w:val="30"/>
        </w:rPr>
        <w:t xml:space="preserve"> </w:t>
      </w:r>
      <w:r>
        <w:rPr>
          <w:sz w:val="30"/>
        </w:rPr>
        <w:t>catch</w:t>
      </w:r>
      <w:r>
        <w:rPr>
          <w:spacing w:val="-2"/>
          <w:sz w:val="30"/>
        </w:rPr>
        <w:t xml:space="preserve"> </w:t>
      </w:r>
      <w:r>
        <w:rPr>
          <w:spacing w:val="-5"/>
          <w:sz w:val="30"/>
        </w:rPr>
        <w:t>x.</w:t>
      </w:r>
    </w:p>
    <w:p w14:paraId="7E000C50" w14:textId="77777777" w:rsidR="009A58DB" w:rsidRDefault="00000000">
      <w:pPr>
        <w:pStyle w:val="BodyText"/>
        <w:spacing w:before="105" w:line="249" w:lineRule="auto"/>
        <w:ind w:right="359" w:firstLine="360"/>
      </w:pPr>
      <w:r>
        <w:t xml:space="preserve">But this isn’t the right analysis. There isn’t some </w:t>
      </w:r>
      <w:r>
        <w:rPr>
          <w:i/>
        </w:rPr>
        <w:t xml:space="preserve">one </w:t>
      </w:r>
      <w:r>
        <w:t xml:space="preserve">fish such that, if the desire ascribed to John by (1) is to be gratified, John must catch </w:t>
      </w:r>
      <w:r>
        <w:rPr>
          <w:i/>
        </w:rPr>
        <w:t xml:space="preserve">that </w:t>
      </w:r>
      <w:r>
        <w:t>very fish. There is thus no fish x such that, if (1) is to be true, John must want to catch x.</w:t>
      </w:r>
    </w:p>
    <w:p w14:paraId="7E000C51" w14:textId="77777777" w:rsidR="009A58DB" w:rsidRDefault="00000000">
      <w:pPr>
        <w:pStyle w:val="BodyText"/>
        <w:spacing w:before="5"/>
        <w:ind w:left="720"/>
      </w:pPr>
      <w:r>
        <w:t>The</w:t>
      </w:r>
      <w:r>
        <w:rPr>
          <w:spacing w:val="-3"/>
        </w:rPr>
        <w:t xml:space="preserve"> </w:t>
      </w:r>
      <w:r>
        <w:t>meaning</w:t>
      </w:r>
      <w:r>
        <w:rPr>
          <w:spacing w:val="-2"/>
        </w:rPr>
        <w:t xml:space="preserve"> </w:t>
      </w:r>
      <w:r>
        <w:t>of</w:t>
      </w:r>
      <w:r>
        <w:rPr>
          <w:spacing w:val="-2"/>
        </w:rPr>
        <w:t xml:space="preserve"> </w:t>
      </w:r>
      <w:r>
        <w:t>(1)</w:t>
      </w:r>
      <w:r>
        <w:rPr>
          <w:spacing w:val="-2"/>
        </w:rPr>
        <w:t xml:space="preserve"> </w:t>
      </w:r>
      <w:r>
        <w:rPr>
          <w:spacing w:val="-5"/>
        </w:rPr>
        <w:t>is:</w:t>
      </w:r>
    </w:p>
    <w:p w14:paraId="7E000C52" w14:textId="77777777" w:rsidR="009A58DB" w:rsidRDefault="00000000">
      <w:pPr>
        <w:spacing w:before="120" w:line="249" w:lineRule="auto"/>
        <w:ind w:left="720" w:right="358"/>
        <w:jc w:val="both"/>
        <w:rPr>
          <w:i/>
          <w:sz w:val="30"/>
        </w:rPr>
      </w:pPr>
      <w:r>
        <w:rPr>
          <w:sz w:val="30"/>
        </w:rPr>
        <w:t>(1</w:t>
      </w:r>
      <w:r>
        <w:rPr>
          <w:position w:val="-7"/>
        </w:rPr>
        <w:t>R</w:t>
      </w:r>
      <w:bookmarkStart w:id="140" w:name="_bookmark140"/>
      <w:bookmarkEnd w:id="140"/>
      <w:r>
        <w:rPr>
          <w:sz w:val="30"/>
        </w:rPr>
        <w:t>)</w:t>
      </w:r>
      <w:r>
        <w:rPr>
          <w:color w:val="0562C1"/>
          <w:position w:val="21"/>
          <w:sz w:val="30"/>
          <w:u w:val="single" w:color="0562C1"/>
        </w:rPr>
        <w:t>[74]</w:t>
      </w:r>
      <w:r>
        <w:rPr>
          <w:color w:val="0562C1"/>
          <w:spacing w:val="-1"/>
          <w:position w:val="21"/>
          <w:sz w:val="30"/>
        </w:rPr>
        <w:t xml:space="preserve"> </w:t>
      </w:r>
      <w:r>
        <w:rPr>
          <w:sz w:val="30"/>
        </w:rPr>
        <w:t>John</w:t>
      </w:r>
      <w:r>
        <w:rPr>
          <w:spacing w:val="-1"/>
          <w:sz w:val="30"/>
        </w:rPr>
        <w:t xml:space="preserve"> </w:t>
      </w:r>
      <w:r>
        <w:rPr>
          <w:sz w:val="30"/>
        </w:rPr>
        <w:t>wants</w:t>
      </w:r>
      <w:r>
        <w:rPr>
          <w:spacing w:val="-1"/>
          <w:sz w:val="30"/>
        </w:rPr>
        <w:t xml:space="preserve"> </w:t>
      </w:r>
      <w:r>
        <w:rPr>
          <w:sz w:val="30"/>
        </w:rPr>
        <w:t>it</w:t>
      </w:r>
      <w:r>
        <w:rPr>
          <w:spacing w:val="-1"/>
          <w:sz w:val="30"/>
        </w:rPr>
        <w:t xml:space="preserve"> </w:t>
      </w:r>
      <w:r>
        <w:rPr>
          <w:sz w:val="30"/>
        </w:rPr>
        <w:t>to</w:t>
      </w:r>
      <w:r>
        <w:rPr>
          <w:spacing w:val="-1"/>
          <w:sz w:val="30"/>
        </w:rPr>
        <w:t xml:space="preserve"> </w:t>
      </w:r>
      <w:r>
        <w:rPr>
          <w:sz w:val="30"/>
        </w:rPr>
        <w:t>be</w:t>
      </w:r>
      <w:r>
        <w:rPr>
          <w:spacing w:val="-1"/>
          <w:sz w:val="30"/>
        </w:rPr>
        <w:t xml:space="preserve"> </w:t>
      </w:r>
      <w:r>
        <w:rPr>
          <w:sz w:val="30"/>
        </w:rPr>
        <w:t>the</w:t>
      </w:r>
      <w:r>
        <w:rPr>
          <w:spacing w:val="-1"/>
          <w:sz w:val="30"/>
        </w:rPr>
        <w:t xml:space="preserve"> </w:t>
      </w:r>
      <w:r>
        <w:rPr>
          <w:sz w:val="30"/>
        </w:rPr>
        <w:t>case</w:t>
      </w:r>
      <w:r>
        <w:rPr>
          <w:spacing w:val="-1"/>
          <w:sz w:val="30"/>
        </w:rPr>
        <w:t xml:space="preserve"> </w:t>
      </w:r>
      <w:r>
        <w:rPr>
          <w:sz w:val="30"/>
        </w:rPr>
        <w:t>that:</w:t>
      </w:r>
      <w:r>
        <w:rPr>
          <w:spacing w:val="-1"/>
          <w:sz w:val="30"/>
        </w:rPr>
        <w:t xml:space="preserve"> </w:t>
      </w:r>
      <w:r>
        <w:rPr>
          <w:i/>
          <w:sz w:val="30"/>
        </w:rPr>
        <w:t>there exists some fish x such that x is 20-pound striped bass and such that John catches x.</w:t>
      </w:r>
    </w:p>
    <w:p w14:paraId="7E000C53" w14:textId="77777777" w:rsidR="009A58DB" w:rsidRDefault="009A58DB">
      <w:pPr>
        <w:spacing w:line="249" w:lineRule="auto"/>
        <w:jc w:val="both"/>
        <w:rPr>
          <w:i/>
          <w:sz w:val="30"/>
        </w:rPr>
        <w:sectPr w:rsidR="009A58DB">
          <w:pgSz w:w="12240" w:h="15840"/>
          <w:pgMar w:top="1380" w:right="1080" w:bottom="280" w:left="1080" w:header="720" w:footer="720" w:gutter="0"/>
          <w:cols w:space="720"/>
        </w:sectPr>
      </w:pPr>
    </w:p>
    <w:p w14:paraId="7E000C54" w14:textId="77777777" w:rsidR="009A58DB" w:rsidRDefault="00000000">
      <w:pPr>
        <w:pStyle w:val="BodyText"/>
        <w:spacing w:before="65" w:line="249" w:lineRule="auto"/>
        <w:ind w:right="362"/>
      </w:pPr>
      <w:r>
        <w:lastRenderedPageBreak/>
        <w:t>Thus,</w:t>
      </w:r>
      <w:r>
        <w:rPr>
          <w:spacing w:val="-1"/>
        </w:rPr>
        <w:t xml:space="preserve"> </w:t>
      </w:r>
      <w:r>
        <w:t>(1)</w:t>
      </w:r>
      <w:r>
        <w:rPr>
          <w:spacing w:val="-1"/>
        </w:rPr>
        <w:t xml:space="preserve"> </w:t>
      </w:r>
      <w:r>
        <w:t>doesn’t</w:t>
      </w:r>
      <w:r>
        <w:rPr>
          <w:spacing w:val="-1"/>
        </w:rPr>
        <w:t xml:space="preserve"> </w:t>
      </w:r>
      <w:r>
        <w:t>describe a</w:t>
      </w:r>
      <w:r>
        <w:rPr>
          <w:spacing w:val="-1"/>
        </w:rPr>
        <w:t xml:space="preserve"> </w:t>
      </w:r>
      <w:r>
        <w:t>relationship</w:t>
      </w:r>
      <w:r>
        <w:rPr>
          <w:spacing w:val="-1"/>
        </w:rPr>
        <w:t xml:space="preserve"> </w:t>
      </w:r>
      <w:r>
        <w:t xml:space="preserve">between John and some non-existent or quasi-existent fish. It affirms the existence of a relationship between John and a </w:t>
      </w:r>
      <w:r>
        <w:rPr>
          <w:i/>
        </w:rPr>
        <w:t xml:space="preserve">proposition. </w:t>
      </w:r>
      <w:r>
        <w:t>The proposition in question is one that, in English, is expressed by the sentence:</w:t>
      </w:r>
    </w:p>
    <w:p w14:paraId="7E000C55" w14:textId="77777777" w:rsidR="009A58DB" w:rsidRDefault="00000000">
      <w:pPr>
        <w:pStyle w:val="ListParagraph"/>
        <w:numPr>
          <w:ilvl w:val="0"/>
          <w:numId w:val="187"/>
        </w:numPr>
        <w:tabs>
          <w:tab w:val="left" w:pos="801"/>
        </w:tabs>
        <w:spacing w:before="110" w:line="249" w:lineRule="auto"/>
        <w:ind w:right="362" w:firstLine="0"/>
        <w:jc w:val="both"/>
        <w:rPr>
          <w:sz w:val="30"/>
        </w:rPr>
      </w:pPr>
      <w:r>
        <w:rPr>
          <w:sz w:val="30"/>
        </w:rPr>
        <w:t>“there exists some fish x such that x is a 20-pound striped bass and such that John catches x.”</w:t>
      </w:r>
    </w:p>
    <w:p w14:paraId="7E000C56" w14:textId="77777777" w:rsidR="009A58DB" w:rsidRDefault="00000000">
      <w:pPr>
        <w:pStyle w:val="BodyText"/>
        <w:spacing w:before="92" w:line="249" w:lineRule="auto"/>
        <w:ind w:right="371"/>
      </w:pPr>
      <w:r>
        <w:t>If John’s fishing-trip is a success, that proposition will be true; otherwise it will be false. But that proposition exists either way.</w:t>
      </w:r>
    </w:p>
    <w:p w14:paraId="7E000C57" w14:textId="77777777" w:rsidR="009A58DB" w:rsidRDefault="00000000">
      <w:pPr>
        <w:pStyle w:val="BodyText"/>
        <w:spacing w:before="2" w:line="249" w:lineRule="auto"/>
        <w:ind w:right="365" w:firstLine="360"/>
      </w:pPr>
      <w:r>
        <w:t xml:space="preserve">But we still haven’t solved the problem. In (4), the expression “some fish” occurs. Grammatically, that expression is a noun-phrase. But, unlike other noun-phrases, it doesn’t refer to anything. (“Some fish” doesn’t refer to some fish. There is no fish x such that “some fish” refers to x. That’s why, given any particular fish F, if you say “some fish is wet, but x is not,” what you are saying isn’t self-contradictory.) So the problem we were trying to solve </w:t>
      </w:r>
      <w:r>
        <w:rPr>
          <w:spacing w:val="-2"/>
        </w:rPr>
        <w:t>remains.</w:t>
      </w:r>
    </w:p>
    <w:p w14:paraId="7E000C58" w14:textId="77777777" w:rsidR="009A58DB" w:rsidRDefault="00000000">
      <w:pPr>
        <w:pStyle w:val="BodyText"/>
        <w:spacing w:before="114" w:line="249" w:lineRule="auto"/>
        <w:ind w:left="720" w:right="371"/>
      </w:pPr>
      <w:r>
        <w:t>But to solve the problem, we need only reword (4). The needed rewording is this:</w:t>
      </w:r>
    </w:p>
    <w:p w14:paraId="7E000C59" w14:textId="77777777" w:rsidR="009A58DB" w:rsidRDefault="00000000">
      <w:pPr>
        <w:pStyle w:val="ListParagraph"/>
        <w:numPr>
          <w:ilvl w:val="0"/>
          <w:numId w:val="187"/>
        </w:numPr>
        <w:tabs>
          <w:tab w:val="left" w:pos="865"/>
        </w:tabs>
        <w:spacing w:before="108" w:line="249" w:lineRule="auto"/>
        <w:ind w:right="365" w:firstLine="0"/>
        <w:jc w:val="both"/>
        <w:rPr>
          <w:sz w:val="30"/>
        </w:rPr>
      </w:pPr>
      <w:r>
        <w:rPr>
          <w:sz w:val="30"/>
        </w:rPr>
        <w:t xml:space="preserve">The property of being a 20-pound striped bass that John catches is </w:t>
      </w:r>
      <w:r>
        <w:rPr>
          <w:spacing w:val="-2"/>
          <w:sz w:val="30"/>
        </w:rPr>
        <w:t>instantiated.</w:t>
      </w:r>
    </w:p>
    <w:p w14:paraId="7E000C5A" w14:textId="77777777" w:rsidR="009A58DB" w:rsidRDefault="00000000">
      <w:pPr>
        <w:pStyle w:val="BodyText"/>
        <w:spacing w:before="92" w:line="249" w:lineRule="auto"/>
        <w:ind w:right="359"/>
      </w:pPr>
      <w:r>
        <w:t>The property of being such a fish exists. So (1), which seemed to be about a non-existent fish, is about an existent property. (5) says of that property that it’s instantiated. Thus, a complete analysis of (1) is given by:</w:t>
      </w:r>
    </w:p>
    <w:p w14:paraId="7E000C5B" w14:textId="77777777" w:rsidR="009A58DB" w:rsidRDefault="009A58DB">
      <w:pPr>
        <w:pStyle w:val="BodyText"/>
        <w:spacing w:before="259"/>
        <w:ind w:left="0"/>
        <w:jc w:val="left"/>
      </w:pPr>
    </w:p>
    <w:p w14:paraId="7E000C5C" w14:textId="77777777" w:rsidR="009A58DB" w:rsidRDefault="00000000">
      <w:pPr>
        <w:pStyle w:val="BodyText"/>
        <w:spacing w:line="249" w:lineRule="auto"/>
        <w:ind w:right="358"/>
      </w:pPr>
      <w:r>
        <w:rPr>
          <w:noProof/>
        </w:rPr>
        <mc:AlternateContent>
          <mc:Choice Requires="wps">
            <w:drawing>
              <wp:anchor distT="0" distB="0" distL="0" distR="0" simplePos="0" relativeHeight="480327168" behindDoc="1" locked="0" layoutInCell="1" allowOverlap="1" wp14:anchorId="7E003258" wp14:editId="7E003259">
                <wp:simplePos x="0" y="0"/>
                <wp:positionH relativeFrom="page">
                  <wp:posOffset>1266825</wp:posOffset>
                </wp:positionH>
                <wp:positionV relativeFrom="paragraph">
                  <wp:posOffset>192150</wp:posOffset>
                </wp:positionV>
                <wp:extent cx="3143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1270"/>
                        </a:xfrm>
                        <a:custGeom>
                          <a:avLst/>
                          <a:gdLst/>
                          <a:ahLst/>
                          <a:cxnLst/>
                          <a:rect l="l" t="t" r="r" b="b"/>
                          <a:pathLst>
                            <a:path w="314325">
                              <a:moveTo>
                                <a:pt x="0" y="0"/>
                              </a:moveTo>
                              <a:lnTo>
                                <a:pt x="31432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562B7D2" id="Graphic 5" o:spid="_x0000_s1026" style="position:absolute;margin-left:99.75pt;margin-top:15.15pt;width:24.75pt;height:.1pt;z-index:-22989312;visibility:visible;mso-wrap-style:square;mso-wrap-distance-left:0;mso-wrap-distance-top:0;mso-wrap-distance-right:0;mso-wrap-distance-bottom:0;mso-position-horizontal:absolute;mso-position-horizontal-relative:page;mso-position-vertical:absolute;mso-position-vertical-relative:text;v-text-anchor:top" coordsize="31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" path="m,l314325,e" filled="f" strokecolor="#0562c1">
                <v:path arrowok="t"/>
                <w10:wrap anchorx="page"/>
              </v:shape>
            </w:pict>
          </mc:Fallback>
        </mc:AlternateContent>
      </w:r>
      <w:r>
        <w:t>(1</w:t>
      </w:r>
      <w:r>
        <w:rPr>
          <w:position w:val="-7"/>
          <w:sz w:val="22"/>
        </w:rPr>
        <w:t>C</w:t>
      </w:r>
      <w:bookmarkStart w:id="141" w:name="_bookmark141"/>
      <w:bookmarkEnd w:id="141"/>
      <w:r>
        <w:rPr>
          <w:position w:val="-7"/>
          <w:sz w:val="22"/>
        </w:rPr>
        <w:t>A</w:t>
      </w:r>
      <w:r>
        <w:rPr>
          <w:color w:val="0562C1"/>
          <w:position w:val="21"/>
        </w:rPr>
        <w:t>[75]</w:t>
      </w:r>
      <w:r>
        <w:t>) John wants it to be the case that the property of being a 20-pound striped bass that John catches is instantiated.</w:t>
      </w:r>
    </w:p>
    <w:p w14:paraId="7E000C5D" w14:textId="77777777" w:rsidR="009A58DB" w:rsidRDefault="00000000">
      <w:pPr>
        <w:pStyle w:val="BodyText"/>
        <w:spacing w:before="104" w:line="249" w:lineRule="auto"/>
        <w:ind w:right="372" w:firstLine="360"/>
      </w:pPr>
      <w:r>
        <w:t>So</w:t>
      </w:r>
      <w:r>
        <w:rPr>
          <w:spacing w:val="-3"/>
        </w:rPr>
        <w:t xml:space="preserve"> </w:t>
      </w:r>
      <w:r>
        <w:t>even</w:t>
      </w:r>
      <w:r>
        <w:rPr>
          <w:spacing w:val="-3"/>
        </w:rPr>
        <w:t xml:space="preserve"> </w:t>
      </w:r>
      <w:r>
        <w:t>though</w:t>
      </w:r>
      <w:r>
        <w:rPr>
          <w:spacing w:val="-3"/>
        </w:rPr>
        <w:t xml:space="preserve"> </w:t>
      </w:r>
      <w:r>
        <w:t>just</w:t>
      </w:r>
      <w:r>
        <w:rPr>
          <w:spacing w:val="-3"/>
        </w:rPr>
        <w:t xml:space="preserve"> </w:t>
      </w:r>
      <w:r>
        <w:t>about</w:t>
      </w:r>
      <w:r>
        <w:rPr>
          <w:spacing w:val="-3"/>
        </w:rPr>
        <w:t xml:space="preserve"> </w:t>
      </w:r>
      <w:r>
        <w:t>every</w:t>
      </w:r>
      <w:r>
        <w:rPr>
          <w:spacing w:val="-3"/>
        </w:rPr>
        <w:t xml:space="preserve"> </w:t>
      </w:r>
      <w:r>
        <w:t>English</w:t>
      </w:r>
      <w:r>
        <w:rPr>
          <w:spacing w:val="-3"/>
        </w:rPr>
        <w:t xml:space="preserve"> </w:t>
      </w:r>
      <w:r>
        <w:t>speaker</w:t>
      </w:r>
      <w:r>
        <w:rPr>
          <w:spacing w:val="-3"/>
        </w:rPr>
        <w:t xml:space="preserve"> </w:t>
      </w:r>
      <w:r>
        <w:t>understands</w:t>
      </w:r>
      <w:r>
        <w:rPr>
          <w:spacing w:val="-3"/>
        </w:rPr>
        <w:t xml:space="preserve"> </w:t>
      </w:r>
      <w:r>
        <w:t>(1),</w:t>
      </w:r>
      <w:r>
        <w:rPr>
          <w:spacing w:val="-3"/>
        </w:rPr>
        <w:t xml:space="preserve"> </w:t>
      </w:r>
      <w:r>
        <w:t>knowing what it is that one knows in understanding it isn’t such a trivial thing.</w:t>
      </w:r>
    </w:p>
    <w:p w14:paraId="7E000C5E" w14:textId="77777777" w:rsidR="009A58DB" w:rsidRDefault="00000000">
      <w:pPr>
        <w:pStyle w:val="Heading1"/>
        <w:numPr>
          <w:ilvl w:val="1"/>
          <w:numId w:val="189"/>
        </w:numPr>
        <w:tabs>
          <w:tab w:val="left" w:pos="1033"/>
        </w:tabs>
        <w:spacing w:before="191" w:line="244" w:lineRule="auto"/>
        <w:ind w:left="360" w:right="360" w:firstLine="0"/>
        <w:jc w:val="both"/>
      </w:pPr>
      <w:r>
        <w:t>Semantics needed to figure out what is literally meant and what is not</w:t>
      </w:r>
    </w:p>
    <w:p w14:paraId="7E000C5F" w14:textId="77777777" w:rsidR="009A58DB" w:rsidRDefault="00000000">
      <w:pPr>
        <w:pStyle w:val="BodyText"/>
        <w:spacing w:before="132" w:line="249" w:lineRule="auto"/>
        <w:ind w:right="367"/>
      </w:pPr>
      <w:r>
        <w:t>Despite everything just said, there is clearly a sense in which every English speaker</w:t>
      </w:r>
      <w:r>
        <w:rPr>
          <w:spacing w:val="17"/>
        </w:rPr>
        <w:t xml:space="preserve"> </w:t>
      </w:r>
      <w:r>
        <w:t>knows</w:t>
      </w:r>
      <w:r>
        <w:rPr>
          <w:spacing w:val="21"/>
        </w:rPr>
        <w:t xml:space="preserve"> </w:t>
      </w:r>
      <w:r>
        <w:t>what</w:t>
      </w:r>
      <w:r>
        <w:rPr>
          <w:spacing w:val="20"/>
        </w:rPr>
        <w:t xml:space="preserve"> </w:t>
      </w:r>
      <w:r>
        <w:t>(1)</w:t>
      </w:r>
      <w:r>
        <w:rPr>
          <w:spacing w:val="21"/>
        </w:rPr>
        <w:t xml:space="preserve"> </w:t>
      </w:r>
      <w:r>
        <w:t>means.</w:t>
      </w:r>
      <w:r>
        <w:rPr>
          <w:spacing w:val="20"/>
        </w:rPr>
        <w:t xml:space="preserve"> </w:t>
      </w:r>
      <w:r>
        <w:t>What</w:t>
      </w:r>
      <w:r>
        <w:rPr>
          <w:spacing w:val="21"/>
        </w:rPr>
        <w:t xml:space="preserve"> </w:t>
      </w:r>
      <w:r>
        <w:t>the</w:t>
      </w:r>
      <w:r>
        <w:rPr>
          <w:spacing w:val="20"/>
        </w:rPr>
        <w:t xml:space="preserve"> </w:t>
      </w:r>
      <w:r>
        <w:t>semanticist</w:t>
      </w:r>
      <w:r>
        <w:rPr>
          <w:spacing w:val="21"/>
        </w:rPr>
        <w:t xml:space="preserve"> </w:t>
      </w:r>
      <w:r>
        <w:t>is</w:t>
      </w:r>
      <w:r>
        <w:rPr>
          <w:spacing w:val="20"/>
        </w:rPr>
        <w:t xml:space="preserve"> </w:t>
      </w:r>
      <w:r>
        <w:t>doing</w:t>
      </w:r>
      <w:r>
        <w:rPr>
          <w:spacing w:val="21"/>
        </w:rPr>
        <w:t xml:space="preserve"> </w:t>
      </w:r>
      <w:r>
        <w:t>in</w:t>
      </w:r>
      <w:r>
        <w:rPr>
          <w:spacing w:val="20"/>
        </w:rPr>
        <w:t xml:space="preserve"> </w:t>
      </w:r>
      <w:r>
        <w:rPr>
          <w:spacing w:val="-2"/>
        </w:rPr>
        <w:t>connection</w:t>
      </w:r>
    </w:p>
    <w:p w14:paraId="7E000C6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61" w14:textId="77777777" w:rsidR="009A58DB" w:rsidRDefault="00000000">
      <w:pPr>
        <w:pStyle w:val="BodyText"/>
        <w:spacing w:before="66" w:line="249" w:lineRule="auto"/>
        <w:ind w:right="358"/>
        <w:rPr>
          <w:i/>
        </w:rPr>
      </w:pPr>
      <w:r>
        <w:lastRenderedPageBreak/>
        <w:t>with</w:t>
      </w:r>
      <w:r>
        <w:rPr>
          <w:spacing w:val="-3"/>
        </w:rPr>
        <w:t xml:space="preserve"> </w:t>
      </w:r>
      <w:r>
        <w:t>(1)</w:t>
      </w:r>
      <w:r>
        <w:rPr>
          <w:spacing w:val="-3"/>
        </w:rPr>
        <w:t xml:space="preserve"> </w:t>
      </w:r>
      <w:r>
        <w:t>isn’t</w:t>
      </w:r>
      <w:r>
        <w:rPr>
          <w:spacing w:val="-3"/>
        </w:rPr>
        <w:t xml:space="preserve"> </w:t>
      </w:r>
      <w:r>
        <w:t>comparable</w:t>
      </w:r>
      <w:r>
        <w:rPr>
          <w:spacing w:val="-3"/>
        </w:rPr>
        <w:t xml:space="preserve"> </w:t>
      </w:r>
      <w:r>
        <w:t>to</w:t>
      </w:r>
      <w:r>
        <w:rPr>
          <w:spacing w:val="-3"/>
        </w:rPr>
        <w:t xml:space="preserve"> </w:t>
      </w:r>
      <w:r>
        <w:t>what</w:t>
      </w:r>
      <w:r>
        <w:rPr>
          <w:spacing w:val="-3"/>
        </w:rPr>
        <w:t xml:space="preserve"> </w:t>
      </w:r>
      <w:r>
        <w:t>you</w:t>
      </w:r>
      <w:r>
        <w:rPr>
          <w:spacing w:val="-3"/>
        </w:rPr>
        <w:t xml:space="preserve"> </w:t>
      </w:r>
      <w:r>
        <w:t>(who,</w:t>
      </w:r>
      <w:r>
        <w:rPr>
          <w:spacing w:val="-3"/>
        </w:rPr>
        <w:t xml:space="preserve"> </w:t>
      </w:r>
      <w:r>
        <w:t>we’ll</w:t>
      </w:r>
      <w:r>
        <w:rPr>
          <w:spacing w:val="-3"/>
        </w:rPr>
        <w:t xml:space="preserve"> </w:t>
      </w:r>
      <w:r>
        <w:t>assume,</w:t>
      </w:r>
      <w:r>
        <w:rPr>
          <w:spacing w:val="-3"/>
        </w:rPr>
        <w:t xml:space="preserve"> </w:t>
      </w:r>
      <w:r>
        <w:t>speak</w:t>
      </w:r>
      <w:r>
        <w:rPr>
          <w:spacing w:val="-3"/>
        </w:rPr>
        <w:t xml:space="preserve"> </w:t>
      </w:r>
      <w:r>
        <w:t>Spanish)</w:t>
      </w:r>
      <w:r>
        <w:rPr>
          <w:spacing w:val="-3"/>
        </w:rPr>
        <w:t xml:space="preserve"> </w:t>
      </w:r>
      <w:r>
        <w:t>are doing in connection with it when you tell a monolingual Spanish speaking friend of yours what it means. The semanticist is needed to clarify the structure of the meaning that (1) is already known to have, but he isn’t</w:t>
      </w:r>
      <w:r>
        <w:rPr>
          <w:spacing w:val="40"/>
        </w:rPr>
        <w:t xml:space="preserve"> </w:t>
      </w:r>
      <w:r>
        <w:t xml:space="preserve">needed to </w:t>
      </w:r>
      <w:r>
        <w:rPr>
          <w:i/>
        </w:rPr>
        <w:t xml:space="preserve">identify </w:t>
      </w:r>
      <w:r>
        <w:t xml:space="preserve">that meaning. The semanticist isn’t a translator. But there are many cases where the semanticist </w:t>
      </w:r>
      <w:r>
        <w:rPr>
          <w:i/>
        </w:rPr>
        <w:t>is</w:t>
      </w:r>
      <w:r>
        <w:rPr>
          <w:i/>
          <w:spacing w:val="-4"/>
        </w:rPr>
        <w:t xml:space="preserve"> </w:t>
      </w:r>
      <w:r>
        <w:t xml:space="preserve">needed to identify literal meaning. In fact, as paradoxical as it may sound, there are cases where he is needed to identify the meanings of sentences </w:t>
      </w:r>
      <w:r>
        <w:rPr>
          <w:i/>
        </w:rPr>
        <w:t>that are perfectly well understood.</w:t>
      </w:r>
    </w:p>
    <w:p w14:paraId="7E000C62" w14:textId="77777777" w:rsidR="009A58DB" w:rsidRDefault="00000000">
      <w:pPr>
        <w:pStyle w:val="BodyText"/>
        <w:spacing w:before="8" w:line="249" w:lineRule="auto"/>
        <w:ind w:right="358" w:firstLine="360"/>
      </w:pPr>
      <w:r>
        <w:t xml:space="preserve">First of all, we must distinguish what is literally meant by an utterance from what it is that the speaker wishes to convey. To give a trivial example: You and I are robbing a bank. I yell: “the cops are coming!” What I wish to convey is that we should hurry up. In this particular case, it’s easy to distinguish what is literally meant from what is non-literally suggested, and semantics would therefore have no interest in it. But in other cases, it’s exceedingly hard to do this, and it’s with these other cases that semantics is </w:t>
      </w:r>
      <w:r>
        <w:rPr>
          <w:spacing w:val="-2"/>
        </w:rPr>
        <w:t>concerned.</w:t>
      </w:r>
    </w:p>
    <w:p w14:paraId="7E000C63" w14:textId="77777777" w:rsidR="009A58DB" w:rsidRDefault="00000000">
      <w:pPr>
        <w:pStyle w:val="BodyText"/>
        <w:spacing w:before="10" w:line="249" w:lineRule="auto"/>
        <w:ind w:right="361" w:firstLine="360"/>
      </w:pPr>
      <w:r>
        <w:t>A story will help us move forward. Somebody who is wearing a ski-mask, and who I therefore don’t recognize, deftly snatches my pocket from my wallet. As he’s running off, I point at him and yell: “that man is a thief!” Let U</w:t>
      </w:r>
      <w:r>
        <w:rPr>
          <w:vertAlign w:val="subscript"/>
        </w:rPr>
        <w:t>1</w:t>
      </w:r>
      <w:r>
        <w:t xml:space="preserve"> be this utterance.</w:t>
      </w:r>
    </w:p>
    <w:p w14:paraId="7E000C64" w14:textId="77777777" w:rsidR="009A58DB" w:rsidRDefault="00000000">
      <w:pPr>
        <w:pStyle w:val="BodyText"/>
        <w:spacing w:before="65" w:line="271" w:lineRule="auto"/>
        <w:ind w:right="367" w:firstLine="360"/>
      </w:pPr>
      <w:r>
        <w:t>Before moving on, let’s take a moment to make it clear what U</w:t>
      </w:r>
      <w:r>
        <w:rPr>
          <w:vertAlign w:val="subscript"/>
        </w:rPr>
        <w:t>1</w:t>
      </w:r>
      <w:r>
        <w:t>’s literal meaning is. Somebody just stole my wallet. I don’t know who that person is. But</w:t>
      </w:r>
      <w:r>
        <w:rPr>
          <w:spacing w:val="-3"/>
        </w:rPr>
        <w:t xml:space="preserve"> </w:t>
      </w:r>
      <w:r>
        <w:t>whoever</w:t>
      </w:r>
      <w:r>
        <w:rPr>
          <w:spacing w:val="-2"/>
        </w:rPr>
        <w:t xml:space="preserve"> </w:t>
      </w:r>
      <w:r>
        <w:t>it</w:t>
      </w:r>
      <w:r>
        <w:rPr>
          <w:spacing w:val="-2"/>
        </w:rPr>
        <w:t xml:space="preserve"> </w:t>
      </w:r>
      <w:r>
        <w:t>is,</w:t>
      </w:r>
      <w:r>
        <w:rPr>
          <w:spacing w:val="-2"/>
        </w:rPr>
        <w:t xml:space="preserve"> </w:t>
      </w:r>
      <w:r>
        <w:t>I</w:t>
      </w:r>
      <w:r>
        <w:rPr>
          <w:spacing w:val="-2"/>
        </w:rPr>
        <w:t xml:space="preserve"> </w:t>
      </w:r>
      <w:r>
        <w:t>am</w:t>
      </w:r>
      <w:r>
        <w:rPr>
          <w:spacing w:val="-2"/>
        </w:rPr>
        <w:t xml:space="preserve"> </w:t>
      </w:r>
      <w:r>
        <w:t>attributing</w:t>
      </w:r>
      <w:r>
        <w:rPr>
          <w:spacing w:val="-2"/>
        </w:rPr>
        <w:t xml:space="preserve"> </w:t>
      </w:r>
      <w:r>
        <w:t>a</w:t>
      </w:r>
      <w:r>
        <w:rPr>
          <w:spacing w:val="-2"/>
        </w:rPr>
        <w:t xml:space="preserve"> </w:t>
      </w:r>
      <w:r>
        <w:t>certain</w:t>
      </w:r>
      <w:r>
        <w:rPr>
          <w:spacing w:val="-2"/>
        </w:rPr>
        <w:t xml:space="preserve"> </w:t>
      </w:r>
      <w:r>
        <w:t>property</w:t>
      </w:r>
      <w:r>
        <w:rPr>
          <w:spacing w:val="-2"/>
        </w:rPr>
        <w:t xml:space="preserve"> </w:t>
      </w:r>
      <w:r>
        <w:t>to</w:t>
      </w:r>
      <w:r>
        <w:rPr>
          <w:spacing w:val="-2"/>
        </w:rPr>
        <w:t xml:space="preserve"> </w:t>
      </w:r>
      <w:r>
        <w:t>him.</w:t>
      </w:r>
      <w:r>
        <w:rPr>
          <w:spacing w:val="-2"/>
        </w:rPr>
        <w:t xml:space="preserve"> </w:t>
      </w:r>
      <w:r>
        <w:t>If</w:t>
      </w:r>
      <w:r>
        <w:rPr>
          <w:spacing w:val="-2"/>
        </w:rPr>
        <w:t xml:space="preserve"> </w:t>
      </w:r>
      <w:r>
        <w:t>that</w:t>
      </w:r>
      <w:r>
        <w:rPr>
          <w:spacing w:val="-2"/>
        </w:rPr>
        <w:t xml:space="preserve"> </w:t>
      </w:r>
      <w:r>
        <w:t>person</w:t>
      </w:r>
      <w:r>
        <w:rPr>
          <w:spacing w:val="-1"/>
        </w:rPr>
        <w:t xml:space="preserve"> </w:t>
      </w:r>
      <w:r>
        <w:rPr>
          <w:spacing w:val="-5"/>
        </w:rPr>
        <w:t>has</w:t>
      </w:r>
    </w:p>
    <w:p w14:paraId="7E000C65" w14:textId="77777777" w:rsidR="009A58DB" w:rsidRDefault="00000000">
      <w:pPr>
        <w:pStyle w:val="BodyText"/>
        <w:spacing w:line="316" w:lineRule="exact"/>
      </w:pPr>
      <w:r>
        <w:t>that</w:t>
      </w:r>
      <w:r>
        <w:rPr>
          <w:spacing w:val="7"/>
        </w:rPr>
        <w:t xml:space="preserve"> </w:t>
      </w:r>
      <w:r>
        <w:t>property,</w:t>
      </w:r>
      <w:r>
        <w:rPr>
          <w:spacing w:val="8"/>
        </w:rPr>
        <w:t xml:space="preserve"> </w:t>
      </w:r>
      <w:r>
        <w:t>I</w:t>
      </w:r>
      <w:r>
        <w:rPr>
          <w:spacing w:val="7"/>
        </w:rPr>
        <w:t xml:space="preserve"> </w:t>
      </w:r>
      <w:r>
        <w:t>have</w:t>
      </w:r>
      <w:r>
        <w:rPr>
          <w:spacing w:val="8"/>
        </w:rPr>
        <w:t xml:space="preserve"> </w:t>
      </w:r>
      <w:r>
        <w:t>spoken</w:t>
      </w:r>
      <w:r>
        <w:rPr>
          <w:spacing w:val="7"/>
        </w:rPr>
        <w:t xml:space="preserve"> </w:t>
      </w:r>
      <w:r>
        <w:t>truly;</w:t>
      </w:r>
      <w:r>
        <w:rPr>
          <w:spacing w:val="8"/>
        </w:rPr>
        <w:t xml:space="preserve"> </w:t>
      </w:r>
      <w:r>
        <w:t>if</w:t>
      </w:r>
      <w:r>
        <w:rPr>
          <w:spacing w:val="7"/>
        </w:rPr>
        <w:t xml:space="preserve"> </w:t>
      </w:r>
      <w:r>
        <w:t>not,</w:t>
      </w:r>
      <w:r>
        <w:rPr>
          <w:spacing w:val="8"/>
        </w:rPr>
        <w:t xml:space="preserve"> </w:t>
      </w:r>
      <w:r>
        <w:t>not.</w:t>
      </w:r>
      <w:r>
        <w:rPr>
          <w:spacing w:val="8"/>
        </w:rPr>
        <w:t xml:space="preserve"> </w:t>
      </w:r>
      <w:r>
        <w:t>U</w:t>
      </w:r>
      <w:r>
        <w:rPr>
          <w:vertAlign w:val="subscript"/>
        </w:rPr>
        <w:t>1</w:t>
      </w:r>
      <w:r>
        <w:rPr>
          <w:spacing w:val="7"/>
        </w:rPr>
        <w:t xml:space="preserve"> </w:t>
      </w:r>
      <w:r>
        <w:t>is</w:t>
      </w:r>
      <w:r>
        <w:rPr>
          <w:spacing w:val="8"/>
        </w:rPr>
        <w:t xml:space="preserve"> </w:t>
      </w:r>
      <w:r>
        <w:t>correct</w:t>
      </w:r>
      <w:r>
        <w:rPr>
          <w:spacing w:val="7"/>
        </w:rPr>
        <w:t xml:space="preserve"> </w:t>
      </w:r>
      <w:r>
        <w:t>if,</w:t>
      </w:r>
      <w:r>
        <w:rPr>
          <w:spacing w:val="8"/>
        </w:rPr>
        <w:t xml:space="preserve"> </w:t>
      </w:r>
      <w:r>
        <w:t>and</w:t>
      </w:r>
      <w:r>
        <w:rPr>
          <w:spacing w:val="7"/>
        </w:rPr>
        <w:t xml:space="preserve"> </w:t>
      </w:r>
      <w:r>
        <w:t>only</w:t>
      </w:r>
      <w:r>
        <w:rPr>
          <w:spacing w:val="8"/>
        </w:rPr>
        <w:t xml:space="preserve"> </w:t>
      </w:r>
      <w:r>
        <w:t>if,</w:t>
      </w:r>
      <w:r>
        <w:rPr>
          <w:spacing w:val="7"/>
        </w:rPr>
        <w:t xml:space="preserve"> </w:t>
      </w:r>
      <w:r>
        <w:rPr>
          <w:spacing w:val="-5"/>
        </w:rPr>
        <w:t>the</w:t>
      </w:r>
    </w:p>
    <w:p w14:paraId="7E000C66" w14:textId="77777777" w:rsidR="009A58DB" w:rsidRDefault="00000000">
      <w:pPr>
        <w:pStyle w:val="BodyText"/>
        <w:spacing w:before="75" w:line="249" w:lineRule="auto"/>
        <w:ind w:right="362"/>
      </w:pPr>
      <w:r>
        <w:t xml:space="preserve">person referred to by “that man” has the property expressed by “is a thief.” Thus, there is some individual x such that x has just stolen my wallet and such that what I’ve just said is true exactly if </w:t>
      </w:r>
      <w:r>
        <w:rPr>
          <w:i/>
        </w:rPr>
        <w:t xml:space="preserve">x is a thief. </w:t>
      </w:r>
      <w:r>
        <w:t>(The</w:t>
      </w:r>
      <w:r>
        <w:rPr>
          <w:spacing w:val="-3"/>
        </w:rPr>
        <w:t xml:space="preserve"> </w:t>
      </w:r>
      <w:r>
        <w:t>underlined</w:t>
      </w:r>
      <w:r>
        <w:rPr>
          <w:spacing w:val="-2"/>
        </w:rPr>
        <w:t xml:space="preserve"> </w:t>
      </w:r>
      <w:r>
        <w:t>part is U</w:t>
      </w:r>
      <w:r>
        <w:rPr>
          <w:vertAlign w:val="subscript"/>
        </w:rPr>
        <w:t>1</w:t>
      </w:r>
      <w:r>
        <w:t>’s literal meaning.)</w:t>
      </w:r>
    </w:p>
    <w:p w14:paraId="7E000C67" w14:textId="77777777" w:rsidR="009A58DB" w:rsidRDefault="00000000">
      <w:pPr>
        <w:pStyle w:val="BodyText"/>
        <w:spacing w:before="65" w:line="271" w:lineRule="auto"/>
        <w:ind w:right="360" w:firstLine="360"/>
      </w:pPr>
      <w:r>
        <w:t>The next day, my lovable office-mate Steve eats one of the cupcakes that was on my desk. I jokingly point at him and say: “that man is a thief.” Let U</w:t>
      </w:r>
      <w:r>
        <w:rPr>
          <w:vertAlign w:val="subscript"/>
        </w:rPr>
        <w:t>2</w:t>
      </w:r>
      <w:r>
        <w:t xml:space="preserve"> be</w:t>
      </w:r>
      <w:r>
        <w:rPr>
          <w:spacing w:val="12"/>
        </w:rPr>
        <w:t xml:space="preserve"> </w:t>
      </w:r>
      <w:r>
        <w:rPr>
          <w:i/>
        </w:rPr>
        <w:t>this</w:t>
      </w:r>
      <w:r>
        <w:rPr>
          <w:i/>
          <w:spacing w:val="12"/>
        </w:rPr>
        <w:t xml:space="preserve"> </w:t>
      </w:r>
      <w:r>
        <w:t>utterance.</w:t>
      </w:r>
      <w:r>
        <w:rPr>
          <w:spacing w:val="24"/>
        </w:rPr>
        <w:t xml:space="preserve"> </w:t>
      </w:r>
      <w:r>
        <w:t>There</w:t>
      </w:r>
      <w:r>
        <w:rPr>
          <w:spacing w:val="24"/>
        </w:rPr>
        <w:t xml:space="preserve"> </w:t>
      </w:r>
      <w:r>
        <w:t>is</w:t>
      </w:r>
      <w:r>
        <w:rPr>
          <w:spacing w:val="24"/>
        </w:rPr>
        <w:t xml:space="preserve"> </w:t>
      </w:r>
      <w:r>
        <w:t>some</w:t>
      </w:r>
      <w:r>
        <w:rPr>
          <w:spacing w:val="24"/>
        </w:rPr>
        <w:t xml:space="preserve"> </w:t>
      </w:r>
      <w:r>
        <w:t>x</w:t>
      </w:r>
      <w:r>
        <w:rPr>
          <w:spacing w:val="24"/>
        </w:rPr>
        <w:t xml:space="preserve"> </w:t>
      </w:r>
      <w:r>
        <w:t>such</w:t>
      </w:r>
      <w:r>
        <w:rPr>
          <w:spacing w:val="24"/>
        </w:rPr>
        <w:t xml:space="preserve"> </w:t>
      </w:r>
      <w:r>
        <w:t>that</w:t>
      </w:r>
      <w:r>
        <w:rPr>
          <w:spacing w:val="24"/>
        </w:rPr>
        <w:t xml:space="preserve"> </w:t>
      </w:r>
      <w:r>
        <w:t>x</w:t>
      </w:r>
      <w:r>
        <w:rPr>
          <w:spacing w:val="24"/>
        </w:rPr>
        <w:t xml:space="preserve"> </w:t>
      </w:r>
      <w:r>
        <w:t>just</w:t>
      </w:r>
      <w:r>
        <w:rPr>
          <w:spacing w:val="24"/>
        </w:rPr>
        <w:t xml:space="preserve"> </w:t>
      </w:r>
      <w:r>
        <w:t>ate</w:t>
      </w:r>
      <w:r>
        <w:rPr>
          <w:spacing w:val="24"/>
        </w:rPr>
        <w:t xml:space="preserve"> </w:t>
      </w:r>
      <w:r>
        <w:t>my</w:t>
      </w:r>
      <w:r>
        <w:rPr>
          <w:spacing w:val="24"/>
        </w:rPr>
        <w:t xml:space="preserve"> </w:t>
      </w:r>
      <w:r>
        <w:t>cupcake</w:t>
      </w:r>
      <w:r>
        <w:rPr>
          <w:spacing w:val="24"/>
        </w:rPr>
        <w:t xml:space="preserve"> </w:t>
      </w:r>
      <w:r>
        <w:t>and</w:t>
      </w:r>
      <w:r>
        <w:rPr>
          <w:spacing w:val="24"/>
        </w:rPr>
        <w:t xml:space="preserve"> </w:t>
      </w:r>
      <w:r>
        <w:t>such</w:t>
      </w:r>
    </w:p>
    <w:p w14:paraId="7E000C68" w14:textId="77777777" w:rsidR="009A58DB" w:rsidRDefault="00000000">
      <w:pPr>
        <w:pStyle w:val="BodyText"/>
        <w:spacing w:line="316" w:lineRule="exact"/>
      </w:pPr>
      <w:r>
        <w:t>that</w:t>
      </w:r>
      <w:r>
        <w:rPr>
          <w:spacing w:val="-1"/>
        </w:rPr>
        <w:t xml:space="preserve"> </w:t>
      </w:r>
      <w:r>
        <w:t>U</w:t>
      </w:r>
      <w:r>
        <w:rPr>
          <w:vertAlign w:val="subscript"/>
        </w:rPr>
        <w:t>2</w:t>
      </w:r>
      <w:r>
        <w:rPr>
          <w:spacing w:val="1"/>
        </w:rPr>
        <w:t xml:space="preserve"> </w:t>
      </w:r>
      <w:r>
        <w:t>is</w:t>
      </w:r>
      <w:r>
        <w:rPr>
          <w:spacing w:val="-1"/>
        </w:rPr>
        <w:t xml:space="preserve"> </w:t>
      </w:r>
      <w:r>
        <w:t>true exactly</w:t>
      </w:r>
      <w:r>
        <w:rPr>
          <w:spacing w:val="1"/>
        </w:rPr>
        <w:t xml:space="preserve"> </w:t>
      </w:r>
      <w:r>
        <w:t>if:</w:t>
      </w:r>
      <w:r>
        <w:rPr>
          <w:spacing w:val="-1"/>
        </w:rPr>
        <w:t xml:space="preserve"> </w:t>
      </w:r>
      <w:r>
        <w:t>x</w:t>
      </w:r>
      <w:r>
        <w:rPr>
          <w:spacing w:val="1"/>
        </w:rPr>
        <w:t xml:space="preserve"> </w:t>
      </w:r>
      <w:r>
        <w:t>is a</w:t>
      </w:r>
      <w:r>
        <w:rPr>
          <w:spacing w:val="-1"/>
        </w:rPr>
        <w:t xml:space="preserve"> </w:t>
      </w:r>
      <w:r>
        <w:rPr>
          <w:spacing w:val="-2"/>
        </w:rPr>
        <w:t>thief.</w:t>
      </w:r>
    </w:p>
    <w:p w14:paraId="7E000C69" w14:textId="77777777" w:rsidR="009A58DB" w:rsidRDefault="00000000">
      <w:pPr>
        <w:pStyle w:val="BodyText"/>
        <w:spacing w:before="75" w:line="249" w:lineRule="auto"/>
        <w:ind w:right="357" w:firstLine="360"/>
      </w:pPr>
      <w:r>
        <w:t>Unbeknownst</w:t>
      </w:r>
      <w:r>
        <w:rPr>
          <w:spacing w:val="-1"/>
        </w:rPr>
        <w:t xml:space="preserve"> </w:t>
      </w:r>
      <w:r>
        <w:t>to</w:t>
      </w:r>
      <w:r>
        <w:rPr>
          <w:spacing w:val="-1"/>
        </w:rPr>
        <w:t xml:space="preserve"> </w:t>
      </w:r>
      <w:r>
        <w:t>me,</w:t>
      </w:r>
      <w:r>
        <w:rPr>
          <w:spacing w:val="-1"/>
        </w:rPr>
        <w:t xml:space="preserve"> </w:t>
      </w:r>
      <w:r>
        <w:t>Steve</w:t>
      </w:r>
      <w:r>
        <w:rPr>
          <w:spacing w:val="-1"/>
        </w:rPr>
        <w:t xml:space="preserve"> </w:t>
      </w:r>
      <w:r>
        <w:t>is</w:t>
      </w:r>
      <w:r>
        <w:rPr>
          <w:spacing w:val="-1"/>
        </w:rPr>
        <w:t xml:space="preserve"> </w:t>
      </w:r>
      <w:r>
        <w:t>the</w:t>
      </w:r>
      <w:r>
        <w:rPr>
          <w:spacing w:val="-1"/>
        </w:rPr>
        <w:t xml:space="preserve"> </w:t>
      </w:r>
      <w:r>
        <w:t>pick-pocket,</w:t>
      </w:r>
      <w:r>
        <w:rPr>
          <w:spacing w:val="-1"/>
        </w:rPr>
        <w:t xml:space="preserve"> </w:t>
      </w:r>
      <w:r>
        <w:t>and</w:t>
      </w:r>
      <w:r>
        <w:rPr>
          <w:spacing w:val="-1"/>
        </w:rPr>
        <w:t xml:space="preserve"> </w:t>
      </w:r>
      <w:r>
        <w:t>there</w:t>
      </w:r>
      <w:r>
        <w:rPr>
          <w:spacing w:val="-1"/>
        </w:rPr>
        <w:t xml:space="preserve"> </w:t>
      </w:r>
      <w:r>
        <w:t>is</w:t>
      </w:r>
      <w:r>
        <w:rPr>
          <w:spacing w:val="-1"/>
        </w:rPr>
        <w:t xml:space="preserve"> </w:t>
      </w:r>
      <w:r>
        <w:t>some</w:t>
      </w:r>
      <w:r>
        <w:rPr>
          <w:spacing w:val="-1"/>
        </w:rPr>
        <w:t xml:space="preserve"> </w:t>
      </w:r>
      <w:r>
        <w:t>individual x,</w:t>
      </w:r>
      <w:r>
        <w:rPr>
          <w:spacing w:val="4"/>
        </w:rPr>
        <w:t xml:space="preserve"> </w:t>
      </w:r>
      <w:r>
        <w:t>namely</w:t>
      </w:r>
      <w:r>
        <w:rPr>
          <w:spacing w:val="5"/>
        </w:rPr>
        <w:t xml:space="preserve"> </w:t>
      </w:r>
      <w:r>
        <w:t>Steve,</w:t>
      </w:r>
      <w:r>
        <w:rPr>
          <w:spacing w:val="5"/>
        </w:rPr>
        <w:t xml:space="preserve"> </w:t>
      </w:r>
      <w:r>
        <w:t>such</w:t>
      </w:r>
      <w:r>
        <w:rPr>
          <w:spacing w:val="4"/>
        </w:rPr>
        <w:t xml:space="preserve"> </w:t>
      </w:r>
      <w:r>
        <w:t>that</w:t>
      </w:r>
      <w:r>
        <w:rPr>
          <w:spacing w:val="5"/>
        </w:rPr>
        <w:t xml:space="preserve"> </w:t>
      </w:r>
      <w:r>
        <w:t>each</w:t>
      </w:r>
      <w:r>
        <w:rPr>
          <w:spacing w:val="5"/>
        </w:rPr>
        <w:t xml:space="preserve"> </w:t>
      </w:r>
      <w:r>
        <w:t>of</w:t>
      </w:r>
      <w:r>
        <w:rPr>
          <w:spacing w:val="5"/>
        </w:rPr>
        <w:t xml:space="preserve"> </w:t>
      </w:r>
      <w:r>
        <w:t>U</w:t>
      </w:r>
      <w:r>
        <w:rPr>
          <w:vertAlign w:val="subscript"/>
        </w:rPr>
        <w:t>1</w:t>
      </w:r>
      <w:r>
        <w:t xml:space="preserve"> and</w:t>
      </w:r>
      <w:r>
        <w:rPr>
          <w:spacing w:val="1"/>
        </w:rPr>
        <w:t xml:space="preserve"> </w:t>
      </w:r>
      <w:r>
        <w:t>U</w:t>
      </w:r>
      <w:r>
        <w:rPr>
          <w:vertAlign w:val="subscript"/>
        </w:rPr>
        <w:t>2</w:t>
      </w:r>
      <w:r>
        <w:rPr>
          <w:spacing w:val="6"/>
        </w:rPr>
        <w:t xml:space="preserve"> </w:t>
      </w:r>
      <w:r>
        <w:t>is</w:t>
      </w:r>
      <w:r>
        <w:rPr>
          <w:spacing w:val="6"/>
        </w:rPr>
        <w:t xml:space="preserve"> </w:t>
      </w:r>
      <w:r>
        <w:t>true</w:t>
      </w:r>
      <w:r>
        <w:rPr>
          <w:spacing w:val="6"/>
        </w:rPr>
        <w:t xml:space="preserve"> </w:t>
      </w:r>
      <w:r>
        <w:t>if</w:t>
      </w:r>
      <w:r>
        <w:rPr>
          <w:spacing w:val="7"/>
        </w:rPr>
        <w:t xml:space="preserve"> </w:t>
      </w:r>
      <w:r>
        <w:t>and</w:t>
      </w:r>
      <w:r>
        <w:rPr>
          <w:spacing w:val="7"/>
        </w:rPr>
        <w:t xml:space="preserve"> </w:t>
      </w:r>
      <w:r>
        <w:t>only</w:t>
      </w:r>
      <w:r>
        <w:rPr>
          <w:spacing w:val="5"/>
        </w:rPr>
        <w:t xml:space="preserve"> </w:t>
      </w:r>
      <w:r>
        <w:t>if</w:t>
      </w:r>
      <w:r>
        <w:rPr>
          <w:spacing w:val="7"/>
        </w:rPr>
        <w:t xml:space="preserve"> </w:t>
      </w:r>
      <w:r>
        <w:t>x</w:t>
      </w:r>
      <w:r>
        <w:rPr>
          <w:spacing w:val="6"/>
        </w:rPr>
        <w:t xml:space="preserve"> </w:t>
      </w:r>
      <w:r>
        <w:t>is</w:t>
      </w:r>
      <w:r>
        <w:rPr>
          <w:spacing w:val="7"/>
        </w:rPr>
        <w:t xml:space="preserve"> </w:t>
      </w:r>
      <w:r>
        <w:t>a</w:t>
      </w:r>
      <w:r>
        <w:rPr>
          <w:spacing w:val="5"/>
        </w:rPr>
        <w:t xml:space="preserve"> </w:t>
      </w:r>
      <w:r>
        <w:rPr>
          <w:spacing w:val="-2"/>
        </w:rPr>
        <w:t>thief.</w:t>
      </w:r>
    </w:p>
    <w:p w14:paraId="7E000C6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6B" w14:textId="77777777" w:rsidR="009A58DB" w:rsidRDefault="00000000">
      <w:pPr>
        <w:pStyle w:val="BodyText"/>
        <w:spacing w:before="65" w:line="249" w:lineRule="auto"/>
        <w:ind w:right="361"/>
      </w:pPr>
      <w:r>
        <w:lastRenderedPageBreak/>
        <w:t>Thus, U</w:t>
      </w:r>
      <w:r>
        <w:rPr>
          <w:position w:val="-7"/>
          <w:sz w:val="22"/>
        </w:rPr>
        <w:t xml:space="preserve">1 </w:t>
      </w:r>
      <w:r>
        <w:t>and U</w:t>
      </w:r>
      <w:r>
        <w:rPr>
          <w:position w:val="-7"/>
          <w:sz w:val="22"/>
        </w:rPr>
        <w:t xml:space="preserve">2 </w:t>
      </w:r>
      <w:r>
        <w:t>have the very same literal meanings.</w:t>
      </w:r>
      <w:bookmarkStart w:id="142" w:name="_bookmark142"/>
      <w:bookmarkEnd w:id="142"/>
      <w:r>
        <w:rPr>
          <w:color w:val="0562C1"/>
          <w:position w:val="21"/>
          <w:u w:val="single" w:color="0562C1"/>
        </w:rPr>
        <w:t>[76]</w:t>
      </w:r>
      <w:r>
        <w:rPr>
          <w:color w:val="0562C1"/>
          <w:position w:val="21"/>
        </w:rPr>
        <w:t xml:space="preserve"> </w:t>
      </w:r>
      <w:r>
        <w:t>But I don’t know this, even though I speak English perfectly and, on each occasion, obviously understand perfectly well what it is that I’m saying.</w:t>
      </w:r>
    </w:p>
    <w:p w14:paraId="7E000C6C" w14:textId="77777777" w:rsidR="009A58DB" w:rsidRDefault="00000000">
      <w:pPr>
        <w:pStyle w:val="BodyText"/>
        <w:spacing w:before="1" w:line="271" w:lineRule="auto"/>
        <w:ind w:right="365" w:firstLine="360"/>
      </w:pPr>
      <w:r>
        <w:t>How this is possible</w:t>
      </w:r>
      <w:bookmarkStart w:id="143" w:name="_bookmark143"/>
      <w:bookmarkEnd w:id="143"/>
      <w:r>
        <w:t>?</w:t>
      </w:r>
      <w:r>
        <w:rPr>
          <w:color w:val="0562C1"/>
          <w:position w:val="21"/>
          <w:u w:val="single" w:color="0562C1"/>
        </w:rPr>
        <w:t>[77]</w:t>
      </w:r>
      <w:r>
        <w:rPr>
          <w:color w:val="0562C1"/>
          <w:position w:val="21"/>
        </w:rPr>
        <w:t xml:space="preserve"> </w:t>
      </w:r>
      <w:r>
        <w:t>Our sense-perceptions describe things. My uttering U</w:t>
      </w:r>
      <w:r>
        <w:rPr>
          <w:vertAlign w:val="subscript"/>
        </w:rPr>
        <w:t>1</w:t>
      </w:r>
      <w:r>
        <w:t xml:space="preserve"> was a response to my being given a visual description of Steve. That description was to the effect that:</w:t>
      </w:r>
    </w:p>
    <w:p w14:paraId="7E000C6D" w14:textId="77777777" w:rsidR="009A58DB" w:rsidRDefault="00000000">
      <w:pPr>
        <w:pStyle w:val="ListParagraph"/>
        <w:numPr>
          <w:ilvl w:val="0"/>
          <w:numId w:val="186"/>
        </w:numPr>
        <w:tabs>
          <w:tab w:val="left" w:pos="738"/>
        </w:tabs>
        <w:spacing w:before="75" w:line="249" w:lineRule="auto"/>
        <w:ind w:right="357" w:firstLine="0"/>
        <w:jc w:val="both"/>
        <w:rPr>
          <w:sz w:val="30"/>
        </w:rPr>
      </w:pPr>
      <w:r>
        <w:rPr>
          <w:sz w:val="30"/>
        </w:rPr>
        <w:t>there is some man x such that x is wearing a ski-mask and such that x is running off into the distance.</w:t>
      </w:r>
    </w:p>
    <w:p w14:paraId="7E000C6E" w14:textId="77777777" w:rsidR="009A58DB" w:rsidRDefault="00000000">
      <w:pPr>
        <w:pStyle w:val="BodyText"/>
        <w:spacing w:before="93" w:line="292" w:lineRule="auto"/>
        <w:ind w:right="370"/>
      </w:pPr>
      <w:r>
        <w:t>But</w:t>
      </w:r>
      <w:r>
        <w:rPr>
          <w:spacing w:val="-3"/>
        </w:rPr>
        <w:t xml:space="preserve"> </w:t>
      </w:r>
      <w:r>
        <w:t>U</w:t>
      </w:r>
      <w:r>
        <w:rPr>
          <w:vertAlign w:val="subscript"/>
        </w:rPr>
        <w:t>1</w:t>
      </w:r>
      <w:r>
        <w:t>’s literal meaning is not that that effect. There is some man x such that x is a wearing a ski-mask (etc.), such that in uttering U</w:t>
      </w:r>
      <w:r>
        <w:rPr>
          <w:vertAlign w:val="subscript"/>
        </w:rPr>
        <w:t>1</w:t>
      </w:r>
      <w:r>
        <w:t xml:space="preserve"> I was saying that:</w:t>
      </w:r>
    </w:p>
    <w:p w14:paraId="7E000C6F" w14:textId="77777777" w:rsidR="009A58DB" w:rsidRDefault="00000000">
      <w:pPr>
        <w:pStyle w:val="ListParagraph"/>
        <w:numPr>
          <w:ilvl w:val="0"/>
          <w:numId w:val="186"/>
        </w:numPr>
        <w:tabs>
          <w:tab w:val="left" w:pos="797"/>
        </w:tabs>
        <w:spacing w:before="103"/>
        <w:ind w:left="797" w:hanging="437"/>
        <w:jc w:val="both"/>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2"/>
          <w:sz w:val="30"/>
        </w:rPr>
        <w:t>thief.</w:t>
      </w:r>
    </w:p>
    <w:p w14:paraId="7E000C70" w14:textId="77777777" w:rsidR="009A58DB" w:rsidRDefault="00000000">
      <w:pPr>
        <w:pStyle w:val="BodyText"/>
        <w:spacing w:before="120" w:line="271" w:lineRule="auto"/>
        <w:ind w:right="359"/>
      </w:pPr>
      <w:r>
        <w:t>The meaning of U</w:t>
      </w:r>
      <w:r>
        <w:rPr>
          <w:vertAlign w:val="subscript"/>
        </w:rPr>
        <w:t>1</w:t>
      </w:r>
      <w:r>
        <w:t>, being identical with (ii), is quite threadbare. But I</w:t>
      </w:r>
      <w:r>
        <w:rPr>
          <w:spacing w:val="40"/>
        </w:rPr>
        <w:t xml:space="preserve"> </w:t>
      </w:r>
      <w:r>
        <w:t>grasped that threadbare meaning through my descriptively rich visual perception, whose content is given by (i).</w:t>
      </w:r>
    </w:p>
    <w:p w14:paraId="7E000C71" w14:textId="77777777" w:rsidR="009A58DB" w:rsidRDefault="00000000">
      <w:pPr>
        <w:pStyle w:val="BodyText"/>
        <w:spacing w:before="60" w:line="292" w:lineRule="auto"/>
        <w:ind w:right="358" w:firstLine="360"/>
      </w:pPr>
      <w:r>
        <w:t>My</w:t>
      </w:r>
      <w:r>
        <w:rPr>
          <w:spacing w:val="-2"/>
        </w:rPr>
        <w:t xml:space="preserve"> </w:t>
      </w:r>
      <w:r>
        <w:t>uttering</w:t>
      </w:r>
      <w:r>
        <w:rPr>
          <w:spacing w:val="-2"/>
        </w:rPr>
        <w:t xml:space="preserve"> </w:t>
      </w:r>
      <w:r>
        <w:t>U</w:t>
      </w:r>
      <w:r>
        <w:rPr>
          <w:vertAlign w:val="subscript"/>
        </w:rPr>
        <w:t>2</w:t>
      </w:r>
      <w:r>
        <w:rPr>
          <w:spacing w:val="-2"/>
        </w:rPr>
        <w:t xml:space="preserve"> </w:t>
      </w:r>
      <w:r>
        <w:t>was</w:t>
      </w:r>
      <w:r>
        <w:rPr>
          <w:spacing w:val="-3"/>
        </w:rPr>
        <w:t xml:space="preserve"> </w:t>
      </w:r>
      <w:r>
        <w:t>a</w:t>
      </w:r>
      <w:r>
        <w:rPr>
          <w:spacing w:val="-3"/>
        </w:rPr>
        <w:t xml:space="preserve"> </w:t>
      </w:r>
      <w:r>
        <w:t>response</w:t>
      </w:r>
      <w:r>
        <w:rPr>
          <w:spacing w:val="-3"/>
        </w:rPr>
        <w:t xml:space="preserve"> </w:t>
      </w:r>
      <w:r>
        <w:t>to</w:t>
      </w:r>
      <w:r>
        <w:rPr>
          <w:spacing w:val="-2"/>
        </w:rPr>
        <w:t xml:space="preserve"> </w:t>
      </w:r>
      <w:r>
        <w:t>my</w:t>
      </w:r>
      <w:r>
        <w:rPr>
          <w:spacing w:val="-2"/>
        </w:rPr>
        <w:t xml:space="preserve"> </w:t>
      </w:r>
      <w:r>
        <w:t>being</w:t>
      </w:r>
      <w:r>
        <w:rPr>
          <w:spacing w:val="-2"/>
        </w:rPr>
        <w:t xml:space="preserve"> </w:t>
      </w:r>
      <w:r>
        <w:t>given</w:t>
      </w:r>
      <w:r>
        <w:rPr>
          <w:spacing w:val="-2"/>
        </w:rPr>
        <w:t xml:space="preserve"> </w:t>
      </w:r>
      <w:r>
        <w:t>a</w:t>
      </w:r>
      <w:r>
        <w:rPr>
          <w:spacing w:val="-3"/>
        </w:rPr>
        <w:t xml:space="preserve"> </w:t>
      </w:r>
      <w:r>
        <w:t>different</w:t>
      </w:r>
      <w:r>
        <w:rPr>
          <w:spacing w:val="-3"/>
        </w:rPr>
        <w:t xml:space="preserve"> </w:t>
      </w:r>
      <w:r>
        <w:t>description</w:t>
      </w:r>
      <w:r>
        <w:rPr>
          <w:spacing w:val="-2"/>
        </w:rPr>
        <w:t xml:space="preserve"> </w:t>
      </w:r>
      <w:r>
        <w:t>of Steve. That description was to the effect that:</w:t>
      </w:r>
    </w:p>
    <w:p w14:paraId="7E000C72" w14:textId="77777777" w:rsidR="009A58DB" w:rsidRDefault="00000000">
      <w:pPr>
        <w:pStyle w:val="ListParagraph"/>
        <w:numPr>
          <w:ilvl w:val="0"/>
          <w:numId w:val="186"/>
        </w:numPr>
        <w:tabs>
          <w:tab w:val="left" w:pos="885"/>
        </w:tabs>
        <w:spacing w:before="44" w:line="249" w:lineRule="auto"/>
        <w:ind w:right="367" w:firstLine="0"/>
        <w:jc w:val="both"/>
        <w:rPr>
          <w:sz w:val="30"/>
        </w:rPr>
      </w:pPr>
      <w:r>
        <w:rPr>
          <w:sz w:val="30"/>
        </w:rPr>
        <w:t>there is some man x such that x is a portly amicable fellow who is sitting over in that chair.</w:t>
      </w:r>
    </w:p>
    <w:p w14:paraId="7E000C73" w14:textId="77777777" w:rsidR="009A58DB" w:rsidRDefault="00000000">
      <w:pPr>
        <w:pStyle w:val="BodyText"/>
        <w:spacing w:before="107" w:line="292" w:lineRule="auto"/>
        <w:ind w:right="370"/>
      </w:pPr>
      <w:r>
        <w:t>But</w:t>
      </w:r>
      <w:r>
        <w:rPr>
          <w:spacing w:val="-3"/>
        </w:rPr>
        <w:t xml:space="preserve"> </w:t>
      </w:r>
      <w:r>
        <w:t>U</w:t>
      </w:r>
      <w:r>
        <w:rPr>
          <w:vertAlign w:val="subscript"/>
        </w:rPr>
        <w:t>2</w:t>
      </w:r>
      <w:r>
        <w:t>’s literal meaning is not that that effect. There is some man x such that x is a portly amicable fellow (etc.) such that in uttering U</w:t>
      </w:r>
      <w:r>
        <w:rPr>
          <w:vertAlign w:val="subscript"/>
        </w:rPr>
        <w:t>2</w:t>
      </w:r>
      <w:r>
        <w:t xml:space="preserve"> I was saying that:</w:t>
      </w:r>
    </w:p>
    <w:p w14:paraId="7E000C74" w14:textId="77777777" w:rsidR="009A58DB" w:rsidRDefault="00000000">
      <w:pPr>
        <w:pStyle w:val="ListParagraph"/>
        <w:numPr>
          <w:ilvl w:val="0"/>
          <w:numId w:val="3"/>
        </w:numPr>
        <w:tabs>
          <w:tab w:val="left" w:pos="797"/>
        </w:tabs>
        <w:spacing w:before="88"/>
        <w:ind w:left="797" w:hanging="437"/>
        <w:jc w:val="both"/>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2"/>
          <w:sz w:val="30"/>
        </w:rPr>
        <w:t>thief.</w:t>
      </w:r>
    </w:p>
    <w:p w14:paraId="7E000C75" w14:textId="77777777" w:rsidR="009A58DB" w:rsidRDefault="00000000">
      <w:pPr>
        <w:pStyle w:val="BodyText"/>
        <w:spacing w:before="121" w:line="271" w:lineRule="auto"/>
        <w:ind w:right="358"/>
      </w:pPr>
      <w:r>
        <w:t>Echoing what we said a moment ago, the meaning of U</w:t>
      </w:r>
      <w:r>
        <w:rPr>
          <w:vertAlign w:val="subscript"/>
        </w:rPr>
        <w:t>2</w:t>
      </w:r>
      <w:r>
        <w:t xml:space="preserve">, being identical with (ii), is quite threadbare. But I </w:t>
      </w:r>
      <w:r>
        <w:rPr>
          <w:i/>
        </w:rPr>
        <w:t xml:space="preserve">grasped </w:t>
      </w:r>
      <w:r>
        <w:t>that threadbare meaning through my descriptively rich visual perception, whose content is given by (iii).</w:t>
      </w:r>
    </w:p>
    <w:p w14:paraId="7E000C76" w14:textId="77777777" w:rsidR="009A58DB" w:rsidRDefault="00000000">
      <w:pPr>
        <w:pStyle w:val="BodyText"/>
        <w:tabs>
          <w:tab w:val="left" w:pos="1942"/>
          <w:tab w:val="left" w:pos="2265"/>
          <w:tab w:val="left" w:pos="3422"/>
          <w:tab w:val="left" w:pos="4011"/>
          <w:tab w:val="left" w:pos="4535"/>
          <w:tab w:val="left" w:pos="5258"/>
          <w:tab w:val="left" w:pos="5731"/>
          <w:tab w:val="left" w:pos="6987"/>
          <w:tab w:val="left" w:pos="7993"/>
          <w:tab w:val="left" w:pos="8467"/>
        </w:tabs>
        <w:spacing w:line="316" w:lineRule="exact"/>
        <w:ind w:left="720"/>
        <w:jc w:val="left"/>
      </w:pPr>
      <w:r>
        <w:rPr>
          <w:spacing w:val="-2"/>
        </w:rPr>
        <w:t>Because</w:t>
      </w:r>
      <w:r>
        <w:tab/>
      </w:r>
      <w:r>
        <w:rPr>
          <w:spacing w:val="-10"/>
        </w:rPr>
        <w:t>I</w:t>
      </w:r>
      <w:r>
        <w:tab/>
      </w:r>
      <w:r>
        <w:rPr>
          <w:spacing w:val="-2"/>
        </w:rPr>
        <w:t>grasped</w:t>
      </w:r>
      <w:r>
        <w:tab/>
      </w:r>
      <w:r>
        <w:rPr>
          <w:spacing w:val="-4"/>
        </w:rPr>
        <w:t>(ii)</w:t>
      </w:r>
      <w:r>
        <w:tab/>
      </w:r>
      <w:r>
        <w:rPr>
          <w:spacing w:val="-5"/>
        </w:rPr>
        <w:t>by</w:t>
      </w:r>
      <w:r>
        <w:tab/>
      </w:r>
      <w:r>
        <w:rPr>
          <w:spacing w:val="-5"/>
        </w:rPr>
        <w:t>way</w:t>
      </w:r>
      <w:r>
        <w:tab/>
      </w:r>
      <w:r>
        <w:rPr>
          <w:spacing w:val="-5"/>
        </w:rPr>
        <w:t>of</w:t>
      </w:r>
      <w:r>
        <w:tab/>
      </w:r>
      <w:r>
        <w:rPr>
          <w:spacing w:val="-2"/>
        </w:rPr>
        <w:t>different</w:t>
      </w:r>
      <w:r>
        <w:tab/>
      </w:r>
      <w:r>
        <w:rPr>
          <w:spacing w:val="-2"/>
        </w:rPr>
        <w:t>bodies</w:t>
      </w:r>
      <w:r>
        <w:tab/>
      </w:r>
      <w:r>
        <w:rPr>
          <w:spacing w:val="-5"/>
        </w:rPr>
        <w:t>of</w:t>
      </w:r>
      <w:r>
        <w:tab/>
      </w:r>
      <w:r>
        <w:rPr>
          <w:spacing w:val="-2"/>
        </w:rPr>
        <w:t>perceptual</w:t>
      </w:r>
    </w:p>
    <w:p w14:paraId="7E000C77" w14:textId="77777777" w:rsidR="009A58DB" w:rsidRDefault="00000000">
      <w:pPr>
        <w:pStyle w:val="BodyText"/>
        <w:spacing w:before="15" w:line="292" w:lineRule="auto"/>
        <w:ind w:right="359"/>
        <w:jc w:val="left"/>
      </w:pPr>
      <w:r>
        <w:t>(descriptive)</w:t>
      </w:r>
      <w:r>
        <w:rPr>
          <w:spacing w:val="33"/>
        </w:rPr>
        <w:t xml:space="preserve"> </w:t>
      </w:r>
      <w:r>
        <w:t>information,</w:t>
      </w:r>
      <w:r>
        <w:rPr>
          <w:spacing w:val="33"/>
        </w:rPr>
        <w:t xml:space="preserve"> </w:t>
      </w:r>
      <w:r>
        <w:t>I</w:t>
      </w:r>
      <w:r>
        <w:rPr>
          <w:spacing w:val="33"/>
        </w:rPr>
        <w:t xml:space="preserve"> </w:t>
      </w:r>
      <w:r>
        <w:t>didn’t</w:t>
      </w:r>
      <w:r>
        <w:rPr>
          <w:spacing w:val="33"/>
        </w:rPr>
        <w:t xml:space="preserve"> </w:t>
      </w:r>
      <w:r>
        <w:t>know,</w:t>
      </w:r>
      <w:r>
        <w:rPr>
          <w:spacing w:val="33"/>
        </w:rPr>
        <w:t xml:space="preserve"> </w:t>
      </w:r>
      <w:r>
        <w:t>when</w:t>
      </w:r>
      <w:r>
        <w:rPr>
          <w:spacing w:val="33"/>
        </w:rPr>
        <w:t xml:space="preserve"> </w:t>
      </w:r>
      <w:r>
        <w:t>uttering</w:t>
      </w:r>
      <w:r>
        <w:rPr>
          <w:spacing w:val="33"/>
        </w:rPr>
        <w:t xml:space="preserve"> </w:t>
      </w:r>
      <w:r>
        <w:t>U</w:t>
      </w:r>
      <w:r>
        <w:rPr>
          <w:vertAlign w:val="subscript"/>
        </w:rPr>
        <w:t>2</w:t>
      </w:r>
      <w:r>
        <w:t>,</w:t>
      </w:r>
      <w:r>
        <w:rPr>
          <w:spacing w:val="32"/>
        </w:rPr>
        <w:t xml:space="preserve"> </w:t>
      </w:r>
      <w:r>
        <w:t>that</w:t>
      </w:r>
      <w:r>
        <w:rPr>
          <w:spacing w:val="32"/>
        </w:rPr>
        <w:t xml:space="preserve"> </w:t>
      </w:r>
      <w:r>
        <w:t>what</w:t>
      </w:r>
      <w:r>
        <w:rPr>
          <w:spacing w:val="32"/>
        </w:rPr>
        <w:t xml:space="preserve"> </w:t>
      </w:r>
      <w:r>
        <w:t>I</w:t>
      </w:r>
      <w:r>
        <w:rPr>
          <w:spacing w:val="32"/>
        </w:rPr>
        <w:t xml:space="preserve"> </w:t>
      </w:r>
      <w:r>
        <w:t>was affirming</w:t>
      </w:r>
      <w:r>
        <w:rPr>
          <w:spacing w:val="59"/>
        </w:rPr>
        <w:t xml:space="preserve"> </w:t>
      </w:r>
      <w:r>
        <w:t>was</w:t>
      </w:r>
      <w:r>
        <w:rPr>
          <w:spacing w:val="58"/>
        </w:rPr>
        <w:t xml:space="preserve"> </w:t>
      </w:r>
      <w:r>
        <w:t>the</w:t>
      </w:r>
      <w:r>
        <w:rPr>
          <w:spacing w:val="58"/>
        </w:rPr>
        <w:t xml:space="preserve"> </w:t>
      </w:r>
      <w:r>
        <w:t>same</w:t>
      </w:r>
      <w:r>
        <w:rPr>
          <w:spacing w:val="58"/>
        </w:rPr>
        <w:t xml:space="preserve"> </w:t>
      </w:r>
      <w:r>
        <w:t>thing</w:t>
      </w:r>
      <w:r>
        <w:rPr>
          <w:spacing w:val="58"/>
        </w:rPr>
        <w:t xml:space="preserve"> </w:t>
      </w:r>
      <w:r>
        <w:t>I</w:t>
      </w:r>
      <w:r>
        <w:rPr>
          <w:spacing w:val="58"/>
        </w:rPr>
        <w:t xml:space="preserve"> </w:t>
      </w:r>
      <w:r>
        <w:t>was</w:t>
      </w:r>
      <w:r>
        <w:rPr>
          <w:spacing w:val="58"/>
        </w:rPr>
        <w:t xml:space="preserve"> </w:t>
      </w:r>
      <w:r>
        <w:t>affirming</w:t>
      </w:r>
      <w:r>
        <w:rPr>
          <w:spacing w:val="59"/>
        </w:rPr>
        <w:t xml:space="preserve"> </w:t>
      </w:r>
      <w:r>
        <w:t>in</w:t>
      </w:r>
      <w:r>
        <w:rPr>
          <w:spacing w:val="59"/>
        </w:rPr>
        <w:t xml:space="preserve"> </w:t>
      </w:r>
      <w:r>
        <w:t>uttering</w:t>
      </w:r>
      <w:r>
        <w:rPr>
          <w:spacing w:val="59"/>
        </w:rPr>
        <w:t xml:space="preserve"> </w:t>
      </w:r>
      <w:r>
        <w:t>U</w:t>
      </w:r>
      <w:r>
        <w:rPr>
          <w:vertAlign w:val="subscript"/>
        </w:rPr>
        <w:t>1</w:t>
      </w:r>
      <w:r>
        <w:t>.</w:t>
      </w:r>
      <w:r>
        <w:rPr>
          <w:spacing w:val="59"/>
        </w:rPr>
        <w:t xml:space="preserve"> </w:t>
      </w:r>
      <w:r>
        <w:rPr>
          <w:spacing w:val="-2"/>
        </w:rPr>
        <w:t>Oftentimes,</w:t>
      </w:r>
    </w:p>
    <w:p w14:paraId="7E000C78" w14:textId="77777777" w:rsidR="009A58DB" w:rsidRDefault="00000000">
      <w:pPr>
        <w:pStyle w:val="BodyText"/>
        <w:spacing w:line="249" w:lineRule="auto"/>
        <w:ind w:right="549"/>
        <w:jc w:val="left"/>
      </w:pPr>
      <w:r>
        <w:t xml:space="preserve">literal meaning is cloaked by the </w:t>
      </w:r>
      <w:r>
        <w:rPr>
          <w:i/>
        </w:rPr>
        <w:t>pre</w:t>
      </w:r>
      <w:r>
        <w:t>-semantic information through which it</w:t>
      </w:r>
      <w:r>
        <w:rPr>
          <w:spacing w:val="40"/>
        </w:rPr>
        <w:t xml:space="preserve"> </w:t>
      </w:r>
      <w:r>
        <w:t>is grasped, and semanticists are needed to uncloak it.</w:t>
      </w:r>
    </w:p>
    <w:p w14:paraId="7E000C79"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C7A" w14:textId="77777777" w:rsidR="009A58DB" w:rsidRDefault="00000000">
      <w:pPr>
        <w:pStyle w:val="Heading1"/>
        <w:numPr>
          <w:ilvl w:val="1"/>
          <w:numId w:val="189"/>
        </w:numPr>
        <w:tabs>
          <w:tab w:val="left" w:pos="1033"/>
        </w:tabs>
        <w:spacing w:before="58" w:line="244" w:lineRule="auto"/>
        <w:ind w:left="360" w:right="360" w:firstLine="0"/>
      </w:pPr>
      <w:r>
        <w:lastRenderedPageBreak/>
        <w:t>Semantics needed to figure out what is literally</w:t>
      </w:r>
      <w:r>
        <w:rPr>
          <w:spacing w:val="40"/>
        </w:rPr>
        <w:t xml:space="preserve"> </w:t>
      </w:r>
      <w:r>
        <w:t>meant and what is not (continued)</w:t>
      </w:r>
    </w:p>
    <w:p w14:paraId="7E000C7B" w14:textId="77777777" w:rsidR="009A58DB" w:rsidRDefault="00000000">
      <w:pPr>
        <w:pStyle w:val="BodyText"/>
        <w:spacing w:before="131" w:line="249" w:lineRule="auto"/>
        <w:ind w:right="363"/>
      </w:pPr>
      <w:r>
        <w:t>Fido is the smartest dog on the planet. I know this well, but some of my friends don’t yet know this. I point to Fido and say: “that dog is very smart.”</w:t>
      </w:r>
    </w:p>
    <w:p w14:paraId="7E000C7C" w14:textId="77777777" w:rsidR="009A58DB" w:rsidRDefault="00000000">
      <w:pPr>
        <w:pStyle w:val="BodyText"/>
        <w:spacing w:before="3" w:line="249" w:lineRule="auto"/>
        <w:ind w:right="360" w:firstLine="360"/>
      </w:pPr>
      <w:r>
        <w:t xml:space="preserve">The proposition that it was my intention to affirm and communicate is indeed true. </w:t>
      </w:r>
      <w:r>
        <w:rPr>
          <w:i/>
        </w:rPr>
        <w:t xml:space="preserve">For a dog, </w:t>
      </w:r>
      <w:r>
        <w:t>Fido is indeed smart. Of course, Fido is vastly less intelligent</w:t>
      </w:r>
      <w:r>
        <w:rPr>
          <w:spacing w:val="-3"/>
        </w:rPr>
        <w:t xml:space="preserve"> </w:t>
      </w:r>
      <w:r>
        <w:t>than</w:t>
      </w:r>
      <w:r>
        <w:rPr>
          <w:spacing w:val="-2"/>
        </w:rPr>
        <w:t xml:space="preserve"> </w:t>
      </w:r>
      <w:r>
        <w:t>a</w:t>
      </w:r>
      <w:r>
        <w:rPr>
          <w:spacing w:val="-2"/>
        </w:rPr>
        <w:t xml:space="preserve"> </w:t>
      </w:r>
      <w:r>
        <w:t>human</w:t>
      </w:r>
      <w:r>
        <w:rPr>
          <w:spacing w:val="-2"/>
        </w:rPr>
        <w:t xml:space="preserve"> </w:t>
      </w:r>
      <w:r>
        <w:t>being,</w:t>
      </w:r>
      <w:r>
        <w:rPr>
          <w:spacing w:val="-2"/>
        </w:rPr>
        <w:t xml:space="preserve"> </w:t>
      </w:r>
      <w:r>
        <w:t>such</w:t>
      </w:r>
      <w:r>
        <w:rPr>
          <w:spacing w:val="-2"/>
        </w:rPr>
        <w:t xml:space="preserve"> </w:t>
      </w:r>
      <w:r>
        <w:t>as</w:t>
      </w:r>
      <w:r>
        <w:rPr>
          <w:spacing w:val="-2"/>
        </w:rPr>
        <w:t xml:space="preserve"> </w:t>
      </w:r>
      <w:r>
        <w:t>my</w:t>
      </w:r>
      <w:r>
        <w:rPr>
          <w:spacing w:val="-2"/>
        </w:rPr>
        <w:t xml:space="preserve"> </w:t>
      </w:r>
      <w:r>
        <w:t>friend</w:t>
      </w:r>
      <w:r>
        <w:rPr>
          <w:spacing w:val="-2"/>
        </w:rPr>
        <w:t xml:space="preserve"> </w:t>
      </w:r>
      <w:r>
        <w:t>Timmy,</w:t>
      </w:r>
      <w:r>
        <w:rPr>
          <w:spacing w:val="-2"/>
        </w:rPr>
        <w:t xml:space="preserve"> </w:t>
      </w:r>
      <w:r>
        <w:t>who</w:t>
      </w:r>
      <w:r>
        <w:rPr>
          <w:spacing w:val="-2"/>
        </w:rPr>
        <w:t xml:space="preserve"> </w:t>
      </w:r>
      <w:r>
        <w:t>is</w:t>
      </w:r>
      <w:r>
        <w:rPr>
          <w:spacing w:val="-2"/>
        </w:rPr>
        <w:t xml:space="preserve"> </w:t>
      </w:r>
      <w:r>
        <w:t>of</w:t>
      </w:r>
      <w:r>
        <w:rPr>
          <w:spacing w:val="-2"/>
        </w:rPr>
        <w:t xml:space="preserve"> </w:t>
      </w:r>
      <w:r>
        <w:t xml:space="preserve">mediocre intelligence. But if I say “Timmy is very smart,” what I’m saying is </w:t>
      </w:r>
      <w:r>
        <w:rPr>
          <w:i/>
        </w:rPr>
        <w:t xml:space="preserve">false. </w:t>
      </w:r>
      <w:r>
        <w:t>Judging by the words I’ve used, the property I’ve attributed to Timmy is identical with the property I’ve attributed to Fido. Given that Timmy has that property to a vastly greater degree than Fido, it would seem to follow that, since “Fido is smart” is true, “Timmy is smart” must also be true. And yet “Timmy is smart” is false. How can this be?</w:t>
      </w:r>
    </w:p>
    <w:p w14:paraId="7E000C7D" w14:textId="77777777" w:rsidR="009A58DB" w:rsidRDefault="00000000">
      <w:pPr>
        <w:pStyle w:val="BodyText"/>
        <w:spacing w:before="11" w:line="249" w:lineRule="auto"/>
        <w:ind w:right="358" w:firstLine="360"/>
      </w:pPr>
      <w:r>
        <w:t>Some deal with this by saying that “smart” is ambiguous, like the word “dumb.” So “Timmy is smart” and “Fido is smart” have different meanings, like “Timmy is dumb [unintelligent]” and “Timmy is dumb [mute].”</w:t>
      </w:r>
    </w:p>
    <w:p w14:paraId="7E000C7E" w14:textId="77777777" w:rsidR="009A58DB" w:rsidRDefault="00000000">
      <w:pPr>
        <w:pStyle w:val="BodyText"/>
        <w:spacing w:before="4" w:line="249" w:lineRule="auto"/>
        <w:ind w:right="366" w:firstLine="360"/>
      </w:pPr>
      <w:r>
        <w:t xml:space="preserve">This solution is pretty clearly false. A more plausible one is that the property of being smart </w:t>
      </w:r>
      <w:r>
        <w:rPr>
          <w:i/>
        </w:rPr>
        <w:t xml:space="preserve">for a dog </w:t>
      </w:r>
      <w:r>
        <w:t xml:space="preserve">is distinct from the property of being smart </w:t>
      </w:r>
      <w:r>
        <w:rPr>
          <w:i/>
        </w:rPr>
        <w:t xml:space="preserve">for a human. </w:t>
      </w:r>
      <w:r>
        <w:t>Fido has the first but not the second. And many humans have the second, but almost all of those lack the first.</w:t>
      </w:r>
    </w:p>
    <w:p w14:paraId="7E000C7F" w14:textId="77777777" w:rsidR="009A58DB" w:rsidRDefault="00000000">
      <w:pPr>
        <w:pStyle w:val="BodyText"/>
        <w:spacing w:before="5" w:line="249" w:lineRule="auto"/>
        <w:ind w:right="360" w:firstLine="360"/>
      </w:pPr>
      <w:r>
        <w:t xml:space="preserve">A similar, possibly coincident, view is that “smart” is implicitly relational. When, for some object x, you say ‹x is smart›, you are saying that x is smart </w:t>
      </w:r>
      <w:r>
        <w:rPr>
          <w:i/>
        </w:rPr>
        <w:t>relative</w:t>
      </w:r>
      <w:r>
        <w:rPr>
          <w:i/>
          <w:spacing w:val="-4"/>
        </w:rPr>
        <w:t xml:space="preserve"> </w:t>
      </w:r>
      <w:r>
        <w:rPr>
          <w:i/>
        </w:rPr>
        <w:t>to</w:t>
      </w:r>
      <w:r>
        <w:rPr>
          <w:i/>
          <w:spacing w:val="-3"/>
        </w:rPr>
        <w:t xml:space="preserve"> </w:t>
      </w:r>
      <w:r>
        <w:rPr>
          <w:i/>
        </w:rPr>
        <w:t>some</w:t>
      </w:r>
      <w:r>
        <w:rPr>
          <w:i/>
          <w:spacing w:val="-4"/>
        </w:rPr>
        <w:t xml:space="preserve"> </w:t>
      </w:r>
      <w:r>
        <w:rPr>
          <w:i/>
        </w:rPr>
        <w:t>benchmark,</w:t>
      </w:r>
      <w:r>
        <w:rPr>
          <w:i/>
          <w:spacing w:val="-3"/>
        </w:rPr>
        <w:t xml:space="preserve"> </w:t>
      </w:r>
      <w:r>
        <w:t>the identity of which the context makes clear. So “Fido is smart” says that Fido is smart</w:t>
      </w:r>
      <w:r>
        <w:rPr>
          <w:i/>
        </w:rPr>
        <w:t xml:space="preserve">er </w:t>
      </w:r>
      <w:r>
        <w:t>than most dogs, which is true, and “Timmy is smart” says that Timmy is smarter than most human beings,</w:t>
      </w:r>
      <w:r>
        <w:rPr>
          <w:spacing w:val="40"/>
        </w:rPr>
        <w:t xml:space="preserve"> </w:t>
      </w:r>
      <w:r>
        <w:t>which is false.</w:t>
      </w:r>
    </w:p>
    <w:p w14:paraId="7E000C80" w14:textId="77777777" w:rsidR="009A58DB" w:rsidRDefault="00000000">
      <w:pPr>
        <w:pStyle w:val="BodyText"/>
        <w:spacing w:before="7" w:line="249" w:lineRule="auto"/>
        <w:ind w:right="358" w:firstLine="360"/>
      </w:pPr>
      <w:r>
        <w:t>I published a pape</w:t>
      </w:r>
      <w:bookmarkStart w:id="144" w:name="_bookmark144"/>
      <w:bookmarkEnd w:id="144"/>
      <w:r>
        <w:t>r</w:t>
      </w:r>
      <w:r>
        <w:rPr>
          <w:color w:val="0562C1"/>
          <w:position w:val="21"/>
          <w:u w:val="single" w:color="0562C1"/>
        </w:rPr>
        <w:t>[78]</w:t>
      </w:r>
      <w:r>
        <w:rPr>
          <w:color w:val="0562C1"/>
          <w:position w:val="21"/>
        </w:rPr>
        <w:t xml:space="preserve"> </w:t>
      </w:r>
      <w:r>
        <w:t>arguing that, for any degree-property phi, ‹x has phi› expresses a proposition of the form: the degree to which x has phi exceeds standard S, where S is some standard that, given the context, is clearly the relevant one. (A “degree property” is one that can be had to varying degrees.) But even if this is right, it doesn’t follow that such judgments are the literal meanings of such sentences. And there is no independent evidence that ‹x is smart› has the syntactic properties of sentences</w:t>
      </w:r>
      <w:r>
        <w:rPr>
          <w:spacing w:val="31"/>
        </w:rPr>
        <w:t xml:space="preserve"> </w:t>
      </w:r>
      <w:r>
        <w:t>that</w:t>
      </w:r>
      <w:r>
        <w:rPr>
          <w:spacing w:val="31"/>
        </w:rPr>
        <w:t xml:space="preserve"> </w:t>
      </w:r>
      <w:r>
        <w:t>clearly</w:t>
      </w:r>
      <w:r>
        <w:rPr>
          <w:spacing w:val="32"/>
        </w:rPr>
        <w:t xml:space="preserve"> </w:t>
      </w:r>
      <w:r>
        <w:rPr>
          <w:i/>
        </w:rPr>
        <w:t>do</w:t>
      </w:r>
      <w:r>
        <w:rPr>
          <w:i/>
          <w:spacing w:val="27"/>
        </w:rPr>
        <w:t xml:space="preserve"> </w:t>
      </w:r>
      <w:r>
        <w:t>have</w:t>
      </w:r>
      <w:r>
        <w:rPr>
          <w:spacing w:val="34"/>
        </w:rPr>
        <w:t xml:space="preserve"> </w:t>
      </w:r>
      <w:r>
        <w:t>for</w:t>
      </w:r>
      <w:r>
        <w:rPr>
          <w:spacing w:val="34"/>
        </w:rPr>
        <w:t xml:space="preserve"> </w:t>
      </w:r>
      <w:r>
        <w:t>their</w:t>
      </w:r>
      <w:r>
        <w:rPr>
          <w:spacing w:val="34"/>
        </w:rPr>
        <w:t xml:space="preserve"> </w:t>
      </w:r>
      <w:r>
        <w:t>literal</w:t>
      </w:r>
      <w:r>
        <w:rPr>
          <w:spacing w:val="34"/>
        </w:rPr>
        <w:t xml:space="preserve"> </w:t>
      </w:r>
      <w:r>
        <w:t>meanings</w:t>
      </w:r>
      <w:r>
        <w:rPr>
          <w:spacing w:val="34"/>
        </w:rPr>
        <w:t xml:space="preserve"> </w:t>
      </w:r>
      <w:r>
        <w:t>propositions</w:t>
      </w:r>
      <w:r>
        <w:rPr>
          <w:spacing w:val="34"/>
        </w:rPr>
        <w:t xml:space="preserve"> </w:t>
      </w:r>
      <w:r>
        <w:t>of</w:t>
      </w:r>
      <w:r>
        <w:rPr>
          <w:spacing w:val="34"/>
        </w:rPr>
        <w:t xml:space="preserve"> </w:t>
      </w:r>
      <w:r>
        <w:t>the</w:t>
      </w:r>
    </w:p>
    <w:p w14:paraId="7E000C8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82" w14:textId="77777777" w:rsidR="009A58DB" w:rsidRDefault="00000000">
      <w:pPr>
        <w:pStyle w:val="BodyText"/>
        <w:spacing w:before="65" w:line="249" w:lineRule="auto"/>
        <w:ind w:right="364"/>
      </w:pPr>
      <w:r>
        <w:lastRenderedPageBreak/>
        <w:t>just-described kind. This suggests that, so far as ‹x has phi› communicates such a proposition, it isn’t because it semantically encodes it.</w:t>
      </w:r>
    </w:p>
    <w:p w14:paraId="7E000C83" w14:textId="77777777" w:rsidR="009A58DB" w:rsidRDefault="00000000">
      <w:pPr>
        <w:pStyle w:val="BodyText"/>
        <w:spacing w:before="2" w:line="249" w:lineRule="auto"/>
        <w:ind w:right="367" w:firstLine="360"/>
      </w:pPr>
      <w:r>
        <w:t xml:space="preserve">In any case, it not </w:t>
      </w:r>
      <w:r>
        <w:rPr>
          <w:i/>
        </w:rPr>
        <w:t>obvious</w:t>
      </w:r>
      <w:r>
        <w:rPr>
          <w:i/>
          <w:spacing w:val="-3"/>
        </w:rPr>
        <w:t xml:space="preserve"> </w:t>
      </w:r>
      <w:r>
        <w:t>what ‹x is smart› means or, in general, what ‹x has phi› means, where phi is any degree property. Thus, the literal meanings of such sentences are sufficiently recondite that the intervention of professional semanticists is needed to identify them.</w:t>
      </w:r>
    </w:p>
    <w:p w14:paraId="7E000C84" w14:textId="77777777" w:rsidR="009A58DB" w:rsidRDefault="00000000">
      <w:pPr>
        <w:pStyle w:val="Heading1"/>
        <w:spacing w:before="193"/>
        <w:ind w:left="360" w:firstLine="0"/>
      </w:pPr>
      <w:r>
        <w:t>5.0</w:t>
      </w:r>
      <w:r>
        <w:rPr>
          <w:spacing w:val="-4"/>
        </w:rPr>
        <w:t xml:space="preserve"> </w:t>
      </w:r>
      <w:r>
        <w:t>Semantic</w:t>
      </w:r>
      <w:r>
        <w:rPr>
          <w:spacing w:val="-3"/>
        </w:rPr>
        <w:t xml:space="preserve"> </w:t>
      </w:r>
      <w:r>
        <w:rPr>
          <w:spacing w:val="-2"/>
        </w:rPr>
        <w:t>rules</w:t>
      </w:r>
    </w:p>
    <w:p w14:paraId="7E000C85" w14:textId="77777777" w:rsidR="009A58DB" w:rsidRDefault="00000000">
      <w:pPr>
        <w:pStyle w:val="BodyText"/>
        <w:spacing w:before="139" w:line="249" w:lineRule="auto"/>
        <w:ind w:right="365"/>
      </w:pPr>
      <w:r>
        <w:t>The English language assigns a certain meaning to the sound “that dog has rabies”; and given the spectacle of a rabid dog, it furnishes one with a sentence with which to describe what one sees. In general, the English language assigns meanings to sentences and sentences to meanings. This is true of all languages. A language is a systematic way of pairing off sentences with meanings. Any rule that assigns a meaning to an expression is known as a “semantic rule.” Languages are sets of semantic rules.</w:t>
      </w:r>
    </w:p>
    <w:p w14:paraId="7E000C86" w14:textId="77777777" w:rsidR="009A58DB" w:rsidRDefault="00000000">
      <w:pPr>
        <w:pStyle w:val="Heading1"/>
        <w:spacing w:before="212"/>
        <w:ind w:left="360" w:firstLine="0"/>
      </w:pPr>
      <w:r>
        <w:t>5.1.</w:t>
      </w:r>
      <w:r>
        <w:rPr>
          <w:spacing w:val="-3"/>
        </w:rPr>
        <w:t xml:space="preserve"> </w:t>
      </w:r>
      <w:r>
        <w:t>An</w:t>
      </w:r>
      <w:r>
        <w:rPr>
          <w:spacing w:val="-3"/>
        </w:rPr>
        <w:t xml:space="preserve"> </w:t>
      </w:r>
      <w:r>
        <w:t>important</w:t>
      </w:r>
      <w:r>
        <w:rPr>
          <w:spacing w:val="-3"/>
        </w:rPr>
        <w:t xml:space="preserve"> </w:t>
      </w:r>
      <w:r>
        <w:rPr>
          <w:spacing w:val="-2"/>
        </w:rPr>
        <w:t>subtlety</w:t>
      </w:r>
    </w:p>
    <w:p w14:paraId="7E000C87" w14:textId="77777777" w:rsidR="009A58DB" w:rsidRDefault="00000000">
      <w:pPr>
        <w:pStyle w:val="BodyText"/>
        <w:spacing w:before="139" w:line="249" w:lineRule="auto"/>
        <w:ind w:right="358"/>
      </w:pPr>
      <w:r>
        <w:t xml:space="preserve">There are a couple of subtle but, in some contexts, important inaccuracies in what I just said. First of all, something isn’t a sentence </w:t>
      </w:r>
      <w:r>
        <w:rPr>
          <w:i/>
        </w:rPr>
        <w:t xml:space="preserve">until </w:t>
      </w:r>
      <w:r>
        <w:t>a meaning has been assigned to it. In a world where there were no animate beings, but in which the forthcoming parenthetical ink deposit (1 + 1 = 2) was formed out</w:t>
      </w:r>
      <w:r>
        <w:rPr>
          <w:spacing w:val="40"/>
        </w:rPr>
        <w:t xml:space="preserve"> </w:t>
      </w:r>
      <w:r>
        <w:t>of twigs, that twig deposit wouldn’t be an expression of any kind. That twig deposit</w:t>
      </w:r>
      <w:r>
        <w:rPr>
          <w:spacing w:val="-4"/>
        </w:rPr>
        <w:t xml:space="preserve"> </w:t>
      </w:r>
      <w:r>
        <w:rPr>
          <w:i/>
        </w:rPr>
        <w:t>would</w:t>
      </w:r>
      <w:r>
        <w:rPr>
          <w:i/>
          <w:spacing w:val="-3"/>
        </w:rPr>
        <w:t xml:space="preserve"> </w:t>
      </w:r>
      <w:r>
        <w:t xml:space="preserve">be an expression </w:t>
      </w:r>
      <w:r>
        <w:rPr>
          <w:i/>
        </w:rPr>
        <w:t xml:space="preserve">if </w:t>
      </w:r>
      <w:r>
        <w:t xml:space="preserve">and </w:t>
      </w:r>
      <w:r>
        <w:rPr>
          <w:i/>
        </w:rPr>
        <w:t xml:space="preserve">only </w:t>
      </w:r>
      <w:r>
        <w:t xml:space="preserve">if it were endowed with meaning. This shows that something has to have meaning </w:t>
      </w:r>
      <w:r>
        <w:rPr>
          <w:i/>
        </w:rPr>
        <w:t xml:space="preserve">in order </w:t>
      </w:r>
      <w:r>
        <w:t xml:space="preserve">to be an expression. Thus, </w:t>
      </w:r>
      <w:r>
        <w:rPr>
          <w:i/>
        </w:rPr>
        <w:t xml:space="preserve">expressions </w:t>
      </w:r>
      <w:r>
        <w:t>aren’t assigned meanings. They already have them and don’t need to be assigned them. Therefore a semantic rule can’t be defined as a rule that assigns a meaning to an expression.</w:t>
      </w:r>
    </w:p>
    <w:p w14:paraId="7E000C88" w14:textId="77777777" w:rsidR="009A58DB" w:rsidRDefault="00000000">
      <w:pPr>
        <w:pStyle w:val="Heading1"/>
        <w:numPr>
          <w:ilvl w:val="1"/>
          <w:numId w:val="192"/>
        </w:numPr>
        <w:tabs>
          <w:tab w:val="left" w:pos="825"/>
          <w:tab w:val="left" w:pos="1382"/>
        </w:tabs>
        <w:spacing w:before="200" w:line="244" w:lineRule="auto"/>
        <w:ind w:left="825" w:right="384" w:hanging="435"/>
        <w:jc w:val="both"/>
        <w:rPr>
          <w:position w:val="30"/>
        </w:rPr>
      </w:pPr>
      <w:r>
        <w:rPr>
          <w:noProof/>
          <w:position w:val="30"/>
        </w:rPr>
        <mc:AlternateContent>
          <mc:Choice Requires="wps">
            <w:drawing>
              <wp:anchor distT="0" distB="0" distL="0" distR="0" simplePos="0" relativeHeight="480327680" behindDoc="1" locked="0" layoutInCell="1" allowOverlap="1" wp14:anchorId="7E00325A" wp14:editId="7E00325B">
                <wp:simplePos x="0" y="0"/>
                <wp:positionH relativeFrom="page">
                  <wp:posOffset>2019300</wp:posOffset>
                </wp:positionH>
                <wp:positionV relativeFrom="paragraph">
                  <wp:posOffset>1019100</wp:posOffset>
                </wp:positionV>
                <wp:extent cx="4381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1270"/>
                        </a:xfrm>
                        <a:custGeom>
                          <a:avLst/>
                          <a:gdLst/>
                          <a:ahLst/>
                          <a:cxnLst/>
                          <a:rect l="l" t="t" r="r" b="b"/>
                          <a:pathLst>
                            <a:path w="438150">
                              <a:moveTo>
                                <a:pt x="0" y="0"/>
                              </a:moveTo>
                              <a:lnTo>
                                <a:pt x="43815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66F4EF5E" id="Graphic 6" o:spid="_x0000_s1026" style="position:absolute;margin-left:159pt;margin-top:80.25pt;width:34.5pt;height:.1pt;z-index:-22988800;visibility:visible;mso-wrap-style:square;mso-wrap-distance-left:0;mso-wrap-distance-top:0;mso-wrap-distance-right:0;mso-wrap-distance-bottom:0;mso-position-horizontal:absolute;mso-position-horizontal-relative:page;mso-position-vertical:absolute;mso-position-vertical-relative:text;v-text-anchor:top" coordsize="43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" path="m,l438150,e" filled="f" strokecolor="#0562c1">
                <v:path arrowok="t"/>
                <w10:wrap anchorx="page"/>
              </v:shape>
            </w:pict>
          </mc:Fallback>
        </mc:AlternateContent>
      </w:r>
      <w:r>
        <w:t xml:space="preserve">How meaning is assigned to hitherto meaningless and, therefore non-linguistic, </w:t>
      </w:r>
      <w:r>
        <w:rPr>
          <w:spacing w:val="-2"/>
        </w:rPr>
        <w:t>entities</w:t>
      </w:r>
      <w:bookmarkStart w:id="145" w:name="_bookmark145"/>
      <w:bookmarkEnd w:id="145"/>
      <w:r>
        <w:rPr>
          <w:color w:val="0562C1"/>
          <w:spacing w:val="-2"/>
          <w:position w:val="30"/>
        </w:rPr>
        <w:t>[79]</w:t>
      </w:r>
    </w:p>
    <w:p w14:paraId="7E000C89" w14:textId="77777777" w:rsidR="009A58DB" w:rsidRDefault="00000000">
      <w:pPr>
        <w:pStyle w:val="BodyText"/>
        <w:spacing w:before="134" w:line="249" w:lineRule="auto"/>
        <w:ind w:right="367"/>
      </w:pPr>
      <w:r>
        <w:t>Thus, semantic rules assign meanings to non-expressions. But which non-expressions? A story will give us the answer.</w:t>
      </w:r>
    </w:p>
    <w:p w14:paraId="7E000C8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8B" w14:textId="77777777" w:rsidR="009A58DB" w:rsidRDefault="00000000">
      <w:pPr>
        <w:pStyle w:val="BodyText"/>
        <w:spacing w:before="65" w:line="249" w:lineRule="auto"/>
        <w:ind w:right="360" w:firstLine="360"/>
      </w:pPr>
      <w:r>
        <w:lastRenderedPageBreak/>
        <w:t>You and I want to invent a code that only we two know. We both know a guy whose real is name is Larry. We decide that our code name for Larry is</w:t>
      </w:r>
      <w:r>
        <w:rPr>
          <w:spacing w:val="40"/>
        </w:rPr>
        <w:t xml:space="preserve"> </w:t>
      </w:r>
      <w:r>
        <w:t>to be “Ichabod.” So what’s going on is that we’re creating a semantic rule: one that to the effect that “Ichabod” is to pick out Larry. How exactly is this rule enacted?</w:t>
      </w:r>
    </w:p>
    <w:p w14:paraId="7E000C8C" w14:textId="77777777" w:rsidR="009A58DB" w:rsidRDefault="00000000">
      <w:pPr>
        <w:pStyle w:val="BodyText"/>
        <w:spacing w:before="6" w:line="249" w:lineRule="auto"/>
        <w:ind w:right="359" w:firstLine="360"/>
      </w:pPr>
      <w:r>
        <w:t xml:space="preserve">In order to implement this rule, I say: Let’s refer to Larry as “Ichabod.” The burst of noise that I produce is a sentence-token. And what you </w:t>
      </w:r>
      <w:r>
        <w:rPr>
          <w:i/>
        </w:rPr>
        <w:t xml:space="preserve">hear </w:t>
      </w:r>
      <w:r>
        <w:t xml:space="preserve">is some </w:t>
      </w:r>
      <w:r>
        <w:rPr>
          <w:i/>
        </w:rPr>
        <w:t xml:space="preserve">token </w:t>
      </w:r>
      <w:r>
        <w:t>of “Ichabod”—you do not, since one could not, hear the name type itself.</w:t>
      </w:r>
    </w:p>
    <w:p w14:paraId="7E000C8D" w14:textId="77777777" w:rsidR="009A58DB" w:rsidRDefault="00000000">
      <w:pPr>
        <w:pStyle w:val="BodyText"/>
        <w:spacing w:before="5" w:line="249" w:lineRule="auto"/>
        <w:ind w:right="358" w:firstLine="360"/>
      </w:pPr>
      <w:r>
        <w:t xml:space="preserve">When you hear this burst of noise, along with my proposal concerning our new name for Larry, you know that what I’m saying is to the effect that any other physical object that is similar in the relevant ways to this burst of noise is itself henceforth to refer to Larry. Thus, I am in effect proposing that all and only those bursts of noise that are similar, in the relevant respect, to this particular burst of noise are to refer to Larry. (By implication, I’m proposing the same thing </w:t>
      </w:r>
      <w:r>
        <w:rPr>
          <w:i/>
        </w:rPr>
        <w:t xml:space="preserve">mutatis mutandis </w:t>
      </w:r>
      <w:r>
        <w:t xml:space="preserve">to hold of all and only ink-deposits that, given certain conventions, are paired off with such bursts of noise.) The thing that, according to my proposal, is henceforth to pick out Larry is the thing of which all and only such bursts of noises (etc.) are </w:t>
      </w:r>
      <w:r>
        <w:rPr>
          <w:i/>
        </w:rPr>
        <w:t xml:space="preserve">instances. </w:t>
      </w:r>
      <w:r>
        <w:t>That thing, like anything else of which there are instances, is a property. It</w:t>
      </w:r>
      <w:r>
        <w:rPr>
          <w:spacing w:val="-1"/>
        </w:rPr>
        <w:t xml:space="preserve"> </w:t>
      </w:r>
      <w:r>
        <w:t>is the property had in common by all and only bursts of noise (etc.) of the relevant type.</w:t>
      </w:r>
    </w:p>
    <w:p w14:paraId="7E000C8E" w14:textId="77777777" w:rsidR="009A58DB" w:rsidRDefault="00000000">
      <w:pPr>
        <w:pStyle w:val="BodyText"/>
        <w:spacing w:before="14" w:line="249" w:lineRule="auto"/>
        <w:ind w:right="362" w:firstLine="360"/>
      </w:pPr>
      <w:r>
        <w:t xml:space="preserve">That property doesn’t (yet) have a meaning; it isn’t (yet) an expression. It’s a property that existed, and was instantiated, before either or any instances meant anything. So the semantic rule that I’m proposing we adopt assigns a referent to a property that does not itself have a meaning. The same thing </w:t>
      </w:r>
      <w:r>
        <w:rPr>
          <w:i/>
        </w:rPr>
        <w:t xml:space="preserve">mutatis mutandis </w:t>
      </w:r>
      <w:r>
        <w:t>holds of any other semantic rule.</w:t>
      </w:r>
    </w:p>
    <w:p w14:paraId="7E000C8F" w14:textId="77777777" w:rsidR="009A58DB" w:rsidRDefault="00000000">
      <w:pPr>
        <w:pStyle w:val="BodyText"/>
        <w:spacing w:before="7" w:line="249" w:lineRule="auto"/>
        <w:ind w:right="364" w:firstLine="360"/>
      </w:pPr>
      <w:r>
        <w:t>Thus semantic rules assign meanings to properties of physical objects—to morphological or acoustical properties (in other words, to properties that a things has in virtue of having a certain shape or sounding a certain way). A semantic rule is therefore something which assigns a meaning to a property, and language is a set of such rules.</w:t>
      </w:r>
    </w:p>
    <w:p w14:paraId="7E000C90" w14:textId="77777777" w:rsidR="009A58DB" w:rsidRDefault="00000000">
      <w:pPr>
        <w:pStyle w:val="BodyText"/>
        <w:spacing w:before="6" w:line="249" w:lineRule="auto"/>
        <w:ind w:right="368" w:firstLine="360"/>
      </w:pPr>
      <w:r>
        <w:t>(Technically, this is only an approximation to the truth. The relevant qualifications are found in Section 7.5.)</w:t>
      </w:r>
    </w:p>
    <w:p w14:paraId="7E000C91" w14:textId="77777777" w:rsidR="009A58DB" w:rsidRDefault="00000000">
      <w:pPr>
        <w:pStyle w:val="Heading1"/>
        <w:numPr>
          <w:ilvl w:val="1"/>
          <w:numId w:val="192"/>
        </w:numPr>
        <w:tabs>
          <w:tab w:val="left" w:pos="990"/>
        </w:tabs>
        <w:spacing w:before="190"/>
      </w:pPr>
      <w:r>
        <w:t>What</w:t>
      </w:r>
      <w:r>
        <w:rPr>
          <w:spacing w:val="-4"/>
        </w:rPr>
        <w:t xml:space="preserve"> </w:t>
      </w:r>
      <w:r>
        <w:t>are</w:t>
      </w:r>
      <w:r>
        <w:rPr>
          <w:spacing w:val="-4"/>
        </w:rPr>
        <w:t xml:space="preserve"> </w:t>
      </w:r>
      <w:r>
        <w:t>semantic</w:t>
      </w:r>
      <w:r>
        <w:rPr>
          <w:spacing w:val="-3"/>
        </w:rPr>
        <w:t xml:space="preserve"> </w:t>
      </w:r>
      <w:r>
        <w:rPr>
          <w:spacing w:val="-2"/>
        </w:rPr>
        <w:t>rules?</w:t>
      </w:r>
    </w:p>
    <w:p w14:paraId="7E000C92" w14:textId="77777777" w:rsidR="009A58DB" w:rsidRDefault="009A58DB">
      <w:pPr>
        <w:pStyle w:val="Heading1"/>
        <w:sectPr w:rsidR="009A58DB">
          <w:pgSz w:w="12240" w:h="15840"/>
          <w:pgMar w:top="1380" w:right="1080" w:bottom="280" w:left="1080" w:header="720" w:footer="720" w:gutter="0"/>
          <w:cols w:space="720"/>
        </w:sectPr>
      </w:pPr>
    </w:p>
    <w:p w14:paraId="7E000C93" w14:textId="77777777" w:rsidR="009A58DB" w:rsidRDefault="00000000">
      <w:pPr>
        <w:pStyle w:val="BodyText"/>
        <w:spacing w:before="65" w:line="249" w:lineRule="auto"/>
        <w:ind w:right="358"/>
      </w:pPr>
      <w:r>
        <w:lastRenderedPageBreak/>
        <w:t>Many</w:t>
      </w:r>
      <w:r>
        <w:rPr>
          <w:spacing w:val="-3"/>
        </w:rPr>
        <w:t xml:space="preserve"> </w:t>
      </w:r>
      <w:r>
        <w:t>believe</w:t>
      </w:r>
      <w:r>
        <w:rPr>
          <w:spacing w:val="-3"/>
        </w:rPr>
        <w:t xml:space="preserve"> </w:t>
      </w:r>
      <w:r>
        <w:t>that</w:t>
      </w:r>
      <w:r>
        <w:rPr>
          <w:spacing w:val="-3"/>
        </w:rPr>
        <w:t xml:space="preserve"> </w:t>
      </w:r>
      <w:r>
        <w:t>linguistic</w:t>
      </w:r>
      <w:r>
        <w:rPr>
          <w:spacing w:val="-3"/>
        </w:rPr>
        <w:t xml:space="preserve"> </w:t>
      </w:r>
      <w:r>
        <w:t>meaning</w:t>
      </w:r>
      <w:r>
        <w:rPr>
          <w:spacing w:val="-3"/>
        </w:rPr>
        <w:t xml:space="preserve"> </w:t>
      </w:r>
      <w:r>
        <w:t>is</w:t>
      </w:r>
      <w:r>
        <w:rPr>
          <w:spacing w:val="-3"/>
        </w:rPr>
        <w:t xml:space="preserve"> </w:t>
      </w:r>
      <w:r>
        <w:t>to</w:t>
      </w:r>
      <w:r>
        <w:rPr>
          <w:spacing w:val="-3"/>
        </w:rPr>
        <w:t xml:space="preserve"> </w:t>
      </w:r>
      <w:r>
        <w:t>be</w:t>
      </w:r>
      <w:r>
        <w:rPr>
          <w:spacing w:val="-3"/>
        </w:rPr>
        <w:t xml:space="preserve"> </w:t>
      </w:r>
      <w:r>
        <w:t>understood</w:t>
      </w:r>
      <w:r>
        <w:rPr>
          <w:spacing w:val="-3"/>
        </w:rPr>
        <w:t xml:space="preserve"> </w:t>
      </w:r>
      <w:r>
        <w:t>in</w:t>
      </w:r>
      <w:r>
        <w:rPr>
          <w:spacing w:val="-3"/>
        </w:rPr>
        <w:t xml:space="preserve"> </w:t>
      </w:r>
      <w:r>
        <w:t xml:space="preserve">function-theoretic terms—that, in other words, semantic rules are mathematical </w:t>
      </w:r>
      <w:r>
        <w:rPr>
          <w:b/>
          <w:i/>
        </w:rPr>
        <w:t>functions</w:t>
      </w:r>
      <w:r>
        <w:t>.</w:t>
      </w:r>
    </w:p>
    <w:p w14:paraId="7E000C94" w14:textId="77777777" w:rsidR="009A58DB" w:rsidRDefault="00000000">
      <w:pPr>
        <w:pStyle w:val="BodyText"/>
        <w:spacing w:before="2" w:line="249" w:lineRule="auto"/>
        <w:ind w:right="361" w:firstLine="360"/>
      </w:pPr>
      <w:r>
        <w:t>Let us start by defining the word “function.” Given any pair of whole numbers, the expression “+” assigns exactly one whole number to that pair.</w:t>
      </w:r>
      <w:r>
        <w:rPr>
          <w:spacing w:val="40"/>
        </w:rPr>
        <w:t xml:space="preserve"> </w:t>
      </w:r>
      <w:r>
        <w:t>In general, a function is a rule that, given some class of objects, assigns no more than one object to any given member of that class.</w:t>
      </w:r>
    </w:p>
    <w:p w14:paraId="7E000C95" w14:textId="77777777" w:rsidR="009A58DB" w:rsidRDefault="00000000">
      <w:pPr>
        <w:pStyle w:val="BodyText"/>
        <w:spacing w:before="5"/>
        <w:ind w:left="720"/>
      </w:pPr>
      <w:r>
        <w:t>Although</w:t>
      </w:r>
      <w:r>
        <w:rPr>
          <w:spacing w:val="40"/>
        </w:rPr>
        <w:t xml:space="preserve"> </w:t>
      </w:r>
      <w:r>
        <w:t>the</w:t>
      </w:r>
      <w:r>
        <w:rPr>
          <w:spacing w:val="40"/>
        </w:rPr>
        <w:t xml:space="preserve"> </w:t>
      </w:r>
      <w:r>
        <w:t>rule</w:t>
      </w:r>
      <w:r>
        <w:rPr>
          <w:spacing w:val="40"/>
        </w:rPr>
        <w:t xml:space="preserve"> </w:t>
      </w:r>
      <w:r>
        <w:t>expressed</w:t>
      </w:r>
      <w:r>
        <w:rPr>
          <w:spacing w:val="40"/>
        </w:rPr>
        <w:t xml:space="preserve"> </w:t>
      </w:r>
      <w:r>
        <w:t>by</w:t>
      </w:r>
      <w:r>
        <w:rPr>
          <w:spacing w:val="40"/>
        </w:rPr>
        <w:t xml:space="preserve"> </w:t>
      </w:r>
      <w:r>
        <w:t>“plus”</w:t>
      </w:r>
      <w:r>
        <w:rPr>
          <w:spacing w:val="40"/>
        </w:rPr>
        <w:t xml:space="preserve"> </w:t>
      </w:r>
      <w:r>
        <w:t>assigns</w:t>
      </w:r>
      <w:r>
        <w:rPr>
          <w:spacing w:val="40"/>
        </w:rPr>
        <w:t xml:space="preserve"> </w:t>
      </w:r>
      <w:r>
        <w:t>the</w:t>
      </w:r>
      <w:r>
        <w:rPr>
          <w:spacing w:val="40"/>
        </w:rPr>
        <w:t xml:space="preserve"> </w:t>
      </w:r>
      <w:r>
        <w:t>number</w:t>
      </w:r>
      <w:r>
        <w:rPr>
          <w:spacing w:val="40"/>
        </w:rPr>
        <w:t xml:space="preserve"> </w:t>
      </w:r>
      <w:r>
        <w:t>8</w:t>
      </w:r>
      <w:r>
        <w:rPr>
          <w:spacing w:val="40"/>
        </w:rPr>
        <w:t xml:space="preserve"> </w:t>
      </w:r>
      <w:r>
        <w:t>to</w:t>
      </w:r>
      <w:r>
        <w:rPr>
          <w:spacing w:val="40"/>
        </w:rPr>
        <w:t xml:space="preserve"> </w:t>
      </w:r>
      <w:r>
        <w:t>the</w:t>
      </w:r>
      <w:r>
        <w:rPr>
          <w:spacing w:val="40"/>
        </w:rPr>
        <w:t xml:space="preserve"> </w:t>
      </w:r>
      <w:r>
        <w:rPr>
          <w:spacing w:val="-4"/>
        </w:rPr>
        <w:t>pair</w:t>
      </w:r>
    </w:p>
    <w:p w14:paraId="7E000C96" w14:textId="77777777" w:rsidR="009A58DB" w:rsidRDefault="00000000">
      <w:pPr>
        <w:pStyle w:val="BodyText"/>
        <w:spacing w:before="15" w:line="249" w:lineRule="auto"/>
        <w:ind w:right="358"/>
      </w:pPr>
      <w:r>
        <w:t>&lt;4,4&gt;, it doesn’t assign that number to that pair in the way in which a person assigns a task to an underlying. In the former case, the word “assigns” has a psychological meaning; in the latter, it has a non-psychological, purely</w:t>
      </w:r>
      <w:r>
        <w:rPr>
          <w:spacing w:val="40"/>
        </w:rPr>
        <w:t xml:space="preserve"> </w:t>
      </w:r>
      <w:r>
        <w:t>logical meaning. A related point is that the rule that assigns 8 to &lt;4,4&gt; isn’t a social rule, and it therefore isn’t something that can be obeyed or disobeyed.</w:t>
      </w:r>
    </w:p>
    <w:p w14:paraId="7E000C97" w14:textId="77777777" w:rsidR="009A58DB" w:rsidRDefault="00000000">
      <w:pPr>
        <w:pStyle w:val="BodyText"/>
        <w:spacing w:before="6" w:line="249" w:lineRule="auto"/>
        <w:ind w:right="359" w:firstLine="360"/>
        <w:rPr>
          <w:position w:val="21"/>
        </w:rPr>
      </w:pPr>
      <w:r>
        <w:t>According to the function-theoretic view, semantic rules are rules in the strictly logical sense; that is, they are mathematical functions. The semantic rule for “Socrates” is a function that assigns a certain individual (Socrates) to that word (or to occurrences thereof). The semantic rule for “snow is white”</w:t>
      </w:r>
      <w:r>
        <w:rPr>
          <w:spacing w:val="40"/>
        </w:rPr>
        <w:t xml:space="preserve"> </w:t>
      </w:r>
      <w:r>
        <w:t>is a function that assigns truth-conditions to that utterance (or to occurrences thereof). And so on.</w:t>
      </w:r>
      <w:bookmarkStart w:id="146" w:name="_bookmark146"/>
      <w:bookmarkEnd w:id="146"/>
      <w:r>
        <w:rPr>
          <w:color w:val="0562C1"/>
          <w:position w:val="21"/>
          <w:u w:val="single" w:color="0562C1"/>
        </w:rPr>
        <w:t>[80]</w:t>
      </w:r>
    </w:p>
    <w:p w14:paraId="7E000C98" w14:textId="77777777" w:rsidR="009A58DB" w:rsidRDefault="00000000">
      <w:pPr>
        <w:pStyle w:val="Heading1"/>
        <w:numPr>
          <w:ilvl w:val="2"/>
          <w:numId w:val="192"/>
        </w:numPr>
        <w:tabs>
          <w:tab w:val="left" w:pos="1305"/>
        </w:tabs>
        <w:spacing w:before="196"/>
      </w:pPr>
      <w:r>
        <w:t>Why</w:t>
      </w:r>
      <w:r>
        <w:rPr>
          <w:spacing w:val="-5"/>
        </w:rPr>
        <w:t xml:space="preserve"> </w:t>
      </w:r>
      <w:r>
        <w:t>semantic</w:t>
      </w:r>
      <w:r>
        <w:rPr>
          <w:spacing w:val="-4"/>
        </w:rPr>
        <w:t xml:space="preserve"> </w:t>
      </w:r>
      <w:r>
        <w:t>rules</w:t>
      </w:r>
      <w:r>
        <w:rPr>
          <w:spacing w:val="-3"/>
        </w:rPr>
        <w:t xml:space="preserve"> </w:t>
      </w:r>
      <w:r>
        <w:t>are</w:t>
      </w:r>
      <w:r>
        <w:rPr>
          <w:spacing w:val="-4"/>
        </w:rPr>
        <w:t xml:space="preserve"> </w:t>
      </w:r>
      <w:r>
        <w:t>not</w:t>
      </w:r>
      <w:r>
        <w:rPr>
          <w:spacing w:val="-3"/>
        </w:rPr>
        <w:t xml:space="preserve"> </w:t>
      </w:r>
      <w:r>
        <w:rPr>
          <w:spacing w:val="-2"/>
        </w:rPr>
        <w:t>functions</w:t>
      </w:r>
    </w:p>
    <w:p w14:paraId="7E000C99" w14:textId="77777777" w:rsidR="009A58DB" w:rsidRDefault="00000000">
      <w:pPr>
        <w:pStyle w:val="BodyText"/>
        <w:spacing w:before="139" w:line="249" w:lineRule="auto"/>
        <w:ind w:right="361"/>
      </w:pPr>
      <w:r>
        <w:t xml:space="preserve">The just-described view is false. The rule denoted by “+” has always existed and always will. Of course, the </w:t>
      </w:r>
      <w:r>
        <w:rPr>
          <w:i/>
        </w:rPr>
        <w:t xml:space="preserve">expression </w:t>
      </w:r>
      <w:r>
        <w:t>“+” hasn’t always existed. But that’s</w:t>
      </w:r>
      <w:r>
        <w:rPr>
          <w:spacing w:val="-2"/>
        </w:rPr>
        <w:t xml:space="preserve"> </w:t>
      </w:r>
      <w:r>
        <w:t>irrelevant,</w:t>
      </w:r>
      <w:r>
        <w:rPr>
          <w:spacing w:val="-2"/>
        </w:rPr>
        <w:t xml:space="preserve"> </w:t>
      </w:r>
      <w:r>
        <w:t>since</w:t>
      </w:r>
      <w:r>
        <w:rPr>
          <w:spacing w:val="-2"/>
        </w:rPr>
        <w:t xml:space="preserve"> </w:t>
      </w:r>
      <w:r>
        <w:t>things</w:t>
      </w:r>
      <w:r>
        <w:rPr>
          <w:spacing w:val="-2"/>
        </w:rPr>
        <w:t xml:space="preserve"> </w:t>
      </w:r>
      <w:r>
        <w:t>pre-exist</w:t>
      </w:r>
      <w:r>
        <w:rPr>
          <w:spacing w:val="-2"/>
        </w:rPr>
        <w:t xml:space="preserve"> </w:t>
      </w:r>
      <w:r>
        <w:t>the</w:t>
      </w:r>
      <w:r>
        <w:rPr>
          <w:spacing w:val="-2"/>
        </w:rPr>
        <w:t xml:space="preserve"> </w:t>
      </w:r>
      <w:r>
        <w:t>expressions</w:t>
      </w:r>
      <w:r>
        <w:rPr>
          <w:spacing w:val="-2"/>
        </w:rPr>
        <w:t xml:space="preserve"> </w:t>
      </w:r>
      <w:r>
        <w:t>we</w:t>
      </w:r>
      <w:r>
        <w:rPr>
          <w:spacing w:val="-2"/>
        </w:rPr>
        <w:t xml:space="preserve"> </w:t>
      </w:r>
      <w:r>
        <w:t>use</w:t>
      </w:r>
      <w:r>
        <w:rPr>
          <w:spacing w:val="-2"/>
        </w:rPr>
        <w:t xml:space="preserve"> </w:t>
      </w:r>
      <w:r>
        <w:t>to</w:t>
      </w:r>
      <w:r>
        <w:rPr>
          <w:spacing w:val="-2"/>
        </w:rPr>
        <w:t xml:space="preserve"> </w:t>
      </w:r>
      <w:r>
        <w:t>denote</w:t>
      </w:r>
      <w:r>
        <w:rPr>
          <w:spacing w:val="-2"/>
        </w:rPr>
        <w:t xml:space="preserve"> </w:t>
      </w:r>
      <w:r>
        <w:t>them. “Socrates” is an Anglicization of the name with which Socrates referred to him. Since Socrates lived well before the English language came into existence, “Socrates” (the name, not the person) didn’t come into existence until well after its referent went out of it.</w:t>
      </w:r>
    </w:p>
    <w:p w14:paraId="7E000C9A" w14:textId="77777777" w:rsidR="009A58DB" w:rsidRDefault="00000000">
      <w:pPr>
        <w:pStyle w:val="BodyText"/>
        <w:spacing w:before="8" w:line="249" w:lineRule="auto"/>
        <w:ind w:right="358" w:firstLine="360"/>
      </w:pPr>
      <w:r>
        <w:t xml:space="preserve">The semantic rule that assigns Socrates to ink deposits having certain shapes would exist even if the English language had never come into existence. Like the rule denoted by “+”, that rule has always existed, and always will. So has the rule that assigns Abraham Lincoln to such ink deposits. The mathematical function that assigns the proposition </w:t>
      </w:r>
      <w:r>
        <w:rPr>
          <w:i/>
        </w:rPr>
        <w:t xml:space="preserve">snow is white </w:t>
      </w:r>
      <w:r>
        <w:t xml:space="preserve">to ink deposits like the italicized one has always existed, as has the mathematical function that assigns the proposition </w:t>
      </w:r>
      <w:r>
        <w:rPr>
          <w:i/>
        </w:rPr>
        <w:t xml:space="preserve">all horses weigh 18,000 lbs </w:t>
      </w:r>
      <w:r>
        <w:t>to those same ink deposits.</w:t>
      </w:r>
    </w:p>
    <w:p w14:paraId="7E000C9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9C" w14:textId="77777777" w:rsidR="009A58DB" w:rsidRDefault="00000000">
      <w:pPr>
        <w:pStyle w:val="BodyText"/>
        <w:spacing w:before="65" w:line="249" w:lineRule="auto"/>
        <w:ind w:right="362" w:firstLine="360"/>
      </w:pPr>
      <w:r>
        <w:lastRenderedPageBreak/>
        <w:t xml:space="preserve">But the English language hasn’t always existed. Since the English language </w:t>
      </w:r>
      <w:r>
        <w:rPr>
          <w:i/>
        </w:rPr>
        <w:t xml:space="preserve">is </w:t>
      </w:r>
      <w:r>
        <w:t>a set of semantic rules, those semantic rules haven’t always existed. Therefore, they haven’t always existed. They came into existence quite recently. Therefore, those rules aren’t mathematical functions.</w:t>
      </w:r>
    </w:p>
    <w:p w14:paraId="7E000C9D" w14:textId="77777777" w:rsidR="009A58DB" w:rsidRDefault="00000000">
      <w:pPr>
        <w:pStyle w:val="BodyText"/>
        <w:spacing w:before="5" w:line="249" w:lineRule="auto"/>
        <w:ind w:right="359" w:firstLine="360"/>
      </w:pPr>
      <w:r>
        <w:t xml:space="preserve">Also, if the semantic rules of English </w:t>
      </w:r>
      <w:r>
        <w:rPr>
          <w:i/>
        </w:rPr>
        <w:t xml:space="preserve">were </w:t>
      </w:r>
      <w:r>
        <w:t xml:space="preserve">such functions, there would exist a language in which “Socrates” referred to Lincoln and in which “snow is white” meant </w:t>
      </w:r>
      <w:r>
        <w:rPr>
          <w:i/>
        </w:rPr>
        <w:t xml:space="preserve">all horses weigh 18,000 lbs, </w:t>
      </w:r>
      <w:r>
        <w:t>the reason being that the corresponding mathematical functions exist. But there is no such language.</w:t>
      </w:r>
      <w:r>
        <w:rPr>
          <w:spacing w:val="40"/>
        </w:rPr>
        <w:t xml:space="preserve"> </w:t>
      </w:r>
      <w:r>
        <w:t xml:space="preserve">Of course, there </w:t>
      </w:r>
      <w:r>
        <w:rPr>
          <w:i/>
        </w:rPr>
        <w:t xml:space="preserve">could </w:t>
      </w:r>
      <w:r>
        <w:t>be such a language. And maybe there will be; maybe somebody will invent a code in which those things have those meanings. But right now they don’t. Such a language is merely possible and, therefore, doesn’t exist. Thus, semantic rules are not rules in the mathematical sense.</w:t>
      </w:r>
    </w:p>
    <w:p w14:paraId="7E000C9E" w14:textId="77777777" w:rsidR="009A58DB" w:rsidRDefault="00000000">
      <w:pPr>
        <w:pStyle w:val="Heading1"/>
        <w:numPr>
          <w:ilvl w:val="2"/>
          <w:numId w:val="192"/>
        </w:numPr>
        <w:tabs>
          <w:tab w:val="left" w:pos="1305"/>
        </w:tabs>
        <w:spacing w:before="197"/>
      </w:pPr>
      <w:r>
        <w:t>The</w:t>
      </w:r>
      <w:r>
        <w:rPr>
          <w:spacing w:val="-5"/>
        </w:rPr>
        <w:t xml:space="preserve"> </w:t>
      </w:r>
      <w:r>
        <w:t>Gricean</w:t>
      </w:r>
      <w:r>
        <w:rPr>
          <w:spacing w:val="-4"/>
        </w:rPr>
        <w:t xml:space="preserve"> </w:t>
      </w:r>
      <w:r>
        <w:rPr>
          <w:spacing w:val="-2"/>
        </w:rPr>
        <w:t>approach</w:t>
      </w:r>
    </w:p>
    <w:p w14:paraId="7E000C9F" w14:textId="77777777" w:rsidR="009A58DB" w:rsidRDefault="00000000">
      <w:pPr>
        <w:pStyle w:val="BodyText"/>
        <w:spacing w:before="139" w:line="249" w:lineRule="auto"/>
        <w:ind w:right="360"/>
      </w:pPr>
      <w:r>
        <w:t>Understandably, many philosophers of language believe that semantic rules must be understood in psychological, not mathematical, terms. There are different versions of this view. I accept one version of it. But the version I accept bears little resemblance to the versions of it that are usually held, each of which is some variant of the view held by H.P. Grice.</w:t>
      </w:r>
    </w:p>
    <w:p w14:paraId="7E000CA0" w14:textId="77777777" w:rsidR="009A58DB" w:rsidRDefault="00000000">
      <w:pPr>
        <w:pStyle w:val="BodyText"/>
        <w:spacing w:before="7" w:line="249" w:lineRule="auto"/>
        <w:ind w:right="365" w:firstLine="360"/>
      </w:pPr>
      <w:r>
        <w:t>According to Grice (1957), for expression E to have literal meaning M is for</w:t>
      </w:r>
      <w:r>
        <w:rPr>
          <w:spacing w:val="-2"/>
        </w:rPr>
        <w:t xml:space="preserve"> </w:t>
      </w:r>
      <w:r>
        <w:t>it</w:t>
      </w:r>
      <w:r>
        <w:rPr>
          <w:spacing w:val="-2"/>
        </w:rPr>
        <w:t xml:space="preserve"> </w:t>
      </w:r>
      <w:r>
        <w:t>to</w:t>
      </w:r>
      <w:r>
        <w:rPr>
          <w:spacing w:val="-2"/>
        </w:rPr>
        <w:t xml:space="preserve"> </w:t>
      </w:r>
      <w:r>
        <w:t>be</w:t>
      </w:r>
      <w:r>
        <w:rPr>
          <w:spacing w:val="-2"/>
        </w:rPr>
        <w:t xml:space="preserve"> </w:t>
      </w:r>
      <w:r>
        <w:t>the</w:t>
      </w:r>
      <w:r>
        <w:rPr>
          <w:spacing w:val="-2"/>
        </w:rPr>
        <w:t xml:space="preserve"> </w:t>
      </w:r>
      <w:r>
        <w:t>case</w:t>
      </w:r>
      <w:r>
        <w:rPr>
          <w:spacing w:val="-2"/>
        </w:rPr>
        <w:t xml:space="preserve"> </w:t>
      </w:r>
      <w:r>
        <w:t>that,</w:t>
      </w:r>
      <w:r>
        <w:rPr>
          <w:spacing w:val="-2"/>
        </w:rPr>
        <w:t xml:space="preserve"> </w:t>
      </w:r>
      <w:r>
        <w:t>when</w:t>
      </w:r>
      <w:r>
        <w:rPr>
          <w:spacing w:val="-2"/>
        </w:rPr>
        <w:t xml:space="preserve"> </w:t>
      </w:r>
      <w:r>
        <w:t>they</w:t>
      </w:r>
      <w:r>
        <w:rPr>
          <w:spacing w:val="-2"/>
        </w:rPr>
        <w:t xml:space="preserve"> </w:t>
      </w:r>
      <w:r>
        <w:t>utter</w:t>
      </w:r>
      <w:r>
        <w:rPr>
          <w:spacing w:val="-2"/>
        </w:rPr>
        <w:t xml:space="preserve"> </w:t>
      </w:r>
      <w:r>
        <w:t>E,</w:t>
      </w:r>
      <w:r>
        <w:rPr>
          <w:spacing w:val="-2"/>
        </w:rPr>
        <w:t xml:space="preserve"> </w:t>
      </w:r>
      <w:r>
        <w:t>M</w:t>
      </w:r>
      <w:r>
        <w:rPr>
          <w:spacing w:val="-2"/>
        </w:rPr>
        <w:t xml:space="preserve"> </w:t>
      </w:r>
      <w:r>
        <w:t>is</w:t>
      </w:r>
      <w:r>
        <w:rPr>
          <w:spacing w:val="-2"/>
        </w:rPr>
        <w:t xml:space="preserve"> </w:t>
      </w:r>
      <w:r>
        <w:t>what</w:t>
      </w:r>
      <w:r>
        <w:rPr>
          <w:spacing w:val="-2"/>
        </w:rPr>
        <w:t xml:space="preserve"> </w:t>
      </w:r>
      <w:r>
        <w:t>they</w:t>
      </w:r>
      <w:r>
        <w:rPr>
          <w:spacing w:val="-2"/>
        </w:rPr>
        <w:t xml:space="preserve"> </w:t>
      </w:r>
      <w:r>
        <w:t>mean.</w:t>
      </w:r>
      <w:r>
        <w:rPr>
          <w:spacing w:val="-2"/>
        </w:rPr>
        <w:t xml:space="preserve"> </w:t>
      </w:r>
      <w:r>
        <w:t>So</w:t>
      </w:r>
      <w:r>
        <w:rPr>
          <w:spacing w:val="-2"/>
        </w:rPr>
        <w:t xml:space="preserve"> </w:t>
      </w:r>
      <w:r>
        <w:t>“snow</w:t>
      </w:r>
      <w:r>
        <w:rPr>
          <w:spacing w:val="-2"/>
        </w:rPr>
        <w:t xml:space="preserve"> </w:t>
      </w:r>
      <w:r>
        <w:t>is white” has the proposition snow is white for its literal meaning because what people generally mean when they say “snow is white” is that snow is white. People generally mean snow is white in uttering that expression.</w:t>
      </w:r>
    </w:p>
    <w:p w14:paraId="7E000CA1" w14:textId="77777777" w:rsidR="009A58DB" w:rsidRDefault="00000000">
      <w:pPr>
        <w:pStyle w:val="BodyText"/>
        <w:spacing w:before="6" w:line="249" w:lineRule="auto"/>
        <w:ind w:right="359" w:firstLine="360"/>
      </w:pPr>
      <w:r>
        <w:t>Literal meaning is to be understood in terms of speaker’s meaning. That’s the main idea. Neo-Griceans hold that, even though literal meaning cannot in all cases be identified with speaker’s meaning, it is always, ultimately, to be understood in terms of it.</w:t>
      </w:r>
    </w:p>
    <w:p w14:paraId="7E000CA2" w14:textId="77777777" w:rsidR="009A58DB" w:rsidRDefault="00000000">
      <w:pPr>
        <w:pStyle w:val="BodyText"/>
        <w:spacing w:before="5" w:line="249" w:lineRule="auto"/>
        <w:ind w:right="360" w:firstLine="360"/>
      </w:pPr>
      <w:r>
        <w:t>Wittgenstein (1958) advocated a version of this view. “Roughly</w:t>
      </w:r>
      <w:r>
        <w:rPr>
          <w:spacing w:val="40"/>
        </w:rPr>
        <w:t xml:space="preserve"> </w:t>
      </w:r>
      <w:r>
        <w:t xml:space="preserve">speaking,” he said, “meaning is use.” Expressions mean what we use them to mean—they mean what </w:t>
      </w:r>
      <w:r>
        <w:rPr>
          <w:i/>
        </w:rPr>
        <w:t xml:space="preserve">we </w:t>
      </w:r>
      <w:r>
        <w:t>mean by them. Wittgenstein nowhere makes it clear what he means by the words “roughly speaking.”</w:t>
      </w:r>
    </w:p>
    <w:p w14:paraId="7E000CA3" w14:textId="77777777" w:rsidR="009A58DB" w:rsidRDefault="00000000">
      <w:pPr>
        <w:pStyle w:val="BodyText"/>
        <w:spacing w:before="5" w:line="249" w:lineRule="auto"/>
        <w:ind w:right="362" w:firstLine="360"/>
      </w:pPr>
      <w:r>
        <w:t>But it doesn’t matter, since his statement isn’t even roughly true. Literal meaning is isn’t identical with speaker’s meaning and isn’t to be understood in terms of it. It’s the other way around. We saw why in Section 1.3.</w:t>
      </w:r>
    </w:p>
    <w:p w14:paraId="7E000CA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A5" w14:textId="77777777" w:rsidR="009A58DB" w:rsidRDefault="00000000">
      <w:pPr>
        <w:pStyle w:val="BodyText"/>
        <w:spacing w:before="65" w:line="249" w:lineRule="auto"/>
        <w:ind w:right="358" w:firstLine="360"/>
      </w:pPr>
      <w:r>
        <w:lastRenderedPageBreak/>
        <w:t>Also, Grice’s theory fails to deal with the fact that the meaning of a subsentential</w:t>
      </w:r>
      <w:r>
        <w:rPr>
          <w:spacing w:val="-1"/>
        </w:rPr>
        <w:t xml:space="preserve"> </w:t>
      </w:r>
      <w:r>
        <w:t>expression isn’t</w:t>
      </w:r>
      <w:r>
        <w:rPr>
          <w:spacing w:val="-1"/>
        </w:rPr>
        <w:t xml:space="preserve"> </w:t>
      </w:r>
      <w:r>
        <w:t>something that</w:t>
      </w:r>
      <w:r>
        <w:rPr>
          <w:spacing w:val="-1"/>
        </w:rPr>
        <w:t xml:space="preserve"> </w:t>
      </w:r>
      <w:r>
        <w:t>could</w:t>
      </w:r>
      <w:r>
        <w:rPr>
          <w:spacing w:val="-1"/>
        </w:rPr>
        <w:t xml:space="preserve"> </w:t>
      </w:r>
      <w:r>
        <w:t xml:space="preserve">be possibly be meant. “Of ” has a meaning; so does “skip,” “snorkel,” “or,” “gladly,” etc. But whatever it is that “or” means, it cannot, at least not by itself, be what a </w:t>
      </w:r>
      <w:r>
        <w:rPr>
          <w:i/>
        </w:rPr>
        <w:t xml:space="preserve">person </w:t>
      </w:r>
      <w:r>
        <w:t>means. Obviously I can say “snorkel” and mean it—but only if I’m using it as an abbreviation for some whole sentence (e.g., “my favorite activity is to snorkel”) and, therefore, to convey something other than its literal meaning.</w:t>
      </w:r>
    </w:p>
    <w:p w14:paraId="7E000CA6" w14:textId="77777777" w:rsidR="009A58DB" w:rsidRDefault="00000000">
      <w:pPr>
        <w:pStyle w:val="Heading1"/>
        <w:numPr>
          <w:ilvl w:val="2"/>
          <w:numId w:val="192"/>
        </w:numPr>
        <w:tabs>
          <w:tab w:val="left" w:pos="1305"/>
        </w:tabs>
        <w:spacing w:before="196"/>
      </w:pPr>
      <w:r>
        <w:t>More</w:t>
      </w:r>
      <w:r>
        <w:rPr>
          <w:spacing w:val="-7"/>
        </w:rPr>
        <w:t xml:space="preserve"> </w:t>
      </w:r>
      <w:r>
        <w:t>problems</w:t>
      </w:r>
      <w:r>
        <w:rPr>
          <w:spacing w:val="-5"/>
        </w:rPr>
        <w:t xml:space="preserve"> </w:t>
      </w:r>
      <w:r>
        <w:t>with</w:t>
      </w:r>
      <w:r>
        <w:rPr>
          <w:spacing w:val="-4"/>
        </w:rPr>
        <w:t xml:space="preserve"> </w:t>
      </w:r>
      <w:r>
        <w:t>the</w:t>
      </w:r>
      <w:r>
        <w:rPr>
          <w:spacing w:val="-5"/>
        </w:rPr>
        <w:t xml:space="preserve"> </w:t>
      </w:r>
      <w:r>
        <w:t>Gricean</w:t>
      </w:r>
      <w:r>
        <w:rPr>
          <w:spacing w:val="-4"/>
        </w:rPr>
        <w:t xml:space="preserve"> </w:t>
      </w:r>
      <w:r>
        <w:rPr>
          <w:spacing w:val="-2"/>
        </w:rPr>
        <w:t>approach</w:t>
      </w:r>
    </w:p>
    <w:p w14:paraId="7E000CA7" w14:textId="77777777" w:rsidR="009A58DB" w:rsidRDefault="00000000">
      <w:pPr>
        <w:pStyle w:val="BodyText"/>
        <w:spacing w:before="139" w:line="324" w:lineRule="auto"/>
        <w:ind w:left="720" w:right="3829" w:hanging="360"/>
        <w:jc w:val="left"/>
      </w:pPr>
      <w:r>
        <w:t>If</w:t>
      </w:r>
      <w:r>
        <w:rPr>
          <w:spacing w:val="-6"/>
        </w:rPr>
        <w:t xml:space="preserve"> </w:t>
      </w:r>
      <w:r>
        <w:t>Grice</w:t>
      </w:r>
      <w:r>
        <w:rPr>
          <w:spacing w:val="-6"/>
        </w:rPr>
        <w:t xml:space="preserve"> </w:t>
      </w:r>
      <w:r>
        <w:t>were</w:t>
      </w:r>
      <w:r>
        <w:rPr>
          <w:spacing w:val="-6"/>
        </w:rPr>
        <w:t xml:space="preserve"> </w:t>
      </w:r>
      <w:r>
        <w:t>right,</w:t>
      </w:r>
      <w:r>
        <w:rPr>
          <w:spacing w:val="-5"/>
        </w:rPr>
        <w:t xml:space="preserve"> </w:t>
      </w:r>
      <w:r>
        <w:t>the</w:t>
      </w:r>
      <w:r>
        <w:rPr>
          <w:spacing w:val="-6"/>
        </w:rPr>
        <w:t xml:space="preserve"> </w:t>
      </w:r>
      <w:r>
        <w:t>meaning</w:t>
      </w:r>
      <w:r>
        <w:rPr>
          <w:spacing w:val="-5"/>
        </w:rPr>
        <w:t xml:space="preserve"> </w:t>
      </w:r>
      <w:r>
        <w:t>of</w:t>
      </w:r>
      <w:r>
        <w:rPr>
          <w:spacing w:val="-6"/>
        </w:rPr>
        <w:t xml:space="preserve"> </w:t>
      </w:r>
      <w:r>
        <w:t>the</w:t>
      </w:r>
      <w:r>
        <w:rPr>
          <w:spacing w:val="-6"/>
        </w:rPr>
        <w:t xml:space="preserve"> </w:t>
      </w:r>
      <w:r>
        <w:t>sentence: (SF) “Smith is now living in France”</w:t>
      </w:r>
    </w:p>
    <w:p w14:paraId="7E000CA8" w14:textId="77777777" w:rsidR="009A58DB" w:rsidRDefault="00000000">
      <w:pPr>
        <w:pStyle w:val="BodyText"/>
        <w:spacing w:line="344" w:lineRule="exact"/>
        <w:jc w:val="left"/>
      </w:pPr>
      <w:r>
        <w:t>would</w:t>
      </w:r>
      <w:r>
        <w:rPr>
          <w:spacing w:val="-4"/>
        </w:rPr>
        <w:t xml:space="preserve"> </w:t>
      </w:r>
      <w:r>
        <w:t>be</w:t>
      </w:r>
      <w:r>
        <w:rPr>
          <w:spacing w:val="-3"/>
        </w:rPr>
        <w:t xml:space="preserve"> </w:t>
      </w:r>
      <w:r>
        <w:t>fixed</w:t>
      </w:r>
      <w:r>
        <w:rPr>
          <w:spacing w:val="-2"/>
        </w:rPr>
        <w:t xml:space="preserve"> </w:t>
      </w:r>
      <w:r>
        <w:t>by</w:t>
      </w:r>
      <w:r>
        <w:rPr>
          <w:spacing w:val="-1"/>
        </w:rPr>
        <w:t xml:space="preserve"> </w:t>
      </w:r>
      <w:r>
        <w:t>the</w:t>
      </w:r>
      <w:r>
        <w:rPr>
          <w:spacing w:val="-3"/>
        </w:rPr>
        <w:t xml:space="preserve"> </w:t>
      </w:r>
      <w:r>
        <w:t>intentions</w:t>
      </w:r>
      <w:r>
        <w:rPr>
          <w:spacing w:val="-3"/>
        </w:rPr>
        <w:t xml:space="preserve"> </w:t>
      </w:r>
      <w:r>
        <w:t>people</w:t>
      </w:r>
      <w:r>
        <w:rPr>
          <w:spacing w:val="-2"/>
        </w:rPr>
        <w:t xml:space="preserve"> </w:t>
      </w:r>
      <w:r>
        <w:t>have</w:t>
      </w:r>
      <w:r>
        <w:rPr>
          <w:spacing w:val="-3"/>
        </w:rPr>
        <w:t xml:space="preserve"> </w:t>
      </w:r>
      <w:r>
        <w:t>in</w:t>
      </w:r>
      <w:r>
        <w:rPr>
          <w:spacing w:val="-2"/>
        </w:rPr>
        <w:t xml:space="preserve"> </w:t>
      </w:r>
      <w:r>
        <w:t>using</w:t>
      </w:r>
      <w:r>
        <w:rPr>
          <w:spacing w:val="-1"/>
        </w:rPr>
        <w:t xml:space="preserve"> </w:t>
      </w:r>
      <w:r>
        <w:rPr>
          <w:spacing w:val="-5"/>
        </w:rPr>
        <w:t>it.</w:t>
      </w:r>
    </w:p>
    <w:p w14:paraId="7E000CA9" w14:textId="77777777" w:rsidR="009A58DB" w:rsidRDefault="00000000">
      <w:pPr>
        <w:pStyle w:val="BodyText"/>
        <w:spacing w:before="15" w:line="249" w:lineRule="auto"/>
        <w:ind w:right="358" w:firstLine="360"/>
      </w:pPr>
      <w:r>
        <w:t xml:space="preserve">But its meaning is </w:t>
      </w:r>
      <w:r>
        <w:rPr>
          <w:i/>
        </w:rPr>
        <w:t xml:space="preserve">not </w:t>
      </w:r>
      <w:r>
        <w:t>fixed by those intentions. It is fixed by the</w:t>
      </w:r>
      <w:r>
        <w:rPr>
          <w:spacing w:val="40"/>
        </w:rPr>
        <w:t xml:space="preserve"> </w:t>
      </w:r>
      <w:r>
        <w:t>meanings of its parts (“Smith,” “France,” etc.), together with the way those expressions are ordered in that sentence. The semantic and syntactic rules of English</w:t>
      </w:r>
      <w:r>
        <w:rPr>
          <w:spacing w:val="-2"/>
        </w:rPr>
        <w:t xml:space="preserve"> </w:t>
      </w:r>
      <w:r>
        <w:t>being</w:t>
      </w:r>
      <w:r>
        <w:rPr>
          <w:spacing w:val="-1"/>
        </w:rPr>
        <w:t xml:space="preserve"> </w:t>
      </w:r>
      <w:r>
        <w:t>what</w:t>
      </w:r>
      <w:r>
        <w:rPr>
          <w:spacing w:val="-2"/>
        </w:rPr>
        <w:t xml:space="preserve"> </w:t>
      </w:r>
      <w:r>
        <w:t>they</w:t>
      </w:r>
      <w:r>
        <w:rPr>
          <w:spacing w:val="-1"/>
        </w:rPr>
        <w:t xml:space="preserve"> </w:t>
      </w:r>
      <w:r>
        <w:t>are,</w:t>
      </w:r>
      <w:r>
        <w:rPr>
          <w:spacing w:val="-2"/>
        </w:rPr>
        <w:t xml:space="preserve"> </w:t>
      </w:r>
      <w:r>
        <w:t>SF</w:t>
      </w:r>
      <w:r>
        <w:rPr>
          <w:spacing w:val="-2"/>
        </w:rPr>
        <w:t xml:space="preserve"> </w:t>
      </w:r>
      <w:r>
        <w:t>would</w:t>
      </w:r>
      <w:r>
        <w:rPr>
          <w:spacing w:val="-1"/>
        </w:rPr>
        <w:t xml:space="preserve"> </w:t>
      </w:r>
      <w:r>
        <w:t>have</w:t>
      </w:r>
      <w:r>
        <w:rPr>
          <w:spacing w:val="-2"/>
        </w:rPr>
        <w:t xml:space="preserve"> </w:t>
      </w:r>
      <w:r>
        <w:t>its</w:t>
      </w:r>
      <w:r>
        <w:rPr>
          <w:spacing w:val="-1"/>
        </w:rPr>
        <w:t xml:space="preserve"> </w:t>
      </w:r>
      <w:r>
        <w:t>current</w:t>
      </w:r>
      <w:r>
        <w:rPr>
          <w:spacing w:val="-2"/>
        </w:rPr>
        <w:t xml:space="preserve"> </w:t>
      </w:r>
      <w:r>
        <w:t>meaning</w:t>
      </w:r>
      <w:r>
        <w:rPr>
          <w:spacing w:val="-1"/>
        </w:rPr>
        <w:t xml:space="preserve"> </w:t>
      </w:r>
      <w:r>
        <w:t>even</w:t>
      </w:r>
      <w:r>
        <w:rPr>
          <w:spacing w:val="-2"/>
        </w:rPr>
        <w:t xml:space="preserve"> </w:t>
      </w:r>
      <w:r>
        <w:t>if</w:t>
      </w:r>
      <w:r>
        <w:rPr>
          <w:spacing w:val="-1"/>
        </w:rPr>
        <w:t xml:space="preserve"> </w:t>
      </w:r>
      <w:r>
        <w:t>it</w:t>
      </w:r>
      <w:r>
        <w:rPr>
          <w:spacing w:val="-1"/>
        </w:rPr>
        <w:t xml:space="preserve"> </w:t>
      </w:r>
      <w:r>
        <w:t>had never</w:t>
      </w:r>
      <w:r>
        <w:rPr>
          <w:spacing w:val="-3"/>
        </w:rPr>
        <w:t xml:space="preserve"> </w:t>
      </w:r>
      <w:r>
        <w:t>been</w:t>
      </w:r>
      <w:r>
        <w:rPr>
          <w:spacing w:val="-3"/>
        </w:rPr>
        <w:t xml:space="preserve"> </w:t>
      </w:r>
      <w:r>
        <w:t>used.</w:t>
      </w:r>
      <w:r>
        <w:rPr>
          <w:spacing w:val="-3"/>
        </w:rPr>
        <w:t xml:space="preserve"> </w:t>
      </w:r>
      <w:r>
        <w:t>So</w:t>
      </w:r>
      <w:r>
        <w:rPr>
          <w:spacing w:val="-3"/>
        </w:rPr>
        <w:t xml:space="preserve"> </w:t>
      </w:r>
      <w:r>
        <w:t>whatever</w:t>
      </w:r>
      <w:r>
        <w:rPr>
          <w:spacing w:val="-3"/>
        </w:rPr>
        <w:t xml:space="preserve"> </w:t>
      </w:r>
      <w:r>
        <w:t>the</w:t>
      </w:r>
      <w:r>
        <w:rPr>
          <w:spacing w:val="-3"/>
        </w:rPr>
        <w:t xml:space="preserve"> </w:t>
      </w:r>
      <w:r>
        <w:t>intentions</w:t>
      </w:r>
      <w:r>
        <w:rPr>
          <w:spacing w:val="-3"/>
        </w:rPr>
        <w:t xml:space="preserve"> </w:t>
      </w:r>
      <w:r>
        <w:t>of</w:t>
      </w:r>
      <w:r>
        <w:rPr>
          <w:spacing w:val="-3"/>
        </w:rPr>
        <w:t xml:space="preserve"> </w:t>
      </w:r>
      <w:r>
        <w:t>people</w:t>
      </w:r>
      <w:r>
        <w:rPr>
          <w:spacing w:val="-3"/>
        </w:rPr>
        <w:t xml:space="preserve"> </w:t>
      </w:r>
      <w:r>
        <w:t>using</w:t>
      </w:r>
      <w:r>
        <w:rPr>
          <w:spacing w:val="-3"/>
        </w:rPr>
        <w:t xml:space="preserve"> </w:t>
      </w:r>
      <w:r>
        <w:t>that</w:t>
      </w:r>
      <w:r>
        <w:rPr>
          <w:spacing w:val="-3"/>
        </w:rPr>
        <w:t xml:space="preserve"> </w:t>
      </w:r>
      <w:r>
        <w:t>sentence</w:t>
      </w:r>
      <w:r>
        <w:rPr>
          <w:spacing w:val="-3"/>
        </w:rPr>
        <w:t xml:space="preserve"> </w:t>
      </w:r>
      <w:r>
        <w:t>are, those intentions do nothing in the way of assigning it that meaning. In general, Grice’s view is inherently incapable of accommodating the fact meaning is compositional.</w:t>
      </w:r>
    </w:p>
    <w:p w14:paraId="7E000CAA" w14:textId="77777777" w:rsidR="009A58DB" w:rsidRDefault="00000000">
      <w:pPr>
        <w:pStyle w:val="Heading1"/>
        <w:numPr>
          <w:ilvl w:val="2"/>
          <w:numId w:val="192"/>
        </w:numPr>
        <w:tabs>
          <w:tab w:val="left" w:pos="1308"/>
        </w:tabs>
        <w:spacing w:before="198" w:line="244" w:lineRule="auto"/>
        <w:ind w:left="360" w:right="359" w:firstLine="0"/>
      </w:pPr>
      <w:r>
        <w:t>How</w:t>
      </w:r>
      <w:r>
        <w:rPr>
          <w:spacing w:val="-3"/>
        </w:rPr>
        <w:t xml:space="preserve"> </w:t>
      </w:r>
      <w:r>
        <w:t>some</w:t>
      </w:r>
      <w:r>
        <w:rPr>
          <w:spacing w:val="-3"/>
        </w:rPr>
        <w:t xml:space="preserve"> </w:t>
      </w:r>
      <w:r>
        <w:t>Griceans</w:t>
      </w:r>
      <w:r>
        <w:rPr>
          <w:spacing w:val="-3"/>
        </w:rPr>
        <w:t xml:space="preserve"> </w:t>
      </w:r>
      <w:r>
        <w:t>deal</w:t>
      </w:r>
      <w:r>
        <w:rPr>
          <w:spacing w:val="-3"/>
        </w:rPr>
        <w:t xml:space="preserve"> </w:t>
      </w:r>
      <w:r>
        <w:t>with</w:t>
      </w:r>
      <w:r>
        <w:rPr>
          <w:spacing w:val="-3"/>
        </w:rPr>
        <w:t xml:space="preserve"> </w:t>
      </w:r>
      <w:r>
        <w:t>the</w:t>
      </w:r>
      <w:r>
        <w:rPr>
          <w:spacing w:val="-3"/>
        </w:rPr>
        <w:t xml:space="preserve"> </w:t>
      </w:r>
      <w:r>
        <w:t>problem</w:t>
      </w:r>
      <w:r>
        <w:rPr>
          <w:spacing w:val="-3"/>
        </w:rPr>
        <w:t xml:space="preserve"> </w:t>
      </w:r>
      <w:r>
        <w:t xml:space="preserve">just </w:t>
      </w:r>
      <w:r>
        <w:rPr>
          <w:spacing w:val="-2"/>
        </w:rPr>
        <w:t>described</w:t>
      </w:r>
    </w:p>
    <w:p w14:paraId="7E000CAB" w14:textId="77777777" w:rsidR="009A58DB" w:rsidRDefault="00000000">
      <w:pPr>
        <w:pStyle w:val="BodyText"/>
        <w:spacing w:before="132" w:line="249" w:lineRule="auto"/>
        <w:ind w:right="366"/>
        <w:rPr>
          <w:position w:val="21"/>
        </w:rPr>
      </w:pPr>
      <w:r>
        <w:t xml:space="preserve">Some Griceans respond by saying that, although speaker-meaning doesn’t </w:t>
      </w:r>
      <w:r>
        <w:rPr>
          <w:i/>
        </w:rPr>
        <w:t xml:space="preserve">directly </w:t>
      </w:r>
      <w:r>
        <w:t>fix sentence-meaning, it does so indirectly. In their view, it is</w:t>
      </w:r>
      <w:r>
        <w:rPr>
          <w:spacing w:val="40"/>
        </w:rPr>
        <w:t xml:space="preserve"> </w:t>
      </w:r>
      <w:r>
        <w:t>because of what we mean by sentences of the form ‹....France...› that such sentences are to the effect that...</w:t>
      </w:r>
      <w:r>
        <w:rPr>
          <w:i/>
        </w:rPr>
        <w:t>France</w:t>
      </w:r>
      <w:r>
        <w:t>...and not to the effect that, for example,...</w:t>
      </w:r>
      <w:r>
        <w:rPr>
          <w:i/>
        </w:rPr>
        <w:t>Germany</w:t>
      </w:r>
      <w:bookmarkStart w:id="147" w:name="_bookmark147"/>
      <w:bookmarkEnd w:id="147"/>
      <w:r>
        <w:rPr>
          <w:spacing w:val="40"/>
        </w:rPr>
        <w:t xml:space="preserve">  </w:t>
      </w:r>
      <w:r>
        <w:rPr>
          <w:color w:val="0562C1"/>
          <w:position w:val="21"/>
          <w:u w:val="single" w:color="0562C1"/>
        </w:rPr>
        <w:t>[81]</w:t>
      </w:r>
    </w:p>
    <w:p w14:paraId="7E000CAC" w14:textId="77777777" w:rsidR="009A58DB" w:rsidRDefault="00000000">
      <w:pPr>
        <w:pStyle w:val="BodyText"/>
        <w:spacing w:before="6" w:line="249" w:lineRule="auto"/>
        <w:ind w:right="358" w:firstLine="360"/>
      </w:pPr>
      <w:r>
        <w:t xml:space="preserve">In addition to being an abandonment of Grice’s core idea, this move is a failure. Let P be the proposition meant by SF. So far as people utter SF with the intention of affirming P, it’s because they believe (correctly, as it happens) that each of the expressions composing it already has a certain </w:t>
      </w:r>
      <w:r>
        <w:rPr>
          <w:spacing w:val="-2"/>
        </w:rPr>
        <w:t>meaning.</w:t>
      </w:r>
    </w:p>
    <w:p w14:paraId="7E000CA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AE" w14:textId="77777777" w:rsidR="009A58DB" w:rsidRDefault="00000000">
      <w:pPr>
        <w:pStyle w:val="BodyText"/>
        <w:spacing w:before="65" w:line="249" w:lineRule="auto"/>
        <w:ind w:right="359" w:firstLine="360"/>
      </w:pPr>
      <w:r>
        <w:lastRenderedPageBreak/>
        <w:t xml:space="preserve">It’s irrelevant that how we use sentences of the form ‹...France...› </w:t>
      </w:r>
      <w:r>
        <w:rPr>
          <w:i/>
        </w:rPr>
        <w:t xml:space="preserve">causally </w:t>
      </w:r>
      <w:r>
        <w:t xml:space="preserve">determines what “France” means. There are many ways to </w:t>
      </w:r>
      <w:r>
        <w:rPr>
          <w:i/>
        </w:rPr>
        <w:t xml:space="preserve">cause </w:t>
      </w:r>
      <w:r>
        <w:t xml:space="preserve">meaning-shifts—many ways to </w:t>
      </w:r>
      <w:r>
        <w:rPr>
          <w:i/>
        </w:rPr>
        <w:t xml:space="preserve">get </w:t>
      </w:r>
      <w:r>
        <w:t xml:space="preserve">a given expression to have a certain meaning. But the question we’re asking isn’t “how did ‘France’ </w:t>
      </w:r>
      <w:r>
        <w:rPr>
          <w:i/>
        </w:rPr>
        <w:t xml:space="preserve">acquire </w:t>
      </w:r>
      <w:r>
        <w:t xml:space="preserve">its current meaning?”, and is instead “whatever it is that ‘France’ means, what </w:t>
      </w:r>
      <w:r>
        <w:rPr>
          <w:i/>
        </w:rPr>
        <w:t>is</w:t>
      </w:r>
      <w:r>
        <w:rPr>
          <w:i/>
          <w:spacing w:val="-2"/>
        </w:rPr>
        <w:t xml:space="preserve"> </w:t>
      </w:r>
      <w:r>
        <w:t>it for it to have that meaning?” And it’s no answer to this question to say that it may have acquired that meaning because of what, at some point in time, people meant by sentences of the form ‹...France...›.</w:t>
      </w:r>
    </w:p>
    <w:p w14:paraId="7E000CAF" w14:textId="77777777" w:rsidR="009A58DB" w:rsidRDefault="00000000">
      <w:pPr>
        <w:pStyle w:val="Heading1"/>
        <w:numPr>
          <w:ilvl w:val="2"/>
          <w:numId w:val="192"/>
        </w:numPr>
        <w:tabs>
          <w:tab w:val="left" w:pos="1110"/>
          <w:tab w:val="left" w:pos="1429"/>
        </w:tabs>
        <w:spacing w:before="197" w:line="244" w:lineRule="auto"/>
        <w:ind w:left="1110" w:right="364" w:hanging="720"/>
      </w:pPr>
      <w:r>
        <w:t>Why</w:t>
      </w:r>
      <w:r>
        <w:rPr>
          <w:spacing w:val="40"/>
        </w:rPr>
        <w:t xml:space="preserve"> </w:t>
      </w:r>
      <w:r>
        <w:t>Grice’s</w:t>
      </w:r>
      <w:r>
        <w:rPr>
          <w:spacing w:val="40"/>
        </w:rPr>
        <w:t xml:space="preserve"> </w:t>
      </w:r>
      <w:r>
        <w:t>theory</w:t>
      </w:r>
      <w:r>
        <w:rPr>
          <w:spacing w:val="40"/>
        </w:rPr>
        <w:t xml:space="preserve"> </w:t>
      </w:r>
      <w:r>
        <w:t>is</w:t>
      </w:r>
      <w:r>
        <w:rPr>
          <w:spacing w:val="40"/>
        </w:rPr>
        <w:t xml:space="preserve"> </w:t>
      </w:r>
      <w:r>
        <w:t>inconsistent</w:t>
      </w:r>
      <w:r>
        <w:rPr>
          <w:spacing w:val="40"/>
        </w:rPr>
        <w:t xml:space="preserve"> </w:t>
      </w:r>
      <w:r>
        <w:t>with</w:t>
      </w:r>
      <w:r>
        <w:rPr>
          <w:spacing w:val="40"/>
        </w:rPr>
        <w:t xml:space="preserve"> </w:t>
      </w:r>
      <w:r>
        <w:t>the</w:t>
      </w:r>
      <w:r>
        <w:rPr>
          <w:spacing w:val="40"/>
        </w:rPr>
        <w:t xml:space="preserve"> </w:t>
      </w:r>
      <w:r>
        <w:t>normative nature of semantic rules</w:t>
      </w:r>
    </w:p>
    <w:p w14:paraId="7E000CB0" w14:textId="77777777" w:rsidR="009A58DB" w:rsidRDefault="00000000">
      <w:pPr>
        <w:pStyle w:val="BodyText"/>
        <w:spacing w:before="132" w:line="249" w:lineRule="auto"/>
        <w:ind w:right="359"/>
      </w:pPr>
      <w:r>
        <w:t>A billiard ball isn’t right to move after being struck; it just does. The relevant scientific laws merely register that fact; they aren’t normative—that is, they don’t</w:t>
      </w:r>
      <w:r>
        <w:rPr>
          <w:spacing w:val="-3"/>
        </w:rPr>
        <w:t xml:space="preserve"> </w:t>
      </w:r>
      <w:r>
        <w:t>characterize</w:t>
      </w:r>
      <w:r>
        <w:rPr>
          <w:spacing w:val="-3"/>
        </w:rPr>
        <w:t xml:space="preserve"> </w:t>
      </w:r>
      <w:r>
        <w:t>it</w:t>
      </w:r>
      <w:r>
        <w:rPr>
          <w:spacing w:val="-3"/>
        </w:rPr>
        <w:t xml:space="preserve"> </w:t>
      </w:r>
      <w:r>
        <w:t>as</w:t>
      </w:r>
      <w:r>
        <w:rPr>
          <w:spacing w:val="-3"/>
        </w:rPr>
        <w:t xml:space="preserve"> </w:t>
      </w:r>
      <w:r>
        <w:t>good</w:t>
      </w:r>
      <w:r>
        <w:rPr>
          <w:spacing w:val="-3"/>
        </w:rPr>
        <w:t xml:space="preserve"> </w:t>
      </w:r>
      <w:r>
        <w:t>or</w:t>
      </w:r>
      <w:r>
        <w:rPr>
          <w:spacing w:val="-3"/>
        </w:rPr>
        <w:t xml:space="preserve"> </w:t>
      </w:r>
      <w:r>
        <w:t>bad.</w:t>
      </w:r>
      <w:r>
        <w:rPr>
          <w:spacing w:val="-3"/>
        </w:rPr>
        <w:t xml:space="preserve"> </w:t>
      </w:r>
      <w:r>
        <w:t>Unlike</w:t>
      </w:r>
      <w:r>
        <w:rPr>
          <w:spacing w:val="-3"/>
        </w:rPr>
        <w:t xml:space="preserve"> </w:t>
      </w:r>
      <w:r>
        <w:t>scientific</w:t>
      </w:r>
      <w:r>
        <w:rPr>
          <w:spacing w:val="-3"/>
        </w:rPr>
        <w:t xml:space="preserve"> </w:t>
      </w:r>
      <w:r>
        <w:t>laws,</w:t>
      </w:r>
      <w:r>
        <w:rPr>
          <w:spacing w:val="-3"/>
        </w:rPr>
        <w:t xml:space="preserve"> </w:t>
      </w:r>
      <w:r>
        <w:t>semantic</w:t>
      </w:r>
      <w:r>
        <w:rPr>
          <w:spacing w:val="-3"/>
        </w:rPr>
        <w:t xml:space="preserve"> </w:t>
      </w:r>
      <w:r>
        <w:t>rules</w:t>
      </w:r>
      <w:r>
        <w:rPr>
          <w:spacing w:val="-3"/>
        </w:rPr>
        <w:t xml:space="preserve"> </w:t>
      </w:r>
      <w:r>
        <w:rPr>
          <w:i/>
        </w:rPr>
        <w:t xml:space="preserve">are </w:t>
      </w:r>
      <w:r>
        <w:t xml:space="preserve">normative. If, intending to affirm that Smith is female, you say “Smith is male,” you’ve done something wrong. If Grice is right, literal meaning is speaker’s meaning. This means that, if Grice were right, speaker’s meaning wouldn’t be accountable to existing semantic rules. Since it is, Grice is </w:t>
      </w:r>
      <w:r>
        <w:rPr>
          <w:spacing w:val="-2"/>
        </w:rPr>
        <w:t>wrong.</w:t>
      </w:r>
    </w:p>
    <w:p w14:paraId="7E000CB1" w14:textId="77777777" w:rsidR="009A58DB" w:rsidRDefault="00000000">
      <w:pPr>
        <w:pStyle w:val="Heading1"/>
        <w:numPr>
          <w:ilvl w:val="1"/>
          <w:numId w:val="192"/>
        </w:numPr>
        <w:tabs>
          <w:tab w:val="left" w:pos="990"/>
        </w:tabs>
        <w:spacing w:before="213"/>
      </w:pPr>
      <w:r>
        <w:t>The</w:t>
      </w:r>
      <w:r>
        <w:rPr>
          <w:spacing w:val="-5"/>
        </w:rPr>
        <w:t xml:space="preserve"> </w:t>
      </w:r>
      <w:r>
        <w:t>psychological</w:t>
      </w:r>
      <w:r>
        <w:rPr>
          <w:spacing w:val="-5"/>
        </w:rPr>
        <w:t xml:space="preserve"> </w:t>
      </w:r>
      <w:r>
        <w:t>reality</w:t>
      </w:r>
      <w:r>
        <w:rPr>
          <w:spacing w:val="-5"/>
        </w:rPr>
        <w:t xml:space="preserve"> </w:t>
      </w:r>
      <w:r>
        <w:t>of</w:t>
      </w:r>
      <w:r>
        <w:rPr>
          <w:spacing w:val="-4"/>
        </w:rPr>
        <w:t xml:space="preserve"> </w:t>
      </w:r>
      <w:r>
        <w:t>semantic</w:t>
      </w:r>
      <w:r>
        <w:rPr>
          <w:spacing w:val="-5"/>
        </w:rPr>
        <w:t xml:space="preserve"> </w:t>
      </w:r>
      <w:r>
        <w:rPr>
          <w:spacing w:val="-2"/>
        </w:rPr>
        <w:t>rules</w:t>
      </w:r>
    </w:p>
    <w:p w14:paraId="7E000CB2" w14:textId="77777777" w:rsidR="009A58DB" w:rsidRDefault="00000000">
      <w:pPr>
        <w:pStyle w:val="BodyText"/>
        <w:spacing w:before="139" w:line="249" w:lineRule="auto"/>
        <w:ind w:right="362"/>
      </w:pPr>
      <w:r>
        <w:t xml:space="preserve">One view as to the nature of semantic rules is that they are idealized descriptions of the activities of speakers. Proponents of this view seldom if ever identify the facts about the speaker-behavior of which semantic rules are supposedly descriptions. The most natural assumption is that they are idealized descriptions of what people </w:t>
      </w:r>
      <w:r>
        <w:rPr>
          <w:i/>
        </w:rPr>
        <w:t>mean</w:t>
      </w:r>
      <w:r>
        <w:rPr>
          <w:i/>
          <w:spacing w:val="-3"/>
        </w:rPr>
        <w:t xml:space="preserve"> </w:t>
      </w:r>
      <w:r>
        <w:t>when they speak and write (etc.). If this assumption is right, then, given the points just made, the view in question is wrong.</w:t>
      </w:r>
    </w:p>
    <w:p w14:paraId="7E000CB3" w14:textId="77777777" w:rsidR="009A58DB" w:rsidRDefault="00000000">
      <w:pPr>
        <w:pStyle w:val="BodyText"/>
        <w:spacing w:before="9" w:line="249" w:lineRule="auto"/>
        <w:ind w:right="358" w:firstLine="360"/>
      </w:pPr>
      <w:r>
        <w:t>But even if this isn’t what proponents of this view have in mind, their</w:t>
      </w:r>
      <w:r>
        <w:rPr>
          <w:spacing w:val="40"/>
        </w:rPr>
        <w:t xml:space="preserve"> </w:t>
      </w:r>
      <w:r>
        <w:t xml:space="preserve">view is very clearly wrong. If semantic rules are just idealizations of speaker-behavior, then speaker-behavior must pre-exist the semantic rules embodied in it. But if that’s the case, then the activity described by semantic rules isn’t </w:t>
      </w:r>
      <w:r>
        <w:rPr>
          <w:i/>
        </w:rPr>
        <w:t xml:space="preserve">guided </w:t>
      </w:r>
      <w:r>
        <w:t>by them. An awareness of those rules is no part of what leads people to say the things they do. Those rules are psychologically inert. They have no “psychological reality.” This view is held by Nathan Salmon (2007) and also</w:t>
      </w:r>
    </w:p>
    <w:p w14:paraId="7E000CB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B5" w14:textId="77777777" w:rsidR="009A58DB" w:rsidRDefault="00000000">
      <w:pPr>
        <w:pStyle w:val="BodyText"/>
        <w:spacing w:before="70"/>
      </w:pPr>
      <w:r>
        <w:lastRenderedPageBreak/>
        <w:t>by</w:t>
      </w:r>
      <w:r>
        <w:rPr>
          <w:spacing w:val="-3"/>
        </w:rPr>
        <w:t xml:space="preserve"> </w:t>
      </w:r>
      <w:r>
        <w:t>Scott</w:t>
      </w:r>
      <w:r>
        <w:rPr>
          <w:spacing w:val="-3"/>
        </w:rPr>
        <w:t xml:space="preserve"> </w:t>
      </w:r>
      <w:r>
        <w:t>Soames</w:t>
      </w:r>
      <w:r>
        <w:rPr>
          <w:spacing w:val="-3"/>
        </w:rPr>
        <w:t xml:space="preserve"> </w:t>
      </w:r>
      <w:r>
        <w:rPr>
          <w:spacing w:val="-2"/>
        </w:rPr>
        <w:t>(2002).</w:t>
      </w:r>
    </w:p>
    <w:p w14:paraId="7E000CB6" w14:textId="77777777" w:rsidR="009A58DB" w:rsidRDefault="00000000">
      <w:pPr>
        <w:pStyle w:val="BodyText"/>
        <w:spacing w:before="10" w:line="249" w:lineRule="auto"/>
        <w:ind w:right="358" w:firstLine="360"/>
      </w:pPr>
      <w:r>
        <w:t>This view is inconsistent with some obvious facts. I know that Smith is now living in France. Wanting to tell you this, I say: “Smith is now living in France.” Why do I choose this particular sentence? Because, first of all, I know the relevant semantic rules (viz. that “Smith” refers to Smith, that “living” refers to a certain property) and, secondly, because I believe that, given these facts about semantics, the sentence in question is the right one to express my belief. A knowledge of semantics underlies my speech-act and,</w:t>
      </w:r>
      <w:r>
        <w:rPr>
          <w:spacing w:val="40"/>
        </w:rPr>
        <w:t xml:space="preserve"> </w:t>
      </w:r>
      <w:r>
        <w:t>by obvious extensions of these points, all non-defective speech-acts.</w:t>
      </w:r>
    </w:p>
    <w:p w14:paraId="7E000CB7" w14:textId="77777777" w:rsidR="009A58DB" w:rsidRDefault="00000000">
      <w:pPr>
        <w:pStyle w:val="BodyText"/>
        <w:spacing w:before="9" w:line="249" w:lineRule="auto"/>
        <w:ind w:right="365" w:firstLine="360"/>
      </w:pPr>
      <w:r>
        <w:t>Another problem with the Salmon-Soames view is that it’s inconsistent with the normative character of semantic rules. If semantic rules merely describe existing semantic activity, then that activity isn’t answerable to semantic norms. It is; so the Salmon-Soames view is wrong.</w:t>
      </w:r>
    </w:p>
    <w:p w14:paraId="7E000CB8" w14:textId="77777777" w:rsidR="009A58DB" w:rsidRDefault="00000000">
      <w:pPr>
        <w:pStyle w:val="Heading1"/>
        <w:numPr>
          <w:ilvl w:val="1"/>
          <w:numId w:val="192"/>
        </w:numPr>
        <w:tabs>
          <w:tab w:val="left" w:pos="990"/>
        </w:tabs>
        <w:spacing w:before="193"/>
      </w:pPr>
      <w:r>
        <w:t>Conceptual</w:t>
      </w:r>
      <w:r>
        <w:rPr>
          <w:spacing w:val="-8"/>
        </w:rPr>
        <w:t xml:space="preserve"> </w:t>
      </w:r>
      <w:r>
        <w:t>role</w:t>
      </w:r>
      <w:r>
        <w:rPr>
          <w:spacing w:val="-5"/>
        </w:rPr>
        <w:t xml:space="preserve"> </w:t>
      </w:r>
      <w:r>
        <w:rPr>
          <w:spacing w:val="-2"/>
        </w:rPr>
        <w:t>semantics</w:t>
      </w:r>
    </w:p>
    <w:p w14:paraId="7E000CB9" w14:textId="77777777" w:rsidR="009A58DB" w:rsidRDefault="00000000">
      <w:pPr>
        <w:pStyle w:val="BodyText"/>
        <w:spacing w:before="139" w:line="249" w:lineRule="auto"/>
        <w:ind w:right="361"/>
      </w:pPr>
      <w:r>
        <w:t>A little while ago, we discussed Wittgenstein’s claim that “meaning is use,” i.e., that for an expression to have a given meaning is for it to be used in a certain way. This doctrine is incoherent in many ways. We’ve already discussed one of those ways; now we’ll discuss some of the others.</w:t>
      </w:r>
    </w:p>
    <w:p w14:paraId="7E000CBA" w14:textId="77777777" w:rsidR="009A58DB" w:rsidRDefault="00000000">
      <w:pPr>
        <w:pStyle w:val="BodyText"/>
        <w:spacing w:before="5" w:line="249" w:lineRule="auto"/>
        <w:ind w:right="358" w:firstLine="360"/>
      </w:pPr>
      <w:r>
        <w:t xml:space="preserve">Expressions have meanings. A meaningless burst of noise isn’t an expression. If I cough or guffaw, the burst of noise I’ve produced doesn’t have the sort of meaning had by </w:t>
      </w:r>
      <w:r>
        <w:rPr>
          <w:i/>
        </w:rPr>
        <w:t xml:space="preserve">bona fide </w:t>
      </w:r>
      <w:r>
        <w:t xml:space="preserve">expressions. It has, at most, meaning in irrelevant, purely evidential sense, e.g., the sense in which a cough may be evidence of a cold. Since anything that is a linguistic expression </w:t>
      </w:r>
      <w:r>
        <w:rPr>
          <w:i/>
        </w:rPr>
        <w:t>ipso facto</w:t>
      </w:r>
      <w:r>
        <w:rPr>
          <w:i/>
          <w:spacing w:val="40"/>
        </w:rPr>
        <w:t xml:space="preserve"> </w:t>
      </w:r>
      <w:r>
        <w:t xml:space="preserve">has a meaning (in the relevant, linguistic sense), there are no expressions to be used </w:t>
      </w:r>
      <w:r>
        <w:rPr>
          <w:i/>
        </w:rPr>
        <w:t xml:space="preserve">before </w:t>
      </w:r>
      <w:r>
        <w:t>noises, ink-marks, etc., have been assigned meanings. So, since there can be no expression-use until after there is</w:t>
      </w:r>
      <w:r>
        <w:rPr>
          <w:spacing w:val="40"/>
        </w:rPr>
        <w:t xml:space="preserve"> </w:t>
      </w:r>
      <w:r>
        <w:t>expression-meaning,</w:t>
      </w:r>
      <w:r>
        <w:rPr>
          <w:spacing w:val="40"/>
        </w:rPr>
        <w:t xml:space="preserve"> </w:t>
      </w:r>
      <w:r>
        <w:t>it</w:t>
      </w:r>
      <w:r>
        <w:rPr>
          <w:spacing w:val="40"/>
        </w:rPr>
        <w:t xml:space="preserve"> </w:t>
      </w:r>
      <w:r>
        <w:t>makes</w:t>
      </w:r>
      <w:r>
        <w:rPr>
          <w:spacing w:val="40"/>
        </w:rPr>
        <w:t xml:space="preserve"> </w:t>
      </w:r>
      <w:r>
        <w:t>no</w:t>
      </w:r>
      <w:r>
        <w:rPr>
          <w:spacing w:val="40"/>
        </w:rPr>
        <w:t xml:space="preserve"> </w:t>
      </w:r>
      <w:r>
        <w:t>sense</w:t>
      </w:r>
      <w:r>
        <w:rPr>
          <w:spacing w:val="40"/>
        </w:rPr>
        <w:t xml:space="preserve"> </w:t>
      </w:r>
      <w:r>
        <w:t>at</w:t>
      </w:r>
      <w:r>
        <w:rPr>
          <w:spacing w:val="40"/>
        </w:rPr>
        <w:t xml:space="preserve"> </w:t>
      </w:r>
      <w:r>
        <w:t>all</w:t>
      </w:r>
      <w:r>
        <w:rPr>
          <w:spacing w:val="40"/>
        </w:rPr>
        <w:t xml:space="preserve"> </w:t>
      </w:r>
      <w:r>
        <w:t>to</w:t>
      </w:r>
      <w:r>
        <w:rPr>
          <w:spacing w:val="40"/>
        </w:rPr>
        <w:t xml:space="preserve"> </w:t>
      </w:r>
      <w:r>
        <w:t>say</w:t>
      </w:r>
      <w:r>
        <w:rPr>
          <w:spacing w:val="40"/>
        </w:rPr>
        <w:t xml:space="preserve"> </w:t>
      </w:r>
      <w:r>
        <w:t>that</w:t>
      </w:r>
      <w:r>
        <w:rPr>
          <w:spacing w:val="40"/>
        </w:rPr>
        <w:t xml:space="preserve"> </w:t>
      </w:r>
      <w:r>
        <w:t>expression-use</w:t>
      </w:r>
    </w:p>
    <w:p w14:paraId="7E000CBB" w14:textId="77777777" w:rsidR="009A58DB" w:rsidRDefault="00000000">
      <w:pPr>
        <w:pStyle w:val="BodyText"/>
        <w:spacing w:before="11" w:line="277" w:lineRule="exact"/>
        <w:ind w:left="9211"/>
        <w:jc w:val="left"/>
      </w:pPr>
      <w:bookmarkStart w:id="148" w:name="_bookmark148"/>
      <w:bookmarkEnd w:id="148"/>
      <w:r>
        <w:rPr>
          <w:color w:val="0562C1"/>
          <w:spacing w:val="-4"/>
          <w:u w:val="single" w:color="0562C1"/>
        </w:rPr>
        <w:t>[82]</w:t>
      </w:r>
    </w:p>
    <w:p w14:paraId="7E000CBC" w14:textId="77777777" w:rsidR="009A58DB" w:rsidRDefault="00000000">
      <w:pPr>
        <w:pStyle w:val="BodyText"/>
        <w:spacing w:line="277" w:lineRule="exact"/>
        <w:jc w:val="left"/>
      </w:pPr>
      <w:r>
        <w:t>determines</w:t>
      </w:r>
      <w:r>
        <w:rPr>
          <w:spacing w:val="6"/>
        </w:rPr>
        <w:t xml:space="preserve"> </w:t>
      </w:r>
      <w:r>
        <w:t>expression-meaning.</w:t>
      </w:r>
      <w:r>
        <w:rPr>
          <w:spacing w:val="10"/>
        </w:rPr>
        <w:t xml:space="preserve"> </w:t>
      </w:r>
      <w:r>
        <w:t>“Meaningful</w:t>
      </w:r>
      <w:r>
        <w:rPr>
          <w:spacing w:val="9"/>
        </w:rPr>
        <w:t xml:space="preserve"> </w:t>
      </w:r>
      <w:r>
        <w:t>expression”</w:t>
      </w:r>
      <w:r>
        <w:rPr>
          <w:spacing w:val="9"/>
        </w:rPr>
        <w:t xml:space="preserve"> </w:t>
      </w:r>
      <w:r>
        <w:t>is</w:t>
      </w:r>
      <w:r>
        <w:rPr>
          <w:spacing w:val="9"/>
        </w:rPr>
        <w:t xml:space="preserve"> </w:t>
      </w:r>
      <w:r>
        <w:t>a</w:t>
      </w:r>
      <w:r>
        <w:rPr>
          <w:spacing w:val="9"/>
        </w:rPr>
        <w:t xml:space="preserve"> </w:t>
      </w:r>
      <w:r>
        <w:rPr>
          <w:spacing w:val="-2"/>
        </w:rPr>
        <w:t>pleonasm.</w:t>
      </w:r>
    </w:p>
    <w:p w14:paraId="7E000CBD" w14:textId="77777777" w:rsidR="009A58DB" w:rsidRDefault="00000000">
      <w:pPr>
        <w:pStyle w:val="BodyText"/>
        <w:spacing w:before="15"/>
        <w:jc w:val="left"/>
      </w:pPr>
      <w:r>
        <w:t>So,</w:t>
      </w:r>
      <w:r>
        <w:rPr>
          <w:spacing w:val="-6"/>
        </w:rPr>
        <w:t xml:space="preserve"> </w:t>
      </w:r>
      <w:r>
        <w:t>contrary</w:t>
      </w:r>
      <w:r>
        <w:rPr>
          <w:spacing w:val="-4"/>
        </w:rPr>
        <w:t xml:space="preserve"> </w:t>
      </w:r>
      <w:r>
        <w:t>to</w:t>
      </w:r>
      <w:r>
        <w:rPr>
          <w:spacing w:val="-3"/>
        </w:rPr>
        <w:t xml:space="preserve"> </w:t>
      </w:r>
      <w:r>
        <w:t>what</w:t>
      </w:r>
      <w:r>
        <w:rPr>
          <w:spacing w:val="-4"/>
        </w:rPr>
        <w:t xml:space="preserve"> </w:t>
      </w:r>
      <w:r>
        <w:t>Wittgenstein</w:t>
      </w:r>
      <w:r>
        <w:rPr>
          <w:spacing w:val="-4"/>
        </w:rPr>
        <w:t xml:space="preserve"> </w:t>
      </w:r>
      <w:r>
        <w:t>said,</w:t>
      </w:r>
      <w:r>
        <w:rPr>
          <w:spacing w:val="-4"/>
        </w:rPr>
        <w:t xml:space="preserve"> </w:t>
      </w:r>
      <w:r>
        <w:t>meaning</w:t>
      </w:r>
      <w:r>
        <w:rPr>
          <w:spacing w:val="-3"/>
        </w:rPr>
        <w:t xml:space="preserve"> </w:t>
      </w:r>
      <w:r>
        <w:t>isn’t</w:t>
      </w:r>
      <w:r>
        <w:rPr>
          <w:spacing w:val="-4"/>
        </w:rPr>
        <w:t xml:space="preserve"> use.</w:t>
      </w:r>
    </w:p>
    <w:p w14:paraId="7E000CBE" w14:textId="77777777" w:rsidR="009A58DB" w:rsidRDefault="00000000">
      <w:pPr>
        <w:pStyle w:val="BodyText"/>
        <w:spacing w:before="16"/>
        <w:ind w:left="720"/>
        <w:jc w:val="left"/>
        <w:rPr>
          <w:i/>
        </w:rPr>
      </w:pPr>
      <w:r>
        <w:t>Of</w:t>
      </w:r>
      <w:r>
        <w:rPr>
          <w:spacing w:val="69"/>
        </w:rPr>
        <w:t xml:space="preserve"> </w:t>
      </w:r>
      <w:r>
        <w:t>course,</w:t>
      </w:r>
      <w:r>
        <w:rPr>
          <w:spacing w:val="69"/>
        </w:rPr>
        <w:t xml:space="preserve"> </w:t>
      </w:r>
      <w:r>
        <w:t>how</w:t>
      </w:r>
      <w:r>
        <w:rPr>
          <w:spacing w:val="69"/>
        </w:rPr>
        <w:t xml:space="preserve"> </w:t>
      </w:r>
      <w:r>
        <w:t>a</w:t>
      </w:r>
      <w:r>
        <w:rPr>
          <w:spacing w:val="69"/>
        </w:rPr>
        <w:t xml:space="preserve"> </w:t>
      </w:r>
      <w:r>
        <w:t>given</w:t>
      </w:r>
      <w:r>
        <w:rPr>
          <w:spacing w:val="69"/>
        </w:rPr>
        <w:t xml:space="preserve"> </w:t>
      </w:r>
      <w:r>
        <w:t>expression</w:t>
      </w:r>
      <w:r>
        <w:rPr>
          <w:spacing w:val="69"/>
        </w:rPr>
        <w:t xml:space="preserve"> </w:t>
      </w:r>
      <w:r>
        <w:t>is</w:t>
      </w:r>
      <w:r>
        <w:rPr>
          <w:spacing w:val="69"/>
        </w:rPr>
        <w:t xml:space="preserve"> </w:t>
      </w:r>
      <w:r>
        <w:t>used</w:t>
      </w:r>
      <w:r>
        <w:rPr>
          <w:spacing w:val="69"/>
        </w:rPr>
        <w:t xml:space="preserve"> </w:t>
      </w:r>
      <w:r>
        <w:t>may</w:t>
      </w:r>
      <w:r>
        <w:rPr>
          <w:spacing w:val="69"/>
        </w:rPr>
        <w:t xml:space="preserve"> </w:t>
      </w:r>
      <w:r>
        <w:t>well</w:t>
      </w:r>
      <w:r>
        <w:rPr>
          <w:spacing w:val="69"/>
        </w:rPr>
        <w:t xml:space="preserve"> </w:t>
      </w:r>
      <w:r>
        <w:t>assign</w:t>
      </w:r>
      <w:r>
        <w:rPr>
          <w:spacing w:val="69"/>
        </w:rPr>
        <w:t xml:space="preserve"> </w:t>
      </w:r>
      <w:r>
        <w:t>it</w:t>
      </w:r>
      <w:r>
        <w:rPr>
          <w:spacing w:val="69"/>
        </w:rPr>
        <w:t xml:space="preserve"> </w:t>
      </w:r>
      <w:r>
        <w:t>a</w:t>
      </w:r>
      <w:r>
        <w:rPr>
          <w:spacing w:val="69"/>
        </w:rPr>
        <w:t xml:space="preserve"> </w:t>
      </w:r>
      <w:r>
        <w:rPr>
          <w:i/>
          <w:spacing w:val="-5"/>
        </w:rPr>
        <w:t>new</w:t>
      </w:r>
    </w:p>
    <w:p w14:paraId="7E000CBF" w14:textId="77777777" w:rsidR="009A58DB" w:rsidRDefault="00000000">
      <w:pPr>
        <w:pStyle w:val="BodyText"/>
        <w:spacing w:before="15"/>
        <w:jc w:val="left"/>
      </w:pPr>
      <w:r>
        <w:t>meaning.</w:t>
      </w:r>
      <w:r>
        <w:rPr>
          <w:spacing w:val="-5"/>
        </w:rPr>
        <w:t xml:space="preserve"> </w:t>
      </w:r>
      <w:r>
        <w:t>But</w:t>
      </w:r>
      <w:r>
        <w:rPr>
          <w:spacing w:val="-4"/>
        </w:rPr>
        <w:t xml:space="preserve"> </w:t>
      </w:r>
      <w:r>
        <w:t>there</w:t>
      </w:r>
      <w:r>
        <w:rPr>
          <w:spacing w:val="-3"/>
        </w:rPr>
        <w:t xml:space="preserve"> </w:t>
      </w:r>
      <w:r>
        <w:t>is</w:t>
      </w:r>
      <w:r>
        <w:rPr>
          <w:spacing w:val="-4"/>
        </w:rPr>
        <w:t xml:space="preserve"> </w:t>
      </w:r>
      <w:r>
        <w:t>all</w:t>
      </w:r>
      <w:r>
        <w:rPr>
          <w:spacing w:val="-4"/>
        </w:rPr>
        <w:t xml:space="preserve"> </w:t>
      </w:r>
      <w:r>
        <w:t>the</w:t>
      </w:r>
      <w:r>
        <w:rPr>
          <w:spacing w:val="-3"/>
        </w:rPr>
        <w:t xml:space="preserve"> </w:t>
      </w:r>
      <w:r>
        <w:t>difference</w:t>
      </w:r>
      <w:r>
        <w:rPr>
          <w:spacing w:val="-4"/>
        </w:rPr>
        <w:t xml:space="preserve"> </w:t>
      </w:r>
      <w:r>
        <w:t>in</w:t>
      </w:r>
      <w:r>
        <w:rPr>
          <w:spacing w:val="-3"/>
        </w:rPr>
        <w:t xml:space="preserve"> </w:t>
      </w:r>
      <w:r>
        <w:t>the</w:t>
      </w:r>
      <w:r>
        <w:rPr>
          <w:spacing w:val="-3"/>
        </w:rPr>
        <w:t xml:space="preserve"> </w:t>
      </w:r>
      <w:r>
        <w:t>world</w:t>
      </w:r>
      <w:r>
        <w:rPr>
          <w:spacing w:val="-3"/>
        </w:rPr>
        <w:t xml:space="preserve"> </w:t>
      </w:r>
      <w:r>
        <w:t>between</w:t>
      </w:r>
      <w:r>
        <w:rPr>
          <w:spacing w:val="-2"/>
        </w:rPr>
        <w:t xml:space="preserve"> saying:</w:t>
      </w:r>
    </w:p>
    <w:p w14:paraId="7E000CC0" w14:textId="77777777" w:rsidR="009A58DB" w:rsidRDefault="009A58DB">
      <w:pPr>
        <w:pStyle w:val="BodyText"/>
        <w:spacing w:before="29"/>
        <w:ind w:left="0"/>
        <w:jc w:val="left"/>
      </w:pPr>
    </w:p>
    <w:p w14:paraId="7E000CC1" w14:textId="77777777" w:rsidR="009A58DB" w:rsidRDefault="00000000">
      <w:pPr>
        <w:pStyle w:val="ListParagraph"/>
        <w:numPr>
          <w:ilvl w:val="0"/>
          <w:numId w:val="185"/>
        </w:numPr>
        <w:tabs>
          <w:tab w:val="left" w:pos="819"/>
        </w:tabs>
        <w:spacing w:before="1" w:line="249" w:lineRule="auto"/>
        <w:ind w:right="361" w:firstLine="0"/>
        <w:rPr>
          <w:sz w:val="30"/>
        </w:rPr>
      </w:pPr>
      <w:r>
        <w:rPr>
          <w:sz w:val="30"/>
        </w:rPr>
        <w:t xml:space="preserve">Expression E’s having meaning M is </w:t>
      </w:r>
      <w:r>
        <w:rPr>
          <w:i/>
          <w:sz w:val="30"/>
        </w:rPr>
        <w:t xml:space="preserve">causally </w:t>
      </w:r>
      <w:r>
        <w:rPr>
          <w:sz w:val="30"/>
        </w:rPr>
        <w:t>determined</w:t>
      </w:r>
      <w:r>
        <w:rPr>
          <w:spacing w:val="40"/>
          <w:sz w:val="30"/>
        </w:rPr>
        <w:t xml:space="preserve"> </w:t>
      </w:r>
      <w:r>
        <w:rPr>
          <w:sz w:val="30"/>
        </w:rPr>
        <w:t>by</w:t>
      </w:r>
      <w:r>
        <w:rPr>
          <w:spacing w:val="40"/>
          <w:sz w:val="30"/>
        </w:rPr>
        <w:t xml:space="preserve"> </w:t>
      </w:r>
      <w:r>
        <w:rPr>
          <w:sz w:val="30"/>
        </w:rPr>
        <w:t>E’s</w:t>
      </w:r>
      <w:r>
        <w:rPr>
          <w:spacing w:val="40"/>
          <w:sz w:val="30"/>
        </w:rPr>
        <w:t xml:space="preserve"> </w:t>
      </w:r>
      <w:r>
        <w:rPr>
          <w:sz w:val="30"/>
        </w:rPr>
        <w:t>being used in such and such a manner,</w:t>
      </w:r>
    </w:p>
    <w:p w14:paraId="7E000CC2" w14:textId="77777777" w:rsidR="009A58DB" w:rsidRDefault="009A58DB">
      <w:pPr>
        <w:pStyle w:val="ListParagraph"/>
        <w:spacing w:line="249" w:lineRule="auto"/>
        <w:rPr>
          <w:sz w:val="30"/>
        </w:rPr>
        <w:sectPr w:rsidR="009A58DB">
          <w:pgSz w:w="12240" w:h="15840"/>
          <w:pgMar w:top="1380" w:right="1080" w:bottom="280" w:left="1080" w:header="720" w:footer="720" w:gutter="0"/>
          <w:cols w:space="720"/>
        </w:sectPr>
      </w:pPr>
    </w:p>
    <w:p w14:paraId="7E000CC3" w14:textId="77777777" w:rsidR="009A58DB" w:rsidRDefault="00000000">
      <w:pPr>
        <w:pStyle w:val="BodyText"/>
        <w:spacing w:before="65"/>
        <w:jc w:val="left"/>
      </w:pPr>
      <w:r>
        <w:rPr>
          <w:spacing w:val="-5"/>
        </w:rPr>
        <w:lastRenderedPageBreak/>
        <w:t>and</w:t>
      </w:r>
    </w:p>
    <w:p w14:paraId="7E000CC4" w14:textId="77777777" w:rsidR="009A58DB" w:rsidRDefault="009A58DB">
      <w:pPr>
        <w:pStyle w:val="BodyText"/>
        <w:spacing w:before="29"/>
        <w:ind w:left="0"/>
        <w:jc w:val="left"/>
      </w:pPr>
    </w:p>
    <w:p w14:paraId="7E000CC5" w14:textId="77777777" w:rsidR="009A58DB" w:rsidRDefault="00000000">
      <w:pPr>
        <w:pStyle w:val="ListParagraph"/>
        <w:numPr>
          <w:ilvl w:val="0"/>
          <w:numId w:val="185"/>
        </w:numPr>
        <w:tabs>
          <w:tab w:val="left" w:pos="782"/>
        </w:tabs>
        <w:spacing w:before="1" w:line="249" w:lineRule="auto"/>
        <w:ind w:right="366" w:firstLine="0"/>
        <w:jc w:val="both"/>
        <w:rPr>
          <w:sz w:val="30"/>
        </w:rPr>
      </w:pPr>
      <w:r>
        <w:rPr>
          <w:sz w:val="30"/>
        </w:rPr>
        <w:t>Expression</w:t>
      </w:r>
      <w:r>
        <w:rPr>
          <w:spacing w:val="-3"/>
          <w:sz w:val="30"/>
        </w:rPr>
        <w:t xml:space="preserve"> </w:t>
      </w:r>
      <w:r>
        <w:rPr>
          <w:sz w:val="30"/>
        </w:rPr>
        <w:t>E’s</w:t>
      </w:r>
      <w:r>
        <w:rPr>
          <w:spacing w:val="-4"/>
          <w:sz w:val="30"/>
        </w:rPr>
        <w:t xml:space="preserve"> </w:t>
      </w:r>
      <w:r>
        <w:rPr>
          <w:sz w:val="30"/>
        </w:rPr>
        <w:t>having</w:t>
      </w:r>
      <w:r>
        <w:rPr>
          <w:spacing w:val="-3"/>
          <w:sz w:val="30"/>
        </w:rPr>
        <w:t xml:space="preserve"> </w:t>
      </w:r>
      <w:r>
        <w:rPr>
          <w:sz w:val="30"/>
        </w:rPr>
        <w:t>meaning</w:t>
      </w:r>
      <w:r>
        <w:rPr>
          <w:spacing w:val="-3"/>
          <w:sz w:val="30"/>
        </w:rPr>
        <w:t xml:space="preserve"> </w:t>
      </w:r>
      <w:r>
        <w:rPr>
          <w:sz w:val="30"/>
        </w:rPr>
        <w:t>M</w:t>
      </w:r>
      <w:r>
        <w:rPr>
          <w:spacing w:val="-4"/>
          <w:sz w:val="30"/>
        </w:rPr>
        <w:t xml:space="preserve"> </w:t>
      </w:r>
      <w:r>
        <w:rPr>
          <w:sz w:val="30"/>
        </w:rPr>
        <w:t>is</w:t>
      </w:r>
      <w:r>
        <w:rPr>
          <w:spacing w:val="-4"/>
          <w:sz w:val="30"/>
        </w:rPr>
        <w:t xml:space="preserve"> </w:t>
      </w:r>
      <w:r>
        <w:rPr>
          <w:i/>
          <w:sz w:val="30"/>
        </w:rPr>
        <w:t>identical</w:t>
      </w:r>
      <w:r>
        <w:rPr>
          <w:i/>
          <w:spacing w:val="-4"/>
          <w:sz w:val="30"/>
        </w:rPr>
        <w:t xml:space="preserve"> </w:t>
      </w:r>
      <w:r>
        <w:rPr>
          <w:i/>
          <w:sz w:val="30"/>
        </w:rPr>
        <w:t>with</w:t>
      </w:r>
      <w:r>
        <w:rPr>
          <w:i/>
          <w:spacing w:val="-3"/>
          <w:sz w:val="30"/>
        </w:rPr>
        <w:t xml:space="preserve"> </w:t>
      </w:r>
      <w:r>
        <w:rPr>
          <w:sz w:val="30"/>
        </w:rPr>
        <w:t>E’s being used in such and such a manner.</w:t>
      </w:r>
    </w:p>
    <w:p w14:paraId="7E000CC6" w14:textId="77777777" w:rsidR="009A58DB" w:rsidRDefault="00000000">
      <w:pPr>
        <w:pStyle w:val="BodyText"/>
        <w:spacing w:before="2" w:line="249" w:lineRule="auto"/>
        <w:ind w:right="362"/>
      </w:pPr>
      <w:r>
        <w:t xml:space="preserve">An expression E’s having meaning M cannot possibly be </w:t>
      </w:r>
      <w:r>
        <w:rPr>
          <w:i/>
        </w:rPr>
        <w:t xml:space="preserve">constituted </w:t>
      </w:r>
      <w:r>
        <w:t xml:space="preserve">by its being used in such and such a manner, since E isn’t an expression and, therefore, isn’t an expression to be used </w:t>
      </w:r>
      <w:r>
        <w:rPr>
          <w:i/>
        </w:rPr>
        <w:t xml:space="preserve">until </w:t>
      </w:r>
      <w:r>
        <w:t>it has a meaning.</w:t>
      </w:r>
    </w:p>
    <w:p w14:paraId="7E000CC7" w14:textId="77777777" w:rsidR="009A58DB" w:rsidRDefault="00000000">
      <w:pPr>
        <w:pStyle w:val="BodyText"/>
        <w:spacing w:before="4" w:line="249" w:lineRule="auto"/>
        <w:ind w:right="361" w:firstLine="360"/>
      </w:pPr>
      <w:r>
        <w:t>According to a doctrine known as “conceptual role semantics” (CRS), whose exponents include Hartry Field (1977) and Robert Brandom (1994), for an expression to have a given meaning is simply for it to be used in a certain way. But this isn’t correct as we just saw.</w:t>
      </w:r>
    </w:p>
    <w:p w14:paraId="7E000CC8" w14:textId="77777777" w:rsidR="009A58DB" w:rsidRDefault="00000000">
      <w:pPr>
        <w:pStyle w:val="BodyText"/>
        <w:spacing w:before="5" w:line="249" w:lineRule="auto"/>
        <w:ind w:right="361" w:firstLine="360"/>
      </w:pPr>
      <w:r>
        <w:t xml:space="preserve">CRS is incoherent for reasons other than the one just given. According to that doctrine, what a sentence means is determined by what people infer from it and what people infer it from. Whereas commonsense holds that one infers “an even number is less five” from “two is less than five” </w:t>
      </w:r>
      <w:r>
        <w:rPr>
          <w:i/>
        </w:rPr>
        <w:t xml:space="preserve">because </w:t>
      </w:r>
      <w:r>
        <w:t>the latter already has a given meaning, advocates of CRS say that, on the contrary, it’s because people infer “an even number is less than five” and other similar statements from “two is less than five” that the latter has the meaning it has.</w:t>
      </w:r>
    </w:p>
    <w:p w14:paraId="7E000CC9" w14:textId="77777777" w:rsidR="009A58DB" w:rsidRDefault="00000000">
      <w:pPr>
        <w:pStyle w:val="BodyText"/>
        <w:spacing w:before="8" w:line="249" w:lineRule="auto"/>
        <w:ind w:right="359" w:firstLine="360"/>
        <w:rPr>
          <w:position w:val="22"/>
        </w:rPr>
      </w:pPr>
      <w:r>
        <w:t xml:space="preserve">This is not a viable view. If we learn tomorrow that, contrary to what we previously thought, Aristotle wrote several plays, we’ll infer “somebody who wrote several plays wrote the </w:t>
      </w:r>
      <w:r>
        <w:rPr>
          <w:i/>
        </w:rPr>
        <w:t>Nichomachean Ethics</w:t>
      </w:r>
      <w:r>
        <w:t xml:space="preserve">“ from “Aristotle wrote the </w:t>
      </w:r>
      <w:r>
        <w:rPr>
          <w:i/>
        </w:rPr>
        <w:t>Nichomachean Ethics</w:t>
      </w:r>
      <w:r>
        <w:t xml:space="preserve">.” But it doesn’t follow that “Aristotle wrote the </w:t>
      </w:r>
      <w:r>
        <w:rPr>
          <w:i/>
        </w:rPr>
        <w:t>Nichomachean Ethics</w:t>
      </w:r>
      <w:r>
        <w:t xml:space="preserve">” would have undergone some change in its semantic </w:t>
      </w:r>
      <w:r>
        <w:rPr>
          <w:i/>
        </w:rPr>
        <w:t xml:space="preserve">meaning. </w:t>
      </w:r>
      <w:r>
        <w:t xml:space="preserve">Changes in what we believe affect what we infer from statements; but they don’t categorically change the meanings of those statements. CRS entails that every inference is an analytic inference. Once it’s learned that Aristotle wrote plays, it becomes, according to CRS, constitutive of the </w:t>
      </w:r>
      <w:r>
        <w:rPr>
          <w:i/>
        </w:rPr>
        <w:t xml:space="preserve">meaning </w:t>
      </w:r>
      <w:r>
        <w:t xml:space="preserve">of “Aristotle wrote the </w:t>
      </w:r>
      <w:r>
        <w:rPr>
          <w:i/>
        </w:rPr>
        <w:t>Nichomachean Ethics</w:t>
      </w:r>
      <w:r>
        <w:t xml:space="preserve">” that one can infer from it that a playwright wrote the </w:t>
      </w:r>
      <w:r>
        <w:rPr>
          <w:i/>
        </w:rPr>
        <w:t xml:space="preserve">Nichomachean Ethics. </w:t>
      </w:r>
      <w:r>
        <w:t xml:space="preserve">But surely the inference from “Aristotle wrote the </w:t>
      </w:r>
      <w:r>
        <w:rPr>
          <w:i/>
        </w:rPr>
        <w:t>Nichomachean Ethics</w:t>
      </w:r>
      <w:r>
        <w:t xml:space="preserve">” to “a playwright wrote the </w:t>
      </w:r>
      <w:r>
        <w:rPr>
          <w:i/>
        </w:rPr>
        <w:t>Nichomachean Ethics</w:t>
      </w:r>
      <w:r>
        <w:t xml:space="preserve">” isn’t </w:t>
      </w:r>
      <w:r>
        <w:rPr>
          <w:i/>
        </w:rPr>
        <w:t>analytic.</w:t>
      </w:r>
      <w:bookmarkStart w:id="149" w:name="_bookmark149"/>
      <w:bookmarkEnd w:id="149"/>
      <w:r>
        <w:rPr>
          <w:color w:val="0562C1"/>
          <w:position w:val="22"/>
          <w:u w:val="single" w:color="0562C1"/>
        </w:rPr>
        <w:t>[83]</w:t>
      </w:r>
    </w:p>
    <w:p w14:paraId="7E000CCA" w14:textId="77777777" w:rsidR="009A58DB" w:rsidRDefault="00000000">
      <w:pPr>
        <w:pStyle w:val="BodyText"/>
        <w:spacing w:before="21" w:line="249" w:lineRule="auto"/>
        <w:ind w:right="361" w:firstLine="360"/>
      </w:pPr>
      <w:r>
        <w:t>What we may infer from a sentence is answerable to its existing meaning. CRS says that a sentence’s meaning is answerable to what we infer from it. If correct,</w:t>
      </w:r>
      <w:r>
        <w:rPr>
          <w:spacing w:val="28"/>
        </w:rPr>
        <w:t xml:space="preserve"> </w:t>
      </w:r>
      <w:r>
        <w:t>that</w:t>
      </w:r>
      <w:r>
        <w:rPr>
          <w:spacing w:val="28"/>
        </w:rPr>
        <w:t xml:space="preserve"> </w:t>
      </w:r>
      <w:r>
        <w:t>would</w:t>
      </w:r>
      <w:r>
        <w:rPr>
          <w:spacing w:val="29"/>
        </w:rPr>
        <w:t xml:space="preserve"> </w:t>
      </w:r>
      <w:r>
        <w:t>have</w:t>
      </w:r>
      <w:r>
        <w:rPr>
          <w:spacing w:val="28"/>
        </w:rPr>
        <w:t xml:space="preserve"> </w:t>
      </w:r>
      <w:r>
        <w:t>the</w:t>
      </w:r>
      <w:r>
        <w:rPr>
          <w:spacing w:val="29"/>
        </w:rPr>
        <w:t xml:space="preserve"> </w:t>
      </w:r>
      <w:r>
        <w:t>consequence</w:t>
      </w:r>
      <w:r>
        <w:rPr>
          <w:spacing w:val="28"/>
        </w:rPr>
        <w:t xml:space="preserve"> </w:t>
      </w:r>
      <w:r>
        <w:t>that</w:t>
      </w:r>
      <w:r>
        <w:rPr>
          <w:spacing w:val="29"/>
        </w:rPr>
        <w:t xml:space="preserve"> </w:t>
      </w:r>
      <w:r>
        <w:t>one</w:t>
      </w:r>
      <w:r>
        <w:rPr>
          <w:spacing w:val="28"/>
        </w:rPr>
        <w:t xml:space="preserve"> </w:t>
      </w:r>
      <w:r>
        <w:t>couldn’t</w:t>
      </w:r>
      <w:r>
        <w:rPr>
          <w:spacing w:val="29"/>
        </w:rPr>
        <w:t xml:space="preserve"> </w:t>
      </w:r>
      <w:r>
        <w:t>possibly</w:t>
      </w:r>
      <w:r>
        <w:rPr>
          <w:spacing w:val="28"/>
        </w:rPr>
        <w:t xml:space="preserve"> </w:t>
      </w:r>
      <w:r>
        <w:t>draw</w:t>
      </w:r>
      <w:r>
        <w:rPr>
          <w:spacing w:val="29"/>
        </w:rPr>
        <w:t xml:space="preserve"> </w:t>
      </w:r>
      <w:r>
        <w:rPr>
          <w:spacing w:val="-10"/>
        </w:rPr>
        <w:t>a</w:t>
      </w:r>
    </w:p>
    <w:p w14:paraId="7E000CCB"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CCC" w14:textId="77777777" w:rsidR="009A58DB" w:rsidRDefault="00000000">
      <w:pPr>
        <w:pStyle w:val="BodyText"/>
        <w:spacing w:before="65" w:line="249" w:lineRule="auto"/>
        <w:ind w:right="362"/>
      </w:pPr>
      <w:r>
        <w:lastRenderedPageBreak/>
        <w:t>false inference from any sentence. Which, in its turn, would have the consequence that no sentence would mean anything. Which, since nothing meaningless is a sentence, would have the absurd consequence that there neither are, nor could be, sentences.</w:t>
      </w:r>
    </w:p>
    <w:p w14:paraId="7E000CCD" w14:textId="77777777" w:rsidR="009A58DB" w:rsidRDefault="00000000">
      <w:pPr>
        <w:pStyle w:val="BodyText"/>
        <w:spacing w:before="5" w:line="249" w:lineRule="auto"/>
        <w:ind w:right="358" w:firstLine="360"/>
      </w:pPr>
      <w:r>
        <w:t xml:space="preserve">Consider the sentence “Bill plagiarized his first novel.” If one knows that sentence to be true, one can make inferences about Bill’s character, his past activities, his ambitions, his values, and so on, that one couldn’t make if, other things being equal, one didn’t know that sentence to be true. But it’s only because of what the sentence </w:t>
      </w:r>
      <w:r>
        <w:rPr>
          <w:i/>
        </w:rPr>
        <w:t xml:space="preserve">already </w:t>
      </w:r>
      <w:r>
        <w:t xml:space="preserve">means that one can make those inferences. Given any other sentence, the same thing </w:t>
      </w:r>
      <w:r>
        <w:rPr>
          <w:i/>
        </w:rPr>
        <w:t xml:space="preserve">mutatis mutandis </w:t>
      </w:r>
      <w:r>
        <w:t>is true of it. CRS says that what a sentence means is determined by what we infer from it. Since it’s the other way around, as we’ve just seen, CRS is false.</w:t>
      </w:r>
    </w:p>
    <w:p w14:paraId="7E000CCE" w14:textId="77777777" w:rsidR="009A58DB" w:rsidRDefault="00000000">
      <w:pPr>
        <w:pStyle w:val="Heading1"/>
        <w:spacing w:before="197"/>
        <w:ind w:left="360" w:firstLine="0"/>
      </w:pPr>
      <w:r>
        <w:t>6.0</w:t>
      </w:r>
      <w:r>
        <w:rPr>
          <w:spacing w:val="-2"/>
        </w:rPr>
        <w:t xml:space="preserve"> </w:t>
      </w:r>
      <w:r>
        <w:t>What</w:t>
      </w:r>
      <w:r>
        <w:rPr>
          <w:spacing w:val="-3"/>
        </w:rPr>
        <w:t xml:space="preserve"> </w:t>
      </w:r>
      <w:r>
        <w:t>is</w:t>
      </w:r>
      <w:r>
        <w:rPr>
          <w:spacing w:val="-3"/>
        </w:rPr>
        <w:t xml:space="preserve"> </w:t>
      </w:r>
      <w:r>
        <w:t>literal</w:t>
      </w:r>
      <w:r>
        <w:rPr>
          <w:spacing w:val="-2"/>
        </w:rPr>
        <w:t xml:space="preserve"> meaning?</w:t>
      </w:r>
    </w:p>
    <w:p w14:paraId="7E000CCF" w14:textId="77777777" w:rsidR="009A58DB" w:rsidRDefault="00000000">
      <w:pPr>
        <w:pStyle w:val="BodyText"/>
        <w:spacing w:before="139" w:line="249" w:lineRule="auto"/>
        <w:ind w:right="360"/>
      </w:pPr>
      <w:r>
        <w:t xml:space="preserve">Where complex expressions are concerned, there is no limit to how much literal and understood meaning may diverge from each other. But where simple expressions are concerned, literal and understood meaning must coalesce. It makes no sense to suppose that people could be systematically wrong as to what “red” meant. If people </w:t>
      </w:r>
      <w:r>
        <w:rPr>
          <w:i/>
        </w:rPr>
        <w:t xml:space="preserve">thought </w:t>
      </w:r>
      <w:r>
        <w:t xml:space="preserve">that “red” meant what is in fact meant by “blue,” then “red” </w:t>
      </w:r>
      <w:r>
        <w:rPr>
          <w:i/>
        </w:rPr>
        <w:t xml:space="preserve">would </w:t>
      </w:r>
      <w:r>
        <w:t>have that meaning. Systematic, widespread error is impossible where semantically simple expressions are concerned. This gives us a way of understanding what literal meaning is.</w:t>
      </w:r>
    </w:p>
    <w:p w14:paraId="7E000CD0" w14:textId="77777777" w:rsidR="009A58DB" w:rsidRDefault="00000000">
      <w:pPr>
        <w:pStyle w:val="BodyText"/>
        <w:spacing w:before="10" w:line="249" w:lineRule="auto"/>
        <w:ind w:right="359" w:firstLine="360"/>
      </w:pPr>
      <w:r>
        <w:t xml:space="preserve">Even though there can be widespread, systematic misinterpretations of sentences, those misinterpretations do not arise as a result of people failing to know what the simple parts of sentences mean. They arise as a result of people not knowing how to put those meanings together. So </w:t>
      </w:r>
      <w:r>
        <w:rPr>
          <w:i/>
        </w:rPr>
        <w:t xml:space="preserve">to the extent </w:t>
      </w:r>
      <w:r>
        <w:t xml:space="preserve">that its meaning is fixed by the fact that it has the form ‹...Socrates...›, people (English speakers) </w:t>
      </w:r>
      <w:r>
        <w:rPr>
          <w:i/>
        </w:rPr>
        <w:t xml:space="preserve">do </w:t>
      </w:r>
      <w:r>
        <w:t xml:space="preserve">systematically understand “Socrates was more wise than Plato, but he was less sharp then Aristotle”; and </w:t>
      </w:r>
      <w:r>
        <w:rPr>
          <w:i/>
        </w:rPr>
        <w:t xml:space="preserve">to the extent </w:t>
      </w:r>
      <w:r>
        <w:t xml:space="preserve">that its meaning was determined by its having the form ‹...wise...›, people </w:t>
      </w:r>
      <w:r>
        <w:rPr>
          <w:i/>
        </w:rPr>
        <w:t xml:space="preserve">do </w:t>
      </w:r>
      <w:r>
        <w:t xml:space="preserve">understand that sentence; and so on. So far as that sentence </w:t>
      </w:r>
      <w:r>
        <w:rPr>
          <w:i/>
        </w:rPr>
        <w:t xml:space="preserve">is </w:t>
      </w:r>
      <w:r>
        <w:t>systematically misunderstood, it is because people are having trouble putting the meanings of its constituents together—it is because they’re having trouble figuring out how those meanings ought to be put together.</w:t>
      </w:r>
    </w:p>
    <w:p w14:paraId="7E000CD1" w14:textId="77777777" w:rsidR="009A58DB" w:rsidRDefault="00000000">
      <w:pPr>
        <w:pStyle w:val="BodyText"/>
        <w:spacing w:before="15"/>
        <w:ind w:left="720"/>
      </w:pPr>
      <w:r>
        <w:t>What</w:t>
      </w:r>
      <w:r>
        <w:rPr>
          <w:spacing w:val="4"/>
        </w:rPr>
        <w:t xml:space="preserve"> </w:t>
      </w:r>
      <w:r>
        <w:t>a</w:t>
      </w:r>
      <w:r>
        <w:rPr>
          <w:spacing w:val="5"/>
        </w:rPr>
        <w:t xml:space="preserve"> </w:t>
      </w:r>
      <w:r>
        <w:t>simple</w:t>
      </w:r>
      <w:r>
        <w:rPr>
          <w:spacing w:val="5"/>
        </w:rPr>
        <w:t xml:space="preserve"> </w:t>
      </w:r>
      <w:r>
        <w:t>expression</w:t>
      </w:r>
      <w:r>
        <w:rPr>
          <w:spacing w:val="5"/>
        </w:rPr>
        <w:t xml:space="preserve"> </w:t>
      </w:r>
      <w:r>
        <w:t>literally</w:t>
      </w:r>
      <w:r>
        <w:rPr>
          <w:spacing w:val="5"/>
        </w:rPr>
        <w:t xml:space="preserve"> </w:t>
      </w:r>
      <w:r>
        <w:t>means</w:t>
      </w:r>
      <w:r>
        <w:rPr>
          <w:spacing w:val="5"/>
        </w:rPr>
        <w:t xml:space="preserve"> </w:t>
      </w:r>
      <w:r>
        <w:t>is</w:t>
      </w:r>
      <w:r>
        <w:rPr>
          <w:spacing w:val="4"/>
        </w:rPr>
        <w:t xml:space="preserve"> </w:t>
      </w:r>
      <w:r>
        <w:t>determined</w:t>
      </w:r>
      <w:r>
        <w:rPr>
          <w:spacing w:val="5"/>
        </w:rPr>
        <w:t xml:space="preserve"> </w:t>
      </w:r>
      <w:r>
        <w:t>by</w:t>
      </w:r>
      <w:r>
        <w:rPr>
          <w:spacing w:val="5"/>
        </w:rPr>
        <w:t xml:space="preserve"> </w:t>
      </w:r>
      <w:r>
        <w:t>what</w:t>
      </w:r>
      <w:r>
        <w:rPr>
          <w:spacing w:val="5"/>
        </w:rPr>
        <w:t xml:space="preserve"> </w:t>
      </w:r>
      <w:r>
        <w:t>it</w:t>
      </w:r>
      <w:r>
        <w:rPr>
          <w:spacing w:val="5"/>
        </w:rPr>
        <w:t xml:space="preserve"> </w:t>
      </w:r>
      <w:r>
        <w:t>is</w:t>
      </w:r>
      <w:r>
        <w:rPr>
          <w:spacing w:val="5"/>
        </w:rPr>
        <w:t xml:space="preserve"> </w:t>
      </w:r>
      <w:r>
        <w:t>that</w:t>
      </w:r>
      <w:r>
        <w:rPr>
          <w:spacing w:val="5"/>
        </w:rPr>
        <w:t xml:space="preserve"> </w:t>
      </w:r>
      <w:r>
        <w:rPr>
          <w:spacing w:val="-10"/>
        </w:rPr>
        <w:t>a</w:t>
      </w:r>
    </w:p>
    <w:p w14:paraId="7E000CD2" w14:textId="77777777" w:rsidR="009A58DB" w:rsidRDefault="009A58DB">
      <w:pPr>
        <w:pStyle w:val="BodyText"/>
        <w:sectPr w:rsidR="009A58DB">
          <w:pgSz w:w="12240" w:h="15840"/>
          <w:pgMar w:top="1380" w:right="1080" w:bottom="280" w:left="1080" w:header="720" w:footer="720" w:gutter="0"/>
          <w:cols w:space="720"/>
        </w:sectPr>
      </w:pPr>
    </w:p>
    <w:p w14:paraId="7E000CD3" w14:textId="77777777" w:rsidR="009A58DB" w:rsidRDefault="00000000">
      <w:pPr>
        <w:pStyle w:val="BodyText"/>
        <w:spacing w:before="60" w:line="249" w:lineRule="auto"/>
        <w:ind w:right="358"/>
      </w:pPr>
      <w:r>
        <w:lastRenderedPageBreak/>
        <w:t>sentence</w:t>
      </w:r>
      <w:r>
        <w:rPr>
          <w:spacing w:val="-10"/>
        </w:rPr>
        <w:t xml:space="preserve"> </w:t>
      </w:r>
      <w:r>
        <w:t>means</w:t>
      </w:r>
      <w:r>
        <w:rPr>
          <w:spacing w:val="-10"/>
        </w:rPr>
        <w:t xml:space="preserve"> </w:t>
      </w:r>
      <w:r>
        <w:t>by</w:t>
      </w:r>
      <w:r>
        <w:rPr>
          <w:spacing w:val="-10"/>
        </w:rPr>
        <w:t xml:space="preserve"> </w:t>
      </w:r>
      <w:r>
        <w:t>virtue</w:t>
      </w:r>
      <w:r>
        <w:rPr>
          <w:spacing w:val="-10"/>
        </w:rPr>
        <w:t xml:space="preserve"> </w:t>
      </w:r>
      <w:r>
        <w:t>of</w:t>
      </w:r>
      <w:r>
        <w:rPr>
          <w:spacing w:val="-10"/>
        </w:rPr>
        <w:t xml:space="preserve"> </w:t>
      </w:r>
      <w:r>
        <w:t>containing</w:t>
      </w:r>
      <w:r>
        <w:rPr>
          <w:spacing w:val="-10"/>
        </w:rPr>
        <w:t xml:space="preserve"> </w:t>
      </w:r>
      <w:r>
        <w:t>it.</w:t>
      </w:r>
      <w:r>
        <w:rPr>
          <w:spacing w:val="-10"/>
        </w:rPr>
        <w:t xml:space="preserve"> </w:t>
      </w:r>
      <w:r>
        <w:t>Since,</w:t>
      </w:r>
      <w:r>
        <w:rPr>
          <w:spacing w:val="-10"/>
        </w:rPr>
        <w:t xml:space="preserve"> </w:t>
      </w:r>
      <w:r>
        <w:t>where</w:t>
      </w:r>
      <w:r>
        <w:rPr>
          <w:spacing w:val="-10"/>
        </w:rPr>
        <w:t xml:space="preserve"> </w:t>
      </w:r>
      <w:r>
        <w:t>simple</w:t>
      </w:r>
      <w:r>
        <w:rPr>
          <w:spacing w:val="-10"/>
        </w:rPr>
        <w:t xml:space="preserve"> </w:t>
      </w:r>
      <w:r>
        <w:t>expressions</w:t>
      </w:r>
      <w:r>
        <w:rPr>
          <w:spacing w:val="-10"/>
        </w:rPr>
        <w:t xml:space="preserve"> </w:t>
      </w:r>
      <w:r>
        <w:t xml:space="preserve">are </w:t>
      </w:r>
      <w:r>
        <w:rPr>
          <w:spacing w:val="-4"/>
        </w:rPr>
        <w:t>concerned,</w:t>
      </w:r>
      <w:r>
        <w:rPr>
          <w:spacing w:val="-15"/>
        </w:rPr>
        <w:t xml:space="preserve"> </w:t>
      </w:r>
      <w:r>
        <w:rPr>
          <w:spacing w:val="-4"/>
        </w:rPr>
        <w:t>what</w:t>
      </w:r>
      <w:r>
        <w:rPr>
          <w:spacing w:val="-15"/>
        </w:rPr>
        <w:t xml:space="preserve"> </w:t>
      </w:r>
      <w:r>
        <w:rPr>
          <w:spacing w:val="-4"/>
        </w:rPr>
        <w:t>people</w:t>
      </w:r>
      <w:r>
        <w:rPr>
          <w:spacing w:val="-14"/>
        </w:rPr>
        <w:t xml:space="preserve"> </w:t>
      </w:r>
      <w:r>
        <w:rPr>
          <w:spacing w:val="-4"/>
        </w:rPr>
        <w:t>take</w:t>
      </w:r>
      <w:r>
        <w:rPr>
          <w:spacing w:val="-15"/>
        </w:rPr>
        <w:t xml:space="preserve"> </w:t>
      </w:r>
      <w:r>
        <w:rPr>
          <w:spacing w:val="-4"/>
        </w:rPr>
        <w:t>literal</w:t>
      </w:r>
      <w:r>
        <w:rPr>
          <w:spacing w:val="-15"/>
        </w:rPr>
        <w:t xml:space="preserve"> </w:t>
      </w:r>
      <w:r>
        <w:rPr>
          <w:spacing w:val="-4"/>
        </w:rPr>
        <w:t>meaning</w:t>
      </w:r>
      <w:r>
        <w:rPr>
          <w:spacing w:val="-14"/>
        </w:rPr>
        <w:t xml:space="preserve"> </w:t>
      </w:r>
      <w:r>
        <w:rPr>
          <w:spacing w:val="-4"/>
        </w:rPr>
        <w:t>to</w:t>
      </w:r>
      <w:r>
        <w:rPr>
          <w:spacing w:val="-15"/>
        </w:rPr>
        <w:t xml:space="preserve"> </w:t>
      </w:r>
      <w:r>
        <w:rPr>
          <w:spacing w:val="-4"/>
        </w:rPr>
        <w:t>be</w:t>
      </w:r>
      <w:r>
        <w:rPr>
          <w:spacing w:val="-15"/>
        </w:rPr>
        <w:t xml:space="preserve"> </w:t>
      </w:r>
      <w:r>
        <w:rPr>
          <w:spacing w:val="-4"/>
        </w:rPr>
        <w:t>coincides</w:t>
      </w:r>
      <w:r>
        <w:rPr>
          <w:spacing w:val="-14"/>
        </w:rPr>
        <w:t xml:space="preserve"> </w:t>
      </w:r>
      <w:r>
        <w:rPr>
          <w:spacing w:val="-4"/>
        </w:rPr>
        <w:t>with</w:t>
      </w:r>
      <w:r>
        <w:rPr>
          <w:spacing w:val="-15"/>
        </w:rPr>
        <w:t xml:space="preserve"> </w:t>
      </w:r>
      <w:r>
        <w:rPr>
          <w:spacing w:val="-4"/>
        </w:rPr>
        <w:t>what</w:t>
      </w:r>
      <w:r>
        <w:rPr>
          <w:spacing w:val="-15"/>
        </w:rPr>
        <w:t xml:space="preserve"> </w:t>
      </w:r>
      <w:r>
        <w:rPr>
          <w:spacing w:val="-4"/>
        </w:rPr>
        <w:t>it</w:t>
      </w:r>
      <w:r>
        <w:rPr>
          <w:spacing w:val="-14"/>
        </w:rPr>
        <w:t xml:space="preserve"> </w:t>
      </w:r>
      <w:r>
        <w:rPr>
          <w:spacing w:val="-4"/>
        </w:rPr>
        <w:t>really</w:t>
      </w:r>
      <w:r>
        <w:rPr>
          <w:spacing w:val="-15"/>
        </w:rPr>
        <w:t xml:space="preserve"> </w:t>
      </w:r>
      <w:r>
        <w:rPr>
          <w:spacing w:val="-4"/>
        </w:rPr>
        <w:t xml:space="preserve">is, </w:t>
      </w:r>
      <w:r>
        <w:t>a</w:t>
      </w:r>
      <w:r>
        <w:rPr>
          <w:spacing w:val="-11"/>
        </w:rPr>
        <w:t xml:space="preserve"> </w:t>
      </w:r>
      <w:r>
        <w:t>simple</w:t>
      </w:r>
      <w:r>
        <w:rPr>
          <w:spacing w:val="-11"/>
        </w:rPr>
        <w:t xml:space="preserve"> </w:t>
      </w:r>
      <w:r>
        <w:t>expression’s</w:t>
      </w:r>
      <w:r>
        <w:rPr>
          <w:spacing w:val="-11"/>
        </w:rPr>
        <w:t xml:space="preserve"> </w:t>
      </w:r>
      <w:r>
        <w:t>literal</w:t>
      </w:r>
      <w:r>
        <w:rPr>
          <w:spacing w:val="-11"/>
        </w:rPr>
        <w:t xml:space="preserve"> </w:t>
      </w:r>
      <w:r>
        <w:t>meaning</w:t>
      </w:r>
      <w:r>
        <w:rPr>
          <w:spacing w:val="-11"/>
        </w:rPr>
        <w:t xml:space="preserve"> </w:t>
      </w:r>
      <w:r>
        <w:t>coincides</w:t>
      </w:r>
      <w:r>
        <w:rPr>
          <w:spacing w:val="-11"/>
        </w:rPr>
        <w:t xml:space="preserve"> </w:t>
      </w:r>
      <w:r>
        <w:t>with</w:t>
      </w:r>
      <w:r>
        <w:rPr>
          <w:spacing w:val="-11"/>
        </w:rPr>
        <w:t xml:space="preserve"> </w:t>
      </w:r>
      <w:r>
        <w:t>what</w:t>
      </w:r>
      <w:r>
        <w:rPr>
          <w:spacing w:val="-11"/>
        </w:rPr>
        <w:t xml:space="preserve"> </w:t>
      </w:r>
      <w:r>
        <w:t>it</w:t>
      </w:r>
      <w:r>
        <w:rPr>
          <w:spacing w:val="-11"/>
        </w:rPr>
        <w:t xml:space="preserve"> </w:t>
      </w:r>
      <w:r>
        <w:t>is</w:t>
      </w:r>
      <w:r>
        <w:rPr>
          <w:spacing w:val="-11"/>
        </w:rPr>
        <w:t xml:space="preserve"> </w:t>
      </w:r>
      <w:r>
        <w:t>that,</w:t>
      </w:r>
      <w:r>
        <w:rPr>
          <w:spacing w:val="-11"/>
        </w:rPr>
        <w:t xml:space="preserve"> </w:t>
      </w:r>
      <w:r>
        <w:t>in</w:t>
      </w:r>
      <w:r>
        <w:rPr>
          <w:spacing w:val="-11"/>
        </w:rPr>
        <w:t xml:space="preserve"> </w:t>
      </w:r>
      <w:r>
        <w:t>virtue</w:t>
      </w:r>
      <w:r>
        <w:rPr>
          <w:spacing w:val="-11"/>
        </w:rPr>
        <w:t xml:space="preserve"> </w:t>
      </w:r>
      <w:r>
        <w:t xml:space="preserve">of </w:t>
      </w:r>
      <w:r>
        <w:rPr>
          <w:spacing w:val="-4"/>
        </w:rPr>
        <w:t>containing</w:t>
      </w:r>
      <w:r>
        <w:rPr>
          <w:spacing w:val="-15"/>
        </w:rPr>
        <w:t xml:space="preserve"> </w:t>
      </w:r>
      <w:r>
        <w:rPr>
          <w:spacing w:val="-4"/>
        </w:rPr>
        <w:t>that</w:t>
      </w:r>
      <w:r>
        <w:rPr>
          <w:spacing w:val="-15"/>
        </w:rPr>
        <w:t xml:space="preserve"> </w:t>
      </w:r>
      <w:r>
        <w:rPr>
          <w:spacing w:val="-4"/>
        </w:rPr>
        <w:t>expression,</w:t>
      </w:r>
      <w:r>
        <w:rPr>
          <w:spacing w:val="-15"/>
        </w:rPr>
        <w:t xml:space="preserve"> </w:t>
      </w:r>
      <w:r>
        <w:rPr>
          <w:spacing w:val="-4"/>
        </w:rPr>
        <w:t>sentences</w:t>
      </w:r>
      <w:r>
        <w:rPr>
          <w:spacing w:val="-14"/>
        </w:rPr>
        <w:t xml:space="preserve"> </w:t>
      </w:r>
      <w:r>
        <w:rPr>
          <w:spacing w:val="-4"/>
        </w:rPr>
        <w:t>are</w:t>
      </w:r>
      <w:r>
        <w:rPr>
          <w:spacing w:val="-15"/>
        </w:rPr>
        <w:t xml:space="preserve"> </w:t>
      </w:r>
      <w:r>
        <w:rPr>
          <w:i/>
          <w:spacing w:val="-4"/>
        </w:rPr>
        <w:t>taken</w:t>
      </w:r>
      <w:r>
        <w:rPr>
          <w:i/>
          <w:spacing w:val="-15"/>
        </w:rPr>
        <w:t xml:space="preserve"> </w:t>
      </w:r>
      <w:r>
        <w:rPr>
          <w:spacing w:val="-4"/>
        </w:rPr>
        <w:t>to</w:t>
      </w:r>
      <w:r>
        <w:rPr>
          <w:spacing w:val="-15"/>
        </w:rPr>
        <w:t xml:space="preserve"> </w:t>
      </w:r>
      <w:r>
        <w:rPr>
          <w:spacing w:val="-4"/>
        </w:rPr>
        <w:t>mean.</w:t>
      </w:r>
      <w:r>
        <w:rPr>
          <w:spacing w:val="-14"/>
        </w:rPr>
        <w:t xml:space="preserve"> </w:t>
      </w:r>
      <w:r>
        <w:rPr>
          <w:spacing w:val="-4"/>
        </w:rPr>
        <w:t>So</w:t>
      </w:r>
      <w:r>
        <w:rPr>
          <w:spacing w:val="-15"/>
        </w:rPr>
        <w:t xml:space="preserve"> </w:t>
      </w:r>
      <w:r>
        <w:rPr>
          <w:spacing w:val="-4"/>
        </w:rPr>
        <w:t>a</w:t>
      </w:r>
      <w:r>
        <w:rPr>
          <w:spacing w:val="-15"/>
        </w:rPr>
        <w:t xml:space="preserve"> </w:t>
      </w:r>
      <w:r>
        <w:rPr>
          <w:spacing w:val="-4"/>
        </w:rPr>
        <w:t>simple</w:t>
      </w:r>
      <w:r>
        <w:rPr>
          <w:spacing w:val="-15"/>
        </w:rPr>
        <w:t xml:space="preserve"> </w:t>
      </w:r>
      <w:r>
        <w:rPr>
          <w:spacing w:val="-4"/>
        </w:rPr>
        <w:t xml:space="preserve">expression’s </w:t>
      </w:r>
      <w:r>
        <w:t xml:space="preserve">literal meaning is given by a statement saying what it is that, by virtue of containing it, sentences are taken to mean; and a complex expression’s literal </w:t>
      </w:r>
      <w:r>
        <w:rPr>
          <w:spacing w:val="-2"/>
        </w:rPr>
        <w:t>meaning</w:t>
      </w:r>
      <w:r>
        <w:rPr>
          <w:spacing w:val="-14"/>
        </w:rPr>
        <w:t xml:space="preserve"> </w:t>
      </w:r>
      <w:r>
        <w:rPr>
          <w:spacing w:val="-2"/>
        </w:rPr>
        <w:t>is</w:t>
      </w:r>
      <w:r>
        <w:rPr>
          <w:spacing w:val="-14"/>
        </w:rPr>
        <w:t xml:space="preserve"> </w:t>
      </w:r>
      <w:r>
        <w:rPr>
          <w:spacing w:val="-2"/>
        </w:rPr>
        <w:t>a</w:t>
      </w:r>
      <w:r>
        <w:rPr>
          <w:spacing w:val="-14"/>
        </w:rPr>
        <w:t xml:space="preserve"> </w:t>
      </w:r>
      <w:r>
        <w:rPr>
          <w:spacing w:val="-2"/>
        </w:rPr>
        <w:t>function,</w:t>
      </w:r>
      <w:r>
        <w:rPr>
          <w:spacing w:val="-14"/>
        </w:rPr>
        <w:t xml:space="preserve"> </w:t>
      </w:r>
      <w:r>
        <w:rPr>
          <w:spacing w:val="-2"/>
        </w:rPr>
        <w:t>in</w:t>
      </w:r>
      <w:r>
        <w:rPr>
          <w:spacing w:val="-14"/>
        </w:rPr>
        <w:t xml:space="preserve"> </w:t>
      </w:r>
      <w:r>
        <w:rPr>
          <w:spacing w:val="-2"/>
        </w:rPr>
        <w:t>the</w:t>
      </w:r>
      <w:r>
        <w:rPr>
          <w:spacing w:val="-14"/>
        </w:rPr>
        <w:t xml:space="preserve"> </w:t>
      </w:r>
      <w:r>
        <w:rPr>
          <w:spacing w:val="-2"/>
        </w:rPr>
        <w:t>mathematical</w:t>
      </w:r>
      <w:r>
        <w:rPr>
          <w:spacing w:val="-14"/>
        </w:rPr>
        <w:t xml:space="preserve"> </w:t>
      </w:r>
      <w:r>
        <w:rPr>
          <w:spacing w:val="-2"/>
        </w:rPr>
        <w:t>sense,</w:t>
      </w:r>
      <w:r>
        <w:rPr>
          <w:spacing w:val="-14"/>
        </w:rPr>
        <w:t xml:space="preserve"> </w:t>
      </w:r>
      <w:r>
        <w:rPr>
          <w:spacing w:val="-2"/>
        </w:rPr>
        <w:t>of</w:t>
      </w:r>
      <w:r>
        <w:rPr>
          <w:spacing w:val="-14"/>
        </w:rPr>
        <w:t xml:space="preserve"> </w:t>
      </w:r>
      <w:r>
        <w:rPr>
          <w:spacing w:val="-2"/>
        </w:rPr>
        <w:t>the</w:t>
      </w:r>
      <w:r>
        <w:rPr>
          <w:spacing w:val="-14"/>
        </w:rPr>
        <w:t xml:space="preserve"> </w:t>
      </w:r>
      <w:r>
        <w:rPr>
          <w:spacing w:val="-2"/>
        </w:rPr>
        <w:t>meanings</w:t>
      </w:r>
      <w:r>
        <w:rPr>
          <w:spacing w:val="-14"/>
        </w:rPr>
        <w:t xml:space="preserve"> </w:t>
      </w:r>
      <w:r>
        <w:rPr>
          <w:spacing w:val="-2"/>
        </w:rPr>
        <w:t>of</w:t>
      </w:r>
      <w:r>
        <w:rPr>
          <w:spacing w:val="-14"/>
        </w:rPr>
        <w:t xml:space="preserve"> </w:t>
      </w:r>
      <w:r>
        <w:rPr>
          <w:spacing w:val="-2"/>
        </w:rPr>
        <w:t>its</w:t>
      </w:r>
      <w:r>
        <w:rPr>
          <w:spacing w:val="-14"/>
        </w:rPr>
        <w:t xml:space="preserve"> </w:t>
      </w:r>
      <w:r>
        <w:rPr>
          <w:spacing w:val="-2"/>
        </w:rPr>
        <w:t>parts.</w:t>
      </w:r>
    </w:p>
    <w:p w14:paraId="7E000CD4" w14:textId="77777777" w:rsidR="009A58DB" w:rsidRDefault="00000000">
      <w:pPr>
        <w:pStyle w:val="BodyText"/>
        <w:spacing w:before="13" w:line="249" w:lineRule="auto"/>
        <w:ind w:right="359" w:firstLine="360"/>
      </w:pPr>
      <w:r>
        <w:t xml:space="preserve">Here’s an illustration. “Socrates” is a simple expression. So what people think it means must ultimately coincide with what it actually means. So it refers to Socrates only because people think it refers to Socrates and, therefore, only because people think that “Socrates is intelligent” attributes intelligence to Socrates and, in general, that ‹...Socrates...› attributes...x...to </w:t>
      </w:r>
      <w:r>
        <w:rPr>
          <w:spacing w:val="-2"/>
        </w:rPr>
        <w:t>Socrates.</w:t>
      </w:r>
    </w:p>
    <w:p w14:paraId="7E000CD5" w14:textId="77777777" w:rsidR="009A58DB" w:rsidRDefault="00000000">
      <w:pPr>
        <w:pStyle w:val="BodyText"/>
        <w:spacing w:before="8" w:line="249" w:lineRule="auto"/>
        <w:ind w:right="358" w:firstLine="360"/>
      </w:pPr>
      <w:r>
        <w:t xml:space="preserve">Of course, people don’t always take utterances of ‹...Socrates... › to be attempts to </w:t>
      </w:r>
      <w:r>
        <w:rPr>
          <w:i/>
        </w:rPr>
        <w:t xml:space="preserve">say </w:t>
      </w:r>
      <w:r>
        <w:t xml:space="preserve">that Socrates has...x... It might be clear from the speaker’s tone that what he </w:t>
      </w:r>
      <w:r>
        <w:rPr>
          <w:i/>
        </w:rPr>
        <w:t xml:space="preserve">really </w:t>
      </w:r>
      <w:r>
        <w:t>meant when in saying “Socrates was wise” was that Socrates</w:t>
      </w:r>
      <w:r>
        <w:rPr>
          <w:spacing w:val="-3"/>
        </w:rPr>
        <w:t xml:space="preserve"> </w:t>
      </w:r>
      <w:r>
        <w:t>was</w:t>
      </w:r>
      <w:r>
        <w:rPr>
          <w:spacing w:val="-3"/>
        </w:rPr>
        <w:t xml:space="preserve"> </w:t>
      </w:r>
      <w:r>
        <w:rPr>
          <w:i/>
        </w:rPr>
        <w:t>not</w:t>
      </w:r>
      <w:r>
        <w:rPr>
          <w:i/>
          <w:spacing w:val="-3"/>
        </w:rPr>
        <w:t xml:space="preserve"> </w:t>
      </w:r>
      <w:r>
        <w:t>wise.</w:t>
      </w:r>
      <w:r>
        <w:rPr>
          <w:spacing w:val="-2"/>
        </w:rPr>
        <w:t xml:space="preserve"> </w:t>
      </w:r>
      <w:r>
        <w:t>But</w:t>
      </w:r>
      <w:r>
        <w:rPr>
          <w:spacing w:val="-3"/>
        </w:rPr>
        <w:t xml:space="preserve"> </w:t>
      </w:r>
      <w:r>
        <w:rPr>
          <w:i/>
        </w:rPr>
        <w:t xml:space="preserve">to the extent </w:t>
      </w:r>
      <w:r>
        <w:t>that their belief that “Socrates” refers to</w:t>
      </w:r>
      <w:r>
        <w:rPr>
          <w:spacing w:val="-3"/>
        </w:rPr>
        <w:t xml:space="preserve"> </w:t>
      </w:r>
      <w:r>
        <w:t>Socrates</w:t>
      </w:r>
      <w:r>
        <w:rPr>
          <w:spacing w:val="-4"/>
        </w:rPr>
        <w:t xml:space="preserve"> </w:t>
      </w:r>
      <w:r>
        <w:t>is</w:t>
      </w:r>
      <w:r>
        <w:rPr>
          <w:spacing w:val="-4"/>
        </w:rPr>
        <w:t xml:space="preserve"> </w:t>
      </w:r>
      <w:r>
        <w:t>determinative</w:t>
      </w:r>
      <w:r>
        <w:rPr>
          <w:spacing w:val="-4"/>
        </w:rPr>
        <w:t xml:space="preserve"> </w:t>
      </w:r>
      <w:r>
        <w:t>of</w:t>
      </w:r>
      <w:r>
        <w:rPr>
          <w:spacing w:val="-4"/>
        </w:rPr>
        <w:t xml:space="preserve"> </w:t>
      </w:r>
      <w:r>
        <w:t>what</w:t>
      </w:r>
      <w:r>
        <w:rPr>
          <w:spacing w:val="-4"/>
        </w:rPr>
        <w:t xml:space="preserve"> </w:t>
      </w:r>
      <w:r>
        <w:t>people</w:t>
      </w:r>
      <w:r>
        <w:rPr>
          <w:spacing w:val="-4"/>
        </w:rPr>
        <w:t xml:space="preserve"> </w:t>
      </w:r>
      <w:r>
        <w:t>take</w:t>
      </w:r>
      <w:r>
        <w:rPr>
          <w:spacing w:val="-4"/>
        </w:rPr>
        <w:t xml:space="preserve"> </w:t>
      </w:r>
      <w:r>
        <w:t>the</w:t>
      </w:r>
      <w:r>
        <w:rPr>
          <w:spacing w:val="-4"/>
        </w:rPr>
        <w:t xml:space="preserve"> </w:t>
      </w:r>
      <w:r>
        <w:t>meanings</w:t>
      </w:r>
      <w:r>
        <w:rPr>
          <w:spacing w:val="-4"/>
        </w:rPr>
        <w:t xml:space="preserve"> </w:t>
      </w:r>
      <w:r>
        <w:t>of</w:t>
      </w:r>
      <w:r>
        <w:rPr>
          <w:spacing w:val="-4"/>
        </w:rPr>
        <w:t xml:space="preserve"> </w:t>
      </w:r>
      <w:r>
        <w:t>utterances</w:t>
      </w:r>
      <w:r>
        <w:rPr>
          <w:spacing w:val="-4"/>
        </w:rPr>
        <w:t xml:space="preserve"> </w:t>
      </w:r>
      <w:r>
        <w:t xml:space="preserve">of the form ‹...Socrates...› to be saying, what they take it to be saying is that Socrates has...x... That is what it is for them to take “Socrates” to refer to Socrates. And their taking “Socrates” to refer to Socrates </w:t>
      </w:r>
      <w:r>
        <w:rPr>
          <w:i/>
        </w:rPr>
        <w:t xml:space="preserve">is </w:t>
      </w:r>
      <w:r>
        <w:t xml:space="preserve">for “Socrates” to refer to Socrates, given that “Socrates,” being a simple expression, has the semantics that people think it has. The same thing </w:t>
      </w:r>
      <w:r>
        <w:rPr>
          <w:i/>
        </w:rPr>
        <w:t xml:space="preserve">mutatis mutandis </w:t>
      </w:r>
      <w:r>
        <w:t>is true of every other simple expression.</w:t>
      </w:r>
    </w:p>
    <w:p w14:paraId="7E000CD6" w14:textId="77777777" w:rsidR="009A58DB" w:rsidRDefault="00000000">
      <w:pPr>
        <w:pStyle w:val="BodyText"/>
        <w:spacing w:before="13" w:line="249" w:lineRule="auto"/>
        <w:ind w:right="365" w:firstLine="360"/>
      </w:pPr>
      <w:r>
        <w:t>Bearing these points in mind, let CE be any complex expression, and let e</w:t>
      </w:r>
      <w:r>
        <w:rPr>
          <w:vertAlign w:val="subscript"/>
        </w:rPr>
        <w:t>1</w:t>
      </w:r>
      <w:r>
        <w:t>...e</w:t>
      </w:r>
      <w:r>
        <w:rPr>
          <w:position w:val="-7"/>
          <w:sz w:val="22"/>
        </w:rPr>
        <w:t xml:space="preserve">n </w:t>
      </w:r>
      <w:r>
        <w:t xml:space="preserve">be the simple expressions composing it. How people interpret CE may diverge from its literal meaning. But when this happens, it’s because what it is taken to mean diverges from what, given what people believe its simple parts to literally mean, people are </w:t>
      </w:r>
      <w:r>
        <w:rPr>
          <w:i/>
        </w:rPr>
        <w:t xml:space="preserve">disposed </w:t>
      </w:r>
      <w:r>
        <w:t>to take it to mean.</w:t>
      </w:r>
    </w:p>
    <w:p w14:paraId="7E000CD7" w14:textId="77777777" w:rsidR="009A58DB" w:rsidRDefault="00000000">
      <w:pPr>
        <w:pStyle w:val="BodyText"/>
        <w:spacing w:before="4" w:line="249" w:lineRule="auto"/>
        <w:ind w:right="371" w:firstLine="360"/>
      </w:pPr>
      <w:r>
        <w:t>Since</w:t>
      </w:r>
      <w:r>
        <w:rPr>
          <w:spacing w:val="-4"/>
        </w:rPr>
        <w:t xml:space="preserve"> </w:t>
      </w:r>
      <w:r>
        <w:t>what</w:t>
      </w:r>
      <w:r>
        <w:rPr>
          <w:spacing w:val="-4"/>
        </w:rPr>
        <w:t xml:space="preserve"> </w:t>
      </w:r>
      <w:r>
        <w:t>people</w:t>
      </w:r>
      <w:r>
        <w:rPr>
          <w:spacing w:val="-4"/>
        </w:rPr>
        <w:t xml:space="preserve"> </w:t>
      </w:r>
      <w:r>
        <w:t>take</w:t>
      </w:r>
      <w:r>
        <w:rPr>
          <w:spacing w:val="-4"/>
        </w:rPr>
        <w:t xml:space="preserve"> </w:t>
      </w:r>
      <w:r>
        <w:t>simple</w:t>
      </w:r>
      <w:r>
        <w:rPr>
          <w:spacing w:val="-4"/>
        </w:rPr>
        <w:t xml:space="preserve"> </w:t>
      </w:r>
      <w:r>
        <w:t>expressions</w:t>
      </w:r>
      <w:r>
        <w:rPr>
          <w:spacing w:val="-4"/>
        </w:rPr>
        <w:t xml:space="preserve"> </w:t>
      </w:r>
      <w:r>
        <w:t>to</w:t>
      </w:r>
      <w:r>
        <w:rPr>
          <w:spacing w:val="-3"/>
        </w:rPr>
        <w:t xml:space="preserve"> </w:t>
      </w:r>
      <w:r>
        <w:t>mean</w:t>
      </w:r>
      <w:r>
        <w:rPr>
          <w:spacing w:val="-3"/>
        </w:rPr>
        <w:t xml:space="preserve"> </w:t>
      </w:r>
      <w:r>
        <w:rPr>
          <w:i/>
        </w:rPr>
        <w:t>is</w:t>
      </w:r>
      <w:r>
        <w:rPr>
          <w:i/>
          <w:spacing w:val="-4"/>
        </w:rPr>
        <w:t xml:space="preserve"> </w:t>
      </w:r>
      <w:r>
        <w:t>what</w:t>
      </w:r>
      <w:r>
        <w:rPr>
          <w:spacing w:val="-4"/>
        </w:rPr>
        <w:t xml:space="preserve"> </w:t>
      </w:r>
      <w:r>
        <w:t>they</w:t>
      </w:r>
      <w:r>
        <w:rPr>
          <w:spacing w:val="-3"/>
        </w:rPr>
        <w:t xml:space="preserve"> </w:t>
      </w:r>
      <w:r>
        <w:t>mean,</w:t>
      </w:r>
      <w:r>
        <w:rPr>
          <w:spacing w:val="-3"/>
        </w:rPr>
        <w:t xml:space="preserve"> </w:t>
      </w:r>
      <w:r>
        <w:t>this is the same as saying the following. A divergence between</w:t>
      </w:r>
    </w:p>
    <w:p w14:paraId="7E000CD8" w14:textId="77777777" w:rsidR="009A58DB" w:rsidRDefault="00000000">
      <w:pPr>
        <w:pStyle w:val="ListParagraph"/>
        <w:numPr>
          <w:ilvl w:val="0"/>
          <w:numId w:val="184"/>
        </w:numPr>
        <w:tabs>
          <w:tab w:val="left" w:pos="715"/>
        </w:tabs>
        <w:spacing w:before="107" w:line="312" w:lineRule="auto"/>
        <w:ind w:right="6021" w:firstLine="0"/>
        <w:rPr>
          <w:sz w:val="30"/>
        </w:rPr>
      </w:pPr>
      <w:r>
        <w:rPr>
          <w:sz w:val="30"/>
        </w:rPr>
        <w:t>a</w:t>
      </w:r>
      <w:r>
        <w:rPr>
          <w:spacing w:val="-13"/>
          <w:sz w:val="30"/>
        </w:rPr>
        <w:t xml:space="preserve"> </w:t>
      </w:r>
      <w:r>
        <w:rPr>
          <w:sz w:val="30"/>
        </w:rPr>
        <w:t>sentence’s</w:t>
      </w:r>
      <w:r>
        <w:rPr>
          <w:spacing w:val="-13"/>
          <w:sz w:val="30"/>
        </w:rPr>
        <w:t xml:space="preserve"> </w:t>
      </w:r>
      <w:r>
        <w:rPr>
          <w:sz w:val="30"/>
        </w:rPr>
        <w:t>literal</w:t>
      </w:r>
      <w:r>
        <w:rPr>
          <w:spacing w:val="-13"/>
          <w:sz w:val="30"/>
        </w:rPr>
        <w:t xml:space="preserve"> </w:t>
      </w:r>
      <w:r>
        <w:rPr>
          <w:sz w:val="30"/>
        </w:rPr>
        <w:t xml:space="preserve">meaning </w:t>
      </w:r>
      <w:r>
        <w:rPr>
          <w:spacing w:val="-4"/>
          <w:sz w:val="30"/>
        </w:rPr>
        <w:t>and</w:t>
      </w:r>
    </w:p>
    <w:p w14:paraId="7E000CD9" w14:textId="77777777" w:rsidR="009A58DB" w:rsidRDefault="00000000">
      <w:pPr>
        <w:pStyle w:val="ListParagraph"/>
        <w:numPr>
          <w:ilvl w:val="0"/>
          <w:numId w:val="184"/>
        </w:numPr>
        <w:tabs>
          <w:tab w:val="left" w:pos="797"/>
        </w:tabs>
        <w:spacing w:before="18"/>
        <w:ind w:left="797" w:hanging="437"/>
        <w:rPr>
          <w:sz w:val="30"/>
        </w:rPr>
      </w:pPr>
      <w:r>
        <w:rPr>
          <w:sz w:val="30"/>
        </w:rPr>
        <w:t>that</w:t>
      </w:r>
      <w:r>
        <w:rPr>
          <w:spacing w:val="-6"/>
          <w:sz w:val="30"/>
        </w:rPr>
        <w:t xml:space="preserve"> </w:t>
      </w:r>
      <w:r>
        <w:rPr>
          <w:sz w:val="30"/>
        </w:rPr>
        <w:t>sentence’s</w:t>
      </w:r>
      <w:r>
        <w:rPr>
          <w:spacing w:val="-5"/>
          <w:sz w:val="30"/>
        </w:rPr>
        <w:t xml:space="preserve"> </w:t>
      </w:r>
      <w:r>
        <w:rPr>
          <w:sz w:val="30"/>
        </w:rPr>
        <w:t>understood</w:t>
      </w:r>
      <w:r>
        <w:rPr>
          <w:spacing w:val="-4"/>
          <w:sz w:val="30"/>
        </w:rPr>
        <w:t xml:space="preserve"> </w:t>
      </w:r>
      <w:r>
        <w:rPr>
          <w:spacing w:val="-2"/>
          <w:sz w:val="30"/>
        </w:rPr>
        <w:t>meaning</w:t>
      </w:r>
    </w:p>
    <w:p w14:paraId="7E000CDA"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0CDB" w14:textId="77777777" w:rsidR="009A58DB" w:rsidRDefault="00000000">
      <w:pPr>
        <w:pStyle w:val="BodyText"/>
        <w:spacing w:before="65"/>
        <w:jc w:val="left"/>
      </w:pPr>
      <w:r>
        <w:lastRenderedPageBreak/>
        <w:t>is</w:t>
      </w:r>
      <w:r>
        <w:rPr>
          <w:spacing w:val="-5"/>
        </w:rPr>
        <w:t xml:space="preserve"> </w:t>
      </w:r>
      <w:r>
        <w:t>the</w:t>
      </w:r>
      <w:r>
        <w:rPr>
          <w:spacing w:val="-3"/>
        </w:rPr>
        <w:t xml:space="preserve"> </w:t>
      </w:r>
      <w:r>
        <w:t>same</w:t>
      </w:r>
      <w:r>
        <w:rPr>
          <w:spacing w:val="-3"/>
        </w:rPr>
        <w:t xml:space="preserve"> </w:t>
      </w:r>
      <w:r>
        <w:t>thing</w:t>
      </w:r>
      <w:r>
        <w:rPr>
          <w:spacing w:val="-2"/>
        </w:rPr>
        <w:t xml:space="preserve"> </w:t>
      </w:r>
      <w:r>
        <w:t>as</w:t>
      </w:r>
      <w:r>
        <w:rPr>
          <w:spacing w:val="-3"/>
        </w:rPr>
        <w:t xml:space="preserve"> </w:t>
      </w:r>
      <w:r>
        <w:t>a</w:t>
      </w:r>
      <w:r>
        <w:rPr>
          <w:spacing w:val="-3"/>
        </w:rPr>
        <w:t xml:space="preserve"> </w:t>
      </w:r>
      <w:r>
        <w:t>divergence</w:t>
      </w:r>
      <w:r>
        <w:rPr>
          <w:spacing w:val="-2"/>
        </w:rPr>
        <w:t xml:space="preserve"> between</w:t>
      </w:r>
    </w:p>
    <w:p w14:paraId="7E000CDC" w14:textId="77777777" w:rsidR="009A58DB" w:rsidRDefault="00000000">
      <w:pPr>
        <w:pStyle w:val="ListParagraph"/>
        <w:numPr>
          <w:ilvl w:val="1"/>
          <w:numId w:val="184"/>
        </w:numPr>
        <w:tabs>
          <w:tab w:val="left" w:pos="764"/>
        </w:tabs>
        <w:spacing w:before="120" w:line="312" w:lineRule="auto"/>
        <w:ind w:right="5655" w:firstLine="0"/>
        <w:rPr>
          <w:sz w:val="30"/>
        </w:rPr>
      </w:pPr>
      <w:r>
        <w:rPr>
          <w:sz w:val="30"/>
        </w:rPr>
        <w:t>that</w:t>
      </w:r>
      <w:r>
        <w:rPr>
          <w:spacing w:val="-13"/>
          <w:sz w:val="30"/>
        </w:rPr>
        <w:t xml:space="preserve"> </w:t>
      </w:r>
      <w:r>
        <w:rPr>
          <w:sz w:val="30"/>
        </w:rPr>
        <w:t>sentence’s</w:t>
      </w:r>
      <w:r>
        <w:rPr>
          <w:spacing w:val="-13"/>
          <w:sz w:val="30"/>
        </w:rPr>
        <w:t xml:space="preserve"> </w:t>
      </w:r>
      <w:r>
        <w:rPr>
          <w:sz w:val="30"/>
        </w:rPr>
        <w:t>literal</w:t>
      </w:r>
      <w:r>
        <w:rPr>
          <w:spacing w:val="-13"/>
          <w:sz w:val="30"/>
        </w:rPr>
        <w:t xml:space="preserve"> </w:t>
      </w:r>
      <w:r>
        <w:rPr>
          <w:sz w:val="30"/>
        </w:rPr>
        <w:t xml:space="preserve">meaning </w:t>
      </w:r>
      <w:r>
        <w:rPr>
          <w:spacing w:val="-4"/>
          <w:sz w:val="30"/>
        </w:rPr>
        <w:t>and</w:t>
      </w:r>
    </w:p>
    <w:p w14:paraId="7E000CDD" w14:textId="77777777" w:rsidR="009A58DB" w:rsidRDefault="00000000">
      <w:pPr>
        <w:pStyle w:val="ListParagraph"/>
        <w:numPr>
          <w:ilvl w:val="1"/>
          <w:numId w:val="184"/>
        </w:numPr>
        <w:tabs>
          <w:tab w:val="left" w:pos="833"/>
        </w:tabs>
        <w:spacing w:before="18" w:line="249" w:lineRule="auto"/>
        <w:ind w:right="361" w:firstLine="0"/>
        <w:jc w:val="both"/>
        <w:rPr>
          <w:sz w:val="30"/>
        </w:rPr>
      </w:pPr>
      <w:r>
        <w:rPr>
          <w:sz w:val="30"/>
        </w:rPr>
        <w:t xml:space="preserve">what it is that, given their (correct) beliefs as to what its simple parts literally mean, people are </w:t>
      </w:r>
      <w:r>
        <w:rPr>
          <w:i/>
          <w:sz w:val="30"/>
        </w:rPr>
        <w:t xml:space="preserve">disposed </w:t>
      </w:r>
      <w:r>
        <w:rPr>
          <w:sz w:val="30"/>
        </w:rPr>
        <w:t xml:space="preserve">to take that sentence’s literal meaning to </w:t>
      </w:r>
      <w:r>
        <w:rPr>
          <w:spacing w:val="-4"/>
          <w:sz w:val="30"/>
        </w:rPr>
        <w:t>be.</w:t>
      </w:r>
    </w:p>
    <w:p w14:paraId="7E000CDE" w14:textId="77777777" w:rsidR="009A58DB" w:rsidRDefault="00000000">
      <w:pPr>
        <w:pStyle w:val="BodyText"/>
        <w:spacing w:before="108"/>
        <w:ind w:left="720"/>
      </w:pPr>
      <w:r>
        <w:t>The</w:t>
      </w:r>
      <w:r>
        <w:rPr>
          <w:spacing w:val="23"/>
        </w:rPr>
        <w:t xml:space="preserve"> </w:t>
      </w:r>
      <w:r>
        <w:t>literal</w:t>
      </w:r>
      <w:r>
        <w:rPr>
          <w:spacing w:val="26"/>
        </w:rPr>
        <w:t xml:space="preserve"> </w:t>
      </w:r>
      <w:r>
        <w:t>meaning</w:t>
      </w:r>
      <w:r>
        <w:rPr>
          <w:spacing w:val="26"/>
        </w:rPr>
        <w:t xml:space="preserve"> </w:t>
      </w:r>
      <w:r>
        <w:t>of</w:t>
      </w:r>
      <w:r>
        <w:rPr>
          <w:spacing w:val="25"/>
        </w:rPr>
        <w:t xml:space="preserve"> </w:t>
      </w:r>
      <w:r>
        <w:t>a</w:t>
      </w:r>
      <w:r>
        <w:rPr>
          <w:spacing w:val="26"/>
        </w:rPr>
        <w:t xml:space="preserve"> </w:t>
      </w:r>
      <w:r>
        <w:t>complex</w:t>
      </w:r>
      <w:r>
        <w:rPr>
          <w:spacing w:val="26"/>
        </w:rPr>
        <w:t xml:space="preserve"> </w:t>
      </w:r>
      <w:r>
        <w:t>expression</w:t>
      </w:r>
      <w:r>
        <w:rPr>
          <w:spacing w:val="25"/>
        </w:rPr>
        <w:t xml:space="preserve"> </w:t>
      </w:r>
      <w:r>
        <w:t>is</w:t>
      </w:r>
      <w:r>
        <w:rPr>
          <w:spacing w:val="26"/>
        </w:rPr>
        <w:t xml:space="preserve"> </w:t>
      </w:r>
      <w:r>
        <w:t>a</w:t>
      </w:r>
      <w:r>
        <w:rPr>
          <w:spacing w:val="26"/>
        </w:rPr>
        <w:t xml:space="preserve"> </w:t>
      </w:r>
      <w:r>
        <w:t>function</w:t>
      </w:r>
      <w:r>
        <w:rPr>
          <w:spacing w:val="25"/>
        </w:rPr>
        <w:t xml:space="preserve"> </w:t>
      </w:r>
      <w:r>
        <w:t>of</w:t>
      </w:r>
      <w:r>
        <w:rPr>
          <w:spacing w:val="26"/>
        </w:rPr>
        <w:t xml:space="preserve"> </w:t>
      </w:r>
      <w:r>
        <w:t>two</w:t>
      </w:r>
      <w:r>
        <w:rPr>
          <w:spacing w:val="26"/>
        </w:rPr>
        <w:t xml:space="preserve"> </w:t>
      </w:r>
      <w:r>
        <w:rPr>
          <w:spacing w:val="-2"/>
        </w:rPr>
        <w:t>things:</w:t>
      </w:r>
    </w:p>
    <w:p w14:paraId="7E000CDF" w14:textId="77777777" w:rsidR="009A58DB" w:rsidRDefault="00000000">
      <w:pPr>
        <w:pStyle w:val="BodyText"/>
        <w:spacing w:before="15" w:line="249" w:lineRule="auto"/>
        <w:ind w:right="358"/>
      </w:pPr>
      <w:r>
        <w:t xml:space="preserve">(i) the meanings of its simple parts, and (ii) the order in which those parts are arranged. To say what literal meaning is in general, we need to say what it is for a simple expression to have a given literal meaning. Given the points just made, we can do this. Where simple expressions are concerned, literal and communicated meaning coincide (ultimately)—in other words, such expressions mean what people take them to mean. And where complex expressions are concerned, literal and communicated meaning may diverge, but literal meaning nonetheless coincides with what, given what the simple components of the expression in question literally mean, people are </w:t>
      </w:r>
      <w:r>
        <w:rPr>
          <w:i/>
        </w:rPr>
        <w:t xml:space="preserve">disposed </w:t>
      </w:r>
      <w:r>
        <w:t>to take it to mean.</w:t>
      </w:r>
    </w:p>
    <w:p w14:paraId="7E000CE0" w14:textId="77777777" w:rsidR="009A58DB" w:rsidRDefault="00000000">
      <w:pPr>
        <w:pStyle w:val="Heading1"/>
        <w:numPr>
          <w:ilvl w:val="1"/>
          <w:numId w:val="183"/>
        </w:numPr>
        <w:tabs>
          <w:tab w:val="left" w:pos="1466"/>
        </w:tabs>
        <w:spacing w:before="201" w:line="244" w:lineRule="auto"/>
        <w:ind w:right="371" w:firstLine="0"/>
        <w:jc w:val="both"/>
      </w:pPr>
      <w:r>
        <w:t>Tokens vs. types: some preliminary terminological points</w:t>
      </w:r>
    </w:p>
    <w:p w14:paraId="7E000CE1" w14:textId="77777777" w:rsidR="009A58DB" w:rsidRDefault="00000000">
      <w:pPr>
        <w:pStyle w:val="BodyText"/>
        <w:spacing w:before="132" w:line="249" w:lineRule="auto"/>
        <w:ind w:right="368"/>
      </w:pPr>
      <w:r>
        <w:t xml:space="preserve">No word is identical with any utterance of it. My utterance of the word “snow” lasts for a fraction of a second. But the word “snow” </w:t>
      </w:r>
      <w:r>
        <w:rPr>
          <w:i/>
        </w:rPr>
        <w:t xml:space="preserve">itself </w:t>
      </w:r>
      <w:r>
        <w:t>endures.</w:t>
      </w:r>
    </w:p>
    <w:p w14:paraId="7E000CE2" w14:textId="77777777" w:rsidR="009A58DB" w:rsidRDefault="00000000">
      <w:pPr>
        <w:pStyle w:val="BodyText"/>
        <w:spacing w:before="2" w:line="249" w:lineRule="auto"/>
        <w:ind w:right="358" w:firstLine="360"/>
      </w:pPr>
      <w:r>
        <w:t xml:space="preserve">Utterances and inscriptions of expressions are referred to as “expression-tokens” (or just “tokens”). So there are three </w:t>
      </w:r>
      <w:r>
        <w:rPr>
          <w:i/>
        </w:rPr>
        <w:t xml:space="preserve">tokens </w:t>
      </w:r>
      <w:r>
        <w:t>of some one word to the right of the upcoming colon: snow, snow, snow. The things being uttered or inscribed are referred to as “expression-</w:t>
      </w:r>
      <w:r>
        <w:rPr>
          <w:i/>
        </w:rPr>
        <w:t>types</w:t>
      </w:r>
      <w:r>
        <w:t>” (or just “types”).</w:t>
      </w:r>
    </w:p>
    <w:p w14:paraId="7E000CE3" w14:textId="77777777" w:rsidR="009A58DB" w:rsidRDefault="00000000">
      <w:pPr>
        <w:pStyle w:val="Heading1"/>
        <w:numPr>
          <w:ilvl w:val="1"/>
          <w:numId w:val="183"/>
        </w:numPr>
        <w:tabs>
          <w:tab w:val="left" w:pos="990"/>
        </w:tabs>
        <w:spacing w:before="193"/>
        <w:ind w:left="990" w:hanging="630"/>
        <w:jc w:val="both"/>
        <w:rPr>
          <w:position w:val="30"/>
        </w:rPr>
      </w:pPr>
      <w:r>
        <w:rPr>
          <w:noProof/>
          <w:position w:val="30"/>
        </w:rPr>
        <mc:AlternateContent>
          <mc:Choice Requires="wps">
            <w:drawing>
              <wp:anchor distT="0" distB="0" distL="0" distR="0" simplePos="0" relativeHeight="480328192" behindDoc="1" locked="0" layoutInCell="1" allowOverlap="1" wp14:anchorId="7E00325C" wp14:editId="7E00325D">
                <wp:simplePos x="0" y="0"/>
                <wp:positionH relativeFrom="page">
                  <wp:posOffset>4457700</wp:posOffset>
                </wp:positionH>
                <wp:positionV relativeFrom="paragraph">
                  <wp:posOffset>385938</wp:posOffset>
                </wp:positionV>
                <wp:extent cx="4381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1270"/>
                        </a:xfrm>
                        <a:custGeom>
                          <a:avLst/>
                          <a:gdLst/>
                          <a:ahLst/>
                          <a:cxnLst/>
                          <a:rect l="l" t="t" r="r" b="b"/>
                          <a:pathLst>
                            <a:path w="438150">
                              <a:moveTo>
                                <a:pt x="0" y="0"/>
                              </a:moveTo>
                              <a:lnTo>
                                <a:pt x="43815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1D051EF3" id="Graphic 7" o:spid="_x0000_s1026" style="position:absolute;margin-left:351pt;margin-top:30.4pt;width:34.5pt;height:.1pt;z-index:-22988288;visibility:visible;mso-wrap-style:square;mso-wrap-distance-left:0;mso-wrap-distance-top:0;mso-wrap-distance-right:0;mso-wrap-distance-bottom:0;mso-position-horizontal:absolute;mso-position-horizontal-relative:page;mso-position-vertical:absolute;mso-position-vertical-relative:text;v-text-anchor:top" coordsize="43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" path="m,l438150,e" filled="f" strokecolor="#0562c1">
                <v:path arrowok="t"/>
                <w10:wrap anchorx="page"/>
              </v:shape>
            </w:pict>
          </mc:Fallback>
        </mc:AlternateContent>
      </w:r>
      <w:r>
        <w:t>Two-dimensional</w:t>
      </w:r>
      <w:r>
        <w:rPr>
          <w:spacing w:val="-14"/>
        </w:rPr>
        <w:t xml:space="preserve"> </w:t>
      </w:r>
      <w:r>
        <w:rPr>
          <w:spacing w:val="-2"/>
        </w:rPr>
        <w:t>semantic</w:t>
      </w:r>
      <w:bookmarkStart w:id="150" w:name="_bookmark150"/>
      <w:bookmarkEnd w:id="150"/>
      <w:r>
        <w:rPr>
          <w:spacing w:val="-2"/>
        </w:rPr>
        <w:t>s</w:t>
      </w:r>
      <w:r>
        <w:rPr>
          <w:color w:val="0562C1"/>
          <w:spacing w:val="-2"/>
          <w:position w:val="30"/>
        </w:rPr>
        <w:t>[84]</w:t>
      </w:r>
    </w:p>
    <w:p w14:paraId="7E000CE4" w14:textId="77777777" w:rsidR="009A58DB" w:rsidRDefault="00000000">
      <w:pPr>
        <w:pStyle w:val="BodyText"/>
        <w:spacing w:before="139" w:line="249" w:lineRule="auto"/>
        <w:ind w:right="360"/>
      </w:pPr>
      <w:r>
        <w:t>Some expressions appear to have a two-tiered semantic structure. For example, an occurrence of the pronoun “I” has a referent, this being the person who uttered it, and it picks out that referent in a certain way (i.e., by way of a certain concept).</w:t>
      </w:r>
    </w:p>
    <w:p w14:paraId="7E000CE5" w14:textId="77777777" w:rsidR="009A58DB" w:rsidRDefault="00000000">
      <w:pPr>
        <w:pStyle w:val="BodyText"/>
        <w:spacing w:before="5"/>
      </w:pPr>
      <w:r>
        <w:t>Thus,</w:t>
      </w:r>
      <w:r>
        <w:rPr>
          <w:spacing w:val="14"/>
        </w:rPr>
        <w:t xml:space="preserve"> </w:t>
      </w:r>
      <w:r>
        <w:t>the</w:t>
      </w:r>
      <w:r>
        <w:rPr>
          <w:spacing w:val="15"/>
        </w:rPr>
        <w:t xml:space="preserve"> </w:t>
      </w:r>
      <w:r>
        <w:t>semantics</w:t>
      </w:r>
      <w:r>
        <w:rPr>
          <w:spacing w:val="14"/>
        </w:rPr>
        <w:t xml:space="preserve"> </w:t>
      </w:r>
      <w:r>
        <w:t>of</w:t>
      </w:r>
      <w:r>
        <w:rPr>
          <w:spacing w:val="15"/>
        </w:rPr>
        <w:t xml:space="preserve"> </w:t>
      </w:r>
      <w:r>
        <w:t>“I”</w:t>
      </w:r>
      <w:r>
        <w:rPr>
          <w:spacing w:val="14"/>
        </w:rPr>
        <w:t xml:space="preserve"> </w:t>
      </w:r>
      <w:r>
        <w:t>is</w:t>
      </w:r>
      <w:r>
        <w:rPr>
          <w:spacing w:val="15"/>
        </w:rPr>
        <w:t xml:space="preserve"> </w:t>
      </w:r>
      <w:r>
        <w:t>given</w:t>
      </w:r>
      <w:r>
        <w:rPr>
          <w:spacing w:val="14"/>
        </w:rPr>
        <w:t xml:space="preserve"> </w:t>
      </w:r>
      <w:r>
        <w:t>by</w:t>
      </w:r>
      <w:r>
        <w:rPr>
          <w:spacing w:val="15"/>
        </w:rPr>
        <w:t xml:space="preserve"> </w:t>
      </w:r>
      <w:r>
        <w:t>the</w:t>
      </w:r>
      <w:r>
        <w:rPr>
          <w:spacing w:val="14"/>
        </w:rPr>
        <w:t xml:space="preserve"> </w:t>
      </w:r>
      <w:r>
        <w:t>rule</w:t>
      </w:r>
      <w:r>
        <w:rPr>
          <w:spacing w:val="15"/>
        </w:rPr>
        <w:t xml:space="preserve"> </w:t>
      </w:r>
      <w:r>
        <w:t>that</w:t>
      </w:r>
      <w:r>
        <w:rPr>
          <w:spacing w:val="14"/>
        </w:rPr>
        <w:t xml:space="preserve"> </w:t>
      </w:r>
      <w:r>
        <w:t>an</w:t>
      </w:r>
      <w:r>
        <w:rPr>
          <w:spacing w:val="15"/>
        </w:rPr>
        <w:t xml:space="preserve"> </w:t>
      </w:r>
      <w:r>
        <w:t>utterance</w:t>
      </w:r>
      <w:r>
        <w:rPr>
          <w:spacing w:val="14"/>
        </w:rPr>
        <w:t xml:space="preserve"> </w:t>
      </w:r>
      <w:r>
        <w:t>of</w:t>
      </w:r>
      <w:r>
        <w:rPr>
          <w:spacing w:val="15"/>
        </w:rPr>
        <w:t xml:space="preserve"> </w:t>
      </w:r>
      <w:r>
        <w:t>“I”</w:t>
      </w:r>
      <w:r>
        <w:rPr>
          <w:spacing w:val="16"/>
        </w:rPr>
        <w:t xml:space="preserve"> </w:t>
      </w:r>
      <w:r>
        <w:rPr>
          <w:spacing w:val="-2"/>
        </w:rPr>
        <w:t>refers</w:t>
      </w:r>
    </w:p>
    <w:p w14:paraId="7E000CE6" w14:textId="77777777" w:rsidR="009A58DB" w:rsidRDefault="009A58DB">
      <w:pPr>
        <w:pStyle w:val="BodyText"/>
        <w:sectPr w:rsidR="009A58DB">
          <w:pgSz w:w="12240" w:h="15840"/>
          <w:pgMar w:top="1380" w:right="1080" w:bottom="280" w:left="1080" w:header="720" w:footer="720" w:gutter="0"/>
          <w:cols w:space="720"/>
        </w:sectPr>
      </w:pPr>
    </w:p>
    <w:p w14:paraId="7E000CE7" w14:textId="77777777" w:rsidR="009A58DB" w:rsidRDefault="00000000">
      <w:pPr>
        <w:pStyle w:val="BodyText"/>
        <w:spacing w:before="60" w:line="249" w:lineRule="auto"/>
        <w:ind w:right="366"/>
      </w:pPr>
      <w:r>
        <w:lastRenderedPageBreak/>
        <w:t>to a given person if and only if that person has the property of being the one that produced that utterance.</w:t>
      </w:r>
    </w:p>
    <w:p w14:paraId="7E000CE8" w14:textId="77777777" w:rsidR="009A58DB" w:rsidRDefault="00000000">
      <w:pPr>
        <w:pStyle w:val="BodyText"/>
        <w:spacing w:before="7" w:line="249" w:lineRule="auto"/>
        <w:ind w:right="364" w:firstLine="360"/>
      </w:pPr>
      <w:r>
        <w:t>So, if I say “I am tired,” the concept through which my utterance of “I” refers to me is the concept person who produced the utterance in question. This, then, is the concept through which reference is secured; it is, as we’ll henceforth put it, the mediating concept.</w:t>
      </w:r>
      <w:bookmarkStart w:id="151" w:name="_bookmark151"/>
      <w:bookmarkEnd w:id="151"/>
      <w:r>
        <w:rPr>
          <w:color w:val="0562C1"/>
          <w:position w:val="21"/>
          <w:u w:val="single" w:color="0562C1"/>
        </w:rPr>
        <w:t>[85]</w:t>
      </w:r>
      <w:r>
        <w:rPr>
          <w:color w:val="0562C1"/>
          <w:position w:val="21"/>
        </w:rPr>
        <w:t xml:space="preserve"> </w:t>
      </w:r>
      <w:r>
        <w:t>When Smith says “I am tired,” his utterance of “I” refers to himself, not to me. But the mediating concept remains the same.</w:t>
      </w:r>
    </w:p>
    <w:p w14:paraId="7E000CE9" w14:textId="77777777" w:rsidR="009A58DB" w:rsidRDefault="00000000">
      <w:pPr>
        <w:pStyle w:val="BodyText"/>
        <w:spacing w:before="7" w:line="249" w:lineRule="auto"/>
        <w:ind w:right="359" w:firstLine="360"/>
      </w:pPr>
      <w:r>
        <w:t xml:space="preserve">If somebody points to me and says “that guy is tall,” the person picked out by “that guy” is me. But in this case, the mediating-concept is different. The semantics rule for “that guy” is given by the rule that, if “that guy” is uttered in a context where there is a unique, salient guy, that utterance refers to that </w:t>
      </w:r>
      <w:r>
        <w:rPr>
          <w:spacing w:val="-2"/>
        </w:rPr>
        <w:t>individual.</w:t>
      </w:r>
    </w:p>
    <w:p w14:paraId="7E000CEA" w14:textId="77777777" w:rsidR="009A58DB" w:rsidRDefault="00000000">
      <w:pPr>
        <w:pStyle w:val="BodyText"/>
        <w:spacing w:before="7" w:line="249" w:lineRule="auto"/>
        <w:ind w:right="362" w:firstLine="360"/>
      </w:pPr>
      <w:r>
        <w:t>“I” and “that guy” are context-sensitive expressions: what such an expression refers to depends in a systematic manner on facts about the</w:t>
      </w:r>
      <w:r>
        <w:rPr>
          <w:spacing w:val="40"/>
        </w:rPr>
        <w:t xml:space="preserve"> </w:t>
      </w:r>
      <w:r>
        <w:t>context of utterance. (We’ll soon refine this vague statement shortly.) Such expressions are known as “indexicals.” Other examples of indexicals are “you,” “he,” “those animals,” “this monkey,” “tomorrow,” “yesterday.”</w:t>
      </w:r>
      <w:r>
        <w:rPr>
          <w:spacing w:val="40"/>
        </w:rPr>
        <w:t xml:space="preserve"> </w:t>
      </w:r>
      <w:r>
        <w:t xml:space="preserve">Some indexicals are single words (e.g., “tomorrow,” “he”); others consist of more than one (e.g., “that tall man”). The latter are known as “complex </w:t>
      </w:r>
      <w:r>
        <w:rPr>
          <w:spacing w:val="-2"/>
        </w:rPr>
        <w:t>indexicals.”</w:t>
      </w:r>
    </w:p>
    <w:p w14:paraId="7E000CEB" w14:textId="77777777" w:rsidR="009A58DB" w:rsidRDefault="00000000">
      <w:pPr>
        <w:pStyle w:val="Heading1"/>
        <w:numPr>
          <w:ilvl w:val="2"/>
          <w:numId w:val="183"/>
        </w:numPr>
        <w:tabs>
          <w:tab w:val="left" w:pos="1305"/>
        </w:tabs>
        <w:spacing w:before="197"/>
      </w:pPr>
      <w:r>
        <w:t>Demonstratives</w:t>
      </w:r>
      <w:r>
        <w:rPr>
          <w:spacing w:val="-9"/>
        </w:rPr>
        <w:t xml:space="preserve"> </w:t>
      </w:r>
      <w:r>
        <w:t>vs.</w:t>
      </w:r>
      <w:r>
        <w:rPr>
          <w:spacing w:val="-5"/>
        </w:rPr>
        <w:t xml:space="preserve"> </w:t>
      </w:r>
      <w:r>
        <w:rPr>
          <w:spacing w:val="-2"/>
        </w:rPr>
        <w:t>indexicals</w:t>
      </w:r>
    </w:p>
    <w:p w14:paraId="7E000CEC" w14:textId="77777777" w:rsidR="009A58DB" w:rsidRDefault="00000000">
      <w:pPr>
        <w:pStyle w:val="BodyText"/>
        <w:spacing w:before="140" w:line="249" w:lineRule="auto"/>
        <w:ind w:right="361"/>
      </w:pPr>
      <w:r>
        <w:t>Some indexicals often cannot be successfully used without an accompanying demonstration on the speaker’s part, the purpose of which is to eliminate any doubt as to what the intended referent is. If Jim and Larry are both equally salient in the context in question, an utterance of “that guy” won’t single anyone out. But it will do so if an act of pointing accompanies it. Indexicals that fall into this category are known as “demonstratives.” Not all indexicals are demonstratives. For example, “tomorrow,” “now,” and “here,” aren’t demonstratives. Given an utterance of “tomorrow,” no gesture is needed to make it clear what the intended referent is. If I say “tomorrow I’m going hiking,” it’s clear what the referent of “tomorrow” is; no demonstrative act is necessary, and none could possibly do any good.</w:t>
      </w:r>
    </w:p>
    <w:p w14:paraId="7E000CE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EE" w14:textId="77777777" w:rsidR="009A58DB" w:rsidRDefault="00000000">
      <w:pPr>
        <w:pStyle w:val="Heading1"/>
        <w:numPr>
          <w:ilvl w:val="2"/>
          <w:numId w:val="183"/>
        </w:numPr>
        <w:tabs>
          <w:tab w:val="left" w:pos="1305"/>
        </w:tabs>
        <w:spacing w:before="58"/>
      </w:pPr>
      <w:r>
        <w:lastRenderedPageBreak/>
        <w:t>Indexicals</w:t>
      </w:r>
      <w:r>
        <w:rPr>
          <w:spacing w:val="-8"/>
        </w:rPr>
        <w:t xml:space="preserve"> </w:t>
      </w:r>
      <w:r>
        <w:rPr>
          <w:spacing w:val="-2"/>
        </w:rPr>
        <w:t>(continued)</w:t>
      </w:r>
    </w:p>
    <w:p w14:paraId="7E000CEF" w14:textId="77777777" w:rsidR="009A58DB" w:rsidRDefault="00000000">
      <w:pPr>
        <w:pStyle w:val="BodyText"/>
        <w:spacing w:before="139" w:line="249" w:lineRule="auto"/>
        <w:ind w:right="358"/>
      </w:pPr>
      <w:r>
        <w:t xml:space="preserve">Indexicals have a “two-dimensional” semantic structure. Consider the expression “today.” If I say it right now, that utterance will refer to April, 27, 2009, since that is today’s date. If I say it tomorrow, that utterance will refer to April 28, 2009. But the </w:t>
      </w:r>
      <w:r>
        <w:rPr>
          <w:i/>
        </w:rPr>
        <w:t xml:space="preserve">rule </w:t>
      </w:r>
      <w:r>
        <w:t xml:space="preserve">that assigns April 27, 2009, to the first utterance is identical with the </w:t>
      </w:r>
      <w:r>
        <w:rPr>
          <w:i/>
        </w:rPr>
        <w:t xml:space="preserve">rule </w:t>
      </w:r>
      <w:r>
        <w:t>that assigns April 28, 2009, to the second utterance. That rule is this: if “today” is uttered on a given day D, that utterance refers to D.</w:t>
      </w:r>
    </w:p>
    <w:p w14:paraId="7E000CF0" w14:textId="77777777" w:rsidR="009A58DB" w:rsidRDefault="00000000">
      <w:pPr>
        <w:pStyle w:val="BodyText"/>
        <w:spacing w:before="8" w:line="249" w:lineRule="auto"/>
        <w:ind w:right="357" w:firstLine="360"/>
      </w:pPr>
      <w:r>
        <w:t xml:space="preserve">The meaning of an </w:t>
      </w:r>
      <w:r>
        <w:rPr>
          <w:i/>
        </w:rPr>
        <w:t>utterance</w:t>
      </w:r>
      <w:r>
        <w:rPr>
          <w:i/>
          <w:spacing w:val="-3"/>
        </w:rPr>
        <w:t xml:space="preserve"> </w:t>
      </w:r>
      <w:r>
        <w:t>“today” is the day it picks out. The meaning of the corresponding word-</w:t>
      </w:r>
      <w:r>
        <w:rPr>
          <w:i/>
        </w:rPr>
        <w:t xml:space="preserve">type </w:t>
      </w:r>
      <w:r>
        <w:t xml:space="preserve">is the rule just described. Given any indexical, the meaning of a </w:t>
      </w:r>
      <w:r>
        <w:rPr>
          <w:i/>
        </w:rPr>
        <w:t>token</w:t>
      </w:r>
      <w:r>
        <w:rPr>
          <w:i/>
          <w:spacing w:val="-2"/>
        </w:rPr>
        <w:t xml:space="preserve"> </w:t>
      </w:r>
      <w:r>
        <w:t>of that indexical is its referent; the meaning of</w:t>
      </w:r>
      <w:r>
        <w:rPr>
          <w:spacing w:val="-4"/>
        </w:rPr>
        <w:t xml:space="preserve"> </w:t>
      </w:r>
      <w:r>
        <w:t>the</w:t>
      </w:r>
      <w:r>
        <w:rPr>
          <w:spacing w:val="-4"/>
        </w:rPr>
        <w:t xml:space="preserve"> </w:t>
      </w:r>
      <w:r>
        <w:t>corresponding</w:t>
      </w:r>
      <w:r>
        <w:rPr>
          <w:spacing w:val="-3"/>
        </w:rPr>
        <w:t xml:space="preserve"> </w:t>
      </w:r>
      <w:r>
        <w:t>indexical-type</w:t>
      </w:r>
      <w:r>
        <w:rPr>
          <w:spacing w:val="-4"/>
        </w:rPr>
        <w:t xml:space="preserve"> </w:t>
      </w:r>
      <w:r>
        <w:t>is</w:t>
      </w:r>
      <w:r>
        <w:rPr>
          <w:spacing w:val="-4"/>
        </w:rPr>
        <w:t xml:space="preserve"> </w:t>
      </w:r>
      <w:r>
        <w:t>the</w:t>
      </w:r>
      <w:r>
        <w:rPr>
          <w:spacing w:val="-4"/>
        </w:rPr>
        <w:t xml:space="preserve"> </w:t>
      </w:r>
      <w:r>
        <w:t>rule</w:t>
      </w:r>
      <w:r>
        <w:rPr>
          <w:spacing w:val="-4"/>
        </w:rPr>
        <w:t xml:space="preserve"> </w:t>
      </w:r>
      <w:r>
        <w:t>that</w:t>
      </w:r>
      <w:r>
        <w:rPr>
          <w:spacing w:val="-4"/>
        </w:rPr>
        <w:t xml:space="preserve"> </w:t>
      </w:r>
      <w:r>
        <w:t>assigns</w:t>
      </w:r>
      <w:r>
        <w:rPr>
          <w:spacing w:val="-4"/>
        </w:rPr>
        <w:t xml:space="preserve"> </w:t>
      </w:r>
      <w:r>
        <w:t>that</w:t>
      </w:r>
      <w:r>
        <w:rPr>
          <w:spacing w:val="-4"/>
        </w:rPr>
        <w:t xml:space="preserve"> </w:t>
      </w:r>
      <w:r>
        <w:t>referent</w:t>
      </w:r>
      <w:r>
        <w:rPr>
          <w:spacing w:val="-4"/>
        </w:rPr>
        <w:t xml:space="preserve"> </w:t>
      </w:r>
      <w:r>
        <w:t>to</w:t>
      </w:r>
      <w:r>
        <w:rPr>
          <w:spacing w:val="-3"/>
        </w:rPr>
        <w:t xml:space="preserve"> </w:t>
      </w:r>
      <w:r>
        <w:t xml:space="preserve">that </w:t>
      </w:r>
      <w:r>
        <w:rPr>
          <w:spacing w:val="-2"/>
        </w:rPr>
        <w:t>token.</w:t>
      </w:r>
    </w:p>
    <w:p w14:paraId="7E000CF1" w14:textId="77777777" w:rsidR="009A58DB" w:rsidRDefault="00000000">
      <w:pPr>
        <w:pStyle w:val="Heading1"/>
        <w:numPr>
          <w:ilvl w:val="1"/>
          <w:numId w:val="183"/>
        </w:numPr>
        <w:tabs>
          <w:tab w:val="left" w:pos="990"/>
        </w:tabs>
        <w:spacing w:before="194"/>
        <w:ind w:left="990" w:hanging="630"/>
      </w:pPr>
      <w:r>
        <w:t>Definite</w:t>
      </w:r>
      <w:r>
        <w:rPr>
          <w:spacing w:val="-8"/>
        </w:rPr>
        <w:t xml:space="preserve"> </w:t>
      </w:r>
      <w:r>
        <w:rPr>
          <w:spacing w:val="-2"/>
        </w:rPr>
        <w:t>descriptions</w:t>
      </w:r>
    </w:p>
    <w:p w14:paraId="7E000CF2" w14:textId="77777777" w:rsidR="009A58DB" w:rsidRDefault="00000000">
      <w:pPr>
        <w:pStyle w:val="BodyText"/>
        <w:spacing w:before="139" w:line="249" w:lineRule="auto"/>
        <w:ind w:right="361"/>
      </w:pPr>
      <w:r>
        <w:t>In Chapter 6, reasons are given for thinking that definite descriptions are not devices of reference. But there are also reasons to think that they are devices of</w:t>
      </w:r>
      <w:r>
        <w:rPr>
          <w:spacing w:val="-3"/>
        </w:rPr>
        <w:t xml:space="preserve"> </w:t>
      </w:r>
      <w:r>
        <w:t>reference</w:t>
      </w:r>
      <w:bookmarkStart w:id="152" w:name="_bookmark152"/>
      <w:bookmarkEnd w:id="152"/>
      <w:r>
        <w:t>.</w:t>
      </w:r>
      <w:r>
        <w:rPr>
          <w:color w:val="0562C1"/>
          <w:position w:val="21"/>
          <w:u w:val="single" w:color="0562C1"/>
        </w:rPr>
        <w:t>[86]</w:t>
      </w:r>
      <w:r>
        <w:rPr>
          <w:color w:val="0562C1"/>
          <w:position w:val="21"/>
        </w:rPr>
        <w:t xml:space="preserve"> </w:t>
      </w:r>
      <w:r>
        <w:t>(It’s very hard to believe that “the whole number that comes right after one” doesn’t refer to the number two.)And in this section we will suppose them to be just that.</w:t>
      </w:r>
    </w:p>
    <w:p w14:paraId="7E000CF3" w14:textId="77777777" w:rsidR="009A58DB" w:rsidRDefault="00000000">
      <w:pPr>
        <w:pStyle w:val="BodyText"/>
        <w:spacing w:before="7" w:line="249" w:lineRule="auto"/>
        <w:ind w:right="362"/>
      </w:pPr>
      <w:r>
        <w:t>Definite descriptions, like indexicals, have a two-dimensional semantic structure. A given utterance of “the current U.S. President” refers to some individual. Right now such an utterance would refer to Barack Obama. A few years ago, such an utterance referred to Bill Clinton. But even though an utterance</w:t>
      </w:r>
      <w:r>
        <w:rPr>
          <w:spacing w:val="-1"/>
        </w:rPr>
        <w:t xml:space="preserve"> </w:t>
      </w:r>
      <w:r>
        <w:t>in</w:t>
      </w:r>
      <w:r>
        <w:rPr>
          <w:spacing w:val="-1"/>
        </w:rPr>
        <w:t xml:space="preserve"> </w:t>
      </w:r>
      <w:r>
        <w:t>2009</w:t>
      </w:r>
      <w:r>
        <w:rPr>
          <w:spacing w:val="-1"/>
        </w:rPr>
        <w:t xml:space="preserve"> </w:t>
      </w:r>
      <w:r>
        <w:t>of</w:t>
      </w:r>
      <w:r>
        <w:rPr>
          <w:spacing w:val="-1"/>
        </w:rPr>
        <w:t xml:space="preserve"> </w:t>
      </w:r>
      <w:r>
        <w:t>“the</w:t>
      </w:r>
      <w:r>
        <w:rPr>
          <w:spacing w:val="-1"/>
        </w:rPr>
        <w:t xml:space="preserve"> </w:t>
      </w:r>
      <w:r>
        <w:t>U.S.</w:t>
      </w:r>
      <w:r>
        <w:rPr>
          <w:spacing w:val="-1"/>
        </w:rPr>
        <w:t xml:space="preserve"> </w:t>
      </w:r>
      <w:r>
        <w:t>president”</w:t>
      </w:r>
      <w:r>
        <w:rPr>
          <w:spacing w:val="-1"/>
        </w:rPr>
        <w:t xml:space="preserve"> </w:t>
      </w:r>
      <w:r>
        <w:t>doesn’t</w:t>
      </w:r>
      <w:r>
        <w:rPr>
          <w:spacing w:val="-1"/>
        </w:rPr>
        <w:t xml:space="preserve"> </w:t>
      </w:r>
      <w:r>
        <w:t>have</w:t>
      </w:r>
      <w:r>
        <w:rPr>
          <w:spacing w:val="-1"/>
        </w:rPr>
        <w:t xml:space="preserve"> </w:t>
      </w:r>
      <w:r>
        <w:t>the</w:t>
      </w:r>
      <w:r>
        <w:rPr>
          <w:spacing w:val="-1"/>
        </w:rPr>
        <w:t xml:space="preserve"> </w:t>
      </w:r>
      <w:r>
        <w:t>same</w:t>
      </w:r>
      <w:r>
        <w:rPr>
          <w:spacing w:val="-1"/>
        </w:rPr>
        <w:t xml:space="preserve"> </w:t>
      </w:r>
      <w:r>
        <w:t>referent</w:t>
      </w:r>
      <w:r>
        <w:rPr>
          <w:spacing w:val="-1"/>
        </w:rPr>
        <w:t xml:space="preserve"> </w:t>
      </w:r>
      <w:r>
        <w:t>as</w:t>
      </w:r>
      <w:r>
        <w:rPr>
          <w:spacing w:val="-1"/>
        </w:rPr>
        <w:t xml:space="preserve"> </w:t>
      </w:r>
      <w:r>
        <w:t xml:space="preserve">an utterance in 1999 of that same expression, both utterances are assigned their respective referents by the same semantic rule. The circumstances have changed—hence the change in referent—but the semantic rule has stayed the </w:t>
      </w:r>
      <w:r>
        <w:rPr>
          <w:spacing w:val="-2"/>
        </w:rPr>
        <w:t>same.</w:t>
      </w:r>
    </w:p>
    <w:p w14:paraId="7E000CF4" w14:textId="77777777" w:rsidR="009A58DB" w:rsidRDefault="00000000">
      <w:pPr>
        <w:pStyle w:val="BodyText"/>
        <w:spacing w:before="11" w:line="249" w:lineRule="auto"/>
        <w:ind w:right="364" w:firstLine="360"/>
      </w:pPr>
      <w:r>
        <w:t>That rule is: if, at time t, x uniquely has the property of being a U.S. president, then an utterance at t of “the U.S. President” refers to x.</w:t>
      </w:r>
    </w:p>
    <w:p w14:paraId="7E000CF5" w14:textId="77777777" w:rsidR="009A58DB" w:rsidRDefault="00000000">
      <w:pPr>
        <w:pStyle w:val="Heading1"/>
        <w:numPr>
          <w:ilvl w:val="2"/>
          <w:numId w:val="183"/>
        </w:numPr>
        <w:tabs>
          <w:tab w:val="left" w:pos="1305"/>
        </w:tabs>
        <w:spacing w:before="205"/>
      </w:pPr>
      <w:r>
        <w:t>Incomplete</w:t>
      </w:r>
      <w:r>
        <w:rPr>
          <w:spacing w:val="-11"/>
        </w:rPr>
        <w:t xml:space="preserve"> </w:t>
      </w:r>
      <w:r>
        <w:t>definite</w:t>
      </w:r>
      <w:r>
        <w:rPr>
          <w:spacing w:val="-8"/>
        </w:rPr>
        <w:t xml:space="preserve"> </w:t>
      </w:r>
      <w:r>
        <w:rPr>
          <w:spacing w:val="-2"/>
        </w:rPr>
        <w:t>descriptions</w:t>
      </w:r>
    </w:p>
    <w:p w14:paraId="7E000CF6" w14:textId="77777777" w:rsidR="009A58DB" w:rsidRDefault="00000000">
      <w:pPr>
        <w:pStyle w:val="BodyText"/>
        <w:spacing w:before="139"/>
      </w:pPr>
      <w:r>
        <w:t>Some</w:t>
      </w:r>
      <w:r>
        <w:rPr>
          <w:spacing w:val="42"/>
        </w:rPr>
        <w:t xml:space="preserve"> </w:t>
      </w:r>
      <w:r>
        <w:t>definite</w:t>
      </w:r>
      <w:r>
        <w:rPr>
          <w:spacing w:val="42"/>
        </w:rPr>
        <w:t xml:space="preserve"> </w:t>
      </w:r>
      <w:r>
        <w:t>descriptions</w:t>
      </w:r>
      <w:r>
        <w:rPr>
          <w:spacing w:val="43"/>
        </w:rPr>
        <w:t xml:space="preserve"> </w:t>
      </w:r>
      <w:r>
        <w:t>appear</w:t>
      </w:r>
      <w:r>
        <w:rPr>
          <w:spacing w:val="42"/>
        </w:rPr>
        <w:t xml:space="preserve"> </w:t>
      </w:r>
      <w:r>
        <w:t>to</w:t>
      </w:r>
      <w:r>
        <w:rPr>
          <w:spacing w:val="43"/>
        </w:rPr>
        <w:t xml:space="preserve"> </w:t>
      </w:r>
      <w:r>
        <w:t>be</w:t>
      </w:r>
      <w:r>
        <w:rPr>
          <w:spacing w:val="42"/>
        </w:rPr>
        <w:t xml:space="preserve"> </w:t>
      </w:r>
      <w:r>
        <w:t>“incomplete”—that</w:t>
      </w:r>
      <w:r>
        <w:rPr>
          <w:spacing w:val="42"/>
        </w:rPr>
        <w:t xml:space="preserve"> </w:t>
      </w:r>
      <w:r>
        <w:t>is,</w:t>
      </w:r>
      <w:r>
        <w:rPr>
          <w:spacing w:val="43"/>
        </w:rPr>
        <w:t xml:space="preserve"> </w:t>
      </w:r>
      <w:r>
        <w:t>they</w:t>
      </w:r>
      <w:r>
        <w:rPr>
          <w:spacing w:val="42"/>
        </w:rPr>
        <w:t xml:space="preserve"> </w:t>
      </w:r>
      <w:r>
        <w:t>fail</w:t>
      </w:r>
      <w:r>
        <w:rPr>
          <w:spacing w:val="43"/>
        </w:rPr>
        <w:t xml:space="preserve"> </w:t>
      </w:r>
      <w:r>
        <w:rPr>
          <w:spacing w:val="-5"/>
        </w:rPr>
        <w:t>to</w:t>
      </w:r>
    </w:p>
    <w:p w14:paraId="7E000CF7" w14:textId="77777777" w:rsidR="009A58DB" w:rsidRDefault="009A58DB">
      <w:pPr>
        <w:pStyle w:val="BodyText"/>
        <w:sectPr w:rsidR="009A58DB">
          <w:pgSz w:w="12240" w:h="15840"/>
          <w:pgMar w:top="1380" w:right="1080" w:bottom="280" w:left="1080" w:header="720" w:footer="720" w:gutter="0"/>
          <w:cols w:space="720"/>
        </w:sectPr>
      </w:pPr>
    </w:p>
    <w:p w14:paraId="7E000CF8" w14:textId="77777777" w:rsidR="009A58DB" w:rsidRDefault="00000000">
      <w:pPr>
        <w:pStyle w:val="BodyText"/>
        <w:spacing w:before="70" w:line="249" w:lineRule="auto"/>
        <w:ind w:right="360"/>
      </w:pPr>
      <w:r>
        <w:lastRenderedPageBreak/>
        <w:t xml:space="preserve">pick out a single object. So, for example, “the bald guy” could pick out any one of many different people. But, like all expressions, definite descriptions are not used in a vacuum; and the context usually supplies the information needed to enrich the mediating concept enough to enable it to single out a single person. So if you and I are in a room and I say “the bald guy is wealthy,” it’s clear that, so far as I making a determinate statement, what I mean is that the </w:t>
      </w:r>
      <w:r>
        <w:rPr>
          <w:i/>
        </w:rPr>
        <w:t xml:space="preserve">contextually salient </w:t>
      </w:r>
      <w:r>
        <w:t>bald guy is wealthy.</w:t>
      </w:r>
    </w:p>
    <w:p w14:paraId="7E000CF9" w14:textId="77777777" w:rsidR="009A58DB" w:rsidRDefault="00000000">
      <w:pPr>
        <w:pStyle w:val="BodyText"/>
        <w:spacing w:before="3" w:line="249" w:lineRule="auto"/>
        <w:ind w:right="371" w:firstLine="360"/>
      </w:pPr>
      <w:r>
        <w:t>If phi is a property that obviously has no more than one instance (e.g., the property of being the whole number successor of one or of being the U.S. President), phi’s sole instance is contextually salient by default.</w:t>
      </w:r>
    </w:p>
    <w:p w14:paraId="7E000CFA" w14:textId="77777777" w:rsidR="009A58DB" w:rsidRDefault="00000000">
      <w:pPr>
        <w:pStyle w:val="Heading1"/>
        <w:numPr>
          <w:ilvl w:val="1"/>
          <w:numId w:val="183"/>
        </w:numPr>
        <w:tabs>
          <w:tab w:val="left" w:pos="1199"/>
          <w:tab w:val="left" w:pos="2214"/>
          <w:tab w:val="left" w:pos="4371"/>
          <w:tab w:val="left" w:pos="6598"/>
          <w:tab w:val="left" w:pos="7263"/>
        </w:tabs>
        <w:spacing w:before="192" w:line="244" w:lineRule="auto"/>
        <w:ind w:right="367" w:firstLine="0"/>
      </w:pPr>
      <w:r>
        <w:rPr>
          <w:spacing w:val="-4"/>
        </w:rPr>
        <w:t>The</w:t>
      </w:r>
      <w:r>
        <w:tab/>
      </w:r>
      <w:r>
        <w:rPr>
          <w:spacing w:val="-2"/>
        </w:rPr>
        <w:t>expressive</w:t>
      </w:r>
      <w:r>
        <w:tab/>
      </w:r>
      <w:r>
        <w:rPr>
          <w:spacing w:val="-2"/>
        </w:rPr>
        <w:t>limitations</w:t>
      </w:r>
      <w:r>
        <w:tab/>
      </w:r>
      <w:r>
        <w:rPr>
          <w:spacing w:val="-6"/>
        </w:rPr>
        <w:t>of</w:t>
      </w:r>
      <w:r>
        <w:tab/>
      </w:r>
      <w:r>
        <w:rPr>
          <w:spacing w:val="-2"/>
        </w:rPr>
        <w:t>indexical-free languages</w:t>
      </w:r>
    </w:p>
    <w:p w14:paraId="7E000CFB" w14:textId="77777777" w:rsidR="009A58DB" w:rsidRDefault="00000000">
      <w:pPr>
        <w:pStyle w:val="BodyText"/>
        <w:spacing w:before="132" w:line="249" w:lineRule="auto"/>
        <w:ind w:right="358"/>
      </w:pPr>
      <w:r>
        <w:t xml:space="preserve">Indexical-free languages are expressively impoverished; much of what there is to say can’t be said in them. The reason is that much information is </w:t>
      </w:r>
      <w:r>
        <w:rPr>
          <w:i/>
        </w:rPr>
        <w:t>perspectival,</w:t>
      </w:r>
      <w:r>
        <w:rPr>
          <w:i/>
          <w:spacing w:val="-5"/>
        </w:rPr>
        <w:t xml:space="preserve"> </w:t>
      </w:r>
      <w:r>
        <w:t>and</w:t>
      </w:r>
      <w:r>
        <w:rPr>
          <w:spacing w:val="-3"/>
        </w:rPr>
        <w:t xml:space="preserve"> </w:t>
      </w:r>
      <w:r>
        <w:t>nothing</w:t>
      </w:r>
      <w:r>
        <w:rPr>
          <w:spacing w:val="-3"/>
        </w:rPr>
        <w:t xml:space="preserve"> </w:t>
      </w:r>
      <w:r>
        <w:t>perspectival</w:t>
      </w:r>
      <w:r>
        <w:rPr>
          <w:spacing w:val="-3"/>
        </w:rPr>
        <w:t xml:space="preserve"> </w:t>
      </w:r>
      <w:r>
        <w:t>can</w:t>
      </w:r>
      <w:r>
        <w:rPr>
          <w:spacing w:val="-3"/>
        </w:rPr>
        <w:t xml:space="preserve"> </w:t>
      </w:r>
      <w:r>
        <w:t>be</w:t>
      </w:r>
      <w:r>
        <w:rPr>
          <w:spacing w:val="-3"/>
        </w:rPr>
        <w:t xml:space="preserve"> </w:t>
      </w:r>
      <w:r>
        <w:t>stated</w:t>
      </w:r>
      <w:r>
        <w:rPr>
          <w:spacing w:val="-3"/>
        </w:rPr>
        <w:t xml:space="preserve"> </w:t>
      </w:r>
      <w:r>
        <w:t>in</w:t>
      </w:r>
      <w:r>
        <w:rPr>
          <w:spacing w:val="-3"/>
        </w:rPr>
        <w:t xml:space="preserve"> </w:t>
      </w:r>
      <w:r>
        <w:t>a</w:t>
      </w:r>
      <w:r>
        <w:rPr>
          <w:spacing w:val="-3"/>
        </w:rPr>
        <w:t xml:space="preserve"> </w:t>
      </w:r>
      <w:r>
        <w:t>language</w:t>
      </w:r>
      <w:r>
        <w:rPr>
          <w:spacing w:val="-3"/>
        </w:rPr>
        <w:t xml:space="preserve"> </w:t>
      </w:r>
      <w:r>
        <w:t>that</w:t>
      </w:r>
      <w:r>
        <w:rPr>
          <w:spacing w:val="-3"/>
        </w:rPr>
        <w:t xml:space="preserve"> </w:t>
      </w:r>
      <w:r>
        <w:t xml:space="preserve">doesn’t contain indexicals. Suppose that I spoke a language that didn’t contain any indexicals, but was otherwise just like English. In order to express what I believe concerning the weather in my area, I’d have to say “it’s 60° in Richmond on Feb. 07, 2009.” (And the “is” couldn’t be taken as the </w:t>
      </w:r>
      <w:r>
        <w:rPr>
          <w:i/>
        </w:rPr>
        <w:t>present tense</w:t>
      </w:r>
      <w:r>
        <w:rPr>
          <w:i/>
          <w:spacing w:val="-3"/>
        </w:rPr>
        <w:t xml:space="preserve"> </w:t>
      </w:r>
      <w:r>
        <w:t xml:space="preserve">of the verb “to be,” since, thus interpreted, it would be an indexical that picked out the time of utterance. The “is” would have to be stripped of any temporal meaning and, thus, be downgraded to an empty grammatical place-holder, like the “it” in “it’s raining.”) But that utterance wouldn’t necessarily express the belief I wanted to express. My believing </w:t>
      </w:r>
      <w:r>
        <w:rPr>
          <w:i/>
        </w:rPr>
        <w:t xml:space="preserve">it’s 60° in Richmond on Feb. 07, 2009, </w:t>
      </w:r>
      <w:r>
        <w:t xml:space="preserve">is different from my thinking </w:t>
      </w:r>
      <w:r>
        <w:rPr>
          <w:i/>
        </w:rPr>
        <w:t xml:space="preserve">it’s now 60° in Richmond, </w:t>
      </w:r>
      <w:r>
        <w:t xml:space="preserve">even though I am in fact in Richmond at the time in question. I could have the one thought and not have the other. I could, after all, not know that I was in Richmond. And my believing either of those things is different from my thinking </w:t>
      </w:r>
      <w:r>
        <w:rPr>
          <w:i/>
        </w:rPr>
        <w:t xml:space="preserve">it’s now 60° here. </w:t>
      </w:r>
      <w:r>
        <w:t xml:space="preserve">One could have any given one of those beliefs without having any of the others. Further, one could </w:t>
      </w:r>
      <w:r>
        <w:rPr>
          <w:i/>
        </w:rPr>
        <w:t xml:space="preserve">rationally </w:t>
      </w:r>
      <w:r>
        <w:t>have any</w:t>
      </w:r>
      <w:r>
        <w:rPr>
          <w:spacing w:val="40"/>
        </w:rPr>
        <w:t xml:space="preserve"> </w:t>
      </w:r>
      <w:r>
        <w:t xml:space="preserve">given one of those beliefs without having any of the others. A person who is in Richmond at the time in question can </w:t>
      </w:r>
      <w:r>
        <w:rPr>
          <w:i/>
        </w:rPr>
        <w:t xml:space="preserve">rationally </w:t>
      </w:r>
      <w:r>
        <w:t xml:space="preserve">believe </w:t>
      </w:r>
      <w:r>
        <w:rPr>
          <w:i/>
        </w:rPr>
        <w:t xml:space="preserve">it’s now 60° here </w:t>
      </w:r>
      <w:r>
        <w:t xml:space="preserve">while rejecting </w:t>
      </w:r>
      <w:r>
        <w:rPr>
          <w:i/>
        </w:rPr>
        <w:t xml:space="preserve">it’s 60° in Richmond on Feb. 07, 2009. </w:t>
      </w:r>
      <w:r>
        <w:t>For the data at one’s disposal may warrant the first judgment, but not the second.</w:t>
      </w:r>
    </w:p>
    <w:p w14:paraId="7E000CF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CFD" w14:textId="77777777" w:rsidR="009A58DB" w:rsidRDefault="00000000">
      <w:pPr>
        <w:pStyle w:val="BodyText"/>
        <w:spacing w:before="65" w:line="249" w:lineRule="auto"/>
        <w:ind w:right="359" w:firstLine="360"/>
        <w:rPr>
          <w:position w:val="21"/>
        </w:rPr>
      </w:pPr>
      <w:r>
        <w:lastRenderedPageBreak/>
        <w:t>So nothing perspectival—nothing that embodies any information relating to</w:t>
      </w:r>
      <w:r>
        <w:rPr>
          <w:spacing w:val="-1"/>
        </w:rPr>
        <w:t xml:space="preserve"> </w:t>
      </w:r>
      <w:r>
        <w:t>the</w:t>
      </w:r>
      <w:r>
        <w:rPr>
          <w:spacing w:val="-1"/>
        </w:rPr>
        <w:t xml:space="preserve"> </w:t>
      </w:r>
      <w:r>
        <w:t>speaker’s</w:t>
      </w:r>
      <w:r>
        <w:rPr>
          <w:spacing w:val="-1"/>
        </w:rPr>
        <w:t xml:space="preserve"> </w:t>
      </w:r>
      <w:r>
        <w:t>perspective</w:t>
      </w:r>
      <w:r>
        <w:rPr>
          <w:spacing w:val="-1"/>
        </w:rPr>
        <w:t xml:space="preserve"> </w:t>
      </w:r>
      <w:r>
        <w:t>on</w:t>
      </w:r>
      <w:r>
        <w:rPr>
          <w:spacing w:val="-1"/>
        </w:rPr>
        <w:t xml:space="preserve"> </w:t>
      </w:r>
      <w:r>
        <w:t>the</w:t>
      </w:r>
      <w:r>
        <w:rPr>
          <w:spacing w:val="-1"/>
        </w:rPr>
        <w:t xml:space="preserve"> </w:t>
      </w:r>
      <w:r>
        <w:t>world—can</w:t>
      </w:r>
      <w:r>
        <w:rPr>
          <w:spacing w:val="-1"/>
        </w:rPr>
        <w:t xml:space="preserve"> </w:t>
      </w:r>
      <w:r>
        <w:t>be</w:t>
      </w:r>
      <w:r>
        <w:rPr>
          <w:spacing w:val="-1"/>
        </w:rPr>
        <w:t xml:space="preserve"> </w:t>
      </w:r>
      <w:r>
        <w:t>expressed</w:t>
      </w:r>
      <w:r>
        <w:rPr>
          <w:spacing w:val="-1"/>
        </w:rPr>
        <w:t xml:space="preserve"> </w:t>
      </w:r>
      <w:r>
        <w:t>without</w:t>
      </w:r>
      <w:r>
        <w:rPr>
          <w:spacing w:val="-1"/>
        </w:rPr>
        <w:t xml:space="preserve"> </w:t>
      </w:r>
      <w:r>
        <w:t>using</w:t>
      </w:r>
      <w:r>
        <w:rPr>
          <w:spacing w:val="-1"/>
        </w:rPr>
        <w:t xml:space="preserve"> </w:t>
      </w:r>
      <w:r>
        <w:t xml:space="preserve">an indexical. Nothing could be said about what’s going on here, at </w:t>
      </w:r>
      <w:r>
        <w:rPr>
          <w:i/>
        </w:rPr>
        <w:t>this</w:t>
      </w:r>
      <w:r>
        <w:rPr>
          <w:i/>
          <w:spacing w:val="-2"/>
        </w:rPr>
        <w:t xml:space="preserve"> </w:t>
      </w:r>
      <w:r>
        <w:t>time;</w:t>
      </w:r>
      <w:r>
        <w:rPr>
          <w:spacing w:val="-3"/>
        </w:rPr>
        <w:t xml:space="preserve"> </w:t>
      </w:r>
      <w:r>
        <w:t xml:space="preserve">and there would be no me-thoughts (e.g., </w:t>
      </w:r>
      <w:r>
        <w:rPr>
          <w:i/>
        </w:rPr>
        <w:t>I’m thirsty</w:t>
      </w:r>
      <w:r>
        <w:t xml:space="preserve">) could be expressed; one could only express their third-person counterparts (e.g., “JM is thirsty”). Thus, one could not, in an indexical-free language, express the thought </w:t>
      </w:r>
      <w:r>
        <w:rPr>
          <w:i/>
        </w:rPr>
        <w:t xml:space="preserve">I am JM </w:t>
      </w:r>
      <w:r>
        <w:t xml:space="preserve">or </w:t>
      </w:r>
      <w:r>
        <w:rPr>
          <w:i/>
        </w:rPr>
        <w:t xml:space="preserve">I am that guy in the mirror. </w:t>
      </w:r>
      <w:r>
        <w:t>And such a language would therefore be extremely impoverished</w:t>
      </w:r>
      <w:bookmarkStart w:id="153" w:name="_bookmark153"/>
      <w:bookmarkEnd w:id="153"/>
      <w:r>
        <w:t>.</w:t>
      </w:r>
      <w:r>
        <w:rPr>
          <w:color w:val="0562C1"/>
          <w:position w:val="21"/>
          <w:u w:val="single" w:color="0562C1"/>
        </w:rPr>
        <w:t>[87]</w:t>
      </w:r>
    </w:p>
    <w:p w14:paraId="7E000CFE" w14:textId="77777777" w:rsidR="009A58DB" w:rsidRDefault="00000000">
      <w:pPr>
        <w:pStyle w:val="Heading1"/>
        <w:numPr>
          <w:ilvl w:val="1"/>
          <w:numId w:val="183"/>
        </w:numPr>
        <w:tabs>
          <w:tab w:val="left" w:pos="990"/>
        </w:tabs>
        <w:spacing w:before="197"/>
        <w:ind w:left="990" w:hanging="630"/>
      </w:pPr>
      <w:r>
        <w:t>Tokens,</w:t>
      </w:r>
      <w:r>
        <w:rPr>
          <w:spacing w:val="-6"/>
        </w:rPr>
        <w:t xml:space="preserve"> </w:t>
      </w:r>
      <w:r>
        <w:t>types,</w:t>
      </w:r>
      <w:r>
        <w:rPr>
          <w:spacing w:val="-5"/>
        </w:rPr>
        <w:t xml:space="preserve"> </w:t>
      </w:r>
      <w:r>
        <w:t>and</w:t>
      </w:r>
      <w:r>
        <w:rPr>
          <w:spacing w:val="-6"/>
        </w:rPr>
        <w:t xml:space="preserve"> </w:t>
      </w:r>
      <w:r>
        <w:t>context-</w:t>
      </w:r>
      <w:r>
        <w:rPr>
          <w:spacing w:val="-2"/>
        </w:rPr>
        <w:t>sensitivity</w:t>
      </w:r>
    </w:p>
    <w:p w14:paraId="7E000CFF" w14:textId="77777777" w:rsidR="009A58DB" w:rsidRDefault="00000000">
      <w:pPr>
        <w:pStyle w:val="BodyText"/>
        <w:spacing w:before="140" w:line="249" w:lineRule="auto"/>
        <w:ind w:right="360"/>
      </w:pPr>
      <w:r>
        <w:t>No sentence-</w:t>
      </w:r>
      <w:r>
        <w:rPr>
          <w:i/>
        </w:rPr>
        <w:t xml:space="preserve">type </w:t>
      </w:r>
      <w:r>
        <w:t xml:space="preserve">containing a context-sensitive component is either true or false; for no such sentence-type says anything. It is </w:t>
      </w:r>
      <w:r>
        <w:rPr>
          <w:i/>
        </w:rPr>
        <w:t xml:space="preserve">tokens </w:t>
      </w:r>
      <w:r>
        <w:t>of “I am now</w:t>
      </w:r>
      <w:r>
        <w:rPr>
          <w:spacing w:val="40"/>
        </w:rPr>
        <w:t xml:space="preserve"> </w:t>
      </w:r>
      <w:r>
        <w:t xml:space="preserve">tired” that make statements; the corresponding sentence-type does not do so. What a token of “I am tired now” affirms depends on facts about the context of utterance. If Smith’s the one who’s speaking, and it’s 3:00 P.M., such an utterance is true just in case Smith is tired at 3:00 P.M. If Jones is the speaker and it’s 4:00 P.M., such an utterance is true just in case Jones is tired at 4:00 </w:t>
      </w:r>
      <w:r>
        <w:rPr>
          <w:spacing w:val="-4"/>
        </w:rPr>
        <w:t>P.M.</w:t>
      </w:r>
    </w:p>
    <w:p w14:paraId="7E000D00" w14:textId="77777777" w:rsidR="009A58DB" w:rsidRDefault="00000000">
      <w:pPr>
        <w:pStyle w:val="BodyText"/>
        <w:spacing w:before="9" w:line="249" w:lineRule="auto"/>
        <w:ind w:right="358" w:firstLine="360"/>
      </w:pPr>
      <w:r>
        <w:t xml:space="preserve">Thus the semantic rule that assigns a proposition to such a token does so on the basis of the facts about the context of utterance. And the rule in question is clearly this: “If, at time t, person p tokens the sentencetype “I am tired,” then the proposition thereby affirmed is true exactly if p is tired at p.” The same thing </w:t>
      </w:r>
      <w:r>
        <w:rPr>
          <w:i/>
        </w:rPr>
        <w:t xml:space="preserve">mutatis mutandis </w:t>
      </w:r>
      <w:r>
        <w:t>is true of all context-sensitive expressions. So the rule that assigns a proposition to an utterance of “that man is married to that woman” is: if, in the context of utterance, x is a uniquely salient man and y is a uniquely salient woman, a token of the sentence-type “that man is married to that woman” affirms a proposition that is true if and only if x is married to y.</w:t>
      </w:r>
    </w:p>
    <w:p w14:paraId="7E000D01" w14:textId="77777777" w:rsidR="009A58DB" w:rsidRDefault="00000000">
      <w:pPr>
        <w:pStyle w:val="BodyText"/>
        <w:spacing w:before="13" w:line="249" w:lineRule="auto"/>
        <w:ind w:right="358" w:firstLine="360"/>
      </w:pPr>
      <w:r>
        <w:t>So context-sensitive sentence-types aren’t true or false; they don’t, in and of themselves, bear propositions. But they have an important semantic role: the</w:t>
      </w:r>
      <w:r>
        <w:rPr>
          <w:spacing w:val="-1"/>
        </w:rPr>
        <w:t xml:space="preserve"> </w:t>
      </w:r>
      <w:r>
        <w:t>identity of</w:t>
      </w:r>
      <w:r>
        <w:rPr>
          <w:spacing w:val="-1"/>
        </w:rPr>
        <w:t xml:space="preserve"> </w:t>
      </w:r>
      <w:r>
        <w:t>the proposition</w:t>
      </w:r>
      <w:r>
        <w:rPr>
          <w:spacing w:val="-1"/>
        </w:rPr>
        <w:t xml:space="preserve"> </w:t>
      </w:r>
      <w:r>
        <w:t>meant</w:t>
      </w:r>
      <w:r>
        <w:rPr>
          <w:spacing w:val="-1"/>
        </w:rPr>
        <w:t xml:space="preserve"> </w:t>
      </w:r>
      <w:r>
        <w:t>by</w:t>
      </w:r>
      <w:r>
        <w:rPr>
          <w:spacing w:val="-1"/>
        </w:rPr>
        <w:t xml:space="preserve"> </w:t>
      </w:r>
      <w:r>
        <w:t>a token</w:t>
      </w:r>
      <w:r>
        <w:rPr>
          <w:spacing w:val="-1"/>
        </w:rPr>
        <w:t xml:space="preserve"> </w:t>
      </w:r>
      <w:r>
        <w:t>of such</w:t>
      </w:r>
      <w:r>
        <w:rPr>
          <w:spacing w:val="-1"/>
        </w:rPr>
        <w:t xml:space="preserve"> </w:t>
      </w:r>
      <w:r>
        <w:t>a type</w:t>
      </w:r>
      <w:r>
        <w:rPr>
          <w:spacing w:val="-1"/>
        </w:rPr>
        <w:t xml:space="preserve"> </w:t>
      </w:r>
      <w:r>
        <w:t>depends on the identity of the type. A token of “I am tired” means one thing; a token of “you are tired,” uttered by the same person at the same time, means something</w:t>
      </w:r>
      <w:r>
        <w:rPr>
          <w:spacing w:val="40"/>
        </w:rPr>
        <w:t xml:space="preserve"> </w:t>
      </w:r>
      <w:r>
        <w:t>else; and that difference obviously stems from the fact that, because different sentence-types</w:t>
      </w:r>
      <w:r>
        <w:rPr>
          <w:spacing w:val="24"/>
        </w:rPr>
        <w:t xml:space="preserve"> </w:t>
      </w:r>
      <w:r>
        <w:t>were</w:t>
      </w:r>
      <w:r>
        <w:rPr>
          <w:spacing w:val="24"/>
        </w:rPr>
        <w:t xml:space="preserve"> </w:t>
      </w:r>
      <w:r>
        <w:t>tokened,</w:t>
      </w:r>
      <w:r>
        <w:rPr>
          <w:spacing w:val="24"/>
        </w:rPr>
        <w:t xml:space="preserve"> </w:t>
      </w:r>
      <w:r>
        <w:t>the</w:t>
      </w:r>
      <w:r>
        <w:rPr>
          <w:spacing w:val="24"/>
        </w:rPr>
        <w:t xml:space="preserve"> </w:t>
      </w:r>
      <w:r>
        <w:t>semantic</w:t>
      </w:r>
      <w:r>
        <w:rPr>
          <w:spacing w:val="24"/>
        </w:rPr>
        <w:t xml:space="preserve"> </w:t>
      </w:r>
      <w:r>
        <w:t>rule</w:t>
      </w:r>
      <w:r>
        <w:rPr>
          <w:spacing w:val="24"/>
        </w:rPr>
        <w:t xml:space="preserve"> </w:t>
      </w:r>
      <w:r>
        <w:t>that</w:t>
      </w:r>
      <w:r>
        <w:rPr>
          <w:spacing w:val="24"/>
        </w:rPr>
        <w:t xml:space="preserve"> </w:t>
      </w:r>
      <w:r>
        <w:t>assigns</w:t>
      </w:r>
      <w:r>
        <w:rPr>
          <w:spacing w:val="24"/>
        </w:rPr>
        <w:t xml:space="preserve"> </w:t>
      </w:r>
      <w:r>
        <w:t>a</w:t>
      </w:r>
      <w:r>
        <w:rPr>
          <w:spacing w:val="24"/>
        </w:rPr>
        <w:t xml:space="preserve"> </w:t>
      </w:r>
      <w:r>
        <w:t>proposition</w:t>
      </w:r>
      <w:r>
        <w:rPr>
          <w:spacing w:val="24"/>
        </w:rPr>
        <w:t xml:space="preserve"> </w:t>
      </w:r>
      <w:r>
        <w:t>to</w:t>
      </w:r>
    </w:p>
    <w:p w14:paraId="7E000D0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03" w14:textId="77777777" w:rsidR="009A58DB" w:rsidRDefault="00000000">
      <w:pPr>
        <w:pStyle w:val="BodyText"/>
        <w:spacing w:before="60" w:line="254" w:lineRule="auto"/>
        <w:ind w:left="720" w:right="362" w:hanging="360"/>
      </w:pPr>
      <w:r>
        <w:lastRenderedPageBreak/>
        <w:t>the one token is different from the rule that assigns a proposition to the other. This</w:t>
      </w:r>
      <w:r>
        <w:rPr>
          <w:spacing w:val="45"/>
          <w:w w:val="150"/>
        </w:rPr>
        <w:t xml:space="preserve"> </w:t>
      </w:r>
      <w:r>
        <w:t>can</w:t>
      </w:r>
      <w:r>
        <w:rPr>
          <w:spacing w:val="48"/>
          <w:w w:val="150"/>
        </w:rPr>
        <w:t xml:space="preserve"> </w:t>
      </w:r>
      <w:r>
        <w:t>all</w:t>
      </w:r>
      <w:r>
        <w:rPr>
          <w:spacing w:val="47"/>
          <w:w w:val="150"/>
        </w:rPr>
        <w:t xml:space="preserve"> </w:t>
      </w:r>
      <w:r>
        <w:t>be</w:t>
      </w:r>
      <w:r>
        <w:rPr>
          <w:spacing w:val="48"/>
          <w:w w:val="150"/>
        </w:rPr>
        <w:t xml:space="preserve"> </w:t>
      </w:r>
      <w:r>
        <w:t>distilled</w:t>
      </w:r>
      <w:r>
        <w:rPr>
          <w:spacing w:val="47"/>
          <w:w w:val="150"/>
        </w:rPr>
        <w:t xml:space="preserve"> </w:t>
      </w:r>
      <w:r>
        <w:t>into</w:t>
      </w:r>
      <w:r>
        <w:rPr>
          <w:spacing w:val="48"/>
          <w:w w:val="150"/>
        </w:rPr>
        <w:t xml:space="preserve"> </w:t>
      </w:r>
      <w:r>
        <w:t>the</w:t>
      </w:r>
      <w:r>
        <w:rPr>
          <w:spacing w:val="47"/>
          <w:w w:val="150"/>
        </w:rPr>
        <w:t xml:space="preserve"> </w:t>
      </w:r>
      <w:r>
        <w:t>following</w:t>
      </w:r>
      <w:r>
        <w:rPr>
          <w:spacing w:val="48"/>
          <w:w w:val="150"/>
        </w:rPr>
        <w:t xml:space="preserve"> </w:t>
      </w:r>
      <w:r>
        <w:t>principle:</w:t>
      </w:r>
      <w:r>
        <w:rPr>
          <w:spacing w:val="47"/>
          <w:w w:val="150"/>
        </w:rPr>
        <w:t xml:space="preserve"> </w:t>
      </w:r>
      <w:r>
        <w:t>where</w:t>
      </w:r>
      <w:r>
        <w:rPr>
          <w:spacing w:val="48"/>
          <w:w w:val="150"/>
        </w:rPr>
        <w:t xml:space="preserve"> </w:t>
      </w:r>
      <w:r>
        <w:rPr>
          <w:spacing w:val="-2"/>
        </w:rPr>
        <w:t>context-</w:t>
      </w:r>
    </w:p>
    <w:p w14:paraId="7E000D04" w14:textId="77777777" w:rsidR="009A58DB" w:rsidRDefault="00000000">
      <w:pPr>
        <w:pStyle w:val="BodyText"/>
        <w:spacing w:line="249" w:lineRule="auto"/>
        <w:ind w:right="363"/>
      </w:pPr>
      <w:r>
        <w:t xml:space="preserve">sensitive sentences are concerned, the meaning of a token is a proposition, and the meaning of type is a </w:t>
      </w:r>
      <w:r>
        <w:rPr>
          <w:i/>
        </w:rPr>
        <w:t xml:space="preserve">rule </w:t>
      </w:r>
      <w:r>
        <w:t>that assigns a proposition to one of its tokens on the basis of facts about the context in which that token occurred.</w:t>
      </w:r>
    </w:p>
    <w:p w14:paraId="7E000D05" w14:textId="77777777" w:rsidR="009A58DB" w:rsidRDefault="00000000">
      <w:pPr>
        <w:pStyle w:val="BodyText"/>
        <w:spacing w:line="249" w:lineRule="auto"/>
        <w:ind w:right="362" w:firstLine="360"/>
      </w:pPr>
      <w:r>
        <w:t>Long</w:t>
      </w:r>
      <w:r>
        <w:rPr>
          <w:spacing w:val="-4"/>
        </w:rPr>
        <w:t xml:space="preserve"> </w:t>
      </w:r>
      <w:r>
        <w:t>story</w:t>
      </w:r>
      <w:r>
        <w:rPr>
          <w:spacing w:val="-4"/>
        </w:rPr>
        <w:t xml:space="preserve"> </w:t>
      </w:r>
      <w:r>
        <w:t>short:</w:t>
      </w:r>
      <w:r>
        <w:rPr>
          <w:spacing w:val="-5"/>
        </w:rPr>
        <w:t xml:space="preserve"> </w:t>
      </w:r>
      <w:r>
        <w:t>the</w:t>
      </w:r>
      <w:r>
        <w:rPr>
          <w:spacing w:val="-5"/>
        </w:rPr>
        <w:t xml:space="preserve"> </w:t>
      </w:r>
      <w:r>
        <w:t>meanings</w:t>
      </w:r>
      <w:r>
        <w:rPr>
          <w:spacing w:val="-5"/>
        </w:rPr>
        <w:t xml:space="preserve"> </w:t>
      </w:r>
      <w:r>
        <w:t>of</w:t>
      </w:r>
      <w:r>
        <w:rPr>
          <w:spacing w:val="-5"/>
        </w:rPr>
        <w:t xml:space="preserve"> </w:t>
      </w:r>
      <w:r>
        <w:t>sentence-tokens</w:t>
      </w:r>
      <w:r>
        <w:rPr>
          <w:spacing w:val="-5"/>
        </w:rPr>
        <w:t xml:space="preserve"> </w:t>
      </w:r>
      <w:r>
        <w:t>are</w:t>
      </w:r>
      <w:r>
        <w:rPr>
          <w:spacing w:val="-5"/>
        </w:rPr>
        <w:t xml:space="preserve"> </w:t>
      </w:r>
      <w:r>
        <w:t>propositions</w:t>
      </w:r>
      <w:r>
        <w:rPr>
          <w:spacing w:val="-5"/>
        </w:rPr>
        <w:t xml:space="preserve"> </w:t>
      </w:r>
      <w:r>
        <w:t>and</w:t>
      </w:r>
      <w:r>
        <w:rPr>
          <w:spacing w:val="-4"/>
        </w:rPr>
        <w:t xml:space="preserve"> </w:t>
      </w:r>
      <w:r>
        <w:t>the meanings of sentence-types are rules that assign propositions to their tokens, usually on the basis of facts about the context of tokening.</w:t>
      </w:r>
    </w:p>
    <w:p w14:paraId="7E000D06" w14:textId="77777777" w:rsidR="009A58DB" w:rsidRDefault="00000000">
      <w:pPr>
        <w:pStyle w:val="Heading1"/>
        <w:numPr>
          <w:ilvl w:val="1"/>
          <w:numId w:val="183"/>
        </w:numPr>
        <w:tabs>
          <w:tab w:val="left" w:pos="1181"/>
          <w:tab w:val="left" w:pos="3389"/>
          <w:tab w:val="left" w:pos="4363"/>
          <w:tab w:val="left" w:pos="7899"/>
        </w:tabs>
        <w:spacing w:before="189" w:line="244" w:lineRule="auto"/>
        <w:ind w:right="360" w:firstLine="0"/>
      </w:pPr>
      <w:r>
        <w:rPr>
          <w:spacing w:val="-2"/>
        </w:rPr>
        <w:t>Ambiguity</w:t>
      </w:r>
      <w:r>
        <w:tab/>
      </w:r>
      <w:r>
        <w:rPr>
          <w:spacing w:val="-4"/>
        </w:rPr>
        <w:t>and</w:t>
      </w:r>
      <w:r>
        <w:tab/>
      </w:r>
      <w:r>
        <w:rPr>
          <w:spacing w:val="-2"/>
        </w:rPr>
        <w:t>context-sensitivity</w:t>
      </w:r>
      <w:r>
        <w:tab/>
      </w:r>
      <w:r>
        <w:rPr>
          <w:spacing w:val="-2"/>
        </w:rPr>
        <w:t xml:space="preserve">(revisited) </w:t>
      </w:r>
      <w:r>
        <w:t>and the typetoken distinction (revisited)</w:t>
      </w:r>
    </w:p>
    <w:p w14:paraId="7E000D07" w14:textId="77777777" w:rsidR="009A58DB" w:rsidRDefault="00000000">
      <w:pPr>
        <w:pStyle w:val="BodyText"/>
        <w:spacing w:before="131" w:line="249" w:lineRule="auto"/>
        <w:ind w:right="358"/>
      </w:pPr>
      <w:r>
        <w:t>Consider the sentence-type “that person is a professor.” Is that sentence true or false? No. Some tokens of it are true and some are false. This is because what a given token of that sentence says is a function of the circumstances. If I utter it while pointing at Bob, I’m attributing the property of being a professor to Bob. If I utter it while pointing to Sally, I’m attributing that property to Sally, not Bob. So what it is that I’m affirming in the one case is different from what it is that I’m affirming in the other case. But that isn’t because the sentence “that person is a professor is ambiguous.” That sentence is not ambiguous: it has just one meaning. But that meaning is not a proposition; it isn’t something that is true or false. That meaning is a rule. That rule in its turn assigns meanings to tokens of that sentence. Those meanings are true or false; those meanings are propositions.</w:t>
      </w:r>
    </w:p>
    <w:p w14:paraId="7E000D08" w14:textId="77777777" w:rsidR="009A58DB" w:rsidRDefault="00000000">
      <w:pPr>
        <w:pStyle w:val="BodyText"/>
        <w:spacing w:before="15" w:line="249" w:lineRule="auto"/>
        <w:ind w:right="358" w:firstLine="360"/>
      </w:pPr>
      <w:r>
        <w:t>Remember</w:t>
      </w:r>
      <w:r>
        <w:rPr>
          <w:spacing w:val="-3"/>
        </w:rPr>
        <w:t xml:space="preserve"> </w:t>
      </w:r>
      <w:r>
        <w:t>that</w:t>
      </w:r>
      <w:r>
        <w:rPr>
          <w:spacing w:val="-3"/>
        </w:rPr>
        <w:t xml:space="preserve"> </w:t>
      </w:r>
      <w:r>
        <w:t>expression-types</w:t>
      </w:r>
      <w:r>
        <w:rPr>
          <w:spacing w:val="-3"/>
        </w:rPr>
        <w:t xml:space="preserve"> </w:t>
      </w:r>
      <w:r>
        <w:t>are</w:t>
      </w:r>
      <w:r>
        <w:rPr>
          <w:spacing w:val="-3"/>
        </w:rPr>
        <w:t xml:space="preserve"> </w:t>
      </w:r>
      <w:r>
        <w:t>what</w:t>
      </w:r>
      <w:r>
        <w:rPr>
          <w:spacing w:val="-3"/>
        </w:rPr>
        <w:t xml:space="preserve"> </w:t>
      </w:r>
      <w:r>
        <w:t>result</w:t>
      </w:r>
      <w:r>
        <w:rPr>
          <w:spacing w:val="-3"/>
        </w:rPr>
        <w:t xml:space="preserve"> </w:t>
      </w:r>
      <w:r>
        <w:t>when</w:t>
      </w:r>
      <w:r>
        <w:rPr>
          <w:spacing w:val="-3"/>
        </w:rPr>
        <w:t xml:space="preserve"> </w:t>
      </w:r>
      <w:r>
        <w:t>properties</w:t>
      </w:r>
      <w:r>
        <w:rPr>
          <w:spacing w:val="-3"/>
        </w:rPr>
        <w:t xml:space="preserve"> </w:t>
      </w:r>
      <w:r>
        <w:rPr>
          <w:i/>
        </w:rPr>
        <w:t xml:space="preserve">per se, </w:t>
      </w:r>
      <w:r>
        <w:t xml:space="preserve">as opposed to their instances, are assigned meanings. Of course, the rules that assign meanings to properties are semantic rules, since anything that assigns meaning to anything is </w:t>
      </w:r>
      <w:r>
        <w:rPr>
          <w:i/>
        </w:rPr>
        <w:t>ipso facto</w:t>
      </w:r>
      <w:r>
        <w:rPr>
          <w:i/>
          <w:spacing w:val="40"/>
        </w:rPr>
        <w:t xml:space="preserve"> </w:t>
      </w:r>
      <w:r>
        <w:t>a semantic rule. So the sentence-</w:t>
      </w:r>
      <w:r>
        <w:rPr>
          <w:i/>
        </w:rPr>
        <w:t xml:space="preserve">type </w:t>
      </w:r>
      <w:r>
        <w:t>of which the following ink deposit—“that guy is a professor”—is a token is what results when some semantic rule assigns a meaning to some property. Let R</w:t>
      </w:r>
      <w:r>
        <w:rPr>
          <w:position w:val="-7"/>
          <w:sz w:val="22"/>
        </w:rPr>
        <w:t>1</w:t>
      </w:r>
      <w:r>
        <w:rPr>
          <w:spacing w:val="40"/>
          <w:position w:val="-7"/>
          <w:sz w:val="22"/>
        </w:rPr>
        <w:t xml:space="preserve"> </w:t>
      </w:r>
      <w:r>
        <w:t>be the semantic rule in question. Let R</w:t>
      </w:r>
      <w:r>
        <w:rPr>
          <w:position w:val="-7"/>
          <w:sz w:val="22"/>
        </w:rPr>
        <w:t>2</w:t>
      </w:r>
      <w:r>
        <w:rPr>
          <w:spacing w:val="40"/>
          <w:position w:val="-7"/>
          <w:sz w:val="22"/>
        </w:rPr>
        <w:t xml:space="preserve"> </w:t>
      </w:r>
      <w:r>
        <w:t>be the meaning that R</w:t>
      </w:r>
      <w:r>
        <w:rPr>
          <w:position w:val="-7"/>
          <w:sz w:val="22"/>
        </w:rPr>
        <w:t>1</w:t>
      </w:r>
      <w:r>
        <w:rPr>
          <w:spacing w:val="40"/>
          <w:position w:val="-7"/>
          <w:sz w:val="22"/>
        </w:rPr>
        <w:t xml:space="preserve"> </w:t>
      </w:r>
      <w:r>
        <w:t>assigns</w:t>
      </w:r>
      <w:r>
        <w:rPr>
          <w:spacing w:val="73"/>
        </w:rPr>
        <w:t xml:space="preserve"> </w:t>
      </w:r>
      <w:r>
        <w:t>to</w:t>
      </w:r>
      <w:r>
        <w:rPr>
          <w:spacing w:val="74"/>
        </w:rPr>
        <w:t xml:space="preserve"> </w:t>
      </w:r>
      <w:r>
        <w:t>the</w:t>
      </w:r>
      <w:r>
        <w:rPr>
          <w:spacing w:val="73"/>
        </w:rPr>
        <w:t xml:space="preserve"> </w:t>
      </w:r>
      <w:r>
        <w:t>just-mentioned</w:t>
      </w:r>
      <w:r>
        <w:rPr>
          <w:spacing w:val="74"/>
        </w:rPr>
        <w:t xml:space="preserve"> </w:t>
      </w:r>
      <w:r>
        <w:t>property.</w:t>
      </w:r>
      <w:r>
        <w:rPr>
          <w:spacing w:val="74"/>
        </w:rPr>
        <w:t xml:space="preserve"> </w:t>
      </w:r>
      <w:r>
        <w:t>R</w:t>
      </w:r>
      <w:r>
        <w:rPr>
          <w:vertAlign w:val="subscript"/>
        </w:rPr>
        <w:t>2</w:t>
      </w:r>
      <w:r>
        <w:rPr>
          <w:spacing w:val="74"/>
        </w:rPr>
        <w:t xml:space="preserve"> </w:t>
      </w:r>
      <w:r>
        <w:t>is</w:t>
      </w:r>
      <w:r>
        <w:rPr>
          <w:spacing w:val="74"/>
        </w:rPr>
        <w:t xml:space="preserve"> </w:t>
      </w:r>
      <w:r>
        <w:rPr>
          <w:i/>
        </w:rPr>
        <w:t>itself</w:t>
      </w:r>
      <w:r>
        <w:rPr>
          <w:i/>
          <w:spacing w:val="73"/>
        </w:rPr>
        <w:t xml:space="preserve"> </w:t>
      </w:r>
      <w:r>
        <w:t>a</w:t>
      </w:r>
      <w:r>
        <w:rPr>
          <w:spacing w:val="73"/>
        </w:rPr>
        <w:t xml:space="preserve"> </w:t>
      </w:r>
      <w:r>
        <w:t>semantic</w:t>
      </w:r>
      <w:r>
        <w:rPr>
          <w:spacing w:val="73"/>
        </w:rPr>
        <w:t xml:space="preserve"> </w:t>
      </w:r>
      <w:r>
        <w:t>rule.</w:t>
      </w:r>
      <w:r>
        <w:rPr>
          <w:spacing w:val="74"/>
        </w:rPr>
        <w:t xml:space="preserve"> </w:t>
      </w:r>
      <w:r>
        <w:t>But,</w:t>
      </w:r>
    </w:p>
    <w:p w14:paraId="7E000D09" w14:textId="77777777" w:rsidR="009A58DB" w:rsidRDefault="00000000">
      <w:pPr>
        <w:pStyle w:val="BodyText"/>
        <w:spacing w:before="67" w:line="292" w:lineRule="auto"/>
        <w:ind w:right="359"/>
      </w:pPr>
      <w:r>
        <w:t>whereas</w:t>
      </w:r>
      <w:r>
        <w:rPr>
          <w:spacing w:val="-1"/>
        </w:rPr>
        <w:t xml:space="preserve"> </w:t>
      </w:r>
      <w:r>
        <w:t>R</w:t>
      </w:r>
      <w:r>
        <w:rPr>
          <w:vertAlign w:val="subscript"/>
        </w:rPr>
        <w:t>1</w:t>
      </w:r>
      <w:r>
        <w:t xml:space="preserve"> assigns a meaning (a rule) to some property, R</w:t>
      </w:r>
      <w:r>
        <w:rPr>
          <w:vertAlign w:val="subscript"/>
        </w:rPr>
        <w:t>2</w:t>
      </w:r>
      <w:r>
        <w:t xml:space="preserve"> assigns meanings to instances of that property. So R</w:t>
      </w:r>
      <w:r>
        <w:rPr>
          <w:vertAlign w:val="subscript"/>
        </w:rPr>
        <w:t>2</w:t>
      </w:r>
      <w:r>
        <w:t xml:space="preserve"> assigns meanings to particular instances</w:t>
      </w:r>
      <w:r>
        <w:rPr>
          <w:spacing w:val="40"/>
        </w:rPr>
        <w:t xml:space="preserve"> </w:t>
      </w:r>
      <w:r>
        <w:t>of</w:t>
      </w:r>
      <w:r>
        <w:rPr>
          <w:spacing w:val="74"/>
          <w:w w:val="150"/>
        </w:rPr>
        <w:t xml:space="preserve"> </w:t>
      </w:r>
      <w:r>
        <w:t>the</w:t>
      </w:r>
      <w:r>
        <w:rPr>
          <w:spacing w:val="77"/>
          <w:w w:val="150"/>
        </w:rPr>
        <w:t xml:space="preserve"> </w:t>
      </w:r>
      <w:r>
        <w:t>morphology</w:t>
      </w:r>
      <w:r>
        <w:rPr>
          <w:spacing w:val="77"/>
          <w:w w:val="150"/>
        </w:rPr>
        <w:t xml:space="preserve"> </w:t>
      </w:r>
      <w:r>
        <w:t>had</w:t>
      </w:r>
      <w:r>
        <w:rPr>
          <w:spacing w:val="77"/>
          <w:w w:val="150"/>
        </w:rPr>
        <w:t xml:space="preserve"> </w:t>
      </w:r>
      <w:r>
        <w:t>by</w:t>
      </w:r>
      <w:r>
        <w:rPr>
          <w:spacing w:val="77"/>
          <w:w w:val="150"/>
        </w:rPr>
        <w:t xml:space="preserve"> </w:t>
      </w:r>
      <w:r>
        <w:t>the</w:t>
      </w:r>
      <w:r>
        <w:rPr>
          <w:spacing w:val="77"/>
          <w:w w:val="150"/>
        </w:rPr>
        <w:t xml:space="preserve"> </w:t>
      </w:r>
      <w:r>
        <w:t>following</w:t>
      </w:r>
      <w:r>
        <w:rPr>
          <w:spacing w:val="76"/>
          <w:w w:val="150"/>
        </w:rPr>
        <w:t xml:space="preserve"> </w:t>
      </w:r>
      <w:r>
        <w:t>ink</w:t>
      </w:r>
      <w:r>
        <w:rPr>
          <w:spacing w:val="77"/>
          <w:w w:val="150"/>
        </w:rPr>
        <w:t xml:space="preserve"> </w:t>
      </w:r>
      <w:r>
        <w:t>deposit</w:t>
      </w:r>
      <w:r>
        <w:rPr>
          <w:spacing w:val="77"/>
          <w:w w:val="150"/>
        </w:rPr>
        <w:t xml:space="preserve"> </w:t>
      </w:r>
      <w:r>
        <w:t>(“that</w:t>
      </w:r>
      <w:r>
        <w:rPr>
          <w:spacing w:val="77"/>
          <w:w w:val="150"/>
        </w:rPr>
        <w:t xml:space="preserve"> </w:t>
      </w:r>
      <w:r>
        <w:t>guy</w:t>
      </w:r>
      <w:r>
        <w:rPr>
          <w:spacing w:val="77"/>
          <w:w w:val="150"/>
        </w:rPr>
        <w:t xml:space="preserve"> </w:t>
      </w:r>
      <w:r>
        <w:t>is</w:t>
      </w:r>
      <w:r>
        <w:rPr>
          <w:spacing w:val="77"/>
          <w:w w:val="150"/>
        </w:rPr>
        <w:t xml:space="preserve"> </w:t>
      </w:r>
      <w:r>
        <w:rPr>
          <w:spacing w:val="-10"/>
        </w:rPr>
        <w:t>a</w:t>
      </w:r>
    </w:p>
    <w:p w14:paraId="7E000D0A"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0D0B" w14:textId="77777777" w:rsidR="009A58DB" w:rsidRDefault="00000000">
      <w:pPr>
        <w:pStyle w:val="BodyText"/>
        <w:spacing w:before="60" w:line="292" w:lineRule="auto"/>
        <w:ind w:right="358"/>
      </w:pPr>
      <w:r>
        <w:lastRenderedPageBreak/>
        <w:t>professor”). The meanings that R</w:t>
      </w:r>
      <w:r>
        <w:rPr>
          <w:vertAlign w:val="subscript"/>
        </w:rPr>
        <w:t>2</w:t>
      </w:r>
      <w:r>
        <w:t xml:space="preserve"> assigns to those tokens are not themselves rules; they are propositions—they are things that are true or false.</w:t>
      </w:r>
    </w:p>
    <w:p w14:paraId="7E000D0C" w14:textId="77777777" w:rsidR="009A58DB" w:rsidRDefault="00000000">
      <w:pPr>
        <w:pStyle w:val="BodyText"/>
        <w:spacing w:line="288" w:lineRule="exact"/>
        <w:ind w:left="720"/>
      </w:pPr>
      <w:r>
        <w:t>There</w:t>
      </w:r>
      <w:r>
        <w:rPr>
          <w:spacing w:val="21"/>
        </w:rPr>
        <w:t xml:space="preserve"> </w:t>
      </w:r>
      <w:r>
        <w:t>are</w:t>
      </w:r>
      <w:r>
        <w:rPr>
          <w:spacing w:val="21"/>
        </w:rPr>
        <w:t xml:space="preserve"> </w:t>
      </w:r>
      <w:r>
        <w:t>thus</w:t>
      </w:r>
      <w:r>
        <w:rPr>
          <w:spacing w:val="21"/>
        </w:rPr>
        <w:t xml:space="preserve"> </w:t>
      </w:r>
      <w:r>
        <w:t>very</w:t>
      </w:r>
      <w:r>
        <w:rPr>
          <w:spacing w:val="21"/>
        </w:rPr>
        <w:t xml:space="preserve"> </w:t>
      </w:r>
      <w:r>
        <w:t>different</w:t>
      </w:r>
      <w:r>
        <w:rPr>
          <w:spacing w:val="21"/>
        </w:rPr>
        <w:t xml:space="preserve"> </w:t>
      </w:r>
      <w:r>
        <w:t>sorts</w:t>
      </w:r>
      <w:r>
        <w:rPr>
          <w:spacing w:val="21"/>
        </w:rPr>
        <w:t xml:space="preserve"> </w:t>
      </w:r>
      <w:r>
        <w:t>of</w:t>
      </w:r>
      <w:r>
        <w:rPr>
          <w:spacing w:val="21"/>
        </w:rPr>
        <w:t xml:space="preserve"> </w:t>
      </w:r>
      <w:r>
        <w:t>semantic</w:t>
      </w:r>
      <w:r>
        <w:rPr>
          <w:spacing w:val="21"/>
        </w:rPr>
        <w:t xml:space="preserve"> </w:t>
      </w:r>
      <w:r>
        <w:t>rules.</w:t>
      </w:r>
      <w:r>
        <w:rPr>
          <w:spacing w:val="16"/>
        </w:rPr>
        <w:t xml:space="preserve"> </w:t>
      </w:r>
      <w:r>
        <w:t>There</w:t>
      </w:r>
      <w:r>
        <w:rPr>
          <w:spacing w:val="21"/>
        </w:rPr>
        <w:t xml:space="preserve"> </w:t>
      </w:r>
      <w:r>
        <w:t>are</w:t>
      </w:r>
      <w:r>
        <w:rPr>
          <w:spacing w:val="21"/>
        </w:rPr>
        <w:t xml:space="preserve"> </w:t>
      </w:r>
      <w:r>
        <w:t>those</w:t>
      </w:r>
      <w:r>
        <w:rPr>
          <w:spacing w:val="22"/>
        </w:rPr>
        <w:t xml:space="preserve"> </w:t>
      </w:r>
      <w:r>
        <w:rPr>
          <w:spacing w:val="-4"/>
        </w:rPr>
        <w:t>that</w:t>
      </w:r>
    </w:p>
    <w:p w14:paraId="7E000D0D" w14:textId="77777777" w:rsidR="009A58DB" w:rsidRDefault="00000000">
      <w:pPr>
        <w:pStyle w:val="BodyText"/>
        <w:spacing w:before="15" w:line="249" w:lineRule="auto"/>
        <w:ind w:right="358"/>
      </w:pPr>
      <w:r>
        <w:t>assign meanings to properties, and there are those that assign meanings to instances</w:t>
      </w:r>
      <w:r>
        <w:rPr>
          <w:spacing w:val="-21"/>
        </w:rPr>
        <w:t xml:space="preserve"> </w:t>
      </w:r>
      <w:r>
        <w:t>of</w:t>
      </w:r>
      <w:r>
        <w:rPr>
          <w:spacing w:val="-19"/>
        </w:rPr>
        <w:t xml:space="preserve"> </w:t>
      </w:r>
      <w:r>
        <w:t>those</w:t>
      </w:r>
      <w:r>
        <w:rPr>
          <w:spacing w:val="-19"/>
        </w:rPr>
        <w:t xml:space="preserve"> </w:t>
      </w:r>
      <w:r>
        <w:t>properties.</w:t>
      </w:r>
      <w:r>
        <w:rPr>
          <w:spacing w:val="-18"/>
        </w:rPr>
        <w:t xml:space="preserve"> </w:t>
      </w:r>
      <w:r>
        <w:t>The</w:t>
      </w:r>
      <w:r>
        <w:rPr>
          <w:spacing w:val="-19"/>
        </w:rPr>
        <w:t xml:space="preserve"> </w:t>
      </w:r>
      <w:r>
        <w:t>meaning</w:t>
      </w:r>
      <w:r>
        <w:rPr>
          <w:spacing w:val="-19"/>
        </w:rPr>
        <w:t xml:space="preserve"> </w:t>
      </w:r>
      <w:r>
        <w:t>that</w:t>
      </w:r>
      <w:r>
        <w:rPr>
          <w:spacing w:val="-19"/>
        </w:rPr>
        <w:t xml:space="preserve"> </w:t>
      </w:r>
      <w:r>
        <w:t>was</w:t>
      </w:r>
      <w:r>
        <w:rPr>
          <w:spacing w:val="-18"/>
        </w:rPr>
        <w:t xml:space="preserve"> </w:t>
      </w:r>
      <w:r>
        <w:t>assigned</w:t>
      </w:r>
      <w:r>
        <w:rPr>
          <w:spacing w:val="-19"/>
        </w:rPr>
        <w:t xml:space="preserve"> </w:t>
      </w:r>
      <w:r>
        <w:t>to</w:t>
      </w:r>
      <w:r>
        <w:rPr>
          <w:spacing w:val="-19"/>
        </w:rPr>
        <w:t xml:space="preserve"> </w:t>
      </w:r>
      <w:r>
        <w:t>the</w:t>
      </w:r>
      <w:r>
        <w:rPr>
          <w:spacing w:val="-19"/>
        </w:rPr>
        <w:t xml:space="preserve"> </w:t>
      </w:r>
      <w:r>
        <w:t>property</w:t>
      </w:r>
      <w:r>
        <w:rPr>
          <w:spacing w:val="-18"/>
        </w:rPr>
        <w:t xml:space="preserve"> </w:t>
      </w:r>
      <w:r>
        <w:t>we were</w:t>
      </w:r>
      <w:r>
        <w:rPr>
          <w:spacing w:val="-6"/>
        </w:rPr>
        <w:t xml:space="preserve"> </w:t>
      </w:r>
      <w:r>
        <w:t>just</w:t>
      </w:r>
      <w:r>
        <w:rPr>
          <w:spacing w:val="-2"/>
        </w:rPr>
        <w:t xml:space="preserve"> </w:t>
      </w:r>
      <w:r>
        <w:t>discussing</w:t>
      </w:r>
      <w:r>
        <w:rPr>
          <w:spacing w:val="-2"/>
        </w:rPr>
        <w:t xml:space="preserve"> </w:t>
      </w:r>
      <w:r>
        <w:t>is</w:t>
      </w:r>
      <w:r>
        <w:rPr>
          <w:spacing w:val="-2"/>
        </w:rPr>
        <w:t xml:space="preserve"> </w:t>
      </w:r>
      <w:r>
        <w:t>itself</w:t>
      </w:r>
      <w:r>
        <w:rPr>
          <w:spacing w:val="-2"/>
        </w:rPr>
        <w:t xml:space="preserve"> </w:t>
      </w:r>
      <w:r>
        <w:t>a</w:t>
      </w:r>
      <w:r>
        <w:rPr>
          <w:spacing w:val="-2"/>
        </w:rPr>
        <w:t xml:space="preserve"> </w:t>
      </w:r>
      <w:r>
        <w:t>semantic</w:t>
      </w:r>
      <w:r>
        <w:rPr>
          <w:spacing w:val="-2"/>
        </w:rPr>
        <w:t xml:space="preserve"> </w:t>
      </w:r>
      <w:r>
        <w:t>rule.</w:t>
      </w:r>
      <w:r>
        <w:rPr>
          <w:spacing w:val="-15"/>
        </w:rPr>
        <w:t xml:space="preserve"> </w:t>
      </w:r>
      <w:r>
        <w:t>As</w:t>
      </w:r>
      <w:r>
        <w:rPr>
          <w:spacing w:val="-2"/>
        </w:rPr>
        <w:t xml:space="preserve"> </w:t>
      </w:r>
      <w:r>
        <w:t>we’ll</w:t>
      </w:r>
      <w:r>
        <w:rPr>
          <w:spacing w:val="-2"/>
        </w:rPr>
        <w:t xml:space="preserve"> </w:t>
      </w:r>
      <w:r>
        <w:t>now</w:t>
      </w:r>
      <w:r>
        <w:rPr>
          <w:spacing w:val="-2"/>
        </w:rPr>
        <w:t xml:space="preserve"> </w:t>
      </w:r>
      <w:r>
        <w:t>see,</w:t>
      </w:r>
      <w:r>
        <w:rPr>
          <w:spacing w:val="-19"/>
        </w:rPr>
        <w:t xml:space="preserve"> </w:t>
      </w:r>
      <w:r>
        <w:rPr>
          <w:i/>
        </w:rPr>
        <w:t>every</w:t>
      </w:r>
      <w:r>
        <w:rPr>
          <w:i/>
          <w:spacing w:val="-19"/>
        </w:rPr>
        <w:t xml:space="preserve"> </w:t>
      </w:r>
      <w:r>
        <w:t>meaning that is assigned to a property (as opposed to a property-instance) is itself a semantic</w:t>
      </w:r>
      <w:r>
        <w:rPr>
          <w:spacing w:val="-14"/>
        </w:rPr>
        <w:t xml:space="preserve"> </w:t>
      </w:r>
      <w:r>
        <w:t>rule.</w:t>
      </w:r>
      <w:r>
        <w:rPr>
          <w:spacing w:val="-14"/>
        </w:rPr>
        <w:t xml:space="preserve"> </w:t>
      </w:r>
      <w:r>
        <w:t>Consider</w:t>
      </w:r>
      <w:r>
        <w:rPr>
          <w:spacing w:val="-14"/>
        </w:rPr>
        <w:t xml:space="preserve"> </w:t>
      </w:r>
      <w:r>
        <w:t>the</w:t>
      </w:r>
      <w:r>
        <w:rPr>
          <w:spacing w:val="-14"/>
        </w:rPr>
        <w:t xml:space="preserve"> </w:t>
      </w:r>
      <w:r>
        <w:t>following</w:t>
      </w:r>
      <w:r>
        <w:rPr>
          <w:spacing w:val="-14"/>
        </w:rPr>
        <w:t xml:space="preserve"> </w:t>
      </w:r>
      <w:r>
        <w:t>ink</w:t>
      </w:r>
      <w:r>
        <w:rPr>
          <w:spacing w:val="-14"/>
        </w:rPr>
        <w:t xml:space="preserve"> </w:t>
      </w:r>
      <w:r>
        <w:t>deposit:</w:t>
      </w:r>
      <w:r>
        <w:rPr>
          <w:spacing w:val="-14"/>
        </w:rPr>
        <w:t xml:space="preserve"> </w:t>
      </w:r>
      <w:r>
        <w:t>“Barack</w:t>
      </w:r>
      <w:r>
        <w:rPr>
          <w:spacing w:val="-14"/>
        </w:rPr>
        <w:t xml:space="preserve"> </w:t>
      </w:r>
      <w:r>
        <w:t>Obama.”</w:t>
      </w:r>
      <w:r>
        <w:rPr>
          <w:spacing w:val="-17"/>
        </w:rPr>
        <w:t xml:space="preserve"> </w:t>
      </w:r>
      <w:r>
        <w:t>There</w:t>
      </w:r>
      <w:r>
        <w:rPr>
          <w:spacing w:val="-14"/>
        </w:rPr>
        <w:t xml:space="preserve"> </w:t>
      </w:r>
      <w:r>
        <w:t>is</w:t>
      </w:r>
      <w:r>
        <w:rPr>
          <w:spacing w:val="-14"/>
        </w:rPr>
        <w:t xml:space="preserve"> </w:t>
      </w:r>
      <w:r>
        <w:t>a semantic rule that assigns a meaning to the</w:t>
      </w:r>
      <w:r>
        <w:rPr>
          <w:spacing w:val="-19"/>
        </w:rPr>
        <w:t xml:space="preserve"> </w:t>
      </w:r>
      <w:r>
        <w:rPr>
          <w:i/>
        </w:rPr>
        <w:t>property</w:t>
      </w:r>
      <w:r>
        <w:rPr>
          <w:i/>
          <w:spacing w:val="-19"/>
        </w:rPr>
        <w:t xml:space="preserve"> </w:t>
      </w:r>
      <w:r>
        <w:t>of having a morphology similar to that ink deposit. The meaning assigned to that property is</w:t>
      </w:r>
      <w:r>
        <w:rPr>
          <w:spacing w:val="-18"/>
        </w:rPr>
        <w:t xml:space="preserve"> </w:t>
      </w:r>
      <w:r>
        <w:rPr>
          <w:i/>
        </w:rPr>
        <w:t>itself</w:t>
      </w:r>
      <w:r>
        <w:rPr>
          <w:i/>
          <w:spacing w:val="-18"/>
        </w:rPr>
        <w:t xml:space="preserve"> </w:t>
      </w:r>
      <w:r>
        <w:t>a semantic rule.</w:t>
      </w:r>
      <w:r>
        <w:rPr>
          <w:spacing w:val="-19"/>
        </w:rPr>
        <w:t xml:space="preserve"> </w:t>
      </w:r>
      <w:r>
        <w:rPr>
          <w:i/>
        </w:rPr>
        <w:t>That</w:t>
      </w:r>
      <w:r>
        <w:rPr>
          <w:i/>
          <w:spacing w:val="-19"/>
        </w:rPr>
        <w:t xml:space="preserve"> </w:t>
      </w:r>
      <w:r>
        <w:t>rule assigns a meaning to each instance of the property in question.</w:t>
      </w:r>
      <w:r>
        <w:rPr>
          <w:spacing w:val="-11"/>
        </w:rPr>
        <w:t xml:space="preserve"> </w:t>
      </w:r>
      <w:r>
        <w:t>It</w:t>
      </w:r>
      <w:r>
        <w:rPr>
          <w:spacing w:val="-11"/>
        </w:rPr>
        <w:t xml:space="preserve"> </w:t>
      </w:r>
      <w:r>
        <w:t>assigns</w:t>
      </w:r>
      <w:r>
        <w:rPr>
          <w:spacing w:val="-11"/>
        </w:rPr>
        <w:t xml:space="preserve"> </w:t>
      </w:r>
      <w:r>
        <w:t>Barack</w:t>
      </w:r>
      <w:r>
        <w:rPr>
          <w:spacing w:val="-11"/>
        </w:rPr>
        <w:t xml:space="preserve"> </w:t>
      </w:r>
      <w:r>
        <w:t>Obama,</w:t>
      </w:r>
      <w:r>
        <w:rPr>
          <w:spacing w:val="-11"/>
        </w:rPr>
        <w:t xml:space="preserve"> </w:t>
      </w:r>
      <w:r>
        <w:t>the</w:t>
      </w:r>
      <w:r>
        <w:rPr>
          <w:spacing w:val="-11"/>
        </w:rPr>
        <w:t xml:space="preserve"> </w:t>
      </w:r>
      <w:r>
        <w:t>person,</w:t>
      </w:r>
      <w:r>
        <w:rPr>
          <w:spacing w:val="-11"/>
        </w:rPr>
        <w:t xml:space="preserve"> </w:t>
      </w:r>
      <w:r>
        <w:t>to</w:t>
      </w:r>
      <w:r>
        <w:rPr>
          <w:spacing w:val="-11"/>
        </w:rPr>
        <w:t xml:space="preserve"> </w:t>
      </w:r>
      <w:r>
        <w:t>any</w:t>
      </w:r>
      <w:r>
        <w:rPr>
          <w:spacing w:val="-11"/>
        </w:rPr>
        <w:t xml:space="preserve"> </w:t>
      </w:r>
      <w:r>
        <w:t>such</w:t>
      </w:r>
      <w:r>
        <w:rPr>
          <w:spacing w:val="-11"/>
        </w:rPr>
        <w:t xml:space="preserve"> </w:t>
      </w:r>
      <w:r>
        <w:t>instance.</w:t>
      </w:r>
      <w:r>
        <w:rPr>
          <w:spacing w:val="-15"/>
        </w:rPr>
        <w:t xml:space="preserve"> </w:t>
      </w:r>
      <w:r>
        <w:t>Thus,</w:t>
      </w:r>
      <w:r>
        <w:rPr>
          <w:spacing w:val="-11"/>
        </w:rPr>
        <w:t xml:space="preserve"> </w:t>
      </w:r>
      <w:r>
        <w:t>any such</w:t>
      </w:r>
      <w:r>
        <w:rPr>
          <w:spacing w:val="-12"/>
        </w:rPr>
        <w:t xml:space="preserve"> </w:t>
      </w:r>
      <w:r>
        <w:t>instance</w:t>
      </w:r>
      <w:r>
        <w:rPr>
          <w:spacing w:val="-12"/>
        </w:rPr>
        <w:t xml:space="preserve"> </w:t>
      </w:r>
      <w:r>
        <w:t>is</w:t>
      </w:r>
      <w:r>
        <w:rPr>
          <w:spacing w:val="-12"/>
        </w:rPr>
        <w:t xml:space="preserve"> </w:t>
      </w:r>
      <w:r>
        <w:t>an</w:t>
      </w:r>
      <w:r>
        <w:rPr>
          <w:spacing w:val="-12"/>
        </w:rPr>
        <w:t xml:space="preserve"> </w:t>
      </w:r>
      <w:r>
        <w:t>expression</w:t>
      </w:r>
      <w:r>
        <w:rPr>
          <w:spacing w:val="-12"/>
        </w:rPr>
        <w:t xml:space="preserve"> </w:t>
      </w:r>
      <w:r>
        <w:t>that</w:t>
      </w:r>
      <w:r>
        <w:rPr>
          <w:spacing w:val="-13"/>
        </w:rPr>
        <w:t xml:space="preserve"> </w:t>
      </w:r>
      <w:r>
        <w:t>picks</w:t>
      </w:r>
      <w:r>
        <w:rPr>
          <w:spacing w:val="-12"/>
        </w:rPr>
        <w:t xml:space="preserve"> </w:t>
      </w:r>
      <w:r>
        <w:t>out</w:t>
      </w:r>
      <w:r>
        <w:rPr>
          <w:spacing w:val="-13"/>
        </w:rPr>
        <w:t xml:space="preserve"> </w:t>
      </w:r>
      <w:r>
        <w:t>Barack</w:t>
      </w:r>
      <w:r>
        <w:rPr>
          <w:spacing w:val="-12"/>
        </w:rPr>
        <w:t xml:space="preserve"> </w:t>
      </w:r>
      <w:r>
        <w:t>Obama.</w:t>
      </w:r>
    </w:p>
    <w:p w14:paraId="7E000D0E" w14:textId="77777777" w:rsidR="009A58DB" w:rsidRDefault="00000000">
      <w:pPr>
        <w:pStyle w:val="BodyText"/>
        <w:spacing w:before="12" w:line="249" w:lineRule="auto"/>
        <w:ind w:right="359" w:firstLine="360"/>
      </w:pPr>
      <w:r>
        <w:t xml:space="preserve">In the previous section, we said that semantic rule is something which assigns a meaning to a property. That’s correct, but incomplete. The right </w:t>
      </w:r>
      <w:r>
        <w:rPr>
          <w:spacing w:val="-2"/>
        </w:rPr>
        <w:t>definition</w:t>
      </w:r>
      <w:r>
        <w:rPr>
          <w:spacing w:val="-13"/>
        </w:rPr>
        <w:t xml:space="preserve"> </w:t>
      </w:r>
      <w:r>
        <w:rPr>
          <w:spacing w:val="-2"/>
        </w:rPr>
        <w:t>is</w:t>
      </w:r>
      <w:r>
        <w:rPr>
          <w:spacing w:val="-13"/>
        </w:rPr>
        <w:t xml:space="preserve"> </w:t>
      </w:r>
      <w:r>
        <w:rPr>
          <w:spacing w:val="-2"/>
        </w:rPr>
        <w:t>this:</w:t>
      </w:r>
      <w:r>
        <w:rPr>
          <w:spacing w:val="-14"/>
        </w:rPr>
        <w:t xml:space="preserve"> </w:t>
      </w:r>
      <w:r>
        <w:rPr>
          <w:spacing w:val="-2"/>
        </w:rPr>
        <w:t>a</w:t>
      </w:r>
      <w:r>
        <w:rPr>
          <w:spacing w:val="-13"/>
        </w:rPr>
        <w:t xml:space="preserve"> </w:t>
      </w:r>
      <w:r>
        <w:rPr>
          <w:spacing w:val="-2"/>
        </w:rPr>
        <w:t>semantic</w:t>
      </w:r>
      <w:r>
        <w:rPr>
          <w:spacing w:val="-13"/>
        </w:rPr>
        <w:t xml:space="preserve"> </w:t>
      </w:r>
      <w:r>
        <w:rPr>
          <w:spacing w:val="-2"/>
        </w:rPr>
        <w:t>rule</w:t>
      </w:r>
      <w:r>
        <w:rPr>
          <w:spacing w:val="-13"/>
        </w:rPr>
        <w:t xml:space="preserve"> </w:t>
      </w:r>
      <w:r>
        <w:rPr>
          <w:spacing w:val="-2"/>
        </w:rPr>
        <w:t>is</w:t>
      </w:r>
      <w:r>
        <w:rPr>
          <w:spacing w:val="-13"/>
        </w:rPr>
        <w:t xml:space="preserve"> </w:t>
      </w:r>
      <w:r>
        <w:rPr>
          <w:spacing w:val="-2"/>
        </w:rPr>
        <w:t>something</w:t>
      </w:r>
      <w:r>
        <w:rPr>
          <w:spacing w:val="-13"/>
        </w:rPr>
        <w:t xml:space="preserve"> </w:t>
      </w:r>
      <w:r>
        <w:rPr>
          <w:spacing w:val="-2"/>
        </w:rPr>
        <w:t>which</w:t>
      </w:r>
      <w:r>
        <w:rPr>
          <w:spacing w:val="-13"/>
        </w:rPr>
        <w:t xml:space="preserve"> </w:t>
      </w:r>
      <w:r>
        <w:rPr>
          <w:spacing w:val="-2"/>
        </w:rPr>
        <w:t>assigns</w:t>
      </w:r>
      <w:r>
        <w:rPr>
          <w:spacing w:val="-13"/>
        </w:rPr>
        <w:t xml:space="preserve"> </w:t>
      </w:r>
      <w:r>
        <w:rPr>
          <w:spacing w:val="-2"/>
        </w:rPr>
        <w:t>a</w:t>
      </w:r>
      <w:r>
        <w:rPr>
          <w:spacing w:val="-13"/>
        </w:rPr>
        <w:t xml:space="preserve"> </w:t>
      </w:r>
      <w:r>
        <w:rPr>
          <w:spacing w:val="-2"/>
        </w:rPr>
        <w:t>rule</w:t>
      </w:r>
      <w:r>
        <w:rPr>
          <w:spacing w:val="-13"/>
        </w:rPr>
        <w:t xml:space="preserve"> </w:t>
      </w:r>
      <w:r>
        <w:rPr>
          <w:spacing w:val="-2"/>
        </w:rPr>
        <w:t>to</w:t>
      </w:r>
      <w:r>
        <w:rPr>
          <w:spacing w:val="-13"/>
        </w:rPr>
        <w:t xml:space="preserve"> </w:t>
      </w:r>
      <w:r>
        <w:rPr>
          <w:spacing w:val="-2"/>
        </w:rPr>
        <w:t>a</w:t>
      </w:r>
      <w:r>
        <w:rPr>
          <w:spacing w:val="-13"/>
        </w:rPr>
        <w:t xml:space="preserve"> </w:t>
      </w:r>
      <w:r>
        <w:rPr>
          <w:spacing w:val="-2"/>
        </w:rPr>
        <w:t xml:space="preserve">property </w:t>
      </w:r>
      <w:r>
        <w:t>that</w:t>
      </w:r>
      <w:r>
        <w:rPr>
          <w:spacing w:val="-13"/>
        </w:rPr>
        <w:t xml:space="preserve"> </w:t>
      </w:r>
      <w:r>
        <w:t>in</w:t>
      </w:r>
      <w:r>
        <w:rPr>
          <w:spacing w:val="-13"/>
        </w:rPr>
        <w:t xml:space="preserve"> </w:t>
      </w:r>
      <w:r>
        <w:t>its</w:t>
      </w:r>
      <w:r>
        <w:rPr>
          <w:spacing w:val="-13"/>
        </w:rPr>
        <w:t xml:space="preserve"> </w:t>
      </w:r>
      <w:r>
        <w:t>turn</w:t>
      </w:r>
      <w:r>
        <w:rPr>
          <w:spacing w:val="-13"/>
        </w:rPr>
        <w:t xml:space="preserve"> </w:t>
      </w:r>
      <w:r>
        <w:t>assigns</w:t>
      </w:r>
      <w:r>
        <w:rPr>
          <w:spacing w:val="-13"/>
        </w:rPr>
        <w:t xml:space="preserve"> </w:t>
      </w:r>
      <w:r>
        <w:t>meanings</w:t>
      </w:r>
      <w:r>
        <w:rPr>
          <w:spacing w:val="-13"/>
        </w:rPr>
        <w:t xml:space="preserve"> </w:t>
      </w:r>
      <w:r>
        <w:t>to</w:t>
      </w:r>
      <w:r>
        <w:rPr>
          <w:spacing w:val="-13"/>
        </w:rPr>
        <w:t xml:space="preserve"> </w:t>
      </w:r>
      <w:r>
        <w:t>instances</w:t>
      </w:r>
      <w:r>
        <w:rPr>
          <w:spacing w:val="-13"/>
        </w:rPr>
        <w:t xml:space="preserve"> </w:t>
      </w:r>
      <w:r>
        <w:t>of</w:t>
      </w:r>
      <w:r>
        <w:rPr>
          <w:spacing w:val="-12"/>
        </w:rPr>
        <w:t xml:space="preserve"> </w:t>
      </w:r>
      <w:r>
        <w:t>that</w:t>
      </w:r>
      <w:r>
        <w:rPr>
          <w:spacing w:val="-13"/>
        </w:rPr>
        <w:t xml:space="preserve"> </w:t>
      </w:r>
      <w:r>
        <w:t>property.</w:t>
      </w:r>
      <w:r>
        <w:rPr>
          <w:spacing w:val="-12"/>
        </w:rPr>
        <w:t xml:space="preserve"> </w:t>
      </w:r>
      <w:r>
        <w:t>Let</w:t>
      </w:r>
      <w:r>
        <w:rPr>
          <w:spacing w:val="-13"/>
        </w:rPr>
        <w:t xml:space="preserve"> </w:t>
      </w:r>
      <w:r>
        <w:t>us</w:t>
      </w:r>
      <w:r>
        <w:rPr>
          <w:spacing w:val="-12"/>
        </w:rPr>
        <w:t xml:space="preserve"> </w:t>
      </w:r>
      <w:r>
        <w:t>now</w:t>
      </w:r>
      <w:r>
        <w:rPr>
          <w:spacing w:val="-12"/>
        </w:rPr>
        <w:t xml:space="preserve"> </w:t>
      </w:r>
      <w:r>
        <w:t>move onto</w:t>
      </w:r>
      <w:r>
        <w:rPr>
          <w:spacing w:val="-2"/>
        </w:rPr>
        <w:t xml:space="preserve"> </w:t>
      </w:r>
      <w:r>
        <w:t>slightly</w:t>
      </w:r>
      <w:r>
        <w:rPr>
          <w:spacing w:val="-2"/>
        </w:rPr>
        <w:t xml:space="preserve"> </w:t>
      </w:r>
      <w:r>
        <w:t>less</w:t>
      </w:r>
      <w:r>
        <w:rPr>
          <w:spacing w:val="-2"/>
        </w:rPr>
        <w:t xml:space="preserve"> </w:t>
      </w:r>
      <w:r>
        <w:t>abstruse</w:t>
      </w:r>
      <w:r>
        <w:rPr>
          <w:spacing w:val="-2"/>
        </w:rPr>
        <w:t xml:space="preserve"> </w:t>
      </w:r>
      <w:r>
        <w:t>material.</w:t>
      </w:r>
    </w:p>
    <w:p w14:paraId="7E000D0F" w14:textId="77777777" w:rsidR="009A58DB" w:rsidRDefault="00000000">
      <w:pPr>
        <w:pStyle w:val="Heading1"/>
        <w:numPr>
          <w:ilvl w:val="1"/>
          <w:numId w:val="183"/>
        </w:numPr>
        <w:tabs>
          <w:tab w:val="left" w:pos="1250"/>
        </w:tabs>
        <w:spacing w:before="194" w:line="244" w:lineRule="auto"/>
        <w:ind w:right="365" w:firstLine="0"/>
        <w:jc w:val="both"/>
      </w:pPr>
      <w:r>
        <w:t xml:space="preserve">Do any expressions have one-dimensional </w:t>
      </w:r>
      <w:r>
        <w:rPr>
          <w:spacing w:val="-2"/>
        </w:rPr>
        <w:t>semantics?</w:t>
      </w:r>
    </w:p>
    <w:p w14:paraId="7E000D10" w14:textId="77777777" w:rsidR="009A58DB" w:rsidRDefault="00000000">
      <w:pPr>
        <w:pStyle w:val="BodyText"/>
        <w:spacing w:before="132" w:line="249" w:lineRule="auto"/>
        <w:ind w:right="360"/>
      </w:pPr>
      <w:r>
        <w:t>The question arises: What about sentence-types that don’t contain context-sensitive components? Where they are concerned, does token-meaning coincide with type-meaning?</w:t>
      </w:r>
    </w:p>
    <w:p w14:paraId="7E000D11" w14:textId="77777777" w:rsidR="009A58DB" w:rsidRDefault="00000000">
      <w:pPr>
        <w:pStyle w:val="BodyText"/>
        <w:spacing w:before="4" w:line="249" w:lineRule="auto"/>
        <w:ind w:right="357" w:firstLine="360"/>
      </w:pPr>
      <w:r>
        <w:t>First of all, in natural languages, there are no such sentence-types. Every sentence contains a tense-marker. And in virtue of containing a tense-marker, a sentence is such that the proposition expressed by any given one of its tokens</w:t>
      </w:r>
      <w:r>
        <w:rPr>
          <w:spacing w:val="33"/>
        </w:rPr>
        <w:t xml:space="preserve"> </w:t>
      </w:r>
      <w:r>
        <w:t>is</w:t>
      </w:r>
      <w:r>
        <w:rPr>
          <w:spacing w:val="34"/>
        </w:rPr>
        <w:t xml:space="preserve"> </w:t>
      </w:r>
      <w:r>
        <w:t>a</w:t>
      </w:r>
      <w:r>
        <w:rPr>
          <w:spacing w:val="33"/>
        </w:rPr>
        <w:t xml:space="preserve"> </w:t>
      </w:r>
      <w:r>
        <w:t>function</w:t>
      </w:r>
      <w:r>
        <w:rPr>
          <w:spacing w:val="34"/>
        </w:rPr>
        <w:t xml:space="preserve"> </w:t>
      </w:r>
      <w:r>
        <w:t>of</w:t>
      </w:r>
      <w:r>
        <w:rPr>
          <w:spacing w:val="34"/>
        </w:rPr>
        <w:t xml:space="preserve"> </w:t>
      </w:r>
      <w:r>
        <w:t>(</w:t>
      </w:r>
      <w:r>
        <w:rPr>
          <w:i/>
        </w:rPr>
        <w:t>inter</w:t>
      </w:r>
      <w:r>
        <w:rPr>
          <w:i/>
          <w:spacing w:val="28"/>
        </w:rPr>
        <w:t xml:space="preserve"> </w:t>
      </w:r>
      <w:r>
        <w:rPr>
          <w:i/>
        </w:rPr>
        <w:t>alia</w:t>
      </w:r>
      <w:r>
        <w:t>)</w:t>
      </w:r>
      <w:r>
        <w:rPr>
          <w:spacing w:val="39"/>
        </w:rPr>
        <w:t xml:space="preserve"> </w:t>
      </w:r>
      <w:r>
        <w:t>when</w:t>
      </w:r>
      <w:r>
        <w:rPr>
          <w:spacing w:val="39"/>
        </w:rPr>
        <w:t xml:space="preserve"> </w:t>
      </w:r>
      <w:r>
        <w:t>that</w:t>
      </w:r>
      <w:r>
        <w:rPr>
          <w:spacing w:val="39"/>
        </w:rPr>
        <w:t xml:space="preserve"> </w:t>
      </w:r>
      <w:r>
        <w:t>token</w:t>
      </w:r>
      <w:r>
        <w:rPr>
          <w:spacing w:val="39"/>
        </w:rPr>
        <w:t xml:space="preserve"> </w:t>
      </w:r>
      <w:r>
        <w:t>occurs.</w:t>
      </w:r>
      <w:r>
        <w:rPr>
          <w:spacing w:val="39"/>
        </w:rPr>
        <w:t xml:space="preserve"> </w:t>
      </w:r>
      <w:r>
        <w:t>If</w:t>
      </w:r>
      <w:r>
        <w:rPr>
          <w:spacing w:val="39"/>
        </w:rPr>
        <w:t xml:space="preserve"> </w:t>
      </w:r>
      <w:r>
        <w:t>you</w:t>
      </w:r>
      <w:r>
        <w:rPr>
          <w:spacing w:val="39"/>
        </w:rPr>
        <w:t xml:space="preserve"> </w:t>
      </w:r>
      <w:r>
        <w:t>say</w:t>
      </w:r>
      <w:r>
        <w:rPr>
          <w:spacing w:val="40"/>
        </w:rPr>
        <w:t xml:space="preserve"> </w:t>
      </w:r>
      <w:r>
        <w:rPr>
          <w:spacing w:val="-4"/>
        </w:rPr>
        <w:t>“the</w:t>
      </w:r>
    </w:p>
    <w:p w14:paraId="7E000D12" w14:textId="77777777" w:rsidR="009A58DB" w:rsidRDefault="00000000">
      <w:pPr>
        <w:pStyle w:val="BodyText"/>
        <w:spacing w:before="5" w:line="249" w:lineRule="auto"/>
        <w:ind w:right="370"/>
      </w:pPr>
      <w:r>
        <w:t>U.S. economy is fairly stable,” whether you are speaking the truth or not depends on when you say it.</w:t>
      </w:r>
    </w:p>
    <w:p w14:paraId="7E000D13" w14:textId="77777777" w:rsidR="009A58DB" w:rsidRDefault="00000000">
      <w:pPr>
        <w:pStyle w:val="BodyText"/>
        <w:spacing w:before="2" w:line="249" w:lineRule="auto"/>
        <w:ind w:right="369" w:firstLine="360"/>
      </w:pPr>
      <w:r>
        <w:t xml:space="preserve">There are some </w:t>
      </w:r>
      <w:r>
        <w:rPr>
          <w:i/>
        </w:rPr>
        <w:t xml:space="preserve">apparent </w:t>
      </w:r>
      <w:r>
        <w:t>counterexamples to this. For all intents and purposes, any two tokens of</w:t>
      </w:r>
    </w:p>
    <w:p w14:paraId="7E000D14" w14:textId="77777777" w:rsidR="009A58DB" w:rsidRDefault="00000000">
      <w:pPr>
        <w:pStyle w:val="BodyText"/>
        <w:spacing w:before="107"/>
      </w:pPr>
      <w:r>
        <w:t>(I</w:t>
      </w:r>
      <w:bookmarkStart w:id="154" w:name="_bookmark154"/>
      <w:bookmarkEnd w:id="154"/>
      <w:r>
        <w:t>A</w:t>
      </w:r>
      <w:r>
        <w:rPr>
          <w:color w:val="0562C1"/>
          <w:position w:val="21"/>
          <w:u w:val="single" w:color="0562C1"/>
        </w:rPr>
        <w:t>[88]</w:t>
      </w:r>
      <w:r>
        <w:t>)</w:t>
      </w:r>
      <w:r>
        <w:rPr>
          <w:spacing w:val="-6"/>
        </w:rPr>
        <w:t xml:space="preserve"> </w:t>
      </w:r>
      <w:r>
        <w:t>“the</w:t>
      </w:r>
      <w:r>
        <w:rPr>
          <w:spacing w:val="-4"/>
        </w:rPr>
        <w:t xml:space="preserve"> </w:t>
      </w:r>
      <w:r>
        <w:t>interior</w:t>
      </w:r>
      <w:r>
        <w:rPr>
          <w:spacing w:val="-3"/>
        </w:rPr>
        <w:t xml:space="preserve"> </w:t>
      </w:r>
      <w:r>
        <w:t>angles</w:t>
      </w:r>
      <w:r>
        <w:rPr>
          <w:spacing w:val="-4"/>
        </w:rPr>
        <w:t xml:space="preserve"> </w:t>
      </w:r>
      <w:r>
        <w:t>of</w:t>
      </w:r>
      <w:r>
        <w:rPr>
          <w:spacing w:val="-3"/>
        </w:rPr>
        <w:t xml:space="preserve"> </w:t>
      </w:r>
      <w:r>
        <w:t>a</w:t>
      </w:r>
      <w:r>
        <w:rPr>
          <w:spacing w:val="-4"/>
        </w:rPr>
        <w:t xml:space="preserve"> </w:t>
      </w:r>
      <w:r>
        <w:t>Euclidean</w:t>
      </w:r>
      <w:r>
        <w:rPr>
          <w:spacing w:val="-2"/>
        </w:rPr>
        <w:t xml:space="preserve"> </w:t>
      </w:r>
      <w:r>
        <w:t>triangle</w:t>
      </w:r>
      <w:r>
        <w:rPr>
          <w:spacing w:val="-4"/>
        </w:rPr>
        <w:t xml:space="preserve"> </w:t>
      </w:r>
      <w:r>
        <w:t>add</w:t>
      </w:r>
      <w:r>
        <w:rPr>
          <w:spacing w:val="-2"/>
        </w:rPr>
        <w:t xml:space="preserve"> </w:t>
      </w:r>
      <w:r>
        <w:t>up</w:t>
      </w:r>
      <w:r>
        <w:rPr>
          <w:spacing w:val="-3"/>
        </w:rPr>
        <w:t xml:space="preserve"> </w:t>
      </w:r>
      <w:r>
        <w:t>to</w:t>
      </w:r>
      <w:r>
        <w:rPr>
          <w:spacing w:val="-2"/>
        </w:rPr>
        <w:t xml:space="preserve"> 180°”</w:t>
      </w:r>
    </w:p>
    <w:p w14:paraId="7E000D15" w14:textId="77777777" w:rsidR="009A58DB" w:rsidRDefault="00000000">
      <w:pPr>
        <w:pStyle w:val="BodyText"/>
        <w:spacing w:before="121"/>
        <w:rPr>
          <w:i/>
        </w:rPr>
      </w:pPr>
      <w:r>
        <w:t>express</w:t>
      </w:r>
      <w:r>
        <w:rPr>
          <w:spacing w:val="4"/>
        </w:rPr>
        <w:t xml:space="preserve"> </w:t>
      </w:r>
      <w:r>
        <w:t>the</w:t>
      </w:r>
      <w:r>
        <w:rPr>
          <w:spacing w:val="6"/>
        </w:rPr>
        <w:t xml:space="preserve"> </w:t>
      </w:r>
      <w:r>
        <w:t>same</w:t>
      </w:r>
      <w:r>
        <w:rPr>
          <w:spacing w:val="7"/>
        </w:rPr>
        <w:t xml:space="preserve"> </w:t>
      </w:r>
      <w:r>
        <w:t>proposition.</w:t>
      </w:r>
      <w:r>
        <w:rPr>
          <w:spacing w:val="7"/>
        </w:rPr>
        <w:t xml:space="preserve"> </w:t>
      </w:r>
      <w:r>
        <w:t>But,</w:t>
      </w:r>
      <w:r>
        <w:rPr>
          <w:spacing w:val="7"/>
        </w:rPr>
        <w:t xml:space="preserve"> </w:t>
      </w:r>
      <w:r>
        <w:t>from</w:t>
      </w:r>
      <w:r>
        <w:rPr>
          <w:spacing w:val="6"/>
        </w:rPr>
        <w:t xml:space="preserve"> </w:t>
      </w:r>
      <w:r>
        <w:t>a</w:t>
      </w:r>
      <w:r>
        <w:rPr>
          <w:spacing w:val="7"/>
        </w:rPr>
        <w:t xml:space="preserve"> </w:t>
      </w:r>
      <w:r>
        <w:t>strictly</w:t>
      </w:r>
      <w:r>
        <w:rPr>
          <w:spacing w:val="7"/>
        </w:rPr>
        <w:t xml:space="preserve"> </w:t>
      </w:r>
      <w:r>
        <w:t>semantic</w:t>
      </w:r>
      <w:r>
        <w:rPr>
          <w:spacing w:val="7"/>
        </w:rPr>
        <w:t xml:space="preserve"> </w:t>
      </w:r>
      <w:r>
        <w:t>perspective,</w:t>
      </w:r>
      <w:r>
        <w:rPr>
          <w:spacing w:val="7"/>
        </w:rPr>
        <w:t xml:space="preserve"> </w:t>
      </w:r>
      <w:r>
        <w:t>IA</w:t>
      </w:r>
      <w:r>
        <w:rPr>
          <w:spacing w:val="7"/>
        </w:rPr>
        <w:t xml:space="preserve"> </w:t>
      </w:r>
      <w:r>
        <w:rPr>
          <w:i/>
          <w:spacing w:val="-5"/>
        </w:rPr>
        <w:t>is</w:t>
      </w:r>
    </w:p>
    <w:p w14:paraId="7E000D16" w14:textId="77777777" w:rsidR="009A58DB" w:rsidRDefault="009A58DB">
      <w:pPr>
        <w:pStyle w:val="BodyText"/>
        <w:rPr>
          <w:i/>
        </w:rPr>
        <w:sectPr w:rsidR="009A58DB">
          <w:pgSz w:w="12240" w:h="15840"/>
          <w:pgMar w:top="1380" w:right="1080" w:bottom="280" w:left="1080" w:header="720" w:footer="720" w:gutter="0"/>
          <w:cols w:space="720"/>
        </w:sectPr>
      </w:pPr>
    </w:p>
    <w:p w14:paraId="7E000D17" w14:textId="77777777" w:rsidR="009A58DB" w:rsidRDefault="00000000">
      <w:pPr>
        <w:pStyle w:val="BodyText"/>
        <w:spacing w:before="70" w:line="249" w:lineRule="auto"/>
        <w:ind w:right="362"/>
      </w:pPr>
      <w:r>
        <w:lastRenderedPageBreak/>
        <w:t xml:space="preserve">context-sensitive, and tokens of it uttered at different times </w:t>
      </w:r>
      <w:r>
        <w:rPr>
          <w:i/>
        </w:rPr>
        <w:t xml:space="preserve">don’t </w:t>
      </w:r>
      <w:r>
        <w:t>encode the same proposition. If it were believed that mathematical reality were as volatile as the stock-market, we would without hesitation regard IA as being in the same category as patently context-sensitive sentences such as:</w:t>
      </w:r>
    </w:p>
    <w:p w14:paraId="7E000D18" w14:textId="77777777" w:rsidR="009A58DB" w:rsidRDefault="00000000">
      <w:pPr>
        <w:pStyle w:val="BodyText"/>
        <w:spacing w:before="105"/>
      </w:pPr>
      <w:r>
        <w:t>(BH)</w:t>
      </w:r>
      <w:r>
        <w:rPr>
          <w:spacing w:val="-4"/>
        </w:rPr>
        <w:t xml:space="preserve"> </w:t>
      </w:r>
      <w:r>
        <w:t>“Bill’s</w:t>
      </w:r>
      <w:r>
        <w:rPr>
          <w:spacing w:val="-3"/>
        </w:rPr>
        <w:t xml:space="preserve"> </w:t>
      </w:r>
      <w:r>
        <w:t>holdings</w:t>
      </w:r>
      <w:r>
        <w:rPr>
          <w:spacing w:val="-3"/>
        </w:rPr>
        <w:t xml:space="preserve"> </w:t>
      </w:r>
      <w:r>
        <w:t>add</w:t>
      </w:r>
      <w:r>
        <w:rPr>
          <w:spacing w:val="-2"/>
        </w:rPr>
        <w:t xml:space="preserve"> </w:t>
      </w:r>
      <w:r>
        <w:t>up</w:t>
      </w:r>
      <w:r>
        <w:rPr>
          <w:spacing w:val="-2"/>
        </w:rPr>
        <w:t xml:space="preserve"> </w:t>
      </w:r>
      <w:r>
        <w:t>to</w:t>
      </w:r>
      <w:r>
        <w:rPr>
          <w:spacing w:val="-2"/>
        </w:rPr>
        <w:t xml:space="preserve"> $180,000,000.”</w:t>
      </w:r>
    </w:p>
    <w:p w14:paraId="7E000D19" w14:textId="77777777" w:rsidR="009A58DB" w:rsidRDefault="00000000">
      <w:pPr>
        <w:pStyle w:val="BodyText"/>
        <w:spacing w:before="105" w:line="249" w:lineRule="auto"/>
        <w:ind w:right="361"/>
      </w:pPr>
      <w:r>
        <w:t>And we’d have no more temptation to regard the tense-marker in IA as inert than we’d have to regard its counterpart in BH as inert. What this shows is that, to the extent that the tense-marker in tokens of IA are doing nothing, it’s only because, our beliefs about mathematics being what they are, we choose to see such utterances as expressing atemporal propositions.</w:t>
      </w:r>
    </w:p>
    <w:p w14:paraId="7E000D1A" w14:textId="77777777" w:rsidR="009A58DB" w:rsidRDefault="00000000">
      <w:pPr>
        <w:pStyle w:val="BodyText"/>
        <w:spacing w:before="6" w:line="249" w:lineRule="auto"/>
        <w:ind w:right="359" w:firstLine="360"/>
      </w:pPr>
      <w:r>
        <w:t xml:space="preserve">Nonetheless, many semanticists hold that, at the level of literal meaning, IA is context-insensitive. They hold, in other words, that IA is what Quine (himself such a semanticist) refers to as an “eternal sentence.” (S is an eternal sentence if there is some one proposition P such that any two of S’s tokens express P.) If only for argument’s sake, let’s suppose that there are eternal </w:t>
      </w:r>
      <w:r>
        <w:rPr>
          <w:spacing w:val="-2"/>
        </w:rPr>
        <w:t>sentences.</w:t>
      </w:r>
    </w:p>
    <w:p w14:paraId="7E000D1B" w14:textId="77777777" w:rsidR="009A58DB" w:rsidRDefault="00000000">
      <w:pPr>
        <w:pStyle w:val="BodyText"/>
        <w:spacing w:before="7" w:line="249" w:lineRule="auto"/>
        <w:ind w:right="361" w:firstLine="360"/>
      </w:pPr>
      <w:r>
        <w:t>It’s tempting to hold that an eternal sentence’s meaning is identical with those</w:t>
      </w:r>
      <w:r>
        <w:rPr>
          <w:spacing w:val="-2"/>
        </w:rPr>
        <w:t xml:space="preserve"> </w:t>
      </w:r>
      <w:r>
        <w:t>of</w:t>
      </w:r>
      <w:r>
        <w:rPr>
          <w:spacing w:val="-2"/>
        </w:rPr>
        <w:t xml:space="preserve"> </w:t>
      </w:r>
      <w:r>
        <w:t>its</w:t>
      </w:r>
      <w:r>
        <w:rPr>
          <w:spacing w:val="-2"/>
        </w:rPr>
        <w:t xml:space="preserve"> </w:t>
      </w:r>
      <w:r>
        <w:t>tokens.</w:t>
      </w:r>
      <w:r>
        <w:rPr>
          <w:spacing w:val="-2"/>
        </w:rPr>
        <w:t xml:space="preserve"> </w:t>
      </w:r>
      <w:r>
        <w:t>After</w:t>
      </w:r>
      <w:r>
        <w:rPr>
          <w:spacing w:val="-2"/>
        </w:rPr>
        <w:t xml:space="preserve"> </w:t>
      </w:r>
      <w:r>
        <w:t>all,</w:t>
      </w:r>
      <w:r>
        <w:rPr>
          <w:spacing w:val="-2"/>
        </w:rPr>
        <w:t xml:space="preserve"> </w:t>
      </w:r>
      <w:r>
        <w:t>the</w:t>
      </w:r>
      <w:r>
        <w:rPr>
          <w:spacing w:val="-2"/>
        </w:rPr>
        <w:t xml:space="preserve"> </w:t>
      </w:r>
      <w:r>
        <w:t>distinction</w:t>
      </w:r>
      <w:r>
        <w:rPr>
          <w:spacing w:val="-2"/>
        </w:rPr>
        <w:t xml:space="preserve"> </w:t>
      </w:r>
      <w:r>
        <w:t>between</w:t>
      </w:r>
      <w:r>
        <w:rPr>
          <w:spacing w:val="-2"/>
        </w:rPr>
        <w:t xml:space="preserve"> </w:t>
      </w:r>
      <w:r>
        <w:t>type-meaning</w:t>
      </w:r>
      <w:r>
        <w:rPr>
          <w:spacing w:val="-2"/>
        </w:rPr>
        <w:t xml:space="preserve"> </w:t>
      </w:r>
      <w:r>
        <w:t>and</w:t>
      </w:r>
      <w:r>
        <w:rPr>
          <w:spacing w:val="-2"/>
        </w:rPr>
        <w:t xml:space="preserve"> </w:t>
      </w:r>
      <w:r>
        <w:t xml:space="preserve">token-meaning seems quite hollow </w:t>
      </w:r>
      <w:r>
        <w:rPr>
          <w:i/>
        </w:rPr>
        <w:t xml:space="preserve">except </w:t>
      </w:r>
      <w:r>
        <w:t xml:space="preserve">where context-sensitive expressions are </w:t>
      </w:r>
      <w:r>
        <w:rPr>
          <w:spacing w:val="-2"/>
        </w:rPr>
        <w:t>concerned.</w:t>
      </w:r>
    </w:p>
    <w:p w14:paraId="7E000D1C" w14:textId="77777777" w:rsidR="009A58DB" w:rsidRDefault="00000000">
      <w:pPr>
        <w:pStyle w:val="BodyText"/>
        <w:spacing w:before="5" w:line="249" w:lineRule="auto"/>
        <w:ind w:right="361" w:firstLine="360"/>
      </w:pPr>
      <w:r>
        <w:t>But this reasoning is spurious. The tense-marker on the occurrence of “add” in (IA) has the same semantics that it does in</w:t>
      </w:r>
    </w:p>
    <w:p w14:paraId="7E000D1D" w14:textId="77777777" w:rsidR="009A58DB" w:rsidRDefault="00000000">
      <w:pPr>
        <w:pStyle w:val="BodyText"/>
        <w:spacing w:before="107"/>
      </w:pPr>
      <w:r>
        <w:t>(B</w:t>
      </w:r>
      <w:bookmarkStart w:id="155" w:name="_bookmark155"/>
      <w:bookmarkEnd w:id="155"/>
      <w:r>
        <w:t>H</w:t>
      </w:r>
      <w:r>
        <w:rPr>
          <w:color w:val="0562C1"/>
          <w:position w:val="21"/>
          <w:u w:val="single" w:color="0562C1"/>
        </w:rPr>
        <w:t>[89]</w:t>
      </w:r>
      <w:r>
        <w:t>)</w:t>
      </w:r>
      <w:r>
        <w:rPr>
          <w:spacing w:val="-4"/>
        </w:rPr>
        <w:t xml:space="preserve"> </w:t>
      </w:r>
      <w:r>
        <w:t>“Bill’s</w:t>
      </w:r>
      <w:r>
        <w:rPr>
          <w:spacing w:val="-4"/>
        </w:rPr>
        <w:t xml:space="preserve"> </w:t>
      </w:r>
      <w:r>
        <w:t>various</w:t>
      </w:r>
      <w:r>
        <w:rPr>
          <w:spacing w:val="-3"/>
        </w:rPr>
        <w:t xml:space="preserve"> </w:t>
      </w:r>
      <w:r>
        <w:t>holdings</w:t>
      </w:r>
      <w:r>
        <w:rPr>
          <w:spacing w:val="-4"/>
        </w:rPr>
        <w:t xml:space="preserve"> </w:t>
      </w:r>
      <w:r>
        <w:t>add</w:t>
      </w:r>
      <w:r>
        <w:rPr>
          <w:spacing w:val="-2"/>
        </w:rPr>
        <w:t xml:space="preserve"> </w:t>
      </w:r>
      <w:r>
        <w:t>up</w:t>
      </w:r>
      <w:r>
        <w:rPr>
          <w:spacing w:val="-3"/>
        </w:rPr>
        <w:t xml:space="preserve"> </w:t>
      </w:r>
      <w:r>
        <w:t>to</w:t>
      </w:r>
      <w:r>
        <w:rPr>
          <w:spacing w:val="-2"/>
        </w:rPr>
        <w:t xml:space="preserve"> $180,000,000.”</w:t>
      </w:r>
    </w:p>
    <w:p w14:paraId="7E000D1E" w14:textId="77777777" w:rsidR="009A58DB" w:rsidRDefault="00000000">
      <w:pPr>
        <w:pStyle w:val="BodyText"/>
        <w:spacing w:before="121" w:line="249" w:lineRule="auto"/>
        <w:ind w:right="364"/>
      </w:pPr>
      <w:r>
        <w:t>In BH the tense-marker is obviously doing real work in IA. That’s why utterances of BH are true on Monday (before the market crashed) and false</w:t>
      </w:r>
      <w:r>
        <w:rPr>
          <w:spacing w:val="40"/>
        </w:rPr>
        <w:t xml:space="preserve"> </w:t>
      </w:r>
      <w:r>
        <w:t>on Wednesday (after the market crashed). Therefore, different tokens of BH express different propositions. Therefore, the meaning of BH—the sentence-type—isn’t some proposition, and is instead the rule:</w:t>
      </w:r>
    </w:p>
    <w:p w14:paraId="7E000D1F" w14:textId="77777777" w:rsidR="009A58DB" w:rsidRDefault="00000000">
      <w:pPr>
        <w:pStyle w:val="BodyText"/>
        <w:spacing w:before="96" w:line="249" w:lineRule="auto"/>
        <w:ind w:right="369"/>
      </w:pPr>
      <w:r>
        <w:t>(BHSR) If t is a token of BH that is uttered at time T, t is true iff, at T, Bill’s various holdings add up to $180,000,000.</w:t>
      </w:r>
    </w:p>
    <w:p w14:paraId="7E000D20" w14:textId="77777777" w:rsidR="009A58DB" w:rsidRDefault="00000000">
      <w:pPr>
        <w:pStyle w:val="BodyText"/>
        <w:spacing w:before="107" w:line="249" w:lineRule="auto"/>
        <w:ind w:right="359" w:firstLine="360"/>
      </w:pPr>
      <w:r>
        <w:t>But, of course, for any time t, the meaning of a token of BH that is produced at t is a proposition that is true just in case.</w:t>
      </w:r>
    </w:p>
    <w:p w14:paraId="7E000D21" w14:textId="77777777" w:rsidR="009A58DB" w:rsidRDefault="00000000">
      <w:pPr>
        <w:pStyle w:val="BodyText"/>
        <w:spacing w:before="108"/>
      </w:pPr>
      <w:r>
        <w:t>(BHT)</w:t>
      </w:r>
      <w:r>
        <w:rPr>
          <w:spacing w:val="-3"/>
        </w:rPr>
        <w:t xml:space="preserve"> </w:t>
      </w:r>
      <w:r>
        <w:t>At</w:t>
      </w:r>
      <w:r>
        <w:rPr>
          <w:spacing w:val="-3"/>
        </w:rPr>
        <w:t xml:space="preserve"> </w:t>
      </w:r>
      <w:r>
        <w:t>t,</w:t>
      </w:r>
      <w:r>
        <w:rPr>
          <w:spacing w:val="-2"/>
        </w:rPr>
        <w:t xml:space="preserve"> </w:t>
      </w:r>
      <w:r>
        <w:t>Bill’s</w:t>
      </w:r>
      <w:r>
        <w:rPr>
          <w:spacing w:val="-3"/>
        </w:rPr>
        <w:t xml:space="preserve"> </w:t>
      </w:r>
      <w:r>
        <w:t>various</w:t>
      </w:r>
      <w:r>
        <w:rPr>
          <w:spacing w:val="-3"/>
        </w:rPr>
        <w:t xml:space="preserve"> </w:t>
      </w:r>
      <w:r>
        <w:t>holdings</w:t>
      </w:r>
      <w:r>
        <w:rPr>
          <w:spacing w:val="-3"/>
        </w:rPr>
        <w:t xml:space="preserve"> </w:t>
      </w:r>
      <w:r>
        <w:t>add</w:t>
      </w:r>
      <w:r>
        <w:rPr>
          <w:spacing w:val="-2"/>
        </w:rPr>
        <w:t xml:space="preserve"> </w:t>
      </w:r>
      <w:r>
        <w:t>up</w:t>
      </w:r>
      <w:r>
        <w:rPr>
          <w:spacing w:val="-2"/>
        </w:rPr>
        <w:t xml:space="preserve"> </w:t>
      </w:r>
      <w:r>
        <w:t>to</w:t>
      </w:r>
      <w:r>
        <w:rPr>
          <w:spacing w:val="-2"/>
        </w:rPr>
        <w:t xml:space="preserve"> $180,000,000.</w:t>
      </w:r>
    </w:p>
    <w:p w14:paraId="7E000D22" w14:textId="77777777" w:rsidR="009A58DB" w:rsidRDefault="009A58DB">
      <w:pPr>
        <w:pStyle w:val="BodyText"/>
        <w:sectPr w:rsidR="009A58DB">
          <w:pgSz w:w="12240" w:h="15840"/>
          <w:pgMar w:top="1380" w:right="1080" w:bottom="280" w:left="1080" w:header="720" w:footer="720" w:gutter="0"/>
          <w:cols w:space="720"/>
        </w:sectPr>
      </w:pPr>
    </w:p>
    <w:p w14:paraId="7E000D23" w14:textId="77777777" w:rsidR="009A58DB" w:rsidRDefault="00000000">
      <w:pPr>
        <w:pStyle w:val="BodyText"/>
        <w:spacing w:before="65" w:line="249" w:lineRule="auto"/>
        <w:ind w:right="358" w:firstLine="360"/>
      </w:pPr>
      <w:r>
        <w:lastRenderedPageBreak/>
        <w:t>Given that occurrence of “add” in any given token of IA has the same literal meaning as its counterpart in any given token of BHT, it follows that, from a narrowly semantic perspective, IA is quite as context-sensitive as BHT. To be sure, there is obviously a sense in which IA is, whereas BHT is not, context-</w:t>
      </w:r>
      <w:r>
        <w:rPr>
          <w:i/>
        </w:rPr>
        <w:t>in</w:t>
      </w:r>
      <w:r>
        <w:t>sensitive.</w:t>
      </w:r>
    </w:p>
    <w:p w14:paraId="7E000D24" w14:textId="77777777" w:rsidR="009A58DB" w:rsidRDefault="009A58DB">
      <w:pPr>
        <w:pStyle w:val="BodyText"/>
        <w:spacing w:before="21"/>
        <w:ind w:left="0"/>
        <w:jc w:val="left"/>
      </w:pPr>
    </w:p>
    <w:p w14:paraId="7E000D25" w14:textId="77777777" w:rsidR="009A58DB" w:rsidRDefault="00000000">
      <w:pPr>
        <w:pStyle w:val="BodyText"/>
        <w:spacing w:line="249" w:lineRule="auto"/>
        <w:ind w:right="358" w:firstLine="360"/>
      </w:pPr>
      <w:r>
        <w:t xml:space="preserve">But IA’s context-insensitivity, we must conclude, is a thoroughly pragmatics-based affair. Obvious extensions of this reasoning show that </w:t>
      </w:r>
      <w:r>
        <w:rPr>
          <w:i/>
        </w:rPr>
        <w:t xml:space="preserve">all </w:t>
      </w:r>
      <w:r>
        <w:t>expression-types</w:t>
      </w:r>
      <w:r>
        <w:rPr>
          <w:spacing w:val="-5"/>
        </w:rPr>
        <w:t xml:space="preserve"> </w:t>
      </w:r>
      <w:r>
        <w:t>have</w:t>
      </w:r>
      <w:r>
        <w:rPr>
          <w:spacing w:val="-5"/>
        </w:rPr>
        <w:t xml:space="preserve"> </w:t>
      </w:r>
      <w:r>
        <w:rPr>
          <w:i/>
        </w:rPr>
        <w:t>rules</w:t>
      </w:r>
      <w:r>
        <w:rPr>
          <w:i/>
          <w:spacing w:val="-4"/>
        </w:rPr>
        <w:t xml:space="preserve"> </w:t>
      </w:r>
      <w:r>
        <w:t>that</w:t>
      </w:r>
      <w:r>
        <w:rPr>
          <w:spacing w:val="-3"/>
        </w:rPr>
        <w:t xml:space="preserve"> </w:t>
      </w:r>
      <w:r>
        <w:t>assign</w:t>
      </w:r>
      <w:r>
        <w:rPr>
          <w:spacing w:val="-2"/>
        </w:rPr>
        <w:t xml:space="preserve"> </w:t>
      </w:r>
      <w:r>
        <w:t>meanings</w:t>
      </w:r>
      <w:r>
        <w:rPr>
          <w:spacing w:val="-2"/>
        </w:rPr>
        <w:t xml:space="preserve"> </w:t>
      </w:r>
      <w:r>
        <w:t>(or</w:t>
      </w:r>
      <w:r>
        <w:rPr>
          <w:spacing w:val="-2"/>
        </w:rPr>
        <w:t xml:space="preserve"> </w:t>
      </w:r>
      <w:r>
        <w:t>referents)</w:t>
      </w:r>
      <w:r>
        <w:rPr>
          <w:spacing w:val="-2"/>
        </w:rPr>
        <w:t xml:space="preserve"> </w:t>
      </w:r>
      <w:r>
        <w:t>to</w:t>
      </w:r>
      <w:r>
        <w:rPr>
          <w:spacing w:val="-2"/>
        </w:rPr>
        <w:t xml:space="preserve"> </w:t>
      </w:r>
      <w:r>
        <w:t>their</w:t>
      </w:r>
      <w:r>
        <w:rPr>
          <w:spacing w:val="-2"/>
        </w:rPr>
        <w:t xml:space="preserve"> </w:t>
      </w:r>
      <w:r>
        <w:t>tokens and, therefore, that where any expression is concerned, type-meaning diverges from token-meaning. The meaning of the expression-type “that</w:t>
      </w:r>
      <w:r>
        <w:rPr>
          <w:spacing w:val="40"/>
        </w:rPr>
        <w:t xml:space="preserve"> </w:t>
      </w:r>
      <w:r>
        <w:t>man” is: a token of “that man,” uttered in context C, refers to x if, in C, x is uniquely a salient man. If, in a given context, Smith is such a man, then a token in that context of “that man” refers to Smith; if instead Jones is such a man,</w:t>
      </w:r>
      <w:r>
        <w:rPr>
          <w:spacing w:val="-1"/>
        </w:rPr>
        <w:t xml:space="preserve"> </w:t>
      </w:r>
      <w:r>
        <w:t>it</w:t>
      </w:r>
      <w:r>
        <w:rPr>
          <w:spacing w:val="-1"/>
        </w:rPr>
        <w:t xml:space="preserve"> </w:t>
      </w:r>
      <w:r>
        <w:t>refers</w:t>
      </w:r>
      <w:r>
        <w:rPr>
          <w:spacing w:val="-1"/>
        </w:rPr>
        <w:t xml:space="preserve"> </w:t>
      </w:r>
      <w:r>
        <w:t>to</w:t>
      </w:r>
      <w:r>
        <w:rPr>
          <w:spacing w:val="-1"/>
        </w:rPr>
        <w:t xml:space="preserve"> </w:t>
      </w:r>
      <w:r>
        <w:t>Jones;</w:t>
      </w:r>
      <w:r>
        <w:rPr>
          <w:spacing w:val="-1"/>
        </w:rPr>
        <w:t xml:space="preserve"> </w:t>
      </w:r>
      <w:r>
        <w:t>etc.</w:t>
      </w:r>
      <w:r>
        <w:rPr>
          <w:spacing w:val="-1"/>
        </w:rPr>
        <w:t xml:space="preserve"> </w:t>
      </w:r>
      <w:r>
        <w:t>The</w:t>
      </w:r>
      <w:r>
        <w:rPr>
          <w:spacing w:val="-1"/>
        </w:rPr>
        <w:t xml:space="preserve"> </w:t>
      </w:r>
      <w:r>
        <w:t>same</w:t>
      </w:r>
      <w:r>
        <w:rPr>
          <w:spacing w:val="-1"/>
        </w:rPr>
        <w:t xml:space="preserve"> </w:t>
      </w:r>
      <w:r>
        <w:t>is</w:t>
      </w:r>
      <w:r>
        <w:rPr>
          <w:spacing w:val="-1"/>
        </w:rPr>
        <w:t xml:space="preserve"> </w:t>
      </w:r>
      <w:r>
        <w:t>true</w:t>
      </w:r>
      <w:r>
        <w:rPr>
          <w:spacing w:val="-1"/>
        </w:rPr>
        <w:t xml:space="preserve"> </w:t>
      </w:r>
      <w:r>
        <w:t>of</w:t>
      </w:r>
      <w:r>
        <w:rPr>
          <w:spacing w:val="-1"/>
        </w:rPr>
        <w:t xml:space="preserve"> </w:t>
      </w:r>
      <w:r>
        <w:t>“the</w:t>
      </w:r>
      <w:r>
        <w:rPr>
          <w:spacing w:val="-1"/>
        </w:rPr>
        <w:t xml:space="preserve"> </w:t>
      </w:r>
      <w:r>
        <w:t>current</w:t>
      </w:r>
      <w:r>
        <w:rPr>
          <w:spacing w:val="-1"/>
        </w:rPr>
        <w:t xml:space="preserve"> </w:t>
      </w:r>
      <w:r>
        <w:t>President.”</w:t>
      </w:r>
      <w:r>
        <w:rPr>
          <w:spacing w:val="-1"/>
        </w:rPr>
        <w:t xml:space="preserve"> </w:t>
      </w:r>
      <w:r>
        <w:t>In</w:t>
      </w:r>
      <w:r>
        <w:rPr>
          <w:spacing w:val="-1"/>
        </w:rPr>
        <w:t xml:space="preserve"> </w:t>
      </w:r>
      <w:r>
        <w:t>one context (the year 1992), tokens of that expression refer to Bill Clinton; in a different context (the year 2009) it refers to Barack Obama.</w:t>
      </w:r>
    </w:p>
    <w:p w14:paraId="7E000D26" w14:textId="77777777" w:rsidR="009A58DB" w:rsidRDefault="00000000">
      <w:pPr>
        <w:pStyle w:val="BodyText"/>
        <w:spacing w:before="13" w:line="249" w:lineRule="auto"/>
        <w:ind w:right="358" w:firstLine="360"/>
      </w:pPr>
      <w:r>
        <w:t xml:space="preserve">Some would be tempted to say that, because they have fixed referents, proper names (e.g., “Bill Clinton”) don’t have a two-dimensional semantic structure. This would be a mistake. Expression-tokens are physical entities—bursts of noise, deposits of ink, etc. Expression-tokens are therefore perceptible entities and are thus capable of transmitting information. Expression-types, on the other hand, are abstract entities and are thus inherently unsuited to be vehicles of communication. Let us develop these </w:t>
      </w:r>
      <w:r>
        <w:rPr>
          <w:spacing w:val="-2"/>
        </w:rPr>
        <w:t>points.</w:t>
      </w:r>
    </w:p>
    <w:p w14:paraId="7E000D27" w14:textId="77777777" w:rsidR="009A58DB" w:rsidRDefault="00000000">
      <w:pPr>
        <w:pStyle w:val="BodyText"/>
        <w:spacing w:before="10" w:line="249" w:lineRule="auto"/>
        <w:ind w:right="358" w:firstLine="360"/>
      </w:pPr>
      <w:r>
        <w:t>Expression-types are properties. Why are they properties? Tokens of a</w:t>
      </w:r>
      <w:r>
        <w:rPr>
          <w:spacing w:val="40"/>
        </w:rPr>
        <w:t xml:space="preserve"> </w:t>
      </w:r>
      <w:r>
        <w:t xml:space="preserve">type are instances of it. Anything of which there are instances is </w:t>
      </w:r>
      <w:r>
        <w:rPr>
          <w:i/>
        </w:rPr>
        <w:t>ipso facto</w:t>
      </w:r>
      <w:r>
        <w:rPr>
          <w:i/>
          <w:spacing w:val="40"/>
        </w:rPr>
        <w:t xml:space="preserve"> </w:t>
      </w:r>
      <w:r>
        <w:t>a property. So expression-types, unlike expression-tokens, are properties and are therefore non-spatiotemporal entities. And, as we just noted, it makes no sense to suppose a nonspatiotemporal entity could mediate information or, therefore, could in any significant sense be a symbol. Also, given the profound metaphysical differences between tokens and types, it would be theoretical arbitrariness of the worst kind to suppose that types could discharge the same semantic functions as their tokens. We must therefore assume that, whereas tokens of “Bill Clinton” refer to Bill Clinton, the corresponding</w:t>
      </w:r>
      <w:r>
        <w:rPr>
          <w:spacing w:val="24"/>
        </w:rPr>
        <w:t xml:space="preserve"> </w:t>
      </w:r>
      <w:r>
        <w:t>type</w:t>
      </w:r>
      <w:r>
        <w:rPr>
          <w:spacing w:val="25"/>
        </w:rPr>
        <w:t xml:space="preserve"> </w:t>
      </w:r>
      <w:r>
        <w:t>does</w:t>
      </w:r>
      <w:r>
        <w:rPr>
          <w:spacing w:val="25"/>
        </w:rPr>
        <w:t xml:space="preserve"> </w:t>
      </w:r>
      <w:r>
        <w:t>not</w:t>
      </w:r>
      <w:r>
        <w:rPr>
          <w:spacing w:val="25"/>
        </w:rPr>
        <w:t xml:space="preserve"> </w:t>
      </w:r>
      <w:r>
        <w:t>refer</w:t>
      </w:r>
      <w:r>
        <w:rPr>
          <w:spacing w:val="24"/>
        </w:rPr>
        <w:t xml:space="preserve"> </w:t>
      </w:r>
      <w:r>
        <w:t>to</w:t>
      </w:r>
      <w:r>
        <w:rPr>
          <w:spacing w:val="25"/>
        </w:rPr>
        <w:t xml:space="preserve"> </w:t>
      </w:r>
      <w:r>
        <w:t>Bill</w:t>
      </w:r>
      <w:r>
        <w:rPr>
          <w:spacing w:val="25"/>
        </w:rPr>
        <w:t xml:space="preserve"> </w:t>
      </w:r>
      <w:r>
        <w:t>Clinton;</w:t>
      </w:r>
      <w:r>
        <w:rPr>
          <w:spacing w:val="25"/>
        </w:rPr>
        <w:t xml:space="preserve"> </w:t>
      </w:r>
      <w:r>
        <w:t>and</w:t>
      </w:r>
      <w:r>
        <w:rPr>
          <w:spacing w:val="24"/>
        </w:rPr>
        <w:t xml:space="preserve"> </w:t>
      </w:r>
      <w:r>
        <w:t>we</w:t>
      </w:r>
      <w:r>
        <w:rPr>
          <w:spacing w:val="25"/>
        </w:rPr>
        <w:t xml:space="preserve"> </w:t>
      </w:r>
      <w:r>
        <w:t>must</w:t>
      </w:r>
      <w:r>
        <w:rPr>
          <w:spacing w:val="25"/>
        </w:rPr>
        <w:t xml:space="preserve"> </w:t>
      </w:r>
      <w:r>
        <w:t>also</w:t>
      </w:r>
      <w:r>
        <w:rPr>
          <w:spacing w:val="25"/>
        </w:rPr>
        <w:t xml:space="preserve"> </w:t>
      </w:r>
      <w:r>
        <w:rPr>
          <w:spacing w:val="-2"/>
        </w:rPr>
        <w:t>assume</w:t>
      </w:r>
    </w:p>
    <w:p w14:paraId="7E000D2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29" w14:textId="77777777" w:rsidR="009A58DB" w:rsidRDefault="00000000">
      <w:pPr>
        <w:pStyle w:val="BodyText"/>
        <w:spacing w:before="65" w:line="249" w:lineRule="auto"/>
        <w:ind w:right="363"/>
      </w:pPr>
      <w:r>
        <w:lastRenderedPageBreak/>
        <w:t>that “Bill Clinton,” the expression-type, has for its meaning a (constant) function that assigns Bill Clinton to any given one of its tokens. In general, proper names, no less than indexicals and definite descriptions have two-dimensional semantics.</w:t>
      </w:r>
    </w:p>
    <w:p w14:paraId="7E000D2A" w14:textId="77777777" w:rsidR="009A58DB" w:rsidRDefault="00000000">
      <w:pPr>
        <w:pStyle w:val="BodyText"/>
        <w:spacing w:before="5" w:line="249" w:lineRule="auto"/>
        <w:ind w:right="358" w:firstLine="360"/>
        <w:rPr>
          <w:position w:val="21"/>
        </w:rPr>
      </w:pPr>
      <w:r>
        <w:t>The semantic rule corresponding to a proper name is a constant function, whereas the semantic rule corresponding to an indexical or definite description is not a constant function. All utterances of “Bill Clinton” refer to Bill Clinton, but not every utterance of “the current U.S. president,” or of “that guy over there,” so refer. This has encouraged the erroneous view that “Bill Clinton” itself, the expression-type, refers to Bill Clinton.</w:t>
      </w:r>
      <w:bookmarkStart w:id="156" w:name="_bookmark156"/>
      <w:bookmarkEnd w:id="156"/>
      <w:r>
        <w:rPr>
          <w:color w:val="0562C1"/>
          <w:position w:val="21"/>
          <w:u w:val="single" w:color="0562C1"/>
        </w:rPr>
        <w:t>[90]</w:t>
      </w:r>
    </w:p>
    <w:p w14:paraId="7E000D2B" w14:textId="77777777" w:rsidR="009A58DB" w:rsidRDefault="00000000">
      <w:pPr>
        <w:pStyle w:val="Heading1"/>
        <w:numPr>
          <w:ilvl w:val="1"/>
          <w:numId w:val="183"/>
        </w:numPr>
        <w:tabs>
          <w:tab w:val="left" w:pos="1053"/>
        </w:tabs>
        <w:spacing w:before="195" w:line="244" w:lineRule="auto"/>
        <w:ind w:right="357" w:firstLine="0"/>
      </w:pPr>
      <w:r>
        <w:t>Ambiguity</w:t>
      </w:r>
      <w:r>
        <w:rPr>
          <w:spacing w:val="40"/>
        </w:rPr>
        <w:t xml:space="preserve"> </w:t>
      </w:r>
      <w:r>
        <w:t>and</w:t>
      </w:r>
      <w:r>
        <w:rPr>
          <w:spacing w:val="40"/>
        </w:rPr>
        <w:t xml:space="preserve"> </w:t>
      </w:r>
      <w:r>
        <w:t>context-sensitivity</w:t>
      </w:r>
      <w:r>
        <w:rPr>
          <w:spacing w:val="40"/>
        </w:rPr>
        <w:t xml:space="preserve"> </w:t>
      </w:r>
      <w:r>
        <w:t>(re-revisited) and the type-token distinction (re-revisited)</w:t>
      </w:r>
    </w:p>
    <w:p w14:paraId="7E000D2C" w14:textId="77777777" w:rsidR="009A58DB" w:rsidRDefault="00000000">
      <w:pPr>
        <w:pStyle w:val="BodyText"/>
        <w:spacing w:before="132" w:line="249" w:lineRule="auto"/>
        <w:ind w:right="358"/>
      </w:pPr>
      <w:r>
        <w:t xml:space="preserve">Remember that expression-types are what result when properties </w:t>
      </w:r>
      <w:r>
        <w:rPr>
          <w:i/>
        </w:rPr>
        <w:t xml:space="preserve">per se, </w:t>
      </w:r>
      <w:r>
        <w:t xml:space="preserve">as opposed to their instances, are assigned meanings. Of course, the rules that assign meanings to properties are semantic rules, since anything that assigns meaning to anything is </w:t>
      </w:r>
      <w:r>
        <w:rPr>
          <w:i/>
        </w:rPr>
        <w:t>ipso facto</w:t>
      </w:r>
      <w:r>
        <w:rPr>
          <w:i/>
          <w:spacing w:val="40"/>
        </w:rPr>
        <w:t xml:space="preserve"> </w:t>
      </w:r>
      <w:r>
        <w:t>a semantic rule. So the sentence-</w:t>
      </w:r>
      <w:r>
        <w:rPr>
          <w:i/>
        </w:rPr>
        <w:t xml:space="preserve">type </w:t>
      </w:r>
      <w:r>
        <w:t>of which the following ink deposit—“that guy is a professor”—is a token is what results when some semantic rule assigns a meaning to some property. Let R</w:t>
      </w:r>
      <w:r>
        <w:rPr>
          <w:position w:val="-7"/>
          <w:sz w:val="22"/>
        </w:rPr>
        <w:t>1</w:t>
      </w:r>
      <w:r>
        <w:rPr>
          <w:spacing w:val="40"/>
          <w:position w:val="-7"/>
          <w:sz w:val="22"/>
        </w:rPr>
        <w:t xml:space="preserve"> </w:t>
      </w:r>
      <w:r>
        <w:t>be the semantic rule in question. Let R</w:t>
      </w:r>
      <w:r>
        <w:rPr>
          <w:position w:val="-7"/>
          <w:sz w:val="22"/>
        </w:rPr>
        <w:t>2</w:t>
      </w:r>
      <w:r>
        <w:rPr>
          <w:spacing w:val="40"/>
          <w:position w:val="-7"/>
          <w:sz w:val="22"/>
        </w:rPr>
        <w:t xml:space="preserve"> </w:t>
      </w:r>
      <w:r>
        <w:t>be the meaning that R</w:t>
      </w:r>
      <w:r>
        <w:rPr>
          <w:position w:val="-7"/>
          <w:sz w:val="22"/>
        </w:rPr>
        <w:t>1</w:t>
      </w:r>
      <w:r>
        <w:rPr>
          <w:spacing w:val="40"/>
          <w:position w:val="-7"/>
          <w:sz w:val="22"/>
        </w:rPr>
        <w:t xml:space="preserve"> </w:t>
      </w:r>
      <w:r>
        <w:t>assigns</w:t>
      </w:r>
      <w:r>
        <w:rPr>
          <w:spacing w:val="68"/>
        </w:rPr>
        <w:t xml:space="preserve"> </w:t>
      </w:r>
      <w:r>
        <w:t>to</w:t>
      </w:r>
      <w:r>
        <w:rPr>
          <w:spacing w:val="69"/>
        </w:rPr>
        <w:t xml:space="preserve"> </w:t>
      </w:r>
      <w:r>
        <w:t>the</w:t>
      </w:r>
      <w:r>
        <w:rPr>
          <w:spacing w:val="68"/>
        </w:rPr>
        <w:t xml:space="preserve"> </w:t>
      </w:r>
      <w:r>
        <w:t>just</w:t>
      </w:r>
      <w:r>
        <w:rPr>
          <w:spacing w:val="68"/>
        </w:rPr>
        <w:t xml:space="preserve"> </w:t>
      </w:r>
      <w:r>
        <w:t>mentioned</w:t>
      </w:r>
      <w:r>
        <w:rPr>
          <w:spacing w:val="69"/>
        </w:rPr>
        <w:t xml:space="preserve"> </w:t>
      </w:r>
      <w:r>
        <w:t>property.</w:t>
      </w:r>
      <w:r>
        <w:rPr>
          <w:spacing w:val="69"/>
        </w:rPr>
        <w:t xml:space="preserve"> </w:t>
      </w:r>
      <w:r>
        <w:t>R</w:t>
      </w:r>
      <w:r>
        <w:rPr>
          <w:vertAlign w:val="subscript"/>
        </w:rPr>
        <w:t>2</w:t>
      </w:r>
      <w:r>
        <w:rPr>
          <w:spacing w:val="66"/>
        </w:rPr>
        <w:t xml:space="preserve"> </w:t>
      </w:r>
      <w:r>
        <w:t>is</w:t>
      </w:r>
      <w:r>
        <w:rPr>
          <w:spacing w:val="66"/>
        </w:rPr>
        <w:t xml:space="preserve"> </w:t>
      </w:r>
      <w:r>
        <w:rPr>
          <w:i/>
        </w:rPr>
        <w:t>itself</w:t>
      </w:r>
      <w:r>
        <w:rPr>
          <w:i/>
          <w:spacing w:val="73"/>
        </w:rPr>
        <w:t xml:space="preserve"> </w:t>
      </w:r>
      <w:r>
        <w:t>a</w:t>
      </w:r>
      <w:r>
        <w:rPr>
          <w:spacing w:val="73"/>
        </w:rPr>
        <w:t xml:space="preserve"> </w:t>
      </w:r>
      <w:r>
        <w:t>semantic</w:t>
      </w:r>
      <w:r>
        <w:rPr>
          <w:spacing w:val="73"/>
        </w:rPr>
        <w:t xml:space="preserve"> </w:t>
      </w:r>
      <w:r>
        <w:t>rule.</w:t>
      </w:r>
      <w:r>
        <w:rPr>
          <w:spacing w:val="74"/>
        </w:rPr>
        <w:t xml:space="preserve"> </w:t>
      </w:r>
      <w:r>
        <w:t>But,</w:t>
      </w:r>
    </w:p>
    <w:p w14:paraId="7E000D2D" w14:textId="77777777" w:rsidR="009A58DB" w:rsidRDefault="00000000">
      <w:pPr>
        <w:pStyle w:val="BodyText"/>
        <w:spacing w:before="67" w:line="292" w:lineRule="auto"/>
        <w:ind w:right="359"/>
      </w:pPr>
      <w:r>
        <w:t>whereas</w:t>
      </w:r>
      <w:r>
        <w:rPr>
          <w:spacing w:val="-1"/>
        </w:rPr>
        <w:t xml:space="preserve"> </w:t>
      </w:r>
      <w:r>
        <w:t>R</w:t>
      </w:r>
      <w:r>
        <w:rPr>
          <w:vertAlign w:val="subscript"/>
        </w:rPr>
        <w:t>1</w:t>
      </w:r>
      <w:r>
        <w:t xml:space="preserve"> assigns a meaning (a rule) to some property, R</w:t>
      </w:r>
      <w:r>
        <w:rPr>
          <w:vertAlign w:val="subscript"/>
        </w:rPr>
        <w:t>2</w:t>
      </w:r>
      <w:r>
        <w:t xml:space="preserve"> assigns meanings to</w:t>
      </w:r>
      <w:r>
        <w:rPr>
          <w:spacing w:val="23"/>
        </w:rPr>
        <w:t xml:space="preserve"> </w:t>
      </w:r>
      <w:r>
        <w:t>instances</w:t>
      </w:r>
      <w:r>
        <w:rPr>
          <w:spacing w:val="24"/>
        </w:rPr>
        <w:t xml:space="preserve"> </w:t>
      </w:r>
      <w:r>
        <w:t>of</w:t>
      </w:r>
      <w:r>
        <w:rPr>
          <w:spacing w:val="23"/>
        </w:rPr>
        <w:t xml:space="preserve"> </w:t>
      </w:r>
      <w:r>
        <w:t>that</w:t>
      </w:r>
      <w:r>
        <w:rPr>
          <w:spacing w:val="23"/>
        </w:rPr>
        <w:t xml:space="preserve"> </w:t>
      </w:r>
      <w:r>
        <w:t>property.</w:t>
      </w:r>
      <w:r>
        <w:rPr>
          <w:spacing w:val="24"/>
        </w:rPr>
        <w:t xml:space="preserve"> </w:t>
      </w:r>
      <w:r>
        <w:t>So</w:t>
      </w:r>
      <w:r>
        <w:rPr>
          <w:spacing w:val="24"/>
        </w:rPr>
        <w:t xml:space="preserve"> </w:t>
      </w:r>
      <w:r>
        <w:t>R</w:t>
      </w:r>
      <w:r>
        <w:rPr>
          <w:vertAlign w:val="subscript"/>
        </w:rPr>
        <w:t>2</w:t>
      </w:r>
      <w:r>
        <w:rPr>
          <w:spacing w:val="25"/>
        </w:rPr>
        <w:t xml:space="preserve"> </w:t>
      </w:r>
      <w:r>
        <w:t>assigns</w:t>
      </w:r>
      <w:r>
        <w:rPr>
          <w:spacing w:val="25"/>
        </w:rPr>
        <w:t xml:space="preserve"> </w:t>
      </w:r>
      <w:r>
        <w:t>meanings</w:t>
      </w:r>
      <w:r>
        <w:rPr>
          <w:spacing w:val="25"/>
        </w:rPr>
        <w:t xml:space="preserve"> </w:t>
      </w:r>
      <w:r>
        <w:t>to</w:t>
      </w:r>
      <w:r>
        <w:rPr>
          <w:spacing w:val="25"/>
        </w:rPr>
        <w:t xml:space="preserve"> </w:t>
      </w:r>
      <w:r>
        <w:t>particular</w:t>
      </w:r>
      <w:r>
        <w:rPr>
          <w:spacing w:val="26"/>
        </w:rPr>
        <w:t xml:space="preserve"> </w:t>
      </w:r>
      <w:r>
        <w:rPr>
          <w:spacing w:val="-2"/>
        </w:rPr>
        <w:t>instances</w:t>
      </w:r>
    </w:p>
    <w:p w14:paraId="7E000D2E" w14:textId="77777777" w:rsidR="009A58DB" w:rsidRDefault="00000000">
      <w:pPr>
        <w:pStyle w:val="BodyText"/>
        <w:spacing w:line="271" w:lineRule="auto"/>
        <w:ind w:right="370"/>
      </w:pPr>
      <w:r>
        <w:t>of the morphology had by the ink deposit (“that guy is a professor”). The meanings that R</w:t>
      </w:r>
      <w:r>
        <w:rPr>
          <w:vertAlign w:val="subscript"/>
        </w:rPr>
        <w:t>2</w:t>
      </w:r>
      <w:r>
        <w:t xml:space="preserve"> assigns to those tokens are not themselves rules; they are propositions—they are things that are true or false.</w:t>
      </w:r>
    </w:p>
    <w:p w14:paraId="7E000D2F" w14:textId="77777777" w:rsidR="009A58DB" w:rsidRDefault="00000000">
      <w:pPr>
        <w:pStyle w:val="BodyText"/>
        <w:spacing w:line="316" w:lineRule="exact"/>
        <w:ind w:left="720"/>
      </w:pPr>
      <w:r>
        <w:t>There</w:t>
      </w:r>
      <w:r>
        <w:rPr>
          <w:spacing w:val="19"/>
        </w:rPr>
        <w:t xml:space="preserve"> </w:t>
      </w:r>
      <w:r>
        <w:t>are</w:t>
      </w:r>
      <w:r>
        <w:rPr>
          <w:spacing w:val="19"/>
        </w:rPr>
        <w:t xml:space="preserve"> </w:t>
      </w:r>
      <w:r>
        <w:t>thus</w:t>
      </w:r>
      <w:r>
        <w:rPr>
          <w:spacing w:val="19"/>
        </w:rPr>
        <w:t xml:space="preserve"> </w:t>
      </w:r>
      <w:r>
        <w:t>very</w:t>
      </w:r>
      <w:r>
        <w:rPr>
          <w:spacing w:val="19"/>
        </w:rPr>
        <w:t xml:space="preserve"> </w:t>
      </w:r>
      <w:r>
        <w:t>different</w:t>
      </w:r>
      <w:r>
        <w:rPr>
          <w:spacing w:val="19"/>
        </w:rPr>
        <w:t xml:space="preserve"> </w:t>
      </w:r>
      <w:r>
        <w:t>sorts</w:t>
      </w:r>
      <w:r>
        <w:rPr>
          <w:spacing w:val="20"/>
        </w:rPr>
        <w:t xml:space="preserve"> </w:t>
      </w:r>
      <w:r>
        <w:t>of</w:t>
      </w:r>
      <w:r>
        <w:rPr>
          <w:spacing w:val="19"/>
        </w:rPr>
        <w:t xml:space="preserve"> </w:t>
      </w:r>
      <w:r>
        <w:t>semantic</w:t>
      </w:r>
      <w:r>
        <w:rPr>
          <w:spacing w:val="19"/>
        </w:rPr>
        <w:t xml:space="preserve"> </w:t>
      </w:r>
      <w:r>
        <w:t>rules.</w:t>
      </w:r>
      <w:r>
        <w:rPr>
          <w:spacing w:val="19"/>
        </w:rPr>
        <w:t xml:space="preserve"> </w:t>
      </w:r>
      <w:r>
        <w:t>There</w:t>
      </w:r>
      <w:r>
        <w:rPr>
          <w:spacing w:val="19"/>
        </w:rPr>
        <w:t xml:space="preserve"> </w:t>
      </w:r>
      <w:r>
        <w:t>are</w:t>
      </w:r>
      <w:r>
        <w:rPr>
          <w:spacing w:val="19"/>
        </w:rPr>
        <w:t xml:space="preserve"> </w:t>
      </w:r>
      <w:r>
        <w:t>those</w:t>
      </w:r>
      <w:r>
        <w:rPr>
          <w:spacing w:val="20"/>
        </w:rPr>
        <w:t xml:space="preserve"> </w:t>
      </w:r>
      <w:r>
        <w:rPr>
          <w:spacing w:val="-4"/>
        </w:rPr>
        <w:t>that</w:t>
      </w:r>
    </w:p>
    <w:p w14:paraId="7E000D30" w14:textId="77777777" w:rsidR="009A58DB" w:rsidRDefault="00000000">
      <w:pPr>
        <w:pStyle w:val="BodyText"/>
        <w:spacing w:before="13" w:line="249" w:lineRule="auto"/>
        <w:ind w:right="361"/>
      </w:pPr>
      <w:r>
        <w:t xml:space="preserve">assign meanings to properties, and there are those that assign meanings to instances of those properties. Consider the following ink deposit: “Barack Obama.” There is a semantic rule that assigns a meaning to the </w:t>
      </w:r>
      <w:r>
        <w:rPr>
          <w:i/>
        </w:rPr>
        <w:t xml:space="preserve">property </w:t>
      </w:r>
      <w:r>
        <w:t xml:space="preserve">of having a morphology similar to that ink deposit. Let PBO be that property. The meaning assigned to PBO is </w:t>
      </w:r>
      <w:r>
        <w:rPr>
          <w:i/>
        </w:rPr>
        <w:t xml:space="preserve">itself </w:t>
      </w:r>
      <w:r>
        <w:t>a semantic rule. In other words, the meaning of PBO is given by the statement that:</w:t>
      </w:r>
    </w:p>
    <w:p w14:paraId="7E000D3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32" w14:textId="77777777" w:rsidR="009A58DB" w:rsidRDefault="00000000">
      <w:pPr>
        <w:pStyle w:val="BodyText"/>
        <w:spacing w:before="65"/>
      </w:pPr>
      <w:r>
        <w:lastRenderedPageBreak/>
        <w:t>B</w:t>
      </w:r>
      <w:r>
        <w:rPr>
          <w:vertAlign w:val="subscript"/>
        </w:rPr>
        <w:t>1</w:t>
      </w:r>
      <w:r>
        <w:t>:</w:t>
      </w:r>
      <w:r>
        <w:rPr>
          <w:spacing w:val="-1"/>
        </w:rPr>
        <w:t xml:space="preserve"> </w:t>
      </w:r>
      <w:r>
        <w:t>Any given</w:t>
      </w:r>
      <w:r>
        <w:rPr>
          <w:spacing w:val="-1"/>
        </w:rPr>
        <w:t xml:space="preserve"> </w:t>
      </w:r>
      <w:r>
        <w:t>token of</w:t>
      </w:r>
      <w:r>
        <w:rPr>
          <w:spacing w:val="-1"/>
        </w:rPr>
        <w:t xml:space="preserve"> </w:t>
      </w:r>
      <w:r>
        <w:t>PBO</w:t>
      </w:r>
      <w:r>
        <w:rPr>
          <w:spacing w:val="-1"/>
        </w:rPr>
        <w:t xml:space="preserve"> </w:t>
      </w:r>
      <w:r>
        <w:t>refers</w:t>
      </w:r>
      <w:r>
        <w:rPr>
          <w:spacing w:val="-1"/>
        </w:rPr>
        <w:t xml:space="preserve"> </w:t>
      </w:r>
      <w:r>
        <w:t xml:space="preserve">to to Barack </w:t>
      </w:r>
      <w:r>
        <w:rPr>
          <w:spacing w:val="-2"/>
        </w:rPr>
        <w:t>Obama.</w:t>
      </w:r>
    </w:p>
    <w:p w14:paraId="7E000D33" w14:textId="77777777" w:rsidR="009A58DB" w:rsidRDefault="00000000">
      <w:pPr>
        <w:pStyle w:val="BodyText"/>
        <w:spacing w:before="180" w:line="312" w:lineRule="auto"/>
        <w:ind w:right="414" w:firstLine="360"/>
      </w:pPr>
      <w:r>
        <w:t>Given</w:t>
      </w:r>
      <w:r>
        <w:rPr>
          <w:spacing w:val="-3"/>
        </w:rPr>
        <w:t xml:space="preserve"> </w:t>
      </w:r>
      <w:r>
        <w:t>some</w:t>
      </w:r>
      <w:r>
        <w:rPr>
          <w:spacing w:val="-4"/>
        </w:rPr>
        <w:t xml:space="preserve"> </w:t>
      </w:r>
      <w:r>
        <w:t>specific</w:t>
      </w:r>
      <w:r>
        <w:rPr>
          <w:spacing w:val="-4"/>
        </w:rPr>
        <w:t xml:space="preserve"> </w:t>
      </w:r>
      <w:r>
        <w:t>token</w:t>
      </w:r>
      <w:r>
        <w:rPr>
          <w:spacing w:val="-3"/>
        </w:rPr>
        <w:t xml:space="preserve"> </w:t>
      </w:r>
      <w:r>
        <w:t>t</w:t>
      </w:r>
      <w:r>
        <w:rPr>
          <w:spacing w:val="-4"/>
        </w:rPr>
        <w:t xml:space="preserve"> </w:t>
      </w:r>
      <w:r>
        <w:t>of</w:t>
      </w:r>
      <w:r>
        <w:rPr>
          <w:spacing w:val="-4"/>
        </w:rPr>
        <w:t xml:space="preserve"> </w:t>
      </w:r>
      <w:r>
        <w:t>“Barack</w:t>
      </w:r>
      <w:r>
        <w:rPr>
          <w:spacing w:val="-3"/>
        </w:rPr>
        <w:t xml:space="preserve"> </w:t>
      </w:r>
      <w:r>
        <w:t>Obama”,</w:t>
      </w:r>
      <w:r>
        <w:rPr>
          <w:spacing w:val="-3"/>
        </w:rPr>
        <w:t xml:space="preserve"> </w:t>
      </w:r>
      <w:r>
        <w:t>the</w:t>
      </w:r>
      <w:r>
        <w:rPr>
          <w:spacing w:val="-4"/>
        </w:rPr>
        <w:t xml:space="preserve"> </w:t>
      </w:r>
      <w:r>
        <w:t>semantic</w:t>
      </w:r>
      <w:r>
        <w:rPr>
          <w:spacing w:val="-4"/>
        </w:rPr>
        <w:t xml:space="preserve"> </w:t>
      </w:r>
      <w:r>
        <w:t>rule</w:t>
      </w:r>
      <w:r>
        <w:rPr>
          <w:spacing w:val="-4"/>
        </w:rPr>
        <w:t xml:space="preserve"> </w:t>
      </w:r>
      <w:r>
        <w:t>for</w:t>
      </w:r>
      <w:r>
        <w:rPr>
          <w:spacing w:val="-4"/>
        </w:rPr>
        <w:t xml:space="preserve"> </w:t>
      </w:r>
      <w:r>
        <w:t>t</w:t>
      </w:r>
      <w:r>
        <w:rPr>
          <w:spacing w:val="-4"/>
        </w:rPr>
        <w:t xml:space="preserve"> </w:t>
      </w:r>
      <w:r>
        <w:t>is: B</w:t>
      </w:r>
      <w:r>
        <w:rPr>
          <w:vertAlign w:val="subscript"/>
        </w:rPr>
        <w:t>2</w:t>
      </w:r>
      <w:r>
        <w:t>: t refers to Barack Obama.</w:t>
      </w:r>
    </w:p>
    <w:p w14:paraId="7E000D34" w14:textId="77777777" w:rsidR="009A58DB" w:rsidRDefault="00000000">
      <w:pPr>
        <w:pStyle w:val="BodyText"/>
        <w:spacing w:before="78" w:line="249" w:lineRule="auto"/>
        <w:ind w:right="360" w:firstLine="360"/>
      </w:pPr>
      <w:r>
        <w:t>B</w:t>
      </w:r>
      <w:r>
        <w:rPr>
          <w:position w:val="-7"/>
          <w:sz w:val="22"/>
        </w:rPr>
        <w:t>1</w:t>
      </w:r>
      <w:r>
        <w:rPr>
          <w:spacing w:val="40"/>
          <w:position w:val="-7"/>
          <w:sz w:val="22"/>
        </w:rPr>
        <w:t xml:space="preserve"> </w:t>
      </w:r>
      <w:r>
        <w:t>and B</w:t>
      </w:r>
      <w:r>
        <w:rPr>
          <w:position w:val="-7"/>
          <w:sz w:val="22"/>
        </w:rPr>
        <w:t>2</w:t>
      </w:r>
      <w:r>
        <w:rPr>
          <w:spacing w:val="40"/>
          <w:position w:val="-7"/>
          <w:sz w:val="22"/>
        </w:rPr>
        <w:t xml:space="preserve"> </w:t>
      </w:r>
      <w:r>
        <w:t>are very different rules. Unlike B</w:t>
      </w:r>
      <w:r>
        <w:rPr>
          <w:position w:val="-7"/>
          <w:sz w:val="22"/>
        </w:rPr>
        <w:t>2</w:t>
      </w:r>
      <w:r>
        <w:t>, B</w:t>
      </w:r>
      <w:r>
        <w:rPr>
          <w:position w:val="-7"/>
          <w:sz w:val="22"/>
        </w:rPr>
        <w:t>1</w:t>
      </w:r>
      <w:r>
        <w:rPr>
          <w:spacing w:val="40"/>
          <w:position w:val="-7"/>
          <w:sz w:val="22"/>
        </w:rPr>
        <w:t xml:space="preserve"> </w:t>
      </w:r>
      <w:r>
        <w:t xml:space="preserve">doesn’t say anything about any </w:t>
      </w:r>
      <w:r>
        <w:rPr>
          <w:i/>
        </w:rPr>
        <w:t xml:space="preserve">specific </w:t>
      </w:r>
      <w:r>
        <w:t>token of “Barack Obama” or any other expression. The need for a two-dimensionalist approach to semantics is embedded in the very concept of what an expression is.</w:t>
      </w:r>
    </w:p>
    <w:p w14:paraId="7E000D35" w14:textId="77777777" w:rsidR="009A58DB" w:rsidRDefault="00000000">
      <w:pPr>
        <w:pStyle w:val="Heading1"/>
        <w:numPr>
          <w:ilvl w:val="1"/>
          <w:numId w:val="182"/>
        </w:numPr>
        <w:tabs>
          <w:tab w:val="left" w:pos="990"/>
        </w:tabs>
        <w:spacing w:before="190"/>
        <w:rPr>
          <w:position w:val="30"/>
        </w:rPr>
      </w:pPr>
      <w:r>
        <w:t>Logical</w:t>
      </w:r>
      <w:r>
        <w:rPr>
          <w:spacing w:val="-4"/>
        </w:rPr>
        <w:t xml:space="preserve"> </w:t>
      </w:r>
      <w:r>
        <w:rPr>
          <w:spacing w:val="-2"/>
        </w:rPr>
        <w:t>for</w:t>
      </w:r>
      <w:bookmarkStart w:id="157" w:name="_bookmark157"/>
      <w:bookmarkEnd w:id="157"/>
      <w:r>
        <w:rPr>
          <w:spacing w:val="-2"/>
        </w:rPr>
        <w:t>m</w:t>
      </w:r>
      <w:r>
        <w:rPr>
          <w:color w:val="0562C1"/>
          <w:spacing w:val="-2"/>
          <w:position w:val="30"/>
          <w:u w:val="single" w:color="0562C1"/>
        </w:rPr>
        <w:t>[91]</w:t>
      </w:r>
    </w:p>
    <w:p w14:paraId="7E000D36" w14:textId="77777777" w:rsidR="009A58DB" w:rsidRDefault="00000000">
      <w:pPr>
        <w:pStyle w:val="BodyText"/>
        <w:spacing w:before="139" w:line="249" w:lineRule="auto"/>
        <w:ind w:right="357"/>
      </w:pPr>
      <w:r>
        <w:t>Some statements that, given their grammatical forms, appear to be about objects are in fact about properties. We saw this in Chapter 1, and we’ll see it again in Chapter 7 when we discuss Frege’s ground-breaking insights into arithmetical statements (e.g. “2 + 3 = 5”). Frege was the first to see clearly that logical and grammatical may diverge—he was the first to grasp the very idea of such a divergence. This insight of his is embodied in his statement</w:t>
      </w:r>
      <w:r>
        <w:rPr>
          <w:spacing w:val="40"/>
        </w:rPr>
        <w:t xml:space="preserve"> </w:t>
      </w:r>
      <w:r>
        <w:t>that the sentence</w:t>
      </w:r>
    </w:p>
    <w:p w14:paraId="7E000D37" w14:textId="77777777" w:rsidR="009A58DB" w:rsidRDefault="00000000">
      <w:pPr>
        <w:pStyle w:val="BodyText"/>
        <w:spacing w:before="114"/>
      </w:pPr>
      <w:r>
        <w:t>(WM)</w:t>
      </w:r>
      <w:r>
        <w:rPr>
          <w:spacing w:val="-5"/>
        </w:rPr>
        <w:t xml:space="preserve"> </w:t>
      </w:r>
      <w:r>
        <w:t>“whales</w:t>
      </w:r>
      <w:r>
        <w:rPr>
          <w:spacing w:val="-4"/>
        </w:rPr>
        <w:t xml:space="preserve"> </w:t>
      </w:r>
      <w:r>
        <w:t>are</w:t>
      </w:r>
      <w:r>
        <w:rPr>
          <w:spacing w:val="-4"/>
        </w:rPr>
        <w:t xml:space="preserve"> </w:t>
      </w:r>
      <w:r>
        <w:rPr>
          <w:spacing w:val="-2"/>
        </w:rPr>
        <w:t>mammals”</w:t>
      </w:r>
    </w:p>
    <w:p w14:paraId="7E000D38" w14:textId="77777777" w:rsidR="009A58DB" w:rsidRDefault="00000000">
      <w:pPr>
        <w:pStyle w:val="BodyText"/>
        <w:spacing w:before="120" w:line="249" w:lineRule="auto"/>
        <w:ind w:right="357"/>
      </w:pPr>
      <w:r>
        <w:t>isn’t about whales. As paradoxical as it may seem, he was right. WM says that</w:t>
      </w:r>
      <w:r>
        <w:rPr>
          <w:spacing w:val="-3"/>
        </w:rPr>
        <w:t xml:space="preserve"> </w:t>
      </w:r>
      <w:r>
        <w:rPr>
          <w:i/>
        </w:rPr>
        <w:t>if</w:t>
      </w:r>
      <w:r>
        <w:rPr>
          <w:i/>
          <w:spacing w:val="-3"/>
        </w:rPr>
        <w:t xml:space="preserve"> </w:t>
      </w:r>
      <w:r>
        <w:t xml:space="preserve">an object is a whale, </w:t>
      </w:r>
      <w:r>
        <w:rPr>
          <w:i/>
        </w:rPr>
        <w:t>then</w:t>
      </w:r>
      <w:r>
        <w:rPr>
          <w:i/>
          <w:spacing w:val="-3"/>
        </w:rPr>
        <w:t xml:space="preserve"> </w:t>
      </w:r>
      <w:r>
        <w:t xml:space="preserve">it’s a mammal. But there is no specific object x such that WM says that x is a mammal. </w:t>
      </w:r>
      <w:r>
        <w:rPr>
          <w:i/>
        </w:rPr>
        <w:t xml:space="preserve">A fortiori </w:t>
      </w:r>
      <w:r>
        <w:t>there is no specific whale x such that WM says that x is a mammal; and for any number n, no matter how high, there are no whales x</w:t>
      </w:r>
      <w:r>
        <w:rPr>
          <w:vertAlign w:val="subscript"/>
        </w:rPr>
        <w:t>1</w:t>
      </w:r>
      <w:r>
        <w:t>....x</w:t>
      </w:r>
      <w:r>
        <w:rPr>
          <w:position w:val="-7"/>
          <w:sz w:val="22"/>
        </w:rPr>
        <w:t>n</w:t>
      </w:r>
      <w:r>
        <w:rPr>
          <w:spacing w:val="26"/>
          <w:position w:val="-7"/>
          <w:sz w:val="22"/>
        </w:rPr>
        <w:t xml:space="preserve"> </w:t>
      </w:r>
      <w:r>
        <w:t>such that WM says that x</w:t>
      </w:r>
      <w:r>
        <w:rPr>
          <w:position w:val="-7"/>
          <w:sz w:val="22"/>
        </w:rPr>
        <w:t>i</w:t>
      </w:r>
      <w:r>
        <w:rPr>
          <w:spacing w:val="26"/>
          <w:position w:val="-7"/>
          <w:sz w:val="22"/>
        </w:rPr>
        <w:t xml:space="preserve"> </w:t>
      </w:r>
      <w:r>
        <w:t>(1 ≤ i ≤ n) is a whale. So just as Frege said, WM isn’t about whales.</w:t>
      </w:r>
    </w:p>
    <w:p w14:paraId="7E000D39" w14:textId="77777777" w:rsidR="009A58DB" w:rsidRDefault="00000000">
      <w:pPr>
        <w:pStyle w:val="BodyText"/>
        <w:spacing w:before="4" w:line="249" w:lineRule="auto"/>
        <w:ind w:right="359" w:firstLine="360"/>
      </w:pPr>
      <w:r>
        <w:t>WM makes a statement, not about whales, but about the property of being a whale. It says that</w:t>
      </w:r>
    </w:p>
    <w:p w14:paraId="7E000D3A" w14:textId="77777777" w:rsidR="009A58DB" w:rsidRDefault="00000000">
      <w:pPr>
        <w:pStyle w:val="BodyText"/>
        <w:spacing w:before="93" w:line="249" w:lineRule="auto"/>
        <w:ind w:right="360"/>
      </w:pPr>
      <w:r>
        <w:t>(WM*) the property of being a whale has the property of being instantiated only by mammals.</w:t>
      </w:r>
    </w:p>
    <w:p w14:paraId="7E000D3B" w14:textId="77777777" w:rsidR="009A58DB" w:rsidRDefault="00000000">
      <w:pPr>
        <w:pStyle w:val="BodyText"/>
        <w:spacing w:before="107" w:line="249" w:lineRule="auto"/>
        <w:ind w:right="358" w:firstLine="360"/>
      </w:pPr>
      <w:r>
        <w:t>WM* perspicuously represents WM’s meaning. In other words, WM* represents WM’s logical form. WM*’s grammatical form diverges from WM’s grammatical form.</w:t>
      </w:r>
    </w:p>
    <w:p w14:paraId="7E000D3C" w14:textId="77777777" w:rsidR="009A58DB" w:rsidRDefault="00000000">
      <w:pPr>
        <w:pStyle w:val="BodyText"/>
        <w:spacing w:before="4" w:line="249" w:lineRule="auto"/>
        <w:ind w:right="364"/>
      </w:pPr>
      <w:r>
        <w:t>The</w:t>
      </w:r>
      <w:r>
        <w:rPr>
          <w:spacing w:val="-4"/>
        </w:rPr>
        <w:t xml:space="preserve"> </w:t>
      </w:r>
      <w:r>
        <w:t>reason</w:t>
      </w:r>
      <w:r>
        <w:rPr>
          <w:spacing w:val="-3"/>
        </w:rPr>
        <w:t xml:space="preserve"> </w:t>
      </w:r>
      <w:r>
        <w:t>is</w:t>
      </w:r>
      <w:r>
        <w:rPr>
          <w:spacing w:val="-4"/>
        </w:rPr>
        <w:t xml:space="preserve"> </w:t>
      </w:r>
      <w:r>
        <w:t>that</w:t>
      </w:r>
      <w:r>
        <w:rPr>
          <w:spacing w:val="-4"/>
        </w:rPr>
        <w:t xml:space="preserve"> </w:t>
      </w:r>
      <w:r>
        <w:t>WM’s</w:t>
      </w:r>
      <w:r>
        <w:rPr>
          <w:spacing w:val="-4"/>
        </w:rPr>
        <w:t xml:space="preserve"> </w:t>
      </w:r>
      <w:r>
        <w:t>logical</w:t>
      </w:r>
      <w:r>
        <w:rPr>
          <w:spacing w:val="-4"/>
        </w:rPr>
        <w:t xml:space="preserve"> </w:t>
      </w:r>
      <w:r>
        <w:t>and</w:t>
      </w:r>
      <w:r>
        <w:rPr>
          <w:spacing w:val="-3"/>
        </w:rPr>
        <w:t xml:space="preserve"> </w:t>
      </w:r>
      <w:r>
        <w:t>grammatical</w:t>
      </w:r>
      <w:r>
        <w:rPr>
          <w:spacing w:val="-4"/>
        </w:rPr>
        <w:t xml:space="preserve"> </w:t>
      </w:r>
      <w:r>
        <w:t>forms</w:t>
      </w:r>
      <w:r>
        <w:rPr>
          <w:spacing w:val="-4"/>
        </w:rPr>
        <w:t xml:space="preserve"> </w:t>
      </w:r>
      <w:r>
        <w:t>pull</w:t>
      </w:r>
      <w:r>
        <w:rPr>
          <w:spacing w:val="-4"/>
        </w:rPr>
        <w:t xml:space="preserve"> </w:t>
      </w:r>
      <w:r>
        <w:t>apart</w:t>
      </w:r>
      <w:r>
        <w:rPr>
          <w:spacing w:val="-4"/>
        </w:rPr>
        <w:t xml:space="preserve"> </w:t>
      </w:r>
      <w:r>
        <w:t>is</w:t>
      </w:r>
      <w:r>
        <w:rPr>
          <w:spacing w:val="-4"/>
        </w:rPr>
        <w:t xml:space="preserve"> </w:t>
      </w:r>
      <w:r>
        <w:t>that</w:t>
      </w:r>
      <w:r>
        <w:rPr>
          <w:spacing w:val="-4"/>
        </w:rPr>
        <w:t xml:space="preserve"> </w:t>
      </w:r>
      <w:r>
        <w:t>WM contains</w:t>
      </w:r>
      <w:r>
        <w:rPr>
          <w:spacing w:val="40"/>
        </w:rPr>
        <w:t xml:space="preserve"> </w:t>
      </w:r>
      <w:r>
        <w:t>a</w:t>
      </w:r>
      <w:r>
        <w:rPr>
          <w:spacing w:val="40"/>
        </w:rPr>
        <w:t xml:space="preserve"> </w:t>
      </w:r>
      <w:r>
        <w:rPr>
          <w:b/>
          <w:i/>
        </w:rPr>
        <w:t>quantifier.</w:t>
      </w:r>
      <w:r>
        <w:rPr>
          <w:b/>
          <w:i/>
          <w:spacing w:val="40"/>
        </w:rPr>
        <w:t xml:space="preserve"> </w:t>
      </w:r>
      <w:r>
        <w:t>(Examples</w:t>
      </w:r>
      <w:r>
        <w:rPr>
          <w:spacing w:val="40"/>
        </w:rPr>
        <w:t xml:space="preserve"> </w:t>
      </w:r>
      <w:r>
        <w:t>of</w:t>
      </w:r>
      <w:r>
        <w:rPr>
          <w:spacing w:val="40"/>
        </w:rPr>
        <w:t xml:space="preserve"> </w:t>
      </w:r>
      <w:r>
        <w:t>quantifiers</w:t>
      </w:r>
      <w:r>
        <w:rPr>
          <w:spacing w:val="40"/>
        </w:rPr>
        <w:t xml:space="preserve"> </w:t>
      </w:r>
      <w:r>
        <w:t>are</w:t>
      </w:r>
      <w:r>
        <w:rPr>
          <w:spacing w:val="40"/>
        </w:rPr>
        <w:t xml:space="preserve"> </w:t>
      </w:r>
      <w:r>
        <w:t>“all</w:t>
      </w:r>
      <w:r>
        <w:rPr>
          <w:spacing w:val="40"/>
        </w:rPr>
        <w:t xml:space="preserve"> </w:t>
      </w:r>
      <w:r>
        <w:t>birds,”</w:t>
      </w:r>
      <w:r>
        <w:rPr>
          <w:spacing w:val="40"/>
        </w:rPr>
        <w:t xml:space="preserve"> </w:t>
      </w:r>
      <w:r>
        <w:t>“no</w:t>
      </w:r>
      <w:r>
        <w:rPr>
          <w:spacing w:val="40"/>
        </w:rPr>
        <w:t xml:space="preserve"> </w:t>
      </w:r>
      <w:r>
        <w:t>man,”</w:t>
      </w:r>
    </w:p>
    <w:p w14:paraId="7E000D3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3E" w14:textId="77777777" w:rsidR="009A58DB" w:rsidRDefault="00000000">
      <w:pPr>
        <w:pStyle w:val="BodyText"/>
        <w:spacing w:before="66" w:line="249" w:lineRule="auto"/>
        <w:ind w:right="357"/>
      </w:pPr>
      <w:r>
        <w:lastRenderedPageBreak/>
        <w:t xml:space="preserve">“most whales,” “three birds,” and “some individuals.” We’ll define the term “quantifier” in a moment.) Given </w:t>
      </w:r>
      <w:r>
        <w:rPr>
          <w:i/>
        </w:rPr>
        <w:t>any</w:t>
      </w:r>
      <w:r>
        <w:rPr>
          <w:i/>
          <w:spacing w:val="-3"/>
        </w:rPr>
        <w:t xml:space="preserve"> </w:t>
      </w:r>
      <w:r>
        <w:t>statement of English, or any other non-artificial language, that contains quantifiers, the logical and grammatical forms of that sentence diverge. A quantifier is an expression having the property</w:t>
      </w:r>
      <w:r>
        <w:rPr>
          <w:spacing w:val="-1"/>
        </w:rPr>
        <w:t xml:space="preserve"> </w:t>
      </w:r>
      <w:r>
        <w:t>that,</w:t>
      </w:r>
      <w:r>
        <w:rPr>
          <w:spacing w:val="-1"/>
        </w:rPr>
        <w:t xml:space="preserve"> </w:t>
      </w:r>
      <w:r>
        <w:t>if</w:t>
      </w:r>
      <w:r>
        <w:rPr>
          <w:spacing w:val="-1"/>
        </w:rPr>
        <w:t xml:space="preserve"> </w:t>
      </w:r>
      <w:r>
        <w:t>a</w:t>
      </w:r>
      <w:r>
        <w:rPr>
          <w:spacing w:val="-1"/>
        </w:rPr>
        <w:t xml:space="preserve"> </w:t>
      </w:r>
      <w:r>
        <w:t>sentence</w:t>
      </w:r>
      <w:r>
        <w:rPr>
          <w:spacing w:val="-1"/>
        </w:rPr>
        <w:t xml:space="preserve"> </w:t>
      </w:r>
      <w:r>
        <w:t>contains</w:t>
      </w:r>
      <w:r>
        <w:rPr>
          <w:spacing w:val="-1"/>
        </w:rPr>
        <w:t xml:space="preserve"> </w:t>
      </w:r>
      <w:r>
        <w:t>it,</w:t>
      </w:r>
      <w:r>
        <w:rPr>
          <w:spacing w:val="-1"/>
        </w:rPr>
        <w:t xml:space="preserve"> </w:t>
      </w:r>
      <w:r>
        <w:t>that</w:t>
      </w:r>
      <w:r>
        <w:rPr>
          <w:spacing w:val="-1"/>
        </w:rPr>
        <w:t xml:space="preserve"> </w:t>
      </w:r>
      <w:r>
        <w:t>sentence</w:t>
      </w:r>
      <w:r>
        <w:rPr>
          <w:spacing w:val="-1"/>
        </w:rPr>
        <w:t xml:space="preserve"> </w:t>
      </w:r>
      <w:r>
        <w:t>is</w:t>
      </w:r>
      <w:r>
        <w:rPr>
          <w:spacing w:val="-1"/>
        </w:rPr>
        <w:t xml:space="preserve"> </w:t>
      </w:r>
      <w:r>
        <w:rPr>
          <w:i/>
        </w:rPr>
        <w:t>ipso</w:t>
      </w:r>
      <w:r>
        <w:rPr>
          <w:i/>
          <w:spacing w:val="-2"/>
        </w:rPr>
        <w:t xml:space="preserve"> </w:t>
      </w:r>
      <w:r>
        <w:rPr>
          <w:i/>
        </w:rPr>
        <w:t>facto</w:t>
      </w:r>
      <w:r>
        <w:rPr>
          <w:i/>
          <w:spacing w:val="40"/>
        </w:rPr>
        <w:t xml:space="preserve"> </w:t>
      </w:r>
      <w:r>
        <w:t xml:space="preserve">to the effect that the </w:t>
      </w:r>
      <w:r>
        <w:rPr>
          <w:b/>
          <w:i/>
        </w:rPr>
        <w:t xml:space="preserve">extension </w:t>
      </w:r>
      <w:r>
        <w:t>of one property has a certain degree of overlap, ranging anywhere from no overlap to total overlap, with the extension of some other property. “All birds have beaks” says that the extension of the property of being a bird is a subset of the extension of the property of having a beak. “Only birds have beaks” says (falsely) that the extension of the property of having a beak is a subset of the extension of the property of being a bird.</w:t>
      </w:r>
    </w:p>
    <w:p w14:paraId="7E000D3F" w14:textId="77777777" w:rsidR="009A58DB" w:rsidRDefault="00000000">
      <w:pPr>
        <w:pStyle w:val="BodyText"/>
        <w:spacing w:before="12" w:line="249" w:lineRule="auto"/>
        <w:ind w:right="358" w:firstLine="360"/>
      </w:pPr>
      <w:r>
        <w:t>In virtue of a containing a quantifier, a sentence about properties, not</w:t>
      </w:r>
      <w:r>
        <w:rPr>
          <w:spacing w:val="40"/>
        </w:rPr>
        <w:t xml:space="preserve"> </w:t>
      </w:r>
      <w:r>
        <w:t xml:space="preserve">about specific objects. Of course, a quantified (quantifier-containing) statement can </w:t>
      </w:r>
      <w:r>
        <w:rPr>
          <w:i/>
        </w:rPr>
        <w:t xml:space="preserve">also </w:t>
      </w:r>
      <w:r>
        <w:t xml:space="preserve">be about individuals. But it isn’t in virtue of containing a quantifier that a sentence concerns individuals; and it </w:t>
      </w:r>
      <w:r>
        <w:rPr>
          <w:i/>
        </w:rPr>
        <w:t xml:space="preserve">is </w:t>
      </w:r>
      <w:r>
        <w:t>in virtue of containing a quantifier that a sentence concerns properties.</w:t>
      </w:r>
    </w:p>
    <w:p w14:paraId="7E000D40" w14:textId="77777777" w:rsidR="009A58DB" w:rsidRDefault="00000000">
      <w:pPr>
        <w:pStyle w:val="BodyText"/>
        <w:spacing w:before="6" w:line="249" w:lineRule="auto"/>
        <w:ind w:right="362" w:firstLine="360"/>
      </w:pPr>
      <w:r>
        <w:t xml:space="preserve">In natural language, quantified sentences are pseudo-objectual statements. They appear to be about objects, but are really about properties. That is why they must be reparsed if their logical forms are to be exposed. It immediately follows that a statement’s grammatical form may diverge from its logical form. Frege discovered both facts and, therewith, created modern analytic </w:t>
      </w:r>
      <w:r>
        <w:rPr>
          <w:spacing w:val="-2"/>
        </w:rPr>
        <w:t>philosophy.</w:t>
      </w:r>
    </w:p>
    <w:p w14:paraId="7E000D41" w14:textId="77777777" w:rsidR="009A58DB" w:rsidRDefault="00000000">
      <w:pPr>
        <w:pStyle w:val="Heading1"/>
        <w:numPr>
          <w:ilvl w:val="1"/>
          <w:numId w:val="182"/>
        </w:numPr>
        <w:tabs>
          <w:tab w:val="left" w:pos="990"/>
        </w:tabs>
        <w:spacing w:before="196"/>
      </w:pPr>
      <w:r>
        <w:t>Contextual</w:t>
      </w:r>
      <w:r>
        <w:rPr>
          <w:spacing w:val="-9"/>
        </w:rPr>
        <w:t xml:space="preserve"> </w:t>
      </w:r>
      <w:r>
        <w:rPr>
          <w:spacing w:val="-2"/>
        </w:rPr>
        <w:t>definition</w:t>
      </w:r>
    </w:p>
    <w:p w14:paraId="7E000D42" w14:textId="77777777" w:rsidR="009A58DB" w:rsidRDefault="00000000">
      <w:pPr>
        <w:pStyle w:val="BodyText"/>
        <w:spacing w:before="139" w:line="249" w:lineRule="auto"/>
        <w:ind w:right="362"/>
      </w:pPr>
      <w:r>
        <w:t>The fact that grammatical and logical form sometimes diverge is related to</w:t>
      </w:r>
      <w:r>
        <w:rPr>
          <w:spacing w:val="40"/>
        </w:rPr>
        <w:t xml:space="preserve"> </w:t>
      </w:r>
      <w:r>
        <w:t>the fact some expressions are to be defined contextually. To define an expression contextually is to how, in virtue of containing it, a sentence’s meaning is affected. So, for example, “someone” doesn’t refer to anyone. It doesn’t refer to John or Sally or Jane. That is why, given any proper name N, the statement</w:t>
      </w:r>
    </w:p>
    <w:p w14:paraId="7E000D43" w14:textId="77777777" w:rsidR="009A58DB" w:rsidRDefault="00000000">
      <w:pPr>
        <w:pStyle w:val="BodyText"/>
        <w:spacing w:before="112" w:line="319" w:lineRule="auto"/>
        <w:ind w:right="6861"/>
      </w:pPr>
      <w:r>
        <w:t>(NS)</w:t>
      </w:r>
      <w:r>
        <w:rPr>
          <w:spacing w:val="-4"/>
        </w:rPr>
        <w:t xml:space="preserve"> </w:t>
      </w:r>
      <w:r>
        <w:t>‹N</w:t>
      </w:r>
      <w:r>
        <w:rPr>
          <w:spacing w:val="-4"/>
        </w:rPr>
        <w:t xml:space="preserve"> </w:t>
      </w:r>
      <w:r>
        <w:t>doesn’t</w:t>
      </w:r>
      <w:r>
        <w:rPr>
          <w:spacing w:val="-4"/>
        </w:rPr>
        <w:t xml:space="preserve"> </w:t>
      </w:r>
      <w:r>
        <w:t>snore</w:t>
      </w:r>
      <w:r>
        <w:rPr>
          <w:spacing w:val="-4"/>
        </w:rPr>
        <w:t xml:space="preserve"> </w:t>
      </w:r>
      <w:r>
        <w:t xml:space="preserve">› is </w:t>
      </w:r>
      <w:r>
        <w:rPr>
          <w:b/>
          <w:i/>
        </w:rPr>
        <w:t xml:space="preserve">compatible </w:t>
      </w:r>
      <w:r>
        <w:t>wit</w:t>
      </w:r>
      <w:bookmarkStart w:id="158" w:name="_bookmark158"/>
      <w:bookmarkEnd w:id="158"/>
      <w:r>
        <w:t>h</w:t>
      </w:r>
      <w:r>
        <w:rPr>
          <w:color w:val="0562C1"/>
          <w:position w:val="21"/>
          <w:u w:val="single" w:color="0562C1"/>
        </w:rPr>
        <w:t>[92]</w:t>
      </w:r>
      <w:r>
        <w:rPr>
          <w:color w:val="0562C1"/>
          <w:position w:val="21"/>
        </w:rPr>
        <w:t xml:space="preserve"> </w:t>
      </w:r>
      <w:r>
        <w:t>(SS)</w:t>
      </w:r>
      <w:r>
        <w:rPr>
          <w:spacing w:val="-5"/>
        </w:rPr>
        <w:t xml:space="preserve"> </w:t>
      </w:r>
      <w:r>
        <w:t>“someone</w:t>
      </w:r>
      <w:r>
        <w:rPr>
          <w:spacing w:val="-4"/>
        </w:rPr>
        <w:t xml:space="preserve"> </w:t>
      </w:r>
      <w:r>
        <w:rPr>
          <w:spacing w:val="-2"/>
        </w:rPr>
        <w:t>snores.”</w:t>
      </w:r>
    </w:p>
    <w:p w14:paraId="7E000D44" w14:textId="77777777" w:rsidR="009A58DB" w:rsidRDefault="00000000">
      <w:pPr>
        <w:pStyle w:val="BodyText"/>
        <w:spacing w:before="4"/>
        <w:ind w:left="720"/>
        <w:jc w:val="left"/>
      </w:pPr>
      <w:r>
        <w:t>Thus,</w:t>
      </w:r>
      <w:r>
        <w:rPr>
          <w:spacing w:val="12"/>
        </w:rPr>
        <w:t xml:space="preserve"> </w:t>
      </w:r>
      <w:r>
        <w:t>the</w:t>
      </w:r>
      <w:r>
        <w:rPr>
          <w:spacing w:val="14"/>
        </w:rPr>
        <w:t xml:space="preserve"> </w:t>
      </w:r>
      <w:r>
        <w:t>meaning</w:t>
      </w:r>
      <w:r>
        <w:rPr>
          <w:spacing w:val="14"/>
        </w:rPr>
        <w:t xml:space="preserve"> </w:t>
      </w:r>
      <w:r>
        <w:t>of</w:t>
      </w:r>
      <w:r>
        <w:rPr>
          <w:spacing w:val="14"/>
        </w:rPr>
        <w:t xml:space="preserve"> </w:t>
      </w:r>
      <w:r>
        <w:t>“someone”</w:t>
      </w:r>
      <w:r>
        <w:rPr>
          <w:spacing w:val="14"/>
        </w:rPr>
        <w:t xml:space="preserve"> </w:t>
      </w:r>
      <w:r>
        <w:t>isn’t</w:t>
      </w:r>
      <w:r>
        <w:rPr>
          <w:spacing w:val="14"/>
        </w:rPr>
        <w:t xml:space="preserve"> </w:t>
      </w:r>
      <w:r>
        <w:t>given</w:t>
      </w:r>
      <w:r>
        <w:rPr>
          <w:spacing w:val="14"/>
        </w:rPr>
        <w:t xml:space="preserve"> </w:t>
      </w:r>
      <w:r>
        <w:t>by</w:t>
      </w:r>
      <w:r>
        <w:rPr>
          <w:spacing w:val="14"/>
        </w:rPr>
        <w:t xml:space="preserve"> </w:t>
      </w:r>
      <w:r>
        <w:t>some</w:t>
      </w:r>
      <w:r>
        <w:rPr>
          <w:spacing w:val="14"/>
        </w:rPr>
        <w:t xml:space="preserve"> </w:t>
      </w:r>
      <w:r>
        <w:t>rule</w:t>
      </w:r>
      <w:r>
        <w:rPr>
          <w:spacing w:val="14"/>
        </w:rPr>
        <w:t xml:space="preserve"> </w:t>
      </w:r>
      <w:r>
        <w:t>that</w:t>
      </w:r>
      <w:r>
        <w:rPr>
          <w:spacing w:val="14"/>
        </w:rPr>
        <w:t xml:space="preserve"> </w:t>
      </w:r>
      <w:r>
        <w:t>pairs</w:t>
      </w:r>
      <w:r>
        <w:rPr>
          <w:spacing w:val="14"/>
        </w:rPr>
        <w:t xml:space="preserve"> </w:t>
      </w:r>
      <w:r>
        <w:t>it</w:t>
      </w:r>
      <w:r>
        <w:rPr>
          <w:spacing w:val="14"/>
        </w:rPr>
        <w:t xml:space="preserve"> </w:t>
      </w:r>
      <w:r>
        <w:rPr>
          <w:spacing w:val="-5"/>
        </w:rPr>
        <w:t>off</w:t>
      </w:r>
    </w:p>
    <w:p w14:paraId="7E000D45" w14:textId="77777777" w:rsidR="009A58DB" w:rsidRDefault="009A58DB">
      <w:pPr>
        <w:pStyle w:val="BodyText"/>
        <w:jc w:val="left"/>
        <w:sectPr w:rsidR="009A58DB">
          <w:pgSz w:w="12240" w:h="15840"/>
          <w:pgMar w:top="1380" w:right="1080" w:bottom="280" w:left="1080" w:header="720" w:footer="720" w:gutter="0"/>
          <w:cols w:space="720"/>
        </w:sectPr>
      </w:pPr>
    </w:p>
    <w:p w14:paraId="7E000D46" w14:textId="77777777" w:rsidR="009A58DB" w:rsidRDefault="00000000">
      <w:pPr>
        <w:pStyle w:val="BodyText"/>
        <w:spacing w:before="65" w:line="249" w:lineRule="auto"/>
        <w:ind w:right="371"/>
      </w:pPr>
      <w:r>
        <w:lastRenderedPageBreak/>
        <w:t>with this or that individual. In other words, there is no individual N such that the semantic rule for “someone” is:</w:t>
      </w:r>
    </w:p>
    <w:p w14:paraId="7E000D47" w14:textId="77777777" w:rsidR="009A58DB" w:rsidRDefault="00000000">
      <w:pPr>
        <w:pStyle w:val="BodyText"/>
        <w:spacing w:before="107" w:line="312" w:lineRule="auto"/>
        <w:ind w:right="1840"/>
        <w:jc w:val="left"/>
      </w:pPr>
      <w:r>
        <w:t>(WR</w:t>
      </w:r>
      <w:bookmarkStart w:id="159" w:name="_bookmark159"/>
      <w:bookmarkEnd w:id="159"/>
      <w:r>
        <w:t>S</w:t>
      </w:r>
      <w:r>
        <w:rPr>
          <w:color w:val="0562C1"/>
          <w:position w:val="21"/>
          <w:u w:val="single" w:color="0562C1"/>
        </w:rPr>
        <w:t>[93]</w:t>
      </w:r>
      <w:r>
        <w:t>)‹Someone has psi› is true just in case N has psi. Rather,</w:t>
      </w:r>
      <w:r>
        <w:rPr>
          <w:spacing w:val="-4"/>
        </w:rPr>
        <w:t xml:space="preserve"> </w:t>
      </w:r>
      <w:r>
        <w:t>the</w:t>
      </w:r>
      <w:r>
        <w:rPr>
          <w:spacing w:val="-5"/>
        </w:rPr>
        <w:t xml:space="preserve"> </w:t>
      </w:r>
      <w:r>
        <w:t>meaning</w:t>
      </w:r>
      <w:r>
        <w:rPr>
          <w:spacing w:val="-4"/>
        </w:rPr>
        <w:t xml:space="preserve"> </w:t>
      </w:r>
      <w:r>
        <w:t>of</w:t>
      </w:r>
      <w:r>
        <w:rPr>
          <w:spacing w:val="-5"/>
        </w:rPr>
        <w:t xml:space="preserve"> </w:t>
      </w:r>
      <w:r>
        <w:t>“someone”</w:t>
      </w:r>
      <w:r>
        <w:rPr>
          <w:spacing w:val="-5"/>
        </w:rPr>
        <w:t xml:space="preserve"> </w:t>
      </w:r>
      <w:r>
        <w:t>is</w:t>
      </w:r>
      <w:r>
        <w:rPr>
          <w:spacing w:val="-5"/>
        </w:rPr>
        <w:t xml:space="preserve"> </w:t>
      </w:r>
      <w:r>
        <w:t>given</w:t>
      </w:r>
      <w:r>
        <w:rPr>
          <w:spacing w:val="-4"/>
        </w:rPr>
        <w:t xml:space="preserve"> </w:t>
      </w:r>
      <w:r>
        <w:t>by</w:t>
      </w:r>
      <w:r>
        <w:rPr>
          <w:spacing w:val="-4"/>
        </w:rPr>
        <w:t xml:space="preserve"> </w:t>
      </w:r>
      <w:r>
        <w:t>the</w:t>
      </w:r>
      <w:r>
        <w:rPr>
          <w:spacing w:val="-5"/>
        </w:rPr>
        <w:t xml:space="preserve"> </w:t>
      </w:r>
      <w:r>
        <w:t>statement</w:t>
      </w:r>
      <w:r>
        <w:rPr>
          <w:spacing w:val="-5"/>
        </w:rPr>
        <w:t xml:space="preserve"> </w:t>
      </w:r>
      <w:r>
        <w:t>that:</w:t>
      </w:r>
    </w:p>
    <w:p w14:paraId="7E000D48" w14:textId="77777777" w:rsidR="009A58DB" w:rsidRDefault="00000000">
      <w:pPr>
        <w:pStyle w:val="BodyText"/>
        <w:spacing w:before="18" w:line="249" w:lineRule="auto"/>
        <w:jc w:val="left"/>
        <w:rPr>
          <w:position w:val="21"/>
        </w:rPr>
      </w:pPr>
      <w:r>
        <w:t>(RS)</w:t>
      </w:r>
      <w:r>
        <w:rPr>
          <w:spacing w:val="40"/>
        </w:rPr>
        <w:t xml:space="preserve"> </w:t>
      </w:r>
      <w:r>
        <w:t>‹Someone</w:t>
      </w:r>
      <w:r>
        <w:rPr>
          <w:spacing w:val="40"/>
        </w:rPr>
        <w:t xml:space="preserve"> </w:t>
      </w:r>
      <w:r>
        <w:t>has</w:t>
      </w:r>
      <w:r>
        <w:rPr>
          <w:spacing w:val="40"/>
        </w:rPr>
        <w:t xml:space="preserve"> </w:t>
      </w:r>
      <w:r>
        <w:t>psi›</w:t>
      </w:r>
      <w:r>
        <w:rPr>
          <w:spacing w:val="40"/>
        </w:rPr>
        <w:t xml:space="preserve"> </w:t>
      </w:r>
      <w:r>
        <w:t>is</w:t>
      </w:r>
      <w:r>
        <w:rPr>
          <w:spacing w:val="40"/>
        </w:rPr>
        <w:t xml:space="preserve"> </w:t>
      </w:r>
      <w:r>
        <w:t>true</w:t>
      </w:r>
      <w:r>
        <w:rPr>
          <w:spacing w:val="40"/>
        </w:rPr>
        <w:t xml:space="preserve"> </w:t>
      </w:r>
      <w:r>
        <w:t>just</w:t>
      </w:r>
      <w:r>
        <w:rPr>
          <w:spacing w:val="40"/>
        </w:rPr>
        <w:t xml:space="preserve"> </w:t>
      </w:r>
      <w:r>
        <w:t>in</w:t>
      </w:r>
      <w:r>
        <w:rPr>
          <w:spacing w:val="40"/>
        </w:rPr>
        <w:t xml:space="preserve"> </w:t>
      </w:r>
      <w:r>
        <w:t>case</w:t>
      </w:r>
      <w:r>
        <w:rPr>
          <w:spacing w:val="40"/>
        </w:rPr>
        <w:t xml:space="preserve"> </w:t>
      </w:r>
      <w:r>
        <w:t>the</w:t>
      </w:r>
      <w:r>
        <w:rPr>
          <w:spacing w:val="40"/>
        </w:rPr>
        <w:t xml:space="preserve"> </w:t>
      </w:r>
      <w:r>
        <w:t>property</w:t>
      </w:r>
      <w:r>
        <w:rPr>
          <w:spacing w:val="40"/>
        </w:rPr>
        <w:t xml:space="preserve"> </w:t>
      </w:r>
      <w:r>
        <w:t>of</w:t>
      </w:r>
      <w:r>
        <w:rPr>
          <w:spacing w:val="40"/>
        </w:rPr>
        <w:t xml:space="preserve"> </w:t>
      </w:r>
      <w:r>
        <w:t>being</w:t>
      </w:r>
      <w:r>
        <w:rPr>
          <w:spacing w:val="40"/>
        </w:rPr>
        <w:t xml:space="preserve"> </w:t>
      </w:r>
      <w:r>
        <w:t>a</w:t>
      </w:r>
      <w:r>
        <w:rPr>
          <w:spacing w:val="40"/>
        </w:rPr>
        <w:t xml:space="preserve"> </w:t>
      </w:r>
      <w:r>
        <w:t>psi</w:t>
      </w:r>
      <w:r>
        <w:rPr>
          <w:spacing w:val="40"/>
        </w:rPr>
        <w:t xml:space="preserve"> </w:t>
      </w:r>
      <w:r>
        <w:t xml:space="preserve">is </w:t>
      </w:r>
      <w:r>
        <w:rPr>
          <w:spacing w:val="-2"/>
        </w:rPr>
        <w:t>instantiated.</w:t>
      </w:r>
      <w:bookmarkStart w:id="160" w:name="_bookmark160"/>
      <w:bookmarkEnd w:id="160"/>
      <w:r>
        <w:rPr>
          <w:color w:val="0562C1"/>
          <w:spacing w:val="-2"/>
          <w:position w:val="21"/>
          <w:u w:val="single" w:color="0562C1"/>
        </w:rPr>
        <w:t>[94]</w:t>
      </w:r>
    </w:p>
    <w:p w14:paraId="7E000D49" w14:textId="77777777" w:rsidR="009A58DB" w:rsidRDefault="00000000">
      <w:pPr>
        <w:pStyle w:val="BodyText"/>
        <w:spacing w:before="108" w:line="312" w:lineRule="auto"/>
        <w:ind w:right="2223"/>
        <w:jc w:val="left"/>
      </w:pPr>
      <w:r>
        <w:t>Thus,</w:t>
      </w:r>
      <w:r>
        <w:rPr>
          <w:spacing w:val="-4"/>
        </w:rPr>
        <w:t xml:space="preserve"> </w:t>
      </w:r>
      <w:r>
        <w:t>the</w:t>
      </w:r>
      <w:r>
        <w:rPr>
          <w:spacing w:val="-5"/>
        </w:rPr>
        <w:t xml:space="preserve"> </w:t>
      </w:r>
      <w:r>
        <w:t>logical</w:t>
      </w:r>
      <w:r>
        <w:rPr>
          <w:spacing w:val="-5"/>
        </w:rPr>
        <w:t xml:space="preserve"> </w:t>
      </w:r>
      <w:r>
        <w:t>form</w:t>
      </w:r>
      <w:r>
        <w:rPr>
          <w:spacing w:val="-5"/>
        </w:rPr>
        <w:t xml:space="preserve"> </w:t>
      </w:r>
      <w:r>
        <w:t>SS</w:t>
      </w:r>
      <w:r>
        <w:rPr>
          <w:spacing w:val="-5"/>
        </w:rPr>
        <w:t xml:space="preserve"> </w:t>
      </w:r>
      <w:r>
        <w:t>is</w:t>
      </w:r>
      <w:r>
        <w:rPr>
          <w:spacing w:val="-5"/>
        </w:rPr>
        <w:t xml:space="preserve"> </w:t>
      </w:r>
      <w:r>
        <w:t>clearly</w:t>
      </w:r>
      <w:r>
        <w:rPr>
          <w:spacing w:val="-4"/>
        </w:rPr>
        <w:t xml:space="preserve"> </w:t>
      </w:r>
      <w:r>
        <w:t>displayed</w:t>
      </w:r>
      <w:r>
        <w:rPr>
          <w:spacing w:val="-4"/>
        </w:rPr>
        <w:t xml:space="preserve"> </w:t>
      </w:r>
      <w:r>
        <w:t>by</w:t>
      </w:r>
      <w:r>
        <w:rPr>
          <w:spacing w:val="-4"/>
        </w:rPr>
        <w:t xml:space="preserve"> </w:t>
      </w:r>
      <w:r>
        <w:t>the</w:t>
      </w:r>
      <w:r>
        <w:rPr>
          <w:spacing w:val="-5"/>
        </w:rPr>
        <w:t xml:space="preserve"> </w:t>
      </w:r>
      <w:r>
        <w:t>sentence: (P</w:t>
      </w:r>
      <w:bookmarkStart w:id="161" w:name="_bookmark161"/>
      <w:bookmarkEnd w:id="161"/>
      <w:r>
        <w:t>S</w:t>
      </w:r>
      <w:r>
        <w:rPr>
          <w:color w:val="0562C1"/>
          <w:position w:val="21"/>
          <w:u w:val="single" w:color="0562C1"/>
        </w:rPr>
        <w:t>[95]</w:t>
      </w:r>
      <w:r>
        <w:t>) “the property of being a snorer is instantiated.”</w:t>
      </w:r>
    </w:p>
    <w:p w14:paraId="7E000D4A" w14:textId="77777777" w:rsidR="009A58DB" w:rsidRDefault="00000000">
      <w:pPr>
        <w:pStyle w:val="BodyText"/>
        <w:spacing w:before="18" w:line="249" w:lineRule="auto"/>
        <w:ind w:right="358"/>
      </w:pPr>
      <w:r>
        <w:t>PS’s</w:t>
      </w:r>
      <w:r>
        <w:rPr>
          <w:spacing w:val="-5"/>
        </w:rPr>
        <w:t xml:space="preserve"> </w:t>
      </w:r>
      <w:r>
        <w:t>logical</w:t>
      </w:r>
      <w:r>
        <w:rPr>
          <w:spacing w:val="-5"/>
        </w:rPr>
        <w:t xml:space="preserve"> </w:t>
      </w:r>
      <w:r>
        <w:t>form</w:t>
      </w:r>
      <w:r>
        <w:rPr>
          <w:spacing w:val="-5"/>
        </w:rPr>
        <w:t xml:space="preserve"> </w:t>
      </w:r>
      <w:r>
        <w:t>therefore</w:t>
      </w:r>
      <w:r>
        <w:rPr>
          <w:spacing w:val="-5"/>
        </w:rPr>
        <w:t xml:space="preserve"> </w:t>
      </w:r>
      <w:r>
        <w:t>coincides</w:t>
      </w:r>
      <w:r>
        <w:rPr>
          <w:spacing w:val="-5"/>
        </w:rPr>
        <w:t xml:space="preserve"> </w:t>
      </w:r>
      <w:r>
        <w:t>with</w:t>
      </w:r>
      <w:r>
        <w:rPr>
          <w:spacing w:val="-4"/>
        </w:rPr>
        <w:t xml:space="preserve"> </w:t>
      </w:r>
      <w:r>
        <w:t>its</w:t>
      </w:r>
      <w:r>
        <w:rPr>
          <w:spacing w:val="-5"/>
        </w:rPr>
        <w:t xml:space="preserve"> </w:t>
      </w:r>
      <w:r>
        <w:t>grammatical</w:t>
      </w:r>
      <w:r>
        <w:rPr>
          <w:spacing w:val="-5"/>
        </w:rPr>
        <w:t xml:space="preserve"> </w:t>
      </w:r>
      <w:r>
        <w:t>form.</w:t>
      </w:r>
      <w:r>
        <w:rPr>
          <w:spacing w:val="-4"/>
        </w:rPr>
        <w:t xml:space="preserve"> </w:t>
      </w:r>
      <w:r>
        <w:t>Since</w:t>
      </w:r>
      <w:r>
        <w:rPr>
          <w:spacing w:val="-5"/>
        </w:rPr>
        <w:t xml:space="preserve"> </w:t>
      </w:r>
      <w:r>
        <w:t>SS</w:t>
      </w:r>
      <w:r>
        <w:rPr>
          <w:spacing w:val="-5"/>
        </w:rPr>
        <w:t xml:space="preserve"> </w:t>
      </w:r>
      <w:r>
        <w:t>has a different grammatical form from PS, it follows that SS’s logical form diverges from its logical form. The divergence between SS’s grammatical</w:t>
      </w:r>
      <w:r>
        <w:rPr>
          <w:spacing w:val="40"/>
        </w:rPr>
        <w:t xml:space="preserve"> </w:t>
      </w:r>
      <w:r>
        <w:t>and</w:t>
      </w:r>
      <w:r>
        <w:rPr>
          <w:spacing w:val="-1"/>
        </w:rPr>
        <w:t xml:space="preserve"> </w:t>
      </w:r>
      <w:r>
        <w:t>logical</w:t>
      </w:r>
      <w:r>
        <w:rPr>
          <w:spacing w:val="-1"/>
        </w:rPr>
        <w:t xml:space="preserve"> </w:t>
      </w:r>
      <w:r>
        <w:t>forms</w:t>
      </w:r>
      <w:r>
        <w:rPr>
          <w:spacing w:val="-1"/>
        </w:rPr>
        <w:t xml:space="preserve"> </w:t>
      </w:r>
      <w:r>
        <w:t>is</w:t>
      </w:r>
      <w:r>
        <w:rPr>
          <w:spacing w:val="-1"/>
        </w:rPr>
        <w:t xml:space="preserve"> </w:t>
      </w:r>
      <w:r>
        <w:t>obviously</w:t>
      </w:r>
      <w:r>
        <w:rPr>
          <w:spacing w:val="-1"/>
        </w:rPr>
        <w:t xml:space="preserve"> </w:t>
      </w:r>
      <w:r>
        <w:t>a</w:t>
      </w:r>
      <w:r>
        <w:rPr>
          <w:spacing w:val="-1"/>
        </w:rPr>
        <w:t xml:space="preserve"> </w:t>
      </w:r>
      <w:r>
        <w:t>consequence</w:t>
      </w:r>
      <w:r>
        <w:rPr>
          <w:spacing w:val="-1"/>
        </w:rPr>
        <w:t xml:space="preserve"> </w:t>
      </w:r>
      <w:r>
        <w:t>of</w:t>
      </w:r>
      <w:r>
        <w:rPr>
          <w:spacing w:val="-1"/>
        </w:rPr>
        <w:t xml:space="preserve"> </w:t>
      </w:r>
      <w:r>
        <w:t>the</w:t>
      </w:r>
      <w:r>
        <w:rPr>
          <w:spacing w:val="-1"/>
        </w:rPr>
        <w:t xml:space="preserve"> </w:t>
      </w:r>
      <w:r>
        <w:t>fact</w:t>
      </w:r>
      <w:r>
        <w:rPr>
          <w:spacing w:val="-1"/>
        </w:rPr>
        <w:t xml:space="preserve"> </w:t>
      </w:r>
      <w:r>
        <w:t>that</w:t>
      </w:r>
      <w:r>
        <w:rPr>
          <w:spacing w:val="-1"/>
        </w:rPr>
        <w:t xml:space="preserve"> </w:t>
      </w:r>
      <w:r>
        <w:t>“someone”</w:t>
      </w:r>
      <w:r>
        <w:rPr>
          <w:spacing w:val="-1"/>
        </w:rPr>
        <w:t xml:space="preserve"> </w:t>
      </w:r>
      <w:r>
        <w:t>must be defined contextually.</w:t>
      </w:r>
    </w:p>
    <w:p w14:paraId="7E000D4B" w14:textId="77777777" w:rsidR="009A58DB" w:rsidRDefault="00000000">
      <w:pPr>
        <w:pStyle w:val="Heading1"/>
        <w:numPr>
          <w:ilvl w:val="1"/>
          <w:numId w:val="182"/>
        </w:numPr>
        <w:tabs>
          <w:tab w:val="left" w:pos="990"/>
        </w:tabs>
        <w:spacing w:before="194"/>
      </w:pPr>
      <w:r>
        <w:t>Contextual</w:t>
      </w:r>
      <w:r>
        <w:rPr>
          <w:spacing w:val="-8"/>
        </w:rPr>
        <w:t xml:space="preserve"> </w:t>
      </w:r>
      <w:r>
        <w:t>definition:</w:t>
      </w:r>
      <w:r>
        <w:rPr>
          <w:spacing w:val="-5"/>
        </w:rPr>
        <w:t xml:space="preserve"> </w:t>
      </w:r>
      <w:r>
        <w:t>its</w:t>
      </w:r>
      <w:r>
        <w:rPr>
          <w:spacing w:val="-5"/>
        </w:rPr>
        <w:t xml:space="preserve"> </w:t>
      </w:r>
      <w:r>
        <w:t>scope</w:t>
      </w:r>
      <w:r>
        <w:rPr>
          <w:spacing w:val="-5"/>
        </w:rPr>
        <w:t xml:space="preserve"> </w:t>
      </w:r>
      <w:r>
        <w:t>and</w:t>
      </w:r>
      <w:r>
        <w:rPr>
          <w:spacing w:val="-5"/>
        </w:rPr>
        <w:t xml:space="preserve"> </w:t>
      </w:r>
      <w:r>
        <w:rPr>
          <w:spacing w:val="-2"/>
        </w:rPr>
        <w:t>limits</w:t>
      </w:r>
    </w:p>
    <w:p w14:paraId="7E000D4C" w14:textId="77777777" w:rsidR="009A58DB" w:rsidRDefault="00000000">
      <w:pPr>
        <w:pStyle w:val="BodyText"/>
        <w:spacing w:before="139" w:line="249" w:lineRule="auto"/>
        <w:ind w:right="358"/>
      </w:pPr>
      <w:r>
        <w:t xml:space="preserve">Nonetheless, it would be an overstatement to say that </w:t>
      </w:r>
      <w:r>
        <w:rPr>
          <w:i/>
        </w:rPr>
        <w:t xml:space="preserve">whenever </w:t>
      </w:r>
      <w:r>
        <w:t xml:space="preserve">a sentence contains an expression that must be defined contextually, it’s grammatical form pulls apart from its logical form. As we’re about to see, </w:t>
      </w:r>
      <w:r>
        <w:rPr>
          <w:i/>
        </w:rPr>
        <w:t>every</w:t>
      </w:r>
      <w:r>
        <w:rPr>
          <w:i/>
          <w:spacing w:val="40"/>
        </w:rPr>
        <w:t xml:space="preserve"> </w:t>
      </w:r>
      <w:r>
        <w:t>expression</w:t>
      </w:r>
      <w:r>
        <w:rPr>
          <w:spacing w:val="-3"/>
        </w:rPr>
        <w:t xml:space="preserve"> </w:t>
      </w:r>
      <w:r>
        <w:t>is</w:t>
      </w:r>
      <w:r>
        <w:rPr>
          <w:spacing w:val="-3"/>
        </w:rPr>
        <w:t xml:space="preserve"> </w:t>
      </w:r>
      <w:r>
        <w:t>to</w:t>
      </w:r>
      <w:r>
        <w:rPr>
          <w:spacing w:val="-3"/>
        </w:rPr>
        <w:t xml:space="preserve"> </w:t>
      </w:r>
      <w:r>
        <w:t>be</w:t>
      </w:r>
      <w:r>
        <w:rPr>
          <w:spacing w:val="-3"/>
        </w:rPr>
        <w:t xml:space="preserve"> </w:t>
      </w:r>
      <w:r>
        <w:t>defined</w:t>
      </w:r>
      <w:r>
        <w:rPr>
          <w:spacing w:val="-3"/>
        </w:rPr>
        <w:t xml:space="preserve"> </w:t>
      </w:r>
      <w:r>
        <w:t>contextually.</w:t>
      </w:r>
      <w:r>
        <w:rPr>
          <w:spacing w:val="-3"/>
        </w:rPr>
        <w:t xml:space="preserve"> </w:t>
      </w:r>
      <w:r>
        <w:t>Obviously</w:t>
      </w:r>
      <w:r>
        <w:rPr>
          <w:spacing w:val="-3"/>
        </w:rPr>
        <w:t xml:space="preserve"> </w:t>
      </w:r>
      <w:r>
        <w:t>grammatical</w:t>
      </w:r>
      <w:r>
        <w:rPr>
          <w:spacing w:val="-3"/>
        </w:rPr>
        <w:t xml:space="preserve"> </w:t>
      </w:r>
      <w:r>
        <w:t>form</w:t>
      </w:r>
      <w:r>
        <w:rPr>
          <w:spacing w:val="-3"/>
        </w:rPr>
        <w:t xml:space="preserve"> </w:t>
      </w:r>
      <w:r>
        <w:t xml:space="preserve">doesn’t </w:t>
      </w:r>
      <w:r>
        <w:rPr>
          <w:i/>
        </w:rPr>
        <w:t>always</w:t>
      </w:r>
      <w:r>
        <w:rPr>
          <w:i/>
          <w:spacing w:val="-4"/>
        </w:rPr>
        <w:t xml:space="preserve"> </w:t>
      </w:r>
      <w:r>
        <w:t>pull</w:t>
      </w:r>
      <w:r>
        <w:rPr>
          <w:spacing w:val="-4"/>
        </w:rPr>
        <w:t xml:space="preserve"> </w:t>
      </w:r>
      <w:r>
        <w:t>apart</w:t>
      </w:r>
      <w:r>
        <w:rPr>
          <w:spacing w:val="-4"/>
        </w:rPr>
        <w:t xml:space="preserve"> </w:t>
      </w:r>
      <w:r>
        <w:t>from</w:t>
      </w:r>
      <w:r>
        <w:rPr>
          <w:spacing w:val="-4"/>
        </w:rPr>
        <w:t xml:space="preserve"> </w:t>
      </w:r>
      <w:r>
        <w:t>logical</w:t>
      </w:r>
      <w:r>
        <w:rPr>
          <w:spacing w:val="-4"/>
        </w:rPr>
        <w:t xml:space="preserve"> </w:t>
      </w:r>
      <w:r>
        <w:t>form.</w:t>
      </w:r>
      <w:r>
        <w:rPr>
          <w:spacing w:val="-3"/>
        </w:rPr>
        <w:t xml:space="preserve"> </w:t>
      </w:r>
      <w:r>
        <w:t>Therefore,</w:t>
      </w:r>
      <w:r>
        <w:rPr>
          <w:spacing w:val="-3"/>
        </w:rPr>
        <w:t xml:space="preserve"> </w:t>
      </w:r>
      <w:r>
        <w:t>it</w:t>
      </w:r>
      <w:r>
        <w:rPr>
          <w:spacing w:val="-4"/>
        </w:rPr>
        <w:t xml:space="preserve"> </w:t>
      </w:r>
      <w:r>
        <w:t>isn’t</w:t>
      </w:r>
      <w:r>
        <w:rPr>
          <w:spacing w:val="-4"/>
        </w:rPr>
        <w:t xml:space="preserve"> </w:t>
      </w:r>
      <w:r>
        <w:rPr>
          <w:i/>
        </w:rPr>
        <w:t>always</w:t>
      </w:r>
      <w:r>
        <w:rPr>
          <w:i/>
          <w:spacing w:val="-4"/>
        </w:rPr>
        <w:t xml:space="preserve"> </w:t>
      </w:r>
      <w:r>
        <w:t>the</w:t>
      </w:r>
      <w:r>
        <w:rPr>
          <w:spacing w:val="-4"/>
        </w:rPr>
        <w:t xml:space="preserve"> </w:t>
      </w:r>
      <w:r>
        <w:t>case</w:t>
      </w:r>
      <w:r>
        <w:rPr>
          <w:spacing w:val="-4"/>
        </w:rPr>
        <w:t xml:space="preserve"> </w:t>
      </w:r>
      <w:r>
        <w:t>that,</w:t>
      </w:r>
      <w:r>
        <w:rPr>
          <w:spacing w:val="-3"/>
        </w:rPr>
        <w:t xml:space="preserve"> </w:t>
      </w:r>
      <w:r>
        <w:t>in virtue of containing an expression that must be defined contextually, a sentence’s logical and grammatical forms diverge.</w:t>
      </w:r>
    </w:p>
    <w:p w14:paraId="7E000D4D" w14:textId="77777777" w:rsidR="009A58DB" w:rsidRDefault="00000000">
      <w:pPr>
        <w:pStyle w:val="BodyText"/>
        <w:spacing w:before="9" w:line="249" w:lineRule="auto"/>
        <w:ind w:right="358" w:firstLine="360"/>
      </w:pPr>
      <w:r>
        <w:t>How can it be said that all definitions are contextual definitions? Aren’t there</w:t>
      </w:r>
      <w:r>
        <w:rPr>
          <w:spacing w:val="-4"/>
        </w:rPr>
        <w:t xml:space="preserve"> </w:t>
      </w:r>
      <w:r>
        <w:t>also</w:t>
      </w:r>
      <w:r>
        <w:rPr>
          <w:spacing w:val="-3"/>
        </w:rPr>
        <w:t xml:space="preserve"> </w:t>
      </w:r>
      <w:r>
        <w:rPr>
          <w:b/>
          <w:i/>
        </w:rPr>
        <w:t xml:space="preserve">denotative definitions? </w:t>
      </w:r>
      <w:r>
        <w:t>(A denotative definition of an expression E says what E means by saying what it denotes.) Isn’t “Socrates” defined denotatively? Yes, it is. There is some object x such that one says what “Socrates” means if, and only if, one says that “Socrates“ refers to x.</w:t>
      </w:r>
    </w:p>
    <w:p w14:paraId="7E000D4E" w14:textId="77777777" w:rsidR="009A58DB" w:rsidRDefault="00000000">
      <w:pPr>
        <w:pStyle w:val="BodyText"/>
        <w:spacing w:before="6" w:line="249" w:lineRule="auto"/>
        <w:ind w:right="359" w:firstLine="360"/>
      </w:pPr>
      <w:r>
        <w:t>But in saying of some object x that “Socrates” picks out x, one is saying that, in virtue of having the form ‹Socrates has psi›, a sentence S is to the effect that x has psi. “Socrates” refers to Socrates because, the remaining semantic rules of English being what they are, if you wish to attribute the property</w:t>
      </w:r>
      <w:r>
        <w:rPr>
          <w:spacing w:val="40"/>
        </w:rPr>
        <w:t xml:space="preserve"> </w:t>
      </w:r>
      <w:r>
        <w:t>of</w:t>
      </w:r>
      <w:r>
        <w:rPr>
          <w:spacing w:val="40"/>
        </w:rPr>
        <w:t xml:space="preserve"> </w:t>
      </w:r>
      <w:r>
        <w:t>being</w:t>
      </w:r>
      <w:r>
        <w:rPr>
          <w:spacing w:val="40"/>
        </w:rPr>
        <w:t xml:space="preserve"> </w:t>
      </w:r>
      <w:r>
        <w:t>wise</w:t>
      </w:r>
      <w:r>
        <w:rPr>
          <w:spacing w:val="40"/>
        </w:rPr>
        <w:t xml:space="preserve"> </w:t>
      </w:r>
      <w:r>
        <w:t>to</w:t>
      </w:r>
      <w:r>
        <w:rPr>
          <w:spacing w:val="40"/>
        </w:rPr>
        <w:t xml:space="preserve"> </w:t>
      </w:r>
      <w:r>
        <w:t>Socrates,</w:t>
      </w:r>
      <w:r>
        <w:rPr>
          <w:spacing w:val="40"/>
        </w:rPr>
        <w:t xml:space="preserve"> </w:t>
      </w:r>
      <w:r>
        <w:t>you</w:t>
      </w:r>
      <w:r>
        <w:rPr>
          <w:spacing w:val="40"/>
        </w:rPr>
        <w:t xml:space="preserve"> </w:t>
      </w:r>
      <w:r>
        <w:t>can</w:t>
      </w:r>
      <w:r>
        <w:rPr>
          <w:spacing w:val="40"/>
        </w:rPr>
        <w:t xml:space="preserve"> </w:t>
      </w:r>
      <w:r>
        <w:t>do</w:t>
      </w:r>
      <w:r>
        <w:rPr>
          <w:spacing w:val="40"/>
        </w:rPr>
        <w:t xml:space="preserve"> </w:t>
      </w:r>
      <w:r>
        <w:t>so</w:t>
      </w:r>
      <w:r>
        <w:rPr>
          <w:spacing w:val="40"/>
        </w:rPr>
        <w:t xml:space="preserve"> </w:t>
      </w:r>
      <w:r>
        <w:t>by</w:t>
      </w:r>
      <w:r>
        <w:rPr>
          <w:spacing w:val="40"/>
        </w:rPr>
        <w:t xml:space="preserve"> </w:t>
      </w:r>
      <w:r>
        <w:t>saying</w:t>
      </w:r>
      <w:r>
        <w:rPr>
          <w:spacing w:val="40"/>
        </w:rPr>
        <w:t xml:space="preserve"> </w:t>
      </w:r>
      <w:r>
        <w:t>“Socrates</w:t>
      </w:r>
      <w:r>
        <w:rPr>
          <w:spacing w:val="40"/>
        </w:rPr>
        <w:t xml:space="preserve"> </w:t>
      </w:r>
      <w:r>
        <w:t>is</w:t>
      </w:r>
    </w:p>
    <w:p w14:paraId="7E000D4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50" w14:textId="77777777" w:rsidR="009A58DB" w:rsidRDefault="00000000">
      <w:pPr>
        <w:pStyle w:val="BodyText"/>
        <w:spacing w:before="61" w:line="249" w:lineRule="auto"/>
        <w:ind w:right="358"/>
      </w:pPr>
      <w:r>
        <w:lastRenderedPageBreak/>
        <w:t>wise”—because, in general, for any property psi, if you wish to attribute psi to Socrates you can do so saying ‹Socrates has psi.› If, in saying “Socrates was wise,” you were really saying that it was Aristotle, not Socrates, who</w:t>
      </w:r>
      <w:r>
        <w:rPr>
          <w:spacing w:val="40"/>
        </w:rPr>
        <w:t xml:space="preserve"> </w:t>
      </w:r>
      <w:r>
        <w:t>was wise, then “Socrates” wouldn’t refer to Socrates, at least not in that context. In general, to say that E refers to O is to make a statement about effect a sentence’s containing E has on its truth-conditions. More precisely, it is</w:t>
      </w:r>
      <w:r>
        <w:rPr>
          <w:spacing w:val="-2"/>
        </w:rPr>
        <w:t xml:space="preserve"> </w:t>
      </w:r>
      <w:r>
        <w:t>to</w:t>
      </w:r>
      <w:r>
        <w:rPr>
          <w:spacing w:val="-2"/>
        </w:rPr>
        <w:t xml:space="preserve"> </w:t>
      </w:r>
      <w:r>
        <w:t>say</w:t>
      </w:r>
      <w:r>
        <w:rPr>
          <w:spacing w:val="-2"/>
        </w:rPr>
        <w:t xml:space="preserve"> </w:t>
      </w:r>
      <w:r>
        <w:t>that,</w:t>
      </w:r>
      <w:r>
        <w:rPr>
          <w:spacing w:val="-2"/>
        </w:rPr>
        <w:t xml:space="preserve"> </w:t>
      </w:r>
      <w:r>
        <w:t>in</w:t>
      </w:r>
      <w:r>
        <w:rPr>
          <w:spacing w:val="-2"/>
        </w:rPr>
        <w:t xml:space="preserve"> </w:t>
      </w:r>
      <w:r>
        <w:t>virtue</w:t>
      </w:r>
      <w:r>
        <w:rPr>
          <w:spacing w:val="-2"/>
        </w:rPr>
        <w:t xml:space="preserve"> </w:t>
      </w:r>
      <w:r>
        <w:t>of</w:t>
      </w:r>
      <w:r>
        <w:rPr>
          <w:spacing w:val="-2"/>
        </w:rPr>
        <w:t xml:space="preserve"> </w:t>
      </w:r>
      <w:r>
        <w:t>having</w:t>
      </w:r>
      <w:r>
        <w:rPr>
          <w:spacing w:val="-2"/>
        </w:rPr>
        <w:t xml:space="preserve"> </w:t>
      </w:r>
      <w:r>
        <w:t>the</w:t>
      </w:r>
      <w:r>
        <w:rPr>
          <w:spacing w:val="-2"/>
        </w:rPr>
        <w:t xml:space="preserve"> </w:t>
      </w:r>
      <w:r>
        <w:t>form</w:t>
      </w:r>
      <w:r>
        <w:rPr>
          <w:spacing w:val="-2"/>
        </w:rPr>
        <w:t xml:space="preserve"> </w:t>
      </w:r>
      <w:r>
        <w:t>‹E</w:t>
      </w:r>
      <w:r>
        <w:rPr>
          <w:spacing w:val="-2"/>
        </w:rPr>
        <w:t xml:space="preserve"> </w:t>
      </w:r>
      <w:r>
        <w:t>has</w:t>
      </w:r>
      <w:r>
        <w:rPr>
          <w:spacing w:val="-2"/>
        </w:rPr>
        <w:t xml:space="preserve"> </w:t>
      </w:r>
      <w:r>
        <w:t>psi›,</w:t>
      </w:r>
      <w:r>
        <w:rPr>
          <w:spacing w:val="-2"/>
        </w:rPr>
        <w:t xml:space="preserve"> </w:t>
      </w:r>
      <w:r>
        <w:t>a</w:t>
      </w:r>
      <w:r>
        <w:rPr>
          <w:spacing w:val="-2"/>
        </w:rPr>
        <w:t xml:space="preserve"> </w:t>
      </w:r>
      <w:r>
        <w:t>sentence</w:t>
      </w:r>
      <w:r>
        <w:rPr>
          <w:spacing w:val="-2"/>
        </w:rPr>
        <w:t xml:space="preserve"> </w:t>
      </w:r>
      <w:r>
        <w:t>attributes</w:t>
      </w:r>
      <w:r>
        <w:rPr>
          <w:spacing w:val="-2"/>
        </w:rPr>
        <w:t xml:space="preserve"> </w:t>
      </w:r>
      <w:r>
        <w:t>psi to O, for any property psi.</w:t>
      </w:r>
    </w:p>
    <w:p w14:paraId="7E000D51" w14:textId="77777777" w:rsidR="009A58DB" w:rsidRDefault="00000000">
      <w:pPr>
        <w:pStyle w:val="BodyText"/>
        <w:spacing w:before="13" w:line="249" w:lineRule="auto"/>
        <w:ind w:right="359" w:firstLine="360"/>
      </w:pPr>
      <w:r>
        <w:t>But</w:t>
      </w:r>
      <w:r>
        <w:rPr>
          <w:spacing w:val="-3"/>
        </w:rPr>
        <w:t xml:space="preserve"> </w:t>
      </w:r>
      <w:r>
        <w:t>the</w:t>
      </w:r>
      <w:r>
        <w:rPr>
          <w:spacing w:val="-3"/>
        </w:rPr>
        <w:t xml:space="preserve"> </w:t>
      </w:r>
      <w:r>
        <w:t>logical</w:t>
      </w:r>
      <w:r>
        <w:rPr>
          <w:spacing w:val="-3"/>
        </w:rPr>
        <w:t xml:space="preserve"> </w:t>
      </w:r>
      <w:r>
        <w:t>forms</w:t>
      </w:r>
      <w:r>
        <w:rPr>
          <w:spacing w:val="-3"/>
        </w:rPr>
        <w:t xml:space="preserve"> </w:t>
      </w:r>
      <w:r>
        <w:t>of</w:t>
      </w:r>
      <w:r>
        <w:rPr>
          <w:spacing w:val="-3"/>
        </w:rPr>
        <w:t xml:space="preserve"> </w:t>
      </w:r>
      <w:r>
        <w:t>sentences</w:t>
      </w:r>
      <w:r>
        <w:rPr>
          <w:spacing w:val="-3"/>
        </w:rPr>
        <w:t xml:space="preserve"> </w:t>
      </w:r>
      <w:r>
        <w:t>of</w:t>
      </w:r>
      <w:r>
        <w:rPr>
          <w:spacing w:val="-3"/>
        </w:rPr>
        <w:t xml:space="preserve"> </w:t>
      </w:r>
      <w:r>
        <w:t>the</w:t>
      </w:r>
      <w:r>
        <w:rPr>
          <w:spacing w:val="-3"/>
        </w:rPr>
        <w:t xml:space="preserve"> </w:t>
      </w:r>
      <w:r>
        <w:t>form</w:t>
      </w:r>
      <w:r>
        <w:rPr>
          <w:spacing w:val="-3"/>
        </w:rPr>
        <w:t xml:space="preserve"> </w:t>
      </w:r>
      <w:r>
        <w:t>‹E</w:t>
      </w:r>
      <w:r>
        <w:rPr>
          <w:spacing w:val="-3"/>
        </w:rPr>
        <w:t xml:space="preserve"> </w:t>
      </w:r>
      <w:r>
        <w:t>has</w:t>
      </w:r>
      <w:r>
        <w:rPr>
          <w:spacing w:val="-3"/>
        </w:rPr>
        <w:t xml:space="preserve"> </w:t>
      </w:r>
      <w:r>
        <w:t>psi›</w:t>
      </w:r>
      <w:r>
        <w:rPr>
          <w:spacing w:val="-3"/>
        </w:rPr>
        <w:t xml:space="preserve"> </w:t>
      </w:r>
      <w:r>
        <w:t>don’t</w:t>
      </w:r>
      <w:r>
        <w:rPr>
          <w:spacing w:val="-3"/>
        </w:rPr>
        <w:t xml:space="preserve"> </w:t>
      </w:r>
      <w:r>
        <w:t xml:space="preserve">necessarily pull apart from their logical forms. Since there is some object x (namely, Socrates) such that ‘Socrates is tall’ says that x is tall, and since ‹x is tall› has the same form as “Socrates is tall,” the fact that “Socrates” is to be defined contextually does </w:t>
      </w:r>
      <w:r>
        <w:rPr>
          <w:i/>
        </w:rPr>
        <w:t xml:space="preserve">not </w:t>
      </w:r>
      <w:r>
        <w:t>entail that logical and grammatical form ever diverge.</w:t>
      </w:r>
    </w:p>
    <w:p w14:paraId="7E000D52" w14:textId="77777777" w:rsidR="009A58DB" w:rsidRDefault="00000000">
      <w:pPr>
        <w:pStyle w:val="BodyText"/>
        <w:spacing w:before="7" w:line="249" w:lineRule="auto"/>
        <w:ind w:right="357" w:firstLine="360"/>
        <w:jc w:val="right"/>
      </w:pPr>
      <w:r>
        <w:t>So</w:t>
      </w:r>
      <w:r>
        <w:rPr>
          <w:spacing w:val="40"/>
        </w:rPr>
        <w:t xml:space="preserve"> </w:t>
      </w:r>
      <w:r>
        <w:t>it</w:t>
      </w:r>
      <w:r>
        <w:rPr>
          <w:spacing w:val="40"/>
        </w:rPr>
        <w:t xml:space="preserve"> </w:t>
      </w:r>
      <w:r>
        <w:t>is</w:t>
      </w:r>
      <w:r>
        <w:rPr>
          <w:spacing w:val="40"/>
        </w:rPr>
        <w:t xml:space="preserve"> </w:t>
      </w:r>
      <w:r>
        <w:t>only</w:t>
      </w:r>
      <w:r>
        <w:rPr>
          <w:spacing w:val="40"/>
        </w:rPr>
        <w:t xml:space="preserve"> </w:t>
      </w:r>
      <w:r>
        <w:t>because</w:t>
      </w:r>
      <w:r>
        <w:rPr>
          <w:spacing w:val="40"/>
        </w:rPr>
        <w:t xml:space="preserve"> </w:t>
      </w:r>
      <w:r>
        <w:rPr>
          <w:i/>
        </w:rPr>
        <w:t>certain</w:t>
      </w:r>
      <w:r>
        <w:rPr>
          <w:i/>
          <w:spacing w:val="40"/>
        </w:rPr>
        <w:t xml:space="preserve"> </w:t>
      </w:r>
      <w:r>
        <w:t>expressions</w:t>
      </w:r>
      <w:r>
        <w:rPr>
          <w:spacing w:val="40"/>
        </w:rPr>
        <w:t xml:space="preserve"> </w:t>
      </w:r>
      <w:r>
        <w:t>are</w:t>
      </w:r>
      <w:r>
        <w:rPr>
          <w:spacing w:val="40"/>
        </w:rPr>
        <w:t xml:space="preserve"> </w:t>
      </w:r>
      <w:r>
        <w:t>to</w:t>
      </w:r>
      <w:r>
        <w:rPr>
          <w:spacing w:val="40"/>
        </w:rPr>
        <w:t xml:space="preserve"> </w:t>
      </w:r>
      <w:r>
        <w:t>be</w:t>
      </w:r>
      <w:r>
        <w:rPr>
          <w:spacing w:val="40"/>
        </w:rPr>
        <w:t xml:space="preserve"> </w:t>
      </w:r>
      <w:r>
        <w:t>defined</w:t>
      </w:r>
      <w:r>
        <w:rPr>
          <w:spacing w:val="40"/>
        </w:rPr>
        <w:t xml:space="preserve"> </w:t>
      </w:r>
      <w:r>
        <w:t xml:space="preserve">contextually that such divergences occur. But which expressions? </w:t>
      </w:r>
      <w:r>
        <w:rPr>
          <w:i/>
        </w:rPr>
        <w:t>Those that cannot also be</w:t>
      </w:r>
      <w:r>
        <w:rPr>
          <w:i/>
          <w:spacing w:val="-4"/>
        </w:rPr>
        <w:t xml:space="preserve"> </w:t>
      </w:r>
      <w:r>
        <w:rPr>
          <w:i/>
        </w:rPr>
        <w:t>defined</w:t>
      </w:r>
      <w:r>
        <w:rPr>
          <w:i/>
          <w:spacing w:val="-3"/>
        </w:rPr>
        <w:t xml:space="preserve"> </w:t>
      </w:r>
      <w:r>
        <w:rPr>
          <w:i/>
        </w:rPr>
        <w:t>denotatively.</w:t>
      </w:r>
      <w:r>
        <w:rPr>
          <w:i/>
          <w:spacing w:val="-3"/>
        </w:rPr>
        <w:t xml:space="preserve"> </w:t>
      </w:r>
      <w:r>
        <w:t>Whenever</w:t>
      </w:r>
      <w:r>
        <w:rPr>
          <w:spacing w:val="-1"/>
        </w:rPr>
        <w:t xml:space="preserve"> </w:t>
      </w:r>
      <w:r>
        <w:t>an</w:t>
      </w:r>
      <w:r>
        <w:rPr>
          <w:spacing w:val="-1"/>
        </w:rPr>
        <w:t xml:space="preserve"> </w:t>
      </w:r>
      <w:r>
        <w:t>expression</w:t>
      </w:r>
      <w:r>
        <w:rPr>
          <w:spacing w:val="-1"/>
        </w:rPr>
        <w:t xml:space="preserve"> </w:t>
      </w:r>
      <w:r>
        <w:t>can</w:t>
      </w:r>
      <w:r>
        <w:rPr>
          <w:spacing w:val="-1"/>
        </w:rPr>
        <w:t xml:space="preserve"> </w:t>
      </w:r>
      <w:r>
        <w:t>be</w:t>
      </w:r>
      <w:r>
        <w:rPr>
          <w:spacing w:val="-1"/>
        </w:rPr>
        <w:t xml:space="preserve"> </w:t>
      </w:r>
      <w:r>
        <w:t>defined</w:t>
      </w:r>
      <w:r>
        <w:rPr>
          <w:spacing w:val="-1"/>
        </w:rPr>
        <w:t xml:space="preserve"> </w:t>
      </w:r>
      <w:r>
        <w:t>denotatively, a sentence’s logical form will not, by virtue of that sentence’s containing that expression,</w:t>
      </w:r>
      <w:r>
        <w:rPr>
          <w:spacing w:val="40"/>
        </w:rPr>
        <w:t xml:space="preserve"> </w:t>
      </w:r>
      <w:r>
        <w:t>diverge</w:t>
      </w:r>
      <w:r>
        <w:rPr>
          <w:spacing w:val="40"/>
        </w:rPr>
        <w:t xml:space="preserve"> </w:t>
      </w:r>
      <w:r>
        <w:t>from</w:t>
      </w:r>
      <w:r>
        <w:rPr>
          <w:spacing w:val="40"/>
        </w:rPr>
        <w:t xml:space="preserve"> </w:t>
      </w:r>
      <w:r>
        <w:t>its</w:t>
      </w:r>
      <w:r>
        <w:rPr>
          <w:spacing w:val="40"/>
        </w:rPr>
        <w:t xml:space="preserve"> </w:t>
      </w:r>
      <w:r>
        <w:t>logical</w:t>
      </w:r>
      <w:r>
        <w:rPr>
          <w:spacing w:val="40"/>
        </w:rPr>
        <w:t xml:space="preserve"> </w:t>
      </w:r>
      <w:r>
        <w:t>form.</w:t>
      </w:r>
      <w:r>
        <w:rPr>
          <w:spacing w:val="40"/>
        </w:rPr>
        <w:t xml:space="preserve"> </w:t>
      </w:r>
      <w:r>
        <w:t>(But,</w:t>
      </w:r>
      <w:r>
        <w:rPr>
          <w:spacing w:val="40"/>
        </w:rPr>
        <w:t xml:space="preserve"> </w:t>
      </w:r>
      <w:r>
        <w:t>of</w:t>
      </w:r>
      <w:r>
        <w:rPr>
          <w:spacing w:val="40"/>
        </w:rPr>
        <w:t xml:space="preserve"> </w:t>
      </w:r>
      <w:r>
        <w:t>course,</w:t>
      </w:r>
      <w:r>
        <w:rPr>
          <w:spacing w:val="40"/>
        </w:rPr>
        <w:t xml:space="preserve"> </w:t>
      </w:r>
      <w:r>
        <w:t>that</w:t>
      </w:r>
      <w:r>
        <w:rPr>
          <w:spacing w:val="40"/>
        </w:rPr>
        <w:t xml:space="preserve"> </w:t>
      </w:r>
      <w:r>
        <w:t>sentence’s logical form may diverge from its logical form for some other reason. Thus, the logical form</w:t>
      </w:r>
      <w:r>
        <w:rPr>
          <w:spacing w:val="36"/>
        </w:rPr>
        <w:t xml:space="preserve"> </w:t>
      </w:r>
      <w:r>
        <w:t>of “Socrates</w:t>
      </w:r>
      <w:r>
        <w:rPr>
          <w:spacing w:val="36"/>
        </w:rPr>
        <w:t xml:space="preserve"> </w:t>
      </w:r>
      <w:r>
        <w:t>saw someone” diverges</w:t>
      </w:r>
      <w:r>
        <w:rPr>
          <w:spacing w:val="36"/>
        </w:rPr>
        <w:t xml:space="preserve"> </w:t>
      </w:r>
      <w:r>
        <w:t>from its</w:t>
      </w:r>
      <w:r>
        <w:rPr>
          <w:spacing w:val="36"/>
        </w:rPr>
        <w:t xml:space="preserve"> </w:t>
      </w:r>
      <w:r>
        <w:t>grammatical form;</w:t>
      </w:r>
      <w:r>
        <w:rPr>
          <w:spacing w:val="40"/>
        </w:rPr>
        <w:t xml:space="preserve"> </w:t>
      </w:r>
      <w:r>
        <w:t>but</w:t>
      </w:r>
      <w:r>
        <w:rPr>
          <w:spacing w:val="40"/>
        </w:rPr>
        <w:t xml:space="preserve"> </w:t>
      </w:r>
      <w:r>
        <w:t>the</w:t>
      </w:r>
      <w:r>
        <w:rPr>
          <w:spacing w:val="40"/>
        </w:rPr>
        <w:t xml:space="preserve"> </w:t>
      </w:r>
      <w:r>
        <w:t>reason</w:t>
      </w:r>
      <w:r>
        <w:rPr>
          <w:spacing w:val="40"/>
        </w:rPr>
        <w:t xml:space="preserve"> </w:t>
      </w:r>
      <w:r>
        <w:t>for</w:t>
      </w:r>
      <w:r>
        <w:rPr>
          <w:spacing w:val="40"/>
        </w:rPr>
        <w:t xml:space="preserve"> </w:t>
      </w:r>
      <w:r>
        <w:t>this</w:t>
      </w:r>
      <w:r>
        <w:rPr>
          <w:spacing w:val="40"/>
        </w:rPr>
        <w:t xml:space="preserve"> </w:t>
      </w:r>
      <w:r>
        <w:t>is</w:t>
      </w:r>
      <w:r>
        <w:rPr>
          <w:spacing w:val="40"/>
        </w:rPr>
        <w:t xml:space="preserve"> </w:t>
      </w:r>
      <w:r>
        <w:t>that</w:t>
      </w:r>
      <w:r>
        <w:rPr>
          <w:spacing w:val="40"/>
        </w:rPr>
        <w:t xml:space="preserve"> </w:t>
      </w:r>
      <w:r>
        <w:t>it</w:t>
      </w:r>
      <w:r>
        <w:rPr>
          <w:spacing w:val="40"/>
        </w:rPr>
        <w:t xml:space="preserve"> </w:t>
      </w:r>
      <w:r>
        <w:t>contains</w:t>
      </w:r>
      <w:r>
        <w:rPr>
          <w:spacing w:val="40"/>
        </w:rPr>
        <w:t xml:space="preserve"> </w:t>
      </w:r>
      <w:r>
        <w:t>the</w:t>
      </w:r>
      <w:r>
        <w:rPr>
          <w:spacing w:val="40"/>
        </w:rPr>
        <w:t xml:space="preserve"> </w:t>
      </w:r>
      <w:r>
        <w:t>word</w:t>
      </w:r>
      <w:r>
        <w:rPr>
          <w:spacing w:val="40"/>
        </w:rPr>
        <w:t xml:space="preserve"> </w:t>
      </w:r>
      <w:r>
        <w:t>“someone.”</w:t>
      </w:r>
      <w:r>
        <w:rPr>
          <w:spacing w:val="40"/>
        </w:rPr>
        <w:t xml:space="preserve"> </w:t>
      </w:r>
      <w:r>
        <w:t>The occurrence of “Socrates” in that sentence isn’t what induces that divergence.) Let E be an arbitrary expression that can be defined denotatively. In other words,</w:t>
      </w:r>
      <w:r>
        <w:rPr>
          <w:spacing w:val="-2"/>
        </w:rPr>
        <w:t xml:space="preserve"> </w:t>
      </w:r>
      <w:r>
        <w:t>suppose</w:t>
      </w:r>
      <w:r>
        <w:rPr>
          <w:spacing w:val="-3"/>
        </w:rPr>
        <w:t xml:space="preserve"> </w:t>
      </w:r>
      <w:r>
        <w:t>there</w:t>
      </w:r>
      <w:r>
        <w:rPr>
          <w:spacing w:val="-3"/>
        </w:rPr>
        <w:t xml:space="preserve"> </w:t>
      </w:r>
      <w:r>
        <w:t>to</w:t>
      </w:r>
      <w:r>
        <w:rPr>
          <w:spacing w:val="-2"/>
        </w:rPr>
        <w:t xml:space="preserve"> </w:t>
      </w:r>
      <w:r>
        <w:t>be</w:t>
      </w:r>
      <w:r>
        <w:rPr>
          <w:spacing w:val="-3"/>
        </w:rPr>
        <w:t xml:space="preserve"> </w:t>
      </w:r>
      <w:r>
        <w:t>some</w:t>
      </w:r>
      <w:r>
        <w:rPr>
          <w:spacing w:val="-3"/>
        </w:rPr>
        <w:t xml:space="preserve"> </w:t>
      </w:r>
      <w:r>
        <w:t>object</w:t>
      </w:r>
      <w:r>
        <w:rPr>
          <w:spacing w:val="-3"/>
        </w:rPr>
        <w:t xml:space="preserve"> </w:t>
      </w:r>
      <w:r>
        <w:t>x</w:t>
      </w:r>
      <w:r>
        <w:rPr>
          <w:spacing w:val="-2"/>
        </w:rPr>
        <w:t xml:space="preserve"> </w:t>
      </w:r>
      <w:r>
        <w:t>such</w:t>
      </w:r>
      <w:r>
        <w:rPr>
          <w:spacing w:val="-2"/>
        </w:rPr>
        <w:t xml:space="preserve"> </w:t>
      </w:r>
      <w:r>
        <w:t>that</w:t>
      </w:r>
      <w:r>
        <w:rPr>
          <w:spacing w:val="-3"/>
        </w:rPr>
        <w:t xml:space="preserve"> </w:t>
      </w:r>
      <w:r>
        <w:t>E</w:t>
      </w:r>
      <w:r>
        <w:rPr>
          <w:spacing w:val="-3"/>
        </w:rPr>
        <w:t xml:space="preserve"> </w:t>
      </w:r>
      <w:r>
        <w:t>is</w:t>
      </w:r>
      <w:r>
        <w:rPr>
          <w:spacing w:val="-3"/>
        </w:rPr>
        <w:t xml:space="preserve"> </w:t>
      </w:r>
      <w:r>
        <w:t>defined</w:t>
      </w:r>
      <w:r>
        <w:rPr>
          <w:spacing w:val="-2"/>
        </w:rPr>
        <w:t xml:space="preserve"> </w:t>
      </w:r>
      <w:r>
        <w:t>by</w:t>
      </w:r>
      <w:r>
        <w:rPr>
          <w:spacing w:val="-2"/>
        </w:rPr>
        <w:t xml:space="preserve"> </w:t>
      </w:r>
      <w:r>
        <w:t>saying</w:t>
      </w:r>
      <w:r>
        <w:rPr>
          <w:spacing w:val="-2"/>
        </w:rPr>
        <w:t xml:space="preserve"> </w:t>
      </w:r>
      <w:r>
        <w:t xml:space="preserve">that it refers to x. The logical form of ‹E has psi› is: </w:t>
      </w:r>
      <w:r>
        <w:rPr>
          <w:i/>
        </w:rPr>
        <w:t xml:space="preserve">x has psi. </w:t>
      </w:r>
      <w:r>
        <w:t>In</w:t>
      </w:r>
      <w:r>
        <w:rPr>
          <w:spacing w:val="20"/>
        </w:rPr>
        <w:t xml:space="preserve"> </w:t>
      </w:r>
      <w:r>
        <w:t>general,</w:t>
      </w:r>
      <w:r>
        <w:rPr>
          <w:spacing w:val="20"/>
        </w:rPr>
        <w:t xml:space="preserve"> </w:t>
      </w:r>
      <w:r>
        <w:rPr>
          <w:i/>
        </w:rPr>
        <w:t>to</w:t>
      </w:r>
      <w:r>
        <w:rPr>
          <w:i/>
          <w:spacing w:val="28"/>
        </w:rPr>
        <w:t xml:space="preserve"> </w:t>
      </w:r>
      <w:r>
        <w:rPr>
          <w:i/>
        </w:rPr>
        <w:t>the</w:t>
      </w:r>
      <w:r>
        <w:rPr>
          <w:i/>
          <w:spacing w:val="80"/>
        </w:rPr>
        <w:t xml:space="preserve"> </w:t>
      </w:r>
      <w:r>
        <w:rPr>
          <w:i/>
        </w:rPr>
        <w:t>extent</w:t>
      </w:r>
      <w:r>
        <w:rPr>
          <w:i/>
          <w:spacing w:val="40"/>
        </w:rPr>
        <w:t xml:space="preserve"> </w:t>
      </w:r>
      <w:r>
        <w:t>that</w:t>
      </w:r>
      <w:r>
        <w:rPr>
          <w:spacing w:val="40"/>
        </w:rPr>
        <w:t xml:space="preserve"> </w:t>
      </w:r>
      <w:r>
        <w:t>the</w:t>
      </w:r>
      <w:r>
        <w:rPr>
          <w:spacing w:val="40"/>
        </w:rPr>
        <w:t xml:space="preserve"> </w:t>
      </w:r>
      <w:r>
        <w:t>logical</w:t>
      </w:r>
      <w:r>
        <w:rPr>
          <w:spacing w:val="40"/>
        </w:rPr>
        <w:t xml:space="preserve"> </w:t>
      </w:r>
      <w:r>
        <w:t>form</w:t>
      </w:r>
      <w:r>
        <w:rPr>
          <w:spacing w:val="40"/>
        </w:rPr>
        <w:t xml:space="preserve"> </w:t>
      </w:r>
      <w:r>
        <w:t>a</w:t>
      </w:r>
      <w:r>
        <w:rPr>
          <w:spacing w:val="40"/>
        </w:rPr>
        <w:t xml:space="preserve"> </w:t>
      </w:r>
      <w:r>
        <w:t>sentence</w:t>
      </w:r>
      <w:r>
        <w:rPr>
          <w:spacing w:val="40"/>
        </w:rPr>
        <w:t xml:space="preserve"> </w:t>
      </w:r>
      <w:r>
        <w:t>containing</w:t>
      </w:r>
      <w:r>
        <w:rPr>
          <w:spacing w:val="40"/>
        </w:rPr>
        <w:t xml:space="preserve"> </w:t>
      </w:r>
      <w:r>
        <w:t>E</w:t>
      </w:r>
      <w:r>
        <w:rPr>
          <w:spacing w:val="40"/>
        </w:rPr>
        <w:t xml:space="preserve"> </w:t>
      </w:r>
      <w:r>
        <w:t>is</w:t>
      </w:r>
      <w:r>
        <w:rPr>
          <w:spacing w:val="40"/>
        </w:rPr>
        <w:t xml:space="preserve"> </w:t>
      </w:r>
      <w:r>
        <w:t>determined</w:t>
      </w:r>
      <w:r>
        <w:rPr>
          <w:spacing w:val="40"/>
        </w:rPr>
        <w:t xml:space="preserve"> </w:t>
      </w:r>
      <w:r>
        <w:t>by</w:t>
      </w:r>
      <w:r>
        <w:rPr>
          <w:spacing w:val="40"/>
        </w:rPr>
        <w:t xml:space="preserve"> </w:t>
      </w:r>
      <w:r>
        <w:t>its</w:t>
      </w:r>
      <w:r>
        <w:rPr>
          <w:spacing w:val="40"/>
        </w:rPr>
        <w:t xml:space="preserve"> </w:t>
      </w:r>
      <w:r>
        <w:t>containing</w:t>
      </w:r>
      <w:r>
        <w:rPr>
          <w:spacing w:val="40"/>
        </w:rPr>
        <w:t xml:space="preserve"> </w:t>
      </w:r>
      <w:r>
        <w:t>that</w:t>
      </w:r>
      <w:r>
        <w:rPr>
          <w:spacing w:val="40"/>
        </w:rPr>
        <w:t xml:space="preserve"> </w:t>
      </w:r>
      <w:r>
        <w:t>expression,</w:t>
      </w:r>
      <w:r>
        <w:rPr>
          <w:spacing w:val="40"/>
        </w:rPr>
        <w:t xml:space="preserve"> </w:t>
      </w:r>
      <w:r>
        <w:t>that</w:t>
      </w:r>
      <w:r>
        <w:rPr>
          <w:spacing w:val="40"/>
        </w:rPr>
        <w:t xml:space="preserve"> </w:t>
      </w:r>
      <w:r>
        <w:t>sentence’s</w:t>
      </w:r>
      <w:r>
        <w:rPr>
          <w:spacing w:val="40"/>
        </w:rPr>
        <w:t xml:space="preserve"> </w:t>
      </w:r>
      <w:r>
        <w:t>logical</w:t>
      </w:r>
      <w:r>
        <w:rPr>
          <w:spacing w:val="40"/>
        </w:rPr>
        <w:t xml:space="preserve"> </w:t>
      </w:r>
      <w:r>
        <w:t>and</w:t>
      </w:r>
      <w:r>
        <w:rPr>
          <w:spacing w:val="40"/>
        </w:rPr>
        <w:t xml:space="preserve"> </w:t>
      </w:r>
      <w:r>
        <w:t>grammatical</w:t>
      </w:r>
      <w:r>
        <w:rPr>
          <w:spacing w:val="40"/>
        </w:rPr>
        <w:t xml:space="preserve"> </w:t>
      </w:r>
      <w:r>
        <w:t xml:space="preserve">forms coincide. But, since such a sentence’s logical form isn’t determined </w:t>
      </w:r>
      <w:r>
        <w:rPr>
          <w:i/>
        </w:rPr>
        <w:t xml:space="preserve">only </w:t>
      </w:r>
      <w:r>
        <w:t>by</w:t>
      </w:r>
      <w:r>
        <w:rPr>
          <w:spacing w:val="40"/>
        </w:rPr>
        <w:t xml:space="preserve"> </w:t>
      </w:r>
      <w:r>
        <w:t>its</w:t>
      </w:r>
      <w:r>
        <w:rPr>
          <w:spacing w:val="80"/>
        </w:rPr>
        <w:t xml:space="preserve"> </w:t>
      </w:r>
      <w:r>
        <w:t>containing</w:t>
      </w:r>
      <w:r>
        <w:rPr>
          <w:spacing w:val="80"/>
        </w:rPr>
        <w:t xml:space="preserve"> </w:t>
      </w:r>
      <w:r>
        <w:t>E,</w:t>
      </w:r>
      <w:r>
        <w:rPr>
          <w:spacing w:val="80"/>
        </w:rPr>
        <w:t xml:space="preserve"> </w:t>
      </w:r>
      <w:r>
        <w:t>and</w:t>
      </w:r>
      <w:r>
        <w:rPr>
          <w:spacing w:val="80"/>
        </w:rPr>
        <w:t xml:space="preserve"> </w:t>
      </w:r>
      <w:r>
        <w:t>is</w:t>
      </w:r>
      <w:r>
        <w:rPr>
          <w:spacing w:val="80"/>
        </w:rPr>
        <w:t xml:space="preserve"> </w:t>
      </w:r>
      <w:r>
        <w:t>also</w:t>
      </w:r>
      <w:r>
        <w:rPr>
          <w:spacing w:val="80"/>
        </w:rPr>
        <w:t xml:space="preserve"> </w:t>
      </w:r>
      <w:r>
        <w:t>a</w:t>
      </w:r>
      <w:r>
        <w:rPr>
          <w:spacing w:val="80"/>
        </w:rPr>
        <w:t xml:space="preserve"> </w:t>
      </w:r>
      <w:r>
        <w:t>function</w:t>
      </w:r>
      <w:r>
        <w:rPr>
          <w:spacing w:val="80"/>
        </w:rPr>
        <w:t xml:space="preserve"> </w:t>
      </w:r>
      <w:r>
        <w:t>of</w:t>
      </w:r>
      <w:r>
        <w:rPr>
          <w:spacing w:val="80"/>
        </w:rPr>
        <w:t xml:space="preserve"> </w:t>
      </w:r>
      <w:r>
        <w:t>the</w:t>
      </w:r>
      <w:r>
        <w:rPr>
          <w:spacing w:val="80"/>
        </w:rPr>
        <w:t xml:space="preserve"> </w:t>
      </w:r>
      <w:r>
        <w:t>semantics</w:t>
      </w:r>
      <w:r>
        <w:rPr>
          <w:spacing w:val="80"/>
        </w:rPr>
        <w:t xml:space="preserve"> </w:t>
      </w:r>
      <w:r>
        <w:t>of</w:t>
      </w:r>
      <w:r>
        <w:rPr>
          <w:spacing w:val="80"/>
        </w:rPr>
        <w:t xml:space="preserve"> </w:t>
      </w:r>
      <w:r>
        <w:t>the</w:t>
      </w:r>
      <w:r>
        <w:rPr>
          <w:spacing w:val="80"/>
        </w:rPr>
        <w:t xml:space="preserve"> </w:t>
      </w:r>
      <w:r>
        <w:t>other expressions</w:t>
      </w:r>
      <w:r>
        <w:rPr>
          <w:spacing w:val="40"/>
        </w:rPr>
        <w:t xml:space="preserve"> </w:t>
      </w:r>
      <w:r>
        <w:t>occurring</w:t>
      </w:r>
      <w:r>
        <w:rPr>
          <w:spacing w:val="40"/>
        </w:rPr>
        <w:t xml:space="preserve"> </w:t>
      </w:r>
      <w:r>
        <w:t>it,</w:t>
      </w:r>
      <w:r>
        <w:rPr>
          <w:spacing w:val="40"/>
        </w:rPr>
        <w:t xml:space="preserve"> </w:t>
      </w:r>
      <w:r>
        <w:t>its</w:t>
      </w:r>
      <w:r>
        <w:rPr>
          <w:spacing w:val="40"/>
        </w:rPr>
        <w:t xml:space="preserve"> </w:t>
      </w:r>
      <w:r>
        <w:t>grammatical</w:t>
      </w:r>
      <w:r>
        <w:rPr>
          <w:spacing w:val="40"/>
        </w:rPr>
        <w:t xml:space="preserve"> </w:t>
      </w:r>
      <w:r>
        <w:t>form</w:t>
      </w:r>
      <w:r>
        <w:rPr>
          <w:spacing w:val="40"/>
        </w:rPr>
        <w:t xml:space="preserve"> </w:t>
      </w:r>
      <w:r>
        <w:t>may</w:t>
      </w:r>
      <w:r>
        <w:rPr>
          <w:spacing w:val="40"/>
        </w:rPr>
        <w:t xml:space="preserve"> </w:t>
      </w:r>
      <w:r>
        <w:t>still</w:t>
      </w:r>
      <w:r>
        <w:rPr>
          <w:spacing w:val="40"/>
        </w:rPr>
        <w:t xml:space="preserve"> </w:t>
      </w:r>
      <w:r>
        <w:t>diverge</w:t>
      </w:r>
      <w:r>
        <w:rPr>
          <w:spacing w:val="40"/>
        </w:rPr>
        <w:t xml:space="preserve"> </w:t>
      </w:r>
      <w:r>
        <w:t>from</w:t>
      </w:r>
      <w:r>
        <w:rPr>
          <w:spacing w:val="40"/>
        </w:rPr>
        <w:t xml:space="preserve"> </w:t>
      </w:r>
      <w:r>
        <w:t>its</w:t>
      </w:r>
      <w:r>
        <w:rPr>
          <w:spacing w:val="40"/>
        </w:rPr>
        <w:t xml:space="preserve"> </w:t>
      </w:r>
      <w:r>
        <w:t>logical</w:t>
      </w:r>
      <w:r>
        <w:rPr>
          <w:spacing w:val="80"/>
        </w:rPr>
        <w:t xml:space="preserve"> </w:t>
      </w:r>
      <w:r>
        <w:t>form.</w:t>
      </w:r>
      <w:r>
        <w:rPr>
          <w:spacing w:val="80"/>
        </w:rPr>
        <w:t xml:space="preserve"> </w:t>
      </w:r>
      <w:r>
        <w:t>After</w:t>
      </w:r>
      <w:r>
        <w:rPr>
          <w:spacing w:val="80"/>
        </w:rPr>
        <w:t xml:space="preserve"> </w:t>
      </w:r>
      <w:r>
        <w:t>all</w:t>
      </w:r>
      <w:r>
        <w:rPr>
          <w:spacing w:val="80"/>
        </w:rPr>
        <w:t xml:space="preserve"> </w:t>
      </w:r>
      <w:r>
        <w:t>such</w:t>
      </w:r>
      <w:r>
        <w:rPr>
          <w:spacing w:val="80"/>
        </w:rPr>
        <w:t xml:space="preserve"> </w:t>
      </w:r>
      <w:r>
        <w:t>a</w:t>
      </w:r>
      <w:r>
        <w:rPr>
          <w:spacing w:val="80"/>
        </w:rPr>
        <w:t xml:space="preserve"> </w:t>
      </w:r>
      <w:r>
        <w:t>sentence</w:t>
      </w:r>
      <w:r>
        <w:rPr>
          <w:spacing w:val="80"/>
        </w:rPr>
        <w:t xml:space="preserve"> </w:t>
      </w:r>
      <w:r>
        <w:t>may</w:t>
      </w:r>
      <w:r>
        <w:rPr>
          <w:spacing w:val="80"/>
        </w:rPr>
        <w:t xml:space="preserve"> </w:t>
      </w:r>
      <w:r>
        <w:t>contain</w:t>
      </w:r>
      <w:r>
        <w:rPr>
          <w:spacing w:val="80"/>
        </w:rPr>
        <w:t xml:space="preserve"> </w:t>
      </w:r>
      <w:r>
        <w:t>an</w:t>
      </w:r>
      <w:r>
        <w:rPr>
          <w:spacing w:val="80"/>
        </w:rPr>
        <w:t xml:space="preserve"> </w:t>
      </w:r>
      <w:r>
        <w:t>occurrence</w:t>
      </w:r>
      <w:r>
        <w:rPr>
          <w:spacing w:val="80"/>
        </w:rPr>
        <w:t xml:space="preserve"> </w:t>
      </w:r>
      <w:r>
        <w:t>of</w:t>
      </w:r>
      <w:r>
        <w:rPr>
          <w:spacing w:val="40"/>
        </w:rPr>
        <w:t xml:space="preserve"> </w:t>
      </w:r>
      <w:r>
        <w:t>“someone”</w:t>
      </w:r>
      <w:r>
        <w:rPr>
          <w:spacing w:val="59"/>
          <w:w w:val="150"/>
        </w:rPr>
        <w:t xml:space="preserve"> </w:t>
      </w:r>
      <w:r>
        <w:t>or</w:t>
      </w:r>
      <w:r>
        <w:rPr>
          <w:spacing w:val="61"/>
          <w:w w:val="150"/>
        </w:rPr>
        <w:t xml:space="preserve"> </w:t>
      </w:r>
      <w:r>
        <w:t>“nobody”</w:t>
      </w:r>
      <w:r>
        <w:rPr>
          <w:spacing w:val="61"/>
          <w:w w:val="150"/>
        </w:rPr>
        <w:t xml:space="preserve"> </w:t>
      </w:r>
      <w:r>
        <w:t>or</w:t>
      </w:r>
      <w:r>
        <w:rPr>
          <w:spacing w:val="61"/>
          <w:w w:val="150"/>
        </w:rPr>
        <w:t xml:space="preserve"> </w:t>
      </w:r>
      <w:r>
        <w:t>some</w:t>
      </w:r>
      <w:r>
        <w:rPr>
          <w:spacing w:val="63"/>
          <w:w w:val="150"/>
        </w:rPr>
        <w:t xml:space="preserve"> </w:t>
      </w:r>
      <w:r>
        <w:t>other</w:t>
      </w:r>
      <w:r>
        <w:rPr>
          <w:spacing w:val="61"/>
          <w:w w:val="150"/>
        </w:rPr>
        <w:t xml:space="preserve"> </w:t>
      </w:r>
      <w:r>
        <w:t>expression</w:t>
      </w:r>
      <w:r>
        <w:rPr>
          <w:spacing w:val="61"/>
          <w:w w:val="150"/>
        </w:rPr>
        <w:t xml:space="preserve"> </w:t>
      </w:r>
      <w:r>
        <w:t>that</w:t>
      </w:r>
      <w:r>
        <w:rPr>
          <w:spacing w:val="61"/>
          <w:w w:val="150"/>
        </w:rPr>
        <w:t xml:space="preserve"> </w:t>
      </w:r>
      <w:r>
        <w:t>induces</w:t>
      </w:r>
      <w:r>
        <w:rPr>
          <w:spacing w:val="61"/>
          <w:w w:val="150"/>
        </w:rPr>
        <w:t xml:space="preserve"> </w:t>
      </w:r>
      <w:r>
        <w:t>such</w:t>
      </w:r>
      <w:r>
        <w:rPr>
          <w:spacing w:val="62"/>
          <w:w w:val="150"/>
        </w:rPr>
        <w:t xml:space="preserve"> </w:t>
      </w:r>
      <w:r>
        <w:rPr>
          <w:spacing w:val="-10"/>
        </w:rPr>
        <w:t>a</w:t>
      </w:r>
    </w:p>
    <w:p w14:paraId="7E000D53" w14:textId="77777777" w:rsidR="009A58DB" w:rsidRDefault="00000000">
      <w:pPr>
        <w:pStyle w:val="BodyText"/>
        <w:spacing w:before="23"/>
        <w:jc w:val="left"/>
      </w:pPr>
      <w:r>
        <w:rPr>
          <w:spacing w:val="-2"/>
        </w:rPr>
        <w:t>divergence.</w:t>
      </w:r>
    </w:p>
    <w:p w14:paraId="7E000D54" w14:textId="77777777" w:rsidR="009A58DB" w:rsidRDefault="00000000">
      <w:pPr>
        <w:pStyle w:val="Heading1"/>
        <w:numPr>
          <w:ilvl w:val="1"/>
          <w:numId w:val="182"/>
        </w:numPr>
        <w:tabs>
          <w:tab w:val="left" w:pos="1187"/>
          <w:tab w:val="left" w:pos="2817"/>
          <w:tab w:val="left" w:pos="5661"/>
          <w:tab w:val="left" w:pos="6312"/>
          <w:tab w:val="left" w:pos="7174"/>
          <w:tab w:val="left" w:pos="8852"/>
          <w:tab w:val="left" w:pos="9504"/>
        </w:tabs>
        <w:ind w:left="1187" w:hanging="827"/>
      </w:pPr>
      <w:r>
        <w:rPr>
          <w:spacing w:val="-2"/>
        </w:rPr>
        <w:t>Frege’s</w:t>
      </w:r>
      <w:r>
        <w:tab/>
      </w:r>
      <w:r>
        <w:rPr>
          <w:spacing w:val="-2"/>
        </w:rPr>
        <w:t>generalization</w:t>
      </w:r>
      <w:r>
        <w:tab/>
      </w:r>
      <w:r>
        <w:rPr>
          <w:spacing w:val="-5"/>
        </w:rPr>
        <w:t>of</w:t>
      </w:r>
      <w:r>
        <w:tab/>
      </w:r>
      <w:r>
        <w:rPr>
          <w:spacing w:val="-5"/>
        </w:rPr>
        <w:t>the</w:t>
      </w:r>
      <w:r>
        <w:tab/>
      </w:r>
      <w:r>
        <w:rPr>
          <w:spacing w:val="-2"/>
        </w:rPr>
        <w:t>concept</w:t>
      </w:r>
      <w:r>
        <w:tab/>
      </w:r>
      <w:r>
        <w:rPr>
          <w:spacing w:val="-5"/>
        </w:rPr>
        <w:t>of</w:t>
      </w:r>
      <w:r>
        <w:tab/>
      </w:r>
      <w:r>
        <w:rPr>
          <w:spacing w:val="-10"/>
        </w:rPr>
        <w:t>a</w:t>
      </w:r>
    </w:p>
    <w:p w14:paraId="7E000D55" w14:textId="77777777" w:rsidR="009A58DB" w:rsidRDefault="009A58DB">
      <w:pPr>
        <w:pStyle w:val="Heading1"/>
        <w:sectPr w:rsidR="009A58DB">
          <w:pgSz w:w="12240" w:h="15840"/>
          <w:pgMar w:top="1380" w:right="1080" w:bottom="280" w:left="1080" w:header="720" w:footer="720" w:gutter="0"/>
          <w:cols w:space="720"/>
        </w:sectPr>
      </w:pPr>
    </w:p>
    <w:p w14:paraId="7E000D56" w14:textId="77777777" w:rsidR="009A58DB" w:rsidRDefault="00000000">
      <w:pPr>
        <w:spacing w:before="53"/>
        <w:ind w:left="360"/>
        <w:rPr>
          <w:b/>
          <w:position w:val="30"/>
          <w:sz w:val="42"/>
        </w:rPr>
      </w:pPr>
      <w:r>
        <w:rPr>
          <w:b/>
          <w:spacing w:val="-2"/>
          <w:sz w:val="42"/>
        </w:rPr>
        <w:lastRenderedPageBreak/>
        <w:t>functio</w:t>
      </w:r>
      <w:bookmarkStart w:id="162" w:name="_bookmark162"/>
      <w:bookmarkEnd w:id="162"/>
      <w:r>
        <w:rPr>
          <w:b/>
          <w:spacing w:val="-2"/>
          <w:sz w:val="42"/>
        </w:rPr>
        <w:t>n</w:t>
      </w:r>
      <w:r>
        <w:rPr>
          <w:b/>
          <w:color w:val="0562C1"/>
          <w:spacing w:val="-2"/>
          <w:position w:val="30"/>
          <w:sz w:val="42"/>
          <w:u w:val="single" w:color="0562C1"/>
        </w:rPr>
        <w:t>[96]</w:t>
      </w:r>
    </w:p>
    <w:p w14:paraId="7E000D57" w14:textId="77777777" w:rsidR="009A58DB" w:rsidRDefault="00000000">
      <w:pPr>
        <w:pStyle w:val="BodyText"/>
        <w:spacing w:before="144" w:line="249" w:lineRule="auto"/>
        <w:ind w:right="368"/>
        <w:rPr>
          <w:b/>
          <w:i/>
        </w:rPr>
      </w:pPr>
      <w:r>
        <w:t xml:space="preserve">As we’ll see in Chapter 7, what made it possible for Frege to revolutionize logic was his insight that grammatical and logical form diverge; and what made the latter insight possible was his generalization of the concept of a mathematical </w:t>
      </w:r>
      <w:r>
        <w:rPr>
          <w:b/>
          <w:i/>
        </w:rPr>
        <w:t>function.</w:t>
      </w:r>
    </w:p>
    <w:p w14:paraId="7E000D58" w14:textId="77777777" w:rsidR="009A58DB" w:rsidRDefault="00000000">
      <w:pPr>
        <w:pStyle w:val="BodyText"/>
        <w:spacing w:before="5" w:line="249" w:lineRule="auto"/>
        <w:ind w:right="362" w:firstLine="360"/>
      </w:pPr>
      <w:r>
        <w:t>A mathematical function is a rule that assigns no more than one object to each object falling in a given class. (So “+1” can be thought of as expressing a function or rule that assigns 2 to 1, 3 to 2, etc.)</w:t>
      </w:r>
    </w:p>
    <w:p w14:paraId="7E000D59" w14:textId="77777777" w:rsidR="009A58DB" w:rsidRDefault="00000000">
      <w:pPr>
        <w:pStyle w:val="BodyText"/>
        <w:spacing w:before="3" w:line="324" w:lineRule="auto"/>
        <w:ind w:right="3378" w:firstLine="360"/>
      </w:pPr>
      <w:r>
        <w:t>According</w:t>
      </w:r>
      <w:r>
        <w:rPr>
          <w:spacing w:val="-6"/>
        </w:rPr>
        <w:t xml:space="preserve"> </w:t>
      </w:r>
      <w:r>
        <w:t>to</w:t>
      </w:r>
      <w:r>
        <w:rPr>
          <w:spacing w:val="-6"/>
        </w:rPr>
        <w:t xml:space="preserve"> </w:t>
      </w:r>
      <w:r>
        <w:t>Frege,</w:t>
      </w:r>
      <w:r>
        <w:rPr>
          <w:spacing w:val="-6"/>
        </w:rPr>
        <w:t xml:space="preserve"> </w:t>
      </w:r>
      <w:r>
        <w:t>the</w:t>
      </w:r>
      <w:r>
        <w:rPr>
          <w:spacing w:val="-6"/>
        </w:rPr>
        <w:t xml:space="preserve"> </w:t>
      </w:r>
      <w:r>
        <w:t>occurrence</w:t>
      </w:r>
      <w:r>
        <w:rPr>
          <w:spacing w:val="-6"/>
        </w:rPr>
        <w:t xml:space="preserve"> </w:t>
      </w:r>
      <w:r>
        <w:t>of</w:t>
      </w:r>
      <w:r>
        <w:rPr>
          <w:spacing w:val="-6"/>
        </w:rPr>
        <w:t xml:space="preserve"> </w:t>
      </w:r>
      <w:r>
        <w:t>“snores”</w:t>
      </w:r>
      <w:r>
        <w:rPr>
          <w:spacing w:val="-6"/>
        </w:rPr>
        <w:t xml:space="preserve"> </w:t>
      </w:r>
      <w:r>
        <w:t>in (PS) “Plato snores”</w:t>
      </w:r>
    </w:p>
    <w:p w14:paraId="7E000D5A" w14:textId="77777777" w:rsidR="009A58DB" w:rsidRDefault="00000000">
      <w:pPr>
        <w:pStyle w:val="BodyText"/>
        <w:spacing w:line="329" w:lineRule="exact"/>
      </w:pPr>
      <w:r>
        <w:t>is</w:t>
      </w:r>
      <w:r>
        <w:rPr>
          <w:spacing w:val="8"/>
        </w:rPr>
        <w:t xml:space="preserve"> </w:t>
      </w:r>
      <w:r>
        <w:t>best</w:t>
      </w:r>
      <w:r>
        <w:rPr>
          <w:spacing w:val="10"/>
        </w:rPr>
        <w:t xml:space="preserve"> </w:t>
      </w:r>
      <w:r>
        <w:t>represented</w:t>
      </w:r>
      <w:r>
        <w:rPr>
          <w:spacing w:val="11"/>
        </w:rPr>
        <w:t xml:space="preserve"> </w:t>
      </w:r>
      <w:r>
        <w:t>as</w:t>
      </w:r>
      <w:r>
        <w:rPr>
          <w:spacing w:val="10"/>
        </w:rPr>
        <w:t xml:space="preserve"> </w:t>
      </w:r>
      <w:r>
        <w:t>the</w:t>
      </w:r>
      <w:r>
        <w:rPr>
          <w:spacing w:val="10"/>
        </w:rPr>
        <w:t xml:space="preserve"> </w:t>
      </w:r>
      <w:r>
        <w:t>open</w:t>
      </w:r>
      <w:r>
        <w:rPr>
          <w:spacing w:val="11"/>
        </w:rPr>
        <w:t xml:space="preserve"> </w:t>
      </w:r>
      <w:r>
        <w:t>sentence</w:t>
      </w:r>
      <w:r>
        <w:rPr>
          <w:spacing w:val="10"/>
        </w:rPr>
        <w:t xml:space="preserve"> </w:t>
      </w:r>
      <w:r>
        <w:t>‹x</w:t>
      </w:r>
      <w:r>
        <w:rPr>
          <w:spacing w:val="11"/>
        </w:rPr>
        <w:t xml:space="preserve"> </w:t>
      </w:r>
      <w:r>
        <w:t>snores›;</w:t>
      </w:r>
      <w:r>
        <w:rPr>
          <w:spacing w:val="10"/>
        </w:rPr>
        <w:t xml:space="preserve"> </w:t>
      </w:r>
      <w:r>
        <w:t>and</w:t>
      </w:r>
      <w:r>
        <w:rPr>
          <w:spacing w:val="10"/>
        </w:rPr>
        <w:t xml:space="preserve"> </w:t>
      </w:r>
      <w:r>
        <w:t>that</w:t>
      </w:r>
      <w:r>
        <w:rPr>
          <w:spacing w:val="11"/>
        </w:rPr>
        <w:t xml:space="preserve"> </w:t>
      </w:r>
      <w:r>
        <w:t>open</w:t>
      </w:r>
      <w:r>
        <w:rPr>
          <w:spacing w:val="10"/>
        </w:rPr>
        <w:t xml:space="preserve"> </w:t>
      </w:r>
      <w:r>
        <w:t>sentence</w:t>
      </w:r>
      <w:r>
        <w:rPr>
          <w:spacing w:val="12"/>
        </w:rPr>
        <w:t xml:space="preserve"> </w:t>
      </w:r>
      <w:r>
        <w:rPr>
          <w:spacing w:val="-5"/>
        </w:rPr>
        <w:t>is</w:t>
      </w:r>
    </w:p>
    <w:p w14:paraId="7E000D5B" w14:textId="77777777" w:rsidR="009A58DB" w:rsidRDefault="00000000">
      <w:pPr>
        <w:pStyle w:val="BodyText"/>
        <w:spacing w:before="15" w:line="249" w:lineRule="auto"/>
        <w:ind w:right="359"/>
      </w:pPr>
      <w:r>
        <w:t xml:space="preserve">best thought of as expressing a function that assigns the truth-value </w:t>
      </w:r>
      <w:r>
        <w:rPr>
          <w:i/>
        </w:rPr>
        <w:t xml:space="preserve">true </w:t>
      </w:r>
      <w:r>
        <w:t xml:space="preserve">to each snorer and the truth-value </w:t>
      </w:r>
      <w:r>
        <w:rPr>
          <w:i/>
        </w:rPr>
        <w:t xml:space="preserve">false </w:t>
      </w:r>
      <w:r>
        <w:t xml:space="preserve">to each thing that doesn’t snore. (For brevity’s sake, I’ll henceforth use the words “truth” and “falsehood” instead of, respectively, “the truth-value </w:t>
      </w:r>
      <w:r>
        <w:rPr>
          <w:i/>
        </w:rPr>
        <w:t>true</w:t>
      </w:r>
      <w:r>
        <w:t xml:space="preserve">” and “the truth-value </w:t>
      </w:r>
      <w:r>
        <w:rPr>
          <w:i/>
        </w:rPr>
        <w:t>false.</w:t>
      </w:r>
      <w:r>
        <w:t>”)</w:t>
      </w:r>
    </w:p>
    <w:p w14:paraId="7E000D5C" w14:textId="77777777" w:rsidR="009A58DB" w:rsidRDefault="00000000">
      <w:pPr>
        <w:pStyle w:val="BodyText"/>
        <w:spacing w:before="5" w:line="249" w:lineRule="auto"/>
        <w:ind w:right="361" w:firstLine="360"/>
      </w:pPr>
      <w:r>
        <w:t>Here’s the idea. A true sentence results if the variable in ‹x is even› is replaced with an expression denoting an even number and false if it’s replaced with a number that doesn’t denote such a number. (“2 is even” is true and “3 is even” is false.) So we can think of ‹x is even› as assigning truth to</w:t>
      </w:r>
      <w:r>
        <w:rPr>
          <w:spacing w:val="-3"/>
        </w:rPr>
        <w:t xml:space="preserve"> </w:t>
      </w:r>
      <w:r>
        <w:t>two,</w:t>
      </w:r>
      <w:r>
        <w:rPr>
          <w:spacing w:val="-3"/>
        </w:rPr>
        <w:t xml:space="preserve"> </w:t>
      </w:r>
      <w:r>
        <w:t>four,</w:t>
      </w:r>
      <w:r>
        <w:rPr>
          <w:spacing w:val="-3"/>
        </w:rPr>
        <w:t xml:space="preserve"> </w:t>
      </w:r>
      <w:r>
        <w:t>etc.,</w:t>
      </w:r>
      <w:r>
        <w:rPr>
          <w:spacing w:val="-3"/>
        </w:rPr>
        <w:t xml:space="preserve"> </w:t>
      </w:r>
      <w:r>
        <w:t>and</w:t>
      </w:r>
      <w:r>
        <w:rPr>
          <w:spacing w:val="-3"/>
        </w:rPr>
        <w:t xml:space="preserve"> </w:t>
      </w:r>
      <w:r>
        <w:t>falsity</w:t>
      </w:r>
      <w:r>
        <w:rPr>
          <w:spacing w:val="-3"/>
        </w:rPr>
        <w:t xml:space="preserve"> </w:t>
      </w:r>
      <w:r>
        <w:t>to</w:t>
      </w:r>
      <w:r>
        <w:rPr>
          <w:spacing w:val="-3"/>
        </w:rPr>
        <w:t xml:space="preserve"> </w:t>
      </w:r>
      <w:r>
        <w:t>one,</w:t>
      </w:r>
      <w:r>
        <w:rPr>
          <w:spacing w:val="-3"/>
        </w:rPr>
        <w:t xml:space="preserve"> </w:t>
      </w:r>
      <w:r>
        <w:t>three,</w:t>
      </w:r>
      <w:r>
        <w:rPr>
          <w:spacing w:val="-3"/>
        </w:rPr>
        <w:t xml:space="preserve"> </w:t>
      </w:r>
      <w:r>
        <w:t>etc.</w:t>
      </w:r>
      <w:r>
        <w:rPr>
          <w:spacing w:val="-3"/>
        </w:rPr>
        <w:t xml:space="preserve"> </w:t>
      </w:r>
      <w:r>
        <w:t>For</w:t>
      </w:r>
      <w:r>
        <w:rPr>
          <w:spacing w:val="-4"/>
        </w:rPr>
        <w:t xml:space="preserve"> </w:t>
      </w:r>
      <w:r>
        <w:t>similar</w:t>
      </w:r>
      <w:r>
        <w:rPr>
          <w:spacing w:val="-4"/>
        </w:rPr>
        <w:t xml:space="preserve"> </w:t>
      </w:r>
      <w:r>
        <w:t>reasons,</w:t>
      </w:r>
      <w:r>
        <w:rPr>
          <w:spacing w:val="-3"/>
        </w:rPr>
        <w:t xml:space="preserve"> </w:t>
      </w:r>
      <w:r>
        <w:t>we</w:t>
      </w:r>
      <w:r>
        <w:rPr>
          <w:spacing w:val="-4"/>
        </w:rPr>
        <w:t xml:space="preserve"> </w:t>
      </w:r>
      <w:r>
        <w:t>can</w:t>
      </w:r>
      <w:r>
        <w:rPr>
          <w:spacing w:val="-3"/>
        </w:rPr>
        <w:t xml:space="preserve"> </w:t>
      </w:r>
      <w:r>
        <w:t>see</w:t>
      </w:r>
    </w:p>
    <w:p w14:paraId="7E000D5D" w14:textId="77777777" w:rsidR="009A58DB" w:rsidRDefault="00000000">
      <w:pPr>
        <w:pStyle w:val="BodyText"/>
        <w:spacing w:before="6" w:line="249" w:lineRule="auto"/>
        <w:ind w:right="358"/>
      </w:pPr>
      <w:r>
        <w:t>‹x snores› as assigning truth to snorer Bob and falsehood to non-snorer Wilma, and so on.</w:t>
      </w:r>
    </w:p>
    <w:p w14:paraId="7E000D5E" w14:textId="77777777" w:rsidR="009A58DB" w:rsidRDefault="00000000">
      <w:pPr>
        <w:pStyle w:val="BodyText"/>
        <w:spacing w:before="3" w:line="324" w:lineRule="auto"/>
        <w:ind w:right="3812" w:firstLine="360"/>
      </w:pPr>
      <w:r>
        <w:t>Frege</w:t>
      </w:r>
      <w:r>
        <w:rPr>
          <w:spacing w:val="-5"/>
        </w:rPr>
        <w:t xml:space="preserve"> </w:t>
      </w:r>
      <w:r>
        <w:t>sees</w:t>
      </w:r>
      <w:r>
        <w:rPr>
          <w:spacing w:val="-5"/>
        </w:rPr>
        <w:t xml:space="preserve"> </w:t>
      </w:r>
      <w:r>
        <w:t>the</w:t>
      </w:r>
      <w:r>
        <w:rPr>
          <w:spacing w:val="-5"/>
        </w:rPr>
        <w:t xml:space="preserve"> </w:t>
      </w:r>
      <w:r>
        <w:t>occurrence</w:t>
      </w:r>
      <w:r>
        <w:rPr>
          <w:spacing w:val="-5"/>
        </w:rPr>
        <w:t xml:space="preserve"> </w:t>
      </w:r>
      <w:r>
        <w:t>of</w:t>
      </w:r>
      <w:r>
        <w:rPr>
          <w:spacing w:val="-5"/>
        </w:rPr>
        <w:t xml:space="preserve"> </w:t>
      </w:r>
      <w:r>
        <w:t>“is</w:t>
      </w:r>
      <w:r>
        <w:rPr>
          <w:spacing w:val="-5"/>
        </w:rPr>
        <w:t xml:space="preserve"> </w:t>
      </w:r>
      <w:r>
        <w:t>taller</w:t>
      </w:r>
      <w:r>
        <w:rPr>
          <w:spacing w:val="-5"/>
        </w:rPr>
        <w:t xml:space="preserve"> </w:t>
      </w:r>
      <w:r>
        <w:t>than”</w:t>
      </w:r>
      <w:r>
        <w:rPr>
          <w:spacing w:val="-5"/>
        </w:rPr>
        <w:t xml:space="preserve"> </w:t>
      </w:r>
      <w:r>
        <w:t>in (BTM) “Bill is taller than Mary”</w:t>
      </w:r>
    </w:p>
    <w:p w14:paraId="7E000D5F" w14:textId="77777777" w:rsidR="009A58DB" w:rsidRDefault="00000000">
      <w:pPr>
        <w:pStyle w:val="BodyText"/>
        <w:spacing w:line="249" w:lineRule="auto"/>
        <w:ind w:right="361"/>
      </w:pPr>
      <w:r>
        <w:t xml:space="preserve">as being identical with the open sentence ‹x is taller than y›, and he sees that open sentences as expressing a function that assigns truth-values to </w:t>
      </w:r>
      <w:r>
        <w:rPr>
          <w:i/>
        </w:rPr>
        <w:t>ordered pairs</w:t>
      </w:r>
      <w:r>
        <w:rPr>
          <w:i/>
          <w:spacing w:val="-3"/>
        </w:rPr>
        <w:t xml:space="preserve"> </w:t>
      </w:r>
      <w:r>
        <w:t>of objects. So ‹x is taller than y› assigns truth to the ordered pair &lt;x, y&gt; if x is taller than y and otherwise assigns falsehood to that pair.</w:t>
      </w:r>
    </w:p>
    <w:p w14:paraId="7E000D60" w14:textId="77777777" w:rsidR="009A58DB" w:rsidRDefault="00000000">
      <w:pPr>
        <w:pStyle w:val="BodyText"/>
        <w:spacing w:before="3"/>
        <w:ind w:left="720"/>
      </w:pPr>
      <w:r>
        <w:t>Frege</w:t>
      </w:r>
      <w:r>
        <w:rPr>
          <w:spacing w:val="-4"/>
        </w:rPr>
        <w:t xml:space="preserve"> </w:t>
      </w:r>
      <w:r>
        <w:rPr>
          <w:spacing w:val="-2"/>
        </w:rPr>
        <w:t>treats:</w:t>
      </w:r>
    </w:p>
    <w:p w14:paraId="7E000D61" w14:textId="77777777" w:rsidR="009A58DB" w:rsidRDefault="00000000">
      <w:pPr>
        <w:pStyle w:val="BodyText"/>
        <w:spacing w:before="105"/>
      </w:pPr>
      <w:r>
        <w:t>(BJMP)</w:t>
      </w:r>
      <w:r>
        <w:rPr>
          <w:spacing w:val="-7"/>
        </w:rPr>
        <w:t xml:space="preserve"> </w:t>
      </w:r>
      <w:r>
        <w:t>“Bill</w:t>
      </w:r>
      <w:r>
        <w:rPr>
          <w:spacing w:val="-4"/>
        </w:rPr>
        <w:t xml:space="preserve"> </w:t>
      </w:r>
      <w:r>
        <w:t>is</w:t>
      </w:r>
      <w:r>
        <w:rPr>
          <w:spacing w:val="-4"/>
        </w:rPr>
        <w:t xml:space="preserve"> </w:t>
      </w:r>
      <w:r>
        <w:t>standing</w:t>
      </w:r>
      <w:r>
        <w:rPr>
          <w:spacing w:val="-4"/>
        </w:rPr>
        <w:t xml:space="preserve"> </w:t>
      </w:r>
      <w:r>
        <w:t>between</w:t>
      </w:r>
      <w:r>
        <w:rPr>
          <w:spacing w:val="-3"/>
        </w:rPr>
        <w:t xml:space="preserve"> </w:t>
      </w:r>
      <w:r>
        <w:t>Mary</w:t>
      </w:r>
      <w:r>
        <w:rPr>
          <w:spacing w:val="-3"/>
        </w:rPr>
        <w:t xml:space="preserve"> </w:t>
      </w:r>
      <w:r>
        <w:t>and</w:t>
      </w:r>
      <w:r>
        <w:rPr>
          <w:spacing w:val="-3"/>
        </w:rPr>
        <w:t xml:space="preserve"> </w:t>
      </w:r>
      <w:r>
        <w:rPr>
          <w:spacing w:val="-2"/>
        </w:rPr>
        <w:t>John”</w:t>
      </w:r>
    </w:p>
    <w:p w14:paraId="7E000D62" w14:textId="77777777" w:rsidR="009A58DB" w:rsidRDefault="00000000">
      <w:pPr>
        <w:pStyle w:val="BodyText"/>
        <w:spacing w:before="120" w:line="249" w:lineRule="auto"/>
        <w:ind w:right="361"/>
      </w:pPr>
      <w:r>
        <w:t>as comprising the open-sentence ‹x is standing between y and z›; and he sees that</w:t>
      </w:r>
      <w:r>
        <w:rPr>
          <w:spacing w:val="66"/>
        </w:rPr>
        <w:t xml:space="preserve"> </w:t>
      </w:r>
      <w:r>
        <w:t>open</w:t>
      </w:r>
      <w:r>
        <w:rPr>
          <w:spacing w:val="66"/>
        </w:rPr>
        <w:t xml:space="preserve"> </w:t>
      </w:r>
      <w:r>
        <w:t>sentence</w:t>
      </w:r>
      <w:r>
        <w:rPr>
          <w:spacing w:val="66"/>
        </w:rPr>
        <w:t xml:space="preserve"> </w:t>
      </w:r>
      <w:r>
        <w:t>as</w:t>
      </w:r>
      <w:r>
        <w:rPr>
          <w:spacing w:val="66"/>
        </w:rPr>
        <w:t xml:space="preserve"> </w:t>
      </w:r>
      <w:r>
        <w:t>expression</w:t>
      </w:r>
      <w:r>
        <w:rPr>
          <w:spacing w:val="66"/>
        </w:rPr>
        <w:t xml:space="preserve"> </w:t>
      </w:r>
      <w:r>
        <w:t>a</w:t>
      </w:r>
      <w:r>
        <w:rPr>
          <w:spacing w:val="66"/>
        </w:rPr>
        <w:t xml:space="preserve"> </w:t>
      </w:r>
      <w:r>
        <w:t>function</w:t>
      </w:r>
      <w:r>
        <w:rPr>
          <w:spacing w:val="66"/>
        </w:rPr>
        <w:t xml:space="preserve"> </w:t>
      </w:r>
      <w:r>
        <w:t>that</w:t>
      </w:r>
      <w:r>
        <w:rPr>
          <w:spacing w:val="66"/>
        </w:rPr>
        <w:t xml:space="preserve"> </w:t>
      </w:r>
      <w:r>
        <w:t>assigns</w:t>
      </w:r>
      <w:r>
        <w:rPr>
          <w:spacing w:val="66"/>
        </w:rPr>
        <w:t xml:space="preserve"> </w:t>
      </w:r>
      <w:r>
        <w:t>truth</w:t>
      </w:r>
      <w:r>
        <w:rPr>
          <w:spacing w:val="66"/>
        </w:rPr>
        <w:t xml:space="preserve"> </w:t>
      </w:r>
      <w:r>
        <w:t>to</w:t>
      </w:r>
      <w:r>
        <w:rPr>
          <w:spacing w:val="66"/>
        </w:rPr>
        <w:t xml:space="preserve"> </w:t>
      </w:r>
      <w:r>
        <w:t>ordered</w:t>
      </w:r>
    </w:p>
    <w:p w14:paraId="7E000D6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64" w14:textId="77777777" w:rsidR="009A58DB" w:rsidRDefault="00000000">
      <w:pPr>
        <w:pStyle w:val="BodyText"/>
        <w:spacing w:before="66" w:line="249" w:lineRule="auto"/>
        <w:ind w:right="358"/>
      </w:pPr>
      <w:r>
        <w:lastRenderedPageBreak/>
        <w:t>triples of objects—as assigning that truth value to &lt;Bill, Mary, John&gt; just in case Bill is standing between Mary and John.</w:t>
      </w:r>
    </w:p>
    <w:p w14:paraId="7E000D65" w14:textId="77777777" w:rsidR="009A58DB" w:rsidRDefault="00000000">
      <w:pPr>
        <w:pStyle w:val="BodyText"/>
        <w:spacing w:before="1" w:line="249" w:lineRule="auto"/>
        <w:ind w:right="359" w:firstLine="360"/>
      </w:pPr>
      <w:r>
        <w:t>In</w:t>
      </w:r>
      <w:r>
        <w:rPr>
          <w:spacing w:val="-1"/>
        </w:rPr>
        <w:t xml:space="preserve"> </w:t>
      </w:r>
      <w:r>
        <w:t>this</w:t>
      </w:r>
      <w:r>
        <w:rPr>
          <w:spacing w:val="-1"/>
        </w:rPr>
        <w:t xml:space="preserve"> </w:t>
      </w:r>
      <w:r>
        <w:t>way,</w:t>
      </w:r>
      <w:r>
        <w:rPr>
          <w:spacing w:val="-1"/>
        </w:rPr>
        <w:t xml:space="preserve"> </w:t>
      </w:r>
      <w:r>
        <w:t>Frege</w:t>
      </w:r>
      <w:r>
        <w:rPr>
          <w:spacing w:val="-1"/>
        </w:rPr>
        <w:t xml:space="preserve"> </w:t>
      </w:r>
      <w:r>
        <w:t>was</w:t>
      </w:r>
      <w:r>
        <w:rPr>
          <w:spacing w:val="-1"/>
        </w:rPr>
        <w:t xml:space="preserve"> </w:t>
      </w:r>
      <w:r>
        <w:t>able</w:t>
      </w:r>
      <w:r>
        <w:rPr>
          <w:spacing w:val="-1"/>
        </w:rPr>
        <w:t xml:space="preserve"> </w:t>
      </w:r>
      <w:r>
        <w:t>to</w:t>
      </w:r>
      <w:r>
        <w:rPr>
          <w:spacing w:val="-1"/>
        </w:rPr>
        <w:t xml:space="preserve"> </w:t>
      </w:r>
      <w:r>
        <w:t>assign</w:t>
      </w:r>
      <w:r>
        <w:rPr>
          <w:spacing w:val="-1"/>
        </w:rPr>
        <w:t xml:space="preserve"> </w:t>
      </w:r>
      <w:r>
        <w:t>a</w:t>
      </w:r>
      <w:r>
        <w:rPr>
          <w:spacing w:val="-1"/>
        </w:rPr>
        <w:t xml:space="preserve"> </w:t>
      </w:r>
      <w:r>
        <w:rPr>
          <w:i/>
        </w:rPr>
        <w:t>single</w:t>
      </w:r>
      <w:r>
        <w:rPr>
          <w:i/>
          <w:spacing w:val="-3"/>
        </w:rPr>
        <w:t xml:space="preserve"> </w:t>
      </w:r>
      <w:r>
        <w:t xml:space="preserve">form to all </w:t>
      </w:r>
      <w:r>
        <w:rPr>
          <w:b/>
          <w:i/>
        </w:rPr>
        <w:t>atomic</w:t>
      </w:r>
      <w:r>
        <w:rPr>
          <w:b/>
          <w:i/>
          <w:spacing w:val="-2"/>
        </w:rPr>
        <w:t xml:space="preserve"> </w:t>
      </w:r>
      <w:r>
        <w:t>sentences. An</w:t>
      </w:r>
      <w:r>
        <w:rPr>
          <w:spacing w:val="-3"/>
        </w:rPr>
        <w:t xml:space="preserve"> </w:t>
      </w:r>
      <w:r>
        <w:t>atomic</w:t>
      </w:r>
      <w:r>
        <w:rPr>
          <w:spacing w:val="-2"/>
        </w:rPr>
        <w:t xml:space="preserve"> </w:t>
      </w:r>
      <w:r>
        <w:t>sentence</w:t>
      </w:r>
      <w:r>
        <w:rPr>
          <w:spacing w:val="-3"/>
        </w:rPr>
        <w:t xml:space="preserve"> </w:t>
      </w:r>
      <w:r>
        <w:t>is</w:t>
      </w:r>
      <w:r>
        <w:rPr>
          <w:spacing w:val="-2"/>
        </w:rPr>
        <w:t xml:space="preserve"> </w:t>
      </w:r>
      <w:r>
        <w:t>one</w:t>
      </w:r>
      <w:r>
        <w:rPr>
          <w:spacing w:val="-3"/>
        </w:rPr>
        <w:t xml:space="preserve"> </w:t>
      </w:r>
      <w:r>
        <w:t>that,</w:t>
      </w:r>
      <w:r>
        <w:rPr>
          <w:spacing w:val="-2"/>
        </w:rPr>
        <w:t xml:space="preserve"> </w:t>
      </w:r>
      <w:r>
        <w:t>unlike</w:t>
      </w:r>
      <w:r>
        <w:rPr>
          <w:spacing w:val="-2"/>
        </w:rPr>
        <w:t xml:space="preserve"> </w:t>
      </w:r>
      <w:r>
        <w:t>“Bill</w:t>
      </w:r>
      <w:r>
        <w:rPr>
          <w:spacing w:val="-3"/>
        </w:rPr>
        <w:t xml:space="preserve"> </w:t>
      </w:r>
      <w:r>
        <w:t>is</w:t>
      </w:r>
      <w:r>
        <w:rPr>
          <w:spacing w:val="-2"/>
        </w:rPr>
        <w:t xml:space="preserve"> </w:t>
      </w:r>
      <w:r>
        <w:t>tall</w:t>
      </w:r>
      <w:r>
        <w:rPr>
          <w:spacing w:val="-3"/>
        </w:rPr>
        <w:t xml:space="preserve"> </w:t>
      </w:r>
      <w:r>
        <w:t>and</w:t>
      </w:r>
      <w:r>
        <w:rPr>
          <w:spacing w:val="-2"/>
        </w:rPr>
        <w:t xml:space="preserve"> </w:t>
      </w:r>
      <w:r>
        <w:t>Sally</w:t>
      </w:r>
      <w:r>
        <w:rPr>
          <w:spacing w:val="-3"/>
        </w:rPr>
        <w:t xml:space="preserve"> </w:t>
      </w:r>
      <w:r>
        <w:t>is</w:t>
      </w:r>
      <w:r>
        <w:rPr>
          <w:spacing w:val="-2"/>
        </w:rPr>
        <w:t xml:space="preserve"> </w:t>
      </w:r>
      <w:r>
        <w:t>smart,”</w:t>
      </w:r>
      <w:r>
        <w:rPr>
          <w:spacing w:val="-2"/>
        </w:rPr>
        <w:t xml:space="preserve"> </w:t>
      </w:r>
      <w:r>
        <w:t xml:space="preserve">doesn’t consist of other sentences and that, unlike “someone snores,” doesn’t contain quantifiers. Non-atomic sentences are </w:t>
      </w:r>
      <w:r>
        <w:rPr>
          <w:b/>
          <w:i/>
        </w:rPr>
        <w:t xml:space="preserve">molecular. </w:t>
      </w:r>
      <w:r>
        <w:t>A molecular sentence is</w:t>
      </w:r>
      <w:r>
        <w:rPr>
          <w:spacing w:val="40"/>
        </w:rPr>
        <w:t xml:space="preserve"> </w:t>
      </w:r>
      <w:r>
        <w:t xml:space="preserve">one that either consists of other sentences or contains a quantifier. Frege was able to show that, ultimately, all atomic sentences have the form ‹O has psi. › Contrary to first appearances, BTM has the form: </w:t>
      </w:r>
      <w:r>
        <w:rPr>
          <w:i/>
        </w:rPr>
        <w:t xml:space="preserve">the ordered pair &lt;Bill, Mary&gt; has psi, </w:t>
      </w:r>
      <w:r>
        <w:t>where psi is the property had by such a pair just in case its first member is taller than its second.</w:t>
      </w:r>
    </w:p>
    <w:p w14:paraId="7E000D66" w14:textId="77777777" w:rsidR="009A58DB" w:rsidRDefault="00000000">
      <w:pPr>
        <w:pStyle w:val="BodyText"/>
        <w:spacing w:before="11" w:line="249" w:lineRule="auto"/>
        <w:ind w:right="358" w:firstLine="360"/>
      </w:pPr>
      <w:r>
        <w:t>Pre-Fregean logicians saw each of PS, BTM, and BJMP as having a different form from each of the other two, and this made it impossible for them to do anything meaningful in the way of formalizing inferences involving atomic sentences. But Frege didn’t have this problem, since he, unlike them, wasn’t made blind by grammatical surface structure to the underlying structural similarities.</w:t>
      </w:r>
    </w:p>
    <w:p w14:paraId="7E000D6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68" w14:textId="77777777" w:rsidR="009A58DB" w:rsidRDefault="00000000">
      <w:pPr>
        <w:spacing w:line="503" w:lineRule="exact"/>
        <w:ind w:left="326" w:right="332"/>
        <w:jc w:val="center"/>
        <w:rPr>
          <w:rFonts w:ascii="Calibri Light"/>
          <w:sz w:val="42"/>
        </w:rPr>
      </w:pPr>
      <w:bookmarkStart w:id="163" w:name="_bookmark163"/>
      <w:bookmarkEnd w:id="163"/>
      <w:r>
        <w:rPr>
          <w:rFonts w:ascii="Calibri Light"/>
          <w:sz w:val="42"/>
        </w:rPr>
        <w:lastRenderedPageBreak/>
        <w:t>Chapter</w:t>
      </w:r>
      <w:r>
        <w:rPr>
          <w:rFonts w:ascii="Calibri Light"/>
          <w:spacing w:val="56"/>
          <w:sz w:val="42"/>
        </w:rPr>
        <w:t xml:space="preserve"> </w:t>
      </w:r>
      <w:r>
        <w:rPr>
          <w:rFonts w:ascii="Calibri Light"/>
          <w:spacing w:val="-10"/>
          <w:sz w:val="42"/>
        </w:rPr>
        <w:t>5</w:t>
      </w:r>
    </w:p>
    <w:p w14:paraId="7E000D69" w14:textId="77777777" w:rsidR="009A58DB" w:rsidRDefault="00000000">
      <w:pPr>
        <w:spacing w:before="222"/>
        <w:ind w:left="326" w:right="332"/>
        <w:jc w:val="center"/>
        <w:rPr>
          <w:rFonts w:ascii="Calibri Light"/>
          <w:sz w:val="42"/>
        </w:rPr>
      </w:pPr>
      <w:bookmarkStart w:id="164" w:name="_bookmark164"/>
      <w:bookmarkEnd w:id="164"/>
      <w:r>
        <w:rPr>
          <w:rFonts w:ascii="Calibri Light"/>
          <w:sz w:val="42"/>
        </w:rPr>
        <w:t>Do</w:t>
      </w:r>
      <w:r>
        <w:rPr>
          <w:rFonts w:ascii="Calibri Light"/>
          <w:spacing w:val="22"/>
          <w:sz w:val="42"/>
        </w:rPr>
        <w:t xml:space="preserve"> </w:t>
      </w:r>
      <w:r>
        <w:rPr>
          <w:rFonts w:ascii="Calibri Light"/>
          <w:sz w:val="42"/>
        </w:rPr>
        <w:t>We</w:t>
      </w:r>
      <w:r>
        <w:rPr>
          <w:rFonts w:ascii="Calibri Light"/>
          <w:spacing w:val="22"/>
          <w:sz w:val="42"/>
        </w:rPr>
        <w:t xml:space="preserve"> </w:t>
      </w:r>
      <w:r>
        <w:rPr>
          <w:rFonts w:ascii="Calibri Light"/>
          <w:sz w:val="42"/>
        </w:rPr>
        <w:t>Think</w:t>
      </w:r>
      <w:r>
        <w:rPr>
          <w:rFonts w:ascii="Calibri Light"/>
          <w:spacing w:val="22"/>
          <w:sz w:val="42"/>
        </w:rPr>
        <w:t xml:space="preserve"> </w:t>
      </w:r>
      <w:r>
        <w:rPr>
          <w:rFonts w:ascii="Calibri Light"/>
          <w:sz w:val="42"/>
        </w:rPr>
        <w:t>in</w:t>
      </w:r>
      <w:r>
        <w:rPr>
          <w:rFonts w:ascii="Calibri Light"/>
          <w:spacing w:val="22"/>
          <w:sz w:val="42"/>
        </w:rPr>
        <w:t xml:space="preserve"> </w:t>
      </w:r>
      <w:r>
        <w:rPr>
          <w:rFonts w:ascii="Calibri Light"/>
          <w:spacing w:val="-2"/>
          <w:sz w:val="42"/>
        </w:rPr>
        <w:t>Words?</w:t>
      </w:r>
    </w:p>
    <w:p w14:paraId="7E000D6A" w14:textId="77777777" w:rsidR="009A58DB" w:rsidRDefault="009A58DB">
      <w:pPr>
        <w:pStyle w:val="BodyText"/>
        <w:spacing w:before="47"/>
        <w:ind w:left="0"/>
        <w:jc w:val="left"/>
        <w:rPr>
          <w:rFonts w:ascii="Calibri Light"/>
          <w:sz w:val="42"/>
        </w:rPr>
      </w:pPr>
    </w:p>
    <w:p w14:paraId="7E000D6B" w14:textId="77777777" w:rsidR="009A58DB" w:rsidRDefault="00000000">
      <w:pPr>
        <w:pStyle w:val="Heading1"/>
        <w:numPr>
          <w:ilvl w:val="0"/>
          <w:numId w:val="181"/>
        </w:numPr>
        <w:tabs>
          <w:tab w:val="left" w:pos="1080"/>
          <w:tab w:val="left" w:pos="1968"/>
        </w:tabs>
        <w:spacing w:before="0" w:line="244" w:lineRule="auto"/>
        <w:ind w:right="371" w:hanging="720"/>
      </w:pPr>
      <w:r>
        <w:tab/>
        <w:t>Two</w:t>
      </w:r>
      <w:r>
        <w:rPr>
          <w:spacing w:val="40"/>
        </w:rPr>
        <w:t xml:space="preserve"> </w:t>
      </w:r>
      <w:r>
        <w:t>different</w:t>
      </w:r>
      <w:r>
        <w:rPr>
          <w:spacing w:val="40"/>
        </w:rPr>
        <w:t xml:space="preserve"> </w:t>
      </w:r>
      <w:r>
        <w:t>ways</w:t>
      </w:r>
      <w:r>
        <w:rPr>
          <w:spacing w:val="40"/>
        </w:rPr>
        <w:t xml:space="preserve"> </w:t>
      </w:r>
      <w:r>
        <w:t>that</w:t>
      </w:r>
      <w:r>
        <w:rPr>
          <w:spacing w:val="40"/>
        </w:rPr>
        <w:t xml:space="preserve"> </w:t>
      </w:r>
      <w:r>
        <w:t>knowledge</w:t>
      </w:r>
      <w:r>
        <w:rPr>
          <w:spacing w:val="40"/>
        </w:rPr>
        <w:t xml:space="preserve"> </w:t>
      </w:r>
      <w:r>
        <w:t>of</w:t>
      </w:r>
      <w:r>
        <w:rPr>
          <w:spacing w:val="40"/>
        </w:rPr>
        <w:t xml:space="preserve"> </w:t>
      </w:r>
      <w:r>
        <w:t>a</w:t>
      </w:r>
      <w:r>
        <w:rPr>
          <w:spacing w:val="40"/>
        </w:rPr>
        <w:t xml:space="preserve">  </w:t>
      </w:r>
      <w:r>
        <w:t>language might enhance intelligence</w:t>
      </w:r>
    </w:p>
    <w:p w14:paraId="7E000D6C" w14:textId="77777777" w:rsidR="009A58DB" w:rsidRDefault="00000000">
      <w:pPr>
        <w:pStyle w:val="BodyText"/>
        <w:spacing w:before="72" w:line="249" w:lineRule="auto"/>
        <w:ind w:right="358"/>
      </w:pPr>
      <w:r>
        <w:t xml:space="preserve">It is obvious that knowledge of a language makes one more intelligent in at least some respects. Consider the thought that authoritarian governments tend to be less responsive to the needs of their constituents than democratic governments. Could one grasp that thought without knowing some language or other? We have, I think, at least </w:t>
      </w:r>
      <w:r>
        <w:rPr>
          <w:i/>
        </w:rPr>
        <w:t xml:space="preserve">some </w:t>
      </w:r>
      <w:r>
        <w:t>inclination to say “no.” And, more generally, we are reluctant to regard creatures that cannot interact with reality through a language, or in any case through some sort of symbolic medium or other,</w:t>
      </w:r>
      <w:r>
        <w:rPr>
          <w:spacing w:val="-1"/>
        </w:rPr>
        <w:t xml:space="preserve"> </w:t>
      </w:r>
      <w:r>
        <w:t>as</w:t>
      </w:r>
      <w:r>
        <w:rPr>
          <w:spacing w:val="-1"/>
        </w:rPr>
        <w:t xml:space="preserve"> </w:t>
      </w:r>
      <w:r>
        <w:t>being</w:t>
      </w:r>
      <w:r>
        <w:rPr>
          <w:spacing w:val="-1"/>
        </w:rPr>
        <w:t xml:space="preserve"> </w:t>
      </w:r>
      <w:r>
        <w:t>capable</w:t>
      </w:r>
      <w:r>
        <w:rPr>
          <w:spacing w:val="-1"/>
        </w:rPr>
        <w:t xml:space="preserve"> </w:t>
      </w:r>
      <w:r>
        <w:t>of</w:t>
      </w:r>
      <w:r>
        <w:rPr>
          <w:spacing w:val="-1"/>
        </w:rPr>
        <w:t xml:space="preserve"> </w:t>
      </w:r>
      <w:r>
        <w:t>grasping,</w:t>
      </w:r>
      <w:r>
        <w:rPr>
          <w:spacing w:val="-1"/>
        </w:rPr>
        <w:t xml:space="preserve"> </w:t>
      </w:r>
      <w:r>
        <w:t>let</w:t>
      </w:r>
      <w:r>
        <w:rPr>
          <w:spacing w:val="-1"/>
        </w:rPr>
        <w:t xml:space="preserve"> </w:t>
      </w:r>
      <w:r>
        <w:t>alone</w:t>
      </w:r>
      <w:r>
        <w:rPr>
          <w:spacing w:val="-1"/>
        </w:rPr>
        <w:t xml:space="preserve"> </w:t>
      </w:r>
      <w:r>
        <w:t>delineating</w:t>
      </w:r>
      <w:r>
        <w:rPr>
          <w:spacing w:val="-1"/>
        </w:rPr>
        <w:t xml:space="preserve"> </w:t>
      </w:r>
      <w:r>
        <w:t>the</w:t>
      </w:r>
      <w:r>
        <w:rPr>
          <w:spacing w:val="-1"/>
        </w:rPr>
        <w:t xml:space="preserve"> </w:t>
      </w:r>
      <w:r>
        <w:t>consequences</w:t>
      </w:r>
      <w:r>
        <w:rPr>
          <w:spacing w:val="-1"/>
        </w:rPr>
        <w:t xml:space="preserve"> </w:t>
      </w:r>
      <w:r>
        <w:t xml:space="preserve">of, abstract principles or therefore of thinking about reality in a </w:t>
      </w:r>
      <w:r>
        <w:rPr>
          <w:i/>
        </w:rPr>
        <w:t xml:space="preserve">discursive </w:t>
      </w:r>
      <w:r>
        <w:rPr>
          <w:spacing w:val="-2"/>
        </w:rPr>
        <w:t>manner.</w:t>
      </w:r>
    </w:p>
    <w:p w14:paraId="7E000D6D" w14:textId="77777777" w:rsidR="009A58DB" w:rsidRDefault="00000000">
      <w:pPr>
        <w:pStyle w:val="BodyText"/>
        <w:spacing w:before="13" w:line="249" w:lineRule="auto"/>
        <w:ind w:right="358" w:firstLine="360"/>
      </w:pPr>
      <w:r>
        <w:t xml:space="preserve">My own view, as we’ll see shortly, is that this is false—that whatever one can grasp </w:t>
      </w:r>
      <w:r>
        <w:rPr>
          <w:i/>
        </w:rPr>
        <w:t xml:space="preserve">through </w:t>
      </w:r>
      <w:r>
        <w:t xml:space="preserve">language, one must be able to grasp </w:t>
      </w:r>
      <w:r>
        <w:rPr>
          <w:i/>
        </w:rPr>
        <w:t xml:space="preserve">independently </w:t>
      </w:r>
      <w:r>
        <w:t>of language. But this, I grant, is a counterintuitive view; and, speaking personally, it was only after trying to defend the negation of that view, and finding that it was impossible to do so, that I came to accept it. Still, our untutored intuitions do, I think, incline us to hold that, but for knowledge of a language (of some kind or other), a creature would be incapable of thinking discursively about the world.</w:t>
      </w:r>
    </w:p>
    <w:p w14:paraId="7E000D6E" w14:textId="77777777" w:rsidR="009A58DB" w:rsidRDefault="00000000">
      <w:pPr>
        <w:pStyle w:val="BodyText"/>
        <w:spacing w:before="9" w:line="249" w:lineRule="auto"/>
        <w:ind w:right="358" w:firstLine="360"/>
      </w:pPr>
      <w:r>
        <w:t>But untutored intuitions are not always probative. And sometimes they are inconsistent</w:t>
      </w:r>
      <w:r>
        <w:rPr>
          <w:spacing w:val="-3"/>
        </w:rPr>
        <w:t xml:space="preserve"> </w:t>
      </w:r>
      <w:r>
        <w:t>with</w:t>
      </w:r>
      <w:r>
        <w:rPr>
          <w:spacing w:val="-2"/>
        </w:rPr>
        <w:t xml:space="preserve"> </w:t>
      </w:r>
      <w:r>
        <w:t>one</w:t>
      </w:r>
      <w:r>
        <w:rPr>
          <w:spacing w:val="-2"/>
        </w:rPr>
        <w:t xml:space="preserve"> </w:t>
      </w:r>
      <w:r>
        <w:t>another,</w:t>
      </w:r>
      <w:r>
        <w:rPr>
          <w:spacing w:val="-2"/>
        </w:rPr>
        <w:t xml:space="preserve"> </w:t>
      </w:r>
      <w:r>
        <w:t>this</w:t>
      </w:r>
      <w:r>
        <w:rPr>
          <w:spacing w:val="-2"/>
        </w:rPr>
        <w:t xml:space="preserve"> </w:t>
      </w:r>
      <w:r>
        <w:t>being</w:t>
      </w:r>
      <w:r>
        <w:rPr>
          <w:spacing w:val="-2"/>
        </w:rPr>
        <w:t xml:space="preserve"> </w:t>
      </w:r>
      <w:r>
        <w:t>one</w:t>
      </w:r>
      <w:r>
        <w:rPr>
          <w:spacing w:val="-2"/>
        </w:rPr>
        <w:t xml:space="preserve"> </w:t>
      </w:r>
      <w:r>
        <w:t>of</w:t>
      </w:r>
      <w:r>
        <w:rPr>
          <w:spacing w:val="-2"/>
        </w:rPr>
        <w:t xml:space="preserve"> </w:t>
      </w:r>
      <w:r>
        <w:t>those</w:t>
      </w:r>
      <w:r>
        <w:rPr>
          <w:spacing w:val="-2"/>
        </w:rPr>
        <w:t xml:space="preserve"> </w:t>
      </w:r>
      <w:r>
        <w:t>cases.</w:t>
      </w:r>
      <w:r>
        <w:rPr>
          <w:spacing w:val="-2"/>
        </w:rPr>
        <w:t xml:space="preserve"> </w:t>
      </w:r>
      <w:r>
        <w:t>For,</w:t>
      </w:r>
      <w:r>
        <w:rPr>
          <w:spacing w:val="-2"/>
        </w:rPr>
        <w:t xml:space="preserve"> </w:t>
      </w:r>
      <w:r>
        <w:t>while</w:t>
      </w:r>
      <w:r>
        <w:rPr>
          <w:spacing w:val="-2"/>
        </w:rPr>
        <w:t xml:space="preserve"> </w:t>
      </w:r>
      <w:r>
        <w:t>we</w:t>
      </w:r>
      <w:r>
        <w:rPr>
          <w:spacing w:val="-2"/>
        </w:rPr>
        <w:t xml:space="preserve"> </w:t>
      </w:r>
      <w:r>
        <w:t xml:space="preserve">are reluctant to impute discursive thought to the language-less, we </w:t>
      </w:r>
      <w:r>
        <w:rPr>
          <w:i/>
        </w:rPr>
        <w:t xml:space="preserve">also </w:t>
      </w:r>
      <w:r>
        <w:t>strongly feel that we sometimes have thoughts of considerable sophistication that we don’t</w:t>
      </w:r>
      <w:r>
        <w:rPr>
          <w:spacing w:val="-2"/>
        </w:rPr>
        <w:t xml:space="preserve"> </w:t>
      </w:r>
      <w:r>
        <w:t>know</w:t>
      </w:r>
      <w:r>
        <w:rPr>
          <w:spacing w:val="-1"/>
        </w:rPr>
        <w:t xml:space="preserve"> </w:t>
      </w:r>
      <w:r>
        <w:t>how</w:t>
      </w:r>
      <w:r>
        <w:rPr>
          <w:spacing w:val="-2"/>
        </w:rPr>
        <w:t xml:space="preserve"> </w:t>
      </w:r>
      <w:r>
        <w:t>to</w:t>
      </w:r>
      <w:r>
        <w:rPr>
          <w:spacing w:val="-1"/>
        </w:rPr>
        <w:t xml:space="preserve"> </w:t>
      </w:r>
      <w:r>
        <w:t>put</w:t>
      </w:r>
      <w:r>
        <w:rPr>
          <w:spacing w:val="-2"/>
        </w:rPr>
        <w:t xml:space="preserve"> </w:t>
      </w:r>
      <w:r>
        <w:t>into</w:t>
      </w:r>
      <w:r>
        <w:rPr>
          <w:spacing w:val="-1"/>
        </w:rPr>
        <w:t xml:space="preserve"> </w:t>
      </w:r>
      <w:r>
        <w:t>words;</w:t>
      </w:r>
      <w:r>
        <w:rPr>
          <w:spacing w:val="-2"/>
        </w:rPr>
        <w:t xml:space="preserve"> </w:t>
      </w:r>
      <w:r>
        <w:t>and,</w:t>
      </w:r>
      <w:r>
        <w:rPr>
          <w:spacing w:val="-1"/>
        </w:rPr>
        <w:t xml:space="preserve"> </w:t>
      </w:r>
      <w:r>
        <w:t>if</w:t>
      </w:r>
      <w:r>
        <w:rPr>
          <w:spacing w:val="-2"/>
        </w:rPr>
        <w:t xml:space="preserve"> </w:t>
      </w:r>
      <w:r>
        <w:t>that’s</w:t>
      </w:r>
      <w:r>
        <w:rPr>
          <w:spacing w:val="-1"/>
        </w:rPr>
        <w:t xml:space="preserve"> </w:t>
      </w:r>
      <w:r>
        <w:t>right</w:t>
      </w:r>
      <w:r>
        <w:rPr>
          <w:spacing w:val="-2"/>
        </w:rPr>
        <w:t xml:space="preserve"> </w:t>
      </w:r>
      <w:r>
        <w:t>(as</w:t>
      </w:r>
      <w:r>
        <w:rPr>
          <w:spacing w:val="-1"/>
        </w:rPr>
        <w:t xml:space="preserve"> </w:t>
      </w:r>
      <w:r>
        <w:t>I</w:t>
      </w:r>
      <w:r>
        <w:rPr>
          <w:spacing w:val="-2"/>
        </w:rPr>
        <w:t xml:space="preserve"> </w:t>
      </w:r>
      <w:r>
        <w:t>personally</w:t>
      </w:r>
      <w:r>
        <w:rPr>
          <w:spacing w:val="-1"/>
        </w:rPr>
        <w:t xml:space="preserve"> </w:t>
      </w:r>
      <w:r>
        <w:t>have</w:t>
      </w:r>
      <w:r>
        <w:rPr>
          <w:spacing w:val="-1"/>
        </w:rPr>
        <w:t xml:space="preserve"> </w:t>
      </w:r>
      <w:r>
        <w:t xml:space="preserve">no doubt that it is), then it seems to follow that not all discursive thought is </w:t>
      </w:r>
      <w:r>
        <w:rPr>
          <w:spacing w:val="-2"/>
        </w:rPr>
        <w:t>language-dependent.</w:t>
      </w:r>
    </w:p>
    <w:p w14:paraId="7E000D6F" w14:textId="77777777" w:rsidR="009A58DB" w:rsidRDefault="00000000">
      <w:pPr>
        <w:pStyle w:val="BodyText"/>
        <w:spacing w:before="9" w:line="249" w:lineRule="auto"/>
        <w:ind w:right="369" w:firstLine="360"/>
      </w:pPr>
      <w:r>
        <w:t>The purpose of this chapter is to provide a brisk but relatively rigorous answer to the question: Do we think in language?</w:t>
      </w:r>
    </w:p>
    <w:p w14:paraId="7E000D70"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0D71" w14:textId="77777777" w:rsidR="009A58DB" w:rsidRDefault="00000000">
      <w:pPr>
        <w:pStyle w:val="Heading1"/>
        <w:numPr>
          <w:ilvl w:val="0"/>
          <w:numId w:val="181"/>
        </w:numPr>
        <w:tabs>
          <w:tab w:val="left" w:pos="1666"/>
        </w:tabs>
        <w:spacing w:before="58" w:line="244" w:lineRule="auto"/>
        <w:ind w:left="360" w:right="369" w:firstLine="0"/>
      </w:pPr>
      <w:r>
        <w:lastRenderedPageBreak/>
        <w:t>Two different versions of the thesis that we</w:t>
      </w:r>
      <w:r>
        <w:rPr>
          <w:spacing w:val="80"/>
        </w:rPr>
        <w:t xml:space="preserve"> </w:t>
      </w:r>
      <w:r>
        <w:t>think in language</w:t>
      </w:r>
    </w:p>
    <w:p w14:paraId="7E000D72" w14:textId="77777777" w:rsidR="009A58DB" w:rsidRDefault="00000000">
      <w:pPr>
        <w:pStyle w:val="BodyText"/>
        <w:spacing w:before="131" w:line="249" w:lineRule="auto"/>
        <w:jc w:val="left"/>
      </w:pPr>
      <w:r>
        <w:t>Do</w:t>
      </w:r>
      <w:r>
        <w:rPr>
          <w:spacing w:val="-2"/>
        </w:rPr>
        <w:t xml:space="preserve"> </w:t>
      </w:r>
      <w:r>
        <w:t>we</w:t>
      </w:r>
      <w:r>
        <w:rPr>
          <w:spacing w:val="-1"/>
        </w:rPr>
        <w:t xml:space="preserve"> </w:t>
      </w:r>
      <w:r>
        <w:t>think</w:t>
      </w:r>
      <w:r>
        <w:rPr>
          <w:spacing w:val="-2"/>
        </w:rPr>
        <w:t xml:space="preserve"> </w:t>
      </w:r>
      <w:r>
        <w:t>in</w:t>
      </w:r>
      <w:r>
        <w:rPr>
          <w:spacing w:val="-1"/>
        </w:rPr>
        <w:t xml:space="preserve"> </w:t>
      </w:r>
      <w:r>
        <w:t>language?</w:t>
      </w:r>
      <w:r>
        <w:rPr>
          <w:spacing w:val="-2"/>
        </w:rPr>
        <w:t xml:space="preserve"> </w:t>
      </w:r>
      <w:r>
        <w:t>No.</w:t>
      </w:r>
      <w:r>
        <w:rPr>
          <w:spacing w:val="-1"/>
        </w:rPr>
        <w:t xml:space="preserve"> </w:t>
      </w:r>
      <w:r>
        <w:t>But,</w:t>
      </w:r>
      <w:r>
        <w:rPr>
          <w:spacing w:val="-2"/>
        </w:rPr>
        <w:t xml:space="preserve"> </w:t>
      </w:r>
      <w:r>
        <w:t>before</w:t>
      </w:r>
      <w:r>
        <w:rPr>
          <w:spacing w:val="-1"/>
        </w:rPr>
        <w:t xml:space="preserve"> </w:t>
      </w:r>
      <w:r>
        <w:t>we</w:t>
      </w:r>
      <w:r>
        <w:rPr>
          <w:spacing w:val="-2"/>
        </w:rPr>
        <w:t xml:space="preserve"> </w:t>
      </w:r>
      <w:r>
        <w:t>can</w:t>
      </w:r>
      <w:r>
        <w:rPr>
          <w:spacing w:val="-1"/>
        </w:rPr>
        <w:t xml:space="preserve"> </w:t>
      </w:r>
      <w:r>
        <w:t>say</w:t>
      </w:r>
      <w:r>
        <w:rPr>
          <w:spacing w:val="-2"/>
        </w:rPr>
        <w:t xml:space="preserve"> </w:t>
      </w:r>
      <w:r>
        <w:t>why,</w:t>
      </w:r>
      <w:r>
        <w:rPr>
          <w:spacing w:val="-1"/>
        </w:rPr>
        <w:t xml:space="preserve"> </w:t>
      </w:r>
      <w:r>
        <w:t>there</w:t>
      </w:r>
      <w:r>
        <w:rPr>
          <w:spacing w:val="-2"/>
        </w:rPr>
        <w:t xml:space="preserve"> </w:t>
      </w:r>
      <w:r>
        <w:t>are</w:t>
      </w:r>
      <w:r>
        <w:rPr>
          <w:spacing w:val="-1"/>
        </w:rPr>
        <w:t xml:space="preserve"> </w:t>
      </w:r>
      <w:r>
        <w:t>two</w:t>
      </w:r>
      <w:r>
        <w:rPr>
          <w:spacing w:val="-1"/>
        </w:rPr>
        <w:t xml:space="preserve"> </w:t>
      </w:r>
      <w:r>
        <w:t>very different versions of the view that we think in language.</w:t>
      </w:r>
    </w:p>
    <w:p w14:paraId="7E000D73" w14:textId="77777777" w:rsidR="009A58DB" w:rsidRDefault="00000000">
      <w:pPr>
        <w:pStyle w:val="BodyText"/>
        <w:spacing w:before="3" w:line="249" w:lineRule="auto"/>
        <w:ind w:firstLine="360"/>
        <w:jc w:val="left"/>
      </w:pPr>
      <w:r>
        <w:t>Version #1: English speakers think in English; Albanian speakers think in Albanian;</w:t>
      </w:r>
      <w:r>
        <w:rPr>
          <w:spacing w:val="52"/>
        </w:rPr>
        <w:t xml:space="preserve"> </w:t>
      </w:r>
      <w:r>
        <w:t>etc.</w:t>
      </w:r>
      <w:r>
        <w:rPr>
          <w:spacing w:val="55"/>
        </w:rPr>
        <w:t xml:space="preserve"> </w:t>
      </w:r>
      <w:r>
        <w:t>In</w:t>
      </w:r>
      <w:r>
        <w:rPr>
          <w:spacing w:val="56"/>
        </w:rPr>
        <w:t xml:space="preserve"> </w:t>
      </w:r>
      <w:r>
        <w:t>general,</w:t>
      </w:r>
      <w:r>
        <w:rPr>
          <w:spacing w:val="55"/>
        </w:rPr>
        <w:t xml:space="preserve"> </w:t>
      </w:r>
      <w:r>
        <w:t>people</w:t>
      </w:r>
      <w:r>
        <w:rPr>
          <w:spacing w:val="56"/>
        </w:rPr>
        <w:t xml:space="preserve"> </w:t>
      </w:r>
      <w:r>
        <w:t>think</w:t>
      </w:r>
      <w:r>
        <w:rPr>
          <w:spacing w:val="55"/>
        </w:rPr>
        <w:t xml:space="preserve"> </w:t>
      </w:r>
      <w:r>
        <w:t>in</w:t>
      </w:r>
      <w:r>
        <w:rPr>
          <w:spacing w:val="56"/>
        </w:rPr>
        <w:t xml:space="preserve"> </w:t>
      </w:r>
      <w:r>
        <w:t>the</w:t>
      </w:r>
      <w:r>
        <w:rPr>
          <w:spacing w:val="55"/>
        </w:rPr>
        <w:t xml:space="preserve"> </w:t>
      </w:r>
      <w:r>
        <w:rPr>
          <w:i/>
        </w:rPr>
        <w:t>natural</w:t>
      </w:r>
      <w:r>
        <w:rPr>
          <w:i/>
          <w:spacing w:val="57"/>
        </w:rPr>
        <w:t xml:space="preserve"> </w:t>
      </w:r>
      <w:r>
        <w:t>languages</w:t>
      </w:r>
      <w:r>
        <w:rPr>
          <w:spacing w:val="56"/>
        </w:rPr>
        <w:t xml:space="preserve"> </w:t>
      </w:r>
      <w:r>
        <w:t>that</w:t>
      </w:r>
      <w:r>
        <w:rPr>
          <w:spacing w:val="57"/>
        </w:rPr>
        <w:t xml:space="preserve"> </w:t>
      </w:r>
      <w:r>
        <w:rPr>
          <w:spacing w:val="-4"/>
        </w:rPr>
        <w:t>they</w:t>
      </w:r>
    </w:p>
    <w:p w14:paraId="7E000D74" w14:textId="77777777" w:rsidR="009A58DB" w:rsidRDefault="00000000">
      <w:pPr>
        <w:pStyle w:val="BodyText"/>
        <w:spacing w:before="2" w:line="277" w:lineRule="exact"/>
        <w:ind w:left="1034"/>
        <w:jc w:val="left"/>
      </w:pPr>
      <w:bookmarkStart w:id="165" w:name="_bookmark165"/>
      <w:bookmarkEnd w:id="165"/>
      <w:r>
        <w:rPr>
          <w:color w:val="0562C1"/>
          <w:spacing w:val="-4"/>
          <w:u w:val="single" w:color="0562C1"/>
        </w:rPr>
        <w:t>[97]</w:t>
      </w:r>
    </w:p>
    <w:p w14:paraId="7E000D75" w14:textId="77777777" w:rsidR="009A58DB" w:rsidRDefault="00000000">
      <w:pPr>
        <w:pStyle w:val="BodyText"/>
        <w:spacing w:line="277" w:lineRule="exact"/>
      </w:pPr>
      <w:r>
        <w:t>learn.</w:t>
      </w:r>
      <w:r>
        <w:rPr>
          <w:spacing w:val="76"/>
          <w:w w:val="150"/>
        </w:rPr>
        <w:t xml:space="preserve">   </w:t>
      </w:r>
      <w:r>
        <w:t>(A</w:t>
      </w:r>
      <w:r>
        <w:rPr>
          <w:spacing w:val="4"/>
        </w:rPr>
        <w:t xml:space="preserve"> </w:t>
      </w:r>
      <w:r>
        <w:t>“natural</w:t>
      </w:r>
      <w:r>
        <w:rPr>
          <w:spacing w:val="3"/>
        </w:rPr>
        <w:t xml:space="preserve"> </w:t>
      </w:r>
      <w:r>
        <w:t>language”</w:t>
      </w:r>
      <w:r>
        <w:rPr>
          <w:spacing w:val="4"/>
        </w:rPr>
        <w:t xml:space="preserve"> </w:t>
      </w:r>
      <w:r>
        <w:t>is</w:t>
      </w:r>
      <w:r>
        <w:rPr>
          <w:spacing w:val="5"/>
        </w:rPr>
        <w:t xml:space="preserve"> </w:t>
      </w:r>
      <w:r>
        <w:t>one</w:t>
      </w:r>
      <w:r>
        <w:rPr>
          <w:spacing w:val="3"/>
        </w:rPr>
        <w:t xml:space="preserve"> </w:t>
      </w:r>
      <w:r>
        <w:t>that</w:t>
      </w:r>
      <w:r>
        <w:rPr>
          <w:spacing w:val="3"/>
        </w:rPr>
        <w:t xml:space="preserve"> </w:t>
      </w:r>
      <w:r>
        <w:t>organically</w:t>
      </w:r>
      <w:r>
        <w:rPr>
          <w:spacing w:val="3"/>
        </w:rPr>
        <w:t xml:space="preserve"> </w:t>
      </w:r>
      <w:r>
        <w:t>arises</w:t>
      </w:r>
      <w:r>
        <w:rPr>
          <w:spacing w:val="4"/>
        </w:rPr>
        <w:t xml:space="preserve"> </w:t>
      </w:r>
      <w:r>
        <w:t>through</w:t>
      </w:r>
      <w:r>
        <w:rPr>
          <w:spacing w:val="3"/>
        </w:rPr>
        <w:t xml:space="preserve"> </w:t>
      </w:r>
      <w:r>
        <w:rPr>
          <w:spacing w:val="-2"/>
        </w:rPr>
        <w:t>human</w:t>
      </w:r>
    </w:p>
    <w:p w14:paraId="7E000D76" w14:textId="77777777" w:rsidR="009A58DB" w:rsidRDefault="00000000">
      <w:pPr>
        <w:pStyle w:val="BodyText"/>
        <w:spacing w:before="15" w:line="249" w:lineRule="auto"/>
        <w:ind w:right="358"/>
      </w:pPr>
      <w:r>
        <w:t>interactions. So English, Spanish, Arabic, Chinese, etc. are natural languages. A non-natural or “artificial” language would be one that people invent—for example, computer-programmers invent languages to serve their special needs, and so do mathematicians and philosophers. Philosophers invent special notations because natural languages often obscure important features of the logical structure of the meanings that their sentences express.)</w:t>
      </w:r>
    </w:p>
    <w:p w14:paraId="7E000D77" w14:textId="77777777" w:rsidR="009A58DB" w:rsidRDefault="00000000">
      <w:pPr>
        <w:pStyle w:val="BodyText"/>
        <w:spacing w:before="8" w:line="249" w:lineRule="auto"/>
        <w:ind w:right="360" w:firstLine="360"/>
      </w:pPr>
      <w:r>
        <w:t>Version #2: We think in an innately known code, a “language of thought.” So</w:t>
      </w:r>
      <w:r>
        <w:rPr>
          <w:spacing w:val="-1"/>
        </w:rPr>
        <w:t xml:space="preserve"> </w:t>
      </w:r>
      <w:r>
        <w:t>although</w:t>
      </w:r>
      <w:r>
        <w:rPr>
          <w:spacing w:val="-1"/>
        </w:rPr>
        <w:t xml:space="preserve"> </w:t>
      </w:r>
      <w:r>
        <w:t>we</w:t>
      </w:r>
      <w:r>
        <w:rPr>
          <w:spacing w:val="-1"/>
        </w:rPr>
        <w:t xml:space="preserve"> </w:t>
      </w:r>
      <w:r>
        <w:t>think</w:t>
      </w:r>
      <w:r>
        <w:rPr>
          <w:spacing w:val="-1"/>
        </w:rPr>
        <w:t xml:space="preserve"> </w:t>
      </w:r>
      <w:r>
        <w:t>in</w:t>
      </w:r>
      <w:r>
        <w:rPr>
          <w:spacing w:val="-1"/>
        </w:rPr>
        <w:t xml:space="preserve"> </w:t>
      </w:r>
      <w:r>
        <w:t>sentences,</w:t>
      </w:r>
      <w:r>
        <w:rPr>
          <w:spacing w:val="-1"/>
        </w:rPr>
        <w:t xml:space="preserve"> </w:t>
      </w:r>
      <w:r>
        <w:t>those</w:t>
      </w:r>
      <w:r>
        <w:rPr>
          <w:spacing w:val="-1"/>
        </w:rPr>
        <w:t xml:space="preserve"> </w:t>
      </w:r>
      <w:r>
        <w:t>sentences</w:t>
      </w:r>
      <w:r>
        <w:rPr>
          <w:spacing w:val="-1"/>
        </w:rPr>
        <w:t xml:space="preserve"> </w:t>
      </w:r>
      <w:r>
        <w:t>don’t</w:t>
      </w:r>
      <w:r>
        <w:rPr>
          <w:spacing w:val="-1"/>
        </w:rPr>
        <w:t xml:space="preserve"> </w:t>
      </w:r>
      <w:r>
        <w:t>belong</w:t>
      </w:r>
      <w:r>
        <w:rPr>
          <w:spacing w:val="-1"/>
        </w:rPr>
        <w:t xml:space="preserve"> </w:t>
      </w:r>
      <w:r>
        <w:t>to</w:t>
      </w:r>
      <w:r>
        <w:rPr>
          <w:spacing w:val="-1"/>
        </w:rPr>
        <w:t xml:space="preserve"> </w:t>
      </w:r>
      <w:r>
        <w:t>English</w:t>
      </w:r>
      <w:r>
        <w:rPr>
          <w:spacing w:val="-1"/>
        </w:rPr>
        <w:t xml:space="preserve"> </w:t>
      </w:r>
      <w:r>
        <w:t>or Spanish (etc.) but rather to some system of symbolism that is hard-wired into</w:t>
      </w:r>
    </w:p>
    <w:p w14:paraId="7E000D78" w14:textId="77777777" w:rsidR="009A58DB" w:rsidRDefault="00000000">
      <w:pPr>
        <w:pStyle w:val="BodyText"/>
        <w:spacing w:before="3" w:line="277" w:lineRule="exact"/>
        <w:ind w:left="2000"/>
        <w:jc w:val="left"/>
      </w:pPr>
      <w:bookmarkStart w:id="166" w:name="_bookmark166"/>
      <w:bookmarkEnd w:id="166"/>
      <w:r>
        <w:rPr>
          <w:color w:val="0562C1"/>
          <w:spacing w:val="-4"/>
          <w:u w:val="single" w:color="0562C1"/>
        </w:rPr>
        <w:t>[98]</w:t>
      </w:r>
    </w:p>
    <w:p w14:paraId="7E000D79" w14:textId="77777777" w:rsidR="009A58DB" w:rsidRDefault="00000000">
      <w:pPr>
        <w:pStyle w:val="BodyText"/>
        <w:spacing w:line="277" w:lineRule="exact"/>
        <w:jc w:val="left"/>
      </w:pPr>
      <w:r>
        <w:t>us</w:t>
      </w:r>
      <w:r>
        <w:rPr>
          <w:spacing w:val="-4"/>
        </w:rPr>
        <w:t xml:space="preserve"> </w:t>
      </w:r>
      <w:r>
        <w:t>from</w:t>
      </w:r>
      <w:r>
        <w:rPr>
          <w:spacing w:val="-2"/>
        </w:rPr>
        <w:t xml:space="preserve"> birth.</w:t>
      </w:r>
    </w:p>
    <w:p w14:paraId="7E000D7A" w14:textId="77777777" w:rsidR="009A58DB" w:rsidRDefault="009A58DB">
      <w:pPr>
        <w:pStyle w:val="BodyText"/>
        <w:spacing w:before="140"/>
        <w:ind w:left="0"/>
        <w:jc w:val="left"/>
        <w:rPr>
          <w:sz w:val="42"/>
        </w:rPr>
      </w:pPr>
    </w:p>
    <w:p w14:paraId="7E000D7B" w14:textId="77777777" w:rsidR="009A58DB" w:rsidRDefault="00000000">
      <w:pPr>
        <w:pStyle w:val="Heading1"/>
        <w:numPr>
          <w:ilvl w:val="0"/>
          <w:numId w:val="181"/>
        </w:numPr>
        <w:tabs>
          <w:tab w:val="left" w:pos="1409"/>
        </w:tabs>
        <w:spacing w:before="0"/>
        <w:ind w:left="1409" w:hanging="1049"/>
      </w:pPr>
      <w:r>
        <w:t>Why</w:t>
      </w:r>
      <w:r>
        <w:rPr>
          <w:spacing w:val="-4"/>
        </w:rPr>
        <w:t xml:space="preserve"> </w:t>
      </w:r>
      <w:r>
        <w:t>version</w:t>
      </w:r>
      <w:r>
        <w:rPr>
          <w:spacing w:val="-2"/>
        </w:rPr>
        <w:t xml:space="preserve"> </w:t>
      </w:r>
      <w:r>
        <w:t>#1</w:t>
      </w:r>
      <w:r>
        <w:rPr>
          <w:spacing w:val="-2"/>
        </w:rPr>
        <w:t xml:space="preserve"> </w:t>
      </w:r>
      <w:r>
        <w:t>is</w:t>
      </w:r>
      <w:r>
        <w:rPr>
          <w:spacing w:val="-2"/>
        </w:rPr>
        <w:t xml:space="preserve"> </w:t>
      </w:r>
      <w:r>
        <w:rPr>
          <w:spacing w:val="-4"/>
        </w:rPr>
        <w:t>wrong</w:t>
      </w:r>
    </w:p>
    <w:p w14:paraId="7E000D7C" w14:textId="77777777" w:rsidR="009A58DB" w:rsidRDefault="00000000">
      <w:pPr>
        <w:pStyle w:val="BodyText"/>
        <w:spacing w:before="140" w:line="249" w:lineRule="auto"/>
        <w:ind w:right="365"/>
        <w:jc w:val="left"/>
      </w:pPr>
      <w:r>
        <w:t>Do</w:t>
      </w:r>
      <w:r>
        <w:rPr>
          <w:spacing w:val="-4"/>
        </w:rPr>
        <w:t xml:space="preserve"> </w:t>
      </w:r>
      <w:r>
        <w:t>English</w:t>
      </w:r>
      <w:r>
        <w:rPr>
          <w:spacing w:val="-4"/>
        </w:rPr>
        <w:t xml:space="preserve"> </w:t>
      </w:r>
      <w:r>
        <w:t>speakers</w:t>
      </w:r>
      <w:r>
        <w:rPr>
          <w:spacing w:val="-5"/>
        </w:rPr>
        <w:t xml:space="preserve"> </w:t>
      </w:r>
      <w:r>
        <w:t>think</w:t>
      </w:r>
      <w:r>
        <w:rPr>
          <w:spacing w:val="-4"/>
        </w:rPr>
        <w:t xml:space="preserve"> </w:t>
      </w:r>
      <w:r>
        <w:t>in</w:t>
      </w:r>
      <w:r>
        <w:rPr>
          <w:spacing w:val="-4"/>
        </w:rPr>
        <w:t xml:space="preserve"> </w:t>
      </w:r>
      <w:r>
        <w:t>English,</w:t>
      </w:r>
      <w:r>
        <w:rPr>
          <w:spacing w:val="-4"/>
        </w:rPr>
        <w:t xml:space="preserve"> </w:t>
      </w:r>
      <w:r>
        <w:t>Spanish</w:t>
      </w:r>
      <w:r>
        <w:rPr>
          <w:spacing w:val="-4"/>
        </w:rPr>
        <w:t xml:space="preserve"> </w:t>
      </w:r>
      <w:r>
        <w:t>speakers</w:t>
      </w:r>
      <w:r>
        <w:rPr>
          <w:spacing w:val="-5"/>
        </w:rPr>
        <w:t xml:space="preserve"> </w:t>
      </w:r>
      <w:r>
        <w:t>in</w:t>
      </w:r>
      <w:r>
        <w:rPr>
          <w:spacing w:val="-4"/>
        </w:rPr>
        <w:t xml:space="preserve"> </w:t>
      </w:r>
      <w:r>
        <w:t>Spanish,</w:t>
      </w:r>
      <w:r>
        <w:rPr>
          <w:spacing w:val="-4"/>
        </w:rPr>
        <w:t xml:space="preserve"> </w:t>
      </w:r>
      <w:r>
        <w:t>etc.?</w:t>
      </w:r>
      <w:r>
        <w:rPr>
          <w:spacing w:val="-5"/>
        </w:rPr>
        <w:t xml:space="preserve"> </w:t>
      </w:r>
      <w:r>
        <w:t>No. (We will find that some of the arguments against Version #1 also apply to Version #2.)</w:t>
      </w:r>
    </w:p>
    <w:p w14:paraId="7E000D7D" w14:textId="77777777" w:rsidR="009A58DB" w:rsidRDefault="00000000">
      <w:pPr>
        <w:pStyle w:val="Heading1"/>
        <w:numPr>
          <w:ilvl w:val="1"/>
          <w:numId w:val="181"/>
        </w:numPr>
        <w:tabs>
          <w:tab w:val="left" w:pos="1409"/>
        </w:tabs>
        <w:spacing w:before="191"/>
        <w:ind w:left="1409" w:hanging="1049"/>
      </w:pPr>
      <w:r>
        <w:t>First</w:t>
      </w:r>
      <w:r>
        <w:rPr>
          <w:spacing w:val="-5"/>
        </w:rPr>
        <w:t xml:space="preserve"> </w:t>
      </w:r>
      <w:r>
        <w:rPr>
          <w:spacing w:val="-2"/>
        </w:rPr>
        <w:t>reason</w:t>
      </w:r>
    </w:p>
    <w:p w14:paraId="7E000D7E" w14:textId="77777777" w:rsidR="009A58DB" w:rsidRDefault="00000000">
      <w:pPr>
        <w:pStyle w:val="BodyText"/>
        <w:spacing w:before="139" w:line="249" w:lineRule="auto"/>
        <w:ind w:right="361"/>
      </w:pPr>
      <w:r>
        <w:t xml:space="preserve">We can obviously have thoughts that we are incapable of putting into words. This shows that we grasp those thoughts in some way </w:t>
      </w:r>
      <w:r>
        <w:rPr>
          <w:i/>
        </w:rPr>
        <w:t>other</w:t>
      </w:r>
      <w:r>
        <w:rPr>
          <w:i/>
          <w:spacing w:val="-4"/>
        </w:rPr>
        <w:t xml:space="preserve"> </w:t>
      </w:r>
      <w:r>
        <w:t>than by grasping the English sentences that express them. Also, there are occasions where, although</w:t>
      </w:r>
      <w:r>
        <w:rPr>
          <w:spacing w:val="-3"/>
        </w:rPr>
        <w:t xml:space="preserve"> </w:t>
      </w:r>
      <w:r>
        <w:t>we</w:t>
      </w:r>
      <w:r>
        <w:rPr>
          <w:spacing w:val="-4"/>
        </w:rPr>
        <w:t xml:space="preserve"> </w:t>
      </w:r>
      <w:r>
        <w:rPr>
          <w:i/>
        </w:rPr>
        <w:t>can</w:t>
      </w:r>
      <w:r>
        <w:rPr>
          <w:i/>
          <w:spacing w:val="-3"/>
        </w:rPr>
        <w:t xml:space="preserve"> </w:t>
      </w:r>
      <w:r>
        <w:t xml:space="preserve">put into words what we are thinking, doing so requires great effort: we have to think long and hard about which words to use. This shows that thinking is often a </w:t>
      </w:r>
      <w:r>
        <w:rPr>
          <w:i/>
        </w:rPr>
        <w:t>pre</w:t>
      </w:r>
      <w:r>
        <w:t>requisite to using language, which in turn shows that at least some thinking is non-linguistic.</w:t>
      </w:r>
    </w:p>
    <w:p w14:paraId="7E000D7F" w14:textId="77777777" w:rsidR="009A58DB" w:rsidRDefault="00000000">
      <w:pPr>
        <w:pStyle w:val="BodyText"/>
        <w:spacing w:before="9"/>
        <w:ind w:left="720"/>
      </w:pPr>
      <w:r>
        <w:t>Astonishingly,</w:t>
      </w:r>
      <w:r>
        <w:rPr>
          <w:spacing w:val="68"/>
        </w:rPr>
        <w:t xml:space="preserve">  </w:t>
      </w:r>
      <w:r>
        <w:t>many</w:t>
      </w:r>
      <w:r>
        <w:rPr>
          <w:spacing w:val="69"/>
        </w:rPr>
        <w:t xml:space="preserve">  </w:t>
      </w:r>
      <w:r>
        <w:t>authors</w:t>
      </w:r>
      <w:r>
        <w:rPr>
          <w:spacing w:val="69"/>
        </w:rPr>
        <w:t xml:space="preserve">  </w:t>
      </w:r>
      <w:r>
        <w:t>(e.g.,</w:t>
      </w:r>
      <w:r>
        <w:rPr>
          <w:spacing w:val="69"/>
        </w:rPr>
        <w:t xml:space="preserve">  </w:t>
      </w:r>
      <w:r>
        <w:t>Ludwig</w:t>
      </w:r>
      <w:r>
        <w:rPr>
          <w:spacing w:val="69"/>
        </w:rPr>
        <w:t xml:space="preserve">  </w:t>
      </w:r>
      <w:r>
        <w:t>Wittgenstein,</w:t>
      </w:r>
      <w:r>
        <w:rPr>
          <w:spacing w:val="69"/>
        </w:rPr>
        <w:t xml:space="preserve">  </w:t>
      </w:r>
      <w:r>
        <w:rPr>
          <w:spacing w:val="-2"/>
        </w:rPr>
        <w:t>Simon</w:t>
      </w:r>
    </w:p>
    <w:p w14:paraId="7E000D80" w14:textId="77777777" w:rsidR="009A58DB" w:rsidRDefault="009A58DB">
      <w:pPr>
        <w:pStyle w:val="BodyText"/>
        <w:sectPr w:rsidR="009A58DB">
          <w:pgSz w:w="12240" w:h="15840"/>
          <w:pgMar w:top="1380" w:right="1080" w:bottom="280" w:left="1080" w:header="720" w:footer="720" w:gutter="0"/>
          <w:cols w:space="720"/>
        </w:sectPr>
      </w:pPr>
    </w:p>
    <w:p w14:paraId="7E000D81" w14:textId="77777777" w:rsidR="009A58DB" w:rsidRDefault="00000000">
      <w:pPr>
        <w:pStyle w:val="BodyText"/>
        <w:spacing w:before="60" w:line="249" w:lineRule="auto"/>
        <w:ind w:right="358"/>
      </w:pPr>
      <w:r>
        <w:lastRenderedPageBreak/>
        <w:t xml:space="preserve">Blackburn, John McDowell) </w:t>
      </w:r>
      <w:r>
        <w:rPr>
          <w:i/>
        </w:rPr>
        <w:t xml:space="preserve">deny </w:t>
      </w:r>
      <w:r>
        <w:t>that we know anything that we can’t readily articulate. “If you can’t say it, you don’t know it,” they say. This presupposes</w:t>
      </w:r>
      <w:r>
        <w:rPr>
          <w:spacing w:val="-1"/>
        </w:rPr>
        <w:t xml:space="preserve"> </w:t>
      </w:r>
      <w:r>
        <w:t>that</w:t>
      </w:r>
      <w:r>
        <w:rPr>
          <w:spacing w:val="-2"/>
        </w:rPr>
        <w:t xml:space="preserve"> </w:t>
      </w:r>
      <w:r>
        <w:t>what</w:t>
      </w:r>
      <w:r>
        <w:rPr>
          <w:spacing w:val="-2"/>
        </w:rPr>
        <w:t xml:space="preserve"> </w:t>
      </w:r>
      <w:r>
        <w:t>we</w:t>
      </w:r>
      <w:r>
        <w:rPr>
          <w:spacing w:val="-1"/>
        </w:rPr>
        <w:t xml:space="preserve"> </w:t>
      </w:r>
      <w:r>
        <w:t>believe</w:t>
      </w:r>
      <w:r>
        <w:rPr>
          <w:spacing w:val="-1"/>
        </w:rPr>
        <w:t xml:space="preserve"> </w:t>
      </w:r>
      <w:r>
        <w:t>is</w:t>
      </w:r>
      <w:r>
        <w:rPr>
          <w:spacing w:val="-1"/>
        </w:rPr>
        <w:t xml:space="preserve"> </w:t>
      </w:r>
      <w:r>
        <w:t>expressed</w:t>
      </w:r>
      <w:r>
        <w:rPr>
          <w:spacing w:val="-1"/>
        </w:rPr>
        <w:t xml:space="preserve"> </w:t>
      </w:r>
      <w:r>
        <w:rPr>
          <w:i/>
        </w:rPr>
        <w:t>only</w:t>
      </w:r>
      <w:r>
        <w:rPr>
          <w:i/>
          <w:spacing w:val="-4"/>
        </w:rPr>
        <w:t xml:space="preserve"> </w:t>
      </w:r>
      <w:r>
        <w:t>in</w:t>
      </w:r>
      <w:r>
        <w:rPr>
          <w:spacing w:val="-1"/>
        </w:rPr>
        <w:t xml:space="preserve"> </w:t>
      </w:r>
      <w:r>
        <w:t>the words we utter. But that’s not the case. A given person’s beliefs can be expressed in many ways, and many of them don’t depend on that person’s being able to use words. A person’s knowledge of the differences between x and y may be expressed in that person’s drawings of x and y; or it may be expressed in that person’s movements while he is in the vicinity of x and y; or it may be expressed in some other non-linguistic manner.</w:t>
      </w:r>
    </w:p>
    <w:p w14:paraId="7E000D82" w14:textId="77777777" w:rsidR="009A58DB" w:rsidRDefault="00000000">
      <w:pPr>
        <w:pStyle w:val="BodyText"/>
        <w:spacing w:before="16" w:line="249" w:lineRule="auto"/>
        <w:ind w:right="361" w:firstLine="360"/>
      </w:pPr>
      <w:r>
        <w:t>The way that authors such as Blackburn, McDowell, Wittgenstein respond to</w:t>
      </w:r>
      <w:r>
        <w:rPr>
          <w:spacing w:val="-1"/>
        </w:rPr>
        <w:t xml:space="preserve"> </w:t>
      </w:r>
      <w:r>
        <w:t>this</w:t>
      </w:r>
      <w:r>
        <w:rPr>
          <w:spacing w:val="-1"/>
        </w:rPr>
        <w:t xml:space="preserve"> </w:t>
      </w:r>
      <w:r>
        <w:t>is</w:t>
      </w:r>
      <w:r>
        <w:rPr>
          <w:spacing w:val="-1"/>
        </w:rPr>
        <w:t xml:space="preserve"> </w:t>
      </w:r>
      <w:r>
        <w:t>to</w:t>
      </w:r>
      <w:r>
        <w:rPr>
          <w:spacing w:val="-1"/>
        </w:rPr>
        <w:t xml:space="preserve"> </w:t>
      </w:r>
      <w:r>
        <w:t>say</w:t>
      </w:r>
      <w:r>
        <w:rPr>
          <w:spacing w:val="-1"/>
        </w:rPr>
        <w:t xml:space="preserve"> </w:t>
      </w:r>
      <w:r>
        <w:t>that</w:t>
      </w:r>
      <w:r>
        <w:rPr>
          <w:spacing w:val="-2"/>
        </w:rPr>
        <w:t xml:space="preserve"> </w:t>
      </w:r>
      <w:r>
        <w:t>no</w:t>
      </w:r>
      <w:r>
        <w:rPr>
          <w:spacing w:val="-1"/>
        </w:rPr>
        <w:t xml:space="preserve"> </w:t>
      </w:r>
      <w:r>
        <w:rPr>
          <w:i/>
        </w:rPr>
        <w:t>bona</w:t>
      </w:r>
      <w:r>
        <w:rPr>
          <w:i/>
          <w:spacing w:val="-3"/>
        </w:rPr>
        <w:t xml:space="preserve"> </w:t>
      </w:r>
      <w:r>
        <w:rPr>
          <w:i/>
        </w:rPr>
        <w:t>fide</w:t>
      </w:r>
      <w:r>
        <w:rPr>
          <w:i/>
          <w:spacing w:val="-1"/>
        </w:rPr>
        <w:t xml:space="preserve"> </w:t>
      </w:r>
      <w:r>
        <w:t>knowledge</w:t>
      </w:r>
      <w:r>
        <w:rPr>
          <w:spacing w:val="-1"/>
        </w:rPr>
        <w:t xml:space="preserve"> </w:t>
      </w:r>
      <w:r>
        <w:t>is</w:t>
      </w:r>
      <w:r>
        <w:rPr>
          <w:spacing w:val="-1"/>
        </w:rPr>
        <w:t xml:space="preserve"> </w:t>
      </w:r>
      <w:r>
        <w:t>involved</w:t>
      </w:r>
      <w:r>
        <w:rPr>
          <w:spacing w:val="-1"/>
        </w:rPr>
        <w:t xml:space="preserve"> </w:t>
      </w:r>
      <w:r>
        <w:t>in</w:t>
      </w:r>
      <w:r>
        <w:rPr>
          <w:spacing w:val="-1"/>
        </w:rPr>
        <w:t xml:space="preserve"> </w:t>
      </w:r>
      <w:r>
        <w:t>my</w:t>
      </w:r>
      <w:r>
        <w:rPr>
          <w:spacing w:val="-1"/>
        </w:rPr>
        <w:t xml:space="preserve"> </w:t>
      </w:r>
      <w:r>
        <w:t>painting</w:t>
      </w:r>
      <w:r>
        <w:rPr>
          <w:spacing w:val="-1"/>
        </w:rPr>
        <w:t xml:space="preserve"> </w:t>
      </w:r>
      <w:r>
        <w:t>things accurately—that what is involved is a kind of pseudo-knowledge. This is obviously false. It also overlooks the fact that, but for this “pseudo-knowledge,” we couldn’t know anything about language, since it is only through our ability to differentiate noises, ink-marks, etc., on the basis of</w:t>
      </w:r>
      <w:r>
        <w:rPr>
          <w:spacing w:val="40"/>
        </w:rPr>
        <w:t xml:space="preserve"> </w:t>
      </w:r>
      <w:r>
        <w:t>their perceptible properties that we can learn, or use, language.</w:t>
      </w:r>
    </w:p>
    <w:p w14:paraId="7E000D83" w14:textId="77777777" w:rsidR="009A58DB" w:rsidRDefault="00000000">
      <w:pPr>
        <w:pStyle w:val="Heading1"/>
        <w:numPr>
          <w:ilvl w:val="1"/>
          <w:numId w:val="181"/>
        </w:numPr>
        <w:tabs>
          <w:tab w:val="left" w:pos="1409"/>
        </w:tabs>
        <w:spacing w:before="196"/>
        <w:ind w:left="1409" w:hanging="1049"/>
      </w:pPr>
      <w:r>
        <w:t>Second</w:t>
      </w:r>
      <w:r>
        <w:rPr>
          <w:spacing w:val="-5"/>
        </w:rPr>
        <w:t xml:space="preserve"> </w:t>
      </w:r>
      <w:r>
        <w:rPr>
          <w:spacing w:val="-2"/>
        </w:rPr>
        <w:t>reason</w:t>
      </w:r>
    </w:p>
    <w:p w14:paraId="7E000D84" w14:textId="77777777" w:rsidR="009A58DB" w:rsidRDefault="00000000">
      <w:pPr>
        <w:pStyle w:val="BodyText"/>
        <w:spacing w:before="139" w:line="249" w:lineRule="auto"/>
        <w:ind w:right="359"/>
      </w:pPr>
      <w:r>
        <w:t>Some kinds of information (e.g., visual information) seem inherently incapable of being fully expressed by sentences of English or of any other natural</w:t>
      </w:r>
      <w:r>
        <w:rPr>
          <w:spacing w:val="-6"/>
        </w:rPr>
        <w:t xml:space="preserve"> </w:t>
      </w:r>
      <w:r>
        <w:t>language.</w:t>
      </w:r>
      <w:r>
        <w:rPr>
          <w:spacing w:val="-5"/>
        </w:rPr>
        <w:t xml:space="preserve"> </w:t>
      </w:r>
      <w:r>
        <w:t>Also,</w:t>
      </w:r>
      <w:r>
        <w:rPr>
          <w:spacing w:val="-5"/>
        </w:rPr>
        <w:t xml:space="preserve"> </w:t>
      </w:r>
      <w:r>
        <w:t>sentences</w:t>
      </w:r>
      <w:r>
        <w:rPr>
          <w:spacing w:val="-6"/>
        </w:rPr>
        <w:t xml:space="preserve"> </w:t>
      </w:r>
      <w:r>
        <w:t>have</w:t>
      </w:r>
      <w:r>
        <w:rPr>
          <w:spacing w:val="-6"/>
        </w:rPr>
        <w:t xml:space="preserve"> </w:t>
      </w:r>
      <w:r>
        <w:t>very</w:t>
      </w:r>
      <w:r>
        <w:rPr>
          <w:spacing w:val="-5"/>
        </w:rPr>
        <w:t xml:space="preserve"> </w:t>
      </w:r>
      <w:r>
        <w:t>different</w:t>
      </w:r>
      <w:r>
        <w:rPr>
          <w:spacing w:val="-6"/>
        </w:rPr>
        <w:t xml:space="preserve"> </w:t>
      </w:r>
      <w:r>
        <w:t>structures</w:t>
      </w:r>
      <w:r>
        <w:rPr>
          <w:spacing w:val="-6"/>
        </w:rPr>
        <w:t xml:space="preserve"> </w:t>
      </w:r>
      <w:r>
        <w:t>from</w:t>
      </w:r>
      <w:r>
        <w:rPr>
          <w:spacing w:val="-6"/>
        </w:rPr>
        <w:t xml:space="preserve"> </w:t>
      </w:r>
      <w:r>
        <w:t xml:space="preserve">pictures, even when the sentences and the pictures overlap in content. A visual perception of a man wearing a leather jacket has a very different structure from any sentence that describes that experience. For example, such a sentence decomposes into a finite number of distinct parts (words), whereas the sense-perception does not so decompose. (Sentences are </w:t>
      </w:r>
      <w:r>
        <w:rPr>
          <w:b/>
          <w:i/>
        </w:rPr>
        <w:t>digital</w:t>
      </w:r>
      <w:r>
        <w:rPr>
          <w:b/>
          <w:i/>
          <w:spacing w:val="40"/>
        </w:rPr>
        <w:t xml:space="preserve"> </w:t>
      </w:r>
      <w:r>
        <w:t xml:space="preserve">structures, meaning that they consist of discrete entities. Sense-perceptions are </w:t>
      </w:r>
      <w:r>
        <w:rPr>
          <w:b/>
          <w:i/>
        </w:rPr>
        <w:t xml:space="preserve">analogue </w:t>
      </w:r>
      <w:r>
        <w:t>structures, meaning that they don’t.)</w:t>
      </w:r>
    </w:p>
    <w:p w14:paraId="7E000D85" w14:textId="77777777" w:rsidR="009A58DB" w:rsidRDefault="00000000">
      <w:pPr>
        <w:pStyle w:val="BodyText"/>
        <w:spacing w:before="13" w:line="249" w:lineRule="auto"/>
        <w:ind w:right="358" w:firstLine="360"/>
        <w:rPr>
          <w:position w:val="21"/>
        </w:rPr>
      </w:pPr>
      <w:r>
        <w:t>Also, any sentence must be interpreted to be understood. To understand</w:t>
      </w:r>
      <w:r>
        <w:rPr>
          <w:spacing w:val="40"/>
        </w:rPr>
        <w:t xml:space="preserve"> </w:t>
      </w:r>
      <w:r>
        <w:t>the sentence “there is a man wearing a leather jacket over there,” you must know the relevant semantic rule (i.e., you must know the rules that assign meaning</w:t>
      </w:r>
      <w:r>
        <w:rPr>
          <w:spacing w:val="-3"/>
        </w:rPr>
        <w:t xml:space="preserve"> </w:t>
      </w:r>
      <w:r>
        <w:t>to</w:t>
      </w:r>
      <w:r>
        <w:rPr>
          <w:spacing w:val="-3"/>
        </w:rPr>
        <w:t xml:space="preserve"> </w:t>
      </w:r>
      <w:r>
        <w:t>that</w:t>
      </w:r>
      <w:r>
        <w:rPr>
          <w:spacing w:val="-3"/>
        </w:rPr>
        <w:t xml:space="preserve"> </w:t>
      </w:r>
      <w:r>
        <w:t>sentence).</w:t>
      </w:r>
      <w:r>
        <w:rPr>
          <w:spacing w:val="-3"/>
        </w:rPr>
        <w:t xml:space="preserve"> </w:t>
      </w:r>
      <w:r>
        <w:t>But</w:t>
      </w:r>
      <w:r>
        <w:rPr>
          <w:spacing w:val="-3"/>
        </w:rPr>
        <w:t xml:space="preserve"> </w:t>
      </w:r>
      <w:r>
        <w:t>you</w:t>
      </w:r>
      <w:r>
        <w:rPr>
          <w:spacing w:val="-3"/>
        </w:rPr>
        <w:t xml:space="preserve"> </w:t>
      </w:r>
      <w:r>
        <w:t>don’t</w:t>
      </w:r>
      <w:r>
        <w:rPr>
          <w:spacing w:val="-3"/>
        </w:rPr>
        <w:t xml:space="preserve"> </w:t>
      </w:r>
      <w:r>
        <w:t>have</w:t>
      </w:r>
      <w:r>
        <w:rPr>
          <w:spacing w:val="-3"/>
        </w:rPr>
        <w:t xml:space="preserve"> </w:t>
      </w:r>
      <w:r>
        <w:t>to</w:t>
      </w:r>
      <w:r>
        <w:rPr>
          <w:spacing w:val="-3"/>
        </w:rPr>
        <w:t xml:space="preserve"> </w:t>
      </w:r>
      <w:r>
        <w:t>interpret</w:t>
      </w:r>
      <w:r>
        <w:rPr>
          <w:spacing w:val="-3"/>
        </w:rPr>
        <w:t xml:space="preserve"> </w:t>
      </w:r>
      <w:r>
        <w:t>a</w:t>
      </w:r>
      <w:r>
        <w:rPr>
          <w:spacing w:val="-3"/>
        </w:rPr>
        <w:t xml:space="preserve"> </w:t>
      </w:r>
      <w:r>
        <w:t>visual</w:t>
      </w:r>
      <w:r>
        <w:rPr>
          <w:spacing w:val="-3"/>
        </w:rPr>
        <w:t xml:space="preserve"> </w:t>
      </w:r>
      <w:r>
        <w:t>perception, at least not in the same way. Perceptions are “self-interpreting” in a way that sentences are not.</w:t>
      </w:r>
      <w:bookmarkStart w:id="167" w:name="_bookmark167"/>
      <w:bookmarkEnd w:id="167"/>
      <w:r>
        <w:rPr>
          <w:color w:val="0562C1"/>
          <w:position w:val="21"/>
          <w:u w:val="single" w:color="0562C1"/>
        </w:rPr>
        <w:t>[99]</w:t>
      </w:r>
    </w:p>
    <w:p w14:paraId="7E000D86" w14:textId="77777777" w:rsidR="009A58DB" w:rsidRDefault="009A58DB">
      <w:pPr>
        <w:pStyle w:val="BodyText"/>
        <w:spacing w:line="249" w:lineRule="auto"/>
        <w:rPr>
          <w:position w:val="21"/>
        </w:rPr>
        <w:sectPr w:rsidR="009A58DB">
          <w:pgSz w:w="12240" w:h="15840"/>
          <w:pgMar w:top="1380" w:right="1080" w:bottom="280" w:left="1080" w:header="720" w:footer="720" w:gutter="0"/>
          <w:cols w:space="720"/>
        </w:sectPr>
      </w:pPr>
    </w:p>
    <w:p w14:paraId="7E000D87" w14:textId="77777777" w:rsidR="009A58DB" w:rsidRDefault="00000000">
      <w:pPr>
        <w:pStyle w:val="Heading1"/>
        <w:numPr>
          <w:ilvl w:val="1"/>
          <w:numId w:val="181"/>
        </w:numPr>
        <w:tabs>
          <w:tab w:val="left" w:pos="1409"/>
        </w:tabs>
        <w:spacing w:before="58"/>
        <w:ind w:left="1409" w:hanging="1049"/>
        <w:rPr>
          <w:rFonts w:ascii="Liberation Serif"/>
        </w:rPr>
      </w:pPr>
      <w:r>
        <w:rPr>
          <w:rFonts w:ascii="Liberation Serif"/>
        </w:rPr>
        <w:lastRenderedPageBreak/>
        <w:t>Third</w:t>
      </w:r>
      <w:r>
        <w:rPr>
          <w:rFonts w:ascii="Liberation Serif"/>
          <w:spacing w:val="-5"/>
        </w:rPr>
        <w:t xml:space="preserve"> </w:t>
      </w:r>
      <w:r>
        <w:rPr>
          <w:rFonts w:ascii="Liberation Serif"/>
          <w:spacing w:val="-2"/>
        </w:rPr>
        <w:t>reason</w:t>
      </w:r>
    </w:p>
    <w:p w14:paraId="7E000D88" w14:textId="77777777" w:rsidR="009A58DB" w:rsidRDefault="00000000">
      <w:pPr>
        <w:pStyle w:val="BodyText"/>
        <w:spacing w:before="139" w:line="249" w:lineRule="auto"/>
        <w:ind w:right="358"/>
      </w:pPr>
      <w:r>
        <w:t xml:space="preserve">In order to learn a language, one must already be able to think. To learn English is to learn that certain sounds have certain meanings; and in order to be able to do this, you already have to be able to synthesize information—to make judgments, on the basis of experience, as to what sounds have what meanings. So knowledge of a language </w:t>
      </w:r>
      <w:r>
        <w:rPr>
          <w:i/>
        </w:rPr>
        <w:t>pre</w:t>
      </w:r>
      <w:r>
        <w:t>supposes the ability to think.</w:t>
      </w:r>
    </w:p>
    <w:p w14:paraId="7E000D89" w14:textId="77777777" w:rsidR="009A58DB" w:rsidRDefault="00000000">
      <w:pPr>
        <w:pStyle w:val="Heading1"/>
        <w:numPr>
          <w:ilvl w:val="1"/>
          <w:numId w:val="181"/>
        </w:numPr>
        <w:tabs>
          <w:tab w:val="left" w:pos="1409"/>
        </w:tabs>
        <w:spacing w:before="194"/>
        <w:ind w:left="1409" w:hanging="1049"/>
        <w:rPr>
          <w:rFonts w:ascii="Liberation Serif"/>
        </w:rPr>
      </w:pPr>
      <w:r>
        <w:rPr>
          <w:rFonts w:ascii="Liberation Serif"/>
        </w:rPr>
        <w:t>Fourth</w:t>
      </w:r>
      <w:r>
        <w:rPr>
          <w:rFonts w:ascii="Liberation Serif"/>
          <w:spacing w:val="-5"/>
        </w:rPr>
        <w:t xml:space="preserve"> </w:t>
      </w:r>
      <w:r>
        <w:rPr>
          <w:rFonts w:ascii="Liberation Serif"/>
          <w:spacing w:val="-2"/>
        </w:rPr>
        <w:t>reason</w:t>
      </w:r>
    </w:p>
    <w:p w14:paraId="7E000D8A" w14:textId="77777777" w:rsidR="009A58DB" w:rsidRDefault="00000000">
      <w:pPr>
        <w:pStyle w:val="BodyText"/>
        <w:spacing w:before="139" w:line="249" w:lineRule="auto"/>
        <w:ind w:right="361"/>
      </w:pPr>
      <w:r>
        <w:t>Different sentences can have the same meaning, and a single sentence can have multiple meanings.</w:t>
      </w:r>
    </w:p>
    <w:p w14:paraId="7E000D8B" w14:textId="77777777" w:rsidR="009A58DB" w:rsidRDefault="00000000">
      <w:pPr>
        <w:pStyle w:val="BodyText"/>
        <w:spacing w:before="2" w:line="249" w:lineRule="auto"/>
        <w:ind w:right="359"/>
      </w:pPr>
      <w:r>
        <w:t>What you think when you think that Bob loves Mary is identical with what you think when you think that Mary is loved by Bob. But the sentence “Bob loves Mary” is different from the sentence “Mary is loved by Bob,” even though they mean the same thing. So if you thought in English sentences, then the belief you’d have by virtue of accepting the sentence “Bob loves Mary” would be totally different from the belief you’d have by virtue of accepting the sentence “Mary is loved by Bob.” But the belief you have in virtue of accepting the one sentence is identical with the belief you have in virtue of accepting the other.</w:t>
      </w:r>
    </w:p>
    <w:p w14:paraId="7E000D8C" w14:textId="77777777" w:rsidR="009A58DB" w:rsidRDefault="00000000">
      <w:pPr>
        <w:pStyle w:val="BodyText"/>
        <w:spacing w:before="11" w:line="249" w:lineRule="auto"/>
        <w:ind w:right="361" w:firstLine="360"/>
        <w:rPr>
          <w:position w:val="21"/>
        </w:rPr>
      </w:pPr>
      <w:r>
        <w:t xml:space="preserve">Also, if you thought in language, you couldn’t disambiguate ambiguous sentences. If your thinking </w:t>
      </w:r>
      <w:r>
        <w:rPr>
          <w:i/>
        </w:rPr>
        <w:t xml:space="preserve">Bob is dumb (i.e., unintelligent) </w:t>
      </w:r>
      <w:r>
        <w:t xml:space="preserve">were identical with there being an occurrence in your mind of the sentence “Bob is dumb,” then your thinking </w:t>
      </w:r>
      <w:r>
        <w:rPr>
          <w:i/>
        </w:rPr>
        <w:t xml:space="preserve">Bob is dumb (i.e., he can’t speak) </w:t>
      </w:r>
      <w:r>
        <w:t xml:space="preserve">would be identical with there being an occurrence in your mind of that same sentence going off in your head, and those thoughts would therefore be identical. But they are not identical. So your thinking </w:t>
      </w:r>
      <w:r>
        <w:rPr>
          <w:i/>
        </w:rPr>
        <w:t xml:space="preserve">Bob is dumb (i.e., unintelligent) </w:t>
      </w:r>
      <w:r>
        <w:t>is not identical with your thinking “Bob is dumb.</w:t>
      </w:r>
      <w:bookmarkStart w:id="168" w:name="_bookmark168"/>
      <w:bookmarkEnd w:id="168"/>
      <w:r>
        <w:t>”</w:t>
      </w:r>
      <w:r>
        <w:rPr>
          <w:color w:val="0562C1"/>
          <w:position w:val="21"/>
          <w:u w:val="single" w:color="0562C1"/>
        </w:rPr>
        <w:t>[100]</w:t>
      </w:r>
    </w:p>
    <w:p w14:paraId="7E000D8D" w14:textId="77777777" w:rsidR="009A58DB" w:rsidRDefault="00000000">
      <w:pPr>
        <w:pStyle w:val="Heading1"/>
        <w:numPr>
          <w:ilvl w:val="1"/>
          <w:numId w:val="181"/>
        </w:numPr>
        <w:tabs>
          <w:tab w:val="left" w:pos="1409"/>
        </w:tabs>
        <w:spacing w:before="213"/>
        <w:ind w:left="1409" w:hanging="1049"/>
        <w:rPr>
          <w:rFonts w:ascii="Liberation Serif"/>
        </w:rPr>
      </w:pPr>
      <w:r>
        <w:rPr>
          <w:rFonts w:ascii="Liberation Serif"/>
        </w:rPr>
        <w:t>Fifth</w:t>
      </w:r>
      <w:r>
        <w:rPr>
          <w:rFonts w:ascii="Liberation Serif"/>
          <w:spacing w:val="-5"/>
        </w:rPr>
        <w:t xml:space="preserve"> </w:t>
      </w:r>
      <w:r>
        <w:rPr>
          <w:rFonts w:ascii="Liberation Serif"/>
        </w:rPr>
        <w:t>reason</w:t>
      </w:r>
      <w:r>
        <w:rPr>
          <w:rFonts w:ascii="Liberation Serif"/>
          <w:spacing w:val="-4"/>
        </w:rPr>
        <w:t xml:space="preserve"> </w:t>
      </w:r>
      <w:r>
        <w:rPr>
          <w:rFonts w:ascii="Liberation Serif"/>
        </w:rPr>
        <w:t>(similar</w:t>
      </w:r>
      <w:r>
        <w:rPr>
          <w:rFonts w:ascii="Liberation Serif"/>
          <w:spacing w:val="-5"/>
        </w:rPr>
        <w:t xml:space="preserve"> </w:t>
      </w:r>
      <w:r>
        <w:rPr>
          <w:rFonts w:ascii="Liberation Serif"/>
        </w:rPr>
        <w:t>to</w:t>
      </w:r>
      <w:r>
        <w:rPr>
          <w:rFonts w:ascii="Liberation Serif"/>
          <w:spacing w:val="-3"/>
        </w:rPr>
        <w:t xml:space="preserve"> </w:t>
      </w:r>
      <w:r>
        <w:rPr>
          <w:rFonts w:ascii="Liberation Serif"/>
        </w:rPr>
        <w:t>reason</w:t>
      </w:r>
      <w:r>
        <w:rPr>
          <w:rFonts w:ascii="Liberation Serif"/>
          <w:spacing w:val="-4"/>
        </w:rPr>
        <w:t xml:space="preserve"> </w:t>
      </w:r>
      <w:r>
        <w:rPr>
          <w:rFonts w:ascii="Liberation Serif"/>
          <w:spacing w:val="-5"/>
        </w:rPr>
        <w:t>#4)</w:t>
      </w:r>
    </w:p>
    <w:p w14:paraId="7E000D8E" w14:textId="77777777" w:rsidR="009A58DB" w:rsidRDefault="00000000">
      <w:pPr>
        <w:pStyle w:val="BodyText"/>
        <w:spacing w:before="139" w:line="249" w:lineRule="auto"/>
        <w:ind w:right="358"/>
      </w:pPr>
      <w:r>
        <w:t>People who speak different languages can have the same thoughts. Monolingual Spanish speakers believe that 1 + 1 = 2, and so do monolingual English</w:t>
      </w:r>
      <w:r>
        <w:rPr>
          <w:spacing w:val="-3"/>
        </w:rPr>
        <w:t xml:space="preserve"> </w:t>
      </w:r>
      <w:r>
        <w:t>speakers.</w:t>
      </w:r>
      <w:r>
        <w:rPr>
          <w:spacing w:val="-3"/>
        </w:rPr>
        <w:t xml:space="preserve"> </w:t>
      </w:r>
      <w:r>
        <w:t>But</w:t>
      </w:r>
      <w:r>
        <w:rPr>
          <w:spacing w:val="-4"/>
        </w:rPr>
        <w:t xml:space="preserve"> </w:t>
      </w:r>
      <w:r>
        <w:t>English</w:t>
      </w:r>
      <w:r>
        <w:rPr>
          <w:spacing w:val="-3"/>
        </w:rPr>
        <w:t xml:space="preserve"> </w:t>
      </w:r>
      <w:r>
        <w:t>and</w:t>
      </w:r>
      <w:r>
        <w:rPr>
          <w:spacing w:val="-3"/>
        </w:rPr>
        <w:t xml:space="preserve"> </w:t>
      </w:r>
      <w:r>
        <w:t>Spanish</w:t>
      </w:r>
      <w:r>
        <w:rPr>
          <w:spacing w:val="-3"/>
        </w:rPr>
        <w:t xml:space="preserve"> </w:t>
      </w:r>
      <w:r>
        <w:t>speakers</w:t>
      </w:r>
      <w:r>
        <w:rPr>
          <w:spacing w:val="-4"/>
        </w:rPr>
        <w:t xml:space="preserve"> </w:t>
      </w:r>
      <w:r>
        <w:t>use</w:t>
      </w:r>
      <w:r>
        <w:rPr>
          <w:spacing w:val="-4"/>
        </w:rPr>
        <w:t xml:space="preserve"> </w:t>
      </w:r>
      <w:r>
        <w:t>different</w:t>
      </w:r>
      <w:r>
        <w:rPr>
          <w:spacing w:val="-4"/>
        </w:rPr>
        <w:t xml:space="preserve"> </w:t>
      </w:r>
      <w:r>
        <w:t>sentences</w:t>
      </w:r>
      <w:r>
        <w:rPr>
          <w:spacing w:val="-4"/>
        </w:rPr>
        <w:t xml:space="preserve"> </w:t>
      </w:r>
      <w:r>
        <w:t>to express that truth, showing that thinking that truth cannot be identical with thinking</w:t>
      </w:r>
      <w:r>
        <w:rPr>
          <w:spacing w:val="29"/>
        </w:rPr>
        <w:t xml:space="preserve"> </w:t>
      </w:r>
      <w:r>
        <w:t>a</w:t>
      </w:r>
      <w:r>
        <w:rPr>
          <w:spacing w:val="31"/>
        </w:rPr>
        <w:t xml:space="preserve"> </w:t>
      </w:r>
      <w:r>
        <w:t>sentence</w:t>
      </w:r>
      <w:r>
        <w:rPr>
          <w:spacing w:val="31"/>
        </w:rPr>
        <w:t xml:space="preserve"> </w:t>
      </w:r>
      <w:r>
        <w:t>of</w:t>
      </w:r>
      <w:r>
        <w:rPr>
          <w:spacing w:val="31"/>
        </w:rPr>
        <w:t xml:space="preserve"> </w:t>
      </w:r>
      <w:r>
        <w:t>English</w:t>
      </w:r>
      <w:r>
        <w:rPr>
          <w:spacing w:val="31"/>
        </w:rPr>
        <w:t xml:space="preserve"> </w:t>
      </w:r>
      <w:r>
        <w:t>or</w:t>
      </w:r>
      <w:r>
        <w:rPr>
          <w:spacing w:val="31"/>
        </w:rPr>
        <w:t xml:space="preserve"> </w:t>
      </w:r>
      <w:r>
        <w:t>Spanish</w:t>
      </w:r>
      <w:r>
        <w:rPr>
          <w:spacing w:val="31"/>
        </w:rPr>
        <w:t xml:space="preserve"> </w:t>
      </w:r>
      <w:r>
        <w:t>or,</w:t>
      </w:r>
      <w:r>
        <w:rPr>
          <w:spacing w:val="31"/>
        </w:rPr>
        <w:t xml:space="preserve"> </w:t>
      </w:r>
      <w:r>
        <w:t>by</w:t>
      </w:r>
      <w:r>
        <w:rPr>
          <w:spacing w:val="31"/>
        </w:rPr>
        <w:t xml:space="preserve"> </w:t>
      </w:r>
      <w:r>
        <w:t>obvious</w:t>
      </w:r>
      <w:r>
        <w:rPr>
          <w:spacing w:val="31"/>
        </w:rPr>
        <w:t xml:space="preserve"> </w:t>
      </w:r>
      <w:r>
        <w:t>extensions</w:t>
      </w:r>
      <w:r>
        <w:rPr>
          <w:spacing w:val="31"/>
        </w:rPr>
        <w:t xml:space="preserve"> </w:t>
      </w:r>
      <w:r>
        <w:t>of</w:t>
      </w:r>
      <w:r>
        <w:rPr>
          <w:spacing w:val="32"/>
        </w:rPr>
        <w:t xml:space="preserve"> </w:t>
      </w:r>
      <w:r>
        <w:rPr>
          <w:spacing w:val="-4"/>
        </w:rPr>
        <w:t>this</w:t>
      </w:r>
    </w:p>
    <w:p w14:paraId="7E000D8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90" w14:textId="77777777" w:rsidR="009A58DB" w:rsidRDefault="00000000">
      <w:pPr>
        <w:pStyle w:val="BodyText"/>
        <w:spacing w:before="70"/>
      </w:pPr>
      <w:r>
        <w:lastRenderedPageBreak/>
        <w:t>line</w:t>
      </w:r>
      <w:r>
        <w:rPr>
          <w:spacing w:val="-5"/>
        </w:rPr>
        <w:t xml:space="preserve"> </w:t>
      </w:r>
      <w:r>
        <w:t>of</w:t>
      </w:r>
      <w:r>
        <w:rPr>
          <w:spacing w:val="-2"/>
        </w:rPr>
        <w:t xml:space="preserve"> </w:t>
      </w:r>
      <w:r>
        <w:t>thought,</w:t>
      </w:r>
      <w:r>
        <w:rPr>
          <w:spacing w:val="-2"/>
        </w:rPr>
        <w:t xml:space="preserve"> </w:t>
      </w:r>
      <w:r>
        <w:t>any</w:t>
      </w:r>
      <w:r>
        <w:rPr>
          <w:spacing w:val="-1"/>
        </w:rPr>
        <w:t xml:space="preserve"> </w:t>
      </w:r>
      <w:r>
        <w:t>other</w:t>
      </w:r>
      <w:r>
        <w:rPr>
          <w:spacing w:val="-2"/>
        </w:rPr>
        <w:t xml:space="preserve"> language.</w:t>
      </w:r>
    </w:p>
    <w:p w14:paraId="7E000D91" w14:textId="77777777" w:rsidR="009A58DB" w:rsidRDefault="00000000">
      <w:pPr>
        <w:pStyle w:val="Heading1"/>
        <w:numPr>
          <w:ilvl w:val="1"/>
          <w:numId w:val="181"/>
        </w:numPr>
        <w:tabs>
          <w:tab w:val="left" w:pos="1409"/>
        </w:tabs>
        <w:spacing w:before="198"/>
        <w:ind w:left="1409" w:hanging="1049"/>
        <w:rPr>
          <w:rFonts w:ascii="Liberation Serif"/>
        </w:rPr>
      </w:pPr>
      <w:r>
        <w:rPr>
          <w:rFonts w:ascii="Liberation Serif"/>
        </w:rPr>
        <w:t>Sixth</w:t>
      </w:r>
      <w:r>
        <w:rPr>
          <w:rFonts w:ascii="Liberation Serif"/>
          <w:spacing w:val="-4"/>
        </w:rPr>
        <w:t xml:space="preserve"> </w:t>
      </w:r>
      <w:r>
        <w:rPr>
          <w:rFonts w:ascii="Liberation Serif"/>
          <w:spacing w:val="-2"/>
        </w:rPr>
        <w:t>reason</w:t>
      </w:r>
    </w:p>
    <w:p w14:paraId="7E000D92" w14:textId="77777777" w:rsidR="009A58DB" w:rsidRDefault="00000000">
      <w:pPr>
        <w:pStyle w:val="BodyText"/>
        <w:spacing w:before="139" w:line="249" w:lineRule="auto"/>
        <w:ind w:right="360"/>
      </w:pPr>
      <w:r>
        <w:t>Understanding sentences involves thought. You must be able to think to understand what is meant by “if snow is cold, then snow is not hot.” This is because, in order to understand that sentence, you must be able to pair it off with the right meaning, and your pairing that sentence off with the right meaning is obviously different from an image of that sentence flashing through your mind. If I hear a sentence of a language that I don’t understand, it</w:t>
      </w:r>
      <w:r>
        <w:rPr>
          <w:spacing w:val="-2"/>
        </w:rPr>
        <w:t xml:space="preserve"> </w:t>
      </w:r>
      <w:r>
        <w:t>may</w:t>
      </w:r>
      <w:r>
        <w:rPr>
          <w:spacing w:val="-1"/>
        </w:rPr>
        <w:t xml:space="preserve"> </w:t>
      </w:r>
      <w:r>
        <w:t>pass</w:t>
      </w:r>
      <w:r>
        <w:rPr>
          <w:spacing w:val="-1"/>
        </w:rPr>
        <w:t xml:space="preserve"> </w:t>
      </w:r>
      <w:r>
        <w:t>through</w:t>
      </w:r>
      <w:r>
        <w:rPr>
          <w:spacing w:val="-1"/>
        </w:rPr>
        <w:t xml:space="preserve"> </w:t>
      </w:r>
      <w:r>
        <w:t>my</w:t>
      </w:r>
      <w:r>
        <w:rPr>
          <w:spacing w:val="-1"/>
        </w:rPr>
        <w:t xml:space="preserve"> </w:t>
      </w:r>
      <w:r>
        <w:t>mind</w:t>
      </w:r>
      <w:r>
        <w:rPr>
          <w:spacing w:val="-1"/>
        </w:rPr>
        <w:t xml:space="preserve"> </w:t>
      </w:r>
      <w:r>
        <w:t>later</w:t>
      </w:r>
      <w:r>
        <w:rPr>
          <w:spacing w:val="-1"/>
        </w:rPr>
        <w:t xml:space="preserve"> </w:t>
      </w:r>
      <w:r>
        <w:t>(i.e.,</w:t>
      </w:r>
      <w:r>
        <w:rPr>
          <w:spacing w:val="-1"/>
        </w:rPr>
        <w:t xml:space="preserve"> </w:t>
      </w:r>
      <w:r>
        <w:t>I’ll</w:t>
      </w:r>
      <w:r>
        <w:rPr>
          <w:spacing w:val="-2"/>
        </w:rPr>
        <w:t xml:space="preserve"> </w:t>
      </w:r>
      <w:r>
        <w:t>remember</w:t>
      </w:r>
      <w:r>
        <w:rPr>
          <w:spacing w:val="-1"/>
        </w:rPr>
        <w:t xml:space="preserve"> </w:t>
      </w:r>
      <w:r>
        <w:t>the</w:t>
      </w:r>
      <w:r>
        <w:rPr>
          <w:spacing w:val="-1"/>
        </w:rPr>
        <w:t xml:space="preserve"> </w:t>
      </w:r>
      <w:r>
        <w:t>sounds</w:t>
      </w:r>
      <w:r>
        <w:rPr>
          <w:spacing w:val="-1"/>
        </w:rPr>
        <w:t xml:space="preserve"> </w:t>
      </w:r>
      <w:r>
        <w:t>later,</w:t>
      </w:r>
      <w:r>
        <w:rPr>
          <w:spacing w:val="-1"/>
        </w:rPr>
        <w:t xml:space="preserve"> </w:t>
      </w:r>
      <w:r>
        <w:t>just</w:t>
      </w:r>
      <w:r>
        <w:rPr>
          <w:spacing w:val="-1"/>
        </w:rPr>
        <w:t xml:space="preserve"> </w:t>
      </w:r>
      <w:r>
        <w:t>as songs that one has heard often flash through one’s consciousness), but I</w:t>
      </w:r>
      <w:r>
        <w:rPr>
          <w:spacing w:val="40"/>
        </w:rPr>
        <w:t xml:space="preserve"> </w:t>
      </w:r>
      <w:r>
        <w:t xml:space="preserve">won’t know what it means. So understanding a sentence is different from its flashing through your mind. But if your thinking </w:t>
      </w:r>
      <w:r>
        <w:rPr>
          <w:i/>
        </w:rPr>
        <w:t xml:space="preserve">if snow is cold, then snow is not hot </w:t>
      </w:r>
      <w:r>
        <w:t xml:space="preserve">were identical with your thinking “if snow is cold, then snow is not hot,” then your having that thought </w:t>
      </w:r>
      <w:r>
        <w:rPr>
          <w:i/>
        </w:rPr>
        <w:t xml:space="preserve">would </w:t>
      </w:r>
      <w:r>
        <w:t>be identical with that sentence’s flashing through your mind. Since it isn’t, we don’t think in natural language.</w:t>
      </w:r>
    </w:p>
    <w:p w14:paraId="7E000D93" w14:textId="77777777" w:rsidR="009A58DB" w:rsidRDefault="00000000">
      <w:pPr>
        <w:pStyle w:val="Heading1"/>
        <w:numPr>
          <w:ilvl w:val="1"/>
          <w:numId w:val="180"/>
        </w:numPr>
        <w:tabs>
          <w:tab w:val="left" w:pos="1409"/>
        </w:tabs>
        <w:spacing w:before="219"/>
        <w:ind w:left="1409" w:hanging="1049"/>
        <w:rPr>
          <w:rFonts w:ascii="Liberation Serif"/>
        </w:rPr>
      </w:pPr>
      <w:r>
        <w:rPr>
          <w:rFonts w:ascii="Liberation Serif"/>
        </w:rPr>
        <w:t>Why</w:t>
      </w:r>
      <w:r>
        <w:rPr>
          <w:rFonts w:ascii="Liberation Serif"/>
          <w:spacing w:val="-4"/>
        </w:rPr>
        <w:t xml:space="preserve"> </w:t>
      </w:r>
      <w:r>
        <w:rPr>
          <w:rFonts w:ascii="Liberation Serif"/>
        </w:rPr>
        <w:t>version</w:t>
      </w:r>
      <w:r>
        <w:rPr>
          <w:rFonts w:ascii="Liberation Serif"/>
          <w:spacing w:val="-2"/>
        </w:rPr>
        <w:t xml:space="preserve"> </w:t>
      </w:r>
      <w:r>
        <w:rPr>
          <w:rFonts w:ascii="Liberation Serif"/>
        </w:rPr>
        <w:t>#2</w:t>
      </w:r>
      <w:r>
        <w:rPr>
          <w:rFonts w:ascii="Liberation Serif"/>
          <w:spacing w:val="-2"/>
        </w:rPr>
        <w:t xml:space="preserve"> </w:t>
      </w:r>
      <w:r>
        <w:rPr>
          <w:rFonts w:ascii="Liberation Serif"/>
        </w:rPr>
        <w:t>is</w:t>
      </w:r>
      <w:r>
        <w:rPr>
          <w:rFonts w:ascii="Liberation Serif"/>
          <w:spacing w:val="-2"/>
        </w:rPr>
        <w:t xml:space="preserve"> </w:t>
      </w:r>
      <w:r>
        <w:rPr>
          <w:rFonts w:ascii="Liberation Serif"/>
          <w:spacing w:val="-4"/>
        </w:rPr>
        <w:t>false</w:t>
      </w:r>
    </w:p>
    <w:p w14:paraId="7E000D94" w14:textId="77777777" w:rsidR="009A58DB" w:rsidRDefault="00000000">
      <w:pPr>
        <w:pStyle w:val="BodyText"/>
        <w:spacing w:before="139" w:line="249" w:lineRule="auto"/>
        <w:ind w:right="358"/>
      </w:pPr>
      <w:r>
        <w:t>Do we think in some innate code? No. (Some of the arguments that we used against</w:t>
      </w:r>
      <w:r>
        <w:rPr>
          <w:spacing w:val="-1"/>
        </w:rPr>
        <w:t xml:space="preserve"> </w:t>
      </w:r>
      <w:r>
        <w:t>Version #1 obviously apply to Version #2. So we</w:t>
      </w:r>
      <w:r>
        <w:rPr>
          <w:spacing w:val="-1"/>
        </w:rPr>
        <w:t xml:space="preserve"> </w:t>
      </w:r>
      <w:r>
        <w:t>won’t</w:t>
      </w:r>
      <w:r>
        <w:rPr>
          <w:spacing w:val="-1"/>
        </w:rPr>
        <w:t xml:space="preserve"> </w:t>
      </w:r>
      <w:r>
        <w:t>repeat</w:t>
      </w:r>
      <w:r>
        <w:rPr>
          <w:spacing w:val="-1"/>
        </w:rPr>
        <w:t xml:space="preserve"> </w:t>
      </w:r>
      <w:r>
        <w:t>those.)</w:t>
      </w:r>
    </w:p>
    <w:p w14:paraId="7E000D95" w14:textId="77777777" w:rsidR="009A58DB" w:rsidRDefault="00000000">
      <w:pPr>
        <w:pStyle w:val="Heading1"/>
        <w:numPr>
          <w:ilvl w:val="1"/>
          <w:numId w:val="180"/>
        </w:numPr>
        <w:tabs>
          <w:tab w:val="left" w:pos="1409"/>
        </w:tabs>
        <w:spacing w:before="190"/>
        <w:ind w:left="1409" w:hanging="1049"/>
        <w:rPr>
          <w:rFonts w:ascii="Liberation Serif"/>
        </w:rPr>
      </w:pPr>
      <w:r>
        <w:rPr>
          <w:rFonts w:ascii="Liberation Serif"/>
        </w:rPr>
        <w:t>First</w:t>
      </w:r>
      <w:r>
        <w:rPr>
          <w:rFonts w:ascii="Liberation Serif"/>
          <w:spacing w:val="-5"/>
        </w:rPr>
        <w:t xml:space="preserve"> </w:t>
      </w:r>
      <w:r>
        <w:rPr>
          <w:rFonts w:ascii="Liberation Serif"/>
          <w:spacing w:val="-2"/>
        </w:rPr>
        <w:t>reason</w:t>
      </w:r>
    </w:p>
    <w:p w14:paraId="7E000D96" w14:textId="77777777" w:rsidR="009A58DB" w:rsidRDefault="00000000">
      <w:pPr>
        <w:pStyle w:val="BodyText"/>
        <w:spacing w:before="139" w:line="249" w:lineRule="auto"/>
        <w:ind w:right="358"/>
      </w:pPr>
      <w:r>
        <w:t xml:space="preserve">We often think in images (visual and auditory), and the contents of these images seem to have a structure that is fundamentally different from the structure of any sentence. Sentences are “digital” structures, meaning that they decompose into a finite number of distinct parts. Sense-perceptions are non-digital; they are “analogue” structures, meaning that they </w:t>
      </w:r>
      <w:r>
        <w:rPr>
          <w:i/>
        </w:rPr>
        <w:t xml:space="preserve">don’t </w:t>
      </w:r>
      <w:r>
        <w:t>decompose into discrete parts and are thus characterized by a kind of seamlessness that sharply distinguishes them from sentences.</w:t>
      </w:r>
    </w:p>
    <w:p w14:paraId="7E000D97" w14:textId="77777777" w:rsidR="009A58DB" w:rsidRDefault="00000000">
      <w:pPr>
        <w:pStyle w:val="Heading1"/>
        <w:numPr>
          <w:ilvl w:val="1"/>
          <w:numId w:val="180"/>
        </w:numPr>
        <w:tabs>
          <w:tab w:val="left" w:pos="1409"/>
        </w:tabs>
        <w:spacing w:before="197"/>
        <w:ind w:left="1409" w:hanging="1049"/>
        <w:rPr>
          <w:rFonts w:ascii="Liberation Serif"/>
        </w:rPr>
      </w:pPr>
      <w:r>
        <w:rPr>
          <w:rFonts w:ascii="Liberation Serif"/>
        </w:rPr>
        <w:t>Second</w:t>
      </w:r>
      <w:r>
        <w:rPr>
          <w:rFonts w:ascii="Liberation Serif"/>
          <w:spacing w:val="-5"/>
        </w:rPr>
        <w:t xml:space="preserve"> </w:t>
      </w:r>
      <w:r>
        <w:rPr>
          <w:rFonts w:ascii="Liberation Serif"/>
          <w:spacing w:val="-2"/>
        </w:rPr>
        <w:t>reason</w:t>
      </w:r>
    </w:p>
    <w:p w14:paraId="7E000D98" w14:textId="77777777" w:rsidR="009A58DB" w:rsidRDefault="00000000">
      <w:pPr>
        <w:pStyle w:val="BodyText"/>
        <w:spacing w:before="139" w:line="249" w:lineRule="auto"/>
        <w:ind w:right="360"/>
      </w:pPr>
      <w:r>
        <w:t>Knowing a language involves understanding the expressions belonging to it. Understanding such expressions involves knowing the rules that assign meaning</w:t>
      </w:r>
      <w:r>
        <w:rPr>
          <w:spacing w:val="23"/>
        </w:rPr>
        <w:t xml:space="preserve"> </w:t>
      </w:r>
      <w:r>
        <w:t>to</w:t>
      </w:r>
      <w:r>
        <w:rPr>
          <w:spacing w:val="23"/>
        </w:rPr>
        <w:t xml:space="preserve"> </w:t>
      </w:r>
      <w:r>
        <w:t>them.</w:t>
      </w:r>
      <w:r>
        <w:rPr>
          <w:spacing w:val="23"/>
        </w:rPr>
        <w:t xml:space="preserve"> </w:t>
      </w:r>
      <w:r>
        <w:t>One</w:t>
      </w:r>
      <w:r>
        <w:rPr>
          <w:spacing w:val="23"/>
        </w:rPr>
        <w:t xml:space="preserve"> </w:t>
      </w:r>
      <w:r>
        <w:t>can’t</w:t>
      </w:r>
      <w:r>
        <w:rPr>
          <w:spacing w:val="24"/>
        </w:rPr>
        <w:t xml:space="preserve"> </w:t>
      </w:r>
      <w:r>
        <w:t>understand</w:t>
      </w:r>
      <w:r>
        <w:rPr>
          <w:spacing w:val="23"/>
        </w:rPr>
        <w:t xml:space="preserve"> </w:t>
      </w:r>
      <w:r>
        <w:t>any</w:t>
      </w:r>
      <w:r>
        <w:rPr>
          <w:spacing w:val="23"/>
        </w:rPr>
        <w:t xml:space="preserve"> </w:t>
      </w:r>
      <w:r>
        <w:t>language,</w:t>
      </w:r>
      <w:r>
        <w:rPr>
          <w:spacing w:val="23"/>
        </w:rPr>
        <w:t xml:space="preserve"> </w:t>
      </w:r>
      <w:r>
        <w:t>including</w:t>
      </w:r>
      <w:r>
        <w:rPr>
          <w:spacing w:val="23"/>
        </w:rPr>
        <w:t xml:space="preserve"> </w:t>
      </w:r>
      <w:r>
        <w:t>an</w:t>
      </w:r>
      <w:r>
        <w:rPr>
          <w:spacing w:val="23"/>
        </w:rPr>
        <w:t xml:space="preserve"> </w:t>
      </w:r>
      <w:r>
        <w:t>innately</w:t>
      </w:r>
    </w:p>
    <w:p w14:paraId="7E000D9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9A" w14:textId="77777777" w:rsidR="009A58DB" w:rsidRDefault="00000000">
      <w:pPr>
        <w:pStyle w:val="BodyText"/>
        <w:spacing w:before="60" w:line="249" w:lineRule="auto"/>
        <w:ind w:right="361"/>
      </w:pPr>
      <w:r>
        <w:lastRenderedPageBreak/>
        <w:t>known one, without knowing such rules. But if one’s thought is entirely dependent on such a language, then one can’t know those rules, or anything else for that matter, without understanding those expressions. Therefore it is viciously circular to hold that we think in an innately known code.</w:t>
      </w:r>
    </w:p>
    <w:p w14:paraId="7E000D9B" w14:textId="77777777" w:rsidR="009A58DB" w:rsidRDefault="00000000">
      <w:pPr>
        <w:pStyle w:val="Heading3"/>
        <w:numPr>
          <w:ilvl w:val="2"/>
          <w:numId w:val="180"/>
        </w:numPr>
        <w:tabs>
          <w:tab w:val="left" w:pos="1597"/>
        </w:tabs>
        <w:spacing w:before="107" w:line="249" w:lineRule="auto"/>
        <w:ind w:right="369" w:firstLine="0"/>
        <w:rPr>
          <w:rFonts w:ascii="Liberation Serif"/>
        </w:rPr>
      </w:pPr>
      <w:r>
        <w:rPr>
          <w:rFonts w:ascii="Liberation Serif"/>
        </w:rPr>
        <w:t>How</w:t>
      </w:r>
      <w:r>
        <w:rPr>
          <w:rFonts w:ascii="Liberation Serif"/>
          <w:spacing w:val="40"/>
        </w:rPr>
        <w:t xml:space="preserve"> </w:t>
      </w:r>
      <w:r>
        <w:rPr>
          <w:rFonts w:ascii="Liberation Serif"/>
        </w:rPr>
        <w:t>advocates</w:t>
      </w:r>
      <w:r>
        <w:rPr>
          <w:rFonts w:ascii="Liberation Serif"/>
          <w:spacing w:val="40"/>
        </w:rPr>
        <w:t xml:space="preserve"> </w:t>
      </w:r>
      <w:r>
        <w:rPr>
          <w:rFonts w:ascii="Liberation Serif"/>
        </w:rPr>
        <w:t>of</w:t>
      </w:r>
      <w:r>
        <w:rPr>
          <w:rFonts w:ascii="Liberation Serif"/>
          <w:spacing w:val="40"/>
        </w:rPr>
        <w:t xml:space="preserve"> </w:t>
      </w:r>
      <w:r>
        <w:rPr>
          <w:rFonts w:ascii="Liberation Serif"/>
        </w:rPr>
        <w:t>the</w:t>
      </w:r>
      <w:r>
        <w:rPr>
          <w:rFonts w:ascii="Liberation Serif"/>
          <w:spacing w:val="40"/>
        </w:rPr>
        <w:t xml:space="preserve"> </w:t>
      </w:r>
      <w:r>
        <w:rPr>
          <w:rFonts w:ascii="Liberation Serif"/>
        </w:rPr>
        <w:t>view</w:t>
      </w:r>
      <w:r>
        <w:rPr>
          <w:rFonts w:ascii="Liberation Serif"/>
          <w:spacing w:val="40"/>
        </w:rPr>
        <w:t xml:space="preserve"> </w:t>
      </w:r>
      <w:r>
        <w:rPr>
          <w:rFonts w:ascii="Liberation Serif"/>
        </w:rPr>
        <w:t>in</w:t>
      </w:r>
      <w:r>
        <w:rPr>
          <w:rFonts w:ascii="Liberation Serif"/>
          <w:spacing w:val="40"/>
        </w:rPr>
        <w:t xml:space="preserve"> </w:t>
      </w:r>
      <w:r>
        <w:rPr>
          <w:rFonts w:ascii="Liberation Serif"/>
        </w:rPr>
        <w:t>question</w:t>
      </w:r>
      <w:r>
        <w:rPr>
          <w:rFonts w:ascii="Liberation Serif"/>
          <w:spacing w:val="40"/>
        </w:rPr>
        <w:t xml:space="preserve"> </w:t>
      </w:r>
      <w:r>
        <w:rPr>
          <w:rFonts w:ascii="Liberation Serif"/>
        </w:rPr>
        <w:t>deal</w:t>
      </w:r>
      <w:r>
        <w:rPr>
          <w:rFonts w:ascii="Liberation Serif"/>
          <w:spacing w:val="40"/>
        </w:rPr>
        <w:t xml:space="preserve"> </w:t>
      </w:r>
      <w:r>
        <w:rPr>
          <w:rFonts w:ascii="Liberation Serif"/>
        </w:rPr>
        <w:t>with</w:t>
      </w:r>
      <w:r>
        <w:rPr>
          <w:rFonts w:ascii="Liberation Serif"/>
          <w:spacing w:val="40"/>
        </w:rPr>
        <w:t xml:space="preserve"> </w:t>
      </w:r>
      <w:r>
        <w:rPr>
          <w:rFonts w:ascii="Liberation Serif"/>
        </w:rPr>
        <w:t xml:space="preserve">this </w:t>
      </w:r>
      <w:r>
        <w:rPr>
          <w:rFonts w:ascii="Liberation Serif"/>
          <w:spacing w:val="-2"/>
        </w:rPr>
        <w:t>argument</w:t>
      </w:r>
    </w:p>
    <w:p w14:paraId="7E000D9C" w14:textId="77777777" w:rsidR="009A58DB" w:rsidRDefault="00000000">
      <w:pPr>
        <w:pStyle w:val="BodyText"/>
        <w:spacing w:before="64" w:line="249" w:lineRule="auto"/>
        <w:ind w:right="359"/>
      </w:pPr>
      <w:r>
        <w:t xml:space="preserve">Advocates of the view that we think in an innate code deal with this problem by saying that, strictly speaking, we </w:t>
      </w:r>
      <w:r>
        <w:rPr>
          <w:i/>
        </w:rPr>
        <w:t xml:space="preserve">don’t </w:t>
      </w:r>
      <w:r>
        <w:t>understand the sentences of our innate code. We are merely “built to conform” to those sentences. In other words, although we don’t understand those sentences, we are so neurologically</w:t>
      </w:r>
      <w:r>
        <w:rPr>
          <w:spacing w:val="-3"/>
        </w:rPr>
        <w:t xml:space="preserve"> </w:t>
      </w:r>
      <w:r>
        <w:t>structured</w:t>
      </w:r>
      <w:r>
        <w:rPr>
          <w:spacing w:val="-3"/>
        </w:rPr>
        <w:t xml:space="preserve"> </w:t>
      </w:r>
      <w:r>
        <w:t>that</w:t>
      </w:r>
      <w:r>
        <w:rPr>
          <w:spacing w:val="-3"/>
        </w:rPr>
        <w:t xml:space="preserve"> </w:t>
      </w:r>
      <w:r>
        <w:t>they</w:t>
      </w:r>
      <w:r>
        <w:rPr>
          <w:spacing w:val="-3"/>
        </w:rPr>
        <w:t xml:space="preserve"> </w:t>
      </w:r>
      <w:r>
        <w:t>cause</w:t>
      </w:r>
      <w:r>
        <w:rPr>
          <w:spacing w:val="-3"/>
        </w:rPr>
        <w:t xml:space="preserve"> </w:t>
      </w:r>
      <w:r>
        <w:t>us</w:t>
      </w:r>
      <w:r>
        <w:rPr>
          <w:spacing w:val="-3"/>
        </w:rPr>
        <w:t xml:space="preserve"> </w:t>
      </w:r>
      <w:r>
        <w:t>to</w:t>
      </w:r>
      <w:r>
        <w:rPr>
          <w:spacing w:val="-3"/>
        </w:rPr>
        <w:t xml:space="preserve"> </w:t>
      </w:r>
      <w:r>
        <w:t>act</w:t>
      </w:r>
      <w:r>
        <w:rPr>
          <w:spacing w:val="-3"/>
        </w:rPr>
        <w:t xml:space="preserve"> </w:t>
      </w:r>
      <w:r>
        <w:t>in</w:t>
      </w:r>
      <w:r>
        <w:rPr>
          <w:spacing w:val="-3"/>
        </w:rPr>
        <w:t xml:space="preserve"> </w:t>
      </w:r>
      <w:r>
        <w:t>ways</w:t>
      </w:r>
      <w:r>
        <w:rPr>
          <w:spacing w:val="-3"/>
        </w:rPr>
        <w:t xml:space="preserve"> </w:t>
      </w:r>
      <w:r>
        <w:t>that</w:t>
      </w:r>
      <w:r>
        <w:rPr>
          <w:spacing w:val="-3"/>
        </w:rPr>
        <w:t xml:space="preserve"> </w:t>
      </w:r>
      <w:r>
        <w:t>are</w:t>
      </w:r>
      <w:r>
        <w:rPr>
          <w:spacing w:val="-3"/>
        </w:rPr>
        <w:t xml:space="preserve"> </w:t>
      </w:r>
      <w:r>
        <w:t>appropriate to the meanings of those sentences. So if the sentence of my innate code that means</w:t>
      </w:r>
      <w:r>
        <w:rPr>
          <w:spacing w:val="-3"/>
        </w:rPr>
        <w:t xml:space="preserve"> </w:t>
      </w:r>
      <w:r>
        <w:rPr>
          <w:i/>
        </w:rPr>
        <w:t>fire</w:t>
      </w:r>
      <w:r>
        <w:rPr>
          <w:i/>
          <w:spacing w:val="-3"/>
        </w:rPr>
        <w:t xml:space="preserve"> </w:t>
      </w:r>
      <w:r>
        <w:rPr>
          <w:i/>
        </w:rPr>
        <w:t>is</w:t>
      </w:r>
      <w:r>
        <w:rPr>
          <w:i/>
          <w:spacing w:val="-3"/>
        </w:rPr>
        <w:t xml:space="preserve"> </w:t>
      </w:r>
      <w:r>
        <w:rPr>
          <w:i/>
        </w:rPr>
        <w:t>hot</w:t>
      </w:r>
      <w:r>
        <w:rPr>
          <w:i/>
          <w:spacing w:val="-3"/>
        </w:rPr>
        <w:t xml:space="preserve"> </w:t>
      </w:r>
      <w:r>
        <w:t>goes</w:t>
      </w:r>
      <w:r>
        <w:rPr>
          <w:spacing w:val="-3"/>
        </w:rPr>
        <w:t xml:space="preserve"> </w:t>
      </w:r>
      <w:r>
        <w:t>off</w:t>
      </w:r>
      <w:r>
        <w:rPr>
          <w:spacing w:val="-3"/>
        </w:rPr>
        <w:t xml:space="preserve"> </w:t>
      </w:r>
      <w:r>
        <w:t>in</w:t>
      </w:r>
      <w:r>
        <w:rPr>
          <w:spacing w:val="-2"/>
        </w:rPr>
        <w:t xml:space="preserve"> </w:t>
      </w:r>
      <w:r>
        <w:t>my</w:t>
      </w:r>
      <w:r>
        <w:rPr>
          <w:spacing w:val="-2"/>
        </w:rPr>
        <w:t xml:space="preserve"> </w:t>
      </w:r>
      <w:r>
        <w:t>head,</w:t>
      </w:r>
      <w:r>
        <w:rPr>
          <w:spacing w:val="-2"/>
        </w:rPr>
        <w:t xml:space="preserve"> </w:t>
      </w:r>
      <w:r>
        <w:t>that</w:t>
      </w:r>
      <w:r>
        <w:rPr>
          <w:spacing w:val="-3"/>
        </w:rPr>
        <w:t xml:space="preserve"> </w:t>
      </w:r>
      <w:r>
        <w:t>fact</w:t>
      </w:r>
      <w:r>
        <w:rPr>
          <w:spacing w:val="-3"/>
        </w:rPr>
        <w:t xml:space="preserve"> </w:t>
      </w:r>
      <w:r>
        <w:t>will</w:t>
      </w:r>
      <w:r>
        <w:rPr>
          <w:spacing w:val="-3"/>
        </w:rPr>
        <w:t xml:space="preserve"> </w:t>
      </w:r>
      <w:r>
        <w:rPr>
          <w:i/>
        </w:rPr>
        <w:t>cause</w:t>
      </w:r>
      <w:r>
        <w:rPr>
          <w:i/>
          <w:spacing w:val="-3"/>
        </w:rPr>
        <w:t xml:space="preserve"> </w:t>
      </w:r>
      <w:r>
        <w:t>me to go near fire if I’m cold and to stay away from it if I’m hot (or some such).</w:t>
      </w:r>
    </w:p>
    <w:p w14:paraId="7E000D9D" w14:textId="77777777" w:rsidR="009A58DB" w:rsidRDefault="00000000">
      <w:pPr>
        <w:pStyle w:val="Heading3"/>
        <w:numPr>
          <w:ilvl w:val="2"/>
          <w:numId w:val="180"/>
        </w:numPr>
        <w:tabs>
          <w:tab w:val="left" w:pos="1394"/>
        </w:tabs>
        <w:spacing w:before="93"/>
        <w:ind w:left="1394" w:hanging="1034"/>
        <w:rPr>
          <w:rFonts w:ascii="Liberation Serif" w:hAnsi="Liberation Serif"/>
        </w:rPr>
      </w:pPr>
      <w:r>
        <w:rPr>
          <w:rFonts w:ascii="Liberation Serif" w:hAnsi="Liberation Serif"/>
        </w:rPr>
        <w:t>Why</w:t>
      </w:r>
      <w:r>
        <w:rPr>
          <w:rFonts w:ascii="Liberation Serif" w:hAnsi="Liberation Serif"/>
          <w:spacing w:val="6"/>
        </w:rPr>
        <w:t xml:space="preserve"> </w:t>
      </w:r>
      <w:r>
        <w:rPr>
          <w:rFonts w:ascii="Liberation Serif" w:hAnsi="Liberation Serif"/>
        </w:rPr>
        <w:t>this</w:t>
      </w:r>
      <w:r>
        <w:rPr>
          <w:rFonts w:ascii="Liberation Serif" w:hAnsi="Liberation Serif"/>
          <w:spacing w:val="6"/>
        </w:rPr>
        <w:t xml:space="preserve"> </w:t>
      </w:r>
      <w:r>
        <w:rPr>
          <w:rFonts w:ascii="Liberation Serif" w:hAnsi="Liberation Serif"/>
        </w:rPr>
        <w:t>move</w:t>
      </w:r>
      <w:r>
        <w:rPr>
          <w:rFonts w:ascii="Liberation Serif" w:hAnsi="Liberation Serif"/>
          <w:spacing w:val="6"/>
        </w:rPr>
        <w:t xml:space="preserve"> </w:t>
      </w:r>
      <w:r>
        <w:rPr>
          <w:rFonts w:ascii="Liberation Serif" w:hAnsi="Liberation Serif"/>
        </w:rPr>
        <w:t>doesn’t</w:t>
      </w:r>
      <w:r>
        <w:rPr>
          <w:rFonts w:ascii="Liberation Serif" w:hAnsi="Liberation Serif"/>
          <w:spacing w:val="6"/>
        </w:rPr>
        <w:t xml:space="preserve"> </w:t>
      </w:r>
      <w:r>
        <w:rPr>
          <w:rFonts w:ascii="Liberation Serif" w:hAnsi="Liberation Serif"/>
          <w:spacing w:val="-4"/>
        </w:rPr>
        <w:t>work</w:t>
      </w:r>
    </w:p>
    <w:p w14:paraId="7E000D9E" w14:textId="77777777" w:rsidR="009A58DB" w:rsidRDefault="00000000">
      <w:pPr>
        <w:pStyle w:val="BodyText"/>
        <w:spacing w:before="81" w:line="249" w:lineRule="auto"/>
        <w:ind w:right="358"/>
      </w:pPr>
      <w:r>
        <w:t>If</w:t>
      </w:r>
      <w:r>
        <w:rPr>
          <w:spacing w:val="-3"/>
        </w:rPr>
        <w:t xml:space="preserve"> </w:t>
      </w:r>
      <w:r>
        <w:t>a</w:t>
      </w:r>
      <w:r>
        <w:rPr>
          <w:spacing w:val="-3"/>
        </w:rPr>
        <w:t xml:space="preserve"> </w:t>
      </w:r>
      <w:r>
        <w:t>sentence</w:t>
      </w:r>
      <w:r>
        <w:rPr>
          <w:spacing w:val="-3"/>
        </w:rPr>
        <w:t xml:space="preserve"> </w:t>
      </w:r>
      <w:r>
        <w:t>isn’t</w:t>
      </w:r>
      <w:r>
        <w:rPr>
          <w:spacing w:val="-3"/>
        </w:rPr>
        <w:t xml:space="preserve"> </w:t>
      </w:r>
      <w:r>
        <w:t>understood</w:t>
      </w:r>
      <w:r>
        <w:rPr>
          <w:spacing w:val="-2"/>
        </w:rPr>
        <w:t xml:space="preserve"> </w:t>
      </w:r>
      <w:r>
        <w:t>by</w:t>
      </w:r>
      <w:r>
        <w:rPr>
          <w:spacing w:val="-2"/>
        </w:rPr>
        <w:t xml:space="preserve"> </w:t>
      </w:r>
      <w:r>
        <w:t>so</w:t>
      </w:r>
      <w:r>
        <w:rPr>
          <w:spacing w:val="-2"/>
        </w:rPr>
        <w:t xml:space="preserve"> </w:t>
      </w:r>
      <w:r>
        <w:t>and</w:t>
      </w:r>
      <w:r>
        <w:rPr>
          <w:spacing w:val="-2"/>
        </w:rPr>
        <w:t xml:space="preserve"> </w:t>
      </w:r>
      <w:r>
        <w:t>so,</w:t>
      </w:r>
      <w:r>
        <w:rPr>
          <w:spacing w:val="-2"/>
        </w:rPr>
        <w:t xml:space="preserve"> </w:t>
      </w:r>
      <w:r>
        <w:t>then</w:t>
      </w:r>
      <w:r>
        <w:rPr>
          <w:spacing w:val="-2"/>
        </w:rPr>
        <w:t xml:space="preserve"> </w:t>
      </w:r>
      <w:r>
        <w:t>from</w:t>
      </w:r>
      <w:r>
        <w:rPr>
          <w:spacing w:val="-3"/>
        </w:rPr>
        <w:t xml:space="preserve"> </w:t>
      </w:r>
      <w:r>
        <w:t>so</w:t>
      </w:r>
      <w:r>
        <w:rPr>
          <w:spacing w:val="-2"/>
        </w:rPr>
        <w:t xml:space="preserve"> </w:t>
      </w:r>
      <w:r>
        <w:t>and</w:t>
      </w:r>
      <w:r>
        <w:rPr>
          <w:spacing w:val="-2"/>
        </w:rPr>
        <w:t xml:space="preserve"> </w:t>
      </w:r>
      <w:r>
        <w:t>so’s</w:t>
      </w:r>
      <w:r>
        <w:rPr>
          <w:spacing w:val="-3"/>
        </w:rPr>
        <w:t xml:space="preserve"> </w:t>
      </w:r>
      <w:r>
        <w:t>viewpoint</w:t>
      </w:r>
      <w:r>
        <w:rPr>
          <w:spacing w:val="-3"/>
        </w:rPr>
        <w:t xml:space="preserve"> </w:t>
      </w:r>
      <w:r>
        <w:t xml:space="preserve">it is not functioning </w:t>
      </w:r>
      <w:r>
        <w:rPr>
          <w:i/>
        </w:rPr>
        <w:t xml:space="preserve">as </w:t>
      </w:r>
      <w:r>
        <w:t xml:space="preserve">a sentence. If, as advocates of the viewpoint just presented maintain, nobody understands the sentences that mediate their thoughts, then those sentences aren’t really functioning </w:t>
      </w:r>
      <w:r>
        <w:rPr>
          <w:i/>
        </w:rPr>
        <w:t xml:space="preserve">as </w:t>
      </w:r>
      <w:r>
        <w:t>sentences and, for all intents and purposes, they cease to be sentences.</w:t>
      </w:r>
    </w:p>
    <w:p w14:paraId="7E000D9F" w14:textId="77777777" w:rsidR="009A58DB" w:rsidRDefault="00000000">
      <w:pPr>
        <w:pStyle w:val="BodyText"/>
        <w:spacing w:before="6" w:line="249" w:lineRule="auto"/>
        <w:ind w:right="361" w:firstLine="360"/>
      </w:pPr>
      <w:r>
        <w:t xml:space="preserve">Here’s an analogy. Suppose that you have a book, but that, instead of reading it, you use it as a weapon—you throw it at your roommate, of whose antics you are growing increasingly tired. Even though the thing you are using as a weapon is a book, it is not in this context functioning </w:t>
      </w:r>
      <w:r>
        <w:rPr>
          <w:i/>
        </w:rPr>
        <w:t xml:space="preserve">as </w:t>
      </w:r>
      <w:r>
        <w:t>a book and, for all intents and purposes, is not a book. Similarly, if nobody understands the sentences that are, supposedly, identical with their own thoughts, then</w:t>
      </w:r>
      <w:r>
        <w:rPr>
          <w:spacing w:val="2"/>
        </w:rPr>
        <w:t xml:space="preserve"> </w:t>
      </w:r>
      <w:r>
        <w:t>those</w:t>
      </w:r>
      <w:r>
        <w:rPr>
          <w:spacing w:val="2"/>
        </w:rPr>
        <w:t xml:space="preserve"> </w:t>
      </w:r>
      <w:r>
        <w:t>sentences</w:t>
      </w:r>
      <w:r>
        <w:rPr>
          <w:spacing w:val="2"/>
        </w:rPr>
        <w:t xml:space="preserve"> </w:t>
      </w:r>
      <w:r>
        <w:t>aren’t</w:t>
      </w:r>
      <w:r>
        <w:rPr>
          <w:spacing w:val="3"/>
        </w:rPr>
        <w:t xml:space="preserve"> </w:t>
      </w:r>
      <w:r>
        <w:t>really</w:t>
      </w:r>
      <w:r>
        <w:rPr>
          <w:spacing w:val="2"/>
        </w:rPr>
        <w:t xml:space="preserve"> </w:t>
      </w:r>
      <w:r>
        <w:t>functioning</w:t>
      </w:r>
      <w:r>
        <w:rPr>
          <w:spacing w:val="2"/>
        </w:rPr>
        <w:t xml:space="preserve"> </w:t>
      </w:r>
      <w:r>
        <w:t>as</w:t>
      </w:r>
      <w:r>
        <w:rPr>
          <w:spacing w:val="2"/>
        </w:rPr>
        <w:t xml:space="preserve"> </w:t>
      </w:r>
      <w:r>
        <w:t>sentences</w:t>
      </w:r>
      <w:r>
        <w:rPr>
          <w:spacing w:val="3"/>
        </w:rPr>
        <w:t xml:space="preserve"> </w:t>
      </w:r>
      <w:r>
        <w:rPr>
          <w:spacing w:val="-2"/>
        </w:rPr>
        <w:t>anymore</w:t>
      </w:r>
    </w:p>
    <w:p w14:paraId="7E000DA0" w14:textId="77777777" w:rsidR="009A58DB" w:rsidRDefault="00000000">
      <w:pPr>
        <w:pStyle w:val="BodyText"/>
        <w:spacing w:before="9" w:line="249" w:lineRule="auto"/>
        <w:ind w:right="366"/>
      </w:pPr>
      <w:r>
        <w:t xml:space="preserve">—they’re functioning more like the copy of </w:t>
      </w:r>
      <w:r>
        <w:rPr>
          <w:i/>
        </w:rPr>
        <w:t xml:space="preserve">War and Peace </w:t>
      </w:r>
      <w:r>
        <w:t>that, instead of being read, is being hurled at one’s roommate. In any case, to say that our thoughts</w:t>
      </w:r>
      <w:r>
        <w:rPr>
          <w:spacing w:val="-4"/>
        </w:rPr>
        <w:t xml:space="preserve"> </w:t>
      </w:r>
      <w:r>
        <w:t>are</w:t>
      </w:r>
      <w:r>
        <w:rPr>
          <w:spacing w:val="-4"/>
        </w:rPr>
        <w:t xml:space="preserve"> </w:t>
      </w:r>
      <w:r>
        <w:t>sentences</w:t>
      </w:r>
      <w:r>
        <w:rPr>
          <w:spacing w:val="-4"/>
        </w:rPr>
        <w:t xml:space="preserve"> </w:t>
      </w:r>
      <w:r>
        <w:t>that</w:t>
      </w:r>
      <w:r>
        <w:rPr>
          <w:spacing w:val="-4"/>
        </w:rPr>
        <w:t xml:space="preserve"> </w:t>
      </w:r>
      <w:r>
        <w:t>we</w:t>
      </w:r>
      <w:r>
        <w:rPr>
          <w:spacing w:val="-4"/>
        </w:rPr>
        <w:t xml:space="preserve"> </w:t>
      </w:r>
      <w:r>
        <w:t>never</w:t>
      </w:r>
      <w:r>
        <w:rPr>
          <w:spacing w:val="-4"/>
        </w:rPr>
        <w:t xml:space="preserve"> </w:t>
      </w:r>
      <w:r>
        <w:t>understand</w:t>
      </w:r>
      <w:r>
        <w:rPr>
          <w:spacing w:val="-3"/>
        </w:rPr>
        <w:t xml:space="preserve"> </w:t>
      </w:r>
      <w:r>
        <w:t>is</w:t>
      </w:r>
      <w:r>
        <w:rPr>
          <w:spacing w:val="-4"/>
        </w:rPr>
        <w:t xml:space="preserve"> </w:t>
      </w:r>
      <w:r>
        <w:t>to</w:t>
      </w:r>
      <w:r>
        <w:rPr>
          <w:spacing w:val="-3"/>
        </w:rPr>
        <w:t xml:space="preserve"> </w:t>
      </w:r>
      <w:r>
        <w:t>take</w:t>
      </w:r>
      <w:r>
        <w:rPr>
          <w:spacing w:val="-4"/>
        </w:rPr>
        <w:t xml:space="preserve"> </w:t>
      </w:r>
      <w:r>
        <w:t>a</w:t>
      </w:r>
      <w:r>
        <w:rPr>
          <w:spacing w:val="-4"/>
        </w:rPr>
        <w:t xml:space="preserve"> </w:t>
      </w:r>
      <w:r>
        <w:t>very</w:t>
      </w:r>
      <w:r>
        <w:rPr>
          <w:spacing w:val="-3"/>
        </w:rPr>
        <w:t xml:space="preserve"> </w:t>
      </w:r>
      <w:r>
        <w:t>artificial</w:t>
      </w:r>
      <w:r>
        <w:rPr>
          <w:spacing w:val="-4"/>
        </w:rPr>
        <w:t xml:space="preserve"> </w:t>
      </w:r>
      <w:r>
        <w:t>and implausible view.</w:t>
      </w:r>
    </w:p>
    <w:p w14:paraId="7E000DA1" w14:textId="77777777" w:rsidR="009A58DB" w:rsidRDefault="00000000">
      <w:pPr>
        <w:pStyle w:val="BodyText"/>
        <w:spacing w:before="5" w:line="249" w:lineRule="auto"/>
        <w:ind w:right="362" w:firstLine="360"/>
      </w:pPr>
      <w:r>
        <w:t xml:space="preserve">So we may tentatively conclude that we </w:t>
      </w:r>
      <w:r>
        <w:rPr>
          <w:i/>
        </w:rPr>
        <w:t xml:space="preserve">don’t </w:t>
      </w:r>
      <w:r>
        <w:t>think in language, even though, undeniably, knowledge of language enormously enhances at least some of our cognitive capabilities.</w:t>
      </w:r>
    </w:p>
    <w:p w14:paraId="7E000DA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A3" w14:textId="77777777" w:rsidR="009A58DB" w:rsidRDefault="00000000">
      <w:pPr>
        <w:pStyle w:val="Heading1"/>
        <w:numPr>
          <w:ilvl w:val="0"/>
          <w:numId w:val="179"/>
        </w:numPr>
        <w:tabs>
          <w:tab w:val="left" w:pos="1080"/>
          <w:tab w:val="left" w:pos="1904"/>
        </w:tabs>
        <w:spacing w:before="58" w:line="244" w:lineRule="auto"/>
        <w:ind w:right="363" w:hanging="720"/>
        <w:jc w:val="both"/>
        <w:rPr>
          <w:rFonts w:ascii="Liberation Serif" w:hAnsi="Liberation Serif"/>
        </w:rPr>
      </w:pPr>
      <w:r>
        <w:rPr>
          <w:rFonts w:ascii="Liberation Serif" w:hAnsi="Liberation Serif"/>
        </w:rPr>
        <w:lastRenderedPageBreak/>
        <w:tab/>
        <w:t>Given that thoughts aren’t identical with sentence-tokens, why is it that knowledge of language enhances cognitive ability and why does it feel as though we think in words?</w:t>
      </w:r>
    </w:p>
    <w:p w14:paraId="7E000DA4" w14:textId="77777777" w:rsidR="009A58DB" w:rsidRDefault="00000000">
      <w:pPr>
        <w:pStyle w:val="BodyText"/>
        <w:spacing w:before="136" w:line="249" w:lineRule="auto"/>
        <w:ind w:right="359"/>
      </w:pPr>
      <w:r>
        <w:t>On your computer desktop, there are various “icons.” By manipulating these icons, you can perform various operations—you can close a document, open your email account, etc. But these icon-manipulations are but representations of changes in patterns of electrical activity to which they bear only an extremely schematic resemblance.</w:t>
      </w:r>
    </w:p>
    <w:p w14:paraId="7E000DA5" w14:textId="77777777" w:rsidR="009A58DB" w:rsidRDefault="00000000">
      <w:pPr>
        <w:pStyle w:val="BodyText"/>
        <w:spacing w:before="6" w:line="249" w:lineRule="auto"/>
        <w:ind w:right="358" w:firstLine="360"/>
      </w:pPr>
      <w:r>
        <w:t>When I’m thinking—when, for example, I’m trying to solve a problem (especially</w:t>
      </w:r>
      <w:r>
        <w:rPr>
          <w:spacing w:val="-3"/>
        </w:rPr>
        <w:t xml:space="preserve"> </w:t>
      </w:r>
      <w:r>
        <w:t>one</w:t>
      </w:r>
      <w:r>
        <w:rPr>
          <w:spacing w:val="-3"/>
        </w:rPr>
        <w:t xml:space="preserve"> </w:t>
      </w:r>
      <w:r>
        <w:t>connected</w:t>
      </w:r>
      <w:r>
        <w:rPr>
          <w:spacing w:val="-3"/>
        </w:rPr>
        <w:t xml:space="preserve"> </w:t>
      </w:r>
      <w:r>
        <w:t>to</w:t>
      </w:r>
      <w:r>
        <w:rPr>
          <w:spacing w:val="-3"/>
        </w:rPr>
        <w:t xml:space="preserve"> </w:t>
      </w:r>
      <w:r>
        <w:t>my</w:t>
      </w:r>
      <w:r>
        <w:rPr>
          <w:spacing w:val="-3"/>
        </w:rPr>
        <w:t xml:space="preserve"> </w:t>
      </w:r>
      <w:r>
        <w:t>work)—my</w:t>
      </w:r>
      <w:r>
        <w:rPr>
          <w:spacing w:val="-3"/>
        </w:rPr>
        <w:t xml:space="preserve"> </w:t>
      </w:r>
      <w:r>
        <w:t>thoughts</w:t>
      </w:r>
      <w:r>
        <w:rPr>
          <w:spacing w:val="-3"/>
        </w:rPr>
        <w:t xml:space="preserve"> </w:t>
      </w:r>
      <w:r>
        <w:t>often</w:t>
      </w:r>
      <w:r>
        <w:rPr>
          <w:spacing w:val="-3"/>
        </w:rPr>
        <w:t xml:space="preserve"> </w:t>
      </w:r>
      <w:r>
        <w:t>take</w:t>
      </w:r>
      <w:r>
        <w:rPr>
          <w:spacing w:val="-3"/>
        </w:rPr>
        <w:t xml:space="preserve"> </w:t>
      </w:r>
      <w:r>
        <w:t>the</w:t>
      </w:r>
      <w:r>
        <w:rPr>
          <w:spacing w:val="-3"/>
        </w:rPr>
        <w:t xml:space="preserve"> </w:t>
      </w:r>
      <w:r>
        <w:t>form</w:t>
      </w:r>
      <w:r>
        <w:rPr>
          <w:spacing w:val="-3"/>
        </w:rPr>
        <w:t xml:space="preserve"> </w:t>
      </w:r>
      <w:r>
        <w:t>of</w:t>
      </w:r>
      <w:r>
        <w:rPr>
          <w:spacing w:val="-3"/>
        </w:rPr>
        <w:t xml:space="preserve"> </w:t>
      </w:r>
      <w:r>
        <w:t>a voice. I have mental images of spoken words. This also happens when I’m reading. Sometimes it happens that I read one book for a while (e.g., one by Frege) and then start reading another (e.g., one by comedian Dave Barry),</w:t>
      </w:r>
      <w:r>
        <w:rPr>
          <w:spacing w:val="40"/>
        </w:rPr>
        <w:t xml:space="preserve"> </w:t>
      </w:r>
      <w:r>
        <w:t xml:space="preserve">and I’m startled as to why </w:t>
      </w:r>
      <w:r>
        <w:rPr>
          <w:i/>
        </w:rPr>
        <w:t xml:space="preserve">Frege </w:t>
      </w:r>
      <w:r>
        <w:t>would say such things. Then I realize that I’m no longer reading Frege and that I should therefore “switch voices.”</w:t>
      </w:r>
    </w:p>
    <w:p w14:paraId="7E000DA6" w14:textId="77777777" w:rsidR="009A58DB" w:rsidRDefault="00000000">
      <w:pPr>
        <w:pStyle w:val="BodyText"/>
        <w:spacing w:before="9" w:line="249" w:lineRule="auto"/>
        <w:ind w:right="357" w:firstLine="360"/>
      </w:pPr>
      <w:r>
        <w:t>And, of course, people think with the help of visual imagery. Many a student of calculus, or even of more advanced branches of mathematics,</w:t>
      </w:r>
      <w:r>
        <w:rPr>
          <w:spacing w:val="40"/>
        </w:rPr>
        <w:t xml:space="preserve"> </w:t>
      </w:r>
      <w:r>
        <w:t>relies</w:t>
      </w:r>
      <w:r>
        <w:rPr>
          <w:spacing w:val="-4"/>
        </w:rPr>
        <w:t xml:space="preserve"> </w:t>
      </w:r>
      <w:r>
        <w:t>on</w:t>
      </w:r>
      <w:r>
        <w:rPr>
          <w:spacing w:val="-3"/>
        </w:rPr>
        <w:t xml:space="preserve"> </w:t>
      </w:r>
      <w:r>
        <w:t>mental</w:t>
      </w:r>
      <w:r>
        <w:rPr>
          <w:spacing w:val="-4"/>
        </w:rPr>
        <w:t xml:space="preserve"> </w:t>
      </w:r>
      <w:r>
        <w:t>images.</w:t>
      </w:r>
      <w:r>
        <w:rPr>
          <w:spacing w:val="-3"/>
        </w:rPr>
        <w:t xml:space="preserve"> </w:t>
      </w:r>
      <w:r>
        <w:t>I</w:t>
      </w:r>
      <w:r>
        <w:rPr>
          <w:spacing w:val="-4"/>
        </w:rPr>
        <w:t xml:space="preserve"> </w:t>
      </w:r>
      <w:r>
        <w:t>know</w:t>
      </w:r>
      <w:r>
        <w:rPr>
          <w:spacing w:val="-4"/>
        </w:rPr>
        <w:t xml:space="preserve"> </w:t>
      </w:r>
      <w:r>
        <w:t>I</w:t>
      </w:r>
      <w:r>
        <w:rPr>
          <w:spacing w:val="-4"/>
        </w:rPr>
        <w:t xml:space="preserve"> </w:t>
      </w:r>
      <w:r>
        <w:t>do.</w:t>
      </w:r>
      <w:bookmarkStart w:id="169" w:name="_bookmark169"/>
      <w:bookmarkEnd w:id="169"/>
      <w:r>
        <w:rPr>
          <w:color w:val="0562C1"/>
          <w:position w:val="21"/>
          <w:u w:val="single" w:color="0562C1"/>
        </w:rPr>
        <w:t>[101]</w:t>
      </w:r>
      <w:r>
        <w:rPr>
          <w:color w:val="0562C1"/>
          <w:spacing w:val="-1"/>
          <w:position w:val="21"/>
        </w:rPr>
        <w:t xml:space="preserve"> </w:t>
      </w:r>
      <w:r>
        <w:t>But</w:t>
      </w:r>
      <w:r>
        <w:rPr>
          <w:spacing w:val="-2"/>
        </w:rPr>
        <w:t xml:space="preserve"> </w:t>
      </w:r>
      <w:r>
        <w:t>the</w:t>
      </w:r>
      <w:r>
        <w:rPr>
          <w:spacing w:val="-1"/>
        </w:rPr>
        <w:t xml:space="preserve"> </w:t>
      </w:r>
      <w:r>
        <w:t>images</w:t>
      </w:r>
      <w:r>
        <w:rPr>
          <w:spacing w:val="-1"/>
        </w:rPr>
        <w:t xml:space="preserve"> </w:t>
      </w:r>
      <w:r>
        <w:t>that</w:t>
      </w:r>
      <w:r>
        <w:rPr>
          <w:spacing w:val="-2"/>
        </w:rPr>
        <w:t xml:space="preserve"> </w:t>
      </w:r>
      <w:r>
        <w:t>go</w:t>
      </w:r>
      <w:r>
        <w:rPr>
          <w:spacing w:val="-1"/>
        </w:rPr>
        <w:t xml:space="preserve"> </w:t>
      </w:r>
      <w:r>
        <w:t>through</w:t>
      </w:r>
      <w:r>
        <w:rPr>
          <w:spacing w:val="-1"/>
        </w:rPr>
        <w:t xml:space="preserve"> </w:t>
      </w:r>
      <w:r>
        <w:t xml:space="preserve">my head when solving some problem aren’t </w:t>
      </w:r>
      <w:r>
        <w:rPr>
          <w:i/>
        </w:rPr>
        <w:t xml:space="preserve">identical </w:t>
      </w:r>
      <w:r>
        <w:t xml:space="preserve">with the ratiocinative activities in which my problem-solving thought consists. Taken by themselves, those images are quite feeble. They don’t specify the exact shape of the object I’m thinking about. I’ll use a five-sided figure to stand for a ten-sided figure, since I can’t visualize the latter. But it doesn’t matter, provided that I can find </w:t>
      </w:r>
      <w:r>
        <w:rPr>
          <w:i/>
        </w:rPr>
        <w:t xml:space="preserve">some </w:t>
      </w:r>
      <w:r>
        <w:t>mental icon that will stand for the relevant concept. The icon does not itself have to depict the concept or object it represents. It need only be sufficiently differentiated that I won’t confuse it with the image I am using to stand for some other concept of mine.</w:t>
      </w:r>
    </w:p>
    <w:p w14:paraId="7E000DA7" w14:textId="77777777" w:rsidR="009A58DB" w:rsidRDefault="00000000">
      <w:pPr>
        <w:pStyle w:val="BodyText"/>
        <w:spacing w:before="15" w:line="249" w:lineRule="auto"/>
        <w:ind w:right="359" w:firstLine="360"/>
      </w:pPr>
      <w:r>
        <w:t xml:space="preserve">But even if I were more visually adept and, for that reason, could produce more exact visual surrogates for the concepts I’m thinking about, my ratiocinative activity couldn’t possibly be </w:t>
      </w:r>
      <w:r>
        <w:rPr>
          <w:i/>
        </w:rPr>
        <w:t xml:space="preserve">identical </w:t>
      </w:r>
      <w:r>
        <w:t>with any sequence of images. For any given sequence of images, a creature that could experience those</w:t>
      </w:r>
      <w:r>
        <w:rPr>
          <w:spacing w:val="66"/>
          <w:w w:val="150"/>
        </w:rPr>
        <w:t xml:space="preserve"> </w:t>
      </w:r>
      <w:r>
        <w:t>images</w:t>
      </w:r>
      <w:r>
        <w:rPr>
          <w:spacing w:val="68"/>
          <w:w w:val="150"/>
        </w:rPr>
        <w:t xml:space="preserve"> </w:t>
      </w:r>
      <w:r>
        <w:t>wouldn’t</w:t>
      </w:r>
      <w:r>
        <w:rPr>
          <w:spacing w:val="67"/>
          <w:w w:val="150"/>
        </w:rPr>
        <w:t xml:space="preserve"> </w:t>
      </w:r>
      <w:r>
        <w:t>necessarily</w:t>
      </w:r>
      <w:r>
        <w:rPr>
          <w:spacing w:val="68"/>
          <w:w w:val="150"/>
        </w:rPr>
        <w:t xml:space="preserve"> </w:t>
      </w:r>
      <w:r>
        <w:t>have</w:t>
      </w:r>
      <w:r>
        <w:rPr>
          <w:spacing w:val="68"/>
          <w:w w:val="150"/>
        </w:rPr>
        <w:t xml:space="preserve"> </w:t>
      </w:r>
      <w:r>
        <w:t>any</w:t>
      </w:r>
      <w:r>
        <w:rPr>
          <w:spacing w:val="66"/>
          <w:w w:val="150"/>
        </w:rPr>
        <w:t xml:space="preserve"> </w:t>
      </w:r>
      <w:r>
        <w:t>of</w:t>
      </w:r>
      <w:r>
        <w:rPr>
          <w:spacing w:val="67"/>
          <w:w w:val="150"/>
        </w:rPr>
        <w:t xml:space="preserve"> </w:t>
      </w:r>
      <w:r>
        <w:t>the</w:t>
      </w:r>
      <w:r>
        <w:rPr>
          <w:spacing w:val="68"/>
          <w:w w:val="150"/>
        </w:rPr>
        <w:t xml:space="preserve"> </w:t>
      </w:r>
      <w:r>
        <w:t>concepts</w:t>
      </w:r>
      <w:r>
        <w:rPr>
          <w:spacing w:val="68"/>
          <w:w w:val="150"/>
        </w:rPr>
        <w:t xml:space="preserve"> </w:t>
      </w:r>
      <w:r>
        <w:t>that</w:t>
      </w:r>
      <w:r>
        <w:rPr>
          <w:spacing w:val="67"/>
          <w:w w:val="150"/>
        </w:rPr>
        <w:t xml:space="preserve"> </w:t>
      </w:r>
      <w:r>
        <w:rPr>
          <w:spacing w:val="-4"/>
        </w:rPr>
        <w:t>they</w:t>
      </w:r>
    </w:p>
    <w:p w14:paraId="7E000D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A9" w14:textId="77777777" w:rsidR="009A58DB" w:rsidRDefault="00000000">
      <w:pPr>
        <w:pStyle w:val="BodyText"/>
        <w:spacing w:before="65" w:line="249" w:lineRule="auto"/>
        <w:ind w:right="358"/>
      </w:pPr>
      <w:r>
        <w:lastRenderedPageBreak/>
        <w:t>represent</w:t>
      </w:r>
      <w:r>
        <w:rPr>
          <w:spacing w:val="-5"/>
        </w:rPr>
        <w:t xml:space="preserve"> </w:t>
      </w:r>
      <w:r>
        <w:t>in</w:t>
      </w:r>
      <w:r>
        <w:rPr>
          <w:spacing w:val="-4"/>
        </w:rPr>
        <w:t xml:space="preserve"> </w:t>
      </w:r>
      <w:r>
        <w:t>my</w:t>
      </w:r>
      <w:r>
        <w:rPr>
          <w:spacing w:val="-4"/>
        </w:rPr>
        <w:t xml:space="preserve"> </w:t>
      </w:r>
      <w:r>
        <w:t>thought</w:t>
      </w:r>
      <w:r>
        <w:rPr>
          <w:spacing w:val="-5"/>
        </w:rPr>
        <w:t xml:space="preserve"> </w:t>
      </w:r>
      <w:r>
        <w:t>processes.</w:t>
      </w:r>
      <w:r>
        <w:rPr>
          <w:spacing w:val="-4"/>
        </w:rPr>
        <w:t xml:space="preserve"> </w:t>
      </w:r>
      <w:r>
        <w:t>No</w:t>
      </w:r>
      <w:r>
        <w:rPr>
          <w:spacing w:val="-4"/>
        </w:rPr>
        <w:t xml:space="preserve"> </w:t>
      </w:r>
      <w:r>
        <w:t>matter</w:t>
      </w:r>
      <w:r>
        <w:rPr>
          <w:spacing w:val="-5"/>
        </w:rPr>
        <w:t xml:space="preserve"> </w:t>
      </w:r>
      <w:r>
        <w:t>how</w:t>
      </w:r>
      <w:r>
        <w:rPr>
          <w:spacing w:val="-5"/>
        </w:rPr>
        <w:t xml:space="preserve"> </w:t>
      </w:r>
      <w:r>
        <w:rPr>
          <w:i/>
        </w:rPr>
        <w:t xml:space="preserve">conceptually </w:t>
      </w:r>
      <w:r>
        <w:t>impoverished a creature is, little or nothing follows as to what sorts of images can go off in its head.</w:t>
      </w:r>
    </w:p>
    <w:p w14:paraId="7E000DAA" w14:textId="77777777" w:rsidR="009A58DB" w:rsidRDefault="00000000">
      <w:pPr>
        <w:pStyle w:val="BodyText"/>
        <w:spacing w:before="3" w:line="249" w:lineRule="auto"/>
        <w:ind w:right="362" w:firstLine="360"/>
        <w:rPr>
          <w:position w:val="21"/>
        </w:rPr>
      </w:pPr>
      <w:r>
        <w:t xml:space="preserve">But everything constitutive of </w:t>
      </w:r>
      <w:r>
        <w:rPr>
          <w:i/>
        </w:rPr>
        <w:t>consciousness</w:t>
      </w:r>
      <w:r>
        <w:rPr>
          <w:i/>
          <w:spacing w:val="-4"/>
        </w:rPr>
        <w:t xml:space="preserve"> </w:t>
      </w:r>
      <w:r>
        <w:t>seems to be image-like or, at the very least, to share with images the property of being</w:t>
      </w:r>
      <w:r>
        <w:rPr>
          <w:spacing w:val="40"/>
        </w:rPr>
        <w:t xml:space="preserve"> </w:t>
      </w:r>
      <w:r>
        <w:rPr>
          <w:b/>
          <w:i/>
        </w:rPr>
        <w:t>phenomenologically</w:t>
      </w:r>
      <w:r>
        <w:rPr>
          <w:b/>
          <w:i/>
          <w:spacing w:val="-6"/>
        </w:rPr>
        <w:t xml:space="preserve"> </w:t>
      </w:r>
      <w:r>
        <w:t>pregnant.</w:t>
      </w:r>
      <w:bookmarkStart w:id="170" w:name="_bookmark170"/>
      <w:bookmarkEnd w:id="170"/>
      <w:r>
        <w:rPr>
          <w:color w:val="0562C1"/>
          <w:position w:val="21"/>
          <w:u w:val="single" w:color="0562C1"/>
        </w:rPr>
        <w:t>[102]</w:t>
      </w:r>
      <w:r>
        <w:rPr>
          <w:color w:val="0562C1"/>
          <w:position w:val="21"/>
        </w:rPr>
        <w:t xml:space="preserve"> </w:t>
      </w:r>
      <w:r>
        <w:t>Wittgenstein (1958) concluded from this that thinking isn’t a private psychological act. For reasons that we’ll discuss in the next section, he inferred that thinking consists of engaging in overt behaviors that involve symbols belonging to some public language</w:t>
      </w:r>
      <w:bookmarkStart w:id="171" w:name="_bookmark171"/>
      <w:bookmarkEnd w:id="171"/>
      <w:r>
        <w:t>.</w:t>
      </w:r>
      <w:r>
        <w:rPr>
          <w:color w:val="0562C1"/>
          <w:position w:val="21"/>
          <w:u w:val="single" w:color="0562C1"/>
        </w:rPr>
        <w:t>[103]</w:t>
      </w:r>
    </w:p>
    <w:p w14:paraId="7E000DAB" w14:textId="77777777" w:rsidR="009A58DB" w:rsidRDefault="00000000">
      <w:pPr>
        <w:pStyle w:val="BodyText"/>
        <w:spacing w:before="8" w:line="249" w:lineRule="auto"/>
        <w:ind w:right="361" w:firstLine="360"/>
      </w:pPr>
      <w:r>
        <w:t>Wittgenstein’s position is rank absurdity. He’s right, of course, that</w:t>
      </w:r>
      <w:r>
        <w:rPr>
          <w:spacing w:val="40"/>
        </w:rPr>
        <w:t xml:space="preserve"> </w:t>
      </w:r>
      <w:r>
        <w:t>tickles, itches, etc., aren’t thoughts</w:t>
      </w:r>
      <w:bookmarkStart w:id="172" w:name="_bookmark172"/>
      <w:bookmarkEnd w:id="172"/>
      <w:r>
        <w:t>.</w:t>
      </w:r>
      <w:r>
        <w:rPr>
          <w:color w:val="0562C1"/>
          <w:position w:val="21"/>
          <w:u w:val="single" w:color="0562C1"/>
        </w:rPr>
        <w:t>[104]</w:t>
      </w:r>
      <w:r>
        <w:rPr>
          <w:color w:val="0562C1"/>
          <w:spacing w:val="-19"/>
          <w:position w:val="21"/>
        </w:rPr>
        <w:t xml:space="preserve"> </w:t>
      </w:r>
      <w:r>
        <w:t>But what follows isn’t that thoughts aren’t</w:t>
      </w:r>
      <w:r>
        <w:rPr>
          <w:spacing w:val="-2"/>
        </w:rPr>
        <w:t xml:space="preserve"> </w:t>
      </w:r>
      <w:r>
        <w:t>mental</w:t>
      </w:r>
      <w:r>
        <w:rPr>
          <w:spacing w:val="-2"/>
        </w:rPr>
        <w:t xml:space="preserve"> </w:t>
      </w:r>
      <w:r>
        <w:t>entities.</w:t>
      </w:r>
      <w:r>
        <w:rPr>
          <w:spacing w:val="-2"/>
        </w:rPr>
        <w:t xml:space="preserve"> </w:t>
      </w:r>
      <w:r>
        <w:t>What</w:t>
      </w:r>
      <w:r>
        <w:rPr>
          <w:spacing w:val="-2"/>
        </w:rPr>
        <w:t xml:space="preserve"> </w:t>
      </w:r>
      <w:r>
        <w:t>follows</w:t>
      </w:r>
      <w:r>
        <w:rPr>
          <w:spacing w:val="-2"/>
        </w:rPr>
        <w:t xml:space="preserve"> </w:t>
      </w:r>
      <w:r>
        <w:t>is</w:t>
      </w:r>
      <w:r>
        <w:rPr>
          <w:spacing w:val="-2"/>
        </w:rPr>
        <w:t xml:space="preserve"> </w:t>
      </w:r>
      <w:r>
        <w:t>that</w:t>
      </w:r>
      <w:r>
        <w:rPr>
          <w:spacing w:val="-2"/>
        </w:rPr>
        <w:t xml:space="preserve"> </w:t>
      </w:r>
      <w:r>
        <w:t>thoughts,</w:t>
      </w:r>
      <w:r>
        <w:rPr>
          <w:spacing w:val="-2"/>
        </w:rPr>
        <w:t xml:space="preserve"> </w:t>
      </w:r>
      <w:r>
        <w:t>unlike</w:t>
      </w:r>
      <w:r>
        <w:rPr>
          <w:spacing w:val="-2"/>
        </w:rPr>
        <w:t xml:space="preserve"> </w:t>
      </w:r>
      <w:r>
        <w:t>itches</w:t>
      </w:r>
      <w:r>
        <w:rPr>
          <w:spacing w:val="-2"/>
        </w:rPr>
        <w:t xml:space="preserve"> </w:t>
      </w:r>
      <w:r>
        <w:t>and</w:t>
      </w:r>
      <w:r>
        <w:rPr>
          <w:spacing w:val="-2"/>
        </w:rPr>
        <w:t xml:space="preserve"> </w:t>
      </w:r>
      <w:r>
        <w:t>tickles, aren’t phenomenologically pregnant.</w:t>
      </w:r>
    </w:p>
    <w:p w14:paraId="7E000DAC" w14:textId="77777777" w:rsidR="009A58DB" w:rsidRDefault="00000000">
      <w:pPr>
        <w:pStyle w:val="BodyText"/>
        <w:spacing w:before="5" w:line="249" w:lineRule="auto"/>
        <w:ind w:right="361" w:firstLine="360"/>
      </w:pPr>
      <w:r>
        <w:t>Incidentally, the mistake Wittgenstein is making here is very similar to a mistake that David Hume makes in connection with the nature of personal identity. David Hume argues that there is nothing to one’s mind other than</w:t>
      </w:r>
      <w:r>
        <w:rPr>
          <w:spacing w:val="40"/>
        </w:rPr>
        <w:t xml:space="preserve"> </w:t>
      </w:r>
      <w:r>
        <w:t>the conscious events that populate it</w:t>
      </w:r>
      <w:bookmarkStart w:id="173" w:name="_bookmark173"/>
      <w:bookmarkEnd w:id="173"/>
      <w:r>
        <w:t>.</w:t>
      </w:r>
      <w:r>
        <w:rPr>
          <w:color w:val="0562C1"/>
          <w:position w:val="21"/>
          <w:u w:val="single" w:color="0562C1"/>
        </w:rPr>
        <w:t>[105]</w:t>
      </w:r>
      <w:r>
        <w:rPr>
          <w:color w:val="0562C1"/>
          <w:position w:val="21"/>
        </w:rPr>
        <w:t xml:space="preserve"> </w:t>
      </w:r>
      <w:r>
        <w:t>His argument is that, when introspects, he only encounters various tickles, pains, and other sensations. This argument assumes that everything there is to know about one’s mind is to be known in the same quasi-perceptual, phenomenology-drenched way in which we know of our sensations. But this assumption is blatantly false. I know that I believe that 2 + 2 = 4, and I know it in a relatively direct way.</w:t>
      </w:r>
      <w:r>
        <w:rPr>
          <w:spacing w:val="40"/>
        </w:rPr>
        <w:t xml:space="preserve"> </w:t>
      </w:r>
      <w:r>
        <w:t xml:space="preserve">But it isn’t because I experience some </w:t>
      </w:r>
      <w:r>
        <w:rPr>
          <w:i/>
        </w:rPr>
        <w:t xml:space="preserve">sensation </w:t>
      </w:r>
      <w:r>
        <w:t>or mental image or other phenomenally pregnant entity that I know this.</w:t>
      </w:r>
    </w:p>
    <w:p w14:paraId="7E000DAD" w14:textId="77777777" w:rsidR="009A58DB" w:rsidRDefault="00000000">
      <w:pPr>
        <w:pStyle w:val="BodyText"/>
        <w:spacing w:before="13" w:line="249" w:lineRule="auto"/>
        <w:ind w:right="359" w:firstLine="360"/>
      </w:pPr>
      <w:r>
        <w:t>Wittgenstein’s view that thinking consists of manipulating expressions is inconsistent with the fact that, unless one can think, one cannot use expressions meaningfully. If I just bark out sounds, having no idea what they mean, I’m not in any real sense using language. For my noise-making to be speech, it must be guided by a knowledge of what those noises mean.</w:t>
      </w:r>
    </w:p>
    <w:p w14:paraId="7E000DAE" w14:textId="77777777" w:rsidR="009A58DB" w:rsidRDefault="00000000">
      <w:pPr>
        <w:pStyle w:val="BodyText"/>
        <w:spacing w:before="6" w:line="249" w:lineRule="auto"/>
        <w:ind w:right="359" w:firstLine="360"/>
      </w:pPr>
      <w:r>
        <w:t>Wittgenstein is right that the sensations and images that pass through</w:t>
      </w:r>
      <w:r>
        <w:rPr>
          <w:spacing w:val="40"/>
        </w:rPr>
        <w:t xml:space="preserve"> </w:t>
      </w:r>
      <w:r>
        <w:t>one’s</w:t>
      </w:r>
      <w:r>
        <w:rPr>
          <w:spacing w:val="-3"/>
        </w:rPr>
        <w:t xml:space="preserve"> </w:t>
      </w:r>
      <w:r>
        <w:t>mind</w:t>
      </w:r>
      <w:r>
        <w:rPr>
          <w:spacing w:val="-2"/>
        </w:rPr>
        <w:t xml:space="preserve"> </w:t>
      </w:r>
      <w:r>
        <w:t>when</w:t>
      </w:r>
      <w:r>
        <w:rPr>
          <w:spacing w:val="-2"/>
        </w:rPr>
        <w:t xml:space="preserve"> </w:t>
      </w:r>
      <w:r>
        <w:t>one</w:t>
      </w:r>
      <w:r>
        <w:rPr>
          <w:spacing w:val="-3"/>
        </w:rPr>
        <w:t xml:space="preserve"> </w:t>
      </w:r>
      <w:r>
        <w:t>is</w:t>
      </w:r>
      <w:r>
        <w:rPr>
          <w:spacing w:val="-3"/>
        </w:rPr>
        <w:t xml:space="preserve"> </w:t>
      </w:r>
      <w:r>
        <w:t>having</w:t>
      </w:r>
      <w:r>
        <w:rPr>
          <w:spacing w:val="-2"/>
        </w:rPr>
        <w:t xml:space="preserve"> </w:t>
      </w:r>
      <w:r>
        <w:t>a</w:t>
      </w:r>
      <w:r>
        <w:rPr>
          <w:spacing w:val="-3"/>
        </w:rPr>
        <w:t xml:space="preserve"> </w:t>
      </w:r>
      <w:r>
        <w:t>given</w:t>
      </w:r>
      <w:r>
        <w:rPr>
          <w:spacing w:val="-2"/>
        </w:rPr>
        <w:t xml:space="preserve"> </w:t>
      </w:r>
      <w:r>
        <w:t>thought</w:t>
      </w:r>
      <w:r>
        <w:rPr>
          <w:spacing w:val="-3"/>
        </w:rPr>
        <w:t xml:space="preserve"> </w:t>
      </w:r>
      <w:r>
        <w:t>do</w:t>
      </w:r>
      <w:r>
        <w:rPr>
          <w:spacing w:val="-2"/>
        </w:rPr>
        <w:t xml:space="preserve"> </w:t>
      </w:r>
      <w:r>
        <w:t>not</w:t>
      </w:r>
      <w:r>
        <w:rPr>
          <w:spacing w:val="-3"/>
        </w:rPr>
        <w:t xml:space="preserve"> </w:t>
      </w:r>
      <w:r>
        <w:rPr>
          <w:i/>
        </w:rPr>
        <w:t>constitute</w:t>
      </w:r>
      <w:r>
        <w:rPr>
          <w:i/>
          <w:spacing w:val="-3"/>
        </w:rPr>
        <w:t xml:space="preserve"> </w:t>
      </w:r>
      <w:r>
        <w:t>that</w:t>
      </w:r>
      <w:r>
        <w:rPr>
          <w:spacing w:val="-3"/>
        </w:rPr>
        <w:t xml:space="preserve"> </w:t>
      </w:r>
      <w:r>
        <w:t>thought. But he’s wrong to conclude that thinking isn’t a psychological process. (As previously</w:t>
      </w:r>
      <w:r>
        <w:rPr>
          <w:spacing w:val="-3"/>
        </w:rPr>
        <w:t xml:space="preserve"> </w:t>
      </w:r>
      <w:r>
        <w:t>stated, what he should have</w:t>
      </w:r>
      <w:r>
        <w:rPr>
          <w:spacing w:val="-1"/>
        </w:rPr>
        <w:t xml:space="preserve"> </w:t>
      </w:r>
      <w:r>
        <w:t xml:space="preserve">concluded is that not all </w:t>
      </w:r>
      <w:r>
        <w:rPr>
          <w:spacing w:val="-2"/>
        </w:rPr>
        <w:t>psychological</w:t>
      </w:r>
    </w:p>
    <w:p w14:paraId="7E000DA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B0" w14:textId="77777777" w:rsidR="009A58DB" w:rsidRDefault="00000000">
      <w:pPr>
        <w:pStyle w:val="BodyText"/>
        <w:spacing w:before="65" w:line="249" w:lineRule="auto"/>
        <w:ind w:right="358"/>
      </w:pPr>
      <w:r>
        <w:lastRenderedPageBreak/>
        <w:t>activity consists of images and sensations.) He’s also wrong to conclude that those images categorically have no significant cognitive function. Mental imagery facilitates thought. Thanks to it, we have thoughts that we otherwise simply couldn’t have.</w:t>
      </w:r>
    </w:p>
    <w:p w14:paraId="7E000DB1" w14:textId="77777777" w:rsidR="009A58DB" w:rsidRDefault="00000000">
      <w:pPr>
        <w:pStyle w:val="BodyText"/>
        <w:spacing w:before="5" w:line="249" w:lineRule="auto"/>
        <w:ind w:right="362" w:firstLine="360"/>
      </w:pPr>
      <w:r>
        <w:t>Given this data, I would suggest the following. Though not themselves constitutive of thought, mental images allow us to manage thought-processes that we otherwise couldn’t manage. Just as one can manipulate otherwise uncontrollable patterns of electrical activity by manipulating the icons on one’s computer desktop, so one can manipulate otherwise uncontrollable patterns of ratiocinative activity by manipulating cognitive imagery.</w:t>
      </w:r>
    </w:p>
    <w:p w14:paraId="7E000DB2" w14:textId="77777777" w:rsidR="009A58DB" w:rsidRDefault="00000000">
      <w:pPr>
        <w:pStyle w:val="BodyText"/>
        <w:spacing w:before="7" w:line="249" w:lineRule="auto"/>
        <w:ind w:right="360" w:firstLine="360"/>
      </w:pPr>
      <w:r>
        <w:t>There is another point to make. Consciousness is a place where there are different streams of cognitive activity—where otherwise mutually isolated streams of cognitive activity can meet. The processes that create an olfactory or auditory perception are isolated from those involved in reading music or understanding facial expressions. But, in consciousness, sense-perceptions meet with judgments and with intentions to act, and so on. Consciousness has the effect, and maybe the purpose, of integrating otherwise mutually isolated streams of cognitive activity and, therefore, of pooling otherwise discrete bodies of knowledge. Mental imagery improves thought because it enables otherwise compartmentalized ratiocinative activities to borrow information from other similar activities from which they would otherwise be sealed off.</w:t>
      </w:r>
    </w:p>
    <w:p w14:paraId="7E000DB3" w14:textId="77777777" w:rsidR="009A58DB" w:rsidRDefault="00000000">
      <w:pPr>
        <w:pStyle w:val="BodyText"/>
        <w:spacing w:before="13" w:line="249" w:lineRule="auto"/>
        <w:ind w:right="370" w:firstLine="360"/>
      </w:pPr>
      <w:r>
        <w:t>By</w:t>
      </w:r>
      <w:r>
        <w:rPr>
          <w:spacing w:val="-3"/>
        </w:rPr>
        <w:t xml:space="preserve"> </w:t>
      </w:r>
      <w:r>
        <w:t>virtue</w:t>
      </w:r>
      <w:r>
        <w:rPr>
          <w:spacing w:val="-4"/>
        </w:rPr>
        <w:t xml:space="preserve"> </w:t>
      </w:r>
      <w:r>
        <w:t>of</w:t>
      </w:r>
      <w:r>
        <w:rPr>
          <w:spacing w:val="-4"/>
        </w:rPr>
        <w:t xml:space="preserve"> </w:t>
      </w:r>
      <w:r>
        <w:t>knowing</w:t>
      </w:r>
      <w:r>
        <w:rPr>
          <w:spacing w:val="-3"/>
        </w:rPr>
        <w:t xml:space="preserve"> </w:t>
      </w:r>
      <w:r>
        <w:t>a</w:t>
      </w:r>
      <w:r>
        <w:rPr>
          <w:spacing w:val="-4"/>
        </w:rPr>
        <w:t xml:space="preserve"> </w:t>
      </w:r>
      <w:r>
        <w:t>language,</w:t>
      </w:r>
      <w:r>
        <w:rPr>
          <w:spacing w:val="-3"/>
        </w:rPr>
        <w:t xml:space="preserve"> </w:t>
      </w:r>
      <w:r>
        <w:t>one</w:t>
      </w:r>
      <w:r>
        <w:rPr>
          <w:spacing w:val="-4"/>
        </w:rPr>
        <w:t xml:space="preserve"> </w:t>
      </w:r>
      <w:r>
        <w:t>automatically</w:t>
      </w:r>
      <w:r>
        <w:rPr>
          <w:spacing w:val="-3"/>
        </w:rPr>
        <w:t xml:space="preserve"> </w:t>
      </w:r>
      <w:r>
        <w:t>has</w:t>
      </w:r>
      <w:r>
        <w:rPr>
          <w:spacing w:val="-4"/>
        </w:rPr>
        <w:t xml:space="preserve"> </w:t>
      </w:r>
      <w:r>
        <w:t>at</w:t>
      </w:r>
      <w:r>
        <w:rPr>
          <w:spacing w:val="-4"/>
        </w:rPr>
        <w:t xml:space="preserve"> </w:t>
      </w:r>
      <w:r>
        <w:t>one’s</w:t>
      </w:r>
      <w:r>
        <w:rPr>
          <w:spacing w:val="-4"/>
        </w:rPr>
        <w:t xml:space="preserve"> </w:t>
      </w:r>
      <w:r>
        <w:t>disposal</w:t>
      </w:r>
      <w:r>
        <w:rPr>
          <w:spacing w:val="-4"/>
        </w:rPr>
        <w:t xml:space="preserve"> </w:t>
      </w:r>
      <w:r>
        <w:t>a rich and easily operated system of icons by means of which one can manage one’s cognitive activities in the way just described. This, I would suggest, is why knowledge of a language does so much for thought.</w:t>
      </w:r>
    </w:p>
    <w:p w14:paraId="7E000DB4" w14:textId="77777777" w:rsidR="009A58DB" w:rsidRDefault="009A58DB">
      <w:pPr>
        <w:pStyle w:val="BodyText"/>
        <w:spacing w:before="268"/>
        <w:ind w:left="0"/>
        <w:jc w:val="left"/>
      </w:pPr>
    </w:p>
    <w:p w14:paraId="7E000DB5" w14:textId="77777777" w:rsidR="009A58DB" w:rsidRDefault="00000000">
      <w:pPr>
        <w:pStyle w:val="Heading1"/>
        <w:numPr>
          <w:ilvl w:val="0"/>
          <w:numId w:val="179"/>
        </w:numPr>
        <w:tabs>
          <w:tab w:val="left" w:pos="1709"/>
        </w:tabs>
        <w:spacing w:before="0" w:line="244" w:lineRule="auto"/>
        <w:ind w:left="360" w:right="358" w:firstLine="0"/>
        <w:rPr>
          <w:rFonts w:ascii="Liberation Serif"/>
        </w:rPr>
      </w:pPr>
      <w:r>
        <w:rPr>
          <w:rFonts w:ascii="Liberation Serif"/>
        </w:rPr>
        <w:t>Wittgenstein</w:t>
      </w:r>
      <w:r>
        <w:rPr>
          <w:rFonts w:ascii="Liberation Serif"/>
          <w:spacing w:val="40"/>
        </w:rPr>
        <w:t xml:space="preserve"> </w:t>
      </w:r>
      <w:r>
        <w:rPr>
          <w:rFonts w:ascii="Liberation Serif"/>
        </w:rPr>
        <w:t>on</w:t>
      </w:r>
      <w:r>
        <w:rPr>
          <w:rFonts w:ascii="Liberation Serif"/>
          <w:spacing w:val="40"/>
        </w:rPr>
        <w:t xml:space="preserve"> </w:t>
      </w:r>
      <w:r>
        <w:rPr>
          <w:rFonts w:ascii="Liberation Serif"/>
        </w:rPr>
        <w:t>language,</w:t>
      </w:r>
      <w:r>
        <w:rPr>
          <w:rFonts w:ascii="Liberation Serif"/>
          <w:spacing w:val="40"/>
        </w:rPr>
        <w:t xml:space="preserve"> </w:t>
      </w:r>
      <w:r>
        <w:rPr>
          <w:rFonts w:ascii="Liberation Serif"/>
        </w:rPr>
        <w:t>thought,</w:t>
      </w:r>
      <w:r>
        <w:rPr>
          <w:rFonts w:ascii="Liberation Serif"/>
          <w:spacing w:val="40"/>
        </w:rPr>
        <w:t xml:space="preserve"> </w:t>
      </w:r>
      <w:r>
        <w:rPr>
          <w:rFonts w:ascii="Liberation Serif"/>
        </w:rPr>
        <w:t>and</w:t>
      </w:r>
      <w:r>
        <w:rPr>
          <w:rFonts w:ascii="Liberation Serif"/>
          <w:spacing w:val="40"/>
        </w:rPr>
        <w:t xml:space="preserve"> </w:t>
      </w:r>
      <w:r>
        <w:rPr>
          <w:rFonts w:ascii="Liberation Serif"/>
        </w:rPr>
        <w:t>the relationship between the two</w:t>
      </w:r>
    </w:p>
    <w:p w14:paraId="7E000DB6" w14:textId="77777777" w:rsidR="009A58DB" w:rsidRDefault="00000000">
      <w:pPr>
        <w:pStyle w:val="BodyText"/>
        <w:spacing w:before="132" w:line="252" w:lineRule="auto"/>
        <w:ind w:right="359"/>
      </w:pPr>
      <w:r>
        <w:t>Ludwig Wittgenstein (1889–1951) put forth several provocative contentions about</w:t>
      </w:r>
      <w:r>
        <w:rPr>
          <w:spacing w:val="-3"/>
        </w:rPr>
        <w:t xml:space="preserve"> </w:t>
      </w:r>
      <w:r>
        <w:t>language</w:t>
      </w:r>
      <w:bookmarkStart w:id="174" w:name="_bookmark174"/>
      <w:bookmarkEnd w:id="174"/>
      <w:r>
        <w:t>.</w:t>
      </w:r>
      <w:r>
        <w:rPr>
          <w:color w:val="0562C1"/>
          <w:position w:val="10"/>
          <w:u w:val="single" w:color="0562C1"/>
        </w:rPr>
        <w:t>12</w:t>
      </w:r>
      <w:r>
        <w:rPr>
          <w:color w:val="0562C1"/>
          <w:position w:val="10"/>
        </w:rPr>
        <w:t xml:space="preserve"> </w:t>
      </w:r>
      <w:r>
        <w:t xml:space="preserve">Perhaps the most celebrated of these is his contention that there cannot possibly exist such a thing as a </w:t>
      </w:r>
      <w:r>
        <w:rPr>
          <w:i/>
        </w:rPr>
        <w:t xml:space="preserve">private language. </w:t>
      </w:r>
      <w:r>
        <w:t>Human beings can devise private codes, he granted. But, Wittgenstein says, any such code must</w:t>
      </w:r>
      <w:r>
        <w:rPr>
          <w:spacing w:val="-2"/>
        </w:rPr>
        <w:t xml:space="preserve"> </w:t>
      </w:r>
      <w:r>
        <w:t>be</w:t>
      </w:r>
      <w:r>
        <w:rPr>
          <w:spacing w:val="-2"/>
        </w:rPr>
        <w:t xml:space="preserve"> </w:t>
      </w:r>
      <w:r>
        <w:t>a</w:t>
      </w:r>
      <w:r>
        <w:rPr>
          <w:spacing w:val="-2"/>
        </w:rPr>
        <w:t xml:space="preserve"> </w:t>
      </w:r>
      <w:r>
        <w:t>translation</w:t>
      </w:r>
      <w:r>
        <w:rPr>
          <w:spacing w:val="-2"/>
        </w:rPr>
        <w:t xml:space="preserve"> </w:t>
      </w:r>
      <w:r>
        <w:t>of</w:t>
      </w:r>
      <w:r>
        <w:rPr>
          <w:spacing w:val="-2"/>
        </w:rPr>
        <w:t xml:space="preserve"> </w:t>
      </w:r>
      <w:r>
        <w:t>an</w:t>
      </w:r>
      <w:r>
        <w:rPr>
          <w:spacing w:val="-2"/>
        </w:rPr>
        <w:t xml:space="preserve"> </w:t>
      </w:r>
      <w:r>
        <w:t>existing</w:t>
      </w:r>
      <w:r>
        <w:rPr>
          <w:spacing w:val="-2"/>
        </w:rPr>
        <w:t xml:space="preserve"> </w:t>
      </w:r>
      <w:r>
        <w:t>public</w:t>
      </w:r>
      <w:r>
        <w:rPr>
          <w:spacing w:val="-2"/>
        </w:rPr>
        <w:t xml:space="preserve"> </w:t>
      </w:r>
      <w:r>
        <w:t>language.</w:t>
      </w:r>
      <w:r>
        <w:rPr>
          <w:spacing w:val="-2"/>
        </w:rPr>
        <w:t xml:space="preserve"> </w:t>
      </w:r>
      <w:r>
        <w:t>It</w:t>
      </w:r>
      <w:r>
        <w:rPr>
          <w:spacing w:val="-2"/>
        </w:rPr>
        <w:t xml:space="preserve"> </w:t>
      </w:r>
      <w:r>
        <w:t>isn’t</w:t>
      </w:r>
      <w:r>
        <w:rPr>
          <w:spacing w:val="-2"/>
        </w:rPr>
        <w:t xml:space="preserve"> </w:t>
      </w:r>
      <w:r>
        <w:t>even</w:t>
      </w:r>
      <w:r>
        <w:rPr>
          <w:spacing w:val="-2"/>
        </w:rPr>
        <w:t xml:space="preserve"> </w:t>
      </w:r>
      <w:r>
        <w:t>theoretically</w:t>
      </w:r>
    </w:p>
    <w:p w14:paraId="7E000DB7"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0DB8" w14:textId="77777777" w:rsidR="009A58DB" w:rsidRDefault="00000000">
      <w:pPr>
        <w:pStyle w:val="BodyText"/>
        <w:spacing w:before="65" w:line="249" w:lineRule="auto"/>
        <w:ind w:right="363"/>
      </w:pPr>
      <w:r>
        <w:lastRenderedPageBreak/>
        <w:t>possible, Wittgenstein thought, for there to exist a language that wasn’t created by several interacting individuals.</w:t>
      </w:r>
    </w:p>
    <w:p w14:paraId="7E000DB9" w14:textId="77777777" w:rsidR="009A58DB" w:rsidRDefault="00000000">
      <w:pPr>
        <w:pStyle w:val="BodyText"/>
        <w:spacing w:before="2" w:line="249" w:lineRule="auto"/>
        <w:ind w:right="358" w:firstLine="360"/>
      </w:pPr>
      <w:r>
        <w:t>Once such a language is created, Wittgenstein grants, a single person can use it on his own—he can go off into the woods and keep records with it. But any case of a single person’s using a language for his own private use is, in Wittgenstein’s view, parasitic on there being, or once having been, a multiplicity of people using that same language.</w:t>
      </w:r>
    </w:p>
    <w:p w14:paraId="7E000DBA" w14:textId="77777777" w:rsidR="009A58DB" w:rsidRDefault="00000000">
      <w:pPr>
        <w:pStyle w:val="BodyText"/>
        <w:spacing w:before="6" w:line="249" w:lineRule="auto"/>
        <w:ind w:right="357" w:firstLine="360"/>
      </w:pPr>
      <w:r>
        <w:t>Wittgenstein isn’t making the pedestrian point that, as a matter of psychological fact, it would be hard, maybe even impossible, for somebody</w:t>
      </w:r>
      <w:r>
        <w:rPr>
          <w:spacing w:val="40"/>
        </w:rPr>
        <w:t xml:space="preserve"> </w:t>
      </w:r>
      <w:r>
        <w:t xml:space="preserve">to single-handedly create a language (other than one that was a translation of an existing language). He’s saying that it’s logically impossible—that such a language is a </w:t>
      </w:r>
      <w:r>
        <w:rPr>
          <w:b/>
          <w:i/>
        </w:rPr>
        <w:t xml:space="preserve">surd, </w:t>
      </w:r>
      <w:r>
        <w:t>like a square circle.</w:t>
      </w:r>
    </w:p>
    <w:p w14:paraId="7E000DBB" w14:textId="77777777" w:rsidR="009A58DB" w:rsidRDefault="00000000">
      <w:pPr>
        <w:pStyle w:val="BodyText"/>
        <w:spacing w:before="6" w:line="252" w:lineRule="auto"/>
        <w:ind w:right="362" w:firstLine="360"/>
      </w:pPr>
      <w:r>
        <w:t>Wittgenstein also held that one can’t think unless one knows a</w:t>
      </w:r>
      <w:r>
        <w:rPr>
          <w:spacing w:val="40"/>
        </w:rPr>
        <w:t xml:space="preserve"> </w:t>
      </w:r>
      <w:r>
        <w:t>language</w:t>
      </w:r>
      <w:bookmarkStart w:id="175" w:name="_bookmark175"/>
      <w:bookmarkEnd w:id="175"/>
      <w:r>
        <w:t>.</w:t>
      </w:r>
      <w:r>
        <w:rPr>
          <w:color w:val="0562C1"/>
          <w:position w:val="10"/>
          <w:u w:val="single" w:color="0562C1"/>
        </w:rPr>
        <w:t>13</w:t>
      </w:r>
      <w:r>
        <w:rPr>
          <w:color w:val="0562C1"/>
          <w:position w:val="10"/>
        </w:rPr>
        <w:t xml:space="preserve"> </w:t>
      </w:r>
      <w:r>
        <w:t>Wittgenstein seemed to grant that one could have mental states without knowing a language. But he pretty clearly thought that knowledge of a language was a prerequisite for any sort of reasoning.</w:t>
      </w:r>
    </w:p>
    <w:p w14:paraId="7E000DBC" w14:textId="77777777" w:rsidR="009A58DB" w:rsidRDefault="00000000">
      <w:pPr>
        <w:pStyle w:val="BodyText"/>
        <w:spacing w:line="249" w:lineRule="auto"/>
        <w:ind w:right="359" w:firstLine="360"/>
        <w:rPr>
          <w:i/>
        </w:rPr>
      </w:pPr>
      <w:r>
        <w:t xml:space="preserve">If Wittgenstein is right, one cannot think unless one is embedded in a society of some kind. It is logically, and not just psychologically, impossible, Wittgenstein thought, for a human being who isn’t either a current or erstwhile member of a society to think. These contentions, along with Wittgenstein’s arguments for them, are put forth in his book </w:t>
      </w:r>
      <w:r>
        <w:rPr>
          <w:i/>
        </w:rPr>
        <w:t>The Philosophical Investigations.</w:t>
      </w:r>
    </w:p>
    <w:p w14:paraId="7E000DBD" w14:textId="77777777" w:rsidR="009A58DB" w:rsidRDefault="00000000">
      <w:pPr>
        <w:pStyle w:val="BodyText"/>
        <w:spacing w:before="4" w:line="249" w:lineRule="auto"/>
        <w:ind w:right="359" w:firstLine="360"/>
      </w:pPr>
      <w:r>
        <w:t>Wittgenstein provides an interesting argument for his view that there cannot be a private language, which is known, appropriately enough, as the Private Language Argument (PLA). We’ll discuss PLA in a moment. Wittgenstein provides two distinct arguments for the position that one cannot think without knowing a language. Because of the similarities between them, contemporary authors tend not to distinguish these arguments from one another, and they are collectively referred as to the Rule Following</w:t>
      </w:r>
      <w:r>
        <w:rPr>
          <w:spacing w:val="40"/>
        </w:rPr>
        <w:t xml:space="preserve"> </w:t>
      </w:r>
      <w:r>
        <w:rPr>
          <w:spacing w:val="-2"/>
        </w:rPr>
        <w:t>Argument.</w:t>
      </w:r>
    </w:p>
    <w:p w14:paraId="7E000DBE" w14:textId="77777777" w:rsidR="009A58DB" w:rsidRDefault="00000000">
      <w:pPr>
        <w:pStyle w:val="Heading1"/>
        <w:numPr>
          <w:ilvl w:val="1"/>
          <w:numId w:val="179"/>
        </w:numPr>
        <w:tabs>
          <w:tab w:val="left" w:pos="1409"/>
        </w:tabs>
        <w:spacing w:before="198"/>
        <w:ind w:left="1409" w:hanging="1049"/>
        <w:rPr>
          <w:rFonts w:ascii="Liberation Serif" w:hAnsi="Liberation Serif"/>
        </w:rPr>
      </w:pPr>
      <w:r>
        <w:rPr>
          <w:rFonts w:ascii="Liberation Serif" w:hAnsi="Liberation Serif"/>
        </w:rPr>
        <w:t>Wittgenstein’s</w:t>
      </w:r>
      <w:r>
        <w:rPr>
          <w:rFonts w:ascii="Liberation Serif" w:hAnsi="Liberation Serif"/>
          <w:spacing w:val="-12"/>
        </w:rPr>
        <w:t xml:space="preserve"> </w:t>
      </w:r>
      <w:r>
        <w:rPr>
          <w:rFonts w:ascii="Liberation Serif" w:hAnsi="Liberation Serif"/>
        </w:rPr>
        <w:t>first</w:t>
      </w:r>
      <w:r>
        <w:rPr>
          <w:rFonts w:ascii="Liberation Serif" w:hAnsi="Liberation Serif"/>
          <w:spacing w:val="-10"/>
        </w:rPr>
        <w:t xml:space="preserve"> </w:t>
      </w:r>
      <w:r>
        <w:rPr>
          <w:rFonts w:ascii="Liberation Serif" w:hAnsi="Liberation Serif"/>
        </w:rPr>
        <w:t>Rule-Following</w:t>
      </w:r>
      <w:r>
        <w:rPr>
          <w:rFonts w:ascii="Liberation Serif" w:hAnsi="Liberation Serif"/>
          <w:spacing w:val="-8"/>
        </w:rPr>
        <w:t xml:space="preserve"> </w:t>
      </w:r>
      <w:r>
        <w:rPr>
          <w:rFonts w:ascii="Liberation Serif" w:hAnsi="Liberation Serif"/>
          <w:spacing w:val="-2"/>
        </w:rPr>
        <w:t>Argument</w:t>
      </w:r>
    </w:p>
    <w:p w14:paraId="7E000DBF" w14:textId="77777777" w:rsidR="009A58DB" w:rsidRDefault="00000000">
      <w:pPr>
        <w:pStyle w:val="BodyText"/>
        <w:tabs>
          <w:tab w:val="left" w:pos="1950"/>
          <w:tab w:val="left" w:pos="2651"/>
          <w:tab w:val="left" w:pos="3202"/>
          <w:tab w:val="left" w:pos="4420"/>
          <w:tab w:val="left" w:pos="4871"/>
          <w:tab w:val="left" w:pos="6696"/>
          <w:tab w:val="left" w:pos="7365"/>
          <w:tab w:val="left" w:pos="8582"/>
          <w:tab w:val="left" w:pos="9067"/>
        </w:tabs>
        <w:spacing w:before="144" w:line="249" w:lineRule="auto"/>
        <w:ind w:left="720" w:right="718"/>
        <w:jc w:val="left"/>
      </w:pPr>
      <w:r>
        <w:rPr>
          <w:spacing w:val="-2"/>
        </w:rPr>
        <w:t>(RF</w:t>
      </w:r>
      <w:bookmarkStart w:id="176" w:name="_bookmark176"/>
      <w:bookmarkEnd w:id="176"/>
      <w:r>
        <w:rPr>
          <w:spacing w:val="-2"/>
          <w:position w:val="-7"/>
          <w:sz w:val="22"/>
        </w:rPr>
        <w:t>1</w:t>
      </w:r>
      <w:r>
        <w:rPr>
          <w:color w:val="0562C1"/>
          <w:spacing w:val="-2"/>
          <w:position w:val="10"/>
          <w:u w:val="single" w:color="0562C1"/>
        </w:rPr>
        <w:t>14</w:t>
      </w:r>
      <w:r>
        <w:rPr>
          <w:spacing w:val="-2"/>
        </w:rPr>
        <w:t>)</w:t>
      </w:r>
      <w:r>
        <w:tab/>
      </w:r>
      <w:r>
        <w:rPr>
          <w:spacing w:val="-4"/>
        </w:rPr>
        <w:t>Not</w:t>
      </w:r>
      <w:r>
        <w:tab/>
      </w:r>
      <w:r>
        <w:rPr>
          <w:spacing w:val="-4"/>
        </w:rPr>
        <w:t>all</w:t>
      </w:r>
      <w:r>
        <w:tab/>
      </w:r>
      <w:r>
        <w:rPr>
          <w:spacing w:val="-2"/>
        </w:rPr>
        <w:t>ideation</w:t>
      </w:r>
      <w:r>
        <w:tab/>
      </w:r>
      <w:r>
        <w:rPr>
          <w:spacing w:val="-6"/>
        </w:rPr>
        <w:t>is</w:t>
      </w:r>
      <w:r>
        <w:tab/>
      </w:r>
      <w:r>
        <w:rPr>
          <w:spacing w:val="-2"/>
        </w:rPr>
        <w:t>ratiocinative.</w:t>
      </w:r>
      <w:r>
        <w:tab/>
      </w:r>
      <w:r>
        <w:rPr>
          <w:spacing w:val="-4"/>
        </w:rPr>
        <w:t>For</w:t>
      </w:r>
      <w:r>
        <w:tab/>
      </w:r>
      <w:r>
        <w:rPr>
          <w:spacing w:val="-2"/>
        </w:rPr>
        <w:t>ideation</w:t>
      </w:r>
      <w:r>
        <w:tab/>
      </w:r>
      <w:r>
        <w:rPr>
          <w:spacing w:val="-6"/>
        </w:rPr>
        <w:t>to</w:t>
      </w:r>
      <w:r>
        <w:tab/>
      </w:r>
      <w:r>
        <w:rPr>
          <w:spacing w:val="-6"/>
        </w:rPr>
        <w:t xml:space="preserve">be </w:t>
      </w:r>
      <w:r>
        <w:t>ratiocinative,</w:t>
      </w:r>
      <w:r>
        <w:rPr>
          <w:spacing w:val="19"/>
        </w:rPr>
        <w:t xml:space="preserve"> </w:t>
      </w:r>
      <w:r>
        <w:t>it</w:t>
      </w:r>
      <w:r>
        <w:rPr>
          <w:spacing w:val="20"/>
        </w:rPr>
        <w:t xml:space="preserve"> </w:t>
      </w:r>
      <w:r>
        <w:t>must</w:t>
      </w:r>
      <w:r>
        <w:rPr>
          <w:spacing w:val="19"/>
        </w:rPr>
        <w:t xml:space="preserve"> </w:t>
      </w:r>
      <w:r>
        <w:t>be</w:t>
      </w:r>
      <w:r>
        <w:rPr>
          <w:spacing w:val="20"/>
        </w:rPr>
        <w:t xml:space="preserve"> </w:t>
      </w:r>
      <w:r>
        <w:t>rule-governed.</w:t>
      </w:r>
      <w:r>
        <w:rPr>
          <w:spacing w:val="19"/>
        </w:rPr>
        <w:t xml:space="preserve"> </w:t>
      </w:r>
      <w:r>
        <w:t>That</w:t>
      </w:r>
      <w:r>
        <w:rPr>
          <w:spacing w:val="20"/>
        </w:rPr>
        <w:t xml:space="preserve"> </w:t>
      </w:r>
      <w:r>
        <w:t>is,</w:t>
      </w:r>
      <w:r>
        <w:rPr>
          <w:spacing w:val="20"/>
        </w:rPr>
        <w:t xml:space="preserve"> </w:t>
      </w:r>
      <w:r>
        <w:t>it</w:t>
      </w:r>
      <w:r>
        <w:rPr>
          <w:spacing w:val="19"/>
        </w:rPr>
        <w:t xml:space="preserve"> </w:t>
      </w:r>
      <w:r>
        <w:t>must</w:t>
      </w:r>
      <w:r>
        <w:rPr>
          <w:spacing w:val="20"/>
        </w:rPr>
        <w:t xml:space="preserve"> </w:t>
      </w:r>
      <w:r>
        <w:t>be</w:t>
      </w:r>
      <w:r>
        <w:rPr>
          <w:spacing w:val="19"/>
        </w:rPr>
        <w:t xml:space="preserve"> </w:t>
      </w:r>
      <w:r>
        <w:t>guided</w:t>
      </w:r>
      <w:r>
        <w:rPr>
          <w:spacing w:val="20"/>
        </w:rPr>
        <w:t xml:space="preserve"> </w:t>
      </w:r>
      <w:r>
        <w:t>by</w:t>
      </w:r>
      <w:r>
        <w:rPr>
          <w:spacing w:val="20"/>
        </w:rPr>
        <w:t xml:space="preserve"> </w:t>
      </w:r>
      <w:r>
        <w:rPr>
          <w:spacing w:val="-10"/>
        </w:rPr>
        <w:t>a</w:t>
      </w:r>
    </w:p>
    <w:p w14:paraId="7E000DC0"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DC1" w14:textId="77777777" w:rsidR="009A58DB" w:rsidRDefault="00000000">
      <w:pPr>
        <w:pStyle w:val="BodyText"/>
        <w:spacing w:before="60" w:line="249" w:lineRule="auto"/>
        <w:ind w:left="720" w:right="731"/>
      </w:pPr>
      <w:r>
        <w:lastRenderedPageBreak/>
        <w:t xml:space="preserve">knowledge of the canons of logic. Thus, thinking involves following </w:t>
      </w:r>
      <w:r>
        <w:rPr>
          <w:spacing w:val="-2"/>
        </w:rPr>
        <w:t>rules.</w:t>
      </w:r>
    </w:p>
    <w:p w14:paraId="7E000DC2" w14:textId="77777777" w:rsidR="009A58DB" w:rsidRDefault="00000000">
      <w:pPr>
        <w:pStyle w:val="BodyText"/>
        <w:spacing w:before="7" w:line="249" w:lineRule="auto"/>
        <w:ind w:left="720" w:right="719" w:firstLine="360"/>
      </w:pPr>
      <w:r>
        <w:t>But there is no psychological condition or event that necessarily accompanies an act of following a rule. To see this, go ahead and follow some rule. (Add two multi-digit numbers together; read some passage out loud.) When you introspect, you may find that you are experiencing these or those feelings or images. But you could</w:t>
      </w:r>
      <w:r>
        <w:rPr>
          <w:spacing w:val="40"/>
        </w:rPr>
        <w:t xml:space="preserve"> </w:t>
      </w:r>
      <w:r>
        <w:t>obviously follow the rule in question without having such experiences. Thus, following a rule is not a psychological act.</w:t>
      </w:r>
    </w:p>
    <w:p w14:paraId="7E000DC3" w14:textId="77777777" w:rsidR="009A58DB" w:rsidRDefault="009A58DB">
      <w:pPr>
        <w:pStyle w:val="BodyText"/>
        <w:spacing w:before="24"/>
        <w:ind w:left="0"/>
        <w:jc w:val="left"/>
      </w:pPr>
    </w:p>
    <w:p w14:paraId="7E000DC4" w14:textId="77777777" w:rsidR="009A58DB" w:rsidRDefault="00000000">
      <w:pPr>
        <w:pStyle w:val="BodyText"/>
        <w:spacing w:line="249" w:lineRule="auto"/>
        <w:ind w:right="358" w:firstLine="360"/>
      </w:pPr>
      <w:r>
        <w:t>Contrary to what this argument assumes, not all mental states are images or sensations</w:t>
      </w:r>
      <w:bookmarkStart w:id="177" w:name="_bookmark177"/>
      <w:bookmarkEnd w:id="177"/>
      <w:r>
        <w:t>.</w:t>
      </w:r>
      <w:r>
        <w:rPr>
          <w:color w:val="0562C1"/>
          <w:position w:val="10"/>
          <w:u w:val="single" w:color="0562C1"/>
        </w:rPr>
        <w:t>15</w:t>
      </w:r>
      <w:r>
        <w:rPr>
          <w:color w:val="0562C1"/>
          <w:position w:val="10"/>
        </w:rPr>
        <w:t xml:space="preserve"> </w:t>
      </w:r>
      <w:r>
        <w:t>Your belief that 1 + 1 = 2 isn’t such a thing; and your deploying that belief on some specific occasion isn’t identical with your experiencing some image or sensation or series of images or sensations. Not everything in your mind is a fleeting conscious event. Much of what constitutes your mind consists of stable, enduring structures. Your belief that snow is white isn’t a flash in the pan. It’s been there for a while, and will continue to be there for a while and though it gives rise to momentarily conscious events, it isn’t identical with any such event or with any aggregate of such events. Contrary to what Wittgenstein alleges, given only that there is no tickle or itch or other fleeting mental event that necessarily accompanies an act of rule-following, it doesn’t follow that rule following isn’t a psychological act.</w:t>
      </w:r>
    </w:p>
    <w:p w14:paraId="7E000DC5" w14:textId="77777777" w:rsidR="009A58DB" w:rsidRDefault="009A58DB">
      <w:pPr>
        <w:pStyle w:val="BodyText"/>
        <w:spacing w:before="133"/>
        <w:ind w:left="0"/>
        <w:jc w:val="left"/>
      </w:pPr>
    </w:p>
    <w:p w14:paraId="7E000DC6" w14:textId="77777777" w:rsidR="009A58DB" w:rsidRDefault="00000000">
      <w:pPr>
        <w:pStyle w:val="Heading3"/>
        <w:numPr>
          <w:ilvl w:val="2"/>
          <w:numId w:val="179"/>
        </w:numPr>
        <w:tabs>
          <w:tab w:val="left" w:pos="1394"/>
        </w:tabs>
        <w:spacing w:before="0"/>
        <w:ind w:left="1394" w:hanging="1034"/>
        <w:rPr>
          <w:rFonts w:ascii="Liberation Serif" w:hAnsi="Liberation Serif"/>
        </w:rPr>
      </w:pPr>
      <w:r>
        <w:rPr>
          <w:rFonts w:ascii="Liberation Serif" w:hAnsi="Liberation Serif"/>
        </w:rPr>
        <w:t>Wittgenstein’s</w:t>
      </w:r>
      <w:r>
        <w:rPr>
          <w:rFonts w:ascii="Liberation Serif" w:hAnsi="Liberation Serif"/>
          <w:spacing w:val="10"/>
        </w:rPr>
        <w:t xml:space="preserve"> </w:t>
      </w:r>
      <w:r>
        <w:rPr>
          <w:rFonts w:ascii="Liberation Serif" w:hAnsi="Liberation Serif"/>
        </w:rPr>
        <w:t>second</w:t>
      </w:r>
      <w:r>
        <w:rPr>
          <w:rFonts w:ascii="Liberation Serif" w:hAnsi="Liberation Serif"/>
          <w:spacing w:val="11"/>
        </w:rPr>
        <w:t xml:space="preserve"> </w:t>
      </w:r>
      <w:r>
        <w:rPr>
          <w:rFonts w:ascii="Liberation Serif" w:hAnsi="Liberation Serif"/>
        </w:rPr>
        <w:t>Rule-Following</w:t>
      </w:r>
      <w:r>
        <w:rPr>
          <w:rFonts w:ascii="Liberation Serif" w:hAnsi="Liberation Serif"/>
          <w:spacing w:val="11"/>
        </w:rPr>
        <w:t xml:space="preserve"> </w:t>
      </w:r>
      <w:r>
        <w:rPr>
          <w:rFonts w:ascii="Liberation Serif" w:hAnsi="Liberation Serif"/>
          <w:spacing w:val="-2"/>
        </w:rPr>
        <w:t>Argument</w:t>
      </w:r>
    </w:p>
    <w:p w14:paraId="7E000DC7" w14:textId="77777777" w:rsidR="009A58DB" w:rsidRDefault="00000000">
      <w:pPr>
        <w:pStyle w:val="BodyText"/>
        <w:spacing w:before="82" w:line="271" w:lineRule="auto"/>
        <w:ind w:left="720" w:right="724" w:firstLine="360"/>
      </w:pPr>
      <w:r>
        <w:t>(RF</w:t>
      </w:r>
      <w:r>
        <w:rPr>
          <w:vertAlign w:val="subscript"/>
        </w:rPr>
        <w:t>2</w:t>
      </w:r>
      <w:r>
        <w:t>) Consider the sentence “rabid dogs foam at the mouth.” For argument’s sake, let’s suppose that there exists some entity M that is</w:t>
      </w:r>
      <w:r>
        <w:rPr>
          <w:spacing w:val="40"/>
        </w:rPr>
        <w:t xml:space="preserve"> </w:t>
      </w:r>
      <w:r>
        <w:t>the</w:t>
      </w:r>
      <w:r>
        <w:rPr>
          <w:spacing w:val="9"/>
        </w:rPr>
        <w:t xml:space="preserve"> </w:t>
      </w:r>
      <w:r>
        <w:t>meaning</w:t>
      </w:r>
      <w:r>
        <w:rPr>
          <w:spacing w:val="12"/>
        </w:rPr>
        <w:t xml:space="preserve"> </w:t>
      </w:r>
      <w:r>
        <w:t>of</w:t>
      </w:r>
      <w:r>
        <w:rPr>
          <w:spacing w:val="11"/>
        </w:rPr>
        <w:t xml:space="preserve"> </w:t>
      </w:r>
      <w:r>
        <w:t>this</w:t>
      </w:r>
      <w:r>
        <w:rPr>
          <w:spacing w:val="11"/>
        </w:rPr>
        <w:t xml:space="preserve"> </w:t>
      </w:r>
      <w:r>
        <w:t>sentence.</w:t>
      </w:r>
      <w:r>
        <w:rPr>
          <w:spacing w:val="13"/>
        </w:rPr>
        <w:t xml:space="preserve"> </w:t>
      </w:r>
      <w:r>
        <w:t>Let’s</w:t>
      </w:r>
      <w:r>
        <w:rPr>
          <w:spacing w:val="11"/>
        </w:rPr>
        <w:t xml:space="preserve"> </w:t>
      </w:r>
      <w:r>
        <w:t>also</w:t>
      </w:r>
      <w:r>
        <w:rPr>
          <w:spacing w:val="12"/>
        </w:rPr>
        <w:t xml:space="preserve"> </w:t>
      </w:r>
      <w:r>
        <w:t>suppose</w:t>
      </w:r>
      <w:r>
        <w:rPr>
          <w:spacing w:val="11"/>
        </w:rPr>
        <w:t xml:space="preserve"> </w:t>
      </w:r>
      <w:r>
        <w:t>that,</w:t>
      </w:r>
      <w:r>
        <w:rPr>
          <w:spacing w:val="12"/>
        </w:rPr>
        <w:t xml:space="preserve"> </w:t>
      </w:r>
      <w:r>
        <w:t>without</w:t>
      </w:r>
      <w:r>
        <w:rPr>
          <w:spacing w:val="12"/>
        </w:rPr>
        <w:t xml:space="preserve"> </w:t>
      </w:r>
      <w:r>
        <w:rPr>
          <w:spacing w:val="-2"/>
        </w:rPr>
        <w:t>grasping</w:t>
      </w:r>
    </w:p>
    <w:p w14:paraId="7E000DC8" w14:textId="77777777" w:rsidR="009A58DB" w:rsidRDefault="00000000">
      <w:pPr>
        <w:pStyle w:val="BodyText"/>
        <w:spacing w:line="316" w:lineRule="exact"/>
        <w:ind w:left="720"/>
      </w:pPr>
      <w:r>
        <w:t>or</w:t>
      </w:r>
      <w:r>
        <w:rPr>
          <w:spacing w:val="24"/>
        </w:rPr>
        <w:t xml:space="preserve"> </w:t>
      </w:r>
      <w:r>
        <w:t>operating</w:t>
      </w:r>
      <w:r>
        <w:rPr>
          <w:spacing w:val="24"/>
        </w:rPr>
        <w:t xml:space="preserve"> </w:t>
      </w:r>
      <w:r>
        <w:t>with</w:t>
      </w:r>
      <w:r>
        <w:rPr>
          <w:spacing w:val="24"/>
        </w:rPr>
        <w:t xml:space="preserve"> </w:t>
      </w:r>
      <w:r>
        <w:t>the</w:t>
      </w:r>
      <w:r>
        <w:rPr>
          <w:spacing w:val="24"/>
        </w:rPr>
        <w:t xml:space="preserve"> </w:t>
      </w:r>
      <w:r>
        <w:t>sentence</w:t>
      </w:r>
      <w:r>
        <w:rPr>
          <w:spacing w:val="24"/>
        </w:rPr>
        <w:t xml:space="preserve"> </w:t>
      </w:r>
      <w:r>
        <w:t>“rabid</w:t>
      </w:r>
      <w:r>
        <w:rPr>
          <w:spacing w:val="24"/>
        </w:rPr>
        <w:t xml:space="preserve"> </w:t>
      </w:r>
      <w:r>
        <w:t>dogs</w:t>
      </w:r>
      <w:r>
        <w:rPr>
          <w:spacing w:val="24"/>
        </w:rPr>
        <w:t xml:space="preserve"> </w:t>
      </w:r>
      <w:r>
        <w:t>foam</w:t>
      </w:r>
      <w:r>
        <w:rPr>
          <w:spacing w:val="24"/>
        </w:rPr>
        <w:t xml:space="preserve"> </w:t>
      </w:r>
      <w:r>
        <w:t>at</w:t>
      </w:r>
      <w:r>
        <w:rPr>
          <w:spacing w:val="24"/>
        </w:rPr>
        <w:t xml:space="preserve"> </w:t>
      </w:r>
      <w:r>
        <w:t>the</w:t>
      </w:r>
      <w:r>
        <w:rPr>
          <w:spacing w:val="24"/>
        </w:rPr>
        <w:t xml:space="preserve"> </w:t>
      </w:r>
      <w:r>
        <w:t>mouth”</w:t>
      </w:r>
      <w:r>
        <w:rPr>
          <w:spacing w:val="24"/>
        </w:rPr>
        <w:t xml:space="preserve"> </w:t>
      </w:r>
      <w:r>
        <w:t>or</w:t>
      </w:r>
      <w:r>
        <w:rPr>
          <w:spacing w:val="24"/>
        </w:rPr>
        <w:t xml:space="preserve"> </w:t>
      </w:r>
      <w:r>
        <w:rPr>
          <w:spacing w:val="-5"/>
        </w:rPr>
        <w:t>any</w:t>
      </w:r>
    </w:p>
    <w:p w14:paraId="7E000DC9" w14:textId="77777777" w:rsidR="009A58DB" w:rsidRDefault="00000000">
      <w:pPr>
        <w:pStyle w:val="BodyText"/>
        <w:spacing w:before="15" w:line="249" w:lineRule="auto"/>
        <w:ind w:left="720" w:right="722"/>
      </w:pPr>
      <w:r>
        <w:t xml:space="preserve">other expression, you behold M—you </w:t>
      </w:r>
      <w:r>
        <w:rPr>
          <w:i/>
        </w:rPr>
        <w:t xml:space="preserve">grasp </w:t>
      </w:r>
      <w:r>
        <w:t xml:space="preserve">it. You </w:t>
      </w:r>
      <w:r>
        <w:rPr>
          <w:i/>
        </w:rPr>
        <w:t xml:space="preserve">see </w:t>
      </w:r>
      <w:r>
        <w:t>it—through your “mind’s eye,” or some such. Finally, let’s suppose that you not only grasp M, but know it to be true. In other words, you know that rabid dogs foam at the mouth.</w:t>
      </w:r>
    </w:p>
    <w:p w14:paraId="7E000DCA" w14:textId="77777777" w:rsidR="009A58DB" w:rsidRDefault="00000000">
      <w:pPr>
        <w:pStyle w:val="BodyText"/>
        <w:spacing w:before="5"/>
        <w:ind w:left="1080"/>
      </w:pPr>
      <w:r>
        <w:t>If</w:t>
      </w:r>
      <w:r>
        <w:rPr>
          <w:spacing w:val="15"/>
        </w:rPr>
        <w:t xml:space="preserve"> </w:t>
      </w:r>
      <w:r>
        <w:t>you</w:t>
      </w:r>
      <w:r>
        <w:rPr>
          <w:spacing w:val="17"/>
        </w:rPr>
        <w:t xml:space="preserve"> </w:t>
      </w:r>
      <w:r>
        <w:t>can’t</w:t>
      </w:r>
      <w:r>
        <w:rPr>
          <w:spacing w:val="18"/>
        </w:rPr>
        <w:t xml:space="preserve"> </w:t>
      </w:r>
      <w:r>
        <w:t>see</w:t>
      </w:r>
      <w:r>
        <w:rPr>
          <w:spacing w:val="17"/>
        </w:rPr>
        <w:t xml:space="preserve"> </w:t>
      </w:r>
      <w:r>
        <w:t>that,</w:t>
      </w:r>
      <w:r>
        <w:rPr>
          <w:spacing w:val="17"/>
        </w:rPr>
        <w:t xml:space="preserve"> </w:t>
      </w:r>
      <w:r>
        <w:t>given</w:t>
      </w:r>
      <w:r>
        <w:rPr>
          <w:spacing w:val="18"/>
        </w:rPr>
        <w:t xml:space="preserve"> </w:t>
      </w:r>
      <w:r>
        <w:t>M,</w:t>
      </w:r>
      <w:r>
        <w:rPr>
          <w:spacing w:val="17"/>
        </w:rPr>
        <w:t xml:space="preserve"> </w:t>
      </w:r>
      <w:r>
        <w:t>Fido</w:t>
      </w:r>
      <w:r>
        <w:rPr>
          <w:spacing w:val="17"/>
        </w:rPr>
        <w:t xml:space="preserve"> </w:t>
      </w:r>
      <w:r>
        <w:t>can’t</w:t>
      </w:r>
      <w:r>
        <w:rPr>
          <w:spacing w:val="18"/>
        </w:rPr>
        <w:t xml:space="preserve"> </w:t>
      </w:r>
      <w:r>
        <w:t>be</w:t>
      </w:r>
      <w:r>
        <w:rPr>
          <w:spacing w:val="17"/>
        </w:rPr>
        <w:t xml:space="preserve"> </w:t>
      </w:r>
      <w:r>
        <w:t>rabid</w:t>
      </w:r>
      <w:r>
        <w:rPr>
          <w:spacing w:val="17"/>
        </w:rPr>
        <w:t xml:space="preserve"> </w:t>
      </w:r>
      <w:r>
        <w:t>without</w:t>
      </w:r>
      <w:r>
        <w:rPr>
          <w:spacing w:val="19"/>
        </w:rPr>
        <w:t xml:space="preserve"> </w:t>
      </w:r>
      <w:r>
        <w:rPr>
          <w:spacing w:val="-2"/>
        </w:rPr>
        <w:t>foaming</w:t>
      </w:r>
    </w:p>
    <w:p w14:paraId="7E000DCB" w14:textId="77777777" w:rsidR="009A58DB" w:rsidRDefault="009A58DB">
      <w:pPr>
        <w:pStyle w:val="BodyText"/>
        <w:sectPr w:rsidR="009A58DB">
          <w:pgSz w:w="12240" w:h="15840"/>
          <w:pgMar w:top="1380" w:right="1080" w:bottom="280" w:left="1080" w:header="720" w:footer="720" w:gutter="0"/>
          <w:cols w:space="720"/>
        </w:sectPr>
      </w:pPr>
    </w:p>
    <w:p w14:paraId="7E000DCC" w14:textId="77777777" w:rsidR="009A58DB" w:rsidRDefault="00000000">
      <w:pPr>
        <w:pStyle w:val="BodyText"/>
        <w:spacing w:before="65" w:line="249" w:lineRule="auto"/>
        <w:ind w:left="720" w:right="720"/>
      </w:pPr>
      <w:r>
        <w:lastRenderedPageBreak/>
        <w:t xml:space="preserve">at the mouth, your grasp of M is, to that extent, useless and as good as non-existent. Thus, so far as you don’t grasp how M bears on other meanings—so far as you don’t grasp its </w:t>
      </w:r>
      <w:r>
        <w:rPr>
          <w:i/>
        </w:rPr>
        <w:t xml:space="preserve">significance, </w:t>
      </w:r>
      <w:r>
        <w:t xml:space="preserve">in other words—your grasp of M is useless and might as well not exist. The problem we had with the sentence “rabid dogs foam at the mouth” arises in connection with M. Wanting to explain what it is to understand that sentence, we posited M. But it turned out that M is just like that sentence: it’s useless unless </w:t>
      </w:r>
      <w:r>
        <w:rPr>
          <w:i/>
        </w:rPr>
        <w:t xml:space="preserve">its </w:t>
      </w:r>
      <w:r>
        <w:t xml:space="preserve">meaning is grasped. M turned out to be just another symbol—just another cognitively dead symbolic </w:t>
      </w:r>
      <w:r>
        <w:rPr>
          <w:spacing w:val="-2"/>
        </w:rPr>
        <w:t>intermediary.</w:t>
      </w:r>
    </w:p>
    <w:p w14:paraId="7E000DCD" w14:textId="77777777" w:rsidR="009A58DB" w:rsidRDefault="00000000">
      <w:pPr>
        <w:pStyle w:val="BodyText"/>
        <w:spacing w:before="12" w:line="252" w:lineRule="auto"/>
        <w:ind w:left="720" w:right="718" w:firstLine="360"/>
      </w:pPr>
      <w:r>
        <w:t>Meanings are themselves symbols. So unless we already know what it is to understand symbols, positing symbol-meanings doesn’t help us understand the nature of symbol-comprehension. Positing symbol meanings in the hopes of explaining symbol-comprehension is like positing little people inside people’s heads in the hopes of explaining how people think</w:t>
      </w:r>
      <w:bookmarkStart w:id="178" w:name="_bookmark178"/>
      <w:bookmarkEnd w:id="178"/>
      <w:r>
        <w:t>.</w:t>
      </w:r>
      <w:r>
        <w:rPr>
          <w:color w:val="0562C1"/>
          <w:position w:val="10"/>
          <w:u w:val="single" w:color="0562C1"/>
        </w:rPr>
        <w:t>16</w:t>
      </w:r>
      <w:r>
        <w:rPr>
          <w:color w:val="0562C1"/>
          <w:position w:val="10"/>
        </w:rPr>
        <w:t xml:space="preserve"> </w:t>
      </w:r>
      <w:r>
        <w:t xml:space="preserve">Positing these little people is useless unless it’s </w:t>
      </w:r>
      <w:r>
        <w:rPr>
          <w:i/>
        </w:rPr>
        <w:t xml:space="preserve">already </w:t>
      </w:r>
      <w:r>
        <w:t xml:space="preserve">understood how people think. Positing meanings is useless unless it’s </w:t>
      </w:r>
      <w:r>
        <w:rPr>
          <w:i/>
        </w:rPr>
        <w:t xml:space="preserve">already </w:t>
      </w:r>
      <w:r>
        <w:t>known how symbols are understood.</w:t>
      </w:r>
    </w:p>
    <w:p w14:paraId="7E000DCE" w14:textId="77777777" w:rsidR="009A58DB" w:rsidRDefault="009A58DB">
      <w:pPr>
        <w:pStyle w:val="BodyText"/>
        <w:spacing w:before="2"/>
        <w:ind w:left="0"/>
        <w:jc w:val="left"/>
      </w:pPr>
    </w:p>
    <w:p w14:paraId="7E000DCF" w14:textId="77777777" w:rsidR="009A58DB" w:rsidRDefault="00000000">
      <w:pPr>
        <w:pStyle w:val="BodyText"/>
        <w:spacing w:line="252" w:lineRule="auto"/>
        <w:ind w:right="358" w:firstLine="360"/>
      </w:pPr>
      <w:r>
        <w:t>This argument of Wittgenstein’s bears a striking resemblance to</w:t>
      </w:r>
      <w:r>
        <w:rPr>
          <w:spacing w:val="40"/>
        </w:rPr>
        <w:t xml:space="preserve"> </w:t>
      </w:r>
      <w:r>
        <w:t>Aristotle’s Third Man Argument (TMA).</w:t>
      </w:r>
      <w:bookmarkStart w:id="179" w:name="_bookmark179"/>
      <w:bookmarkEnd w:id="179"/>
      <w:r>
        <w:rPr>
          <w:color w:val="0562C1"/>
          <w:position w:val="10"/>
          <w:u w:val="single" w:color="0562C1"/>
        </w:rPr>
        <w:t>17</w:t>
      </w:r>
      <w:r>
        <w:rPr>
          <w:color w:val="0562C1"/>
          <w:position w:val="10"/>
        </w:rPr>
        <w:t xml:space="preserve"> </w:t>
      </w:r>
      <w:r>
        <w:t>The purpose of TMA is to undermine Plato’s contention that spatiotemporal entities are instances of properties</w:t>
      </w:r>
      <w:r>
        <w:rPr>
          <w:spacing w:val="-4"/>
        </w:rPr>
        <w:t xml:space="preserve"> </w:t>
      </w:r>
      <w:r>
        <w:t>and,</w:t>
      </w:r>
      <w:r>
        <w:rPr>
          <w:spacing w:val="-3"/>
        </w:rPr>
        <w:t xml:space="preserve"> </w:t>
      </w:r>
      <w:r>
        <w:t>in</w:t>
      </w:r>
      <w:r>
        <w:rPr>
          <w:spacing w:val="-3"/>
        </w:rPr>
        <w:t xml:space="preserve"> </w:t>
      </w:r>
      <w:r>
        <w:t>addition,</w:t>
      </w:r>
      <w:r>
        <w:rPr>
          <w:spacing w:val="-3"/>
        </w:rPr>
        <w:t xml:space="preserve"> </w:t>
      </w:r>
      <w:r>
        <w:t>that</w:t>
      </w:r>
      <w:r>
        <w:rPr>
          <w:spacing w:val="-4"/>
        </w:rPr>
        <w:t xml:space="preserve"> </w:t>
      </w:r>
      <w:r>
        <w:t>the</w:t>
      </w:r>
      <w:r>
        <w:rPr>
          <w:spacing w:val="-4"/>
        </w:rPr>
        <w:t xml:space="preserve"> </w:t>
      </w:r>
      <w:r>
        <w:t>latter</w:t>
      </w:r>
      <w:r>
        <w:rPr>
          <w:spacing w:val="-4"/>
        </w:rPr>
        <w:t xml:space="preserve"> </w:t>
      </w:r>
      <w:r>
        <w:t>are</w:t>
      </w:r>
      <w:r>
        <w:rPr>
          <w:spacing w:val="-4"/>
        </w:rPr>
        <w:t xml:space="preserve"> </w:t>
      </w:r>
      <w:r>
        <w:t>not</w:t>
      </w:r>
      <w:r>
        <w:rPr>
          <w:spacing w:val="-4"/>
        </w:rPr>
        <w:t xml:space="preserve"> </w:t>
      </w:r>
      <w:r>
        <w:t>spatiotemporal.</w:t>
      </w:r>
      <w:r>
        <w:rPr>
          <w:spacing w:val="-3"/>
        </w:rPr>
        <w:t xml:space="preserve"> </w:t>
      </w:r>
      <w:r>
        <w:t>It</w:t>
      </w:r>
      <w:r>
        <w:rPr>
          <w:spacing w:val="-4"/>
        </w:rPr>
        <w:t xml:space="preserve"> </w:t>
      </w:r>
      <w:r>
        <w:t>will</w:t>
      </w:r>
      <w:r>
        <w:rPr>
          <w:spacing w:val="-4"/>
        </w:rPr>
        <w:t xml:space="preserve"> </w:t>
      </w:r>
      <w:r>
        <w:t>help</w:t>
      </w:r>
      <w:r>
        <w:rPr>
          <w:spacing w:val="-3"/>
        </w:rPr>
        <w:t xml:space="preserve"> </w:t>
      </w:r>
      <w:r>
        <w:t>if we take a moment to consider Aristotle’s argument (it will soon be clear why the third and fourth sentences are italicized):</w:t>
      </w:r>
    </w:p>
    <w:p w14:paraId="7E000DD0" w14:textId="77777777" w:rsidR="009A58DB" w:rsidRDefault="009A58DB">
      <w:pPr>
        <w:pStyle w:val="BodyText"/>
        <w:spacing w:before="7"/>
        <w:ind w:left="0"/>
        <w:jc w:val="left"/>
      </w:pPr>
    </w:p>
    <w:p w14:paraId="7E000DD1" w14:textId="77777777" w:rsidR="009A58DB" w:rsidRDefault="00000000">
      <w:pPr>
        <w:spacing w:line="271" w:lineRule="auto"/>
        <w:ind w:left="720" w:right="719" w:firstLine="360"/>
        <w:jc w:val="both"/>
        <w:rPr>
          <w:i/>
          <w:sz w:val="30"/>
        </w:rPr>
      </w:pPr>
      <w:r>
        <w:rPr>
          <w:sz w:val="30"/>
        </w:rPr>
        <w:t>(TMA)</w:t>
      </w:r>
      <w:r>
        <w:rPr>
          <w:spacing w:val="-3"/>
          <w:sz w:val="30"/>
        </w:rPr>
        <w:t xml:space="preserve"> </w:t>
      </w:r>
      <w:r>
        <w:rPr>
          <w:sz w:val="30"/>
        </w:rPr>
        <w:t>For</w:t>
      </w:r>
      <w:r>
        <w:rPr>
          <w:spacing w:val="-3"/>
          <w:sz w:val="30"/>
        </w:rPr>
        <w:t xml:space="preserve"> </w:t>
      </w:r>
      <w:r>
        <w:rPr>
          <w:sz w:val="30"/>
        </w:rPr>
        <w:t>argument’s</w:t>
      </w:r>
      <w:r>
        <w:rPr>
          <w:spacing w:val="-3"/>
          <w:sz w:val="30"/>
        </w:rPr>
        <w:t xml:space="preserve"> </w:t>
      </w:r>
      <w:r>
        <w:rPr>
          <w:sz w:val="30"/>
        </w:rPr>
        <w:t>sake,</w:t>
      </w:r>
      <w:r>
        <w:rPr>
          <w:spacing w:val="-2"/>
          <w:sz w:val="30"/>
        </w:rPr>
        <w:t xml:space="preserve"> </w:t>
      </w:r>
      <w:r>
        <w:rPr>
          <w:sz w:val="30"/>
        </w:rPr>
        <w:t>suppose</w:t>
      </w:r>
      <w:r>
        <w:rPr>
          <w:spacing w:val="-3"/>
          <w:sz w:val="30"/>
        </w:rPr>
        <w:t xml:space="preserve"> </w:t>
      </w:r>
      <w:r>
        <w:rPr>
          <w:sz w:val="30"/>
        </w:rPr>
        <w:t>that</w:t>
      </w:r>
      <w:r>
        <w:rPr>
          <w:spacing w:val="-3"/>
          <w:sz w:val="30"/>
        </w:rPr>
        <w:t xml:space="preserve"> </w:t>
      </w:r>
      <w:r>
        <w:rPr>
          <w:sz w:val="30"/>
        </w:rPr>
        <w:t>there</w:t>
      </w:r>
      <w:r>
        <w:rPr>
          <w:spacing w:val="-3"/>
          <w:sz w:val="30"/>
        </w:rPr>
        <w:t xml:space="preserve"> </w:t>
      </w:r>
      <w:r>
        <w:rPr>
          <w:sz w:val="30"/>
        </w:rPr>
        <w:t>is</w:t>
      </w:r>
      <w:r>
        <w:rPr>
          <w:spacing w:val="-3"/>
          <w:sz w:val="30"/>
        </w:rPr>
        <w:t xml:space="preserve"> </w:t>
      </w:r>
      <w:r>
        <w:rPr>
          <w:sz w:val="30"/>
        </w:rPr>
        <w:t>such</w:t>
      </w:r>
      <w:r>
        <w:rPr>
          <w:spacing w:val="-2"/>
          <w:sz w:val="30"/>
        </w:rPr>
        <w:t xml:space="preserve"> </w:t>
      </w:r>
      <w:r>
        <w:rPr>
          <w:sz w:val="30"/>
        </w:rPr>
        <w:t>a</w:t>
      </w:r>
      <w:r>
        <w:rPr>
          <w:spacing w:val="-3"/>
          <w:sz w:val="30"/>
        </w:rPr>
        <w:t xml:space="preserve"> </w:t>
      </w:r>
      <w:r>
        <w:rPr>
          <w:sz w:val="30"/>
        </w:rPr>
        <w:t>thing</w:t>
      </w:r>
      <w:r>
        <w:rPr>
          <w:spacing w:val="-2"/>
          <w:sz w:val="30"/>
        </w:rPr>
        <w:t xml:space="preserve"> </w:t>
      </w:r>
      <w:r>
        <w:rPr>
          <w:sz w:val="30"/>
        </w:rPr>
        <w:t>as</w:t>
      </w:r>
      <w:r>
        <w:rPr>
          <w:spacing w:val="-3"/>
          <w:sz w:val="30"/>
        </w:rPr>
        <w:t xml:space="preserve"> </w:t>
      </w:r>
      <w:r>
        <w:rPr>
          <w:sz w:val="30"/>
        </w:rPr>
        <w:t>the property of being a triangle. Let T</w:t>
      </w:r>
      <w:r>
        <w:rPr>
          <w:sz w:val="30"/>
          <w:vertAlign w:val="subscript"/>
        </w:rPr>
        <w:t>1</w:t>
      </w:r>
      <w:r>
        <w:rPr>
          <w:sz w:val="30"/>
        </w:rPr>
        <w:t xml:space="preserve"> be that thing. If Platonism is right, </w:t>
      </w:r>
      <w:r>
        <w:rPr>
          <w:i/>
          <w:sz w:val="30"/>
        </w:rPr>
        <w:t>T</w:t>
      </w:r>
      <w:r>
        <w:rPr>
          <w:i/>
          <w:sz w:val="30"/>
          <w:vertAlign w:val="subscript"/>
        </w:rPr>
        <w:t>1</w:t>
      </w:r>
      <w:r>
        <w:rPr>
          <w:i/>
          <w:spacing w:val="24"/>
          <w:sz w:val="30"/>
        </w:rPr>
        <w:t xml:space="preserve"> </w:t>
      </w:r>
      <w:r>
        <w:rPr>
          <w:i/>
          <w:sz w:val="30"/>
        </w:rPr>
        <w:t>must</w:t>
      </w:r>
      <w:r>
        <w:rPr>
          <w:i/>
          <w:spacing w:val="24"/>
          <w:sz w:val="30"/>
        </w:rPr>
        <w:t xml:space="preserve"> </w:t>
      </w:r>
      <w:r>
        <w:rPr>
          <w:i/>
          <w:sz w:val="30"/>
        </w:rPr>
        <w:t>itself</w:t>
      </w:r>
      <w:r>
        <w:rPr>
          <w:i/>
          <w:spacing w:val="24"/>
          <w:sz w:val="30"/>
        </w:rPr>
        <w:t xml:space="preserve"> </w:t>
      </w:r>
      <w:r>
        <w:rPr>
          <w:i/>
          <w:sz w:val="30"/>
        </w:rPr>
        <w:t>be</w:t>
      </w:r>
      <w:r>
        <w:rPr>
          <w:i/>
          <w:spacing w:val="24"/>
          <w:sz w:val="30"/>
        </w:rPr>
        <w:t xml:space="preserve"> </w:t>
      </w:r>
      <w:r>
        <w:rPr>
          <w:i/>
          <w:sz w:val="30"/>
        </w:rPr>
        <w:t>a</w:t>
      </w:r>
      <w:r>
        <w:rPr>
          <w:i/>
          <w:spacing w:val="25"/>
          <w:sz w:val="30"/>
        </w:rPr>
        <w:t xml:space="preserve"> </w:t>
      </w:r>
      <w:r>
        <w:rPr>
          <w:i/>
          <w:sz w:val="30"/>
        </w:rPr>
        <w:t>triangle.</w:t>
      </w:r>
      <w:r>
        <w:rPr>
          <w:i/>
          <w:spacing w:val="24"/>
          <w:sz w:val="30"/>
        </w:rPr>
        <w:t xml:space="preserve"> </w:t>
      </w:r>
      <w:r>
        <w:rPr>
          <w:i/>
          <w:sz w:val="30"/>
        </w:rPr>
        <w:t>Further,</w:t>
      </w:r>
      <w:r>
        <w:rPr>
          <w:i/>
          <w:spacing w:val="24"/>
          <w:sz w:val="30"/>
        </w:rPr>
        <w:t xml:space="preserve"> </w:t>
      </w:r>
      <w:r>
        <w:rPr>
          <w:i/>
          <w:sz w:val="30"/>
        </w:rPr>
        <w:t>if</w:t>
      </w:r>
      <w:r>
        <w:rPr>
          <w:i/>
          <w:spacing w:val="24"/>
          <w:sz w:val="30"/>
        </w:rPr>
        <w:t xml:space="preserve"> </w:t>
      </w:r>
      <w:r>
        <w:rPr>
          <w:i/>
          <w:sz w:val="30"/>
        </w:rPr>
        <w:t>Platonism</w:t>
      </w:r>
      <w:r>
        <w:rPr>
          <w:i/>
          <w:spacing w:val="25"/>
          <w:sz w:val="30"/>
        </w:rPr>
        <w:t xml:space="preserve"> </w:t>
      </w:r>
      <w:r>
        <w:rPr>
          <w:i/>
          <w:sz w:val="30"/>
        </w:rPr>
        <w:t>is</w:t>
      </w:r>
      <w:r>
        <w:rPr>
          <w:i/>
          <w:spacing w:val="24"/>
          <w:sz w:val="30"/>
        </w:rPr>
        <w:t xml:space="preserve"> </w:t>
      </w:r>
      <w:r>
        <w:rPr>
          <w:i/>
          <w:sz w:val="30"/>
        </w:rPr>
        <w:t>right,</w:t>
      </w:r>
      <w:r>
        <w:rPr>
          <w:i/>
          <w:spacing w:val="24"/>
          <w:sz w:val="30"/>
        </w:rPr>
        <w:t xml:space="preserve"> </w:t>
      </w:r>
      <w:r>
        <w:rPr>
          <w:i/>
          <w:sz w:val="30"/>
        </w:rPr>
        <w:t>any</w:t>
      </w:r>
      <w:r>
        <w:rPr>
          <w:i/>
          <w:spacing w:val="24"/>
          <w:sz w:val="30"/>
        </w:rPr>
        <w:t xml:space="preserve"> </w:t>
      </w:r>
      <w:r>
        <w:rPr>
          <w:i/>
          <w:sz w:val="30"/>
        </w:rPr>
        <w:t>case</w:t>
      </w:r>
      <w:r>
        <w:rPr>
          <w:i/>
          <w:spacing w:val="24"/>
          <w:sz w:val="30"/>
        </w:rPr>
        <w:t xml:space="preserve"> </w:t>
      </w:r>
      <w:r>
        <w:rPr>
          <w:i/>
          <w:spacing w:val="-5"/>
          <w:sz w:val="30"/>
        </w:rPr>
        <w:t>of</w:t>
      </w:r>
    </w:p>
    <w:p w14:paraId="7E000DD2" w14:textId="77777777" w:rsidR="009A58DB" w:rsidRDefault="00000000">
      <w:pPr>
        <w:spacing w:before="30" w:line="271" w:lineRule="auto"/>
        <w:ind w:left="720" w:right="724"/>
        <w:jc w:val="both"/>
        <w:rPr>
          <w:sz w:val="30"/>
        </w:rPr>
      </w:pPr>
      <w:r>
        <w:rPr>
          <w:i/>
          <w:sz w:val="30"/>
        </w:rPr>
        <w:t xml:space="preserve">two objects’ sharing some property is a case of there being some third object of which they’re both instances. </w:t>
      </w:r>
      <w:r>
        <w:rPr>
          <w:sz w:val="30"/>
        </w:rPr>
        <w:t>Thus, if T</w:t>
      </w:r>
      <w:r>
        <w:rPr>
          <w:sz w:val="30"/>
          <w:vertAlign w:val="subscript"/>
        </w:rPr>
        <w:t>2</w:t>
      </w:r>
      <w:r>
        <w:rPr>
          <w:sz w:val="30"/>
        </w:rPr>
        <w:t xml:space="preserve"> is some triangle, there</w:t>
      </w:r>
      <w:r>
        <w:rPr>
          <w:spacing w:val="30"/>
          <w:sz w:val="30"/>
        </w:rPr>
        <w:t xml:space="preserve"> </w:t>
      </w:r>
      <w:r>
        <w:rPr>
          <w:sz w:val="30"/>
        </w:rPr>
        <w:t>must</w:t>
      </w:r>
      <w:r>
        <w:rPr>
          <w:spacing w:val="31"/>
          <w:sz w:val="30"/>
        </w:rPr>
        <w:t xml:space="preserve"> </w:t>
      </w:r>
      <w:r>
        <w:rPr>
          <w:sz w:val="30"/>
        </w:rPr>
        <w:t>be</w:t>
      </w:r>
      <w:r>
        <w:rPr>
          <w:spacing w:val="31"/>
          <w:sz w:val="30"/>
        </w:rPr>
        <w:t xml:space="preserve"> </w:t>
      </w:r>
      <w:r>
        <w:rPr>
          <w:sz w:val="30"/>
        </w:rPr>
        <w:t>some</w:t>
      </w:r>
      <w:r>
        <w:rPr>
          <w:spacing w:val="31"/>
          <w:sz w:val="30"/>
        </w:rPr>
        <w:t xml:space="preserve"> </w:t>
      </w:r>
      <w:r>
        <w:rPr>
          <w:sz w:val="30"/>
        </w:rPr>
        <w:t>third</w:t>
      </w:r>
      <w:r>
        <w:rPr>
          <w:spacing w:val="30"/>
          <w:sz w:val="30"/>
        </w:rPr>
        <w:t xml:space="preserve"> </w:t>
      </w:r>
      <w:r>
        <w:rPr>
          <w:sz w:val="30"/>
        </w:rPr>
        <w:t>object</w:t>
      </w:r>
      <w:r>
        <w:rPr>
          <w:spacing w:val="31"/>
          <w:sz w:val="30"/>
        </w:rPr>
        <w:t xml:space="preserve"> </w:t>
      </w:r>
      <w:r>
        <w:rPr>
          <w:sz w:val="30"/>
        </w:rPr>
        <w:t>T</w:t>
      </w:r>
      <w:r>
        <w:rPr>
          <w:position w:val="-7"/>
        </w:rPr>
        <w:t>3</w:t>
      </w:r>
      <w:r>
        <w:rPr>
          <w:spacing w:val="51"/>
          <w:position w:val="-7"/>
        </w:rPr>
        <w:t xml:space="preserve"> </w:t>
      </w:r>
      <w:r>
        <w:rPr>
          <w:sz w:val="30"/>
        </w:rPr>
        <w:t>such</w:t>
      </w:r>
      <w:r>
        <w:rPr>
          <w:spacing w:val="32"/>
          <w:sz w:val="30"/>
        </w:rPr>
        <w:t xml:space="preserve"> </w:t>
      </w:r>
      <w:r>
        <w:rPr>
          <w:sz w:val="30"/>
        </w:rPr>
        <w:t>that</w:t>
      </w:r>
      <w:r>
        <w:rPr>
          <w:spacing w:val="31"/>
          <w:sz w:val="30"/>
        </w:rPr>
        <w:t xml:space="preserve"> </w:t>
      </w:r>
      <w:r>
        <w:rPr>
          <w:sz w:val="30"/>
        </w:rPr>
        <w:t>each</w:t>
      </w:r>
      <w:r>
        <w:rPr>
          <w:spacing w:val="31"/>
          <w:sz w:val="30"/>
        </w:rPr>
        <w:t xml:space="preserve"> </w:t>
      </w:r>
      <w:r>
        <w:rPr>
          <w:sz w:val="30"/>
        </w:rPr>
        <w:t>of</w:t>
      </w:r>
      <w:r>
        <w:rPr>
          <w:spacing w:val="31"/>
          <w:sz w:val="30"/>
        </w:rPr>
        <w:t xml:space="preserve"> </w:t>
      </w:r>
      <w:r>
        <w:rPr>
          <w:sz w:val="30"/>
        </w:rPr>
        <w:t>T</w:t>
      </w:r>
      <w:r>
        <w:rPr>
          <w:position w:val="-7"/>
        </w:rPr>
        <w:t>1</w:t>
      </w:r>
      <w:r>
        <w:rPr>
          <w:spacing w:val="56"/>
          <w:position w:val="-7"/>
        </w:rPr>
        <w:t xml:space="preserve"> </w:t>
      </w:r>
      <w:r>
        <w:rPr>
          <w:sz w:val="30"/>
        </w:rPr>
        <w:t>and</w:t>
      </w:r>
      <w:r>
        <w:rPr>
          <w:spacing w:val="36"/>
          <w:sz w:val="30"/>
        </w:rPr>
        <w:t xml:space="preserve"> </w:t>
      </w:r>
      <w:r>
        <w:rPr>
          <w:sz w:val="30"/>
        </w:rPr>
        <w:t>T</w:t>
      </w:r>
      <w:r>
        <w:rPr>
          <w:position w:val="-7"/>
        </w:rPr>
        <w:t>2</w:t>
      </w:r>
      <w:r>
        <w:rPr>
          <w:spacing w:val="55"/>
          <w:position w:val="-7"/>
        </w:rPr>
        <w:t xml:space="preserve"> </w:t>
      </w:r>
      <w:r>
        <w:rPr>
          <w:sz w:val="30"/>
        </w:rPr>
        <w:t>is</w:t>
      </w:r>
      <w:r>
        <w:rPr>
          <w:spacing w:val="36"/>
          <w:sz w:val="30"/>
        </w:rPr>
        <w:t xml:space="preserve"> </w:t>
      </w:r>
      <w:r>
        <w:rPr>
          <w:spacing w:val="-5"/>
          <w:sz w:val="30"/>
        </w:rPr>
        <w:t>an</w:t>
      </w:r>
    </w:p>
    <w:p w14:paraId="7E000DD3" w14:textId="77777777" w:rsidR="009A58DB" w:rsidRDefault="00000000">
      <w:pPr>
        <w:pStyle w:val="BodyText"/>
        <w:spacing w:line="313" w:lineRule="exact"/>
        <w:ind w:left="720"/>
      </w:pPr>
      <w:r>
        <w:t>instance</w:t>
      </w:r>
      <w:r>
        <w:rPr>
          <w:spacing w:val="6"/>
        </w:rPr>
        <w:t xml:space="preserve"> </w:t>
      </w:r>
      <w:r>
        <w:t>of</w:t>
      </w:r>
      <w:r>
        <w:rPr>
          <w:spacing w:val="7"/>
        </w:rPr>
        <w:t xml:space="preserve"> </w:t>
      </w:r>
      <w:r>
        <w:t>T</w:t>
      </w:r>
      <w:r>
        <w:rPr>
          <w:vertAlign w:val="subscript"/>
        </w:rPr>
        <w:t>3</w:t>
      </w:r>
      <w:r>
        <w:t>.</w:t>
      </w:r>
      <w:r>
        <w:rPr>
          <w:spacing w:val="9"/>
        </w:rPr>
        <w:t xml:space="preserve"> </w:t>
      </w:r>
      <w:r>
        <w:t>But,</w:t>
      </w:r>
      <w:r>
        <w:rPr>
          <w:spacing w:val="11"/>
        </w:rPr>
        <w:t xml:space="preserve"> </w:t>
      </w:r>
      <w:r>
        <w:t>by</w:t>
      </w:r>
      <w:r>
        <w:rPr>
          <w:spacing w:val="10"/>
        </w:rPr>
        <w:t xml:space="preserve"> </w:t>
      </w:r>
      <w:r>
        <w:t>the</w:t>
      </w:r>
      <w:r>
        <w:rPr>
          <w:spacing w:val="9"/>
        </w:rPr>
        <w:t xml:space="preserve"> </w:t>
      </w:r>
      <w:r>
        <w:t>same</w:t>
      </w:r>
      <w:r>
        <w:rPr>
          <w:spacing w:val="10"/>
        </w:rPr>
        <w:t xml:space="preserve"> </w:t>
      </w:r>
      <w:r>
        <w:t>logic,</w:t>
      </w:r>
      <w:r>
        <w:rPr>
          <w:spacing w:val="10"/>
        </w:rPr>
        <w:t xml:space="preserve"> </w:t>
      </w:r>
      <w:r>
        <w:t>there</w:t>
      </w:r>
      <w:r>
        <w:rPr>
          <w:spacing w:val="10"/>
        </w:rPr>
        <w:t xml:space="preserve"> </w:t>
      </w:r>
      <w:r>
        <w:t>must</w:t>
      </w:r>
      <w:r>
        <w:rPr>
          <w:spacing w:val="10"/>
        </w:rPr>
        <w:t xml:space="preserve"> </w:t>
      </w:r>
      <w:r>
        <w:t>be</w:t>
      </w:r>
      <w:r>
        <w:rPr>
          <w:spacing w:val="9"/>
        </w:rPr>
        <w:t xml:space="preserve"> </w:t>
      </w:r>
      <w:r>
        <w:t>some</w:t>
      </w:r>
      <w:r>
        <w:rPr>
          <w:spacing w:val="10"/>
        </w:rPr>
        <w:t xml:space="preserve"> </w:t>
      </w:r>
      <w:r>
        <w:t>fourth</w:t>
      </w:r>
      <w:r>
        <w:rPr>
          <w:spacing w:val="10"/>
        </w:rPr>
        <w:t xml:space="preserve"> </w:t>
      </w:r>
      <w:r>
        <w:rPr>
          <w:spacing w:val="-2"/>
        </w:rPr>
        <w:t>thing</w:t>
      </w:r>
    </w:p>
    <w:p w14:paraId="7E000DD4" w14:textId="77777777" w:rsidR="009A58DB" w:rsidRDefault="00000000">
      <w:pPr>
        <w:pStyle w:val="BodyText"/>
        <w:spacing w:before="75"/>
        <w:ind w:left="720"/>
        <w:rPr>
          <w:i/>
        </w:rPr>
      </w:pPr>
      <w:r>
        <w:t>T</w:t>
      </w:r>
      <w:r>
        <w:rPr>
          <w:position w:val="-7"/>
          <w:sz w:val="22"/>
        </w:rPr>
        <w:t>4</w:t>
      </w:r>
      <w:r>
        <w:rPr>
          <w:spacing w:val="36"/>
          <w:position w:val="-7"/>
          <w:sz w:val="22"/>
        </w:rPr>
        <w:t xml:space="preserve"> </w:t>
      </w:r>
      <w:r>
        <w:t>such</w:t>
      </w:r>
      <w:r>
        <w:rPr>
          <w:spacing w:val="17"/>
        </w:rPr>
        <w:t xml:space="preserve"> </w:t>
      </w:r>
      <w:r>
        <w:t>that</w:t>
      </w:r>
      <w:r>
        <w:rPr>
          <w:spacing w:val="17"/>
        </w:rPr>
        <w:t xml:space="preserve"> </w:t>
      </w:r>
      <w:r>
        <w:t>each</w:t>
      </w:r>
      <w:r>
        <w:rPr>
          <w:spacing w:val="17"/>
        </w:rPr>
        <w:t xml:space="preserve"> </w:t>
      </w:r>
      <w:r>
        <w:t>of</w:t>
      </w:r>
      <w:r>
        <w:rPr>
          <w:spacing w:val="16"/>
        </w:rPr>
        <w:t xml:space="preserve"> </w:t>
      </w:r>
      <w:r>
        <w:t>T</w:t>
      </w:r>
      <w:r>
        <w:rPr>
          <w:position w:val="-7"/>
          <w:sz w:val="22"/>
        </w:rPr>
        <w:t>1</w:t>
      </w:r>
      <w:r>
        <w:t>,</w:t>
      </w:r>
      <w:r>
        <w:rPr>
          <w:spacing w:val="15"/>
        </w:rPr>
        <w:t xml:space="preserve"> </w:t>
      </w:r>
      <w:r>
        <w:t>T</w:t>
      </w:r>
      <w:r>
        <w:rPr>
          <w:position w:val="-7"/>
          <w:sz w:val="22"/>
        </w:rPr>
        <w:t>2</w:t>
      </w:r>
      <w:r>
        <w:t>,</w:t>
      </w:r>
      <w:r>
        <w:rPr>
          <w:spacing w:val="14"/>
        </w:rPr>
        <w:t xml:space="preserve"> </w:t>
      </w:r>
      <w:r>
        <w:t>and</w:t>
      </w:r>
      <w:r>
        <w:rPr>
          <w:spacing w:val="14"/>
        </w:rPr>
        <w:t xml:space="preserve"> </w:t>
      </w:r>
      <w:r>
        <w:t>T</w:t>
      </w:r>
      <w:r>
        <w:rPr>
          <w:position w:val="-7"/>
          <w:sz w:val="22"/>
        </w:rPr>
        <w:t>3</w:t>
      </w:r>
      <w:r>
        <w:rPr>
          <w:spacing w:val="40"/>
          <w:position w:val="-7"/>
          <w:sz w:val="22"/>
        </w:rPr>
        <w:t xml:space="preserve"> </w:t>
      </w:r>
      <w:r>
        <w:t>is</w:t>
      </w:r>
      <w:r>
        <w:rPr>
          <w:spacing w:val="20"/>
        </w:rPr>
        <w:t xml:space="preserve"> </w:t>
      </w:r>
      <w:r>
        <w:t>an</w:t>
      </w:r>
      <w:r>
        <w:rPr>
          <w:spacing w:val="20"/>
        </w:rPr>
        <w:t xml:space="preserve"> </w:t>
      </w:r>
      <w:r>
        <w:t>instance</w:t>
      </w:r>
      <w:r>
        <w:rPr>
          <w:spacing w:val="20"/>
        </w:rPr>
        <w:t xml:space="preserve"> </w:t>
      </w:r>
      <w:r>
        <w:t>of</w:t>
      </w:r>
      <w:r>
        <w:rPr>
          <w:spacing w:val="20"/>
        </w:rPr>
        <w:t xml:space="preserve"> </w:t>
      </w:r>
      <w:r>
        <w:t>T</w:t>
      </w:r>
      <w:r>
        <w:rPr>
          <w:position w:val="-7"/>
          <w:sz w:val="22"/>
        </w:rPr>
        <w:t>4</w:t>
      </w:r>
      <w:r>
        <w:t>.</w:t>
      </w:r>
      <w:r>
        <w:rPr>
          <w:spacing w:val="22"/>
        </w:rPr>
        <w:t xml:space="preserve"> </w:t>
      </w:r>
      <w:r>
        <w:t>And</w:t>
      </w:r>
      <w:r>
        <w:rPr>
          <w:spacing w:val="21"/>
        </w:rPr>
        <w:t xml:space="preserve"> </w:t>
      </w:r>
      <w:r>
        <w:t>so</w:t>
      </w:r>
      <w:r>
        <w:rPr>
          <w:spacing w:val="21"/>
        </w:rPr>
        <w:t xml:space="preserve"> </w:t>
      </w:r>
      <w:r>
        <w:t>on</w:t>
      </w:r>
      <w:r>
        <w:rPr>
          <w:spacing w:val="22"/>
        </w:rPr>
        <w:t xml:space="preserve"> </w:t>
      </w:r>
      <w:r>
        <w:rPr>
          <w:i/>
          <w:spacing w:val="-5"/>
        </w:rPr>
        <w:t>ad</w:t>
      </w:r>
    </w:p>
    <w:p w14:paraId="7E000DD5" w14:textId="77777777" w:rsidR="009A58DB" w:rsidRDefault="009A58DB">
      <w:pPr>
        <w:pStyle w:val="BodyText"/>
        <w:rPr>
          <w:i/>
        </w:rPr>
        <w:sectPr w:rsidR="009A58DB">
          <w:pgSz w:w="12240" w:h="15840"/>
          <w:pgMar w:top="1380" w:right="1080" w:bottom="280" w:left="1080" w:header="720" w:footer="720" w:gutter="0"/>
          <w:cols w:space="720"/>
        </w:sectPr>
      </w:pPr>
    </w:p>
    <w:p w14:paraId="7E000DD6" w14:textId="77777777" w:rsidR="009A58DB" w:rsidRDefault="00000000">
      <w:pPr>
        <w:spacing w:before="65"/>
        <w:ind w:left="720"/>
        <w:rPr>
          <w:i/>
          <w:sz w:val="30"/>
        </w:rPr>
      </w:pPr>
      <w:r>
        <w:rPr>
          <w:i/>
          <w:spacing w:val="-2"/>
          <w:sz w:val="30"/>
        </w:rPr>
        <w:lastRenderedPageBreak/>
        <w:t>infinitum.</w:t>
      </w:r>
    </w:p>
    <w:p w14:paraId="7E000DD7" w14:textId="77777777" w:rsidR="009A58DB" w:rsidRDefault="009A58DB">
      <w:pPr>
        <w:pStyle w:val="BodyText"/>
        <w:spacing w:before="29"/>
        <w:ind w:left="0"/>
        <w:jc w:val="left"/>
        <w:rPr>
          <w:i/>
        </w:rPr>
      </w:pPr>
    </w:p>
    <w:p w14:paraId="7E000DD8" w14:textId="77777777" w:rsidR="009A58DB" w:rsidRDefault="00000000">
      <w:pPr>
        <w:pStyle w:val="BodyText"/>
        <w:spacing w:before="1" w:line="252" w:lineRule="auto"/>
        <w:ind w:right="361" w:firstLine="360"/>
        <w:rPr>
          <w:position w:val="10"/>
        </w:rPr>
      </w:pPr>
      <w:r>
        <w:t>Aristotle’s</w:t>
      </w:r>
      <w:r>
        <w:rPr>
          <w:spacing w:val="-5"/>
        </w:rPr>
        <w:t xml:space="preserve"> </w:t>
      </w:r>
      <w:r>
        <w:t>argument</w:t>
      </w:r>
      <w:r>
        <w:rPr>
          <w:spacing w:val="-5"/>
        </w:rPr>
        <w:t xml:space="preserve"> </w:t>
      </w:r>
      <w:r>
        <w:t>assumes</w:t>
      </w:r>
      <w:r>
        <w:rPr>
          <w:spacing w:val="-5"/>
        </w:rPr>
        <w:t xml:space="preserve"> </w:t>
      </w:r>
      <w:r>
        <w:t>that</w:t>
      </w:r>
      <w:r>
        <w:rPr>
          <w:spacing w:val="-5"/>
        </w:rPr>
        <w:t xml:space="preserve"> </w:t>
      </w:r>
      <w:r>
        <w:t>properties</w:t>
      </w:r>
      <w:r>
        <w:rPr>
          <w:spacing w:val="-5"/>
        </w:rPr>
        <w:t xml:space="preserve"> </w:t>
      </w:r>
      <w:r>
        <w:t>are</w:t>
      </w:r>
      <w:r>
        <w:rPr>
          <w:spacing w:val="-5"/>
        </w:rPr>
        <w:t xml:space="preserve"> </w:t>
      </w:r>
      <w:r>
        <w:t>instances</w:t>
      </w:r>
      <w:r>
        <w:rPr>
          <w:spacing w:val="-5"/>
        </w:rPr>
        <w:t xml:space="preserve"> </w:t>
      </w:r>
      <w:r>
        <w:t>of</w:t>
      </w:r>
      <w:r>
        <w:rPr>
          <w:spacing w:val="-5"/>
        </w:rPr>
        <w:t xml:space="preserve"> </w:t>
      </w:r>
      <w:r>
        <w:t>themselves—that the property of being a triangle is itself triangular. But that’s precisely what</w:t>
      </w:r>
      <w:r>
        <w:rPr>
          <w:spacing w:val="-5"/>
        </w:rPr>
        <w:t xml:space="preserve"> </w:t>
      </w:r>
      <w:r>
        <w:t>Platonism</w:t>
      </w:r>
      <w:r>
        <w:rPr>
          <w:spacing w:val="-5"/>
        </w:rPr>
        <w:t xml:space="preserve"> </w:t>
      </w:r>
      <w:r>
        <w:t>denies.</w:t>
      </w:r>
      <w:bookmarkStart w:id="180" w:name="_bookmark180"/>
      <w:bookmarkEnd w:id="180"/>
      <w:r>
        <w:rPr>
          <w:color w:val="0562C1"/>
          <w:position w:val="10"/>
          <w:u w:val="single" w:color="0562C1"/>
        </w:rPr>
        <w:t>18</w:t>
      </w:r>
      <w:r>
        <w:rPr>
          <w:color w:val="0562C1"/>
          <w:position w:val="10"/>
        </w:rPr>
        <w:t xml:space="preserve"> </w:t>
      </w:r>
      <w:r>
        <w:t xml:space="preserve">Platonism is the doctrine that spatiotemporal things are but </w:t>
      </w:r>
      <w:r>
        <w:rPr>
          <w:i/>
        </w:rPr>
        <w:t xml:space="preserve">instances </w:t>
      </w:r>
      <w:r>
        <w:t>of non-spatiotemporal things, the latter being properties.</w:t>
      </w:r>
      <w:r>
        <w:rPr>
          <w:spacing w:val="40"/>
        </w:rPr>
        <w:t xml:space="preserve"> </w:t>
      </w:r>
      <w:r>
        <w:t xml:space="preserve">The property of being spatiotemporal is therefore itself non-spatiotemporal and, therefore isn’t an instance of itself. And the property of being a cat obviously isn’t a cat, since cats are spatiotemporal, whereas that property is </w:t>
      </w:r>
      <w:r>
        <w:rPr>
          <w:spacing w:val="-2"/>
        </w:rPr>
        <w:t>not</w:t>
      </w:r>
      <w:bookmarkStart w:id="181" w:name="_bookmark181"/>
      <w:bookmarkEnd w:id="181"/>
      <w:r>
        <w:rPr>
          <w:spacing w:val="-2"/>
        </w:rPr>
        <w:t>.</w:t>
      </w:r>
      <w:r>
        <w:rPr>
          <w:color w:val="0562C1"/>
          <w:spacing w:val="-2"/>
          <w:position w:val="10"/>
          <w:u w:val="single" w:color="0562C1"/>
        </w:rPr>
        <w:t>19</w:t>
      </w:r>
    </w:p>
    <w:p w14:paraId="7E000DD9" w14:textId="77777777" w:rsidR="009A58DB" w:rsidRDefault="00000000">
      <w:pPr>
        <w:pStyle w:val="BodyText"/>
        <w:spacing w:line="249" w:lineRule="auto"/>
        <w:ind w:right="361" w:firstLine="360"/>
      </w:pPr>
      <w:r>
        <w:t>Just as, according to Aristotle, Platonism is struck with the problem of explaining why the property of being a triangle was itself a triangle, so according to Wittgenstein, those who believe in meanings are stuck with the problem of explaining how meanings are understood.</w:t>
      </w:r>
    </w:p>
    <w:p w14:paraId="7E000DDA" w14:textId="77777777" w:rsidR="009A58DB" w:rsidRDefault="00000000">
      <w:pPr>
        <w:pStyle w:val="BodyText"/>
        <w:spacing w:line="249" w:lineRule="auto"/>
        <w:ind w:right="359" w:firstLine="360"/>
      </w:pPr>
      <w:r>
        <w:t xml:space="preserve">But meanings are not themselves understood. They’re no more understood than the property of being a cat is a cat. Consider the expression “I.” I’m referring, not to specific occurrences (utterances, inscriptions) of that expression, but to that expression itself—the </w:t>
      </w:r>
      <w:r>
        <w:rPr>
          <w:b/>
          <w:i/>
        </w:rPr>
        <w:t>expression-type,</w:t>
      </w:r>
      <w:r>
        <w:rPr>
          <w:b/>
          <w:i/>
          <w:spacing w:val="-4"/>
        </w:rPr>
        <w:t xml:space="preserve"> </w:t>
      </w:r>
      <w:r>
        <w:t xml:space="preserve">in other words, as opposed to its </w:t>
      </w:r>
      <w:r>
        <w:rPr>
          <w:b/>
          <w:i/>
        </w:rPr>
        <w:t xml:space="preserve">tokens. </w:t>
      </w:r>
      <w:r>
        <w:t xml:space="preserve">The meaning of that expression is some rule that assigns referents to its tokens depending on the circumstances. More precisely, the meaning of “I” is a rule to the effect that a token </w:t>
      </w:r>
      <w:r>
        <w:rPr>
          <w:i/>
        </w:rPr>
        <w:t xml:space="preserve">t </w:t>
      </w:r>
      <w:r>
        <w:t>of that expression that is uttered by x refers to x. My knowing that “I” has that meaning is part of what enables me to understand utterances of “I’m getting really bored,” “I really like snow-boarding,” etc. But that meaning is not</w:t>
      </w:r>
      <w:r>
        <w:rPr>
          <w:spacing w:val="40"/>
        </w:rPr>
        <w:t xml:space="preserve"> </w:t>
      </w:r>
      <w:r>
        <w:t>itself</w:t>
      </w:r>
      <w:r>
        <w:rPr>
          <w:spacing w:val="-1"/>
        </w:rPr>
        <w:t xml:space="preserve"> </w:t>
      </w:r>
      <w:r>
        <w:t>understood.</w:t>
      </w:r>
      <w:r>
        <w:rPr>
          <w:spacing w:val="-1"/>
        </w:rPr>
        <w:t xml:space="preserve"> </w:t>
      </w:r>
      <w:r>
        <w:t>Meanings</w:t>
      </w:r>
      <w:r>
        <w:rPr>
          <w:spacing w:val="-1"/>
        </w:rPr>
        <w:t xml:space="preserve"> </w:t>
      </w:r>
      <w:r>
        <w:t>are</w:t>
      </w:r>
      <w:r>
        <w:rPr>
          <w:spacing w:val="-1"/>
        </w:rPr>
        <w:t xml:space="preserve"> </w:t>
      </w:r>
      <w:r>
        <w:t>either</w:t>
      </w:r>
      <w:r>
        <w:rPr>
          <w:spacing w:val="-1"/>
        </w:rPr>
        <w:t xml:space="preserve"> </w:t>
      </w:r>
      <w:r>
        <w:t>grasped</w:t>
      </w:r>
      <w:r>
        <w:rPr>
          <w:spacing w:val="-1"/>
        </w:rPr>
        <w:t xml:space="preserve"> </w:t>
      </w:r>
      <w:r>
        <w:t>or</w:t>
      </w:r>
      <w:r>
        <w:rPr>
          <w:spacing w:val="-1"/>
        </w:rPr>
        <w:t xml:space="preserve"> </w:t>
      </w:r>
      <w:r>
        <w:t>they’re</w:t>
      </w:r>
      <w:r>
        <w:rPr>
          <w:spacing w:val="-1"/>
        </w:rPr>
        <w:t xml:space="preserve"> </w:t>
      </w:r>
      <w:r>
        <w:t>not.</w:t>
      </w:r>
      <w:r>
        <w:rPr>
          <w:spacing w:val="-1"/>
        </w:rPr>
        <w:t xml:space="preserve"> </w:t>
      </w:r>
      <w:r>
        <w:t>There’s</w:t>
      </w:r>
      <w:r>
        <w:rPr>
          <w:spacing w:val="-1"/>
        </w:rPr>
        <w:t xml:space="preserve"> </w:t>
      </w:r>
      <w:r>
        <w:t>no</w:t>
      </w:r>
      <w:r>
        <w:rPr>
          <w:spacing w:val="-1"/>
        </w:rPr>
        <w:t xml:space="preserve"> </w:t>
      </w:r>
      <w:r>
        <w:t>such thing as grasping a meaning but not understanding it.</w:t>
      </w:r>
    </w:p>
    <w:p w14:paraId="7E000DDB" w14:textId="77777777" w:rsidR="009A58DB" w:rsidRDefault="00000000">
      <w:pPr>
        <w:pStyle w:val="BodyText"/>
        <w:spacing w:before="12" w:line="249" w:lineRule="auto"/>
        <w:ind w:right="359" w:firstLine="360"/>
      </w:pPr>
      <w:r>
        <w:t xml:space="preserve">A consequence is that meanings don’t have to be </w:t>
      </w:r>
      <w:r>
        <w:rPr>
          <w:i/>
        </w:rPr>
        <w:t xml:space="preserve">interpreted. </w:t>
      </w:r>
      <w:r>
        <w:t>It’s incoherent to suppose that Hoigaard (who, let’s assume, is Norwegian)</w:t>
      </w:r>
      <w:r>
        <w:rPr>
          <w:spacing w:val="40"/>
        </w:rPr>
        <w:t xml:space="preserve"> </w:t>
      </w:r>
      <w:r>
        <w:t>should</w:t>
      </w:r>
      <w:r>
        <w:rPr>
          <w:spacing w:val="-2"/>
        </w:rPr>
        <w:t xml:space="preserve"> </w:t>
      </w:r>
      <w:r>
        <w:t>be</w:t>
      </w:r>
      <w:r>
        <w:rPr>
          <w:spacing w:val="-1"/>
        </w:rPr>
        <w:t xml:space="preserve"> </w:t>
      </w:r>
      <w:r>
        <w:t>able</w:t>
      </w:r>
      <w:r>
        <w:rPr>
          <w:spacing w:val="-2"/>
        </w:rPr>
        <w:t xml:space="preserve"> </w:t>
      </w:r>
      <w:r>
        <w:t>to</w:t>
      </w:r>
      <w:r>
        <w:rPr>
          <w:spacing w:val="-1"/>
        </w:rPr>
        <w:t xml:space="preserve"> </w:t>
      </w:r>
      <w:r>
        <w:t>grasp</w:t>
      </w:r>
      <w:r>
        <w:rPr>
          <w:spacing w:val="-2"/>
        </w:rPr>
        <w:t xml:space="preserve"> </w:t>
      </w:r>
      <w:r>
        <w:t>this</w:t>
      </w:r>
      <w:r>
        <w:rPr>
          <w:spacing w:val="-1"/>
        </w:rPr>
        <w:t xml:space="preserve"> </w:t>
      </w:r>
      <w:r>
        <w:t>meaning,</w:t>
      </w:r>
      <w:r>
        <w:rPr>
          <w:spacing w:val="-1"/>
        </w:rPr>
        <w:t xml:space="preserve"> </w:t>
      </w:r>
      <w:r>
        <w:t>but</w:t>
      </w:r>
      <w:r>
        <w:rPr>
          <w:spacing w:val="-2"/>
        </w:rPr>
        <w:t xml:space="preserve"> </w:t>
      </w:r>
      <w:r>
        <w:t>fail</w:t>
      </w:r>
      <w:r>
        <w:rPr>
          <w:spacing w:val="-1"/>
        </w:rPr>
        <w:t xml:space="preserve"> </w:t>
      </w:r>
      <w:r>
        <w:t>to</w:t>
      </w:r>
      <w:r>
        <w:rPr>
          <w:spacing w:val="-2"/>
        </w:rPr>
        <w:t xml:space="preserve"> </w:t>
      </w:r>
      <w:r>
        <w:t>see</w:t>
      </w:r>
      <w:r>
        <w:rPr>
          <w:spacing w:val="-1"/>
        </w:rPr>
        <w:t xml:space="preserve"> </w:t>
      </w:r>
      <w:r>
        <w:t>that</w:t>
      </w:r>
      <w:r>
        <w:rPr>
          <w:spacing w:val="-2"/>
        </w:rPr>
        <w:t xml:space="preserve"> </w:t>
      </w:r>
      <w:r>
        <w:t>people</w:t>
      </w:r>
      <w:r>
        <w:rPr>
          <w:spacing w:val="-1"/>
        </w:rPr>
        <w:t xml:space="preserve"> </w:t>
      </w:r>
      <w:r>
        <w:t>were</w:t>
      </w:r>
      <w:r>
        <w:rPr>
          <w:spacing w:val="-1"/>
        </w:rPr>
        <w:t xml:space="preserve"> </w:t>
      </w:r>
      <w:r>
        <w:t>referring to themselves when they said “I.” If, upon hearing you say, “I am cold,” Hoigaard</w:t>
      </w:r>
      <w:r>
        <w:rPr>
          <w:spacing w:val="-1"/>
        </w:rPr>
        <w:t xml:space="preserve"> </w:t>
      </w:r>
      <w:r>
        <w:t>has</w:t>
      </w:r>
      <w:r>
        <w:rPr>
          <w:spacing w:val="-1"/>
        </w:rPr>
        <w:t xml:space="preserve"> </w:t>
      </w:r>
      <w:r>
        <w:t>to</w:t>
      </w:r>
      <w:r>
        <w:rPr>
          <w:spacing w:val="-1"/>
        </w:rPr>
        <w:t xml:space="preserve"> </w:t>
      </w:r>
      <w:r>
        <w:t>thumb</w:t>
      </w:r>
      <w:r>
        <w:rPr>
          <w:spacing w:val="-1"/>
        </w:rPr>
        <w:t xml:space="preserve"> </w:t>
      </w:r>
      <w:r>
        <w:t>through</w:t>
      </w:r>
      <w:r>
        <w:rPr>
          <w:spacing w:val="-1"/>
        </w:rPr>
        <w:t xml:space="preserve"> </w:t>
      </w:r>
      <w:r>
        <w:t>his</w:t>
      </w:r>
      <w:r>
        <w:rPr>
          <w:spacing w:val="-1"/>
        </w:rPr>
        <w:t xml:space="preserve"> </w:t>
      </w:r>
      <w:r>
        <w:t>English-to-Norwegian</w:t>
      </w:r>
      <w:r>
        <w:rPr>
          <w:spacing w:val="-1"/>
        </w:rPr>
        <w:t xml:space="preserve"> </w:t>
      </w:r>
      <w:r>
        <w:t>dictionary</w:t>
      </w:r>
      <w:r>
        <w:rPr>
          <w:spacing w:val="-1"/>
        </w:rPr>
        <w:t xml:space="preserve"> </w:t>
      </w:r>
      <w:r>
        <w:t>to</w:t>
      </w:r>
      <w:r>
        <w:rPr>
          <w:spacing w:val="-1"/>
        </w:rPr>
        <w:t xml:space="preserve"> </w:t>
      </w:r>
      <w:r>
        <w:t>figure out what “I” means, then he doesn’t know the meaning of the word “I.”</w:t>
      </w:r>
    </w:p>
    <w:p w14:paraId="7E000DDC" w14:textId="77777777" w:rsidR="009A58DB" w:rsidRDefault="00000000">
      <w:pPr>
        <w:pStyle w:val="BodyText"/>
        <w:spacing w:before="7" w:line="249" w:lineRule="auto"/>
        <w:ind w:right="362" w:firstLine="360"/>
      </w:pPr>
      <w:r>
        <w:t>This isn’t to say, what would clearly be false, that one automatically recognizes every consequence of every principle that one grasps. People fail to see the consequences of the principles they grasp. In fact, since any given</w:t>
      </w:r>
    </w:p>
    <w:p w14:paraId="7E000DD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DE" w14:textId="77777777" w:rsidR="009A58DB" w:rsidRDefault="00000000">
      <w:pPr>
        <w:pStyle w:val="BodyText"/>
        <w:spacing w:before="65" w:line="249" w:lineRule="auto"/>
        <w:ind w:right="358"/>
        <w:rPr>
          <w:i/>
        </w:rPr>
      </w:pPr>
      <w:r>
        <w:lastRenderedPageBreak/>
        <w:t xml:space="preserve">proposition has infinitely many consequences, people fail to grasp infinitely many consequences of anything that they grasp. But </w:t>
      </w:r>
      <w:r>
        <w:rPr>
          <w:i/>
        </w:rPr>
        <w:t xml:space="preserve">to the extent </w:t>
      </w:r>
      <w:r>
        <w:t>that one’s grasp of a given principle is determinative of what one knows, there isn’t a gap between grasping meaning, on the one hand, and applying it, on the</w:t>
      </w:r>
      <w:r>
        <w:rPr>
          <w:spacing w:val="40"/>
        </w:rPr>
        <w:t xml:space="preserve"> </w:t>
      </w:r>
      <w:r>
        <w:t xml:space="preserve">other. And to the extent that one doesn’t see the consequences of some meaning or principle that one grasps, it isn’t because one has failed to </w:t>
      </w:r>
      <w:r>
        <w:rPr>
          <w:i/>
        </w:rPr>
        <w:t>interpret it.</w:t>
      </w:r>
    </w:p>
    <w:p w14:paraId="7E000DDF" w14:textId="77777777" w:rsidR="009A58DB" w:rsidRDefault="00000000">
      <w:pPr>
        <w:pStyle w:val="BodyText"/>
        <w:spacing w:before="8" w:line="249" w:lineRule="auto"/>
        <w:ind w:right="360" w:firstLine="360"/>
      </w:pPr>
      <w:r>
        <w:t>A</w:t>
      </w:r>
      <w:r>
        <w:rPr>
          <w:spacing w:val="-2"/>
        </w:rPr>
        <w:t xml:space="preserve"> </w:t>
      </w:r>
      <w:r>
        <w:t>story</w:t>
      </w:r>
      <w:r>
        <w:rPr>
          <w:spacing w:val="-2"/>
        </w:rPr>
        <w:t xml:space="preserve"> </w:t>
      </w:r>
      <w:r>
        <w:t>will</w:t>
      </w:r>
      <w:r>
        <w:rPr>
          <w:spacing w:val="-2"/>
        </w:rPr>
        <w:t xml:space="preserve"> </w:t>
      </w:r>
      <w:r>
        <w:t>clarify</w:t>
      </w:r>
      <w:r>
        <w:rPr>
          <w:spacing w:val="-2"/>
        </w:rPr>
        <w:t xml:space="preserve"> </w:t>
      </w:r>
      <w:r>
        <w:t>these</w:t>
      </w:r>
      <w:r>
        <w:rPr>
          <w:spacing w:val="-2"/>
        </w:rPr>
        <w:t xml:space="preserve"> </w:t>
      </w:r>
      <w:r>
        <w:t>points.</w:t>
      </w:r>
      <w:r>
        <w:rPr>
          <w:spacing w:val="-2"/>
        </w:rPr>
        <w:t xml:space="preserve"> </w:t>
      </w:r>
      <w:r>
        <w:t>Brown</w:t>
      </w:r>
      <w:r>
        <w:rPr>
          <w:spacing w:val="-2"/>
        </w:rPr>
        <w:t xml:space="preserve"> </w:t>
      </w:r>
      <w:r>
        <w:t>is</w:t>
      </w:r>
      <w:r>
        <w:rPr>
          <w:spacing w:val="-2"/>
        </w:rPr>
        <w:t xml:space="preserve"> </w:t>
      </w:r>
      <w:r>
        <w:t>a</w:t>
      </w:r>
      <w:r>
        <w:rPr>
          <w:spacing w:val="-2"/>
        </w:rPr>
        <w:t xml:space="preserve"> </w:t>
      </w:r>
      <w:r>
        <w:t>highly</w:t>
      </w:r>
      <w:r>
        <w:rPr>
          <w:spacing w:val="-2"/>
        </w:rPr>
        <w:t xml:space="preserve"> </w:t>
      </w:r>
      <w:r>
        <w:t>(but</w:t>
      </w:r>
      <w:r>
        <w:rPr>
          <w:spacing w:val="-2"/>
        </w:rPr>
        <w:t xml:space="preserve"> </w:t>
      </w:r>
      <w:r>
        <w:t>not</w:t>
      </w:r>
      <w:r>
        <w:rPr>
          <w:spacing w:val="-2"/>
        </w:rPr>
        <w:t xml:space="preserve"> </w:t>
      </w:r>
      <w:r>
        <w:t>superhumanly) intelligent person who not only speaks perfect English, but is exceptionally (but, again, not superhumanly) adept at understanding highly intricate sentences. XYZ is a sentence of English that is 100,000 words long but is otherwise normal. XYZ is grammatical, coherent, etc</w:t>
      </w:r>
      <w:bookmarkStart w:id="182" w:name="_bookmark182"/>
      <w:bookmarkEnd w:id="182"/>
      <w:r>
        <w:t>.</w:t>
      </w:r>
      <w:r>
        <w:rPr>
          <w:color w:val="0562C1"/>
          <w:position w:val="10"/>
          <w:u w:val="single" w:color="0562C1"/>
        </w:rPr>
        <w:t>20</w:t>
      </w:r>
      <w:r>
        <w:rPr>
          <w:color w:val="0562C1"/>
          <w:position w:val="10"/>
        </w:rPr>
        <w:t xml:space="preserve"> </w:t>
      </w:r>
      <w:r>
        <w:t xml:space="preserve">Even though Brown knows the relevant semantic rules, he obviously can’t understand XYZ. But the problem isn’t that Brown can’t interpret the relevant semantic principles. The problem is that, because that sentence is so long, he can’t </w:t>
      </w:r>
      <w:r>
        <w:rPr>
          <w:i/>
        </w:rPr>
        <w:t xml:space="preserve">deploy </w:t>
      </w:r>
      <w:r>
        <w:t xml:space="preserve">his semantic knowledge. In and of itself, that semantic knowledge is good to go. But, under the circumstances, it’s weighed down by limitations on Brown’s part that have nothing at all to do with his </w:t>
      </w:r>
      <w:r>
        <w:rPr>
          <w:i/>
        </w:rPr>
        <w:t xml:space="preserve">semantic </w:t>
      </w:r>
      <w:r>
        <w:t xml:space="preserve">competence. Brown’s memory isn’t perfect; he can’t keep too many tasks going in his mind simultaneously, even if any given one of them is elementary. These aren’t </w:t>
      </w:r>
      <w:r>
        <w:rPr>
          <w:i/>
        </w:rPr>
        <w:t>semantic</w:t>
      </w:r>
      <w:r>
        <w:rPr>
          <w:i/>
          <w:spacing w:val="-5"/>
        </w:rPr>
        <w:t xml:space="preserve"> </w:t>
      </w:r>
      <w:r>
        <w:t>limitations</w:t>
      </w:r>
      <w:r>
        <w:rPr>
          <w:spacing w:val="-2"/>
        </w:rPr>
        <w:t xml:space="preserve"> </w:t>
      </w:r>
      <w:r>
        <w:t>on</w:t>
      </w:r>
      <w:r>
        <w:rPr>
          <w:spacing w:val="-1"/>
        </w:rPr>
        <w:t xml:space="preserve"> </w:t>
      </w:r>
      <w:r>
        <w:t>Brown’s</w:t>
      </w:r>
      <w:r>
        <w:rPr>
          <w:spacing w:val="-1"/>
        </w:rPr>
        <w:t xml:space="preserve"> </w:t>
      </w:r>
      <w:r>
        <w:t>part.</w:t>
      </w:r>
      <w:r>
        <w:rPr>
          <w:spacing w:val="-1"/>
        </w:rPr>
        <w:t xml:space="preserve"> </w:t>
      </w:r>
      <w:r>
        <w:t>The</w:t>
      </w:r>
      <w:r>
        <w:rPr>
          <w:spacing w:val="-1"/>
        </w:rPr>
        <w:t xml:space="preserve"> </w:t>
      </w:r>
      <w:r>
        <w:t>problem</w:t>
      </w:r>
      <w:r>
        <w:rPr>
          <w:spacing w:val="-2"/>
        </w:rPr>
        <w:t xml:space="preserve"> </w:t>
      </w:r>
      <w:r>
        <w:t>isn’t</w:t>
      </w:r>
      <w:r>
        <w:rPr>
          <w:spacing w:val="-2"/>
        </w:rPr>
        <w:t xml:space="preserve"> </w:t>
      </w:r>
      <w:r>
        <w:t>that</w:t>
      </w:r>
      <w:r>
        <w:rPr>
          <w:spacing w:val="-2"/>
        </w:rPr>
        <w:t xml:space="preserve"> </w:t>
      </w:r>
      <w:r>
        <w:t>he</w:t>
      </w:r>
      <w:r>
        <w:rPr>
          <w:spacing w:val="-1"/>
        </w:rPr>
        <w:t xml:space="preserve"> </w:t>
      </w:r>
      <w:r>
        <w:t>doesn’t</w:t>
      </w:r>
      <w:r>
        <w:rPr>
          <w:spacing w:val="-2"/>
        </w:rPr>
        <w:t xml:space="preserve"> </w:t>
      </w:r>
      <w:r>
        <w:t xml:space="preserve">know the relevant semantic rules. Nor is it that he hasn’t adequately </w:t>
      </w:r>
      <w:r>
        <w:rPr>
          <w:i/>
        </w:rPr>
        <w:t xml:space="preserve">interpreted </w:t>
      </w:r>
      <w:r>
        <w:t>the semantic rules that he grasps. The problem is that his grasp of those</w:t>
      </w:r>
      <w:r>
        <w:rPr>
          <w:spacing w:val="40"/>
        </w:rPr>
        <w:t xml:space="preserve"> </w:t>
      </w:r>
      <w:r>
        <w:t xml:space="preserve">principles is being inhibited by shortcomings that in no way detract from his semantic competence, even though they </w:t>
      </w:r>
      <w:r>
        <w:rPr>
          <w:i/>
        </w:rPr>
        <w:t xml:space="preserve">do </w:t>
      </w:r>
      <w:r>
        <w:t xml:space="preserve">limit his ability to </w:t>
      </w:r>
      <w:r>
        <w:rPr>
          <w:i/>
        </w:rPr>
        <w:t xml:space="preserve">deploy </w:t>
      </w:r>
      <w:r>
        <w:t xml:space="preserve">it. </w:t>
      </w:r>
      <w:r>
        <w:rPr>
          <w:i/>
        </w:rPr>
        <w:t xml:space="preserve">To the extent that </w:t>
      </w:r>
      <w:r>
        <w:t xml:space="preserve">what Brown knows is determined by his grasping those semantic rules, Brown </w:t>
      </w:r>
      <w:r>
        <w:rPr>
          <w:i/>
        </w:rPr>
        <w:t xml:space="preserve">does </w:t>
      </w:r>
      <w:r>
        <w:t>understand the expressions to which they assign meaning. But, of course, what Brown knows is a function of many things besides his grasp of those principles.</w:t>
      </w:r>
    </w:p>
    <w:p w14:paraId="7E000DE0" w14:textId="77777777" w:rsidR="009A58DB" w:rsidRDefault="00000000">
      <w:pPr>
        <w:pStyle w:val="BodyText"/>
        <w:spacing w:before="32" w:line="249" w:lineRule="auto"/>
        <w:ind w:right="359" w:firstLine="360"/>
      </w:pPr>
      <w:r>
        <w:t xml:space="preserve">Wittgenstein’s idea that meanings, if grasped, must be </w:t>
      </w:r>
      <w:r>
        <w:rPr>
          <w:i/>
        </w:rPr>
        <w:t xml:space="preserve">interpreted </w:t>
      </w:r>
      <w:r>
        <w:t>reflects his erroneous belief that, whenever one can’t see a consequence of some principle that one grasps, it’s because one hasn’t adequately interpreted that principle. But principles aren’t interpreted. They’re grasped. And, if grasped, they guide judgments. And to the extent that one’s grasp of a principle is determinative of what one knows, those judgments are consistent with those</w:t>
      </w:r>
    </w:p>
    <w:p w14:paraId="7E000DE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E2" w14:textId="77777777" w:rsidR="009A58DB" w:rsidRDefault="00000000">
      <w:pPr>
        <w:pStyle w:val="BodyText"/>
        <w:spacing w:before="65" w:line="249" w:lineRule="auto"/>
        <w:ind w:right="360"/>
        <w:rPr>
          <w:i/>
        </w:rPr>
      </w:pPr>
      <w:r>
        <w:lastRenderedPageBreak/>
        <w:t xml:space="preserve">principles. But, of course, one’s grasp of a given principle is but one factor among many determining the course of one’s thought-process; so one’s grasp of that principle may be prevented from eventuating in the judgments in which it would otherwise eventuate. But when that happens, it isn’t because that principle wasn’t adequately </w:t>
      </w:r>
      <w:r>
        <w:rPr>
          <w:i/>
        </w:rPr>
        <w:t>interpreted.</w:t>
      </w:r>
    </w:p>
    <w:p w14:paraId="7E000DE3" w14:textId="77777777" w:rsidR="009A58DB" w:rsidRDefault="00000000">
      <w:pPr>
        <w:pStyle w:val="Heading1"/>
        <w:numPr>
          <w:ilvl w:val="1"/>
          <w:numId w:val="179"/>
        </w:numPr>
        <w:tabs>
          <w:tab w:val="left" w:pos="1409"/>
        </w:tabs>
        <w:spacing w:before="194"/>
        <w:ind w:left="1409" w:hanging="1049"/>
        <w:rPr>
          <w:rFonts w:ascii="Liberation Serif"/>
        </w:rPr>
      </w:pPr>
      <w:r>
        <w:rPr>
          <w:rFonts w:ascii="Liberation Serif"/>
        </w:rPr>
        <w:t>The</w:t>
      </w:r>
      <w:r>
        <w:rPr>
          <w:rFonts w:ascii="Liberation Serif"/>
          <w:spacing w:val="-6"/>
        </w:rPr>
        <w:t xml:space="preserve"> </w:t>
      </w:r>
      <w:r>
        <w:rPr>
          <w:rFonts w:ascii="Liberation Serif"/>
        </w:rPr>
        <w:t>Private</w:t>
      </w:r>
      <w:r>
        <w:rPr>
          <w:rFonts w:ascii="Liberation Serif"/>
          <w:spacing w:val="-4"/>
        </w:rPr>
        <w:t xml:space="preserve"> </w:t>
      </w:r>
      <w:r>
        <w:rPr>
          <w:rFonts w:ascii="Liberation Serif"/>
        </w:rPr>
        <w:t>Language</w:t>
      </w:r>
      <w:r>
        <w:rPr>
          <w:rFonts w:ascii="Liberation Serif"/>
          <w:spacing w:val="-4"/>
        </w:rPr>
        <w:t xml:space="preserve"> </w:t>
      </w:r>
      <w:r>
        <w:rPr>
          <w:rFonts w:ascii="Liberation Serif"/>
          <w:spacing w:val="-2"/>
        </w:rPr>
        <w:t>Argument</w:t>
      </w:r>
    </w:p>
    <w:p w14:paraId="7E000DE4" w14:textId="77777777" w:rsidR="009A58DB" w:rsidRDefault="00000000">
      <w:pPr>
        <w:pStyle w:val="BodyText"/>
        <w:spacing w:before="139" w:line="249" w:lineRule="auto"/>
        <w:ind w:right="358"/>
      </w:pPr>
      <w:r>
        <w:t>Neither of Wittgenstein’s attempts to show that thinking isn’t a psychological act is probative. They’re interesting arguments, if I’ve interpreted them correctly; and if I haven’t, it’s an interesting question how they ought to be interpreted. But given what we’ve seen, we have no reason to reject the plausible, if not self-evident, position that thinking is a psychological act.</w:t>
      </w:r>
    </w:p>
    <w:p w14:paraId="7E000DE5" w14:textId="77777777" w:rsidR="009A58DB" w:rsidRDefault="00000000">
      <w:pPr>
        <w:pStyle w:val="BodyText"/>
        <w:spacing w:before="6" w:line="249" w:lineRule="auto"/>
        <w:ind w:right="361" w:firstLine="360"/>
      </w:pPr>
      <w:r>
        <w:t>But, of course, Wittgenstein doesn’t see it this way. Believing himself to have definitively established (the radically absurd principle) that rule-following and, more generally, thought aren’t mental processes, he attempts to show that there can be no private languages. Here is his argument:</w:t>
      </w:r>
    </w:p>
    <w:p w14:paraId="7E000DE6" w14:textId="77777777" w:rsidR="009A58DB" w:rsidRDefault="009A58DB">
      <w:pPr>
        <w:pStyle w:val="BodyText"/>
        <w:spacing w:before="25"/>
        <w:ind w:left="0"/>
        <w:jc w:val="left"/>
      </w:pPr>
    </w:p>
    <w:p w14:paraId="7E000DE7" w14:textId="77777777" w:rsidR="009A58DB" w:rsidRDefault="00000000">
      <w:pPr>
        <w:pStyle w:val="BodyText"/>
        <w:spacing w:line="249" w:lineRule="auto"/>
        <w:ind w:left="720" w:right="721"/>
      </w:pPr>
      <w:r>
        <w:t>(W</w:t>
      </w:r>
      <w:bookmarkStart w:id="183" w:name="_bookmark183"/>
      <w:bookmarkEnd w:id="183"/>
      <w:r>
        <w:t>A</w:t>
      </w:r>
      <w:r>
        <w:rPr>
          <w:color w:val="0562C1"/>
          <w:position w:val="10"/>
          <w:u w:val="single" w:color="0562C1"/>
        </w:rPr>
        <w:t>21</w:t>
      </w:r>
      <w:r>
        <w:t>) Imagine the following. Smith is alone on a desert island. He’s always been this way and, therefore, has never learned a language. But he wishes to create one. He thus decides to stipulate that the meanings of</w:t>
      </w:r>
      <w:r>
        <w:rPr>
          <w:spacing w:val="-2"/>
        </w:rPr>
        <w:t xml:space="preserve"> </w:t>
      </w:r>
      <w:r>
        <w:t>expressions</w:t>
      </w:r>
      <w:r>
        <w:rPr>
          <w:spacing w:val="-2"/>
        </w:rPr>
        <w:t xml:space="preserve"> </w:t>
      </w:r>
      <w:r>
        <w:t>X</w:t>
      </w:r>
      <w:r>
        <w:rPr>
          <w:vertAlign w:val="subscript"/>
        </w:rPr>
        <w:t>1</w:t>
      </w:r>
      <w:r>
        <w:t>...X</w:t>
      </w:r>
      <w:r>
        <w:rPr>
          <w:position w:val="-7"/>
          <w:sz w:val="22"/>
        </w:rPr>
        <w:t xml:space="preserve">n </w:t>
      </w:r>
      <w:r>
        <w:t xml:space="preserve">are to be respectively, </w:t>
      </w:r>
      <w:r>
        <w:rPr>
          <w:i/>
        </w:rPr>
        <w:t xml:space="preserve">tree, berry, sand, sun, </w:t>
      </w:r>
      <w:r>
        <w:t>etc. (He also specifies how those symbols are to be written down. For some reason, he has a notebook and a pen.) He does this all on Monday. We’ll</w:t>
      </w:r>
      <w:r>
        <w:rPr>
          <w:spacing w:val="36"/>
        </w:rPr>
        <w:t xml:space="preserve"> </w:t>
      </w:r>
      <w:r>
        <w:t>refer</w:t>
      </w:r>
      <w:r>
        <w:rPr>
          <w:spacing w:val="36"/>
        </w:rPr>
        <w:t xml:space="preserve"> </w:t>
      </w:r>
      <w:r>
        <w:t>to</w:t>
      </w:r>
      <w:r>
        <w:rPr>
          <w:spacing w:val="36"/>
        </w:rPr>
        <w:t xml:space="preserve"> </w:t>
      </w:r>
      <w:r>
        <w:t>the</w:t>
      </w:r>
      <w:r>
        <w:rPr>
          <w:spacing w:val="36"/>
        </w:rPr>
        <w:t xml:space="preserve"> </w:t>
      </w:r>
      <w:r>
        <w:t>language</w:t>
      </w:r>
      <w:r>
        <w:rPr>
          <w:spacing w:val="36"/>
        </w:rPr>
        <w:t xml:space="preserve"> </w:t>
      </w:r>
      <w:r>
        <w:t>Smith</w:t>
      </w:r>
      <w:r>
        <w:rPr>
          <w:spacing w:val="36"/>
        </w:rPr>
        <w:t xml:space="preserve"> </w:t>
      </w:r>
      <w:r>
        <w:t>creates</w:t>
      </w:r>
      <w:r>
        <w:rPr>
          <w:spacing w:val="36"/>
        </w:rPr>
        <w:t xml:space="preserve"> </w:t>
      </w:r>
      <w:r>
        <w:t>as</w:t>
      </w:r>
      <w:r>
        <w:rPr>
          <w:spacing w:val="36"/>
        </w:rPr>
        <w:t xml:space="preserve"> </w:t>
      </w:r>
      <w:r>
        <w:t>“Smithese</w:t>
      </w:r>
      <w:r>
        <w:rPr>
          <w:vertAlign w:val="subscript"/>
        </w:rPr>
        <w:t>1</w:t>
      </w:r>
      <w:r>
        <w:t>.”</w:t>
      </w:r>
      <w:r>
        <w:rPr>
          <w:spacing w:val="33"/>
        </w:rPr>
        <w:t xml:space="preserve"> </w:t>
      </w:r>
      <w:r>
        <w:t>One</w:t>
      </w:r>
      <w:r>
        <w:rPr>
          <w:spacing w:val="33"/>
        </w:rPr>
        <w:t xml:space="preserve"> </w:t>
      </w:r>
      <w:r>
        <w:t>of</w:t>
      </w:r>
      <w:r>
        <w:rPr>
          <w:spacing w:val="34"/>
        </w:rPr>
        <w:t xml:space="preserve"> </w:t>
      </w:r>
      <w:r>
        <w:t>the</w:t>
      </w:r>
    </w:p>
    <w:p w14:paraId="7E000DE8" w14:textId="77777777" w:rsidR="009A58DB" w:rsidRDefault="00000000">
      <w:pPr>
        <w:pStyle w:val="BodyText"/>
        <w:spacing w:before="66"/>
        <w:ind w:left="720"/>
      </w:pPr>
      <w:r>
        <w:t>semantic</w:t>
      </w:r>
      <w:r>
        <w:rPr>
          <w:spacing w:val="-2"/>
        </w:rPr>
        <w:t xml:space="preserve"> </w:t>
      </w:r>
      <w:r>
        <w:t>rules</w:t>
      </w:r>
      <w:r>
        <w:rPr>
          <w:spacing w:val="-2"/>
        </w:rPr>
        <w:t xml:space="preserve"> </w:t>
      </w:r>
      <w:r>
        <w:t>for</w:t>
      </w:r>
      <w:r>
        <w:rPr>
          <w:spacing w:val="-1"/>
        </w:rPr>
        <w:t xml:space="preserve"> </w:t>
      </w:r>
      <w:r>
        <w:t>Smithese</w:t>
      </w:r>
      <w:r>
        <w:rPr>
          <w:vertAlign w:val="subscript"/>
        </w:rPr>
        <w:t>1</w:t>
      </w:r>
      <w:r>
        <w:rPr>
          <w:spacing w:val="-1"/>
        </w:rPr>
        <w:t xml:space="preserve"> </w:t>
      </w:r>
      <w:r>
        <w:t>is</w:t>
      </w:r>
      <w:r>
        <w:rPr>
          <w:spacing w:val="-2"/>
        </w:rPr>
        <w:t xml:space="preserve"> </w:t>
      </w:r>
      <w:r>
        <w:t>to the</w:t>
      </w:r>
      <w:r>
        <w:rPr>
          <w:spacing w:val="-2"/>
        </w:rPr>
        <w:t xml:space="preserve"> </w:t>
      </w:r>
      <w:r>
        <w:t>effect</w:t>
      </w:r>
      <w:r>
        <w:rPr>
          <w:spacing w:val="-2"/>
        </w:rPr>
        <w:t xml:space="preserve"> that:</w:t>
      </w:r>
    </w:p>
    <w:p w14:paraId="7E000DE9" w14:textId="77777777" w:rsidR="009A58DB" w:rsidRDefault="009A58DB">
      <w:pPr>
        <w:pStyle w:val="BodyText"/>
        <w:spacing w:before="90"/>
        <w:ind w:left="0"/>
        <w:jc w:val="left"/>
      </w:pPr>
    </w:p>
    <w:p w14:paraId="7E000DEA" w14:textId="77777777" w:rsidR="009A58DB" w:rsidRDefault="00000000">
      <w:pPr>
        <w:pStyle w:val="BodyText"/>
        <w:ind w:left="720"/>
      </w:pPr>
      <w:r>
        <w:t>X</w:t>
      </w:r>
      <w:r>
        <w:rPr>
          <w:vertAlign w:val="subscript"/>
        </w:rPr>
        <w:t>35</w:t>
      </w:r>
      <w:r>
        <w:t>: means that</w:t>
      </w:r>
      <w:r>
        <w:rPr>
          <w:spacing w:val="1"/>
        </w:rPr>
        <w:t xml:space="preserve"> </w:t>
      </w:r>
      <w:r>
        <w:t>the berries on</w:t>
      </w:r>
      <w:r>
        <w:rPr>
          <w:spacing w:val="2"/>
        </w:rPr>
        <w:t xml:space="preserve"> </w:t>
      </w:r>
      <w:r>
        <w:t>the dark</w:t>
      </w:r>
      <w:r>
        <w:rPr>
          <w:spacing w:val="2"/>
        </w:rPr>
        <w:t xml:space="preserve"> </w:t>
      </w:r>
      <w:r>
        <w:t>side of the</w:t>
      </w:r>
      <w:r>
        <w:rPr>
          <w:spacing w:val="1"/>
        </w:rPr>
        <w:t xml:space="preserve"> </w:t>
      </w:r>
      <w:r>
        <w:t xml:space="preserve">hill are </w:t>
      </w:r>
      <w:r>
        <w:rPr>
          <w:spacing w:val="-2"/>
        </w:rPr>
        <w:t>poisonous.</w:t>
      </w:r>
    </w:p>
    <w:p w14:paraId="7E000DEB" w14:textId="77777777" w:rsidR="009A58DB" w:rsidRDefault="009A58DB">
      <w:pPr>
        <w:pStyle w:val="BodyText"/>
        <w:spacing w:before="90"/>
        <w:ind w:left="0"/>
        <w:jc w:val="left"/>
      </w:pPr>
    </w:p>
    <w:p w14:paraId="7E000DEC" w14:textId="77777777" w:rsidR="009A58DB" w:rsidRDefault="00000000">
      <w:pPr>
        <w:pStyle w:val="BodyText"/>
        <w:spacing w:line="249" w:lineRule="auto"/>
        <w:ind w:left="720" w:right="359"/>
      </w:pPr>
      <w:r>
        <w:t>That same day, Smith sees some poisonous berries on the dark side of the hill, and writes X</w:t>
      </w:r>
      <w:r>
        <w:rPr>
          <w:position w:val="-7"/>
          <w:sz w:val="22"/>
        </w:rPr>
        <w:t>35</w:t>
      </w:r>
      <w:r>
        <w:rPr>
          <w:spacing w:val="40"/>
          <w:position w:val="-7"/>
          <w:sz w:val="22"/>
        </w:rPr>
        <w:t xml:space="preserve"> </w:t>
      </w:r>
      <w:r>
        <w:t>down in his notebook. (Let “X</w:t>
      </w:r>
      <w:r>
        <w:rPr>
          <w:position w:val="-7"/>
          <w:sz w:val="22"/>
        </w:rPr>
        <w:t>35</w:t>
      </w:r>
      <w:r>
        <w:t>” be our symbol for that particular inscription.) On Tuesday, he reads what he wrote down. Question: is there any way that Smith can misinterpret what he’s written? If he takes “X</w:t>
      </w:r>
      <w:r>
        <w:rPr>
          <w:position w:val="-7"/>
          <w:sz w:val="22"/>
        </w:rPr>
        <w:t>35</w:t>
      </w:r>
      <w:r>
        <w:t>” to mean that the sun is out, his interpretation of “X</w:t>
      </w:r>
      <w:r>
        <w:rPr>
          <w:position w:val="-7"/>
          <w:sz w:val="22"/>
        </w:rPr>
        <w:t>35</w:t>
      </w:r>
      <w:r>
        <w:t>” will be inconsistent with his Monday intentions. But so what? Since Smith</w:t>
      </w:r>
    </w:p>
    <w:p w14:paraId="7E000DE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DEE" w14:textId="77777777" w:rsidR="009A58DB" w:rsidRDefault="00000000">
      <w:pPr>
        <w:pStyle w:val="BodyText"/>
        <w:spacing w:before="60" w:line="271" w:lineRule="auto"/>
        <w:ind w:left="720" w:right="363"/>
      </w:pPr>
      <w:r>
        <w:lastRenderedPageBreak/>
        <w:t>is the only person who speaks Smithese</w:t>
      </w:r>
      <w:r>
        <w:rPr>
          <w:vertAlign w:val="subscript"/>
        </w:rPr>
        <w:t>1</w:t>
      </w:r>
      <w:r>
        <w:t>. So the expressions belonging to it mean whatever he thinks they mean. An English-speaker can’t just decide</w:t>
      </w:r>
      <w:r>
        <w:rPr>
          <w:spacing w:val="64"/>
        </w:rPr>
        <w:t xml:space="preserve"> </w:t>
      </w:r>
      <w:r>
        <w:t>that</w:t>
      </w:r>
      <w:r>
        <w:rPr>
          <w:spacing w:val="67"/>
        </w:rPr>
        <w:t xml:space="preserve"> </w:t>
      </w:r>
      <w:r>
        <w:t>“snow</w:t>
      </w:r>
      <w:r>
        <w:rPr>
          <w:spacing w:val="67"/>
        </w:rPr>
        <w:t xml:space="preserve"> </w:t>
      </w:r>
      <w:r>
        <w:t>is</w:t>
      </w:r>
      <w:r>
        <w:rPr>
          <w:spacing w:val="67"/>
        </w:rPr>
        <w:t xml:space="preserve"> </w:t>
      </w:r>
      <w:r>
        <w:t>white”</w:t>
      </w:r>
      <w:r>
        <w:rPr>
          <w:spacing w:val="66"/>
        </w:rPr>
        <w:t xml:space="preserve"> </w:t>
      </w:r>
      <w:r>
        <w:t>means</w:t>
      </w:r>
      <w:r>
        <w:rPr>
          <w:spacing w:val="67"/>
        </w:rPr>
        <w:t xml:space="preserve"> </w:t>
      </w:r>
      <w:r>
        <w:t>that</w:t>
      </w:r>
      <w:r>
        <w:rPr>
          <w:spacing w:val="67"/>
        </w:rPr>
        <w:t xml:space="preserve"> </w:t>
      </w:r>
      <w:r>
        <w:t>grass</w:t>
      </w:r>
      <w:r>
        <w:rPr>
          <w:spacing w:val="67"/>
        </w:rPr>
        <w:t xml:space="preserve"> </w:t>
      </w:r>
      <w:r>
        <w:t>is</w:t>
      </w:r>
      <w:r>
        <w:rPr>
          <w:spacing w:val="66"/>
        </w:rPr>
        <w:t xml:space="preserve"> </w:t>
      </w:r>
      <w:r>
        <w:t>green,</w:t>
      </w:r>
      <w:r>
        <w:rPr>
          <w:spacing w:val="67"/>
        </w:rPr>
        <w:t xml:space="preserve"> </w:t>
      </w:r>
      <w:r>
        <w:t>since</w:t>
      </w:r>
      <w:r>
        <w:rPr>
          <w:spacing w:val="67"/>
        </w:rPr>
        <w:t xml:space="preserve"> </w:t>
      </w:r>
      <w:r>
        <w:t>it</w:t>
      </w:r>
      <w:r>
        <w:rPr>
          <w:spacing w:val="67"/>
        </w:rPr>
        <w:t xml:space="preserve"> </w:t>
      </w:r>
      <w:r>
        <w:t>is</w:t>
      </w:r>
      <w:r>
        <w:rPr>
          <w:spacing w:val="67"/>
        </w:rPr>
        <w:t xml:space="preserve"> </w:t>
      </w:r>
      <w:r>
        <w:rPr>
          <w:spacing w:val="-5"/>
        </w:rPr>
        <w:t>the</w:t>
      </w:r>
    </w:p>
    <w:p w14:paraId="7E000DEF" w14:textId="77777777" w:rsidR="009A58DB" w:rsidRDefault="00000000">
      <w:pPr>
        <w:pStyle w:val="BodyText"/>
        <w:spacing w:line="316" w:lineRule="exact"/>
        <w:ind w:left="720"/>
      </w:pPr>
      <w:r>
        <w:t>thoughts</w:t>
      </w:r>
      <w:r>
        <w:rPr>
          <w:spacing w:val="75"/>
        </w:rPr>
        <w:t xml:space="preserve"> </w:t>
      </w:r>
      <w:r>
        <w:t>(and</w:t>
      </w:r>
      <w:r>
        <w:rPr>
          <w:spacing w:val="75"/>
        </w:rPr>
        <w:t xml:space="preserve"> </w:t>
      </w:r>
      <w:r>
        <w:t>practices)</w:t>
      </w:r>
      <w:r>
        <w:rPr>
          <w:spacing w:val="75"/>
        </w:rPr>
        <w:t xml:space="preserve"> </w:t>
      </w:r>
      <w:r>
        <w:t>of</w:t>
      </w:r>
      <w:r>
        <w:rPr>
          <w:spacing w:val="75"/>
        </w:rPr>
        <w:t xml:space="preserve"> </w:t>
      </w:r>
      <w:r>
        <w:t>people</w:t>
      </w:r>
      <w:r>
        <w:rPr>
          <w:spacing w:val="75"/>
        </w:rPr>
        <w:t xml:space="preserve"> </w:t>
      </w:r>
      <w:r>
        <w:t>in</w:t>
      </w:r>
      <w:r>
        <w:rPr>
          <w:spacing w:val="75"/>
        </w:rPr>
        <w:t xml:space="preserve"> </w:t>
      </w:r>
      <w:r>
        <w:t>general,</w:t>
      </w:r>
      <w:r>
        <w:rPr>
          <w:spacing w:val="75"/>
        </w:rPr>
        <w:t xml:space="preserve"> </w:t>
      </w:r>
      <w:r>
        <w:t>and</w:t>
      </w:r>
      <w:r>
        <w:rPr>
          <w:spacing w:val="75"/>
        </w:rPr>
        <w:t xml:space="preserve"> </w:t>
      </w:r>
      <w:r>
        <w:t>not</w:t>
      </w:r>
      <w:r>
        <w:rPr>
          <w:spacing w:val="75"/>
        </w:rPr>
        <w:t xml:space="preserve"> </w:t>
      </w:r>
      <w:r>
        <w:t>of</w:t>
      </w:r>
      <w:r>
        <w:rPr>
          <w:spacing w:val="75"/>
        </w:rPr>
        <w:t xml:space="preserve"> </w:t>
      </w:r>
      <w:r>
        <w:t>this</w:t>
      </w:r>
      <w:r>
        <w:rPr>
          <w:spacing w:val="75"/>
        </w:rPr>
        <w:t xml:space="preserve"> </w:t>
      </w:r>
      <w:r>
        <w:t>or</w:t>
      </w:r>
      <w:r>
        <w:rPr>
          <w:spacing w:val="76"/>
        </w:rPr>
        <w:t xml:space="preserve"> </w:t>
      </w:r>
      <w:r>
        <w:rPr>
          <w:spacing w:val="-4"/>
        </w:rPr>
        <w:t>that</w:t>
      </w:r>
    </w:p>
    <w:p w14:paraId="7E000DF0" w14:textId="77777777" w:rsidR="009A58DB" w:rsidRDefault="00000000">
      <w:pPr>
        <w:pStyle w:val="BodyText"/>
        <w:spacing w:before="15" w:line="271" w:lineRule="auto"/>
        <w:ind w:left="720" w:right="366"/>
      </w:pPr>
      <w:r>
        <w:t xml:space="preserve">specific person, that decides what is meant by “snow is white.” But in this context, Smith </w:t>
      </w:r>
      <w:r>
        <w:rPr>
          <w:i/>
        </w:rPr>
        <w:t xml:space="preserve">is </w:t>
      </w:r>
      <w:r>
        <w:t>“people in general.” So his believing that “X</w:t>
      </w:r>
      <w:r>
        <w:rPr>
          <w:vertAlign w:val="subscript"/>
        </w:rPr>
        <w:t>35</w:t>
      </w:r>
      <w:r>
        <w:t>” means that</w:t>
      </w:r>
      <w:r>
        <w:rPr>
          <w:spacing w:val="1"/>
        </w:rPr>
        <w:t xml:space="preserve"> </w:t>
      </w:r>
      <w:r>
        <w:t>the</w:t>
      </w:r>
      <w:r>
        <w:rPr>
          <w:spacing w:val="4"/>
        </w:rPr>
        <w:t xml:space="preserve"> </w:t>
      </w:r>
      <w:r>
        <w:t>sun</w:t>
      </w:r>
      <w:r>
        <w:rPr>
          <w:spacing w:val="4"/>
        </w:rPr>
        <w:t xml:space="preserve"> </w:t>
      </w:r>
      <w:r>
        <w:t>is</w:t>
      </w:r>
      <w:r>
        <w:rPr>
          <w:spacing w:val="4"/>
        </w:rPr>
        <w:t xml:space="preserve"> </w:t>
      </w:r>
      <w:r>
        <w:t>out</w:t>
      </w:r>
      <w:r>
        <w:rPr>
          <w:spacing w:val="4"/>
        </w:rPr>
        <w:t xml:space="preserve"> </w:t>
      </w:r>
      <w:r>
        <w:t>is</w:t>
      </w:r>
      <w:r>
        <w:rPr>
          <w:spacing w:val="4"/>
        </w:rPr>
        <w:t xml:space="preserve"> </w:t>
      </w:r>
      <w:r>
        <w:t>like</w:t>
      </w:r>
      <w:r>
        <w:rPr>
          <w:spacing w:val="4"/>
        </w:rPr>
        <w:t xml:space="preserve"> </w:t>
      </w:r>
      <w:r>
        <w:rPr>
          <w:i/>
        </w:rPr>
        <w:t>everybody’s</w:t>
      </w:r>
      <w:r>
        <w:rPr>
          <w:i/>
          <w:spacing w:val="-3"/>
        </w:rPr>
        <w:t xml:space="preserve"> </w:t>
      </w:r>
      <w:r>
        <w:t>deciding</w:t>
      </w:r>
      <w:r>
        <w:rPr>
          <w:spacing w:val="5"/>
        </w:rPr>
        <w:t xml:space="preserve"> </w:t>
      </w:r>
      <w:r>
        <w:t>that</w:t>
      </w:r>
      <w:r>
        <w:rPr>
          <w:spacing w:val="6"/>
        </w:rPr>
        <w:t xml:space="preserve"> </w:t>
      </w:r>
      <w:r>
        <w:t>“snow</w:t>
      </w:r>
      <w:r>
        <w:rPr>
          <w:spacing w:val="7"/>
        </w:rPr>
        <w:t xml:space="preserve"> </w:t>
      </w:r>
      <w:r>
        <w:t>is</w:t>
      </w:r>
      <w:r>
        <w:rPr>
          <w:spacing w:val="6"/>
        </w:rPr>
        <w:t xml:space="preserve"> </w:t>
      </w:r>
      <w:r>
        <w:t>white”</w:t>
      </w:r>
      <w:r>
        <w:rPr>
          <w:spacing w:val="7"/>
        </w:rPr>
        <w:t xml:space="preserve"> </w:t>
      </w:r>
      <w:r>
        <w:rPr>
          <w:spacing w:val="-2"/>
        </w:rPr>
        <w:t>means</w:t>
      </w:r>
    </w:p>
    <w:p w14:paraId="7E000DF1" w14:textId="77777777" w:rsidR="009A58DB" w:rsidRDefault="00000000">
      <w:pPr>
        <w:pStyle w:val="BodyText"/>
        <w:spacing w:line="316" w:lineRule="exact"/>
        <w:ind w:left="720"/>
      </w:pPr>
      <w:r>
        <w:t>that</w:t>
      </w:r>
      <w:r>
        <w:rPr>
          <w:spacing w:val="74"/>
        </w:rPr>
        <w:t xml:space="preserve"> </w:t>
      </w:r>
      <w:r>
        <w:t>grass</w:t>
      </w:r>
      <w:r>
        <w:rPr>
          <w:spacing w:val="77"/>
        </w:rPr>
        <w:t xml:space="preserve"> </w:t>
      </w:r>
      <w:r>
        <w:t>is</w:t>
      </w:r>
      <w:r>
        <w:rPr>
          <w:spacing w:val="77"/>
        </w:rPr>
        <w:t xml:space="preserve"> </w:t>
      </w:r>
      <w:r>
        <w:t>green.</w:t>
      </w:r>
      <w:r>
        <w:rPr>
          <w:spacing w:val="77"/>
        </w:rPr>
        <w:t xml:space="preserve"> </w:t>
      </w:r>
      <w:r>
        <w:t>And</w:t>
      </w:r>
      <w:r>
        <w:rPr>
          <w:spacing w:val="77"/>
        </w:rPr>
        <w:t xml:space="preserve"> </w:t>
      </w:r>
      <w:r>
        <w:t>just</w:t>
      </w:r>
      <w:r>
        <w:rPr>
          <w:spacing w:val="77"/>
        </w:rPr>
        <w:t xml:space="preserve"> </w:t>
      </w:r>
      <w:r>
        <w:t>as</w:t>
      </w:r>
      <w:r>
        <w:rPr>
          <w:spacing w:val="77"/>
        </w:rPr>
        <w:t xml:space="preserve"> </w:t>
      </w:r>
      <w:r>
        <w:t>“snow</w:t>
      </w:r>
      <w:r>
        <w:rPr>
          <w:spacing w:val="77"/>
        </w:rPr>
        <w:t xml:space="preserve"> </w:t>
      </w:r>
      <w:r>
        <w:t>is</w:t>
      </w:r>
      <w:r>
        <w:rPr>
          <w:spacing w:val="77"/>
        </w:rPr>
        <w:t xml:space="preserve"> </w:t>
      </w:r>
      <w:r>
        <w:t>white”</w:t>
      </w:r>
      <w:r>
        <w:rPr>
          <w:spacing w:val="77"/>
        </w:rPr>
        <w:t xml:space="preserve"> </w:t>
      </w:r>
      <w:r>
        <w:rPr>
          <w:i/>
        </w:rPr>
        <w:t>would</w:t>
      </w:r>
      <w:r>
        <w:rPr>
          <w:i/>
          <w:spacing w:val="73"/>
        </w:rPr>
        <w:t xml:space="preserve"> </w:t>
      </w:r>
      <w:r>
        <w:t>mean</w:t>
      </w:r>
      <w:r>
        <w:rPr>
          <w:spacing w:val="42"/>
          <w:w w:val="150"/>
        </w:rPr>
        <w:t xml:space="preserve"> </w:t>
      </w:r>
      <w:r>
        <w:t>that</w:t>
      </w:r>
      <w:r>
        <w:rPr>
          <w:spacing w:val="43"/>
          <w:w w:val="150"/>
        </w:rPr>
        <w:t xml:space="preserve"> </w:t>
      </w:r>
      <w:r>
        <w:rPr>
          <w:spacing w:val="-5"/>
        </w:rPr>
        <w:t>if</w:t>
      </w:r>
    </w:p>
    <w:p w14:paraId="7E000DF2" w14:textId="77777777" w:rsidR="009A58DB" w:rsidRDefault="00000000">
      <w:pPr>
        <w:pStyle w:val="BodyText"/>
        <w:spacing w:before="15" w:line="271" w:lineRule="auto"/>
        <w:ind w:left="720" w:right="361"/>
      </w:pPr>
      <w:r>
        <w:t>everybody thought it did, so X</w:t>
      </w:r>
      <w:r>
        <w:rPr>
          <w:vertAlign w:val="subscript"/>
        </w:rPr>
        <w:t>35</w:t>
      </w:r>
      <w:r>
        <w:t xml:space="preserve"> means that the sun is out because, in effect, everybody thinks it does, the reason being that, in this context, Smith </w:t>
      </w:r>
      <w:r>
        <w:rPr>
          <w:i/>
        </w:rPr>
        <w:t xml:space="preserve">is </w:t>
      </w:r>
      <w:r>
        <w:t>everybody.</w:t>
      </w:r>
    </w:p>
    <w:p w14:paraId="7E000DF3" w14:textId="77777777" w:rsidR="009A58DB" w:rsidRDefault="00000000">
      <w:pPr>
        <w:pStyle w:val="BodyText"/>
        <w:spacing w:line="320" w:lineRule="exact"/>
        <w:ind w:left="1080"/>
      </w:pPr>
      <w:r>
        <w:t>Thus,</w:t>
      </w:r>
      <w:r>
        <w:rPr>
          <w:spacing w:val="35"/>
        </w:rPr>
        <w:t xml:space="preserve"> </w:t>
      </w:r>
      <w:r>
        <w:t>the</w:t>
      </w:r>
      <w:r>
        <w:rPr>
          <w:spacing w:val="36"/>
        </w:rPr>
        <w:t xml:space="preserve"> </w:t>
      </w:r>
      <w:r>
        <w:t>expressions</w:t>
      </w:r>
      <w:r>
        <w:rPr>
          <w:spacing w:val="36"/>
        </w:rPr>
        <w:t xml:space="preserve"> </w:t>
      </w:r>
      <w:r>
        <w:t>of</w:t>
      </w:r>
      <w:r>
        <w:rPr>
          <w:spacing w:val="36"/>
        </w:rPr>
        <w:t xml:space="preserve"> </w:t>
      </w:r>
      <w:r>
        <w:t>Smithese</w:t>
      </w:r>
      <w:r>
        <w:rPr>
          <w:vertAlign w:val="subscript"/>
        </w:rPr>
        <w:t>1</w:t>
      </w:r>
      <w:r>
        <w:rPr>
          <w:spacing w:val="37"/>
        </w:rPr>
        <w:t xml:space="preserve"> </w:t>
      </w:r>
      <w:r>
        <w:t>mean</w:t>
      </w:r>
      <w:r>
        <w:rPr>
          <w:spacing w:val="37"/>
        </w:rPr>
        <w:t xml:space="preserve"> </w:t>
      </w:r>
      <w:r>
        <w:t>whatever</w:t>
      </w:r>
      <w:r>
        <w:rPr>
          <w:spacing w:val="38"/>
        </w:rPr>
        <w:t xml:space="preserve"> </w:t>
      </w:r>
      <w:r>
        <w:t>Smith</w:t>
      </w:r>
      <w:r>
        <w:rPr>
          <w:spacing w:val="37"/>
        </w:rPr>
        <w:t xml:space="preserve"> </w:t>
      </w:r>
      <w:r>
        <w:t>thinks</w:t>
      </w:r>
      <w:r>
        <w:rPr>
          <w:spacing w:val="37"/>
        </w:rPr>
        <w:t xml:space="preserve"> </w:t>
      </w:r>
      <w:r>
        <w:rPr>
          <w:spacing w:val="-4"/>
        </w:rPr>
        <w:t>they</w:t>
      </w:r>
    </w:p>
    <w:p w14:paraId="7E000DF4" w14:textId="77777777" w:rsidR="009A58DB" w:rsidRDefault="00000000">
      <w:pPr>
        <w:pStyle w:val="BodyText"/>
        <w:spacing w:before="75"/>
        <w:ind w:left="720"/>
      </w:pPr>
      <w:r>
        <w:t>mean.</w:t>
      </w:r>
      <w:r>
        <w:rPr>
          <w:spacing w:val="-4"/>
        </w:rPr>
        <w:t xml:space="preserve"> </w:t>
      </w:r>
      <w:r>
        <w:t>This</w:t>
      </w:r>
      <w:r>
        <w:rPr>
          <w:spacing w:val="-3"/>
        </w:rPr>
        <w:t xml:space="preserve"> </w:t>
      </w:r>
      <w:r>
        <w:t>means</w:t>
      </w:r>
      <w:r>
        <w:rPr>
          <w:spacing w:val="-3"/>
        </w:rPr>
        <w:t xml:space="preserve"> </w:t>
      </w:r>
      <w:r>
        <w:t>that</w:t>
      </w:r>
      <w:r>
        <w:rPr>
          <w:spacing w:val="-2"/>
        </w:rPr>
        <w:t xml:space="preserve"> </w:t>
      </w:r>
      <w:r>
        <w:t>he</w:t>
      </w:r>
      <w:r>
        <w:rPr>
          <w:spacing w:val="-3"/>
        </w:rPr>
        <w:t xml:space="preserve"> </w:t>
      </w:r>
      <w:r>
        <w:t>can’t</w:t>
      </w:r>
      <w:r>
        <w:rPr>
          <w:spacing w:val="-3"/>
        </w:rPr>
        <w:t xml:space="preserve"> </w:t>
      </w:r>
      <w:r>
        <w:t>be</w:t>
      </w:r>
      <w:r>
        <w:rPr>
          <w:spacing w:val="-3"/>
        </w:rPr>
        <w:t xml:space="preserve"> </w:t>
      </w:r>
      <w:r>
        <w:t>wrong</w:t>
      </w:r>
      <w:r>
        <w:rPr>
          <w:spacing w:val="-1"/>
        </w:rPr>
        <w:t xml:space="preserve"> </w:t>
      </w:r>
      <w:r>
        <w:t>as</w:t>
      </w:r>
      <w:r>
        <w:rPr>
          <w:spacing w:val="-3"/>
        </w:rPr>
        <w:t xml:space="preserve"> </w:t>
      </w:r>
      <w:r>
        <w:t>to</w:t>
      </w:r>
      <w:r>
        <w:rPr>
          <w:spacing w:val="-2"/>
        </w:rPr>
        <w:t xml:space="preserve"> </w:t>
      </w:r>
      <w:r>
        <w:t>what</w:t>
      </w:r>
      <w:r>
        <w:rPr>
          <w:spacing w:val="-3"/>
        </w:rPr>
        <w:t xml:space="preserve"> </w:t>
      </w:r>
      <w:r>
        <w:t>they</w:t>
      </w:r>
      <w:r>
        <w:rPr>
          <w:spacing w:val="-1"/>
        </w:rPr>
        <w:t xml:space="preserve"> </w:t>
      </w:r>
      <w:r>
        <w:rPr>
          <w:spacing w:val="-2"/>
        </w:rPr>
        <w:t>mean.</w:t>
      </w:r>
    </w:p>
    <w:p w14:paraId="7E000DF5" w14:textId="77777777" w:rsidR="009A58DB" w:rsidRDefault="00000000">
      <w:pPr>
        <w:pStyle w:val="BodyText"/>
        <w:spacing w:before="15" w:line="249" w:lineRule="auto"/>
        <w:ind w:left="720" w:right="360" w:firstLine="360"/>
      </w:pPr>
      <w:r>
        <w:t>But a symbol that can’t be used wrongly doesn’t mean anything. What makes utterances of “John is a soccer player” meaningful is that they are used wrongly if John isn’t a soccer player. If “John is a soccer player” couldn’t be used wrongly, you couldn’t conclude anything from the fact that such an utterance was correct—you would be no less entitled to conclude that the moon was made of styrofoam than you would to conclude that the dog ate your wig.</w:t>
      </w:r>
    </w:p>
    <w:p w14:paraId="7E000DF6" w14:textId="77777777" w:rsidR="009A58DB" w:rsidRDefault="00000000">
      <w:pPr>
        <w:pStyle w:val="BodyText"/>
        <w:spacing w:before="8" w:line="249" w:lineRule="auto"/>
        <w:ind w:left="720" w:right="360" w:firstLine="360"/>
      </w:pPr>
      <w:r>
        <w:t xml:space="preserve">Thus, there are languages only where there are right and wrong ways to use expressions. Since it is only where several people are using a language that there are right and wrong ways of using its expressions, it is only where there are several people that there are languages: all languages are </w:t>
      </w:r>
      <w:r>
        <w:rPr>
          <w:spacing w:val="-2"/>
        </w:rPr>
        <w:t>public.</w:t>
      </w:r>
    </w:p>
    <w:p w14:paraId="7E000DF7" w14:textId="77777777" w:rsidR="009A58DB" w:rsidRDefault="009A58DB">
      <w:pPr>
        <w:pStyle w:val="BodyText"/>
        <w:spacing w:before="21"/>
        <w:ind w:left="0"/>
        <w:jc w:val="left"/>
      </w:pPr>
    </w:p>
    <w:p w14:paraId="7E000DF8" w14:textId="77777777" w:rsidR="009A58DB" w:rsidRDefault="00000000">
      <w:pPr>
        <w:pStyle w:val="BodyText"/>
        <w:spacing w:before="1" w:line="249" w:lineRule="auto"/>
        <w:ind w:right="358" w:firstLine="360"/>
        <w:rPr>
          <w:i/>
        </w:rPr>
      </w:pPr>
      <w:r>
        <w:t>WA is spurious and establishes nothing. The reason that expressions of English (or any other public language) are meaningful is that people remember what they mean. If everybody forgot what “snow” meant, it wouldn’t be of much use. To be sure, where English is concerned, no one person’s forgetting the meaning of a word is going to strip of it meaningfulness, since there are millions of others who still know it. But that only means that English is causally more deeply entrenched than a language, like</w:t>
      </w:r>
      <w:r>
        <w:rPr>
          <w:spacing w:val="13"/>
        </w:rPr>
        <w:t xml:space="preserve"> </w:t>
      </w:r>
      <w:r>
        <w:t>Smithese</w:t>
      </w:r>
      <w:r>
        <w:rPr>
          <w:vertAlign w:val="subscript"/>
        </w:rPr>
        <w:t>1</w:t>
      </w:r>
      <w:r>
        <w:t>,</w:t>
      </w:r>
      <w:r>
        <w:rPr>
          <w:spacing w:val="23"/>
        </w:rPr>
        <w:t xml:space="preserve"> </w:t>
      </w:r>
      <w:r>
        <w:t>that</w:t>
      </w:r>
      <w:r>
        <w:rPr>
          <w:spacing w:val="23"/>
        </w:rPr>
        <w:t xml:space="preserve"> </w:t>
      </w:r>
      <w:r>
        <w:t>only</w:t>
      </w:r>
      <w:r>
        <w:rPr>
          <w:spacing w:val="23"/>
        </w:rPr>
        <w:t xml:space="preserve"> </w:t>
      </w:r>
      <w:r>
        <w:t>one</w:t>
      </w:r>
      <w:r>
        <w:rPr>
          <w:spacing w:val="24"/>
        </w:rPr>
        <w:t xml:space="preserve"> </w:t>
      </w:r>
      <w:r>
        <w:t>person</w:t>
      </w:r>
      <w:r>
        <w:rPr>
          <w:spacing w:val="23"/>
        </w:rPr>
        <w:t xml:space="preserve"> </w:t>
      </w:r>
      <w:r>
        <w:t>speaks.</w:t>
      </w:r>
      <w:r>
        <w:rPr>
          <w:spacing w:val="23"/>
        </w:rPr>
        <w:t xml:space="preserve"> </w:t>
      </w:r>
      <w:r>
        <w:t>This</w:t>
      </w:r>
      <w:r>
        <w:rPr>
          <w:spacing w:val="23"/>
        </w:rPr>
        <w:t xml:space="preserve"> </w:t>
      </w:r>
      <w:r>
        <w:t>is</w:t>
      </w:r>
      <w:r>
        <w:rPr>
          <w:spacing w:val="23"/>
        </w:rPr>
        <w:t xml:space="preserve"> </w:t>
      </w:r>
      <w:r>
        <w:t>not</w:t>
      </w:r>
      <w:r>
        <w:rPr>
          <w:spacing w:val="24"/>
        </w:rPr>
        <w:t xml:space="preserve"> </w:t>
      </w:r>
      <w:r>
        <w:t>to</w:t>
      </w:r>
      <w:r>
        <w:rPr>
          <w:spacing w:val="23"/>
        </w:rPr>
        <w:t xml:space="preserve"> </w:t>
      </w:r>
      <w:r>
        <w:t>mention</w:t>
      </w:r>
      <w:r>
        <w:rPr>
          <w:spacing w:val="23"/>
        </w:rPr>
        <w:t xml:space="preserve"> </w:t>
      </w:r>
      <w:r>
        <w:t>that,</w:t>
      </w:r>
      <w:r>
        <w:rPr>
          <w:spacing w:val="23"/>
        </w:rPr>
        <w:t xml:space="preserve"> </w:t>
      </w:r>
      <w:r>
        <w:t>if</w:t>
      </w:r>
      <w:r>
        <w:rPr>
          <w:spacing w:val="23"/>
        </w:rPr>
        <w:t xml:space="preserve"> </w:t>
      </w:r>
      <w:r>
        <w:rPr>
          <w:i/>
          <w:spacing w:val="-10"/>
        </w:rPr>
        <w:t>I</w:t>
      </w:r>
    </w:p>
    <w:p w14:paraId="7E000DF9" w14:textId="77777777" w:rsidR="009A58DB" w:rsidRDefault="00000000">
      <w:pPr>
        <w:pStyle w:val="BodyText"/>
        <w:spacing w:before="69"/>
      </w:pPr>
      <w:r>
        <w:t>forget</w:t>
      </w:r>
      <w:r>
        <w:rPr>
          <w:spacing w:val="5"/>
        </w:rPr>
        <w:t xml:space="preserve"> </w:t>
      </w:r>
      <w:r>
        <w:t>the</w:t>
      </w:r>
      <w:r>
        <w:rPr>
          <w:spacing w:val="8"/>
        </w:rPr>
        <w:t xml:space="preserve"> </w:t>
      </w:r>
      <w:r>
        <w:t>semantic</w:t>
      </w:r>
      <w:r>
        <w:rPr>
          <w:spacing w:val="8"/>
        </w:rPr>
        <w:t xml:space="preserve"> </w:t>
      </w:r>
      <w:r>
        <w:t>rules</w:t>
      </w:r>
      <w:r>
        <w:rPr>
          <w:spacing w:val="8"/>
        </w:rPr>
        <w:t xml:space="preserve"> </w:t>
      </w:r>
      <w:r>
        <w:t>for</w:t>
      </w:r>
      <w:r>
        <w:rPr>
          <w:spacing w:val="7"/>
        </w:rPr>
        <w:t xml:space="preserve"> </w:t>
      </w:r>
      <w:r>
        <w:t>English,</w:t>
      </w:r>
      <w:r>
        <w:rPr>
          <w:spacing w:val="8"/>
        </w:rPr>
        <w:t xml:space="preserve"> </w:t>
      </w:r>
      <w:r>
        <w:t>it</w:t>
      </w:r>
      <w:r>
        <w:rPr>
          <w:spacing w:val="8"/>
        </w:rPr>
        <w:t xml:space="preserve"> </w:t>
      </w:r>
      <w:r>
        <w:t>will</w:t>
      </w:r>
      <w:r>
        <w:rPr>
          <w:spacing w:val="8"/>
        </w:rPr>
        <w:t xml:space="preserve"> </w:t>
      </w:r>
      <w:r>
        <w:t>be</w:t>
      </w:r>
      <w:r>
        <w:rPr>
          <w:spacing w:val="8"/>
        </w:rPr>
        <w:t xml:space="preserve"> </w:t>
      </w:r>
      <w:r>
        <w:t>as</w:t>
      </w:r>
      <w:r>
        <w:rPr>
          <w:spacing w:val="7"/>
        </w:rPr>
        <w:t xml:space="preserve"> </w:t>
      </w:r>
      <w:r>
        <w:t>useless</w:t>
      </w:r>
      <w:r>
        <w:rPr>
          <w:spacing w:val="8"/>
        </w:rPr>
        <w:t xml:space="preserve"> </w:t>
      </w:r>
      <w:r>
        <w:t>to</w:t>
      </w:r>
      <w:r>
        <w:rPr>
          <w:spacing w:val="8"/>
        </w:rPr>
        <w:t xml:space="preserve"> </w:t>
      </w:r>
      <w:r>
        <w:t>me</w:t>
      </w:r>
      <w:r>
        <w:rPr>
          <w:spacing w:val="8"/>
        </w:rPr>
        <w:t xml:space="preserve"> </w:t>
      </w:r>
      <w:r>
        <w:t>as</w:t>
      </w:r>
      <w:r>
        <w:rPr>
          <w:spacing w:val="8"/>
        </w:rPr>
        <w:t xml:space="preserve"> </w:t>
      </w:r>
      <w:r>
        <w:rPr>
          <w:spacing w:val="-2"/>
        </w:rPr>
        <w:t>Smithese</w:t>
      </w:r>
      <w:r>
        <w:rPr>
          <w:spacing w:val="-2"/>
          <w:vertAlign w:val="subscript"/>
        </w:rPr>
        <w:t>1</w:t>
      </w:r>
    </w:p>
    <w:p w14:paraId="7E000DFA" w14:textId="77777777" w:rsidR="009A58DB" w:rsidRDefault="009A58DB">
      <w:pPr>
        <w:pStyle w:val="BodyText"/>
        <w:sectPr w:rsidR="009A58DB">
          <w:pgSz w:w="12240" w:h="15840"/>
          <w:pgMar w:top="1380" w:right="1080" w:bottom="280" w:left="1080" w:header="720" w:footer="720" w:gutter="0"/>
          <w:cols w:space="720"/>
        </w:sectPr>
      </w:pPr>
    </w:p>
    <w:p w14:paraId="7E000DFB" w14:textId="77777777" w:rsidR="009A58DB" w:rsidRDefault="00000000">
      <w:pPr>
        <w:pStyle w:val="BodyText"/>
        <w:spacing w:before="65" w:line="292" w:lineRule="auto"/>
        <w:ind w:right="364"/>
      </w:pPr>
      <w:r>
        <w:lastRenderedPageBreak/>
        <w:t>would be to Smith if he forgets the semantic rules of Smithese</w:t>
      </w:r>
      <w:r>
        <w:rPr>
          <w:vertAlign w:val="subscript"/>
        </w:rPr>
        <w:t>1</w:t>
      </w:r>
      <w:r>
        <w:t>. By the same token, if Smith remembers the semantic rules for Smithese</w:t>
      </w:r>
      <w:r>
        <w:rPr>
          <w:vertAlign w:val="subscript"/>
        </w:rPr>
        <w:t>1</w:t>
      </w:r>
      <w:r>
        <w:t>, the expressions of</w:t>
      </w:r>
      <w:r>
        <w:rPr>
          <w:spacing w:val="17"/>
        </w:rPr>
        <w:t xml:space="preserve"> </w:t>
      </w:r>
      <w:r>
        <w:t>that</w:t>
      </w:r>
      <w:r>
        <w:rPr>
          <w:spacing w:val="17"/>
        </w:rPr>
        <w:t xml:space="preserve"> </w:t>
      </w:r>
      <w:r>
        <w:t>language</w:t>
      </w:r>
      <w:r>
        <w:rPr>
          <w:spacing w:val="18"/>
        </w:rPr>
        <w:t xml:space="preserve"> </w:t>
      </w:r>
      <w:r>
        <w:rPr>
          <w:i/>
        </w:rPr>
        <w:t>will</w:t>
      </w:r>
      <w:r>
        <w:rPr>
          <w:i/>
          <w:spacing w:val="13"/>
        </w:rPr>
        <w:t xml:space="preserve"> </w:t>
      </w:r>
      <w:r>
        <w:t>be</w:t>
      </w:r>
      <w:r>
        <w:rPr>
          <w:spacing w:val="23"/>
        </w:rPr>
        <w:t xml:space="preserve"> </w:t>
      </w:r>
      <w:r>
        <w:t>useful</w:t>
      </w:r>
      <w:r>
        <w:rPr>
          <w:spacing w:val="23"/>
        </w:rPr>
        <w:t xml:space="preserve"> </w:t>
      </w:r>
      <w:r>
        <w:t>for</w:t>
      </w:r>
      <w:r>
        <w:rPr>
          <w:spacing w:val="23"/>
        </w:rPr>
        <w:t xml:space="preserve"> </w:t>
      </w:r>
      <w:r>
        <w:t>him.</w:t>
      </w:r>
      <w:r>
        <w:rPr>
          <w:spacing w:val="24"/>
        </w:rPr>
        <w:t xml:space="preserve"> </w:t>
      </w:r>
      <w:r>
        <w:t>He’ll</w:t>
      </w:r>
      <w:r>
        <w:rPr>
          <w:spacing w:val="24"/>
        </w:rPr>
        <w:t xml:space="preserve"> </w:t>
      </w:r>
      <w:r>
        <w:t>know</w:t>
      </w:r>
      <w:r>
        <w:rPr>
          <w:spacing w:val="23"/>
        </w:rPr>
        <w:t xml:space="preserve"> </w:t>
      </w:r>
      <w:r>
        <w:t>not</w:t>
      </w:r>
      <w:r>
        <w:rPr>
          <w:spacing w:val="23"/>
        </w:rPr>
        <w:t xml:space="preserve"> </w:t>
      </w:r>
      <w:r>
        <w:t>to</w:t>
      </w:r>
      <w:r>
        <w:rPr>
          <w:spacing w:val="24"/>
        </w:rPr>
        <w:t xml:space="preserve"> </w:t>
      </w:r>
      <w:r>
        <w:t>eat</w:t>
      </w:r>
      <w:r>
        <w:rPr>
          <w:spacing w:val="23"/>
        </w:rPr>
        <w:t xml:space="preserve"> </w:t>
      </w:r>
      <w:r>
        <w:t>the</w:t>
      </w:r>
      <w:r>
        <w:rPr>
          <w:spacing w:val="23"/>
        </w:rPr>
        <w:t xml:space="preserve"> </w:t>
      </w:r>
      <w:r>
        <w:t>berries</w:t>
      </w:r>
      <w:r>
        <w:rPr>
          <w:spacing w:val="24"/>
        </w:rPr>
        <w:t xml:space="preserve"> </w:t>
      </w:r>
      <w:r>
        <w:rPr>
          <w:spacing w:val="-5"/>
        </w:rPr>
        <w:t>on</w:t>
      </w:r>
    </w:p>
    <w:p w14:paraId="7E000DFC" w14:textId="77777777" w:rsidR="009A58DB" w:rsidRDefault="00000000">
      <w:pPr>
        <w:pStyle w:val="BodyText"/>
        <w:spacing w:before="34" w:line="360" w:lineRule="exact"/>
        <w:ind w:left="720" w:right="360" w:hanging="360"/>
      </w:pPr>
      <w:r>
        <w:t>the side of the hill; he’ll know where the good-tasting aardvarks are; etc.</w:t>
      </w:r>
      <w:bookmarkStart w:id="184" w:name="_bookmark184"/>
      <w:bookmarkEnd w:id="184"/>
      <w:r>
        <w:rPr>
          <w:color w:val="0562C1"/>
          <w:position w:val="10"/>
          <w:u w:val="single" w:color="0562C1"/>
        </w:rPr>
        <w:t>22</w:t>
      </w:r>
      <w:r>
        <w:rPr>
          <w:color w:val="0562C1"/>
          <w:position w:val="10"/>
        </w:rPr>
        <w:t xml:space="preserve"> </w:t>
      </w:r>
      <w:r>
        <w:t>What</w:t>
      </w:r>
      <w:r>
        <w:rPr>
          <w:spacing w:val="32"/>
        </w:rPr>
        <w:t xml:space="preserve"> </w:t>
      </w:r>
      <w:r>
        <w:t>about</w:t>
      </w:r>
      <w:r>
        <w:rPr>
          <w:spacing w:val="32"/>
        </w:rPr>
        <w:t xml:space="preserve"> </w:t>
      </w:r>
      <w:r>
        <w:t>Wittgenstein’s</w:t>
      </w:r>
      <w:r>
        <w:rPr>
          <w:spacing w:val="32"/>
        </w:rPr>
        <w:t xml:space="preserve"> </w:t>
      </w:r>
      <w:r>
        <w:t>point</w:t>
      </w:r>
      <w:r>
        <w:rPr>
          <w:spacing w:val="32"/>
        </w:rPr>
        <w:t xml:space="preserve"> </w:t>
      </w:r>
      <w:r>
        <w:t>that</w:t>
      </w:r>
      <w:r>
        <w:rPr>
          <w:spacing w:val="32"/>
        </w:rPr>
        <w:t xml:space="preserve"> </w:t>
      </w:r>
      <w:r>
        <w:t>the</w:t>
      </w:r>
      <w:r>
        <w:rPr>
          <w:spacing w:val="32"/>
        </w:rPr>
        <w:t xml:space="preserve"> </w:t>
      </w:r>
      <w:r>
        <w:t>expressions</w:t>
      </w:r>
      <w:r>
        <w:rPr>
          <w:spacing w:val="32"/>
        </w:rPr>
        <w:t xml:space="preserve"> </w:t>
      </w:r>
      <w:r>
        <w:t>of</w:t>
      </w:r>
      <w:r>
        <w:rPr>
          <w:spacing w:val="32"/>
        </w:rPr>
        <w:t xml:space="preserve"> </w:t>
      </w:r>
      <w:r>
        <w:t>Smithese</w:t>
      </w:r>
      <w:r>
        <w:rPr>
          <w:vertAlign w:val="subscript"/>
        </w:rPr>
        <w:t>1</w:t>
      </w:r>
      <w:r>
        <w:rPr>
          <w:spacing w:val="43"/>
        </w:rPr>
        <w:t xml:space="preserve"> </w:t>
      </w:r>
      <w:r>
        <w:rPr>
          <w:spacing w:val="-4"/>
        </w:rPr>
        <w:t>mean</w:t>
      </w:r>
    </w:p>
    <w:p w14:paraId="7E000DFD" w14:textId="77777777" w:rsidR="009A58DB" w:rsidRDefault="00000000">
      <w:pPr>
        <w:pStyle w:val="BodyText"/>
        <w:spacing w:before="68" w:line="271" w:lineRule="auto"/>
        <w:ind w:right="358"/>
      </w:pPr>
      <w:r>
        <w:t xml:space="preserve">only what Smith thinks they mean? A language </w:t>
      </w:r>
      <w:r>
        <w:rPr>
          <w:i/>
        </w:rPr>
        <w:t xml:space="preserve">is </w:t>
      </w:r>
      <w:r>
        <w:t>a set of semantic rules. If, on Monday, “X</w:t>
      </w:r>
      <w:r>
        <w:rPr>
          <w:vertAlign w:val="subscript"/>
        </w:rPr>
        <w:t>35</w:t>
      </w:r>
      <w:r>
        <w:t>” means that the berries on the dark side of the hill are poisonous,</w:t>
      </w:r>
      <w:r>
        <w:rPr>
          <w:spacing w:val="30"/>
        </w:rPr>
        <w:t xml:space="preserve"> </w:t>
      </w:r>
      <w:r>
        <w:t>whereas</w:t>
      </w:r>
      <w:r>
        <w:rPr>
          <w:spacing w:val="32"/>
        </w:rPr>
        <w:t xml:space="preserve"> </w:t>
      </w:r>
      <w:r>
        <w:t>on</w:t>
      </w:r>
      <w:r>
        <w:rPr>
          <w:spacing w:val="32"/>
        </w:rPr>
        <w:t xml:space="preserve"> </w:t>
      </w:r>
      <w:r>
        <w:t>Tuesday</w:t>
      </w:r>
      <w:r>
        <w:rPr>
          <w:spacing w:val="32"/>
        </w:rPr>
        <w:t xml:space="preserve"> </w:t>
      </w:r>
      <w:r>
        <w:t>that</w:t>
      </w:r>
      <w:r>
        <w:rPr>
          <w:spacing w:val="32"/>
        </w:rPr>
        <w:t xml:space="preserve"> </w:t>
      </w:r>
      <w:r>
        <w:t>same</w:t>
      </w:r>
      <w:r>
        <w:rPr>
          <w:spacing w:val="33"/>
        </w:rPr>
        <w:t xml:space="preserve"> </w:t>
      </w:r>
      <w:r>
        <w:t>inscription</w:t>
      </w:r>
      <w:r>
        <w:rPr>
          <w:spacing w:val="32"/>
        </w:rPr>
        <w:t xml:space="preserve"> </w:t>
      </w:r>
      <w:r>
        <w:t>means</w:t>
      </w:r>
      <w:r>
        <w:rPr>
          <w:spacing w:val="32"/>
        </w:rPr>
        <w:t xml:space="preserve"> </w:t>
      </w:r>
      <w:r>
        <w:t>that</w:t>
      </w:r>
      <w:r>
        <w:rPr>
          <w:spacing w:val="32"/>
        </w:rPr>
        <w:t xml:space="preserve"> </w:t>
      </w:r>
      <w:r>
        <w:t>the</w:t>
      </w:r>
      <w:r>
        <w:rPr>
          <w:spacing w:val="32"/>
        </w:rPr>
        <w:t xml:space="preserve"> </w:t>
      </w:r>
      <w:r>
        <w:t>sun</w:t>
      </w:r>
      <w:r>
        <w:rPr>
          <w:spacing w:val="33"/>
        </w:rPr>
        <w:t xml:space="preserve"> </w:t>
      </w:r>
      <w:r>
        <w:rPr>
          <w:spacing w:val="-5"/>
        </w:rPr>
        <w:t>is</w:t>
      </w:r>
    </w:p>
    <w:p w14:paraId="7E000DFE" w14:textId="77777777" w:rsidR="009A58DB" w:rsidRDefault="00000000">
      <w:pPr>
        <w:pStyle w:val="BodyText"/>
        <w:spacing w:line="316" w:lineRule="exact"/>
      </w:pPr>
      <w:r>
        <w:t>out,</w:t>
      </w:r>
      <w:r>
        <w:rPr>
          <w:spacing w:val="9"/>
        </w:rPr>
        <w:t xml:space="preserve"> </w:t>
      </w:r>
      <w:r>
        <w:t>then</w:t>
      </w:r>
      <w:r>
        <w:rPr>
          <w:spacing w:val="9"/>
        </w:rPr>
        <w:t xml:space="preserve"> </w:t>
      </w:r>
      <w:r>
        <w:t>the</w:t>
      </w:r>
      <w:r>
        <w:rPr>
          <w:spacing w:val="9"/>
        </w:rPr>
        <w:t xml:space="preserve"> </w:t>
      </w:r>
      <w:r>
        <w:t>language</w:t>
      </w:r>
      <w:r>
        <w:rPr>
          <w:spacing w:val="9"/>
        </w:rPr>
        <w:t xml:space="preserve"> </w:t>
      </w:r>
      <w:r>
        <w:t>Smith</w:t>
      </w:r>
      <w:r>
        <w:rPr>
          <w:spacing w:val="10"/>
        </w:rPr>
        <w:t xml:space="preserve"> </w:t>
      </w:r>
      <w:r>
        <w:t>is</w:t>
      </w:r>
      <w:r>
        <w:rPr>
          <w:spacing w:val="9"/>
        </w:rPr>
        <w:t xml:space="preserve"> </w:t>
      </w:r>
      <w:r>
        <w:t>using</w:t>
      </w:r>
      <w:r>
        <w:rPr>
          <w:spacing w:val="9"/>
        </w:rPr>
        <w:t xml:space="preserve"> </w:t>
      </w:r>
      <w:r>
        <w:t>on</w:t>
      </w:r>
      <w:r>
        <w:rPr>
          <w:spacing w:val="9"/>
        </w:rPr>
        <w:t xml:space="preserve"> </w:t>
      </w:r>
      <w:r>
        <w:t>Tuesday</w:t>
      </w:r>
      <w:r>
        <w:rPr>
          <w:spacing w:val="9"/>
        </w:rPr>
        <w:t xml:space="preserve"> </w:t>
      </w:r>
      <w:r>
        <w:t>is</w:t>
      </w:r>
      <w:r>
        <w:rPr>
          <w:spacing w:val="10"/>
        </w:rPr>
        <w:t xml:space="preserve"> </w:t>
      </w:r>
      <w:r>
        <w:rPr>
          <w:i/>
        </w:rPr>
        <w:t>ipso</w:t>
      </w:r>
      <w:r>
        <w:rPr>
          <w:i/>
          <w:spacing w:val="5"/>
        </w:rPr>
        <w:t xml:space="preserve"> </w:t>
      </w:r>
      <w:r>
        <w:rPr>
          <w:i/>
        </w:rPr>
        <w:t>facto</w:t>
      </w:r>
      <w:r>
        <w:rPr>
          <w:i/>
          <w:spacing w:val="56"/>
          <w:w w:val="150"/>
        </w:rPr>
        <w:t xml:space="preserve"> </w:t>
      </w:r>
      <w:r>
        <w:t>a</w:t>
      </w:r>
      <w:r>
        <w:rPr>
          <w:spacing w:val="12"/>
        </w:rPr>
        <w:t xml:space="preserve"> </w:t>
      </w:r>
      <w:r>
        <w:t>distinct</w:t>
      </w:r>
      <w:r>
        <w:rPr>
          <w:spacing w:val="12"/>
        </w:rPr>
        <w:t xml:space="preserve"> </w:t>
      </w:r>
      <w:r>
        <w:rPr>
          <w:spacing w:val="-5"/>
        </w:rPr>
        <w:t>one</w:t>
      </w:r>
    </w:p>
    <w:p w14:paraId="7E000DFF" w14:textId="77777777" w:rsidR="009A58DB" w:rsidRDefault="00000000">
      <w:pPr>
        <w:pStyle w:val="BodyText"/>
        <w:spacing w:before="15" w:line="249" w:lineRule="auto"/>
        <w:ind w:right="360"/>
      </w:pPr>
      <w:r>
        <w:t>from the language he is using on Monday. On Tuesday, he’s speaking Smithese</w:t>
      </w:r>
      <w:r>
        <w:rPr>
          <w:position w:val="-7"/>
          <w:sz w:val="22"/>
        </w:rPr>
        <w:t>2</w:t>
      </w:r>
      <w:r>
        <w:t>, not Smithese</w:t>
      </w:r>
      <w:r>
        <w:rPr>
          <w:position w:val="-7"/>
          <w:sz w:val="22"/>
        </w:rPr>
        <w:t>1</w:t>
      </w:r>
      <w:r>
        <w:t>. There, “X</w:t>
      </w:r>
      <w:r>
        <w:rPr>
          <w:position w:val="-7"/>
          <w:sz w:val="22"/>
        </w:rPr>
        <w:t>35</w:t>
      </w:r>
      <w:r>
        <w:t xml:space="preserve">” means that the sun is out </w:t>
      </w:r>
      <w:r>
        <w:rPr>
          <w:i/>
        </w:rPr>
        <w:t xml:space="preserve">only </w:t>
      </w:r>
      <w:r>
        <w:t>if it isn’t</w:t>
      </w:r>
      <w:r>
        <w:rPr>
          <w:spacing w:val="33"/>
        </w:rPr>
        <w:t xml:space="preserve"> </w:t>
      </w:r>
      <w:r>
        <w:t>an</w:t>
      </w:r>
      <w:r>
        <w:rPr>
          <w:spacing w:val="34"/>
        </w:rPr>
        <w:t xml:space="preserve"> </w:t>
      </w:r>
      <w:r>
        <w:t>expression</w:t>
      </w:r>
      <w:r>
        <w:rPr>
          <w:spacing w:val="34"/>
        </w:rPr>
        <w:t xml:space="preserve"> </w:t>
      </w:r>
      <w:r>
        <w:t>of</w:t>
      </w:r>
      <w:r>
        <w:rPr>
          <w:spacing w:val="33"/>
        </w:rPr>
        <w:t xml:space="preserve"> </w:t>
      </w:r>
      <w:r>
        <w:t>Smithese</w:t>
      </w:r>
      <w:r>
        <w:rPr>
          <w:vertAlign w:val="subscript"/>
        </w:rPr>
        <w:t>1</w:t>
      </w:r>
      <w:r>
        <w:t>.</w:t>
      </w:r>
      <w:r>
        <w:rPr>
          <w:spacing w:val="34"/>
        </w:rPr>
        <w:t xml:space="preserve"> </w:t>
      </w:r>
      <w:r>
        <w:t>The</w:t>
      </w:r>
      <w:r>
        <w:rPr>
          <w:spacing w:val="34"/>
        </w:rPr>
        <w:t xml:space="preserve"> </w:t>
      </w:r>
      <w:r>
        <w:t>expressions</w:t>
      </w:r>
      <w:r>
        <w:rPr>
          <w:spacing w:val="33"/>
        </w:rPr>
        <w:t xml:space="preserve"> </w:t>
      </w:r>
      <w:r>
        <w:t>of</w:t>
      </w:r>
      <w:r>
        <w:rPr>
          <w:spacing w:val="34"/>
        </w:rPr>
        <w:t xml:space="preserve"> </w:t>
      </w:r>
      <w:r>
        <w:t>Smithese</w:t>
      </w:r>
      <w:r>
        <w:rPr>
          <w:vertAlign w:val="subscript"/>
        </w:rPr>
        <w:t>1</w:t>
      </w:r>
      <w:r>
        <w:t>,</w:t>
      </w:r>
      <w:r>
        <w:rPr>
          <w:spacing w:val="38"/>
        </w:rPr>
        <w:t xml:space="preserve"> </w:t>
      </w:r>
      <w:r>
        <w:t>then,</w:t>
      </w:r>
      <w:r>
        <w:rPr>
          <w:spacing w:val="37"/>
        </w:rPr>
        <w:t xml:space="preserve"> </w:t>
      </w:r>
      <w:r>
        <w:rPr>
          <w:spacing w:val="-2"/>
        </w:rPr>
        <w:t>don’t</w:t>
      </w:r>
    </w:p>
    <w:p w14:paraId="7E000E00" w14:textId="77777777" w:rsidR="009A58DB" w:rsidRDefault="00000000">
      <w:pPr>
        <w:pStyle w:val="BodyText"/>
        <w:spacing w:before="61" w:line="249" w:lineRule="auto"/>
        <w:ind w:right="364"/>
      </w:pPr>
      <w:r>
        <w:t>mean whatever Smith thinks they mean. If his opinions assign new meanings to X</w:t>
      </w:r>
      <w:r>
        <w:rPr>
          <w:vertAlign w:val="subscript"/>
        </w:rPr>
        <w:t>1</w:t>
      </w:r>
      <w:r>
        <w:t>...X</w:t>
      </w:r>
      <w:r>
        <w:rPr>
          <w:position w:val="-7"/>
          <w:sz w:val="22"/>
        </w:rPr>
        <w:t>n</w:t>
      </w:r>
      <w:r>
        <w:t>, those opinions are creating a new language that happens to be orthographically and phonetically coincident with Smithese</w:t>
      </w:r>
      <w:r>
        <w:rPr>
          <w:vertAlign w:val="subscript"/>
        </w:rPr>
        <w:t>1</w:t>
      </w:r>
      <w:r>
        <w:t>; those opinions</w:t>
      </w:r>
    </w:p>
    <w:p w14:paraId="7E000E01" w14:textId="77777777" w:rsidR="009A58DB" w:rsidRDefault="00000000">
      <w:pPr>
        <w:pStyle w:val="BodyText"/>
        <w:spacing w:before="61" w:line="252" w:lineRule="auto"/>
        <w:ind w:right="360"/>
        <w:rPr>
          <w:position w:val="10"/>
        </w:rPr>
      </w:pPr>
      <w:r>
        <w:t>aren’t assigning new meanings to expressions constituting some existing language. So Wittgenstein is just wrong to say that the expressions of Smithese</w:t>
      </w:r>
      <w:r>
        <w:rPr>
          <w:position w:val="-7"/>
          <w:sz w:val="22"/>
        </w:rPr>
        <w:t>1</w:t>
      </w:r>
      <w:r>
        <w:rPr>
          <w:spacing w:val="40"/>
          <w:position w:val="-7"/>
          <w:sz w:val="22"/>
        </w:rPr>
        <w:t xml:space="preserve"> </w:t>
      </w:r>
      <w:r>
        <w:t>mean whatever Smith thinks they do.</w:t>
      </w:r>
      <w:bookmarkStart w:id="185" w:name="_bookmark185"/>
      <w:bookmarkEnd w:id="185"/>
      <w:r>
        <w:rPr>
          <w:color w:val="0562C1"/>
          <w:position w:val="10"/>
          <w:u w:val="single" w:color="0562C1"/>
        </w:rPr>
        <w:t>23</w:t>
      </w:r>
    </w:p>
    <w:p w14:paraId="7E000E02" w14:textId="77777777" w:rsidR="009A58DB" w:rsidRDefault="00000000">
      <w:pPr>
        <w:pStyle w:val="BodyText"/>
        <w:spacing w:line="249" w:lineRule="auto"/>
        <w:ind w:right="362" w:firstLine="360"/>
      </w:pPr>
      <w:r>
        <w:t>Thinking</w:t>
      </w:r>
      <w:r>
        <w:rPr>
          <w:spacing w:val="-3"/>
        </w:rPr>
        <w:t xml:space="preserve"> </w:t>
      </w:r>
      <w:r>
        <w:t>seems</w:t>
      </w:r>
      <w:r>
        <w:rPr>
          <w:spacing w:val="-3"/>
        </w:rPr>
        <w:t xml:space="preserve"> </w:t>
      </w:r>
      <w:r>
        <w:t>to</w:t>
      </w:r>
      <w:r>
        <w:rPr>
          <w:spacing w:val="-3"/>
        </w:rPr>
        <w:t xml:space="preserve"> </w:t>
      </w:r>
      <w:r>
        <w:t>involve</w:t>
      </w:r>
      <w:r>
        <w:rPr>
          <w:spacing w:val="-3"/>
        </w:rPr>
        <w:t xml:space="preserve"> </w:t>
      </w:r>
      <w:r>
        <w:t>following</w:t>
      </w:r>
      <w:r>
        <w:rPr>
          <w:spacing w:val="-3"/>
        </w:rPr>
        <w:t xml:space="preserve"> </w:t>
      </w:r>
      <w:r>
        <w:t>rules.</w:t>
      </w:r>
      <w:r>
        <w:rPr>
          <w:spacing w:val="-3"/>
        </w:rPr>
        <w:t xml:space="preserve"> </w:t>
      </w:r>
      <w:r>
        <w:t>Wittgenstein</w:t>
      </w:r>
      <w:r>
        <w:rPr>
          <w:spacing w:val="-3"/>
        </w:rPr>
        <w:t xml:space="preserve"> </w:t>
      </w:r>
      <w:r>
        <w:t>grants</w:t>
      </w:r>
      <w:r>
        <w:rPr>
          <w:spacing w:val="-3"/>
        </w:rPr>
        <w:t xml:space="preserve"> </w:t>
      </w:r>
      <w:r>
        <w:t>that</w:t>
      </w:r>
      <w:r>
        <w:rPr>
          <w:spacing w:val="-3"/>
        </w:rPr>
        <w:t xml:space="preserve"> </w:t>
      </w:r>
      <w:r>
        <w:t>people think. But since he believes totally absurdly, that rule-following and, therefore, thinking aren’t psychological acts, he is forced to come up with a different</w:t>
      </w:r>
      <w:r>
        <w:rPr>
          <w:spacing w:val="-2"/>
        </w:rPr>
        <w:t xml:space="preserve"> </w:t>
      </w:r>
      <w:r>
        <w:t>analysis</w:t>
      </w:r>
      <w:r>
        <w:rPr>
          <w:spacing w:val="-2"/>
        </w:rPr>
        <w:t xml:space="preserve"> </w:t>
      </w:r>
      <w:r>
        <w:t>of</w:t>
      </w:r>
      <w:r>
        <w:rPr>
          <w:spacing w:val="-2"/>
        </w:rPr>
        <w:t xml:space="preserve"> </w:t>
      </w:r>
      <w:r>
        <w:t>what</w:t>
      </w:r>
      <w:r>
        <w:rPr>
          <w:spacing w:val="-2"/>
        </w:rPr>
        <w:t xml:space="preserve"> </w:t>
      </w:r>
      <w:r>
        <w:t>thought</w:t>
      </w:r>
      <w:r>
        <w:rPr>
          <w:spacing w:val="-2"/>
        </w:rPr>
        <w:t xml:space="preserve"> </w:t>
      </w:r>
      <w:r>
        <w:t>is.</w:t>
      </w:r>
      <w:r>
        <w:rPr>
          <w:spacing w:val="-2"/>
        </w:rPr>
        <w:t xml:space="preserve"> </w:t>
      </w:r>
      <w:r>
        <w:t>He</w:t>
      </w:r>
      <w:r>
        <w:rPr>
          <w:spacing w:val="-2"/>
        </w:rPr>
        <w:t xml:space="preserve"> </w:t>
      </w:r>
      <w:r>
        <w:t>wrongly</w:t>
      </w:r>
      <w:r>
        <w:rPr>
          <w:spacing w:val="-2"/>
        </w:rPr>
        <w:t xml:space="preserve"> </w:t>
      </w:r>
      <w:r>
        <w:t>says</w:t>
      </w:r>
      <w:r>
        <w:rPr>
          <w:spacing w:val="-2"/>
        </w:rPr>
        <w:t xml:space="preserve"> </w:t>
      </w:r>
      <w:r>
        <w:t>that</w:t>
      </w:r>
      <w:r>
        <w:rPr>
          <w:spacing w:val="-2"/>
        </w:rPr>
        <w:t xml:space="preserve"> </w:t>
      </w:r>
      <w:r>
        <w:t>thought</w:t>
      </w:r>
      <w:r>
        <w:rPr>
          <w:spacing w:val="-2"/>
        </w:rPr>
        <w:t xml:space="preserve"> </w:t>
      </w:r>
      <w:r>
        <w:t>consists</w:t>
      </w:r>
      <w:r>
        <w:rPr>
          <w:spacing w:val="-2"/>
        </w:rPr>
        <w:t xml:space="preserve"> </w:t>
      </w:r>
      <w:r>
        <w:t xml:space="preserve">in the manipulations of symbols. Given his belief that there aren’t private languages, he holds that to think is to manipulate symbols of public </w:t>
      </w:r>
      <w:r>
        <w:rPr>
          <w:spacing w:val="-2"/>
        </w:rPr>
        <w:t>languages.</w:t>
      </w:r>
    </w:p>
    <w:p w14:paraId="7E000E03" w14:textId="77777777" w:rsidR="009A58DB" w:rsidRDefault="00000000">
      <w:pPr>
        <w:pStyle w:val="BodyText"/>
        <w:spacing w:before="4" w:line="249" w:lineRule="auto"/>
        <w:ind w:right="366" w:firstLine="360"/>
      </w:pPr>
      <w:r>
        <w:t>Given that RF and WA are spurious arguments for false conclusions, Wittgenstein has given us no good reason to accept this position. In any case, we know it to be an erroneous one. A prerequisite for speaking a language is knowing its semantic rules and being able to operate in an intelligent and, consequently, thought-mediated fashion.</w:t>
      </w:r>
    </w:p>
    <w:p w14:paraId="7E000E0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05" w14:textId="77777777" w:rsidR="009A58DB" w:rsidRDefault="00000000">
      <w:pPr>
        <w:spacing w:line="503" w:lineRule="exact"/>
        <w:ind w:left="326" w:right="332"/>
        <w:jc w:val="center"/>
        <w:rPr>
          <w:rFonts w:ascii="Calibri Light"/>
          <w:sz w:val="42"/>
        </w:rPr>
      </w:pPr>
      <w:bookmarkStart w:id="186" w:name="_bookmark186"/>
      <w:bookmarkEnd w:id="186"/>
      <w:r>
        <w:rPr>
          <w:rFonts w:ascii="Calibri Light"/>
          <w:sz w:val="42"/>
        </w:rPr>
        <w:lastRenderedPageBreak/>
        <w:t>Chapter</w:t>
      </w:r>
      <w:r>
        <w:rPr>
          <w:rFonts w:ascii="Calibri Light"/>
          <w:spacing w:val="56"/>
          <w:sz w:val="42"/>
        </w:rPr>
        <w:t xml:space="preserve"> </w:t>
      </w:r>
      <w:r>
        <w:rPr>
          <w:rFonts w:ascii="Calibri Light"/>
          <w:spacing w:val="-10"/>
          <w:sz w:val="42"/>
        </w:rPr>
        <w:t>6</w:t>
      </w:r>
    </w:p>
    <w:p w14:paraId="7E000E06" w14:textId="77777777" w:rsidR="009A58DB" w:rsidRDefault="00000000">
      <w:pPr>
        <w:spacing w:before="222"/>
        <w:ind w:left="326" w:right="332"/>
        <w:jc w:val="center"/>
        <w:rPr>
          <w:rFonts w:ascii="Calibri Light" w:hAnsi="Calibri Light"/>
          <w:sz w:val="42"/>
        </w:rPr>
      </w:pPr>
      <w:bookmarkStart w:id="187" w:name="_bookmark187"/>
      <w:bookmarkEnd w:id="187"/>
      <w:r>
        <w:rPr>
          <w:rFonts w:ascii="Calibri Light" w:hAnsi="Calibri Light"/>
          <w:sz w:val="42"/>
        </w:rPr>
        <w:t>Russell’s</w:t>
      </w:r>
      <w:r>
        <w:rPr>
          <w:rFonts w:ascii="Calibri Light" w:hAnsi="Calibri Light"/>
          <w:spacing w:val="60"/>
          <w:sz w:val="42"/>
        </w:rPr>
        <w:t xml:space="preserve"> </w:t>
      </w:r>
      <w:r>
        <w:rPr>
          <w:rFonts w:ascii="Calibri Light" w:hAnsi="Calibri Light"/>
          <w:sz w:val="42"/>
        </w:rPr>
        <w:t>Improvements</w:t>
      </w:r>
      <w:r>
        <w:rPr>
          <w:rFonts w:ascii="Calibri Light" w:hAnsi="Calibri Light"/>
          <w:spacing w:val="60"/>
          <w:sz w:val="42"/>
        </w:rPr>
        <w:t xml:space="preserve"> </w:t>
      </w:r>
      <w:r>
        <w:rPr>
          <w:rFonts w:ascii="Calibri Light" w:hAnsi="Calibri Light"/>
          <w:sz w:val="42"/>
        </w:rPr>
        <w:t>on</w:t>
      </w:r>
      <w:r>
        <w:rPr>
          <w:rFonts w:ascii="Calibri Light" w:hAnsi="Calibri Light"/>
          <w:spacing w:val="60"/>
          <w:sz w:val="42"/>
        </w:rPr>
        <w:t xml:space="preserve"> </w:t>
      </w:r>
      <w:r>
        <w:rPr>
          <w:rFonts w:ascii="Calibri Light" w:hAnsi="Calibri Light"/>
          <w:sz w:val="42"/>
        </w:rPr>
        <w:t>Frege’s</w:t>
      </w:r>
      <w:r>
        <w:rPr>
          <w:rFonts w:ascii="Calibri Light" w:hAnsi="Calibri Light"/>
          <w:spacing w:val="60"/>
          <w:sz w:val="42"/>
        </w:rPr>
        <w:t xml:space="preserve"> </w:t>
      </w:r>
      <w:r>
        <w:rPr>
          <w:rFonts w:ascii="Calibri Light" w:hAnsi="Calibri Light"/>
          <w:spacing w:val="-4"/>
          <w:sz w:val="42"/>
        </w:rPr>
        <w:t>Work</w:t>
      </w:r>
    </w:p>
    <w:p w14:paraId="7E000E07" w14:textId="77777777" w:rsidR="009A58DB" w:rsidRDefault="009A58DB">
      <w:pPr>
        <w:pStyle w:val="BodyText"/>
        <w:spacing w:before="377"/>
        <w:ind w:left="0"/>
        <w:jc w:val="left"/>
        <w:rPr>
          <w:rFonts w:ascii="Calibri Light"/>
          <w:sz w:val="42"/>
        </w:rPr>
      </w:pPr>
    </w:p>
    <w:p w14:paraId="7E000E08" w14:textId="77777777" w:rsidR="009A58DB" w:rsidRDefault="00000000">
      <w:pPr>
        <w:pStyle w:val="Heading1"/>
        <w:numPr>
          <w:ilvl w:val="1"/>
          <w:numId w:val="178"/>
        </w:numPr>
        <w:tabs>
          <w:tab w:val="left" w:pos="990"/>
        </w:tabs>
        <w:spacing w:before="0"/>
        <w:jc w:val="both"/>
      </w:pPr>
      <w:r>
        <w:t>Why</w:t>
      </w:r>
      <w:r>
        <w:rPr>
          <w:spacing w:val="-6"/>
        </w:rPr>
        <w:t xml:space="preserve"> </w:t>
      </w:r>
      <w:r>
        <w:t>definite</w:t>
      </w:r>
      <w:r>
        <w:rPr>
          <w:spacing w:val="-6"/>
        </w:rPr>
        <w:t xml:space="preserve"> </w:t>
      </w:r>
      <w:r>
        <w:t>descriptions</w:t>
      </w:r>
      <w:r>
        <w:rPr>
          <w:spacing w:val="-7"/>
        </w:rPr>
        <w:t xml:space="preserve"> </w:t>
      </w:r>
      <w:r>
        <w:t>aren’t</w:t>
      </w:r>
      <w:r>
        <w:rPr>
          <w:spacing w:val="-6"/>
        </w:rPr>
        <w:t xml:space="preserve"> </w:t>
      </w:r>
      <w:r>
        <w:t>singular</w:t>
      </w:r>
      <w:r>
        <w:rPr>
          <w:spacing w:val="-6"/>
        </w:rPr>
        <w:t xml:space="preserve"> </w:t>
      </w:r>
      <w:r>
        <w:rPr>
          <w:spacing w:val="-2"/>
        </w:rPr>
        <w:t>terms</w:t>
      </w:r>
    </w:p>
    <w:p w14:paraId="7E000E09" w14:textId="77777777" w:rsidR="009A58DB" w:rsidRDefault="00000000">
      <w:pPr>
        <w:pStyle w:val="BodyText"/>
        <w:spacing w:before="139" w:line="249" w:lineRule="auto"/>
        <w:ind w:right="362"/>
      </w:pPr>
      <w:r>
        <w:t xml:space="preserve">In Chapter 1, we saw how Frege’s groundbreaking insights into language and logic made it possible for him to solve otherwise unsolvable philosophical </w:t>
      </w:r>
      <w:r>
        <w:rPr>
          <w:spacing w:val="-2"/>
        </w:rPr>
        <w:t>puzzles.</w:t>
      </w:r>
    </w:p>
    <w:p w14:paraId="7E000E0A" w14:textId="77777777" w:rsidR="009A58DB" w:rsidRDefault="00000000">
      <w:pPr>
        <w:pStyle w:val="BodyText"/>
        <w:spacing w:before="4" w:line="249" w:lineRule="auto"/>
        <w:ind w:right="360" w:firstLine="360"/>
      </w:pPr>
      <w:r>
        <w:t>Bertrand Russell (1872–1970) extended Frege’s work. Russell also</w:t>
      </w:r>
      <w:r>
        <w:rPr>
          <w:spacing w:val="40"/>
        </w:rPr>
        <w:t xml:space="preserve"> </w:t>
      </w:r>
      <w:r>
        <w:t>showed that some important aspects of Frege’s semantics are deeply incoherent, and Russell figured out how to eliminate those incoherencies without in the process sacrificing Frege’s groundbreaking insights.</w:t>
      </w:r>
    </w:p>
    <w:p w14:paraId="7E000E0B" w14:textId="77777777" w:rsidR="009A58DB" w:rsidRDefault="00000000">
      <w:pPr>
        <w:pStyle w:val="BodyText"/>
        <w:spacing w:before="5" w:line="249" w:lineRule="auto"/>
        <w:ind w:right="359" w:firstLine="360"/>
      </w:pPr>
      <w:r>
        <w:t xml:space="preserve">Russell’s famous </w:t>
      </w:r>
      <w:r>
        <w:rPr>
          <w:i/>
        </w:rPr>
        <w:t xml:space="preserve">Theory of Descriptions </w:t>
      </w:r>
      <w:r>
        <w:t>was one of his earliest and most important extensions of, and improvements on, Frege’s work</w:t>
      </w:r>
      <w:bookmarkStart w:id="188" w:name="_bookmark188"/>
      <w:bookmarkEnd w:id="188"/>
      <w:r>
        <w:t>.</w:t>
      </w:r>
      <w:r>
        <w:rPr>
          <w:color w:val="0562C1"/>
          <w:position w:val="21"/>
          <w:u w:val="single" w:color="0562C1"/>
        </w:rPr>
        <w:t>[106]</w:t>
      </w:r>
      <w:r>
        <w:rPr>
          <w:color w:val="0562C1"/>
          <w:position w:val="21"/>
        </w:rPr>
        <w:t xml:space="preserve"> </w:t>
      </w:r>
      <w:r>
        <w:t xml:space="preserve">The theory of descriptions concerns </w:t>
      </w:r>
      <w:r>
        <w:rPr>
          <w:b/>
          <w:i/>
        </w:rPr>
        <w:t xml:space="preserve">definite descriptions. </w:t>
      </w:r>
      <w:r>
        <w:t>A definite description expression</w:t>
      </w:r>
      <w:r>
        <w:rPr>
          <w:spacing w:val="-1"/>
        </w:rPr>
        <w:t xml:space="preserve"> </w:t>
      </w:r>
      <w:r>
        <w:t>of</w:t>
      </w:r>
      <w:r>
        <w:rPr>
          <w:spacing w:val="-1"/>
        </w:rPr>
        <w:t xml:space="preserve"> </w:t>
      </w:r>
      <w:r>
        <w:t>the</w:t>
      </w:r>
      <w:r>
        <w:rPr>
          <w:spacing w:val="-1"/>
        </w:rPr>
        <w:t xml:space="preserve"> </w:t>
      </w:r>
      <w:r>
        <w:t>form</w:t>
      </w:r>
      <w:r>
        <w:rPr>
          <w:spacing w:val="-2"/>
        </w:rPr>
        <w:t xml:space="preserve"> </w:t>
      </w:r>
      <w:r>
        <w:t>‹the</w:t>
      </w:r>
      <w:r>
        <w:rPr>
          <w:spacing w:val="-1"/>
        </w:rPr>
        <w:t xml:space="preserve"> </w:t>
      </w:r>
      <w:r>
        <w:t>phi›,</w:t>
      </w:r>
      <w:r>
        <w:rPr>
          <w:spacing w:val="-1"/>
        </w:rPr>
        <w:t xml:space="preserve"> </w:t>
      </w:r>
      <w:r>
        <w:t>where</w:t>
      </w:r>
      <w:r>
        <w:rPr>
          <w:spacing w:val="-1"/>
        </w:rPr>
        <w:t xml:space="preserve"> </w:t>
      </w:r>
      <w:r>
        <w:t>phi</w:t>
      </w:r>
      <w:r>
        <w:rPr>
          <w:spacing w:val="-2"/>
        </w:rPr>
        <w:t xml:space="preserve"> </w:t>
      </w:r>
      <w:r>
        <w:t>is</w:t>
      </w:r>
      <w:r>
        <w:rPr>
          <w:spacing w:val="-1"/>
        </w:rPr>
        <w:t xml:space="preserve"> </w:t>
      </w:r>
      <w:r>
        <w:t>in</w:t>
      </w:r>
      <w:r>
        <w:rPr>
          <w:spacing w:val="-1"/>
        </w:rPr>
        <w:t xml:space="preserve"> </w:t>
      </w:r>
      <w:r>
        <w:t>the</w:t>
      </w:r>
      <w:r>
        <w:rPr>
          <w:spacing w:val="-1"/>
        </w:rPr>
        <w:t xml:space="preserve"> </w:t>
      </w:r>
      <w:r>
        <w:t>singular.</w:t>
      </w:r>
      <w:r>
        <w:rPr>
          <w:spacing w:val="-1"/>
        </w:rPr>
        <w:t xml:space="preserve"> </w:t>
      </w:r>
      <w:r>
        <w:t>So</w:t>
      </w:r>
      <w:r>
        <w:rPr>
          <w:spacing w:val="-1"/>
        </w:rPr>
        <w:t xml:space="preserve"> </w:t>
      </w:r>
      <w:r>
        <w:t>“the</w:t>
      </w:r>
      <w:r>
        <w:rPr>
          <w:spacing w:val="-1"/>
        </w:rPr>
        <w:t xml:space="preserve"> </w:t>
      </w:r>
      <w:r>
        <w:t xml:space="preserve">inventor of Velcro” is a definite description, as is “the inventor of bifocals.” But “the people over there” is not a definite description, since “people” is a plural </w:t>
      </w:r>
      <w:r>
        <w:rPr>
          <w:spacing w:val="-2"/>
        </w:rPr>
        <w:t>noun.</w:t>
      </w:r>
    </w:p>
    <w:p w14:paraId="7E000E0C" w14:textId="77777777" w:rsidR="009A58DB" w:rsidRDefault="00000000">
      <w:pPr>
        <w:pStyle w:val="BodyText"/>
        <w:spacing w:before="9" w:line="249" w:lineRule="auto"/>
        <w:ind w:right="360" w:firstLine="360"/>
      </w:pPr>
      <w:r>
        <w:t>Definite descriptions are in the same grammatical category as “Mary” and “Bob” and other proper names. (Note: in this book, very generic proper names—e.g., “Smith,” “Mary,” “Bob”—will often be used. Always assume, for argument’s sake, that they are unambiguous.) Thus, in respect of its grammatical form:</w:t>
      </w:r>
    </w:p>
    <w:p w14:paraId="7E000E0D" w14:textId="77777777" w:rsidR="009A58DB" w:rsidRDefault="00000000">
      <w:pPr>
        <w:pStyle w:val="BodyText"/>
        <w:spacing w:before="96" w:line="324" w:lineRule="auto"/>
        <w:ind w:right="4555"/>
      </w:pPr>
      <w:r>
        <w:t>(V):</w:t>
      </w:r>
      <w:r>
        <w:rPr>
          <w:spacing w:val="-7"/>
        </w:rPr>
        <w:t xml:space="preserve"> </w:t>
      </w:r>
      <w:r>
        <w:t>“The</w:t>
      </w:r>
      <w:r>
        <w:rPr>
          <w:spacing w:val="-7"/>
        </w:rPr>
        <w:t xml:space="preserve"> </w:t>
      </w:r>
      <w:r>
        <w:t>inventor</w:t>
      </w:r>
      <w:r>
        <w:rPr>
          <w:spacing w:val="-7"/>
        </w:rPr>
        <w:t xml:space="preserve"> </w:t>
      </w:r>
      <w:r>
        <w:t>of</w:t>
      </w:r>
      <w:r>
        <w:rPr>
          <w:spacing w:val="-7"/>
        </w:rPr>
        <w:t xml:space="preserve"> </w:t>
      </w:r>
      <w:r>
        <w:t>Velcro</w:t>
      </w:r>
      <w:r>
        <w:rPr>
          <w:spacing w:val="-6"/>
        </w:rPr>
        <w:t xml:space="preserve"> </w:t>
      </w:r>
      <w:r>
        <w:t>is</w:t>
      </w:r>
      <w:r>
        <w:rPr>
          <w:spacing w:val="-7"/>
        </w:rPr>
        <w:t xml:space="preserve"> </w:t>
      </w:r>
      <w:r>
        <w:t>intelligent” is just like</w:t>
      </w:r>
    </w:p>
    <w:p w14:paraId="7E000E0E" w14:textId="77777777" w:rsidR="009A58DB" w:rsidRDefault="00000000">
      <w:pPr>
        <w:pStyle w:val="BodyText"/>
        <w:spacing w:line="344" w:lineRule="exact"/>
      </w:pPr>
      <w:r>
        <w:t>(B)</w:t>
      </w:r>
      <w:r>
        <w:rPr>
          <w:spacing w:val="-3"/>
        </w:rPr>
        <w:t xml:space="preserve"> </w:t>
      </w:r>
      <w:r>
        <w:t>“Bob</w:t>
      </w:r>
      <w:r>
        <w:rPr>
          <w:spacing w:val="-2"/>
        </w:rPr>
        <w:t xml:space="preserve"> </w:t>
      </w:r>
      <w:r>
        <w:t>is</w:t>
      </w:r>
      <w:r>
        <w:rPr>
          <w:spacing w:val="-2"/>
        </w:rPr>
        <w:t xml:space="preserve"> intelligent.”</w:t>
      </w:r>
    </w:p>
    <w:p w14:paraId="7E000E0F" w14:textId="77777777" w:rsidR="009A58DB" w:rsidRDefault="00000000">
      <w:pPr>
        <w:pStyle w:val="BodyText"/>
        <w:spacing w:before="105" w:line="249" w:lineRule="auto"/>
        <w:ind w:right="362" w:firstLine="360"/>
      </w:pPr>
      <w:r>
        <w:t>But we’ve seen that grammatical form and logical form sometimes pull apart. To determine whether this is going on here, let’s take a careful look at what V says.</w:t>
      </w:r>
    </w:p>
    <w:p w14:paraId="7E000E10" w14:textId="77777777" w:rsidR="009A58DB" w:rsidRDefault="00000000">
      <w:pPr>
        <w:pStyle w:val="BodyText"/>
        <w:spacing w:before="4"/>
        <w:ind w:left="720"/>
      </w:pPr>
      <w:r>
        <w:t>V</w:t>
      </w:r>
      <w:r>
        <w:rPr>
          <w:spacing w:val="62"/>
        </w:rPr>
        <w:t xml:space="preserve"> </w:t>
      </w:r>
      <w:r>
        <w:t>clearly</w:t>
      </w:r>
      <w:r>
        <w:rPr>
          <w:spacing w:val="65"/>
        </w:rPr>
        <w:t xml:space="preserve"> </w:t>
      </w:r>
      <w:r>
        <w:t>isn’t</w:t>
      </w:r>
      <w:r>
        <w:rPr>
          <w:spacing w:val="65"/>
        </w:rPr>
        <w:t xml:space="preserve"> </w:t>
      </w:r>
      <w:r>
        <w:t>true</w:t>
      </w:r>
      <w:r>
        <w:rPr>
          <w:spacing w:val="65"/>
        </w:rPr>
        <w:t xml:space="preserve"> </w:t>
      </w:r>
      <w:r>
        <w:t>if</w:t>
      </w:r>
      <w:r>
        <w:rPr>
          <w:spacing w:val="64"/>
        </w:rPr>
        <w:t xml:space="preserve"> </w:t>
      </w:r>
      <w:r>
        <w:t>nobody</w:t>
      </w:r>
      <w:r>
        <w:rPr>
          <w:spacing w:val="65"/>
        </w:rPr>
        <w:t xml:space="preserve"> </w:t>
      </w:r>
      <w:r>
        <w:t>invented</w:t>
      </w:r>
      <w:r>
        <w:rPr>
          <w:spacing w:val="65"/>
        </w:rPr>
        <w:t xml:space="preserve"> </w:t>
      </w:r>
      <w:r>
        <w:t>Velcro.</w:t>
      </w:r>
      <w:r>
        <w:rPr>
          <w:spacing w:val="65"/>
        </w:rPr>
        <w:t xml:space="preserve"> </w:t>
      </w:r>
      <w:r>
        <w:t>V</w:t>
      </w:r>
      <w:r>
        <w:rPr>
          <w:spacing w:val="64"/>
        </w:rPr>
        <w:t xml:space="preserve"> </w:t>
      </w:r>
      <w:r>
        <w:t>isn’t</w:t>
      </w:r>
      <w:r>
        <w:rPr>
          <w:spacing w:val="65"/>
        </w:rPr>
        <w:t xml:space="preserve"> </w:t>
      </w:r>
      <w:r>
        <w:t>true</w:t>
      </w:r>
      <w:r>
        <w:rPr>
          <w:spacing w:val="65"/>
        </w:rPr>
        <w:t xml:space="preserve"> </w:t>
      </w:r>
      <w:r>
        <w:t>if</w:t>
      </w:r>
      <w:r>
        <w:rPr>
          <w:spacing w:val="65"/>
        </w:rPr>
        <w:t xml:space="preserve"> </w:t>
      </w:r>
      <w:r>
        <w:rPr>
          <w:spacing w:val="-2"/>
        </w:rPr>
        <w:t>several</w:t>
      </w:r>
    </w:p>
    <w:p w14:paraId="7E000E11" w14:textId="77777777" w:rsidR="009A58DB" w:rsidRDefault="009A58DB">
      <w:pPr>
        <w:pStyle w:val="BodyText"/>
        <w:sectPr w:rsidR="009A58DB">
          <w:pgSz w:w="12240" w:h="15840"/>
          <w:pgMar w:top="1680" w:right="1080" w:bottom="280" w:left="1080" w:header="720" w:footer="720" w:gutter="0"/>
          <w:cols w:space="720"/>
        </w:sectPr>
      </w:pPr>
    </w:p>
    <w:p w14:paraId="7E000E12" w14:textId="77777777" w:rsidR="009A58DB" w:rsidRDefault="00000000">
      <w:pPr>
        <w:pStyle w:val="BodyText"/>
        <w:spacing w:before="60" w:line="249" w:lineRule="auto"/>
        <w:ind w:right="358"/>
      </w:pPr>
      <w:r>
        <w:lastRenderedPageBreak/>
        <w:t xml:space="preserve">people invented it. (If nine people invented Velcro, one could be </w:t>
      </w:r>
      <w:r>
        <w:rPr>
          <w:i/>
        </w:rPr>
        <w:t xml:space="preserve">an </w:t>
      </w:r>
      <w:r>
        <w:t xml:space="preserve">inventor of Velcro, but </w:t>
      </w:r>
      <w:r>
        <w:rPr>
          <w:i/>
        </w:rPr>
        <w:t xml:space="preserve">the </w:t>
      </w:r>
      <w:r>
        <w:t xml:space="preserve">inventor of it.) Finally, any inventor of Velcro must be intelligent. So if somebody did single-handedly invent Velcro, V is false if that person is unintelligent and true if that person </w:t>
      </w:r>
      <w:r>
        <w:rPr>
          <w:i/>
        </w:rPr>
        <w:t xml:space="preserve">is </w:t>
      </w:r>
      <w:r>
        <w:t>intelligent.</w:t>
      </w:r>
    </w:p>
    <w:p w14:paraId="7E000E13" w14:textId="77777777" w:rsidR="009A58DB" w:rsidRDefault="00000000">
      <w:pPr>
        <w:pStyle w:val="BodyText"/>
        <w:spacing w:before="10" w:line="249" w:lineRule="auto"/>
        <w:ind w:right="366" w:firstLine="360"/>
      </w:pPr>
      <w:r>
        <w:t>So here’s what V says: at least one person invented Velcro; at most one person did so; and any such person is intelligent. Thus, V says that:</w:t>
      </w:r>
    </w:p>
    <w:p w14:paraId="7E000E14" w14:textId="77777777" w:rsidR="009A58DB" w:rsidRDefault="00000000">
      <w:pPr>
        <w:pStyle w:val="BodyText"/>
        <w:spacing w:before="2" w:line="450" w:lineRule="atLeast"/>
        <w:ind w:left="1927" w:right="489" w:hanging="1568"/>
      </w:pPr>
      <w:r>
        <w:t>(V*)</w:t>
      </w:r>
      <w:r>
        <w:rPr>
          <w:spacing w:val="-5"/>
        </w:rPr>
        <w:t xml:space="preserve"> </w:t>
      </w:r>
      <w:r>
        <w:t>somebody</w:t>
      </w:r>
      <w:r>
        <w:rPr>
          <w:spacing w:val="-4"/>
        </w:rPr>
        <w:t xml:space="preserve"> </w:t>
      </w:r>
      <w:r>
        <w:t>uniquely</w:t>
      </w:r>
      <w:r>
        <w:rPr>
          <w:spacing w:val="-4"/>
        </w:rPr>
        <w:t xml:space="preserve"> </w:t>
      </w:r>
      <w:r>
        <w:t>invented</w:t>
      </w:r>
      <w:r>
        <w:rPr>
          <w:spacing w:val="-4"/>
        </w:rPr>
        <w:t xml:space="preserve"> </w:t>
      </w:r>
      <w:r>
        <w:t>Velcro,</w:t>
      </w:r>
      <w:r>
        <w:rPr>
          <w:spacing w:val="-4"/>
        </w:rPr>
        <w:t xml:space="preserve"> </w:t>
      </w:r>
      <w:r>
        <w:t>and</w:t>
      </w:r>
      <w:r>
        <w:rPr>
          <w:spacing w:val="-4"/>
        </w:rPr>
        <w:t xml:space="preserve"> </w:t>
      </w:r>
      <w:r>
        <w:t>any</w:t>
      </w:r>
      <w:r>
        <w:rPr>
          <w:spacing w:val="-4"/>
        </w:rPr>
        <w:t xml:space="preserve"> </w:t>
      </w:r>
      <w:r>
        <w:t>such</w:t>
      </w:r>
      <w:r>
        <w:rPr>
          <w:spacing w:val="-4"/>
        </w:rPr>
        <w:t xml:space="preserve"> </w:t>
      </w:r>
      <w:r>
        <w:t>person</w:t>
      </w:r>
      <w:r>
        <w:rPr>
          <w:spacing w:val="-4"/>
        </w:rPr>
        <w:t xml:space="preserve"> </w:t>
      </w:r>
      <w:r>
        <w:t>is</w:t>
      </w:r>
      <w:r>
        <w:rPr>
          <w:spacing w:val="-5"/>
        </w:rPr>
        <w:t xml:space="preserve"> </w:t>
      </w:r>
      <w:r>
        <w:t xml:space="preserve">intelligent. </w:t>
      </w:r>
      <w:bookmarkStart w:id="189" w:name="_bookmark189"/>
      <w:bookmarkEnd w:id="189"/>
      <w:r>
        <w:rPr>
          <w:color w:val="0562C1"/>
          <w:spacing w:val="-2"/>
          <w:u w:val="single" w:color="0562C1"/>
        </w:rPr>
        <w:t>[107]</w:t>
      </w:r>
    </w:p>
    <w:p w14:paraId="7E000E15" w14:textId="77777777" w:rsidR="009A58DB" w:rsidRDefault="00000000">
      <w:pPr>
        <w:pStyle w:val="BodyText"/>
        <w:tabs>
          <w:tab w:val="left" w:pos="2576"/>
        </w:tabs>
        <w:spacing w:line="210" w:lineRule="exact"/>
        <w:ind w:left="720"/>
        <w:jc w:val="left"/>
      </w:pPr>
      <w:r>
        <w:t>In</w:t>
      </w:r>
      <w:r>
        <w:rPr>
          <w:spacing w:val="-1"/>
        </w:rPr>
        <w:t xml:space="preserve"> </w:t>
      </w:r>
      <w:r>
        <w:rPr>
          <w:spacing w:val="-2"/>
        </w:rPr>
        <w:t>general</w:t>
      </w:r>
      <w:r>
        <w:tab/>
      </w:r>
      <w:r>
        <w:rPr>
          <w:spacing w:val="-10"/>
        </w:rPr>
        <w:t>:</w:t>
      </w:r>
    </w:p>
    <w:p w14:paraId="7E000E16" w14:textId="77777777" w:rsidR="009A58DB" w:rsidRDefault="00000000">
      <w:pPr>
        <w:pStyle w:val="BodyText"/>
        <w:spacing w:before="120" w:line="324" w:lineRule="auto"/>
        <w:ind w:right="6578"/>
        <w:jc w:val="left"/>
      </w:pPr>
      <w:r>
        <w:t>(DD)</w:t>
      </w:r>
      <w:r>
        <w:rPr>
          <w:spacing w:val="-8"/>
        </w:rPr>
        <w:t xml:space="preserve"> </w:t>
      </w:r>
      <w:r>
        <w:t>‹</w:t>
      </w:r>
      <w:r>
        <w:rPr>
          <w:spacing w:val="-8"/>
        </w:rPr>
        <w:t xml:space="preserve"> </w:t>
      </w:r>
      <w:r>
        <w:t>the</w:t>
      </w:r>
      <w:r>
        <w:rPr>
          <w:spacing w:val="-8"/>
        </w:rPr>
        <w:t xml:space="preserve"> </w:t>
      </w:r>
      <w:r>
        <w:t>phi</w:t>
      </w:r>
      <w:r>
        <w:rPr>
          <w:spacing w:val="-8"/>
        </w:rPr>
        <w:t xml:space="preserve"> </w:t>
      </w:r>
      <w:r>
        <w:t>has</w:t>
      </w:r>
      <w:r>
        <w:rPr>
          <w:spacing w:val="-8"/>
        </w:rPr>
        <w:t xml:space="preserve"> </w:t>
      </w:r>
      <w:r>
        <w:t>psi› says that</w:t>
      </w:r>
    </w:p>
    <w:p w14:paraId="7E000E17" w14:textId="77777777" w:rsidR="009A58DB" w:rsidRDefault="00000000">
      <w:pPr>
        <w:pStyle w:val="BodyText"/>
        <w:spacing w:line="329" w:lineRule="exact"/>
        <w:jc w:val="left"/>
      </w:pPr>
      <w:r>
        <w:t>(DD*)</w:t>
      </w:r>
      <w:r>
        <w:rPr>
          <w:spacing w:val="-3"/>
        </w:rPr>
        <w:t xml:space="preserve"> </w:t>
      </w:r>
      <w:r>
        <w:t>something</w:t>
      </w:r>
      <w:r>
        <w:rPr>
          <w:spacing w:val="-2"/>
        </w:rPr>
        <w:t xml:space="preserve"> </w:t>
      </w:r>
      <w:r>
        <w:t>uniquely</w:t>
      </w:r>
      <w:r>
        <w:rPr>
          <w:spacing w:val="-2"/>
        </w:rPr>
        <w:t xml:space="preserve"> </w:t>
      </w:r>
      <w:r>
        <w:t>has</w:t>
      </w:r>
      <w:r>
        <w:rPr>
          <w:spacing w:val="-3"/>
        </w:rPr>
        <w:t xml:space="preserve"> </w:t>
      </w:r>
      <w:r>
        <w:t>phi,</w:t>
      </w:r>
      <w:r>
        <w:rPr>
          <w:spacing w:val="-2"/>
        </w:rPr>
        <w:t xml:space="preserve"> </w:t>
      </w:r>
      <w:r>
        <w:t>and</w:t>
      </w:r>
      <w:r>
        <w:rPr>
          <w:spacing w:val="-2"/>
        </w:rPr>
        <w:t xml:space="preserve"> </w:t>
      </w:r>
      <w:r>
        <w:t>any</w:t>
      </w:r>
      <w:r>
        <w:rPr>
          <w:spacing w:val="-2"/>
        </w:rPr>
        <w:t xml:space="preserve"> </w:t>
      </w:r>
      <w:r>
        <w:t>such</w:t>
      </w:r>
      <w:r>
        <w:rPr>
          <w:spacing w:val="-3"/>
        </w:rPr>
        <w:t xml:space="preserve"> </w:t>
      </w:r>
      <w:r>
        <w:t>thing</w:t>
      </w:r>
      <w:r>
        <w:rPr>
          <w:spacing w:val="-2"/>
        </w:rPr>
        <w:t xml:space="preserve"> </w:t>
      </w:r>
      <w:r>
        <w:t>is</w:t>
      </w:r>
      <w:r>
        <w:rPr>
          <w:spacing w:val="-2"/>
        </w:rPr>
        <w:t xml:space="preserve"> </w:t>
      </w:r>
      <w:r>
        <w:rPr>
          <w:spacing w:val="-4"/>
        </w:rPr>
        <w:t>psi.</w:t>
      </w:r>
    </w:p>
    <w:p w14:paraId="7E000E18" w14:textId="77777777" w:rsidR="009A58DB" w:rsidRDefault="009A58DB">
      <w:pPr>
        <w:pStyle w:val="BodyText"/>
        <w:spacing w:before="135"/>
        <w:ind w:left="0"/>
        <w:jc w:val="left"/>
      </w:pPr>
    </w:p>
    <w:p w14:paraId="7E000E19" w14:textId="77777777" w:rsidR="009A58DB" w:rsidRDefault="00000000">
      <w:pPr>
        <w:pStyle w:val="BodyText"/>
        <w:spacing w:line="249" w:lineRule="auto"/>
        <w:ind w:right="361"/>
        <w:rPr>
          <w:b/>
          <w:i/>
        </w:rPr>
      </w:pPr>
      <w:r>
        <w:t xml:space="preserve">Even if Bob invented Velcro, (B) and (V) say different things. V would be </w:t>
      </w:r>
      <w:r>
        <w:rPr>
          <w:i/>
        </w:rPr>
        <w:t xml:space="preserve">false </w:t>
      </w:r>
      <w:r>
        <w:t xml:space="preserve">in a situation where Bob was intelligent and where some unintelligent person had invented Velcro. But B would be true in such a situation. B and V thus have different </w:t>
      </w:r>
      <w:r>
        <w:rPr>
          <w:b/>
          <w:i/>
        </w:rPr>
        <w:t>truth-conditions.</w:t>
      </w:r>
      <w:r>
        <w:rPr>
          <w:b/>
          <w:i/>
          <w:spacing w:val="-3"/>
        </w:rPr>
        <w:t xml:space="preserve"> </w:t>
      </w:r>
      <w:r>
        <w:t>In other words, the conditions that must hold if the one is to be true don’t coincide with those that must hold if the other is to be true. They aren’t true under the same conditions. Therefore,</w:t>
      </w:r>
      <w:r>
        <w:rPr>
          <w:spacing w:val="40"/>
        </w:rPr>
        <w:t xml:space="preserve"> </w:t>
      </w:r>
      <w:r>
        <w:t xml:space="preserve">they don’t mean the same thing; they have different </w:t>
      </w:r>
      <w:r>
        <w:rPr>
          <w:b/>
          <w:i/>
        </w:rPr>
        <w:t>semantics.</w:t>
      </w:r>
    </w:p>
    <w:p w14:paraId="7E000E1A" w14:textId="77777777" w:rsidR="009A58DB" w:rsidRDefault="00000000">
      <w:pPr>
        <w:spacing w:before="9" w:line="249" w:lineRule="auto"/>
        <w:ind w:left="360" w:right="362" w:firstLine="360"/>
        <w:jc w:val="both"/>
        <w:rPr>
          <w:sz w:val="30"/>
        </w:rPr>
      </w:pPr>
      <w:r>
        <w:rPr>
          <w:sz w:val="30"/>
        </w:rPr>
        <w:t xml:space="preserve">An expression’s </w:t>
      </w:r>
      <w:r>
        <w:rPr>
          <w:b/>
          <w:i/>
          <w:sz w:val="30"/>
        </w:rPr>
        <w:t xml:space="preserve">semantics </w:t>
      </w:r>
      <w:r>
        <w:rPr>
          <w:sz w:val="30"/>
        </w:rPr>
        <w:t xml:space="preserve">is its meaning. A </w:t>
      </w:r>
      <w:r>
        <w:rPr>
          <w:b/>
          <w:i/>
          <w:sz w:val="30"/>
        </w:rPr>
        <w:t xml:space="preserve">semantic rule </w:t>
      </w:r>
      <w:r>
        <w:rPr>
          <w:sz w:val="30"/>
        </w:rPr>
        <w:t>is one that assigns a meaning to an expression.</w:t>
      </w:r>
    </w:p>
    <w:p w14:paraId="7E000E1B" w14:textId="77777777" w:rsidR="009A58DB" w:rsidRDefault="00000000">
      <w:pPr>
        <w:pStyle w:val="Heading1"/>
        <w:numPr>
          <w:ilvl w:val="1"/>
          <w:numId w:val="178"/>
        </w:numPr>
        <w:tabs>
          <w:tab w:val="left" w:pos="1159"/>
          <w:tab w:val="left" w:pos="2134"/>
          <w:tab w:val="left" w:pos="4367"/>
          <w:tab w:val="left" w:pos="6111"/>
          <w:tab w:val="left" w:pos="7622"/>
          <w:tab w:val="left" w:pos="9039"/>
        </w:tabs>
        <w:spacing w:before="190" w:line="244" w:lineRule="auto"/>
        <w:ind w:left="360" w:right="360" w:firstLine="0"/>
        <w:rPr>
          <w:position w:val="30"/>
        </w:rPr>
      </w:pPr>
      <w:r>
        <w:rPr>
          <w:spacing w:val="-4"/>
        </w:rPr>
        <w:t>The</w:t>
      </w:r>
      <w:r>
        <w:tab/>
      </w:r>
      <w:r>
        <w:rPr>
          <w:spacing w:val="-2"/>
        </w:rPr>
        <w:t>differences</w:t>
      </w:r>
      <w:r>
        <w:tab/>
      </w:r>
      <w:r>
        <w:rPr>
          <w:spacing w:val="-2"/>
        </w:rPr>
        <w:t>between</w:t>
      </w:r>
      <w:r>
        <w:tab/>
      </w:r>
      <w:r>
        <w:rPr>
          <w:spacing w:val="-2"/>
        </w:rPr>
        <w:t>proper</w:t>
      </w:r>
      <w:r>
        <w:tab/>
      </w:r>
      <w:r>
        <w:rPr>
          <w:spacing w:val="-2"/>
        </w:rPr>
        <w:t>names</w:t>
      </w:r>
      <w:r>
        <w:tab/>
      </w:r>
      <w:r>
        <w:rPr>
          <w:spacing w:val="-4"/>
        </w:rPr>
        <w:t xml:space="preserve">and </w:t>
      </w:r>
      <w:r>
        <w:t>definite description</w:t>
      </w:r>
      <w:bookmarkStart w:id="190" w:name="_bookmark190"/>
      <w:bookmarkEnd w:id="190"/>
      <w:r>
        <w:t>s</w:t>
      </w:r>
      <w:r>
        <w:rPr>
          <w:color w:val="0562C1"/>
          <w:position w:val="30"/>
          <w:u w:val="single" w:color="0562C1"/>
        </w:rPr>
        <w:t>[108]</w:t>
      </w:r>
    </w:p>
    <w:p w14:paraId="7E000E1C" w14:textId="77777777" w:rsidR="009A58DB" w:rsidRDefault="00000000">
      <w:pPr>
        <w:pStyle w:val="BodyText"/>
        <w:spacing w:before="132" w:line="249" w:lineRule="auto"/>
        <w:ind w:right="359"/>
      </w:pPr>
      <w:r>
        <w:t>There is some individual x, namely Bob, such that to know how to use “Bob” in a sentence—such that, in other words, to know the semantic rule for “Bob”—one</w:t>
      </w:r>
      <w:r>
        <w:rPr>
          <w:spacing w:val="-1"/>
        </w:rPr>
        <w:t xml:space="preserve"> </w:t>
      </w:r>
      <w:r>
        <w:t>must</w:t>
      </w:r>
      <w:r>
        <w:rPr>
          <w:spacing w:val="-1"/>
        </w:rPr>
        <w:t xml:space="preserve"> </w:t>
      </w:r>
      <w:r>
        <w:t>know</w:t>
      </w:r>
      <w:r>
        <w:rPr>
          <w:spacing w:val="-1"/>
        </w:rPr>
        <w:t xml:space="preserve"> </w:t>
      </w:r>
      <w:r>
        <w:t>that</w:t>
      </w:r>
      <w:r>
        <w:rPr>
          <w:spacing w:val="-1"/>
        </w:rPr>
        <w:t xml:space="preserve"> </w:t>
      </w:r>
      <w:r>
        <w:t>“Bob”</w:t>
      </w:r>
      <w:r>
        <w:rPr>
          <w:spacing w:val="-1"/>
        </w:rPr>
        <w:t xml:space="preserve"> </w:t>
      </w:r>
      <w:r>
        <w:t>refers</w:t>
      </w:r>
      <w:r>
        <w:rPr>
          <w:spacing w:val="-1"/>
        </w:rPr>
        <w:t xml:space="preserve"> </w:t>
      </w:r>
      <w:r>
        <w:t>to</w:t>
      </w:r>
      <w:r>
        <w:rPr>
          <w:spacing w:val="-1"/>
        </w:rPr>
        <w:t xml:space="preserve"> </w:t>
      </w:r>
      <w:r>
        <w:t>x.</w:t>
      </w:r>
      <w:r>
        <w:rPr>
          <w:spacing w:val="-1"/>
        </w:rPr>
        <w:t xml:space="preserve"> </w:t>
      </w:r>
      <w:r>
        <w:t>Thus,</w:t>
      </w:r>
      <w:r>
        <w:rPr>
          <w:spacing w:val="-1"/>
        </w:rPr>
        <w:t xml:space="preserve"> </w:t>
      </w:r>
      <w:r>
        <w:t>there</w:t>
      </w:r>
      <w:r>
        <w:rPr>
          <w:spacing w:val="-1"/>
        </w:rPr>
        <w:t xml:space="preserve"> </w:t>
      </w:r>
      <w:r>
        <w:t>is</w:t>
      </w:r>
      <w:r>
        <w:rPr>
          <w:spacing w:val="-1"/>
        </w:rPr>
        <w:t xml:space="preserve"> </w:t>
      </w:r>
      <w:r>
        <w:t>some</w:t>
      </w:r>
      <w:r>
        <w:rPr>
          <w:spacing w:val="-1"/>
        </w:rPr>
        <w:t xml:space="preserve"> </w:t>
      </w:r>
      <w:r>
        <w:t>individual x such that ‹Bob has psi,› for any property psi, is true iff x has psi.</w:t>
      </w:r>
    </w:p>
    <w:p w14:paraId="7E000E1D" w14:textId="77777777" w:rsidR="009A58DB" w:rsidRDefault="00000000">
      <w:pPr>
        <w:pStyle w:val="BodyText"/>
        <w:spacing w:before="5" w:line="249" w:lineRule="auto"/>
        <w:ind w:right="359" w:firstLine="360"/>
      </w:pPr>
      <w:r>
        <w:t xml:space="preserve">But there is </w:t>
      </w:r>
      <w:r>
        <w:rPr>
          <w:i/>
        </w:rPr>
        <w:t xml:space="preserve">no </w:t>
      </w:r>
      <w:r>
        <w:t xml:space="preserve">individual x such that ‹the inventor of Velcro has psi› is true iff x has psi. It doesn’t matter what property psi is. But to fix our ideas, let psi be the property of being 7-feet tall, and suppose that Bob is the </w:t>
      </w:r>
      <w:r>
        <w:rPr>
          <w:i/>
        </w:rPr>
        <w:t xml:space="preserve">actual </w:t>
      </w:r>
      <w:r>
        <w:t>inventor of Velcro (that he’s the person who, in our world, invented Velcro);</w:t>
      </w:r>
    </w:p>
    <w:p w14:paraId="7E000E1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1F" w14:textId="77777777" w:rsidR="009A58DB" w:rsidRDefault="00000000">
      <w:pPr>
        <w:pStyle w:val="BodyText"/>
        <w:spacing w:before="61" w:line="249" w:lineRule="auto"/>
        <w:ind w:right="365"/>
      </w:pPr>
      <w:r>
        <w:lastRenderedPageBreak/>
        <w:t>and suppose that Bob is 7-feet tall. In that case, ‹the inventor of Velcro has psi› is true.</w:t>
      </w:r>
    </w:p>
    <w:p w14:paraId="7E000E20" w14:textId="77777777" w:rsidR="009A58DB" w:rsidRDefault="00000000">
      <w:pPr>
        <w:pStyle w:val="BodyText"/>
        <w:spacing w:before="6" w:line="249" w:lineRule="auto"/>
        <w:ind w:right="358" w:firstLine="360"/>
      </w:pPr>
      <w:r>
        <w:t>In light of this, let W be a world that is semantically just like ours—a world where people use the same expressions that we use and use them in accordance with the same rules. Suppose that, in W, Bob is the inventor of Velcro, and Bob is under 7-feet tall. In that case, ‹the inventor of Velcro has psi›</w:t>
      </w:r>
      <w:r>
        <w:rPr>
          <w:spacing w:val="-2"/>
        </w:rPr>
        <w:t xml:space="preserve"> </w:t>
      </w:r>
      <w:r>
        <w:t>is</w:t>
      </w:r>
      <w:r>
        <w:rPr>
          <w:spacing w:val="-1"/>
        </w:rPr>
        <w:t xml:space="preserve"> </w:t>
      </w:r>
      <w:r>
        <w:t>false,</w:t>
      </w:r>
      <w:r>
        <w:rPr>
          <w:spacing w:val="-2"/>
        </w:rPr>
        <w:t xml:space="preserve"> </w:t>
      </w:r>
      <w:r>
        <w:t>even</w:t>
      </w:r>
      <w:r>
        <w:rPr>
          <w:spacing w:val="-1"/>
        </w:rPr>
        <w:t xml:space="preserve"> </w:t>
      </w:r>
      <w:r>
        <w:t>though</w:t>
      </w:r>
      <w:r>
        <w:rPr>
          <w:spacing w:val="-2"/>
        </w:rPr>
        <w:t xml:space="preserve"> </w:t>
      </w:r>
      <w:r>
        <w:t>that</w:t>
      </w:r>
      <w:r>
        <w:rPr>
          <w:spacing w:val="-1"/>
        </w:rPr>
        <w:t xml:space="preserve"> </w:t>
      </w:r>
      <w:r>
        <w:t>sentence</w:t>
      </w:r>
      <w:r>
        <w:rPr>
          <w:spacing w:val="-1"/>
        </w:rPr>
        <w:t xml:space="preserve"> </w:t>
      </w:r>
      <w:r>
        <w:t>has</w:t>
      </w:r>
      <w:r>
        <w:rPr>
          <w:spacing w:val="-2"/>
        </w:rPr>
        <w:t xml:space="preserve"> </w:t>
      </w:r>
      <w:r>
        <w:t>the</w:t>
      </w:r>
      <w:r>
        <w:rPr>
          <w:spacing w:val="-1"/>
        </w:rPr>
        <w:t xml:space="preserve"> </w:t>
      </w:r>
      <w:r>
        <w:t>very</w:t>
      </w:r>
      <w:r>
        <w:rPr>
          <w:spacing w:val="-2"/>
        </w:rPr>
        <w:t xml:space="preserve"> </w:t>
      </w:r>
      <w:r>
        <w:t>same</w:t>
      </w:r>
      <w:r>
        <w:rPr>
          <w:spacing w:val="-1"/>
        </w:rPr>
        <w:t xml:space="preserve"> </w:t>
      </w:r>
      <w:r>
        <w:t>semantics</w:t>
      </w:r>
      <w:r>
        <w:rPr>
          <w:spacing w:val="-2"/>
        </w:rPr>
        <w:t xml:space="preserve"> </w:t>
      </w:r>
      <w:r>
        <w:t>that</w:t>
      </w:r>
      <w:r>
        <w:rPr>
          <w:spacing w:val="-1"/>
        </w:rPr>
        <w:t xml:space="preserve"> </w:t>
      </w:r>
      <w:r>
        <w:t>it</w:t>
      </w:r>
      <w:r>
        <w:rPr>
          <w:spacing w:val="-1"/>
        </w:rPr>
        <w:t xml:space="preserve"> </w:t>
      </w:r>
      <w:r>
        <w:t>has in our world. Thus, there is no individual x such that, to know the semantics of “the inventor of Velcro” is to know that it refers to x. Obvious generalizations of this argument show that, for any property phi, there is no individual x such that the semantic rule for ‹the phi› is to the effect that it refers to x.</w:t>
      </w:r>
    </w:p>
    <w:p w14:paraId="7E000E21" w14:textId="77777777" w:rsidR="009A58DB" w:rsidRDefault="00000000">
      <w:pPr>
        <w:pStyle w:val="Heading1"/>
        <w:numPr>
          <w:ilvl w:val="1"/>
          <w:numId w:val="178"/>
        </w:numPr>
        <w:tabs>
          <w:tab w:val="left" w:pos="990"/>
        </w:tabs>
        <w:spacing w:before="200"/>
      </w:pPr>
      <w:r>
        <w:t>Definite</w:t>
      </w:r>
      <w:r>
        <w:rPr>
          <w:spacing w:val="-8"/>
        </w:rPr>
        <w:t xml:space="preserve"> </w:t>
      </w:r>
      <w:r>
        <w:t>descriptions</w:t>
      </w:r>
      <w:r>
        <w:rPr>
          <w:spacing w:val="-7"/>
        </w:rPr>
        <w:t xml:space="preserve"> </w:t>
      </w:r>
      <w:r>
        <w:t>not</w:t>
      </w:r>
      <w:r>
        <w:rPr>
          <w:spacing w:val="-8"/>
        </w:rPr>
        <w:t xml:space="preserve"> </w:t>
      </w:r>
      <w:r>
        <w:t>referring</w:t>
      </w:r>
      <w:r>
        <w:rPr>
          <w:spacing w:val="-6"/>
        </w:rPr>
        <w:t xml:space="preserve"> </w:t>
      </w:r>
      <w:r>
        <w:rPr>
          <w:spacing w:val="-2"/>
        </w:rPr>
        <w:t>terms</w:t>
      </w:r>
    </w:p>
    <w:p w14:paraId="7E000E22" w14:textId="77777777" w:rsidR="009A58DB" w:rsidRDefault="00000000">
      <w:pPr>
        <w:pStyle w:val="BodyText"/>
        <w:spacing w:before="139" w:line="249" w:lineRule="auto"/>
        <w:ind w:right="358"/>
      </w:pPr>
      <w:r>
        <w:t>Definite descriptions aren’t referring terms. No definite description refers to anything. The meaning of “the inventor of Velcro” isn’t given by saying who it refers to, but by saying what whole sentences it mean. What whole sentences containing it mean is given in at least some cases by the rule: “the inventor of Velcro has psi” says that something uniquely invented Velcro,</w:t>
      </w:r>
      <w:r>
        <w:rPr>
          <w:spacing w:val="40"/>
        </w:rPr>
        <w:t xml:space="preserve"> </w:t>
      </w:r>
      <w:r>
        <w:t>and any such person has psi.” (Why “in at least some cases” as opposed to “always’’? Because, when it occurs in some contexts, which we’ll consider shortly, the relevant contextual definition isn’t the one just given.)</w:t>
      </w:r>
    </w:p>
    <w:p w14:paraId="7E000E23" w14:textId="77777777" w:rsidR="009A58DB" w:rsidRDefault="00000000">
      <w:pPr>
        <w:pStyle w:val="BodyText"/>
        <w:spacing w:before="10" w:line="249" w:lineRule="auto"/>
        <w:ind w:right="361" w:firstLine="360"/>
      </w:pPr>
      <w:r>
        <w:t>In general, for any property phi, ‹the phi› is defined, not denotatively, but contextually—that is, by saying what whole sentences containing it mean. And what whole sentences containing it mean is (in general, though not, as we’ll</w:t>
      </w:r>
      <w:r>
        <w:rPr>
          <w:spacing w:val="-1"/>
        </w:rPr>
        <w:t xml:space="preserve"> </w:t>
      </w:r>
      <w:r>
        <w:t>see,</w:t>
      </w:r>
      <w:r>
        <w:rPr>
          <w:spacing w:val="-1"/>
        </w:rPr>
        <w:t xml:space="preserve"> </w:t>
      </w:r>
      <w:r>
        <w:t>in</w:t>
      </w:r>
      <w:r>
        <w:rPr>
          <w:spacing w:val="-1"/>
        </w:rPr>
        <w:t xml:space="preserve"> </w:t>
      </w:r>
      <w:r>
        <w:t>all</w:t>
      </w:r>
      <w:r>
        <w:rPr>
          <w:spacing w:val="-1"/>
        </w:rPr>
        <w:t xml:space="preserve"> </w:t>
      </w:r>
      <w:r>
        <w:t>cases)</w:t>
      </w:r>
      <w:r>
        <w:rPr>
          <w:spacing w:val="-1"/>
        </w:rPr>
        <w:t xml:space="preserve"> </w:t>
      </w:r>
      <w:r>
        <w:t>given</w:t>
      </w:r>
      <w:r>
        <w:rPr>
          <w:spacing w:val="-1"/>
        </w:rPr>
        <w:t xml:space="preserve"> </w:t>
      </w:r>
      <w:r>
        <w:t>by</w:t>
      </w:r>
      <w:r>
        <w:rPr>
          <w:spacing w:val="-1"/>
        </w:rPr>
        <w:t xml:space="preserve"> </w:t>
      </w:r>
      <w:r>
        <w:t>the</w:t>
      </w:r>
      <w:r>
        <w:rPr>
          <w:spacing w:val="-1"/>
        </w:rPr>
        <w:t xml:space="preserve"> </w:t>
      </w:r>
      <w:r>
        <w:t>rule:</w:t>
      </w:r>
      <w:r>
        <w:rPr>
          <w:spacing w:val="-1"/>
        </w:rPr>
        <w:t xml:space="preserve"> </w:t>
      </w:r>
      <w:r>
        <w:t>‹the</w:t>
      </w:r>
      <w:r>
        <w:rPr>
          <w:spacing w:val="-1"/>
        </w:rPr>
        <w:t xml:space="preserve"> </w:t>
      </w:r>
      <w:r>
        <w:t>phi</w:t>
      </w:r>
      <w:r>
        <w:rPr>
          <w:spacing w:val="-1"/>
        </w:rPr>
        <w:t xml:space="preserve"> </w:t>
      </w:r>
      <w:r>
        <w:t>has</w:t>
      </w:r>
      <w:r>
        <w:rPr>
          <w:spacing w:val="-1"/>
        </w:rPr>
        <w:t xml:space="preserve"> </w:t>
      </w:r>
      <w:r>
        <w:t>psi›</w:t>
      </w:r>
      <w:r>
        <w:rPr>
          <w:spacing w:val="-1"/>
        </w:rPr>
        <w:t xml:space="preserve"> </w:t>
      </w:r>
      <w:r>
        <w:t>is</w:t>
      </w:r>
      <w:r>
        <w:rPr>
          <w:spacing w:val="-1"/>
        </w:rPr>
        <w:t xml:space="preserve"> </w:t>
      </w:r>
      <w:r>
        <w:t>true</w:t>
      </w:r>
      <w:r>
        <w:rPr>
          <w:spacing w:val="-1"/>
        </w:rPr>
        <w:t xml:space="preserve"> </w:t>
      </w:r>
      <w:r>
        <w:t>if</w:t>
      </w:r>
      <w:r>
        <w:rPr>
          <w:spacing w:val="-1"/>
        </w:rPr>
        <w:t xml:space="preserve"> </w:t>
      </w:r>
      <w:r>
        <w:t>there</w:t>
      </w:r>
      <w:r>
        <w:rPr>
          <w:spacing w:val="-1"/>
        </w:rPr>
        <w:t xml:space="preserve"> </w:t>
      </w:r>
      <w:r>
        <w:t>exists something uniquely having phi, and any such thing has psi.</w:t>
      </w:r>
    </w:p>
    <w:p w14:paraId="7E000E24" w14:textId="77777777" w:rsidR="009A58DB" w:rsidRDefault="00000000">
      <w:pPr>
        <w:pStyle w:val="Heading1"/>
        <w:numPr>
          <w:ilvl w:val="1"/>
          <w:numId w:val="178"/>
        </w:numPr>
        <w:tabs>
          <w:tab w:val="left" w:pos="1182"/>
          <w:tab w:val="left" w:pos="3462"/>
          <w:tab w:val="left" w:pos="5485"/>
          <w:tab w:val="left" w:pos="6459"/>
          <w:tab w:val="left" w:pos="7316"/>
          <w:tab w:val="left" w:pos="9362"/>
        </w:tabs>
        <w:spacing w:before="209" w:line="244" w:lineRule="auto"/>
        <w:ind w:left="360" w:right="365" w:firstLine="0"/>
      </w:pPr>
      <w:r>
        <w:rPr>
          <w:spacing w:val="-2"/>
        </w:rPr>
        <w:t>Contextual</w:t>
      </w:r>
      <w:r>
        <w:tab/>
      </w:r>
      <w:r>
        <w:rPr>
          <w:spacing w:val="-2"/>
        </w:rPr>
        <w:t>definition</w:t>
      </w:r>
      <w:r>
        <w:tab/>
      </w:r>
      <w:r>
        <w:rPr>
          <w:spacing w:val="-4"/>
        </w:rPr>
        <w:t>and</w:t>
      </w:r>
      <w:r>
        <w:tab/>
      </w:r>
      <w:r>
        <w:rPr>
          <w:spacing w:val="-4"/>
        </w:rPr>
        <w:t>the</w:t>
      </w:r>
      <w:r>
        <w:tab/>
      </w:r>
      <w:r>
        <w:rPr>
          <w:spacing w:val="-2"/>
        </w:rPr>
        <w:t>semantics</w:t>
      </w:r>
      <w:r>
        <w:tab/>
      </w:r>
      <w:r>
        <w:rPr>
          <w:spacing w:val="-6"/>
        </w:rPr>
        <w:t xml:space="preserve">of </w:t>
      </w:r>
      <w:r>
        <w:t>definite descriptions</w:t>
      </w:r>
    </w:p>
    <w:p w14:paraId="7E000E25" w14:textId="77777777" w:rsidR="009A58DB" w:rsidRDefault="00000000">
      <w:pPr>
        <w:pStyle w:val="BodyText"/>
        <w:spacing w:before="132" w:line="249" w:lineRule="auto"/>
        <w:ind w:right="361"/>
      </w:pPr>
      <w:r>
        <w:t>Where definite descriptions are concerned, grammatical and logical form pull apart. “Jane is tall” (JT) has the same grammar as “the captain of the volleyball team is tall” (CT). But the propositions they express are structurally very different. JT is, whereas CT is not, such that, for some person x, it is true just in case x is tall.</w:t>
      </w:r>
    </w:p>
    <w:p w14:paraId="7E000E2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27" w14:textId="77777777" w:rsidR="009A58DB" w:rsidRDefault="00000000">
      <w:pPr>
        <w:pStyle w:val="BodyText"/>
        <w:spacing w:before="65" w:line="249" w:lineRule="auto"/>
        <w:ind w:right="360" w:firstLine="360"/>
      </w:pPr>
      <w:r>
        <w:lastRenderedPageBreak/>
        <w:t>Like the semantic rule for “someone,” the meaning of “the inventor of Velcro” is given by saying what whole sentences containing it mean; and in</w:t>
      </w:r>
      <w:r>
        <w:rPr>
          <w:spacing w:val="40"/>
        </w:rPr>
        <w:t xml:space="preserve"> </w:t>
      </w:r>
      <w:r>
        <w:t>at least some cases ‹the inventor of Velcro has psi› is true if the property of being a Velcro-inventor is uniquely instantiated and, moreover, that property has one instance in common with the property of being a psi.</w:t>
      </w:r>
    </w:p>
    <w:p w14:paraId="7E000E28" w14:textId="77777777" w:rsidR="009A58DB" w:rsidRDefault="009A58DB">
      <w:pPr>
        <w:pStyle w:val="BodyText"/>
        <w:spacing w:before="269"/>
        <w:ind w:left="0"/>
        <w:jc w:val="left"/>
      </w:pPr>
    </w:p>
    <w:p w14:paraId="7E000E29" w14:textId="77777777" w:rsidR="009A58DB" w:rsidRDefault="00000000">
      <w:pPr>
        <w:pStyle w:val="Heading1"/>
        <w:numPr>
          <w:ilvl w:val="1"/>
          <w:numId w:val="178"/>
        </w:numPr>
        <w:tabs>
          <w:tab w:val="left" w:pos="990"/>
        </w:tabs>
        <w:spacing w:before="0"/>
      </w:pPr>
      <w:r>
        <w:t>The</w:t>
      </w:r>
      <w:r>
        <w:rPr>
          <w:spacing w:val="-7"/>
        </w:rPr>
        <w:t xml:space="preserve"> </w:t>
      </w:r>
      <w:r>
        <w:t>Theory</w:t>
      </w:r>
      <w:r>
        <w:rPr>
          <w:spacing w:val="-5"/>
        </w:rPr>
        <w:t xml:space="preserve"> </w:t>
      </w:r>
      <w:r>
        <w:t>of</w:t>
      </w:r>
      <w:r>
        <w:rPr>
          <w:spacing w:val="-4"/>
        </w:rPr>
        <w:t xml:space="preserve"> </w:t>
      </w:r>
      <w:r>
        <w:t>Descriptions</w:t>
      </w:r>
      <w:r>
        <w:rPr>
          <w:spacing w:val="-5"/>
        </w:rPr>
        <w:t xml:space="preserve"> </w:t>
      </w:r>
      <w:r>
        <w:rPr>
          <w:spacing w:val="-2"/>
        </w:rPr>
        <w:t>defined</w:t>
      </w:r>
    </w:p>
    <w:p w14:paraId="7E000E2A" w14:textId="77777777" w:rsidR="009A58DB" w:rsidRDefault="00000000">
      <w:pPr>
        <w:pStyle w:val="BodyText"/>
        <w:spacing w:before="139" w:line="249" w:lineRule="auto"/>
        <w:ind w:right="359"/>
      </w:pPr>
      <w:r>
        <w:t>This theory of Russell’s is known as the “Theory of Descriptions” (TD). The essence of TD is given by two assertions: (i) definite descriptions don’t refer to anything; and (ii) in virtue of containing a definite description, a sentence attributes properties to other properties, not to individuals.</w:t>
      </w:r>
    </w:p>
    <w:p w14:paraId="7E000E2B" w14:textId="77777777" w:rsidR="009A58DB" w:rsidRDefault="00000000">
      <w:pPr>
        <w:pStyle w:val="BodyText"/>
        <w:spacing w:before="5" w:line="249" w:lineRule="auto"/>
        <w:ind w:right="358" w:firstLine="360"/>
      </w:pPr>
      <w:r>
        <w:t>“The inventor of Velcro” doesn’t refer to anyone or anything. “The inventor</w:t>
      </w:r>
      <w:r>
        <w:rPr>
          <w:spacing w:val="-3"/>
        </w:rPr>
        <w:t xml:space="preserve"> </w:t>
      </w:r>
      <w:r>
        <w:t>of</w:t>
      </w:r>
      <w:r>
        <w:rPr>
          <w:spacing w:val="-3"/>
        </w:rPr>
        <w:t xml:space="preserve"> </w:t>
      </w:r>
      <w:r>
        <w:t>Velcro</w:t>
      </w:r>
      <w:r>
        <w:rPr>
          <w:spacing w:val="-3"/>
        </w:rPr>
        <w:t xml:space="preserve"> </w:t>
      </w:r>
      <w:r>
        <w:t>is</w:t>
      </w:r>
      <w:r>
        <w:rPr>
          <w:spacing w:val="-3"/>
        </w:rPr>
        <w:t xml:space="preserve"> </w:t>
      </w:r>
      <w:r>
        <w:t>seven-feet</w:t>
      </w:r>
      <w:r>
        <w:rPr>
          <w:spacing w:val="-3"/>
        </w:rPr>
        <w:t xml:space="preserve"> </w:t>
      </w:r>
      <w:r>
        <w:t>tall”</w:t>
      </w:r>
      <w:r>
        <w:rPr>
          <w:spacing w:val="-3"/>
        </w:rPr>
        <w:t xml:space="preserve"> </w:t>
      </w:r>
      <w:r>
        <w:t>doesn’t</w:t>
      </w:r>
      <w:r>
        <w:rPr>
          <w:spacing w:val="-3"/>
        </w:rPr>
        <w:t xml:space="preserve"> </w:t>
      </w:r>
      <w:r>
        <w:t>attribute</w:t>
      </w:r>
      <w:r>
        <w:rPr>
          <w:spacing w:val="-3"/>
        </w:rPr>
        <w:t xml:space="preserve"> </w:t>
      </w:r>
      <w:r>
        <w:t>the</w:t>
      </w:r>
      <w:r>
        <w:rPr>
          <w:spacing w:val="-3"/>
        </w:rPr>
        <w:t xml:space="preserve"> </w:t>
      </w:r>
      <w:r>
        <w:t>property</w:t>
      </w:r>
      <w:r>
        <w:rPr>
          <w:spacing w:val="-3"/>
        </w:rPr>
        <w:t xml:space="preserve"> </w:t>
      </w:r>
      <w:r>
        <w:t>of</w:t>
      </w:r>
      <w:r>
        <w:rPr>
          <w:spacing w:val="-3"/>
        </w:rPr>
        <w:t xml:space="preserve"> </w:t>
      </w:r>
      <w:r>
        <w:t>being</w:t>
      </w:r>
      <w:r>
        <w:rPr>
          <w:spacing w:val="-3"/>
        </w:rPr>
        <w:t xml:space="preserve"> </w:t>
      </w:r>
      <w:r>
        <w:t xml:space="preserve">7-feet tall to anyone. That sentence says that </w:t>
      </w:r>
      <w:r>
        <w:rPr>
          <w:i/>
        </w:rPr>
        <w:t xml:space="preserve">the property of being a unique inventor of Velcro </w:t>
      </w:r>
      <w:r>
        <w:t xml:space="preserve">is instantiated and, in addition, that </w:t>
      </w:r>
      <w:r>
        <w:rPr>
          <w:i/>
        </w:rPr>
        <w:t xml:space="preserve">the property of being a 7-feet tall Velcro-inventor </w:t>
      </w:r>
      <w:r>
        <w:t>is also instantiated. So “the inventor of Velcro is seven-feet tall” is about properties, not individuals. It attributes the property of being instantiated to each of the two properties just mentioned.</w:t>
      </w:r>
    </w:p>
    <w:p w14:paraId="7E000E2C" w14:textId="77777777" w:rsidR="009A58DB" w:rsidRDefault="00000000">
      <w:pPr>
        <w:pStyle w:val="Heading1"/>
        <w:numPr>
          <w:ilvl w:val="1"/>
          <w:numId w:val="177"/>
        </w:numPr>
        <w:tabs>
          <w:tab w:val="left" w:pos="1030"/>
        </w:tabs>
        <w:spacing w:before="196" w:line="244" w:lineRule="auto"/>
        <w:ind w:right="361" w:firstLine="0"/>
      </w:pPr>
      <w:r>
        <w:t>Some arguments for the theory of descriptions: belief reports</w:t>
      </w:r>
    </w:p>
    <w:p w14:paraId="7E000E2D" w14:textId="77777777" w:rsidR="009A58DB" w:rsidRDefault="00000000">
      <w:pPr>
        <w:pStyle w:val="BodyText"/>
        <w:spacing w:before="132" w:line="249" w:lineRule="auto"/>
        <w:ind w:right="370"/>
      </w:pPr>
      <w:r>
        <w:t>Given only what we’ve said about TD, it might not seem like a very important theory. But it opens up new vistas, not just in semantics, but in metaphysics, epistemology, and the philosophy of mind.</w:t>
      </w:r>
    </w:p>
    <w:p w14:paraId="7E000E2E" w14:textId="77777777" w:rsidR="009A58DB" w:rsidRDefault="00000000">
      <w:pPr>
        <w:pStyle w:val="BodyText"/>
        <w:spacing w:before="4"/>
        <w:ind w:left="720"/>
      </w:pPr>
      <w:r>
        <w:t>Consider</w:t>
      </w:r>
      <w:r>
        <w:rPr>
          <w:spacing w:val="-4"/>
        </w:rPr>
        <w:t xml:space="preserve"> </w:t>
      </w:r>
      <w:r>
        <w:t>the</w:t>
      </w:r>
      <w:r>
        <w:rPr>
          <w:spacing w:val="-3"/>
        </w:rPr>
        <w:t xml:space="preserve"> </w:t>
      </w:r>
      <w:r>
        <w:rPr>
          <w:spacing w:val="-2"/>
        </w:rPr>
        <w:t>sentence:</w:t>
      </w:r>
    </w:p>
    <w:p w14:paraId="7E000E2F" w14:textId="77777777" w:rsidR="009A58DB" w:rsidRDefault="009A58DB">
      <w:pPr>
        <w:pStyle w:val="BodyText"/>
        <w:spacing w:before="30"/>
        <w:ind w:left="0"/>
        <w:jc w:val="left"/>
      </w:pPr>
    </w:p>
    <w:p w14:paraId="7E000E30" w14:textId="77777777" w:rsidR="009A58DB" w:rsidRDefault="00000000">
      <w:pPr>
        <w:pStyle w:val="BodyText"/>
      </w:pPr>
      <w:r>
        <w:t>(PFY)</w:t>
      </w:r>
      <w:r>
        <w:rPr>
          <w:spacing w:val="-4"/>
        </w:rPr>
        <w:t xml:space="preserve"> </w:t>
      </w:r>
      <w:r>
        <w:t>“Ponce</w:t>
      </w:r>
      <w:r>
        <w:rPr>
          <w:spacing w:val="-3"/>
        </w:rPr>
        <w:t xml:space="preserve"> </w:t>
      </w:r>
      <w:r>
        <w:t>de</w:t>
      </w:r>
      <w:r>
        <w:rPr>
          <w:spacing w:val="-3"/>
        </w:rPr>
        <w:t xml:space="preserve"> </w:t>
      </w:r>
      <w:r>
        <w:t>Leon</w:t>
      </w:r>
      <w:r>
        <w:rPr>
          <w:spacing w:val="-2"/>
        </w:rPr>
        <w:t xml:space="preserve"> </w:t>
      </w:r>
      <w:r>
        <w:t>believes</w:t>
      </w:r>
      <w:r>
        <w:rPr>
          <w:spacing w:val="-3"/>
        </w:rPr>
        <w:t xml:space="preserve"> </w:t>
      </w:r>
      <w:r>
        <w:t>that</w:t>
      </w:r>
      <w:r>
        <w:rPr>
          <w:spacing w:val="-4"/>
        </w:rPr>
        <w:t xml:space="preserve"> </w:t>
      </w:r>
      <w:r>
        <w:t>the</w:t>
      </w:r>
      <w:r>
        <w:rPr>
          <w:spacing w:val="-3"/>
        </w:rPr>
        <w:t xml:space="preserve"> </w:t>
      </w:r>
      <w:r>
        <w:t>fountain</w:t>
      </w:r>
      <w:r>
        <w:rPr>
          <w:spacing w:val="-2"/>
        </w:rPr>
        <w:t xml:space="preserve"> </w:t>
      </w:r>
      <w:r>
        <w:t>of</w:t>
      </w:r>
      <w:r>
        <w:rPr>
          <w:spacing w:val="-3"/>
        </w:rPr>
        <w:t xml:space="preserve"> </w:t>
      </w:r>
      <w:r>
        <w:t>youth</w:t>
      </w:r>
      <w:r>
        <w:rPr>
          <w:spacing w:val="-2"/>
        </w:rPr>
        <w:t xml:space="preserve"> exists.”</w:t>
      </w:r>
    </w:p>
    <w:p w14:paraId="7E000E31" w14:textId="77777777" w:rsidR="009A58DB" w:rsidRDefault="009A58DB">
      <w:pPr>
        <w:pStyle w:val="BodyText"/>
        <w:spacing w:before="30"/>
        <w:ind w:left="0"/>
        <w:jc w:val="left"/>
      </w:pPr>
    </w:p>
    <w:p w14:paraId="7E000E32" w14:textId="77777777" w:rsidR="009A58DB" w:rsidRDefault="00000000">
      <w:pPr>
        <w:pStyle w:val="BodyText"/>
        <w:spacing w:line="249" w:lineRule="auto"/>
        <w:ind w:right="358"/>
      </w:pPr>
      <w:r>
        <w:t>PFY is true. (To avoid irrelevant subleties relating to the use of past-tense markers, we’ll assume, falsely but innocuously, that Ponce de Leon is still with</w:t>
      </w:r>
      <w:r>
        <w:rPr>
          <w:spacing w:val="-3"/>
        </w:rPr>
        <w:t xml:space="preserve"> </w:t>
      </w:r>
      <w:r>
        <w:t>us.)</w:t>
      </w:r>
      <w:r>
        <w:rPr>
          <w:spacing w:val="-2"/>
        </w:rPr>
        <w:t xml:space="preserve"> </w:t>
      </w:r>
      <w:r>
        <w:t>It’s</w:t>
      </w:r>
      <w:r>
        <w:rPr>
          <w:spacing w:val="-3"/>
        </w:rPr>
        <w:t xml:space="preserve"> </w:t>
      </w:r>
      <w:r>
        <w:t>a</w:t>
      </w:r>
      <w:r>
        <w:rPr>
          <w:spacing w:val="-2"/>
        </w:rPr>
        <w:t xml:space="preserve"> </w:t>
      </w:r>
      <w:r>
        <w:t>simple</w:t>
      </w:r>
      <w:r>
        <w:rPr>
          <w:spacing w:val="-3"/>
        </w:rPr>
        <w:t xml:space="preserve"> </w:t>
      </w:r>
      <w:r>
        <w:t>historical</w:t>
      </w:r>
      <w:r>
        <w:rPr>
          <w:spacing w:val="-2"/>
        </w:rPr>
        <w:t xml:space="preserve"> </w:t>
      </w:r>
      <w:r>
        <w:t>fact.</w:t>
      </w:r>
      <w:r>
        <w:rPr>
          <w:spacing w:val="-2"/>
        </w:rPr>
        <w:t xml:space="preserve"> </w:t>
      </w:r>
      <w:r>
        <w:t>But</w:t>
      </w:r>
      <w:r>
        <w:rPr>
          <w:spacing w:val="-3"/>
        </w:rPr>
        <w:t xml:space="preserve"> </w:t>
      </w:r>
      <w:r>
        <w:t>does</w:t>
      </w:r>
      <w:r>
        <w:rPr>
          <w:spacing w:val="-2"/>
        </w:rPr>
        <w:t xml:space="preserve"> </w:t>
      </w:r>
      <w:r>
        <w:t>“the</w:t>
      </w:r>
      <w:r>
        <w:rPr>
          <w:spacing w:val="-3"/>
        </w:rPr>
        <w:t xml:space="preserve"> </w:t>
      </w:r>
      <w:r>
        <w:t>fountain</w:t>
      </w:r>
      <w:r>
        <w:rPr>
          <w:spacing w:val="-2"/>
        </w:rPr>
        <w:t xml:space="preserve"> </w:t>
      </w:r>
      <w:r>
        <w:t>of</w:t>
      </w:r>
      <w:r>
        <w:rPr>
          <w:spacing w:val="-3"/>
        </w:rPr>
        <w:t xml:space="preserve"> </w:t>
      </w:r>
      <w:r>
        <w:t>youth”</w:t>
      </w:r>
      <w:r>
        <w:rPr>
          <w:spacing w:val="-2"/>
        </w:rPr>
        <w:t xml:space="preserve"> </w:t>
      </w:r>
      <w:r>
        <w:t>refer</w:t>
      </w:r>
      <w:r>
        <w:rPr>
          <w:spacing w:val="-2"/>
        </w:rPr>
        <w:t xml:space="preserve"> </w:t>
      </w:r>
      <w:r>
        <w:t>to anything? No. There is no fountain of youth. For argument’s sake, suppose that “the fountain of youth” refers to something. It follows trivially that there</w:t>
      </w:r>
    </w:p>
    <w:p w14:paraId="7E000E3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34" w14:textId="77777777" w:rsidR="009A58DB" w:rsidRDefault="00000000">
      <w:pPr>
        <w:pStyle w:val="BodyText"/>
        <w:spacing w:before="60" w:line="249" w:lineRule="auto"/>
        <w:ind w:right="360"/>
      </w:pPr>
      <w:r>
        <w:lastRenderedPageBreak/>
        <w:t>exists some object such that “the fountain of youth” refers to that object. Given what is meant by “fountain,” “youth,” etc., that object must be a fountain</w:t>
      </w:r>
      <w:r>
        <w:rPr>
          <w:spacing w:val="-1"/>
        </w:rPr>
        <w:t xml:space="preserve"> </w:t>
      </w:r>
      <w:r>
        <w:t>of</w:t>
      </w:r>
      <w:r>
        <w:rPr>
          <w:spacing w:val="-1"/>
        </w:rPr>
        <w:t xml:space="preserve"> </w:t>
      </w:r>
      <w:r>
        <w:t>youth—that is,</w:t>
      </w:r>
      <w:r>
        <w:rPr>
          <w:spacing w:val="-1"/>
        </w:rPr>
        <w:t xml:space="preserve"> </w:t>
      </w:r>
      <w:r>
        <w:t>it must</w:t>
      </w:r>
      <w:r>
        <w:rPr>
          <w:spacing w:val="-1"/>
        </w:rPr>
        <w:t xml:space="preserve"> </w:t>
      </w:r>
      <w:r>
        <w:t>be something</w:t>
      </w:r>
      <w:r>
        <w:rPr>
          <w:spacing w:val="-1"/>
        </w:rPr>
        <w:t xml:space="preserve"> </w:t>
      </w:r>
      <w:r>
        <w:t>whose waters,</w:t>
      </w:r>
      <w:r>
        <w:rPr>
          <w:spacing w:val="-1"/>
        </w:rPr>
        <w:t xml:space="preserve"> </w:t>
      </w:r>
      <w:r>
        <w:t>when inbibed, give one eternal youth. But there is no such thing. So “the fountain of youth” isn’t a referring term.</w:t>
      </w:r>
    </w:p>
    <w:p w14:paraId="7E000E35" w14:textId="77777777" w:rsidR="009A58DB" w:rsidRDefault="00000000">
      <w:pPr>
        <w:pStyle w:val="BodyText"/>
        <w:spacing w:before="11" w:line="249" w:lineRule="auto"/>
        <w:ind w:right="359" w:firstLine="360"/>
      </w:pPr>
      <w:r>
        <w:t>But now we have a problem. PFY is true. And it’s therefore meaningful. (Nothing can be true or false without being meaningful.) Before Russell,</w:t>
      </w:r>
      <w:r>
        <w:rPr>
          <w:spacing w:val="40"/>
        </w:rPr>
        <w:t xml:space="preserve"> </w:t>
      </w:r>
      <w:r>
        <w:t xml:space="preserve">most philosophers didn’t want to give up on the idea that “the fountain of youth” </w:t>
      </w:r>
      <w:r>
        <w:rPr>
          <w:i/>
        </w:rPr>
        <w:t xml:space="preserve">does </w:t>
      </w:r>
      <w:r>
        <w:t>refer to something. They saw that it was meaningful, and they assumed, given its grammatical role, that it had to refer to something. This left them with the question: What does “the fountain of youth” refer to? As you might expect, a lot of them said that it exists “as an idea.”</w:t>
      </w:r>
    </w:p>
    <w:p w14:paraId="7E000E36" w14:textId="77777777" w:rsidR="009A58DB" w:rsidRDefault="00000000">
      <w:pPr>
        <w:pStyle w:val="BodyText"/>
        <w:spacing w:before="8" w:line="249" w:lineRule="auto"/>
        <w:ind w:right="358" w:firstLine="360"/>
      </w:pPr>
      <w:r>
        <w:t xml:space="preserve">This doesn’t work. Fountains are not ideas. When people disagree about whether there is a fountain of youth, they aren’t disagreeing about whether some </w:t>
      </w:r>
      <w:r>
        <w:rPr>
          <w:i/>
        </w:rPr>
        <w:t xml:space="preserve">idea </w:t>
      </w:r>
      <w:r>
        <w:t>exists. I believe that Ponce de Leon was wrong. I believe it</w:t>
      </w:r>
      <w:r>
        <w:rPr>
          <w:spacing w:val="40"/>
        </w:rPr>
        <w:t xml:space="preserve"> </w:t>
      </w:r>
      <w:r>
        <w:t xml:space="preserve">because I think that there is no actual fountain having the needed characteristics. For all I know, Ponce de Leon and I might see eye to eye when it comes to what </w:t>
      </w:r>
      <w:r>
        <w:rPr>
          <w:i/>
        </w:rPr>
        <w:t xml:space="preserve">ideas </w:t>
      </w:r>
      <w:r>
        <w:t>exist.</w:t>
      </w:r>
    </w:p>
    <w:p w14:paraId="7E000E37" w14:textId="77777777" w:rsidR="009A58DB" w:rsidRDefault="00000000">
      <w:pPr>
        <w:pStyle w:val="BodyText"/>
        <w:spacing w:before="8" w:line="249" w:lineRule="auto"/>
        <w:ind w:right="360" w:firstLine="360"/>
      </w:pPr>
      <w:r>
        <w:t xml:space="preserve">Maybe when people say that the fountain of youth exists </w:t>
      </w:r>
      <w:r>
        <w:rPr>
          <w:i/>
        </w:rPr>
        <w:t xml:space="preserve">as an idea, </w:t>
      </w:r>
      <w:r>
        <w:t xml:space="preserve">they only mean that we have an idea of such a thing. To have an idea of such a thing is to know what such a thing </w:t>
      </w:r>
      <w:r>
        <w:rPr>
          <w:i/>
        </w:rPr>
        <w:t xml:space="preserve">would </w:t>
      </w:r>
      <w:r>
        <w:t xml:space="preserve">be like, </w:t>
      </w:r>
      <w:r>
        <w:rPr>
          <w:i/>
        </w:rPr>
        <w:t xml:space="preserve">were </w:t>
      </w:r>
      <w:r>
        <w:t xml:space="preserve">it to exist. Thus interpreted, “the fountain of youth exists </w:t>
      </w:r>
      <w:r>
        <w:rPr>
          <w:i/>
        </w:rPr>
        <w:t>as an idea</w:t>
      </w:r>
      <w:r>
        <w:t>” is just another way of saying: “there is no fountain of youth (but people know what something would have to be like in order to be one)” which leaves us no further along than before.</w:t>
      </w:r>
    </w:p>
    <w:p w14:paraId="7E000E38" w14:textId="77777777" w:rsidR="009A58DB" w:rsidRDefault="00000000">
      <w:pPr>
        <w:pStyle w:val="BodyText"/>
        <w:spacing w:before="8" w:line="249" w:lineRule="auto"/>
        <w:ind w:right="358" w:firstLine="360"/>
      </w:pPr>
      <w:r>
        <w:t>Alexius</w:t>
      </w:r>
      <w:r>
        <w:rPr>
          <w:spacing w:val="-1"/>
        </w:rPr>
        <w:t xml:space="preserve"> </w:t>
      </w:r>
      <w:r>
        <w:t>Meinong</w:t>
      </w:r>
      <w:r>
        <w:rPr>
          <w:spacing w:val="-1"/>
        </w:rPr>
        <w:t xml:space="preserve"> </w:t>
      </w:r>
      <w:r>
        <w:t>(1853–1920) proposed</w:t>
      </w:r>
      <w:r>
        <w:rPr>
          <w:spacing w:val="-1"/>
        </w:rPr>
        <w:t xml:space="preserve"> </w:t>
      </w:r>
      <w:r>
        <w:t>a</w:t>
      </w:r>
      <w:r>
        <w:rPr>
          <w:spacing w:val="-1"/>
        </w:rPr>
        <w:t xml:space="preserve"> </w:t>
      </w:r>
      <w:r>
        <w:t>different solution.</w:t>
      </w:r>
      <w:bookmarkStart w:id="191" w:name="_bookmark191"/>
      <w:bookmarkEnd w:id="191"/>
      <w:r>
        <w:rPr>
          <w:color w:val="0562C1"/>
          <w:position w:val="21"/>
          <w:u w:val="single" w:color="0562C1"/>
        </w:rPr>
        <w:t>[109]</w:t>
      </w:r>
      <w:r>
        <w:rPr>
          <w:color w:val="0562C1"/>
          <w:position w:val="21"/>
        </w:rPr>
        <w:t xml:space="preserve"> </w:t>
      </w:r>
      <w:r>
        <w:t>He said that, although it doesn’t exist, the fountain of youth “subsists.” For a thing to subsist is for it to have some status intermediate between existence and non-</w:t>
      </w:r>
      <w:r>
        <w:rPr>
          <w:spacing w:val="-2"/>
        </w:rPr>
        <w:t>existence.</w:t>
      </w:r>
    </w:p>
    <w:p w14:paraId="7E000E39" w14:textId="77777777" w:rsidR="009A58DB" w:rsidRDefault="00000000">
      <w:pPr>
        <w:pStyle w:val="BodyText"/>
        <w:spacing w:before="5" w:line="249" w:lineRule="auto"/>
        <w:ind w:right="368" w:firstLine="360"/>
      </w:pPr>
      <w:r>
        <w:t>This doesn’t work. First of all, something either exists or it doesn’t; there is no intermediate condition. Second, even if there is, it doesn’t help, since subsistence is, by Meinong’s own hypothesis, a way of failing to exist, which leaves us no further along than before.</w:t>
      </w:r>
    </w:p>
    <w:p w14:paraId="7E000E3A" w14:textId="77777777" w:rsidR="009A58DB" w:rsidRDefault="00000000">
      <w:pPr>
        <w:pStyle w:val="BodyText"/>
        <w:spacing w:before="5" w:line="249" w:lineRule="auto"/>
        <w:ind w:right="357" w:firstLine="360"/>
      </w:pPr>
      <w:r>
        <w:t>Russell straightened this whole mess out. Here’s what he said. (What follows</w:t>
      </w:r>
      <w:r>
        <w:rPr>
          <w:spacing w:val="40"/>
        </w:rPr>
        <w:t xml:space="preserve"> </w:t>
      </w:r>
      <w:r>
        <w:t>will</w:t>
      </w:r>
      <w:r>
        <w:rPr>
          <w:spacing w:val="40"/>
        </w:rPr>
        <w:t xml:space="preserve"> </w:t>
      </w:r>
      <w:r>
        <w:t>involve</w:t>
      </w:r>
      <w:r>
        <w:rPr>
          <w:spacing w:val="40"/>
        </w:rPr>
        <w:t xml:space="preserve"> </w:t>
      </w:r>
      <w:r>
        <w:t>a</w:t>
      </w:r>
      <w:r>
        <w:rPr>
          <w:spacing w:val="40"/>
        </w:rPr>
        <w:t xml:space="preserve"> </w:t>
      </w:r>
      <w:r>
        <w:t>repetion</w:t>
      </w:r>
      <w:r>
        <w:rPr>
          <w:spacing w:val="40"/>
        </w:rPr>
        <w:t xml:space="preserve"> </w:t>
      </w:r>
      <w:r>
        <w:t>of</w:t>
      </w:r>
      <w:r>
        <w:rPr>
          <w:spacing w:val="40"/>
        </w:rPr>
        <w:t xml:space="preserve"> </w:t>
      </w:r>
      <w:r>
        <w:t>some</w:t>
      </w:r>
      <w:r>
        <w:rPr>
          <w:spacing w:val="40"/>
        </w:rPr>
        <w:t xml:space="preserve"> </w:t>
      </w:r>
      <w:r>
        <w:t>points</w:t>
      </w:r>
      <w:r>
        <w:rPr>
          <w:spacing w:val="40"/>
        </w:rPr>
        <w:t xml:space="preserve"> </w:t>
      </w:r>
      <w:r>
        <w:t>made</w:t>
      </w:r>
      <w:r>
        <w:rPr>
          <w:spacing w:val="40"/>
        </w:rPr>
        <w:t xml:space="preserve"> </w:t>
      </w:r>
      <w:r>
        <w:t>in</w:t>
      </w:r>
      <w:r>
        <w:rPr>
          <w:spacing w:val="40"/>
        </w:rPr>
        <w:t xml:space="preserve"> </w:t>
      </w:r>
      <w:r>
        <w:t>Section</w:t>
      </w:r>
      <w:r>
        <w:rPr>
          <w:spacing w:val="40"/>
        </w:rPr>
        <w:t xml:space="preserve"> </w:t>
      </w:r>
      <w:r>
        <w:t>1.0.)</w:t>
      </w:r>
      <w:r>
        <w:rPr>
          <w:spacing w:val="40"/>
        </w:rPr>
        <w:t xml:space="preserve"> </w:t>
      </w:r>
      <w:r>
        <w:t>“The</w:t>
      </w:r>
    </w:p>
    <w:p w14:paraId="7E000E3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3C" w14:textId="77777777" w:rsidR="009A58DB" w:rsidRDefault="00000000">
      <w:pPr>
        <w:pStyle w:val="BodyText"/>
        <w:spacing w:before="65" w:line="249" w:lineRule="auto"/>
        <w:ind w:right="360"/>
      </w:pPr>
      <w:r>
        <w:lastRenderedPageBreak/>
        <w:t>fountain of youth” is a definite description. Definite descriptions don’t refer to anything and neither, therefore, does “fountain of youth.” Definite descriptions are to be defined contextually, and sentences containing them must be reparsed if their meaning is to be made clear.</w:t>
      </w:r>
    </w:p>
    <w:p w14:paraId="7E000E3D" w14:textId="77777777" w:rsidR="009A58DB" w:rsidRDefault="00000000">
      <w:pPr>
        <w:pStyle w:val="BodyText"/>
        <w:spacing w:before="5" w:line="501" w:lineRule="auto"/>
        <w:ind w:right="3829" w:firstLine="360"/>
        <w:jc w:val="left"/>
      </w:pPr>
      <w:r>
        <w:t>If</w:t>
      </w:r>
      <w:r>
        <w:rPr>
          <w:spacing w:val="-6"/>
        </w:rPr>
        <w:t xml:space="preserve"> </w:t>
      </w:r>
      <w:r>
        <w:t>it’s</w:t>
      </w:r>
      <w:r>
        <w:rPr>
          <w:spacing w:val="-6"/>
        </w:rPr>
        <w:t xml:space="preserve"> </w:t>
      </w:r>
      <w:r>
        <w:t>grammatical</w:t>
      </w:r>
      <w:r>
        <w:rPr>
          <w:spacing w:val="-6"/>
        </w:rPr>
        <w:t xml:space="preserve"> </w:t>
      </w:r>
      <w:r>
        <w:t>form</w:t>
      </w:r>
      <w:r>
        <w:rPr>
          <w:spacing w:val="-6"/>
        </w:rPr>
        <w:t xml:space="preserve"> </w:t>
      </w:r>
      <w:r>
        <w:t>were</w:t>
      </w:r>
      <w:r>
        <w:rPr>
          <w:spacing w:val="-6"/>
        </w:rPr>
        <w:t xml:space="preserve"> </w:t>
      </w:r>
      <w:r>
        <w:t>to</w:t>
      </w:r>
      <w:r>
        <w:rPr>
          <w:spacing w:val="-5"/>
        </w:rPr>
        <w:t xml:space="preserve"> </w:t>
      </w:r>
      <w:r>
        <w:t>be</w:t>
      </w:r>
      <w:r>
        <w:rPr>
          <w:spacing w:val="-6"/>
        </w:rPr>
        <w:t xml:space="preserve"> </w:t>
      </w:r>
      <w:r>
        <w:t>trusted, (E</w:t>
      </w:r>
      <w:r>
        <w:rPr>
          <w:vertAlign w:val="subscript"/>
        </w:rPr>
        <w:t>1</w:t>
      </w:r>
      <w:r>
        <w:t>) “the fountain of youth exists”</w:t>
      </w:r>
    </w:p>
    <w:p w14:paraId="7E000E3E" w14:textId="77777777" w:rsidR="009A58DB" w:rsidRDefault="00000000">
      <w:pPr>
        <w:pStyle w:val="BodyText"/>
        <w:spacing w:before="58" w:line="249" w:lineRule="auto"/>
        <w:ind w:right="359"/>
      </w:pPr>
      <w:r>
        <w:t>would attribute existence to some fountain. But, since it must be reparsed if its meaning is to be made clear, its grammatical form is not to be trusted. Appropriately reparsed, that sentence becomes:</w:t>
      </w:r>
    </w:p>
    <w:p w14:paraId="7E000E3F" w14:textId="77777777" w:rsidR="009A58DB" w:rsidRDefault="009A58DB">
      <w:pPr>
        <w:pStyle w:val="BodyText"/>
        <w:spacing w:before="18"/>
        <w:ind w:left="0"/>
        <w:jc w:val="left"/>
      </w:pPr>
    </w:p>
    <w:p w14:paraId="7E000E40" w14:textId="77777777" w:rsidR="009A58DB" w:rsidRDefault="00000000">
      <w:pPr>
        <w:pStyle w:val="BodyText"/>
        <w:spacing w:line="542" w:lineRule="auto"/>
        <w:ind w:right="794"/>
        <w:jc w:val="left"/>
      </w:pPr>
      <w:r>
        <w:t>(E</w:t>
      </w:r>
      <w:r>
        <w:rPr>
          <w:vertAlign w:val="subscript"/>
        </w:rPr>
        <w:t>2</w:t>
      </w:r>
      <w:r>
        <w:t>)</w:t>
      </w:r>
      <w:r>
        <w:rPr>
          <w:spacing w:val="-3"/>
        </w:rPr>
        <w:t xml:space="preserve"> </w:t>
      </w:r>
      <w:r>
        <w:t>“the</w:t>
      </w:r>
      <w:r>
        <w:rPr>
          <w:spacing w:val="-3"/>
        </w:rPr>
        <w:t xml:space="preserve"> </w:t>
      </w:r>
      <w:r>
        <w:t>property</w:t>
      </w:r>
      <w:r>
        <w:rPr>
          <w:spacing w:val="-2"/>
        </w:rPr>
        <w:t xml:space="preserve"> </w:t>
      </w:r>
      <w:r>
        <w:t>of</w:t>
      </w:r>
      <w:r>
        <w:rPr>
          <w:spacing w:val="-3"/>
        </w:rPr>
        <w:t xml:space="preserve"> </w:t>
      </w:r>
      <w:r>
        <w:t>being</w:t>
      </w:r>
      <w:r>
        <w:rPr>
          <w:spacing w:val="-2"/>
        </w:rPr>
        <w:t xml:space="preserve"> </w:t>
      </w:r>
      <w:r>
        <w:t>a</w:t>
      </w:r>
      <w:r>
        <w:rPr>
          <w:spacing w:val="-3"/>
        </w:rPr>
        <w:t xml:space="preserve"> </w:t>
      </w:r>
      <w:r>
        <w:t>fountain</w:t>
      </w:r>
      <w:r>
        <w:rPr>
          <w:spacing w:val="-2"/>
        </w:rPr>
        <w:t xml:space="preserve"> </w:t>
      </w:r>
      <w:r>
        <w:t>of</w:t>
      </w:r>
      <w:r>
        <w:rPr>
          <w:spacing w:val="-3"/>
        </w:rPr>
        <w:t xml:space="preserve"> </w:t>
      </w:r>
      <w:r>
        <w:t>youth</w:t>
      </w:r>
      <w:r>
        <w:rPr>
          <w:spacing w:val="-2"/>
        </w:rPr>
        <w:t xml:space="preserve"> </w:t>
      </w:r>
      <w:r>
        <w:t>is</w:t>
      </w:r>
      <w:r>
        <w:rPr>
          <w:spacing w:val="-3"/>
        </w:rPr>
        <w:t xml:space="preserve"> </w:t>
      </w:r>
      <w:r>
        <w:t>uniquely</w:t>
      </w:r>
      <w:r>
        <w:rPr>
          <w:spacing w:val="-2"/>
        </w:rPr>
        <w:t xml:space="preserve"> </w:t>
      </w:r>
      <w:r>
        <w:t>instantiated.” The meaning of PFY is therefore:</w:t>
      </w:r>
    </w:p>
    <w:p w14:paraId="7E000E41" w14:textId="77777777" w:rsidR="009A58DB" w:rsidRDefault="00000000">
      <w:pPr>
        <w:pStyle w:val="BodyText"/>
        <w:spacing w:line="286" w:lineRule="exact"/>
      </w:pPr>
      <w:r>
        <w:t>(E</w:t>
      </w:r>
      <w:r>
        <w:rPr>
          <w:vertAlign w:val="subscript"/>
        </w:rPr>
        <w:t>3</w:t>
      </w:r>
      <w:r>
        <w:t>)</w:t>
      </w:r>
      <w:r>
        <w:rPr>
          <w:spacing w:val="1"/>
        </w:rPr>
        <w:t xml:space="preserve"> </w:t>
      </w:r>
      <w:r>
        <w:t>“Ponce</w:t>
      </w:r>
      <w:r>
        <w:rPr>
          <w:spacing w:val="3"/>
        </w:rPr>
        <w:t xml:space="preserve"> </w:t>
      </w:r>
      <w:r>
        <w:t>de</w:t>
      </w:r>
      <w:r>
        <w:rPr>
          <w:spacing w:val="2"/>
        </w:rPr>
        <w:t xml:space="preserve"> </w:t>
      </w:r>
      <w:r>
        <w:t>Leon</w:t>
      </w:r>
      <w:r>
        <w:rPr>
          <w:spacing w:val="3"/>
        </w:rPr>
        <w:t xml:space="preserve"> </w:t>
      </w:r>
      <w:r>
        <w:t>believes</w:t>
      </w:r>
      <w:r>
        <w:rPr>
          <w:spacing w:val="2"/>
        </w:rPr>
        <w:t xml:space="preserve"> </w:t>
      </w:r>
      <w:r>
        <w:t>that</w:t>
      </w:r>
      <w:r>
        <w:rPr>
          <w:spacing w:val="3"/>
        </w:rPr>
        <w:t xml:space="preserve"> </w:t>
      </w:r>
      <w:r>
        <w:t>the</w:t>
      </w:r>
      <w:r>
        <w:rPr>
          <w:spacing w:val="2"/>
        </w:rPr>
        <w:t xml:space="preserve"> </w:t>
      </w:r>
      <w:r>
        <w:t>property</w:t>
      </w:r>
      <w:r>
        <w:rPr>
          <w:spacing w:val="3"/>
        </w:rPr>
        <w:t xml:space="preserve"> </w:t>
      </w:r>
      <w:r>
        <w:t>of</w:t>
      </w:r>
      <w:r>
        <w:rPr>
          <w:spacing w:val="3"/>
        </w:rPr>
        <w:t xml:space="preserve"> </w:t>
      </w:r>
      <w:r>
        <w:t>being</w:t>
      </w:r>
      <w:r>
        <w:rPr>
          <w:spacing w:val="2"/>
        </w:rPr>
        <w:t xml:space="preserve"> </w:t>
      </w:r>
      <w:r>
        <w:t>a</w:t>
      </w:r>
      <w:r>
        <w:rPr>
          <w:spacing w:val="3"/>
        </w:rPr>
        <w:t xml:space="preserve"> </w:t>
      </w:r>
      <w:r>
        <w:t>fountain</w:t>
      </w:r>
      <w:r>
        <w:rPr>
          <w:spacing w:val="2"/>
        </w:rPr>
        <w:t xml:space="preserve"> </w:t>
      </w:r>
      <w:r>
        <w:t>of</w:t>
      </w:r>
      <w:r>
        <w:rPr>
          <w:spacing w:val="3"/>
        </w:rPr>
        <w:t xml:space="preserve"> </w:t>
      </w:r>
      <w:r>
        <w:t>youth</w:t>
      </w:r>
      <w:r>
        <w:rPr>
          <w:spacing w:val="2"/>
        </w:rPr>
        <w:t xml:space="preserve"> </w:t>
      </w:r>
      <w:r>
        <w:rPr>
          <w:spacing w:val="-5"/>
        </w:rPr>
        <w:t>is</w:t>
      </w:r>
    </w:p>
    <w:p w14:paraId="7E000E42" w14:textId="77777777" w:rsidR="009A58DB" w:rsidRDefault="00000000">
      <w:pPr>
        <w:pStyle w:val="BodyText"/>
        <w:spacing w:before="75"/>
        <w:jc w:val="left"/>
      </w:pPr>
      <w:r>
        <w:t>uniquely</w:t>
      </w:r>
      <w:r>
        <w:rPr>
          <w:spacing w:val="-3"/>
        </w:rPr>
        <w:t xml:space="preserve"> </w:t>
      </w:r>
      <w:r>
        <w:rPr>
          <w:spacing w:val="-2"/>
        </w:rPr>
        <w:t>instantiated.”</w:t>
      </w:r>
    </w:p>
    <w:p w14:paraId="7E000E43" w14:textId="77777777" w:rsidR="009A58DB" w:rsidRDefault="00000000">
      <w:pPr>
        <w:pStyle w:val="Heading1"/>
        <w:numPr>
          <w:ilvl w:val="1"/>
          <w:numId w:val="177"/>
        </w:numPr>
        <w:tabs>
          <w:tab w:val="left" w:pos="1030"/>
        </w:tabs>
        <w:spacing w:line="244" w:lineRule="auto"/>
        <w:ind w:right="361" w:firstLine="0"/>
      </w:pPr>
      <w:r>
        <w:t>Some arguments for the theory of descriptions: negative existentials</w:t>
      </w:r>
    </w:p>
    <w:p w14:paraId="7E000E44" w14:textId="77777777" w:rsidR="009A58DB" w:rsidRDefault="00000000">
      <w:pPr>
        <w:pStyle w:val="BodyText"/>
        <w:spacing w:before="132"/>
        <w:jc w:val="left"/>
      </w:pPr>
      <w:r>
        <w:t>Consider</w:t>
      </w:r>
      <w:r>
        <w:rPr>
          <w:spacing w:val="-4"/>
        </w:rPr>
        <w:t xml:space="preserve"> </w:t>
      </w:r>
      <w:r>
        <w:t>the</w:t>
      </w:r>
      <w:r>
        <w:rPr>
          <w:spacing w:val="-3"/>
        </w:rPr>
        <w:t xml:space="preserve"> </w:t>
      </w:r>
      <w:r>
        <w:rPr>
          <w:spacing w:val="-2"/>
        </w:rPr>
        <w:t>statement:</w:t>
      </w:r>
    </w:p>
    <w:p w14:paraId="7E000E45" w14:textId="77777777" w:rsidR="009A58DB" w:rsidRDefault="009A58DB">
      <w:pPr>
        <w:pStyle w:val="BodyText"/>
        <w:spacing w:before="30"/>
        <w:ind w:left="0"/>
        <w:jc w:val="left"/>
      </w:pPr>
    </w:p>
    <w:p w14:paraId="7E000E46" w14:textId="77777777" w:rsidR="009A58DB" w:rsidRDefault="00000000">
      <w:pPr>
        <w:pStyle w:val="BodyText"/>
        <w:jc w:val="left"/>
      </w:pPr>
      <w:r>
        <w:t>(N</w:t>
      </w:r>
      <w:r>
        <w:rPr>
          <w:vertAlign w:val="subscript"/>
        </w:rPr>
        <w:t>1</w:t>
      </w:r>
      <w:r>
        <w:t>)</w:t>
      </w:r>
      <w:r>
        <w:rPr>
          <w:spacing w:val="-2"/>
        </w:rPr>
        <w:t xml:space="preserve"> </w:t>
      </w:r>
      <w:r>
        <w:t>“the</w:t>
      </w:r>
      <w:r>
        <w:rPr>
          <w:spacing w:val="-1"/>
        </w:rPr>
        <w:t xml:space="preserve"> </w:t>
      </w:r>
      <w:r>
        <w:t>monster</w:t>
      </w:r>
      <w:r>
        <w:rPr>
          <w:spacing w:val="-2"/>
        </w:rPr>
        <w:t xml:space="preserve"> </w:t>
      </w:r>
      <w:r>
        <w:t>under</w:t>
      </w:r>
      <w:r>
        <w:rPr>
          <w:spacing w:val="-1"/>
        </w:rPr>
        <w:t xml:space="preserve"> </w:t>
      </w:r>
      <w:r>
        <w:t>little</w:t>
      </w:r>
      <w:r>
        <w:rPr>
          <w:spacing w:val="-1"/>
        </w:rPr>
        <w:t xml:space="preserve"> </w:t>
      </w:r>
      <w:r>
        <w:t>Timmy’s</w:t>
      </w:r>
      <w:r>
        <w:rPr>
          <w:spacing w:val="-2"/>
        </w:rPr>
        <w:t xml:space="preserve"> </w:t>
      </w:r>
      <w:r>
        <w:t>bed doesn’t</w:t>
      </w:r>
      <w:r>
        <w:rPr>
          <w:spacing w:val="-2"/>
        </w:rPr>
        <w:t xml:space="preserve"> exist.”</w:t>
      </w:r>
    </w:p>
    <w:p w14:paraId="7E000E47" w14:textId="77777777" w:rsidR="009A58DB" w:rsidRDefault="009A58DB">
      <w:pPr>
        <w:pStyle w:val="BodyText"/>
        <w:spacing w:before="90"/>
        <w:ind w:left="0"/>
        <w:jc w:val="left"/>
      </w:pPr>
    </w:p>
    <w:p w14:paraId="7E000E48" w14:textId="77777777" w:rsidR="009A58DB" w:rsidRDefault="00000000">
      <w:pPr>
        <w:pStyle w:val="BodyText"/>
        <w:spacing w:line="271" w:lineRule="auto"/>
        <w:ind w:right="368"/>
      </w:pPr>
      <w:r>
        <w:t>N</w:t>
      </w:r>
      <w:r>
        <w:rPr>
          <w:vertAlign w:val="subscript"/>
        </w:rPr>
        <w:t>1</w:t>
      </w:r>
      <w:r>
        <w:t xml:space="preserve"> is true. But if “the monster under little Timmy’s bed” referred to something, it wouldn’t be true, since there would then exist some monster under little Timmy’s bed to which that definite description referred, in which</w:t>
      </w:r>
    </w:p>
    <w:p w14:paraId="7E000E49" w14:textId="77777777" w:rsidR="009A58DB" w:rsidRDefault="00000000">
      <w:pPr>
        <w:pStyle w:val="BodyText"/>
        <w:spacing w:line="316" w:lineRule="exact"/>
      </w:pPr>
      <w:r>
        <w:t>case,</w:t>
      </w:r>
      <w:r>
        <w:rPr>
          <w:spacing w:val="-5"/>
        </w:rPr>
        <w:t xml:space="preserve"> </w:t>
      </w:r>
      <w:r>
        <w:t>of</w:t>
      </w:r>
      <w:r>
        <w:rPr>
          <w:spacing w:val="-4"/>
        </w:rPr>
        <w:t xml:space="preserve"> </w:t>
      </w:r>
      <w:r>
        <w:t>course,</w:t>
      </w:r>
      <w:r>
        <w:rPr>
          <w:spacing w:val="-2"/>
        </w:rPr>
        <w:t xml:space="preserve"> </w:t>
      </w:r>
      <w:r>
        <w:t>there</w:t>
      </w:r>
      <w:r>
        <w:rPr>
          <w:spacing w:val="-4"/>
        </w:rPr>
        <w:t xml:space="preserve"> </w:t>
      </w:r>
      <w:r>
        <w:t>would</w:t>
      </w:r>
      <w:r>
        <w:rPr>
          <w:spacing w:val="-3"/>
        </w:rPr>
        <w:t xml:space="preserve"> </w:t>
      </w:r>
      <w:r>
        <w:t>exist</w:t>
      </w:r>
      <w:r>
        <w:rPr>
          <w:spacing w:val="-3"/>
        </w:rPr>
        <w:t xml:space="preserve"> </w:t>
      </w:r>
      <w:r>
        <w:t>a</w:t>
      </w:r>
      <w:r>
        <w:rPr>
          <w:spacing w:val="-4"/>
        </w:rPr>
        <w:t xml:space="preserve"> </w:t>
      </w:r>
      <w:r>
        <w:t>monster</w:t>
      </w:r>
      <w:r>
        <w:rPr>
          <w:spacing w:val="-3"/>
        </w:rPr>
        <w:t xml:space="preserve"> </w:t>
      </w:r>
      <w:r>
        <w:t>under</w:t>
      </w:r>
      <w:r>
        <w:rPr>
          <w:spacing w:val="-4"/>
        </w:rPr>
        <w:t xml:space="preserve"> </w:t>
      </w:r>
      <w:r>
        <w:t>Timmy’s</w:t>
      </w:r>
      <w:r>
        <w:rPr>
          <w:spacing w:val="-3"/>
        </w:rPr>
        <w:t xml:space="preserve"> </w:t>
      </w:r>
      <w:r>
        <w:rPr>
          <w:spacing w:val="-4"/>
        </w:rPr>
        <w:t>bed.</w:t>
      </w:r>
    </w:p>
    <w:p w14:paraId="7E000E4A" w14:textId="77777777" w:rsidR="009A58DB" w:rsidRDefault="00000000">
      <w:pPr>
        <w:pStyle w:val="BodyText"/>
        <w:spacing w:before="15" w:line="292" w:lineRule="auto"/>
        <w:ind w:right="372" w:firstLine="360"/>
      </w:pPr>
      <w:r>
        <w:t>What’s going on? For now familiar reasons, N</w:t>
      </w:r>
      <w:r>
        <w:rPr>
          <w:vertAlign w:val="subscript"/>
        </w:rPr>
        <w:t>1</w:t>
      </w:r>
      <w:r>
        <w:t xml:space="preserve"> must be reparsed if its meaning is to be exposed. The needed reparsing yields:</w:t>
      </w:r>
    </w:p>
    <w:p w14:paraId="7E000E4B" w14:textId="77777777" w:rsidR="009A58DB" w:rsidRDefault="00000000">
      <w:pPr>
        <w:pStyle w:val="BodyText"/>
        <w:spacing w:before="299" w:line="292" w:lineRule="auto"/>
        <w:ind w:right="365"/>
      </w:pPr>
      <w:r>
        <w:t>(N</w:t>
      </w:r>
      <w:r>
        <w:rPr>
          <w:vertAlign w:val="subscript"/>
        </w:rPr>
        <w:t>2</w:t>
      </w:r>
      <w:r>
        <w:t xml:space="preserve">) “the property of being a monster under little Timmy’s bed isn’t </w:t>
      </w:r>
      <w:r>
        <w:rPr>
          <w:spacing w:val="-2"/>
        </w:rPr>
        <w:t>instantiated.”</w:t>
      </w:r>
    </w:p>
    <w:p w14:paraId="7E000E4C"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0E4D" w14:textId="77777777" w:rsidR="009A58DB" w:rsidRDefault="00000000">
      <w:pPr>
        <w:pStyle w:val="BodyText"/>
        <w:spacing w:before="65" w:line="271" w:lineRule="auto"/>
        <w:ind w:right="358"/>
      </w:pPr>
      <w:r>
        <w:lastRenderedPageBreak/>
        <w:t xml:space="preserve">That property exists. (All this means is that there is a way something </w:t>
      </w:r>
      <w:r>
        <w:rPr>
          <w:i/>
        </w:rPr>
        <w:t xml:space="preserve">would </w:t>
      </w:r>
      <w:r>
        <w:t>have to be in order to be such a monster.) But nothing has that property. N</w:t>
      </w:r>
      <w:r>
        <w:rPr>
          <w:vertAlign w:val="subscript"/>
        </w:rPr>
        <w:t>2</w:t>
      </w:r>
      <w:r>
        <w:t xml:space="preserve"> doesn’t refer to anything that doesn’t exist. Problem solved.</w:t>
      </w:r>
    </w:p>
    <w:p w14:paraId="7E000E4E" w14:textId="77777777" w:rsidR="009A58DB" w:rsidRDefault="00000000">
      <w:pPr>
        <w:pStyle w:val="BodyText"/>
        <w:spacing w:line="316" w:lineRule="exact"/>
        <w:ind w:left="720"/>
      </w:pPr>
      <w:r>
        <w:t>This</w:t>
      </w:r>
      <w:r>
        <w:rPr>
          <w:spacing w:val="28"/>
        </w:rPr>
        <w:t xml:space="preserve"> </w:t>
      </w:r>
      <w:r>
        <w:t>makes</w:t>
      </w:r>
      <w:r>
        <w:rPr>
          <w:spacing w:val="30"/>
        </w:rPr>
        <w:t xml:space="preserve"> </w:t>
      </w:r>
      <w:r>
        <w:t>it</w:t>
      </w:r>
      <w:r>
        <w:rPr>
          <w:spacing w:val="31"/>
        </w:rPr>
        <w:t xml:space="preserve"> </w:t>
      </w:r>
      <w:r>
        <w:t>clear</w:t>
      </w:r>
      <w:r>
        <w:rPr>
          <w:spacing w:val="30"/>
        </w:rPr>
        <w:t xml:space="preserve"> </w:t>
      </w:r>
      <w:r>
        <w:t>how</w:t>
      </w:r>
      <w:r>
        <w:rPr>
          <w:spacing w:val="30"/>
        </w:rPr>
        <w:t xml:space="preserve"> </w:t>
      </w:r>
      <w:r>
        <w:t>to</w:t>
      </w:r>
      <w:r>
        <w:rPr>
          <w:spacing w:val="31"/>
        </w:rPr>
        <w:t xml:space="preserve"> </w:t>
      </w:r>
      <w:r>
        <w:t>deal</w:t>
      </w:r>
      <w:r>
        <w:rPr>
          <w:spacing w:val="30"/>
        </w:rPr>
        <w:t xml:space="preserve"> </w:t>
      </w:r>
      <w:r>
        <w:t>with</w:t>
      </w:r>
      <w:r>
        <w:rPr>
          <w:spacing w:val="30"/>
        </w:rPr>
        <w:t xml:space="preserve"> </w:t>
      </w:r>
      <w:r>
        <w:t>statements</w:t>
      </w:r>
      <w:r>
        <w:rPr>
          <w:spacing w:val="31"/>
        </w:rPr>
        <w:t xml:space="preserve"> </w:t>
      </w:r>
      <w:r>
        <w:t>like</w:t>
      </w:r>
      <w:r>
        <w:rPr>
          <w:spacing w:val="30"/>
        </w:rPr>
        <w:t xml:space="preserve"> </w:t>
      </w:r>
      <w:r>
        <w:t>“the</w:t>
      </w:r>
      <w:r>
        <w:rPr>
          <w:spacing w:val="30"/>
        </w:rPr>
        <w:t xml:space="preserve"> </w:t>
      </w:r>
      <w:r>
        <w:t>monster</w:t>
      </w:r>
      <w:r>
        <w:rPr>
          <w:spacing w:val="31"/>
        </w:rPr>
        <w:t xml:space="preserve"> </w:t>
      </w:r>
      <w:r>
        <w:rPr>
          <w:spacing w:val="-2"/>
        </w:rPr>
        <w:t>under</w:t>
      </w:r>
    </w:p>
    <w:p w14:paraId="7E000E4F" w14:textId="77777777" w:rsidR="009A58DB" w:rsidRDefault="00000000">
      <w:pPr>
        <w:pStyle w:val="BodyText"/>
        <w:spacing w:before="15" w:line="249" w:lineRule="auto"/>
        <w:ind w:right="365"/>
      </w:pPr>
      <w:r>
        <w:t xml:space="preserve">Timmy’s bed doesn’t exist.” The going line before Russell was to say that it says of some </w:t>
      </w:r>
      <w:r>
        <w:rPr>
          <w:i/>
        </w:rPr>
        <w:t>object</w:t>
      </w:r>
      <w:r>
        <w:rPr>
          <w:i/>
          <w:spacing w:val="-3"/>
        </w:rPr>
        <w:t xml:space="preserve"> </w:t>
      </w:r>
      <w:r>
        <w:t>that it doesn’t exist. But that makes no sense at all, since it’s the same as saying “there exists an object (viz. a certain monster) that doesn’t exist.” What it really says, Russell showed, is that a certain existent property (viz. that of being a certain sort of monster, etc.) has a very existent property (viz. that of being un-instantiated).</w:t>
      </w:r>
    </w:p>
    <w:p w14:paraId="7E000E50" w14:textId="77777777" w:rsidR="009A58DB" w:rsidRDefault="00000000">
      <w:pPr>
        <w:pStyle w:val="Heading1"/>
        <w:numPr>
          <w:ilvl w:val="1"/>
          <w:numId w:val="177"/>
        </w:numPr>
        <w:tabs>
          <w:tab w:val="left" w:pos="1050"/>
        </w:tabs>
        <w:spacing w:before="195" w:line="244" w:lineRule="auto"/>
        <w:ind w:right="366" w:firstLine="0"/>
      </w:pPr>
      <w:r>
        <w:t>Some</w:t>
      </w:r>
      <w:r>
        <w:rPr>
          <w:spacing w:val="40"/>
        </w:rPr>
        <w:t xml:space="preserve"> </w:t>
      </w:r>
      <w:r>
        <w:t>arguments</w:t>
      </w:r>
      <w:r>
        <w:rPr>
          <w:spacing w:val="40"/>
        </w:rPr>
        <w:t xml:space="preserve"> </w:t>
      </w:r>
      <w:r>
        <w:t>for</w:t>
      </w:r>
      <w:r>
        <w:rPr>
          <w:spacing w:val="40"/>
        </w:rPr>
        <w:t xml:space="preserve"> </w:t>
      </w:r>
      <w:r>
        <w:t>the</w:t>
      </w:r>
      <w:r>
        <w:rPr>
          <w:spacing w:val="40"/>
        </w:rPr>
        <w:t xml:space="preserve"> </w:t>
      </w:r>
      <w:r>
        <w:t>theory</w:t>
      </w:r>
      <w:r>
        <w:rPr>
          <w:spacing w:val="40"/>
        </w:rPr>
        <w:t xml:space="preserve"> </w:t>
      </w:r>
      <w:r>
        <w:t>of</w:t>
      </w:r>
      <w:r>
        <w:rPr>
          <w:spacing w:val="40"/>
        </w:rPr>
        <w:t xml:space="preserve"> </w:t>
      </w:r>
      <w:r>
        <w:t>descriptions (continued): identity-statements</w:t>
      </w:r>
    </w:p>
    <w:p w14:paraId="7E000E51" w14:textId="77777777" w:rsidR="009A58DB" w:rsidRDefault="00000000">
      <w:pPr>
        <w:pStyle w:val="BodyText"/>
        <w:spacing w:before="132" w:line="249" w:lineRule="auto"/>
        <w:ind w:right="357"/>
      </w:pPr>
      <w:r>
        <w:t>Let’s start with a few platitudes about reference. To say that expression R refers to object O is to say that, for any property phi, ‹R has phi› attributes</w:t>
      </w:r>
      <w:r>
        <w:rPr>
          <w:spacing w:val="40"/>
        </w:rPr>
        <w:t xml:space="preserve"> </w:t>
      </w:r>
      <w:r>
        <w:t>phi to O. If you want to say of Benjamin Franklin (BF) that he’s bald, you</w:t>
      </w:r>
      <w:r>
        <w:rPr>
          <w:spacing w:val="40"/>
        </w:rPr>
        <w:t xml:space="preserve"> </w:t>
      </w:r>
      <w:r>
        <w:t xml:space="preserve">can do so by saying “Benjamin Franklin is bald.” (Of course, BF is no longer with us. But to set aside some extremely intricate and, in this context, irrelevant issues relating to tense, let us pretend that Franklin is alive and that we can speak of him in the present tense.) And if you </w:t>
      </w:r>
      <w:r>
        <w:rPr>
          <w:i/>
        </w:rPr>
        <w:t xml:space="preserve">couldn’t </w:t>
      </w:r>
      <w:r>
        <w:t xml:space="preserve">attribute baldness to BF by uttering that sentence, then “Benjamin Franklin” wouldn’t refer to BF. If, in saying “Benjamin Franklin is bald,” one was attributing baldness to </w:t>
      </w:r>
      <w:r>
        <w:rPr>
          <w:i/>
        </w:rPr>
        <w:t xml:space="preserve">Aristotle, </w:t>
      </w:r>
      <w:r>
        <w:t>then, in that context at least, “Benjamin Franklin”</w:t>
      </w:r>
      <w:r>
        <w:rPr>
          <w:spacing w:val="40"/>
        </w:rPr>
        <w:t xml:space="preserve"> </w:t>
      </w:r>
      <w:r>
        <w:t>would refer to Aristotle.</w:t>
      </w:r>
    </w:p>
    <w:p w14:paraId="7E000E52" w14:textId="77777777" w:rsidR="009A58DB" w:rsidRDefault="00000000">
      <w:pPr>
        <w:pStyle w:val="BodyText"/>
        <w:spacing w:before="13" w:line="249" w:lineRule="auto"/>
        <w:ind w:right="360" w:firstLine="360"/>
      </w:pPr>
      <w:r>
        <w:t xml:space="preserve">Let’s generalize these points. For any property phi, “Benjamin Franklin” refers to BF (and not to Aristotle, for example) because ‹Benjamin Franklin has phi› attributes phi to Benjamin Franklin; and if one </w:t>
      </w:r>
      <w:r>
        <w:rPr>
          <w:i/>
        </w:rPr>
        <w:t>couldn’t</w:t>
      </w:r>
      <w:r>
        <w:rPr>
          <w:i/>
          <w:spacing w:val="-3"/>
        </w:rPr>
        <w:t xml:space="preserve"> </w:t>
      </w:r>
      <w:r>
        <w:t>attribute phi to Benjamin Franklin by saying ‹Benjamin Franklin has phi› then “Benjamin Franklin”</w:t>
      </w:r>
      <w:r>
        <w:rPr>
          <w:spacing w:val="-3"/>
        </w:rPr>
        <w:t xml:space="preserve"> </w:t>
      </w:r>
      <w:r>
        <w:t>would</w:t>
      </w:r>
      <w:r>
        <w:rPr>
          <w:spacing w:val="-2"/>
        </w:rPr>
        <w:t xml:space="preserve"> </w:t>
      </w:r>
      <w:r>
        <w:t>not</w:t>
      </w:r>
      <w:r>
        <w:rPr>
          <w:spacing w:val="-2"/>
        </w:rPr>
        <w:t xml:space="preserve"> </w:t>
      </w:r>
      <w:r>
        <w:t>refer</w:t>
      </w:r>
      <w:r>
        <w:rPr>
          <w:spacing w:val="-2"/>
        </w:rPr>
        <w:t xml:space="preserve"> </w:t>
      </w:r>
      <w:r>
        <w:t>to</w:t>
      </w:r>
      <w:r>
        <w:rPr>
          <w:spacing w:val="-2"/>
        </w:rPr>
        <w:t xml:space="preserve"> </w:t>
      </w:r>
      <w:r>
        <w:t>BF.</w:t>
      </w:r>
      <w:r>
        <w:rPr>
          <w:spacing w:val="-2"/>
        </w:rPr>
        <w:t xml:space="preserve"> </w:t>
      </w:r>
      <w:r>
        <w:t>Further,</w:t>
      </w:r>
      <w:r>
        <w:rPr>
          <w:spacing w:val="-2"/>
        </w:rPr>
        <w:t xml:space="preserve"> </w:t>
      </w:r>
      <w:r>
        <w:t>if,</w:t>
      </w:r>
      <w:r>
        <w:rPr>
          <w:spacing w:val="-2"/>
        </w:rPr>
        <w:t xml:space="preserve"> </w:t>
      </w:r>
      <w:r>
        <w:t>in</w:t>
      </w:r>
      <w:r>
        <w:rPr>
          <w:spacing w:val="-2"/>
        </w:rPr>
        <w:t xml:space="preserve"> </w:t>
      </w:r>
      <w:r>
        <w:t>uttering</w:t>
      </w:r>
      <w:r>
        <w:rPr>
          <w:spacing w:val="-2"/>
        </w:rPr>
        <w:t xml:space="preserve"> </w:t>
      </w:r>
      <w:r>
        <w:t>that</w:t>
      </w:r>
      <w:r>
        <w:rPr>
          <w:spacing w:val="-2"/>
        </w:rPr>
        <w:t xml:space="preserve"> </w:t>
      </w:r>
      <w:r>
        <w:t>sentence,</w:t>
      </w:r>
      <w:r>
        <w:rPr>
          <w:spacing w:val="-2"/>
        </w:rPr>
        <w:t xml:space="preserve"> </w:t>
      </w:r>
      <w:r>
        <w:t>one</w:t>
      </w:r>
      <w:r>
        <w:rPr>
          <w:spacing w:val="-2"/>
        </w:rPr>
        <w:t xml:space="preserve"> </w:t>
      </w:r>
      <w:r>
        <w:t xml:space="preserve">was attributing baldness to Aristotle (but not BF), then “Benjamin Franklin” </w:t>
      </w:r>
      <w:r>
        <w:rPr>
          <w:i/>
        </w:rPr>
        <w:t xml:space="preserve">would </w:t>
      </w:r>
      <w:r>
        <w:t xml:space="preserve">refer to Aristotle (but not Benjamin Franklin).Thus, for “Benjamin Franklin” to refer to BF it is both </w:t>
      </w:r>
      <w:r>
        <w:rPr>
          <w:i/>
        </w:rPr>
        <w:t xml:space="preserve">necessary </w:t>
      </w:r>
      <w:r>
        <w:t xml:space="preserve">and </w:t>
      </w:r>
      <w:r>
        <w:rPr>
          <w:i/>
        </w:rPr>
        <w:t xml:space="preserve">sufficient </w:t>
      </w:r>
      <w:r>
        <w:t>that ‹Benjamin Franklin</w:t>
      </w:r>
      <w:r>
        <w:rPr>
          <w:spacing w:val="-3"/>
        </w:rPr>
        <w:t xml:space="preserve"> </w:t>
      </w:r>
      <w:r>
        <w:t>has</w:t>
      </w:r>
      <w:r>
        <w:rPr>
          <w:spacing w:val="-4"/>
        </w:rPr>
        <w:t xml:space="preserve"> </w:t>
      </w:r>
      <w:r>
        <w:t>phi›</w:t>
      </w:r>
      <w:r>
        <w:rPr>
          <w:spacing w:val="-4"/>
        </w:rPr>
        <w:t xml:space="preserve"> </w:t>
      </w:r>
      <w:r>
        <w:t>attribute</w:t>
      </w:r>
      <w:r>
        <w:rPr>
          <w:spacing w:val="-4"/>
        </w:rPr>
        <w:t xml:space="preserve"> </w:t>
      </w:r>
      <w:r>
        <w:t>phi</w:t>
      </w:r>
      <w:r>
        <w:rPr>
          <w:spacing w:val="-4"/>
        </w:rPr>
        <w:t xml:space="preserve"> </w:t>
      </w:r>
      <w:r>
        <w:t>to</w:t>
      </w:r>
      <w:r>
        <w:rPr>
          <w:spacing w:val="-3"/>
        </w:rPr>
        <w:t xml:space="preserve"> </w:t>
      </w:r>
      <w:r>
        <w:t>BF.</w:t>
      </w:r>
      <w:r>
        <w:rPr>
          <w:spacing w:val="-3"/>
        </w:rPr>
        <w:t xml:space="preserve"> </w:t>
      </w:r>
      <w:r>
        <w:t>The</w:t>
      </w:r>
      <w:r>
        <w:rPr>
          <w:spacing w:val="-4"/>
        </w:rPr>
        <w:t xml:space="preserve"> </w:t>
      </w:r>
      <w:r>
        <w:t>fact</w:t>
      </w:r>
      <w:r>
        <w:rPr>
          <w:spacing w:val="-4"/>
        </w:rPr>
        <w:t xml:space="preserve"> </w:t>
      </w:r>
      <w:r>
        <w:t>that</w:t>
      </w:r>
      <w:r>
        <w:rPr>
          <w:spacing w:val="-4"/>
        </w:rPr>
        <w:t xml:space="preserve"> </w:t>
      </w:r>
      <w:r>
        <w:t>“Benjamin</w:t>
      </w:r>
      <w:r>
        <w:rPr>
          <w:spacing w:val="-3"/>
        </w:rPr>
        <w:t xml:space="preserve"> </w:t>
      </w:r>
      <w:r>
        <w:t>Franklin”</w:t>
      </w:r>
      <w:r>
        <w:rPr>
          <w:spacing w:val="-4"/>
        </w:rPr>
        <w:t xml:space="preserve"> </w:t>
      </w:r>
      <w:r>
        <w:t xml:space="preserve">refers to BF is </w:t>
      </w:r>
      <w:r>
        <w:rPr>
          <w:i/>
        </w:rPr>
        <w:t>identical</w:t>
      </w:r>
      <w:r>
        <w:rPr>
          <w:i/>
          <w:spacing w:val="-3"/>
        </w:rPr>
        <w:t xml:space="preserve"> </w:t>
      </w:r>
      <w:r>
        <w:t>with the fact that ‹Benjamin Franklin has phi› attributes phi</w:t>
      </w:r>
    </w:p>
    <w:p w14:paraId="7E000E53"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E54" w14:textId="77777777" w:rsidR="009A58DB" w:rsidRDefault="00000000">
      <w:pPr>
        <w:pStyle w:val="BodyText"/>
        <w:spacing w:before="60"/>
      </w:pPr>
      <w:r>
        <w:lastRenderedPageBreak/>
        <w:t>to</w:t>
      </w:r>
      <w:r>
        <w:rPr>
          <w:spacing w:val="-3"/>
        </w:rPr>
        <w:t xml:space="preserve"> </w:t>
      </w:r>
      <w:r>
        <w:t>Benjamin</w:t>
      </w:r>
      <w:r>
        <w:rPr>
          <w:spacing w:val="-4"/>
        </w:rPr>
        <w:t xml:space="preserve"> </w:t>
      </w:r>
      <w:r>
        <w:t>Franklin,</w:t>
      </w:r>
      <w:r>
        <w:rPr>
          <w:spacing w:val="-3"/>
        </w:rPr>
        <w:t xml:space="preserve"> </w:t>
      </w:r>
      <w:r>
        <w:t>for</w:t>
      </w:r>
      <w:r>
        <w:rPr>
          <w:spacing w:val="-3"/>
        </w:rPr>
        <w:t xml:space="preserve"> </w:t>
      </w:r>
      <w:r>
        <w:t>any</w:t>
      </w:r>
      <w:r>
        <w:rPr>
          <w:spacing w:val="-3"/>
        </w:rPr>
        <w:t xml:space="preserve"> </w:t>
      </w:r>
      <w:r>
        <w:t>property</w:t>
      </w:r>
      <w:r>
        <w:rPr>
          <w:spacing w:val="-3"/>
        </w:rPr>
        <w:t xml:space="preserve"> </w:t>
      </w:r>
      <w:r>
        <w:rPr>
          <w:spacing w:val="-4"/>
        </w:rPr>
        <w:t>phi.</w:t>
      </w:r>
    </w:p>
    <w:p w14:paraId="7E000E55" w14:textId="77777777" w:rsidR="009A58DB" w:rsidRDefault="00000000">
      <w:pPr>
        <w:pStyle w:val="BodyText"/>
        <w:spacing w:before="20" w:line="249" w:lineRule="auto"/>
        <w:ind w:right="362" w:firstLine="360"/>
      </w:pPr>
      <w:r>
        <w:t xml:space="preserve">In general, expression E refers to O if and </w:t>
      </w:r>
      <w:r>
        <w:rPr>
          <w:i/>
        </w:rPr>
        <w:t xml:space="preserve">only </w:t>
      </w:r>
      <w:r>
        <w:t xml:space="preserve">if for any property phi ‹E has phi› attributes phi to O. E’s referring to O may be </w:t>
      </w:r>
      <w:r>
        <w:rPr>
          <w:i/>
        </w:rPr>
        <w:t xml:space="preserve">identified </w:t>
      </w:r>
      <w:r>
        <w:t xml:space="preserve">with E’s being such that, in virtue of containing it, a sentence </w:t>
      </w:r>
      <w:r>
        <w:rPr>
          <w:i/>
        </w:rPr>
        <w:t>ipso facto</w:t>
      </w:r>
      <w:r>
        <w:rPr>
          <w:i/>
          <w:spacing w:val="40"/>
        </w:rPr>
        <w:t xml:space="preserve"> </w:t>
      </w:r>
      <w:r>
        <w:t>attributes a property to O.</w:t>
      </w:r>
    </w:p>
    <w:p w14:paraId="7E000E56" w14:textId="77777777" w:rsidR="009A58DB" w:rsidRDefault="00000000">
      <w:pPr>
        <w:pStyle w:val="BodyText"/>
        <w:spacing w:before="5" w:line="249" w:lineRule="auto"/>
        <w:ind w:right="368" w:firstLine="360"/>
      </w:pPr>
      <w:r>
        <w:t>In light of these points, let us look at an age-old puzzle that Russell neatly solved. Benjamin Franklin (BF) invented bifocals and he was also the first postmaster general. Therefore:</w:t>
      </w:r>
    </w:p>
    <w:p w14:paraId="7E000E57" w14:textId="77777777" w:rsidR="009A58DB" w:rsidRDefault="009A58DB">
      <w:pPr>
        <w:pStyle w:val="BodyText"/>
        <w:spacing w:before="18"/>
        <w:ind w:left="0"/>
        <w:jc w:val="left"/>
      </w:pPr>
    </w:p>
    <w:p w14:paraId="7E000E58" w14:textId="77777777" w:rsidR="009A58DB" w:rsidRDefault="00000000">
      <w:pPr>
        <w:pStyle w:val="BodyText"/>
        <w:spacing w:line="501" w:lineRule="auto"/>
        <w:ind w:right="857"/>
      </w:pPr>
      <w:r>
        <w:t>(CB)</w:t>
      </w:r>
      <w:r>
        <w:rPr>
          <w:spacing w:val="-4"/>
        </w:rPr>
        <w:t xml:space="preserve"> </w:t>
      </w:r>
      <w:r>
        <w:t>the</w:t>
      </w:r>
      <w:r>
        <w:rPr>
          <w:spacing w:val="-4"/>
        </w:rPr>
        <w:t xml:space="preserve"> </w:t>
      </w:r>
      <w:r>
        <w:t>inventor</w:t>
      </w:r>
      <w:r>
        <w:rPr>
          <w:spacing w:val="-4"/>
        </w:rPr>
        <w:t xml:space="preserve"> </w:t>
      </w:r>
      <w:r>
        <w:t>of</w:t>
      </w:r>
      <w:r>
        <w:rPr>
          <w:spacing w:val="-4"/>
        </w:rPr>
        <w:t xml:space="preserve"> </w:t>
      </w:r>
      <w:r>
        <w:t>bifocals</w:t>
      </w:r>
      <w:r>
        <w:rPr>
          <w:spacing w:val="-4"/>
        </w:rPr>
        <w:t xml:space="preserve"> </w:t>
      </w:r>
      <w:r>
        <w:t>is</w:t>
      </w:r>
      <w:r>
        <w:rPr>
          <w:spacing w:val="-4"/>
        </w:rPr>
        <w:t xml:space="preserve"> </w:t>
      </w:r>
      <w:r>
        <w:t>identical</w:t>
      </w:r>
      <w:r>
        <w:rPr>
          <w:spacing w:val="-4"/>
        </w:rPr>
        <w:t xml:space="preserve"> </w:t>
      </w:r>
      <w:r>
        <w:t>with</w:t>
      </w:r>
      <w:r>
        <w:rPr>
          <w:spacing w:val="-3"/>
        </w:rPr>
        <w:t xml:space="preserve"> </w:t>
      </w:r>
      <w:r>
        <w:t>the</w:t>
      </w:r>
      <w:r>
        <w:rPr>
          <w:spacing w:val="-4"/>
        </w:rPr>
        <w:t xml:space="preserve"> </w:t>
      </w:r>
      <w:r>
        <w:t>first</w:t>
      </w:r>
      <w:r>
        <w:rPr>
          <w:spacing w:val="-4"/>
        </w:rPr>
        <w:t xml:space="preserve"> </w:t>
      </w:r>
      <w:r>
        <w:t>postmaster</w:t>
      </w:r>
      <w:r>
        <w:rPr>
          <w:spacing w:val="-4"/>
        </w:rPr>
        <w:t xml:space="preserve"> </w:t>
      </w:r>
      <w:r>
        <w:t>general. It’s also true, of course, that:</w:t>
      </w:r>
    </w:p>
    <w:p w14:paraId="7E000E59" w14:textId="77777777" w:rsidR="009A58DB" w:rsidRDefault="00000000">
      <w:pPr>
        <w:pStyle w:val="BodyText"/>
        <w:spacing w:line="343" w:lineRule="exact"/>
      </w:pPr>
      <w:r>
        <w:t>(TB)</w:t>
      </w:r>
      <w:r>
        <w:rPr>
          <w:spacing w:val="-6"/>
        </w:rPr>
        <w:t xml:space="preserve"> </w:t>
      </w:r>
      <w:r>
        <w:t>the</w:t>
      </w:r>
      <w:r>
        <w:rPr>
          <w:spacing w:val="-3"/>
        </w:rPr>
        <w:t xml:space="preserve"> </w:t>
      </w:r>
      <w:r>
        <w:t>inventor</w:t>
      </w:r>
      <w:r>
        <w:rPr>
          <w:spacing w:val="-4"/>
        </w:rPr>
        <w:t xml:space="preserve"> </w:t>
      </w:r>
      <w:r>
        <w:t>of</w:t>
      </w:r>
      <w:r>
        <w:rPr>
          <w:spacing w:val="-3"/>
        </w:rPr>
        <w:t xml:space="preserve"> </w:t>
      </w:r>
      <w:r>
        <w:t>bifocals</w:t>
      </w:r>
      <w:r>
        <w:rPr>
          <w:spacing w:val="-3"/>
        </w:rPr>
        <w:t xml:space="preserve"> </w:t>
      </w:r>
      <w:r>
        <w:t>is</w:t>
      </w:r>
      <w:r>
        <w:rPr>
          <w:spacing w:val="-4"/>
        </w:rPr>
        <w:t xml:space="preserve"> </w:t>
      </w:r>
      <w:r>
        <w:t>identical</w:t>
      </w:r>
      <w:r>
        <w:rPr>
          <w:spacing w:val="-3"/>
        </w:rPr>
        <w:t xml:space="preserve"> </w:t>
      </w:r>
      <w:r>
        <w:t>with</w:t>
      </w:r>
      <w:r>
        <w:rPr>
          <w:spacing w:val="-2"/>
        </w:rPr>
        <w:t xml:space="preserve"> </w:t>
      </w:r>
      <w:r>
        <w:t>the</w:t>
      </w:r>
      <w:r>
        <w:rPr>
          <w:spacing w:val="-4"/>
        </w:rPr>
        <w:t xml:space="preserve"> </w:t>
      </w:r>
      <w:r>
        <w:t>inventor</w:t>
      </w:r>
      <w:r>
        <w:rPr>
          <w:spacing w:val="-3"/>
        </w:rPr>
        <w:t xml:space="preserve"> </w:t>
      </w:r>
      <w:r>
        <w:t>of</w:t>
      </w:r>
      <w:r>
        <w:rPr>
          <w:spacing w:val="-3"/>
        </w:rPr>
        <w:t xml:space="preserve"> </w:t>
      </w:r>
      <w:r>
        <w:rPr>
          <w:spacing w:val="-2"/>
        </w:rPr>
        <w:t>bifocals.</w:t>
      </w:r>
    </w:p>
    <w:p w14:paraId="7E000E5A" w14:textId="77777777" w:rsidR="009A58DB" w:rsidRDefault="009A58DB">
      <w:pPr>
        <w:pStyle w:val="BodyText"/>
        <w:spacing w:before="30"/>
        <w:ind w:left="0"/>
        <w:jc w:val="left"/>
      </w:pPr>
    </w:p>
    <w:p w14:paraId="7E000E5B" w14:textId="77777777" w:rsidR="009A58DB" w:rsidRDefault="00000000">
      <w:pPr>
        <w:pStyle w:val="BodyText"/>
      </w:pPr>
      <w:r>
        <w:t>But,</w:t>
      </w:r>
      <w:r>
        <w:rPr>
          <w:spacing w:val="-5"/>
        </w:rPr>
        <w:t xml:space="preserve"> </w:t>
      </w:r>
      <w:r>
        <w:t>whereas</w:t>
      </w:r>
      <w:r>
        <w:rPr>
          <w:spacing w:val="-4"/>
        </w:rPr>
        <w:t xml:space="preserve"> </w:t>
      </w:r>
      <w:r>
        <w:t>TB</w:t>
      </w:r>
      <w:r>
        <w:rPr>
          <w:spacing w:val="-3"/>
        </w:rPr>
        <w:t xml:space="preserve"> </w:t>
      </w:r>
      <w:r>
        <w:t>is</w:t>
      </w:r>
      <w:r>
        <w:rPr>
          <w:spacing w:val="-4"/>
        </w:rPr>
        <w:t xml:space="preserve"> </w:t>
      </w:r>
      <w:r>
        <w:t>trivial,</w:t>
      </w:r>
      <w:r>
        <w:rPr>
          <w:spacing w:val="-2"/>
        </w:rPr>
        <w:t xml:space="preserve"> </w:t>
      </w:r>
      <w:r>
        <w:t>CB</w:t>
      </w:r>
      <w:r>
        <w:rPr>
          <w:spacing w:val="-4"/>
        </w:rPr>
        <w:t xml:space="preserve"> </w:t>
      </w:r>
      <w:r>
        <w:t>is</w:t>
      </w:r>
      <w:r>
        <w:rPr>
          <w:spacing w:val="-3"/>
        </w:rPr>
        <w:t xml:space="preserve"> </w:t>
      </w:r>
      <w:r>
        <w:t>non-</w:t>
      </w:r>
      <w:r>
        <w:rPr>
          <w:spacing w:val="-2"/>
        </w:rPr>
        <w:t>trivial.</w:t>
      </w:r>
    </w:p>
    <w:p w14:paraId="7E000E5C" w14:textId="77777777" w:rsidR="009A58DB" w:rsidRDefault="00000000">
      <w:pPr>
        <w:pStyle w:val="BodyText"/>
        <w:spacing w:before="15" w:line="249" w:lineRule="auto"/>
        <w:ind w:right="362" w:firstLine="360"/>
      </w:pPr>
      <w:r>
        <w:t>The non-triviality of CB is hard to explain if definite descriptions are supposed to be referring terms. As we just saw, “the inventors of bifocals” refers to BF exactly if “Benjamin Franklin has phi” attributes phi to BF. Given that “the inventors of bifocals” does in fact refer to BF, it follows that CB attributes the property of being identical with the first postmaster general to BF. And given that “the first postmaster general” refers to BF, it follows that CB attributes the property of being identical with the inventor of bifocals to BF. And given both of these facts (viz. the facts stated in the last two sentences), it follows that CB says of BF that it has the property of being identical with BF. Which is trivial.</w:t>
      </w:r>
    </w:p>
    <w:p w14:paraId="7E000E5D" w14:textId="77777777" w:rsidR="009A58DB" w:rsidRDefault="00000000">
      <w:pPr>
        <w:pStyle w:val="BodyText"/>
        <w:spacing w:before="13" w:line="249" w:lineRule="auto"/>
        <w:ind w:right="363" w:firstLine="360"/>
        <w:rPr>
          <w:i/>
        </w:rPr>
      </w:pPr>
      <w:r>
        <w:t xml:space="preserve">Frege proposed a famous solution to this. But we’re going to consider Russell’s solution first, since it’s easier to understand Frege’s solution in terms of Russell’s than </w:t>
      </w:r>
      <w:r>
        <w:rPr>
          <w:i/>
        </w:rPr>
        <w:t>vice versa.</w:t>
      </w:r>
    </w:p>
    <w:p w14:paraId="7E000E5E" w14:textId="77777777" w:rsidR="009A58DB" w:rsidRDefault="00000000">
      <w:pPr>
        <w:pStyle w:val="BodyText"/>
        <w:spacing w:before="3" w:line="249" w:lineRule="auto"/>
        <w:ind w:right="358" w:firstLine="360"/>
      </w:pPr>
      <w:r>
        <w:t>According to the theory of descriptions (TD) ‹the inventor of bifocals has phi› says that something uniquely invented bifocals, and any such thing has phi. And, according to TD, ‹the first postmaster general has phi› says that something was a unique first postmaster general, and any such thing has phi. It follows that, if TD is right, CB says the same thing as:</w:t>
      </w:r>
    </w:p>
    <w:p w14:paraId="7E000E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60" w14:textId="77777777" w:rsidR="009A58DB" w:rsidRDefault="00000000">
      <w:pPr>
        <w:pStyle w:val="BodyText"/>
        <w:spacing w:before="65" w:line="271" w:lineRule="auto"/>
        <w:ind w:right="360"/>
      </w:pPr>
      <w:r>
        <w:lastRenderedPageBreak/>
        <w:t>(CB</w:t>
      </w:r>
      <w:r>
        <w:rPr>
          <w:vertAlign w:val="subscript"/>
        </w:rPr>
        <w:t>3</w:t>
      </w:r>
      <w:r>
        <w:t>) “something uniquely invented bifocals, and any such thing is a unique first</w:t>
      </w:r>
      <w:r>
        <w:rPr>
          <w:spacing w:val="-2"/>
        </w:rPr>
        <w:t xml:space="preserve"> </w:t>
      </w:r>
      <w:r>
        <w:t>postmaster</w:t>
      </w:r>
      <w:r>
        <w:rPr>
          <w:spacing w:val="-2"/>
        </w:rPr>
        <w:t xml:space="preserve"> </w:t>
      </w:r>
      <w:r>
        <w:t>general;</w:t>
      </w:r>
      <w:r>
        <w:rPr>
          <w:spacing w:val="-2"/>
        </w:rPr>
        <w:t xml:space="preserve"> </w:t>
      </w:r>
      <w:r>
        <w:t>and</w:t>
      </w:r>
      <w:r>
        <w:rPr>
          <w:spacing w:val="-2"/>
        </w:rPr>
        <w:t xml:space="preserve"> </w:t>
      </w:r>
      <w:r>
        <w:t>something</w:t>
      </w:r>
      <w:r>
        <w:rPr>
          <w:spacing w:val="-2"/>
        </w:rPr>
        <w:t xml:space="preserve"> </w:t>
      </w:r>
      <w:r>
        <w:t>was</w:t>
      </w:r>
      <w:r>
        <w:rPr>
          <w:spacing w:val="-2"/>
        </w:rPr>
        <w:t xml:space="preserve"> </w:t>
      </w:r>
      <w:r>
        <w:t>a</w:t>
      </w:r>
      <w:r>
        <w:rPr>
          <w:spacing w:val="-2"/>
        </w:rPr>
        <w:t xml:space="preserve"> </w:t>
      </w:r>
      <w:r>
        <w:t>unique</w:t>
      </w:r>
      <w:r>
        <w:rPr>
          <w:spacing w:val="-2"/>
        </w:rPr>
        <w:t xml:space="preserve"> </w:t>
      </w:r>
      <w:r>
        <w:t>first</w:t>
      </w:r>
      <w:r>
        <w:rPr>
          <w:spacing w:val="-2"/>
        </w:rPr>
        <w:t xml:space="preserve"> </w:t>
      </w:r>
      <w:r>
        <w:t>postmaster</w:t>
      </w:r>
      <w:r>
        <w:rPr>
          <w:spacing w:val="-2"/>
        </w:rPr>
        <w:t xml:space="preserve"> </w:t>
      </w:r>
      <w:r>
        <w:t>general, and any such thing is a unique inventor of bifocals.”</w:t>
      </w:r>
    </w:p>
    <w:p w14:paraId="7E000E61" w14:textId="77777777" w:rsidR="009A58DB" w:rsidRDefault="00000000">
      <w:pPr>
        <w:pStyle w:val="BodyText"/>
        <w:spacing w:before="330"/>
      </w:pPr>
      <w:r>
        <w:t>It</w:t>
      </w:r>
      <w:r>
        <w:rPr>
          <w:spacing w:val="-2"/>
        </w:rPr>
        <w:t xml:space="preserve"> </w:t>
      </w:r>
      <w:r>
        <w:t>is</w:t>
      </w:r>
      <w:r>
        <w:rPr>
          <w:spacing w:val="-2"/>
        </w:rPr>
        <w:t xml:space="preserve"> </w:t>
      </w:r>
      <w:r>
        <w:t>readily</w:t>
      </w:r>
      <w:r>
        <w:rPr>
          <w:spacing w:val="-1"/>
        </w:rPr>
        <w:t xml:space="preserve"> </w:t>
      </w:r>
      <w:r>
        <w:t>seen</w:t>
      </w:r>
      <w:r>
        <w:rPr>
          <w:spacing w:val="-2"/>
        </w:rPr>
        <w:t xml:space="preserve"> </w:t>
      </w:r>
      <w:r>
        <w:t>that</w:t>
      </w:r>
      <w:r>
        <w:rPr>
          <w:spacing w:val="-2"/>
        </w:rPr>
        <w:t xml:space="preserve"> </w:t>
      </w:r>
      <w:r>
        <w:t>CB</w:t>
      </w:r>
      <w:r>
        <w:rPr>
          <w:vertAlign w:val="subscript"/>
        </w:rPr>
        <w:t>3</w:t>
      </w:r>
      <w:r>
        <w:rPr>
          <w:spacing w:val="-1"/>
        </w:rPr>
        <w:t xml:space="preserve"> </w:t>
      </w:r>
      <w:r>
        <w:t>is</w:t>
      </w:r>
      <w:r>
        <w:rPr>
          <w:spacing w:val="-2"/>
        </w:rPr>
        <w:t xml:space="preserve"> </w:t>
      </w:r>
      <w:r>
        <w:t>more</w:t>
      </w:r>
      <w:r>
        <w:rPr>
          <w:spacing w:val="-2"/>
        </w:rPr>
        <w:t xml:space="preserve"> </w:t>
      </w:r>
      <w:r>
        <w:t>succinctly</w:t>
      </w:r>
      <w:r>
        <w:rPr>
          <w:spacing w:val="-1"/>
        </w:rPr>
        <w:t xml:space="preserve"> </w:t>
      </w:r>
      <w:r>
        <w:t>expressed</w:t>
      </w:r>
      <w:r>
        <w:rPr>
          <w:spacing w:val="-1"/>
        </w:rPr>
        <w:t xml:space="preserve"> </w:t>
      </w:r>
      <w:r>
        <w:t>as</w:t>
      </w:r>
      <w:r>
        <w:rPr>
          <w:spacing w:val="-2"/>
        </w:rPr>
        <w:t xml:space="preserve"> follows:</w:t>
      </w:r>
    </w:p>
    <w:p w14:paraId="7E000E62" w14:textId="77777777" w:rsidR="009A58DB" w:rsidRDefault="009A58DB">
      <w:pPr>
        <w:pStyle w:val="BodyText"/>
        <w:spacing w:before="90"/>
        <w:ind w:left="0"/>
        <w:jc w:val="left"/>
      </w:pPr>
    </w:p>
    <w:p w14:paraId="7E000E63" w14:textId="77777777" w:rsidR="009A58DB" w:rsidRDefault="00000000">
      <w:pPr>
        <w:pStyle w:val="BodyText"/>
        <w:spacing w:line="249" w:lineRule="auto"/>
        <w:ind w:right="360"/>
      </w:pPr>
      <w:r>
        <w:t>(CBR) “there is some one thing that uniquely invented bifocals and was also</w:t>
      </w:r>
      <w:r>
        <w:rPr>
          <w:spacing w:val="40"/>
        </w:rPr>
        <w:t xml:space="preserve"> </w:t>
      </w:r>
      <w:r>
        <w:t>a unique first postmaster general.”</w:t>
      </w:r>
    </w:p>
    <w:p w14:paraId="7E000E64" w14:textId="77777777" w:rsidR="009A58DB" w:rsidRDefault="009A58DB">
      <w:pPr>
        <w:pStyle w:val="BodyText"/>
        <w:spacing w:before="18"/>
        <w:ind w:left="0"/>
        <w:jc w:val="left"/>
      </w:pPr>
    </w:p>
    <w:p w14:paraId="7E000E65" w14:textId="77777777" w:rsidR="009A58DB" w:rsidRDefault="00000000">
      <w:pPr>
        <w:pStyle w:val="BodyText"/>
        <w:spacing w:line="249" w:lineRule="auto"/>
        <w:ind w:right="358"/>
      </w:pPr>
      <w:r>
        <w:t>To sum up, if TD is right, then CB means the same thing as CBR. It is easily verified that, indeed, CB is true exactly if CBR is true. TD gets the right result. Given that CBR is non-trivial—given that historical knowledge is needed to know it—TD readily explains why CB is non-trivial.</w:t>
      </w:r>
    </w:p>
    <w:p w14:paraId="7E000E66" w14:textId="77777777" w:rsidR="009A58DB" w:rsidRDefault="009A58DB">
      <w:pPr>
        <w:pStyle w:val="BodyText"/>
        <w:spacing w:before="267"/>
        <w:ind w:left="0"/>
        <w:jc w:val="left"/>
      </w:pPr>
    </w:p>
    <w:p w14:paraId="7E000E67" w14:textId="77777777" w:rsidR="009A58DB" w:rsidRDefault="00000000">
      <w:pPr>
        <w:pStyle w:val="Heading1"/>
        <w:numPr>
          <w:ilvl w:val="1"/>
          <w:numId w:val="177"/>
        </w:numPr>
        <w:tabs>
          <w:tab w:val="left" w:pos="1030"/>
        </w:tabs>
        <w:spacing w:before="1" w:line="244" w:lineRule="auto"/>
        <w:ind w:right="361" w:firstLine="0"/>
      </w:pPr>
      <w:r>
        <w:t>Some arguments for the theory of descriptions: positive existentials</w:t>
      </w:r>
    </w:p>
    <w:p w14:paraId="7E000E68" w14:textId="77777777" w:rsidR="009A58DB" w:rsidRDefault="00000000">
      <w:pPr>
        <w:pStyle w:val="BodyText"/>
        <w:spacing w:before="131" w:line="249" w:lineRule="auto"/>
        <w:ind w:right="372"/>
      </w:pPr>
      <w:r>
        <w:t xml:space="preserve">For argument’s sake, suppose there to be some non-existent object O such </w:t>
      </w:r>
      <w:r>
        <w:rPr>
          <w:spacing w:val="-4"/>
        </w:rPr>
        <w:t>that</w:t>
      </w:r>
    </w:p>
    <w:p w14:paraId="7E000E69" w14:textId="77777777" w:rsidR="009A58DB" w:rsidRDefault="009A58DB">
      <w:pPr>
        <w:pStyle w:val="BodyText"/>
        <w:spacing w:before="18"/>
        <w:ind w:left="0"/>
        <w:jc w:val="left"/>
      </w:pPr>
    </w:p>
    <w:p w14:paraId="7E000E6A" w14:textId="77777777" w:rsidR="009A58DB" w:rsidRDefault="00000000">
      <w:pPr>
        <w:pStyle w:val="BodyText"/>
      </w:pPr>
      <w:r>
        <w:t>(E</w:t>
      </w:r>
      <w:r>
        <w:rPr>
          <w:vertAlign w:val="subscript"/>
        </w:rPr>
        <w:t>1</w:t>
      </w:r>
      <w:r>
        <w:t>)</w:t>
      </w:r>
      <w:r>
        <w:rPr>
          <w:spacing w:val="1"/>
        </w:rPr>
        <w:t xml:space="preserve"> </w:t>
      </w:r>
      <w:r>
        <w:t>“the</w:t>
      </w:r>
      <w:r>
        <w:rPr>
          <w:spacing w:val="1"/>
        </w:rPr>
        <w:t xml:space="preserve"> </w:t>
      </w:r>
      <w:r>
        <w:t>fountain</w:t>
      </w:r>
      <w:r>
        <w:rPr>
          <w:spacing w:val="2"/>
        </w:rPr>
        <w:t xml:space="preserve"> </w:t>
      </w:r>
      <w:r>
        <w:t>of</w:t>
      </w:r>
      <w:r>
        <w:rPr>
          <w:spacing w:val="1"/>
        </w:rPr>
        <w:t xml:space="preserve"> </w:t>
      </w:r>
      <w:r>
        <w:t>youth</w:t>
      </w:r>
      <w:r>
        <w:rPr>
          <w:spacing w:val="2"/>
        </w:rPr>
        <w:t xml:space="preserve"> </w:t>
      </w:r>
      <w:r>
        <w:rPr>
          <w:spacing w:val="-2"/>
        </w:rPr>
        <w:t>exists”</w:t>
      </w:r>
    </w:p>
    <w:p w14:paraId="7E000E6B" w14:textId="77777777" w:rsidR="009A58DB" w:rsidRDefault="009A58DB">
      <w:pPr>
        <w:pStyle w:val="BodyText"/>
        <w:spacing w:before="90"/>
        <w:ind w:left="0"/>
        <w:jc w:val="left"/>
      </w:pPr>
    </w:p>
    <w:p w14:paraId="7E000E6C" w14:textId="77777777" w:rsidR="009A58DB" w:rsidRDefault="00000000">
      <w:pPr>
        <w:pStyle w:val="BodyText"/>
        <w:spacing w:line="292" w:lineRule="auto"/>
        <w:ind w:right="359"/>
      </w:pPr>
      <w:r>
        <w:t xml:space="preserve">says that O exists. In that case, there </w:t>
      </w:r>
      <w:r>
        <w:rPr>
          <w:i/>
        </w:rPr>
        <w:t>ipso facto</w:t>
      </w:r>
      <w:r>
        <w:rPr>
          <w:i/>
          <w:spacing w:val="40"/>
        </w:rPr>
        <w:t xml:space="preserve"> </w:t>
      </w:r>
      <w:r>
        <w:t>exists nothing to which E</w:t>
      </w:r>
      <w:r>
        <w:rPr>
          <w:vertAlign w:val="subscript"/>
        </w:rPr>
        <w:t>1</w:t>
      </w:r>
      <w:r>
        <w:t xml:space="preserve"> attributes existence. Thus, if it is to say anything at all, E</w:t>
      </w:r>
      <w:r>
        <w:rPr>
          <w:vertAlign w:val="subscript"/>
        </w:rPr>
        <w:t>1</w:t>
      </w:r>
      <w:r>
        <w:t xml:space="preserve"> must attribute existence to some </w:t>
      </w:r>
      <w:r>
        <w:rPr>
          <w:i/>
        </w:rPr>
        <w:t xml:space="preserve">existing </w:t>
      </w:r>
      <w:r>
        <w:t>object. Thus, supposing that E</w:t>
      </w:r>
      <w:r>
        <w:rPr>
          <w:vertAlign w:val="subscript"/>
        </w:rPr>
        <w:t>1</w:t>
      </w:r>
      <w:r>
        <w:t xml:space="preserve"> says of some</w:t>
      </w:r>
      <w:r>
        <w:rPr>
          <w:spacing w:val="40"/>
        </w:rPr>
        <w:t xml:space="preserve"> </w:t>
      </w:r>
      <w:r>
        <w:t xml:space="preserve">object that it exists, a </w:t>
      </w:r>
      <w:r>
        <w:rPr>
          <w:i/>
        </w:rPr>
        <w:t>pre</w:t>
      </w:r>
      <w:r>
        <w:t>condition for E</w:t>
      </w:r>
      <w:r>
        <w:rPr>
          <w:vertAlign w:val="subscript"/>
        </w:rPr>
        <w:t>1</w:t>
      </w:r>
      <w:r>
        <w:t>’s saying anything is that the object</w:t>
      </w:r>
    </w:p>
    <w:p w14:paraId="7E000E6D" w14:textId="77777777" w:rsidR="009A58DB" w:rsidRDefault="00000000">
      <w:pPr>
        <w:pStyle w:val="BodyText"/>
        <w:spacing w:line="271" w:lineRule="auto"/>
        <w:ind w:right="359"/>
      </w:pPr>
      <w:r>
        <w:t>in question exist. But in that case, we could conclude from the mere fact that utterances of E</w:t>
      </w:r>
      <w:r>
        <w:rPr>
          <w:vertAlign w:val="subscript"/>
        </w:rPr>
        <w:t>1</w:t>
      </w:r>
      <w:r>
        <w:t xml:space="preserve"> are </w:t>
      </w:r>
      <w:r>
        <w:rPr>
          <w:i/>
        </w:rPr>
        <w:t xml:space="preserve">meaningful </w:t>
      </w:r>
      <w:r>
        <w:t>that E</w:t>
      </w:r>
      <w:r>
        <w:rPr>
          <w:vertAlign w:val="subscript"/>
        </w:rPr>
        <w:t>1</w:t>
      </w:r>
      <w:r>
        <w:t xml:space="preserve"> is true. Thus, a consequence of supposing</w:t>
      </w:r>
      <w:r>
        <w:rPr>
          <w:spacing w:val="23"/>
        </w:rPr>
        <w:t xml:space="preserve"> </w:t>
      </w:r>
      <w:r>
        <w:t>that</w:t>
      </w:r>
      <w:r>
        <w:rPr>
          <w:spacing w:val="23"/>
        </w:rPr>
        <w:t xml:space="preserve"> </w:t>
      </w:r>
      <w:r>
        <w:t>E</w:t>
      </w:r>
      <w:r>
        <w:rPr>
          <w:vertAlign w:val="subscript"/>
        </w:rPr>
        <w:t>1</w:t>
      </w:r>
      <w:r>
        <w:rPr>
          <w:spacing w:val="27"/>
        </w:rPr>
        <w:t xml:space="preserve"> </w:t>
      </w:r>
      <w:r>
        <w:t>says</w:t>
      </w:r>
      <w:r>
        <w:rPr>
          <w:spacing w:val="27"/>
        </w:rPr>
        <w:t xml:space="preserve"> </w:t>
      </w:r>
      <w:r>
        <w:t>of</w:t>
      </w:r>
      <w:r>
        <w:rPr>
          <w:spacing w:val="27"/>
        </w:rPr>
        <w:t xml:space="preserve"> </w:t>
      </w:r>
      <w:r>
        <w:t>some</w:t>
      </w:r>
      <w:r>
        <w:rPr>
          <w:spacing w:val="27"/>
        </w:rPr>
        <w:t xml:space="preserve"> </w:t>
      </w:r>
      <w:r>
        <w:t>object</w:t>
      </w:r>
      <w:r>
        <w:rPr>
          <w:spacing w:val="27"/>
        </w:rPr>
        <w:t xml:space="preserve"> </w:t>
      </w:r>
      <w:r>
        <w:t>that</w:t>
      </w:r>
      <w:r>
        <w:rPr>
          <w:spacing w:val="27"/>
        </w:rPr>
        <w:t xml:space="preserve"> </w:t>
      </w:r>
      <w:r>
        <w:t>exists</w:t>
      </w:r>
      <w:r>
        <w:rPr>
          <w:spacing w:val="27"/>
        </w:rPr>
        <w:t xml:space="preserve"> </w:t>
      </w:r>
      <w:r>
        <w:t>is</w:t>
      </w:r>
      <w:r>
        <w:rPr>
          <w:spacing w:val="27"/>
        </w:rPr>
        <w:t xml:space="preserve"> </w:t>
      </w:r>
      <w:r>
        <w:t>that</w:t>
      </w:r>
      <w:r>
        <w:rPr>
          <w:spacing w:val="27"/>
        </w:rPr>
        <w:t xml:space="preserve"> </w:t>
      </w:r>
      <w:r>
        <w:t>E</w:t>
      </w:r>
      <w:r>
        <w:rPr>
          <w:vertAlign w:val="subscript"/>
        </w:rPr>
        <w:t>1</w:t>
      </w:r>
      <w:r>
        <w:rPr>
          <w:spacing w:val="31"/>
        </w:rPr>
        <w:t xml:space="preserve"> </w:t>
      </w:r>
      <w:r>
        <w:t>is</w:t>
      </w:r>
      <w:r>
        <w:rPr>
          <w:spacing w:val="30"/>
        </w:rPr>
        <w:t xml:space="preserve"> </w:t>
      </w:r>
      <w:r>
        <w:t>not</w:t>
      </w:r>
      <w:r>
        <w:rPr>
          <w:spacing w:val="30"/>
        </w:rPr>
        <w:t xml:space="preserve"> </w:t>
      </w:r>
      <w:r>
        <w:t>only</w:t>
      </w:r>
      <w:r>
        <w:rPr>
          <w:spacing w:val="31"/>
        </w:rPr>
        <w:t xml:space="preserve"> </w:t>
      </w:r>
      <w:r>
        <w:rPr>
          <w:spacing w:val="-2"/>
        </w:rPr>
        <w:t>true,</w:t>
      </w:r>
    </w:p>
    <w:p w14:paraId="7E000E6E" w14:textId="77777777" w:rsidR="009A58DB" w:rsidRDefault="00000000">
      <w:pPr>
        <w:pStyle w:val="BodyText"/>
        <w:spacing w:before="27"/>
      </w:pPr>
      <w:r>
        <w:t>but</w:t>
      </w:r>
      <w:r>
        <w:rPr>
          <w:spacing w:val="-5"/>
        </w:rPr>
        <w:t xml:space="preserve"> </w:t>
      </w:r>
      <w:r>
        <w:t>trivially</w:t>
      </w:r>
      <w:r>
        <w:rPr>
          <w:spacing w:val="-3"/>
        </w:rPr>
        <w:t xml:space="preserve"> </w:t>
      </w:r>
      <w:r>
        <w:rPr>
          <w:spacing w:val="-5"/>
        </w:rPr>
        <w:t>so.</w:t>
      </w:r>
    </w:p>
    <w:p w14:paraId="7E000E6F" w14:textId="77777777" w:rsidR="009A58DB" w:rsidRDefault="00000000">
      <w:pPr>
        <w:pStyle w:val="BodyText"/>
        <w:spacing w:before="15" w:line="271" w:lineRule="auto"/>
        <w:ind w:right="363" w:firstLine="360"/>
      </w:pPr>
      <w:r>
        <w:t>But, in actuality, E</w:t>
      </w:r>
      <w:r>
        <w:rPr>
          <w:vertAlign w:val="subscript"/>
        </w:rPr>
        <w:t>1</w:t>
      </w:r>
      <w:r>
        <w:t xml:space="preserve"> is both false and non-trivial. It’s false since there’s no fountain of youth. It’s nontrivial since, to know whether it’s true, is isn’t enough to know what it means—let alone to know that it has a meaning.</w:t>
      </w:r>
    </w:p>
    <w:p w14:paraId="7E000E70"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0E71" w14:textId="77777777" w:rsidR="009A58DB" w:rsidRDefault="00000000">
      <w:pPr>
        <w:pStyle w:val="BodyText"/>
        <w:spacing w:before="65" w:line="249" w:lineRule="auto"/>
        <w:ind w:right="361" w:firstLine="360"/>
      </w:pPr>
      <w:r>
        <w:lastRenderedPageBreak/>
        <w:t xml:space="preserve">The right analysis is the one proposed by Russell. It says that the property of being a fountain of youth is instantiated. Though nothing has it, the </w:t>
      </w:r>
      <w:r>
        <w:rPr>
          <w:i/>
        </w:rPr>
        <w:t xml:space="preserve">property </w:t>
      </w:r>
      <w:r>
        <w:t>of being a fountain of youth exists. In general, ‹the phi exists› doesn’t make the absurd claim that some non-entity exists; nor does it make the trivial claim that some entity exists: it makes the non-absurd, non-trivial claim that the property of being a phi is instantiated.</w:t>
      </w:r>
    </w:p>
    <w:p w14:paraId="7E000E72" w14:textId="77777777" w:rsidR="009A58DB" w:rsidRDefault="00000000">
      <w:pPr>
        <w:pStyle w:val="Heading1"/>
        <w:numPr>
          <w:ilvl w:val="1"/>
          <w:numId w:val="176"/>
        </w:numPr>
        <w:tabs>
          <w:tab w:val="left" w:pos="990"/>
        </w:tabs>
        <w:spacing w:before="195"/>
      </w:pPr>
      <w:r>
        <w:t>The</w:t>
      </w:r>
      <w:r>
        <w:rPr>
          <w:spacing w:val="-8"/>
        </w:rPr>
        <w:t xml:space="preserve"> </w:t>
      </w:r>
      <w:r>
        <w:t>incoherencies</w:t>
      </w:r>
      <w:r>
        <w:rPr>
          <w:spacing w:val="-6"/>
        </w:rPr>
        <w:t xml:space="preserve"> </w:t>
      </w:r>
      <w:r>
        <w:t>in</w:t>
      </w:r>
      <w:r>
        <w:rPr>
          <w:spacing w:val="-6"/>
        </w:rPr>
        <w:t xml:space="preserve"> </w:t>
      </w:r>
      <w:r>
        <w:t>Frege’s</w:t>
      </w:r>
      <w:r>
        <w:rPr>
          <w:spacing w:val="-6"/>
        </w:rPr>
        <w:t xml:space="preserve"> </w:t>
      </w:r>
      <w:r>
        <w:t>semantic</w:t>
      </w:r>
      <w:r>
        <w:rPr>
          <w:spacing w:val="-6"/>
        </w:rPr>
        <w:t xml:space="preserve"> </w:t>
      </w:r>
      <w:r>
        <w:rPr>
          <w:spacing w:val="-2"/>
        </w:rPr>
        <w:t>system</w:t>
      </w:r>
    </w:p>
    <w:p w14:paraId="7E000E73" w14:textId="77777777" w:rsidR="009A58DB" w:rsidRDefault="00000000">
      <w:pPr>
        <w:pStyle w:val="BodyText"/>
        <w:spacing w:before="139" w:line="249" w:lineRule="auto"/>
        <w:ind w:right="366"/>
      </w:pPr>
      <w:r>
        <w:t>Let us now consider how Frege deals with just-described puzzle concerning identity. This will expose some profound problems with Frege’s semantics, which we will discuss.</w:t>
      </w:r>
    </w:p>
    <w:p w14:paraId="7E000E74" w14:textId="77777777" w:rsidR="009A58DB" w:rsidRDefault="00000000">
      <w:pPr>
        <w:pStyle w:val="BodyText"/>
        <w:spacing w:before="4" w:line="249" w:lineRule="auto"/>
        <w:ind w:right="358" w:firstLine="360"/>
      </w:pPr>
      <w:r>
        <w:t>Benjamin Franklin (BF) invented bifocals and he was also the first postmaster general. Therefore:</w:t>
      </w:r>
    </w:p>
    <w:p w14:paraId="7E000E75" w14:textId="77777777" w:rsidR="009A58DB" w:rsidRDefault="009A58DB">
      <w:pPr>
        <w:pStyle w:val="BodyText"/>
        <w:spacing w:before="17"/>
        <w:ind w:left="0"/>
        <w:jc w:val="left"/>
      </w:pPr>
    </w:p>
    <w:p w14:paraId="7E000E76" w14:textId="77777777" w:rsidR="009A58DB" w:rsidRDefault="00000000">
      <w:pPr>
        <w:pStyle w:val="BodyText"/>
        <w:spacing w:line="501" w:lineRule="auto"/>
        <w:ind w:right="741"/>
      </w:pPr>
      <w:r>
        <w:t>(CB)</w:t>
      </w:r>
      <w:r>
        <w:rPr>
          <w:spacing w:val="-4"/>
        </w:rPr>
        <w:t xml:space="preserve"> </w:t>
      </w:r>
      <w:r>
        <w:t>the</w:t>
      </w:r>
      <w:r>
        <w:rPr>
          <w:spacing w:val="-4"/>
        </w:rPr>
        <w:t xml:space="preserve"> </w:t>
      </w:r>
      <w:r>
        <w:t>inventors</w:t>
      </w:r>
      <w:r>
        <w:rPr>
          <w:spacing w:val="-4"/>
        </w:rPr>
        <w:t xml:space="preserve"> </w:t>
      </w:r>
      <w:r>
        <w:t>of</w:t>
      </w:r>
      <w:r>
        <w:rPr>
          <w:spacing w:val="-4"/>
        </w:rPr>
        <w:t xml:space="preserve"> </w:t>
      </w:r>
      <w:r>
        <w:t>bifocals</w:t>
      </w:r>
      <w:r>
        <w:rPr>
          <w:spacing w:val="-4"/>
        </w:rPr>
        <w:t xml:space="preserve"> </w:t>
      </w:r>
      <w:r>
        <w:t>is</w:t>
      </w:r>
      <w:r>
        <w:rPr>
          <w:spacing w:val="-4"/>
        </w:rPr>
        <w:t xml:space="preserve"> </w:t>
      </w:r>
      <w:r>
        <w:t>identical</w:t>
      </w:r>
      <w:r>
        <w:rPr>
          <w:spacing w:val="-4"/>
        </w:rPr>
        <w:t xml:space="preserve"> </w:t>
      </w:r>
      <w:r>
        <w:t>with</w:t>
      </w:r>
      <w:r>
        <w:rPr>
          <w:spacing w:val="-3"/>
        </w:rPr>
        <w:t xml:space="preserve"> </w:t>
      </w:r>
      <w:r>
        <w:t>the</w:t>
      </w:r>
      <w:r>
        <w:rPr>
          <w:spacing w:val="-4"/>
        </w:rPr>
        <w:t xml:space="preserve"> </w:t>
      </w:r>
      <w:r>
        <w:t>first</w:t>
      </w:r>
      <w:r>
        <w:rPr>
          <w:spacing w:val="-4"/>
        </w:rPr>
        <w:t xml:space="preserve"> </w:t>
      </w:r>
      <w:r>
        <w:t>postmaster</w:t>
      </w:r>
      <w:r>
        <w:rPr>
          <w:spacing w:val="-4"/>
        </w:rPr>
        <w:t xml:space="preserve"> </w:t>
      </w:r>
      <w:r>
        <w:t>general. It’s also true, of course, that:</w:t>
      </w:r>
    </w:p>
    <w:p w14:paraId="7E000E77" w14:textId="77777777" w:rsidR="009A58DB" w:rsidRDefault="00000000">
      <w:pPr>
        <w:pStyle w:val="BodyText"/>
        <w:spacing w:line="343" w:lineRule="exact"/>
      </w:pPr>
      <w:r>
        <w:t>(TB)</w:t>
      </w:r>
      <w:r>
        <w:rPr>
          <w:spacing w:val="-6"/>
        </w:rPr>
        <w:t xml:space="preserve"> </w:t>
      </w:r>
      <w:r>
        <w:t>the</w:t>
      </w:r>
      <w:r>
        <w:rPr>
          <w:spacing w:val="-3"/>
        </w:rPr>
        <w:t xml:space="preserve"> </w:t>
      </w:r>
      <w:r>
        <w:t>inventor</w:t>
      </w:r>
      <w:r>
        <w:rPr>
          <w:spacing w:val="-4"/>
        </w:rPr>
        <w:t xml:space="preserve"> </w:t>
      </w:r>
      <w:r>
        <w:t>of</w:t>
      </w:r>
      <w:r>
        <w:rPr>
          <w:spacing w:val="-3"/>
        </w:rPr>
        <w:t xml:space="preserve"> </w:t>
      </w:r>
      <w:r>
        <w:t>bifocals</w:t>
      </w:r>
      <w:r>
        <w:rPr>
          <w:spacing w:val="-3"/>
        </w:rPr>
        <w:t xml:space="preserve"> </w:t>
      </w:r>
      <w:r>
        <w:t>is</w:t>
      </w:r>
      <w:r>
        <w:rPr>
          <w:spacing w:val="-4"/>
        </w:rPr>
        <w:t xml:space="preserve"> </w:t>
      </w:r>
      <w:r>
        <w:t>identical</w:t>
      </w:r>
      <w:r>
        <w:rPr>
          <w:spacing w:val="-3"/>
        </w:rPr>
        <w:t xml:space="preserve"> </w:t>
      </w:r>
      <w:r>
        <w:t>with</w:t>
      </w:r>
      <w:r>
        <w:rPr>
          <w:spacing w:val="-2"/>
        </w:rPr>
        <w:t xml:space="preserve"> </w:t>
      </w:r>
      <w:r>
        <w:t>the</w:t>
      </w:r>
      <w:r>
        <w:rPr>
          <w:spacing w:val="-4"/>
        </w:rPr>
        <w:t xml:space="preserve"> </w:t>
      </w:r>
      <w:r>
        <w:t>inventor</w:t>
      </w:r>
      <w:r>
        <w:rPr>
          <w:spacing w:val="-3"/>
        </w:rPr>
        <w:t xml:space="preserve"> </w:t>
      </w:r>
      <w:r>
        <w:t>of</w:t>
      </w:r>
      <w:r>
        <w:rPr>
          <w:spacing w:val="-3"/>
        </w:rPr>
        <w:t xml:space="preserve"> </w:t>
      </w:r>
      <w:r>
        <w:rPr>
          <w:spacing w:val="-2"/>
        </w:rPr>
        <w:t>bifocals.</w:t>
      </w:r>
    </w:p>
    <w:p w14:paraId="7E000E78" w14:textId="77777777" w:rsidR="009A58DB" w:rsidRDefault="009A58DB">
      <w:pPr>
        <w:pStyle w:val="BodyText"/>
        <w:spacing w:before="30"/>
        <w:ind w:left="0"/>
        <w:jc w:val="left"/>
      </w:pPr>
    </w:p>
    <w:p w14:paraId="7E000E79" w14:textId="77777777" w:rsidR="009A58DB" w:rsidRDefault="00000000">
      <w:pPr>
        <w:pStyle w:val="BodyText"/>
      </w:pPr>
      <w:r>
        <w:t>But,</w:t>
      </w:r>
      <w:r>
        <w:rPr>
          <w:spacing w:val="-5"/>
        </w:rPr>
        <w:t xml:space="preserve"> </w:t>
      </w:r>
      <w:r>
        <w:t>whereas</w:t>
      </w:r>
      <w:r>
        <w:rPr>
          <w:spacing w:val="-4"/>
        </w:rPr>
        <w:t xml:space="preserve"> </w:t>
      </w:r>
      <w:r>
        <w:t>TB</w:t>
      </w:r>
      <w:r>
        <w:rPr>
          <w:spacing w:val="-3"/>
        </w:rPr>
        <w:t xml:space="preserve"> </w:t>
      </w:r>
      <w:r>
        <w:t>is</w:t>
      </w:r>
      <w:r>
        <w:rPr>
          <w:spacing w:val="-4"/>
        </w:rPr>
        <w:t xml:space="preserve"> </w:t>
      </w:r>
      <w:r>
        <w:t>trivial,</w:t>
      </w:r>
      <w:r>
        <w:rPr>
          <w:spacing w:val="-2"/>
        </w:rPr>
        <w:t xml:space="preserve"> </w:t>
      </w:r>
      <w:r>
        <w:t>CB</w:t>
      </w:r>
      <w:r>
        <w:rPr>
          <w:spacing w:val="-4"/>
        </w:rPr>
        <w:t xml:space="preserve"> </w:t>
      </w:r>
      <w:r>
        <w:t>is</w:t>
      </w:r>
      <w:r>
        <w:rPr>
          <w:spacing w:val="-3"/>
        </w:rPr>
        <w:t xml:space="preserve"> </w:t>
      </w:r>
      <w:r>
        <w:t>non-</w:t>
      </w:r>
      <w:r>
        <w:rPr>
          <w:spacing w:val="-2"/>
        </w:rPr>
        <w:t>trivial.</w:t>
      </w:r>
    </w:p>
    <w:p w14:paraId="7E000E7A" w14:textId="77777777" w:rsidR="009A58DB" w:rsidRDefault="00000000">
      <w:pPr>
        <w:pStyle w:val="BodyText"/>
        <w:spacing w:before="15" w:line="249" w:lineRule="auto"/>
        <w:ind w:right="359" w:firstLine="360"/>
      </w:pPr>
      <w:r>
        <w:t xml:space="preserve">A moment ago, we considered Russell’s solution to this problem. Now we’re going to consider Frege’s solution. Frege’s solution is much more congenial to commonsense. But, when scrutinized, it turns out </w:t>
      </w:r>
      <w:r>
        <w:rPr>
          <w:i/>
        </w:rPr>
        <w:t xml:space="preserve">either </w:t>
      </w:r>
      <w:r>
        <w:t xml:space="preserve">to coincide with Russell’s solution </w:t>
      </w:r>
      <w:r>
        <w:rPr>
          <w:i/>
        </w:rPr>
        <w:t xml:space="preserve">or </w:t>
      </w:r>
      <w:r>
        <w:t>to be totally incoherent.</w:t>
      </w:r>
    </w:p>
    <w:p w14:paraId="7E000E7B" w14:textId="77777777" w:rsidR="009A58DB" w:rsidRDefault="00000000">
      <w:pPr>
        <w:pStyle w:val="Heading1"/>
        <w:numPr>
          <w:ilvl w:val="1"/>
          <w:numId w:val="176"/>
        </w:numPr>
        <w:tabs>
          <w:tab w:val="left" w:pos="990"/>
        </w:tabs>
        <w:spacing w:before="208"/>
      </w:pPr>
      <w:r>
        <w:t>Sense</w:t>
      </w:r>
      <w:r>
        <w:rPr>
          <w:spacing w:val="-4"/>
        </w:rPr>
        <w:t xml:space="preserve"> </w:t>
      </w:r>
      <w:r>
        <w:t>vs.</w:t>
      </w:r>
      <w:r>
        <w:rPr>
          <w:spacing w:val="-2"/>
        </w:rPr>
        <w:t xml:space="preserve"> reference</w:t>
      </w:r>
    </w:p>
    <w:p w14:paraId="7E000E7C" w14:textId="77777777" w:rsidR="009A58DB" w:rsidRDefault="00000000">
      <w:pPr>
        <w:pStyle w:val="BodyText"/>
        <w:spacing w:before="139"/>
      </w:pPr>
      <w:r>
        <w:t>Here</w:t>
      </w:r>
      <w:r>
        <w:rPr>
          <w:spacing w:val="-4"/>
        </w:rPr>
        <w:t xml:space="preserve"> </w:t>
      </w:r>
      <w:r>
        <w:t>is</w:t>
      </w:r>
      <w:r>
        <w:rPr>
          <w:spacing w:val="-4"/>
        </w:rPr>
        <w:t xml:space="preserve"> </w:t>
      </w:r>
      <w:r>
        <w:t>Frege’s</w:t>
      </w:r>
      <w:r>
        <w:rPr>
          <w:spacing w:val="-4"/>
        </w:rPr>
        <w:t xml:space="preserve"> </w:t>
      </w:r>
      <w:r>
        <w:rPr>
          <w:spacing w:val="-2"/>
        </w:rPr>
        <w:t>solution:</w:t>
      </w:r>
    </w:p>
    <w:p w14:paraId="7E000E7D" w14:textId="77777777" w:rsidR="009A58DB" w:rsidRDefault="00000000">
      <w:pPr>
        <w:pStyle w:val="BodyText"/>
        <w:spacing w:before="105" w:line="249" w:lineRule="auto"/>
        <w:ind w:left="720" w:right="361"/>
        <w:rPr>
          <w:i/>
        </w:rPr>
      </w:pPr>
      <w:r>
        <w:t>(FR</w:t>
      </w:r>
      <w:bookmarkStart w:id="192" w:name="_bookmark192"/>
      <w:bookmarkEnd w:id="192"/>
      <w:r>
        <w:t>)</w:t>
      </w:r>
      <w:r>
        <w:rPr>
          <w:color w:val="0562C1"/>
          <w:position w:val="21"/>
          <w:u w:val="single" w:color="0562C1"/>
        </w:rPr>
        <w:t>[110]</w:t>
      </w:r>
      <w:r>
        <w:rPr>
          <w:color w:val="0562C1"/>
          <w:position w:val="21"/>
        </w:rPr>
        <w:t xml:space="preserve"> </w:t>
      </w:r>
      <w:r>
        <w:t>“The inventor of bifocals” is a referring term; it picks</w:t>
      </w:r>
      <w:r>
        <w:rPr>
          <w:spacing w:val="40"/>
        </w:rPr>
        <w:t xml:space="preserve"> </w:t>
      </w:r>
      <w:r>
        <w:t>something out. That expression refers to a given thing if and only if that thing has the property of being a unique bifocal-inventor. If a given thing didn’t invent bifocals then “the inventors of bifocals” doesn’t refer to it. If lots of different individuals invented bifocals, then “the inventors of bifocals”</w:t>
      </w:r>
      <w:r>
        <w:rPr>
          <w:spacing w:val="25"/>
        </w:rPr>
        <w:t xml:space="preserve"> </w:t>
      </w:r>
      <w:r>
        <w:t>doesn’t</w:t>
      </w:r>
      <w:r>
        <w:rPr>
          <w:spacing w:val="25"/>
        </w:rPr>
        <w:t xml:space="preserve"> </w:t>
      </w:r>
      <w:r>
        <w:t>refer</w:t>
      </w:r>
      <w:r>
        <w:rPr>
          <w:spacing w:val="25"/>
        </w:rPr>
        <w:t xml:space="preserve"> </w:t>
      </w:r>
      <w:r>
        <w:t>to</w:t>
      </w:r>
      <w:r>
        <w:rPr>
          <w:spacing w:val="25"/>
        </w:rPr>
        <w:t xml:space="preserve"> </w:t>
      </w:r>
      <w:r>
        <w:t>anything.</w:t>
      </w:r>
      <w:r>
        <w:rPr>
          <w:spacing w:val="25"/>
        </w:rPr>
        <w:t xml:space="preserve"> </w:t>
      </w:r>
      <w:r>
        <w:t>(If</w:t>
      </w:r>
      <w:r>
        <w:rPr>
          <w:spacing w:val="25"/>
        </w:rPr>
        <w:t xml:space="preserve"> </w:t>
      </w:r>
      <w:r>
        <w:t>ten</w:t>
      </w:r>
      <w:r>
        <w:rPr>
          <w:spacing w:val="25"/>
        </w:rPr>
        <w:t xml:space="preserve"> </w:t>
      </w:r>
      <w:r>
        <w:t>people</w:t>
      </w:r>
      <w:r>
        <w:rPr>
          <w:spacing w:val="25"/>
        </w:rPr>
        <w:t xml:space="preserve"> </w:t>
      </w:r>
      <w:r>
        <w:t>collectively</w:t>
      </w:r>
      <w:r>
        <w:rPr>
          <w:spacing w:val="25"/>
        </w:rPr>
        <w:t xml:space="preserve"> </w:t>
      </w:r>
      <w:r>
        <w:t>wrote</w:t>
      </w:r>
      <w:r>
        <w:rPr>
          <w:spacing w:val="25"/>
        </w:rPr>
        <w:t xml:space="preserve"> </w:t>
      </w:r>
      <w:r>
        <w:rPr>
          <w:i/>
        </w:rPr>
        <w:t>War</w:t>
      </w:r>
    </w:p>
    <w:p w14:paraId="7E000E7E"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0E7F" w14:textId="77777777" w:rsidR="009A58DB" w:rsidRDefault="00000000">
      <w:pPr>
        <w:pStyle w:val="BodyText"/>
        <w:spacing w:before="60" w:line="249" w:lineRule="auto"/>
        <w:ind w:left="720" w:right="371"/>
      </w:pPr>
      <w:r>
        <w:rPr>
          <w:i/>
        </w:rPr>
        <w:lastRenderedPageBreak/>
        <w:t xml:space="preserve">and Peace, </w:t>
      </w:r>
      <w:r>
        <w:t xml:space="preserve">it would be wrong to speak of </w:t>
      </w:r>
      <w:r>
        <w:rPr>
          <w:i/>
        </w:rPr>
        <w:t>the</w:t>
      </w:r>
      <w:r>
        <w:rPr>
          <w:i/>
          <w:spacing w:val="-3"/>
        </w:rPr>
        <w:t xml:space="preserve"> </w:t>
      </w:r>
      <w:r>
        <w:t>author of that book.) And if</w:t>
      </w:r>
      <w:r>
        <w:rPr>
          <w:spacing w:val="40"/>
        </w:rPr>
        <w:t xml:space="preserve"> </w:t>
      </w:r>
      <w:r>
        <w:t xml:space="preserve">a given thing </w:t>
      </w:r>
      <w:r>
        <w:rPr>
          <w:i/>
        </w:rPr>
        <w:t>did</w:t>
      </w:r>
      <w:r>
        <w:rPr>
          <w:i/>
          <w:spacing w:val="-3"/>
        </w:rPr>
        <w:t xml:space="preserve"> </w:t>
      </w:r>
      <w:r>
        <w:t xml:space="preserve">uniquely invent bifocals, then “the inventors of bifocals” </w:t>
      </w:r>
      <w:r>
        <w:rPr>
          <w:i/>
        </w:rPr>
        <w:t xml:space="preserve">does </w:t>
      </w:r>
      <w:r>
        <w:t>refer to it.</w:t>
      </w:r>
    </w:p>
    <w:p w14:paraId="7E000E80" w14:textId="77777777" w:rsidR="009A58DB" w:rsidRDefault="00000000">
      <w:pPr>
        <w:pStyle w:val="BodyText"/>
        <w:spacing w:before="8" w:line="249" w:lineRule="auto"/>
        <w:ind w:left="720" w:right="358" w:firstLine="360"/>
      </w:pPr>
      <w:r>
        <w:t xml:space="preserve">So there are </w:t>
      </w:r>
      <w:r>
        <w:rPr>
          <w:i/>
        </w:rPr>
        <w:t xml:space="preserve">two </w:t>
      </w:r>
      <w:r>
        <w:t xml:space="preserve">dimensions to the semantics of “the inventors of bifocals.” There is what it refers to: this is the referent of “the inventors of bifocals.” (Sometimes “reference” is used instead of “referent.”) And there’s the property that a thing must have to </w:t>
      </w:r>
      <w:r>
        <w:rPr>
          <w:i/>
        </w:rPr>
        <w:t xml:space="preserve">be </w:t>
      </w:r>
      <w:r>
        <w:t xml:space="preserve">its referent; this property is the </w:t>
      </w:r>
      <w:r>
        <w:rPr>
          <w:i/>
        </w:rPr>
        <w:t xml:space="preserve">sense </w:t>
      </w:r>
      <w:r>
        <w:t>of that expression. The referent is BF, and the sense is the property of being a unique bifocal inventor.</w:t>
      </w:r>
    </w:p>
    <w:p w14:paraId="7E000E81" w14:textId="77777777" w:rsidR="009A58DB" w:rsidRDefault="00000000">
      <w:pPr>
        <w:pStyle w:val="BodyText"/>
        <w:spacing w:before="8" w:line="249" w:lineRule="auto"/>
        <w:ind w:left="720" w:right="358" w:firstLine="360"/>
      </w:pPr>
      <w:r>
        <w:t xml:space="preserve">Analogues of these points hold with respect to “the first postmaster general.” There is its referent (which is BF); and there is its </w:t>
      </w:r>
      <w:r>
        <w:rPr>
          <w:i/>
        </w:rPr>
        <w:t xml:space="preserve">sense </w:t>
      </w:r>
      <w:r>
        <w:t>(which</w:t>
      </w:r>
      <w:r>
        <w:rPr>
          <w:spacing w:val="40"/>
        </w:rPr>
        <w:t xml:space="preserve"> </w:t>
      </w:r>
      <w:r>
        <w:t>is the property of being a unique first postmaster general).</w:t>
      </w:r>
    </w:p>
    <w:p w14:paraId="7E000E82" w14:textId="77777777" w:rsidR="009A58DB" w:rsidRDefault="00000000">
      <w:pPr>
        <w:pStyle w:val="BodyText"/>
        <w:spacing w:before="3" w:line="249" w:lineRule="auto"/>
        <w:ind w:left="720" w:right="358" w:firstLine="360"/>
      </w:pPr>
      <w:r>
        <w:t>The reason that TB is non-trivial is that, although the definite descriptions in it have the same referent, they have different senses. A comparison may help. Imagine that you’re looking at a certain person in the distance. That person is in fact Ralph, but you don’t know it, because he’s so far away and also, let us suppose, because he is (for reasons that aren’t important) wearing a suit of armor. You see that he is doing</w:t>
      </w:r>
      <w:r>
        <w:rPr>
          <w:spacing w:val="40"/>
        </w:rPr>
        <w:t xml:space="preserve"> </w:t>
      </w:r>
      <w:r>
        <w:t xml:space="preserve">jumping jacks. Later Ralph is standing right in front of you and, of course, you see him. He’s wearing a plaid shirt. Once again, he’s doing jumping </w:t>
      </w:r>
      <w:r>
        <w:rPr>
          <w:spacing w:val="-2"/>
        </w:rPr>
        <w:t>jacks.</w:t>
      </w:r>
    </w:p>
    <w:p w14:paraId="7E000E83" w14:textId="77777777" w:rsidR="009A58DB" w:rsidRDefault="00000000">
      <w:pPr>
        <w:pStyle w:val="BodyText"/>
        <w:spacing w:before="11" w:line="249" w:lineRule="auto"/>
        <w:ind w:left="720" w:right="358" w:firstLine="360"/>
      </w:pPr>
      <w:r>
        <w:t>The first visual perception has the same object as the second. And each of those perceptions says of that object he or she is doing jumping jacks. But those two perceptions pick out that object in different ways. In the</w:t>
      </w:r>
      <w:r>
        <w:rPr>
          <w:spacing w:val="40"/>
        </w:rPr>
        <w:t xml:space="preserve"> </w:t>
      </w:r>
      <w:r>
        <w:t>first case, that object is presented to you as something that has one set of properties (it’s far away, wearing a suit of armor, etc.); in the other case it’s</w:t>
      </w:r>
      <w:r>
        <w:rPr>
          <w:spacing w:val="-3"/>
        </w:rPr>
        <w:t xml:space="preserve"> </w:t>
      </w:r>
      <w:r>
        <w:t>presented</w:t>
      </w:r>
      <w:r>
        <w:rPr>
          <w:spacing w:val="-2"/>
        </w:rPr>
        <w:t xml:space="preserve"> </w:t>
      </w:r>
      <w:r>
        <w:t>as</w:t>
      </w:r>
      <w:r>
        <w:rPr>
          <w:spacing w:val="-3"/>
        </w:rPr>
        <w:t xml:space="preserve"> </w:t>
      </w:r>
      <w:r>
        <w:t>having</w:t>
      </w:r>
      <w:r>
        <w:rPr>
          <w:spacing w:val="-2"/>
        </w:rPr>
        <w:t xml:space="preserve"> </w:t>
      </w:r>
      <w:r>
        <w:t>a</w:t>
      </w:r>
      <w:r>
        <w:rPr>
          <w:spacing w:val="-3"/>
        </w:rPr>
        <w:t xml:space="preserve"> </w:t>
      </w:r>
      <w:r>
        <w:t>different</w:t>
      </w:r>
      <w:r>
        <w:rPr>
          <w:spacing w:val="-3"/>
        </w:rPr>
        <w:t xml:space="preserve"> </w:t>
      </w:r>
      <w:r>
        <w:t>set</w:t>
      </w:r>
      <w:r>
        <w:rPr>
          <w:spacing w:val="-3"/>
        </w:rPr>
        <w:t xml:space="preserve"> </w:t>
      </w:r>
      <w:r>
        <w:t>of</w:t>
      </w:r>
      <w:r>
        <w:rPr>
          <w:spacing w:val="-3"/>
        </w:rPr>
        <w:t xml:space="preserve"> </w:t>
      </w:r>
      <w:r>
        <w:t>properties</w:t>
      </w:r>
      <w:r>
        <w:rPr>
          <w:spacing w:val="-3"/>
        </w:rPr>
        <w:t xml:space="preserve"> </w:t>
      </w:r>
      <w:r>
        <w:t>(it’s</w:t>
      </w:r>
      <w:r>
        <w:rPr>
          <w:spacing w:val="-3"/>
        </w:rPr>
        <w:t xml:space="preserve"> </w:t>
      </w:r>
      <w:r>
        <w:t>nearby,</w:t>
      </w:r>
      <w:r>
        <w:rPr>
          <w:spacing w:val="-2"/>
        </w:rPr>
        <w:t xml:space="preserve"> </w:t>
      </w:r>
      <w:r>
        <w:t>is</w:t>
      </w:r>
      <w:r>
        <w:rPr>
          <w:spacing w:val="-3"/>
        </w:rPr>
        <w:t xml:space="preserve"> </w:t>
      </w:r>
      <w:r>
        <w:t>wearing a</w:t>
      </w:r>
      <w:r>
        <w:rPr>
          <w:spacing w:val="-1"/>
        </w:rPr>
        <w:t xml:space="preserve"> </w:t>
      </w:r>
      <w:r>
        <w:t>plaid</w:t>
      </w:r>
      <w:r>
        <w:rPr>
          <w:spacing w:val="-1"/>
        </w:rPr>
        <w:t xml:space="preserve"> </w:t>
      </w:r>
      <w:r>
        <w:t>shirt,</w:t>
      </w:r>
      <w:r>
        <w:rPr>
          <w:spacing w:val="-1"/>
        </w:rPr>
        <w:t xml:space="preserve"> </w:t>
      </w:r>
      <w:r>
        <w:t>etc.).</w:t>
      </w:r>
      <w:r>
        <w:rPr>
          <w:spacing w:val="-1"/>
        </w:rPr>
        <w:t xml:space="preserve"> </w:t>
      </w:r>
      <w:r>
        <w:t>And</w:t>
      </w:r>
      <w:r>
        <w:rPr>
          <w:spacing w:val="-1"/>
        </w:rPr>
        <w:t xml:space="preserve"> </w:t>
      </w:r>
      <w:r>
        <w:t>that’s</w:t>
      </w:r>
      <w:r>
        <w:rPr>
          <w:spacing w:val="-1"/>
        </w:rPr>
        <w:t xml:space="preserve"> </w:t>
      </w:r>
      <w:r>
        <w:t>why,</w:t>
      </w:r>
      <w:r>
        <w:rPr>
          <w:spacing w:val="-1"/>
        </w:rPr>
        <w:t xml:space="preserve"> </w:t>
      </w:r>
      <w:r>
        <w:t>even</w:t>
      </w:r>
      <w:r>
        <w:rPr>
          <w:spacing w:val="-1"/>
        </w:rPr>
        <w:t xml:space="preserve"> </w:t>
      </w:r>
      <w:r>
        <w:t>though</w:t>
      </w:r>
      <w:r>
        <w:rPr>
          <w:spacing w:val="-1"/>
        </w:rPr>
        <w:t xml:space="preserve"> </w:t>
      </w:r>
      <w:r>
        <w:t>those</w:t>
      </w:r>
      <w:r>
        <w:rPr>
          <w:spacing w:val="-1"/>
        </w:rPr>
        <w:t xml:space="preserve"> </w:t>
      </w:r>
      <w:r>
        <w:t>perceptions</w:t>
      </w:r>
      <w:r>
        <w:rPr>
          <w:spacing w:val="-1"/>
        </w:rPr>
        <w:t xml:space="preserve"> </w:t>
      </w:r>
      <w:r>
        <w:t>have</w:t>
      </w:r>
      <w:r>
        <w:rPr>
          <w:spacing w:val="-1"/>
        </w:rPr>
        <w:t xml:space="preserve"> </w:t>
      </w:r>
      <w:r>
        <w:t>the same object, and even though both attribute the property of doing jumping jacks to that object, those perceptions tell you different things.</w:t>
      </w:r>
    </w:p>
    <w:p w14:paraId="7E000E84" w14:textId="77777777" w:rsidR="009A58DB" w:rsidRDefault="00000000">
      <w:pPr>
        <w:pStyle w:val="BodyText"/>
        <w:spacing w:before="12" w:line="249" w:lineRule="auto"/>
        <w:ind w:left="720" w:right="358" w:firstLine="360"/>
      </w:pPr>
      <w:r>
        <w:t>The relationship between “the inventors of bifocals” and “the first postmaster general” is to be understood along similar lines. They have the same object (referent); but they pick that thing out through different</w:t>
      </w:r>
      <w:r>
        <w:rPr>
          <w:spacing w:val="40"/>
        </w:rPr>
        <w:t xml:space="preserve"> </w:t>
      </w:r>
      <w:r>
        <w:t>bodies</w:t>
      </w:r>
      <w:r>
        <w:rPr>
          <w:spacing w:val="19"/>
        </w:rPr>
        <w:t xml:space="preserve"> </w:t>
      </w:r>
      <w:r>
        <w:t>of</w:t>
      </w:r>
      <w:r>
        <w:rPr>
          <w:spacing w:val="22"/>
        </w:rPr>
        <w:t xml:space="preserve"> </w:t>
      </w:r>
      <w:r>
        <w:t>information.</w:t>
      </w:r>
      <w:r>
        <w:rPr>
          <w:spacing w:val="21"/>
        </w:rPr>
        <w:t xml:space="preserve"> </w:t>
      </w:r>
      <w:r>
        <w:t>That’s</w:t>
      </w:r>
      <w:r>
        <w:rPr>
          <w:spacing w:val="22"/>
        </w:rPr>
        <w:t xml:space="preserve"> </w:t>
      </w:r>
      <w:r>
        <w:t>why</w:t>
      </w:r>
      <w:r>
        <w:rPr>
          <w:spacing w:val="21"/>
        </w:rPr>
        <w:t xml:space="preserve"> </w:t>
      </w:r>
      <w:r>
        <w:t>‹the</w:t>
      </w:r>
      <w:r>
        <w:rPr>
          <w:spacing w:val="22"/>
        </w:rPr>
        <w:t xml:space="preserve"> </w:t>
      </w:r>
      <w:r>
        <w:t>inventors</w:t>
      </w:r>
      <w:r>
        <w:rPr>
          <w:spacing w:val="21"/>
        </w:rPr>
        <w:t xml:space="preserve"> </w:t>
      </w:r>
      <w:r>
        <w:t>of</w:t>
      </w:r>
      <w:r>
        <w:rPr>
          <w:spacing w:val="22"/>
        </w:rPr>
        <w:t xml:space="preserve"> </w:t>
      </w:r>
      <w:r>
        <w:t>bifocals</w:t>
      </w:r>
      <w:r>
        <w:rPr>
          <w:spacing w:val="21"/>
        </w:rPr>
        <w:t xml:space="preserve"> </w:t>
      </w:r>
      <w:r>
        <w:t>has</w:t>
      </w:r>
      <w:r>
        <w:rPr>
          <w:spacing w:val="22"/>
        </w:rPr>
        <w:t xml:space="preserve"> </w:t>
      </w:r>
      <w:r>
        <w:t>phi›</w:t>
      </w:r>
      <w:r>
        <w:rPr>
          <w:spacing w:val="22"/>
        </w:rPr>
        <w:t xml:space="preserve"> </w:t>
      </w:r>
      <w:r>
        <w:rPr>
          <w:spacing w:val="-5"/>
        </w:rPr>
        <w:t>and</w:t>
      </w:r>
    </w:p>
    <w:p w14:paraId="7E000E85" w14:textId="77777777" w:rsidR="009A58DB" w:rsidRDefault="00000000">
      <w:pPr>
        <w:pStyle w:val="BodyText"/>
        <w:spacing w:before="4"/>
        <w:ind w:left="720"/>
        <w:rPr>
          <w:i/>
        </w:rPr>
      </w:pPr>
      <w:r>
        <w:t>‹the</w:t>
      </w:r>
      <w:r>
        <w:rPr>
          <w:spacing w:val="2"/>
        </w:rPr>
        <w:t xml:space="preserve"> </w:t>
      </w:r>
      <w:r>
        <w:t>first</w:t>
      </w:r>
      <w:r>
        <w:rPr>
          <w:spacing w:val="5"/>
        </w:rPr>
        <w:t xml:space="preserve"> </w:t>
      </w:r>
      <w:r>
        <w:t>postmaster</w:t>
      </w:r>
      <w:r>
        <w:rPr>
          <w:spacing w:val="6"/>
        </w:rPr>
        <w:t xml:space="preserve"> </w:t>
      </w:r>
      <w:r>
        <w:t>general</w:t>
      </w:r>
      <w:r>
        <w:rPr>
          <w:spacing w:val="5"/>
        </w:rPr>
        <w:t xml:space="preserve"> </w:t>
      </w:r>
      <w:r>
        <w:t>has</w:t>
      </w:r>
      <w:r>
        <w:rPr>
          <w:spacing w:val="6"/>
        </w:rPr>
        <w:t xml:space="preserve"> </w:t>
      </w:r>
      <w:r>
        <w:t>phi›</w:t>
      </w:r>
      <w:r>
        <w:rPr>
          <w:spacing w:val="5"/>
        </w:rPr>
        <w:t xml:space="preserve"> </w:t>
      </w:r>
      <w:r>
        <w:t>tell</w:t>
      </w:r>
      <w:r>
        <w:rPr>
          <w:spacing w:val="5"/>
        </w:rPr>
        <w:t xml:space="preserve"> </w:t>
      </w:r>
      <w:r>
        <w:t>you</w:t>
      </w:r>
      <w:r>
        <w:rPr>
          <w:spacing w:val="6"/>
        </w:rPr>
        <w:t xml:space="preserve"> </w:t>
      </w:r>
      <w:r>
        <w:t>different</w:t>
      </w:r>
      <w:r>
        <w:rPr>
          <w:spacing w:val="5"/>
        </w:rPr>
        <w:t xml:space="preserve"> </w:t>
      </w:r>
      <w:r>
        <w:t>things,</w:t>
      </w:r>
      <w:r>
        <w:rPr>
          <w:spacing w:val="6"/>
        </w:rPr>
        <w:t xml:space="preserve"> </w:t>
      </w:r>
      <w:r>
        <w:rPr>
          <w:i/>
        </w:rPr>
        <w:t>even</w:t>
      </w:r>
      <w:r>
        <w:rPr>
          <w:i/>
          <w:spacing w:val="12"/>
        </w:rPr>
        <w:t xml:space="preserve"> </w:t>
      </w:r>
      <w:r>
        <w:rPr>
          <w:i/>
          <w:spacing w:val="-2"/>
        </w:rPr>
        <w:t>though</w:t>
      </w:r>
    </w:p>
    <w:p w14:paraId="7E000E86" w14:textId="77777777" w:rsidR="009A58DB" w:rsidRDefault="009A58DB">
      <w:pPr>
        <w:pStyle w:val="BodyText"/>
        <w:rPr>
          <w:i/>
        </w:rPr>
        <w:sectPr w:rsidR="009A58DB">
          <w:pgSz w:w="12240" w:h="15840"/>
          <w:pgMar w:top="1380" w:right="1080" w:bottom="280" w:left="1080" w:header="720" w:footer="720" w:gutter="0"/>
          <w:cols w:space="720"/>
        </w:sectPr>
      </w:pPr>
    </w:p>
    <w:p w14:paraId="7E000E87" w14:textId="77777777" w:rsidR="009A58DB" w:rsidRDefault="00000000">
      <w:pPr>
        <w:pStyle w:val="BodyText"/>
        <w:spacing w:before="65"/>
        <w:ind w:left="720"/>
        <w:jc w:val="left"/>
        <w:rPr>
          <w:position w:val="21"/>
        </w:rPr>
      </w:pPr>
      <w:r>
        <w:lastRenderedPageBreak/>
        <w:t>they</w:t>
      </w:r>
      <w:r>
        <w:rPr>
          <w:spacing w:val="-5"/>
        </w:rPr>
        <w:t xml:space="preserve"> </w:t>
      </w:r>
      <w:r>
        <w:t>attribute</w:t>
      </w:r>
      <w:r>
        <w:rPr>
          <w:spacing w:val="-4"/>
        </w:rPr>
        <w:t xml:space="preserve"> </w:t>
      </w:r>
      <w:r>
        <w:t>the</w:t>
      </w:r>
      <w:r>
        <w:rPr>
          <w:spacing w:val="-3"/>
        </w:rPr>
        <w:t xml:space="preserve"> </w:t>
      </w:r>
      <w:r>
        <w:t>same</w:t>
      </w:r>
      <w:r>
        <w:rPr>
          <w:spacing w:val="-4"/>
        </w:rPr>
        <w:t xml:space="preserve"> </w:t>
      </w:r>
      <w:r>
        <w:t>property</w:t>
      </w:r>
      <w:r>
        <w:rPr>
          <w:spacing w:val="-3"/>
        </w:rPr>
        <w:t xml:space="preserve"> </w:t>
      </w:r>
      <w:r>
        <w:t>(phi)</w:t>
      </w:r>
      <w:r>
        <w:rPr>
          <w:spacing w:val="-3"/>
        </w:rPr>
        <w:t xml:space="preserve"> </w:t>
      </w:r>
      <w:r>
        <w:t>to</w:t>
      </w:r>
      <w:r>
        <w:rPr>
          <w:spacing w:val="-3"/>
        </w:rPr>
        <w:t xml:space="preserve"> </w:t>
      </w:r>
      <w:r>
        <w:t>the</w:t>
      </w:r>
      <w:r>
        <w:rPr>
          <w:spacing w:val="-3"/>
        </w:rPr>
        <w:t xml:space="preserve"> </w:t>
      </w:r>
      <w:r>
        <w:t>same</w:t>
      </w:r>
      <w:r>
        <w:rPr>
          <w:spacing w:val="-4"/>
        </w:rPr>
        <w:t xml:space="preserve"> </w:t>
      </w:r>
      <w:r>
        <w:t>object</w:t>
      </w:r>
      <w:r>
        <w:rPr>
          <w:spacing w:val="-3"/>
        </w:rPr>
        <w:t xml:space="preserve"> </w:t>
      </w:r>
      <w:r>
        <w:rPr>
          <w:spacing w:val="-2"/>
        </w:rPr>
        <w:t>(BF)</w:t>
      </w:r>
      <w:bookmarkStart w:id="193" w:name="_bookmark193"/>
      <w:bookmarkEnd w:id="193"/>
      <w:r>
        <w:rPr>
          <w:spacing w:val="-2"/>
        </w:rPr>
        <w:t>.</w:t>
      </w:r>
      <w:r>
        <w:rPr>
          <w:color w:val="0562C1"/>
          <w:spacing w:val="-2"/>
          <w:position w:val="21"/>
          <w:u w:val="single" w:color="0562C1"/>
        </w:rPr>
        <w:t>[111]</w:t>
      </w:r>
    </w:p>
    <w:p w14:paraId="7E000E88" w14:textId="77777777" w:rsidR="009A58DB" w:rsidRDefault="00000000">
      <w:pPr>
        <w:pStyle w:val="Heading1"/>
        <w:numPr>
          <w:ilvl w:val="1"/>
          <w:numId w:val="176"/>
        </w:numPr>
        <w:tabs>
          <w:tab w:val="left" w:pos="1274"/>
          <w:tab w:val="left" w:pos="2364"/>
          <w:tab w:val="left" w:pos="3967"/>
          <w:tab w:val="left" w:pos="5779"/>
          <w:tab w:val="left" w:pos="6519"/>
          <w:tab w:val="left" w:pos="9007"/>
        </w:tabs>
        <w:spacing w:line="244" w:lineRule="auto"/>
        <w:ind w:left="360" w:right="370" w:firstLine="0"/>
      </w:pPr>
      <w:r>
        <w:rPr>
          <w:spacing w:val="-4"/>
        </w:rPr>
        <w:t>The</w:t>
      </w:r>
      <w:r>
        <w:tab/>
      </w:r>
      <w:r>
        <w:rPr>
          <w:spacing w:val="-2"/>
        </w:rPr>
        <w:t>partial</w:t>
      </w:r>
      <w:r>
        <w:tab/>
      </w:r>
      <w:r>
        <w:rPr>
          <w:spacing w:val="-2"/>
        </w:rPr>
        <w:t>collapse</w:t>
      </w:r>
      <w:r>
        <w:tab/>
      </w:r>
      <w:r>
        <w:rPr>
          <w:spacing w:val="-6"/>
        </w:rPr>
        <w:t>of</w:t>
      </w:r>
      <w:r>
        <w:tab/>
      </w:r>
      <w:r>
        <w:rPr>
          <w:spacing w:val="-2"/>
        </w:rPr>
        <w:t>Fregeanism</w:t>
      </w:r>
      <w:r>
        <w:tab/>
      </w:r>
      <w:r>
        <w:rPr>
          <w:spacing w:val="-4"/>
        </w:rPr>
        <w:t xml:space="preserve">into </w:t>
      </w:r>
      <w:r>
        <w:rPr>
          <w:spacing w:val="-2"/>
        </w:rPr>
        <w:t>Russellianism</w:t>
      </w:r>
    </w:p>
    <w:p w14:paraId="7E000E89" w14:textId="77777777" w:rsidR="009A58DB" w:rsidRDefault="00000000">
      <w:pPr>
        <w:pStyle w:val="BodyText"/>
        <w:spacing w:before="131"/>
      </w:pPr>
      <w:r>
        <w:t>This</w:t>
      </w:r>
      <w:r>
        <w:rPr>
          <w:spacing w:val="-7"/>
        </w:rPr>
        <w:t xml:space="preserve"> </w:t>
      </w:r>
      <w:r>
        <w:t>all</w:t>
      </w:r>
      <w:r>
        <w:rPr>
          <w:spacing w:val="-5"/>
        </w:rPr>
        <w:t xml:space="preserve"> </w:t>
      </w:r>
      <w:r>
        <w:t>seems</w:t>
      </w:r>
      <w:r>
        <w:rPr>
          <w:spacing w:val="-4"/>
        </w:rPr>
        <w:t xml:space="preserve"> </w:t>
      </w:r>
      <w:r>
        <w:t>not</w:t>
      </w:r>
      <w:r>
        <w:rPr>
          <w:spacing w:val="-5"/>
        </w:rPr>
        <w:t xml:space="preserve"> </w:t>
      </w:r>
      <w:r>
        <w:t>only</w:t>
      </w:r>
      <w:r>
        <w:rPr>
          <w:spacing w:val="-4"/>
        </w:rPr>
        <w:t xml:space="preserve"> </w:t>
      </w:r>
      <w:r>
        <w:t>plausible,</w:t>
      </w:r>
      <w:r>
        <w:rPr>
          <w:spacing w:val="-3"/>
        </w:rPr>
        <w:t xml:space="preserve"> </w:t>
      </w:r>
      <w:r>
        <w:t>but</w:t>
      </w:r>
      <w:r>
        <w:rPr>
          <w:spacing w:val="-5"/>
        </w:rPr>
        <w:t xml:space="preserve"> </w:t>
      </w:r>
      <w:r>
        <w:t>practically</w:t>
      </w:r>
      <w:r>
        <w:rPr>
          <w:spacing w:val="-3"/>
        </w:rPr>
        <w:t xml:space="preserve"> </w:t>
      </w:r>
      <w:r>
        <w:t>self-</w:t>
      </w:r>
      <w:r>
        <w:rPr>
          <w:spacing w:val="-2"/>
        </w:rPr>
        <w:t>evident.</w:t>
      </w:r>
    </w:p>
    <w:p w14:paraId="7E000E8A" w14:textId="77777777" w:rsidR="009A58DB" w:rsidRDefault="00000000">
      <w:pPr>
        <w:pStyle w:val="BodyText"/>
        <w:spacing w:before="15" w:line="249" w:lineRule="auto"/>
        <w:ind w:right="360" w:firstLine="360"/>
      </w:pPr>
      <w:r>
        <w:t xml:space="preserve">But it’s false and, indeed, incoherent. Let’s consider the two sense-perceptions discussed in FR. The one perception tells you that there is something in the distance, wearing a suit of armor, etc., and that thing is doing jumping jacks. So the sense in which Ralph is the </w:t>
      </w:r>
      <w:r>
        <w:rPr>
          <w:i/>
        </w:rPr>
        <w:t xml:space="preserve">object </w:t>
      </w:r>
      <w:r>
        <w:t xml:space="preserve">of that perception is that your perception </w:t>
      </w:r>
      <w:r>
        <w:rPr>
          <w:i/>
        </w:rPr>
        <w:t xml:space="preserve">describes </w:t>
      </w:r>
      <w:r>
        <w:t xml:space="preserve">Ralph. Your perception says: “something or other is over there, in the distance, wearing a suit of armor, [etc.].” Who (or what) fits that description? In other words, who has the relevant properties? Ralph. So Ralph is the object of that perception in the sense it </w:t>
      </w:r>
      <w:r>
        <w:rPr>
          <w:i/>
        </w:rPr>
        <w:t xml:space="preserve">describes </w:t>
      </w:r>
      <w:r>
        <w:t>him.</w:t>
      </w:r>
    </w:p>
    <w:p w14:paraId="7E000E8B" w14:textId="77777777" w:rsidR="009A58DB" w:rsidRDefault="00000000">
      <w:pPr>
        <w:pStyle w:val="BodyText"/>
        <w:spacing w:before="12" w:line="249" w:lineRule="auto"/>
        <w:ind w:right="358" w:firstLine="360"/>
      </w:pPr>
      <w:r>
        <w:t>The information borne by that perception has the form “something has such and such properties [it’s wearing a suit of armor, etc.], and any such thing</w:t>
      </w:r>
      <w:r>
        <w:rPr>
          <w:spacing w:val="-3"/>
        </w:rPr>
        <w:t xml:space="preserve"> </w:t>
      </w:r>
      <w:r>
        <w:t>is</w:t>
      </w:r>
      <w:r>
        <w:rPr>
          <w:spacing w:val="-4"/>
        </w:rPr>
        <w:t xml:space="preserve"> </w:t>
      </w:r>
      <w:r>
        <w:t>doing</w:t>
      </w:r>
      <w:r>
        <w:rPr>
          <w:spacing w:val="-3"/>
        </w:rPr>
        <w:t xml:space="preserve"> </w:t>
      </w:r>
      <w:r>
        <w:t>jumping</w:t>
      </w:r>
      <w:r>
        <w:rPr>
          <w:spacing w:val="-3"/>
        </w:rPr>
        <w:t xml:space="preserve"> </w:t>
      </w:r>
      <w:r>
        <w:t>jacks.”</w:t>
      </w:r>
      <w:r>
        <w:rPr>
          <w:spacing w:val="-4"/>
        </w:rPr>
        <w:t xml:space="preserve"> </w:t>
      </w:r>
      <w:r>
        <w:t>Thus,</w:t>
      </w:r>
      <w:r>
        <w:rPr>
          <w:spacing w:val="-3"/>
        </w:rPr>
        <w:t xml:space="preserve"> </w:t>
      </w:r>
      <w:r>
        <w:t>the</w:t>
      </w:r>
      <w:r>
        <w:rPr>
          <w:spacing w:val="-4"/>
        </w:rPr>
        <w:t xml:space="preserve"> </w:t>
      </w:r>
      <w:r>
        <w:t>content</w:t>
      </w:r>
      <w:r>
        <w:rPr>
          <w:spacing w:val="-4"/>
        </w:rPr>
        <w:t xml:space="preserve"> </w:t>
      </w:r>
      <w:r>
        <w:t>of</w:t>
      </w:r>
      <w:r>
        <w:rPr>
          <w:spacing w:val="-4"/>
        </w:rPr>
        <w:t xml:space="preserve"> </w:t>
      </w:r>
      <w:r>
        <w:t>that</w:t>
      </w:r>
      <w:r>
        <w:rPr>
          <w:spacing w:val="-4"/>
        </w:rPr>
        <w:t xml:space="preserve"> </w:t>
      </w:r>
      <w:r>
        <w:t>perception</w:t>
      </w:r>
      <w:r>
        <w:rPr>
          <w:spacing w:val="-3"/>
        </w:rPr>
        <w:t xml:space="preserve"> </w:t>
      </w:r>
      <w:r>
        <w:t>is</w:t>
      </w:r>
      <w:r>
        <w:rPr>
          <w:spacing w:val="-4"/>
        </w:rPr>
        <w:t xml:space="preserve"> </w:t>
      </w:r>
      <w:r>
        <w:t>given</w:t>
      </w:r>
      <w:r>
        <w:rPr>
          <w:spacing w:val="-3"/>
        </w:rPr>
        <w:t xml:space="preserve"> </w:t>
      </w:r>
      <w:r>
        <w:t xml:space="preserve">by an </w:t>
      </w:r>
      <w:r>
        <w:rPr>
          <w:b/>
          <w:i/>
        </w:rPr>
        <w:t xml:space="preserve">existence-claim </w:t>
      </w:r>
      <w:r>
        <w:t>(a claim of the form “something has phi”). Ralph</w:t>
      </w:r>
      <w:r>
        <w:rPr>
          <w:spacing w:val="40"/>
        </w:rPr>
        <w:t xml:space="preserve"> </w:t>
      </w:r>
      <w:r>
        <w:t>uniquely satisfies that existence-claim. (In other words, he and he alone has the relevant property.) And it is in virtue of his doing so that he is the object of the perception in question.</w:t>
      </w:r>
    </w:p>
    <w:p w14:paraId="7E000E8C" w14:textId="77777777" w:rsidR="009A58DB" w:rsidRDefault="00000000">
      <w:pPr>
        <w:pStyle w:val="BodyText"/>
        <w:spacing w:before="8" w:line="249" w:lineRule="auto"/>
        <w:ind w:right="358" w:firstLine="360"/>
      </w:pPr>
      <w:r>
        <w:t xml:space="preserve">The same thing </w:t>
      </w:r>
      <w:r>
        <w:rPr>
          <w:i/>
        </w:rPr>
        <w:t xml:space="preserve">mutatis mutandis </w:t>
      </w:r>
      <w:r>
        <w:t>is true of your second perception. The information</w:t>
      </w:r>
      <w:r>
        <w:rPr>
          <w:spacing w:val="-3"/>
        </w:rPr>
        <w:t xml:space="preserve"> </w:t>
      </w:r>
      <w:r>
        <w:t>borne</w:t>
      </w:r>
      <w:r>
        <w:rPr>
          <w:spacing w:val="-3"/>
        </w:rPr>
        <w:t xml:space="preserve"> </w:t>
      </w:r>
      <w:r>
        <w:t>by</w:t>
      </w:r>
      <w:r>
        <w:rPr>
          <w:spacing w:val="-3"/>
        </w:rPr>
        <w:t xml:space="preserve"> </w:t>
      </w:r>
      <w:r>
        <w:t>that</w:t>
      </w:r>
      <w:r>
        <w:rPr>
          <w:spacing w:val="-3"/>
        </w:rPr>
        <w:t xml:space="preserve"> </w:t>
      </w:r>
      <w:r>
        <w:t>perception</w:t>
      </w:r>
      <w:r>
        <w:rPr>
          <w:spacing w:val="-3"/>
        </w:rPr>
        <w:t xml:space="preserve"> </w:t>
      </w:r>
      <w:r>
        <w:t>is</w:t>
      </w:r>
      <w:r>
        <w:rPr>
          <w:spacing w:val="-3"/>
        </w:rPr>
        <w:t xml:space="preserve"> </w:t>
      </w:r>
      <w:r>
        <w:t>along</w:t>
      </w:r>
      <w:r>
        <w:rPr>
          <w:spacing w:val="-3"/>
        </w:rPr>
        <w:t xml:space="preserve"> </w:t>
      </w:r>
      <w:r>
        <w:t>the</w:t>
      </w:r>
      <w:r>
        <w:rPr>
          <w:spacing w:val="-3"/>
        </w:rPr>
        <w:t xml:space="preserve"> </w:t>
      </w:r>
      <w:r>
        <w:t>lines</w:t>
      </w:r>
      <w:r>
        <w:rPr>
          <w:spacing w:val="-3"/>
        </w:rPr>
        <w:t xml:space="preserve"> </w:t>
      </w:r>
      <w:r>
        <w:t>of</w:t>
      </w:r>
      <w:r>
        <w:rPr>
          <w:spacing w:val="-3"/>
        </w:rPr>
        <w:t xml:space="preserve"> </w:t>
      </w:r>
      <w:r>
        <w:t>“something</w:t>
      </w:r>
      <w:r>
        <w:rPr>
          <w:spacing w:val="-3"/>
        </w:rPr>
        <w:t xml:space="preserve"> </w:t>
      </w:r>
      <w:r>
        <w:t>has</w:t>
      </w:r>
      <w:r>
        <w:rPr>
          <w:spacing w:val="-3"/>
        </w:rPr>
        <w:t xml:space="preserve"> </w:t>
      </w:r>
      <w:r>
        <w:t>thus and such properties [it’s standing nearby, is wearing a plaid shirt ,etc.], and any such thing is doing jumping jacks.” Ralph is the object of that perception by virtue of the fact that he and he alone has the relevant properties—that he and he alone is a thing standing in the relevant place while wearing a plaid shirt, etc.</w:t>
      </w:r>
    </w:p>
    <w:p w14:paraId="7E000E8D" w14:textId="77777777" w:rsidR="009A58DB" w:rsidRDefault="00000000">
      <w:pPr>
        <w:pStyle w:val="BodyText"/>
        <w:spacing w:before="9" w:line="249" w:lineRule="auto"/>
        <w:ind w:right="361" w:firstLine="360"/>
      </w:pPr>
      <w:r>
        <w:t xml:space="preserve">In general, when a given thing x is picked out </w:t>
      </w:r>
      <w:r>
        <w:rPr>
          <w:i/>
        </w:rPr>
        <w:t xml:space="preserve">by way of </w:t>
      </w:r>
      <w:r>
        <w:t>descriptive information, what’s really going on is that some statement of the form “something has such and such properties” is being affirmed (not necessarily verbally), and x is what fits the description.</w:t>
      </w:r>
    </w:p>
    <w:p w14:paraId="7E000E8E" w14:textId="77777777" w:rsidR="009A58DB" w:rsidRDefault="00000000">
      <w:pPr>
        <w:pStyle w:val="BodyText"/>
        <w:spacing w:before="5" w:line="249" w:lineRule="auto"/>
        <w:ind w:right="366" w:firstLine="360"/>
      </w:pPr>
      <w:r>
        <w:t>If we bear this point in mind, we find that, so far as it isn’t totally incoherent, Frege’s analysis collapses into Russell’s. Consider the sentence:</w:t>
      </w:r>
    </w:p>
    <w:p w14:paraId="7E000E8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90" w14:textId="77777777" w:rsidR="009A58DB" w:rsidRDefault="00000000">
      <w:pPr>
        <w:pStyle w:val="BodyText"/>
        <w:spacing w:before="65" w:line="277" w:lineRule="exact"/>
        <w:ind w:left="759"/>
        <w:jc w:val="left"/>
      </w:pPr>
      <w:bookmarkStart w:id="194" w:name="_bookmark194"/>
      <w:bookmarkEnd w:id="194"/>
      <w:r>
        <w:rPr>
          <w:color w:val="0562C1"/>
          <w:spacing w:val="-2"/>
          <w:u w:val="single" w:color="0562C1"/>
        </w:rPr>
        <w:lastRenderedPageBreak/>
        <w:t>[112]</w:t>
      </w:r>
    </w:p>
    <w:p w14:paraId="7E000E91" w14:textId="77777777" w:rsidR="009A58DB" w:rsidRDefault="00000000">
      <w:pPr>
        <w:pStyle w:val="BodyText"/>
        <w:tabs>
          <w:tab w:val="left" w:pos="1409"/>
        </w:tabs>
        <w:spacing w:line="277" w:lineRule="exact"/>
        <w:jc w:val="left"/>
      </w:pPr>
      <w:r>
        <w:rPr>
          <w:spacing w:val="-5"/>
        </w:rPr>
        <w:t>(IB</w:t>
      </w:r>
      <w:r>
        <w:tab/>
        <w:t>)</w:t>
      </w:r>
      <w:r>
        <w:rPr>
          <w:spacing w:val="-5"/>
        </w:rPr>
        <w:t xml:space="preserve"> </w:t>
      </w:r>
      <w:r>
        <w:t>“the</w:t>
      </w:r>
      <w:r>
        <w:rPr>
          <w:spacing w:val="-3"/>
        </w:rPr>
        <w:t xml:space="preserve"> </w:t>
      </w:r>
      <w:r>
        <w:t>inventor</w:t>
      </w:r>
      <w:r>
        <w:rPr>
          <w:spacing w:val="-3"/>
        </w:rPr>
        <w:t xml:space="preserve"> </w:t>
      </w:r>
      <w:r>
        <w:t>of</w:t>
      </w:r>
      <w:r>
        <w:rPr>
          <w:spacing w:val="-3"/>
        </w:rPr>
        <w:t xml:space="preserve"> </w:t>
      </w:r>
      <w:r>
        <w:t>bifocals</w:t>
      </w:r>
      <w:r>
        <w:rPr>
          <w:spacing w:val="-3"/>
        </w:rPr>
        <w:t xml:space="preserve"> </w:t>
      </w:r>
      <w:r>
        <w:t>is</w:t>
      </w:r>
      <w:r>
        <w:rPr>
          <w:spacing w:val="-2"/>
        </w:rPr>
        <w:t xml:space="preserve"> tall.”</w:t>
      </w:r>
    </w:p>
    <w:p w14:paraId="7E000E92" w14:textId="77777777" w:rsidR="009A58DB" w:rsidRDefault="009A58DB">
      <w:pPr>
        <w:pStyle w:val="BodyText"/>
        <w:spacing w:before="29"/>
        <w:ind w:left="0"/>
        <w:jc w:val="left"/>
      </w:pPr>
    </w:p>
    <w:p w14:paraId="7E000E93" w14:textId="77777777" w:rsidR="009A58DB" w:rsidRDefault="00000000">
      <w:pPr>
        <w:pStyle w:val="BodyText"/>
        <w:spacing w:before="1" w:line="249" w:lineRule="auto"/>
        <w:ind w:right="360" w:firstLine="360"/>
      </w:pPr>
      <w:r>
        <w:rPr>
          <w:spacing w:val="-2"/>
        </w:rPr>
        <w:t>By</w:t>
      </w:r>
      <w:r>
        <w:rPr>
          <w:spacing w:val="-17"/>
        </w:rPr>
        <w:t xml:space="preserve"> </w:t>
      </w:r>
      <w:r>
        <w:rPr>
          <w:spacing w:val="-2"/>
        </w:rPr>
        <w:t>Frege’s</w:t>
      </w:r>
      <w:r>
        <w:rPr>
          <w:spacing w:val="-17"/>
        </w:rPr>
        <w:t xml:space="preserve"> </w:t>
      </w:r>
      <w:r>
        <w:rPr>
          <w:spacing w:val="-2"/>
        </w:rPr>
        <w:t>own</w:t>
      </w:r>
      <w:r>
        <w:rPr>
          <w:spacing w:val="-17"/>
        </w:rPr>
        <w:t xml:space="preserve"> </w:t>
      </w:r>
      <w:r>
        <w:rPr>
          <w:spacing w:val="-2"/>
        </w:rPr>
        <w:t>admission,</w:t>
      </w:r>
      <w:r>
        <w:rPr>
          <w:spacing w:val="-16"/>
        </w:rPr>
        <w:t xml:space="preserve"> </w:t>
      </w:r>
      <w:r>
        <w:rPr>
          <w:spacing w:val="-2"/>
        </w:rPr>
        <w:t>“the</w:t>
      </w:r>
      <w:r>
        <w:rPr>
          <w:spacing w:val="-17"/>
        </w:rPr>
        <w:t xml:space="preserve"> </w:t>
      </w:r>
      <w:r>
        <w:rPr>
          <w:spacing w:val="-2"/>
        </w:rPr>
        <w:t>inventors</w:t>
      </w:r>
      <w:r>
        <w:rPr>
          <w:spacing w:val="-17"/>
        </w:rPr>
        <w:t xml:space="preserve"> </w:t>
      </w:r>
      <w:r>
        <w:rPr>
          <w:spacing w:val="-2"/>
        </w:rPr>
        <w:t>of</w:t>
      </w:r>
      <w:r>
        <w:rPr>
          <w:spacing w:val="-17"/>
        </w:rPr>
        <w:t xml:space="preserve"> </w:t>
      </w:r>
      <w:r>
        <w:rPr>
          <w:spacing w:val="-2"/>
        </w:rPr>
        <w:t>bifocals”</w:t>
      </w:r>
      <w:r>
        <w:rPr>
          <w:spacing w:val="-16"/>
        </w:rPr>
        <w:t xml:space="preserve"> </w:t>
      </w:r>
      <w:r>
        <w:rPr>
          <w:spacing w:val="-2"/>
        </w:rPr>
        <w:t>picks</w:t>
      </w:r>
      <w:r>
        <w:rPr>
          <w:spacing w:val="-17"/>
        </w:rPr>
        <w:t xml:space="preserve"> </w:t>
      </w:r>
      <w:r>
        <w:rPr>
          <w:spacing w:val="-2"/>
        </w:rPr>
        <w:t>something</w:t>
      </w:r>
      <w:r>
        <w:rPr>
          <w:spacing w:val="-17"/>
        </w:rPr>
        <w:t xml:space="preserve"> </w:t>
      </w:r>
      <w:r>
        <w:rPr>
          <w:spacing w:val="-2"/>
        </w:rPr>
        <w:t>out</w:t>
      </w:r>
      <w:r>
        <w:rPr>
          <w:spacing w:val="-17"/>
        </w:rPr>
        <w:t xml:space="preserve"> </w:t>
      </w:r>
      <w:r>
        <w:rPr>
          <w:spacing w:val="-2"/>
        </w:rPr>
        <w:t xml:space="preserve">if </w:t>
      </w:r>
      <w:r>
        <w:rPr>
          <w:spacing w:val="-8"/>
        </w:rPr>
        <w:t>and</w:t>
      </w:r>
      <w:r>
        <w:rPr>
          <w:spacing w:val="-9"/>
        </w:rPr>
        <w:t xml:space="preserve"> </w:t>
      </w:r>
      <w:r>
        <w:rPr>
          <w:spacing w:val="-8"/>
        </w:rPr>
        <w:t>only</w:t>
      </w:r>
      <w:r>
        <w:rPr>
          <w:spacing w:val="-9"/>
        </w:rPr>
        <w:t xml:space="preserve"> </w:t>
      </w:r>
      <w:r>
        <w:rPr>
          <w:spacing w:val="-8"/>
        </w:rPr>
        <w:t>if</w:t>
      </w:r>
      <w:r>
        <w:rPr>
          <w:spacing w:val="-10"/>
        </w:rPr>
        <w:t xml:space="preserve"> </w:t>
      </w:r>
      <w:r>
        <w:rPr>
          <w:spacing w:val="-8"/>
        </w:rPr>
        <w:t>something</w:t>
      </w:r>
      <w:r>
        <w:rPr>
          <w:spacing w:val="-9"/>
        </w:rPr>
        <w:t xml:space="preserve"> </w:t>
      </w:r>
      <w:r>
        <w:rPr>
          <w:spacing w:val="-8"/>
        </w:rPr>
        <w:t>fits</w:t>
      </w:r>
      <w:r>
        <w:rPr>
          <w:spacing w:val="-10"/>
        </w:rPr>
        <w:t xml:space="preserve"> </w:t>
      </w:r>
      <w:r>
        <w:rPr>
          <w:spacing w:val="-8"/>
        </w:rPr>
        <w:t>the</w:t>
      </w:r>
      <w:r>
        <w:rPr>
          <w:spacing w:val="-10"/>
        </w:rPr>
        <w:t xml:space="preserve"> </w:t>
      </w:r>
      <w:r>
        <w:rPr>
          <w:spacing w:val="-8"/>
        </w:rPr>
        <w:t>relevant</w:t>
      </w:r>
      <w:r>
        <w:rPr>
          <w:spacing w:val="-10"/>
        </w:rPr>
        <w:t xml:space="preserve"> </w:t>
      </w:r>
      <w:r>
        <w:rPr>
          <w:spacing w:val="-8"/>
        </w:rPr>
        <w:t>description</w:t>
      </w:r>
      <w:r>
        <w:rPr>
          <w:spacing w:val="-9"/>
        </w:rPr>
        <w:t xml:space="preserve"> </w:t>
      </w:r>
      <w:r>
        <w:rPr>
          <w:spacing w:val="-8"/>
        </w:rPr>
        <w:t>(i.e.,</w:t>
      </w:r>
      <w:r>
        <w:rPr>
          <w:spacing w:val="-9"/>
        </w:rPr>
        <w:t xml:space="preserve"> </w:t>
      </w:r>
      <w:r>
        <w:rPr>
          <w:spacing w:val="-8"/>
        </w:rPr>
        <w:t>if</w:t>
      </w:r>
      <w:r>
        <w:rPr>
          <w:spacing w:val="-10"/>
        </w:rPr>
        <w:t xml:space="preserve"> </w:t>
      </w:r>
      <w:r>
        <w:rPr>
          <w:spacing w:val="-8"/>
        </w:rPr>
        <w:t>and</w:t>
      </w:r>
      <w:r>
        <w:rPr>
          <w:spacing w:val="-9"/>
        </w:rPr>
        <w:t xml:space="preserve"> </w:t>
      </w:r>
      <w:r>
        <w:rPr>
          <w:spacing w:val="-8"/>
        </w:rPr>
        <w:t>only</w:t>
      </w:r>
      <w:r>
        <w:rPr>
          <w:spacing w:val="-9"/>
        </w:rPr>
        <w:t xml:space="preserve"> </w:t>
      </w:r>
      <w:r>
        <w:rPr>
          <w:spacing w:val="-8"/>
        </w:rPr>
        <w:t>if</w:t>
      </w:r>
      <w:r>
        <w:rPr>
          <w:spacing w:val="-9"/>
        </w:rPr>
        <w:t xml:space="preserve"> </w:t>
      </w:r>
      <w:r>
        <w:rPr>
          <w:spacing w:val="-8"/>
        </w:rPr>
        <w:t>something</w:t>
      </w:r>
      <w:r>
        <w:rPr>
          <w:spacing w:val="-9"/>
        </w:rPr>
        <w:t xml:space="preserve"> </w:t>
      </w:r>
      <w:r>
        <w:rPr>
          <w:spacing w:val="-8"/>
        </w:rPr>
        <w:t>is</w:t>
      </w:r>
      <w:r>
        <w:rPr>
          <w:spacing w:val="-9"/>
        </w:rPr>
        <w:t xml:space="preserve"> </w:t>
      </w:r>
      <w:r>
        <w:rPr>
          <w:spacing w:val="-8"/>
        </w:rPr>
        <w:t xml:space="preserve">a </w:t>
      </w:r>
      <w:r>
        <w:t>unique</w:t>
      </w:r>
      <w:r>
        <w:rPr>
          <w:spacing w:val="-2"/>
        </w:rPr>
        <w:t xml:space="preserve"> </w:t>
      </w:r>
      <w:r>
        <w:t>inventor</w:t>
      </w:r>
      <w:r>
        <w:rPr>
          <w:spacing w:val="-2"/>
        </w:rPr>
        <w:t xml:space="preserve"> </w:t>
      </w:r>
      <w:r>
        <w:t>of</w:t>
      </w:r>
      <w:r>
        <w:rPr>
          <w:spacing w:val="-2"/>
        </w:rPr>
        <w:t xml:space="preserve"> </w:t>
      </w:r>
      <w:r>
        <w:t>bifocals).</w:t>
      </w:r>
      <w:r>
        <w:rPr>
          <w:spacing w:val="-12"/>
        </w:rPr>
        <w:t xml:space="preserve"> </w:t>
      </w:r>
      <w:r>
        <w:t>And</w:t>
      </w:r>
      <w:r>
        <w:rPr>
          <w:spacing w:val="-2"/>
        </w:rPr>
        <w:t xml:space="preserve"> </w:t>
      </w:r>
      <w:r>
        <w:t>if</w:t>
      </w:r>
      <w:r>
        <w:rPr>
          <w:spacing w:val="-2"/>
        </w:rPr>
        <w:t xml:space="preserve"> </w:t>
      </w:r>
      <w:r>
        <w:t>there</w:t>
      </w:r>
      <w:r>
        <w:rPr>
          <w:spacing w:val="-1"/>
        </w:rPr>
        <w:t xml:space="preserve"> </w:t>
      </w:r>
      <w:r>
        <w:t>is</w:t>
      </w:r>
      <w:r>
        <w:rPr>
          <w:spacing w:val="-1"/>
        </w:rPr>
        <w:t xml:space="preserve"> </w:t>
      </w:r>
      <w:r>
        <w:t>a</w:t>
      </w:r>
      <w:r>
        <w:rPr>
          <w:spacing w:val="-1"/>
        </w:rPr>
        <w:t xml:space="preserve"> </w:t>
      </w:r>
      <w:r>
        <w:t>unique</w:t>
      </w:r>
      <w:r>
        <w:rPr>
          <w:spacing w:val="-1"/>
        </w:rPr>
        <w:t xml:space="preserve"> </w:t>
      </w:r>
      <w:r>
        <w:t>inventor</w:t>
      </w:r>
      <w:r>
        <w:rPr>
          <w:spacing w:val="-1"/>
        </w:rPr>
        <w:t xml:space="preserve"> </w:t>
      </w:r>
      <w:r>
        <w:t>of</w:t>
      </w:r>
      <w:r>
        <w:rPr>
          <w:spacing w:val="-1"/>
        </w:rPr>
        <w:t xml:space="preserve"> </w:t>
      </w:r>
      <w:r>
        <w:t>bifocals,</w:t>
      </w:r>
      <w:r>
        <w:rPr>
          <w:spacing w:val="-1"/>
        </w:rPr>
        <w:t xml:space="preserve"> </w:t>
      </w:r>
      <w:r>
        <w:t>that thing,</w:t>
      </w:r>
      <w:r>
        <w:rPr>
          <w:spacing w:val="19"/>
        </w:rPr>
        <w:t xml:space="preserve"> </w:t>
      </w:r>
      <w:r>
        <w:t>whatever</w:t>
      </w:r>
      <w:r>
        <w:rPr>
          <w:spacing w:val="19"/>
        </w:rPr>
        <w:t xml:space="preserve"> </w:t>
      </w:r>
      <w:r>
        <w:t>it</w:t>
      </w:r>
      <w:r>
        <w:rPr>
          <w:spacing w:val="19"/>
        </w:rPr>
        <w:t xml:space="preserve"> </w:t>
      </w:r>
      <w:r>
        <w:t>is,</w:t>
      </w:r>
      <w:r>
        <w:rPr>
          <w:spacing w:val="19"/>
        </w:rPr>
        <w:t xml:space="preserve"> </w:t>
      </w:r>
      <w:r>
        <w:t>is</w:t>
      </w:r>
      <w:r>
        <w:rPr>
          <w:spacing w:val="19"/>
        </w:rPr>
        <w:t xml:space="preserve"> </w:t>
      </w:r>
      <w:r>
        <w:t>the</w:t>
      </w:r>
      <w:r>
        <w:rPr>
          <w:spacing w:val="19"/>
        </w:rPr>
        <w:t xml:space="preserve"> </w:t>
      </w:r>
      <w:r>
        <w:t>thing</w:t>
      </w:r>
      <w:r>
        <w:rPr>
          <w:spacing w:val="19"/>
        </w:rPr>
        <w:t xml:space="preserve"> </w:t>
      </w:r>
      <w:r>
        <w:t>to</w:t>
      </w:r>
      <w:r>
        <w:rPr>
          <w:spacing w:val="19"/>
        </w:rPr>
        <w:t xml:space="preserve"> </w:t>
      </w:r>
      <w:r>
        <w:t>which</w:t>
      </w:r>
      <w:r>
        <w:rPr>
          <w:spacing w:val="19"/>
        </w:rPr>
        <w:t xml:space="preserve"> </w:t>
      </w:r>
      <w:r>
        <w:t>“the</w:t>
      </w:r>
      <w:r>
        <w:rPr>
          <w:spacing w:val="19"/>
        </w:rPr>
        <w:t xml:space="preserve"> </w:t>
      </w:r>
      <w:r>
        <w:t>inventors</w:t>
      </w:r>
      <w:r>
        <w:rPr>
          <w:spacing w:val="19"/>
        </w:rPr>
        <w:t xml:space="preserve"> </w:t>
      </w:r>
      <w:r>
        <w:t>of</w:t>
      </w:r>
      <w:r>
        <w:rPr>
          <w:spacing w:val="19"/>
        </w:rPr>
        <w:t xml:space="preserve"> </w:t>
      </w:r>
      <w:r>
        <w:t>bifocals”</w:t>
      </w:r>
      <w:r>
        <w:rPr>
          <w:spacing w:val="19"/>
        </w:rPr>
        <w:t xml:space="preserve"> </w:t>
      </w:r>
      <w:r>
        <w:t>refers.</w:t>
      </w:r>
    </w:p>
    <w:p w14:paraId="7E000E94" w14:textId="77777777" w:rsidR="009A58DB" w:rsidRDefault="00000000">
      <w:pPr>
        <w:pStyle w:val="BodyText"/>
        <w:spacing w:before="5"/>
        <w:jc w:val="left"/>
      </w:pPr>
      <w:r>
        <w:rPr>
          <w:spacing w:val="-2"/>
        </w:rPr>
        <w:t>Supposing</w:t>
      </w:r>
    </w:p>
    <w:p w14:paraId="7E000E95" w14:textId="77777777" w:rsidR="009A58DB" w:rsidRDefault="00000000">
      <w:pPr>
        <w:pStyle w:val="BodyText"/>
        <w:spacing w:before="15" w:line="249" w:lineRule="auto"/>
        <w:ind w:right="358"/>
      </w:pPr>
      <w:r>
        <w:t>that there is such a thing and that x is it, IB describes x as being tall. It goes without saying that, if there is no unique inventor of bifocals, then there is no way that IB can be true. (Frege himself emphasizes this last point. And he’s right. There’s no way that “the elephant in the corner is eating peanuts” can be true if there’s no elephant in the corner.)</w:t>
      </w:r>
    </w:p>
    <w:p w14:paraId="7E000E96" w14:textId="77777777" w:rsidR="009A58DB" w:rsidRDefault="00000000">
      <w:pPr>
        <w:pStyle w:val="BodyText"/>
        <w:spacing w:before="6"/>
        <w:ind w:left="720"/>
      </w:pPr>
      <w:r>
        <w:t>The</w:t>
      </w:r>
      <w:r>
        <w:rPr>
          <w:spacing w:val="-5"/>
        </w:rPr>
        <w:t xml:space="preserve"> </w:t>
      </w:r>
      <w:r>
        <w:t>upshot</w:t>
      </w:r>
      <w:r>
        <w:rPr>
          <w:spacing w:val="-2"/>
        </w:rPr>
        <w:t xml:space="preserve"> </w:t>
      </w:r>
      <w:r>
        <w:t>is</w:t>
      </w:r>
      <w:r>
        <w:rPr>
          <w:spacing w:val="-2"/>
        </w:rPr>
        <w:t xml:space="preserve"> </w:t>
      </w:r>
      <w:r>
        <w:t>that</w:t>
      </w:r>
      <w:r>
        <w:rPr>
          <w:spacing w:val="-2"/>
        </w:rPr>
        <w:t xml:space="preserve"> </w:t>
      </w:r>
      <w:r>
        <w:t>IB</w:t>
      </w:r>
      <w:r>
        <w:rPr>
          <w:spacing w:val="-2"/>
        </w:rPr>
        <w:t xml:space="preserve"> </w:t>
      </w:r>
      <w:r>
        <w:t>is</w:t>
      </w:r>
      <w:r>
        <w:rPr>
          <w:spacing w:val="-3"/>
        </w:rPr>
        <w:t xml:space="preserve"> </w:t>
      </w:r>
      <w:r>
        <w:t>true</w:t>
      </w:r>
      <w:r>
        <w:rPr>
          <w:spacing w:val="-2"/>
        </w:rPr>
        <w:t xml:space="preserve"> </w:t>
      </w:r>
      <w:r>
        <w:t>if</w:t>
      </w:r>
      <w:r>
        <w:rPr>
          <w:spacing w:val="-2"/>
        </w:rPr>
        <w:t xml:space="preserve"> </w:t>
      </w:r>
      <w:r>
        <w:t>and</w:t>
      </w:r>
      <w:r>
        <w:rPr>
          <w:spacing w:val="-1"/>
        </w:rPr>
        <w:t xml:space="preserve"> </w:t>
      </w:r>
      <w:r>
        <w:t>only</w:t>
      </w:r>
      <w:r>
        <w:rPr>
          <w:spacing w:val="-1"/>
        </w:rPr>
        <w:t xml:space="preserve"> </w:t>
      </w:r>
      <w:r>
        <w:rPr>
          <w:spacing w:val="-5"/>
        </w:rPr>
        <w:t>if:</w:t>
      </w:r>
    </w:p>
    <w:p w14:paraId="7E000E97" w14:textId="77777777" w:rsidR="009A58DB" w:rsidRDefault="009A58DB">
      <w:pPr>
        <w:pStyle w:val="BodyText"/>
        <w:spacing w:before="30"/>
        <w:ind w:left="0"/>
        <w:jc w:val="left"/>
      </w:pPr>
    </w:p>
    <w:p w14:paraId="7E000E98" w14:textId="77777777" w:rsidR="009A58DB" w:rsidRDefault="00000000">
      <w:pPr>
        <w:pStyle w:val="BodyText"/>
        <w:jc w:val="left"/>
      </w:pPr>
      <w:r>
        <w:t>(IB*)</w:t>
      </w:r>
      <w:r>
        <w:rPr>
          <w:spacing w:val="-6"/>
        </w:rPr>
        <w:t xml:space="preserve"> </w:t>
      </w:r>
      <w:r>
        <w:t>something</w:t>
      </w:r>
      <w:r>
        <w:rPr>
          <w:spacing w:val="-3"/>
        </w:rPr>
        <w:t xml:space="preserve"> </w:t>
      </w:r>
      <w:r>
        <w:t>uniquely</w:t>
      </w:r>
      <w:r>
        <w:rPr>
          <w:spacing w:val="-3"/>
        </w:rPr>
        <w:t xml:space="preserve"> </w:t>
      </w:r>
      <w:r>
        <w:t>invented</w:t>
      </w:r>
      <w:r>
        <w:rPr>
          <w:spacing w:val="-3"/>
        </w:rPr>
        <w:t xml:space="preserve"> </w:t>
      </w:r>
      <w:r>
        <w:t>befocals,</w:t>
      </w:r>
      <w:r>
        <w:rPr>
          <w:spacing w:val="-2"/>
        </w:rPr>
        <w:t xml:space="preserve"> </w:t>
      </w:r>
      <w:r>
        <w:t>and</w:t>
      </w:r>
      <w:r>
        <w:rPr>
          <w:spacing w:val="-3"/>
        </w:rPr>
        <w:t xml:space="preserve"> </w:t>
      </w:r>
      <w:r>
        <w:t>any</w:t>
      </w:r>
      <w:r>
        <w:rPr>
          <w:spacing w:val="-3"/>
        </w:rPr>
        <w:t xml:space="preserve"> </w:t>
      </w:r>
      <w:r>
        <w:t>such</w:t>
      </w:r>
      <w:r>
        <w:rPr>
          <w:spacing w:val="-3"/>
        </w:rPr>
        <w:t xml:space="preserve"> </w:t>
      </w:r>
      <w:r>
        <w:t>thing</w:t>
      </w:r>
      <w:r>
        <w:rPr>
          <w:spacing w:val="-3"/>
        </w:rPr>
        <w:t xml:space="preserve"> </w:t>
      </w:r>
      <w:r>
        <w:t>is</w:t>
      </w:r>
      <w:r>
        <w:rPr>
          <w:spacing w:val="-3"/>
        </w:rPr>
        <w:t xml:space="preserve"> </w:t>
      </w:r>
      <w:r>
        <w:rPr>
          <w:spacing w:val="-2"/>
        </w:rPr>
        <w:t>tall.</w:t>
      </w:r>
    </w:p>
    <w:p w14:paraId="7E000E99" w14:textId="77777777" w:rsidR="009A58DB" w:rsidRDefault="009A58DB">
      <w:pPr>
        <w:pStyle w:val="BodyText"/>
        <w:spacing w:before="30"/>
        <w:ind w:left="0"/>
        <w:jc w:val="left"/>
      </w:pPr>
    </w:p>
    <w:p w14:paraId="7E000E9A" w14:textId="77777777" w:rsidR="009A58DB" w:rsidRDefault="00000000">
      <w:pPr>
        <w:pStyle w:val="BodyText"/>
        <w:spacing w:line="249" w:lineRule="auto"/>
        <w:ind w:right="361"/>
      </w:pPr>
      <w:r>
        <w:t xml:space="preserve">But what does the Theory of Discriptions (TD) say about IB? According to TD, the meaning of IB is: </w:t>
      </w:r>
      <w:r>
        <w:rPr>
          <w:i/>
        </w:rPr>
        <w:t>IB*</w:t>
      </w:r>
      <w:r>
        <w:t>. So Frege’s theory collapses into Russell’s.</w:t>
      </w:r>
    </w:p>
    <w:p w14:paraId="7E000E9B" w14:textId="77777777" w:rsidR="009A58DB" w:rsidRDefault="00000000">
      <w:pPr>
        <w:pStyle w:val="BodyText"/>
        <w:spacing w:before="2" w:line="249" w:lineRule="auto"/>
        <w:ind w:right="358" w:firstLine="360"/>
      </w:pPr>
      <w:r>
        <w:t>By obvious extensions of this, it follows that, if Frege’s theory is right, then CB’s meaning is identical with that of CBR. So Frege’s theory accounts for the non-triviality of CB in the same way as Russell’s theory (as TD).</w:t>
      </w:r>
    </w:p>
    <w:p w14:paraId="7E000E9C" w14:textId="77777777" w:rsidR="009A58DB" w:rsidRDefault="00000000">
      <w:pPr>
        <w:pStyle w:val="Heading1"/>
        <w:numPr>
          <w:ilvl w:val="1"/>
          <w:numId w:val="176"/>
        </w:numPr>
        <w:tabs>
          <w:tab w:val="left" w:pos="1125"/>
        </w:tabs>
        <w:spacing w:before="192" w:line="244" w:lineRule="auto"/>
        <w:ind w:left="360" w:right="367" w:firstLine="0"/>
      </w:pPr>
      <w:r>
        <w:t>Why</w:t>
      </w:r>
      <w:r>
        <w:rPr>
          <w:spacing w:val="80"/>
        </w:rPr>
        <w:t xml:space="preserve"> </w:t>
      </w:r>
      <w:r>
        <w:t>Fregeanism</w:t>
      </w:r>
      <w:r>
        <w:rPr>
          <w:spacing w:val="80"/>
        </w:rPr>
        <w:t xml:space="preserve"> </w:t>
      </w:r>
      <w:r>
        <w:t>doesn’t</w:t>
      </w:r>
      <w:r>
        <w:rPr>
          <w:spacing w:val="80"/>
        </w:rPr>
        <w:t xml:space="preserve"> </w:t>
      </w:r>
      <w:r>
        <w:t>completely</w:t>
      </w:r>
      <w:r>
        <w:rPr>
          <w:spacing w:val="80"/>
        </w:rPr>
        <w:t xml:space="preserve"> </w:t>
      </w:r>
      <w:r>
        <w:t>collapse into Russellianism</w:t>
      </w:r>
    </w:p>
    <w:p w14:paraId="7E000E9D" w14:textId="77777777" w:rsidR="009A58DB" w:rsidRDefault="00000000">
      <w:pPr>
        <w:pStyle w:val="BodyText"/>
        <w:spacing w:before="132" w:line="249" w:lineRule="auto"/>
        <w:ind w:right="358"/>
      </w:pPr>
      <w:r>
        <w:t>As we know, Russell’s theory is pretty good. The same is therefore true of Frege’s, at least to the extent that it coincides with Russell’s. The problem is that Frege’s theory doesn’t entirely coincide with Russell’s. Unlike Russell, Frege took it for granted that definite descriptions are just what, given their grammar, they appear to be: referring terms. We’ve just seen that, if Frege’s own theory of why CB is non-trivial is to be correct, then TD must be the right account of how definite descriptions work. But the essence of TD is that definite</w:t>
      </w:r>
      <w:r>
        <w:rPr>
          <w:spacing w:val="-1"/>
        </w:rPr>
        <w:t xml:space="preserve"> </w:t>
      </w:r>
      <w:r>
        <w:t>descriptions are not</w:t>
      </w:r>
      <w:r>
        <w:rPr>
          <w:spacing w:val="-1"/>
        </w:rPr>
        <w:t xml:space="preserve"> </w:t>
      </w:r>
      <w:r>
        <w:t>referring terms.</w:t>
      </w:r>
      <w:r>
        <w:rPr>
          <w:spacing w:val="-1"/>
        </w:rPr>
        <w:t xml:space="preserve"> </w:t>
      </w:r>
      <w:r>
        <w:t>It</w:t>
      </w:r>
      <w:r>
        <w:rPr>
          <w:spacing w:val="-1"/>
        </w:rPr>
        <w:t xml:space="preserve"> </w:t>
      </w:r>
      <w:r>
        <w:t>would obviously be incoherent to</w:t>
      </w:r>
      <w:r>
        <w:rPr>
          <w:spacing w:val="67"/>
        </w:rPr>
        <w:t xml:space="preserve"> </w:t>
      </w:r>
      <w:r>
        <w:t>accept</w:t>
      </w:r>
      <w:r>
        <w:rPr>
          <w:spacing w:val="67"/>
        </w:rPr>
        <w:t xml:space="preserve"> </w:t>
      </w:r>
      <w:r>
        <w:t>TD</w:t>
      </w:r>
      <w:r>
        <w:rPr>
          <w:spacing w:val="67"/>
        </w:rPr>
        <w:t xml:space="preserve"> </w:t>
      </w:r>
      <w:r>
        <w:t>while</w:t>
      </w:r>
      <w:r>
        <w:rPr>
          <w:spacing w:val="67"/>
        </w:rPr>
        <w:t xml:space="preserve"> </w:t>
      </w:r>
      <w:r>
        <w:t>also</w:t>
      </w:r>
      <w:r>
        <w:rPr>
          <w:spacing w:val="67"/>
        </w:rPr>
        <w:t xml:space="preserve"> </w:t>
      </w:r>
      <w:r>
        <w:t>believing</w:t>
      </w:r>
      <w:r>
        <w:rPr>
          <w:spacing w:val="67"/>
        </w:rPr>
        <w:t xml:space="preserve"> </w:t>
      </w:r>
      <w:r>
        <w:t>that</w:t>
      </w:r>
      <w:r>
        <w:rPr>
          <w:spacing w:val="67"/>
        </w:rPr>
        <w:t xml:space="preserve"> </w:t>
      </w:r>
      <w:r>
        <w:t>definite</w:t>
      </w:r>
      <w:r>
        <w:rPr>
          <w:spacing w:val="67"/>
        </w:rPr>
        <w:t xml:space="preserve"> </w:t>
      </w:r>
      <w:r>
        <w:t>descriptions</w:t>
      </w:r>
      <w:r>
        <w:rPr>
          <w:spacing w:val="67"/>
        </w:rPr>
        <w:t xml:space="preserve"> </w:t>
      </w:r>
      <w:r>
        <w:t>are</w:t>
      </w:r>
      <w:r>
        <w:rPr>
          <w:spacing w:val="67"/>
        </w:rPr>
        <w:t xml:space="preserve"> </w:t>
      </w:r>
      <w:r>
        <w:t>referring</w:t>
      </w:r>
    </w:p>
    <w:p w14:paraId="7E000E9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E9F" w14:textId="77777777" w:rsidR="009A58DB" w:rsidRDefault="00000000">
      <w:pPr>
        <w:pStyle w:val="BodyText"/>
        <w:spacing w:before="60" w:line="249" w:lineRule="auto"/>
        <w:ind w:right="359"/>
      </w:pPr>
      <w:r>
        <w:lastRenderedPageBreak/>
        <w:t>terms. We’ve just seen that it is precisely this incoherence that Frege is accepting, however unwittingly, in holding that definite descriptions are sense-bearing referring terms.</w:t>
      </w:r>
    </w:p>
    <w:p w14:paraId="7E000EA0" w14:textId="77777777" w:rsidR="009A58DB" w:rsidRDefault="00000000">
      <w:pPr>
        <w:pStyle w:val="Heading1"/>
        <w:numPr>
          <w:ilvl w:val="1"/>
          <w:numId w:val="176"/>
        </w:numPr>
        <w:tabs>
          <w:tab w:val="left" w:pos="990"/>
        </w:tabs>
        <w:spacing w:before="196"/>
      </w:pPr>
      <w:r>
        <w:t>The</w:t>
      </w:r>
      <w:r>
        <w:rPr>
          <w:spacing w:val="-8"/>
        </w:rPr>
        <w:t xml:space="preserve"> </w:t>
      </w:r>
      <w:r>
        <w:t>incoherencies</w:t>
      </w:r>
      <w:r>
        <w:rPr>
          <w:spacing w:val="-6"/>
        </w:rPr>
        <w:t xml:space="preserve"> </w:t>
      </w:r>
      <w:r>
        <w:t>in</w:t>
      </w:r>
      <w:r>
        <w:rPr>
          <w:spacing w:val="-6"/>
        </w:rPr>
        <w:t xml:space="preserve"> </w:t>
      </w:r>
      <w:r>
        <w:t>Frege’s</w:t>
      </w:r>
      <w:r>
        <w:rPr>
          <w:spacing w:val="-5"/>
        </w:rPr>
        <w:t xml:space="preserve"> </w:t>
      </w:r>
      <w:r>
        <w:rPr>
          <w:spacing w:val="-2"/>
        </w:rPr>
        <w:t>semantics</w:t>
      </w:r>
    </w:p>
    <w:p w14:paraId="7E000EA1" w14:textId="77777777" w:rsidR="009A58DB" w:rsidRDefault="00000000">
      <w:pPr>
        <w:pStyle w:val="BodyText"/>
        <w:spacing w:before="139" w:line="249" w:lineRule="auto"/>
        <w:ind w:right="362"/>
      </w:pPr>
      <w:r>
        <w:t xml:space="preserve">Frege’s view that definite descriptions are referring terms that have both sense and reference is one that has a lot of intuitive appeal, and people will hold onto it unless given </w:t>
      </w:r>
      <w:r>
        <w:rPr>
          <w:i/>
        </w:rPr>
        <w:t xml:space="preserve">very </w:t>
      </w:r>
      <w:r>
        <w:t>strong arguments to the contrary. Since the arguments just given may not be enough for some, here is another.</w:t>
      </w:r>
    </w:p>
    <w:p w14:paraId="7E000EA2" w14:textId="77777777" w:rsidR="009A58DB" w:rsidRDefault="00000000">
      <w:pPr>
        <w:pStyle w:val="BodyText"/>
        <w:spacing w:before="5"/>
        <w:ind w:left="720"/>
      </w:pPr>
      <w:r>
        <w:t>Consider</w:t>
      </w:r>
      <w:r>
        <w:rPr>
          <w:spacing w:val="-4"/>
        </w:rPr>
        <w:t xml:space="preserve"> </w:t>
      </w:r>
      <w:r>
        <w:t>the</w:t>
      </w:r>
      <w:r>
        <w:rPr>
          <w:spacing w:val="-4"/>
        </w:rPr>
        <w:t xml:space="preserve"> </w:t>
      </w:r>
      <w:r>
        <w:t>following</w:t>
      </w:r>
      <w:r>
        <w:rPr>
          <w:spacing w:val="-3"/>
        </w:rPr>
        <w:t xml:space="preserve"> </w:t>
      </w:r>
      <w:r>
        <w:t>four</w:t>
      </w:r>
      <w:r>
        <w:rPr>
          <w:spacing w:val="-3"/>
        </w:rPr>
        <w:t xml:space="preserve"> </w:t>
      </w:r>
      <w:r>
        <w:rPr>
          <w:spacing w:val="-2"/>
        </w:rPr>
        <w:t>sentences:</w:t>
      </w:r>
    </w:p>
    <w:p w14:paraId="7E000EA3" w14:textId="77777777" w:rsidR="009A58DB" w:rsidRDefault="009A58DB">
      <w:pPr>
        <w:pStyle w:val="BodyText"/>
        <w:spacing w:before="30"/>
        <w:ind w:left="0"/>
        <w:jc w:val="left"/>
      </w:pPr>
    </w:p>
    <w:p w14:paraId="7E000EA4" w14:textId="77777777" w:rsidR="009A58DB" w:rsidRDefault="00000000">
      <w:pPr>
        <w:pStyle w:val="ListParagraph"/>
        <w:numPr>
          <w:ilvl w:val="0"/>
          <w:numId w:val="175"/>
        </w:numPr>
        <w:tabs>
          <w:tab w:val="left" w:pos="782"/>
        </w:tabs>
        <w:ind w:left="782" w:hanging="422"/>
        <w:rPr>
          <w:sz w:val="30"/>
        </w:rPr>
      </w:pPr>
      <w:r>
        <w:rPr>
          <w:sz w:val="30"/>
        </w:rPr>
        <w:t>“Smith</w:t>
      </w:r>
      <w:r>
        <w:rPr>
          <w:spacing w:val="-5"/>
          <w:sz w:val="30"/>
        </w:rPr>
        <w:t xml:space="preserve"> </w:t>
      </w:r>
      <w:r>
        <w:rPr>
          <w:sz w:val="30"/>
        </w:rPr>
        <w:t>believes</w:t>
      </w:r>
      <w:r>
        <w:rPr>
          <w:spacing w:val="-4"/>
          <w:sz w:val="30"/>
        </w:rPr>
        <w:t xml:space="preserve"> </w:t>
      </w:r>
      <w:r>
        <w:rPr>
          <w:sz w:val="30"/>
        </w:rPr>
        <w:t>that</w:t>
      </w:r>
      <w:r>
        <w:rPr>
          <w:spacing w:val="-4"/>
          <w:sz w:val="30"/>
        </w:rPr>
        <w:t xml:space="preserve"> </w:t>
      </w:r>
      <w:r>
        <w:rPr>
          <w:i/>
          <w:sz w:val="30"/>
        </w:rPr>
        <w:t>the</w:t>
      </w:r>
      <w:r>
        <w:rPr>
          <w:i/>
          <w:spacing w:val="-4"/>
          <w:sz w:val="30"/>
        </w:rPr>
        <w:t xml:space="preserve"> </w:t>
      </w:r>
      <w:r>
        <w:rPr>
          <w:i/>
          <w:sz w:val="30"/>
        </w:rPr>
        <w:t>inventor</w:t>
      </w:r>
      <w:r>
        <w:rPr>
          <w:i/>
          <w:spacing w:val="-4"/>
          <w:sz w:val="30"/>
        </w:rPr>
        <w:t xml:space="preserve"> </w:t>
      </w:r>
      <w:r>
        <w:rPr>
          <w:i/>
          <w:sz w:val="30"/>
        </w:rPr>
        <w:t>of</w:t>
      </w:r>
      <w:r>
        <w:rPr>
          <w:i/>
          <w:spacing w:val="-4"/>
          <w:sz w:val="30"/>
        </w:rPr>
        <w:t xml:space="preserve"> </w:t>
      </w:r>
      <w:r>
        <w:rPr>
          <w:i/>
          <w:sz w:val="30"/>
        </w:rPr>
        <w:t>bifocals</w:t>
      </w:r>
      <w:r>
        <w:rPr>
          <w:i/>
          <w:spacing w:val="-4"/>
          <w:sz w:val="30"/>
        </w:rPr>
        <w:t xml:space="preserve"> </w:t>
      </w:r>
      <w:r>
        <w:rPr>
          <w:i/>
          <w:sz w:val="30"/>
        </w:rPr>
        <w:t>is</w:t>
      </w:r>
      <w:r>
        <w:rPr>
          <w:i/>
          <w:spacing w:val="-4"/>
          <w:sz w:val="30"/>
        </w:rPr>
        <w:t xml:space="preserve"> </w:t>
      </w:r>
      <w:r>
        <w:rPr>
          <w:i/>
          <w:sz w:val="30"/>
        </w:rPr>
        <w:t>6-feet</w:t>
      </w:r>
      <w:r>
        <w:rPr>
          <w:i/>
          <w:spacing w:val="-3"/>
          <w:sz w:val="30"/>
        </w:rPr>
        <w:t xml:space="preserve"> </w:t>
      </w:r>
      <w:r>
        <w:rPr>
          <w:i/>
          <w:spacing w:val="-2"/>
          <w:sz w:val="30"/>
        </w:rPr>
        <w:t>tall.</w:t>
      </w:r>
      <w:r>
        <w:rPr>
          <w:spacing w:val="-2"/>
          <w:sz w:val="30"/>
        </w:rPr>
        <w:t>”</w:t>
      </w:r>
    </w:p>
    <w:p w14:paraId="7E000EA5" w14:textId="77777777" w:rsidR="009A58DB" w:rsidRDefault="00000000">
      <w:pPr>
        <w:pStyle w:val="ListParagraph"/>
        <w:numPr>
          <w:ilvl w:val="0"/>
          <w:numId w:val="175"/>
        </w:numPr>
        <w:tabs>
          <w:tab w:val="left" w:pos="782"/>
        </w:tabs>
        <w:spacing w:before="15"/>
        <w:ind w:left="782" w:hanging="422"/>
        <w:rPr>
          <w:sz w:val="30"/>
        </w:rPr>
      </w:pPr>
      <w:r>
        <w:rPr>
          <w:sz w:val="30"/>
        </w:rPr>
        <w:t>“Smith</w:t>
      </w:r>
      <w:r>
        <w:rPr>
          <w:spacing w:val="-5"/>
          <w:sz w:val="30"/>
        </w:rPr>
        <w:t xml:space="preserve"> </w:t>
      </w:r>
      <w:r>
        <w:rPr>
          <w:sz w:val="30"/>
        </w:rPr>
        <w:t>believes</w:t>
      </w:r>
      <w:r>
        <w:rPr>
          <w:spacing w:val="-4"/>
          <w:sz w:val="30"/>
        </w:rPr>
        <w:t xml:space="preserve"> </w:t>
      </w:r>
      <w:r>
        <w:rPr>
          <w:sz w:val="30"/>
        </w:rPr>
        <w:t>that</w:t>
      </w:r>
      <w:r>
        <w:rPr>
          <w:spacing w:val="-3"/>
          <w:sz w:val="30"/>
        </w:rPr>
        <w:t xml:space="preserve"> </w:t>
      </w:r>
      <w:r>
        <w:rPr>
          <w:i/>
          <w:sz w:val="30"/>
        </w:rPr>
        <w:t>the</w:t>
      </w:r>
      <w:r>
        <w:rPr>
          <w:i/>
          <w:spacing w:val="-4"/>
          <w:sz w:val="30"/>
        </w:rPr>
        <w:t xml:space="preserve"> </w:t>
      </w:r>
      <w:r>
        <w:rPr>
          <w:i/>
          <w:sz w:val="30"/>
        </w:rPr>
        <w:t>inventor</w:t>
      </w:r>
      <w:r>
        <w:rPr>
          <w:i/>
          <w:spacing w:val="-4"/>
          <w:sz w:val="30"/>
        </w:rPr>
        <w:t xml:space="preserve"> </w:t>
      </w:r>
      <w:r>
        <w:rPr>
          <w:i/>
          <w:sz w:val="30"/>
        </w:rPr>
        <w:t>of</w:t>
      </w:r>
      <w:r>
        <w:rPr>
          <w:i/>
          <w:spacing w:val="-3"/>
          <w:sz w:val="30"/>
        </w:rPr>
        <w:t xml:space="preserve"> </w:t>
      </w:r>
      <w:r>
        <w:rPr>
          <w:i/>
          <w:sz w:val="30"/>
        </w:rPr>
        <w:t>bifocals</w:t>
      </w:r>
      <w:r>
        <w:rPr>
          <w:i/>
          <w:spacing w:val="-4"/>
          <w:sz w:val="30"/>
        </w:rPr>
        <w:t xml:space="preserve"> </w:t>
      </w:r>
      <w:r>
        <w:rPr>
          <w:i/>
          <w:sz w:val="30"/>
        </w:rPr>
        <w:t>is</w:t>
      </w:r>
      <w:r>
        <w:rPr>
          <w:i/>
          <w:spacing w:val="-3"/>
          <w:sz w:val="30"/>
        </w:rPr>
        <w:t xml:space="preserve"> </w:t>
      </w:r>
      <w:r>
        <w:rPr>
          <w:i/>
          <w:sz w:val="30"/>
        </w:rPr>
        <w:t>not</w:t>
      </w:r>
      <w:r>
        <w:rPr>
          <w:i/>
          <w:spacing w:val="-4"/>
          <w:sz w:val="30"/>
        </w:rPr>
        <w:t xml:space="preserve"> </w:t>
      </w:r>
      <w:r>
        <w:rPr>
          <w:i/>
          <w:sz w:val="30"/>
        </w:rPr>
        <w:t>6-feet</w:t>
      </w:r>
      <w:r>
        <w:rPr>
          <w:i/>
          <w:spacing w:val="-3"/>
          <w:sz w:val="30"/>
        </w:rPr>
        <w:t xml:space="preserve"> </w:t>
      </w:r>
      <w:r>
        <w:rPr>
          <w:i/>
          <w:spacing w:val="-2"/>
          <w:sz w:val="30"/>
        </w:rPr>
        <w:t>tall.</w:t>
      </w:r>
      <w:r>
        <w:rPr>
          <w:spacing w:val="-2"/>
          <w:sz w:val="30"/>
        </w:rPr>
        <w:t>”</w:t>
      </w:r>
    </w:p>
    <w:p w14:paraId="7E000EA6" w14:textId="77777777" w:rsidR="009A58DB" w:rsidRDefault="00000000">
      <w:pPr>
        <w:pStyle w:val="ListParagraph"/>
        <w:numPr>
          <w:ilvl w:val="0"/>
          <w:numId w:val="175"/>
        </w:numPr>
        <w:tabs>
          <w:tab w:val="left" w:pos="782"/>
        </w:tabs>
        <w:spacing w:before="15"/>
        <w:ind w:left="782" w:hanging="422"/>
        <w:rPr>
          <w:sz w:val="30"/>
        </w:rPr>
      </w:pPr>
      <w:r>
        <w:rPr>
          <w:sz w:val="30"/>
        </w:rPr>
        <w:t>“Smith</w:t>
      </w:r>
      <w:r>
        <w:rPr>
          <w:spacing w:val="-6"/>
          <w:sz w:val="30"/>
        </w:rPr>
        <w:t xml:space="preserve"> </w:t>
      </w:r>
      <w:r>
        <w:rPr>
          <w:sz w:val="30"/>
        </w:rPr>
        <w:t>believes</w:t>
      </w:r>
      <w:r>
        <w:rPr>
          <w:spacing w:val="-4"/>
          <w:sz w:val="30"/>
        </w:rPr>
        <w:t xml:space="preserve"> </w:t>
      </w:r>
      <w:r>
        <w:rPr>
          <w:sz w:val="30"/>
        </w:rPr>
        <w:t>that</w:t>
      </w:r>
      <w:r>
        <w:rPr>
          <w:spacing w:val="-5"/>
          <w:sz w:val="30"/>
        </w:rPr>
        <w:t xml:space="preserve"> </w:t>
      </w:r>
      <w:r>
        <w:rPr>
          <w:i/>
          <w:sz w:val="30"/>
        </w:rPr>
        <w:t>the</w:t>
      </w:r>
      <w:r>
        <w:rPr>
          <w:i/>
          <w:spacing w:val="-4"/>
          <w:sz w:val="30"/>
        </w:rPr>
        <w:t xml:space="preserve"> </w:t>
      </w:r>
      <w:r>
        <w:rPr>
          <w:i/>
          <w:sz w:val="30"/>
        </w:rPr>
        <w:t>first</w:t>
      </w:r>
      <w:r>
        <w:rPr>
          <w:i/>
          <w:spacing w:val="-5"/>
          <w:sz w:val="30"/>
        </w:rPr>
        <w:t xml:space="preserve"> </w:t>
      </w:r>
      <w:r>
        <w:rPr>
          <w:i/>
          <w:sz w:val="30"/>
        </w:rPr>
        <w:t>postmaster</w:t>
      </w:r>
      <w:r>
        <w:rPr>
          <w:i/>
          <w:spacing w:val="-4"/>
          <w:sz w:val="30"/>
        </w:rPr>
        <w:t xml:space="preserve"> </w:t>
      </w:r>
      <w:r>
        <w:rPr>
          <w:i/>
          <w:sz w:val="30"/>
        </w:rPr>
        <w:t>general</w:t>
      </w:r>
      <w:r>
        <w:rPr>
          <w:i/>
          <w:spacing w:val="-5"/>
          <w:sz w:val="30"/>
        </w:rPr>
        <w:t xml:space="preserve"> </w:t>
      </w:r>
      <w:r>
        <w:rPr>
          <w:i/>
          <w:sz w:val="30"/>
        </w:rPr>
        <w:t>is</w:t>
      </w:r>
      <w:r>
        <w:rPr>
          <w:i/>
          <w:spacing w:val="-4"/>
          <w:sz w:val="30"/>
        </w:rPr>
        <w:t xml:space="preserve"> </w:t>
      </w:r>
      <w:r>
        <w:rPr>
          <w:i/>
          <w:sz w:val="30"/>
        </w:rPr>
        <w:t>6-feet</w:t>
      </w:r>
      <w:r>
        <w:rPr>
          <w:i/>
          <w:spacing w:val="-4"/>
          <w:sz w:val="30"/>
        </w:rPr>
        <w:t xml:space="preserve"> </w:t>
      </w:r>
      <w:r>
        <w:rPr>
          <w:i/>
          <w:spacing w:val="-2"/>
          <w:sz w:val="30"/>
        </w:rPr>
        <w:t>tall.</w:t>
      </w:r>
      <w:r>
        <w:rPr>
          <w:spacing w:val="-2"/>
          <w:sz w:val="30"/>
        </w:rPr>
        <w:t>”</w:t>
      </w:r>
    </w:p>
    <w:p w14:paraId="7E000EA7" w14:textId="77777777" w:rsidR="009A58DB" w:rsidRDefault="00000000">
      <w:pPr>
        <w:pStyle w:val="ListParagraph"/>
        <w:numPr>
          <w:ilvl w:val="0"/>
          <w:numId w:val="175"/>
        </w:numPr>
        <w:tabs>
          <w:tab w:val="left" w:pos="782"/>
        </w:tabs>
        <w:spacing w:before="15"/>
        <w:ind w:left="782" w:hanging="422"/>
        <w:rPr>
          <w:sz w:val="30"/>
        </w:rPr>
      </w:pPr>
      <w:r>
        <w:rPr>
          <w:sz w:val="30"/>
        </w:rPr>
        <w:t>“Smith</w:t>
      </w:r>
      <w:r>
        <w:rPr>
          <w:spacing w:val="-6"/>
          <w:sz w:val="30"/>
        </w:rPr>
        <w:t xml:space="preserve"> </w:t>
      </w:r>
      <w:r>
        <w:rPr>
          <w:sz w:val="30"/>
        </w:rPr>
        <w:t>believes</w:t>
      </w:r>
      <w:r>
        <w:rPr>
          <w:spacing w:val="-4"/>
          <w:sz w:val="30"/>
        </w:rPr>
        <w:t xml:space="preserve"> </w:t>
      </w:r>
      <w:r>
        <w:rPr>
          <w:sz w:val="30"/>
        </w:rPr>
        <w:t>that</w:t>
      </w:r>
      <w:r>
        <w:rPr>
          <w:spacing w:val="-4"/>
          <w:sz w:val="30"/>
        </w:rPr>
        <w:t xml:space="preserve"> </w:t>
      </w:r>
      <w:r>
        <w:rPr>
          <w:i/>
          <w:sz w:val="30"/>
        </w:rPr>
        <w:t>the</w:t>
      </w:r>
      <w:r>
        <w:rPr>
          <w:i/>
          <w:spacing w:val="-4"/>
          <w:sz w:val="30"/>
        </w:rPr>
        <w:t xml:space="preserve"> </w:t>
      </w:r>
      <w:r>
        <w:rPr>
          <w:i/>
          <w:sz w:val="30"/>
        </w:rPr>
        <w:t>first</w:t>
      </w:r>
      <w:r>
        <w:rPr>
          <w:i/>
          <w:spacing w:val="-4"/>
          <w:sz w:val="30"/>
        </w:rPr>
        <w:t xml:space="preserve"> </w:t>
      </w:r>
      <w:r>
        <w:rPr>
          <w:i/>
          <w:sz w:val="30"/>
        </w:rPr>
        <w:t>postmaster</w:t>
      </w:r>
      <w:r>
        <w:rPr>
          <w:i/>
          <w:spacing w:val="-4"/>
          <w:sz w:val="30"/>
        </w:rPr>
        <w:t xml:space="preserve"> </w:t>
      </w:r>
      <w:r>
        <w:rPr>
          <w:i/>
          <w:sz w:val="30"/>
        </w:rPr>
        <w:t>general</w:t>
      </w:r>
      <w:r>
        <w:rPr>
          <w:i/>
          <w:spacing w:val="-4"/>
          <w:sz w:val="30"/>
        </w:rPr>
        <w:t xml:space="preserve"> </w:t>
      </w:r>
      <w:r>
        <w:rPr>
          <w:i/>
          <w:sz w:val="30"/>
        </w:rPr>
        <w:t>is</w:t>
      </w:r>
      <w:r>
        <w:rPr>
          <w:i/>
          <w:spacing w:val="-4"/>
          <w:sz w:val="30"/>
        </w:rPr>
        <w:t xml:space="preserve"> </w:t>
      </w:r>
      <w:r>
        <w:rPr>
          <w:i/>
          <w:sz w:val="30"/>
        </w:rPr>
        <w:t>not</w:t>
      </w:r>
      <w:r>
        <w:rPr>
          <w:i/>
          <w:spacing w:val="-4"/>
          <w:sz w:val="30"/>
        </w:rPr>
        <w:t xml:space="preserve"> </w:t>
      </w:r>
      <w:r>
        <w:rPr>
          <w:i/>
          <w:sz w:val="30"/>
        </w:rPr>
        <w:t>6-feet</w:t>
      </w:r>
      <w:r>
        <w:rPr>
          <w:i/>
          <w:spacing w:val="-4"/>
          <w:sz w:val="30"/>
        </w:rPr>
        <w:t xml:space="preserve"> </w:t>
      </w:r>
      <w:r>
        <w:rPr>
          <w:i/>
          <w:spacing w:val="-2"/>
          <w:sz w:val="30"/>
        </w:rPr>
        <w:t>tall.</w:t>
      </w:r>
      <w:r>
        <w:rPr>
          <w:spacing w:val="-2"/>
          <w:sz w:val="30"/>
        </w:rPr>
        <w:t>”</w:t>
      </w:r>
    </w:p>
    <w:p w14:paraId="7E000EA8" w14:textId="77777777" w:rsidR="009A58DB" w:rsidRDefault="009A58DB">
      <w:pPr>
        <w:pStyle w:val="BodyText"/>
        <w:spacing w:before="30"/>
        <w:ind w:left="0"/>
        <w:jc w:val="left"/>
      </w:pPr>
    </w:p>
    <w:p w14:paraId="7E000EA9" w14:textId="77777777" w:rsidR="009A58DB" w:rsidRDefault="00000000">
      <w:pPr>
        <w:pStyle w:val="BodyText"/>
        <w:spacing w:line="249" w:lineRule="auto"/>
        <w:ind w:right="358" w:firstLine="360"/>
      </w:pPr>
      <w:r>
        <w:t xml:space="preserve">Were Smith to believe both 1 and 4, he would not, at least not for that reason alone, be irrational. Of course, </w:t>
      </w:r>
      <w:r>
        <w:rPr>
          <w:i/>
        </w:rPr>
        <w:t xml:space="preserve">given </w:t>
      </w:r>
      <w:r>
        <w:t>the empirical fact that some one person uniquely invented bifocals and was a unique first postmaster general, one of those beliefs must be wrong. But taken by themselves, the italized parts of 1 and 4 are consistent with each other. At the same time, neither entails the other. In other words, each is compatible with the negation of the other. So supposing that Smith is rational and that 1 is true, it doesn’t follow that 3 is true or that 3 is false.</w:t>
      </w:r>
    </w:p>
    <w:p w14:paraId="7E000EAA" w14:textId="77777777" w:rsidR="009A58DB" w:rsidRDefault="00000000">
      <w:pPr>
        <w:pStyle w:val="BodyText"/>
        <w:spacing w:before="10" w:line="249" w:lineRule="auto"/>
        <w:ind w:right="363" w:firstLine="360"/>
      </w:pPr>
      <w:r>
        <w:t xml:space="preserve">For the time being, let’s suppose with Frege that definite descriptions are referring terms. In that case, the definite description in 1 co-refers with the definite description in 4. They both refer to BF. 1 says of BF that he has the property of being believed by Smith to be 6-feet tall; and 4 says of BF that he has the property of being believed by Smith to </w:t>
      </w:r>
      <w:r>
        <w:rPr>
          <w:i/>
        </w:rPr>
        <w:t xml:space="preserve">not </w:t>
      </w:r>
      <w:r>
        <w:t>be 6-feet tall. So Frege’s view that definite descriptions are referring terms has the false consequence that 1 and 4 cannot both be true if Smith is rational.</w:t>
      </w:r>
    </w:p>
    <w:p w14:paraId="7E000EAB" w14:textId="77777777" w:rsidR="009A58DB" w:rsidRDefault="00000000">
      <w:pPr>
        <w:pStyle w:val="BodyText"/>
        <w:spacing w:before="9" w:line="249" w:lineRule="auto"/>
        <w:ind w:right="361" w:firstLine="360"/>
      </w:pPr>
      <w:r>
        <w:t xml:space="preserve">Here’s another way of stating the problem. According to </w:t>
      </w:r>
      <w:r>
        <w:rPr>
          <w:b/>
          <w:i/>
        </w:rPr>
        <w:t xml:space="preserve">Leibniz’s Law, </w:t>
      </w:r>
      <w:r>
        <w:t>if x is identical with y, then x has a given property if and only if y too has that property. Leibniz’s Law isn’t directly concerned with language.</w:t>
      </w:r>
    </w:p>
    <w:p w14:paraId="7E000EAC" w14:textId="77777777" w:rsidR="009A58DB" w:rsidRDefault="00000000">
      <w:pPr>
        <w:pStyle w:val="BodyText"/>
        <w:spacing w:before="4"/>
        <w:ind w:left="720"/>
      </w:pPr>
      <w:r>
        <w:t>But</w:t>
      </w:r>
      <w:r>
        <w:rPr>
          <w:spacing w:val="28"/>
        </w:rPr>
        <w:t xml:space="preserve"> </w:t>
      </w:r>
      <w:r>
        <w:t>it</w:t>
      </w:r>
      <w:r>
        <w:rPr>
          <w:spacing w:val="28"/>
        </w:rPr>
        <w:t xml:space="preserve"> </w:t>
      </w:r>
      <w:r>
        <w:t>has</w:t>
      </w:r>
      <w:r>
        <w:rPr>
          <w:spacing w:val="28"/>
        </w:rPr>
        <w:t xml:space="preserve"> </w:t>
      </w:r>
      <w:r>
        <w:t>a</w:t>
      </w:r>
      <w:r>
        <w:rPr>
          <w:spacing w:val="28"/>
        </w:rPr>
        <w:t xml:space="preserve"> </w:t>
      </w:r>
      <w:r>
        <w:t>semantic</w:t>
      </w:r>
      <w:r>
        <w:rPr>
          <w:spacing w:val="28"/>
        </w:rPr>
        <w:t xml:space="preserve"> </w:t>
      </w:r>
      <w:r>
        <w:t>corollary,</w:t>
      </w:r>
      <w:r>
        <w:rPr>
          <w:spacing w:val="28"/>
        </w:rPr>
        <w:t xml:space="preserve"> </w:t>
      </w:r>
      <w:r>
        <w:t>namely,</w:t>
      </w:r>
      <w:r>
        <w:rPr>
          <w:spacing w:val="28"/>
        </w:rPr>
        <w:t xml:space="preserve"> </w:t>
      </w:r>
      <w:r>
        <w:t>that</w:t>
      </w:r>
      <w:r>
        <w:rPr>
          <w:spacing w:val="28"/>
        </w:rPr>
        <w:t xml:space="preserve"> </w:t>
      </w:r>
      <w:r>
        <w:t>if</w:t>
      </w:r>
      <w:r>
        <w:rPr>
          <w:spacing w:val="28"/>
        </w:rPr>
        <w:t xml:space="preserve"> </w:t>
      </w:r>
      <w:r>
        <w:t>two</w:t>
      </w:r>
      <w:r>
        <w:rPr>
          <w:spacing w:val="28"/>
        </w:rPr>
        <w:t xml:space="preserve"> </w:t>
      </w:r>
      <w:r>
        <w:t>expressions</w:t>
      </w:r>
      <w:r>
        <w:rPr>
          <w:spacing w:val="29"/>
        </w:rPr>
        <w:t xml:space="preserve"> </w:t>
      </w:r>
      <w:r>
        <w:t>co-</w:t>
      </w:r>
      <w:r>
        <w:rPr>
          <w:spacing w:val="-2"/>
        </w:rPr>
        <w:t>refer,</w:t>
      </w:r>
    </w:p>
    <w:p w14:paraId="7E000EAD" w14:textId="77777777" w:rsidR="009A58DB" w:rsidRDefault="009A58DB">
      <w:pPr>
        <w:pStyle w:val="BodyText"/>
        <w:sectPr w:rsidR="009A58DB">
          <w:pgSz w:w="12240" w:h="15840"/>
          <w:pgMar w:top="1380" w:right="1080" w:bottom="280" w:left="1080" w:header="720" w:footer="720" w:gutter="0"/>
          <w:cols w:space="720"/>
        </w:sectPr>
      </w:pPr>
    </w:p>
    <w:p w14:paraId="7E000EAE" w14:textId="77777777" w:rsidR="009A58DB" w:rsidRDefault="00000000">
      <w:pPr>
        <w:pStyle w:val="BodyText"/>
        <w:spacing w:before="60" w:line="249" w:lineRule="auto"/>
        <w:ind w:right="360"/>
      </w:pPr>
      <w:r>
        <w:lastRenderedPageBreak/>
        <w:t xml:space="preserve">they can be inter-substituted </w:t>
      </w:r>
      <w:r>
        <w:rPr>
          <w:i/>
        </w:rPr>
        <w:t xml:space="preserve">salva veritate. </w:t>
      </w:r>
      <w:r>
        <w:t>This means that, if E and E* co-refer, and S is a sentence containing E, then replacing E with E* will result in a sentence that is true if S is true and false if S is false. (It’s assumed that the expressions being inter-substituted belong to the same language, are inflected in the same way, etc.) “Cicero was a Roman orator” is true; and so, therefore, is “Tully was a Roman orator,” given that “Tully” co-refers with “Cicero.” “Cicero was a 19th-century logician” is false; and so, therefore, is “Tully was a 19th-century logician.” Another way of stating this principle is that “inter-substituting co-referring terms preserves truth-value.” The original sentence (“there is water in my glass”) is true (false) iff the new sentence (“there is H</w:t>
      </w:r>
      <w:r>
        <w:rPr>
          <w:vertAlign w:val="subscript"/>
        </w:rPr>
        <w:t>2</w:t>
      </w:r>
      <w:r>
        <w:t>O in my glass”) is true (false).</w:t>
      </w:r>
    </w:p>
    <w:p w14:paraId="7E000EAF" w14:textId="77777777" w:rsidR="009A58DB" w:rsidRDefault="00000000">
      <w:pPr>
        <w:pStyle w:val="BodyText"/>
        <w:spacing w:before="78" w:line="249" w:lineRule="auto"/>
        <w:ind w:right="359" w:firstLine="360"/>
        <w:rPr>
          <w:i/>
        </w:rPr>
      </w:pPr>
      <w:r>
        <w:t>Supposing, as Frege does, that “the inventor of bifocals” and “the first postmaster</w:t>
      </w:r>
      <w:r>
        <w:rPr>
          <w:spacing w:val="-3"/>
        </w:rPr>
        <w:t xml:space="preserve"> </w:t>
      </w:r>
      <w:r>
        <w:t>general”</w:t>
      </w:r>
      <w:r>
        <w:rPr>
          <w:spacing w:val="-3"/>
        </w:rPr>
        <w:t xml:space="preserve"> </w:t>
      </w:r>
      <w:r>
        <w:t>are</w:t>
      </w:r>
      <w:r>
        <w:rPr>
          <w:spacing w:val="-3"/>
        </w:rPr>
        <w:t xml:space="preserve"> </w:t>
      </w:r>
      <w:r>
        <w:t>referring</w:t>
      </w:r>
      <w:r>
        <w:rPr>
          <w:spacing w:val="-3"/>
        </w:rPr>
        <w:t xml:space="preserve"> </w:t>
      </w:r>
      <w:r>
        <w:t>terms,</w:t>
      </w:r>
      <w:r>
        <w:rPr>
          <w:spacing w:val="-3"/>
        </w:rPr>
        <w:t xml:space="preserve"> </w:t>
      </w:r>
      <w:r>
        <w:t>then,</w:t>
      </w:r>
      <w:r>
        <w:rPr>
          <w:spacing w:val="-3"/>
        </w:rPr>
        <w:t xml:space="preserve"> </w:t>
      </w:r>
      <w:r>
        <w:t>given</w:t>
      </w:r>
      <w:r>
        <w:rPr>
          <w:spacing w:val="-3"/>
        </w:rPr>
        <w:t xml:space="preserve"> </w:t>
      </w:r>
      <w:r>
        <w:t>that</w:t>
      </w:r>
      <w:r>
        <w:rPr>
          <w:spacing w:val="-3"/>
        </w:rPr>
        <w:t xml:space="preserve"> </w:t>
      </w:r>
      <w:r>
        <w:t>those</w:t>
      </w:r>
      <w:r>
        <w:rPr>
          <w:spacing w:val="-3"/>
        </w:rPr>
        <w:t xml:space="preserve"> </w:t>
      </w:r>
      <w:r>
        <w:t>expressions</w:t>
      </w:r>
      <w:r>
        <w:rPr>
          <w:spacing w:val="-3"/>
        </w:rPr>
        <w:t xml:space="preserve"> </w:t>
      </w:r>
      <w:r>
        <w:t xml:space="preserve">co-refer, replacing the one with the other should preserve truth-value. But it doesn’t. 1 may be false if 3 is true and </w:t>
      </w:r>
      <w:r>
        <w:rPr>
          <w:i/>
        </w:rPr>
        <w:t>vice versa.</w:t>
      </w:r>
    </w:p>
    <w:p w14:paraId="7E000EB0" w14:textId="77777777" w:rsidR="009A58DB" w:rsidRDefault="00000000">
      <w:pPr>
        <w:pStyle w:val="BodyText"/>
        <w:spacing w:before="5" w:line="249" w:lineRule="auto"/>
        <w:ind w:right="360" w:firstLine="360"/>
      </w:pPr>
      <w:r>
        <w:t xml:space="preserve">TD solves this problem. According to TD, the meanings of 1–4 are, </w:t>
      </w:r>
      <w:r>
        <w:rPr>
          <w:spacing w:val="-2"/>
        </w:rPr>
        <w:t>respectively:</w:t>
      </w:r>
    </w:p>
    <w:p w14:paraId="7E000EB1" w14:textId="77777777" w:rsidR="009A58DB" w:rsidRDefault="009A58DB">
      <w:pPr>
        <w:pStyle w:val="BodyText"/>
        <w:spacing w:before="17"/>
        <w:ind w:left="0"/>
        <w:jc w:val="left"/>
      </w:pPr>
    </w:p>
    <w:p w14:paraId="7E000EB2" w14:textId="77777777" w:rsidR="009A58DB" w:rsidRDefault="00000000">
      <w:pPr>
        <w:spacing w:before="1" w:line="249" w:lineRule="auto"/>
        <w:ind w:left="360"/>
        <w:rPr>
          <w:sz w:val="30"/>
        </w:rPr>
      </w:pPr>
      <w:r>
        <w:rPr>
          <w:sz w:val="30"/>
        </w:rPr>
        <w:t>(1</w:t>
      </w:r>
      <w:r>
        <w:rPr>
          <w:position w:val="-7"/>
        </w:rPr>
        <w:t>R</w:t>
      </w:r>
      <w:r>
        <w:rPr>
          <w:sz w:val="30"/>
        </w:rPr>
        <w:t xml:space="preserve">) “Smith believes that </w:t>
      </w:r>
      <w:r>
        <w:rPr>
          <w:i/>
          <w:sz w:val="30"/>
        </w:rPr>
        <w:t>something uniquely invented bifocals, and any such thing is 6 ft tall.</w:t>
      </w:r>
      <w:r>
        <w:rPr>
          <w:sz w:val="30"/>
        </w:rPr>
        <w:t>”</w:t>
      </w:r>
    </w:p>
    <w:p w14:paraId="7E000EB3" w14:textId="77777777" w:rsidR="009A58DB" w:rsidRDefault="00000000">
      <w:pPr>
        <w:spacing w:line="249" w:lineRule="auto"/>
        <w:ind w:left="360"/>
        <w:rPr>
          <w:sz w:val="30"/>
        </w:rPr>
      </w:pPr>
      <w:r>
        <w:rPr>
          <w:sz w:val="30"/>
        </w:rPr>
        <w:t>(2</w:t>
      </w:r>
      <w:r>
        <w:rPr>
          <w:position w:val="-7"/>
        </w:rPr>
        <w:t>R</w:t>
      </w:r>
      <w:r>
        <w:rPr>
          <w:sz w:val="30"/>
        </w:rPr>
        <w:t xml:space="preserve">) “Smith believes that </w:t>
      </w:r>
      <w:r>
        <w:rPr>
          <w:i/>
          <w:sz w:val="30"/>
        </w:rPr>
        <w:t xml:space="preserve">something uniquely invented bifocals, and any such thing is </w:t>
      </w:r>
      <w:r>
        <w:rPr>
          <w:b/>
          <w:i/>
          <w:sz w:val="30"/>
        </w:rPr>
        <w:t xml:space="preserve">not </w:t>
      </w:r>
      <w:r>
        <w:rPr>
          <w:sz w:val="30"/>
        </w:rPr>
        <w:t>6 ft tall.”</w:t>
      </w:r>
    </w:p>
    <w:p w14:paraId="7E000EB4" w14:textId="77777777" w:rsidR="009A58DB" w:rsidRDefault="00000000">
      <w:pPr>
        <w:spacing w:line="249" w:lineRule="auto"/>
        <w:ind w:left="360"/>
        <w:rPr>
          <w:sz w:val="30"/>
        </w:rPr>
      </w:pPr>
      <w:r>
        <w:rPr>
          <w:sz w:val="30"/>
        </w:rPr>
        <w:t>(3</w:t>
      </w:r>
      <w:r>
        <w:rPr>
          <w:position w:val="-7"/>
        </w:rPr>
        <w:t>R</w:t>
      </w:r>
      <w:r>
        <w:rPr>
          <w:sz w:val="30"/>
        </w:rPr>
        <w:t>)</w:t>
      </w:r>
      <w:r>
        <w:rPr>
          <w:spacing w:val="37"/>
          <w:sz w:val="30"/>
        </w:rPr>
        <w:t xml:space="preserve"> </w:t>
      </w:r>
      <w:r>
        <w:rPr>
          <w:sz w:val="30"/>
        </w:rPr>
        <w:t>“Smith</w:t>
      </w:r>
      <w:r>
        <w:rPr>
          <w:spacing w:val="37"/>
          <w:sz w:val="30"/>
        </w:rPr>
        <w:t xml:space="preserve"> </w:t>
      </w:r>
      <w:r>
        <w:rPr>
          <w:sz w:val="30"/>
        </w:rPr>
        <w:t>believes</w:t>
      </w:r>
      <w:r>
        <w:rPr>
          <w:spacing w:val="37"/>
          <w:sz w:val="30"/>
        </w:rPr>
        <w:t xml:space="preserve"> </w:t>
      </w:r>
      <w:r>
        <w:rPr>
          <w:sz w:val="30"/>
        </w:rPr>
        <w:t>that</w:t>
      </w:r>
      <w:r>
        <w:rPr>
          <w:spacing w:val="37"/>
          <w:sz w:val="30"/>
        </w:rPr>
        <w:t xml:space="preserve"> </w:t>
      </w:r>
      <w:r>
        <w:rPr>
          <w:i/>
          <w:sz w:val="30"/>
        </w:rPr>
        <w:t>something</w:t>
      </w:r>
      <w:r>
        <w:rPr>
          <w:i/>
          <w:spacing w:val="40"/>
          <w:sz w:val="30"/>
        </w:rPr>
        <w:t xml:space="preserve"> </w:t>
      </w:r>
      <w:r>
        <w:rPr>
          <w:i/>
          <w:sz w:val="30"/>
        </w:rPr>
        <w:t>was</w:t>
      </w:r>
      <w:r>
        <w:rPr>
          <w:i/>
          <w:spacing w:val="40"/>
          <w:sz w:val="30"/>
        </w:rPr>
        <w:t xml:space="preserve"> </w:t>
      </w:r>
      <w:r>
        <w:rPr>
          <w:i/>
          <w:sz w:val="30"/>
        </w:rPr>
        <w:t>a</w:t>
      </w:r>
      <w:r>
        <w:rPr>
          <w:i/>
          <w:spacing w:val="40"/>
          <w:sz w:val="30"/>
        </w:rPr>
        <w:t xml:space="preserve"> </w:t>
      </w:r>
      <w:r>
        <w:rPr>
          <w:i/>
          <w:sz w:val="30"/>
        </w:rPr>
        <w:t>unique</w:t>
      </w:r>
      <w:r>
        <w:rPr>
          <w:i/>
          <w:spacing w:val="40"/>
          <w:sz w:val="30"/>
        </w:rPr>
        <w:t xml:space="preserve"> </w:t>
      </w:r>
      <w:r>
        <w:rPr>
          <w:i/>
          <w:sz w:val="30"/>
        </w:rPr>
        <w:t>first</w:t>
      </w:r>
      <w:r>
        <w:rPr>
          <w:i/>
          <w:spacing w:val="40"/>
          <w:sz w:val="30"/>
        </w:rPr>
        <w:t xml:space="preserve"> </w:t>
      </w:r>
      <w:r>
        <w:rPr>
          <w:i/>
          <w:sz w:val="30"/>
        </w:rPr>
        <w:t>postmaster</w:t>
      </w:r>
      <w:r>
        <w:rPr>
          <w:i/>
          <w:spacing w:val="40"/>
          <w:sz w:val="30"/>
        </w:rPr>
        <w:t xml:space="preserve"> </w:t>
      </w:r>
      <w:r>
        <w:rPr>
          <w:i/>
          <w:sz w:val="30"/>
        </w:rPr>
        <w:t>general and any such thing is 6 ft tall.</w:t>
      </w:r>
      <w:r>
        <w:rPr>
          <w:sz w:val="30"/>
        </w:rPr>
        <w:t>”</w:t>
      </w:r>
    </w:p>
    <w:p w14:paraId="7E000EB5" w14:textId="77777777" w:rsidR="009A58DB" w:rsidRDefault="00000000">
      <w:pPr>
        <w:spacing w:line="249" w:lineRule="auto"/>
        <w:ind w:left="360"/>
        <w:rPr>
          <w:sz w:val="30"/>
        </w:rPr>
      </w:pPr>
      <w:r>
        <w:rPr>
          <w:sz w:val="30"/>
        </w:rPr>
        <w:t>(4</w:t>
      </w:r>
      <w:r>
        <w:rPr>
          <w:position w:val="-7"/>
        </w:rPr>
        <w:t>R</w:t>
      </w:r>
      <w:r>
        <w:rPr>
          <w:sz w:val="30"/>
        </w:rPr>
        <w:t>)</w:t>
      </w:r>
      <w:r>
        <w:rPr>
          <w:spacing w:val="37"/>
          <w:sz w:val="30"/>
        </w:rPr>
        <w:t xml:space="preserve"> </w:t>
      </w:r>
      <w:r>
        <w:rPr>
          <w:sz w:val="30"/>
        </w:rPr>
        <w:t>“Smith</w:t>
      </w:r>
      <w:r>
        <w:rPr>
          <w:spacing w:val="37"/>
          <w:sz w:val="30"/>
        </w:rPr>
        <w:t xml:space="preserve"> </w:t>
      </w:r>
      <w:r>
        <w:rPr>
          <w:sz w:val="30"/>
        </w:rPr>
        <w:t>believes</w:t>
      </w:r>
      <w:r>
        <w:rPr>
          <w:spacing w:val="37"/>
          <w:sz w:val="30"/>
        </w:rPr>
        <w:t xml:space="preserve"> </w:t>
      </w:r>
      <w:r>
        <w:rPr>
          <w:sz w:val="30"/>
        </w:rPr>
        <w:t>that</w:t>
      </w:r>
      <w:r>
        <w:rPr>
          <w:spacing w:val="37"/>
          <w:sz w:val="30"/>
        </w:rPr>
        <w:t xml:space="preserve"> </w:t>
      </w:r>
      <w:r>
        <w:rPr>
          <w:i/>
          <w:sz w:val="30"/>
        </w:rPr>
        <w:t>something</w:t>
      </w:r>
      <w:r>
        <w:rPr>
          <w:i/>
          <w:spacing w:val="40"/>
          <w:sz w:val="30"/>
        </w:rPr>
        <w:t xml:space="preserve"> </w:t>
      </w:r>
      <w:r>
        <w:rPr>
          <w:i/>
          <w:sz w:val="30"/>
        </w:rPr>
        <w:t>was</w:t>
      </w:r>
      <w:r>
        <w:rPr>
          <w:i/>
          <w:spacing w:val="40"/>
          <w:sz w:val="30"/>
        </w:rPr>
        <w:t xml:space="preserve"> </w:t>
      </w:r>
      <w:r>
        <w:rPr>
          <w:i/>
          <w:sz w:val="30"/>
        </w:rPr>
        <w:t>a</w:t>
      </w:r>
      <w:r>
        <w:rPr>
          <w:i/>
          <w:spacing w:val="40"/>
          <w:sz w:val="30"/>
        </w:rPr>
        <w:t xml:space="preserve"> </w:t>
      </w:r>
      <w:r>
        <w:rPr>
          <w:i/>
          <w:sz w:val="30"/>
        </w:rPr>
        <w:t>unique</w:t>
      </w:r>
      <w:r>
        <w:rPr>
          <w:i/>
          <w:spacing w:val="40"/>
          <w:sz w:val="30"/>
        </w:rPr>
        <w:t xml:space="preserve"> </w:t>
      </w:r>
      <w:r>
        <w:rPr>
          <w:i/>
          <w:sz w:val="30"/>
        </w:rPr>
        <w:t>first</w:t>
      </w:r>
      <w:r>
        <w:rPr>
          <w:i/>
          <w:spacing w:val="40"/>
          <w:sz w:val="30"/>
        </w:rPr>
        <w:t xml:space="preserve"> </w:t>
      </w:r>
      <w:r>
        <w:rPr>
          <w:i/>
          <w:sz w:val="30"/>
        </w:rPr>
        <w:t>postmaster</w:t>
      </w:r>
      <w:r>
        <w:rPr>
          <w:i/>
          <w:spacing w:val="40"/>
          <w:sz w:val="30"/>
        </w:rPr>
        <w:t xml:space="preserve"> </w:t>
      </w:r>
      <w:r>
        <w:rPr>
          <w:i/>
          <w:sz w:val="30"/>
        </w:rPr>
        <w:t xml:space="preserve">general and any such thing is </w:t>
      </w:r>
      <w:r>
        <w:rPr>
          <w:b/>
          <w:i/>
          <w:sz w:val="30"/>
        </w:rPr>
        <w:t xml:space="preserve">not </w:t>
      </w:r>
      <w:r>
        <w:rPr>
          <w:sz w:val="30"/>
        </w:rPr>
        <w:t>6 ft tall.”</w:t>
      </w:r>
    </w:p>
    <w:p w14:paraId="7E000EB6" w14:textId="77777777" w:rsidR="009A58DB" w:rsidRDefault="009A58DB">
      <w:pPr>
        <w:pStyle w:val="BodyText"/>
        <w:spacing w:before="13"/>
        <w:ind w:left="0"/>
        <w:jc w:val="left"/>
      </w:pPr>
    </w:p>
    <w:p w14:paraId="7E000EB7" w14:textId="77777777" w:rsidR="009A58DB" w:rsidRDefault="00000000">
      <w:pPr>
        <w:pStyle w:val="BodyText"/>
        <w:spacing w:before="1" w:line="249" w:lineRule="auto"/>
        <w:ind w:right="359"/>
      </w:pPr>
      <w:r>
        <w:t>1 doesn’t entail 3, and 1 is compatible with 4. 2 doesn’t entail 4 and 2 is compatible with 3. (This is the hard data.) 1</w:t>
      </w:r>
      <w:r>
        <w:rPr>
          <w:position w:val="-7"/>
          <w:sz w:val="22"/>
        </w:rPr>
        <w:t xml:space="preserve">R </w:t>
      </w:r>
      <w:r>
        <w:t>doesn’t entail 3</w:t>
      </w:r>
      <w:r>
        <w:rPr>
          <w:position w:val="-7"/>
          <w:sz w:val="22"/>
        </w:rPr>
        <w:t>R</w:t>
      </w:r>
      <w:r>
        <w:t>, and 1</w:t>
      </w:r>
      <w:r>
        <w:rPr>
          <w:position w:val="-7"/>
          <w:sz w:val="22"/>
        </w:rPr>
        <w:t xml:space="preserve">R </w:t>
      </w:r>
      <w:r>
        <w:t>is compatible</w:t>
      </w:r>
      <w:r>
        <w:rPr>
          <w:spacing w:val="-3"/>
        </w:rPr>
        <w:t xml:space="preserve"> </w:t>
      </w:r>
      <w:r>
        <w:t>with</w:t>
      </w:r>
      <w:r>
        <w:rPr>
          <w:spacing w:val="-2"/>
        </w:rPr>
        <w:t xml:space="preserve"> </w:t>
      </w:r>
      <w:r>
        <w:t>4</w:t>
      </w:r>
      <w:r>
        <w:rPr>
          <w:position w:val="-7"/>
          <w:sz w:val="22"/>
        </w:rPr>
        <w:t>R</w:t>
      </w:r>
      <w:r>
        <w:t>.</w:t>
      </w:r>
      <w:r>
        <w:rPr>
          <w:spacing w:val="-2"/>
        </w:rPr>
        <w:t xml:space="preserve"> </w:t>
      </w:r>
      <w:r>
        <w:t>2</w:t>
      </w:r>
      <w:r>
        <w:rPr>
          <w:position w:val="-7"/>
          <w:sz w:val="22"/>
        </w:rPr>
        <w:t xml:space="preserve">R </w:t>
      </w:r>
      <w:r>
        <w:t>doesn’t</w:t>
      </w:r>
      <w:r>
        <w:rPr>
          <w:spacing w:val="-3"/>
        </w:rPr>
        <w:t xml:space="preserve"> </w:t>
      </w:r>
      <w:r>
        <w:t>entail</w:t>
      </w:r>
      <w:r>
        <w:rPr>
          <w:spacing w:val="-3"/>
        </w:rPr>
        <w:t xml:space="preserve"> </w:t>
      </w:r>
      <w:r>
        <w:t>4</w:t>
      </w:r>
      <w:r>
        <w:rPr>
          <w:position w:val="-7"/>
          <w:sz w:val="22"/>
        </w:rPr>
        <w:t xml:space="preserve">R </w:t>
      </w:r>
      <w:r>
        <w:t>and</w:t>
      </w:r>
      <w:r>
        <w:rPr>
          <w:spacing w:val="-2"/>
        </w:rPr>
        <w:t xml:space="preserve"> </w:t>
      </w:r>
      <w:r>
        <w:t>2</w:t>
      </w:r>
      <w:r>
        <w:rPr>
          <w:position w:val="-7"/>
          <w:sz w:val="22"/>
        </w:rPr>
        <w:t xml:space="preserve">R </w:t>
      </w:r>
      <w:r>
        <w:t>is compatible with 3</w:t>
      </w:r>
      <w:r>
        <w:rPr>
          <w:position w:val="-7"/>
          <w:sz w:val="22"/>
        </w:rPr>
        <w:t>R</w:t>
      </w:r>
      <w:r>
        <w:t>. So TD is compatible with the hard-data, whereas Frege’s theory is not. Frege was aware of the problem just described, and he added an epicycle to his theory that he hoped would save it. It did not, as we’ll now see.</w:t>
      </w:r>
    </w:p>
    <w:p w14:paraId="7E000EB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B9" w14:textId="77777777" w:rsidR="009A58DB" w:rsidRDefault="00000000">
      <w:pPr>
        <w:pStyle w:val="Heading1"/>
        <w:numPr>
          <w:ilvl w:val="2"/>
          <w:numId w:val="176"/>
        </w:numPr>
        <w:tabs>
          <w:tab w:val="left" w:pos="1387"/>
        </w:tabs>
        <w:spacing w:before="58" w:line="244" w:lineRule="auto"/>
        <w:ind w:right="362" w:firstLine="0"/>
      </w:pPr>
      <w:r>
        <w:lastRenderedPageBreak/>
        <w:t>Frege’s</w:t>
      </w:r>
      <w:r>
        <w:rPr>
          <w:spacing w:val="40"/>
        </w:rPr>
        <w:t xml:space="preserve"> </w:t>
      </w:r>
      <w:r>
        <w:t>cover-up:</w:t>
      </w:r>
      <w:r>
        <w:rPr>
          <w:spacing w:val="40"/>
        </w:rPr>
        <w:t xml:space="preserve"> </w:t>
      </w:r>
      <w:r>
        <w:t>the</w:t>
      </w:r>
      <w:r>
        <w:rPr>
          <w:spacing w:val="40"/>
        </w:rPr>
        <w:t xml:space="preserve"> </w:t>
      </w:r>
      <w:r>
        <w:t>creation</w:t>
      </w:r>
      <w:r>
        <w:rPr>
          <w:spacing w:val="40"/>
        </w:rPr>
        <w:t xml:space="preserve"> </w:t>
      </w:r>
      <w:r>
        <w:t>of</w:t>
      </w:r>
      <w:r>
        <w:rPr>
          <w:spacing w:val="40"/>
        </w:rPr>
        <w:t xml:space="preserve"> </w:t>
      </w:r>
      <w:r>
        <w:t xml:space="preserve">intensional </w:t>
      </w:r>
      <w:r>
        <w:rPr>
          <w:spacing w:val="-2"/>
        </w:rPr>
        <w:t>contexts</w:t>
      </w:r>
    </w:p>
    <w:p w14:paraId="7E000EBA" w14:textId="77777777" w:rsidR="009A58DB" w:rsidRDefault="00000000">
      <w:pPr>
        <w:pStyle w:val="BodyText"/>
        <w:spacing w:before="131" w:line="249" w:lineRule="auto"/>
        <w:ind w:right="358"/>
      </w:pPr>
      <w:r>
        <w:t>Frege made profound contributions to logic and the philosophy of language. None of these disciplines even existed in anything like their modern form before he invented them, and most of the principles that he laid down in</w:t>
      </w:r>
      <w:r>
        <w:rPr>
          <w:spacing w:val="40"/>
        </w:rPr>
        <w:t xml:space="preserve"> </w:t>
      </w:r>
      <w:r>
        <w:t>doing so hold up.</w:t>
      </w:r>
    </w:p>
    <w:p w14:paraId="7E000EBB" w14:textId="77777777" w:rsidR="009A58DB" w:rsidRDefault="00000000">
      <w:pPr>
        <w:pStyle w:val="BodyText"/>
        <w:spacing w:before="5" w:line="249" w:lineRule="auto"/>
        <w:ind w:right="360" w:firstLine="360"/>
      </w:pPr>
      <w:r>
        <w:t>But Frege, like everyone else, had his less than stellar moments. Unfortunately, his blunders are treated with the same reverence as his discoveries. For this reason some very wrong and incoherent ideas of his are alive and well and continue to retard intellectual progress.</w:t>
      </w:r>
    </w:p>
    <w:p w14:paraId="7E000EBC" w14:textId="77777777" w:rsidR="009A58DB" w:rsidRDefault="00000000">
      <w:pPr>
        <w:pStyle w:val="BodyText"/>
        <w:spacing w:before="5" w:line="249" w:lineRule="auto"/>
        <w:ind w:right="361" w:firstLine="360"/>
      </w:pPr>
      <w:r>
        <w:t>One of the worst of these is Frege’s distinction between “extensional” and “intensional” contexts</w:t>
      </w:r>
      <w:bookmarkStart w:id="195" w:name="_bookmark195"/>
      <w:bookmarkEnd w:id="195"/>
      <w:r>
        <w:t>.</w:t>
      </w:r>
      <w:r>
        <w:rPr>
          <w:color w:val="0562C1"/>
          <w:position w:val="21"/>
          <w:u w:val="single" w:color="0562C1"/>
        </w:rPr>
        <w:t>[113]</w:t>
      </w:r>
      <w:r>
        <w:rPr>
          <w:color w:val="0562C1"/>
          <w:position w:val="21"/>
        </w:rPr>
        <w:t xml:space="preserve"> </w:t>
      </w:r>
      <w:r>
        <w:t xml:space="preserve">An extensional context is an expression that is “substitution tolerant.” An expression E is substitution-tolerant if replacing any one of the referring terms occurring in it with a co-referring term yields a true sentence iff the sentence that hosted E was true and a false sentence iff the sentence hosted E was false. So “Smith is tall” is such a context, since replacing “Smith” a co-referring term will result in a sentence that has the same truth-value as the first. An intensional context is one which is </w:t>
      </w:r>
      <w:r>
        <w:rPr>
          <w:spacing w:val="-2"/>
        </w:rPr>
        <w:t>substitution-</w:t>
      </w:r>
      <w:r>
        <w:rPr>
          <w:i/>
          <w:spacing w:val="-2"/>
        </w:rPr>
        <w:t>in</w:t>
      </w:r>
      <w:r>
        <w:rPr>
          <w:spacing w:val="-2"/>
        </w:rPr>
        <w:t>tolerant.</w:t>
      </w:r>
    </w:p>
    <w:p w14:paraId="7E000EBD" w14:textId="77777777" w:rsidR="009A58DB" w:rsidRDefault="00000000">
      <w:pPr>
        <w:pStyle w:val="BodyText"/>
        <w:spacing w:before="11" w:line="249" w:lineRule="auto"/>
        <w:ind w:right="360" w:firstLine="360"/>
      </w:pPr>
      <w:r>
        <w:t>A story will help us move forward. The prettiest woman on the planet is also the most evil person on the planet. Smith wants to marry the prettiest woman on the planet, whoever that might be, but wants nothing to do with anyone who is evil. In that case:</w:t>
      </w:r>
    </w:p>
    <w:p w14:paraId="7E000EBE" w14:textId="77777777" w:rsidR="009A58DB" w:rsidRDefault="00000000">
      <w:pPr>
        <w:pStyle w:val="ListParagraph"/>
        <w:numPr>
          <w:ilvl w:val="0"/>
          <w:numId w:val="174"/>
        </w:numPr>
        <w:tabs>
          <w:tab w:val="left" w:pos="782"/>
        </w:tabs>
        <w:spacing w:before="110" w:line="312" w:lineRule="auto"/>
        <w:ind w:right="2373" w:firstLine="0"/>
        <w:rPr>
          <w:sz w:val="30"/>
        </w:rPr>
      </w:pPr>
      <w:r>
        <w:rPr>
          <w:sz w:val="30"/>
        </w:rPr>
        <w:t>“Smith</w:t>
      </w:r>
      <w:r>
        <w:rPr>
          <w:spacing w:val="-4"/>
          <w:sz w:val="30"/>
        </w:rPr>
        <w:t xml:space="preserve"> </w:t>
      </w:r>
      <w:r>
        <w:rPr>
          <w:sz w:val="30"/>
        </w:rPr>
        <w:t>wants</w:t>
      </w:r>
      <w:r>
        <w:rPr>
          <w:spacing w:val="-5"/>
          <w:sz w:val="30"/>
        </w:rPr>
        <w:t xml:space="preserve"> </w:t>
      </w:r>
      <w:r>
        <w:rPr>
          <w:sz w:val="30"/>
        </w:rPr>
        <w:t>to</w:t>
      </w:r>
      <w:r>
        <w:rPr>
          <w:spacing w:val="-4"/>
          <w:sz w:val="30"/>
        </w:rPr>
        <w:t xml:space="preserve"> </w:t>
      </w:r>
      <w:r>
        <w:rPr>
          <w:sz w:val="30"/>
        </w:rPr>
        <w:t>marry</w:t>
      </w:r>
      <w:r>
        <w:rPr>
          <w:spacing w:val="-4"/>
          <w:sz w:val="30"/>
        </w:rPr>
        <w:t xml:space="preserve"> </w:t>
      </w:r>
      <w:r>
        <w:rPr>
          <w:sz w:val="30"/>
        </w:rPr>
        <w:t>the</w:t>
      </w:r>
      <w:r>
        <w:rPr>
          <w:spacing w:val="-5"/>
          <w:sz w:val="30"/>
        </w:rPr>
        <w:t xml:space="preserve"> </w:t>
      </w:r>
      <w:r>
        <w:rPr>
          <w:sz w:val="30"/>
        </w:rPr>
        <w:t>prettiest</w:t>
      </w:r>
      <w:r>
        <w:rPr>
          <w:spacing w:val="-5"/>
          <w:sz w:val="30"/>
        </w:rPr>
        <w:t xml:space="preserve"> </w:t>
      </w:r>
      <w:r>
        <w:rPr>
          <w:sz w:val="30"/>
        </w:rPr>
        <w:t>woman</w:t>
      </w:r>
      <w:r>
        <w:rPr>
          <w:spacing w:val="-4"/>
          <w:sz w:val="30"/>
        </w:rPr>
        <w:t xml:space="preserve"> </w:t>
      </w:r>
      <w:r>
        <w:rPr>
          <w:sz w:val="30"/>
        </w:rPr>
        <w:t>on</w:t>
      </w:r>
      <w:r>
        <w:rPr>
          <w:spacing w:val="-4"/>
          <w:sz w:val="30"/>
        </w:rPr>
        <w:t xml:space="preserve"> </w:t>
      </w:r>
      <w:r>
        <w:rPr>
          <w:sz w:val="30"/>
        </w:rPr>
        <w:t>the</w:t>
      </w:r>
      <w:r>
        <w:rPr>
          <w:spacing w:val="-5"/>
          <w:sz w:val="30"/>
        </w:rPr>
        <w:t xml:space="preserve"> </w:t>
      </w:r>
      <w:r>
        <w:rPr>
          <w:sz w:val="30"/>
        </w:rPr>
        <w:t>planet” is true, but</w:t>
      </w:r>
    </w:p>
    <w:p w14:paraId="7E000EBF" w14:textId="77777777" w:rsidR="009A58DB" w:rsidRDefault="00000000">
      <w:pPr>
        <w:pStyle w:val="ListParagraph"/>
        <w:numPr>
          <w:ilvl w:val="0"/>
          <w:numId w:val="174"/>
        </w:numPr>
        <w:tabs>
          <w:tab w:val="left" w:pos="782"/>
        </w:tabs>
        <w:spacing w:before="18" w:line="324" w:lineRule="auto"/>
        <w:ind w:right="2314" w:firstLine="0"/>
        <w:rPr>
          <w:sz w:val="30"/>
        </w:rPr>
      </w:pPr>
      <w:r>
        <w:rPr>
          <w:sz w:val="30"/>
        </w:rPr>
        <w:t>“Smith</w:t>
      </w:r>
      <w:r>
        <w:rPr>
          <w:spacing w:val="-4"/>
          <w:sz w:val="30"/>
        </w:rPr>
        <w:t xml:space="preserve"> </w:t>
      </w:r>
      <w:r>
        <w:rPr>
          <w:sz w:val="30"/>
        </w:rPr>
        <w:t>wants</w:t>
      </w:r>
      <w:r>
        <w:rPr>
          <w:spacing w:val="-5"/>
          <w:sz w:val="30"/>
        </w:rPr>
        <w:t xml:space="preserve"> </w:t>
      </w:r>
      <w:r>
        <w:rPr>
          <w:sz w:val="30"/>
        </w:rPr>
        <w:t>to</w:t>
      </w:r>
      <w:r>
        <w:rPr>
          <w:spacing w:val="-4"/>
          <w:sz w:val="30"/>
        </w:rPr>
        <w:t xml:space="preserve"> </w:t>
      </w:r>
      <w:r>
        <w:rPr>
          <w:sz w:val="30"/>
        </w:rPr>
        <w:t>marry</w:t>
      </w:r>
      <w:r>
        <w:rPr>
          <w:spacing w:val="-4"/>
          <w:sz w:val="30"/>
        </w:rPr>
        <w:t xml:space="preserve"> </w:t>
      </w:r>
      <w:r>
        <w:rPr>
          <w:sz w:val="30"/>
        </w:rPr>
        <w:t>the</w:t>
      </w:r>
      <w:r>
        <w:rPr>
          <w:spacing w:val="-5"/>
          <w:sz w:val="30"/>
        </w:rPr>
        <w:t xml:space="preserve"> </w:t>
      </w:r>
      <w:r>
        <w:rPr>
          <w:sz w:val="30"/>
        </w:rPr>
        <w:t>most</w:t>
      </w:r>
      <w:r>
        <w:rPr>
          <w:spacing w:val="-5"/>
          <w:sz w:val="30"/>
        </w:rPr>
        <w:t xml:space="preserve"> </w:t>
      </w:r>
      <w:r>
        <w:rPr>
          <w:sz w:val="30"/>
        </w:rPr>
        <w:t>evil</w:t>
      </w:r>
      <w:r>
        <w:rPr>
          <w:spacing w:val="-5"/>
          <w:sz w:val="30"/>
        </w:rPr>
        <w:t xml:space="preserve"> </w:t>
      </w:r>
      <w:r>
        <w:rPr>
          <w:sz w:val="30"/>
        </w:rPr>
        <w:t>person</w:t>
      </w:r>
      <w:r>
        <w:rPr>
          <w:spacing w:val="-4"/>
          <w:sz w:val="30"/>
        </w:rPr>
        <w:t xml:space="preserve"> </w:t>
      </w:r>
      <w:r>
        <w:rPr>
          <w:sz w:val="30"/>
        </w:rPr>
        <w:t>on</w:t>
      </w:r>
      <w:r>
        <w:rPr>
          <w:spacing w:val="-4"/>
          <w:sz w:val="30"/>
        </w:rPr>
        <w:t xml:space="preserve"> </w:t>
      </w:r>
      <w:r>
        <w:rPr>
          <w:sz w:val="30"/>
        </w:rPr>
        <w:t>the</w:t>
      </w:r>
      <w:r>
        <w:rPr>
          <w:spacing w:val="-5"/>
          <w:sz w:val="30"/>
        </w:rPr>
        <w:t xml:space="preserve"> </w:t>
      </w:r>
      <w:r>
        <w:rPr>
          <w:sz w:val="30"/>
        </w:rPr>
        <w:t>planet” is false. And, of course,</w:t>
      </w:r>
    </w:p>
    <w:p w14:paraId="7E000EC0" w14:textId="77777777" w:rsidR="009A58DB" w:rsidRDefault="00000000">
      <w:pPr>
        <w:pStyle w:val="ListParagraph"/>
        <w:numPr>
          <w:ilvl w:val="0"/>
          <w:numId w:val="174"/>
        </w:numPr>
        <w:tabs>
          <w:tab w:val="left" w:pos="863"/>
        </w:tabs>
        <w:spacing w:line="329" w:lineRule="exact"/>
        <w:ind w:left="863" w:hanging="503"/>
        <w:rPr>
          <w:sz w:val="30"/>
        </w:rPr>
      </w:pPr>
      <w:r>
        <w:rPr>
          <w:sz w:val="30"/>
        </w:rPr>
        <w:t>“it</w:t>
      </w:r>
      <w:r>
        <w:rPr>
          <w:spacing w:val="75"/>
          <w:sz w:val="30"/>
        </w:rPr>
        <w:t xml:space="preserve"> </w:t>
      </w:r>
      <w:r>
        <w:rPr>
          <w:sz w:val="30"/>
        </w:rPr>
        <w:t>is</w:t>
      </w:r>
      <w:r>
        <w:rPr>
          <w:spacing w:val="77"/>
          <w:sz w:val="30"/>
        </w:rPr>
        <w:t xml:space="preserve"> </w:t>
      </w:r>
      <w:r>
        <w:rPr>
          <w:sz w:val="30"/>
        </w:rPr>
        <w:t>necessarily</w:t>
      </w:r>
      <w:r>
        <w:rPr>
          <w:spacing w:val="77"/>
          <w:sz w:val="30"/>
        </w:rPr>
        <w:t xml:space="preserve"> </w:t>
      </w:r>
      <w:r>
        <w:rPr>
          <w:sz w:val="30"/>
        </w:rPr>
        <w:t>the</w:t>
      </w:r>
      <w:r>
        <w:rPr>
          <w:spacing w:val="78"/>
          <w:sz w:val="30"/>
        </w:rPr>
        <w:t xml:space="preserve"> </w:t>
      </w:r>
      <w:r>
        <w:rPr>
          <w:sz w:val="30"/>
        </w:rPr>
        <w:t>case</w:t>
      </w:r>
      <w:r>
        <w:rPr>
          <w:spacing w:val="77"/>
          <w:sz w:val="30"/>
        </w:rPr>
        <w:t xml:space="preserve"> </w:t>
      </w:r>
      <w:r>
        <w:rPr>
          <w:sz w:val="30"/>
        </w:rPr>
        <w:t>that</w:t>
      </w:r>
      <w:r>
        <w:rPr>
          <w:spacing w:val="77"/>
          <w:sz w:val="30"/>
        </w:rPr>
        <w:t xml:space="preserve"> </w:t>
      </w:r>
      <w:r>
        <w:rPr>
          <w:sz w:val="30"/>
        </w:rPr>
        <w:t>the</w:t>
      </w:r>
      <w:r>
        <w:rPr>
          <w:spacing w:val="77"/>
          <w:sz w:val="30"/>
        </w:rPr>
        <w:t xml:space="preserve"> </w:t>
      </w:r>
      <w:r>
        <w:rPr>
          <w:sz w:val="30"/>
        </w:rPr>
        <w:t>prettiest</w:t>
      </w:r>
      <w:r>
        <w:rPr>
          <w:spacing w:val="78"/>
          <w:sz w:val="30"/>
        </w:rPr>
        <w:t xml:space="preserve"> </w:t>
      </w:r>
      <w:r>
        <w:rPr>
          <w:sz w:val="30"/>
        </w:rPr>
        <w:t>woman</w:t>
      </w:r>
      <w:r>
        <w:rPr>
          <w:spacing w:val="77"/>
          <w:sz w:val="30"/>
        </w:rPr>
        <w:t xml:space="preserve"> </w:t>
      </w:r>
      <w:r>
        <w:rPr>
          <w:sz w:val="30"/>
        </w:rPr>
        <w:t>on</w:t>
      </w:r>
      <w:r>
        <w:rPr>
          <w:spacing w:val="77"/>
          <w:sz w:val="30"/>
        </w:rPr>
        <w:t xml:space="preserve"> </w:t>
      </w:r>
      <w:r>
        <w:rPr>
          <w:sz w:val="30"/>
        </w:rPr>
        <w:t>the</w:t>
      </w:r>
      <w:r>
        <w:rPr>
          <w:spacing w:val="77"/>
          <w:sz w:val="30"/>
        </w:rPr>
        <w:t xml:space="preserve"> </w:t>
      </w:r>
      <w:r>
        <w:rPr>
          <w:sz w:val="30"/>
        </w:rPr>
        <w:t>planet</w:t>
      </w:r>
      <w:r>
        <w:rPr>
          <w:spacing w:val="78"/>
          <w:sz w:val="30"/>
        </w:rPr>
        <w:t xml:space="preserve"> </w:t>
      </w:r>
      <w:r>
        <w:rPr>
          <w:spacing w:val="-5"/>
          <w:sz w:val="30"/>
        </w:rPr>
        <w:t>is</w:t>
      </w:r>
    </w:p>
    <w:p w14:paraId="7E000EC1" w14:textId="77777777" w:rsidR="009A58DB" w:rsidRDefault="00000000">
      <w:pPr>
        <w:pStyle w:val="BodyText"/>
        <w:spacing w:before="15" w:line="324" w:lineRule="auto"/>
        <w:ind w:right="3829"/>
        <w:jc w:val="left"/>
      </w:pPr>
      <w:r>
        <w:t>identical</w:t>
      </w:r>
      <w:r>
        <w:rPr>
          <w:spacing w:val="-7"/>
        </w:rPr>
        <w:t xml:space="preserve"> </w:t>
      </w:r>
      <w:r>
        <w:t>with</w:t>
      </w:r>
      <w:r>
        <w:rPr>
          <w:spacing w:val="-6"/>
        </w:rPr>
        <w:t xml:space="preserve"> </w:t>
      </w:r>
      <w:r>
        <w:t>the</w:t>
      </w:r>
      <w:r>
        <w:rPr>
          <w:spacing w:val="-7"/>
        </w:rPr>
        <w:t xml:space="preserve"> </w:t>
      </w:r>
      <w:r>
        <w:t>prettiest</w:t>
      </w:r>
      <w:r>
        <w:rPr>
          <w:spacing w:val="-7"/>
        </w:rPr>
        <w:t xml:space="preserve"> </w:t>
      </w:r>
      <w:r>
        <w:t>person</w:t>
      </w:r>
      <w:r>
        <w:rPr>
          <w:spacing w:val="-6"/>
        </w:rPr>
        <w:t xml:space="preserve"> </w:t>
      </w:r>
      <w:r>
        <w:t>on</w:t>
      </w:r>
      <w:r>
        <w:rPr>
          <w:spacing w:val="-6"/>
        </w:rPr>
        <w:t xml:space="preserve"> </w:t>
      </w:r>
      <w:r>
        <w:t>the</w:t>
      </w:r>
      <w:r>
        <w:rPr>
          <w:spacing w:val="-7"/>
        </w:rPr>
        <w:t xml:space="preserve"> </w:t>
      </w:r>
      <w:r>
        <w:t>planet” is true, whereas</w:t>
      </w:r>
    </w:p>
    <w:p w14:paraId="7E000EC2" w14:textId="77777777" w:rsidR="009A58DB" w:rsidRDefault="00000000">
      <w:pPr>
        <w:pStyle w:val="ListParagraph"/>
        <w:numPr>
          <w:ilvl w:val="0"/>
          <w:numId w:val="174"/>
        </w:numPr>
        <w:tabs>
          <w:tab w:val="left" w:pos="863"/>
        </w:tabs>
        <w:spacing w:line="249" w:lineRule="auto"/>
        <w:ind w:right="365" w:firstLine="0"/>
        <w:rPr>
          <w:sz w:val="30"/>
        </w:rPr>
      </w:pPr>
      <w:r>
        <w:rPr>
          <w:sz w:val="30"/>
        </w:rPr>
        <w:t>“it</w:t>
      </w:r>
      <w:r>
        <w:rPr>
          <w:spacing w:val="77"/>
          <w:sz w:val="30"/>
        </w:rPr>
        <w:t xml:space="preserve"> </w:t>
      </w:r>
      <w:r>
        <w:rPr>
          <w:sz w:val="30"/>
        </w:rPr>
        <w:t>is</w:t>
      </w:r>
      <w:r>
        <w:rPr>
          <w:spacing w:val="77"/>
          <w:sz w:val="30"/>
        </w:rPr>
        <w:t xml:space="preserve"> </w:t>
      </w:r>
      <w:r>
        <w:rPr>
          <w:sz w:val="30"/>
        </w:rPr>
        <w:t>necessarily</w:t>
      </w:r>
      <w:r>
        <w:rPr>
          <w:spacing w:val="77"/>
          <w:sz w:val="30"/>
        </w:rPr>
        <w:t xml:space="preserve"> </w:t>
      </w:r>
      <w:r>
        <w:rPr>
          <w:sz w:val="30"/>
        </w:rPr>
        <w:t>the</w:t>
      </w:r>
      <w:r>
        <w:rPr>
          <w:spacing w:val="77"/>
          <w:sz w:val="30"/>
        </w:rPr>
        <w:t xml:space="preserve"> </w:t>
      </w:r>
      <w:r>
        <w:rPr>
          <w:sz w:val="30"/>
        </w:rPr>
        <w:t>case</w:t>
      </w:r>
      <w:r>
        <w:rPr>
          <w:spacing w:val="77"/>
          <w:sz w:val="30"/>
        </w:rPr>
        <w:t xml:space="preserve"> </w:t>
      </w:r>
      <w:r>
        <w:rPr>
          <w:sz w:val="30"/>
        </w:rPr>
        <w:t>that</w:t>
      </w:r>
      <w:r>
        <w:rPr>
          <w:spacing w:val="77"/>
          <w:sz w:val="30"/>
        </w:rPr>
        <w:t xml:space="preserve"> </w:t>
      </w:r>
      <w:r>
        <w:rPr>
          <w:sz w:val="30"/>
        </w:rPr>
        <w:t>the</w:t>
      </w:r>
      <w:r>
        <w:rPr>
          <w:spacing w:val="77"/>
          <w:sz w:val="30"/>
        </w:rPr>
        <w:t xml:space="preserve"> </w:t>
      </w:r>
      <w:r>
        <w:rPr>
          <w:sz w:val="30"/>
        </w:rPr>
        <w:t>prettiest</w:t>
      </w:r>
      <w:r>
        <w:rPr>
          <w:spacing w:val="77"/>
          <w:sz w:val="30"/>
        </w:rPr>
        <w:t xml:space="preserve"> </w:t>
      </w:r>
      <w:r>
        <w:rPr>
          <w:sz w:val="30"/>
        </w:rPr>
        <w:t>woman</w:t>
      </w:r>
      <w:r>
        <w:rPr>
          <w:spacing w:val="77"/>
          <w:sz w:val="30"/>
        </w:rPr>
        <w:t xml:space="preserve"> </w:t>
      </w:r>
      <w:r>
        <w:rPr>
          <w:sz w:val="30"/>
        </w:rPr>
        <w:t>on</w:t>
      </w:r>
      <w:r>
        <w:rPr>
          <w:spacing w:val="77"/>
          <w:sz w:val="30"/>
        </w:rPr>
        <w:t xml:space="preserve"> </w:t>
      </w:r>
      <w:r>
        <w:rPr>
          <w:sz w:val="30"/>
        </w:rPr>
        <w:t>the</w:t>
      </w:r>
      <w:r>
        <w:rPr>
          <w:spacing w:val="77"/>
          <w:sz w:val="30"/>
        </w:rPr>
        <w:t xml:space="preserve"> </w:t>
      </w:r>
      <w:r>
        <w:rPr>
          <w:sz w:val="30"/>
        </w:rPr>
        <w:t>planet</w:t>
      </w:r>
      <w:r>
        <w:rPr>
          <w:spacing w:val="77"/>
          <w:sz w:val="30"/>
        </w:rPr>
        <w:t xml:space="preserve"> </w:t>
      </w:r>
      <w:r>
        <w:rPr>
          <w:sz w:val="30"/>
        </w:rPr>
        <w:t>is identical with the most evil person on the planet”</w:t>
      </w:r>
    </w:p>
    <w:p w14:paraId="7E000EC3" w14:textId="77777777" w:rsidR="009A58DB" w:rsidRDefault="009A58DB">
      <w:pPr>
        <w:pStyle w:val="ListParagraph"/>
        <w:spacing w:line="249" w:lineRule="auto"/>
        <w:rPr>
          <w:sz w:val="30"/>
        </w:rPr>
        <w:sectPr w:rsidR="009A58DB">
          <w:pgSz w:w="12240" w:h="15840"/>
          <w:pgMar w:top="1380" w:right="1080" w:bottom="280" w:left="1080" w:header="720" w:footer="720" w:gutter="0"/>
          <w:cols w:space="720"/>
        </w:sectPr>
      </w:pPr>
    </w:p>
    <w:p w14:paraId="7E000EC4" w14:textId="77777777" w:rsidR="009A58DB" w:rsidRDefault="00000000">
      <w:pPr>
        <w:pStyle w:val="BodyText"/>
        <w:spacing w:before="65"/>
      </w:pPr>
      <w:r>
        <w:lastRenderedPageBreak/>
        <w:t>is</w:t>
      </w:r>
      <w:r>
        <w:rPr>
          <w:spacing w:val="-2"/>
        </w:rPr>
        <w:t xml:space="preserve"> false.</w:t>
      </w:r>
    </w:p>
    <w:p w14:paraId="7E000EC5" w14:textId="77777777" w:rsidR="009A58DB" w:rsidRDefault="00000000">
      <w:pPr>
        <w:pStyle w:val="BodyText"/>
        <w:spacing w:before="15" w:line="249" w:lineRule="auto"/>
        <w:ind w:right="366" w:firstLine="360"/>
      </w:pPr>
      <w:r>
        <w:t>According to Frege, 2 is what results when a referring term in 1 is</w:t>
      </w:r>
      <w:r>
        <w:rPr>
          <w:spacing w:val="40"/>
        </w:rPr>
        <w:t xml:space="preserve"> </w:t>
      </w:r>
      <w:r>
        <w:t>replaced with a co-referring term, and 4 is what results when a referring term in 3 is replaced with a co-referring term.</w:t>
      </w:r>
    </w:p>
    <w:p w14:paraId="7E000EC6" w14:textId="77777777" w:rsidR="009A58DB" w:rsidRDefault="00000000">
      <w:pPr>
        <w:pStyle w:val="BodyText"/>
        <w:spacing w:before="3"/>
        <w:ind w:left="720"/>
      </w:pPr>
      <w:r>
        <w:t>But</w:t>
      </w:r>
      <w:r>
        <w:rPr>
          <w:spacing w:val="-5"/>
        </w:rPr>
        <w:t xml:space="preserve"> </w:t>
      </w:r>
      <w:r>
        <w:t>this</w:t>
      </w:r>
      <w:r>
        <w:rPr>
          <w:spacing w:val="-3"/>
        </w:rPr>
        <w:t xml:space="preserve"> </w:t>
      </w:r>
      <w:r>
        <w:t>isn’t</w:t>
      </w:r>
      <w:r>
        <w:rPr>
          <w:spacing w:val="-3"/>
        </w:rPr>
        <w:t xml:space="preserve"> </w:t>
      </w:r>
      <w:r>
        <w:t>what</w:t>
      </w:r>
      <w:r>
        <w:rPr>
          <w:spacing w:val="-2"/>
        </w:rPr>
        <w:t xml:space="preserve"> </w:t>
      </w:r>
      <w:r>
        <w:t>is</w:t>
      </w:r>
      <w:r>
        <w:rPr>
          <w:spacing w:val="-3"/>
        </w:rPr>
        <w:t xml:space="preserve"> </w:t>
      </w:r>
      <w:r>
        <w:t>going</w:t>
      </w:r>
      <w:r>
        <w:rPr>
          <w:spacing w:val="-2"/>
        </w:rPr>
        <w:t xml:space="preserve"> </w:t>
      </w:r>
      <w:r>
        <w:t>on.</w:t>
      </w:r>
      <w:r>
        <w:rPr>
          <w:spacing w:val="-2"/>
        </w:rPr>
        <w:t xml:space="preserve"> </w:t>
      </w:r>
      <w:r>
        <w:t>What</w:t>
      </w:r>
      <w:r>
        <w:rPr>
          <w:spacing w:val="-2"/>
        </w:rPr>
        <w:t xml:space="preserve"> </w:t>
      </w:r>
      <w:r>
        <w:t>(1)</w:t>
      </w:r>
      <w:r>
        <w:rPr>
          <w:spacing w:val="-3"/>
        </w:rPr>
        <w:t xml:space="preserve"> </w:t>
      </w:r>
      <w:r>
        <w:t>really</w:t>
      </w:r>
      <w:r>
        <w:rPr>
          <w:spacing w:val="-2"/>
        </w:rPr>
        <w:t xml:space="preserve"> </w:t>
      </w:r>
      <w:r>
        <w:t>says</w:t>
      </w:r>
      <w:r>
        <w:rPr>
          <w:spacing w:val="-3"/>
        </w:rPr>
        <w:t xml:space="preserve"> </w:t>
      </w:r>
      <w:r>
        <w:t>is</w:t>
      </w:r>
      <w:r>
        <w:rPr>
          <w:spacing w:val="-2"/>
        </w:rPr>
        <w:t xml:space="preserve"> that:</w:t>
      </w:r>
    </w:p>
    <w:p w14:paraId="7E000EC7" w14:textId="77777777" w:rsidR="009A58DB" w:rsidRDefault="00000000">
      <w:pPr>
        <w:spacing w:before="120" w:line="249" w:lineRule="auto"/>
        <w:ind w:left="360"/>
        <w:rPr>
          <w:i/>
          <w:sz w:val="30"/>
        </w:rPr>
      </w:pPr>
      <w:r>
        <w:rPr>
          <w:sz w:val="30"/>
        </w:rPr>
        <w:t>(1*)</w:t>
      </w:r>
      <w:r>
        <w:rPr>
          <w:spacing w:val="21"/>
          <w:sz w:val="30"/>
        </w:rPr>
        <w:t xml:space="preserve"> </w:t>
      </w:r>
      <w:r>
        <w:rPr>
          <w:sz w:val="30"/>
        </w:rPr>
        <w:t>Smith</w:t>
      </w:r>
      <w:r>
        <w:rPr>
          <w:spacing w:val="21"/>
          <w:sz w:val="30"/>
        </w:rPr>
        <w:t xml:space="preserve"> </w:t>
      </w:r>
      <w:r>
        <w:rPr>
          <w:sz w:val="30"/>
        </w:rPr>
        <w:t>wants</w:t>
      </w:r>
      <w:r>
        <w:rPr>
          <w:spacing w:val="21"/>
          <w:sz w:val="30"/>
        </w:rPr>
        <w:t xml:space="preserve"> </w:t>
      </w:r>
      <w:r>
        <w:rPr>
          <w:sz w:val="30"/>
        </w:rPr>
        <w:t>it</w:t>
      </w:r>
      <w:r>
        <w:rPr>
          <w:spacing w:val="21"/>
          <w:sz w:val="30"/>
        </w:rPr>
        <w:t xml:space="preserve"> </w:t>
      </w:r>
      <w:r>
        <w:rPr>
          <w:sz w:val="30"/>
        </w:rPr>
        <w:t>to</w:t>
      </w:r>
      <w:r>
        <w:rPr>
          <w:spacing w:val="21"/>
          <w:sz w:val="30"/>
        </w:rPr>
        <w:t xml:space="preserve"> </w:t>
      </w:r>
      <w:r>
        <w:rPr>
          <w:sz w:val="30"/>
        </w:rPr>
        <w:t>be</w:t>
      </w:r>
      <w:r>
        <w:rPr>
          <w:spacing w:val="21"/>
          <w:sz w:val="30"/>
        </w:rPr>
        <w:t xml:space="preserve"> </w:t>
      </w:r>
      <w:r>
        <w:rPr>
          <w:sz w:val="30"/>
        </w:rPr>
        <w:t>the</w:t>
      </w:r>
      <w:r>
        <w:rPr>
          <w:spacing w:val="21"/>
          <w:sz w:val="30"/>
        </w:rPr>
        <w:t xml:space="preserve"> </w:t>
      </w:r>
      <w:r>
        <w:rPr>
          <w:sz w:val="30"/>
        </w:rPr>
        <w:t>case</w:t>
      </w:r>
      <w:r>
        <w:rPr>
          <w:spacing w:val="21"/>
          <w:sz w:val="30"/>
        </w:rPr>
        <w:t xml:space="preserve"> </w:t>
      </w:r>
      <w:r>
        <w:rPr>
          <w:i/>
          <w:sz w:val="30"/>
        </w:rPr>
        <w:t>that</w:t>
      </w:r>
      <w:r>
        <w:rPr>
          <w:i/>
          <w:spacing w:val="23"/>
          <w:sz w:val="30"/>
        </w:rPr>
        <w:t xml:space="preserve"> </w:t>
      </w:r>
      <w:r>
        <w:rPr>
          <w:i/>
          <w:sz w:val="30"/>
        </w:rPr>
        <w:t>Smith</w:t>
      </w:r>
      <w:r>
        <w:rPr>
          <w:i/>
          <w:spacing w:val="23"/>
          <w:sz w:val="30"/>
        </w:rPr>
        <w:t xml:space="preserve"> </w:t>
      </w:r>
      <w:r>
        <w:rPr>
          <w:i/>
          <w:sz w:val="30"/>
        </w:rPr>
        <w:t>is</w:t>
      </w:r>
      <w:r>
        <w:rPr>
          <w:i/>
          <w:spacing w:val="23"/>
          <w:sz w:val="30"/>
        </w:rPr>
        <w:t xml:space="preserve"> </w:t>
      </w:r>
      <w:r>
        <w:rPr>
          <w:i/>
          <w:sz w:val="30"/>
        </w:rPr>
        <w:t>married</w:t>
      </w:r>
      <w:r>
        <w:rPr>
          <w:i/>
          <w:spacing w:val="23"/>
          <w:sz w:val="30"/>
        </w:rPr>
        <w:t xml:space="preserve"> </w:t>
      </w:r>
      <w:r>
        <w:rPr>
          <w:i/>
          <w:sz w:val="30"/>
        </w:rPr>
        <w:t>to</w:t>
      </w:r>
      <w:r>
        <w:rPr>
          <w:i/>
          <w:spacing w:val="23"/>
          <w:sz w:val="30"/>
        </w:rPr>
        <w:t xml:space="preserve"> </w:t>
      </w:r>
      <w:r>
        <w:rPr>
          <w:i/>
          <w:sz w:val="30"/>
        </w:rPr>
        <w:t>a</w:t>
      </w:r>
      <w:r>
        <w:rPr>
          <w:i/>
          <w:spacing w:val="23"/>
          <w:sz w:val="30"/>
        </w:rPr>
        <w:t xml:space="preserve"> </w:t>
      </w:r>
      <w:r>
        <w:rPr>
          <w:i/>
          <w:sz w:val="30"/>
        </w:rPr>
        <w:t>woman</w:t>
      </w:r>
      <w:r>
        <w:rPr>
          <w:i/>
          <w:spacing w:val="23"/>
          <w:sz w:val="30"/>
        </w:rPr>
        <w:t xml:space="preserve"> </w:t>
      </w:r>
      <w:r>
        <w:rPr>
          <w:i/>
          <w:sz w:val="30"/>
        </w:rPr>
        <w:t>who</w:t>
      </w:r>
      <w:r>
        <w:rPr>
          <w:i/>
          <w:spacing w:val="23"/>
          <w:sz w:val="30"/>
        </w:rPr>
        <w:t xml:space="preserve"> </w:t>
      </w:r>
      <w:r>
        <w:rPr>
          <w:i/>
          <w:sz w:val="30"/>
        </w:rPr>
        <w:t>is prettier than any other.</w:t>
      </w:r>
    </w:p>
    <w:p w14:paraId="7E000EC8" w14:textId="77777777" w:rsidR="009A58DB" w:rsidRDefault="00000000">
      <w:pPr>
        <w:pStyle w:val="BodyText"/>
        <w:spacing w:before="93"/>
        <w:jc w:val="left"/>
      </w:pPr>
      <w:r>
        <w:t>And</w:t>
      </w:r>
      <w:r>
        <w:rPr>
          <w:spacing w:val="-3"/>
        </w:rPr>
        <w:t xml:space="preserve"> </w:t>
      </w:r>
      <w:r>
        <w:t>what</w:t>
      </w:r>
      <w:r>
        <w:rPr>
          <w:spacing w:val="-2"/>
        </w:rPr>
        <w:t xml:space="preserve"> </w:t>
      </w:r>
      <w:r>
        <w:t>(2)</w:t>
      </w:r>
      <w:r>
        <w:rPr>
          <w:spacing w:val="-3"/>
        </w:rPr>
        <w:t xml:space="preserve"> </w:t>
      </w:r>
      <w:r>
        <w:t>really</w:t>
      </w:r>
      <w:r>
        <w:rPr>
          <w:spacing w:val="-3"/>
        </w:rPr>
        <w:t xml:space="preserve"> </w:t>
      </w:r>
      <w:r>
        <w:t>says</w:t>
      </w:r>
      <w:r>
        <w:rPr>
          <w:spacing w:val="-2"/>
        </w:rPr>
        <w:t xml:space="preserve"> </w:t>
      </w:r>
      <w:r>
        <w:t>is</w:t>
      </w:r>
      <w:r>
        <w:rPr>
          <w:spacing w:val="-3"/>
        </w:rPr>
        <w:t xml:space="preserve"> </w:t>
      </w:r>
      <w:r>
        <w:rPr>
          <w:spacing w:val="-4"/>
        </w:rPr>
        <w:t>that</w:t>
      </w:r>
    </w:p>
    <w:p w14:paraId="7E000EC9" w14:textId="77777777" w:rsidR="009A58DB" w:rsidRDefault="00000000">
      <w:pPr>
        <w:spacing w:before="120" w:line="249" w:lineRule="auto"/>
        <w:ind w:left="360" w:right="364"/>
        <w:rPr>
          <w:i/>
          <w:sz w:val="30"/>
        </w:rPr>
      </w:pPr>
      <w:r>
        <w:rPr>
          <w:sz w:val="30"/>
        </w:rPr>
        <w:t xml:space="preserve">(2*) Smith wants it to be the case </w:t>
      </w:r>
      <w:r>
        <w:rPr>
          <w:i/>
          <w:sz w:val="30"/>
        </w:rPr>
        <w:t>that Smith is married to somebody who is</w:t>
      </w:r>
      <w:r>
        <w:rPr>
          <w:i/>
          <w:spacing w:val="40"/>
          <w:sz w:val="30"/>
        </w:rPr>
        <w:t xml:space="preserve"> </w:t>
      </w:r>
      <w:r>
        <w:rPr>
          <w:i/>
          <w:sz w:val="30"/>
        </w:rPr>
        <w:t>more evil than anyone else.</w:t>
      </w:r>
    </w:p>
    <w:p w14:paraId="7E000ECA" w14:textId="77777777" w:rsidR="009A58DB" w:rsidRDefault="00000000">
      <w:pPr>
        <w:pStyle w:val="BodyText"/>
        <w:spacing w:before="107" w:line="249" w:lineRule="auto"/>
        <w:ind w:right="360" w:firstLine="360"/>
        <w:rPr>
          <w:i/>
        </w:rPr>
      </w:pPr>
      <w:r>
        <w:t xml:space="preserve">(1*) and (2*) thus make it clear what (1) and (2), respectively, are actually saying. In other words, (1*) and (2*) expose the </w:t>
      </w:r>
      <w:r>
        <w:rPr>
          <w:i/>
        </w:rPr>
        <w:t xml:space="preserve">logical forms </w:t>
      </w:r>
      <w:r>
        <w:t xml:space="preserve">of (1) and (2). Notice that, in (1), the grammatical object is an expression referring to a </w:t>
      </w:r>
      <w:r>
        <w:rPr>
          <w:i/>
        </w:rPr>
        <w:t xml:space="preserve">person </w:t>
      </w:r>
      <w:r>
        <w:t xml:space="preserve">(“the prettiest woman on Earth”), whereas in (1*) the grammatical object (the italicized part) is an expression referring to a </w:t>
      </w:r>
      <w:r>
        <w:rPr>
          <w:i/>
        </w:rPr>
        <w:t xml:space="preserve">proposition. </w:t>
      </w:r>
      <w:r>
        <w:t xml:space="preserve">And in (2), the grammatical object is an expression referring to a </w:t>
      </w:r>
      <w:r>
        <w:rPr>
          <w:i/>
        </w:rPr>
        <w:t xml:space="preserve">person </w:t>
      </w:r>
      <w:r>
        <w:t xml:space="preserve">(“the most evil person on the planet”), whereas in (2*) the grammatical object (the italicized part) is an expression referring to a </w:t>
      </w:r>
      <w:r>
        <w:rPr>
          <w:i/>
        </w:rPr>
        <w:t>proposition.</w:t>
      </w:r>
    </w:p>
    <w:p w14:paraId="7E000ECB" w14:textId="77777777" w:rsidR="009A58DB" w:rsidRDefault="00000000">
      <w:pPr>
        <w:spacing w:before="10" w:line="249" w:lineRule="auto"/>
        <w:ind w:left="360" w:right="365" w:firstLine="360"/>
        <w:jc w:val="both"/>
        <w:rPr>
          <w:sz w:val="30"/>
        </w:rPr>
      </w:pPr>
      <w:r>
        <w:rPr>
          <w:sz w:val="30"/>
        </w:rPr>
        <w:t xml:space="preserve">Thus, (1*) makes it clear that, if (1) is true, the object of Smith’s desire is not a </w:t>
      </w:r>
      <w:r>
        <w:rPr>
          <w:i/>
          <w:sz w:val="30"/>
        </w:rPr>
        <w:t xml:space="preserve">person, </w:t>
      </w:r>
      <w:r>
        <w:rPr>
          <w:sz w:val="30"/>
        </w:rPr>
        <w:t xml:space="preserve">but rather a proposition. In other words, Smith wants a certain proposition to hold, namely, </w:t>
      </w:r>
      <w:r>
        <w:rPr>
          <w:i/>
          <w:sz w:val="30"/>
        </w:rPr>
        <w:t xml:space="preserve">that Smith is married to a woman who is prettier than anyone else. </w:t>
      </w:r>
      <w:r>
        <w:rPr>
          <w:sz w:val="30"/>
        </w:rPr>
        <w:t xml:space="preserve">Similarly, (2*) makes it clear that, if (2) is true, the object of Smith’s desire is not a </w:t>
      </w:r>
      <w:r>
        <w:rPr>
          <w:i/>
          <w:sz w:val="30"/>
        </w:rPr>
        <w:t xml:space="preserve">person, </w:t>
      </w:r>
      <w:r>
        <w:rPr>
          <w:sz w:val="30"/>
        </w:rPr>
        <w:t xml:space="preserve">but a proposition, namely, </w:t>
      </w:r>
      <w:r>
        <w:rPr>
          <w:i/>
          <w:sz w:val="30"/>
        </w:rPr>
        <w:t xml:space="preserve">that Smith is married to somebody who is more evil than anyone else. </w:t>
      </w:r>
      <w:r>
        <w:rPr>
          <w:sz w:val="30"/>
        </w:rPr>
        <w:t>Since those two propositions</w:t>
      </w:r>
      <w:r>
        <w:rPr>
          <w:spacing w:val="-4"/>
          <w:sz w:val="30"/>
        </w:rPr>
        <w:t xml:space="preserve"> </w:t>
      </w:r>
      <w:r>
        <w:rPr>
          <w:i/>
          <w:sz w:val="30"/>
        </w:rPr>
        <w:t>are</w:t>
      </w:r>
      <w:r>
        <w:rPr>
          <w:i/>
          <w:spacing w:val="-3"/>
          <w:sz w:val="30"/>
        </w:rPr>
        <w:t xml:space="preserve"> </w:t>
      </w:r>
      <w:r>
        <w:rPr>
          <w:sz w:val="30"/>
        </w:rPr>
        <w:t xml:space="preserve">different, the fact that one of them has the property of being desired to be true by Smith, whereas the other does not lack that property, does </w:t>
      </w:r>
      <w:r>
        <w:rPr>
          <w:i/>
          <w:sz w:val="30"/>
        </w:rPr>
        <w:t xml:space="preserve">not </w:t>
      </w:r>
      <w:r>
        <w:rPr>
          <w:sz w:val="30"/>
        </w:rPr>
        <w:t>constitute a violation of Leibniz’s Law.</w:t>
      </w:r>
    </w:p>
    <w:p w14:paraId="7E000ECC" w14:textId="77777777" w:rsidR="009A58DB" w:rsidRDefault="00000000">
      <w:pPr>
        <w:pStyle w:val="BodyText"/>
        <w:spacing w:before="11" w:line="249" w:lineRule="auto"/>
        <w:ind w:right="366" w:firstLine="360"/>
      </w:pPr>
      <w:r>
        <w:t>Similar</w:t>
      </w:r>
      <w:r>
        <w:rPr>
          <w:spacing w:val="-1"/>
        </w:rPr>
        <w:t xml:space="preserve"> </w:t>
      </w:r>
      <w:r>
        <w:t>points</w:t>
      </w:r>
      <w:r>
        <w:rPr>
          <w:spacing w:val="-1"/>
        </w:rPr>
        <w:t xml:space="preserve"> </w:t>
      </w:r>
      <w:r>
        <w:t>hold</w:t>
      </w:r>
      <w:r>
        <w:rPr>
          <w:spacing w:val="-1"/>
        </w:rPr>
        <w:t xml:space="preserve"> </w:t>
      </w:r>
      <w:r>
        <w:t>in</w:t>
      </w:r>
      <w:r>
        <w:rPr>
          <w:spacing w:val="-1"/>
        </w:rPr>
        <w:t xml:space="preserve"> </w:t>
      </w:r>
      <w:r>
        <w:t>connection</w:t>
      </w:r>
      <w:r>
        <w:rPr>
          <w:spacing w:val="-1"/>
        </w:rPr>
        <w:t xml:space="preserve"> </w:t>
      </w:r>
      <w:r>
        <w:t>with</w:t>
      </w:r>
      <w:r>
        <w:rPr>
          <w:spacing w:val="-1"/>
        </w:rPr>
        <w:t xml:space="preserve"> </w:t>
      </w:r>
      <w:r>
        <w:t>3</w:t>
      </w:r>
      <w:r>
        <w:rPr>
          <w:spacing w:val="-1"/>
        </w:rPr>
        <w:t xml:space="preserve"> </w:t>
      </w:r>
      <w:r>
        <w:t>and</w:t>
      </w:r>
      <w:r>
        <w:rPr>
          <w:spacing w:val="-1"/>
        </w:rPr>
        <w:t xml:space="preserve"> </w:t>
      </w:r>
      <w:r>
        <w:t>4.</w:t>
      </w:r>
      <w:r>
        <w:rPr>
          <w:spacing w:val="-1"/>
        </w:rPr>
        <w:t xml:space="preserve"> </w:t>
      </w:r>
      <w:r>
        <w:t>The</w:t>
      </w:r>
      <w:r>
        <w:rPr>
          <w:spacing w:val="-1"/>
        </w:rPr>
        <w:t xml:space="preserve"> </w:t>
      </w:r>
      <w:r>
        <w:t>real</w:t>
      </w:r>
      <w:r>
        <w:rPr>
          <w:spacing w:val="-1"/>
        </w:rPr>
        <w:t xml:space="preserve"> </w:t>
      </w:r>
      <w:r>
        <w:t>meanings</w:t>
      </w:r>
      <w:r>
        <w:rPr>
          <w:spacing w:val="-1"/>
        </w:rPr>
        <w:t xml:space="preserve"> </w:t>
      </w:r>
      <w:r>
        <w:t>of</w:t>
      </w:r>
      <w:r>
        <w:rPr>
          <w:spacing w:val="-1"/>
        </w:rPr>
        <w:t xml:space="preserve"> </w:t>
      </w:r>
      <w:r>
        <w:t>those sentences are, respectively:</w:t>
      </w:r>
    </w:p>
    <w:p w14:paraId="7E000ECD" w14:textId="77777777" w:rsidR="009A58DB" w:rsidRDefault="00000000">
      <w:pPr>
        <w:spacing w:before="93" w:line="249" w:lineRule="auto"/>
        <w:ind w:left="360"/>
        <w:rPr>
          <w:i/>
          <w:sz w:val="30"/>
        </w:rPr>
      </w:pPr>
      <w:r>
        <w:rPr>
          <w:sz w:val="30"/>
        </w:rPr>
        <w:t>(3*)</w:t>
      </w:r>
      <w:r>
        <w:rPr>
          <w:spacing w:val="-1"/>
          <w:sz w:val="30"/>
        </w:rPr>
        <w:t xml:space="preserve"> </w:t>
      </w:r>
      <w:r>
        <w:rPr>
          <w:sz w:val="30"/>
        </w:rPr>
        <w:t>it</w:t>
      </w:r>
      <w:r>
        <w:rPr>
          <w:spacing w:val="-1"/>
          <w:sz w:val="30"/>
        </w:rPr>
        <w:t xml:space="preserve"> </w:t>
      </w:r>
      <w:r>
        <w:rPr>
          <w:sz w:val="30"/>
        </w:rPr>
        <w:t>is</w:t>
      </w:r>
      <w:r>
        <w:rPr>
          <w:spacing w:val="-1"/>
          <w:sz w:val="30"/>
        </w:rPr>
        <w:t xml:space="preserve"> </w:t>
      </w:r>
      <w:r>
        <w:rPr>
          <w:sz w:val="30"/>
        </w:rPr>
        <w:t>necessarily</w:t>
      </w:r>
      <w:r>
        <w:rPr>
          <w:spacing w:val="-1"/>
          <w:sz w:val="30"/>
        </w:rPr>
        <w:t xml:space="preserve"> </w:t>
      </w:r>
      <w:r>
        <w:rPr>
          <w:sz w:val="30"/>
        </w:rPr>
        <w:t>the</w:t>
      </w:r>
      <w:r>
        <w:rPr>
          <w:spacing w:val="-1"/>
          <w:sz w:val="30"/>
        </w:rPr>
        <w:t xml:space="preserve"> </w:t>
      </w:r>
      <w:r>
        <w:rPr>
          <w:sz w:val="30"/>
        </w:rPr>
        <w:t>case</w:t>
      </w:r>
      <w:r>
        <w:rPr>
          <w:spacing w:val="-1"/>
          <w:sz w:val="30"/>
        </w:rPr>
        <w:t xml:space="preserve"> </w:t>
      </w:r>
      <w:r>
        <w:rPr>
          <w:i/>
          <w:sz w:val="30"/>
        </w:rPr>
        <w:t>that any woman who is prettier than every other woman is prettier than every other woman.</w:t>
      </w:r>
    </w:p>
    <w:p w14:paraId="7E000ECE" w14:textId="77777777" w:rsidR="009A58DB" w:rsidRDefault="00000000">
      <w:pPr>
        <w:pStyle w:val="BodyText"/>
        <w:spacing w:before="107"/>
        <w:jc w:val="left"/>
      </w:pPr>
      <w:r>
        <w:rPr>
          <w:spacing w:val="-5"/>
        </w:rPr>
        <w:t>and</w:t>
      </w:r>
    </w:p>
    <w:p w14:paraId="7E000ECF" w14:textId="77777777" w:rsidR="009A58DB" w:rsidRDefault="00000000">
      <w:pPr>
        <w:spacing w:before="120" w:line="249" w:lineRule="auto"/>
        <w:ind w:left="360"/>
        <w:rPr>
          <w:i/>
          <w:sz w:val="30"/>
        </w:rPr>
      </w:pPr>
      <w:r>
        <w:rPr>
          <w:sz w:val="30"/>
        </w:rPr>
        <w:t>(4*)</w:t>
      </w:r>
      <w:r>
        <w:rPr>
          <w:spacing w:val="-1"/>
          <w:sz w:val="30"/>
        </w:rPr>
        <w:t xml:space="preserve"> </w:t>
      </w:r>
      <w:r>
        <w:rPr>
          <w:sz w:val="30"/>
        </w:rPr>
        <w:t>it</w:t>
      </w:r>
      <w:r>
        <w:rPr>
          <w:spacing w:val="-1"/>
          <w:sz w:val="30"/>
        </w:rPr>
        <w:t xml:space="preserve"> </w:t>
      </w:r>
      <w:r>
        <w:rPr>
          <w:sz w:val="30"/>
        </w:rPr>
        <w:t>is</w:t>
      </w:r>
      <w:r>
        <w:rPr>
          <w:spacing w:val="-1"/>
          <w:sz w:val="30"/>
        </w:rPr>
        <w:t xml:space="preserve"> </w:t>
      </w:r>
      <w:r>
        <w:rPr>
          <w:sz w:val="30"/>
        </w:rPr>
        <w:t>necessarily</w:t>
      </w:r>
      <w:r>
        <w:rPr>
          <w:spacing w:val="-1"/>
          <w:sz w:val="30"/>
        </w:rPr>
        <w:t xml:space="preserve"> </w:t>
      </w:r>
      <w:r>
        <w:rPr>
          <w:sz w:val="30"/>
        </w:rPr>
        <w:t>the</w:t>
      </w:r>
      <w:r>
        <w:rPr>
          <w:spacing w:val="-1"/>
          <w:sz w:val="30"/>
        </w:rPr>
        <w:t xml:space="preserve"> </w:t>
      </w:r>
      <w:r>
        <w:rPr>
          <w:sz w:val="30"/>
        </w:rPr>
        <w:t>case</w:t>
      </w:r>
      <w:r>
        <w:rPr>
          <w:spacing w:val="-1"/>
          <w:sz w:val="30"/>
        </w:rPr>
        <w:t xml:space="preserve"> </w:t>
      </w:r>
      <w:r>
        <w:rPr>
          <w:i/>
          <w:sz w:val="30"/>
        </w:rPr>
        <w:t>that any woman who is prettier than every other woman is also more evil than every other person.</w:t>
      </w:r>
    </w:p>
    <w:p w14:paraId="7E000ED0" w14:textId="77777777" w:rsidR="009A58DB" w:rsidRDefault="009A58DB">
      <w:pPr>
        <w:spacing w:line="249" w:lineRule="auto"/>
        <w:rPr>
          <w:i/>
          <w:sz w:val="30"/>
        </w:rPr>
        <w:sectPr w:rsidR="009A58DB">
          <w:pgSz w:w="12240" w:h="15840"/>
          <w:pgMar w:top="1380" w:right="1080" w:bottom="280" w:left="1080" w:header="720" w:footer="720" w:gutter="0"/>
          <w:cols w:space="720"/>
        </w:sectPr>
      </w:pPr>
    </w:p>
    <w:p w14:paraId="7E000ED1" w14:textId="77777777" w:rsidR="009A58DB" w:rsidRDefault="00000000">
      <w:pPr>
        <w:pStyle w:val="BodyText"/>
        <w:spacing w:before="65" w:line="249" w:lineRule="auto"/>
        <w:ind w:right="361" w:firstLine="360"/>
      </w:pPr>
      <w:r>
        <w:lastRenderedPageBreak/>
        <w:t>(3*) attributes the property of being necessarily true to one proposition</w:t>
      </w:r>
      <w:r>
        <w:rPr>
          <w:spacing w:val="40"/>
        </w:rPr>
        <w:t xml:space="preserve"> </w:t>
      </w:r>
      <w:r>
        <w:t xml:space="preserve">(the one meant by the italicized part), and (4*) expresses that same property to some </w:t>
      </w:r>
      <w:r>
        <w:rPr>
          <w:i/>
        </w:rPr>
        <w:t xml:space="preserve">other </w:t>
      </w:r>
      <w:r>
        <w:t>proposition. Since those propositions are distinct, the fact that the one proposition is necessarily true doesn’t entail that the same is true of the other; and there is thus violation of Leibniz’s Law.</w:t>
      </w:r>
    </w:p>
    <w:p w14:paraId="7E000ED2" w14:textId="77777777" w:rsidR="009A58DB" w:rsidRDefault="00000000">
      <w:pPr>
        <w:pStyle w:val="BodyText"/>
        <w:spacing w:before="6" w:line="249" w:lineRule="auto"/>
        <w:ind w:right="358" w:firstLine="360"/>
        <w:rPr>
          <w:b/>
          <w:i/>
        </w:rPr>
      </w:pPr>
      <w:r>
        <w:t xml:space="preserve">Thus, there are no intensional contexts. (In other words, all contexts are substitution-tolerant.) Whenever two expressions that appear to refer to the same </w:t>
      </w:r>
      <w:r>
        <w:rPr>
          <w:i/>
        </w:rPr>
        <w:t xml:space="preserve">individual </w:t>
      </w:r>
      <w:r>
        <w:t xml:space="preserve">cannot be inter-substituted, they actually refer to different </w:t>
      </w:r>
      <w:r>
        <w:rPr>
          <w:i/>
        </w:rPr>
        <w:t xml:space="preserve">propositions. </w:t>
      </w:r>
      <w:r>
        <w:t xml:space="preserve">Nonetheless, the term “intensional” is useful as a way of abbreviating otherwise hard-to- state truths. Thus used, an “intensional context” in which expressions that otherwise refer to individuals (e.g., “Benjamin Franklin”) refer to propositions. An expression occurring in an intensional context does so </w:t>
      </w:r>
      <w:r>
        <w:rPr>
          <w:b/>
          <w:i/>
        </w:rPr>
        <w:t xml:space="preserve">intensionally. </w:t>
      </w:r>
      <w:r>
        <w:t xml:space="preserve">A context that isn’t intensional is </w:t>
      </w:r>
      <w:r>
        <w:rPr>
          <w:b/>
          <w:i/>
        </w:rPr>
        <w:t xml:space="preserve">extensional, </w:t>
      </w:r>
      <w:r>
        <w:t xml:space="preserve">and expressions occurring in it do so </w:t>
      </w:r>
      <w:r>
        <w:rPr>
          <w:b/>
          <w:i/>
        </w:rPr>
        <w:t>extensionally.</w:t>
      </w:r>
    </w:p>
    <w:p w14:paraId="7E000ED3" w14:textId="77777777" w:rsidR="009A58DB" w:rsidRDefault="00000000">
      <w:pPr>
        <w:pStyle w:val="BodyText"/>
        <w:spacing w:before="11" w:line="249" w:lineRule="auto"/>
        <w:ind w:right="357" w:firstLine="360"/>
      </w:pPr>
      <w:r>
        <w:t>A brief review will help us identify one last problem with Frege’s system. Frege’s distinction between sense and reference embodies a failure to distinguish between reference and quantification.</w:t>
      </w:r>
      <w:r>
        <w:rPr>
          <w:spacing w:val="40"/>
        </w:rPr>
        <w:t xml:space="preserve"> </w:t>
      </w:r>
      <w:r>
        <w:t xml:space="preserve">What Frege believes to be sense-bearing referring terms (e.g., “the person who invented Velcro”) are quantifiers. (That is why “the man who invented Velcro is wealthy” is, by Frege’s own admission, equivalent with “somebody or other uniquely invented Velcro, and any such person is wealthy”). Frege’s distinction between intensional and extensional contexts embodies a failure to see that expressions that, given their grammatical properties, appear to refer to some one individual </w:t>
      </w:r>
      <w:r>
        <w:rPr>
          <w:i/>
        </w:rPr>
        <w:t xml:space="preserve">in fact </w:t>
      </w:r>
      <w:r>
        <w:t xml:space="preserve">refer to distinct </w:t>
      </w:r>
      <w:r>
        <w:rPr>
          <w:i/>
        </w:rPr>
        <w:t xml:space="preserve">propositions. </w:t>
      </w:r>
      <w:r>
        <w:t>Even though the inventor of bifocals is identical with the first post-master general,</w:t>
      </w:r>
    </w:p>
    <w:p w14:paraId="7E000ED4" w14:textId="77777777" w:rsidR="009A58DB" w:rsidRDefault="00000000">
      <w:pPr>
        <w:pStyle w:val="ListParagraph"/>
        <w:numPr>
          <w:ilvl w:val="0"/>
          <w:numId w:val="173"/>
        </w:numPr>
        <w:tabs>
          <w:tab w:val="left" w:pos="848"/>
        </w:tabs>
        <w:spacing w:before="118"/>
        <w:ind w:left="848" w:hanging="488"/>
        <w:rPr>
          <w:i/>
          <w:sz w:val="30"/>
        </w:rPr>
      </w:pPr>
      <w:r>
        <w:rPr>
          <w:sz w:val="30"/>
        </w:rPr>
        <w:t>“Fred</w:t>
      </w:r>
      <w:r>
        <w:rPr>
          <w:spacing w:val="-5"/>
          <w:sz w:val="30"/>
        </w:rPr>
        <w:t xml:space="preserve"> </w:t>
      </w:r>
      <w:r>
        <w:rPr>
          <w:sz w:val="30"/>
        </w:rPr>
        <w:t>believes</w:t>
      </w:r>
      <w:r>
        <w:rPr>
          <w:spacing w:val="-3"/>
          <w:sz w:val="30"/>
        </w:rPr>
        <w:t xml:space="preserve"> </w:t>
      </w:r>
      <w:r>
        <w:rPr>
          <w:i/>
          <w:sz w:val="30"/>
        </w:rPr>
        <w:t>that</w:t>
      </w:r>
      <w:r>
        <w:rPr>
          <w:i/>
          <w:spacing w:val="-3"/>
          <w:sz w:val="30"/>
        </w:rPr>
        <w:t xml:space="preserve"> </w:t>
      </w:r>
      <w:r>
        <w:rPr>
          <w:i/>
          <w:sz w:val="30"/>
        </w:rPr>
        <w:t>the</w:t>
      </w:r>
      <w:r>
        <w:rPr>
          <w:i/>
          <w:spacing w:val="-4"/>
          <w:sz w:val="30"/>
        </w:rPr>
        <w:t xml:space="preserve"> </w:t>
      </w:r>
      <w:r>
        <w:rPr>
          <w:i/>
          <w:sz w:val="30"/>
        </w:rPr>
        <w:t>inventor</w:t>
      </w:r>
      <w:r>
        <w:rPr>
          <w:i/>
          <w:spacing w:val="-3"/>
          <w:sz w:val="30"/>
        </w:rPr>
        <w:t xml:space="preserve"> </w:t>
      </w:r>
      <w:r>
        <w:rPr>
          <w:i/>
          <w:sz w:val="30"/>
        </w:rPr>
        <w:t>of</w:t>
      </w:r>
      <w:r>
        <w:rPr>
          <w:i/>
          <w:spacing w:val="-4"/>
          <w:sz w:val="30"/>
        </w:rPr>
        <w:t xml:space="preserve"> </w:t>
      </w:r>
      <w:r>
        <w:rPr>
          <w:i/>
          <w:sz w:val="30"/>
        </w:rPr>
        <w:t>bifocals</w:t>
      </w:r>
      <w:r>
        <w:rPr>
          <w:i/>
          <w:spacing w:val="-3"/>
          <w:sz w:val="30"/>
        </w:rPr>
        <w:t xml:space="preserve"> </w:t>
      </w:r>
      <w:r>
        <w:rPr>
          <w:i/>
          <w:sz w:val="30"/>
        </w:rPr>
        <w:t>is</w:t>
      </w:r>
      <w:r>
        <w:rPr>
          <w:i/>
          <w:spacing w:val="-3"/>
          <w:sz w:val="30"/>
        </w:rPr>
        <w:t xml:space="preserve"> </w:t>
      </w:r>
      <w:r>
        <w:rPr>
          <w:i/>
          <w:spacing w:val="-2"/>
          <w:sz w:val="30"/>
        </w:rPr>
        <w:t>smart”</w:t>
      </w:r>
    </w:p>
    <w:p w14:paraId="7E000ED5" w14:textId="77777777" w:rsidR="009A58DB" w:rsidRDefault="00000000">
      <w:pPr>
        <w:pStyle w:val="BodyText"/>
        <w:spacing w:before="105"/>
        <w:jc w:val="left"/>
      </w:pPr>
      <w:r>
        <w:t>may</w:t>
      </w:r>
      <w:r>
        <w:rPr>
          <w:spacing w:val="-2"/>
        </w:rPr>
        <w:t xml:space="preserve"> </w:t>
      </w:r>
      <w:r>
        <w:t>be</w:t>
      </w:r>
      <w:r>
        <w:rPr>
          <w:spacing w:val="-3"/>
        </w:rPr>
        <w:t xml:space="preserve"> </w:t>
      </w:r>
      <w:r>
        <w:t>true,</w:t>
      </w:r>
      <w:r>
        <w:rPr>
          <w:spacing w:val="-2"/>
        </w:rPr>
        <w:t xml:space="preserve"> </w:t>
      </w:r>
      <w:r>
        <w:t>even</w:t>
      </w:r>
      <w:r>
        <w:rPr>
          <w:spacing w:val="-1"/>
        </w:rPr>
        <w:t xml:space="preserve"> </w:t>
      </w:r>
      <w:r>
        <w:rPr>
          <w:spacing w:val="-5"/>
        </w:rPr>
        <w:t>if</w:t>
      </w:r>
    </w:p>
    <w:p w14:paraId="7E000ED6" w14:textId="77777777" w:rsidR="009A58DB" w:rsidRDefault="00000000">
      <w:pPr>
        <w:pStyle w:val="ListParagraph"/>
        <w:numPr>
          <w:ilvl w:val="0"/>
          <w:numId w:val="173"/>
        </w:numPr>
        <w:tabs>
          <w:tab w:val="left" w:pos="831"/>
        </w:tabs>
        <w:spacing w:before="120"/>
        <w:ind w:left="831" w:hanging="471"/>
        <w:rPr>
          <w:i/>
          <w:sz w:val="30"/>
        </w:rPr>
      </w:pPr>
      <w:r>
        <w:rPr>
          <w:sz w:val="30"/>
        </w:rPr>
        <w:t>“Fred</w:t>
      </w:r>
      <w:r>
        <w:rPr>
          <w:spacing w:val="-6"/>
          <w:sz w:val="30"/>
        </w:rPr>
        <w:t xml:space="preserve"> </w:t>
      </w:r>
      <w:r>
        <w:rPr>
          <w:sz w:val="30"/>
        </w:rPr>
        <w:t>believes</w:t>
      </w:r>
      <w:r>
        <w:rPr>
          <w:spacing w:val="-3"/>
          <w:sz w:val="30"/>
        </w:rPr>
        <w:t xml:space="preserve"> </w:t>
      </w:r>
      <w:r>
        <w:rPr>
          <w:i/>
          <w:sz w:val="30"/>
        </w:rPr>
        <w:t>that</w:t>
      </w:r>
      <w:r>
        <w:rPr>
          <w:i/>
          <w:spacing w:val="-4"/>
          <w:sz w:val="30"/>
        </w:rPr>
        <w:t xml:space="preserve"> </w:t>
      </w:r>
      <w:r>
        <w:rPr>
          <w:i/>
          <w:sz w:val="30"/>
        </w:rPr>
        <w:t>the</w:t>
      </w:r>
      <w:r>
        <w:rPr>
          <w:i/>
          <w:spacing w:val="-5"/>
          <w:sz w:val="30"/>
        </w:rPr>
        <w:t xml:space="preserve"> </w:t>
      </w:r>
      <w:r>
        <w:rPr>
          <w:i/>
          <w:sz w:val="30"/>
        </w:rPr>
        <w:t>first</w:t>
      </w:r>
      <w:r>
        <w:rPr>
          <w:i/>
          <w:spacing w:val="-4"/>
          <w:sz w:val="30"/>
        </w:rPr>
        <w:t xml:space="preserve"> </w:t>
      </w:r>
      <w:r>
        <w:rPr>
          <w:i/>
          <w:sz w:val="30"/>
        </w:rPr>
        <w:t>post-master</w:t>
      </w:r>
      <w:r>
        <w:rPr>
          <w:i/>
          <w:spacing w:val="-4"/>
          <w:sz w:val="30"/>
        </w:rPr>
        <w:t xml:space="preserve"> </w:t>
      </w:r>
      <w:r>
        <w:rPr>
          <w:i/>
          <w:sz w:val="30"/>
        </w:rPr>
        <w:t>general</w:t>
      </w:r>
      <w:r>
        <w:rPr>
          <w:i/>
          <w:spacing w:val="-4"/>
          <w:sz w:val="30"/>
        </w:rPr>
        <w:t xml:space="preserve"> </w:t>
      </w:r>
      <w:r>
        <w:rPr>
          <w:i/>
          <w:sz w:val="30"/>
        </w:rPr>
        <w:t>is</w:t>
      </w:r>
      <w:r>
        <w:rPr>
          <w:i/>
          <w:spacing w:val="-4"/>
          <w:sz w:val="30"/>
        </w:rPr>
        <w:t xml:space="preserve"> </w:t>
      </w:r>
      <w:r>
        <w:rPr>
          <w:i/>
          <w:spacing w:val="-2"/>
          <w:sz w:val="30"/>
        </w:rPr>
        <w:t>smart,”</w:t>
      </w:r>
    </w:p>
    <w:p w14:paraId="7E000ED7" w14:textId="77777777" w:rsidR="009A58DB" w:rsidRDefault="00000000">
      <w:pPr>
        <w:pStyle w:val="BodyText"/>
        <w:spacing w:before="120"/>
        <w:jc w:val="left"/>
      </w:pPr>
      <w:r>
        <w:t>is</w:t>
      </w:r>
      <w:r>
        <w:rPr>
          <w:spacing w:val="-2"/>
        </w:rPr>
        <w:t xml:space="preserve"> false.</w:t>
      </w:r>
    </w:p>
    <w:p w14:paraId="7E000ED8" w14:textId="77777777" w:rsidR="009A58DB" w:rsidRDefault="00000000">
      <w:pPr>
        <w:pStyle w:val="BodyText"/>
        <w:spacing w:before="16" w:line="249" w:lineRule="auto"/>
        <w:ind w:right="360" w:firstLine="360"/>
      </w:pPr>
      <w:r>
        <w:t>The italicized expression in A refers to one proposition; its counterpart in B refers to a different proposition. (We’ll refer to the italicized expressions in A</w:t>
      </w:r>
      <w:r>
        <w:rPr>
          <w:spacing w:val="-2"/>
        </w:rPr>
        <w:t xml:space="preserve"> </w:t>
      </w:r>
      <w:r>
        <w:t>and</w:t>
      </w:r>
      <w:r>
        <w:rPr>
          <w:spacing w:val="-1"/>
        </w:rPr>
        <w:t xml:space="preserve"> </w:t>
      </w:r>
      <w:r>
        <w:t>B,</w:t>
      </w:r>
      <w:r>
        <w:rPr>
          <w:spacing w:val="-2"/>
        </w:rPr>
        <w:t xml:space="preserve"> </w:t>
      </w:r>
      <w:r>
        <w:t>respectively,</w:t>
      </w:r>
      <w:r>
        <w:rPr>
          <w:spacing w:val="-1"/>
        </w:rPr>
        <w:t xml:space="preserve"> </w:t>
      </w:r>
      <w:r>
        <w:t>as</w:t>
      </w:r>
      <w:r>
        <w:rPr>
          <w:spacing w:val="-2"/>
        </w:rPr>
        <w:t xml:space="preserve"> </w:t>
      </w:r>
      <w:r>
        <w:t>A*</w:t>
      </w:r>
      <w:r>
        <w:rPr>
          <w:spacing w:val="-1"/>
        </w:rPr>
        <w:t xml:space="preserve"> </w:t>
      </w:r>
      <w:r>
        <w:t>and</w:t>
      </w:r>
      <w:r>
        <w:rPr>
          <w:spacing w:val="-2"/>
        </w:rPr>
        <w:t xml:space="preserve"> </w:t>
      </w:r>
      <w:r>
        <w:t>B*).</w:t>
      </w:r>
      <w:r>
        <w:rPr>
          <w:spacing w:val="-1"/>
        </w:rPr>
        <w:t xml:space="preserve"> </w:t>
      </w:r>
      <w:r>
        <w:t>But</w:t>
      </w:r>
      <w:r>
        <w:rPr>
          <w:spacing w:val="-2"/>
        </w:rPr>
        <w:t xml:space="preserve"> </w:t>
      </w:r>
      <w:r>
        <w:t>B*</w:t>
      </w:r>
      <w:r>
        <w:rPr>
          <w:spacing w:val="-1"/>
        </w:rPr>
        <w:t xml:space="preserve"> </w:t>
      </w:r>
      <w:r>
        <w:t>is</w:t>
      </w:r>
      <w:r>
        <w:rPr>
          <w:spacing w:val="-2"/>
        </w:rPr>
        <w:t xml:space="preserve"> </w:t>
      </w:r>
      <w:r>
        <w:t>what</w:t>
      </w:r>
      <w:r>
        <w:rPr>
          <w:spacing w:val="-2"/>
        </w:rPr>
        <w:t xml:space="preserve"> </w:t>
      </w:r>
      <w:r>
        <w:t>results</w:t>
      </w:r>
      <w:r>
        <w:rPr>
          <w:spacing w:val="-2"/>
        </w:rPr>
        <w:t xml:space="preserve"> </w:t>
      </w:r>
      <w:r>
        <w:t>when</w:t>
      </w:r>
      <w:r>
        <w:rPr>
          <w:spacing w:val="-1"/>
        </w:rPr>
        <w:t xml:space="preserve"> </w:t>
      </w:r>
      <w:r>
        <w:t>a</w:t>
      </w:r>
      <w:r>
        <w:rPr>
          <w:spacing w:val="-1"/>
        </w:rPr>
        <w:t xml:space="preserve"> </w:t>
      </w:r>
      <w:r>
        <w:t xml:space="preserve">referring term is replaced with a co-referring term. According to the </w:t>
      </w:r>
      <w:r>
        <w:rPr>
          <w:b/>
          <w:i/>
        </w:rPr>
        <w:t xml:space="preserve">principle of special compositionality </w:t>
      </w:r>
      <w:r>
        <w:t>(PSC), A* and B* should co-refer.</w:t>
      </w:r>
    </w:p>
    <w:p w14:paraId="7E000ED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DA" w14:textId="77777777" w:rsidR="009A58DB" w:rsidRDefault="00000000">
      <w:pPr>
        <w:pStyle w:val="BodyText"/>
        <w:spacing w:before="65" w:line="249" w:lineRule="auto"/>
        <w:ind w:right="359" w:firstLine="360"/>
      </w:pPr>
      <w:r>
        <w:lastRenderedPageBreak/>
        <w:t xml:space="preserve">PSC says that what an expression refers to depends on what its parts refer to. “Mary’s favorite person” refers to Smith, whereas “Billy’s favorite person” refers to Jones. Why the difference in reference? Because “Mary” and “Billy” don’t co-refer, and what a given expression refers to affects what expressions containing it refer to. For the same reason </w:t>
      </w:r>
      <w:r>
        <w:rPr>
          <w:i/>
        </w:rPr>
        <w:t xml:space="preserve">mutatis mutandis, </w:t>
      </w:r>
      <w:r>
        <w:t>if “Crusher” is Mary’s nickname, and thus co-refers with “Mary,” “Crusher’s favorite person” co-refers with “Mary’s favorite person.” PSC is the obviously correct semantic corollary of the obviously correct principle that replacing equals with equals results in equals.</w:t>
      </w:r>
    </w:p>
    <w:p w14:paraId="7E000EDB" w14:textId="77777777" w:rsidR="009A58DB" w:rsidRDefault="00000000">
      <w:pPr>
        <w:pStyle w:val="BodyText"/>
        <w:spacing w:before="11" w:line="249" w:lineRule="auto"/>
        <w:ind w:right="358" w:firstLine="360"/>
      </w:pPr>
      <w:r>
        <w:t>But Frege’s semantics violates PSC. According to it, B* is what results when a referring term in A* is replaced with a co-referring term, and yet A* and B* don’t co-refer. Russell’s system doesn’t have this problem. Russell said, correctly, that A* and B* are contractions of, respectively:</w:t>
      </w:r>
    </w:p>
    <w:p w14:paraId="7E000EDC" w14:textId="77777777" w:rsidR="009A58DB" w:rsidRDefault="00000000">
      <w:pPr>
        <w:pStyle w:val="BodyText"/>
        <w:spacing w:before="110" w:line="312" w:lineRule="auto"/>
        <w:ind w:right="2223"/>
        <w:jc w:val="left"/>
      </w:pPr>
      <w:r>
        <w:t>(A#)</w:t>
      </w:r>
      <w:r>
        <w:rPr>
          <w:spacing w:val="-8"/>
        </w:rPr>
        <w:t xml:space="preserve"> </w:t>
      </w:r>
      <w:r>
        <w:t>“some</w:t>
      </w:r>
      <w:r>
        <w:rPr>
          <w:spacing w:val="-8"/>
        </w:rPr>
        <w:t xml:space="preserve"> </w:t>
      </w:r>
      <w:r>
        <w:t>smart</w:t>
      </w:r>
      <w:r>
        <w:rPr>
          <w:spacing w:val="-8"/>
        </w:rPr>
        <w:t xml:space="preserve"> </w:t>
      </w:r>
      <w:r>
        <w:t>person</w:t>
      </w:r>
      <w:r>
        <w:rPr>
          <w:spacing w:val="-7"/>
        </w:rPr>
        <w:t xml:space="preserve"> </w:t>
      </w:r>
      <w:r>
        <w:t>single-handedly</w:t>
      </w:r>
      <w:r>
        <w:rPr>
          <w:spacing w:val="-7"/>
        </w:rPr>
        <w:t xml:space="preserve"> </w:t>
      </w:r>
      <w:r>
        <w:t>invented</w:t>
      </w:r>
      <w:r>
        <w:rPr>
          <w:spacing w:val="-7"/>
        </w:rPr>
        <w:t xml:space="preserve"> </w:t>
      </w:r>
      <w:r>
        <w:t xml:space="preserve">bifocals” </w:t>
      </w:r>
      <w:r>
        <w:rPr>
          <w:spacing w:val="-4"/>
        </w:rPr>
        <w:t>and</w:t>
      </w:r>
    </w:p>
    <w:p w14:paraId="7E000EDD" w14:textId="77777777" w:rsidR="009A58DB" w:rsidRDefault="00000000">
      <w:pPr>
        <w:pStyle w:val="BodyText"/>
        <w:spacing w:before="18"/>
        <w:jc w:val="left"/>
      </w:pPr>
      <w:r>
        <w:t>(B#)</w:t>
      </w:r>
      <w:r>
        <w:rPr>
          <w:spacing w:val="-7"/>
        </w:rPr>
        <w:t xml:space="preserve"> </w:t>
      </w:r>
      <w:r>
        <w:t>“some</w:t>
      </w:r>
      <w:r>
        <w:rPr>
          <w:spacing w:val="-4"/>
        </w:rPr>
        <w:t xml:space="preserve"> </w:t>
      </w:r>
      <w:r>
        <w:t>smart</w:t>
      </w:r>
      <w:r>
        <w:rPr>
          <w:spacing w:val="-5"/>
        </w:rPr>
        <w:t xml:space="preserve"> </w:t>
      </w:r>
      <w:r>
        <w:t>person</w:t>
      </w:r>
      <w:r>
        <w:rPr>
          <w:spacing w:val="-4"/>
        </w:rPr>
        <w:t xml:space="preserve"> </w:t>
      </w:r>
      <w:r>
        <w:t>post-master</w:t>
      </w:r>
      <w:r>
        <w:rPr>
          <w:spacing w:val="-4"/>
        </w:rPr>
        <w:t xml:space="preserve"> </w:t>
      </w:r>
      <w:r>
        <w:t>general</w:t>
      </w:r>
      <w:r>
        <w:rPr>
          <w:spacing w:val="-5"/>
        </w:rPr>
        <w:t xml:space="preserve"> </w:t>
      </w:r>
      <w:r>
        <w:t>before</w:t>
      </w:r>
      <w:r>
        <w:rPr>
          <w:spacing w:val="-4"/>
        </w:rPr>
        <w:t xml:space="preserve"> </w:t>
      </w:r>
      <w:r>
        <w:t>anyone</w:t>
      </w:r>
      <w:r>
        <w:rPr>
          <w:spacing w:val="-4"/>
        </w:rPr>
        <w:t xml:space="preserve"> </w:t>
      </w:r>
      <w:r>
        <w:rPr>
          <w:spacing w:val="-2"/>
        </w:rPr>
        <w:t>else.”</w:t>
      </w:r>
    </w:p>
    <w:p w14:paraId="7E000EDE" w14:textId="77777777" w:rsidR="009A58DB" w:rsidRDefault="00000000">
      <w:pPr>
        <w:pStyle w:val="BodyText"/>
        <w:spacing w:before="120" w:line="249" w:lineRule="auto"/>
        <w:ind w:right="358" w:firstLine="360"/>
      </w:pPr>
      <w:r>
        <w:t>It didn’t even occur to Frege to take anything at all like Russell’s position. To compatibilize his system with PSC, Frege said that, when expressions occur in intensional contexts, they undergo reference-shifts. According to Frege,</w:t>
      </w:r>
      <w:r>
        <w:rPr>
          <w:spacing w:val="-1"/>
        </w:rPr>
        <w:t xml:space="preserve"> </w:t>
      </w:r>
      <w:r>
        <w:t>“the inventor</w:t>
      </w:r>
      <w:r>
        <w:rPr>
          <w:spacing w:val="-1"/>
        </w:rPr>
        <w:t xml:space="preserve"> </w:t>
      </w:r>
      <w:r>
        <w:t>of</w:t>
      </w:r>
      <w:r>
        <w:rPr>
          <w:spacing w:val="-1"/>
        </w:rPr>
        <w:t xml:space="preserve"> </w:t>
      </w:r>
      <w:r>
        <w:t xml:space="preserve">bifocals” </w:t>
      </w:r>
      <w:r>
        <w:rPr>
          <w:i/>
        </w:rPr>
        <w:t>ordinarily</w:t>
      </w:r>
      <w:r>
        <w:rPr>
          <w:i/>
          <w:spacing w:val="-3"/>
        </w:rPr>
        <w:t xml:space="preserve"> </w:t>
      </w:r>
      <w:r>
        <w:t>refers to Benjamin Franklin (BF); in other words, its so refers when it occurs in extensional contexts. But when it falls within the scope of one intensionality-inducing operator, it refers to</w:t>
      </w:r>
      <w:r>
        <w:rPr>
          <w:spacing w:val="40"/>
        </w:rPr>
        <w:t xml:space="preserve"> </w:t>
      </w:r>
      <w:r>
        <w:t xml:space="preserve">the </w:t>
      </w:r>
      <w:r>
        <w:rPr>
          <w:i/>
        </w:rPr>
        <w:t xml:space="preserve">sense </w:t>
      </w:r>
      <w:r>
        <w:t>of “the inventor of bifocals.” (An intensionality-inducing is what most other authos refer to as a “non-extensional connective.” It is an operator having the property that any sentences or open-sentences falling within its scope are substitution-intolerant.) “Fred believes” is such an operator. Given that</w:t>
      </w:r>
      <w:r>
        <w:rPr>
          <w:spacing w:val="-4"/>
        </w:rPr>
        <w:t xml:space="preserve"> </w:t>
      </w:r>
      <w:r>
        <w:t>he</w:t>
      </w:r>
      <w:r>
        <w:rPr>
          <w:spacing w:val="-4"/>
        </w:rPr>
        <w:t xml:space="preserve"> </w:t>
      </w:r>
      <w:r>
        <w:t>insists</w:t>
      </w:r>
      <w:r>
        <w:rPr>
          <w:spacing w:val="-4"/>
        </w:rPr>
        <w:t xml:space="preserve"> </w:t>
      </w:r>
      <w:r>
        <w:t>on</w:t>
      </w:r>
      <w:r>
        <w:rPr>
          <w:spacing w:val="-3"/>
        </w:rPr>
        <w:t xml:space="preserve"> </w:t>
      </w:r>
      <w:r>
        <w:t>seeing</w:t>
      </w:r>
      <w:r>
        <w:rPr>
          <w:spacing w:val="-3"/>
        </w:rPr>
        <w:t xml:space="preserve"> </w:t>
      </w:r>
      <w:r>
        <w:t>definite</w:t>
      </w:r>
      <w:r>
        <w:rPr>
          <w:spacing w:val="-4"/>
        </w:rPr>
        <w:t xml:space="preserve"> </w:t>
      </w:r>
      <w:r>
        <w:t>descriptions</w:t>
      </w:r>
      <w:r>
        <w:rPr>
          <w:spacing w:val="-4"/>
        </w:rPr>
        <w:t xml:space="preserve"> </w:t>
      </w:r>
      <w:r>
        <w:t>as</w:t>
      </w:r>
      <w:r>
        <w:rPr>
          <w:spacing w:val="-4"/>
        </w:rPr>
        <w:t xml:space="preserve"> </w:t>
      </w:r>
      <w:r>
        <w:t>sense-bearing</w:t>
      </w:r>
      <w:r>
        <w:rPr>
          <w:spacing w:val="-3"/>
        </w:rPr>
        <w:t xml:space="preserve"> </w:t>
      </w:r>
      <w:r>
        <w:t>referring</w:t>
      </w:r>
      <w:r>
        <w:rPr>
          <w:spacing w:val="-3"/>
        </w:rPr>
        <w:t xml:space="preserve"> </w:t>
      </w:r>
      <w:r>
        <w:t>terms, Frege has no choice but to take this desperate measure: if he doesn’t, his system violates PSC, in which case it’s false, since PSC is true.</w:t>
      </w:r>
    </w:p>
    <w:p w14:paraId="7E000EDF" w14:textId="77777777" w:rsidR="009A58DB" w:rsidRDefault="00000000">
      <w:pPr>
        <w:pStyle w:val="BodyText"/>
        <w:spacing w:before="16" w:line="249" w:lineRule="auto"/>
        <w:ind w:right="365" w:firstLine="360"/>
      </w:pPr>
      <w:r>
        <w:t>Thus, if Frege’s system is right, then the occurrence of “the inventor of bifocals” in</w:t>
      </w:r>
    </w:p>
    <w:p w14:paraId="7E000EE0" w14:textId="77777777" w:rsidR="009A58DB" w:rsidRDefault="00000000">
      <w:pPr>
        <w:pStyle w:val="ListParagraph"/>
        <w:numPr>
          <w:ilvl w:val="0"/>
          <w:numId w:val="173"/>
        </w:numPr>
        <w:tabs>
          <w:tab w:val="left" w:pos="831"/>
        </w:tabs>
        <w:spacing w:before="92"/>
        <w:ind w:left="831" w:hanging="471"/>
        <w:jc w:val="both"/>
        <w:rPr>
          <w:sz w:val="30"/>
        </w:rPr>
      </w:pPr>
      <w:r>
        <w:rPr>
          <w:sz w:val="30"/>
        </w:rPr>
        <w:t>“Fred</w:t>
      </w:r>
      <w:r>
        <w:rPr>
          <w:spacing w:val="-5"/>
          <w:sz w:val="30"/>
        </w:rPr>
        <w:t xml:space="preserve"> </w:t>
      </w:r>
      <w:r>
        <w:rPr>
          <w:sz w:val="30"/>
        </w:rPr>
        <w:t>believes</w:t>
      </w:r>
      <w:r>
        <w:rPr>
          <w:spacing w:val="-4"/>
          <w:sz w:val="30"/>
        </w:rPr>
        <w:t xml:space="preserve"> </w:t>
      </w:r>
      <w:r>
        <w:rPr>
          <w:sz w:val="30"/>
        </w:rPr>
        <w:t>that</w:t>
      </w:r>
      <w:r>
        <w:rPr>
          <w:spacing w:val="-4"/>
          <w:sz w:val="30"/>
        </w:rPr>
        <w:t xml:space="preserve"> </w:t>
      </w:r>
      <w:r>
        <w:rPr>
          <w:sz w:val="30"/>
        </w:rPr>
        <w:t>Larry</w:t>
      </w:r>
      <w:r>
        <w:rPr>
          <w:spacing w:val="-3"/>
          <w:sz w:val="30"/>
        </w:rPr>
        <w:t xml:space="preserve"> </w:t>
      </w:r>
      <w:r>
        <w:rPr>
          <w:sz w:val="30"/>
        </w:rPr>
        <w:t>believes</w:t>
      </w:r>
      <w:r>
        <w:rPr>
          <w:spacing w:val="-4"/>
          <w:sz w:val="30"/>
        </w:rPr>
        <w:t xml:space="preserve"> </w:t>
      </w:r>
      <w:r>
        <w:rPr>
          <w:sz w:val="30"/>
        </w:rPr>
        <w:t>that</w:t>
      </w:r>
      <w:r>
        <w:rPr>
          <w:spacing w:val="-4"/>
          <w:sz w:val="30"/>
        </w:rPr>
        <w:t xml:space="preserve"> </w:t>
      </w:r>
      <w:r>
        <w:rPr>
          <w:sz w:val="30"/>
        </w:rPr>
        <w:t>the</w:t>
      </w:r>
      <w:r>
        <w:rPr>
          <w:spacing w:val="-4"/>
          <w:sz w:val="30"/>
        </w:rPr>
        <w:t xml:space="preserve"> </w:t>
      </w:r>
      <w:r>
        <w:rPr>
          <w:sz w:val="30"/>
        </w:rPr>
        <w:t>inventor</w:t>
      </w:r>
      <w:r>
        <w:rPr>
          <w:spacing w:val="-4"/>
          <w:sz w:val="30"/>
        </w:rPr>
        <w:t xml:space="preserve"> </w:t>
      </w:r>
      <w:r>
        <w:rPr>
          <w:sz w:val="30"/>
        </w:rPr>
        <w:t>of</w:t>
      </w:r>
      <w:r>
        <w:rPr>
          <w:spacing w:val="-4"/>
          <w:sz w:val="30"/>
        </w:rPr>
        <w:t xml:space="preserve"> </w:t>
      </w:r>
      <w:r>
        <w:rPr>
          <w:sz w:val="30"/>
        </w:rPr>
        <w:t>bifocals</w:t>
      </w:r>
      <w:r>
        <w:rPr>
          <w:spacing w:val="-4"/>
          <w:sz w:val="30"/>
        </w:rPr>
        <w:t xml:space="preserve"> </w:t>
      </w:r>
      <w:r>
        <w:rPr>
          <w:sz w:val="30"/>
        </w:rPr>
        <w:t>is</w:t>
      </w:r>
      <w:r>
        <w:rPr>
          <w:spacing w:val="-3"/>
          <w:sz w:val="30"/>
        </w:rPr>
        <w:t xml:space="preserve"> </w:t>
      </w:r>
      <w:r>
        <w:rPr>
          <w:spacing w:val="-2"/>
          <w:sz w:val="30"/>
        </w:rPr>
        <w:t>smart”</w:t>
      </w:r>
    </w:p>
    <w:p w14:paraId="7E000EE1" w14:textId="77777777" w:rsidR="009A58DB" w:rsidRDefault="00000000">
      <w:pPr>
        <w:pStyle w:val="BodyText"/>
        <w:spacing w:before="120" w:line="249" w:lineRule="auto"/>
        <w:ind w:right="368"/>
      </w:pPr>
      <w:r>
        <w:t>refers, not to BF, nor yet to the sense of “the inventor of bifocals,” but to the sense of an expression that denotes the sense of that expression.</w:t>
      </w:r>
    </w:p>
    <w:p w14:paraId="7E000EE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EE3" w14:textId="77777777" w:rsidR="009A58DB" w:rsidRDefault="00000000">
      <w:pPr>
        <w:pStyle w:val="BodyText"/>
        <w:spacing w:before="65" w:line="249" w:lineRule="auto"/>
        <w:ind w:right="371" w:firstLine="360"/>
      </w:pPr>
      <w:r>
        <w:lastRenderedPageBreak/>
        <w:t xml:space="preserve">For the same reason </w:t>
      </w:r>
      <w:r>
        <w:rPr>
          <w:i/>
        </w:rPr>
        <w:t xml:space="preserve">mutatis mutandis, </w:t>
      </w:r>
      <w:r>
        <w:t>a consequence of Frege’s system is that no two of the occurrences of “snow” in</w:t>
      </w:r>
    </w:p>
    <w:p w14:paraId="7E000EE4" w14:textId="77777777" w:rsidR="009A58DB" w:rsidRDefault="00000000">
      <w:pPr>
        <w:pStyle w:val="ListParagraph"/>
        <w:numPr>
          <w:ilvl w:val="0"/>
          <w:numId w:val="173"/>
        </w:numPr>
        <w:tabs>
          <w:tab w:val="left" w:pos="868"/>
        </w:tabs>
        <w:spacing w:before="107" w:line="249" w:lineRule="auto"/>
        <w:ind w:left="360" w:right="369" w:firstLine="0"/>
        <w:jc w:val="both"/>
        <w:rPr>
          <w:sz w:val="30"/>
        </w:rPr>
      </w:pPr>
      <w:r>
        <w:rPr>
          <w:sz w:val="30"/>
        </w:rPr>
        <w:t>“snow is white, but Brad thinks that snow is green, even though Brad is convinced that Mary thinks that snow is purple”</w:t>
      </w:r>
    </w:p>
    <w:p w14:paraId="7E000EE5" w14:textId="77777777" w:rsidR="009A58DB" w:rsidRDefault="00000000">
      <w:pPr>
        <w:pStyle w:val="BodyText"/>
        <w:spacing w:before="93" w:line="249" w:lineRule="auto"/>
        <w:ind w:right="364"/>
      </w:pPr>
      <w:r>
        <w:t xml:space="preserve">co-refer, and only one of those occurrences (the first one) refers to snow. In addition to being radically counterintuitive, Frege’s position is logically and methodologically indefensible (or so I argue in Kuczynski (2007) and other </w:t>
      </w:r>
      <w:r>
        <w:rPr>
          <w:spacing w:val="-2"/>
        </w:rPr>
        <w:t>places).</w:t>
      </w:r>
    </w:p>
    <w:p w14:paraId="7E000EE6" w14:textId="77777777" w:rsidR="009A58DB" w:rsidRDefault="00000000">
      <w:pPr>
        <w:pStyle w:val="Heading1"/>
        <w:spacing w:before="207" w:line="244" w:lineRule="auto"/>
        <w:ind w:left="360" w:right="362" w:firstLine="0"/>
        <w:jc w:val="both"/>
        <w:rPr>
          <w:position w:val="15"/>
        </w:rPr>
      </w:pPr>
      <w:r>
        <w:rPr>
          <w:noProof/>
          <w:position w:val="15"/>
        </w:rPr>
        <mc:AlternateContent>
          <mc:Choice Requires="wps">
            <w:drawing>
              <wp:anchor distT="0" distB="0" distL="0" distR="0" simplePos="0" relativeHeight="480328704" behindDoc="1" locked="0" layoutInCell="1" allowOverlap="1" wp14:anchorId="7E00325E" wp14:editId="7E00325F">
                <wp:simplePos x="0" y="0"/>
                <wp:positionH relativeFrom="page">
                  <wp:posOffset>4429125</wp:posOffset>
                </wp:positionH>
                <wp:positionV relativeFrom="paragraph">
                  <wp:posOffset>709513</wp:posOffset>
                </wp:positionV>
                <wp:extent cx="2571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1270"/>
                        </a:xfrm>
                        <a:custGeom>
                          <a:avLst/>
                          <a:gdLst/>
                          <a:ahLst/>
                          <a:cxnLst/>
                          <a:rect l="l" t="t" r="r" b="b"/>
                          <a:pathLst>
                            <a:path w="257175">
                              <a:moveTo>
                                <a:pt x="0" y="0"/>
                              </a:moveTo>
                              <a:lnTo>
                                <a:pt x="25717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335B471A" id="Graphic 8" o:spid="_x0000_s1026" style="position:absolute;margin-left:348.75pt;margin-top:55.85pt;width:20.25pt;height:.1pt;z-index:-22987776;visibility:visible;mso-wrap-style:square;mso-wrap-distance-left:0;mso-wrap-distance-top:0;mso-wrap-distance-right:0;mso-wrap-distance-bottom:0;mso-position-horizontal:absolute;mso-position-horizontal-relative:page;mso-position-vertical:absolute;mso-position-vertical-relative:text;v-text-anchor:top" coordsize="257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" path="m,l257175,e" filled="f" strokecolor="#0562c1">
                <v:path arrowok="t"/>
                <w10:wrap anchorx="page"/>
              </v:shape>
            </w:pict>
          </mc:Fallback>
        </mc:AlternateContent>
      </w:r>
      <w:r>
        <w:t>4.0 The theory of descriptions revisited: the wide-scope/narrow-scope distinctio</w:t>
      </w:r>
      <w:bookmarkStart w:id="196" w:name="_bookmark196"/>
      <w:bookmarkEnd w:id="196"/>
      <w:r>
        <w:t>n</w:t>
      </w:r>
      <w:r>
        <w:rPr>
          <w:color w:val="0562C1"/>
          <w:position w:val="15"/>
        </w:rPr>
        <w:t>10</w:t>
      </w:r>
    </w:p>
    <w:p w14:paraId="7E000EE7" w14:textId="77777777" w:rsidR="009A58DB" w:rsidRDefault="00000000">
      <w:pPr>
        <w:pStyle w:val="BodyText"/>
        <w:spacing w:before="132" w:line="249" w:lineRule="auto"/>
        <w:ind w:right="364"/>
      </w:pPr>
      <w:r>
        <w:t>Let us refer to sentences containing definite descriptions as “D-sentences.”</w:t>
      </w:r>
      <w:r>
        <w:rPr>
          <w:spacing w:val="40"/>
        </w:rPr>
        <w:t xml:space="preserve"> </w:t>
      </w:r>
      <w:r>
        <w:t>So a D-sentence is any sentence of the form ‹...the phi...› There is a certain sub-class of D-sentences that are systematically ambiguous. One of the virtues of the theory of descriptions is that it, unlike its Fregean competitor, accounts for the fact that these sentences are ambiguous and it also accounts for the exact way in which they are ambiguous.</w:t>
      </w:r>
    </w:p>
    <w:p w14:paraId="7E000EE8" w14:textId="77777777" w:rsidR="009A58DB" w:rsidRDefault="00000000">
      <w:pPr>
        <w:pStyle w:val="BodyText"/>
        <w:spacing w:before="8" w:line="249" w:lineRule="auto"/>
        <w:ind w:right="359" w:firstLine="360"/>
      </w:pPr>
      <w:r>
        <w:t xml:space="preserve">In this context, it will be helpful to remember that an </w:t>
      </w:r>
      <w:r>
        <w:rPr>
          <w:b/>
          <w:i/>
        </w:rPr>
        <w:t xml:space="preserve">open sentence </w:t>
      </w:r>
      <w:r>
        <w:t>is an expression</w:t>
      </w:r>
      <w:r>
        <w:rPr>
          <w:spacing w:val="-1"/>
        </w:rPr>
        <w:t xml:space="preserve"> </w:t>
      </w:r>
      <w:r>
        <w:t>that</w:t>
      </w:r>
      <w:r>
        <w:rPr>
          <w:spacing w:val="-1"/>
        </w:rPr>
        <w:t xml:space="preserve"> </w:t>
      </w:r>
      <w:r>
        <w:t>contains</w:t>
      </w:r>
      <w:r>
        <w:rPr>
          <w:spacing w:val="-1"/>
        </w:rPr>
        <w:t xml:space="preserve"> </w:t>
      </w:r>
      <w:r>
        <w:t>a</w:t>
      </w:r>
      <w:r>
        <w:rPr>
          <w:spacing w:val="-1"/>
        </w:rPr>
        <w:t xml:space="preserve"> </w:t>
      </w:r>
      <w:r>
        <w:t>free</w:t>
      </w:r>
      <w:r>
        <w:rPr>
          <w:spacing w:val="-1"/>
        </w:rPr>
        <w:t xml:space="preserve"> </w:t>
      </w:r>
      <w:r>
        <w:t>variable,</w:t>
      </w:r>
      <w:r>
        <w:rPr>
          <w:spacing w:val="-1"/>
        </w:rPr>
        <w:t xml:space="preserve"> </w:t>
      </w:r>
      <w:r>
        <w:t>and</w:t>
      </w:r>
      <w:r>
        <w:rPr>
          <w:spacing w:val="-1"/>
        </w:rPr>
        <w:t xml:space="preserve"> </w:t>
      </w:r>
      <w:r>
        <w:t>is</w:t>
      </w:r>
      <w:r>
        <w:rPr>
          <w:spacing w:val="-1"/>
        </w:rPr>
        <w:t xml:space="preserve"> </w:t>
      </w:r>
      <w:r>
        <w:t>therefore</w:t>
      </w:r>
      <w:r>
        <w:rPr>
          <w:spacing w:val="-1"/>
        </w:rPr>
        <w:t xml:space="preserve"> </w:t>
      </w:r>
      <w:r>
        <w:t>neither</w:t>
      </w:r>
      <w:r>
        <w:rPr>
          <w:spacing w:val="-1"/>
        </w:rPr>
        <w:t xml:space="preserve"> </w:t>
      </w:r>
      <w:r>
        <w:t>true</w:t>
      </w:r>
      <w:r>
        <w:rPr>
          <w:spacing w:val="-1"/>
        </w:rPr>
        <w:t xml:space="preserve"> </w:t>
      </w:r>
      <w:r>
        <w:t>nor</w:t>
      </w:r>
      <w:r>
        <w:rPr>
          <w:spacing w:val="-1"/>
        </w:rPr>
        <w:t xml:space="preserve"> </w:t>
      </w:r>
      <w:r>
        <w:t>false, but is otherwise just like a sentence. So ‹x is a human being› is an open-sentence; so is ‹x is even. › These open sentences are “true for” some values of their free variables. (The first is true for “Socrates,” “Plato,” etc. The second is true for “2,” “4,” etc.) But it must be emphasized that an open sentence is not itself true or false. (In this context, the word “sentence” will</w:t>
      </w:r>
      <w:r>
        <w:rPr>
          <w:spacing w:val="40"/>
        </w:rPr>
        <w:t xml:space="preserve"> </w:t>
      </w:r>
      <w:r>
        <w:t>be short for “sentences or open sentences.”)</w:t>
      </w:r>
    </w:p>
    <w:p w14:paraId="7E000EE9" w14:textId="77777777" w:rsidR="009A58DB" w:rsidRDefault="00000000">
      <w:pPr>
        <w:pStyle w:val="BodyText"/>
        <w:spacing w:before="14" w:line="249" w:lineRule="auto"/>
        <w:ind w:right="360" w:firstLine="360"/>
      </w:pPr>
      <w:r>
        <w:t>An expression (or class of expression</w:t>
      </w:r>
      <w:bookmarkStart w:id="197" w:name="_bookmark197"/>
      <w:bookmarkEnd w:id="197"/>
      <w:r>
        <w:t>s</w:t>
      </w:r>
      <w:r>
        <w:rPr>
          <w:color w:val="0562C1"/>
          <w:position w:val="10"/>
          <w:u w:val="single" w:color="0562C1"/>
        </w:rPr>
        <w:t>11</w:t>
      </w:r>
      <w:r>
        <w:t xml:space="preserve">) is said to </w:t>
      </w:r>
      <w:r>
        <w:rPr>
          <w:b/>
          <w:i/>
        </w:rPr>
        <w:t xml:space="preserve">satisfy </w:t>
      </w:r>
      <w:r>
        <w:t>an open sentence if a true sentence results when that expression replaces the free variables in that sentence. Thus, “two” satisfies the open sentence “x is an even number,” whereas “Mr. T” does not satisfy it, and neither does “three.”</w:t>
      </w:r>
    </w:p>
    <w:p w14:paraId="7E000EEA" w14:textId="77777777" w:rsidR="009A58DB" w:rsidRDefault="00000000">
      <w:pPr>
        <w:pStyle w:val="Heading1"/>
        <w:spacing w:before="193"/>
        <w:ind w:left="360" w:firstLine="0"/>
        <w:jc w:val="both"/>
      </w:pPr>
      <w:r>
        <w:t>4.1</w:t>
      </w:r>
      <w:r>
        <w:rPr>
          <w:spacing w:val="-6"/>
        </w:rPr>
        <w:t xml:space="preserve"> </w:t>
      </w:r>
      <w:r>
        <w:t>Scope,</w:t>
      </w:r>
      <w:r>
        <w:rPr>
          <w:spacing w:val="-3"/>
        </w:rPr>
        <w:t xml:space="preserve"> </w:t>
      </w:r>
      <w:r>
        <w:t>operators,</w:t>
      </w:r>
      <w:r>
        <w:rPr>
          <w:spacing w:val="-4"/>
        </w:rPr>
        <w:t xml:space="preserve"> </w:t>
      </w:r>
      <w:r>
        <w:t>and</w:t>
      </w:r>
      <w:r>
        <w:rPr>
          <w:spacing w:val="-4"/>
        </w:rPr>
        <w:t xml:space="preserve"> </w:t>
      </w:r>
      <w:r>
        <w:t>syntactic</w:t>
      </w:r>
      <w:r>
        <w:rPr>
          <w:spacing w:val="-4"/>
        </w:rPr>
        <w:t xml:space="preserve"> </w:t>
      </w:r>
      <w:r>
        <w:rPr>
          <w:spacing w:val="-2"/>
        </w:rPr>
        <w:t>ambiguity</w:t>
      </w:r>
    </w:p>
    <w:p w14:paraId="7E000EEB" w14:textId="77777777" w:rsidR="009A58DB" w:rsidRDefault="00000000">
      <w:pPr>
        <w:pStyle w:val="BodyText"/>
        <w:spacing w:before="139" w:line="249" w:lineRule="auto"/>
        <w:ind w:right="371"/>
        <w:rPr>
          <w:b/>
          <w:i/>
        </w:rPr>
      </w:pPr>
      <w:r>
        <w:t xml:space="preserve">The semantics of these sentences is to be understood in terms of the concept of </w:t>
      </w:r>
      <w:r>
        <w:rPr>
          <w:b/>
          <w:i/>
        </w:rPr>
        <w:t>scope.</w:t>
      </w:r>
    </w:p>
    <w:p w14:paraId="7E000EEC" w14:textId="77777777" w:rsidR="009A58DB" w:rsidRDefault="009A58DB">
      <w:pPr>
        <w:pStyle w:val="BodyText"/>
        <w:spacing w:line="249" w:lineRule="auto"/>
        <w:rPr>
          <w:b/>
          <w:i/>
        </w:rPr>
        <w:sectPr w:rsidR="009A58DB">
          <w:pgSz w:w="12240" w:h="15840"/>
          <w:pgMar w:top="1380" w:right="1080" w:bottom="280" w:left="1080" w:header="720" w:footer="720" w:gutter="0"/>
          <w:cols w:space="720"/>
        </w:sectPr>
      </w:pPr>
    </w:p>
    <w:p w14:paraId="7E000EED" w14:textId="77777777" w:rsidR="009A58DB" w:rsidRDefault="00000000">
      <w:pPr>
        <w:pStyle w:val="BodyText"/>
        <w:spacing w:before="65" w:line="249" w:lineRule="auto"/>
        <w:ind w:right="360" w:firstLine="360"/>
      </w:pPr>
      <w:r>
        <w:lastRenderedPageBreak/>
        <w:t xml:space="preserve">Scope is a property of </w:t>
      </w:r>
      <w:r>
        <w:rPr>
          <w:b/>
          <w:i/>
        </w:rPr>
        <w:t>operators</w:t>
      </w:r>
      <w:r>
        <w:t>—that is, of expressions that, given sentences or open-sentences, form new sentences. So “John believes that” is an operator, since, when joined with “grass is green,” it yields the sentence “John believes that grass is green.”</w:t>
      </w:r>
    </w:p>
    <w:p w14:paraId="7E000EEE" w14:textId="77777777" w:rsidR="009A58DB" w:rsidRDefault="00000000">
      <w:pPr>
        <w:pStyle w:val="BodyText"/>
        <w:spacing w:before="5" w:line="249" w:lineRule="auto"/>
        <w:ind w:right="357" w:firstLine="360"/>
      </w:pPr>
      <w:r>
        <w:t xml:space="preserve">All </w:t>
      </w:r>
      <w:r>
        <w:rPr>
          <w:b/>
          <w:i/>
        </w:rPr>
        <w:t xml:space="preserve">quantifiers </w:t>
      </w:r>
      <w:r>
        <w:t>are operators. Examples of quantifiers are “all humans,” “some triangles,” “most dolphins.” So are their counterparts in formalized extensions of English (e.g., “given any human being x,” “for some triangle y,” etc.). Why is “all humans” a quantifier? First of all, given a predicate (e.g., “are tall”), “all humans” yields a sentence (“all humans are tall”). And predicates are all open sentences (e.g., “are tall” can be thought of as synonymous with “x is tall”). Given that “all humans” can be thought of as synonymous with “given any human x,” it’s clear why “all humans” is an operator. When coupled with the predicate (= open sentence) “are tall” (= “x is tall”), “all humans” (= “given any human x”), yields the sentence “all humans are tall” (= “given any human x, x is tall”).</w:t>
      </w:r>
    </w:p>
    <w:p w14:paraId="7E000EEF" w14:textId="77777777" w:rsidR="009A58DB" w:rsidRDefault="00000000">
      <w:pPr>
        <w:pStyle w:val="BodyText"/>
        <w:spacing w:before="13" w:line="249" w:lineRule="auto"/>
        <w:ind w:right="359" w:firstLine="360"/>
      </w:pPr>
      <w:r>
        <w:t xml:space="preserve">All conjunctions (e.g., “and,” “because,” “or,” “not”) are operators. And, “because,” and “or” are </w:t>
      </w:r>
      <w:r>
        <w:rPr>
          <w:b/>
          <w:i/>
        </w:rPr>
        <w:t xml:space="preserve">two-place operators, </w:t>
      </w:r>
      <w:r>
        <w:t xml:space="preserve">meaning that, given a </w:t>
      </w:r>
      <w:r>
        <w:rPr>
          <w:i/>
        </w:rPr>
        <w:t xml:space="preserve">pair </w:t>
      </w:r>
      <w:r>
        <w:t>of sentences as input, each yields a new sentence as output. Thus, given the pair of sentences (“grass is green,” “snow is white”), “and” yields the sentence “grass is green and snow is white.” Where “because” is concerned the pair must be ordered, since “grass is green because snow is white” doesn’t have the same meaning as “snow is white because grass is green.” It’s a matter of debate whether “are” and “or” operate on ordered, or unordered, sentence-pairs. “Not” is a one-place operator. Given the sentence “snow is white,” “not” yields a new sentence (“snow is not white”).</w:t>
      </w:r>
    </w:p>
    <w:p w14:paraId="7E000EF0" w14:textId="77777777" w:rsidR="009A58DB" w:rsidRDefault="00000000">
      <w:pPr>
        <w:pStyle w:val="BodyText"/>
        <w:spacing w:before="12"/>
        <w:ind w:left="720"/>
      </w:pPr>
      <w:r>
        <w:t>In</w:t>
      </w:r>
      <w:r>
        <w:rPr>
          <w:spacing w:val="-3"/>
        </w:rPr>
        <w:t xml:space="preserve"> </w:t>
      </w:r>
      <w:r>
        <w:t>light</w:t>
      </w:r>
      <w:r>
        <w:rPr>
          <w:spacing w:val="-3"/>
        </w:rPr>
        <w:t xml:space="preserve"> </w:t>
      </w:r>
      <w:r>
        <w:t>of</w:t>
      </w:r>
      <w:r>
        <w:rPr>
          <w:spacing w:val="-2"/>
        </w:rPr>
        <w:t xml:space="preserve"> </w:t>
      </w:r>
      <w:r>
        <w:t>these</w:t>
      </w:r>
      <w:r>
        <w:rPr>
          <w:spacing w:val="-3"/>
        </w:rPr>
        <w:t xml:space="preserve"> </w:t>
      </w:r>
      <w:r>
        <w:t>points,</w:t>
      </w:r>
      <w:r>
        <w:rPr>
          <w:spacing w:val="-3"/>
        </w:rPr>
        <w:t xml:space="preserve"> </w:t>
      </w:r>
      <w:r>
        <w:t>consider</w:t>
      </w:r>
      <w:r>
        <w:rPr>
          <w:spacing w:val="-2"/>
        </w:rPr>
        <w:t xml:space="preserve"> </w:t>
      </w:r>
      <w:r>
        <w:t>the</w:t>
      </w:r>
      <w:r>
        <w:rPr>
          <w:spacing w:val="-3"/>
        </w:rPr>
        <w:t xml:space="preserve"> </w:t>
      </w:r>
      <w:r>
        <w:rPr>
          <w:spacing w:val="-2"/>
        </w:rPr>
        <w:t>sentence:</w:t>
      </w:r>
    </w:p>
    <w:p w14:paraId="7E000EF1" w14:textId="77777777" w:rsidR="009A58DB" w:rsidRDefault="00000000">
      <w:pPr>
        <w:pStyle w:val="ListParagraph"/>
        <w:numPr>
          <w:ilvl w:val="0"/>
          <w:numId w:val="172"/>
        </w:numPr>
        <w:tabs>
          <w:tab w:val="left" w:pos="782"/>
        </w:tabs>
        <w:spacing w:before="120" w:line="316" w:lineRule="auto"/>
        <w:ind w:right="2247" w:firstLine="0"/>
        <w:rPr>
          <w:sz w:val="30"/>
        </w:rPr>
      </w:pPr>
      <w:r>
        <w:rPr>
          <w:sz w:val="30"/>
        </w:rPr>
        <w:t>“In</w:t>
      </w:r>
      <w:r>
        <w:rPr>
          <w:spacing w:val="-5"/>
          <w:sz w:val="30"/>
        </w:rPr>
        <w:t xml:space="preserve"> </w:t>
      </w:r>
      <w:r>
        <w:rPr>
          <w:sz w:val="30"/>
        </w:rPr>
        <w:t>New</w:t>
      </w:r>
      <w:r>
        <w:rPr>
          <w:spacing w:val="-6"/>
          <w:sz w:val="30"/>
        </w:rPr>
        <w:t xml:space="preserve"> </w:t>
      </w:r>
      <w:r>
        <w:rPr>
          <w:sz w:val="30"/>
        </w:rPr>
        <w:t>York,</w:t>
      </w:r>
      <w:r>
        <w:rPr>
          <w:spacing w:val="-5"/>
          <w:sz w:val="30"/>
        </w:rPr>
        <w:t xml:space="preserve"> </w:t>
      </w:r>
      <w:r>
        <w:rPr>
          <w:sz w:val="30"/>
        </w:rPr>
        <w:t>someone</w:t>
      </w:r>
      <w:r>
        <w:rPr>
          <w:spacing w:val="-6"/>
          <w:sz w:val="30"/>
        </w:rPr>
        <w:t xml:space="preserve"> </w:t>
      </w:r>
      <w:r>
        <w:rPr>
          <w:sz w:val="30"/>
        </w:rPr>
        <w:t>gets</w:t>
      </w:r>
      <w:r>
        <w:rPr>
          <w:spacing w:val="-6"/>
          <w:sz w:val="30"/>
        </w:rPr>
        <w:t xml:space="preserve"> </w:t>
      </w:r>
      <w:r>
        <w:rPr>
          <w:sz w:val="30"/>
        </w:rPr>
        <w:t>mugged</w:t>
      </w:r>
      <w:r>
        <w:rPr>
          <w:spacing w:val="-5"/>
          <w:sz w:val="30"/>
        </w:rPr>
        <w:t xml:space="preserve"> </w:t>
      </w:r>
      <w:r>
        <w:rPr>
          <w:sz w:val="30"/>
        </w:rPr>
        <w:t>every</w:t>
      </w:r>
      <w:r>
        <w:rPr>
          <w:spacing w:val="-5"/>
          <w:sz w:val="30"/>
        </w:rPr>
        <w:t xml:space="preserve"> </w:t>
      </w:r>
      <w:r>
        <w:rPr>
          <w:sz w:val="30"/>
        </w:rPr>
        <w:t>five</w:t>
      </w:r>
      <w:r>
        <w:rPr>
          <w:spacing w:val="-6"/>
          <w:sz w:val="30"/>
        </w:rPr>
        <w:t xml:space="preserve"> </w:t>
      </w:r>
      <w:r>
        <w:rPr>
          <w:sz w:val="30"/>
        </w:rPr>
        <w:t>minutes.” This is ambiguous</w:t>
      </w:r>
      <w:bookmarkStart w:id="198" w:name="_bookmark198"/>
      <w:bookmarkEnd w:id="198"/>
      <w:r>
        <w:rPr>
          <w:sz w:val="30"/>
        </w:rPr>
        <w:t>.</w:t>
      </w:r>
      <w:r>
        <w:rPr>
          <w:color w:val="0562C1"/>
          <w:position w:val="10"/>
          <w:sz w:val="30"/>
          <w:u w:val="single" w:color="0562C1"/>
        </w:rPr>
        <w:t>12</w:t>
      </w:r>
      <w:r>
        <w:rPr>
          <w:color w:val="0562C1"/>
          <w:position w:val="10"/>
          <w:sz w:val="30"/>
        </w:rPr>
        <w:t xml:space="preserve"> </w:t>
      </w:r>
      <w:r>
        <w:rPr>
          <w:sz w:val="30"/>
        </w:rPr>
        <w:t>It could mean either:</w:t>
      </w:r>
    </w:p>
    <w:p w14:paraId="7E000EF2" w14:textId="77777777" w:rsidR="009A58DB" w:rsidRDefault="00000000">
      <w:pPr>
        <w:pStyle w:val="ListParagraph"/>
        <w:numPr>
          <w:ilvl w:val="0"/>
          <w:numId w:val="172"/>
        </w:numPr>
        <w:tabs>
          <w:tab w:val="left" w:pos="854"/>
        </w:tabs>
        <w:spacing w:before="10" w:line="249" w:lineRule="auto"/>
        <w:ind w:right="369" w:firstLine="0"/>
        <w:rPr>
          <w:sz w:val="30"/>
        </w:rPr>
      </w:pPr>
      <w:r>
        <w:rPr>
          <w:sz w:val="30"/>
        </w:rPr>
        <w:t>In</w:t>
      </w:r>
      <w:r>
        <w:rPr>
          <w:spacing w:val="40"/>
          <w:sz w:val="30"/>
        </w:rPr>
        <w:t xml:space="preserve"> </w:t>
      </w:r>
      <w:r>
        <w:rPr>
          <w:sz w:val="30"/>
        </w:rPr>
        <w:t>New</w:t>
      </w:r>
      <w:r>
        <w:rPr>
          <w:spacing w:val="40"/>
          <w:sz w:val="30"/>
        </w:rPr>
        <w:t xml:space="preserve"> </w:t>
      </w:r>
      <w:r>
        <w:rPr>
          <w:sz w:val="30"/>
        </w:rPr>
        <w:t>York,</w:t>
      </w:r>
      <w:r>
        <w:rPr>
          <w:spacing w:val="40"/>
          <w:sz w:val="30"/>
        </w:rPr>
        <w:t xml:space="preserve"> </w:t>
      </w:r>
      <w:r>
        <w:rPr>
          <w:i/>
          <w:sz w:val="30"/>
        </w:rPr>
        <w:t>given</w:t>
      </w:r>
      <w:r>
        <w:rPr>
          <w:i/>
          <w:spacing w:val="40"/>
          <w:sz w:val="30"/>
        </w:rPr>
        <w:t xml:space="preserve"> </w:t>
      </w:r>
      <w:r>
        <w:rPr>
          <w:i/>
          <w:sz w:val="30"/>
        </w:rPr>
        <w:t>any</w:t>
      </w:r>
      <w:r>
        <w:rPr>
          <w:i/>
          <w:spacing w:val="40"/>
          <w:sz w:val="30"/>
        </w:rPr>
        <w:t xml:space="preserve"> </w:t>
      </w:r>
      <w:r>
        <w:rPr>
          <w:i/>
          <w:sz w:val="30"/>
        </w:rPr>
        <w:t>given</w:t>
      </w:r>
      <w:r>
        <w:rPr>
          <w:i/>
          <w:spacing w:val="40"/>
          <w:sz w:val="30"/>
        </w:rPr>
        <w:t xml:space="preserve"> </w:t>
      </w:r>
      <w:r>
        <w:rPr>
          <w:i/>
          <w:sz w:val="30"/>
        </w:rPr>
        <w:t>five-minute</w:t>
      </w:r>
      <w:r>
        <w:rPr>
          <w:i/>
          <w:spacing w:val="40"/>
          <w:sz w:val="30"/>
        </w:rPr>
        <w:t xml:space="preserve"> </w:t>
      </w:r>
      <w:r>
        <w:rPr>
          <w:i/>
          <w:sz w:val="30"/>
        </w:rPr>
        <w:t>interval</w:t>
      </w:r>
      <w:r>
        <w:rPr>
          <w:i/>
          <w:spacing w:val="40"/>
          <w:sz w:val="30"/>
        </w:rPr>
        <w:t xml:space="preserve"> </w:t>
      </w:r>
      <w:r>
        <w:rPr>
          <w:i/>
          <w:sz w:val="30"/>
        </w:rPr>
        <w:t>x,</w:t>
      </w:r>
      <w:r>
        <w:rPr>
          <w:i/>
          <w:spacing w:val="40"/>
          <w:sz w:val="30"/>
        </w:rPr>
        <w:t xml:space="preserve"> </w:t>
      </w:r>
      <w:r>
        <w:rPr>
          <w:b/>
          <w:sz w:val="30"/>
        </w:rPr>
        <w:t>there</w:t>
      </w:r>
      <w:r>
        <w:rPr>
          <w:b/>
          <w:spacing w:val="40"/>
          <w:sz w:val="30"/>
        </w:rPr>
        <w:t xml:space="preserve"> </w:t>
      </w:r>
      <w:r>
        <w:rPr>
          <w:b/>
          <w:sz w:val="30"/>
        </w:rPr>
        <w:t>is</w:t>
      </w:r>
      <w:r>
        <w:rPr>
          <w:b/>
          <w:spacing w:val="40"/>
          <w:sz w:val="30"/>
        </w:rPr>
        <w:t xml:space="preserve"> </w:t>
      </w:r>
      <w:r>
        <w:rPr>
          <w:b/>
          <w:sz w:val="30"/>
        </w:rPr>
        <w:t>some</w:t>
      </w:r>
      <w:r>
        <w:rPr>
          <w:b/>
          <w:spacing w:val="80"/>
          <w:sz w:val="30"/>
        </w:rPr>
        <w:t xml:space="preserve"> </w:t>
      </w:r>
      <w:r>
        <w:rPr>
          <w:b/>
          <w:sz w:val="30"/>
        </w:rPr>
        <w:t xml:space="preserve">individual y, </w:t>
      </w:r>
      <w:r>
        <w:rPr>
          <w:sz w:val="30"/>
        </w:rPr>
        <w:t>such that y gets mugged during x.</w:t>
      </w:r>
    </w:p>
    <w:p w14:paraId="7E000EF3" w14:textId="77777777" w:rsidR="009A58DB" w:rsidRDefault="00000000">
      <w:pPr>
        <w:pStyle w:val="BodyText"/>
        <w:spacing w:before="107"/>
        <w:jc w:val="left"/>
      </w:pPr>
      <w:r>
        <w:rPr>
          <w:spacing w:val="-5"/>
        </w:rPr>
        <w:t>or</w:t>
      </w:r>
    </w:p>
    <w:p w14:paraId="7E000EF4" w14:textId="77777777" w:rsidR="009A58DB" w:rsidRDefault="00000000">
      <w:pPr>
        <w:pStyle w:val="ListParagraph"/>
        <w:numPr>
          <w:ilvl w:val="0"/>
          <w:numId w:val="172"/>
        </w:numPr>
        <w:tabs>
          <w:tab w:val="left" w:pos="790"/>
        </w:tabs>
        <w:spacing w:before="105" w:line="249" w:lineRule="auto"/>
        <w:ind w:right="372" w:firstLine="0"/>
        <w:rPr>
          <w:sz w:val="30"/>
        </w:rPr>
      </w:pPr>
      <w:r>
        <w:rPr>
          <w:sz w:val="30"/>
        </w:rPr>
        <w:t xml:space="preserve">In New York, </w:t>
      </w:r>
      <w:r>
        <w:rPr>
          <w:b/>
          <w:sz w:val="30"/>
        </w:rPr>
        <w:t xml:space="preserve">there is some individual y </w:t>
      </w:r>
      <w:r>
        <w:rPr>
          <w:sz w:val="30"/>
        </w:rPr>
        <w:t xml:space="preserve">such that, </w:t>
      </w:r>
      <w:r>
        <w:rPr>
          <w:i/>
          <w:sz w:val="30"/>
        </w:rPr>
        <w:t xml:space="preserve">given any given five-minute interval x, </w:t>
      </w:r>
      <w:r>
        <w:rPr>
          <w:sz w:val="30"/>
        </w:rPr>
        <w:t>y gets mugged during x.</w:t>
      </w:r>
    </w:p>
    <w:p w14:paraId="7E000EF5" w14:textId="77777777" w:rsidR="009A58DB" w:rsidRDefault="00000000">
      <w:pPr>
        <w:pStyle w:val="ListParagraph"/>
        <w:numPr>
          <w:ilvl w:val="0"/>
          <w:numId w:val="171"/>
        </w:numPr>
        <w:tabs>
          <w:tab w:val="left" w:pos="823"/>
        </w:tabs>
        <w:spacing w:before="108"/>
        <w:ind w:left="823" w:hanging="463"/>
        <w:rPr>
          <w:sz w:val="30"/>
        </w:rPr>
      </w:pPr>
      <w:r>
        <w:rPr>
          <w:sz w:val="30"/>
        </w:rPr>
        <w:t>says</w:t>
      </w:r>
      <w:r>
        <w:rPr>
          <w:spacing w:val="37"/>
          <w:sz w:val="30"/>
        </w:rPr>
        <w:t xml:space="preserve"> </w:t>
      </w:r>
      <w:r>
        <w:rPr>
          <w:sz w:val="30"/>
        </w:rPr>
        <w:t>that,</w:t>
      </w:r>
      <w:r>
        <w:rPr>
          <w:spacing w:val="38"/>
          <w:sz w:val="30"/>
        </w:rPr>
        <w:t xml:space="preserve"> </w:t>
      </w:r>
      <w:r>
        <w:rPr>
          <w:sz w:val="30"/>
        </w:rPr>
        <w:t>in</w:t>
      </w:r>
      <w:r>
        <w:rPr>
          <w:spacing w:val="37"/>
          <w:sz w:val="30"/>
        </w:rPr>
        <w:t xml:space="preserve"> </w:t>
      </w:r>
      <w:r>
        <w:rPr>
          <w:sz w:val="30"/>
        </w:rPr>
        <w:t>New</w:t>
      </w:r>
      <w:r>
        <w:rPr>
          <w:spacing w:val="38"/>
          <w:sz w:val="30"/>
        </w:rPr>
        <w:t xml:space="preserve"> </w:t>
      </w:r>
      <w:r>
        <w:rPr>
          <w:sz w:val="30"/>
        </w:rPr>
        <w:t>York,</w:t>
      </w:r>
      <w:r>
        <w:rPr>
          <w:spacing w:val="37"/>
          <w:sz w:val="30"/>
        </w:rPr>
        <w:t xml:space="preserve"> </w:t>
      </w:r>
      <w:r>
        <w:rPr>
          <w:sz w:val="30"/>
        </w:rPr>
        <w:t>no</w:t>
      </w:r>
      <w:r>
        <w:rPr>
          <w:spacing w:val="38"/>
          <w:sz w:val="30"/>
        </w:rPr>
        <w:t xml:space="preserve"> </w:t>
      </w:r>
      <w:r>
        <w:rPr>
          <w:sz w:val="30"/>
        </w:rPr>
        <w:t>five-minute</w:t>
      </w:r>
      <w:r>
        <w:rPr>
          <w:spacing w:val="38"/>
          <w:sz w:val="30"/>
        </w:rPr>
        <w:t xml:space="preserve"> </w:t>
      </w:r>
      <w:r>
        <w:rPr>
          <w:sz w:val="30"/>
        </w:rPr>
        <w:t>interval</w:t>
      </w:r>
      <w:r>
        <w:rPr>
          <w:spacing w:val="37"/>
          <w:sz w:val="30"/>
        </w:rPr>
        <w:t xml:space="preserve"> </w:t>
      </w:r>
      <w:r>
        <w:rPr>
          <w:sz w:val="30"/>
        </w:rPr>
        <w:t>is</w:t>
      </w:r>
      <w:r>
        <w:rPr>
          <w:spacing w:val="38"/>
          <w:sz w:val="30"/>
        </w:rPr>
        <w:t xml:space="preserve"> </w:t>
      </w:r>
      <w:r>
        <w:rPr>
          <w:sz w:val="30"/>
        </w:rPr>
        <w:t>free</w:t>
      </w:r>
      <w:r>
        <w:rPr>
          <w:spacing w:val="37"/>
          <w:sz w:val="30"/>
        </w:rPr>
        <w:t xml:space="preserve"> </w:t>
      </w:r>
      <w:r>
        <w:rPr>
          <w:sz w:val="30"/>
        </w:rPr>
        <w:t>of</w:t>
      </w:r>
      <w:r>
        <w:rPr>
          <w:spacing w:val="38"/>
          <w:sz w:val="30"/>
        </w:rPr>
        <w:t xml:space="preserve"> </w:t>
      </w:r>
      <w:r>
        <w:rPr>
          <w:sz w:val="30"/>
        </w:rPr>
        <w:t>muggings.</w:t>
      </w:r>
      <w:r>
        <w:rPr>
          <w:spacing w:val="38"/>
          <w:sz w:val="30"/>
        </w:rPr>
        <w:t xml:space="preserve"> </w:t>
      </w:r>
      <w:r>
        <w:rPr>
          <w:spacing w:val="-5"/>
          <w:sz w:val="30"/>
        </w:rPr>
        <w:t>It</w:t>
      </w:r>
    </w:p>
    <w:p w14:paraId="7E000EF6"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0EF7" w14:textId="77777777" w:rsidR="009A58DB" w:rsidRDefault="00000000">
      <w:pPr>
        <w:pStyle w:val="BodyText"/>
        <w:spacing w:before="66" w:line="249" w:lineRule="auto"/>
        <w:ind w:right="371"/>
      </w:pPr>
      <w:r>
        <w:lastRenderedPageBreak/>
        <w:t xml:space="preserve">doesn’t say that there is some </w:t>
      </w:r>
      <w:r>
        <w:rPr>
          <w:i/>
        </w:rPr>
        <w:t xml:space="preserve">one </w:t>
      </w:r>
      <w:r>
        <w:t xml:space="preserve">unfortunate individual who gets mugged every five minutes. But that </w:t>
      </w:r>
      <w:r>
        <w:rPr>
          <w:i/>
        </w:rPr>
        <w:t xml:space="preserve">is </w:t>
      </w:r>
      <w:r>
        <w:t>what (3) says.</w:t>
      </w:r>
    </w:p>
    <w:p w14:paraId="7E000EF8" w14:textId="77777777" w:rsidR="009A58DB" w:rsidRDefault="00000000">
      <w:pPr>
        <w:pStyle w:val="BodyText"/>
        <w:spacing w:before="1" w:line="249" w:lineRule="auto"/>
        <w:ind w:right="361" w:firstLine="360"/>
      </w:pPr>
      <w:r>
        <w:t xml:space="preserve">The difference results from the fact that the relevant operators—the boldfaced and underlined expressions—are ordered differently. In (2), the operator “given any five-minute interval x” has </w:t>
      </w:r>
      <w:r>
        <w:rPr>
          <w:b/>
          <w:i/>
        </w:rPr>
        <w:t xml:space="preserve">wide-scope </w:t>
      </w:r>
      <w:r>
        <w:t>with respect to</w:t>
      </w:r>
      <w:r>
        <w:rPr>
          <w:spacing w:val="40"/>
        </w:rPr>
        <w:t xml:space="preserve"> </w:t>
      </w:r>
      <w:r>
        <w:t xml:space="preserve">the operator “there is some individual y” (or, equivalently, the latter operator has </w:t>
      </w:r>
      <w:r>
        <w:rPr>
          <w:b/>
          <w:i/>
        </w:rPr>
        <w:t xml:space="preserve">narrow scope </w:t>
      </w:r>
      <w:r>
        <w:t>with respect to the former), whereas in (3) it’s the other way around.</w:t>
      </w:r>
    </w:p>
    <w:p w14:paraId="7E000EF9" w14:textId="77777777" w:rsidR="009A58DB" w:rsidRDefault="00000000">
      <w:pPr>
        <w:pStyle w:val="ListParagraph"/>
        <w:numPr>
          <w:ilvl w:val="1"/>
          <w:numId w:val="171"/>
        </w:numPr>
        <w:tabs>
          <w:tab w:val="left" w:pos="1194"/>
        </w:tabs>
        <w:spacing w:before="7" w:line="249" w:lineRule="auto"/>
        <w:ind w:right="362" w:firstLine="360"/>
        <w:jc w:val="both"/>
        <w:rPr>
          <w:sz w:val="30"/>
        </w:rPr>
      </w:pPr>
      <w:r>
        <w:rPr>
          <w:sz w:val="30"/>
        </w:rPr>
        <w:t>isn’t ambiguous for the same reason as “Jim is dumb” or “Sally is going to bank.” Those sentences are ambiguous because the words “dumb” and “bank” are ambiguous. By contrast, none of the expressions occurring in</w:t>
      </w:r>
    </w:p>
    <w:p w14:paraId="7E000EFA" w14:textId="77777777" w:rsidR="009A58DB" w:rsidRDefault="00000000">
      <w:pPr>
        <w:pStyle w:val="BodyText"/>
        <w:spacing w:before="4" w:line="249" w:lineRule="auto"/>
        <w:ind w:right="359"/>
      </w:pPr>
      <w:r>
        <w:t xml:space="preserve">(1) is ambiguous. (1) is </w:t>
      </w:r>
      <w:r>
        <w:rPr>
          <w:i/>
        </w:rPr>
        <w:t xml:space="preserve">syntactically </w:t>
      </w:r>
      <w:r>
        <w:t>ambiguous. It has multiple meanings because it stands for two distinct syntactic arrangements of expressions that are themselves unambiguous.</w:t>
      </w:r>
    </w:p>
    <w:p w14:paraId="7E000EFB" w14:textId="77777777" w:rsidR="009A58DB" w:rsidRDefault="00000000">
      <w:pPr>
        <w:pStyle w:val="BodyText"/>
        <w:spacing w:before="4"/>
        <w:ind w:left="720"/>
      </w:pPr>
      <w:r>
        <w:t>The</w:t>
      </w:r>
      <w:r>
        <w:rPr>
          <w:spacing w:val="-7"/>
        </w:rPr>
        <w:t xml:space="preserve"> </w:t>
      </w:r>
      <w:r>
        <w:t>stock</w:t>
      </w:r>
      <w:r>
        <w:rPr>
          <w:spacing w:val="-3"/>
        </w:rPr>
        <w:t xml:space="preserve"> </w:t>
      </w:r>
      <w:r>
        <w:t>example</w:t>
      </w:r>
      <w:r>
        <w:rPr>
          <w:spacing w:val="-4"/>
        </w:rPr>
        <w:t xml:space="preserve"> </w:t>
      </w:r>
      <w:r>
        <w:t>of</w:t>
      </w:r>
      <w:r>
        <w:rPr>
          <w:spacing w:val="-4"/>
        </w:rPr>
        <w:t xml:space="preserve"> </w:t>
      </w:r>
      <w:r>
        <w:t>syntactic</w:t>
      </w:r>
      <w:r>
        <w:rPr>
          <w:spacing w:val="-4"/>
        </w:rPr>
        <w:t xml:space="preserve"> </w:t>
      </w:r>
      <w:r>
        <w:t>ambiguity</w:t>
      </w:r>
      <w:r>
        <w:rPr>
          <w:spacing w:val="-3"/>
        </w:rPr>
        <w:t xml:space="preserve"> </w:t>
      </w:r>
      <w:r>
        <w:rPr>
          <w:spacing w:val="-5"/>
        </w:rPr>
        <w:t>is:</w:t>
      </w:r>
    </w:p>
    <w:p w14:paraId="7E000EFC" w14:textId="77777777" w:rsidR="009A58DB" w:rsidRDefault="00000000">
      <w:pPr>
        <w:pStyle w:val="ListParagraph"/>
        <w:numPr>
          <w:ilvl w:val="0"/>
          <w:numId w:val="172"/>
        </w:numPr>
        <w:tabs>
          <w:tab w:val="left" w:pos="782"/>
        </w:tabs>
        <w:spacing w:before="120" w:line="312" w:lineRule="auto"/>
        <w:ind w:right="6003" w:firstLine="0"/>
        <w:rPr>
          <w:sz w:val="30"/>
        </w:rPr>
      </w:pPr>
      <w:r>
        <w:rPr>
          <w:sz w:val="30"/>
        </w:rPr>
        <w:t>“everyone</w:t>
      </w:r>
      <w:r>
        <w:rPr>
          <w:spacing w:val="-18"/>
          <w:sz w:val="30"/>
        </w:rPr>
        <w:t xml:space="preserve"> </w:t>
      </w:r>
      <w:r>
        <w:rPr>
          <w:sz w:val="30"/>
        </w:rPr>
        <w:t>loves</w:t>
      </w:r>
      <w:r>
        <w:rPr>
          <w:spacing w:val="-18"/>
          <w:sz w:val="30"/>
        </w:rPr>
        <w:t xml:space="preserve"> </w:t>
      </w:r>
      <w:r>
        <w:rPr>
          <w:sz w:val="30"/>
        </w:rPr>
        <w:t>someone,” which could mean either</w:t>
      </w:r>
    </w:p>
    <w:p w14:paraId="7E000EFD" w14:textId="77777777" w:rsidR="009A58DB" w:rsidRDefault="00000000">
      <w:pPr>
        <w:pStyle w:val="ListParagraph"/>
        <w:numPr>
          <w:ilvl w:val="0"/>
          <w:numId w:val="172"/>
        </w:numPr>
        <w:tabs>
          <w:tab w:val="left" w:pos="782"/>
        </w:tabs>
        <w:spacing w:before="18" w:line="324" w:lineRule="auto"/>
        <w:ind w:right="1729" w:firstLine="0"/>
        <w:rPr>
          <w:sz w:val="30"/>
        </w:rPr>
      </w:pPr>
      <w:r>
        <w:rPr>
          <w:sz w:val="30"/>
        </w:rPr>
        <w:t>given</w:t>
      </w:r>
      <w:r>
        <w:rPr>
          <w:spacing w:val="-3"/>
          <w:sz w:val="30"/>
        </w:rPr>
        <w:t xml:space="preserve"> </w:t>
      </w:r>
      <w:r>
        <w:rPr>
          <w:sz w:val="30"/>
        </w:rPr>
        <w:t>any</w:t>
      </w:r>
      <w:r>
        <w:rPr>
          <w:spacing w:val="-3"/>
          <w:sz w:val="30"/>
        </w:rPr>
        <w:t xml:space="preserve"> </w:t>
      </w:r>
      <w:r>
        <w:rPr>
          <w:sz w:val="30"/>
        </w:rPr>
        <w:t>person</w:t>
      </w:r>
      <w:r>
        <w:rPr>
          <w:spacing w:val="-3"/>
          <w:sz w:val="30"/>
        </w:rPr>
        <w:t xml:space="preserve"> </w:t>
      </w:r>
      <w:r>
        <w:rPr>
          <w:sz w:val="30"/>
        </w:rPr>
        <w:t>x,</w:t>
      </w:r>
      <w:r>
        <w:rPr>
          <w:spacing w:val="-3"/>
          <w:sz w:val="30"/>
        </w:rPr>
        <w:t xml:space="preserve"> </w:t>
      </w:r>
      <w:r>
        <w:rPr>
          <w:sz w:val="30"/>
        </w:rPr>
        <w:t>there</w:t>
      </w:r>
      <w:r>
        <w:rPr>
          <w:spacing w:val="-4"/>
          <w:sz w:val="30"/>
        </w:rPr>
        <w:t xml:space="preserve"> </w:t>
      </w:r>
      <w:r>
        <w:rPr>
          <w:sz w:val="30"/>
        </w:rPr>
        <w:t>is</w:t>
      </w:r>
      <w:r>
        <w:rPr>
          <w:spacing w:val="-4"/>
          <w:sz w:val="30"/>
        </w:rPr>
        <w:t xml:space="preserve"> </w:t>
      </w:r>
      <w:r>
        <w:rPr>
          <w:sz w:val="30"/>
        </w:rPr>
        <w:t>some</w:t>
      </w:r>
      <w:r>
        <w:rPr>
          <w:spacing w:val="-4"/>
          <w:sz w:val="30"/>
        </w:rPr>
        <w:t xml:space="preserve"> </w:t>
      </w:r>
      <w:r>
        <w:rPr>
          <w:sz w:val="30"/>
        </w:rPr>
        <w:t>person</w:t>
      </w:r>
      <w:r>
        <w:rPr>
          <w:spacing w:val="-3"/>
          <w:sz w:val="30"/>
        </w:rPr>
        <w:t xml:space="preserve"> </w:t>
      </w:r>
      <w:r>
        <w:rPr>
          <w:sz w:val="30"/>
        </w:rPr>
        <w:t>y,</w:t>
      </w:r>
      <w:r>
        <w:rPr>
          <w:spacing w:val="-3"/>
          <w:sz w:val="30"/>
        </w:rPr>
        <w:t xml:space="preserve"> </w:t>
      </w:r>
      <w:r>
        <w:rPr>
          <w:sz w:val="30"/>
        </w:rPr>
        <w:t>such</w:t>
      </w:r>
      <w:r>
        <w:rPr>
          <w:spacing w:val="-3"/>
          <w:sz w:val="30"/>
        </w:rPr>
        <w:t xml:space="preserve"> </w:t>
      </w:r>
      <w:r>
        <w:rPr>
          <w:sz w:val="30"/>
        </w:rPr>
        <w:t>that</w:t>
      </w:r>
      <w:r>
        <w:rPr>
          <w:spacing w:val="-4"/>
          <w:sz w:val="30"/>
        </w:rPr>
        <w:t xml:space="preserve"> </w:t>
      </w:r>
      <w:r>
        <w:rPr>
          <w:sz w:val="30"/>
        </w:rPr>
        <w:t>x</w:t>
      </w:r>
      <w:r>
        <w:rPr>
          <w:spacing w:val="-3"/>
          <w:sz w:val="30"/>
        </w:rPr>
        <w:t xml:space="preserve"> </w:t>
      </w:r>
      <w:r>
        <w:rPr>
          <w:sz w:val="30"/>
        </w:rPr>
        <w:t>loves</w:t>
      </w:r>
      <w:r>
        <w:rPr>
          <w:spacing w:val="-4"/>
          <w:sz w:val="30"/>
        </w:rPr>
        <w:t xml:space="preserve"> </w:t>
      </w:r>
      <w:r>
        <w:rPr>
          <w:sz w:val="30"/>
        </w:rPr>
        <w:t xml:space="preserve">y, </w:t>
      </w:r>
      <w:r>
        <w:rPr>
          <w:spacing w:val="-6"/>
          <w:sz w:val="30"/>
        </w:rPr>
        <w:t>or</w:t>
      </w:r>
    </w:p>
    <w:p w14:paraId="7E000EFE" w14:textId="77777777" w:rsidR="009A58DB" w:rsidRDefault="00000000">
      <w:pPr>
        <w:pStyle w:val="ListParagraph"/>
        <w:numPr>
          <w:ilvl w:val="0"/>
          <w:numId w:val="172"/>
        </w:numPr>
        <w:tabs>
          <w:tab w:val="left" w:pos="782"/>
        </w:tabs>
        <w:spacing w:line="329" w:lineRule="exact"/>
        <w:ind w:left="782" w:hanging="422"/>
        <w:rPr>
          <w:sz w:val="30"/>
        </w:rPr>
      </w:pPr>
      <w:r>
        <w:rPr>
          <w:sz w:val="30"/>
        </w:rPr>
        <w:t>there</w:t>
      </w:r>
      <w:r>
        <w:rPr>
          <w:spacing w:val="-3"/>
          <w:sz w:val="30"/>
        </w:rPr>
        <w:t xml:space="preserve"> </w:t>
      </w:r>
      <w:r>
        <w:rPr>
          <w:sz w:val="30"/>
        </w:rPr>
        <w:t>is</w:t>
      </w:r>
      <w:r>
        <w:rPr>
          <w:spacing w:val="-3"/>
          <w:sz w:val="30"/>
        </w:rPr>
        <w:t xml:space="preserve"> </w:t>
      </w:r>
      <w:r>
        <w:rPr>
          <w:sz w:val="30"/>
        </w:rPr>
        <w:t>some</w:t>
      </w:r>
      <w:r>
        <w:rPr>
          <w:spacing w:val="-2"/>
          <w:sz w:val="30"/>
        </w:rPr>
        <w:t xml:space="preserve"> </w:t>
      </w:r>
      <w:r>
        <w:rPr>
          <w:sz w:val="30"/>
        </w:rPr>
        <w:t>person</w:t>
      </w:r>
      <w:r>
        <w:rPr>
          <w:spacing w:val="-2"/>
          <w:sz w:val="30"/>
        </w:rPr>
        <w:t xml:space="preserve"> </w:t>
      </w:r>
      <w:r>
        <w:rPr>
          <w:sz w:val="30"/>
        </w:rPr>
        <w:t>y,</w:t>
      </w:r>
      <w:r>
        <w:rPr>
          <w:spacing w:val="-2"/>
          <w:sz w:val="30"/>
        </w:rPr>
        <w:t xml:space="preserve"> </w:t>
      </w:r>
      <w:r>
        <w:rPr>
          <w:sz w:val="30"/>
        </w:rPr>
        <w:t>such</w:t>
      </w:r>
      <w:r>
        <w:rPr>
          <w:spacing w:val="-1"/>
          <w:sz w:val="30"/>
        </w:rPr>
        <w:t xml:space="preserve"> </w:t>
      </w:r>
      <w:r>
        <w:rPr>
          <w:sz w:val="30"/>
        </w:rPr>
        <w:t>that</w:t>
      </w:r>
      <w:r>
        <w:rPr>
          <w:spacing w:val="-3"/>
          <w:sz w:val="30"/>
        </w:rPr>
        <w:t xml:space="preserve"> </w:t>
      </w:r>
      <w:r>
        <w:rPr>
          <w:sz w:val="30"/>
        </w:rPr>
        <w:t>given</w:t>
      </w:r>
      <w:r>
        <w:rPr>
          <w:spacing w:val="-1"/>
          <w:sz w:val="30"/>
        </w:rPr>
        <w:t xml:space="preserve"> </w:t>
      </w:r>
      <w:r>
        <w:rPr>
          <w:sz w:val="30"/>
        </w:rPr>
        <w:t>any</w:t>
      </w:r>
      <w:r>
        <w:rPr>
          <w:spacing w:val="-2"/>
          <w:sz w:val="30"/>
        </w:rPr>
        <w:t xml:space="preserve"> </w:t>
      </w:r>
      <w:r>
        <w:rPr>
          <w:sz w:val="30"/>
        </w:rPr>
        <w:t>person</w:t>
      </w:r>
      <w:r>
        <w:rPr>
          <w:spacing w:val="-2"/>
          <w:sz w:val="30"/>
        </w:rPr>
        <w:t xml:space="preserve"> </w:t>
      </w:r>
      <w:r>
        <w:rPr>
          <w:sz w:val="30"/>
        </w:rPr>
        <w:t>x,</w:t>
      </w:r>
      <w:r>
        <w:rPr>
          <w:spacing w:val="-1"/>
          <w:sz w:val="30"/>
        </w:rPr>
        <w:t xml:space="preserve"> </w:t>
      </w:r>
      <w:r>
        <w:rPr>
          <w:sz w:val="30"/>
        </w:rPr>
        <w:t>x</w:t>
      </w:r>
      <w:r>
        <w:rPr>
          <w:spacing w:val="-2"/>
          <w:sz w:val="30"/>
        </w:rPr>
        <w:t xml:space="preserve"> </w:t>
      </w:r>
      <w:r>
        <w:rPr>
          <w:sz w:val="30"/>
        </w:rPr>
        <w:t>loves</w:t>
      </w:r>
      <w:r>
        <w:rPr>
          <w:spacing w:val="-2"/>
          <w:sz w:val="30"/>
        </w:rPr>
        <w:t xml:space="preserve"> </w:t>
      </w:r>
      <w:r>
        <w:rPr>
          <w:spacing w:val="-5"/>
          <w:sz w:val="30"/>
        </w:rPr>
        <w:t>y.</w:t>
      </w:r>
    </w:p>
    <w:p w14:paraId="7E000EFF" w14:textId="77777777" w:rsidR="009A58DB" w:rsidRDefault="00000000">
      <w:pPr>
        <w:pStyle w:val="ListParagraph"/>
        <w:numPr>
          <w:ilvl w:val="0"/>
          <w:numId w:val="170"/>
        </w:numPr>
        <w:tabs>
          <w:tab w:val="left" w:pos="815"/>
        </w:tabs>
        <w:spacing w:before="120" w:line="249" w:lineRule="auto"/>
        <w:ind w:right="359" w:firstLine="0"/>
        <w:rPr>
          <w:sz w:val="30"/>
        </w:rPr>
      </w:pPr>
      <w:r>
        <w:rPr>
          <w:sz w:val="30"/>
        </w:rPr>
        <w:t>says</w:t>
      </w:r>
      <w:r>
        <w:rPr>
          <w:spacing w:val="30"/>
          <w:sz w:val="30"/>
        </w:rPr>
        <w:t xml:space="preserve"> </w:t>
      </w:r>
      <w:r>
        <w:rPr>
          <w:sz w:val="30"/>
        </w:rPr>
        <w:t>that</w:t>
      </w:r>
      <w:r>
        <w:rPr>
          <w:spacing w:val="30"/>
          <w:sz w:val="30"/>
        </w:rPr>
        <w:t xml:space="preserve"> </w:t>
      </w:r>
      <w:r>
        <w:rPr>
          <w:sz w:val="30"/>
        </w:rPr>
        <w:t>no</w:t>
      </w:r>
      <w:r>
        <w:rPr>
          <w:spacing w:val="30"/>
          <w:sz w:val="30"/>
        </w:rPr>
        <w:t xml:space="preserve"> </w:t>
      </w:r>
      <w:r>
        <w:rPr>
          <w:sz w:val="30"/>
        </w:rPr>
        <w:t>person</w:t>
      </w:r>
      <w:r>
        <w:rPr>
          <w:spacing w:val="30"/>
          <w:sz w:val="30"/>
        </w:rPr>
        <w:t xml:space="preserve"> </w:t>
      </w:r>
      <w:r>
        <w:rPr>
          <w:sz w:val="30"/>
        </w:rPr>
        <w:t>is</w:t>
      </w:r>
      <w:r>
        <w:rPr>
          <w:spacing w:val="30"/>
          <w:sz w:val="30"/>
        </w:rPr>
        <w:t xml:space="preserve"> </w:t>
      </w:r>
      <w:r>
        <w:rPr>
          <w:sz w:val="30"/>
        </w:rPr>
        <w:t>without</w:t>
      </w:r>
      <w:r>
        <w:rPr>
          <w:spacing w:val="30"/>
          <w:sz w:val="30"/>
        </w:rPr>
        <w:t xml:space="preserve"> </w:t>
      </w:r>
      <w:r>
        <w:rPr>
          <w:sz w:val="30"/>
        </w:rPr>
        <w:t>love</w:t>
      </w:r>
      <w:r>
        <w:rPr>
          <w:spacing w:val="30"/>
          <w:sz w:val="30"/>
        </w:rPr>
        <w:t xml:space="preserve"> </w:t>
      </w:r>
      <w:r>
        <w:rPr>
          <w:sz w:val="30"/>
        </w:rPr>
        <w:t>for</w:t>
      </w:r>
      <w:r>
        <w:rPr>
          <w:spacing w:val="30"/>
          <w:sz w:val="30"/>
        </w:rPr>
        <w:t xml:space="preserve"> </w:t>
      </w:r>
      <w:r>
        <w:rPr>
          <w:sz w:val="30"/>
        </w:rPr>
        <w:t>some</w:t>
      </w:r>
      <w:r>
        <w:rPr>
          <w:spacing w:val="30"/>
          <w:sz w:val="30"/>
        </w:rPr>
        <w:t xml:space="preserve"> </w:t>
      </w:r>
      <w:r>
        <w:rPr>
          <w:sz w:val="30"/>
        </w:rPr>
        <w:t>person</w:t>
      </w:r>
      <w:r>
        <w:rPr>
          <w:spacing w:val="30"/>
          <w:sz w:val="30"/>
        </w:rPr>
        <w:t xml:space="preserve"> </w:t>
      </w:r>
      <w:r>
        <w:rPr>
          <w:sz w:val="30"/>
        </w:rPr>
        <w:t>or</w:t>
      </w:r>
      <w:r>
        <w:rPr>
          <w:spacing w:val="30"/>
          <w:sz w:val="30"/>
        </w:rPr>
        <w:t xml:space="preserve"> </w:t>
      </w:r>
      <w:r>
        <w:rPr>
          <w:sz w:val="30"/>
        </w:rPr>
        <w:t>other.</w:t>
      </w:r>
      <w:r>
        <w:rPr>
          <w:spacing w:val="30"/>
          <w:sz w:val="30"/>
        </w:rPr>
        <w:t xml:space="preserve"> </w:t>
      </w:r>
      <w:r>
        <w:rPr>
          <w:sz w:val="30"/>
        </w:rPr>
        <w:t>It</w:t>
      </w:r>
      <w:r>
        <w:rPr>
          <w:spacing w:val="30"/>
          <w:sz w:val="30"/>
        </w:rPr>
        <w:t xml:space="preserve"> </w:t>
      </w:r>
      <w:r>
        <w:rPr>
          <w:sz w:val="30"/>
        </w:rPr>
        <w:t>doesn’t say</w:t>
      </w:r>
      <w:r>
        <w:rPr>
          <w:spacing w:val="-2"/>
          <w:sz w:val="30"/>
        </w:rPr>
        <w:t xml:space="preserve"> </w:t>
      </w:r>
      <w:r>
        <w:rPr>
          <w:sz w:val="30"/>
        </w:rPr>
        <w:t>that</w:t>
      </w:r>
      <w:r>
        <w:rPr>
          <w:spacing w:val="-3"/>
          <w:sz w:val="30"/>
        </w:rPr>
        <w:t xml:space="preserve"> </w:t>
      </w:r>
      <w:r>
        <w:rPr>
          <w:sz w:val="30"/>
        </w:rPr>
        <w:t>some</w:t>
      </w:r>
      <w:r>
        <w:rPr>
          <w:spacing w:val="-2"/>
          <w:sz w:val="30"/>
        </w:rPr>
        <w:t xml:space="preserve"> </w:t>
      </w:r>
      <w:r>
        <w:rPr>
          <w:i/>
          <w:sz w:val="30"/>
        </w:rPr>
        <w:t>one</w:t>
      </w:r>
      <w:r>
        <w:rPr>
          <w:i/>
          <w:spacing w:val="-3"/>
          <w:sz w:val="30"/>
        </w:rPr>
        <w:t xml:space="preserve"> </w:t>
      </w:r>
      <w:r>
        <w:rPr>
          <w:sz w:val="30"/>
        </w:rPr>
        <w:t>person</w:t>
      </w:r>
      <w:r>
        <w:rPr>
          <w:spacing w:val="-1"/>
          <w:sz w:val="30"/>
        </w:rPr>
        <w:t xml:space="preserve"> </w:t>
      </w:r>
      <w:r>
        <w:rPr>
          <w:sz w:val="30"/>
        </w:rPr>
        <w:t>is</w:t>
      </w:r>
      <w:r>
        <w:rPr>
          <w:spacing w:val="-1"/>
          <w:sz w:val="30"/>
        </w:rPr>
        <w:t xml:space="preserve"> </w:t>
      </w:r>
      <w:r>
        <w:rPr>
          <w:sz w:val="30"/>
        </w:rPr>
        <w:t>the</w:t>
      </w:r>
      <w:r>
        <w:rPr>
          <w:spacing w:val="-1"/>
          <w:sz w:val="30"/>
        </w:rPr>
        <w:t xml:space="preserve"> </w:t>
      </w:r>
      <w:r>
        <w:rPr>
          <w:sz w:val="30"/>
        </w:rPr>
        <w:t>object</w:t>
      </w:r>
      <w:r>
        <w:rPr>
          <w:spacing w:val="-1"/>
          <w:sz w:val="30"/>
        </w:rPr>
        <w:t xml:space="preserve"> </w:t>
      </w:r>
      <w:r>
        <w:rPr>
          <w:sz w:val="30"/>
        </w:rPr>
        <w:t>of</w:t>
      </w:r>
      <w:r>
        <w:rPr>
          <w:spacing w:val="-1"/>
          <w:sz w:val="30"/>
        </w:rPr>
        <w:t xml:space="preserve"> </w:t>
      </w:r>
      <w:r>
        <w:rPr>
          <w:sz w:val="30"/>
        </w:rPr>
        <w:t>every</w:t>
      </w:r>
      <w:r>
        <w:rPr>
          <w:spacing w:val="-1"/>
          <w:sz w:val="30"/>
        </w:rPr>
        <w:t xml:space="preserve"> </w:t>
      </w:r>
      <w:r>
        <w:rPr>
          <w:sz w:val="30"/>
        </w:rPr>
        <w:t>person’s</w:t>
      </w:r>
      <w:r>
        <w:rPr>
          <w:spacing w:val="-1"/>
          <w:sz w:val="30"/>
        </w:rPr>
        <w:t xml:space="preserve"> </w:t>
      </w:r>
      <w:r>
        <w:rPr>
          <w:sz w:val="30"/>
        </w:rPr>
        <w:t>love.</w:t>
      </w:r>
      <w:r>
        <w:rPr>
          <w:spacing w:val="-1"/>
          <w:sz w:val="30"/>
        </w:rPr>
        <w:t xml:space="preserve"> </w:t>
      </w:r>
      <w:r>
        <w:rPr>
          <w:sz w:val="30"/>
        </w:rPr>
        <w:t>But</w:t>
      </w:r>
      <w:r>
        <w:rPr>
          <w:spacing w:val="-1"/>
          <w:sz w:val="30"/>
        </w:rPr>
        <w:t xml:space="preserve"> </w:t>
      </w:r>
      <w:r>
        <w:rPr>
          <w:sz w:val="30"/>
        </w:rPr>
        <w:t>that</w:t>
      </w:r>
      <w:r>
        <w:rPr>
          <w:spacing w:val="-1"/>
          <w:sz w:val="30"/>
        </w:rPr>
        <w:t xml:space="preserve"> </w:t>
      </w:r>
      <w:r>
        <w:rPr>
          <w:sz w:val="30"/>
        </w:rPr>
        <w:t>is</w:t>
      </w:r>
      <w:r>
        <w:rPr>
          <w:spacing w:val="-1"/>
          <w:sz w:val="30"/>
        </w:rPr>
        <w:t xml:space="preserve"> </w:t>
      </w:r>
      <w:r>
        <w:rPr>
          <w:sz w:val="30"/>
        </w:rPr>
        <w:t>what</w:t>
      </w:r>
    </w:p>
    <w:p w14:paraId="7E000F00" w14:textId="77777777" w:rsidR="009A58DB" w:rsidRDefault="00000000">
      <w:pPr>
        <w:pStyle w:val="ListParagraph"/>
        <w:numPr>
          <w:ilvl w:val="0"/>
          <w:numId w:val="170"/>
        </w:numPr>
        <w:tabs>
          <w:tab w:val="left" w:pos="782"/>
        </w:tabs>
        <w:spacing w:before="2"/>
        <w:ind w:left="782" w:hanging="422"/>
        <w:rPr>
          <w:sz w:val="30"/>
        </w:rPr>
      </w:pPr>
      <w:r>
        <w:rPr>
          <w:spacing w:val="-2"/>
          <w:sz w:val="30"/>
        </w:rPr>
        <w:t>says.</w:t>
      </w:r>
    </w:p>
    <w:p w14:paraId="7E000F01" w14:textId="77777777" w:rsidR="009A58DB" w:rsidRDefault="00000000">
      <w:pPr>
        <w:pStyle w:val="BodyText"/>
        <w:spacing w:before="15" w:line="249" w:lineRule="auto"/>
        <w:ind w:right="359" w:firstLine="360"/>
      </w:pPr>
      <w:r>
        <w:t>Grammatical surface structure makes it unclear how much scope operators actually</w:t>
      </w:r>
      <w:r>
        <w:rPr>
          <w:spacing w:val="-1"/>
        </w:rPr>
        <w:t xml:space="preserve"> </w:t>
      </w:r>
      <w:r>
        <w:t>have.</w:t>
      </w:r>
      <w:r>
        <w:rPr>
          <w:spacing w:val="-1"/>
        </w:rPr>
        <w:t xml:space="preserve"> </w:t>
      </w:r>
      <w:r>
        <w:t>For</w:t>
      </w:r>
      <w:r>
        <w:rPr>
          <w:spacing w:val="-1"/>
        </w:rPr>
        <w:t xml:space="preserve"> </w:t>
      </w:r>
      <w:r>
        <w:t>example,</w:t>
      </w:r>
      <w:r>
        <w:rPr>
          <w:spacing w:val="-1"/>
        </w:rPr>
        <w:t xml:space="preserve"> </w:t>
      </w:r>
      <w:r>
        <w:t>the</w:t>
      </w:r>
      <w:r>
        <w:rPr>
          <w:spacing w:val="-1"/>
        </w:rPr>
        <w:t xml:space="preserve"> </w:t>
      </w:r>
      <w:r>
        <w:t>scope</w:t>
      </w:r>
      <w:r>
        <w:rPr>
          <w:spacing w:val="-1"/>
        </w:rPr>
        <w:t xml:space="preserve"> </w:t>
      </w:r>
      <w:r>
        <w:t>of</w:t>
      </w:r>
      <w:r>
        <w:rPr>
          <w:spacing w:val="-1"/>
        </w:rPr>
        <w:t xml:space="preserve"> </w:t>
      </w:r>
      <w:r>
        <w:t>“because”</w:t>
      </w:r>
      <w:r>
        <w:rPr>
          <w:spacing w:val="-1"/>
        </w:rPr>
        <w:t xml:space="preserve"> </w:t>
      </w:r>
      <w:r>
        <w:t>in</w:t>
      </w:r>
      <w:r>
        <w:rPr>
          <w:spacing w:val="-1"/>
        </w:rPr>
        <w:t xml:space="preserve"> </w:t>
      </w:r>
      <w:r>
        <w:t>“snow</w:t>
      </w:r>
      <w:r>
        <w:rPr>
          <w:spacing w:val="-1"/>
        </w:rPr>
        <w:t xml:space="preserve"> </w:t>
      </w:r>
      <w:r>
        <w:t>is</w:t>
      </w:r>
      <w:r>
        <w:rPr>
          <w:spacing w:val="-1"/>
        </w:rPr>
        <w:t xml:space="preserve"> </w:t>
      </w:r>
      <w:r>
        <w:t>white</w:t>
      </w:r>
      <w:r>
        <w:rPr>
          <w:spacing w:val="-1"/>
        </w:rPr>
        <w:t xml:space="preserve"> </w:t>
      </w:r>
      <w:r>
        <w:t xml:space="preserve">because grass is green” includes </w:t>
      </w:r>
      <w:r>
        <w:rPr>
          <w:i/>
        </w:rPr>
        <w:t xml:space="preserve">both </w:t>
      </w:r>
      <w:r>
        <w:t xml:space="preserve">“snow is white” </w:t>
      </w:r>
      <w:r>
        <w:rPr>
          <w:i/>
        </w:rPr>
        <w:t xml:space="preserve">and </w:t>
      </w:r>
      <w:r>
        <w:t>“grass is green,” even though grammatical surface structure would suggest otherwise. And the</w:t>
      </w:r>
      <w:r>
        <w:rPr>
          <w:spacing w:val="40"/>
        </w:rPr>
        <w:t xml:space="preserve"> </w:t>
      </w:r>
      <w:r>
        <w:t>scope of “not” in “snow is not white” includes “snow is white.” (“Not” = “it is not the case that.” “Snow is not white” = “it is not the case that snow is white.”)</w:t>
      </w:r>
      <w:r>
        <w:rPr>
          <w:spacing w:val="-3"/>
        </w:rPr>
        <w:t xml:space="preserve"> </w:t>
      </w:r>
      <w:r>
        <w:t>There</w:t>
      </w:r>
      <w:r>
        <w:rPr>
          <w:spacing w:val="-3"/>
        </w:rPr>
        <w:t xml:space="preserve"> </w:t>
      </w:r>
      <w:r>
        <w:t>would</w:t>
      </w:r>
      <w:r>
        <w:rPr>
          <w:spacing w:val="-3"/>
        </w:rPr>
        <w:t xml:space="preserve"> </w:t>
      </w:r>
      <w:r>
        <w:t>be</w:t>
      </w:r>
      <w:r>
        <w:rPr>
          <w:spacing w:val="-3"/>
        </w:rPr>
        <w:t xml:space="preserve"> </w:t>
      </w:r>
      <w:r>
        <w:t>no</w:t>
      </w:r>
      <w:r>
        <w:rPr>
          <w:spacing w:val="-3"/>
        </w:rPr>
        <w:t xml:space="preserve"> </w:t>
      </w:r>
      <w:r>
        <w:t>syntactically</w:t>
      </w:r>
      <w:r>
        <w:rPr>
          <w:spacing w:val="-3"/>
        </w:rPr>
        <w:t xml:space="preserve"> </w:t>
      </w:r>
      <w:r>
        <w:t>ambiguous</w:t>
      </w:r>
      <w:r>
        <w:rPr>
          <w:spacing w:val="-3"/>
        </w:rPr>
        <w:t xml:space="preserve"> </w:t>
      </w:r>
      <w:r>
        <w:t>sentences</w:t>
      </w:r>
      <w:r>
        <w:rPr>
          <w:spacing w:val="-3"/>
        </w:rPr>
        <w:t xml:space="preserve"> </w:t>
      </w:r>
      <w:r>
        <w:t>if</w:t>
      </w:r>
      <w:r>
        <w:rPr>
          <w:spacing w:val="-3"/>
        </w:rPr>
        <w:t xml:space="preserve"> </w:t>
      </w:r>
      <w:r>
        <w:t>grammatical surface-structure didn’t fall short in this respect.</w:t>
      </w:r>
    </w:p>
    <w:p w14:paraId="7E000F02" w14:textId="77777777" w:rsidR="009A58DB" w:rsidRDefault="00000000">
      <w:pPr>
        <w:pStyle w:val="BodyText"/>
        <w:spacing w:before="10" w:line="249" w:lineRule="auto"/>
        <w:ind w:right="367" w:firstLine="360"/>
      </w:pPr>
      <w:r>
        <w:t>The fact that D-sentences are syntactically ambiguous can be understood in terms of these facts. The sentence:</w:t>
      </w:r>
    </w:p>
    <w:p w14:paraId="7E000F03" w14:textId="77777777" w:rsidR="009A58DB" w:rsidRDefault="00000000">
      <w:pPr>
        <w:pStyle w:val="ListParagraph"/>
        <w:numPr>
          <w:ilvl w:val="1"/>
          <w:numId w:val="170"/>
        </w:numPr>
        <w:tabs>
          <w:tab w:val="left" w:pos="733"/>
        </w:tabs>
        <w:spacing w:before="108"/>
        <w:ind w:left="733" w:hanging="373"/>
        <w:jc w:val="both"/>
        <w:rPr>
          <w:sz w:val="30"/>
        </w:rPr>
      </w:pPr>
      <w:r>
        <w:rPr>
          <w:sz w:val="30"/>
        </w:rPr>
        <w:t>“Smith</w:t>
      </w:r>
      <w:r>
        <w:rPr>
          <w:spacing w:val="13"/>
          <w:sz w:val="30"/>
        </w:rPr>
        <w:t xml:space="preserve"> </w:t>
      </w:r>
      <w:r>
        <w:rPr>
          <w:sz w:val="30"/>
        </w:rPr>
        <w:t>believes</w:t>
      </w:r>
      <w:r>
        <w:rPr>
          <w:spacing w:val="16"/>
          <w:sz w:val="30"/>
        </w:rPr>
        <w:t xml:space="preserve"> </w:t>
      </w:r>
      <w:r>
        <w:rPr>
          <w:sz w:val="30"/>
        </w:rPr>
        <w:t>that</w:t>
      </w:r>
      <w:r>
        <w:rPr>
          <w:spacing w:val="14"/>
          <w:sz w:val="30"/>
        </w:rPr>
        <w:t xml:space="preserve"> </w:t>
      </w:r>
      <w:r>
        <w:rPr>
          <w:sz w:val="30"/>
        </w:rPr>
        <w:t>the</w:t>
      </w:r>
      <w:r>
        <w:rPr>
          <w:spacing w:val="16"/>
          <w:sz w:val="30"/>
        </w:rPr>
        <w:t xml:space="preserve"> </w:t>
      </w:r>
      <w:r>
        <w:rPr>
          <w:sz w:val="30"/>
        </w:rPr>
        <w:t>guy</w:t>
      </w:r>
      <w:r>
        <w:rPr>
          <w:spacing w:val="15"/>
          <w:sz w:val="30"/>
        </w:rPr>
        <w:t xml:space="preserve"> </w:t>
      </w:r>
      <w:r>
        <w:rPr>
          <w:sz w:val="30"/>
        </w:rPr>
        <w:t>who</w:t>
      </w:r>
      <w:r>
        <w:rPr>
          <w:spacing w:val="16"/>
          <w:sz w:val="30"/>
        </w:rPr>
        <w:t xml:space="preserve"> </w:t>
      </w:r>
      <w:r>
        <w:rPr>
          <w:sz w:val="30"/>
        </w:rPr>
        <w:t>is</w:t>
      </w:r>
      <w:r>
        <w:rPr>
          <w:spacing w:val="15"/>
          <w:sz w:val="30"/>
        </w:rPr>
        <w:t xml:space="preserve"> </w:t>
      </w:r>
      <w:r>
        <w:rPr>
          <w:sz w:val="30"/>
        </w:rPr>
        <w:t>trying</w:t>
      </w:r>
      <w:r>
        <w:rPr>
          <w:spacing w:val="16"/>
          <w:sz w:val="30"/>
        </w:rPr>
        <w:t xml:space="preserve"> </w:t>
      </w:r>
      <w:r>
        <w:rPr>
          <w:sz w:val="30"/>
        </w:rPr>
        <w:t>to</w:t>
      </w:r>
      <w:r>
        <w:rPr>
          <w:spacing w:val="15"/>
          <w:sz w:val="30"/>
        </w:rPr>
        <w:t xml:space="preserve"> </w:t>
      </w:r>
      <w:r>
        <w:rPr>
          <w:sz w:val="30"/>
        </w:rPr>
        <w:t>kill</w:t>
      </w:r>
      <w:r>
        <w:rPr>
          <w:spacing w:val="15"/>
          <w:sz w:val="30"/>
        </w:rPr>
        <w:t xml:space="preserve"> </w:t>
      </w:r>
      <w:r>
        <w:rPr>
          <w:sz w:val="30"/>
        </w:rPr>
        <w:t>him,</w:t>
      </w:r>
      <w:r>
        <w:rPr>
          <w:spacing w:val="15"/>
          <w:sz w:val="30"/>
        </w:rPr>
        <w:t xml:space="preserve"> </w:t>
      </w:r>
      <w:r>
        <w:rPr>
          <w:sz w:val="30"/>
        </w:rPr>
        <w:t>after</w:t>
      </w:r>
      <w:r>
        <w:rPr>
          <w:spacing w:val="16"/>
          <w:sz w:val="30"/>
        </w:rPr>
        <w:t xml:space="preserve"> </w:t>
      </w:r>
      <w:r>
        <w:rPr>
          <w:sz w:val="30"/>
        </w:rPr>
        <w:t>torturing</w:t>
      </w:r>
      <w:r>
        <w:rPr>
          <w:spacing w:val="16"/>
          <w:sz w:val="30"/>
        </w:rPr>
        <w:t xml:space="preserve"> </w:t>
      </w:r>
      <w:r>
        <w:rPr>
          <w:spacing w:val="-5"/>
          <w:sz w:val="30"/>
        </w:rPr>
        <w:t>him</w:t>
      </w:r>
    </w:p>
    <w:p w14:paraId="7E000F04" w14:textId="77777777" w:rsidR="009A58DB" w:rsidRDefault="009A58DB">
      <w:pPr>
        <w:pStyle w:val="ListParagraph"/>
        <w:jc w:val="both"/>
        <w:rPr>
          <w:sz w:val="30"/>
        </w:rPr>
        <w:sectPr w:rsidR="009A58DB">
          <w:pgSz w:w="12240" w:h="15840"/>
          <w:pgMar w:top="1380" w:right="1080" w:bottom="280" w:left="1080" w:header="720" w:footer="720" w:gutter="0"/>
          <w:cols w:space="720"/>
        </w:sectPr>
      </w:pPr>
    </w:p>
    <w:p w14:paraId="7E000F05" w14:textId="77777777" w:rsidR="009A58DB" w:rsidRDefault="00000000">
      <w:pPr>
        <w:pStyle w:val="BodyText"/>
        <w:spacing w:before="71" w:line="319" w:lineRule="auto"/>
        <w:ind w:right="3521"/>
        <w:jc w:val="left"/>
      </w:pPr>
      <w:r>
        <w:lastRenderedPageBreak/>
        <w:t>for several days, is well-disposed towards him.” This</w:t>
      </w:r>
      <w:r>
        <w:rPr>
          <w:spacing w:val="-7"/>
        </w:rPr>
        <w:t xml:space="preserve"> </w:t>
      </w:r>
      <w:r>
        <w:t>sentence</w:t>
      </w:r>
      <w:r>
        <w:rPr>
          <w:spacing w:val="-7"/>
        </w:rPr>
        <w:t xml:space="preserve"> </w:t>
      </w:r>
      <w:r>
        <w:t>is</w:t>
      </w:r>
      <w:r>
        <w:rPr>
          <w:spacing w:val="-7"/>
        </w:rPr>
        <w:t xml:space="preserve"> </w:t>
      </w:r>
      <w:r>
        <w:t>ambiguous.</w:t>
      </w:r>
      <w:r>
        <w:rPr>
          <w:spacing w:val="-6"/>
        </w:rPr>
        <w:t xml:space="preserve"> </w:t>
      </w:r>
      <w:r>
        <w:t>It</w:t>
      </w:r>
      <w:r>
        <w:rPr>
          <w:spacing w:val="-7"/>
        </w:rPr>
        <w:t xml:space="preserve"> </w:t>
      </w:r>
      <w:r>
        <w:t>could</w:t>
      </w:r>
      <w:r>
        <w:rPr>
          <w:spacing w:val="-6"/>
        </w:rPr>
        <w:t xml:space="preserve"> </w:t>
      </w:r>
      <w:r>
        <w:t>mean</w:t>
      </w:r>
      <w:r>
        <w:rPr>
          <w:spacing w:val="-6"/>
        </w:rPr>
        <w:t xml:space="preserve"> </w:t>
      </w:r>
      <w:r>
        <w:t>either:</w:t>
      </w:r>
    </w:p>
    <w:p w14:paraId="7E000F06" w14:textId="77777777" w:rsidR="009A58DB" w:rsidRDefault="00000000">
      <w:pPr>
        <w:pStyle w:val="ListParagraph"/>
        <w:numPr>
          <w:ilvl w:val="1"/>
          <w:numId w:val="170"/>
        </w:numPr>
        <w:tabs>
          <w:tab w:val="left" w:pos="798"/>
        </w:tabs>
        <w:spacing w:line="249" w:lineRule="auto"/>
        <w:ind w:left="360" w:right="366" w:firstLine="0"/>
        <w:rPr>
          <w:sz w:val="30"/>
        </w:rPr>
      </w:pPr>
      <w:r>
        <w:rPr>
          <w:sz w:val="30"/>
        </w:rPr>
        <w:t>Somebody</w:t>
      </w:r>
      <w:r>
        <w:rPr>
          <w:spacing w:val="-2"/>
          <w:sz w:val="30"/>
        </w:rPr>
        <w:t xml:space="preserve"> </w:t>
      </w:r>
      <w:r>
        <w:rPr>
          <w:sz w:val="30"/>
        </w:rPr>
        <w:t>x</w:t>
      </w:r>
      <w:r>
        <w:rPr>
          <w:spacing w:val="-2"/>
          <w:sz w:val="30"/>
        </w:rPr>
        <w:t xml:space="preserve"> </w:t>
      </w:r>
      <w:r>
        <w:rPr>
          <w:sz w:val="30"/>
        </w:rPr>
        <w:t>wants</w:t>
      </w:r>
      <w:r>
        <w:rPr>
          <w:spacing w:val="-2"/>
          <w:sz w:val="30"/>
        </w:rPr>
        <w:t xml:space="preserve"> </w:t>
      </w:r>
      <w:r>
        <w:rPr>
          <w:sz w:val="30"/>
        </w:rPr>
        <w:t>to</w:t>
      </w:r>
      <w:r>
        <w:rPr>
          <w:spacing w:val="-2"/>
          <w:sz w:val="30"/>
        </w:rPr>
        <w:t xml:space="preserve"> </w:t>
      </w:r>
      <w:r>
        <w:rPr>
          <w:sz w:val="30"/>
        </w:rPr>
        <w:t>kill</w:t>
      </w:r>
      <w:r>
        <w:rPr>
          <w:spacing w:val="-2"/>
          <w:sz w:val="30"/>
        </w:rPr>
        <w:t xml:space="preserve"> </w:t>
      </w:r>
      <w:r>
        <w:rPr>
          <w:sz w:val="30"/>
        </w:rPr>
        <w:t>Smith,</w:t>
      </w:r>
      <w:r>
        <w:rPr>
          <w:spacing w:val="-2"/>
          <w:sz w:val="30"/>
        </w:rPr>
        <w:t xml:space="preserve"> </w:t>
      </w:r>
      <w:r>
        <w:rPr>
          <w:sz w:val="30"/>
        </w:rPr>
        <w:t>after</w:t>
      </w:r>
      <w:r>
        <w:rPr>
          <w:spacing w:val="-2"/>
          <w:sz w:val="30"/>
        </w:rPr>
        <w:t xml:space="preserve"> </w:t>
      </w:r>
      <w:r>
        <w:rPr>
          <w:sz w:val="30"/>
        </w:rPr>
        <w:t>torturing</w:t>
      </w:r>
      <w:r>
        <w:rPr>
          <w:spacing w:val="-2"/>
          <w:sz w:val="30"/>
        </w:rPr>
        <w:t xml:space="preserve"> </w:t>
      </w:r>
      <w:r>
        <w:rPr>
          <w:sz w:val="30"/>
        </w:rPr>
        <w:t>him</w:t>
      </w:r>
      <w:r>
        <w:rPr>
          <w:spacing w:val="-2"/>
          <w:sz w:val="30"/>
        </w:rPr>
        <w:t xml:space="preserve"> </w:t>
      </w:r>
      <w:r>
        <w:rPr>
          <w:sz w:val="30"/>
        </w:rPr>
        <w:t>for</w:t>
      </w:r>
      <w:r>
        <w:rPr>
          <w:spacing w:val="-2"/>
          <w:sz w:val="30"/>
        </w:rPr>
        <w:t xml:space="preserve"> </w:t>
      </w:r>
      <w:r>
        <w:rPr>
          <w:sz w:val="30"/>
        </w:rPr>
        <w:t>several</w:t>
      </w:r>
      <w:r>
        <w:rPr>
          <w:spacing w:val="-2"/>
          <w:sz w:val="30"/>
        </w:rPr>
        <w:t xml:space="preserve"> </w:t>
      </w:r>
      <w:r>
        <w:rPr>
          <w:sz w:val="30"/>
        </w:rPr>
        <w:t>hours,</w:t>
      </w:r>
      <w:r>
        <w:rPr>
          <w:spacing w:val="-2"/>
          <w:sz w:val="30"/>
        </w:rPr>
        <w:t xml:space="preserve"> </w:t>
      </w:r>
      <w:r>
        <w:rPr>
          <w:sz w:val="30"/>
        </w:rPr>
        <w:t>and Smith believes that x is well disposed towards him</w:t>
      </w:r>
    </w:p>
    <w:p w14:paraId="7E000F07" w14:textId="77777777" w:rsidR="009A58DB" w:rsidRDefault="00000000">
      <w:pPr>
        <w:pStyle w:val="BodyText"/>
        <w:spacing w:before="98"/>
        <w:jc w:val="left"/>
      </w:pPr>
      <w:r>
        <w:rPr>
          <w:spacing w:val="-5"/>
        </w:rPr>
        <w:t>or</w:t>
      </w:r>
    </w:p>
    <w:p w14:paraId="7E000F08" w14:textId="77777777" w:rsidR="009A58DB" w:rsidRDefault="00000000">
      <w:pPr>
        <w:pStyle w:val="ListParagraph"/>
        <w:numPr>
          <w:ilvl w:val="1"/>
          <w:numId w:val="170"/>
        </w:numPr>
        <w:tabs>
          <w:tab w:val="left" w:pos="887"/>
        </w:tabs>
        <w:spacing w:before="120" w:line="249" w:lineRule="auto"/>
        <w:ind w:left="360" w:right="369" w:firstLine="0"/>
        <w:jc w:val="both"/>
        <w:rPr>
          <w:sz w:val="30"/>
        </w:rPr>
      </w:pPr>
      <w:r>
        <w:rPr>
          <w:sz w:val="30"/>
        </w:rPr>
        <w:t>Smith believes that somebody x wants to kill him, after torturing him for several hours, and also that x is well disposed towards him.</w:t>
      </w:r>
    </w:p>
    <w:p w14:paraId="7E000F09" w14:textId="77777777" w:rsidR="009A58DB" w:rsidRDefault="00000000">
      <w:pPr>
        <w:pStyle w:val="ListParagraph"/>
        <w:numPr>
          <w:ilvl w:val="0"/>
          <w:numId w:val="169"/>
        </w:numPr>
        <w:tabs>
          <w:tab w:val="left" w:pos="898"/>
        </w:tabs>
        <w:spacing w:before="93" w:line="249" w:lineRule="auto"/>
        <w:ind w:right="363" w:firstLine="0"/>
        <w:jc w:val="both"/>
        <w:rPr>
          <w:sz w:val="30"/>
        </w:rPr>
      </w:pPr>
      <w:r>
        <w:rPr>
          <w:sz w:val="30"/>
        </w:rPr>
        <w:t>has little chance of being true. People don’t believe that people who are trying to torture and kill them are well disposed towards them. But it’s easy</w:t>
      </w:r>
      <w:r>
        <w:rPr>
          <w:spacing w:val="40"/>
          <w:sz w:val="30"/>
        </w:rPr>
        <w:t xml:space="preserve"> </w:t>
      </w:r>
      <w:r>
        <w:rPr>
          <w:sz w:val="30"/>
        </w:rPr>
        <w:t>to think of a situation where (ii) is true. Jerry is Smith’s best friend. Jerry is actually very evil. But, like many evil people, he has mastered the art of appearing well-intentioned; and unbeknownst to Smith, Jerry wants to torture and kill him.</w:t>
      </w:r>
    </w:p>
    <w:p w14:paraId="7E000F0A" w14:textId="77777777" w:rsidR="009A58DB" w:rsidRDefault="00000000">
      <w:pPr>
        <w:pStyle w:val="BodyText"/>
        <w:spacing w:before="7" w:line="249" w:lineRule="auto"/>
        <w:ind w:right="363" w:firstLine="360"/>
      </w:pPr>
      <w:r>
        <w:t xml:space="preserve">Whenever a definite description falls within the scope of a </w:t>
      </w:r>
      <w:r>
        <w:rPr>
          <w:b/>
          <w:i/>
        </w:rPr>
        <w:t xml:space="preserve">modal </w:t>
      </w:r>
      <w:r>
        <w:t xml:space="preserve">or </w:t>
      </w:r>
      <w:r>
        <w:rPr>
          <w:b/>
          <w:i/>
        </w:rPr>
        <w:t xml:space="preserve">epistemic </w:t>
      </w:r>
      <w:r>
        <w:t>operator, the result is a syntactically ambiguous sentence. Before Russell came along, such syntactic ambiguities, not being seen for what they were, led people to accept the most rank absurdities. Consider the sentence:</w:t>
      </w:r>
    </w:p>
    <w:p w14:paraId="7E000F0B" w14:textId="77777777" w:rsidR="009A58DB" w:rsidRDefault="00000000">
      <w:pPr>
        <w:pStyle w:val="ListParagraph"/>
        <w:numPr>
          <w:ilvl w:val="0"/>
          <w:numId w:val="169"/>
        </w:numPr>
        <w:tabs>
          <w:tab w:val="left" w:pos="865"/>
        </w:tabs>
        <w:spacing w:before="110"/>
        <w:ind w:left="865" w:hanging="505"/>
        <w:jc w:val="both"/>
        <w:rPr>
          <w:sz w:val="30"/>
        </w:rPr>
      </w:pPr>
      <w:r>
        <w:rPr>
          <w:sz w:val="30"/>
        </w:rPr>
        <w:t>Jerry</w:t>
      </w:r>
      <w:r>
        <w:rPr>
          <w:spacing w:val="-4"/>
          <w:sz w:val="30"/>
        </w:rPr>
        <w:t xml:space="preserve"> </w:t>
      </w:r>
      <w:r>
        <w:rPr>
          <w:sz w:val="30"/>
        </w:rPr>
        <w:t>is</w:t>
      </w:r>
      <w:r>
        <w:rPr>
          <w:spacing w:val="-3"/>
          <w:sz w:val="30"/>
        </w:rPr>
        <w:t xml:space="preserve"> </w:t>
      </w:r>
      <w:r>
        <w:rPr>
          <w:sz w:val="30"/>
        </w:rPr>
        <w:t>looking</w:t>
      </w:r>
      <w:r>
        <w:rPr>
          <w:spacing w:val="-2"/>
          <w:sz w:val="30"/>
        </w:rPr>
        <w:t xml:space="preserve"> </w:t>
      </w:r>
      <w:r>
        <w:rPr>
          <w:sz w:val="30"/>
        </w:rPr>
        <w:t>for</w:t>
      </w:r>
      <w:r>
        <w:rPr>
          <w:spacing w:val="-3"/>
          <w:sz w:val="30"/>
        </w:rPr>
        <w:t xml:space="preserve"> </w:t>
      </w:r>
      <w:r>
        <w:rPr>
          <w:sz w:val="30"/>
        </w:rPr>
        <w:t>the</w:t>
      </w:r>
      <w:r>
        <w:rPr>
          <w:spacing w:val="-3"/>
          <w:sz w:val="30"/>
        </w:rPr>
        <w:t xml:space="preserve"> </w:t>
      </w:r>
      <w:r>
        <w:rPr>
          <w:sz w:val="30"/>
        </w:rPr>
        <w:t>fountain</w:t>
      </w:r>
      <w:r>
        <w:rPr>
          <w:spacing w:val="-2"/>
          <w:sz w:val="30"/>
        </w:rPr>
        <w:t xml:space="preserve"> </w:t>
      </w:r>
      <w:r>
        <w:rPr>
          <w:sz w:val="30"/>
        </w:rPr>
        <w:t>of</w:t>
      </w:r>
      <w:r>
        <w:rPr>
          <w:spacing w:val="-2"/>
          <w:sz w:val="30"/>
        </w:rPr>
        <w:t xml:space="preserve"> youth.</w:t>
      </w:r>
    </w:p>
    <w:p w14:paraId="7E000F0C" w14:textId="77777777" w:rsidR="009A58DB" w:rsidRDefault="00000000">
      <w:pPr>
        <w:pStyle w:val="BodyText"/>
        <w:spacing w:before="120" w:line="249" w:lineRule="auto"/>
        <w:ind w:right="359" w:firstLine="360"/>
      </w:pPr>
      <w:r>
        <w:t>Obviously there doesn’t have to exist a fountain of youth for (iv) to be true. People look for things that don’t exist. Russell saw this, and saw that,</w:t>
      </w:r>
      <w:r>
        <w:rPr>
          <w:spacing w:val="40"/>
        </w:rPr>
        <w:t xml:space="preserve"> </w:t>
      </w:r>
      <w:r>
        <w:t>for this reason, (iv)’s meaning is:</w:t>
      </w:r>
    </w:p>
    <w:p w14:paraId="7E000F0D" w14:textId="77777777" w:rsidR="009A58DB" w:rsidRDefault="00000000">
      <w:pPr>
        <w:pStyle w:val="ListParagraph"/>
        <w:numPr>
          <w:ilvl w:val="0"/>
          <w:numId w:val="169"/>
        </w:numPr>
        <w:tabs>
          <w:tab w:val="left" w:pos="783"/>
        </w:tabs>
        <w:spacing w:before="94" w:line="254" w:lineRule="auto"/>
        <w:ind w:right="367" w:firstLine="0"/>
        <w:jc w:val="both"/>
        <w:rPr>
          <w:position w:val="10"/>
          <w:sz w:val="30"/>
        </w:rPr>
      </w:pPr>
      <w:r>
        <w:rPr>
          <w:sz w:val="30"/>
        </w:rPr>
        <w:t>Jerry</w:t>
      </w:r>
      <w:r>
        <w:rPr>
          <w:spacing w:val="-2"/>
          <w:sz w:val="30"/>
        </w:rPr>
        <w:t xml:space="preserve"> </w:t>
      </w:r>
      <w:r>
        <w:rPr>
          <w:sz w:val="30"/>
        </w:rPr>
        <w:t>wants</w:t>
      </w:r>
      <w:r>
        <w:rPr>
          <w:spacing w:val="-2"/>
          <w:sz w:val="30"/>
        </w:rPr>
        <w:t xml:space="preserve"> </w:t>
      </w:r>
      <w:r>
        <w:rPr>
          <w:sz w:val="30"/>
        </w:rPr>
        <w:t>it</w:t>
      </w:r>
      <w:r>
        <w:rPr>
          <w:spacing w:val="-2"/>
          <w:sz w:val="30"/>
        </w:rPr>
        <w:t xml:space="preserve"> </w:t>
      </w:r>
      <w:r>
        <w:rPr>
          <w:sz w:val="30"/>
        </w:rPr>
        <w:t>to</w:t>
      </w:r>
      <w:r>
        <w:rPr>
          <w:spacing w:val="-2"/>
          <w:sz w:val="30"/>
        </w:rPr>
        <w:t xml:space="preserve"> </w:t>
      </w:r>
      <w:r>
        <w:rPr>
          <w:sz w:val="30"/>
        </w:rPr>
        <w:t>be</w:t>
      </w:r>
      <w:r>
        <w:rPr>
          <w:spacing w:val="-2"/>
          <w:sz w:val="30"/>
        </w:rPr>
        <w:t xml:space="preserve"> </w:t>
      </w:r>
      <w:r>
        <w:rPr>
          <w:sz w:val="30"/>
        </w:rPr>
        <w:t>the</w:t>
      </w:r>
      <w:r>
        <w:rPr>
          <w:spacing w:val="-2"/>
          <w:sz w:val="30"/>
        </w:rPr>
        <w:t xml:space="preserve"> </w:t>
      </w:r>
      <w:r>
        <w:rPr>
          <w:sz w:val="30"/>
        </w:rPr>
        <w:t>case</w:t>
      </w:r>
      <w:r>
        <w:rPr>
          <w:spacing w:val="-2"/>
          <w:sz w:val="30"/>
        </w:rPr>
        <w:t xml:space="preserve"> </w:t>
      </w:r>
      <w:r>
        <w:rPr>
          <w:sz w:val="30"/>
        </w:rPr>
        <w:t>that</w:t>
      </w:r>
      <w:r>
        <w:rPr>
          <w:spacing w:val="-2"/>
          <w:sz w:val="30"/>
        </w:rPr>
        <w:t xml:space="preserve"> </w:t>
      </w:r>
      <w:r>
        <w:rPr>
          <w:sz w:val="30"/>
        </w:rPr>
        <w:t>there</w:t>
      </w:r>
      <w:r>
        <w:rPr>
          <w:spacing w:val="-2"/>
          <w:sz w:val="30"/>
        </w:rPr>
        <w:t xml:space="preserve"> </w:t>
      </w:r>
      <w:r>
        <w:rPr>
          <w:sz w:val="30"/>
        </w:rPr>
        <w:t>exist</w:t>
      </w:r>
      <w:r>
        <w:rPr>
          <w:spacing w:val="-2"/>
          <w:sz w:val="30"/>
        </w:rPr>
        <w:t xml:space="preserve"> </w:t>
      </w:r>
      <w:r>
        <w:rPr>
          <w:sz w:val="30"/>
        </w:rPr>
        <w:t>a</w:t>
      </w:r>
      <w:r>
        <w:rPr>
          <w:spacing w:val="-2"/>
          <w:sz w:val="30"/>
        </w:rPr>
        <w:t xml:space="preserve"> </w:t>
      </w:r>
      <w:r>
        <w:rPr>
          <w:sz w:val="30"/>
        </w:rPr>
        <w:t>(unique)</w:t>
      </w:r>
      <w:r>
        <w:rPr>
          <w:spacing w:val="-2"/>
          <w:sz w:val="30"/>
        </w:rPr>
        <w:t xml:space="preserve"> </w:t>
      </w:r>
      <w:r>
        <w:rPr>
          <w:sz w:val="30"/>
        </w:rPr>
        <w:t>fountain</w:t>
      </w:r>
      <w:r>
        <w:rPr>
          <w:spacing w:val="-2"/>
          <w:sz w:val="30"/>
        </w:rPr>
        <w:t xml:space="preserve"> </w:t>
      </w:r>
      <w:r>
        <w:rPr>
          <w:sz w:val="30"/>
        </w:rPr>
        <w:t>of</w:t>
      </w:r>
      <w:r>
        <w:rPr>
          <w:spacing w:val="-2"/>
          <w:sz w:val="30"/>
        </w:rPr>
        <w:t xml:space="preserve"> </w:t>
      </w:r>
      <w:r>
        <w:rPr>
          <w:sz w:val="30"/>
        </w:rPr>
        <w:t>youth</w:t>
      </w:r>
      <w:r>
        <w:rPr>
          <w:spacing w:val="-2"/>
          <w:sz w:val="30"/>
        </w:rPr>
        <w:t xml:space="preserve"> </w:t>
      </w:r>
      <w:r>
        <w:rPr>
          <w:sz w:val="30"/>
        </w:rPr>
        <w:t>x, and, moreover, that he (uniquely) discover any such fountain</w:t>
      </w:r>
      <w:bookmarkStart w:id="199" w:name="_bookmark199"/>
      <w:bookmarkEnd w:id="199"/>
      <w:r>
        <w:rPr>
          <w:sz w:val="30"/>
        </w:rPr>
        <w:t>.</w:t>
      </w:r>
      <w:r>
        <w:rPr>
          <w:color w:val="0562C1"/>
          <w:position w:val="10"/>
          <w:sz w:val="30"/>
          <w:u w:val="single" w:color="0562C1"/>
        </w:rPr>
        <w:t>13</w:t>
      </w:r>
    </w:p>
    <w:p w14:paraId="7E000F0E" w14:textId="77777777" w:rsidR="009A58DB" w:rsidRDefault="00000000">
      <w:pPr>
        <w:pStyle w:val="BodyText"/>
        <w:spacing w:before="99" w:line="249" w:lineRule="auto"/>
        <w:ind w:right="357"/>
      </w:pPr>
      <w:r>
        <w:t>Pre-Russellian philosophers and contemporary non-Russellianism philosophers take (iv) to say that there exists a fountain of youth that Jerry is looking for. This is Nathan Salmon’s (2005) position. Salmon qualifies his position by saying that the fountain of youth, though existent, is a “mythical” object. But, since mythical objects don’t gush water, let alone immortality-giving water, Jerry won’t consider his search to have to an end when he discoveries the non-entity that Salmon describes. Given Russell’s insight, there’s no need to accept Salmon’s rather doubtful position.</w:t>
      </w:r>
    </w:p>
    <w:p w14:paraId="7E000F0F" w14:textId="77777777" w:rsidR="009A58DB" w:rsidRDefault="00000000">
      <w:pPr>
        <w:pStyle w:val="BodyText"/>
        <w:spacing w:before="9" w:line="249" w:lineRule="auto"/>
        <w:ind w:right="360" w:firstLine="360"/>
      </w:pPr>
      <w:r>
        <w:t>Because of his failure to grasp the implications of the wide-scope/narrow-scope</w:t>
      </w:r>
      <w:r>
        <w:rPr>
          <w:spacing w:val="45"/>
          <w:w w:val="150"/>
        </w:rPr>
        <w:t xml:space="preserve"> </w:t>
      </w:r>
      <w:r>
        <w:t>distinction,</w:t>
      </w:r>
      <w:r>
        <w:rPr>
          <w:spacing w:val="47"/>
          <w:w w:val="150"/>
        </w:rPr>
        <w:t xml:space="preserve"> </w:t>
      </w:r>
      <w:r>
        <w:t>another</w:t>
      </w:r>
      <w:r>
        <w:rPr>
          <w:spacing w:val="47"/>
          <w:w w:val="150"/>
        </w:rPr>
        <w:t xml:space="preserve"> </w:t>
      </w:r>
      <w:r>
        <w:t>well</w:t>
      </w:r>
      <w:r>
        <w:rPr>
          <w:spacing w:val="47"/>
          <w:w w:val="150"/>
        </w:rPr>
        <w:t xml:space="preserve"> </w:t>
      </w:r>
      <w:r>
        <w:t>known</w:t>
      </w:r>
      <w:r>
        <w:rPr>
          <w:spacing w:val="47"/>
          <w:w w:val="150"/>
        </w:rPr>
        <w:t xml:space="preserve"> </w:t>
      </w:r>
      <w:r>
        <w:t>20th</w:t>
      </w:r>
      <w:r>
        <w:rPr>
          <w:spacing w:val="47"/>
          <w:w w:val="150"/>
        </w:rPr>
        <w:t xml:space="preserve"> </w:t>
      </w:r>
      <w:r>
        <w:t>century</w:t>
      </w:r>
      <w:r>
        <w:rPr>
          <w:spacing w:val="47"/>
          <w:w w:val="150"/>
        </w:rPr>
        <w:t xml:space="preserve"> </w:t>
      </w:r>
      <w:r>
        <w:t>philosopher,</w:t>
      </w:r>
      <w:r>
        <w:rPr>
          <w:spacing w:val="48"/>
          <w:w w:val="150"/>
        </w:rPr>
        <w:t xml:space="preserve"> </w:t>
      </w:r>
      <w:r>
        <w:rPr>
          <w:spacing w:val="-2"/>
        </w:rPr>
        <w:t>W.V.O</w:t>
      </w:r>
    </w:p>
    <w:p w14:paraId="7E000F1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11" w14:textId="77777777" w:rsidR="009A58DB" w:rsidRDefault="00000000">
      <w:pPr>
        <w:pStyle w:val="BodyText"/>
        <w:spacing w:before="66" w:line="252" w:lineRule="auto"/>
        <w:ind w:right="358"/>
        <w:rPr>
          <w:position w:val="10"/>
        </w:rPr>
      </w:pPr>
      <w:r>
        <w:lastRenderedPageBreak/>
        <w:t>Quine (1908–2000), advocated the highly implausible view that “necessary,” “possible,” and modal terms in general, have no coherent meanings and that statements such as “it’s possible that there will be rain” and “it’s a necessary truth that triangles have three sides” are either false or meaningless.</w:t>
      </w:r>
      <w:bookmarkStart w:id="200" w:name="_bookmark200"/>
      <w:bookmarkEnd w:id="200"/>
      <w:r>
        <w:rPr>
          <w:color w:val="0562C1"/>
          <w:position w:val="10"/>
          <w:u w:val="single" w:color="0562C1"/>
        </w:rPr>
        <w:t>14</w:t>
      </w:r>
    </w:p>
    <w:p w14:paraId="7E000F12" w14:textId="77777777" w:rsidR="009A58DB" w:rsidRDefault="00000000">
      <w:pPr>
        <w:pStyle w:val="BodyText"/>
        <w:spacing w:line="249" w:lineRule="auto"/>
        <w:ind w:right="372" w:firstLine="360"/>
      </w:pPr>
      <w:r>
        <w:t>Here is his argument</w:t>
      </w:r>
      <w:bookmarkStart w:id="201" w:name="_bookmark201"/>
      <w:bookmarkEnd w:id="201"/>
      <w:r>
        <w:t>.</w:t>
      </w:r>
      <w:r>
        <w:rPr>
          <w:color w:val="0562C1"/>
          <w:position w:val="10"/>
          <w:u w:val="single" w:color="0562C1"/>
        </w:rPr>
        <w:t>15</w:t>
      </w:r>
      <w:r>
        <w:rPr>
          <w:color w:val="0562C1"/>
          <w:position w:val="10"/>
        </w:rPr>
        <w:t xml:space="preserve"> </w:t>
      </w:r>
      <w:r>
        <w:t>For argument’s sake, suppose that the concepts expressed by “necessary” and “possible” are meaningful. In that case:</w:t>
      </w:r>
    </w:p>
    <w:p w14:paraId="7E000F13" w14:textId="77777777" w:rsidR="009A58DB" w:rsidRDefault="00000000">
      <w:pPr>
        <w:pStyle w:val="BodyText"/>
        <w:spacing w:before="107" w:line="249" w:lineRule="auto"/>
        <w:ind w:right="369"/>
      </w:pPr>
      <w:r>
        <w:t xml:space="preserve">(FB) “it’s a necessary truth that the inventor of bifocals was the inventor of </w:t>
      </w:r>
      <w:r>
        <w:rPr>
          <w:spacing w:val="-2"/>
        </w:rPr>
        <w:t>bifocals”</w:t>
      </w:r>
    </w:p>
    <w:p w14:paraId="7E000F14" w14:textId="77777777" w:rsidR="009A58DB" w:rsidRDefault="00000000">
      <w:pPr>
        <w:pStyle w:val="BodyText"/>
        <w:spacing w:before="93"/>
      </w:pPr>
      <w:r>
        <w:t>expresses</w:t>
      </w:r>
      <w:r>
        <w:rPr>
          <w:spacing w:val="-4"/>
        </w:rPr>
        <w:t xml:space="preserve"> </w:t>
      </w:r>
      <w:r>
        <w:t>a</w:t>
      </w:r>
      <w:r>
        <w:rPr>
          <w:spacing w:val="-4"/>
        </w:rPr>
        <w:t xml:space="preserve"> </w:t>
      </w:r>
      <w:r>
        <w:t>truth,</w:t>
      </w:r>
      <w:r>
        <w:rPr>
          <w:spacing w:val="-3"/>
        </w:rPr>
        <w:t xml:space="preserve"> </w:t>
      </w:r>
      <w:r>
        <w:t>even</w:t>
      </w:r>
      <w:r>
        <w:rPr>
          <w:spacing w:val="-2"/>
        </w:rPr>
        <w:t xml:space="preserve"> though</w:t>
      </w:r>
    </w:p>
    <w:p w14:paraId="7E000F15" w14:textId="77777777" w:rsidR="009A58DB" w:rsidRDefault="00000000">
      <w:pPr>
        <w:pStyle w:val="BodyText"/>
        <w:spacing w:before="120" w:line="249" w:lineRule="auto"/>
        <w:ind w:right="370"/>
      </w:pPr>
      <w:r>
        <w:t>(BF) “it’s a necessary truth that the inventor of bifocals was the first postmaster general”</w:t>
      </w:r>
    </w:p>
    <w:p w14:paraId="7E000F16" w14:textId="77777777" w:rsidR="009A58DB" w:rsidRDefault="00000000">
      <w:pPr>
        <w:pStyle w:val="BodyText"/>
        <w:spacing w:before="107" w:line="249" w:lineRule="auto"/>
        <w:ind w:right="358"/>
      </w:pPr>
      <w:r>
        <w:t xml:space="preserve">expresses a falsehood. Given the truth of FB, says Quine, it follows that the inventor of bifocals necessarily has the property of being identical with the inventor of bifocals. It follows by </w:t>
      </w:r>
      <w:r>
        <w:rPr>
          <w:b/>
          <w:i/>
        </w:rPr>
        <w:t>Leibniz’s La</w:t>
      </w:r>
      <w:bookmarkStart w:id="202" w:name="_bookmark202"/>
      <w:bookmarkEnd w:id="202"/>
      <w:r>
        <w:rPr>
          <w:b/>
          <w:i/>
        </w:rPr>
        <w:t>w</w:t>
      </w:r>
      <w:hyperlink w:anchor="_bookmark785" w:history="1">
        <w:r>
          <w:rPr>
            <w:b/>
            <w:color w:val="0562C1"/>
            <w:position w:val="12"/>
            <w:u w:val="single" w:color="0562C1"/>
          </w:rPr>
          <w:t>16</w:t>
        </w:r>
      </w:hyperlink>
      <w:r>
        <w:rPr>
          <w:b/>
          <w:color w:val="0562C1"/>
          <w:position w:val="12"/>
        </w:rPr>
        <w:t xml:space="preserve"> </w:t>
      </w:r>
      <w:r>
        <w:t>that the first postmaster general</w:t>
      </w:r>
      <w:r>
        <w:rPr>
          <w:spacing w:val="-2"/>
        </w:rPr>
        <w:t xml:space="preserve"> </w:t>
      </w:r>
      <w:r>
        <w:t>also</w:t>
      </w:r>
      <w:r>
        <w:rPr>
          <w:spacing w:val="-2"/>
        </w:rPr>
        <w:t xml:space="preserve"> </w:t>
      </w:r>
      <w:r>
        <w:t>has</w:t>
      </w:r>
      <w:r>
        <w:rPr>
          <w:spacing w:val="-2"/>
        </w:rPr>
        <w:t xml:space="preserve"> </w:t>
      </w:r>
      <w:r>
        <w:t>the</w:t>
      </w:r>
      <w:r>
        <w:rPr>
          <w:spacing w:val="-2"/>
        </w:rPr>
        <w:t xml:space="preserve"> </w:t>
      </w:r>
      <w:r>
        <w:t>property.</w:t>
      </w:r>
      <w:r>
        <w:rPr>
          <w:spacing w:val="-2"/>
        </w:rPr>
        <w:t xml:space="preserve"> </w:t>
      </w:r>
      <w:r>
        <w:t>But</w:t>
      </w:r>
      <w:r>
        <w:rPr>
          <w:spacing w:val="-2"/>
        </w:rPr>
        <w:t xml:space="preserve"> </w:t>
      </w:r>
      <w:r>
        <w:t>if</w:t>
      </w:r>
      <w:r>
        <w:rPr>
          <w:spacing w:val="-2"/>
        </w:rPr>
        <w:t xml:space="preserve"> </w:t>
      </w:r>
      <w:r>
        <w:t>he</w:t>
      </w:r>
      <w:r>
        <w:rPr>
          <w:spacing w:val="-2"/>
        </w:rPr>
        <w:t xml:space="preserve"> </w:t>
      </w:r>
      <w:r>
        <w:t>did,</w:t>
      </w:r>
      <w:r>
        <w:rPr>
          <w:spacing w:val="-2"/>
        </w:rPr>
        <w:t xml:space="preserve"> </w:t>
      </w:r>
      <w:r>
        <w:t>then</w:t>
      </w:r>
      <w:r>
        <w:rPr>
          <w:spacing w:val="-2"/>
        </w:rPr>
        <w:t xml:space="preserve"> </w:t>
      </w:r>
      <w:r>
        <w:t>BF</w:t>
      </w:r>
      <w:r>
        <w:rPr>
          <w:spacing w:val="-2"/>
        </w:rPr>
        <w:t xml:space="preserve"> </w:t>
      </w:r>
      <w:r>
        <w:t>would</w:t>
      </w:r>
      <w:r>
        <w:rPr>
          <w:spacing w:val="-2"/>
        </w:rPr>
        <w:t xml:space="preserve"> </w:t>
      </w:r>
      <w:r>
        <w:t>be</w:t>
      </w:r>
      <w:r>
        <w:rPr>
          <w:spacing w:val="-2"/>
        </w:rPr>
        <w:t xml:space="preserve"> </w:t>
      </w:r>
      <w:r>
        <w:t>true,</w:t>
      </w:r>
      <w:r>
        <w:rPr>
          <w:spacing w:val="-2"/>
        </w:rPr>
        <w:t xml:space="preserve"> </w:t>
      </w:r>
      <w:r>
        <w:t>which</w:t>
      </w:r>
      <w:r>
        <w:rPr>
          <w:spacing w:val="-2"/>
        </w:rPr>
        <w:t xml:space="preserve"> </w:t>
      </w:r>
      <w:r>
        <w:t>it</w:t>
      </w:r>
      <w:r>
        <w:rPr>
          <w:spacing w:val="-2"/>
        </w:rPr>
        <w:t xml:space="preserve"> </w:t>
      </w:r>
      <w:r>
        <w:t xml:space="preserve">is </w:t>
      </w:r>
      <w:r>
        <w:rPr>
          <w:spacing w:val="-4"/>
        </w:rPr>
        <w:t>not.</w:t>
      </w:r>
    </w:p>
    <w:p w14:paraId="7E000F17" w14:textId="77777777" w:rsidR="009A58DB" w:rsidRDefault="00000000">
      <w:pPr>
        <w:pStyle w:val="BodyText"/>
        <w:spacing w:before="6" w:line="249" w:lineRule="auto"/>
        <w:ind w:right="359" w:firstLine="360"/>
      </w:pPr>
      <w:r>
        <w:t xml:space="preserve">With one exception, all of our assumptions were clearly correct. Leibniz’s Law holds, and FB </w:t>
      </w:r>
      <w:r>
        <w:rPr>
          <w:i/>
        </w:rPr>
        <w:t xml:space="preserve">is </w:t>
      </w:r>
      <w:r>
        <w:t>a necessary truth if ever there was one. Since the only remaining assumption is that “necessary” and “possible” express coherent concepts, that assumption is wrong. It follows that all statements to the effect that something is possible or necessary or impossible (etc.) are either meaningless or false.</w:t>
      </w:r>
    </w:p>
    <w:p w14:paraId="7E000F18" w14:textId="77777777" w:rsidR="009A58DB" w:rsidRDefault="00000000">
      <w:pPr>
        <w:pStyle w:val="BodyText"/>
        <w:spacing w:before="8" w:line="249" w:lineRule="auto"/>
        <w:ind w:right="364" w:firstLine="360"/>
      </w:pPr>
      <w:r>
        <w:t>Arthur Smullyan (1948) saw that, given Russell’s points about definite descriptions, there is no problem. BF is ambiguous between wide-scope and narrow-scope readings, these being:</w:t>
      </w:r>
    </w:p>
    <w:p w14:paraId="7E000F19" w14:textId="77777777" w:rsidR="009A58DB" w:rsidRDefault="00000000">
      <w:pPr>
        <w:pStyle w:val="BodyText"/>
        <w:spacing w:before="93" w:line="249" w:lineRule="auto"/>
        <w:jc w:val="left"/>
      </w:pPr>
      <w:r>
        <w:t>(BFWS)</w:t>
      </w:r>
      <w:r>
        <w:rPr>
          <w:spacing w:val="40"/>
        </w:rPr>
        <w:t xml:space="preserve"> </w:t>
      </w:r>
      <w:r>
        <w:t>it’s</w:t>
      </w:r>
      <w:r>
        <w:rPr>
          <w:spacing w:val="40"/>
        </w:rPr>
        <w:t xml:space="preserve"> </w:t>
      </w:r>
      <w:r>
        <w:t>a</w:t>
      </w:r>
      <w:r>
        <w:rPr>
          <w:spacing w:val="40"/>
        </w:rPr>
        <w:t xml:space="preserve"> </w:t>
      </w:r>
      <w:r>
        <w:t>necessary</w:t>
      </w:r>
      <w:r>
        <w:rPr>
          <w:spacing w:val="40"/>
        </w:rPr>
        <w:t xml:space="preserve"> </w:t>
      </w:r>
      <w:r>
        <w:t>truth</w:t>
      </w:r>
      <w:r>
        <w:rPr>
          <w:spacing w:val="40"/>
        </w:rPr>
        <w:t xml:space="preserve"> </w:t>
      </w:r>
      <w:r>
        <w:t>that</w:t>
      </w:r>
      <w:r>
        <w:rPr>
          <w:spacing w:val="40"/>
        </w:rPr>
        <w:t xml:space="preserve"> </w:t>
      </w:r>
      <w:r>
        <w:t>some</w:t>
      </w:r>
      <w:r>
        <w:rPr>
          <w:spacing w:val="40"/>
        </w:rPr>
        <w:t xml:space="preserve"> </w:t>
      </w:r>
      <w:r>
        <w:t>one</w:t>
      </w:r>
      <w:r>
        <w:rPr>
          <w:spacing w:val="40"/>
        </w:rPr>
        <w:t xml:space="preserve"> </w:t>
      </w:r>
      <w:r>
        <w:t>individual</w:t>
      </w:r>
      <w:r>
        <w:rPr>
          <w:spacing w:val="40"/>
        </w:rPr>
        <w:t xml:space="preserve"> </w:t>
      </w:r>
      <w:r>
        <w:t>uniquely</w:t>
      </w:r>
      <w:r>
        <w:rPr>
          <w:spacing w:val="40"/>
        </w:rPr>
        <w:t xml:space="preserve"> </w:t>
      </w:r>
      <w:r>
        <w:t>invented bifocals and, in addition, was the first postmaster general</w:t>
      </w:r>
    </w:p>
    <w:p w14:paraId="7E000F1A" w14:textId="77777777" w:rsidR="009A58DB" w:rsidRDefault="00000000">
      <w:pPr>
        <w:pStyle w:val="BodyText"/>
        <w:spacing w:before="108"/>
        <w:jc w:val="left"/>
      </w:pPr>
      <w:r>
        <w:rPr>
          <w:spacing w:val="-5"/>
        </w:rPr>
        <w:t>and</w:t>
      </w:r>
    </w:p>
    <w:p w14:paraId="7E000F1B" w14:textId="77777777" w:rsidR="009A58DB" w:rsidRDefault="00000000">
      <w:pPr>
        <w:pStyle w:val="BodyText"/>
        <w:spacing w:before="120" w:line="249" w:lineRule="auto"/>
        <w:ind w:right="364"/>
        <w:jc w:val="left"/>
      </w:pPr>
      <w:r>
        <w:t>(BFNW)</w:t>
      </w:r>
      <w:r>
        <w:rPr>
          <w:spacing w:val="80"/>
        </w:rPr>
        <w:t xml:space="preserve"> </w:t>
      </w:r>
      <w:r>
        <w:t>some</w:t>
      </w:r>
      <w:r>
        <w:rPr>
          <w:spacing w:val="80"/>
        </w:rPr>
        <w:t xml:space="preserve"> </w:t>
      </w:r>
      <w:r>
        <w:t>one</w:t>
      </w:r>
      <w:r>
        <w:rPr>
          <w:spacing w:val="80"/>
        </w:rPr>
        <w:t xml:space="preserve"> </w:t>
      </w:r>
      <w:r>
        <w:t>individual</w:t>
      </w:r>
      <w:r>
        <w:rPr>
          <w:spacing w:val="80"/>
        </w:rPr>
        <w:t xml:space="preserve"> </w:t>
      </w:r>
      <w:r>
        <w:t>x</w:t>
      </w:r>
      <w:r>
        <w:rPr>
          <w:spacing w:val="80"/>
        </w:rPr>
        <w:t xml:space="preserve"> </w:t>
      </w:r>
      <w:r>
        <w:t>uniquely</w:t>
      </w:r>
      <w:r>
        <w:rPr>
          <w:spacing w:val="80"/>
        </w:rPr>
        <w:t xml:space="preserve"> </w:t>
      </w:r>
      <w:r>
        <w:t>invented</w:t>
      </w:r>
      <w:r>
        <w:rPr>
          <w:spacing w:val="80"/>
        </w:rPr>
        <w:t xml:space="preserve"> </w:t>
      </w:r>
      <w:r>
        <w:t>bifocals;</w:t>
      </w:r>
      <w:r>
        <w:rPr>
          <w:spacing w:val="80"/>
        </w:rPr>
        <w:t xml:space="preserve"> </w:t>
      </w:r>
      <w:r>
        <w:t>and</w:t>
      </w:r>
      <w:r>
        <w:rPr>
          <w:spacing w:val="80"/>
        </w:rPr>
        <w:t xml:space="preserve"> </w:t>
      </w:r>
      <w:r>
        <w:t>some</w:t>
      </w:r>
      <w:r>
        <w:rPr>
          <w:spacing w:val="40"/>
        </w:rPr>
        <w:t xml:space="preserve"> </w:t>
      </w:r>
      <w:r>
        <w:t>individual y was uniquely a first postmaster general</w:t>
      </w:r>
    </w:p>
    <w:p w14:paraId="7E000F1C" w14:textId="77777777" w:rsidR="009A58DB" w:rsidRDefault="00000000">
      <w:pPr>
        <w:pStyle w:val="BodyText"/>
        <w:spacing w:before="92"/>
        <w:jc w:val="left"/>
        <w:rPr>
          <w:i/>
        </w:rPr>
      </w:pPr>
      <w:r>
        <w:t>and</w:t>
      </w:r>
      <w:r>
        <w:rPr>
          <w:spacing w:val="-5"/>
        </w:rPr>
        <w:t xml:space="preserve"> </w:t>
      </w:r>
      <w:r>
        <w:t>it’s</w:t>
      </w:r>
      <w:r>
        <w:rPr>
          <w:spacing w:val="-2"/>
        </w:rPr>
        <w:t xml:space="preserve"> </w:t>
      </w:r>
      <w:r>
        <w:t>a</w:t>
      </w:r>
      <w:r>
        <w:rPr>
          <w:spacing w:val="-3"/>
        </w:rPr>
        <w:t xml:space="preserve"> </w:t>
      </w:r>
      <w:r>
        <w:t>necessary</w:t>
      </w:r>
      <w:r>
        <w:rPr>
          <w:spacing w:val="-3"/>
        </w:rPr>
        <w:t xml:space="preserve"> </w:t>
      </w:r>
      <w:r>
        <w:t>truth</w:t>
      </w:r>
      <w:r>
        <w:rPr>
          <w:spacing w:val="-2"/>
        </w:rPr>
        <w:t xml:space="preserve"> </w:t>
      </w:r>
      <w:r>
        <w:t>that</w:t>
      </w:r>
      <w:r>
        <w:rPr>
          <w:spacing w:val="-3"/>
        </w:rPr>
        <w:t xml:space="preserve"> </w:t>
      </w:r>
      <w:r>
        <w:rPr>
          <w:i/>
        </w:rPr>
        <w:t>x</w:t>
      </w:r>
      <w:r>
        <w:rPr>
          <w:i/>
          <w:spacing w:val="-3"/>
        </w:rPr>
        <w:t xml:space="preserve"> </w:t>
      </w:r>
      <w:r>
        <w:rPr>
          <w:i/>
        </w:rPr>
        <w:t>=</w:t>
      </w:r>
      <w:r>
        <w:rPr>
          <w:i/>
          <w:spacing w:val="-2"/>
        </w:rPr>
        <w:t xml:space="preserve"> </w:t>
      </w:r>
      <w:r>
        <w:rPr>
          <w:i/>
          <w:spacing w:val="-5"/>
        </w:rPr>
        <w:t>y.</w:t>
      </w:r>
    </w:p>
    <w:p w14:paraId="7E000F1D" w14:textId="77777777" w:rsidR="009A58DB" w:rsidRDefault="00000000">
      <w:pPr>
        <w:pStyle w:val="BodyText"/>
        <w:spacing w:before="120"/>
        <w:ind w:left="720"/>
        <w:jc w:val="left"/>
      </w:pPr>
      <w:r>
        <w:t>BFWS</w:t>
      </w:r>
      <w:r>
        <w:rPr>
          <w:spacing w:val="56"/>
        </w:rPr>
        <w:t xml:space="preserve"> </w:t>
      </w:r>
      <w:r>
        <w:t>is</w:t>
      </w:r>
      <w:r>
        <w:rPr>
          <w:spacing w:val="59"/>
        </w:rPr>
        <w:t xml:space="preserve"> </w:t>
      </w:r>
      <w:r>
        <w:t>straightforwardly</w:t>
      </w:r>
      <w:r>
        <w:rPr>
          <w:spacing w:val="59"/>
        </w:rPr>
        <w:t xml:space="preserve"> </w:t>
      </w:r>
      <w:r>
        <w:t>false.</w:t>
      </w:r>
      <w:r>
        <w:rPr>
          <w:spacing w:val="59"/>
        </w:rPr>
        <w:t xml:space="preserve"> </w:t>
      </w:r>
      <w:r>
        <w:t>BFNW</w:t>
      </w:r>
      <w:r>
        <w:rPr>
          <w:spacing w:val="59"/>
        </w:rPr>
        <w:t xml:space="preserve"> </w:t>
      </w:r>
      <w:r>
        <w:t>is</w:t>
      </w:r>
      <w:r>
        <w:rPr>
          <w:spacing w:val="60"/>
        </w:rPr>
        <w:t xml:space="preserve"> </w:t>
      </w:r>
      <w:r>
        <w:t>true.</w:t>
      </w:r>
      <w:r>
        <w:rPr>
          <w:spacing w:val="59"/>
        </w:rPr>
        <w:t xml:space="preserve"> </w:t>
      </w:r>
      <w:r>
        <w:rPr>
          <w:i/>
        </w:rPr>
        <w:t>As</w:t>
      </w:r>
      <w:r>
        <w:rPr>
          <w:i/>
          <w:spacing w:val="61"/>
        </w:rPr>
        <w:t xml:space="preserve"> </w:t>
      </w:r>
      <w:r>
        <w:rPr>
          <w:i/>
        </w:rPr>
        <w:t>a</w:t>
      </w:r>
      <w:r>
        <w:rPr>
          <w:i/>
          <w:spacing w:val="61"/>
        </w:rPr>
        <w:t xml:space="preserve"> </w:t>
      </w:r>
      <w:r>
        <w:rPr>
          <w:i/>
        </w:rPr>
        <w:t>whole,</w:t>
      </w:r>
      <w:r>
        <w:rPr>
          <w:i/>
          <w:spacing w:val="62"/>
        </w:rPr>
        <w:t xml:space="preserve"> </w:t>
      </w:r>
      <w:r>
        <w:t>it</w:t>
      </w:r>
      <w:r>
        <w:rPr>
          <w:spacing w:val="56"/>
        </w:rPr>
        <w:t xml:space="preserve"> </w:t>
      </w:r>
      <w:r>
        <w:t>is</w:t>
      </w:r>
      <w:r>
        <w:rPr>
          <w:spacing w:val="57"/>
        </w:rPr>
        <w:t xml:space="preserve"> </w:t>
      </w:r>
      <w:r>
        <w:rPr>
          <w:spacing w:val="-5"/>
        </w:rPr>
        <w:t>not</w:t>
      </w:r>
    </w:p>
    <w:p w14:paraId="7E000F1E" w14:textId="77777777" w:rsidR="009A58DB" w:rsidRDefault="009A58DB">
      <w:pPr>
        <w:pStyle w:val="BodyText"/>
        <w:jc w:val="left"/>
        <w:sectPr w:rsidR="009A58DB">
          <w:pgSz w:w="12240" w:h="15840"/>
          <w:pgMar w:top="1380" w:right="1080" w:bottom="280" w:left="1080" w:header="720" w:footer="720" w:gutter="0"/>
          <w:cols w:space="720"/>
        </w:sectPr>
      </w:pPr>
    </w:p>
    <w:p w14:paraId="7E000F1F" w14:textId="77777777" w:rsidR="009A58DB" w:rsidRDefault="00000000">
      <w:pPr>
        <w:pStyle w:val="BodyText"/>
        <w:spacing w:before="66" w:line="252" w:lineRule="auto"/>
        <w:ind w:right="358"/>
        <w:rPr>
          <w:position w:val="10"/>
        </w:rPr>
      </w:pPr>
      <w:r>
        <w:rPr>
          <w:i/>
        </w:rPr>
        <w:lastRenderedPageBreak/>
        <w:t xml:space="preserve">necessarily </w:t>
      </w:r>
      <w:r>
        <w:t xml:space="preserve">true. (It didn’t </w:t>
      </w:r>
      <w:r>
        <w:rPr>
          <w:i/>
        </w:rPr>
        <w:t xml:space="preserve">have </w:t>
      </w:r>
      <w:r>
        <w:t xml:space="preserve">to be the case that some one person was a bifocal inventor and postmaster general.) But the underlined part </w:t>
      </w:r>
      <w:r>
        <w:rPr>
          <w:i/>
        </w:rPr>
        <w:t xml:space="preserve">is </w:t>
      </w:r>
      <w:r>
        <w:t>necessarily true: given any individual x, and given any individual y such that x is identical with y, it is a fact that x must be identical with y.</w:t>
      </w:r>
      <w:bookmarkStart w:id="203" w:name="_bookmark203"/>
      <w:bookmarkEnd w:id="203"/>
      <w:r>
        <w:rPr>
          <w:color w:val="0562C1"/>
          <w:position w:val="10"/>
          <w:u w:val="single" w:color="0562C1"/>
        </w:rPr>
        <w:t>17</w:t>
      </w:r>
    </w:p>
    <w:p w14:paraId="7E000F20" w14:textId="77777777" w:rsidR="009A58DB" w:rsidRDefault="009A58DB">
      <w:pPr>
        <w:pStyle w:val="BodyText"/>
        <w:spacing w:line="252" w:lineRule="auto"/>
        <w:rPr>
          <w:position w:val="10"/>
        </w:rPr>
        <w:sectPr w:rsidR="009A58DB">
          <w:pgSz w:w="12240" w:h="15840"/>
          <w:pgMar w:top="1380" w:right="1080" w:bottom="280" w:left="1080" w:header="720" w:footer="720" w:gutter="0"/>
          <w:cols w:space="720"/>
        </w:sectPr>
      </w:pPr>
    </w:p>
    <w:p w14:paraId="7E000F21" w14:textId="77777777" w:rsidR="009A58DB" w:rsidRDefault="009A58DB">
      <w:pPr>
        <w:pStyle w:val="BodyText"/>
        <w:spacing w:before="4"/>
        <w:ind w:left="0"/>
        <w:jc w:val="left"/>
        <w:rPr>
          <w:sz w:val="17"/>
        </w:rPr>
      </w:pPr>
    </w:p>
    <w:p w14:paraId="7E000F22"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0F23" w14:textId="77777777" w:rsidR="009A58DB" w:rsidRDefault="00000000">
      <w:pPr>
        <w:spacing w:line="503" w:lineRule="exact"/>
        <w:ind w:left="326" w:right="332"/>
        <w:jc w:val="center"/>
        <w:rPr>
          <w:rFonts w:ascii="Calibri Light"/>
          <w:sz w:val="42"/>
        </w:rPr>
      </w:pPr>
      <w:bookmarkStart w:id="204" w:name="_bookmark204"/>
      <w:bookmarkEnd w:id="204"/>
      <w:r>
        <w:rPr>
          <w:rFonts w:ascii="Calibri Light"/>
          <w:sz w:val="42"/>
        </w:rPr>
        <w:lastRenderedPageBreak/>
        <w:t>Chapter</w:t>
      </w:r>
      <w:r>
        <w:rPr>
          <w:rFonts w:ascii="Calibri Light"/>
          <w:spacing w:val="56"/>
          <w:sz w:val="42"/>
        </w:rPr>
        <w:t xml:space="preserve"> </w:t>
      </w:r>
      <w:r>
        <w:rPr>
          <w:rFonts w:ascii="Calibri Light"/>
          <w:spacing w:val="-10"/>
          <w:sz w:val="42"/>
        </w:rPr>
        <w:t>7</w:t>
      </w:r>
    </w:p>
    <w:p w14:paraId="7E000F24" w14:textId="77777777" w:rsidR="009A58DB" w:rsidRDefault="00000000">
      <w:pPr>
        <w:spacing w:before="234" w:line="232" w:lineRule="auto"/>
        <w:ind w:left="326" w:right="333"/>
        <w:jc w:val="center"/>
        <w:rPr>
          <w:rFonts w:ascii="Calibri Light"/>
          <w:sz w:val="42"/>
        </w:rPr>
      </w:pPr>
      <w:bookmarkStart w:id="205" w:name="_bookmark205"/>
      <w:bookmarkEnd w:id="205"/>
      <w:r>
        <w:rPr>
          <w:rFonts w:ascii="Calibri Light"/>
          <w:sz w:val="42"/>
        </w:rPr>
        <w:t>Logic, logicism, and the viability of attempts to</w:t>
      </w:r>
      <w:r>
        <w:rPr>
          <w:rFonts w:ascii="Calibri Light"/>
          <w:spacing w:val="80"/>
          <w:sz w:val="42"/>
        </w:rPr>
        <w:t xml:space="preserve"> </w:t>
      </w:r>
      <w:r>
        <w:rPr>
          <w:rFonts w:ascii="Calibri Light"/>
          <w:sz w:val="42"/>
        </w:rPr>
        <w:t>mechanize thought</w:t>
      </w:r>
    </w:p>
    <w:p w14:paraId="7E000F25" w14:textId="77777777" w:rsidR="009A58DB" w:rsidRDefault="00000000">
      <w:pPr>
        <w:pStyle w:val="Heading1"/>
        <w:numPr>
          <w:ilvl w:val="1"/>
          <w:numId w:val="168"/>
        </w:numPr>
        <w:tabs>
          <w:tab w:val="left" w:pos="1409"/>
        </w:tabs>
        <w:spacing w:before="186"/>
        <w:ind w:left="1409" w:hanging="1049"/>
      </w:pPr>
      <w:r>
        <w:t>What</w:t>
      </w:r>
      <w:r>
        <w:rPr>
          <w:spacing w:val="-3"/>
        </w:rPr>
        <w:t xml:space="preserve"> </w:t>
      </w:r>
      <w:r>
        <w:t>did</w:t>
      </w:r>
      <w:r>
        <w:rPr>
          <w:spacing w:val="-3"/>
        </w:rPr>
        <w:t xml:space="preserve"> </w:t>
      </w:r>
      <w:r>
        <w:t>Frege</w:t>
      </w:r>
      <w:r>
        <w:rPr>
          <w:spacing w:val="-3"/>
        </w:rPr>
        <w:t xml:space="preserve"> </w:t>
      </w:r>
      <w:r>
        <w:rPr>
          <w:spacing w:val="-5"/>
        </w:rPr>
        <w:t>do?</w:t>
      </w:r>
    </w:p>
    <w:p w14:paraId="7E000F26" w14:textId="77777777" w:rsidR="009A58DB" w:rsidRDefault="00000000">
      <w:pPr>
        <w:pStyle w:val="BodyText"/>
        <w:spacing w:before="139" w:line="249" w:lineRule="auto"/>
        <w:ind w:right="359"/>
      </w:pPr>
      <w:r>
        <w:t>Pre-Fregean</w:t>
      </w:r>
      <w:r>
        <w:rPr>
          <w:spacing w:val="-1"/>
        </w:rPr>
        <w:t xml:space="preserve"> </w:t>
      </w:r>
      <w:r>
        <w:t>formal</w:t>
      </w:r>
      <w:r>
        <w:rPr>
          <w:spacing w:val="-1"/>
        </w:rPr>
        <w:t xml:space="preserve"> </w:t>
      </w:r>
      <w:r>
        <w:t>logic</w:t>
      </w:r>
      <w:r>
        <w:rPr>
          <w:spacing w:val="-1"/>
        </w:rPr>
        <w:t xml:space="preserve"> </w:t>
      </w:r>
      <w:r>
        <w:t>wasn’t</w:t>
      </w:r>
      <w:r>
        <w:rPr>
          <w:spacing w:val="-1"/>
        </w:rPr>
        <w:t xml:space="preserve"> </w:t>
      </w:r>
      <w:r>
        <w:t>so</w:t>
      </w:r>
      <w:r>
        <w:rPr>
          <w:spacing w:val="-1"/>
        </w:rPr>
        <w:t xml:space="preserve"> </w:t>
      </w:r>
      <w:r>
        <w:t>much</w:t>
      </w:r>
      <w:r>
        <w:rPr>
          <w:spacing w:val="-1"/>
        </w:rPr>
        <w:t xml:space="preserve"> </w:t>
      </w:r>
      <w:r>
        <w:t>a</w:t>
      </w:r>
      <w:r>
        <w:rPr>
          <w:spacing w:val="-1"/>
        </w:rPr>
        <w:t xml:space="preserve"> </w:t>
      </w:r>
      <w:r>
        <w:t>discipline</w:t>
      </w:r>
      <w:r>
        <w:rPr>
          <w:spacing w:val="-1"/>
        </w:rPr>
        <w:t xml:space="preserve"> </w:t>
      </w:r>
      <w:r>
        <w:t>as</w:t>
      </w:r>
      <w:r>
        <w:rPr>
          <w:spacing w:val="-1"/>
        </w:rPr>
        <w:t xml:space="preserve"> </w:t>
      </w:r>
      <w:r>
        <w:t>it</w:t>
      </w:r>
      <w:r>
        <w:rPr>
          <w:spacing w:val="-1"/>
        </w:rPr>
        <w:t xml:space="preserve"> </w:t>
      </w:r>
      <w:r>
        <w:t>was</w:t>
      </w:r>
      <w:r>
        <w:rPr>
          <w:spacing w:val="-1"/>
        </w:rPr>
        <w:t xml:space="preserve"> </w:t>
      </w:r>
      <w:r>
        <w:t>a</w:t>
      </w:r>
      <w:r>
        <w:rPr>
          <w:spacing w:val="-1"/>
        </w:rPr>
        <w:t xml:space="preserve"> </w:t>
      </w:r>
      <w:r>
        <w:t>collection</w:t>
      </w:r>
      <w:r>
        <w:rPr>
          <w:spacing w:val="-1"/>
        </w:rPr>
        <w:t xml:space="preserve"> </w:t>
      </w:r>
      <w:r>
        <w:t>of rules of thumb. This was because Frege’s predecessors weren’t able to systematize the few results they were able to obtain, the reason being that they didn’t see the principles underlying those results. But Frege saw those principles, organized those results, and added new ones of his own. In so doing, Frege released logic from the holding pattern it had been in for the previous two thousand years.</w:t>
      </w:r>
    </w:p>
    <w:p w14:paraId="7E000F27" w14:textId="77777777" w:rsidR="009A58DB" w:rsidRDefault="00000000">
      <w:pPr>
        <w:pStyle w:val="BodyText"/>
        <w:spacing w:before="9" w:line="271" w:lineRule="auto"/>
        <w:ind w:right="358" w:firstLine="360"/>
      </w:pPr>
      <w:r>
        <w:t>Unlike his predecessors, Frege saw that a sentence’s logical form may diverge from its grammatical form. (In other words, he saw that a sentence S</w:t>
      </w:r>
      <w:r>
        <w:rPr>
          <w:vertAlign w:val="subscript"/>
        </w:rPr>
        <w:t>1</w:t>
      </w:r>
      <w:r>
        <w:t xml:space="preserve"> may</w:t>
      </w:r>
      <w:r>
        <w:rPr>
          <w:spacing w:val="59"/>
          <w:w w:val="150"/>
        </w:rPr>
        <w:t xml:space="preserve"> </w:t>
      </w:r>
      <w:r>
        <w:t>be</w:t>
      </w:r>
      <w:r>
        <w:rPr>
          <w:spacing w:val="60"/>
          <w:w w:val="150"/>
        </w:rPr>
        <w:t xml:space="preserve"> </w:t>
      </w:r>
      <w:r>
        <w:t>such</w:t>
      </w:r>
      <w:r>
        <w:rPr>
          <w:spacing w:val="61"/>
          <w:w w:val="150"/>
        </w:rPr>
        <w:t xml:space="preserve"> </w:t>
      </w:r>
      <w:r>
        <w:t>that</w:t>
      </w:r>
      <w:r>
        <w:rPr>
          <w:spacing w:val="59"/>
          <w:w w:val="150"/>
        </w:rPr>
        <w:t xml:space="preserve"> </w:t>
      </w:r>
      <w:r>
        <w:t>what</w:t>
      </w:r>
      <w:r>
        <w:rPr>
          <w:spacing w:val="61"/>
          <w:w w:val="150"/>
        </w:rPr>
        <w:t xml:space="preserve"> </w:t>
      </w:r>
      <w:r>
        <w:t>S</w:t>
      </w:r>
      <w:r>
        <w:rPr>
          <w:vertAlign w:val="subscript"/>
        </w:rPr>
        <w:t>1</w:t>
      </w:r>
      <w:r>
        <w:rPr>
          <w:spacing w:val="60"/>
          <w:w w:val="150"/>
        </w:rPr>
        <w:t xml:space="preserve"> </w:t>
      </w:r>
      <w:r>
        <w:t>actually</w:t>
      </w:r>
      <w:r>
        <w:rPr>
          <w:spacing w:val="60"/>
          <w:w w:val="150"/>
        </w:rPr>
        <w:t xml:space="preserve"> </w:t>
      </w:r>
      <w:r>
        <w:t>means</w:t>
      </w:r>
      <w:r>
        <w:rPr>
          <w:spacing w:val="59"/>
          <w:w w:val="150"/>
        </w:rPr>
        <w:t xml:space="preserve"> </w:t>
      </w:r>
      <w:r>
        <w:t>is</w:t>
      </w:r>
      <w:r>
        <w:rPr>
          <w:spacing w:val="60"/>
          <w:w w:val="150"/>
        </w:rPr>
        <w:t xml:space="preserve"> </w:t>
      </w:r>
      <w:r>
        <w:t>different</w:t>
      </w:r>
      <w:r>
        <w:rPr>
          <w:spacing w:val="60"/>
          <w:w w:val="150"/>
        </w:rPr>
        <w:t xml:space="preserve"> </w:t>
      </w:r>
      <w:r>
        <w:t>from</w:t>
      </w:r>
      <w:r>
        <w:rPr>
          <w:spacing w:val="60"/>
          <w:w w:val="150"/>
        </w:rPr>
        <w:t xml:space="preserve"> </w:t>
      </w:r>
      <w:r>
        <w:t>what</w:t>
      </w:r>
      <w:r>
        <w:rPr>
          <w:spacing w:val="59"/>
          <w:w w:val="150"/>
        </w:rPr>
        <w:t xml:space="preserve"> </w:t>
      </w:r>
      <w:r>
        <w:rPr>
          <w:spacing w:val="-4"/>
        </w:rPr>
        <w:t>S</w:t>
      </w:r>
      <w:r>
        <w:rPr>
          <w:spacing w:val="-4"/>
          <w:vertAlign w:val="subscript"/>
        </w:rPr>
        <w:t>1</w:t>
      </w:r>
      <w:r>
        <w:rPr>
          <w:spacing w:val="-4"/>
        </w:rPr>
        <w:t>’s</w:t>
      </w:r>
    </w:p>
    <w:p w14:paraId="7E000F28" w14:textId="77777777" w:rsidR="009A58DB" w:rsidRDefault="00000000">
      <w:pPr>
        <w:pStyle w:val="BodyText"/>
        <w:spacing w:before="30" w:line="249" w:lineRule="auto"/>
        <w:ind w:right="361"/>
      </w:pPr>
      <w:r>
        <w:t>grammatical structure suggests that it means.) And in many cases he figured out how to realign logical and grammatical form. (In other words, given</w:t>
      </w:r>
      <w:r>
        <w:rPr>
          <w:spacing w:val="40"/>
        </w:rPr>
        <w:t xml:space="preserve"> </w:t>
      </w:r>
      <w:r>
        <w:t>many</w:t>
      </w:r>
      <w:r>
        <w:rPr>
          <w:spacing w:val="40"/>
        </w:rPr>
        <w:t xml:space="preserve"> </w:t>
      </w:r>
      <w:r>
        <w:t>a</w:t>
      </w:r>
      <w:r>
        <w:rPr>
          <w:spacing w:val="40"/>
        </w:rPr>
        <w:t xml:space="preserve"> </w:t>
      </w:r>
      <w:r>
        <w:t>sentence</w:t>
      </w:r>
      <w:r>
        <w:rPr>
          <w:spacing w:val="40"/>
        </w:rPr>
        <w:t xml:space="preserve"> </w:t>
      </w:r>
      <w:r>
        <w:t>S</w:t>
      </w:r>
      <w:r>
        <w:rPr>
          <w:vertAlign w:val="subscript"/>
        </w:rPr>
        <w:t>1</w:t>
      </w:r>
      <w:r>
        <w:rPr>
          <w:spacing w:val="40"/>
        </w:rPr>
        <w:t xml:space="preserve"> </w:t>
      </w:r>
      <w:r>
        <w:t>such</w:t>
      </w:r>
      <w:r>
        <w:rPr>
          <w:spacing w:val="40"/>
        </w:rPr>
        <w:t xml:space="preserve"> </w:t>
      </w:r>
      <w:r>
        <w:t>that</w:t>
      </w:r>
      <w:r>
        <w:rPr>
          <w:spacing w:val="40"/>
        </w:rPr>
        <w:t xml:space="preserve"> </w:t>
      </w:r>
      <w:r>
        <w:t>S</w:t>
      </w:r>
      <w:r>
        <w:rPr>
          <w:vertAlign w:val="subscript"/>
        </w:rPr>
        <w:t>1</w:t>
      </w:r>
      <w:r>
        <w:t>’s</w:t>
      </w:r>
      <w:r>
        <w:rPr>
          <w:spacing w:val="40"/>
        </w:rPr>
        <w:t xml:space="preserve"> </w:t>
      </w:r>
      <w:r>
        <w:t>logical</w:t>
      </w:r>
      <w:r>
        <w:rPr>
          <w:spacing w:val="40"/>
        </w:rPr>
        <w:t xml:space="preserve"> </w:t>
      </w:r>
      <w:r>
        <w:t>and</w:t>
      </w:r>
      <w:r>
        <w:rPr>
          <w:spacing w:val="40"/>
        </w:rPr>
        <w:t xml:space="preserve"> </w:t>
      </w:r>
      <w:r>
        <w:t>grammatical</w:t>
      </w:r>
      <w:r>
        <w:rPr>
          <w:spacing w:val="40"/>
        </w:rPr>
        <w:t xml:space="preserve"> </w:t>
      </w:r>
      <w:r>
        <w:t>forms</w:t>
      </w:r>
      <w:r>
        <w:rPr>
          <w:spacing w:val="40"/>
        </w:rPr>
        <w:t xml:space="preserve"> </w:t>
      </w:r>
      <w:r>
        <w:t>diverge,</w:t>
      </w:r>
    </w:p>
    <w:p w14:paraId="7E000F29" w14:textId="77777777" w:rsidR="009A58DB" w:rsidRDefault="00000000">
      <w:pPr>
        <w:pStyle w:val="BodyText"/>
        <w:spacing w:before="64" w:line="292" w:lineRule="auto"/>
        <w:ind w:right="364"/>
      </w:pPr>
      <w:r>
        <w:t>Frege was able to produce a sentence S</w:t>
      </w:r>
      <w:r>
        <w:rPr>
          <w:vertAlign w:val="subscript"/>
        </w:rPr>
        <w:t>2</w:t>
      </w:r>
      <w:r>
        <w:t xml:space="preserve"> such that S</w:t>
      </w:r>
      <w:r>
        <w:rPr>
          <w:vertAlign w:val="subscript"/>
        </w:rPr>
        <w:t>2</w:t>
      </w:r>
      <w:r>
        <w:t>’s logical form coincides with</w:t>
      </w:r>
      <w:r>
        <w:rPr>
          <w:spacing w:val="15"/>
        </w:rPr>
        <w:t xml:space="preserve"> </w:t>
      </w:r>
      <w:r>
        <w:t>S</w:t>
      </w:r>
      <w:r>
        <w:rPr>
          <w:vertAlign w:val="subscript"/>
        </w:rPr>
        <w:t>1</w:t>
      </w:r>
      <w:r>
        <w:t>’s</w:t>
      </w:r>
      <w:r>
        <w:rPr>
          <w:spacing w:val="14"/>
        </w:rPr>
        <w:t xml:space="preserve"> </w:t>
      </w:r>
      <w:r>
        <w:t>and</w:t>
      </w:r>
      <w:r>
        <w:rPr>
          <w:spacing w:val="16"/>
        </w:rPr>
        <w:t xml:space="preserve"> </w:t>
      </w:r>
      <w:r>
        <w:t>such</w:t>
      </w:r>
      <w:r>
        <w:rPr>
          <w:spacing w:val="15"/>
        </w:rPr>
        <w:t xml:space="preserve"> </w:t>
      </w:r>
      <w:r>
        <w:t>that</w:t>
      </w:r>
      <w:r>
        <w:rPr>
          <w:spacing w:val="14"/>
        </w:rPr>
        <w:t xml:space="preserve"> </w:t>
      </w:r>
      <w:r>
        <w:t>S</w:t>
      </w:r>
      <w:r>
        <w:rPr>
          <w:vertAlign w:val="subscript"/>
        </w:rPr>
        <w:t>2</w:t>
      </w:r>
      <w:r>
        <w:t>’s</w:t>
      </w:r>
      <w:r>
        <w:rPr>
          <w:spacing w:val="20"/>
        </w:rPr>
        <w:t xml:space="preserve"> </w:t>
      </w:r>
      <w:r>
        <w:t>logical</w:t>
      </w:r>
      <w:r>
        <w:rPr>
          <w:spacing w:val="19"/>
        </w:rPr>
        <w:t xml:space="preserve"> </w:t>
      </w:r>
      <w:r>
        <w:t>and</w:t>
      </w:r>
      <w:r>
        <w:rPr>
          <w:spacing w:val="20"/>
        </w:rPr>
        <w:t xml:space="preserve"> </w:t>
      </w:r>
      <w:r>
        <w:t>grammatical</w:t>
      </w:r>
      <w:r>
        <w:rPr>
          <w:spacing w:val="19"/>
        </w:rPr>
        <w:t xml:space="preserve"> </w:t>
      </w:r>
      <w:r>
        <w:t>forms</w:t>
      </w:r>
      <w:r>
        <w:rPr>
          <w:spacing w:val="20"/>
        </w:rPr>
        <w:t xml:space="preserve"> </w:t>
      </w:r>
      <w:r>
        <w:t>coincide.)</w:t>
      </w:r>
      <w:r>
        <w:rPr>
          <w:spacing w:val="19"/>
        </w:rPr>
        <w:t xml:space="preserve"> </w:t>
      </w:r>
      <w:r>
        <w:t>It</w:t>
      </w:r>
      <w:r>
        <w:rPr>
          <w:spacing w:val="19"/>
        </w:rPr>
        <w:t xml:space="preserve"> </w:t>
      </w:r>
      <w:r>
        <w:rPr>
          <w:spacing w:val="-5"/>
        </w:rPr>
        <w:t>was</w:t>
      </w:r>
    </w:p>
    <w:p w14:paraId="7E000F2A" w14:textId="77777777" w:rsidR="009A58DB" w:rsidRDefault="00000000">
      <w:pPr>
        <w:spacing w:line="249" w:lineRule="auto"/>
        <w:ind w:left="360" w:right="361"/>
        <w:jc w:val="both"/>
        <w:rPr>
          <w:b/>
          <w:i/>
          <w:sz w:val="30"/>
        </w:rPr>
      </w:pPr>
      <w:r>
        <w:rPr>
          <w:sz w:val="30"/>
        </w:rPr>
        <w:t xml:space="preserve">because of these insights of his that Frege, unlike all of his many predecessors, successfully </w:t>
      </w:r>
      <w:r>
        <w:rPr>
          <w:b/>
          <w:i/>
          <w:sz w:val="30"/>
        </w:rPr>
        <w:t xml:space="preserve">formalized </w:t>
      </w:r>
      <w:r>
        <w:rPr>
          <w:sz w:val="30"/>
        </w:rPr>
        <w:t xml:space="preserve">inferences involving </w:t>
      </w:r>
      <w:r>
        <w:rPr>
          <w:b/>
          <w:i/>
          <w:sz w:val="30"/>
        </w:rPr>
        <w:t xml:space="preserve">quantified </w:t>
      </w:r>
      <w:r>
        <w:rPr>
          <w:b/>
          <w:i/>
          <w:spacing w:val="-2"/>
          <w:sz w:val="30"/>
        </w:rPr>
        <w:t>generalizations.</w:t>
      </w:r>
    </w:p>
    <w:p w14:paraId="7E000F2B" w14:textId="77777777" w:rsidR="009A58DB" w:rsidRDefault="00000000">
      <w:pPr>
        <w:pStyle w:val="BodyText"/>
        <w:spacing w:before="2" w:line="249" w:lineRule="auto"/>
        <w:ind w:right="358" w:firstLine="360"/>
      </w:pPr>
      <w:r>
        <w:t>But what does this mean exactly? What is it to “formalize” an inference, and what is a “quantified generalization”?</w:t>
      </w:r>
    </w:p>
    <w:p w14:paraId="7E000F2C" w14:textId="77777777" w:rsidR="009A58DB" w:rsidRDefault="00000000">
      <w:pPr>
        <w:pStyle w:val="Heading1"/>
        <w:numPr>
          <w:ilvl w:val="1"/>
          <w:numId w:val="168"/>
        </w:numPr>
        <w:tabs>
          <w:tab w:val="left" w:pos="1409"/>
        </w:tabs>
        <w:spacing w:before="205"/>
        <w:ind w:left="1409" w:hanging="1049"/>
      </w:pPr>
      <w:r>
        <w:t>What</w:t>
      </w:r>
      <w:r>
        <w:rPr>
          <w:spacing w:val="-3"/>
        </w:rPr>
        <w:t xml:space="preserve"> </w:t>
      </w:r>
      <w:r>
        <w:t>is</w:t>
      </w:r>
      <w:r>
        <w:rPr>
          <w:spacing w:val="-3"/>
        </w:rPr>
        <w:t xml:space="preserve"> </w:t>
      </w:r>
      <w:r>
        <w:t>it</w:t>
      </w:r>
      <w:r>
        <w:rPr>
          <w:spacing w:val="-2"/>
        </w:rPr>
        <w:t xml:space="preserve"> </w:t>
      </w:r>
      <w:r>
        <w:t>to</w:t>
      </w:r>
      <w:r>
        <w:rPr>
          <w:spacing w:val="-2"/>
        </w:rPr>
        <w:t xml:space="preserve"> </w:t>
      </w:r>
      <w:r>
        <w:t>formalize</w:t>
      </w:r>
      <w:r>
        <w:rPr>
          <w:spacing w:val="-3"/>
        </w:rPr>
        <w:t xml:space="preserve"> </w:t>
      </w:r>
      <w:r>
        <w:t>an</w:t>
      </w:r>
      <w:r>
        <w:rPr>
          <w:spacing w:val="-2"/>
        </w:rPr>
        <w:t xml:space="preserve"> inference?</w:t>
      </w:r>
    </w:p>
    <w:p w14:paraId="7E000F2D" w14:textId="77777777" w:rsidR="009A58DB" w:rsidRDefault="00000000">
      <w:pPr>
        <w:pStyle w:val="BodyText"/>
        <w:spacing w:before="140" w:line="249" w:lineRule="auto"/>
        <w:ind w:right="366"/>
      </w:pPr>
      <w:r>
        <w:t>Any deductive inference can be thought of corresponding to a single sentence. For example, the inference from:</w:t>
      </w:r>
    </w:p>
    <w:p w14:paraId="7E000F2E" w14:textId="77777777" w:rsidR="009A58DB" w:rsidRDefault="009A58DB">
      <w:pPr>
        <w:pStyle w:val="BodyText"/>
        <w:spacing w:before="17"/>
        <w:ind w:left="0"/>
        <w:jc w:val="left"/>
      </w:pPr>
    </w:p>
    <w:p w14:paraId="7E000F2F" w14:textId="77777777" w:rsidR="009A58DB" w:rsidRDefault="00000000">
      <w:pPr>
        <w:pStyle w:val="ListParagraph"/>
        <w:numPr>
          <w:ilvl w:val="0"/>
          <w:numId w:val="167"/>
        </w:numPr>
        <w:tabs>
          <w:tab w:val="left" w:pos="764"/>
        </w:tabs>
        <w:ind w:left="764" w:hanging="404"/>
        <w:rPr>
          <w:sz w:val="30"/>
        </w:rPr>
      </w:pPr>
      <w:r>
        <w:rPr>
          <w:sz w:val="30"/>
        </w:rPr>
        <w:t>“snow</w:t>
      </w:r>
      <w:r>
        <w:rPr>
          <w:spacing w:val="-3"/>
          <w:sz w:val="30"/>
        </w:rPr>
        <w:t xml:space="preserve"> </w:t>
      </w:r>
      <w:r>
        <w:rPr>
          <w:sz w:val="30"/>
        </w:rPr>
        <w:t>is</w:t>
      </w:r>
      <w:r>
        <w:rPr>
          <w:spacing w:val="-3"/>
          <w:sz w:val="30"/>
        </w:rPr>
        <w:t xml:space="preserve"> </w:t>
      </w:r>
      <w:r>
        <w:rPr>
          <w:sz w:val="30"/>
        </w:rPr>
        <w:t>white</w:t>
      </w:r>
      <w:r>
        <w:rPr>
          <w:spacing w:val="-3"/>
          <w:sz w:val="30"/>
        </w:rPr>
        <w:t xml:space="preserve"> </w:t>
      </w:r>
      <w:r>
        <w:rPr>
          <w:sz w:val="30"/>
        </w:rPr>
        <w:t>and</w:t>
      </w:r>
      <w:r>
        <w:rPr>
          <w:spacing w:val="-2"/>
          <w:sz w:val="30"/>
        </w:rPr>
        <w:t xml:space="preserve"> </w:t>
      </w:r>
      <w:r>
        <w:rPr>
          <w:sz w:val="30"/>
        </w:rPr>
        <w:t>grass</w:t>
      </w:r>
      <w:r>
        <w:rPr>
          <w:spacing w:val="-3"/>
          <w:sz w:val="30"/>
        </w:rPr>
        <w:t xml:space="preserve"> </w:t>
      </w:r>
      <w:r>
        <w:rPr>
          <w:sz w:val="30"/>
        </w:rPr>
        <w:t>is</w:t>
      </w:r>
      <w:r>
        <w:rPr>
          <w:spacing w:val="-2"/>
          <w:sz w:val="30"/>
        </w:rPr>
        <w:t xml:space="preserve"> green”</w:t>
      </w:r>
    </w:p>
    <w:p w14:paraId="7E000F30" w14:textId="77777777" w:rsidR="009A58DB" w:rsidRDefault="009A58DB">
      <w:pPr>
        <w:pStyle w:val="ListParagraph"/>
        <w:rPr>
          <w:sz w:val="30"/>
        </w:rPr>
        <w:sectPr w:rsidR="009A58DB">
          <w:pgSz w:w="12240" w:h="15840"/>
          <w:pgMar w:top="1680" w:right="1080" w:bottom="280" w:left="1080" w:header="720" w:footer="720" w:gutter="0"/>
          <w:cols w:space="720"/>
        </w:sectPr>
      </w:pPr>
    </w:p>
    <w:p w14:paraId="7E000F31" w14:textId="77777777" w:rsidR="009A58DB" w:rsidRDefault="00000000">
      <w:pPr>
        <w:pStyle w:val="BodyText"/>
        <w:spacing w:before="65"/>
        <w:jc w:val="left"/>
      </w:pPr>
      <w:r>
        <w:rPr>
          <w:spacing w:val="-5"/>
        </w:rPr>
        <w:lastRenderedPageBreak/>
        <w:t>to</w:t>
      </w:r>
    </w:p>
    <w:p w14:paraId="7E000F32" w14:textId="77777777" w:rsidR="009A58DB" w:rsidRDefault="009A58DB">
      <w:pPr>
        <w:pStyle w:val="BodyText"/>
        <w:spacing w:before="29"/>
        <w:ind w:left="0"/>
        <w:jc w:val="left"/>
      </w:pPr>
    </w:p>
    <w:p w14:paraId="7E000F33" w14:textId="77777777" w:rsidR="009A58DB" w:rsidRDefault="00000000">
      <w:pPr>
        <w:pStyle w:val="ListParagraph"/>
        <w:numPr>
          <w:ilvl w:val="0"/>
          <w:numId w:val="167"/>
        </w:numPr>
        <w:tabs>
          <w:tab w:val="left" w:pos="782"/>
        </w:tabs>
        <w:spacing w:before="1" w:line="501" w:lineRule="auto"/>
        <w:ind w:left="360" w:right="7394" w:firstLine="0"/>
        <w:rPr>
          <w:sz w:val="30"/>
        </w:rPr>
      </w:pPr>
      <w:r>
        <w:rPr>
          <w:sz w:val="30"/>
        </w:rPr>
        <w:t>“grass</w:t>
      </w:r>
      <w:r>
        <w:rPr>
          <w:spacing w:val="-18"/>
          <w:sz w:val="30"/>
        </w:rPr>
        <w:t xml:space="preserve"> </w:t>
      </w:r>
      <w:r>
        <w:rPr>
          <w:sz w:val="30"/>
        </w:rPr>
        <w:t>is</w:t>
      </w:r>
      <w:r>
        <w:rPr>
          <w:spacing w:val="-18"/>
          <w:sz w:val="30"/>
        </w:rPr>
        <w:t xml:space="preserve"> </w:t>
      </w:r>
      <w:r>
        <w:rPr>
          <w:sz w:val="30"/>
        </w:rPr>
        <w:t>green” corresponds to:</w:t>
      </w:r>
    </w:p>
    <w:p w14:paraId="7E000F34" w14:textId="77777777" w:rsidR="009A58DB" w:rsidRDefault="00000000">
      <w:pPr>
        <w:pStyle w:val="ListParagraph"/>
        <w:numPr>
          <w:ilvl w:val="0"/>
          <w:numId w:val="167"/>
        </w:numPr>
        <w:tabs>
          <w:tab w:val="left" w:pos="764"/>
        </w:tabs>
        <w:spacing w:line="343" w:lineRule="exact"/>
        <w:ind w:left="764" w:hanging="404"/>
        <w:rPr>
          <w:sz w:val="30"/>
        </w:rPr>
      </w:pPr>
      <w:r>
        <w:rPr>
          <w:sz w:val="30"/>
        </w:rPr>
        <w:t>“if</w:t>
      </w:r>
      <w:r>
        <w:rPr>
          <w:spacing w:val="-5"/>
          <w:sz w:val="30"/>
        </w:rPr>
        <w:t xml:space="preserve"> </w:t>
      </w:r>
      <w:r>
        <w:rPr>
          <w:sz w:val="30"/>
        </w:rPr>
        <w:t>snow</w:t>
      </w:r>
      <w:r>
        <w:rPr>
          <w:spacing w:val="-3"/>
          <w:sz w:val="30"/>
        </w:rPr>
        <w:t xml:space="preserve"> </w:t>
      </w:r>
      <w:r>
        <w:rPr>
          <w:sz w:val="30"/>
        </w:rPr>
        <w:t>is</w:t>
      </w:r>
      <w:r>
        <w:rPr>
          <w:spacing w:val="-3"/>
          <w:sz w:val="30"/>
        </w:rPr>
        <w:t xml:space="preserve"> </w:t>
      </w:r>
      <w:r>
        <w:rPr>
          <w:sz w:val="30"/>
        </w:rPr>
        <w:t>white</w:t>
      </w:r>
      <w:r>
        <w:rPr>
          <w:spacing w:val="-3"/>
          <w:sz w:val="30"/>
        </w:rPr>
        <w:t xml:space="preserve"> </w:t>
      </w:r>
      <w:r>
        <w:rPr>
          <w:sz w:val="30"/>
        </w:rPr>
        <w:t>and</w:t>
      </w:r>
      <w:r>
        <w:rPr>
          <w:spacing w:val="-2"/>
          <w:sz w:val="30"/>
        </w:rPr>
        <w:t xml:space="preserve"> </w:t>
      </w:r>
      <w:r>
        <w:rPr>
          <w:sz w:val="30"/>
        </w:rPr>
        <w:t>grass</w:t>
      </w:r>
      <w:r>
        <w:rPr>
          <w:spacing w:val="-3"/>
          <w:sz w:val="30"/>
        </w:rPr>
        <w:t xml:space="preserve"> </w:t>
      </w:r>
      <w:r>
        <w:rPr>
          <w:sz w:val="30"/>
        </w:rPr>
        <w:t>is</w:t>
      </w:r>
      <w:r>
        <w:rPr>
          <w:spacing w:val="-3"/>
          <w:sz w:val="30"/>
        </w:rPr>
        <w:t xml:space="preserve"> </w:t>
      </w:r>
      <w:r>
        <w:rPr>
          <w:sz w:val="30"/>
        </w:rPr>
        <w:t>green,</w:t>
      </w:r>
      <w:r>
        <w:rPr>
          <w:spacing w:val="-2"/>
          <w:sz w:val="30"/>
        </w:rPr>
        <w:t xml:space="preserve"> </w:t>
      </w:r>
      <w:r>
        <w:rPr>
          <w:sz w:val="30"/>
        </w:rPr>
        <w:t>then</w:t>
      </w:r>
      <w:r>
        <w:rPr>
          <w:spacing w:val="-2"/>
          <w:sz w:val="30"/>
        </w:rPr>
        <w:t xml:space="preserve"> </w:t>
      </w:r>
      <w:r>
        <w:rPr>
          <w:sz w:val="30"/>
        </w:rPr>
        <w:t>grass</w:t>
      </w:r>
      <w:r>
        <w:rPr>
          <w:spacing w:val="-3"/>
          <w:sz w:val="30"/>
        </w:rPr>
        <w:t xml:space="preserve"> </w:t>
      </w:r>
      <w:r>
        <w:rPr>
          <w:sz w:val="30"/>
        </w:rPr>
        <w:t>is</w:t>
      </w:r>
      <w:r>
        <w:rPr>
          <w:spacing w:val="-2"/>
          <w:sz w:val="30"/>
        </w:rPr>
        <w:t xml:space="preserve"> green.”</w:t>
      </w:r>
    </w:p>
    <w:p w14:paraId="7E000F35" w14:textId="77777777" w:rsidR="009A58DB" w:rsidRDefault="009A58DB">
      <w:pPr>
        <w:pStyle w:val="BodyText"/>
        <w:spacing w:before="30"/>
        <w:ind w:left="0"/>
        <w:jc w:val="left"/>
      </w:pPr>
    </w:p>
    <w:p w14:paraId="7E000F36" w14:textId="77777777" w:rsidR="009A58DB" w:rsidRDefault="00000000">
      <w:pPr>
        <w:pStyle w:val="BodyText"/>
        <w:spacing w:line="249" w:lineRule="auto"/>
        <w:ind w:right="360" w:firstLine="360"/>
      </w:pPr>
      <w:r>
        <w:t>To formalize an inference is to show that the corresponding conditional is equivalent to a sentence that is an instance of an open-sentence all of whose instances are true. So in this particular case we need to find an open-sentence all of whose instances are true and of which (c) is an instance. Here is just such an open sentence:</w:t>
      </w:r>
    </w:p>
    <w:p w14:paraId="7E000F37" w14:textId="77777777" w:rsidR="009A58DB" w:rsidRDefault="009A58DB">
      <w:pPr>
        <w:pStyle w:val="BodyText"/>
        <w:spacing w:before="21"/>
        <w:ind w:left="0"/>
        <w:jc w:val="left"/>
      </w:pPr>
    </w:p>
    <w:p w14:paraId="7E000F38" w14:textId="77777777" w:rsidR="009A58DB" w:rsidRDefault="00000000">
      <w:pPr>
        <w:pStyle w:val="ListParagraph"/>
        <w:numPr>
          <w:ilvl w:val="0"/>
          <w:numId w:val="167"/>
        </w:numPr>
        <w:tabs>
          <w:tab w:val="left" w:pos="782"/>
        </w:tabs>
        <w:ind w:left="782" w:hanging="422"/>
        <w:rPr>
          <w:sz w:val="30"/>
        </w:rPr>
      </w:pPr>
      <w:r>
        <w:rPr>
          <w:sz w:val="30"/>
        </w:rPr>
        <w:t>‹if</w:t>
      </w:r>
      <w:r>
        <w:rPr>
          <w:spacing w:val="-3"/>
          <w:sz w:val="30"/>
        </w:rPr>
        <w:t xml:space="preserve"> </w:t>
      </w:r>
      <w:r>
        <w:rPr>
          <w:sz w:val="30"/>
        </w:rPr>
        <w:t>P</w:t>
      </w:r>
      <w:r>
        <w:rPr>
          <w:spacing w:val="-2"/>
          <w:sz w:val="30"/>
        </w:rPr>
        <w:t xml:space="preserve"> </w:t>
      </w:r>
      <w:r>
        <w:rPr>
          <w:sz w:val="30"/>
        </w:rPr>
        <w:t>and</w:t>
      </w:r>
      <w:r>
        <w:rPr>
          <w:spacing w:val="-1"/>
          <w:sz w:val="30"/>
        </w:rPr>
        <w:t xml:space="preserve"> </w:t>
      </w:r>
      <w:r>
        <w:rPr>
          <w:sz w:val="30"/>
        </w:rPr>
        <w:t>Q,</w:t>
      </w:r>
      <w:r>
        <w:rPr>
          <w:spacing w:val="-1"/>
          <w:sz w:val="30"/>
        </w:rPr>
        <w:t xml:space="preserve"> </w:t>
      </w:r>
      <w:r>
        <w:rPr>
          <w:sz w:val="30"/>
        </w:rPr>
        <w:t>then</w:t>
      </w:r>
      <w:r>
        <w:rPr>
          <w:spacing w:val="-1"/>
          <w:sz w:val="30"/>
        </w:rPr>
        <w:t xml:space="preserve"> </w:t>
      </w:r>
      <w:r>
        <w:rPr>
          <w:spacing w:val="-5"/>
          <w:sz w:val="30"/>
        </w:rPr>
        <w:t>Q.›</w:t>
      </w:r>
    </w:p>
    <w:p w14:paraId="7E000F39" w14:textId="77777777" w:rsidR="009A58DB" w:rsidRDefault="009A58DB">
      <w:pPr>
        <w:pStyle w:val="BodyText"/>
        <w:spacing w:before="30"/>
        <w:ind w:left="0"/>
        <w:jc w:val="left"/>
      </w:pPr>
    </w:p>
    <w:p w14:paraId="7E000F3A" w14:textId="77777777" w:rsidR="009A58DB" w:rsidRDefault="00000000">
      <w:pPr>
        <w:pStyle w:val="BodyText"/>
        <w:spacing w:line="249" w:lineRule="auto"/>
        <w:ind w:firstLine="360"/>
        <w:jc w:val="left"/>
      </w:pPr>
      <w:r>
        <w:t>(c)</w:t>
      </w:r>
      <w:r>
        <w:rPr>
          <w:spacing w:val="33"/>
        </w:rPr>
        <w:t xml:space="preserve"> </w:t>
      </w:r>
      <w:r>
        <w:t>is</w:t>
      </w:r>
      <w:r>
        <w:rPr>
          <w:spacing w:val="33"/>
        </w:rPr>
        <w:t xml:space="preserve"> </w:t>
      </w:r>
      <w:r>
        <w:t>equivalent</w:t>
      </w:r>
      <w:r>
        <w:rPr>
          <w:spacing w:val="33"/>
        </w:rPr>
        <w:t xml:space="preserve"> </w:t>
      </w:r>
      <w:r>
        <w:t>with</w:t>
      </w:r>
      <w:r>
        <w:rPr>
          <w:spacing w:val="33"/>
        </w:rPr>
        <w:t xml:space="preserve"> </w:t>
      </w:r>
      <w:r>
        <w:t>itself.</w:t>
      </w:r>
      <w:r>
        <w:rPr>
          <w:spacing w:val="33"/>
        </w:rPr>
        <w:t xml:space="preserve"> </w:t>
      </w:r>
      <w:r>
        <w:t>(All</w:t>
      </w:r>
      <w:r>
        <w:rPr>
          <w:spacing w:val="33"/>
        </w:rPr>
        <w:t xml:space="preserve"> </w:t>
      </w:r>
      <w:r>
        <w:t>sentences</w:t>
      </w:r>
      <w:r>
        <w:rPr>
          <w:spacing w:val="33"/>
        </w:rPr>
        <w:t xml:space="preserve"> </w:t>
      </w:r>
      <w:r>
        <w:t>are</w:t>
      </w:r>
      <w:r>
        <w:rPr>
          <w:spacing w:val="33"/>
        </w:rPr>
        <w:t xml:space="preserve"> </w:t>
      </w:r>
      <w:r>
        <w:t>self-equivalent.)</w:t>
      </w:r>
      <w:r>
        <w:rPr>
          <w:spacing w:val="33"/>
        </w:rPr>
        <w:t xml:space="preserve"> </w:t>
      </w:r>
      <w:r>
        <w:t>(c)</w:t>
      </w:r>
      <w:r>
        <w:rPr>
          <w:spacing w:val="33"/>
        </w:rPr>
        <w:t xml:space="preserve"> </w:t>
      </w:r>
      <w:r>
        <w:t>is</w:t>
      </w:r>
      <w:r>
        <w:rPr>
          <w:spacing w:val="33"/>
        </w:rPr>
        <w:t xml:space="preserve"> </w:t>
      </w:r>
      <w:r>
        <w:t>an instance of (d). So we’re done.</w:t>
      </w:r>
    </w:p>
    <w:p w14:paraId="7E000F3B" w14:textId="77777777" w:rsidR="009A58DB" w:rsidRDefault="00000000">
      <w:pPr>
        <w:pStyle w:val="Heading1"/>
        <w:numPr>
          <w:ilvl w:val="1"/>
          <w:numId w:val="168"/>
        </w:numPr>
        <w:tabs>
          <w:tab w:val="left" w:pos="1409"/>
        </w:tabs>
        <w:spacing w:before="190"/>
        <w:ind w:left="1409" w:hanging="1049"/>
        <w:rPr>
          <w:position w:val="30"/>
        </w:rPr>
      </w:pPr>
      <w:r>
        <w:t>Frege</w:t>
      </w:r>
      <w:r>
        <w:rPr>
          <w:spacing w:val="-3"/>
        </w:rPr>
        <w:t xml:space="preserve"> </w:t>
      </w:r>
      <w:r>
        <w:t>on</w:t>
      </w:r>
      <w:r>
        <w:rPr>
          <w:spacing w:val="-2"/>
        </w:rPr>
        <w:t xml:space="preserve"> quantificatio</w:t>
      </w:r>
      <w:bookmarkStart w:id="206" w:name="_bookmark206"/>
      <w:bookmarkEnd w:id="206"/>
      <w:r>
        <w:rPr>
          <w:spacing w:val="-2"/>
        </w:rPr>
        <w:t>n</w:t>
      </w:r>
      <w:r>
        <w:rPr>
          <w:color w:val="0562C1"/>
          <w:spacing w:val="-2"/>
          <w:position w:val="30"/>
          <w:u w:val="single" w:color="0562C1"/>
        </w:rPr>
        <w:t>[114]</w:t>
      </w:r>
    </w:p>
    <w:p w14:paraId="7E000F3C" w14:textId="77777777" w:rsidR="009A58DB" w:rsidRDefault="00000000">
      <w:pPr>
        <w:pStyle w:val="BodyText"/>
        <w:spacing w:before="139" w:line="249" w:lineRule="auto"/>
        <w:ind w:right="358"/>
      </w:pPr>
      <w:r>
        <w:t>The inference just formalized contained no sentences containing any quantifiers.</w:t>
      </w:r>
      <w:r>
        <w:rPr>
          <w:spacing w:val="-4"/>
        </w:rPr>
        <w:t xml:space="preserve"> </w:t>
      </w:r>
      <w:r>
        <w:t>Frege’s</w:t>
      </w:r>
      <w:r>
        <w:rPr>
          <w:spacing w:val="-4"/>
        </w:rPr>
        <w:t xml:space="preserve"> </w:t>
      </w:r>
      <w:r>
        <w:t>successors</w:t>
      </w:r>
      <w:r>
        <w:rPr>
          <w:spacing w:val="-4"/>
        </w:rPr>
        <w:t xml:space="preserve"> </w:t>
      </w:r>
      <w:r>
        <w:t>had</w:t>
      </w:r>
      <w:r>
        <w:rPr>
          <w:spacing w:val="-4"/>
        </w:rPr>
        <w:t xml:space="preserve"> </w:t>
      </w:r>
      <w:r>
        <w:t>some</w:t>
      </w:r>
      <w:r>
        <w:rPr>
          <w:spacing w:val="-4"/>
        </w:rPr>
        <w:t xml:space="preserve"> </w:t>
      </w:r>
      <w:r>
        <w:t>success</w:t>
      </w:r>
      <w:r>
        <w:rPr>
          <w:spacing w:val="-4"/>
        </w:rPr>
        <w:t xml:space="preserve"> </w:t>
      </w:r>
      <w:r>
        <w:t>formalizing</w:t>
      </w:r>
      <w:r>
        <w:rPr>
          <w:spacing w:val="-4"/>
        </w:rPr>
        <w:t xml:space="preserve"> </w:t>
      </w:r>
      <w:r>
        <w:t>such</w:t>
      </w:r>
      <w:r>
        <w:rPr>
          <w:spacing w:val="-4"/>
        </w:rPr>
        <w:t xml:space="preserve"> </w:t>
      </w:r>
      <w:r>
        <w:t>inferences. They knew, for example, how to do what we just did. But they had little success with inferences containing sentences involving so much as a single quantifier (e.g., “all people smoke cigars”); and they had no success in the way of formalizing inferences containing sentences containing multiple quantifiers (e.g., “one can fool all of the people some of the time, and some</w:t>
      </w:r>
      <w:r>
        <w:rPr>
          <w:spacing w:val="40"/>
        </w:rPr>
        <w:t xml:space="preserve"> </w:t>
      </w:r>
      <w:r>
        <w:t xml:space="preserve">of the people all of the time, but not all of the people all of the time”). But Frege </w:t>
      </w:r>
      <w:r>
        <w:rPr>
          <w:i/>
        </w:rPr>
        <w:t xml:space="preserve">did </w:t>
      </w:r>
      <w:r>
        <w:t>succeed in formalizing such inferences.</w:t>
      </w:r>
    </w:p>
    <w:p w14:paraId="7E000F3D" w14:textId="77777777" w:rsidR="009A58DB" w:rsidRDefault="00000000">
      <w:pPr>
        <w:pStyle w:val="BodyText"/>
        <w:spacing w:before="12" w:line="249" w:lineRule="auto"/>
        <w:ind w:right="366" w:firstLine="360"/>
      </w:pPr>
      <w:r>
        <w:t xml:space="preserve">We will henceforth refer to any inference involving at least one quantified sentence as a </w:t>
      </w:r>
      <w:r>
        <w:rPr>
          <w:b/>
          <w:i/>
        </w:rPr>
        <w:t xml:space="preserve">quantified inference. </w:t>
      </w:r>
      <w:r>
        <w:t>(So a quantified inference is an inference that involves so much as a single sentence containing a single quantifier.)</w:t>
      </w:r>
    </w:p>
    <w:p w14:paraId="7E000F3E" w14:textId="77777777" w:rsidR="009A58DB" w:rsidRDefault="00000000">
      <w:pPr>
        <w:pStyle w:val="BodyText"/>
        <w:spacing w:before="3"/>
        <w:ind w:left="720"/>
      </w:pPr>
      <w:r>
        <w:t>To</w:t>
      </w:r>
      <w:r>
        <w:rPr>
          <w:spacing w:val="-5"/>
        </w:rPr>
        <w:t xml:space="preserve"> </w:t>
      </w:r>
      <w:r>
        <w:t>move</w:t>
      </w:r>
      <w:r>
        <w:rPr>
          <w:spacing w:val="-3"/>
        </w:rPr>
        <w:t xml:space="preserve"> </w:t>
      </w:r>
      <w:r>
        <w:t>forward,</w:t>
      </w:r>
      <w:r>
        <w:rPr>
          <w:spacing w:val="-2"/>
        </w:rPr>
        <w:t xml:space="preserve"> </w:t>
      </w:r>
      <w:r>
        <w:t>we</w:t>
      </w:r>
      <w:r>
        <w:rPr>
          <w:spacing w:val="-3"/>
        </w:rPr>
        <w:t xml:space="preserve"> </w:t>
      </w:r>
      <w:r>
        <w:t>must</w:t>
      </w:r>
      <w:r>
        <w:rPr>
          <w:spacing w:val="-3"/>
        </w:rPr>
        <w:t xml:space="preserve"> </w:t>
      </w:r>
      <w:r>
        <w:t>note</w:t>
      </w:r>
      <w:r>
        <w:rPr>
          <w:spacing w:val="-3"/>
        </w:rPr>
        <w:t xml:space="preserve"> </w:t>
      </w:r>
      <w:r>
        <w:t>that</w:t>
      </w:r>
      <w:r>
        <w:rPr>
          <w:spacing w:val="-2"/>
        </w:rPr>
        <w:t xml:space="preserve"> </w:t>
      </w:r>
      <w:r>
        <w:t>Frege</w:t>
      </w:r>
      <w:r>
        <w:rPr>
          <w:spacing w:val="-3"/>
        </w:rPr>
        <w:t xml:space="preserve"> </w:t>
      </w:r>
      <w:r>
        <w:rPr>
          <w:spacing w:val="-2"/>
        </w:rPr>
        <w:t>sees:</w:t>
      </w:r>
    </w:p>
    <w:p w14:paraId="7E000F3F" w14:textId="77777777" w:rsidR="009A58DB" w:rsidRDefault="009A58DB">
      <w:pPr>
        <w:pStyle w:val="BodyText"/>
        <w:sectPr w:rsidR="009A58DB">
          <w:pgSz w:w="12240" w:h="15840"/>
          <w:pgMar w:top="1380" w:right="1080" w:bottom="280" w:left="1080" w:header="720" w:footer="720" w:gutter="0"/>
          <w:cols w:space="720"/>
        </w:sectPr>
      </w:pPr>
    </w:p>
    <w:p w14:paraId="7E000F40" w14:textId="77777777" w:rsidR="009A58DB" w:rsidRDefault="00000000">
      <w:pPr>
        <w:pStyle w:val="BodyText"/>
        <w:spacing w:before="65"/>
      </w:pPr>
      <w:r>
        <w:lastRenderedPageBreak/>
        <w:t>(SS)</w:t>
      </w:r>
      <w:r>
        <w:rPr>
          <w:spacing w:val="-5"/>
        </w:rPr>
        <w:t xml:space="preserve"> </w:t>
      </w:r>
      <w:r>
        <w:t>“someone</w:t>
      </w:r>
      <w:r>
        <w:rPr>
          <w:spacing w:val="-4"/>
        </w:rPr>
        <w:t xml:space="preserve"> </w:t>
      </w:r>
      <w:r>
        <w:rPr>
          <w:spacing w:val="-2"/>
        </w:rPr>
        <w:t>snores”</w:t>
      </w:r>
    </w:p>
    <w:p w14:paraId="7E000F41" w14:textId="77777777" w:rsidR="009A58DB" w:rsidRDefault="009A58DB">
      <w:pPr>
        <w:pStyle w:val="BodyText"/>
        <w:spacing w:before="29"/>
        <w:ind w:left="0"/>
        <w:jc w:val="left"/>
      </w:pPr>
    </w:p>
    <w:p w14:paraId="7E000F42" w14:textId="77777777" w:rsidR="009A58DB" w:rsidRDefault="00000000">
      <w:pPr>
        <w:pStyle w:val="BodyText"/>
        <w:spacing w:before="1" w:line="249" w:lineRule="auto"/>
        <w:ind w:right="358"/>
      </w:pPr>
      <w:r>
        <w:t xml:space="preserve">as comprising the function ‹x snores› along with another function. This other function is a “second-order” function: it is a function that assigns objects to </w:t>
      </w:r>
      <w:r>
        <w:rPr>
          <w:i/>
        </w:rPr>
        <w:t xml:space="preserve">functions. </w:t>
      </w:r>
      <w:r>
        <w:t xml:space="preserve">Those objects are </w:t>
      </w:r>
      <w:r>
        <w:rPr>
          <w:b/>
          <w:i/>
        </w:rPr>
        <w:t xml:space="preserve">truth-values. </w:t>
      </w:r>
      <w:r>
        <w:t>(A sentence has the truth-value</w:t>
      </w:r>
      <w:r>
        <w:rPr>
          <w:spacing w:val="40"/>
        </w:rPr>
        <w:t xml:space="preserve"> </w:t>
      </w:r>
      <w:r>
        <w:rPr>
          <w:i/>
        </w:rPr>
        <w:t>true</w:t>
      </w:r>
      <w:r>
        <w:rPr>
          <w:i/>
          <w:spacing w:val="-3"/>
        </w:rPr>
        <w:t xml:space="preserve"> </w:t>
      </w:r>
      <w:r>
        <w:t xml:space="preserve">if it’s true and the truth-value </w:t>
      </w:r>
      <w:r>
        <w:rPr>
          <w:i/>
        </w:rPr>
        <w:t>false</w:t>
      </w:r>
      <w:r>
        <w:rPr>
          <w:i/>
          <w:spacing w:val="-3"/>
        </w:rPr>
        <w:t xml:space="preserve"> </w:t>
      </w:r>
      <w:r>
        <w:t>if it’s false.) Frege sees ‹x snores› as expressing a function F that assigns truth or falsehood to a thing depending</w:t>
      </w:r>
      <w:r>
        <w:rPr>
          <w:spacing w:val="40"/>
        </w:rPr>
        <w:t xml:space="preserve"> </w:t>
      </w:r>
      <w:r>
        <w:t>on whether that thing snores. And he sees “someone” as expressing a</w:t>
      </w:r>
      <w:r>
        <w:rPr>
          <w:spacing w:val="40"/>
        </w:rPr>
        <w:t xml:space="preserve"> </w:t>
      </w:r>
      <w:r>
        <w:t xml:space="preserve">function G that assigns truth or falsehood to F depending on whether there is anything to which F, in its turn, assigns truth. If there is some x such that F assigns truth to x, then G assigns truth to F; otherwise G assigns falsehood to </w:t>
      </w:r>
      <w:r>
        <w:rPr>
          <w:spacing w:val="-6"/>
        </w:rPr>
        <w:t>F.</w:t>
      </w:r>
    </w:p>
    <w:p w14:paraId="7E000F43" w14:textId="77777777" w:rsidR="009A58DB" w:rsidRDefault="00000000">
      <w:pPr>
        <w:pStyle w:val="BodyText"/>
        <w:spacing w:before="12" w:line="249" w:lineRule="auto"/>
        <w:ind w:right="366" w:firstLine="360"/>
      </w:pPr>
      <w:r>
        <w:t>This is a way of saying that “someone snores” is true just in case the property of snoring is instantiated. Since this is in fact precisely what SS</w:t>
      </w:r>
      <w:r>
        <w:rPr>
          <w:spacing w:val="40"/>
        </w:rPr>
        <w:t xml:space="preserve"> </w:t>
      </w:r>
      <w:r>
        <w:t>says, Frege’s analysis is correct.</w:t>
      </w:r>
    </w:p>
    <w:p w14:paraId="7E000F44" w14:textId="77777777" w:rsidR="009A58DB" w:rsidRDefault="00000000">
      <w:pPr>
        <w:pStyle w:val="BodyText"/>
        <w:spacing w:before="4" w:line="249" w:lineRule="auto"/>
        <w:ind w:right="360" w:firstLine="360"/>
      </w:pPr>
      <w:r>
        <w:t>Frege analyzes other quantifiers along similar lines. “Everything” expresses a function G that assigns truth or falsehood to a function F depending on whether there is something to which F assigns falsehood. If there is no object x such that F assigns falsehood to x, then G assigns truth to F; otherwise it assigns falsehood to F.</w:t>
      </w:r>
    </w:p>
    <w:p w14:paraId="7E000F45" w14:textId="77777777" w:rsidR="009A58DB" w:rsidRDefault="00000000">
      <w:pPr>
        <w:pStyle w:val="BodyText"/>
        <w:spacing w:before="6"/>
        <w:ind w:left="720"/>
      </w:pPr>
      <w:r>
        <w:t>Consider</w:t>
      </w:r>
      <w:r>
        <w:rPr>
          <w:spacing w:val="-4"/>
        </w:rPr>
        <w:t xml:space="preserve"> </w:t>
      </w:r>
      <w:r>
        <w:t>the</w:t>
      </w:r>
      <w:r>
        <w:rPr>
          <w:spacing w:val="-3"/>
        </w:rPr>
        <w:t xml:space="preserve"> </w:t>
      </w:r>
      <w:r>
        <w:rPr>
          <w:spacing w:val="-2"/>
        </w:rPr>
        <w:t>sentence:</w:t>
      </w:r>
    </w:p>
    <w:p w14:paraId="7E000F46" w14:textId="77777777" w:rsidR="009A58DB" w:rsidRDefault="009A58DB">
      <w:pPr>
        <w:pStyle w:val="BodyText"/>
        <w:spacing w:before="30"/>
        <w:ind w:left="0"/>
        <w:jc w:val="left"/>
      </w:pPr>
    </w:p>
    <w:p w14:paraId="7E000F47" w14:textId="77777777" w:rsidR="009A58DB" w:rsidRDefault="00000000">
      <w:pPr>
        <w:pStyle w:val="BodyText"/>
        <w:spacing w:line="277" w:lineRule="exact"/>
        <w:ind w:left="726"/>
        <w:jc w:val="left"/>
      </w:pPr>
      <w:bookmarkStart w:id="207" w:name="_bookmark207"/>
      <w:bookmarkEnd w:id="207"/>
      <w:r>
        <w:rPr>
          <w:color w:val="0562C1"/>
          <w:spacing w:val="-2"/>
          <w:u w:val="single" w:color="0562C1"/>
        </w:rPr>
        <w:t>[115]</w:t>
      </w:r>
    </w:p>
    <w:p w14:paraId="7E000F48" w14:textId="77777777" w:rsidR="009A58DB" w:rsidRDefault="00000000">
      <w:pPr>
        <w:pStyle w:val="BodyText"/>
        <w:tabs>
          <w:tab w:val="left" w:pos="1375"/>
        </w:tabs>
        <w:spacing w:line="277" w:lineRule="exact"/>
        <w:jc w:val="left"/>
      </w:pPr>
      <w:r>
        <w:rPr>
          <w:spacing w:val="-5"/>
        </w:rPr>
        <w:t>(SI</w:t>
      </w:r>
      <w:r>
        <w:tab/>
        <w:t>)</w:t>
      </w:r>
      <w:r>
        <w:rPr>
          <w:spacing w:val="-5"/>
        </w:rPr>
        <w:t xml:space="preserve"> </w:t>
      </w:r>
      <w:r>
        <w:t>everything</w:t>
      </w:r>
      <w:r>
        <w:rPr>
          <w:spacing w:val="-4"/>
        </w:rPr>
        <w:t xml:space="preserve"> </w:t>
      </w:r>
      <w:r>
        <w:t>is</w:t>
      </w:r>
      <w:r>
        <w:rPr>
          <w:spacing w:val="-4"/>
        </w:rPr>
        <w:t xml:space="preserve"> </w:t>
      </w:r>
      <w:r>
        <w:t>self-</w:t>
      </w:r>
      <w:r>
        <w:rPr>
          <w:spacing w:val="-2"/>
        </w:rPr>
        <w:t>identical.</w:t>
      </w:r>
    </w:p>
    <w:p w14:paraId="7E000F49" w14:textId="77777777" w:rsidR="009A58DB" w:rsidRDefault="009A58DB">
      <w:pPr>
        <w:pStyle w:val="BodyText"/>
        <w:spacing w:before="30"/>
        <w:ind w:left="0"/>
        <w:jc w:val="left"/>
      </w:pPr>
    </w:p>
    <w:p w14:paraId="7E000F4A" w14:textId="77777777" w:rsidR="009A58DB" w:rsidRDefault="00000000">
      <w:pPr>
        <w:pStyle w:val="BodyText"/>
        <w:jc w:val="left"/>
      </w:pPr>
      <w:r>
        <w:t>Frege</w:t>
      </w:r>
      <w:r>
        <w:rPr>
          <w:spacing w:val="-3"/>
        </w:rPr>
        <w:t xml:space="preserve"> </w:t>
      </w:r>
      <w:r>
        <w:t>sees</w:t>
      </w:r>
      <w:r>
        <w:rPr>
          <w:spacing w:val="-3"/>
        </w:rPr>
        <w:t xml:space="preserve"> </w:t>
      </w:r>
      <w:r>
        <w:t>SI</w:t>
      </w:r>
      <w:r>
        <w:rPr>
          <w:spacing w:val="-3"/>
        </w:rPr>
        <w:t xml:space="preserve"> </w:t>
      </w:r>
      <w:r>
        <w:t>as</w:t>
      </w:r>
      <w:r>
        <w:rPr>
          <w:spacing w:val="-3"/>
        </w:rPr>
        <w:t xml:space="preserve"> </w:t>
      </w:r>
      <w:r>
        <w:rPr>
          <w:spacing w:val="-2"/>
        </w:rPr>
        <w:t>saying:</w:t>
      </w:r>
    </w:p>
    <w:p w14:paraId="7E000F4B" w14:textId="77777777" w:rsidR="009A58DB" w:rsidRDefault="009A58DB">
      <w:pPr>
        <w:pStyle w:val="BodyText"/>
        <w:spacing w:before="30"/>
        <w:ind w:left="0"/>
        <w:jc w:val="left"/>
      </w:pPr>
    </w:p>
    <w:p w14:paraId="7E000F4C" w14:textId="77777777" w:rsidR="009A58DB" w:rsidRDefault="00000000">
      <w:pPr>
        <w:ind w:left="360"/>
        <w:rPr>
          <w:i/>
          <w:sz w:val="30"/>
        </w:rPr>
      </w:pPr>
      <w:r>
        <w:rPr>
          <w:sz w:val="30"/>
        </w:rPr>
        <w:t>(SI</w:t>
      </w:r>
      <w:r>
        <w:rPr>
          <w:sz w:val="30"/>
          <w:vertAlign w:val="subscript"/>
        </w:rPr>
        <w:t>2</w:t>
      </w:r>
      <w:r>
        <w:rPr>
          <w:sz w:val="30"/>
        </w:rPr>
        <w:t>)</w:t>
      </w:r>
      <w:r>
        <w:rPr>
          <w:spacing w:val="-1"/>
          <w:sz w:val="30"/>
        </w:rPr>
        <w:t xml:space="preserve"> </w:t>
      </w:r>
      <w:r>
        <w:rPr>
          <w:b/>
          <w:sz w:val="30"/>
        </w:rPr>
        <w:t>for any</w:t>
      </w:r>
      <w:r>
        <w:rPr>
          <w:b/>
          <w:spacing w:val="1"/>
          <w:sz w:val="30"/>
        </w:rPr>
        <w:t xml:space="preserve"> </w:t>
      </w:r>
      <w:r>
        <w:rPr>
          <w:b/>
          <w:sz w:val="30"/>
        </w:rPr>
        <w:t xml:space="preserve">x, </w:t>
      </w:r>
      <w:r>
        <w:rPr>
          <w:i/>
          <w:sz w:val="30"/>
        </w:rPr>
        <w:t xml:space="preserve">x is identical with </w:t>
      </w:r>
      <w:r>
        <w:rPr>
          <w:i/>
          <w:spacing w:val="-5"/>
          <w:sz w:val="30"/>
        </w:rPr>
        <w:t>x.</w:t>
      </w:r>
    </w:p>
    <w:p w14:paraId="7E000F4D" w14:textId="77777777" w:rsidR="009A58DB" w:rsidRDefault="009A58DB">
      <w:pPr>
        <w:pStyle w:val="BodyText"/>
        <w:spacing w:before="90"/>
        <w:ind w:left="0"/>
        <w:jc w:val="left"/>
        <w:rPr>
          <w:i/>
        </w:rPr>
      </w:pPr>
    </w:p>
    <w:p w14:paraId="7E000F4E" w14:textId="77777777" w:rsidR="009A58DB" w:rsidRDefault="00000000">
      <w:pPr>
        <w:pStyle w:val="BodyText"/>
        <w:spacing w:line="292" w:lineRule="auto"/>
        <w:ind w:right="371"/>
      </w:pPr>
      <w:r>
        <w:t>The occurrences in SI</w:t>
      </w:r>
      <w:r>
        <w:rPr>
          <w:vertAlign w:val="subscript"/>
        </w:rPr>
        <w:t>2</w:t>
      </w:r>
      <w:r>
        <w:t xml:space="preserve"> of “for any x” and “x is identical with x” correspond, respectively, to the occurrences in SI of “everything,” and “is self-identical.”</w:t>
      </w:r>
    </w:p>
    <w:p w14:paraId="7E000F4F" w14:textId="77777777" w:rsidR="009A58DB" w:rsidRDefault="00000000">
      <w:pPr>
        <w:pStyle w:val="BodyText"/>
        <w:spacing w:line="283" w:lineRule="exact"/>
        <w:ind w:left="720"/>
      </w:pPr>
      <w:r>
        <w:t>Frege</w:t>
      </w:r>
      <w:r>
        <w:rPr>
          <w:spacing w:val="8"/>
        </w:rPr>
        <w:t xml:space="preserve"> </w:t>
      </w:r>
      <w:r>
        <w:t>sees</w:t>
      </w:r>
      <w:r>
        <w:rPr>
          <w:spacing w:val="9"/>
        </w:rPr>
        <w:t xml:space="preserve"> </w:t>
      </w:r>
      <w:r>
        <w:t>the</w:t>
      </w:r>
      <w:r>
        <w:rPr>
          <w:spacing w:val="9"/>
        </w:rPr>
        <w:t xml:space="preserve"> </w:t>
      </w:r>
      <w:r>
        <w:t>italicized</w:t>
      </w:r>
      <w:r>
        <w:rPr>
          <w:spacing w:val="8"/>
        </w:rPr>
        <w:t xml:space="preserve"> </w:t>
      </w:r>
      <w:r>
        <w:t>part</w:t>
      </w:r>
      <w:r>
        <w:rPr>
          <w:spacing w:val="8"/>
        </w:rPr>
        <w:t xml:space="preserve"> </w:t>
      </w:r>
      <w:r>
        <w:t>of</w:t>
      </w:r>
      <w:r>
        <w:rPr>
          <w:spacing w:val="9"/>
        </w:rPr>
        <w:t xml:space="preserve"> </w:t>
      </w:r>
      <w:r>
        <w:t>SI</w:t>
      </w:r>
      <w:r>
        <w:rPr>
          <w:vertAlign w:val="subscript"/>
        </w:rPr>
        <w:t>2</w:t>
      </w:r>
      <w:r>
        <w:rPr>
          <w:spacing w:val="8"/>
        </w:rPr>
        <w:t xml:space="preserve"> </w:t>
      </w:r>
      <w:r>
        <w:t>as</w:t>
      </w:r>
      <w:r>
        <w:rPr>
          <w:spacing w:val="9"/>
        </w:rPr>
        <w:t xml:space="preserve"> </w:t>
      </w:r>
      <w:r>
        <w:t>expressing</w:t>
      </w:r>
      <w:r>
        <w:rPr>
          <w:spacing w:val="9"/>
        </w:rPr>
        <w:t xml:space="preserve"> </w:t>
      </w:r>
      <w:r>
        <w:t>a</w:t>
      </w:r>
      <w:r>
        <w:rPr>
          <w:spacing w:val="9"/>
        </w:rPr>
        <w:t xml:space="preserve"> </w:t>
      </w:r>
      <w:r>
        <w:t>function</w:t>
      </w:r>
      <w:r>
        <w:rPr>
          <w:spacing w:val="9"/>
        </w:rPr>
        <w:t xml:space="preserve"> </w:t>
      </w:r>
      <w:r>
        <w:t>F</w:t>
      </w:r>
      <w:r>
        <w:rPr>
          <w:spacing w:val="9"/>
        </w:rPr>
        <w:t xml:space="preserve"> </w:t>
      </w:r>
      <w:r>
        <w:t>that</w:t>
      </w:r>
      <w:r>
        <w:rPr>
          <w:spacing w:val="9"/>
        </w:rPr>
        <w:t xml:space="preserve"> </w:t>
      </w:r>
      <w:r>
        <w:rPr>
          <w:spacing w:val="-2"/>
        </w:rPr>
        <w:t>assigns</w:t>
      </w:r>
    </w:p>
    <w:p w14:paraId="7E000F50" w14:textId="77777777" w:rsidR="009A58DB" w:rsidRDefault="00000000">
      <w:pPr>
        <w:pStyle w:val="BodyText"/>
        <w:spacing w:before="75" w:line="249" w:lineRule="auto"/>
        <w:ind w:right="368"/>
      </w:pPr>
      <w:r>
        <w:t>truth to an object</w:t>
      </w:r>
      <w:r>
        <w:rPr>
          <w:spacing w:val="-1"/>
        </w:rPr>
        <w:t xml:space="preserve"> </w:t>
      </w:r>
      <w:r>
        <w:t>if that object</w:t>
      </w:r>
      <w:r>
        <w:rPr>
          <w:spacing w:val="-1"/>
        </w:rPr>
        <w:t xml:space="preserve"> </w:t>
      </w:r>
      <w:r>
        <w:t>is self-identical, and he sees the boldfaced part as expressing a function that assigns falsity to F if there is some individual to which F assigns falsity and that otherwise assigns truth to F. This is a way of</w:t>
      </w:r>
    </w:p>
    <w:p w14:paraId="7E000F5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52" w14:textId="77777777" w:rsidR="009A58DB" w:rsidRDefault="00000000">
      <w:pPr>
        <w:pStyle w:val="BodyText"/>
        <w:spacing w:before="65" w:line="249" w:lineRule="auto"/>
        <w:ind w:right="367"/>
      </w:pPr>
      <w:r>
        <w:lastRenderedPageBreak/>
        <w:t>saying that “everything is self-identical” says that the property of being self-identical is universally instantiated. Since this is, demonstrably, what that sentence is saying, Frege’s analysis is correct.</w:t>
      </w:r>
    </w:p>
    <w:p w14:paraId="7E000F53" w14:textId="77777777" w:rsidR="009A58DB" w:rsidRDefault="00000000">
      <w:pPr>
        <w:pStyle w:val="BodyText"/>
        <w:spacing w:before="3" w:line="249" w:lineRule="auto"/>
        <w:ind w:right="359" w:firstLine="360"/>
      </w:pPr>
      <w:r>
        <w:t xml:space="preserve">A few final preliminary points: Frege chose to break up sentences containing the words “or” and “and.” Thus, he saw “John is a tall mammal” as saying: John is tall and John is a mammal. And he saw: “John is male or female” as saying: either John is male or John is female. Finally, Frege chose to </w:t>
      </w:r>
      <w:r>
        <w:rPr>
          <w:b/>
          <w:i/>
        </w:rPr>
        <w:t xml:space="preserve">export </w:t>
      </w:r>
      <w:r>
        <w:t>the word sentence-internal occurrences of the word “not.” Thus “snow is not white” becomes “it is not the case that snow is white.” (In other words, he chose to rewrite such sentences as sentences in which (a) that word is replaced with “it is not the case that,” and (b) “it is not the case that” is placed before the sentence being negated.)</w:t>
      </w:r>
    </w:p>
    <w:p w14:paraId="7E000F54" w14:textId="77777777" w:rsidR="009A58DB" w:rsidRDefault="00000000">
      <w:pPr>
        <w:pStyle w:val="BodyText"/>
        <w:spacing w:before="11" w:line="249" w:lineRule="auto"/>
        <w:ind w:right="359" w:firstLine="360"/>
      </w:pPr>
      <w:r>
        <w:t xml:space="preserve">By reparsing sentences along these lines, Frege was able to formalize an </w:t>
      </w:r>
      <w:r>
        <w:rPr>
          <w:spacing w:val="-10"/>
        </w:rPr>
        <w:t>extensive</w:t>
      </w:r>
      <w:r>
        <w:rPr>
          <w:spacing w:val="-8"/>
        </w:rPr>
        <w:t xml:space="preserve"> </w:t>
      </w:r>
      <w:r>
        <w:rPr>
          <w:spacing w:val="-10"/>
        </w:rPr>
        <w:t>class</w:t>
      </w:r>
      <w:r>
        <w:rPr>
          <w:spacing w:val="-8"/>
        </w:rPr>
        <w:t xml:space="preserve"> </w:t>
      </w:r>
      <w:r>
        <w:rPr>
          <w:spacing w:val="-10"/>
        </w:rPr>
        <w:t>of</w:t>
      </w:r>
      <w:r>
        <w:rPr>
          <w:spacing w:val="-8"/>
        </w:rPr>
        <w:t xml:space="preserve"> </w:t>
      </w:r>
      <w:r>
        <w:rPr>
          <w:spacing w:val="-10"/>
        </w:rPr>
        <w:t>quantified</w:t>
      </w:r>
      <w:r>
        <w:rPr>
          <w:spacing w:val="-8"/>
        </w:rPr>
        <w:t xml:space="preserve"> </w:t>
      </w:r>
      <w:r>
        <w:rPr>
          <w:spacing w:val="-10"/>
        </w:rPr>
        <w:t>generalizations</w:t>
      </w:r>
      <w:bookmarkStart w:id="208" w:name="_bookmark208"/>
      <w:bookmarkEnd w:id="208"/>
      <w:r>
        <w:rPr>
          <w:spacing w:val="-10"/>
        </w:rPr>
        <w:t>.</w:t>
      </w:r>
      <w:r>
        <w:rPr>
          <w:color w:val="0562C1"/>
          <w:spacing w:val="-10"/>
          <w:position w:val="21"/>
          <w:u w:val="single" w:color="0562C1"/>
        </w:rPr>
        <w:t>[116]</w:t>
      </w:r>
      <w:r>
        <w:rPr>
          <w:color w:val="0562C1"/>
          <w:position w:val="21"/>
        </w:rPr>
        <w:t xml:space="preserve"> </w:t>
      </w:r>
      <w:r>
        <w:rPr>
          <w:spacing w:val="-10"/>
        </w:rPr>
        <w:t>Some</w:t>
      </w:r>
      <w:r>
        <w:rPr>
          <w:spacing w:val="-9"/>
        </w:rPr>
        <w:t xml:space="preserve"> </w:t>
      </w:r>
      <w:r>
        <w:rPr>
          <w:spacing w:val="-10"/>
        </w:rPr>
        <w:t>symbolic</w:t>
      </w:r>
      <w:r>
        <w:rPr>
          <w:spacing w:val="-9"/>
        </w:rPr>
        <w:t xml:space="preserve"> </w:t>
      </w:r>
      <w:r>
        <w:rPr>
          <w:spacing w:val="-10"/>
        </w:rPr>
        <w:t>notation,</w:t>
      </w:r>
      <w:r>
        <w:rPr>
          <w:spacing w:val="-9"/>
        </w:rPr>
        <w:t xml:space="preserve"> </w:t>
      </w:r>
      <w:r>
        <w:rPr>
          <w:spacing w:val="-10"/>
        </w:rPr>
        <w:t>some</w:t>
      </w:r>
      <w:r>
        <w:rPr>
          <w:spacing w:val="-8"/>
        </w:rPr>
        <w:t xml:space="preserve"> </w:t>
      </w:r>
      <w:r>
        <w:rPr>
          <w:spacing w:val="-10"/>
        </w:rPr>
        <w:t xml:space="preserve">of </w:t>
      </w:r>
      <w:r>
        <w:rPr>
          <w:spacing w:val="-4"/>
        </w:rPr>
        <w:t>it</w:t>
      </w:r>
      <w:r>
        <w:rPr>
          <w:spacing w:val="-20"/>
        </w:rPr>
        <w:t xml:space="preserve"> </w:t>
      </w:r>
      <w:r>
        <w:rPr>
          <w:spacing w:val="-4"/>
        </w:rPr>
        <w:t>already</w:t>
      </w:r>
      <w:r>
        <w:rPr>
          <w:spacing w:val="-20"/>
        </w:rPr>
        <w:t xml:space="preserve"> </w:t>
      </w:r>
      <w:r>
        <w:rPr>
          <w:spacing w:val="-4"/>
        </w:rPr>
        <w:t>familiar,</w:t>
      </w:r>
      <w:r>
        <w:rPr>
          <w:spacing w:val="-20"/>
        </w:rPr>
        <w:t xml:space="preserve"> </w:t>
      </w:r>
      <w:r>
        <w:rPr>
          <w:spacing w:val="-4"/>
        </w:rPr>
        <w:t>will</w:t>
      </w:r>
      <w:r>
        <w:rPr>
          <w:spacing w:val="-20"/>
        </w:rPr>
        <w:t xml:space="preserve"> </w:t>
      </w:r>
      <w:r>
        <w:rPr>
          <w:spacing w:val="-4"/>
        </w:rPr>
        <w:t>help</w:t>
      </w:r>
      <w:r>
        <w:rPr>
          <w:spacing w:val="-20"/>
        </w:rPr>
        <w:t xml:space="preserve"> </w:t>
      </w:r>
      <w:r>
        <w:rPr>
          <w:spacing w:val="-4"/>
        </w:rPr>
        <w:t>us</w:t>
      </w:r>
      <w:r>
        <w:rPr>
          <w:spacing w:val="-20"/>
        </w:rPr>
        <w:t xml:space="preserve"> </w:t>
      </w:r>
      <w:r>
        <w:rPr>
          <w:spacing w:val="-4"/>
        </w:rPr>
        <w:t>see</w:t>
      </w:r>
      <w:r>
        <w:rPr>
          <w:spacing w:val="-20"/>
        </w:rPr>
        <w:t xml:space="preserve"> </w:t>
      </w:r>
      <w:r>
        <w:rPr>
          <w:spacing w:val="-4"/>
        </w:rPr>
        <w:t>how</w:t>
      </w:r>
      <w:r>
        <w:rPr>
          <w:spacing w:val="-20"/>
        </w:rPr>
        <w:t xml:space="preserve"> </w:t>
      </w:r>
      <w:r>
        <w:rPr>
          <w:spacing w:val="-4"/>
        </w:rPr>
        <w:t>he</w:t>
      </w:r>
      <w:r>
        <w:rPr>
          <w:spacing w:val="-20"/>
        </w:rPr>
        <w:t xml:space="preserve"> </w:t>
      </w:r>
      <w:r>
        <w:rPr>
          <w:spacing w:val="-4"/>
        </w:rPr>
        <w:t>did</w:t>
      </w:r>
      <w:r>
        <w:rPr>
          <w:spacing w:val="-20"/>
        </w:rPr>
        <w:t xml:space="preserve"> </w:t>
      </w:r>
      <w:r>
        <w:rPr>
          <w:spacing w:val="-4"/>
        </w:rPr>
        <w:t>this.</w:t>
      </w:r>
      <w:r>
        <w:rPr>
          <w:spacing w:val="-20"/>
        </w:rPr>
        <w:t xml:space="preserve"> </w:t>
      </w:r>
      <w:r>
        <w:rPr>
          <w:spacing w:val="-4"/>
        </w:rPr>
        <w:t>Let</w:t>
      </w:r>
      <w:r>
        <w:rPr>
          <w:spacing w:val="-20"/>
        </w:rPr>
        <w:t xml:space="preserve"> </w:t>
      </w:r>
      <w:r>
        <w:rPr>
          <w:spacing w:val="-4"/>
        </w:rPr>
        <w:t>“→”</w:t>
      </w:r>
      <w:r>
        <w:rPr>
          <w:spacing w:val="-20"/>
        </w:rPr>
        <w:t xml:space="preserve"> </w:t>
      </w:r>
      <w:r>
        <w:rPr>
          <w:spacing w:val="-4"/>
        </w:rPr>
        <w:t>be</w:t>
      </w:r>
    </w:p>
    <w:p w14:paraId="7E000F5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56" w14:textId="77777777" w:rsidR="009A58DB" w:rsidRDefault="00000000">
      <w:pPr>
        <w:pStyle w:val="BodyText"/>
        <w:spacing w:before="65"/>
      </w:pPr>
      <w:r>
        <w:lastRenderedPageBreak/>
        <w:t>defined</w:t>
      </w:r>
      <w:r>
        <w:rPr>
          <w:spacing w:val="3"/>
        </w:rPr>
        <w:t xml:space="preserve"> </w:t>
      </w:r>
      <w:r>
        <w:t>as</w:t>
      </w:r>
      <w:r>
        <w:rPr>
          <w:spacing w:val="5"/>
        </w:rPr>
        <w:t xml:space="preserve"> </w:t>
      </w:r>
      <w:r>
        <w:t>before.</w:t>
      </w:r>
      <w:r>
        <w:rPr>
          <w:spacing w:val="5"/>
        </w:rPr>
        <w:t xml:space="preserve"> </w:t>
      </w:r>
      <w:r>
        <w:t>Let</w:t>
      </w:r>
      <w:r>
        <w:rPr>
          <w:spacing w:val="5"/>
        </w:rPr>
        <w:t xml:space="preserve"> </w:t>
      </w:r>
      <w:r>
        <w:t>‹P↔Q›</w:t>
      </w:r>
      <w:r>
        <w:rPr>
          <w:spacing w:val="9"/>
        </w:rPr>
        <w:t xml:space="preserve"> </w:t>
      </w:r>
      <w:r>
        <w:t>be</w:t>
      </w:r>
      <w:r>
        <w:rPr>
          <w:spacing w:val="9"/>
        </w:rPr>
        <w:t xml:space="preserve"> </w:t>
      </w:r>
      <w:r>
        <w:t>short</w:t>
      </w:r>
      <w:r>
        <w:rPr>
          <w:spacing w:val="9"/>
        </w:rPr>
        <w:t xml:space="preserve"> </w:t>
      </w:r>
      <w:r>
        <w:t>for</w:t>
      </w:r>
      <w:r>
        <w:rPr>
          <w:spacing w:val="9"/>
        </w:rPr>
        <w:t xml:space="preserve"> </w:t>
      </w:r>
      <w:r>
        <w:t>‹P→Q</w:t>
      </w:r>
      <w:r>
        <w:rPr>
          <w:spacing w:val="5"/>
        </w:rPr>
        <w:t xml:space="preserve"> </w:t>
      </w:r>
      <w:r>
        <w:t>and</w:t>
      </w:r>
      <w:r>
        <w:rPr>
          <w:spacing w:val="5"/>
        </w:rPr>
        <w:t xml:space="preserve"> </w:t>
      </w:r>
      <w:r>
        <w:t>Q→P.›</w:t>
      </w:r>
      <w:r>
        <w:rPr>
          <w:spacing w:val="7"/>
        </w:rPr>
        <w:t xml:space="preserve"> </w:t>
      </w:r>
      <w:r>
        <w:t>In</w:t>
      </w:r>
      <w:r>
        <w:rPr>
          <w:spacing w:val="8"/>
        </w:rPr>
        <w:t xml:space="preserve"> </w:t>
      </w:r>
      <w:r>
        <w:t>other</w:t>
      </w:r>
      <w:r>
        <w:rPr>
          <w:spacing w:val="8"/>
        </w:rPr>
        <w:t xml:space="preserve"> </w:t>
      </w:r>
      <w:r>
        <w:rPr>
          <w:spacing w:val="-2"/>
        </w:rPr>
        <w:t>words,</w:t>
      </w:r>
    </w:p>
    <w:p w14:paraId="7E000F57" w14:textId="77777777" w:rsidR="009A58DB" w:rsidRDefault="00000000">
      <w:pPr>
        <w:pStyle w:val="BodyText"/>
        <w:spacing w:before="15" w:line="249" w:lineRule="auto"/>
        <w:ind w:right="358"/>
        <w:rPr>
          <w:i/>
        </w:rPr>
      </w:pPr>
      <w:r>
        <w:t xml:space="preserve">‹P↔Q› means that P is a logical consequence of Q and </w:t>
      </w:r>
      <w:r>
        <w:rPr>
          <w:i/>
        </w:rPr>
        <w:t xml:space="preserve">vice versa. </w:t>
      </w:r>
      <w:r>
        <w:t xml:space="preserve">Let “~” mean “it is not the case that.” Let “(x)” mean “given any object x.” And, as before, we’ll use parentheses to indicate how sentences are to be grouped together. So “Smith is tall and (grass is green or birds fly)” says that it’s the case both that </w:t>
      </w:r>
      <w:r>
        <w:rPr>
          <w:i/>
        </w:rPr>
        <w:t xml:space="preserve">grass is green or birds fly </w:t>
      </w:r>
      <w:r>
        <w:t xml:space="preserve">and that </w:t>
      </w:r>
      <w:r>
        <w:rPr>
          <w:i/>
        </w:rPr>
        <w:t xml:space="preserve">Smith is tall. </w:t>
      </w:r>
      <w:r>
        <w:t xml:space="preserve">By contrast, “(Smith is tall and grass is green) or birds fly” makes the very different statement that </w:t>
      </w:r>
      <w:r>
        <w:rPr>
          <w:i/>
        </w:rPr>
        <w:t xml:space="preserve">either </w:t>
      </w:r>
      <w:r>
        <w:t xml:space="preserve">it’s the case that </w:t>
      </w:r>
      <w:r>
        <w:rPr>
          <w:i/>
        </w:rPr>
        <w:t xml:space="preserve">Smith is tall and grass is green or </w:t>
      </w:r>
      <w:r>
        <w:t xml:space="preserve">it’s the case that </w:t>
      </w:r>
      <w:r>
        <w:rPr>
          <w:i/>
        </w:rPr>
        <w:t>birds fly.</w:t>
      </w:r>
    </w:p>
    <w:p w14:paraId="7E000F58" w14:textId="77777777" w:rsidR="009A58DB" w:rsidRDefault="00000000">
      <w:pPr>
        <w:pStyle w:val="BodyText"/>
        <w:spacing w:before="9"/>
        <w:ind w:left="720"/>
      </w:pPr>
      <w:r>
        <w:t>Bearing</w:t>
      </w:r>
      <w:r>
        <w:rPr>
          <w:spacing w:val="-5"/>
        </w:rPr>
        <w:t xml:space="preserve"> </w:t>
      </w:r>
      <w:r>
        <w:t>these</w:t>
      </w:r>
      <w:r>
        <w:rPr>
          <w:spacing w:val="-4"/>
        </w:rPr>
        <w:t xml:space="preserve"> </w:t>
      </w:r>
      <w:r>
        <w:t>points</w:t>
      </w:r>
      <w:r>
        <w:rPr>
          <w:spacing w:val="-4"/>
        </w:rPr>
        <w:t xml:space="preserve"> </w:t>
      </w:r>
      <w:r>
        <w:t>in</w:t>
      </w:r>
      <w:r>
        <w:rPr>
          <w:spacing w:val="-3"/>
        </w:rPr>
        <w:t xml:space="preserve"> </w:t>
      </w:r>
      <w:r>
        <w:t>mind,</w:t>
      </w:r>
      <w:r>
        <w:rPr>
          <w:spacing w:val="-3"/>
        </w:rPr>
        <w:t xml:space="preserve"> </w:t>
      </w:r>
      <w:r>
        <w:t>consider</w:t>
      </w:r>
      <w:r>
        <w:rPr>
          <w:spacing w:val="-4"/>
        </w:rPr>
        <w:t xml:space="preserve"> </w:t>
      </w:r>
      <w:r>
        <w:t>the</w:t>
      </w:r>
      <w:r>
        <w:rPr>
          <w:spacing w:val="-4"/>
        </w:rPr>
        <w:t xml:space="preserve"> </w:t>
      </w:r>
      <w:r>
        <w:t>following</w:t>
      </w:r>
      <w:r>
        <w:rPr>
          <w:spacing w:val="-2"/>
        </w:rPr>
        <w:t xml:space="preserve"> argument:</w:t>
      </w:r>
    </w:p>
    <w:p w14:paraId="7E000F59" w14:textId="77777777" w:rsidR="009A58DB" w:rsidRDefault="009A58DB">
      <w:pPr>
        <w:pStyle w:val="BodyText"/>
        <w:spacing w:before="30"/>
        <w:ind w:left="0"/>
        <w:jc w:val="left"/>
      </w:pPr>
    </w:p>
    <w:p w14:paraId="7E000F5A" w14:textId="77777777" w:rsidR="009A58DB" w:rsidRDefault="00000000">
      <w:pPr>
        <w:pStyle w:val="BodyText"/>
        <w:spacing w:before="1"/>
        <w:jc w:val="left"/>
      </w:pPr>
      <w:r>
        <w:t>Argument</w:t>
      </w:r>
      <w:r>
        <w:rPr>
          <w:spacing w:val="-5"/>
        </w:rPr>
        <w:t xml:space="preserve"> #1</w:t>
      </w:r>
    </w:p>
    <w:p w14:paraId="7E000F5B" w14:textId="77777777" w:rsidR="009A58DB" w:rsidRDefault="00000000">
      <w:pPr>
        <w:pStyle w:val="BodyText"/>
        <w:spacing w:before="15" w:line="249" w:lineRule="auto"/>
        <w:ind w:right="2223"/>
        <w:jc w:val="left"/>
      </w:pPr>
      <w:r>
        <w:t>Premise:</w:t>
      </w:r>
      <w:r>
        <w:rPr>
          <w:spacing w:val="-5"/>
        </w:rPr>
        <w:t xml:space="preserve"> </w:t>
      </w:r>
      <w:r>
        <w:t>No</w:t>
      </w:r>
      <w:r>
        <w:rPr>
          <w:spacing w:val="-4"/>
        </w:rPr>
        <w:t xml:space="preserve"> </w:t>
      </w:r>
      <w:r>
        <w:t>mammal</w:t>
      </w:r>
      <w:r>
        <w:rPr>
          <w:spacing w:val="-5"/>
        </w:rPr>
        <w:t xml:space="preserve"> </w:t>
      </w:r>
      <w:r>
        <w:t>is</w:t>
      </w:r>
      <w:r>
        <w:rPr>
          <w:spacing w:val="-5"/>
        </w:rPr>
        <w:t xml:space="preserve"> </w:t>
      </w:r>
      <w:r>
        <w:t>intelligent</w:t>
      </w:r>
      <w:r>
        <w:rPr>
          <w:spacing w:val="-5"/>
        </w:rPr>
        <w:t xml:space="preserve"> </w:t>
      </w:r>
      <w:r>
        <w:t>if</w:t>
      </w:r>
      <w:r>
        <w:rPr>
          <w:spacing w:val="-5"/>
        </w:rPr>
        <w:t xml:space="preserve"> </w:t>
      </w:r>
      <w:r>
        <w:t>it</w:t>
      </w:r>
      <w:r>
        <w:rPr>
          <w:spacing w:val="-5"/>
        </w:rPr>
        <w:t xml:space="preserve"> </w:t>
      </w:r>
      <w:r>
        <w:t>has</w:t>
      </w:r>
      <w:r>
        <w:rPr>
          <w:spacing w:val="-5"/>
        </w:rPr>
        <w:t xml:space="preserve"> </w:t>
      </w:r>
      <w:r>
        <w:t>pointy</w:t>
      </w:r>
      <w:r>
        <w:rPr>
          <w:spacing w:val="-4"/>
        </w:rPr>
        <w:t xml:space="preserve"> </w:t>
      </w:r>
      <w:r>
        <w:t>ears. Premise: Smith is a pointy-eared mammal.</w:t>
      </w:r>
    </w:p>
    <w:p w14:paraId="7E000F5C" w14:textId="77777777" w:rsidR="009A58DB" w:rsidRDefault="00000000">
      <w:pPr>
        <w:pStyle w:val="BodyText"/>
        <w:spacing w:before="2"/>
        <w:jc w:val="left"/>
      </w:pPr>
      <w:r>
        <w:t>Conclusion:</w:t>
      </w:r>
      <w:r>
        <w:rPr>
          <w:spacing w:val="-5"/>
        </w:rPr>
        <w:t xml:space="preserve"> </w:t>
      </w:r>
      <w:r>
        <w:t>Smith</w:t>
      </w:r>
      <w:r>
        <w:rPr>
          <w:spacing w:val="-5"/>
        </w:rPr>
        <w:t xml:space="preserve"> </w:t>
      </w:r>
      <w:r>
        <w:t>isn’t</w:t>
      </w:r>
      <w:r>
        <w:rPr>
          <w:spacing w:val="-4"/>
        </w:rPr>
        <w:t xml:space="preserve"> </w:t>
      </w:r>
      <w:r>
        <w:rPr>
          <w:spacing w:val="-2"/>
        </w:rPr>
        <w:t>intelligent.</w:t>
      </w:r>
    </w:p>
    <w:p w14:paraId="7E000F5D" w14:textId="77777777" w:rsidR="009A58DB" w:rsidRDefault="009A58DB">
      <w:pPr>
        <w:pStyle w:val="BodyText"/>
        <w:spacing w:before="30"/>
        <w:ind w:left="0"/>
        <w:jc w:val="left"/>
      </w:pPr>
    </w:p>
    <w:p w14:paraId="7E000F5E" w14:textId="77777777" w:rsidR="009A58DB" w:rsidRDefault="00000000">
      <w:pPr>
        <w:pStyle w:val="BodyText"/>
        <w:spacing w:line="249" w:lineRule="auto"/>
        <w:ind w:right="359"/>
      </w:pPr>
      <w:r>
        <w:t xml:space="preserve">This argument is valid. But, thus expressed, it isn’t </w:t>
      </w:r>
      <w:r>
        <w:rPr>
          <w:i/>
        </w:rPr>
        <w:t xml:space="preserve">formally </w:t>
      </w:r>
      <w:r>
        <w:t xml:space="preserve">valid. This is because “no mammal is intelligent if it has pointy ears” has the same syntax as “Jones is intelligent if he has pointy ears,” a consequence being that Argument #1 has the same syntactical form as the following, clearly invalid </w:t>
      </w:r>
      <w:r>
        <w:rPr>
          <w:spacing w:val="-2"/>
        </w:rPr>
        <w:t>argument:</w:t>
      </w:r>
    </w:p>
    <w:p w14:paraId="7E000F5F" w14:textId="77777777" w:rsidR="009A58DB" w:rsidRDefault="009A58DB">
      <w:pPr>
        <w:pStyle w:val="BodyText"/>
        <w:spacing w:before="21"/>
        <w:ind w:left="0"/>
        <w:jc w:val="left"/>
      </w:pPr>
    </w:p>
    <w:p w14:paraId="7E000F60" w14:textId="77777777" w:rsidR="009A58DB" w:rsidRDefault="00000000">
      <w:pPr>
        <w:pStyle w:val="BodyText"/>
        <w:jc w:val="left"/>
      </w:pPr>
      <w:r>
        <w:t>Argument</w:t>
      </w:r>
      <w:r>
        <w:rPr>
          <w:spacing w:val="-5"/>
        </w:rPr>
        <w:t xml:space="preserve"> #2</w:t>
      </w:r>
    </w:p>
    <w:p w14:paraId="7E000F61" w14:textId="77777777" w:rsidR="009A58DB" w:rsidRDefault="00000000">
      <w:pPr>
        <w:pStyle w:val="BodyText"/>
        <w:spacing w:before="15" w:line="249" w:lineRule="auto"/>
        <w:ind w:right="3292"/>
        <w:jc w:val="left"/>
      </w:pPr>
      <w:r>
        <w:t>Premise</w:t>
      </w:r>
      <w:r>
        <w:rPr>
          <w:spacing w:val="-5"/>
        </w:rPr>
        <w:t xml:space="preserve"> </w:t>
      </w:r>
      <w:r>
        <w:t>#1:</w:t>
      </w:r>
      <w:r>
        <w:rPr>
          <w:spacing w:val="-5"/>
        </w:rPr>
        <w:t xml:space="preserve"> </w:t>
      </w:r>
      <w:r>
        <w:t>Jones</w:t>
      </w:r>
      <w:r>
        <w:rPr>
          <w:spacing w:val="-5"/>
        </w:rPr>
        <w:t xml:space="preserve"> </w:t>
      </w:r>
      <w:r>
        <w:t>is</w:t>
      </w:r>
      <w:r>
        <w:rPr>
          <w:spacing w:val="-5"/>
        </w:rPr>
        <w:t xml:space="preserve"> </w:t>
      </w:r>
      <w:r>
        <w:t>intelligent</w:t>
      </w:r>
      <w:r>
        <w:rPr>
          <w:spacing w:val="-5"/>
        </w:rPr>
        <w:t xml:space="preserve"> </w:t>
      </w:r>
      <w:r>
        <w:t>if</w:t>
      </w:r>
      <w:r>
        <w:rPr>
          <w:spacing w:val="-5"/>
        </w:rPr>
        <w:t xml:space="preserve"> </w:t>
      </w:r>
      <w:r>
        <w:t>he</w:t>
      </w:r>
      <w:r>
        <w:rPr>
          <w:spacing w:val="-5"/>
        </w:rPr>
        <w:t xml:space="preserve"> </w:t>
      </w:r>
      <w:r>
        <w:t>has</w:t>
      </w:r>
      <w:r>
        <w:rPr>
          <w:spacing w:val="-5"/>
        </w:rPr>
        <w:t xml:space="preserve"> </w:t>
      </w:r>
      <w:r>
        <w:t>pointy</w:t>
      </w:r>
      <w:r>
        <w:rPr>
          <w:spacing w:val="-4"/>
        </w:rPr>
        <w:t xml:space="preserve"> </w:t>
      </w:r>
      <w:r>
        <w:t>ears. Premise #2: Smith is a pointy-eared mammal.</w:t>
      </w:r>
    </w:p>
    <w:p w14:paraId="7E000F62" w14:textId="77777777" w:rsidR="009A58DB" w:rsidRDefault="00000000">
      <w:pPr>
        <w:pStyle w:val="BodyText"/>
        <w:spacing w:before="3"/>
        <w:jc w:val="left"/>
      </w:pPr>
      <w:r>
        <w:t>Conclusion:</w:t>
      </w:r>
      <w:r>
        <w:rPr>
          <w:spacing w:val="-5"/>
        </w:rPr>
        <w:t xml:space="preserve"> </w:t>
      </w:r>
      <w:r>
        <w:t>Smith</w:t>
      </w:r>
      <w:r>
        <w:rPr>
          <w:spacing w:val="-5"/>
        </w:rPr>
        <w:t xml:space="preserve"> </w:t>
      </w:r>
      <w:r>
        <w:t>isn’t</w:t>
      </w:r>
      <w:r>
        <w:rPr>
          <w:spacing w:val="-4"/>
        </w:rPr>
        <w:t xml:space="preserve"> </w:t>
      </w:r>
      <w:r>
        <w:rPr>
          <w:spacing w:val="-2"/>
        </w:rPr>
        <w:t>intelligent.</w:t>
      </w:r>
    </w:p>
    <w:p w14:paraId="7E000F63" w14:textId="77777777" w:rsidR="009A58DB" w:rsidRDefault="009A58DB">
      <w:pPr>
        <w:pStyle w:val="BodyText"/>
        <w:spacing w:before="30"/>
        <w:ind w:left="0"/>
        <w:jc w:val="left"/>
      </w:pPr>
    </w:p>
    <w:p w14:paraId="7E000F64" w14:textId="77777777" w:rsidR="009A58DB" w:rsidRDefault="00000000">
      <w:pPr>
        <w:pStyle w:val="BodyText"/>
        <w:spacing w:line="249" w:lineRule="auto"/>
        <w:ind w:right="362"/>
      </w:pPr>
      <w:r>
        <w:t>But by reparsing the sentences occurring in these arguments, Frege showed why it is that, their surface-structures notwithstanding, Argument #1 is valid whereas Argument #2 is not.</w:t>
      </w:r>
    </w:p>
    <w:p w14:paraId="7E000F65" w14:textId="77777777" w:rsidR="009A58DB" w:rsidRDefault="00000000">
      <w:pPr>
        <w:pStyle w:val="BodyText"/>
        <w:spacing w:before="4" w:line="249" w:lineRule="auto"/>
        <w:ind w:right="361" w:firstLine="360"/>
      </w:pPr>
      <w:r>
        <w:t>It will help if we make it clear at an intuitive level what the premises in Argument</w:t>
      </w:r>
      <w:r>
        <w:rPr>
          <w:spacing w:val="-1"/>
        </w:rPr>
        <w:t xml:space="preserve"> </w:t>
      </w:r>
      <w:r>
        <w:t>#1 are saying. The first</w:t>
      </w:r>
      <w:r>
        <w:rPr>
          <w:spacing w:val="-1"/>
        </w:rPr>
        <w:t xml:space="preserve"> </w:t>
      </w:r>
      <w:r>
        <w:t>premise is to the effect</w:t>
      </w:r>
      <w:r>
        <w:rPr>
          <w:spacing w:val="-1"/>
        </w:rPr>
        <w:t xml:space="preserve"> </w:t>
      </w:r>
      <w:r>
        <w:t>that</w:t>
      </w:r>
      <w:r>
        <w:rPr>
          <w:spacing w:val="-1"/>
        </w:rPr>
        <w:t xml:space="preserve"> </w:t>
      </w:r>
      <w:r>
        <w:t xml:space="preserve">anything that is an intelligent mammal does </w:t>
      </w:r>
      <w:r>
        <w:rPr>
          <w:i/>
        </w:rPr>
        <w:t xml:space="preserve">not </w:t>
      </w:r>
      <w:r>
        <w:t>have pointy ears. (In other words, given any object x, if x is an intelligent mammal, then x doesn’t have pointy ears. To</w:t>
      </w:r>
      <w:r>
        <w:rPr>
          <w:spacing w:val="40"/>
        </w:rPr>
        <w:t xml:space="preserve"> </w:t>
      </w:r>
      <w:r>
        <w:t>put</w:t>
      </w:r>
      <w:r>
        <w:rPr>
          <w:spacing w:val="54"/>
        </w:rPr>
        <w:t xml:space="preserve"> </w:t>
      </w:r>
      <w:r>
        <w:t>it</w:t>
      </w:r>
      <w:r>
        <w:rPr>
          <w:spacing w:val="55"/>
        </w:rPr>
        <w:t xml:space="preserve"> </w:t>
      </w:r>
      <w:r>
        <w:t>yet</w:t>
      </w:r>
      <w:r>
        <w:rPr>
          <w:spacing w:val="54"/>
        </w:rPr>
        <w:t xml:space="preserve"> </w:t>
      </w:r>
      <w:r>
        <w:t>another</w:t>
      </w:r>
      <w:r>
        <w:rPr>
          <w:spacing w:val="55"/>
        </w:rPr>
        <w:t xml:space="preserve"> </w:t>
      </w:r>
      <w:r>
        <w:t>way,</w:t>
      </w:r>
      <w:r>
        <w:rPr>
          <w:spacing w:val="54"/>
        </w:rPr>
        <w:t xml:space="preserve"> </w:t>
      </w:r>
      <w:r>
        <w:t>given</w:t>
      </w:r>
      <w:r>
        <w:rPr>
          <w:spacing w:val="55"/>
        </w:rPr>
        <w:t xml:space="preserve"> </w:t>
      </w:r>
      <w:r>
        <w:t>anything</w:t>
      </w:r>
      <w:r>
        <w:rPr>
          <w:spacing w:val="54"/>
        </w:rPr>
        <w:t xml:space="preserve"> </w:t>
      </w:r>
      <w:r>
        <w:t>x,</w:t>
      </w:r>
      <w:r>
        <w:rPr>
          <w:spacing w:val="55"/>
        </w:rPr>
        <w:t xml:space="preserve"> </w:t>
      </w:r>
      <w:r>
        <w:t>if</w:t>
      </w:r>
      <w:r>
        <w:rPr>
          <w:spacing w:val="55"/>
        </w:rPr>
        <w:t xml:space="preserve"> </w:t>
      </w:r>
      <w:r>
        <w:t>x</w:t>
      </w:r>
      <w:r>
        <w:rPr>
          <w:spacing w:val="54"/>
        </w:rPr>
        <w:t xml:space="preserve"> </w:t>
      </w:r>
      <w:r>
        <w:t>is</w:t>
      </w:r>
      <w:r>
        <w:rPr>
          <w:spacing w:val="55"/>
        </w:rPr>
        <w:t xml:space="preserve"> </w:t>
      </w:r>
      <w:r>
        <w:t>a</w:t>
      </w:r>
      <w:r>
        <w:rPr>
          <w:spacing w:val="54"/>
        </w:rPr>
        <w:t xml:space="preserve"> </w:t>
      </w:r>
      <w:r>
        <w:t>mammal,</w:t>
      </w:r>
      <w:r>
        <w:rPr>
          <w:spacing w:val="55"/>
        </w:rPr>
        <w:t xml:space="preserve"> </w:t>
      </w:r>
      <w:r>
        <w:t>then,</w:t>
      </w:r>
      <w:r>
        <w:rPr>
          <w:spacing w:val="54"/>
        </w:rPr>
        <w:t xml:space="preserve"> </w:t>
      </w:r>
      <w:r>
        <w:t>if</w:t>
      </w:r>
      <w:r>
        <w:rPr>
          <w:spacing w:val="55"/>
        </w:rPr>
        <w:t xml:space="preserve"> </w:t>
      </w:r>
      <w:r>
        <w:t>x</w:t>
      </w:r>
      <w:r>
        <w:rPr>
          <w:spacing w:val="55"/>
        </w:rPr>
        <w:t xml:space="preserve"> </w:t>
      </w:r>
      <w:r>
        <w:rPr>
          <w:spacing w:val="-5"/>
        </w:rPr>
        <w:t>is</w:t>
      </w:r>
    </w:p>
    <w:p w14:paraId="7E000F66"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0F67" w14:textId="77777777" w:rsidR="009A58DB" w:rsidRDefault="00000000">
      <w:pPr>
        <w:pStyle w:val="BodyText"/>
        <w:spacing w:before="65" w:line="249" w:lineRule="auto"/>
        <w:ind w:right="359"/>
      </w:pPr>
      <w:r>
        <w:lastRenderedPageBreak/>
        <w:t>intelligent, it follows that x doesn’t have pointy ears.) The second premise is to the effect that Smith is a mammal and Smith has pointy ears. Finally, the conclusion is to the effect that it’s not the case that Smith is intelligent.</w:t>
      </w:r>
    </w:p>
    <w:p w14:paraId="7E000F68" w14:textId="77777777" w:rsidR="009A58DB" w:rsidRDefault="00000000">
      <w:pPr>
        <w:pStyle w:val="BodyText"/>
        <w:tabs>
          <w:tab w:val="left" w:pos="2225"/>
        </w:tabs>
        <w:spacing w:before="3" w:line="501" w:lineRule="auto"/>
        <w:ind w:right="4035" w:firstLine="360"/>
        <w:jc w:val="left"/>
        <w:rPr>
          <w:position w:val="21"/>
        </w:rPr>
      </w:pPr>
      <w:r>
        <w:rPr>
          <w:noProof/>
          <w:position w:val="21"/>
        </w:rPr>
        <mc:AlternateContent>
          <mc:Choice Requires="wps">
            <w:drawing>
              <wp:anchor distT="0" distB="0" distL="0" distR="0" simplePos="0" relativeHeight="480329216" behindDoc="1" locked="0" layoutInCell="1" allowOverlap="1" wp14:anchorId="7E003260" wp14:editId="7E003261">
                <wp:simplePos x="0" y="0"/>
                <wp:positionH relativeFrom="page">
                  <wp:posOffset>2095500</wp:posOffset>
                </wp:positionH>
                <wp:positionV relativeFrom="paragraph">
                  <wp:posOffset>651631</wp:posOffset>
                </wp:positionV>
                <wp:extent cx="4095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1270"/>
                        </a:xfrm>
                        <a:custGeom>
                          <a:avLst/>
                          <a:gdLst/>
                          <a:ahLst/>
                          <a:cxnLst/>
                          <a:rect l="l" t="t" r="r" b="b"/>
                          <a:pathLst>
                            <a:path w="409575">
                              <a:moveTo>
                                <a:pt x="0" y="0"/>
                              </a:moveTo>
                              <a:lnTo>
                                <a:pt x="40957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08E8892" id="Graphic 9" o:spid="_x0000_s1026" style="position:absolute;margin-left:165pt;margin-top:51.3pt;width:32.25pt;height:.1pt;z-index:-22987264;visibility:visible;mso-wrap-style:square;mso-wrap-distance-left:0;mso-wrap-distance-top:0;mso-wrap-distance-right:0;mso-wrap-distance-bottom:0;mso-position-horizontal:absolute;mso-position-horizontal-relative:page;mso-position-vertical:absolute;mso-position-vertical-relative:text;v-text-anchor:top" coordsize="409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" path="m,l409575,e" filled="f" strokecolor="#0562c1">
                <v:path arrowok="t"/>
                <w10:wrap anchorx="page"/>
              </v:shape>
            </w:pict>
          </mc:Fallback>
        </mc:AlternateContent>
      </w:r>
      <w:r>
        <w:rPr>
          <w:noProof/>
          <w:position w:val="21"/>
        </w:rPr>
        <mc:AlternateContent>
          <mc:Choice Requires="wps">
            <w:drawing>
              <wp:anchor distT="0" distB="0" distL="0" distR="0" simplePos="0" relativeHeight="480330240" behindDoc="1" locked="0" layoutInCell="1" allowOverlap="1" wp14:anchorId="7E003262" wp14:editId="7E003263">
                <wp:simplePos x="0" y="0"/>
                <wp:positionH relativeFrom="page">
                  <wp:posOffset>1924645</wp:posOffset>
                </wp:positionH>
                <wp:positionV relativeFrom="paragraph">
                  <wp:posOffset>600936</wp:posOffset>
                </wp:positionV>
                <wp:extent cx="640080" cy="2482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248285"/>
                        </a:xfrm>
                        <a:prstGeom prst="rect">
                          <a:avLst/>
                        </a:prstGeom>
                      </wps:spPr>
                      <wps:txbx>
                        <w:txbxContent>
                          <w:p w14:paraId="7E0032B3" w14:textId="77777777" w:rsidR="009A58DB" w:rsidRDefault="00000000">
                            <w:pPr>
                              <w:tabs>
                                <w:tab w:val="left" w:pos="924"/>
                              </w:tabs>
                              <w:spacing w:line="390" w:lineRule="exact"/>
                              <w:rPr>
                                <w:position w:val="7"/>
                                <w:sz w:val="30"/>
                              </w:rPr>
                            </w:pPr>
                            <w:r>
                              <w:rPr>
                                <w:spacing w:val="-5"/>
                              </w:rPr>
                              <w:t>RP</w:t>
                            </w:r>
                            <w:r>
                              <w:tab/>
                            </w:r>
                            <w:r>
                              <w:rPr>
                                <w:spacing w:val="-10"/>
                                <w:position w:val="7"/>
                                <w:sz w:val="30"/>
                              </w:rPr>
                              <w:t>:</w:t>
                            </w:r>
                          </w:p>
                        </w:txbxContent>
                      </wps:txbx>
                      <wps:bodyPr wrap="square" lIns="0" tIns="0" rIns="0" bIns="0" rtlCol="0">
                        <a:noAutofit/>
                      </wps:bodyPr>
                    </wps:wsp>
                  </a:graphicData>
                </a:graphic>
              </wp:anchor>
            </w:drawing>
          </mc:Choice>
          <mc:Fallback>
            <w:pict>
              <v:shape w14:anchorId="7E003262" id="Textbox 10" o:spid="_x0000_s1029" type="#_x0000_t202" style="position:absolute;left:0;text-align:left;margin-left:151.55pt;margin-top:47.3pt;width:50.4pt;height:19.55pt;z-index:-2298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" filled="f" stroked="f">
                <v:textbox inset="0,0,0,0">
                  <w:txbxContent>
                    <w:p w14:paraId="7E0032B3" w14:textId="77777777" w:rsidR="009A58DB" w:rsidRDefault="00000000">
                      <w:pPr>
                        <w:tabs>
                          <w:tab w:val="left" w:pos="924"/>
                        </w:tabs>
                        <w:spacing w:line="390" w:lineRule="exact"/>
                        <w:rPr>
                          <w:position w:val="7"/>
                          <w:sz w:val="30"/>
                        </w:rPr>
                      </w:pPr>
                      <w:r>
                        <w:rPr>
                          <w:spacing w:val="-5"/>
                        </w:rPr>
                        <w:t>RP</w:t>
                      </w:r>
                      <w:r>
                        <w:tab/>
                      </w:r>
                      <w:r>
                        <w:rPr>
                          <w:spacing w:val="-10"/>
                          <w:position w:val="7"/>
                          <w:sz w:val="30"/>
                        </w:rPr>
                        <w:t>:</w:t>
                      </w:r>
                    </w:p>
                  </w:txbxContent>
                </v:textbox>
                <w10:wrap anchorx="page"/>
              </v:shape>
            </w:pict>
          </mc:Fallback>
        </mc:AlternateContent>
      </w:r>
      <w:r>
        <w:t>Thus,</w:t>
      </w:r>
      <w:r>
        <w:rPr>
          <w:spacing w:val="-8"/>
        </w:rPr>
        <w:t xml:space="preserve"> </w:t>
      </w:r>
      <w:r>
        <w:t>duly</w:t>
      </w:r>
      <w:r>
        <w:rPr>
          <w:spacing w:val="-8"/>
        </w:rPr>
        <w:t xml:space="preserve"> </w:t>
      </w:r>
      <w:r>
        <w:t>reparsed,</w:t>
      </w:r>
      <w:r>
        <w:rPr>
          <w:spacing w:val="-8"/>
        </w:rPr>
        <w:t xml:space="preserve"> </w:t>
      </w:r>
      <w:r>
        <w:t>Argument</w:t>
      </w:r>
      <w:r>
        <w:rPr>
          <w:spacing w:val="-9"/>
        </w:rPr>
        <w:t xml:space="preserve"> </w:t>
      </w:r>
      <w:r>
        <w:t>#1</w:t>
      </w:r>
      <w:r>
        <w:rPr>
          <w:spacing w:val="-8"/>
        </w:rPr>
        <w:t xml:space="preserve"> </w:t>
      </w:r>
      <w:r>
        <w:t>becomes: Argument #1</w:t>
      </w:r>
      <w:r>
        <w:tab/>
      </w:r>
      <w:bookmarkStart w:id="209" w:name="_bookmark209"/>
      <w:bookmarkEnd w:id="209"/>
      <w:r>
        <w:rPr>
          <w:color w:val="0562C1"/>
          <w:spacing w:val="-2"/>
          <w:position w:val="21"/>
        </w:rPr>
        <w:t>[117]</w:t>
      </w:r>
    </w:p>
    <w:p w14:paraId="7E000F69" w14:textId="77777777" w:rsidR="009A58DB" w:rsidRDefault="00000000">
      <w:pPr>
        <w:pStyle w:val="BodyText"/>
        <w:spacing w:before="58" w:line="249" w:lineRule="auto"/>
        <w:jc w:val="left"/>
      </w:pPr>
      <w:r>
        <w:t>Premise #1: Given any object x, if x is a mammal, then, if x is intelligent, x</w:t>
      </w:r>
      <w:r>
        <w:rPr>
          <w:spacing w:val="80"/>
        </w:rPr>
        <w:t xml:space="preserve"> </w:t>
      </w:r>
      <w:r>
        <w:t>doesn’t have pointy ears.</w:t>
      </w:r>
    </w:p>
    <w:p w14:paraId="7E000F6A" w14:textId="77777777" w:rsidR="009A58DB" w:rsidRDefault="00000000">
      <w:pPr>
        <w:pStyle w:val="BodyText"/>
        <w:spacing w:before="3" w:line="249" w:lineRule="auto"/>
        <w:ind w:right="2223"/>
        <w:jc w:val="left"/>
      </w:pPr>
      <w:r>
        <w:t>Premise</w:t>
      </w:r>
      <w:r>
        <w:rPr>
          <w:spacing w:val="-5"/>
        </w:rPr>
        <w:t xml:space="preserve"> </w:t>
      </w:r>
      <w:r>
        <w:t>#2:</w:t>
      </w:r>
      <w:r>
        <w:rPr>
          <w:spacing w:val="-5"/>
        </w:rPr>
        <w:t xml:space="preserve"> </w:t>
      </w:r>
      <w:r>
        <w:t>Smith</w:t>
      </w:r>
      <w:r>
        <w:rPr>
          <w:spacing w:val="-4"/>
        </w:rPr>
        <w:t xml:space="preserve"> </w:t>
      </w:r>
      <w:r>
        <w:t>is</w:t>
      </w:r>
      <w:r>
        <w:rPr>
          <w:spacing w:val="-5"/>
        </w:rPr>
        <w:t xml:space="preserve"> </w:t>
      </w:r>
      <w:r>
        <w:t>a</w:t>
      </w:r>
      <w:r>
        <w:rPr>
          <w:spacing w:val="-5"/>
        </w:rPr>
        <w:t xml:space="preserve"> </w:t>
      </w:r>
      <w:r>
        <w:t>mammal</w:t>
      </w:r>
      <w:r>
        <w:rPr>
          <w:spacing w:val="-5"/>
        </w:rPr>
        <w:t xml:space="preserve"> </w:t>
      </w:r>
      <w:r>
        <w:t>and</w:t>
      </w:r>
      <w:r>
        <w:rPr>
          <w:spacing w:val="-4"/>
        </w:rPr>
        <w:t xml:space="preserve"> </w:t>
      </w:r>
      <w:r>
        <w:t>Smith</w:t>
      </w:r>
      <w:r>
        <w:rPr>
          <w:spacing w:val="-4"/>
        </w:rPr>
        <w:t xml:space="preserve"> </w:t>
      </w:r>
      <w:r>
        <w:t>has</w:t>
      </w:r>
      <w:r>
        <w:rPr>
          <w:spacing w:val="-5"/>
        </w:rPr>
        <w:t xml:space="preserve"> </w:t>
      </w:r>
      <w:r>
        <w:t>pointy</w:t>
      </w:r>
      <w:r>
        <w:rPr>
          <w:spacing w:val="-4"/>
        </w:rPr>
        <w:t xml:space="preserve"> </w:t>
      </w:r>
      <w:r>
        <w:t>ears. Conclusion: It is not the case that Smith is intelligent.</w:t>
      </w:r>
    </w:p>
    <w:p w14:paraId="7E000F6B" w14:textId="77777777" w:rsidR="009A58DB" w:rsidRDefault="009A58DB">
      <w:pPr>
        <w:pStyle w:val="BodyText"/>
        <w:spacing w:before="17"/>
        <w:ind w:left="0"/>
        <w:jc w:val="left"/>
      </w:pPr>
    </w:p>
    <w:p w14:paraId="7E000F6C" w14:textId="77777777" w:rsidR="009A58DB" w:rsidRDefault="00000000">
      <w:pPr>
        <w:pStyle w:val="BodyText"/>
        <w:spacing w:line="499" w:lineRule="auto"/>
        <w:ind w:right="3292"/>
        <w:jc w:val="left"/>
        <w:rPr>
          <w:position w:val="21"/>
        </w:rPr>
      </w:pPr>
      <w:r>
        <w:rPr>
          <w:noProof/>
          <w:position w:val="21"/>
        </w:rPr>
        <mc:AlternateContent>
          <mc:Choice Requires="wps">
            <w:drawing>
              <wp:anchor distT="0" distB="0" distL="0" distR="0" simplePos="0" relativeHeight="480329728" behindDoc="1" locked="0" layoutInCell="1" allowOverlap="1" wp14:anchorId="7E003264" wp14:editId="7E003265">
                <wp:simplePos x="0" y="0"/>
                <wp:positionH relativeFrom="page">
                  <wp:posOffset>2000250</wp:posOffset>
                </wp:positionH>
                <wp:positionV relativeFrom="paragraph">
                  <wp:posOffset>687809</wp:posOffset>
                </wp:positionV>
                <wp:extent cx="4095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1270"/>
                        </a:xfrm>
                        <a:custGeom>
                          <a:avLst/>
                          <a:gdLst/>
                          <a:ahLst/>
                          <a:cxnLst/>
                          <a:rect l="l" t="t" r="r" b="b"/>
                          <a:pathLst>
                            <a:path w="409575">
                              <a:moveTo>
                                <a:pt x="0" y="0"/>
                              </a:moveTo>
                              <a:lnTo>
                                <a:pt x="40957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0AE5D3E9" id="Graphic 11" o:spid="_x0000_s1026" style="position:absolute;margin-left:157.5pt;margin-top:54.15pt;width:32.25pt;height:.1pt;z-index:-22986752;visibility:visible;mso-wrap-style:square;mso-wrap-distance-left:0;mso-wrap-distance-top:0;mso-wrap-distance-right:0;mso-wrap-distance-bottom:0;mso-position-horizontal:absolute;mso-position-horizontal-relative:page;mso-position-vertical:absolute;mso-position-vertical-relative:text;v-text-anchor:top" coordsize="409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" path="m,l409575,e" filled="f" strokecolor="#0562c1">
                <v:path arrowok="t"/>
                <w10:wrap anchorx="page"/>
              </v:shape>
            </w:pict>
          </mc:Fallback>
        </mc:AlternateContent>
      </w:r>
      <w:r>
        <w:rPr>
          <w:noProof/>
          <w:position w:val="21"/>
        </w:rPr>
        <mc:AlternateContent>
          <mc:Choice Requires="wps">
            <w:drawing>
              <wp:anchor distT="0" distB="0" distL="0" distR="0" simplePos="0" relativeHeight="480330752" behindDoc="1" locked="0" layoutInCell="1" allowOverlap="1" wp14:anchorId="7E003266" wp14:editId="7E003267">
                <wp:simplePos x="0" y="0"/>
                <wp:positionH relativeFrom="page">
                  <wp:posOffset>1924645</wp:posOffset>
                </wp:positionH>
                <wp:positionV relativeFrom="paragraph">
                  <wp:posOffset>637115</wp:posOffset>
                </wp:positionV>
                <wp:extent cx="544830" cy="2482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248285"/>
                        </a:xfrm>
                        <a:prstGeom prst="rect">
                          <a:avLst/>
                        </a:prstGeom>
                      </wps:spPr>
                      <wps:txbx>
                        <w:txbxContent>
                          <w:p w14:paraId="7E0032B4" w14:textId="77777777" w:rsidR="009A58DB" w:rsidRDefault="00000000">
                            <w:pPr>
                              <w:pStyle w:val="BodyText"/>
                              <w:tabs>
                                <w:tab w:val="left" w:pos="774"/>
                              </w:tabs>
                              <w:spacing w:line="332" w:lineRule="exact"/>
                              <w:ind w:left="0"/>
                              <w:jc w:val="left"/>
                            </w:pPr>
                            <w:r>
                              <w:rPr>
                                <w:spacing w:val="-10"/>
                                <w:w w:val="115"/>
                                <w:vertAlign w:val="subscript"/>
                              </w:rPr>
                              <w:t>S</w:t>
                            </w:r>
                            <w:r>
                              <w:tab/>
                            </w:r>
                            <w:r>
                              <w:rPr>
                                <w:spacing w:val="-23"/>
                                <w:w w:val="115"/>
                              </w:rPr>
                              <w:t>:</w:t>
                            </w:r>
                          </w:p>
                        </w:txbxContent>
                      </wps:txbx>
                      <wps:bodyPr wrap="square" lIns="0" tIns="0" rIns="0" bIns="0" rtlCol="0">
                        <a:noAutofit/>
                      </wps:bodyPr>
                    </wps:wsp>
                  </a:graphicData>
                </a:graphic>
              </wp:anchor>
            </w:drawing>
          </mc:Choice>
          <mc:Fallback>
            <w:pict>
              <v:shape w14:anchorId="7E003266" id="Textbox 12" o:spid="_x0000_s1030" type="#_x0000_t202" style="position:absolute;left:0;text-align:left;margin-left:151.55pt;margin-top:50.15pt;width:42.9pt;height:19.55pt;z-index:-2298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" filled="f" stroked="f">
                <v:textbox inset="0,0,0,0">
                  <w:txbxContent>
                    <w:p w14:paraId="7E0032B4" w14:textId="77777777" w:rsidR="009A58DB" w:rsidRDefault="00000000">
                      <w:pPr>
                        <w:pStyle w:val="BodyText"/>
                        <w:tabs>
                          <w:tab w:val="left" w:pos="774"/>
                        </w:tabs>
                        <w:spacing w:line="332" w:lineRule="exact"/>
                        <w:ind w:left="0"/>
                        <w:jc w:val="left"/>
                      </w:pPr>
                      <w:r>
                        <w:rPr>
                          <w:spacing w:val="-10"/>
                          <w:w w:val="115"/>
                          <w:vertAlign w:val="subscript"/>
                        </w:rPr>
                        <w:t>S</w:t>
                      </w:r>
                      <w:r>
                        <w:tab/>
                      </w:r>
                      <w:r>
                        <w:rPr>
                          <w:spacing w:val="-23"/>
                          <w:w w:val="115"/>
                        </w:rPr>
                        <w:t>:</w:t>
                      </w:r>
                    </w:p>
                  </w:txbxContent>
                </v:textbox>
                <w10:wrap anchorx="page"/>
              </v:shape>
            </w:pict>
          </mc:Fallback>
        </mc:AlternateContent>
      </w:r>
      <w:r>
        <w:t>Duly</w:t>
      </w:r>
      <w:r>
        <w:rPr>
          <w:spacing w:val="-8"/>
        </w:rPr>
        <w:t xml:space="preserve"> </w:t>
      </w:r>
      <w:r>
        <w:t>symbolized,</w:t>
      </w:r>
      <w:r>
        <w:rPr>
          <w:spacing w:val="-8"/>
        </w:rPr>
        <w:t xml:space="preserve"> </w:t>
      </w:r>
      <w:r>
        <w:t>Argument</w:t>
      </w:r>
      <w:r>
        <w:rPr>
          <w:spacing w:val="-9"/>
        </w:rPr>
        <w:t xml:space="preserve"> </w:t>
      </w:r>
      <w:r>
        <w:t>#1</w:t>
      </w:r>
      <w:r>
        <w:rPr>
          <w:position w:val="-7"/>
          <w:sz w:val="22"/>
        </w:rPr>
        <w:t xml:space="preserve">RP </w:t>
      </w:r>
      <w:r>
        <w:t>becomes: Argument #1</w:t>
      </w:r>
      <w:r>
        <w:rPr>
          <w:spacing w:val="49"/>
        </w:rPr>
        <w:t xml:space="preserve"> </w:t>
      </w:r>
      <w:bookmarkStart w:id="210" w:name="_bookmark210"/>
      <w:bookmarkEnd w:id="210"/>
      <w:r>
        <w:rPr>
          <w:color w:val="0562C1"/>
          <w:position w:val="21"/>
        </w:rPr>
        <w:t>[118]</w:t>
      </w:r>
    </w:p>
    <w:p w14:paraId="7E000F6D" w14:textId="77777777" w:rsidR="009A58DB" w:rsidRDefault="00000000">
      <w:pPr>
        <w:pStyle w:val="BodyText"/>
        <w:spacing w:before="63" w:line="249" w:lineRule="auto"/>
        <w:jc w:val="left"/>
      </w:pPr>
      <w:r>
        <w:t>Premise</w:t>
      </w:r>
      <w:r>
        <w:rPr>
          <w:spacing w:val="-5"/>
        </w:rPr>
        <w:t xml:space="preserve"> </w:t>
      </w:r>
      <w:r>
        <w:t>#1:</w:t>
      </w:r>
      <w:r>
        <w:rPr>
          <w:spacing w:val="-5"/>
        </w:rPr>
        <w:t xml:space="preserve"> </w:t>
      </w:r>
      <w:r>
        <w:t>(x)(x</w:t>
      </w:r>
      <w:r>
        <w:rPr>
          <w:spacing w:val="-4"/>
        </w:rPr>
        <w:t xml:space="preserve"> </w:t>
      </w:r>
      <w:r>
        <w:t>is</w:t>
      </w:r>
      <w:r>
        <w:rPr>
          <w:spacing w:val="-5"/>
        </w:rPr>
        <w:t xml:space="preserve"> </w:t>
      </w:r>
      <w:r>
        <w:t>a</w:t>
      </w:r>
      <w:r>
        <w:rPr>
          <w:spacing w:val="-5"/>
        </w:rPr>
        <w:t xml:space="preserve"> </w:t>
      </w:r>
      <w:r>
        <w:t>mammal→((x</w:t>
      </w:r>
      <w:r>
        <w:rPr>
          <w:spacing w:val="-4"/>
        </w:rPr>
        <w:t xml:space="preserve"> </w:t>
      </w:r>
      <w:r>
        <w:t>is</w:t>
      </w:r>
      <w:r>
        <w:rPr>
          <w:spacing w:val="-5"/>
        </w:rPr>
        <w:t xml:space="preserve"> </w:t>
      </w:r>
      <w:r>
        <w:t>intelligent)→~(x</w:t>
      </w:r>
      <w:r>
        <w:rPr>
          <w:spacing w:val="-4"/>
        </w:rPr>
        <w:t xml:space="preserve"> </w:t>
      </w:r>
      <w:r>
        <w:t>has</w:t>
      </w:r>
      <w:r>
        <w:rPr>
          <w:spacing w:val="-5"/>
        </w:rPr>
        <w:t xml:space="preserve"> </w:t>
      </w:r>
      <w:r>
        <w:t>pointy</w:t>
      </w:r>
      <w:r>
        <w:rPr>
          <w:spacing w:val="-4"/>
        </w:rPr>
        <w:t xml:space="preserve"> </w:t>
      </w:r>
      <w:r>
        <w:t>ears)). Premise #2: Smith is a mammal and Smith has pointy ears.</w:t>
      </w:r>
    </w:p>
    <w:p w14:paraId="7E000F6E" w14:textId="77777777" w:rsidR="009A58DB" w:rsidRDefault="00000000">
      <w:pPr>
        <w:pStyle w:val="BodyText"/>
        <w:spacing w:before="2"/>
        <w:jc w:val="left"/>
      </w:pPr>
      <w:r>
        <w:t>Conclusion:</w:t>
      </w:r>
      <w:r>
        <w:rPr>
          <w:spacing w:val="-5"/>
        </w:rPr>
        <w:t xml:space="preserve"> </w:t>
      </w:r>
      <w:r>
        <w:t>~(Smith</w:t>
      </w:r>
      <w:r>
        <w:rPr>
          <w:spacing w:val="-5"/>
        </w:rPr>
        <w:t xml:space="preserve"> </w:t>
      </w:r>
      <w:r>
        <w:t>is</w:t>
      </w:r>
      <w:r>
        <w:rPr>
          <w:spacing w:val="-4"/>
        </w:rPr>
        <w:t xml:space="preserve"> </w:t>
      </w:r>
      <w:r>
        <w:rPr>
          <w:spacing w:val="-2"/>
        </w:rPr>
        <w:t>intelligent).</w:t>
      </w:r>
    </w:p>
    <w:p w14:paraId="7E000F6F" w14:textId="77777777" w:rsidR="009A58DB" w:rsidRDefault="009A58DB">
      <w:pPr>
        <w:pStyle w:val="BodyText"/>
        <w:spacing w:before="30"/>
        <w:ind w:left="0"/>
        <w:jc w:val="left"/>
      </w:pPr>
    </w:p>
    <w:p w14:paraId="7E000F70" w14:textId="77777777" w:rsidR="009A58DB" w:rsidRDefault="00000000">
      <w:pPr>
        <w:pStyle w:val="BodyText"/>
        <w:spacing w:line="249" w:lineRule="auto"/>
        <w:ind w:right="365" w:firstLine="360"/>
      </w:pPr>
      <w:r>
        <w:t>Replace the constants in Argument #1</w:t>
      </w:r>
      <w:r>
        <w:rPr>
          <w:position w:val="-7"/>
          <w:sz w:val="22"/>
        </w:rPr>
        <w:t>S</w:t>
      </w:r>
      <w:r>
        <w:rPr>
          <w:spacing w:val="40"/>
          <w:position w:val="-7"/>
          <w:sz w:val="22"/>
        </w:rPr>
        <w:t xml:space="preserve"> </w:t>
      </w:r>
      <w:r>
        <w:t>with variables. In other words, replace “mammal,” “intelligent,” and “has pointy ears” with (let us say) F, G, and H, respectively, and replace “Smith” with A. Make the needed grammatical adjustments. The result is:</w:t>
      </w:r>
    </w:p>
    <w:p w14:paraId="7E000F71" w14:textId="77777777" w:rsidR="009A58DB" w:rsidRDefault="009A58DB">
      <w:pPr>
        <w:pStyle w:val="BodyText"/>
        <w:spacing w:before="17"/>
        <w:ind w:left="0"/>
        <w:jc w:val="left"/>
      </w:pPr>
    </w:p>
    <w:p w14:paraId="7E000F72" w14:textId="77777777" w:rsidR="009A58DB" w:rsidRDefault="00000000">
      <w:pPr>
        <w:pStyle w:val="BodyText"/>
        <w:jc w:val="left"/>
        <w:rPr>
          <w:position w:val="21"/>
        </w:rPr>
      </w:pPr>
      <w:r>
        <w:rPr>
          <w:noProof/>
          <w:position w:val="21"/>
        </w:rPr>
        <mc:AlternateContent>
          <mc:Choice Requires="wps">
            <w:drawing>
              <wp:anchor distT="0" distB="0" distL="0" distR="0" simplePos="0" relativeHeight="480331264" behindDoc="1" locked="0" layoutInCell="1" allowOverlap="1" wp14:anchorId="7E003268" wp14:editId="7E003269">
                <wp:simplePos x="0" y="0"/>
                <wp:positionH relativeFrom="page">
                  <wp:posOffset>1924645</wp:posOffset>
                </wp:positionH>
                <wp:positionV relativeFrom="paragraph">
                  <wp:posOffset>141816</wp:posOffset>
                </wp:positionV>
                <wp:extent cx="568960" cy="2482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960" cy="248285"/>
                        </a:xfrm>
                        <a:prstGeom prst="rect">
                          <a:avLst/>
                        </a:prstGeom>
                      </wps:spPr>
                      <wps:txbx>
                        <w:txbxContent>
                          <w:p w14:paraId="7E0032B5" w14:textId="77777777" w:rsidR="009A58DB" w:rsidRDefault="00000000">
                            <w:pPr>
                              <w:pStyle w:val="BodyText"/>
                              <w:tabs>
                                <w:tab w:val="left" w:pos="812"/>
                              </w:tabs>
                              <w:spacing w:line="332" w:lineRule="exact"/>
                              <w:ind w:left="0"/>
                              <w:jc w:val="left"/>
                            </w:pPr>
                            <w:r>
                              <w:rPr>
                                <w:spacing w:val="-10"/>
                                <w:w w:val="115"/>
                                <w:vertAlign w:val="subscript"/>
                              </w:rPr>
                              <w:t>G</w:t>
                            </w:r>
                            <w:r>
                              <w:tab/>
                            </w:r>
                            <w:r>
                              <w:rPr>
                                <w:spacing w:val="-23"/>
                                <w:w w:val="115"/>
                              </w:rPr>
                              <w:t>:</w:t>
                            </w:r>
                          </w:p>
                        </w:txbxContent>
                      </wps:txbx>
                      <wps:bodyPr wrap="square" lIns="0" tIns="0" rIns="0" bIns="0" rtlCol="0">
                        <a:noAutofit/>
                      </wps:bodyPr>
                    </wps:wsp>
                  </a:graphicData>
                </a:graphic>
              </wp:anchor>
            </w:drawing>
          </mc:Choice>
          <mc:Fallback>
            <w:pict>
              <v:shape w14:anchorId="7E003268" id="Textbox 13" o:spid="_x0000_s1031" type="#_x0000_t202" style="position:absolute;left:0;text-align:left;margin-left:151.55pt;margin-top:11.15pt;width:44.8pt;height:19.55pt;z-index:-2298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" filled="f" stroked="f">
                <v:textbox inset="0,0,0,0">
                  <w:txbxContent>
                    <w:p w14:paraId="7E0032B5" w14:textId="77777777" w:rsidR="009A58DB" w:rsidRDefault="00000000">
                      <w:pPr>
                        <w:pStyle w:val="BodyText"/>
                        <w:tabs>
                          <w:tab w:val="left" w:pos="812"/>
                        </w:tabs>
                        <w:spacing w:line="332" w:lineRule="exact"/>
                        <w:ind w:left="0"/>
                        <w:jc w:val="left"/>
                      </w:pPr>
                      <w:r>
                        <w:rPr>
                          <w:spacing w:val="-10"/>
                          <w:w w:val="115"/>
                          <w:vertAlign w:val="subscript"/>
                        </w:rPr>
                        <w:t>G</w:t>
                      </w:r>
                      <w:r>
                        <w:tab/>
                      </w:r>
                      <w:r>
                        <w:rPr>
                          <w:spacing w:val="-23"/>
                          <w:w w:val="115"/>
                        </w:rPr>
                        <w:t>:</w:t>
                      </w:r>
                    </w:p>
                  </w:txbxContent>
                </v:textbox>
                <w10:wrap anchorx="page"/>
              </v:shape>
            </w:pict>
          </mc:Fallback>
        </mc:AlternateContent>
      </w:r>
      <w:r>
        <w:t>Argument</w:t>
      </w:r>
      <w:r>
        <w:rPr>
          <w:spacing w:val="-3"/>
        </w:rPr>
        <w:t xml:space="preserve"> </w:t>
      </w:r>
      <w:r>
        <w:t>#1</w:t>
      </w:r>
      <w:r>
        <w:rPr>
          <w:spacing w:val="85"/>
        </w:rPr>
        <w:t xml:space="preserve"> </w:t>
      </w:r>
      <w:bookmarkStart w:id="211" w:name="_bookmark211"/>
      <w:bookmarkEnd w:id="211"/>
      <w:r>
        <w:rPr>
          <w:color w:val="0562C1"/>
          <w:spacing w:val="-2"/>
          <w:position w:val="21"/>
          <w:u w:val="single" w:color="0562C1"/>
        </w:rPr>
        <w:t>[119]</w:t>
      </w:r>
    </w:p>
    <w:p w14:paraId="7E000F73" w14:textId="77777777" w:rsidR="009A58DB" w:rsidRDefault="009A58DB">
      <w:pPr>
        <w:pStyle w:val="BodyText"/>
        <w:spacing w:before="90"/>
        <w:ind w:left="0"/>
        <w:jc w:val="left"/>
      </w:pPr>
    </w:p>
    <w:p w14:paraId="7E000F74" w14:textId="77777777" w:rsidR="009A58DB" w:rsidRDefault="00000000">
      <w:pPr>
        <w:pStyle w:val="BodyText"/>
        <w:spacing w:line="249" w:lineRule="auto"/>
        <w:ind w:right="3292"/>
        <w:jc w:val="left"/>
      </w:pPr>
      <w:r>
        <w:t>Premise</w:t>
      </w:r>
      <w:r>
        <w:rPr>
          <w:spacing w:val="-6"/>
        </w:rPr>
        <w:t xml:space="preserve"> </w:t>
      </w:r>
      <w:r>
        <w:t>#1:</w:t>
      </w:r>
      <w:r>
        <w:rPr>
          <w:spacing w:val="-6"/>
        </w:rPr>
        <w:t xml:space="preserve"> </w:t>
      </w:r>
      <w:r>
        <w:t>(x)(x</w:t>
      </w:r>
      <w:r>
        <w:rPr>
          <w:spacing w:val="-5"/>
        </w:rPr>
        <w:t xml:space="preserve"> </w:t>
      </w:r>
      <w:r>
        <w:t>has</w:t>
      </w:r>
      <w:r>
        <w:rPr>
          <w:spacing w:val="-6"/>
        </w:rPr>
        <w:t xml:space="preserve"> </w:t>
      </w:r>
      <w:r>
        <w:t>F→((x</w:t>
      </w:r>
      <w:r>
        <w:rPr>
          <w:spacing w:val="-5"/>
        </w:rPr>
        <w:t xml:space="preserve"> </w:t>
      </w:r>
      <w:r>
        <w:t>has</w:t>
      </w:r>
      <w:r>
        <w:rPr>
          <w:spacing w:val="-6"/>
        </w:rPr>
        <w:t xml:space="preserve"> </w:t>
      </w:r>
      <w:r>
        <w:t>G)→~(x</w:t>
      </w:r>
      <w:r>
        <w:rPr>
          <w:spacing w:val="-5"/>
        </w:rPr>
        <w:t xml:space="preserve"> </w:t>
      </w:r>
      <w:r>
        <w:t>has</w:t>
      </w:r>
      <w:r>
        <w:rPr>
          <w:spacing w:val="-6"/>
        </w:rPr>
        <w:t xml:space="preserve"> </w:t>
      </w:r>
      <w:r>
        <w:t>H)). Premise #2: A has F and A has H.</w:t>
      </w:r>
    </w:p>
    <w:p w14:paraId="7E000F75" w14:textId="77777777" w:rsidR="009A58DB" w:rsidRDefault="00000000">
      <w:pPr>
        <w:pStyle w:val="BodyText"/>
        <w:spacing w:before="3"/>
        <w:jc w:val="left"/>
      </w:pPr>
      <w:r>
        <w:t>Conclusion:</w:t>
      </w:r>
      <w:r>
        <w:rPr>
          <w:spacing w:val="-4"/>
        </w:rPr>
        <w:t xml:space="preserve"> </w:t>
      </w:r>
      <w:r>
        <w:t>~(A</w:t>
      </w:r>
      <w:r>
        <w:rPr>
          <w:spacing w:val="-4"/>
        </w:rPr>
        <w:t xml:space="preserve"> </w:t>
      </w:r>
      <w:r>
        <w:t>has</w:t>
      </w:r>
      <w:r>
        <w:rPr>
          <w:spacing w:val="-3"/>
        </w:rPr>
        <w:t xml:space="preserve"> </w:t>
      </w:r>
      <w:r>
        <w:rPr>
          <w:spacing w:val="-5"/>
        </w:rPr>
        <w:t>G).</w:t>
      </w:r>
    </w:p>
    <w:p w14:paraId="7E000F76" w14:textId="77777777" w:rsidR="009A58DB" w:rsidRDefault="009A58DB">
      <w:pPr>
        <w:pStyle w:val="BodyText"/>
        <w:spacing w:before="30"/>
        <w:ind w:left="0"/>
        <w:jc w:val="left"/>
      </w:pPr>
    </w:p>
    <w:p w14:paraId="7E000F77" w14:textId="77777777" w:rsidR="009A58DB" w:rsidRDefault="00000000">
      <w:pPr>
        <w:pStyle w:val="BodyText"/>
        <w:tabs>
          <w:tab w:val="left" w:pos="1919"/>
          <w:tab w:val="left" w:pos="2519"/>
          <w:tab w:val="left" w:pos="3836"/>
          <w:tab w:val="left" w:pos="4303"/>
          <w:tab w:val="left" w:pos="5753"/>
          <w:tab w:val="left" w:pos="6450"/>
          <w:tab w:val="left" w:pos="7218"/>
          <w:tab w:val="left" w:pos="7886"/>
        </w:tabs>
        <w:spacing w:line="249" w:lineRule="auto"/>
        <w:ind w:right="359" w:firstLine="360"/>
        <w:jc w:val="left"/>
      </w:pPr>
      <w:r>
        <w:rPr>
          <w:spacing w:val="-2"/>
        </w:rPr>
        <w:t>Replace</w:t>
      </w:r>
      <w:r>
        <w:tab/>
      </w:r>
      <w:r>
        <w:rPr>
          <w:spacing w:val="-4"/>
        </w:rPr>
        <w:t>the</w:t>
      </w:r>
      <w:r>
        <w:tab/>
      </w:r>
      <w:r>
        <w:rPr>
          <w:spacing w:val="-2"/>
        </w:rPr>
        <w:t>variables</w:t>
      </w:r>
      <w:r>
        <w:tab/>
      </w:r>
      <w:r>
        <w:rPr>
          <w:spacing w:val="-6"/>
        </w:rPr>
        <w:t>in</w:t>
      </w:r>
      <w:r>
        <w:tab/>
      </w:r>
      <w:r>
        <w:rPr>
          <w:spacing w:val="-2"/>
        </w:rPr>
        <w:t>Argument</w:t>
      </w:r>
      <w:r>
        <w:tab/>
      </w:r>
      <w:r>
        <w:rPr>
          <w:spacing w:val="-4"/>
        </w:rPr>
        <w:t>#1</w:t>
      </w:r>
      <w:r>
        <w:rPr>
          <w:spacing w:val="-4"/>
          <w:position w:val="-7"/>
          <w:sz w:val="22"/>
        </w:rPr>
        <w:t>G</w:t>
      </w:r>
      <w:r>
        <w:rPr>
          <w:position w:val="-7"/>
          <w:sz w:val="22"/>
        </w:rPr>
        <w:tab/>
      </w:r>
      <w:r>
        <w:rPr>
          <w:spacing w:val="-4"/>
        </w:rPr>
        <w:t>with</w:t>
      </w:r>
      <w:r>
        <w:tab/>
      </w:r>
      <w:r>
        <w:rPr>
          <w:spacing w:val="-4"/>
        </w:rPr>
        <w:t>any</w:t>
      </w:r>
      <w:r>
        <w:tab/>
      </w:r>
      <w:r>
        <w:rPr>
          <w:spacing w:val="-2"/>
        </w:rPr>
        <w:t xml:space="preserve">(grammatically </w:t>
      </w:r>
      <w:r>
        <w:t>appropriate)</w:t>
      </w:r>
      <w:r>
        <w:rPr>
          <w:spacing w:val="14"/>
        </w:rPr>
        <w:t xml:space="preserve"> </w:t>
      </w:r>
      <w:r>
        <w:t>constants</w:t>
      </w:r>
      <w:r>
        <w:rPr>
          <w:spacing w:val="14"/>
        </w:rPr>
        <w:t xml:space="preserve"> </w:t>
      </w:r>
      <w:r>
        <w:t>you</w:t>
      </w:r>
      <w:r>
        <w:rPr>
          <w:spacing w:val="14"/>
        </w:rPr>
        <w:t xml:space="preserve"> </w:t>
      </w:r>
      <w:r>
        <w:t>wish.</w:t>
      </w:r>
      <w:r>
        <w:rPr>
          <w:spacing w:val="15"/>
        </w:rPr>
        <w:t xml:space="preserve"> </w:t>
      </w:r>
      <w:r>
        <w:t>The</w:t>
      </w:r>
      <w:r>
        <w:rPr>
          <w:spacing w:val="14"/>
        </w:rPr>
        <w:t xml:space="preserve"> </w:t>
      </w:r>
      <w:r>
        <w:t>result</w:t>
      </w:r>
      <w:r>
        <w:rPr>
          <w:spacing w:val="14"/>
        </w:rPr>
        <w:t xml:space="preserve"> </w:t>
      </w:r>
      <w:r>
        <w:t>will</w:t>
      </w:r>
      <w:r>
        <w:rPr>
          <w:spacing w:val="14"/>
        </w:rPr>
        <w:t xml:space="preserve"> </w:t>
      </w:r>
      <w:r>
        <w:t>always</w:t>
      </w:r>
      <w:r>
        <w:rPr>
          <w:spacing w:val="15"/>
        </w:rPr>
        <w:t xml:space="preserve"> </w:t>
      </w:r>
      <w:r>
        <w:t>be</w:t>
      </w:r>
      <w:r>
        <w:rPr>
          <w:spacing w:val="14"/>
        </w:rPr>
        <w:t xml:space="preserve"> </w:t>
      </w:r>
      <w:r>
        <w:t>a</w:t>
      </w:r>
      <w:r>
        <w:rPr>
          <w:spacing w:val="14"/>
        </w:rPr>
        <w:t xml:space="preserve"> </w:t>
      </w:r>
      <w:r>
        <w:t>valid</w:t>
      </w:r>
      <w:r>
        <w:rPr>
          <w:spacing w:val="15"/>
        </w:rPr>
        <w:t xml:space="preserve"> </w:t>
      </w:r>
      <w:r>
        <w:rPr>
          <w:spacing w:val="-2"/>
        </w:rPr>
        <w:t>argument.</w:t>
      </w:r>
    </w:p>
    <w:p w14:paraId="7E000F78"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0F79" w14:textId="77777777" w:rsidR="009A58DB" w:rsidRDefault="00000000">
      <w:pPr>
        <w:pStyle w:val="BodyText"/>
        <w:spacing w:before="65" w:line="249" w:lineRule="auto"/>
        <w:ind w:right="358"/>
      </w:pPr>
      <w:r>
        <w:lastRenderedPageBreak/>
        <w:t>(It’s assumed that the replacements are uniform—i.e., that you don’t, for example, assign “intelligent” to one occurrence of “F” and “tall” to some other occurrence of it.) For example, replace F, G, and H, respectively, with “prime,” “even,” and “greater than 3”; and replace A with “7.” The resulting argument is:</w:t>
      </w:r>
    </w:p>
    <w:p w14:paraId="7E000F7A" w14:textId="77777777" w:rsidR="009A58DB" w:rsidRDefault="009A58DB">
      <w:pPr>
        <w:pStyle w:val="BodyText"/>
        <w:spacing w:before="21"/>
        <w:ind w:left="0"/>
        <w:jc w:val="left"/>
      </w:pPr>
    </w:p>
    <w:p w14:paraId="7E000F7B" w14:textId="77777777" w:rsidR="009A58DB" w:rsidRDefault="00000000">
      <w:pPr>
        <w:pStyle w:val="BodyText"/>
        <w:rPr>
          <w:position w:val="21"/>
        </w:rPr>
      </w:pPr>
      <w:r>
        <w:rPr>
          <w:noProof/>
          <w:position w:val="21"/>
        </w:rPr>
        <mc:AlternateContent>
          <mc:Choice Requires="wps">
            <w:drawing>
              <wp:anchor distT="0" distB="0" distL="0" distR="0" simplePos="0" relativeHeight="480331776" behindDoc="1" locked="0" layoutInCell="1" allowOverlap="1" wp14:anchorId="7E00326A" wp14:editId="7E00326B">
                <wp:simplePos x="0" y="0"/>
                <wp:positionH relativeFrom="page">
                  <wp:posOffset>1924640</wp:posOffset>
                </wp:positionH>
                <wp:positionV relativeFrom="paragraph">
                  <wp:posOffset>141508</wp:posOffset>
                </wp:positionV>
                <wp:extent cx="671830" cy="2482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830" cy="248285"/>
                        </a:xfrm>
                        <a:prstGeom prst="rect">
                          <a:avLst/>
                        </a:prstGeom>
                      </wps:spPr>
                      <wps:txbx>
                        <w:txbxContent>
                          <w:p w14:paraId="7E0032B6" w14:textId="77777777" w:rsidR="009A58DB" w:rsidRDefault="00000000">
                            <w:pPr>
                              <w:tabs>
                                <w:tab w:val="left" w:pos="974"/>
                              </w:tabs>
                              <w:spacing w:line="390" w:lineRule="exact"/>
                              <w:rPr>
                                <w:position w:val="7"/>
                                <w:sz w:val="30"/>
                              </w:rPr>
                            </w:pPr>
                            <w:r>
                              <w:rPr>
                                <w:spacing w:val="-5"/>
                              </w:rPr>
                              <w:t>AA</w:t>
                            </w:r>
                            <w:r>
                              <w:tab/>
                            </w:r>
                            <w:r>
                              <w:rPr>
                                <w:spacing w:val="-10"/>
                                <w:position w:val="7"/>
                                <w:sz w:val="30"/>
                              </w:rPr>
                              <w:t>:</w:t>
                            </w:r>
                          </w:p>
                        </w:txbxContent>
                      </wps:txbx>
                      <wps:bodyPr wrap="square" lIns="0" tIns="0" rIns="0" bIns="0" rtlCol="0">
                        <a:noAutofit/>
                      </wps:bodyPr>
                    </wps:wsp>
                  </a:graphicData>
                </a:graphic>
              </wp:anchor>
            </w:drawing>
          </mc:Choice>
          <mc:Fallback>
            <w:pict>
              <v:shape w14:anchorId="7E00326A" id="Textbox 14" o:spid="_x0000_s1032" type="#_x0000_t202" style="position:absolute;left:0;text-align:left;margin-left:151.55pt;margin-top:11.15pt;width:52.9pt;height:19.55pt;z-index:-2298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" filled="f" stroked="f">
                <v:textbox inset="0,0,0,0">
                  <w:txbxContent>
                    <w:p w14:paraId="7E0032B6" w14:textId="77777777" w:rsidR="009A58DB" w:rsidRDefault="00000000">
                      <w:pPr>
                        <w:tabs>
                          <w:tab w:val="left" w:pos="974"/>
                        </w:tabs>
                        <w:spacing w:line="390" w:lineRule="exact"/>
                        <w:rPr>
                          <w:position w:val="7"/>
                          <w:sz w:val="30"/>
                        </w:rPr>
                      </w:pPr>
                      <w:r>
                        <w:rPr>
                          <w:spacing w:val="-5"/>
                        </w:rPr>
                        <w:t>AA</w:t>
                      </w:r>
                      <w:r>
                        <w:tab/>
                      </w:r>
                      <w:r>
                        <w:rPr>
                          <w:spacing w:val="-10"/>
                          <w:position w:val="7"/>
                          <w:sz w:val="30"/>
                        </w:rPr>
                        <w:t>:</w:t>
                      </w:r>
                    </w:p>
                  </w:txbxContent>
                </v:textbox>
                <w10:wrap anchorx="page"/>
              </v:shape>
            </w:pict>
          </mc:Fallback>
        </mc:AlternateContent>
      </w:r>
      <w:r>
        <w:t>Argument</w:t>
      </w:r>
      <w:r>
        <w:rPr>
          <w:spacing w:val="-2"/>
        </w:rPr>
        <w:t xml:space="preserve"> </w:t>
      </w:r>
      <w:r>
        <w:t>#1</w:t>
      </w:r>
      <w:r>
        <w:rPr>
          <w:spacing w:val="246"/>
        </w:rPr>
        <w:t xml:space="preserve"> </w:t>
      </w:r>
      <w:bookmarkStart w:id="212" w:name="_bookmark212"/>
      <w:bookmarkEnd w:id="212"/>
      <w:r>
        <w:rPr>
          <w:color w:val="0562C1"/>
          <w:spacing w:val="-4"/>
          <w:position w:val="21"/>
          <w:u w:val="single" w:color="0562C1"/>
        </w:rPr>
        <w:t>[120]</w:t>
      </w:r>
    </w:p>
    <w:p w14:paraId="7E000F7C" w14:textId="77777777" w:rsidR="009A58DB" w:rsidRDefault="009A58DB">
      <w:pPr>
        <w:pStyle w:val="BodyText"/>
        <w:spacing w:before="90"/>
        <w:ind w:left="0"/>
        <w:jc w:val="left"/>
      </w:pPr>
    </w:p>
    <w:p w14:paraId="7E000F7D" w14:textId="77777777" w:rsidR="009A58DB" w:rsidRDefault="00000000">
      <w:pPr>
        <w:pStyle w:val="BodyText"/>
        <w:spacing w:line="249" w:lineRule="auto"/>
        <w:ind w:right="794"/>
        <w:jc w:val="left"/>
      </w:pPr>
      <w:r>
        <w:t>Premise</w:t>
      </w:r>
      <w:r>
        <w:rPr>
          <w:spacing w:val="-5"/>
        </w:rPr>
        <w:t xml:space="preserve"> </w:t>
      </w:r>
      <w:r>
        <w:t>#1:</w:t>
      </w:r>
      <w:r>
        <w:rPr>
          <w:spacing w:val="-5"/>
        </w:rPr>
        <w:t xml:space="preserve"> </w:t>
      </w:r>
      <w:r>
        <w:t>(x)(x</w:t>
      </w:r>
      <w:r>
        <w:rPr>
          <w:spacing w:val="-4"/>
        </w:rPr>
        <w:t xml:space="preserve"> </w:t>
      </w:r>
      <w:r>
        <w:t>is</w:t>
      </w:r>
      <w:r>
        <w:rPr>
          <w:spacing w:val="-5"/>
        </w:rPr>
        <w:t xml:space="preserve"> </w:t>
      </w:r>
      <w:r>
        <w:t>prime→((x</w:t>
      </w:r>
      <w:r>
        <w:rPr>
          <w:spacing w:val="-4"/>
        </w:rPr>
        <w:t xml:space="preserve"> </w:t>
      </w:r>
      <w:r>
        <w:t>is</w:t>
      </w:r>
      <w:r>
        <w:rPr>
          <w:spacing w:val="-5"/>
        </w:rPr>
        <w:t xml:space="preserve"> </w:t>
      </w:r>
      <w:r>
        <w:t>even)→~(x</w:t>
      </w:r>
      <w:r>
        <w:rPr>
          <w:spacing w:val="-4"/>
        </w:rPr>
        <w:t xml:space="preserve"> </w:t>
      </w:r>
      <w:r>
        <w:t>is</w:t>
      </w:r>
      <w:r>
        <w:rPr>
          <w:spacing w:val="-5"/>
        </w:rPr>
        <w:t xml:space="preserve"> </w:t>
      </w:r>
      <w:r>
        <w:t>greater</w:t>
      </w:r>
      <w:r>
        <w:rPr>
          <w:spacing w:val="-5"/>
        </w:rPr>
        <w:t xml:space="preserve"> </w:t>
      </w:r>
      <w:r>
        <w:t>than</w:t>
      </w:r>
      <w:r>
        <w:rPr>
          <w:spacing w:val="-4"/>
        </w:rPr>
        <w:t xml:space="preserve"> </w:t>
      </w:r>
      <w:r>
        <w:t>three)). Premise #2: 7 is prime and 7 is greater than three.</w:t>
      </w:r>
    </w:p>
    <w:p w14:paraId="7E000F7E" w14:textId="77777777" w:rsidR="009A58DB" w:rsidRDefault="00000000">
      <w:pPr>
        <w:pStyle w:val="BodyText"/>
        <w:spacing w:before="2"/>
        <w:jc w:val="left"/>
      </w:pPr>
      <w:r>
        <w:t>Conclusion:</w:t>
      </w:r>
      <w:r>
        <w:rPr>
          <w:spacing w:val="-4"/>
        </w:rPr>
        <w:t xml:space="preserve"> </w:t>
      </w:r>
      <w:r>
        <w:t>~(7</w:t>
      </w:r>
      <w:r>
        <w:rPr>
          <w:spacing w:val="-3"/>
        </w:rPr>
        <w:t xml:space="preserve"> </w:t>
      </w:r>
      <w:r>
        <w:t>is</w:t>
      </w:r>
      <w:r>
        <w:rPr>
          <w:spacing w:val="-3"/>
        </w:rPr>
        <w:t xml:space="preserve"> </w:t>
      </w:r>
      <w:r>
        <w:rPr>
          <w:spacing w:val="-2"/>
        </w:rPr>
        <w:t>even).</w:t>
      </w:r>
    </w:p>
    <w:p w14:paraId="7E000F7F" w14:textId="77777777" w:rsidR="009A58DB" w:rsidRDefault="009A58DB">
      <w:pPr>
        <w:pStyle w:val="BodyText"/>
        <w:spacing w:before="30"/>
        <w:ind w:left="0"/>
        <w:jc w:val="left"/>
      </w:pPr>
    </w:p>
    <w:p w14:paraId="7E000F80" w14:textId="77777777" w:rsidR="009A58DB" w:rsidRDefault="00000000">
      <w:pPr>
        <w:pStyle w:val="BodyText"/>
        <w:spacing w:line="249" w:lineRule="auto"/>
        <w:ind w:right="361" w:firstLine="360"/>
      </w:pPr>
      <w:r>
        <w:t>This</w:t>
      </w:r>
      <w:r>
        <w:rPr>
          <w:spacing w:val="-3"/>
        </w:rPr>
        <w:t xml:space="preserve"> </w:t>
      </w:r>
      <w:r>
        <w:t>argument</w:t>
      </w:r>
      <w:r>
        <w:rPr>
          <w:spacing w:val="-2"/>
        </w:rPr>
        <w:t xml:space="preserve"> </w:t>
      </w:r>
      <w:r>
        <w:t>is</w:t>
      </w:r>
      <w:r>
        <w:rPr>
          <w:spacing w:val="-3"/>
        </w:rPr>
        <w:t xml:space="preserve"> </w:t>
      </w:r>
      <w:r>
        <w:t>clearly</w:t>
      </w:r>
      <w:r>
        <w:rPr>
          <w:spacing w:val="-2"/>
        </w:rPr>
        <w:t xml:space="preserve"> </w:t>
      </w:r>
      <w:r>
        <w:t>valid.</w:t>
      </w:r>
      <w:r>
        <w:rPr>
          <w:spacing w:val="-3"/>
        </w:rPr>
        <w:t xml:space="preserve"> </w:t>
      </w:r>
      <w:r>
        <w:t>The</w:t>
      </w:r>
      <w:r>
        <w:rPr>
          <w:spacing w:val="-2"/>
        </w:rPr>
        <w:t xml:space="preserve"> </w:t>
      </w:r>
      <w:r>
        <w:t>only</w:t>
      </w:r>
      <w:r>
        <w:rPr>
          <w:spacing w:val="-2"/>
        </w:rPr>
        <w:t xml:space="preserve"> </w:t>
      </w:r>
      <w:r>
        <w:t>even</w:t>
      </w:r>
      <w:r>
        <w:rPr>
          <w:spacing w:val="-3"/>
        </w:rPr>
        <w:t xml:space="preserve"> </w:t>
      </w:r>
      <w:r>
        <w:t>prime</w:t>
      </w:r>
      <w:r>
        <w:rPr>
          <w:spacing w:val="-2"/>
        </w:rPr>
        <w:t xml:space="preserve"> </w:t>
      </w:r>
      <w:r>
        <w:t>is</w:t>
      </w:r>
      <w:r>
        <w:rPr>
          <w:spacing w:val="-3"/>
        </w:rPr>
        <w:t xml:space="preserve"> </w:t>
      </w:r>
      <w:r>
        <w:t>2.</w:t>
      </w:r>
      <w:r>
        <w:rPr>
          <w:spacing w:val="-2"/>
        </w:rPr>
        <w:t xml:space="preserve"> </w:t>
      </w:r>
      <w:r>
        <w:t>So</w:t>
      </w:r>
      <w:r>
        <w:rPr>
          <w:spacing w:val="-3"/>
        </w:rPr>
        <w:t xml:space="preserve"> </w:t>
      </w:r>
      <w:r>
        <w:t>no</w:t>
      </w:r>
      <w:r>
        <w:rPr>
          <w:spacing w:val="-2"/>
        </w:rPr>
        <w:t xml:space="preserve"> </w:t>
      </w:r>
      <w:r>
        <w:t>even</w:t>
      </w:r>
      <w:r>
        <w:rPr>
          <w:spacing w:val="-2"/>
        </w:rPr>
        <w:t xml:space="preserve"> </w:t>
      </w:r>
      <w:r>
        <w:t>prime is greater than three. Given that 7 is prime and greater than three, it follows that 7 isn’t even.</w:t>
      </w:r>
    </w:p>
    <w:p w14:paraId="7E000F81" w14:textId="77777777" w:rsidR="009A58DB" w:rsidRDefault="00000000">
      <w:pPr>
        <w:pStyle w:val="BodyText"/>
        <w:spacing w:before="4" w:line="249" w:lineRule="auto"/>
        <w:ind w:right="361" w:firstLine="360"/>
      </w:pPr>
      <w:r>
        <w:t>The result of uniformly replacing the variables in Argument #1</w:t>
      </w:r>
      <w:r>
        <w:rPr>
          <w:position w:val="-7"/>
          <w:sz w:val="22"/>
        </w:rPr>
        <w:t xml:space="preserve">G </w:t>
      </w:r>
      <w:r>
        <w:t xml:space="preserve">with constants </w:t>
      </w:r>
      <w:r>
        <w:rPr>
          <w:i/>
        </w:rPr>
        <w:t xml:space="preserve">always </w:t>
      </w:r>
      <w:r>
        <w:t>yields a valid argument. Thus, Argument #1</w:t>
      </w:r>
      <w:r>
        <w:rPr>
          <w:position w:val="-7"/>
          <w:sz w:val="22"/>
        </w:rPr>
        <w:t>G</w:t>
      </w:r>
      <w:r>
        <w:rPr>
          <w:spacing w:val="40"/>
          <w:position w:val="-7"/>
          <w:sz w:val="22"/>
        </w:rPr>
        <w:t xml:space="preserve"> </w:t>
      </w:r>
      <w:r>
        <w:t>successfully formalizes Argument #1, the reason being that (so-called) Argument #1</w:t>
      </w:r>
      <w:r>
        <w:rPr>
          <w:position w:val="-7"/>
          <w:sz w:val="22"/>
        </w:rPr>
        <w:t>G</w:t>
      </w:r>
      <w:r>
        <w:rPr>
          <w:spacing w:val="80"/>
          <w:position w:val="-7"/>
          <w:sz w:val="22"/>
        </w:rPr>
        <w:t xml:space="preserve"> </w:t>
      </w:r>
      <w:r>
        <w:t>isn’t really an argument at all, being instead an argument-</w:t>
      </w:r>
      <w:r>
        <w:rPr>
          <w:i/>
        </w:rPr>
        <w:t xml:space="preserve">form, </w:t>
      </w:r>
      <w:r>
        <w:t xml:space="preserve">all of whose </w:t>
      </w:r>
      <w:r>
        <w:rPr>
          <w:i/>
        </w:rPr>
        <w:t xml:space="preserve">instances </w:t>
      </w:r>
      <w:r>
        <w:t>are valid.</w:t>
      </w:r>
    </w:p>
    <w:p w14:paraId="7E000F82" w14:textId="77777777" w:rsidR="009A58DB" w:rsidRDefault="00000000">
      <w:pPr>
        <w:pStyle w:val="BodyText"/>
        <w:spacing w:line="249" w:lineRule="auto"/>
        <w:ind w:right="358" w:firstLine="360"/>
      </w:pPr>
      <w:r>
        <w:t xml:space="preserve">Now let’s subject Argument #2 to the same treatment. Reparsed, it </w:t>
      </w:r>
      <w:r>
        <w:rPr>
          <w:spacing w:val="-2"/>
        </w:rPr>
        <w:t>becomes:</w:t>
      </w:r>
    </w:p>
    <w:p w14:paraId="7E000F83" w14:textId="77777777" w:rsidR="009A58DB" w:rsidRDefault="009A58DB">
      <w:pPr>
        <w:pStyle w:val="BodyText"/>
        <w:spacing w:before="15"/>
        <w:ind w:left="0"/>
        <w:jc w:val="left"/>
      </w:pPr>
    </w:p>
    <w:p w14:paraId="7E000F84" w14:textId="77777777" w:rsidR="009A58DB" w:rsidRDefault="00000000">
      <w:pPr>
        <w:pStyle w:val="BodyText"/>
        <w:spacing w:before="1"/>
        <w:jc w:val="left"/>
        <w:rPr>
          <w:position w:val="-7"/>
          <w:sz w:val="22"/>
        </w:rPr>
      </w:pPr>
      <w:r>
        <w:t>Argument</w:t>
      </w:r>
      <w:r>
        <w:rPr>
          <w:spacing w:val="-7"/>
        </w:rPr>
        <w:t xml:space="preserve"> </w:t>
      </w:r>
      <w:r>
        <w:rPr>
          <w:spacing w:val="-4"/>
        </w:rPr>
        <w:t>#2</w:t>
      </w:r>
      <w:r>
        <w:rPr>
          <w:spacing w:val="-4"/>
          <w:position w:val="-7"/>
          <w:sz w:val="22"/>
        </w:rPr>
        <w:t>RP</w:t>
      </w:r>
    </w:p>
    <w:p w14:paraId="7E000F85" w14:textId="77777777" w:rsidR="009A58DB" w:rsidRDefault="00000000">
      <w:pPr>
        <w:pStyle w:val="BodyText"/>
        <w:spacing w:before="12" w:line="249" w:lineRule="auto"/>
        <w:ind w:right="2223"/>
        <w:jc w:val="left"/>
      </w:pPr>
      <w:r>
        <w:t>Premise #1: Jones is intelligent and Jones has pointy ears. Premise</w:t>
      </w:r>
      <w:r>
        <w:rPr>
          <w:spacing w:val="-5"/>
        </w:rPr>
        <w:t xml:space="preserve"> </w:t>
      </w:r>
      <w:r>
        <w:t>#2:</w:t>
      </w:r>
      <w:r>
        <w:rPr>
          <w:spacing w:val="-5"/>
        </w:rPr>
        <w:t xml:space="preserve"> </w:t>
      </w:r>
      <w:r>
        <w:t>Smith</w:t>
      </w:r>
      <w:r>
        <w:rPr>
          <w:spacing w:val="-4"/>
        </w:rPr>
        <w:t xml:space="preserve"> </w:t>
      </w:r>
      <w:r>
        <w:t>is</w:t>
      </w:r>
      <w:r>
        <w:rPr>
          <w:spacing w:val="-5"/>
        </w:rPr>
        <w:t xml:space="preserve"> </w:t>
      </w:r>
      <w:r>
        <w:t>a</w:t>
      </w:r>
      <w:r>
        <w:rPr>
          <w:spacing w:val="-5"/>
        </w:rPr>
        <w:t xml:space="preserve"> </w:t>
      </w:r>
      <w:r>
        <w:t>mammal</w:t>
      </w:r>
      <w:r>
        <w:rPr>
          <w:spacing w:val="-5"/>
        </w:rPr>
        <w:t xml:space="preserve"> </w:t>
      </w:r>
      <w:r>
        <w:t>and</w:t>
      </w:r>
      <w:r>
        <w:rPr>
          <w:spacing w:val="-4"/>
        </w:rPr>
        <w:t xml:space="preserve"> </w:t>
      </w:r>
      <w:r>
        <w:t>Smith</w:t>
      </w:r>
      <w:r>
        <w:rPr>
          <w:spacing w:val="-4"/>
        </w:rPr>
        <w:t xml:space="preserve"> </w:t>
      </w:r>
      <w:r>
        <w:t>is</w:t>
      </w:r>
      <w:r>
        <w:rPr>
          <w:spacing w:val="-5"/>
        </w:rPr>
        <w:t xml:space="preserve"> </w:t>
      </w:r>
      <w:r>
        <w:t>pointy-eared. Conclusion: It is not the case that Smith is intelligent.</w:t>
      </w:r>
    </w:p>
    <w:p w14:paraId="7E000F86" w14:textId="77777777" w:rsidR="009A58DB" w:rsidRDefault="009A58DB">
      <w:pPr>
        <w:pStyle w:val="BodyText"/>
        <w:spacing w:before="18"/>
        <w:ind w:left="0"/>
        <w:jc w:val="left"/>
      </w:pPr>
    </w:p>
    <w:p w14:paraId="7E000F87" w14:textId="77777777" w:rsidR="009A58DB" w:rsidRDefault="00000000">
      <w:pPr>
        <w:pStyle w:val="BodyText"/>
        <w:spacing w:before="1" w:line="249" w:lineRule="auto"/>
        <w:ind w:right="360"/>
      </w:pPr>
      <w:r>
        <w:t>To generalize argument #2RP, replace “mammal,” “intelligent,” and “has pointy ears” with F, G, and H, respectively, and replace “Smith” and “Jones” with A and B, respectively. Duly generalized, it becomes:</w:t>
      </w:r>
    </w:p>
    <w:p w14:paraId="7E000F88" w14:textId="77777777" w:rsidR="009A58DB" w:rsidRDefault="009A58DB">
      <w:pPr>
        <w:pStyle w:val="BodyText"/>
        <w:spacing w:before="18"/>
        <w:ind w:left="0"/>
        <w:jc w:val="left"/>
      </w:pPr>
    </w:p>
    <w:p w14:paraId="7E000F89" w14:textId="77777777" w:rsidR="009A58DB" w:rsidRDefault="00000000">
      <w:pPr>
        <w:pStyle w:val="BodyText"/>
        <w:jc w:val="left"/>
      </w:pPr>
      <w:r>
        <w:t>Argument</w:t>
      </w:r>
      <w:r>
        <w:rPr>
          <w:spacing w:val="-7"/>
        </w:rPr>
        <w:t xml:space="preserve"> </w:t>
      </w:r>
      <w:r>
        <w:rPr>
          <w:spacing w:val="-4"/>
        </w:rPr>
        <w:t>#2</w:t>
      </w:r>
      <w:r>
        <w:rPr>
          <w:spacing w:val="-4"/>
          <w:position w:val="-7"/>
          <w:sz w:val="22"/>
        </w:rPr>
        <w:t>G</w:t>
      </w:r>
      <w:r>
        <w:rPr>
          <w:spacing w:val="-4"/>
        </w:rPr>
        <w:t>:</w:t>
      </w:r>
    </w:p>
    <w:p w14:paraId="7E000F8A" w14:textId="77777777" w:rsidR="009A58DB" w:rsidRDefault="009A58DB">
      <w:pPr>
        <w:pStyle w:val="BodyText"/>
        <w:jc w:val="left"/>
        <w:sectPr w:rsidR="009A58DB">
          <w:pgSz w:w="12240" w:h="15840"/>
          <w:pgMar w:top="1380" w:right="1080" w:bottom="280" w:left="1080" w:header="720" w:footer="720" w:gutter="0"/>
          <w:cols w:space="720"/>
        </w:sectPr>
      </w:pPr>
    </w:p>
    <w:p w14:paraId="7E000F8B" w14:textId="77777777" w:rsidR="009A58DB" w:rsidRDefault="00000000">
      <w:pPr>
        <w:pStyle w:val="BodyText"/>
        <w:spacing w:before="65" w:line="249" w:lineRule="auto"/>
        <w:ind w:right="4587"/>
        <w:jc w:val="left"/>
      </w:pPr>
      <w:r>
        <w:lastRenderedPageBreak/>
        <w:t>Premise #1: B has G and B has H.</w:t>
      </w:r>
      <w:r>
        <w:rPr>
          <w:spacing w:val="80"/>
        </w:rPr>
        <w:t xml:space="preserve"> </w:t>
      </w:r>
      <w:r>
        <w:t>Premise #2: A has F and A has H. Conclusion:</w:t>
      </w:r>
      <w:r>
        <w:rPr>
          <w:spacing w:val="-5"/>
        </w:rPr>
        <w:t xml:space="preserve"> </w:t>
      </w:r>
      <w:r>
        <w:t>It</w:t>
      </w:r>
      <w:r>
        <w:rPr>
          <w:spacing w:val="-5"/>
        </w:rPr>
        <w:t xml:space="preserve"> </w:t>
      </w:r>
      <w:r>
        <w:t>is</w:t>
      </w:r>
      <w:r>
        <w:rPr>
          <w:spacing w:val="-5"/>
        </w:rPr>
        <w:t xml:space="preserve"> </w:t>
      </w:r>
      <w:r>
        <w:t>not</w:t>
      </w:r>
      <w:r>
        <w:rPr>
          <w:spacing w:val="-5"/>
        </w:rPr>
        <w:t xml:space="preserve"> </w:t>
      </w:r>
      <w:r>
        <w:t>the</w:t>
      </w:r>
      <w:r>
        <w:rPr>
          <w:spacing w:val="-5"/>
        </w:rPr>
        <w:t xml:space="preserve"> </w:t>
      </w:r>
      <w:r>
        <w:t>case</w:t>
      </w:r>
      <w:r>
        <w:rPr>
          <w:spacing w:val="-5"/>
        </w:rPr>
        <w:t xml:space="preserve"> </w:t>
      </w:r>
      <w:r>
        <w:t>that</w:t>
      </w:r>
      <w:r>
        <w:rPr>
          <w:spacing w:val="-5"/>
        </w:rPr>
        <w:t xml:space="preserve"> </w:t>
      </w:r>
      <w:r>
        <w:t>A</w:t>
      </w:r>
      <w:r>
        <w:rPr>
          <w:spacing w:val="-5"/>
        </w:rPr>
        <w:t xml:space="preserve"> </w:t>
      </w:r>
      <w:r>
        <w:t>has</w:t>
      </w:r>
      <w:r>
        <w:rPr>
          <w:spacing w:val="-5"/>
        </w:rPr>
        <w:t xml:space="preserve"> </w:t>
      </w:r>
      <w:r>
        <w:t>G.</w:t>
      </w:r>
    </w:p>
    <w:p w14:paraId="7E000F8C" w14:textId="77777777" w:rsidR="009A58DB" w:rsidRDefault="009A58DB">
      <w:pPr>
        <w:pStyle w:val="BodyText"/>
        <w:spacing w:before="18"/>
        <w:ind w:left="0"/>
        <w:jc w:val="left"/>
      </w:pPr>
    </w:p>
    <w:p w14:paraId="7E000F8D" w14:textId="77777777" w:rsidR="009A58DB" w:rsidRDefault="00000000">
      <w:pPr>
        <w:pStyle w:val="BodyText"/>
        <w:spacing w:line="249" w:lineRule="auto"/>
        <w:ind w:right="365"/>
      </w:pPr>
      <w:r>
        <w:t>There are instances of 2</w:t>
      </w:r>
      <w:r>
        <w:rPr>
          <w:position w:val="-7"/>
          <w:sz w:val="22"/>
        </w:rPr>
        <w:t>G</w:t>
      </w:r>
      <w:r>
        <w:rPr>
          <w:spacing w:val="40"/>
          <w:position w:val="-7"/>
          <w:sz w:val="22"/>
        </w:rPr>
        <w:t xml:space="preserve"> </w:t>
      </w:r>
      <w:r>
        <w:t>that are invalid. Let A and B be the numbers ten and twenty, respectively. Let F, G, and H be the properties of being greater than one, greater than two, and greater than three, respectively. The result is:</w:t>
      </w:r>
    </w:p>
    <w:p w14:paraId="7E000F8E" w14:textId="77777777" w:rsidR="009A58DB" w:rsidRDefault="009A58DB">
      <w:pPr>
        <w:pStyle w:val="BodyText"/>
        <w:spacing w:before="16"/>
        <w:ind w:left="0"/>
        <w:jc w:val="left"/>
      </w:pPr>
    </w:p>
    <w:p w14:paraId="7E000F8F" w14:textId="77777777" w:rsidR="009A58DB" w:rsidRDefault="00000000">
      <w:pPr>
        <w:pStyle w:val="BodyText"/>
        <w:jc w:val="left"/>
      </w:pPr>
      <w:r>
        <w:t>Argument</w:t>
      </w:r>
      <w:r>
        <w:rPr>
          <w:spacing w:val="-7"/>
        </w:rPr>
        <w:t xml:space="preserve"> </w:t>
      </w:r>
      <w:r>
        <w:rPr>
          <w:spacing w:val="-4"/>
        </w:rPr>
        <w:t>#2</w:t>
      </w:r>
      <w:r>
        <w:rPr>
          <w:spacing w:val="-4"/>
          <w:position w:val="-7"/>
          <w:sz w:val="22"/>
        </w:rPr>
        <w:t>N</w:t>
      </w:r>
      <w:r>
        <w:rPr>
          <w:spacing w:val="-4"/>
        </w:rPr>
        <w:t>:</w:t>
      </w:r>
    </w:p>
    <w:p w14:paraId="7E000F90" w14:textId="77777777" w:rsidR="009A58DB" w:rsidRDefault="009A58DB">
      <w:pPr>
        <w:pStyle w:val="BodyText"/>
        <w:spacing w:before="28"/>
        <w:ind w:left="0"/>
        <w:jc w:val="left"/>
      </w:pPr>
    </w:p>
    <w:p w14:paraId="7E000F91" w14:textId="77777777" w:rsidR="009A58DB" w:rsidRDefault="00000000">
      <w:pPr>
        <w:pStyle w:val="BodyText"/>
        <w:spacing w:line="249" w:lineRule="auto"/>
        <w:jc w:val="left"/>
      </w:pPr>
      <w:r>
        <w:t>Premise #1: the number twenty is greater than two and the number twenty is greater than three.</w:t>
      </w:r>
    </w:p>
    <w:p w14:paraId="7E000F92" w14:textId="77777777" w:rsidR="009A58DB" w:rsidRDefault="00000000">
      <w:pPr>
        <w:pStyle w:val="BodyText"/>
        <w:spacing w:before="2" w:line="249" w:lineRule="auto"/>
        <w:ind w:right="364"/>
        <w:jc w:val="left"/>
      </w:pPr>
      <w:r>
        <w:t>Premise #2: the number ten is greater than one and the number ten is greater than three.</w:t>
      </w:r>
    </w:p>
    <w:p w14:paraId="7E000F93" w14:textId="77777777" w:rsidR="009A58DB" w:rsidRDefault="00000000">
      <w:pPr>
        <w:pStyle w:val="BodyText"/>
        <w:spacing w:before="3"/>
        <w:jc w:val="left"/>
      </w:pPr>
      <w:r>
        <w:t>Conclusion:</w:t>
      </w:r>
      <w:r>
        <w:rPr>
          <w:spacing w:val="-5"/>
        </w:rPr>
        <w:t xml:space="preserve"> </w:t>
      </w:r>
      <w:r>
        <w:t>It</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the</w:t>
      </w:r>
      <w:r>
        <w:rPr>
          <w:spacing w:val="-3"/>
        </w:rPr>
        <w:t xml:space="preserve"> </w:t>
      </w:r>
      <w:r>
        <w:t>number</w:t>
      </w:r>
      <w:r>
        <w:rPr>
          <w:spacing w:val="-3"/>
        </w:rPr>
        <w:t xml:space="preserve"> </w:t>
      </w:r>
      <w:r>
        <w:t>ten</w:t>
      </w:r>
      <w:r>
        <w:rPr>
          <w:spacing w:val="-2"/>
        </w:rPr>
        <w:t xml:space="preserve"> </w:t>
      </w:r>
      <w:r>
        <w:t>is</w:t>
      </w:r>
      <w:r>
        <w:rPr>
          <w:spacing w:val="-3"/>
        </w:rPr>
        <w:t xml:space="preserve"> </w:t>
      </w:r>
      <w:r>
        <w:t>greater</w:t>
      </w:r>
      <w:r>
        <w:rPr>
          <w:spacing w:val="-3"/>
        </w:rPr>
        <w:t xml:space="preserve"> </w:t>
      </w:r>
      <w:r>
        <w:t>than</w:t>
      </w:r>
      <w:r>
        <w:rPr>
          <w:spacing w:val="-2"/>
        </w:rPr>
        <w:t xml:space="preserve"> </w:t>
      </w:r>
      <w:r>
        <w:rPr>
          <w:spacing w:val="-4"/>
        </w:rPr>
        <w:t>two.</w:t>
      </w:r>
    </w:p>
    <w:p w14:paraId="7E000F94" w14:textId="77777777" w:rsidR="009A58DB" w:rsidRDefault="009A58DB">
      <w:pPr>
        <w:pStyle w:val="BodyText"/>
        <w:spacing w:before="30"/>
        <w:ind w:left="0"/>
        <w:jc w:val="left"/>
      </w:pPr>
    </w:p>
    <w:p w14:paraId="7E000F95" w14:textId="77777777" w:rsidR="009A58DB" w:rsidRDefault="00000000">
      <w:pPr>
        <w:pStyle w:val="BodyText"/>
        <w:spacing w:line="249" w:lineRule="auto"/>
        <w:ind w:right="359"/>
      </w:pPr>
      <w:r>
        <w:rPr>
          <w:spacing w:val="-2"/>
        </w:rPr>
        <w:t>Since</w:t>
      </w:r>
      <w:r>
        <w:rPr>
          <w:spacing w:val="-17"/>
        </w:rPr>
        <w:t xml:space="preserve"> </w:t>
      </w:r>
      <w:r>
        <w:rPr>
          <w:spacing w:val="-2"/>
        </w:rPr>
        <w:t>argument</w:t>
      </w:r>
      <w:r>
        <w:rPr>
          <w:spacing w:val="-17"/>
        </w:rPr>
        <w:t xml:space="preserve"> </w:t>
      </w:r>
      <w:r>
        <w:rPr>
          <w:spacing w:val="-2"/>
        </w:rPr>
        <w:t>#2</w:t>
      </w:r>
      <w:r>
        <w:rPr>
          <w:spacing w:val="-2"/>
          <w:position w:val="-7"/>
          <w:sz w:val="22"/>
        </w:rPr>
        <w:t>N</w:t>
      </w:r>
      <w:r>
        <w:rPr>
          <w:spacing w:val="6"/>
          <w:position w:val="-7"/>
          <w:sz w:val="22"/>
        </w:rPr>
        <w:t xml:space="preserve"> </w:t>
      </w:r>
      <w:r>
        <w:rPr>
          <w:spacing w:val="-2"/>
        </w:rPr>
        <w:t>is</w:t>
      </w:r>
      <w:r>
        <w:rPr>
          <w:spacing w:val="-15"/>
        </w:rPr>
        <w:t xml:space="preserve"> </w:t>
      </w:r>
      <w:r>
        <w:rPr>
          <w:spacing w:val="-2"/>
        </w:rPr>
        <w:t>spurious</w:t>
      </w:r>
      <w:r>
        <w:rPr>
          <w:spacing w:val="-16"/>
        </w:rPr>
        <w:t xml:space="preserve"> </w:t>
      </w:r>
      <w:r>
        <w:rPr>
          <w:spacing w:val="-2"/>
        </w:rPr>
        <w:t>and</w:t>
      </w:r>
      <w:r>
        <w:rPr>
          <w:spacing w:val="-16"/>
        </w:rPr>
        <w:t xml:space="preserve"> </w:t>
      </w:r>
      <w:r>
        <w:rPr>
          <w:spacing w:val="-2"/>
        </w:rPr>
        <w:t>has</w:t>
      </w:r>
      <w:r>
        <w:rPr>
          <w:spacing w:val="-16"/>
        </w:rPr>
        <w:t xml:space="preserve"> </w:t>
      </w:r>
      <w:r>
        <w:rPr>
          <w:spacing w:val="-2"/>
        </w:rPr>
        <w:t>the</w:t>
      </w:r>
      <w:r>
        <w:rPr>
          <w:spacing w:val="-16"/>
        </w:rPr>
        <w:t xml:space="preserve"> </w:t>
      </w:r>
      <w:r>
        <w:rPr>
          <w:spacing w:val="-2"/>
        </w:rPr>
        <w:t>same</w:t>
      </w:r>
      <w:r>
        <w:rPr>
          <w:spacing w:val="-16"/>
        </w:rPr>
        <w:t xml:space="preserve"> </w:t>
      </w:r>
      <w:r>
        <w:rPr>
          <w:spacing w:val="-2"/>
        </w:rPr>
        <w:t>form</w:t>
      </w:r>
      <w:r>
        <w:rPr>
          <w:spacing w:val="-16"/>
        </w:rPr>
        <w:t xml:space="preserve"> </w:t>
      </w:r>
      <w:r>
        <w:rPr>
          <w:spacing w:val="-2"/>
        </w:rPr>
        <w:t>as</w:t>
      </w:r>
      <w:r>
        <w:rPr>
          <w:spacing w:val="-16"/>
        </w:rPr>
        <w:t xml:space="preserve"> </w:t>
      </w:r>
      <w:r>
        <w:rPr>
          <w:spacing w:val="-2"/>
        </w:rPr>
        <w:t>argument</w:t>
      </w:r>
      <w:r>
        <w:rPr>
          <w:spacing w:val="-16"/>
        </w:rPr>
        <w:t xml:space="preserve"> </w:t>
      </w:r>
      <w:r>
        <w:rPr>
          <w:spacing w:val="-2"/>
        </w:rPr>
        <w:t>#2,</w:t>
      </w:r>
      <w:r>
        <w:rPr>
          <w:spacing w:val="-16"/>
        </w:rPr>
        <w:t xml:space="preserve"> </w:t>
      </w:r>
      <w:r>
        <w:rPr>
          <w:spacing w:val="-2"/>
        </w:rPr>
        <w:t>the</w:t>
      </w:r>
      <w:r>
        <w:rPr>
          <w:spacing w:val="-16"/>
        </w:rPr>
        <w:t xml:space="preserve"> </w:t>
      </w:r>
      <w:r>
        <w:rPr>
          <w:spacing w:val="-2"/>
        </w:rPr>
        <w:t xml:space="preserve">latter </w:t>
      </w:r>
      <w:r>
        <w:t>isn’t</w:t>
      </w:r>
      <w:r>
        <w:rPr>
          <w:spacing w:val="-6"/>
        </w:rPr>
        <w:t xml:space="preserve"> </w:t>
      </w:r>
      <w:r>
        <w:t>formally</w:t>
      </w:r>
      <w:r>
        <w:rPr>
          <w:spacing w:val="-6"/>
        </w:rPr>
        <w:t xml:space="preserve"> </w:t>
      </w:r>
      <w:r>
        <w:t>(or</w:t>
      </w:r>
      <w:r>
        <w:rPr>
          <w:spacing w:val="-6"/>
        </w:rPr>
        <w:t xml:space="preserve"> </w:t>
      </w:r>
      <w:r>
        <w:t>otherwise)</w:t>
      </w:r>
      <w:r>
        <w:rPr>
          <w:spacing w:val="-6"/>
        </w:rPr>
        <w:t xml:space="preserve"> </w:t>
      </w:r>
      <w:r>
        <w:t>valid.</w:t>
      </w:r>
      <w:r>
        <w:rPr>
          <w:spacing w:val="-9"/>
        </w:rPr>
        <w:t xml:space="preserve"> </w:t>
      </w:r>
      <w:r>
        <w:t>Thus,</w:t>
      </w:r>
      <w:r>
        <w:rPr>
          <w:spacing w:val="-6"/>
        </w:rPr>
        <w:t xml:space="preserve"> </w:t>
      </w:r>
      <w:r>
        <w:t>Frege’s</w:t>
      </w:r>
      <w:r>
        <w:rPr>
          <w:spacing w:val="-6"/>
        </w:rPr>
        <w:t xml:space="preserve"> </w:t>
      </w:r>
      <w:r>
        <w:t>reparsing</w:t>
      </w:r>
      <w:r>
        <w:rPr>
          <w:spacing w:val="-6"/>
        </w:rPr>
        <w:t xml:space="preserve"> </w:t>
      </w:r>
      <w:r>
        <w:t>of</w:t>
      </w:r>
      <w:r>
        <w:rPr>
          <w:spacing w:val="-6"/>
        </w:rPr>
        <w:t xml:space="preserve"> </w:t>
      </w:r>
      <w:r>
        <w:t>intuitively</w:t>
      </w:r>
      <w:r>
        <w:rPr>
          <w:spacing w:val="-6"/>
        </w:rPr>
        <w:t xml:space="preserve"> </w:t>
      </w:r>
      <w:r>
        <w:t xml:space="preserve">valid </w:t>
      </w:r>
      <w:r>
        <w:rPr>
          <w:spacing w:val="-2"/>
        </w:rPr>
        <w:t>arguments,</w:t>
      </w:r>
      <w:r>
        <w:rPr>
          <w:spacing w:val="-13"/>
        </w:rPr>
        <w:t xml:space="preserve"> </w:t>
      </w:r>
      <w:r>
        <w:rPr>
          <w:spacing w:val="-2"/>
        </w:rPr>
        <w:t>such</w:t>
      </w:r>
      <w:r>
        <w:rPr>
          <w:spacing w:val="-13"/>
        </w:rPr>
        <w:t xml:space="preserve"> </w:t>
      </w:r>
      <w:r>
        <w:rPr>
          <w:spacing w:val="-2"/>
        </w:rPr>
        <w:t>as</w:t>
      </w:r>
      <w:r>
        <w:rPr>
          <w:spacing w:val="-13"/>
        </w:rPr>
        <w:t xml:space="preserve"> </w:t>
      </w:r>
      <w:r>
        <w:rPr>
          <w:spacing w:val="-2"/>
        </w:rPr>
        <w:t>#1,</w:t>
      </w:r>
      <w:r>
        <w:rPr>
          <w:spacing w:val="-13"/>
        </w:rPr>
        <w:t xml:space="preserve"> </w:t>
      </w:r>
      <w:r>
        <w:rPr>
          <w:spacing w:val="-2"/>
        </w:rPr>
        <w:t>and</w:t>
      </w:r>
      <w:r>
        <w:rPr>
          <w:spacing w:val="-13"/>
        </w:rPr>
        <w:t xml:space="preserve"> </w:t>
      </w:r>
      <w:r>
        <w:rPr>
          <w:spacing w:val="-2"/>
        </w:rPr>
        <w:t>of</w:t>
      </w:r>
      <w:r>
        <w:rPr>
          <w:spacing w:val="-13"/>
        </w:rPr>
        <w:t xml:space="preserve"> </w:t>
      </w:r>
      <w:r>
        <w:rPr>
          <w:spacing w:val="-2"/>
        </w:rPr>
        <w:t>intuitively</w:t>
      </w:r>
      <w:r>
        <w:rPr>
          <w:spacing w:val="-13"/>
        </w:rPr>
        <w:t xml:space="preserve"> </w:t>
      </w:r>
      <w:r>
        <w:rPr>
          <w:spacing w:val="-2"/>
        </w:rPr>
        <w:t>invalid</w:t>
      </w:r>
      <w:r>
        <w:rPr>
          <w:spacing w:val="-13"/>
        </w:rPr>
        <w:t xml:space="preserve"> </w:t>
      </w:r>
      <w:r>
        <w:rPr>
          <w:spacing w:val="-2"/>
        </w:rPr>
        <w:t>arguments,</w:t>
      </w:r>
    </w:p>
    <w:p w14:paraId="7E000F96" w14:textId="77777777" w:rsidR="009A58DB" w:rsidRDefault="00000000">
      <w:pPr>
        <w:pStyle w:val="BodyText"/>
        <w:spacing w:before="1" w:line="249" w:lineRule="auto"/>
        <w:ind w:right="359"/>
      </w:pPr>
      <w:r>
        <w:t xml:space="preserve">such as #2, enabled him to formalize those inferences. Once an inference is formalized, it can be carried out </w:t>
      </w:r>
      <w:r>
        <w:rPr>
          <w:b/>
          <w:i/>
        </w:rPr>
        <w:t xml:space="preserve">algorithmically </w:t>
      </w:r>
      <w:r>
        <w:t xml:space="preserve">and, therefore, without relying to any degree on </w:t>
      </w:r>
      <w:r>
        <w:rPr>
          <w:i/>
        </w:rPr>
        <w:t xml:space="preserve">ad hoc </w:t>
      </w:r>
      <w:r>
        <w:t>methods.</w:t>
      </w:r>
    </w:p>
    <w:p w14:paraId="7E000F97" w14:textId="77777777" w:rsidR="009A58DB" w:rsidRDefault="00000000">
      <w:pPr>
        <w:pStyle w:val="Heading1"/>
        <w:numPr>
          <w:ilvl w:val="1"/>
          <w:numId w:val="166"/>
        </w:numPr>
        <w:tabs>
          <w:tab w:val="left" w:pos="990"/>
        </w:tabs>
        <w:spacing w:before="191"/>
      </w:pPr>
      <w:r>
        <w:rPr>
          <w:spacing w:val="-2"/>
        </w:rPr>
        <w:t>Logicis</w:t>
      </w:r>
      <w:bookmarkStart w:id="213" w:name="_bookmark213"/>
      <w:bookmarkEnd w:id="213"/>
      <w:r>
        <w:rPr>
          <w:spacing w:val="-2"/>
        </w:rPr>
        <w:t>m</w:t>
      </w:r>
      <w:r>
        <w:rPr>
          <w:color w:val="0562C1"/>
          <w:spacing w:val="-2"/>
          <w:position w:val="30"/>
          <w:u w:val="single" w:color="0562C1"/>
        </w:rPr>
        <w:t>[121]</w:t>
      </w:r>
    </w:p>
    <w:p w14:paraId="7E000F98" w14:textId="77777777" w:rsidR="009A58DB" w:rsidRDefault="00000000">
      <w:pPr>
        <w:pStyle w:val="BodyText"/>
        <w:spacing w:before="139" w:line="249" w:lineRule="auto"/>
        <w:ind w:right="362"/>
      </w:pPr>
      <w:r>
        <w:t>Frege’s primary objective wasn’t to formalize logic. It was to formalize arithmetical truth. Frege invented formal logic in order to do this. But what does it mean to say he wanted to “formalize arithmetic”?</w:t>
      </w:r>
    </w:p>
    <w:p w14:paraId="7E000F99" w14:textId="77777777" w:rsidR="009A58DB" w:rsidRDefault="00000000">
      <w:pPr>
        <w:pStyle w:val="BodyText"/>
        <w:spacing w:before="4" w:line="249" w:lineRule="auto"/>
        <w:ind w:right="358" w:firstLine="360"/>
      </w:pPr>
      <w:r>
        <w:t>The</w:t>
      </w:r>
      <w:r>
        <w:rPr>
          <w:spacing w:val="-4"/>
        </w:rPr>
        <w:t xml:space="preserve"> </w:t>
      </w:r>
      <w:r>
        <w:t>sentences</w:t>
      </w:r>
      <w:r>
        <w:rPr>
          <w:spacing w:val="-4"/>
        </w:rPr>
        <w:t xml:space="preserve"> </w:t>
      </w:r>
      <w:r>
        <w:t>by</w:t>
      </w:r>
      <w:r>
        <w:rPr>
          <w:spacing w:val="-3"/>
        </w:rPr>
        <w:t xml:space="preserve"> </w:t>
      </w:r>
      <w:r>
        <w:t>which</w:t>
      </w:r>
      <w:r>
        <w:rPr>
          <w:spacing w:val="-3"/>
        </w:rPr>
        <w:t xml:space="preserve"> </w:t>
      </w:r>
      <w:r>
        <w:t>arithmetical</w:t>
      </w:r>
      <w:r>
        <w:rPr>
          <w:spacing w:val="-4"/>
        </w:rPr>
        <w:t xml:space="preserve"> </w:t>
      </w:r>
      <w:r>
        <w:t>truths</w:t>
      </w:r>
      <w:r>
        <w:rPr>
          <w:spacing w:val="-4"/>
        </w:rPr>
        <w:t xml:space="preserve"> </w:t>
      </w:r>
      <w:r>
        <w:t>are</w:t>
      </w:r>
      <w:r>
        <w:rPr>
          <w:spacing w:val="-4"/>
        </w:rPr>
        <w:t xml:space="preserve"> </w:t>
      </w:r>
      <w:r>
        <w:t>ordinarily</w:t>
      </w:r>
      <w:r>
        <w:rPr>
          <w:spacing w:val="-3"/>
        </w:rPr>
        <w:t xml:space="preserve"> </w:t>
      </w:r>
      <w:r>
        <w:t>expressed</w:t>
      </w:r>
      <w:r>
        <w:rPr>
          <w:spacing w:val="-3"/>
        </w:rPr>
        <w:t xml:space="preserve"> </w:t>
      </w:r>
      <w:r>
        <w:t>are</w:t>
      </w:r>
      <w:r>
        <w:rPr>
          <w:spacing w:val="-4"/>
        </w:rPr>
        <w:t xml:space="preserve"> </w:t>
      </w:r>
      <w:r>
        <w:t>not formally true. For example, “2 + 2 = 4” has the same form as “2 + 2 = 5” and “1 + 1 = 3.” Thus, “2 + 2 = 4” is not a formal truth. It’s an informal, analytic truth, like “any case of knowledge is a case of true belief.” Frege was keenly aware of this fact.</w:t>
      </w:r>
    </w:p>
    <w:p w14:paraId="7E000F9A" w14:textId="77777777" w:rsidR="009A58DB" w:rsidRDefault="00000000">
      <w:pPr>
        <w:pStyle w:val="BodyText"/>
        <w:spacing w:before="6" w:line="249" w:lineRule="auto"/>
        <w:ind w:right="364" w:firstLine="360"/>
      </w:pPr>
      <w:r>
        <w:t>But Frege believed that, when their grammatical forms are brought into alignment</w:t>
      </w:r>
      <w:r>
        <w:rPr>
          <w:spacing w:val="28"/>
        </w:rPr>
        <w:t xml:space="preserve"> </w:t>
      </w:r>
      <w:r>
        <w:t>with</w:t>
      </w:r>
      <w:r>
        <w:rPr>
          <w:spacing w:val="28"/>
        </w:rPr>
        <w:t xml:space="preserve"> </w:t>
      </w:r>
      <w:r>
        <w:t>their</w:t>
      </w:r>
      <w:r>
        <w:rPr>
          <w:spacing w:val="28"/>
        </w:rPr>
        <w:t xml:space="preserve"> </w:t>
      </w:r>
      <w:r>
        <w:t>logical</w:t>
      </w:r>
      <w:r>
        <w:rPr>
          <w:spacing w:val="28"/>
        </w:rPr>
        <w:t xml:space="preserve"> </w:t>
      </w:r>
      <w:r>
        <w:t>forms,</w:t>
      </w:r>
      <w:r>
        <w:rPr>
          <w:spacing w:val="28"/>
        </w:rPr>
        <w:t xml:space="preserve"> </w:t>
      </w:r>
      <w:r>
        <w:t>arithmetical</w:t>
      </w:r>
      <w:r>
        <w:rPr>
          <w:spacing w:val="28"/>
        </w:rPr>
        <w:t xml:space="preserve"> </w:t>
      </w:r>
      <w:r>
        <w:t>truths</w:t>
      </w:r>
      <w:r>
        <w:rPr>
          <w:spacing w:val="28"/>
        </w:rPr>
        <w:t xml:space="preserve"> </w:t>
      </w:r>
      <w:r>
        <w:t>turn</w:t>
      </w:r>
      <w:r>
        <w:rPr>
          <w:spacing w:val="28"/>
        </w:rPr>
        <w:t xml:space="preserve"> </w:t>
      </w:r>
      <w:r>
        <w:t>out</w:t>
      </w:r>
      <w:r>
        <w:rPr>
          <w:spacing w:val="28"/>
        </w:rPr>
        <w:t xml:space="preserve"> </w:t>
      </w:r>
      <w:r>
        <w:t>to</w:t>
      </w:r>
      <w:r>
        <w:rPr>
          <w:spacing w:val="28"/>
        </w:rPr>
        <w:t xml:space="preserve"> </w:t>
      </w:r>
      <w:r>
        <w:t>be</w:t>
      </w:r>
      <w:r>
        <w:rPr>
          <w:spacing w:val="28"/>
        </w:rPr>
        <w:t xml:space="preserve"> </w:t>
      </w:r>
      <w:r>
        <w:t>formal</w:t>
      </w:r>
    </w:p>
    <w:p w14:paraId="7E000F9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9C" w14:textId="77777777" w:rsidR="009A58DB" w:rsidRDefault="00000000">
      <w:pPr>
        <w:pStyle w:val="BodyText"/>
        <w:spacing w:before="60" w:line="277" w:lineRule="exact"/>
        <w:ind w:left="1117"/>
        <w:jc w:val="left"/>
      </w:pPr>
      <w:bookmarkStart w:id="214" w:name="_bookmark214"/>
      <w:bookmarkEnd w:id="214"/>
      <w:r>
        <w:rPr>
          <w:color w:val="0562C1"/>
          <w:spacing w:val="-2"/>
          <w:u w:val="single" w:color="0562C1"/>
        </w:rPr>
        <w:lastRenderedPageBreak/>
        <w:t>[122]</w:t>
      </w:r>
    </w:p>
    <w:p w14:paraId="7E000F9D" w14:textId="77777777" w:rsidR="009A58DB" w:rsidRDefault="00000000">
      <w:pPr>
        <w:pStyle w:val="BodyText"/>
        <w:tabs>
          <w:tab w:val="left" w:pos="1913"/>
        </w:tabs>
        <w:spacing w:line="277" w:lineRule="exact"/>
      </w:pPr>
      <w:r>
        <w:rPr>
          <w:spacing w:val="-2"/>
        </w:rPr>
        <w:t>truths.</w:t>
      </w:r>
      <w:r>
        <w:tab/>
        <w:t>To</w:t>
      </w:r>
      <w:r>
        <w:rPr>
          <w:spacing w:val="65"/>
        </w:rPr>
        <w:t xml:space="preserve"> </w:t>
      </w:r>
      <w:r>
        <w:t>establish</w:t>
      </w:r>
      <w:r>
        <w:rPr>
          <w:spacing w:val="68"/>
        </w:rPr>
        <w:t xml:space="preserve"> </w:t>
      </w:r>
      <w:r>
        <w:t>this,</w:t>
      </w:r>
      <w:r>
        <w:rPr>
          <w:spacing w:val="67"/>
        </w:rPr>
        <w:t xml:space="preserve"> </w:t>
      </w:r>
      <w:r>
        <w:t>he</w:t>
      </w:r>
      <w:r>
        <w:rPr>
          <w:spacing w:val="68"/>
        </w:rPr>
        <w:t xml:space="preserve"> </w:t>
      </w:r>
      <w:r>
        <w:t>needed</w:t>
      </w:r>
      <w:r>
        <w:rPr>
          <w:spacing w:val="67"/>
        </w:rPr>
        <w:t xml:space="preserve"> </w:t>
      </w:r>
      <w:r>
        <w:t>to</w:t>
      </w:r>
      <w:r>
        <w:rPr>
          <w:spacing w:val="67"/>
        </w:rPr>
        <w:t xml:space="preserve"> </w:t>
      </w:r>
      <w:r>
        <w:t>identify</w:t>
      </w:r>
      <w:r>
        <w:rPr>
          <w:spacing w:val="68"/>
        </w:rPr>
        <w:t xml:space="preserve"> </w:t>
      </w:r>
      <w:r>
        <w:t>a</w:t>
      </w:r>
      <w:r>
        <w:rPr>
          <w:spacing w:val="67"/>
        </w:rPr>
        <w:t xml:space="preserve"> </w:t>
      </w:r>
      <w:r>
        <w:t>systematic</w:t>
      </w:r>
      <w:r>
        <w:rPr>
          <w:spacing w:val="68"/>
        </w:rPr>
        <w:t xml:space="preserve"> </w:t>
      </w:r>
      <w:r>
        <w:t>way</w:t>
      </w:r>
      <w:r>
        <w:rPr>
          <w:spacing w:val="67"/>
        </w:rPr>
        <w:t xml:space="preserve"> </w:t>
      </w:r>
      <w:r>
        <w:rPr>
          <w:spacing w:val="-5"/>
        </w:rPr>
        <w:t>of</w:t>
      </w:r>
    </w:p>
    <w:p w14:paraId="7E000F9E" w14:textId="77777777" w:rsidR="009A58DB" w:rsidRDefault="00000000">
      <w:pPr>
        <w:pStyle w:val="BodyText"/>
        <w:spacing w:before="15" w:line="249" w:lineRule="auto"/>
        <w:ind w:right="358"/>
        <w:rPr>
          <w:position w:val="21"/>
        </w:rPr>
      </w:pPr>
      <w:r>
        <w:t>translating informally true arithmetical sentences into formally true ones. So he needed to find a translation-rule R that, when given an informally true arithmetical sentence (e.g. “1 + 1 = 2”), paired it off with a formally true, but otherwise synonymous, arithmetical sentence</w:t>
      </w:r>
      <w:bookmarkStart w:id="215" w:name="_bookmark215"/>
      <w:bookmarkEnd w:id="215"/>
      <w:r>
        <w:t>.</w:t>
      </w:r>
      <w:r>
        <w:rPr>
          <w:color w:val="0562C1"/>
          <w:position w:val="21"/>
          <w:u w:val="single" w:color="0562C1"/>
        </w:rPr>
        <w:t>[123]</w:t>
      </w:r>
    </w:p>
    <w:p w14:paraId="7E000F9F" w14:textId="77777777" w:rsidR="009A58DB" w:rsidRDefault="00000000">
      <w:pPr>
        <w:pStyle w:val="BodyText"/>
        <w:spacing w:before="10" w:line="249" w:lineRule="auto"/>
        <w:ind w:right="366" w:firstLine="360"/>
      </w:pPr>
      <w:r>
        <w:t xml:space="preserve">Thus, Frege believed that, as they are </w:t>
      </w:r>
      <w:r>
        <w:rPr>
          <w:i/>
        </w:rPr>
        <w:t xml:space="preserve">conventionally </w:t>
      </w:r>
      <w:r>
        <w:t>stated, arithmetical statements, when true, are both informal and analytic. But he also believed that such statements are formal truths in disguise.</w:t>
      </w:r>
    </w:p>
    <w:p w14:paraId="7E000FA0" w14:textId="77777777" w:rsidR="009A58DB" w:rsidRDefault="00000000">
      <w:pPr>
        <w:pStyle w:val="BodyText"/>
        <w:spacing w:before="3" w:line="249" w:lineRule="auto"/>
        <w:ind w:right="369" w:firstLine="360"/>
      </w:pPr>
      <w:r>
        <w:t>The position that arithmetical statements are formal truths (in disguise) is known as “logicism.” Frege spent the better part of his career trying to prove logicism to be true.</w:t>
      </w:r>
    </w:p>
    <w:p w14:paraId="7E000FA1" w14:textId="77777777" w:rsidR="009A58DB" w:rsidRDefault="00000000">
      <w:pPr>
        <w:pStyle w:val="BodyText"/>
        <w:spacing w:before="4" w:line="249" w:lineRule="auto"/>
        <w:ind w:right="358" w:firstLine="360"/>
      </w:pPr>
      <w:r>
        <w:t>In</w:t>
      </w:r>
      <w:r>
        <w:rPr>
          <w:spacing w:val="-3"/>
        </w:rPr>
        <w:t xml:space="preserve"> </w:t>
      </w:r>
      <w:r>
        <w:t>the</w:t>
      </w:r>
      <w:r>
        <w:rPr>
          <w:spacing w:val="-4"/>
        </w:rPr>
        <w:t xml:space="preserve"> </w:t>
      </w:r>
      <w:r>
        <w:t>process</w:t>
      </w:r>
      <w:r>
        <w:rPr>
          <w:spacing w:val="-4"/>
        </w:rPr>
        <w:t xml:space="preserve"> </w:t>
      </w:r>
      <w:r>
        <w:t>of</w:t>
      </w:r>
      <w:r>
        <w:rPr>
          <w:spacing w:val="-4"/>
        </w:rPr>
        <w:t xml:space="preserve"> </w:t>
      </w:r>
      <w:r>
        <w:t>trying</w:t>
      </w:r>
      <w:r>
        <w:rPr>
          <w:spacing w:val="-3"/>
        </w:rPr>
        <w:t xml:space="preserve"> </w:t>
      </w:r>
      <w:r>
        <w:t>to</w:t>
      </w:r>
      <w:r>
        <w:rPr>
          <w:spacing w:val="-3"/>
        </w:rPr>
        <w:t xml:space="preserve"> </w:t>
      </w:r>
      <w:r>
        <w:t>establish</w:t>
      </w:r>
      <w:r>
        <w:rPr>
          <w:spacing w:val="-3"/>
        </w:rPr>
        <w:t xml:space="preserve"> </w:t>
      </w:r>
      <w:r>
        <w:t>the</w:t>
      </w:r>
      <w:r>
        <w:rPr>
          <w:spacing w:val="-4"/>
        </w:rPr>
        <w:t xml:space="preserve"> </w:t>
      </w:r>
      <w:r>
        <w:t>truth</w:t>
      </w:r>
      <w:r>
        <w:rPr>
          <w:spacing w:val="-3"/>
        </w:rPr>
        <w:t xml:space="preserve"> </w:t>
      </w:r>
      <w:r>
        <w:t>of</w:t>
      </w:r>
      <w:r>
        <w:rPr>
          <w:spacing w:val="-4"/>
        </w:rPr>
        <w:t xml:space="preserve"> </w:t>
      </w:r>
      <w:r>
        <w:t>logicism,</w:t>
      </w:r>
      <w:r>
        <w:rPr>
          <w:spacing w:val="-3"/>
        </w:rPr>
        <w:t xml:space="preserve"> </w:t>
      </w:r>
      <w:r>
        <w:t>Frege</w:t>
      </w:r>
      <w:r>
        <w:rPr>
          <w:spacing w:val="-4"/>
        </w:rPr>
        <w:t xml:space="preserve"> </w:t>
      </w:r>
      <w:r>
        <w:t>made</w:t>
      </w:r>
      <w:r>
        <w:rPr>
          <w:spacing w:val="-4"/>
        </w:rPr>
        <w:t xml:space="preserve"> </w:t>
      </w:r>
      <w:r>
        <w:t xml:space="preserve">some important discoveries. One is of special importance. Statements that, given their surface-structures, </w:t>
      </w:r>
      <w:r>
        <w:rPr>
          <w:i/>
        </w:rPr>
        <w:t xml:space="preserve">appear </w:t>
      </w:r>
      <w:r>
        <w:t>to be about objects are really about</w:t>
      </w:r>
      <w:r>
        <w:rPr>
          <w:spacing w:val="40"/>
        </w:rPr>
        <w:t xml:space="preserve"> </w:t>
      </w:r>
      <w:r>
        <w:t>properties. So “nobody snores” is about the property of snoring, and it attributes the property of being uninstantiated (of having a null-class extension) to that property.</w:t>
      </w:r>
    </w:p>
    <w:p w14:paraId="7E000FA2" w14:textId="77777777" w:rsidR="009A58DB" w:rsidRDefault="00000000">
      <w:pPr>
        <w:pStyle w:val="BodyText"/>
        <w:spacing w:before="7" w:line="249" w:lineRule="auto"/>
        <w:ind w:right="362" w:firstLine="360"/>
      </w:pPr>
      <w:r>
        <w:t>This discovery of Frege’s is closely related to, and almost coincident with, his discovery of the fact that grammar doesn’t always reflect underlying logical structure.</w:t>
      </w:r>
    </w:p>
    <w:p w14:paraId="7E000FA3" w14:textId="77777777" w:rsidR="009A58DB" w:rsidRDefault="00000000">
      <w:pPr>
        <w:pStyle w:val="Heading1"/>
        <w:numPr>
          <w:ilvl w:val="1"/>
          <w:numId w:val="166"/>
        </w:numPr>
        <w:tabs>
          <w:tab w:val="left" w:pos="990"/>
        </w:tabs>
        <w:spacing w:before="192"/>
      </w:pPr>
      <w:r>
        <w:t>Logicism</w:t>
      </w:r>
      <w:r>
        <w:rPr>
          <w:spacing w:val="-6"/>
        </w:rPr>
        <w:t xml:space="preserve"> </w:t>
      </w:r>
      <w:r>
        <w:rPr>
          <w:spacing w:val="-2"/>
        </w:rPr>
        <w:t>(continued)</w:t>
      </w:r>
    </w:p>
    <w:p w14:paraId="7E000FA4" w14:textId="77777777" w:rsidR="009A58DB" w:rsidRDefault="00000000">
      <w:pPr>
        <w:pStyle w:val="BodyText"/>
        <w:spacing w:before="139" w:line="249" w:lineRule="auto"/>
        <w:ind w:right="368"/>
      </w:pPr>
      <w:r>
        <w:t>Analysis is elimination. To analyze causality is to show how statements of</w:t>
      </w:r>
      <w:r>
        <w:rPr>
          <w:spacing w:val="40"/>
        </w:rPr>
        <w:t xml:space="preserve"> </w:t>
      </w:r>
      <w:r>
        <w:t>the form ‹x caused y to happen› can be translated into statements that don’t contain the word “cause” or any other comparable expression (e.g., “force,” “coerce”). Hume tried to do this. He argued that</w:t>
      </w:r>
    </w:p>
    <w:p w14:paraId="7E000FA5" w14:textId="77777777" w:rsidR="009A58DB" w:rsidRDefault="009A58DB">
      <w:pPr>
        <w:pStyle w:val="BodyText"/>
        <w:spacing w:before="20"/>
        <w:ind w:left="0"/>
        <w:jc w:val="left"/>
      </w:pPr>
    </w:p>
    <w:p w14:paraId="7E000FA6" w14:textId="77777777" w:rsidR="009A58DB" w:rsidRDefault="00000000">
      <w:pPr>
        <w:pStyle w:val="ListParagraph"/>
        <w:numPr>
          <w:ilvl w:val="0"/>
          <w:numId w:val="165"/>
        </w:numPr>
        <w:tabs>
          <w:tab w:val="left" w:pos="715"/>
        </w:tabs>
        <w:spacing w:line="501" w:lineRule="auto"/>
        <w:ind w:right="6569" w:firstLine="0"/>
        <w:rPr>
          <w:sz w:val="30"/>
        </w:rPr>
      </w:pPr>
      <w:r>
        <w:rPr>
          <w:sz w:val="30"/>
        </w:rPr>
        <w:t>‹x</w:t>
      </w:r>
      <w:r>
        <w:rPr>
          <w:spacing w:val="-7"/>
          <w:sz w:val="30"/>
        </w:rPr>
        <w:t xml:space="preserve"> </w:t>
      </w:r>
      <w:r>
        <w:rPr>
          <w:sz w:val="30"/>
        </w:rPr>
        <w:t>caused</w:t>
      </w:r>
      <w:r>
        <w:rPr>
          <w:spacing w:val="-7"/>
          <w:sz w:val="30"/>
        </w:rPr>
        <w:t xml:space="preserve"> </w:t>
      </w:r>
      <w:r>
        <w:rPr>
          <w:sz w:val="30"/>
        </w:rPr>
        <w:t>y</w:t>
      </w:r>
      <w:r>
        <w:rPr>
          <w:spacing w:val="-7"/>
          <w:sz w:val="30"/>
        </w:rPr>
        <w:t xml:space="preserve"> </w:t>
      </w:r>
      <w:r>
        <w:rPr>
          <w:sz w:val="30"/>
        </w:rPr>
        <w:t>to</w:t>
      </w:r>
      <w:r>
        <w:rPr>
          <w:spacing w:val="-7"/>
          <w:sz w:val="30"/>
        </w:rPr>
        <w:t xml:space="preserve"> </w:t>
      </w:r>
      <w:r>
        <w:rPr>
          <w:sz w:val="30"/>
        </w:rPr>
        <w:t>happen</w:t>
      </w:r>
      <w:r>
        <w:rPr>
          <w:spacing w:val="-7"/>
          <w:sz w:val="30"/>
        </w:rPr>
        <w:t xml:space="preserve"> </w:t>
      </w:r>
      <w:r>
        <w:rPr>
          <w:sz w:val="30"/>
        </w:rPr>
        <w:t>› is synonymous with</w:t>
      </w:r>
    </w:p>
    <w:p w14:paraId="7E000FA7" w14:textId="77777777" w:rsidR="009A58DB" w:rsidRDefault="00000000">
      <w:pPr>
        <w:pStyle w:val="ListParagraph"/>
        <w:numPr>
          <w:ilvl w:val="0"/>
          <w:numId w:val="165"/>
        </w:numPr>
        <w:tabs>
          <w:tab w:val="left" w:pos="867"/>
        </w:tabs>
        <w:spacing w:line="249" w:lineRule="auto"/>
        <w:ind w:right="359" w:firstLine="0"/>
        <w:rPr>
          <w:sz w:val="30"/>
        </w:rPr>
      </w:pPr>
      <w:r>
        <w:rPr>
          <w:sz w:val="30"/>
        </w:rPr>
        <w:t>‹x</w:t>
      </w:r>
      <w:r>
        <w:rPr>
          <w:spacing w:val="40"/>
          <w:sz w:val="30"/>
        </w:rPr>
        <w:t xml:space="preserve"> </w:t>
      </w:r>
      <w:r>
        <w:rPr>
          <w:sz w:val="30"/>
        </w:rPr>
        <w:t>immediately</w:t>
      </w:r>
      <w:r>
        <w:rPr>
          <w:spacing w:val="40"/>
          <w:sz w:val="30"/>
        </w:rPr>
        <w:t xml:space="preserve"> </w:t>
      </w:r>
      <w:r>
        <w:rPr>
          <w:sz w:val="30"/>
        </w:rPr>
        <w:t>precedes</w:t>
      </w:r>
      <w:r>
        <w:rPr>
          <w:spacing w:val="40"/>
          <w:sz w:val="30"/>
        </w:rPr>
        <w:t xml:space="preserve"> </w:t>
      </w:r>
      <w:r>
        <w:rPr>
          <w:sz w:val="30"/>
        </w:rPr>
        <w:t>y</w:t>
      </w:r>
      <w:r>
        <w:rPr>
          <w:spacing w:val="40"/>
          <w:sz w:val="30"/>
        </w:rPr>
        <w:t xml:space="preserve"> </w:t>
      </w:r>
      <w:r>
        <w:rPr>
          <w:sz w:val="30"/>
        </w:rPr>
        <w:t>and</w:t>
      </w:r>
      <w:r>
        <w:rPr>
          <w:spacing w:val="40"/>
          <w:sz w:val="30"/>
        </w:rPr>
        <w:t xml:space="preserve"> </w:t>
      </w:r>
      <w:r>
        <w:rPr>
          <w:sz w:val="30"/>
        </w:rPr>
        <w:t>is</w:t>
      </w:r>
      <w:r>
        <w:rPr>
          <w:spacing w:val="40"/>
          <w:sz w:val="30"/>
        </w:rPr>
        <w:t xml:space="preserve"> </w:t>
      </w:r>
      <w:r>
        <w:rPr>
          <w:sz w:val="30"/>
        </w:rPr>
        <w:t>adjacent</w:t>
      </w:r>
      <w:r>
        <w:rPr>
          <w:spacing w:val="40"/>
          <w:sz w:val="30"/>
        </w:rPr>
        <w:t xml:space="preserve"> </w:t>
      </w:r>
      <w:r>
        <w:rPr>
          <w:sz w:val="30"/>
        </w:rPr>
        <w:t>with</w:t>
      </w:r>
      <w:r>
        <w:rPr>
          <w:spacing w:val="40"/>
          <w:sz w:val="30"/>
        </w:rPr>
        <w:t xml:space="preserve"> </w:t>
      </w:r>
      <w:r>
        <w:rPr>
          <w:sz w:val="30"/>
        </w:rPr>
        <w:t>it,</w:t>
      </w:r>
      <w:r>
        <w:rPr>
          <w:spacing w:val="40"/>
          <w:sz w:val="30"/>
        </w:rPr>
        <w:t xml:space="preserve"> </w:t>
      </w:r>
      <w:r>
        <w:rPr>
          <w:sz w:val="30"/>
        </w:rPr>
        <w:t>and</w:t>
      </w:r>
      <w:r>
        <w:rPr>
          <w:spacing w:val="40"/>
          <w:sz w:val="30"/>
        </w:rPr>
        <w:t xml:space="preserve"> </w:t>
      </w:r>
      <w:r>
        <w:rPr>
          <w:sz w:val="30"/>
        </w:rPr>
        <w:t>the</w:t>
      </w:r>
      <w:r>
        <w:rPr>
          <w:spacing w:val="40"/>
          <w:sz w:val="30"/>
        </w:rPr>
        <w:t xml:space="preserve"> </w:t>
      </w:r>
      <w:r>
        <w:rPr>
          <w:sz w:val="30"/>
        </w:rPr>
        <w:t>sequence</w:t>
      </w:r>
      <w:r>
        <w:rPr>
          <w:spacing w:val="80"/>
          <w:sz w:val="30"/>
        </w:rPr>
        <w:t xml:space="preserve"> </w:t>
      </w:r>
      <w:r>
        <w:rPr>
          <w:sz w:val="30"/>
        </w:rPr>
        <w:t>consisting of those two events instantiates a general regularity. ›</w:t>
      </w:r>
    </w:p>
    <w:p w14:paraId="7E000FA8" w14:textId="77777777" w:rsidR="009A58DB" w:rsidRDefault="009A58DB">
      <w:pPr>
        <w:pStyle w:val="ListParagraph"/>
        <w:spacing w:line="249" w:lineRule="auto"/>
        <w:rPr>
          <w:sz w:val="30"/>
        </w:rPr>
        <w:sectPr w:rsidR="009A58DB">
          <w:pgSz w:w="12240" w:h="15840"/>
          <w:pgMar w:top="1380" w:right="1080" w:bottom="280" w:left="1080" w:header="720" w:footer="720" w:gutter="0"/>
          <w:cols w:space="720"/>
        </w:sectPr>
      </w:pPr>
    </w:p>
    <w:p w14:paraId="7E000FA9" w14:textId="77777777" w:rsidR="009A58DB" w:rsidRDefault="00000000">
      <w:pPr>
        <w:pStyle w:val="BodyText"/>
        <w:spacing w:before="65" w:line="249" w:lineRule="auto"/>
        <w:ind w:right="359" w:firstLine="360"/>
      </w:pPr>
      <w:r>
        <w:lastRenderedPageBreak/>
        <w:t xml:space="preserve">Notice that (ii) doesn’t contain “cause” or “force” or any other such term. (Unfortunately, this analysis is a complete failure. In Chapter 17, we will see </w:t>
      </w:r>
      <w:r>
        <w:rPr>
          <w:spacing w:val="-2"/>
        </w:rPr>
        <w:t>why.)</w:t>
      </w:r>
    </w:p>
    <w:p w14:paraId="7E000FAA" w14:textId="77777777" w:rsidR="009A58DB" w:rsidRDefault="00000000">
      <w:pPr>
        <w:pStyle w:val="BodyText"/>
        <w:spacing w:before="3" w:line="249" w:lineRule="auto"/>
        <w:ind w:right="358" w:firstLine="360"/>
      </w:pPr>
      <w:r>
        <w:t xml:space="preserve">Similarly, to give an </w:t>
      </w:r>
      <w:r>
        <w:rPr>
          <w:i/>
        </w:rPr>
        <w:t xml:space="preserve">analysis </w:t>
      </w:r>
      <w:r>
        <w:t xml:space="preserve">of the number one is to say how statements about it can be purged of any expression referring to it. Frege did this, and he did the same thing </w:t>
      </w:r>
      <w:r>
        <w:rPr>
          <w:i/>
        </w:rPr>
        <w:t xml:space="preserve">mutatis mutandis </w:t>
      </w:r>
      <w:r>
        <w:t xml:space="preserve">for statements about all other whole </w:t>
      </w:r>
      <w:r>
        <w:rPr>
          <w:spacing w:val="-2"/>
        </w:rPr>
        <w:t>numbers.</w:t>
      </w:r>
    </w:p>
    <w:p w14:paraId="7E000FAB" w14:textId="77777777" w:rsidR="009A58DB" w:rsidRDefault="00000000">
      <w:pPr>
        <w:pStyle w:val="BodyText"/>
        <w:spacing w:before="5"/>
        <w:ind w:left="720"/>
      </w:pPr>
      <w:r>
        <w:t>On</w:t>
      </w:r>
      <w:r>
        <w:rPr>
          <w:spacing w:val="14"/>
        </w:rPr>
        <w:t xml:space="preserve"> </w:t>
      </w:r>
      <w:r>
        <w:t>the</w:t>
      </w:r>
      <w:r>
        <w:rPr>
          <w:spacing w:val="15"/>
        </w:rPr>
        <w:t xml:space="preserve"> </w:t>
      </w:r>
      <w:r>
        <w:t>basis</w:t>
      </w:r>
      <w:r>
        <w:rPr>
          <w:spacing w:val="15"/>
        </w:rPr>
        <w:t xml:space="preserve"> </w:t>
      </w:r>
      <w:r>
        <w:t>of</w:t>
      </w:r>
      <w:r>
        <w:rPr>
          <w:spacing w:val="15"/>
        </w:rPr>
        <w:t xml:space="preserve"> </w:t>
      </w:r>
      <w:r>
        <w:t>Frege’s</w:t>
      </w:r>
      <w:r>
        <w:rPr>
          <w:spacing w:val="15"/>
        </w:rPr>
        <w:t xml:space="preserve"> </w:t>
      </w:r>
      <w:r>
        <w:t>work,</w:t>
      </w:r>
      <w:r>
        <w:rPr>
          <w:spacing w:val="15"/>
        </w:rPr>
        <w:t xml:space="preserve"> </w:t>
      </w:r>
      <w:r>
        <w:t>Russell</w:t>
      </w:r>
      <w:r>
        <w:rPr>
          <w:spacing w:val="13"/>
        </w:rPr>
        <w:t xml:space="preserve"> </w:t>
      </w:r>
      <w:r>
        <w:t>showed</w:t>
      </w:r>
      <w:r>
        <w:rPr>
          <w:spacing w:val="15"/>
        </w:rPr>
        <w:t xml:space="preserve"> </w:t>
      </w:r>
      <w:r>
        <w:t>how</w:t>
      </w:r>
      <w:r>
        <w:rPr>
          <w:spacing w:val="15"/>
        </w:rPr>
        <w:t xml:space="preserve"> </w:t>
      </w:r>
      <w:r>
        <w:t>the</w:t>
      </w:r>
      <w:r>
        <w:rPr>
          <w:spacing w:val="15"/>
        </w:rPr>
        <w:t xml:space="preserve"> </w:t>
      </w:r>
      <w:r>
        <w:t>same</w:t>
      </w:r>
      <w:r>
        <w:rPr>
          <w:spacing w:val="15"/>
        </w:rPr>
        <w:t xml:space="preserve"> </w:t>
      </w:r>
      <w:r>
        <w:t>thing</w:t>
      </w:r>
      <w:r>
        <w:rPr>
          <w:spacing w:val="15"/>
        </w:rPr>
        <w:t xml:space="preserve"> </w:t>
      </w:r>
      <w:r>
        <w:t>can</w:t>
      </w:r>
      <w:r>
        <w:rPr>
          <w:spacing w:val="15"/>
        </w:rPr>
        <w:t xml:space="preserve"> </w:t>
      </w:r>
      <w:r>
        <w:rPr>
          <w:spacing w:val="-5"/>
        </w:rPr>
        <w:t>be</w:t>
      </w:r>
    </w:p>
    <w:p w14:paraId="7E000FAC" w14:textId="77777777" w:rsidR="009A58DB" w:rsidRDefault="00000000">
      <w:pPr>
        <w:pStyle w:val="BodyText"/>
        <w:spacing w:before="15" w:line="277" w:lineRule="exact"/>
        <w:ind w:left="0" w:right="667"/>
        <w:jc w:val="center"/>
      </w:pPr>
      <w:bookmarkStart w:id="216" w:name="_bookmark216"/>
      <w:bookmarkEnd w:id="216"/>
      <w:r>
        <w:rPr>
          <w:color w:val="0562C1"/>
          <w:spacing w:val="-2"/>
          <w:u w:val="single" w:color="0562C1"/>
        </w:rPr>
        <w:t>[124]</w:t>
      </w:r>
    </w:p>
    <w:p w14:paraId="7E000FAD" w14:textId="77777777" w:rsidR="009A58DB" w:rsidRDefault="00000000">
      <w:pPr>
        <w:pStyle w:val="BodyText"/>
        <w:spacing w:line="277" w:lineRule="exact"/>
      </w:pPr>
      <w:r>
        <w:t>done</w:t>
      </w:r>
      <w:r>
        <w:rPr>
          <w:spacing w:val="-1"/>
        </w:rPr>
        <w:t xml:space="preserve"> </w:t>
      </w:r>
      <w:r>
        <w:t>for</w:t>
      </w:r>
      <w:r>
        <w:rPr>
          <w:spacing w:val="2"/>
        </w:rPr>
        <w:t xml:space="preserve"> </w:t>
      </w:r>
      <w:r>
        <w:t>fractions</w:t>
      </w:r>
      <w:r>
        <w:rPr>
          <w:spacing w:val="1"/>
        </w:rPr>
        <w:t xml:space="preserve"> </w:t>
      </w:r>
      <w:r>
        <w:t>and</w:t>
      </w:r>
      <w:r>
        <w:rPr>
          <w:spacing w:val="2"/>
        </w:rPr>
        <w:t xml:space="preserve"> </w:t>
      </w:r>
      <w:r>
        <w:t>irrationals.</w:t>
      </w:r>
      <w:r>
        <w:rPr>
          <w:spacing w:val="60"/>
          <w:w w:val="150"/>
        </w:rPr>
        <w:t xml:space="preserve">    </w:t>
      </w:r>
      <w:r>
        <w:t>We</w:t>
      </w:r>
      <w:r>
        <w:rPr>
          <w:spacing w:val="4"/>
        </w:rPr>
        <w:t xml:space="preserve"> </w:t>
      </w:r>
      <w:r>
        <w:t>won’t</w:t>
      </w:r>
      <w:r>
        <w:rPr>
          <w:spacing w:val="2"/>
        </w:rPr>
        <w:t xml:space="preserve"> </w:t>
      </w:r>
      <w:r>
        <w:t>go</w:t>
      </w:r>
      <w:r>
        <w:rPr>
          <w:spacing w:val="3"/>
        </w:rPr>
        <w:t xml:space="preserve"> </w:t>
      </w:r>
      <w:r>
        <w:t>into</w:t>
      </w:r>
      <w:r>
        <w:rPr>
          <w:spacing w:val="2"/>
        </w:rPr>
        <w:t xml:space="preserve"> </w:t>
      </w:r>
      <w:r>
        <w:t>the</w:t>
      </w:r>
      <w:r>
        <w:rPr>
          <w:spacing w:val="3"/>
        </w:rPr>
        <w:t xml:space="preserve"> </w:t>
      </w:r>
      <w:r>
        <w:t>specifics</w:t>
      </w:r>
      <w:r>
        <w:rPr>
          <w:spacing w:val="2"/>
        </w:rPr>
        <w:t xml:space="preserve"> </w:t>
      </w:r>
      <w:r>
        <w:t>of</w:t>
      </w:r>
      <w:r>
        <w:rPr>
          <w:spacing w:val="3"/>
        </w:rPr>
        <w:t xml:space="preserve"> </w:t>
      </w:r>
      <w:r>
        <w:rPr>
          <w:spacing w:val="-5"/>
        </w:rPr>
        <w:t>how</w:t>
      </w:r>
    </w:p>
    <w:p w14:paraId="7E000FAE" w14:textId="77777777" w:rsidR="009A58DB" w:rsidRDefault="00000000">
      <w:pPr>
        <w:pStyle w:val="BodyText"/>
        <w:spacing w:before="15" w:line="249" w:lineRule="auto"/>
        <w:ind w:right="357"/>
      </w:pPr>
      <w:r>
        <w:t xml:space="preserve">Frege and Russell do this, but we will discuss, in very general terms, some of the philosophically more important aspects of Frege’s impressive </w:t>
      </w:r>
      <w:r>
        <w:rPr>
          <w:spacing w:val="-2"/>
        </w:rPr>
        <w:t>achievement.</w:t>
      </w:r>
    </w:p>
    <w:p w14:paraId="7E000FAF" w14:textId="77777777" w:rsidR="009A58DB" w:rsidRDefault="00000000">
      <w:pPr>
        <w:pStyle w:val="Heading1"/>
        <w:numPr>
          <w:ilvl w:val="1"/>
          <w:numId w:val="166"/>
        </w:numPr>
        <w:tabs>
          <w:tab w:val="left" w:pos="1508"/>
          <w:tab w:val="left" w:pos="2271"/>
          <w:tab w:val="left" w:pos="3461"/>
          <w:tab w:val="left" w:pos="5134"/>
          <w:tab w:val="left" w:pos="7181"/>
          <w:tab w:val="left" w:pos="8155"/>
        </w:tabs>
        <w:spacing w:before="185" w:line="490" w:lineRule="atLeast"/>
        <w:ind w:left="2271" w:right="360" w:hanging="1912"/>
      </w:pPr>
      <w:r>
        <w:rPr>
          <w:noProof/>
        </w:rPr>
        <mc:AlternateContent>
          <mc:Choice Requires="wps">
            <w:drawing>
              <wp:anchor distT="0" distB="0" distL="0" distR="0" simplePos="0" relativeHeight="480332288" behindDoc="1" locked="0" layoutInCell="1" allowOverlap="1" wp14:anchorId="7E00326C" wp14:editId="7E00326D">
                <wp:simplePos x="0" y="0"/>
                <wp:positionH relativeFrom="page">
                  <wp:posOffset>2124075</wp:posOffset>
                </wp:positionH>
                <wp:positionV relativeFrom="paragraph">
                  <wp:posOffset>699683</wp:posOffset>
                </wp:positionV>
                <wp:extent cx="5715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43FC397D" id="Graphic 15" o:spid="_x0000_s1026" style="position:absolute;margin-left:167.25pt;margin-top:55.1pt;width:45pt;height:.1pt;z-index:-22984192;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" path="m,l571500,e" filled="f" strokecolor="#0562c1">
                <v:path arrowok="t"/>
                <w10:wrap anchorx="page"/>
              </v:shape>
            </w:pict>
          </mc:Fallback>
        </mc:AlternateContent>
      </w:r>
      <w:r>
        <w:rPr>
          <w:spacing w:val="-2"/>
        </w:rPr>
        <w:t>Frege’s</w:t>
      </w:r>
      <w:r>
        <w:tab/>
      </w:r>
      <w:r>
        <w:rPr>
          <w:spacing w:val="-2"/>
        </w:rPr>
        <w:t>initial</w:t>
      </w:r>
      <w:r>
        <w:tab/>
      </w:r>
      <w:r>
        <w:rPr>
          <w:spacing w:val="-2"/>
        </w:rPr>
        <w:t>analysis</w:t>
      </w:r>
      <w:r>
        <w:tab/>
      </w:r>
      <w:r>
        <w:rPr>
          <w:spacing w:val="-6"/>
        </w:rPr>
        <w:t>of</w:t>
      </w:r>
      <w:r>
        <w:tab/>
      </w:r>
      <w:r>
        <w:rPr>
          <w:spacing w:val="-2"/>
        </w:rPr>
        <w:t>number-</w:t>
      </w:r>
      <w:bookmarkStart w:id="217" w:name="_bookmark217"/>
      <w:bookmarkEnd w:id="217"/>
      <w:r>
        <w:rPr>
          <w:color w:val="0562C1"/>
          <w:spacing w:val="-2"/>
        </w:rPr>
        <w:t>[125]</w:t>
      </w:r>
    </w:p>
    <w:p w14:paraId="7E000FB0" w14:textId="77777777" w:rsidR="009A58DB" w:rsidRDefault="00000000">
      <w:pPr>
        <w:spacing w:line="305" w:lineRule="exact"/>
        <w:ind w:left="360"/>
        <w:rPr>
          <w:b/>
          <w:sz w:val="42"/>
        </w:rPr>
      </w:pPr>
      <w:r>
        <w:rPr>
          <w:b/>
          <w:spacing w:val="-2"/>
          <w:sz w:val="42"/>
        </w:rPr>
        <w:t>statements</w:t>
      </w:r>
    </w:p>
    <w:p w14:paraId="7E000FB1" w14:textId="77777777" w:rsidR="009A58DB" w:rsidRDefault="00000000">
      <w:pPr>
        <w:pStyle w:val="BodyText"/>
        <w:spacing w:before="139"/>
      </w:pPr>
      <w:r>
        <w:t>The</w:t>
      </w:r>
      <w:r>
        <w:rPr>
          <w:spacing w:val="-2"/>
        </w:rPr>
        <w:t xml:space="preserve"> statement:</w:t>
      </w:r>
    </w:p>
    <w:p w14:paraId="7E000FB2" w14:textId="77777777" w:rsidR="009A58DB" w:rsidRDefault="009A58DB">
      <w:pPr>
        <w:pStyle w:val="BodyText"/>
        <w:spacing w:before="30"/>
        <w:ind w:left="0"/>
        <w:jc w:val="left"/>
      </w:pPr>
    </w:p>
    <w:p w14:paraId="7E000FB3" w14:textId="77777777" w:rsidR="009A58DB" w:rsidRDefault="00000000">
      <w:pPr>
        <w:pStyle w:val="ListParagraph"/>
        <w:numPr>
          <w:ilvl w:val="0"/>
          <w:numId w:val="164"/>
        </w:numPr>
        <w:tabs>
          <w:tab w:val="left" w:pos="782"/>
        </w:tabs>
        <w:spacing w:line="501" w:lineRule="auto"/>
        <w:ind w:right="5146" w:firstLine="0"/>
        <w:rPr>
          <w:sz w:val="30"/>
        </w:rPr>
      </w:pPr>
      <w:r>
        <w:rPr>
          <w:sz w:val="30"/>
        </w:rPr>
        <w:t>“there</w:t>
      </w:r>
      <w:r>
        <w:rPr>
          <w:spacing w:val="-7"/>
          <w:sz w:val="30"/>
        </w:rPr>
        <w:t xml:space="preserve"> </w:t>
      </w:r>
      <w:r>
        <w:rPr>
          <w:sz w:val="30"/>
        </w:rPr>
        <w:t>are</w:t>
      </w:r>
      <w:r>
        <w:rPr>
          <w:spacing w:val="-7"/>
          <w:sz w:val="30"/>
        </w:rPr>
        <w:t xml:space="preserve"> </w:t>
      </w:r>
      <w:r>
        <w:rPr>
          <w:sz w:val="30"/>
        </w:rPr>
        <w:t>two</w:t>
      </w:r>
      <w:r>
        <w:rPr>
          <w:spacing w:val="-6"/>
          <w:sz w:val="30"/>
        </w:rPr>
        <w:t xml:space="preserve"> </w:t>
      </w:r>
      <w:r>
        <w:rPr>
          <w:sz w:val="30"/>
        </w:rPr>
        <w:t>apples</w:t>
      </w:r>
      <w:r>
        <w:rPr>
          <w:spacing w:val="-7"/>
          <w:sz w:val="30"/>
        </w:rPr>
        <w:t xml:space="preserve"> </w:t>
      </w:r>
      <w:r>
        <w:rPr>
          <w:sz w:val="30"/>
        </w:rPr>
        <w:t>on</w:t>
      </w:r>
      <w:r>
        <w:rPr>
          <w:spacing w:val="-6"/>
          <w:sz w:val="30"/>
        </w:rPr>
        <w:t xml:space="preserve"> </w:t>
      </w:r>
      <w:r>
        <w:rPr>
          <w:sz w:val="30"/>
        </w:rPr>
        <w:t>the</w:t>
      </w:r>
      <w:r>
        <w:rPr>
          <w:spacing w:val="-7"/>
          <w:sz w:val="30"/>
        </w:rPr>
        <w:t xml:space="preserve"> </w:t>
      </w:r>
      <w:r>
        <w:rPr>
          <w:sz w:val="30"/>
        </w:rPr>
        <w:t>table” is equivalent with:</w:t>
      </w:r>
    </w:p>
    <w:p w14:paraId="7E000FB4" w14:textId="77777777" w:rsidR="009A58DB" w:rsidRDefault="00000000">
      <w:pPr>
        <w:pStyle w:val="ListParagraph"/>
        <w:numPr>
          <w:ilvl w:val="0"/>
          <w:numId w:val="164"/>
        </w:numPr>
        <w:tabs>
          <w:tab w:val="left" w:pos="812"/>
        </w:tabs>
        <w:spacing w:line="249" w:lineRule="auto"/>
        <w:ind w:right="362" w:firstLine="0"/>
        <w:jc w:val="both"/>
        <w:rPr>
          <w:sz w:val="30"/>
        </w:rPr>
      </w:pPr>
      <w:r>
        <w:rPr>
          <w:sz w:val="30"/>
        </w:rPr>
        <w:t>“</w:t>
      </w:r>
      <w:r>
        <w:rPr>
          <w:i/>
          <w:sz w:val="30"/>
        </w:rPr>
        <w:t xml:space="preserve">something x is an apple on the table; </w:t>
      </w:r>
      <w:r>
        <w:rPr>
          <w:b/>
          <w:sz w:val="30"/>
        </w:rPr>
        <w:t xml:space="preserve">something y is an apple on the table; </w:t>
      </w:r>
      <w:r>
        <w:rPr>
          <w:i/>
          <w:sz w:val="30"/>
        </w:rPr>
        <w:t xml:space="preserve">and x </w:t>
      </w:r>
      <w:r>
        <w:rPr>
          <w:sz w:val="30"/>
        </w:rPr>
        <w:t>≠</w:t>
      </w:r>
      <w:r>
        <w:rPr>
          <w:i/>
          <w:sz w:val="30"/>
        </w:rPr>
        <w:t>y</w:t>
      </w:r>
      <w:r>
        <w:rPr>
          <w:sz w:val="30"/>
        </w:rPr>
        <w:t>; AND FOR ANYTHING Z THAT IS AN APPLE ON THE TABLE, EITHER Z = X OR Z = Y.”</w:t>
      </w:r>
    </w:p>
    <w:p w14:paraId="7E000FB5" w14:textId="77777777" w:rsidR="009A58DB" w:rsidRDefault="009A58DB">
      <w:pPr>
        <w:pStyle w:val="BodyText"/>
        <w:spacing w:before="17"/>
        <w:ind w:left="0"/>
        <w:jc w:val="left"/>
      </w:pPr>
    </w:p>
    <w:p w14:paraId="7E000FB6" w14:textId="77777777" w:rsidR="009A58DB" w:rsidRDefault="00000000">
      <w:pPr>
        <w:pStyle w:val="BodyText"/>
        <w:spacing w:line="249" w:lineRule="auto"/>
        <w:ind w:right="359"/>
      </w:pPr>
      <w:r>
        <w:t xml:space="preserve">Let’s look at (2) for a second. The first (italicized) part, guarantees that there is at least one apple on the table. The second (boldfaced) part does </w:t>
      </w:r>
      <w:r>
        <w:rPr>
          <w:i/>
        </w:rPr>
        <w:t xml:space="preserve">not </w:t>
      </w:r>
      <w:r>
        <w:t xml:space="preserve">guarantee that there is a second apple on the table, since it has not been ruled out that the apple in question is identical with the one described in the first part. But taken in conjunction with the third (italicized) part, the second part </w:t>
      </w:r>
      <w:r>
        <w:rPr>
          <w:i/>
        </w:rPr>
        <w:t xml:space="preserve">does </w:t>
      </w:r>
      <w:r>
        <w:t xml:space="preserve">guarantee that there are at least two apples on the table. But the first three parts don’t guarantee that there are </w:t>
      </w:r>
      <w:r>
        <w:rPr>
          <w:i/>
        </w:rPr>
        <w:t xml:space="preserve">only </w:t>
      </w:r>
      <w:r>
        <w:t>two apples on the table; they guarantee</w:t>
      </w:r>
      <w:r>
        <w:rPr>
          <w:spacing w:val="20"/>
        </w:rPr>
        <w:t xml:space="preserve"> </w:t>
      </w:r>
      <w:r>
        <w:t>only</w:t>
      </w:r>
      <w:r>
        <w:rPr>
          <w:spacing w:val="21"/>
        </w:rPr>
        <w:t xml:space="preserve"> </w:t>
      </w:r>
      <w:r>
        <w:t>that</w:t>
      </w:r>
      <w:r>
        <w:rPr>
          <w:spacing w:val="21"/>
        </w:rPr>
        <w:t xml:space="preserve"> </w:t>
      </w:r>
      <w:r>
        <w:t>there</w:t>
      </w:r>
      <w:r>
        <w:rPr>
          <w:spacing w:val="21"/>
        </w:rPr>
        <w:t xml:space="preserve"> </w:t>
      </w:r>
      <w:r>
        <w:t>are</w:t>
      </w:r>
      <w:r>
        <w:rPr>
          <w:spacing w:val="22"/>
        </w:rPr>
        <w:t xml:space="preserve"> </w:t>
      </w:r>
      <w:r>
        <w:rPr>
          <w:i/>
        </w:rPr>
        <w:t>at</w:t>
      </w:r>
      <w:r>
        <w:rPr>
          <w:i/>
          <w:spacing w:val="19"/>
        </w:rPr>
        <w:t xml:space="preserve"> </w:t>
      </w:r>
      <w:r>
        <w:rPr>
          <w:i/>
        </w:rPr>
        <w:t>least</w:t>
      </w:r>
      <w:r>
        <w:rPr>
          <w:i/>
          <w:spacing w:val="20"/>
        </w:rPr>
        <w:t xml:space="preserve"> </w:t>
      </w:r>
      <w:r>
        <w:t>two.</w:t>
      </w:r>
      <w:r>
        <w:rPr>
          <w:spacing w:val="22"/>
        </w:rPr>
        <w:t xml:space="preserve"> </w:t>
      </w:r>
      <w:r>
        <w:t>But</w:t>
      </w:r>
      <w:r>
        <w:rPr>
          <w:spacing w:val="21"/>
        </w:rPr>
        <w:t xml:space="preserve"> </w:t>
      </w:r>
      <w:r>
        <w:t>taken</w:t>
      </w:r>
      <w:r>
        <w:rPr>
          <w:spacing w:val="23"/>
        </w:rPr>
        <w:t xml:space="preserve"> </w:t>
      </w:r>
      <w:r>
        <w:t>in</w:t>
      </w:r>
      <w:r>
        <w:rPr>
          <w:spacing w:val="21"/>
        </w:rPr>
        <w:t xml:space="preserve"> </w:t>
      </w:r>
      <w:r>
        <w:t>conjunction</w:t>
      </w:r>
      <w:r>
        <w:rPr>
          <w:spacing w:val="23"/>
        </w:rPr>
        <w:t xml:space="preserve"> </w:t>
      </w:r>
      <w:r>
        <w:t>with</w:t>
      </w:r>
      <w:r>
        <w:rPr>
          <w:spacing w:val="23"/>
        </w:rPr>
        <w:t xml:space="preserve"> </w:t>
      </w:r>
      <w:r>
        <w:rPr>
          <w:spacing w:val="-5"/>
        </w:rPr>
        <w:t>the</w:t>
      </w:r>
    </w:p>
    <w:p w14:paraId="7E000FB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B8" w14:textId="77777777" w:rsidR="009A58DB" w:rsidRDefault="00000000">
      <w:pPr>
        <w:pStyle w:val="BodyText"/>
        <w:spacing w:before="60" w:line="249" w:lineRule="auto"/>
        <w:ind w:right="370"/>
        <w:rPr>
          <w:position w:val="21"/>
        </w:rPr>
      </w:pPr>
      <w:r>
        <w:lastRenderedPageBreak/>
        <w:t xml:space="preserve">fourth (capitalized) part, the first three parts </w:t>
      </w:r>
      <w:r>
        <w:rPr>
          <w:i/>
        </w:rPr>
        <w:t xml:space="preserve">do </w:t>
      </w:r>
      <w:r>
        <w:t>guarantee that there are exactly two apples on the table. Thus, (1) is equivalent with a sentence that contains</w:t>
      </w:r>
      <w:r>
        <w:rPr>
          <w:spacing w:val="-1"/>
        </w:rPr>
        <w:t xml:space="preserve"> </w:t>
      </w:r>
      <w:r>
        <w:t>no mention of</w:t>
      </w:r>
      <w:r>
        <w:rPr>
          <w:spacing w:val="-1"/>
        </w:rPr>
        <w:t xml:space="preserve"> </w:t>
      </w:r>
      <w:r>
        <w:t>the</w:t>
      </w:r>
      <w:r>
        <w:rPr>
          <w:spacing w:val="-1"/>
        </w:rPr>
        <w:t xml:space="preserve"> </w:t>
      </w:r>
      <w:r>
        <w:t>number</w:t>
      </w:r>
      <w:r>
        <w:rPr>
          <w:spacing w:val="-1"/>
        </w:rPr>
        <w:t xml:space="preserve"> </w:t>
      </w:r>
      <w:r>
        <w:t>two or, indeed, of</w:t>
      </w:r>
      <w:r>
        <w:rPr>
          <w:spacing w:val="-1"/>
        </w:rPr>
        <w:t xml:space="preserve"> </w:t>
      </w:r>
      <w:r>
        <w:t>any other</w:t>
      </w:r>
      <w:r>
        <w:rPr>
          <w:spacing w:val="-1"/>
        </w:rPr>
        <w:t xml:space="preserve"> </w:t>
      </w:r>
      <w:r>
        <w:t>number</w:t>
      </w:r>
      <w:bookmarkStart w:id="218" w:name="_bookmark218"/>
      <w:bookmarkEnd w:id="218"/>
      <w:r>
        <w:t>.</w:t>
      </w:r>
      <w:r>
        <w:rPr>
          <w:color w:val="0562C1"/>
          <w:position w:val="21"/>
          <w:u w:val="single" w:color="0562C1"/>
        </w:rPr>
        <w:t>[126]</w:t>
      </w:r>
    </w:p>
    <w:p w14:paraId="7E000FB9" w14:textId="77777777" w:rsidR="009A58DB" w:rsidRDefault="00000000">
      <w:pPr>
        <w:pStyle w:val="BodyText"/>
        <w:spacing w:before="8"/>
        <w:ind w:left="720"/>
        <w:jc w:val="left"/>
      </w:pPr>
      <w:r>
        <w:t>By</w:t>
      </w:r>
      <w:r>
        <w:rPr>
          <w:spacing w:val="-4"/>
        </w:rPr>
        <w:t xml:space="preserve"> </w:t>
      </w:r>
      <w:r>
        <w:t>obvious</w:t>
      </w:r>
      <w:r>
        <w:rPr>
          <w:spacing w:val="-3"/>
        </w:rPr>
        <w:t xml:space="preserve"> </w:t>
      </w:r>
      <w:r>
        <w:t>extensions</w:t>
      </w:r>
      <w:r>
        <w:rPr>
          <w:spacing w:val="-3"/>
        </w:rPr>
        <w:t xml:space="preserve"> </w:t>
      </w:r>
      <w:r>
        <w:t>of</w:t>
      </w:r>
      <w:r>
        <w:rPr>
          <w:spacing w:val="-3"/>
        </w:rPr>
        <w:t xml:space="preserve"> </w:t>
      </w:r>
      <w:r>
        <w:t>this</w:t>
      </w:r>
      <w:r>
        <w:rPr>
          <w:spacing w:val="-2"/>
        </w:rPr>
        <w:t xml:space="preserve"> reasoning:</w:t>
      </w:r>
    </w:p>
    <w:p w14:paraId="7E000FBA" w14:textId="77777777" w:rsidR="009A58DB" w:rsidRDefault="009A58DB">
      <w:pPr>
        <w:pStyle w:val="BodyText"/>
        <w:spacing w:before="30"/>
        <w:ind w:left="0"/>
        <w:jc w:val="left"/>
      </w:pPr>
    </w:p>
    <w:p w14:paraId="7E000FBB" w14:textId="77777777" w:rsidR="009A58DB" w:rsidRDefault="00000000">
      <w:pPr>
        <w:pStyle w:val="ListParagraph"/>
        <w:numPr>
          <w:ilvl w:val="0"/>
          <w:numId w:val="164"/>
        </w:numPr>
        <w:tabs>
          <w:tab w:val="left" w:pos="782"/>
        </w:tabs>
        <w:spacing w:line="501" w:lineRule="auto"/>
        <w:ind w:right="5263" w:firstLine="0"/>
        <w:rPr>
          <w:sz w:val="30"/>
        </w:rPr>
      </w:pPr>
      <w:r>
        <w:rPr>
          <w:sz w:val="30"/>
        </w:rPr>
        <w:t>there</w:t>
      </w:r>
      <w:r>
        <w:rPr>
          <w:spacing w:val="-7"/>
          <w:sz w:val="30"/>
        </w:rPr>
        <w:t xml:space="preserve"> </w:t>
      </w:r>
      <w:r>
        <w:rPr>
          <w:sz w:val="30"/>
        </w:rPr>
        <w:t>are</w:t>
      </w:r>
      <w:r>
        <w:rPr>
          <w:spacing w:val="-7"/>
          <w:sz w:val="30"/>
        </w:rPr>
        <w:t xml:space="preserve"> </w:t>
      </w:r>
      <w:r>
        <w:rPr>
          <w:sz w:val="30"/>
        </w:rPr>
        <w:t>three</w:t>
      </w:r>
      <w:r>
        <w:rPr>
          <w:spacing w:val="-7"/>
          <w:sz w:val="30"/>
        </w:rPr>
        <w:t xml:space="preserve"> </w:t>
      </w:r>
      <w:r>
        <w:rPr>
          <w:sz w:val="30"/>
        </w:rPr>
        <w:t>apples</w:t>
      </w:r>
      <w:r>
        <w:rPr>
          <w:spacing w:val="-7"/>
          <w:sz w:val="30"/>
        </w:rPr>
        <w:t xml:space="preserve"> </w:t>
      </w:r>
      <w:r>
        <w:rPr>
          <w:sz w:val="30"/>
        </w:rPr>
        <w:t>on</w:t>
      </w:r>
      <w:r>
        <w:rPr>
          <w:spacing w:val="-6"/>
          <w:sz w:val="30"/>
        </w:rPr>
        <w:t xml:space="preserve"> </w:t>
      </w:r>
      <w:r>
        <w:rPr>
          <w:sz w:val="30"/>
        </w:rPr>
        <w:t>the</w:t>
      </w:r>
      <w:r>
        <w:rPr>
          <w:spacing w:val="-7"/>
          <w:sz w:val="30"/>
        </w:rPr>
        <w:t xml:space="preserve"> </w:t>
      </w:r>
      <w:r>
        <w:rPr>
          <w:sz w:val="30"/>
        </w:rPr>
        <w:t>table is equivalent with</w:t>
      </w:r>
    </w:p>
    <w:p w14:paraId="7E000FBC" w14:textId="77777777" w:rsidR="009A58DB" w:rsidRDefault="00000000">
      <w:pPr>
        <w:pStyle w:val="ListParagraph"/>
        <w:numPr>
          <w:ilvl w:val="0"/>
          <w:numId w:val="164"/>
        </w:numPr>
        <w:tabs>
          <w:tab w:val="left" w:pos="816"/>
        </w:tabs>
        <w:spacing w:line="249" w:lineRule="auto"/>
        <w:ind w:right="365" w:firstLine="0"/>
        <w:jc w:val="both"/>
        <w:rPr>
          <w:sz w:val="30"/>
        </w:rPr>
      </w:pPr>
      <w:r>
        <w:rPr>
          <w:sz w:val="30"/>
        </w:rPr>
        <w:t>“something x is an apple on the table, and so is something y, and so is something z; and y ≠ x and y ≠ z and z ≠ x; and given anything w that is an apple on the table, w = x or w = y or w = z.”</w:t>
      </w:r>
    </w:p>
    <w:p w14:paraId="7E000FBD" w14:textId="77777777" w:rsidR="009A58DB" w:rsidRDefault="009A58DB">
      <w:pPr>
        <w:pStyle w:val="BodyText"/>
        <w:spacing w:before="17"/>
        <w:ind w:left="0"/>
        <w:jc w:val="left"/>
      </w:pPr>
    </w:p>
    <w:p w14:paraId="7E000FBE" w14:textId="77777777" w:rsidR="009A58DB" w:rsidRDefault="00000000">
      <w:pPr>
        <w:pStyle w:val="BodyText"/>
        <w:ind w:left="720"/>
        <w:jc w:val="left"/>
      </w:pPr>
      <w:r>
        <w:t>In</w:t>
      </w:r>
      <w:r>
        <w:rPr>
          <w:spacing w:val="-5"/>
        </w:rPr>
        <w:t xml:space="preserve"> </w:t>
      </w:r>
      <w:r>
        <w:t>Frege’s</w:t>
      </w:r>
      <w:r>
        <w:rPr>
          <w:spacing w:val="-5"/>
        </w:rPr>
        <w:t xml:space="preserve"> </w:t>
      </w:r>
      <w:r>
        <w:t>(correct)</w:t>
      </w:r>
      <w:r>
        <w:rPr>
          <w:spacing w:val="-5"/>
        </w:rPr>
        <w:t xml:space="preserve"> </w:t>
      </w:r>
      <w:r>
        <w:rPr>
          <w:spacing w:val="-4"/>
        </w:rPr>
        <w:t>view:</w:t>
      </w:r>
    </w:p>
    <w:p w14:paraId="7E000FBF" w14:textId="77777777" w:rsidR="009A58DB" w:rsidRDefault="009A58DB">
      <w:pPr>
        <w:pStyle w:val="BodyText"/>
        <w:spacing w:before="30"/>
        <w:ind w:left="0"/>
        <w:jc w:val="left"/>
      </w:pPr>
    </w:p>
    <w:p w14:paraId="7E000FC0" w14:textId="77777777" w:rsidR="009A58DB" w:rsidRDefault="00000000">
      <w:pPr>
        <w:pStyle w:val="ListParagraph"/>
        <w:numPr>
          <w:ilvl w:val="0"/>
          <w:numId w:val="164"/>
        </w:numPr>
        <w:tabs>
          <w:tab w:val="left" w:pos="782"/>
        </w:tabs>
        <w:spacing w:line="501" w:lineRule="auto"/>
        <w:ind w:right="5080" w:firstLine="0"/>
        <w:rPr>
          <w:sz w:val="30"/>
        </w:rPr>
      </w:pPr>
      <w:r>
        <w:rPr>
          <w:sz w:val="30"/>
        </w:rPr>
        <w:t>“there</w:t>
      </w:r>
      <w:r>
        <w:rPr>
          <w:spacing w:val="-7"/>
          <w:sz w:val="30"/>
        </w:rPr>
        <w:t xml:space="preserve"> </w:t>
      </w:r>
      <w:r>
        <w:rPr>
          <w:sz w:val="30"/>
        </w:rPr>
        <w:t>are</w:t>
      </w:r>
      <w:r>
        <w:rPr>
          <w:spacing w:val="-7"/>
          <w:sz w:val="30"/>
        </w:rPr>
        <w:t xml:space="preserve"> </w:t>
      </w:r>
      <w:r>
        <w:rPr>
          <w:sz w:val="30"/>
        </w:rPr>
        <w:t>zero</w:t>
      </w:r>
      <w:r>
        <w:rPr>
          <w:spacing w:val="-6"/>
          <w:sz w:val="30"/>
        </w:rPr>
        <w:t xml:space="preserve"> </w:t>
      </w:r>
      <w:r>
        <w:rPr>
          <w:sz w:val="30"/>
        </w:rPr>
        <w:t>apples</w:t>
      </w:r>
      <w:r>
        <w:rPr>
          <w:spacing w:val="-7"/>
          <w:sz w:val="30"/>
        </w:rPr>
        <w:t xml:space="preserve"> </w:t>
      </w:r>
      <w:r>
        <w:rPr>
          <w:sz w:val="30"/>
        </w:rPr>
        <w:t>on</w:t>
      </w:r>
      <w:r>
        <w:rPr>
          <w:spacing w:val="-6"/>
          <w:sz w:val="30"/>
        </w:rPr>
        <w:t xml:space="preserve"> </w:t>
      </w:r>
      <w:r>
        <w:rPr>
          <w:sz w:val="30"/>
        </w:rPr>
        <w:t>the</w:t>
      </w:r>
      <w:r>
        <w:rPr>
          <w:spacing w:val="-7"/>
          <w:sz w:val="30"/>
        </w:rPr>
        <w:t xml:space="preserve"> </w:t>
      </w:r>
      <w:r>
        <w:rPr>
          <w:sz w:val="30"/>
        </w:rPr>
        <w:t>table” is equivalent with</w:t>
      </w:r>
    </w:p>
    <w:p w14:paraId="7E000FC1" w14:textId="77777777" w:rsidR="009A58DB" w:rsidRDefault="00000000">
      <w:pPr>
        <w:pStyle w:val="ListParagraph"/>
        <w:numPr>
          <w:ilvl w:val="0"/>
          <w:numId w:val="164"/>
        </w:numPr>
        <w:tabs>
          <w:tab w:val="left" w:pos="782"/>
        </w:tabs>
        <w:spacing w:line="501" w:lineRule="auto"/>
        <w:ind w:right="1839" w:firstLine="0"/>
        <w:rPr>
          <w:sz w:val="30"/>
        </w:rPr>
      </w:pPr>
      <w:r>
        <w:rPr>
          <w:sz w:val="30"/>
        </w:rPr>
        <w:t>“the</w:t>
      </w:r>
      <w:r>
        <w:rPr>
          <w:spacing w:val="-5"/>
          <w:sz w:val="30"/>
        </w:rPr>
        <w:t xml:space="preserve"> </w:t>
      </w:r>
      <w:r>
        <w:rPr>
          <w:sz w:val="30"/>
        </w:rPr>
        <w:t>property</w:t>
      </w:r>
      <w:r>
        <w:rPr>
          <w:spacing w:val="-4"/>
          <w:sz w:val="30"/>
        </w:rPr>
        <w:t xml:space="preserve"> </w:t>
      </w:r>
      <w:r>
        <w:rPr>
          <w:sz w:val="30"/>
        </w:rPr>
        <w:t>of</w:t>
      </w:r>
      <w:r>
        <w:rPr>
          <w:spacing w:val="-5"/>
          <w:sz w:val="30"/>
        </w:rPr>
        <w:t xml:space="preserve"> </w:t>
      </w:r>
      <w:r>
        <w:rPr>
          <w:sz w:val="30"/>
        </w:rPr>
        <w:t>being</w:t>
      </w:r>
      <w:r>
        <w:rPr>
          <w:spacing w:val="-4"/>
          <w:sz w:val="30"/>
        </w:rPr>
        <w:t xml:space="preserve"> </w:t>
      </w:r>
      <w:r>
        <w:rPr>
          <w:sz w:val="30"/>
        </w:rPr>
        <w:t>an</w:t>
      </w:r>
      <w:r>
        <w:rPr>
          <w:spacing w:val="-4"/>
          <w:sz w:val="30"/>
        </w:rPr>
        <w:t xml:space="preserve"> </w:t>
      </w:r>
      <w:r>
        <w:rPr>
          <w:sz w:val="30"/>
        </w:rPr>
        <w:t>apple</w:t>
      </w:r>
      <w:r>
        <w:rPr>
          <w:spacing w:val="-5"/>
          <w:sz w:val="30"/>
        </w:rPr>
        <w:t xml:space="preserve"> </w:t>
      </w:r>
      <w:r>
        <w:rPr>
          <w:sz w:val="30"/>
        </w:rPr>
        <w:t>on</w:t>
      </w:r>
      <w:r>
        <w:rPr>
          <w:spacing w:val="-4"/>
          <w:sz w:val="30"/>
        </w:rPr>
        <w:t xml:space="preserve"> </w:t>
      </w:r>
      <w:r>
        <w:rPr>
          <w:sz w:val="30"/>
        </w:rPr>
        <w:t>the</w:t>
      </w:r>
      <w:r>
        <w:rPr>
          <w:spacing w:val="-5"/>
          <w:sz w:val="30"/>
        </w:rPr>
        <w:t xml:space="preserve"> </w:t>
      </w:r>
      <w:r>
        <w:rPr>
          <w:sz w:val="30"/>
        </w:rPr>
        <w:t>table</w:t>
      </w:r>
      <w:r>
        <w:rPr>
          <w:spacing w:val="-5"/>
          <w:sz w:val="30"/>
        </w:rPr>
        <w:t xml:space="preserve"> </w:t>
      </w:r>
      <w:r>
        <w:rPr>
          <w:sz w:val="30"/>
        </w:rPr>
        <w:t>is</w:t>
      </w:r>
      <w:r>
        <w:rPr>
          <w:spacing w:val="-5"/>
          <w:sz w:val="30"/>
        </w:rPr>
        <w:t xml:space="preserve"> </w:t>
      </w:r>
      <w:r>
        <w:rPr>
          <w:sz w:val="30"/>
        </w:rPr>
        <w:t xml:space="preserve">uninstantiated,” </w:t>
      </w:r>
      <w:r>
        <w:rPr>
          <w:spacing w:val="-4"/>
          <w:sz w:val="30"/>
        </w:rPr>
        <w:t>and</w:t>
      </w:r>
    </w:p>
    <w:p w14:paraId="7E000FC2" w14:textId="77777777" w:rsidR="009A58DB" w:rsidRDefault="00000000">
      <w:pPr>
        <w:pStyle w:val="ListParagraph"/>
        <w:numPr>
          <w:ilvl w:val="0"/>
          <w:numId w:val="164"/>
        </w:numPr>
        <w:tabs>
          <w:tab w:val="left" w:pos="782"/>
        </w:tabs>
        <w:spacing w:line="501" w:lineRule="auto"/>
        <w:ind w:right="5446" w:firstLine="0"/>
        <w:rPr>
          <w:sz w:val="30"/>
        </w:rPr>
      </w:pPr>
      <w:r>
        <w:rPr>
          <w:sz w:val="30"/>
        </w:rPr>
        <w:t>“there</w:t>
      </w:r>
      <w:r>
        <w:rPr>
          <w:spacing w:val="-7"/>
          <w:sz w:val="30"/>
        </w:rPr>
        <w:t xml:space="preserve"> </w:t>
      </w:r>
      <w:r>
        <w:rPr>
          <w:sz w:val="30"/>
        </w:rPr>
        <w:t>is</w:t>
      </w:r>
      <w:r>
        <w:rPr>
          <w:spacing w:val="-7"/>
          <w:sz w:val="30"/>
        </w:rPr>
        <w:t xml:space="preserve"> </w:t>
      </w:r>
      <w:r>
        <w:rPr>
          <w:sz w:val="30"/>
        </w:rPr>
        <w:t>one</w:t>
      </w:r>
      <w:r>
        <w:rPr>
          <w:spacing w:val="-7"/>
          <w:sz w:val="30"/>
        </w:rPr>
        <w:t xml:space="preserve"> </w:t>
      </w:r>
      <w:r>
        <w:rPr>
          <w:sz w:val="30"/>
        </w:rPr>
        <w:t>apple</w:t>
      </w:r>
      <w:r>
        <w:rPr>
          <w:spacing w:val="-7"/>
          <w:sz w:val="30"/>
        </w:rPr>
        <w:t xml:space="preserve"> </w:t>
      </w:r>
      <w:r>
        <w:rPr>
          <w:sz w:val="30"/>
        </w:rPr>
        <w:t>on</w:t>
      </w:r>
      <w:r>
        <w:rPr>
          <w:spacing w:val="-6"/>
          <w:sz w:val="30"/>
        </w:rPr>
        <w:t xml:space="preserve"> </w:t>
      </w:r>
      <w:r>
        <w:rPr>
          <w:sz w:val="30"/>
        </w:rPr>
        <w:t>the</w:t>
      </w:r>
      <w:r>
        <w:rPr>
          <w:spacing w:val="-7"/>
          <w:sz w:val="30"/>
        </w:rPr>
        <w:t xml:space="preserve"> </w:t>
      </w:r>
      <w:r>
        <w:rPr>
          <w:sz w:val="30"/>
        </w:rPr>
        <w:t>table” is equivalent with</w:t>
      </w:r>
    </w:p>
    <w:p w14:paraId="7E000FC3" w14:textId="77777777" w:rsidR="009A58DB" w:rsidRDefault="00000000">
      <w:pPr>
        <w:pStyle w:val="ListParagraph"/>
        <w:numPr>
          <w:ilvl w:val="0"/>
          <w:numId w:val="164"/>
        </w:numPr>
        <w:tabs>
          <w:tab w:val="left" w:pos="784"/>
        </w:tabs>
        <w:spacing w:line="249" w:lineRule="auto"/>
        <w:ind w:right="367" w:firstLine="0"/>
        <w:jc w:val="both"/>
        <w:rPr>
          <w:sz w:val="30"/>
        </w:rPr>
      </w:pPr>
      <w:r>
        <w:rPr>
          <w:sz w:val="30"/>
        </w:rPr>
        <w:t>“something</w:t>
      </w:r>
      <w:r>
        <w:rPr>
          <w:spacing w:val="-1"/>
          <w:sz w:val="30"/>
        </w:rPr>
        <w:t xml:space="preserve"> </w:t>
      </w:r>
      <w:r>
        <w:rPr>
          <w:sz w:val="30"/>
        </w:rPr>
        <w:t>x</w:t>
      </w:r>
      <w:r>
        <w:rPr>
          <w:spacing w:val="-1"/>
          <w:sz w:val="30"/>
        </w:rPr>
        <w:t xml:space="preserve"> </w:t>
      </w:r>
      <w:r>
        <w:rPr>
          <w:sz w:val="30"/>
        </w:rPr>
        <w:t>is</w:t>
      </w:r>
      <w:r>
        <w:rPr>
          <w:spacing w:val="-1"/>
          <w:sz w:val="30"/>
        </w:rPr>
        <w:t xml:space="preserve"> </w:t>
      </w:r>
      <w:r>
        <w:rPr>
          <w:sz w:val="30"/>
        </w:rPr>
        <w:t>an</w:t>
      </w:r>
      <w:r>
        <w:rPr>
          <w:spacing w:val="-1"/>
          <w:sz w:val="30"/>
        </w:rPr>
        <w:t xml:space="preserve"> </w:t>
      </w:r>
      <w:r>
        <w:rPr>
          <w:sz w:val="30"/>
        </w:rPr>
        <w:t>apple</w:t>
      </w:r>
      <w:r>
        <w:rPr>
          <w:spacing w:val="-1"/>
          <w:sz w:val="30"/>
        </w:rPr>
        <w:t xml:space="preserve"> </w:t>
      </w:r>
      <w:r>
        <w:rPr>
          <w:sz w:val="30"/>
        </w:rPr>
        <w:t>on</w:t>
      </w:r>
      <w:r>
        <w:rPr>
          <w:spacing w:val="-1"/>
          <w:sz w:val="30"/>
        </w:rPr>
        <w:t xml:space="preserve"> </w:t>
      </w:r>
      <w:r>
        <w:rPr>
          <w:sz w:val="30"/>
        </w:rPr>
        <w:t>the</w:t>
      </w:r>
      <w:r>
        <w:rPr>
          <w:spacing w:val="-1"/>
          <w:sz w:val="30"/>
        </w:rPr>
        <w:t xml:space="preserve"> </w:t>
      </w:r>
      <w:r>
        <w:rPr>
          <w:sz w:val="30"/>
        </w:rPr>
        <w:t>table</w:t>
      </w:r>
      <w:r>
        <w:rPr>
          <w:spacing w:val="-1"/>
          <w:sz w:val="30"/>
        </w:rPr>
        <w:t xml:space="preserve"> </w:t>
      </w:r>
      <w:r>
        <w:rPr>
          <w:sz w:val="30"/>
        </w:rPr>
        <w:t>and,</w:t>
      </w:r>
      <w:r>
        <w:rPr>
          <w:spacing w:val="-1"/>
          <w:sz w:val="30"/>
        </w:rPr>
        <w:t xml:space="preserve"> </w:t>
      </w:r>
      <w:r>
        <w:rPr>
          <w:sz w:val="30"/>
        </w:rPr>
        <w:t>given</w:t>
      </w:r>
      <w:r>
        <w:rPr>
          <w:spacing w:val="-1"/>
          <w:sz w:val="30"/>
        </w:rPr>
        <w:t xml:space="preserve"> </w:t>
      </w:r>
      <w:r>
        <w:rPr>
          <w:sz w:val="30"/>
        </w:rPr>
        <w:t>anything</w:t>
      </w:r>
      <w:r>
        <w:rPr>
          <w:spacing w:val="-1"/>
          <w:sz w:val="30"/>
        </w:rPr>
        <w:t xml:space="preserve"> </w:t>
      </w:r>
      <w:r>
        <w:rPr>
          <w:sz w:val="30"/>
        </w:rPr>
        <w:t>y</w:t>
      </w:r>
      <w:r>
        <w:rPr>
          <w:spacing w:val="-1"/>
          <w:sz w:val="30"/>
        </w:rPr>
        <w:t xml:space="preserve"> </w:t>
      </w:r>
      <w:r>
        <w:rPr>
          <w:sz w:val="30"/>
        </w:rPr>
        <w:t>that</w:t>
      </w:r>
      <w:r>
        <w:rPr>
          <w:spacing w:val="-1"/>
          <w:sz w:val="30"/>
        </w:rPr>
        <w:t xml:space="preserve"> </w:t>
      </w:r>
      <w:r>
        <w:rPr>
          <w:sz w:val="30"/>
        </w:rPr>
        <w:t>is</w:t>
      </w:r>
      <w:r>
        <w:rPr>
          <w:spacing w:val="-1"/>
          <w:sz w:val="30"/>
        </w:rPr>
        <w:t xml:space="preserve"> </w:t>
      </w:r>
      <w:r>
        <w:rPr>
          <w:sz w:val="30"/>
        </w:rPr>
        <w:t>such</w:t>
      </w:r>
      <w:r>
        <w:rPr>
          <w:spacing w:val="-1"/>
          <w:sz w:val="30"/>
        </w:rPr>
        <w:t xml:space="preserve"> </w:t>
      </w:r>
      <w:r>
        <w:rPr>
          <w:sz w:val="30"/>
        </w:rPr>
        <w:t>an apple, y = x.”</w:t>
      </w:r>
    </w:p>
    <w:p w14:paraId="7E000FC4" w14:textId="77777777" w:rsidR="009A58DB" w:rsidRDefault="009A58DB">
      <w:pPr>
        <w:pStyle w:val="BodyText"/>
        <w:spacing w:before="12"/>
        <w:ind w:left="0"/>
        <w:jc w:val="left"/>
      </w:pPr>
    </w:p>
    <w:p w14:paraId="7E000FC5" w14:textId="77777777" w:rsidR="009A58DB" w:rsidRDefault="00000000">
      <w:pPr>
        <w:pStyle w:val="BodyText"/>
        <w:spacing w:line="249" w:lineRule="auto"/>
        <w:ind w:right="364" w:firstLine="360"/>
      </w:pPr>
      <w:r>
        <w:t>The expressions “two,” “three,” “zero,” and “one” occur in sentences (1), (3), (5), and (7). Those sentences are equivalent with (2), (4), (6), and (8), respectively,</w:t>
      </w:r>
      <w:r>
        <w:rPr>
          <w:spacing w:val="-2"/>
        </w:rPr>
        <w:t xml:space="preserve"> </w:t>
      </w:r>
      <w:r>
        <w:t>even</w:t>
      </w:r>
      <w:r>
        <w:rPr>
          <w:spacing w:val="-1"/>
        </w:rPr>
        <w:t xml:space="preserve"> </w:t>
      </w:r>
      <w:r>
        <w:t>though</w:t>
      </w:r>
      <w:r>
        <w:rPr>
          <w:spacing w:val="-1"/>
        </w:rPr>
        <w:t xml:space="preserve"> </w:t>
      </w:r>
      <w:r>
        <w:t>no</w:t>
      </w:r>
      <w:r>
        <w:rPr>
          <w:spacing w:val="-1"/>
        </w:rPr>
        <w:t xml:space="preserve"> </w:t>
      </w:r>
      <w:r>
        <w:t>number-expression</w:t>
      </w:r>
      <w:r>
        <w:rPr>
          <w:spacing w:val="-1"/>
        </w:rPr>
        <w:t xml:space="preserve"> </w:t>
      </w:r>
      <w:r>
        <w:t>occurs</w:t>
      </w:r>
      <w:r>
        <w:rPr>
          <w:spacing w:val="-2"/>
        </w:rPr>
        <w:t xml:space="preserve"> </w:t>
      </w:r>
      <w:r>
        <w:t>in</w:t>
      </w:r>
      <w:r>
        <w:rPr>
          <w:spacing w:val="-1"/>
        </w:rPr>
        <w:t xml:space="preserve"> </w:t>
      </w:r>
      <w:r>
        <w:t>any</w:t>
      </w:r>
      <w:r>
        <w:rPr>
          <w:spacing w:val="-1"/>
        </w:rPr>
        <w:t xml:space="preserve"> </w:t>
      </w:r>
      <w:r>
        <w:t>of</w:t>
      </w:r>
      <w:r>
        <w:rPr>
          <w:spacing w:val="-2"/>
        </w:rPr>
        <w:t xml:space="preserve"> </w:t>
      </w:r>
      <w:r>
        <w:t>them.</w:t>
      </w:r>
      <w:r>
        <w:rPr>
          <w:spacing w:val="-1"/>
        </w:rPr>
        <w:t xml:space="preserve"> </w:t>
      </w:r>
      <w:r>
        <w:t xml:space="preserve">Thus, Frege has successfully </w:t>
      </w:r>
      <w:r>
        <w:rPr>
          <w:i/>
        </w:rPr>
        <w:t xml:space="preserve">eliminated </w:t>
      </w:r>
      <w:r>
        <w:t>any references to number occurring in (1), (3),</w:t>
      </w:r>
      <w:r>
        <w:rPr>
          <w:spacing w:val="68"/>
          <w:w w:val="150"/>
        </w:rPr>
        <w:t xml:space="preserve"> </w:t>
      </w:r>
      <w:r>
        <w:t>etc.,</w:t>
      </w:r>
      <w:r>
        <w:rPr>
          <w:spacing w:val="68"/>
          <w:w w:val="150"/>
        </w:rPr>
        <w:t xml:space="preserve"> </w:t>
      </w:r>
      <w:r>
        <w:t>and</w:t>
      </w:r>
      <w:r>
        <w:rPr>
          <w:spacing w:val="68"/>
          <w:w w:val="150"/>
        </w:rPr>
        <w:t xml:space="preserve"> </w:t>
      </w:r>
      <w:r>
        <w:t>therefore,</w:t>
      </w:r>
      <w:r>
        <w:rPr>
          <w:spacing w:val="68"/>
          <w:w w:val="150"/>
        </w:rPr>
        <w:t xml:space="preserve"> </w:t>
      </w:r>
      <w:r>
        <w:t>has</w:t>
      </w:r>
      <w:r>
        <w:rPr>
          <w:spacing w:val="68"/>
          <w:w w:val="150"/>
        </w:rPr>
        <w:t xml:space="preserve"> </w:t>
      </w:r>
      <w:r>
        <w:t>successfully</w:t>
      </w:r>
      <w:r>
        <w:rPr>
          <w:spacing w:val="68"/>
          <w:w w:val="150"/>
        </w:rPr>
        <w:t xml:space="preserve"> </w:t>
      </w:r>
      <w:r>
        <w:t>analyzed</w:t>
      </w:r>
      <w:r>
        <w:rPr>
          <w:spacing w:val="68"/>
          <w:w w:val="150"/>
        </w:rPr>
        <w:t xml:space="preserve"> </w:t>
      </w:r>
      <w:r>
        <w:t>them.</w:t>
      </w:r>
      <w:r>
        <w:rPr>
          <w:spacing w:val="68"/>
          <w:w w:val="150"/>
        </w:rPr>
        <w:t xml:space="preserve"> </w:t>
      </w:r>
      <w:r>
        <w:t>But</w:t>
      </w:r>
      <w:r>
        <w:rPr>
          <w:spacing w:val="68"/>
          <w:w w:val="150"/>
        </w:rPr>
        <w:t xml:space="preserve"> </w:t>
      </w:r>
      <w:r>
        <w:t>there’s</w:t>
      </w:r>
      <w:r>
        <w:rPr>
          <w:spacing w:val="68"/>
          <w:w w:val="150"/>
        </w:rPr>
        <w:t xml:space="preserve"> </w:t>
      </w:r>
      <w:r>
        <w:t>a</w:t>
      </w:r>
    </w:p>
    <w:p w14:paraId="7E000FC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0FC7" w14:textId="77777777" w:rsidR="009A58DB" w:rsidRDefault="00000000">
      <w:pPr>
        <w:pStyle w:val="BodyText"/>
        <w:spacing w:before="65"/>
      </w:pPr>
      <w:r>
        <w:lastRenderedPageBreak/>
        <w:t>problem,</w:t>
      </w:r>
      <w:r>
        <w:rPr>
          <w:spacing w:val="-3"/>
        </w:rPr>
        <w:t xml:space="preserve"> </w:t>
      </w:r>
      <w:r>
        <w:t>as</w:t>
      </w:r>
      <w:r>
        <w:rPr>
          <w:spacing w:val="-3"/>
        </w:rPr>
        <w:t xml:space="preserve"> </w:t>
      </w:r>
      <w:r>
        <w:t>we’ll</w:t>
      </w:r>
      <w:r>
        <w:rPr>
          <w:spacing w:val="-3"/>
        </w:rPr>
        <w:t xml:space="preserve"> </w:t>
      </w:r>
      <w:r>
        <w:t>now</w:t>
      </w:r>
      <w:r>
        <w:rPr>
          <w:spacing w:val="-3"/>
        </w:rPr>
        <w:t xml:space="preserve"> </w:t>
      </w:r>
      <w:r>
        <w:rPr>
          <w:spacing w:val="-4"/>
        </w:rPr>
        <w:t>see.</w:t>
      </w:r>
    </w:p>
    <w:p w14:paraId="7E000FC8" w14:textId="77777777" w:rsidR="009A58DB" w:rsidRDefault="00000000">
      <w:pPr>
        <w:pStyle w:val="Heading1"/>
        <w:numPr>
          <w:ilvl w:val="1"/>
          <w:numId w:val="166"/>
        </w:numPr>
        <w:tabs>
          <w:tab w:val="left" w:pos="990"/>
        </w:tabs>
        <w:jc w:val="both"/>
      </w:pPr>
      <w:r>
        <w:t>“Number”</w:t>
      </w:r>
      <w:r>
        <w:rPr>
          <w:spacing w:val="-7"/>
        </w:rPr>
        <w:t xml:space="preserve"> </w:t>
      </w:r>
      <w:r>
        <w:t>defined</w:t>
      </w:r>
      <w:r>
        <w:rPr>
          <w:spacing w:val="-6"/>
        </w:rPr>
        <w:t xml:space="preserve"> </w:t>
      </w:r>
      <w:bookmarkStart w:id="219" w:name="_bookmark219"/>
      <w:bookmarkEnd w:id="219"/>
      <w:r>
        <w:rPr>
          <w:color w:val="0562C1"/>
          <w:spacing w:val="-2"/>
          <w:position w:val="30"/>
          <w:u w:val="single" w:color="0562C1"/>
        </w:rPr>
        <w:t>[127]</w:t>
      </w:r>
    </w:p>
    <w:p w14:paraId="7E000FC9" w14:textId="77777777" w:rsidR="009A58DB" w:rsidRDefault="00000000">
      <w:pPr>
        <w:pStyle w:val="BodyText"/>
        <w:spacing w:before="139" w:line="249" w:lineRule="auto"/>
        <w:ind w:right="358"/>
      </w:pPr>
      <w:r>
        <w:t>In (1), (3), etc. the expressions “one”, “two”, etc. are functioning as adjectives; and the method just described tells us how to eliminate those expressions from those sentences. In general, that method tells us how to eliminate number-expressions that are functioning as adjectives. But it doesn’t tell us how to eliminate number expressions that are functioning as nouns. It doesn’t tell us, for example, how to identify a sentence that is equivalent with “two is less than three” that doesn’t contain “two” or “three” or any other number-expression.</w:t>
      </w:r>
    </w:p>
    <w:p w14:paraId="7E000FCA" w14:textId="77777777" w:rsidR="009A58DB" w:rsidRDefault="00000000">
      <w:pPr>
        <w:pStyle w:val="BodyText"/>
        <w:spacing w:before="10" w:line="249" w:lineRule="auto"/>
        <w:ind w:right="359" w:firstLine="360"/>
      </w:pPr>
      <w:r>
        <w:t>Frege’s brilliant solution to this problem is to be understood in terms of</w:t>
      </w:r>
      <w:r>
        <w:rPr>
          <w:spacing w:val="40"/>
        </w:rPr>
        <w:t xml:space="preserve"> </w:t>
      </w:r>
      <w:r>
        <w:t>the</w:t>
      </w:r>
      <w:r>
        <w:rPr>
          <w:spacing w:val="9"/>
        </w:rPr>
        <w:t xml:space="preserve"> </w:t>
      </w:r>
      <w:r>
        <w:t>fact</w:t>
      </w:r>
      <w:r>
        <w:rPr>
          <w:spacing w:val="9"/>
        </w:rPr>
        <w:t xml:space="preserve"> </w:t>
      </w:r>
      <w:r>
        <w:t>that</w:t>
      </w:r>
      <w:r>
        <w:rPr>
          <w:spacing w:val="9"/>
        </w:rPr>
        <w:t xml:space="preserve"> </w:t>
      </w:r>
      <w:r>
        <w:t>two</w:t>
      </w:r>
      <w:r>
        <w:rPr>
          <w:spacing w:val="10"/>
        </w:rPr>
        <w:t xml:space="preserve"> </w:t>
      </w:r>
      <w:r>
        <w:t>sets</w:t>
      </w:r>
      <w:r>
        <w:rPr>
          <w:spacing w:val="9"/>
        </w:rPr>
        <w:t xml:space="preserve"> </w:t>
      </w:r>
      <w:r>
        <w:t>have</w:t>
      </w:r>
      <w:r>
        <w:rPr>
          <w:spacing w:val="9"/>
        </w:rPr>
        <w:t xml:space="preserve"> </w:t>
      </w:r>
      <w:r>
        <w:t>the</w:t>
      </w:r>
      <w:r>
        <w:rPr>
          <w:spacing w:val="10"/>
        </w:rPr>
        <w:t xml:space="preserve"> </w:t>
      </w:r>
      <w:r>
        <w:t>same</w:t>
      </w:r>
      <w:r>
        <w:rPr>
          <w:spacing w:val="9"/>
        </w:rPr>
        <w:t xml:space="preserve"> </w:t>
      </w:r>
      <w:r>
        <w:t>number</w:t>
      </w:r>
      <w:r>
        <w:rPr>
          <w:spacing w:val="9"/>
        </w:rPr>
        <w:t xml:space="preserve"> </w:t>
      </w:r>
      <w:r>
        <w:t>of</w:t>
      </w:r>
      <w:r>
        <w:rPr>
          <w:spacing w:val="10"/>
        </w:rPr>
        <w:t xml:space="preserve"> </w:t>
      </w:r>
      <w:r>
        <w:t>objects</w:t>
      </w:r>
      <w:r>
        <w:rPr>
          <w:spacing w:val="9"/>
        </w:rPr>
        <w:t xml:space="preserve"> </w:t>
      </w:r>
      <w:r>
        <w:t>if</w:t>
      </w:r>
      <w:r>
        <w:rPr>
          <w:spacing w:val="9"/>
        </w:rPr>
        <w:t xml:space="preserve"> </w:t>
      </w:r>
      <w:r>
        <w:t>they</w:t>
      </w:r>
      <w:r>
        <w:rPr>
          <w:spacing w:val="10"/>
        </w:rPr>
        <w:t xml:space="preserve"> </w:t>
      </w:r>
      <w:r>
        <w:t>can</w:t>
      </w:r>
      <w:r>
        <w:rPr>
          <w:spacing w:val="9"/>
        </w:rPr>
        <w:t xml:space="preserve"> </w:t>
      </w:r>
      <w:r>
        <w:t>be</w:t>
      </w:r>
      <w:r>
        <w:rPr>
          <w:spacing w:val="9"/>
        </w:rPr>
        <w:t xml:space="preserve"> </w:t>
      </w:r>
      <w:r>
        <w:t>put</w:t>
      </w:r>
      <w:r>
        <w:rPr>
          <w:spacing w:val="10"/>
        </w:rPr>
        <w:t xml:space="preserve"> </w:t>
      </w:r>
      <w:r>
        <w:rPr>
          <w:spacing w:val="-4"/>
        </w:rPr>
        <w:t>into</w:t>
      </w:r>
    </w:p>
    <w:p w14:paraId="7E000FCB" w14:textId="77777777" w:rsidR="009A58DB" w:rsidRDefault="00000000">
      <w:pPr>
        <w:pStyle w:val="BodyText"/>
        <w:spacing w:before="2" w:line="277" w:lineRule="exact"/>
        <w:ind w:left="1549"/>
        <w:jc w:val="center"/>
      </w:pPr>
      <w:bookmarkStart w:id="220" w:name="_bookmark220"/>
      <w:bookmarkEnd w:id="220"/>
      <w:r>
        <w:rPr>
          <w:color w:val="0562C1"/>
          <w:spacing w:val="-2"/>
          <w:u w:val="single" w:color="0562C1"/>
        </w:rPr>
        <w:t>[128]</w:t>
      </w:r>
    </w:p>
    <w:p w14:paraId="7E000FCC" w14:textId="77777777" w:rsidR="009A58DB" w:rsidRDefault="00000000">
      <w:pPr>
        <w:pStyle w:val="BodyText"/>
        <w:spacing w:line="277" w:lineRule="exact"/>
        <w:jc w:val="left"/>
      </w:pPr>
      <w:r>
        <w:t>a</w:t>
      </w:r>
      <w:r>
        <w:rPr>
          <w:spacing w:val="-4"/>
        </w:rPr>
        <w:t xml:space="preserve"> </w:t>
      </w:r>
      <w:r>
        <w:t>one-one</w:t>
      </w:r>
      <w:r>
        <w:rPr>
          <w:spacing w:val="-4"/>
        </w:rPr>
        <w:t xml:space="preserve"> </w:t>
      </w:r>
      <w:r>
        <w:t>correspondence</w:t>
      </w:r>
      <w:r>
        <w:rPr>
          <w:spacing w:val="-4"/>
        </w:rPr>
        <w:t xml:space="preserve"> </w:t>
      </w:r>
      <w:r>
        <w:t>with</w:t>
      </w:r>
      <w:r>
        <w:rPr>
          <w:spacing w:val="-3"/>
        </w:rPr>
        <w:t xml:space="preserve"> </w:t>
      </w:r>
      <w:r>
        <w:t>each</w:t>
      </w:r>
      <w:r>
        <w:rPr>
          <w:spacing w:val="-3"/>
        </w:rPr>
        <w:t xml:space="preserve"> </w:t>
      </w:r>
      <w:r>
        <w:rPr>
          <w:spacing w:val="-2"/>
        </w:rPr>
        <w:t>other.</w:t>
      </w:r>
    </w:p>
    <w:p w14:paraId="7E000FCD" w14:textId="77777777" w:rsidR="009A58DB" w:rsidRDefault="00000000">
      <w:pPr>
        <w:pStyle w:val="BodyText"/>
        <w:spacing w:before="15" w:line="271" w:lineRule="auto"/>
        <w:ind w:right="370" w:firstLine="360"/>
      </w:pPr>
      <w:r>
        <w:t>Let’s suppose that Smith has five shirts and that Brown has five cars. Let S</w:t>
      </w:r>
      <w:r>
        <w:rPr>
          <w:vertAlign w:val="subscript"/>
        </w:rPr>
        <w:t>1</w:t>
      </w:r>
      <w:r>
        <w:t xml:space="preserve"> be the set of Smith’s shirts and let S</w:t>
      </w:r>
      <w:r>
        <w:rPr>
          <w:vertAlign w:val="subscript"/>
        </w:rPr>
        <w:t>2</w:t>
      </w:r>
      <w:r>
        <w:t xml:space="preserve"> be the set of Brown’s cars. S</w:t>
      </w:r>
      <w:r>
        <w:rPr>
          <w:vertAlign w:val="subscript"/>
        </w:rPr>
        <w:t>1</w:t>
      </w:r>
      <w:r>
        <w:t xml:space="preserve"> can be put into a one-one correspondence with S</w:t>
      </w:r>
      <w:r>
        <w:rPr>
          <w:vertAlign w:val="subscript"/>
        </w:rPr>
        <w:t>2</w:t>
      </w:r>
      <w:r>
        <w:t>. In other words:</w:t>
      </w:r>
    </w:p>
    <w:p w14:paraId="7E000FCE" w14:textId="77777777" w:rsidR="009A58DB" w:rsidRDefault="009A58DB">
      <w:pPr>
        <w:pStyle w:val="BodyText"/>
        <w:spacing w:before="45"/>
        <w:ind w:left="0"/>
        <w:jc w:val="left"/>
      </w:pPr>
    </w:p>
    <w:p w14:paraId="7E000FCF" w14:textId="77777777" w:rsidR="009A58DB" w:rsidRDefault="00000000">
      <w:pPr>
        <w:pStyle w:val="ListParagraph"/>
        <w:numPr>
          <w:ilvl w:val="0"/>
          <w:numId w:val="163"/>
        </w:numPr>
        <w:tabs>
          <w:tab w:val="left" w:pos="794"/>
        </w:tabs>
        <w:spacing w:before="1" w:line="249" w:lineRule="auto"/>
        <w:ind w:right="362" w:firstLine="0"/>
        <w:jc w:val="both"/>
        <w:rPr>
          <w:sz w:val="30"/>
        </w:rPr>
      </w:pPr>
      <w:r>
        <w:rPr>
          <w:sz w:val="30"/>
        </w:rPr>
        <w:t>there is a rule (or “function”) that pairs off each member of each set with at least one member of the other set and pairs off no member of either set</w:t>
      </w:r>
      <w:r>
        <w:rPr>
          <w:spacing w:val="40"/>
          <w:sz w:val="30"/>
        </w:rPr>
        <w:t xml:space="preserve"> </w:t>
      </w:r>
      <w:r>
        <w:rPr>
          <w:sz w:val="30"/>
        </w:rPr>
        <w:t>with more than one member of the other.</w:t>
      </w:r>
    </w:p>
    <w:p w14:paraId="7E000FD0" w14:textId="77777777" w:rsidR="009A58DB" w:rsidRDefault="009A58DB">
      <w:pPr>
        <w:pStyle w:val="BodyText"/>
        <w:spacing w:before="18"/>
        <w:ind w:left="0"/>
        <w:jc w:val="left"/>
      </w:pPr>
    </w:p>
    <w:p w14:paraId="7E000FD1" w14:textId="77777777" w:rsidR="009A58DB" w:rsidRDefault="00000000">
      <w:pPr>
        <w:pStyle w:val="ListParagraph"/>
        <w:numPr>
          <w:ilvl w:val="0"/>
          <w:numId w:val="162"/>
        </w:numPr>
        <w:tabs>
          <w:tab w:val="left" w:pos="782"/>
        </w:tabs>
        <w:ind w:left="782" w:hanging="422"/>
        <w:jc w:val="both"/>
        <w:rPr>
          <w:sz w:val="30"/>
        </w:rPr>
      </w:pPr>
      <w:r>
        <w:rPr>
          <w:sz w:val="30"/>
        </w:rPr>
        <w:t>says</w:t>
      </w:r>
      <w:r>
        <w:rPr>
          <w:spacing w:val="-3"/>
          <w:sz w:val="30"/>
        </w:rPr>
        <w:t xml:space="preserve"> </w:t>
      </w:r>
      <w:r>
        <w:rPr>
          <w:sz w:val="30"/>
        </w:rPr>
        <w:t>the</w:t>
      </w:r>
      <w:r>
        <w:rPr>
          <w:spacing w:val="-3"/>
          <w:sz w:val="30"/>
        </w:rPr>
        <w:t xml:space="preserve"> </w:t>
      </w:r>
      <w:r>
        <w:rPr>
          <w:sz w:val="30"/>
        </w:rPr>
        <w:t>same</w:t>
      </w:r>
      <w:r>
        <w:rPr>
          <w:spacing w:val="-3"/>
          <w:sz w:val="30"/>
        </w:rPr>
        <w:t xml:space="preserve"> </w:t>
      </w:r>
      <w:r>
        <w:rPr>
          <w:sz w:val="30"/>
        </w:rPr>
        <w:t>thing</w:t>
      </w:r>
      <w:r>
        <w:rPr>
          <w:spacing w:val="-2"/>
          <w:sz w:val="30"/>
        </w:rPr>
        <w:t xml:space="preserve"> </w:t>
      </w:r>
      <w:r>
        <w:rPr>
          <w:spacing w:val="-5"/>
          <w:sz w:val="30"/>
        </w:rPr>
        <w:t>as:</w:t>
      </w:r>
    </w:p>
    <w:p w14:paraId="7E000FD2" w14:textId="77777777" w:rsidR="009A58DB" w:rsidRDefault="009A58DB">
      <w:pPr>
        <w:pStyle w:val="BodyText"/>
        <w:spacing w:before="30"/>
        <w:ind w:left="0"/>
        <w:jc w:val="left"/>
      </w:pPr>
    </w:p>
    <w:p w14:paraId="7E000FD3" w14:textId="77777777" w:rsidR="009A58DB" w:rsidRDefault="00000000">
      <w:pPr>
        <w:pStyle w:val="ListParagraph"/>
        <w:numPr>
          <w:ilvl w:val="0"/>
          <w:numId w:val="162"/>
        </w:numPr>
        <w:tabs>
          <w:tab w:val="left" w:pos="813"/>
        </w:tabs>
        <w:spacing w:line="249" w:lineRule="auto"/>
        <w:ind w:left="360" w:right="366" w:firstLine="0"/>
        <w:jc w:val="both"/>
        <w:rPr>
          <w:sz w:val="30"/>
        </w:rPr>
      </w:pPr>
      <w:r>
        <w:rPr>
          <w:sz w:val="30"/>
        </w:rPr>
        <w:t>there is some function F such that, given any member x of either set, F assigns some member y of the other set to x and such that F assigns z to x iff z = y.</w:t>
      </w:r>
    </w:p>
    <w:p w14:paraId="7E000FD4" w14:textId="77777777" w:rsidR="009A58DB" w:rsidRDefault="009A58DB">
      <w:pPr>
        <w:pStyle w:val="BodyText"/>
        <w:spacing w:before="19"/>
        <w:ind w:left="0"/>
        <w:jc w:val="left"/>
      </w:pPr>
    </w:p>
    <w:p w14:paraId="7E000FD5" w14:textId="77777777" w:rsidR="009A58DB" w:rsidRDefault="00000000">
      <w:pPr>
        <w:pStyle w:val="BodyText"/>
        <w:spacing w:line="249" w:lineRule="auto"/>
        <w:jc w:val="left"/>
        <w:rPr>
          <w:position w:val="21"/>
        </w:rPr>
      </w:pPr>
      <w:r>
        <w:t>If</w:t>
      </w:r>
      <w:r>
        <w:rPr>
          <w:spacing w:val="32"/>
        </w:rPr>
        <w:t xml:space="preserve"> </w:t>
      </w:r>
      <w:r>
        <w:t>two</w:t>
      </w:r>
      <w:r>
        <w:rPr>
          <w:spacing w:val="32"/>
        </w:rPr>
        <w:t xml:space="preserve"> </w:t>
      </w:r>
      <w:r>
        <w:t>sets</w:t>
      </w:r>
      <w:r>
        <w:rPr>
          <w:spacing w:val="32"/>
        </w:rPr>
        <w:t xml:space="preserve"> </w:t>
      </w:r>
      <w:r>
        <w:t>can</w:t>
      </w:r>
      <w:r>
        <w:rPr>
          <w:spacing w:val="32"/>
        </w:rPr>
        <w:t xml:space="preserve"> </w:t>
      </w:r>
      <w:r>
        <w:t>be</w:t>
      </w:r>
      <w:r>
        <w:rPr>
          <w:spacing w:val="32"/>
        </w:rPr>
        <w:t xml:space="preserve"> </w:t>
      </w:r>
      <w:r>
        <w:t>put</w:t>
      </w:r>
      <w:r>
        <w:rPr>
          <w:spacing w:val="32"/>
        </w:rPr>
        <w:t xml:space="preserve"> </w:t>
      </w:r>
      <w:r>
        <w:t>into</w:t>
      </w:r>
      <w:r>
        <w:rPr>
          <w:spacing w:val="32"/>
        </w:rPr>
        <w:t xml:space="preserve"> </w:t>
      </w:r>
      <w:r>
        <w:t>one-one</w:t>
      </w:r>
      <w:r>
        <w:rPr>
          <w:spacing w:val="32"/>
        </w:rPr>
        <w:t xml:space="preserve"> </w:t>
      </w:r>
      <w:r>
        <w:t>correspondence,</w:t>
      </w:r>
      <w:r>
        <w:rPr>
          <w:spacing w:val="32"/>
        </w:rPr>
        <w:t xml:space="preserve"> </w:t>
      </w:r>
      <w:r>
        <w:t>we’ll</w:t>
      </w:r>
      <w:r>
        <w:rPr>
          <w:spacing w:val="32"/>
        </w:rPr>
        <w:t xml:space="preserve"> </w:t>
      </w:r>
      <w:r>
        <w:t>say</w:t>
      </w:r>
      <w:r>
        <w:rPr>
          <w:spacing w:val="32"/>
        </w:rPr>
        <w:t xml:space="preserve"> </w:t>
      </w:r>
      <w:r>
        <w:t>that</w:t>
      </w:r>
      <w:r>
        <w:rPr>
          <w:spacing w:val="32"/>
        </w:rPr>
        <w:t xml:space="preserve"> </w:t>
      </w:r>
      <w:r>
        <w:t>they</w:t>
      </w:r>
      <w:r>
        <w:rPr>
          <w:spacing w:val="32"/>
        </w:rPr>
        <w:t xml:space="preserve"> </w:t>
      </w:r>
      <w:r>
        <w:t xml:space="preserve">are </w:t>
      </w:r>
      <w:r>
        <w:rPr>
          <w:spacing w:val="-2"/>
        </w:rPr>
        <w:t>“similar.</w:t>
      </w:r>
      <w:bookmarkStart w:id="221" w:name="_bookmark221"/>
      <w:bookmarkEnd w:id="221"/>
      <w:r>
        <w:rPr>
          <w:spacing w:val="-2"/>
        </w:rPr>
        <w:t>”</w:t>
      </w:r>
      <w:r>
        <w:rPr>
          <w:color w:val="0562C1"/>
          <w:spacing w:val="-2"/>
          <w:position w:val="21"/>
          <w:u w:val="single" w:color="0562C1"/>
        </w:rPr>
        <w:t>[129]</w:t>
      </w:r>
    </w:p>
    <w:p w14:paraId="7E000FD6" w14:textId="77777777" w:rsidR="009A58DB" w:rsidRDefault="00000000">
      <w:pPr>
        <w:pStyle w:val="BodyText"/>
        <w:spacing w:before="3"/>
        <w:jc w:val="left"/>
      </w:pPr>
      <w:r>
        <w:t>Given</w:t>
      </w:r>
      <w:r>
        <w:rPr>
          <w:spacing w:val="-2"/>
        </w:rPr>
        <w:t xml:space="preserve"> </w:t>
      </w:r>
      <w:r>
        <w:t>any</w:t>
      </w:r>
      <w:r>
        <w:rPr>
          <w:spacing w:val="-1"/>
        </w:rPr>
        <w:t xml:space="preserve"> </w:t>
      </w:r>
      <w:r>
        <w:t>two</w:t>
      </w:r>
      <w:r>
        <w:rPr>
          <w:spacing w:val="-1"/>
        </w:rPr>
        <w:t xml:space="preserve"> </w:t>
      </w:r>
      <w:r>
        <w:t>sets,</w:t>
      </w:r>
      <w:r>
        <w:rPr>
          <w:spacing w:val="-1"/>
        </w:rPr>
        <w:t xml:space="preserve"> </w:t>
      </w:r>
      <w:r>
        <w:t>S</w:t>
      </w:r>
      <w:r>
        <w:rPr>
          <w:position w:val="-7"/>
          <w:sz w:val="22"/>
        </w:rPr>
        <w:t>1</w:t>
      </w:r>
      <w:r>
        <w:rPr>
          <w:spacing w:val="18"/>
          <w:position w:val="-7"/>
          <w:sz w:val="22"/>
        </w:rPr>
        <w:t xml:space="preserve"> </w:t>
      </w:r>
      <w:r>
        <w:t>and</w:t>
      </w:r>
      <w:r>
        <w:rPr>
          <w:spacing w:val="-1"/>
        </w:rPr>
        <w:t xml:space="preserve"> </w:t>
      </w:r>
      <w:r>
        <w:t>S</w:t>
      </w:r>
      <w:r>
        <w:rPr>
          <w:position w:val="-7"/>
          <w:sz w:val="22"/>
        </w:rPr>
        <w:t>2</w:t>
      </w:r>
      <w:r>
        <w:t>,</w:t>
      </w:r>
      <w:r>
        <w:rPr>
          <w:spacing w:val="-1"/>
        </w:rPr>
        <w:t xml:space="preserve"> </w:t>
      </w:r>
      <w:r>
        <w:t>the</w:t>
      </w:r>
      <w:r>
        <w:rPr>
          <w:spacing w:val="-2"/>
        </w:rPr>
        <w:t xml:space="preserve"> statement:</w:t>
      </w:r>
    </w:p>
    <w:p w14:paraId="7E000FD7" w14:textId="77777777" w:rsidR="009A58DB" w:rsidRDefault="009A58DB">
      <w:pPr>
        <w:pStyle w:val="BodyText"/>
        <w:spacing w:before="27"/>
        <w:ind w:left="0"/>
        <w:jc w:val="left"/>
      </w:pPr>
    </w:p>
    <w:p w14:paraId="7E000FD8" w14:textId="77777777" w:rsidR="009A58DB" w:rsidRDefault="00000000">
      <w:pPr>
        <w:pStyle w:val="ListParagraph"/>
        <w:numPr>
          <w:ilvl w:val="1"/>
          <w:numId w:val="162"/>
        </w:numPr>
        <w:tabs>
          <w:tab w:val="left" w:pos="764"/>
        </w:tabs>
        <w:ind w:left="764" w:hanging="404"/>
        <w:jc w:val="both"/>
        <w:rPr>
          <w:sz w:val="30"/>
        </w:rPr>
      </w:pPr>
      <w:r>
        <w:rPr>
          <w:sz w:val="30"/>
        </w:rPr>
        <w:t>‹S</w:t>
      </w:r>
      <w:r>
        <w:rPr>
          <w:position w:val="-7"/>
        </w:rPr>
        <w:t>1</w:t>
      </w:r>
      <w:r>
        <w:rPr>
          <w:spacing w:val="19"/>
          <w:position w:val="-7"/>
        </w:rPr>
        <w:t xml:space="preserve"> </w:t>
      </w:r>
      <w:r>
        <w:rPr>
          <w:sz w:val="30"/>
        </w:rPr>
        <w:t>and</w:t>
      </w:r>
      <w:r>
        <w:rPr>
          <w:spacing w:val="-1"/>
          <w:sz w:val="30"/>
        </w:rPr>
        <w:t xml:space="preserve"> </w:t>
      </w:r>
      <w:r>
        <w:rPr>
          <w:sz w:val="30"/>
        </w:rPr>
        <w:t>S</w:t>
      </w:r>
      <w:r>
        <w:rPr>
          <w:position w:val="-7"/>
        </w:rPr>
        <w:t>2</w:t>
      </w:r>
      <w:r>
        <w:rPr>
          <w:spacing w:val="19"/>
          <w:position w:val="-7"/>
        </w:rPr>
        <w:t xml:space="preserve"> </w:t>
      </w:r>
      <w:r>
        <w:rPr>
          <w:sz w:val="30"/>
        </w:rPr>
        <w:t>have</w:t>
      </w:r>
      <w:r>
        <w:rPr>
          <w:spacing w:val="-2"/>
          <w:sz w:val="30"/>
        </w:rPr>
        <w:t xml:space="preserve"> </w:t>
      </w:r>
      <w:r>
        <w:rPr>
          <w:sz w:val="30"/>
        </w:rPr>
        <w:t>the</w:t>
      </w:r>
      <w:r>
        <w:rPr>
          <w:spacing w:val="-2"/>
          <w:sz w:val="30"/>
        </w:rPr>
        <w:t xml:space="preserve"> </w:t>
      </w:r>
      <w:r>
        <w:rPr>
          <w:sz w:val="30"/>
        </w:rPr>
        <w:t>same</w:t>
      </w:r>
      <w:r>
        <w:rPr>
          <w:spacing w:val="-1"/>
          <w:sz w:val="30"/>
        </w:rPr>
        <w:t xml:space="preserve"> </w:t>
      </w:r>
      <w:r>
        <w:rPr>
          <w:sz w:val="30"/>
        </w:rPr>
        <w:t>number</w:t>
      </w:r>
      <w:r>
        <w:rPr>
          <w:spacing w:val="-2"/>
          <w:sz w:val="30"/>
        </w:rPr>
        <w:t xml:space="preserve"> </w:t>
      </w:r>
      <w:r>
        <w:rPr>
          <w:sz w:val="30"/>
        </w:rPr>
        <w:t>of</w:t>
      </w:r>
      <w:r>
        <w:rPr>
          <w:spacing w:val="-2"/>
          <w:sz w:val="30"/>
        </w:rPr>
        <w:t xml:space="preserve"> members›</w:t>
      </w:r>
    </w:p>
    <w:p w14:paraId="7E000FD9" w14:textId="77777777" w:rsidR="009A58DB" w:rsidRDefault="009A58DB">
      <w:pPr>
        <w:pStyle w:val="ListParagraph"/>
        <w:jc w:val="both"/>
        <w:rPr>
          <w:sz w:val="30"/>
        </w:rPr>
        <w:sectPr w:rsidR="009A58DB">
          <w:pgSz w:w="12240" w:h="15840"/>
          <w:pgMar w:top="1380" w:right="1080" w:bottom="280" w:left="1080" w:header="720" w:footer="720" w:gutter="0"/>
          <w:cols w:space="720"/>
        </w:sectPr>
      </w:pPr>
    </w:p>
    <w:p w14:paraId="7E000FDA" w14:textId="77777777" w:rsidR="009A58DB" w:rsidRDefault="00000000">
      <w:pPr>
        <w:pStyle w:val="BodyText"/>
        <w:spacing w:before="65"/>
        <w:jc w:val="left"/>
      </w:pPr>
      <w:r>
        <w:lastRenderedPageBreak/>
        <w:t>is</w:t>
      </w:r>
      <w:r>
        <w:rPr>
          <w:spacing w:val="-4"/>
        </w:rPr>
        <w:t xml:space="preserve"> </w:t>
      </w:r>
      <w:r>
        <w:t>equivalent</w:t>
      </w:r>
      <w:r>
        <w:rPr>
          <w:spacing w:val="-4"/>
        </w:rPr>
        <w:t xml:space="preserve"> </w:t>
      </w:r>
      <w:r>
        <w:rPr>
          <w:spacing w:val="-2"/>
        </w:rPr>
        <w:t>with:</w:t>
      </w:r>
    </w:p>
    <w:p w14:paraId="7E000FDB" w14:textId="77777777" w:rsidR="009A58DB" w:rsidRDefault="009A58DB">
      <w:pPr>
        <w:pStyle w:val="BodyText"/>
        <w:spacing w:before="29"/>
        <w:ind w:left="0"/>
        <w:jc w:val="left"/>
      </w:pPr>
    </w:p>
    <w:p w14:paraId="7E000FDC" w14:textId="77777777" w:rsidR="009A58DB" w:rsidRDefault="00000000">
      <w:pPr>
        <w:pStyle w:val="ListParagraph"/>
        <w:numPr>
          <w:ilvl w:val="1"/>
          <w:numId w:val="162"/>
        </w:numPr>
        <w:tabs>
          <w:tab w:val="left" w:pos="782"/>
        </w:tabs>
        <w:spacing w:before="1"/>
        <w:ind w:left="782" w:hanging="422"/>
        <w:rPr>
          <w:sz w:val="30"/>
        </w:rPr>
      </w:pPr>
      <w:r>
        <w:rPr>
          <w:sz w:val="30"/>
        </w:rPr>
        <w:t>‹S</w:t>
      </w:r>
      <w:r>
        <w:rPr>
          <w:position w:val="-7"/>
        </w:rPr>
        <w:t>1</w:t>
      </w:r>
      <w:r>
        <w:rPr>
          <w:spacing w:val="18"/>
          <w:position w:val="-7"/>
        </w:rPr>
        <w:t xml:space="preserve"> </w:t>
      </w:r>
      <w:r>
        <w:rPr>
          <w:sz w:val="30"/>
        </w:rPr>
        <w:t>and</w:t>
      </w:r>
      <w:r>
        <w:rPr>
          <w:spacing w:val="-2"/>
          <w:sz w:val="30"/>
        </w:rPr>
        <w:t xml:space="preserve"> </w:t>
      </w:r>
      <w:r>
        <w:rPr>
          <w:sz w:val="30"/>
        </w:rPr>
        <w:t>S</w:t>
      </w:r>
      <w:r>
        <w:rPr>
          <w:position w:val="-7"/>
        </w:rPr>
        <w:t>2</w:t>
      </w:r>
      <w:r>
        <w:rPr>
          <w:spacing w:val="18"/>
          <w:position w:val="-7"/>
        </w:rPr>
        <w:t xml:space="preserve"> </w:t>
      </w:r>
      <w:r>
        <w:rPr>
          <w:sz w:val="30"/>
        </w:rPr>
        <w:t>are</w:t>
      </w:r>
      <w:r>
        <w:rPr>
          <w:spacing w:val="-2"/>
          <w:sz w:val="30"/>
        </w:rPr>
        <w:t xml:space="preserve"> </w:t>
      </w:r>
      <w:r>
        <w:rPr>
          <w:sz w:val="30"/>
        </w:rPr>
        <w:t>similar.</w:t>
      </w:r>
      <w:r>
        <w:rPr>
          <w:spacing w:val="-2"/>
          <w:sz w:val="30"/>
        </w:rPr>
        <w:t xml:space="preserve"> </w:t>
      </w:r>
      <w:r>
        <w:rPr>
          <w:spacing w:val="-10"/>
          <w:sz w:val="30"/>
        </w:rPr>
        <w:t>›</w:t>
      </w:r>
    </w:p>
    <w:p w14:paraId="7E000FDD" w14:textId="77777777" w:rsidR="009A58DB" w:rsidRDefault="009A58DB">
      <w:pPr>
        <w:pStyle w:val="BodyText"/>
        <w:spacing w:before="27"/>
        <w:ind w:left="0"/>
        <w:jc w:val="left"/>
      </w:pPr>
    </w:p>
    <w:p w14:paraId="7E000FDE" w14:textId="77777777" w:rsidR="009A58DB" w:rsidRDefault="00000000">
      <w:pPr>
        <w:pStyle w:val="BodyText"/>
        <w:spacing w:line="249" w:lineRule="auto"/>
        <w:ind w:right="365" w:firstLine="360"/>
      </w:pPr>
      <w:r>
        <w:t xml:space="preserve">Two sets are similar just in case they are both </w:t>
      </w:r>
      <w:r>
        <w:rPr>
          <w:b/>
          <w:i/>
        </w:rPr>
        <w:t xml:space="preserve">instances </w:t>
      </w:r>
      <w:r>
        <w:t>of the same number. A pair of shoes is an instance of the number two.</w:t>
      </w:r>
    </w:p>
    <w:p w14:paraId="7E000FDF" w14:textId="77777777" w:rsidR="009A58DB" w:rsidRDefault="00000000">
      <w:pPr>
        <w:pStyle w:val="BodyText"/>
        <w:spacing w:before="3" w:line="249" w:lineRule="auto"/>
        <w:ind w:right="371" w:firstLine="360"/>
      </w:pPr>
      <w:r>
        <w:t xml:space="preserve">Anything of which there are instances is </w:t>
      </w:r>
      <w:r>
        <w:rPr>
          <w:i/>
        </w:rPr>
        <w:t>ipso facto</w:t>
      </w:r>
      <w:r>
        <w:rPr>
          <w:i/>
          <w:spacing w:val="40"/>
        </w:rPr>
        <w:t xml:space="preserve"> </w:t>
      </w:r>
      <w:r>
        <w:t>a property. We may thus identify the number two with the property of being a pair of objects (i.e., with the property had by all and only pairs of objects).</w:t>
      </w:r>
    </w:p>
    <w:p w14:paraId="7E000FE0" w14:textId="77777777" w:rsidR="009A58DB" w:rsidRDefault="00000000">
      <w:pPr>
        <w:pStyle w:val="BodyText"/>
        <w:spacing w:before="3" w:line="249" w:lineRule="auto"/>
        <w:ind w:right="361" w:firstLine="360"/>
      </w:pPr>
      <w:r>
        <w:t>A pair of objects is a set S such that, for some x and some y, x is a</w:t>
      </w:r>
      <w:r>
        <w:rPr>
          <w:spacing w:val="40"/>
        </w:rPr>
        <w:t xml:space="preserve"> </w:t>
      </w:r>
      <w:r>
        <w:t>member of S and y is a member of S and x ≠</w:t>
      </w:r>
      <w:r>
        <w:rPr>
          <w:spacing w:val="-2"/>
        </w:rPr>
        <w:t xml:space="preserve"> </w:t>
      </w:r>
      <w:r>
        <w:t>y and such that, for any z, if z is a member of S, then z = x or z = y.</w:t>
      </w:r>
    </w:p>
    <w:p w14:paraId="7E000FE1" w14:textId="77777777" w:rsidR="009A58DB" w:rsidRDefault="00000000">
      <w:pPr>
        <w:pStyle w:val="BodyText"/>
        <w:spacing w:before="4" w:line="249" w:lineRule="auto"/>
        <w:ind w:right="366" w:firstLine="360"/>
      </w:pPr>
      <w:r>
        <w:t>Thus, the number two is identical with the property of being a set S such that, for some x and some y, x ≠</w:t>
      </w:r>
      <w:r>
        <w:rPr>
          <w:spacing w:val="-3"/>
        </w:rPr>
        <w:t xml:space="preserve"> </w:t>
      </w:r>
      <w:r>
        <w:t>y, and x is a member of S and y is a member of S, and for any z, if z is a member of S, then z = x or z = y.</w:t>
      </w:r>
    </w:p>
    <w:p w14:paraId="7E000FE2" w14:textId="77777777" w:rsidR="009A58DB" w:rsidRDefault="00000000">
      <w:pPr>
        <w:pStyle w:val="BodyText"/>
        <w:spacing w:before="4" w:line="249" w:lineRule="auto"/>
        <w:ind w:right="358" w:firstLine="360"/>
      </w:pPr>
      <w:r>
        <w:t>Notice that this analysis isn’t circular. “Two” is defined as “what all and only</w:t>
      </w:r>
      <w:r>
        <w:rPr>
          <w:spacing w:val="-1"/>
        </w:rPr>
        <w:t xml:space="preserve"> </w:t>
      </w:r>
      <w:r>
        <w:t>pairs</w:t>
      </w:r>
      <w:r>
        <w:rPr>
          <w:spacing w:val="-1"/>
        </w:rPr>
        <w:t xml:space="preserve"> </w:t>
      </w:r>
      <w:r>
        <w:t>of</w:t>
      </w:r>
      <w:r>
        <w:rPr>
          <w:spacing w:val="-1"/>
        </w:rPr>
        <w:t xml:space="preserve"> </w:t>
      </w:r>
      <w:r>
        <w:t>objects</w:t>
      </w:r>
      <w:r>
        <w:rPr>
          <w:spacing w:val="-1"/>
        </w:rPr>
        <w:t xml:space="preserve"> </w:t>
      </w:r>
      <w:r>
        <w:t>have</w:t>
      </w:r>
      <w:r>
        <w:rPr>
          <w:spacing w:val="-1"/>
        </w:rPr>
        <w:t xml:space="preserve"> </w:t>
      </w:r>
      <w:r>
        <w:t>in</w:t>
      </w:r>
      <w:r>
        <w:rPr>
          <w:spacing w:val="-1"/>
        </w:rPr>
        <w:t xml:space="preserve"> </w:t>
      </w:r>
      <w:r>
        <w:t>common,”</w:t>
      </w:r>
      <w:r>
        <w:rPr>
          <w:spacing w:val="-1"/>
        </w:rPr>
        <w:t xml:space="preserve"> </w:t>
      </w:r>
      <w:r>
        <w:t>and</w:t>
      </w:r>
      <w:r>
        <w:rPr>
          <w:spacing w:val="-1"/>
        </w:rPr>
        <w:t xml:space="preserve"> </w:t>
      </w:r>
      <w:r>
        <w:t>our</w:t>
      </w:r>
      <w:r>
        <w:rPr>
          <w:spacing w:val="-1"/>
        </w:rPr>
        <w:t xml:space="preserve"> </w:t>
      </w:r>
      <w:r>
        <w:t>definition</w:t>
      </w:r>
      <w:r>
        <w:rPr>
          <w:spacing w:val="-1"/>
        </w:rPr>
        <w:t xml:space="preserve"> </w:t>
      </w:r>
      <w:r>
        <w:t>of</w:t>
      </w:r>
      <w:r>
        <w:rPr>
          <w:spacing w:val="-1"/>
        </w:rPr>
        <w:t xml:space="preserve"> </w:t>
      </w:r>
      <w:r>
        <w:t>“pair</w:t>
      </w:r>
      <w:r>
        <w:rPr>
          <w:spacing w:val="-1"/>
        </w:rPr>
        <w:t xml:space="preserve"> </w:t>
      </w:r>
      <w:r>
        <w:t>of</w:t>
      </w:r>
      <w:r>
        <w:rPr>
          <w:spacing w:val="-1"/>
        </w:rPr>
        <w:t xml:space="preserve"> </w:t>
      </w:r>
      <w:r>
        <w:t>objects” uses no number expressions.</w:t>
      </w:r>
    </w:p>
    <w:p w14:paraId="7E000FE3" w14:textId="77777777" w:rsidR="009A58DB" w:rsidRDefault="00000000">
      <w:pPr>
        <w:pStyle w:val="BodyText"/>
        <w:spacing w:before="3" w:line="249" w:lineRule="auto"/>
        <w:ind w:right="358" w:firstLine="360"/>
      </w:pPr>
      <w:r>
        <w:t>Any given whole number is to be identified with a similar property. For example,</w:t>
      </w:r>
      <w:r>
        <w:rPr>
          <w:spacing w:val="-3"/>
        </w:rPr>
        <w:t xml:space="preserve"> </w:t>
      </w:r>
      <w:r>
        <w:t>the</w:t>
      </w:r>
      <w:r>
        <w:rPr>
          <w:spacing w:val="-2"/>
        </w:rPr>
        <w:t xml:space="preserve"> </w:t>
      </w:r>
      <w:r>
        <w:t>number</w:t>
      </w:r>
      <w:r>
        <w:rPr>
          <w:spacing w:val="-2"/>
        </w:rPr>
        <w:t xml:space="preserve"> </w:t>
      </w:r>
      <w:r>
        <w:t>three</w:t>
      </w:r>
      <w:r>
        <w:rPr>
          <w:spacing w:val="-2"/>
        </w:rPr>
        <w:t xml:space="preserve"> </w:t>
      </w:r>
      <w:r>
        <w:t>is</w:t>
      </w:r>
      <w:r>
        <w:rPr>
          <w:spacing w:val="-2"/>
        </w:rPr>
        <w:t xml:space="preserve"> </w:t>
      </w:r>
      <w:r>
        <w:t>the</w:t>
      </w:r>
      <w:r>
        <w:rPr>
          <w:spacing w:val="-2"/>
        </w:rPr>
        <w:t xml:space="preserve"> </w:t>
      </w:r>
      <w:r>
        <w:t>property</w:t>
      </w:r>
      <w:r>
        <w:rPr>
          <w:spacing w:val="-2"/>
        </w:rPr>
        <w:t xml:space="preserve"> </w:t>
      </w:r>
      <w:r>
        <w:t>of</w:t>
      </w:r>
      <w:r>
        <w:rPr>
          <w:spacing w:val="-2"/>
        </w:rPr>
        <w:t xml:space="preserve"> </w:t>
      </w:r>
      <w:r>
        <w:t>being</w:t>
      </w:r>
      <w:r>
        <w:rPr>
          <w:spacing w:val="-2"/>
        </w:rPr>
        <w:t xml:space="preserve"> </w:t>
      </w:r>
      <w:r>
        <w:t>a</w:t>
      </w:r>
      <w:r>
        <w:rPr>
          <w:spacing w:val="-2"/>
        </w:rPr>
        <w:t xml:space="preserve"> </w:t>
      </w:r>
      <w:r>
        <w:t>collection</w:t>
      </w:r>
      <w:r>
        <w:rPr>
          <w:spacing w:val="-2"/>
        </w:rPr>
        <w:t xml:space="preserve"> </w:t>
      </w:r>
      <w:r>
        <w:t>of</w:t>
      </w:r>
      <w:r>
        <w:rPr>
          <w:spacing w:val="-2"/>
        </w:rPr>
        <w:t xml:space="preserve"> </w:t>
      </w:r>
      <w:r>
        <w:t>three</w:t>
      </w:r>
      <w:r>
        <w:rPr>
          <w:spacing w:val="-2"/>
        </w:rPr>
        <w:t xml:space="preserve"> </w:t>
      </w:r>
      <w:r>
        <w:t>things (i.e., it is the property had by all and only such collections). Though this definition seems circular, it isn’t, since “collection of three things” can be defined without using the word “three” or any other number expression. To wit:</w:t>
      </w:r>
      <w:r>
        <w:rPr>
          <w:spacing w:val="-2"/>
        </w:rPr>
        <w:t xml:space="preserve"> </w:t>
      </w:r>
      <w:r>
        <w:t>S</w:t>
      </w:r>
      <w:r>
        <w:rPr>
          <w:spacing w:val="-2"/>
        </w:rPr>
        <w:t xml:space="preserve"> </w:t>
      </w:r>
      <w:r>
        <w:t>is</w:t>
      </w:r>
      <w:r>
        <w:rPr>
          <w:spacing w:val="-2"/>
        </w:rPr>
        <w:t xml:space="preserve"> </w:t>
      </w:r>
      <w:r>
        <w:t>a</w:t>
      </w:r>
      <w:r>
        <w:rPr>
          <w:spacing w:val="-2"/>
        </w:rPr>
        <w:t xml:space="preserve"> </w:t>
      </w:r>
      <w:r>
        <w:t>collection</w:t>
      </w:r>
      <w:r>
        <w:rPr>
          <w:spacing w:val="-2"/>
        </w:rPr>
        <w:t xml:space="preserve"> </w:t>
      </w:r>
      <w:r>
        <w:t>of</w:t>
      </w:r>
      <w:r>
        <w:rPr>
          <w:spacing w:val="-2"/>
        </w:rPr>
        <w:t xml:space="preserve"> </w:t>
      </w:r>
      <w:r>
        <w:t>three</w:t>
      </w:r>
      <w:r>
        <w:rPr>
          <w:spacing w:val="-2"/>
        </w:rPr>
        <w:t xml:space="preserve"> </w:t>
      </w:r>
      <w:r>
        <w:t>things</w:t>
      </w:r>
      <w:r>
        <w:rPr>
          <w:spacing w:val="-2"/>
        </w:rPr>
        <w:t xml:space="preserve"> </w:t>
      </w:r>
      <w:r>
        <w:t>iff</w:t>
      </w:r>
      <w:r>
        <w:rPr>
          <w:spacing w:val="-2"/>
        </w:rPr>
        <w:t xml:space="preserve"> </w:t>
      </w:r>
      <w:r>
        <w:t>there</w:t>
      </w:r>
      <w:r>
        <w:rPr>
          <w:spacing w:val="-2"/>
        </w:rPr>
        <w:t xml:space="preserve"> </w:t>
      </w:r>
      <w:r>
        <w:t>are</w:t>
      </w:r>
      <w:r>
        <w:rPr>
          <w:spacing w:val="-2"/>
        </w:rPr>
        <w:t xml:space="preserve"> </w:t>
      </w:r>
      <w:r>
        <w:t>objects</w:t>
      </w:r>
      <w:r>
        <w:rPr>
          <w:spacing w:val="-2"/>
        </w:rPr>
        <w:t xml:space="preserve"> </w:t>
      </w:r>
      <w:r>
        <w:t>x,</w:t>
      </w:r>
      <w:r>
        <w:rPr>
          <w:spacing w:val="-2"/>
        </w:rPr>
        <w:t xml:space="preserve"> </w:t>
      </w:r>
      <w:r>
        <w:t>y,</w:t>
      </w:r>
      <w:r>
        <w:rPr>
          <w:spacing w:val="-2"/>
        </w:rPr>
        <w:t xml:space="preserve"> </w:t>
      </w:r>
      <w:r>
        <w:t>and</w:t>
      </w:r>
      <w:r>
        <w:rPr>
          <w:spacing w:val="-2"/>
        </w:rPr>
        <w:t xml:space="preserve"> </w:t>
      </w:r>
      <w:r>
        <w:t>z</w:t>
      </w:r>
      <w:r>
        <w:rPr>
          <w:spacing w:val="-2"/>
        </w:rPr>
        <w:t xml:space="preserve"> </w:t>
      </w:r>
      <w:r>
        <w:t>such</w:t>
      </w:r>
      <w:r>
        <w:rPr>
          <w:spacing w:val="-2"/>
        </w:rPr>
        <w:t xml:space="preserve"> </w:t>
      </w:r>
      <w:r>
        <w:t>that</w:t>
      </w:r>
      <w:r>
        <w:rPr>
          <w:spacing w:val="-2"/>
        </w:rPr>
        <w:t xml:space="preserve"> </w:t>
      </w:r>
      <w:r>
        <w:t>x is a member of S and y is a member of S and z is a member of S; and such that</w:t>
      </w:r>
      <w:r>
        <w:rPr>
          <w:spacing w:val="-2"/>
        </w:rPr>
        <w:t xml:space="preserve"> </w:t>
      </w:r>
      <w:r>
        <w:t>x</w:t>
      </w:r>
      <w:r>
        <w:rPr>
          <w:spacing w:val="-1"/>
        </w:rPr>
        <w:t xml:space="preserve"> </w:t>
      </w:r>
      <w:r>
        <w:t>≠</w:t>
      </w:r>
      <w:r>
        <w:rPr>
          <w:spacing w:val="-2"/>
        </w:rPr>
        <w:t xml:space="preserve"> </w:t>
      </w:r>
      <w:r>
        <w:t>y</w:t>
      </w:r>
      <w:r>
        <w:rPr>
          <w:spacing w:val="-1"/>
        </w:rPr>
        <w:t xml:space="preserve"> </w:t>
      </w:r>
      <w:r>
        <w:t>and</w:t>
      </w:r>
      <w:r>
        <w:rPr>
          <w:spacing w:val="-1"/>
        </w:rPr>
        <w:t xml:space="preserve"> </w:t>
      </w:r>
      <w:r>
        <w:t>y</w:t>
      </w:r>
      <w:r>
        <w:rPr>
          <w:spacing w:val="-2"/>
        </w:rPr>
        <w:t xml:space="preserve"> </w:t>
      </w:r>
      <w:r>
        <w:t>≠</w:t>
      </w:r>
      <w:r>
        <w:rPr>
          <w:spacing w:val="-2"/>
        </w:rPr>
        <w:t xml:space="preserve"> </w:t>
      </w:r>
      <w:r>
        <w:t>z and x ≠</w:t>
      </w:r>
      <w:r>
        <w:rPr>
          <w:spacing w:val="-2"/>
        </w:rPr>
        <w:t xml:space="preserve"> </w:t>
      </w:r>
      <w:r>
        <w:t>z; and such that, for any w, if z is a member of S, then w = x or w = y or w = z. The number three is thus the property of being</w:t>
      </w:r>
      <w:r>
        <w:rPr>
          <w:spacing w:val="40"/>
        </w:rPr>
        <w:t xml:space="preserve"> </w:t>
      </w:r>
      <w:r>
        <w:t>a set of the sort just defined.</w:t>
      </w:r>
    </w:p>
    <w:p w14:paraId="7E000FE4" w14:textId="77777777" w:rsidR="009A58DB" w:rsidRDefault="00000000">
      <w:pPr>
        <w:pStyle w:val="BodyText"/>
        <w:spacing w:before="13" w:line="249" w:lineRule="auto"/>
        <w:ind w:right="360" w:firstLine="360"/>
      </w:pPr>
      <w:r>
        <w:t xml:space="preserve">The number one is the property of being a set S such that something x belongs to S and such that anything y that belongs to S is identical with x. The number zero is the property of being a set S such that nothing belongs to </w:t>
      </w:r>
      <w:r>
        <w:rPr>
          <w:spacing w:val="-6"/>
        </w:rPr>
        <w:t>S.</w:t>
      </w:r>
    </w:p>
    <w:p w14:paraId="7E000FE5" w14:textId="77777777" w:rsidR="009A58DB" w:rsidRDefault="00000000">
      <w:pPr>
        <w:pStyle w:val="BodyText"/>
        <w:spacing w:before="4"/>
        <w:ind w:left="720"/>
        <w:jc w:val="left"/>
      </w:pPr>
      <w:r>
        <w:t>In</w:t>
      </w:r>
      <w:r>
        <w:rPr>
          <w:spacing w:val="-4"/>
        </w:rPr>
        <w:t xml:space="preserve"> </w:t>
      </w:r>
      <w:r>
        <w:t>general,</w:t>
      </w:r>
      <w:r>
        <w:rPr>
          <w:spacing w:val="-2"/>
        </w:rPr>
        <w:t xml:space="preserve"> </w:t>
      </w:r>
      <w:r>
        <w:t>a</w:t>
      </w:r>
      <w:r>
        <w:rPr>
          <w:spacing w:val="-3"/>
        </w:rPr>
        <w:t xml:space="preserve"> </w:t>
      </w:r>
      <w:r>
        <w:t>whole</w:t>
      </w:r>
      <w:r>
        <w:rPr>
          <w:spacing w:val="-2"/>
        </w:rPr>
        <w:t xml:space="preserve"> </w:t>
      </w:r>
      <w:r>
        <w:t>number</w:t>
      </w:r>
      <w:r>
        <w:rPr>
          <w:spacing w:val="-3"/>
        </w:rPr>
        <w:t xml:space="preserve"> </w:t>
      </w:r>
      <w:r>
        <w:t>N</w:t>
      </w:r>
      <w:r>
        <w:rPr>
          <w:spacing w:val="-3"/>
        </w:rPr>
        <w:t xml:space="preserve"> </w:t>
      </w:r>
      <w:r>
        <w:t>is</w:t>
      </w:r>
      <w:r>
        <w:rPr>
          <w:spacing w:val="-3"/>
        </w:rPr>
        <w:t xml:space="preserve"> </w:t>
      </w:r>
      <w:r>
        <w:t>the</w:t>
      </w:r>
      <w:r>
        <w:rPr>
          <w:spacing w:val="-2"/>
        </w:rPr>
        <w:t xml:space="preserve"> </w:t>
      </w:r>
      <w:r>
        <w:t>property</w:t>
      </w:r>
      <w:r>
        <w:rPr>
          <w:spacing w:val="-2"/>
        </w:rPr>
        <w:t xml:space="preserve"> </w:t>
      </w:r>
      <w:r>
        <w:t>of</w:t>
      </w:r>
      <w:r>
        <w:rPr>
          <w:spacing w:val="-3"/>
        </w:rPr>
        <w:t xml:space="preserve"> </w:t>
      </w:r>
      <w:r>
        <w:t>being</w:t>
      </w:r>
      <w:r>
        <w:rPr>
          <w:spacing w:val="-2"/>
        </w:rPr>
        <w:t xml:space="preserve"> </w:t>
      </w:r>
      <w:r>
        <w:t>an</w:t>
      </w:r>
      <w:r>
        <w:rPr>
          <w:spacing w:val="-1"/>
        </w:rPr>
        <w:t xml:space="preserve"> </w:t>
      </w:r>
      <w:r>
        <w:t>N-</w:t>
      </w:r>
      <w:r>
        <w:rPr>
          <w:spacing w:val="-2"/>
        </w:rPr>
        <w:t>tuple.</w:t>
      </w:r>
    </w:p>
    <w:p w14:paraId="7E000FE6" w14:textId="77777777" w:rsidR="009A58DB" w:rsidRDefault="009A58DB">
      <w:pPr>
        <w:pStyle w:val="BodyText"/>
        <w:jc w:val="left"/>
        <w:sectPr w:rsidR="009A58DB">
          <w:pgSz w:w="12240" w:h="15840"/>
          <w:pgMar w:top="1740" w:right="1080" w:bottom="280" w:left="1080" w:header="720" w:footer="720" w:gutter="0"/>
          <w:cols w:space="720"/>
        </w:sectPr>
      </w:pPr>
    </w:p>
    <w:p w14:paraId="7E000FE7" w14:textId="77777777" w:rsidR="009A58DB" w:rsidRDefault="00000000">
      <w:pPr>
        <w:pStyle w:val="Heading1"/>
        <w:numPr>
          <w:ilvl w:val="1"/>
          <w:numId w:val="166"/>
        </w:numPr>
        <w:tabs>
          <w:tab w:val="left" w:pos="990"/>
        </w:tabs>
        <w:spacing w:before="58"/>
      </w:pPr>
      <w:r>
        <w:lastRenderedPageBreak/>
        <w:t>Numbers</w:t>
      </w:r>
      <w:r>
        <w:rPr>
          <w:spacing w:val="-7"/>
        </w:rPr>
        <w:t xml:space="preserve"> </w:t>
      </w:r>
      <w:r>
        <w:t>as</w:t>
      </w:r>
      <w:r>
        <w:rPr>
          <w:spacing w:val="-4"/>
        </w:rPr>
        <w:t xml:space="preserve"> </w:t>
      </w:r>
      <w:r>
        <w:t>properties</w:t>
      </w:r>
      <w:r>
        <w:rPr>
          <w:spacing w:val="-5"/>
        </w:rPr>
        <w:t xml:space="preserve"> </w:t>
      </w:r>
      <w:r>
        <w:t>of</w:t>
      </w:r>
      <w:r>
        <w:rPr>
          <w:spacing w:val="-4"/>
        </w:rPr>
        <w:t xml:space="preserve"> </w:t>
      </w:r>
      <w:r>
        <w:rPr>
          <w:spacing w:val="-2"/>
        </w:rPr>
        <w:t>properties</w:t>
      </w:r>
    </w:p>
    <w:p w14:paraId="7E000FE8" w14:textId="77777777" w:rsidR="009A58DB" w:rsidRDefault="00000000">
      <w:pPr>
        <w:pStyle w:val="BodyText"/>
        <w:spacing w:before="139"/>
        <w:jc w:val="left"/>
      </w:pPr>
      <w:r>
        <w:rPr>
          <w:spacing w:val="-5"/>
        </w:rPr>
        <w:t>In</w:t>
      </w:r>
    </w:p>
    <w:p w14:paraId="7E000FE9" w14:textId="77777777" w:rsidR="009A58DB" w:rsidRDefault="009A58DB">
      <w:pPr>
        <w:pStyle w:val="BodyText"/>
        <w:spacing w:before="30"/>
        <w:ind w:left="0"/>
        <w:jc w:val="left"/>
      </w:pPr>
    </w:p>
    <w:p w14:paraId="7E000FEA" w14:textId="77777777" w:rsidR="009A58DB" w:rsidRDefault="00000000">
      <w:pPr>
        <w:pStyle w:val="BodyText"/>
        <w:jc w:val="left"/>
      </w:pPr>
      <w:r>
        <w:t>(JG)</w:t>
      </w:r>
      <w:r>
        <w:rPr>
          <w:spacing w:val="-4"/>
        </w:rPr>
        <w:t xml:space="preserve"> </w:t>
      </w:r>
      <w:r>
        <w:t>“Jim</w:t>
      </w:r>
      <w:r>
        <w:rPr>
          <w:spacing w:val="-3"/>
        </w:rPr>
        <w:t xml:space="preserve"> </w:t>
      </w:r>
      <w:r>
        <w:t>has</w:t>
      </w:r>
      <w:r>
        <w:rPr>
          <w:spacing w:val="-4"/>
        </w:rPr>
        <w:t xml:space="preserve"> </w:t>
      </w:r>
      <w:r>
        <w:t>green</w:t>
      </w:r>
      <w:r>
        <w:rPr>
          <w:spacing w:val="-2"/>
        </w:rPr>
        <w:t xml:space="preserve"> apples,”</w:t>
      </w:r>
    </w:p>
    <w:p w14:paraId="7E000FEB" w14:textId="77777777" w:rsidR="009A58DB" w:rsidRDefault="009A58DB">
      <w:pPr>
        <w:pStyle w:val="BodyText"/>
        <w:spacing w:before="30"/>
        <w:ind w:left="0"/>
        <w:jc w:val="left"/>
      </w:pPr>
    </w:p>
    <w:p w14:paraId="7E000FEC" w14:textId="77777777" w:rsidR="009A58DB" w:rsidRDefault="00000000">
      <w:pPr>
        <w:pStyle w:val="BodyText"/>
        <w:jc w:val="left"/>
      </w:pPr>
      <w:r>
        <w:t>the</w:t>
      </w:r>
      <w:r>
        <w:rPr>
          <w:spacing w:val="23"/>
        </w:rPr>
        <w:t xml:space="preserve"> </w:t>
      </w:r>
      <w:r>
        <w:t>word</w:t>
      </w:r>
      <w:r>
        <w:rPr>
          <w:spacing w:val="25"/>
        </w:rPr>
        <w:t xml:space="preserve"> </w:t>
      </w:r>
      <w:r>
        <w:t>“green”</w:t>
      </w:r>
      <w:r>
        <w:rPr>
          <w:spacing w:val="25"/>
        </w:rPr>
        <w:t xml:space="preserve"> </w:t>
      </w:r>
      <w:r>
        <w:t>picks</w:t>
      </w:r>
      <w:r>
        <w:rPr>
          <w:spacing w:val="26"/>
        </w:rPr>
        <w:t xml:space="preserve"> </w:t>
      </w:r>
      <w:r>
        <w:t>out</w:t>
      </w:r>
      <w:r>
        <w:rPr>
          <w:spacing w:val="25"/>
        </w:rPr>
        <w:t xml:space="preserve"> </w:t>
      </w:r>
      <w:r>
        <w:t>a</w:t>
      </w:r>
      <w:r>
        <w:rPr>
          <w:spacing w:val="25"/>
        </w:rPr>
        <w:t xml:space="preserve"> </w:t>
      </w:r>
      <w:r>
        <w:t>property</w:t>
      </w:r>
      <w:r>
        <w:rPr>
          <w:spacing w:val="26"/>
        </w:rPr>
        <w:t xml:space="preserve"> </w:t>
      </w:r>
      <w:r>
        <w:t>that</w:t>
      </w:r>
      <w:r>
        <w:rPr>
          <w:spacing w:val="25"/>
        </w:rPr>
        <w:t xml:space="preserve"> </w:t>
      </w:r>
      <w:r>
        <w:t>can</w:t>
      </w:r>
      <w:r>
        <w:rPr>
          <w:spacing w:val="25"/>
        </w:rPr>
        <w:t xml:space="preserve"> </w:t>
      </w:r>
      <w:r>
        <w:t>be</w:t>
      </w:r>
      <w:r>
        <w:rPr>
          <w:spacing w:val="26"/>
        </w:rPr>
        <w:t xml:space="preserve"> </w:t>
      </w:r>
      <w:r>
        <w:t>had</w:t>
      </w:r>
      <w:r>
        <w:rPr>
          <w:spacing w:val="25"/>
        </w:rPr>
        <w:t xml:space="preserve"> </w:t>
      </w:r>
      <w:r>
        <w:t>by</w:t>
      </w:r>
      <w:r>
        <w:rPr>
          <w:spacing w:val="25"/>
        </w:rPr>
        <w:t xml:space="preserve"> </w:t>
      </w:r>
      <w:r>
        <w:t>individual</w:t>
      </w:r>
      <w:r>
        <w:rPr>
          <w:spacing w:val="26"/>
        </w:rPr>
        <w:t xml:space="preserve"> </w:t>
      </w:r>
      <w:r>
        <w:rPr>
          <w:spacing w:val="-2"/>
        </w:rPr>
        <w:t>apples.</w:t>
      </w:r>
    </w:p>
    <w:p w14:paraId="7E000FED" w14:textId="77777777" w:rsidR="009A58DB" w:rsidRDefault="00000000">
      <w:pPr>
        <w:pStyle w:val="BodyText"/>
        <w:spacing w:before="15"/>
        <w:jc w:val="left"/>
      </w:pPr>
      <w:r>
        <w:t>But</w:t>
      </w:r>
      <w:r>
        <w:rPr>
          <w:spacing w:val="-2"/>
        </w:rPr>
        <w:t xml:space="preserve"> </w:t>
      </w:r>
      <w:r>
        <w:rPr>
          <w:spacing w:val="-5"/>
        </w:rPr>
        <w:t>in</w:t>
      </w:r>
    </w:p>
    <w:p w14:paraId="7E000FEE" w14:textId="77777777" w:rsidR="009A58DB" w:rsidRDefault="009A58DB">
      <w:pPr>
        <w:pStyle w:val="BodyText"/>
        <w:spacing w:before="30"/>
        <w:ind w:left="0"/>
        <w:jc w:val="left"/>
      </w:pPr>
    </w:p>
    <w:p w14:paraId="7E000FEF" w14:textId="77777777" w:rsidR="009A58DB" w:rsidRDefault="00000000">
      <w:pPr>
        <w:pStyle w:val="BodyText"/>
        <w:jc w:val="left"/>
      </w:pPr>
      <w:r>
        <w:t>(J</w:t>
      </w:r>
      <w:r>
        <w:rPr>
          <w:vertAlign w:val="subscript"/>
        </w:rPr>
        <w:t>0</w:t>
      </w:r>
      <w:r>
        <w:t>)</w:t>
      </w:r>
      <w:r>
        <w:rPr>
          <w:spacing w:val="1"/>
        </w:rPr>
        <w:t xml:space="preserve"> </w:t>
      </w:r>
      <w:r>
        <w:t>“Jim</w:t>
      </w:r>
      <w:r>
        <w:rPr>
          <w:spacing w:val="2"/>
        </w:rPr>
        <w:t xml:space="preserve"> </w:t>
      </w:r>
      <w:r>
        <w:t>has</w:t>
      </w:r>
      <w:r>
        <w:rPr>
          <w:spacing w:val="2"/>
        </w:rPr>
        <w:t xml:space="preserve"> </w:t>
      </w:r>
      <w:r>
        <w:t>zero</w:t>
      </w:r>
      <w:r>
        <w:rPr>
          <w:spacing w:val="2"/>
        </w:rPr>
        <w:t xml:space="preserve"> </w:t>
      </w:r>
      <w:r>
        <w:rPr>
          <w:spacing w:val="-2"/>
        </w:rPr>
        <w:t>apples,”</w:t>
      </w:r>
    </w:p>
    <w:p w14:paraId="7E000FF0" w14:textId="77777777" w:rsidR="009A58DB" w:rsidRDefault="009A58DB">
      <w:pPr>
        <w:pStyle w:val="BodyText"/>
        <w:spacing w:before="90"/>
        <w:ind w:left="0"/>
        <w:jc w:val="left"/>
      </w:pPr>
    </w:p>
    <w:p w14:paraId="7E000FF1" w14:textId="77777777" w:rsidR="009A58DB" w:rsidRDefault="00000000">
      <w:pPr>
        <w:pStyle w:val="BodyText"/>
        <w:spacing w:line="271" w:lineRule="auto"/>
        <w:ind w:right="358" w:firstLine="360"/>
      </w:pPr>
      <w:r>
        <w:t>the</w:t>
      </w:r>
      <w:r>
        <w:rPr>
          <w:spacing w:val="-1"/>
        </w:rPr>
        <w:t xml:space="preserve"> </w:t>
      </w:r>
      <w:r>
        <w:t>word</w:t>
      </w:r>
      <w:r>
        <w:rPr>
          <w:spacing w:val="-1"/>
        </w:rPr>
        <w:t xml:space="preserve"> </w:t>
      </w:r>
      <w:r>
        <w:t>“zero”</w:t>
      </w:r>
      <w:r>
        <w:rPr>
          <w:spacing w:val="-1"/>
        </w:rPr>
        <w:t xml:space="preserve"> </w:t>
      </w:r>
      <w:r>
        <w:t>can’t</w:t>
      </w:r>
      <w:r>
        <w:rPr>
          <w:spacing w:val="-1"/>
        </w:rPr>
        <w:t xml:space="preserve"> </w:t>
      </w:r>
      <w:r>
        <w:t>possibly</w:t>
      </w:r>
      <w:r>
        <w:rPr>
          <w:spacing w:val="-1"/>
        </w:rPr>
        <w:t xml:space="preserve"> </w:t>
      </w:r>
      <w:r>
        <w:t>pick</w:t>
      </w:r>
      <w:r>
        <w:rPr>
          <w:spacing w:val="-1"/>
        </w:rPr>
        <w:t xml:space="preserve"> </w:t>
      </w:r>
      <w:r>
        <w:t>out</w:t>
      </w:r>
      <w:r>
        <w:rPr>
          <w:spacing w:val="-1"/>
        </w:rPr>
        <w:t xml:space="preserve"> </w:t>
      </w:r>
      <w:r>
        <w:t>such</w:t>
      </w:r>
      <w:r>
        <w:rPr>
          <w:spacing w:val="-1"/>
        </w:rPr>
        <w:t xml:space="preserve"> </w:t>
      </w:r>
      <w:r>
        <w:t>a</w:t>
      </w:r>
      <w:r>
        <w:rPr>
          <w:spacing w:val="-1"/>
        </w:rPr>
        <w:t xml:space="preserve"> </w:t>
      </w:r>
      <w:r>
        <w:t>property.</w:t>
      </w:r>
      <w:r>
        <w:rPr>
          <w:spacing w:val="-1"/>
        </w:rPr>
        <w:t xml:space="preserve"> </w:t>
      </w:r>
      <w:r>
        <w:t>Let’s</w:t>
      </w:r>
      <w:r>
        <w:rPr>
          <w:spacing w:val="-1"/>
        </w:rPr>
        <w:t xml:space="preserve"> </w:t>
      </w:r>
      <w:r>
        <w:t>suppose</w:t>
      </w:r>
      <w:r>
        <w:rPr>
          <w:spacing w:val="-1"/>
        </w:rPr>
        <w:t xml:space="preserve"> </w:t>
      </w:r>
      <w:r>
        <w:t>that J</w:t>
      </w:r>
      <w:r>
        <w:rPr>
          <w:vertAlign w:val="subscript"/>
        </w:rPr>
        <w:t>0</w:t>
      </w:r>
      <w:r>
        <w:t xml:space="preserve"> is correct. In that case, Jim has </w:t>
      </w:r>
      <w:r>
        <w:rPr>
          <w:i/>
        </w:rPr>
        <w:t xml:space="preserve">no </w:t>
      </w:r>
      <w:r>
        <w:t xml:space="preserve">apples. </w:t>
      </w:r>
      <w:r>
        <w:rPr>
          <w:i/>
        </w:rPr>
        <w:t xml:space="preserve">A fortiori </w:t>
      </w:r>
      <w:r>
        <w:t>he has no apples</w:t>
      </w:r>
      <w:r>
        <w:rPr>
          <w:spacing w:val="40"/>
        </w:rPr>
        <w:t xml:space="preserve"> </w:t>
      </w:r>
      <w:r>
        <w:t>having this or that property.</w:t>
      </w:r>
    </w:p>
    <w:p w14:paraId="7E000FF2" w14:textId="77777777" w:rsidR="009A58DB" w:rsidRDefault="00000000">
      <w:pPr>
        <w:pStyle w:val="BodyText"/>
        <w:spacing w:line="316" w:lineRule="exact"/>
        <w:ind w:left="720"/>
      </w:pPr>
      <w:r>
        <w:t>In</w:t>
      </w:r>
      <w:r>
        <w:rPr>
          <w:spacing w:val="-1"/>
        </w:rPr>
        <w:t xml:space="preserve"> </w:t>
      </w:r>
      <w:r>
        <w:t>J</w:t>
      </w:r>
      <w:r>
        <w:rPr>
          <w:vertAlign w:val="subscript"/>
        </w:rPr>
        <w:t>0</w:t>
      </w:r>
      <w:r>
        <w:t>,</w:t>
      </w:r>
      <w:r>
        <w:rPr>
          <w:spacing w:val="-1"/>
        </w:rPr>
        <w:t xml:space="preserve"> </w:t>
      </w:r>
      <w:r>
        <w:t>the</w:t>
      </w:r>
      <w:r>
        <w:rPr>
          <w:spacing w:val="-1"/>
        </w:rPr>
        <w:t xml:space="preserve"> </w:t>
      </w:r>
      <w:r>
        <w:t>word</w:t>
      </w:r>
      <w:r>
        <w:rPr>
          <w:spacing w:val="-1"/>
        </w:rPr>
        <w:t xml:space="preserve"> </w:t>
      </w:r>
      <w:r>
        <w:t>“zero”</w:t>
      </w:r>
      <w:r>
        <w:rPr>
          <w:spacing w:val="-2"/>
        </w:rPr>
        <w:t xml:space="preserve"> </w:t>
      </w:r>
      <w:r>
        <w:t>denotes</w:t>
      </w:r>
      <w:r>
        <w:rPr>
          <w:spacing w:val="-1"/>
        </w:rPr>
        <w:t xml:space="preserve"> </w:t>
      </w:r>
      <w:r>
        <w:t>a</w:t>
      </w:r>
      <w:r>
        <w:rPr>
          <w:spacing w:val="-2"/>
        </w:rPr>
        <w:t xml:space="preserve"> </w:t>
      </w:r>
      <w:r>
        <w:t>second-order</w:t>
      </w:r>
      <w:r>
        <w:rPr>
          <w:spacing w:val="-2"/>
        </w:rPr>
        <w:t xml:space="preserve"> </w:t>
      </w:r>
      <w:r>
        <w:t>property—that</w:t>
      </w:r>
      <w:r>
        <w:rPr>
          <w:spacing w:val="-1"/>
        </w:rPr>
        <w:t xml:space="preserve"> </w:t>
      </w:r>
      <w:r>
        <w:t>is,</w:t>
      </w:r>
      <w:r>
        <w:rPr>
          <w:spacing w:val="-1"/>
        </w:rPr>
        <w:t xml:space="preserve"> </w:t>
      </w:r>
      <w:r>
        <w:t>it</w:t>
      </w:r>
      <w:r>
        <w:rPr>
          <w:spacing w:val="-2"/>
        </w:rPr>
        <w:t xml:space="preserve"> denotes</w:t>
      </w:r>
    </w:p>
    <w:p w14:paraId="7E000FF3" w14:textId="77777777" w:rsidR="009A58DB" w:rsidRDefault="00000000">
      <w:pPr>
        <w:pStyle w:val="BodyText"/>
        <w:spacing w:before="75" w:line="249" w:lineRule="auto"/>
        <w:ind w:right="707"/>
      </w:pPr>
      <w:r>
        <w:t>a</w:t>
      </w:r>
      <w:r>
        <w:rPr>
          <w:spacing w:val="-4"/>
        </w:rPr>
        <w:t xml:space="preserve"> </w:t>
      </w:r>
      <w:r>
        <w:t>property</w:t>
      </w:r>
      <w:r>
        <w:rPr>
          <w:spacing w:val="-3"/>
        </w:rPr>
        <w:t xml:space="preserve"> </w:t>
      </w:r>
      <w:r>
        <w:t>of</w:t>
      </w:r>
      <w:r>
        <w:rPr>
          <w:spacing w:val="-4"/>
        </w:rPr>
        <w:t xml:space="preserve"> </w:t>
      </w:r>
      <w:r>
        <w:t>a</w:t>
      </w:r>
      <w:r>
        <w:rPr>
          <w:spacing w:val="-4"/>
        </w:rPr>
        <w:t xml:space="preserve"> </w:t>
      </w:r>
      <w:r>
        <w:t>property.</w:t>
      </w:r>
      <w:r>
        <w:rPr>
          <w:spacing w:val="-3"/>
        </w:rPr>
        <w:t xml:space="preserve"> </w:t>
      </w:r>
      <w:r>
        <w:t>More</w:t>
      </w:r>
      <w:r>
        <w:rPr>
          <w:spacing w:val="-4"/>
        </w:rPr>
        <w:t xml:space="preserve"> </w:t>
      </w:r>
      <w:r>
        <w:t>specifically,</w:t>
      </w:r>
      <w:r>
        <w:rPr>
          <w:spacing w:val="-3"/>
        </w:rPr>
        <w:t xml:space="preserve"> </w:t>
      </w:r>
      <w:r>
        <w:t>it</w:t>
      </w:r>
      <w:r>
        <w:rPr>
          <w:spacing w:val="-4"/>
        </w:rPr>
        <w:t xml:space="preserve"> </w:t>
      </w:r>
      <w:r>
        <w:t>denotes</w:t>
      </w:r>
      <w:r>
        <w:rPr>
          <w:spacing w:val="-4"/>
        </w:rPr>
        <w:t xml:space="preserve"> </w:t>
      </w:r>
      <w:r>
        <w:t>the</w:t>
      </w:r>
      <w:r>
        <w:rPr>
          <w:spacing w:val="-4"/>
        </w:rPr>
        <w:t xml:space="preserve"> </w:t>
      </w:r>
      <w:r>
        <w:t>property</w:t>
      </w:r>
      <w:r>
        <w:rPr>
          <w:spacing w:val="-3"/>
        </w:rPr>
        <w:t xml:space="preserve"> </w:t>
      </w:r>
      <w:r>
        <w:t>of</w:t>
      </w:r>
      <w:r>
        <w:rPr>
          <w:spacing w:val="-4"/>
        </w:rPr>
        <w:t xml:space="preserve"> </w:t>
      </w:r>
      <w:r>
        <w:t>being an uninstantiated property. Thus, J</w:t>
      </w:r>
      <w:r>
        <w:rPr>
          <w:vertAlign w:val="subscript"/>
        </w:rPr>
        <w:t>0</w:t>
      </w:r>
      <w:r>
        <w:t xml:space="preserve"> says that:</w:t>
      </w:r>
    </w:p>
    <w:p w14:paraId="7E000FF4" w14:textId="77777777" w:rsidR="009A58DB" w:rsidRDefault="009A58DB">
      <w:pPr>
        <w:pStyle w:val="BodyText"/>
        <w:spacing w:before="77"/>
        <w:ind w:left="0"/>
        <w:jc w:val="left"/>
      </w:pPr>
    </w:p>
    <w:p w14:paraId="7E000FF5" w14:textId="77777777" w:rsidR="009A58DB" w:rsidRDefault="00000000">
      <w:pPr>
        <w:pStyle w:val="BodyText"/>
        <w:spacing w:line="249" w:lineRule="auto"/>
        <w:jc w:val="left"/>
      </w:pPr>
      <w:r>
        <w:t>(J</w:t>
      </w:r>
      <w:r>
        <w:rPr>
          <w:vertAlign w:val="subscript"/>
        </w:rPr>
        <w:t>0</w:t>
      </w:r>
      <w:r>
        <w:rPr>
          <w:position w:val="-7"/>
          <w:sz w:val="22"/>
        </w:rPr>
        <w:t>*</w:t>
      </w:r>
      <w:r>
        <w:t>)</w:t>
      </w:r>
      <w:r>
        <w:rPr>
          <w:spacing w:val="40"/>
        </w:rPr>
        <w:t xml:space="preserve"> </w:t>
      </w:r>
      <w:r>
        <w:t>The</w:t>
      </w:r>
      <w:r>
        <w:rPr>
          <w:spacing w:val="40"/>
        </w:rPr>
        <w:t xml:space="preserve"> </w:t>
      </w:r>
      <w:r>
        <w:t>property</w:t>
      </w:r>
      <w:r>
        <w:rPr>
          <w:spacing w:val="40"/>
        </w:rPr>
        <w:t xml:space="preserve"> </w:t>
      </w:r>
      <w:r>
        <w:t>of</w:t>
      </w:r>
      <w:r>
        <w:rPr>
          <w:spacing w:val="40"/>
        </w:rPr>
        <w:t xml:space="preserve"> </w:t>
      </w:r>
      <w:r>
        <w:t>being</w:t>
      </w:r>
      <w:r>
        <w:rPr>
          <w:spacing w:val="40"/>
        </w:rPr>
        <w:t xml:space="preserve"> </w:t>
      </w:r>
      <w:r>
        <w:t>an</w:t>
      </w:r>
      <w:r>
        <w:rPr>
          <w:spacing w:val="40"/>
        </w:rPr>
        <w:t xml:space="preserve"> </w:t>
      </w:r>
      <w:r>
        <w:t>apple</w:t>
      </w:r>
      <w:r>
        <w:rPr>
          <w:spacing w:val="40"/>
        </w:rPr>
        <w:t xml:space="preserve"> </w:t>
      </w:r>
      <w:r>
        <w:t>belonging</w:t>
      </w:r>
      <w:r>
        <w:rPr>
          <w:spacing w:val="40"/>
        </w:rPr>
        <w:t xml:space="preserve"> </w:t>
      </w:r>
      <w:r>
        <w:t>to</w:t>
      </w:r>
      <w:r>
        <w:rPr>
          <w:spacing w:val="40"/>
        </w:rPr>
        <w:t xml:space="preserve"> </w:t>
      </w:r>
      <w:r>
        <w:t>Jim</w:t>
      </w:r>
      <w:r>
        <w:rPr>
          <w:spacing w:val="40"/>
        </w:rPr>
        <w:t xml:space="preserve"> </w:t>
      </w:r>
      <w:r>
        <w:t>has</w:t>
      </w:r>
      <w:r>
        <w:rPr>
          <w:spacing w:val="40"/>
        </w:rPr>
        <w:t xml:space="preserve"> </w:t>
      </w:r>
      <w:r>
        <w:t>the</w:t>
      </w:r>
      <w:r>
        <w:rPr>
          <w:spacing w:val="40"/>
        </w:rPr>
        <w:t xml:space="preserve"> </w:t>
      </w:r>
      <w:r>
        <w:t>property</w:t>
      </w:r>
      <w:r>
        <w:rPr>
          <w:spacing w:val="40"/>
        </w:rPr>
        <w:t xml:space="preserve"> </w:t>
      </w:r>
      <w:r>
        <w:t>of being an uninstantiated property.</w:t>
      </w:r>
    </w:p>
    <w:p w14:paraId="7E000FF6" w14:textId="77777777" w:rsidR="009A58DB" w:rsidRDefault="009A58DB">
      <w:pPr>
        <w:pStyle w:val="BodyText"/>
        <w:spacing w:before="15"/>
        <w:ind w:left="0"/>
        <w:jc w:val="left"/>
      </w:pPr>
    </w:p>
    <w:p w14:paraId="7E000FF7" w14:textId="77777777" w:rsidR="009A58DB" w:rsidRDefault="00000000">
      <w:pPr>
        <w:pStyle w:val="BodyText"/>
        <w:spacing w:line="249" w:lineRule="auto"/>
        <w:ind w:right="365"/>
        <w:jc w:val="left"/>
      </w:pPr>
      <w:r>
        <w:t>A</w:t>
      </w:r>
      <w:r>
        <w:rPr>
          <w:spacing w:val="-1"/>
        </w:rPr>
        <w:t xml:space="preserve"> </w:t>
      </w:r>
      <w:r>
        <w:t>moment’s</w:t>
      </w:r>
      <w:r>
        <w:rPr>
          <w:spacing w:val="-1"/>
        </w:rPr>
        <w:t xml:space="preserve"> </w:t>
      </w:r>
      <w:r>
        <w:t>reflection makes</w:t>
      </w:r>
      <w:r>
        <w:rPr>
          <w:spacing w:val="-1"/>
        </w:rPr>
        <w:t xml:space="preserve"> </w:t>
      </w:r>
      <w:r>
        <w:t>it</w:t>
      </w:r>
      <w:r>
        <w:rPr>
          <w:spacing w:val="-1"/>
        </w:rPr>
        <w:t xml:space="preserve"> </w:t>
      </w:r>
      <w:r>
        <w:t>clear</w:t>
      </w:r>
      <w:r>
        <w:rPr>
          <w:spacing w:val="-1"/>
        </w:rPr>
        <w:t xml:space="preserve"> </w:t>
      </w:r>
      <w:r>
        <w:t>that</w:t>
      </w:r>
      <w:r>
        <w:rPr>
          <w:spacing w:val="-1"/>
        </w:rPr>
        <w:t xml:space="preserve"> </w:t>
      </w:r>
      <w:r>
        <w:t>J</w:t>
      </w:r>
      <w:r>
        <w:rPr>
          <w:vertAlign w:val="subscript"/>
        </w:rPr>
        <w:t>0</w:t>
      </w:r>
      <w:r>
        <w:rPr>
          <w:position w:val="-7"/>
          <w:sz w:val="22"/>
        </w:rPr>
        <w:t>*</w:t>
      </w:r>
      <w:r>
        <w:rPr>
          <w:spacing w:val="20"/>
          <w:position w:val="-7"/>
          <w:sz w:val="22"/>
        </w:rPr>
        <w:t xml:space="preserve"> </w:t>
      </w:r>
      <w:r>
        <w:t>and J</w:t>
      </w:r>
      <w:r>
        <w:rPr>
          <w:vertAlign w:val="subscript"/>
        </w:rPr>
        <w:t>0</w:t>
      </w:r>
      <w:r>
        <w:t xml:space="preserve"> do indeed say the</w:t>
      </w:r>
      <w:r>
        <w:rPr>
          <w:spacing w:val="-1"/>
        </w:rPr>
        <w:t xml:space="preserve"> </w:t>
      </w:r>
      <w:r>
        <w:t>very same thing.</w:t>
      </w:r>
    </w:p>
    <w:p w14:paraId="7E000FF8" w14:textId="77777777" w:rsidR="009A58DB" w:rsidRDefault="009A58DB">
      <w:pPr>
        <w:pStyle w:val="BodyText"/>
        <w:spacing w:before="15"/>
        <w:ind w:left="0"/>
        <w:jc w:val="left"/>
      </w:pPr>
    </w:p>
    <w:p w14:paraId="7E000FF9" w14:textId="77777777" w:rsidR="009A58DB" w:rsidRDefault="00000000">
      <w:pPr>
        <w:pStyle w:val="BodyText"/>
        <w:spacing w:line="249" w:lineRule="auto"/>
        <w:ind w:right="365" w:firstLine="360"/>
        <w:jc w:val="left"/>
      </w:pPr>
      <w:r>
        <w:t>Whenever</w:t>
      </w:r>
      <w:r>
        <w:rPr>
          <w:spacing w:val="-8"/>
        </w:rPr>
        <w:t xml:space="preserve"> </w:t>
      </w:r>
      <w:r>
        <w:t>number-expressions</w:t>
      </w:r>
      <w:r>
        <w:rPr>
          <w:spacing w:val="-8"/>
        </w:rPr>
        <w:t xml:space="preserve"> </w:t>
      </w:r>
      <w:r>
        <w:t>function</w:t>
      </w:r>
      <w:r>
        <w:rPr>
          <w:spacing w:val="-7"/>
        </w:rPr>
        <w:t xml:space="preserve"> </w:t>
      </w:r>
      <w:r>
        <w:t>as</w:t>
      </w:r>
      <w:r>
        <w:rPr>
          <w:spacing w:val="-8"/>
        </w:rPr>
        <w:t xml:space="preserve"> </w:t>
      </w:r>
      <w:r>
        <w:t>adjectives,</w:t>
      </w:r>
      <w:r>
        <w:rPr>
          <w:spacing w:val="-7"/>
        </w:rPr>
        <w:t xml:space="preserve"> </w:t>
      </w:r>
      <w:r>
        <w:t>they</w:t>
      </w:r>
      <w:r>
        <w:rPr>
          <w:spacing w:val="-7"/>
        </w:rPr>
        <w:t xml:space="preserve"> </w:t>
      </w:r>
      <w:r>
        <w:t>denote properties of properties. To take another example, in</w:t>
      </w:r>
    </w:p>
    <w:p w14:paraId="7E000FFA" w14:textId="77777777" w:rsidR="009A58DB" w:rsidRDefault="009A58DB">
      <w:pPr>
        <w:pStyle w:val="BodyText"/>
        <w:spacing w:before="17"/>
        <w:ind w:left="0"/>
        <w:jc w:val="left"/>
      </w:pPr>
    </w:p>
    <w:p w14:paraId="7E000FFB" w14:textId="77777777" w:rsidR="009A58DB" w:rsidRDefault="00000000">
      <w:pPr>
        <w:pStyle w:val="BodyText"/>
        <w:spacing w:before="1"/>
        <w:jc w:val="left"/>
      </w:pPr>
      <w:r>
        <w:t>(J</w:t>
      </w:r>
      <w:r>
        <w:rPr>
          <w:vertAlign w:val="subscript"/>
        </w:rPr>
        <w:t>2</w:t>
      </w:r>
      <w:r>
        <w:t>)</w:t>
      </w:r>
      <w:r>
        <w:rPr>
          <w:spacing w:val="1"/>
        </w:rPr>
        <w:t xml:space="preserve"> </w:t>
      </w:r>
      <w:r>
        <w:t>“Jim</w:t>
      </w:r>
      <w:r>
        <w:rPr>
          <w:spacing w:val="2"/>
        </w:rPr>
        <w:t xml:space="preserve"> </w:t>
      </w:r>
      <w:r>
        <w:t>has</w:t>
      </w:r>
      <w:r>
        <w:rPr>
          <w:spacing w:val="2"/>
        </w:rPr>
        <w:t xml:space="preserve"> </w:t>
      </w:r>
      <w:r>
        <w:t>two</w:t>
      </w:r>
      <w:r>
        <w:rPr>
          <w:spacing w:val="3"/>
        </w:rPr>
        <w:t xml:space="preserve"> </w:t>
      </w:r>
      <w:r>
        <w:rPr>
          <w:spacing w:val="-2"/>
        </w:rPr>
        <w:t>apples”</w:t>
      </w:r>
    </w:p>
    <w:p w14:paraId="7E000FFC" w14:textId="77777777" w:rsidR="009A58DB" w:rsidRDefault="009A58DB">
      <w:pPr>
        <w:pStyle w:val="BodyText"/>
        <w:spacing w:before="89"/>
        <w:ind w:left="0"/>
        <w:jc w:val="left"/>
      </w:pPr>
    </w:p>
    <w:p w14:paraId="7E000FFD" w14:textId="77777777" w:rsidR="009A58DB" w:rsidRDefault="00000000">
      <w:pPr>
        <w:pStyle w:val="BodyText"/>
        <w:spacing w:before="1" w:line="271" w:lineRule="auto"/>
        <w:jc w:val="left"/>
      </w:pPr>
      <w:r>
        <w:t>the word “two” couldn’t possibly pick out a property that could be had by individual</w:t>
      </w:r>
      <w:r>
        <w:rPr>
          <w:spacing w:val="-3"/>
        </w:rPr>
        <w:t xml:space="preserve"> </w:t>
      </w:r>
      <w:r>
        <w:t>apples.</w:t>
      </w:r>
      <w:r>
        <w:rPr>
          <w:spacing w:val="-2"/>
        </w:rPr>
        <w:t xml:space="preserve"> </w:t>
      </w:r>
      <w:r>
        <w:t>Any</w:t>
      </w:r>
      <w:r>
        <w:rPr>
          <w:spacing w:val="-2"/>
        </w:rPr>
        <w:t xml:space="preserve"> </w:t>
      </w:r>
      <w:r>
        <w:rPr>
          <w:i/>
        </w:rPr>
        <w:t>one</w:t>
      </w:r>
      <w:r>
        <w:rPr>
          <w:i/>
          <w:spacing w:val="-3"/>
        </w:rPr>
        <w:t xml:space="preserve"> </w:t>
      </w:r>
      <w:r>
        <w:t>apple</w:t>
      </w:r>
      <w:r>
        <w:rPr>
          <w:spacing w:val="-3"/>
        </w:rPr>
        <w:t xml:space="preserve"> </w:t>
      </w:r>
      <w:r>
        <w:rPr>
          <w:i/>
        </w:rPr>
        <w:t>ipso</w:t>
      </w:r>
      <w:r>
        <w:rPr>
          <w:i/>
          <w:spacing w:val="-2"/>
        </w:rPr>
        <w:t xml:space="preserve"> </w:t>
      </w:r>
      <w:r>
        <w:rPr>
          <w:i/>
        </w:rPr>
        <w:t>facto</w:t>
      </w:r>
      <w:r>
        <w:rPr>
          <w:i/>
          <w:spacing w:val="40"/>
        </w:rPr>
        <w:t xml:space="preserve"> </w:t>
      </w:r>
      <w:r>
        <w:t>isn’t</w:t>
      </w:r>
      <w:r>
        <w:rPr>
          <w:spacing w:val="-3"/>
        </w:rPr>
        <w:t xml:space="preserve"> </w:t>
      </w:r>
      <w:r>
        <w:rPr>
          <w:i/>
        </w:rPr>
        <w:t>two</w:t>
      </w:r>
      <w:r>
        <w:rPr>
          <w:i/>
          <w:spacing w:val="-2"/>
        </w:rPr>
        <w:t xml:space="preserve"> </w:t>
      </w:r>
      <w:r>
        <w:t>apples.</w:t>
      </w:r>
      <w:r>
        <w:rPr>
          <w:spacing w:val="-2"/>
        </w:rPr>
        <w:t xml:space="preserve"> </w:t>
      </w:r>
      <w:r>
        <w:t>In</w:t>
      </w:r>
      <w:r>
        <w:rPr>
          <w:spacing w:val="-2"/>
        </w:rPr>
        <w:t xml:space="preserve"> </w:t>
      </w:r>
      <w:r>
        <w:t>J</w:t>
      </w:r>
      <w:r>
        <w:rPr>
          <w:vertAlign w:val="subscript"/>
        </w:rPr>
        <w:t>2</w:t>
      </w:r>
      <w:r>
        <w:t>,</w:t>
      </w:r>
      <w:r>
        <w:rPr>
          <w:spacing w:val="-2"/>
        </w:rPr>
        <w:t xml:space="preserve"> </w:t>
      </w:r>
      <w:r>
        <w:t>the</w:t>
      </w:r>
      <w:r>
        <w:rPr>
          <w:spacing w:val="-3"/>
        </w:rPr>
        <w:t xml:space="preserve"> </w:t>
      </w:r>
      <w:r>
        <w:t>word “two” picks out a property of the property of being a property that has two</w:t>
      </w:r>
    </w:p>
    <w:p w14:paraId="7E000FFE" w14:textId="77777777" w:rsidR="009A58DB" w:rsidRDefault="00000000">
      <w:pPr>
        <w:pStyle w:val="BodyText"/>
        <w:spacing w:line="316" w:lineRule="exact"/>
        <w:jc w:val="left"/>
      </w:pPr>
      <w:r>
        <w:t>instances.</w:t>
      </w:r>
      <w:r>
        <w:rPr>
          <w:spacing w:val="-4"/>
        </w:rPr>
        <w:t xml:space="preserve"> </w:t>
      </w:r>
      <w:r>
        <w:t>In</w:t>
      </w:r>
      <w:r>
        <w:rPr>
          <w:spacing w:val="-2"/>
        </w:rPr>
        <w:t xml:space="preserve"> </w:t>
      </w:r>
      <w:r>
        <w:t>other</w:t>
      </w:r>
      <w:r>
        <w:rPr>
          <w:spacing w:val="-3"/>
        </w:rPr>
        <w:t xml:space="preserve"> </w:t>
      </w:r>
      <w:r>
        <w:t>words,</w:t>
      </w:r>
      <w:r>
        <w:rPr>
          <w:spacing w:val="-2"/>
        </w:rPr>
        <w:t xml:space="preserve"> </w:t>
      </w:r>
      <w:r>
        <w:t>it</w:t>
      </w:r>
      <w:r>
        <w:rPr>
          <w:spacing w:val="-3"/>
        </w:rPr>
        <w:t xml:space="preserve"> </w:t>
      </w:r>
      <w:r>
        <w:t>picks</w:t>
      </w:r>
      <w:r>
        <w:rPr>
          <w:spacing w:val="-3"/>
        </w:rPr>
        <w:t xml:space="preserve"> </w:t>
      </w:r>
      <w:r>
        <w:t>out</w:t>
      </w:r>
      <w:r>
        <w:rPr>
          <w:spacing w:val="-3"/>
        </w:rPr>
        <w:t xml:space="preserve"> </w:t>
      </w:r>
      <w:r>
        <w:t>the</w:t>
      </w:r>
      <w:r>
        <w:rPr>
          <w:spacing w:val="-3"/>
        </w:rPr>
        <w:t xml:space="preserve"> </w:t>
      </w:r>
      <w:r>
        <w:t>property</w:t>
      </w:r>
      <w:r>
        <w:rPr>
          <w:spacing w:val="-2"/>
        </w:rPr>
        <w:t xml:space="preserve"> </w:t>
      </w:r>
      <w:r>
        <w:t>of</w:t>
      </w:r>
      <w:r>
        <w:rPr>
          <w:spacing w:val="-3"/>
        </w:rPr>
        <w:t xml:space="preserve"> </w:t>
      </w:r>
      <w:r>
        <w:t>being</w:t>
      </w:r>
      <w:r>
        <w:rPr>
          <w:spacing w:val="-2"/>
        </w:rPr>
        <w:t xml:space="preserve"> </w:t>
      </w:r>
      <w:r>
        <w:t>a</w:t>
      </w:r>
      <w:r>
        <w:rPr>
          <w:spacing w:val="-3"/>
        </w:rPr>
        <w:t xml:space="preserve"> </w:t>
      </w:r>
      <w:r>
        <w:t>pair.</w:t>
      </w:r>
      <w:r>
        <w:rPr>
          <w:spacing w:val="-2"/>
        </w:rPr>
        <w:t xml:space="preserve"> </w:t>
      </w:r>
      <w:r>
        <w:t>And</w:t>
      </w:r>
      <w:r>
        <w:rPr>
          <w:spacing w:val="-1"/>
        </w:rPr>
        <w:t xml:space="preserve"> </w:t>
      </w:r>
      <w:r>
        <w:rPr>
          <w:spacing w:val="-5"/>
        </w:rPr>
        <w:t>J</w:t>
      </w:r>
      <w:r>
        <w:rPr>
          <w:spacing w:val="-5"/>
          <w:vertAlign w:val="subscript"/>
        </w:rPr>
        <w:t>2</w:t>
      </w:r>
    </w:p>
    <w:p w14:paraId="7E000FFF" w14:textId="77777777" w:rsidR="009A58DB" w:rsidRDefault="00000000">
      <w:pPr>
        <w:pStyle w:val="BodyText"/>
        <w:spacing w:before="75"/>
        <w:jc w:val="left"/>
      </w:pPr>
      <w:r>
        <w:t>says</w:t>
      </w:r>
      <w:r>
        <w:rPr>
          <w:spacing w:val="-5"/>
        </w:rPr>
        <w:t xml:space="preserve"> </w:t>
      </w:r>
      <w:r>
        <w:rPr>
          <w:spacing w:val="-4"/>
        </w:rPr>
        <w:t>that</w:t>
      </w:r>
    </w:p>
    <w:p w14:paraId="7E001000" w14:textId="77777777" w:rsidR="009A58DB" w:rsidRDefault="009A58DB">
      <w:pPr>
        <w:pStyle w:val="BodyText"/>
        <w:jc w:val="left"/>
        <w:sectPr w:rsidR="009A58DB">
          <w:pgSz w:w="12240" w:h="15840"/>
          <w:pgMar w:top="1380" w:right="1080" w:bottom="280" w:left="1080" w:header="720" w:footer="720" w:gutter="0"/>
          <w:cols w:space="720"/>
        </w:sectPr>
      </w:pPr>
    </w:p>
    <w:p w14:paraId="7E001001" w14:textId="77777777" w:rsidR="009A58DB" w:rsidRDefault="00000000">
      <w:pPr>
        <w:pStyle w:val="BodyText"/>
        <w:spacing w:before="65" w:line="249" w:lineRule="auto"/>
        <w:ind w:right="366"/>
      </w:pPr>
      <w:r>
        <w:lastRenderedPageBreak/>
        <w:t>(J</w:t>
      </w:r>
      <w:r>
        <w:rPr>
          <w:vertAlign w:val="subscript"/>
        </w:rPr>
        <w:t>2</w:t>
      </w:r>
      <w:r>
        <w:rPr>
          <w:position w:val="-7"/>
          <w:sz w:val="22"/>
        </w:rPr>
        <w:t>*</w:t>
      </w:r>
      <w:r>
        <w:t xml:space="preserve">) the property of being an apple owned by Jim has the property of being a </w:t>
      </w:r>
      <w:r>
        <w:rPr>
          <w:spacing w:val="-2"/>
        </w:rPr>
        <w:t>pair.</w:t>
      </w:r>
    </w:p>
    <w:p w14:paraId="7E001002" w14:textId="77777777" w:rsidR="009A58DB" w:rsidRDefault="009A58DB">
      <w:pPr>
        <w:pStyle w:val="BodyText"/>
        <w:spacing w:before="14"/>
        <w:ind w:left="0"/>
        <w:jc w:val="left"/>
      </w:pPr>
    </w:p>
    <w:p w14:paraId="7E001003" w14:textId="77777777" w:rsidR="009A58DB" w:rsidRDefault="00000000">
      <w:pPr>
        <w:pStyle w:val="BodyText"/>
        <w:spacing w:line="292" w:lineRule="auto"/>
        <w:ind w:firstLine="360"/>
        <w:jc w:val="left"/>
      </w:pPr>
      <w:r>
        <w:t>Let’s</w:t>
      </w:r>
      <w:r>
        <w:rPr>
          <w:spacing w:val="-2"/>
        </w:rPr>
        <w:t xml:space="preserve"> </w:t>
      </w:r>
      <w:r>
        <w:t>sum</w:t>
      </w:r>
      <w:r>
        <w:rPr>
          <w:spacing w:val="-2"/>
        </w:rPr>
        <w:t xml:space="preserve"> </w:t>
      </w:r>
      <w:r>
        <w:t>up.</w:t>
      </w:r>
      <w:r>
        <w:rPr>
          <w:spacing w:val="-1"/>
        </w:rPr>
        <w:t xml:space="preserve"> </w:t>
      </w:r>
      <w:r>
        <w:t>J</w:t>
      </w:r>
      <w:r>
        <w:rPr>
          <w:vertAlign w:val="subscript"/>
        </w:rPr>
        <w:t>0</w:t>
      </w:r>
      <w:r>
        <w:rPr>
          <w:spacing w:val="-1"/>
        </w:rPr>
        <w:t xml:space="preserve"> </w:t>
      </w:r>
      <w:r>
        <w:t>says</w:t>
      </w:r>
      <w:r>
        <w:rPr>
          <w:spacing w:val="-2"/>
        </w:rPr>
        <w:t xml:space="preserve"> </w:t>
      </w:r>
      <w:r>
        <w:t>that</w:t>
      </w:r>
      <w:r>
        <w:rPr>
          <w:spacing w:val="-2"/>
        </w:rPr>
        <w:t xml:space="preserve"> </w:t>
      </w:r>
      <w:r>
        <w:t>the</w:t>
      </w:r>
      <w:r>
        <w:rPr>
          <w:spacing w:val="-2"/>
        </w:rPr>
        <w:t xml:space="preserve"> </w:t>
      </w:r>
      <w:r>
        <w:t>property</w:t>
      </w:r>
      <w:r>
        <w:rPr>
          <w:spacing w:val="-1"/>
        </w:rPr>
        <w:t xml:space="preserve"> </w:t>
      </w:r>
      <w:r>
        <w:t>of</w:t>
      </w:r>
      <w:r>
        <w:rPr>
          <w:spacing w:val="-2"/>
        </w:rPr>
        <w:t xml:space="preserve"> </w:t>
      </w:r>
      <w:r>
        <w:t>being</w:t>
      </w:r>
      <w:r>
        <w:rPr>
          <w:spacing w:val="-1"/>
        </w:rPr>
        <w:t xml:space="preserve"> </w:t>
      </w:r>
      <w:r>
        <w:t>an</w:t>
      </w:r>
      <w:r>
        <w:rPr>
          <w:spacing w:val="-1"/>
        </w:rPr>
        <w:t xml:space="preserve"> </w:t>
      </w:r>
      <w:r>
        <w:t>apple</w:t>
      </w:r>
      <w:r>
        <w:rPr>
          <w:spacing w:val="-2"/>
        </w:rPr>
        <w:t xml:space="preserve"> </w:t>
      </w:r>
      <w:r>
        <w:t>owned</w:t>
      </w:r>
      <w:r>
        <w:rPr>
          <w:spacing w:val="-1"/>
        </w:rPr>
        <w:t xml:space="preserve"> </w:t>
      </w:r>
      <w:r>
        <w:t>by</w:t>
      </w:r>
      <w:r>
        <w:rPr>
          <w:spacing w:val="-1"/>
        </w:rPr>
        <w:t xml:space="preserve"> </w:t>
      </w:r>
      <w:r>
        <w:t>Jim</w:t>
      </w:r>
      <w:r>
        <w:rPr>
          <w:spacing w:val="-2"/>
        </w:rPr>
        <w:t xml:space="preserve"> </w:t>
      </w:r>
      <w:r>
        <w:t>is uninstantiated; J</w:t>
      </w:r>
      <w:r>
        <w:rPr>
          <w:vertAlign w:val="subscript"/>
        </w:rPr>
        <w:t>1</w:t>
      </w:r>
      <w:r>
        <w:t xml:space="preserve"> says that it’s uniquely instantiated; and J</w:t>
      </w:r>
      <w:r>
        <w:rPr>
          <w:vertAlign w:val="subscript"/>
        </w:rPr>
        <w:t>2</w:t>
      </w:r>
      <w:r>
        <w:t xml:space="preserve"> says that it’s instantiated exactly twice.</w:t>
      </w:r>
    </w:p>
    <w:p w14:paraId="7E001004" w14:textId="77777777" w:rsidR="009A58DB" w:rsidRDefault="00000000">
      <w:pPr>
        <w:pStyle w:val="Heading1"/>
        <w:numPr>
          <w:ilvl w:val="2"/>
          <w:numId w:val="166"/>
        </w:numPr>
        <w:tabs>
          <w:tab w:val="left" w:pos="1688"/>
          <w:tab w:val="left" w:pos="3833"/>
          <w:tab w:val="left" w:pos="4696"/>
          <w:tab w:val="left" w:pos="7026"/>
          <w:tab w:val="left" w:pos="7865"/>
        </w:tabs>
        <w:spacing w:before="126" w:line="244" w:lineRule="auto"/>
        <w:ind w:left="360" w:right="370" w:firstLine="0"/>
      </w:pPr>
      <w:r>
        <w:rPr>
          <w:spacing w:val="-2"/>
        </w:rPr>
        <w:t>Numbers</w:t>
      </w:r>
      <w:r>
        <w:tab/>
      </w:r>
      <w:r>
        <w:rPr>
          <w:spacing w:val="-6"/>
        </w:rPr>
        <w:t>as</w:t>
      </w:r>
      <w:r>
        <w:tab/>
      </w:r>
      <w:r>
        <w:rPr>
          <w:spacing w:val="-2"/>
        </w:rPr>
        <w:t>properties</w:t>
      </w:r>
      <w:r>
        <w:tab/>
      </w:r>
      <w:r>
        <w:rPr>
          <w:spacing w:val="-6"/>
        </w:rPr>
        <w:t>of</w:t>
      </w:r>
      <w:r>
        <w:tab/>
      </w:r>
      <w:r>
        <w:rPr>
          <w:spacing w:val="-2"/>
        </w:rPr>
        <w:t>properties (continued)</w:t>
      </w:r>
    </w:p>
    <w:p w14:paraId="7E001005" w14:textId="77777777" w:rsidR="009A58DB" w:rsidRDefault="00000000">
      <w:pPr>
        <w:pStyle w:val="BodyText"/>
        <w:spacing w:before="132" w:line="249" w:lineRule="auto"/>
        <w:ind w:right="359" w:firstLine="360"/>
      </w:pPr>
      <w:r>
        <w:t xml:space="preserve">The obvious thing to say about JG is that it attributes the property of being green to one or more apples belonging to Jim. But, as Frege pointed out, this isn’t what it’s doing. There is no specific apple x such that JG says that x is green. Given any apple x owned by Jim, JG could be true even if x was </w:t>
      </w:r>
      <w:r>
        <w:rPr>
          <w:i/>
        </w:rPr>
        <w:t xml:space="preserve">not </w:t>
      </w:r>
      <w:r>
        <w:t xml:space="preserve">green. This would happen if Jim had some </w:t>
      </w:r>
      <w:r>
        <w:rPr>
          <w:i/>
        </w:rPr>
        <w:t xml:space="preserve">other </w:t>
      </w:r>
      <w:r>
        <w:t xml:space="preserve">apple that </w:t>
      </w:r>
      <w:r>
        <w:rPr>
          <w:i/>
        </w:rPr>
        <w:t xml:space="preserve">was </w:t>
      </w:r>
      <w:r>
        <w:t xml:space="preserve">green. Thus, there is no apple x such that JG says that x is green. </w:t>
      </w:r>
      <w:r>
        <w:rPr>
          <w:i/>
        </w:rPr>
        <w:t xml:space="preserve">A fortiori </w:t>
      </w:r>
      <w:r>
        <w:t>JG doesn’t say of each of several apples that it is green. Since there is no one apple owned</w:t>
      </w:r>
      <w:r>
        <w:rPr>
          <w:spacing w:val="40"/>
        </w:rPr>
        <w:t xml:space="preserve"> </w:t>
      </w:r>
      <w:r>
        <w:t>by Jim to which JG attributes any property, JG isn’t about apples owned by Jim.</w:t>
      </w:r>
      <w:r>
        <w:rPr>
          <w:spacing w:val="-2"/>
        </w:rPr>
        <w:t xml:space="preserve"> </w:t>
      </w:r>
      <w:r>
        <w:t>Rather,</w:t>
      </w:r>
      <w:r>
        <w:rPr>
          <w:spacing w:val="-2"/>
        </w:rPr>
        <w:t xml:space="preserve"> </w:t>
      </w:r>
      <w:r>
        <w:t>JG</w:t>
      </w:r>
      <w:r>
        <w:rPr>
          <w:spacing w:val="-3"/>
        </w:rPr>
        <w:t xml:space="preserve"> </w:t>
      </w:r>
      <w:r>
        <w:t>is</w:t>
      </w:r>
      <w:r>
        <w:rPr>
          <w:spacing w:val="-3"/>
        </w:rPr>
        <w:t xml:space="preserve"> </w:t>
      </w:r>
      <w:r>
        <w:t>about</w:t>
      </w:r>
      <w:r>
        <w:rPr>
          <w:spacing w:val="-3"/>
        </w:rPr>
        <w:t xml:space="preserve"> </w:t>
      </w:r>
      <w:r>
        <w:t>the</w:t>
      </w:r>
      <w:r>
        <w:rPr>
          <w:spacing w:val="-3"/>
        </w:rPr>
        <w:t xml:space="preserve"> </w:t>
      </w:r>
      <w:r>
        <w:rPr>
          <w:i/>
        </w:rPr>
        <w:t>property</w:t>
      </w:r>
      <w:r>
        <w:rPr>
          <w:i/>
          <w:spacing w:val="-3"/>
        </w:rPr>
        <w:t xml:space="preserve"> </w:t>
      </w:r>
      <w:r>
        <w:t>of</w:t>
      </w:r>
      <w:r>
        <w:rPr>
          <w:spacing w:val="-1"/>
        </w:rPr>
        <w:t xml:space="preserve"> </w:t>
      </w:r>
      <w:r>
        <w:t>being</w:t>
      </w:r>
      <w:r>
        <w:rPr>
          <w:spacing w:val="-1"/>
        </w:rPr>
        <w:t xml:space="preserve"> </w:t>
      </w:r>
      <w:r>
        <w:t>an</w:t>
      </w:r>
      <w:r>
        <w:rPr>
          <w:spacing w:val="-1"/>
        </w:rPr>
        <w:t xml:space="preserve"> </w:t>
      </w:r>
      <w:r>
        <w:t>apple</w:t>
      </w:r>
      <w:r>
        <w:rPr>
          <w:spacing w:val="-1"/>
        </w:rPr>
        <w:t xml:space="preserve"> </w:t>
      </w:r>
      <w:r>
        <w:t>owned</w:t>
      </w:r>
      <w:r>
        <w:rPr>
          <w:spacing w:val="-1"/>
        </w:rPr>
        <w:t xml:space="preserve"> </w:t>
      </w:r>
      <w:r>
        <w:t>by</w:t>
      </w:r>
      <w:r>
        <w:rPr>
          <w:spacing w:val="-1"/>
        </w:rPr>
        <w:t xml:space="preserve"> </w:t>
      </w:r>
      <w:r>
        <w:t>Jim;</w:t>
      </w:r>
      <w:r>
        <w:rPr>
          <w:spacing w:val="-1"/>
        </w:rPr>
        <w:t xml:space="preserve"> </w:t>
      </w:r>
      <w:r>
        <w:t>and</w:t>
      </w:r>
      <w:r>
        <w:rPr>
          <w:spacing w:val="-1"/>
        </w:rPr>
        <w:t xml:space="preserve"> </w:t>
      </w:r>
      <w:r>
        <w:t>JG says of this property that its extension overlaps with the extension of the property of being green. For this reason, JG’s logical form is no more in alignment</w:t>
      </w:r>
      <w:r>
        <w:rPr>
          <w:spacing w:val="-1"/>
        </w:rPr>
        <w:t xml:space="preserve"> </w:t>
      </w:r>
      <w:r>
        <w:t>with its</w:t>
      </w:r>
      <w:r>
        <w:rPr>
          <w:spacing w:val="-1"/>
        </w:rPr>
        <w:t xml:space="preserve"> </w:t>
      </w:r>
      <w:r>
        <w:t>logical</w:t>
      </w:r>
      <w:r>
        <w:rPr>
          <w:spacing w:val="-1"/>
        </w:rPr>
        <w:t xml:space="preserve"> </w:t>
      </w:r>
      <w:r>
        <w:t>form</w:t>
      </w:r>
      <w:r>
        <w:rPr>
          <w:spacing w:val="-1"/>
        </w:rPr>
        <w:t xml:space="preserve"> </w:t>
      </w:r>
      <w:r>
        <w:t>than J</w:t>
      </w:r>
      <w:r>
        <w:rPr>
          <w:vertAlign w:val="subscript"/>
        </w:rPr>
        <w:t>2</w:t>
      </w:r>
      <w:r>
        <w:t>’</w:t>
      </w:r>
      <w:r>
        <w:rPr>
          <w:spacing w:val="-1"/>
        </w:rPr>
        <w:t xml:space="preserve"> </w:t>
      </w:r>
      <w:r>
        <w:t>s</w:t>
      </w:r>
      <w:r>
        <w:rPr>
          <w:spacing w:val="-1"/>
        </w:rPr>
        <w:t xml:space="preserve"> </w:t>
      </w:r>
      <w:r>
        <w:t>(or</w:t>
      </w:r>
      <w:r>
        <w:rPr>
          <w:spacing w:val="-1"/>
        </w:rPr>
        <w:t xml:space="preserve"> </w:t>
      </w:r>
      <w:r>
        <w:t>J</w:t>
      </w:r>
      <w:r>
        <w:rPr>
          <w:vertAlign w:val="subscript"/>
        </w:rPr>
        <w:t>0</w:t>
      </w:r>
      <w:r>
        <w:t>’s)</w:t>
      </w:r>
      <w:r>
        <w:rPr>
          <w:spacing w:val="-1"/>
        </w:rPr>
        <w:t xml:space="preserve"> </w:t>
      </w:r>
      <w:r>
        <w:t>logical</w:t>
      </w:r>
      <w:r>
        <w:rPr>
          <w:spacing w:val="-1"/>
        </w:rPr>
        <w:t xml:space="preserve"> </w:t>
      </w:r>
      <w:r>
        <w:t>form</w:t>
      </w:r>
      <w:r>
        <w:rPr>
          <w:spacing w:val="-1"/>
        </w:rPr>
        <w:t xml:space="preserve"> </w:t>
      </w:r>
      <w:r>
        <w:t>is</w:t>
      </w:r>
      <w:r>
        <w:rPr>
          <w:spacing w:val="-1"/>
        </w:rPr>
        <w:t xml:space="preserve"> </w:t>
      </w:r>
      <w:r>
        <w:t>in alignment</w:t>
      </w:r>
    </w:p>
    <w:p w14:paraId="7E001006" w14:textId="77777777" w:rsidR="009A58DB" w:rsidRDefault="00000000">
      <w:pPr>
        <w:pStyle w:val="BodyText"/>
        <w:spacing w:before="74"/>
      </w:pPr>
      <w:r>
        <w:t>with</w:t>
      </w:r>
      <w:r>
        <w:rPr>
          <w:spacing w:val="-4"/>
        </w:rPr>
        <w:t xml:space="preserve"> </w:t>
      </w:r>
      <w:r>
        <w:rPr>
          <w:i/>
        </w:rPr>
        <w:t>its</w:t>
      </w:r>
      <w:r>
        <w:rPr>
          <w:i/>
          <w:spacing w:val="-4"/>
        </w:rPr>
        <w:t xml:space="preserve"> </w:t>
      </w:r>
      <w:r>
        <w:t>logical</w:t>
      </w:r>
      <w:r>
        <w:rPr>
          <w:spacing w:val="-3"/>
        </w:rPr>
        <w:t xml:space="preserve"> </w:t>
      </w:r>
      <w:r>
        <w:rPr>
          <w:spacing w:val="-4"/>
        </w:rPr>
        <w:t>form.</w:t>
      </w:r>
    </w:p>
    <w:p w14:paraId="7E001007" w14:textId="77777777" w:rsidR="009A58DB" w:rsidRDefault="00000000">
      <w:pPr>
        <w:pStyle w:val="Heading1"/>
        <w:numPr>
          <w:ilvl w:val="1"/>
          <w:numId w:val="166"/>
        </w:numPr>
        <w:tabs>
          <w:tab w:val="left" w:pos="1250"/>
          <w:tab w:val="left" w:pos="2596"/>
          <w:tab w:val="left" w:pos="4221"/>
          <w:tab w:val="left" w:pos="6803"/>
          <w:tab w:val="left" w:pos="7518"/>
        </w:tabs>
        <w:spacing w:before="218" w:line="244" w:lineRule="auto"/>
        <w:ind w:left="360" w:right="367" w:firstLine="0"/>
      </w:pPr>
      <w:r>
        <w:rPr>
          <w:spacing w:val="-4"/>
        </w:rPr>
        <w:t>Some</w:t>
      </w:r>
      <w:r>
        <w:tab/>
      </w:r>
      <w:r>
        <w:rPr>
          <w:spacing w:val="-2"/>
        </w:rPr>
        <w:t>logicist</w:t>
      </w:r>
      <w:r>
        <w:tab/>
      </w:r>
      <w:r>
        <w:rPr>
          <w:spacing w:val="-2"/>
        </w:rPr>
        <w:t>paraphrases</w:t>
      </w:r>
      <w:r>
        <w:tab/>
      </w:r>
      <w:r>
        <w:rPr>
          <w:spacing w:val="-6"/>
        </w:rPr>
        <w:t>of</w:t>
      </w:r>
      <w:r>
        <w:tab/>
      </w:r>
      <w:r>
        <w:rPr>
          <w:spacing w:val="-2"/>
        </w:rPr>
        <w:t>arithmetical statements</w:t>
      </w:r>
    </w:p>
    <w:p w14:paraId="7E001008" w14:textId="77777777" w:rsidR="009A58DB" w:rsidRDefault="00000000">
      <w:pPr>
        <w:spacing w:before="132" w:line="249" w:lineRule="auto"/>
        <w:ind w:left="360" w:right="360"/>
        <w:jc w:val="both"/>
        <w:rPr>
          <w:sz w:val="30"/>
        </w:rPr>
      </w:pPr>
      <w:r>
        <w:rPr>
          <w:sz w:val="30"/>
        </w:rPr>
        <w:t>Frege’s analysis of number (</w:t>
      </w:r>
      <w:r>
        <w:rPr>
          <w:i/>
          <w:sz w:val="30"/>
        </w:rPr>
        <w:t>a whole number n is the property of being an n-tuple</w:t>
      </w:r>
      <w:r>
        <w:rPr>
          <w:sz w:val="30"/>
        </w:rPr>
        <w:t>) makes it clear what is meant by statements such as:</w:t>
      </w:r>
    </w:p>
    <w:p w14:paraId="7E001009" w14:textId="77777777" w:rsidR="009A58DB" w:rsidRDefault="009A58DB">
      <w:pPr>
        <w:pStyle w:val="BodyText"/>
        <w:spacing w:before="17"/>
        <w:ind w:left="0"/>
        <w:jc w:val="left"/>
      </w:pPr>
    </w:p>
    <w:p w14:paraId="7E00100A" w14:textId="77777777" w:rsidR="009A58DB" w:rsidRDefault="00000000">
      <w:pPr>
        <w:pStyle w:val="BodyText"/>
        <w:spacing w:before="1"/>
      </w:pPr>
      <w:r>
        <w:t>(TLT)</w:t>
      </w:r>
      <w:r>
        <w:rPr>
          <w:spacing w:val="-6"/>
        </w:rPr>
        <w:t xml:space="preserve"> </w:t>
      </w:r>
      <w:r>
        <w:t>“two</w:t>
      </w:r>
      <w:r>
        <w:rPr>
          <w:spacing w:val="-2"/>
        </w:rPr>
        <w:t xml:space="preserve"> </w:t>
      </w:r>
      <w:r>
        <w:t>is</w:t>
      </w:r>
      <w:r>
        <w:rPr>
          <w:spacing w:val="-3"/>
        </w:rPr>
        <w:t xml:space="preserve"> </w:t>
      </w:r>
      <w:r>
        <w:t>one</w:t>
      </w:r>
      <w:r>
        <w:rPr>
          <w:spacing w:val="-4"/>
        </w:rPr>
        <w:t xml:space="preserve"> </w:t>
      </w:r>
      <w:r>
        <w:t>less</w:t>
      </w:r>
      <w:r>
        <w:rPr>
          <w:spacing w:val="-3"/>
        </w:rPr>
        <w:t xml:space="preserve"> </w:t>
      </w:r>
      <w:r>
        <w:t>than</w:t>
      </w:r>
      <w:r>
        <w:rPr>
          <w:spacing w:val="-2"/>
        </w:rPr>
        <w:t xml:space="preserve"> </w:t>
      </w:r>
      <w:r>
        <w:t>three</w:t>
      </w:r>
      <w:r>
        <w:rPr>
          <w:spacing w:val="-4"/>
        </w:rPr>
        <w:t xml:space="preserve"> </w:t>
      </w:r>
      <w:r>
        <w:t>(i.e.,</w:t>
      </w:r>
      <w:r>
        <w:rPr>
          <w:spacing w:val="-2"/>
        </w:rPr>
        <w:t xml:space="preserve"> </w:t>
      </w:r>
      <w:r>
        <w:t>three</w:t>
      </w:r>
      <w:r>
        <w:rPr>
          <w:spacing w:val="-3"/>
        </w:rPr>
        <w:t xml:space="preserve"> </w:t>
      </w:r>
      <w:r>
        <w:t>is</w:t>
      </w:r>
      <w:r>
        <w:rPr>
          <w:spacing w:val="-4"/>
        </w:rPr>
        <w:t xml:space="preserve"> </w:t>
      </w:r>
      <w:r>
        <w:t>the</w:t>
      </w:r>
      <w:r>
        <w:rPr>
          <w:spacing w:val="-3"/>
        </w:rPr>
        <w:t xml:space="preserve"> </w:t>
      </w:r>
      <w:r>
        <w:t>successor</w:t>
      </w:r>
      <w:r>
        <w:rPr>
          <w:spacing w:val="-3"/>
        </w:rPr>
        <w:t xml:space="preserve"> </w:t>
      </w:r>
      <w:r>
        <w:t>of</w:t>
      </w:r>
      <w:r>
        <w:rPr>
          <w:spacing w:val="-3"/>
        </w:rPr>
        <w:t xml:space="preserve"> </w:t>
      </w:r>
      <w:r>
        <w:rPr>
          <w:spacing w:val="-2"/>
        </w:rPr>
        <w:t>two).”</w:t>
      </w:r>
    </w:p>
    <w:p w14:paraId="7E00100B" w14:textId="77777777" w:rsidR="009A58DB" w:rsidRDefault="009A58DB">
      <w:pPr>
        <w:pStyle w:val="BodyText"/>
        <w:spacing w:before="75"/>
        <w:ind w:left="0"/>
        <w:jc w:val="left"/>
      </w:pPr>
    </w:p>
    <w:p w14:paraId="7E00100C" w14:textId="77777777" w:rsidR="009A58DB" w:rsidRDefault="00000000">
      <w:pPr>
        <w:pStyle w:val="BodyText"/>
        <w:spacing w:line="249" w:lineRule="auto"/>
        <w:ind w:firstLine="360"/>
        <w:jc w:val="left"/>
      </w:pPr>
      <w:r>
        <w:t>The</w:t>
      </w:r>
      <w:r>
        <w:rPr>
          <w:spacing w:val="-4"/>
        </w:rPr>
        <w:t xml:space="preserve"> </w:t>
      </w:r>
      <w:r>
        <w:t>number</w:t>
      </w:r>
      <w:r>
        <w:rPr>
          <w:spacing w:val="-4"/>
        </w:rPr>
        <w:t xml:space="preserve"> </w:t>
      </w:r>
      <w:r>
        <w:t>two</w:t>
      </w:r>
      <w:r>
        <w:rPr>
          <w:spacing w:val="-3"/>
        </w:rPr>
        <w:t xml:space="preserve"> </w:t>
      </w:r>
      <w:r>
        <w:t>is</w:t>
      </w:r>
      <w:r>
        <w:rPr>
          <w:spacing w:val="-4"/>
        </w:rPr>
        <w:t xml:space="preserve"> </w:t>
      </w:r>
      <w:r>
        <w:t>the</w:t>
      </w:r>
      <w:r>
        <w:rPr>
          <w:spacing w:val="-4"/>
        </w:rPr>
        <w:t xml:space="preserve"> </w:t>
      </w:r>
      <w:r>
        <w:t>property</w:t>
      </w:r>
      <w:r>
        <w:rPr>
          <w:spacing w:val="-3"/>
        </w:rPr>
        <w:t xml:space="preserve"> </w:t>
      </w:r>
      <w:r>
        <w:t>of</w:t>
      </w:r>
      <w:r>
        <w:rPr>
          <w:spacing w:val="-4"/>
        </w:rPr>
        <w:t xml:space="preserve"> </w:t>
      </w:r>
      <w:r>
        <w:t>being</w:t>
      </w:r>
      <w:r>
        <w:rPr>
          <w:spacing w:val="-3"/>
        </w:rPr>
        <w:t xml:space="preserve"> </w:t>
      </w:r>
      <w:r>
        <w:t>a</w:t>
      </w:r>
      <w:r>
        <w:rPr>
          <w:spacing w:val="-4"/>
        </w:rPr>
        <w:t xml:space="preserve"> </w:t>
      </w:r>
      <w:r>
        <w:t>pair.</w:t>
      </w:r>
      <w:r>
        <w:rPr>
          <w:spacing w:val="-3"/>
        </w:rPr>
        <w:t xml:space="preserve"> </w:t>
      </w:r>
      <w:r>
        <w:t>The</w:t>
      </w:r>
      <w:r>
        <w:rPr>
          <w:spacing w:val="-4"/>
        </w:rPr>
        <w:t xml:space="preserve"> </w:t>
      </w:r>
      <w:r>
        <w:t>number</w:t>
      </w:r>
      <w:r>
        <w:rPr>
          <w:spacing w:val="-4"/>
        </w:rPr>
        <w:t xml:space="preserve"> </w:t>
      </w:r>
      <w:r>
        <w:t>three</w:t>
      </w:r>
      <w:r>
        <w:rPr>
          <w:spacing w:val="-4"/>
        </w:rPr>
        <w:t xml:space="preserve"> </w:t>
      </w:r>
      <w:r>
        <w:t>is</w:t>
      </w:r>
      <w:r>
        <w:rPr>
          <w:spacing w:val="-4"/>
        </w:rPr>
        <w:t xml:space="preserve"> </w:t>
      </w:r>
      <w:r>
        <w:t>the property of being a triple. Thus, TLT says that:</w:t>
      </w:r>
    </w:p>
    <w:p w14:paraId="7E00100D" w14:textId="77777777" w:rsidR="009A58DB" w:rsidRDefault="009A58DB">
      <w:pPr>
        <w:pStyle w:val="BodyText"/>
        <w:spacing w:line="249" w:lineRule="auto"/>
        <w:jc w:val="left"/>
        <w:sectPr w:rsidR="009A58DB">
          <w:pgSz w:w="12240" w:h="15840"/>
          <w:pgMar w:top="1740" w:right="1080" w:bottom="280" w:left="1080" w:header="720" w:footer="720" w:gutter="0"/>
          <w:cols w:space="720"/>
        </w:sectPr>
      </w:pPr>
    </w:p>
    <w:p w14:paraId="7E00100E" w14:textId="77777777" w:rsidR="009A58DB" w:rsidRDefault="00000000">
      <w:pPr>
        <w:pStyle w:val="BodyText"/>
        <w:spacing w:before="65" w:line="249" w:lineRule="auto"/>
        <w:ind w:right="364"/>
        <w:jc w:val="left"/>
      </w:pPr>
      <w:r>
        <w:lastRenderedPageBreak/>
        <w:t>(TLT*)</w:t>
      </w:r>
      <w:r>
        <w:rPr>
          <w:spacing w:val="-4"/>
        </w:rPr>
        <w:t xml:space="preserve"> </w:t>
      </w:r>
      <w:r>
        <w:t>given</w:t>
      </w:r>
      <w:r>
        <w:rPr>
          <w:spacing w:val="-3"/>
        </w:rPr>
        <w:t xml:space="preserve"> </w:t>
      </w:r>
      <w:r>
        <w:t>any</w:t>
      </w:r>
      <w:r>
        <w:rPr>
          <w:spacing w:val="-3"/>
        </w:rPr>
        <w:t xml:space="preserve"> </w:t>
      </w:r>
      <w:r>
        <w:t>instance</w:t>
      </w:r>
      <w:r>
        <w:rPr>
          <w:spacing w:val="-4"/>
        </w:rPr>
        <w:t xml:space="preserve"> </w:t>
      </w:r>
      <w:r>
        <w:t>C</w:t>
      </w:r>
      <w:r>
        <w:rPr>
          <w:spacing w:val="-4"/>
        </w:rPr>
        <w:t xml:space="preserve"> </w:t>
      </w:r>
      <w:r>
        <w:t>of</w:t>
      </w:r>
      <w:r>
        <w:rPr>
          <w:spacing w:val="-4"/>
        </w:rPr>
        <w:t xml:space="preserve"> </w:t>
      </w:r>
      <w:r>
        <w:t>the</w:t>
      </w:r>
      <w:r>
        <w:rPr>
          <w:spacing w:val="-4"/>
        </w:rPr>
        <w:t xml:space="preserve"> </w:t>
      </w:r>
      <w:r>
        <w:t>number</w:t>
      </w:r>
      <w:r>
        <w:rPr>
          <w:spacing w:val="-4"/>
        </w:rPr>
        <w:t xml:space="preserve"> </w:t>
      </w:r>
      <w:r>
        <w:t>three</w:t>
      </w:r>
      <w:r>
        <w:rPr>
          <w:spacing w:val="-4"/>
        </w:rPr>
        <w:t xml:space="preserve"> </w:t>
      </w:r>
      <w:r>
        <w:t>(i.e.,</w:t>
      </w:r>
      <w:r>
        <w:rPr>
          <w:spacing w:val="-3"/>
        </w:rPr>
        <w:t xml:space="preserve"> </w:t>
      </w:r>
      <w:r>
        <w:t>given</w:t>
      </w:r>
      <w:r>
        <w:rPr>
          <w:spacing w:val="-3"/>
        </w:rPr>
        <w:t xml:space="preserve"> </w:t>
      </w:r>
      <w:r>
        <w:t>any</w:t>
      </w:r>
      <w:r>
        <w:rPr>
          <w:spacing w:val="-3"/>
        </w:rPr>
        <w:t xml:space="preserve"> </w:t>
      </w:r>
      <w:r>
        <w:t>triple),</w:t>
      </w:r>
      <w:r>
        <w:rPr>
          <w:spacing w:val="-3"/>
        </w:rPr>
        <w:t xml:space="preserve"> </w:t>
      </w:r>
      <w:r>
        <w:t>and given any member x of that triple, any class C* that doesn’t contain x but is otherwise like C is an instance of the number two.</w:t>
      </w:r>
    </w:p>
    <w:p w14:paraId="7E00100F" w14:textId="77777777" w:rsidR="009A58DB" w:rsidRDefault="009A58DB">
      <w:pPr>
        <w:pStyle w:val="BodyText"/>
        <w:spacing w:before="18"/>
        <w:ind w:left="0"/>
        <w:jc w:val="left"/>
      </w:pPr>
    </w:p>
    <w:p w14:paraId="7E001010" w14:textId="77777777" w:rsidR="009A58DB" w:rsidRDefault="00000000">
      <w:pPr>
        <w:pStyle w:val="BodyText"/>
        <w:spacing w:line="249" w:lineRule="auto"/>
        <w:ind w:right="359" w:firstLine="360"/>
      </w:pPr>
      <w:r>
        <w:t>Although number expressions occur in TLT*, these are all easily eliminated. A “triple” is any class K such that there are objects x, y, and z, all distinct, belonging to K and such that anything w belonging to K is identical with x or y or z. Since, as we know, “the number three” is the property of being a triple, the occurrence of “the number three” in TLT* is just shorthand for a much longer expression that contains no number-expressions at all, the same being true, for similar reasons, of the occurrence of “the number two.”</w:t>
      </w:r>
    </w:p>
    <w:p w14:paraId="7E001011" w14:textId="77777777" w:rsidR="009A58DB" w:rsidRDefault="00000000">
      <w:pPr>
        <w:pStyle w:val="Heading1"/>
        <w:numPr>
          <w:ilvl w:val="2"/>
          <w:numId w:val="166"/>
        </w:numPr>
        <w:tabs>
          <w:tab w:val="left" w:pos="1305"/>
        </w:tabs>
        <w:spacing w:before="197"/>
      </w:pPr>
      <w:r>
        <w:t>Adding</w:t>
      </w:r>
      <w:r>
        <w:rPr>
          <w:spacing w:val="-5"/>
        </w:rPr>
        <w:t xml:space="preserve"> </w:t>
      </w:r>
      <w:r>
        <w:t>whole</w:t>
      </w:r>
      <w:r>
        <w:rPr>
          <w:spacing w:val="-4"/>
        </w:rPr>
        <w:t xml:space="preserve"> </w:t>
      </w:r>
      <w:r>
        <w:rPr>
          <w:spacing w:val="-2"/>
        </w:rPr>
        <w:t>numbers</w:t>
      </w:r>
    </w:p>
    <w:p w14:paraId="7E001012" w14:textId="77777777" w:rsidR="009A58DB" w:rsidRDefault="00000000">
      <w:pPr>
        <w:spacing w:before="139" w:line="249" w:lineRule="auto"/>
        <w:ind w:left="360" w:right="364"/>
        <w:rPr>
          <w:sz w:val="30"/>
        </w:rPr>
      </w:pPr>
      <w:r>
        <w:rPr>
          <w:sz w:val="30"/>
        </w:rPr>
        <w:t>Frege’s</w:t>
      </w:r>
      <w:r>
        <w:rPr>
          <w:spacing w:val="-4"/>
          <w:sz w:val="30"/>
        </w:rPr>
        <w:t xml:space="preserve"> </w:t>
      </w:r>
      <w:r>
        <w:rPr>
          <w:sz w:val="30"/>
        </w:rPr>
        <w:t>analysis</w:t>
      </w:r>
      <w:r>
        <w:rPr>
          <w:spacing w:val="-4"/>
          <w:sz w:val="30"/>
        </w:rPr>
        <w:t xml:space="preserve"> </w:t>
      </w:r>
      <w:r>
        <w:rPr>
          <w:sz w:val="30"/>
        </w:rPr>
        <w:t>of</w:t>
      </w:r>
      <w:r>
        <w:rPr>
          <w:spacing w:val="-4"/>
          <w:sz w:val="30"/>
        </w:rPr>
        <w:t xml:space="preserve"> </w:t>
      </w:r>
      <w:r>
        <w:rPr>
          <w:sz w:val="30"/>
        </w:rPr>
        <w:t>number</w:t>
      </w:r>
      <w:r>
        <w:rPr>
          <w:spacing w:val="-4"/>
          <w:sz w:val="30"/>
        </w:rPr>
        <w:t xml:space="preserve"> </w:t>
      </w:r>
      <w:r>
        <w:rPr>
          <w:sz w:val="30"/>
        </w:rPr>
        <w:t>(</w:t>
      </w:r>
      <w:r>
        <w:rPr>
          <w:i/>
          <w:sz w:val="30"/>
        </w:rPr>
        <w:t>given</w:t>
      </w:r>
      <w:r>
        <w:rPr>
          <w:i/>
          <w:spacing w:val="-3"/>
          <w:sz w:val="30"/>
        </w:rPr>
        <w:t xml:space="preserve"> </w:t>
      </w:r>
      <w:r>
        <w:rPr>
          <w:i/>
          <w:sz w:val="30"/>
        </w:rPr>
        <w:t>any</w:t>
      </w:r>
      <w:r>
        <w:rPr>
          <w:i/>
          <w:spacing w:val="-4"/>
          <w:sz w:val="30"/>
        </w:rPr>
        <w:t xml:space="preserve"> </w:t>
      </w:r>
      <w:r>
        <w:rPr>
          <w:i/>
          <w:sz w:val="30"/>
        </w:rPr>
        <w:t>whole</w:t>
      </w:r>
      <w:r>
        <w:rPr>
          <w:i/>
          <w:spacing w:val="-4"/>
          <w:sz w:val="30"/>
        </w:rPr>
        <w:t xml:space="preserve"> </w:t>
      </w:r>
      <w:r>
        <w:rPr>
          <w:i/>
          <w:sz w:val="30"/>
        </w:rPr>
        <w:t>number</w:t>
      </w:r>
      <w:r>
        <w:rPr>
          <w:i/>
          <w:spacing w:val="-4"/>
          <w:sz w:val="30"/>
        </w:rPr>
        <w:t xml:space="preserve"> </w:t>
      </w:r>
      <w:r>
        <w:rPr>
          <w:i/>
          <w:sz w:val="30"/>
        </w:rPr>
        <w:t>n,</w:t>
      </w:r>
      <w:r>
        <w:rPr>
          <w:i/>
          <w:spacing w:val="-3"/>
          <w:sz w:val="30"/>
        </w:rPr>
        <w:t xml:space="preserve"> </w:t>
      </w:r>
      <w:r>
        <w:rPr>
          <w:i/>
          <w:sz w:val="30"/>
        </w:rPr>
        <w:t>n</w:t>
      </w:r>
      <w:r>
        <w:rPr>
          <w:i/>
          <w:spacing w:val="-3"/>
          <w:sz w:val="30"/>
        </w:rPr>
        <w:t xml:space="preserve"> </w:t>
      </w:r>
      <w:r>
        <w:rPr>
          <w:i/>
          <w:sz w:val="30"/>
        </w:rPr>
        <w:t>is</w:t>
      </w:r>
      <w:r>
        <w:rPr>
          <w:i/>
          <w:spacing w:val="-4"/>
          <w:sz w:val="30"/>
        </w:rPr>
        <w:t xml:space="preserve"> </w:t>
      </w:r>
      <w:r>
        <w:rPr>
          <w:i/>
          <w:sz w:val="30"/>
        </w:rPr>
        <w:t>the</w:t>
      </w:r>
      <w:r>
        <w:rPr>
          <w:i/>
          <w:spacing w:val="-4"/>
          <w:sz w:val="30"/>
        </w:rPr>
        <w:t xml:space="preserve"> </w:t>
      </w:r>
      <w:r>
        <w:rPr>
          <w:i/>
          <w:sz w:val="30"/>
        </w:rPr>
        <w:t>property</w:t>
      </w:r>
      <w:r>
        <w:rPr>
          <w:i/>
          <w:spacing w:val="-4"/>
          <w:sz w:val="30"/>
        </w:rPr>
        <w:t xml:space="preserve"> </w:t>
      </w:r>
      <w:r>
        <w:rPr>
          <w:i/>
          <w:sz w:val="30"/>
        </w:rPr>
        <w:t>of being an n-membered set</w:t>
      </w:r>
      <w:r>
        <w:rPr>
          <w:sz w:val="30"/>
        </w:rPr>
        <w:t>) makes it possible to translate arithmetical statements into statements in which no number-expressions occur.</w:t>
      </w:r>
    </w:p>
    <w:p w14:paraId="7E001013" w14:textId="77777777" w:rsidR="009A58DB" w:rsidRDefault="00000000">
      <w:pPr>
        <w:pStyle w:val="BodyText"/>
        <w:spacing w:before="4" w:line="249" w:lineRule="auto"/>
        <w:ind w:right="362" w:firstLine="360"/>
      </w:pPr>
      <w:r>
        <w:t>“1 + 2 = 3” says that the union of a one-membered set and a non-overlapping two-membered set is a three-membered set. In general, ‹A + B = C› says that the union of an A-membered class and a non-overlapping B-membered class is a C-membered class.</w:t>
      </w:r>
    </w:p>
    <w:p w14:paraId="7E001014" w14:textId="77777777" w:rsidR="009A58DB" w:rsidRDefault="00000000">
      <w:pPr>
        <w:pStyle w:val="BodyText"/>
        <w:spacing w:before="5" w:line="249" w:lineRule="auto"/>
        <w:ind w:right="358" w:firstLine="360"/>
      </w:pPr>
      <w:r>
        <w:t xml:space="preserve">Here’s the idea. If Sally has one house, and Jerry has two yachts, then there are three things that are </w:t>
      </w:r>
      <w:r>
        <w:rPr>
          <w:i/>
        </w:rPr>
        <w:t xml:space="preserve">either </w:t>
      </w:r>
      <w:r>
        <w:t xml:space="preserve">houses belonging to Sally </w:t>
      </w:r>
      <w:r>
        <w:rPr>
          <w:i/>
        </w:rPr>
        <w:t xml:space="preserve">or </w:t>
      </w:r>
      <w:r>
        <w:t xml:space="preserve">yachts belonging to Jerry. If Larry has one pool and two cars, then there are three things that are either pools belonging to Larry or cars belonging to Larry. At the same time, if Larry has one expensive possession, and he also has two cars, one of which is expensive, there are only </w:t>
      </w:r>
      <w:r>
        <w:rPr>
          <w:i/>
        </w:rPr>
        <w:t xml:space="preserve">two </w:t>
      </w:r>
      <w:r>
        <w:t>things each of which is either a car belonging to Larry or an expensive thing belonging to Larry.</w:t>
      </w:r>
    </w:p>
    <w:p w14:paraId="7E001015" w14:textId="77777777" w:rsidR="009A58DB" w:rsidRDefault="00000000">
      <w:pPr>
        <w:pStyle w:val="BodyText"/>
        <w:spacing w:before="8" w:line="249" w:lineRule="auto"/>
        <w:ind w:right="358" w:firstLine="360"/>
      </w:pPr>
      <w:r>
        <w:t xml:space="preserve">This shows that, in general, if there’s one phi and there are two psi’s, then, </w:t>
      </w:r>
      <w:r>
        <w:rPr>
          <w:i/>
        </w:rPr>
        <w:t>provided</w:t>
      </w:r>
      <w:r>
        <w:rPr>
          <w:i/>
          <w:spacing w:val="-2"/>
        </w:rPr>
        <w:t xml:space="preserve"> </w:t>
      </w:r>
      <w:r>
        <w:t>that neither of the psi’s is a phi, there are three things that are either phi’s or psi’s. Another way of putting this is to say that: given any one-membered class and any non-overlapping two-membered class, the class of things belonging either to the one class or the other is a three-membered</w:t>
      </w:r>
      <w:r>
        <w:rPr>
          <w:spacing w:val="40"/>
        </w:rPr>
        <w:t xml:space="preserve"> </w:t>
      </w:r>
      <w:r>
        <w:t>class.</w:t>
      </w:r>
      <w:r>
        <w:rPr>
          <w:spacing w:val="-2"/>
        </w:rPr>
        <w:t xml:space="preserve"> </w:t>
      </w:r>
      <w:r>
        <w:t>And</w:t>
      </w:r>
      <w:r>
        <w:rPr>
          <w:spacing w:val="-2"/>
        </w:rPr>
        <w:t xml:space="preserve"> </w:t>
      </w:r>
      <w:r>
        <w:t>“1</w:t>
      </w:r>
      <w:r>
        <w:rPr>
          <w:spacing w:val="-2"/>
        </w:rPr>
        <w:t xml:space="preserve"> </w:t>
      </w:r>
      <w:r>
        <w:t>+</w:t>
      </w:r>
      <w:r>
        <w:rPr>
          <w:spacing w:val="-2"/>
        </w:rPr>
        <w:t xml:space="preserve"> </w:t>
      </w:r>
      <w:r>
        <w:t>2</w:t>
      </w:r>
      <w:r>
        <w:rPr>
          <w:spacing w:val="-2"/>
        </w:rPr>
        <w:t xml:space="preserve"> </w:t>
      </w:r>
      <w:r>
        <w:t>=</w:t>
      </w:r>
      <w:r>
        <w:rPr>
          <w:spacing w:val="-2"/>
        </w:rPr>
        <w:t xml:space="preserve"> </w:t>
      </w:r>
      <w:r>
        <w:t>3”</w:t>
      </w:r>
      <w:r>
        <w:rPr>
          <w:spacing w:val="-2"/>
        </w:rPr>
        <w:t xml:space="preserve"> </w:t>
      </w:r>
      <w:r>
        <w:t>is</w:t>
      </w:r>
      <w:r>
        <w:rPr>
          <w:spacing w:val="-2"/>
        </w:rPr>
        <w:t xml:space="preserve"> </w:t>
      </w:r>
      <w:r>
        <w:t>a</w:t>
      </w:r>
      <w:r>
        <w:rPr>
          <w:spacing w:val="-2"/>
        </w:rPr>
        <w:t xml:space="preserve"> </w:t>
      </w:r>
      <w:r>
        <w:t>compressed</w:t>
      </w:r>
      <w:r>
        <w:rPr>
          <w:spacing w:val="-2"/>
        </w:rPr>
        <w:t xml:space="preserve"> </w:t>
      </w:r>
      <w:r>
        <w:t>way</w:t>
      </w:r>
      <w:r>
        <w:rPr>
          <w:spacing w:val="-2"/>
        </w:rPr>
        <w:t xml:space="preserve"> </w:t>
      </w:r>
      <w:r>
        <w:t>of</w:t>
      </w:r>
      <w:r>
        <w:rPr>
          <w:spacing w:val="-2"/>
        </w:rPr>
        <w:t xml:space="preserve"> </w:t>
      </w:r>
      <w:r>
        <w:t>saying</w:t>
      </w:r>
      <w:r>
        <w:rPr>
          <w:spacing w:val="-2"/>
        </w:rPr>
        <w:t xml:space="preserve"> </w:t>
      </w:r>
      <w:r>
        <w:t>exactly</w:t>
      </w:r>
      <w:r>
        <w:rPr>
          <w:spacing w:val="-2"/>
        </w:rPr>
        <w:t xml:space="preserve"> </w:t>
      </w:r>
      <w:r>
        <w:t>this.</w:t>
      </w:r>
      <w:r>
        <w:rPr>
          <w:spacing w:val="-2"/>
        </w:rPr>
        <w:t xml:space="preserve"> </w:t>
      </w:r>
      <w:r>
        <w:t>“3</w:t>
      </w:r>
      <w:r>
        <w:rPr>
          <w:spacing w:val="-2"/>
        </w:rPr>
        <w:t xml:space="preserve"> </w:t>
      </w:r>
      <w:r>
        <w:t>–</w:t>
      </w:r>
      <w:r>
        <w:rPr>
          <w:spacing w:val="-2"/>
        </w:rPr>
        <w:t xml:space="preserve"> </w:t>
      </w:r>
      <w:r>
        <w:t>2</w:t>
      </w:r>
      <w:r>
        <w:rPr>
          <w:spacing w:val="-2"/>
        </w:rPr>
        <w:t xml:space="preserve"> </w:t>
      </w:r>
      <w:r>
        <w:t>=</w:t>
      </w:r>
      <w:r>
        <w:rPr>
          <w:spacing w:val="-2"/>
        </w:rPr>
        <w:t xml:space="preserve"> </w:t>
      </w:r>
      <w:r>
        <w:t>1” says the same thing, given that it is a notational variant of “1 + 2 = 3.”</w:t>
      </w:r>
    </w:p>
    <w:p w14:paraId="7E001016"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017" w14:textId="77777777" w:rsidR="009A58DB" w:rsidRDefault="00000000">
      <w:pPr>
        <w:pStyle w:val="BodyText"/>
        <w:spacing w:before="65" w:line="249" w:lineRule="auto"/>
        <w:ind w:right="360" w:firstLine="360"/>
      </w:pPr>
      <w:r>
        <w:lastRenderedPageBreak/>
        <w:t>In general, each of ‹A + B = C› and ‹C – B = A› is a compressed way of saying that, for any properties phi and psi, given A phi’s and B psi’s, none of them a phi, there are C phi’s or psi’s.</w:t>
      </w:r>
    </w:p>
    <w:p w14:paraId="7E001018" w14:textId="77777777" w:rsidR="009A58DB" w:rsidRDefault="00000000">
      <w:pPr>
        <w:pStyle w:val="BodyText"/>
        <w:spacing w:before="3" w:line="249" w:lineRule="auto"/>
        <w:ind w:right="361" w:firstLine="360"/>
        <w:rPr>
          <w:i/>
        </w:rPr>
      </w:pPr>
      <w:r>
        <w:t xml:space="preserve">The occurrences of “1,” “2,” and “3” in “1 + 2 = 3” are really adjectival. What is being said is that, given one </w:t>
      </w:r>
      <w:r>
        <w:rPr>
          <w:i/>
        </w:rPr>
        <w:t xml:space="preserve">phi </w:t>
      </w:r>
      <w:r>
        <w:t xml:space="preserve">along with two </w:t>
      </w:r>
      <w:r>
        <w:rPr>
          <w:i/>
        </w:rPr>
        <w:t xml:space="preserve">psi’s, </w:t>
      </w:r>
      <w:r>
        <w:t xml:space="preserve">neither of which is a phi, there are three </w:t>
      </w:r>
      <w:r>
        <w:rPr>
          <w:i/>
        </w:rPr>
        <w:t>phi’s or psi’s.</w:t>
      </w:r>
    </w:p>
    <w:p w14:paraId="7E001019" w14:textId="77777777" w:rsidR="009A58DB" w:rsidRDefault="00000000">
      <w:pPr>
        <w:pStyle w:val="BodyText"/>
        <w:spacing w:before="4" w:line="249" w:lineRule="auto"/>
        <w:ind w:right="358" w:firstLine="360"/>
      </w:pPr>
      <w:r>
        <w:t>Remember that, for any whole number N, it can be said what an N-membered set is without using any number expressions. Thus, despite first appearances, the just-stated analysis is not circular. The number two is the class of two-membered sets. A “two membered” set is one such that some member x of that set is not identical with some other member y and such that z belongs to that set just in case z is identical with x or y. No mention of the number two.</w:t>
      </w:r>
    </w:p>
    <w:p w14:paraId="7E00101A" w14:textId="77777777" w:rsidR="009A58DB" w:rsidRDefault="00000000">
      <w:pPr>
        <w:pStyle w:val="BodyText"/>
        <w:spacing w:before="9" w:line="249" w:lineRule="auto"/>
        <w:ind w:right="359" w:firstLine="360"/>
      </w:pPr>
      <w:r>
        <w:t>In general, for any whole numbers A, B, and C, ‹A + B = C› can be translated into statements containing no number expressions.</w:t>
      </w:r>
    </w:p>
    <w:p w14:paraId="7E00101B" w14:textId="77777777" w:rsidR="009A58DB" w:rsidRDefault="00000000">
      <w:pPr>
        <w:pStyle w:val="Heading3"/>
        <w:numPr>
          <w:ilvl w:val="2"/>
          <w:numId w:val="166"/>
        </w:numPr>
        <w:tabs>
          <w:tab w:val="left" w:pos="1136"/>
        </w:tabs>
        <w:spacing w:before="190"/>
        <w:ind w:left="1136" w:hanging="776"/>
        <w:jc w:val="both"/>
      </w:pPr>
      <w:r>
        <w:t>Multiplying</w:t>
      </w:r>
      <w:r>
        <w:rPr>
          <w:spacing w:val="8"/>
        </w:rPr>
        <w:t xml:space="preserve"> </w:t>
      </w:r>
      <w:r>
        <w:t>whole</w:t>
      </w:r>
      <w:r>
        <w:rPr>
          <w:spacing w:val="8"/>
        </w:rPr>
        <w:t xml:space="preserve"> </w:t>
      </w:r>
      <w:r>
        <w:rPr>
          <w:spacing w:val="-2"/>
        </w:rPr>
        <w:t>numbers</w:t>
      </w:r>
    </w:p>
    <w:p w14:paraId="7E00101C" w14:textId="77777777" w:rsidR="009A58DB" w:rsidRDefault="00000000">
      <w:pPr>
        <w:pStyle w:val="BodyText"/>
        <w:spacing w:before="141" w:line="249" w:lineRule="auto"/>
        <w:ind w:right="359"/>
      </w:pPr>
      <w:r>
        <w:t>“2 × 3 = 6” says that the Cartesian product of a two-membered set and a three-membered set is a six-membered set. (For reasons that will become apparent, it doesn’t matter whether the sets overlap.) The Cartesian product</w:t>
      </w:r>
      <w:r>
        <w:rPr>
          <w:spacing w:val="40"/>
        </w:rPr>
        <w:t xml:space="preserve"> </w:t>
      </w:r>
      <w:r>
        <w:t>of</w:t>
      </w:r>
      <w:r>
        <w:rPr>
          <w:spacing w:val="9"/>
        </w:rPr>
        <w:t xml:space="preserve"> </w:t>
      </w:r>
      <w:r>
        <w:t>two</w:t>
      </w:r>
      <w:r>
        <w:rPr>
          <w:spacing w:val="11"/>
        </w:rPr>
        <w:t xml:space="preserve"> </w:t>
      </w:r>
      <w:r>
        <w:t>sets</w:t>
      </w:r>
      <w:r>
        <w:rPr>
          <w:spacing w:val="10"/>
        </w:rPr>
        <w:t xml:space="preserve"> </w:t>
      </w:r>
      <w:r>
        <w:t>S</w:t>
      </w:r>
      <w:r>
        <w:rPr>
          <w:vertAlign w:val="subscript"/>
        </w:rPr>
        <w:t>1</w:t>
      </w:r>
      <w:r>
        <w:rPr>
          <w:spacing w:val="7"/>
        </w:rPr>
        <w:t xml:space="preserve"> </w:t>
      </w:r>
      <w:r>
        <w:t>and</w:t>
      </w:r>
      <w:r>
        <w:rPr>
          <w:spacing w:val="8"/>
        </w:rPr>
        <w:t xml:space="preserve"> </w:t>
      </w:r>
      <w:r>
        <w:t>S</w:t>
      </w:r>
      <w:r>
        <w:rPr>
          <w:vertAlign w:val="subscript"/>
        </w:rPr>
        <w:t>2</w:t>
      </w:r>
      <w:r>
        <w:rPr>
          <w:spacing w:val="14"/>
        </w:rPr>
        <w:t xml:space="preserve"> </w:t>
      </w:r>
      <w:r>
        <w:t>is</w:t>
      </w:r>
      <w:r>
        <w:rPr>
          <w:spacing w:val="14"/>
        </w:rPr>
        <w:t xml:space="preserve"> </w:t>
      </w:r>
      <w:r>
        <w:t>the</w:t>
      </w:r>
      <w:r>
        <w:rPr>
          <w:spacing w:val="14"/>
        </w:rPr>
        <w:t xml:space="preserve"> </w:t>
      </w:r>
      <w:r>
        <w:t>set</w:t>
      </w:r>
      <w:r>
        <w:rPr>
          <w:spacing w:val="13"/>
        </w:rPr>
        <w:t xml:space="preserve"> </w:t>
      </w:r>
      <w:r>
        <w:t>of</w:t>
      </w:r>
      <w:r>
        <w:rPr>
          <w:spacing w:val="14"/>
        </w:rPr>
        <w:t xml:space="preserve"> </w:t>
      </w:r>
      <w:r>
        <w:t>ordered</w:t>
      </w:r>
      <w:r>
        <w:rPr>
          <w:spacing w:val="14"/>
        </w:rPr>
        <w:t xml:space="preserve"> </w:t>
      </w:r>
      <w:r>
        <w:t>pairs</w:t>
      </w:r>
      <w:r>
        <w:rPr>
          <w:spacing w:val="14"/>
        </w:rPr>
        <w:t xml:space="preserve"> </w:t>
      </w:r>
      <w:r>
        <w:t>&lt;a,</w:t>
      </w:r>
      <w:r>
        <w:rPr>
          <w:spacing w:val="13"/>
        </w:rPr>
        <w:t xml:space="preserve"> </w:t>
      </w:r>
      <w:r>
        <w:t>b&gt;</w:t>
      </w:r>
      <w:r>
        <w:rPr>
          <w:spacing w:val="14"/>
        </w:rPr>
        <w:t xml:space="preserve"> </w:t>
      </w:r>
      <w:r>
        <w:t>such</w:t>
      </w:r>
      <w:r>
        <w:rPr>
          <w:spacing w:val="14"/>
        </w:rPr>
        <w:t xml:space="preserve"> </w:t>
      </w:r>
      <w:r>
        <w:t>that</w:t>
      </w:r>
      <w:r>
        <w:rPr>
          <w:spacing w:val="14"/>
        </w:rPr>
        <w:t xml:space="preserve"> </w:t>
      </w:r>
      <w:r>
        <w:t>a</w:t>
      </w:r>
      <w:r>
        <w:rPr>
          <w:spacing w:val="14"/>
        </w:rPr>
        <w:t xml:space="preserve"> </w:t>
      </w:r>
      <w:r>
        <w:t>belongs</w:t>
      </w:r>
      <w:r>
        <w:rPr>
          <w:spacing w:val="13"/>
        </w:rPr>
        <w:t xml:space="preserve"> </w:t>
      </w:r>
      <w:r>
        <w:rPr>
          <w:spacing w:val="-5"/>
        </w:rPr>
        <w:t>to</w:t>
      </w:r>
    </w:p>
    <w:p w14:paraId="7E00101D" w14:textId="77777777" w:rsidR="009A58DB" w:rsidRDefault="00000000">
      <w:pPr>
        <w:pStyle w:val="BodyText"/>
        <w:spacing w:before="65"/>
      </w:pPr>
      <w:r>
        <w:t>the</w:t>
      </w:r>
      <w:r>
        <w:rPr>
          <w:spacing w:val="-4"/>
        </w:rPr>
        <w:t xml:space="preserve"> </w:t>
      </w:r>
      <w:r>
        <w:t>one</w:t>
      </w:r>
      <w:r>
        <w:rPr>
          <w:spacing w:val="-2"/>
        </w:rPr>
        <w:t xml:space="preserve"> </w:t>
      </w:r>
      <w:r>
        <w:t>set</w:t>
      </w:r>
      <w:r>
        <w:rPr>
          <w:spacing w:val="-2"/>
        </w:rPr>
        <w:t xml:space="preserve"> </w:t>
      </w:r>
      <w:r>
        <w:t>and</w:t>
      </w:r>
      <w:r>
        <w:rPr>
          <w:spacing w:val="-1"/>
        </w:rPr>
        <w:t xml:space="preserve"> </w:t>
      </w:r>
      <w:r>
        <w:t>b</w:t>
      </w:r>
      <w:r>
        <w:rPr>
          <w:spacing w:val="-1"/>
        </w:rPr>
        <w:t xml:space="preserve"> </w:t>
      </w:r>
      <w:r>
        <w:t>belongs</w:t>
      </w:r>
      <w:r>
        <w:rPr>
          <w:spacing w:val="-2"/>
        </w:rPr>
        <w:t xml:space="preserve"> </w:t>
      </w:r>
      <w:r>
        <w:t>to</w:t>
      </w:r>
      <w:r>
        <w:rPr>
          <w:spacing w:val="-1"/>
        </w:rPr>
        <w:t xml:space="preserve"> </w:t>
      </w:r>
      <w:r>
        <w:t>the</w:t>
      </w:r>
      <w:r>
        <w:rPr>
          <w:spacing w:val="-2"/>
        </w:rPr>
        <w:t xml:space="preserve"> other.</w:t>
      </w:r>
    </w:p>
    <w:p w14:paraId="7E00101E" w14:textId="77777777" w:rsidR="009A58DB" w:rsidRDefault="00000000">
      <w:pPr>
        <w:pStyle w:val="BodyText"/>
        <w:spacing w:before="15" w:line="249" w:lineRule="auto"/>
        <w:ind w:right="362" w:firstLine="360"/>
      </w:pPr>
      <w:r>
        <w:t>Explanation: “2 × 3 = 6” can be thought of as saying that double-counting the members of a three-membered group yields a total count of six. In other words, given a group of three objects, if you count that group once and then count it once more, the total count will be six.</w:t>
      </w:r>
    </w:p>
    <w:p w14:paraId="7E00101F" w14:textId="77777777" w:rsidR="009A58DB" w:rsidRDefault="00000000">
      <w:pPr>
        <w:pStyle w:val="BodyText"/>
        <w:spacing w:before="5" w:line="271" w:lineRule="auto"/>
        <w:ind w:right="358" w:firstLine="360"/>
        <w:rPr>
          <w:position w:val="-7"/>
          <w:sz w:val="22"/>
        </w:rPr>
      </w:pPr>
      <w:r>
        <w:t>Let</w:t>
      </w:r>
      <w:r>
        <w:rPr>
          <w:spacing w:val="-2"/>
        </w:rPr>
        <w:t xml:space="preserve"> </w:t>
      </w:r>
      <w:r>
        <w:t>C</w:t>
      </w:r>
      <w:r>
        <w:rPr>
          <w:position w:val="-7"/>
          <w:sz w:val="22"/>
        </w:rPr>
        <w:t>1</w:t>
      </w:r>
      <w:r>
        <w:t>,</w:t>
      </w:r>
      <w:r>
        <w:rPr>
          <w:spacing w:val="-1"/>
        </w:rPr>
        <w:t xml:space="preserve"> </w:t>
      </w:r>
      <w:r>
        <w:t>C</w:t>
      </w:r>
      <w:r>
        <w:rPr>
          <w:position w:val="-7"/>
          <w:sz w:val="22"/>
        </w:rPr>
        <w:t>2</w:t>
      </w:r>
      <w:r>
        <w:t>, and C</w:t>
      </w:r>
      <w:r>
        <w:rPr>
          <w:position w:val="-7"/>
          <w:sz w:val="22"/>
        </w:rPr>
        <w:t xml:space="preserve">3 </w:t>
      </w:r>
      <w:r>
        <w:t>be Sally’s three cars, and let A</w:t>
      </w:r>
      <w:r>
        <w:rPr>
          <w:position w:val="-7"/>
          <w:sz w:val="22"/>
        </w:rPr>
        <w:t>1</w:t>
      </w:r>
      <w:r>
        <w:rPr>
          <w:spacing w:val="33"/>
          <w:position w:val="-7"/>
          <w:sz w:val="22"/>
        </w:rPr>
        <w:t xml:space="preserve"> </w:t>
      </w:r>
      <w:r>
        <w:t>and A</w:t>
      </w:r>
      <w:r>
        <w:rPr>
          <w:position w:val="-7"/>
          <w:sz w:val="22"/>
        </w:rPr>
        <w:t>2</w:t>
      </w:r>
      <w:r>
        <w:rPr>
          <w:spacing w:val="33"/>
          <w:position w:val="-7"/>
          <w:sz w:val="22"/>
        </w:rPr>
        <w:t xml:space="preserve"> </w:t>
      </w:r>
      <w:r>
        <w:t>be Larry’s two apples. If A</w:t>
      </w:r>
      <w:r>
        <w:rPr>
          <w:vertAlign w:val="subscript"/>
        </w:rPr>
        <w:t>1</w:t>
      </w:r>
      <w:r>
        <w:t xml:space="preserve"> is allowed to couple with each of Sally’s cars, the result is the</w:t>
      </w:r>
      <w:r>
        <w:rPr>
          <w:spacing w:val="40"/>
        </w:rPr>
        <w:t xml:space="preserve"> </w:t>
      </w:r>
      <w:r>
        <w:t>set</w:t>
      </w:r>
      <w:r>
        <w:rPr>
          <w:spacing w:val="12"/>
        </w:rPr>
        <w:t xml:space="preserve"> </w:t>
      </w:r>
      <w:r>
        <w:t>containing</w:t>
      </w:r>
      <w:r>
        <w:rPr>
          <w:spacing w:val="13"/>
        </w:rPr>
        <w:t xml:space="preserve"> </w:t>
      </w:r>
      <w:r>
        <w:t>the</w:t>
      </w:r>
      <w:r>
        <w:rPr>
          <w:spacing w:val="13"/>
        </w:rPr>
        <w:t xml:space="preserve"> </w:t>
      </w:r>
      <w:r>
        <w:t>pairs</w:t>
      </w:r>
      <w:r>
        <w:rPr>
          <w:spacing w:val="12"/>
        </w:rPr>
        <w:t xml:space="preserve"> </w:t>
      </w:r>
      <w:r>
        <w:t>&lt;A</w:t>
      </w:r>
      <w:r>
        <w:rPr>
          <w:position w:val="-7"/>
          <w:sz w:val="22"/>
        </w:rPr>
        <w:t>1</w:t>
      </w:r>
      <w:r>
        <w:t>,C</w:t>
      </w:r>
      <w:r>
        <w:rPr>
          <w:position w:val="-7"/>
          <w:sz w:val="22"/>
        </w:rPr>
        <w:t>1</w:t>
      </w:r>
      <w:r>
        <w:t>&gt;,</w:t>
      </w:r>
      <w:r>
        <w:rPr>
          <w:spacing w:val="14"/>
        </w:rPr>
        <w:t xml:space="preserve"> </w:t>
      </w:r>
      <w:r>
        <w:t>&lt;A</w:t>
      </w:r>
      <w:r>
        <w:rPr>
          <w:position w:val="-7"/>
          <w:sz w:val="22"/>
        </w:rPr>
        <w:t>1</w:t>
      </w:r>
      <w:r>
        <w:t>,C</w:t>
      </w:r>
      <w:r>
        <w:rPr>
          <w:position w:val="-7"/>
          <w:sz w:val="22"/>
        </w:rPr>
        <w:t>2</w:t>
      </w:r>
      <w:r>
        <w:t>&gt;,</w:t>
      </w:r>
      <w:r>
        <w:rPr>
          <w:spacing w:val="13"/>
        </w:rPr>
        <w:t xml:space="preserve"> </w:t>
      </w:r>
      <w:r>
        <w:t>and</w:t>
      </w:r>
      <w:r>
        <w:rPr>
          <w:spacing w:val="14"/>
        </w:rPr>
        <w:t xml:space="preserve"> </w:t>
      </w:r>
      <w:r>
        <w:t>&lt;A</w:t>
      </w:r>
      <w:r>
        <w:rPr>
          <w:position w:val="-7"/>
          <w:sz w:val="22"/>
        </w:rPr>
        <w:t>1</w:t>
      </w:r>
      <w:r>
        <w:t>,C</w:t>
      </w:r>
      <w:r>
        <w:rPr>
          <w:position w:val="-7"/>
          <w:sz w:val="22"/>
        </w:rPr>
        <w:t>3</w:t>
      </w:r>
      <w:r>
        <w:t>&gt;.</w:t>
      </w:r>
      <w:r>
        <w:rPr>
          <w:spacing w:val="20"/>
        </w:rPr>
        <w:t xml:space="preserve"> </w:t>
      </w:r>
      <w:r>
        <w:t>In</w:t>
      </w:r>
      <w:r>
        <w:rPr>
          <w:spacing w:val="20"/>
        </w:rPr>
        <w:t xml:space="preserve"> </w:t>
      </w:r>
      <w:r>
        <w:t>this</w:t>
      </w:r>
      <w:r>
        <w:rPr>
          <w:spacing w:val="20"/>
        </w:rPr>
        <w:t xml:space="preserve"> </w:t>
      </w:r>
      <w:r>
        <w:t>context,</w:t>
      </w:r>
      <w:r>
        <w:rPr>
          <w:spacing w:val="21"/>
        </w:rPr>
        <w:t xml:space="preserve"> </w:t>
      </w:r>
      <w:r>
        <w:rPr>
          <w:spacing w:val="-5"/>
        </w:rPr>
        <w:t>A</w:t>
      </w:r>
      <w:r>
        <w:rPr>
          <w:spacing w:val="-5"/>
          <w:position w:val="-7"/>
          <w:sz w:val="22"/>
        </w:rPr>
        <w:t>1</w:t>
      </w:r>
    </w:p>
    <w:p w14:paraId="7E001020" w14:textId="77777777" w:rsidR="009A58DB" w:rsidRDefault="00000000">
      <w:pPr>
        <w:pStyle w:val="BodyText"/>
        <w:spacing w:line="310" w:lineRule="exact"/>
      </w:pPr>
      <w:r>
        <w:t>is</w:t>
      </w:r>
      <w:r>
        <w:rPr>
          <w:spacing w:val="-2"/>
        </w:rPr>
        <w:t xml:space="preserve"> </w:t>
      </w:r>
      <w:r>
        <w:t>applying</w:t>
      </w:r>
      <w:r>
        <w:rPr>
          <w:spacing w:val="-2"/>
        </w:rPr>
        <w:t xml:space="preserve"> </w:t>
      </w:r>
      <w:r>
        <w:t>a</w:t>
      </w:r>
      <w:r>
        <w:rPr>
          <w:spacing w:val="-2"/>
        </w:rPr>
        <w:t xml:space="preserve"> </w:t>
      </w:r>
      <w:r>
        <w:t>distinctive</w:t>
      </w:r>
      <w:r>
        <w:rPr>
          <w:spacing w:val="-1"/>
        </w:rPr>
        <w:t xml:space="preserve"> </w:t>
      </w:r>
      <w:r>
        <w:t>marker</w:t>
      </w:r>
      <w:r>
        <w:rPr>
          <w:spacing w:val="-2"/>
        </w:rPr>
        <w:t xml:space="preserve"> </w:t>
      </w:r>
      <w:r>
        <w:t>to</w:t>
      </w:r>
      <w:r>
        <w:rPr>
          <w:spacing w:val="-2"/>
        </w:rPr>
        <w:t xml:space="preserve"> </w:t>
      </w:r>
      <w:r>
        <w:t>each</w:t>
      </w:r>
      <w:r>
        <w:rPr>
          <w:spacing w:val="-2"/>
        </w:rPr>
        <w:t xml:space="preserve"> </w:t>
      </w:r>
      <w:r>
        <w:t>member</w:t>
      </w:r>
      <w:r>
        <w:rPr>
          <w:spacing w:val="-1"/>
        </w:rPr>
        <w:t xml:space="preserve"> </w:t>
      </w:r>
      <w:r>
        <w:t>of</w:t>
      </w:r>
      <w:r>
        <w:rPr>
          <w:spacing w:val="-2"/>
        </w:rPr>
        <w:t xml:space="preserve"> </w:t>
      </w:r>
      <w:r>
        <w:t>the</w:t>
      </w:r>
      <w:r>
        <w:rPr>
          <w:spacing w:val="-2"/>
        </w:rPr>
        <w:t xml:space="preserve"> </w:t>
      </w:r>
      <w:r>
        <w:t>smallest</w:t>
      </w:r>
      <w:r>
        <w:rPr>
          <w:spacing w:val="-2"/>
        </w:rPr>
        <w:t xml:space="preserve"> </w:t>
      </w:r>
      <w:r>
        <w:t>set</w:t>
      </w:r>
      <w:r>
        <w:rPr>
          <w:spacing w:val="-1"/>
        </w:rPr>
        <w:t xml:space="preserve"> </w:t>
      </w:r>
      <w:r>
        <w:rPr>
          <w:spacing w:val="-2"/>
        </w:rPr>
        <w:t>containing</w:t>
      </w:r>
    </w:p>
    <w:p w14:paraId="7E001021" w14:textId="77777777" w:rsidR="009A58DB" w:rsidRDefault="00000000">
      <w:pPr>
        <w:pStyle w:val="BodyText"/>
        <w:spacing w:before="15" w:line="249" w:lineRule="auto"/>
        <w:ind w:right="360"/>
      </w:pPr>
      <w:r>
        <w:t>each</w:t>
      </w:r>
      <w:r>
        <w:rPr>
          <w:spacing w:val="-2"/>
        </w:rPr>
        <w:t xml:space="preserve"> </w:t>
      </w:r>
      <w:r>
        <w:t>of</w:t>
      </w:r>
      <w:r>
        <w:rPr>
          <w:spacing w:val="-3"/>
        </w:rPr>
        <w:t xml:space="preserve"> </w:t>
      </w:r>
      <w:r>
        <w:t>Sally’s</w:t>
      </w:r>
      <w:r>
        <w:rPr>
          <w:spacing w:val="-3"/>
        </w:rPr>
        <w:t xml:space="preserve"> </w:t>
      </w:r>
      <w:r>
        <w:t>cars.</w:t>
      </w:r>
      <w:r>
        <w:rPr>
          <w:spacing w:val="-2"/>
        </w:rPr>
        <w:t xml:space="preserve"> </w:t>
      </w:r>
      <w:r>
        <w:t>A</w:t>
      </w:r>
      <w:r>
        <w:rPr>
          <w:position w:val="-7"/>
          <w:sz w:val="22"/>
        </w:rPr>
        <w:t xml:space="preserve">1 </w:t>
      </w:r>
      <w:r>
        <w:t>is</w:t>
      </w:r>
      <w:r>
        <w:rPr>
          <w:spacing w:val="-3"/>
        </w:rPr>
        <w:t xml:space="preserve"> </w:t>
      </w:r>
      <w:r>
        <w:t>marking</w:t>
      </w:r>
      <w:r>
        <w:rPr>
          <w:spacing w:val="-2"/>
        </w:rPr>
        <w:t xml:space="preserve"> </w:t>
      </w:r>
      <w:r>
        <w:t>C</w:t>
      </w:r>
      <w:r>
        <w:rPr>
          <w:position w:val="-7"/>
          <w:sz w:val="22"/>
        </w:rPr>
        <w:t>1</w:t>
      </w:r>
      <w:r>
        <w:t>,</w:t>
      </w:r>
      <w:r>
        <w:rPr>
          <w:spacing w:val="-2"/>
        </w:rPr>
        <w:t xml:space="preserve"> </w:t>
      </w:r>
      <w:r>
        <w:t>C</w:t>
      </w:r>
      <w:r>
        <w:rPr>
          <w:position w:val="-7"/>
          <w:sz w:val="22"/>
        </w:rPr>
        <w:t>2</w:t>
      </w:r>
      <w:r>
        <w:t>,</w:t>
      </w:r>
      <w:r>
        <w:rPr>
          <w:spacing w:val="-2"/>
        </w:rPr>
        <w:t xml:space="preserve"> </w:t>
      </w:r>
      <w:r>
        <w:t>and</w:t>
      </w:r>
      <w:r>
        <w:rPr>
          <w:spacing w:val="-2"/>
        </w:rPr>
        <w:t xml:space="preserve"> </w:t>
      </w:r>
      <w:r>
        <w:t>C</w:t>
      </w:r>
      <w:r>
        <w:rPr>
          <w:position w:val="-7"/>
          <w:sz w:val="22"/>
        </w:rPr>
        <w:t>3</w:t>
      </w:r>
      <w:r>
        <w:rPr>
          <w:spacing w:val="20"/>
          <w:position w:val="-7"/>
          <w:sz w:val="22"/>
        </w:rPr>
        <w:t xml:space="preserve"> </w:t>
      </w:r>
      <w:r>
        <w:t>with the ordered pairs &lt;A</w:t>
      </w:r>
      <w:r>
        <w:rPr>
          <w:position w:val="-7"/>
          <w:sz w:val="22"/>
        </w:rPr>
        <w:t>1</w:t>
      </w:r>
      <w:r>
        <w:t>, C</w:t>
      </w:r>
      <w:r>
        <w:rPr>
          <w:position w:val="-7"/>
          <w:sz w:val="22"/>
        </w:rPr>
        <w:t>1</w:t>
      </w:r>
      <w:r>
        <w:t>&gt;, &lt;A</w:t>
      </w:r>
      <w:r>
        <w:rPr>
          <w:position w:val="-7"/>
          <w:sz w:val="22"/>
        </w:rPr>
        <w:t>1</w:t>
      </w:r>
      <w:r>
        <w:t>, C</w:t>
      </w:r>
      <w:r>
        <w:rPr>
          <w:position w:val="-7"/>
          <w:sz w:val="22"/>
        </w:rPr>
        <w:t>2</w:t>
      </w:r>
      <w:r>
        <w:t>&gt;, and &lt;A</w:t>
      </w:r>
      <w:r>
        <w:rPr>
          <w:position w:val="-7"/>
          <w:sz w:val="22"/>
        </w:rPr>
        <w:t>1,</w:t>
      </w:r>
      <w:r>
        <w:t>C</w:t>
      </w:r>
      <w:r>
        <w:rPr>
          <w:position w:val="-7"/>
          <w:sz w:val="22"/>
        </w:rPr>
        <w:t>3</w:t>
      </w:r>
      <w:r>
        <w:t>&gt;, respectively. When you count your socks, you apply</w:t>
      </w:r>
      <w:r>
        <w:rPr>
          <w:spacing w:val="-1"/>
        </w:rPr>
        <w:t xml:space="preserve"> </w:t>
      </w:r>
      <w:r>
        <w:t>a</w:t>
      </w:r>
      <w:r>
        <w:rPr>
          <w:spacing w:val="-1"/>
        </w:rPr>
        <w:t xml:space="preserve"> </w:t>
      </w:r>
      <w:r>
        <w:t>distinctive</w:t>
      </w:r>
      <w:r>
        <w:rPr>
          <w:spacing w:val="-1"/>
        </w:rPr>
        <w:t xml:space="preserve"> </w:t>
      </w:r>
      <w:r>
        <w:t>marker</w:t>
      </w:r>
      <w:r>
        <w:rPr>
          <w:spacing w:val="-1"/>
        </w:rPr>
        <w:t xml:space="preserve"> </w:t>
      </w:r>
      <w:r>
        <w:t>to</w:t>
      </w:r>
      <w:r>
        <w:rPr>
          <w:spacing w:val="-1"/>
        </w:rPr>
        <w:t xml:space="preserve"> </w:t>
      </w:r>
      <w:r>
        <w:t>each</w:t>
      </w:r>
      <w:r>
        <w:rPr>
          <w:spacing w:val="-1"/>
        </w:rPr>
        <w:t xml:space="preserve"> </w:t>
      </w:r>
      <w:r>
        <w:t>sock.</w:t>
      </w:r>
      <w:r>
        <w:rPr>
          <w:spacing w:val="-1"/>
        </w:rPr>
        <w:t xml:space="preserve"> </w:t>
      </w:r>
      <w:r>
        <w:t>You</w:t>
      </w:r>
      <w:r>
        <w:rPr>
          <w:spacing w:val="-1"/>
        </w:rPr>
        <w:t xml:space="preserve"> </w:t>
      </w:r>
      <w:r>
        <w:t>mark</w:t>
      </w:r>
      <w:r>
        <w:rPr>
          <w:spacing w:val="-1"/>
        </w:rPr>
        <w:t xml:space="preserve"> </w:t>
      </w:r>
      <w:r>
        <w:t>the</w:t>
      </w:r>
      <w:r>
        <w:rPr>
          <w:spacing w:val="-1"/>
        </w:rPr>
        <w:t xml:space="preserve"> </w:t>
      </w:r>
      <w:r>
        <w:t>first</w:t>
      </w:r>
      <w:r>
        <w:rPr>
          <w:spacing w:val="-2"/>
        </w:rPr>
        <w:t xml:space="preserve"> </w:t>
      </w:r>
      <w:r>
        <w:t>sock</w:t>
      </w:r>
      <w:r>
        <w:rPr>
          <w:spacing w:val="-1"/>
        </w:rPr>
        <w:t xml:space="preserve"> </w:t>
      </w:r>
      <w:r>
        <w:t>with</w:t>
      </w:r>
      <w:r>
        <w:rPr>
          <w:spacing w:val="-1"/>
        </w:rPr>
        <w:t xml:space="preserve"> </w:t>
      </w:r>
      <w:r>
        <w:t>a</w:t>
      </w:r>
      <w:r>
        <w:rPr>
          <w:spacing w:val="-1"/>
        </w:rPr>
        <w:t xml:space="preserve"> </w:t>
      </w:r>
      <w:r>
        <w:t>“one,” the</w:t>
      </w:r>
      <w:r>
        <w:rPr>
          <w:spacing w:val="-2"/>
        </w:rPr>
        <w:t xml:space="preserve"> </w:t>
      </w:r>
      <w:r>
        <w:t>second</w:t>
      </w:r>
      <w:r>
        <w:rPr>
          <w:spacing w:val="-1"/>
        </w:rPr>
        <w:t xml:space="preserve"> </w:t>
      </w:r>
      <w:r>
        <w:t>with a</w:t>
      </w:r>
      <w:r>
        <w:rPr>
          <w:spacing w:val="-2"/>
        </w:rPr>
        <w:t xml:space="preserve"> </w:t>
      </w:r>
      <w:r>
        <w:t>“two,”</w:t>
      </w:r>
      <w:r>
        <w:rPr>
          <w:spacing w:val="-2"/>
        </w:rPr>
        <w:t xml:space="preserve"> </w:t>
      </w:r>
      <w:r>
        <w:t>etc. Thus,</w:t>
      </w:r>
      <w:r>
        <w:rPr>
          <w:spacing w:val="-1"/>
        </w:rPr>
        <w:t xml:space="preserve"> </w:t>
      </w:r>
      <w:r>
        <w:t>A</w:t>
      </w:r>
      <w:r>
        <w:rPr>
          <w:vertAlign w:val="subscript"/>
        </w:rPr>
        <w:t>1</w:t>
      </w:r>
      <w:r>
        <w:t xml:space="preserve"> is</w:t>
      </w:r>
      <w:r>
        <w:rPr>
          <w:spacing w:val="-2"/>
        </w:rPr>
        <w:t xml:space="preserve"> </w:t>
      </w:r>
      <w:r>
        <w:t>doing</w:t>
      </w:r>
      <w:r>
        <w:rPr>
          <w:spacing w:val="-1"/>
        </w:rPr>
        <w:t xml:space="preserve"> </w:t>
      </w:r>
      <w:r>
        <w:t>to each</w:t>
      </w:r>
      <w:r>
        <w:rPr>
          <w:spacing w:val="-1"/>
        </w:rPr>
        <w:t xml:space="preserve"> </w:t>
      </w:r>
      <w:r>
        <w:t>of</w:t>
      </w:r>
      <w:r>
        <w:rPr>
          <w:spacing w:val="-1"/>
        </w:rPr>
        <w:t xml:space="preserve"> </w:t>
      </w:r>
      <w:r>
        <w:t>Sally’s</w:t>
      </w:r>
      <w:r>
        <w:rPr>
          <w:spacing w:val="-2"/>
        </w:rPr>
        <w:t xml:space="preserve"> </w:t>
      </w:r>
      <w:r>
        <w:t>houses</w:t>
      </w:r>
      <w:r>
        <w:rPr>
          <w:spacing w:val="-2"/>
        </w:rPr>
        <w:t xml:space="preserve"> </w:t>
      </w:r>
      <w:r>
        <w:rPr>
          <w:spacing w:val="-4"/>
        </w:rPr>
        <w:t>what</w:t>
      </w:r>
    </w:p>
    <w:p w14:paraId="7E00102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23" w14:textId="77777777" w:rsidR="009A58DB" w:rsidRDefault="00000000">
      <w:pPr>
        <w:pStyle w:val="BodyText"/>
        <w:spacing w:before="60"/>
      </w:pPr>
      <w:r>
        <w:lastRenderedPageBreak/>
        <w:t>you</w:t>
      </w:r>
      <w:r>
        <w:rPr>
          <w:spacing w:val="-1"/>
        </w:rPr>
        <w:t xml:space="preserve"> </w:t>
      </w:r>
      <w:r>
        <w:t>are</w:t>
      </w:r>
      <w:r>
        <w:rPr>
          <w:spacing w:val="-2"/>
        </w:rPr>
        <w:t xml:space="preserve"> </w:t>
      </w:r>
      <w:r>
        <w:t>doing</w:t>
      </w:r>
      <w:r>
        <w:rPr>
          <w:spacing w:val="-1"/>
        </w:rPr>
        <w:t xml:space="preserve"> </w:t>
      </w:r>
      <w:r>
        <w:t>when</w:t>
      </w:r>
      <w:r>
        <w:rPr>
          <w:spacing w:val="-1"/>
        </w:rPr>
        <w:t xml:space="preserve"> </w:t>
      </w:r>
      <w:r>
        <w:t>you</w:t>
      </w:r>
      <w:r>
        <w:rPr>
          <w:spacing w:val="-1"/>
        </w:rPr>
        <w:t xml:space="preserve"> </w:t>
      </w:r>
      <w:r>
        <w:t>count</w:t>
      </w:r>
      <w:r>
        <w:rPr>
          <w:spacing w:val="-2"/>
        </w:rPr>
        <w:t xml:space="preserve"> </w:t>
      </w:r>
      <w:r>
        <w:t>your</w:t>
      </w:r>
      <w:r>
        <w:rPr>
          <w:spacing w:val="-1"/>
        </w:rPr>
        <w:t xml:space="preserve"> </w:t>
      </w:r>
      <w:r>
        <w:rPr>
          <w:spacing w:val="-2"/>
        </w:rPr>
        <w:t>socks.</w:t>
      </w:r>
    </w:p>
    <w:p w14:paraId="7E001024" w14:textId="77777777" w:rsidR="009A58DB" w:rsidRDefault="00000000">
      <w:pPr>
        <w:spacing w:before="20"/>
        <w:ind w:left="360" w:right="366"/>
        <w:jc w:val="right"/>
        <w:rPr>
          <w:i/>
          <w:sz w:val="30"/>
        </w:rPr>
      </w:pPr>
      <w:r>
        <w:rPr>
          <w:sz w:val="30"/>
        </w:rPr>
        <w:t>If</w:t>
      </w:r>
      <w:r>
        <w:rPr>
          <w:spacing w:val="28"/>
          <w:sz w:val="30"/>
        </w:rPr>
        <w:t xml:space="preserve"> </w:t>
      </w:r>
      <w:r>
        <w:rPr>
          <w:sz w:val="30"/>
        </w:rPr>
        <w:t>Larry’s</w:t>
      </w:r>
      <w:r>
        <w:rPr>
          <w:spacing w:val="31"/>
          <w:sz w:val="30"/>
        </w:rPr>
        <w:t xml:space="preserve"> </w:t>
      </w:r>
      <w:r>
        <w:rPr>
          <w:sz w:val="30"/>
        </w:rPr>
        <w:t>other</w:t>
      </w:r>
      <w:r>
        <w:rPr>
          <w:spacing w:val="32"/>
          <w:sz w:val="30"/>
        </w:rPr>
        <w:t xml:space="preserve"> </w:t>
      </w:r>
      <w:r>
        <w:rPr>
          <w:sz w:val="30"/>
        </w:rPr>
        <w:t>apple</w:t>
      </w:r>
      <w:r>
        <w:rPr>
          <w:spacing w:val="30"/>
          <w:sz w:val="30"/>
        </w:rPr>
        <w:t xml:space="preserve"> </w:t>
      </w:r>
      <w:r>
        <w:rPr>
          <w:sz w:val="30"/>
        </w:rPr>
        <w:t>is</w:t>
      </w:r>
      <w:r>
        <w:rPr>
          <w:spacing w:val="32"/>
          <w:sz w:val="30"/>
        </w:rPr>
        <w:t xml:space="preserve"> </w:t>
      </w:r>
      <w:r>
        <w:rPr>
          <w:sz w:val="30"/>
        </w:rPr>
        <w:t>allowed</w:t>
      </w:r>
      <w:r>
        <w:rPr>
          <w:spacing w:val="31"/>
          <w:sz w:val="30"/>
        </w:rPr>
        <w:t xml:space="preserve"> </w:t>
      </w:r>
      <w:r>
        <w:rPr>
          <w:sz w:val="30"/>
        </w:rPr>
        <w:t>to</w:t>
      </w:r>
      <w:r>
        <w:rPr>
          <w:spacing w:val="32"/>
          <w:sz w:val="30"/>
        </w:rPr>
        <w:t xml:space="preserve"> </w:t>
      </w:r>
      <w:r>
        <w:rPr>
          <w:sz w:val="30"/>
        </w:rPr>
        <w:t>do</w:t>
      </w:r>
      <w:r>
        <w:rPr>
          <w:spacing w:val="30"/>
          <w:sz w:val="30"/>
        </w:rPr>
        <w:t xml:space="preserve"> </w:t>
      </w:r>
      <w:r>
        <w:rPr>
          <w:sz w:val="30"/>
        </w:rPr>
        <w:t>the</w:t>
      </w:r>
      <w:r>
        <w:rPr>
          <w:spacing w:val="32"/>
          <w:sz w:val="30"/>
        </w:rPr>
        <w:t xml:space="preserve"> </w:t>
      </w:r>
      <w:r>
        <w:rPr>
          <w:sz w:val="30"/>
        </w:rPr>
        <w:t>same</w:t>
      </w:r>
      <w:r>
        <w:rPr>
          <w:spacing w:val="31"/>
          <w:sz w:val="30"/>
        </w:rPr>
        <w:t xml:space="preserve"> </w:t>
      </w:r>
      <w:r>
        <w:rPr>
          <w:sz w:val="30"/>
        </w:rPr>
        <w:t>thing</w:t>
      </w:r>
      <w:r>
        <w:rPr>
          <w:spacing w:val="32"/>
          <w:sz w:val="30"/>
        </w:rPr>
        <w:t xml:space="preserve"> </w:t>
      </w:r>
      <w:r>
        <w:rPr>
          <w:i/>
          <w:sz w:val="30"/>
        </w:rPr>
        <w:t>mutatis</w:t>
      </w:r>
      <w:r>
        <w:rPr>
          <w:i/>
          <w:spacing w:val="27"/>
          <w:sz w:val="30"/>
        </w:rPr>
        <w:t xml:space="preserve"> </w:t>
      </w:r>
      <w:r>
        <w:rPr>
          <w:i/>
          <w:spacing w:val="-2"/>
          <w:sz w:val="30"/>
        </w:rPr>
        <w:t>mutandis,</w:t>
      </w:r>
    </w:p>
    <w:p w14:paraId="7E001025" w14:textId="77777777" w:rsidR="009A58DB" w:rsidRDefault="00000000">
      <w:pPr>
        <w:pStyle w:val="BodyText"/>
        <w:spacing w:before="15"/>
        <w:ind w:left="0" w:right="369"/>
        <w:jc w:val="right"/>
      </w:pPr>
      <w:r>
        <w:t>the</w:t>
      </w:r>
      <w:r>
        <w:rPr>
          <w:spacing w:val="47"/>
        </w:rPr>
        <w:t xml:space="preserve"> </w:t>
      </w:r>
      <w:r>
        <w:t>result</w:t>
      </w:r>
      <w:r>
        <w:rPr>
          <w:spacing w:val="48"/>
        </w:rPr>
        <w:t xml:space="preserve"> </w:t>
      </w:r>
      <w:r>
        <w:t>is</w:t>
      </w:r>
      <w:r>
        <w:rPr>
          <w:spacing w:val="47"/>
        </w:rPr>
        <w:t xml:space="preserve"> </w:t>
      </w:r>
      <w:r>
        <w:t>the</w:t>
      </w:r>
      <w:r>
        <w:rPr>
          <w:spacing w:val="48"/>
        </w:rPr>
        <w:t xml:space="preserve"> </w:t>
      </w:r>
      <w:r>
        <w:t>set</w:t>
      </w:r>
      <w:r>
        <w:rPr>
          <w:spacing w:val="47"/>
        </w:rPr>
        <w:t xml:space="preserve"> </w:t>
      </w:r>
      <w:r>
        <w:t>containing</w:t>
      </w:r>
      <w:r>
        <w:rPr>
          <w:spacing w:val="48"/>
        </w:rPr>
        <w:t xml:space="preserve"> </w:t>
      </w:r>
      <w:r>
        <w:t>the</w:t>
      </w:r>
      <w:r>
        <w:rPr>
          <w:spacing w:val="48"/>
        </w:rPr>
        <w:t xml:space="preserve"> </w:t>
      </w:r>
      <w:r>
        <w:t>following</w:t>
      </w:r>
      <w:r>
        <w:rPr>
          <w:spacing w:val="47"/>
        </w:rPr>
        <w:t xml:space="preserve"> </w:t>
      </w:r>
      <w:r>
        <w:t>pairs:&lt;A</w:t>
      </w:r>
      <w:r>
        <w:rPr>
          <w:position w:val="-7"/>
          <w:sz w:val="22"/>
        </w:rPr>
        <w:t>2</w:t>
      </w:r>
      <w:r>
        <w:t>,C</w:t>
      </w:r>
      <w:r>
        <w:rPr>
          <w:position w:val="-7"/>
          <w:sz w:val="22"/>
        </w:rPr>
        <w:t>1</w:t>
      </w:r>
      <w:r>
        <w:t>&gt;,</w:t>
      </w:r>
      <w:r>
        <w:rPr>
          <w:spacing w:val="43"/>
        </w:rPr>
        <w:t xml:space="preserve"> </w:t>
      </w:r>
      <w:r>
        <w:t>&lt;A</w:t>
      </w:r>
      <w:r>
        <w:rPr>
          <w:position w:val="-7"/>
          <w:sz w:val="22"/>
        </w:rPr>
        <w:t>2</w:t>
      </w:r>
      <w:r>
        <w:t>,C</w:t>
      </w:r>
      <w:r>
        <w:rPr>
          <w:position w:val="-7"/>
          <w:sz w:val="22"/>
        </w:rPr>
        <w:t>2</w:t>
      </w:r>
      <w:r>
        <w:t>&gt;,</w:t>
      </w:r>
      <w:r>
        <w:rPr>
          <w:spacing w:val="57"/>
        </w:rPr>
        <w:t xml:space="preserve"> </w:t>
      </w:r>
      <w:r>
        <w:rPr>
          <w:spacing w:val="-5"/>
        </w:rPr>
        <w:t>and</w:t>
      </w:r>
    </w:p>
    <w:p w14:paraId="7E001026" w14:textId="77777777" w:rsidR="009A58DB" w:rsidRDefault="00000000">
      <w:pPr>
        <w:pStyle w:val="BodyText"/>
        <w:spacing w:before="12" w:line="292" w:lineRule="auto"/>
        <w:ind w:right="362"/>
      </w:pPr>
      <w:r>
        <w:t>&lt;A</w:t>
      </w:r>
      <w:r>
        <w:rPr>
          <w:vertAlign w:val="subscript"/>
        </w:rPr>
        <w:t>2</w:t>
      </w:r>
      <w:r>
        <w:t>,C</w:t>
      </w:r>
      <w:r>
        <w:rPr>
          <w:vertAlign w:val="subscript"/>
        </w:rPr>
        <w:t>3</w:t>
      </w:r>
      <w:r>
        <w:t>&gt;. Notice that none of the markers used by A</w:t>
      </w:r>
      <w:r>
        <w:rPr>
          <w:vertAlign w:val="subscript"/>
        </w:rPr>
        <w:t>2</w:t>
      </w:r>
      <w:r>
        <w:t xml:space="preserve"> is identical with any of the</w:t>
      </w:r>
      <w:r>
        <w:rPr>
          <w:spacing w:val="47"/>
        </w:rPr>
        <w:t xml:space="preserve"> </w:t>
      </w:r>
      <w:r>
        <w:t>markers</w:t>
      </w:r>
      <w:r>
        <w:rPr>
          <w:spacing w:val="48"/>
        </w:rPr>
        <w:t xml:space="preserve"> </w:t>
      </w:r>
      <w:r>
        <w:t>used</w:t>
      </w:r>
      <w:r>
        <w:rPr>
          <w:spacing w:val="47"/>
        </w:rPr>
        <w:t xml:space="preserve"> </w:t>
      </w:r>
      <w:r>
        <w:t>by</w:t>
      </w:r>
      <w:r>
        <w:rPr>
          <w:spacing w:val="48"/>
        </w:rPr>
        <w:t xml:space="preserve"> </w:t>
      </w:r>
      <w:r>
        <w:t>A</w:t>
      </w:r>
      <w:r>
        <w:rPr>
          <w:vertAlign w:val="subscript"/>
        </w:rPr>
        <w:t>1</w:t>
      </w:r>
      <w:r>
        <w:t>.</w:t>
      </w:r>
      <w:r>
        <w:rPr>
          <w:spacing w:val="48"/>
        </w:rPr>
        <w:t xml:space="preserve"> </w:t>
      </w:r>
      <w:r>
        <w:t>Thus,</w:t>
      </w:r>
      <w:r>
        <w:rPr>
          <w:spacing w:val="47"/>
        </w:rPr>
        <w:t xml:space="preserve"> </w:t>
      </w:r>
      <w:r>
        <w:t>the</w:t>
      </w:r>
      <w:r>
        <w:rPr>
          <w:spacing w:val="48"/>
        </w:rPr>
        <w:t xml:space="preserve"> </w:t>
      </w:r>
      <w:r>
        <w:t>two</w:t>
      </w:r>
      <w:r>
        <w:rPr>
          <w:spacing w:val="47"/>
        </w:rPr>
        <w:t xml:space="preserve"> </w:t>
      </w:r>
      <w:r>
        <w:t>counts</w:t>
      </w:r>
      <w:r>
        <w:rPr>
          <w:spacing w:val="48"/>
        </w:rPr>
        <w:t xml:space="preserve"> </w:t>
      </w:r>
      <w:r>
        <w:t>will</w:t>
      </w:r>
      <w:r>
        <w:rPr>
          <w:spacing w:val="48"/>
        </w:rPr>
        <w:t xml:space="preserve"> </w:t>
      </w:r>
      <w:r>
        <w:t>be</w:t>
      </w:r>
      <w:r>
        <w:rPr>
          <w:spacing w:val="47"/>
        </w:rPr>
        <w:t xml:space="preserve"> </w:t>
      </w:r>
      <w:r>
        <w:t>independent,</w:t>
      </w:r>
      <w:r>
        <w:rPr>
          <w:spacing w:val="48"/>
        </w:rPr>
        <w:t xml:space="preserve"> </w:t>
      </w:r>
      <w:r>
        <w:t>in</w:t>
      </w:r>
      <w:r>
        <w:rPr>
          <w:spacing w:val="47"/>
        </w:rPr>
        <w:t xml:space="preserve"> </w:t>
      </w:r>
      <w:r>
        <w:rPr>
          <w:spacing w:val="-5"/>
        </w:rPr>
        <w:t>the</w:t>
      </w:r>
    </w:p>
    <w:p w14:paraId="7E001027" w14:textId="77777777" w:rsidR="009A58DB" w:rsidRDefault="00000000">
      <w:pPr>
        <w:pStyle w:val="BodyText"/>
        <w:spacing w:line="249" w:lineRule="auto"/>
        <w:ind w:right="365"/>
      </w:pPr>
      <w:r>
        <w:t>sense that if Z is a set containing the one count, and Z* is a set containing the other, Z won’t overlap with Z*. Thus, union of Z and Z* can be thought of as the result of double counting Sally’s houses. The members of that union-set are:</w:t>
      </w:r>
      <w:r>
        <w:rPr>
          <w:spacing w:val="58"/>
        </w:rPr>
        <w:t xml:space="preserve"> </w:t>
      </w:r>
      <w:r>
        <w:t>&lt;A</w:t>
      </w:r>
      <w:r>
        <w:rPr>
          <w:position w:val="-7"/>
          <w:sz w:val="22"/>
        </w:rPr>
        <w:t>1</w:t>
      </w:r>
      <w:r>
        <w:t>,C</w:t>
      </w:r>
      <w:r>
        <w:rPr>
          <w:position w:val="-7"/>
          <w:sz w:val="22"/>
        </w:rPr>
        <w:t>1</w:t>
      </w:r>
      <w:r>
        <w:t>&gt;,</w:t>
      </w:r>
      <w:r>
        <w:rPr>
          <w:spacing w:val="60"/>
        </w:rPr>
        <w:t xml:space="preserve"> </w:t>
      </w:r>
      <w:r>
        <w:t>&lt;A</w:t>
      </w:r>
      <w:r>
        <w:rPr>
          <w:position w:val="-7"/>
          <w:sz w:val="22"/>
        </w:rPr>
        <w:t>1</w:t>
      </w:r>
      <w:r>
        <w:t>,C</w:t>
      </w:r>
      <w:r>
        <w:rPr>
          <w:position w:val="-7"/>
          <w:sz w:val="22"/>
        </w:rPr>
        <w:t>2</w:t>
      </w:r>
      <w:r>
        <w:t>&gt;,</w:t>
      </w:r>
      <w:r>
        <w:rPr>
          <w:spacing w:val="60"/>
        </w:rPr>
        <w:t xml:space="preserve"> </w:t>
      </w:r>
      <w:r>
        <w:t>&lt;A</w:t>
      </w:r>
      <w:r>
        <w:rPr>
          <w:position w:val="-7"/>
          <w:sz w:val="22"/>
        </w:rPr>
        <w:t>1</w:t>
      </w:r>
      <w:r>
        <w:t>,C</w:t>
      </w:r>
      <w:r>
        <w:rPr>
          <w:position w:val="-7"/>
          <w:sz w:val="22"/>
        </w:rPr>
        <w:t>3</w:t>
      </w:r>
      <w:r>
        <w:t>&gt;,</w:t>
      </w:r>
      <w:r>
        <w:rPr>
          <w:spacing w:val="60"/>
        </w:rPr>
        <w:t xml:space="preserve"> </w:t>
      </w:r>
      <w:r>
        <w:t>&lt;A</w:t>
      </w:r>
      <w:r>
        <w:rPr>
          <w:position w:val="-7"/>
          <w:sz w:val="22"/>
        </w:rPr>
        <w:t>2</w:t>
      </w:r>
      <w:r>
        <w:t>,C</w:t>
      </w:r>
      <w:r>
        <w:rPr>
          <w:position w:val="-7"/>
          <w:sz w:val="22"/>
        </w:rPr>
        <w:t>1</w:t>
      </w:r>
      <w:r>
        <w:t>&gt;,</w:t>
      </w:r>
      <w:r>
        <w:rPr>
          <w:spacing w:val="75"/>
        </w:rPr>
        <w:t xml:space="preserve"> </w:t>
      </w:r>
      <w:r>
        <w:t>&lt;A</w:t>
      </w:r>
      <w:r>
        <w:rPr>
          <w:position w:val="-7"/>
          <w:sz w:val="22"/>
        </w:rPr>
        <w:t>2</w:t>
      </w:r>
      <w:r>
        <w:t>,C</w:t>
      </w:r>
      <w:r>
        <w:rPr>
          <w:position w:val="-7"/>
          <w:sz w:val="22"/>
        </w:rPr>
        <w:t>2</w:t>
      </w:r>
      <w:r>
        <w:t>&gt;,</w:t>
      </w:r>
      <w:r>
        <w:rPr>
          <w:spacing w:val="74"/>
        </w:rPr>
        <w:t xml:space="preserve"> </w:t>
      </w:r>
      <w:r>
        <w:t>and</w:t>
      </w:r>
      <w:r>
        <w:rPr>
          <w:spacing w:val="75"/>
        </w:rPr>
        <w:t xml:space="preserve"> </w:t>
      </w:r>
      <w:r>
        <w:t>&lt;A</w:t>
      </w:r>
      <w:r>
        <w:rPr>
          <w:position w:val="-7"/>
          <w:sz w:val="22"/>
        </w:rPr>
        <w:t>2</w:t>
      </w:r>
      <w:r>
        <w:t>,C</w:t>
      </w:r>
      <w:r>
        <w:rPr>
          <w:position w:val="-7"/>
          <w:sz w:val="22"/>
        </w:rPr>
        <w:t>3</w:t>
      </w:r>
      <w:r>
        <w:t>&gt;.</w:t>
      </w:r>
      <w:r>
        <w:rPr>
          <w:spacing w:val="75"/>
        </w:rPr>
        <w:t xml:space="preserve"> </w:t>
      </w:r>
      <w:r>
        <w:rPr>
          <w:spacing w:val="-4"/>
        </w:rPr>
        <w:t>That</w:t>
      </w:r>
    </w:p>
    <w:p w14:paraId="7E001028" w14:textId="77777777" w:rsidR="009A58DB" w:rsidRDefault="00000000">
      <w:pPr>
        <w:pStyle w:val="BodyText"/>
        <w:spacing w:before="1"/>
      </w:pPr>
      <w:r>
        <w:t>union-set,</w:t>
      </w:r>
      <w:r>
        <w:rPr>
          <w:spacing w:val="-5"/>
        </w:rPr>
        <w:t xml:space="preserve"> </w:t>
      </w:r>
      <w:r>
        <w:t>which</w:t>
      </w:r>
      <w:r>
        <w:rPr>
          <w:spacing w:val="-2"/>
        </w:rPr>
        <w:t xml:space="preserve"> </w:t>
      </w:r>
      <w:r>
        <w:t>is</w:t>
      </w:r>
      <w:r>
        <w:rPr>
          <w:spacing w:val="-4"/>
        </w:rPr>
        <w:t xml:space="preserve"> </w:t>
      </w:r>
      <w:r>
        <w:t>the</w:t>
      </w:r>
      <w:r>
        <w:rPr>
          <w:spacing w:val="-3"/>
        </w:rPr>
        <w:t xml:space="preserve"> </w:t>
      </w:r>
      <w:r>
        <w:t>Cartesian</w:t>
      </w:r>
      <w:r>
        <w:rPr>
          <w:spacing w:val="-3"/>
        </w:rPr>
        <w:t xml:space="preserve"> </w:t>
      </w:r>
      <w:r>
        <w:t>product</w:t>
      </w:r>
      <w:r>
        <w:rPr>
          <w:spacing w:val="-3"/>
        </w:rPr>
        <w:t xml:space="preserve"> </w:t>
      </w:r>
      <w:r>
        <w:t>of</w:t>
      </w:r>
      <w:r>
        <w:rPr>
          <w:spacing w:val="-4"/>
        </w:rPr>
        <w:t xml:space="preserve"> </w:t>
      </w:r>
      <w:r>
        <w:t>Z</w:t>
      </w:r>
      <w:r>
        <w:rPr>
          <w:spacing w:val="-3"/>
        </w:rPr>
        <w:t xml:space="preserve"> </w:t>
      </w:r>
      <w:r>
        <w:t>and</w:t>
      </w:r>
      <w:r>
        <w:rPr>
          <w:spacing w:val="-3"/>
        </w:rPr>
        <w:t xml:space="preserve"> </w:t>
      </w:r>
      <w:r>
        <w:t>Z*,</w:t>
      </w:r>
      <w:r>
        <w:rPr>
          <w:spacing w:val="-2"/>
        </w:rPr>
        <w:t xml:space="preserve"> </w:t>
      </w:r>
      <w:r>
        <w:t>is</w:t>
      </w:r>
      <w:r>
        <w:rPr>
          <w:spacing w:val="-4"/>
        </w:rPr>
        <w:t xml:space="preserve"> </w:t>
      </w:r>
      <w:r>
        <w:t>a</w:t>
      </w:r>
      <w:r>
        <w:rPr>
          <w:spacing w:val="-3"/>
        </w:rPr>
        <w:t xml:space="preserve"> </w:t>
      </w:r>
      <w:r>
        <w:t>six-membered</w:t>
      </w:r>
      <w:r>
        <w:rPr>
          <w:spacing w:val="-2"/>
        </w:rPr>
        <w:t xml:space="preserve"> </w:t>
      </w:r>
      <w:r>
        <w:rPr>
          <w:spacing w:val="-4"/>
        </w:rPr>
        <w:t>set.</w:t>
      </w:r>
    </w:p>
    <w:p w14:paraId="7E001029" w14:textId="77777777" w:rsidR="009A58DB" w:rsidRDefault="00000000">
      <w:pPr>
        <w:pStyle w:val="BodyText"/>
        <w:spacing w:before="15" w:line="249" w:lineRule="auto"/>
        <w:ind w:right="362" w:firstLine="360"/>
      </w:pPr>
      <w:r>
        <w:t>It’s obvious that, given any two-membered set and any three-membered set, the union of the headcounts collectively done by both members of the two-membered set will be a six-membered set. In other words, the result of double counting the three membered set will be a six-membered set. And this is</w:t>
      </w:r>
      <w:r>
        <w:rPr>
          <w:spacing w:val="-3"/>
        </w:rPr>
        <w:t xml:space="preserve"> </w:t>
      </w:r>
      <w:r>
        <w:t>just</w:t>
      </w:r>
      <w:r>
        <w:rPr>
          <w:spacing w:val="-3"/>
        </w:rPr>
        <w:t xml:space="preserve"> </w:t>
      </w:r>
      <w:r>
        <w:t>what</w:t>
      </w:r>
      <w:r>
        <w:rPr>
          <w:spacing w:val="-3"/>
        </w:rPr>
        <w:t xml:space="preserve"> </w:t>
      </w:r>
      <w:r>
        <w:t>“2</w:t>
      </w:r>
      <w:r>
        <w:rPr>
          <w:spacing w:val="-2"/>
        </w:rPr>
        <w:t xml:space="preserve"> </w:t>
      </w:r>
      <w:r>
        <w:t>×</w:t>
      </w:r>
      <w:r>
        <w:rPr>
          <w:spacing w:val="-3"/>
        </w:rPr>
        <w:t xml:space="preserve"> </w:t>
      </w:r>
      <w:r>
        <w:t>3 = 6” says. “6 ÷ 2 = 3” says the same thing, given that it’s a notational variant of “2 × 3 = 6.”</w:t>
      </w:r>
    </w:p>
    <w:p w14:paraId="7E00102A" w14:textId="77777777" w:rsidR="009A58DB" w:rsidRDefault="00000000">
      <w:pPr>
        <w:pStyle w:val="BodyText"/>
        <w:spacing w:before="22" w:line="249" w:lineRule="auto"/>
        <w:ind w:right="360" w:firstLine="360"/>
      </w:pPr>
      <w:r>
        <w:t>“3</w:t>
      </w:r>
      <w:r>
        <w:rPr>
          <w:vertAlign w:val="superscript"/>
        </w:rPr>
        <w:t>2</w:t>
      </w:r>
      <w:r>
        <w:t xml:space="preserve"> = 9” says the same thing as “3 × 3 = 9.” Thus, “3</w:t>
      </w:r>
      <w:r>
        <w:rPr>
          <w:vertAlign w:val="superscript"/>
        </w:rPr>
        <w:t>2</w:t>
      </w:r>
      <w:r>
        <w:t xml:space="preserve"> = 9” says that the Cartesian product of a three-membered set and a non-overlapping three-membered set is a nine-membered set.</w:t>
      </w:r>
    </w:p>
    <w:p w14:paraId="7E00102B" w14:textId="77777777" w:rsidR="009A58DB" w:rsidRDefault="00000000">
      <w:pPr>
        <w:pStyle w:val="BodyText"/>
        <w:spacing w:before="19" w:line="249" w:lineRule="auto"/>
        <w:ind w:right="372" w:firstLine="360"/>
      </w:pPr>
      <w:r>
        <w:t>In general, for any whole numbers A, B, and C, ‹A ×</w:t>
      </w:r>
      <w:r>
        <w:rPr>
          <w:spacing w:val="-2"/>
        </w:rPr>
        <w:t xml:space="preserve"> </w:t>
      </w:r>
      <w:r>
        <w:t>B = C› and ‹A</w:t>
      </w:r>
      <w:r>
        <w:rPr>
          <w:vertAlign w:val="superscript"/>
        </w:rPr>
        <w:t>2</w:t>
      </w:r>
      <w:r>
        <w:t xml:space="preserve"> = B› can be translated into statements containing no number expressions.</w:t>
      </w:r>
    </w:p>
    <w:p w14:paraId="7E00102C" w14:textId="77777777" w:rsidR="009A58DB" w:rsidRDefault="00000000">
      <w:pPr>
        <w:pStyle w:val="BodyText"/>
        <w:spacing w:before="2" w:line="249" w:lineRule="auto"/>
        <w:ind w:right="358" w:firstLine="360"/>
      </w:pPr>
      <w:r>
        <w:t xml:space="preserve">It’s obvious that statements about rational numbers (fractions) are equivalent with statements about whole numbers. In fact, they </w:t>
      </w:r>
      <w:r>
        <w:rPr>
          <w:i/>
        </w:rPr>
        <w:t xml:space="preserve">are </w:t>
      </w:r>
      <w:r>
        <w:t>such statements. To say that 1/2 is less than 3/4 is less than is simply to say that one quotient is less than some other quotient. For any whole numbers A, B, and C, ‹A × B = C› is a notational variant of ‹A = C ÷ B›. Since, as we’ve seen, ‹A × B = C› can be translated into a statement containing no number-expressions, the same is true of ‹A = C ÷ B.›</w:t>
      </w:r>
    </w:p>
    <w:p w14:paraId="7E00102D" w14:textId="77777777" w:rsidR="009A58DB" w:rsidRDefault="00000000">
      <w:pPr>
        <w:pStyle w:val="Heading1"/>
        <w:numPr>
          <w:ilvl w:val="2"/>
          <w:numId w:val="166"/>
        </w:numPr>
        <w:tabs>
          <w:tab w:val="left" w:pos="1305"/>
        </w:tabs>
        <w:spacing w:before="197"/>
        <w:jc w:val="both"/>
      </w:pPr>
      <w:r>
        <w:t>Adding</w:t>
      </w:r>
      <w:r>
        <w:rPr>
          <w:spacing w:val="-6"/>
        </w:rPr>
        <w:t xml:space="preserve"> </w:t>
      </w:r>
      <w:r>
        <w:t>and</w:t>
      </w:r>
      <w:r>
        <w:rPr>
          <w:spacing w:val="-5"/>
        </w:rPr>
        <w:t xml:space="preserve"> </w:t>
      </w:r>
      <w:r>
        <w:t>multiplying</w:t>
      </w:r>
      <w:r>
        <w:rPr>
          <w:spacing w:val="-5"/>
        </w:rPr>
        <w:t xml:space="preserve"> </w:t>
      </w:r>
      <w:r>
        <w:rPr>
          <w:spacing w:val="-4"/>
        </w:rPr>
        <w:t>reals</w:t>
      </w:r>
    </w:p>
    <w:p w14:paraId="7E00102E" w14:textId="77777777" w:rsidR="009A58DB" w:rsidRDefault="00000000">
      <w:pPr>
        <w:pStyle w:val="ListParagraph"/>
        <w:numPr>
          <w:ilvl w:val="3"/>
          <w:numId w:val="166"/>
        </w:numPr>
        <w:tabs>
          <w:tab w:val="left" w:pos="523"/>
        </w:tabs>
        <w:spacing w:before="110" w:line="387" w:lineRule="exact"/>
        <w:ind w:left="523" w:hanging="163"/>
        <w:jc w:val="both"/>
        <w:rPr>
          <w:sz w:val="30"/>
        </w:rPr>
      </w:pPr>
      <w:r>
        <w:rPr>
          <w:sz w:val="30"/>
        </w:rPr>
        <w:t>2</w:t>
      </w:r>
      <w:r>
        <w:rPr>
          <w:spacing w:val="4"/>
          <w:sz w:val="30"/>
        </w:rPr>
        <w:t xml:space="preserve"> </w:t>
      </w:r>
      <w:r>
        <w:rPr>
          <w:sz w:val="30"/>
        </w:rPr>
        <w:t>is</w:t>
      </w:r>
      <w:r>
        <w:rPr>
          <w:spacing w:val="5"/>
          <w:sz w:val="30"/>
        </w:rPr>
        <w:t xml:space="preserve"> </w:t>
      </w:r>
      <w:r>
        <w:rPr>
          <w:sz w:val="30"/>
        </w:rPr>
        <w:t>irrational.</w:t>
      </w:r>
      <w:r>
        <w:rPr>
          <w:spacing w:val="5"/>
          <w:sz w:val="30"/>
        </w:rPr>
        <w:t xml:space="preserve"> </w:t>
      </w:r>
      <w:r>
        <w:rPr>
          <w:sz w:val="30"/>
        </w:rPr>
        <w:t>In</w:t>
      </w:r>
      <w:r>
        <w:rPr>
          <w:spacing w:val="5"/>
          <w:sz w:val="30"/>
        </w:rPr>
        <w:t xml:space="preserve"> </w:t>
      </w:r>
      <w:r>
        <w:rPr>
          <w:sz w:val="30"/>
        </w:rPr>
        <w:t>other</w:t>
      </w:r>
      <w:r>
        <w:rPr>
          <w:spacing w:val="4"/>
          <w:sz w:val="30"/>
        </w:rPr>
        <w:t xml:space="preserve"> </w:t>
      </w:r>
      <w:r>
        <w:rPr>
          <w:sz w:val="30"/>
        </w:rPr>
        <w:t>words,</w:t>
      </w:r>
      <w:r>
        <w:rPr>
          <w:spacing w:val="5"/>
          <w:sz w:val="30"/>
        </w:rPr>
        <w:t xml:space="preserve"> </w:t>
      </w:r>
      <w:r>
        <w:rPr>
          <w:sz w:val="30"/>
        </w:rPr>
        <w:t>there</w:t>
      </w:r>
      <w:r>
        <w:rPr>
          <w:spacing w:val="5"/>
          <w:sz w:val="30"/>
        </w:rPr>
        <w:t xml:space="preserve"> </w:t>
      </w:r>
      <w:r>
        <w:rPr>
          <w:sz w:val="30"/>
        </w:rPr>
        <w:t>are</w:t>
      </w:r>
      <w:r>
        <w:rPr>
          <w:spacing w:val="5"/>
          <w:sz w:val="30"/>
        </w:rPr>
        <w:t xml:space="preserve"> </w:t>
      </w:r>
      <w:r>
        <w:rPr>
          <w:sz w:val="30"/>
        </w:rPr>
        <w:t>no</w:t>
      </w:r>
      <w:r>
        <w:rPr>
          <w:spacing w:val="5"/>
          <w:sz w:val="30"/>
        </w:rPr>
        <w:t xml:space="preserve"> </w:t>
      </w:r>
      <w:r>
        <w:rPr>
          <w:sz w:val="30"/>
        </w:rPr>
        <w:t>whole</w:t>
      </w:r>
      <w:r>
        <w:rPr>
          <w:spacing w:val="5"/>
          <w:sz w:val="30"/>
        </w:rPr>
        <w:t xml:space="preserve"> </w:t>
      </w:r>
      <w:r>
        <w:rPr>
          <w:sz w:val="30"/>
        </w:rPr>
        <w:t>numbers</w:t>
      </w:r>
      <w:r>
        <w:rPr>
          <w:spacing w:val="5"/>
          <w:sz w:val="30"/>
        </w:rPr>
        <w:t xml:space="preserve"> </w:t>
      </w:r>
      <w:r>
        <w:rPr>
          <w:sz w:val="30"/>
        </w:rPr>
        <w:t>p</w:t>
      </w:r>
      <w:r>
        <w:rPr>
          <w:spacing w:val="5"/>
          <w:sz w:val="30"/>
        </w:rPr>
        <w:t xml:space="preserve"> </w:t>
      </w:r>
      <w:r>
        <w:rPr>
          <w:sz w:val="30"/>
        </w:rPr>
        <w:t>and</w:t>
      </w:r>
      <w:r>
        <w:rPr>
          <w:spacing w:val="5"/>
          <w:sz w:val="30"/>
        </w:rPr>
        <w:t xml:space="preserve"> </w:t>
      </w:r>
      <w:r>
        <w:rPr>
          <w:sz w:val="30"/>
        </w:rPr>
        <w:t>q</w:t>
      </w:r>
      <w:r>
        <w:rPr>
          <w:spacing w:val="5"/>
          <w:sz w:val="30"/>
        </w:rPr>
        <w:t xml:space="preserve"> </w:t>
      </w:r>
      <w:r>
        <w:rPr>
          <w:sz w:val="30"/>
        </w:rPr>
        <w:t>such</w:t>
      </w:r>
      <w:r>
        <w:rPr>
          <w:spacing w:val="6"/>
          <w:sz w:val="30"/>
        </w:rPr>
        <w:t xml:space="preserve"> </w:t>
      </w:r>
      <w:r>
        <w:rPr>
          <w:spacing w:val="-4"/>
          <w:sz w:val="30"/>
        </w:rPr>
        <w:t>that</w:t>
      </w:r>
    </w:p>
    <w:p w14:paraId="7E00102F" w14:textId="77777777" w:rsidR="009A58DB" w:rsidRDefault="00000000">
      <w:pPr>
        <w:pStyle w:val="ListParagraph"/>
        <w:numPr>
          <w:ilvl w:val="3"/>
          <w:numId w:val="166"/>
        </w:numPr>
        <w:tabs>
          <w:tab w:val="left" w:pos="523"/>
        </w:tabs>
        <w:spacing w:line="247" w:lineRule="auto"/>
        <w:ind w:right="359" w:firstLine="0"/>
        <w:jc w:val="both"/>
        <w:rPr>
          <w:sz w:val="30"/>
        </w:rPr>
      </w:pPr>
      <w:r>
        <w:rPr>
          <w:sz w:val="30"/>
        </w:rPr>
        <w:t xml:space="preserve">2 = p/q. But any given statement about </w:t>
      </w:r>
      <w:r>
        <w:rPr>
          <w:rFonts w:ascii="Segoe UI Symbol" w:hAnsi="Segoe UI Symbol"/>
          <w:sz w:val="30"/>
        </w:rPr>
        <w:t>✓</w:t>
      </w:r>
      <w:r>
        <w:rPr>
          <w:sz w:val="30"/>
        </w:rPr>
        <w:t>2, or any other irrational number, can be rewritten as a statement about rationals (and, therefore, can be rewritten</w:t>
      </w:r>
      <w:r>
        <w:rPr>
          <w:spacing w:val="-1"/>
          <w:sz w:val="30"/>
        </w:rPr>
        <w:t xml:space="preserve"> </w:t>
      </w:r>
      <w:r>
        <w:rPr>
          <w:sz w:val="30"/>
        </w:rPr>
        <w:t>as</w:t>
      </w:r>
      <w:r>
        <w:rPr>
          <w:spacing w:val="-1"/>
          <w:sz w:val="30"/>
        </w:rPr>
        <w:t xml:space="preserve"> </w:t>
      </w:r>
      <w:r>
        <w:rPr>
          <w:sz w:val="30"/>
        </w:rPr>
        <w:t>a</w:t>
      </w:r>
      <w:r>
        <w:rPr>
          <w:spacing w:val="-1"/>
          <w:sz w:val="30"/>
        </w:rPr>
        <w:t xml:space="preserve"> </w:t>
      </w:r>
      <w:r>
        <w:rPr>
          <w:sz w:val="30"/>
        </w:rPr>
        <w:t>statement</w:t>
      </w:r>
      <w:r>
        <w:rPr>
          <w:spacing w:val="-1"/>
          <w:sz w:val="30"/>
        </w:rPr>
        <w:t xml:space="preserve"> </w:t>
      </w:r>
      <w:r>
        <w:rPr>
          <w:sz w:val="30"/>
        </w:rPr>
        <w:t>about</w:t>
      </w:r>
      <w:r>
        <w:rPr>
          <w:spacing w:val="-1"/>
          <w:sz w:val="30"/>
        </w:rPr>
        <w:t xml:space="preserve"> </w:t>
      </w:r>
      <w:r>
        <w:rPr>
          <w:sz w:val="30"/>
        </w:rPr>
        <w:t>whole</w:t>
      </w:r>
      <w:r>
        <w:rPr>
          <w:spacing w:val="-1"/>
          <w:sz w:val="30"/>
        </w:rPr>
        <w:t xml:space="preserve"> </w:t>
      </w:r>
      <w:r>
        <w:rPr>
          <w:sz w:val="30"/>
        </w:rPr>
        <w:t>numbers</w:t>
      </w:r>
      <w:r>
        <w:rPr>
          <w:spacing w:val="-1"/>
          <w:sz w:val="30"/>
        </w:rPr>
        <w:t xml:space="preserve"> </w:t>
      </w:r>
      <w:r>
        <w:rPr>
          <w:sz w:val="30"/>
        </w:rPr>
        <w:t>and,</w:t>
      </w:r>
      <w:r>
        <w:rPr>
          <w:spacing w:val="-1"/>
          <w:sz w:val="30"/>
        </w:rPr>
        <w:t xml:space="preserve"> </w:t>
      </w:r>
      <w:r>
        <w:rPr>
          <w:sz w:val="30"/>
        </w:rPr>
        <w:t>therefore,</w:t>
      </w:r>
      <w:r>
        <w:rPr>
          <w:spacing w:val="-1"/>
          <w:sz w:val="30"/>
        </w:rPr>
        <w:t xml:space="preserve"> </w:t>
      </w:r>
      <w:r>
        <w:rPr>
          <w:sz w:val="30"/>
        </w:rPr>
        <w:t>can</w:t>
      </w:r>
      <w:r>
        <w:rPr>
          <w:spacing w:val="-1"/>
          <w:sz w:val="30"/>
        </w:rPr>
        <w:t xml:space="preserve"> </w:t>
      </w:r>
      <w:r>
        <w:rPr>
          <w:sz w:val="30"/>
        </w:rPr>
        <w:t>be</w:t>
      </w:r>
      <w:r>
        <w:rPr>
          <w:spacing w:val="-1"/>
          <w:sz w:val="30"/>
        </w:rPr>
        <w:t xml:space="preserve"> </w:t>
      </w:r>
      <w:r>
        <w:rPr>
          <w:sz w:val="30"/>
        </w:rPr>
        <w:t>rewritten</w:t>
      </w:r>
    </w:p>
    <w:p w14:paraId="7E001030" w14:textId="77777777" w:rsidR="009A58DB" w:rsidRDefault="009A58DB">
      <w:pPr>
        <w:pStyle w:val="ListParagraph"/>
        <w:spacing w:line="247" w:lineRule="auto"/>
        <w:jc w:val="both"/>
        <w:rPr>
          <w:sz w:val="30"/>
        </w:rPr>
        <w:sectPr w:rsidR="009A58DB">
          <w:pgSz w:w="12240" w:h="15840"/>
          <w:pgMar w:top="1380" w:right="1080" w:bottom="280" w:left="1080" w:header="720" w:footer="720" w:gutter="0"/>
          <w:cols w:space="720"/>
        </w:sectPr>
      </w:pPr>
    </w:p>
    <w:p w14:paraId="7E001031" w14:textId="77777777" w:rsidR="009A58DB" w:rsidRDefault="00000000">
      <w:pPr>
        <w:pStyle w:val="BodyText"/>
        <w:tabs>
          <w:tab w:val="left" w:pos="822"/>
          <w:tab w:val="left" w:pos="1168"/>
          <w:tab w:val="left" w:pos="2530"/>
          <w:tab w:val="left" w:pos="3126"/>
          <w:tab w:val="left" w:pos="4605"/>
          <w:tab w:val="left" w:pos="5248"/>
          <w:tab w:val="left" w:pos="8049"/>
          <w:tab w:val="left" w:pos="9342"/>
        </w:tabs>
        <w:spacing w:before="60" w:line="249" w:lineRule="auto"/>
        <w:ind w:right="369"/>
        <w:jc w:val="left"/>
      </w:pPr>
      <w:r>
        <w:rPr>
          <w:spacing w:val="-6"/>
        </w:rPr>
        <w:lastRenderedPageBreak/>
        <w:t>as</w:t>
      </w:r>
      <w:r>
        <w:tab/>
      </w:r>
      <w:r>
        <w:rPr>
          <w:spacing w:val="-10"/>
        </w:rPr>
        <w:t>a</w:t>
      </w:r>
      <w:r>
        <w:tab/>
      </w:r>
      <w:r>
        <w:rPr>
          <w:spacing w:val="-2"/>
        </w:rPr>
        <w:t>statement</w:t>
      </w:r>
      <w:r>
        <w:tab/>
      </w:r>
      <w:r>
        <w:rPr>
          <w:spacing w:val="-4"/>
        </w:rPr>
        <w:t>not</w:t>
      </w:r>
      <w:r>
        <w:tab/>
      </w:r>
      <w:r>
        <w:rPr>
          <w:spacing w:val="-2"/>
        </w:rPr>
        <w:t>containing</w:t>
      </w:r>
      <w:r>
        <w:tab/>
      </w:r>
      <w:r>
        <w:rPr>
          <w:i/>
          <w:spacing w:val="-4"/>
        </w:rPr>
        <w:t>any</w:t>
      </w:r>
      <w:r>
        <w:rPr>
          <w:i/>
        </w:rPr>
        <w:tab/>
      </w:r>
      <w:r>
        <w:rPr>
          <w:spacing w:val="-2"/>
        </w:rPr>
        <w:t>number-expressions).</w:t>
      </w:r>
      <w:r>
        <w:tab/>
      </w:r>
      <w:r>
        <w:rPr>
          <w:spacing w:val="-2"/>
        </w:rPr>
        <w:t>Consider</w:t>
      </w:r>
      <w:r>
        <w:tab/>
      </w:r>
      <w:r>
        <w:rPr>
          <w:spacing w:val="-4"/>
        </w:rPr>
        <w:t xml:space="preserve">the </w:t>
      </w:r>
      <w:r>
        <w:rPr>
          <w:spacing w:val="-2"/>
        </w:rPr>
        <w:t>statement:</w:t>
      </w:r>
    </w:p>
    <w:p w14:paraId="7E001032" w14:textId="77777777" w:rsidR="009A58DB" w:rsidRDefault="00000000">
      <w:pPr>
        <w:pStyle w:val="ListParagraph"/>
        <w:numPr>
          <w:ilvl w:val="0"/>
          <w:numId w:val="161"/>
        </w:numPr>
        <w:tabs>
          <w:tab w:val="left" w:pos="715"/>
        </w:tabs>
        <w:spacing w:before="338"/>
        <w:ind w:left="715" w:hanging="355"/>
        <w:rPr>
          <w:sz w:val="30"/>
        </w:rPr>
      </w:pPr>
      <w:r>
        <w:rPr>
          <w:spacing w:val="-2"/>
          <w:sz w:val="30"/>
        </w:rPr>
        <w:t>a</w:t>
      </w:r>
      <w:r>
        <w:rPr>
          <w:spacing w:val="-2"/>
          <w:sz w:val="30"/>
          <w:vertAlign w:val="subscript"/>
        </w:rPr>
        <w:t>1</w:t>
      </w:r>
      <w:r>
        <w:rPr>
          <w:spacing w:val="-2"/>
          <w:sz w:val="30"/>
        </w:rPr>
        <w:t>/a</w:t>
      </w:r>
      <w:r>
        <w:rPr>
          <w:spacing w:val="-2"/>
          <w:sz w:val="30"/>
          <w:vertAlign w:val="subscript"/>
        </w:rPr>
        <w:t>2</w:t>
      </w:r>
      <w:r>
        <w:rPr>
          <w:spacing w:val="-2"/>
          <w:sz w:val="30"/>
        </w:rPr>
        <w:t>&lt;</w:t>
      </w:r>
      <w:r>
        <w:rPr>
          <w:rFonts w:ascii="Segoe UI Symbol" w:hAnsi="Segoe UI Symbol"/>
          <w:spacing w:val="-2"/>
          <w:sz w:val="30"/>
        </w:rPr>
        <w:t>✓</w:t>
      </w:r>
      <w:r>
        <w:rPr>
          <w:spacing w:val="-2"/>
          <w:sz w:val="30"/>
        </w:rPr>
        <w:t>2.</w:t>
      </w:r>
    </w:p>
    <w:p w14:paraId="7E001033" w14:textId="77777777" w:rsidR="009A58DB" w:rsidRDefault="009A58DB">
      <w:pPr>
        <w:pStyle w:val="BodyText"/>
        <w:spacing w:before="80"/>
        <w:ind w:left="0"/>
        <w:jc w:val="left"/>
      </w:pPr>
    </w:p>
    <w:p w14:paraId="7E001034" w14:textId="77777777" w:rsidR="009A58DB" w:rsidRDefault="00000000">
      <w:pPr>
        <w:pStyle w:val="BodyText"/>
        <w:spacing w:line="302" w:lineRule="auto"/>
        <w:jc w:val="left"/>
      </w:pPr>
      <w:r>
        <w:t>For</w:t>
      </w:r>
      <w:r>
        <w:rPr>
          <w:spacing w:val="39"/>
        </w:rPr>
        <w:t xml:space="preserve"> </w:t>
      </w:r>
      <w:r>
        <w:t>(i)</w:t>
      </w:r>
      <w:r>
        <w:rPr>
          <w:spacing w:val="39"/>
        </w:rPr>
        <w:t xml:space="preserve"> </w:t>
      </w:r>
      <w:r>
        <w:t>to</w:t>
      </w:r>
      <w:r>
        <w:rPr>
          <w:spacing w:val="39"/>
        </w:rPr>
        <w:t xml:space="preserve"> </w:t>
      </w:r>
      <w:r>
        <w:t>be</w:t>
      </w:r>
      <w:r>
        <w:rPr>
          <w:spacing w:val="39"/>
        </w:rPr>
        <w:t xml:space="preserve"> </w:t>
      </w:r>
      <w:r>
        <w:t>true,</w:t>
      </w:r>
      <w:r>
        <w:rPr>
          <w:spacing w:val="39"/>
        </w:rPr>
        <w:t xml:space="preserve"> </w:t>
      </w:r>
      <w:r>
        <w:t>it</w:t>
      </w:r>
      <w:r>
        <w:rPr>
          <w:spacing w:val="39"/>
        </w:rPr>
        <w:t xml:space="preserve"> </w:t>
      </w:r>
      <w:r>
        <w:t>is</w:t>
      </w:r>
      <w:r>
        <w:rPr>
          <w:spacing w:val="39"/>
        </w:rPr>
        <w:t xml:space="preserve"> </w:t>
      </w:r>
      <w:r>
        <w:t>necessary</w:t>
      </w:r>
      <w:r>
        <w:rPr>
          <w:spacing w:val="39"/>
        </w:rPr>
        <w:t xml:space="preserve"> </w:t>
      </w:r>
      <w:r>
        <w:t>and</w:t>
      </w:r>
      <w:r>
        <w:rPr>
          <w:spacing w:val="39"/>
        </w:rPr>
        <w:t xml:space="preserve"> </w:t>
      </w:r>
      <w:r>
        <w:t>sufficient</w:t>
      </w:r>
      <w:r>
        <w:rPr>
          <w:spacing w:val="39"/>
        </w:rPr>
        <w:t xml:space="preserve"> </w:t>
      </w:r>
      <w:r>
        <w:t>that</w:t>
      </w:r>
      <w:r>
        <w:rPr>
          <w:spacing w:val="39"/>
        </w:rPr>
        <w:t xml:space="preserve"> </w:t>
      </w:r>
      <w:r>
        <w:t>a</w:t>
      </w:r>
      <w:r>
        <w:rPr>
          <w:vertAlign w:val="subscript"/>
        </w:rPr>
        <w:t>1</w:t>
      </w:r>
      <w:r>
        <w:rPr>
          <w:spacing w:val="37"/>
        </w:rPr>
        <w:t xml:space="preserve"> </w:t>
      </w:r>
      <w:r>
        <w:t>and</w:t>
      </w:r>
      <w:r>
        <w:rPr>
          <w:spacing w:val="37"/>
        </w:rPr>
        <w:t xml:space="preserve"> </w:t>
      </w:r>
      <w:r>
        <w:t>a</w:t>
      </w:r>
      <w:r>
        <w:rPr>
          <w:vertAlign w:val="subscript"/>
        </w:rPr>
        <w:t>2</w:t>
      </w:r>
      <w:r>
        <w:rPr>
          <w:spacing w:val="40"/>
        </w:rPr>
        <w:t xml:space="preserve"> </w:t>
      </w:r>
      <w:r>
        <w:t>be</w:t>
      </w:r>
      <w:r>
        <w:rPr>
          <w:spacing w:val="40"/>
        </w:rPr>
        <w:t xml:space="preserve"> </w:t>
      </w:r>
      <w:r>
        <w:t>such</w:t>
      </w:r>
      <w:r>
        <w:rPr>
          <w:spacing w:val="40"/>
        </w:rPr>
        <w:t xml:space="preserve"> </w:t>
      </w:r>
      <w:r>
        <w:t>that (a</w:t>
      </w:r>
      <w:r>
        <w:rPr>
          <w:position w:val="-7"/>
          <w:sz w:val="22"/>
        </w:rPr>
        <w:t>1</w:t>
      </w:r>
      <w:r>
        <w:t>/a</w:t>
      </w:r>
      <w:r>
        <w:rPr>
          <w:position w:val="-7"/>
          <w:sz w:val="22"/>
        </w:rPr>
        <w:t>2</w:t>
      </w:r>
      <w:r>
        <w:t>)</w:t>
      </w:r>
      <w:r>
        <w:rPr>
          <w:vertAlign w:val="superscript"/>
        </w:rPr>
        <w:t>2</w:t>
      </w:r>
      <w:r>
        <w:t>&lt;2. Thus, the meaning of (i) is:</w:t>
      </w:r>
    </w:p>
    <w:p w14:paraId="7E001035" w14:textId="77777777" w:rsidR="009A58DB" w:rsidRDefault="00000000">
      <w:pPr>
        <w:pStyle w:val="ListParagraph"/>
        <w:numPr>
          <w:ilvl w:val="0"/>
          <w:numId w:val="161"/>
        </w:numPr>
        <w:tabs>
          <w:tab w:val="left" w:pos="797"/>
        </w:tabs>
        <w:spacing w:before="298"/>
        <w:ind w:left="797" w:hanging="437"/>
        <w:rPr>
          <w:sz w:val="30"/>
        </w:rPr>
      </w:pPr>
      <w:r>
        <w:rPr>
          <w:spacing w:val="-2"/>
          <w:w w:val="105"/>
          <w:sz w:val="30"/>
        </w:rPr>
        <w:t>(a</w:t>
      </w:r>
      <w:r>
        <w:rPr>
          <w:spacing w:val="-2"/>
          <w:w w:val="105"/>
          <w:sz w:val="30"/>
          <w:vertAlign w:val="subscript"/>
        </w:rPr>
        <w:t>1</w:t>
      </w:r>
      <w:r>
        <w:rPr>
          <w:spacing w:val="-2"/>
          <w:w w:val="105"/>
          <w:sz w:val="30"/>
        </w:rPr>
        <w:t>/a</w:t>
      </w:r>
      <w:r>
        <w:rPr>
          <w:spacing w:val="-2"/>
          <w:w w:val="105"/>
          <w:sz w:val="30"/>
          <w:vertAlign w:val="subscript"/>
        </w:rPr>
        <w:t>2</w:t>
      </w:r>
      <w:r>
        <w:rPr>
          <w:spacing w:val="-2"/>
          <w:w w:val="105"/>
          <w:sz w:val="30"/>
        </w:rPr>
        <w:t>)</w:t>
      </w:r>
      <w:r>
        <w:rPr>
          <w:spacing w:val="-2"/>
          <w:w w:val="105"/>
          <w:sz w:val="30"/>
          <w:vertAlign w:val="superscript"/>
        </w:rPr>
        <w:t>2</w:t>
      </w:r>
      <w:r>
        <w:rPr>
          <w:spacing w:val="-2"/>
          <w:w w:val="105"/>
          <w:sz w:val="30"/>
        </w:rPr>
        <w:t>&lt;2.</w:t>
      </w:r>
    </w:p>
    <w:p w14:paraId="7E001036" w14:textId="77777777" w:rsidR="009A58DB" w:rsidRDefault="009A58DB">
      <w:pPr>
        <w:pStyle w:val="BodyText"/>
        <w:spacing w:before="90"/>
        <w:ind w:left="0"/>
        <w:jc w:val="left"/>
      </w:pPr>
    </w:p>
    <w:p w14:paraId="7E001037" w14:textId="77777777" w:rsidR="009A58DB" w:rsidRDefault="00000000">
      <w:pPr>
        <w:pStyle w:val="BodyText"/>
        <w:ind w:left="720"/>
        <w:jc w:val="left"/>
      </w:pPr>
      <w:r>
        <w:t>By</w:t>
      </w:r>
      <w:r>
        <w:rPr>
          <w:spacing w:val="-5"/>
        </w:rPr>
        <w:t xml:space="preserve"> </w:t>
      </w:r>
      <w:r>
        <w:t>analogous</w:t>
      </w:r>
      <w:r>
        <w:rPr>
          <w:spacing w:val="-4"/>
        </w:rPr>
        <w:t xml:space="preserve"> </w:t>
      </w:r>
      <w:r>
        <w:t>reasoning,</w:t>
      </w:r>
      <w:r>
        <w:rPr>
          <w:spacing w:val="-3"/>
        </w:rPr>
        <w:t xml:space="preserve"> </w:t>
      </w:r>
      <w:r>
        <w:t>the</w:t>
      </w:r>
      <w:r>
        <w:rPr>
          <w:spacing w:val="-4"/>
        </w:rPr>
        <w:t xml:space="preserve"> </w:t>
      </w:r>
      <w:r>
        <w:t>meaning</w:t>
      </w:r>
      <w:r>
        <w:rPr>
          <w:spacing w:val="-2"/>
        </w:rPr>
        <w:t xml:space="preserve"> </w:t>
      </w:r>
      <w:r>
        <w:rPr>
          <w:spacing w:val="-5"/>
        </w:rPr>
        <w:t>of</w:t>
      </w:r>
    </w:p>
    <w:p w14:paraId="7E001038" w14:textId="77777777" w:rsidR="009A58DB" w:rsidRDefault="009A58DB">
      <w:pPr>
        <w:pStyle w:val="BodyText"/>
        <w:spacing w:before="1"/>
        <w:ind w:left="0"/>
        <w:jc w:val="left"/>
      </w:pPr>
    </w:p>
    <w:p w14:paraId="7E001039" w14:textId="77777777" w:rsidR="009A58DB" w:rsidRDefault="00000000">
      <w:pPr>
        <w:pStyle w:val="ListParagraph"/>
        <w:numPr>
          <w:ilvl w:val="0"/>
          <w:numId w:val="161"/>
        </w:numPr>
        <w:tabs>
          <w:tab w:val="left" w:pos="879"/>
        </w:tabs>
        <w:spacing w:before="1" w:line="494" w:lineRule="auto"/>
        <w:ind w:left="360" w:right="8135" w:firstLine="0"/>
        <w:rPr>
          <w:sz w:val="30"/>
        </w:rPr>
      </w:pPr>
      <w:r>
        <w:rPr>
          <w:spacing w:val="-4"/>
          <w:sz w:val="30"/>
        </w:rPr>
        <w:t>a</w:t>
      </w:r>
      <w:r>
        <w:rPr>
          <w:spacing w:val="-4"/>
          <w:sz w:val="30"/>
          <w:vertAlign w:val="subscript"/>
        </w:rPr>
        <w:t>3</w:t>
      </w:r>
      <w:r>
        <w:rPr>
          <w:spacing w:val="-4"/>
          <w:sz w:val="30"/>
        </w:rPr>
        <w:t>/a</w:t>
      </w:r>
      <w:r>
        <w:rPr>
          <w:spacing w:val="-4"/>
          <w:sz w:val="30"/>
          <w:vertAlign w:val="subscript"/>
        </w:rPr>
        <w:t>4</w:t>
      </w:r>
      <w:r>
        <w:rPr>
          <w:spacing w:val="-4"/>
          <w:sz w:val="30"/>
        </w:rPr>
        <w:t>&lt;</w:t>
      </w:r>
      <w:r>
        <w:rPr>
          <w:rFonts w:ascii="Segoe UI Symbol" w:hAnsi="Segoe UI Symbol"/>
          <w:spacing w:val="-4"/>
          <w:sz w:val="30"/>
        </w:rPr>
        <w:t>✓</w:t>
      </w:r>
      <w:r>
        <w:rPr>
          <w:spacing w:val="-4"/>
          <w:sz w:val="30"/>
        </w:rPr>
        <w:t>3 is:</w:t>
      </w:r>
    </w:p>
    <w:p w14:paraId="7E00103A" w14:textId="77777777" w:rsidR="009A58DB" w:rsidRDefault="00000000">
      <w:pPr>
        <w:pStyle w:val="ListParagraph"/>
        <w:numPr>
          <w:ilvl w:val="0"/>
          <w:numId w:val="161"/>
        </w:numPr>
        <w:tabs>
          <w:tab w:val="left" w:pos="865"/>
        </w:tabs>
        <w:spacing w:before="26"/>
        <w:ind w:left="865" w:hanging="505"/>
        <w:rPr>
          <w:sz w:val="30"/>
        </w:rPr>
      </w:pPr>
      <w:r>
        <w:rPr>
          <w:spacing w:val="-2"/>
          <w:w w:val="105"/>
          <w:sz w:val="30"/>
        </w:rPr>
        <w:t>(a</w:t>
      </w:r>
      <w:r>
        <w:rPr>
          <w:spacing w:val="-2"/>
          <w:w w:val="105"/>
          <w:sz w:val="30"/>
          <w:vertAlign w:val="subscript"/>
        </w:rPr>
        <w:t>3</w:t>
      </w:r>
      <w:r>
        <w:rPr>
          <w:spacing w:val="-2"/>
          <w:w w:val="105"/>
          <w:sz w:val="30"/>
        </w:rPr>
        <w:t>/a</w:t>
      </w:r>
      <w:r>
        <w:rPr>
          <w:spacing w:val="-2"/>
          <w:w w:val="105"/>
          <w:sz w:val="30"/>
          <w:vertAlign w:val="subscript"/>
        </w:rPr>
        <w:t>4</w:t>
      </w:r>
      <w:r>
        <w:rPr>
          <w:spacing w:val="-2"/>
          <w:w w:val="105"/>
          <w:sz w:val="30"/>
        </w:rPr>
        <w:t>)</w:t>
      </w:r>
      <w:r>
        <w:rPr>
          <w:spacing w:val="-2"/>
          <w:w w:val="105"/>
          <w:sz w:val="30"/>
          <w:vertAlign w:val="superscript"/>
        </w:rPr>
        <w:t>2</w:t>
      </w:r>
      <w:r>
        <w:rPr>
          <w:spacing w:val="-2"/>
          <w:w w:val="105"/>
          <w:sz w:val="30"/>
        </w:rPr>
        <w:t>&lt;3.</w:t>
      </w:r>
    </w:p>
    <w:p w14:paraId="7E00103B" w14:textId="77777777" w:rsidR="009A58DB" w:rsidRDefault="009A58DB">
      <w:pPr>
        <w:pStyle w:val="BodyText"/>
        <w:spacing w:before="134"/>
        <w:ind w:left="0"/>
        <w:jc w:val="left"/>
      </w:pPr>
    </w:p>
    <w:p w14:paraId="7E00103C" w14:textId="77777777" w:rsidR="009A58DB" w:rsidRDefault="00000000">
      <w:pPr>
        <w:pStyle w:val="BodyText"/>
        <w:spacing w:before="1"/>
        <w:jc w:val="left"/>
      </w:pPr>
      <w:r>
        <w:t>It</w:t>
      </w:r>
      <w:r>
        <w:rPr>
          <w:spacing w:val="-6"/>
        </w:rPr>
        <w:t xml:space="preserve"> </w:t>
      </w:r>
      <w:r>
        <w:t>follows,</w:t>
      </w:r>
      <w:r>
        <w:rPr>
          <w:spacing w:val="-3"/>
        </w:rPr>
        <w:t xml:space="preserve"> </w:t>
      </w:r>
      <w:r>
        <w:t>given</w:t>
      </w:r>
      <w:r>
        <w:rPr>
          <w:spacing w:val="-2"/>
        </w:rPr>
        <w:t xml:space="preserve"> </w:t>
      </w:r>
      <w:r>
        <w:t>that</w:t>
      </w:r>
      <w:r>
        <w:rPr>
          <w:spacing w:val="-4"/>
        </w:rPr>
        <w:t xml:space="preserve"> </w:t>
      </w:r>
      <w:r>
        <w:t>no</w:t>
      </w:r>
      <w:r>
        <w:rPr>
          <w:spacing w:val="-3"/>
        </w:rPr>
        <w:t xml:space="preserve"> </w:t>
      </w:r>
      <w:r>
        <w:t>two</w:t>
      </w:r>
      <w:r>
        <w:rPr>
          <w:spacing w:val="-2"/>
        </w:rPr>
        <w:t xml:space="preserve"> </w:t>
      </w:r>
      <w:r>
        <w:t>reals</w:t>
      </w:r>
      <w:r>
        <w:rPr>
          <w:spacing w:val="-4"/>
        </w:rPr>
        <w:t xml:space="preserve"> </w:t>
      </w:r>
      <w:r>
        <w:t>are</w:t>
      </w:r>
      <w:r>
        <w:rPr>
          <w:spacing w:val="-3"/>
        </w:rPr>
        <w:t xml:space="preserve"> </w:t>
      </w:r>
      <w:r>
        <w:t>adjacent,</w:t>
      </w:r>
      <w:r>
        <w:rPr>
          <w:spacing w:val="-3"/>
        </w:rPr>
        <w:t xml:space="preserve"> </w:t>
      </w:r>
      <w:r>
        <w:t>that</w:t>
      </w:r>
      <w:r>
        <w:rPr>
          <w:spacing w:val="-3"/>
        </w:rPr>
        <w:t xml:space="preserve"> </w:t>
      </w:r>
      <w:r>
        <w:rPr>
          <w:spacing w:val="-5"/>
        </w:rPr>
        <w:t>for</w:t>
      </w:r>
    </w:p>
    <w:p w14:paraId="7E00103D" w14:textId="77777777" w:rsidR="009A58DB" w:rsidRDefault="009A58DB">
      <w:pPr>
        <w:pStyle w:val="BodyText"/>
        <w:spacing w:before="1"/>
        <w:ind w:left="0"/>
        <w:jc w:val="left"/>
      </w:pPr>
    </w:p>
    <w:p w14:paraId="7E00103E" w14:textId="77777777" w:rsidR="009A58DB" w:rsidRDefault="00000000">
      <w:pPr>
        <w:pStyle w:val="ListParagraph"/>
        <w:numPr>
          <w:ilvl w:val="0"/>
          <w:numId w:val="161"/>
        </w:numPr>
        <w:tabs>
          <w:tab w:val="left" w:pos="782"/>
        </w:tabs>
        <w:ind w:left="782" w:hanging="422"/>
        <w:rPr>
          <w:sz w:val="30"/>
        </w:rPr>
      </w:pPr>
      <w:r>
        <w:rPr>
          <w:rFonts w:ascii="Segoe UI Symbol" w:hAnsi="Segoe UI Symbol"/>
          <w:spacing w:val="-2"/>
          <w:sz w:val="30"/>
        </w:rPr>
        <w:t>✓</w:t>
      </w:r>
      <w:r>
        <w:rPr>
          <w:spacing w:val="-2"/>
          <w:sz w:val="30"/>
        </w:rPr>
        <w:t>2&lt;</w:t>
      </w:r>
      <w:r>
        <w:rPr>
          <w:rFonts w:ascii="Segoe UI Symbol" w:hAnsi="Segoe UI Symbol"/>
          <w:spacing w:val="-2"/>
          <w:sz w:val="30"/>
        </w:rPr>
        <w:t>✓</w:t>
      </w:r>
      <w:r>
        <w:rPr>
          <w:spacing w:val="-2"/>
          <w:sz w:val="30"/>
        </w:rPr>
        <w:t>3</w:t>
      </w:r>
    </w:p>
    <w:p w14:paraId="7E00103F" w14:textId="77777777" w:rsidR="009A58DB" w:rsidRDefault="009A58DB">
      <w:pPr>
        <w:pStyle w:val="BodyText"/>
        <w:spacing w:before="19"/>
        <w:ind w:left="0"/>
        <w:jc w:val="left"/>
      </w:pPr>
    </w:p>
    <w:p w14:paraId="7E001040" w14:textId="77777777" w:rsidR="009A58DB" w:rsidRDefault="00000000">
      <w:pPr>
        <w:pStyle w:val="BodyText"/>
        <w:spacing w:before="1"/>
        <w:ind w:left="720"/>
        <w:jc w:val="left"/>
      </w:pPr>
      <w:r>
        <w:t>to</w:t>
      </w:r>
      <w:r>
        <w:rPr>
          <w:spacing w:val="-2"/>
        </w:rPr>
        <w:t xml:space="preserve"> </w:t>
      </w:r>
      <w:r>
        <w:t>be</w:t>
      </w:r>
      <w:r>
        <w:rPr>
          <w:spacing w:val="-2"/>
        </w:rPr>
        <w:t xml:space="preserve"> </w:t>
      </w:r>
      <w:r>
        <w:t>true</w:t>
      </w:r>
      <w:r>
        <w:rPr>
          <w:spacing w:val="-2"/>
        </w:rPr>
        <w:t xml:space="preserve"> </w:t>
      </w:r>
      <w:r>
        <w:t>is</w:t>
      </w:r>
      <w:r>
        <w:rPr>
          <w:spacing w:val="-2"/>
        </w:rPr>
        <w:t xml:space="preserve"> </w:t>
      </w:r>
      <w:r>
        <w:t>for</w:t>
      </w:r>
      <w:r>
        <w:rPr>
          <w:spacing w:val="-2"/>
        </w:rPr>
        <w:t xml:space="preserve"> </w:t>
      </w:r>
      <w:r>
        <w:t>it</w:t>
      </w:r>
      <w:r>
        <w:rPr>
          <w:spacing w:val="-2"/>
        </w:rPr>
        <w:t xml:space="preserve"> </w:t>
      </w:r>
      <w:r>
        <w:t>to</w:t>
      </w:r>
      <w:r>
        <w:rPr>
          <w:spacing w:val="-1"/>
        </w:rPr>
        <w:t xml:space="preserve"> </w:t>
      </w:r>
      <w:r>
        <w:t>be</w:t>
      </w:r>
      <w:r>
        <w:rPr>
          <w:spacing w:val="-2"/>
        </w:rPr>
        <w:t xml:space="preserve"> </w:t>
      </w:r>
      <w:r>
        <w:t>the</w:t>
      </w:r>
      <w:r>
        <w:rPr>
          <w:spacing w:val="-2"/>
        </w:rPr>
        <w:t xml:space="preserve"> </w:t>
      </w:r>
      <w:r>
        <w:t>case</w:t>
      </w:r>
      <w:r>
        <w:rPr>
          <w:spacing w:val="-2"/>
        </w:rPr>
        <w:t xml:space="preserve"> </w:t>
      </w:r>
      <w:r>
        <w:rPr>
          <w:spacing w:val="-4"/>
        </w:rPr>
        <w:t>that</w:t>
      </w:r>
    </w:p>
    <w:p w14:paraId="7E001041" w14:textId="77777777" w:rsidR="009A58DB" w:rsidRDefault="009A58DB">
      <w:pPr>
        <w:pStyle w:val="BodyText"/>
        <w:spacing w:before="30"/>
        <w:ind w:left="0"/>
        <w:jc w:val="left"/>
      </w:pPr>
    </w:p>
    <w:p w14:paraId="7E001042" w14:textId="77777777" w:rsidR="009A58DB" w:rsidRDefault="00000000">
      <w:pPr>
        <w:pStyle w:val="ListParagraph"/>
        <w:numPr>
          <w:ilvl w:val="0"/>
          <w:numId w:val="161"/>
        </w:numPr>
        <w:tabs>
          <w:tab w:val="left" w:pos="865"/>
        </w:tabs>
        <w:ind w:left="865" w:hanging="505"/>
        <w:rPr>
          <w:sz w:val="30"/>
        </w:rPr>
      </w:pPr>
      <w:r>
        <w:rPr>
          <w:sz w:val="30"/>
        </w:rPr>
        <w:t>there</w:t>
      </w:r>
      <w:r>
        <w:rPr>
          <w:spacing w:val="-3"/>
          <w:sz w:val="30"/>
        </w:rPr>
        <w:t xml:space="preserve"> </w:t>
      </w:r>
      <w:r>
        <w:rPr>
          <w:sz w:val="30"/>
        </w:rPr>
        <w:t>are</w:t>
      </w:r>
      <w:r>
        <w:rPr>
          <w:spacing w:val="-2"/>
          <w:sz w:val="30"/>
        </w:rPr>
        <w:t xml:space="preserve"> </w:t>
      </w:r>
      <w:r>
        <w:rPr>
          <w:sz w:val="30"/>
        </w:rPr>
        <w:t>whole</w:t>
      </w:r>
      <w:r>
        <w:rPr>
          <w:spacing w:val="-3"/>
          <w:sz w:val="30"/>
        </w:rPr>
        <w:t xml:space="preserve"> </w:t>
      </w:r>
      <w:r>
        <w:rPr>
          <w:sz w:val="30"/>
        </w:rPr>
        <w:t>numbers</w:t>
      </w:r>
      <w:r>
        <w:rPr>
          <w:spacing w:val="-2"/>
          <w:sz w:val="30"/>
        </w:rPr>
        <w:t xml:space="preserve"> </w:t>
      </w:r>
      <w:r>
        <w:rPr>
          <w:sz w:val="30"/>
        </w:rPr>
        <w:t>a</w:t>
      </w:r>
      <w:r>
        <w:rPr>
          <w:position w:val="-7"/>
        </w:rPr>
        <w:t>5</w:t>
      </w:r>
      <w:r>
        <w:rPr>
          <w:spacing w:val="19"/>
          <w:position w:val="-7"/>
        </w:rPr>
        <w:t xml:space="preserve"> </w:t>
      </w:r>
      <w:r>
        <w:rPr>
          <w:sz w:val="30"/>
        </w:rPr>
        <w:t>and</w:t>
      </w:r>
      <w:r>
        <w:rPr>
          <w:spacing w:val="-2"/>
          <w:sz w:val="30"/>
        </w:rPr>
        <w:t xml:space="preserve"> </w:t>
      </w:r>
      <w:r>
        <w:rPr>
          <w:sz w:val="30"/>
        </w:rPr>
        <w:t>a</w:t>
      </w:r>
      <w:r>
        <w:rPr>
          <w:position w:val="-7"/>
        </w:rPr>
        <w:t>6</w:t>
      </w:r>
      <w:r>
        <w:rPr>
          <w:spacing w:val="19"/>
          <w:position w:val="-7"/>
        </w:rPr>
        <w:t xml:space="preserve"> </w:t>
      </w:r>
      <w:r>
        <w:rPr>
          <w:sz w:val="30"/>
        </w:rPr>
        <w:t>such</w:t>
      </w:r>
      <w:r>
        <w:rPr>
          <w:spacing w:val="-2"/>
          <w:sz w:val="30"/>
        </w:rPr>
        <w:t xml:space="preserve"> </w:t>
      </w:r>
      <w:r>
        <w:rPr>
          <w:sz w:val="30"/>
        </w:rPr>
        <w:t>that</w:t>
      </w:r>
      <w:r>
        <w:rPr>
          <w:spacing w:val="-2"/>
          <w:sz w:val="30"/>
        </w:rPr>
        <w:t xml:space="preserve"> 2&lt;(a</w:t>
      </w:r>
      <w:r>
        <w:rPr>
          <w:spacing w:val="-2"/>
          <w:position w:val="-7"/>
        </w:rPr>
        <w:t>5</w:t>
      </w:r>
      <w:r>
        <w:rPr>
          <w:spacing w:val="-2"/>
          <w:sz w:val="30"/>
        </w:rPr>
        <w:t>/a</w:t>
      </w:r>
      <w:r>
        <w:rPr>
          <w:spacing w:val="-2"/>
          <w:position w:val="-7"/>
        </w:rPr>
        <w:t>6</w:t>
      </w:r>
      <w:r>
        <w:rPr>
          <w:spacing w:val="-2"/>
          <w:sz w:val="30"/>
        </w:rPr>
        <w:t>)2&lt;3.</w:t>
      </w:r>
    </w:p>
    <w:p w14:paraId="7E001043" w14:textId="77777777" w:rsidR="009A58DB" w:rsidRDefault="00000000">
      <w:pPr>
        <w:pStyle w:val="BodyText"/>
        <w:spacing w:before="343"/>
        <w:ind w:left="720"/>
        <w:jc w:val="left"/>
        <w:rPr>
          <w:i/>
        </w:rPr>
      </w:pPr>
      <w:r>
        <w:t>Given</w:t>
      </w:r>
      <w:r>
        <w:rPr>
          <w:spacing w:val="60"/>
        </w:rPr>
        <w:t xml:space="preserve"> </w:t>
      </w:r>
      <w:r>
        <w:t>any</w:t>
      </w:r>
      <w:r>
        <w:rPr>
          <w:spacing w:val="61"/>
        </w:rPr>
        <w:t xml:space="preserve"> </w:t>
      </w:r>
      <w:r>
        <w:t>whole</w:t>
      </w:r>
      <w:r>
        <w:rPr>
          <w:spacing w:val="61"/>
        </w:rPr>
        <w:t xml:space="preserve"> </w:t>
      </w:r>
      <w:r>
        <w:t>number</w:t>
      </w:r>
      <w:r>
        <w:rPr>
          <w:spacing w:val="61"/>
        </w:rPr>
        <w:t xml:space="preserve"> </w:t>
      </w:r>
      <w:r>
        <w:t>n</w:t>
      </w:r>
      <w:r>
        <w:rPr>
          <w:spacing w:val="61"/>
        </w:rPr>
        <w:t xml:space="preserve"> </w:t>
      </w:r>
      <w:r>
        <w:t>such</w:t>
      </w:r>
      <w:r>
        <w:rPr>
          <w:spacing w:val="60"/>
        </w:rPr>
        <w:t xml:space="preserve"> </w:t>
      </w:r>
      <w:r>
        <w:t>that</w:t>
      </w:r>
      <w:r>
        <w:rPr>
          <w:spacing w:val="61"/>
        </w:rPr>
        <w:t xml:space="preserve"> </w:t>
      </w:r>
      <w:r>
        <w:rPr>
          <w:rFonts w:ascii="Segoe UI Symbol" w:hAnsi="Segoe UI Symbol"/>
        </w:rPr>
        <w:t>✓</w:t>
      </w:r>
      <w:r>
        <w:t>n</w:t>
      </w:r>
      <w:r>
        <w:rPr>
          <w:spacing w:val="58"/>
        </w:rPr>
        <w:t xml:space="preserve"> </w:t>
      </w:r>
      <w:r>
        <w:t>is</w:t>
      </w:r>
      <w:r>
        <w:rPr>
          <w:spacing w:val="59"/>
        </w:rPr>
        <w:t xml:space="preserve"> </w:t>
      </w:r>
      <w:r>
        <w:t>irrational,</w:t>
      </w:r>
      <w:r>
        <w:rPr>
          <w:spacing w:val="58"/>
        </w:rPr>
        <w:t xml:space="preserve"> </w:t>
      </w:r>
      <w:r>
        <w:t>and</w:t>
      </w:r>
      <w:r>
        <w:rPr>
          <w:spacing w:val="59"/>
        </w:rPr>
        <w:t xml:space="preserve"> </w:t>
      </w:r>
      <w:r>
        <w:t>given</w:t>
      </w:r>
      <w:r>
        <w:rPr>
          <w:spacing w:val="59"/>
        </w:rPr>
        <w:t xml:space="preserve"> </w:t>
      </w:r>
      <w:r>
        <w:rPr>
          <w:i/>
          <w:spacing w:val="-5"/>
        </w:rPr>
        <w:t>any</w:t>
      </w:r>
    </w:p>
    <w:p w14:paraId="7E001044" w14:textId="77777777" w:rsidR="009A58DB" w:rsidRDefault="00000000">
      <w:pPr>
        <w:pStyle w:val="BodyText"/>
        <w:spacing w:before="5"/>
        <w:jc w:val="left"/>
      </w:pPr>
      <w:r>
        <w:t>statement</w:t>
      </w:r>
      <w:r>
        <w:rPr>
          <w:spacing w:val="-3"/>
        </w:rPr>
        <w:t xml:space="preserve"> </w:t>
      </w:r>
      <w:r>
        <w:t>S</w:t>
      </w:r>
      <w:r>
        <w:rPr>
          <w:spacing w:val="-3"/>
        </w:rPr>
        <w:t xml:space="preserve"> </w:t>
      </w:r>
      <w:r>
        <w:t>of</w:t>
      </w:r>
      <w:r>
        <w:rPr>
          <w:spacing w:val="-3"/>
        </w:rPr>
        <w:t xml:space="preserve"> </w:t>
      </w:r>
      <w:r>
        <w:t>the</w:t>
      </w:r>
      <w:r>
        <w:rPr>
          <w:spacing w:val="-3"/>
        </w:rPr>
        <w:t xml:space="preserve"> </w:t>
      </w:r>
      <w:r>
        <w:rPr>
          <w:spacing w:val="-4"/>
        </w:rPr>
        <w:t>form</w:t>
      </w:r>
    </w:p>
    <w:p w14:paraId="7E001045" w14:textId="77777777" w:rsidR="009A58DB" w:rsidRDefault="009A58DB">
      <w:pPr>
        <w:pStyle w:val="BodyText"/>
        <w:spacing w:before="1"/>
        <w:ind w:left="0"/>
        <w:jc w:val="left"/>
      </w:pPr>
    </w:p>
    <w:p w14:paraId="7E001046" w14:textId="77777777" w:rsidR="009A58DB" w:rsidRDefault="00000000">
      <w:pPr>
        <w:pStyle w:val="ListParagraph"/>
        <w:numPr>
          <w:ilvl w:val="0"/>
          <w:numId w:val="161"/>
        </w:numPr>
        <w:tabs>
          <w:tab w:val="left" w:pos="947"/>
        </w:tabs>
        <w:ind w:left="947" w:hanging="587"/>
        <w:rPr>
          <w:sz w:val="30"/>
        </w:rPr>
      </w:pPr>
      <w:r>
        <w:rPr>
          <w:spacing w:val="-2"/>
          <w:sz w:val="30"/>
        </w:rPr>
        <w:t>‹...</w:t>
      </w:r>
      <w:r>
        <w:rPr>
          <w:rFonts w:ascii="Segoe UI Symbol" w:hAnsi="Segoe UI Symbol"/>
          <w:spacing w:val="-2"/>
          <w:sz w:val="30"/>
        </w:rPr>
        <w:t>✓</w:t>
      </w:r>
      <w:r>
        <w:rPr>
          <w:spacing w:val="-2"/>
          <w:sz w:val="30"/>
        </w:rPr>
        <w:t>n...›,</w:t>
      </w:r>
    </w:p>
    <w:p w14:paraId="7E001047" w14:textId="77777777" w:rsidR="009A58DB" w:rsidRDefault="009A58DB">
      <w:pPr>
        <w:pStyle w:val="BodyText"/>
        <w:spacing w:before="20"/>
        <w:ind w:left="0"/>
        <w:jc w:val="left"/>
      </w:pPr>
    </w:p>
    <w:p w14:paraId="7E001048" w14:textId="77777777" w:rsidR="009A58DB" w:rsidRDefault="00000000">
      <w:pPr>
        <w:pStyle w:val="BodyText"/>
        <w:jc w:val="left"/>
      </w:pPr>
      <w:r>
        <w:t>there</w:t>
      </w:r>
      <w:r>
        <w:rPr>
          <w:spacing w:val="-6"/>
        </w:rPr>
        <w:t xml:space="preserve"> </w:t>
      </w:r>
      <w:r>
        <w:t>is</w:t>
      </w:r>
      <w:r>
        <w:rPr>
          <w:spacing w:val="-3"/>
        </w:rPr>
        <w:t xml:space="preserve"> </w:t>
      </w:r>
      <w:r>
        <w:t>an</w:t>
      </w:r>
      <w:r>
        <w:rPr>
          <w:spacing w:val="-3"/>
        </w:rPr>
        <w:t xml:space="preserve"> </w:t>
      </w:r>
      <w:r>
        <w:t>equivalent</w:t>
      </w:r>
      <w:r>
        <w:rPr>
          <w:spacing w:val="-3"/>
        </w:rPr>
        <w:t xml:space="preserve"> </w:t>
      </w:r>
      <w:r>
        <w:t>S*</w:t>
      </w:r>
      <w:r>
        <w:rPr>
          <w:spacing w:val="-2"/>
        </w:rPr>
        <w:t xml:space="preserve"> </w:t>
      </w:r>
      <w:r>
        <w:t>statement</w:t>
      </w:r>
      <w:r>
        <w:rPr>
          <w:spacing w:val="-4"/>
        </w:rPr>
        <w:t xml:space="preserve"> </w:t>
      </w:r>
      <w:r>
        <w:t>of</w:t>
      </w:r>
      <w:r>
        <w:rPr>
          <w:spacing w:val="-3"/>
        </w:rPr>
        <w:t xml:space="preserve"> </w:t>
      </w:r>
      <w:r>
        <w:t>the</w:t>
      </w:r>
      <w:r>
        <w:rPr>
          <w:spacing w:val="-3"/>
        </w:rPr>
        <w:t xml:space="preserve"> </w:t>
      </w:r>
      <w:r>
        <w:rPr>
          <w:spacing w:val="-2"/>
        </w:rPr>
        <w:t>form:</w:t>
      </w:r>
    </w:p>
    <w:p w14:paraId="7E001049" w14:textId="77777777" w:rsidR="009A58DB" w:rsidRDefault="009A58DB">
      <w:pPr>
        <w:pStyle w:val="BodyText"/>
        <w:spacing w:before="30"/>
        <w:ind w:left="0"/>
        <w:jc w:val="left"/>
      </w:pPr>
    </w:p>
    <w:p w14:paraId="7E00104A" w14:textId="77777777" w:rsidR="009A58DB" w:rsidRDefault="00000000">
      <w:pPr>
        <w:pStyle w:val="ListParagraph"/>
        <w:numPr>
          <w:ilvl w:val="0"/>
          <w:numId w:val="161"/>
        </w:numPr>
        <w:tabs>
          <w:tab w:val="left" w:pos="1029"/>
        </w:tabs>
        <w:ind w:left="1029" w:hanging="669"/>
        <w:rPr>
          <w:sz w:val="30"/>
        </w:rPr>
      </w:pPr>
      <w:r>
        <w:rPr>
          <w:spacing w:val="-2"/>
          <w:sz w:val="30"/>
        </w:rPr>
        <w:t>‹...n...›</w:t>
      </w:r>
    </w:p>
    <w:p w14:paraId="7E00104B"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104C" w14:textId="77777777" w:rsidR="009A58DB" w:rsidRDefault="00000000">
      <w:pPr>
        <w:pStyle w:val="BodyText"/>
        <w:spacing w:before="56" w:line="244" w:lineRule="auto"/>
        <w:ind w:right="359" w:firstLine="360"/>
      </w:pPr>
      <w:r>
        <w:lastRenderedPageBreak/>
        <w:t xml:space="preserve">Let us take stock. Statements about </w:t>
      </w:r>
      <w:r>
        <w:rPr>
          <w:rFonts w:ascii="Segoe UI Symbol" w:hAnsi="Segoe UI Symbol"/>
        </w:rPr>
        <w:t>✓</w:t>
      </w:r>
      <w:r>
        <w:t>2 can be represented as statements about</w:t>
      </w:r>
      <w:r>
        <w:rPr>
          <w:spacing w:val="-8"/>
        </w:rPr>
        <w:t xml:space="preserve"> </w:t>
      </w:r>
      <w:r>
        <w:t>the</w:t>
      </w:r>
      <w:r>
        <w:rPr>
          <w:spacing w:val="-8"/>
        </w:rPr>
        <w:t xml:space="preserve"> </w:t>
      </w:r>
      <w:r>
        <w:t>class</w:t>
      </w:r>
      <w:r>
        <w:rPr>
          <w:spacing w:val="-8"/>
        </w:rPr>
        <w:t xml:space="preserve"> </w:t>
      </w:r>
      <w:r>
        <w:t>all</w:t>
      </w:r>
      <w:r>
        <w:rPr>
          <w:spacing w:val="-8"/>
        </w:rPr>
        <w:t xml:space="preserve"> </w:t>
      </w:r>
      <w:r>
        <w:t>rational</w:t>
      </w:r>
      <w:r>
        <w:rPr>
          <w:spacing w:val="-8"/>
        </w:rPr>
        <w:t xml:space="preserve"> </w:t>
      </w:r>
      <w:r>
        <w:t>numbers</w:t>
      </w:r>
      <w:r>
        <w:rPr>
          <w:spacing w:val="-8"/>
        </w:rPr>
        <w:t xml:space="preserve"> </w:t>
      </w:r>
      <w:r>
        <w:t>whose</w:t>
      </w:r>
      <w:r>
        <w:rPr>
          <w:spacing w:val="-8"/>
        </w:rPr>
        <w:t xml:space="preserve"> </w:t>
      </w:r>
      <w:r>
        <w:t>squares</w:t>
      </w:r>
      <w:r>
        <w:rPr>
          <w:spacing w:val="-8"/>
        </w:rPr>
        <w:t xml:space="preserve"> </w:t>
      </w:r>
      <w:r>
        <w:t>are</w:t>
      </w:r>
      <w:r>
        <w:rPr>
          <w:spacing w:val="-8"/>
        </w:rPr>
        <w:t xml:space="preserve"> </w:t>
      </w:r>
      <w:r>
        <w:t>less</w:t>
      </w:r>
      <w:r>
        <w:rPr>
          <w:spacing w:val="-8"/>
        </w:rPr>
        <w:t xml:space="preserve"> </w:t>
      </w:r>
      <w:r>
        <w:t>than</w:t>
      </w:r>
      <w:r>
        <w:rPr>
          <w:spacing w:val="-7"/>
        </w:rPr>
        <w:t xml:space="preserve"> </w:t>
      </w:r>
      <w:r>
        <w:t>two.</w:t>
      </w:r>
      <w:r>
        <w:rPr>
          <w:spacing w:val="-7"/>
        </w:rPr>
        <w:t xml:space="preserve"> </w:t>
      </w:r>
      <w:r>
        <w:t>Thus,</w:t>
      </w:r>
      <w:r>
        <w:rPr>
          <w:spacing w:val="-7"/>
        </w:rPr>
        <w:t xml:space="preserve"> </w:t>
      </w:r>
      <w:r>
        <w:rPr>
          <w:rFonts w:ascii="Segoe UI Symbol" w:hAnsi="Segoe UI Symbol"/>
        </w:rPr>
        <w:t>✓</w:t>
      </w:r>
      <w:r>
        <w:t>2 may be identified with the class of all ratios R such that R</w:t>
      </w:r>
      <w:r>
        <w:rPr>
          <w:vertAlign w:val="superscript"/>
        </w:rPr>
        <w:t>2</w:t>
      </w:r>
      <w:r>
        <w:t>&lt;2</w:t>
      </w:r>
      <w:bookmarkStart w:id="222" w:name="_bookmark222"/>
      <w:bookmarkEnd w:id="222"/>
      <w:r>
        <w:t>.</w:t>
      </w:r>
      <w:r>
        <w:rPr>
          <w:color w:val="0562C1"/>
          <w:position w:val="21"/>
          <w:u w:val="single" w:color="0562C1"/>
        </w:rPr>
        <w:t>[130]</w:t>
      </w:r>
      <w:r>
        <w:rPr>
          <w:color w:val="0562C1"/>
          <w:position w:val="21"/>
        </w:rPr>
        <w:t xml:space="preserve"> </w:t>
      </w:r>
      <w:r>
        <w:t xml:space="preserve">Other irrationals are to be understood along similar lines. Thus, statements about irrational numbers can always be translated into statements about rational </w:t>
      </w:r>
      <w:r>
        <w:rPr>
          <w:spacing w:val="-2"/>
        </w:rPr>
        <w:t>numbers.</w:t>
      </w:r>
    </w:p>
    <w:p w14:paraId="7E00104D" w14:textId="77777777" w:rsidR="009A58DB" w:rsidRDefault="00000000">
      <w:pPr>
        <w:pStyle w:val="BodyText"/>
        <w:spacing w:line="249" w:lineRule="auto"/>
        <w:ind w:right="363" w:firstLine="360"/>
      </w:pPr>
      <w:r>
        <w:t>Statements about rationals can obviously be translated into statements about</w:t>
      </w:r>
      <w:r>
        <w:rPr>
          <w:spacing w:val="-3"/>
        </w:rPr>
        <w:t xml:space="preserve"> </w:t>
      </w:r>
      <w:r>
        <w:t>whole</w:t>
      </w:r>
      <w:r>
        <w:rPr>
          <w:spacing w:val="-3"/>
        </w:rPr>
        <w:t xml:space="preserve"> </w:t>
      </w:r>
      <w:r>
        <w:t>numbers.</w:t>
      </w:r>
      <w:r>
        <w:rPr>
          <w:spacing w:val="-3"/>
        </w:rPr>
        <w:t xml:space="preserve"> </w:t>
      </w:r>
      <w:r>
        <w:t>Statements</w:t>
      </w:r>
      <w:r>
        <w:rPr>
          <w:spacing w:val="-3"/>
        </w:rPr>
        <w:t xml:space="preserve"> </w:t>
      </w:r>
      <w:r>
        <w:t>about</w:t>
      </w:r>
      <w:r>
        <w:rPr>
          <w:spacing w:val="-3"/>
        </w:rPr>
        <w:t xml:space="preserve"> </w:t>
      </w:r>
      <w:r>
        <w:t>whole</w:t>
      </w:r>
      <w:r>
        <w:rPr>
          <w:spacing w:val="-3"/>
        </w:rPr>
        <w:t xml:space="preserve"> </w:t>
      </w:r>
      <w:r>
        <w:t>numbers</w:t>
      </w:r>
      <w:r>
        <w:rPr>
          <w:spacing w:val="-3"/>
        </w:rPr>
        <w:t xml:space="preserve"> </w:t>
      </w:r>
      <w:r>
        <w:t>can</w:t>
      </w:r>
      <w:r>
        <w:rPr>
          <w:spacing w:val="-3"/>
        </w:rPr>
        <w:t xml:space="preserve"> </w:t>
      </w:r>
      <w:r>
        <w:t>be</w:t>
      </w:r>
      <w:r>
        <w:rPr>
          <w:spacing w:val="-3"/>
        </w:rPr>
        <w:t xml:space="preserve"> </w:t>
      </w:r>
      <w:r>
        <w:t>translated</w:t>
      </w:r>
      <w:r>
        <w:rPr>
          <w:spacing w:val="-3"/>
        </w:rPr>
        <w:t xml:space="preserve"> </w:t>
      </w:r>
      <w:r>
        <w:t>into statements that don’t contain any number-expressions. (See Sections 2.5.1–2.5.2.) Thus, statements about irrational numbers can always be translated into statements that don’t contain any number-expressions.</w:t>
      </w:r>
    </w:p>
    <w:p w14:paraId="7E00104E" w14:textId="77777777" w:rsidR="009A58DB" w:rsidRDefault="00000000">
      <w:pPr>
        <w:pStyle w:val="Heading3"/>
        <w:numPr>
          <w:ilvl w:val="1"/>
          <w:numId w:val="166"/>
        </w:numPr>
        <w:tabs>
          <w:tab w:val="left" w:pos="877"/>
        </w:tabs>
        <w:spacing w:before="191"/>
        <w:ind w:left="877" w:hanging="517"/>
        <w:jc w:val="both"/>
      </w:pPr>
      <w:r>
        <w:t>A</w:t>
      </w:r>
      <w:r>
        <w:rPr>
          <w:spacing w:val="5"/>
        </w:rPr>
        <w:t xml:space="preserve"> </w:t>
      </w:r>
      <w:r>
        <w:t>problem</w:t>
      </w:r>
      <w:r>
        <w:rPr>
          <w:spacing w:val="6"/>
        </w:rPr>
        <w:t xml:space="preserve"> </w:t>
      </w:r>
      <w:r>
        <w:t>with</w:t>
      </w:r>
      <w:r>
        <w:rPr>
          <w:spacing w:val="6"/>
        </w:rPr>
        <w:t xml:space="preserve"> </w:t>
      </w:r>
      <w:r>
        <w:t>Frege’s</w:t>
      </w:r>
      <w:r>
        <w:rPr>
          <w:spacing w:val="6"/>
        </w:rPr>
        <w:t xml:space="preserve"> </w:t>
      </w:r>
      <w:r>
        <w:rPr>
          <w:spacing w:val="-2"/>
        </w:rPr>
        <w:t>analysis</w:t>
      </w:r>
    </w:p>
    <w:p w14:paraId="7E00104F" w14:textId="77777777" w:rsidR="009A58DB" w:rsidRDefault="00000000">
      <w:pPr>
        <w:pStyle w:val="BodyText"/>
        <w:spacing w:before="141" w:line="249" w:lineRule="auto"/>
        <w:ind w:right="358"/>
      </w:pPr>
      <w:r>
        <w:t xml:space="preserve">Though basically identical with the analysis given by Frege, the one given in Section 2.3 differs from Frege’s in one important respect. Frege identified numbers, not with properties of sets, with </w:t>
      </w:r>
      <w:r>
        <w:rPr>
          <w:i/>
        </w:rPr>
        <w:t xml:space="preserve">sets </w:t>
      </w:r>
      <w:r>
        <w:t>of sets. Frege identified the number two with the set containing all and only those sets S such that, for some x and some y, x is a member of S and y is a member of S and x ≠ y and such that, for any z, if z is a member of S, then z = x or z = y. So, for Frege, the number two is the set of all sets of the sort just described. The number</w:t>
      </w:r>
      <w:r>
        <w:rPr>
          <w:spacing w:val="40"/>
        </w:rPr>
        <w:t xml:space="preserve"> </w:t>
      </w:r>
      <w:r>
        <w:t>one is the set containing all and only those sets S such that something x belongs to S and such that anything y that belongs to S is identical with x. The</w:t>
      </w:r>
      <w:r>
        <w:rPr>
          <w:spacing w:val="-3"/>
        </w:rPr>
        <w:t xml:space="preserve"> </w:t>
      </w:r>
      <w:r>
        <w:t>number</w:t>
      </w:r>
      <w:r>
        <w:rPr>
          <w:spacing w:val="-2"/>
        </w:rPr>
        <w:t xml:space="preserve"> </w:t>
      </w:r>
      <w:r>
        <w:t>zero</w:t>
      </w:r>
      <w:r>
        <w:rPr>
          <w:spacing w:val="-3"/>
        </w:rPr>
        <w:t xml:space="preserve"> </w:t>
      </w:r>
      <w:r>
        <w:t>is</w:t>
      </w:r>
      <w:r>
        <w:rPr>
          <w:spacing w:val="-2"/>
        </w:rPr>
        <w:t xml:space="preserve"> </w:t>
      </w:r>
      <w:r>
        <w:t>the</w:t>
      </w:r>
      <w:r>
        <w:rPr>
          <w:spacing w:val="-3"/>
        </w:rPr>
        <w:t xml:space="preserve"> </w:t>
      </w:r>
      <w:r>
        <w:t>set</w:t>
      </w:r>
      <w:r>
        <w:rPr>
          <w:spacing w:val="-2"/>
        </w:rPr>
        <w:t xml:space="preserve"> </w:t>
      </w:r>
      <w:r>
        <w:t>containing</w:t>
      </w:r>
      <w:r>
        <w:rPr>
          <w:spacing w:val="-2"/>
        </w:rPr>
        <w:t xml:space="preserve"> </w:t>
      </w:r>
      <w:r>
        <w:t>all</w:t>
      </w:r>
      <w:r>
        <w:rPr>
          <w:spacing w:val="-3"/>
        </w:rPr>
        <w:t xml:space="preserve"> </w:t>
      </w:r>
      <w:r>
        <w:t>and</w:t>
      </w:r>
      <w:r>
        <w:rPr>
          <w:spacing w:val="-2"/>
        </w:rPr>
        <w:t xml:space="preserve"> </w:t>
      </w:r>
      <w:r>
        <w:t>only</w:t>
      </w:r>
      <w:r>
        <w:rPr>
          <w:spacing w:val="-3"/>
        </w:rPr>
        <w:t xml:space="preserve"> </w:t>
      </w:r>
      <w:r>
        <w:t>those</w:t>
      </w:r>
      <w:r>
        <w:rPr>
          <w:spacing w:val="-2"/>
        </w:rPr>
        <w:t xml:space="preserve"> </w:t>
      </w:r>
      <w:r>
        <w:t>sets</w:t>
      </w:r>
      <w:r>
        <w:rPr>
          <w:spacing w:val="-3"/>
        </w:rPr>
        <w:t xml:space="preserve"> </w:t>
      </w:r>
      <w:r>
        <w:t>to</w:t>
      </w:r>
      <w:r>
        <w:rPr>
          <w:spacing w:val="-2"/>
        </w:rPr>
        <w:t xml:space="preserve"> </w:t>
      </w:r>
      <w:r>
        <w:t>which</w:t>
      </w:r>
      <w:r>
        <w:rPr>
          <w:spacing w:val="-2"/>
        </w:rPr>
        <w:t xml:space="preserve"> </w:t>
      </w:r>
      <w:r>
        <w:t xml:space="preserve">nothing </w:t>
      </w:r>
      <w:r>
        <w:rPr>
          <w:spacing w:val="-2"/>
        </w:rPr>
        <w:t>belongs.</w:t>
      </w:r>
    </w:p>
    <w:p w14:paraId="7E001050" w14:textId="77777777" w:rsidR="009A58DB" w:rsidRDefault="00000000">
      <w:pPr>
        <w:pStyle w:val="BodyText"/>
        <w:spacing w:before="14" w:line="249" w:lineRule="auto"/>
        <w:ind w:right="361" w:firstLine="360"/>
      </w:pPr>
      <w:r>
        <w:t xml:space="preserve">The problem is that, if numbers are identified with sets rather than properties, it follows that the number two </w:t>
      </w:r>
      <w:r>
        <w:rPr>
          <w:i/>
        </w:rPr>
        <w:t xml:space="preserve">could </w:t>
      </w:r>
      <w:r>
        <w:t>have been something other than what it actually is. Consider some pair of objects (e.g., your two favorite socks) and let it be the set containing just those two things. Given a universe where</w:t>
      </w:r>
      <w:r>
        <w:rPr>
          <w:spacing w:val="65"/>
        </w:rPr>
        <w:t xml:space="preserve"> </w:t>
      </w:r>
      <w:r>
        <w:t>those</w:t>
      </w:r>
      <w:r>
        <w:rPr>
          <w:spacing w:val="65"/>
        </w:rPr>
        <w:t xml:space="preserve"> </w:t>
      </w:r>
      <w:r>
        <w:t>two</w:t>
      </w:r>
      <w:r>
        <w:rPr>
          <w:spacing w:val="65"/>
        </w:rPr>
        <w:t xml:space="preserve"> </w:t>
      </w:r>
      <w:r>
        <w:t>socks</w:t>
      </w:r>
      <w:r>
        <w:rPr>
          <w:spacing w:val="65"/>
        </w:rPr>
        <w:t xml:space="preserve"> </w:t>
      </w:r>
      <w:r>
        <w:t>don’t</w:t>
      </w:r>
      <w:r>
        <w:rPr>
          <w:spacing w:val="65"/>
        </w:rPr>
        <w:t xml:space="preserve"> </w:t>
      </w:r>
      <w:r>
        <w:t>exist,</w:t>
      </w:r>
      <w:r>
        <w:rPr>
          <w:spacing w:val="65"/>
        </w:rPr>
        <w:t xml:space="preserve"> </w:t>
      </w:r>
      <w:r>
        <w:t>if</w:t>
      </w:r>
      <w:r>
        <w:rPr>
          <w:spacing w:val="65"/>
        </w:rPr>
        <w:t xml:space="preserve"> </w:t>
      </w:r>
      <w:r>
        <w:t>K</w:t>
      </w:r>
      <w:r>
        <w:rPr>
          <w:vertAlign w:val="subscript"/>
        </w:rPr>
        <w:t>2</w:t>
      </w:r>
      <w:r>
        <w:rPr>
          <w:spacing w:val="64"/>
        </w:rPr>
        <w:t xml:space="preserve"> </w:t>
      </w:r>
      <w:r>
        <w:t>is</w:t>
      </w:r>
      <w:r>
        <w:rPr>
          <w:spacing w:val="64"/>
        </w:rPr>
        <w:t xml:space="preserve"> </w:t>
      </w:r>
      <w:r>
        <w:t>the</w:t>
      </w:r>
      <w:r>
        <w:rPr>
          <w:spacing w:val="64"/>
        </w:rPr>
        <w:t xml:space="preserve"> </w:t>
      </w:r>
      <w:r>
        <w:t>class</w:t>
      </w:r>
      <w:r>
        <w:rPr>
          <w:spacing w:val="64"/>
        </w:rPr>
        <w:t xml:space="preserve"> </w:t>
      </w:r>
      <w:r>
        <w:t>of</w:t>
      </w:r>
      <w:r>
        <w:rPr>
          <w:spacing w:val="64"/>
        </w:rPr>
        <w:t xml:space="preserve"> </w:t>
      </w:r>
      <w:r>
        <w:t>all</w:t>
      </w:r>
      <w:r>
        <w:rPr>
          <w:spacing w:val="64"/>
        </w:rPr>
        <w:t xml:space="preserve"> </w:t>
      </w:r>
      <w:r>
        <w:t>pairs</w:t>
      </w:r>
      <w:r>
        <w:rPr>
          <w:spacing w:val="64"/>
        </w:rPr>
        <w:t xml:space="preserve"> </w:t>
      </w:r>
      <w:r>
        <w:t>in</w:t>
      </w:r>
      <w:r>
        <w:rPr>
          <w:spacing w:val="64"/>
        </w:rPr>
        <w:t xml:space="preserve"> </w:t>
      </w:r>
      <w:r>
        <w:t>that</w:t>
      </w:r>
    </w:p>
    <w:p w14:paraId="7E001051" w14:textId="77777777" w:rsidR="009A58DB" w:rsidRDefault="00000000">
      <w:pPr>
        <w:spacing w:before="66" w:line="271" w:lineRule="auto"/>
        <w:ind w:left="360" w:right="361"/>
        <w:jc w:val="both"/>
        <w:rPr>
          <w:i/>
          <w:sz w:val="30"/>
        </w:rPr>
      </w:pPr>
      <w:r>
        <w:rPr>
          <w:sz w:val="30"/>
        </w:rPr>
        <w:t>universe,</w:t>
      </w:r>
      <w:r>
        <w:rPr>
          <w:spacing w:val="-2"/>
          <w:sz w:val="30"/>
        </w:rPr>
        <w:t xml:space="preserve"> </w:t>
      </w:r>
      <w:r>
        <w:rPr>
          <w:sz w:val="30"/>
        </w:rPr>
        <w:t>then</w:t>
      </w:r>
      <w:r>
        <w:rPr>
          <w:spacing w:val="-2"/>
          <w:sz w:val="30"/>
        </w:rPr>
        <w:t xml:space="preserve"> </w:t>
      </w:r>
      <w:r>
        <w:rPr>
          <w:sz w:val="30"/>
        </w:rPr>
        <w:t>K</w:t>
      </w:r>
      <w:r>
        <w:rPr>
          <w:sz w:val="30"/>
          <w:vertAlign w:val="subscript"/>
        </w:rPr>
        <w:t>2</w:t>
      </w:r>
      <w:r>
        <w:rPr>
          <w:spacing w:val="-2"/>
          <w:sz w:val="30"/>
        </w:rPr>
        <w:t xml:space="preserve"> </w:t>
      </w:r>
      <w:r>
        <w:rPr>
          <w:sz w:val="30"/>
        </w:rPr>
        <w:t>won’t</w:t>
      </w:r>
      <w:r>
        <w:rPr>
          <w:spacing w:val="-3"/>
          <w:sz w:val="30"/>
        </w:rPr>
        <w:t xml:space="preserve"> </w:t>
      </w:r>
      <w:r>
        <w:rPr>
          <w:sz w:val="30"/>
        </w:rPr>
        <w:t>be</w:t>
      </w:r>
      <w:r>
        <w:rPr>
          <w:spacing w:val="-3"/>
          <w:sz w:val="30"/>
        </w:rPr>
        <w:t xml:space="preserve"> </w:t>
      </w:r>
      <w:r>
        <w:rPr>
          <w:sz w:val="30"/>
        </w:rPr>
        <w:t>identical</w:t>
      </w:r>
      <w:r>
        <w:rPr>
          <w:spacing w:val="-3"/>
          <w:sz w:val="30"/>
        </w:rPr>
        <w:t xml:space="preserve"> </w:t>
      </w:r>
      <w:r>
        <w:rPr>
          <w:sz w:val="30"/>
        </w:rPr>
        <w:t>with</w:t>
      </w:r>
      <w:r>
        <w:rPr>
          <w:spacing w:val="-2"/>
          <w:sz w:val="30"/>
        </w:rPr>
        <w:t xml:space="preserve"> </w:t>
      </w:r>
      <w:r>
        <w:rPr>
          <w:sz w:val="30"/>
        </w:rPr>
        <w:t>the</w:t>
      </w:r>
      <w:r>
        <w:rPr>
          <w:spacing w:val="-3"/>
          <w:sz w:val="30"/>
        </w:rPr>
        <w:t xml:space="preserve"> </w:t>
      </w:r>
      <w:r>
        <w:rPr>
          <w:sz w:val="30"/>
        </w:rPr>
        <w:t>class</w:t>
      </w:r>
      <w:r>
        <w:rPr>
          <w:spacing w:val="-3"/>
          <w:sz w:val="30"/>
        </w:rPr>
        <w:t xml:space="preserve"> </w:t>
      </w:r>
      <w:r>
        <w:rPr>
          <w:sz w:val="30"/>
        </w:rPr>
        <w:t>of</w:t>
      </w:r>
      <w:r>
        <w:rPr>
          <w:spacing w:val="-3"/>
          <w:sz w:val="30"/>
        </w:rPr>
        <w:t xml:space="preserve"> </w:t>
      </w:r>
      <w:r>
        <w:rPr>
          <w:sz w:val="30"/>
        </w:rPr>
        <w:t>all</w:t>
      </w:r>
      <w:r>
        <w:rPr>
          <w:spacing w:val="-3"/>
          <w:sz w:val="30"/>
        </w:rPr>
        <w:t xml:space="preserve"> </w:t>
      </w:r>
      <w:r>
        <w:rPr>
          <w:sz w:val="30"/>
        </w:rPr>
        <w:t>pairs</w:t>
      </w:r>
      <w:r>
        <w:rPr>
          <w:spacing w:val="-3"/>
          <w:sz w:val="30"/>
        </w:rPr>
        <w:t xml:space="preserve"> </w:t>
      </w:r>
      <w:r>
        <w:rPr>
          <w:sz w:val="30"/>
        </w:rPr>
        <w:t>in</w:t>
      </w:r>
      <w:r>
        <w:rPr>
          <w:spacing w:val="-2"/>
          <w:sz w:val="30"/>
        </w:rPr>
        <w:t xml:space="preserve"> </w:t>
      </w:r>
      <w:r>
        <w:rPr>
          <w:i/>
          <w:sz w:val="30"/>
        </w:rPr>
        <w:t>our</w:t>
      </w:r>
      <w:r>
        <w:rPr>
          <w:i/>
          <w:spacing w:val="-3"/>
          <w:sz w:val="30"/>
        </w:rPr>
        <w:t xml:space="preserve"> </w:t>
      </w:r>
      <w:r>
        <w:rPr>
          <w:sz w:val="30"/>
        </w:rPr>
        <w:t>universe. Since two sets cannot be identical unless they have the same members, it follows</w:t>
      </w:r>
      <w:r>
        <w:rPr>
          <w:spacing w:val="57"/>
          <w:sz w:val="30"/>
        </w:rPr>
        <w:t xml:space="preserve"> </w:t>
      </w:r>
      <w:r>
        <w:rPr>
          <w:sz w:val="30"/>
        </w:rPr>
        <w:t>that</w:t>
      </w:r>
      <w:r>
        <w:rPr>
          <w:spacing w:val="57"/>
          <w:sz w:val="30"/>
        </w:rPr>
        <w:t xml:space="preserve"> </w:t>
      </w:r>
      <w:r>
        <w:rPr>
          <w:i/>
          <w:sz w:val="30"/>
        </w:rPr>
        <w:t>the</w:t>
      </w:r>
      <w:r>
        <w:rPr>
          <w:i/>
          <w:spacing w:val="59"/>
          <w:sz w:val="30"/>
        </w:rPr>
        <w:t xml:space="preserve"> </w:t>
      </w:r>
      <w:r>
        <w:rPr>
          <w:i/>
          <w:sz w:val="30"/>
        </w:rPr>
        <w:t>number</w:t>
      </w:r>
      <w:r>
        <w:rPr>
          <w:i/>
          <w:spacing w:val="59"/>
          <w:sz w:val="30"/>
        </w:rPr>
        <w:t xml:space="preserve"> </w:t>
      </w:r>
      <w:r>
        <w:rPr>
          <w:i/>
          <w:sz w:val="30"/>
        </w:rPr>
        <w:t>two</w:t>
      </w:r>
      <w:r>
        <w:rPr>
          <w:i/>
          <w:spacing w:val="59"/>
          <w:sz w:val="30"/>
        </w:rPr>
        <w:t xml:space="preserve"> </w:t>
      </w:r>
      <w:r>
        <w:rPr>
          <w:i/>
          <w:sz w:val="30"/>
        </w:rPr>
        <w:t>could</w:t>
      </w:r>
      <w:r>
        <w:rPr>
          <w:i/>
          <w:spacing w:val="59"/>
          <w:sz w:val="30"/>
        </w:rPr>
        <w:t xml:space="preserve"> </w:t>
      </w:r>
      <w:r>
        <w:rPr>
          <w:i/>
          <w:sz w:val="30"/>
        </w:rPr>
        <w:t>have</w:t>
      </w:r>
      <w:r>
        <w:rPr>
          <w:i/>
          <w:spacing w:val="59"/>
          <w:sz w:val="30"/>
        </w:rPr>
        <w:t xml:space="preserve"> </w:t>
      </w:r>
      <w:r>
        <w:rPr>
          <w:i/>
          <w:sz w:val="30"/>
        </w:rPr>
        <w:t>something</w:t>
      </w:r>
      <w:r>
        <w:rPr>
          <w:i/>
          <w:spacing w:val="59"/>
          <w:sz w:val="30"/>
        </w:rPr>
        <w:t xml:space="preserve"> </w:t>
      </w:r>
      <w:r>
        <w:rPr>
          <w:i/>
          <w:sz w:val="30"/>
        </w:rPr>
        <w:t>other</w:t>
      </w:r>
      <w:r>
        <w:rPr>
          <w:i/>
          <w:spacing w:val="59"/>
          <w:sz w:val="30"/>
        </w:rPr>
        <w:t xml:space="preserve"> </w:t>
      </w:r>
      <w:r>
        <w:rPr>
          <w:i/>
          <w:sz w:val="30"/>
        </w:rPr>
        <w:t>than</w:t>
      </w:r>
      <w:r>
        <w:rPr>
          <w:i/>
          <w:spacing w:val="59"/>
          <w:sz w:val="30"/>
        </w:rPr>
        <w:t xml:space="preserve"> </w:t>
      </w:r>
      <w:r>
        <w:rPr>
          <w:i/>
          <w:sz w:val="30"/>
        </w:rPr>
        <w:t>what</w:t>
      </w:r>
      <w:r>
        <w:rPr>
          <w:i/>
          <w:spacing w:val="59"/>
          <w:sz w:val="30"/>
        </w:rPr>
        <w:t xml:space="preserve"> </w:t>
      </w:r>
      <w:r>
        <w:rPr>
          <w:i/>
          <w:sz w:val="30"/>
        </w:rPr>
        <w:t>it</w:t>
      </w:r>
      <w:r>
        <w:rPr>
          <w:i/>
          <w:spacing w:val="59"/>
          <w:sz w:val="30"/>
        </w:rPr>
        <w:t xml:space="preserve"> </w:t>
      </w:r>
      <w:r>
        <w:rPr>
          <w:i/>
          <w:spacing w:val="-5"/>
          <w:sz w:val="30"/>
        </w:rPr>
        <w:t>is,</w:t>
      </w:r>
    </w:p>
    <w:p w14:paraId="7E001052" w14:textId="77777777" w:rsidR="009A58DB" w:rsidRDefault="00000000">
      <w:pPr>
        <w:spacing w:line="316" w:lineRule="exact"/>
        <w:ind w:left="360"/>
        <w:jc w:val="both"/>
        <w:rPr>
          <w:sz w:val="30"/>
        </w:rPr>
      </w:pPr>
      <w:r>
        <w:rPr>
          <w:sz w:val="30"/>
        </w:rPr>
        <w:t>which</w:t>
      </w:r>
      <w:r>
        <w:rPr>
          <w:spacing w:val="18"/>
          <w:sz w:val="30"/>
        </w:rPr>
        <w:t xml:space="preserve"> </w:t>
      </w:r>
      <w:r>
        <w:rPr>
          <w:sz w:val="30"/>
        </w:rPr>
        <w:t>is</w:t>
      </w:r>
      <w:r>
        <w:rPr>
          <w:spacing w:val="20"/>
          <w:sz w:val="30"/>
        </w:rPr>
        <w:t xml:space="preserve"> </w:t>
      </w:r>
      <w:r>
        <w:rPr>
          <w:sz w:val="30"/>
        </w:rPr>
        <w:t>absurd.</w:t>
      </w:r>
      <w:r>
        <w:rPr>
          <w:spacing w:val="20"/>
          <w:sz w:val="30"/>
        </w:rPr>
        <w:t xml:space="preserve"> </w:t>
      </w:r>
      <w:r>
        <w:rPr>
          <w:sz w:val="30"/>
        </w:rPr>
        <w:t>The</w:t>
      </w:r>
      <w:r>
        <w:rPr>
          <w:spacing w:val="20"/>
          <w:sz w:val="30"/>
        </w:rPr>
        <w:t xml:space="preserve"> </w:t>
      </w:r>
      <w:r>
        <w:rPr>
          <w:sz w:val="30"/>
        </w:rPr>
        <w:t>same</w:t>
      </w:r>
      <w:r>
        <w:rPr>
          <w:spacing w:val="20"/>
          <w:sz w:val="30"/>
        </w:rPr>
        <w:t xml:space="preserve"> </w:t>
      </w:r>
      <w:r>
        <w:rPr>
          <w:sz w:val="30"/>
        </w:rPr>
        <w:t>thing</w:t>
      </w:r>
      <w:r>
        <w:rPr>
          <w:spacing w:val="20"/>
          <w:sz w:val="30"/>
        </w:rPr>
        <w:t xml:space="preserve"> </w:t>
      </w:r>
      <w:r>
        <w:rPr>
          <w:i/>
          <w:sz w:val="30"/>
        </w:rPr>
        <w:t>mutatis</w:t>
      </w:r>
      <w:r>
        <w:rPr>
          <w:i/>
          <w:spacing w:val="20"/>
          <w:sz w:val="30"/>
        </w:rPr>
        <w:t xml:space="preserve"> </w:t>
      </w:r>
      <w:r>
        <w:rPr>
          <w:i/>
          <w:sz w:val="30"/>
        </w:rPr>
        <w:t>mutandis</w:t>
      </w:r>
      <w:r>
        <w:rPr>
          <w:i/>
          <w:spacing w:val="20"/>
          <w:sz w:val="30"/>
        </w:rPr>
        <w:t xml:space="preserve"> </w:t>
      </w:r>
      <w:r>
        <w:rPr>
          <w:sz w:val="30"/>
        </w:rPr>
        <w:t>holds</w:t>
      </w:r>
      <w:r>
        <w:rPr>
          <w:spacing w:val="24"/>
          <w:sz w:val="30"/>
        </w:rPr>
        <w:t xml:space="preserve"> </w:t>
      </w:r>
      <w:r>
        <w:rPr>
          <w:sz w:val="30"/>
        </w:rPr>
        <w:t>of</w:t>
      </w:r>
      <w:r>
        <w:rPr>
          <w:spacing w:val="24"/>
          <w:sz w:val="30"/>
        </w:rPr>
        <w:t xml:space="preserve"> </w:t>
      </w:r>
      <w:r>
        <w:rPr>
          <w:sz w:val="30"/>
        </w:rPr>
        <w:t>any</w:t>
      </w:r>
      <w:r>
        <w:rPr>
          <w:spacing w:val="24"/>
          <w:sz w:val="30"/>
        </w:rPr>
        <w:t xml:space="preserve"> </w:t>
      </w:r>
      <w:r>
        <w:rPr>
          <w:sz w:val="30"/>
        </w:rPr>
        <w:t>other</w:t>
      </w:r>
      <w:r>
        <w:rPr>
          <w:spacing w:val="24"/>
          <w:sz w:val="30"/>
        </w:rPr>
        <w:t xml:space="preserve"> </w:t>
      </w:r>
      <w:r>
        <w:rPr>
          <w:spacing w:val="-2"/>
          <w:sz w:val="30"/>
        </w:rPr>
        <w:t>whole</w:t>
      </w:r>
    </w:p>
    <w:p w14:paraId="7E001053" w14:textId="77777777" w:rsidR="009A58DB" w:rsidRDefault="009A58DB">
      <w:pPr>
        <w:spacing w:line="316" w:lineRule="exact"/>
        <w:jc w:val="both"/>
        <w:rPr>
          <w:sz w:val="30"/>
        </w:rPr>
        <w:sectPr w:rsidR="009A58DB">
          <w:pgSz w:w="12240" w:h="15840"/>
          <w:pgMar w:top="1720" w:right="1080" w:bottom="280" w:left="1080" w:header="720" w:footer="720" w:gutter="0"/>
          <w:cols w:space="720"/>
        </w:sectPr>
      </w:pPr>
    </w:p>
    <w:p w14:paraId="7E001054" w14:textId="77777777" w:rsidR="009A58DB" w:rsidRDefault="00000000">
      <w:pPr>
        <w:pStyle w:val="BodyText"/>
        <w:spacing w:before="60" w:line="249" w:lineRule="auto"/>
        <w:ind w:right="371"/>
      </w:pPr>
      <w:r>
        <w:lastRenderedPageBreak/>
        <w:t>number: if a whole number N is identified with a set of sets, that whole number will be different things in different universes.</w:t>
      </w:r>
    </w:p>
    <w:p w14:paraId="7E001055" w14:textId="77777777" w:rsidR="009A58DB" w:rsidRDefault="00000000">
      <w:pPr>
        <w:pStyle w:val="BodyText"/>
        <w:spacing w:before="7" w:line="249" w:lineRule="auto"/>
        <w:ind w:right="365" w:firstLine="360"/>
      </w:pPr>
      <w:r>
        <w:t>(The only exception to this is the number zero. If defined in the way that Frege</w:t>
      </w:r>
      <w:r>
        <w:rPr>
          <w:spacing w:val="3"/>
        </w:rPr>
        <w:t xml:space="preserve"> </w:t>
      </w:r>
      <w:r>
        <w:t>proposes—that</w:t>
      </w:r>
      <w:r>
        <w:rPr>
          <w:spacing w:val="3"/>
        </w:rPr>
        <w:t xml:space="preserve"> </w:t>
      </w:r>
      <w:r>
        <w:t>is,</w:t>
      </w:r>
      <w:r>
        <w:rPr>
          <w:spacing w:val="3"/>
        </w:rPr>
        <w:t xml:space="preserve"> </w:t>
      </w:r>
      <w:r>
        <w:t>as</w:t>
      </w:r>
      <w:r>
        <w:rPr>
          <w:spacing w:val="4"/>
        </w:rPr>
        <w:t xml:space="preserve"> </w:t>
      </w:r>
      <w:r>
        <w:t>the</w:t>
      </w:r>
      <w:r>
        <w:rPr>
          <w:spacing w:val="3"/>
        </w:rPr>
        <w:t xml:space="preserve"> </w:t>
      </w:r>
      <w:r>
        <w:t>set</w:t>
      </w:r>
      <w:r>
        <w:rPr>
          <w:spacing w:val="3"/>
        </w:rPr>
        <w:t xml:space="preserve"> </w:t>
      </w:r>
      <w:r>
        <w:t>of</w:t>
      </w:r>
      <w:r>
        <w:rPr>
          <w:spacing w:val="4"/>
        </w:rPr>
        <w:t xml:space="preserve"> </w:t>
      </w:r>
      <w:r>
        <w:t>all</w:t>
      </w:r>
      <w:r>
        <w:rPr>
          <w:spacing w:val="3"/>
        </w:rPr>
        <w:t xml:space="preserve"> </w:t>
      </w:r>
      <w:r>
        <w:t>sets</w:t>
      </w:r>
      <w:r>
        <w:rPr>
          <w:spacing w:val="4"/>
        </w:rPr>
        <w:t xml:space="preserve"> </w:t>
      </w:r>
      <w:r>
        <w:t>S</w:t>
      </w:r>
      <w:r>
        <w:rPr>
          <w:spacing w:val="3"/>
        </w:rPr>
        <w:t xml:space="preserve"> </w:t>
      </w:r>
      <w:r>
        <w:t>such</w:t>
      </w:r>
      <w:r>
        <w:rPr>
          <w:spacing w:val="4"/>
        </w:rPr>
        <w:t xml:space="preserve"> </w:t>
      </w:r>
      <w:r>
        <w:t>that</w:t>
      </w:r>
      <w:r>
        <w:rPr>
          <w:spacing w:val="3"/>
        </w:rPr>
        <w:t xml:space="preserve"> </w:t>
      </w:r>
      <w:r>
        <w:t>nothing</w:t>
      </w:r>
      <w:r>
        <w:rPr>
          <w:spacing w:val="3"/>
        </w:rPr>
        <w:t xml:space="preserve"> </w:t>
      </w:r>
      <w:r>
        <w:t>belongs</w:t>
      </w:r>
      <w:r>
        <w:rPr>
          <w:spacing w:val="4"/>
        </w:rPr>
        <w:t xml:space="preserve"> </w:t>
      </w:r>
      <w:r>
        <w:t>to</w:t>
      </w:r>
      <w:r>
        <w:rPr>
          <w:spacing w:val="5"/>
        </w:rPr>
        <w:t xml:space="preserve"> </w:t>
      </w:r>
      <w:r>
        <w:rPr>
          <w:spacing w:val="-10"/>
        </w:rPr>
        <w:t>S</w:t>
      </w:r>
    </w:p>
    <w:p w14:paraId="7E001056" w14:textId="77777777" w:rsidR="009A58DB" w:rsidRDefault="00000000">
      <w:pPr>
        <w:pStyle w:val="BodyText"/>
        <w:spacing w:before="3" w:line="249" w:lineRule="auto"/>
        <w:ind w:right="360"/>
      </w:pPr>
      <w:r>
        <w:t>—it doesn’t change from universe to universe. This is because, in order for two</w:t>
      </w:r>
      <w:r>
        <w:rPr>
          <w:spacing w:val="-1"/>
        </w:rPr>
        <w:t xml:space="preserve"> </w:t>
      </w:r>
      <w:r>
        <w:t>sets</w:t>
      </w:r>
      <w:r>
        <w:rPr>
          <w:spacing w:val="-1"/>
        </w:rPr>
        <w:t xml:space="preserve"> </w:t>
      </w:r>
      <w:r>
        <w:t>to</w:t>
      </w:r>
      <w:r>
        <w:rPr>
          <w:spacing w:val="-1"/>
        </w:rPr>
        <w:t xml:space="preserve"> </w:t>
      </w:r>
      <w:r>
        <w:t>differ,</w:t>
      </w:r>
      <w:r>
        <w:rPr>
          <w:spacing w:val="-1"/>
        </w:rPr>
        <w:t xml:space="preserve"> </w:t>
      </w:r>
      <w:r>
        <w:t>one</w:t>
      </w:r>
      <w:r>
        <w:rPr>
          <w:spacing w:val="-1"/>
        </w:rPr>
        <w:t xml:space="preserve"> </w:t>
      </w:r>
      <w:r>
        <w:t>of</w:t>
      </w:r>
      <w:r>
        <w:rPr>
          <w:spacing w:val="-1"/>
        </w:rPr>
        <w:t xml:space="preserve"> </w:t>
      </w:r>
      <w:r>
        <w:t>them</w:t>
      </w:r>
      <w:r>
        <w:rPr>
          <w:spacing w:val="-1"/>
        </w:rPr>
        <w:t xml:space="preserve"> </w:t>
      </w:r>
      <w:r>
        <w:t>must</w:t>
      </w:r>
      <w:r>
        <w:rPr>
          <w:spacing w:val="-1"/>
        </w:rPr>
        <w:t xml:space="preserve"> </w:t>
      </w:r>
      <w:r>
        <w:t>have</w:t>
      </w:r>
      <w:r>
        <w:rPr>
          <w:spacing w:val="-1"/>
        </w:rPr>
        <w:t xml:space="preserve"> </w:t>
      </w:r>
      <w:r>
        <w:t>a</w:t>
      </w:r>
      <w:r>
        <w:rPr>
          <w:spacing w:val="-1"/>
        </w:rPr>
        <w:t xml:space="preserve"> </w:t>
      </w:r>
      <w:r>
        <w:t>member</w:t>
      </w:r>
      <w:r>
        <w:rPr>
          <w:spacing w:val="-1"/>
        </w:rPr>
        <w:t xml:space="preserve"> </w:t>
      </w:r>
      <w:r>
        <w:t>not</w:t>
      </w:r>
      <w:r>
        <w:rPr>
          <w:spacing w:val="-1"/>
        </w:rPr>
        <w:t xml:space="preserve"> </w:t>
      </w:r>
      <w:r>
        <w:t>had</w:t>
      </w:r>
      <w:r>
        <w:rPr>
          <w:spacing w:val="-1"/>
        </w:rPr>
        <w:t xml:space="preserve"> </w:t>
      </w:r>
      <w:r>
        <w:t>by</w:t>
      </w:r>
      <w:r>
        <w:rPr>
          <w:spacing w:val="-1"/>
        </w:rPr>
        <w:t xml:space="preserve"> </w:t>
      </w:r>
      <w:r>
        <w:t>the</w:t>
      </w:r>
      <w:r>
        <w:rPr>
          <w:spacing w:val="-1"/>
        </w:rPr>
        <w:t xml:space="preserve"> </w:t>
      </w:r>
      <w:r>
        <w:t>other.</w:t>
      </w:r>
      <w:r>
        <w:rPr>
          <w:spacing w:val="-1"/>
        </w:rPr>
        <w:t xml:space="preserve"> </w:t>
      </w:r>
      <w:r>
        <w:t xml:space="preserve">This is known as the </w:t>
      </w:r>
      <w:r>
        <w:rPr>
          <w:b/>
          <w:i/>
        </w:rPr>
        <w:t xml:space="preserve">axiom of extensionality. </w:t>
      </w:r>
      <w:r>
        <w:t>Since no empty set has any</w:t>
      </w:r>
      <w:r>
        <w:rPr>
          <w:spacing w:val="40"/>
        </w:rPr>
        <w:t xml:space="preserve"> </w:t>
      </w:r>
      <w:r>
        <w:t>members not had any other empty set, there cannot be two distinct empty</w:t>
      </w:r>
      <w:r>
        <w:rPr>
          <w:spacing w:val="40"/>
        </w:rPr>
        <w:t xml:space="preserve"> </w:t>
      </w:r>
      <w:r>
        <w:t>sets. Thus, there is only one empty set; and this is true in every universe, not just ours).</w:t>
      </w:r>
    </w:p>
    <w:p w14:paraId="7E001057" w14:textId="77777777" w:rsidR="009A58DB" w:rsidRDefault="00000000">
      <w:pPr>
        <w:pStyle w:val="BodyText"/>
        <w:spacing w:before="7" w:line="249" w:lineRule="auto"/>
        <w:ind w:right="360" w:firstLine="360"/>
        <w:jc w:val="left"/>
      </w:pPr>
      <w:r>
        <w:rPr>
          <w:spacing w:val="-6"/>
        </w:rPr>
        <w:t>But</w:t>
      </w:r>
      <w:r>
        <w:rPr>
          <w:spacing w:val="-13"/>
        </w:rPr>
        <w:t xml:space="preserve"> </w:t>
      </w:r>
      <w:r>
        <w:rPr>
          <w:i/>
          <w:spacing w:val="-6"/>
        </w:rPr>
        <w:t>what</w:t>
      </w:r>
      <w:r>
        <w:rPr>
          <w:i/>
          <w:spacing w:val="-13"/>
        </w:rPr>
        <w:t xml:space="preserve"> </w:t>
      </w:r>
      <w:r>
        <w:rPr>
          <w:i/>
          <w:spacing w:val="-6"/>
        </w:rPr>
        <w:t>it</w:t>
      </w:r>
      <w:r>
        <w:rPr>
          <w:i/>
          <w:spacing w:val="-13"/>
        </w:rPr>
        <w:t xml:space="preserve"> </w:t>
      </w:r>
      <w:r>
        <w:rPr>
          <w:i/>
          <w:spacing w:val="-6"/>
        </w:rPr>
        <w:t>is</w:t>
      </w:r>
      <w:r>
        <w:rPr>
          <w:i/>
          <w:spacing w:val="-13"/>
        </w:rPr>
        <w:t xml:space="preserve"> </w:t>
      </w:r>
      <w:r>
        <w:rPr>
          <w:spacing w:val="-6"/>
        </w:rPr>
        <w:t>to</w:t>
      </w:r>
      <w:r>
        <w:rPr>
          <w:spacing w:val="-10"/>
        </w:rPr>
        <w:t xml:space="preserve"> </w:t>
      </w:r>
      <w:r>
        <w:rPr>
          <w:spacing w:val="-6"/>
        </w:rPr>
        <w:t>be</w:t>
      </w:r>
      <w:r>
        <w:rPr>
          <w:spacing w:val="-10"/>
        </w:rPr>
        <w:t xml:space="preserve"> </w:t>
      </w:r>
      <w:r>
        <w:rPr>
          <w:spacing w:val="-6"/>
        </w:rPr>
        <w:t>a</w:t>
      </w:r>
      <w:r>
        <w:rPr>
          <w:spacing w:val="-10"/>
        </w:rPr>
        <w:t xml:space="preserve"> </w:t>
      </w:r>
      <w:r>
        <w:rPr>
          <w:spacing w:val="-6"/>
        </w:rPr>
        <w:t>two-membered</w:t>
      </w:r>
      <w:r>
        <w:rPr>
          <w:spacing w:val="-10"/>
        </w:rPr>
        <w:t xml:space="preserve"> </w:t>
      </w:r>
      <w:r>
        <w:rPr>
          <w:spacing w:val="-6"/>
        </w:rPr>
        <w:t>doesn’t</w:t>
      </w:r>
      <w:r>
        <w:rPr>
          <w:spacing w:val="-10"/>
        </w:rPr>
        <w:t xml:space="preserve"> </w:t>
      </w:r>
      <w:r>
        <w:rPr>
          <w:spacing w:val="-6"/>
        </w:rPr>
        <w:t>vary</w:t>
      </w:r>
      <w:r>
        <w:rPr>
          <w:spacing w:val="-10"/>
        </w:rPr>
        <w:t xml:space="preserve"> </w:t>
      </w:r>
      <w:r>
        <w:rPr>
          <w:spacing w:val="-6"/>
        </w:rPr>
        <w:t>from</w:t>
      </w:r>
      <w:r>
        <w:rPr>
          <w:spacing w:val="-10"/>
        </w:rPr>
        <w:t xml:space="preserve"> </w:t>
      </w:r>
      <w:r>
        <w:rPr>
          <w:spacing w:val="-6"/>
        </w:rPr>
        <w:t>universe</w:t>
      </w:r>
      <w:r>
        <w:rPr>
          <w:spacing w:val="-10"/>
        </w:rPr>
        <w:t xml:space="preserve"> </w:t>
      </w:r>
      <w:r>
        <w:rPr>
          <w:spacing w:val="-6"/>
        </w:rPr>
        <w:t>to</w:t>
      </w:r>
      <w:r>
        <w:rPr>
          <w:spacing w:val="-10"/>
        </w:rPr>
        <w:t xml:space="preserve"> </w:t>
      </w:r>
      <w:r>
        <w:rPr>
          <w:spacing w:val="-6"/>
        </w:rPr>
        <w:t>universe.</w:t>
      </w:r>
      <w:r>
        <w:rPr>
          <w:spacing w:val="-10"/>
        </w:rPr>
        <w:t xml:space="preserve"> </w:t>
      </w:r>
      <w:r>
        <w:rPr>
          <w:spacing w:val="-6"/>
        </w:rPr>
        <w:t xml:space="preserve">In </w:t>
      </w:r>
      <w:r>
        <w:t>any</w:t>
      </w:r>
      <w:r>
        <w:rPr>
          <w:spacing w:val="-8"/>
        </w:rPr>
        <w:t xml:space="preserve"> </w:t>
      </w:r>
      <w:r>
        <w:t>given</w:t>
      </w:r>
      <w:r>
        <w:rPr>
          <w:spacing w:val="-8"/>
        </w:rPr>
        <w:t xml:space="preserve"> </w:t>
      </w:r>
      <w:r>
        <w:t>universe,</w:t>
      </w:r>
      <w:r>
        <w:rPr>
          <w:spacing w:val="-8"/>
        </w:rPr>
        <w:t xml:space="preserve"> </w:t>
      </w:r>
      <w:r>
        <w:t>for</w:t>
      </w:r>
      <w:r>
        <w:rPr>
          <w:spacing w:val="-8"/>
        </w:rPr>
        <w:t xml:space="preserve"> </w:t>
      </w:r>
      <w:r>
        <w:t>S</w:t>
      </w:r>
      <w:r>
        <w:rPr>
          <w:spacing w:val="-8"/>
        </w:rPr>
        <w:t xml:space="preserve"> </w:t>
      </w:r>
      <w:r>
        <w:t>to</w:t>
      </w:r>
      <w:r>
        <w:rPr>
          <w:spacing w:val="-8"/>
        </w:rPr>
        <w:t xml:space="preserve"> </w:t>
      </w:r>
      <w:r>
        <w:t>be</w:t>
      </w:r>
      <w:r>
        <w:rPr>
          <w:spacing w:val="-8"/>
        </w:rPr>
        <w:t xml:space="preserve"> </w:t>
      </w:r>
      <w:r>
        <w:t>a</w:t>
      </w:r>
      <w:r>
        <w:rPr>
          <w:spacing w:val="-8"/>
        </w:rPr>
        <w:t xml:space="preserve"> </w:t>
      </w:r>
      <w:r>
        <w:t>two-membered</w:t>
      </w:r>
      <w:r>
        <w:rPr>
          <w:spacing w:val="-8"/>
        </w:rPr>
        <w:t xml:space="preserve"> </w:t>
      </w:r>
      <w:r>
        <w:t>set</w:t>
      </w:r>
      <w:r>
        <w:rPr>
          <w:spacing w:val="-8"/>
        </w:rPr>
        <w:t xml:space="preserve"> </w:t>
      </w:r>
      <w:r>
        <w:t>is</w:t>
      </w:r>
      <w:r>
        <w:rPr>
          <w:spacing w:val="-8"/>
        </w:rPr>
        <w:t xml:space="preserve"> </w:t>
      </w:r>
      <w:r>
        <w:t>for</w:t>
      </w:r>
      <w:r>
        <w:rPr>
          <w:spacing w:val="-8"/>
        </w:rPr>
        <w:t xml:space="preserve"> </w:t>
      </w:r>
      <w:r>
        <w:t>it</w:t>
      </w:r>
      <w:r>
        <w:rPr>
          <w:spacing w:val="-8"/>
        </w:rPr>
        <w:t xml:space="preserve"> </w:t>
      </w:r>
      <w:r>
        <w:t>to</w:t>
      </w:r>
      <w:r>
        <w:rPr>
          <w:spacing w:val="-8"/>
        </w:rPr>
        <w:t xml:space="preserve"> </w:t>
      </w:r>
      <w:r>
        <w:t>be</w:t>
      </w:r>
      <w:r>
        <w:rPr>
          <w:spacing w:val="-8"/>
        </w:rPr>
        <w:t xml:space="preserve"> </w:t>
      </w:r>
      <w:r>
        <w:t>such</w:t>
      </w:r>
      <w:r>
        <w:rPr>
          <w:spacing w:val="-8"/>
        </w:rPr>
        <w:t xml:space="preserve"> </w:t>
      </w:r>
      <w:r>
        <w:t>that,</w:t>
      </w:r>
      <w:r>
        <w:rPr>
          <w:spacing w:val="-8"/>
        </w:rPr>
        <w:t xml:space="preserve"> </w:t>
      </w:r>
      <w:r>
        <w:t xml:space="preserve">for </w:t>
      </w:r>
      <w:r>
        <w:rPr>
          <w:spacing w:val="-4"/>
        </w:rPr>
        <w:t>some</w:t>
      </w:r>
      <w:r>
        <w:rPr>
          <w:spacing w:val="-15"/>
        </w:rPr>
        <w:t xml:space="preserve"> </w:t>
      </w:r>
      <w:r>
        <w:rPr>
          <w:spacing w:val="-4"/>
        </w:rPr>
        <w:t>x</w:t>
      </w:r>
      <w:r>
        <w:rPr>
          <w:spacing w:val="-15"/>
        </w:rPr>
        <w:t xml:space="preserve"> </w:t>
      </w:r>
      <w:r>
        <w:rPr>
          <w:spacing w:val="-4"/>
        </w:rPr>
        <w:t>and</w:t>
      </w:r>
      <w:r>
        <w:rPr>
          <w:spacing w:val="-15"/>
        </w:rPr>
        <w:t xml:space="preserve"> </w:t>
      </w:r>
      <w:r>
        <w:rPr>
          <w:spacing w:val="-4"/>
        </w:rPr>
        <w:t>some</w:t>
      </w:r>
      <w:r>
        <w:rPr>
          <w:spacing w:val="-14"/>
        </w:rPr>
        <w:t xml:space="preserve"> </w:t>
      </w:r>
      <w:r>
        <w:rPr>
          <w:spacing w:val="-4"/>
        </w:rPr>
        <w:t>y,</w:t>
      </w:r>
      <w:r>
        <w:rPr>
          <w:spacing w:val="-15"/>
        </w:rPr>
        <w:t xml:space="preserve"> </w:t>
      </w:r>
      <w:r>
        <w:rPr>
          <w:spacing w:val="-4"/>
        </w:rPr>
        <w:t>x</w:t>
      </w:r>
      <w:r>
        <w:rPr>
          <w:spacing w:val="-15"/>
        </w:rPr>
        <w:t xml:space="preserve"> </w:t>
      </w:r>
      <w:r>
        <w:rPr>
          <w:spacing w:val="-4"/>
        </w:rPr>
        <w:t>is</w:t>
      </w:r>
      <w:r>
        <w:rPr>
          <w:spacing w:val="-15"/>
        </w:rPr>
        <w:t xml:space="preserve"> </w:t>
      </w:r>
      <w:r>
        <w:rPr>
          <w:spacing w:val="-4"/>
        </w:rPr>
        <w:t>a</w:t>
      </w:r>
      <w:r>
        <w:rPr>
          <w:spacing w:val="-14"/>
        </w:rPr>
        <w:t xml:space="preserve"> </w:t>
      </w:r>
      <w:r>
        <w:rPr>
          <w:spacing w:val="-4"/>
        </w:rPr>
        <w:t>member</w:t>
      </w:r>
      <w:r>
        <w:rPr>
          <w:spacing w:val="-15"/>
        </w:rPr>
        <w:t xml:space="preserve"> </w:t>
      </w:r>
      <w:r>
        <w:rPr>
          <w:spacing w:val="-4"/>
        </w:rPr>
        <w:t>of</w:t>
      </w:r>
      <w:r>
        <w:rPr>
          <w:spacing w:val="-15"/>
        </w:rPr>
        <w:t xml:space="preserve"> </w:t>
      </w:r>
      <w:r>
        <w:rPr>
          <w:spacing w:val="-4"/>
        </w:rPr>
        <w:t>S</w:t>
      </w:r>
      <w:r>
        <w:rPr>
          <w:spacing w:val="-15"/>
        </w:rPr>
        <w:t xml:space="preserve"> </w:t>
      </w:r>
      <w:r>
        <w:rPr>
          <w:spacing w:val="-4"/>
        </w:rPr>
        <w:t>and</w:t>
      </w:r>
      <w:r>
        <w:rPr>
          <w:spacing w:val="-14"/>
        </w:rPr>
        <w:t xml:space="preserve"> </w:t>
      </w:r>
      <w:r>
        <w:rPr>
          <w:spacing w:val="-4"/>
        </w:rPr>
        <w:t>y</w:t>
      </w:r>
      <w:r>
        <w:rPr>
          <w:spacing w:val="-15"/>
        </w:rPr>
        <w:t xml:space="preserve"> </w:t>
      </w:r>
      <w:r>
        <w:rPr>
          <w:spacing w:val="-4"/>
        </w:rPr>
        <w:t>is</w:t>
      </w:r>
      <w:r>
        <w:rPr>
          <w:spacing w:val="-15"/>
        </w:rPr>
        <w:t xml:space="preserve"> </w:t>
      </w:r>
      <w:r>
        <w:rPr>
          <w:spacing w:val="-4"/>
        </w:rPr>
        <w:t>a</w:t>
      </w:r>
      <w:r>
        <w:rPr>
          <w:spacing w:val="-15"/>
        </w:rPr>
        <w:t xml:space="preserve"> </w:t>
      </w:r>
      <w:r>
        <w:rPr>
          <w:spacing w:val="-4"/>
        </w:rPr>
        <w:t>member</w:t>
      </w:r>
      <w:r>
        <w:rPr>
          <w:spacing w:val="-14"/>
        </w:rPr>
        <w:t xml:space="preserve"> </w:t>
      </w:r>
      <w:r>
        <w:rPr>
          <w:spacing w:val="-4"/>
        </w:rPr>
        <w:t>of</w:t>
      </w:r>
      <w:r>
        <w:rPr>
          <w:spacing w:val="-15"/>
        </w:rPr>
        <w:t xml:space="preserve"> </w:t>
      </w:r>
      <w:r>
        <w:rPr>
          <w:spacing w:val="-4"/>
        </w:rPr>
        <w:t>S</w:t>
      </w:r>
      <w:r>
        <w:rPr>
          <w:spacing w:val="-15"/>
        </w:rPr>
        <w:t xml:space="preserve"> </w:t>
      </w:r>
      <w:r>
        <w:rPr>
          <w:spacing w:val="-4"/>
        </w:rPr>
        <w:t>and</w:t>
      </w:r>
      <w:r>
        <w:rPr>
          <w:spacing w:val="-15"/>
        </w:rPr>
        <w:t xml:space="preserve"> </w:t>
      </w:r>
      <w:r>
        <w:rPr>
          <w:spacing w:val="-4"/>
        </w:rPr>
        <w:t>x</w:t>
      </w:r>
      <w:r>
        <w:rPr>
          <w:spacing w:val="-14"/>
        </w:rPr>
        <w:t xml:space="preserve"> </w:t>
      </w:r>
      <w:r>
        <w:rPr>
          <w:spacing w:val="-4"/>
        </w:rPr>
        <w:t>≠</w:t>
      </w:r>
      <w:r>
        <w:rPr>
          <w:spacing w:val="-15"/>
        </w:rPr>
        <w:t xml:space="preserve"> </w:t>
      </w:r>
      <w:r>
        <w:rPr>
          <w:spacing w:val="-4"/>
        </w:rPr>
        <w:t>y</w:t>
      </w:r>
      <w:r>
        <w:rPr>
          <w:spacing w:val="-15"/>
        </w:rPr>
        <w:t xml:space="preserve"> </w:t>
      </w:r>
      <w:r>
        <w:rPr>
          <w:spacing w:val="-4"/>
        </w:rPr>
        <w:t>and</w:t>
      </w:r>
      <w:r>
        <w:rPr>
          <w:spacing w:val="-11"/>
        </w:rPr>
        <w:t xml:space="preserve"> </w:t>
      </w:r>
      <w:r>
        <w:rPr>
          <w:spacing w:val="-4"/>
        </w:rPr>
        <w:t xml:space="preserve">such </w:t>
      </w:r>
      <w:r>
        <w:rPr>
          <w:spacing w:val="-2"/>
        </w:rPr>
        <w:t>that,</w:t>
      </w:r>
      <w:r>
        <w:rPr>
          <w:spacing w:val="-15"/>
        </w:rPr>
        <w:t xml:space="preserve"> </w:t>
      </w:r>
      <w:r>
        <w:rPr>
          <w:spacing w:val="-2"/>
        </w:rPr>
        <w:t>for</w:t>
      </w:r>
      <w:r>
        <w:rPr>
          <w:spacing w:val="-15"/>
        </w:rPr>
        <w:t xml:space="preserve"> </w:t>
      </w:r>
      <w:r>
        <w:rPr>
          <w:spacing w:val="-2"/>
        </w:rPr>
        <w:t>any</w:t>
      </w:r>
      <w:r>
        <w:rPr>
          <w:spacing w:val="-15"/>
        </w:rPr>
        <w:t xml:space="preserve"> </w:t>
      </w:r>
      <w:r>
        <w:rPr>
          <w:spacing w:val="-2"/>
        </w:rPr>
        <w:t>z,</w:t>
      </w:r>
      <w:r>
        <w:rPr>
          <w:spacing w:val="-15"/>
        </w:rPr>
        <w:t xml:space="preserve"> </w:t>
      </w:r>
      <w:r>
        <w:rPr>
          <w:spacing w:val="-2"/>
        </w:rPr>
        <w:t>if</w:t>
      </w:r>
      <w:r>
        <w:rPr>
          <w:spacing w:val="-15"/>
        </w:rPr>
        <w:t xml:space="preserve"> </w:t>
      </w:r>
      <w:r>
        <w:rPr>
          <w:spacing w:val="-2"/>
        </w:rPr>
        <w:t>z</w:t>
      </w:r>
      <w:r>
        <w:rPr>
          <w:spacing w:val="-15"/>
        </w:rPr>
        <w:t xml:space="preserve"> </w:t>
      </w:r>
      <w:r>
        <w:rPr>
          <w:spacing w:val="-2"/>
        </w:rPr>
        <w:t>is</w:t>
      </w:r>
      <w:r>
        <w:rPr>
          <w:spacing w:val="-15"/>
        </w:rPr>
        <w:t xml:space="preserve"> </w:t>
      </w:r>
      <w:r>
        <w:rPr>
          <w:spacing w:val="-2"/>
        </w:rPr>
        <w:t>a</w:t>
      </w:r>
      <w:r>
        <w:rPr>
          <w:spacing w:val="-15"/>
        </w:rPr>
        <w:t xml:space="preserve"> </w:t>
      </w:r>
      <w:r>
        <w:rPr>
          <w:spacing w:val="-2"/>
        </w:rPr>
        <w:t>member</w:t>
      </w:r>
      <w:r>
        <w:rPr>
          <w:spacing w:val="-15"/>
        </w:rPr>
        <w:t xml:space="preserve"> </w:t>
      </w:r>
      <w:r>
        <w:rPr>
          <w:spacing w:val="-2"/>
        </w:rPr>
        <w:t>of</w:t>
      </w:r>
      <w:r>
        <w:rPr>
          <w:spacing w:val="-15"/>
        </w:rPr>
        <w:t xml:space="preserve"> </w:t>
      </w:r>
      <w:r>
        <w:rPr>
          <w:spacing w:val="-2"/>
        </w:rPr>
        <w:t>S,</w:t>
      </w:r>
      <w:r>
        <w:rPr>
          <w:spacing w:val="-15"/>
        </w:rPr>
        <w:t xml:space="preserve"> </w:t>
      </w:r>
      <w:r>
        <w:rPr>
          <w:spacing w:val="-2"/>
        </w:rPr>
        <w:t>then</w:t>
      </w:r>
      <w:r>
        <w:rPr>
          <w:spacing w:val="-15"/>
        </w:rPr>
        <w:t xml:space="preserve"> </w:t>
      </w:r>
      <w:r>
        <w:rPr>
          <w:spacing w:val="-2"/>
        </w:rPr>
        <w:t>z</w:t>
      </w:r>
      <w:r>
        <w:rPr>
          <w:spacing w:val="-15"/>
        </w:rPr>
        <w:t xml:space="preserve"> </w:t>
      </w:r>
      <w:r>
        <w:rPr>
          <w:spacing w:val="-2"/>
        </w:rPr>
        <w:t>=</w:t>
      </w:r>
      <w:r>
        <w:rPr>
          <w:spacing w:val="-15"/>
        </w:rPr>
        <w:t xml:space="preserve"> </w:t>
      </w:r>
      <w:r>
        <w:rPr>
          <w:spacing w:val="-2"/>
        </w:rPr>
        <w:t>x</w:t>
      </w:r>
      <w:r>
        <w:rPr>
          <w:spacing w:val="-15"/>
        </w:rPr>
        <w:t xml:space="preserve"> </w:t>
      </w:r>
      <w:r>
        <w:rPr>
          <w:spacing w:val="-2"/>
        </w:rPr>
        <w:t>or</w:t>
      </w:r>
      <w:r>
        <w:rPr>
          <w:spacing w:val="-15"/>
        </w:rPr>
        <w:t xml:space="preserve"> </w:t>
      </w:r>
      <w:r>
        <w:rPr>
          <w:spacing w:val="-2"/>
        </w:rPr>
        <w:t>z</w:t>
      </w:r>
      <w:r>
        <w:rPr>
          <w:spacing w:val="-15"/>
        </w:rPr>
        <w:t xml:space="preserve"> </w:t>
      </w:r>
      <w:r>
        <w:rPr>
          <w:spacing w:val="-2"/>
        </w:rPr>
        <w:t>=</w:t>
      </w:r>
      <w:r>
        <w:rPr>
          <w:spacing w:val="-15"/>
        </w:rPr>
        <w:t xml:space="preserve"> </w:t>
      </w:r>
      <w:r>
        <w:rPr>
          <w:spacing w:val="-2"/>
        </w:rPr>
        <w:t>y.</w:t>
      </w:r>
      <w:r>
        <w:rPr>
          <w:spacing w:val="-19"/>
        </w:rPr>
        <w:t xml:space="preserve"> </w:t>
      </w:r>
      <w:r>
        <w:rPr>
          <w:spacing w:val="-2"/>
        </w:rPr>
        <w:t>Thus,</w:t>
      </w:r>
      <w:r>
        <w:rPr>
          <w:spacing w:val="-15"/>
        </w:rPr>
        <w:t xml:space="preserve"> </w:t>
      </w:r>
      <w:r>
        <w:rPr>
          <w:spacing w:val="-2"/>
        </w:rPr>
        <w:t>the</w:t>
      </w:r>
      <w:r>
        <w:rPr>
          <w:spacing w:val="-15"/>
        </w:rPr>
        <w:t xml:space="preserve"> </w:t>
      </w:r>
      <w:r>
        <w:rPr>
          <w:i/>
          <w:spacing w:val="-2"/>
        </w:rPr>
        <w:t>property</w:t>
      </w:r>
      <w:r>
        <w:rPr>
          <w:i/>
          <w:spacing w:val="-15"/>
        </w:rPr>
        <w:t xml:space="preserve"> </w:t>
      </w:r>
      <w:r>
        <w:rPr>
          <w:spacing w:val="-2"/>
        </w:rPr>
        <w:t xml:space="preserve">of </w:t>
      </w:r>
      <w:r>
        <w:t>being</w:t>
      </w:r>
      <w:r>
        <w:rPr>
          <w:spacing w:val="32"/>
        </w:rPr>
        <w:t xml:space="preserve"> </w:t>
      </w:r>
      <w:r>
        <w:t>a</w:t>
      </w:r>
      <w:r>
        <w:rPr>
          <w:spacing w:val="38"/>
        </w:rPr>
        <w:t xml:space="preserve"> </w:t>
      </w:r>
      <w:r>
        <w:t>two-membered</w:t>
      </w:r>
      <w:r>
        <w:rPr>
          <w:spacing w:val="39"/>
        </w:rPr>
        <w:t xml:space="preserve"> </w:t>
      </w:r>
      <w:r>
        <w:t>set</w:t>
      </w:r>
      <w:r>
        <w:rPr>
          <w:spacing w:val="38"/>
        </w:rPr>
        <w:t xml:space="preserve"> </w:t>
      </w:r>
      <w:r>
        <w:t>doesn’t</w:t>
      </w:r>
      <w:r>
        <w:rPr>
          <w:spacing w:val="38"/>
        </w:rPr>
        <w:t xml:space="preserve"> </w:t>
      </w:r>
      <w:r>
        <w:t>vary</w:t>
      </w:r>
      <w:r>
        <w:rPr>
          <w:spacing w:val="39"/>
        </w:rPr>
        <w:t xml:space="preserve"> </w:t>
      </w:r>
      <w:r>
        <w:t>from</w:t>
      </w:r>
      <w:r>
        <w:rPr>
          <w:spacing w:val="38"/>
        </w:rPr>
        <w:t xml:space="preserve"> </w:t>
      </w:r>
      <w:r>
        <w:t>universe</w:t>
      </w:r>
      <w:r>
        <w:rPr>
          <w:spacing w:val="38"/>
        </w:rPr>
        <w:t xml:space="preserve"> </w:t>
      </w:r>
      <w:r>
        <w:t>to</w:t>
      </w:r>
      <w:r>
        <w:rPr>
          <w:spacing w:val="39"/>
        </w:rPr>
        <w:t xml:space="preserve"> </w:t>
      </w:r>
      <w:r>
        <w:t>universe.</w:t>
      </w:r>
      <w:r>
        <w:rPr>
          <w:spacing w:val="39"/>
        </w:rPr>
        <w:t xml:space="preserve"> </w:t>
      </w:r>
      <w:r>
        <w:t>To</w:t>
      </w:r>
      <w:r>
        <w:rPr>
          <w:spacing w:val="39"/>
        </w:rPr>
        <w:t xml:space="preserve"> </w:t>
      </w:r>
      <w:r>
        <w:t>that extent,</w:t>
      </w:r>
      <w:r>
        <w:rPr>
          <w:spacing w:val="-1"/>
        </w:rPr>
        <w:t xml:space="preserve"> </w:t>
      </w:r>
      <w:r>
        <w:t>it’s</w:t>
      </w:r>
      <w:r>
        <w:rPr>
          <w:spacing w:val="-1"/>
        </w:rPr>
        <w:t xml:space="preserve"> </w:t>
      </w:r>
      <w:r>
        <w:t>better</w:t>
      </w:r>
      <w:r>
        <w:rPr>
          <w:spacing w:val="-1"/>
        </w:rPr>
        <w:t xml:space="preserve"> </w:t>
      </w:r>
      <w:r>
        <w:t>to</w:t>
      </w:r>
      <w:r>
        <w:rPr>
          <w:spacing w:val="-1"/>
        </w:rPr>
        <w:t xml:space="preserve"> </w:t>
      </w:r>
      <w:r>
        <w:t>identity</w:t>
      </w:r>
      <w:r>
        <w:rPr>
          <w:spacing w:val="-1"/>
        </w:rPr>
        <w:t xml:space="preserve"> </w:t>
      </w:r>
      <w:r>
        <w:t>the</w:t>
      </w:r>
      <w:r>
        <w:rPr>
          <w:spacing w:val="-1"/>
        </w:rPr>
        <w:t xml:space="preserve"> </w:t>
      </w:r>
      <w:r>
        <w:t>number</w:t>
      </w:r>
      <w:r>
        <w:rPr>
          <w:spacing w:val="-1"/>
        </w:rPr>
        <w:t xml:space="preserve"> </w:t>
      </w:r>
      <w:r>
        <w:t>two</w:t>
      </w:r>
      <w:r>
        <w:rPr>
          <w:spacing w:val="-1"/>
        </w:rPr>
        <w:t xml:space="preserve"> </w:t>
      </w:r>
      <w:r>
        <w:t>with</w:t>
      </w:r>
      <w:r>
        <w:rPr>
          <w:spacing w:val="-1"/>
        </w:rPr>
        <w:t xml:space="preserve"> </w:t>
      </w:r>
      <w:r>
        <w:t>the</w:t>
      </w:r>
      <w:r>
        <w:rPr>
          <w:spacing w:val="-1"/>
        </w:rPr>
        <w:t xml:space="preserve"> </w:t>
      </w:r>
      <w:r>
        <w:t>property</w:t>
      </w:r>
      <w:r>
        <w:rPr>
          <w:spacing w:val="-1"/>
        </w:rPr>
        <w:t xml:space="preserve"> </w:t>
      </w:r>
      <w:r>
        <w:t>of</w:t>
      </w:r>
      <w:r>
        <w:rPr>
          <w:spacing w:val="-1"/>
        </w:rPr>
        <w:t xml:space="preserve"> </w:t>
      </w:r>
      <w:r>
        <w:t>being</w:t>
      </w:r>
      <w:r>
        <w:rPr>
          <w:spacing w:val="-1"/>
        </w:rPr>
        <w:t xml:space="preserve"> </w:t>
      </w:r>
      <w:r>
        <w:t>a</w:t>
      </w:r>
      <w:r>
        <w:rPr>
          <w:spacing w:val="-1"/>
        </w:rPr>
        <w:t xml:space="preserve"> </w:t>
      </w:r>
      <w:r>
        <w:t>two-membered set than it is to identity with the set of all such sets.</w:t>
      </w:r>
    </w:p>
    <w:p w14:paraId="7E001058" w14:textId="77777777" w:rsidR="009A58DB" w:rsidRDefault="00000000">
      <w:pPr>
        <w:pStyle w:val="BodyText"/>
        <w:spacing w:before="9" w:line="249" w:lineRule="auto"/>
        <w:ind w:right="361" w:firstLine="360"/>
      </w:pPr>
      <w:r>
        <w:t xml:space="preserve">But numbers can still be identified with sets of similar sets. The number two can be identified with sets of all pairs, actual </w:t>
      </w:r>
      <w:r>
        <w:rPr>
          <w:i/>
        </w:rPr>
        <w:t xml:space="preserve">and </w:t>
      </w:r>
      <w:r>
        <w:t>possible. This variant</w:t>
      </w:r>
      <w:r>
        <w:rPr>
          <w:spacing w:val="40"/>
        </w:rPr>
        <w:t xml:space="preserve"> </w:t>
      </w:r>
      <w:r>
        <w:t>of Frege’s analysis isn’t open to the objection just made.</w:t>
      </w:r>
    </w:p>
    <w:p w14:paraId="7E001059" w14:textId="77777777" w:rsidR="009A58DB" w:rsidRDefault="00000000">
      <w:pPr>
        <w:pStyle w:val="Heading1"/>
        <w:numPr>
          <w:ilvl w:val="1"/>
          <w:numId w:val="160"/>
        </w:numPr>
        <w:tabs>
          <w:tab w:val="left" w:pos="990"/>
        </w:tabs>
        <w:spacing w:before="191"/>
        <w:rPr>
          <w:position w:val="30"/>
        </w:rPr>
      </w:pPr>
      <w:r>
        <w:rPr>
          <w:noProof/>
          <w:position w:val="30"/>
        </w:rPr>
        <mc:AlternateContent>
          <mc:Choice Requires="wps">
            <w:drawing>
              <wp:anchor distT="0" distB="0" distL="0" distR="0" simplePos="0" relativeHeight="480332800" behindDoc="1" locked="0" layoutInCell="1" allowOverlap="1" wp14:anchorId="7E00326E" wp14:editId="7E00326F">
                <wp:simplePos x="0" y="0"/>
                <wp:positionH relativeFrom="page">
                  <wp:posOffset>3057525</wp:posOffset>
                </wp:positionH>
                <wp:positionV relativeFrom="paragraph">
                  <wp:posOffset>384879</wp:posOffset>
                </wp:positionV>
                <wp:extent cx="5715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06F9AEED" id="Graphic 16" o:spid="_x0000_s1026" style="position:absolute;margin-left:240.75pt;margin-top:30.3pt;width:45pt;height:.1pt;z-index:-22983680;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" path="m,l571500,e" filled="f" strokecolor="#0562c1">
                <v:path arrowok="t"/>
                <w10:wrap anchorx="page"/>
              </v:shape>
            </w:pict>
          </mc:Fallback>
        </mc:AlternateContent>
      </w:r>
      <w:r>
        <w:rPr>
          <w:spacing w:val="-2"/>
        </w:rPr>
        <w:t>Incompletenes</w:t>
      </w:r>
      <w:bookmarkStart w:id="223" w:name="_bookmark223"/>
      <w:bookmarkEnd w:id="223"/>
      <w:r>
        <w:rPr>
          <w:spacing w:val="-2"/>
        </w:rPr>
        <w:t>s</w:t>
      </w:r>
      <w:r>
        <w:rPr>
          <w:color w:val="0562C1"/>
          <w:spacing w:val="-2"/>
          <w:position w:val="30"/>
        </w:rPr>
        <w:t>[131]</w:t>
      </w:r>
    </w:p>
    <w:p w14:paraId="7E00105A" w14:textId="77777777" w:rsidR="009A58DB" w:rsidRDefault="00000000">
      <w:pPr>
        <w:pStyle w:val="BodyText"/>
        <w:spacing w:before="139" w:line="249" w:lineRule="auto"/>
        <w:ind w:right="359"/>
      </w:pPr>
      <w:r>
        <w:t>Logicism was a failure. There is nothing wrong with the (set-theoretic) analyses of number, and of number statements, put forth by Frege and</w:t>
      </w:r>
      <w:r>
        <w:rPr>
          <w:spacing w:val="40"/>
        </w:rPr>
        <w:t xml:space="preserve"> </w:t>
      </w:r>
      <w:r>
        <w:t>Russell</w:t>
      </w:r>
      <w:r>
        <w:rPr>
          <w:spacing w:val="-3"/>
        </w:rPr>
        <w:t xml:space="preserve"> </w:t>
      </w:r>
      <w:r>
        <w:t>and</w:t>
      </w:r>
      <w:r>
        <w:rPr>
          <w:spacing w:val="-2"/>
        </w:rPr>
        <w:t xml:space="preserve"> </w:t>
      </w:r>
      <w:r>
        <w:t>other</w:t>
      </w:r>
      <w:r>
        <w:rPr>
          <w:spacing w:val="-2"/>
        </w:rPr>
        <w:t xml:space="preserve"> </w:t>
      </w:r>
      <w:r>
        <w:t>logicists.</w:t>
      </w:r>
      <w:r>
        <w:rPr>
          <w:spacing w:val="-2"/>
        </w:rPr>
        <w:t xml:space="preserve"> </w:t>
      </w:r>
      <w:r>
        <w:t>What</w:t>
      </w:r>
      <w:r>
        <w:rPr>
          <w:spacing w:val="-2"/>
        </w:rPr>
        <w:t xml:space="preserve"> </w:t>
      </w:r>
      <w:r>
        <w:t>turned</w:t>
      </w:r>
      <w:r>
        <w:rPr>
          <w:spacing w:val="-2"/>
        </w:rPr>
        <w:t xml:space="preserve"> </w:t>
      </w:r>
      <w:r>
        <w:t>out</w:t>
      </w:r>
      <w:r>
        <w:rPr>
          <w:spacing w:val="-2"/>
        </w:rPr>
        <w:t xml:space="preserve"> </w:t>
      </w:r>
      <w:r>
        <w:t>to</w:t>
      </w:r>
      <w:r>
        <w:rPr>
          <w:spacing w:val="-2"/>
        </w:rPr>
        <w:t xml:space="preserve"> </w:t>
      </w:r>
      <w:r>
        <w:t>be</w:t>
      </w:r>
      <w:r>
        <w:rPr>
          <w:spacing w:val="-2"/>
        </w:rPr>
        <w:t xml:space="preserve"> </w:t>
      </w:r>
      <w:r>
        <w:t>false</w:t>
      </w:r>
      <w:r>
        <w:rPr>
          <w:spacing w:val="-2"/>
        </w:rPr>
        <w:t xml:space="preserve"> </w:t>
      </w:r>
      <w:r>
        <w:t>was</w:t>
      </w:r>
      <w:r>
        <w:rPr>
          <w:spacing w:val="-2"/>
        </w:rPr>
        <w:t xml:space="preserve"> </w:t>
      </w:r>
      <w:r>
        <w:t>Frege’s</w:t>
      </w:r>
      <w:r>
        <w:rPr>
          <w:spacing w:val="-2"/>
        </w:rPr>
        <w:t xml:space="preserve"> </w:t>
      </w:r>
      <w:r>
        <w:t>claim</w:t>
      </w:r>
      <w:r>
        <w:rPr>
          <w:spacing w:val="-2"/>
        </w:rPr>
        <w:t xml:space="preserve"> </w:t>
      </w:r>
      <w:r>
        <w:t xml:space="preserve">that there is some </w:t>
      </w:r>
      <w:r>
        <w:rPr>
          <w:i/>
        </w:rPr>
        <w:t>one</w:t>
      </w:r>
      <w:r>
        <w:rPr>
          <w:i/>
          <w:spacing w:val="-2"/>
        </w:rPr>
        <w:t xml:space="preserve"> </w:t>
      </w:r>
      <w:r>
        <w:t xml:space="preserve">algorithm such that, given </w:t>
      </w:r>
      <w:r>
        <w:rPr>
          <w:i/>
        </w:rPr>
        <w:t>any</w:t>
      </w:r>
      <w:r>
        <w:rPr>
          <w:i/>
          <w:spacing w:val="-2"/>
        </w:rPr>
        <w:t xml:space="preserve"> </w:t>
      </w:r>
      <w:r>
        <w:t>statement of arithmetic, that algorithm can correctly say whether or not that statement is true or false.</w:t>
      </w:r>
    </w:p>
    <w:p w14:paraId="7E00105B" w14:textId="77777777" w:rsidR="009A58DB" w:rsidRDefault="00000000">
      <w:pPr>
        <w:pStyle w:val="BodyText"/>
        <w:spacing w:before="6" w:line="249" w:lineRule="auto"/>
        <w:ind w:right="358" w:firstLine="360"/>
      </w:pPr>
      <w:r>
        <w:t xml:space="preserve">This must be understood aright. Given any finite set of arithmetical statements, there </w:t>
      </w:r>
      <w:r>
        <w:rPr>
          <w:i/>
        </w:rPr>
        <w:t xml:space="preserve">is </w:t>
      </w:r>
      <w:r>
        <w:t>an algorithm that, given any statement falling into that</w:t>
      </w:r>
      <w:r>
        <w:rPr>
          <w:spacing w:val="40"/>
        </w:rPr>
        <w:t xml:space="preserve"> </w:t>
      </w:r>
      <w:r>
        <w:t>set, correctly says whether or not that statement is true. But there is no one algorithm that, given any arithmetical statement, correctly says whether or</w:t>
      </w:r>
      <w:r>
        <w:rPr>
          <w:spacing w:val="40"/>
        </w:rPr>
        <w:t xml:space="preserve"> </w:t>
      </w:r>
      <w:r>
        <w:t>not that statement is true.</w:t>
      </w:r>
    </w:p>
    <w:p w14:paraId="7E00105C" w14:textId="77777777" w:rsidR="009A58DB" w:rsidRDefault="00000000">
      <w:pPr>
        <w:pStyle w:val="BodyText"/>
        <w:spacing w:before="7" w:line="249" w:lineRule="auto"/>
        <w:ind w:right="368" w:firstLine="360"/>
      </w:pPr>
      <w:r>
        <w:t>One must master some exceedingly intricate mathematics to understand precisely</w:t>
      </w:r>
      <w:r>
        <w:rPr>
          <w:spacing w:val="59"/>
        </w:rPr>
        <w:t xml:space="preserve"> </w:t>
      </w:r>
      <w:r>
        <w:t>why</w:t>
      </w:r>
      <w:r>
        <w:rPr>
          <w:spacing w:val="59"/>
        </w:rPr>
        <w:t xml:space="preserve"> </w:t>
      </w:r>
      <w:r>
        <w:t>this</w:t>
      </w:r>
      <w:r>
        <w:rPr>
          <w:spacing w:val="60"/>
        </w:rPr>
        <w:t xml:space="preserve"> </w:t>
      </w:r>
      <w:r>
        <w:t>claim</w:t>
      </w:r>
      <w:r>
        <w:rPr>
          <w:spacing w:val="59"/>
        </w:rPr>
        <w:t xml:space="preserve"> </w:t>
      </w:r>
      <w:r>
        <w:t>is</w:t>
      </w:r>
      <w:r>
        <w:rPr>
          <w:spacing w:val="60"/>
        </w:rPr>
        <w:t xml:space="preserve"> </w:t>
      </w:r>
      <w:r>
        <w:t>false.</w:t>
      </w:r>
      <w:r>
        <w:rPr>
          <w:spacing w:val="59"/>
        </w:rPr>
        <w:t xml:space="preserve"> </w:t>
      </w:r>
      <w:r>
        <w:t>But</w:t>
      </w:r>
      <w:r>
        <w:rPr>
          <w:spacing w:val="60"/>
        </w:rPr>
        <w:t xml:space="preserve"> </w:t>
      </w:r>
      <w:r>
        <w:t>some</w:t>
      </w:r>
      <w:r>
        <w:rPr>
          <w:spacing w:val="59"/>
        </w:rPr>
        <w:t xml:space="preserve"> </w:t>
      </w:r>
      <w:r>
        <w:t>of</w:t>
      </w:r>
      <w:r>
        <w:rPr>
          <w:spacing w:val="60"/>
        </w:rPr>
        <w:t xml:space="preserve"> </w:t>
      </w:r>
      <w:r>
        <w:t>the</w:t>
      </w:r>
      <w:r>
        <w:rPr>
          <w:spacing w:val="59"/>
        </w:rPr>
        <w:t xml:space="preserve"> </w:t>
      </w:r>
      <w:r>
        <w:t>philosophical</w:t>
      </w:r>
      <w:r>
        <w:rPr>
          <w:spacing w:val="60"/>
        </w:rPr>
        <w:t xml:space="preserve"> </w:t>
      </w:r>
      <w:r>
        <w:t>conceits</w:t>
      </w:r>
    </w:p>
    <w:p w14:paraId="7E00105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5E" w14:textId="77777777" w:rsidR="009A58DB" w:rsidRDefault="00000000">
      <w:pPr>
        <w:pStyle w:val="BodyText"/>
        <w:spacing w:before="60"/>
      </w:pPr>
      <w:r>
        <w:lastRenderedPageBreak/>
        <w:t>underlying</w:t>
      </w:r>
      <w:r>
        <w:rPr>
          <w:spacing w:val="-5"/>
        </w:rPr>
        <w:t xml:space="preserve"> </w:t>
      </w:r>
      <w:r>
        <w:t>this</w:t>
      </w:r>
      <w:r>
        <w:rPr>
          <w:spacing w:val="-5"/>
        </w:rPr>
        <w:t xml:space="preserve"> </w:t>
      </w:r>
      <w:r>
        <w:t>mathematics</w:t>
      </w:r>
      <w:r>
        <w:rPr>
          <w:spacing w:val="-5"/>
        </w:rPr>
        <w:t xml:space="preserve"> </w:t>
      </w:r>
      <w:r>
        <w:t>are</w:t>
      </w:r>
      <w:r>
        <w:rPr>
          <w:spacing w:val="-5"/>
        </w:rPr>
        <w:t xml:space="preserve"> </w:t>
      </w:r>
      <w:r>
        <w:t>pretty</w:t>
      </w:r>
      <w:r>
        <w:rPr>
          <w:spacing w:val="-4"/>
        </w:rPr>
        <w:t xml:space="preserve"> </w:t>
      </w:r>
      <w:r>
        <w:rPr>
          <w:spacing w:val="-2"/>
        </w:rPr>
        <w:t>straightforward.</w:t>
      </w:r>
    </w:p>
    <w:p w14:paraId="7E00105F" w14:textId="77777777" w:rsidR="009A58DB" w:rsidRDefault="00000000">
      <w:pPr>
        <w:pStyle w:val="BodyText"/>
        <w:spacing w:before="20" w:line="249" w:lineRule="auto"/>
        <w:ind w:right="360" w:firstLine="360"/>
      </w:pPr>
      <w:r>
        <w:t xml:space="preserve">First of all, the word “logic” is ambiguous. Sometimes it refers to </w:t>
      </w:r>
      <w:r>
        <w:rPr>
          <w:b/>
          <w:i/>
        </w:rPr>
        <w:t xml:space="preserve">formal truths, </w:t>
      </w:r>
      <w:r>
        <w:t>e.g., “either Smith is tall or it is not the case that Smith is tall”; and sometimes</w:t>
      </w:r>
      <w:r>
        <w:rPr>
          <w:spacing w:val="73"/>
        </w:rPr>
        <w:t xml:space="preserve"> </w:t>
      </w:r>
      <w:r>
        <w:t>the</w:t>
      </w:r>
      <w:r>
        <w:rPr>
          <w:spacing w:val="73"/>
        </w:rPr>
        <w:t xml:space="preserve"> </w:t>
      </w:r>
      <w:r>
        <w:t>word</w:t>
      </w:r>
      <w:r>
        <w:rPr>
          <w:spacing w:val="73"/>
        </w:rPr>
        <w:t xml:space="preserve"> </w:t>
      </w:r>
      <w:r>
        <w:t>“logic”</w:t>
      </w:r>
      <w:r>
        <w:rPr>
          <w:spacing w:val="73"/>
        </w:rPr>
        <w:t xml:space="preserve"> </w:t>
      </w:r>
      <w:r>
        <w:t>refers</w:t>
      </w:r>
      <w:r>
        <w:rPr>
          <w:spacing w:val="73"/>
        </w:rPr>
        <w:t xml:space="preserve"> </w:t>
      </w:r>
      <w:r>
        <w:t>to</w:t>
      </w:r>
      <w:r>
        <w:rPr>
          <w:spacing w:val="73"/>
        </w:rPr>
        <w:t xml:space="preserve"> </w:t>
      </w:r>
      <w:r>
        <w:rPr>
          <w:b/>
          <w:i/>
        </w:rPr>
        <w:t>analytic</w:t>
      </w:r>
      <w:r>
        <w:rPr>
          <w:b/>
          <w:i/>
          <w:spacing w:val="70"/>
        </w:rPr>
        <w:t xml:space="preserve"> </w:t>
      </w:r>
      <w:r>
        <w:rPr>
          <w:b/>
          <w:i/>
        </w:rPr>
        <w:t>truths,</w:t>
      </w:r>
      <w:r>
        <w:rPr>
          <w:b/>
          <w:i/>
          <w:spacing w:val="71"/>
        </w:rPr>
        <w:t xml:space="preserve"> </w:t>
      </w:r>
      <w:r>
        <w:t>e.g.,</w:t>
      </w:r>
      <w:r>
        <w:rPr>
          <w:spacing w:val="75"/>
        </w:rPr>
        <w:t xml:space="preserve"> </w:t>
      </w:r>
      <w:r>
        <w:t>“any</w:t>
      </w:r>
      <w:r>
        <w:rPr>
          <w:spacing w:val="75"/>
        </w:rPr>
        <w:t xml:space="preserve"> </w:t>
      </w:r>
      <w:r>
        <w:t>case</w:t>
      </w:r>
      <w:r>
        <w:rPr>
          <w:spacing w:val="76"/>
        </w:rPr>
        <w:t xml:space="preserve"> </w:t>
      </w:r>
      <w:r>
        <w:t>of</w:t>
      </w:r>
    </w:p>
    <w:p w14:paraId="7E001060" w14:textId="77777777" w:rsidR="009A58DB" w:rsidRDefault="00000000">
      <w:pPr>
        <w:pStyle w:val="BodyText"/>
        <w:spacing w:before="3" w:line="277" w:lineRule="exact"/>
        <w:ind w:left="7371"/>
        <w:jc w:val="left"/>
      </w:pPr>
      <w:bookmarkStart w:id="224" w:name="_bookmark224"/>
      <w:bookmarkEnd w:id="224"/>
      <w:r>
        <w:rPr>
          <w:color w:val="0562C1"/>
          <w:spacing w:val="-2"/>
          <w:u w:val="single" w:color="0562C1"/>
        </w:rPr>
        <w:t>[132]</w:t>
      </w:r>
    </w:p>
    <w:p w14:paraId="7E001061" w14:textId="77777777" w:rsidR="009A58DB" w:rsidRDefault="00000000">
      <w:pPr>
        <w:pStyle w:val="BodyText"/>
        <w:spacing w:line="277" w:lineRule="exact"/>
        <w:jc w:val="left"/>
      </w:pPr>
      <w:r>
        <w:t>knowledge</w:t>
      </w:r>
      <w:r>
        <w:rPr>
          <w:spacing w:val="-6"/>
        </w:rPr>
        <w:t xml:space="preserve"> </w:t>
      </w:r>
      <w:r>
        <w:t>is</w:t>
      </w:r>
      <w:r>
        <w:rPr>
          <w:spacing w:val="-3"/>
        </w:rPr>
        <w:t xml:space="preserve"> </w:t>
      </w:r>
      <w:r>
        <w:t>a</w:t>
      </w:r>
      <w:r>
        <w:rPr>
          <w:spacing w:val="-3"/>
        </w:rPr>
        <w:t xml:space="preserve"> </w:t>
      </w:r>
      <w:r>
        <w:t>case</w:t>
      </w:r>
      <w:r>
        <w:rPr>
          <w:spacing w:val="-3"/>
        </w:rPr>
        <w:t xml:space="preserve"> </w:t>
      </w:r>
      <w:r>
        <w:t>of</w:t>
      </w:r>
      <w:r>
        <w:rPr>
          <w:spacing w:val="-3"/>
        </w:rPr>
        <w:t xml:space="preserve"> </w:t>
      </w:r>
      <w:r>
        <w:t>justified</w:t>
      </w:r>
      <w:r>
        <w:rPr>
          <w:spacing w:val="-3"/>
        </w:rPr>
        <w:t xml:space="preserve"> </w:t>
      </w:r>
      <w:r>
        <w:t>belief,</w:t>
      </w:r>
      <w:r>
        <w:rPr>
          <w:spacing w:val="-2"/>
        </w:rPr>
        <w:t xml:space="preserve"> </w:t>
      </w:r>
      <w:r>
        <w:t>but</w:t>
      </w:r>
      <w:r>
        <w:rPr>
          <w:spacing w:val="-3"/>
        </w:rPr>
        <w:t xml:space="preserve"> </w:t>
      </w:r>
      <w:r>
        <w:t>not</w:t>
      </w:r>
      <w:r>
        <w:rPr>
          <w:spacing w:val="-3"/>
        </w:rPr>
        <w:t xml:space="preserve"> </w:t>
      </w:r>
      <w:r>
        <w:rPr>
          <w:i/>
        </w:rPr>
        <w:t>vice</w:t>
      </w:r>
      <w:r>
        <w:rPr>
          <w:i/>
          <w:spacing w:val="-3"/>
        </w:rPr>
        <w:t xml:space="preserve"> </w:t>
      </w:r>
      <w:r>
        <w:rPr>
          <w:i/>
          <w:spacing w:val="-2"/>
        </w:rPr>
        <w:t>versa</w:t>
      </w:r>
      <w:r>
        <w:rPr>
          <w:spacing w:val="-2"/>
        </w:rPr>
        <w:t>”.</w:t>
      </w:r>
    </w:p>
    <w:p w14:paraId="7E001062" w14:textId="77777777" w:rsidR="009A58DB" w:rsidRDefault="00000000">
      <w:pPr>
        <w:pStyle w:val="BodyText"/>
        <w:spacing w:before="15" w:line="249" w:lineRule="auto"/>
        <w:ind w:right="365" w:firstLine="360"/>
      </w:pPr>
      <w:r>
        <w:t>When logicists proclaimed that arithmetical truths are “logical” truths,</w:t>
      </w:r>
      <w:r>
        <w:rPr>
          <w:spacing w:val="40"/>
        </w:rPr>
        <w:t xml:space="preserve"> </w:t>
      </w:r>
      <w:r>
        <w:t>they meant that they are formal truths</w:t>
      </w:r>
      <w:bookmarkStart w:id="225" w:name="_bookmark225"/>
      <w:bookmarkEnd w:id="225"/>
      <w:r>
        <w:t>.</w:t>
      </w:r>
      <w:r>
        <w:rPr>
          <w:color w:val="0562C1"/>
          <w:position w:val="21"/>
          <w:u w:val="single" w:color="0562C1"/>
        </w:rPr>
        <w:t>[133]</w:t>
      </w:r>
      <w:r>
        <w:rPr>
          <w:color w:val="0562C1"/>
          <w:position w:val="21"/>
        </w:rPr>
        <w:t xml:space="preserve"> </w:t>
      </w:r>
      <w:r>
        <w:t xml:space="preserve">Formal truth, it must be emphasized, is a property of </w:t>
      </w:r>
      <w:r>
        <w:rPr>
          <w:i/>
        </w:rPr>
        <w:t>sentences</w:t>
      </w:r>
      <w:r>
        <w:rPr>
          <w:i/>
          <w:spacing w:val="-4"/>
        </w:rPr>
        <w:t xml:space="preserve"> </w:t>
      </w:r>
      <w:r>
        <w:t>and, therefore, of expressions; it is not</w:t>
      </w:r>
    </w:p>
    <w:p w14:paraId="7E001063" w14:textId="77777777" w:rsidR="009A58DB" w:rsidRDefault="00000000">
      <w:pPr>
        <w:pStyle w:val="BodyText"/>
        <w:spacing w:before="4" w:line="277" w:lineRule="exact"/>
        <w:ind w:left="0" w:right="746"/>
        <w:jc w:val="center"/>
      </w:pPr>
      <w:bookmarkStart w:id="226" w:name="_bookmark226"/>
      <w:bookmarkEnd w:id="226"/>
      <w:r>
        <w:rPr>
          <w:color w:val="0562C1"/>
          <w:spacing w:val="-2"/>
          <w:u w:val="single" w:color="0562C1"/>
        </w:rPr>
        <w:t>[134]</w:t>
      </w:r>
    </w:p>
    <w:p w14:paraId="7E001064" w14:textId="77777777" w:rsidR="009A58DB" w:rsidRDefault="00000000">
      <w:pPr>
        <w:spacing w:line="277" w:lineRule="exact"/>
        <w:ind w:left="360"/>
        <w:rPr>
          <w:i/>
          <w:sz w:val="30"/>
        </w:rPr>
      </w:pPr>
      <w:r>
        <w:rPr>
          <w:sz w:val="30"/>
        </w:rPr>
        <w:t>a</w:t>
      </w:r>
      <w:r>
        <w:rPr>
          <w:spacing w:val="-5"/>
          <w:sz w:val="30"/>
        </w:rPr>
        <w:t xml:space="preserve"> </w:t>
      </w:r>
      <w:r>
        <w:rPr>
          <w:sz w:val="30"/>
        </w:rPr>
        <w:t>property</w:t>
      </w:r>
      <w:r>
        <w:rPr>
          <w:spacing w:val="-4"/>
          <w:sz w:val="30"/>
        </w:rPr>
        <w:t xml:space="preserve"> </w:t>
      </w:r>
      <w:r>
        <w:rPr>
          <w:sz w:val="30"/>
        </w:rPr>
        <w:t>of</w:t>
      </w:r>
      <w:r>
        <w:rPr>
          <w:spacing w:val="-4"/>
          <w:sz w:val="30"/>
        </w:rPr>
        <w:t xml:space="preserve"> </w:t>
      </w:r>
      <w:r>
        <w:rPr>
          <w:sz w:val="30"/>
        </w:rPr>
        <w:t>sentence-</w:t>
      </w:r>
      <w:r>
        <w:rPr>
          <w:i/>
          <w:spacing w:val="-2"/>
          <w:sz w:val="30"/>
        </w:rPr>
        <w:t>meanings.</w:t>
      </w:r>
    </w:p>
    <w:p w14:paraId="7E001065" w14:textId="77777777" w:rsidR="009A58DB" w:rsidRDefault="00000000">
      <w:pPr>
        <w:pStyle w:val="BodyText"/>
        <w:spacing w:before="15" w:line="249" w:lineRule="auto"/>
        <w:ind w:right="361" w:firstLine="360"/>
      </w:pPr>
      <w:r>
        <w:t>For argument’s sake, let’s make the following three concessions to the logicist. First, “1 + 1 = 2” is a formal truth in disguise. Second, the logicist paraphrase</w:t>
      </w:r>
      <w:r>
        <w:rPr>
          <w:spacing w:val="16"/>
        </w:rPr>
        <w:t xml:space="preserve"> </w:t>
      </w:r>
      <w:r>
        <w:t>of</w:t>
      </w:r>
      <w:r>
        <w:rPr>
          <w:spacing w:val="16"/>
        </w:rPr>
        <w:t xml:space="preserve"> </w:t>
      </w:r>
      <w:r>
        <w:t>“1</w:t>
      </w:r>
      <w:r>
        <w:rPr>
          <w:spacing w:val="16"/>
        </w:rPr>
        <w:t xml:space="preserve"> </w:t>
      </w:r>
      <w:r>
        <w:t>+</w:t>
      </w:r>
      <w:r>
        <w:rPr>
          <w:spacing w:val="16"/>
        </w:rPr>
        <w:t xml:space="preserve"> </w:t>
      </w:r>
      <w:r>
        <w:t>1</w:t>
      </w:r>
      <w:r>
        <w:rPr>
          <w:spacing w:val="16"/>
        </w:rPr>
        <w:t xml:space="preserve"> </w:t>
      </w:r>
      <w:r>
        <w:t>=</w:t>
      </w:r>
      <w:r>
        <w:rPr>
          <w:spacing w:val="16"/>
        </w:rPr>
        <w:t xml:space="preserve"> </w:t>
      </w:r>
      <w:r>
        <w:t>2”</w:t>
      </w:r>
      <w:r>
        <w:rPr>
          <w:spacing w:val="16"/>
        </w:rPr>
        <w:t xml:space="preserve"> </w:t>
      </w:r>
      <w:r>
        <w:t>is</w:t>
      </w:r>
      <w:r>
        <w:rPr>
          <w:spacing w:val="16"/>
        </w:rPr>
        <w:t xml:space="preserve"> </w:t>
      </w:r>
      <w:r>
        <w:t>a</w:t>
      </w:r>
      <w:r>
        <w:rPr>
          <w:spacing w:val="16"/>
        </w:rPr>
        <w:t xml:space="preserve"> </w:t>
      </w:r>
      <w:r>
        <w:t>formal</w:t>
      </w:r>
      <w:r>
        <w:rPr>
          <w:spacing w:val="16"/>
        </w:rPr>
        <w:t xml:space="preserve"> </w:t>
      </w:r>
      <w:r>
        <w:t>truth.</w:t>
      </w:r>
      <w:r>
        <w:rPr>
          <w:spacing w:val="16"/>
        </w:rPr>
        <w:t xml:space="preserve"> </w:t>
      </w:r>
      <w:r>
        <w:t>We’ll</w:t>
      </w:r>
      <w:r>
        <w:rPr>
          <w:spacing w:val="16"/>
        </w:rPr>
        <w:t xml:space="preserve"> </w:t>
      </w:r>
      <w:r>
        <w:t>refer</w:t>
      </w:r>
      <w:r>
        <w:rPr>
          <w:spacing w:val="16"/>
        </w:rPr>
        <w:t xml:space="preserve"> </w:t>
      </w:r>
      <w:r>
        <w:t>to</w:t>
      </w:r>
      <w:r>
        <w:rPr>
          <w:spacing w:val="16"/>
        </w:rPr>
        <w:t xml:space="preserve"> </w:t>
      </w:r>
      <w:r>
        <w:t>that</w:t>
      </w:r>
      <w:r>
        <w:rPr>
          <w:spacing w:val="16"/>
        </w:rPr>
        <w:t xml:space="preserve"> </w:t>
      </w:r>
      <w:r>
        <w:t>paraphrase</w:t>
      </w:r>
      <w:r>
        <w:rPr>
          <w:spacing w:val="16"/>
        </w:rPr>
        <w:t xml:space="preserve"> </w:t>
      </w:r>
      <w:r>
        <w:t>as</w:t>
      </w:r>
    </w:p>
    <w:p w14:paraId="7E001066" w14:textId="77777777" w:rsidR="009A58DB" w:rsidRDefault="00000000">
      <w:pPr>
        <w:pStyle w:val="BodyText"/>
        <w:spacing w:before="4" w:line="277" w:lineRule="exact"/>
        <w:ind w:left="967"/>
        <w:jc w:val="left"/>
      </w:pPr>
      <w:r>
        <w:rPr>
          <w:noProof/>
        </w:rPr>
        <mc:AlternateContent>
          <mc:Choice Requires="wps">
            <w:drawing>
              <wp:anchor distT="0" distB="0" distL="0" distR="0" simplePos="0" relativeHeight="15736832" behindDoc="0" locked="0" layoutInCell="1" allowOverlap="1" wp14:anchorId="7E003270" wp14:editId="7E003271">
                <wp:simplePos x="0" y="0"/>
                <wp:positionH relativeFrom="page">
                  <wp:posOffset>914400</wp:posOffset>
                </wp:positionH>
                <wp:positionV relativeFrom="paragraph">
                  <wp:posOffset>144035</wp:posOffset>
                </wp:positionV>
                <wp:extent cx="386080" cy="2114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080" cy="211454"/>
                        </a:xfrm>
                        <a:prstGeom prst="rect">
                          <a:avLst/>
                        </a:prstGeom>
                      </wps:spPr>
                      <wps:txbx>
                        <w:txbxContent>
                          <w:p w14:paraId="7E0032B7" w14:textId="77777777" w:rsidR="009A58DB" w:rsidRDefault="00000000">
                            <w:pPr>
                              <w:pStyle w:val="BodyText"/>
                              <w:spacing w:line="332" w:lineRule="exact"/>
                              <w:ind w:left="0"/>
                              <w:jc w:val="left"/>
                            </w:pPr>
                            <w:r>
                              <w:rPr>
                                <w:spacing w:val="-4"/>
                              </w:rPr>
                              <w:t>TPT.</w:t>
                            </w:r>
                          </w:p>
                        </w:txbxContent>
                      </wps:txbx>
                      <wps:bodyPr wrap="square" lIns="0" tIns="0" rIns="0" bIns="0" rtlCol="0">
                        <a:noAutofit/>
                      </wps:bodyPr>
                    </wps:wsp>
                  </a:graphicData>
                </a:graphic>
              </wp:anchor>
            </w:drawing>
          </mc:Choice>
          <mc:Fallback>
            <w:pict>
              <v:shape w14:anchorId="7E003270" id="Textbox 17" o:spid="_x0000_s1033" type="#_x0000_t202" style="position:absolute;left:0;text-align:left;margin-left:1in;margin-top:11.35pt;width:30.4pt;height:16.6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" filled="f" stroked="f">
                <v:textbox inset="0,0,0,0">
                  <w:txbxContent>
                    <w:p w14:paraId="7E0032B7" w14:textId="77777777" w:rsidR="009A58DB" w:rsidRDefault="00000000">
                      <w:pPr>
                        <w:pStyle w:val="BodyText"/>
                        <w:spacing w:line="332" w:lineRule="exact"/>
                        <w:ind w:left="0"/>
                        <w:jc w:val="left"/>
                      </w:pPr>
                      <w:r>
                        <w:rPr>
                          <w:spacing w:val="-4"/>
                        </w:rPr>
                        <w:t>TPT.</w:t>
                      </w:r>
                    </w:p>
                  </w:txbxContent>
                </v:textbox>
                <w10:wrap anchorx="page"/>
              </v:shape>
            </w:pict>
          </mc:Fallback>
        </mc:AlternateContent>
      </w:r>
      <w:bookmarkStart w:id="227" w:name="_bookmark227"/>
      <w:bookmarkEnd w:id="227"/>
      <w:r>
        <w:rPr>
          <w:color w:val="0562C1"/>
          <w:spacing w:val="-2"/>
          <w:u w:val="single" w:color="0562C1"/>
        </w:rPr>
        <w:t>[135]</w:t>
      </w:r>
    </w:p>
    <w:p w14:paraId="7E001067" w14:textId="77777777" w:rsidR="009A58DB" w:rsidRDefault="00000000">
      <w:pPr>
        <w:pStyle w:val="BodyText"/>
        <w:spacing w:line="277" w:lineRule="exact"/>
        <w:ind w:left="1617"/>
        <w:jc w:val="left"/>
      </w:pPr>
      <w:r>
        <w:t>(For</w:t>
      </w:r>
      <w:r>
        <w:rPr>
          <w:spacing w:val="58"/>
        </w:rPr>
        <w:t xml:space="preserve"> </w:t>
      </w:r>
      <w:r>
        <w:t>the</w:t>
      </w:r>
      <w:r>
        <w:rPr>
          <w:spacing w:val="61"/>
        </w:rPr>
        <w:t xml:space="preserve"> </w:t>
      </w:r>
      <w:r>
        <w:t>reasons</w:t>
      </w:r>
      <w:r>
        <w:rPr>
          <w:spacing w:val="61"/>
        </w:rPr>
        <w:t xml:space="preserve"> </w:t>
      </w:r>
      <w:r>
        <w:t>given</w:t>
      </w:r>
      <w:r>
        <w:rPr>
          <w:spacing w:val="61"/>
        </w:rPr>
        <w:t xml:space="preserve"> </w:t>
      </w:r>
      <w:r>
        <w:t>in</w:t>
      </w:r>
      <w:r>
        <w:rPr>
          <w:spacing w:val="60"/>
        </w:rPr>
        <w:t xml:space="preserve"> </w:t>
      </w:r>
      <w:r>
        <w:t>section</w:t>
      </w:r>
      <w:r>
        <w:rPr>
          <w:spacing w:val="60"/>
        </w:rPr>
        <w:t xml:space="preserve"> </w:t>
      </w:r>
      <w:r>
        <w:t>2.5.1,</w:t>
      </w:r>
      <w:r>
        <w:rPr>
          <w:spacing w:val="61"/>
        </w:rPr>
        <w:t xml:space="preserve"> </w:t>
      </w:r>
      <w:r>
        <w:t>TPT</w:t>
      </w:r>
      <w:r>
        <w:rPr>
          <w:spacing w:val="60"/>
        </w:rPr>
        <w:t xml:space="preserve"> </w:t>
      </w:r>
      <w:r>
        <w:t>is</w:t>
      </w:r>
      <w:r>
        <w:rPr>
          <w:spacing w:val="61"/>
        </w:rPr>
        <w:t xml:space="preserve"> </w:t>
      </w:r>
      <w:r>
        <w:t>some</w:t>
      </w:r>
      <w:r>
        <w:rPr>
          <w:spacing w:val="62"/>
        </w:rPr>
        <w:t xml:space="preserve"> </w:t>
      </w:r>
      <w:r>
        <w:rPr>
          <w:spacing w:val="-2"/>
        </w:rPr>
        <w:t>statement</w:t>
      </w:r>
    </w:p>
    <w:p w14:paraId="7E001068" w14:textId="77777777" w:rsidR="009A58DB" w:rsidRDefault="00000000">
      <w:pPr>
        <w:pStyle w:val="BodyText"/>
        <w:spacing w:before="15"/>
        <w:jc w:val="left"/>
      </w:pPr>
      <w:r>
        <w:t>along</w:t>
      </w:r>
      <w:r>
        <w:rPr>
          <w:spacing w:val="59"/>
        </w:rPr>
        <w:t xml:space="preserve"> </w:t>
      </w:r>
      <w:r>
        <w:t>the</w:t>
      </w:r>
      <w:r>
        <w:rPr>
          <w:spacing w:val="60"/>
        </w:rPr>
        <w:t xml:space="preserve"> </w:t>
      </w:r>
      <w:r>
        <w:t>lines</w:t>
      </w:r>
      <w:r>
        <w:rPr>
          <w:spacing w:val="60"/>
        </w:rPr>
        <w:t xml:space="preserve"> </w:t>
      </w:r>
      <w:r>
        <w:t>of</w:t>
      </w:r>
      <w:r>
        <w:rPr>
          <w:spacing w:val="59"/>
        </w:rPr>
        <w:t xml:space="preserve"> </w:t>
      </w:r>
      <w:r>
        <w:t>“two</w:t>
      </w:r>
      <w:r>
        <w:rPr>
          <w:spacing w:val="60"/>
        </w:rPr>
        <w:t xml:space="preserve"> </w:t>
      </w:r>
      <w:r>
        <w:t>non-overlapping</w:t>
      </w:r>
      <w:r>
        <w:rPr>
          <w:spacing w:val="60"/>
        </w:rPr>
        <w:t xml:space="preserve"> </w:t>
      </w:r>
      <w:r>
        <w:t>unit</w:t>
      </w:r>
      <w:r>
        <w:rPr>
          <w:spacing w:val="60"/>
        </w:rPr>
        <w:t xml:space="preserve"> </w:t>
      </w:r>
      <w:r>
        <w:t>classes</w:t>
      </w:r>
      <w:r>
        <w:rPr>
          <w:spacing w:val="59"/>
        </w:rPr>
        <w:t xml:space="preserve"> </w:t>
      </w:r>
      <w:r>
        <w:t>form</w:t>
      </w:r>
      <w:r>
        <w:rPr>
          <w:spacing w:val="60"/>
        </w:rPr>
        <w:t xml:space="preserve"> </w:t>
      </w:r>
      <w:r>
        <w:t>a</w:t>
      </w:r>
      <w:r>
        <w:rPr>
          <w:spacing w:val="60"/>
        </w:rPr>
        <w:t xml:space="preserve"> </w:t>
      </w:r>
      <w:r>
        <w:t>dual</w:t>
      </w:r>
      <w:r>
        <w:rPr>
          <w:spacing w:val="60"/>
        </w:rPr>
        <w:t xml:space="preserve"> </w:t>
      </w:r>
      <w:r>
        <w:rPr>
          <w:spacing w:val="-2"/>
        </w:rPr>
        <w:t>class.”)</w:t>
      </w:r>
    </w:p>
    <w:p w14:paraId="7E001069" w14:textId="77777777" w:rsidR="009A58DB" w:rsidRDefault="00000000">
      <w:pPr>
        <w:pStyle w:val="BodyText"/>
        <w:spacing w:before="15"/>
        <w:jc w:val="left"/>
      </w:pPr>
      <w:r>
        <w:t>Third,</w:t>
      </w:r>
      <w:r>
        <w:rPr>
          <w:spacing w:val="-3"/>
        </w:rPr>
        <w:t xml:space="preserve"> </w:t>
      </w:r>
      <w:r>
        <w:t>what</w:t>
      </w:r>
      <w:r>
        <w:rPr>
          <w:spacing w:val="-3"/>
        </w:rPr>
        <w:t xml:space="preserve"> </w:t>
      </w:r>
      <w:r>
        <w:t>we</w:t>
      </w:r>
      <w:r>
        <w:rPr>
          <w:spacing w:val="-3"/>
        </w:rPr>
        <w:t xml:space="preserve"> </w:t>
      </w:r>
      <w:r>
        <w:t>just</w:t>
      </w:r>
      <w:r>
        <w:rPr>
          <w:spacing w:val="-3"/>
        </w:rPr>
        <w:t xml:space="preserve"> </w:t>
      </w:r>
      <w:r>
        <w:t>said</w:t>
      </w:r>
      <w:r>
        <w:rPr>
          <w:spacing w:val="-2"/>
        </w:rPr>
        <w:t xml:space="preserve"> about</w:t>
      </w:r>
    </w:p>
    <w:p w14:paraId="7E00106A" w14:textId="77777777" w:rsidR="009A58DB" w:rsidRDefault="00000000">
      <w:pPr>
        <w:pStyle w:val="BodyText"/>
        <w:spacing w:before="15" w:line="249" w:lineRule="auto"/>
        <w:ind w:left="720" w:right="794" w:hanging="360"/>
        <w:jc w:val="left"/>
      </w:pPr>
      <w:r>
        <w:t>“1</w:t>
      </w:r>
      <w:r>
        <w:rPr>
          <w:spacing w:val="-3"/>
        </w:rPr>
        <w:t xml:space="preserve"> </w:t>
      </w:r>
      <w:r>
        <w:t>+</w:t>
      </w:r>
      <w:r>
        <w:rPr>
          <w:spacing w:val="-4"/>
        </w:rPr>
        <w:t xml:space="preserve"> </w:t>
      </w:r>
      <w:r>
        <w:t>1</w:t>
      </w:r>
      <w:r>
        <w:rPr>
          <w:spacing w:val="-3"/>
        </w:rPr>
        <w:t xml:space="preserve"> </w:t>
      </w:r>
      <w:r>
        <w:t>=</w:t>
      </w:r>
      <w:r>
        <w:rPr>
          <w:spacing w:val="-4"/>
        </w:rPr>
        <w:t xml:space="preserve"> </w:t>
      </w:r>
      <w:r>
        <w:t>2”</w:t>
      </w:r>
      <w:r>
        <w:rPr>
          <w:spacing w:val="-4"/>
        </w:rPr>
        <w:t xml:space="preserve"> </w:t>
      </w:r>
      <w:r>
        <w:t>is</w:t>
      </w:r>
      <w:r>
        <w:rPr>
          <w:spacing w:val="-4"/>
        </w:rPr>
        <w:t xml:space="preserve"> </w:t>
      </w:r>
      <w:r>
        <w:t>true</w:t>
      </w:r>
      <w:r>
        <w:rPr>
          <w:spacing w:val="-3"/>
        </w:rPr>
        <w:t xml:space="preserve"> </w:t>
      </w:r>
      <w:r>
        <w:rPr>
          <w:i/>
        </w:rPr>
        <w:t>mutatis</w:t>
      </w:r>
      <w:r>
        <w:rPr>
          <w:i/>
          <w:spacing w:val="-4"/>
        </w:rPr>
        <w:t xml:space="preserve"> </w:t>
      </w:r>
      <w:r>
        <w:rPr>
          <w:i/>
        </w:rPr>
        <w:t>mutandis</w:t>
      </w:r>
      <w:r>
        <w:rPr>
          <w:i/>
          <w:spacing w:val="-4"/>
        </w:rPr>
        <w:t xml:space="preserve"> </w:t>
      </w:r>
      <w:r>
        <w:t>of</w:t>
      </w:r>
      <w:r>
        <w:rPr>
          <w:spacing w:val="-4"/>
        </w:rPr>
        <w:t xml:space="preserve"> </w:t>
      </w:r>
      <w:r>
        <w:t>any</w:t>
      </w:r>
      <w:r>
        <w:rPr>
          <w:spacing w:val="-3"/>
        </w:rPr>
        <w:t xml:space="preserve"> </w:t>
      </w:r>
      <w:r>
        <w:t>given</w:t>
      </w:r>
      <w:r>
        <w:rPr>
          <w:spacing w:val="-3"/>
        </w:rPr>
        <w:t xml:space="preserve"> </w:t>
      </w:r>
      <w:r>
        <w:t>arithmetical</w:t>
      </w:r>
      <w:r>
        <w:rPr>
          <w:spacing w:val="-4"/>
        </w:rPr>
        <w:t xml:space="preserve"> </w:t>
      </w:r>
      <w:r>
        <w:t>truth. Bearing these assumptions in mind, consider the statement that:</w:t>
      </w:r>
    </w:p>
    <w:p w14:paraId="7E00106B" w14:textId="77777777" w:rsidR="009A58DB" w:rsidRDefault="009A58DB">
      <w:pPr>
        <w:pStyle w:val="BodyText"/>
        <w:spacing w:before="17"/>
        <w:ind w:left="0"/>
        <w:jc w:val="left"/>
      </w:pPr>
    </w:p>
    <w:p w14:paraId="7E00106C" w14:textId="77777777" w:rsidR="009A58DB" w:rsidRDefault="00000000">
      <w:pPr>
        <w:pStyle w:val="BodyText"/>
        <w:jc w:val="left"/>
      </w:pPr>
      <w:r>
        <w:t>(EQ)</w:t>
      </w:r>
      <w:r>
        <w:rPr>
          <w:spacing w:val="-5"/>
        </w:rPr>
        <w:t xml:space="preserve"> </w:t>
      </w:r>
      <w:r>
        <w:t>“The</w:t>
      </w:r>
      <w:r>
        <w:rPr>
          <w:spacing w:val="-3"/>
        </w:rPr>
        <w:t xml:space="preserve"> </w:t>
      </w:r>
      <w:r>
        <w:t>logicist</w:t>
      </w:r>
      <w:r>
        <w:rPr>
          <w:spacing w:val="-3"/>
        </w:rPr>
        <w:t xml:space="preserve"> </w:t>
      </w:r>
      <w:r>
        <w:t>translation</w:t>
      </w:r>
      <w:r>
        <w:rPr>
          <w:spacing w:val="-2"/>
        </w:rPr>
        <w:t xml:space="preserve"> </w:t>
      </w:r>
      <w:r>
        <w:t>of</w:t>
      </w:r>
      <w:r>
        <w:rPr>
          <w:spacing w:val="-3"/>
        </w:rPr>
        <w:t xml:space="preserve"> </w:t>
      </w:r>
      <w:r>
        <w:t>‘1</w:t>
      </w:r>
      <w:r>
        <w:rPr>
          <w:spacing w:val="-1"/>
        </w:rPr>
        <w:t xml:space="preserve"> </w:t>
      </w:r>
      <w:r>
        <w:t>+</w:t>
      </w:r>
      <w:r>
        <w:rPr>
          <w:spacing w:val="-3"/>
        </w:rPr>
        <w:t xml:space="preserve"> </w:t>
      </w:r>
      <w:r>
        <w:t>1</w:t>
      </w:r>
      <w:r>
        <w:rPr>
          <w:spacing w:val="-2"/>
        </w:rPr>
        <w:t xml:space="preserve"> </w:t>
      </w:r>
      <w:r>
        <w:t>=</w:t>
      </w:r>
      <w:r>
        <w:rPr>
          <w:spacing w:val="-3"/>
        </w:rPr>
        <w:t xml:space="preserve"> </w:t>
      </w:r>
      <w:r>
        <w:t>2’</w:t>
      </w:r>
      <w:r>
        <w:rPr>
          <w:spacing w:val="-3"/>
        </w:rPr>
        <w:t xml:space="preserve"> </w:t>
      </w:r>
      <w:r>
        <w:t>is</w:t>
      </w:r>
      <w:r>
        <w:rPr>
          <w:spacing w:val="-2"/>
        </w:rPr>
        <w:t xml:space="preserve"> TPT.”</w:t>
      </w:r>
    </w:p>
    <w:p w14:paraId="7E00106D" w14:textId="77777777" w:rsidR="009A58DB" w:rsidRDefault="009A58DB">
      <w:pPr>
        <w:pStyle w:val="BodyText"/>
        <w:spacing w:before="30"/>
        <w:ind w:left="0"/>
        <w:jc w:val="left"/>
      </w:pPr>
    </w:p>
    <w:p w14:paraId="7E00106E" w14:textId="77777777" w:rsidR="009A58DB" w:rsidRDefault="00000000">
      <w:pPr>
        <w:pStyle w:val="BodyText"/>
        <w:jc w:val="left"/>
      </w:pPr>
      <w:r>
        <w:t>EQ</w:t>
      </w:r>
      <w:r>
        <w:rPr>
          <w:spacing w:val="-5"/>
        </w:rPr>
        <w:t xml:space="preserve"> </w:t>
      </w:r>
      <w:r>
        <w:t>is</w:t>
      </w:r>
      <w:r>
        <w:rPr>
          <w:spacing w:val="-3"/>
        </w:rPr>
        <w:t xml:space="preserve"> </w:t>
      </w:r>
      <w:r>
        <w:t>not</w:t>
      </w:r>
      <w:r>
        <w:rPr>
          <w:spacing w:val="-3"/>
        </w:rPr>
        <w:t xml:space="preserve"> </w:t>
      </w:r>
      <w:r>
        <w:t>a</w:t>
      </w:r>
      <w:r>
        <w:rPr>
          <w:spacing w:val="-3"/>
        </w:rPr>
        <w:t xml:space="preserve"> </w:t>
      </w:r>
      <w:r>
        <w:t>formal</w:t>
      </w:r>
      <w:r>
        <w:rPr>
          <w:spacing w:val="-3"/>
        </w:rPr>
        <w:t xml:space="preserve"> </w:t>
      </w:r>
      <w:r>
        <w:t>truth.</w:t>
      </w:r>
      <w:r>
        <w:rPr>
          <w:spacing w:val="-2"/>
        </w:rPr>
        <w:t xml:space="preserve"> </w:t>
      </w:r>
      <w:r>
        <w:t>After</w:t>
      </w:r>
      <w:r>
        <w:rPr>
          <w:spacing w:val="-2"/>
        </w:rPr>
        <w:t xml:space="preserve"> </w:t>
      </w:r>
      <w:r>
        <w:t>all,</w:t>
      </w:r>
      <w:r>
        <w:rPr>
          <w:spacing w:val="-2"/>
        </w:rPr>
        <w:t xml:space="preserve"> </w:t>
      </w:r>
      <w:r>
        <w:t>it</w:t>
      </w:r>
      <w:r>
        <w:rPr>
          <w:spacing w:val="-3"/>
        </w:rPr>
        <w:t xml:space="preserve"> </w:t>
      </w:r>
      <w:r>
        <w:t>has</w:t>
      </w:r>
      <w:r>
        <w:rPr>
          <w:spacing w:val="-3"/>
        </w:rPr>
        <w:t xml:space="preserve"> </w:t>
      </w:r>
      <w:r>
        <w:t>the</w:t>
      </w:r>
      <w:r>
        <w:rPr>
          <w:spacing w:val="-3"/>
        </w:rPr>
        <w:t xml:space="preserve"> </w:t>
      </w:r>
      <w:r>
        <w:t>same</w:t>
      </w:r>
      <w:r>
        <w:rPr>
          <w:spacing w:val="-3"/>
        </w:rPr>
        <w:t xml:space="preserve"> </w:t>
      </w:r>
      <w:r>
        <w:t>form</w:t>
      </w:r>
      <w:r>
        <w:rPr>
          <w:spacing w:val="-2"/>
        </w:rPr>
        <w:t xml:space="preserve"> </w:t>
      </w:r>
      <w:r>
        <w:rPr>
          <w:spacing w:val="-5"/>
        </w:rPr>
        <w:t>as:</w:t>
      </w:r>
    </w:p>
    <w:p w14:paraId="7E00106F" w14:textId="77777777" w:rsidR="009A58DB" w:rsidRDefault="00000000">
      <w:pPr>
        <w:pStyle w:val="BodyText"/>
        <w:spacing w:before="32" w:line="780" w:lineRule="exact"/>
        <w:ind w:right="1840"/>
        <w:jc w:val="left"/>
      </w:pPr>
      <w:r>
        <w:t>(EQ</w:t>
      </w:r>
      <w:r>
        <w:rPr>
          <w:vertAlign w:val="subscript"/>
        </w:rPr>
        <w:t>2</w:t>
      </w:r>
      <w:r>
        <w:t>)</w:t>
      </w:r>
      <w:r>
        <w:rPr>
          <w:spacing w:val="-3"/>
        </w:rPr>
        <w:t xml:space="preserve"> </w:t>
      </w:r>
      <w:r>
        <w:t>“The</w:t>
      </w:r>
      <w:r>
        <w:rPr>
          <w:spacing w:val="-3"/>
        </w:rPr>
        <w:t xml:space="preserve"> </w:t>
      </w:r>
      <w:r>
        <w:t>Spanish</w:t>
      </w:r>
      <w:r>
        <w:rPr>
          <w:spacing w:val="-2"/>
        </w:rPr>
        <w:t xml:space="preserve"> </w:t>
      </w:r>
      <w:r>
        <w:t>translation</w:t>
      </w:r>
      <w:r>
        <w:rPr>
          <w:spacing w:val="-2"/>
        </w:rPr>
        <w:t xml:space="preserve"> </w:t>
      </w:r>
      <w:r>
        <w:t>of</w:t>
      </w:r>
      <w:r>
        <w:rPr>
          <w:spacing w:val="-3"/>
        </w:rPr>
        <w:t xml:space="preserve"> </w:t>
      </w:r>
      <w:r>
        <w:t>‘there</w:t>
      </w:r>
      <w:r>
        <w:rPr>
          <w:spacing w:val="-3"/>
        </w:rPr>
        <w:t xml:space="preserve"> </w:t>
      </w:r>
      <w:r>
        <w:t>will</w:t>
      </w:r>
      <w:r>
        <w:rPr>
          <w:spacing w:val="-3"/>
        </w:rPr>
        <w:t xml:space="preserve"> </w:t>
      </w:r>
      <w:r>
        <w:t>be</w:t>
      </w:r>
      <w:r>
        <w:rPr>
          <w:spacing w:val="-3"/>
        </w:rPr>
        <w:t xml:space="preserve"> </w:t>
      </w:r>
      <w:r>
        <w:t>justice’</w:t>
      </w:r>
      <w:r>
        <w:rPr>
          <w:spacing w:val="-3"/>
        </w:rPr>
        <w:t xml:space="preserve"> </w:t>
      </w:r>
      <w:r>
        <w:t>is</w:t>
      </w:r>
      <w:r>
        <w:rPr>
          <w:spacing w:val="-3"/>
        </w:rPr>
        <w:t xml:space="preserve"> </w:t>
      </w:r>
      <w:r>
        <w:t>TPT,” which is obviously false.</w:t>
      </w:r>
    </w:p>
    <w:p w14:paraId="7E001070" w14:textId="77777777" w:rsidR="009A58DB" w:rsidRDefault="00000000">
      <w:pPr>
        <w:pStyle w:val="BodyText"/>
        <w:spacing w:line="269" w:lineRule="exact"/>
        <w:ind w:left="720"/>
      </w:pPr>
      <w:r>
        <w:t>It</w:t>
      </w:r>
      <w:r>
        <w:rPr>
          <w:spacing w:val="1"/>
        </w:rPr>
        <w:t xml:space="preserve"> </w:t>
      </w:r>
      <w:r>
        <w:t>may</w:t>
      </w:r>
      <w:r>
        <w:rPr>
          <w:spacing w:val="2"/>
        </w:rPr>
        <w:t xml:space="preserve"> </w:t>
      </w:r>
      <w:r>
        <w:t>be</w:t>
      </w:r>
      <w:r>
        <w:rPr>
          <w:spacing w:val="3"/>
        </w:rPr>
        <w:t xml:space="preserve"> </w:t>
      </w:r>
      <w:r>
        <w:t>that</w:t>
      </w:r>
      <w:r>
        <w:rPr>
          <w:spacing w:val="2"/>
        </w:rPr>
        <w:t xml:space="preserve"> </w:t>
      </w:r>
      <w:r>
        <w:t>EQ</w:t>
      </w:r>
      <w:r>
        <w:rPr>
          <w:spacing w:val="2"/>
        </w:rPr>
        <w:t xml:space="preserve"> </w:t>
      </w:r>
      <w:r>
        <w:t>is</w:t>
      </w:r>
      <w:r>
        <w:rPr>
          <w:spacing w:val="2"/>
        </w:rPr>
        <w:t xml:space="preserve"> </w:t>
      </w:r>
      <w:r>
        <w:rPr>
          <w:i/>
        </w:rPr>
        <w:t>analytically</w:t>
      </w:r>
      <w:r>
        <w:rPr>
          <w:i/>
          <w:spacing w:val="-3"/>
        </w:rPr>
        <w:t xml:space="preserve"> </w:t>
      </w:r>
      <w:r>
        <w:t>true.</w:t>
      </w:r>
      <w:r>
        <w:rPr>
          <w:spacing w:val="4"/>
        </w:rPr>
        <w:t xml:space="preserve"> </w:t>
      </w:r>
      <w:r>
        <w:t>But</w:t>
      </w:r>
      <w:r>
        <w:rPr>
          <w:spacing w:val="4"/>
        </w:rPr>
        <w:t xml:space="preserve"> </w:t>
      </w:r>
      <w:r>
        <w:t>that</w:t>
      </w:r>
      <w:r>
        <w:rPr>
          <w:spacing w:val="4"/>
        </w:rPr>
        <w:t xml:space="preserve"> </w:t>
      </w:r>
      <w:r>
        <w:t>fact</w:t>
      </w:r>
      <w:r>
        <w:rPr>
          <w:spacing w:val="3"/>
        </w:rPr>
        <w:t xml:space="preserve"> </w:t>
      </w:r>
      <w:r>
        <w:t>hurts</w:t>
      </w:r>
      <w:r>
        <w:rPr>
          <w:spacing w:val="4"/>
        </w:rPr>
        <w:t xml:space="preserve"> </w:t>
      </w:r>
      <w:r>
        <w:t>logicism</w:t>
      </w:r>
      <w:r>
        <w:rPr>
          <w:spacing w:val="4"/>
        </w:rPr>
        <w:t xml:space="preserve"> </w:t>
      </w:r>
      <w:r>
        <w:t>as</w:t>
      </w:r>
      <w:r>
        <w:rPr>
          <w:spacing w:val="4"/>
        </w:rPr>
        <w:t xml:space="preserve"> </w:t>
      </w:r>
      <w:r>
        <w:rPr>
          <w:spacing w:val="-4"/>
        </w:rPr>
        <w:t>much</w:t>
      </w:r>
    </w:p>
    <w:p w14:paraId="7E001071" w14:textId="77777777" w:rsidR="009A58DB" w:rsidRDefault="00000000">
      <w:pPr>
        <w:pStyle w:val="BodyText"/>
        <w:spacing w:before="15" w:line="249" w:lineRule="auto"/>
        <w:ind w:right="358"/>
      </w:pPr>
      <w:r>
        <w:t xml:space="preserve">as it helps it. To describe a sentence as “analytically true” is to make an elliptical statement about a proposition. It isn’t analytic that “triangles have three sides” is true. That sentence could have meant anything; it’s an empirical fact that it means what it does and, therefore, that it’s true. What </w:t>
      </w:r>
      <w:r>
        <w:rPr>
          <w:i/>
        </w:rPr>
        <w:t xml:space="preserve">is </w:t>
      </w:r>
      <w:r>
        <w:t xml:space="preserve">analytic is the </w:t>
      </w:r>
      <w:r>
        <w:rPr>
          <w:i/>
        </w:rPr>
        <w:t>proposition</w:t>
      </w:r>
      <w:r>
        <w:rPr>
          <w:i/>
          <w:spacing w:val="-4"/>
        </w:rPr>
        <w:t xml:space="preserve"> </w:t>
      </w:r>
      <w:r>
        <w:t xml:space="preserve">that, the semantic rules of English being what they are, “triangles have three sides” must be true. The same thing </w:t>
      </w:r>
      <w:r>
        <w:rPr>
          <w:i/>
        </w:rPr>
        <w:t xml:space="preserve">mutatis mutandis </w:t>
      </w:r>
      <w:r>
        <w:t>is true of any other “analytic” sentence, including EQ.</w:t>
      </w:r>
    </w:p>
    <w:p w14:paraId="7E00107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73" w14:textId="77777777" w:rsidR="009A58DB" w:rsidRDefault="00000000">
      <w:pPr>
        <w:pStyle w:val="BodyText"/>
        <w:spacing w:before="65" w:line="249" w:lineRule="auto"/>
        <w:ind w:right="359" w:firstLine="360"/>
      </w:pPr>
      <w:r>
        <w:lastRenderedPageBreak/>
        <w:t xml:space="preserve">As previously stated, all formal truths are analytic truths (but not </w:t>
      </w:r>
      <w:r>
        <w:rPr>
          <w:i/>
        </w:rPr>
        <w:t>vice versa</w:t>
      </w:r>
      <w:r>
        <w:t>). Thus, to describe a sentence as “formally” true is to make a statement about the proposition describing the relationship between the semantic rules of the language to which that sentence belongs, on the one hand, and that sentence, on the other: it is to describe that proposition as analytic.</w:t>
      </w:r>
    </w:p>
    <w:p w14:paraId="7E001074" w14:textId="77777777" w:rsidR="009A58DB" w:rsidRDefault="00000000">
      <w:pPr>
        <w:pStyle w:val="BodyText"/>
        <w:spacing w:before="6" w:line="271" w:lineRule="auto"/>
        <w:ind w:right="361" w:firstLine="360"/>
      </w:pPr>
      <w:r>
        <w:t>There is thus no way to</w:t>
      </w:r>
      <w:r>
        <w:rPr>
          <w:spacing w:val="-19"/>
        </w:rPr>
        <w:t xml:space="preserve"> </w:t>
      </w:r>
      <w:r>
        <w:rPr>
          <w:b/>
          <w:i/>
        </w:rPr>
        <w:t>formalize</w:t>
      </w:r>
      <w:r>
        <w:rPr>
          <w:b/>
          <w:i/>
          <w:spacing w:val="-18"/>
        </w:rPr>
        <w:t xml:space="preserve"> </w:t>
      </w:r>
      <w:r>
        <w:t>every sentence describing such a proposition.</w:t>
      </w:r>
      <w:r>
        <w:rPr>
          <w:spacing w:val="-15"/>
        </w:rPr>
        <w:t xml:space="preserve"> </w:t>
      </w:r>
      <w:r>
        <w:t>If</w:t>
      </w:r>
      <w:r>
        <w:rPr>
          <w:spacing w:val="-15"/>
        </w:rPr>
        <w:t xml:space="preserve"> </w:t>
      </w:r>
      <w:r>
        <w:t>S</w:t>
      </w:r>
      <w:r>
        <w:rPr>
          <w:vertAlign w:val="subscript"/>
        </w:rPr>
        <w:t>1</w:t>
      </w:r>
      <w:r>
        <w:rPr>
          <w:spacing w:val="-12"/>
        </w:rPr>
        <w:t xml:space="preserve"> </w:t>
      </w:r>
      <w:r>
        <w:t>is</w:t>
      </w:r>
      <w:r>
        <w:rPr>
          <w:spacing w:val="-16"/>
        </w:rPr>
        <w:t xml:space="preserve"> </w:t>
      </w:r>
      <w:r>
        <w:t>any</w:t>
      </w:r>
      <w:r>
        <w:rPr>
          <w:spacing w:val="-16"/>
        </w:rPr>
        <w:t xml:space="preserve"> </w:t>
      </w:r>
      <w:r>
        <w:t>one</w:t>
      </w:r>
      <w:r>
        <w:rPr>
          <w:spacing w:val="-16"/>
        </w:rPr>
        <w:t xml:space="preserve"> </w:t>
      </w:r>
      <w:r>
        <w:t>such</w:t>
      </w:r>
      <w:r>
        <w:rPr>
          <w:spacing w:val="-16"/>
        </w:rPr>
        <w:t xml:space="preserve"> </w:t>
      </w:r>
      <w:r>
        <w:t>sentence,</w:t>
      </w:r>
      <w:r>
        <w:rPr>
          <w:spacing w:val="-16"/>
        </w:rPr>
        <w:t xml:space="preserve"> </w:t>
      </w:r>
      <w:r>
        <w:t>formalizing</w:t>
      </w:r>
      <w:r>
        <w:rPr>
          <w:spacing w:val="-16"/>
        </w:rPr>
        <w:t xml:space="preserve"> </w:t>
      </w:r>
      <w:r>
        <w:t>S</w:t>
      </w:r>
      <w:r>
        <w:rPr>
          <w:vertAlign w:val="subscript"/>
        </w:rPr>
        <w:t>1</w:t>
      </w:r>
      <w:r>
        <w:rPr>
          <w:spacing w:val="-10"/>
        </w:rPr>
        <w:t xml:space="preserve"> </w:t>
      </w:r>
      <w:r>
        <w:t>involves</w:t>
      </w:r>
      <w:r>
        <w:rPr>
          <w:spacing w:val="-13"/>
        </w:rPr>
        <w:t xml:space="preserve"> </w:t>
      </w:r>
      <w:r>
        <w:t>using</w:t>
      </w:r>
      <w:r>
        <w:rPr>
          <w:spacing w:val="-13"/>
        </w:rPr>
        <w:t xml:space="preserve"> </w:t>
      </w:r>
      <w:r>
        <w:t xml:space="preserve">some </w:t>
      </w:r>
      <w:r>
        <w:rPr>
          <w:spacing w:val="-4"/>
        </w:rPr>
        <w:t>other</w:t>
      </w:r>
      <w:r>
        <w:rPr>
          <w:spacing w:val="-15"/>
        </w:rPr>
        <w:t xml:space="preserve"> </w:t>
      </w:r>
      <w:r>
        <w:rPr>
          <w:spacing w:val="-4"/>
        </w:rPr>
        <w:t>sentence</w:t>
      </w:r>
      <w:r>
        <w:rPr>
          <w:spacing w:val="-15"/>
        </w:rPr>
        <w:t xml:space="preserve"> </w:t>
      </w:r>
      <w:r>
        <w:rPr>
          <w:spacing w:val="-4"/>
        </w:rPr>
        <w:t>S</w:t>
      </w:r>
      <w:r>
        <w:rPr>
          <w:spacing w:val="-4"/>
          <w:vertAlign w:val="subscript"/>
        </w:rPr>
        <w:t>2</w:t>
      </w:r>
      <w:r>
        <w:rPr>
          <w:spacing w:val="-9"/>
        </w:rPr>
        <w:t xml:space="preserve"> </w:t>
      </w:r>
      <w:r>
        <w:rPr>
          <w:spacing w:val="-4"/>
        </w:rPr>
        <w:t>that</w:t>
      </w:r>
      <w:r>
        <w:rPr>
          <w:spacing w:val="-15"/>
        </w:rPr>
        <w:t xml:space="preserve"> </w:t>
      </w:r>
      <w:r>
        <w:rPr>
          <w:spacing w:val="-4"/>
        </w:rPr>
        <w:t>describes</w:t>
      </w:r>
      <w:r>
        <w:rPr>
          <w:spacing w:val="-14"/>
        </w:rPr>
        <w:t xml:space="preserve"> </w:t>
      </w:r>
      <w:r>
        <w:rPr>
          <w:spacing w:val="-4"/>
        </w:rPr>
        <w:t>the</w:t>
      </w:r>
      <w:r>
        <w:rPr>
          <w:spacing w:val="-14"/>
        </w:rPr>
        <w:t xml:space="preserve"> </w:t>
      </w:r>
      <w:r>
        <w:rPr>
          <w:spacing w:val="-4"/>
        </w:rPr>
        <w:t>relationship</w:t>
      </w:r>
      <w:r>
        <w:rPr>
          <w:spacing w:val="-14"/>
        </w:rPr>
        <w:t xml:space="preserve"> </w:t>
      </w:r>
      <w:r>
        <w:rPr>
          <w:spacing w:val="-4"/>
        </w:rPr>
        <w:t>between</w:t>
      </w:r>
      <w:r>
        <w:rPr>
          <w:spacing w:val="-15"/>
        </w:rPr>
        <w:t xml:space="preserve"> </w:t>
      </w:r>
      <w:r>
        <w:rPr>
          <w:spacing w:val="-4"/>
        </w:rPr>
        <w:t>the</w:t>
      </w:r>
      <w:r>
        <w:rPr>
          <w:spacing w:val="-14"/>
        </w:rPr>
        <w:t xml:space="preserve"> </w:t>
      </w:r>
      <w:r>
        <w:rPr>
          <w:spacing w:val="-4"/>
        </w:rPr>
        <w:t>semantic</w:t>
      </w:r>
      <w:r>
        <w:rPr>
          <w:spacing w:val="-14"/>
        </w:rPr>
        <w:t xml:space="preserve"> </w:t>
      </w:r>
      <w:r>
        <w:rPr>
          <w:spacing w:val="-4"/>
        </w:rPr>
        <w:t>rules</w:t>
      </w:r>
      <w:r>
        <w:rPr>
          <w:spacing w:val="-14"/>
        </w:rPr>
        <w:t xml:space="preserve"> </w:t>
      </w:r>
      <w:r>
        <w:rPr>
          <w:spacing w:val="-4"/>
        </w:rPr>
        <w:t>of</w:t>
      </w:r>
      <w:r>
        <w:rPr>
          <w:spacing w:val="-15"/>
        </w:rPr>
        <w:t xml:space="preserve"> </w:t>
      </w:r>
      <w:r>
        <w:rPr>
          <w:spacing w:val="-5"/>
        </w:rPr>
        <w:t>the</w:t>
      </w:r>
    </w:p>
    <w:p w14:paraId="7E001075" w14:textId="77777777" w:rsidR="009A58DB" w:rsidRDefault="00000000">
      <w:pPr>
        <w:pStyle w:val="BodyText"/>
        <w:spacing w:before="30" w:line="292" w:lineRule="auto"/>
        <w:ind w:right="360"/>
      </w:pPr>
      <w:r>
        <w:t>language to which S</w:t>
      </w:r>
      <w:r>
        <w:rPr>
          <w:vertAlign w:val="subscript"/>
        </w:rPr>
        <w:t>1</w:t>
      </w:r>
      <w:r>
        <w:t xml:space="preserve"> belongs, on the one hand, and S</w:t>
      </w:r>
      <w:r>
        <w:rPr>
          <w:vertAlign w:val="subscript"/>
        </w:rPr>
        <w:t>1</w:t>
      </w:r>
      <w:r>
        <w:t>, on the other. S</w:t>
      </w:r>
      <w:r>
        <w:rPr>
          <w:vertAlign w:val="subscript"/>
        </w:rPr>
        <w:t>2</w:t>
      </w:r>
      <w:r>
        <w:t xml:space="preserve"> will invariably</w:t>
      </w:r>
      <w:r>
        <w:rPr>
          <w:spacing w:val="-19"/>
        </w:rPr>
        <w:t xml:space="preserve"> </w:t>
      </w:r>
      <w:r>
        <w:t>fail</w:t>
      </w:r>
      <w:r>
        <w:rPr>
          <w:spacing w:val="-19"/>
        </w:rPr>
        <w:t xml:space="preserve"> </w:t>
      </w:r>
      <w:r>
        <w:t>to</w:t>
      </w:r>
      <w:r>
        <w:rPr>
          <w:spacing w:val="-19"/>
        </w:rPr>
        <w:t xml:space="preserve"> </w:t>
      </w:r>
      <w:r>
        <w:t>be</w:t>
      </w:r>
      <w:r>
        <w:rPr>
          <w:spacing w:val="-18"/>
        </w:rPr>
        <w:t xml:space="preserve"> </w:t>
      </w:r>
      <w:r>
        <w:t>a</w:t>
      </w:r>
      <w:r>
        <w:rPr>
          <w:spacing w:val="-19"/>
        </w:rPr>
        <w:t xml:space="preserve"> </w:t>
      </w:r>
      <w:r>
        <w:t>formal</w:t>
      </w:r>
      <w:r>
        <w:rPr>
          <w:spacing w:val="-19"/>
        </w:rPr>
        <w:t xml:space="preserve"> </w:t>
      </w:r>
      <w:r>
        <w:t>truth.</w:t>
      </w:r>
      <w:r>
        <w:rPr>
          <w:spacing w:val="-19"/>
        </w:rPr>
        <w:t xml:space="preserve"> </w:t>
      </w:r>
      <w:r>
        <w:t>This</w:t>
      </w:r>
      <w:r>
        <w:rPr>
          <w:spacing w:val="-18"/>
        </w:rPr>
        <w:t xml:space="preserve"> </w:t>
      </w:r>
      <w:r>
        <w:t>is</w:t>
      </w:r>
      <w:r>
        <w:rPr>
          <w:spacing w:val="-19"/>
        </w:rPr>
        <w:t xml:space="preserve"> </w:t>
      </w:r>
      <w:r>
        <w:t>because</w:t>
      </w:r>
      <w:r>
        <w:rPr>
          <w:spacing w:val="-19"/>
        </w:rPr>
        <w:t xml:space="preserve"> </w:t>
      </w:r>
      <w:r>
        <w:t>S</w:t>
      </w:r>
      <w:r>
        <w:rPr>
          <w:vertAlign w:val="subscript"/>
        </w:rPr>
        <w:t>2</w:t>
      </w:r>
      <w:r>
        <w:rPr>
          <w:spacing w:val="-19"/>
        </w:rPr>
        <w:t xml:space="preserve"> </w:t>
      </w:r>
      <w:r>
        <w:t>will</w:t>
      </w:r>
      <w:r>
        <w:rPr>
          <w:spacing w:val="-18"/>
        </w:rPr>
        <w:t xml:space="preserve"> </w:t>
      </w:r>
      <w:r>
        <w:t>have</w:t>
      </w:r>
      <w:r>
        <w:rPr>
          <w:spacing w:val="-19"/>
        </w:rPr>
        <w:t xml:space="preserve"> </w:t>
      </w:r>
      <w:r>
        <w:t>the</w:t>
      </w:r>
      <w:r>
        <w:rPr>
          <w:spacing w:val="-19"/>
        </w:rPr>
        <w:t xml:space="preserve"> </w:t>
      </w:r>
      <w:r>
        <w:t>form:</w:t>
      </w:r>
      <w:r>
        <w:rPr>
          <w:spacing w:val="-19"/>
        </w:rPr>
        <w:t xml:space="preserve"> </w:t>
      </w:r>
      <w:r>
        <w:t>‹given such</w:t>
      </w:r>
      <w:r>
        <w:rPr>
          <w:spacing w:val="-13"/>
        </w:rPr>
        <w:t xml:space="preserve"> </w:t>
      </w:r>
      <w:r>
        <w:t>and</w:t>
      </w:r>
      <w:r>
        <w:rPr>
          <w:spacing w:val="-13"/>
        </w:rPr>
        <w:t xml:space="preserve"> </w:t>
      </w:r>
      <w:r>
        <w:t>such</w:t>
      </w:r>
      <w:r>
        <w:rPr>
          <w:spacing w:val="-13"/>
        </w:rPr>
        <w:t xml:space="preserve"> </w:t>
      </w:r>
      <w:r>
        <w:t>semantic</w:t>
      </w:r>
      <w:r>
        <w:rPr>
          <w:spacing w:val="-13"/>
        </w:rPr>
        <w:t xml:space="preserve"> </w:t>
      </w:r>
      <w:r>
        <w:t>rules,</w:t>
      </w:r>
      <w:r>
        <w:rPr>
          <w:spacing w:val="-13"/>
        </w:rPr>
        <w:t xml:space="preserve"> </w:t>
      </w:r>
      <w:r>
        <w:t>it</w:t>
      </w:r>
      <w:r>
        <w:rPr>
          <w:spacing w:val="-13"/>
        </w:rPr>
        <w:t xml:space="preserve"> </w:t>
      </w:r>
      <w:r>
        <w:t>follows</w:t>
      </w:r>
    </w:p>
    <w:p w14:paraId="7E001076" w14:textId="77777777" w:rsidR="009A58DB" w:rsidRDefault="00000000">
      <w:pPr>
        <w:pStyle w:val="BodyText"/>
        <w:spacing w:line="282" w:lineRule="exact"/>
      </w:pPr>
      <w:r>
        <w:t>that</w:t>
      </w:r>
      <w:r>
        <w:rPr>
          <w:spacing w:val="44"/>
          <w:w w:val="150"/>
        </w:rPr>
        <w:t xml:space="preserve"> </w:t>
      </w:r>
      <w:r>
        <w:t>S</w:t>
      </w:r>
      <w:r>
        <w:rPr>
          <w:vertAlign w:val="subscript"/>
        </w:rPr>
        <w:t>1</w:t>
      </w:r>
      <w:r>
        <w:rPr>
          <w:spacing w:val="49"/>
          <w:w w:val="150"/>
        </w:rPr>
        <w:t xml:space="preserve"> </w:t>
      </w:r>
      <w:r>
        <w:t>is</w:t>
      </w:r>
      <w:r>
        <w:rPr>
          <w:spacing w:val="49"/>
          <w:w w:val="150"/>
        </w:rPr>
        <w:t xml:space="preserve"> </w:t>
      </w:r>
      <w:r>
        <w:t>formally</w:t>
      </w:r>
      <w:r>
        <w:rPr>
          <w:spacing w:val="50"/>
          <w:w w:val="150"/>
        </w:rPr>
        <w:t xml:space="preserve"> </w:t>
      </w:r>
      <w:r>
        <w:t>true›,</w:t>
      </w:r>
      <w:r>
        <w:rPr>
          <w:spacing w:val="50"/>
          <w:w w:val="150"/>
        </w:rPr>
        <w:t xml:space="preserve"> </w:t>
      </w:r>
      <w:r>
        <w:t>which</w:t>
      </w:r>
      <w:r>
        <w:rPr>
          <w:spacing w:val="50"/>
          <w:w w:val="150"/>
        </w:rPr>
        <w:t xml:space="preserve"> </w:t>
      </w:r>
      <w:r>
        <w:t>isn’t</w:t>
      </w:r>
      <w:r>
        <w:rPr>
          <w:spacing w:val="49"/>
          <w:w w:val="150"/>
        </w:rPr>
        <w:t xml:space="preserve"> </w:t>
      </w:r>
      <w:r>
        <w:t>formally</w:t>
      </w:r>
      <w:r>
        <w:rPr>
          <w:spacing w:val="50"/>
          <w:w w:val="150"/>
        </w:rPr>
        <w:t xml:space="preserve"> </w:t>
      </w:r>
      <w:r>
        <w:t>true.</w:t>
      </w:r>
      <w:r>
        <w:rPr>
          <w:spacing w:val="50"/>
          <w:w w:val="150"/>
        </w:rPr>
        <w:t xml:space="preserve"> </w:t>
      </w:r>
      <w:r>
        <w:t>The</w:t>
      </w:r>
      <w:r>
        <w:rPr>
          <w:spacing w:val="49"/>
          <w:w w:val="150"/>
        </w:rPr>
        <w:t xml:space="preserve"> </w:t>
      </w:r>
      <w:r>
        <w:t>reason</w:t>
      </w:r>
      <w:r>
        <w:rPr>
          <w:spacing w:val="50"/>
          <w:w w:val="150"/>
        </w:rPr>
        <w:t xml:space="preserve"> </w:t>
      </w:r>
      <w:r>
        <w:t>it</w:t>
      </w:r>
      <w:r>
        <w:rPr>
          <w:spacing w:val="48"/>
          <w:w w:val="150"/>
        </w:rPr>
        <w:t xml:space="preserve"> </w:t>
      </w:r>
      <w:r>
        <w:rPr>
          <w:spacing w:val="-2"/>
        </w:rPr>
        <w:t>isn’t</w:t>
      </w:r>
    </w:p>
    <w:p w14:paraId="7E001077" w14:textId="77777777" w:rsidR="009A58DB" w:rsidRDefault="00000000">
      <w:pPr>
        <w:pStyle w:val="BodyText"/>
        <w:spacing w:before="75" w:line="249" w:lineRule="auto"/>
        <w:ind w:right="369"/>
      </w:pPr>
      <w:r>
        <w:t>formally true is that it has the same form as the false sentence: ‹given such and such semantic rules, it follows that “grass is green” is formally true. ›</w:t>
      </w:r>
    </w:p>
    <w:p w14:paraId="7E001078" w14:textId="77777777" w:rsidR="009A58DB" w:rsidRDefault="00000000">
      <w:pPr>
        <w:pStyle w:val="BodyText"/>
        <w:spacing w:before="3" w:line="249" w:lineRule="auto"/>
        <w:ind w:right="361" w:firstLine="360"/>
      </w:pPr>
      <w:r>
        <w:t>Thus no matter how many truths one formalizes, the justifications for</w:t>
      </w:r>
      <w:r>
        <w:rPr>
          <w:spacing w:val="40"/>
        </w:rPr>
        <w:t xml:space="preserve"> </w:t>
      </w:r>
      <w:r>
        <w:t>those</w:t>
      </w:r>
      <w:r>
        <w:rPr>
          <w:spacing w:val="-4"/>
        </w:rPr>
        <w:t xml:space="preserve"> </w:t>
      </w:r>
      <w:r>
        <w:t>formalizations</w:t>
      </w:r>
      <w:r>
        <w:rPr>
          <w:spacing w:val="-4"/>
        </w:rPr>
        <w:t xml:space="preserve"> </w:t>
      </w:r>
      <w:r>
        <w:t>will</w:t>
      </w:r>
      <w:r>
        <w:rPr>
          <w:spacing w:val="-4"/>
        </w:rPr>
        <w:t xml:space="preserve"> </w:t>
      </w:r>
      <w:r>
        <w:t>always</w:t>
      </w:r>
      <w:r>
        <w:rPr>
          <w:spacing w:val="-4"/>
        </w:rPr>
        <w:t xml:space="preserve"> </w:t>
      </w:r>
      <w:r>
        <w:t>be</w:t>
      </w:r>
      <w:r>
        <w:rPr>
          <w:spacing w:val="-4"/>
        </w:rPr>
        <w:t xml:space="preserve"> </w:t>
      </w:r>
      <w:r>
        <w:t>given</w:t>
      </w:r>
      <w:r>
        <w:rPr>
          <w:spacing w:val="-3"/>
        </w:rPr>
        <w:t xml:space="preserve"> </w:t>
      </w:r>
      <w:r>
        <w:t>by</w:t>
      </w:r>
      <w:r>
        <w:rPr>
          <w:spacing w:val="-3"/>
        </w:rPr>
        <w:t xml:space="preserve"> </w:t>
      </w:r>
      <w:r>
        <w:t>informal</w:t>
      </w:r>
      <w:r>
        <w:rPr>
          <w:spacing w:val="-4"/>
        </w:rPr>
        <w:t xml:space="preserve"> </w:t>
      </w:r>
      <w:r>
        <w:t>truths.</w:t>
      </w:r>
      <w:r>
        <w:rPr>
          <w:spacing w:val="-3"/>
        </w:rPr>
        <w:t xml:space="preserve"> </w:t>
      </w:r>
      <w:r>
        <w:t>This</w:t>
      </w:r>
      <w:r>
        <w:rPr>
          <w:spacing w:val="-4"/>
        </w:rPr>
        <w:t xml:space="preserve"> </w:t>
      </w:r>
      <w:r>
        <w:t>means</w:t>
      </w:r>
      <w:r>
        <w:rPr>
          <w:spacing w:val="-4"/>
        </w:rPr>
        <w:t xml:space="preserve"> </w:t>
      </w:r>
      <w:r>
        <w:t>that, given any viable method M of formalizing some body of informal analytic truths, there is no complete formalization of the truths that establish the viability of M.</w:t>
      </w:r>
    </w:p>
    <w:p w14:paraId="7E001079" w14:textId="77777777" w:rsidR="009A58DB" w:rsidRDefault="00000000">
      <w:pPr>
        <w:pStyle w:val="Heading1"/>
        <w:numPr>
          <w:ilvl w:val="1"/>
          <w:numId w:val="160"/>
        </w:numPr>
        <w:tabs>
          <w:tab w:val="left" w:pos="990"/>
        </w:tabs>
        <w:spacing w:before="194"/>
      </w:pPr>
      <w:r>
        <w:t>The</w:t>
      </w:r>
      <w:r>
        <w:rPr>
          <w:spacing w:val="-3"/>
        </w:rPr>
        <w:t xml:space="preserve"> </w:t>
      </w:r>
      <w:r>
        <w:t>concept</w:t>
      </w:r>
      <w:r>
        <w:rPr>
          <w:spacing w:val="-3"/>
        </w:rPr>
        <w:t xml:space="preserve"> </w:t>
      </w:r>
      <w:r>
        <w:t>of</w:t>
      </w:r>
      <w:r>
        <w:rPr>
          <w:spacing w:val="-3"/>
        </w:rPr>
        <w:t xml:space="preserve"> </w:t>
      </w:r>
      <w:r>
        <w:t>a</w:t>
      </w:r>
      <w:r>
        <w:rPr>
          <w:spacing w:val="-2"/>
        </w:rPr>
        <w:t xml:space="preserve"> </w:t>
      </w:r>
      <w:r>
        <w:t>formal</w:t>
      </w:r>
      <w:r>
        <w:rPr>
          <w:spacing w:val="-3"/>
        </w:rPr>
        <w:t xml:space="preserve"> </w:t>
      </w:r>
      <w:r>
        <w:rPr>
          <w:spacing w:val="-2"/>
        </w:rPr>
        <w:t>procedure</w:t>
      </w:r>
    </w:p>
    <w:p w14:paraId="7E00107A" w14:textId="77777777" w:rsidR="009A58DB" w:rsidRDefault="00000000">
      <w:pPr>
        <w:pStyle w:val="BodyText"/>
        <w:spacing w:before="139" w:line="249" w:lineRule="auto"/>
        <w:ind w:right="364"/>
      </w:pPr>
      <w:r>
        <w:t>In the last section, we often used words like “formal” and “formalize.” And</w:t>
      </w:r>
      <w:r>
        <w:rPr>
          <w:spacing w:val="40"/>
        </w:rPr>
        <w:t xml:space="preserve"> </w:t>
      </w:r>
      <w:r>
        <w:t>in what follows, we’ll often use the term “formal procedure.” We’ll also use the related term “decision-procedure.” So let us make it clear what these terms mean.</w:t>
      </w:r>
    </w:p>
    <w:p w14:paraId="7E00107B" w14:textId="77777777" w:rsidR="009A58DB" w:rsidRDefault="00000000">
      <w:pPr>
        <w:pStyle w:val="BodyText"/>
        <w:spacing w:before="5" w:line="249" w:lineRule="auto"/>
        <w:ind w:right="362" w:firstLine="360"/>
      </w:pPr>
      <w:r>
        <w:t xml:space="preserve">Consider the statement: “2 + 2 = 4.” You know that it’s true. But </w:t>
      </w:r>
      <w:r>
        <w:rPr>
          <w:i/>
        </w:rPr>
        <w:t xml:space="preserve">how </w:t>
      </w:r>
      <w:r>
        <w:t xml:space="preserve">do you know this? You know what it </w:t>
      </w:r>
      <w:r>
        <w:rPr>
          <w:i/>
        </w:rPr>
        <w:t xml:space="preserve">means; </w:t>
      </w:r>
      <w:r>
        <w:t>and you know that, given what it means, it must be true. Your judgment was based, not on the form, but on the content, of that sentence.</w:t>
      </w:r>
      <w:bookmarkStart w:id="228" w:name="_bookmark228"/>
      <w:bookmarkEnd w:id="228"/>
      <w:r>
        <w:rPr>
          <w:color w:val="0562C1"/>
          <w:position w:val="21"/>
          <w:u w:val="single" w:color="0562C1"/>
        </w:rPr>
        <w:t>[136]</w:t>
      </w:r>
      <w:r>
        <w:rPr>
          <w:color w:val="0562C1"/>
          <w:position w:val="21"/>
        </w:rPr>
        <w:t xml:space="preserve"> </w:t>
      </w:r>
      <w:r>
        <w:t xml:space="preserve">Your </w:t>
      </w:r>
      <w:r>
        <w:rPr>
          <w:b/>
          <w:i/>
        </w:rPr>
        <w:t xml:space="preserve">decision-procedure </w:t>
      </w:r>
      <w:r>
        <w:t>(your way of determining whether “2 + 2 = 4” is true or not) wasn’t formal.</w:t>
      </w:r>
    </w:p>
    <w:p w14:paraId="7E00107C" w14:textId="77777777" w:rsidR="009A58DB" w:rsidRDefault="00000000">
      <w:pPr>
        <w:pStyle w:val="BodyText"/>
        <w:spacing w:before="6" w:line="249" w:lineRule="auto"/>
        <w:ind w:right="361" w:firstLine="360"/>
      </w:pPr>
      <w:r>
        <w:t xml:space="preserve">Your decision </w:t>
      </w:r>
      <w:r>
        <w:rPr>
          <w:i/>
        </w:rPr>
        <w:t xml:space="preserve">would </w:t>
      </w:r>
      <w:r>
        <w:t xml:space="preserve">have been a formal one </w:t>
      </w:r>
      <w:r>
        <w:rPr>
          <w:i/>
        </w:rPr>
        <w:t xml:space="preserve">if </w:t>
      </w:r>
      <w:r>
        <w:t>it had been based entirely on rules that had nothing to do with the meanings of symbols. A story will clarify this statement. Although you are intelligent and literate (in your native language),</w:t>
      </w:r>
      <w:r>
        <w:rPr>
          <w:spacing w:val="19"/>
        </w:rPr>
        <w:t xml:space="preserve"> </w:t>
      </w:r>
      <w:r>
        <w:t>you</w:t>
      </w:r>
      <w:r>
        <w:rPr>
          <w:spacing w:val="19"/>
        </w:rPr>
        <w:t xml:space="preserve"> </w:t>
      </w:r>
      <w:r>
        <w:t>don’t</w:t>
      </w:r>
      <w:r>
        <w:rPr>
          <w:spacing w:val="19"/>
        </w:rPr>
        <w:t xml:space="preserve"> </w:t>
      </w:r>
      <w:r>
        <w:t>speak</w:t>
      </w:r>
      <w:r>
        <w:rPr>
          <w:spacing w:val="20"/>
        </w:rPr>
        <w:t xml:space="preserve"> </w:t>
      </w:r>
      <w:r>
        <w:t>English</w:t>
      </w:r>
      <w:r>
        <w:rPr>
          <w:spacing w:val="19"/>
        </w:rPr>
        <w:t xml:space="preserve"> </w:t>
      </w:r>
      <w:r>
        <w:t>and</w:t>
      </w:r>
      <w:r>
        <w:rPr>
          <w:spacing w:val="19"/>
        </w:rPr>
        <w:t xml:space="preserve"> </w:t>
      </w:r>
      <w:r>
        <w:t>you</w:t>
      </w:r>
      <w:r>
        <w:rPr>
          <w:spacing w:val="19"/>
        </w:rPr>
        <w:t xml:space="preserve"> </w:t>
      </w:r>
      <w:r>
        <w:t>don’t</w:t>
      </w:r>
      <w:r>
        <w:rPr>
          <w:spacing w:val="20"/>
        </w:rPr>
        <w:t xml:space="preserve"> </w:t>
      </w:r>
      <w:r>
        <w:t>know</w:t>
      </w:r>
      <w:r>
        <w:rPr>
          <w:spacing w:val="19"/>
        </w:rPr>
        <w:t xml:space="preserve"> </w:t>
      </w:r>
      <w:r>
        <w:t>what</w:t>
      </w:r>
      <w:r>
        <w:rPr>
          <w:spacing w:val="19"/>
        </w:rPr>
        <w:t xml:space="preserve"> </w:t>
      </w:r>
      <w:r>
        <w:t>“1”,</w:t>
      </w:r>
      <w:r>
        <w:rPr>
          <w:spacing w:val="19"/>
        </w:rPr>
        <w:t xml:space="preserve"> </w:t>
      </w:r>
      <w:r>
        <w:t>“2”,</w:t>
      </w:r>
      <w:r>
        <w:rPr>
          <w:spacing w:val="20"/>
        </w:rPr>
        <w:t xml:space="preserve"> </w:t>
      </w:r>
      <w:r>
        <w:rPr>
          <w:spacing w:val="-4"/>
        </w:rPr>
        <w:t>“+”,</w:t>
      </w:r>
    </w:p>
    <w:p w14:paraId="7E00107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7E" w14:textId="77777777" w:rsidR="009A58DB" w:rsidRDefault="00000000">
      <w:pPr>
        <w:pStyle w:val="BodyText"/>
        <w:spacing w:before="60" w:line="249" w:lineRule="auto"/>
        <w:ind w:right="357"/>
      </w:pPr>
      <w:r>
        <w:lastRenderedPageBreak/>
        <w:t>etc. mean. (You are a good mathematician; but in your native country, different symbolic conventions are used to express mathematical statements.) You are on a military mission. This mission involves your being able, within certain very narrow limits, to distinguish between false arithmetical statements and true ones. Your commanding officer tells you that an inscription whose initial segment is “2 + 2 =” is true if it ends with a “4” and flase if it ends with a “5.” You have no idea what “2 + 2 = 4” means. (You’re not supposed to know.) You come across inscriptions of</w:t>
      </w:r>
    </w:p>
    <w:p w14:paraId="7E00107F" w14:textId="77777777" w:rsidR="009A58DB" w:rsidRDefault="00000000">
      <w:pPr>
        <w:pStyle w:val="BodyText"/>
        <w:spacing w:before="10" w:line="249" w:lineRule="auto"/>
        <w:ind w:right="358"/>
      </w:pPr>
      <w:r>
        <w:t>“2 + 2 = 4” and “2 + 2 = 5”; and, on the basis only of your commanding officer’s</w:t>
      </w:r>
      <w:r>
        <w:rPr>
          <w:spacing w:val="-3"/>
        </w:rPr>
        <w:t xml:space="preserve"> </w:t>
      </w:r>
      <w:r>
        <w:t>instructions,</w:t>
      </w:r>
      <w:r>
        <w:rPr>
          <w:spacing w:val="-2"/>
        </w:rPr>
        <w:t xml:space="preserve"> </w:t>
      </w:r>
      <w:r>
        <w:t>you</w:t>
      </w:r>
      <w:r>
        <w:rPr>
          <w:spacing w:val="-3"/>
        </w:rPr>
        <w:t xml:space="preserve"> </w:t>
      </w:r>
      <w:r>
        <w:t>judge</w:t>
      </w:r>
      <w:r>
        <w:rPr>
          <w:spacing w:val="-2"/>
        </w:rPr>
        <w:t xml:space="preserve"> </w:t>
      </w:r>
      <w:r>
        <w:t>that</w:t>
      </w:r>
      <w:r>
        <w:rPr>
          <w:spacing w:val="-3"/>
        </w:rPr>
        <w:t xml:space="preserve"> </w:t>
      </w:r>
      <w:r>
        <w:t>the</w:t>
      </w:r>
      <w:r>
        <w:rPr>
          <w:spacing w:val="-2"/>
        </w:rPr>
        <w:t xml:space="preserve"> </w:t>
      </w:r>
      <w:r>
        <w:t>first</w:t>
      </w:r>
      <w:r>
        <w:rPr>
          <w:spacing w:val="-2"/>
        </w:rPr>
        <w:t xml:space="preserve"> </w:t>
      </w:r>
      <w:r>
        <w:t>is</w:t>
      </w:r>
      <w:r>
        <w:rPr>
          <w:spacing w:val="-3"/>
        </w:rPr>
        <w:t xml:space="preserve"> </w:t>
      </w:r>
      <w:r>
        <w:t>true</w:t>
      </w:r>
      <w:r>
        <w:rPr>
          <w:spacing w:val="-2"/>
        </w:rPr>
        <w:t xml:space="preserve"> </w:t>
      </w:r>
      <w:r>
        <w:t>and</w:t>
      </w:r>
      <w:r>
        <w:rPr>
          <w:spacing w:val="-3"/>
        </w:rPr>
        <w:t xml:space="preserve"> </w:t>
      </w:r>
      <w:r>
        <w:t>the</w:t>
      </w:r>
      <w:r>
        <w:rPr>
          <w:spacing w:val="-2"/>
        </w:rPr>
        <w:t xml:space="preserve"> </w:t>
      </w:r>
      <w:r>
        <w:t>second</w:t>
      </w:r>
      <w:r>
        <w:rPr>
          <w:spacing w:val="-3"/>
        </w:rPr>
        <w:t xml:space="preserve"> </w:t>
      </w:r>
      <w:r>
        <w:t>is</w:t>
      </w:r>
      <w:r>
        <w:rPr>
          <w:spacing w:val="-2"/>
        </w:rPr>
        <w:t xml:space="preserve"> </w:t>
      </w:r>
      <w:r>
        <w:t>false.</w:t>
      </w:r>
      <w:r>
        <w:rPr>
          <w:spacing w:val="-2"/>
        </w:rPr>
        <w:t xml:space="preserve"> </w:t>
      </w:r>
      <w:r>
        <w:t xml:space="preserve">In </w:t>
      </w:r>
      <w:r>
        <w:rPr>
          <w:i/>
        </w:rPr>
        <w:t xml:space="preserve">this </w:t>
      </w:r>
      <w:r>
        <w:t>context, your decision-procedure was a formal one.</w:t>
      </w:r>
    </w:p>
    <w:p w14:paraId="7E001080" w14:textId="77777777" w:rsidR="009A58DB" w:rsidRDefault="00000000">
      <w:pPr>
        <w:pStyle w:val="BodyText"/>
        <w:spacing w:before="8" w:line="249" w:lineRule="auto"/>
        <w:ind w:right="359" w:firstLine="360"/>
      </w:pPr>
      <w:r>
        <w:t xml:space="preserve">This decision-procedure had minimal scope. Obviously mathematicians want to find decision-procedures that deal with large classes of statements. In order for there to be any decision-procedure for a sizeable class of arithmetical truths, those truths </w:t>
      </w:r>
      <w:r>
        <w:rPr>
          <w:i/>
        </w:rPr>
        <w:t xml:space="preserve">cannot </w:t>
      </w:r>
      <w:r>
        <w:t xml:space="preserve">be expressed in the customary way. Supposing the standard symbolic conventions to be in place, the truths of arithmetic </w:t>
      </w:r>
      <w:r>
        <w:rPr>
          <w:i/>
        </w:rPr>
        <w:t xml:space="preserve">cannot </w:t>
      </w:r>
      <w:r>
        <w:t>be expressed using symbols like “2”, “+”, etc. The reason</w:t>
      </w:r>
      <w:r>
        <w:rPr>
          <w:spacing w:val="40"/>
        </w:rPr>
        <w:t xml:space="preserve"> </w:t>
      </w:r>
      <w:r>
        <w:t>is that, when arithmetical propositions are expressed in that way, there is no non-semantic method whereby true arithmetical sentences can be distinguished from false ones. Thus, in order for there to be a decision-procedure for arithmetic, sentences such as “2+2=4” must be rephrased (or “paraphrased,” as we’ll say). Logicists attempted to provide the requisite paraphrases. And, thanks to their paraphrases, it was possible to identify formal-decision procedures for huge classes of arithmetical truths.</w:t>
      </w:r>
    </w:p>
    <w:p w14:paraId="7E001081" w14:textId="77777777" w:rsidR="009A58DB" w:rsidRDefault="00000000">
      <w:pPr>
        <w:pStyle w:val="BodyText"/>
        <w:spacing w:before="16" w:line="249" w:lineRule="auto"/>
        <w:ind w:right="360" w:firstLine="360"/>
      </w:pPr>
      <w:r>
        <w:t xml:space="preserve">Kurt Gödel (1906–1978) showed that there is no way of paraphrasing or otherwise representing arithmetical truths that permits the construction of some one formal decision-procedure that decides the truth of </w:t>
      </w:r>
      <w:r>
        <w:rPr>
          <w:i/>
        </w:rPr>
        <w:t xml:space="preserve">any </w:t>
      </w:r>
      <w:r>
        <w:t xml:space="preserve">given arithmetical truth. He showed that logicism was doomed and also that </w:t>
      </w:r>
      <w:r>
        <w:rPr>
          <w:i/>
        </w:rPr>
        <w:t xml:space="preserve">any other </w:t>
      </w:r>
      <w:r>
        <w:t>attempt to formalize arithmetic was doomed. Let us now discuss his achievement in a little (operative word “little”) more detail.</w:t>
      </w:r>
    </w:p>
    <w:p w14:paraId="7E001082" w14:textId="77777777" w:rsidR="009A58DB" w:rsidRDefault="00000000">
      <w:pPr>
        <w:pStyle w:val="Heading1"/>
        <w:numPr>
          <w:ilvl w:val="1"/>
          <w:numId w:val="160"/>
        </w:numPr>
        <w:tabs>
          <w:tab w:val="left" w:pos="990"/>
        </w:tabs>
        <w:spacing w:before="196"/>
        <w:jc w:val="both"/>
      </w:pPr>
      <w:r>
        <w:t>Incompleteness</w:t>
      </w:r>
      <w:r>
        <w:rPr>
          <w:spacing w:val="-13"/>
        </w:rPr>
        <w:t xml:space="preserve"> </w:t>
      </w:r>
      <w:r>
        <w:rPr>
          <w:spacing w:val="-2"/>
        </w:rPr>
        <w:t>(continued)</w:t>
      </w:r>
    </w:p>
    <w:p w14:paraId="7E001083" w14:textId="77777777" w:rsidR="009A58DB" w:rsidRDefault="00000000">
      <w:pPr>
        <w:pStyle w:val="BodyText"/>
        <w:spacing w:before="139" w:line="249" w:lineRule="auto"/>
        <w:ind w:right="366"/>
      </w:pPr>
      <w:r>
        <w:t>Gödel mathematically proved that there is no one formal decision-procedure such that, given any arithmetical statement, that procedure correctly says whether</w:t>
      </w:r>
      <w:r>
        <w:rPr>
          <w:spacing w:val="-4"/>
        </w:rPr>
        <w:t xml:space="preserve"> </w:t>
      </w:r>
      <w:r>
        <w:t>or</w:t>
      </w:r>
      <w:r>
        <w:rPr>
          <w:spacing w:val="-4"/>
        </w:rPr>
        <w:t xml:space="preserve"> </w:t>
      </w:r>
      <w:r>
        <w:t>not</w:t>
      </w:r>
      <w:r>
        <w:rPr>
          <w:spacing w:val="-4"/>
        </w:rPr>
        <w:t xml:space="preserve"> </w:t>
      </w:r>
      <w:r>
        <w:t>that</w:t>
      </w:r>
      <w:r>
        <w:rPr>
          <w:spacing w:val="-4"/>
        </w:rPr>
        <w:t xml:space="preserve"> </w:t>
      </w:r>
      <w:r>
        <w:t>statement</w:t>
      </w:r>
      <w:r>
        <w:rPr>
          <w:spacing w:val="-4"/>
        </w:rPr>
        <w:t xml:space="preserve"> </w:t>
      </w:r>
      <w:r>
        <w:t>is</w:t>
      </w:r>
      <w:r>
        <w:rPr>
          <w:spacing w:val="-4"/>
        </w:rPr>
        <w:t xml:space="preserve"> </w:t>
      </w:r>
      <w:r>
        <w:t>correct.</w:t>
      </w:r>
      <w:bookmarkStart w:id="229" w:name="_bookmark229"/>
      <w:bookmarkEnd w:id="229"/>
      <w:r>
        <w:rPr>
          <w:color w:val="0562C1"/>
          <w:position w:val="21"/>
          <w:u w:val="single" w:color="0562C1"/>
        </w:rPr>
        <w:t>[137]</w:t>
      </w:r>
      <w:r>
        <w:rPr>
          <w:color w:val="0562C1"/>
          <w:spacing w:val="-4"/>
          <w:position w:val="21"/>
        </w:rPr>
        <w:t xml:space="preserve"> </w:t>
      </w:r>
      <w:r>
        <w:t>His</w:t>
      </w:r>
      <w:r>
        <w:rPr>
          <w:spacing w:val="-4"/>
        </w:rPr>
        <w:t xml:space="preserve"> </w:t>
      </w:r>
      <w:r>
        <w:t>proof</w:t>
      </w:r>
      <w:r>
        <w:rPr>
          <w:spacing w:val="-4"/>
        </w:rPr>
        <w:t xml:space="preserve"> </w:t>
      </w:r>
      <w:r>
        <w:t>is</w:t>
      </w:r>
      <w:r>
        <w:rPr>
          <w:spacing w:val="-4"/>
        </w:rPr>
        <w:t xml:space="preserve"> </w:t>
      </w:r>
      <w:r>
        <w:t>extremely</w:t>
      </w:r>
      <w:r>
        <w:rPr>
          <w:spacing w:val="-3"/>
        </w:rPr>
        <w:t xml:space="preserve"> </w:t>
      </w:r>
      <w:r>
        <w:t>complex.</w:t>
      </w:r>
    </w:p>
    <w:p w14:paraId="7E00108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85" w14:textId="77777777" w:rsidR="009A58DB" w:rsidRDefault="00000000">
      <w:pPr>
        <w:pStyle w:val="BodyText"/>
        <w:spacing w:before="60" w:line="249" w:lineRule="auto"/>
        <w:ind w:right="359"/>
      </w:pPr>
      <w:r>
        <w:lastRenderedPageBreak/>
        <w:t>But here is a way of stating the main idea that, although both inaccurate and incomplete, will at least initiate an interest on the part of the reader in the fascinating discipline of mathematical logic.</w:t>
      </w:r>
    </w:p>
    <w:p w14:paraId="7E001086" w14:textId="77777777" w:rsidR="009A58DB" w:rsidRDefault="00000000">
      <w:pPr>
        <w:pStyle w:val="BodyText"/>
        <w:spacing w:before="8" w:line="249" w:lineRule="auto"/>
        <w:ind w:right="366" w:firstLine="360"/>
      </w:pPr>
      <w:r>
        <w:rPr>
          <w:spacing w:val="-2"/>
        </w:rPr>
        <w:t>First</w:t>
      </w:r>
      <w:r>
        <w:rPr>
          <w:spacing w:val="-17"/>
        </w:rPr>
        <w:t xml:space="preserve"> </w:t>
      </w:r>
      <w:r>
        <w:rPr>
          <w:spacing w:val="-2"/>
        </w:rPr>
        <w:t>a</w:t>
      </w:r>
      <w:r>
        <w:rPr>
          <w:spacing w:val="-17"/>
        </w:rPr>
        <w:t xml:space="preserve"> </w:t>
      </w:r>
      <w:r>
        <w:rPr>
          <w:spacing w:val="-2"/>
        </w:rPr>
        <w:t>definition:</w:t>
      </w:r>
      <w:r>
        <w:rPr>
          <w:spacing w:val="-17"/>
        </w:rPr>
        <w:t xml:space="preserve"> </w:t>
      </w:r>
      <w:r>
        <w:rPr>
          <w:spacing w:val="-2"/>
        </w:rPr>
        <w:t>An</w:t>
      </w:r>
      <w:r>
        <w:rPr>
          <w:spacing w:val="-16"/>
        </w:rPr>
        <w:t xml:space="preserve"> </w:t>
      </w:r>
      <w:r>
        <w:rPr>
          <w:spacing w:val="-2"/>
        </w:rPr>
        <w:t>“arithmetical”</w:t>
      </w:r>
      <w:r>
        <w:rPr>
          <w:spacing w:val="-17"/>
        </w:rPr>
        <w:t xml:space="preserve"> </w:t>
      </w:r>
      <w:r>
        <w:rPr>
          <w:spacing w:val="-2"/>
        </w:rPr>
        <w:t>predicate</w:t>
      </w:r>
      <w:r>
        <w:rPr>
          <w:spacing w:val="-17"/>
        </w:rPr>
        <w:t xml:space="preserve"> </w:t>
      </w:r>
      <w:r>
        <w:rPr>
          <w:spacing w:val="-2"/>
        </w:rPr>
        <w:t>is</w:t>
      </w:r>
      <w:r>
        <w:rPr>
          <w:spacing w:val="-17"/>
        </w:rPr>
        <w:t xml:space="preserve"> </w:t>
      </w:r>
      <w:r>
        <w:rPr>
          <w:spacing w:val="-2"/>
        </w:rPr>
        <w:t>one</w:t>
      </w:r>
      <w:r>
        <w:rPr>
          <w:spacing w:val="-16"/>
        </w:rPr>
        <w:t xml:space="preserve"> </w:t>
      </w:r>
      <w:r>
        <w:rPr>
          <w:spacing w:val="-2"/>
        </w:rPr>
        <w:t>that</w:t>
      </w:r>
      <w:r>
        <w:rPr>
          <w:spacing w:val="-17"/>
        </w:rPr>
        <w:t xml:space="preserve"> </w:t>
      </w:r>
      <w:r>
        <w:rPr>
          <w:spacing w:val="-2"/>
        </w:rPr>
        <w:t>expresses</w:t>
      </w:r>
      <w:r>
        <w:rPr>
          <w:spacing w:val="-17"/>
        </w:rPr>
        <w:t xml:space="preserve"> </w:t>
      </w:r>
      <w:r>
        <w:rPr>
          <w:spacing w:val="-2"/>
        </w:rPr>
        <w:t>a</w:t>
      </w:r>
      <w:r>
        <w:rPr>
          <w:spacing w:val="-17"/>
        </w:rPr>
        <w:t xml:space="preserve"> </w:t>
      </w:r>
      <w:r>
        <w:rPr>
          <w:spacing w:val="-2"/>
        </w:rPr>
        <w:t xml:space="preserve">property </w:t>
      </w:r>
      <w:r>
        <w:t xml:space="preserve">of whole numbers, or a relation holding among whole numbers, that can be </w:t>
      </w:r>
      <w:r>
        <w:rPr>
          <w:spacing w:val="-4"/>
        </w:rPr>
        <w:t>understood</w:t>
      </w:r>
      <w:r>
        <w:rPr>
          <w:spacing w:val="-15"/>
        </w:rPr>
        <w:t xml:space="preserve"> </w:t>
      </w:r>
      <w:r>
        <w:rPr>
          <w:spacing w:val="-4"/>
        </w:rPr>
        <w:t>entirely</w:t>
      </w:r>
      <w:r>
        <w:rPr>
          <w:spacing w:val="-15"/>
        </w:rPr>
        <w:t xml:space="preserve"> </w:t>
      </w:r>
      <w:r>
        <w:rPr>
          <w:spacing w:val="-4"/>
        </w:rPr>
        <w:t>in</w:t>
      </w:r>
      <w:r>
        <w:rPr>
          <w:spacing w:val="-15"/>
        </w:rPr>
        <w:t xml:space="preserve"> </w:t>
      </w:r>
      <w:r>
        <w:rPr>
          <w:spacing w:val="-4"/>
        </w:rPr>
        <w:t>terms</w:t>
      </w:r>
      <w:r>
        <w:rPr>
          <w:spacing w:val="-14"/>
        </w:rPr>
        <w:t xml:space="preserve"> </w:t>
      </w:r>
      <w:r>
        <w:rPr>
          <w:spacing w:val="-4"/>
        </w:rPr>
        <w:t>of</w:t>
      </w:r>
      <w:r>
        <w:rPr>
          <w:spacing w:val="-15"/>
        </w:rPr>
        <w:t xml:space="preserve"> </w:t>
      </w:r>
      <w:r>
        <w:rPr>
          <w:spacing w:val="-4"/>
        </w:rPr>
        <w:t>(i)</w:t>
      </w:r>
      <w:r>
        <w:rPr>
          <w:spacing w:val="-15"/>
        </w:rPr>
        <w:t xml:space="preserve"> </w:t>
      </w:r>
      <w:r>
        <w:rPr>
          <w:spacing w:val="-4"/>
        </w:rPr>
        <w:t>the</w:t>
      </w:r>
      <w:r>
        <w:rPr>
          <w:spacing w:val="-15"/>
        </w:rPr>
        <w:t xml:space="preserve"> </w:t>
      </w:r>
      <w:r>
        <w:rPr>
          <w:spacing w:val="-4"/>
        </w:rPr>
        <w:t>concepts</w:t>
      </w:r>
      <w:r>
        <w:rPr>
          <w:spacing w:val="-14"/>
        </w:rPr>
        <w:t xml:space="preserve"> </w:t>
      </w:r>
      <w:r>
        <w:rPr>
          <w:spacing w:val="-4"/>
        </w:rPr>
        <w:t>of</w:t>
      </w:r>
      <w:r>
        <w:rPr>
          <w:spacing w:val="-15"/>
        </w:rPr>
        <w:t xml:space="preserve"> </w:t>
      </w:r>
      <w:r>
        <w:rPr>
          <w:spacing w:val="-4"/>
        </w:rPr>
        <w:t>addition</w:t>
      </w:r>
      <w:r>
        <w:rPr>
          <w:spacing w:val="-15"/>
        </w:rPr>
        <w:t xml:space="preserve"> </w:t>
      </w:r>
      <w:r>
        <w:rPr>
          <w:spacing w:val="-4"/>
        </w:rPr>
        <w:t>and</w:t>
      </w:r>
      <w:r>
        <w:rPr>
          <w:spacing w:val="-15"/>
        </w:rPr>
        <w:t xml:space="preserve"> </w:t>
      </w:r>
      <w:r>
        <w:rPr>
          <w:spacing w:val="-4"/>
        </w:rPr>
        <w:t>multiplication;</w:t>
      </w:r>
      <w:r>
        <w:rPr>
          <w:spacing w:val="-14"/>
        </w:rPr>
        <w:t xml:space="preserve"> </w:t>
      </w:r>
      <w:r>
        <w:rPr>
          <w:spacing w:val="-4"/>
        </w:rPr>
        <w:t xml:space="preserve">(ii) </w:t>
      </w:r>
      <w:r>
        <w:t>the</w:t>
      </w:r>
      <w:r>
        <w:rPr>
          <w:spacing w:val="-16"/>
        </w:rPr>
        <w:t xml:space="preserve"> </w:t>
      </w:r>
      <w:r>
        <w:t>concepts</w:t>
      </w:r>
      <w:r>
        <w:rPr>
          <w:spacing w:val="-16"/>
        </w:rPr>
        <w:t xml:space="preserve"> </w:t>
      </w:r>
      <w:r>
        <w:t>expressed</w:t>
      </w:r>
      <w:r>
        <w:rPr>
          <w:spacing w:val="-16"/>
        </w:rPr>
        <w:t xml:space="preserve"> </w:t>
      </w:r>
      <w:r>
        <w:t>by</w:t>
      </w:r>
      <w:r>
        <w:rPr>
          <w:spacing w:val="-16"/>
        </w:rPr>
        <w:t xml:space="preserve"> </w:t>
      </w:r>
      <w:r>
        <w:t>the</w:t>
      </w:r>
      <w:r>
        <w:rPr>
          <w:spacing w:val="-16"/>
        </w:rPr>
        <w:t xml:space="preserve"> </w:t>
      </w:r>
      <w:r>
        <w:t>connectives</w:t>
      </w:r>
      <w:r>
        <w:rPr>
          <w:spacing w:val="-16"/>
        </w:rPr>
        <w:t xml:space="preserve"> </w:t>
      </w:r>
      <w:r>
        <w:t>“or”,</w:t>
      </w:r>
      <w:r>
        <w:rPr>
          <w:spacing w:val="-16"/>
        </w:rPr>
        <w:t xml:space="preserve"> </w:t>
      </w:r>
      <w:r>
        <w:t>“not”,</w:t>
      </w:r>
      <w:r>
        <w:rPr>
          <w:spacing w:val="-16"/>
        </w:rPr>
        <w:t xml:space="preserve"> </w:t>
      </w:r>
      <w:r>
        <w:t>“and”,</w:t>
      </w:r>
      <w:r>
        <w:rPr>
          <w:spacing w:val="-16"/>
        </w:rPr>
        <w:t xml:space="preserve"> </w:t>
      </w:r>
      <w:r>
        <w:t>“for</w:t>
      </w:r>
      <w:r>
        <w:rPr>
          <w:spacing w:val="-16"/>
        </w:rPr>
        <w:t xml:space="preserve"> </w:t>
      </w:r>
      <w:r>
        <w:t>any”</w:t>
      </w:r>
      <w:r>
        <w:rPr>
          <w:spacing w:val="-16"/>
        </w:rPr>
        <w:t xml:space="preserve"> </w:t>
      </w:r>
      <w:r>
        <w:t xml:space="preserve">(“all”), </w:t>
      </w:r>
      <w:r>
        <w:rPr>
          <w:spacing w:val="-4"/>
        </w:rPr>
        <w:t>and</w:t>
      </w:r>
      <w:r>
        <w:rPr>
          <w:spacing w:val="-15"/>
        </w:rPr>
        <w:t xml:space="preserve"> </w:t>
      </w:r>
      <w:r>
        <w:rPr>
          <w:spacing w:val="-4"/>
        </w:rPr>
        <w:t>“for</w:t>
      </w:r>
      <w:r>
        <w:rPr>
          <w:spacing w:val="-15"/>
        </w:rPr>
        <w:t xml:space="preserve"> </w:t>
      </w:r>
      <w:r>
        <w:rPr>
          <w:spacing w:val="-4"/>
        </w:rPr>
        <w:t>some”</w:t>
      </w:r>
      <w:r>
        <w:rPr>
          <w:spacing w:val="-14"/>
        </w:rPr>
        <w:t xml:space="preserve"> </w:t>
      </w:r>
      <w:r>
        <w:rPr>
          <w:spacing w:val="-4"/>
        </w:rPr>
        <w:t>(“there</w:t>
      </w:r>
      <w:r>
        <w:rPr>
          <w:spacing w:val="-15"/>
        </w:rPr>
        <w:t xml:space="preserve"> </w:t>
      </w:r>
      <w:r>
        <w:rPr>
          <w:spacing w:val="-4"/>
        </w:rPr>
        <w:t>exists”);</w:t>
      </w:r>
      <w:r>
        <w:rPr>
          <w:spacing w:val="-15"/>
        </w:rPr>
        <w:t xml:space="preserve"> </w:t>
      </w:r>
      <w:r>
        <w:rPr>
          <w:spacing w:val="-4"/>
        </w:rPr>
        <w:t>and</w:t>
      </w:r>
      <w:r>
        <w:rPr>
          <w:spacing w:val="-14"/>
        </w:rPr>
        <w:t xml:space="preserve"> </w:t>
      </w:r>
      <w:r>
        <w:rPr>
          <w:spacing w:val="-4"/>
        </w:rPr>
        <w:t>(iii)</w:t>
      </w:r>
      <w:r>
        <w:rPr>
          <w:spacing w:val="-15"/>
        </w:rPr>
        <w:t xml:space="preserve"> </w:t>
      </w:r>
      <w:r>
        <w:rPr>
          <w:spacing w:val="-4"/>
        </w:rPr>
        <w:t>the</w:t>
      </w:r>
      <w:r>
        <w:rPr>
          <w:spacing w:val="-15"/>
        </w:rPr>
        <w:t xml:space="preserve"> </w:t>
      </w:r>
      <w:r>
        <w:rPr>
          <w:spacing w:val="-4"/>
        </w:rPr>
        <w:t>numbers</w:t>
      </w:r>
      <w:r>
        <w:rPr>
          <w:spacing w:val="-14"/>
        </w:rPr>
        <w:t xml:space="preserve"> </w:t>
      </w:r>
      <w:r>
        <w:rPr>
          <w:spacing w:val="-4"/>
        </w:rPr>
        <w:t>zero,</w:t>
      </w:r>
      <w:r>
        <w:rPr>
          <w:spacing w:val="-15"/>
        </w:rPr>
        <w:t xml:space="preserve"> </w:t>
      </w:r>
      <w:r>
        <w:rPr>
          <w:spacing w:val="-4"/>
        </w:rPr>
        <w:t>one,</w:t>
      </w:r>
      <w:r>
        <w:rPr>
          <w:spacing w:val="-15"/>
        </w:rPr>
        <w:t xml:space="preserve"> </w:t>
      </w:r>
      <w:r>
        <w:rPr>
          <w:spacing w:val="-4"/>
        </w:rPr>
        <w:t>two,</w:t>
      </w:r>
      <w:r>
        <w:rPr>
          <w:spacing w:val="-14"/>
        </w:rPr>
        <w:t xml:space="preserve"> </w:t>
      </w:r>
      <w:r>
        <w:rPr>
          <w:spacing w:val="-4"/>
        </w:rPr>
        <w:t>etc.</w:t>
      </w:r>
      <w:r>
        <w:rPr>
          <w:spacing w:val="-15"/>
        </w:rPr>
        <w:t xml:space="preserve"> </w:t>
      </w:r>
      <w:r>
        <w:rPr>
          <w:spacing w:val="-4"/>
        </w:rPr>
        <w:t>(i.e.,</w:t>
      </w:r>
      <w:r>
        <w:rPr>
          <w:spacing w:val="-15"/>
        </w:rPr>
        <w:t xml:space="preserve"> </w:t>
      </w:r>
      <w:r>
        <w:rPr>
          <w:spacing w:val="-4"/>
        </w:rPr>
        <w:t xml:space="preserve">the </w:t>
      </w:r>
      <w:r>
        <w:t xml:space="preserve">members of the least inclusive set that contains zero and the successor of </w:t>
      </w:r>
      <w:r>
        <w:rPr>
          <w:spacing w:val="-2"/>
        </w:rPr>
        <w:t>anything</w:t>
      </w:r>
      <w:r>
        <w:rPr>
          <w:spacing w:val="-10"/>
        </w:rPr>
        <w:t xml:space="preserve"> </w:t>
      </w:r>
      <w:r>
        <w:rPr>
          <w:spacing w:val="-2"/>
        </w:rPr>
        <w:t>that</w:t>
      </w:r>
      <w:r>
        <w:rPr>
          <w:spacing w:val="-10"/>
        </w:rPr>
        <w:t xml:space="preserve"> </w:t>
      </w:r>
      <w:r>
        <w:rPr>
          <w:spacing w:val="-2"/>
        </w:rPr>
        <w:t>it</w:t>
      </w:r>
      <w:r>
        <w:rPr>
          <w:spacing w:val="-10"/>
        </w:rPr>
        <w:t xml:space="preserve"> </w:t>
      </w:r>
      <w:r>
        <w:rPr>
          <w:spacing w:val="-2"/>
        </w:rPr>
        <w:t>contains).</w:t>
      </w:r>
      <w:r>
        <w:rPr>
          <w:spacing w:val="-10"/>
        </w:rPr>
        <w:t xml:space="preserve"> </w:t>
      </w:r>
      <w:r>
        <w:rPr>
          <w:spacing w:val="-2"/>
        </w:rPr>
        <w:t>Examples</w:t>
      </w:r>
      <w:r>
        <w:rPr>
          <w:spacing w:val="-10"/>
        </w:rPr>
        <w:t xml:space="preserve"> </w:t>
      </w:r>
      <w:r>
        <w:rPr>
          <w:spacing w:val="-2"/>
        </w:rPr>
        <w:t>of</w:t>
      </w:r>
      <w:r>
        <w:rPr>
          <w:spacing w:val="-10"/>
        </w:rPr>
        <w:t xml:space="preserve"> </w:t>
      </w:r>
      <w:r>
        <w:rPr>
          <w:spacing w:val="-2"/>
        </w:rPr>
        <w:t>arithmetical</w:t>
      </w:r>
    </w:p>
    <w:p w14:paraId="7E001087" w14:textId="77777777" w:rsidR="009A58DB" w:rsidRDefault="00000000">
      <w:pPr>
        <w:pStyle w:val="BodyText"/>
        <w:spacing w:before="9" w:line="249" w:lineRule="auto"/>
        <w:ind w:right="360"/>
      </w:pPr>
      <w:r>
        <w:t>predicates</w:t>
      </w:r>
      <w:r>
        <w:rPr>
          <w:spacing w:val="-5"/>
        </w:rPr>
        <w:t xml:space="preserve"> </w:t>
      </w:r>
      <w:r>
        <w:t>are</w:t>
      </w:r>
      <w:r>
        <w:rPr>
          <w:spacing w:val="-5"/>
        </w:rPr>
        <w:t xml:space="preserve"> </w:t>
      </w:r>
      <w:r>
        <w:t xml:space="preserve">“is even”, “is less than five”, and “when added to seven yields twelve.” (To say that 3 is less than 5 is to say that </w:t>
      </w:r>
      <w:r>
        <w:rPr>
          <w:i/>
        </w:rPr>
        <w:t xml:space="preserve">there is </w:t>
      </w:r>
      <w:r>
        <w:t xml:space="preserve">some </w:t>
      </w:r>
      <w:r>
        <w:rPr>
          <w:i/>
        </w:rPr>
        <w:t>whole</w:t>
      </w:r>
      <w:r>
        <w:rPr>
          <w:i/>
          <w:spacing w:val="40"/>
        </w:rPr>
        <w:t xml:space="preserve"> </w:t>
      </w:r>
      <w:r>
        <w:rPr>
          <w:i/>
        </w:rPr>
        <w:t xml:space="preserve">number </w:t>
      </w:r>
      <w:r>
        <w:t xml:space="preserve">n such that, when n is </w:t>
      </w:r>
      <w:r>
        <w:rPr>
          <w:i/>
        </w:rPr>
        <w:t xml:space="preserve">added to </w:t>
      </w:r>
      <w:r>
        <w:t>3, the result is 5.)</w:t>
      </w:r>
    </w:p>
    <w:p w14:paraId="7E001088" w14:textId="77777777" w:rsidR="009A58DB" w:rsidRDefault="00000000">
      <w:pPr>
        <w:pStyle w:val="BodyText"/>
        <w:spacing w:before="4" w:line="249" w:lineRule="auto"/>
        <w:ind w:right="364" w:firstLine="360"/>
      </w:pPr>
      <w:r>
        <w:t>Given any arithmetical predicate P, there is a class of numbers C such that a whole number n belongs to C iff P(n) (read: “n has P”). Consider, for example, the predicate “is even.” There is obviously a class containing every number n such that ‹n is even› is true and containing no number m such that</w:t>
      </w:r>
    </w:p>
    <w:p w14:paraId="7E001089" w14:textId="77777777" w:rsidR="009A58DB" w:rsidRDefault="00000000">
      <w:pPr>
        <w:pStyle w:val="BodyText"/>
        <w:spacing w:before="5"/>
      </w:pPr>
      <w:r>
        <w:t>‹m</w:t>
      </w:r>
      <w:r>
        <w:rPr>
          <w:spacing w:val="-3"/>
        </w:rPr>
        <w:t xml:space="preserve"> </w:t>
      </w:r>
      <w:r>
        <w:t>is</w:t>
      </w:r>
      <w:r>
        <w:rPr>
          <w:spacing w:val="-2"/>
        </w:rPr>
        <w:t xml:space="preserve"> </w:t>
      </w:r>
      <w:r>
        <w:t>even›</w:t>
      </w:r>
      <w:r>
        <w:rPr>
          <w:spacing w:val="-2"/>
        </w:rPr>
        <w:t xml:space="preserve"> </w:t>
      </w:r>
      <w:r>
        <w:t>is</w:t>
      </w:r>
      <w:r>
        <w:rPr>
          <w:spacing w:val="-2"/>
        </w:rPr>
        <w:t xml:space="preserve"> false.</w:t>
      </w:r>
    </w:p>
    <w:p w14:paraId="7E00108A" w14:textId="77777777" w:rsidR="009A58DB" w:rsidRDefault="00000000">
      <w:pPr>
        <w:pStyle w:val="BodyText"/>
        <w:spacing w:before="15" w:line="249" w:lineRule="auto"/>
        <w:ind w:right="361" w:firstLine="360"/>
      </w:pPr>
      <w:r>
        <w:t>For argument’s sake, suppose there to be formal procedure FM such that, for any whole number n and any arithmetical predicate P, FM assigns a TRUE to the sentence P(n) if that sentence is true, and assigns a FALSE to if it’s false. (In this context, TRUE and FALSE may be thought of as physical stamps. When given an ink-deposit (or whatnot) that expresses an arithmetical</w:t>
      </w:r>
      <w:r>
        <w:rPr>
          <w:spacing w:val="-1"/>
        </w:rPr>
        <w:t xml:space="preserve"> </w:t>
      </w:r>
      <w:r>
        <w:t>proposition,</w:t>
      </w:r>
      <w:r>
        <w:rPr>
          <w:spacing w:val="-1"/>
        </w:rPr>
        <w:t xml:space="preserve"> </w:t>
      </w:r>
      <w:r>
        <w:t>FM stamps</w:t>
      </w:r>
      <w:r>
        <w:rPr>
          <w:spacing w:val="-1"/>
        </w:rPr>
        <w:t xml:space="preserve"> </w:t>
      </w:r>
      <w:r>
        <w:t>TRUE on</w:t>
      </w:r>
      <w:r>
        <w:rPr>
          <w:spacing w:val="-1"/>
        </w:rPr>
        <w:t xml:space="preserve"> </w:t>
      </w:r>
      <w:r>
        <w:t>that ink-deposit</w:t>
      </w:r>
      <w:r>
        <w:rPr>
          <w:spacing w:val="-1"/>
        </w:rPr>
        <w:t xml:space="preserve"> </w:t>
      </w:r>
      <w:r>
        <w:t>if it’s</w:t>
      </w:r>
      <w:r>
        <w:rPr>
          <w:spacing w:val="-1"/>
        </w:rPr>
        <w:t xml:space="preserve"> </w:t>
      </w:r>
      <w:r>
        <w:t>true and a FALSE on it if it’s false.) This is the same as assuming that:</w:t>
      </w:r>
    </w:p>
    <w:p w14:paraId="7E00108B" w14:textId="77777777" w:rsidR="009A58DB" w:rsidRDefault="009A58DB">
      <w:pPr>
        <w:pStyle w:val="BodyText"/>
        <w:spacing w:before="23"/>
        <w:ind w:left="0"/>
        <w:jc w:val="left"/>
      </w:pPr>
    </w:p>
    <w:p w14:paraId="7E00108C" w14:textId="77777777" w:rsidR="009A58DB" w:rsidRDefault="00000000">
      <w:pPr>
        <w:pStyle w:val="BodyText"/>
        <w:spacing w:line="249" w:lineRule="auto"/>
        <w:ind w:right="359"/>
        <w:jc w:val="left"/>
      </w:pPr>
      <w:r>
        <w:t>(1)</w:t>
      </w:r>
      <w:r>
        <w:rPr>
          <w:spacing w:val="76"/>
          <w:w w:val="150"/>
        </w:rPr>
        <w:t xml:space="preserve"> </w:t>
      </w:r>
      <w:r>
        <w:t>There</w:t>
      </w:r>
      <w:r>
        <w:rPr>
          <w:spacing w:val="76"/>
          <w:w w:val="150"/>
        </w:rPr>
        <w:t xml:space="preserve"> </w:t>
      </w:r>
      <w:r>
        <w:t>exists</w:t>
      </w:r>
      <w:r>
        <w:rPr>
          <w:spacing w:val="76"/>
          <w:w w:val="150"/>
        </w:rPr>
        <w:t xml:space="preserve"> </w:t>
      </w:r>
      <w:r>
        <w:t>a</w:t>
      </w:r>
      <w:r>
        <w:rPr>
          <w:spacing w:val="76"/>
          <w:w w:val="150"/>
        </w:rPr>
        <w:t xml:space="preserve"> </w:t>
      </w:r>
      <w:r>
        <w:t>formal</w:t>
      </w:r>
      <w:r>
        <w:rPr>
          <w:spacing w:val="76"/>
          <w:w w:val="150"/>
        </w:rPr>
        <w:t xml:space="preserve"> </w:t>
      </w:r>
      <w:r>
        <w:t>procedure</w:t>
      </w:r>
      <w:r>
        <w:rPr>
          <w:spacing w:val="76"/>
          <w:w w:val="150"/>
        </w:rPr>
        <w:t xml:space="preserve"> </w:t>
      </w:r>
      <w:r>
        <w:t>that</w:t>
      </w:r>
      <w:r>
        <w:rPr>
          <w:spacing w:val="76"/>
          <w:w w:val="150"/>
        </w:rPr>
        <w:t xml:space="preserve"> </w:t>
      </w:r>
      <w:r>
        <w:t>correctly</w:t>
      </w:r>
      <w:r>
        <w:rPr>
          <w:spacing w:val="76"/>
          <w:w w:val="150"/>
        </w:rPr>
        <w:t xml:space="preserve"> </w:t>
      </w:r>
      <w:r>
        <w:t>says</w:t>
      </w:r>
      <w:r>
        <w:rPr>
          <w:spacing w:val="76"/>
          <w:w w:val="150"/>
        </w:rPr>
        <w:t xml:space="preserve"> </w:t>
      </w:r>
      <w:r>
        <w:t>of</w:t>
      </w:r>
      <w:r>
        <w:rPr>
          <w:spacing w:val="76"/>
          <w:w w:val="150"/>
        </w:rPr>
        <w:t xml:space="preserve"> </w:t>
      </w:r>
      <w:r>
        <w:t>any</w:t>
      </w:r>
      <w:r>
        <w:rPr>
          <w:spacing w:val="76"/>
          <w:w w:val="150"/>
        </w:rPr>
        <w:t xml:space="preserve"> </w:t>
      </w:r>
      <w:r>
        <w:t>given arithmetical statement whether it is true or false.</w:t>
      </w:r>
    </w:p>
    <w:p w14:paraId="7E00108D" w14:textId="77777777" w:rsidR="009A58DB" w:rsidRDefault="009A58DB">
      <w:pPr>
        <w:pStyle w:val="BodyText"/>
        <w:spacing w:before="18"/>
        <w:ind w:left="0"/>
        <w:jc w:val="left"/>
      </w:pPr>
    </w:p>
    <w:p w14:paraId="7E00108E" w14:textId="77777777" w:rsidR="009A58DB" w:rsidRDefault="00000000">
      <w:pPr>
        <w:pStyle w:val="BodyText"/>
        <w:spacing w:line="249" w:lineRule="auto"/>
        <w:ind w:right="359" w:firstLine="360"/>
      </w:pPr>
      <w:r>
        <w:t>Any given arithmetical predicate contains a finite number of letters. There are only finitely many different letters. This means that it’s possible to produce</w:t>
      </w:r>
      <w:r>
        <w:rPr>
          <w:spacing w:val="-4"/>
        </w:rPr>
        <w:t xml:space="preserve"> </w:t>
      </w:r>
      <w:r>
        <w:t>a</w:t>
      </w:r>
      <w:r>
        <w:rPr>
          <w:spacing w:val="-4"/>
        </w:rPr>
        <w:t xml:space="preserve"> </w:t>
      </w:r>
      <w:r>
        <w:t>list</w:t>
      </w:r>
      <w:r>
        <w:rPr>
          <w:spacing w:val="-4"/>
        </w:rPr>
        <w:t xml:space="preserve"> </w:t>
      </w:r>
      <w:r>
        <w:t>such</w:t>
      </w:r>
      <w:r>
        <w:rPr>
          <w:spacing w:val="-3"/>
        </w:rPr>
        <w:t xml:space="preserve"> </w:t>
      </w:r>
      <w:r>
        <w:t>that,</w:t>
      </w:r>
      <w:r>
        <w:rPr>
          <w:spacing w:val="-3"/>
        </w:rPr>
        <w:t xml:space="preserve"> </w:t>
      </w:r>
      <w:r>
        <w:t>given</w:t>
      </w:r>
      <w:r>
        <w:rPr>
          <w:spacing w:val="-3"/>
        </w:rPr>
        <w:t xml:space="preserve"> </w:t>
      </w:r>
      <w:r>
        <w:t>any</w:t>
      </w:r>
      <w:r>
        <w:rPr>
          <w:spacing w:val="-3"/>
        </w:rPr>
        <w:t xml:space="preserve"> </w:t>
      </w:r>
      <w:r>
        <w:t>finitely</w:t>
      </w:r>
      <w:r>
        <w:rPr>
          <w:spacing w:val="-3"/>
        </w:rPr>
        <w:t xml:space="preserve"> </w:t>
      </w:r>
      <w:r>
        <w:t>long</w:t>
      </w:r>
      <w:r>
        <w:rPr>
          <w:spacing w:val="-3"/>
        </w:rPr>
        <w:t xml:space="preserve"> </w:t>
      </w:r>
      <w:r>
        <w:t>combination</w:t>
      </w:r>
      <w:r>
        <w:rPr>
          <w:spacing w:val="-3"/>
        </w:rPr>
        <w:t xml:space="preserve"> </w:t>
      </w:r>
      <w:r>
        <w:t>of</w:t>
      </w:r>
      <w:r>
        <w:rPr>
          <w:spacing w:val="-4"/>
        </w:rPr>
        <w:t xml:space="preserve"> </w:t>
      </w:r>
      <w:r>
        <w:t>letters</w:t>
      </w:r>
      <w:r>
        <w:rPr>
          <w:spacing w:val="-4"/>
        </w:rPr>
        <w:t xml:space="preserve"> </w:t>
      </w:r>
      <w:r>
        <w:t>Z,</w:t>
      </w:r>
      <w:r>
        <w:rPr>
          <w:spacing w:val="-3"/>
        </w:rPr>
        <w:t xml:space="preserve"> </w:t>
      </w:r>
      <w:r>
        <w:t xml:space="preserve">there is some whole number n such that Z is the nth member of that list. </w:t>
      </w:r>
      <w:r>
        <w:rPr>
          <w:i/>
        </w:rPr>
        <w:t xml:space="preserve">A fortiori </w:t>
      </w:r>
      <w:r>
        <w:t>it’s possible to produce a list such that, given any arithmetical predicate P, there</w:t>
      </w:r>
      <w:r>
        <w:rPr>
          <w:spacing w:val="-1"/>
        </w:rPr>
        <w:t xml:space="preserve"> </w:t>
      </w:r>
      <w:r>
        <w:t>is</w:t>
      </w:r>
      <w:r>
        <w:rPr>
          <w:spacing w:val="-1"/>
        </w:rPr>
        <w:t xml:space="preserve"> </w:t>
      </w:r>
      <w:r>
        <w:t>some</w:t>
      </w:r>
      <w:r>
        <w:rPr>
          <w:spacing w:val="-1"/>
        </w:rPr>
        <w:t xml:space="preserve"> </w:t>
      </w:r>
      <w:r>
        <w:t>whole</w:t>
      </w:r>
      <w:r>
        <w:rPr>
          <w:spacing w:val="-1"/>
        </w:rPr>
        <w:t xml:space="preserve"> </w:t>
      </w:r>
      <w:r>
        <w:t>number</w:t>
      </w:r>
      <w:r>
        <w:rPr>
          <w:spacing w:val="-1"/>
        </w:rPr>
        <w:t xml:space="preserve"> </w:t>
      </w:r>
      <w:r>
        <w:t>n</w:t>
      </w:r>
      <w:r>
        <w:rPr>
          <w:spacing w:val="-1"/>
        </w:rPr>
        <w:t xml:space="preserve"> </w:t>
      </w:r>
      <w:r>
        <w:t>such</w:t>
      </w:r>
      <w:r>
        <w:rPr>
          <w:spacing w:val="-1"/>
        </w:rPr>
        <w:t xml:space="preserve"> </w:t>
      </w:r>
      <w:r>
        <w:t>that</w:t>
      </w:r>
      <w:r>
        <w:rPr>
          <w:spacing w:val="-1"/>
        </w:rPr>
        <w:t xml:space="preserve"> </w:t>
      </w:r>
      <w:r>
        <w:t>P</w:t>
      </w:r>
      <w:r>
        <w:rPr>
          <w:spacing w:val="-1"/>
        </w:rPr>
        <w:t xml:space="preserve"> </w:t>
      </w:r>
      <w:r>
        <w:t>is</w:t>
      </w:r>
      <w:r>
        <w:rPr>
          <w:spacing w:val="-1"/>
        </w:rPr>
        <w:t xml:space="preserve"> </w:t>
      </w:r>
      <w:r>
        <w:t>the</w:t>
      </w:r>
      <w:r>
        <w:rPr>
          <w:spacing w:val="-1"/>
        </w:rPr>
        <w:t xml:space="preserve"> </w:t>
      </w:r>
      <w:r>
        <w:t>nth</w:t>
      </w:r>
      <w:r>
        <w:rPr>
          <w:spacing w:val="-1"/>
        </w:rPr>
        <w:t xml:space="preserve"> </w:t>
      </w:r>
      <w:r>
        <w:t>member</w:t>
      </w:r>
      <w:r>
        <w:rPr>
          <w:spacing w:val="-1"/>
        </w:rPr>
        <w:t xml:space="preserve"> </w:t>
      </w:r>
      <w:r>
        <w:t>of</w:t>
      </w:r>
      <w:r>
        <w:rPr>
          <w:spacing w:val="-1"/>
        </w:rPr>
        <w:t xml:space="preserve"> </w:t>
      </w:r>
      <w:r>
        <w:t>that</w:t>
      </w:r>
      <w:r>
        <w:rPr>
          <w:spacing w:val="-1"/>
        </w:rPr>
        <w:t xml:space="preserve"> </w:t>
      </w:r>
      <w:r>
        <w:t>list.</w:t>
      </w:r>
      <w:r>
        <w:rPr>
          <w:spacing w:val="-1"/>
        </w:rPr>
        <w:t xml:space="preserve"> </w:t>
      </w:r>
      <w:r>
        <w:t>Let</w:t>
      </w:r>
      <w:r>
        <w:rPr>
          <w:spacing w:val="-1"/>
        </w:rPr>
        <w:t xml:space="preserve"> </w:t>
      </w:r>
      <w:r>
        <w:t>L be</w:t>
      </w:r>
      <w:r>
        <w:rPr>
          <w:spacing w:val="71"/>
          <w:w w:val="150"/>
        </w:rPr>
        <w:t xml:space="preserve"> </w:t>
      </w:r>
      <w:r>
        <w:t>such</w:t>
      </w:r>
      <w:r>
        <w:rPr>
          <w:spacing w:val="71"/>
          <w:w w:val="150"/>
        </w:rPr>
        <w:t xml:space="preserve"> </w:t>
      </w:r>
      <w:r>
        <w:t>a</w:t>
      </w:r>
      <w:r>
        <w:rPr>
          <w:spacing w:val="71"/>
          <w:w w:val="150"/>
        </w:rPr>
        <w:t xml:space="preserve"> </w:t>
      </w:r>
      <w:r>
        <w:t>list;</w:t>
      </w:r>
      <w:r>
        <w:rPr>
          <w:spacing w:val="71"/>
          <w:w w:val="150"/>
        </w:rPr>
        <w:t xml:space="preserve"> </w:t>
      </w:r>
      <w:r>
        <w:t>and</w:t>
      </w:r>
      <w:r>
        <w:rPr>
          <w:spacing w:val="71"/>
          <w:w w:val="150"/>
        </w:rPr>
        <w:t xml:space="preserve"> </w:t>
      </w:r>
      <w:r>
        <w:t>assume</w:t>
      </w:r>
      <w:r>
        <w:rPr>
          <w:spacing w:val="71"/>
          <w:w w:val="150"/>
        </w:rPr>
        <w:t xml:space="preserve"> </w:t>
      </w:r>
      <w:r>
        <w:t>that</w:t>
      </w:r>
      <w:r>
        <w:rPr>
          <w:spacing w:val="70"/>
          <w:w w:val="150"/>
        </w:rPr>
        <w:t xml:space="preserve"> </w:t>
      </w:r>
      <w:r>
        <w:t>the</w:t>
      </w:r>
      <w:r>
        <w:rPr>
          <w:spacing w:val="71"/>
          <w:w w:val="150"/>
        </w:rPr>
        <w:t xml:space="preserve"> </w:t>
      </w:r>
      <w:r>
        <w:t>items</w:t>
      </w:r>
      <w:r>
        <w:rPr>
          <w:spacing w:val="71"/>
          <w:w w:val="150"/>
        </w:rPr>
        <w:t xml:space="preserve"> </w:t>
      </w:r>
      <w:r>
        <w:t>composing</w:t>
      </w:r>
      <w:r>
        <w:rPr>
          <w:spacing w:val="71"/>
          <w:w w:val="150"/>
        </w:rPr>
        <w:t xml:space="preserve"> </w:t>
      </w:r>
      <w:r>
        <w:t>L</w:t>
      </w:r>
      <w:r>
        <w:rPr>
          <w:spacing w:val="71"/>
          <w:w w:val="150"/>
        </w:rPr>
        <w:t xml:space="preserve"> </w:t>
      </w:r>
      <w:r>
        <w:t>are</w:t>
      </w:r>
      <w:r>
        <w:rPr>
          <w:spacing w:val="71"/>
          <w:w w:val="150"/>
        </w:rPr>
        <w:t xml:space="preserve"> </w:t>
      </w:r>
      <w:r>
        <w:t>arranged</w:t>
      </w:r>
    </w:p>
    <w:p w14:paraId="7E00108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90" w14:textId="77777777" w:rsidR="009A58DB" w:rsidRDefault="00000000">
      <w:pPr>
        <w:pStyle w:val="BodyText"/>
        <w:spacing w:before="65" w:line="249" w:lineRule="auto"/>
        <w:ind w:right="363"/>
      </w:pPr>
      <w:r>
        <w:lastRenderedPageBreak/>
        <w:t>alphabetically. Further, let L* be a list whose first entry is 0, whose second entry is 1, and so on.</w:t>
      </w:r>
    </w:p>
    <w:p w14:paraId="7E001091" w14:textId="77777777" w:rsidR="009A58DB" w:rsidRDefault="00000000">
      <w:pPr>
        <w:pStyle w:val="BodyText"/>
        <w:spacing w:before="2" w:line="249" w:lineRule="auto"/>
        <w:ind w:right="360" w:firstLine="360"/>
      </w:pPr>
      <w:r>
        <w:t>Given either list, the nth item on it can be thought of as being “coordinated” with the number n, i.e., as having n for its coordinate. Thus,</w:t>
      </w:r>
      <w:r>
        <w:rPr>
          <w:spacing w:val="40"/>
        </w:rPr>
        <w:t xml:space="preserve"> </w:t>
      </w:r>
      <w:r>
        <w:t xml:space="preserve">the first item on L* (namely 0) has coordinate 0; the second (namely 1) has coordinate 1; in general, the nth item on L* has coordinate </w:t>
      </w:r>
      <w:r>
        <w:rPr>
          <w:i/>
        </w:rPr>
        <w:t>n+1</w:t>
      </w:r>
      <w:r>
        <w:t>. To simplify exposition, let’s suppose that “is bigger than ten,” “is even,” and “is less than twenty” are, respectively, the tenth, twentieth, and thirtieth items on L.</w:t>
      </w:r>
    </w:p>
    <w:p w14:paraId="7E001092" w14:textId="77777777" w:rsidR="009A58DB" w:rsidRDefault="00000000">
      <w:pPr>
        <w:pStyle w:val="BodyText"/>
        <w:spacing w:before="7"/>
        <w:ind w:left="720"/>
      </w:pPr>
      <w:r>
        <w:t>Let G</w:t>
      </w:r>
      <w:r>
        <w:rPr>
          <w:spacing w:val="2"/>
        </w:rPr>
        <w:t xml:space="preserve"> </w:t>
      </w:r>
      <w:r>
        <w:t>be</w:t>
      </w:r>
      <w:r>
        <w:rPr>
          <w:spacing w:val="2"/>
        </w:rPr>
        <w:t xml:space="preserve"> </w:t>
      </w:r>
      <w:r>
        <w:t>a</w:t>
      </w:r>
      <w:r>
        <w:rPr>
          <w:spacing w:val="2"/>
        </w:rPr>
        <w:t xml:space="preserve"> </w:t>
      </w:r>
      <w:r>
        <w:t>graph</w:t>
      </w:r>
      <w:r>
        <w:rPr>
          <w:spacing w:val="2"/>
        </w:rPr>
        <w:t xml:space="preserve"> </w:t>
      </w:r>
      <w:r>
        <w:t>whose</w:t>
      </w:r>
      <w:r>
        <w:rPr>
          <w:spacing w:val="2"/>
        </w:rPr>
        <w:t xml:space="preserve"> </w:t>
      </w:r>
      <w:r>
        <w:t>x-axis</w:t>
      </w:r>
      <w:r>
        <w:rPr>
          <w:spacing w:val="3"/>
        </w:rPr>
        <w:t xml:space="preserve"> </w:t>
      </w:r>
      <w:r>
        <w:t>consists</w:t>
      </w:r>
      <w:r>
        <w:rPr>
          <w:spacing w:val="2"/>
        </w:rPr>
        <w:t xml:space="preserve"> </w:t>
      </w:r>
      <w:r>
        <w:t>of</w:t>
      </w:r>
      <w:r>
        <w:rPr>
          <w:spacing w:val="2"/>
        </w:rPr>
        <w:t xml:space="preserve"> </w:t>
      </w:r>
      <w:r>
        <w:t>L*</w:t>
      </w:r>
      <w:r>
        <w:rPr>
          <w:spacing w:val="2"/>
        </w:rPr>
        <w:t xml:space="preserve"> </w:t>
      </w:r>
      <w:r>
        <w:t>and</w:t>
      </w:r>
      <w:r>
        <w:rPr>
          <w:spacing w:val="2"/>
        </w:rPr>
        <w:t xml:space="preserve"> </w:t>
      </w:r>
      <w:r>
        <w:t>whose</w:t>
      </w:r>
      <w:r>
        <w:rPr>
          <w:spacing w:val="2"/>
        </w:rPr>
        <w:t xml:space="preserve"> </w:t>
      </w:r>
      <w:r>
        <w:t>y-axis</w:t>
      </w:r>
      <w:r>
        <w:rPr>
          <w:spacing w:val="2"/>
        </w:rPr>
        <w:t xml:space="preserve"> </w:t>
      </w:r>
      <w:r>
        <w:t>consists</w:t>
      </w:r>
      <w:r>
        <w:rPr>
          <w:spacing w:val="3"/>
        </w:rPr>
        <w:t xml:space="preserve"> </w:t>
      </w:r>
      <w:r>
        <w:rPr>
          <w:spacing w:val="-5"/>
        </w:rPr>
        <w:t>of</w:t>
      </w:r>
    </w:p>
    <w:p w14:paraId="7E001093" w14:textId="77777777" w:rsidR="009A58DB" w:rsidRDefault="00000000">
      <w:pPr>
        <w:pStyle w:val="BodyText"/>
        <w:spacing w:before="15" w:line="249" w:lineRule="auto"/>
        <w:ind w:right="366"/>
      </w:pPr>
      <w:r>
        <w:t>L. Thus, the coordinates on G of the statements “1 is bigger than 10,” “2 is even,” and “3 is less than 20” are, respectively, (2,10), (3,20), and (4,30).</w:t>
      </w:r>
    </w:p>
    <w:p w14:paraId="7E001094" w14:textId="77777777" w:rsidR="009A58DB" w:rsidRDefault="00000000">
      <w:pPr>
        <w:pStyle w:val="BodyText"/>
        <w:spacing w:before="3" w:line="249" w:lineRule="auto"/>
        <w:ind w:right="366" w:firstLine="360"/>
      </w:pPr>
      <w:r>
        <w:t>FM assigns FALSE to “1 is bigger than 10” and a TRUE to “2 is even” and to “3 is less than 20.” FM can thus be thought of as stamping a FALSE on (2,10), a TRUE on (3,20), and a TRUE on (4,30).</w:t>
      </w:r>
    </w:p>
    <w:p w14:paraId="7E001095" w14:textId="77777777" w:rsidR="009A58DB" w:rsidRDefault="00000000">
      <w:pPr>
        <w:pStyle w:val="BodyText"/>
        <w:spacing w:before="4" w:line="249" w:lineRule="auto"/>
        <w:ind w:right="362" w:firstLine="360"/>
      </w:pPr>
      <w:r>
        <w:t xml:space="preserve">Let K be a class such that, for any whole number n, n is a member of K iff FM assigns a FALSE to (n,n). And let Q be a predicate such that Q(n) is true iff n is a member of K. Supposing that Q is an arithmetical predicate, it follows that Q has some coordinate q on the y-axis. It also follows that the coordinates of Q(q) are (q, q) and, consequently, that Q(q) is true iff Q(q) is </w:t>
      </w:r>
      <w:r>
        <w:rPr>
          <w:spacing w:val="-2"/>
        </w:rPr>
        <w:t>false.</w:t>
      </w:r>
    </w:p>
    <w:p w14:paraId="7E001096" w14:textId="77777777" w:rsidR="009A58DB" w:rsidRDefault="00000000">
      <w:pPr>
        <w:spacing w:before="7" w:line="249" w:lineRule="auto"/>
        <w:ind w:left="720" w:right="359"/>
        <w:jc w:val="both"/>
        <w:rPr>
          <w:sz w:val="30"/>
        </w:rPr>
      </w:pPr>
      <w:r>
        <w:rPr>
          <w:i/>
          <w:sz w:val="30"/>
        </w:rPr>
        <w:t xml:space="preserve">Q is an arithmetical predicate. </w:t>
      </w:r>
      <w:r>
        <w:rPr>
          <w:sz w:val="30"/>
        </w:rPr>
        <w:t>Let’s take a moment to make it clear why this is so.</w:t>
      </w:r>
    </w:p>
    <w:p w14:paraId="7E001097" w14:textId="77777777" w:rsidR="009A58DB" w:rsidRDefault="00000000">
      <w:pPr>
        <w:pStyle w:val="BodyText"/>
        <w:spacing w:before="2" w:line="249" w:lineRule="auto"/>
        <w:ind w:right="363" w:firstLine="360"/>
      </w:pPr>
      <w:r>
        <w:t>First, for any numbers m and n, ‹m has position n on the x-axis› is equivalent with ‹m=n›, which is obviously an arithmetical statement.</w:t>
      </w:r>
    </w:p>
    <w:p w14:paraId="7E001098" w14:textId="77777777" w:rsidR="009A58DB" w:rsidRDefault="00000000">
      <w:pPr>
        <w:pStyle w:val="BodyText"/>
        <w:spacing w:before="3" w:line="249" w:lineRule="auto"/>
        <w:ind w:right="358" w:firstLine="360"/>
      </w:pPr>
      <w:r>
        <w:t>Much the same holds of ‹m has position n on the y-axis›. The predicates composing the y-axis are arranged alphabetically. Each letter of the alphabet can</w:t>
      </w:r>
      <w:r>
        <w:rPr>
          <w:spacing w:val="-3"/>
        </w:rPr>
        <w:t xml:space="preserve"> </w:t>
      </w:r>
      <w:r>
        <w:t>be</w:t>
      </w:r>
      <w:r>
        <w:rPr>
          <w:spacing w:val="-4"/>
        </w:rPr>
        <w:t xml:space="preserve"> </w:t>
      </w:r>
      <w:r>
        <w:t>coordinated</w:t>
      </w:r>
      <w:r>
        <w:rPr>
          <w:spacing w:val="-3"/>
        </w:rPr>
        <w:t xml:space="preserve"> </w:t>
      </w:r>
      <w:r>
        <w:t>with</w:t>
      </w:r>
      <w:r>
        <w:rPr>
          <w:spacing w:val="-3"/>
        </w:rPr>
        <w:t xml:space="preserve"> </w:t>
      </w:r>
      <w:r>
        <w:t>a</w:t>
      </w:r>
      <w:r>
        <w:rPr>
          <w:spacing w:val="-4"/>
        </w:rPr>
        <w:t xml:space="preserve"> </w:t>
      </w:r>
      <w:r>
        <w:t>number.</w:t>
      </w:r>
      <w:r>
        <w:rPr>
          <w:spacing w:val="-3"/>
        </w:rPr>
        <w:t xml:space="preserve"> </w:t>
      </w:r>
      <w:r>
        <w:t>(“A”</w:t>
      </w:r>
      <w:r>
        <w:rPr>
          <w:spacing w:val="-4"/>
        </w:rPr>
        <w:t xml:space="preserve"> </w:t>
      </w:r>
      <w:r>
        <w:t>can</w:t>
      </w:r>
      <w:r>
        <w:rPr>
          <w:spacing w:val="-3"/>
        </w:rPr>
        <w:t xml:space="preserve"> </w:t>
      </w:r>
      <w:r>
        <w:t>be</w:t>
      </w:r>
      <w:r>
        <w:rPr>
          <w:spacing w:val="-4"/>
        </w:rPr>
        <w:t xml:space="preserve"> </w:t>
      </w:r>
      <w:r>
        <w:t>coordinated</w:t>
      </w:r>
      <w:r>
        <w:rPr>
          <w:spacing w:val="-3"/>
        </w:rPr>
        <w:t xml:space="preserve"> </w:t>
      </w:r>
      <w:r>
        <w:t>with</w:t>
      </w:r>
      <w:r>
        <w:rPr>
          <w:spacing w:val="-3"/>
        </w:rPr>
        <w:t xml:space="preserve"> </w:t>
      </w:r>
      <w:r>
        <w:t>“0”;</w:t>
      </w:r>
      <w:r>
        <w:rPr>
          <w:spacing w:val="-4"/>
        </w:rPr>
        <w:t xml:space="preserve"> </w:t>
      </w:r>
      <w:r>
        <w:t>“B”</w:t>
      </w:r>
      <w:r>
        <w:rPr>
          <w:spacing w:val="-4"/>
        </w:rPr>
        <w:t xml:space="preserve"> </w:t>
      </w:r>
      <w:r>
        <w:t xml:space="preserve">can be coordinated with “1”; and so on.) So the order in which they occur is to be understood </w:t>
      </w:r>
      <w:r>
        <w:rPr>
          <w:i/>
        </w:rPr>
        <w:t xml:space="preserve">strictly </w:t>
      </w:r>
      <w:r>
        <w:t>in terms of such garden-variety arithmetical facts like “1</w:t>
      </w:r>
      <w:r>
        <w:rPr>
          <w:spacing w:val="40"/>
        </w:rPr>
        <w:t xml:space="preserve"> </w:t>
      </w:r>
      <w:r>
        <w:t>is less than 2” and “2 is less than 3.” A consequence is that, for any arithmetical predicate m and any number n, ‹m has position n on the y-axis›</w:t>
      </w:r>
      <w:r>
        <w:rPr>
          <w:spacing w:val="40"/>
        </w:rPr>
        <w:t xml:space="preserve"> </w:t>
      </w:r>
      <w:r>
        <w:t>is equivalent with some arithmetical statement.</w:t>
      </w:r>
    </w:p>
    <w:p w14:paraId="7E001099" w14:textId="77777777" w:rsidR="009A58DB" w:rsidRDefault="00000000">
      <w:pPr>
        <w:pStyle w:val="BodyText"/>
        <w:spacing w:before="10" w:line="249" w:lineRule="auto"/>
        <w:ind w:right="362" w:firstLine="360"/>
      </w:pPr>
      <w:r>
        <w:t>Thus, given either axis, an item m’s having position n on that axis is a strictly arithmetical fact. It follows that, given any arithmetical statement S and any whole numbers m and n, the statement ‹S has coordinates (m,n)› is equivalent</w:t>
      </w:r>
      <w:r>
        <w:rPr>
          <w:spacing w:val="31"/>
        </w:rPr>
        <w:t xml:space="preserve"> </w:t>
      </w:r>
      <w:r>
        <w:t>with</w:t>
      </w:r>
      <w:r>
        <w:rPr>
          <w:spacing w:val="31"/>
        </w:rPr>
        <w:t xml:space="preserve"> </w:t>
      </w:r>
      <w:r>
        <w:t>some</w:t>
      </w:r>
      <w:r>
        <w:rPr>
          <w:spacing w:val="31"/>
        </w:rPr>
        <w:t xml:space="preserve"> </w:t>
      </w:r>
      <w:r>
        <w:t>garden-variety</w:t>
      </w:r>
      <w:r>
        <w:rPr>
          <w:spacing w:val="31"/>
        </w:rPr>
        <w:t xml:space="preserve"> </w:t>
      </w:r>
      <w:r>
        <w:t>arithmetical</w:t>
      </w:r>
      <w:r>
        <w:rPr>
          <w:spacing w:val="31"/>
        </w:rPr>
        <w:t xml:space="preserve"> </w:t>
      </w:r>
      <w:r>
        <w:t>statement.</w:t>
      </w:r>
      <w:r>
        <w:rPr>
          <w:spacing w:val="31"/>
        </w:rPr>
        <w:t xml:space="preserve"> </w:t>
      </w:r>
      <w:r>
        <w:t>A</w:t>
      </w:r>
      <w:r>
        <w:rPr>
          <w:spacing w:val="31"/>
        </w:rPr>
        <w:t xml:space="preserve"> </w:t>
      </w:r>
      <w:r>
        <w:t>consequence</w:t>
      </w:r>
    </w:p>
    <w:p w14:paraId="7E00109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9B" w14:textId="77777777" w:rsidR="009A58DB" w:rsidRDefault="00000000">
      <w:pPr>
        <w:pStyle w:val="BodyText"/>
        <w:spacing w:before="65"/>
      </w:pPr>
      <w:r>
        <w:lastRenderedPageBreak/>
        <w:t>is</w:t>
      </w:r>
      <w:r>
        <w:rPr>
          <w:spacing w:val="28"/>
        </w:rPr>
        <w:t xml:space="preserve"> </w:t>
      </w:r>
      <w:r>
        <w:t>that,</w:t>
      </w:r>
      <w:r>
        <w:rPr>
          <w:spacing w:val="29"/>
        </w:rPr>
        <w:t xml:space="preserve"> </w:t>
      </w:r>
      <w:r>
        <w:t>for</w:t>
      </w:r>
      <w:r>
        <w:rPr>
          <w:spacing w:val="29"/>
        </w:rPr>
        <w:t xml:space="preserve"> </w:t>
      </w:r>
      <w:r>
        <w:t>any</w:t>
      </w:r>
      <w:r>
        <w:rPr>
          <w:spacing w:val="29"/>
        </w:rPr>
        <w:t xml:space="preserve"> </w:t>
      </w:r>
      <w:r>
        <w:t>statement</w:t>
      </w:r>
      <w:r>
        <w:rPr>
          <w:spacing w:val="29"/>
        </w:rPr>
        <w:t xml:space="preserve"> </w:t>
      </w:r>
      <w:r>
        <w:t>S</w:t>
      </w:r>
      <w:r>
        <w:rPr>
          <w:spacing w:val="28"/>
        </w:rPr>
        <w:t xml:space="preserve"> </w:t>
      </w:r>
      <w:r>
        <w:t>and</w:t>
      </w:r>
      <w:r>
        <w:rPr>
          <w:spacing w:val="30"/>
        </w:rPr>
        <w:t xml:space="preserve"> </w:t>
      </w:r>
      <w:r>
        <w:t>any</w:t>
      </w:r>
      <w:r>
        <w:rPr>
          <w:spacing w:val="28"/>
        </w:rPr>
        <w:t xml:space="preserve"> </w:t>
      </w:r>
      <w:r>
        <w:t>whole</w:t>
      </w:r>
      <w:r>
        <w:rPr>
          <w:spacing w:val="29"/>
        </w:rPr>
        <w:t xml:space="preserve"> </w:t>
      </w:r>
      <w:r>
        <w:t>numbers</w:t>
      </w:r>
      <w:r>
        <w:rPr>
          <w:spacing w:val="29"/>
        </w:rPr>
        <w:t xml:space="preserve"> </w:t>
      </w:r>
      <w:r>
        <w:t>m</w:t>
      </w:r>
      <w:r>
        <w:rPr>
          <w:spacing w:val="29"/>
        </w:rPr>
        <w:t xml:space="preserve"> </w:t>
      </w:r>
      <w:r>
        <w:t>and</w:t>
      </w:r>
      <w:r>
        <w:rPr>
          <w:spacing w:val="29"/>
        </w:rPr>
        <w:t xml:space="preserve"> </w:t>
      </w:r>
      <w:r>
        <w:t>n,</w:t>
      </w:r>
      <w:r>
        <w:rPr>
          <w:spacing w:val="29"/>
        </w:rPr>
        <w:t xml:space="preserve"> </w:t>
      </w:r>
      <w:r>
        <w:t>the</w:t>
      </w:r>
      <w:r>
        <w:rPr>
          <w:spacing w:val="30"/>
        </w:rPr>
        <w:t xml:space="preserve"> </w:t>
      </w:r>
      <w:r>
        <w:rPr>
          <w:spacing w:val="-2"/>
        </w:rPr>
        <w:t>statement</w:t>
      </w:r>
    </w:p>
    <w:p w14:paraId="7E00109C" w14:textId="77777777" w:rsidR="009A58DB" w:rsidRDefault="00000000">
      <w:pPr>
        <w:pStyle w:val="BodyText"/>
        <w:spacing w:before="15" w:line="249" w:lineRule="auto"/>
        <w:ind w:right="360"/>
      </w:pPr>
      <w:r>
        <w:t>‹FM stamps S with a FALSE› is equivalent with some purely arithmetical statement. Since, for any n, Q(n) is equivalent with ‹FM stamps the statement with coordinates (n,n) with a FALSE›, it follows that Q(n) is an arithmetical statement</w:t>
      </w:r>
      <w:r>
        <w:rPr>
          <w:spacing w:val="-2"/>
        </w:rPr>
        <w:t xml:space="preserve"> </w:t>
      </w:r>
      <w:r>
        <w:t>and,</w:t>
      </w:r>
      <w:r>
        <w:rPr>
          <w:spacing w:val="-2"/>
        </w:rPr>
        <w:t xml:space="preserve"> </w:t>
      </w:r>
      <w:r>
        <w:t>consequently,</w:t>
      </w:r>
      <w:r>
        <w:rPr>
          <w:spacing w:val="-2"/>
        </w:rPr>
        <w:t xml:space="preserve"> </w:t>
      </w:r>
      <w:r>
        <w:t>that</w:t>
      </w:r>
      <w:r>
        <w:rPr>
          <w:spacing w:val="-2"/>
        </w:rPr>
        <w:t xml:space="preserve"> </w:t>
      </w:r>
      <w:r>
        <w:t>Q</w:t>
      </w:r>
      <w:r>
        <w:rPr>
          <w:spacing w:val="-2"/>
        </w:rPr>
        <w:t xml:space="preserve"> </w:t>
      </w:r>
      <w:r>
        <w:t>is</w:t>
      </w:r>
      <w:r>
        <w:rPr>
          <w:spacing w:val="-2"/>
        </w:rPr>
        <w:t xml:space="preserve"> </w:t>
      </w:r>
      <w:r>
        <w:t>an</w:t>
      </w:r>
      <w:r>
        <w:rPr>
          <w:spacing w:val="-2"/>
        </w:rPr>
        <w:t xml:space="preserve"> </w:t>
      </w:r>
      <w:r>
        <w:t>arithmetical</w:t>
      </w:r>
      <w:r>
        <w:rPr>
          <w:spacing w:val="-2"/>
        </w:rPr>
        <w:t xml:space="preserve"> </w:t>
      </w:r>
      <w:r>
        <w:t>predicate.</w:t>
      </w:r>
      <w:r>
        <w:rPr>
          <w:spacing w:val="-2"/>
        </w:rPr>
        <w:t xml:space="preserve"> </w:t>
      </w:r>
      <w:r>
        <w:t>Thus,</w:t>
      </w:r>
      <w:r>
        <w:rPr>
          <w:spacing w:val="-2"/>
        </w:rPr>
        <w:t xml:space="preserve"> </w:t>
      </w:r>
      <w:r>
        <w:t>Q(q)</w:t>
      </w:r>
      <w:r>
        <w:rPr>
          <w:spacing w:val="-2"/>
        </w:rPr>
        <w:t xml:space="preserve"> </w:t>
      </w:r>
      <w:r>
        <w:t>is an arithmetical statement. Since, as we saw, Q(q) is true iff it’s false, it’s false. (No true statement entails its own negation.) But FM stamps a TRUE on it, even though, by supposition, FM stamps a TRUE only true statements.</w:t>
      </w:r>
    </w:p>
    <w:p w14:paraId="7E00109D" w14:textId="77777777" w:rsidR="009A58DB" w:rsidRDefault="00000000">
      <w:pPr>
        <w:pStyle w:val="BodyText"/>
        <w:spacing w:before="8" w:line="249" w:lineRule="auto"/>
        <w:ind w:right="360" w:firstLine="360"/>
      </w:pPr>
      <w:r>
        <w:t>We started with the assumption that there exists a procedure that correctly says of any given arithmetical statement whether it is true or false. This was the only substantive (as opposed to purely procedural) assumption that we made. This assumption entails a false statement and is therefore itself false. There is thus no formal decision-procedure for arithmetic. There is no correct and complete formal characterization of arithmetical truth. Logicism, the doctrine that arithmetical truth is formal truth, is therefore false.</w:t>
      </w:r>
    </w:p>
    <w:p w14:paraId="7E00109E" w14:textId="77777777" w:rsidR="009A58DB" w:rsidRDefault="00000000">
      <w:pPr>
        <w:pStyle w:val="Heading1"/>
        <w:numPr>
          <w:ilvl w:val="0"/>
          <w:numId w:val="159"/>
        </w:numPr>
        <w:tabs>
          <w:tab w:val="left" w:pos="990"/>
        </w:tabs>
        <w:spacing w:before="197"/>
        <w:rPr>
          <w:rFonts w:ascii="Liberation Serif"/>
        </w:rPr>
      </w:pPr>
      <w:r>
        <w:rPr>
          <w:rFonts w:ascii="Liberation Serif"/>
        </w:rPr>
        <w:t>Analysis</w:t>
      </w:r>
      <w:r>
        <w:rPr>
          <w:rFonts w:ascii="Liberation Serif"/>
          <w:spacing w:val="-4"/>
        </w:rPr>
        <w:t xml:space="preserve"> </w:t>
      </w:r>
      <w:r>
        <w:rPr>
          <w:rFonts w:ascii="Liberation Serif"/>
        </w:rPr>
        <w:t>by</w:t>
      </w:r>
      <w:r>
        <w:rPr>
          <w:rFonts w:ascii="Liberation Serif"/>
          <w:spacing w:val="-3"/>
        </w:rPr>
        <w:t xml:space="preserve"> </w:t>
      </w:r>
      <w:r>
        <w:rPr>
          <w:rFonts w:ascii="Liberation Serif"/>
          <w:spacing w:val="-2"/>
        </w:rPr>
        <w:t>abstractio</w:t>
      </w:r>
      <w:bookmarkStart w:id="230" w:name="_bookmark230"/>
      <w:bookmarkEnd w:id="230"/>
      <w:r>
        <w:rPr>
          <w:rFonts w:ascii="Liberation Serif"/>
          <w:spacing w:val="-2"/>
        </w:rPr>
        <w:t>n</w:t>
      </w:r>
      <w:r>
        <w:rPr>
          <w:rFonts w:ascii="Liberation Serif"/>
          <w:color w:val="0562C1"/>
          <w:spacing w:val="-2"/>
          <w:position w:val="30"/>
          <w:u w:val="single" w:color="0562C1"/>
        </w:rPr>
        <w:t>[138]</w:t>
      </w:r>
    </w:p>
    <w:p w14:paraId="7E00109F" w14:textId="77777777" w:rsidR="009A58DB" w:rsidRDefault="00000000">
      <w:pPr>
        <w:pStyle w:val="BodyText"/>
        <w:spacing w:before="139" w:line="249" w:lineRule="auto"/>
        <w:ind w:right="359"/>
        <w:rPr>
          <w:b/>
          <w:i/>
        </w:rPr>
      </w:pPr>
      <w:r>
        <w:t xml:space="preserve">In the process of generating his insightful analysis of number, Frege used, for the first time in history, a powerful technique known as </w:t>
      </w:r>
      <w:r>
        <w:rPr>
          <w:b/>
          <w:i/>
        </w:rPr>
        <w:t xml:space="preserve">definition by </w:t>
      </w:r>
      <w:r>
        <w:rPr>
          <w:b/>
          <w:i/>
          <w:spacing w:val="-2"/>
        </w:rPr>
        <w:t>abstraction.</w:t>
      </w:r>
    </w:p>
    <w:p w14:paraId="7E0010A0" w14:textId="77777777" w:rsidR="009A58DB" w:rsidRDefault="00000000">
      <w:pPr>
        <w:pStyle w:val="BodyText"/>
        <w:spacing w:before="4" w:line="249" w:lineRule="auto"/>
        <w:ind w:right="365" w:firstLine="360"/>
      </w:pPr>
      <w:r>
        <w:t>The term “definition by abstraction” refers to a way of analyzing properties. This term is thus a misnomer. Expressions are defined; properties aren’t</w:t>
      </w:r>
      <w:r>
        <w:rPr>
          <w:spacing w:val="-2"/>
        </w:rPr>
        <w:t xml:space="preserve"> </w:t>
      </w:r>
      <w:r>
        <w:t>expressions.</w:t>
      </w:r>
      <w:r>
        <w:rPr>
          <w:spacing w:val="-1"/>
        </w:rPr>
        <w:t xml:space="preserve"> </w:t>
      </w:r>
      <w:r>
        <w:t>I’ll</w:t>
      </w:r>
      <w:r>
        <w:rPr>
          <w:spacing w:val="-2"/>
        </w:rPr>
        <w:t xml:space="preserve"> </w:t>
      </w:r>
      <w:r>
        <w:t>therefore</w:t>
      </w:r>
      <w:r>
        <w:rPr>
          <w:spacing w:val="-1"/>
        </w:rPr>
        <w:t xml:space="preserve"> </w:t>
      </w:r>
      <w:r>
        <w:t>drop</w:t>
      </w:r>
      <w:r>
        <w:rPr>
          <w:spacing w:val="-1"/>
        </w:rPr>
        <w:t xml:space="preserve"> </w:t>
      </w:r>
      <w:r>
        <w:t>the</w:t>
      </w:r>
      <w:r>
        <w:rPr>
          <w:spacing w:val="-2"/>
        </w:rPr>
        <w:t xml:space="preserve"> </w:t>
      </w:r>
      <w:r>
        <w:t>term</w:t>
      </w:r>
      <w:r>
        <w:rPr>
          <w:spacing w:val="-2"/>
        </w:rPr>
        <w:t xml:space="preserve"> </w:t>
      </w:r>
      <w:r>
        <w:t>“definition</w:t>
      </w:r>
      <w:r>
        <w:rPr>
          <w:spacing w:val="-1"/>
        </w:rPr>
        <w:t xml:space="preserve"> </w:t>
      </w:r>
      <w:r>
        <w:t>by</w:t>
      </w:r>
      <w:r>
        <w:rPr>
          <w:spacing w:val="-1"/>
        </w:rPr>
        <w:t xml:space="preserve"> </w:t>
      </w:r>
      <w:r>
        <w:t>abstraction”</w:t>
      </w:r>
      <w:r>
        <w:rPr>
          <w:spacing w:val="-1"/>
        </w:rPr>
        <w:t xml:space="preserve"> </w:t>
      </w:r>
      <w:r>
        <w:t>and use the term “analysis by abstraction” in its stead.</w:t>
      </w:r>
    </w:p>
    <w:p w14:paraId="7E0010A1" w14:textId="77777777" w:rsidR="009A58DB" w:rsidRDefault="00000000">
      <w:pPr>
        <w:pStyle w:val="BodyText"/>
        <w:spacing w:before="5" w:line="249" w:lineRule="auto"/>
        <w:ind w:right="359" w:firstLine="360"/>
      </w:pPr>
      <w:r>
        <w:t>Analysis by abstraction is a technique for analyzing comparative properties.</w:t>
      </w:r>
      <w:r>
        <w:rPr>
          <w:spacing w:val="-3"/>
        </w:rPr>
        <w:t xml:space="preserve"> </w:t>
      </w:r>
      <w:r>
        <w:t>(A</w:t>
      </w:r>
      <w:r>
        <w:rPr>
          <w:spacing w:val="-3"/>
        </w:rPr>
        <w:t xml:space="preserve"> </w:t>
      </w:r>
      <w:r>
        <w:t>comparative</w:t>
      </w:r>
      <w:r>
        <w:rPr>
          <w:spacing w:val="-3"/>
        </w:rPr>
        <w:t xml:space="preserve"> </w:t>
      </w:r>
      <w:r>
        <w:t>property</w:t>
      </w:r>
      <w:r>
        <w:rPr>
          <w:spacing w:val="-3"/>
        </w:rPr>
        <w:t xml:space="preserve"> </w:t>
      </w:r>
      <w:r>
        <w:t>is</w:t>
      </w:r>
      <w:r>
        <w:rPr>
          <w:spacing w:val="-3"/>
        </w:rPr>
        <w:t xml:space="preserve"> </w:t>
      </w:r>
      <w:r>
        <w:t>one</w:t>
      </w:r>
      <w:r>
        <w:rPr>
          <w:spacing w:val="-3"/>
        </w:rPr>
        <w:t xml:space="preserve"> </w:t>
      </w:r>
      <w:r>
        <w:t>that</w:t>
      </w:r>
      <w:r>
        <w:rPr>
          <w:spacing w:val="-3"/>
        </w:rPr>
        <w:t xml:space="preserve"> </w:t>
      </w:r>
      <w:r>
        <w:t>can</w:t>
      </w:r>
      <w:r>
        <w:rPr>
          <w:spacing w:val="-3"/>
        </w:rPr>
        <w:t xml:space="preserve"> </w:t>
      </w:r>
      <w:r>
        <w:t>be</w:t>
      </w:r>
      <w:r>
        <w:rPr>
          <w:spacing w:val="-3"/>
        </w:rPr>
        <w:t xml:space="preserve"> </w:t>
      </w:r>
      <w:r>
        <w:t>had</w:t>
      </w:r>
      <w:r>
        <w:rPr>
          <w:spacing w:val="-3"/>
        </w:rPr>
        <w:t xml:space="preserve"> </w:t>
      </w:r>
      <w:r>
        <w:t>to</w:t>
      </w:r>
      <w:r>
        <w:rPr>
          <w:spacing w:val="-3"/>
        </w:rPr>
        <w:t xml:space="preserve"> </w:t>
      </w:r>
      <w:r>
        <w:t>varying</w:t>
      </w:r>
      <w:r>
        <w:rPr>
          <w:spacing w:val="-3"/>
        </w:rPr>
        <w:t xml:space="preserve"> </w:t>
      </w:r>
      <w:r>
        <w:t>degrees. Thus,</w:t>
      </w:r>
      <w:r>
        <w:rPr>
          <w:spacing w:val="-2"/>
        </w:rPr>
        <w:t xml:space="preserve"> </w:t>
      </w:r>
      <w:r>
        <w:t>weight</w:t>
      </w:r>
      <w:r>
        <w:rPr>
          <w:spacing w:val="-2"/>
        </w:rPr>
        <w:t xml:space="preserve"> </w:t>
      </w:r>
      <w:r>
        <w:t>and</w:t>
      </w:r>
      <w:r>
        <w:rPr>
          <w:spacing w:val="-2"/>
        </w:rPr>
        <w:t xml:space="preserve"> </w:t>
      </w:r>
      <w:r>
        <w:t>speed</w:t>
      </w:r>
      <w:r>
        <w:rPr>
          <w:spacing w:val="-2"/>
        </w:rPr>
        <w:t xml:space="preserve"> </w:t>
      </w:r>
      <w:r>
        <w:t>are</w:t>
      </w:r>
      <w:r>
        <w:rPr>
          <w:spacing w:val="-2"/>
        </w:rPr>
        <w:t xml:space="preserve"> </w:t>
      </w:r>
      <w:r>
        <w:t>comparative</w:t>
      </w:r>
      <w:r>
        <w:rPr>
          <w:spacing w:val="-2"/>
        </w:rPr>
        <w:t xml:space="preserve"> </w:t>
      </w:r>
      <w:r>
        <w:t>properties,</w:t>
      </w:r>
      <w:r>
        <w:rPr>
          <w:spacing w:val="-2"/>
        </w:rPr>
        <w:t xml:space="preserve"> </w:t>
      </w:r>
      <w:r>
        <w:t>whereas</w:t>
      </w:r>
      <w:r>
        <w:rPr>
          <w:spacing w:val="-2"/>
        </w:rPr>
        <w:t xml:space="preserve"> </w:t>
      </w:r>
      <w:r>
        <w:t>four-sidedness</w:t>
      </w:r>
      <w:r>
        <w:rPr>
          <w:spacing w:val="-2"/>
        </w:rPr>
        <w:t xml:space="preserve"> </w:t>
      </w:r>
      <w:r>
        <w:t>is not.) Given a comparative property phi, an analysis by abstraction of phi is given by a statement that explains what phi is in terms of what it is for one thing</w:t>
      </w:r>
      <w:r>
        <w:rPr>
          <w:spacing w:val="-2"/>
        </w:rPr>
        <w:t xml:space="preserve"> </w:t>
      </w:r>
      <w:r>
        <w:t>to</w:t>
      </w:r>
      <w:r>
        <w:rPr>
          <w:spacing w:val="-2"/>
        </w:rPr>
        <w:t xml:space="preserve"> </w:t>
      </w:r>
      <w:r>
        <w:t>have</w:t>
      </w:r>
      <w:r>
        <w:rPr>
          <w:spacing w:val="-3"/>
        </w:rPr>
        <w:t xml:space="preserve"> </w:t>
      </w:r>
      <w:r>
        <w:t>phi</w:t>
      </w:r>
      <w:r>
        <w:rPr>
          <w:spacing w:val="-3"/>
        </w:rPr>
        <w:t xml:space="preserve"> </w:t>
      </w:r>
      <w:r>
        <w:t>to</w:t>
      </w:r>
      <w:r>
        <w:rPr>
          <w:spacing w:val="-2"/>
        </w:rPr>
        <w:t xml:space="preserve"> </w:t>
      </w:r>
      <w:r>
        <w:t>a</w:t>
      </w:r>
      <w:r>
        <w:rPr>
          <w:spacing w:val="-3"/>
        </w:rPr>
        <w:t xml:space="preserve"> </w:t>
      </w:r>
      <w:r>
        <w:t>degree</w:t>
      </w:r>
      <w:r>
        <w:rPr>
          <w:spacing w:val="-3"/>
        </w:rPr>
        <w:t xml:space="preserve"> </w:t>
      </w:r>
      <w:r>
        <w:t>equal</w:t>
      </w:r>
      <w:r>
        <w:rPr>
          <w:spacing w:val="-3"/>
        </w:rPr>
        <w:t xml:space="preserve"> </w:t>
      </w:r>
      <w:r>
        <w:t>to,</w:t>
      </w:r>
      <w:r>
        <w:rPr>
          <w:spacing w:val="-2"/>
        </w:rPr>
        <w:t xml:space="preserve"> </w:t>
      </w:r>
      <w:r>
        <w:t>or</w:t>
      </w:r>
      <w:r>
        <w:rPr>
          <w:spacing w:val="-3"/>
        </w:rPr>
        <w:t xml:space="preserve"> </w:t>
      </w:r>
      <w:r>
        <w:t>exceeding,</w:t>
      </w:r>
      <w:r>
        <w:rPr>
          <w:spacing w:val="-2"/>
        </w:rPr>
        <w:t xml:space="preserve"> </w:t>
      </w:r>
      <w:r>
        <w:t>the</w:t>
      </w:r>
      <w:r>
        <w:rPr>
          <w:spacing w:val="-3"/>
        </w:rPr>
        <w:t xml:space="preserve"> </w:t>
      </w:r>
      <w:r>
        <w:t>degree</w:t>
      </w:r>
      <w:r>
        <w:rPr>
          <w:spacing w:val="-3"/>
        </w:rPr>
        <w:t xml:space="preserve"> </w:t>
      </w:r>
      <w:r>
        <w:t>to</w:t>
      </w:r>
      <w:r>
        <w:rPr>
          <w:spacing w:val="-2"/>
        </w:rPr>
        <w:t xml:space="preserve"> </w:t>
      </w:r>
      <w:r>
        <w:t>which</w:t>
      </w:r>
      <w:r>
        <w:rPr>
          <w:spacing w:val="-2"/>
        </w:rPr>
        <w:t xml:space="preserve"> </w:t>
      </w:r>
      <w:r>
        <w:t>some other thing has phi.</w:t>
      </w:r>
    </w:p>
    <w:p w14:paraId="7E0010A2" w14:textId="77777777" w:rsidR="009A58DB" w:rsidRDefault="00000000">
      <w:pPr>
        <w:pStyle w:val="BodyText"/>
        <w:spacing w:before="8" w:line="249" w:lineRule="auto"/>
        <w:ind w:right="364" w:firstLine="360"/>
      </w:pPr>
      <w:r>
        <w:t>It can be said what it is for two sets to have the same number of members, or for one set to have more members than another, without knowing how many members either set has. If the members of the one set can be paired off</w:t>
      </w:r>
    </w:p>
    <w:p w14:paraId="7E0010A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A4" w14:textId="77777777" w:rsidR="009A58DB" w:rsidRDefault="00000000">
      <w:pPr>
        <w:pStyle w:val="BodyText"/>
        <w:spacing w:before="60" w:line="249" w:lineRule="auto"/>
        <w:ind w:right="358"/>
      </w:pPr>
      <w:r>
        <w:lastRenderedPageBreak/>
        <w:t>with the members of the other, they have the same number of members. If not, the set whose members don’t all have partners is the better populated one. Thus, for two sets to be similar (capable of being paired off in the way just</w:t>
      </w:r>
      <w:r>
        <w:rPr>
          <w:spacing w:val="-3"/>
        </w:rPr>
        <w:t xml:space="preserve"> </w:t>
      </w:r>
      <w:r>
        <w:t>described)</w:t>
      </w:r>
      <w:r>
        <w:rPr>
          <w:spacing w:val="-3"/>
        </w:rPr>
        <w:t xml:space="preserve"> </w:t>
      </w:r>
      <w:r>
        <w:rPr>
          <w:i/>
        </w:rPr>
        <w:t>is</w:t>
      </w:r>
      <w:r>
        <w:rPr>
          <w:i/>
          <w:spacing w:val="-2"/>
        </w:rPr>
        <w:t xml:space="preserve"> </w:t>
      </w:r>
      <w:r>
        <w:t xml:space="preserve">for them to be equally populated. We may therefore </w:t>
      </w:r>
      <w:r>
        <w:rPr>
          <w:i/>
        </w:rPr>
        <w:t xml:space="preserve">identify </w:t>
      </w:r>
      <w:r>
        <w:t>the degree to which a given set is populated with the class of (possibl</w:t>
      </w:r>
      <w:bookmarkStart w:id="231" w:name="_bookmark231"/>
      <w:bookmarkEnd w:id="231"/>
      <w:r>
        <w:t>e</w:t>
      </w:r>
      <w:r>
        <w:rPr>
          <w:color w:val="0562C1"/>
          <w:position w:val="21"/>
          <w:u w:val="single" w:color="0562C1"/>
        </w:rPr>
        <w:t>[139]</w:t>
      </w:r>
      <w:r>
        <w:t>) sets that are similar to it, and we may also identify a set’s being populated to that degree with its being a member of that class.</w:t>
      </w:r>
    </w:p>
    <w:p w14:paraId="7E0010A5" w14:textId="77777777" w:rsidR="009A58DB" w:rsidRDefault="00000000">
      <w:pPr>
        <w:pStyle w:val="BodyText"/>
        <w:spacing w:before="13" w:line="249" w:lineRule="auto"/>
        <w:ind w:right="358" w:firstLine="360"/>
        <w:rPr>
          <w:position w:val="21"/>
        </w:rPr>
      </w:pPr>
      <w:r>
        <w:t xml:space="preserve">This technique can be used to analyze any comparative property. (In fact, there is no other way to analyze such a property.) To say that one event preceded some other is to say that the second exceeds the first in respect of the lateness of the time at which it occurred. One can know that one event preceded some other without knowing when either occurred. If there is some possible causal process (e.g., a light ray), beginning with the one and ending with the other, the event on the receiving end of that process is the later one; if there is no such process, the two events are simultaneous. Let us say that one event is “indifferent” to another if there is no possible causal process beginning with either and ending with the other. (If x is indifferent to y, y is indifferent to x.) Two events are simultaneous just in case they occur at the same time, and they are simultaneous if either is indifferent to the other. We may therefore </w:t>
      </w:r>
      <w:r>
        <w:rPr>
          <w:i/>
        </w:rPr>
        <w:t xml:space="preserve">identify </w:t>
      </w:r>
      <w:r>
        <w:t>the time at which an event occurs with the class of events that are indifferent to it</w:t>
      </w:r>
      <w:bookmarkStart w:id="232" w:name="_bookmark232"/>
      <w:bookmarkEnd w:id="232"/>
      <w:r>
        <w:t>.</w:t>
      </w:r>
      <w:r>
        <w:rPr>
          <w:color w:val="0562C1"/>
          <w:position w:val="21"/>
          <w:u w:val="single" w:color="0562C1"/>
        </w:rPr>
        <w:t>[140]</w:t>
      </w:r>
    </w:p>
    <w:p w14:paraId="7E0010A6" w14:textId="77777777" w:rsidR="009A58DB" w:rsidRDefault="00000000">
      <w:pPr>
        <w:pStyle w:val="BodyText"/>
        <w:spacing w:before="17" w:line="249" w:lineRule="auto"/>
        <w:ind w:right="363" w:firstLine="360"/>
      </w:pPr>
      <w:r>
        <w:t xml:space="preserve">We defined ‹x precedes y› as ‹some causal process </w:t>
      </w:r>
      <w:r>
        <w:rPr>
          <w:i/>
        </w:rPr>
        <w:t>begins</w:t>
      </w:r>
      <w:r>
        <w:rPr>
          <w:i/>
          <w:spacing w:val="-4"/>
        </w:rPr>
        <w:t xml:space="preserve"> </w:t>
      </w:r>
      <w:r>
        <w:t xml:space="preserve">with x and </w:t>
      </w:r>
      <w:r>
        <w:rPr>
          <w:i/>
        </w:rPr>
        <w:t xml:space="preserve">ends </w:t>
      </w:r>
      <w:r>
        <w:t>with y.› Since the italicized terms are obviously temporal in nature, our analysis might be thought to be viciously circular.</w:t>
      </w:r>
    </w:p>
    <w:p w14:paraId="7E0010A7" w14:textId="77777777" w:rsidR="009A58DB" w:rsidRDefault="00000000">
      <w:pPr>
        <w:pStyle w:val="BodyText"/>
        <w:spacing w:before="4" w:line="249" w:lineRule="auto"/>
        <w:ind w:right="361" w:firstLine="360"/>
      </w:pPr>
      <w:r>
        <w:t xml:space="preserve">This isn’t so. Our analysis appears circular </w:t>
      </w:r>
      <w:r>
        <w:rPr>
          <w:i/>
        </w:rPr>
        <w:t xml:space="preserve">only </w:t>
      </w:r>
      <w:r>
        <w:t xml:space="preserve">to the extent that it is question-beggingly assumed to be false. If that analysis is right, the concept of causal-influence (i.e., of one’s event being the initiator of a causal process of which the other is the recipient) is </w:t>
      </w:r>
      <w:r>
        <w:rPr>
          <w:i/>
        </w:rPr>
        <w:t xml:space="preserve">more primitive </w:t>
      </w:r>
      <w:r>
        <w:t>than that of order in space-time. So the concept expressed by ‹x causally influences y› (in other words,</w:t>
      </w:r>
      <w:r>
        <w:rPr>
          <w:spacing w:val="-1"/>
        </w:rPr>
        <w:t xml:space="preserve"> </w:t>
      </w:r>
      <w:r>
        <w:t>‹x</w:t>
      </w:r>
      <w:r>
        <w:rPr>
          <w:spacing w:val="-1"/>
        </w:rPr>
        <w:t xml:space="preserve"> </w:t>
      </w:r>
      <w:r>
        <w:t>is</w:t>
      </w:r>
      <w:r>
        <w:rPr>
          <w:spacing w:val="-1"/>
        </w:rPr>
        <w:t xml:space="preserve"> </w:t>
      </w:r>
      <w:r>
        <w:t>the</w:t>
      </w:r>
      <w:r>
        <w:rPr>
          <w:spacing w:val="-1"/>
        </w:rPr>
        <w:t xml:space="preserve"> </w:t>
      </w:r>
      <w:r>
        <w:t>initiator</w:t>
      </w:r>
      <w:r>
        <w:rPr>
          <w:spacing w:val="-1"/>
        </w:rPr>
        <w:t xml:space="preserve"> </w:t>
      </w:r>
      <w:r>
        <w:t>of</w:t>
      </w:r>
      <w:r>
        <w:rPr>
          <w:spacing w:val="-1"/>
        </w:rPr>
        <w:t xml:space="preserve"> </w:t>
      </w:r>
      <w:r>
        <w:t>a</w:t>
      </w:r>
      <w:r>
        <w:rPr>
          <w:spacing w:val="-1"/>
        </w:rPr>
        <w:t xml:space="preserve"> </w:t>
      </w:r>
      <w:r>
        <w:t>causal</w:t>
      </w:r>
      <w:r>
        <w:rPr>
          <w:spacing w:val="-1"/>
        </w:rPr>
        <w:t xml:space="preserve"> </w:t>
      </w:r>
      <w:r>
        <w:t>process</w:t>
      </w:r>
      <w:r>
        <w:rPr>
          <w:spacing w:val="-1"/>
        </w:rPr>
        <w:t xml:space="preserve"> </w:t>
      </w:r>
      <w:r>
        <w:t>of</w:t>
      </w:r>
      <w:r>
        <w:rPr>
          <w:spacing w:val="-1"/>
        </w:rPr>
        <w:t xml:space="preserve"> </w:t>
      </w:r>
      <w:r>
        <w:t>which</w:t>
      </w:r>
      <w:r>
        <w:rPr>
          <w:spacing w:val="-1"/>
        </w:rPr>
        <w:t xml:space="preserve"> </w:t>
      </w:r>
      <w:r>
        <w:t>y</w:t>
      </w:r>
      <w:r>
        <w:rPr>
          <w:spacing w:val="-1"/>
        </w:rPr>
        <w:t xml:space="preserve"> </w:t>
      </w:r>
      <w:r>
        <w:t>is</w:t>
      </w:r>
      <w:r>
        <w:rPr>
          <w:spacing w:val="-1"/>
        </w:rPr>
        <w:t xml:space="preserve"> </w:t>
      </w:r>
      <w:r>
        <w:t>the</w:t>
      </w:r>
      <w:r>
        <w:rPr>
          <w:spacing w:val="-1"/>
        </w:rPr>
        <w:t xml:space="preserve"> </w:t>
      </w:r>
      <w:r>
        <w:t>recipient›)</w:t>
      </w:r>
      <w:r>
        <w:rPr>
          <w:spacing w:val="-1"/>
        </w:rPr>
        <w:t xml:space="preserve"> </w:t>
      </w:r>
      <w:r>
        <w:t>is</w:t>
      </w:r>
      <w:r>
        <w:rPr>
          <w:spacing w:val="-1"/>
        </w:rPr>
        <w:t xml:space="preserve"> </w:t>
      </w:r>
      <w:r>
        <w:t>the primitive concept, and the concept expressed by ‹x precedes y› is the derivative one.</w:t>
      </w:r>
    </w:p>
    <w:p w14:paraId="7E0010A8" w14:textId="77777777" w:rsidR="009A58DB" w:rsidRDefault="00000000">
      <w:pPr>
        <w:pStyle w:val="BodyText"/>
        <w:spacing w:before="10"/>
        <w:ind w:right="372"/>
        <w:jc w:val="right"/>
        <w:rPr>
          <w:i/>
        </w:rPr>
      </w:pPr>
      <w:r>
        <w:t>It’s</w:t>
      </w:r>
      <w:r>
        <w:rPr>
          <w:spacing w:val="28"/>
        </w:rPr>
        <w:t xml:space="preserve"> </w:t>
      </w:r>
      <w:r>
        <w:t>true</w:t>
      </w:r>
      <w:r>
        <w:rPr>
          <w:spacing w:val="29"/>
        </w:rPr>
        <w:t xml:space="preserve"> </w:t>
      </w:r>
      <w:r>
        <w:t>that</w:t>
      </w:r>
      <w:r>
        <w:rPr>
          <w:spacing w:val="28"/>
        </w:rPr>
        <w:t xml:space="preserve"> </w:t>
      </w:r>
      <w:r>
        <w:t>we</w:t>
      </w:r>
      <w:r>
        <w:rPr>
          <w:spacing w:val="29"/>
        </w:rPr>
        <w:t xml:space="preserve"> </w:t>
      </w:r>
      <w:r>
        <w:t>defined</w:t>
      </w:r>
      <w:r>
        <w:rPr>
          <w:spacing w:val="28"/>
        </w:rPr>
        <w:t xml:space="preserve"> </w:t>
      </w:r>
      <w:r>
        <w:t>‹x</w:t>
      </w:r>
      <w:r>
        <w:rPr>
          <w:spacing w:val="29"/>
        </w:rPr>
        <w:t xml:space="preserve"> </w:t>
      </w:r>
      <w:r>
        <w:t>influences</w:t>
      </w:r>
      <w:r>
        <w:rPr>
          <w:spacing w:val="28"/>
        </w:rPr>
        <w:t xml:space="preserve"> </w:t>
      </w:r>
      <w:r>
        <w:t>y›</w:t>
      </w:r>
      <w:r>
        <w:rPr>
          <w:spacing w:val="29"/>
        </w:rPr>
        <w:t xml:space="preserve"> </w:t>
      </w:r>
      <w:r>
        <w:t>as</w:t>
      </w:r>
      <w:r>
        <w:rPr>
          <w:spacing w:val="28"/>
        </w:rPr>
        <w:t xml:space="preserve"> </w:t>
      </w:r>
      <w:r>
        <w:t>‹some</w:t>
      </w:r>
      <w:r>
        <w:rPr>
          <w:spacing w:val="29"/>
        </w:rPr>
        <w:t xml:space="preserve"> </w:t>
      </w:r>
      <w:r>
        <w:t>causal</w:t>
      </w:r>
      <w:r>
        <w:rPr>
          <w:spacing w:val="28"/>
        </w:rPr>
        <w:t xml:space="preserve"> </w:t>
      </w:r>
      <w:r>
        <w:t>process</w:t>
      </w:r>
      <w:r>
        <w:rPr>
          <w:spacing w:val="29"/>
        </w:rPr>
        <w:t xml:space="preserve"> </w:t>
      </w:r>
      <w:r>
        <w:rPr>
          <w:i/>
          <w:spacing w:val="-2"/>
        </w:rPr>
        <w:t>begins</w:t>
      </w:r>
    </w:p>
    <w:p w14:paraId="7E0010A9" w14:textId="77777777" w:rsidR="009A58DB" w:rsidRDefault="00000000">
      <w:pPr>
        <w:spacing w:before="15"/>
        <w:ind w:left="360" w:right="366"/>
        <w:jc w:val="right"/>
        <w:rPr>
          <w:sz w:val="30"/>
        </w:rPr>
      </w:pPr>
      <w:r>
        <w:rPr>
          <w:sz w:val="30"/>
        </w:rPr>
        <w:t>with</w:t>
      </w:r>
      <w:r>
        <w:rPr>
          <w:spacing w:val="73"/>
          <w:sz w:val="30"/>
        </w:rPr>
        <w:t xml:space="preserve"> </w:t>
      </w:r>
      <w:r>
        <w:rPr>
          <w:sz w:val="30"/>
        </w:rPr>
        <w:t>x</w:t>
      </w:r>
      <w:r>
        <w:rPr>
          <w:spacing w:val="73"/>
          <w:sz w:val="30"/>
        </w:rPr>
        <w:t xml:space="preserve"> </w:t>
      </w:r>
      <w:r>
        <w:rPr>
          <w:sz w:val="30"/>
        </w:rPr>
        <w:t>and</w:t>
      </w:r>
      <w:r>
        <w:rPr>
          <w:spacing w:val="73"/>
          <w:sz w:val="30"/>
        </w:rPr>
        <w:t xml:space="preserve"> </w:t>
      </w:r>
      <w:r>
        <w:rPr>
          <w:i/>
          <w:sz w:val="30"/>
        </w:rPr>
        <w:t>ends</w:t>
      </w:r>
      <w:r>
        <w:rPr>
          <w:i/>
          <w:spacing w:val="72"/>
          <w:sz w:val="30"/>
        </w:rPr>
        <w:t xml:space="preserve"> </w:t>
      </w:r>
      <w:r>
        <w:rPr>
          <w:sz w:val="30"/>
        </w:rPr>
        <w:t>with</w:t>
      </w:r>
      <w:r>
        <w:rPr>
          <w:spacing w:val="74"/>
          <w:sz w:val="30"/>
        </w:rPr>
        <w:t xml:space="preserve"> </w:t>
      </w:r>
      <w:r>
        <w:rPr>
          <w:sz w:val="30"/>
        </w:rPr>
        <w:t>y›.</w:t>
      </w:r>
      <w:r>
        <w:rPr>
          <w:spacing w:val="74"/>
          <w:sz w:val="30"/>
        </w:rPr>
        <w:t xml:space="preserve"> </w:t>
      </w:r>
      <w:r>
        <w:rPr>
          <w:sz w:val="30"/>
        </w:rPr>
        <w:t>But</w:t>
      </w:r>
      <w:r>
        <w:rPr>
          <w:spacing w:val="74"/>
          <w:sz w:val="30"/>
        </w:rPr>
        <w:t xml:space="preserve"> </w:t>
      </w:r>
      <w:r>
        <w:rPr>
          <w:sz w:val="30"/>
        </w:rPr>
        <w:t>that</w:t>
      </w:r>
      <w:r>
        <w:rPr>
          <w:spacing w:val="74"/>
          <w:sz w:val="30"/>
        </w:rPr>
        <w:t xml:space="preserve"> </w:t>
      </w:r>
      <w:r>
        <w:rPr>
          <w:sz w:val="30"/>
        </w:rPr>
        <w:t>was</w:t>
      </w:r>
      <w:r>
        <w:rPr>
          <w:spacing w:val="74"/>
          <w:sz w:val="30"/>
        </w:rPr>
        <w:t xml:space="preserve"> </w:t>
      </w:r>
      <w:r>
        <w:rPr>
          <w:sz w:val="30"/>
        </w:rPr>
        <w:t>merely</w:t>
      </w:r>
      <w:r>
        <w:rPr>
          <w:spacing w:val="74"/>
          <w:sz w:val="30"/>
        </w:rPr>
        <w:t xml:space="preserve"> </w:t>
      </w:r>
      <w:r>
        <w:rPr>
          <w:sz w:val="30"/>
        </w:rPr>
        <w:t>a</w:t>
      </w:r>
      <w:r>
        <w:rPr>
          <w:spacing w:val="74"/>
          <w:sz w:val="30"/>
        </w:rPr>
        <w:t xml:space="preserve"> </w:t>
      </w:r>
      <w:r>
        <w:rPr>
          <w:sz w:val="30"/>
        </w:rPr>
        <w:t>way</w:t>
      </w:r>
      <w:r>
        <w:rPr>
          <w:spacing w:val="74"/>
          <w:sz w:val="30"/>
        </w:rPr>
        <w:t xml:space="preserve"> </w:t>
      </w:r>
      <w:r>
        <w:rPr>
          <w:sz w:val="30"/>
        </w:rPr>
        <w:t>of</w:t>
      </w:r>
      <w:r>
        <w:rPr>
          <w:spacing w:val="74"/>
          <w:sz w:val="30"/>
        </w:rPr>
        <w:t xml:space="preserve"> </w:t>
      </w:r>
      <w:r>
        <w:rPr>
          <w:i/>
          <w:sz w:val="30"/>
        </w:rPr>
        <w:t>identifying</w:t>
      </w:r>
      <w:r>
        <w:rPr>
          <w:i/>
          <w:spacing w:val="73"/>
          <w:sz w:val="30"/>
        </w:rPr>
        <w:t xml:space="preserve"> </w:t>
      </w:r>
      <w:r>
        <w:rPr>
          <w:spacing w:val="-5"/>
          <w:sz w:val="30"/>
        </w:rPr>
        <w:t>the</w:t>
      </w:r>
    </w:p>
    <w:p w14:paraId="7E0010AA" w14:textId="77777777" w:rsidR="009A58DB" w:rsidRDefault="009A58DB">
      <w:pPr>
        <w:jc w:val="right"/>
        <w:rPr>
          <w:sz w:val="30"/>
        </w:rPr>
        <w:sectPr w:rsidR="009A58DB">
          <w:pgSz w:w="12240" w:h="15840"/>
          <w:pgMar w:top="1380" w:right="1080" w:bottom="280" w:left="1080" w:header="720" w:footer="720" w:gutter="0"/>
          <w:cols w:space="720"/>
        </w:sectPr>
      </w:pPr>
    </w:p>
    <w:p w14:paraId="7E0010AB" w14:textId="77777777" w:rsidR="009A58DB" w:rsidRDefault="00000000">
      <w:pPr>
        <w:pStyle w:val="BodyText"/>
        <w:spacing w:before="65" w:line="249" w:lineRule="auto"/>
        <w:ind w:right="360"/>
        <w:rPr>
          <w:i/>
        </w:rPr>
      </w:pPr>
      <w:r>
        <w:lastRenderedPageBreak/>
        <w:t>meaning of that expression. That act of identification, being one that</w:t>
      </w:r>
      <w:r>
        <w:rPr>
          <w:spacing w:val="40"/>
        </w:rPr>
        <w:t xml:space="preserve"> </w:t>
      </w:r>
      <w:r>
        <w:t xml:space="preserve">preceded the analysis in question, had to be given in terms that would be meaningful to those who still held onto the idea that causal influence was to be understood in terms of order in time, and not </w:t>
      </w:r>
      <w:r>
        <w:rPr>
          <w:i/>
        </w:rPr>
        <w:t>vice versa.</w:t>
      </w:r>
    </w:p>
    <w:p w14:paraId="7E0010AC" w14:textId="77777777" w:rsidR="009A58DB" w:rsidRDefault="00000000">
      <w:pPr>
        <w:pStyle w:val="BodyText"/>
        <w:spacing w:before="5" w:line="249" w:lineRule="auto"/>
        <w:ind w:right="358" w:firstLine="360"/>
      </w:pPr>
      <w:r>
        <w:t>The concept</w:t>
      </w:r>
      <w:r>
        <w:rPr>
          <w:spacing w:val="-1"/>
        </w:rPr>
        <w:t xml:space="preserve"> </w:t>
      </w:r>
      <w:r>
        <w:t>of weight</w:t>
      </w:r>
      <w:r>
        <w:rPr>
          <w:spacing w:val="-1"/>
        </w:rPr>
        <w:t xml:space="preserve"> </w:t>
      </w:r>
      <w:r>
        <w:t>is to be understood along similar lines. One needn’t know</w:t>
      </w:r>
      <w:r>
        <w:rPr>
          <w:spacing w:val="-19"/>
        </w:rPr>
        <w:t xml:space="preserve"> </w:t>
      </w:r>
      <w:r>
        <w:t>how</w:t>
      </w:r>
      <w:r>
        <w:rPr>
          <w:spacing w:val="-19"/>
        </w:rPr>
        <w:t xml:space="preserve"> </w:t>
      </w:r>
      <w:r>
        <w:t>heavy</w:t>
      </w:r>
      <w:r>
        <w:rPr>
          <w:spacing w:val="-19"/>
        </w:rPr>
        <w:t xml:space="preserve"> </w:t>
      </w:r>
      <w:r>
        <w:t>two</w:t>
      </w:r>
      <w:r>
        <w:rPr>
          <w:spacing w:val="-18"/>
        </w:rPr>
        <w:t xml:space="preserve"> </w:t>
      </w:r>
      <w:r>
        <w:t>objects</w:t>
      </w:r>
      <w:r>
        <w:rPr>
          <w:spacing w:val="-19"/>
        </w:rPr>
        <w:t xml:space="preserve"> </w:t>
      </w:r>
      <w:r>
        <w:t>are</w:t>
      </w:r>
      <w:r>
        <w:rPr>
          <w:spacing w:val="-19"/>
        </w:rPr>
        <w:t xml:space="preserve"> </w:t>
      </w:r>
      <w:r>
        <w:t>to</w:t>
      </w:r>
      <w:r>
        <w:rPr>
          <w:spacing w:val="-19"/>
        </w:rPr>
        <w:t xml:space="preserve"> </w:t>
      </w:r>
      <w:r>
        <w:t>know</w:t>
      </w:r>
      <w:r>
        <w:rPr>
          <w:spacing w:val="-18"/>
        </w:rPr>
        <w:t xml:space="preserve"> </w:t>
      </w:r>
      <w:r>
        <w:t>that</w:t>
      </w:r>
      <w:r>
        <w:rPr>
          <w:spacing w:val="-19"/>
        </w:rPr>
        <w:t xml:space="preserve"> </w:t>
      </w:r>
      <w:r>
        <w:t>they</w:t>
      </w:r>
      <w:r>
        <w:rPr>
          <w:spacing w:val="-19"/>
        </w:rPr>
        <w:t xml:space="preserve"> </w:t>
      </w:r>
      <w:r>
        <w:t>have</w:t>
      </w:r>
      <w:r>
        <w:rPr>
          <w:spacing w:val="-19"/>
        </w:rPr>
        <w:t xml:space="preserve"> </w:t>
      </w:r>
      <w:r>
        <w:t>the</w:t>
      </w:r>
      <w:r>
        <w:rPr>
          <w:spacing w:val="-18"/>
        </w:rPr>
        <w:t xml:space="preserve"> </w:t>
      </w:r>
      <w:r>
        <w:t>same</w:t>
      </w:r>
      <w:r>
        <w:rPr>
          <w:spacing w:val="-19"/>
        </w:rPr>
        <w:t xml:space="preserve"> </w:t>
      </w:r>
      <w:r>
        <w:t>weight</w:t>
      </w:r>
      <w:r>
        <w:rPr>
          <w:spacing w:val="-19"/>
        </w:rPr>
        <w:t xml:space="preserve"> </w:t>
      </w:r>
      <w:r>
        <w:t>or</w:t>
      </w:r>
      <w:r>
        <w:rPr>
          <w:spacing w:val="-19"/>
        </w:rPr>
        <w:t xml:space="preserve"> </w:t>
      </w:r>
      <w:r>
        <w:t xml:space="preserve">that </w:t>
      </w:r>
      <w:r>
        <w:rPr>
          <w:spacing w:val="-2"/>
        </w:rPr>
        <w:t>the</w:t>
      </w:r>
      <w:r>
        <w:rPr>
          <w:spacing w:val="-17"/>
        </w:rPr>
        <w:t xml:space="preserve"> </w:t>
      </w:r>
      <w:r>
        <w:rPr>
          <w:spacing w:val="-2"/>
        </w:rPr>
        <w:t>one</w:t>
      </w:r>
      <w:r>
        <w:rPr>
          <w:spacing w:val="-17"/>
        </w:rPr>
        <w:t xml:space="preserve"> </w:t>
      </w:r>
      <w:r>
        <w:rPr>
          <w:spacing w:val="-2"/>
        </w:rPr>
        <w:t>is</w:t>
      </w:r>
      <w:r>
        <w:rPr>
          <w:spacing w:val="-17"/>
        </w:rPr>
        <w:t xml:space="preserve"> </w:t>
      </w:r>
      <w:r>
        <w:rPr>
          <w:spacing w:val="-2"/>
        </w:rPr>
        <w:t>heavier</w:t>
      </w:r>
      <w:r>
        <w:rPr>
          <w:spacing w:val="-16"/>
        </w:rPr>
        <w:t xml:space="preserve"> </w:t>
      </w:r>
      <w:r>
        <w:rPr>
          <w:spacing w:val="-2"/>
        </w:rPr>
        <w:t>than</w:t>
      </w:r>
      <w:r>
        <w:rPr>
          <w:spacing w:val="-16"/>
        </w:rPr>
        <w:t xml:space="preserve"> </w:t>
      </w:r>
      <w:r>
        <w:rPr>
          <w:spacing w:val="-2"/>
        </w:rPr>
        <w:t>the</w:t>
      </w:r>
      <w:r>
        <w:rPr>
          <w:spacing w:val="-16"/>
        </w:rPr>
        <w:t xml:space="preserve"> </w:t>
      </w:r>
      <w:r>
        <w:rPr>
          <w:spacing w:val="-2"/>
        </w:rPr>
        <w:t>other.</w:t>
      </w:r>
      <w:r>
        <w:rPr>
          <w:spacing w:val="-17"/>
        </w:rPr>
        <w:t xml:space="preserve"> </w:t>
      </w:r>
      <w:r>
        <w:rPr>
          <w:spacing w:val="-2"/>
        </w:rPr>
        <w:t>That</w:t>
      </w:r>
      <w:r>
        <w:rPr>
          <w:spacing w:val="-16"/>
        </w:rPr>
        <w:t xml:space="preserve"> </w:t>
      </w:r>
      <w:r>
        <w:rPr>
          <w:spacing w:val="-2"/>
        </w:rPr>
        <w:t>means</w:t>
      </w:r>
      <w:r>
        <w:rPr>
          <w:spacing w:val="-16"/>
        </w:rPr>
        <w:t xml:space="preserve"> </w:t>
      </w:r>
      <w:r>
        <w:rPr>
          <w:spacing w:val="-2"/>
        </w:rPr>
        <w:t>that,</w:t>
      </w:r>
      <w:r>
        <w:rPr>
          <w:spacing w:val="-16"/>
        </w:rPr>
        <w:t xml:space="preserve"> </w:t>
      </w:r>
      <w:r>
        <w:rPr>
          <w:spacing w:val="-2"/>
        </w:rPr>
        <w:t>given</w:t>
      </w:r>
      <w:r>
        <w:rPr>
          <w:spacing w:val="-16"/>
        </w:rPr>
        <w:t xml:space="preserve"> </w:t>
      </w:r>
      <w:r>
        <w:rPr>
          <w:spacing w:val="-2"/>
        </w:rPr>
        <w:t>any</w:t>
      </w:r>
      <w:r>
        <w:rPr>
          <w:spacing w:val="-16"/>
        </w:rPr>
        <w:t xml:space="preserve"> </w:t>
      </w:r>
      <w:r>
        <w:rPr>
          <w:spacing w:val="-2"/>
        </w:rPr>
        <w:t>two</w:t>
      </w:r>
      <w:r>
        <w:rPr>
          <w:spacing w:val="-16"/>
        </w:rPr>
        <w:t xml:space="preserve"> </w:t>
      </w:r>
      <w:r>
        <w:rPr>
          <w:spacing w:val="-2"/>
        </w:rPr>
        <w:t>objects,</w:t>
      </w:r>
      <w:r>
        <w:rPr>
          <w:spacing w:val="-16"/>
        </w:rPr>
        <w:t xml:space="preserve"> </w:t>
      </w:r>
      <w:r>
        <w:rPr>
          <w:spacing w:val="-2"/>
        </w:rPr>
        <w:t>there</w:t>
      </w:r>
      <w:r>
        <w:rPr>
          <w:spacing w:val="-16"/>
        </w:rPr>
        <w:t xml:space="preserve"> </w:t>
      </w:r>
      <w:r>
        <w:rPr>
          <w:spacing w:val="-2"/>
        </w:rPr>
        <w:t xml:space="preserve">is </w:t>
      </w:r>
      <w:r>
        <w:t>some relation such that their having the same mass can be non-circularly identified</w:t>
      </w:r>
      <w:r>
        <w:rPr>
          <w:spacing w:val="-19"/>
        </w:rPr>
        <w:t xml:space="preserve"> </w:t>
      </w:r>
      <w:r>
        <w:t>with the one’s bearing that relationship to the other. An object’s weight</w:t>
      </w:r>
      <w:r>
        <w:rPr>
          <w:spacing w:val="-5"/>
        </w:rPr>
        <w:t xml:space="preserve"> </w:t>
      </w:r>
      <w:r>
        <w:t>(the</w:t>
      </w:r>
      <w:r>
        <w:rPr>
          <w:spacing w:val="-4"/>
        </w:rPr>
        <w:t xml:space="preserve"> </w:t>
      </w:r>
      <w:r>
        <w:t>degree</w:t>
      </w:r>
      <w:r>
        <w:rPr>
          <w:spacing w:val="-4"/>
        </w:rPr>
        <w:t xml:space="preserve"> </w:t>
      </w:r>
      <w:r>
        <w:t>to</w:t>
      </w:r>
      <w:r>
        <w:rPr>
          <w:spacing w:val="-4"/>
        </w:rPr>
        <w:t xml:space="preserve"> </w:t>
      </w:r>
      <w:r>
        <w:t>which</w:t>
      </w:r>
      <w:r>
        <w:rPr>
          <w:spacing w:val="-4"/>
        </w:rPr>
        <w:t xml:space="preserve"> </w:t>
      </w:r>
      <w:r>
        <w:t>it</w:t>
      </w:r>
      <w:r>
        <w:rPr>
          <w:spacing w:val="-5"/>
        </w:rPr>
        <w:t xml:space="preserve"> </w:t>
      </w:r>
      <w:r>
        <w:t>has</w:t>
      </w:r>
      <w:r>
        <w:rPr>
          <w:spacing w:val="-4"/>
        </w:rPr>
        <w:t xml:space="preserve"> </w:t>
      </w:r>
      <w:r>
        <w:t>weight)</w:t>
      </w:r>
    </w:p>
    <w:p w14:paraId="7E0010A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AE" w14:textId="77777777" w:rsidR="009A58DB" w:rsidRDefault="00000000">
      <w:pPr>
        <w:pStyle w:val="BodyText"/>
        <w:spacing w:before="65" w:line="249" w:lineRule="auto"/>
        <w:ind w:right="357"/>
      </w:pPr>
      <w:r>
        <w:lastRenderedPageBreak/>
        <w:t xml:space="preserve">may therefore be identified with the class of all things to which it bears that relationship. The same thing </w:t>
      </w:r>
      <w:r>
        <w:rPr>
          <w:i/>
        </w:rPr>
        <w:t xml:space="preserve">mutatis mutandis </w:t>
      </w:r>
      <w:r>
        <w:t>holds of speed, length, conductivity, and of any other given comparative property.</w:t>
      </w:r>
    </w:p>
    <w:p w14:paraId="7E0010AF" w14:textId="77777777" w:rsidR="009A58DB" w:rsidRDefault="00000000">
      <w:pPr>
        <w:pStyle w:val="BodyText"/>
        <w:spacing w:before="3" w:line="249" w:lineRule="auto"/>
        <w:ind w:right="358" w:firstLine="360"/>
      </w:pPr>
      <w:r>
        <w:t>A moment ago we said that one can know that x is heavier than y without knowing</w:t>
      </w:r>
      <w:r>
        <w:rPr>
          <w:spacing w:val="-3"/>
        </w:rPr>
        <w:t xml:space="preserve"> </w:t>
      </w:r>
      <w:r>
        <w:t>the</w:t>
      </w:r>
      <w:r>
        <w:rPr>
          <w:spacing w:val="-2"/>
        </w:rPr>
        <w:t xml:space="preserve"> </w:t>
      </w:r>
      <w:r>
        <w:t>weights</w:t>
      </w:r>
      <w:r>
        <w:rPr>
          <w:spacing w:val="-2"/>
        </w:rPr>
        <w:t xml:space="preserve"> </w:t>
      </w:r>
      <w:r>
        <w:t>of</w:t>
      </w:r>
      <w:r>
        <w:rPr>
          <w:spacing w:val="-2"/>
        </w:rPr>
        <w:t xml:space="preserve"> </w:t>
      </w:r>
      <w:r>
        <w:t>either.</w:t>
      </w:r>
      <w:r>
        <w:rPr>
          <w:spacing w:val="-2"/>
        </w:rPr>
        <w:t xml:space="preserve"> </w:t>
      </w:r>
      <w:r>
        <w:t>This</w:t>
      </w:r>
      <w:r>
        <w:rPr>
          <w:spacing w:val="-2"/>
        </w:rPr>
        <w:t xml:space="preserve"> </w:t>
      </w:r>
      <w:r>
        <w:t>must</w:t>
      </w:r>
      <w:r>
        <w:rPr>
          <w:spacing w:val="-2"/>
        </w:rPr>
        <w:t xml:space="preserve"> </w:t>
      </w:r>
      <w:r>
        <w:t>be</w:t>
      </w:r>
      <w:r>
        <w:rPr>
          <w:spacing w:val="-2"/>
        </w:rPr>
        <w:t xml:space="preserve"> </w:t>
      </w:r>
      <w:r>
        <w:t>qualified.</w:t>
      </w:r>
      <w:r>
        <w:rPr>
          <w:spacing w:val="-2"/>
        </w:rPr>
        <w:t xml:space="preserve"> </w:t>
      </w:r>
      <w:r>
        <w:t>When</w:t>
      </w:r>
      <w:r>
        <w:rPr>
          <w:spacing w:val="-2"/>
        </w:rPr>
        <w:t xml:space="preserve"> </w:t>
      </w:r>
      <w:r>
        <w:t>you</w:t>
      </w:r>
      <w:r>
        <w:rPr>
          <w:spacing w:val="-2"/>
        </w:rPr>
        <w:t xml:space="preserve"> </w:t>
      </w:r>
      <w:r>
        <w:t>say</w:t>
      </w:r>
      <w:r>
        <w:rPr>
          <w:spacing w:val="-2"/>
        </w:rPr>
        <w:t xml:space="preserve"> </w:t>
      </w:r>
      <w:r>
        <w:t>that</w:t>
      </w:r>
      <w:r>
        <w:rPr>
          <w:spacing w:val="-2"/>
        </w:rPr>
        <w:t xml:space="preserve"> </w:t>
      </w:r>
      <w:r>
        <w:t xml:space="preserve">you know only the </w:t>
      </w:r>
      <w:r>
        <w:rPr>
          <w:i/>
        </w:rPr>
        <w:t xml:space="preserve">comparative </w:t>
      </w:r>
      <w:r>
        <w:t xml:space="preserve">weights of x and y, but don’t know the </w:t>
      </w:r>
      <w:r>
        <w:rPr>
          <w:i/>
        </w:rPr>
        <w:t xml:space="preserve">actual </w:t>
      </w:r>
      <w:r>
        <w:t xml:space="preserve">weight of either, what you are really saying is that, although you know how x and y compare to each other in respect of weight, you don’t know how either compares in that respect to objects in general. And when you say that you know </w:t>
      </w:r>
      <w:r>
        <w:rPr>
          <w:i/>
        </w:rPr>
        <w:t xml:space="preserve">the </w:t>
      </w:r>
      <w:r>
        <w:t>weights of x and y, and not merely their relative weights, you are saying that you know how each compares in respect of weight, not only with the other, but with objects in general.</w:t>
      </w:r>
    </w:p>
    <w:p w14:paraId="7E0010B0" w14:textId="77777777" w:rsidR="009A58DB" w:rsidRDefault="00000000">
      <w:pPr>
        <w:pStyle w:val="BodyText"/>
        <w:spacing w:before="11" w:line="249" w:lineRule="auto"/>
        <w:ind w:right="360" w:firstLine="360"/>
      </w:pPr>
      <w:r>
        <w:t xml:space="preserve">Thus, </w:t>
      </w:r>
      <w:r>
        <w:rPr>
          <w:i/>
        </w:rPr>
        <w:t xml:space="preserve">all </w:t>
      </w:r>
      <w:r>
        <w:t>knowledge of weight is comparative knowledge. The difference between knowing how x’s weight compares with y’s, on the one hand, and knowing</w:t>
      </w:r>
      <w:r>
        <w:rPr>
          <w:spacing w:val="16"/>
        </w:rPr>
        <w:t xml:space="preserve"> </w:t>
      </w:r>
      <w:r>
        <w:t>how</w:t>
      </w:r>
      <w:r>
        <w:rPr>
          <w:spacing w:val="19"/>
        </w:rPr>
        <w:t xml:space="preserve"> </w:t>
      </w:r>
      <w:r>
        <w:t>many</w:t>
      </w:r>
      <w:r>
        <w:rPr>
          <w:spacing w:val="19"/>
        </w:rPr>
        <w:t xml:space="preserve"> </w:t>
      </w:r>
      <w:r>
        <w:t>pounds</w:t>
      </w:r>
      <w:r>
        <w:rPr>
          <w:spacing w:val="18"/>
        </w:rPr>
        <w:t xml:space="preserve"> </w:t>
      </w:r>
      <w:r>
        <w:t>x</w:t>
      </w:r>
      <w:r>
        <w:rPr>
          <w:spacing w:val="19"/>
        </w:rPr>
        <w:t xml:space="preserve"> </w:t>
      </w:r>
      <w:r>
        <w:t>weighs,</w:t>
      </w:r>
      <w:r>
        <w:rPr>
          <w:spacing w:val="19"/>
        </w:rPr>
        <w:t xml:space="preserve"> </w:t>
      </w:r>
      <w:r>
        <w:t>on</w:t>
      </w:r>
      <w:r>
        <w:rPr>
          <w:spacing w:val="18"/>
        </w:rPr>
        <w:t xml:space="preserve"> </w:t>
      </w:r>
      <w:r>
        <w:t>the</w:t>
      </w:r>
      <w:r>
        <w:rPr>
          <w:spacing w:val="19"/>
        </w:rPr>
        <w:t xml:space="preserve"> </w:t>
      </w:r>
      <w:r>
        <w:t>other,</w:t>
      </w:r>
      <w:r>
        <w:rPr>
          <w:spacing w:val="19"/>
        </w:rPr>
        <w:t xml:space="preserve"> </w:t>
      </w:r>
      <w:r>
        <w:t>is</w:t>
      </w:r>
      <w:r>
        <w:rPr>
          <w:spacing w:val="18"/>
        </w:rPr>
        <w:t xml:space="preserve"> </w:t>
      </w:r>
      <w:r>
        <w:t>simply</w:t>
      </w:r>
      <w:r>
        <w:rPr>
          <w:spacing w:val="19"/>
        </w:rPr>
        <w:t xml:space="preserve"> </w:t>
      </w:r>
      <w:r>
        <w:t>one</w:t>
      </w:r>
      <w:r>
        <w:rPr>
          <w:spacing w:val="19"/>
        </w:rPr>
        <w:t xml:space="preserve"> </w:t>
      </w:r>
      <w:r>
        <w:t>of</w:t>
      </w:r>
      <w:r>
        <w:rPr>
          <w:spacing w:val="19"/>
        </w:rPr>
        <w:t xml:space="preserve"> </w:t>
      </w:r>
      <w:r>
        <w:rPr>
          <w:spacing w:val="-2"/>
        </w:rPr>
        <w:t>degree.</w:t>
      </w:r>
    </w:p>
    <w:p w14:paraId="7E0010B1" w14:textId="77777777" w:rsidR="009A58DB" w:rsidRDefault="00000000">
      <w:pPr>
        <w:pStyle w:val="BodyText"/>
        <w:spacing w:before="4" w:line="249" w:lineRule="auto"/>
        <w:ind w:right="358"/>
      </w:pPr>
      <w:r>
        <w:t xml:space="preserve">‹x weighs 27 lbs› is a condensed way of reporting a great many </w:t>
      </w:r>
      <w:r>
        <w:rPr>
          <w:i/>
        </w:rPr>
        <w:t xml:space="preserve">relative </w:t>
      </w:r>
      <w:r>
        <w:t xml:space="preserve">judgments concerning x’s weight—of reporting a great many judgments concerning x’s weight </w:t>
      </w:r>
      <w:r>
        <w:rPr>
          <w:i/>
        </w:rPr>
        <w:t xml:space="preserve">relative </w:t>
      </w:r>
      <w:r>
        <w:t xml:space="preserve">to some other object’s weight. What we think of as non-comparative knowledge is a condensed mass of comparative knowledge. It follows—though I leave it to the reader as an exercise to say exactly </w:t>
      </w:r>
      <w:r>
        <w:rPr>
          <w:i/>
        </w:rPr>
        <w:t xml:space="preserve">how </w:t>
      </w:r>
      <w:r>
        <w:t xml:space="preserve">it follows—that no viable analysis of a weight, or indeed of any other comparative property, is ever </w:t>
      </w:r>
      <w:r>
        <w:rPr>
          <w:i/>
        </w:rPr>
        <w:t xml:space="preserve">not </w:t>
      </w:r>
      <w:r>
        <w:t>an analysis by abstraction.</w:t>
      </w:r>
    </w:p>
    <w:p w14:paraId="7E0010B2" w14:textId="77777777" w:rsidR="009A58DB" w:rsidRDefault="00000000">
      <w:pPr>
        <w:pStyle w:val="Heading1"/>
        <w:numPr>
          <w:ilvl w:val="0"/>
          <w:numId w:val="159"/>
        </w:numPr>
        <w:tabs>
          <w:tab w:val="left" w:pos="990"/>
        </w:tabs>
        <w:spacing w:before="197"/>
      </w:pPr>
      <w:r>
        <w:t>Putting</w:t>
      </w:r>
      <w:r>
        <w:rPr>
          <w:spacing w:val="-6"/>
        </w:rPr>
        <w:t xml:space="preserve"> </w:t>
      </w:r>
      <w:r>
        <w:t>Frege’s</w:t>
      </w:r>
      <w:r>
        <w:rPr>
          <w:spacing w:val="-6"/>
        </w:rPr>
        <w:t xml:space="preserve"> </w:t>
      </w:r>
      <w:r>
        <w:t>successes</w:t>
      </w:r>
      <w:r>
        <w:rPr>
          <w:spacing w:val="-7"/>
        </w:rPr>
        <w:t xml:space="preserve"> </w:t>
      </w:r>
      <w:r>
        <w:t>into</w:t>
      </w:r>
      <w:r>
        <w:rPr>
          <w:spacing w:val="-5"/>
        </w:rPr>
        <w:t xml:space="preserve"> </w:t>
      </w:r>
      <w:r>
        <w:rPr>
          <w:spacing w:val="-2"/>
        </w:rPr>
        <w:t>perspective</w:t>
      </w:r>
    </w:p>
    <w:p w14:paraId="7E0010B3" w14:textId="77777777" w:rsidR="009A58DB" w:rsidRDefault="00000000">
      <w:pPr>
        <w:pStyle w:val="BodyText"/>
        <w:spacing w:before="139" w:line="249" w:lineRule="auto"/>
        <w:ind w:right="360"/>
      </w:pPr>
      <w:r>
        <w:t>Even though logicism turned out to be a failure, Frege’s formalization of logic was a success. (This is subject to heavy qualifications that lie outside</w:t>
      </w:r>
      <w:r>
        <w:rPr>
          <w:spacing w:val="40"/>
        </w:rPr>
        <w:t xml:space="preserve"> </w:t>
      </w:r>
      <w:r>
        <w:t>the scope of the present work</w:t>
      </w:r>
      <w:bookmarkStart w:id="233" w:name="_bookmark233"/>
      <w:bookmarkEnd w:id="233"/>
      <w:r>
        <w:t>.</w:t>
      </w:r>
      <w:r>
        <w:rPr>
          <w:color w:val="0562C1"/>
          <w:position w:val="21"/>
          <w:u w:val="single" w:color="0562C1"/>
        </w:rPr>
        <w:t>[141]</w:t>
      </w:r>
      <w:r>
        <w:t>) Many have thought that, to the extent that he was able to formalize logic, Frege succeeded in “mechanizing” the making of inferences—in showing that no thought need be involved in the making of inferences and, therefore, that inferences could be made by beings (e.g., punch-card automata) that are otherwise incapable of thought</w:t>
      </w:r>
      <w:bookmarkStart w:id="234" w:name="_bookmark234"/>
      <w:bookmarkEnd w:id="234"/>
      <w:r>
        <w:t>.</w:t>
      </w:r>
      <w:r>
        <w:rPr>
          <w:color w:val="0562C1"/>
          <w:position w:val="21"/>
          <w:u w:val="single" w:color="0562C1"/>
        </w:rPr>
        <w:t>[142]</w:t>
      </w:r>
      <w:r>
        <w:rPr>
          <w:color w:val="0562C1"/>
          <w:spacing w:val="-4"/>
          <w:position w:val="21"/>
        </w:rPr>
        <w:t xml:space="preserve"> </w:t>
      </w:r>
      <w:r>
        <w:t>The idea is that, given a sentence like:</w:t>
      </w:r>
    </w:p>
    <w:p w14:paraId="7E0010B4"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0B5" w14:textId="77777777" w:rsidR="009A58DB" w:rsidRDefault="00000000">
      <w:pPr>
        <w:pStyle w:val="ListParagraph"/>
        <w:numPr>
          <w:ilvl w:val="1"/>
          <w:numId w:val="159"/>
        </w:numPr>
        <w:tabs>
          <w:tab w:val="left" w:pos="785"/>
        </w:tabs>
        <w:spacing w:before="65" w:line="249" w:lineRule="auto"/>
        <w:ind w:right="370" w:firstLine="0"/>
        <w:rPr>
          <w:sz w:val="30"/>
        </w:rPr>
      </w:pPr>
      <w:r>
        <w:rPr>
          <w:sz w:val="30"/>
        </w:rPr>
        <w:lastRenderedPageBreak/>
        <w:t>“for any object x, if x is a mammal, then, if x is intelligent, x doesn’t have pointy ears; and Smith is a mammal and Smith has pointy ears,”</w:t>
      </w:r>
    </w:p>
    <w:p w14:paraId="7E0010B6" w14:textId="77777777" w:rsidR="009A58DB" w:rsidRDefault="009A58DB">
      <w:pPr>
        <w:pStyle w:val="BodyText"/>
        <w:spacing w:before="17"/>
        <w:ind w:left="0"/>
        <w:jc w:val="left"/>
      </w:pPr>
    </w:p>
    <w:p w14:paraId="7E0010B7" w14:textId="77777777" w:rsidR="009A58DB" w:rsidRDefault="00000000">
      <w:pPr>
        <w:pStyle w:val="BodyText"/>
        <w:spacing w:line="249" w:lineRule="auto"/>
        <w:ind w:right="358"/>
      </w:pPr>
      <w:r>
        <w:t xml:space="preserve">a purely morphology-driven entity—i.e., an entity, e.g., a scanning-device that had no understanding of what anything meant and whose activities are driven only by the </w:t>
      </w:r>
      <w:r>
        <w:rPr>
          <w:i/>
        </w:rPr>
        <w:t xml:space="preserve">shapes </w:t>
      </w:r>
      <w:r>
        <w:t>of the symbol-tokens involved—could infer that:</w:t>
      </w:r>
    </w:p>
    <w:p w14:paraId="7E0010B8" w14:textId="77777777" w:rsidR="009A58DB" w:rsidRDefault="009A58DB">
      <w:pPr>
        <w:pStyle w:val="BodyText"/>
        <w:spacing w:before="19"/>
        <w:ind w:left="0"/>
        <w:jc w:val="left"/>
      </w:pPr>
    </w:p>
    <w:p w14:paraId="7E0010B9" w14:textId="77777777" w:rsidR="009A58DB" w:rsidRDefault="00000000">
      <w:pPr>
        <w:pStyle w:val="ListParagraph"/>
        <w:numPr>
          <w:ilvl w:val="1"/>
          <w:numId w:val="159"/>
        </w:numPr>
        <w:tabs>
          <w:tab w:val="left" w:pos="782"/>
        </w:tabs>
        <w:ind w:left="782" w:hanging="422"/>
        <w:rPr>
          <w:sz w:val="30"/>
        </w:rPr>
      </w:pPr>
      <w:r>
        <w:rPr>
          <w:sz w:val="30"/>
        </w:rPr>
        <w:t>“it</w:t>
      </w:r>
      <w:r>
        <w:rPr>
          <w:spacing w:val="-3"/>
          <w:sz w:val="30"/>
        </w:rPr>
        <w:t xml:space="preserve"> </w:t>
      </w:r>
      <w:r>
        <w:rPr>
          <w:sz w:val="30"/>
        </w:rPr>
        <w:t>is</w:t>
      </w:r>
      <w:r>
        <w:rPr>
          <w:spacing w:val="-3"/>
          <w:sz w:val="30"/>
        </w:rPr>
        <w:t xml:space="preserve"> </w:t>
      </w:r>
      <w:r>
        <w:rPr>
          <w:sz w:val="30"/>
        </w:rPr>
        <w:t>not</w:t>
      </w:r>
      <w:r>
        <w:rPr>
          <w:spacing w:val="-3"/>
          <w:sz w:val="30"/>
        </w:rPr>
        <w:t xml:space="preserve"> </w:t>
      </w:r>
      <w:r>
        <w:rPr>
          <w:sz w:val="30"/>
        </w:rPr>
        <w:t>the</w:t>
      </w:r>
      <w:r>
        <w:rPr>
          <w:spacing w:val="-2"/>
          <w:sz w:val="30"/>
        </w:rPr>
        <w:t xml:space="preserve"> </w:t>
      </w:r>
      <w:r>
        <w:rPr>
          <w:sz w:val="30"/>
        </w:rPr>
        <w:t>case</w:t>
      </w:r>
      <w:r>
        <w:rPr>
          <w:spacing w:val="-3"/>
          <w:sz w:val="30"/>
        </w:rPr>
        <w:t xml:space="preserve"> </w:t>
      </w:r>
      <w:r>
        <w:rPr>
          <w:sz w:val="30"/>
        </w:rPr>
        <w:t>that</w:t>
      </w:r>
      <w:r>
        <w:rPr>
          <w:spacing w:val="-3"/>
          <w:sz w:val="30"/>
        </w:rPr>
        <w:t xml:space="preserve"> </w:t>
      </w:r>
      <w:r>
        <w:rPr>
          <w:sz w:val="30"/>
        </w:rPr>
        <w:t>Smith</w:t>
      </w:r>
      <w:r>
        <w:rPr>
          <w:spacing w:val="-2"/>
          <w:sz w:val="30"/>
        </w:rPr>
        <w:t xml:space="preserve"> </w:t>
      </w:r>
      <w:r>
        <w:rPr>
          <w:sz w:val="30"/>
        </w:rPr>
        <w:t>is</w:t>
      </w:r>
      <w:r>
        <w:rPr>
          <w:spacing w:val="-2"/>
          <w:sz w:val="30"/>
        </w:rPr>
        <w:t xml:space="preserve"> intelligent.”</w:t>
      </w:r>
    </w:p>
    <w:p w14:paraId="7E0010BA" w14:textId="77777777" w:rsidR="009A58DB" w:rsidRDefault="009A58DB">
      <w:pPr>
        <w:pStyle w:val="BodyText"/>
        <w:spacing w:before="30"/>
        <w:ind w:left="0"/>
        <w:jc w:val="left"/>
      </w:pPr>
    </w:p>
    <w:p w14:paraId="7E0010BB" w14:textId="77777777" w:rsidR="009A58DB" w:rsidRDefault="00000000">
      <w:pPr>
        <w:pStyle w:val="BodyText"/>
        <w:spacing w:line="249" w:lineRule="auto"/>
        <w:ind w:right="358" w:firstLine="360"/>
      </w:pPr>
      <w:r>
        <w:t xml:space="preserve">It’s granted, of course, that Frege formalized only a miniscule class of inferences. But it’s held that </w:t>
      </w:r>
      <w:r>
        <w:rPr>
          <w:i/>
        </w:rPr>
        <w:t xml:space="preserve">to the extent, </w:t>
      </w:r>
      <w:r>
        <w:t xml:space="preserve">however limited that extent was, that he was able to formalize the making of inferences, he showed that suitably constructed machines could think. And those who hold this hold that others who, like Frege, have formalized some class of inferences have </w:t>
      </w:r>
      <w:r>
        <w:rPr>
          <w:i/>
        </w:rPr>
        <w:t>ipso facto</w:t>
      </w:r>
      <w:r>
        <w:rPr>
          <w:i/>
          <w:spacing w:val="40"/>
        </w:rPr>
        <w:t xml:space="preserve"> </w:t>
      </w:r>
      <w:r>
        <w:t>shown that inferences could be made without thinking and could therefore be made by non-thinkers.</w:t>
      </w:r>
    </w:p>
    <w:p w14:paraId="7E0010BC" w14:textId="77777777" w:rsidR="009A58DB" w:rsidRDefault="00000000">
      <w:pPr>
        <w:pStyle w:val="BodyText"/>
        <w:spacing w:before="9" w:line="249" w:lineRule="auto"/>
        <w:ind w:right="359" w:firstLine="360"/>
      </w:pPr>
      <w:r>
        <w:t xml:space="preserve">This is deeply absurd. First of all, it’s tantamount to saying that thinking can be done without thinking. To make an inference </w:t>
      </w:r>
      <w:r>
        <w:rPr>
          <w:i/>
        </w:rPr>
        <w:t xml:space="preserve">is </w:t>
      </w:r>
      <w:r>
        <w:t>to think. So an unthinking being</w:t>
      </w:r>
      <w:r>
        <w:rPr>
          <w:spacing w:val="40"/>
        </w:rPr>
        <w:t xml:space="preserve"> </w:t>
      </w:r>
      <w:r>
        <w:rPr>
          <w:i/>
        </w:rPr>
        <w:t>ipso facto</w:t>
      </w:r>
      <w:r>
        <w:rPr>
          <w:i/>
          <w:spacing w:val="40"/>
        </w:rPr>
        <w:t xml:space="preserve"> </w:t>
      </w:r>
      <w:r>
        <w:t>can’t make inferences.</w:t>
      </w:r>
    </w:p>
    <w:p w14:paraId="7E0010BD" w14:textId="77777777" w:rsidR="009A58DB" w:rsidRDefault="00000000">
      <w:pPr>
        <w:pStyle w:val="BodyText"/>
        <w:spacing w:before="3" w:line="249" w:lineRule="auto"/>
        <w:ind w:right="371" w:firstLine="360"/>
      </w:pPr>
      <w:r>
        <w:t>This argument is likely to be seen as nothing more than a joke. And it is a joke. But it’s a joke only because, like any good joke, it states the obvious.</w:t>
      </w:r>
    </w:p>
    <w:p w14:paraId="7E0010BE" w14:textId="77777777" w:rsidR="009A58DB" w:rsidRDefault="00000000">
      <w:pPr>
        <w:pStyle w:val="BodyText"/>
        <w:spacing w:before="3" w:line="249" w:lineRule="auto"/>
        <w:ind w:right="361" w:firstLine="360"/>
      </w:pPr>
      <w:r>
        <w:t>In any case, here’s a joke-free argument. Suppose that device M is given tokens of (i) and (ii) as inputs and that, in response, it outputs a token of (iii). It</w:t>
      </w:r>
      <w:r>
        <w:rPr>
          <w:spacing w:val="10"/>
        </w:rPr>
        <w:t xml:space="preserve"> </w:t>
      </w:r>
      <w:r>
        <w:t>doesn’t</w:t>
      </w:r>
      <w:r>
        <w:rPr>
          <w:spacing w:val="10"/>
        </w:rPr>
        <w:t xml:space="preserve"> </w:t>
      </w:r>
      <w:r>
        <w:t>follow</w:t>
      </w:r>
      <w:r>
        <w:rPr>
          <w:spacing w:val="11"/>
        </w:rPr>
        <w:t xml:space="preserve"> </w:t>
      </w:r>
      <w:r>
        <w:t>M</w:t>
      </w:r>
      <w:r>
        <w:rPr>
          <w:spacing w:val="10"/>
        </w:rPr>
        <w:t xml:space="preserve"> </w:t>
      </w:r>
      <w:r>
        <w:t>has</w:t>
      </w:r>
      <w:r>
        <w:rPr>
          <w:spacing w:val="12"/>
        </w:rPr>
        <w:t xml:space="preserve"> </w:t>
      </w:r>
      <w:r>
        <w:rPr>
          <w:i/>
        </w:rPr>
        <w:t>inferred</w:t>
      </w:r>
      <w:r>
        <w:rPr>
          <w:i/>
          <w:spacing w:val="-1"/>
        </w:rPr>
        <w:t xml:space="preserve"> </w:t>
      </w:r>
      <w:r>
        <w:t>anything.</w:t>
      </w:r>
      <w:r>
        <w:rPr>
          <w:spacing w:val="15"/>
        </w:rPr>
        <w:t xml:space="preserve"> </w:t>
      </w:r>
      <w:r>
        <w:t>If</w:t>
      </w:r>
      <w:r>
        <w:rPr>
          <w:spacing w:val="13"/>
        </w:rPr>
        <w:t xml:space="preserve"> </w:t>
      </w:r>
      <w:r>
        <w:t>M’s</w:t>
      </w:r>
      <w:r>
        <w:rPr>
          <w:spacing w:val="14"/>
        </w:rPr>
        <w:t xml:space="preserve"> </w:t>
      </w:r>
      <w:r>
        <w:t>outputting</w:t>
      </w:r>
      <w:r>
        <w:rPr>
          <w:spacing w:val="14"/>
        </w:rPr>
        <w:t xml:space="preserve"> </w:t>
      </w:r>
      <w:r>
        <w:t>T</w:t>
      </w:r>
      <w:r>
        <w:rPr>
          <w:vertAlign w:val="subscript"/>
        </w:rPr>
        <w:t>3</w:t>
      </w:r>
      <w:r>
        <w:rPr>
          <w:spacing w:val="15"/>
        </w:rPr>
        <w:t xml:space="preserve"> </w:t>
      </w:r>
      <w:r>
        <w:t>is</w:t>
      </w:r>
      <w:r>
        <w:rPr>
          <w:spacing w:val="13"/>
        </w:rPr>
        <w:t xml:space="preserve"> </w:t>
      </w:r>
      <w:r>
        <w:t>to</w:t>
      </w:r>
      <w:r>
        <w:rPr>
          <w:spacing w:val="14"/>
        </w:rPr>
        <w:t xml:space="preserve"> </w:t>
      </w:r>
      <w:r>
        <w:rPr>
          <w:spacing w:val="-2"/>
        </w:rPr>
        <w:t>embody</w:t>
      </w:r>
    </w:p>
    <w:p w14:paraId="7E0010BF" w14:textId="77777777" w:rsidR="009A58DB" w:rsidRDefault="00000000">
      <w:pPr>
        <w:pStyle w:val="BodyText"/>
        <w:spacing w:before="63" w:line="292" w:lineRule="auto"/>
        <w:ind w:right="364"/>
      </w:pPr>
      <w:r>
        <w:t>an inference of any kind, it isn’t enough that T</w:t>
      </w:r>
      <w:r>
        <w:rPr>
          <w:vertAlign w:val="subscript"/>
        </w:rPr>
        <w:t>1</w:t>
      </w:r>
      <w:r>
        <w:t xml:space="preserve"> and T</w:t>
      </w:r>
      <w:r>
        <w:rPr>
          <w:vertAlign w:val="subscript"/>
        </w:rPr>
        <w:t>2</w:t>
      </w:r>
      <w:r>
        <w:t xml:space="preserve"> be what led M to do so. It is necessar</w:t>
      </w:r>
      <w:bookmarkStart w:id="235" w:name="_bookmark235"/>
      <w:bookmarkEnd w:id="235"/>
      <w:r>
        <w:t>y</w:t>
      </w:r>
      <w:r>
        <w:rPr>
          <w:color w:val="0562C1"/>
          <w:position w:val="21"/>
          <w:u w:val="single" w:color="0562C1"/>
        </w:rPr>
        <w:t>[143]</w:t>
      </w:r>
      <w:r>
        <w:rPr>
          <w:color w:val="0562C1"/>
          <w:spacing w:val="-12"/>
          <w:position w:val="21"/>
        </w:rPr>
        <w:t xml:space="preserve"> </w:t>
      </w:r>
      <w:r>
        <w:t xml:space="preserve">that their being </w:t>
      </w:r>
      <w:r>
        <w:rPr>
          <w:i/>
        </w:rPr>
        <w:t xml:space="preserve">symbols </w:t>
      </w:r>
      <w:r>
        <w:t>be what led M to output T</w:t>
      </w:r>
      <w:r>
        <w:rPr>
          <w:position w:val="-7"/>
          <w:sz w:val="22"/>
        </w:rPr>
        <w:t>3</w:t>
      </w:r>
      <w:r>
        <w:t>.</w:t>
      </w:r>
    </w:p>
    <w:p w14:paraId="7E0010C0" w14:textId="77777777" w:rsidR="009A58DB" w:rsidRDefault="00000000">
      <w:pPr>
        <w:pStyle w:val="BodyText"/>
        <w:spacing w:line="281" w:lineRule="exact"/>
        <w:ind w:left="720"/>
      </w:pPr>
      <w:r>
        <w:rPr>
          <w:spacing w:val="-2"/>
        </w:rPr>
        <w:t>Imagine</w:t>
      </w:r>
      <w:r>
        <w:rPr>
          <w:spacing w:val="-17"/>
        </w:rPr>
        <w:t xml:space="preserve"> </w:t>
      </w:r>
      <w:r>
        <w:rPr>
          <w:spacing w:val="-2"/>
        </w:rPr>
        <w:t>the</w:t>
      </w:r>
      <w:r>
        <w:rPr>
          <w:spacing w:val="-17"/>
        </w:rPr>
        <w:t xml:space="preserve"> </w:t>
      </w:r>
      <w:r>
        <w:rPr>
          <w:spacing w:val="-2"/>
        </w:rPr>
        <w:t>following.</w:t>
      </w:r>
      <w:r>
        <w:rPr>
          <w:spacing w:val="-17"/>
        </w:rPr>
        <w:t xml:space="preserve"> </w:t>
      </w:r>
      <w:r>
        <w:rPr>
          <w:spacing w:val="-2"/>
        </w:rPr>
        <w:t>You</w:t>
      </w:r>
      <w:r>
        <w:rPr>
          <w:spacing w:val="-16"/>
        </w:rPr>
        <w:t xml:space="preserve"> </w:t>
      </w:r>
      <w:r>
        <w:rPr>
          <w:spacing w:val="-2"/>
        </w:rPr>
        <w:t>say</w:t>
      </w:r>
      <w:r>
        <w:rPr>
          <w:spacing w:val="-17"/>
        </w:rPr>
        <w:t xml:space="preserve"> </w:t>
      </w:r>
      <w:r>
        <w:rPr>
          <w:spacing w:val="-2"/>
        </w:rPr>
        <w:t>to</w:t>
      </w:r>
      <w:r>
        <w:rPr>
          <w:spacing w:val="-17"/>
        </w:rPr>
        <w:t xml:space="preserve"> </w:t>
      </w:r>
      <w:r>
        <w:rPr>
          <w:spacing w:val="-2"/>
        </w:rPr>
        <w:t>me:</w:t>
      </w:r>
      <w:r>
        <w:rPr>
          <w:spacing w:val="-17"/>
        </w:rPr>
        <w:t xml:space="preserve"> </w:t>
      </w:r>
      <w:r>
        <w:rPr>
          <w:spacing w:val="-2"/>
        </w:rPr>
        <w:t>“The</w:t>
      </w:r>
      <w:r>
        <w:rPr>
          <w:spacing w:val="-16"/>
        </w:rPr>
        <w:t xml:space="preserve"> </w:t>
      </w:r>
      <w:r>
        <w:rPr>
          <w:spacing w:val="-2"/>
        </w:rPr>
        <w:t>one</w:t>
      </w:r>
      <w:r>
        <w:rPr>
          <w:spacing w:val="-15"/>
        </w:rPr>
        <w:t xml:space="preserve"> </w:t>
      </w:r>
      <w:r>
        <w:rPr>
          <w:spacing w:val="-2"/>
        </w:rPr>
        <w:t>copy</w:t>
      </w:r>
      <w:r>
        <w:rPr>
          <w:spacing w:val="-16"/>
        </w:rPr>
        <w:t xml:space="preserve"> </w:t>
      </w:r>
      <w:r>
        <w:rPr>
          <w:spacing w:val="-2"/>
        </w:rPr>
        <w:t>of</w:t>
      </w:r>
      <w:r>
        <w:rPr>
          <w:spacing w:val="-15"/>
        </w:rPr>
        <w:t xml:space="preserve"> </w:t>
      </w:r>
      <w:r>
        <w:rPr>
          <w:spacing w:val="-2"/>
        </w:rPr>
        <w:t>your</w:t>
      </w:r>
      <w:r>
        <w:rPr>
          <w:spacing w:val="-16"/>
        </w:rPr>
        <w:t xml:space="preserve"> </w:t>
      </w:r>
      <w:r>
        <w:rPr>
          <w:spacing w:val="-2"/>
        </w:rPr>
        <w:t>manuscript</w:t>
      </w:r>
      <w:r>
        <w:rPr>
          <w:spacing w:val="-15"/>
        </w:rPr>
        <w:t xml:space="preserve"> </w:t>
      </w:r>
      <w:r>
        <w:rPr>
          <w:spacing w:val="-5"/>
        </w:rPr>
        <w:t>has</w:t>
      </w:r>
    </w:p>
    <w:p w14:paraId="7E0010C1" w14:textId="77777777" w:rsidR="009A58DB" w:rsidRDefault="00000000">
      <w:pPr>
        <w:pStyle w:val="BodyText"/>
        <w:spacing w:before="15" w:line="249" w:lineRule="auto"/>
        <w:ind w:right="356"/>
      </w:pPr>
      <w:r>
        <w:rPr>
          <w:spacing w:val="-4"/>
        </w:rPr>
        <w:t>just</w:t>
      </w:r>
      <w:r>
        <w:rPr>
          <w:spacing w:val="-15"/>
        </w:rPr>
        <w:t xml:space="preserve"> </w:t>
      </w:r>
      <w:r>
        <w:rPr>
          <w:spacing w:val="-4"/>
        </w:rPr>
        <w:t>been</w:t>
      </w:r>
      <w:r>
        <w:rPr>
          <w:spacing w:val="-15"/>
        </w:rPr>
        <w:t xml:space="preserve"> </w:t>
      </w:r>
      <w:r>
        <w:rPr>
          <w:spacing w:val="-4"/>
        </w:rPr>
        <w:t>destroyed.”</w:t>
      </w:r>
      <w:r>
        <w:rPr>
          <w:spacing w:val="-15"/>
        </w:rPr>
        <w:t xml:space="preserve"> </w:t>
      </w:r>
      <w:r>
        <w:rPr>
          <w:spacing w:val="-4"/>
        </w:rPr>
        <w:t>As</w:t>
      </w:r>
      <w:r>
        <w:rPr>
          <w:spacing w:val="-14"/>
        </w:rPr>
        <w:t xml:space="preserve"> </w:t>
      </w:r>
      <w:r>
        <w:rPr>
          <w:spacing w:val="-4"/>
        </w:rPr>
        <w:t>a</w:t>
      </w:r>
      <w:r>
        <w:rPr>
          <w:spacing w:val="-15"/>
        </w:rPr>
        <w:t xml:space="preserve"> </w:t>
      </w:r>
      <w:r>
        <w:rPr>
          <w:spacing w:val="-4"/>
        </w:rPr>
        <w:t>result</w:t>
      </w:r>
      <w:r>
        <w:rPr>
          <w:spacing w:val="-15"/>
        </w:rPr>
        <w:t xml:space="preserve"> </w:t>
      </w:r>
      <w:r>
        <w:rPr>
          <w:spacing w:val="-4"/>
        </w:rPr>
        <w:t>of</w:t>
      </w:r>
      <w:r>
        <w:rPr>
          <w:spacing w:val="-15"/>
        </w:rPr>
        <w:t xml:space="preserve"> </w:t>
      </w:r>
      <w:r>
        <w:rPr>
          <w:spacing w:val="-4"/>
        </w:rPr>
        <w:t>your</w:t>
      </w:r>
      <w:r>
        <w:rPr>
          <w:spacing w:val="-14"/>
        </w:rPr>
        <w:t xml:space="preserve"> </w:t>
      </w:r>
      <w:r>
        <w:rPr>
          <w:spacing w:val="-4"/>
        </w:rPr>
        <w:t>saying</w:t>
      </w:r>
      <w:r>
        <w:rPr>
          <w:spacing w:val="-15"/>
        </w:rPr>
        <w:t xml:space="preserve"> </w:t>
      </w:r>
      <w:r>
        <w:rPr>
          <w:spacing w:val="-4"/>
        </w:rPr>
        <w:t>this</w:t>
      </w:r>
      <w:r>
        <w:rPr>
          <w:spacing w:val="-15"/>
        </w:rPr>
        <w:t xml:space="preserve"> </w:t>
      </w:r>
      <w:r>
        <w:rPr>
          <w:spacing w:val="-4"/>
        </w:rPr>
        <w:t>I</w:t>
      </w:r>
      <w:r>
        <w:rPr>
          <w:spacing w:val="-15"/>
        </w:rPr>
        <w:t xml:space="preserve"> </w:t>
      </w:r>
      <w:r>
        <w:rPr>
          <w:spacing w:val="-4"/>
        </w:rPr>
        <w:t>faint.</w:t>
      </w:r>
      <w:r>
        <w:rPr>
          <w:spacing w:val="-14"/>
        </w:rPr>
        <w:t xml:space="preserve"> </w:t>
      </w:r>
      <w:r>
        <w:rPr>
          <w:spacing w:val="-4"/>
        </w:rPr>
        <w:t>But</w:t>
      </w:r>
      <w:r>
        <w:rPr>
          <w:spacing w:val="-15"/>
        </w:rPr>
        <w:t xml:space="preserve"> </w:t>
      </w:r>
      <w:r>
        <w:rPr>
          <w:spacing w:val="-4"/>
        </w:rPr>
        <w:t>I</w:t>
      </w:r>
      <w:r>
        <w:rPr>
          <w:spacing w:val="-15"/>
        </w:rPr>
        <w:t xml:space="preserve"> </w:t>
      </w:r>
      <w:r>
        <w:rPr>
          <w:spacing w:val="-4"/>
        </w:rPr>
        <w:t>faint</w:t>
      </w:r>
      <w:r>
        <w:rPr>
          <w:spacing w:val="-15"/>
        </w:rPr>
        <w:t xml:space="preserve"> </w:t>
      </w:r>
      <w:r>
        <w:rPr>
          <w:i/>
          <w:spacing w:val="-4"/>
        </w:rPr>
        <w:t>not</w:t>
      </w:r>
      <w:r>
        <w:rPr>
          <w:i/>
          <w:spacing w:val="-14"/>
        </w:rPr>
        <w:t xml:space="preserve"> </w:t>
      </w:r>
      <w:r>
        <w:rPr>
          <w:spacing w:val="-4"/>
        </w:rPr>
        <w:t xml:space="preserve">because </w:t>
      </w:r>
      <w:r>
        <w:t>of</w:t>
      </w:r>
      <w:r>
        <w:rPr>
          <w:spacing w:val="-19"/>
        </w:rPr>
        <w:t xml:space="preserve"> </w:t>
      </w:r>
      <w:r>
        <w:t>what</w:t>
      </w:r>
      <w:r>
        <w:rPr>
          <w:spacing w:val="-19"/>
        </w:rPr>
        <w:t xml:space="preserve"> </w:t>
      </w:r>
      <w:r>
        <w:t>your</w:t>
      </w:r>
      <w:r>
        <w:rPr>
          <w:spacing w:val="-19"/>
        </w:rPr>
        <w:t xml:space="preserve"> </w:t>
      </w:r>
      <w:r>
        <w:t>utterance</w:t>
      </w:r>
      <w:r>
        <w:rPr>
          <w:spacing w:val="-18"/>
        </w:rPr>
        <w:t xml:space="preserve"> </w:t>
      </w:r>
      <w:r>
        <w:t>meant.</w:t>
      </w:r>
      <w:r>
        <w:rPr>
          <w:spacing w:val="-19"/>
        </w:rPr>
        <w:t xml:space="preserve"> </w:t>
      </w:r>
      <w:r>
        <w:t>Rather,</w:t>
      </w:r>
      <w:r>
        <w:rPr>
          <w:spacing w:val="-19"/>
        </w:rPr>
        <w:t xml:space="preserve"> </w:t>
      </w:r>
      <w:r>
        <w:t>I</w:t>
      </w:r>
      <w:r>
        <w:rPr>
          <w:spacing w:val="-19"/>
        </w:rPr>
        <w:t xml:space="preserve"> </w:t>
      </w:r>
      <w:r>
        <w:t>faint</w:t>
      </w:r>
      <w:r>
        <w:rPr>
          <w:spacing w:val="-18"/>
        </w:rPr>
        <w:t xml:space="preserve"> </w:t>
      </w:r>
      <w:r>
        <w:t>because</w:t>
      </w:r>
      <w:r>
        <w:rPr>
          <w:spacing w:val="-19"/>
        </w:rPr>
        <w:t xml:space="preserve"> </w:t>
      </w:r>
      <w:r>
        <w:t>you</w:t>
      </w:r>
      <w:r>
        <w:rPr>
          <w:spacing w:val="-19"/>
        </w:rPr>
        <w:t xml:space="preserve"> </w:t>
      </w:r>
      <w:r>
        <w:t>spoke</w:t>
      </w:r>
      <w:r>
        <w:rPr>
          <w:spacing w:val="-19"/>
        </w:rPr>
        <w:t xml:space="preserve"> </w:t>
      </w:r>
      <w:r>
        <w:t>so</w:t>
      </w:r>
      <w:r>
        <w:rPr>
          <w:spacing w:val="-18"/>
        </w:rPr>
        <w:t xml:space="preserve"> </w:t>
      </w:r>
      <w:r>
        <w:t>loudly</w:t>
      </w:r>
      <w:r>
        <w:rPr>
          <w:spacing w:val="-19"/>
        </w:rPr>
        <w:t xml:space="preserve"> </w:t>
      </w:r>
      <w:r>
        <w:t>that</w:t>
      </w:r>
      <w:r>
        <w:rPr>
          <w:spacing w:val="-19"/>
        </w:rPr>
        <w:t xml:space="preserve"> </w:t>
      </w:r>
      <w:r>
        <w:t>it traumatized</w:t>
      </w:r>
      <w:r>
        <w:rPr>
          <w:spacing w:val="-4"/>
        </w:rPr>
        <w:t xml:space="preserve"> </w:t>
      </w:r>
      <w:r>
        <w:t>me.</w:t>
      </w:r>
      <w:r>
        <w:rPr>
          <w:spacing w:val="-4"/>
        </w:rPr>
        <w:t xml:space="preserve"> </w:t>
      </w:r>
      <w:r>
        <w:t>My</w:t>
      </w:r>
      <w:r>
        <w:rPr>
          <w:spacing w:val="-4"/>
        </w:rPr>
        <w:t xml:space="preserve"> </w:t>
      </w:r>
      <w:r>
        <w:t>response</w:t>
      </w:r>
      <w:r>
        <w:rPr>
          <w:spacing w:val="-4"/>
        </w:rPr>
        <w:t xml:space="preserve"> </w:t>
      </w:r>
      <w:r>
        <w:t>wasn’t</w:t>
      </w:r>
      <w:r>
        <w:rPr>
          <w:spacing w:val="-4"/>
        </w:rPr>
        <w:t xml:space="preserve"> </w:t>
      </w:r>
      <w:r>
        <w:t>of</w:t>
      </w:r>
      <w:r>
        <w:rPr>
          <w:spacing w:val="-4"/>
        </w:rPr>
        <w:t xml:space="preserve"> </w:t>
      </w:r>
      <w:r>
        <w:t>a</w:t>
      </w:r>
      <w:r>
        <w:rPr>
          <w:spacing w:val="-4"/>
        </w:rPr>
        <w:t xml:space="preserve"> </w:t>
      </w:r>
      <w:r>
        <w:t>linguistic</w:t>
      </w:r>
      <w:r>
        <w:rPr>
          <w:spacing w:val="-4"/>
        </w:rPr>
        <w:t xml:space="preserve"> </w:t>
      </w:r>
      <w:r>
        <w:t>nature.</w:t>
      </w:r>
      <w:r>
        <w:rPr>
          <w:spacing w:val="-4"/>
        </w:rPr>
        <w:t xml:space="preserve"> </w:t>
      </w:r>
      <w:r>
        <w:t>It’s</w:t>
      </w:r>
      <w:r>
        <w:rPr>
          <w:spacing w:val="-4"/>
        </w:rPr>
        <w:t xml:space="preserve"> </w:t>
      </w:r>
      <w:r>
        <w:t>true</w:t>
      </w:r>
      <w:r>
        <w:rPr>
          <w:spacing w:val="-4"/>
        </w:rPr>
        <w:t xml:space="preserve"> </w:t>
      </w:r>
      <w:r>
        <w:t>that</w:t>
      </w:r>
      <w:r>
        <w:rPr>
          <w:spacing w:val="-4"/>
        </w:rPr>
        <w:t xml:space="preserve"> </w:t>
      </w:r>
      <w:r>
        <w:t>it</w:t>
      </w:r>
      <w:r>
        <w:rPr>
          <w:spacing w:val="-4"/>
        </w:rPr>
        <w:t xml:space="preserve"> </w:t>
      </w:r>
      <w:r>
        <w:t xml:space="preserve">was </w:t>
      </w:r>
      <w:r>
        <w:rPr>
          <w:spacing w:val="-2"/>
        </w:rPr>
        <w:t>caused</w:t>
      </w:r>
    </w:p>
    <w:p w14:paraId="7E0010C2" w14:textId="77777777" w:rsidR="009A58DB" w:rsidRDefault="00000000">
      <w:pPr>
        <w:pStyle w:val="BodyText"/>
        <w:spacing w:before="5" w:line="249" w:lineRule="auto"/>
        <w:ind w:right="363"/>
      </w:pPr>
      <w:r>
        <w:t xml:space="preserve">by a linguistic act on your part. But your act’s </w:t>
      </w:r>
      <w:r>
        <w:rPr>
          <w:i/>
        </w:rPr>
        <w:t xml:space="preserve">being </w:t>
      </w:r>
      <w:r>
        <w:t>a linguistic act was irrelevant; it could just as well have been an explosion or the ringing of a</w:t>
      </w:r>
      <w:r>
        <w:rPr>
          <w:spacing w:val="80"/>
        </w:rPr>
        <w:t xml:space="preserve"> </w:t>
      </w:r>
      <w:r>
        <w:rPr>
          <w:spacing w:val="-2"/>
        </w:rPr>
        <w:t>bell.</w:t>
      </w:r>
    </w:p>
    <w:p w14:paraId="7E0010C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C4" w14:textId="77777777" w:rsidR="009A58DB" w:rsidRDefault="00000000">
      <w:pPr>
        <w:pStyle w:val="BodyText"/>
        <w:spacing w:before="65" w:line="249" w:lineRule="auto"/>
        <w:ind w:right="358" w:firstLine="360"/>
      </w:pPr>
      <w:r>
        <w:lastRenderedPageBreak/>
        <w:t>Let’s</w:t>
      </w:r>
      <w:r>
        <w:rPr>
          <w:spacing w:val="-3"/>
        </w:rPr>
        <w:t xml:space="preserve"> </w:t>
      </w:r>
      <w:r>
        <w:t>change</w:t>
      </w:r>
      <w:r>
        <w:rPr>
          <w:spacing w:val="-3"/>
        </w:rPr>
        <w:t xml:space="preserve"> </w:t>
      </w:r>
      <w:r>
        <w:t>the</w:t>
      </w:r>
      <w:r>
        <w:rPr>
          <w:spacing w:val="-3"/>
        </w:rPr>
        <w:t xml:space="preserve"> </w:t>
      </w:r>
      <w:r>
        <w:t>story.</w:t>
      </w:r>
      <w:r>
        <w:rPr>
          <w:spacing w:val="-3"/>
        </w:rPr>
        <w:t xml:space="preserve"> </w:t>
      </w:r>
      <w:r>
        <w:t>Because</w:t>
      </w:r>
      <w:r>
        <w:rPr>
          <w:spacing w:val="-3"/>
        </w:rPr>
        <w:t xml:space="preserve"> </w:t>
      </w:r>
      <w:r>
        <w:t>of</w:t>
      </w:r>
      <w:r>
        <w:rPr>
          <w:spacing w:val="-3"/>
        </w:rPr>
        <w:t xml:space="preserve"> </w:t>
      </w:r>
      <w:r>
        <w:t>experiments</w:t>
      </w:r>
      <w:r>
        <w:rPr>
          <w:spacing w:val="-3"/>
        </w:rPr>
        <w:t xml:space="preserve"> </w:t>
      </w:r>
      <w:r>
        <w:t>that</w:t>
      </w:r>
      <w:r>
        <w:rPr>
          <w:spacing w:val="-3"/>
        </w:rPr>
        <w:t xml:space="preserve"> </w:t>
      </w:r>
      <w:r>
        <w:t>I</w:t>
      </w:r>
      <w:r>
        <w:rPr>
          <w:spacing w:val="-3"/>
        </w:rPr>
        <w:t xml:space="preserve"> </w:t>
      </w:r>
      <w:r>
        <w:t>underwent</w:t>
      </w:r>
      <w:r>
        <w:rPr>
          <w:spacing w:val="-3"/>
        </w:rPr>
        <w:t xml:space="preserve"> </w:t>
      </w:r>
      <w:r>
        <w:t>as</w:t>
      </w:r>
      <w:r>
        <w:rPr>
          <w:spacing w:val="-3"/>
        </w:rPr>
        <w:t xml:space="preserve"> </w:t>
      </w:r>
      <w:r>
        <w:t>a</w:t>
      </w:r>
      <w:r>
        <w:rPr>
          <w:spacing w:val="-3"/>
        </w:rPr>
        <w:t xml:space="preserve"> </w:t>
      </w:r>
      <w:r>
        <w:t xml:space="preserve">child, I say “four” whenever I hear very loud sounds. You ask me “what is 2 + 2?” and I say “four.” But I say it </w:t>
      </w:r>
      <w:r>
        <w:rPr>
          <w:i/>
        </w:rPr>
        <w:t>not</w:t>
      </w:r>
      <w:r>
        <w:rPr>
          <w:i/>
          <w:spacing w:val="-2"/>
        </w:rPr>
        <w:t xml:space="preserve"> </w:t>
      </w:r>
      <w:r>
        <w:t>because of what it was that you were asking, but because you said it so loudly that my conditioning kicked in and I reflexively barked out “four.” My saying “four” was caused by a linguistic</w:t>
      </w:r>
      <w:r>
        <w:rPr>
          <w:spacing w:val="40"/>
        </w:rPr>
        <w:t xml:space="preserve"> </w:t>
      </w:r>
      <w:r>
        <w:t xml:space="preserve">act on your part. But it wasn’t caused by your act’s </w:t>
      </w:r>
      <w:r>
        <w:rPr>
          <w:i/>
        </w:rPr>
        <w:t>being</w:t>
      </w:r>
      <w:r>
        <w:rPr>
          <w:i/>
          <w:spacing w:val="-2"/>
        </w:rPr>
        <w:t xml:space="preserve"> </w:t>
      </w:r>
      <w:r>
        <w:t>linguistic in nature. For this reason, my response wasn’t linguistic in nature.</w:t>
      </w:r>
    </w:p>
    <w:p w14:paraId="7E0010C5" w14:textId="77777777" w:rsidR="009A58DB" w:rsidRDefault="00000000">
      <w:pPr>
        <w:pStyle w:val="BodyText"/>
        <w:spacing w:before="8" w:line="292" w:lineRule="auto"/>
        <w:ind w:right="361" w:firstLine="360"/>
      </w:pPr>
      <w:r>
        <w:t>For exactly similar reasons, given only that M is outputting T</w:t>
      </w:r>
      <w:r>
        <w:rPr>
          <w:vertAlign w:val="subscript"/>
        </w:rPr>
        <w:t>3</w:t>
      </w:r>
      <w:r>
        <w:t xml:space="preserve"> in response to</w:t>
      </w:r>
      <w:r>
        <w:rPr>
          <w:spacing w:val="41"/>
        </w:rPr>
        <w:t xml:space="preserve"> </w:t>
      </w:r>
      <w:r>
        <w:t>its</w:t>
      </w:r>
      <w:r>
        <w:rPr>
          <w:spacing w:val="42"/>
        </w:rPr>
        <w:t xml:space="preserve"> </w:t>
      </w:r>
      <w:r>
        <w:t>being</w:t>
      </w:r>
      <w:r>
        <w:rPr>
          <w:spacing w:val="42"/>
        </w:rPr>
        <w:t xml:space="preserve"> </w:t>
      </w:r>
      <w:r>
        <w:t>fed</w:t>
      </w:r>
      <w:r>
        <w:rPr>
          <w:spacing w:val="42"/>
        </w:rPr>
        <w:t xml:space="preserve"> </w:t>
      </w:r>
      <w:r>
        <w:t>inputs</w:t>
      </w:r>
      <w:r>
        <w:rPr>
          <w:spacing w:val="43"/>
        </w:rPr>
        <w:t xml:space="preserve"> </w:t>
      </w:r>
      <w:r>
        <w:t>T</w:t>
      </w:r>
      <w:r>
        <w:rPr>
          <w:vertAlign w:val="subscript"/>
        </w:rPr>
        <w:t>1</w:t>
      </w:r>
      <w:r>
        <w:rPr>
          <w:spacing w:val="46"/>
        </w:rPr>
        <w:t xml:space="preserve"> </w:t>
      </w:r>
      <w:r>
        <w:t>and</w:t>
      </w:r>
      <w:r>
        <w:rPr>
          <w:spacing w:val="46"/>
        </w:rPr>
        <w:t xml:space="preserve"> </w:t>
      </w:r>
      <w:r>
        <w:t>T</w:t>
      </w:r>
      <w:r>
        <w:rPr>
          <w:vertAlign w:val="subscript"/>
        </w:rPr>
        <w:t>2</w:t>
      </w:r>
      <w:r>
        <w:t>,</w:t>
      </w:r>
      <w:r>
        <w:rPr>
          <w:spacing w:val="46"/>
        </w:rPr>
        <w:t xml:space="preserve"> </w:t>
      </w:r>
      <w:r>
        <w:t>it</w:t>
      </w:r>
      <w:r>
        <w:rPr>
          <w:spacing w:val="45"/>
        </w:rPr>
        <w:t xml:space="preserve"> </w:t>
      </w:r>
      <w:r>
        <w:t>doesn’t</w:t>
      </w:r>
      <w:r>
        <w:rPr>
          <w:spacing w:val="45"/>
        </w:rPr>
        <w:t xml:space="preserve"> </w:t>
      </w:r>
      <w:r>
        <w:t>follow</w:t>
      </w:r>
      <w:r>
        <w:rPr>
          <w:spacing w:val="45"/>
        </w:rPr>
        <w:t xml:space="preserve"> </w:t>
      </w:r>
      <w:r>
        <w:t>that</w:t>
      </w:r>
      <w:r>
        <w:rPr>
          <w:spacing w:val="45"/>
        </w:rPr>
        <w:t xml:space="preserve"> </w:t>
      </w:r>
      <w:r>
        <w:t>M’s</w:t>
      </w:r>
      <w:r>
        <w:rPr>
          <w:spacing w:val="44"/>
        </w:rPr>
        <w:t xml:space="preserve"> </w:t>
      </w:r>
      <w:r>
        <w:t>outputting</w:t>
      </w:r>
      <w:r>
        <w:rPr>
          <w:spacing w:val="46"/>
        </w:rPr>
        <w:t xml:space="preserve"> </w:t>
      </w:r>
      <w:r>
        <w:rPr>
          <w:spacing w:val="-5"/>
        </w:rPr>
        <w:t>T</w:t>
      </w:r>
      <w:r>
        <w:rPr>
          <w:spacing w:val="-5"/>
          <w:vertAlign w:val="subscript"/>
        </w:rPr>
        <w:t>3</w:t>
      </w:r>
    </w:p>
    <w:p w14:paraId="7E0010C6" w14:textId="77777777" w:rsidR="009A58DB" w:rsidRDefault="00000000">
      <w:pPr>
        <w:pStyle w:val="BodyText"/>
        <w:spacing w:line="249" w:lineRule="auto"/>
        <w:ind w:right="359"/>
      </w:pPr>
      <w:r>
        <w:t xml:space="preserve">embodies an inference. Since it wasn’t </w:t>
      </w:r>
      <w:r>
        <w:rPr>
          <w:i/>
        </w:rPr>
        <w:t xml:space="preserve">in virtue of </w:t>
      </w:r>
      <w:r>
        <w:t>their being symbol-tokens that T</w:t>
      </w:r>
      <w:r>
        <w:rPr>
          <w:position w:val="-7"/>
          <w:sz w:val="22"/>
        </w:rPr>
        <w:t xml:space="preserve">1 </w:t>
      </w:r>
      <w:r>
        <w:t>and T</w:t>
      </w:r>
      <w:r>
        <w:rPr>
          <w:position w:val="-7"/>
          <w:sz w:val="22"/>
        </w:rPr>
        <w:t xml:space="preserve">2 </w:t>
      </w:r>
      <w:r>
        <w:t>led to M’s outputting T</w:t>
      </w:r>
      <w:r>
        <w:rPr>
          <w:position w:val="-7"/>
          <w:sz w:val="22"/>
        </w:rPr>
        <w:t>3</w:t>
      </w:r>
      <w:r>
        <w:t>, M’s outputting T</w:t>
      </w:r>
      <w:r>
        <w:rPr>
          <w:position w:val="-7"/>
          <w:sz w:val="22"/>
        </w:rPr>
        <w:t xml:space="preserve">3 </w:t>
      </w:r>
      <w:r>
        <w:t>is no more expressive or constitutive of a linguistic or inferential or otherwise ratiocinative act on M’s part than is my inadvertently getting a nose-bleed as a result of my hearing an extremely loud (and therefore nose-bleed-inducing) noise that happens also to be a case of somebody’s saying “if you get a nose-bleed right now, I’ll give you a million dollars.”</w:t>
      </w:r>
    </w:p>
    <w:p w14:paraId="7E0010C7" w14:textId="77777777" w:rsidR="009A58DB" w:rsidRDefault="00000000">
      <w:pPr>
        <w:pStyle w:val="BodyText"/>
        <w:spacing w:before="4" w:line="249" w:lineRule="auto"/>
        <w:ind w:right="357" w:firstLine="360"/>
      </w:pPr>
      <w:r>
        <w:t xml:space="preserve">Thus, so far as it’s correct to say that Frege “mechanized” thought, what it means is not that, thanks to his efforts, </w:t>
      </w:r>
      <w:r>
        <w:rPr>
          <w:i/>
        </w:rPr>
        <w:t xml:space="preserve">no </w:t>
      </w:r>
      <w:r>
        <w:t xml:space="preserve">thought is needed to execute inferences that were previously thought-dependent. It means that inferences that, prior to his efforts, had to made </w:t>
      </w:r>
      <w:r>
        <w:rPr>
          <w:i/>
        </w:rPr>
        <w:t xml:space="preserve">ad hoc </w:t>
      </w:r>
      <w:r>
        <w:t xml:space="preserve">could now be made in a systematic manner. Adding two multi-digit numbers together is easy if you use the standard algorithm, and it’s hard if you don’t. But, even if you use it, thought is involved. </w:t>
      </w:r>
      <w:r>
        <w:rPr>
          <w:i/>
        </w:rPr>
        <w:t xml:space="preserve">Applying </w:t>
      </w:r>
      <w:r>
        <w:t xml:space="preserve">the algorithm takes thought; and </w:t>
      </w:r>
      <w:r>
        <w:rPr>
          <w:i/>
        </w:rPr>
        <w:t xml:space="preserve">knowing that it’s applicable </w:t>
      </w:r>
      <w:r>
        <w:t>takes thought. Only a thinking being can make the judgment that</w:t>
      </w:r>
      <w:r>
        <w:rPr>
          <w:spacing w:val="-1"/>
        </w:rPr>
        <w:t xml:space="preserve"> </w:t>
      </w:r>
      <w:r>
        <w:t>given certain ink-marks (e.g. “456 +</w:t>
      </w:r>
      <w:r>
        <w:rPr>
          <w:spacing w:val="-1"/>
        </w:rPr>
        <w:t xml:space="preserve"> </w:t>
      </w:r>
      <w:r>
        <w:t>785”) it</w:t>
      </w:r>
      <w:r>
        <w:rPr>
          <w:spacing w:val="-1"/>
        </w:rPr>
        <w:t xml:space="preserve"> </w:t>
      </w:r>
      <w:r>
        <w:t>is to be used, whereas given others, it isn’t. So even though it’s a lot harder to add multidigit numbers without the algorithm than with it, adding them with it involves thought.</w:t>
      </w:r>
    </w:p>
    <w:p w14:paraId="7E0010C8" w14:textId="77777777" w:rsidR="009A58DB" w:rsidRDefault="00000000">
      <w:pPr>
        <w:pStyle w:val="Heading1"/>
        <w:tabs>
          <w:tab w:val="left" w:pos="1247"/>
          <w:tab w:val="left" w:pos="2939"/>
          <w:tab w:val="left" w:pos="4631"/>
          <w:tab w:val="left" w:pos="6626"/>
          <w:tab w:val="left" w:pos="7689"/>
        </w:tabs>
        <w:spacing w:before="202" w:line="244" w:lineRule="auto"/>
        <w:ind w:left="360" w:right="360" w:firstLine="0"/>
      </w:pPr>
      <w:r>
        <w:rPr>
          <w:spacing w:val="-4"/>
        </w:rPr>
        <w:t>6.1</w:t>
      </w:r>
      <w:r>
        <w:tab/>
      </w:r>
      <w:r>
        <w:rPr>
          <w:spacing w:val="-2"/>
        </w:rPr>
        <w:t>Putting</w:t>
      </w:r>
      <w:r>
        <w:tab/>
      </w:r>
      <w:r>
        <w:rPr>
          <w:spacing w:val="-2"/>
        </w:rPr>
        <w:t>Frege’s</w:t>
      </w:r>
      <w:r>
        <w:tab/>
      </w:r>
      <w:r>
        <w:rPr>
          <w:spacing w:val="-2"/>
        </w:rPr>
        <w:t>successes</w:t>
      </w:r>
      <w:r>
        <w:tab/>
      </w:r>
      <w:r>
        <w:rPr>
          <w:spacing w:val="-4"/>
        </w:rPr>
        <w:t>into</w:t>
      </w:r>
      <w:r>
        <w:tab/>
      </w:r>
      <w:r>
        <w:rPr>
          <w:spacing w:val="-2"/>
        </w:rPr>
        <w:t>perspective (continued)</w:t>
      </w:r>
    </w:p>
    <w:p w14:paraId="7E0010C9" w14:textId="77777777" w:rsidR="009A58DB" w:rsidRDefault="00000000">
      <w:pPr>
        <w:pStyle w:val="BodyText"/>
        <w:spacing w:before="132" w:line="249" w:lineRule="auto"/>
        <w:ind w:right="358"/>
      </w:pPr>
      <w:r>
        <w:t xml:space="preserve">The inferences one must make </w:t>
      </w:r>
      <w:r>
        <w:rPr>
          <w:i/>
        </w:rPr>
        <w:t xml:space="preserve">in order </w:t>
      </w:r>
      <w:r>
        <w:t>to algorithmize a given task are often harder to make than the inferences that the algorithm, once applicable, will enable one to make. The same is true of the inferences one must make in order to superintend the application of an already identified algorithm.</w:t>
      </w:r>
    </w:p>
    <w:p w14:paraId="7E0010C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CB" w14:textId="77777777" w:rsidR="009A58DB" w:rsidRDefault="00000000">
      <w:pPr>
        <w:pStyle w:val="BodyText"/>
        <w:spacing w:before="65" w:line="249" w:lineRule="auto"/>
        <w:ind w:right="359" w:firstLine="360"/>
      </w:pPr>
      <w:r>
        <w:lastRenderedPageBreak/>
        <w:t>Once again consider Arguments #1 and #2. They’re obviously valid and invalid, respectively. True—thanks to the algorithms bequeathed to us by Frege, Argument #1</w:t>
      </w:r>
      <w:r>
        <w:rPr>
          <w:position w:val="-7"/>
          <w:sz w:val="22"/>
        </w:rPr>
        <w:t>RP</w:t>
      </w:r>
      <w:r>
        <w:rPr>
          <w:spacing w:val="40"/>
          <w:position w:val="-7"/>
          <w:sz w:val="22"/>
        </w:rPr>
        <w:t xml:space="preserve"> </w:t>
      </w:r>
      <w:r>
        <w:t>is easier to evaluate than Argument #1. But what it takes in the way of intelligence to convert Argument #1 into something to which those algorithms are applicable is comparable to, if it doesn’t exceed, what it takes to decide whether or not Argument #1 goes through.</w:t>
      </w:r>
    </w:p>
    <w:p w14:paraId="7E0010CC" w14:textId="77777777" w:rsidR="009A58DB" w:rsidRDefault="00000000">
      <w:pPr>
        <w:pStyle w:val="BodyText"/>
        <w:spacing w:before="4" w:line="249" w:lineRule="auto"/>
        <w:ind w:right="359" w:firstLine="360"/>
        <w:rPr>
          <w:position w:val="21"/>
        </w:rPr>
      </w:pPr>
      <w:r>
        <w:t xml:space="preserve">Also, it’s no easy matter to figure out </w:t>
      </w:r>
      <w:r>
        <w:rPr>
          <w:i/>
        </w:rPr>
        <w:t xml:space="preserve">whether </w:t>
      </w:r>
      <w:r>
        <w:t>a given statement is expressed in a form suitable for the application of one of those algorithms. There</w:t>
      </w:r>
      <w:r>
        <w:rPr>
          <w:spacing w:val="-1"/>
        </w:rPr>
        <w:t xml:space="preserve"> </w:t>
      </w:r>
      <w:r>
        <w:t>are,</w:t>
      </w:r>
      <w:r>
        <w:rPr>
          <w:spacing w:val="-1"/>
        </w:rPr>
        <w:t xml:space="preserve"> </w:t>
      </w:r>
      <w:r>
        <w:t>as</w:t>
      </w:r>
      <w:r>
        <w:rPr>
          <w:spacing w:val="-1"/>
        </w:rPr>
        <w:t xml:space="preserve"> </w:t>
      </w:r>
      <w:r>
        <w:t>we</w:t>
      </w:r>
      <w:r>
        <w:rPr>
          <w:spacing w:val="-1"/>
        </w:rPr>
        <w:t xml:space="preserve"> </w:t>
      </w:r>
      <w:r>
        <w:t>know,</w:t>
      </w:r>
      <w:r>
        <w:rPr>
          <w:spacing w:val="-1"/>
        </w:rPr>
        <w:t xml:space="preserve"> </w:t>
      </w:r>
      <w:r>
        <w:t>arguments</w:t>
      </w:r>
      <w:r>
        <w:rPr>
          <w:spacing w:val="-1"/>
        </w:rPr>
        <w:t xml:space="preserve"> </w:t>
      </w:r>
      <w:r>
        <w:t>superficially</w:t>
      </w:r>
      <w:r>
        <w:rPr>
          <w:spacing w:val="-1"/>
        </w:rPr>
        <w:t xml:space="preserve"> </w:t>
      </w:r>
      <w:r>
        <w:t>similar</w:t>
      </w:r>
      <w:r>
        <w:rPr>
          <w:spacing w:val="-1"/>
        </w:rPr>
        <w:t xml:space="preserve"> </w:t>
      </w:r>
      <w:r>
        <w:t>to</w:t>
      </w:r>
      <w:r>
        <w:rPr>
          <w:spacing w:val="-1"/>
        </w:rPr>
        <w:t xml:space="preserve"> </w:t>
      </w:r>
      <w:r>
        <w:t>#1</w:t>
      </w:r>
      <w:r>
        <w:rPr>
          <w:spacing w:val="-1"/>
        </w:rPr>
        <w:t xml:space="preserve"> </w:t>
      </w:r>
      <w:r>
        <w:t>that</w:t>
      </w:r>
      <w:r>
        <w:rPr>
          <w:spacing w:val="-1"/>
        </w:rPr>
        <w:t xml:space="preserve"> </w:t>
      </w:r>
      <w:r>
        <w:t>aren’t</w:t>
      </w:r>
      <w:r>
        <w:rPr>
          <w:spacing w:val="-1"/>
        </w:rPr>
        <w:t xml:space="preserve"> </w:t>
      </w:r>
      <w:r>
        <w:t>valid, and it’s only through the use of judgment that we can distinguish such impostors from their legitimate brethren. There is no mechanical way to do so. In general, there’s no mechanical procedure for determining the validity</w:t>
      </w:r>
      <w:r>
        <w:rPr>
          <w:spacing w:val="40"/>
        </w:rPr>
        <w:t xml:space="preserve"> </w:t>
      </w:r>
      <w:r>
        <w:t>or the scope of one’s mechanical procedures, a consequence being that thought is inherently incapable of being mechanized</w:t>
      </w:r>
      <w:bookmarkStart w:id="236" w:name="_bookmark236"/>
      <w:bookmarkEnd w:id="236"/>
      <w:r>
        <w:t>.</w:t>
      </w:r>
      <w:r>
        <w:rPr>
          <w:color w:val="0562C1"/>
          <w:position w:val="21"/>
          <w:u w:val="single" w:color="0562C1"/>
        </w:rPr>
        <w:t>[144]</w:t>
      </w:r>
    </w:p>
    <w:p w14:paraId="7E0010CD" w14:textId="77777777" w:rsidR="009A58DB" w:rsidRDefault="00000000">
      <w:pPr>
        <w:pStyle w:val="BodyText"/>
        <w:spacing w:before="10" w:line="249" w:lineRule="auto"/>
        <w:ind w:right="357" w:firstLine="360"/>
      </w:pPr>
      <w:r>
        <w:t>Imagine the following. You run a company that makes cars. You recently hired a new worker, who goes by the name of “Bucky.” Unlike your current employees,</w:t>
      </w:r>
      <w:r>
        <w:rPr>
          <w:spacing w:val="-3"/>
        </w:rPr>
        <w:t xml:space="preserve"> </w:t>
      </w:r>
      <w:r>
        <w:t>Bucky</w:t>
      </w:r>
      <w:r>
        <w:rPr>
          <w:spacing w:val="-3"/>
        </w:rPr>
        <w:t xml:space="preserve"> </w:t>
      </w:r>
      <w:r>
        <w:t>isn’t</w:t>
      </w:r>
      <w:r>
        <w:rPr>
          <w:spacing w:val="-3"/>
        </w:rPr>
        <w:t xml:space="preserve"> </w:t>
      </w:r>
      <w:r>
        <w:t>intelligent</w:t>
      </w:r>
      <w:r>
        <w:rPr>
          <w:spacing w:val="-3"/>
        </w:rPr>
        <w:t xml:space="preserve"> </w:t>
      </w:r>
      <w:r>
        <w:t>or</w:t>
      </w:r>
      <w:r>
        <w:rPr>
          <w:spacing w:val="-3"/>
        </w:rPr>
        <w:t xml:space="preserve"> </w:t>
      </w:r>
      <w:r>
        <w:t>skilled.</w:t>
      </w:r>
      <w:r>
        <w:rPr>
          <w:spacing w:val="-3"/>
        </w:rPr>
        <w:t xml:space="preserve"> </w:t>
      </w:r>
      <w:r>
        <w:t>But</w:t>
      </w:r>
      <w:r>
        <w:rPr>
          <w:spacing w:val="-3"/>
        </w:rPr>
        <w:t xml:space="preserve"> </w:t>
      </w:r>
      <w:r>
        <w:t>he</w:t>
      </w:r>
      <w:r>
        <w:rPr>
          <w:spacing w:val="-3"/>
        </w:rPr>
        <w:t xml:space="preserve"> </w:t>
      </w:r>
      <w:r>
        <w:t>works</w:t>
      </w:r>
      <w:r>
        <w:rPr>
          <w:spacing w:val="-3"/>
        </w:rPr>
        <w:t xml:space="preserve"> </w:t>
      </w:r>
      <w:r>
        <w:t>hard</w:t>
      </w:r>
      <w:r>
        <w:rPr>
          <w:spacing w:val="-3"/>
        </w:rPr>
        <w:t xml:space="preserve"> </w:t>
      </w:r>
      <w:r>
        <w:t>and</w:t>
      </w:r>
      <w:r>
        <w:rPr>
          <w:spacing w:val="-3"/>
        </w:rPr>
        <w:t xml:space="preserve"> </w:t>
      </w:r>
      <w:r>
        <w:t>he</w:t>
      </w:r>
      <w:r>
        <w:rPr>
          <w:spacing w:val="-3"/>
        </w:rPr>
        <w:t xml:space="preserve"> </w:t>
      </w:r>
      <w:r>
        <w:t xml:space="preserve">works cheap; and he’s an extremely good worker </w:t>
      </w:r>
      <w:r>
        <w:rPr>
          <w:i/>
        </w:rPr>
        <w:t xml:space="preserve">once he’s mastered a given task. </w:t>
      </w:r>
      <w:r>
        <w:t xml:space="preserve">However, Bucky can only do rote, mechanical tasks; and the amount of training he must undergo </w:t>
      </w:r>
      <w:r>
        <w:rPr>
          <w:i/>
        </w:rPr>
        <w:t xml:space="preserve">before </w:t>
      </w:r>
      <w:r>
        <w:t>he can perform a given task is twice what your average employee would have to undergo to perform that same task. Also, Bucky requires an unusual amount of supervision. He’s unusually</w:t>
      </w:r>
      <w:r>
        <w:rPr>
          <w:spacing w:val="40"/>
        </w:rPr>
        <w:t xml:space="preserve"> </w:t>
      </w:r>
      <w:r>
        <w:t xml:space="preserve">likely to break equipment; and, being psychologically fragile, if conditions in the factory are changed slightly (e.g., the walls are repainted), he becomes confused and has to be coddled for a while before he can again work </w:t>
      </w:r>
      <w:r>
        <w:rPr>
          <w:spacing w:val="-2"/>
        </w:rPr>
        <w:t>effectively.</w:t>
      </w:r>
    </w:p>
    <w:p w14:paraId="7E0010CE" w14:textId="77777777" w:rsidR="009A58DB" w:rsidRDefault="00000000">
      <w:pPr>
        <w:pStyle w:val="BodyText"/>
        <w:spacing w:before="15" w:line="249" w:lineRule="auto"/>
        <w:ind w:right="363" w:firstLine="360"/>
      </w:pPr>
      <w:r>
        <w:t xml:space="preserve">The benefits of keeping Bucky on will exceed the costs if, and </w:t>
      </w:r>
      <w:r>
        <w:rPr>
          <w:i/>
        </w:rPr>
        <w:t xml:space="preserve">only </w:t>
      </w:r>
      <w:r>
        <w:t>if, there</w:t>
      </w:r>
      <w:r>
        <w:rPr>
          <w:spacing w:val="-1"/>
        </w:rPr>
        <w:t xml:space="preserve"> </w:t>
      </w:r>
      <w:r>
        <w:t>is</w:t>
      </w:r>
      <w:r>
        <w:rPr>
          <w:spacing w:val="-1"/>
        </w:rPr>
        <w:t xml:space="preserve"> </w:t>
      </w:r>
      <w:r>
        <w:t>a</w:t>
      </w:r>
      <w:r>
        <w:rPr>
          <w:spacing w:val="-1"/>
        </w:rPr>
        <w:t xml:space="preserve"> </w:t>
      </w:r>
      <w:r>
        <w:t>large</w:t>
      </w:r>
      <w:r>
        <w:rPr>
          <w:spacing w:val="-1"/>
        </w:rPr>
        <w:t xml:space="preserve"> </w:t>
      </w:r>
      <w:r>
        <w:t>amount</w:t>
      </w:r>
      <w:r>
        <w:rPr>
          <w:spacing w:val="-1"/>
        </w:rPr>
        <w:t xml:space="preserve"> </w:t>
      </w:r>
      <w:r>
        <w:t>of</w:t>
      </w:r>
      <w:r>
        <w:rPr>
          <w:spacing w:val="-1"/>
        </w:rPr>
        <w:t xml:space="preserve"> </w:t>
      </w:r>
      <w:r>
        <w:t>rote</w:t>
      </w:r>
      <w:r>
        <w:rPr>
          <w:spacing w:val="-1"/>
        </w:rPr>
        <w:t xml:space="preserve"> </w:t>
      </w:r>
      <w:r>
        <w:t>work</w:t>
      </w:r>
      <w:r>
        <w:rPr>
          <w:spacing w:val="-1"/>
        </w:rPr>
        <w:t xml:space="preserve"> </w:t>
      </w:r>
      <w:r>
        <w:t>for</w:t>
      </w:r>
      <w:r>
        <w:rPr>
          <w:spacing w:val="-1"/>
        </w:rPr>
        <w:t xml:space="preserve"> </w:t>
      </w:r>
      <w:r>
        <w:t>him</w:t>
      </w:r>
      <w:r>
        <w:rPr>
          <w:spacing w:val="-1"/>
        </w:rPr>
        <w:t xml:space="preserve"> </w:t>
      </w:r>
      <w:r>
        <w:t>to</w:t>
      </w:r>
      <w:r>
        <w:rPr>
          <w:spacing w:val="-1"/>
        </w:rPr>
        <w:t xml:space="preserve"> </w:t>
      </w:r>
      <w:r>
        <w:t>do</w:t>
      </w:r>
      <w:r>
        <w:rPr>
          <w:spacing w:val="-1"/>
        </w:rPr>
        <w:t xml:space="preserve"> </w:t>
      </w:r>
      <w:r>
        <w:rPr>
          <w:i/>
        </w:rPr>
        <w:t>and</w:t>
      </w:r>
      <w:r>
        <w:rPr>
          <w:i/>
          <w:spacing w:val="-2"/>
        </w:rPr>
        <w:t xml:space="preserve"> </w:t>
      </w:r>
      <w:r>
        <w:t xml:space="preserve">you can spare the man-power needed to train and supervise him </w:t>
      </w:r>
      <w:r>
        <w:rPr>
          <w:i/>
        </w:rPr>
        <w:t>and</w:t>
      </w:r>
      <w:r>
        <w:rPr>
          <w:i/>
          <w:spacing w:val="-3"/>
        </w:rPr>
        <w:t xml:space="preserve"> </w:t>
      </w:r>
      <w:r>
        <w:t xml:space="preserve">you know that conditions won’t change in the factory in such a way as to render him incapacitated—and so </w:t>
      </w:r>
      <w:r>
        <w:rPr>
          <w:spacing w:val="-4"/>
        </w:rPr>
        <w:t>on.</w:t>
      </w:r>
    </w:p>
    <w:p w14:paraId="7E0010CF" w14:textId="77777777" w:rsidR="009A58DB" w:rsidRDefault="00000000">
      <w:pPr>
        <w:pStyle w:val="BodyText"/>
        <w:spacing w:before="6" w:line="249" w:lineRule="auto"/>
        <w:ind w:right="363" w:firstLine="360"/>
      </w:pPr>
      <w:r>
        <w:t>Algorithms are a lot like Bucky. A lot of time and effort is needed to put them to work; and once put to work, they can only do very specific things. If you need those specific things to be done often enough, it’s worth it to develop</w:t>
      </w:r>
      <w:r>
        <w:rPr>
          <w:spacing w:val="-5"/>
        </w:rPr>
        <w:t xml:space="preserve"> </w:t>
      </w:r>
      <w:r>
        <w:t>an</w:t>
      </w:r>
      <w:r>
        <w:rPr>
          <w:spacing w:val="-2"/>
        </w:rPr>
        <w:t xml:space="preserve"> </w:t>
      </w:r>
      <w:r>
        <w:t>algorithm</w:t>
      </w:r>
      <w:r>
        <w:rPr>
          <w:spacing w:val="-3"/>
        </w:rPr>
        <w:t xml:space="preserve"> </w:t>
      </w:r>
      <w:r>
        <w:t>for</w:t>
      </w:r>
      <w:r>
        <w:rPr>
          <w:spacing w:val="-3"/>
        </w:rPr>
        <w:t xml:space="preserve"> </w:t>
      </w:r>
      <w:r>
        <w:t>doing</w:t>
      </w:r>
      <w:r>
        <w:rPr>
          <w:spacing w:val="-2"/>
        </w:rPr>
        <w:t xml:space="preserve"> </w:t>
      </w:r>
      <w:r>
        <w:t>them</w:t>
      </w:r>
      <w:r>
        <w:rPr>
          <w:spacing w:val="-3"/>
        </w:rPr>
        <w:t xml:space="preserve"> </w:t>
      </w:r>
      <w:r>
        <w:t>and</w:t>
      </w:r>
      <w:r>
        <w:rPr>
          <w:spacing w:val="-2"/>
        </w:rPr>
        <w:t xml:space="preserve"> </w:t>
      </w:r>
      <w:r>
        <w:t>it’s</w:t>
      </w:r>
      <w:r>
        <w:rPr>
          <w:spacing w:val="-3"/>
        </w:rPr>
        <w:t xml:space="preserve"> </w:t>
      </w:r>
      <w:r>
        <w:t>worth</w:t>
      </w:r>
      <w:r>
        <w:rPr>
          <w:spacing w:val="-2"/>
        </w:rPr>
        <w:t xml:space="preserve"> </w:t>
      </w:r>
      <w:r>
        <w:t>it</w:t>
      </w:r>
      <w:r>
        <w:rPr>
          <w:spacing w:val="-3"/>
        </w:rPr>
        <w:t xml:space="preserve"> </w:t>
      </w:r>
      <w:r>
        <w:t>to</w:t>
      </w:r>
      <w:r>
        <w:rPr>
          <w:spacing w:val="-2"/>
        </w:rPr>
        <w:t xml:space="preserve"> </w:t>
      </w:r>
      <w:r>
        <w:t>check</w:t>
      </w:r>
      <w:r>
        <w:rPr>
          <w:spacing w:val="-2"/>
        </w:rPr>
        <w:t xml:space="preserve"> </w:t>
      </w:r>
      <w:r>
        <w:t>in</w:t>
      </w:r>
      <w:r>
        <w:rPr>
          <w:spacing w:val="-2"/>
        </w:rPr>
        <w:t xml:space="preserve"> </w:t>
      </w:r>
      <w:r>
        <w:t>from</w:t>
      </w:r>
      <w:r>
        <w:rPr>
          <w:spacing w:val="-3"/>
        </w:rPr>
        <w:t xml:space="preserve"> </w:t>
      </w:r>
      <w:r>
        <w:t>time</w:t>
      </w:r>
      <w:r>
        <w:rPr>
          <w:spacing w:val="-3"/>
        </w:rPr>
        <w:t xml:space="preserve"> </w:t>
      </w:r>
      <w:r>
        <w:rPr>
          <w:spacing w:val="-5"/>
        </w:rPr>
        <w:t>to</w:t>
      </w:r>
    </w:p>
    <w:p w14:paraId="7E0010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D1" w14:textId="77777777" w:rsidR="009A58DB" w:rsidRDefault="00000000">
      <w:pPr>
        <w:pStyle w:val="BodyText"/>
        <w:spacing w:before="65" w:line="249" w:lineRule="auto"/>
        <w:jc w:val="left"/>
      </w:pPr>
      <w:r>
        <w:lastRenderedPageBreak/>
        <w:t>time</w:t>
      </w:r>
      <w:r>
        <w:rPr>
          <w:spacing w:val="40"/>
        </w:rPr>
        <w:t xml:space="preserve"> </w:t>
      </w:r>
      <w:r>
        <w:t>to</w:t>
      </w:r>
      <w:r>
        <w:rPr>
          <w:spacing w:val="40"/>
        </w:rPr>
        <w:t xml:space="preserve"> </w:t>
      </w:r>
      <w:r>
        <w:t>make</w:t>
      </w:r>
      <w:r>
        <w:rPr>
          <w:spacing w:val="40"/>
        </w:rPr>
        <w:t xml:space="preserve"> </w:t>
      </w:r>
      <w:r>
        <w:t>sure</w:t>
      </w:r>
      <w:r>
        <w:rPr>
          <w:spacing w:val="40"/>
        </w:rPr>
        <w:t xml:space="preserve"> </w:t>
      </w:r>
      <w:r>
        <w:t>that</w:t>
      </w:r>
      <w:r>
        <w:rPr>
          <w:spacing w:val="40"/>
        </w:rPr>
        <w:t xml:space="preserve"> </w:t>
      </w:r>
      <w:r>
        <w:t>they’re</w:t>
      </w:r>
      <w:r>
        <w:rPr>
          <w:spacing w:val="40"/>
        </w:rPr>
        <w:t xml:space="preserve"> </w:t>
      </w:r>
      <w:r>
        <w:t>being</w:t>
      </w:r>
      <w:r>
        <w:rPr>
          <w:spacing w:val="40"/>
        </w:rPr>
        <w:t xml:space="preserve"> </w:t>
      </w:r>
      <w:r>
        <w:t>applied</w:t>
      </w:r>
      <w:r>
        <w:rPr>
          <w:spacing w:val="40"/>
        </w:rPr>
        <w:t xml:space="preserve"> </w:t>
      </w:r>
      <w:r>
        <w:t>properly.</w:t>
      </w:r>
      <w:r>
        <w:rPr>
          <w:spacing w:val="40"/>
        </w:rPr>
        <w:t xml:space="preserve"> </w:t>
      </w:r>
      <w:r>
        <w:t>But</w:t>
      </w:r>
      <w:r>
        <w:rPr>
          <w:spacing w:val="40"/>
        </w:rPr>
        <w:t xml:space="preserve"> </w:t>
      </w:r>
      <w:r>
        <w:t>they’re</w:t>
      </w:r>
      <w:r>
        <w:rPr>
          <w:spacing w:val="40"/>
        </w:rPr>
        <w:t xml:space="preserve"> </w:t>
      </w:r>
      <w:r>
        <w:t>useless unless heavily supervised, and they’re thus no substitute for real thought.</w:t>
      </w:r>
    </w:p>
    <w:p w14:paraId="7E0010D2"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10D3" w14:textId="77777777" w:rsidR="009A58DB" w:rsidRDefault="009A58DB">
      <w:pPr>
        <w:pStyle w:val="BodyText"/>
        <w:spacing w:before="4"/>
        <w:ind w:left="0"/>
        <w:jc w:val="left"/>
        <w:rPr>
          <w:sz w:val="17"/>
        </w:rPr>
      </w:pPr>
    </w:p>
    <w:p w14:paraId="7E0010D4"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10D5" w14:textId="77777777" w:rsidR="009A58DB" w:rsidRDefault="00000000">
      <w:pPr>
        <w:spacing w:line="503" w:lineRule="exact"/>
        <w:ind w:left="326" w:right="332"/>
        <w:jc w:val="center"/>
        <w:rPr>
          <w:rFonts w:ascii="Calibri Light"/>
          <w:sz w:val="42"/>
        </w:rPr>
      </w:pPr>
      <w:bookmarkStart w:id="237" w:name="_bookmark237"/>
      <w:bookmarkEnd w:id="237"/>
      <w:r>
        <w:rPr>
          <w:rFonts w:ascii="Calibri Light"/>
          <w:sz w:val="42"/>
        </w:rPr>
        <w:lastRenderedPageBreak/>
        <w:t>Chapter</w:t>
      </w:r>
      <w:r>
        <w:rPr>
          <w:rFonts w:ascii="Calibri Light"/>
          <w:spacing w:val="56"/>
          <w:sz w:val="42"/>
        </w:rPr>
        <w:t xml:space="preserve"> </w:t>
      </w:r>
      <w:r>
        <w:rPr>
          <w:rFonts w:ascii="Calibri Light"/>
          <w:spacing w:val="-10"/>
          <w:sz w:val="42"/>
        </w:rPr>
        <w:t>8</w:t>
      </w:r>
    </w:p>
    <w:p w14:paraId="7E0010D6" w14:textId="77777777" w:rsidR="009A58DB" w:rsidRDefault="00000000">
      <w:pPr>
        <w:spacing w:before="222" w:line="343" w:lineRule="auto"/>
        <w:ind w:left="326" w:right="332"/>
        <w:jc w:val="center"/>
        <w:rPr>
          <w:rFonts w:ascii="Calibri Light"/>
          <w:sz w:val="42"/>
        </w:rPr>
      </w:pPr>
      <w:bookmarkStart w:id="238" w:name="_bookmark238"/>
      <w:bookmarkEnd w:id="238"/>
      <w:r>
        <w:rPr>
          <w:rFonts w:ascii="Calibri Light"/>
          <w:sz w:val="42"/>
        </w:rPr>
        <w:t>The Relationship between Thought and Language:</w:t>
      </w:r>
      <w:r>
        <w:rPr>
          <w:rFonts w:ascii="Calibri Light"/>
          <w:spacing w:val="80"/>
          <w:sz w:val="42"/>
        </w:rPr>
        <w:t xml:space="preserve"> </w:t>
      </w:r>
      <w:bookmarkStart w:id="239" w:name="_bookmark239"/>
      <w:bookmarkEnd w:id="239"/>
      <w:r>
        <w:rPr>
          <w:rFonts w:ascii="Calibri Light"/>
          <w:sz w:val="42"/>
        </w:rPr>
        <w:t>Literal</w:t>
      </w:r>
      <w:r>
        <w:rPr>
          <w:rFonts w:ascii="Calibri Light"/>
          <w:spacing w:val="40"/>
          <w:sz w:val="42"/>
        </w:rPr>
        <w:t xml:space="preserve"> </w:t>
      </w:r>
      <w:r>
        <w:rPr>
          <w:rFonts w:ascii="Calibri Light"/>
          <w:sz w:val="42"/>
        </w:rPr>
        <w:t>Meaning</w:t>
      </w:r>
      <w:r>
        <w:rPr>
          <w:rFonts w:ascii="Calibri Light"/>
          <w:spacing w:val="40"/>
          <w:sz w:val="42"/>
        </w:rPr>
        <w:t xml:space="preserve"> </w:t>
      </w:r>
      <w:r>
        <w:rPr>
          <w:rFonts w:ascii="Calibri Light"/>
          <w:sz w:val="42"/>
        </w:rPr>
        <w:t>vs.</w:t>
      </w:r>
      <w:r>
        <w:rPr>
          <w:rFonts w:ascii="Calibri Light"/>
          <w:spacing w:val="40"/>
          <w:sz w:val="42"/>
        </w:rPr>
        <w:t xml:space="preserve"> </w:t>
      </w:r>
      <w:r>
        <w:rPr>
          <w:rFonts w:ascii="Calibri Light"/>
          <w:sz w:val="42"/>
        </w:rPr>
        <w:t>Cognitive</w:t>
      </w:r>
      <w:r>
        <w:rPr>
          <w:rFonts w:ascii="Calibri Light"/>
          <w:spacing w:val="40"/>
          <w:sz w:val="42"/>
        </w:rPr>
        <w:t xml:space="preserve"> </w:t>
      </w:r>
      <w:r>
        <w:rPr>
          <w:rFonts w:ascii="Calibri Light"/>
          <w:sz w:val="42"/>
        </w:rPr>
        <w:t>Content</w:t>
      </w:r>
    </w:p>
    <w:p w14:paraId="7E0010D7" w14:textId="77777777" w:rsidR="009A58DB" w:rsidRDefault="00000000">
      <w:pPr>
        <w:pStyle w:val="Heading1"/>
        <w:numPr>
          <w:ilvl w:val="1"/>
          <w:numId w:val="158"/>
        </w:numPr>
        <w:tabs>
          <w:tab w:val="left" w:pos="1113"/>
        </w:tabs>
        <w:spacing w:before="0" w:line="449" w:lineRule="exact"/>
        <w:ind w:hanging="753"/>
      </w:pPr>
      <w:r>
        <w:t>The</w:t>
      </w:r>
      <w:r>
        <w:rPr>
          <w:spacing w:val="67"/>
          <w:w w:val="150"/>
        </w:rPr>
        <w:t xml:space="preserve"> </w:t>
      </w:r>
      <w:r>
        <w:t>objects</w:t>
      </w:r>
      <w:r>
        <w:rPr>
          <w:spacing w:val="68"/>
          <w:w w:val="150"/>
        </w:rPr>
        <w:t xml:space="preserve"> </w:t>
      </w:r>
      <w:r>
        <w:t>of</w:t>
      </w:r>
      <w:r>
        <w:rPr>
          <w:spacing w:val="68"/>
          <w:w w:val="150"/>
        </w:rPr>
        <w:t xml:space="preserve"> </w:t>
      </w:r>
      <w:r>
        <w:t>thought</w:t>
      </w:r>
      <w:r>
        <w:rPr>
          <w:spacing w:val="68"/>
          <w:w w:val="150"/>
        </w:rPr>
        <w:t xml:space="preserve"> </w:t>
      </w:r>
      <w:r>
        <w:t>are</w:t>
      </w:r>
      <w:r>
        <w:rPr>
          <w:spacing w:val="67"/>
          <w:w w:val="150"/>
        </w:rPr>
        <w:t xml:space="preserve"> </w:t>
      </w:r>
      <w:r>
        <w:t>always</w:t>
      </w:r>
      <w:r>
        <w:rPr>
          <w:spacing w:val="68"/>
          <w:w w:val="150"/>
        </w:rPr>
        <w:t xml:space="preserve"> </w:t>
      </w:r>
      <w:r>
        <w:t>truths</w:t>
      </w:r>
      <w:r>
        <w:rPr>
          <w:spacing w:val="68"/>
          <w:w w:val="150"/>
        </w:rPr>
        <w:t xml:space="preserve"> </w:t>
      </w:r>
      <w:r>
        <w:rPr>
          <w:spacing w:val="-5"/>
        </w:rPr>
        <w:t>or</w:t>
      </w:r>
    </w:p>
    <w:p w14:paraId="7E0010D8" w14:textId="77777777" w:rsidR="009A58DB" w:rsidRDefault="00000000">
      <w:pPr>
        <w:spacing w:before="12" w:line="244" w:lineRule="auto"/>
        <w:ind w:left="360" w:right="366"/>
        <w:jc w:val="both"/>
        <w:rPr>
          <w:b/>
          <w:sz w:val="42"/>
        </w:rPr>
      </w:pPr>
      <w:r>
        <w:rPr>
          <w:b/>
          <w:sz w:val="42"/>
        </w:rPr>
        <w:t xml:space="preserve">falsehoods, and never objects, except in a derivative </w:t>
      </w:r>
      <w:r>
        <w:rPr>
          <w:b/>
          <w:spacing w:val="-2"/>
          <w:sz w:val="42"/>
        </w:rPr>
        <w:t>sense</w:t>
      </w:r>
    </w:p>
    <w:p w14:paraId="7E0010D9" w14:textId="77777777" w:rsidR="009A58DB" w:rsidRDefault="00000000">
      <w:pPr>
        <w:pStyle w:val="BodyText"/>
        <w:spacing w:before="132" w:line="249" w:lineRule="auto"/>
        <w:ind w:right="358"/>
      </w:pPr>
      <w:r>
        <w:t xml:space="preserve">We obviously think about rocks, trees, people, and other things. But things are the objects of thought only in a derivative sense. The real object of thought is always some truth or falsehood </w:t>
      </w:r>
      <w:r>
        <w:rPr>
          <w:i/>
        </w:rPr>
        <w:t xml:space="preserve">concerning </w:t>
      </w:r>
      <w:r>
        <w:t>a thing.</w:t>
      </w:r>
    </w:p>
    <w:p w14:paraId="7E0010DA" w14:textId="77777777" w:rsidR="009A58DB" w:rsidRDefault="00000000">
      <w:pPr>
        <w:pStyle w:val="BodyText"/>
        <w:spacing w:before="4" w:line="249" w:lineRule="auto"/>
        <w:ind w:right="360" w:firstLine="360"/>
      </w:pPr>
      <w:r>
        <w:t>Some fiction will help. At time t, you are looking at a rock. You recognize the rock. It’s the rock that Joey, your arch nemesis, threw at your car. That incident was an emotionally charged one for you, and you decided to write a book about it. In order to have a concise way of referring to it, you gave it a name: you decided to call it “R.” It’s been a while since you’ve seen R. But when,</w:t>
      </w:r>
      <w:r>
        <w:rPr>
          <w:spacing w:val="-1"/>
        </w:rPr>
        <w:t xml:space="preserve"> </w:t>
      </w:r>
      <w:r>
        <w:t>at</w:t>
      </w:r>
      <w:r>
        <w:rPr>
          <w:spacing w:val="-1"/>
        </w:rPr>
        <w:t xml:space="preserve"> </w:t>
      </w:r>
      <w:r>
        <w:t>time</w:t>
      </w:r>
      <w:r>
        <w:rPr>
          <w:spacing w:val="-1"/>
        </w:rPr>
        <w:t xml:space="preserve"> </w:t>
      </w:r>
      <w:r>
        <w:t>t, you</w:t>
      </w:r>
      <w:r>
        <w:rPr>
          <w:spacing w:val="-1"/>
        </w:rPr>
        <w:t xml:space="preserve"> </w:t>
      </w:r>
      <w:r>
        <w:t>see it,</w:t>
      </w:r>
      <w:r>
        <w:rPr>
          <w:spacing w:val="-1"/>
        </w:rPr>
        <w:t xml:space="preserve"> </w:t>
      </w:r>
      <w:r>
        <w:t>you instantly</w:t>
      </w:r>
      <w:r>
        <w:rPr>
          <w:spacing w:val="-1"/>
        </w:rPr>
        <w:t xml:space="preserve"> </w:t>
      </w:r>
      <w:r>
        <w:t>recognize it.</w:t>
      </w:r>
      <w:r>
        <w:rPr>
          <w:spacing w:val="-1"/>
        </w:rPr>
        <w:t xml:space="preserve"> </w:t>
      </w:r>
      <w:r>
        <w:t>You recognize</w:t>
      </w:r>
      <w:r>
        <w:rPr>
          <w:spacing w:val="-1"/>
        </w:rPr>
        <w:t xml:space="preserve"> </w:t>
      </w:r>
      <w:r>
        <w:t>it</w:t>
      </w:r>
      <w:r>
        <w:rPr>
          <w:spacing w:val="-1"/>
        </w:rPr>
        <w:t xml:space="preserve"> </w:t>
      </w:r>
      <w:r>
        <w:t>as R—as the rock that Joey threw at your car.</w:t>
      </w:r>
    </w:p>
    <w:p w14:paraId="7E0010DB" w14:textId="77777777" w:rsidR="009A58DB" w:rsidRDefault="00000000">
      <w:pPr>
        <w:pStyle w:val="BodyText"/>
        <w:spacing w:before="8" w:line="249" w:lineRule="auto"/>
        <w:ind w:right="358" w:firstLine="360"/>
      </w:pPr>
      <w:r>
        <w:t>Your eyes are obviously telling you something. But what exactly? Here</w:t>
      </w:r>
      <w:r>
        <w:rPr>
          <w:spacing w:val="40"/>
        </w:rPr>
        <w:t xml:space="preserve"> </w:t>
      </w:r>
      <w:r>
        <w:t xml:space="preserve">we must be careful to distinguish what your visual perception </w:t>
      </w:r>
      <w:r>
        <w:rPr>
          <w:i/>
        </w:rPr>
        <w:t xml:space="preserve">itself </w:t>
      </w:r>
      <w:r>
        <w:t xml:space="preserve">is telling from what, given the backlog of knowledge at your disposal, you can read into that perception. No sooner do you see R than you </w:t>
      </w:r>
      <w:r>
        <w:rPr>
          <w:i/>
        </w:rPr>
        <w:t xml:space="preserve">recognize </w:t>
      </w:r>
      <w:r>
        <w:t xml:space="preserve">it. But do your eyes tell you that it is R you are seeing? No. Given only what they are telling you, you could be looking at some other rock that happened to look just like that rock. Maybe you know that this is unlikely. Maybe you know that there’s basically </w:t>
      </w:r>
      <w:r>
        <w:rPr>
          <w:i/>
        </w:rPr>
        <w:t xml:space="preserve">no </w:t>
      </w:r>
      <w:r>
        <w:t>real chance of this. And maybe you know all of this instantaneously. You don’t have go through a conscious, drawn out process</w:t>
      </w:r>
      <w:r>
        <w:rPr>
          <w:spacing w:val="40"/>
        </w:rPr>
        <w:t xml:space="preserve"> </w:t>
      </w:r>
      <w:r>
        <w:t>of inference. It’s obvious—just as obvious as it is that the person in front of you at your wedding is your beloved fiancée.</w:t>
      </w:r>
    </w:p>
    <w:p w14:paraId="7E0010DC" w14:textId="77777777" w:rsidR="009A58DB" w:rsidRDefault="00000000">
      <w:pPr>
        <w:spacing w:before="14" w:line="249" w:lineRule="auto"/>
        <w:ind w:left="360" w:right="361" w:firstLine="360"/>
        <w:jc w:val="both"/>
        <w:rPr>
          <w:sz w:val="30"/>
        </w:rPr>
      </w:pPr>
      <w:r>
        <w:rPr>
          <w:sz w:val="30"/>
        </w:rPr>
        <w:t xml:space="preserve">But </w:t>
      </w:r>
      <w:r>
        <w:rPr>
          <w:i/>
          <w:sz w:val="30"/>
        </w:rPr>
        <w:t xml:space="preserve">your eyes aren’t telling you any of this. </w:t>
      </w:r>
      <w:r>
        <w:rPr>
          <w:sz w:val="30"/>
        </w:rPr>
        <w:t xml:space="preserve">Given only the information encoded in your visual perception, you </w:t>
      </w:r>
      <w:r>
        <w:rPr>
          <w:i/>
          <w:sz w:val="30"/>
        </w:rPr>
        <w:t xml:space="preserve">could </w:t>
      </w:r>
      <w:r>
        <w:rPr>
          <w:sz w:val="30"/>
        </w:rPr>
        <w:t>be seeing some duplicate of R. Given</w:t>
      </w:r>
      <w:r>
        <w:rPr>
          <w:spacing w:val="50"/>
          <w:sz w:val="30"/>
        </w:rPr>
        <w:t xml:space="preserve"> </w:t>
      </w:r>
      <w:r>
        <w:rPr>
          <w:sz w:val="30"/>
        </w:rPr>
        <w:t>only</w:t>
      </w:r>
      <w:r>
        <w:rPr>
          <w:spacing w:val="52"/>
          <w:sz w:val="30"/>
        </w:rPr>
        <w:t xml:space="preserve"> </w:t>
      </w:r>
      <w:r>
        <w:rPr>
          <w:sz w:val="30"/>
        </w:rPr>
        <w:t>what</w:t>
      </w:r>
      <w:r>
        <w:rPr>
          <w:spacing w:val="52"/>
          <w:sz w:val="30"/>
        </w:rPr>
        <w:t xml:space="preserve"> </w:t>
      </w:r>
      <w:r>
        <w:rPr>
          <w:sz w:val="30"/>
        </w:rPr>
        <w:t>your</w:t>
      </w:r>
      <w:r>
        <w:rPr>
          <w:spacing w:val="52"/>
          <w:sz w:val="30"/>
        </w:rPr>
        <w:t xml:space="preserve"> </w:t>
      </w:r>
      <w:r>
        <w:rPr>
          <w:sz w:val="30"/>
        </w:rPr>
        <w:t>eyes</w:t>
      </w:r>
      <w:r>
        <w:rPr>
          <w:spacing w:val="52"/>
          <w:sz w:val="30"/>
        </w:rPr>
        <w:t xml:space="preserve"> </w:t>
      </w:r>
      <w:r>
        <w:rPr>
          <w:sz w:val="30"/>
        </w:rPr>
        <w:t>are</w:t>
      </w:r>
      <w:r>
        <w:rPr>
          <w:spacing w:val="52"/>
          <w:sz w:val="30"/>
        </w:rPr>
        <w:t xml:space="preserve"> </w:t>
      </w:r>
      <w:r>
        <w:rPr>
          <w:sz w:val="30"/>
        </w:rPr>
        <w:t>telling</w:t>
      </w:r>
      <w:r>
        <w:rPr>
          <w:spacing w:val="53"/>
          <w:sz w:val="30"/>
        </w:rPr>
        <w:t xml:space="preserve"> </w:t>
      </w:r>
      <w:r>
        <w:rPr>
          <w:sz w:val="30"/>
        </w:rPr>
        <w:t>you,</w:t>
      </w:r>
      <w:r>
        <w:rPr>
          <w:spacing w:val="52"/>
          <w:sz w:val="30"/>
        </w:rPr>
        <w:t xml:space="preserve"> </w:t>
      </w:r>
      <w:r>
        <w:rPr>
          <w:sz w:val="30"/>
        </w:rPr>
        <w:t>it’s</w:t>
      </w:r>
      <w:r>
        <w:rPr>
          <w:spacing w:val="52"/>
          <w:sz w:val="30"/>
        </w:rPr>
        <w:t xml:space="preserve"> </w:t>
      </w:r>
      <w:r>
        <w:rPr>
          <w:sz w:val="30"/>
        </w:rPr>
        <w:t>possible</w:t>
      </w:r>
      <w:r>
        <w:rPr>
          <w:spacing w:val="52"/>
          <w:sz w:val="30"/>
        </w:rPr>
        <w:t xml:space="preserve"> </w:t>
      </w:r>
      <w:r>
        <w:rPr>
          <w:sz w:val="30"/>
        </w:rPr>
        <w:t>that</w:t>
      </w:r>
      <w:r>
        <w:rPr>
          <w:spacing w:val="52"/>
          <w:sz w:val="30"/>
        </w:rPr>
        <w:t xml:space="preserve"> </w:t>
      </w:r>
      <w:r>
        <w:rPr>
          <w:sz w:val="30"/>
        </w:rPr>
        <w:t>R</w:t>
      </w:r>
      <w:r>
        <w:rPr>
          <w:spacing w:val="51"/>
          <w:sz w:val="30"/>
        </w:rPr>
        <w:t xml:space="preserve"> </w:t>
      </w:r>
      <w:r>
        <w:rPr>
          <w:sz w:val="30"/>
        </w:rPr>
        <w:t>no</w:t>
      </w:r>
      <w:r>
        <w:rPr>
          <w:spacing w:val="53"/>
          <w:sz w:val="30"/>
        </w:rPr>
        <w:t xml:space="preserve"> </w:t>
      </w:r>
      <w:r>
        <w:rPr>
          <w:spacing w:val="-2"/>
          <w:sz w:val="30"/>
        </w:rPr>
        <w:t>longer</w:t>
      </w:r>
    </w:p>
    <w:p w14:paraId="7E0010DD" w14:textId="77777777" w:rsidR="009A58DB" w:rsidRDefault="009A58DB">
      <w:pPr>
        <w:spacing w:line="249" w:lineRule="auto"/>
        <w:jc w:val="both"/>
        <w:rPr>
          <w:sz w:val="30"/>
        </w:rPr>
        <w:sectPr w:rsidR="009A58DB">
          <w:pgSz w:w="12240" w:h="15840"/>
          <w:pgMar w:top="1680" w:right="1080" w:bottom="280" w:left="1080" w:header="720" w:footer="720" w:gutter="0"/>
          <w:cols w:space="720"/>
        </w:sectPr>
      </w:pPr>
    </w:p>
    <w:p w14:paraId="7E0010DE" w14:textId="77777777" w:rsidR="009A58DB" w:rsidRDefault="00000000">
      <w:pPr>
        <w:pStyle w:val="BodyText"/>
        <w:spacing w:before="60"/>
      </w:pPr>
      <w:r>
        <w:lastRenderedPageBreak/>
        <w:t>exists</w:t>
      </w:r>
      <w:r>
        <w:rPr>
          <w:spacing w:val="-6"/>
        </w:rPr>
        <w:t xml:space="preserve"> </w:t>
      </w:r>
      <w:r>
        <w:t>and</w:t>
      </w:r>
      <w:r>
        <w:rPr>
          <w:spacing w:val="-2"/>
        </w:rPr>
        <w:t xml:space="preserve"> </w:t>
      </w:r>
      <w:r>
        <w:t>that</w:t>
      </w:r>
      <w:r>
        <w:rPr>
          <w:spacing w:val="-3"/>
        </w:rPr>
        <w:t xml:space="preserve"> </w:t>
      </w:r>
      <w:r>
        <w:t>what</w:t>
      </w:r>
      <w:r>
        <w:rPr>
          <w:spacing w:val="-3"/>
        </w:rPr>
        <w:t xml:space="preserve"> </w:t>
      </w:r>
      <w:r>
        <w:t>you</w:t>
      </w:r>
      <w:r>
        <w:rPr>
          <w:spacing w:val="-2"/>
        </w:rPr>
        <w:t xml:space="preserve"> </w:t>
      </w:r>
      <w:r>
        <w:t>are</w:t>
      </w:r>
      <w:r>
        <w:rPr>
          <w:spacing w:val="-4"/>
        </w:rPr>
        <w:t xml:space="preserve"> </w:t>
      </w:r>
      <w:r>
        <w:t>seeing</w:t>
      </w:r>
      <w:r>
        <w:rPr>
          <w:spacing w:val="-2"/>
        </w:rPr>
        <w:t xml:space="preserve"> </w:t>
      </w:r>
      <w:r>
        <w:t>is</w:t>
      </w:r>
      <w:r>
        <w:rPr>
          <w:spacing w:val="-3"/>
        </w:rPr>
        <w:t xml:space="preserve"> </w:t>
      </w:r>
      <w:r>
        <w:t>a</w:t>
      </w:r>
      <w:r>
        <w:rPr>
          <w:spacing w:val="-3"/>
        </w:rPr>
        <w:t xml:space="preserve"> </w:t>
      </w:r>
      <w:r>
        <w:t>perfect</w:t>
      </w:r>
      <w:r>
        <w:rPr>
          <w:spacing w:val="-3"/>
        </w:rPr>
        <w:t xml:space="preserve"> </w:t>
      </w:r>
      <w:r>
        <w:t>duplicate</w:t>
      </w:r>
      <w:r>
        <w:rPr>
          <w:spacing w:val="-3"/>
        </w:rPr>
        <w:t xml:space="preserve"> </w:t>
      </w:r>
      <w:r>
        <w:t>of</w:t>
      </w:r>
      <w:r>
        <w:rPr>
          <w:spacing w:val="-3"/>
        </w:rPr>
        <w:t xml:space="preserve"> </w:t>
      </w:r>
      <w:r>
        <w:rPr>
          <w:spacing w:val="-5"/>
        </w:rPr>
        <w:t>it.</w:t>
      </w:r>
    </w:p>
    <w:p w14:paraId="7E0010DF" w14:textId="77777777" w:rsidR="009A58DB" w:rsidRDefault="00000000">
      <w:pPr>
        <w:pStyle w:val="BodyText"/>
        <w:spacing w:before="20" w:line="501" w:lineRule="auto"/>
        <w:ind w:right="505" w:firstLine="360"/>
      </w:pPr>
      <w:r>
        <w:t>What</w:t>
      </w:r>
      <w:r>
        <w:rPr>
          <w:spacing w:val="-4"/>
        </w:rPr>
        <w:t xml:space="preserve"> </w:t>
      </w:r>
      <w:r>
        <w:t>your</w:t>
      </w:r>
      <w:r>
        <w:rPr>
          <w:spacing w:val="-4"/>
        </w:rPr>
        <w:t xml:space="preserve"> </w:t>
      </w:r>
      <w:r>
        <w:t>eyes</w:t>
      </w:r>
      <w:r>
        <w:rPr>
          <w:spacing w:val="-4"/>
        </w:rPr>
        <w:t xml:space="preserve"> </w:t>
      </w:r>
      <w:r>
        <w:t>tell</w:t>
      </w:r>
      <w:r>
        <w:rPr>
          <w:spacing w:val="-4"/>
        </w:rPr>
        <w:t xml:space="preserve"> </w:t>
      </w:r>
      <w:r>
        <w:t>you</w:t>
      </w:r>
      <w:r>
        <w:rPr>
          <w:spacing w:val="-3"/>
        </w:rPr>
        <w:t xml:space="preserve"> </w:t>
      </w:r>
      <w:r>
        <w:t>isn’t:</w:t>
      </w:r>
      <w:r>
        <w:rPr>
          <w:spacing w:val="-4"/>
        </w:rPr>
        <w:t xml:space="preserve"> </w:t>
      </w:r>
      <w:r>
        <w:t>“that’s</w:t>
      </w:r>
      <w:r>
        <w:rPr>
          <w:spacing w:val="-4"/>
        </w:rPr>
        <w:t xml:space="preserve"> </w:t>
      </w:r>
      <w:r>
        <w:t>R</w:t>
      </w:r>
      <w:r>
        <w:rPr>
          <w:spacing w:val="-4"/>
        </w:rPr>
        <w:t xml:space="preserve"> </w:t>
      </w:r>
      <w:r>
        <w:t>over</w:t>
      </w:r>
      <w:r>
        <w:rPr>
          <w:spacing w:val="-4"/>
        </w:rPr>
        <w:t xml:space="preserve"> </w:t>
      </w:r>
      <w:r>
        <w:t>there.”</w:t>
      </w:r>
      <w:r>
        <w:rPr>
          <w:spacing w:val="-4"/>
        </w:rPr>
        <w:t xml:space="preserve"> </w:t>
      </w:r>
      <w:r>
        <w:t>What</w:t>
      </w:r>
      <w:r>
        <w:rPr>
          <w:spacing w:val="-4"/>
        </w:rPr>
        <w:t xml:space="preserve"> </w:t>
      </w:r>
      <w:r>
        <w:t>they</w:t>
      </w:r>
      <w:r>
        <w:rPr>
          <w:spacing w:val="-3"/>
        </w:rPr>
        <w:t xml:space="preserve"> </w:t>
      </w:r>
      <w:r>
        <w:t>tell</w:t>
      </w:r>
      <w:r>
        <w:rPr>
          <w:spacing w:val="-4"/>
        </w:rPr>
        <w:t xml:space="preserve"> </w:t>
      </w:r>
      <w:r>
        <w:t>you</w:t>
      </w:r>
      <w:r>
        <w:rPr>
          <w:spacing w:val="-3"/>
        </w:rPr>
        <w:t xml:space="preserve"> </w:t>
      </w:r>
      <w:r>
        <w:t>is: (RO) “there is a rock having such and such characteristics over there.”</w:t>
      </w:r>
    </w:p>
    <w:p w14:paraId="7E0010E0" w14:textId="77777777" w:rsidR="009A58DB" w:rsidRDefault="00000000">
      <w:pPr>
        <w:pStyle w:val="BodyText"/>
        <w:spacing w:line="249" w:lineRule="auto"/>
        <w:ind w:right="357"/>
      </w:pPr>
      <w:r>
        <w:t xml:space="preserve">R </w:t>
      </w:r>
      <w:r>
        <w:rPr>
          <w:i/>
        </w:rPr>
        <w:t xml:space="preserve">satisfies </w:t>
      </w:r>
      <w:r>
        <w:t xml:space="preserve">that existence-claim; and you know that. On the basis of that knowledge </w:t>
      </w:r>
      <w:r>
        <w:rPr>
          <w:i/>
        </w:rPr>
        <w:t xml:space="preserve">along </w:t>
      </w:r>
      <w:r>
        <w:t>with the information bequeathed to you by your visual perception, you know that R has such and such characteristics. But that perception itself doesn’t bear any R-specific message. What your eyes are telling you, taken by itself, is consistent with R’s not even existing. Obvious extensions</w:t>
      </w:r>
      <w:r>
        <w:rPr>
          <w:spacing w:val="-1"/>
        </w:rPr>
        <w:t xml:space="preserve"> </w:t>
      </w:r>
      <w:r>
        <w:t>of</w:t>
      </w:r>
      <w:r>
        <w:rPr>
          <w:spacing w:val="-1"/>
        </w:rPr>
        <w:t xml:space="preserve"> </w:t>
      </w:r>
      <w:r>
        <w:t>these</w:t>
      </w:r>
      <w:r>
        <w:rPr>
          <w:spacing w:val="-1"/>
        </w:rPr>
        <w:t xml:space="preserve"> </w:t>
      </w:r>
      <w:r>
        <w:t>points</w:t>
      </w:r>
      <w:r>
        <w:rPr>
          <w:spacing w:val="-1"/>
        </w:rPr>
        <w:t xml:space="preserve"> </w:t>
      </w:r>
      <w:r>
        <w:t>show</w:t>
      </w:r>
      <w:r>
        <w:rPr>
          <w:spacing w:val="-1"/>
        </w:rPr>
        <w:t xml:space="preserve"> </w:t>
      </w:r>
      <w:r>
        <w:t>that,</w:t>
      </w:r>
      <w:r>
        <w:rPr>
          <w:spacing w:val="-1"/>
        </w:rPr>
        <w:t xml:space="preserve"> </w:t>
      </w:r>
      <w:r>
        <w:t>given</w:t>
      </w:r>
      <w:r>
        <w:rPr>
          <w:spacing w:val="-1"/>
        </w:rPr>
        <w:t xml:space="preserve"> </w:t>
      </w:r>
      <w:r>
        <w:t>any</w:t>
      </w:r>
      <w:r>
        <w:rPr>
          <w:spacing w:val="-1"/>
        </w:rPr>
        <w:t xml:space="preserve"> </w:t>
      </w:r>
      <w:r>
        <w:t>message</w:t>
      </w:r>
      <w:r>
        <w:rPr>
          <w:spacing w:val="-1"/>
        </w:rPr>
        <w:t xml:space="preserve"> </w:t>
      </w:r>
      <w:r>
        <w:t>given</w:t>
      </w:r>
      <w:r>
        <w:rPr>
          <w:spacing w:val="-1"/>
        </w:rPr>
        <w:t xml:space="preserve"> </w:t>
      </w:r>
      <w:r>
        <w:t>to</w:t>
      </w:r>
      <w:r>
        <w:rPr>
          <w:spacing w:val="-1"/>
        </w:rPr>
        <w:t xml:space="preserve"> </w:t>
      </w:r>
      <w:r>
        <w:t>you</w:t>
      </w:r>
      <w:r>
        <w:rPr>
          <w:spacing w:val="-1"/>
        </w:rPr>
        <w:t xml:space="preserve"> </w:t>
      </w:r>
      <w:r>
        <w:t>through vision or any other sensory modality, and given any object in the external world, that message is consistent with that object’s not existing.</w:t>
      </w:r>
    </w:p>
    <w:p w14:paraId="7E0010E1" w14:textId="77777777" w:rsidR="009A58DB" w:rsidRDefault="00000000">
      <w:pPr>
        <w:pStyle w:val="Heading1"/>
        <w:numPr>
          <w:ilvl w:val="1"/>
          <w:numId w:val="158"/>
        </w:numPr>
        <w:tabs>
          <w:tab w:val="left" w:pos="1140"/>
        </w:tabs>
        <w:spacing w:before="195" w:line="244" w:lineRule="auto"/>
        <w:ind w:left="360" w:right="365" w:firstLine="0"/>
      </w:pPr>
      <w:r>
        <w:t>The</w:t>
      </w:r>
      <w:r>
        <w:rPr>
          <w:spacing w:val="80"/>
        </w:rPr>
        <w:t xml:space="preserve"> </w:t>
      </w:r>
      <w:r>
        <w:t>exact</w:t>
      </w:r>
      <w:r>
        <w:rPr>
          <w:spacing w:val="80"/>
        </w:rPr>
        <w:t xml:space="preserve"> </w:t>
      </w:r>
      <w:r>
        <w:t>way</w:t>
      </w:r>
      <w:r>
        <w:rPr>
          <w:spacing w:val="80"/>
        </w:rPr>
        <w:t xml:space="preserve"> </w:t>
      </w:r>
      <w:r>
        <w:t>in</w:t>
      </w:r>
      <w:r>
        <w:rPr>
          <w:spacing w:val="80"/>
        </w:rPr>
        <w:t xml:space="preserve"> </w:t>
      </w:r>
      <w:r>
        <w:t>which</w:t>
      </w:r>
      <w:r>
        <w:rPr>
          <w:spacing w:val="80"/>
        </w:rPr>
        <w:t xml:space="preserve"> </w:t>
      </w:r>
      <w:r>
        <w:t>sense-perception</w:t>
      </w:r>
      <w:r>
        <w:rPr>
          <w:spacing w:val="80"/>
        </w:rPr>
        <w:t xml:space="preserve"> </w:t>
      </w:r>
      <w:r>
        <w:t>is</w:t>
      </w:r>
      <w:r>
        <w:rPr>
          <w:spacing w:val="80"/>
          <w:w w:val="150"/>
        </w:rPr>
        <w:t xml:space="preserve"> </w:t>
      </w:r>
      <w:r>
        <w:rPr>
          <w:spacing w:val="-2"/>
        </w:rPr>
        <w:t>descriptive</w:t>
      </w:r>
    </w:p>
    <w:p w14:paraId="7E0010E2" w14:textId="77777777" w:rsidR="009A58DB" w:rsidRDefault="00000000">
      <w:pPr>
        <w:spacing w:before="132" w:line="249" w:lineRule="auto"/>
        <w:ind w:left="360" w:right="357"/>
        <w:jc w:val="both"/>
        <w:rPr>
          <w:i/>
          <w:sz w:val="30"/>
        </w:rPr>
      </w:pPr>
      <w:r>
        <w:rPr>
          <w:sz w:val="30"/>
        </w:rPr>
        <w:t xml:space="preserve">Our sense-perceptions obviously represent objects to us and can thus be said to describe them. But what isn’t obvious is that </w:t>
      </w:r>
      <w:r>
        <w:rPr>
          <w:i/>
          <w:sz w:val="30"/>
        </w:rPr>
        <w:t>there is nothing to perceiving anything other than being perceptually apprised of some existence-claim satisfied by that object.</w:t>
      </w:r>
    </w:p>
    <w:p w14:paraId="7E0010E3" w14:textId="77777777" w:rsidR="009A58DB" w:rsidRDefault="00000000">
      <w:pPr>
        <w:pStyle w:val="BodyText"/>
        <w:spacing w:before="5" w:line="249" w:lineRule="auto"/>
        <w:ind w:right="359" w:firstLine="360"/>
      </w:pPr>
      <w:r>
        <w:t>Let’s suppose you are looking at your good friend Pat. Your seeing Pat obviously involves your seeing instances of various properties of various different kinds. Some of these property-instances are morphological (shape-related); others are chromatic (color-related); others are kinematic (motion-related). And so on.</w:t>
      </w:r>
    </w:p>
    <w:p w14:paraId="7E0010E4" w14:textId="77777777" w:rsidR="009A58DB" w:rsidRDefault="00000000">
      <w:pPr>
        <w:pStyle w:val="BodyText"/>
        <w:spacing w:before="6" w:line="249" w:lineRule="auto"/>
        <w:ind w:right="359" w:firstLine="360"/>
      </w:pPr>
      <w:r>
        <w:t xml:space="preserve">But you don’t </w:t>
      </w:r>
      <w:r>
        <w:rPr>
          <w:i/>
        </w:rPr>
        <w:t xml:space="preserve">just </w:t>
      </w:r>
      <w:r>
        <w:t>see various property-instances. You see an organized structure consisting of them. Your visual perception of Pat represents these property-instances as bearing various relations to one another. Being thus interrelated, they collectively form a coherent structure. Your seeing a coherent structure of property-instances, as opposed to a disorganized jumble of them, consists in your seeing various instances of various relations. It consists in your seeing that certain property-instances are to the right of certain others, that other property-instances are behind certain others, etc. Thus, your seeing Pat involves your seeing various instances of various properties and relations.</w:t>
      </w:r>
    </w:p>
    <w:p w14:paraId="7E0010E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E6" w14:textId="77777777" w:rsidR="009A58DB" w:rsidRDefault="00000000">
      <w:pPr>
        <w:pStyle w:val="BodyText"/>
        <w:spacing w:before="65" w:line="249" w:lineRule="auto"/>
        <w:ind w:right="359" w:firstLine="360"/>
        <w:rPr>
          <w:position w:val="21"/>
        </w:rPr>
      </w:pPr>
      <w:r>
        <w:lastRenderedPageBreak/>
        <w:t>It</w:t>
      </w:r>
      <w:r>
        <w:rPr>
          <w:spacing w:val="-1"/>
        </w:rPr>
        <w:t xml:space="preserve"> </w:t>
      </w:r>
      <w:r>
        <w:t>follows</w:t>
      </w:r>
      <w:r>
        <w:rPr>
          <w:spacing w:val="-1"/>
        </w:rPr>
        <w:t xml:space="preserve"> </w:t>
      </w:r>
      <w:r>
        <w:t>that</w:t>
      </w:r>
      <w:r>
        <w:rPr>
          <w:spacing w:val="-1"/>
        </w:rPr>
        <w:t xml:space="preserve"> </w:t>
      </w:r>
      <w:r>
        <w:t>your</w:t>
      </w:r>
      <w:r>
        <w:rPr>
          <w:spacing w:val="-1"/>
        </w:rPr>
        <w:t xml:space="preserve"> </w:t>
      </w:r>
      <w:r>
        <w:t>seeing</w:t>
      </w:r>
      <w:r>
        <w:rPr>
          <w:spacing w:val="-1"/>
        </w:rPr>
        <w:t xml:space="preserve"> </w:t>
      </w:r>
      <w:r>
        <w:t>him</w:t>
      </w:r>
      <w:r>
        <w:rPr>
          <w:spacing w:val="-1"/>
        </w:rPr>
        <w:t xml:space="preserve"> </w:t>
      </w:r>
      <w:r>
        <w:t>involves</w:t>
      </w:r>
      <w:r>
        <w:rPr>
          <w:spacing w:val="-1"/>
        </w:rPr>
        <w:t xml:space="preserve"> </w:t>
      </w:r>
      <w:r>
        <w:t>your</w:t>
      </w:r>
      <w:r>
        <w:rPr>
          <w:spacing w:val="-1"/>
        </w:rPr>
        <w:t xml:space="preserve"> </w:t>
      </w:r>
      <w:r>
        <w:t>being</w:t>
      </w:r>
      <w:r>
        <w:rPr>
          <w:spacing w:val="-1"/>
        </w:rPr>
        <w:t xml:space="preserve"> </w:t>
      </w:r>
      <w:r>
        <w:t>(visually,</w:t>
      </w:r>
      <w:r>
        <w:rPr>
          <w:spacing w:val="-1"/>
        </w:rPr>
        <w:t xml:space="preserve"> </w:t>
      </w:r>
      <w:r>
        <w:t>not</w:t>
      </w:r>
      <w:r>
        <w:rPr>
          <w:spacing w:val="-1"/>
        </w:rPr>
        <w:t xml:space="preserve"> </w:t>
      </w:r>
      <w:r>
        <w:t>verbally) apprised of an existence-claim: “there are, at the present moment, instances</w:t>
      </w:r>
      <w:r>
        <w:rPr>
          <w:spacing w:val="40"/>
        </w:rPr>
        <w:t xml:space="preserve"> </w:t>
      </w:r>
      <w:r>
        <w:t>of such and such properties, in such and such places, bearing such and such relations to one another.” From now on, when I mention “property</w:t>
      </w:r>
      <w:r>
        <w:rPr>
          <w:spacing w:val="40"/>
        </w:rPr>
        <w:t xml:space="preserve"> </w:t>
      </w:r>
      <w:r>
        <w:t xml:space="preserve">instances,” I am referring to instances of properties </w:t>
      </w:r>
      <w:r>
        <w:rPr>
          <w:i/>
        </w:rPr>
        <w:t xml:space="preserve">and </w:t>
      </w:r>
      <w:r>
        <w:t>of relations.</w:t>
      </w:r>
      <w:bookmarkStart w:id="240" w:name="_bookmark240"/>
      <w:bookmarkEnd w:id="240"/>
      <w:r>
        <w:rPr>
          <w:color w:val="0562C1"/>
          <w:position w:val="21"/>
          <w:u w:val="single" w:color="0562C1"/>
        </w:rPr>
        <w:t>[145]</w:t>
      </w:r>
    </w:p>
    <w:p w14:paraId="7E0010E7" w14:textId="77777777" w:rsidR="009A58DB" w:rsidRDefault="00000000">
      <w:pPr>
        <w:pStyle w:val="BodyText"/>
        <w:spacing w:before="6" w:line="249" w:lineRule="auto"/>
        <w:ind w:right="361" w:firstLine="360"/>
      </w:pPr>
      <w:r>
        <w:t xml:space="preserve">We must now confront a delicate but deeply important question. You see Pat. That’s a given. This </w:t>
      </w:r>
      <w:r>
        <w:rPr>
          <w:i/>
        </w:rPr>
        <w:t xml:space="preserve">involves </w:t>
      </w:r>
      <w:r>
        <w:t xml:space="preserve">your seeing various instances of various properties and relations. That too is a given. But do you see anything </w:t>
      </w:r>
      <w:r>
        <w:rPr>
          <w:i/>
        </w:rPr>
        <w:t xml:space="preserve">other </w:t>
      </w:r>
      <w:r>
        <w:t xml:space="preserve">than property-instances instances? Is there something to your seeing Pat above and beyond your beholding these various instances? Do you see these instances, on the one hand, </w:t>
      </w:r>
      <w:r>
        <w:rPr>
          <w:i/>
        </w:rPr>
        <w:t xml:space="preserve">and </w:t>
      </w:r>
      <w:r>
        <w:t>Pat, on the other?</w:t>
      </w:r>
    </w:p>
    <w:p w14:paraId="7E0010E8" w14:textId="77777777" w:rsidR="009A58DB" w:rsidRDefault="00000000">
      <w:pPr>
        <w:pStyle w:val="BodyText"/>
        <w:spacing w:before="7" w:line="249" w:lineRule="auto"/>
        <w:ind w:right="358" w:firstLine="360"/>
      </w:pPr>
      <w:r>
        <w:t>No. Clearly you just see the instances. Your perception doesn’t represent Pat</w:t>
      </w:r>
      <w:r>
        <w:rPr>
          <w:spacing w:val="-4"/>
        </w:rPr>
        <w:t xml:space="preserve"> </w:t>
      </w:r>
      <w:r>
        <w:rPr>
          <w:i/>
        </w:rPr>
        <w:t xml:space="preserve">in addition to </w:t>
      </w:r>
      <w:r>
        <w:t>the various property-instances that are associated with him. Were your perception to have such a structure, it would involve Pat’s being represented to you as a featureless lump, a blank undifferentiated entity, with various property-instances piled on top of it, so to speak.</w:t>
      </w:r>
    </w:p>
    <w:p w14:paraId="7E0010E9" w14:textId="77777777" w:rsidR="009A58DB" w:rsidRDefault="00000000">
      <w:pPr>
        <w:pStyle w:val="BodyText"/>
        <w:spacing w:before="6" w:line="249" w:lineRule="auto"/>
        <w:ind w:right="363" w:firstLine="360"/>
      </w:pPr>
      <w:r>
        <w:t>But that clearly isn’t how that perception works. It’s absurd to suppose</w:t>
      </w:r>
      <w:r>
        <w:rPr>
          <w:spacing w:val="40"/>
        </w:rPr>
        <w:t xml:space="preserve"> </w:t>
      </w:r>
      <w:r>
        <w:t xml:space="preserve">that a thing possibly be perceptually represented </w:t>
      </w:r>
      <w:r>
        <w:rPr>
          <w:i/>
        </w:rPr>
        <w:t xml:space="preserve">independently </w:t>
      </w:r>
      <w:r>
        <w:t xml:space="preserve">of the property-instances that it is being represented as having. That would involve its being represented as a featureless blank. The very idea of a thing’s being perceptually represented </w:t>
      </w:r>
      <w:r>
        <w:rPr>
          <w:i/>
        </w:rPr>
        <w:t>as</w:t>
      </w:r>
      <w:r>
        <w:rPr>
          <w:i/>
          <w:spacing w:val="-4"/>
        </w:rPr>
        <w:t xml:space="preserve"> </w:t>
      </w:r>
      <w:r>
        <w:t>a featureless blank is a non-starter. Thus, there is nothing to seeing (or otherwise sense-perceiving) an object other than seeing (same qualification) the property-instances associated with it.</w:t>
      </w:r>
    </w:p>
    <w:p w14:paraId="7E0010EA" w14:textId="77777777" w:rsidR="009A58DB" w:rsidRDefault="00000000">
      <w:pPr>
        <w:pStyle w:val="BodyText"/>
        <w:spacing w:before="9" w:line="249" w:lineRule="auto"/>
        <w:ind w:right="358" w:firstLine="360"/>
      </w:pPr>
      <w:r>
        <w:t xml:space="preserve">These properties are time- and place-indexed. Supposing what you are seeing is round, what you see isn’t just an instance of roundness, but an instance of roundness </w:t>
      </w:r>
      <w:r>
        <w:rPr>
          <w:i/>
        </w:rPr>
        <w:t xml:space="preserve">in a certain place, at the present time. </w:t>
      </w:r>
      <w:r>
        <w:t>So if O is what you are seeing, your seeing O consists in your being visually told that there are instances of various (time- and place-indexed) properties, these being properties had by O.</w:t>
      </w:r>
    </w:p>
    <w:p w14:paraId="7E0010EB" w14:textId="77777777" w:rsidR="009A58DB" w:rsidRDefault="00000000">
      <w:pPr>
        <w:pStyle w:val="BodyText"/>
        <w:spacing w:before="7" w:line="249" w:lineRule="auto"/>
        <w:ind w:right="361" w:firstLine="360"/>
      </w:pPr>
      <w:r>
        <w:t xml:space="preserve">Your seeing a given object consists in your being apprised of the truth of an existence-claim that it </w:t>
      </w:r>
      <w:r>
        <w:rPr>
          <w:i/>
        </w:rPr>
        <w:t xml:space="preserve">uniquely </w:t>
      </w:r>
      <w:r>
        <w:t>satisfies. And your seeing that a given object has property P consists in your being apprised of the truth of some existence-claim of the form: there exists exactly one object having such and such properties; moreover, any such object has P.</w:t>
      </w:r>
    </w:p>
    <w:p w14:paraId="7E0010EC" w14:textId="77777777" w:rsidR="009A58DB" w:rsidRDefault="00000000">
      <w:pPr>
        <w:pStyle w:val="BodyText"/>
        <w:spacing w:before="6"/>
        <w:ind w:left="720"/>
      </w:pPr>
      <w:r>
        <w:t>Let</w:t>
      </w:r>
      <w:r>
        <w:rPr>
          <w:spacing w:val="52"/>
          <w:w w:val="150"/>
        </w:rPr>
        <w:t xml:space="preserve"> </w:t>
      </w:r>
      <w:r>
        <w:t>me</w:t>
      </w:r>
      <w:r>
        <w:rPr>
          <w:spacing w:val="53"/>
          <w:w w:val="150"/>
        </w:rPr>
        <w:t xml:space="preserve"> </w:t>
      </w:r>
      <w:r>
        <w:t>clarify</w:t>
      </w:r>
      <w:r>
        <w:rPr>
          <w:spacing w:val="53"/>
          <w:w w:val="150"/>
        </w:rPr>
        <w:t xml:space="preserve"> </w:t>
      </w:r>
      <w:r>
        <w:t>these</w:t>
      </w:r>
      <w:r>
        <w:rPr>
          <w:spacing w:val="53"/>
          <w:w w:val="150"/>
        </w:rPr>
        <w:t xml:space="preserve"> </w:t>
      </w:r>
      <w:r>
        <w:t>statements.</w:t>
      </w:r>
      <w:r>
        <w:rPr>
          <w:spacing w:val="53"/>
          <w:w w:val="150"/>
        </w:rPr>
        <w:t xml:space="preserve"> </w:t>
      </w:r>
      <w:r>
        <w:t>Look</w:t>
      </w:r>
      <w:r>
        <w:rPr>
          <w:spacing w:val="53"/>
          <w:w w:val="150"/>
        </w:rPr>
        <w:t xml:space="preserve"> </w:t>
      </w:r>
      <w:r>
        <w:t>at</w:t>
      </w:r>
      <w:r>
        <w:rPr>
          <w:spacing w:val="53"/>
          <w:w w:val="150"/>
        </w:rPr>
        <w:t xml:space="preserve"> </w:t>
      </w:r>
      <w:r>
        <w:t>the</w:t>
      </w:r>
      <w:r>
        <w:rPr>
          <w:spacing w:val="53"/>
          <w:w w:val="150"/>
        </w:rPr>
        <w:t xml:space="preserve"> </w:t>
      </w:r>
      <w:r>
        <w:t>last</w:t>
      </w:r>
      <w:r>
        <w:rPr>
          <w:spacing w:val="53"/>
          <w:w w:val="150"/>
        </w:rPr>
        <w:t xml:space="preserve"> </w:t>
      </w:r>
      <w:r>
        <w:t>word</w:t>
      </w:r>
      <w:r>
        <w:rPr>
          <w:spacing w:val="53"/>
          <w:w w:val="150"/>
        </w:rPr>
        <w:t xml:space="preserve"> </w:t>
      </w:r>
      <w:r>
        <w:t>of</w:t>
      </w:r>
      <w:r>
        <w:rPr>
          <w:spacing w:val="53"/>
          <w:w w:val="150"/>
        </w:rPr>
        <w:t xml:space="preserve"> </w:t>
      </w:r>
      <w:r>
        <w:t>this</w:t>
      </w:r>
      <w:r>
        <w:rPr>
          <w:spacing w:val="53"/>
          <w:w w:val="150"/>
        </w:rPr>
        <w:t xml:space="preserve"> </w:t>
      </w:r>
      <w:r>
        <w:rPr>
          <w:spacing w:val="-4"/>
        </w:rPr>
        <w:t>very</w:t>
      </w:r>
    </w:p>
    <w:p w14:paraId="7E0010ED" w14:textId="77777777" w:rsidR="009A58DB" w:rsidRDefault="009A58DB">
      <w:pPr>
        <w:pStyle w:val="BodyText"/>
        <w:sectPr w:rsidR="009A58DB">
          <w:pgSz w:w="12240" w:h="15840"/>
          <w:pgMar w:top="1380" w:right="1080" w:bottom="280" w:left="1080" w:header="720" w:footer="720" w:gutter="0"/>
          <w:cols w:space="720"/>
        </w:sectPr>
      </w:pPr>
    </w:p>
    <w:p w14:paraId="7E0010EE" w14:textId="77777777" w:rsidR="009A58DB" w:rsidRDefault="00000000">
      <w:pPr>
        <w:pStyle w:val="BodyText"/>
        <w:spacing w:before="65" w:line="249" w:lineRule="auto"/>
        <w:ind w:right="361"/>
      </w:pPr>
      <w:r>
        <w:lastRenderedPageBreak/>
        <w:t xml:space="preserve">sentence. Your eyes don’t </w:t>
      </w:r>
      <w:r>
        <w:rPr>
          <w:i/>
        </w:rPr>
        <w:t>only</w:t>
      </w:r>
      <w:r>
        <w:rPr>
          <w:i/>
          <w:spacing w:val="-4"/>
        </w:rPr>
        <w:t xml:space="preserve"> </w:t>
      </w:r>
      <w:r>
        <w:t xml:space="preserve">tell you that certain (time- and place-indexed) properties are instantiated. They don’t </w:t>
      </w:r>
      <w:r>
        <w:rPr>
          <w:i/>
        </w:rPr>
        <w:t xml:space="preserve">only </w:t>
      </w:r>
      <w:r>
        <w:t xml:space="preserve">tell you that, at the present time, in a certain place, there is an instance of a certain morphology (i.e., that had by the following inscription: “sentence”) and of certain chromatic properties, and so on. They tell you that, in that place, at that time, there is exactly </w:t>
      </w:r>
      <w:r>
        <w:rPr>
          <w:i/>
        </w:rPr>
        <w:t xml:space="preserve">one </w:t>
      </w:r>
      <w:r>
        <w:t>such instance.</w:t>
      </w:r>
    </w:p>
    <w:p w14:paraId="7E0010EF" w14:textId="77777777" w:rsidR="009A58DB" w:rsidRDefault="00000000">
      <w:pPr>
        <w:pStyle w:val="BodyText"/>
        <w:spacing w:before="7" w:line="249" w:lineRule="auto"/>
        <w:ind w:right="358" w:firstLine="360"/>
      </w:pPr>
      <w:r>
        <w:t>Thus, you see objects by being visually apprised of existence-claims that they</w:t>
      </w:r>
      <w:r>
        <w:rPr>
          <w:spacing w:val="-2"/>
        </w:rPr>
        <w:t xml:space="preserve"> </w:t>
      </w:r>
      <w:r>
        <w:rPr>
          <w:i/>
        </w:rPr>
        <w:t>uniquely</w:t>
      </w:r>
      <w:r>
        <w:rPr>
          <w:i/>
          <w:spacing w:val="-3"/>
        </w:rPr>
        <w:t xml:space="preserve"> </w:t>
      </w:r>
      <w:r>
        <w:t>satisfy. And, of course, what we just said about vision is true of all sensory modalities. Perception is purely descriptive. For you to perceive an object is for you to be apprised (in a certain way) of an existence-claim that it uniquely satisfies. (Perceiving an object involves being causally connected</w:t>
      </w:r>
      <w:r>
        <w:rPr>
          <w:spacing w:val="-3"/>
        </w:rPr>
        <w:t xml:space="preserve"> </w:t>
      </w:r>
      <w:r>
        <w:t>to</w:t>
      </w:r>
      <w:r>
        <w:rPr>
          <w:spacing w:val="-2"/>
        </w:rPr>
        <w:t xml:space="preserve"> </w:t>
      </w:r>
      <w:r>
        <w:t>it.</w:t>
      </w:r>
      <w:r>
        <w:rPr>
          <w:spacing w:val="-2"/>
        </w:rPr>
        <w:t xml:space="preserve"> </w:t>
      </w:r>
      <w:r>
        <w:t>Some</w:t>
      </w:r>
      <w:r>
        <w:rPr>
          <w:spacing w:val="-2"/>
        </w:rPr>
        <w:t xml:space="preserve"> </w:t>
      </w:r>
      <w:r>
        <w:t>think</w:t>
      </w:r>
      <w:r>
        <w:rPr>
          <w:spacing w:val="-2"/>
        </w:rPr>
        <w:t xml:space="preserve"> </w:t>
      </w:r>
      <w:r>
        <w:t>this</w:t>
      </w:r>
      <w:r>
        <w:rPr>
          <w:spacing w:val="-2"/>
        </w:rPr>
        <w:t xml:space="preserve"> </w:t>
      </w:r>
      <w:r>
        <w:t>is</w:t>
      </w:r>
      <w:r>
        <w:rPr>
          <w:spacing w:val="-2"/>
        </w:rPr>
        <w:t xml:space="preserve"> </w:t>
      </w:r>
      <w:r>
        <w:t>inconsistent</w:t>
      </w:r>
      <w:r>
        <w:rPr>
          <w:spacing w:val="-2"/>
        </w:rPr>
        <w:t xml:space="preserve"> </w:t>
      </w:r>
      <w:r>
        <w:t>with</w:t>
      </w:r>
      <w:r>
        <w:rPr>
          <w:spacing w:val="-2"/>
        </w:rPr>
        <w:t xml:space="preserve"> </w:t>
      </w:r>
      <w:r>
        <w:t>the</w:t>
      </w:r>
      <w:r>
        <w:rPr>
          <w:spacing w:val="-2"/>
        </w:rPr>
        <w:t xml:space="preserve"> </w:t>
      </w:r>
      <w:r>
        <w:t>idea</w:t>
      </w:r>
      <w:r>
        <w:rPr>
          <w:spacing w:val="-2"/>
        </w:rPr>
        <w:t xml:space="preserve"> </w:t>
      </w:r>
      <w:r>
        <w:t>that</w:t>
      </w:r>
      <w:r>
        <w:rPr>
          <w:spacing w:val="-2"/>
        </w:rPr>
        <w:t xml:space="preserve"> </w:t>
      </w:r>
      <w:r>
        <w:t>perception</w:t>
      </w:r>
      <w:r>
        <w:rPr>
          <w:spacing w:val="-2"/>
        </w:rPr>
        <w:t xml:space="preserve"> </w:t>
      </w:r>
      <w:r>
        <w:t>is fundamentally descriptive in nature. Reasons to think otherwise are given later in the present Chapter.)</w:t>
      </w:r>
    </w:p>
    <w:p w14:paraId="7E0010F0" w14:textId="77777777" w:rsidR="009A58DB" w:rsidRDefault="00000000">
      <w:pPr>
        <w:pStyle w:val="Heading1"/>
        <w:numPr>
          <w:ilvl w:val="1"/>
          <w:numId w:val="158"/>
        </w:numPr>
        <w:tabs>
          <w:tab w:val="left" w:pos="1268"/>
          <w:tab w:val="left" w:pos="2352"/>
          <w:tab w:val="left" w:pos="5067"/>
          <w:tab w:val="left" w:pos="6338"/>
          <w:tab w:val="left" w:pos="7072"/>
        </w:tabs>
        <w:spacing w:before="198" w:line="244" w:lineRule="auto"/>
        <w:ind w:left="360" w:right="370" w:firstLine="0"/>
      </w:pPr>
      <w:r>
        <w:rPr>
          <w:spacing w:val="-4"/>
        </w:rPr>
        <w:t>The</w:t>
      </w:r>
      <w:r>
        <w:tab/>
      </w:r>
      <w:r>
        <w:rPr>
          <w:spacing w:val="-2"/>
        </w:rPr>
        <w:t>pre-semantic</w:t>
      </w:r>
      <w:r>
        <w:tab/>
      </w:r>
      <w:r>
        <w:rPr>
          <w:spacing w:val="-2"/>
        </w:rPr>
        <w:t>basis</w:t>
      </w:r>
      <w:r>
        <w:tab/>
      </w:r>
      <w:r>
        <w:rPr>
          <w:spacing w:val="-6"/>
        </w:rPr>
        <w:t>of</w:t>
      </w:r>
      <w:r>
        <w:tab/>
      </w:r>
      <w:r>
        <w:rPr>
          <w:spacing w:val="-2"/>
        </w:rPr>
        <w:t>communicated meaning</w:t>
      </w:r>
    </w:p>
    <w:p w14:paraId="7E0010F1" w14:textId="77777777" w:rsidR="009A58DB" w:rsidRDefault="00000000">
      <w:pPr>
        <w:pStyle w:val="BodyText"/>
        <w:spacing w:before="132" w:line="249" w:lineRule="auto"/>
        <w:ind w:right="359"/>
      </w:pPr>
      <w:r>
        <w:t xml:space="preserve">The idea that anything should be perceptually represented as a featureless blank is not a complete non-starter, and so is the idea that anything should be </w:t>
      </w:r>
      <w:r>
        <w:rPr>
          <w:i/>
        </w:rPr>
        <w:t xml:space="preserve">cognitively </w:t>
      </w:r>
      <w:r>
        <w:t xml:space="preserve">represented in that way. </w:t>
      </w:r>
      <w:r>
        <w:rPr>
          <w:i/>
        </w:rPr>
        <w:t>Con</w:t>
      </w:r>
      <w:r>
        <w:t xml:space="preserve">ception, like </w:t>
      </w:r>
      <w:r>
        <w:rPr>
          <w:i/>
        </w:rPr>
        <w:t>per</w:t>
      </w:r>
      <w:r>
        <w:t>ception, is and must be fundamentally descriptive. To think of an object is to think some existence-claim that it uniquely satisfies. Russell (1917) saw this.</w:t>
      </w:r>
    </w:p>
    <w:p w14:paraId="7E0010F2" w14:textId="77777777" w:rsidR="009A58DB" w:rsidRDefault="00000000">
      <w:pPr>
        <w:pStyle w:val="BodyText"/>
        <w:spacing w:before="6" w:line="249" w:lineRule="auto"/>
        <w:ind w:right="359" w:firstLine="360"/>
      </w:pPr>
      <w:r>
        <w:t>But</w:t>
      </w:r>
      <w:r>
        <w:rPr>
          <w:spacing w:val="-4"/>
        </w:rPr>
        <w:t xml:space="preserve"> </w:t>
      </w:r>
      <w:r>
        <w:t>it’s</w:t>
      </w:r>
      <w:r>
        <w:rPr>
          <w:spacing w:val="-4"/>
        </w:rPr>
        <w:t xml:space="preserve"> </w:t>
      </w:r>
      <w:r>
        <w:t>easy</w:t>
      </w:r>
      <w:r>
        <w:rPr>
          <w:spacing w:val="-3"/>
        </w:rPr>
        <w:t xml:space="preserve"> </w:t>
      </w:r>
      <w:r>
        <w:t>to</w:t>
      </w:r>
      <w:r>
        <w:rPr>
          <w:spacing w:val="-3"/>
        </w:rPr>
        <w:t xml:space="preserve"> </w:t>
      </w:r>
      <w:r>
        <w:t>confuse</w:t>
      </w:r>
      <w:r>
        <w:rPr>
          <w:spacing w:val="-4"/>
        </w:rPr>
        <w:t xml:space="preserve"> </w:t>
      </w:r>
      <w:r>
        <w:t>issues</w:t>
      </w:r>
      <w:r>
        <w:rPr>
          <w:spacing w:val="-4"/>
        </w:rPr>
        <w:t xml:space="preserve"> </w:t>
      </w:r>
      <w:r>
        <w:t>relating</w:t>
      </w:r>
      <w:r>
        <w:rPr>
          <w:spacing w:val="-3"/>
        </w:rPr>
        <w:t xml:space="preserve"> </w:t>
      </w:r>
      <w:r>
        <w:t>to</w:t>
      </w:r>
      <w:r>
        <w:rPr>
          <w:spacing w:val="-3"/>
        </w:rPr>
        <w:t xml:space="preserve"> </w:t>
      </w:r>
      <w:r>
        <w:t>conception</w:t>
      </w:r>
      <w:r>
        <w:rPr>
          <w:spacing w:val="-3"/>
        </w:rPr>
        <w:t xml:space="preserve"> </w:t>
      </w:r>
      <w:r>
        <w:t>with</w:t>
      </w:r>
      <w:r>
        <w:rPr>
          <w:spacing w:val="-3"/>
        </w:rPr>
        <w:t xml:space="preserve"> </w:t>
      </w:r>
      <w:r>
        <w:t>issues</w:t>
      </w:r>
      <w:r>
        <w:rPr>
          <w:spacing w:val="-4"/>
        </w:rPr>
        <w:t xml:space="preserve"> </w:t>
      </w:r>
      <w:r>
        <w:t>relating</w:t>
      </w:r>
      <w:r>
        <w:rPr>
          <w:spacing w:val="-3"/>
        </w:rPr>
        <w:t xml:space="preserve"> </w:t>
      </w:r>
      <w:r>
        <w:t xml:space="preserve">to language. What people think isn’t always in complete lock-step with what is literally meant by the expressions that they use. Cognitive content doesn’t always coincide with literal meaning. There is </w:t>
      </w:r>
      <w:r>
        <w:rPr>
          <w:i/>
        </w:rPr>
        <w:t xml:space="preserve">a </w:t>
      </w:r>
      <w:r>
        <w:t>systematic relationship between the two—but it isn’t always one of identity.</w:t>
      </w:r>
    </w:p>
    <w:p w14:paraId="7E0010F3" w14:textId="77777777" w:rsidR="009A58DB" w:rsidRDefault="00000000">
      <w:pPr>
        <w:pStyle w:val="BodyText"/>
        <w:spacing w:before="6" w:line="249" w:lineRule="auto"/>
        <w:ind w:right="359" w:firstLine="360"/>
      </w:pPr>
      <w:r>
        <w:t xml:space="preserve">Another example will make it clear what I mean by this and will help us avoid confusing facts about thought with facts about language. (And this, in its turn, will help us develop a correct semantics </w:t>
      </w:r>
      <w:r>
        <w:rPr>
          <w:i/>
        </w:rPr>
        <w:t xml:space="preserve">along </w:t>
      </w:r>
      <w:r>
        <w:t>with a correct understanding of thought.)</w:t>
      </w:r>
    </w:p>
    <w:p w14:paraId="7E0010F4" w14:textId="77777777" w:rsidR="009A58DB" w:rsidRDefault="00000000">
      <w:pPr>
        <w:pStyle w:val="BodyText"/>
        <w:spacing w:before="5" w:line="249" w:lineRule="auto"/>
        <w:ind w:right="360" w:firstLine="360"/>
      </w:pPr>
      <w:r>
        <w:t>One day, you meet a person—you’ve never met this person before. You shake hands and introduce yourselves. He tells you his name (“Fred”). Of course, you see what he looks like and how, at that particular moment, he is behaving.</w:t>
      </w:r>
      <w:r>
        <w:rPr>
          <w:spacing w:val="44"/>
        </w:rPr>
        <w:t xml:space="preserve"> </w:t>
      </w:r>
      <w:r>
        <w:t>You</w:t>
      </w:r>
      <w:r>
        <w:rPr>
          <w:spacing w:val="46"/>
        </w:rPr>
        <w:t xml:space="preserve"> </w:t>
      </w:r>
      <w:r>
        <w:t>see</w:t>
      </w:r>
      <w:r>
        <w:rPr>
          <w:spacing w:val="46"/>
        </w:rPr>
        <w:t xml:space="preserve"> </w:t>
      </w:r>
      <w:r>
        <w:t>that</w:t>
      </w:r>
      <w:r>
        <w:rPr>
          <w:spacing w:val="46"/>
        </w:rPr>
        <w:t xml:space="preserve"> </w:t>
      </w:r>
      <w:r>
        <w:t>he</w:t>
      </w:r>
      <w:r>
        <w:rPr>
          <w:spacing w:val="47"/>
        </w:rPr>
        <w:t xml:space="preserve"> </w:t>
      </w:r>
      <w:r>
        <w:t>has</w:t>
      </w:r>
      <w:r>
        <w:rPr>
          <w:spacing w:val="46"/>
        </w:rPr>
        <w:t xml:space="preserve"> </w:t>
      </w:r>
      <w:r>
        <w:t>such</w:t>
      </w:r>
      <w:r>
        <w:rPr>
          <w:spacing w:val="46"/>
        </w:rPr>
        <w:t xml:space="preserve"> </w:t>
      </w:r>
      <w:r>
        <w:t>and</w:t>
      </w:r>
      <w:r>
        <w:rPr>
          <w:spacing w:val="46"/>
        </w:rPr>
        <w:t xml:space="preserve"> </w:t>
      </w:r>
      <w:r>
        <w:t>such</w:t>
      </w:r>
      <w:r>
        <w:rPr>
          <w:spacing w:val="47"/>
        </w:rPr>
        <w:t xml:space="preserve"> </w:t>
      </w:r>
      <w:r>
        <w:t>features</w:t>
      </w:r>
      <w:r>
        <w:rPr>
          <w:spacing w:val="46"/>
        </w:rPr>
        <w:t xml:space="preserve"> </w:t>
      </w:r>
      <w:r>
        <w:t>(e.g.,</w:t>
      </w:r>
      <w:r>
        <w:rPr>
          <w:spacing w:val="46"/>
        </w:rPr>
        <w:t xml:space="preserve"> </w:t>
      </w:r>
      <w:r>
        <w:t>he</w:t>
      </w:r>
      <w:r>
        <w:rPr>
          <w:spacing w:val="46"/>
        </w:rPr>
        <w:t xml:space="preserve"> </w:t>
      </w:r>
      <w:r>
        <w:t>has</w:t>
      </w:r>
      <w:r>
        <w:rPr>
          <w:spacing w:val="47"/>
        </w:rPr>
        <w:t xml:space="preserve"> </w:t>
      </w:r>
      <w:r>
        <w:rPr>
          <w:spacing w:val="-2"/>
        </w:rPr>
        <w:t>brown</w:t>
      </w:r>
    </w:p>
    <w:p w14:paraId="7E0010F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0F6" w14:textId="77777777" w:rsidR="009A58DB" w:rsidRDefault="00000000">
      <w:pPr>
        <w:pStyle w:val="BodyText"/>
        <w:spacing w:before="60" w:line="249" w:lineRule="auto"/>
        <w:ind w:right="363"/>
      </w:pPr>
      <w:r>
        <w:lastRenderedPageBreak/>
        <w:t>hair), is moving about in such and such manner (he’s nervously wringing his hands), and wearing certain clothes (e.g., a checkered shirt).</w:t>
      </w:r>
    </w:p>
    <w:p w14:paraId="7E0010F7" w14:textId="77777777" w:rsidR="009A58DB" w:rsidRDefault="00000000">
      <w:pPr>
        <w:pStyle w:val="BodyText"/>
        <w:spacing w:before="7" w:line="249" w:lineRule="auto"/>
        <w:ind w:right="359" w:firstLine="360"/>
      </w:pPr>
      <w:r>
        <w:t xml:space="preserve">It is clear that, in seeing Fred, you are being a given a </w:t>
      </w:r>
      <w:r>
        <w:rPr>
          <w:i/>
        </w:rPr>
        <w:t xml:space="preserve">description </w:t>
      </w:r>
      <w:r>
        <w:t xml:space="preserve">of him. Your perception </w:t>
      </w:r>
      <w:r>
        <w:rPr>
          <w:i/>
        </w:rPr>
        <w:t xml:space="preserve">describes </w:t>
      </w:r>
      <w:r>
        <w:t>him to you as having such and such</w:t>
      </w:r>
      <w:r>
        <w:rPr>
          <w:spacing w:val="40"/>
        </w:rPr>
        <w:t xml:space="preserve"> </w:t>
      </w:r>
      <w:r>
        <w:t xml:space="preserve">characteristics. In fact, it’s clear that your seeing him </w:t>
      </w:r>
      <w:r>
        <w:rPr>
          <w:i/>
        </w:rPr>
        <w:t xml:space="preserve">consists </w:t>
      </w:r>
      <w:r>
        <w:t>in your being given a description of him—not a verbal description, of course, but a visual description. Thus, your seeing him consists in your being a visually encoded description of Fred, and your seeing him for any length of time consists in your being given a series of such descriptions.</w:t>
      </w:r>
    </w:p>
    <w:p w14:paraId="7E0010F8" w14:textId="77777777" w:rsidR="009A58DB" w:rsidRDefault="00000000">
      <w:pPr>
        <w:pStyle w:val="BodyText"/>
        <w:spacing w:before="9" w:line="249" w:lineRule="auto"/>
        <w:ind w:right="359" w:firstLine="360"/>
      </w:pPr>
      <w:r>
        <w:t>Your visual perception tells you that, standing in front of you, at the present moment, there is a person (or, in any case, person-like entity) having such and such features (e.g., it has a certain general shape and height; it has certain facial and bodily characteristics; it has certain kinematic (movement-related) characteristics; it’s wearing clothes of a certain kind; and so on). Given that this person has told you his name, the information communicated to</w:t>
      </w:r>
      <w:r>
        <w:rPr>
          <w:spacing w:val="-3"/>
        </w:rPr>
        <w:t xml:space="preserve"> </w:t>
      </w:r>
      <w:r>
        <w:t>by</w:t>
      </w:r>
      <w:r>
        <w:rPr>
          <w:spacing w:val="-4"/>
        </w:rPr>
        <w:t xml:space="preserve"> </w:t>
      </w:r>
      <w:r>
        <w:t>your</w:t>
      </w:r>
      <w:r>
        <w:rPr>
          <w:spacing w:val="-4"/>
        </w:rPr>
        <w:t xml:space="preserve"> </w:t>
      </w:r>
      <w:r>
        <w:t>senses</w:t>
      </w:r>
      <w:r>
        <w:rPr>
          <w:spacing w:val="-4"/>
        </w:rPr>
        <w:t xml:space="preserve"> </w:t>
      </w:r>
      <w:r>
        <w:t>is,</w:t>
      </w:r>
      <w:r>
        <w:rPr>
          <w:spacing w:val="-3"/>
        </w:rPr>
        <w:t xml:space="preserve"> </w:t>
      </w:r>
      <w:r>
        <w:t>when</w:t>
      </w:r>
      <w:r>
        <w:rPr>
          <w:spacing w:val="-4"/>
        </w:rPr>
        <w:t xml:space="preserve"> </w:t>
      </w:r>
      <w:r>
        <w:t>described</w:t>
      </w:r>
      <w:r>
        <w:rPr>
          <w:spacing w:val="-3"/>
        </w:rPr>
        <w:t xml:space="preserve"> </w:t>
      </w:r>
      <w:r>
        <w:t>very</w:t>
      </w:r>
      <w:r>
        <w:rPr>
          <w:spacing w:val="-4"/>
        </w:rPr>
        <w:t xml:space="preserve"> </w:t>
      </w:r>
      <w:r>
        <w:t>approximately</w:t>
      </w:r>
      <w:r>
        <w:rPr>
          <w:spacing w:val="-3"/>
        </w:rPr>
        <w:t xml:space="preserve"> </w:t>
      </w:r>
      <w:r>
        <w:t>and</w:t>
      </w:r>
      <w:r>
        <w:rPr>
          <w:spacing w:val="-4"/>
        </w:rPr>
        <w:t xml:space="preserve"> </w:t>
      </w:r>
      <w:r>
        <w:t>abstractly,</w:t>
      </w:r>
      <w:r>
        <w:rPr>
          <w:spacing w:val="-3"/>
        </w:rPr>
        <w:t xml:space="preserve"> </w:t>
      </w:r>
      <w:r>
        <w:t>along</w:t>
      </w:r>
    </w:p>
    <w:p w14:paraId="7E0010F9" w14:textId="77777777" w:rsidR="009A58DB" w:rsidRDefault="00000000">
      <w:pPr>
        <w:pStyle w:val="BodyText"/>
        <w:spacing w:before="8" w:line="277" w:lineRule="exact"/>
        <w:ind w:right="7735"/>
        <w:jc w:val="right"/>
      </w:pPr>
      <w:bookmarkStart w:id="241" w:name="_bookmark241"/>
      <w:bookmarkEnd w:id="241"/>
      <w:r>
        <w:rPr>
          <w:color w:val="0562C1"/>
          <w:spacing w:val="-2"/>
          <w:u w:val="single" w:color="0562C1"/>
        </w:rPr>
        <w:t>[146]</w:t>
      </w:r>
    </w:p>
    <w:p w14:paraId="7E0010FA" w14:textId="77777777" w:rsidR="009A58DB" w:rsidRDefault="00000000">
      <w:pPr>
        <w:pStyle w:val="BodyText"/>
        <w:tabs>
          <w:tab w:val="left" w:pos="1982"/>
        </w:tabs>
        <w:spacing w:line="277" w:lineRule="exact"/>
        <w:ind w:left="0" w:right="7652"/>
        <w:jc w:val="right"/>
      </w:pPr>
      <w:r>
        <w:t>the</w:t>
      </w:r>
      <w:r>
        <w:rPr>
          <w:spacing w:val="-3"/>
        </w:rPr>
        <w:t xml:space="preserve"> </w:t>
      </w:r>
      <w:r>
        <w:t>lines</w:t>
      </w:r>
      <w:r>
        <w:rPr>
          <w:spacing w:val="-3"/>
        </w:rPr>
        <w:t xml:space="preserve"> </w:t>
      </w:r>
      <w:r>
        <w:rPr>
          <w:spacing w:val="-5"/>
        </w:rPr>
        <w:t>of</w:t>
      </w:r>
      <w:r>
        <w:tab/>
      </w:r>
      <w:r>
        <w:rPr>
          <w:spacing w:val="-10"/>
        </w:rPr>
        <w:t>:</w:t>
      </w:r>
    </w:p>
    <w:p w14:paraId="7E0010FB" w14:textId="77777777" w:rsidR="009A58DB" w:rsidRDefault="009A58DB">
      <w:pPr>
        <w:pStyle w:val="BodyText"/>
        <w:spacing w:before="30"/>
        <w:ind w:left="0"/>
        <w:jc w:val="left"/>
      </w:pPr>
    </w:p>
    <w:p w14:paraId="7E0010FC" w14:textId="77777777" w:rsidR="009A58DB" w:rsidRDefault="00000000">
      <w:pPr>
        <w:pStyle w:val="BodyText"/>
        <w:spacing w:line="271" w:lineRule="auto"/>
        <w:ind w:right="366"/>
      </w:pPr>
      <w:r>
        <w:t>(F</w:t>
      </w:r>
      <w:r>
        <w:rPr>
          <w:vertAlign w:val="subscript"/>
        </w:rPr>
        <w:t>1</w:t>
      </w:r>
      <w:r>
        <w:t>) There is, at the present time, in a certain place (relative to what where I am located at the present time) an object x having such and such characteristics</w:t>
      </w:r>
      <w:r>
        <w:rPr>
          <w:spacing w:val="34"/>
        </w:rPr>
        <w:t xml:space="preserve"> </w:t>
      </w:r>
      <w:r>
        <w:t>(e.g.,</w:t>
      </w:r>
      <w:r>
        <w:rPr>
          <w:spacing w:val="36"/>
        </w:rPr>
        <w:t xml:space="preserve"> </w:t>
      </w:r>
      <w:r>
        <w:t>its</w:t>
      </w:r>
      <w:r>
        <w:rPr>
          <w:spacing w:val="36"/>
        </w:rPr>
        <w:t xml:space="preserve"> </w:t>
      </w:r>
      <w:r>
        <w:t>morphology</w:t>
      </w:r>
      <w:r>
        <w:rPr>
          <w:spacing w:val="37"/>
        </w:rPr>
        <w:t xml:space="preserve"> </w:t>
      </w:r>
      <w:r>
        <w:t>is</w:t>
      </w:r>
      <w:r>
        <w:rPr>
          <w:spacing w:val="36"/>
        </w:rPr>
        <w:t xml:space="preserve"> </w:t>
      </w:r>
      <w:r>
        <w:t>characteristic</w:t>
      </w:r>
      <w:r>
        <w:rPr>
          <w:spacing w:val="36"/>
        </w:rPr>
        <w:t xml:space="preserve"> </w:t>
      </w:r>
      <w:r>
        <w:t>of</w:t>
      </w:r>
      <w:r>
        <w:rPr>
          <w:spacing w:val="37"/>
        </w:rPr>
        <w:t xml:space="preserve"> </w:t>
      </w:r>
      <w:r>
        <w:t>a</w:t>
      </w:r>
      <w:r>
        <w:rPr>
          <w:spacing w:val="36"/>
        </w:rPr>
        <w:t xml:space="preserve"> </w:t>
      </w:r>
      <w:r>
        <w:t>human</w:t>
      </w:r>
      <w:r>
        <w:rPr>
          <w:spacing w:val="36"/>
        </w:rPr>
        <w:t xml:space="preserve"> </w:t>
      </w:r>
      <w:r>
        <w:t>being,</w:t>
      </w:r>
      <w:r>
        <w:rPr>
          <w:spacing w:val="37"/>
        </w:rPr>
        <w:t xml:space="preserve"> </w:t>
      </w:r>
      <w:r>
        <w:rPr>
          <w:spacing w:val="-4"/>
        </w:rPr>
        <w:t>it’s</w:t>
      </w:r>
    </w:p>
    <w:p w14:paraId="7E0010FD" w14:textId="77777777" w:rsidR="009A58DB" w:rsidRDefault="00000000">
      <w:pPr>
        <w:pStyle w:val="BodyText"/>
        <w:spacing w:line="316" w:lineRule="exact"/>
      </w:pPr>
      <w:r>
        <w:t>wearing</w:t>
      </w:r>
      <w:r>
        <w:rPr>
          <w:spacing w:val="4"/>
        </w:rPr>
        <w:t xml:space="preserve"> </w:t>
      </w:r>
      <w:r>
        <w:t>a</w:t>
      </w:r>
      <w:r>
        <w:rPr>
          <w:spacing w:val="7"/>
        </w:rPr>
        <w:t xml:space="preserve"> </w:t>
      </w:r>
      <w:r>
        <w:t>checkered</w:t>
      </w:r>
      <w:r>
        <w:rPr>
          <w:spacing w:val="7"/>
        </w:rPr>
        <w:t xml:space="preserve"> </w:t>
      </w:r>
      <w:r>
        <w:t>shirt,</w:t>
      </w:r>
      <w:r>
        <w:rPr>
          <w:spacing w:val="8"/>
        </w:rPr>
        <w:t xml:space="preserve"> </w:t>
      </w:r>
      <w:r>
        <w:t>it’s</w:t>
      </w:r>
      <w:r>
        <w:rPr>
          <w:spacing w:val="7"/>
        </w:rPr>
        <w:t xml:space="preserve"> </w:t>
      </w:r>
      <w:r>
        <w:t>nervously</w:t>
      </w:r>
      <w:r>
        <w:rPr>
          <w:spacing w:val="7"/>
        </w:rPr>
        <w:t xml:space="preserve"> </w:t>
      </w:r>
      <w:r>
        <w:t>wringing</w:t>
      </w:r>
      <w:r>
        <w:rPr>
          <w:spacing w:val="7"/>
        </w:rPr>
        <w:t xml:space="preserve"> </w:t>
      </w:r>
      <w:r>
        <w:t>its</w:t>
      </w:r>
      <w:r>
        <w:rPr>
          <w:spacing w:val="7"/>
        </w:rPr>
        <w:t xml:space="preserve"> </w:t>
      </w:r>
      <w:r>
        <w:t>hands,</w:t>
      </w:r>
      <w:r>
        <w:rPr>
          <w:spacing w:val="7"/>
        </w:rPr>
        <w:t xml:space="preserve"> </w:t>
      </w:r>
      <w:r>
        <w:t>etc.);</w:t>
      </w:r>
      <w:r>
        <w:rPr>
          <w:spacing w:val="7"/>
        </w:rPr>
        <w:t xml:space="preserve"> </w:t>
      </w:r>
      <w:r>
        <w:t>and,</w:t>
      </w:r>
      <w:r>
        <w:rPr>
          <w:spacing w:val="8"/>
        </w:rPr>
        <w:t xml:space="preserve"> </w:t>
      </w:r>
      <w:r>
        <w:rPr>
          <w:spacing w:val="-2"/>
        </w:rPr>
        <w:t>given</w:t>
      </w:r>
    </w:p>
    <w:p w14:paraId="7E0010FE" w14:textId="77777777" w:rsidR="009A58DB" w:rsidRDefault="00000000">
      <w:pPr>
        <w:spacing w:before="15"/>
        <w:ind w:left="360"/>
        <w:jc w:val="both"/>
        <w:rPr>
          <w:i/>
          <w:sz w:val="30"/>
        </w:rPr>
      </w:pPr>
      <w:r>
        <w:rPr>
          <w:sz w:val="30"/>
        </w:rPr>
        <w:t>what</w:t>
      </w:r>
      <w:r>
        <w:rPr>
          <w:spacing w:val="-6"/>
          <w:sz w:val="30"/>
        </w:rPr>
        <w:t xml:space="preserve"> </w:t>
      </w:r>
      <w:r>
        <w:rPr>
          <w:sz w:val="30"/>
        </w:rPr>
        <w:t>x</w:t>
      </w:r>
      <w:r>
        <w:rPr>
          <w:spacing w:val="-2"/>
          <w:sz w:val="30"/>
        </w:rPr>
        <w:t xml:space="preserve"> </w:t>
      </w:r>
      <w:r>
        <w:rPr>
          <w:sz w:val="30"/>
        </w:rPr>
        <w:t>just</w:t>
      </w:r>
      <w:r>
        <w:rPr>
          <w:spacing w:val="-4"/>
          <w:sz w:val="30"/>
        </w:rPr>
        <w:t xml:space="preserve"> </w:t>
      </w:r>
      <w:r>
        <w:rPr>
          <w:sz w:val="30"/>
        </w:rPr>
        <w:t>said,</w:t>
      </w:r>
      <w:r>
        <w:rPr>
          <w:spacing w:val="-2"/>
          <w:sz w:val="30"/>
        </w:rPr>
        <w:t xml:space="preserve"> </w:t>
      </w:r>
      <w:r>
        <w:rPr>
          <w:sz w:val="30"/>
        </w:rPr>
        <w:t>it</w:t>
      </w:r>
      <w:r>
        <w:rPr>
          <w:spacing w:val="-4"/>
          <w:sz w:val="30"/>
        </w:rPr>
        <w:t xml:space="preserve"> </w:t>
      </w:r>
      <w:r>
        <w:rPr>
          <w:sz w:val="30"/>
        </w:rPr>
        <w:t>can</w:t>
      </w:r>
      <w:r>
        <w:rPr>
          <w:spacing w:val="-2"/>
          <w:sz w:val="30"/>
        </w:rPr>
        <w:t xml:space="preserve"> </w:t>
      </w:r>
      <w:r>
        <w:rPr>
          <w:sz w:val="30"/>
        </w:rPr>
        <w:t>safely</w:t>
      </w:r>
      <w:r>
        <w:rPr>
          <w:spacing w:val="-3"/>
          <w:sz w:val="30"/>
        </w:rPr>
        <w:t xml:space="preserve"> </w:t>
      </w:r>
      <w:r>
        <w:rPr>
          <w:sz w:val="30"/>
        </w:rPr>
        <w:t>be</w:t>
      </w:r>
      <w:r>
        <w:rPr>
          <w:spacing w:val="-3"/>
          <w:sz w:val="30"/>
        </w:rPr>
        <w:t xml:space="preserve"> </w:t>
      </w:r>
      <w:r>
        <w:rPr>
          <w:sz w:val="30"/>
        </w:rPr>
        <w:t>assumed</w:t>
      </w:r>
      <w:r>
        <w:rPr>
          <w:spacing w:val="-3"/>
          <w:sz w:val="30"/>
        </w:rPr>
        <w:t xml:space="preserve"> </w:t>
      </w:r>
      <w:r>
        <w:rPr>
          <w:sz w:val="30"/>
        </w:rPr>
        <w:t>that</w:t>
      </w:r>
      <w:r>
        <w:rPr>
          <w:spacing w:val="-3"/>
          <w:sz w:val="30"/>
        </w:rPr>
        <w:t xml:space="preserve"> </w:t>
      </w:r>
      <w:r>
        <w:rPr>
          <w:sz w:val="30"/>
        </w:rPr>
        <w:t>“</w:t>
      </w:r>
      <w:r>
        <w:rPr>
          <w:i/>
          <w:sz w:val="30"/>
        </w:rPr>
        <w:t>Fred</w:t>
      </w:r>
      <w:r>
        <w:rPr>
          <w:sz w:val="30"/>
        </w:rPr>
        <w:t>”</w:t>
      </w:r>
      <w:r>
        <w:rPr>
          <w:spacing w:val="-4"/>
          <w:sz w:val="30"/>
        </w:rPr>
        <w:t xml:space="preserve"> </w:t>
      </w:r>
      <w:r>
        <w:rPr>
          <w:i/>
          <w:sz w:val="30"/>
        </w:rPr>
        <w:t>refers</w:t>
      </w:r>
      <w:r>
        <w:rPr>
          <w:i/>
          <w:spacing w:val="-3"/>
          <w:sz w:val="30"/>
        </w:rPr>
        <w:t xml:space="preserve"> </w:t>
      </w:r>
      <w:r>
        <w:rPr>
          <w:i/>
          <w:sz w:val="30"/>
        </w:rPr>
        <w:t>to</w:t>
      </w:r>
      <w:r>
        <w:rPr>
          <w:i/>
          <w:spacing w:val="-2"/>
          <w:sz w:val="30"/>
        </w:rPr>
        <w:t xml:space="preserve"> </w:t>
      </w:r>
      <w:r>
        <w:rPr>
          <w:i/>
          <w:spacing w:val="-5"/>
          <w:sz w:val="30"/>
        </w:rPr>
        <w:t>x.</w:t>
      </w:r>
    </w:p>
    <w:p w14:paraId="7E0010FF" w14:textId="77777777" w:rsidR="009A58DB" w:rsidRDefault="009A58DB">
      <w:pPr>
        <w:pStyle w:val="BodyText"/>
        <w:spacing w:before="30"/>
        <w:ind w:left="0"/>
        <w:jc w:val="left"/>
        <w:rPr>
          <w:i/>
        </w:rPr>
      </w:pPr>
    </w:p>
    <w:p w14:paraId="7E001100" w14:textId="77777777" w:rsidR="009A58DB" w:rsidRDefault="00000000">
      <w:pPr>
        <w:pStyle w:val="BodyText"/>
        <w:spacing w:line="249" w:lineRule="auto"/>
        <w:ind w:right="365" w:firstLine="360"/>
      </w:pPr>
      <w:r>
        <w:t>The italicized part identifies the semantic rule for “Fred.” Let’s refer to that rule as SF (this abbreviation will be frequently used in what follows). Notice how descriptively impoverished SF is. All it does is assign a certain label</w:t>
      </w:r>
      <w:r>
        <w:rPr>
          <w:spacing w:val="15"/>
        </w:rPr>
        <w:t xml:space="preserve"> </w:t>
      </w:r>
      <w:r>
        <w:t>to</w:t>
      </w:r>
      <w:r>
        <w:rPr>
          <w:spacing w:val="16"/>
        </w:rPr>
        <w:t xml:space="preserve"> </w:t>
      </w:r>
      <w:r>
        <w:t>a</w:t>
      </w:r>
      <w:r>
        <w:rPr>
          <w:spacing w:val="16"/>
        </w:rPr>
        <w:t xml:space="preserve"> </w:t>
      </w:r>
      <w:r>
        <w:t>certain</w:t>
      </w:r>
      <w:r>
        <w:rPr>
          <w:spacing w:val="16"/>
        </w:rPr>
        <w:t xml:space="preserve"> </w:t>
      </w:r>
      <w:r>
        <w:t>object.</w:t>
      </w:r>
      <w:r>
        <w:rPr>
          <w:spacing w:val="16"/>
        </w:rPr>
        <w:t xml:space="preserve"> </w:t>
      </w:r>
      <w:r>
        <w:t>F</w:t>
      </w:r>
      <w:r>
        <w:rPr>
          <w:vertAlign w:val="subscript"/>
        </w:rPr>
        <w:t>1</w:t>
      </w:r>
      <w:r>
        <w:t>,</w:t>
      </w:r>
      <w:r>
        <w:rPr>
          <w:spacing w:val="16"/>
        </w:rPr>
        <w:t xml:space="preserve"> </w:t>
      </w:r>
      <w:r>
        <w:t>by</w:t>
      </w:r>
      <w:r>
        <w:rPr>
          <w:spacing w:val="16"/>
        </w:rPr>
        <w:t xml:space="preserve"> </w:t>
      </w:r>
      <w:r>
        <w:t>contrast,</w:t>
      </w:r>
      <w:r>
        <w:rPr>
          <w:spacing w:val="16"/>
        </w:rPr>
        <w:t xml:space="preserve"> </w:t>
      </w:r>
      <w:r>
        <w:t>is</w:t>
      </w:r>
      <w:r>
        <w:rPr>
          <w:spacing w:val="16"/>
        </w:rPr>
        <w:t xml:space="preserve"> </w:t>
      </w:r>
      <w:r>
        <w:t>a</w:t>
      </w:r>
      <w:r>
        <w:rPr>
          <w:spacing w:val="16"/>
        </w:rPr>
        <w:t xml:space="preserve"> </w:t>
      </w:r>
      <w:r>
        <w:t>descriptively</w:t>
      </w:r>
      <w:r>
        <w:rPr>
          <w:spacing w:val="16"/>
        </w:rPr>
        <w:t xml:space="preserve"> </w:t>
      </w:r>
      <w:r>
        <w:t>very</w:t>
      </w:r>
      <w:r>
        <w:rPr>
          <w:spacing w:val="16"/>
        </w:rPr>
        <w:t xml:space="preserve"> </w:t>
      </w:r>
      <w:r>
        <w:t>rich</w:t>
      </w:r>
      <w:r>
        <w:rPr>
          <w:spacing w:val="16"/>
        </w:rPr>
        <w:t xml:space="preserve"> </w:t>
      </w:r>
      <w:r>
        <w:t>claim;</w:t>
      </w:r>
      <w:r>
        <w:rPr>
          <w:spacing w:val="16"/>
        </w:rPr>
        <w:t xml:space="preserve"> </w:t>
      </w:r>
      <w:r>
        <w:t>it</w:t>
      </w:r>
    </w:p>
    <w:p w14:paraId="7E001101" w14:textId="77777777" w:rsidR="009A58DB" w:rsidRDefault="00000000">
      <w:pPr>
        <w:pStyle w:val="BodyText"/>
        <w:spacing w:before="65"/>
      </w:pPr>
      <w:r>
        <w:t>says</w:t>
      </w:r>
      <w:r>
        <w:rPr>
          <w:spacing w:val="-3"/>
        </w:rPr>
        <w:t xml:space="preserve"> </w:t>
      </w:r>
      <w:r>
        <w:t>a</w:t>
      </w:r>
      <w:r>
        <w:rPr>
          <w:spacing w:val="-2"/>
        </w:rPr>
        <w:t xml:space="preserve"> </w:t>
      </w:r>
      <w:r>
        <w:t>lot</w:t>
      </w:r>
      <w:r>
        <w:rPr>
          <w:spacing w:val="-3"/>
        </w:rPr>
        <w:t xml:space="preserve"> </w:t>
      </w:r>
      <w:r>
        <w:t>about</w:t>
      </w:r>
      <w:r>
        <w:rPr>
          <w:spacing w:val="-2"/>
        </w:rPr>
        <w:t xml:space="preserve"> </w:t>
      </w:r>
      <w:r>
        <w:t>the</w:t>
      </w:r>
      <w:r>
        <w:rPr>
          <w:spacing w:val="-3"/>
        </w:rPr>
        <w:t xml:space="preserve"> </w:t>
      </w:r>
      <w:r>
        <w:t>world.</w:t>
      </w:r>
      <w:r>
        <w:rPr>
          <w:spacing w:val="-1"/>
        </w:rPr>
        <w:t xml:space="preserve"> </w:t>
      </w:r>
      <w:r>
        <w:t>And</w:t>
      </w:r>
      <w:r>
        <w:rPr>
          <w:spacing w:val="-2"/>
        </w:rPr>
        <w:t xml:space="preserve"> </w:t>
      </w:r>
      <w:r>
        <w:t>you</w:t>
      </w:r>
      <w:r>
        <w:rPr>
          <w:spacing w:val="-1"/>
        </w:rPr>
        <w:t xml:space="preserve"> </w:t>
      </w:r>
      <w:r>
        <w:t>learn</w:t>
      </w:r>
      <w:r>
        <w:rPr>
          <w:spacing w:val="-2"/>
        </w:rPr>
        <w:t xml:space="preserve"> </w:t>
      </w:r>
      <w:r>
        <w:t>SF</w:t>
      </w:r>
      <w:r>
        <w:rPr>
          <w:spacing w:val="-2"/>
        </w:rPr>
        <w:t xml:space="preserve"> </w:t>
      </w:r>
      <w:r>
        <w:rPr>
          <w:i/>
        </w:rPr>
        <w:t>through</w:t>
      </w:r>
      <w:r>
        <w:rPr>
          <w:i/>
          <w:spacing w:val="-1"/>
        </w:rPr>
        <w:t xml:space="preserve"> </w:t>
      </w:r>
      <w:r>
        <w:rPr>
          <w:spacing w:val="-5"/>
        </w:rPr>
        <w:t>F</w:t>
      </w:r>
      <w:r>
        <w:rPr>
          <w:spacing w:val="-5"/>
          <w:vertAlign w:val="subscript"/>
        </w:rPr>
        <w:t>1</w:t>
      </w:r>
      <w:r>
        <w:rPr>
          <w:spacing w:val="-5"/>
        </w:rPr>
        <w:t>.</w:t>
      </w:r>
    </w:p>
    <w:p w14:paraId="7E001102" w14:textId="77777777" w:rsidR="009A58DB" w:rsidRDefault="00000000">
      <w:pPr>
        <w:pStyle w:val="BodyText"/>
        <w:spacing w:before="75" w:line="249" w:lineRule="auto"/>
        <w:ind w:right="359" w:firstLine="360"/>
      </w:pPr>
      <w:r>
        <w:t>Semantic rules can’t just be known. They must known through sense-perception. “Socrates” refers to Socrates. But we could refer to him as “Gronk” if we chose to, and it’s only because you and I have had certain sense-perceptions that we know that “Socrates,” not “Gronk,” is his name.</w:t>
      </w:r>
    </w:p>
    <w:p w14:paraId="7E001103" w14:textId="77777777" w:rsidR="009A58DB" w:rsidRDefault="00000000">
      <w:pPr>
        <w:pStyle w:val="BodyText"/>
        <w:spacing w:before="5"/>
        <w:ind w:left="720"/>
      </w:pPr>
      <w:r>
        <w:t>But</w:t>
      </w:r>
      <w:r>
        <w:rPr>
          <w:spacing w:val="77"/>
        </w:rPr>
        <w:t xml:space="preserve"> </w:t>
      </w:r>
      <w:r>
        <w:t>the</w:t>
      </w:r>
      <w:r>
        <w:rPr>
          <w:spacing w:val="79"/>
        </w:rPr>
        <w:t xml:space="preserve"> </w:t>
      </w:r>
      <w:r>
        <w:t>sense-perceptions</w:t>
      </w:r>
      <w:r>
        <w:rPr>
          <w:spacing w:val="42"/>
          <w:w w:val="150"/>
        </w:rPr>
        <w:t xml:space="preserve"> </w:t>
      </w:r>
      <w:r>
        <w:t>through</w:t>
      </w:r>
      <w:r>
        <w:rPr>
          <w:spacing w:val="42"/>
          <w:w w:val="150"/>
        </w:rPr>
        <w:t xml:space="preserve"> </w:t>
      </w:r>
      <w:r>
        <w:t>which</w:t>
      </w:r>
      <w:r>
        <w:rPr>
          <w:spacing w:val="42"/>
          <w:w w:val="150"/>
        </w:rPr>
        <w:t xml:space="preserve"> </w:t>
      </w:r>
      <w:r>
        <w:t>we</w:t>
      </w:r>
      <w:r>
        <w:rPr>
          <w:spacing w:val="42"/>
          <w:w w:val="150"/>
        </w:rPr>
        <w:t xml:space="preserve"> </w:t>
      </w:r>
      <w:r>
        <w:t>learn</w:t>
      </w:r>
      <w:r>
        <w:rPr>
          <w:spacing w:val="42"/>
          <w:w w:val="150"/>
        </w:rPr>
        <w:t xml:space="preserve"> </w:t>
      </w:r>
      <w:r>
        <w:t>semantic</w:t>
      </w:r>
      <w:r>
        <w:rPr>
          <w:spacing w:val="42"/>
          <w:w w:val="150"/>
        </w:rPr>
        <w:t xml:space="preserve"> </w:t>
      </w:r>
      <w:r>
        <w:t>rules</w:t>
      </w:r>
      <w:r>
        <w:rPr>
          <w:spacing w:val="80"/>
        </w:rPr>
        <w:t xml:space="preserve"> </w:t>
      </w:r>
      <w:r>
        <w:rPr>
          <w:spacing w:val="-5"/>
        </w:rPr>
        <w:t>are</w:t>
      </w:r>
    </w:p>
    <w:p w14:paraId="7E001104" w14:textId="77777777" w:rsidR="009A58DB" w:rsidRDefault="009A58DB">
      <w:pPr>
        <w:pStyle w:val="BodyText"/>
        <w:sectPr w:rsidR="009A58DB">
          <w:pgSz w:w="12240" w:h="15840"/>
          <w:pgMar w:top="1380" w:right="1080" w:bottom="280" w:left="1080" w:header="720" w:footer="720" w:gutter="0"/>
          <w:cols w:space="720"/>
        </w:sectPr>
      </w:pPr>
    </w:p>
    <w:p w14:paraId="7E001105" w14:textId="77777777" w:rsidR="009A58DB" w:rsidRDefault="00000000">
      <w:pPr>
        <w:pStyle w:val="BodyText"/>
        <w:spacing w:before="65" w:line="249" w:lineRule="auto"/>
        <w:ind w:right="368"/>
      </w:pPr>
      <w:r>
        <w:lastRenderedPageBreak/>
        <w:t>replete with information that has nothing to do with sense-perceptions. The semantic information is always embedded in non-semantic information. Your learning SF is embedded in your learning F</w:t>
      </w:r>
      <w:r>
        <w:rPr>
          <w:vertAlign w:val="subscript"/>
        </w:rPr>
        <w:t>1</w:t>
      </w:r>
      <w:r>
        <w:t>, for example.</w:t>
      </w:r>
    </w:p>
    <w:p w14:paraId="7E001106" w14:textId="77777777" w:rsidR="009A58DB" w:rsidRDefault="00000000">
      <w:pPr>
        <w:pStyle w:val="BodyText"/>
        <w:spacing w:before="63" w:line="249" w:lineRule="auto"/>
        <w:ind w:right="361" w:firstLine="360"/>
      </w:pPr>
      <w:r>
        <w:t xml:space="preserve">Because of this, what sentence-utterances </w:t>
      </w:r>
      <w:r>
        <w:rPr>
          <w:i/>
        </w:rPr>
        <w:t xml:space="preserve">convey </w:t>
      </w:r>
      <w:r>
        <w:t>may contain vast sums</w:t>
      </w:r>
      <w:r>
        <w:rPr>
          <w:spacing w:val="40"/>
        </w:rPr>
        <w:t xml:space="preserve"> </w:t>
      </w:r>
      <w:r>
        <w:t>of information that they do not have for their literal meanings. Let’s suppose that, a few hours after you meet Fred, your friend Larry produces the following utterance while addressing you:</w:t>
      </w:r>
    </w:p>
    <w:p w14:paraId="7E001107" w14:textId="77777777" w:rsidR="009A58DB" w:rsidRDefault="00000000">
      <w:pPr>
        <w:pStyle w:val="BodyText"/>
        <w:spacing w:before="170"/>
      </w:pPr>
      <w:r>
        <w:t>(LS)</w:t>
      </w:r>
      <w:r>
        <w:rPr>
          <w:spacing w:val="-4"/>
        </w:rPr>
        <w:t xml:space="preserve"> </w:t>
      </w:r>
      <w:r>
        <w:t>“Fred</w:t>
      </w:r>
      <w:r>
        <w:rPr>
          <w:spacing w:val="-2"/>
        </w:rPr>
        <w:t xml:space="preserve"> </w:t>
      </w:r>
      <w:r>
        <w:t>is</w:t>
      </w:r>
      <w:r>
        <w:rPr>
          <w:spacing w:val="-3"/>
        </w:rPr>
        <w:t xml:space="preserve"> </w:t>
      </w:r>
      <w:r>
        <w:t>a</w:t>
      </w:r>
      <w:r>
        <w:rPr>
          <w:spacing w:val="-3"/>
        </w:rPr>
        <w:t xml:space="preserve"> </w:t>
      </w:r>
      <w:r>
        <w:t>professor</w:t>
      </w:r>
      <w:r>
        <w:rPr>
          <w:spacing w:val="-3"/>
        </w:rPr>
        <w:t xml:space="preserve"> </w:t>
      </w:r>
      <w:r>
        <w:t>of</w:t>
      </w:r>
      <w:r>
        <w:rPr>
          <w:spacing w:val="-3"/>
        </w:rPr>
        <w:t xml:space="preserve"> </w:t>
      </w:r>
      <w:r>
        <w:rPr>
          <w:spacing w:val="-2"/>
        </w:rPr>
        <w:t>economics.”</w:t>
      </w:r>
    </w:p>
    <w:p w14:paraId="7E001108" w14:textId="77777777" w:rsidR="009A58DB" w:rsidRDefault="00000000">
      <w:pPr>
        <w:pStyle w:val="BodyText"/>
        <w:spacing w:before="165" w:line="249" w:lineRule="auto"/>
        <w:ind w:right="359"/>
      </w:pPr>
      <w:r>
        <w:t>LS attributes a certain property (that of being an economics professor) to a certain individual. And that’s all it does. It’s a very simple statement. If that individual</w:t>
      </w:r>
      <w:r>
        <w:rPr>
          <w:spacing w:val="-2"/>
        </w:rPr>
        <w:t xml:space="preserve"> </w:t>
      </w:r>
      <w:r>
        <w:t>has</w:t>
      </w:r>
      <w:r>
        <w:rPr>
          <w:spacing w:val="-1"/>
        </w:rPr>
        <w:t xml:space="preserve"> </w:t>
      </w:r>
      <w:r>
        <w:t>that</w:t>
      </w:r>
      <w:r>
        <w:rPr>
          <w:spacing w:val="-2"/>
        </w:rPr>
        <w:t xml:space="preserve"> </w:t>
      </w:r>
      <w:r>
        <w:t>property,</w:t>
      </w:r>
      <w:r>
        <w:rPr>
          <w:spacing w:val="-1"/>
        </w:rPr>
        <w:t xml:space="preserve"> </w:t>
      </w:r>
      <w:r>
        <w:t>then</w:t>
      </w:r>
      <w:r>
        <w:rPr>
          <w:spacing w:val="-2"/>
        </w:rPr>
        <w:t xml:space="preserve"> </w:t>
      </w:r>
      <w:r>
        <w:t>LS</w:t>
      </w:r>
      <w:r>
        <w:rPr>
          <w:spacing w:val="-2"/>
        </w:rPr>
        <w:t xml:space="preserve"> </w:t>
      </w:r>
      <w:r>
        <w:t>is</w:t>
      </w:r>
      <w:r>
        <w:rPr>
          <w:spacing w:val="-1"/>
        </w:rPr>
        <w:t xml:space="preserve"> </w:t>
      </w:r>
      <w:r>
        <w:t>true;</w:t>
      </w:r>
      <w:r>
        <w:rPr>
          <w:spacing w:val="-2"/>
        </w:rPr>
        <w:t xml:space="preserve"> </w:t>
      </w:r>
      <w:r>
        <w:t>otherwise,</w:t>
      </w:r>
      <w:r>
        <w:rPr>
          <w:spacing w:val="-1"/>
        </w:rPr>
        <w:t xml:space="preserve"> </w:t>
      </w:r>
      <w:r>
        <w:t>it</w:t>
      </w:r>
      <w:r>
        <w:rPr>
          <w:spacing w:val="-2"/>
        </w:rPr>
        <w:t xml:space="preserve"> </w:t>
      </w:r>
      <w:r>
        <w:t>isn’t.</w:t>
      </w:r>
      <w:r>
        <w:rPr>
          <w:spacing w:val="-1"/>
        </w:rPr>
        <w:t xml:space="preserve"> </w:t>
      </w:r>
      <w:r>
        <w:t>To</w:t>
      </w:r>
      <w:r>
        <w:rPr>
          <w:spacing w:val="-2"/>
        </w:rPr>
        <w:t xml:space="preserve"> </w:t>
      </w:r>
      <w:r>
        <w:t>put</w:t>
      </w:r>
      <w:r>
        <w:rPr>
          <w:spacing w:val="-1"/>
        </w:rPr>
        <w:t xml:space="preserve"> </w:t>
      </w:r>
      <w:r>
        <w:t>it</w:t>
      </w:r>
      <w:r>
        <w:rPr>
          <w:spacing w:val="-1"/>
        </w:rPr>
        <w:t xml:space="preserve"> </w:t>
      </w:r>
      <w:r>
        <w:t>more formally,</w:t>
      </w:r>
      <w:r>
        <w:rPr>
          <w:spacing w:val="-3"/>
        </w:rPr>
        <w:t xml:space="preserve"> </w:t>
      </w:r>
      <w:r>
        <w:t>there</w:t>
      </w:r>
      <w:r>
        <w:rPr>
          <w:spacing w:val="-3"/>
        </w:rPr>
        <w:t xml:space="preserve"> </w:t>
      </w:r>
      <w:r>
        <w:t>is</w:t>
      </w:r>
      <w:r>
        <w:rPr>
          <w:spacing w:val="-3"/>
        </w:rPr>
        <w:t xml:space="preserve"> </w:t>
      </w:r>
      <w:r>
        <w:t>some</w:t>
      </w:r>
      <w:r>
        <w:rPr>
          <w:spacing w:val="-3"/>
        </w:rPr>
        <w:t xml:space="preserve"> </w:t>
      </w:r>
      <w:r>
        <w:t>individual</w:t>
      </w:r>
      <w:r>
        <w:rPr>
          <w:spacing w:val="-3"/>
        </w:rPr>
        <w:t xml:space="preserve"> </w:t>
      </w:r>
      <w:r>
        <w:t>x</w:t>
      </w:r>
      <w:r>
        <w:rPr>
          <w:spacing w:val="-3"/>
        </w:rPr>
        <w:t xml:space="preserve"> </w:t>
      </w:r>
      <w:r>
        <w:t>(namely,</w:t>
      </w:r>
      <w:r>
        <w:rPr>
          <w:spacing w:val="-3"/>
        </w:rPr>
        <w:t xml:space="preserve"> </w:t>
      </w:r>
      <w:r>
        <w:t>Fred)</w:t>
      </w:r>
      <w:r>
        <w:rPr>
          <w:spacing w:val="-3"/>
        </w:rPr>
        <w:t xml:space="preserve"> </w:t>
      </w:r>
      <w:r>
        <w:t>such</w:t>
      </w:r>
      <w:r>
        <w:rPr>
          <w:spacing w:val="-3"/>
        </w:rPr>
        <w:t xml:space="preserve"> </w:t>
      </w:r>
      <w:r>
        <w:t>that</w:t>
      </w:r>
      <w:r>
        <w:rPr>
          <w:spacing w:val="-3"/>
        </w:rPr>
        <w:t xml:space="preserve"> </w:t>
      </w:r>
      <w:r>
        <w:t>LS</w:t>
      </w:r>
      <w:r>
        <w:rPr>
          <w:spacing w:val="-4"/>
        </w:rPr>
        <w:t xml:space="preserve"> </w:t>
      </w:r>
      <w:r>
        <w:t>attributes</w:t>
      </w:r>
      <w:r>
        <w:rPr>
          <w:spacing w:val="-3"/>
        </w:rPr>
        <w:t xml:space="preserve"> </w:t>
      </w:r>
      <w:r>
        <w:t>the property of being a professor of economics to x and such that LS is true if</w:t>
      </w:r>
      <w:r>
        <w:rPr>
          <w:spacing w:val="40"/>
        </w:rPr>
        <w:t xml:space="preserve"> </w:t>
      </w:r>
      <w:r>
        <w:t>and only if</w:t>
      </w:r>
    </w:p>
    <w:p w14:paraId="7E001109" w14:textId="77777777" w:rsidR="009A58DB" w:rsidRDefault="009A58DB">
      <w:pPr>
        <w:pStyle w:val="BodyText"/>
        <w:spacing w:before="22"/>
        <w:ind w:left="0"/>
        <w:jc w:val="left"/>
      </w:pPr>
    </w:p>
    <w:p w14:paraId="7E00110A" w14:textId="77777777" w:rsidR="009A58DB" w:rsidRDefault="00000000">
      <w:pPr>
        <w:pStyle w:val="BodyText"/>
        <w:spacing w:before="1"/>
      </w:pPr>
      <w:r>
        <w:t>(LP)</w:t>
      </w:r>
      <w:r>
        <w:rPr>
          <w:spacing w:val="-3"/>
        </w:rPr>
        <w:t xml:space="preserve"> </w:t>
      </w:r>
      <w:r>
        <w:t>x</w:t>
      </w:r>
      <w:r>
        <w:rPr>
          <w:spacing w:val="-2"/>
        </w:rPr>
        <w:t xml:space="preserve"> </w:t>
      </w:r>
      <w:r>
        <w:t>is</w:t>
      </w:r>
      <w:r>
        <w:rPr>
          <w:spacing w:val="-2"/>
        </w:rPr>
        <w:t xml:space="preserve"> </w:t>
      </w:r>
      <w:r>
        <w:t>a</w:t>
      </w:r>
      <w:r>
        <w:rPr>
          <w:spacing w:val="-2"/>
        </w:rPr>
        <w:t xml:space="preserve"> </w:t>
      </w:r>
      <w:r>
        <w:t>professor</w:t>
      </w:r>
      <w:r>
        <w:rPr>
          <w:spacing w:val="-3"/>
        </w:rPr>
        <w:t xml:space="preserve"> </w:t>
      </w:r>
      <w:r>
        <w:t>of</w:t>
      </w:r>
      <w:r>
        <w:rPr>
          <w:spacing w:val="-2"/>
        </w:rPr>
        <w:t xml:space="preserve"> economics.</w:t>
      </w:r>
    </w:p>
    <w:p w14:paraId="7E00110B" w14:textId="77777777" w:rsidR="009A58DB" w:rsidRDefault="009A58DB">
      <w:pPr>
        <w:pStyle w:val="BodyText"/>
        <w:spacing w:before="30"/>
        <w:ind w:left="0"/>
        <w:jc w:val="left"/>
      </w:pPr>
    </w:p>
    <w:p w14:paraId="7E00110C" w14:textId="77777777" w:rsidR="009A58DB" w:rsidRDefault="00000000">
      <w:pPr>
        <w:pStyle w:val="BodyText"/>
        <w:spacing w:line="249" w:lineRule="auto"/>
        <w:ind w:right="359"/>
      </w:pPr>
      <w:r>
        <w:t xml:space="preserve">But given how you </w:t>
      </w:r>
      <w:r>
        <w:rPr>
          <w:i/>
        </w:rPr>
        <w:t xml:space="preserve">learned </w:t>
      </w:r>
      <w:r>
        <w:t xml:space="preserve">who “Fred” refers to, what LS conveys won’t be so threadbare. True—for some object x (namely Fred), SF merely slaps the label “Fred” on x. But your </w:t>
      </w:r>
      <w:r>
        <w:rPr>
          <w:i/>
        </w:rPr>
        <w:t xml:space="preserve">knowledge </w:t>
      </w:r>
      <w:r>
        <w:t>of SF is replete with non-semantic content.</w:t>
      </w:r>
      <w:r>
        <w:rPr>
          <w:spacing w:val="-2"/>
        </w:rPr>
        <w:t xml:space="preserve"> </w:t>
      </w:r>
      <w:r>
        <w:t>You</w:t>
      </w:r>
      <w:r>
        <w:rPr>
          <w:spacing w:val="-2"/>
        </w:rPr>
        <w:t xml:space="preserve"> </w:t>
      </w:r>
      <w:r>
        <w:t>know</w:t>
      </w:r>
      <w:r>
        <w:rPr>
          <w:spacing w:val="-2"/>
        </w:rPr>
        <w:t xml:space="preserve"> </w:t>
      </w:r>
      <w:r>
        <w:t>of</w:t>
      </w:r>
      <w:r>
        <w:rPr>
          <w:spacing w:val="-2"/>
        </w:rPr>
        <w:t xml:space="preserve"> </w:t>
      </w:r>
      <w:r>
        <w:t>Fred’s</w:t>
      </w:r>
      <w:r>
        <w:rPr>
          <w:spacing w:val="-2"/>
        </w:rPr>
        <w:t xml:space="preserve"> </w:t>
      </w:r>
      <w:r>
        <w:t>existence</w:t>
      </w:r>
      <w:r>
        <w:rPr>
          <w:spacing w:val="-2"/>
        </w:rPr>
        <w:t xml:space="preserve"> </w:t>
      </w:r>
      <w:r>
        <w:t>only</w:t>
      </w:r>
      <w:r>
        <w:rPr>
          <w:spacing w:val="-2"/>
        </w:rPr>
        <w:t xml:space="preserve"> </w:t>
      </w:r>
      <w:r>
        <w:t>because</w:t>
      </w:r>
      <w:r>
        <w:rPr>
          <w:spacing w:val="-2"/>
        </w:rPr>
        <w:t xml:space="preserve"> </w:t>
      </w:r>
      <w:r>
        <w:t>he</w:t>
      </w:r>
      <w:r>
        <w:rPr>
          <w:spacing w:val="-2"/>
        </w:rPr>
        <w:t xml:space="preserve"> </w:t>
      </w:r>
      <w:r>
        <w:t>was</w:t>
      </w:r>
      <w:r>
        <w:rPr>
          <w:spacing w:val="-2"/>
        </w:rPr>
        <w:t xml:space="preserve"> </w:t>
      </w:r>
      <w:r>
        <w:rPr>
          <w:i/>
        </w:rPr>
        <w:t>described</w:t>
      </w:r>
      <w:r>
        <w:rPr>
          <w:i/>
          <w:spacing w:val="-3"/>
        </w:rPr>
        <w:t xml:space="preserve"> </w:t>
      </w:r>
      <w:r>
        <w:t xml:space="preserve">to you. In seeing him, you were visually told that there was some individual x such that you met x at a certain time, in a certain place, and such that x had certain characteristics; and you were also told that “Fred” was x’s name. Your perception of him was therefore descriptive, and the same is therefore true of your subsequent </w:t>
      </w:r>
      <w:r>
        <w:rPr>
          <w:i/>
        </w:rPr>
        <w:t xml:space="preserve">concept </w:t>
      </w:r>
      <w:r>
        <w:t>of him. Given that you cognitively access SF through this information, what LS communicates to you is likely to be along the lines of:</w:t>
      </w:r>
    </w:p>
    <w:p w14:paraId="7E00110D" w14:textId="77777777" w:rsidR="009A58DB" w:rsidRDefault="009A58DB">
      <w:pPr>
        <w:pStyle w:val="BodyText"/>
        <w:spacing w:before="28"/>
        <w:ind w:left="0"/>
        <w:jc w:val="left"/>
      </w:pPr>
    </w:p>
    <w:p w14:paraId="7E00110E" w14:textId="77777777" w:rsidR="009A58DB" w:rsidRDefault="00000000">
      <w:pPr>
        <w:pStyle w:val="BodyText"/>
        <w:spacing w:line="249" w:lineRule="auto"/>
        <w:ind w:right="362"/>
        <w:rPr>
          <w:i/>
        </w:rPr>
      </w:pPr>
      <w:r>
        <w:t>(LPC) There was, a little while ago a certain object x having such and such characteristics (e.g., was wearing a checkered shirt and nervously wringing</w:t>
      </w:r>
      <w:r>
        <w:rPr>
          <w:spacing w:val="40"/>
        </w:rPr>
        <w:t xml:space="preserve"> </w:t>
      </w:r>
      <w:r>
        <w:t xml:space="preserve">its hands, etc.) and “Fred” refers to x and I’ve just been told that: </w:t>
      </w:r>
      <w:r>
        <w:rPr>
          <w:i/>
        </w:rPr>
        <w:t>x is a professor of economics.</w:t>
      </w:r>
    </w:p>
    <w:p w14:paraId="7E00110F"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1110" w14:textId="77777777" w:rsidR="009A58DB" w:rsidRDefault="00000000">
      <w:pPr>
        <w:pStyle w:val="BodyText"/>
        <w:spacing w:before="65" w:line="249" w:lineRule="auto"/>
        <w:ind w:right="362" w:firstLine="360"/>
      </w:pPr>
      <w:r>
        <w:lastRenderedPageBreak/>
        <w:t xml:space="preserve">It should be pointed out that you’ll know that the </w:t>
      </w:r>
      <w:r>
        <w:rPr>
          <w:i/>
        </w:rPr>
        <w:t xml:space="preserve">literal meaning </w:t>
      </w:r>
      <w:r>
        <w:t xml:space="preserve">of LS is confined to the italicized part. You’ll know that “Fred” isn’t </w:t>
      </w:r>
      <w:r>
        <w:rPr>
          <w:i/>
        </w:rPr>
        <w:t>synonymous</w:t>
      </w:r>
      <w:r>
        <w:rPr>
          <w:i/>
          <w:spacing w:val="40"/>
        </w:rPr>
        <w:t xml:space="preserve"> </w:t>
      </w:r>
      <w:r>
        <w:t>with ‹the guy who I met at time t and place p, who was wearing a checkered shirt</w:t>
      </w:r>
      <w:r>
        <w:rPr>
          <w:spacing w:val="-2"/>
        </w:rPr>
        <w:t xml:space="preserve"> </w:t>
      </w:r>
      <w:r>
        <w:t>and</w:t>
      </w:r>
      <w:r>
        <w:rPr>
          <w:spacing w:val="-2"/>
        </w:rPr>
        <w:t xml:space="preserve"> </w:t>
      </w:r>
      <w:r>
        <w:t>wringing</w:t>
      </w:r>
      <w:r>
        <w:rPr>
          <w:spacing w:val="-2"/>
        </w:rPr>
        <w:t xml:space="preserve"> </w:t>
      </w:r>
      <w:r>
        <w:t>his</w:t>
      </w:r>
      <w:r>
        <w:rPr>
          <w:spacing w:val="-2"/>
        </w:rPr>
        <w:t xml:space="preserve"> </w:t>
      </w:r>
      <w:r>
        <w:t>hands</w:t>
      </w:r>
      <w:r>
        <w:rPr>
          <w:spacing w:val="-2"/>
        </w:rPr>
        <w:t xml:space="preserve"> </w:t>
      </w:r>
      <w:r>
        <w:t>nervously</w:t>
      </w:r>
      <w:r>
        <w:rPr>
          <w:spacing w:val="-2"/>
        </w:rPr>
        <w:t xml:space="preserve"> </w:t>
      </w:r>
      <w:r>
        <w:t>[etc.].›</w:t>
      </w:r>
      <w:r>
        <w:rPr>
          <w:spacing w:val="-2"/>
        </w:rPr>
        <w:t xml:space="preserve"> </w:t>
      </w:r>
      <w:r>
        <w:t>And</w:t>
      </w:r>
      <w:r>
        <w:rPr>
          <w:spacing w:val="-2"/>
        </w:rPr>
        <w:t xml:space="preserve"> </w:t>
      </w:r>
      <w:r>
        <w:t>you’ll</w:t>
      </w:r>
      <w:r>
        <w:rPr>
          <w:spacing w:val="-2"/>
        </w:rPr>
        <w:t xml:space="preserve"> </w:t>
      </w:r>
      <w:r>
        <w:t>know</w:t>
      </w:r>
      <w:r>
        <w:rPr>
          <w:spacing w:val="-2"/>
        </w:rPr>
        <w:t xml:space="preserve"> </w:t>
      </w:r>
      <w:r>
        <w:t>that</w:t>
      </w:r>
      <w:r>
        <w:rPr>
          <w:spacing w:val="-2"/>
        </w:rPr>
        <w:t xml:space="preserve"> </w:t>
      </w:r>
      <w:r>
        <w:t>does</w:t>
      </w:r>
      <w:r>
        <w:rPr>
          <w:spacing w:val="-2"/>
        </w:rPr>
        <w:t xml:space="preserve"> </w:t>
      </w:r>
      <w:r>
        <w:t>not, at the level of literal meaning, say anything about anyone’s ever wearing a plaid shirt or wringing their hands.</w:t>
      </w:r>
    </w:p>
    <w:p w14:paraId="7E001111" w14:textId="77777777" w:rsidR="009A58DB" w:rsidRDefault="00000000">
      <w:pPr>
        <w:pStyle w:val="BodyText"/>
        <w:spacing w:before="7" w:line="249" w:lineRule="auto"/>
        <w:ind w:right="358" w:firstLine="360"/>
      </w:pPr>
      <w:r>
        <w:t>At the same time, given the circumstances under which you learned who “Fred” refers to, it’s inevitable that LS would convey some such message to you. Given the circumstances, the communicated, as opposed to literally meant, message soaked up some of the non-literal, descriptive information implicated in your initial tête-à-tête with Fred.</w:t>
      </w:r>
    </w:p>
    <w:p w14:paraId="7E001112" w14:textId="77777777" w:rsidR="009A58DB" w:rsidRDefault="00000000">
      <w:pPr>
        <w:pStyle w:val="BodyText"/>
        <w:spacing w:before="6" w:line="249" w:lineRule="auto"/>
        <w:ind w:right="360" w:firstLine="360"/>
      </w:pPr>
      <w:r>
        <w:t>To sum up, there is some individual x such that, in terms of its literal meaning, all LS does is to attribute the property of being an economics professor to x. So what LS literally means is pretty spare. But what it incidentally conveys to you isn’t so spare.</w:t>
      </w:r>
    </w:p>
    <w:p w14:paraId="7E001113" w14:textId="77777777" w:rsidR="009A58DB" w:rsidRDefault="00000000">
      <w:pPr>
        <w:pStyle w:val="Heading1"/>
        <w:numPr>
          <w:ilvl w:val="1"/>
          <w:numId w:val="158"/>
        </w:numPr>
        <w:tabs>
          <w:tab w:val="left" w:pos="990"/>
        </w:tabs>
        <w:spacing w:before="193"/>
        <w:ind w:left="990" w:hanging="630"/>
      </w:pPr>
      <w:r>
        <w:t>Interlude:</w:t>
      </w:r>
      <w:r>
        <w:rPr>
          <w:spacing w:val="-7"/>
        </w:rPr>
        <w:t xml:space="preserve"> </w:t>
      </w:r>
      <w:r>
        <w:t>Mill</w:t>
      </w:r>
      <w:r>
        <w:rPr>
          <w:spacing w:val="-5"/>
        </w:rPr>
        <w:t xml:space="preserve"> </w:t>
      </w:r>
      <w:r>
        <w:t>on</w:t>
      </w:r>
      <w:r>
        <w:rPr>
          <w:spacing w:val="-5"/>
        </w:rPr>
        <w:t xml:space="preserve"> </w:t>
      </w:r>
      <w:r>
        <w:rPr>
          <w:spacing w:val="-2"/>
        </w:rPr>
        <w:t>reference</w:t>
      </w:r>
    </w:p>
    <w:p w14:paraId="7E001114" w14:textId="77777777" w:rsidR="009A58DB" w:rsidRDefault="00000000">
      <w:pPr>
        <w:pStyle w:val="BodyText"/>
        <w:spacing w:before="139" w:line="249" w:lineRule="auto"/>
        <w:ind w:right="363"/>
      </w:pPr>
      <w:r>
        <w:t>A moment ago we said that, for some object x (namely Fred), SF merely</w:t>
      </w:r>
      <w:r>
        <w:rPr>
          <w:spacing w:val="40"/>
        </w:rPr>
        <w:t xml:space="preserve"> </w:t>
      </w:r>
      <w:r>
        <w:t>slaps the label “Fred” on x. This point, appropriately generalized, is that, given any proper name N, there is some object O such that N’s sole linguistic function is pick out O—such that, in other words, the semantic rule for N is simply: “N refers to O.” Names “denote” (pick out) but do not “connote” (describe). They are mere labels.</w:t>
      </w:r>
    </w:p>
    <w:p w14:paraId="7E001115" w14:textId="77777777" w:rsidR="009A58DB" w:rsidRDefault="00000000">
      <w:pPr>
        <w:pStyle w:val="BodyText"/>
        <w:tabs>
          <w:tab w:val="left" w:pos="859"/>
          <w:tab w:val="left" w:pos="1791"/>
          <w:tab w:val="left" w:pos="2508"/>
          <w:tab w:val="left" w:pos="4232"/>
          <w:tab w:val="left" w:pos="4965"/>
          <w:tab w:val="left" w:pos="6014"/>
          <w:tab w:val="left" w:pos="6647"/>
          <w:tab w:val="left" w:pos="7230"/>
          <w:tab w:val="left" w:pos="8713"/>
        </w:tabs>
        <w:spacing w:before="8" w:line="249" w:lineRule="auto"/>
        <w:ind w:right="360" w:firstLine="360"/>
        <w:jc w:val="right"/>
      </w:pPr>
      <w:r>
        <w:t>This is what we said, and it’s plausible. But it’s not exactly self-evident.</w:t>
      </w:r>
      <w:r>
        <w:rPr>
          <w:spacing w:val="80"/>
        </w:rPr>
        <w:t xml:space="preserve"> </w:t>
      </w:r>
      <w:r>
        <w:t>So we</w:t>
      </w:r>
      <w:r>
        <w:rPr>
          <w:spacing w:val="-1"/>
        </w:rPr>
        <w:t xml:space="preserve"> </w:t>
      </w:r>
      <w:r>
        <w:t>need an argument</w:t>
      </w:r>
      <w:r>
        <w:rPr>
          <w:spacing w:val="-1"/>
        </w:rPr>
        <w:t xml:space="preserve"> </w:t>
      </w:r>
      <w:r>
        <w:t>for</w:t>
      </w:r>
      <w:r>
        <w:rPr>
          <w:spacing w:val="-1"/>
        </w:rPr>
        <w:t xml:space="preserve"> </w:t>
      </w:r>
      <w:r>
        <w:t>it. John Stuart</w:t>
      </w:r>
      <w:r>
        <w:rPr>
          <w:spacing w:val="-1"/>
        </w:rPr>
        <w:t xml:space="preserve"> </w:t>
      </w:r>
      <w:r>
        <w:t>Mill</w:t>
      </w:r>
      <w:r>
        <w:rPr>
          <w:spacing w:val="-1"/>
        </w:rPr>
        <w:t xml:space="preserve"> </w:t>
      </w:r>
      <w:r>
        <w:t>provided that</w:t>
      </w:r>
      <w:r>
        <w:rPr>
          <w:spacing w:val="-1"/>
        </w:rPr>
        <w:t xml:space="preserve"> </w:t>
      </w:r>
      <w:r>
        <w:t>argument</w:t>
      </w:r>
      <w:bookmarkStart w:id="242" w:name="_bookmark242"/>
      <w:bookmarkEnd w:id="242"/>
      <w:r>
        <w:t>.</w:t>
      </w:r>
      <w:r>
        <w:rPr>
          <w:color w:val="0562C1"/>
          <w:position w:val="21"/>
          <w:u w:val="single" w:color="0562C1"/>
        </w:rPr>
        <w:t>[147]</w:t>
      </w:r>
      <w:r>
        <w:rPr>
          <w:color w:val="0562C1"/>
          <w:position w:val="21"/>
        </w:rPr>
        <w:t xml:space="preserve"> </w:t>
      </w:r>
      <w:r>
        <w:t>Imagine,</w:t>
      </w:r>
      <w:r>
        <w:rPr>
          <w:spacing w:val="80"/>
        </w:rPr>
        <w:t xml:space="preserve"> </w:t>
      </w:r>
      <w:r>
        <w:t>said</w:t>
      </w:r>
      <w:r>
        <w:rPr>
          <w:spacing w:val="80"/>
        </w:rPr>
        <w:t xml:space="preserve"> </w:t>
      </w:r>
      <w:r>
        <w:t>Mill,</w:t>
      </w:r>
      <w:r>
        <w:rPr>
          <w:spacing w:val="80"/>
        </w:rPr>
        <w:t xml:space="preserve"> </w:t>
      </w:r>
      <w:r>
        <w:t>that</w:t>
      </w:r>
      <w:r>
        <w:rPr>
          <w:spacing w:val="80"/>
        </w:rPr>
        <w:t xml:space="preserve"> </w:t>
      </w:r>
      <w:r>
        <w:t>you</w:t>
      </w:r>
      <w:r>
        <w:rPr>
          <w:spacing w:val="80"/>
        </w:rPr>
        <w:t xml:space="preserve"> </w:t>
      </w:r>
      <w:r>
        <w:t>decide</w:t>
      </w:r>
      <w:r>
        <w:rPr>
          <w:spacing w:val="80"/>
        </w:rPr>
        <w:t xml:space="preserve"> </w:t>
      </w:r>
      <w:r>
        <w:t>to</w:t>
      </w:r>
      <w:r>
        <w:rPr>
          <w:spacing w:val="80"/>
        </w:rPr>
        <w:t xml:space="preserve"> </w:t>
      </w:r>
      <w:r>
        <w:t>refer</w:t>
      </w:r>
      <w:r>
        <w:rPr>
          <w:spacing w:val="80"/>
        </w:rPr>
        <w:t xml:space="preserve"> </w:t>
      </w:r>
      <w:r>
        <w:t>to</w:t>
      </w:r>
      <w:r>
        <w:rPr>
          <w:spacing w:val="80"/>
        </w:rPr>
        <w:t xml:space="preserve"> </w:t>
      </w:r>
      <w:r>
        <w:t>a</w:t>
      </w:r>
      <w:r>
        <w:rPr>
          <w:spacing w:val="80"/>
        </w:rPr>
        <w:t xml:space="preserve"> </w:t>
      </w:r>
      <w:r>
        <w:t>certain</w:t>
      </w:r>
      <w:r>
        <w:rPr>
          <w:spacing w:val="80"/>
        </w:rPr>
        <w:t xml:space="preserve"> </w:t>
      </w:r>
      <w:r>
        <w:t>river</w:t>
      </w:r>
      <w:r>
        <w:rPr>
          <w:spacing w:val="80"/>
        </w:rPr>
        <w:t xml:space="preserve"> </w:t>
      </w:r>
      <w:r>
        <w:t>as</w:t>
      </w:r>
      <w:r>
        <w:rPr>
          <w:spacing w:val="80"/>
        </w:rPr>
        <w:t xml:space="preserve"> </w:t>
      </w:r>
      <w:r>
        <w:t>the “Dartmouth,” the reason being that, at the time of your naming it, that river’s mouth was at the sea-side city of Dart. (Let’s suppose that you’re royalty, so that</w:t>
      </w:r>
      <w:r>
        <w:rPr>
          <w:spacing w:val="80"/>
        </w:rPr>
        <w:t xml:space="preserve"> </w:t>
      </w:r>
      <w:r>
        <w:t>your</w:t>
      </w:r>
      <w:r>
        <w:rPr>
          <w:spacing w:val="80"/>
        </w:rPr>
        <w:t xml:space="preserve"> </w:t>
      </w:r>
      <w:r>
        <w:t>linguistic</w:t>
      </w:r>
      <w:r>
        <w:rPr>
          <w:spacing w:val="80"/>
        </w:rPr>
        <w:t xml:space="preserve"> </w:t>
      </w:r>
      <w:r>
        <w:t>practices</w:t>
      </w:r>
      <w:r>
        <w:rPr>
          <w:spacing w:val="80"/>
        </w:rPr>
        <w:t xml:space="preserve"> </w:t>
      </w:r>
      <w:r>
        <w:t>automatically</w:t>
      </w:r>
      <w:r>
        <w:rPr>
          <w:spacing w:val="80"/>
        </w:rPr>
        <w:t xml:space="preserve"> </w:t>
      </w:r>
      <w:r>
        <w:t>become</w:t>
      </w:r>
      <w:r>
        <w:rPr>
          <w:spacing w:val="80"/>
        </w:rPr>
        <w:t xml:space="preserve"> </w:t>
      </w:r>
      <w:r>
        <w:t>part</w:t>
      </w:r>
      <w:r>
        <w:rPr>
          <w:spacing w:val="80"/>
        </w:rPr>
        <w:t xml:space="preserve"> </w:t>
      </w:r>
      <w:r>
        <w:t>of</w:t>
      </w:r>
      <w:r>
        <w:rPr>
          <w:spacing w:val="80"/>
        </w:rPr>
        <w:t xml:space="preserve"> </w:t>
      </w:r>
      <w:r>
        <w:t>the</w:t>
      </w:r>
      <w:r>
        <w:rPr>
          <w:spacing w:val="80"/>
        </w:rPr>
        <w:t xml:space="preserve"> </w:t>
      </w:r>
      <w:r>
        <w:t xml:space="preserve">English language.) Should that river change its course as a result of some cataclysm, so that its mouth were no longer anywhere near the city of Dart, it would still </w:t>
      </w:r>
      <w:r>
        <w:rPr>
          <w:spacing w:val="-6"/>
        </w:rPr>
        <w:t>be</w:t>
      </w:r>
      <w:r>
        <w:tab/>
      </w:r>
      <w:r>
        <w:rPr>
          <w:spacing w:val="-2"/>
        </w:rPr>
        <w:t>called</w:t>
      </w:r>
      <w:r>
        <w:tab/>
      </w:r>
      <w:r>
        <w:rPr>
          <w:spacing w:val="-4"/>
        </w:rPr>
        <w:t>“the</w:t>
      </w:r>
      <w:r>
        <w:tab/>
      </w:r>
      <w:r>
        <w:rPr>
          <w:spacing w:val="-2"/>
        </w:rPr>
        <w:t>Dartmouth.”</w:t>
      </w:r>
      <w:r>
        <w:tab/>
      </w:r>
      <w:r>
        <w:rPr>
          <w:spacing w:val="-4"/>
        </w:rPr>
        <w:t>And</w:t>
      </w:r>
      <w:r>
        <w:tab/>
      </w:r>
      <w:r>
        <w:rPr>
          <w:spacing w:val="-2"/>
        </w:rPr>
        <w:t>therein</w:t>
      </w:r>
      <w:r>
        <w:tab/>
      </w:r>
      <w:r>
        <w:rPr>
          <w:spacing w:val="-4"/>
        </w:rPr>
        <w:t>lies</w:t>
      </w:r>
      <w:r>
        <w:tab/>
      </w:r>
      <w:r>
        <w:rPr>
          <w:spacing w:val="-4"/>
        </w:rPr>
        <w:t>the</w:t>
      </w:r>
      <w:r>
        <w:tab/>
      </w:r>
      <w:r>
        <w:rPr>
          <w:spacing w:val="-2"/>
        </w:rPr>
        <w:t>distinction</w:t>
      </w:r>
      <w:r>
        <w:tab/>
      </w:r>
      <w:r>
        <w:rPr>
          <w:spacing w:val="-2"/>
        </w:rPr>
        <w:t xml:space="preserve">between </w:t>
      </w:r>
      <w:r>
        <w:t>“Dartmouth,” which is a proper name, and “the river whose mouth is at the</w:t>
      </w:r>
      <w:r>
        <w:rPr>
          <w:spacing w:val="80"/>
        </w:rPr>
        <w:t xml:space="preserve"> </w:t>
      </w:r>
      <w:r>
        <w:t>city</w:t>
      </w:r>
      <w:r>
        <w:rPr>
          <w:spacing w:val="31"/>
        </w:rPr>
        <w:t xml:space="preserve"> </w:t>
      </w:r>
      <w:r>
        <w:t>of</w:t>
      </w:r>
      <w:r>
        <w:rPr>
          <w:spacing w:val="31"/>
        </w:rPr>
        <w:t xml:space="preserve"> </w:t>
      </w:r>
      <w:r>
        <w:t>Dart,”</w:t>
      </w:r>
      <w:r>
        <w:rPr>
          <w:spacing w:val="31"/>
        </w:rPr>
        <w:t xml:space="preserve"> </w:t>
      </w:r>
      <w:r>
        <w:t>which</w:t>
      </w:r>
      <w:r>
        <w:rPr>
          <w:spacing w:val="31"/>
        </w:rPr>
        <w:t xml:space="preserve"> </w:t>
      </w:r>
      <w:r>
        <w:t>is</w:t>
      </w:r>
      <w:r>
        <w:rPr>
          <w:spacing w:val="31"/>
        </w:rPr>
        <w:t xml:space="preserve"> </w:t>
      </w:r>
      <w:r>
        <w:t>not</w:t>
      </w:r>
      <w:r>
        <w:rPr>
          <w:spacing w:val="31"/>
        </w:rPr>
        <w:t xml:space="preserve"> </w:t>
      </w:r>
      <w:r>
        <w:t>a</w:t>
      </w:r>
      <w:r>
        <w:rPr>
          <w:spacing w:val="31"/>
        </w:rPr>
        <w:t xml:space="preserve"> </w:t>
      </w:r>
      <w:r>
        <w:t>proper</w:t>
      </w:r>
      <w:r>
        <w:rPr>
          <w:spacing w:val="31"/>
        </w:rPr>
        <w:t xml:space="preserve"> </w:t>
      </w:r>
      <w:r>
        <w:t>name.</w:t>
      </w:r>
      <w:r>
        <w:rPr>
          <w:spacing w:val="31"/>
        </w:rPr>
        <w:t xml:space="preserve"> </w:t>
      </w:r>
      <w:r>
        <w:t>The</w:t>
      </w:r>
      <w:r>
        <w:rPr>
          <w:spacing w:val="31"/>
        </w:rPr>
        <w:t xml:space="preserve"> </w:t>
      </w:r>
      <w:r>
        <w:t>first</w:t>
      </w:r>
      <w:r>
        <w:rPr>
          <w:spacing w:val="31"/>
        </w:rPr>
        <w:t xml:space="preserve"> </w:t>
      </w:r>
      <w:r>
        <w:t>merely</w:t>
      </w:r>
      <w:r>
        <w:rPr>
          <w:spacing w:val="31"/>
        </w:rPr>
        <w:t xml:space="preserve"> </w:t>
      </w:r>
      <w:r>
        <w:t>labels</w:t>
      </w:r>
      <w:r>
        <w:rPr>
          <w:spacing w:val="31"/>
        </w:rPr>
        <w:t xml:space="preserve"> </w:t>
      </w:r>
      <w:r>
        <w:t>a</w:t>
      </w:r>
      <w:r>
        <w:rPr>
          <w:spacing w:val="31"/>
        </w:rPr>
        <w:t xml:space="preserve"> </w:t>
      </w:r>
      <w:r>
        <w:t>certain river;</w:t>
      </w:r>
      <w:r>
        <w:rPr>
          <w:spacing w:val="36"/>
        </w:rPr>
        <w:t xml:space="preserve"> </w:t>
      </w:r>
      <w:r>
        <w:t>it</w:t>
      </w:r>
      <w:r>
        <w:rPr>
          <w:spacing w:val="37"/>
        </w:rPr>
        <w:t xml:space="preserve"> </w:t>
      </w:r>
      <w:r>
        <w:t>doesn’t</w:t>
      </w:r>
      <w:r>
        <w:rPr>
          <w:spacing w:val="37"/>
        </w:rPr>
        <w:t xml:space="preserve"> </w:t>
      </w:r>
      <w:r>
        <w:t>pick</w:t>
      </w:r>
      <w:r>
        <w:rPr>
          <w:spacing w:val="36"/>
        </w:rPr>
        <w:t xml:space="preserve"> </w:t>
      </w:r>
      <w:r>
        <w:t>it</w:t>
      </w:r>
      <w:r>
        <w:rPr>
          <w:spacing w:val="37"/>
        </w:rPr>
        <w:t xml:space="preserve"> </w:t>
      </w:r>
      <w:r>
        <w:t>out</w:t>
      </w:r>
      <w:r>
        <w:rPr>
          <w:spacing w:val="37"/>
        </w:rPr>
        <w:t xml:space="preserve"> </w:t>
      </w:r>
      <w:r>
        <w:rPr>
          <w:i/>
        </w:rPr>
        <w:t>through</w:t>
      </w:r>
      <w:r>
        <w:rPr>
          <w:i/>
          <w:spacing w:val="28"/>
        </w:rPr>
        <w:t xml:space="preserve"> </w:t>
      </w:r>
      <w:r>
        <w:t>a</w:t>
      </w:r>
      <w:r>
        <w:rPr>
          <w:spacing w:val="39"/>
        </w:rPr>
        <w:t xml:space="preserve"> </w:t>
      </w:r>
      <w:r>
        <w:t>description.</w:t>
      </w:r>
      <w:r>
        <w:rPr>
          <w:spacing w:val="40"/>
        </w:rPr>
        <w:t xml:space="preserve"> </w:t>
      </w:r>
      <w:r>
        <w:t>That’s</w:t>
      </w:r>
      <w:r>
        <w:rPr>
          <w:spacing w:val="40"/>
        </w:rPr>
        <w:t xml:space="preserve"> </w:t>
      </w:r>
      <w:r>
        <w:t>why</w:t>
      </w:r>
      <w:r>
        <w:rPr>
          <w:spacing w:val="39"/>
        </w:rPr>
        <w:t xml:space="preserve"> </w:t>
      </w:r>
      <w:r>
        <w:t>it</w:t>
      </w:r>
      <w:r>
        <w:rPr>
          <w:spacing w:val="40"/>
        </w:rPr>
        <w:t xml:space="preserve"> </w:t>
      </w:r>
      <w:r>
        <w:t>labels</w:t>
      </w:r>
      <w:r>
        <w:rPr>
          <w:spacing w:val="40"/>
        </w:rPr>
        <w:t xml:space="preserve"> </w:t>
      </w:r>
      <w:r>
        <w:rPr>
          <w:spacing w:val="-4"/>
        </w:rPr>
        <w:t>that</w:t>
      </w:r>
    </w:p>
    <w:p w14:paraId="7E001116" w14:textId="77777777" w:rsidR="009A58DB" w:rsidRDefault="009A58DB">
      <w:pPr>
        <w:pStyle w:val="BodyText"/>
        <w:spacing w:line="249" w:lineRule="auto"/>
        <w:jc w:val="right"/>
        <w:sectPr w:rsidR="009A58DB">
          <w:pgSz w:w="12240" w:h="15840"/>
          <w:pgMar w:top="1380" w:right="1080" w:bottom="280" w:left="1080" w:header="720" w:footer="720" w:gutter="0"/>
          <w:cols w:space="720"/>
        </w:sectPr>
      </w:pPr>
    </w:p>
    <w:p w14:paraId="7E001117" w14:textId="77777777" w:rsidR="009A58DB" w:rsidRDefault="00000000">
      <w:pPr>
        <w:pStyle w:val="BodyText"/>
        <w:spacing w:before="60" w:line="249" w:lineRule="auto"/>
        <w:ind w:right="362"/>
      </w:pPr>
      <w:r>
        <w:lastRenderedPageBreak/>
        <w:t xml:space="preserve">river </w:t>
      </w:r>
      <w:r>
        <w:rPr>
          <w:i/>
        </w:rPr>
        <w:t xml:space="preserve">even after </w:t>
      </w:r>
      <w:r>
        <w:t xml:space="preserve">that river ceases to fit the relevant description. And that’s why, if some other river were to change locations, in such a way that </w:t>
      </w:r>
      <w:r>
        <w:rPr>
          <w:i/>
        </w:rPr>
        <w:t xml:space="preserve">its </w:t>
      </w:r>
      <w:r>
        <w:t>mouth coincided with the city of Dart, “the Dartmouth” wouldn’t refer to it, and would still refer</w:t>
      </w:r>
      <w:r>
        <w:rPr>
          <w:spacing w:val="-1"/>
        </w:rPr>
        <w:t xml:space="preserve"> </w:t>
      </w:r>
      <w:r>
        <w:t>to the other river</w:t>
      </w:r>
      <w:r>
        <w:rPr>
          <w:spacing w:val="-1"/>
        </w:rPr>
        <w:t xml:space="preserve"> </w:t>
      </w:r>
      <w:r>
        <w:t xml:space="preserve">(the one whose mouth was originally at </w:t>
      </w:r>
      <w:r>
        <w:rPr>
          <w:spacing w:val="-2"/>
        </w:rPr>
        <w:t>Dart).</w:t>
      </w:r>
    </w:p>
    <w:p w14:paraId="7E001118" w14:textId="77777777" w:rsidR="009A58DB" w:rsidRDefault="00000000">
      <w:pPr>
        <w:pStyle w:val="BodyText"/>
        <w:spacing w:before="11" w:line="249" w:lineRule="auto"/>
        <w:ind w:right="360" w:firstLine="360"/>
      </w:pPr>
      <w:r>
        <w:t xml:space="preserve">By contrast, “the river whose mouth is at the city of Dart” is not a mere label. (Like the authors whose work we’re about to evaluate, we are in this context operating on the assumption, definite descriptions are referring terms.) It refers to whatever it is that fits a certain </w:t>
      </w:r>
      <w:r>
        <w:rPr>
          <w:i/>
        </w:rPr>
        <w:t xml:space="preserve">description </w:t>
      </w:r>
      <w:r>
        <w:t xml:space="preserve">(i.e., “unique river whose mouth is at the city of Dart”). So it refers by describing, not by </w:t>
      </w:r>
      <w:r>
        <w:rPr>
          <w:spacing w:val="-2"/>
        </w:rPr>
        <w:t>labeling.</w:t>
      </w:r>
    </w:p>
    <w:p w14:paraId="7E001119" w14:textId="77777777" w:rsidR="009A58DB" w:rsidRDefault="00000000">
      <w:pPr>
        <w:pStyle w:val="BodyText"/>
        <w:spacing w:before="7" w:line="249" w:lineRule="auto"/>
        <w:ind w:right="358" w:firstLine="360"/>
      </w:pPr>
      <w:r>
        <w:t>Here is another, similar argument. Suppose that You and I are spies in enemy terrain. We see a person in the distance. We can’t make out who it is. We don’t know who he is. But, the circumstances being what they are, we know that, whoever he is, he’s important. You and I are going to be talking about him a lot. We thus need a way of referring to him that, unlike the “the man</w:t>
      </w:r>
      <w:r>
        <w:rPr>
          <w:spacing w:val="-1"/>
        </w:rPr>
        <w:t xml:space="preserve"> </w:t>
      </w:r>
      <w:r>
        <w:t>in the distance,” won’t</w:t>
      </w:r>
      <w:r>
        <w:rPr>
          <w:spacing w:val="-1"/>
        </w:rPr>
        <w:t xml:space="preserve"> </w:t>
      </w:r>
      <w:r>
        <w:t>cease</w:t>
      </w:r>
      <w:r>
        <w:rPr>
          <w:spacing w:val="-1"/>
        </w:rPr>
        <w:t xml:space="preserve"> </w:t>
      </w:r>
      <w:r>
        <w:t>to be useful</w:t>
      </w:r>
      <w:r>
        <w:rPr>
          <w:spacing w:val="-1"/>
        </w:rPr>
        <w:t xml:space="preserve"> </w:t>
      </w:r>
      <w:r>
        <w:t>the moment</w:t>
      </w:r>
      <w:r>
        <w:rPr>
          <w:spacing w:val="-1"/>
        </w:rPr>
        <w:t xml:space="preserve"> </w:t>
      </w:r>
      <w:r>
        <w:t>he moves to a new place. We thus decide to give him a name. We name him “Gargantuan.”</w:t>
      </w:r>
    </w:p>
    <w:p w14:paraId="7E00111A" w14:textId="77777777" w:rsidR="009A58DB" w:rsidRDefault="00000000">
      <w:pPr>
        <w:pStyle w:val="BodyText"/>
        <w:spacing w:before="9" w:line="249" w:lineRule="auto"/>
        <w:ind w:right="359" w:firstLine="360"/>
      </w:pPr>
      <w:r>
        <w:t>Russell and Frege would say that “Gargantuan” is synonymous with “the man in the distance” or, at any rate, with some other definite description. But we’ve already seen why that view is the wrong one. That person, whoever he is, can move to a new place; and some other person who isn’t identical with him</w:t>
      </w:r>
      <w:r>
        <w:rPr>
          <w:spacing w:val="-3"/>
        </w:rPr>
        <w:t xml:space="preserve"> </w:t>
      </w:r>
      <w:r>
        <w:t>can</w:t>
      </w:r>
      <w:r>
        <w:rPr>
          <w:spacing w:val="-2"/>
        </w:rPr>
        <w:t xml:space="preserve"> </w:t>
      </w:r>
      <w:r>
        <w:t>move</w:t>
      </w:r>
      <w:r>
        <w:rPr>
          <w:spacing w:val="-2"/>
        </w:rPr>
        <w:t xml:space="preserve"> </w:t>
      </w:r>
      <w:r>
        <w:t>into</w:t>
      </w:r>
      <w:r>
        <w:rPr>
          <w:spacing w:val="-2"/>
        </w:rPr>
        <w:t xml:space="preserve"> </w:t>
      </w:r>
      <w:r>
        <w:t>the</w:t>
      </w:r>
      <w:r>
        <w:rPr>
          <w:spacing w:val="-2"/>
        </w:rPr>
        <w:t xml:space="preserve"> </w:t>
      </w:r>
      <w:r>
        <w:t>place</w:t>
      </w:r>
      <w:r>
        <w:rPr>
          <w:spacing w:val="-2"/>
        </w:rPr>
        <w:t xml:space="preserve"> </w:t>
      </w:r>
      <w:r>
        <w:t>that</w:t>
      </w:r>
      <w:r>
        <w:rPr>
          <w:spacing w:val="-2"/>
        </w:rPr>
        <w:t xml:space="preserve"> </w:t>
      </w:r>
      <w:r>
        <w:t>he</w:t>
      </w:r>
      <w:r>
        <w:rPr>
          <w:spacing w:val="-2"/>
        </w:rPr>
        <w:t xml:space="preserve"> </w:t>
      </w:r>
      <w:r>
        <w:t>has</w:t>
      </w:r>
      <w:r>
        <w:rPr>
          <w:spacing w:val="-2"/>
        </w:rPr>
        <w:t xml:space="preserve"> </w:t>
      </w:r>
      <w:r>
        <w:t>vacated.</w:t>
      </w:r>
      <w:r>
        <w:rPr>
          <w:spacing w:val="-2"/>
        </w:rPr>
        <w:t xml:space="preserve"> </w:t>
      </w:r>
      <w:r>
        <w:t>But</w:t>
      </w:r>
      <w:r>
        <w:rPr>
          <w:spacing w:val="-2"/>
        </w:rPr>
        <w:t xml:space="preserve"> </w:t>
      </w:r>
      <w:r>
        <w:t>“Gargantuan”</w:t>
      </w:r>
      <w:r>
        <w:rPr>
          <w:spacing w:val="-2"/>
        </w:rPr>
        <w:t xml:space="preserve"> </w:t>
      </w:r>
      <w:r>
        <w:t>would</w:t>
      </w:r>
      <w:r>
        <w:rPr>
          <w:spacing w:val="-2"/>
        </w:rPr>
        <w:t xml:space="preserve"> </w:t>
      </w:r>
      <w:r>
        <w:t>not on this account cease to refer to one person and come to refer to someone else. Let us develop this point by telling a story.</w:t>
      </w:r>
    </w:p>
    <w:p w14:paraId="7E00111B" w14:textId="77777777" w:rsidR="009A58DB" w:rsidRDefault="00000000">
      <w:pPr>
        <w:pStyle w:val="BodyText"/>
        <w:spacing w:before="8" w:line="249" w:lineRule="auto"/>
        <w:ind w:right="359" w:firstLine="360"/>
      </w:pPr>
      <w:r>
        <w:t>We finally meet Gargantuan. He turns out to be Mr. X, a high-level</w:t>
      </w:r>
      <w:r>
        <w:rPr>
          <w:spacing w:val="40"/>
        </w:rPr>
        <w:t xml:space="preserve"> </w:t>
      </w:r>
      <w:r>
        <w:t xml:space="preserve">official in the government of the nation we’re spying on. We now know X’s name, of course. But when speaking to each other, we still refer to X as “Gargantuan.” We befriend X, and he turns out to an amicable and easy-going fellow. He is no longer distant in any sense, and “the man in the distance” no longer refers to him. But “Gargantuan” </w:t>
      </w:r>
      <w:r>
        <w:rPr>
          <w:i/>
        </w:rPr>
        <w:t xml:space="preserve">does </w:t>
      </w:r>
      <w:r>
        <w:t>refer to him. “The man in the distance” picks out whoever it is that fits the relevant description, and that person won’t always be X. But Garguantuan always picks out X. Given any property phi, such that, at some point in time or other, ‹the phi› picks out X, a similar argument shows that there are possible circumstances where ‹the phi› fails to refer to X, even though, in those same circumstances,</w:t>
      </w:r>
    </w:p>
    <w:p w14:paraId="7E00111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11D" w14:textId="77777777" w:rsidR="009A58DB" w:rsidRDefault="00000000">
      <w:pPr>
        <w:pStyle w:val="BodyText"/>
        <w:spacing w:before="65"/>
      </w:pPr>
      <w:r>
        <w:lastRenderedPageBreak/>
        <w:t>“Gargantuan”</w:t>
      </w:r>
      <w:r>
        <w:rPr>
          <w:spacing w:val="-7"/>
        </w:rPr>
        <w:t xml:space="preserve"> </w:t>
      </w:r>
      <w:r>
        <w:t>still</w:t>
      </w:r>
      <w:r>
        <w:rPr>
          <w:spacing w:val="-4"/>
        </w:rPr>
        <w:t xml:space="preserve"> </w:t>
      </w:r>
      <w:r>
        <w:t>does</w:t>
      </w:r>
      <w:r>
        <w:rPr>
          <w:spacing w:val="-5"/>
        </w:rPr>
        <w:t xml:space="preserve"> </w:t>
      </w:r>
      <w:r>
        <w:t>refer</w:t>
      </w:r>
      <w:r>
        <w:rPr>
          <w:spacing w:val="-4"/>
        </w:rPr>
        <w:t xml:space="preserve"> </w:t>
      </w:r>
      <w:r>
        <w:t>to</w:t>
      </w:r>
      <w:r>
        <w:rPr>
          <w:spacing w:val="-3"/>
        </w:rPr>
        <w:t xml:space="preserve"> </w:t>
      </w:r>
      <w:r>
        <w:rPr>
          <w:spacing w:val="-5"/>
        </w:rPr>
        <w:t>X.</w:t>
      </w:r>
    </w:p>
    <w:p w14:paraId="7E00111E" w14:textId="77777777" w:rsidR="009A58DB" w:rsidRDefault="00000000">
      <w:pPr>
        <w:pStyle w:val="BodyText"/>
        <w:spacing w:before="15" w:line="249" w:lineRule="auto"/>
        <w:ind w:right="361" w:firstLine="360"/>
        <w:jc w:val="right"/>
        <w:rPr>
          <w:i/>
        </w:rPr>
      </w:pPr>
      <w:r>
        <w:t>Thus, “Gargantuan” doesn’t refer to X by describing him, and X’s being</w:t>
      </w:r>
      <w:r>
        <w:rPr>
          <w:spacing w:val="40"/>
        </w:rPr>
        <w:t xml:space="preserve"> </w:t>
      </w:r>
      <w:r>
        <w:t>picked</w:t>
      </w:r>
      <w:r>
        <w:rPr>
          <w:spacing w:val="80"/>
        </w:rPr>
        <w:t xml:space="preserve"> </w:t>
      </w:r>
      <w:r>
        <w:t>out</w:t>
      </w:r>
      <w:r>
        <w:rPr>
          <w:spacing w:val="80"/>
        </w:rPr>
        <w:t xml:space="preserve"> </w:t>
      </w:r>
      <w:r>
        <w:t>by</w:t>
      </w:r>
      <w:r>
        <w:rPr>
          <w:spacing w:val="80"/>
        </w:rPr>
        <w:t xml:space="preserve"> </w:t>
      </w:r>
      <w:r>
        <w:t>“Gargantuan”</w:t>
      </w:r>
      <w:r>
        <w:rPr>
          <w:spacing w:val="80"/>
        </w:rPr>
        <w:t xml:space="preserve"> </w:t>
      </w:r>
      <w:r>
        <w:t>isn’t</w:t>
      </w:r>
      <w:r>
        <w:rPr>
          <w:spacing w:val="80"/>
        </w:rPr>
        <w:t xml:space="preserve"> </w:t>
      </w:r>
      <w:r>
        <w:t>contingent</w:t>
      </w:r>
      <w:r>
        <w:rPr>
          <w:spacing w:val="80"/>
        </w:rPr>
        <w:t xml:space="preserve"> </w:t>
      </w:r>
      <w:r>
        <w:t>on</w:t>
      </w:r>
      <w:r>
        <w:rPr>
          <w:spacing w:val="80"/>
        </w:rPr>
        <w:t xml:space="preserve"> </w:t>
      </w:r>
      <w:r>
        <w:t>his</w:t>
      </w:r>
      <w:r>
        <w:rPr>
          <w:spacing w:val="80"/>
        </w:rPr>
        <w:t xml:space="preserve"> </w:t>
      </w:r>
      <w:r>
        <w:t>having</w:t>
      </w:r>
      <w:r>
        <w:rPr>
          <w:spacing w:val="80"/>
        </w:rPr>
        <w:t xml:space="preserve"> </w:t>
      </w:r>
      <w:r>
        <w:t>this</w:t>
      </w:r>
      <w:r>
        <w:rPr>
          <w:spacing w:val="80"/>
        </w:rPr>
        <w:t xml:space="preserve"> </w:t>
      </w:r>
      <w:r>
        <w:t>or</w:t>
      </w:r>
      <w:r>
        <w:rPr>
          <w:spacing w:val="80"/>
        </w:rPr>
        <w:t xml:space="preserve"> </w:t>
      </w:r>
      <w:r>
        <w:t>that property.</w:t>
      </w:r>
      <w:r>
        <w:rPr>
          <w:spacing w:val="40"/>
        </w:rPr>
        <w:t xml:space="preserve"> </w:t>
      </w:r>
      <w:r>
        <w:t>“Gargantuan”</w:t>
      </w:r>
      <w:r>
        <w:rPr>
          <w:spacing w:val="40"/>
        </w:rPr>
        <w:t xml:space="preserve"> </w:t>
      </w:r>
      <w:r>
        <w:t>simply</w:t>
      </w:r>
      <w:r>
        <w:rPr>
          <w:spacing w:val="40"/>
        </w:rPr>
        <w:t xml:space="preserve"> </w:t>
      </w:r>
      <w:r>
        <w:t>labels</w:t>
      </w:r>
      <w:r>
        <w:rPr>
          <w:spacing w:val="40"/>
        </w:rPr>
        <w:t xml:space="preserve"> </w:t>
      </w:r>
      <w:r>
        <w:t>X.</w:t>
      </w:r>
      <w:r>
        <w:rPr>
          <w:spacing w:val="40"/>
        </w:rPr>
        <w:t xml:space="preserve"> </w:t>
      </w:r>
      <w:r>
        <w:t>All</w:t>
      </w:r>
      <w:r>
        <w:rPr>
          <w:spacing w:val="40"/>
        </w:rPr>
        <w:t xml:space="preserve"> </w:t>
      </w:r>
      <w:r>
        <w:t>X</w:t>
      </w:r>
      <w:r>
        <w:rPr>
          <w:spacing w:val="40"/>
        </w:rPr>
        <w:t xml:space="preserve"> </w:t>
      </w:r>
      <w:r>
        <w:t>has</w:t>
      </w:r>
      <w:r>
        <w:rPr>
          <w:spacing w:val="40"/>
        </w:rPr>
        <w:t xml:space="preserve"> </w:t>
      </w:r>
      <w:r>
        <w:t>to</w:t>
      </w:r>
      <w:r>
        <w:rPr>
          <w:spacing w:val="40"/>
        </w:rPr>
        <w:t xml:space="preserve"> </w:t>
      </w:r>
      <w:r>
        <w:t>do</w:t>
      </w:r>
      <w:r>
        <w:rPr>
          <w:spacing w:val="40"/>
        </w:rPr>
        <w:t xml:space="preserve"> </w:t>
      </w:r>
      <w:r>
        <w:t>to</w:t>
      </w:r>
      <w:r>
        <w:rPr>
          <w:spacing w:val="40"/>
        </w:rPr>
        <w:t xml:space="preserve"> </w:t>
      </w:r>
      <w:r>
        <w:t>be</w:t>
      </w:r>
      <w:r>
        <w:rPr>
          <w:spacing w:val="40"/>
        </w:rPr>
        <w:t xml:space="preserve"> </w:t>
      </w:r>
      <w:r>
        <w:t>labeled</w:t>
      </w:r>
      <w:r>
        <w:rPr>
          <w:spacing w:val="40"/>
        </w:rPr>
        <w:t xml:space="preserve"> </w:t>
      </w:r>
      <w:r>
        <w:t>by “Gargantuan” is continue to be X. By contrast, to be referred to as “the man in the distance,” one has to be a man in the distance, which isn’t always easy. Mill’s argument decisively shows that proper names are mere labels. They</w:t>
      </w:r>
      <w:r>
        <w:rPr>
          <w:spacing w:val="40"/>
        </w:rPr>
        <w:t xml:space="preserve"> </w:t>
      </w:r>
      <w:r>
        <w:t>are</w:t>
      </w:r>
      <w:r>
        <w:rPr>
          <w:spacing w:val="-2"/>
        </w:rPr>
        <w:t xml:space="preserve"> </w:t>
      </w:r>
      <w:r>
        <w:t>not</w:t>
      </w:r>
      <w:r>
        <w:rPr>
          <w:spacing w:val="-2"/>
        </w:rPr>
        <w:t xml:space="preserve"> </w:t>
      </w:r>
      <w:r>
        <w:t>“connotative;”</w:t>
      </w:r>
      <w:r>
        <w:rPr>
          <w:spacing w:val="-1"/>
        </w:rPr>
        <w:t xml:space="preserve"> </w:t>
      </w:r>
      <w:r>
        <w:t>they</w:t>
      </w:r>
      <w:r>
        <w:rPr>
          <w:spacing w:val="-1"/>
        </w:rPr>
        <w:t xml:space="preserve"> </w:t>
      </w:r>
      <w:r>
        <w:t>don’t</w:t>
      </w:r>
      <w:r>
        <w:rPr>
          <w:spacing w:val="-2"/>
        </w:rPr>
        <w:t xml:space="preserve"> </w:t>
      </w:r>
      <w:r>
        <w:t>have</w:t>
      </w:r>
      <w:r>
        <w:rPr>
          <w:spacing w:val="-2"/>
        </w:rPr>
        <w:t xml:space="preserve"> </w:t>
      </w:r>
      <w:r>
        <w:t>Fregean</w:t>
      </w:r>
      <w:r>
        <w:rPr>
          <w:spacing w:val="-1"/>
        </w:rPr>
        <w:t xml:space="preserve"> </w:t>
      </w:r>
      <w:r>
        <w:t>“senses.”</w:t>
      </w:r>
      <w:r>
        <w:rPr>
          <w:spacing w:val="-1"/>
        </w:rPr>
        <w:t xml:space="preserve"> </w:t>
      </w:r>
      <w:r>
        <w:t>By</w:t>
      </w:r>
      <w:r>
        <w:rPr>
          <w:spacing w:val="-1"/>
        </w:rPr>
        <w:t xml:space="preserve"> </w:t>
      </w:r>
      <w:r>
        <w:t>contrast,</w:t>
      </w:r>
      <w:r>
        <w:rPr>
          <w:spacing w:val="-1"/>
        </w:rPr>
        <w:t xml:space="preserve"> </w:t>
      </w:r>
      <w:r>
        <w:t>definite descriptions</w:t>
      </w:r>
      <w:r>
        <w:rPr>
          <w:spacing w:val="17"/>
        </w:rPr>
        <w:t xml:space="preserve"> </w:t>
      </w:r>
      <w:r>
        <w:t>(supposing</w:t>
      </w:r>
      <w:r>
        <w:rPr>
          <w:spacing w:val="17"/>
        </w:rPr>
        <w:t xml:space="preserve"> </w:t>
      </w:r>
      <w:r>
        <w:t>them</w:t>
      </w:r>
      <w:r>
        <w:rPr>
          <w:spacing w:val="18"/>
        </w:rPr>
        <w:t xml:space="preserve"> </w:t>
      </w:r>
      <w:r>
        <w:t>to</w:t>
      </w:r>
      <w:r>
        <w:rPr>
          <w:spacing w:val="17"/>
        </w:rPr>
        <w:t xml:space="preserve"> </w:t>
      </w:r>
      <w:r>
        <w:t>be</w:t>
      </w:r>
      <w:r>
        <w:rPr>
          <w:spacing w:val="18"/>
        </w:rPr>
        <w:t xml:space="preserve"> </w:t>
      </w:r>
      <w:r>
        <w:t>referring</w:t>
      </w:r>
      <w:r>
        <w:rPr>
          <w:spacing w:val="17"/>
        </w:rPr>
        <w:t xml:space="preserve"> </w:t>
      </w:r>
      <w:r>
        <w:t>terms)</w:t>
      </w:r>
      <w:r>
        <w:rPr>
          <w:spacing w:val="18"/>
        </w:rPr>
        <w:t xml:space="preserve"> </w:t>
      </w:r>
      <w:r>
        <w:rPr>
          <w:i/>
        </w:rPr>
        <w:t>are</w:t>
      </w:r>
      <w:r>
        <w:rPr>
          <w:i/>
          <w:spacing w:val="11"/>
        </w:rPr>
        <w:t xml:space="preserve"> </w:t>
      </w:r>
      <w:r>
        <w:t>connotative;</w:t>
      </w:r>
      <w:r>
        <w:rPr>
          <w:spacing w:val="18"/>
        </w:rPr>
        <w:t xml:space="preserve"> </w:t>
      </w:r>
      <w:r>
        <w:t>they</w:t>
      </w:r>
      <w:r>
        <w:rPr>
          <w:spacing w:val="19"/>
        </w:rPr>
        <w:t xml:space="preserve"> </w:t>
      </w:r>
      <w:r>
        <w:rPr>
          <w:i/>
          <w:spacing w:val="-5"/>
        </w:rPr>
        <w:t>do</w:t>
      </w:r>
    </w:p>
    <w:p w14:paraId="7E00111F" w14:textId="77777777" w:rsidR="009A58DB" w:rsidRDefault="00000000">
      <w:pPr>
        <w:pStyle w:val="BodyText"/>
        <w:spacing w:before="9"/>
      </w:pPr>
      <w:r>
        <w:t>have</w:t>
      </w:r>
      <w:r>
        <w:rPr>
          <w:spacing w:val="-4"/>
        </w:rPr>
        <w:t xml:space="preserve"> </w:t>
      </w:r>
      <w:r>
        <w:t>Fregean</w:t>
      </w:r>
      <w:r>
        <w:rPr>
          <w:spacing w:val="-3"/>
        </w:rPr>
        <w:t xml:space="preserve"> </w:t>
      </w:r>
      <w:r>
        <w:rPr>
          <w:spacing w:val="-2"/>
        </w:rPr>
        <w:t>senses.</w:t>
      </w:r>
    </w:p>
    <w:p w14:paraId="7E001120" w14:textId="77777777" w:rsidR="009A58DB" w:rsidRDefault="00000000">
      <w:pPr>
        <w:pStyle w:val="BodyText"/>
        <w:spacing w:before="16" w:line="249" w:lineRule="auto"/>
        <w:ind w:right="363" w:firstLine="360"/>
      </w:pPr>
      <w:r>
        <w:t xml:space="preserve">Non-connotative referring terms are said to refer </w:t>
      </w:r>
      <w:r>
        <w:rPr>
          <w:i/>
        </w:rPr>
        <w:t xml:space="preserve">directly; </w:t>
      </w:r>
      <w:r>
        <w:t xml:space="preserve">connotative referring terms are said to refer </w:t>
      </w:r>
      <w:r>
        <w:rPr>
          <w:i/>
        </w:rPr>
        <w:t xml:space="preserve">indirectly. </w:t>
      </w:r>
      <w:r>
        <w:t>In Chapter 6, it is shown that all reference is direct reference and that the concept of indirect reference is a completely incoherent one. But we will not assume that here, since the authors whose work we're evaluating don't assume it.</w:t>
      </w:r>
    </w:p>
    <w:p w14:paraId="7E001121" w14:textId="77777777" w:rsidR="009A58DB" w:rsidRDefault="00000000">
      <w:pPr>
        <w:pStyle w:val="Heading1"/>
        <w:numPr>
          <w:ilvl w:val="1"/>
          <w:numId w:val="158"/>
        </w:numPr>
        <w:tabs>
          <w:tab w:val="left" w:pos="990"/>
        </w:tabs>
        <w:spacing w:before="194"/>
        <w:ind w:left="990" w:hanging="630"/>
      </w:pPr>
      <w:r>
        <w:t>Perception,</w:t>
      </w:r>
      <w:r>
        <w:rPr>
          <w:spacing w:val="-10"/>
        </w:rPr>
        <w:t xml:space="preserve"> </w:t>
      </w:r>
      <w:r>
        <w:t>conception,</w:t>
      </w:r>
      <w:r>
        <w:rPr>
          <w:spacing w:val="-7"/>
        </w:rPr>
        <w:t xml:space="preserve"> </w:t>
      </w:r>
      <w:r>
        <w:t>literal</w:t>
      </w:r>
      <w:r>
        <w:rPr>
          <w:spacing w:val="-8"/>
        </w:rPr>
        <w:t xml:space="preserve"> </w:t>
      </w:r>
      <w:r>
        <w:rPr>
          <w:spacing w:val="-2"/>
        </w:rPr>
        <w:t>meaning</w:t>
      </w:r>
    </w:p>
    <w:p w14:paraId="7E001122" w14:textId="77777777" w:rsidR="009A58DB" w:rsidRDefault="00000000">
      <w:pPr>
        <w:pStyle w:val="BodyText"/>
        <w:spacing w:before="139" w:line="249" w:lineRule="auto"/>
        <w:ind w:right="360"/>
      </w:pPr>
      <w:r>
        <w:t>The</w:t>
      </w:r>
      <w:r>
        <w:rPr>
          <w:spacing w:val="-2"/>
        </w:rPr>
        <w:t xml:space="preserve"> </w:t>
      </w:r>
      <w:r>
        <w:t>just-discussed</w:t>
      </w:r>
      <w:r>
        <w:rPr>
          <w:spacing w:val="-2"/>
        </w:rPr>
        <w:t xml:space="preserve"> </w:t>
      </w:r>
      <w:r>
        <w:t>principles</w:t>
      </w:r>
      <w:r>
        <w:rPr>
          <w:spacing w:val="-2"/>
        </w:rPr>
        <w:t xml:space="preserve"> </w:t>
      </w:r>
      <w:r>
        <w:t>just</w:t>
      </w:r>
      <w:r>
        <w:rPr>
          <w:spacing w:val="-2"/>
        </w:rPr>
        <w:t xml:space="preserve"> </w:t>
      </w:r>
      <w:r>
        <w:t>are</w:t>
      </w:r>
      <w:r>
        <w:rPr>
          <w:spacing w:val="-2"/>
        </w:rPr>
        <w:t xml:space="preserve"> </w:t>
      </w:r>
      <w:r>
        <w:t>crucial.</w:t>
      </w:r>
      <w:r>
        <w:rPr>
          <w:spacing w:val="-2"/>
        </w:rPr>
        <w:t xml:space="preserve"> </w:t>
      </w:r>
      <w:r>
        <w:t>True—they’re</w:t>
      </w:r>
      <w:r>
        <w:rPr>
          <w:spacing w:val="-2"/>
        </w:rPr>
        <w:t xml:space="preserve"> </w:t>
      </w:r>
      <w:r>
        <w:t>obvious</w:t>
      </w:r>
      <w:r>
        <w:rPr>
          <w:spacing w:val="-2"/>
        </w:rPr>
        <w:t xml:space="preserve"> </w:t>
      </w:r>
      <w:r>
        <w:t>and</w:t>
      </w:r>
      <w:r>
        <w:rPr>
          <w:spacing w:val="-2"/>
        </w:rPr>
        <w:t xml:space="preserve"> </w:t>
      </w:r>
      <w:r>
        <w:t>easy to understand. But for some reason some leading analytic philosophers have overlooked them. The results have been catastrophic. Talented thinkers have wasted decades of their lives defending broken ideas.</w:t>
      </w:r>
    </w:p>
    <w:p w14:paraId="7E001123" w14:textId="77777777" w:rsidR="009A58DB" w:rsidRDefault="00000000">
      <w:pPr>
        <w:pStyle w:val="BodyText"/>
        <w:spacing w:before="5" w:line="249" w:lineRule="auto"/>
        <w:ind w:right="360" w:firstLine="360"/>
      </w:pPr>
      <w:r>
        <w:t>To prevent you from suffering the same hideous fate, I’m going to subject you to two more stories that, although little more than boring repetitions of the already boring stories already boringly told, will ensure that you base</w:t>
      </w:r>
      <w:r>
        <w:rPr>
          <w:spacing w:val="40"/>
        </w:rPr>
        <w:t xml:space="preserve"> </w:t>
      </w:r>
      <w:r>
        <w:t>your philosophical career on the right principles. Somebody with a handle-bar mustache who is wearing a bolo tie who introduces himself to you as “Larry.” You obviously know that “Larry” isn’t synonymous with “the guy with the handle-bar mustache who is wearing a bolo tie who is introducing himself to me right now.” (When your spouse—who we’ll call “Pat”—was first introduced to you, did you think that “Pat” was synonymous with “the well-dressed charming person with whom I’m now having a conversation”? No!)What you know is that there is a certain individual—an individual who, it is true, has a handle-bar mustache, is wearing a bolo tie, and is currently introducing himself to you—and “Larry” refers to that individual. Thus, if it is stated in a formal and perspicuous manner, what you know i</w:t>
      </w:r>
      <w:bookmarkStart w:id="243" w:name="_bookmark243"/>
      <w:bookmarkEnd w:id="243"/>
      <w:r>
        <w:t>s</w:t>
      </w:r>
      <w:r>
        <w:rPr>
          <w:color w:val="0562C1"/>
          <w:position w:val="21"/>
          <w:u w:val="single" w:color="0562C1"/>
        </w:rPr>
        <w:t>[148]</w:t>
      </w:r>
      <w:r>
        <w:t>:</w:t>
      </w:r>
    </w:p>
    <w:p w14:paraId="7E00112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125" w14:textId="77777777" w:rsidR="009A58DB" w:rsidRDefault="00000000">
      <w:pPr>
        <w:pStyle w:val="BodyText"/>
        <w:spacing w:before="65" w:line="249" w:lineRule="auto"/>
        <w:ind w:right="368"/>
      </w:pPr>
      <w:r>
        <w:lastRenderedPageBreak/>
        <w:t>(LD) There is some individual x such that x uniquely has the property of being a person with a handle-bar mustache who is wearing a bolo tie who is introducing himself to me at this exact moment; and “Larry” refers to x.</w:t>
      </w:r>
    </w:p>
    <w:p w14:paraId="7E001126" w14:textId="77777777" w:rsidR="009A58DB" w:rsidRDefault="009A58DB">
      <w:pPr>
        <w:pStyle w:val="BodyText"/>
        <w:spacing w:before="18"/>
        <w:ind w:left="0"/>
        <w:jc w:val="left"/>
      </w:pPr>
    </w:p>
    <w:p w14:paraId="7E001127" w14:textId="77777777" w:rsidR="009A58DB" w:rsidRDefault="00000000">
      <w:pPr>
        <w:pStyle w:val="BodyText"/>
        <w:spacing w:line="501" w:lineRule="auto"/>
        <w:ind w:right="794"/>
        <w:jc w:val="left"/>
      </w:pPr>
      <w:r>
        <w:t>Thus,</w:t>
      </w:r>
      <w:r>
        <w:rPr>
          <w:spacing w:val="-3"/>
        </w:rPr>
        <w:t xml:space="preserve"> </w:t>
      </w:r>
      <w:r>
        <w:t>there</w:t>
      </w:r>
      <w:r>
        <w:rPr>
          <w:spacing w:val="-4"/>
        </w:rPr>
        <w:t xml:space="preserve"> </w:t>
      </w:r>
      <w:r>
        <w:t>is</w:t>
      </w:r>
      <w:r>
        <w:rPr>
          <w:spacing w:val="-4"/>
        </w:rPr>
        <w:t xml:space="preserve"> </w:t>
      </w:r>
      <w:r>
        <w:t>some</w:t>
      </w:r>
      <w:r>
        <w:rPr>
          <w:spacing w:val="-4"/>
        </w:rPr>
        <w:t xml:space="preserve"> </w:t>
      </w:r>
      <w:r>
        <w:t>x</w:t>
      </w:r>
      <w:r>
        <w:rPr>
          <w:spacing w:val="-3"/>
        </w:rPr>
        <w:t xml:space="preserve"> </w:t>
      </w:r>
      <w:r>
        <w:t>such</w:t>
      </w:r>
      <w:r>
        <w:rPr>
          <w:spacing w:val="-3"/>
        </w:rPr>
        <w:t xml:space="preserve"> </w:t>
      </w:r>
      <w:r>
        <w:t>that</w:t>
      </w:r>
      <w:r>
        <w:rPr>
          <w:spacing w:val="-4"/>
        </w:rPr>
        <w:t xml:space="preserve"> </w:t>
      </w:r>
      <w:r>
        <w:t>the</w:t>
      </w:r>
      <w:r>
        <w:rPr>
          <w:spacing w:val="-4"/>
        </w:rPr>
        <w:t xml:space="preserve"> </w:t>
      </w:r>
      <w:r>
        <w:t>semantic</w:t>
      </w:r>
      <w:r>
        <w:rPr>
          <w:spacing w:val="-4"/>
        </w:rPr>
        <w:t xml:space="preserve"> </w:t>
      </w:r>
      <w:r>
        <w:t>rule</w:t>
      </w:r>
      <w:r>
        <w:rPr>
          <w:spacing w:val="-4"/>
        </w:rPr>
        <w:t xml:space="preserve"> </w:t>
      </w:r>
      <w:r>
        <w:t>for</w:t>
      </w:r>
      <w:r>
        <w:rPr>
          <w:spacing w:val="-4"/>
        </w:rPr>
        <w:t xml:space="preserve"> </w:t>
      </w:r>
      <w:r>
        <w:t>“Larry”</w:t>
      </w:r>
      <w:r>
        <w:rPr>
          <w:spacing w:val="-4"/>
        </w:rPr>
        <w:t xml:space="preserve"> </w:t>
      </w:r>
      <w:r>
        <w:t>is</w:t>
      </w:r>
      <w:r>
        <w:rPr>
          <w:spacing w:val="-4"/>
        </w:rPr>
        <w:t xml:space="preserve"> </w:t>
      </w:r>
      <w:r>
        <w:t>simply: (LSR) “Larry” picks out x.</w:t>
      </w:r>
    </w:p>
    <w:p w14:paraId="7E001128" w14:textId="77777777" w:rsidR="009A58DB" w:rsidRDefault="00000000">
      <w:pPr>
        <w:pStyle w:val="BodyText"/>
        <w:spacing w:line="501" w:lineRule="auto"/>
        <w:ind w:right="365"/>
        <w:jc w:val="left"/>
      </w:pPr>
      <w:r>
        <w:t>A</w:t>
      </w:r>
      <w:r>
        <w:rPr>
          <w:spacing w:val="-3"/>
        </w:rPr>
        <w:t xml:space="preserve"> </w:t>
      </w:r>
      <w:r>
        <w:t>corollary</w:t>
      </w:r>
      <w:r>
        <w:rPr>
          <w:spacing w:val="-3"/>
        </w:rPr>
        <w:t xml:space="preserve"> </w:t>
      </w:r>
      <w:r>
        <w:t>is</w:t>
      </w:r>
      <w:r>
        <w:rPr>
          <w:spacing w:val="-3"/>
        </w:rPr>
        <w:t xml:space="preserve"> </w:t>
      </w:r>
      <w:r>
        <w:t>that</w:t>
      </w:r>
      <w:r>
        <w:rPr>
          <w:spacing w:val="-3"/>
        </w:rPr>
        <w:t xml:space="preserve"> </w:t>
      </w:r>
      <w:r>
        <w:t>there</w:t>
      </w:r>
      <w:r>
        <w:rPr>
          <w:spacing w:val="-4"/>
        </w:rPr>
        <w:t xml:space="preserve"> </w:t>
      </w:r>
      <w:r>
        <w:t>is</w:t>
      </w:r>
      <w:r>
        <w:rPr>
          <w:spacing w:val="-3"/>
        </w:rPr>
        <w:t xml:space="preserve"> </w:t>
      </w:r>
      <w:r>
        <w:t>some</w:t>
      </w:r>
      <w:r>
        <w:rPr>
          <w:spacing w:val="-3"/>
        </w:rPr>
        <w:t xml:space="preserve"> </w:t>
      </w:r>
      <w:r>
        <w:t>x</w:t>
      </w:r>
      <w:r>
        <w:rPr>
          <w:spacing w:val="-3"/>
        </w:rPr>
        <w:t xml:space="preserve"> </w:t>
      </w:r>
      <w:r>
        <w:t>such</w:t>
      </w:r>
      <w:r>
        <w:rPr>
          <w:spacing w:val="-3"/>
        </w:rPr>
        <w:t xml:space="preserve"> </w:t>
      </w:r>
      <w:r>
        <w:t>that,</w:t>
      </w:r>
      <w:r>
        <w:rPr>
          <w:spacing w:val="-3"/>
        </w:rPr>
        <w:t xml:space="preserve"> </w:t>
      </w:r>
      <w:r>
        <w:t>at</w:t>
      </w:r>
      <w:r>
        <w:rPr>
          <w:spacing w:val="-3"/>
        </w:rPr>
        <w:t xml:space="preserve"> </w:t>
      </w:r>
      <w:r>
        <w:t>the</w:t>
      </w:r>
      <w:r>
        <w:rPr>
          <w:spacing w:val="-3"/>
        </w:rPr>
        <w:t xml:space="preserve"> </w:t>
      </w:r>
      <w:r>
        <w:t>level</w:t>
      </w:r>
      <w:r>
        <w:rPr>
          <w:spacing w:val="-4"/>
        </w:rPr>
        <w:t xml:space="preserve"> </w:t>
      </w:r>
      <w:r>
        <w:t>of</w:t>
      </w:r>
      <w:r>
        <w:rPr>
          <w:spacing w:val="-3"/>
        </w:rPr>
        <w:t xml:space="preserve"> </w:t>
      </w:r>
      <w:r>
        <w:t>literal</w:t>
      </w:r>
      <w:r>
        <w:rPr>
          <w:spacing w:val="-3"/>
        </w:rPr>
        <w:t xml:space="preserve"> </w:t>
      </w:r>
      <w:r>
        <w:t>meaning: (LT) “Larry is a talented astrologer”</w:t>
      </w:r>
    </w:p>
    <w:p w14:paraId="7E001129" w14:textId="77777777" w:rsidR="009A58DB" w:rsidRDefault="00000000">
      <w:pPr>
        <w:pStyle w:val="BodyText"/>
        <w:spacing w:line="249" w:lineRule="auto"/>
        <w:ind w:right="361"/>
      </w:pPr>
      <w:r>
        <w:t>is true just in case x is a talented astrologer. Thus, for some x (such that x is Larry), LT has for its meaning the threadbare proposition:</w:t>
      </w:r>
    </w:p>
    <w:p w14:paraId="7E00112A" w14:textId="77777777" w:rsidR="009A58DB" w:rsidRDefault="009A58DB">
      <w:pPr>
        <w:pStyle w:val="BodyText"/>
        <w:spacing w:before="14"/>
        <w:ind w:left="0"/>
        <w:jc w:val="left"/>
      </w:pPr>
    </w:p>
    <w:p w14:paraId="7E00112B" w14:textId="77777777" w:rsidR="009A58DB" w:rsidRDefault="00000000">
      <w:pPr>
        <w:pStyle w:val="BodyText"/>
        <w:jc w:val="left"/>
      </w:pPr>
      <w:r>
        <w:t>(LX)</w:t>
      </w:r>
      <w:r>
        <w:rPr>
          <w:spacing w:val="-3"/>
        </w:rPr>
        <w:t xml:space="preserve"> </w:t>
      </w:r>
      <w:r>
        <w:t>x</w:t>
      </w:r>
      <w:r>
        <w:rPr>
          <w:spacing w:val="-2"/>
        </w:rPr>
        <w:t xml:space="preserve"> </w:t>
      </w:r>
      <w:r>
        <w:t>is</w:t>
      </w:r>
      <w:r>
        <w:rPr>
          <w:spacing w:val="-3"/>
        </w:rPr>
        <w:t xml:space="preserve"> </w:t>
      </w:r>
      <w:r>
        <w:t>a</w:t>
      </w:r>
      <w:r>
        <w:rPr>
          <w:spacing w:val="-3"/>
        </w:rPr>
        <w:t xml:space="preserve"> </w:t>
      </w:r>
      <w:r>
        <w:t>talented</w:t>
      </w:r>
      <w:r>
        <w:rPr>
          <w:spacing w:val="-2"/>
        </w:rPr>
        <w:t xml:space="preserve"> astrologer.</w:t>
      </w:r>
    </w:p>
    <w:p w14:paraId="7E00112C" w14:textId="77777777" w:rsidR="009A58DB" w:rsidRDefault="009A58DB">
      <w:pPr>
        <w:pStyle w:val="BodyText"/>
        <w:spacing w:before="30"/>
        <w:ind w:left="0"/>
        <w:jc w:val="left"/>
      </w:pPr>
    </w:p>
    <w:p w14:paraId="7E00112D" w14:textId="77777777" w:rsidR="009A58DB" w:rsidRDefault="00000000">
      <w:pPr>
        <w:pStyle w:val="BodyText"/>
        <w:spacing w:line="249" w:lineRule="auto"/>
        <w:ind w:right="360" w:firstLine="360"/>
        <w:jc w:val="left"/>
      </w:pPr>
      <w:r>
        <w:t>But</w:t>
      </w:r>
      <w:r>
        <w:rPr>
          <w:spacing w:val="34"/>
        </w:rPr>
        <w:t xml:space="preserve"> </w:t>
      </w:r>
      <w:r>
        <w:t>given</w:t>
      </w:r>
      <w:r>
        <w:rPr>
          <w:spacing w:val="34"/>
        </w:rPr>
        <w:t xml:space="preserve"> </w:t>
      </w:r>
      <w:r>
        <w:t>the</w:t>
      </w:r>
      <w:r>
        <w:rPr>
          <w:spacing w:val="34"/>
        </w:rPr>
        <w:t xml:space="preserve"> </w:t>
      </w:r>
      <w:r>
        <w:t>circumstances</w:t>
      </w:r>
      <w:r>
        <w:rPr>
          <w:spacing w:val="34"/>
        </w:rPr>
        <w:t xml:space="preserve"> </w:t>
      </w:r>
      <w:r>
        <w:t>under</w:t>
      </w:r>
      <w:r>
        <w:rPr>
          <w:spacing w:val="34"/>
        </w:rPr>
        <w:t xml:space="preserve"> </w:t>
      </w:r>
      <w:r>
        <w:t>which</w:t>
      </w:r>
      <w:r>
        <w:rPr>
          <w:spacing w:val="34"/>
        </w:rPr>
        <w:t xml:space="preserve"> </w:t>
      </w:r>
      <w:r>
        <w:t>you</w:t>
      </w:r>
      <w:r>
        <w:rPr>
          <w:spacing w:val="34"/>
        </w:rPr>
        <w:t xml:space="preserve"> </w:t>
      </w:r>
      <w:r>
        <w:rPr>
          <w:i/>
        </w:rPr>
        <w:t>learned</w:t>
      </w:r>
      <w:r>
        <w:rPr>
          <w:i/>
          <w:spacing w:val="40"/>
        </w:rPr>
        <w:t xml:space="preserve"> </w:t>
      </w:r>
      <w:r>
        <w:t>the</w:t>
      </w:r>
      <w:r>
        <w:rPr>
          <w:spacing w:val="40"/>
        </w:rPr>
        <w:t xml:space="preserve"> </w:t>
      </w:r>
      <w:r>
        <w:t>semantic</w:t>
      </w:r>
      <w:r>
        <w:rPr>
          <w:spacing w:val="40"/>
        </w:rPr>
        <w:t xml:space="preserve"> </w:t>
      </w:r>
      <w:r>
        <w:t xml:space="preserve">rule for “Larry,” LT will </w:t>
      </w:r>
      <w:r>
        <w:rPr>
          <w:i/>
        </w:rPr>
        <w:t xml:space="preserve">convey </w:t>
      </w:r>
      <w:r>
        <w:t>the descriptively much richer proposition:</w:t>
      </w:r>
    </w:p>
    <w:p w14:paraId="7E00112E" w14:textId="77777777" w:rsidR="009A58DB" w:rsidRDefault="009A58DB">
      <w:pPr>
        <w:pStyle w:val="BodyText"/>
        <w:spacing w:before="17"/>
        <w:ind w:left="0"/>
        <w:jc w:val="left"/>
      </w:pPr>
    </w:p>
    <w:p w14:paraId="7E00112F" w14:textId="77777777" w:rsidR="009A58DB" w:rsidRDefault="00000000">
      <w:pPr>
        <w:pStyle w:val="BodyText"/>
        <w:spacing w:line="292" w:lineRule="auto"/>
        <w:ind w:right="364"/>
      </w:pPr>
      <w:r>
        <w:t>(LT</w:t>
      </w:r>
      <w:r>
        <w:rPr>
          <w:vertAlign w:val="subscript"/>
        </w:rPr>
        <w:t>2</w:t>
      </w:r>
      <w:r>
        <w:t>) There is currently somebody in front of me who is wearing a bolo tie and has a handle-bar mustache [etc.], and that person is a talented astrologer.</w:t>
      </w:r>
    </w:p>
    <w:p w14:paraId="7E001130" w14:textId="77777777" w:rsidR="009A58DB" w:rsidRDefault="00000000">
      <w:pPr>
        <w:pStyle w:val="BodyText"/>
        <w:spacing w:before="299" w:line="249" w:lineRule="auto"/>
        <w:ind w:right="363"/>
      </w:pPr>
      <w:r>
        <w:t>So what LT will have one proposition (LX) for its literal meaning, but will non-literally suggest (or, as philosophers of language say, “implicate”) some richer proposition. This second proposition is (similar to) the one meant by the sentence:</w:t>
      </w:r>
    </w:p>
    <w:p w14:paraId="7E001131" w14:textId="77777777" w:rsidR="009A58DB" w:rsidRDefault="009A58DB">
      <w:pPr>
        <w:pStyle w:val="BodyText"/>
        <w:spacing w:before="19"/>
        <w:ind w:left="0"/>
        <w:jc w:val="left"/>
      </w:pPr>
    </w:p>
    <w:p w14:paraId="7E001132" w14:textId="77777777" w:rsidR="009A58DB" w:rsidRDefault="00000000">
      <w:pPr>
        <w:pStyle w:val="BodyText"/>
        <w:spacing w:before="1" w:line="271" w:lineRule="auto"/>
        <w:ind w:right="363"/>
      </w:pPr>
      <w:r>
        <w:t>(LT</w:t>
      </w:r>
      <w:r>
        <w:rPr>
          <w:vertAlign w:val="subscript"/>
        </w:rPr>
        <w:t>3</w:t>
      </w:r>
      <w:r>
        <w:t xml:space="preserve">) “The person currently standing right in front of me who is wearing a bolo tie and has a handle-bar mustache [etc.], and that person is a talented </w:t>
      </w:r>
      <w:r>
        <w:rPr>
          <w:spacing w:val="-2"/>
        </w:rPr>
        <w:t>astrologer.”</w:t>
      </w:r>
    </w:p>
    <w:p w14:paraId="7E001133" w14:textId="77777777" w:rsidR="009A58DB" w:rsidRDefault="00000000">
      <w:pPr>
        <w:pStyle w:val="Heading1"/>
        <w:numPr>
          <w:ilvl w:val="1"/>
          <w:numId w:val="158"/>
        </w:numPr>
        <w:tabs>
          <w:tab w:val="left" w:pos="1060"/>
        </w:tabs>
        <w:spacing w:before="158" w:line="244" w:lineRule="auto"/>
        <w:ind w:left="360" w:right="361" w:firstLine="0"/>
      </w:pPr>
      <w:r>
        <w:t>Our</w:t>
      </w:r>
      <w:r>
        <w:rPr>
          <w:spacing w:val="40"/>
        </w:rPr>
        <w:t xml:space="preserve"> </w:t>
      </w:r>
      <w:r>
        <w:t>ability</w:t>
      </w:r>
      <w:r>
        <w:rPr>
          <w:spacing w:val="40"/>
        </w:rPr>
        <w:t xml:space="preserve"> </w:t>
      </w:r>
      <w:r>
        <w:t>to</w:t>
      </w:r>
      <w:r>
        <w:rPr>
          <w:spacing w:val="40"/>
        </w:rPr>
        <w:t xml:space="preserve"> </w:t>
      </w:r>
      <w:r>
        <w:t>distinguish</w:t>
      </w:r>
      <w:r>
        <w:rPr>
          <w:spacing w:val="40"/>
        </w:rPr>
        <w:t xml:space="preserve"> </w:t>
      </w:r>
      <w:r>
        <w:t>literally</w:t>
      </w:r>
      <w:r>
        <w:rPr>
          <w:spacing w:val="40"/>
        </w:rPr>
        <w:t xml:space="preserve"> </w:t>
      </w:r>
      <w:r>
        <w:t>meant</w:t>
      </w:r>
      <w:r>
        <w:rPr>
          <w:spacing w:val="40"/>
        </w:rPr>
        <w:t xml:space="preserve"> </w:t>
      </w:r>
      <w:r>
        <w:t>from presemantically implicated content</w:t>
      </w:r>
    </w:p>
    <w:p w14:paraId="7E001134" w14:textId="77777777" w:rsidR="009A58DB" w:rsidRDefault="009A58DB">
      <w:pPr>
        <w:pStyle w:val="Heading1"/>
        <w:spacing w:line="244" w:lineRule="auto"/>
        <w:sectPr w:rsidR="009A58DB">
          <w:pgSz w:w="12240" w:h="15840"/>
          <w:pgMar w:top="1740" w:right="1080" w:bottom="280" w:left="1080" w:header="720" w:footer="720" w:gutter="0"/>
          <w:cols w:space="720"/>
        </w:sectPr>
      </w:pPr>
    </w:p>
    <w:p w14:paraId="7E001135" w14:textId="77777777" w:rsidR="009A58DB" w:rsidRDefault="00000000">
      <w:pPr>
        <w:pStyle w:val="BodyText"/>
        <w:spacing w:before="65" w:line="249" w:lineRule="auto"/>
        <w:ind w:right="367"/>
      </w:pPr>
      <w:r>
        <w:lastRenderedPageBreak/>
        <w:t>The following extension of our Larry-story will ram these ideas home and will also help us move onto a new and important point.</w:t>
      </w:r>
    </w:p>
    <w:p w14:paraId="7E001136" w14:textId="77777777" w:rsidR="009A58DB" w:rsidRDefault="00000000">
      <w:pPr>
        <w:pStyle w:val="BodyText"/>
        <w:spacing w:before="2" w:line="249" w:lineRule="auto"/>
        <w:ind w:right="359" w:firstLine="360"/>
      </w:pPr>
      <w:r>
        <w:t>Brown is a friend of yours who knows Larry, and Brown is at the party where you meet Larry. While you are talking with Larry, Brown utters LT to you. For reasons already discussed, there is some x (namely, Larry) such that Brown’s utterance will have LX for its literal meaning, but will non-literally impart the richer proposition (LT</w:t>
      </w:r>
      <w:r>
        <w:rPr>
          <w:vertAlign w:val="subscript"/>
        </w:rPr>
        <w:t>2</w:t>
      </w:r>
      <w:r>
        <w:t>).</w:t>
      </w:r>
    </w:p>
    <w:p w14:paraId="7E001137" w14:textId="77777777" w:rsidR="009A58DB" w:rsidRDefault="00000000">
      <w:pPr>
        <w:pStyle w:val="BodyText"/>
        <w:spacing w:before="66" w:line="271" w:lineRule="auto"/>
        <w:ind w:right="360" w:firstLine="360"/>
      </w:pPr>
      <w:r>
        <w:t>But—and this is the just-advertised new (and important) point—you know that LT isn’t synonymous with (LT</w:t>
      </w:r>
      <w:r>
        <w:rPr>
          <w:vertAlign w:val="subscript"/>
        </w:rPr>
        <w:t>2</w:t>
      </w:r>
      <w:r>
        <w:t>) or with any other such sentence. You know</w:t>
      </w:r>
      <w:r>
        <w:rPr>
          <w:spacing w:val="24"/>
        </w:rPr>
        <w:t xml:space="preserve"> </w:t>
      </w:r>
      <w:r>
        <w:t>(at</w:t>
      </w:r>
      <w:r>
        <w:rPr>
          <w:spacing w:val="24"/>
        </w:rPr>
        <w:t xml:space="preserve"> </w:t>
      </w:r>
      <w:r>
        <w:t>some</w:t>
      </w:r>
      <w:r>
        <w:rPr>
          <w:spacing w:val="24"/>
        </w:rPr>
        <w:t xml:space="preserve"> </w:t>
      </w:r>
      <w:r>
        <w:t>level)</w:t>
      </w:r>
      <w:r>
        <w:rPr>
          <w:spacing w:val="24"/>
        </w:rPr>
        <w:t xml:space="preserve"> </w:t>
      </w:r>
      <w:r>
        <w:t>that</w:t>
      </w:r>
      <w:r>
        <w:rPr>
          <w:spacing w:val="24"/>
        </w:rPr>
        <w:t xml:space="preserve"> </w:t>
      </w:r>
      <w:r>
        <w:t>nothing</w:t>
      </w:r>
      <w:r>
        <w:rPr>
          <w:spacing w:val="24"/>
        </w:rPr>
        <w:t xml:space="preserve"> </w:t>
      </w:r>
      <w:r>
        <w:t>having</w:t>
      </w:r>
      <w:r>
        <w:rPr>
          <w:spacing w:val="24"/>
        </w:rPr>
        <w:t xml:space="preserve"> </w:t>
      </w:r>
      <w:r>
        <w:t>to</w:t>
      </w:r>
      <w:r>
        <w:rPr>
          <w:spacing w:val="24"/>
        </w:rPr>
        <w:t xml:space="preserve"> </w:t>
      </w:r>
      <w:r>
        <w:t>do</w:t>
      </w:r>
      <w:r>
        <w:rPr>
          <w:spacing w:val="24"/>
        </w:rPr>
        <w:t xml:space="preserve"> </w:t>
      </w:r>
      <w:r>
        <w:t>with</w:t>
      </w:r>
      <w:r>
        <w:rPr>
          <w:spacing w:val="24"/>
        </w:rPr>
        <w:t xml:space="preserve"> </w:t>
      </w:r>
      <w:r>
        <w:t>bolo</w:t>
      </w:r>
      <w:r>
        <w:rPr>
          <w:spacing w:val="24"/>
        </w:rPr>
        <w:t xml:space="preserve"> </w:t>
      </w:r>
      <w:r>
        <w:t>ties</w:t>
      </w:r>
      <w:r>
        <w:rPr>
          <w:spacing w:val="24"/>
        </w:rPr>
        <w:t xml:space="preserve"> </w:t>
      </w:r>
      <w:r>
        <w:t>or</w:t>
      </w:r>
      <w:r>
        <w:rPr>
          <w:spacing w:val="24"/>
        </w:rPr>
        <w:t xml:space="preserve"> </w:t>
      </w:r>
      <w:r>
        <w:t>handle-bar</w:t>
      </w:r>
    </w:p>
    <w:p w14:paraId="7E001138" w14:textId="77777777" w:rsidR="009A58DB" w:rsidRDefault="00000000">
      <w:pPr>
        <w:pStyle w:val="BodyText"/>
        <w:spacing w:line="316" w:lineRule="exact"/>
      </w:pPr>
      <w:r>
        <w:t>mustaches</w:t>
      </w:r>
      <w:r>
        <w:rPr>
          <w:spacing w:val="-6"/>
        </w:rPr>
        <w:t xml:space="preserve"> </w:t>
      </w:r>
      <w:r>
        <w:t>is</w:t>
      </w:r>
      <w:r>
        <w:rPr>
          <w:spacing w:val="-3"/>
        </w:rPr>
        <w:t xml:space="preserve"> </w:t>
      </w:r>
      <w:r>
        <w:t>any</w:t>
      </w:r>
      <w:r>
        <w:rPr>
          <w:spacing w:val="-2"/>
        </w:rPr>
        <w:t xml:space="preserve"> </w:t>
      </w:r>
      <w:r>
        <w:t>part</w:t>
      </w:r>
      <w:r>
        <w:rPr>
          <w:spacing w:val="-4"/>
        </w:rPr>
        <w:t xml:space="preserve"> </w:t>
      </w:r>
      <w:r>
        <w:t>of</w:t>
      </w:r>
      <w:r>
        <w:rPr>
          <w:spacing w:val="-3"/>
        </w:rPr>
        <w:t xml:space="preserve"> </w:t>
      </w:r>
      <w:r>
        <w:t>what</w:t>
      </w:r>
      <w:r>
        <w:rPr>
          <w:spacing w:val="-3"/>
        </w:rPr>
        <w:t xml:space="preserve"> </w:t>
      </w:r>
      <w:r>
        <w:t>is</w:t>
      </w:r>
      <w:r>
        <w:rPr>
          <w:spacing w:val="-4"/>
        </w:rPr>
        <w:t xml:space="preserve"> </w:t>
      </w:r>
      <w:r>
        <w:rPr>
          <w:i/>
        </w:rPr>
        <w:t>literally</w:t>
      </w:r>
      <w:r>
        <w:rPr>
          <w:i/>
          <w:spacing w:val="-3"/>
        </w:rPr>
        <w:t xml:space="preserve"> </w:t>
      </w:r>
      <w:r>
        <w:t>meant</w:t>
      </w:r>
      <w:r>
        <w:rPr>
          <w:spacing w:val="-3"/>
        </w:rPr>
        <w:t xml:space="preserve"> </w:t>
      </w:r>
      <w:r>
        <w:t>by</w:t>
      </w:r>
      <w:r>
        <w:rPr>
          <w:spacing w:val="-2"/>
        </w:rPr>
        <w:t xml:space="preserve"> </w:t>
      </w:r>
      <w:r>
        <w:rPr>
          <w:spacing w:val="-5"/>
        </w:rPr>
        <w:t>LT.</w:t>
      </w:r>
    </w:p>
    <w:p w14:paraId="7E001139" w14:textId="77777777" w:rsidR="009A58DB" w:rsidRDefault="00000000">
      <w:pPr>
        <w:pStyle w:val="BodyText"/>
        <w:spacing w:before="15" w:line="249" w:lineRule="auto"/>
        <w:ind w:right="360" w:firstLine="360"/>
      </w:pPr>
      <w:r>
        <w:t>I</w:t>
      </w:r>
      <w:r>
        <w:rPr>
          <w:spacing w:val="-4"/>
        </w:rPr>
        <w:t xml:space="preserve"> </w:t>
      </w:r>
      <w:r>
        <w:t>don’t</w:t>
      </w:r>
      <w:r>
        <w:rPr>
          <w:spacing w:val="-4"/>
        </w:rPr>
        <w:t xml:space="preserve"> </w:t>
      </w:r>
      <w:r>
        <w:t>mean</w:t>
      </w:r>
      <w:r>
        <w:rPr>
          <w:spacing w:val="-3"/>
        </w:rPr>
        <w:t xml:space="preserve"> </w:t>
      </w:r>
      <w:r>
        <w:t>that,</w:t>
      </w:r>
      <w:r>
        <w:rPr>
          <w:spacing w:val="-3"/>
        </w:rPr>
        <w:t xml:space="preserve"> </w:t>
      </w:r>
      <w:r>
        <w:rPr>
          <w:i/>
        </w:rPr>
        <w:t>if</w:t>
      </w:r>
      <w:r>
        <w:rPr>
          <w:i/>
          <w:spacing w:val="-4"/>
        </w:rPr>
        <w:t xml:space="preserve"> </w:t>
      </w:r>
      <w:r>
        <w:rPr>
          <w:i/>
        </w:rPr>
        <w:t>you</w:t>
      </w:r>
      <w:r>
        <w:rPr>
          <w:i/>
          <w:spacing w:val="-3"/>
        </w:rPr>
        <w:t xml:space="preserve"> </w:t>
      </w:r>
      <w:r>
        <w:rPr>
          <w:i/>
        </w:rPr>
        <w:t>have</w:t>
      </w:r>
      <w:r>
        <w:rPr>
          <w:i/>
          <w:spacing w:val="-4"/>
        </w:rPr>
        <w:t xml:space="preserve"> </w:t>
      </w:r>
      <w:r>
        <w:t>some</w:t>
      </w:r>
      <w:r>
        <w:rPr>
          <w:spacing w:val="-4"/>
        </w:rPr>
        <w:t xml:space="preserve"> </w:t>
      </w:r>
      <w:r>
        <w:t>training</w:t>
      </w:r>
      <w:r>
        <w:rPr>
          <w:spacing w:val="-3"/>
        </w:rPr>
        <w:t xml:space="preserve"> </w:t>
      </w:r>
      <w:r>
        <w:t>in</w:t>
      </w:r>
      <w:r>
        <w:rPr>
          <w:spacing w:val="-3"/>
        </w:rPr>
        <w:t xml:space="preserve"> </w:t>
      </w:r>
      <w:r>
        <w:t>semantics,</w:t>
      </w:r>
      <w:r>
        <w:rPr>
          <w:spacing w:val="-3"/>
        </w:rPr>
        <w:t xml:space="preserve"> </w:t>
      </w:r>
      <w:r>
        <w:t>you’ll</w:t>
      </w:r>
      <w:r>
        <w:rPr>
          <w:spacing w:val="-4"/>
        </w:rPr>
        <w:t xml:space="preserve"> </w:t>
      </w:r>
      <w:r>
        <w:t>know</w:t>
      </w:r>
      <w:r>
        <w:rPr>
          <w:spacing w:val="-4"/>
        </w:rPr>
        <w:t xml:space="preserve"> </w:t>
      </w:r>
      <w:r>
        <w:t>this. I mean that you’ll know it merely by virtue of being a competent and cognitively normal speaker of English—that, merely by virtue of satisfying these minimal conditions, you know (or would readily come to know, if you thought about it) that what is literally meant by Joe’s utterance doesn’t</w:t>
      </w:r>
      <w:r>
        <w:rPr>
          <w:spacing w:val="40"/>
        </w:rPr>
        <w:t xml:space="preserve"> </w:t>
      </w:r>
      <w:r>
        <w:t>encode any information about anybody’s wearing a bolo tie or having a handle-bar mustache.</w:t>
      </w:r>
    </w:p>
    <w:p w14:paraId="7E00113A" w14:textId="77777777" w:rsidR="009A58DB" w:rsidRDefault="00000000">
      <w:pPr>
        <w:pStyle w:val="BodyText"/>
        <w:spacing w:before="9"/>
        <w:ind w:left="720"/>
      </w:pPr>
      <w:r>
        <w:t>Here’s</w:t>
      </w:r>
      <w:r>
        <w:rPr>
          <w:spacing w:val="-4"/>
        </w:rPr>
        <w:t xml:space="preserve"> </w:t>
      </w:r>
      <w:r>
        <w:t>why</w:t>
      </w:r>
      <w:r>
        <w:rPr>
          <w:spacing w:val="-2"/>
        </w:rPr>
        <w:t xml:space="preserve"> </w:t>
      </w:r>
      <w:r>
        <w:t>I</w:t>
      </w:r>
      <w:r>
        <w:rPr>
          <w:spacing w:val="-3"/>
        </w:rPr>
        <w:t xml:space="preserve"> </w:t>
      </w:r>
      <w:r>
        <w:t>say</w:t>
      </w:r>
      <w:r>
        <w:rPr>
          <w:spacing w:val="-2"/>
        </w:rPr>
        <w:t xml:space="preserve"> </w:t>
      </w:r>
      <w:r>
        <w:t>this.</w:t>
      </w:r>
      <w:r>
        <w:rPr>
          <w:spacing w:val="-2"/>
        </w:rPr>
        <w:t xml:space="preserve"> </w:t>
      </w:r>
      <w:r>
        <w:t>If</w:t>
      </w:r>
      <w:r>
        <w:rPr>
          <w:spacing w:val="-3"/>
        </w:rPr>
        <w:t xml:space="preserve"> </w:t>
      </w:r>
      <w:r>
        <w:t>asked</w:t>
      </w:r>
      <w:r>
        <w:rPr>
          <w:spacing w:val="-2"/>
        </w:rPr>
        <w:t xml:space="preserve"> whether:</w:t>
      </w:r>
    </w:p>
    <w:p w14:paraId="7E00113B" w14:textId="77777777" w:rsidR="009A58DB" w:rsidRDefault="009A58DB">
      <w:pPr>
        <w:pStyle w:val="BodyText"/>
        <w:spacing w:before="30"/>
        <w:ind w:left="0"/>
        <w:jc w:val="left"/>
      </w:pPr>
    </w:p>
    <w:p w14:paraId="7E00113C" w14:textId="77777777" w:rsidR="009A58DB" w:rsidRDefault="00000000">
      <w:pPr>
        <w:pStyle w:val="BodyText"/>
      </w:pPr>
      <w:r>
        <w:t>(LSC)</w:t>
      </w:r>
      <w:r>
        <w:rPr>
          <w:spacing w:val="-6"/>
        </w:rPr>
        <w:t xml:space="preserve"> </w:t>
      </w:r>
      <w:r>
        <w:t>“Larry</w:t>
      </w:r>
      <w:r>
        <w:rPr>
          <w:spacing w:val="-2"/>
        </w:rPr>
        <w:t xml:space="preserve"> </w:t>
      </w:r>
      <w:r>
        <w:t>does</w:t>
      </w:r>
      <w:r>
        <w:rPr>
          <w:spacing w:val="-3"/>
        </w:rPr>
        <w:t xml:space="preserve"> </w:t>
      </w:r>
      <w:r>
        <w:t>not</w:t>
      </w:r>
      <w:r>
        <w:rPr>
          <w:spacing w:val="-4"/>
        </w:rPr>
        <w:t xml:space="preserve"> </w:t>
      </w:r>
      <w:r>
        <w:t>have</w:t>
      </w:r>
      <w:r>
        <w:rPr>
          <w:spacing w:val="-3"/>
        </w:rPr>
        <w:t xml:space="preserve"> </w:t>
      </w:r>
      <w:r>
        <w:t>a</w:t>
      </w:r>
      <w:r>
        <w:rPr>
          <w:spacing w:val="-3"/>
        </w:rPr>
        <w:t xml:space="preserve"> </w:t>
      </w:r>
      <w:r>
        <w:t>handle-bar</w:t>
      </w:r>
      <w:r>
        <w:rPr>
          <w:spacing w:val="-3"/>
        </w:rPr>
        <w:t xml:space="preserve"> </w:t>
      </w:r>
      <w:r>
        <w:rPr>
          <w:spacing w:val="-2"/>
        </w:rPr>
        <w:t>mustache”</w:t>
      </w:r>
    </w:p>
    <w:p w14:paraId="7E00113D" w14:textId="77777777" w:rsidR="009A58DB" w:rsidRDefault="009A58DB">
      <w:pPr>
        <w:pStyle w:val="BodyText"/>
        <w:spacing w:before="30"/>
        <w:ind w:left="0"/>
        <w:jc w:val="left"/>
      </w:pPr>
    </w:p>
    <w:p w14:paraId="7E00113E" w14:textId="77777777" w:rsidR="009A58DB" w:rsidRDefault="00000000">
      <w:pPr>
        <w:pStyle w:val="BodyText"/>
        <w:spacing w:line="249" w:lineRule="auto"/>
        <w:ind w:right="363"/>
      </w:pPr>
      <w:r>
        <w:t xml:space="preserve">is self-contradictory, like “squares don’t have four sides,” as opposed to merely false, like “Barack Obama isn’t the president in 2009,” you’d know right away that it’s merely false. You’d know that, although Larry happens to have such a mustache, the idea of his not having one makes perfectly good sense. And given that you speak English, you know that LSC, though false, </w:t>
      </w:r>
      <w:r>
        <w:rPr>
          <w:i/>
        </w:rPr>
        <w:t xml:space="preserve">could </w:t>
      </w:r>
      <w:r>
        <w:t>be true, unlike “squares don’t have four sides.”</w:t>
      </w:r>
    </w:p>
    <w:p w14:paraId="7E00113F" w14:textId="77777777" w:rsidR="009A58DB" w:rsidRDefault="00000000">
      <w:pPr>
        <w:pStyle w:val="BodyText"/>
        <w:spacing w:before="7" w:line="249" w:lineRule="auto"/>
        <w:ind w:right="361" w:firstLine="360"/>
      </w:pPr>
      <w:r>
        <w:t xml:space="preserve">But if “Larry” were synonymous with “the person who uniquely has the property of being somebody in front of me right now who is wearing a bolo tie and has a handle-bar mustache,” then LSC </w:t>
      </w:r>
      <w:r>
        <w:rPr>
          <w:i/>
        </w:rPr>
        <w:t xml:space="preserve">would </w:t>
      </w:r>
      <w:r>
        <w:t>be self-contradictory, since it would then be synonymous with the definitionally false sentence:</w:t>
      </w:r>
    </w:p>
    <w:p w14:paraId="7E001140" w14:textId="77777777" w:rsidR="009A58DB" w:rsidRDefault="009A58DB">
      <w:pPr>
        <w:pStyle w:val="BodyText"/>
        <w:spacing w:before="20"/>
        <w:ind w:left="0"/>
        <w:jc w:val="left"/>
      </w:pPr>
    </w:p>
    <w:p w14:paraId="7E001141" w14:textId="77777777" w:rsidR="009A58DB" w:rsidRDefault="00000000">
      <w:pPr>
        <w:pStyle w:val="BodyText"/>
        <w:spacing w:line="292" w:lineRule="auto"/>
        <w:ind w:right="364"/>
      </w:pPr>
      <w:r>
        <w:t>(LSC</w:t>
      </w:r>
      <w:r>
        <w:rPr>
          <w:vertAlign w:val="subscript"/>
        </w:rPr>
        <w:t>2</w:t>
      </w:r>
      <w:r>
        <w:t>)’the person in front of me right now who is wearing a bolo tie and has a handle-bar mustache does not have a handle-bar mustache.”</w:t>
      </w:r>
    </w:p>
    <w:p w14:paraId="7E001142"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143" w14:textId="77777777" w:rsidR="009A58DB" w:rsidRDefault="00000000">
      <w:pPr>
        <w:pStyle w:val="BodyText"/>
        <w:spacing w:before="65" w:line="249" w:lineRule="auto"/>
        <w:ind w:right="360" w:firstLine="360"/>
      </w:pPr>
      <w:r>
        <w:lastRenderedPageBreak/>
        <w:t>If LSC were definitionally false, you’d know it. You’d know it for the same reason that you know that “squares do not have four sides” is self-contradictory and, for that reason, doesn’t have a meaningful role in discourse. You’d know it because your knowing it is constitutive of your ability to speak English—of your ability to use English expressions in accordance with the appropriate rules.</w:t>
      </w:r>
    </w:p>
    <w:p w14:paraId="7E001144" w14:textId="77777777" w:rsidR="009A58DB" w:rsidRDefault="00000000">
      <w:pPr>
        <w:pStyle w:val="BodyText"/>
        <w:spacing w:before="7" w:line="249" w:lineRule="auto"/>
        <w:ind w:right="359" w:firstLine="360"/>
      </w:pPr>
      <w:r>
        <w:t xml:space="preserve">You can’t necessarily articulate this knowledge. But that means little. Given how you speak and what judgments you make, it’s clear that you are guided by it and, therefore, that it’s no less known to you than your own </w:t>
      </w:r>
      <w:r>
        <w:rPr>
          <w:spacing w:val="-2"/>
        </w:rPr>
        <w:t>name.</w:t>
      </w:r>
    </w:p>
    <w:p w14:paraId="7E001145" w14:textId="77777777" w:rsidR="009A58DB" w:rsidRDefault="00000000">
      <w:pPr>
        <w:pStyle w:val="Heading1"/>
        <w:numPr>
          <w:ilvl w:val="1"/>
          <w:numId w:val="158"/>
        </w:numPr>
        <w:tabs>
          <w:tab w:val="left" w:pos="990"/>
        </w:tabs>
        <w:spacing w:before="193"/>
        <w:ind w:left="990" w:hanging="630"/>
      </w:pPr>
      <w:r>
        <w:t>No</w:t>
      </w:r>
      <w:r>
        <w:rPr>
          <w:spacing w:val="-7"/>
        </w:rPr>
        <w:t xml:space="preserve"> </w:t>
      </w:r>
      <w:r>
        <w:t>non-descriptive</w:t>
      </w:r>
      <w:r>
        <w:rPr>
          <w:spacing w:val="-7"/>
        </w:rPr>
        <w:t xml:space="preserve"> </w:t>
      </w:r>
      <w:r>
        <w:rPr>
          <w:spacing w:val="-2"/>
        </w:rPr>
        <w:t>knowledge</w:t>
      </w:r>
    </w:p>
    <w:p w14:paraId="7E001146" w14:textId="77777777" w:rsidR="009A58DB" w:rsidRDefault="00000000">
      <w:pPr>
        <w:pStyle w:val="BodyText"/>
        <w:spacing w:before="139" w:line="249" w:lineRule="auto"/>
        <w:ind w:right="360"/>
      </w:pPr>
      <w:r>
        <w:t xml:space="preserve">But—and this must be emphasized—there is no way that you can </w:t>
      </w:r>
      <w:r>
        <w:rPr>
          <w:i/>
        </w:rPr>
        <w:t>non</w:t>
      </w:r>
      <w:r>
        <w:t xml:space="preserve">-descriptively think about Larry (or anything else). Larry can’t </w:t>
      </w:r>
      <w:r>
        <w:rPr>
          <w:i/>
        </w:rPr>
        <w:t xml:space="preserve">just </w:t>
      </w:r>
      <w:r>
        <w:t xml:space="preserve">be represented to you. He must be represented </w:t>
      </w:r>
      <w:r>
        <w:rPr>
          <w:i/>
        </w:rPr>
        <w:t xml:space="preserve">as </w:t>
      </w:r>
      <w:r>
        <w:t>having these or those properties.</w:t>
      </w:r>
      <w:r>
        <w:rPr>
          <w:spacing w:val="-2"/>
        </w:rPr>
        <w:t xml:space="preserve"> </w:t>
      </w:r>
      <w:r>
        <w:t>Circumstances</w:t>
      </w:r>
      <w:r>
        <w:rPr>
          <w:spacing w:val="-2"/>
        </w:rPr>
        <w:t xml:space="preserve"> </w:t>
      </w:r>
      <w:r>
        <w:t>being</w:t>
      </w:r>
      <w:r>
        <w:rPr>
          <w:spacing w:val="-2"/>
        </w:rPr>
        <w:t xml:space="preserve"> </w:t>
      </w:r>
      <w:r>
        <w:t>what</w:t>
      </w:r>
      <w:r>
        <w:rPr>
          <w:spacing w:val="-2"/>
        </w:rPr>
        <w:t xml:space="preserve"> </w:t>
      </w:r>
      <w:r>
        <w:t>they</w:t>
      </w:r>
      <w:r>
        <w:rPr>
          <w:spacing w:val="-2"/>
        </w:rPr>
        <w:t xml:space="preserve"> </w:t>
      </w:r>
      <w:r>
        <w:t>are,</w:t>
      </w:r>
      <w:r>
        <w:rPr>
          <w:spacing w:val="-2"/>
        </w:rPr>
        <w:t xml:space="preserve"> </w:t>
      </w:r>
      <w:r>
        <w:t>he</w:t>
      </w:r>
      <w:r>
        <w:rPr>
          <w:spacing w:val="-2"/>
        </w:rPr>
        <w:t xml:space="preserve"> </w:t>
      </w:r>
      <w:r>
        <w:t>is</w:t>
      </w:r>
      <w:r>
        <w:rPr>
          <w:spacing w:val="-2"/>
        </w:rPr>
        <w:t xml:space="preserve"> </w:t>
      </w:r>
      <w:r>
        <w:t>represented</w:t>
      </w:r>
      <w:r>
        <w:rPr>
          <w:spacing w:val="-2"/>
        </w:rPr>
        <w:t xml:space="preserve"> </w:t>
      </w:r>
      <w:r>
        <w:t>to</w:t>
      </w:r>
      <w:r>
        <w:rPr>
          <w:spacing w:val="-2"/>
        </w:rPr>
        <w:t xml:space="preserve"> </w:t>
      </w:r>
      <w:r>
        <w:t>you</w:t>
      </w:r>
      <w:r>
        <w:rPr>
          <w:spacing w:val="-2"/>
        </w:rPr>
        <w:t xml:space="preserve"> </w:t>
      </w:r>
      <w:r>
        <w:rPr>
          <w:i/>
        </w:rPr>
        <w:t xml:space="preserve">as </w:t>
      </w:r>
      <w:r>
        <w:t>the guy currently right in front of you wearing a bolo tie [etc.].</w:t>
      </w:r>
    </w:p>
    <w:p w14:paraId="7E001147" w14:textId="77777777" w:rsidR="009A58DB" w:rsidRDefault="00000000">
      <w:pPr>
        <w:pStyle w:val="BodyText"/>
        <w:spacing w:before="6" w:line="249" w:lineRule="auto"/>
        <w:ind w:right="360" w:firstLine="360"/>
      </w:pPr>
      <w:r>
        <w:t xml:space="preserve">This doesn’t mean that you’ll </w:t>
      </w:r>
      <w:r>
        <w:rPr>
          <w:i/>
        </w:rPr>
        <w:t xml:space="preserve">always </w:t>
      </w:r>
      <w:r>
        <w:t xml:space="preserve">think of Larry this way. You won’t. Tomorrow, you’ll think of him as the guy who </w:t>
      </w:r>
      <w:r>
        <w:rPr>
          <w:i/>
        </w:rPr>
        <w:t xml:space="preserve">yesterday </w:t>
      </w:r>
      <w:r>
        <w:t>was standing right</w:t>
      </w:r>
      <w:r>
        <w:rPr>
          <w:spacing w:val="40"/>
        </w:rPr>
        <w:t xml:space="preserve"> </w:t>
      </w:r>
      <w:r>
        <w:t>in front of you and, at that time, had a handle-bar mustache [etc.]. And if you come to be friends with Larry, that description will be replaced by others.</w:t>
      </w:r>
    </w:p>
    <w:p w14:paraId="7E001148" w14:textId="77777777" w:rsidR="009A58DB" w:rsidRDefault="00000000">
      <w:pPr>
        <w:pStyle w:val="BodyText"/>
        <w:spacing w:before="5" w:line="249" w:lineRule="auto"/>
        <w:ind w:right="359" w:firstLine="360"/>
      </w:pPr>
      <w:r>
        <w:t>But you’ll always think of him descriptively. More precisely, it will</w:t>
      </w:r>
      <w:r>
        <w:rPr>
          <w:spacing w:val="40"/>
        </w:rPr>
        <w:t xml:space="preserve"> </w:t>
      </w:r>
      <w:r>
        <w:t>always be by virtue of your knowing the truth of some existence-claim uniquely satisfied by Larry that you’ll be able to have thoughts about him. Your being able to think about him will always consist in your knowing that something uniquely has P, where P is some property that Larry has.</w:t>
      </w:r>
    </w:p>
    <w:p w14:paraId="7E001149" w14:textId="77777777" w:rsidR="009A58DB" w:rsidRDefault="00000000">
      <w:pPr>
        <w:pStyle w:val="Heading1"/>
        <w:numPr>
          <w:ilvl w:val="1"/>
          <w:numId w:val="158"/>
        </w:numPr>
        <w:tabs>
          <w:tab w:val="left" w:pos="990"/>
        </w:tabs>
        <w:spacing w:before="209"/>
        <w:ind w:left="990" w:hanging="630"/>
        <w:rPr>
          <w:position w:val="30"/>
        </w:rPr>
      </w:pPr>
      <w:r>
        <w:t>Reference-fixing</w:t>
      </w:r>
      <w:r>
        <w:rPr>
          <w:spacing w:val="-9"/>
        </w:rPr>
        <w:t xml:space="preserve"> </w:t>
      </w:r>
      <w:r>
        <w:t>vs.</w:t>
      </w:r>
      <w:r>
        <w:rPr>
          <w:spacing w:val="-7"/>
        </w:rPr>
        <w:t xml:space="preserve"> </w:t>
      </w:r>
      <w:r>
        <w:t>meaning</w:t>
      </w:r>
      <w:r>
        <w:rPr>
          <w:spacing w:val="-6"/>
        </w:rPr>
        <w:t xml:space="preserve"> </w:t>
      </w:r>
      <w:r>
        <w:rPr>
          <w:spacing w:val="-2"/>
        </w:rPr>
        <w:t>givin</w:t>
      </w:r>
      <w:bookmarkStart w:id="244" w:name="_bookmark244"/>
      <w:bookmarkEnd w:id="244"/>
      <w:r>
        <w:rPr>
          <w:spacing w:val="-2"/>
        </w:rPr>
        <w:t>g</w:t>
      </w:r>
      <w:r>
        <w:rPr>
          <w:color w:val="0562C1"/>
          <w:spacing w:val="-2"/>
          <w:position w:val="30"/>
          <w:u w:val="single" w:color="0562C1"/>
        </w:rPr>
        <w:t>[149]</w:t>
      </w:r>
    </w:p>
    <w:p w14:paraId="7E00114A" w14:textId="77777777" w:rsidR="009A58DB" w:rsidRDefault="00000000">
      <w:pPr>
        <w:pStyle w:val="BodyText"/>
        <w:spacing w:before="139" w:line="249" w:lineRule="auto"/>
        <w:ind w:right="358"/>
      </w:pPr>
      <w:r>
        <w:t xml:space="preserve">Question: how is it that you can </w:t>
      </w:r>
      <w:r>
        <w:rPr>
          <w:i/>
        </w:rPr>
        <w:t xml:space="preserve">think of </w:t>
      </w:r>
      <w:r>
        <w:t xml:space="preserve">Larry as “the person in front of me right now who is wearing a bolo tie and has a handle-bar mustache,” and yet know that Larry might </w:t>
      </w:r>
      <w:r>
        <w:rPr>
          <w:i/>
        </w:rPr>
        <w:t>not</w:t>
      </w:r>
      <w:r>
        <w:rPr>
          <w:i/>
          <w:spacing w:val="-3"/>
        </w:rPr>
        <w:t xml:space="preserve"> </w:t>
      </w:r>
      <w:r>
        <w:t>have had a handle-bar mustache (or been standing right here or been wearing a bolo tie)?</w:t>
      </w:r>
    </w:p>
    <w:p w14:paraId="7E00114B" w14:textId="77777777" w:rsidR="009A58DB" w:rsidRDefault="00000000">
      <w:pPr>
        <w:pStyle w:val="BodyText"/>
        <w:spacing w:before="5"/>
        <w:ind w:left="720"/>
      </w:pPr>
      <w:r>
        <w:t>Simple.</w:t>
      </w:r>
      <w:r>
        <w:rPr>
          <w:spacing w:val="47"/>
        </w:rPr>
        <w:t xml:space="preserve"> </w:t>
      </w:r>
      <w:r>
        <w:t>Remember</w:t>
      </w:r>
      <w:r>
        <w:rPr>
          <w:spacing w:val="50"/>
        </w:rPr>
        <w:t xml:space="preserve"> </w:t>
      </w:r>
      <w:r>
        <w:t>what</w:t>
      </w:r>
      <w:r>
        <w:rPr>
          <w:spacing w:val="49"/>
        </w:rPr>
        <w:t xml:space="preserve"> </w:t>
      </w:r>
      <w:r>
        <w:t>Russell</w:t>
      </w:r>
      <w:r>
        <w:rPr>
          <w:spacing w:val="50"/>
        </w:rPr>
        <w:t xml:space="preserve"> </w:t>
      </w:r>
      <w:r>
        <w:t>said</w:t>
      </w:r>
      <w:r>
        <w:rPr>
          <w:spacing w:val="50"/>
        </w:rPr>
        <w:t xml:space="preserve"> </w:t>
      </w:r>
      <w:r>
        <w:t>about</w:t>
      </w:r>
      <w:r>
        <w:rPr>
          <w:spacing w:val="49"/>
        </w:rPr>
        <w:t xml:space="preserve"> </w:t>
      </w:r>
      <w:r>
        <w:t>definite</w:t>
      </w:r>
      <w:r>
        <w:rPr>
          <w:spacing w:val="50"/>
        </w:rPr>
        <w:t xml:space="preserve"> </w:t>
      </w:r>
      <w:r>
        <w:t>descriptions.</w:t>
      </w:r>
      <w:r>
        <w:rPr>
          <w:spacing w:val="50"/>
        </w:rPr>
        <w:t xml:space="preserve"> </w:t>
      </w:r>
      <w:r>
        <w:rPr>
          <w:spacing w:val="-2"/>
        </w:rPr>
        <w:t>(‹The</w:t>
      </w:r>
    </w:p>
    <w:p w14:paraId="7E00114C" w14:textId="77777777" w:rsidR="009A58DB" w:rsidRDefault="009A58DB">
      <w:pPr>
        <w:pStyle w:val="BodyText"/>
        <w:sectPr w:rsidR="009A58DB">
          <w:pgSz w:w="12240" w:h="15840"/>
          <w:pgMar w:top="1740" w:right="1080" w:bottom="280" w:left="1080" w:header="720" w:footer="720" w:gutter="0"/>
          <w:cols w:space="720"/>
        </w:sectPr>
      </w:pPr>
    </w:p>
    <w:p w14:paraId="7E00114D" w14:textId="77777777" w:rsidR="009A58DB" w:rsidRDefault="00000000">
      <w:pPr>
        <w:pStyle w:val="BodyText"/>
        <w:spacing w:before="70" w:line="249" w:lineRule="auto"/>
        <w:ind w:right="363"/>
      </w:pPr>
      <w:r>
        <w:lastRenderedPageBreak/>
        <w:t>phi has psi› means ‹something or other uniquely has phi, and any such thing has psi.›) In light of this, consider the sentence:</w:t>
      </w:r>
    </w:p>
    <w:p w14:paraId="7E00114E" w14:textId="77777777" w:rsidR="009A58DB" w:rsidRDefault="009A58DB">
      <w:pPr>
        <w:pStyle w:val="BodyText"/>
        <w:spacing w:before="12"/>
        <w:ind w:left="0"/>
        <w:jc w:val="left"/>
      </w:pPr>
    </w:p>
    <w:p w14:paraId="7E00114F" w14:textId="77777777" w:rsidR="009A58DB" w:rsidRDefault="00000000">
      <w:pPr>
        <w:pStyle w:val="BodyText"/>
        <w:spacing w:line="292" w:lineRule="auto"/>
        <w:ind w:right="365"/>
      </w:pPr>
      <w:r>
        <w:t>(LD</w:t>
      </w:r>
      <w:r>
        <w:rPr>
          <w:vertAlign w:val="subscript"/>
        </w:rPr>
        <w:t>1</w:t>
      </w:r>
      <w:r>
        <w:t>) The guy now standing right in front of me who is wearing a bolo tie and has a handle-bar mustache [etc.,] is named “Larry.”</w:t>
      </w:r>
    </w:p>
    <w:p w14:paraId="7E001150" w14:textId="77777777" w:rsidR="009A58DB" w:rsidRDefault="009A58DB">
      <w:pPr>
        <w:pStyle w:val="BodyText"/>
        <w:spacing w:before="118"/>
        <w:ind w:left="0"/>
        <w:jc w:val="left"/>
      </w:pPr>
    </w:p>
    <w:p w14:paraId="7E001151" w14:textId="77777777" w:rsidR="009A58DB" w:rsidRDefault="00000000">
      <w:pPr>
        <w:pStyle w:val="BodyText"/>
        <w:spacing w:line="292" w:lineRule="auto"/>
        <w:ind w:right="369"/>
      </w:pPr>
      <w:r>
        <w:t>There are two ways to interpret LD</w:t>
      </w:r>
      <w:r>
        <w:rPr>
          <w:vertAlign w:val="subscript"/>
        </w:rPr>
        <w:t>1</w:t>
      </w:r>
      <w:r>
        <w:t>. Here’s the first interpretation, which is the correct one:</w:t>
      </w:r>
    </w:p>
    <w:p w14:paraId="7E001152" w14:textId="77777777" w:rsidR="009A58DB" w:rsidRDefault="00000000">
      <w:pPr>
        <w:pStyle w:val="BodyText"/>
        <w:spacing w:before="299" w:line="292" w:lineRule="auto"/>
        <w:ind w:right="369"/>
      </w:pPr>
      <w:r>
        <w:t>(LD</w:t>
      </w:r>
      <w:r>
        <w:rPr>
          <w:vertAlign w:val="subscript"/>
        </w:rPr>
        <w:t>2</w:t>
      </w:r>
      <w:r>
        <w:t>) Somebody x is uniquely such that x is now standing right in front of</w:t>
      </w:r>
      <w:r>
        <w:rPr>
          <w:spacing w:val="40"/>
        </w:rPr>
        <w:t xml:space="preserve"> </w:t>
      </w:r>
      <w:r>
        <w:t>me and x has a handle-bar mustache [etc.]; moreover, “Larry” is x’s name.</w:t>
      </w:r>
    </w:p>
    <w:p w14:paraId="7E001153" w14:textId="77777777" w:rsidR="009A58DB" w:rsidRDefault="00000000">
      <w:pPr>
        <w:pStyle w:val="BodyText"/>
        <w:spacing w:before="298"/>
      </w:pPr>
      <w:r>
        <w:t>Here’s</w:t>
      </w:r>
      <w:r>
        <w:rPr>
          <w:spacing w:val="-7"/>
        </w:rPr>
        <w:t xml:space="preserve"> </w:t>
      </w:r>
      <w:r>
        <w:t>the</w:t>
      </w:r>
      <w:r>
        <w:rPr>
          <w:spacing w:val="-4"/>
        </w:rPr>
        <w:t xml:space="preserve"> </w:t>
      </w:r>
      <w:r>
        <w:t>second</w:t>
      </w:r>
      <w:r>
        <w:rPr>
          <w:spacing w:val="-3"/>
        </w:rPr>
        <w:t xml:space="preserve"> </w:t>
      </w:r>
      <w:r>
        <w:t>interpretation,</w:t>
      </w:r>
      <w:r>
        <w:rPr>
          <w:spacing w:val="-3"/>
        </w:rPr>
        <w:t xml:space="preserve"> </w:t>
      </w:r>
      <w:r>
        <w:t>which</w:t>
      </w:r>
      <w:r>
        <w:rPr>
          <w:spacing w:val="-4"/>
        </w:rPr>
        <w:t xml:space="preserve"> </w:t>
      </w:r>
      <w:r>
        <w:t>is</w:t>
      </w:r>
      <w:r>
        <w:rPr>
          <w:spacing w:val="-4"/>
        </w:rPr>
        <w:t xml:space="preserve"> </w:t>
      </w:r>
      <w:r>
        <w:t>the</w:t>
      </w:r>
      <w:r>
        <w:rPr>
          <w:spacing w:val="-4"/>
        </w:rPr>
        <w:t xml:space="preserve"> </w:t>
      </w:r>
      <w:r>
        <w:t>wrong</w:t>
      </w:r>
      <w:r>
        <w:rPr>
          <w:spacing w:val="-3"/>
        </w:rPr>
        <w:t xml:space="preserve"> </w:t>
      </w:r>
      <w:r>
        <w:rPr>
          <w:spacing w:val="-4"/>
        </w:rPr>
        <w:t>one:</w:t>
      </w:r>
    </w:p>
    <w:p w14:paraId="7E001154" w14:textId="77777777" w:rsidR="009A58DB" w:rsidRDefault="009A58DB">
      <w:pPr>
        <w:pStyle w:val="BodyText"/>
        <w:spacing w:before="30"/>
        <w:ind w:left="0"/>
        <w:jc w:val="left"/>
      </w:pPr>
    </w:p>
    <w:p w14:paraId="7E001155" w14:textId="77777777" w:rsidR="009A58DB" w:rsidRDefault="00000000">
      <w:pPr>
        <w:pStyle w:val="BodyText"/>
        <w:spacing w:line="271" w:lineRule="auto"/>
        <w:ind w:right="359"/>
      </w:pPr>
      <w:r>
        <w:t>(LD</w:t>
      </w:r>
      <w:r>
        <w:rPr>
          <w:vertAlign w:val="subscript"/>
        </w:rPr>
        <w:t>3</w:t>
      </w:r>
      <w:r>
        <w:t>) “Larry” names anyone x uniquely such that x has the property of now standing right in front of me and x is wearing a bolo tie and has a handle-bar mustache [etc.].</w:t>
      </w:r>
    </w:p>
    <w:p w14:paraId="7E001156" w14:textId="77777777" w:rsidR="009A58DB" w:rsidRDefault="00000000">
      <w:pPr>
        <w:pStyle w:val="BodyText"/>
        <w:spacing w:before="331" w:line="292" w:lineRule="auto"/>
        <w:ind w:right="361" w:firstLine="360"/>
      </w:pPr>
      <w:r>
        <w:t>LD</w:t>
      </w:r>
      <w:r>
        <w:rPr>
          <w:vertAlign w:val="subscript"/>
        </w:rPr>
        <w:t>3</w:t>
      </w:r>
      <w:r>
        <w:t xml:space="preserve"> says that “Larry” is </w:t>
      </w:r>
      <w:r>
        <w:rPr>
          <w:i/>
        </w:rPr>
        <w:t xml:space="preserve">by definition </w:t>
      </w:r>
      <w:r>
        <w:t>a unique handle-bar mustache</w:t>
      </w:r>
      <w:r>
        <w:rPr>
          <w:spacing w:val="40"/>
        </w:rPr>
        <w:t xml:space="preserve"> </w:t>
      </w:r>
      <w:r>
        <w:t>having object x such that x is standing x right in front of me [etc.]. LD</w:t>
      </w:r>
      <w:r>
        <w:rPr>
          <w:vertAlign w:val="subscript"/>
        </w:rPr>
        <w:t>2</w:t>
      </w:r>
      <w:r>
        <w:rPr>
          <w:spacing w:val="14"/>
        </w:rPr>
        <w:t xml:space="preserve"> </w:t>
      </w:r>
      <w:r>
        <w:t>says</w:t>
      </w:r>
    </w:p>
    <w:p w14:paraId="7E001157" w14:textId="77777777" w:rsidR="009A58DB" w:rsidRDefault="00000000">
      <w:pPr>
        <w:pStyle w:val="BodyText"/>
        <w:spacing w:line="249" w:lineRule="auto"/>
        <w:ind w:right="361"/>
      </w:pPr>
      <w:r>
        <w:t>that “Larry” names the person who, under the circumstances, is a unique handle-bar</w:t>
      </w:r>
      <w:r>
        <w:rPr>
          <w:spacing w:val="-1"/>
        </w:rPr>
        <w:t xml:space="preserve"> </w:t>
      </w:r>
      <w:r>
        <w:t>mustache having object</w:t>
      </w:r>
      <w:r>
        <w:rPr>
          <w:spacing w:val="-1"/>
        </w:rPr>
        <w:t xml:space="preserve"> </w:t>
      </w:r>
      <w:r>
        <w:t>x such that x is standing x right in front of me</w:t>
      </w:r>
      <w:r>
        <w:rPr>
          <w:spacing w:val="14"/>
        </w:rPr>
        <w:t xml:space="preserve"> </w:t>
      </w:r>
      <w:r>
        <w:t>[etc.].</w:t>
      </w:r>
      <w:r>
        <w:rPr>
          <w:spacing w:val="16"/>
        </w:rPr>
        <w:t xml:space="preserve"> </w:t>
      </w:r>
      <w:r>
        <w:t>Both</w:t>
      </w:r>
      <w:r>
        <w:rPr>
          <w:spacing w:val="16"/>
        </w:rPr>
        <w:t xml:space="preserve"> </w:t>
      </w:r>
      <w:r>
        <w:t>LD</w:t>
      </w:r>
      <w:r>
        <w:rPr>
          <w:vertAlign w:val="subscript"/>
        </w:rPr>
        <w:t>2</w:t>
      </w:r>
      <w:r>
        <w:rPr>
          <w:spacing w:val="16"/>
        </w:rPr>
        <w:t xml:space="preserve"> </w:t>
      </w:r>
      <w:r>
        <w:t>and</w:t>
      </w:r>
      <w:r>
        <w:rPr>
          <w:spacing w:val="15"/>
        </w:rPr>
        <w:t xml:space="preserve"> </w:t>
      </w:r>
      <w:r>
        <w:t>LD</w:t>
      </w:r>
      <w:r>
        <w:rPr>
          <w:vertAlign w:val="subscript"/>
        </w:rPr>
        <w:t>3</w:t>
      </w:r>
      <w:r>
        <w:rPr>
          <w:spacing w:val="16"/>
        </w:rPr>
        <w:t xml:space="preserve"> </w:t>
      </w:r>
      <w:r>
        <w:t>use</w:t>
      </w:r>
      <w:r>
        <w:rPr>
          <w:spacing w:val="15"/>
        </w:rPr>
        <w:t xml:space="preserve"> </w:t>
      </w:r>
      <w:r>
        <w:t>the</w:t>
      </w:r>
      <w:r>
        <w:rPr>
          <w:spacing w:val="15"/>
        </w:rPr>
        <w:t xml:space="preserve"> </w:t>
      </w:r>
      <w:r>
        <w:t>same</w:t>
      </w:r>
      <w:r>
        <w:rPr>
          <w:spacing w:val="14"/>
        </w:rPr>
        <w:t xml:space="preserve"> </w:t>
      </w:r>
      <w:r>
        <w:t>description</w:t>
      </w:r>
      <w:r>
        <w:rPr>
          <w:spacing w:val="16"/>
        </w:rPr>
        <w:t xml:space="preserve"> </w:t>
      </w:r>
      <w:r>
        <w:t>(“unique</w:t>
      </w:r>
      <w:r>
        <w:rPr>
          <w:spacing w:val="15"/>
        </w:rPr>
        <w:t xml:space="preserve"> </w:t>
      </w:r>
      <w:r>
        <w:t>thing</w:t>
      </w:r>
      <w:r>
        <w:rPr>
          <w:spacing w:val="16"/>
        </w:rPr>
        <w:t xml:space="preserve"> </w:t>
      </w:r>
      <w:r>
        <w:t>x</w:t>
      </w:r>
      <w:r>
        <w:rPr>
          <w:spacing w:val="15"/>
        </w:rPr>
        <w:t xml:space="preserve"> </w:t>
      </w:r>
      <w:r>
        <w:rPr>
          <w:spacing w:val="-4"/>
        </w:rPr>
        <w:t>such</w:t>
      </w:r>
    </w:p>
    <w:p w14:paraId="7E001158" w14:textId="77777777" w:rsidR="009A58DB" w:rsidRDefault="00000000">
      <w:pPr>
        <w:pStyle w:val="BodyText"/>
        <w:spacing w:before="62" w:line="271" w:lineRule="auto"/>
        <w:ind w:right="364"/>
      </w:pPr>
      <w:r>
        <w:t>that x has a handle-bar mustache [etc.]”). But they use it in different ways. LD</w:t>
      </w:r>
      <w:r>
        <w:rPr>
          <w:vertAlign w:val="subscript"/>
        </w:rPr>
        <w:t>3</w:t>
      </w:r>
      <w:r>
        <w:t xml:space="preserve"> says that “Larry” </w:t>
      </w:r>
      <w:r>
        <w:rPr>
          <w:i/>
        </w:rPr>
        <w:t xml:space="preserve">by definition </w:t>
      </w:r>
      <w:r>
        <w:t>picks out something fitting that description.</w:t>
      </w:r>
      <w:r>
        <w:rPr>
          <w:spacing w:val="-1"/>
        </w:rPr>
        <w:t xml:space="preserve"> </w:t>
      </w:r>
      <w:r>
        <w:t>LD</w:t>
      </w:r>
      <w:r>
        <w:rPr>
          <w:vertAlign w:val="subscript"/>
        </w:rPr>
        <w:t>2</w:t>
      </w:r>
      <w:r>
        <w:rPr>
          <w:spacing w:val="14"/>
        </w:rPr>
        <w:t xml:space="preserve"> </w:t>
      </w:r>
      <w:r>
        <w:t>says</w:t>
      </w:r>
      <w:r>
        <w:rPr>
          <w:spacing w:val="13"/>
        </w:rPr>
        <w:t xml:space="preserve"> </w:t>
      </w:r>
      <w:r>
        <w:t>that</w:t>
      </w:r>
      <w:r>
        <w:rPr>
          <w:spacing w:val="13"/>
        </w:rPr>
        <w:t xml:space="preserve"> </w:t>
      </w:r>
      <w:r>
        <w:t>“Larry”</w:t>
      </w:r>
      <w:r>
        <w:rPr>
          <w:spacing w:val="13"/>
        </w:rPr>
        <w:t xml:space="preserve"> </w:t>
      </w:r>
      <w:r>
        <w:t>picks</w:t>
      </w:r>
      <w:r>
        <w:rPr>
          <w:spacing w:val="13"/>
        </w:rPr>
        <w:t xml:space="preserve"> </w:t>
      </w:r>
      <w:r>
        <w:t>out</w:t>
      </w:r>
      <w:r>
        <w:rPr>
          <w:spacing w:val="14"/>
        </w:rPr>
        <w:t xml:space="preserve"> </w:t>
      </w:r>
      <w:r>
        <w:t>the</w:t>
      </w:r>
      <w:r>
        <w:rPr>
          <w:spacing w:val="13"/>
        </w:rPr>
        <w:t xml:space="preserve"> </w:t>
      </w:r>
      <w:r>
        <w:t>thing</w:t>
      </w:r>
      <w:r>
        <w:rPr>
          <w:spacing w:val="14"/>
        </w:rPr>
        <w:t xml:space="preserve"> </w:t>
      </w:r>
      <w:r>
        <w:t>that,</w:t>
      </w:r>
      <w:r>
        <w:rPr>
          <w:spacing w:val="14"/>
        </w:rPr>
        <w:t xml:space="preserve"> </w:t>
      </w:r>
      <w:r>
        <w:t>as</w:t>
      </w:r>
      <w:r>
        <w:rPr>
          <w:spacing w:val="13"/>
        </w:rPr>
        <w:t xml:space="preserve"> </w:t>
      </w:r>
      <w:r>
        <w:t>it</w:t>
      </w:r>
      <w:r>
        <w:rPr>
          <w:spacing w:val="13"/>
        </w:rPr>
        <w:t xml:space="preserve"> </w:t>
      </w:r>
      <w:r>
        <w:t>happens,</w:t>
      </w:r>
      <w:r>
        <w:rPr>
          <w:spacing w:val="14"/>
        </w:rPr>
        <w:t xml:space="preserve"> </w:t>
      </w:r>
      <w:r>
        <w:rPr>
          <w:spacing w:val="-4"/>
        </w:rPr>
        <w:t>fits</w:t>
      </w:r>
    </w:p>
    <w:p w14:paraId="7E001159" w14:textId="77777777" w:rsidR="009A58DB" w:rsidRDefault="00000000">
      <w:pPr>
        <w:pStyle w:val="BodyText"/>
        <w:spacing w:before="30" w:line="271" w:lineRule="auto"/>
        <w:ind w:right="363"/>
      </w:pPr>
      <w:r>
        <w:t>that description. More precisely, LD</w:t>
      </w:r>
      <w:r>
        <w:rPr>
          <w:vertAlign w:val="subscript"/>
        </w:rPr>
        <w:t>2</w:t>
      </w:r>
      <w:r>
        <w:t xml:space="preserve"> says that something x fits that description and the semantic rule for “Larry”—the rule that you must know</w:t>
      </w:r>
      <w:r>
        <w:rPr>
          <w:spacing w:val="40"/>
        </w:rPr>
        <w:t xml:space="preserve"> </w:t>
      </w:r>
      <w:r>
        <w:t>to know how to use “Larry” correctly—is: “Larry” refers to x.</w:t>
      </w:r>
    </w:p>
    <w:p w14:paraId="7E00115A" w14:textId="77777777" w:rsidR="009A58DB" w:rsidRDefault="00000000">
      <w:pPr>
        <w:spacing w:line="316" w:lineRule="exact"/>
        <w:ind w:left="720"/>
        <w:jc w:val="both"/>
        <w:rPr>
          <w:sz w:val="30"/>
        </w:rPr>
      </w:pPr>
      <w:r>
        <w:rPr>
          <w:sz w:val="30"/>
        </w:rPr>
        <w:t>So,</w:t>
      </w:r>
      <w:r>
        <w:rPr>
          <w:spacing w:val="12"/>
          <w:sz w:val="30"/>
        </w:rPr>
        <w:t xml:space="preserve"> </w:t>
      </w:r>
      <w:r>
        <w:rPr>
          <w:sz w:val="30"/>
        </w:rPr>
        <w:t>as</w:t>
      </w:r>
      <w:r>
        <w:rPr>
          <w:spacing w:val="15"/>
          <w:sz w:val="30"/>
        </w:rPr>
        <w:t xml:space="preserve"> </w:t>
      </w:r>
      <w:r>
        <w:rPr>
          <w:sz w:val="30"/>
        </w:rPr>
        <w:t>Saul</w:t>
      </w:r>
      <w:r>
        <w:rPr>
          <w:spacing w:val="14"/>
          <w:sz w:val="30"/>
        </w:rPr>
        <w:t xml:space="preserve"> </w:t>
      </w:r>
      <w:r>
        <w:rPr>
          <w:sz w:val="30"/>
        </w:rPr>
        <w:t>Kripke</w:t>
      </w:r>
      <w:r>
        <w:rPr>
          <w:spacing w:val="15"/>
          <w:sz w:val="30"/>
        </w:rPr>
        <w:t xml:space="preserve"> </w:t>
      </w:r>
      <w:r>
        <w:rPr>
          <w:sz w:val="30"/>
        </w:rPr>
        <w:t>puts</w:t>
      </w:r>
      <w:r>
        <w:rPr>
          <w:spacing w:val="15"/>
          <w:sz w:val="30"/>
        </w:rPr>
        <w:t xml:space="preserve"> </w:t>
      </w:r>
      <w:r>
        <w:rPr>
          <w:sz w:val="30"/>
        </w:rPr>
        <w:t>it,</w:t>
      </w:r>
      <w:r>
        <w:rPr>
          <w:spacing w:val="14"/>
          <w:sz w:val="30"/>
        </w:rPr>
        <w:t xml:space="preserve"> </w:t>
      </w:r>
      <w:r>
        <w:rPr>
          <w:sz w:val="30"/>
        </w:rPr>
        <w:t>LD2</w:t>
      </w:r>
      <w:r>
        <w:rPr>
          <w:spacing w:val="15"/>
          <w:sz w:val="30"/>
        </w:rPr>
        <w:t xml:space="preserve"> </w:t>
      </w:r>
      <w:r>
        <w:rPr>
          <w:sz w:val="30"/>
        </w:rPr>
        <w:t>uses</w:t>
      </w:r>
      <w:r>
        <w:rPr>
          <w:spacing w:val="15"/>
          <w:sz w:val="30"/>
        </w:rPr>
        <w:t xml:space="preserve"> </w:t>
      </w:r>
      <w:r>
        <w:rPr>
          <w:sz w:val="30"/>
        </w:rPr>
        <w:t>that</w:t>
      </w:r>
      <w:r>
        <w:rPr>
          <w:spacing w:val="14"/>
          <w:sz w:val="30"/>
        </w:rPr>
        <w:t xml:space="preserve"> </w:t>
      </w:r>
      <w:r>
        <w:rPr>
          <w:sz w:val="30"/>
        </w:rPr>
        <w:t>description</w:t>
      </w:r>
      <w:r>
        <w:rPr>
          <w:spacing w:val="15"/>
          <w:sz w:val="30"/>
        </w:rPr>
        <w:t xml:space="preserve"> </w:t>
      </w:r>
      <w:r>
        <w:rPr>
          <w:sz w:val="30"/>
        </w:rPr>
        <w:t>to</w:t>
      </w:r>
      <w:r>
        <w:rPr>
          <w:spacing w:val="15"/>
          <w:sz w:val="30"/>
        </w:rPr>
        <w:t xml:space="preserve"> </w:t>
      </w:r>
      <w:r>
        <w:rPr>
          <w:i/>
          <w:sz w:val="30"/>
        </w:rPr>
        <w:t>fix</w:t>
      </w:r>
      <w:r>
        <w:rPr>
          <w:i/>
          <w:spacing w:val="16"/>
          <w:sz w:val="30"/>
        </w:rPr>
        <w:t xml:space="preserve"> </w:t>
      </w:r>
      <w:r>
        <w:rPr>
          <w:i/>
          <w:sz w:val="30"/>
        </w:rPr>
        <w:t>the</w:t>
      </w:r>
      <w:r>
        <w:rPr>
          <w:i/>
          <w:spacing w:val="17"/>
          <w:sz w:val="30"/>
        </w:rPr>
        <w:t xml:space="preserve"> </w:t>
      </w:r>
      <w:r>
        <w:rPr>
          <w:i/>
          <w:sz w:val="30"/>
        </w:rPr>
        <w:t>referent</w:t>
      </w:r>
      <w:r>
        <w:rPr>
          <w:i/>
          <w:spacing w:val="18"/>
          <w:sz w:val="30"/>
        </w:rPr>
        <w:t xml:space="preserve"> </w:t>
      </w:r>
      <w:r>
        <w:rPr>
          <w:spacing w:val="-5"/>
          <w:sz w:val="30"/>
        </w:rPr>
        <w:t>of</w:t>
      </w:r>
    </w:p>
    <w:p w14:paraId="7E00115B" w14:textId="77777777" w:rsidR="009A58DB" w:rsidRDefault="00000000">
      <w:pPr>
        <w:pStyle w:val="BodyText"/>
        <w:spacing w:before="15" w:line="271" w:lineRule="auto"/>
        <w:ind w:right="370"/>
      </w:pPr>
      <w:r>
        <w:t>“Larry,” whereas LD</w:t>
      </w:r>
      <w:r>
        <w:rPr>
          <w:vertAlign w:val="subscript"/>
        </w:rPr>
        <w:t>3</w:t>
      </w:r>
      <w:r>
        <w:t xml:space="preserve"> uses it to </w:t>
      </w:r>
      <w:r>
        <w:rPr>
          <w:i/>
        </w:rPr>
        <w:t xml:space="preserve">give its meaning </w:t>
      </w:r>
      <w:r>
        <w:t>of “Larry. LD</w:t>
      </w:r>
      <w:r>
        <w:rPr>
          <w:vertAlign w:val="subscript"/>
        </w:rPr>
        <w:t>3</w:t>
      </w:r>
      <w:r>
        <w:t xml:space="preserve"> is obviously wrong, since “Larry” obviously isn’t synonymous with “the guy now standing</w:t>
      </w:r>
      <w:r>
        <w:rPr>
          <w:spacing w:val="24"/>
        </w:rPr>
        <w:t xml:space="preserve"> </w:t>
      </w:r>
      <w:r>
        <w:t>in</w:t>
      </w:r>
      <w:r>
        <w:rPr>
          <w:spacing w:val="27"/>
        </w:rPr>
        <w:t xml:space="preserve"> </w:t>
      </w:r>
      <w:r>
        <w:t>front</w:t>
      </w:r>
      <w:r>
        <w:rPr>
          <w:spacing w:val="27"/>
        </w:rPr>
        <w:t xml:space="preserve"> </w:t>
      </w:r>
      <w:r>
        <w:t>of</w:t>
      </w:r>
      <w:r>
        <w:rPr>
          <w:spacing w:val="26"/>
        </w:rPr>
        <w:t xml:space="preserve"> </w:t>
      </w:r>
      <w:r>
        <w:t>me</w:t>
      </w:r>
      <w:r>
        <w:rPr>
          <w:spacing w:val="28"/>
        </w:rPr>
        <w:t xml:space="preserve"> </w:t>
      </w:r>
      <w:r>
        <w:t>right</w:t>
      </w:r>
      <w:r>
        <w:rPr>
          <w:spacing w:val="26"/>
        </w:rPr>
        <w:t xml:space="preserve"> </w:t>
      </w:r>
      <w:r>
        <w:t>who</w:t>
      </w:r>
      <w:r>
        <w:rPr>
          <w:spacing w:val="27"/>
        </w:rPr>
        <w:t xml:space="preserve"> </w:t>
      </w:r>
      <w:r>
        <w:t>is</w:t>
      </w:r>
      <w:r>
        <w:rPr>
          <w:spacing w:val="27"/>
        </w:rPr>
        <w:t xml:space="preserve"> </w:t>
      </w:r>
      <w:r>
        <w:t>wearing</w:t>
      </w:r>
      <w:r>
        <w:rPr>
          <w:spacing w:val="27"/>
        </w:rPr>
        <w:t xml:space="preserve"> </w:t>
      </w:r>
      <w:r>
        <w:t>a</w:t>
      </w:r>
      <w:r>
        <w:rPr>
          <w:spacing w:val="28"/>
        </w:rPr>
        <w:t xml:space="preserve"> </w:t>
      </w:r>
      <w:r>
        <w:t>bolo</w:t>
      </w:r>
      <w:r>
        <w:rPr>
          <w:spacing w:val="27"/>
        </w:rPr>
        <w:t xml:space="preserve"> </w:t>
      </w:r>
      <w:r>
        <w:t>tie,”</w:t>
      </w:r>
      <w:r>
        <w:rPr>
          <w:spacing w:val="26"/>
        </w:rPr>
        <w:t xml:space="preserve"> </w:t>
      </w:r>
      <w:r>
        <w:t>or</w:t>
      </w:r>
      <w:r>
        <w:rPr>
          <w:spacing w:val="28"/>
        </w:rPr>
        <w:t xml:space="preserve"> </w:t>
      </w:r>
      <w:r>
        <w:t>anything</w:t>
      </w:r>
      <w:r>
        <w:rPr>
          <w:spacing w:val="27"/>
        </w:rPr>
        <w:t xml:space="preserve"> </w:t>
      </w:r>
      <w:r>
        <w:t>of</w:t>
      </w:r>
      <w:r>
        <w:rPr>
          <w:spacing w:val="27"/>
        </w:rPr>
        <w:t xml:space="preserve"> </w:t>
      </w:r>
      <w:r>
        <w:rPr>
          <w:spacing w:val="-5"/>
        </w:rPr>
        <w:t>the</w:t>
      </w:r>
    </w:p>
    <w:p w14:paraId="7E00115C"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115D" w14:textId="77777777" w:rsidR="009A58DB" w:rsidRDefault="00000000">
      <w:pPr>
        <w:pStyle w:val="BodyText"/>
        <w:spacing w:before="70"/>
      </w:pPr>
      <w:r>
        <w:lastRenderedPageBreak/>
        <w:t>sort; and</w:t>
      </w:r>
      <w:r>
        <w:rPr>
          <w:spacing w:val="1"/>
        </w:rPr>
        <w:t xml:space="preserve"> </w:t>
      </w:r>
      <w:r>
        <w:t>LD</w:t>
      </w:r>
      <w:r>
        <w:rPr>
          <w:vertAlign w:val="subscript"/>
        </w:rPr>
        <w:t>2</w:t>
      </w:r>
      <w:r>
        <w:rPr>
          <w:spacing w:val="2"/>
        </w:rPr>
        <w:t xml:space="preserve"> </w:t>
      </w:r>
      <w:r>
        <w:t xml:space="preserve">is therefore </w:t>
      </w:r>
      <w:r>
        <w:rPr>
          <w:spacing w:val="-2"/>
        </w:rPr>
        <w:t>correct.</w:t>
      </w:r>
    </w:p>
    <w:p w14:paraId="7E00115E" w14:textId="77777777" w:rsidR="009A58DB" w:rsidRDefault="00000000">
      <w:pPr>
        <w:pStyle w:val="BodyText"/>
        <w:spacing w:before="70" w:line="271" w:lineRule="auto"/>
        <w:ind w:right="360" w:firstLine="360"/>
      </w:pPr>
      <w:r>
        <w:t>Given that LD</w:t>
      </w:r>
      <w:r>
        <w:rPr>
          <w:vertAlign w:val="subscript"/>
        </w:rPr>
        <w:t>3</w:t>
      </w:r>
      <w:r>
        <w:t xml:space="preserve"> is correct, there is some x such that, at the level of literal meaning, “Larry” does nothing other than pick out x, and such that, at the level</w:t>
      </w:r>
      <w:r>
        <w:rPr>
          <w:spacing w:val="9"/>
        </w:rPr>
        <w:t xml:space="preserve"> </w:t>
      </w:r>
      <w:r>
        <w:t>of</w:t>
      </w:r>
      <w:r>
        <w:rPr>
          <w:spacing w:val="11"/>
        </w:rPr>
        <w:t xml:space="preserve"> </w:t>
      </w:r>
      <w:r>
        <w:t>literal</w:t>
      </w:r>
      <w:r>
        <w:rPr>
          <w:spacing w:val="11"/>
        </w:rPr>
        <w:t xml:space="preserve"> </w:t>
      </w:r>
      <w:r>
        <w:t>meaning,</w:t>
      </w:r>
      <w:r>
        <w:rPr>
          <w:spacing w:val="12"/>
        </w:rPr>
        <w:t xml:space="preserve"> </w:t>
      </w:r>
      <w:r>
        <w:t>‹Larry</w:t>
      </w:r>
      <w:r>
        <w:rPr>
          <w:spacing w:val="12"/>
        </w:rPr>
        <w:t xml:space="preserve"> </w:t>
      </w:r>
      <w:r>
        <w:t>has</w:t>
      </w:r>
      <w:r>
        <w:rPr>
          <w:spacing w:val="11"/>
        </w:rPr>
        <w:t xml:space="preserve"> </w:t>
      </w:r>
      <w:r>
        <w:t>psi›,</w:t>
      </w:r>
      <w:r>
        <w:rPr>
          <w:spacing w:val="12"/>
        </w:rPr>
        <w:t xml:space="preserve"> </w:t>
      </w:r>
      <w:r>
        <w:t>does</w:t>
      </w:r>
      <w:r>
        <w:rPr>
          <w:spacing w:val="11"/>
        </w:rPr>
        <w:t xml:space="preserve"> </w:t>
      </w:r>
      <w:r>
        <w:t>nothing</w:t>
      </w:r>
      <w:r>
        <w:rPr>
          <w:spacing w:val="12"/>
        </w:rPr>
        <w:t xml:space="preserve"> </w:t>
      </w:r>
      <w:r>
        <w:t>other</w:t>
      </w:r>
      <w:r>
        <w:rPr>
          <w:spacing w:val="11"/>
        </w:rPr>
        <w:t xml:space="preserve"> </w:t>
      </w:r>
      <w:r>
        <w:t>than</w:t>
      </w:r>
      <w:r>
        <w:rPr>
          <w:spacing w:val="12"/>
        </w:rPr>
        <w:t xml:space="preserve"> </w:t>
      </w:r>
      <w:r>
        <w:t>attribute</w:t>
      </w:r>
      <w:r>
        <w:rPr>
          <w:spacing w:val="12"/>
        </w:rPr>
        <w:t xml:space="preserve"> </w:t>
      </w:r>
      <w:r>
        <w:rPr>
          <w:spacing w:val="-5"/>
        </w:rPr>
        <w:t>psi</w:t>
      </w:r>
    </w:p>
    <w:p w14:paraId="7E00115F" w14:textId="77777777" w:rsidR="009A58DB" w:rsidRDefault="00000000">
      <w:pPr>
        <w:pStyle w:val="BodyText"/>
        <w:spacing w:line="316" w:lineRule="exact"/>
      </w:pPr>
      <w:r>
        <w:t>to</w:t>
      </w:r>
      <w:r>
        <w:rPr>
          <w:spacing w:val="31"/>
        </w:rPr>
        <w:t xml:space="preserve"> </w:t>
      </w:r>
      <w:r>
        <w:t>x.</w:t>
      </w:r>
      <w:r>
        <w:rPr>
          <w:spacing w:val="35"/>
        </w:rPr>
        <w:t xml:space="preserve"> </w:t>
      </w:r>
      <w:r>
        <w:t>But</w:t>
      </w:r>
      <w:r>
        <w:rPr>
          <w:spacing w:val="34"/>
        </w:rPr>
        <w:t xml:space="preserve"> </w:t>
      </w:r>
      <w:r>
        <w:t>for</w:t>
      </w:r>
      <w:r>
        <w:rPr>
          <w:spacing w:val="34"/>
        </w:rPr>
        <w:t xml:space="preserve"> </w:t>
      </w:r>
      <w:r>
        <w:t>reasons</w:t>
      </w:r>
      <w:r>
        <w:rPr>
          <w:spacing w:val="33"/>
        </w:rPr>
        <w:t xml:space="preserve"> </w:t>
      </w:r>
      <w:r>
        <w:t>that</w:t>
      </w:r>
      <w:r>
        <w:rPr>
          <w:spacing w:val="34"/>
        </w:rPr>
        <w:t xml:space="preserve"> </w:t>
      </w:r>
      <w:r>
        <w:t>we’ve</w:t>
      </w:r>
      <w:r>
        <w:rPr>
          <w:spacing w:val="34"/>
        </w:rPr>
        <w:t xml:space="preserve"> </w:t>
      </w:r>
      <w:r>
        <w:t>made</w:t>
      </w:r>
      <w:r>
        <w:rPr>
          <w:spacing w:val="35"/>
        </w:rPr>
        <w:t xml:space="preserve"> </w:t>
      </w:r>
      <w:r>
        <w:t>clear,</w:t>
      </w:r>
      <w:r>
        <w:rPr>
          <w:spacing w:val="33"/>
        </w:rPr>
        <w:t xml:space="preserve"> </w:t>
      </w:r>
      <w:r>
        <w:t>‹Larry</w:t>
      </w:r>
      <w:r>
        <w:rPr>
          <w:spacing w:val="35"/>
        </w:rPr>
        <w:t xml:space="preserve"> </w:t>
      </w:r>
      <w:r>
        <w:t>has</w:t>
      </w:r>
      <w:r>
        <w:rPr>
          <w:spacing w:val="34"/>
        </w:rPr>
        <w:t xml:space="preserve"> </w:t>
      </w:r>
      <w:r>
        <w:t>psi›</w:t>
      </w:r>
      <w:r>
        <w:rPr>
          <w:spacing w:val="34"/>
        </w:rPr>
        <w:t xml:space="preserve"> </w:t>
      </w:r>
      <w:r>
        <w:t>has</w:t>
      </w:r>
      <w:r>
        <w:rPr>
          <w:spacing w:val="35"/>
        </w:rPr>
        <w:t xml:space="preserve"> </w:t>
      </w:r>
      <w:r>
        <w:t>non-</w:t>
      </w:r>
      <w:r>
        <w:rPr>
          <w:spacing w:val="-2"/>
        </w:rPr>
        <w:t>literal</w:t>
      </w:r>
    </w:p>
    <w:p w14:paraId="7E001160" w14:textId="77777777" w:rsidR="009A58DB" w:rsidRDefault="00000000">
      <w:pPr>
        <w:pStyle w:val="BodyText"/>
        <w:spacing w:before="15" w:line="249" w:lineRule="auto"/>
        <w:ind w:right="364"/>
      </w:pPr>
      <w:r>
        <w:t>connotations,</w:t>
      </w:r>
      <w:r>
        <w:rPr>
          <w:spacing w:val="-4"/>
        </w:rPr>
        <w:t xml:space="preserve"> </w:t>
      </w:r>
      <w:r>
        <w:t>to</w:t>
      </w:r>
      <w:r>
        <w:rPr>
          <w:spacing w:val="-4"/>
        </w:rPr>
        <w:t xml:space="preserve"> </w:t>
      </w:r>
      <w:r>
        <w:t>use</w:t>
      </w:r>
      <w:r>
        <w:rPr>
          <w:spacing w:val="-5"/>
        </w:rPr>
        <w:t xml:space="preserve"> </w:t>
      </w:r>
      <w:r>
        <w:t>John</w:t>
      </w:r>
      <w:r>
        <w:rPr>
          <w:spacing w:val="-4"/>
        </w:rPr>
        <w:t xml:space="preserve"> </w:t>
      </w:r>
      <w:r>
        <w:t>Stuart</w:t>
      </w:r>
      <w:r>
        <w:rPr>
          <w:spacing w:val="-5"/>
        </w:rPr>
        <w:t xml:space="preserve"> </w:t>
      </w:r>
      <w:r>
        <w:t>Mill’s</w:t>
      </w:r>
      <w:r>
        <w:rPr>
          <w:spacing w:val="-5"/>
        </w:rPr>
        <w:t xml:space="preserve"> </w:t>
      </w:r>
      <w:r>
        <w:t>expression,</w:t>
      </w:r>
      <w:r>
        <w:rPr>
          <w:spacing w:val="-4"/>
        </w:rPr>
        <w:t xml:space="preserve"> </w:t>
      </w:r>
      <w:r>
        <w:t>that</w:t>
      </w:r>
      <w:r>
        <w:rPr>
          <w:spacing w:val="-5"/>
        </w:rPr>
        <w:t xml:space="preserve"> </w:t>
      </w:r>
      <w:r>
        <w:t>very</w:t>
      </w:r>
      <w:r>
        <w:rPr>
          <w:spacing w:val="-4"/>
        </w:rPr>
        <w:t xml:space="preserve"> </w:t>
      </w:r>
      <w:r>
        <w:t>much</w:t>
      </w:r>
      <w:r>
        <w:rPr>
          <w:spacing w:val="-4"/>
        </w:rPr>
        <w:t xml:space="preserve"> </w:t>
      </w:r>
      <w:r>
        <w:t>affect</w:t>
      </w:r>
      <w:r>
        <w:rPr>
          <w:spacing w:val="-5"/>
        </w:rPr>
        <w:t xml:space="preserve"> </w:t>
      </w:r>
      <w:r>
        <w:t>what it conveys and also, therefore, what it is used to convey.</w:t>
      </w:r>
    </w:p>
    <w:p w14:paraId="7E001161" w14:textId="77777777" w:rsidR="009A58DB" w:rsidRDefault="00000000">
      <w:pPr>
        <w:pStyle w:val="Heading1"/>
        <w:numPr>
          <w:ilvl w:val="1"/>
          <w:numId w:val="158"/>
        </w:numPr>
        <w:tabs>
          <w:tab w:val="left" w:pos="990"/>
        </w:tabs>
        <w:spacing w:before="190"/>
        <w:ind w:left="990" w:hanging="630"/>
      </w:pPr>
      <w:r>
        <w:t>Identity</w:t>
      </w:r>
      <w:r>
        <w:rPr>
          <w:spacing w:val="-6"/>
        </w:rPr>
        <w:t xml:space="preserve"> </w:t>
      </w:r>
      <w:r>
        <w:t>statements</w:t>
      </w:r>
      <w:r>
        <w:rPr>
          <w:spacing w:val="-6"/>
        </w:rPr>
        <w:t xml:space="preserve"> </w:t>
      </w:r>
      <w:r>
        <w:t>and</w:t>
      </w:r>
      <w:r>
        <w:rPr>
          <w:spacing w:val="-6"/>
        </w:rPr>
        <w:t xml:space="preserve"> </w:t>
      </w:r>
      <w:r>
        <w:rPr>
          <w:spacing w:val="-2"/>
        </w:rPr>
        <w:t>modality</w:t>
      </w:r>
    </w:p>
    <w:p w14:paraId="7E001162" w14:textId="77777777" w:rsidR="009A58DB" w:rsidRDefault="00000000">
      <w:pPr>
        <w:pStyle w:val="BodyText"/>
        <w:spacing w:before="139" w:line="249" w:lineRule="auto"/>
        <w:ind w:right="363"/>
      </w:pPr>
      <w:r>
        <w:t>Suppose that, a day after meeting Larry, you meet a person who is clearly wearing a disguise. (Let’s not worry about why he is wearing a disguise or why you don’t find it alarming.) That person introduces himself to you as “Oliver.” You and he then proceed to have an amicable conversation. At that point, a series of events occur that parallel those of the previous day. Your friend Brown is in attendance and joins the conversation. Brown knows Oliver; and, addressing you, Brown says:</w:t>
      </w:r>
    </w:p>
    <w:p w14:paraId="7E001163" w14:textId="77777777" w:rsidR="009A58DB" w:rsidRDefault="009A58DB">
      <w:pPr>
        <w:pStyle w:val="BodyText"/>
        <w:spacing w:before="24"/>
        <w:ind w:left="0"/>
        <w:jc w:val="left"/>
      </w:pPr>
    </w:p>
    <w:p w14:paraId="7E001164" w14:textId="77777777" w:rsidR="009A58DB" w:rsidRDefault="00000000">
      <w:pPr>
        <w:pStyle w:val="BodyText"/>
      </w:pPr>
      <w:r>
        <w:t>(OT)</w:t>
      </w:r>
      <w:r>
        <w:rPr>
          <w:spacing w:val="-4"/>
        </w:rPr>
        <w:t xml:space="preserve"> </w:t>
      </w:r>
      <w:r>
        <w:t>“Oliver</w:t>
      </w:r>
      <w:r>
        <w:rPr>
          <w:spacing w:val="-4"/>
        </w:rPr>
        <w:t xml:space="preserve"> </w:t>
      </w:r>
      <w:r>
        <w:t>is</w:t>
      </w:r>
      <w:r>
        <w:rPr>
          <w:spacing w:val="-4"/>
        </w:rPr>
        <w:t xml:space="preserve"> </w:t>
      </w:r>
      <w:r>
        <w:t>a</w:t>
      </w:r>
      <w:r>
        <w:rPr>
          <w:spacing w:val="-4"/>
        </w:rPr>
        <w:t xml:space="preserve"> </w:t>
      </w:r>
      <w:r>
        <w:t>talented</w:t>
      </w:r>
      <w:r>
        <w:rPr>
          <w:spacing w:val="-3"/>
        </w:rPr>
        <w:t xml:space="preserve"> </w:t>
      </w:r>
      <w:r>
        <w:rPr>
          <w:spacing w:val="-2"/>
        </w:rPr>
        <w:t>astrologer.”</w:t>
      </w:r>
    </w:p>
    <w:p w14:paraId="7E001165" w14:textId="77777777" w:rsidR="009A58DB" w:rsidRDefault="009A58DB">
      <w:pPr>
        <w:pStyle w:val="BodyText"/>
        <w:spacing w:before="30"/>
        <w:ind w:left="0"/>
        <w:jc w:val="left"/>
      </w:pPr>
    </w:p>
    <w:p w14:paraId="7E001166" w14:textId="77777777" w:rsidR="009A58DB" w:rsidRDefault="00000000">
      <w:pPr>
        <w:pStyle w:val="BodyText"/>
        <w:spacing w:line="249" w:lineRule="auto"/>
        <w:ind w:right="365"/>
      </w:pPr>
      <w:r>
        <w:t>Given what we’ve already said, it’s clear what the consequences are. There is some x such that the semantic rule for “Oliver” is:</w:t>
      </w:r>
    </w:p>
    <w:p w14:paraId="7E001167" w14:textId="77777777" w:rsidR="009A58DB" w:rsidRDefault="009A58DB">
      <w:pPr>
        <w:pStyle w:val="BodyText"/>
        <w:spacing w:before="17"/>
        <w:ind w:left="0"/>
        <w:jc w:val="left"/>
      </w:pPr>
    </w:p>
    <w:p w14:paraId="7E001168" w14:textId="77777777" w:rsidR="009A58DB" w:rsidRDefault="00000000">
      <w:pPr>
        <w:pStyle w:val="BodyText"/>
      </w:pPr>
      <w:r>
        <w:t>(OSR)</w:t>
      </w:r>
      <w:r>
        <w:rPr>
          <w:spacing w:val="-7"/>
        </w:rPr>
        <w:t xml:space="preserve"> </w:t>
      </w:r>
      <w:r>
        <w:t>“Oliver”</w:t>
      </w:r>
      <w:r>
        <w:rPr>
          <w:spacing w:val="-5"/>
        </w:rPr>
        <w:t xml:space="preserve"> </w:t>
      </w:r>
      <w:r>
        <w:t>refers</w:t>
      </w:r>
      <w:r>
        <w:rPr>
          <w:spacing w:val="-5"/>
        </w:rPr>
        <w:t xml:space="preserve"> </w:t>
      </w:r>
      <w:r>
        <w:t>to</w:t>
      </w:r>
      <w:r>
        <w:rPr>
          <w:spacing w:val="-4"/>
        </w:rPr>
        <w:t xml:space="preserve"> </w:t>
      </w:r>
      <w:r>
        <w:rPr>
          <w:spacing w:val="-5"/>
        </w:rPr>
        <w:t>x.</w:t>
      </w:r>
    </w:p>
    <w:p w14:paraId="7E001169" w14:textId="77777777" w:rsidR="009A58DB" w:rsidRDefault="009A58DB">
      <w:pPr>
        <w:pStyle w:val="BodyText"/>
        <w:spacing w:before="30"/>
        <w:ind w:left="0"/>
        <w:jc w:val="left"/>
      </w:pPr>
    </w:p>
    <w:p w14:paraId="7E00116A" w14:textId="77777777" w:rsidR="009A58DB" w:rsidRDefault="00000000">
      <w:pPr>
        <w:pStyle w:val="BodyText"/>
        <w:spacing w:line="249" w:lineRule="auto"/>
        <w:ind w:right="365"/>
      </w:pPr>
      <w:r>
        <w:t>A corollary is that OT has for its literal meaning the descriptively impoverished proposition:</w:t>
      </w:r>
    </w:p>
    <w:p w14:paraId="7E00116B" w14:textId="77777777" w:rsidR="009A58DB" w:rsidRDefault="009A58DB">
      <w:pPr>
        <w:pStyle w:val="BodyText"/>
        <w:spacing w:before="18"/>
        <w:ind w:left="0"/>
        <w:jc w:val="left"/>
      </w:pPr>
    </w:p>
    <w:p w14:paraId="7E00116C" w14:textId="77777777" w:rsidR="009A58DB" w:rsidRDefault="00000000">
      <w:pPr>
        <w:pStyle w:val="BodyText"/>
      </w:pPr>
      <w:r>
        <w:t>(OT</w:t>
      </w:r>
      <w:r>
        <w:rPr>
          <w:vertAlign w:val="subscript"/>
        </w:rPr>
        <w:t>1</w:t>
      </w:r>
      <w:r>
        <w:t>) x</w:t>
      </w:r>
      <w:r>
        <w:rPr>
          <w:spacing w:val="2"/>
        </w:rPr>
        <w:t xml:space="preserve"> </w:t>
      </w:r>
      <w:r>
        <w:t>is</w:t>
      </w:r>
      <w:r>
        <w:rPr>
          <w:spacing w:val="1"/>
        </w:rPr>
        <w:t xml:space="preserve"> </w:t>
      </w:r>
      <w:r>
        <w:t>a</w:t>
      </w:r>
      <w:r>
        <w:rPr>
          <w:spacing w:val="1"/>
        </w:rPr>
        <w:t xml:space="preserve"> </w:t>
      </w:r>
      <w:r>
        <w:t>talented</w:t>
      </w:r>
      <w:r>
        <w:rPr>
          <w:spacing w:val="2"/>
        </w:rPr>
        <w:t xml:space="preserve"> </w:t>
      </w:r>
      <w:r>
        <w:rPr>
          <w:spacing w:val="-2"/>
        </w:rPr>
        <w:t>astrologer.</w:t>
      </w:r>
    </w:p>
    <w:p w14:paraId="7E00116D" w14:textId="77777777" w:rsidR="009A58DB" w:rsidRDefault="009A58DB">
      <w:pPr>
        <w:pStyle w:val="BodyText"/>
        <w:spacing w:before="90"/>
        <w:ind w:left="0"/>
        <w:jc w:val="left"/>
      </w:pPr>
    </w:p>
    <w:p w14:paraId="7E00116E" w14:textId="77777777" w:rsidR="009A58DB" w:rsidRDefault="00000000">
      <w:pPr>
        <w:pStyle w:val="BodyText"/>
        <w:spacing w:line="249" w:lineRule="auto"/>
        <w:ind w:right="360"/>
      </w:pPr>
      <w:r>
        <w:t>At the same time, given the circumstances under which you learn who “Oliver” refers to, what Brown’s utterance of OT will convey to you (non-literally) will be descriptively richer than OT and will be along the lines of:</w:t>
      </w:r>
    </w:p>
    <w:p w14:paraId="7E00116F" w14:textId="77777777" w:rsidR="009A58DB" w:rsidRDefault="009A58DB">
      <w:pPr>
        <w:pStyle w:val="BodyText"/>
        <w:spacing w:before="19"/>
        <w:ind w:left="0"/>
        <w:jc w:val="left"/>
      </w:pPr>
    </w:p>
    <w:p w14:paraId="7E001170" w14:textId="77777777" w:rsidR="009A58DB" w:rsidRDefault="00000000">
      <w:pPr>
        <w:pStyle w:val="BodyText"/>
        <w:spacing w:line="292" w:lineRule="auto"/>
        <w:ind w:right="367"/>
      </w:pPr>
      <w:r>
        <w:t>(OT</w:t>
      </w:r>
      <w:r>
        <w:rPr>
          <w:vertAlign w:val="subscript"/>
        </w:rPr>
        <w:t>2</w:t>
      </w:r>
      <w:r>
        <w:t>) There is some individual such that, right now, that person uniquely has the</w:t>
      </w:r>
      <w:r>
        <w:rPr>
          <w:spacing w:val="37"/>
        </w:rPr>
        <w:t xml:space="preserve"> </w:t>
      </w:r>
      <w:r>
        <w:t>property</w:t>
      </w:r>
      <w:r>
        <w:rPr>
          <w:spacing w:val="38"/>
        </w:rPr>
        <w:t xml:space="preserve"> </w:t>
      </w:r>
      <w:r>
        <w:t>of</w:t>
      </w:r>
      <w:r>
        <w:rPr>
          <w:spacing w:val="38"/>
        </w:rPr>
        <w:t xml:space="preserve"> </w:t>
      </w:r>
      <w:r>
        <w:t>being</w:t>
      </w:r>
      <w:r>
        <w:rPr>
          <w:spacing w:val="38"/>
        </w:rPr>
        <w:t xml:space="preserve"> </w:t>
      </w:r>
      <w:r>
        <w:t>a</w:t>
      </w:r>
      <w:r>
        <w:rPr>
          <w:spacing w:val="38"/>
        </w:rPr>
        <w:t xml:space="preserve"> </w:t>
      </w:r>
      <w:r>
        <w:t>person</w:t>
      </w:r>
      <w:r>
        <w:rPr>
          <w:spacing w:val="38"/>
        </w:rPr>
        <w:t xml:space="preserve"> </w:t>
      </w:r>
      <w:r>
        <w:t>wearing</w:t>
      </w:r>
      <w:r>
        <w:rPr>
          <w:spacing w:val="38"/>
        </w:rPr>
        <w:t xml:space="preserve"> </w:t>
      </w:r>
      <w:r>
        <w:t>a</w:t>
      </w:r>
      <w:r>
        <w:rPr>
          <w:spacing w:val="38"/>
        </w:rPr>
        <w:t xml:space="preserve"> </w:t>
      </w:r>
      <w:r>
        <w:t>disguise</w:t>
      </w:r>
      <w:r>
        <w:rPr>
          <w:spacing w:val="38"/>
        </w:rPr>
        <w:t xml:space="preserve"> </w:t>
      </w:r>
      <w:r>
        <w:t>who</w:t>
      </w:r>
      <w:r>
        <w:rPr>
          <w:spacing w:val="38"/>
        </w:rPr>
        <w:t xml:space="preserve"> </w:t>
      </w:r>
      <w:r>
        <w:t>is</w:t>
      </w:r>
      <w:r>
        <w:rPr>
          <w:spacing w:val="38"/>
        </w:rPr>
        <w:t xml:space="preserve"> </w:t>
      </w:r>
      <w:r>
        <w:t>standing</w:t>
      </w:r>
      <w:r>
        <w:rPr>
          <w:spacing w:val="38"/>
        </w:rPr>
        <w:t xml:space="preserve"> </w:t>
      </w:r>
      <w:r>
        <w:t>right</w:t>
      </w:r>
      <w:r>
        <w:rPr>
          <w:spacing w:val="38"/>
        </w:rPr>
        <w:t xml:space="preserve"> </w:t>
      </w:r>
      <w:r>
        <w:rPr>
          <w:spacing w:val="-5"/>
        </w:rPr>
        <w:t>in</w:t>
      </w:r>
    </w:p>
    <w:p w14:paraId="7E001171"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172" w14:textId="77777777" w:rsidR="009A58DB" w:rsidRDefault="00000000">
      <w:pPr>
        <w:pStyle w:val="BodyText"/>
        <w:spacing w:before="60"/>
        <w:jc w:val="left"/>
      </w:pPr>
      <w:r>
        <w:lastRenderedPageBreak/>
        <w:t>front</w:t>
      </w:r>
      <w:r>
        <w:rPr>
          <w:spacing w:val="-6"/>
        </w:rPr>
        <w:t xml:space="preserve"> </w:t>
      </w:r>
      <w:r>
        <w:t>or</w:t>
      </w:r>
      <w:r>
        <w:rPr>
          <w:spacing w:val="-3"/>
        </w:rPr>
        <w:t xml:space="preserve"> </w:t>
      </w:r>
      <w:r>
        <w:t>me;</w:t>
      </w:r>
      <w:r>
        <w:rPr>
          <w:spacing w:val="-3"/>
        </w:rPr>
        <w:t xml:space="preserve"> </w:t>
      </w:r>
      <w:r>
        <w:t>moreover,</w:t>
      </w:r>
      <w:r>
        <w:rPr>
          <w:spacing w:val="-3"/>
        </w:rPr>
        <w:t xml:space="preserve"> </w:t>
      </w:r>
      <w:r>
        <w:t>that</w:t>
      </w:r>
      <w:r>
        <w:rPr>
          <w:spacing w:val="-3"/>
        </w:rPr>
        <w:t xml:space="preserve"> </w:t>
      </w:r>
      <w:r>
        <w:t>person</w:t>
      </w:r>
      <w:r>
        <w:rPr>
          <w:spacing w:val="-2"/>
        </w:rPr>
        <w:t xml:space="preserve"> </w:t>
      </w:r>
      <w:r>
        <w:t>is</w:t>
      </w:r>
      <w:r>
        <w:rPr>
          <w:spacing w:val="-4"/>
        </w:rPr>
        <w:t xml:space="preserve"> </w:t>
      </w:r>
      <w:r>
        <w:t>a</w:t>
      </w:r>
      <w:r>
        <w:rPr>
          <w:spacing w:val="-3"/>
        </w:rPr>
        <w:t xml:space="preserve"> </w:t>
      </w:r>
      <w:r>
        <w:t>talented</w:t>
      </w:r>
      <w:r>
        <w:rPr>
          <w:spacing w:val="-2"/>
        </w:rPr>
        <w:t xml:space="preserve"> astrologer.</w:t>
      </w:r>
    </w:p>
    <w:p w14:paraId="7E001173" w14:textId="77777777" w:rsidR="009A58DB" w:rsidRDefault="009A58DB">
      <w:pPr>
        <w:pStyle w:val="BodyText"/>
        <w:spacing w:before="34"/>
        <w:ind w:left="0"/>
        <w:jc w:val="left"/>
      </w:pPr>
    </w:p>
    <w:p w14:paraId="7E001174" w14:textId="77777777" w:rsidR="009A58DB" w:rsidRDefault="00000000">
      <w:pPr>
        <w:pStyle w:val="BodyText"/>
        <w:spacing w:before="1" w:line="271" w:lineRule="auto"/>
        <w:ind w:right="358" w:firstLine="360"/>
      </w:pPr>
      <w:r>
        <w:t>But for reasons analogous to those given earlier, you will know (at some level) that OT doesn’t have OT</w:t>
      </w:r>
      <w:r>
        <w:rPr>
          <w:vertAlign w:val="subscript"/>
        </w:rPr>
        <w:t>2</w:t>
      </w:r>
      <w:r>
        <w:t xml:space="preserve"> or any other comparable proposition for its meaning;</w:t>
      </w:r>
      <w:r>
        <w:rPr>
          <w:spacing w:val="17"/>
        </w:rPr>
        <w:t xml:space="preserve"> </w:t>
      </w:r>
      <w:r>
        <w:t>you</w:t>
      </w:r>
      <w:r>
        <w:rPr>
          <w:spacing w:val="18"/>
        </w:rPr>
        <w:t xml:space="preserve"> </w:t>
      </w:r>
      <w:r>
        <w:t>know</w:t>
      </w:r>
      <w:r>
        <w:rPr>
          <w:spacing w:val="18"/>
        </w:rPr>
        <w:t xml:space="preserve"> </w:t>
      </w:r>
      <w:r>
        <w:t>(at</w:t>
      </w:r>
      <w:r>
        <w:rPr>
          <w:spacing w:val="17"/>
        </w:rPr>
        <w:t xml:space="preserve"> </w:t>
      </w:r>
      <w:r>
        <w:t>some</w:t>
      </w:r>
      <w:r>
        <w:rPr>
          <w:spacing w:val="18"/>
        </w:rPr>
        <w:t xml:space="preserve"> </w:t>
      </w:r>
      <w:r>
        <w:t>level)</w:t>
      </w:r>
      <w:r>
        <w:rPr>
          <w:spacing w:val="18"/>
        </w:rPr>
        <w:t xml:space="preserve"> </w:t>
      </w:r>
      <w:r>
        <w:t>that</w:t>
      </w:r>
      <w:r>
        <w:rPr>
          <w:spacing w:val="17"/>
        </w:rPr>
        <w:t xml:space="preserve"> </w:t>
      </w:r>
      <w:r>
        <w:t>nothing</w:t>
      </w:r>
      <w:r>
        <w:rPr>
          <w:spacing w:val="18"/>
        </w:rPr>
        <w:t xml:space="preserve"> </w:t>
      </w:r>
      <w:r>
        <w:t>having</w:t>
      </w:r>
      <w:r>
        <w:rPr>
          <w:spacing w:val="18"/>
        </w:rPr>
        <w:t xml:space="preserve"> </w:t>
      </w:r>
      <w:r>
        <w:t>to</w:t>
      </w:r>
      <w:r>
        <w:rPr>
          <w:spacing w:val="18"/>
        </w:rPr>
        <w:t xml:space="preserve"> </w:t>
      </w:r>
      <w:r>
        <w:t>do</w:t>
      </w:r>
      <w:r>
        <w:rPr>
          <w:spacing w:val="18"/>
        </w:rPr>
        <w:t xml:space="preserve"> </w:t>
      </w:r>
      <w:r>
        <w:t>with</w:t>
      </w:r>
      <w:r>
        <w:rPr>
          <w:spacing w:val="18"/>
        </w:rPr>
        <w:t xml:space="preserve"> </w:t>
      </w:r>
      <w:r>
        <w:t>disguise-</w:t>
      </w:r>
    </w:p>
    <w:p w14:paraId="7E001175" w14:textId="77777777" w:rsidR="009A58DB" w:rsidRDefault="00000000">
      <w:pPr>
        <w:pStyle w:val="BodyText"/>
        <w:spacing w:line="316" w:lineRule="exact"/>
      </w:pPr>
      <w:r>
        <w:t>wearing</w:t>
      </w:r>
      <w:r>
        <w:rPr>
          <w:spacing w:val="-5"/>
        </w:rPr>
        <w:t xml:space="preserve"> </w:t>
      </w:r>
      <w:r>
        <w:t>is</w:t>
      </w:r>
      <w:r>
        <w:rPr>
          <w:spacing w:val="-3"/>
        </w:rPr>
        <w:t xml:space="preserve"> </w:t>
      </w:r>
      <w:r>
        <w:t>any</w:t>
      </w:r>
      <w:r>
        <w:rPr>
          <w:spacing w:val="-2"/>
        </w:rPr>
        <w:t xml:space="preserve"> </w:t>
      </w:r>
      <w:r>
        <w:t>part</w:t>
      </w:r>
      <w:r>
        <w:rPr>
          <w:spacing w:val="-4"/>
        </w:rPr>
        <w:t xml:space="preserve"> </w:t>
      </w:r>
      <w:r>
        <w:t>of</w:t>
      </w:r>
      <w:r>
        <w:rPr>
          <w:spacing w:val="-3"/>
        </w:rPr>
        <w:t xml:space="preserve"> </w:t>
      </w:r>
      <w:r>
        <w:t>what</w:t>
      </w:r>
      <w:r>
        <w:rPr>
          <w:spacing w:val="-3"/>
        </w:rPr>
        <w:t xml:space="preserve"> </w:t>
      </w:r>
      <w:r>
        <w:t>is</w:t>
      </w:r>
      <w:r>
        <w:rPr>
          <w:spacing w:val="-4"/>
        </w:rPr>
        <w:t xml:space="preserve"> </w:t>
      </w:r>
      <w:r>
        <w:t>literally</w:t>
      </w:r>
      <w:r>
        <w:rPr>
          <w:spacing w:val="-2"/>
        </w:rPr>
        <w:t xml:space="preserve"> </w:t>
      </w:r>
      <w:r>
        <w:t>meant</w:t>
      </w:r>
      <w:r>
        <w:rPr>
          <w:spacing w:val="-3"/>
        </w:rPr>
        <w:t xml:space="preserve"> </w:t>
      </w:r>
      <w:r>
        <w:t>by</w:t>
      </w:r>
      <w:r>
        <w:rPr>
          <w:spacing w:val="-2"/>
        </w:rPr>
        <w:t xml:space="preserve"> </w:t>
      </w:r>
      <w:r>
        <w:rPr>
          <w:spacing w:val="-5"/>
        </w:rPr>
        <w:t>OT.</w:t>
      </w:r>
    </w:p>
    <w:p w14:paraId="7E001176" w14:textId="77777777" w:rsidR="009A58DB" w:rsidRDefault="00000000">
      <w:pPr>
        <w:pStyle w:val="BodyText"/>
        <w:spacing w:before="15" w:line="249" w:lineRule="auto"/>
        <w:ind w:right="358" w:firstLine="360"/>
      </w:pPr>
      <w:r>
        <w:t xml:space="preserve">But Oliver </w:t>
      </w:r>
      <w:r>
        <w:rPr>
          <w:i/>
        </w:rPr>
        <w:t xml:space="preserve">is </w:t>
      </w:r>
      <w:r>
        <w:t>Larry. You don’t know this. It just happens to be the case. Unbeknownst to you, the person you know as “Larry”—the guy with the handle-bar mustache—is identical with the guy you know as “Oliver”—the guy wearing the mask.</w:t>
      </w:r>
    </w:p>
    <w:p w14:paraId="7E001177" w14:textId="77777777" w:rsidR="009A58DB" w:rsidRDefault="00000000">
      <w:pPr>
        <w:pStyle w:val="BodyText"/>
        <w:spacing w:before="5"/>
        <w:ind w:left="720"/>
      </w:pPr>
      <w:r>
        <w:t>There</w:t>
      </w:r>
      <w:r>
        <w:rPr>
          <w:spacing w:val="-5"/>
        </w:rPr>
        <w:t xml:space="preserve"> </w:t>
      </w:r>
      <w:r>
        <w:t>is</w:t>
      </w:r>
      <w:r>
        <w:rPr>
          <w:spacing w:val="-3"/>
        </w:rPr>
        <w:t xml:space="preserve"> </w:t>
      </w:r>
      <w:r>
        <w:t>some</w:t>
      </w:r>
      <w:r>
        <w:rPr>
          <w:spacing w:val="-3"/>
        </w:rPr>
        <w:t xml:space="preserve"> </w:t>
      </w:r>
      <w:r>
        <w:t>one</w:t>
      </w:r>
      <w:r>
        <w:rPr>
          <w:spacing w:val="-3"/>
        </w:rPr>
        <w:t xml:space="preserve"> </w:t>
      </w:r>
      <w:r>
        <w:t>individual</w:t>
      </w:r>
      <w:r>
        <w:rPr>
          <w:spacing w:val="-2"/>
        </w:rPr>
        <w:t xml:space="preserve"> </w:t>
      </w:r>
      <w:r>
        <w:t>who</w:t>
      </w:r>
      <w:r>
        <w:rPr>
          <w:spacing w:val="-2"/>
        </w:rPr>
        <w:t xml:space="preserve"> </w:t>
      </w:r>
      <w:r>
        <w:t>goes</w:t>
      </w:r>
      <w:r>
        <w:rPr>
          <w:spacing w:val="-3"/>
        </w:rPr>
        <w:t xml:space="preserve"> </w:t>
      </w:r>
      <w:r>
        <w:t>by</w:t>
      </w:r>
      <w:r>
        <w:rPr>
          <w:spacing w:val="-2"/>
        </w:rPr>
        <w:t xml:space="preserve"> </w:t>
      </w:r>
      <w:r>
        <w:t>“Larry”</w:t>
      </w:r>
      <w:r>
        <w:rPr>
          <w:spacing w:val="-3"/>
        </w:rPr>
        <w:t xml:space="preserve"> </w:t>
      </w:r>
      <w:r>
        <w:t>and</w:t>
      </w:r>
      <w:r>
        <w:rPr>
          <w:spacing w:val="-1"/>
        </w:rPr>
        <w:t xml:space="preserve"> </w:t>
      </w:r>
      <w:r>
        <w:rPr>
          <w:spacing w:val="-2"/>
        </w:rPr>
        <w:t>“Oliver.”</w:t>
      </w:r>
    </w:p>
    <w:p w14:paraId="7E001178" w14:textId="77777777" w:rsidR="009A58DB" w:rsidRDefault="00000000">
      <w:pPr>
        <w:pStyle w:val="BodyText"/>
        <w:spacing w:before="15" w:line="249" w:lineRule="auto"/>
        <w:ind w:right="361" w:firstLine="360"/>
      </w:pPr>
      <w:r>
        <w:t xml:space="preserve">It follows that there is some </w:t>
      </w:r>
      <w:r>
        <w:rPr>
          <w:i/>
        </w:rPr>
        <w:t xml:space="preserve">one </w:t>
      </w:r>
      <w:r>
        <w:t>individual x such that the semantic rule for “Oliver” is:</w:t>
      </w:r>
    </w:p>
    <w:p w14:paraId="7E001179" w14:textId="77777777" w:rsidR="009A58DB" w:rsidRDefault="009A58DB">
      <w:pPr>
        <w:pStyle w:val="BodyText"/>
        <w:spacing w:before="17"/>
        <w:ind w:left="0"/>
        <w:jc w:val="left"/>
      </w:pPr>
    </w:p>
    <w:p w14:paraId="7E00117A" w14:textId="77777777" w:rsidR="009A58DB" w:rsidRDefault="00000000">
      <w:pPr>
        <w:pStyle w:val="BodyText"/>
        <w:jc w:val="left"/>
      </w:pPr>
      <w:r>
        <w:t>(OSR)</w:t>
      </w:r>
      <w:r>
        <w:rPr>
          <w:spacing w:val="-7"/>
        </w:rPr>
        <w:t xml:space="preserve"> </w:t>
      </w:r>
      <w:r>
        <w:t>“Oliver”</w:t>
      </w:r>
      <w:r>
        <w:rPr>
          <w:spacing w:val="-5"/>
        </w:rPr>
        <w:t xml:space="preserve"> </w:t>
      </w:r>
      <w:r>
        <w:t>refers</w:t>
      </w:r>
      <w:r>
        <w:rPr>
          <w:spacing w:val="-5"/>
        </w:rPr>
        <w:t xml:space="preserve"> </w:t>
      </w:r>
      <w:r>
        <w:t>to</w:t>
      </w:r>
      <w:r>
        <w:rPr>
          <w:spacing w:val="-4"/>
        </w:rPr>
        <w:t xml:space="preserve"> </w:t>
      </w:r>
      <w:r>
        <w:rPr>
          <w:spacing w:val="-5"/>
        </w:rPr>
        <w:t>x,</w:t>
      </w:r>
    </w:p>
    <w:p w14:paraId="7E00117B" w14:textId="77777777" w:rsidR="009A58DB" w:rsidRDefault="009A58DB">
      <w:pPr>
        <w:pStyle w:val="BodyText"/>
        <w:spacing w:before="30"/>
        <w:ind w:left="0"/>
        <w:jc w:val="left"/>
      </w:pPr>
    </w:p>
    <w:p w14:paraId="7E00117C" w14:textId="77777777" w:rsidR="009A58DB" w:rsidRDefault="00000000">
      <w:pPr>
        <w:pStyle w:val="BodyText"/>
        <w:jc w:val="left"/>
      </w:pPr>
      <w:r>
        <w:t>and</w:t>
      </w:r>
      <w:r>
        <w:rPr>
          <w:spacing w:val="-3"/>
        </w:rPr>
        <w:t xml:space="preserve"> </w:t>
      </w:r>
      <w:r>
        <w:t>such</w:t>
      </w:r>
      <w:r>
        <w:rPr>
          <w:spacing w:val="-3"/>
        </w:rPr>
        <w:t xml:space="preserve"> </w:t>
      </w:r>
      <w:r>
        <w:t>that</w:t>
      </w:r>
      <w:r>
        <w:rPr>
          <w:spacing w:val="-3"/>
        </w:rPr>
        <w:t xml:space="preserve"> </w:t>
      </w:r>
      <w:r>
        <w:t>the</w:t>
      </w:r>
      <w:r>
        <w:rPr>
          <w:spacing w:val="-4"/>
        </w:rPr>
        <w:t xml:space="preserve"> </w:t>
      </w:r>
      <w:r>
        <w:t>semantic</w:t>
      </w:r>
      <w:r>
        <w:rPr>
          <w:spacing w:val="-3"/>
        </w:rPr>
        <w:t xml:space="preserve"> </w:t>
      </w:r>
      <w:r>
        <w:t>rule</w:t>
      </w:r>
      <w:r>
        <w:rPr>
          <w:spacing w:val="-4"/>
        </w:rPr>
        <w:t xml:space="preserve"> </w:t>
      </w:r>
      <w:r>
        <w:t>for</w:t>
      </w:r>
      <w:r>
        <w:rPr>
          <w:spacing w:val="-3"/>
        </w:rPr>
        <w:t xml:space="preserve"> </w:t>
      </w:r>
      <w:r>
        <w:t>“Larry”</w:t>
      </w:r>
      <w:r>
        <w:rPr>
          <w:spacing w:val="-3"/>
        </w:rPr>
        <w:t xml:space="preserve"> </w:t>
      </w:r>
      <w:r>
        <w:rPr>
          <w:spacing w:val="-5"/>
        </w:rPr>
        <w:t>is:</w:t>
      </w:r>
    </w:p>
    <w:p w14:paraId="7E00117D" w14:textId="77777777" w:rsidR="009A58DB" w:rsidRDefault="009A58DB">
      <w:pPr>
        <w:pStyle w:val="BodyText"/>
        <w:spacing w:before="30"/>
        <w:ind w:left="0"/>
        <w:jc w:val="left"/>
      </w:pPr>
    </w:p>
    <w:p w14:paraId="7E00117E" w14:textId="77777777" w:rsidR="009A58DB" w:rsidRDefault="00000000">
      <w:pPr>
        <w:pStyle w:val="BodyText"/>
        <w:jc w:val="left"/>
      </w:pPr>
      <w:r>
        <w:t>(LSR)</w:t>
      </w:r>
      <w:r>
        <w:rPr>
          <w:spacing w:val="-5"/>
        </w:rPr>
        <w:t xml:space="preserve"> </w:t>
      </w:r>
      <w:r>
        <w:t>“Larry”</w:t>
      </w:r>
      <w:r>
        <w:rPr>
          <w:spacing w:val="-5"/>
        </w:rPr>
        <w:t xml:space="preserve"> </w:t>
      </w:r>
      <w:r>
        <w:t>refers</w:t>
      </w:r>
      <w:r>
        <w:rPr>
          <w:spacing w:val="-5"/>
        </w:rPr>
        <w:t xml:space="preserve"> </w:t>
      </w:r>
      <w:r>
        <w:t>to</w:t>
      </w:r>
      <w:r>
        <w:rPr>
          <w:spacing w:val="-3"/>
        </w:rPr>
        <w:t xml:space="preserve"> </w:t>
      </w:r>
      <w:r>
        <w:rPr>
          <w:spacing w:val="-5"/>
        </w:rPr>
        <w:t>x.</w:t>
      </w:r>
    </w:p>
    <w:p w14:paraId="7E00117F" w14:textId="77777777" w:rsidR="009A58DB" w:rsidRDefault="009A58DB">
      <w:pPr>
        <w:pStyle w:val="BodyText"/>
        <w:spacing w:before="30"/>
        <w:ind w:left="0"/>
        <w:jc w:val="left"/>
      </w:pPr>
    </w:p>
    <w:p w14:paraId="7E001180" w14:textId="77777777" w:rsidR="009A58DB" w:rsidRDefault="00000000">
      <w:pPr>
        <w:pStyle w:val="BodyText"/>
        <w:spacing w:line="249" w:lineRule="auto"/>
        <w:ind w:right="359" w:firstLine="360"/>
      </w:pPr>
      <w:r>
        <w:t>There</w:t>
      </w:r>
      <w:r>
        <w:rPr>
          <w:spacing w:val="-1"/>
        </w:rPr>
        <w:t xml:space="preserve"> </w:t>
      </w:r>
      <w:r>
        <w:t>is</w:t>
      </w:r>
      <w:r>
        <w:rPr>
          <w:spacing w:val="-1"/>
        </w:rPr>
        <w:t xml:space="preserve"> </w:t>
      </w:r>
      <w:r>
        <w:t>thus</w:t>
      </w:r>
      <w:r>
        <w:rPr>
          <w:spacing w:val="-1"/>
        </w:rPr>
        <w:t xml:space="preserve"> </w:t>
      </w:r>
      <w:r>
        <w:t>some</w:t>
      </w:r>
      <w:r>
        <w:rPr>
          <w:spacing w:val="-1"/>
        </w:rPr>
        <w:t xml:space="preserve"> </w:t>
      </w:r>
      <w:r>
        <w:t>one</w:t>
      </w:r>
      <w:r>
        <w:rPr>
          <w:spacing w:val="-1"/>
        </w:rPr>
        <w:t xml:space="preserve"> </w:t>
      </w:r>
      <w:r>
        <w:t>individual</w:t>
      </w:r>
      <w:r>
        <w:rPr>
          <w:spacing w:val="-1"/>
        </w:rPr>
        <w:t xml:space="preserve"> </w:t>
      </w:r>
      <w:r>
        <w:t>x</w:t>
      </w:r>
      <w:r>
        <w:rPr>
          <w:spacing w:val="-1"/>
        </w:rPr>
        <w:t xml:space="preserve"> </w:t>
      </w:r>
      <w:r>
        <w:t>(this</w:t>
      </w:r>
      <w:r>
        <w:rPr>
          <w:spacing w:val="-1"/>
        </w:rPr>
        <w:t xml:space="preserve"> </w:t>
      </w:r>
      <w:r>
        <w:t>being</w:t>
      </w:r>
      <w:r>
        <w:rPr>
          <w:spacing w:val="-1"/>
        </w:rPr>
        <w:t xml:space="preserve"> </w:t>
      </w:r>
      <w:r>
        <w:t>Larry)</w:t>
      </w:r>
      <w:r>
        <w:rPr>
          <w:spacing w:val="-1"/>
        </w:rPr>
        <w:t xml:space="preserve"> </w:t>
      </w:r>
      <w:r>
        <w:t>such</w:t>
      </w:r>
      <w:r>
        <w:rPr>
          <w:spacing w:val="-1"/>
        </w:rPr>
        <w:t xml:space="preserve"> </w:t>
      </w:r>
      <w:r>
        <w:t>that,</w:t>
      </w:r>
      <w:r>
        <w:rPr>
          <w:spacing w:val="-1"/>
        </w:rPr>
        <w:t xml:space="preserve"> </w:t>
      </w:r>
      <w:r>
        <w:t>given</w:t>
      </w:r>
      <w:r>
        <w:rPr>
          <w:spacing w:val="-1"/>
        </w:rPr>
        <w:t xml:space="preserve"> </w:t>
      </w:r>
      <w:r>
        <w:t>that OSR and LSR are the semantic rule for “Oliver” and “Larry” Jones respectively, and such that, consequently:</w:t>
      </w:r>
    </w:p>
    <w:p w14:paraId="7E001181" w14:textId="77777777" w:rsidR="009A58DB" w:rsidRDefault="009A58DB">
      <w:pPr>
        <w:pStyle w:val="BodyText"/>
        <w:spacing w:before="19"/>
        <w:ind w:left="0"/>
        <w:jc w:val="left"/>
      </w:pPr>
    </w:p>
    <w:p w14:paraId="7E001182" w14:textId="77777777" w:rsidR="009A58DB" w:rsidRDefault="00000000">
      <w:pPr>
        <w:pStyle w:val="BodyText"/>
        <w:spacing w:line="501" w:lineRule="auto"/>
        <w:ind w:right="5135"/>
        <w:jc w:val="left"/>
      </w:pPr>
      <w:r>
        <w:t>(OT)</w:t>
      </w:r>
      <w:r>
        <w:rPr>
          <w:spacing w:val="-9"/>
        </w:rPr>
        <w:t xml:space="preserve"> </w:t>
      </w:r>
      <w:r>
        <w:t>“Oliver</w:t>
      </w:r>
      <w:r>
        <w:rPr>
          <w:spacing w:val="-9"/>
        </w:rPr>
        <w:t xml:space="preserve"> </w:t>
      </w:r>
      <w:r>
        <w:t>is</w:t>
      </w:r>
      <w:r>
        <w:rPr>
          <w:spacing w:val="-9"/>
        </w:rPr>
        <w:t xml:space="preserve"> </w:t>
      </w:r>
      <w:r>
        <w:t>a</w:t>
      </w:r>
      <w:r>
        <w:rPr>
          <w:spacing w:val="-9"/>
        </w:rPr>
        <w:t xml:space="preserve"> </w:t>
      </w:r>
      <w:r>
        <w:t>talented</w:t>
      </w:r>
      <w:r>
        <w:rPr>
          <w:spacing w:val="-8"/>
        </w:rPr>
        <w:t xml:space="preserve"> </w:t>
      </w:r>
      <w:r>
        <w:t xml:space="preserve">astrologer” </w:t>
      </w:r>
      <w:r>
        <w:rPr>
          <w:spacing w:val="-2"/>
        </w:rPr>
        <w:t>means</w:t>
      </w:r>
    </w:p>
    <w:p w14:paraId="7E001183" w14:textId="77777777" w:rsidR="009A58DB" w:rsidRDefault="00000000">
      <w:pPr>
        <w:pStyle w:val="BodyText"/>
        <w:spacing w:line="542" w:lineRule="auto"/>
        <w:ind w:right="5627"/>
        <w:jc w:val="left"/>
      </w:pPr>
      <w:r>
        <w:t>(OT</w:t>
      </w:r>
      <w:r>
        <w:rPr>
          <w:vertAlign w:val="subscript"/>
        </w:rPr>
        <w:t>1</w:t>
      </w:r>
      <w:r>
        <w:t>)</w:t>
      </w:r>
      <w:r>
        <w:rPr>
          <w:spacing w:val="-5"/>
        </w:rPr>
        <w:t xml:space="preserve"> </w:t>
      </w:r>
      <w:r>
        <w:t>x</w:t>
      </w:r>
      <w:r>
        <w:rPr>
          <w:spacing w:val="-4"/>
        </w:rPr>
        <w:t xml:space="preserve"> </w:t>
      </w:r>
      <w:r>
        <w:t>is</w:t>
      </w:r>
      <w:r>
        <w:rPr>
          <w:spacing w:val="-5"/>
        </w:rPr>
        <w:t xml:space="preserve"> </w:t>
      </w:r>
      <w:r>
        <w:t>a</w:t>
      </w:r>
      <w:r>
        <w:rPr>
          <w:spacing w:val="-5"/>
        </w:rPr>
        <w:t xml:space="preserve"> </w:t>
      </w:r>
      <w:r>
        <w:t>talented</w:t>
      </w:r>
      <w:r>
        <w:rPr>
          <w:spacing w:val="-4"/>
        </w:rPr>
        <w:t xml:space="preserve"> </w:t>
      </w:r>
      <w:r>
        <w:t>astrologer and such that</w:t>
      </w:r>
    </w:p>
    <w:p w14:paraId="7E001184" w14:textId="77777777" w:rsidR="009A58DB" w:rsidRDefault="00000000">
      <w:pPr>
        <w:pStyle w:val="BodyText"/>
        <w:spacing w:line="286" w:lineRule="exact"/>
      </w:pPr>
      <w:r>
        <w:t>(LT)</w:t>
      </w:r>
      <w:r>
        <w:rPr>
          <w:spacing w:val="-4"/>
        </w:rPr>
        <w:t xml:space="preserve"> </w:t>
      </w:r>
      <w:r>
        <w:t>“Larry</w:t>
      </w:r>
      <w:r>
        <w:rPr>
          <w:spacing w:val="-3"/>
        </w:rPr>
        <w:t xml:space="preserve"> </w:t>
      </w:r>
      <w:r>
        <w:t>is</w:t>
      </w:r>
      <w:r>
        <w:rPr>
          <w:spacing w:val="-4"/>
        </w:rPr>
        <w:t xml:space="preserve"> </w:t>
      </w:r>
      <w:r>
        <w:t>a</w:t>
      </w:r>
      <w:r>
        <w:rPr>
          <w:spacing w:val="-4"/>
        </w:rPr>
        <w:t xml:space="preserve"> </w:t>
      </w:r>
      <w:r>
        <w:t>talented</w:t>
      </w:r>
      <w:r>
        <w:rPr>
          <w:spacing w:val="-3"/>
        </w:rPr>
        <w:t xml:space="preserve"> </w:t>
      </w:r>
      <w:r>
        <w:rPr>
          <w:spacing w:val="-2"/>
        </w:rPr>
        <w:t>astrologer”</w:t>
      </w:r>
    </w:p>
    <w:p w14:paraId="7E001185" w14:textId="77777777" w:rsidR="009A58DB" w:rsidRDefault="009A58DB">
      <w:pPr>
        <w:pStyle w:val="BodyText"/>
        <w:spacing w:before="28"/>
        <w:ind w:left="0"/>
        <w:jc w:val="left"/>
      </w:pPr>
    </w:p>
    <w:p w14:paraId="7E001186" w14:textId="77777777" w:rsidR="009A58DB" w:rsidRDefault="00000000">
      <w:pPr>
        <w:pStyle w:val="BodyText"/>
        <w:jc w:val="left"/>
      </w:pPr>
      <w:r>
        <w:rPr>
          <w:spacing w:val="-2"/>
        </w:rPr>
        <w:t>means:</w:t>
      </w:r>
    </w:p>
    <w:p w14:paraId="7E001187" w14:textId="77777777" w:rsidR="009A58DB" w:rsidRDefault="009A58DB">
      <w:pPr>
        <w:pStyle w:val="BodyText"/>
        <w:jc w:val="left"/>
        <w:sectPr w:rsidR="009A58DB">
          <w:pgSz w:w="12240" w:h="15840"/>
          <w:pgMar w:top="1380" w:right="1080" w:bottom="280" w:left="1080" w:header="720" w:footer="720" w:gutter="0"/>
          <w:cols w:space="720"/>
        </w:sectPr>
      </w:pPr>
    </w:p>
    <w:p w14:paraId="7E001188" w14:textId="77777777" w:rsidR="009A58DB" w:rsidRDefault="00000000">
      <w:pPr>
        <w:pStyle w:val="BodyText"/>
        <w:spacing w:before="65"/>
        <w:jc w:val="left"/>
      </w:pPr>
      <w:r>
        <w:lastRenderedPageBreak/>
        <w:t>(LX)</w:t>
      </w:r>
      <w:r>
        <w:rPr>
          <w:spacing w:val="-3"/>
        </w:rPr>
        <w:t xml:space="preserve"> </w:t>
      </w:r>
      <w:r>
        <w:t>x</w:t>
      </w:r>
      <w:r>
        <w:rPr>
          <w:spacing w:val="-2"/>
        </w:rPr>
        <w:t xml:space="preserve"> </w:t>
      </w:r>
      <w:r>
        <w:t>is</w:t>
      </w:r>
      <w:r>
        <w:rPr>
          <w:spacing w:val="-3"/>
        </w:rPr>
        <w:t xml:space="preserve"> </w:t>
      </w:r>
      <w:r>
        <w:t>a</w:t>
      </w:r>
      <w:r>
        <w:rPr>
          <w:spacing w:val="-3"/>
        </w:rPr>
        <w:t xml:space="preserve"> </w:t>
      </w:r>
      <w:r>
        <w:t>talented</w:t>
      </w:r>
      <w:r>
        <w:rPr>
          <w:spacing w:val="-2"/>
        </w:rPr>
        <w:t xml:space="preserve"> astrologer.</w:t>
      </w:r>
    </w:p>
    <w:p w14:paraId="7E001189" w14:textId="77777777" w:rsidR="009A58DB" w:rsidRDefault="009A58DB">
      <w:pPr>
        <w:pStyle w:val="BodyText"/>
        <w:spacing w:before="29"/>
        <w:ind w:left="0"/>
        <w:jc w:val="left"/>
      </w:pPr>
    </w:p>
    <w:p w14:paraId="7E00118A" w14:textId="77777777" w:rsidR="009A58DB" w:rsidRDefault="00000000">
      <w:pPr>
        <w:pStyle w:val="BodyText"/>
        <w:spacing w:before="1" w:line="271" w:lineRule="auto"/>
        <w:ind w:right="358" w:firstLine="360"/>
      </w:pPr>
      <w:r>
        <w:t xml:space="preserve">In other words, OT and LT </w:t>
      </w:r>
      <w:r>
        <w:rPr>
          <w:i/>
        </w:rPr>
        <w:t xml:space="preserve">have the very same meaning. </w:t>
      </w:r>
      <w:r>
        <w:t>OT</w:t>
      </w:r>
      <w:r>
        <w:rPr>
          <w:vertAlign w:val="subscript"/>
        </w:rPr>
        <w:t>1</w:t>
      </w:r>
      <w:r>
        <w:t xml:space="preserve"> and LT are the same proposition. And that one proposition is what is meant by OT </w:t>
      </w:r>
      <w:r>
        <w:rPr>
          <w:i/>
        </w:rPr>
        <w:t xml:space="preserve">and </w:t>
      </w:r>
      <w:r>
        <w:t>by LT. LT and OT mean the same thing.</w:t>
      </w:r>
    </w:p>
    <w:p w14:paraId="7E00118B" w14:textId="77777777" w:rsidR="009A58DB" w:rsidRDefault="00000000">
      <w:pPr>
        <w:pStyle w:val="BodyText"/>
        <w:spacing w:line="316" w:lineRule="exact"/>
        <w:ind w:left="720"/>
      </w:pPr>
      <w:r>
        <w:t>But</w:t>
      </w:r>
      <w:r>
        <w:rPr>
          <w:spacing w:val="59"/>
        </w:rPr>
        <w:t xml:space="preserve"> </w:t>
      </w:r>
      <w:r>
        <w:t>we</w:t>
      </w:r>
      <w:r>
        <w:rPr>
          <w:spacing w:val="61"/>
        </w:rPr>
        <w:t xml:space="preserve"> </w:t>
      </w:r>
      <w:r>
        <w:t>have</w:t>
      </w:r>
      <w:r>
        <w:rPr>
          <w:spacing w:val="61"/>
        </w:rPr>
        <w:t xml:space="preserve"> </w:t>
      </w:r>
      <w:r>
        <w:t>a</w:t>
      </w:r>
      <w:r>
        <w:rPr>
          <w:spacing w:val="61"/>
        </w:rPr>
        <w:t xml:space="preserve"> </w:t>
      </w:r>
      <w:r>
        <w:t>problem.</w:t>
      </w:r>
      <w:r>
        <w:rPr>
          <w:spacing w:val="61"/>
        </w:rPr>
        <w:t xml:space="preserve"> </w:t>
      </w:r>
      <w:r>
        <w:t>OT</w:t>
      </w:r>
      <w:r>
        <w:rPr>
          <w:spacing w:val="61"/>
        </w:rPr>
        <w:t xml:space="preserve"> </w:t>
      </w:r>
      <w:r>
        <w:t>and</w:t>
      </w:r>
      <w:r>
        <w:rPr>
          <w:spacing w:val="61"/>
        </w:rPr>
        <w:t xml:space="preserve"> </w:t>
      </w:r>
      <w:r>
        <w:t>LT</w:t>
      </w:r>
      <w:r>
        <w:rPr>
          <w:spacing w:val="61"/>
        </w:rPr>
        <w:t xml:space="preserve"> </w:t>
      </w:r>
      <w:r>
        <w:rPr>
          <w:i/>
        </w:rPr>
        <w:t>convey</w:t>
      </w:r>
      <w:r>
        <w:rPr>
          <w:i/>
          <w:spacing w:val="57"/>
        </w:rPr>
        <w:t xml:space="preserve"> </w:t>
      </w:r>
      <w:r>
        <w:t>very</w:t>
      </w:r>
      <w:r>
        <w:rPr>
          <w:spacing w:val="62"/>
        </w:rPr>
        <w:t xml:space="preserve"> </w:t>
      </w:r>
      <w:r>
        <w:t>different</w:t>
      </w:r>
      <w:r>
        <w:rPr>
          <w:spacing w:val="62"/>
        </w:rPr>
        <w:t xml:space="preserve"> </w:t>
      </w:r>
      <w:r>
        <w:t>things.</w:t>
      </w:r>
      <w:r>
        <w:rPr>
          <w:spacing w:val="63"/>
        </w:rPr>
        <w:t xml:space="preserve"> </w:t>
      </w:r>
      <w:r>
        <w:rPr>
          <w:spacing w:val="-5"/>
        </w:rPr>
        <w:t>LT</w:t>
      </w:r>
    </w:p>
    <w:p w14:paraId="7E00118C" w14:textId="77777777" w:rsidR="009A58DB" w:rsidRDefault="00000000">
      <w:pPr>
        <w:pStyle w:val="BodyText"/>
        <w:spacing w:before="15"/>
        <w:jc w:val="left"/>
      </w:pPr>
      <w:r>
        <w:rPr>
          <w:spacing w:val="-2"/>
        </w:rPr>
        <w:t>conveys:</w:t>
      </w:r>
    </w:p>
    <w:p w14:paraId="7E00118D" w14:textId="77777777" w:rsidR="009A58DB" w:rsidRDefault="009A58DB">
      <w:pPr>
        <w:pStyle w:val="BodyText"/>
        <w:spacing w:before="30"/>
        <w:ind w:left="0"/>
        <w:jc w:val="left"/>
      </w:pPr>
    </w:p>
    <w:p w14:paraId="7E00118E" w14:textId="77777777" w:rsidR="009A58DB" w:rsidRDefault="00000000">
      <w:pPr>
        <w:pStyle w:val="BodyText"/>
        <w:spacing w:line="292" w:lineRule="auto"/>
        <w:ind w:right="364"/>
      </w:pPr>
      <w:r>
        <w:t>(LT</w:t>
      </w:r>
      <w:r>
        <w:rPr>
          <w:vertAlign w:val="subscript"/>
        </w:rPr>
        <w:t>2</w:t>
      </w:r>
      <w:r>
        <w:t>) There is currently somebody in front of me who is wearing a bolo tie and has a handle-bar mustache [etc.], and that person is a talented astrologer.</w:t>
      </w:r>
    </w:p>
    <w:p w14:paraId="7E00118F" w14:textId="77777777" w:rsidR="009A58DB" w:rsidRDefault="00000000">
      <w:pPr>
        <w:pStyle w:val="BodyText"/>
        <w:spacing w:before="298"/>
        <w:jc w:val="left"/>
      </w:pPr>
      <w:r>
        <w:t>OT</w:t>
      </w:r>
      <w:r>
        <w:rPr>
          <w:spacing w:val="-4"/>
        </w:rPr>
        <w:t xml:space="preserve"> </w:t>
      </w:r>
      <w:r>
        <w:t>conveys</w:t>
      </w:r>
      <w:r>
        <w:rPr>
          <w:spacing w:val="-3"/>
        </w:rPr>
        <w:t xml:space="preserve"> </w:t>
      </w:r>
      <w:r>
        <w:t>the</w:t>
      </w:r>
      <w:r>
        <w:rPr>
          <w:spacing w:val="-3"/>
        </w:rPr>
        <w:t xml:space="preserve"> </w:t>
      </w:r>
      <w:r>
        <w:t>proposition</w:t>
      </w:r>
      <w:r>
        <w:rPr>
          <w:spacing w:val="-2"/>
        </w:rPr>
        <w:t xml:space="preserve"> </w:t>
      </w:r>
      <w:r>
        <w:rPr>
          <w:spacing w:val="-4"/>
        </w:rPr>
        <w:t>that:</w:t>
      </w:r>
    </w:p>
    <w:p w14:paraId="7E001190" w14:textId="77777777" w:rsidR="009A58DB" w:rsidRDefault="009A58DB">
      <w:pPr>
        <w:pStyle w:val="BodyText"/>
        <w:spacing w:before="30"/>
        <w:ind w:left="0"/>
        <w:jc w:val="left"/>
      </w:pPr>
    </w:p>
    <w:p w14:paraId="7E001191" w14:textId="77777777" w:rsidR="009A58DB" w:rsidRDefault="00000000">
      <w:pPr>
        <w:pStyle w:val="BodyText"/>
        <w:spacing w:line="271" w:lineRule="auto"/>
        <w:ind w:right="367"/>
      </w:pPr>
      <w:r>
        <w:t>(OT</w:t>
      </w:r>
      <w:r>
        <w:rPr>
          <w:vertAlign w:val="subscript"/>
        </w:rPr>
        <w:t>2</w:t>
      </w:r>
      <w:r>
        <w:t>) There is some individual such that, right now, that person uniquely has the property of being a person wearing a disguise who is standing right in front or me; moreover, that person is a talented astrologer.</w:t>
      </w:r>
    </w:p>
    <w:p w14:paraId="7E001192" w14:textId="77777777" w:rsidR="009A58DB" w:rsidRDefault="00000000">
      <w:pPr>
        <w:pStyle w:val="BodyText"/>
        <w:spacing w:before="331" w:line="271" w:lineRule="auto"/>
        <w:ind w:right="358"/>
      </w:pPr>
      <w:r>
        <w:t>LT</w:t>
      </w:r>
      <w:r>
        <w:rPr>
          <w:vertAlign w:val="subscript"/>
        </w:rPr>
        <w:t>2</w:t>
      </w:r>
      <w:r>
        <w:t xml:space="preserve"> and OT</w:t>
      </w:r>
      <w:r>
        <w:rPr>
          <w:vertAlign w:val="subscript"/>
        </w:rPr>
        <w:t>2</w:t>
      </w:r>
      <w:r>
        <w:t xml:space="preserve"> are obviously very different propositions. Neither entails the other. Neither even makes the other probable (they’re confirmationally independent of each other).</w:t>
      </w:r>
    </w:p>
    <w:p w14:paraId="7E001193" w14:textId="77777777" w:rsidR="009A58DB" w:rsidRDefault="00000000">
      <w:pPr>
        <w:pStyle w:val="BodyText"/>
        <w:spacing w:line="316" w:lineRule="exact"/>
        <w:ind w:left="720"/>
      </w:pPr>
      <w:r>
        <w:t>But</w:t>
      </w:r>
      <w:r>
        <w:rPr>
          <w:spacing w:val="63"/>
          <w:w w:val="150"/>
        </w:rPr>
        <w:t xml:space="preserve"> </w:t>
      </w:r>
      <w:r>
        <w:t>how</w:t>
      </w:r>
      <w:r>
        <w:rPr>
          <w:spacing w:val="63"/>
          <w:w w:val="150"/>
        </w:rPr>
        <w:t xml:space="preserve"> </w:t>
      </w:r>
      <w:r>
        <w:t>can</w:t>
      </w:r>
      <w:r>
        <w:rPr>
          <w:spacing w:val="63"/>
          <w:w w:val="150"/>
        </w:rPr>
        <w:t xml:space="preserve"> </w:t>
      </w:r>
      <w:r>
        <w:t>this</w:t>
      </w:r>
      <w:r>
        <w:rPr>
          <w:spacing w:val="63"/>
          <w:w w:val="150"/>
        </w:rPr>
        <w:t xml:space="preserve"> </w:t>
      </w:r>
      <w:r>
        <w:t>be?</w:t>
      </w:r>
      <w:r>
        <w:rPr>
          <w:spacing w:val="63"/>
          <w:w w:val="150"/>
        </w:rPr>
        <w:t xml:space="preserve"> </w:t>
      </w:r>
      <w:r>
        <w:t>How</w:t>
      </w:r>
      <w:r>
        <w:rPr>
          <w:spacing w:val="64"/>
          <w:w w:val="150"/>
        </w:rPr>
        <w:t xml:space="preserve"> </w:t>
      </w:r>
      <w:r>
        <w:t>can</w:t>
      </w:r>
      <w:r>
        <w:rPr>
          <w:spacing w:val="63"/>
          <w:w w:val="150"/>
        </w:rPr>
        <w:t xml:space="preserve"> </w:t>
      </w:r>
      <w:r>
        <w:t>LT</w:t>
      </w:r>
      <w:r>
        <w:rPr>
          <w:spacing w:val="63"/>
          <w:w w:val="150"/>
        </w:rPr>
        <w:t xml:space="preserve"> </w:t>
      </w:r>
      <w:r>
        <w:t>and</w:t>
      </w:r>
      <w:r>
        <w:rPr>
          <w:spacing w:val="63"/>
          <w:w w:val="150"/>
        </w:rPr>
        <w:t xml:space="preserve"> </w:t>
      </w:r>
      <w:r>
        <w:t>OT</w:t>
      </w:r>
      <w:r>
        <w:rPr>
          <w:spacing w:val="63"/>
          <w:w w:val="150"/>
        </w:rPr>
        <w:t xml:space="preserve"> </w:t>
      </w:r>
      <w:r>
        <w:t>convey</w:t>
      </w:r>
      <w:r>
        <w:rPr>
          <w:spacing w:val="63"/>
          <w:w w:val="150"/>
        </w:rPr>
        <w:t xml:space="preserve"> </w:t>
      </w:r>
      <w:r>
        <w:t>such</w:t>
      </w:r>
      <w:r>
        <w:rPr>
          <w:spacing w:val="64"/>
          <w:w w:val="150"/>
        </w:rPr>
        <w:t xml:space="preserve"> </w:t>
      </w:r>
      <w:r>
        <w:rPr>
          <w:spacing w:val="-2"/>
        </w:rPr>
        <w:t>different</w:t>
      </w:r>
    </w:p>
    <w:p w14:paraId="7E001194" w14:textId="77777777" w:rsidR="009A58DB" w:rsidRDefault="00000000">
      <w:pPr>
        <w:pStyle w:val="BodyText"/>
        <w:spacing w:before="15"/>
      </w:pPr>
      <w:r>
        <w:t>propositions,</w:t>
      </w:r>
      <w:r>
        <w:rPr>
          <w:spacing w:val="-5"/>
        </w:rPr>
        <w:t xml:space="preserve"> </w:t>
      </w:r>
      <w:r>
        <w:t>given</w:t>
      </w:r>
      <w:r>
        <w:rPr>
          <w:spacing w:val="-3"/>
        </w:rPr>
        <w:t xml:space="preserve"> </w:t>
      </w:r>
      <w:r>
        <w:t>that</w:t>
      </w:r>
      <w:r>
        <w:rPr>
          <w:spacing w:val="-4"/>
        </w:rPr>
        <w:t xml:space="preserve"> </w:t>
      </w:r>
      <w:r>
        <w:t>they</w:t>
      </w:r>
      <w:r>
        <w:rPr>
          <w:spacing w:val="-3"/>
        </w:rPr>
        <w:t xml:space="preserve"> </w:t>
      </w:r>
      <w:r>
        <w:t>have</w:t>
      </w:r>
      <w:r>
        <w:rPr>
          <w:spacing w:val="-3"/>
        </w:rPr>
        <w:t xml:space="preserve"> </w:t>
      </w:r>
      <w:r>
        <w:t>the</w:t>
      </w:r>
      <w:r>
        <w:rPr>
          <w:spacing w:val="-4"/>
        </w:rPr>
        <w:t xml:space="preserve"> </w:t>
      </w:r>
      <w:r>
        <w:t>very</w:t>
      </w:r>
      <w:r>
        <w:rPr>
          <w:spacing w:val="-3"/>
        </w:rPr>
        <w:t xml:space="preserve"> </w:t>
      </w:r>
      <w:r>
        <w:t>same</w:t>
      </w:r>
      <w:r>
        <w:rPr>
          <w:spacing w:val="-4"/>
        </w:rPr>
        <w:t xml:space="preserve"> </w:t>
      </w:r>
      <w:r>
        <w:t>literal</w:t>
      </w:r>
      <w:r>
        <w:rPr>
          <w:spacing w:val="-3"/>
        </w:rPr>
        <w:t xml:space="preserve"> </w:t>
      </w:r>
      <w:r>
        <w:rPr>
          <w:spacing w:val="-2"/>
        </w:rPr>
        <w:t>meaning?</w:t>
      </w:r>
    </w:p>
    <w:p w14:paraId="7E001195" w14:textId="77777777" w:rsidR="009A58DB" w:rsidRDefault="00000000">
      <w:pPr>
        <w:pStyle w:val="BodyText"/>
        <w:spacing w:before="15" w:line="249" w:lineRule="auto"/>
        <w:ind w:right="358" w:firstLine="360"/>
      </w:pPr>
      <w:r>
        <w:t>We’ve already explained this. Semantics isn’t learned in a vacuum. It’s learned empirically, that is, through sense-perceptions, and those sense-perceptions convey a lot of information that has nothing to do with the semantic information that they are also conveying. To access these semantic rules, one must work through this pre-semantic, and non-semantic, information; and the result is that what is communicated by a sentence may be much richer than its literal meaning. We’ve already explained why, under the</w:t>
      </w:r>
      <w:r>
        <w:rPr>
          <w:spacing w:val="54"/>
          <w:w w:val="150"/>
        </w:rPr>
        <w:t xml:space="preserve"> </w:t>
      </w:r>
      <w:r>
        <w:t>circumstances</w:t>
      </w:r>
      <w:r>
        <w:rPr>
          <w:spacing w:val="55"/>
          <w:w w:val="150"/>
        </w:rPr>
        <w:t xml:space="preserve"> </w:t>
      </w:r>
      <w:r>
        <w:t>in</w:t>
      </w:r>
      <w:r>
        <w:rPr>
          <w:spacing w:val="54"/>
          <w:w w:val="150"/>
        </w:rPr>
        <w:t xml:space="preserve"> </w:t>
      </w:r>
      <w:r>
        <w:t>question,</w:t>
      </w:r>
      <w:r>
        <w:rPr>
          <w:spacing w:val="55"/>
          <w:w w:val="150"/>
        </w:rPr>
        <w:t xml:space="preserve"> </w:t>
      </w:r>
      <w:r>
        <w:t>these</w:t>
      </w:r>
      <w:r>
        <w:rPr>
          <w:spacing w:val="55"/>
          <w:w w:val="150"/>
        </w:rPr>
        <w:t xml:space="preserve"> </w:t>
      </w:r>
      <w:r>
        <w:t>particular</w:t>
      </w:r>
      <w:r>
        <w:rPr>
          <w:spacing w:val="54"/>
          <w:w w:val="150"/>
        </w:rPr>
        <w:t xml:space="preserve"> </w:t>
      </w:r>
      <w:r>
        <w:t>sentences</w:t>
      </w:r>
      <w:r>
        <w:rPr>
          <w:spacing w:val="55"/>
          <w:w w:val="150"/>
        </w:rPr>
        <w:t xml:space="preserve"> </w:t>
      </w:r>
      <w:r>
        <w:t>(LT</w:t>
      </w:r>
      <w:r>
        <w:rPr>
          <w:spacing w:val="54"/>
          <w:w w:val="150"/>
        </w:rPr>
        <w:t xml:space="preserve"> </w:t>
      </w:r>
      <w:r>
        <w:t>and</w:t>
      </w:r>
      <w:r>
        <w:rPr>
          <w:spacing w:val="55"/>
          <w:w w:val="150"/>
        </w:rPr>
        <w:t xml:space="preserve"> </w:t>
      </w:r>
      <w:r>
        <w:rPr>
          <w:spacing w:val="-4"/>
        </w:rPr>
        <w:t>OT</w:t>
      </w:r>
      <w:r>
        <w:rPr>
          <w:spacing w:val="-4"/>
          <w:vertAlign w:val="subscript"/>
        </w:rPr>
        <w:t>1</w:t>
      </w:r>
      <w:r>
        <w:rPr>
          <w:spacing w:val="-4"/>
        </w:rPr>
        <w:t>)</w:t>
      </w:r>
    </w:p>
    <w:p w14:paraId="7E001196" w14:textId="77777777" w:rsidR="009A58DB" w:rsidRDefault="00000000">
      <w:pPr>
        <w:pStyle w:val="BodyText"/>
        <w:spacing w:before="70"/>
      </w:pPr>
      <w:r>
        <w:t>happen</w:t>
      </w:r>
      <w:r>
        <w:rPr>
          <w:spacing w:val="-1"/>
        </w:rPr>
        <w:t xml:space="preserve"> </w:t>
      </w:r>
      <w:r>
        <w:t>to</w:t>
      </w:r>
      <w:r>
        <w:rPr>
          <w:spacing w:val="-1"/>
        </w:rPr>
        <w:t xml:space="preserve"> </w:t>
      </w:r>
      <w:r>
        <w:t>convey these</w:t>
      </w:r>
      <w:r>
        <w:rPr>
          <w:spacing w:val="-2"/>
        </w:rPr>
        <w:t xml:space="preserve"> </w:t>
      </w:r>
      <w:r>
        <w:t>particular</w:t>
      </w:r>
      <w:r>
        <w:rPr>
          <w:spacing w:val="-1"/>
        </w:rPr>
        <w:t xml:space="preserve"> </w:t>
      </w:r>
      <w:r>
        <w:t>propositions</w:t>
      </w:r>
      <w:r>
        <w:rPr>
          <w:spacing w:val="-2"/>
        </w:rPr>
        <w:t xml:space="preserve"> </w:t>
      </w:r>
      <w:r>
        <w:t>(LT</w:t>
      </w:r>
      <w:r>
        <w:rPr>
          <w:vertAlign w:val="subscript"/>
        </w:rPr>
        <w:t>3</w:t>
      </w:r>
      <w:r>
        <w:t xml:space="preserve"> and</w:t>
      </w:r>
      <w:r>
        <w:rPr>
          <w:spacing w:val="-1"/>
        </w:rPr>
        <w:t xml:space="preserve"> </w:t>
      </w:r>
      <w:r>
        <w:rPr>
          <w:spacing w:val="-2"/>
        </w:rPr>
        <w:t>OT</w:t>
      </w:r>
      <w:r>
        <w:rPr>
          <w:spacing w:val="-2"/>
          <w:vertAlign w:val="subscript"/>
        </w:rPr>
        <w:t>2</w:t>
      </w:r>
      <w:r>
        <w:rPr>
          <w:spacing w:val="-2"/>
        </w:rPr>
        <w:t>).</w:t>
      </w:r>
    </w:p>
    <w:p w14:paraId="7E001197" w14:textId="77777777" w:rsidR="009A58DB" w:rsidRDefault="00000000">
      <w:pPr>
        <w:pStyle w:val="BodyText"/>
        <w:spacing w:before="75" w:line="501" w:lineRule="auto"/>
        <w:ind w:right="794" w:firstLine="360"/>
        <w:jc w:val="left"/>
      </w:pPr>
      <w:r>
        <w:t>Let’s</w:t>
      </w:r>
      <w:r>
        <w:rPr>
          <w:spacing w:val="-5"/>
        </w:rPr>
        <w:t xml:space="preserve"> </w:t>
      </w:r>
      <w:r>
        <w:t>continue</w:t>
      </w:r>
      <w:r>
        <w:rPr>
          <w:spacing w:val="-5"/>
        </w:rPr>
        <w:t xml:space="preserve"> </w:t>
      </w:r>
      <w:r>
        <w:t>our</w:t>
      </w:r>
      <w:r>
        <w:rPr>
          <w:spacing w:val="-5"/>
        </w:rPr>
        <w:t xml:space="preserve"> </w:t>
      </w:r>
      <w:r>
        <w:t>story.</w:t>
      </w:r>
      <w:r>
        <w:rPr>
          <w:spacing w:val="-5"/>
        </w:rPr>
        <w:t xml:space="preserve"> </w:t>
      </w:r>
      <w:r>
        <w:t>Addressing</w:t>
      </w:r>
      <w:r>
        <w:rPr>
          <w:spacing w:val="-5"/>
        </w:rPr>
        <w:t xml:space="preserve"> </w:t>
      </w:r>
      <w:r>
        <w:t>you,</w:t>
      </w:r>
      <w:r>
        <w:rPr>
          <w:spacing w:val="-5"/>
        </w:rPr>
        <w:t xml:space="preserve"> </w:t>
      </w:r>
      <w:r>
        <w:t>your</w:t>
      </w:r>
      <w:r>
        <w:rPr>
          <w:spacing w:val="-5"/>
        </w:rPr>
        <w:t xml:space="preserve"> </w:t>
      </w:r>
      <w:r>
        <w:t>friend</w:t>
      </w:r>
      <w:r>
        <w:rPr>
          <w:spacing w:val="-5"/>
        </w:rPr>
        <w:t xml:space="preserve"> </w:t>
      </w:r>
      <w:r>
        <w:t>Brown</w:t>
      </w:r>
      <w:r>
        <w:rPr>
          <w:spacing w:val="-5"/>
        </w:rPr>
        <w:t xml:space="preserve"> </w:t>
      </w:r>
      <w:r>
        <w:t>says: (LOI) “Larry Jones is identical with Oliver.”</w:t>
      </w:r>
    </w:p>
    <w:p w14:paraId="7E001198" w14:textId="77777777" w:rsidR="009A58DB" w:rsidRDefault="009A58DB">
      <w:pPr>
        <w:pStyle w:val="BodyText"/>
        <w:spacing w:line="501" w:lineRule="auto"/>
        <w:jc w:val="left"/>
        <w:sectPr w:rsidR="009A58DB">
          <w:pgSz w:w="12240" w:h="15840"/>
          <w:pgMar w:top="1740" w:right="1080" w:bottom="280" w:left="1080" w:header="720" w:footer="720" w:gutter="0"/>
          <w:cols w:space="720"/>
        </w:sectPr>
      </w:pPr>
    </w:p>
    <w:p w14:paraId="7E001199" w14:textId="77777777" w:rsidR="009A58DB" w:rsidRDefault="00000000">
      <w:pPr>
        <w:pStyle w:val="BodyText"/>
        <w:spacing w:before="65" w:line="249" w:lineRule="auto"/>
        <w:ind w:right="359"/>
      </w:pPr>
      <w:r>
        <w:lastRenderedPageBreak/>
        <w:t>You are surprised. After all, “Oliver” was wearing a mask, and (we may suppose) his demeanor was very different from that of “Larry Jones.” Your initial reaction is one of disbelief. But “Oliver” takes off his mask and he is indeed Larry Jones. It also turns out that this person is legally named both “Oliver” and “Larry Jones.” (We don’t have to worry about the details.)</w:t>
      </w:r>
    </w:p>
    <w:p w14:paraId="7E00119A" w14:textId="77777777" w:rsidR="009A58DB" w:rsidRDefault="00000000">
      <w:pPr>
        <w:pStyle w:val="BodyText"/>
        <w:spacing w:before="6" w:line="249" w:lineRule="auto"/>
        <w:ind w:right="358" w:firstLine="360"/>
      </w:pPr>
      <w:r>
        <w:t xml:space="preserve">Let’s consider the time </w:t>
      </w:r>
      <w:r>
        <w:rPr>
          <w:i/>
        </w:rPr>
        <w:t xml:space="preserve">just </w:t>
      </w:r>
      <w:r>
        <w:t>before Oliver takes off his mask—the time when</w:t>
      </w:r>
      <w:r>
        <w:rPr>
          <w:spacing w:val="-3"/>
        </w:rPr>
        <w:t xml:space="preserve"> </w:t>
      </w:r>
      <w:r>
        <w:t>you</w:t>
      </w:r>
      <w:r>
        <w:rPr>
          <w:spacing w:val="-3"/>
        </w:rPr>
        <w:t xml:space="preserve"> </w:t>
      </w:r>
      <w:r>
        <w:t>are</w:t>
      </w:r>
      <w:r>
        <w:rPr>
          <w:spacing w:val="-3"/>
        </w:rPr>
        <w:t xml:space="preserve"> </w:t>
      </w:r>
      <w:r>
        <w:t>still</w:t>
      </w:r>
      <w:r>
        <w:rPr>
          <w:spacing w:val="-3"/>
        </w:rPr>
        <w:t xml:space="preserve"> </w:t>
      </w:r>
      <w:r>
        <w:t>skeptical</w:t>
      </w:r>
      <w:r>
        <w:rPr>
          <w:spacing w:val="-3"/>
        </w:rPr>
        <w:t xml:space="preserve"> </w:t>
      </w:r>
      <w:r>
        <w:t>about</w:t>
      </w:r>
      <w:r>
        <w:rPr>
          <w:spacing w:val="-3"/>
        </w:rPr>
        <w:t xml:space="preserve"> </w:t>
      </w:r>
      <w:r>
        <w:t>Brown’s</w:t>
      </w:r>
      <w:r>
        <w:rPr>
          <w:spacing w:val="-3"/>
        </w:rPr>
        <w:t xml:space="preserve"> </w:t>
      </w:r>
      <w:r>
        <w:t>claim.</w:t>
      </w:r>
      <w:r>
        <w:rPr>
          <w:spacing w:val="-3"/>
        </w:rPr>
        <w:t xml:space="preserve"> </w:t>
      </w:r>
      <w:r>
        <w:t>Letting</w:t>
      </w:r>
      <w:r>
        <w:rPr>
          <w:spacing w:val="-3"/>
        </w:rPr>
        <w:t xml:space="preserve"> </w:t>
      </w:r>
      <w:r>
        <w:t>psi</w:t>
      </w:r>
      <w:r>
        <w:rPr>
          <w:spacing w:val="-3"/>
        </w:rPr>
        <w:t xml:space="preserve"> </w:t>
      </w:r>
      <w:r>
        <w:t>be</w:t>
      </w:r>
      <w:r>
        <w:rPr>
          <w:spacing w:val="-3"/>
        </w:rPr>
        <w:t xml:space="preserve"> </w:t>
      </w:r>
      <w:r>
        <w:t>any</w:t>
      </w:r>
      <w:r>
        <w:rPr>
          <w:spacing w:val="-3"/>
        </w:rPr>
        <w:t xml:space="preserve"> </w:t>
      </w:r>
      <w:r>
        <w:t xml:space="preserve">property, obvious extensions of what we’ve already said show that, under these </w:t>
      </w:r>
      <w:r>
        <w:rPr>
          <w:spacing w:val="-2"/>
        </w:rPr>
        <w:t>circumstances:</w:t>
      </w:r>
    </w:p>
    <w:p w14:paraId="7E00119B" w14:textId="77777777" w:rsidR="009A58DB" w:rsidRDefault="009A58DB">
      <w:pPr>
        <w:pStyle w:val="BodyText"/>
        <w:spacing w:before="20"/>
        <w:ind w:left="0"/>
        <w:jc w:val="left"/>
      </w:pPr>
    </w:p>
    <w:p w14:paraId="7E00119C" w14:textId="77777777" w:rsidR="009A58DB" w:rsidRDefault="00000000">
      <w:pPr>
        <w:pStyle w:val="BodyText"/>
        <w:jc w:val="left"/>
      </w:pPr>
      <w:r>
        <w:t>(LTP)</w:t>
      </w:r>
      <w:r>
        <w:rPr>
          <w:spacing w:val="-5"/>
        </w:rPr>
        <w:t xml:space="preserve"> </w:t>
      </w:r>
      <w:r>
        <w:t>‹Larry</w:t>
      </w:r>
      <w:r>
        <w:rPr>
          <w:spacing w:val="-3"/>
        </w:rPr>
        <w:t xml:space="preserve"> </w:t>
      </w:r>
      <w:r>
        <w:t>has</w:t>
      </w:r>
      <w:r>
        <w:rPr>
          <w:spacing w:val="-4"/>
        </w:rPr>
        <w:t xml:space="preserve"> psi›</w:t>
      </w:r>
    </w:p>
    <w:p w14:paraId="7E00119D" w14:textId="77777777" w:rsidR="009A58DB" w:rsidRDefault="009A58DB">
      <w:pPr>
        <w:pStyle w:val="BodyText"/>
        <w:spacing w:before="30"/>
        <w:ind w:left="0"/>
        <w:jc w:val="left"/>
      </w:pPr>
    </w:p>
    <w:p w14:paraId="7E00119E" w14:textId="77777777" w:rsidR="009A58DB" w:rsidRDefault="00000000">
      <w:pPr>
        <w:pStyle w:val="BodyText"/>
        <w:jc w:val="left"/>
      </w:pPr>
      <w:r>
        <w:t>will</w:t>
      </w:r>
      <w:r>
        <w:rPr>
          <w:spacing w:val="-6"/>
        </w:rPr>
        <w:t xml:space="preserve"> </w:t>
      </w:r>
      <w:r>
        <w:t>convey</w:t>
      </w:r>
      <w:r>
        <w:rPr>
          <w:spacing w:val="-3"/>
        </w:rPr>
        <w:t xml:space="preserve"> </w:t>
      </w:r>
      <w:r>
        <w:t>something</w:t>
      </w:r>
      <w:r>
        <w:rPr>
          <w:spacing w:val="-3"/>
        </w:rPr>
        <w:t xml:space="preserve"> </w:t>
      </w:r>
      <w:r>
        <w:t>along</w:t>
      </w:r>
      <w:r>
        <w:rPr>
          <w:spacing w:val="-2"/>
        </w:rPr>
        <w:t xml:space="preserve"> </w:t>
      </w:r>
      <w:r>
        <w:t>the</w:t>
      </w:r>
      <w:r>
        <w:rPr>
          <w:spacing w:val="-4"/>
        </w:rPr>
        <w:t xml:space="preserve"> </w:t>
      </w:r>
      <w:r>
        <w:t>lines</w:t>
      </w:r>
      <w:r>
        <w:rPr>
          <w:spacing w:val="-3"/>
        </w:rPr>
        <w:t xml:space="preserve"> </w:t>
      </w:r>
      <w:r>
        <w:rPr>
          <w:spacing w:val="-5"/>
        </w:rPr>
        <w:t>of:</w:t>
      </w:r>
    </w:p>
    <w:p w14:paraId="7E00119F" w14:textId="77777777" w:rsidR="009A58DB" w:rsidRDefault="009A58DB">
      <w:pPr>
        <w:pStyle w:val="BodyText"/>
        <w:spacing w:before="30"/>
        <w:ind w:left="0"/>
        <w:jc w:val="left"/>
      </w:pPr>
    </w:p>
    <w:p w14:paraId="7E0011A0" w14:textId="77777777" w:rsidR="009A58DB" w:rsidRDefault="00000000">
      <w:pPr>
        <w:pStyle w:val="BodyText"/>
        <w:spacing w:line="249" w:lineRule="auto"/>
        <w:jc w:val="left"/>
      </w:pPr>
      <w:r>
        <w:t>(LTP*)</w:t>
      </w:r>
      <w:r>
        <w:rPr>
          <w:spacing w:val="40"/>
        </w:rPr>
        <w:t xml:space="preserve"> </w:t>
      </w:r>
      <w:r>
        <w:t>yesterday,</w:t>
      </w:r>
      <w:r>
        <w:rPr>
          <w:spacing w:val="40"/>
        </w:rPr>
        <w:t xml:space="preserve"> </w:t>
      </w:r>
      <w:r>
        <w:t>there</w:t>
      </w:r>
      <w:r>
        <w:rPr>
          <w:spacing w:val="40"/>
        </w:rPr>
        <w:t xml:space="preserve"> </w:t>
      </w:r>
      <w:r>
        <w:t>was</w:t>
      </w:r>
      <w:r>
        <w:rPr>
          <w:spacing w:val="40"/>
        </w:rPr>
        <w:t xml:space="preserve"> </w:t>
      </w:r>
      <w:r>
        <w:t>somebody</w:t>
      </w:r>
      <w:r>
        <w:rPr>
          <w:spacing w:val="40"/>
        </w:rPr>
        <w:t xml:space="preserve"> </w:t>
      </w:r>
      <w:r>
        <w:t>in</w:t>
      </w:r>
      <w:r>
        <w:rPr>
          <w:spacing w:val="40"/>
        </w:rPr>
        <w:t xml:space="preserve"> </w:t>
      </w:r>
      <w:r>
        <w:t>front</w:t>
      </w:r>
      <w:r>
        <w:rPr>
          <w:spacing w:val="40"/>
        </w:rPr>
        <w:t xml:space="preserve"> </w:t>
      </w:r>
      <w:r>
        <w:t>of</w:t>
      </w:r>
      <w:r>
        <w:rPr>
          <w:spacing w:val="40"/>
        </w:rPr>
        <w:t xml:space="preserve"> </w:t>
      </w:r>
      <w:r>
        <w:t>me</w:t>
      </w:r>
      <w:r>
        <w:rPr>
          <w:spacing w:val="40"/>
        </w:rPr>
        <w:t xml:space="preserve"> </w:t>
      </w:r>
      <w:r>
        <w:t>who</w:t>
      </w:r>
      <w:r>
        <w:rPr>
          <w:spacing w:val="40"/>
        </w:rPr>
        <w:t xml:space="preserve"> </w:t>
      </w:r>
      <w:r>
        <w:t>was</w:t>
      </w:r>
      <w:r>
        <w:rPr>
          <w:spacing w:val="40"/>
        </w:rPr>
        <w:t xml:space="preserve"> </w:t>
      </w:r>
      <w:r>
        <w:t>wearing</w:t>
      </w:r>
      <w:r>
        <w:rPr>
          <w:spacing w:val="40"/>
        </w:rPr>
        <w:t xml:space="preserve"> </w:t>
      </w:r>
      <w:r>
        <w:t>a bolo tie and had a handle-bar mustache [etc.], and that person has psi</w:t>
      </w:r>
    </w:p>
    <w:p w14:paraId="7E0011A1" w14:textId="77777777" w:rsidR="009A58DB" w:rsidRDefault="00000000">
      <w:pPr>
        <w:pStyle w:val="BodyText"/>
        <w:spacing w:before="2"/>
        <w:jc w:val="left"/>
      </w:pPr>
      <w:r>
        <w:rPr>
          <w:spacing w:val="-5"/>
        </w:rPr>
        <w:t>and</w:t>
      </w:r>
    </w:p>
    <w:p w14:paraId="7E0011A2" w14:textId="77777777" w:rsidR="009A58DB" w:rsidRDefault="009A58DB">
      <w:pPr>
        <w:pStyle w:val="BodyText"/>
        <w:spacing w:before="30"/>
        <w:ind w:left="0"/>
        <w:jc w:val="left"/>
      </w:pPr>
    </w:p>
    <w:p w14:paraId="7E0011A3" w14:textId="77777777" w:rsidR="009A58DB" w:rsidRDefault="00000000">
      <w:pPr>
        <w:pStyle w:val="BodyText"/>
        <w:jc w:val="left"/>
      </w:pPr>
      <w:r>
        <w:t>(OTP)</w:t>
      </w:r>
      <w:r>
        <w:rPr>
          <w:spacing w:val="-5"/>
        </w:rPr>
        <w:t xml:space="preserve"> </w:t>
      </w:r>
      <w:r>
        <w:t>‹Oliver</w:t>
      </w:r>
      <w:r>
        <w:rPr>
          <w:spacing w:val="-4"/>
        </w:rPr>
        <w:t xml:space="preserve"> </w:t>
      </w:r>
      <w:r>
        <w:t>has</w:t>
      </w:r>
      <w:r>
        <w:rPr>
          <w:spacing w:val="-4"/>
        </w:rPr>
        <w:t xml:space="preserve"> psi›</w:t>
      </w:r>
    </w:p>
    <w:p w14:paraId="7E0011A4" w14:textId="77777777" w:rsidR="009A58DB" w:rsidRDefault="009A58DB">
      <w:pPr>
        <w:pStyle w:val="BodyText"/>
        <w:spacing w:before="30"/>
        <w:ind w:left="0"/>
        <w:jc w:val="left"/>
      </w:pPr>
    </w:p>
    <w:p w14:paraId="7E0011A5" w14:textId="77777777" w:rsidR="009A58DB" w:rsidRDefault="00000000">
      <w:pPr>
        <w:pStyle w:val="BodyText"/>
        <w:jc w:val="left"/>
      </w:pPr>
      <w:r>
        <w:t>will</w:t>
      </w:r>
      <w:r>
        <w:rPr>
          <w:spacing w:val="-6"/>
        </w:rPr>
        <w:t xml:space="preserve"> </w:t>
      </w:r>
      <w:r>
        <w:t>convey</w:t>
      </w:r>
      <w:r>
        <w:rPr>
          <w:spacing w:val="-3"/>
        </w:rPr>
        <w:t xml:space="preserve"> </w:t>
      </w:r>
      <w:r>
        <w:t>something</w:t>
      </w:r>
      <w:r>
        <w:rPr>
          <w:spacing w:val="-3"/>
        </w:rPr>
        <w:t xml:space="preserve"> </w:t>
      </w:r>
      <w:r>
        <w:t>along</w:t>
      </w:r>
      <w:r>
        <w:rPr>
          <w:spacing w:val="-2"/>
        </w:rPr>
        <w:t xml:space="preserve"> </w:t>
      </w:r>
      <w:r>
        <w:t>the</w:t>
      </w:r>
      <w:r>
        <w:rPr>
          <w:spacing w:val="-4"/>
        </w:rPr>
        <w:t xml:space="preserve"> </w:t>
      </w:r>
      <w:r>
        <w:t>lines</w:t>
      </w:r>
      <w:r>
        <w:rPr>
          <w:spacing w:val="-3"/>
        </w:rPr>
        <w:t xml:space="preserve"> </w:t>
      </w:r>
      <w:r>
        <w:rPr>
          <w:spacing w:val="-5"/>
        </w:rPr>
        <w:t>of:</w:t>
      </w:r>
    </w:p>
    <w:p w14:paraId="7E0011A6" w14:textId="77777777" w:rsidR="009A58DB" w:rsidRDefault="009A58DB">
      <w:pPr>
        <w:pStyle w:val="BodyText"/>
        <w:spacing w:before="30"/>
        <w:ind w:left="0"/>
        <w:jc w:val="left"/>
      </w:pPr>
    </w:p>
    <w:p w14:paraId="7E0011A7" w14:textId="77777777" w:rsidR="009A58DB" w:rsidRDefault="00000000">
      <w:pPr>
        <w:pStyle w:val="BodyText"/>
        <w:spacing w:line="249" w:lineRule="auto"/>
        <w:ind w:right="360"/>
      </w:pPr>
      <w:r>
        <w:t>(OTP*) There is some individual such that, right now, that person uniquely has the property of wearing a mask while standing right in front of me and having a conversation with me that’s been going on for a while; moreover, that person has psi.</w:t>
      </w:r>
    </w:p>
    <w:p w14:paraId="7E0011A8" w14:textId="77777777" w:rsidR="009A58DB" w:rsidRDefault="009A58DB">
      <w:pPr>
        <w:pStyle w:val="BodyText"/>
        <w:spacing w:before="20"/>
        <w:ind w:left="0"/>
        <w:jc w:val="left"/>
      </w:pPr>
    </w:p>
    <w:p w14:paraId="7E0011A9" w14:textId="77777777" w:rsidR="009A58DB" w:rsidRDefault="00000000">
      <w:pPr>
        <w:pStyle w:val="BodyText"/>
        <w:spacing w:line="249" w:lineRule="auto"/>
        <w:ind w:right="364"/>
        <w:jc w:val="left"/>
      </w:pPr>
      <w:r>
        <w:t>It</w:t>
      </w:r>
      <w:r>
        <w:rPr>
          <w:spacing w:val="40"/>
        </w:rPr>
        <w:t xml:space="preserve"> </w:t>
      </w:r>
      <w:r>
        <w:t>follows</w:t>
      </w:r>
      <w:r>
        <w:rPr>
          <w:spacing w:val="40"/>
        </w:rPr>
        <w:t xml:space="preserve"> </w:t>
      </w:r>
      <w:r>
        <w:t>that,</w:t>
      </w:r>
      <w:r>
        <w:rPr>
          <w:spacing w:val="40"/>
        </w:rPr>
        <w:t xml:space="preserve"> </w:t>
      </w:r>
      <w:r>
        <w:t>given</w:t>
      </w:r>
      <w:r>
        <w:rPr>
          <w:spacing w:val="40"/>
        </w:rPr>
        <w:t xml:space="preserve"> </w:t>
      </w:r>
      <w:r>
        <w:t>the</w:t>
      </w:r>
      <w:r>
        <w:rPr>
          <w:spacing w:val="40"/>
        </w:rPr>
        <w:t xml:space="preserve"> </w:t>
      </w:r>
      <w:r>
        <w:t>circumstances,</w:t>
      </w:r>
      <w:r>
        <w:rPr>
          <w:spacing w:val="40"/>
        </w:rPr>
        <w:t xml:space="preserve"> </w:t>
      </w:r>
      <w:r>
        <w:t>LOI</w:t>
      </w:r>
      <w:r>
        <w:rPr>
          <w:spacing w:val="40"/>
        </w:rPr>
        <w:t xml:space="preserve"> </w:t>
      </w:r>
      <w:r>
        <w:t>will</w:t>
      </w:r>
      <w:r>
        <w:rPr>
          <w:spacing w:val="40"/>
        </w:rPr>
        <w:t xml:space="preserve"> </w:t>
      </w:r>
      <w:r>
        <w:t>convey</w:t>
      </w:r>
      <w:r>
        <w:rPr>
          <w:spacing w:val="40"/>
        </w:rPr>
        <w:t xml:space="preserve"> </w:t>
      </w:r>
      <w:r>
        <w:t>much</w:t>
      </w:r>
      <w:r>
        <w:rPr>
          <w:spacing w:val="40"/>
        </w:rPr>
        <w:t xml:space="preserve"> </w:t>
      </w:r>
      <w:r>
        <w:t>the</w:t>
      </w:r>
      <w:r>
        <w:rPr>
          <w:spacing w:val="40"/>
        </w:rPr>
        <w:t xml:space="preserve"> </w:t>
      </w:r>
      <w:r>
        <w:t>same thing as the sentence:</w:t>
      </w:r>
    </w:p>
    <w:p w14:paraId="7E0011AA" w14:textId="77777777" w:rsidR="009A58DB" w:rsidRDefault="009A58DB">
      <w:pPr>
        <w:pStyle w:val="BodyText"/>
        <w:spacing w:before="18"/>
        <w:ind w:left="0"/>
        <w:jc w:val="left"/>
      </w:pPr>
    </w:p>
    <w:p w14:paraId="7E0011AB" w14:textId="77777777" w:rsidR="009A58DB" w:rsidRDefault="00000000">
      <w:pPr>
        <w:pStyle w:val="BodyText"/>
        <w:spacing w:line="249" w:lineRule="auto"/>
        <w:ind w:right="358"/>
      </w:pPr>
      <w:r>
        <w:t>(DLOI) “the guy who, yesterday, was standing in front of me and wearing a bolo tie [etc.] is identical with the guy who is currently standing in front of me and wearing a mask [etc.]”</w:t>
      </w:r>
    </w:p>
    <w:p w14:paraId="7E0011AC" w14:textId="77777777" w:rsidR="009A58DB" w:rsidRDefault="009A58DB">
      <w:pPr>
        <w:pStyle w:val="BodyText"/>
        <w:spacing w:before="18"/>
        <w:ind w:left="0"/>
        <w:jc w:val="left"/>
      </w:pPr>
    </w:p>
    <w:p w14:paraId="7E0011AD" w14:textId="77777777" w:rsidR="009A58DB" w:rsidRDefault="00000000">
      <w:pPr>
        <w:pStyle w:val="BodyText"/>
        <w:spacing w:before="1"/>
        <w:jc w:val="left"/>
      </w:pPr>
      <w:r>
        <w:t>We</w:t>
      </w:r>
      <w:r>
        <w:rPr>
          <w:spacing w:val="-6"/>
        </w:rPr>
        <w:t xml:space="preserve"> </w:t>
      </w:r>
      <w:r>
        <w:t>know</w:t>
      </w:r>
      <w:r>
        <w:rPr>
          <w:spacing w:val="-3"/>
        </w:rPr>
        <w:t xml:space="preserve"> </w:t>
      </w:r>
      <w:r>
        <w:t>from</w:t>
      </w:r>
      <w:r>
        <w:rPr>
          <w:spacing w:val="-4"/>
        </w:rPr>
        <w:t xml:space="preserve"> </w:t>
      </w:r>
      <w:r>
        <w:t>Russell’s</w:t>
      </w:r>
      <w:r>
        <w:rPr>
          <w:spacing w:val="-3"/>
        </w:rPr>
        <w:t xml:space="preserve"> </w:t>
      </w:r>
      <w:r>
        <w:t>theory</w:t>
      </w:r>
      <w:r>
        <w:rPr>
          <w:spacing w:val="-3"/>
        </w:rPr>
        <w:t xml:space="preserve"> </w:t>
      </w:r>
      <w:r>
        <w:t>of</w:t>
      </w:r>
      <w:r>
        <w:rPr>
          <w:spacing w:val="-3"/>
        </w:rPr>
        <w:t xml:space="preserve"> </w:t>
      </w:r>
      <w:r>
        <w:t>descriptions</w:t>
      </w:r>
      <w:r>
        <w:rPr>
          <w:spacing w:val="-4"/>
        </w:rPr>
        <w:t xml:space="preserve"> </w:t>
      </w:r>
      <w:r>
        <w:t>that</w:t>
      </w:r>
      <w:r>
        <w:rPr>
          <w:spacing w:val="-3"/>
        </w:rPr>
        <w:t xml:space="preserve"> </w:t>
      </w:r>
      <w:r>
        <w:t>the</w:t>
      </w:r>
      <w:r>
        <w:rPr>
          <w:spacing w:val="-4"/>
        </w:rPr>
        <w:t xml:space="preserve"> </w:t>
      </w:r>
      <w:r>
        <w:t>meaning</w:t>
      </w:r>
      <w:r>
        <w:rPr>
          <w:spacing w:val="-3"/>
        </w:rPr>
        <w:t xml:space="preserve"> </w:t>
      </w:r>
      <w:r>
        <w:t>of</w:t>
      </w:r>
      <w:r>
        <w:rPr>
          <w:spacing w:val="-3"/>
        </w:rPr>
        <w:t xml:space="preserve"> </w:t>
      </w:r>
      <w:r>
        <w:t>DLOI</w:t>
      </w:r>
      <w:r>
        <w:rPr>
          <w:spacing w:val="-3"/>
        </w:rPr>
        <w:t xml:space="preserve"> </w:t>
      </w:r>
      <w:r>
        <w:rPr>
          <w:spacing w:val="-5"/>
        </w:rPr>
        <w:t>is:</w:t>
      </w:r>
    </w:p>
    <w:p w14:paraId="7E0011AE" w14:textId="77777777" w:rsidR="009A58DB" w:rsidRDefault="009A58DB">
      <w:pPr>
        <w:pStyle w:val="BodyText"/>
        <w:jc w:val="left"/>
        <w:sectPr w:rsidR="009A58DB">
          <w:pgSz w:w="12240" w:h="15840"/>
          <w:pgMar w:top="1740" w:right="1080" w:bottom="280" w:left="1080" w:header="720" w:footer="720" w:gutter="0"/>
          <w:cols w:space="720"/>
        </w:sectPr>
      </w:pPr>
    </w:p>
    <w:p w14:paraId="7E0011AF" w14:textId="77777777" w:rsidR="009A58DB" w:rsidRDefault="00000000">
      <w:pPr>
        <w:pStyle w:val="BodyText"/>
        <w:spacing w:before="65" w:line="249" w:lineRule="auto"/>
        <w:ind w:right="361"/>
      </w:pPr>
      <w:r>
        <w:lastRenderedPageBreak/>
        <w:t>(DLOITD) somebody x uniquely has the property of being a person who, yesterday, was standing in front of me while wearing bolo tie [etc.], and having that property being such a person also uniquely has the property of standing in front of me right now and wearing a mask [etc.].</w:t>
      </w:r>
    </w:p>
    <w:p w14:paraId="7E0011B0" w14:textId="77777777" w:rsidR="009A58DB" w:rsidRDefault="009A58DB">
      <w:pPr>
        <w:pStyle w:val="BodyText"/>
        <w:spacing w:before="19"/>
        <w:ind w:left="0"/>
        <w:jc w:val="left"/>
      </w:pPr>
    </w:p>
    <w:p w14:paraId="7E0011B1" w14:textId="77777777" w:rsidR="009A58DB" w:rsidRDefault="00000000">
      <w:pPr>
        <w:pStyle w:val="BodyText"/>
        <w:spacing w:before="1" w:line="249" w:lineRule="auto"/>
        <w:ind w:right="361"/>
      </w:pPr>
      <w:r>
        <w:t xml:space="preserve">Of course, DLOITD is </w:t>
      </w:r>
      <w:r>
        <w:rPr>
          <w:i/>
        </w:rPr>
        <w:t xml:space="preserve">not </w:t>
      </w:r>
      <w:r>
        <w:t xml:space="preserve">a trivial proposition. It does not say of some individual x that x is identical with x. It says something radically different. It says that some one individual uniquely has each of two very different </w:t>
      </w:r>
      <w:r>
        <w:rPr>
          <w:spacing w:val="-2"/>
        </w:rPr>
        <w:t>properties.</w:t>
      </w:r>
    </w:p>
    <w:p w14:paraId="7E0011B2" w14:textId="77777777" w:rsidR="009A58DB" w:rsidRDefault="00000000">
      <w:pPr>
        <w:pStyle w:val="BodyText"/>
        <w:spacing w:before="4" w:line="249" w:lineRule="auto"/>
        <w:ind w:right="358" w:firstLine="360"/>
      </w:pPr>
      <w:r>
        <w:t xml:space="preserve">But remember that names are mere labels, and that, consequently, </w:t>
      </w:r>
      <w:r>
        <w:rPr>
          <w:i/>
        </w:rPr>
        <w:t xml:space="preserve">there is </w:t>
      </w:r>
      <w:r>
        <w:t>some x such that “Oliver” and “Larry Jones” simply label x. It follows that there is some individual x (namely, Oliver/Larry Jones) such that what is literally meant by LOI is simply:</w:t>
      </w:r>
    </w:p>
    <w:p w14:paraId="7E0011B3" w14:textId="77777777" w:rsidR="009A58DB" w:rsidRDefault="009A58DB">
      <w:pPr>
        <w:pStyle w:val="BodyText"/>
        <w:spacing w:before="20"/>
        <w:ind w:left="0"/>
        <w:jc w:val="left"/>
      </w:pPr>
    </w:p>
    <w:p w14:paraId="7E0011B4" w14:textId="77777777" w:rsidR="009A58DB" w:rsidRDefault="00000000">
      <w:pPr>
        <w:pStyle w:val="BodyText"/>
      </w:pPr>
      <w:r>
        <w:t>(LOX)</w:t>
      </w:r>
      <w:r>
        <w:rPr>
          <w:spacing w:val="-4"/>
        </w:rPr>
        <w:t xml:space="preserve"> </w:t>
      </w:r>
      <w:r>
        <w:t>x</w:t>
      </w:r>
      <w:r>
        <w:rPr>
          <w:spacing w:val="-3"/>
        </w:rPr>
        <w:t xml:space="preserve"> </w:t>
      </w:r>
      <w:r>
        <w:t>is</w:t>
      </w:r>
      <w:r>
        <w:rPr>
          <w:spacing w:val="-4"/>
        </w:rPr>
        <w:t xml:space="preserve"> </w:t>
      </w:r>
      <w:r>
        <w:t>identical</w:t>
      </w:r>
      <w:r>
        <w:rPr>
          <w:spacing w:val="-4"/>
        </w:rPr>
        <w:t xml:space="preserve"> </w:t>
      </w:r>
      <w:r>
        <w:t>with</w:t>
      </w:r>
      <w:r>
        <w:rPr>
          <w:spacing w:val="-2"/>
        </w:rPr>
        <w:t xml:space="preserve"> </w:t>
      </w:r>
      <w:r>
        <w:rPr>
          <w:spacing w:val="-5"/>
        </w:rPr>
        <w:t>x,</w:t>
      </w:r>
    </w:p>
    <w:p w14:paraId="7E0011B5" w14:textId="77777777" w:rsidR="009A58DB" w:rsidRDefault="009A58DB">
      <w:pPr>
        <w:pStyle w:val="BodyText"/>
        <w:spacing w:before="30"/>
        <w:ind w:left="0"/>
        <w:jc w:val="left"/>
      </w:pPr>
    </w:p>
    <w:p w14:paraId="7E0011B6" w14:textId="77777777" w:rsidR="009A58DB" w:rsidRDefault="00000000">
      <w:pPr>
        <w:pStyle w:val="BodyText"/>
        <w:spacing w:before="1" w:line="249" w:lineRule="auto"/>
        <w:ind w:right="365"/>
        <w:jc w:val="left"/>
      </w:pPr>
      <w:r>
        <w:t>which,</w:t>
      </w:r>
      <w:r>
        <w:rPr>
          <w:spacing w:val="-3"/>
        </w:rPr>
        <w:t xml:space="preserve"> </w:t>
      </w:r>
      <w:r>
        <w:t>of</w:t>
      </w:r>
      <w:r>
        <w:rPr>
          <w:spacing w:val="-4"/>
        </w:rPr>
        <w:t xml:space="preserve"> </w:t>
      </w:r>
      <w:r>
        <w:t>course,</w:t>
      </w:r>
      <w:r>
        <w:rPr>
          <w:spacing w:val="-3"/>
        </w:rPr>
        <w:t xml:space="preserve"> </w:t>
      </w:r>
      <w:r>
        <w:t>is</w:t>
      </w:r>
      <w:r>
        <w:rPr>
          <w:spacing w:val="-4"/>
        </w:rPr>
        <w:t xml:space="preserve"> </w:t>
      </w:r>
      <w:r>
        <w:t>utterly</w:t>
      </w:r>
      <w:r>
        <w:rPr>
          <w:spacing w:val="-3"/>
        </w:rPr>
        <w:t xml:space="preserve"> </w:t>
      </w:r>
      <w:r>
        <w:t>trivial.</w:t>
      </w:r>
      <w:r>
        <w:rPr>
          <w:spacing w:val="-3"/>
        </w:rPr>
        <w:t xml:space="preserve"> </w:t>
      </w:r>
      <w:r>
        <w:t>But</w:t>
      </w:r>
      <w:r>
        <w:rPr>
          <w:spacing w:val="-4"/>
        </w:rPr>
        <w:t xml:space="preserve"> </w:t>
      </w:r>
      <w:r>
        <w:t>that’s</w:t>
      </w:r>
      <w:r>
        <w:rPr>
          <w:spacing w:val="-4"/>
        </w:rPr>
        <w:t xml:space="preserve"> </w:t>
      </w:r>
      <w:r>
        <w:t>ok,</w:t>
      </w:r>
      <w:r>
        <w:rPr>
          <w:spacing w:val="-3"/>
        </w:rPr>
        <w:t xml:space="preserve"> </w:t>
      </w:r>
      <w:r>
        <w:t>since</w:t>
      </w:r>
      <w:r>
        <w:rPr>
          <w:spacing w:val="-4"/>
        </w:rPr>
        <w:t xml:space="preserve"> </w:t>
      </w:r>
      <w:r>
        <w:t>the</w:t>
      </w:r>
      <w:r>
        <w:rPr>
          <w:spacing w:val="-4"/>
        </w:rPr>
        <w:t xml:space="preserve"> </w:t>
      </w:r>
      <w:r>
        <w:t>non-triviality</w:t>
      </w:r>
      <w:r>
        <w:rPr>
          <w:spacing w:val="-3"/>
        </w:rPr>
        <w:t xml:space="preserve"> </w:t>
      </w:r>
      <w:r>
        <w:t>of what LOI communicates has already been accounted for.</w:t>
      </w:r>
    </w:p>
    <w:p w14:paraId="7E0011B7" w14:textId="77777777" w:rsidR="009A58DB" w:rsidRDefault="00000000">
      <w:pPr>
        <w:pStyle w:val="Heading1"/>
        <w:numPr>
          <w:ilvl w:val="1"/>
          <w:numId w:val="158"/>
        </w:numPr>
        <w:tabs>
          <w:tab w:val="left" w:pos="990"/>
        </w:tabs>
        <w:spacing w:before="190"/>
        <w:ind w:left="990" w:hanging="630"/>
      </w:pPr>
      <w:r>
        <w:rPr>
          <w:noProof/>
        </w:rPr>
        <mc:AlternateContent>
          <mc:Choice Requires="wps">
            <w:drawing>
              <wp:anchor distT="0" distB="0" distL="0" distR="0" simplePos="0" relativeHeight="480333824" behindDoc="1" locked="0" layoutInCell="1" allowOverlap="1" wp14:anchorId="7E003272" wp14:editId="7E003273">
                <wp:simplePos x="0" y="0"/>
                <wp:positionH relativeFrom="page">
                  <wp:posOffset>1962150</wp:posOffset>
                </wp:positionH>
                <wp:positionV relativeFrom="paragraph">
                  <wp:posOffset>384075</wp:posOffset>
                </wp:positionV>
                <wp:extent cx="5715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6CC4593" id="Graphic 18" o:spid="_x0000_s1026" style="position:absolute;margin-left:154.5pt;margin-top:30.25pt;width:45pt;height:.1pt;z-index:-22982656;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" path="m,l571500,e" filled="f" strokecolor="#0562c1">
                <v:path arrowok="t"/>
                <w10:wrap anchorx="page"/>
              </v:shape>
            </w:pict>
          </mc:Fallback>
        </mc:AlternateContent>
      </w:r>
      <w:r>
        <w:rPr>
          <w:noProof/>
        </w:rPr>
        <mc:AlternateContent>
          <mc:Choice Requires="wps">
            <w:drawing>
              <wp:anchor distT="0" distB="0" distL="0" distR="0" simplePos="0" relativeHeight="480334336" behindDoc="1" locked="0" layoutInCell="1" allowOverlap="1" wp14:anchorId="7E003274" wp14:editId="7E003275">
                <wp:simplePos x="0" y="0"/>
                <wp:positionH relativeFrom="page">
                  <wp:posOffset>3924300</wp:posOffset>
                </wp:positionH>
                <wp:positionV relativeFrom="paragraph">
                  <wp:posOffset>384075</wp:posOffset>
                </wp:positionV>
                <wp:extent cx="5619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 cy="1270"/>
                        </a:xfrm>
                        <a:custGeom>
                          <a:avLst/>
                          <a:gdLst/>
                          <a:ahLst/>
                          <a:cxnLst/>
                          <a:rect l="l" t="t" r="r" b="b"/>
                          <a:pathLst>
                            <a:path w="561975">
                              <a:moveTo>
                                <a:pt x="0" y="0"/>
                              </a:moveTo>
                              <a:lnTo>
                                <a:pt x="56197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79C45286" id="Graphic 19" o:spid="_x0000_s1026" style="position:absolute;margin-left:309pt;margin-top:30.25pt;width:44.25pt;height:.1pt;z-index:-22982144;visibility:visible;mso-wrap-style:square;mso-wrap-distance-left:0;mso-wrap-distance-top:0;mso-wrap-distance-right:0;mso-wrap-distance-bottom:0;mso-position-horizontal:absolute;mso-position-horizontal-relative:page;mso-position-vertical:absolute;mso-position-vertical-relative:text;v-text-anchor:top" coordsize="561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" path="m,l561975,e" filled="f" strokecolor="#0562c1">
                <v:path arrowok="t"/>
                <w10:wrap anchorx="page"/>
              </v:shape>
            </w:pict>
          </mc:Fallback>
        </mc:AlternateContent>
      </w:r>
      <w:r>
        <w:t>Freg</w:t>
      </w:r>
      <w:bookmarkStart w:id="245" w:name="_bookmark245"/>
      <w:bookmarkEnd w:id="245"/>
      <w:r>
        <w:t>e</w:t>
      </w:r>
      <w:r>
        <w:rPr>
          <w:color w:val="0562C1"/>
          <w:position w:val="30"/>
        </w:rPr>
        <w:t>[150]</w:t>
      </w:r>
      <w:r>
        <w:rPr>
          <w:color w:val="0562C1"/>
          <w:spacing w:val="-7"/>
          <w:position w:val="30"/>
        </w:rPr>
        <w:t xml:space="preserve"> </w:t>
      </w:r>
      <w:r>
        <w:t>and</w:t>
      </w:r>
      <w:r>
        <w:rPr>
          <w:spacing w:val="-5"/>
        </w:rPr>
        <w:t xml:space="preserve"> </w:t>
      </w:r>
      <w:r>
        <w:t>Russel</w:t>
      </w:r>
      <w:bookmarkStart w:id="246" w:name="_bookmark246"/>
      <w:bookmarkEnd w:id="246"/>
      <w:r>
        <w:t>l</w:t>
      </w:r>
      <w:r>
        <w:rPr>
          <w:color w:val="0562C1"/>
          <w:position w:val="30"/>
        </w:rPr>
        <w:t>[151]</w:t>
      </w:r>
      <w:r>
        <w:rPr>
          <w:color w:val="0562C1"/>
          <w:spacing w:val="-4"/>
          <w:position w:val="30"/>
        </w:rPr>
        <w:t xml:space="preserve"> </w:t>
      </w:r>
      <w:r>
        <w:t>on</w:t>
      </w:r>
      <w:r>
        <w:rPr>
          <w:spacing w:val="-5"/>
        </w:rPr>
        <w:t xml:space="preserve"> </w:t>
      </w:r>
      <w:r>
        <w:t>proper</w:t>
      </w:r>
      <w:r>
        <w:rPr>
          <w:spacing w:val="-4"/>
        </w:rPr>
        <w:t xml:space="preserve"> </w:t>
      </w:r>
      <w:r>
        <w:rPr>
          <w:spacing w:val="-2"/>
        </w:rPr>
        <w:t>names</w:t>
      </w:r>
    </w:p>
    <w:p w14:paraId="7E0011B8" w14:textId="77777777" w:rsidR="009A58DB" w:rsidRDefault="00000000">
      <w:pPr>
        <w:pStyle w:val="BodyText"/>
        <w:spacing w:before="139" w:line="249" w:lineRule="auto"/>
        <w:ind w:right="360"/>
      </w:pPr>
      <w:r>
        <w:t xml:space="preserve">Though they lived after Mill, Frege and Russell didn’t internalize his very good analysis of proper names and chose to replace it with a deeply defective </w:t>
      </w:r>
      <w:r>
        <w:rPr>
          <w:spacing w:val="-4"/>
        </w:rPr>
        <w:t>one.</w:t>
      </w:r>
    </w:p>
    <w:p w14:paraId="7E0011B9" w14:textId="77777777" w:rsidR="009A58DB" w:rsidRDefault="00000000">
      <w:pPr>
        <w:pStyle w:val="BodyText"/>
        <w:spacing w:before="4" w:line="249" w:lineRule="auto"/>
        <w:ind w:right="359" w:firstLine="360"/>
      </w:pPr>
      <w:r>
        <w:t>Here was their reasoning. You and a friend are looking at the last celestial body</w:t>
      </w:r>
      <w:r>
        <w:rPr>
          <w:spacing w:val="-1"/>
        </w:rPr>
        <w:t xml:space="preserve"> </w:t>
      </w:r>
      <w:r>
        <w:t>to</w:t>
      </w:r>
      <w:r>
        <w:rPr>
          <w:spacing w:val="-1"/>
        </w:rPr>
        <w:t xml:space="preserve"> </w:t>
      </w:r>
      <w:r>
        <w:t>disappear</w:t>
      </w:r>
      <w:r>
        <w:rPr>
          <w:spacing w:val="-1"/>
        </w:rPr>
        <w:t xml:space="preserve"> </w:t>
      </w:r>
      <w:r>
        <w:t>from</w:t>
      </w:r>
      <w:r>
        <w:rPr>
          <w:spacing w:val="-1"/>
        </w:rPr>
        <w:t xml:space="preserve"> </w:t>
      </w:r>
      <w:r>
        <w:t>the</w:t>
      </w:r>
      <w:r>
        <w:rPr>
          <w:spacing w:val="-1"/>
        </w:rPr>
        <w:t xml:space="preserve"> </w:t>
      </w:r>
      <w:r>
        <w:t>morning</w:t>
      </w:r>
      <w:r>
        <w:rPr>
          <w:spacing w:val="-1"/>
        </w:rPr>
        <w:t xml:space="preserve"> </w:t>
      </w:r>
      <w:r>
        <w:t>sky—your</w:t>
      </w:r>
      <w:r>
        <w:rPr>
          <w:spacing w:val="-1"/>
        </w:rPr>
        <w:t xml:space="preserve"> </w:t>
      </w:r>
      <w:r>
        <w:t>friend</w:t>
      </w:r>
      <w:r>
        <w:rPr>
          <w:spacing w:val="-1"/>
        </w:rPr>
        <w:t xml:space="preserve"> </w:t>
      </w:r>
      <w:r>
        <w:t>tells</w:t>
      </w:r>
      <w:r>
        <w:rPr>
          <w:spacing w:val="-1"/>
        </w:rPr>
        <w:t xml:space="preserve"> </w:t>
      </w:r>
      <w:r>
        <w:t>you</w:t>
      </w:r>
      <w:r>
        <w:rPr>
          <w:spacing w:val="-1"/>
        </w:rPr>
        <w:t xml:space="preserve"> </w:t>
      </w:r>
      <w:r>
        <w:t>that</w:t>
      </w:r>
      <w:r>
        <w:rPr>
          <w:spacing w:val="-1"/>
        </w:rPr>
        <w:t xml:space="preserve"> </w:t>
      </w:r>
      <w:r>
        <w:t>it’s</w:t>
      </w:r>
      <w:r>
        <w:rPr>
          <w:spacing w:val="-1"/>
        </w:rPr>
        <w:t xml:space="preserve"> </w:t>
      </w:r>
      <w:r>
        <w:t>called “Hesperus.” (You don’t know anything about astronomy, but your friend does.) Later that day, just as evening is approaching, you and he are again looking at the heavens. He points to the first celestial body that appears in the evening sky and tells you it’s called “Phosphorous.”</w:t>
      </w:r>
    </w:p>
    <w:p w14:paraId="7E0011BA" w14:textId="77777777" w:rsidR="009A58DB" w:rsidRDefault="00000000">
      <w:pPr>
        <w:pStyle w:val="BodyText"/>
        <w:spacing w:before="7" w:line="249" w:lineRule="auto"/>
        <w:ind w:right="359" w:firstLine="360"/>
      </w:pPr>
      <w:r>
        <w:t>Given only how they appear to you on the occasions in question, you have no way of knowing whether or not “Hesperus” and “Phosphorous” co-refer.</w:t>
      </w:r>
      <w:r>
        <w:rPr>
          <w:spacing w:val="40"/>
        </w:rPr>
        <w:t xml:space="preserve"> </w:t>
      </w:r>
      <w:r>
        <w:t>If you had to guess, you’d probably say that they did not, given that the celestial</w:t>
      </w:r>
      <w:r>
        <w:rPr>
          <w:spacing w:val="40"/>
        </w:rPr>
        <w:t xml:space="preserve"> </w:t>
      </w:r>
      <w:r>
        <w:t>bodies</w:t>
      </w:r>
      <w:r>
        <w:rPr>
          <w:spacing w:val="40"/>
        </w:rPr>
        <w:t xml:space="preserve"> </w:t>
      </w:r>
      <w:r>
        <w:t>referred</w:t>
      </w:r>
      <w:r>
        <w:rPr>
          <w:spacing w:val="40"/>
        </w:rPr>
        <w:t xml:space="preserve"> </w:t>
      </w:r>
      <w:r>
        <w:t>to</w:t>
      </w:r>
      <w:r>
        <w:rPr>
          <w:spacing w:val="40"/>
        </w:rPr>
        <w:t xml:space="preserve"> </w:t>
      </w:r>
      <w:r>
        <w:t>by</w:t>
      </w:r>
      <w:r>
        <w:rPr>
          <w:spacing w:val="40"/>
        </w:rPr>
        <w:t xml:space="preserve"> </w:t>
      </w:r>
      <w:r>
        <w:t>“Hesperus”</w:t>
      </w:r>
      <w:r>
        <w:rPr>
          <w:spacing w:val="40"/>
        </w:rPr>
        <w:t xml:space="preserve"> </w:t>
      </w:r>
      <w:r>
        <w:t>and</w:t>
      </w:r>
      <w:r>
        <w:rPr>
          <w:spacing w:val="40"/>
        </w:rPr>
        <w:t xml:space="preserve"> </w:t>
      </w:r>
      <w:r>
        <w:t>“Phosphorous”</w:t>
      </w:r>
      <w:r>
        <w:rPr>
          <w:spacing w:val="40"/>
        </w:rPr>
        <w:t xml:space="preserve"> </w:t>
      </w:r>
      <w:r>
        <w:t>respectively</w:t>
      </w:r>
    </w:p>
    <w:p w14:paraId="7E0011BB"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1BC" w14:textId="77777777" w:rsidR="009A58DB" w:rsidRDefault="00000000">
      <w:pPr>
        <w:pStyle w:val="BodyText"/>
        <w:spacing w:before="60" w:line="249" w:lineRule="auto"/>
        <w:ind w:right="367"/>
      </w:pPr>
      <w:r>
        <w:lastRenderedPageBreak/>
        <w:t>were in very different parts of the sky and seemed to have quite different features, so far as you could make out their appearances.</w:t>
      </w:r>
    </w:p>
    <w:p w14:paraId="7E0011BD" w14:textId="77777777" w:rsidR="009A58DB" w:rsidRDefault="00000000">
      <w:pPr>
        <w:pStyle w:val="BodyText"/>
        <w:spacing w:before="7" w:line="249" w:lineRule="auto"/>
        <w:ind w:right="367" w:firstLine="360"/>
      </w:pPr>
      <w:r>
        <w:t>In the late morning, just after being told what “Hesperus” refers to, your friend tells you (correctly):</w:t>
      </w:r>
    </w:p>
    <w:p w14:paraId="7E0011BE" w14:textId="77777777" w:rsidR="009A58DB" w:rsidRDefault="009A58DB">
      <w:pPr>
        <w:pStyle w:val="BodyText"/>
        <w:spacing w:before="17"/>
        <w:ind w:left="0"/>
        <w:jc w:val="left"/>
      </w:pPr>
    </w:p>
    <w:p w14:paraId="7E0011BF" w14:textId="77777777" w:rsidR="009A58DB" w:rsidRDefault="00000000">
      <w:pPr>
        <w:pStyle w:val="BodyText"/>
        <w:spacing w:before="1"/>
        <w:jc w:val="left"/>
      </w:pPr>
      <w:r>
        <w:t>(H</w:t>
      </w:r>
      <w:r>
        <w:rPr>
          <w:vertAlign w:val="subscript"/>
        </w:rPr>
        <w:t>1</w:t>
      </w:r>
      <w:r>
        <w:t>)</w:t>
      </w:r>
      <w:r>
        <w:rPr>
          <w:spacing w:val="-1"/>
        </w:rPr>
        <w:t xml:space="preserve"> </w:t>
      </w:r>
      <w:r>
        <w:t>“Hesperus</w:t>
      </w:r>
      <w:r>
        <w:rPr>
          <w:spacing w:val="-2"/>
        </w:rPr>
        <w:t xml:space="preserve"> </w:t>
      </w:r>
      <w:r>
        <w:t>is</w:t>
      </w:r>
      <w:r>
        <w:rPr>
          <w:spacing w:val="-1"/>
        </w:rPr>
        <w:t xml:space="preserve"> </w:t>
      </w:r>
      <w:r>
        <w:t>less</w:t>
      </w:r>
      <w:r>
        <w:rPr>
          <w:spacing w:val="-1"/>
        </w:rPr>
        <w:t xml:space="preserve"> </w:t>
      </w:r>
      <w:r>
        <w:t>massive</w:t>
      </w:r>
      <w:r>
        <w:rPr>
          <w:spacing w:val="-1"/>
        </w:rPr>
        <w:t xml:space="preserve"> </w:t>
      </w:r>
      <w:r>
        <w:t>than the</w:t>
      </w:r>
      <w:r>
        <w:rPr>
          <w:spacing w:val="-1"/>
        </w:rPr>
        <w:t xml:space="preserve"> </w:t>
      </w:r>
      <w:r>
        <w:rPr>
          <w:spacing w:val="-2"/>
        </w:rPr>
        <w:t>Earth.”</w:t>
      </w:r>
    </w:p>
    <w:p w14:paraId="7E0011C0" w14:textId="77777777" w:rsidR="009A58DB" w:rsidRDefault="009A58DB">
      <w:pPr>
        <w:pStyle w:val="BodyText"/>
        <w:spacing w:before="89"/>
        <w:ind w:left="0"/>
        <w:jc w:val="left"/>
      </w:pPr>
    </w:p>
    <w:p w14:paraId="7E0011C1" w14:textId="77777777" w:rsidR="009A58DB" w:rsidRDefault="00000000">
      <w:pPr>
        <w:pStyle w:val="BodyText"/>
        <w:spacing w:before="1" w:line="249" w:lineRule="auto"/>
        <w:ind w:right="358"/>
      </w:pPr>
      <w:r>
        <w:t>In the early evening, just after being told what “Phosphorous” refers to, your friend tells you (correctly):</w:t>
      </w:r>
    </w:p>
    <w:p w14:paraId="7E0011C2" w14:textId="77777777" w:rsidR="009A58DB" w:rsidRDefault="009A58DB">
      <w:pPr>
        <w:pStyle w:val="BodyText"/>
        <w:spacing w:before="17"/>
        <w:ind w:left="0"/>
        <w:jc w:val="left"/>
      </w:pPr>
    </w:p>
    <w:p w14:paraId="7E0011C3" w14:textId="77777777" w:rsidR="009A58DB" w:rsidRDefault="00000000">
      <w:pPr>
        <w:pStyle w:val="BodyText"/>
        <w:jc w:val="left"/>
      </w:pPr>
      <w:r>
        <w:t>(P</w:t>
      </w:r>
      <w:r>
        <w:rPr>
          <w:vertAlign w:val="subscript"/>
        </w:rPr>
        <w:t>1</w:t>
      </w:r>
      <w:r>
        <w:t>)</w:t>
      </w:r>
      <w:r>
        <w:rPr>
          <w:spacing w:val="-1"/>
        </w:rPr>
        <w:t xml:space="preserve"> </w:t>
      </w:r>
      <w:r>
        <w:t>“Hesperus</w:t>
      </w:r>
      <w:r>
        <w:rPr>
          <w:spacing w:val="-2"/>
        </w:rPr>
        <w:t xml:space="preserve"> </w:t>
      </w:r>
      <w:r>
        <w:t>is</w:t>
      </w:r>
      <w:r>
        <w:rPr>
          <w:spacing w:val="-1"/>
        </w:rPr>
        <w:t xml:space="preserve"> </w:t>
      </w:r>
      <w:r>
        <w:t>less</w:t>
      </w:r>
      <w:r>
        <w:rPr>
          <w:spacing w:val="-1"/>
        </w:rPr>
        <w:t xml:space="preserve"> </w:t>
      </w:r>
      <w:r>
        <w:t>massive</w:t>
      </w:r>
      <w:r>
        <w:rPr>
          <w:spacing w:val="-1"/>
        </w:rPr>
        <w:t xml:space="preserve"> </w:t>
      </w:r>
      <w:r>
        <w:t>than the</w:t>
      </w:r>
      <w:r>
        <w:rPr>
          <w:spacing w:val="-1"/>
        </w:rPr>
        <w:t xml:space="preserve"> </w:t>
      </w:r>
      <w:r>
        <w:rPr>
          <w:spacing w:val="-2"/>
        </w:rPr>
        <w:t>Earth.”</w:t>
      </w:r>
    </w:p>
    <w:p w14:paraId="7E0011C4" w14:textId="77777777" w:rsidR="009A58DB" w:rsidRDefault="009A58DB">
      <w:pPr>
        <w:pStyle w:val="BodyText"/>
        <w:spacing w:before="90"/>
        <w:ind w:left="0"/>
        <w:jc w:val="left"/>
      </w:pPr>
    </w:p>
    <w:p w14:paraId="7E0011C5" w14:textId="77777777" w:rsidR="009A58DB" w:rsidRDefault="00000000">
      <w:pPr>
        <w:pStyle w:val="BodyText"/>
        <w:spacing w:line="292" w:lineRule="auto"/>
        <w:ind w:right="366"/>
      </w:pPr>
      <w:r>
        <w:t>Given the circumstances, H</w:t>
      </w:r>
      <w:r>
        <w:rPr>
          <w:vertAlign w:val="subscript"/>
        </w:rPr>
        <w:t>1</w:t>
      </w:r>
      <w:r>
        <w:t xml:space="preserve"> and P</w:t>
      </w:r>
      <w:r>
        <w:rPr>
          <w:vertAlign w:val="subscript"/>
        </w:rPr>
        <w:t>1</w:t>
      </w:r>
      <w:r>
        <w:t xml:space="preserve"> convey very different propositions to</w:t>
      </w:r>
      <w:r>
        <w:rPr>
          <w:spacing w:val="40"/>
        </w:rPr>
        <w:t xml:space="preserve"> </w:t>
      </w:r>
      <w:r>
        <w:t>you. H</w:t>
      </w:r>
      <w:r>
        <w:rPr>
          <w:vertAlign w:val="subscript"/>
        </w:rPr>
        <w:t>1</w:t>
      </w:r>
      <w:r>
        <w:t xml:space="preserve"> conveys the proposition that would be conveyed to you by:</w:t>
      </w:r>
    </w:p>
    <w:p w14:paraId="7E0011C6" w14:textId="77777777" w:rsidR="009A58DB" w:rsidRDefault="009A58DB">
      <w:pPr>
        <w:pStyle w:val="BodyText"/>
        <w:spacing w:before="13"/>
        <w:ind w:left="0"/>
        <w:jc w:val="left"/>
      </w:pPr>
    </w:p>
    <w:p w14:paraId="7E0011C7" w14:textId="77777777" w:rsidR="009A58DB" w:rsidRDefault="00000000">
      <w:pPr>
        <w:pStyle w:val="BodyText"/>
        <w:jc w:val="left"/>
      </w:pPr>
      <w:r>
        <w:t>(MS)</w:t>
      </w:r>
      <w:r>
        <w:rPr>
          <w:spacing w:val="-6"/>
        </w:rPr>
        <w:t xml:space="preserve"> </w:t>
      </w:r>
      <w:r>
        <w:t>“The</w:t>
      </w:r>
      <w:r>
        <w:rPr>
          <w:spacing w:val="-4"/>
        </w:rPr>
        <w:t xml:space="preserve"> </w:t>
      </w:r>
      <w:r>
        <w:t>morning</w:t>
      </w:r>
      <w:r>
        <w:rPr>
          <w:spacing w:val="-2"/>
        </w:rPr>
        <w:t xml:space="preserve"> </w:t>
      </w:r>
      <w:r>
        <w:t>star</w:t>
      </w:r>
      <w:r>
        <w:rPr>
          <w:spacing w:val="-4"/>
        </w:rPr>
        <w:t xml:space="preserve"> </w:t>
      </w:r>
      <w:r>
        <w:t>is</w:t>
      </w:r>
      <w:r>
        <w:rPr>
          <w:spacing w:val="-3"/>
        </w:rPr>
        <w:t xml:space="preserve"> </w:t>
      </w:r>
      <w:r>
        <w:t>less</w:t>
      </w:r>
      <w:r>
        <w:rPr>
          <w:spacing w:val="-4"/>
        </w:rPr>
        <w:t xml:space="preserve"> </w:t>
      </w:r>
      <w:r>
        <w:t>massive</w:t>
      </w:r>
      <w:r>
        <w:rPr>
          <w:spacing w:val="-3"/>
        </w:rPr>
        <w:t xml:space="preserve"> </w:t>
      </w:r>
      <w:r>
        <w:t>than</w:t>
      </w:r>
      <w:r>
        <w:rPr>
          <w:spacing w:val="-3"/>
        </w:rPr>
        <w:t xml:space="preserve"> </w:t>
      </w:r>
      <w:r>
        <w:t>the</w:t>
      </w:r>
      <w:r>
        <w:rPr>
          <w:spacing w:val="-3"/>
        </w:rPr>
        <w:t xml:space="preserve"> </w:t>
      </w:r>
      <w:r>
        <w:rPr>
          <w:spacing w:val="-2"/>
        </w:rPr>
        <w:t>Earth.”</w:t>
      </w:r>
    </w:p>
    <w:p w14:paraId="7E0011C8" w14:textId="77777777" w:rsidR="009A58DB" w:rsidRDefault="009A58DB">
      <w:pPr>
        <w:pStyle w:val="BodyText"/>
        <w:spacing w:before="30"/>
        <w:ind w:left="0"/>
        <w:jc w:val="left"/>
      </w:pPr>
    </w:p>
    <w:p w14:paraId="7E0011C9" w14:textId="77777777" w:rsidR="009A58DB" w:rsidRDefault="00000000">
      <w:pPr>
        <w:pStyle w:val="BodyText"/>
        <w:spacing w:before="1" w:line="249" w:lineRule="auto"/>
        <w:ind w:right="360"/>
      </w:pPr>
      <w:r>
        <w:t>(In this context, take “the morning star” to be an abbreviation for “the last celestial</w:t>
      </w:r>
      <w:r>
        <w:rPr>
          <w:spacing w:val="-1"/>
        </w:rPr>
        <w:t xml:space="preserve"> </w:t>
      </w:r>
      <w:r>
        <w:t>body</w:t>
      </w:r>
      <w:r>
        <w:rPr>
          <w:spacing w:val="-1"/>
        </w:rPr>
        <w:t xml:space="preserve"> </w:t>
      </w:r>
      <w:r>
        <w:t>to</w:t>
      </w:r>
      <w:r>
        <w:rPr>
          <w:spacing w:val="-1"/>
        </w:rPr>
        <w:t xml:space="preserve"> </w:t>
      </w:r>
      <w:r>
        <w:t>disappear</w:t>
      </w:r>
      <w:r>
        <w:rPr>
          <w:spacing w:val="-1"/>
        </w:rPr>
        <w:t xml:space="preserve"> </w:t>
      </w:r>
      <w:r>
        <w:t>from</w:t>
      </w:r>
      <w:r>
        <w:rPr>
          <w:spacing w:val="-1"/>
        </w:rPr>
        <w:t xml:space="preserve"> </w:t>
      </w:r>
      <w:r>
        <w:t>the</w:t>
      </w:r>
      <w:r>
        <w:rPr>
          <w:spacing w:val="-1"/>
        </w:rPr>
        <w:t xml:space="preserve"> </w:t>
      </w:r>
      <w:r>
        <w:t>morning</w:t>
      </w:r>
      <w:r>
        <w:rPr>
          <w:spacing w:val="-1"/>
        </w:rPr>
        <w:t xml:space="preserve"> </w:t>
      </w:r>
      <w:r>
        <w:t>sky”</w:t>
      </w:r>
      <w:r>
        <w:rPr>
          <w:spacing w:val="-1"/>
        </w:rPr>
        <w:t xml:space="preserve"> </w:t>
      </w:r>
      <w:r>
        <w:t>and</w:t>
      </w:r>
      <w:r>
        <w:rPr>
          <w:spacing w:val="-1"/>
        </w:rPr>
        <w:t xml:space="preserve"> </w:t>
      </w:r>
      <w:r>
        <w:t>take</w:t>
      </w:r>
      <w:r>
        <w:rPr>
          <w:spacing w:val="-1"/>
        </w:rPr>
        <w:t xml:space="preserve"> </w:t>
      </w:r>
      <w:r>
        <w:t>“the</w:t>
      </w:r>
      <w:r>
        <w:rPr>
          <w:spacing w:val="-1"/>
        </w:rPr>
        <w:t xml:space="preserve"> </w:t>
      </w:r>
      <w:r>
        <w:t>evening</w:t>
      </w:r>
      <w:r>
        <w:rPr>
          <w:spacing w:val="-1"/>
        </w:rPr>
        <w:t xml:space="preserve"> </w:t>
      </w:r>
      <w:r>
        <w:t xml:space="preserve">star” in the same way </w:t>
      </w:r>
      <w:r>
        <w:rPr>
          <w:i/>
        </w:rPr>
        <w:t>mutatis mutandis.</w:t>
      </w:r>
      <w:r>
        <w:t>)</w:t>
      </w:r>
    </w:p>
    <w:p w14:paraId="7E0011CA" w14:textId="77777777" w:rsidR="009A58DB" w:rsidRDefault="00000000">
      <w:pPr>
        <w:pStyle w:val="BodyText"/>
        <w:spacing w:before="3" w:line="292" w:lineRule="auto"/>
        <w:ind w:right="372" w:firstLine="360"/>
      </w:pPr>
      <w:r>
        <w:t xml:space="preserve">And for the same reasons </w:t>
      </w:r>
      <w:r>
        <w:rPr>
          <w:i/>
        </w:rPr>
        <w:t>mutatis mutandis</w:t>
      </w:r>
      <w:r>
        <w:t>, P</w:t>
      </w:r>
      <w:r>
        <w:rPr>
          <w:vertAlign w:val="subscript"/>
        </w:rPr>
        <w:t>1</w:t>
      </w:r>
      <w:r>
        <w:t xml:space="preserve"> conveys the proposition that would be conveyed to you by:</w:t>
      </w:r>
    </w:p>
    <w:p w14:paraId="7E0011CB" w14:textId="77777777" w:rsidR="009A58DB" w:rsidRDefault="00000000">
      <w:pPr>
        <w:pStyle w:val="BodyText"/>
        <w:spacing w:before="299"/>
        <w:jc w:val="left"/>
      </w:pPr>
      <w:r>
        <w:t>(ES)</w:t>
      </w:r>
      <w:r>
        <w:rPr>
          <w:spacing w:val="-6"/>
        </w:rPr>
        <w:t xml:space="preserve"> </w:t>
      </w:r>
      <w:r>
        <w:t>“The</w:t>
      </w:r>
      <w:r>
        <w:rPr>
          <w:spacing w:val="-4"/>
        </w:rPr>
        <w:t xml:space="preserve"> </w:t>
      </w:r>
      <w:r>
        <w:t>evening</w:t>
      </w:r>
      <w:r>
        <w:rPr>
          <w:spacing w:val="-2"/>
        </w:rPr>
        <w:t xml:space="preserve"> </w:t>
      </w:r>
      <w:r>
        <w:t>star</w:t>
      </w:r>
      <w:r>
        <w:rPr>
          <w:spacing w:val="-4"/>
        </w:rPr>
        <w:t xml:space="preserve"> </w:t>
      </w:r>
      <w:r>
        <w:t>is</w:t>
      </w:r>
      <w:r>
        <w:rPr>
          <w:spacing w:val="-3"/>
        </w:rPr>
        <w:t xml:space="preserve"> </w:t>
      </w:r>
      <w:r>
        <w:t>less</w:t>
      </w:r>
      <w:r>
        <w:rPr>
          <w:spacing w:val="-4"/>
        </w:rPr>
        <w:t xml:space="preserve"> </w:t>
      </w:r>
      <w:r>
        <w:t>massive</w:t>
      </w:r>
      <w:r>
        <w:rPr>
          <w:spacing w:val="-3"/>
        </w:rPr>
        <w:t xml:space="preserve"> </w:t>
      </w:r>
      <w:r>
        <w:t>than</w:t>
      </w:r>
      <w:r>
        <w:rPr>
          <w:spacing w:val="-3"/>
        </w:rPr>
        <w:t xml:space="preserve"> </w:t>
      </w:r>
      <w:r>
        <w:t>the</w:t>
      </w:r>
      <w:r>
        <w:rPr>
          <w:spacing w:val="-3"/>
        </w:rPr>
        <w:t xml:space="preserve"> </w:t>
      </w:r>
      <w:r>
        <w:rPr>
          <w:spacing w:val="-2"/>
        </w:rPr>
        <w:t>Earth.”</w:t>
      </w:r>
    </w:p>
    <w:p w14:paraId="7E0011CC" w14:textId="77777777" w:rsidR="009A58DB" w:rsidRDefault="009A58DB">
      <w:pPr>
        <w:pStyle w:val="BodyText"/>
        <w:spacing w:before="29"/>
        <w:ind w:left="0"/>
        <w:jc w:val="left"/>
      </w:pPr>
    </w:p>
    <w:p w14:paraId="7E0011CD" w14:textId="77777777" w:rsidR="009A58DB" w:rsidRDefault="00000000">
      <w:pPr>
        <w:pStyle w:val="BodyText"/>
        <w:spacing w:before="1" w:line="249" w:lineRule="auto"/>
        <w:ind w:right="366"/>
      </w:pPr>
      <w:r>
        <w:t>Thus,</w:t>
      </w:r>
      <w:r>
        <w:rPr>
          <w:spacing w:val="-3"/>
        </w:rPr>
        <w:t xml:space="preserve"> </w:t>
      </w:r>
      <w:r>
        <w:t>the</w:t>
      </w:r>
      <w:r>
        <w:rPr>
          <w:spacing w:val="-3"/>
        </w:rPr>
        <w:t xml:space="preserve"> </w:t>
      </w:r>
      <w:r>
        <w:t>propositions</w:t>
      </w:r>
      <w:r>
        <w:rPr>
          <w:spacing w:val="-3"/>
        </w:rPr>
        <w:t xml:space="preserve"> </w:t>
      </w:r>
      <w:r>
        <w:t>conveyed</w:t>
      </w:r>
      <w:r>
        <w:rPr>
          <w:spacing w:val="-3"/>
        </w:rPr>
        <w:t xml:space="preserve"> </w:t>
      </w:r>
      <w:r>
        <w:t>by</w:t>
      </w:r>
      <w:r>
        <w:rPr>
          <w:spacing w:val="-3"/>
        </w:rPr>
        <w:t xml:space="preserve"> </w:t>
      </w:r>
      <w:r>
        <w:t>MS</w:t>
      </w:r>
      <w:r>
        <w:rPr>
          <w:spacing w:val="-3"/>
        </w:rPr>
        <w:t xml:space="preserve"> </w:t>
      </w:r>
      <w:r>
        <w:t>and</w:t>
      </w:r>
      <w:r>
        <w:rPr>
          <w:spacing w:val="-3"/>
        </w:rPr>
        <w:t xml:space="preserve"> </w:t>
      </w:r>
      <w:r>
        <w:t>ES</w:t>
      </w:r>
      <w:r>
        <w:rPr>
          <w:spacing w:val="-3"/>
        </w:rPr>
        <w:t xml:space="preserve"> </w:t>
      </w:r>
      <w:r>
        <w:t>are,</w:t>
      </w:r>
      <w:r>
        <w:rPr>
          <w:spacing w:val="-3"/>
        </w:rPr>
        <w:t xml:space="preserve"> </w:t>
      </w:r>
      <w:r>
        <w:t>respectively,</w:t>
      </w:r>
      <w:r>
        <w:rPr>
          <w:spacing w:val="-3"/>
        </w:rPr>
        <w:t xml:space="preserve"> </w:t>
      </w:r>
      <w:r>
        <w:t>to</w:t>
      </w:r>
      <w:r>
        <w:rPr>
          <w:spacing w:val="-3"/>
        </w:rPr>
        <w:t xml:space="preserve"> </w:t>
      </w:r>
      <w:r>
        <w:t>the</w:t>
      </w:r>
      <w:r>
        <w:rPr>
          <w:spacing w:val="-3"/>
        </w:rPr>
        <w:t xml:space="preserve"> </w:t>
      </w:r>
      <w:r>
        <w:t xml:space="preserve">effect </w:t>
      </w:r>
      <w:r>
        <w:rPr>
          <w:spacing w:val="-2"/>
        </w:rPr>
        <w:t>that:</w:t>
      </w:r>
    </w:p>
    <w:p w14:paraId="7E0011CE" w14:textId="77777777" w:rsidR="009A58DB" w:rsidRDefault="009A58DB">
      <w:pPr>
        <w:pStyle w:val="BodyText"/>
        <w:spacing w:before="17"/>
        <w:ind w:left="0"/>
        <w:jc w:val="left"/>
      </w:pPr>
    </w:p>
    <w:p w14:paraId="7E0011CF" w14:textId="77777777" w:rsidR="009A58DB" w:rsidRDefault="00000000">
      <w:pPr>
        <w:pStyle w:val="BodyText"/>
        <w:spacing w:line="249" w:lineRule="auto"/>
        <w:ind w:right="358"/>
      </w:pPr>
      <w:r>
        <w:t>(MSTD) something is uniquely a last celestial body to disappear from the morning sky, and any such thing is less massive than the Earth</w:t>
      </w:r>
    </w:p>
    <w:p w14:paraId="7E0011D0" w14:textId="77777777" w:rsidR="009A58DB" w:rsidRDefault="009A58DB">
      <w:pPr>
        <w:pStyle w:val="BodyText"/>
        <w:spacing w:before="17"/>
        <w:ind w:left="0"/>
        <w:jc w:val="left"/>
      </w:pPr>
    </w:p>
    <w:p w14:paraId="7E0011D1" w14:textId="77777777" w:rsidR="009A58DB" w:rsidRDefault="00000000">
      <w:pPr>
        <w:pStyle w:val="BodyText"/>
        <w:spacing w:before="1"/>
        <w:jc w:val="left"/>
      </w:pPr>
      <w:r>
        <w:rPr>
          <w:spacing w:val="-5"/>
        </w:rPr>
        <w:t>and</w:t>
      </w:r>
    </w:p>
    <w:p w14:paraId="7E0011D2" w14:textId="77777777" w:rsidR="009A58DB" w:rsidRDefault="009A58DB">
      <w:pPr>
        <w:pStyle w:val="BodyText"/>
        <w:spacing w:before="29"/>
        <w:ind w:left="0"/>
        <w:jc w:val="left"/>
      </w:pPr>
    </w:p>
    <w:p w14:paraId="7E0011D3" w14:textId="77777777" w:rsidR="009A58DB" w:rsidRDefault="00000000">
      <w:pPr>
        <w:pStyle w:val="BodyText"/>
        <w:spacing w:before="1" w:line="249" w:lineRule="auto"/>
        <w:ind w:right="365"/>
      </w:pPr>
      <w:r>
        <w:t>(ESTD) something is uniquely a first celestial body to appear in the evening sky, and any such thing is less massive than the Earth.</w:t>
      </w:r>
    </w:p>
    <w:p w14:paraId="7E0011D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1D5" w14:textId="77777777" w:rsidR="009A58DB" w:rsidRDefault="00000000">
      <w:pPr>
        <w:pStyle w:val="BodyText"/>
        <w:spacing w:before="65" w:line="249" w:lineRule="auto"/>
        <w:ind w:right="368"/>
      </w:pPr>
      <w:r>
        <w:lastRenderedPageBreak/>
        <w:t>Obviously MSTD and ESTD are different propositions. Neither entails the other. They are confirmationally independent of each other.</w:t>
      </w:r>
    </w:p>
    <w:p w14:paraId="7E0011D6" w14:textId="77777777" w:rsidR="009A58DB" w:rsidRDefault="00000000">
      <w:pPr>
        <w:pStyle w:val="BodyText"/>
        <w:spacing w:before="2" w:line="249" w:lineRule="auto"/>
        <w:ind w:right="360" w:firstLine="360"/>
      </w:pPr>
      <w:r>
        <w:t>Since MS and ES convey MSTD and ESTD, it might seem to follow that MS and ES have MSTD and ESTD for their respective literal meanings. And this is just what Russell and Frege inferred.</w:t>
      </w:r>
    </w:p>
    <w:p w14:paraId="7E0011D7" w14:textId="77777777" w:rsidR="009A58DB" w:rsidRDefault="00000000">
      <w:pPr>
        <w:pStyle w:val="BodyText"/>
        <w:spacing w:before="4"/>
        <w:ind w:left="720"/>
      </w:pPr>
      <w:r>
        <w:t>The</w:t>
      </w:r>
      <w:r>
        <w:rPr>
          <w:spacing w:val="-7"/>
        </w:rPr>
        <w:t xml:space="preserve"> </w:t>
      </w:r>
      <w:r>
        <w:t>Russell-Frege</w:t>
      </w:r>
      <w:r>
        <w:rPr>
          <w:spacing w:val="-4"/>
        </w:rPr>
        <w:t xml:space="preserve"> </w:t>
      </w:r>
      <w:r>
        <w:t>analysis</w:t>
      </w:r>
      <w:r>
        <w:rPr>
          <w:spacing w:val="-4"/>
        </w:rPr>
        <w:t xml:space="preserve"> </w:t>
      </w:r>
      <w:r>
        <w:t>of</w:t>
      </w:r>
      <w:r>
        <w:rPr>
          <w:spacing w:val="-4"/>
        </w:rPr>
        <w:t xml:space="preserve"> </w:t>
      </w:r>
      <w:r>
        <w:t>proper</w:t>
      </w:r>
      <w:r>
        <w:rPr>
          <w:spacing w:val="-4"/>
        </w:rPr>
        <w:t xml:space="preserve"> </w:t>
      </w:r>
      <w:r>
        <w:t>names</w:t>
      </w:r>
      <w:r>
        <w:rPr>
          <w:spacing w:val="-4"/>
        </w:rPr>
        <w:t xml:space="preserve"> </w:t>
      </w:r>
      <w:r>
        <w:t>is</w:t>
      </w:r>
      <w:r>
        <w:rPr>
          <w:spacing w:val="-4"/>
        </w:rPr>
        <w:t xml:space="preserve"> </w:t>
      </w:r>
      <w:r>
        <w:rPr>
          <w:spacing w:val="-2"/>
        </w:rPr>
        <w:t>this:</w:t>
      </w:r>
    </w:p>
    <w:p w14:paraId="7E0011D8" w14:textId="77777777" w:rsidR="009A58DB" w:rsidRDefault="009A58DB">
      <w:pPr>
        <w:pStyle w:val="BodyText"/>
        <w:spacing w:before="30"/>
        <w:ind w:left="0"/>
        <w:jc w:val="left"/>
      </w:pPr>
    </w:p>
    <w:p w14:paraId="7E0011D9" w14:textId="77777777" w:rsidR="009A58DB" w:rsidRDefault="00000000">
      <w:pPr>
        <w:pStyle w:val="BodyText"/>
        <w:spacing w:line="249" w:lineRule="auto"/>
        <w:ind w:left="720" w:right="361"/>
      </w:pPr>
      <w:r>
        <w:t>(RF) If N is a proper name of some object O, that is because N is synonymous with ‹the phi›, for some property phi that O, and O alone,</w:t>
      </w:r>
      <w:r>
        <w:rPr>
          <w:spacing w:val="40"/>
        </w:rPr>
        <w:t xml:space="preserve"> </w:t>
      </w:r>
      <w:r>
        <w:t>has. Thus N is O’s name only because O fits the description encoded in O. Proper names are not mere labels; Mill was wrong. They are descriptive.</w:t>
      </w:r>
    </w:p>
    <w:p w14:paraId="7E0011DA" w14:textId="77777777" w:rsidR="009A58DB" w:rsidRDefault="009A58DB">
      <w:pPr>
        <w:pStyle w:val="BodyText"/>
        <w:spacing w:before="20"/>
        <w:ind w:left="0"/>
        <w:jc w:val="left"/>
      </w:pPr>
    </w:p>
    <w:p w14:paraId="7E0011DB" w14:textId="77777777" w:rsidR="009A58DB" w:rsidRDefault="00000000">
      <w:pPr>
        <w:pStyle w:val="BodyText"/>
        <w:spacing w:line="249" w:lineRule="auto"/>
        <w:ind w:right="370"/>
      </w:pPr>
      <w:r>
        <w:t>(Note: Russell and Frege disagreed about how to analyze ‹the phi.› Frege thought that it was a referring term. Russell thought otherwise. But they both accepted RF, and that’s what’s important here.)</w:t>
      </w:r>
    </w:p>
    <w:p w14:paraId="7E0011DC" w14:textId="77777777" w:rsidR="009A58DB" w:rsidRDefault="00000000">
      <w:pPr>
        <w:pStyle w:val="BodyText"/>
        <w:spacing w:before="3" w:line="249" w:lineRule="auto"/>
        <w:ind w:right="361" w:firstLine="360"/>
      </w:pPr>
      <w:r>
        <w:t xml:space="preserve">So “Homer” is, in their view, synonymous with “the blind bard who authored </w:t>
      </w:r>
      <w:r>
        <w:rPr>
          <w:i/>
        </w:rPr>
        <w:t>the Iliad,</w:t>
      </w:r>
      <w:r>
        <w:t>” or some such, and “Shakespeare” is synonymous with “the author of Hamlet,” or some such.</w:t>
      </w:r>
    </w:p>
    <w:p w14:paraId="7E0011DD" w14:textId="77777777" w:rsidR="009A58DB" w:rsidRDefault="00000000">
      <w:pPr>
        <w:pStyle w:val="BodyText"/>
        <w:spacing w:before="4" w:line="249" w:lineRule="auto"/>
        <w:ind w:right="361" w:firstLine="360"/>
      </w:pPr>
      <w:r>
        <w:t xml:space="preserve">We’ve already seen why this theory is wrong and also that Mill, whose work was known to both Frege and Russell, refuted this theory. But, for whatever reason, they didn’t internalize Mill’s argument. (That happens. There are many arguments that I’ve read and that, if I had understood them, I would have seen to refute cherished positions of mine.) And, even though (unbeknownst to them) there was a cogent reason </w:t>
      </w:r>
      <w:r>
        <w:rPr>
          <w:i/>
        </w:rPr>
        <w:t xml:space="preserve">not </w:t>
      </w:r>
      <w:r>
        <w:t xml:space="preserve">to hold it, there were some excellent reasons </w:t>
      </w:r>
      <w:r>
        <w:rPr>
          <w:i/>
        </w:rPr>
        <w:t>to</w:t>
      </w:r>
      <w:r>
        <w:rPr>
          <w:i/>
          <w:spacing w:val="-3"/>
        </w:rPr>
        <w:t xml:space="preserve"> </w:t>
      </w:r>
      <w:r>
        <w:t>hold it. In other words, apart from the fact that it’s wrong, it’s an excellent theory—one that models the data pretty well.</w:t>
      </w:r>
    </w:p>
    <w:p w14:paraId="7E0011DE" w14:textId="77777777" w:rsidR="009A58DB" w:rsidRDefault="00000000">
      <w:pPr>
        <w:pStyle w:val="BodyText"/>
        <w:spacing w:before="10" w:line="249" w:lineRule="auto"/>
        <w:ind w:right="365" w:firstLine="360"/>
      </w:pPr>
      <w:r>
        <w:t xml:space="preserve">Let us state these reasons as explicitly as possible. There are basically </w:t>
      </w:r>
      <w:r>
        <w:rPr>
          <w:spacing w:val="-2"/>
        </w:rPr>
        <w:t>three.</w:t>
      </w:r>
    </w:p>
    <w:p w14:paraId="7E0011DF" w14:textId="77777777" w:rsidR="009A58DB" w:rsidRDefault="00000000">
      <w:pPr>
        <w:pStyle w:val="Heading3"/>
        <w:numPr>
          <w:ilvl w:val="2"/>
          <w:numId w:val="158"/>
        </w:numPr>
        <w:tabs>
          <w:tab w:val="left" w:pos="1243"/>
        </w:tabs>
        <w:spacing w:before="100" w:line="249" w:lineRule="auto"/>
        <w:ind w:right="367" w:firstLine="0"/>
        <w:jc w:val="both"/>
      </w:pPr>
      <w:r>
        <w:t>Reason #1: Since conception is descriptive, and since language mirrors thought, proper names are descriptive</w:t>
      </w:r>
    </w:p>
    <w:p w14:paraId="7E0011E0" w14:textId="77777777" w:rsidR="009A58DB" w:rsidRDefault="00000000">
      <w:pPr>
        <w:pStyle w:val="BodyText"/>
        <w:spacing w:before="64" w:line="249" w:lineRule="auto"/>
        <w:ind w:right="363"/>
      </w:pPr>
      <w:r>
        <w:t>Russell</w:t>
      </w:r>
      <w:r>
        <w:rPr>
          <w:spacing w:val="-5"/>
        </w:rPr>
        <w:t xml:space="preserve"> </w:t>
      </w:r>
      <w:r>
        <w:t>and</w:t>
      </w:r>
      <w:r>
        <w:rPr>
          <w:spacing w:val="-4"/>
        </w:rPr>
        <w:t xml:space="preserve"> </w:t>
      </w:r>
      <w:r>
        <w:t>Frege</w:t>
      </w:r>
      <w:r>
        <w:rPr>
          <w:spacing w:val="-5"/>
        </w:rPr>
        <w:t xml:space="preserve"> </w:t>
      </w:r>
      <w:r>
        <w:t>believed</w:t>
      </w:r>
      <w:r>
        <w:rPr>
          <w:spacing w:val="-4"/>
        </w:rPr>
        <w:t xml:space="preserve"> </w:t>
      </w:r>
      <w:r>
        <w:t>that</w:t>
      </w:r>
      <w:r>
        <w:rPr>
          <w:spacing w:val="-5"/>
        </w:rPr>
        <w:t xml:space="preserve"> </w:t>
      </w:r>
      <w:r>
        <w:t>conception</w:t>
      </w:r>
      <w:r>
        <w:rPr>
          <w:spacing w:val="-4"/>
        </w:rPr>
        <w:t xml:space="preserve"> </w:t>
      </w:r>
      <w:r>
        <w:t>is</w:t>
      </w:r>
      <w:r>
        <w:rPr>
          <w:spacing w:val="-5"/>
        </w:rPr>
        <w:t xml:space="preserve"> </w:t>
      </w:r>
      <w:r>
        <w:t>descriptive—that</w:t>
      </w:r>
      <w:r>
        <w:rPr>
          <w:spacing w:val="-5"/>
        </w:rPr>
        <w:t xml:space="preserve"> </w:t>
      </w:r>
      <w:r>
        <w:t>to</w:t>
      </w:r>
      <w:r>
        <w:rPr>
          <w:spacing w:val="-4"/>
        </w:rPr>
        <w:t xml:space="preserve"> </w:t>
      </w:r>
      <w:r>
        <w:t>think</w:t>
      </w:r>
      <w:r>
        <w:rPr>
          <w:spacing w:val="-4"/>
        </w:rPr>
        <w:t xml:space="preserve"> </w:t>
      </w:r>
      <w:r>
        <w:rPr>
          <w:i/>
        </w:rPr>
        <w:t>O</w:t>
      </w:r>
      <w:r>
        <w:rPr>
          <w:i/>
          <w:spacing w:val="-5"/>
        </w:rPr>
        <w:t xml:space="preserve"> </w:t>
      </w:r>
      <w:r>
        <w:rPr>
          <w:i/>
        </w:rPr>
        <w:t xml:space="preserve">has psi </w:t>
      </w:r>
      <w:r>
        <w:t xml:space="preserve">is to think </w:t>
      </w:r>
      <w:r>
        <w:rPr>
          <w:i/>
        </w:rPr>
        <w:t xml:space="preserve">the phi has psi, </w:t>
      </w:r>
      <w:r>
        <w:t xml:space="preserve">where </w:t>
      </w:r>
      <w:r>
        <w:rPr>
          <w:i/>
        </w:rPr>
        <w:t xml:space="preserve">phi </w:t>
      </w:r>
      <w:r>
        <w:t xml:space="preserve">is some property had by O and O </w:t>
      </w:r>
      <w:r>
        <w:rPr>
          <w:spacing w:val="-2"/>
        </w:rPr>
        <w:t>alone.</w:t>
      </w:r>
    </w:p>
    <w:p w14:paraId="7E0011E1" w14:textId="77777777" w:rsidR="009A58DB" w:rsidRDefault="00000000">
      <w:pPr>
        <w:pStyle w:val="BodyText"/>
        <w:spacing w:before="4"/>
        <w:ind w:left="720"/>
      </w:pPr>
      <w:r>
        <w:t>They</w:t>
      </w:r>
      <w:r>
        <w:rPr>
          <w:spacing w:val="52"/>
          <w:w w:val="150"/>
        </w:rPr>
        <w:t xml:space="preserve"> </w:t>
      </w:r>
      <w:r>
        <w:t>were</w:t>
      </w:r>
      <w:r>
        <w:rPr>
          <w:spacing w:val="53"/>
          <w:w w:val="150"/>
        </w:rPr>
        <w:t xml:space="preserve"> </w:t>
      </w:r>
      <w:r>
        <w:t>100%</w:t>
      </w:r>
      <w:r>
        <w:rPr>
          <w:spacing w:val="52"/>
          <w:w w:val="150"/>
        </w:rPr>
        <w:t xml:space="preserve"> </w:t>
      </w:r>
      <w:r>
        <w:t>right</w:t>
      </w:r>
      <w:r>
        <w:rPr>
          <w:spacing w:val="53"/>
          <w:w w:val="150"/>
        </w:rPr>
        <w:t xml:space="preserve"> </w:t>
      </w:r>
      <w:r>
        <w:t>about</w:t>
      </w:r>
      <w:r>
        <w:rPr>
          <w:spacing w:val="52"/>
          <w:w w:val="150"/>
        </w:rPr>
        <w:t xml:space="preserve"> </w:t>
      </w:r>
      <w:r>
        <w:t>this.</w:t>
      </w:r>
      <w:r>
        <w:rPr>
          <w:spacing w:val="53"/>
          <w:w w:val="150"/>
        </w:rPr>
        <w:t xml:space="preserve"> </w:t>
      </w:r>
      <w:r>
        <w:t>For</w:t>
      </w:r>
      <w:r>
        <w:rPr>
          <w:spacing w:val="52"/>
          <w:w w:val="150"/>
        </w:rPr>
        <w:t xml:space="preserve"> </w:t>
      </w:r>
      <w:r>
        <w:t>reasons</w:t>
      </w:r>
      <w:r>
        <w:rPr>
          <w:spacing w:val="53"/>
          <w:w w:val="150"/>
        </w:rPr>
        <w:t xml:space="preserve"> </w:t>
      </w:r>
      <w:r>
        <w:t>to</w:t>
      </w:r>
      <w:r>
        <w:rPr>
          <w:spacing w:val="52"/>
          <w:w w:val="150"/>
        </w:rPr>
        <w:t xml:space="preserve"> </w:t>
      </w:r>
      <w:r>
        <w:t>be</w:t>
      </w:r>
      <w:r>
        <w:rPr>
          <w:spacing w:val="53"/>
          <w:w w:val="150"/>
        </w:rPr>
        <w:t xml:space="preserve"> </w:t>
      </w:r>
      <w:r>
        <w:t>discussed</w:t>
      </w:r>
      <w:r>
        <w:rPr>
          <w:spacing w:val="52"/>
          <w:w w:val="150"/>
        </w:rPr>
        <w:t xml:space="preserve"> </w:t>
      </w:r>
      <w:r>
        <w:t>in</w:t>
      </w:r>
      <w:r>
        <w:rPr>
          <w:spacing w:val="53"/>
          <w:w w:val="150"/>
        </w:rPr>
        <w:t xml:space="preserve"> </w:t>
      </w:r>
      <w:r>
        <w:rPr>
          <w:spacing w:val="-10"/>
        </w:rPr>
        <w:t>a</w:t>
      </w:r>
    </w:p>
    <w:p w14:paraId="7E0011E2" w14:textId="77777777" w:rsidR="009A58DB" w:rsidRDefault="009A58DB">
      <w:pPr>
        <w:pStyle w:val="BodyText"/>
        <w:sectPr w:rsidR="009A58DB">
          <w:pgSz w:w="12240" w:h="15840"/>
          <w:pgMar w:top="1740" w:right="1080" w:bottom="280" w:left="1080" w:header="720" w:footer="720" w:gutter="0"/>
          <w:cols w:space="720"/>
        </w:sectPr>
      </w:pPr>
    </w:p>
    <w:p w14:paraId="7E0011E3" w14:textId="77777777" w:rsidR="009A58DB" w:rsidRDefault="00000000">
      <w:pPr>
        <w:pStyle w:val="BodyText"/>
        <w:spacing w:before="70" w:line="249" w:lineRule="auto"/>
        <w:ind w:right="365"/>
      </w:pPr>
      <w:r>
        <w:lastRenderedPageBreak/>
        <w:t xml:space="preserve">moment, this insight of theirs, though accepted for the first 70 years of the last century, was promptly rejected in the early 1970s (for not very good </w:t>
      </w:r>
      <w:r>
        <w:rPr>
          <w:spacing w:val="-2"/>
        </w:rPr>
        <w:t>reasons).</w:t>
      </w:r>
    </w:p>
    <w:p w14:paraId="7E0011E4" w14:textId="77777777" w:rsidR="009A58DB" w:rsidRDefault="00000000">
      <w:pPr>
        <w:pStyle w:val="BodyText"/>
        <w:spacing w:line="249" w:lineRule="auto"/>
        <w:ind w:right="357" w:firstLine="360"/>
      </w:pPr>
      <w:r>
        <w:t xml:space="preserve">Here’s where they went wrong. They assumed that what is true of language must be true of thought. Thinking (rightly) that one’s </w:t>
      </w:r>
      <w:r>
        <w:rPr>
          <w:i/>
        </w:rPr>
        <w:t xml:space="preserve">concept </w:t>
      </w:r>
      <w:r>
        <w:t>of Socrates, if put into words, would have the form ‹the phi›, for some property phi, they inferred (wrongly) that “Socrates,” the word, must be synonymous with ‹the phi.›</w:t>
      </w:r>
    </w:p>
    <w:p w14:paraId="7E0011E5" w14:textId="77777777" w:rsidR="009A58DB" w:rsidRDefault="00000000">
      <w:pPr>
        <w:pStyle w:val="BodyText"/>
        <w:spacing w:before="4" w:line="249" w:lineRule="auto"/>
        <w:ind w:right="361" w:firstLine="360"/>
      </w:pPr>
      <w:r>
        <w:t>They’re wrong, as we’ve seen; and, contrary to what they thought, the descriptive nature of conception is perfectly consistent with the supposition that proper names are mere labels.</w:t>
      </w:r>
    </w:p>
    <w:p w14:paraId="7E0011E6" w14:textId="77777777" w:rsidR="009A58DB" w:rsidRDefault="00000000">
      <w:pPr>
        <w:pStyle w:val="BodyText"/>
        <w:spacing w:before="4" w:line="249" w:lineRule="auto"/>
        <w:ind w:right="360" w:firstLine="360"/>
      </w:pPr>
      <w:r>
        <w:t>What made it possible for them to overlook the flaws in their logic was that they focused on names of historical figures (“Homer,” “Shakespeare,” “Napoleon”) or celestial bodies (“Hesperus,” “Phosphorous”)—names that are</w:t>
      </w:r>
      <w:r>
        <w:rPr>
          <w:spacing w:val="-1"/>
        </w:rPr>
        <w:t xml:space="preserve"> </w:t>
      </w:r>
      <w:r>
        <w:t>likely</w:t>
      </w:r>
      <w:r>
        <w:rPr>
          <w:spacing w:val="-1"/>
        </w:rPr>
        <w:t xml:space="preserve"> </w:t>
      </w:r>
      <w:r>
        <w:t>to</w:t>
      </w:r>
      <w:r>
        <w:rPr>
          <w:spacing w:val="-1"/>
        </w:rPr>
        <w:t xml:space="preserve"> </w:t>
      </w:r>
      <w:r>
        <w:t>be</w:t>
      </w:r>
      <w:r>
        <w:rPr>
          <w:spacing w:val="-1"/>
        </w:rPr>
        <w:t xml:space="preserve"> </w:t>
      </w:r>
      <w:r>
        <w:t>associated</w:t>
      </w:r>
      <w:r>
        <w:rPr>
          <w:spacing w:val="-1"/>
        </w:rPr>
        <w:t xml:space="preserve"> </w:t>
      </w:r>
      <w:r>
        <w:t>with</w:t>
      </w:r>
      <w:r>
        <w:rPr>
          <w:spacing w:val="-1"/>
        </w:rPr>
        <w:t xml:space="preserve"> </w:t>
      </w:r>
      <w:r>
        <w:t>a</w:t>
      </w:r>
      <w:r>
        <w:rPr>
          <w:spacing w:val="-1"/>
        </w:rPr>
        <w:t xml:space="preserve"> </w:t>
      </w:r>
      <w:r>
        <w:t>single</w:t>
      </w:r>
      <w:r>
        <w:rPr>
          <w:spacing w:val="-1"/>
        </w:rPr>
        <w:t xml:space="preserve"> </w:t>
      </w:r>
      <w:r>
        <w:t>definite</w:t>
      </w:r>
      <w:r>
        <w:rPr>
          <w:spacing w:val="-1"/>
        </w:rPr>
        <w:t xml:space="preserve"> </w:t>
      </w:r>
      <w:r>
        <w:t>description.</w:t>
      </w:r>
      <w:r>
        <w:rPr>
          <w:spacing w:val="-1"/>
        </w:rPr>
        <w:t xml:space="preserve"> </w:t>
      </w:r>
      <w:r>
        <w:t>It</w:t>
      </w:r>
      <w:r>
        <w:rPr>
          <w:spacing w:val="-1"/>
        </w:rPr>
        <w:t xml:space="preserve"> </w:t>
      </w:r>
      <w:r>
        <w:t>isn’t</w:t>
      </w:r>
      <w:r>
        <w:rPr>
          <w:spacing w:val="-1"/>
        </w:rPr>
        <w:t xml:space="preserve"> </w:t>
      </w:r>
      <w:r>
        <w:t>likely</w:t>
      </w:r>
      <w:r>
        <w:rPr>
          <w:spacing w:val="-1"/>
        </w:rPr>
        <w:t xml:space="preserve"> </w:t>
      </w:r>
      <w:r>
        <w:t xml:space="preserve">that “Phosphorous” will stop being “the evening star.” (It could happen; there could be some cataclysm. But it isn’t likely.) And it isn’t likely that “Shakespeare” will stop being synonymous with “the author of </w:t>
      </w:r>
      <w:r>
        <w:rPr>
          <w:i/>
        </w:rPr>
        <w:t>Hamlet.</w:t>
      </w:r>
      <w:r>
        <w:t>“</w:t>
      </w:r>
      <w:r>
        <w:rPr>
          <w:spacing w:val="-4"/>
        </w:rPr>
        <w:t xml:space="preserve"> </w:t>
      </w:r>
      <w:r>
        <w:t xml:space="preserve">(It’s possible; it could be discovered that Francis Bacon wrote </w:t>
      </w:r>
      <w:r>
        <w:rPr>
          <w:i/>
        </w:rPr>
        <w:t>Hamlet.</w:t>
      </w:r>
      <w:r>
        <w:rPr>
          <w:i/>
          <w:spacing w:val="-3"/>
        </w:rPr>
        <w:t xml:space="preserve"> </w:t>
      </w:r>
      <w:r>
        <w:t>But it isn’t likely.) So each of “Hesperus” and “Shakespeare” is tethered to a definite description whose aptness events probably won’t threaten.</w:t>
      </w:r>
    </w:p>
    <w:p w14:paraId="7E0011E7" w14:textId="77777777" w:rsidR="009A58DB" w:rsidRDefault="00000000">
      <w:pPr>
        <w:pStyle w:val="BodyText"/>
        <w:spacing w:before="12" w:line="249" w:lineRule="auto"/>
        <w:ind w:right="358" w:firstLine="360"/>
      </w:pPr>
      <w:r>
        <w:t>But this isn’t true of names of living people. Remember what we said about “Larry.” What makes it so obvious that “Larry” isn’t synonymous with “the man with the handle-bar mustache [etc.]” is that Larry might shave his mustache tomorrow; maybe he already has. And maybe I’m now at some other party and am talking to some other man with a handle-bar mustache, and it is now this other man, not Larry, to whom “the man with the handle-bar mustache [etc.]” corresponds. Since living people change and, as it were, move from definite description to definite description, it’s clear, if one focuses on the names of the living that names aren’t definite descriptions. And it’s clear for the reasons that Mill gave. But Russell and Frege focused on a different class of names, and there it is.</w:t>
      </w:r>
    </w:p>
    <w:p w14:paraId="7E0011E8" w14:textId="77777777" w:rsidR="009A58DB" w:rsidRDefault="00000000">
      <w:pPr>
        <w:pStyle w:val="Heading3"/>
        <w:numPr>
          <w:ilvl w:val="2"/>
          <w:numId w:val="158"/>
        </w:numPr>
        <w:tabs>
          <w:tab w:val="left" w:pos="1157"/>
        </w:tabs>
        <w:spacing w:before="112" w:line="249" w:lineRule="auto"/>
        <w:ind w:right="363" w:firstLine="0"/>
        <w:jc w:val="both"/>
      </w:pPr>
      <w:r>
        <w:t xml:space="preserve">Reason #2: Replacing co-referring proper names changes </w:t>
      </w:r>
      <w:r>
        <w:rPr>
          <w:spacing w:val="-2"/>
        </w:rPr>
        <w:t>meaning</w:t>
      </w:r>
    </w:p>
    <w:p w14:paraId="7E0011E9" w14:textId="77777777" w:rsidR="009A58DB" w:rsidRDefault="00000000">
      <w:pPr>
        <w:pStyle w:val="BodyText"/>
        <w:spacing w:before="64"/>
      </w:pPr>
      <w:r>
        <w:t>Let’s</w:t>
      </w:r>
      <w:r>
        <w:rPr>
          <w:spacing w:val="59"/>
        </w:rPr>
        <w:t xml:space="preserve"> </w:t>
      </w:r>
      <w:r>
        <w:t>suppose</w:t>
      </w:r>
      <w:r>
        <w:rPr>
          <w:spacing w:val="61"/>
        </w:rPr>
        <w:t xml:space="preserve"> </w:t>
      </w:r>
      <w:r>
        <w:t>that</w:t>
      </w:r>
      <w:r>
        <w:rPr>
          <w:spacing w:val="63"/>
        </w:rPr>
        <w:t xml:space="preserve"> </w:t>
      </w:r>
      <w:r>
        <w:t>Mill</w:t>
      </w:r>
      <w:r>
        <w:rPr>
          <w:spacing w:val="61"/>
        </w:rPr>
        <w:t xml:space="preserve"> </w:t>
      </w:r>
      <w:r>
        <w:t>is</w:t>
      </w:r>
      <w:r>
        <w:rPr>
          <w:spacing w:val="61"/>
        </w:rPr>
        <w:t xml:space="preserve"> </w:t>
      </w:r>
      <w:r>
        <w:t>right—that</w:t>
      </w:r>
      <w:r>
        <w:rPr>
          <w:spacing w:val="63"/>
        </w:rPr>
        <w:t xml:space="preserve"> </w:t>
      </w:r>
      <w:r>
        <w:t>names</w:t>
      </w:r>
      <w:r>
        <w:rPr>
          <w:spacing w:val="61"/>
        </w:rPr>
        <w:t xml:space="preserve"> </w:t>
      </w:r>
      <w:r>
        <w:t>are</w:t>
      </w:r>
      <w:r>
        <w:rPr>
          <w:spacing w:val="61"/>
        </w:rPr>
        <w:t xml:space="preserve"> </w:t>
      </w:r>
      <w:r>
        <w:t>mere</w:t>
      </w:r>
      <w:r>
        <w:rPr>
          <w:spacing w:val="62"/>
        </w:rPr>
        <w:t xml:space="preserve"> </w:t>
      </w:r>
      <w:r>
        <w:t>labels</w:t>
      </w:r>
      <w:r>
        <w:rPr>
          <w:spacing w:val="62"/>
        </w:rPr>
        <w:t xml:space="preserve"> </w:t>
      </w:r>
      <w:r>
        <w:t>and</w:t>
      </w:r>
      <w:r>
        <w:rPr>
          <w:spacing w:val="61"/>
        </w:rPr>
        <w:t xml:space="preserve"> </w:t>
      </w:r>
      <w:r>
        <w:t>are</w:t>
      </w:r>
      <w:r>
        <w:rPr>
          <w:spacing w:val="62"/>
        </w:rPr>
        <w:t xml:space="preserve"> </w:t>
      </w:r>
      <w:r>
        <w:rPr>
          <w:spacing w:val="-5"/>
        </w:rPr>
        <w:t>not</w:t>
      </w:r>
    </w:p>
    <w:p w14:paraId="7E0011EA" w14:textId="77777777" w:rsidR="009A58DB" w:rsidRDefault="009A58DB">
      <w:pPr>
        <w:pStyle w:val="BodyText"/>
        <w:sectPr w:rsidR="009A58DB">
          <w:pgSz w:w="12240" w:h="15840"/>
          <w:pgMar w:top="1380" w:right="1080" w:bottom="280" w:left="1080" w:header="720" w:footer="720" w:gutter="0"/>
          <w:cols w:space="720"/>
        </w:sectPr>
      </w:pPr>
    </w:p>
    <w:p w14:paraId="7E0011EB" w14:textId="77777777" w:rsidR="009A58DB" w:rsidRDefault="00000000">
      <w:pPr>
        <w:pStyle w:val="BodyText"/>
        <w:spacing w:before="70" w:line="249" w:lineRule="auto"/>
        <w:ind w:right="363"/>
      </w:pPr>
      <w:r>
        <w:lastRenderedPageBreak/>
        <w:t>“connotative” (descriptive). In that case, there is some object—let O be that object—such that each of “Hesperus” and “Phosphorous” simply labels O. It follows that:</w:t>
      </w:r>
    </w:p>
    <w:p w14:paraId="7E0011EC" w14:textId="77777777" w:rsidR="009A58DB" w:rsidRDefault="009A58DB">
      <w:pPr>
        <w:pStyle w:val="BodyText"/>
        <w:spacing w:before="13"/>
        <w:ind w:left="0"/>
        <w:jc w:val="left"/>
      </w:pPr>
    </w:p>
    <w:p w14:paraId="7E0011ED" w14:textId="77777777" w:rsidR="009A58DB" w:rsidRDefault="00000000">
      <w:pPr>
        <w:pStyle w:val="BodyText"/>
        <w:jc w:val="left"/>
      </w:pPr>
      <w:r>
        <w:t>(H</w:t>
      </w:r>
      <w:r>
        <w:rPr>
          <w:vertAlign w:val="subscript"/>
        </w:rPr>
        <w:t>1</w:t>
      </w:r>
      <w:r>
        <w:t>)</w:t>
      </w:r>
      <w:r>
        <w:rPr>
          <w:spacing w:val="-1"/>
        </w:rPr>
        <w:t xml:space="preserve"> </w:t>
      </w:r>
      <w:r>
        <w:t>“Hesperus</w:t>
      </w:r>
      <w:r>
        <w:rPr>
          <w:spacing w:val="-2"/>
        </w:rPr>
        <w:t xml:space="preserve"> </w:t>
      </w:r>
      <w:r>
        <w:t>is</w:t>
      </w:r>
      <w:r>
        <w:rPr>
          <w:spacing w:val="-1"/>
        </w:rPr>
        <w:t xml:space="preserve"> </w:t>
      </w:r>
      <w:r>
        <w:t>less</w:t>
      </w:r>
      <w:r>
        <w:rPr>
          <w:spacing w:val="-1"/>
        </w:rPr>
        <w:t xml:space="preserve"> </w:t>
      </w:r>
      <w:r>
        <w:t>massive</w:t>
      </w:r>
      <w:r>
        <w:rPr>
          <w:spacing w:val="-1"/>
        </w:rPr>
        <w:t xml:space="preserve"> </w:t>
      </w:r>
      <w:r>
        <w:t>than the</w:t>
      </w:r>
      <w:r>
        <w:rPr>
          <w:spacing w:val="-1"/>
        </w:rPr>
        <w:t xml:space="preserve"> </w:t>
      </w:r>
      <w:r>
        <w:rPr>
          <w:spacing w:val="-2"/>
        </w:rPr>
        <w:t>Earth”</w:t>
      </w:r>
    </w:p>
    <w:p w14:paraId="7E0011EE" w14:textId="77777777" w:rsidR="009A58DB" w:rsidRDefault="009A58DB">
      <w:pPr>
        <w:pStyle w:val="BodyText"/>
        <w:spacing w:before="90"/>
        <w:ind w:left="0"/>
        <w:jc w:val="left"/>
      </w:pPr>
    </w:p>
    <w:p w14:paraId="7E0011EF" w14:textId="77777777" w:rsidR="009A58DB" w:rsidRDefault="00000000">
      <w:pPr>
        <w:pStyle w:val="BodyText"/>
        <w:spacing w:line="520" w:lineRule="auto"/>
        <w:ind w:right="2634"/>
        <w:jc w:val="left"/>
      </w:pPr>
      <w:r>
        <w:t>has the very same proposition for its literal meaning as</w:t>
      </w:r>
      <w:r>
        <w:rPr>
          <w:spacing w:val="40"/>
        </w:rPr>
        <w:t xml:space="preserve"> </w:t>
      </w:r>
      <w:r>
        <w:t>(P</w:t>
      </w:r>
      <w:r>
        <w:rPr>
          <w:vertAlign w:val="subscript"/>
        </w:rPr>
        <w:t>1</w:t>
      </w:r>
      <w:r>
        <w:t>)</w:t>
      </w:r>
      <w:r>
        <w:rPr>
          <w:spacing w:val="-3"/>
        </w:rPr>
        <w:t xml:space="preserve"> </w:t>
      </w:r>
      <w:r>
        <w:t>“Phosphorous</w:t>
      </w:r>
      <w:r>
        <w:rPr>
          <w:spacing w:val="-3"/>
        </w:rPr>
        <w:t xml:space="preserve"> </w:t>
      </w:r>
      <w:r>
        <w:t>is</w:t>
      </w:r>
      <w:r>
        <w:rPr>
          <w:spacing w:val="-3"/>
        </w:rPr>
        <w:t xml:space="preserve"> </w:t>
      </w:r>
      <w:r>
        <w:t>less</w:t>
      </w:r>
      <w:r>
        <w:rPr>
          <w:spacing w:val="-3"/>
        </w:rPr>
        <w:t xml:space="preserve"> </w:t>
      </w:r>
      <w:r>
        <w:t>massive</w:t>
      </w:r>
      <w:r>
        <w:rPr>
          <w:spacing w:val="-3"/>
        </w:rPr>
        <w:t xml:space="preserve"> </w:t>
      </w:r>
      <w:r>
        <w:t>than</w:t>
      </w:r>
      <w:r>
        <w:rPr>
          <w:spacing w:val="-3"/>
        </w:rPr>
        <w:t xml:space="preserve"> </w:t>
      </w:r>
      <w:r>
        <w:t>the</w:t>
      </w:r>
      <w:r>
        <w:rPr>
          <w:spacing w:val="-3"/>
        </w:rPr>
        <w:t xml:space="preserve"> </w:t>
      </w:r>
      <w:r>
        <w:t>Earth,”</w:t>
      </w:r>
      <w:r>
        <w:rPr>
          <w:spacing w:val="-3"/>
        </w:rPr>
        <w:t xml:space="preserve"> </w:t>
      </w:r>
      <w:r>
        <w:t>namely: (O</w:t>
      </w:r>
      <w:r>
        <w:rPr>
          <w:vertAlign w:val="subscript"/>
        </w:rPr>
        <w:t>1</w:t>
      </w:r>
      <w:r>
        <w:t>) O is less massive than the Earth;</w:t>
      </w:r>
    </w:p>
    <w:p w14:paraId="7E0011F0" w14:textId="77777777" w:rsidR="009A58DB" w:rsidRDefault="00000000">
      <w:pPr>
        <w:pStyle w:val="BodyText"/>
        <w:spacing w:before="35" w:line="501" w:lineRule="auto"/>
        <w:ind w:right="4416"/>
        <w:jc w:val="left"/>
      </w:pPr>
      <w:r>
        <w:t>Indeed,</w:t>
      </w:r>
      <w:r>
        <w:rPr>
          <w:spacing w:val="-6"/>
        </w:rPr>
        <w:t xml:space="preserve"> </w:t>
      </w:r>
      <w:r>
        <w:t>it</w:t>
      </w:r>
      <w:r>
        <w:rPr>
          <w:spacing w:val="-7"/>
        </w:rPr>
        <w:t xml:space="preserve"> </w:t>
      </w:r>
      <w:r>
        <w:t>follows</w:t>
      </w:r>
      <w:r>
        <w:rPr>
          <w:spacing w:val="-7"/>
        </w:rPr>
        <w:t xml:space="preserve"> </w:t>
      </w:r>
      <w:r>
        <w:t>that,</w:t>
      </w:r>
      <w:r>
        <w:rPr>
          <w:spacing w:val="-6"/>
        </w:rPr>
        <w:t xml:space="preserve"> </w:t>
      </w:r>
      <w:r>
        <w:t>for</w:t>
      </w:r>
      <w:r>
        <w:rPr>
          <w:spacing w:val="-7"/>
        </w:rPr>
        <w:t xml:space="preserve"> </w:t>
      </w:r>
      <w:r>
        <w:t>any</w:t>
      </w:r>
      <w:r>
        <w:rPr>
          <w:spacing w:val="-6"/>
        </w:rPr>
        <w:t xml:space="preserve"> </w:t>
      </w:r>
      <w:r>
        <w:t>property</w:t>
      </w:r>
      <w:r>
        <w:rPr>
          <w:spacing w:val="-6"/>
        </w:rPr>
        <w:t xml:space="preserve"> </w:t>
      </w:r>
      <w:r>
        <w:t>psi, (H*</w:t>
      </w:r>
      <w:r>
        <w:rPr>
          <w:vertAlign w:val="subscript"/>
        </w:rPr>
        <w:t>1</w:t>
      </w:r>
      <w:r>
        <w:t>) ‹Hesperus has psi›</w:t>
      </w:r>
    </w:p>
    <w:p w14:paraId="7E0011F1" w14:textId="77777777" w:rsidR="009A58DB" w:rsidRDefault="00000000">
      <w:pPr>
        <w:pStyle w:val="BodyText"/>
        <w:spacing w:before="58" w:line="501" w:lineRule="auto"/>
        <w:ind w:right="3145"/>
        <w:jc w:val="left"/>
      </w:pPr>
      <w:r>
        <w:t>has</w:t>
      </w:r>
      <w:r>
        <w:rPr>
          <w:spacing w:val="-5"/>
        </w:rPr>
        <w:t xml:space="preserve"> </w:t>
      </w:r>
      <w:r>
        <w:t>the</w:t>
      </w:r>
      <w:r>
        <w:rPr>
          <w:spacing w:val="-5"/>
        </w:rPr>
        <w:t xml:space="preserve"> </w:t>
      </w:r>
      <w:r>
        <w:t>very</w:t>
      </w:r>
      <w:r>
        <w:rPr>
          <w:spacing w:val="-4"/>
        </w:rPr>
        <w:t xml:space="preserve"> </w:t>
      </w:r>
      <w:r>
        <w:t>same</w:t>
      </w:r>
      <w:r>
        <w:rPr>
          <w:spacing w:val="-5"/>
        </w:rPr>
        <w:t xml:space="preserve"> </w:t>
      </w:r>
      <w:r>
        <w:t>proposition</w:t>
      </w:r>
      <w:r>
        <w:rPr>
          <w:spacing w:val="-4"/>
        </w:rPr>
        <w:t xml:space="preserve"> </w:t>
      </w:r>
      <w:r>
        <w:t>for</w:t>
      </w:r>
      <w:r>
        <w:rPr>
          <w:spacing w:val="-5"/>
        </w:rPr>
        <w:t xml:space="preserve"> </w:t>
      </w:r>
      <w:r>
        <w:t>its</w:t>
      </w:r>
      <w:r>
        <w:rPr>
          <w:spacing w:val="-5"/>
        </w:rPr>
        <w:t xml:space="preserve"> </w:t>
      </w:r>
      <w:r>
        <w:t>literal</w:t>
      </w:r>
      <w:r>
        <w:rPr>
          <w:spacing w:val="-5"/>
        </w:rPr>
        <w:t xml:space="preserve"> </w:t>
      </w:r>
      <w:r>
        <w:t>meaning</w:t>
      </w:r>
      <w:r>
        <w:rPr>
          <w:spacing w:val="-4"/>
        </w:rPr>
        <w:t xml:space="preserve"> </w:t>
      </w:r>
      <w:r>
        <w:t>as (P</w:t>
      </w:r>
      <w:r>
        <w:rPr>
          <w:vertAlign w:val="subscript"/>
        </w:rPr>
        <w:t>1</w:t>
      </w:r>
      <w:r>
        <w:t>) ‹Phosphorous has psi›,</w:t>
      </w:r>
    </w:p>
    <w:p w14:paraId="7E0011F2" w14:textId="77777777" w:rsidR="009A58DB" w:rsidRDefault="00000000">
      <w:pPr>
        <w:pStyle w:val="BodyText"/>
        <w:spacing w:before="58"/>
        <w:jc w:val="left"/>
      </w:pPr>
      <w:r>
        <w:rPr>
          <w:spacing w:val="-2"/>
        </w:rPr>
        <w:t>namely:</w:t>
      </w:r>
    </w:p>
    <w:p w14:paraId="7E0011F3" w14:textId="77777777" w:rsidR="009A58DB" w:rsidRDefault="009A58DB">
      <w:pPr>
        <w:pStyle w:val="BodyText"/>
        <w:spacing w:before="30"/>
        <w:ind w:left="0"/>
        <w:jc w:val="left"/>
      </w:pPr>
    </w:p>
    <w:p w14:paraId="7E0011F4" w14:textId="77777777" w:rsidR="009A58DB" w:rsidRDefault="00000000">
      <w:pPr>
        <w:pStyle w:val="BodyText"/>
        <w:jc w:val="left"/>
      </w:pPr>
      <w:r>
        <w:t>(O*</w:t>
      </w:r>
      <w:r>
        <w:rPr>
          <w:vertAlign w:val="subscript"/>
        </w:rPr>
        <w:t>1</w:t>
      </w:r>
      <w:r>
        <w:t>)</w:t>
      </w:r>
      <w:r>
        <w:rPr>
          <w:spacing w:val="4"/>
        </w:rPr>
        <w:t xml:space="preserve"> </w:t>
      </w:r>
      <w:r>
        <w:t>O</w:t>
      </w:r>
      <w:r>
        <w:rPr>
          <w:spacing w:val="4"/>
        </w:rPr>
        <w:t xml:space="preserve"> </w:t>
      </w:r>
      <w:r>
        <w:t>has</w:t>
      </w:r>
      <w:r>
        <w:rPr>
          <w:spacing w:val="4"/>
        </w:rPr>
        <w:t xml:space="preserve"> </w:t>
      </w:r>
      <w:r>
        <w:rPr>
          <w:spacing w:val="-4"/>
        </w:rPr>
        <w:t>psi.</w:t>
      </w:r>
    </w:p>
    <w:p w14:paraId="7E0011F5" w14:textId="77777777" w:rsidR="009A58DB" w:rsidRDefault="009A58DB">
      <w:pPr>
        <w:pStyle w:val="BodyText"/>
        <w:spacing w:before="90"/>
        <w:ind w:left="0"/>
        <w:jc w:val="left"/>
      </w:pPr>
    </w:p>
    <w:p w14:paraId="7E0011F6" w14:textId="77777777" w:rsidR="009A58DB" w:rsidRDefault="00000000">
      <w:pPr>
        <w:pStyle w:val="BodyText"/>
        <w:jc w:val="left"/>
      </w:pPr>
      <w:r>
        <w:t>In</w:t>
      </w:r>
      <w:r>
        <w:rPr>
          <w:spacing w:val="-4"/>
        </w:rPr>
        <w:t xml:space="preserve"> </w:t>
      </w:r>
      <w:r>
        <w:t>particular,</w:t>
      </w:r>
      <w:r>
        <w:rPr>
          <w:spacing w:val="-4"/>
        </w:rPr>
        <w:t xml:space="preserve"> </w:t>
      </w:r>
      <w:r>
        <w:t>it</w:t>
      </w:r>
      <w:r>
        <w:rPr>
          <w:spacing w:val="-4"/>
        </w:rPr>
        <w:t xml:space="preserve"> </w:t>
      </w:r>
      <w:r>
        <w:t>follows</w:t>
      </w:r>
      <w:r>
        <w:rPr>
          <w:spacing w:val="-4"/>
        </w:rPr>
        <w:t xml:space="preserve"> that:</w:t>
      </w:r>
    </w:p>
    <w:p w14:paraId="7E0011F7" w14:textId="77777777" w:rsidR="009A58DB" w:rsidRDefault="009A58DB">
      <w:pPr>
        <w:pStyle w:val="BodyText"/>
        <w:spacing w:before="30"/>
        <w:ind w:left="0"/>
        <w:jc w:val="left"/>
      </w:pPr>
    </w:p>
    <w:p w14:paraId="7E0011F8" w14:textId="77777777" w:rsidR="009A58DB" w:rsidRDefault="00000000">
      <w:pPr>
        <w:pStyle w:val="BodyText"/>
        <w:spacing w:line="501" w:lineRule="auto"/>
        <w:ind w:right="3829"/>
        <w:jc w:val="left"/>
      </w:pPr>
      <w:r>
        <w:t>(IHP)</w:t>
      </w:r>
      <w:r>
        <w:rPr>
          <w:spacing w:val="-9"/>
        </w:rPr>
        <w:t xml:space="preserve"> </w:t>
      </w:r>
      <w:r>
        <w:t>“Hesperus</w:t>
      </w:r>
      <w:r>
        <w:rPr>
          <w:spacing w:val="-9"/>
        </w:rPr>
        <w:t xml:space="preserve"> </w:t>
      </w:r>
      <w:r>
        <w:t>is</w:t>
      </w:r>
      <w:r>
        <w:rPr>
          <w:spacing w:val="-9"/>
        </w:rPr>
        <w:t xml:space="preserve"> </w:t>
      </w:r>
      <w:r>
        <w:t>identical</w:t>
      </w:r>
      <w:r>
        <w:rPr>
          <w:spacing w:val="-9"/>
        </w:rPr>
        <w:t xml:space="preserve"> </w:t>
      </w:r>
      <w:r>
        <w:t>with</w:t>
      </w:r>
      <w:r>
        <w:rPr>
          <w:spacing w:val="-8"/>
        </w:rPr>
        <w:t xml:space="preserve"> </w:t>
      </w:r>
      <w:r>
        <w:t>Phosphorous” has the very same meaning as</w:t>
      </w:r>
    </w:p>
    <w:p w14:paraId="7E0011F9" w14:textId="77777777" w:rsidR="009A58DB" w:rsidRDefault="00000000">
      <w:pPr>
        <w:pStyle w:val="BodyText"/>
        <w:spacing w:line="501" w:lineRule="auto"/>
        <w:ind w:right="3829"/>
        <w:jc w:val="left"/>
      </w:pPr>
      <w:r>
        <w:t>(IHH)</w:t>
      </w:r>
      <w:r>
        <w:rPr>
          <w:spacing w:val="-9"/>
        </w:rPr>
        <w:t xml:space="preserve"> </w:t>
      </w:r>
      <w:r>
        <w:t>“Hesperus</w:t>
      </w:r>
      <w:r>
        <w:rPr>
          <w:spacing w:val="-9"/>
        </w:rPr>
        <w:t xml:space="preserve"> </w:t>
      </w:r>
      <w:r>
        <w:t>is</w:t>
      </w:r>
      <w:r>
        <w:rPr>
          <w:spacing w:val="-9"/>
        </w:rPr>
        <w:t xml:space="preserve"> </w:t>
      </w:r>
      <w:r>
        <w:t>identical</w:t>
      </w:r>
      <w:r>
        <w:rPr>
          <w:spacing w:val="-9"/>
        </w:rPr>
        <w:t xml:space="preserve"> </w:t>
      </w:r>
      <w:r>
        <w:t>with</w:t>
      </w:r>
      <w:r>
        <w:rPr>
          <w:spacing w:val="-8"/>
        </w:rPr>
        <w:t xml:space="preserve"> </w:t>
      </w:r>
      <w:r>
        <w:t xml:space="preserve">Hesperus,” </w:t>
      </w:r>
      <w:r>
        <w:rPr>
          <w:spacing w:val="-2"/>
        </w:rPr>
        <w:t>namely:</w:t>
      </w:r>
    </w:p>
    <w:p w14:paraId="7E0011FA" w14:textId="77777777" w:rsidR="009A58DB" w:rsidRDefault="00000000">
      <w:pPr>
        <w:pStyle w:val="BodyText"/>
        <w:spacing w:line="343" w:lineRule="exact"/>
        <w:jc w:val="left"/>
      </w:pPr>
      <w:r>
        <w:t>(IO)</w:t>
      </w:r>
      <w:r>
        <w:rPr>
          <w:spacing w:val="-4"/>
        </w:rPr>
        <w:t xml:space="preserve"> </w:t>
      </w:r>
      <w:r>
        <w:t>O</w:t>
      </w:r>
      <w:r>
        <w:rPr>
          <w:spacing w:val="-4"/>
        </w:rPr>
        <w:t xml:space="preserve"> </w:t>
      </w:r>
      <w:r>
        <w:t>is</w:t>
      </w:r>
      <w:r>
        <w:rPr>
          <w:spacing w:val="-3"/>
        </w:rPr>
        <w:t xml:space="preserve"> </w:t>
      </w:r>
      <w:r>
        <w:t>identical</w:t>
      </w:r>
      <w:r>
        <w:rPr>
          <w:spacing w:val="-4"/>
        </w:rPr>
        <w:t xml:space="preserve"> </w:t>
      </w:r>
      <w:r>
        <w:t>with</w:t>
      </w:r>
      <w:r>
        <w:rPr>
          <w:spacing w:val="-2"/>
        </w:rPr>
        <w:t xml:space="preserve"> </w:t>
      </w:r>
      <w:r>
        <w:rPr>
          <w:spacing w:val="-5"/>
        </w:rPr>
        <w:t>O.</w:t>
      </w:r>
    </w:p>
    <w:p w14:paraId="7E0011FB" w14:textId="77777777" w:rsidR="009A58DB" w:rsidRDefault="009A58DB">
      <w:pPr>
        <w:pStyle w:val="BodyText"/>
        <w:spacing w:line="343" w:lineRule="exact"/>
        <w:jc w:val="left"/>
        <w:sectPr w:rsidR="009A58DB">
          <w:pgSz w:w="12240" w:h="15840"/>
          <w:pgMar w:top="1380" w:right="1080" w:bottom="280" w:left="1080" w:header="720" w:footer="720" w:gutter="0"/>
          <w:cols w:space="720"/>
        </w:sectPr>
      </w:pPr>
    </w:p>
    <w:p w14:paraId="7E0011FC" w14:textId="77777777" w:rsidR="009A58DB" w:rsidRDefault="00000000">
      <w:pPr>
        <w:pStyle w:val="BodyText"/>
        <w:spacing w:before="65" w:line="292" w:lineRule="auto"/>
        <w:ind w:right="359"/>
      </w:pPr>
      <w:r>
        <w:lastRenderedPageBreak/>
        <w:t>But this all seems very wrong. IHP is non-trivial. H</w:t>
      </w:r>
      <w:r>
        <w:rPr>
          <w:vertAlign w:val="subscript"/>
        </w:rPr>
        <w:t>1</w:t>
      </w:r>
      <w:r>
        <w:t xml:space="preserve"> and P</w:t>
      </w:r>
      <w:r>
        <w:rPr>
          <w:vertAlign w:val="subscript"/>
        </w:rPr>
        <w:t>1</w:t>
      </w:r>
      <w:r>
        <w:t xml:space="preserve"> convey very different</w:t>
      </w:r>
      <w:r>
        <w:rPr>
          <w:spacing w:val="79"/>
        </w:rPr>
        <w:t xml:space="preserve"> </w:t>
      </w:r>
      <w:r>
        <w:t>propositions</w:t>
      </w:r>
      <w:r>
        <w:rPr>
          <w:spacing w:val="43"/>
          <w:w w:val="150"/>
        </w:rPr>
        <w:t xml:space="preserve"> </w:t>
      </w:r>
      <w:r>
        <w:t>(namely,</w:t>
      </w:r>
      <w:r>
        <w:rPr>
          <w:spacing w:val="43"/>
          <w:w w:val="150"/>
        </w:rPr>
        <w:t xml:space="preserve"> </w:t>
      </w:r>
      <w:r>
        <w:t>O*</w:t>
      </w:r>
      <w:r>
        <w:rPr>
          <w:vertAlign w:val="subscript"/>
        </w:rPr>
        <w:t>1</w:t>
      </w:r>
      <w:r>
        <w:rPr>
          <w:spacing w:val="46"/>
          <w:w w:val="150"/>
        </w:rPr>
        <w:t xml:space="preserve"> </w:t>
      </w:r>
      <w:r>
        <w:t>and</w:t>
      </w:r>
      <w:r>
        <w:rPr>
          <w:spacing w:val="45"/>
          <w:w w:val="150"/>
        </w:rPr>
        <w:t xml:space="preserve"> </w:t>
      </w:r>
      <w:r>
        <w:t>P*</w:t>
      </w:r>
      <w:r>
        <w:rPr>
          <w:vertAlign w:val="subscript"/>
        </w:rPr>
        <w:t>1</w:t>
      </w:r>
      <w:r>
        <w:t>);</w:t>
      </w:r>
      <w:r>
        <w:rPr>
          <w:spacing w:val="50"/>
          <w:w w:val="150"/>
        </w:rPr>
        <w:t xml:space="preserve"> </w:t>
      </w:r>
      <w:r>
        <w:t>the</w:t>
      </w:r>
      <w:r>
        <w:rPr>
          <w:spacing w:val="51"/>
          <w:w w:val="150"/>
        </w:rPr>
        <w:t xml:space="preserve"> </w:t>
      </w:r>
      <w:r>
        <w:t>same</w:t>
      </w:r>
      <w:r>
        <w:rPr>
          <w:spacing w:val="50"/>
          <w:w w:val="150"/>
        </w:rPr>
        <w:t xml:space="preserve"> </w:t>
      </w:r>
      <w:r>
        <w:t>is</w:t>
      </w:r>
      <w:r>
        <w:rPr>
          <w:spacing w:val="51"/>
          <w:w w:val="150"/>
        </w:rPr>
        <w:t xml:space="preserve"> </w:t>
      </w:r>
      <w:r>
        <w:t>true,</w:t>
      </w:r>
      <w:r>
        <w:rPr>
          <w:spacing w:val="50"/>
          <w:w w:val="150"/>
        </w:rPr>
        <w:t xml:space="preserve"> </w:t>
      </w:r>
      <w:r>
        <w:t>for</w:t>
      </w:r>
      <w:r>
        <w:rPr>
          <w:spacing w:val="50"/>
          <w:w w:val="150"/>
        </w:rPr>
        <w:t xml:space="preserve"> </w:t>
      </w:r>
      <w:r>
        <w:rPr>
          <w:spacing w:val="-5"/>
        </w:rPr>
        <w:t>any</w:t>
      </w:r>
    </w:p>
    <w:p w14:paraId="7E0011FD" w14:textId="77777777" w:rsidR="009A58DB" w:rsidRDefault="00000000">
      <w:pPr>
        <w:pStyle w:val="BodyText"/>
        <w:spacing w:line="249" w:lineRule="auto"/>
        <w:ind w:right="362"/>
      </w:pPr>
      <w:r>
        <w:t xml:space="preserve">property psi of IHP and IHH. Given these facts, it seems </w:t>
      </w:r>
      <w:r>
        <w:rPr>
          <w:i/>
        </w:rPr>
        <w:t xml:space="preserve">de rigueur </w:t>
      </w:r>
      <w:r>
        <w:t>to</w:t>
      </w:r>
      <w:r>
        <w:rPr>
          <w:spacing w:val="-2"/>
        </w:rPr>
        <w:t xml:space="preserve"> </w:t>
      </w:r>
      <w:r>
        <w:t>accept the Russell-Frege position that “Hesperus” and “Phosphorous” are synonymous with different definite descriptions (“the morning star” and “the evening star,” or whatnot).</w:t>
      </w:r>
    </w:p>
    <w:p w14:paraId="7E0011FE" w14:textId="77777777" w:rsidR="009A58DB" w:rsidRDefault="00000000">
      <w:pPr>
        <w:pStyle w:val="BodyText"/>
        <w:spacing w:before="3" w:line="249" w:lineRule="auto"/>
        <w:ind w:right="363" w:firstLine="360"/>
      </w:pPr>
      <w:r>
        <w:t>But this reasoning is no good. We’ve already seen why. But let’s adapt what we said earlier to deal with the Hesperus-Phosphorous case. Let’s go back to the time when your friend was first telling you what “Hesperus” refers to. He points to a certain celestial body x, which is clearly the last one to disappear from the morning sky, and tells you that “Hesperus” refers to that thing—that is, that “Hesperus” refers to x. Thus, there is some x such</w:t>
      </w:r>
      <w:r>
        <w:rPr>
          <w:spacing w:val="40"/>
        </w:rPr>
        <w:t xml:space="preserve"> </w:t>
      </w:r>
      <w:r>
        <w:t>that you know that x is the last celestial body to disappear from the morning sky and such that you are now being told that the semantic rule for “Hesperus” is:</w:t>
      </w:r>
    </w:p>
    <w:p w14:paraId="7E0011FF" w14:textId="77777777" w:rsidR="009A58DB" w:rsidRDefault="009A58DB">
      <w:pPr>
        <w:pStyle w:val="BodyText"/>
        <w:spacing w:before="26"/>
        <w:ind w:left="0"/>
        <w:jc w:val="left"/>
      </w:pPr>
    </w:p>
    <w:p w14:paraId="7E001200" w14:textId="77777777" w:rsidR="009A58DB" w:rsidRDefault="00000000">
      <w:pPr>
        <w:pStyle w:val="BodyText"/>
        <w:jc w:val="left"/>
      </w:pPr>
      <w:r>
        <w:t>(HSR)</w:t>
      </w:r>
      <w:r>
        <w:rPr>
          <w:spacing w:val="-6"/>
        </w:rPr>
        <w:t xml:space="preserve"> </w:t>
      </w:r>
      <w:r>
        <w:t>“Hesperus”</w:t>
      </w:r>
      <w:r>
        <w:rPr>
          <w:spacing w:val="-5"/>
        </w:rPr>
        <w:t xml:space="preserve"> </w:t>
      </w:r>
      <w:r>
        <w:t>refers</w:t>
      </w:r>
      <w:r>
        <w:rPr>
          <w:spacing w:val="-5"/>
        </w:rPr>
        <w:t xml:space="preserve"> </w:t>
      </w:r>
      <w:r>
        <w:t>to</w:t>
      </w:r>
      <w:r>
        <w:rPr>
          <w:spacing w:val="-4"/>
        </w:rPr>
        <w:t xml:space="preserve"> </w:t>
      </w:r>
      <w:r>
        <w:rPr>
          <w:spacing w:val="-5"/>
        </w:rPr>
        <w:t>x.</w:t>
      </w:r>
    </w:p>
    <w:p w14:paraId="7E001201" w14:textId="77777777" w:rsidR="009A58DB" w:rsidRDefault="009A58DB">
      <w:pPr>
        <w:pStyle w:val="BodyText"/>
        <w:spacing w:before="30"/>
        <w:ind w:left="0"/>
        <w:jc w:val="left"/>
      </w:pPr>
    </w:p>
    <w:p w14:paraId="7E001202" w14:textId="77777777" w:rsidR="009A58DB" w:rsidRDefault="00000000">
      <w:pPr>
        <w:pStyle w:val="BodyText"/>
        <w:jc w:val="left"/>
      </w:pPr>
      <w:r>
        <w:t>Given</w:t>
      </w:r>
      <w:r>
        <w:rPr>
          <w:spacing w:val="-5"/>
        </w:rPr>
        <w:t xml:space="preserve"> </w:t>
      </w:r>
      <w:r>
        <w:t>these</w:t>
      </w:r>
      <w:r>
        <w:rPr>
          <w:spacing w:val="-5"/>
        </w:rPr>
        <w:t xml:space="preserve"> </w:t>
      </w:r>
      <w:r>
        <w:t>circumstances,</w:t>
      </w:r>
      <w:r>
        <w:rPr>
          <w:spacing w:val="-5"/>
        </w:rPr>
        <w:t xml:space="preserve"> </w:t>
      </w:r>
      <w:r>
        <w:t>an</w:t>
      </w:r>
      <w:r>
        <w:rPr>
          <w:spacing w:val="-4"/>
        </w:rPr>
        <w:t xml:space="preserve"> </w:t>
      </w:r>
      <w:r>
        <w:rPr>
          <w:spacing w:val="-2"/>
        </w:rPr>
        <w:t>utterance:</w:t>
      </w:r>
    </w:p>
    <w:p w14:paraId="7E001203" w14:textId="77777777" w:rsidR="009A58DB" w:rsidRDefault="009A58DB">
      <w:pPr>
        <w:pStyle w:val="BodyText"/>
        <w:spacing w:before="30"/>
        <w:ind w:left="0"/>
        <w:jc w:val="left"/>
      </w:pPr>
    </w:p>
    <w:p w14:paraId="7E001204" w14:textId="77777777" w:rsidR="009A58DB" w:rsidRDefault="00000000">
      <w:pPr>
        <w:pStyle w:val="BodyText"/>
        <w:spacing w:line="542" w:lineRule="auto"/>
        <w:ind w:right="4416"/>
        <w:jc w:val="left"/>
      </w:pPr>
      <w:r>
        <w:t>(HSR</w:t>
      </w:r>
      <w:r>
        <w:rPr>
          <w:vertAlign w:val="subscript"/>
        </w:rPr>
        <w:t>2</w:t>
      </w:r>
      <w:r>
        <w:t>)</w:t>
      </w:r>
      <w:r>
        <w:rPr>
          <w:spacing w:val="-4"/>
        </w:rPr>
        <w:t xml:space="preserve"> </w:t>
      </w:r>
      <w:r>
        <w:t>“Hesperus</w:t>
      </w:r>
      <w:r>
        <w:rPr>
          <w:spacing w:val="-4"/>
        </w:rPr>
        <w:t xml:space="preserve"> </w:t>
      </w:r>
      <w:r>
        <w:t>is</w:t>
      </w:r>
      <w:r>
        <w:rPr>
          <w:spacing w:val="-4"/>
        </w:rPr>
        <w:t xml:space="preserve"> </w:t>
      </w:r>
      <w:r>
        <w:t>hotter</w:t>
      </w:r>
      <w:r>
        <w:rPr>
          <w:spacing w:val="-4"/>
        </w:rPr>
        <w:t xml:space="preserve"> </w:t>
      </w:r>
      <w:r>
        <w:t>than</w:t>
      </w:r>
      <w:r>
        <w:rPr>
          <w:spacing w:val="-3"/>
        </w:rPr>
        <w:t xml:space="preserve"> </w:t>
      </w:r>
      <w:r>
        <w:t>the</w:t>
      </w:r>
      <w:r>
        <w:rPr>
          <w:spacing w:val="-4"/>
        </w:rPr>
        <w:t xml:space="preserve"> </w:t>
      </w:r>
      <w:r>
        <w:t>Earth” would convey to you the information that:</w:t>
      </w:r>
    </w:p>
    <w:p w14:paraId="7E001205" w14:textId="77777777" w:rsidR="009A58DB" w:rsidRDefault="00000000">
      <w:pPr>
        <w:pStyle w:val="BodyText"/>
        <w:spacing w:line="286" w:lineRule="exact"/>
        <w:jc w:val="left"/>
      </w:pPr>
      <w:r>
        <w:t>(HSR</w:t>
      </w:r>
      <w:r>
        <w:rPr>
          <w:vertAlign w:val="subscript"/>
        </w:rPr>
        <w:t>3</w:t>
      </w:r>
      <w:r>
        <w:t>)</w:t>
      </w:r>
      <w:r>
        <w:rPr>
          <w:spacing w:val="15"/>
        </w:rPr>
        <w:t xml:space="preserve"> </w:t>
      </w:r>
      <w:r>
        <w:t>something</w:t>
      </w:r>
      <w:r>
        <w:rPr>
          <w:spacing w:val="16"/>
        </w:rPr>
        <w:t xml:space="preserve"> </w:t>
      </w:r>
      <w:r>
        <w:t>is</w:t>
      </w:r>
      <w:r>
        <w:rPr>
          <w:spacing w:val="16"/>
        </w:rPr>
        <w:t xml:space="preserve"> </w:t>
      </w:r>
      <w:r>
        <w:t>a</w:t>
      </w:r>
      <w:r>
        <w:rPr>
          <w:spacing w:val="16"/>
        </w:rPr>
        <w:t xml:space="preserve"> </w:t>
      </w:r>
      <w:r>
        <w:t>last</w:t>
      </w:r>
      <w:r>
        <w:rPr>
          <w:spacing w:val="16"/>
        </w:rPr>
        <w:t xml:space="preserve"> </w:t>
      </w:r>
      <w:r>
        <w:t>celestial</w:t>
      </w:r>
      <w:r>
        <w:rPr>
          <w:spacing w:val="16"/>
        </w:rPr>
        <w:t xml:space="preserve"> </w:t>
      </w:r>
      <w:r>
        <w:t>body</w:t>
      </w:r>
      <w:r>
        <w:rPr>
          <w:spacing w:val="16"/>
        </w:rPr>
        <w:t xml:space="preserve"> </w:t>
      </w:r>
      <w:r>
        <w:t>to</w:t>
      </w:r>
      <w:r>
        <w:rPr>
          <w:spacing w:val="16"/>
        </w:rPr>
        <w:t xml:space="preserve"> </w:t>
      </w:r>
      <w:r>
        <w:t>disappear</w:t>
      </w:r>
      <w:r>
        <w:rPr>
          <w:spacing w:val="16"/>
        </w:rPr>
        <w:t xml:space="preserve"> </w:t>
      </w:r>
      <w:r>
        <w:t>from</w:t>
      </w:r>
      <w:r>
        <w:rPr>
          <w:spacing w:val="16"/>
        </w:rPr>
        <w:t xml:space="preserve"> </w:t>
      </w:r>
      <w:r>
        <w:t>the</w:t>
      </w:r>
      <w:r>
        <w:rPr>
          <w:spacing w:val="16"/>
        </w:rPr>
        <w:t xml:space="preserve"> </w:t>
      </w:r>
      <w:r>
        <w:t>morning</w:t>
      </w:r>
      <w:r>
        <w:rPr>
          <w:spacing w:val="15"/>
        </w:rPr>
        <w:t xml:space="preserve"> </w:t>
      </w:r>
      <w:r>
        <w:rPr>
          <w:spacing w:val="-5"/>
        </w:rPr>
        <w:t>sky</w:t>
      </w:r>
    </w:p>
    <w:p w14:paraId="7E001206" w14:textId="77777777" w:rsidR="009A58DB" w:rsidRDefault="00000000">
      <w:pPr>
        <w:pStyle w:val="BodyText"/>
        <w:spacing w:before="75"/>
        <w:jc w:val="left"/>
      </w:pPr>
      <w:r>
        <w:t>and</w:t>
      </w:r>
      <w:r>
        <w:rPr>
          <w:spacing w:val="-4"/>
        </w:rPr>
        <w:t xml:space="preserve"> </w:t>
      </w:r>
      <w:r>
        <w:t>any</w:t>
      </w:r>
      <w:r>
        <w:rPr>
          <w:spacing w:val="-2"/>
        </w:rPr>
        <w:t xml:space="preserve"> </w:t>
      </w:r>
      <w:r>
        <w:t>such</w:t>
      </w:r>
      <w:r>
        <w:rPr>
          <w:spacing w:val="-1"/>
        </w:rPr>
        <w:t xml:space="preserve"> </w:t>
      </w:r>
      <w:r>
        <w:t>thing</w:t>
      </w:r>
      <w:r>
        <w:rPr>
          <w:spacing w:val="-2"/>
        </w:rPr>
        <w:t xml:space="preserve"> </w:t>
      </w:r>
      <w:r>
        <w:t>is</w:t>
      </w:r>
      <w:r>
        <w:rPr>
          <w:spacing w:val="-3"/>
        </w:rPr>
        <w:t xml:space="preserve"> </w:t>
      </w:r>
      <w:r>
        <w:t>hotter</w:t>
      </w:r>
      <w:r>
        <w:rPr>
          <w:spacing w:val="-2"/>
        </w:rPr>
        <w:t xml:space="preserve"> </w:t>
      </w:r>
      <w:r>
        <w:t>than</w:t>
      </w:r>
      <w:r>
        <w:rPr>
          <w:spacing w:val="-2"/>
        </w:rPr>
        <w:t xml:space="preserve"> </w:t>
      </w:r>
      <w:r>
        <w:t>the</w:t>
      </w:r>
      <w:r>
        <w:rPr>
          <w:spacing w:val="-2"/>
        </w:rPr>
        <w:t xml:space="preserve"> Earth.</w:t>
      </w:r>
    </w:p>
    <w:p w14:paraId="7E001207" w14:textId="77777777" w:rsidR="009A58DB" w:rsidRDefault="009A58DB">
      <w:pPr>
        <w:pStyle w:val="BodyText"/>
        <w:spacing w:before="30"/>
        <w:ind w:left="0"/>
        <w:jc w:val="left"/>
      </w:pPr>
    </w:p>
    <w:p w14:paraId="7E001208" w14:textId="77777777" w:rsidR="009A58DB" w:rsidRDefault="00000000">
      <w:pPr>
        <w:pStyle w:val="BodyText"/>
        <w:spacing w:line="292" w:lineRule="auto"/>
        <w:jc w:val="left"/>
      </w:pPr>
      <w:r>
        <w:t>And</w:t>
      </w:r>
      <w:r>
        <w:rPr>
          <w:spacing w:val="28"/>
        </w:rPr>
        <w:t xml:space="preserve"> </w:t>
      </w:r>
      <w:r>
        <w:t>HSR</w:t>
      </w:r>
      <w:r>
        <w:rPr>
          <w:vertAlign w:val="subscript"/>
        </w:rPr>
        <w:t>2</w:t>
      </w:r>
      <w:r>
        <w:rPr>
          <w:spacing w:val="29"/>
        </w:rPr>
        <w:t xml:space="preserve"> </w:t>
      </w:r>
      <w:r>
        <w:t>would</w:t>
      </w:r>
      <w:r>
        <w:rPr>
          <w:spacing w:val="29"/>
        </w:rPr>
        <w:t xml:space="preserve"> </w:t>
      </w:r>
      <w:r>
        <w:t>convey</w:t>
      </w:r>
      <w:r>
        <w:rPr>
          <w:spacing w:val="29"/>
        </w:rPr>
        <w:t xml:space="preserve"> </w:t>
      </w:r>
      <w:r>
        <w:t>this</w:t>
      </w:r>
      <w:r>
        <w:rPr>
          <w:spacing w:val="29"/>
        </w:rPr>
        <w:t xml:space="preserve"> </w:t>
      </w:r>
      <w:r>
        <w:t>even</w:t>
      </w:r>
      <w:r>
        <w:rPr>
          <w:spacing w:val="29"/>
        </w:rPr>
        <w:t xml:space="preserve"> </w:t>
      </w:r>
      <w:r>
        <w:t>though</w:t>
      </w:r>
      <w:r>
        <w:rPr>
          <w:spacing w:val="29"/>
        </w:rPr>
        <w:t xml:space="preserve"> </w:t>
      </w:r>
      <w:r>
        <w:t>its</w:t>
      </w:r>
      <w:r>
        <w:rPr>
          <w:spacing w:val="29"/>
        </w:rPr>
        <w:t xml:space="preserve"> </w:t>
      </w:r>
      <w:r>
        <w:t>literal</w:t>
      </w:r>
      <w:r>
        <w:rPr>
          <w:spacing w:val="29"/>
        </w:rPr>
        <w:t xml:space="preserve"> </w:t>
      </w:r>
      <w:r>
        <w:t>meaning</w:t>
      </w:r>
      <w:r>
        <w:rPr>
          <w:spacing w:val="29"/>
        </w:rPr>
        <w:t xml:space="preserve"> </w:t>
      </w:r>
      <w:r>
        <w:t>would</w:t>
      </w:r>
      <w:r>
        <w:rPr>
          <w:spacing w:val="29"/>
        </w:rPr>
        <w:t xml:space="preserve"> </w:t>
      </w:r>
      <w:r>
        <w:t>be</w:t>
      </w:r>
      <w:r>
        <w:rPr>
          <w:spacing w:val="29"/>
        </w:rPr>
        <w:t xml:space="preserve"> </w:t>
      </w:r>
      <w:r>
        <w:t>the descriptively more impoverished proposition that:</w:t>
      </w:r>
    </w:p>
    <w:p w14:paraId="7E001209" w14:textId="77777777" w:rsidR="009A58DB" w:rsidRDefault="00000000">
      <w:pPr>
        <w:pStyle w:val="BodyText"/>
        <w:spacing w:before="298" w:line="501" w:lineRule="auto"/>
        <w:ind w:right="5524"/>
        <w:jc w:val="left"/>
      </w:pPr>
      <w:r>
        <w:t>(HSLM)</w:t>
      </w:r>
      <w:r>
        <w:rPr>
          <w:spacing w:val="-7"/>
        </w:rPr>
        <w:t xml:space="preserve"> </w:t>
      </w:r>
      <w:r>
        <w:t>O</w:t>
      </w:r>
      <w:r>
        <w:rPr>
          <w:spacing w:val="-7"/>
        </w:rPr>
        <w:t xml:space="preserve"> </w:t>
      </w:r>
      <w:r>
        <w:t>is</w:t>
      </w:r>
      <w:r>
        <w:rPr>
          <w:spacing w:val="-7"/>
        </w:rPr>
        <w:t xml:space="preserve"> </w:t>
      </w:r>
      <w:r>
        <w:t>hotter</w:t>
      </w:r>
      <w:r>
        <w:rPr>
          <w:spacing w:val="-7"/>
        </w:rPr>
        <w:t xml:space="preserve"> </w:t>
      </w:r>
      <w:r>
        <w:t>than</w:t>
      </w:r>
      <w:r>
        <w:rPr>
          <w:spacing w:val="-6"/>
        </w:rPr>
        <w:t xml:space="preserve"> </w:t>
      </w:r>
      <w:r>
        <w:t>the</w:t>
      </w:r>
      <w:r>
        <w:rPr>
          <w:spacing w:val="-7"/>
        </w:rPr>
        <w:t xml:space="preserve"> </w:t>
      </w:r>
      <w:r>
        <w:t>Earth for some object O.</w:t>
      </w:r>
    </w:p>
    <w:p w14:paraId="7E00120A" w14:textId="77777777" w:rsidR="009A58DB" w:rsidRDefault="009A58DB">
      <w:pPr>
        <w:pStyle w:val="BodyText"/>
        <w:spacing w:line="501" w:lineRule="auto"/>
        <w:jc w:val="left"/>
        <w:sectPr w:rsidR="009A58DB">
          <w:pgSz w:w="12240" w:h="15840"/>
          <w:pgMar w:top="1740" w:right="1080" w:bottom="280" w:left="1080" w:header="720" w:footer="720" w:gutter="0"/>
          <w:cols w:space="720"/>
        </w:sectPr>
      </w:pPr>
    </w:p>
    <w:p w14:paraId="7E00120B" w14:textId="77777777" w:rsidR="009A58DB" w:rsidRDefault="00000000">
      <w:pPr>
        <w:pStyle w:val="BodyText"/>
        <w:spacing w:before="65" w:line="292" w:lineRule="auto"/>
        <w:ind w:right="364"/>
      </w:pPr>
      <w:r>
        <w:lastRenderedPageBreak/>
        <w:t>In general, for any psi, an utterance of (H*</w:t>
      </w:r>
      <w:r>
        <w:rPr>
          <w:vertAlign w:val="subscript"/>
        </w:rPr>
        <w:t>1</w:t>
      </w:r>
      <w:r>
        <w:t xml:space="preserve">) would convey the information </w:t>
      </w:r>
      <w:r>
        <w:rPr>
          <w:spacing w:val="-2"/>
        </w:rPr>
        <w:t>that:</w:t>
      </w:r>
    </w:p>
    <w:p w14:paraId="7E00120C" w14:textId="77777777" w:rsidR="009A58DB" w:rsidRDefault="00000000">
      <w:pPr>
        <w:pStyle w:val="BodyText"/>
        <w:spacing w:before="298" w:line="292" w:lineRule="auto"/>
        <w:ind w:right="360"/>
      </w:pPr>
      <w:r>
        <w:t>(HSRG</w:t>
      </w:r>
      <w:r>
        <w:rPr>
          <w:vertAlign w:val="subscript"/>
        </w:rPr>
        <w:t>3</w:t>
      </w:r>
      <w:r>
        <w:t>)</w:t>
      </w:r>
      <w:r>
        <w:rPr>
          <w:spacing w:val="-3"/>
        </w:rPr>
        <w:t xml:space="preserve"> </w:t>
      </w:r>
      <w:r>
        <w:t>something</w:t>
      </w:r>
      <w:r>
        <w:rPr>
          <w:spacing w:val="-2"/>
        </w:rPr>
        <w:t xml:space="preserve"> </w:t>
      </w:r>
      <w:r>
        <w:t>is</w:t>
      </w:r>
      <w:r>
        <w:rPr>
          <w:spacing w:val="-3"/>
        </w:rPr>
        <w:t xml:space="preserve"> </w:t>
      </w:r>
      <w:r>
        <w:t>a</w:t>
      </w:r>
      <w:r>
        <w:rPr>
          <w:spacing w:val="-3"/>
        </w:rPr>
        <w:t xml:space="preserve"> </w:t>
      </w:r>
      <w:r>
        <w:t>last</w:t>
      </w:r>
      <w:r>
        <w:rPr>
          <w:spacing w:val="-3"/>
        </w:rPr>
        <w:t xml:space="preserve"> </w:t>
      </w:r>
      <w:r>
        <w:t>celestial</w:t>
      </w:r>
      <w:r>
        <w:rPr>
          <w:spacing w:val="-3"/>
        </w:rPr>
        <w:t xml:space="preserve"> </w:t>
      </w:r>
      <w:r>
        <w:t>body</w:t>
      </w:r>
      <w:r>
        <w:rPr>
          <w:spacing w:val="-2"/>
        </w:rPr>
        <w:t xml:space="preserve"> </w:t>
      </w:r>
      <w:r>
        <w:t>to</w:t>
      </w:r>
      <w:r>
        <w:rPr>
          <w:spacing w:val="-2"/>
        </w:rPr>
        <w:t xml:space="preserve"> </w:t>
      </w:r>
      <w:r>
        <w:t>disappear</w:t>
      </w:r>
      <w:r>
        <w:rPr>
          <w:spacing w:val="-3"/>
        </w:rPr>
        <w:t xml:space="preserve"> </w:t>
      </w:r>
      <w:r>
        <w:t>from</w:t>
      </w:r>
      <w:r>
        <w:rPr>
          <w:spacing w:val="-3"/>
        </w:rPr>
        <w:t xml:space="preserve"> </w:t>
      </w:r>
      <w:r>
        <w:t>the</w:t>
      </w:r>
      <w:r>
        <w:rPr>
          <w:spacing w:val="-3"/>
        </w:rPr>
        <w:t xml:space="preserve"> </w:t>
      </w:r>
      <w:r>
        <w:t>morning</w:t>
      </w:r>
      <w:r>
        <w:rPr>
          <w:spacing w:val="-2"/>
        </w:rPr>
        <w:t xml:space="preserve"> </w:t>
      </w:r>
      <w:r>
        <w:t>sky and any such thing has psi.</w:t>
      </w:r>
    </w:p>
    <w:p w14:paraId="7E00120D" w14:textId="77777777" w:rsidR="009A58DB" w:rsidRDefault="00000000">
      <w:pPr>
        <w:pStyle w:val="BodyText"/>
        <w:spacing w:before="298" w:line="292" w:lineRule="auto"/>
        <w:ind w:right="372"/>
      </w:pPr>
      <w:r>
        <w:t>And, echoing what we just said, an utterance of H*</w:t>
      </w:r>
      <w:r>
        <w:rPr>
          <w:vertAlign w:val="subscript"/>
        </w:rPr>
        <w:t>1</w:t>
      </w:r>
      <w:r>
        <w:t xml:space="preserve"> would convey that </w:t>
      </w:r>
      <w:r>
        <w:rPr>
          <w:i/>
        </w:rPr>
        <w:t xml:space="preserve">even though </w:t>
      </w:r>
      <w:r>
        <w:t>its literal meaning was simply:</w:t>
      </w:r>
    </w:p>
    <w:p w14:paraId="7E00120E" w14:textId="77777777" w:rsidR="009A58DB" w:rsidRDefault="00000000">
      <w:pPr>
        <w:pStyle w:val="BodyText"/>
        <w:spacing w:before="298"/>
      </w:pPr>
      <w:r>
        <w:t>(O*</w:t>
      </w:r>
      <w:r>
        <w:rPr>
          <w:vertAlign w:val="subscript"/>
        </w:rPr>
        <w:t>1</w:t>
      </w:r>
      <w:r>
        <w:t>)</w:t>
      </w:r>
      <w:r>
        <w:rPr>
          <w:spacing w:val="4"/>
        </w:rPr>
        <w:t xml:space="preserve"> </w:t>
      </w:r>
      <w:r>
        <w:t>O</w:t>
      </w:r>
      <w:r>
        <w:rPr>
          <w:spacing w:val="4"/>
        </w:rPr>
        <w:t xml:space="preserve"> </w:t>
      </w:r>
      <w:r>
        <w:t>has</w:t>
      </w:r>
      <w:r>
        <w:rPr>
          <w:spacing w:val="4"/>
        </w:rPr>
        <w:t xml:space="preserve"> </w:t>
      </w:r>
      <w:r>
        <w:rPr>
          <w:spacing w:val="-4"/>
        </w:rPr>
        <w:t>psi.</w:t>
      </w:r>
    </w:p>
    <w:p w14:paraId="7E00120F" w14:textId="77777777" w:rsidR="009A58DB" w:rsidRDefault="009A58DB">
      <w:pPr>
        <w:pStyle w:val="BodyText"/>
        <w:spacing w:before="90"/>
        <w:ind w:left="0"/>
        <w:jc w:val="left"/>
      </w:pPr>
    </w:p>
    <w:p w14:paraId="7E001210" w14:textId="77777777" w:rsidR="009A58DB" w:rsidRDefault="00000000">
      <w:pPr>
        <w:spacing w:line="292" w:lineRule="auto"/>
        <w:ind w:left="360" w:right="361"/>
        <w:jc w:val="both"/>
        <w:rPr>
          <w:sz w:val="30"/>
        </w:rPr>
      </w:pPr>
      <w:r>
        <w:rPr>
          <w:sz w:val="30"/>
        </w:rPr>
        <w:t xml:space="preserve">And for the same reasons </w:t>
      </w:r>
      <w:r>
        <w:rPr>
          <w:i/>
          <w:sz w:val="30"/>
        </w:rPr>
        <w:t xml:space="preserve">mutatis mutandis, </w:t>
      </w:r>
      <w:r>
        <w:rPr>
          <w:sz w:val="30"/>
        </w:rPr>
        <w:t>an utterance of P*</w:t>
      </w:r>
      <w:r>
        <w:rPr>
          <w:sz w:val="30"/>
          <w:vertAlign w:val="subscript"/>
        </w:rPr>
        <w:t>1</w:t>
      </w:r>
      <w:r>
        <w:rPr>
          <w:sz w:val="30"/>
        </w:rPr>
        <w:t xml:space="preserve"> would </w:t>
      </w:r>
      <w:r>
        <w:rPr>
          <w:spacing w:val="-2"/>
          <w:sz w:val="30"/>
        </w:rPr>
        <w:t>convey:</w:t>
      </w:r>
    </w:p>
    <w:p w14:paraId="7E001211" w14:textId="77777777" w:rsidR="009A58DB" w:rsidRDefault="00000000">
      <w:pPr>
        <w:pStyle w:val="BodyText"/>
        <w:spacing w:before="299" w:line="292" w:lineRule="auto"/>
        <w:ind w:right="365"/>
      </w:pPr>
      <w:r>
        <w:t>(PSRG</w:t>
      </w:r>
      <w:r>
        <w:rPr>
          <w:vertAlign w:val="subscript"/>
        </w:rPr>
        <w:t>3</w:t>
      </w:r>
      <w:r>
        <w:t>) something is a last celestial body to disappear from the morning sky and any such thing has psi</w:t>
      </w:r>
    </w:p>
    <w:p w14:paraId="7E001212" w14:textId="77777777" w:rsidR="009A58DB" w:rsidRDefault="00000000">
      <w:pPr>
        <w:pStyle w:val="BodyText"/>
        <w:spacing w:before="298"/>
      </w:pPr>
      <w:r>
        <w:t>enough</w:t>
      </w:r>
      <w:r>
        <w:rPr>
          <w:spacing w:val="-6"/>
        </w:rPr>
        <w:t xml:space="preserve"> </w:t>
      </w:r>
      <w:r>
        <w:t>that</w:t>
      </w:r>
      <w:r>
        <w:rPr>
          <w:spacing w:val="-4"/>
        </w:rPr>
        <w:t xml:space="preserve"> </w:t>
      </w:r>
      <w:r>
        <w:t>the</w:t>
      </w:r>
      <w:r>
        <w:rPr>
          <w:spacing w:val="-3"/>
        </w:rPr>
        <w:t xml:space="preserve"> </w:t>
      </w:r>
      <w:r>
        <w:t>utterance’s</w:t>
      </w:r>
      <w:r>
        <w:rPr>
          <w:spacing w:val="-4"/>
        </w:rPr>
        <w:t xml:space="preserve"> </w:t>
      </w:r>
      <w:r>
        <w:t>literal</w:t>
      </w:r>
      <w:r>
        <w:rPr>
          <w:spacing w:val="-4"/>
        </w:rPr>
        <w:t xml:space="preserve"> </w:t>
      </w:r>
      <w:r>
        <w:t>meaning</w:t>
      </w:r>
      <w:r>
        <w:rPr>
          <w:spacing w:val="-3"/>
        </w:rPr>
        <w:t xml:space="preserve"> </w:t>
      </w:r>
      <w:r>
        <w:t>would</w:t>
      </w:r>
      <w:r>
        <w:rPr>
          <w:spacing w:val="-4"/>
        </w:rPr>
        <w:t xml:space="preserve"> </w:t>
      </w:r>
      <w:r>
        <w:t>be</w:t>
      </w:r>
      <w:r>
        <w:rPr>
          <w:spacing w:val="-3"/>
        </w:rPr>
        <w:t xml:space="preserve"> </w:t>
      </w:r>
      <w:r>
        <w:rPr>
          <w:spacing w:val="-4"/>
        </w:rPr>
        <w:t>O*</w:t>
      </w:r>
      <w:r>
        <w:rPr>
          <w:spacing w:val="-4"/>
          <w:vertAlign w:val="subscript"/>
        </w:rPr>
        <w:t>1</w:t>
      </w:r>
      <w:r>
        <w:rPr>
          <w:spacing w:val="-4"/>
        </w:rPr>
        <w:t>.</w:t>
      </w:r>
    </w:p>
    <w:p w14:paraId="7E001213" w14:textId="77777777" w:rsidR="009A58DB" w:rsidRDefault="00000000">
      <w:pPr>
        <w:pStyle w:val="BodyText"/>
        <w:spacing w:before="75" w:line="249" w:lineRule="auto"/>
        <w:ind w:right="363" w:firstLine="360"/>
      </w:pPr>
      <w:r>
        <w:t>Russell and Frege overlooked the fact that semantics isn’t learned in a vacuum and that, as a result, the non-semantic information through which semantic</w:t>
      </w:r>
      <w:r>
        <w:rPr>
          <w:spacing w:val="-1"/>
        </w:rPr>
        <w:t xml:space="preserve"> </w:t>
      </w:r>
      <w:r>
        <w:t>rules</w:t>
      </w:r>
      <w:r>
        <w:rPr>
          <w:spacing w:val="-1"/>
        </w:rPr>
        <w:t xml:space="preserve"> </w:t>
      </w:r>
      <w:r>
        <w:t>are</w:t>
      </w:r>
      <w:r>
        <w:rPr>
          <w:spacing w:val="-1"/>
        </w:rPr>
        <w:t xml:space="preserve"> </w:t>
      </w:r>
      <w:r>
        <w:t>learned</w:t>
      </w:r>
      <w:r>
        <w:rPr>
          <w:spacing w:val="-1"/>
        </w:rPr>
        <w:t xml:space="preserve"> </w:t>
      </w:r>
      <w:r>
        <w:t>is</w:t>
      </w:r>
      <w:r>
        <w:rPr>
          <w:spacing w:val="-1"/>
        </w:rPr>
        <w:t xml:space="preserve"> </w:t>
      </w:r>
      <w:r>
        <w:t>sometimes</w:t>
      </w:r>
      <w:r>
        <w:rPr>
          <w:spacing w:val="-1"/>
        </w:rPr>
        <w:t xml:space="preserve"> </w:t>
      </w:r>
      <w:r>
        <w:t>smuggled</w:t>
      </w:r>
      <w:r>
        <w:rPr>
          <w:spacing w:val="-1"/>
        </w:rPr>
        <w:t xml:space="preserve"> </w:t>
      </w:r>
      <w:r>
        <w:t>into</w:t>
      </w:r>
      <w:r>
        <w:rPr>
          <w:spacing w:val="-1"/>
        </w:rPr>
        <w:t xml:space="preserve"> </w:t>
      </w:r>
      <w:r>
        <w:t>the</w:t>
      </w:r>
      <w:r>
        <w:rPr>
          <w:spacing w:val="-1"/>
        </w:rPr>
        <w:t xml:space="preserve"> </w:t>
      </w:r>
      <w:r>
        <w:t>messages</w:t>
      </w:r>
      <w:r>
        <w:rPr>
          <w:spacing w:val="-1"/>
        </w:rPr>
        <w:t xml:space="preserve"> </w:t>
      </w:r>
      <w:r>
        <w:t>borne</w:t>
      </w:r>
      <w:r>
        <w:rPr>
          <w:spacing w:val="-1"/>
        </w:rPr>
        <w:t xml:space="preserve"> </w:t>
      </w:r>
      <w:r>
        <w:t xml:space="preserve">by </w:t>
      </w:r>
      <w:r>
        <w:rPr>
          <w:spacing w:val="-2"/>
        </w:rPr>
        <w:t>utterances.</w:t>
      </w:r>
    </w:p>
    <w:p w14:paraId="7E001214" w14:textId="77777777" w:rsidR="009A58DB" w:rsidRDefault="00000000">
      <w:pPr>
        <w:pStyle w:val="Heading3"/>
        <w:spacing w:before="103" w:line="249" w:lineRule="auto"/>
        <w:ind w:left="360" w:right="371" w:firstLine="0"/>
      </w:pPr>
      <w:r>
        <w:t>Reason #3: Replacing co-referring sometimes proper names changes truth-value</w:t>
      </w:r>
    </w:p>
    <w:p w14:paraId="7E001215" w14:textId="77777777" w:rsidR="009A58DB" w:rsidRDefault="00000000">
      <w:pPr>
        <w:pStyle w:val="BodyText"/>
        <w:spacing w:before="64"/>
      </w:pPr>
      <w:r>
        <w:t>A</w:t>
      </w:r>
      <w:r>
        <w:rPr>
          <w:spacing w:val="-5"/>
        </w:rPr>
        <w:t xml:space="preserve"> </w:t>
      </w:r>
      <w:r>
        <w:t>person</w:t>
      </w:r>
      <w:r>
        <w:rPr>
          <w:spacing w:val="-1"/>
        </w:rPr>
        <w:t xml:space="preserve"> </w:t>
      </w:r>
      <w:r>
        <w:t>can</w:t>
      </w:r>
      <w:r>
        <w:rPr>
          <w:spacing w:val="-1"/>
        </w:rPr>
        <w:t xml:space="preserve"> </w:t>
      </w:r>
      <w:r>
        <w:t>know</w:t>
      </w:r>
      <w:r>
        <w:rPr>
          <w:spacing w:val="-2"/>
        </w:rPr>
        <w:t xml:space="preserve"> </w:t>
      </w:r>
      <w:r>
        <w:rPr>
          <w:spacing w:val="-4"/>
        </w:rPr>
        <w:t>that:</w:t>
      </w:r>
    </w:p>
    <w:p w14:paraId="7E001216" w14:textId="77777777" w:rsidR="009A58DB" w:rsidRDefault="009A58DB">
      <w:pPr>
        <w:pStyle w:val="BodyText"/>
        <w:spacing w:before="30"/>
        <w:ind w:left="0"/>
        <w:jc w:val="left"/>
      </w:pPr>
    </w:p>
    <w:p w14:paraId="7E001217" w14:textId="77777777" w:rsidR="009A58DB" w:rsidRDefault="00000000">
      <w:pPr>
        <w:pStyle w:val="BodyText"/>
        <w:spacing w:line="542" w:lineRule="auto"/>
        <w:ind w:right="3292"/>
        <w:jc w:val="left"/>
      </w:pPr>
      <w:r>
        <w:t>(H</w:t>
      </w:r>
      <w:r>
        <w:rPr>
          <w:vertAlign w:val="subscript"/>
        </w:rPr>
        <w:t>1</w:t>
      </w:r>
      <w:r>
        <w:t>)</w:t>
      </w:r>
      <w:r>
        <w:rPr>
          <w:spacing w:val="-4"/>
        </w:rPr>
        <w:t xml:space="preserve"> </w:t>
      </w:r>
      <w:r>
        <w:t>“Hesperus</w:t>
      </w:r>
      <w:r>
        <w:rPr>
          <w:spacing w:val="-4"/>
        </w:rPr>
        <w:t xml:space="preserve"> </w:t>
      </w:r>
      <w:r>
        <w:t>is</w:t>
      </w:r>
      <w:r>
        <w:rPr>
          <w:spacing w:val="-4"/>
        </w:rPr>
        <w:t xml:space="preserve"> </w:t>
      </w:r>
      <w:r>
        <w:t>less</w:t>
      </w:r>
      <w:r>
        <w:rPr>
          <w:spacing w:val="-4"/>
        </w:rPr>
        <w:t xml:space="preserve"> </w:t>
      </w:r>
      <w:r>
        <w:t>massive</w:t>
      </w:r>
      <w:r>
        <w:rPr>
          <w:spacing w:val="-4"/>
        </w:rPr>
        <w:t xml:space="preserve"> </w:t>
      </w:r>
      <w:r>
        <w:t>than</w:t>
      </w:r>
      <w:r>
        <w:rPr>
          <w:spacing w:val="-3"/>
        </w:rPr>
        <w:t xml:space="preserve"> </w:t>
      </w:r>
      <w:r>
        <w:t>the</w:t>
      </w:r>
      <w:r>
        <w:rPr>
          <w:spacing w:val="-4"/>
        </w:rPr>
        <w:t xml:space="preserve"> </w:t>
      </w:r>
      <w:r>
        <w:t>Earth” expresses a truth without knowing that</w:t>
      </w:r>
    </w:p>
    <w:p w14:paraId="7E001218" w14:textId="77777777" w:rsidR="009A58DB" w:rsidRDefault="00000000">
      <w:pPr>
        <w:pStyle w:val="BodyText"/>
        <w:spacing w:line="286" w:lineRule="exact"/>
        <w:jc w:val="left"/>
      </w:pPr>
      <w:r>
        <w:t>(P</w:t>
      </w:r>
      <w:r>
        <w:rPr>
          <w:vertAlign w:val="subscript"/>
        </w:rPr>
        <w:t>1</w:t>
      </w:r>
      <w:r>
        <w:t>)</w:t>
      </w:r>
      <w:r>
        <w:rPr>
          <w:spacing w:val="-1"/>
        </w:rPr>
        <w:t xml:space="preserve"> </w:t>
      </w:r>
      <w:r>
        <w:t>“Phosphorous</w:t>
      </w:r>
      <w:r>
        <w:rPr>
          <w:spacing w:val="-1"/>
        </w:rPr>
        <w:t xml:space="preserve"> </w:t>
      </w:r>
      <w:r>
        <w:t>is</w:t>
      </w:r>
      <w:r>
        <w:rPr>
          <w:spacing w:val="-1"/>
        </w:rPr>
        <w:t xml:space="preserve"> </w:t>
      </w:r>
      <w:r>
        <w:t>less massive</w:t>
      </w:r>
      <w:r>
        <w:rPr>
          <w:spacing w:val="-1"/>
        </w:rPr>
        <w:t xml:space="preserve"> </w:t>
      </w:r>
      <w:r>
        <w:t>than the</w:t>
      </w:r>
      <w:r>
        <w:rPr>
          <w:spacing w:val="-1"/>
        </w:rPr>
        <w:t xml:space="preserve"> </w:t>
      </w:r>
      <w:r>
        <w:rPr>
          <w:spacing w:val="-2"/>
        </w:rPr>
        <w:t>Earth”</w:t>
      </w:r>
    </w:p>
    <w:p w14:paraId="7E001219" w14:textId="77777777" w:rsidR="009A58DB" w:rsidRDefault="009A58DB">
      <w:pPr>
        <w:pStyle w:val="BodyText"/>
        <w:spacing w:before="90"/>
        <w:ind w:left="0"/>
        <w:jc w:val="left"/>
      </w:pPr>
    </w:p>
    <w:p w14:paraId="7E00121A" w14:textId="77777777" w:rsidR="009A58DB" w:rsidRDefault="00000000">
      <w:pPr>
        <w:pStyle w:val="BodyText"/>
      </w:pPr>
      <w:r>
        <w:t>does</w:t>
      </w:r>
      <w:r>
        <w:rPr>
          <w:spacing w:val="-3"/>
        </w:rPr>
        <w:t xml:space="preserve"> </w:t>
      </w:r>
      <w:r>
        <w:t>so</w:t>
      </w:r>
      <w:r>
        <w:rPr>
          <w:spacing w:val="-2"/>
        </w:rPr>
        <w:t xml:space="preserve"> </w:t>
      </w:r>
      <w:r>
        <w:t>as</w:t>
      </w:r>
      <w:r>
        <w:rPr>
          <w:spacing w:val="-2"/>
        </w:rPr>
        <w:t xml:space="preserve"> </w:t>
      </w:r>
      <w:r>
        <w:t>well.</w:t>
      </w:r>
      <w:r>
        <w:rPr>
          <w:spacing w:val="-2"/>
        </w:rPr>
        <w:t xml:space="preserve"> </w:t>
      </w:r>
      <w:r>
        <w:t>Many</w:t>
      </w:r>
      <w:r>
        <w:rPr>
          <w:spacing w:val="-1"/>
        </w:rPr>
        <w:t xml:space="preserve"> </w:t>
      </w:r>
      <w:r>
        <w:t>a</w:t>
      </w:r>
      <w:r>
        <w:rPr>
          <w:spacing w:val="-3"/>
        </w:rPr>
        <w:t xml:space="preserve"> </w:t>
      </w:r>
      <w:r>
        <w:t>person</w:t>
      </w:r>
      <w:r>
        <w:rPr>
          <w:spacing w:val="-1"/>
        </w:rPr>
        <w:t xml:space="preserve"> </w:t>
      </w:r>
      <w:r>
        <w:t>who</w:t>
      </w:r>
      <w:r>
        <w:rPr>
          <w:spacing w:val="-2"/>
        </w:rPr>
        <w:t xml:space="preserve"> </w:t>
      </w:r>
      <w:r>
        <w:t>knows</w:t>
      </w:r>
      <w:r>
        <w:rPr>
          <w:spacing w:val="-2"/>
        </w:rPr>
        <w:t xml:space="preserve"> </w:t>
      </w:r>
      <w:r>
        <w:rPr>
          <w:spacing w:val="-4"/>
        </w:rPr>
        <w:t>that</w:t>
      </w:r>
    </w:p>
    <w:p w14:paraId="7E00121B" w14:textId="77777777" w:rsidR="009A58DB" w:rsidRDefault="009A58DB">
      <w:pPr>
        <w:pStyle w:val="BodyText"/>
        <w:sectPr w:rsidR="009A58DB">
          <w:pgSz w:w="12240" w:h="15840"/>
          <w:pgMar w:top="1380" w:right="1080" w:bottom="280" w:left="1080" w:header="720" w:footer="720" w:gutter="0"/>
          <w:cols w:space="720"/>
        </w:sectPr>
      </w:pPr>
    </w:p>
    <w:p w14:paraId="7E00121C" w14:textId="77777777" w:rsidR="009A58DB" w:rsidRDefault="00000000">
      <w:pPr>
        <w:pStyle w:val="BodyText"/>
        <w:spacing w:before="65" w:line="501" w:lineRule="auto"/>
        <w:ind w:right="4210"/>
        <w:jc w:val="left"/>
      </w:pPr>
      <w:r>
        <w:lastRenderedPageBreak/>
        <w:t>(IHH)</w:t>
      </w:r>
      <w:r>
        <w:rPr>
          <w:spacing w:val="-9"/>
        </w:rPr>
        <w:t xml:space="preserve"> </w:t>
      </w:r>
      <w:r>
        <w:t>“Hesperus</w:t>
      </w:r>
      <w:r>
        <w:rPr>
          <w:spacing w:val="-9"/>
        </w:rPr>
        <w:t xml:space="preserve"> </w:t>
      </w:r>
      <w:r>
        <w:t>is</w:t>
      </w:r>
      <w:r>
        <w:rPr>
          <w:spacing w:val="-9"/>
        </w:rPr>
        <w:t xml:space="preserve"> </w:t>
      </w:r>
      <w:r>
        <w:t>identical</w:t>
      </w:r>
      <w:r>
        <w:rPr>
          <w:spacing w:val="-9"/>
        </w:rPr>
        <w:t xml:space="preserve"> </w:t>
      </w:r>
      <w:r>
        <w:t>with</w:t>
      </w:r>
      <w:r>
        <w:rPr>
          <w:spacing w:val="-8"/>
        </w:rPr>
        <w:t xml:space="preserve"> </w:t>
      </w:r>
      <w:r>
        <w:t>Hesperus” is true doesn’t know that</w:t>
      </w:r>
    </w:p>
    <w:p w14:paraId="7E00121D" w14:textId="77777777" w:rsidR="009A58DB" w:rsidRDefault="00000000">
      <w:pPr>
        <w:pStyle w:val="BodyText"/>
        <w:spacing w:line="343" w:lineRule="exact"/>
        <w:jc w:val="left"/>
      </w:pPr>
      <w:r>
        <w:t>(IHP)</w:t>
      </w:r>
      <w:r>
        <w:rPr>
          <w:spacing w:val="-7"/>
        </w:rPr>
        <w:t xml:space="preserve"> </w:t>
      </w:r>
      <w:r>
        <w:t>“Hesperus</w:t>
      </w:r>
      <w:r>
        <w:rPr>
          <w:spacing w:val="-5"/>
        </w:rPr>
        <w:t xml:space="preserve"> </w:t>
      </w:r>
      <w:r>
        <w:t>is</w:t>
      </w:r>
      <w:r>
        <w:rPr>
          <w:spacing w:val="-5"/>
        </w:rPr>
        <w:t xml:space="preserve"> </w:t>
      </w:r>
      <w:r>
        <w:t>identical</w:t>
      </w:r>
      <w:r>
        <w:rPr>
          <w:spacing w:val="-5"/>
        </w:rPr>
        <w:t xml:space="preserve"> </w:t>
      </w:r>
      <w:r>
        <w:t>with</w:t>
      </w:r>
      <w:r>
        <w:rPr>
          <w:spacing w:val="-4"/>
        </w:rPr>
        <w:t xml:space="preserve"> </w:t>
      </w:r>
      <w:r>
        <w:rPr>
          <w:spacing w:val="-2"/>
        </w:rPr>
        <w:t>Phosphorous”</w:t>
      </w:r>
    </w:p>
    <w:p w14:paraId="7E00121E" w14:textId="77777777" w:rsidR="009A58DB" w:rsidRDefault="009A58DB">
      <w:pPr>
        <w:pStyle w:val="BodyText"/>
        <w:spacing w:before="29"/>
        <w:ind w:left="0"/>
        <w:jc w:val="left"/>
      </w:pPr>
    </w:p>
    <w:p w14:paraId="7E00121F" w14:textId="77777777" w:rsidR="009A58DB" w:rsidRDefault="00000000">
      <w:pPr>
        <w:pStyle w:val="BodyText"/>
        <w:spacing w:before="1"/>
      </w:pPr>
      <w:r>
        <w:t>is</w:t>
      </w:r>
      <w:r>
        <w:rPr>
          <w:spacing w:val="-3"/>
        </w:rPr>
        <w:t xml:space="preserve"> </w:t>
      </w:r>
      <w:r>
        <w:t>true</w:t>
      </w:r>
      <w:r>
        <w:rPr>
          <w:spacing w:val="-2"/>
        </w:rPr>
        <w:t xml:space="preserve"> </w:t>
      </w:r>
      <w:r>
        <w:t>as</w:t>
      </w:r>
      <w:r>
        <w:rPr>
          <w:spacing w:val="-2"/>
        </w:rPr>
        <w:t xml:space="preserve"> well.</w:t>
      </w:r>
    </w:p>
    <w:p w14:paraId="7E001220" w14:textId="77777777" w:rsidR="009A58DB" w:rsidRDefault="00000000">
      <w:pPr>
        <w:pStyle w:val="BodyText"/>
        <w:spacing w:before="15" w:line="249" w:lineRule="auto"/>
        <w:ind w:right="358" w:firstLine="360"/>
      </w:pPr>
      <w:r>
        <w:t>This data is naturally accounted for by supposing that “Hesperus” is synonymous with “the morning star” and “Phosphorous” is synonymous with the evening star. And that’s just what Frege and Russell did suppose. But, as we’ve seen, this isn’t the right way to model the data and it isn’t the only</w:t>
      </w:r>
      <w:r>
        <w:rPr>
          <w:spacing w:val="40"/>
        </w:rPr>
        <w:t xml:space="preserve"> </w:t>
      </w:r>
      <w:r>
        <w:t>way.</w:t>
      </w:r>
      <w:r>
        <w:rPr>
          <w:spacing w:val="11"/>
        </w:rPr>
        <w:t xml:space="preserve"> </w:t>
      </w:r>
      <w:r>
        <w:t>The</w:t>
      </w:r>
      <w:r>
        <w:rPr>
          <w:spacing w:val="12"/>
        </w:rPr>
        <w:t xml:space="preserve"> </w:t>
      </w:r>
      <w:r>
        <w:t>supposition</w:t>
      </w:r>
      <w:r>
        <w:rPr>
          <w:spacing w:val="12"/>
        </w:rPr>
        <w:t xml:space="preserve"> </w:t>
      </w:r>
      <w:r>
        <w:t>that</w:t>
      </w:r>
      <w:r>
        <w:rPr>
          <w:spacing w:val="11"/>
        </w:rPr>
        <w:t xml:space="preserve"> </w:t>
      </w:r>
      <w:r>
        <w:t>H</w:t>
      </w:r>
      <w:r>
        <w:rPr>
          <w:vertAlign w:val="subscript"/>
        </w:rPr>
        <w:t>1</w:t>
      </w:r>
      <w:r>
        <w:rPr>
          <w:spacing w:val="10"/>
        </w:rPr>
        <w:t xml:space="preserve"> </w:t>
      </w:r>
      <w:r>
        <w:t>(IHH)</w:t>
      </w:r>
      <w:r>
        <w:rPr>
          <w:spacing w:val="11"/>
        </w:rPr>
        <w:t xml:space="preserve"> </w:t>
      </w:r>
      <w:r>
        <w:t>and</w:t>
      </w:r>
      <w:r>
        <w:rPr>
          <w:spacing w:val="10"/>
        </w:rPr>
        <w:t xml:space="preserve"> </w:t>
      </w:r>
      <w:r>
        <w:t>P</w:t>
      </w:r>
      <w:r>
        <w:rPr>
          <w:vertAlign w:val="subscript"/>
        </w:rPr>
        <w:t>1</w:t>
      </w:r>
      <w:r>
        <w:rPr>
          <w:spacing w:val="11"/>
        </w:rPr>
        <w:t xml:space="preserve"> </w:t>
      </w:r>
      <w:r>
        <w:t>(IHP)</w:t>
      </w:r>
      <w:r>
        <w:rPr>
          <w:spacing w:val="12"/>
        </w:rPr>
        <w:t xml:space="preserve"> </w:t>
      </w:r>
      <w:r>
        <w:t>coincide</w:t>
      </w:r>
      <w:r>
        <w:rPr>
          <w:spacing w:val="12"/>
        </w:rPr>
        <w:t xml:space="preserve"> </w:t>
      </w:r>
      <w:r>
        <w:t>in</w:t>
      </w:r>
      <w:r>
        <w:rPr>
          <w:spacing w:val="12"/>
        </w:rPr>
        <w:t xml:space="preserve"> </w:t>
      </w:r>
      <w:r>
        <w:t>literal</w:t>
      </w:r>
      <w:r>
        <w:rPr>
          <w:spacing w:val="12"/>
        </w:rPr>
        <w:t xml:space="preserve"> </w:t>
      </w:r>
      <w:r>
        <w:rPr>
          <w:spacing w:val="-2"/>
        </w:rPr>
        <w:t>meaning</w:t>
      </w:r>
    </w:p>
    <w:p w14:paraId="7E001221" w14:textId="77777777" w:rsidR="009A58DB" w:rsidRDefault="00000000">
      <w:pPr>
        <w:pStyle w:val="BodyText"/>
        <w:spacing w:before="66" w:line="249" w:lineRule="auto"/>
        <w:ind w:right="368"/>
      </w:pPr>
      <w:r>
        <w:rPr>
          <w:i/>
        </w:rPr>
        <w:t xml:space="preserve">does </w:t>
      </w:r>
      <w:r>
        <w:t xml:space="preserve">model that data </w:t>
      </w:r>
      <w:r>
        <w:rPr>
          <w:i/>
        </w:rPr>
        <w:t xml:space="preserve">provided </w:t>
      </w:r>
      <w:r>
        <w:t>that the points concerning pre-semantic information made earlier are taken into account.</w:t>
      </w:r>
    </w:p>
    <w:p w14:paraId="7E001222" w14:textId="77777777" w:rsidR="009A58DB" w:rsidRDefault="00000000">
      <w:pPr>
        <w:pStyle w:val="Heading1"/>
        <w:numPr>
          <w:ilvl w:val="1"/>
          <w:numId w:val="157"/>
        </w:numPr>
        <w:tabs>
          <w:tab w:val="left" w:pos="990"/>
        </w:tabs>
        <w:spacing w:before="190"/>
      </w:pPr>
      <w:r>
        <w:t>Kripke’s</w:t>
      </w:r>
      <w:r>
        <w:rPr>
          <w:spacing w:val="-7"/>
        </w:rPr>
        <w:t xml:space="preserve"> </w:t>
      </w:r>
      <w:r>
        <w:t>revival</w:t>
      </w:r>
      <w:r>
        <w:rPr>
          <w:spacing w:val="-4"/>
        </w:rPr>
        <w:t xml:space="preserve"> </w:t>
      </w:r>
      <w:r>
        <w:t>of</w:t>
      </w:r>
      <w:r>
        <w:rPr>
          <w:spacing w:val="-4"/>
        </w:rPr>
        <w:t xml:space="preserve"> Mill</w:t>
      </w:r>
    </w:p>
    <w:p w14:paraId="7E001223" w14:textId="77777777" w:rsidR="009A58DB" w:rsidRDefault="00000000">
      <w:pPr>
        <w:pStyle w:val="BodyText"/>
        <w:spacing w:before="139" w:line="249" w:lineRule="auto"/>
        <w:ind w:right="359"/>
      </w:pPr>
      <w:r>
        <w:t xml:space="preserve">In 1969, Saul Kripke gave three very clever lectures in which he definitively showed that the Russell-Frege analysis of proper names is wrong. Those lectures are now published under the title </w:t>
      </w:r>
      <w:r>
        <w:rPr>
          <w:i/>
        </w:rPr>
        <w:t xml:space="preserve">Naming and Necessity. </w:t>
      </w:r>
      <w:r>
        <w:t>He said many insightful things in the course of those lectures, many of which went</w:t>
      </w:r>
      <w:r>
        <w:rPr>
          <w:spacing w:val="40"/>
        </w:rPr>
        <w:t xml:space="preserve"> </w:t>
      </w:r>
      <w:r>
        <w:t xml:space="preserve">far beyond the scope of semantics. He also said some things that are quite clearly false, but that, oddly, were nevertheless accepted and, indeed, turned into orthodoxies. Let’s start with the insightful, correct things that Kripke </w:t>
      </w:r>
      <w:r>
        <w:rPr>
          <w:spacing w:val="-4"/>
        </w:rPr>
        <w:t>said.</w:t>
      </w:r>
    </w:p>
    <w:p w14:paraId="7E001224" w14:textId="77777777" w:rsidR="009A58DB" w:rsidRDefault="00000000">
      <w:pPr>
        <w:pStyle w:val="Heading1"/>
        <w:numPr>
          <w:ilvl w:val="1"/>
          <w:numId w:val="157"/>
        </w:numPr>
        <w:tabs>
          <w:tab w:val="left" w:pos="1177"/>
          <w:tab w:val="left" w:pos="2169"/>
          <w:tab w:val="left" w:pos="3581"/>
          <w:tab w:val="left" w:pos="5832"/>
          <w:tab w:val="left" w:pos="7593"/>
          <w:tab w:val="left" w:pos="9028"/>
        </w:tabs>
        <w:spacing w:before="213"/>
        <w:ind w:left="1177" w:hanging="817"/>
      </w:pPr>
      <w:r>
        <w:rPr>
          <w:spacing w:val="-5"/>
        </w:rPr>
        <w:t>The</w:t>
      </w:r>
      <w:r>
        <w:tab/>
      </w:r>
      <w:r>
        <w:rPr>
          <w:spacing w:val="-4"/>
        </w:rPr>
        <w:t>modal</w:t>
      </w:r>
      <w:r>
        <w:tab/>
      </w:r>
      <w:r>
        <w:rPr>
          <w:spacing w:val="-2"/>
        </w:rPr>
        <w:t>differences</w:t>
      </w:r>
      <w:r>
        <w:tab/>
      </w:r>
      <w:r>
        <w:rPr>
          <w:spacing w:val="-2"/>
        </w:rPr>
        <w:t>between</w:t>
      </w:r>
      <w:r>
        <w:tab/>
      </w:r>
      <w:r>
        <w:rPr>
          <w:spacing w:val="-2"/>
        </w:rPr>
        <w:t>names</w:t>
      </w:r>
      <w:r>
        <w:tab/>
      </w:r>
      <w:r>
        <w:rPr>
          <w:spacing w:val="-5"/>
        </w:rPr>
        <w:t>and</w:t>
      </w:r>
    </w:p>
    <w:p w14:paraId="7E001225" w14:textId="77777777" w:rsidR="009A58DB" w:rsidRDefault="00000000">
      <w:pPr>
        <w:spacing w:before="12"/>
        <w:ind w:left="360"/>
        <w:rPr>
          <w:b/>
          <w:sz w:val="42"/>
        </w:rPr>
      </w:pPr>
      <w:r>
        <w:rPr>
          <w:b/>
          <w:noProof/>
          <w:sz w:val="42"/>
        </w:rPr>
        <mc:AlternateContent>
          <mc:Choice Requires="wps">
            <w:drawing>
              <wp:anchor distT="0" distB="0" distL="0" distR="0" simplePos="0" relativeHeight="480334848" behindDoc="1" locked="0" layoutInCell="1" allowOverlap="1" wp14:anchorId="7E003276" wp14:editId="7E003277">
                <wp:simplePos x="0" y="0"/>
                <wp:positionH relativeFrom="page">
                  <wp:posOffset>3112889</wp:posOffset>
                </wp:positionH>
                <wp:positionV relativeFrom="paragraph">
                  <wp:posOffset>209778</wp:posOffset>
                </wp:positionV>
                <wp:extent cx="104139" cy="2959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295910"/>
                        </a:xfrm>
                        <a:prstGeom prst="rect">
                          <a:avLst/>
                        </a:prstGeom>
                      </wps:spPr>
                      <wps:txbx>
                        <w:txbxContent>
                          <w:p w14:paraId="7E0032B8" w14:textId="77777777" w:rsidR="009A58DB" w:rsidRDefault="00000000">
                            <w:pPr>
                              <w:spacing w:line="465" w:lineRule="exact"/>
                              <w:rPr>
                                <w:b/>
                                <w:sz w:val="42"/>
                              </w:rPr>
                            </w:pPr>
                            <w:r>
                              <w:rPr>
                                <w:b/>
                                <w:spacing w:val="-10"/>
                                <w:sz w:val="42"/>
                              </w:rPr>
                              <w:t>s</w:t>
                            </w:r>
                          </w:p>
                        </w:txbxContent>
                      </wps:txbx>
                      <wps:bodyPr wrap="square" lIns="0" tIns="0" rIns="0" bIns="0" rtlCol="0">
                        <a:noAutofit/>
                      </wps:bodyPr>
                    </wps:wsp>
                  </a:graphicData>
                </a:graphic>
              </wp:anchor>
            </w:drawing>
          </mc:Choice>
          <mc:Fallback>
            <w:pict>
              <v:shape w14:anchorId="7E003276" id="Textbox 20" o:spid="_x0000_s1034" type="#_x0000_t202" style="position:absolute;left:0;text-align:left;margin-left:245.1pt;margin-top:16.5pt;width:8.2pt;height:23.3pt;z-index:-2298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" filled="f" stroked="f">
                <v:textbox inset="0,0,0,0">
                  <w:txbxContent>
                    <w:p w14:paraId="7E0032B8" w14:textId="77777777" w:rsidR="009A58DB" w:rsidRDefault="00000000">
                      <w:pPr>
                        <w:spacing w:line="465" w:lineRule="exact"/>
                        <w:rPr>
                          <w:b/>
                          <w:sz w:val="42"/>
                        </w:rPr>
                      </w:pPr>
                      <w:r>
                        <w:rPr>
                          <w:b/>
                          <w:spacing w:val="-10"/>
                          <w:sz w:val="42"/>
                        </w:rPr>
                        <w:t>s</w:t>
                      </w:r>
                    </w:p>
                  </w:txbxContent>
                </v:textbox>
                <w10:wrap anchorx="page"/>
              </v:shape>
            </w:pict>
          </mc:Fallback>
        </mc:AlternateContent>
      </w:r>
      <w:bookmarkStart w:id="247" w:name="_bookmark247"/>
      <w:bookmarkEnd w:id="247"/>
      <w:r>
        <w:rPr>
          <w:b/>
          <w:color w:val="0562C1"/>
          <w:spacing w:val="-1"/>
          <w:position w:val="30"/>
          <w:sz w:val="42"/>
          <w:u w:val="single" w:color="0562C1"/>
        </w:rPr>
        <w:t>[</w:t>
      </w:r>
      <w:r>
        <w:rPr>
          <w:b/>
          <w:color w:val="0562C1"/>
          <w:position w:val="30"/>
          <w:sz w:val="42"/>
          <w:u w:val="single" w:color="0562C1"/>
        </w:rPr>
        <w:t>152</w:t>
      </w:r>
      <w:r>
        <w:rPr>
          <w:b/>
          <w:color w:val="0562C1"/>
          <w:spacing w:val="-4536"/>
          <w:position w:val="30"/>
          <w:sz w:val="42"/>
          <w:u w:val="single" w:color="0562C1"/>
        </w:rPr>
        <w:t>]</w:t>
      </w:r>
      <w:r>
        <w:rPr>
          <w:b/>
          <w:spacing w:val="-1"/>
          <w:sz w:val="42"/>
        </w:rPr>
        <w:t>definit</w:t>
      </w:r>
      <w:r>
        <w:rPr>
          <w:b/>
          <w:sz w:val="42"/>
        </w:rPr>
        <w:t>e</w:t>
      </w:r>
      <w:r>
        <w:rPr>
          <w:b/>
          <w:spacing w:val="-1"/>
          <w:sz w:val="42"/>
        </w:rPr>
        <w:t xml:space="preserve"> </w:t>
      </w:r>
      <w:r>
        <w:rPr>
          <w:b/>
          <w:spacing w:val="-2"/>
          <w:sz w:val="42"/>
        </w:rPr>
        <w:t>description</w:t>
      </w:r>
    </w:p>
    <w:p w14:paraId="7E001226" w14:textId="77777777" w:rsidR="009A58DB" w:rsidRDefault="00000000">
      <w:pPr>
        <w:pStyle w:val="BodyText"/>
        <w:spacing w:before="139"/>
      </w:pPr>
      <w:r>
        <w:t>For</w:t>
      </w:r>
      <w:r>
        <w:rPr>
          <w:spacing w:val="-4"/>
        </w:rPr>
        <w:t xml:space="preserve"> </w:t>
      </w:r>
      <w:r>
        <w:t>argument’s</w:t>
      </w:r>
      <w:r>
        <w:rPr>
          <w:spacing w:val="-4"/>
        </w:rPr>
        <w:t xml:space="preserve"> </w:t>
      </w:r>
      <w:r>
        <w:t>sake,</w:t>
      </w:r>
      <w:r>
        <w:rPr>
          <w:spacing w:val="-4"/>
        </w:rPr>
        <w:t xml:space="preserve"> </w:t>
      </w:r>
      <w:r>
        <w:t>suppose</w:t>
      </w:r>
      <w:r>
        <w:rPr>
          <w:spacing w:val="-3"/>
        </w:rPr>
        <w:t xml:space="preserve"> </w:t>
      </w:r>
      <w:r>
        <w:rPr>
          <w:spacing w:val="-4"/>
        </w:rPr>
        <w:t>that:</w:t>
      </w:r>
    </w:p>
    <w:p w14:paraId="7E001227" w14:textId="77777777" w:rsidR="009A58DB" w:rsidRDefault="009A58DB">
      <w:pPr>
        <w:pStyle w:val="BodyText"/>
        <w:spacing w:before="30"/>
        <w:ind w:left="0"/>
        <w:jc w:val="left"/>
      </w:pPr>
    </w:p>
    <w:p w14:paraId="7E001228" w14:textId="77777777" w:rsidR="009A58DB" w:rsidRDefault="00000000">
      <w:pPr>
        <w:pStyle w:val="BodyText"/>
        <w:spacing w:line="249" w:lineRule="auto"/>
        <w:ind w:right="358"/>
      </w:pPr>
      <w:r>
        <w:t>(SOC)</w:t>
      </w:r>
      <w:r>
        <w:rPr>
          <w:spacing w:val="-3"/>
        </w:rPr>
        <w:t xml:space="preserve"> </w:t>
      </w:r>
      <w:r>
        <w:t>“Socrates”</w:t>
      </w:r>
      <w:r>
        <w:rPr>
          <w:spacing w:val="-3"/>
        </w:rPr>
        <w:t xml:space="preserve"> </w:t>
      </w:r>
      <w:r>
        <w:t>is</w:t>
      </w:r>
      <w:r>
        <w:rPr>
          <w:spacing w:val="-3"/>
        </w:rPr>
        <w:t xml:space="preserve"> </w:t>
      </w:r>
      <w:r>
        <w:t>synonymous</w:t>
      </w:r>
      <w:r>
        <w:rPr>
          <w:spacing w:val="-3"/>
        </w:rPr>
        <w:t xml:space="preserve"> </w:t>
      </w:r>
      <w:r>
        <w:t>with</w:t>
      </w:r>
      <w:r>
        <w:rPr>
          <w:spacing w:val="-3"/>
        </w:rPr>
        <w:t xml:space="preserve"> </w:t>
      </w:r>
      <w:r>
        <w:t>some</w:t>
      </w:r>
      <w:r>
        <w:rPr>
          <w:spacing w:val="-3"/>
        </w:rPr>
        <w:t xml:space="preserve"> </w:t>
      </w:r>
      <w:r>
        <w:t>definite</w:t>
      </w:r>
      <w:r>
        <w:rPr>
          <w:spacing w:val="-3"/>
        </w:rPr>
        <w:t xml:space="preserve"> </w:t>
      </w:r>
      <w:r>
        <w:t>description—with,</w:t>
      </w:r>
      <w:r>
        <w:rPr>
          <w:spacing w:val="-3"/>
        </w:rPr>
        <w:t xml:space="preserve"> </w:t>
      </w:r>
      <w:r>
        <w:t>let</w:t>
      </w:r>
      <w:r>
        <w:rPr>
          <w:spacing w:val="-3"/>
        </w:rPr>
        <w:t xml:space="preserve"> </w:t>
      </w:r>
      <w:r>
        <w:t>us suppose, “the great philosopher who died of hemlock poisoning.”</w:t>
      </w:r>
    </w:p>
    <w:p w14:paraId="7E001229" w14:textId="77777777" w:rsidR="009A58DB" w:rsidRDefault="009A58DB">
      <w:pPr>
        <w:pStyle w:val="BodyText"/>
        <w:spacing w:before="18"/>
        <w:ind w:left="0"/>
        <w:jc w:val="left"/>
      </w:pPr>
    </w:p>
    <w:p w14:paraId="7E00122A" w14:textId="77777777" w:rsidR="009A58DB" w:rsidRDefault="00000000">
      <w:pPr>
        <w:pStyle w:val="BodyText"/>
      </w:pPr>
      <w:r>
        <w:t>If</w:t>
      </w:r>
      <w:r>
        <w:rPr>
          <w:spacing w:val="-5"/>
        </w:rPr>
        <w:t xml:space="preserve"> </w:t>
      </w:r>
      <w:r>
        <w:t>SOC</w:t>
      </w:r>
      <w:r>
        <w:rPr>
          <w:spacing w:val="-3"/>
        </w:rPr>
        <w:t xml:space="preserve"> </w:t>
      </w:r>
      <w:r>
        <w:t>is</w:t>
      </w:r>
      <w:r>
        <w:rPr>
          <w:spacing w:val="-3"/>
        </w:rPr>
        <w:t xml:space="preserve"> </w:t>
      </w:r>
      <w:r>
        <w:t>right,</w:t>
      </w:r>
      <w:r>
        <w:rPr>
          <w:spacing w:val="-1"/>
        </w:rPr>
        <w:t xml:space="preserve"> </w:t>
      </w:r>
      <w:r>
        <w:rPr>
          <w:spacing w:val="-4"/>
        </w:rPr>
        <w:t>then:</w:t>
      </w:r>
    </w:p>
    <w:p w14:paraId="7E00122B" w14:textId="77777777" w:rsidR="009A58DB" w:rsidRDefault="009A58DB">
      <w:pPr>
        <w:pStyle w:val="BodyText"/>
        <w:sectPr w:rsidR="009A58DB">
          <w:pgSz w:w="12240" w:h="15840"/>
          <w:pgMar w:top="1740" w:right="1080" w:bottom="280" w:left="1080" w:header="720" w:footer="720" w:gutter="0"/>
          <w:cols w:space="720"/>
        </w:sectPr>
      </w:pPr>
    </w:p>
    <w:p w14:paraId="7E00122C" w14:textId="77777777" w:rsidR="009A58DB" w:rsidRDefault="00000000">
      <w:pPr>
        <w:pStyle w:val="ListParagraph"/>
        <w:numPr>
          <w:ilvl w:val="0"/>
          <w:numId w:val="156"/>
        </w:numPr>
        <w:tabs>
          <w:tab w:val="left" w:pos="782"/>
        </w:tabs>
        <w:spacing w:before="65"/>
        <w:ind w:left="782" w:hanging="422"/>
        <w:jc w:val="both"/>
        <w:rPr>
          <w:sz w:val="30"/>
        </w:rPr>
      </w:pPr>
      <w:r>
        <w:rPr>
          <w:sz w:val="30"/>
        </w:rPr>
        <w:lastRenderedPageBreak/>
        <w:t>“Socrates</w:t>
      </w:r>
      <w:r>
        <w:rPr>
          <w:spacing w:val="-4"/>
          <w:sz w:val="30"/>
        </w:rPr>
        <w:t xml:space="preserve"> </w:t>
      </w:r>
      <w:r>
        <w:rPr>
          <w:sz w:val="30"/>
        </w:rPr>
        <w:t>did</w:t>
      </w:r>
      <w:r>
        <w:rPr>
          <w:spacing w:val="-2"/>
          <w:sz w:val="30"/>
        </w:rPr>
        <w:t xml:space="preserve"> </w:t>
      </w:r>
      <w:r>
        <w:rPr>
          <w:sz w:val="30"/>
        </w:rPr>
        <w:t>not</w:t>
      </w:r>
      <w:r>
        <w:rPr>
          <w:spacing w:val="-3"/>
          <w:sz w:val="30"/>
        </w:rPr>
        <w:t xml:space="preserve"> </w:t>
      </w:r>
      <w:r>
        <w:rPr>
          <w:sz w:val="30"/>
        </w:rPr>
        <w:t>die</w:t>
      </w:r>
      <w:r>
        <w:rPr>
          <w:spacing w:val="-3"/>
          <w:sz w:val="30"/>
        </w:rPr>
        <w:t xml:space="preserve"> </w:t>
      </w:r>
      <w:r>
        <w:rPr>
          <w:sz w:val="30"/>
        </w:rPr>
        <w:t>of</w:t>
      </w:r>
      <w:r>
        <w:rPr>
          <w:spacing w:val="-3"/>
          <w:sz w:val="30"/>
        </w:rPr>
        <w:t xml:space="preserve"> </w:t>
      </w:r>
      <w:r>
        <w:rPr>
          <w:sz w:val="30"/>
        </w:rPr>
        <w:t>hemlock</w:t>
      </w:r>
      <w:r>
        <w:rPr>
          <w:spacing w:val="-2"/>
          <w:sz w:val="30"/>
        </w:rPr>
        <w:t xml:space="preserve"> poisoning”</w:t>
      </w:r>
    </w:p>
    <w:p w14:paraId="7E00122D" w14:textId="77777777" w:rsidR="009A58DB" w:rsidRDefault="009A58DB">
      <w:pPr>
        <w:pStyle w:val="BodyText"/>
        <w:spacing w:before="29"/>
        <w:ind w:left="0"/>
        <w:jc w:val="left"/>
      </w:pPr>
    </w:p>
    <w:p w14:paraId="7E00122E" w14:textId="77777777" w:rsidR="009A58DB" w:rsidRDefault="00000000">
      <w:pPr>
        <w:pStyle w:val="BodyText"/>
        <w:spacing w:before="1"/>
      </w:pPr>
      <w:r>
        <w:t>would</w:t>
      </w:r>
      <w:r>
        <w:rPr>
          <w:spacing w:val="-6"/>
        </w:rPr>
        <w:t xml:space="preserve"> </w:t>
      </w:r>
      <w:r>
        <w:t>be</w:t>
      </w:r>
      <w:r>
        <w:rPr>
          <w:spacing w:val="-3"/>
        </w:rPr>
        <w:t xml:space="preserve"> </w:t>
      </w:r>
      <w:r>
        <w:t>self-contradictory,</w:t>
      </w:r>
      <w:r>
        <w:rPr>
          <w:spacing w:val="-4"/>
        </w:rPr>
        <w:t xml:space="preserve"> </w:t>
      </w:r>
      <w:r>
        <w:t>since</w:t>
      </w:r>
      <w:r>
        <w:rPr>
          <w:spacing w:val="-3"/>
        </w:rPr>
        <w:t xml:space="preserve"> </w:t>
      </w:r>
      <w:r>
        <w:t>it</w:t>
      </w:r>
      <w:r>
        <w:rPr>
          <w:spacing w:val="-4"/>
        </w:rPr>
        <w:t xml:space="preserve"> </w:t>
      </w:r>
      <w:r>
        <w:t>would</w:t>
      </w:r>
      <w:r>
        <w:rPr>
          <w:spacing w:val="-3"/>
        </w:rPr>
        <w:t xml:space="preserve"> </w:t>
      </w:r>
      <w:r>
        <w:t>mean</w:t>
      </w:r>
      <w:r>
        <w:rPr>
          <w:spacing w:val="-4"/>
        </w:rPr>
        <w:t xml:space="preserve"> </w:t>
      </w:r>
      <w:r>
        <w:t>the</w:t>
      </w:r>
      <w:r>
        <w:rPr>
          <w:spacing w:val="-3"/>
        </w:rPr>
        <w:t xml:space="preserve"> </w:t>
      </w:r>
      <w:r>
        <w:t>same</w:t>
      </w:r>
      <w:r>
        <w:rPr>
          <w:spacing w:val="-4"/>
        </w:rPr>
        <w:t xml:space="preserve"> </w:t>
      </w:r>
      <w:r>
        <w:t>thing</w:t>
      </w:r>
      <w:r>
        <w:rPr>
          <w:spacing w:val="-3"/>
        </w:rPr>
        <w:t xml:space="preserve"> </w:t>
      </w:r>
      <w:r>
        <w:rPr>
          <w:spacing w:val="-5"/>
        </w:rPr>
        <w:t>as</w:t>
      </w:r>
    </w:p>
    <w:p w14:paraId="7E00122F" w14:textId="77777777" w:rsidR="009A58DB" w:rsidRDefault="009A58DB">
      <w:pPr>
        <w:pStyle w:val="BodyText"/>
        <w:spacing w:before="30"/>
        <w:ind w:left="0"/>
        <w:jc w:val="left"/>
      </w:pPr>
    </w:p>
    <w:p w14:paraId="7E001230" w14:textId="77777777" w:rsidR="009A58DB" w:rsidRDefault="00000000">
      <w:pPr>
        <w:pStyle w:val="ListParagraph"/>
        <w:numPr>
          <w:ilvl w:val="0"/>
          <w:numId w:val="156"/>
        </w:numPr>
        <w:tabs>
          <w:tab w:val="left" w:pos="841"/>
        </w:tabs>
        <w:spacing w:line="249" w:lineRule="auto"/>
        <w:ind w:left="360" w:right="367" w:firstLine="0"/>
        <w:jc w:val="both"/>
        <w:rPr>
          <w:sz w:val="30"/>
        </w:rPr>
      </w:pPr>
      <w:r>
        <w:rPr>
          <w:sz w:val="30"/>
        </w:rPr>
        <w:t>“the great philosopher who died of hemlock poisoning did not die of hemlock poisoning.”</w:t>
      </w:r>
    </w:p>
    <w:p w14:paraId="7E001231" w14:textId="77777777" w:rsidR="009A58DB" w:rsidRDefault="009A58DB">
      <w:pPr>
        <w:pStyle w:val="BodyText"/>
        <w:spacing w:before="17"/>
        <w:ind w:left="0"/>
        <w:jc w:val="left"/>
      </w:pPr>
    </w:p>
    <w:p w14:paraId="7E001232" w14:textId="77777777" w:rsidR="009A58DB" w:rsidRDefault="00000000">
      <w:pPr>
        <w:pStyle w:val="BodyText"/>
        <w:spacing w:line="249" w:lineRule="auto"/>
        <w:ind w:right="360"/>
      </w:pPr>
      <w:r>
        <w:t>But (1) isn’t self-contradictory at all. We could imagine its being true. Suppose that historical research reveals that it wasn’t hemlock poisoning that killed Socrates—that the poison he drank was some other sort of poisoning. In that case, (1) would be false. This may not be likely, but there’s nothing incoherent in the idea of its happening; supposing this about Socrates isn’t like supposing that squares were really circles.</w:t>
      </w:r>
    </w:p>
    <w:p w14:paraId="7E001233" w14:textId="77777777" w:rsidR="009A58DB" w:rsidRDefault="00000000">
      <w:pPr>
        <w:pStyle w:val="Heading3"/>
        <w:numPr>
          <w:ilvl w:val="2"/>
          <w:numId w:val="157"/>
        </w:numPr>
        <w:tabs>
          <w:tab w:val="left" w:pos="1298"/>
        </w:tabs>
        <w:spacing w:before="105" w:line="249" w:lineRule="auto"/>
        <w:ind w:right="370" w:firstLine="0"/>
        <w:jc w:val="both"/>
      </w:pPr>
      <w:r>
        <w:t>The modal differences between names and definite descriptions (continued)</w:t>
      </w:r>
    </w:p>
    <w:p w14:paraId="7E001234" w14:textId="77777777" w:rsidR="009A58DB" w:rsidRDefault="00000000">
      <w:pPr>
        <w:pStyle w:val="BodyText"/>
        <w:spacing w:before="64"/>
      </w:pPr>
      <w:r>
        <w:t>A</w:t>
      </w:r>
      <w:r>
        <w:rPr>
          <w:spacing w:val="-3"/>
        </w:rPr>
        <w:t xml:space="preserve"> </w:t>
      </w:r>
      <w:r>
        <w:t>related</w:t>
      </w:r>
      <w:r>
        <w:rPr>
          <w:spacing w:val="-3"/>
        </w:rPr>
        <w:t xml:space="preserve"> </w:t>
      </w:r>
      <w:r>
        <w:t>point</w:t>
      </w:r>
      <w:r>
        <w:rPr>
          <w:spacing w:val="-2"/>
        </w:rPr>
        <w:t xml:space="preserve"> </w:t>
      </w:r>
      <w:r>
        <w:t>is</w:t>
      </w:r>
      <w:r>
        <w:rPr>
          <w:spacing w:val="-3"/>
        </w:rPr>
        <w:t xml:space="preserve"> </w:t>
      </w:r>
      <w:r>
        <w:rPr>
          <w:spacing w:val="-2"/>
        </w:rPr>
        <w:t>that:</w:t>
      </w:r>
    </w:p>
    <w:p w14:paraId="7E001235" w14:textId="77777777" w:rsidR="009A58DB" w:rsidRDefault="009A58DB">
      <w:pPr>
        <w:pStyle w:val="BodyText"/>
        <w:spacing w:before="30"/>
        <w:ind w:left="0"/>
        <w:jc w:val="left"/>
      </w:pPr>
    </w:p>
    <w:p w14:paraId="7E001236" w14:textId="77777777" w:rsidR="009A58DB" w:rsidRDefault="00000000">
      <w:pPr>
        <w:pStyle w:val="ListParagraph"/>
        <w:numPr>
          <w:ilvl w:val="0"/>
          <w:numId w:val="156"/>
        </w:numPr>
        <w:tabs>
          <w:tab w:val="left" w:pos="782"/>
        </w:tabs>
        <w:ind w:left="782" w:hanging="422"/>
        <w:jc w:val="both"/>
        <w:rPr>
          <w:sz w:val="30"/>
        </w:rPr>
      </w:pPr>
      <w:r>
        <w:rPr>
          <w:sz w:val="30"/>
        </w:rPr>
        <w:t>“Socrates</w:t>
      </w:r>
      <w:r>
        <w:rPr>
          <w:spacing w:val="-5"/>
          <w:sz w:val="30"/>
        </w:rPr>
        <w:t xml:space="preserve"> </w:t>
      </w:r>
      <w:r>
        <w:rPr>
          <w:sz w:val="30"/>
        </w:rPr>
        <w:t>died</w:t>
      </w:r>
      <w:r>
        <w:rPr>
          <w:spacing w:val="-3"/>
          <w:sz w:val="30"/>
        </w:rPr>
        <w:t xml:space="preserve"> </w:t>
      </w:r>
      <w:r>
        <w:rPr>
          <w:sz w:val="30"/>
        </w:rPr>
        <w:t>of</w:t>
      </w:r>
      <w:r>
        <w:rPr>
          <w:spacing w:val="-4"/>
          <w:sz w:val="30"/>
        </w:rPr>
        <w:t xml:space="preserve"> </w:t>
      </w:r>
      <w:r>
        <w:rPr>
          <w:sz w:val="30"/>
        </w:rPr>
        <w:t>hemlock</w:t>
      </w:r>
      <w:r>
        <w:rPr>
          <w:spacing w:val="-3"/>
          <w:sz w:val="30"/>
        </w:rPr>
        <w:t xml:space="preserve"> </w:t>
      </w:r>
      <w:r>
        <w:rPr>
          <w:spacing w:val="-2"/>
          <w:sz w:val="30"/>
        </w:rPr>
        <w:t>poisoning”</w:t>
      </w:r>
    </w:p>
    <w:p w14:paraId="7E001237" w14:textId="77777777" w:rsidR="009A58DB" w:rsidRDefault="009A58DB">
      <w:pPr>
        <w:pStyle w:val="BodyText"/>
        <w:spacing w:before="30"/>
        <w:ind w:left="0"/>
        <w:jc w:val="left"/>
      </w:pPr>
    </w:p>
    <w:p w14:paraId="7E001238" w14:textId="77777777" w:rsidR="009A58DB" w:rsidRDefault="00000000">
      <w:pPr>
        <w:pStyle w:val="BodyText"/>
        <w:spacing w:before="1" w:line="249" w:lineRule="auto"/>
        <w:ind w:right="362"/>
      </w:pPr>
      <w:r>
        <w:t xml:space="preserve">is not </w:t>
      </w:r>
      <w:r>
        <w:rPr>
          <w:i/>
        </w:rPr>
        <w:t xml:space="preserve">analytic. </w:t>
      </w:r>
      <w:r>
        <w:t xml:space="preserve">(An </w:t>
      </w:r>
      <w:r>
        <w:rPr>
          <w:i/>
        </w:rPr>
        <w:t xml:space="preserve">analytic </w:t>
      </w:r>
      <w:r>
        <w:t xml:space="preserve">statement is one that, given only what it means, </w:t>
      </w:r>
      <w:r>
        <w:rPr>
          <w:i/>
        </w:rPr>
        <w:t xml:space="preserve">must </w:t>
      </w:r>
      <w:r>
        <w:t>be true. So “squares have four sides” is analytic, but “Socrates was a wrestler” is not.) But it would be analytic if SOC were right, since it would then be synonymous with:</w:t>
      </w:r>
    </w:p>
    <w:p w14:paraId="7E001239" w14:textId="77777777" w:rsidR="009A58DB" w:rsidRDefault="009A58DB">
      <w:pPr>
        <w:pStyle w:val="BodyText"/>
        <w:spacing w:before="19"/>
        <w:ind w:left="0"/>
        <w:jc w:val="left"/>
      </w:pPr>
    </w:p>
    <w:p w14:paraId="7E00123A" w14:textId="77777777" w:rsidR="009A58DB" w:rsidRDefault="00000000">
      <w:pPr>
        <w:pStyle w:val="ListParagraph"/>
        <w:numPr>
          <w:ilvl w:val="0"/>
          <w:numId w:val="156"/>
        </w:numPr>
        <w:tabs>
          <w:tab w:val="left" w:pos="815"/>
        </w:tabs>
        <w:spacing w:line="249" w:lineRule="auto"/>
        <w:ind w:left="360" w:right="371" w:firstLine="0"/>
        <w:jc w:val="both"/>
        <w:rPr>
          <w:sz w:val="30"/>
        </w:rPr>
      </w:pPr>
      <w:r>
        <w:rPr>
          <w:sz w:val="30"/>
        </w:rPr>
        <w:t xml:space="preserve">“the great philosopher who died of hemlock poisoning died of hemlock </w:t>
      </w:r>
      <w:r>
        <w:rPr>
          <w:spacing w:val="-2"/>
          <w:sz w:val="30"/>
        </w:rPr>
        <w:t>poisoning.”</w:t>
      </w:r>
    </w:p>
    <w:p w14:paraId="7E00123B" w14:textId="77777777" w:rsidR="009A58DB" w:rsidRDefault="009A58DB">
      <w:pPr>
        <w:pStyle w:val="BodyText"/>
        <w:spacing w:before="18"/>
        <w:ind w:left="0"/>
        <w:jc w:val="left"/>
      </w:pPr>
    </w:p>
    <w:p w14:paraId="7E00123C" w14:textId="77777777" w:rsidR="009A58DB" w:rsidRDefault="00000000">
      <w:pPr>
        <w:pStyle w:val="BodyText"/>
        <w:spacing w:line="249" w:lineRule="auto"/>
        <w:ind w:right="369"/>
      </w:pPr>
      <w:r>
        <w:t>Why isn’t (3) a tautology? Because lots of people who know who “Socrates” refers</w:t>
      </w:r>
      <w:r>
        <w:rPr>
          <w:spacing w:val="9"/>
        </w:rPr>
        <w:t xml:space="preserve"> </w:t>
      </w:r>
      <w:r>
        <w:t>to—who</w:t>
      </w:r>
      <w:r>
        <w:rPr>
          <w:spacing w:val="13"/>
        </w:rPr>
        <w:t xml:space="preserve"> </w:t>
      </w:r>
      <w:r>
        <w:t>know</w:t>
      </w:r>
      <w:r>
        <w:rPr>
          <w:spacing w:val="11"/>
        </w:rPr>
        <w:t xml:space="preserve"> </w:t>
      </w:r>
      <w:r>
        <w:t>that</w:t>
      </w:r>
      <w:r>
        <w:rPr>
          <w:spacing w:val="12"/>
        </w:rPr>
        <w:t xml:space="preserve"> </w:t>
      </w:r>
      <w:r>
        <w:t>he’s</w:t>
      </w:r>
      <w:r>
        <w:rPr>
          <w:spacing w:val="11"/>
        </w:rPr>
        <w:t xml:space="preserve"> </w:t>
      </w:r>
      <w:r>
        <w:t>the</w:t>
      </w:r>
      <w:r>
        <w:rPr>
          <w:spacing w:val="12"/>
        </w:rPr>
        <w:t xml:space="preserve"> </w:t>
      </w:r>
      <w:r>
        <w:t>lead</w:t>
      </w:r>
      <w:r>
        <w:rPr>
          <w:spacing w:val="13"/>
        </w:rPr>
        <w:t xml:space="preserve"> </w:t>
      </w:r>
      <w:r>
        <w:t>character</w:t>
      </w:r>
      <w:r>
        <w:rPr>
          <w:spacing w:val="11"/>
        </w:rPr>
        <w:t xml:space="preserve"> </w:t>
      </w:r>
      <w:r>
        <w:t>in</w:t>
      </w:r>
      <w:r>
        <w:rPr>
          <w:spacing w:val="13"/>
        </w:rPr>
        <w:t xml:space="preserve"> </w:t>
      </w:r>
      <w:r>
        <w:t>the</w:t>
      </w:r>
      <w:r>
        <w:rPr>
          <w:spacing w:val="11"/>
        </w:rPr>
        <w:t xml:space="preserve"> </w:t>
      </w:r>
      <w:r>
        <w:rPr>
          <w:i/>
        </w:rPr>
        <w:t>Republic,</w:t>
      </w:r>
      <w:r>
        <w:rPr>
          <w:i/>
          <w:spacing w:val="13"/>
        </w:rPr>
        <w:t xml:space="preserve"> </w:t>
      </w:r>
      <w:r>
        <w:t>or</w:t>
      </w:r>
      <w:r>
        <w:rPr>
          <w:spacing w:val="12"/>
        </w:rPr>
        <w:t xml:space="preserve"> </w:t>
      </w:r>
      <w:r>
        <w:rPr>
          <w:spacing w:val="-2"/>
        </w:rPr>
        <w:t>whatnot</w:t>
      </w:r>
    </w:p>
    <w:p w14:paraId="7E00123D" w14:textId="77777777" w:rsidR="009A58DB" w:rsidRDefault="00000000">
      <w:pPr>
        <w:pStyle w:val="BodyText"/>
        <w:spacing w:before="2" w:line="249" w:lineRule="auto"/>
        <w:ind w:right="365"/>
      </w:pPr>
      <w:r>
        <w:t>—may</w:t>
      </w:r>
      <w:r>
        <w:rPr>
          <w:spacing w:val="-3"/>
        </w:rPr>
        <w:t xml:space="preserve"> </w:t>
      </w:r>
      <w:r>
        <w:t>not</w:t>
      </w:r>
      <w:r>
        <w:rPr>
          <w:spacing w:val="-2"/>
        </w:rPr>
        <w:t xml:space="preserve"> </w:t>
      </w:r>
      <w:r>
        <w:t>know</w:t>
      </w:r>
      <w:r>
        <w:rPr>
          <w:spacing w:val="-2"/>
        </w:rPr>
        <w:t xml:space="preserve"> </w:t>
      </w:r>
      <w:r>
        <w:t>that</w:t>
      </w:r>
      <w:r>
        <w:rPr>
          <w:spacing w:val="-2"/>
        </w:rPr>
        <w:t xml:space="preserve"> </w:t>
      </w:r>
      <w:r>
        <w:t>he</w:t>
      </w:r>
      <w:r>
        <w:rPr>
          <w:spacing w:val="-2"/>
        </w:rPr>
        <w:t xml:space="preserve"> </w:t>
      </w:r>
      <w:r>
        <w:t>died</w:t>
      </w:r>
      <w:r>
        <w:rPr>
          <w:spacing w:val="-2"/>
        </w:rPr>
        <w:t xml:space="preserve"> </w:t>
      </w:r>
      <w:r>
        <w:t>of</w:t>
      </w:r>
      <w:r>
        <w:rPr>
          <w:spacing w:val="-2"/>
        </w:rPr>
        <w:t xml:space="preserve"> </w:t>
      </w:r>
      <w:r>
        <w:t>hemlock</w:t>
      </w:r>
      <w:r>
        <w:rPr>
          <w:spacing w:val="-2"/>
        </w:rPr>
        <w:t xml:space="preserve"> </w:t>
      </w:r>
      <w:r>
        <w:t>poisoning.</w:t>
      </w:r>
      <w:r>
        <w:rPr>
          <w:spacing w:val="-2"/>
        </w:rPr>
        <w:t xml:space="preserve"> </w:t>
      </w:r>
      <w:r>
        <w:t>Those</w:t>
      </w:r>
      <w:r>
        <w:rPr>
          <w:spacing w:val="-2"/>
        </w:rPr>
        <w:t xml:space="preserve"> </w:t>
      </w:r>
      <w:r>
        <w:t>people</w:t>
      </w:r>
      <w:r>
        <w:rPr>
          <w:spacing w:val="-2"/>
        </w:rPr>
        <w:t xml:space="preserve"> </w:t>
      </w:r>
      <w:r>
        <w:t>are</w:t>
      </w:r>
      <w:r>
        <w:rPr>
          <w:spacing w:val="-2"/>
        </w:rPr>
        <w:t xml:space="preserve"> </w:t>
      </w:r>
      <w:r>
        <w:t>not,</w:t>
      </w:r>
      <w:r>
        <w:rPr>
          <w:spacing w:val="-2"/>
        </w:rPr>
        <w:t xml:space="preserve"> </w:t>
      </w:r>
      <w:r>
        <w:t>for that reason, guilty of some semantic deficiency; they may know as well as anyone what the semantic rule governing “Socrates” is. There is some x (namely, Socrates) such that “Socrates” refers to x, and they know that. (4) is thus an empirical point.</w:t>
      </w:r>
    </w:p>
    <w:p w14:paraId="7E00123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23F" w14:textId="77777777" w:rsidR="009A58DB" w:rsidRDefault="00000000">
      <w:pPr>
        <w:pStyle w:val="Heading3"/>
        <w:numPr>
          <w:ilvl w:val="2"/>
          <w:numId w:val="157"/>
        </w:numPr>
        <w:tabs>
          <w:tab w:val="left" w:pos="1298"/>
          <w:tab w:val="left" w:pos="2122"/>
          <w:tab w:val="left" w:pos="3291"/>
          <w:tab w:val="left" w:pos="5148"/>
          <w:tab w:val="left" w:pos="6604"/>
          <w:tab w:val="left" w:pos="7792"/>
          <w:tab w:val="left" w:pos="8597"/>
        </w:tabs>
        <w:spacing w:before="77" w:line="249" w:lineRule="auto"/>
        <w:ind w:right="370" w:firstLine="0"/>
      </w:pPr>
      <w:r>
        <w:rPr>
          <w:spacing w:val="-4"/>
        </w:rPr>
        <w:lastRenderedPageBreak/>
        <w:t>The</w:t>
      </w:r>
      <w:r>
        <w:tab/>
      </w:r>
      <w:r>
        <w:rPr>
          <w:spacing w:val="-4"/>
        </w:rPr>
        <w:t>modal</w:t>
      </w:r>
      <w:r>
        <w:tab/>
      </w:r>
      <w:r>
        <w:rPr>
          <w:spacing w:val="-2"/>
        </w:rPr>
        <w:t>differences</w:t>
      </w:r>
      <w:r>
        <w:tab/>
      </w:r>
      <w:r>
        <w:rPr>
          <w:spacing w:val="-2"/>
        </w:rPr>
        <w:t>between</w:t>
      </w:r>
      <w:r>
        <w:tab/>
      </w:r>
      <w:r>
        <w:rPr>
          <w:spacing w:val="-2"/>
        </w:rPr>
        <w:t>names</w:t>
      </w:r>
      <w:r>
        <w:tab/>
      </w:r>
      <w:r>
        <w:rPr>
          <w:spacing w:val="-4"/>
        </w:rPr>
        <w:t>and</w:t>
      </w:r>
      <w:r>
        <w:tab/>
      </w:r>
      <w:r>
        <w:rPr>
          <w:spacing w:val="-2"/>
        </w:rPr>
        <w:t xml:space="preserve">definite </w:t>
      </w:r>
      <w:r>
        <w:t>descriptions (continued)</w:t>
      </w:r>
    </w:p>
    <w:p w14:paraId="7E001240" w14:textId="77777777" w:rsidR="009A58DB" w:rsidRDefault="00000000">
      <w:pPr>
        <w:pStyle w:val="BodyText"/>
        <w:spacing w:before="64"/>
        <w:jc w:val="left"/>
      </w:pPr>
      <w:r>
        <w:t>A</w:t>
      </w:r>
      <w:r>
        <w:rPr>
          <w:spacing w:val="-3"/>
        </w:rPr>
        <w:t xml:space="preserve"> </w:t>
      </w:r>
      <w:r>
        <w:t>consequence</w:t>
      </w:r>
      <w:r>
        <w:rPr>
          <w:spacing w:val="-3"/>
        </w:rPr>
        <w:t xml:space="preserve"> </w:t>
      </w:r>
      <w:r>
        <w:t>of</w:t>
      </w:r>
      <w:r>
        <w:rPr>
          <w:spacing w:val="-3"/>
        </w:rPr>
        <w:t xml:space="preserve"> </w:t>
      </w:r>
      <w:r>
        <w:t>these</w:t>
      </w:r>
      <w:r>
        <w:rPr>
          <w:spacing w:val="-3"/>
        </w:rPr>
        <w:t xml:space="preserve"> </w:t>
      </w:r>
      <w:r>
        <w:t>points</w:t>
      </w:r>
      <w:r>
        <w:rPr>
          <w:spacing w:val="-3"/>
        </w:rPr>
        <w:t xml:space="preserve"> </w:t>
      </w:r>
      <w:r>
        <w:t>is</w:t>
      </w:r>
      <w:r>
        <w:rPr>
          <w:spacing w:val="-2"/>
        </w:rPr>
        <w:t xml:space="preserve"> </w:t>
      </w:r>
      <w:r>
        <w:rPr>
          <w:spacing w:val="-4"/>
        </w:rPr>
        <w:t>that:</w:t>
      </w:r>
    </w:p>
    <w:p w14:paraId="7E001241" w14:textId="77777777" w:rsidR="009A58DB" w:rsidRDefault="009A58DB">
      <w:pPr>
        <w:pStyle w:val="BodyText"/>
        <w:spacing w:before="30"/>
        <w:ind w:left="0"/>
        <w:jc w:val="left"/>
      </w:pPr>
    </w:p>
    <w:p w14:paraId="7E001242" w14:textId="77777777" w:rsidR="009A58DB" w:rsidRDefault="00000000">
      <w:pPr>
        <w:pStyle w:val="ListParagraph"/>
        <w:numPr>
          <w:ilvl w:val="0"/>
          <w:numId w:val="156"/>
        </w:numPr>
        <w:tabs>
          <w:tab w:val="left" w:pos="801"/>
        </w:tabs>
        <w:spacing w:line="249" w:lineRule="auto"/>
        <w:ind w:left="360" w:right="365" w:firstLine="0"/>
        <w:rPr>
          <w:sz w:val="30"/>
        </w:rPr>
      </w:pPr>
      <w:r>
        <w:rPr>
          <w:sz w:val="30"/>
        </w:rPr>
        <w:t>“it’s necessarily the case that the great philosopher who died of hemlock poisoning died of hemlock poisoning”</w:t>
      </w:r>
    </w:p>
    <w:p w14:paraId="7E001243" w14:textId="77777777" w:rsidR="009A58DB" w:rsidRDefault="009A58DB">
      <w:pPr>
        <w:pStyle w:val="BodyText"/>
        <w:spacing w:before="18"/>
        <w:ind w:left="0"/>
        <w:jc w:val="left"/>
      </w:pPr>
    </w:p>
    <w:p w14:paraId="7E001244" w14:textId="77777777" w:rsidR="009A58DB" w:rsidRDefault="00000000">
      <w:pPr>
        <w:pStyle w:val="BodyText"/>
        <w:jc w:val="left"/>
      </w:pPr>
      <w:r>
        <w:t>is</w:t>
      </w:r>
      <w:r>
        <w:rPr>
          <w:spacing w:val="-3"/>
        </w:rPr>
        <w:t xml:space="preserve"> </w:t>
      </w:r>
      <w:r>
        <w:t>true,</w:t>
      </w:r>
      <w:r>
        <w:rPr>
          <w:spacing w:val="-2"/>
        </w:rPr>
        <w:t xml:space="preserve"> whereas</w:t>
      </w:r>
    </w:p>
    <w:p w14:paraId="7E001245" w14:textId="77777777" w:rsidR="009A58DB" w:rsidRDefault="009A58DB">
      <w:pPr>
        <w:pStyle w:val="BodyText"/>
        <w:spacing w:before="30"/>
        <w:ind w:left="0"/>
        <w:jc w:val="left"/>
      </w:pPr>
    </w:p>
    <w:p w14:paraId="7E001246" w14:textId="77777777" w:rsidR="009A58DB" w:rsidRDefault="00000000">
      <w:pPr>
        <w:pStyle w:val="ListParagraph"/>
        <w:numPr>
          <w:ilvl w:val="0"/>
          <w:numId w:val="156"/>
        </w:numPr>
        <w:tabs>
          <w:tab w:val="left" w:pos="782"/>
        </w:tabs>
        <w:ind w:left="782" w:hanging="422"/>
        <w:rPr>
          <w:sz w:val="30"/>
        </w:rPr>
      </w:pPr>
      <w:r>
        <w:rPr>
          <w:sz w:val="30"/>
        </w:rPr>
        <w:t>“it’s</w:t>
      </w:r>
      <w:r>
        <w:rPr>
          <w:spacing w:val="-5"/>
          <w:sz w:val="30"/>
        </w:rPr>
        <w:t xml:space="preserve"> </w:t>
      </w:r>
      <w:r>
        <w:rPr>
          <w:sz w:val="30"/>
        </w:rPr>
        <w:t>necessarily</w:t>
      </w:r>
      <w:r>
        <w:rPr>
          <w:spacing w:val="-4"/>
          <w:sz w:val="30"/>
        </w:rPr>
        <w:t xml:space="preserve"> </w:t>
      </w:r>
      <w:r>
        <w:rPr>
          <w:sz w:val="30"/>
        </w:rPr>
        <w:t>the</w:t>
      </w:r>
      <w:r>
        <w:rPr>
          <w:spacing w:val="-4"/>
          <w:sz w:val="30"/>
        </w:rPr>
        <w:t xml:space="preserve"> </w:t>
      </w:r>
      <w:r>
        <w:rPr>
          <w:sz w:val="30"/>
        </w:rPr>
        <w:t>case</w:t>
      </w:r>
      <w:r>
        <w:rPr>
          <w:spacing w:val="-5"/>
          <w:sz w:val="30"/>
        </w:rPr>
        <w:t xml:space="preserve"> </w:t>
      </w:r>
      <w:r>
        <w:rPr>
          <w:sz w:val="30"/>
        </w:rPr>
        <w:t>Socrates</w:t>
      </w:r>
      <w:r>
        <w:rPr>
          <w:spacing w:val="-5"/>
          <w:sz w:val="30"/>
        </w:rPr>
        <w:t xml:space="preserve"> </w:t>
      </w:r>
      <w:r>
        <w:rPr>
          <w:sz w:val="30"/>
        </w:rPr>
        <w:t>died</w:t>
      </w:r>
      <w:r>
        <w:rPr>
          <w:spacing w:val="-3"/>
          <w:sz w:val="30"/>
        </w:rPr>
        <w:t xml:space="preserve"> </w:t>
      </w:r>
      <w:r>
        <w:rPr>
          <w:sz w:val="30"/>
        </w:rPr>
        <w:t>of</w:t>
      </w:r>
      <w:r>
        <w:rPr>
          <w:spacing w:val="-5"/>
          <w:sz w:val="30"/>
        </w:rPr>
        <w:t xml:space="preserve"> </w:t>
      </w:r>
      <w:r>
        <w:rPr>
          <w:sz w:val="30"/>
        </w:rPr>
        <w:t>hemlock</w:t>
      </w:r>
      <w:r>
        <w:rPr>
          <w:spacing w:val="-3"/>
          <w:sz w:val="30"/>
        </w:rPr>
        <w:t xml:space="preserve"> </w:t>
      </w:r>
      <w:r>
        <w:rPr>
          <w:spacing w:val="-2"/>
          <w:sz w:val="30"/>
        </w:rPr>
        <w:t>poisoning”</w:t>
      </w:r>
    </w:p>
    <w:p w14:paraId="7E001247" w14:textId="77777777" w:rsidR="009A58DB" w:rsidRDefault="009A58DB">
      <w:pPr>
        <w:pStyle w:val="BodyText"/>
        <w:spacing w:before="30"/>
        <w:ind w:left="0"/>
        <w:jc w:val="left"/>
      </w:pPr>
    </w:p>
    <w:p w14:paraId="7E001248" w14:textId="77777777" w:rsidR="009A58DB" w:rsidRDefault="00000000">
      <w:pPr>
        <w:pStyle w:val="BodyText"/>
        <w:spacing w:line="249" w:lineRule="auto"/>
        <w:jc w:val="left"/>
      </w:pPr>
      <w:r>
        <w:t>is</w:t>
      </w:r>
      <w:r>
        <w:rPr>
          <w:spacing w:val="-1"/>
        </w:rPr>
        <w:t xml:space="preserve"> </w:t>
      </w:r>
      <w:r>
        <w:t>false. Even if</w:t>
      </w:r>
      <w:r>
        <w:rPr>
          <w:spacing w:val="-1"/>
        </w:rPr>
        <w:t xml:space="preserve"> </w:t>
      </w:r>
      <w:r>
        <w:t>Socrates</w:t>
      </w:r>
      <w:r>
        <w:rPr>
          <w:spacing w:val="-1"/>
        </w:rPr>
        <w:t xml:space="preserve"> </w:t>
      </w:r>
      <w:r>
        <w:rPr>
          <w:i/>
        </w:rPr>
        <w:t>did</w:t>
      </w:r>
      <w:r>
        <w:rPr>
          <w:i/>
          <w:spacing w:val="-3"/>
        </w:rPr>
        <w:t xml:space="preserve"> </w:t>
      </w:r>
      <w:r>
        <w:t>die of hemlock poisoning, he might not have; he might fallen off a bridge on his way to the hemlock-drinking ritual.</w:t>
      </w:r>
    </w:p>
    <w:p w14:paraId="7E001249" w14:textId="77777777" w:rsidR="009A58DB" w:rsidRDefault="00000000">
      <w:pPr>
        <w:pStyle w:val="BodyText"/>
        <w:spacing w:before="3" w:line="249" w:lineRule="auto"/>
        <w:ind w:right="368" w:firstLine="360"/>
      </w:pPr>
      <w:r>
        <w:t>For exactly similar reasons, “Benjamin Franklin” isn’t synonymous with “the inventor of bifocals.” For:</w:t>
      </w:r>
    </w:p>
    <w:p w14:paraId="7E00124A" w14:textId="77777777" w:rsidR="009A58DB" w:rsidRDefault="009A58DB">
      <w:pPr>
        <w:pStyle w:val="BodyText"/>
        <w:spacing w:before="17"/>
        <w:ind w:left="0"/>
        <w:jc w:val="left"/>
      </w:pPr>
    </w:p>
    <w:p w14:paraId="7E00124B" w14:textId="77777777" w:rsidR="009A58DB" w:rsidRDefault="00000000">
      <w:pPr>
        <w:pStyle w:val="ListParagraph"/>
        <w:numPr>
          <w:ilvl w:val="0"/>
          <w:numId w:val="156"/>
        </w:numPr>
        <w:tabs>
          <w:tab w:val="left" w:pos="782"/>
        </w:tabs>
        <w:spacing w:line="501" w:lineRule="auto"/>
        <w:ind w:left="360" w:right="816" w:firstLine="0"/>
        <w:rPr>
          <w:sz w:val="30"/>
        </w:rPr>
      </w:pPr>
      <w:r>
        <w:rPr>
          <w:sz w:val="30"/>
        </w:rPr>
        <w:t>it’s</w:t>
      </w:r>
      <w:r>
        <w:rPr>
          <w:spacing w:val="-5"/>
          <w:sz w:val="30"/>
        </w:rPr>
        <w:t xml:space="preserve"> </w:t>
      </w:r>
      <w:r>
        <w:rPr>
          <w:sz w:val="30"/>
        </w:rPr>
        <w:t>necessarily</w:t>
      </w:r>
      <w:r>
        <w:rPr>
          <w:spacing w:val="-4"/>
          <w:sz w:val="30"/>
        </w:rPr>
        <w:t xml:space="preserve"> </w:t>
      </w:r>
      <w:r>
        <w:rPr>
          <w:sz w:val="30"/>
        </w:rPr>
        <w:t>the</w:t>
      </w:r>
      <w:r>
        <w:rPr>
          <w:spacing w:val="-5"/>
          <w:sz w:val="30"/>
        </w:rPr>
        <w:t xml:space="preserve"> </w:t>
      </w:r>
      <w:r>
        <w:rPr>
          <w:sz w:val="30"/>
        </w:rPr>
        <w:t>case</w:t>
      </w:r>
      <w:r>
        <w:rPr>
          <w:spacing w:val="-5"/>
          <w:sz w:val="30"/>
        </w:rPr>
        <w:t xml:space="preserve"> </w:t>
      </w:r>
      <w:r>
        <w:rPr>
          <w:sz w:val="30"/>
        </w:rPr>
        <w:t>that</w:t>
      </w:r>
      <w:r>
        <w:rPr>
          <w:spacing w:val="-5"/>
          <w:sz w:val="30"/>
        </w:rPr>
        <w:t xml:space="preserve"> </w:t>
      </w:r>
      <w:r>
        <w:rPr>
          <w:sz w:val="30"/>
        </w:rPr>
        <w:t>the</w:t>
      </w:r>
      <w:r>
        <w:rPr>
          <w:spacing w:val="-5"/>
          <w:sz w:val="30"/>
        </w:rPr>
        <w:t xml:space="preserve"> </w:t>
      </w:r>
      <w:r>
        <w:rPr>
          <w:sz w:val="30"/>
        </w:rPr>
        <w:t>inventor</w:t>
      </w:r>
      <w:r>
        <w:rPr>
          <w:spacing w:val="-5"/>
          <w:sz w:val="30"/>
        </w:rPr>
        <w:t xml:space="preserve"> </w:t>
      </w:r>
      <w:r>
        <w:rPr>
          <w:sz w:val="30"/>
        </w:rPr>
        <w:t>of</w:t>
      </w:r>
      <w:r>
        <w:rPr>
          <w:spacing w:val="-5"/>
          <w:sz w:val="30"/>
        </w:rPr>
        <w:t xml:space="preserve"> </w:t>
      </w:r>
      <w:r>
        <w:rPr>
          <w:sz w:val="30"/>
        </w:rPr>
        <w:t>bifocals</w:t>
      </w:r>
      <w:r>
        <w:rPr>
          <w:spacing w:val="-5"/>
          <w:sz w:val="30"/>
        </w:rPr>
        <w:t xml:space="preserve"> </w:t>
      </w:r>
      <w:r>
        <w:rPr>
          <w:sz w:val="30"/>
        </w:rPr>
        <w:t>invented</w:t>
      </w:r>
      <w:r>
        <w:rPr>
          <w:spacing w:val="-4"/>
          <w:sz w:val="30"/>
        </w:rPr>
        <w:t xml:space="preserve"> </w:t>
      </w:r>
      <w:r>
        <w:rPr>
          <w:sz w:val="30"/>
        </w:rPr>
        <w:t>bifocals” is true, but</w:t>
      </w:r>
    </w:p>
    <w:p w14:paraId="7E00124C" w14:textId="77777777" w:rsidR="009A58DB" w:rsidRDefault="00000000">
      <w:pPr>
        <w:pStyle w:val="ListParagraph"/>
        <w:numPr>
          <w:ilvl w:val="0"/>
          <w:numId w:val="156"/>
        </w:numPr>
        <w:tabs>
          <w:tab w:val="left" w:pos="782"/>
        </w:tabs>
        <w:spacing w:line="343" w:lineRule="exact"/>
        <w:ind w:left="782" w:hanging="422"/>
        <w:rPr>
          <w:sz w:val="30"/>
        </w:rPr>
      </w:pPr>
      <w:r>
        <w:rPr>
          <w:sz w:val="30"/>
        </w:rPr>
        <w:t>“it’s</w:t>
      </w:r>
      <w:r>
        <w:rPr>
          <w:spacing w:val="-8"/>
          <w:sz w:val="30"/>
        </w:rPr>
        <w:t xml:space="preserve"> </w:t>
      </w:r>
      <w:r>
        <w:rPr>
          <w:sz w:val="30"/>
        </w:rPr>
        <w:t>necessarily</w:t>
      </w:r>
      <w:r>
        <w:rPr>
          <w:spacing w:val="-4"/>
          <w:sz w:val="30"/>
        </w:rPr>
        <w:t xml:space="preserve"> </w:t>
      </w:r>
      <w:r>
        <w:rPr>
          <w:sz w:val="30"/>
        </w:rPr>
        <w:t>the</w:t>
      </w:r>
      <w:r>
        <w:rPr>
          <w:spacing w:val="-5"/>
          <w:sz w:val="30"/>
        </w:rPr>
        <w:t xml:space="preserve"> </w:t>
      </w:r>
      <w:r>
        <w:rPr>
          <w:sz w:val="30"/>
        </w:rPr>
        <w:t>case</w:t>
      </w:r>
      <w:r>
        <w:rPr>
          <w:spacing w:val="-5"/>
          <w:sz w:val="30"/>
        </w:rPr>
        <w:t xml:space="preserve"> </w:t>
      </w:r>
      <w:r>
        <w:rPr>
          <w:sz w:val="30"/>
        </w:rPr>
        <w:t>that</w:t>
      </w:r>
      <w:r>
        <w:rPr>
          <w:spacing w:val="-6"/>
          <w:sz w:val="30"/>
        </w:rPr>
        <w:t xml:space="preserve"> </w:t>
      </w:r>
      <w:r>
        <w:rPr>
          <w:sz w:val="30"/>
        </w:rPr>
        <w:t>Benjamin</w:t>
      </w:r>
      <w:r>
        <w:rPr>
          <w:spacing w:val="-4"/>
          <w:sz w:val="30"/>
        </w:rPr>
        <w:t xml:space="preserve"> </w:t>
      </w:r>
      <w:r>
        <w:rPr>
          <w:sz w:val="30"/>
        </w:rPr>
        <w:t>Franklin</w:t>
      </w:r>
      <w:r>
        <w:rPr>
          <w:spacing w:val="-4"/>
          <w:sz w:val="30"/>
        </w:rPr>
        <w:t xml:space="preserve"> </w:t>
      </w:r>
      <w:r>
        <w:rPr>
          <w:sz w:val="30"/>
        </w:rPr>
        <w:t>invented</w:t>
      </w:r>
      <w:r>
        <w:rPr>
          <w:spacing w:val="-4"/>
          <w:sz w:val="30"/>
        </w:rPr>
        <w:t xml:space="preserve"> </w:t>
      </w:r>
      <w:r>
        <w:rPr>
          <w:spacing w:val="-2"/>
          <w:sz w:val="30"/>
        </w:rPr>
        <w:t>bifocals.”</w:t>
      </w:r>
    </w:p>
    <w:p w14:paraId="7E00124D" w14:textId="77777777" w:rsidR="009A58DB" w:rsidRDefault="009A58DB">
      <w:pPr>
        <w:pStyle w:val="BodyText"/>
        <w:spacing w:before="30"/>
        <w:ind w:left="0"/>
        <w:jc w:val="left"/>
      </w:pPr>
    </w:p>
    <w:p w14:paraId="7E00124E" w14:textId="77777777" w:rsidR="009A58DB" w:rsidRDefault="00000000">
      <w:pPr>
        <w:pStyle w:val="BodyText"/>
        <w:spacing w:line="249" w:lineRule="auto"/>
        <w:ind w:right="360" w:firstLine="360"/>
      </w:pPr>
      <w:r>
        <w:t xml:space="preserve">Kripke’s basic point is that proper names don’t have the same </w:t>
      </w:r>
      <w:r>
        <w:rPr>
          <w:i/>
        </w:rPr>
        <w:t xml:space="preserve">modal </w:t>
      </w:r>
      <w:r>
        <w:t xml:space="preserve">properties as co-referring definite descriptions. The “modal status” of a sentence lies, not in whether it </w:t>
      </w:r>
      <w:r>
        <w:rPr>
          <w:i/>
        </w:rPr>
        <w:t xml:space="preserve">is </w:t>
      </w:r>
      <w:r>
        <w:t xml:space="preserve">true, but in whether it, or its negation, </w:t>
      </w:r>
      <w:r>
        <w:rPr>
          <w:i/>
        </w:rPr>
        <w:t>can</w:t>
      </w:r>
      <w:r>
        <w:rPr>
          <w:i/>
          <w:spacing w:val="40"/>
        </w:rPr>
        <w:t xml:space="preserve"> </w:t>
      </w:r>
      <w:r>
        <w:t xml:space="preserve">be true. The proposition that squares have four sides is </w:t>
      </w:r>
      <w:r>
        <w:rPr>
          <w:i/>
        </w:rPr>
        <w:t>necessarily</w:t>
      </w:r>
      <w:r>
        <w:rPr>
          <w:i/>
          <w:spacing w:val="-2"/>
        </w:rPr>
        <w:t xml:space="preserve"> </w:t>
      </w:r>
      <w:r>
        <w:t>true. That is its modal status. To say that it is necessarily true is to say that it cannot be false. (1) and (2) express propositions that have different modal statuses and are</w:t>
      </w:r>
      <w:r>
        <w:rPr>
          <w:spacing w:val="-4"/>
        </w:rPr>
        <w:t xml:space="preserve"> </w:t>
      </w:r>
      <w:r>
        <w:t>therefore</w:t>
      </w:r>
      <w:r>
        <w:rPr>
          <w:spacing w:val="-4"/>
        </w:rPr>
        <w:t xml:space="preserve"> </w:t>
      </w:r>
      <w:r>
        <w:t>distinct.</w:t>
      </w:r>
      <w:r>
        <w:rPr>
          <w:spacing w:val="-3"/>
        </w:rPr>
        <w:t xml:space="preserve"> </w:t>
      </w:r>
      <w:r>
        <w:t>Thus,</w:t>
      </w:r>
      <w:r>
        <w:rPr>
          <w:spacing w:val="-3"/>
        </w:rPr>
        <w:t xml:space="preserve"> </w:t>
      </w:r>
      <w:r>
        <w:t>replacing</w:t>
      </w:r>
      <w:r>
        <w:rPr>
          <w:spacing w:val="-3"/>
        </w:rPr>
        <w:t xml:space="preserve"> </w:t>
      </w:r>
      <w:r>
        <w:t>the</w:t>
      </w:r>
      <w:r>
        <w:rPr>
          <w:spacing w:val="-4"/>
        </w:rPr>
        <w:t xml:space="preserve"> </w:t>
      </w:r>
      <w:r>
        <w:t>occurrence</w:t>
      </w:r>
      <w:r>
        <w:rPr>
          <w:spacing w:val="-4"/>
        </w:rPr>
        <w:t xml:space="preserve"> </w:t>
      </w:r>
      <w:r>
        <w:t>in</w:t>
      </w:r>
      <w:r>
        <w:rPr>
          <w:spacing w:val="-3"/>
        </w:rPr>
        <w:t xml:space="preserve"> </w:t>
      </w:r>
      <w:r>
        <w:t>(1)</w:t>
      </w:r>
      <w:r>
        <w:rPr>
          <w:spacing w:val="-4"/>
        </w:rPr>
        <w:t xml:space="preserve"> </w:t>
      </w:r>
      <w:r>
        <w:t>of</w:t>
      </w:r>
      <w:r>
        <w:rPr>
          <w:spacing w:val="-4"/>
        </w:rPr>
        <w:t xml:space="preserve"> </w:t>
      </w:r>
      <w:r>
        <w:t>“Socrates”</w:t>
      </w:r>
      <w:r>
        <w:rPr>
          <w:spacing w:val="-4"/>
        </w:rPr>
        <w:t xml:space="preserve"> </w:t>
      </w:r>
      <w:r>
        <w:t>with “the great philosopher who died of hemlock poisoning” results in a sentence that expresses a proposition different from that expressed by (1). Thus, “Socrates” isn’t synonymous with “the great philosopher who died of hemlock poisoning” or, by the same logic, with any other definite</w:t>
      </w:r>
      <w:r>
        <w:rPr>
          <w:spacing w:val="40"/>
        </w:rPr>
        <w:t xml:space="preserve"> </w:t>
      </w:r>
      <w:r>
        <w:t>description. Given obvious extensions of this reasoning, no proper name is synonymous with any definite descriptions.</w:t>
      </w:r>
    </w:p>
    <w:p w14:paraId="7E00124F" w14:textId="77777777" w:rsidR="009A58DB" w:rsidRDefault="009A58DB">
      <w:pPr>
        <w:pStyle w:val="BodyText"/>
        <w:spacing w:line="249" w:lineRule="auto"/>
        <w:sectPr w:rsidR="009A58DB">
          <w:pgSz w:w="12240" w:h="15840"/>
          <w:pgMar w:top="1360" w:right="1080" w:bottom="280" w:left="1080" w:header="720" w:footer="720" w:gutter="0"/>
          <w:cols w:space="720"/>
        </w:sectPr>
      </w:pPr>
    </w:p>
    <w:p w14:paraId="7E001250" w14:textId="77777777" w:rsidR="009A58DB" w:rsidRDefault="00000000">
      <w:pPr>
        <w:pStyle w:val="Heading1"/>
        <w:numPr>
          <w:ilvl w:val="1"/>
          <w:numId w:val="157"/>
        </w:numPr>
        <w:tabs>
          <w:tab w:val="left" w:pos="1080"/>
        </w:tabs>
        <w:spacing w:before="58" w:line="244" w:lineRule="auto"/>
        <w:ind w:left="360" w:right="365" w:firstLine="0"/>
        <w:jc w:val="both"/>
      </w:pPr>
      <w:r>
        <w:lastRenderedPageBreak/>
        <w:t xml:space="preserve">Kripke on identity and necessary a posteriori </w:t>
      </w:r>
      <w:r>
        <w:rPr>
          <w:spacing w:val="-2"/>
        </w:rPr>
        <w:t>truth</w:t>
      </w:r>
    </w:p>
    <w:p w14:paraId="7E001251" w14:textId="77777777" w:rsidR="009A58DB" w:rsidRDefault="00000000">
      <w:pPr>
        <w:pStyle w:val="BodyText"/>
        <w:spacing w:before="131" w:line="249" w:lineRule="auto"/>
        <w:ind w:right="367"/>
      </w:pPr>
      <w:r>
        <w:t>To understand Kripke’s influential non-semantic claims, we must define four terms and also assimilate an important principle that Kripke discovered.</w:t>
      </w:r>
    </w:p>
    <w:p w14:paraId="7E001252" w14:textId="77777777" w:rsidR="009A58DB" w:rsidRDefault="00000000">
      <w:pPr>
        <w:pStyle w:val="Heading3"/>
        <w:numPr>
          <w:ilvl w:val="2"/>
          <w:numId w:val="157"/>
        </w:numPr>
        <w:tabs>
          <w:tab w:val="left" w:pos="1136"/>
        </w:tabs>
        <w:spacing w:before="101"/>
        <w:ind w:left="1136" w:hanging="776"/>
        <w:jc w:val="both"/>
      </w:pPr>
      <w:r>
        <w:t>A</w:t>
      </w:r>
      <w:r>
        <w:rPr>
          <w:spacing w:val="4"/>
        </w:rPr>
        <w:t xml:space="preserve"> </w:t>
      </w:r>
      <w:r>
        <w:t>priori</w:t>
      </w:r>
      <w:r>
        <w:rPr>
          <w:spacing w:val="5"/>
        </w:rPr>
        <w:t xml:space="preserve"> </w:t>
      </w:r>
      <w:r>
        <w:t>vs.</w:t>
      </w:r>
      <w:r>
        <w:rPr>
          <w:spacing w:val="5"/>
        </w:rPr>
        <w:t xml:space="preserve"> </w:t>
      </w:r>
      <w:r>
        <w:t>a</w:t>
      </w:r>
      <w:r>
        <w:rPr>
          <w:spacing w:val="4"/>
        </w:rPr>
        <w:t xml:space="preserve"> </w:t>
      </w:r>
      <w:r>
        <w:t>posteriori</w:t>
      </w:r>
      <w:r>
        <w:rPr>
          <w:spacing w:val="5"/>
        </w:rPr>
        <w:t xml:space="preserve"> </w:t>
      </w:r>
      <w:r>
        <w:rPr>
          <w:spacing w:val="-2"/>
        </w:rPr>
        <w:t>knowledge</w:t>
      </w:r>
    </w:p>
    <w:p w14:paraId="7E001253" w14:textId="77777777" w:rsidR="009A58DB" w:rsidRDefault="00000000">
      <w:pPr>
        <w:pStyle w:val="BodyText"/>
        <w:spacing w:before="81" w:line="249" w:lineRule="auto"/>
        <w:ind w:right="358"/>
      </w:pPr>
      <w:r>
        <w:t>The first two terms are “a priori” and “a posteriori.” These expressions are adjectives, and they modify expressions denoting knowledge. A priori knowledge is knowledge that one either has, or can acquire, merely by virtue of how one’s mind is structured; it can be thought of as knowledge that is coded into one’s cognitive structure or that follows from such knowledge. When you a buy a new computer, it typically comes “bundled” with new software. A priori knowledge can be compared to such software. A posteriori knowledge is knowledge that is not a priori.</w:t>
      </w:r>
    </w:p>
    <w:p w14:paraId="7E001254" w14:textId="77777777" w:rsidR="009A58DB" w:rsidRDefault="00000000">
      <w:pPr>
        <w:pStyle w:val="Heading3"/>
        <w:numPr>
          <w:ilvl w:val="2"/>
          <w:numId w:val="157"/>
        </w:numPr>
        <w:tabs>
          <w:tab w:val="left" w:pos="1136"/>
        </w:tabs>
        <w:spacing w:before="92"/>
        <w:ind w:left="1136" w:hanging="776"/>
        <w:jc w:val="both"/>
      </w:pPr>
      <w:r>
        <w:t>Rigid</w:t>
      </w:r>
      <w:r>
        <w:rPr>
          <w:spacing w:val="6"/>
        </w:rPr>
        <w:t xml:space="preserve"> </w:t>
      </w:r>
      <w:r>
        <w:t>vs.</w:t>
      </w:r>
      <w:r>
        <w:rPr>
          <w:spacing w:val="6"/>
        </w:rPr>
        <w:t xml:space="preserve"> </w:t>
      </w:r>
      <w:r>
        <w:t>non-rigid</w:t>
      </w:r>
      <w:r>
        <w:rPr>
          <w:spacing w:val="7"/>
        </w:rPr>
        <w:t xml:space="preserve"> </w:t>
      </w:r>
      <w:r>
        <w:rPr>
          <w:spacing w:val="-2"/>
        </w:rPr>
        <w:t>designators</w:t>
      </w:r>
    </w:p>
    <w:p w14:paraId="7E001255" w14:textId="77777777" w:rsidR="009A58DB" w:rsidRDefault="00000000">
      <w:pPr>
        <w:pStyle w:val="BodyText"/>
        <w:spacing w:before="82" w:line="249" w:lineRule="auto"/>
        <w:ind w:right="365"/>
      </w:pPr>
      <w:r>
        <w:t xml:space="preserve">The remaining two terms are “rigid designator” and “non-rigid designator.” For reasons that will emerge in due course, the distinction between rigid and non-rigid designators is meaningless unless definite descriptions are taken to be referring terms. So in this context, we’ll suppose, just as Kripke does in </w:t>
      </w:r>
      <w:r>
        <w:rPr>
          <w:i/>
        </w:rPr>
        <w:t xml:space="preserve">Naming and Necessity, </w:t>
      </w:r>
      <w:r>
        <w:t>that definite descriptions are referring terms.</w:t>
      </w:r>
    </w:p>
    <w:p w14:paraId="7E001256" w14:textId="77777777" w:rsidR="009A58DB" w:rsidRDefault="00000000">
      <w:pPr>
        <w:pStyle w:val="BodyText"/>
        <w:spacing w:before="6" w:line="249" w:lineRule="auto"/>
        <w:ind w:right="358" w:firstLine="360"/>
      </w:pPr>
      <w:r>
        <w:t xml:space="preserve">Consider a world W that is semantically just like ours except that, in it, Al Gore, not Barack Obama, is the U.S. President in 2009. In W, “the U.S. President in 2009” would refer to Al Gore. </w:t>
      </w:r>
      <w:r>
        <w:rPr>
          <w:i/>
        </w:rPr>
        <w:t xml:space="preserve">So even though that expression would have the semantics that it has in our world, </w:t>
      </w:r>
      <w:r>
        <w:t xml:space="preserve">it wouldn’t pick out the same thing that it picks out in our world. In fact, given that, in W, Barack Obama isn’t the president in 2009, if “the U.S. President in 2009” </w:t>
      </w:r>
      <w:r>
        <w:rPr>
          <w:i/>
        </w:rPr>
        <w:t xml:space="preserve">did </w:t>
      </w:r>
      <w:r>
        <w:t>pick out “Barack Obama” in W, it couldn’t possibly have the same semantics that it has in our world.</w:t>
      </w:r>
    </w:p>
    <w:p w14:paraId="7E001257" w14:textId="77777777" w:rsidR="009A58DB" w:rsidRDefault="00000000">
      <w:pPr>
        <w:pStyle w:val="BodyText"/>
        <w:spacing w:before="10" w:line="249" w:lineRule="auto"/>
        <w:ind w:right="358" w:firstLine="360"/>
      </w:pPr>
      <w:r>
        <w:t xml:space="preserve">But suppose that, in world W* that is distinct from both W and our world, “Barack Obama” referred to Joseph Biden. In that case, W* would </w:t>
      </w:r>
      <w:r>
        <w:rPr>
          <w:i/>
        </w:rPr>
        <w:t>ipso</w:t>
      </w:r>
      <w:r>
        <w:rPr>
          <w:i/>
          <w:spacing w:val="-2"/>
        </w:rPr>
        <w:t xml:space="preserve"> </w:t>
      </w:r>
      <w:r>
        <w:rPr>
          <w:i/>
        </w:rPr>
        <w:t xml:space="preserve">facto </w:t>
      </w:r>
      <w:r>
        <w:t>not be semantically identical with our world. In our world, there is some individual x such that x is Barack Obama and, as a matter of semantics, “Barack Obama” refers to x. And any language in which “Barack Obama” picked</w:t>
      </w:r>
      <w:r>
        <w:rPr>
          <w:spacing w:val="40"/>
        </w:rPr>
        <w:t xml:space="preserve"> </w:t>
      </w:r>
      <w:r>
        <w:t>somebody</w:t>
      </w:r>
      <w:r>
        <w:rPr>
          <w:spacing w:val="40"/>
        </w:rPr>
        <w:t xml:space="preserve"> </w:t>
      </w:r>
      <w:r>
        <w:t>else</w:t>
      </w:r>
      <w:r>
        <w:rPr>
          <w:spacing w:val="40"/>
        </w:rPr>
        <w:t xml:space="preserve"> </w:t>
      </w:r>
      <w:r>
        <w:t>would</w:t>
      </w:r>
      <w:r>
        <w:rPr>
          <w:spacing w:val="40"/>
        </w:rPr>
        <w:t xml:space="preserve"> </w:t>
      </w:r>
      <w:r>
        <w:t>to</w:t>
      </w:r>
      <w:r>
        <w:rPr>
          <w:spacing w:val="40"/>
        </w:rPr>
        <w:t xml:space="preserve"> </w:t>
      </w:r>
      <w:r>
        <w:t>that</w:t>
      </w:r>
      <w:r>
        <w:rPr>
          <w:spacing w:val="40"/>
        </w:rPr>
        <w:t xml:space="preserve"> </w:t>
      </w:r>
      <w:r>
        <w:t>extent</w:t>
      </w:r>
      <w:r>
        <w:rPr>
          <w:spacing w:val="40"/>
        </w:rPr>
        <w:t xml:space="preserve"> </w:t>
      </w:r>
      <w:r>
        <w:t>semantically</w:t>
      </w:r>
      <w:r>
        <w:rPr>
          <w:spacing w:val="40"/>
        </w:rPr>
        <w:t xml:space="preserve"> </w:t>
      </w:r>
      <w:r>
        <w:t>diverge</w:t>
      </w:r>
      <w:r>
        <w:rPr>
          <w:spacing w:val="40"/>
        </w:rPr>
        <w:t xml:space="preserve"> </w:t>
      </w:r>
      <w:r>
        <w:t>from</w:t>
      </w:r>
      <w:r>
        <w:rPr>
          <w:spacing w:val="40"/>
        </w:rPr>
        <w:t xml:space="preserve"> </w:t>
      </w:r>
      <w:r>
        <w:t>the</w:t>
      </w:r>
    </w:p>
    <w:p w14:paraId="7E00125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59" w14:textId="77777777" w:rsidR="009A58DB" w:rsidRDefault="00000000">
      <w:pPr>
        <w:pStyle w:val="BodyText"/>
        <w:spacing w:before="60" w:line="249" w:lineRule="auto"/>
        <w:ind w:right="361"/>
      </w:pPr>
      <w:r>
        <w:lastRenderedPageBreak/>
        <w:t xml:space="preserve">specific version English actually spoken (even if it was otherwise just like it). Given that “Barack Obama” refers to Barack Obama, it couldn’t possibly </w:t>
      </w:r>
      <w:r>
        <w:rPr>
          <w:i/>
        </w:rPr>
        <w:t xml:space="preserve">fail </w:t>
      </w:r>
      <w:r>
        <w:t>to</w:t>
      </w:r>
      <w:r>
        <w:rPr>
          <w:spacing w:val="-1"/>
        </w:rPr>
        <w:t xml:space="preserve"> </w:t>
      </w:r>
      <w:r>
        <w:t>refer</w:t>
      </w:r>
      <w:r>
        <w:rPr>
          <w:spacing w:val="-1"/>
        </w:rPr>
        <w:t xml:space="preserve"> </w:t>
      </w:r>
      <w:r>
        <w:t>to</w:t>
      </w:r>
      <w:r>
        <w:rPr>
          <w:spacing w:val="-1"/>
        </w:rPr>
        <w:t xml:space="preserve"> </w:t>
      </w:r>
      <w:r>
        <w:t>him</w:t>
      </w:r>
      <w:r>
        <w:rPr>
          <w:spacing w:val="-1"/>
        </w:rPr>
        <w:t xml:space="preserve"> </w:t>
      </w:r>
      <w:r>
        <w:t>in</w:t>
      </w:r>
      <w:r>
        <w:rPr>
          <w:spacing w:val="-1"/>
        </w:rPr>
        <w:t xml:space="preserve"> </w:t>
      </w:r>
      <w:r>
        <w:t>a</w:t>
      </w:r>
      <w:r>
        <w:rPr>
          <w:spacing w:val="-1"/>
        </w:rPr>
        <w:t xml:space="preserve"> </w:t>
      </w:r>
      <w:r>
        <w:t>world</w:t>
      </w:r>
      <w:r>
        <w:rPr>
          <w:spacing w:val="-1"/>
        </w:rPr>
        <w:t xml:space="preserve"> </w:t>
      </w:r>
      <w:r>
        <w:t>that</w:t>
      </w:r>
      <w:r>
        <w:rPr>
          <w:spacing w:val="-1"/>
        </w:rPr>
        <w:t xml:space="preserve"> </w:t>
      </w:r>
      <w:r>
        <w:t>is</w:t>
      </w:r>
      <w:r>
        <w:rPr>
          <w:spacing w:val="-1"/>
        </w:rPr>
        <w:t xml:space="preserve"> </w:t>
      </w:r>
      <w:r>
        <w:t>semantically</w:t>
      </w:r>
      <w:r>
        <w:rPr>
          <w:spacing w:val="-1"/>
        </w:rPr>
        <w:t xml:space="preserve"> </w:t>
      </w:r>
      <w:r>
        <w:t>like</w:t>
      </w:r>
      <w:r>
        <w:rPr>
          <w:spacing w:val="-1"/>
        </w:rPr>
        <w:t xml:space="preserve"> </w:t>
      </w:r>
      <w:r>
        <w:t>ours.</w:t>
      </w:r>
      <w:r>
        <w:rPr>
          <w:spacing w:val="-1"/>
        </w:rPr>
        <w:t xml:space="preserve"> </w:t>
      </w:r>
      <w:r>
        <w:t>It</w:t>
      </w:r>
      <w:r>
        <w:rPr>
          <w:spacing w:val="-1"/>
        </w:rPr>
        <w:t xml:space="preserve"> </w:t>
      </w:r>
      <w:r>
        <w:t>could</w:t>
      </w:r>
      <w:r>
        <w:rPr>
          <w:spacing w:val="-1"/>
        </w:rPr>
        <w:t xml:space="preserve"> </w:t>
      </w:r>
      <w:r>
        <w:t>fail</w:t>
      </w:r>
      <w:r>
        <w:rPr>
          <w:spacing w:val="-1"/>
        </w:rPr>
        <w:t xml:space="preserve"> </w:t>
      </w:r>
      <w:r>
        <w:t>to</w:t>
      </w:r>
      <w:r>
        <w:rPr>
          <w:spacing w:val="-1"/>
        </w:rPr>
        <w:t xml:space="preserve"> </w:t>
      </w:r>
      <w:r>
        <w:t>refer</w:t>
      </w:r>
      <w:r>
        <w:rPr>
          <w:spacing w:val="-1"/>
        </w:rPr>
        <w:t xml:space="preserve"> </w:t>
      </w:r>
      <w:r>
        <w:t>to him only in a world where expressions were not in all cases governed by the semantic rules that govern them in our world.</w:t>
      </w:r>
    </w:p>
    <w:p w14:paraId="7E00125A" w14:textId="77777777" w:rsidR="009A58DB" w:rsidRDefault="00000000">
      <w:pPr>
        <w:pStyle w:val="BodyText"/>
        <w:spacing w:before="11" w:line="249" w:lineRule="auto"/>
        <w:ind w:right="362" w:firstLine="360"/>
      </w:pPr>
      <w:r>
        <w:t xml:space="preserve">“Barack Obama” is a </w:t>
      </w:r>
      <w:r>
        <w:rPr>
          <w:i/>
        </w:rPr>
        <w:t xml:space="preserve">rigid designator. </w:t>
      </w:r>
      <w:r>
        <w:t>E “rigidly designates” x if there is no</w:t>
      </w:r>
      <w:r>
        <w:rPr>
          <w:spacing w:val="-1"/>
        </w:rPr>
        <w:t xml:space="preserve"> </w:t>
      </w:r>
      <w:r>
        <w:t>possible</w:t>
      </w:r>
      <w:r>
        <w:rPr>
          <w:spacing w:val="-1"/>
        </w:rPr>
        <w:t xml:space="preserve"> </w:t>
      </w:r>
      <w:r>
        <w:t>world</w:t>
      </w:r>
      <w:r>
        <w:rPr>
          <w:spacing w:val="-1"/>
        </w:rPr>
        <w:t xml:space="preserve"> </w:t>
      </w:r>
      <w:r>
        <w:t>that</w:t>
      </w:r>
      <w:r>
        <w:rPr>
          <w:spacing w:val="-1"/>
        </w:rPr>
        <w:t xml:space="preserve"> </w:t>
      </w:r>
      <w:r>
        <w:t>is</w:t>
      </w:r>
      <w:r>
        <w:rPr>
          <w:spacing w:val="-1"/>
        </w:rPr>
        <w:t xml:space="preserve"> </w:t>
      </w:r>
      <w:r>
        <w:t>semantically</w:t>
      </w:r>
      <w:r>
        <w:rPr>
          <w:spacing w:val="-1"/>
        </w:rPr>
        <w:t xml:space="preserve"> </w:t>
      </w:r>
      <w:r>
        <w:t>just</w:t>
      </w:r>
      <w:r>
        <w:rPr>
          <w:spacing w:val="-2"/>
        </w:rPr>
        <w:t xml:space="preserve"> </w:t>
      </w:r>
      <w:r>
        <w:t>like</w:t>
      </w:r>
      <w:r>
        <w:rPr>
          <w:spacing w:val="-1"/>
        </w:rPr>
        <w:t xml:space="preserve"> </w:t>
      </w:r>
      <w:r>
        <w:t>ours</w:t>
      </w:r>
      <w:r>
        <w:rPr>
          <w:spacing w:val="-1"/>
        </w:rPr>
        <w:t xml:space="preserve"> </w:t>
      </w:r>
      <w:r>
        <w:t>where</w:t>
      </w:r>
      <w:r>
        <w:rPr>
          <w:spacing w:val="-1"/>
        </w:rPr>
        <w:t xml:space="preserve"> </w:t>
      </w:r>
      <w:r>
        <w:t>E</w:t>
      </w:r>
      <w:r>
        <w:rPr>
          <w:spacing w:val="-1"/>
        </w:rPr>
        <w:t xml:space="preserve"> </w:t>
      </w:r>
      <w:r>
        <w:t>fails</w:t>
      </w:r>
      <w:r>
        <w:rPr>
          <w:spacing w:val="-1"/>
        </w:rPr>
        <w:t xml:space="preserve"> </w:t>
      </w:r>
      <w:r>
        <w:t>to</w:t>
      </w:r>
      <w:r>
        <w:rPr>
          <w:spacing w:val="-1"/>
        </w:rPr>
        <w:t xml:space="preserve"> </w:t>
      </w:r>
      <w:r>
        <w:t>designate</w:t>
      </w:r>
    </w:p>
    <w:p w14:paraId="7E00125B" w14:textId="77777777" w:rsidR="009A58DB" w:rsidRDefault="00000000">
      <w:pPr>
        <w:pStyle w:val="BodyText"/>
        <w:spacing w:before="2" w:line="249" w:lineRule="auto"/>
        <w:ind w:right="361"/>
      </w:pPr>
      <w:r>
        <w:t>x. Proper names are rigid designators. Definite descriptions are not. “The inventor of bifocals” refers to Bob Denver in some possible worlds, to Walt Disney in others, and so on.</w:t>
      </w:r>
    </w:p>
    <w:p w14:paraId="7E00125C" w14:textId="77777777" w:rsidR="009A58DB" w:rsidRDefault="00000000">
      <w:pPr>
        <w:pStyle w:val="BodyText"/>
        <w:spacing w:before="4" w:line="249" w:lineRule="auto"/>
        <w:ind w:right="360" w:firstLine="360"/>
      </w:pPr>
      <w:r>
        <w:t xml:space="preserve">Sometimes </w:t>
      </w:r>
      <w:r>
        <w:rPr>
          <w:i/>
        </w:rPr>
        <w:t xml:space="preserve">demonstrative </w:t>
      </w:r>
      <w:r>
        <w:t>expressions (e.g., “that person”) are described</w:t>
      </w:r>
      <w:r>
        <w:rPr>
          <w:spacing w:val="40"/>
        </w:rPr>
        <w:t xml:space="preserve"> </w:t>
      </w:r>
      <w:r>
        <w:t xml:space="preserve">as “rigid designators.” The reasons for this are explained in Chapters 6 and 9. Suffice it to say that they are not rigid designators. In fact, they are about as non-rigid as designators can be. “The inventor of bifocals” is non-rigid in the sense that there are possible universes in which it refers to people other than Benjamin Franklin. But “that person” refers to many different people in </w:t>
      </w:r>
      <w:r>
        <w:rPr>
          <w:i/>
        </w:rPr>
        <w:t xml:space="preserve">our </w:t>
      </w:r>
      <w:r>
        <w:rPr>
          <w:spacing w:val="-2"/>
        </w:rPr>
        <w:t>world.</w:t>
      </w:r>
    </w:p>
    <w:p w14:paraId="7E00125D" w14:textId="77777777" w:rsidR="009A58DB" w:rsidRDefault="00000000">
      <w:pPr>
        <w:pStyle w:val="Heading1"/>
        <w:numPr>
          <w:ilvl w:val="1"/>
          <w:numId w:val="157"/>
        </w:numPr>
        <w:tabs>
          <w:tab w:val="left" w:pos="990"/>
        </w:tabs>
        <w:spacing w:before="197"/>
        <w:jc w:val="both"/>
      </w:pPr>
      <w:r>
        <w:t>Identity</w:t>
      </w:r>
      <w:r>
        <w:rPr>
          <w:spacing w:val="-5"/>
        </w:rPr>
        <w:t xml:space="preserve"> </w:t>
      </w:r>
      <w:r>
        <w:t>and</w:t>
      </w:r>
      <w:r>
        <w:rPr>
          <w:spacing w:val="-4"/>
        </w:rPr>
        <w:t xml:space="preserve"> </w:t>
      </w:r>
      <w:r>
        <w:rPr>
          <w:spacing w:val="-2"/>
        </w:rPr>
        <w:t>necessity</w:t>
      </w:r>
    </w:p>
    <w:p w14:paraId="7E00125E" w14:textId="77777777" w:rsidR="009A58DB" w:rsidRDefault="00000000">
      <w:pPr>
        <w:pStyle w:val="BodyText"/>
        <w:spacing w:before="139" w:line="249" w:lineRule="auto"/>
        <w:ind w:right="358"/>
      </w:pPr>
      <w:r>
        <w:t>Suppose that x and y are contingently identical—that, in other words, they’re identical but they don’t have to be. By Leibniz’s law, x and y have the very same properties. Obviously x is necessarily identical with x. Therefore, y has that property as well and, contrary to what we assumed, is necessarily identical with x.</w:t>
      </w:r>
    </w:p>
    <w:p w14:paraId="7E00125F" w14:textId="77777777" w:rsidR="009A58DB" w:rsidRDefault="00000000">
      <w:pPr>
        <w:pStyle w:val="BodyText"/>
        <w:spacing w:before="6" w:line="249" w:lineRule="auto"/>
        <w:ind w:right="368" w:firstLine="360"/>
      </w:pPr>
      <w:r>
        <w:t>In general, identities hold necessarily if they hold at all. It isn’t a contingent fact that you are identical with you. If you exist, you can’t fail to be you.</w:t>
      </w:r>
    </w:p>
    <w:p w14:paraId="7E001260" w14:textId="77777777" w:rsidR="009A58DB" w:rsidRDefault="00000000">
      <w:pPr>
        <w:pStyle w:val="BodyText"/>
        <w:spacing w:before="3" w:line="249" w:lineRule="auto"/>
        <w:ind w:right="361" w:firstLine="360"/>
      </w:pPr>
      <w:r>
        <w:t>Some sentences seem to be counterexamples to this; for example, “the person standing over there is the person who owns the ice-cream store down the street.” But that isn’t really an identity claim. We know from Russell that its real meaning is: “something is both a person standing in that corner, unaccompanied by other people, and is also a sole proprietor of the ice-cream store down the street.” Given any apparent exception to the principle that, when it holds, identity holds necessarily, reparsing that sentence shows it not to be an identity claim.</w:t>
      </w:r>
    </w:p>
    <w:p w14:paraId="7E00126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62" w14:textId="77777777" w:rsidR="009A58DB" w:rsidRDefault="00000000">
      <w:pPr>
        <w:pStyle w:val="BodyText"/>
        <w:spacing w:before="65"/>
        <w:ind w:left="720"/>
        <w:jc w:val="left"/>
      </w:pPr>
      <w:r>
        <w:lastRenderedPageBreak/>
        <w:t>A</w:t>
      </w:r>
      <w:r>
        <w:rPr>
          <w:spacing w:val="2"/>
        </w:rPr>
        <w:t xml:space="preserve"> </w:t>
      </w:r>
      <w:r>
        <w:t>sentence</w:t>
      </w:r>
      <w:r>
        <w:rPr>
          <w:spacing w:val="5"/>
        </w:rPr>
        <w:t xml:space="preserve"> </w:t>
      </w:r>
      <w:r>
        <w:t>of</w:t>
      </w:r>
      <w:r>
        <w:rPr>
          <w:spacing w:val="5"/>
        </w:rPr>
        <w:t xml:space="preserve"> </w:t>
      </w:r>
      <w:r>
        <w:t>the</w:t>
      </w:r>
      <w:r>
        <w:rPr>
          <w:spacing w:val="5"/>
        </w:rPr>
        <w:t xml:space="preserve"> </w:t>
      </w:r>
      <w:r>
        <w:t>form</w:t>
      </w:r>
      <w:r>
        <w:rPr>
          <w:spacing w:val="5"/>
        </w:rPr>
        <w:t xml:space="preserve"> </w:t>
      </w:r>
      <w:r>
        <w:t>“A</w:t>
      </w:r>
      <w:r>
        <w:rPr>
          <w:spacing w:val="5"/>
        </w:rPr>
        <w:t xml:space="preserve"> </w:t>
      </w:r>
      <w:r>
        <w:t>is</w:t>
      </w:r>
      <w:r>
        <w:rPr>
          <w:spacing w:val="5"/>
        </w:rPr>
        <w:t xml:space="preserve"> </w:t>
      </w:r>
      <w:r>
        <w:t>identical</w:t>
      </w:r>
      <w:r>
        <w:rPr>
          <w:spacing w:val="5"/>
        </w:rPr>
        <w:t xml:space="preserve"> </w:t>
      </w:r>
      <w:r>
        <w:t>with</w:t>
      </w:r>
      <w:r>
        <w:rPr>
          <w:spacing w:val="5"/>
        </w:rPr>
        <w:t xml:space="preserve"> </w:t>
      </w:r>
      <w:r>
        <w:t>B”</w:t>
      </w:r>
      <w:r>
        <w:rPr>
          <w:spacing w:val="5"/>
        </w:rPr>
        <w:t xml:space="preserve"> </w:t>
      </w:r>
      <w:r>
        <w:t>expresses</w:t>
      </w:r>
      <w:r>
        <w:rPr>
          <w:spacing w:val="5"/>
        </w:rPr>
        <w:t xml:space="preserve"> </w:t>
      </w:r>
      <w:r>
        <w:t>an</w:t>
      </w:r>
      <w:r>
        <w:rPr>
          <w:spacing w:val="5"/>
        </w:rPr>
        <w:t xml:space="preserve"> </w:t>
      </w:r>
      <w:r>
        <w:t>identity</w:t>
      </w:r>
      <w:r>
        <w:rPr>
          <w:spacing w:val="6"/>
        </w:rPr>
        <w:t xml:space="preserve"> </w:t>
      </w:r>
      <w:r>
        <w:rPr>
          <w:spacing w:val="-2"/>
        </w:rPr>
        <w:t>claim</w:t>
      </w:r>
    </w:p>
    <w:p w14:paraId="7E001263" w14:textId="77777777" w:rsidR="009A58DB" w:rsidRDefault="00000000">
      <w:pPr>
        <w:pStyle w:val="BodyText"/>
        <w:spacing w:before="15"/>
        <w:jc w:val="left"/>
      </w:pPr>
      <w:r>
        <w:rPr>
          <w:i/>
        </w:rPr>
        <w:t>only</w:t>
      </w:r>
      <w:r>
        <w:rPr>
          <w:i/>
          <w:spacing w:val="-6"/>
        </w:rPr>
        <w:t xml:space="preserve"> </w:t>
      </w:r>
      <w:r>
        <w:t>if</w:t>
      </w:r>
      <w:r>
        <w:rPr>
          <w:spacing w:val="-3"/>
        </w:rPr>
        <w:t xml:space="preserve"> </w:t>
      </w:r>
      <w:r>
        <w:t>“A”</w:t>
      </w:r>
      <w:r>
        <w:rPr>
          <w:spacing w:val="-4"/>
        </w:rPr>
        <w:t xml:space="preserve"> </w:t>
      </w:r>
      <w:r>
        <w:t>and</w:t>
      </w:r>
      <w:r>
        <w:rPr>
          <w:spacing w:val="-2"/>
        </w:rPr>
        <w:t xml:space="preserve"> </w:t>
      </w:r>
      <w:r>
        <w:t>“B”</w:t>
      </w:r>
      <w:r>
        <w:rPr>
          <w:spacing w:val="-3"/>
        </w:rPr>
        <w:t xml:space="preserve"> </w:t>
      </w:r>
      <w:r>
        <w:t>are</w:t>
      </w:r>
      <w:r>
        <w:rPr>
          <w:spacing w:val="-4"/>
        </w:rPr>
        <w:t xml:space="preserve"> </w:t>
      </w:r>
      <w:r>
        <w:t>rigid</w:t>
      </w:r>
      <w:r>
        <w:rPr>
          <w:spacing w:val="-2"/>
        </w:rPr>
        <w:t xml:space="preserve"> </w:t>
      </w:r>
      <w:r>
        <w:t>designators.</w:t>
      </w:r>
      <w:r>
        <w:rPr>
          <w:spacing w:val="-2"/>
        </w:rPr>
        <w:t xml:space="preserve"> Thus:</w:t>
      </w:r>
    </w:p>
    <w:p w14:paraId="7E001264" w14:textId="77777777" w:rsidR="009A58DB" w:rsidRDefault="009A58DB">
      <w:pPr>
        <w:pStyle w:val="BodyText"/>
        <w:spacing w:before="30"/>
        <w:ind w:left="0"/>
        <w:jc w:val="left"/>
      </w:pPr>
    </w:p>
    <w:p w14:paraId="7E001265" w14:textId="77777777" w:rsidR="009A58DB" w:rsidRDefault="00000000">
      <w:pPr>
        <w:pStyle w:val="BodyText"/>
        <w:spacing w:line="501" w:lineRule="auto"/>
        <w:ind w:right="3829"/>
        <w:jc w:val="left"/>
      </w:pPr>
      <w:r>
        <w:t>(IHP)</w:t>
      </w:r>
      <w:r>
        <w:rPr>
          <w:spacing w:val="-9"/>
        </w:rPr>
        <w:t xml:space="preserve"> </w:t>
      </w:r>
      <w:r>
        <w:t>“Hesperus</w:t>
      </w:r>
      <w:r>
        <w:rPr>
          <w:spacing w:val="-9"/>
        </w:rPr>
        <w:t xml:space="preserve"> </w:t>
      </w:r>
      <w:r>
        <w:t>is</w:t>
      </w:r>
      <w:r>
        <w:rPr>
          <w:spacing w:val="-9"/>
        </w:rPr>
        <w:t xml:space="preserve"> </w:t>
      </w:r>
      <w:r>
        <w:t>identical</w:t>
      </w:r>
      <w:r>
        <w:rPr>
          <w:spacing w:val="-9"/>
        </w:rPr>
        <w:t xml:space="preserve"> </w:t>
      </w:r>
      <w:r>
        <w:t>with</w:t>
      </w:r>
      <w:r>
        <w:rPr>
          <w:spacing w:val="-8"/>
        </w:rPr>
        <w:t xml:space="preserve"> </w:t>
      </w:r>
      <w:r>
        <w:t>Phosphorous” is an identity claim. And so is</w:t>
      </w:r>
    </w:p>
    <w:p w14:paraId="7E001266" w14:textId="77777777" w:rsidR="009A58DB" w:rsidRDefault="00000000">
      <w:pPr>
        <w:pStyle w:val="BodyText"/>
        <w:spacing w:line="542" w:lineRule="auto"/>
        <w:ind w:right="7044"/>
        <w:jc w:val="left"/>
      </w:pPr>
      <w:r>
        <w:t>(WH)</w:t>
      </w:r>
      <w:r>
        <w:rPr>
          <w:spacing w:val="-7"/>
        </w:rPr>
        <w:t xml:space="preserve"> </w:t>
      </w:r>
      <w:r>
        <w:t>“water</w:t>
      </w:r>
      <w:r>
        <w:rPr>
          <w:spacing w:val="-7"/>
        </w:rPr>
        <w:t xml:space="preserve"> </w:t>
      </w:r>
      <w:r>
        <w:t>is</w:t>
      </w:r>
      <w:r>
        <w:rPr>
          <w:spacing w:val="-7"/>
        </w:rPr>
        <w:t xml:space="preserve"> </w:t>
      </w:r>
      <w:r>
        <w:t>H</w:t>
      </w:r>
      <w:r>
        <w:rPr>
          <w:vertAlign w:val="subscript"/>
        </w:rPr>
        <w:t>2</w:t>
      </w:r>
      <w:r>
        <w:t>O” and so is</w:t>
      </w:r>
    </w:p>
    <w:p w14:paraId="7E001267" w14:textId="77777777" w:rsidR="009A58DB" w:rsidRDefault="00000000">
      <w:pPr>
        <w:pStyle w:val="BodyText"/>
        <w:spacing w:line="286" w:lineRule="exact"/>
        <w:jc w:val="left"/>
      </w:pPr>
      <w:r>
        <w:t>(MT)</w:t>
      </w:r>
      <w:r>
        <w:rPr>
          <w:spacing w:val="-7"/>
        </w:rPr>
        <w:t xml:space="preserve"> </w:t>
      </w:r>
      <w:r>
        <w:t>“Mark</w:t>
      </w:r>
      <w:r>
        <w:rPr>
          <w:spacing w:val="-3"/>
        </w:rPr>
        <w:t xml:space="preserve"> </w:t>
      </w:r>
      <w:r>
        <w:t>Twain</w:t>
      </w:r>
      <w:r>
        <w:rPr>
          <w:spacing w:val="-3"/>
        </w:rPr>
        <w:t xml:space="preserve"> </w:t>
      </w:r>
      <w:r>
        <w:t>is</w:t>
      </w:r>
      <w:r>
        <w:rPr>
          <w:spacing w:val="-4"/>
        </w:rPr>
        <w:t xml:space="preserve"> </w:t>
      </w:r>
      <w:r>
        <w:t>Samuel</w:t>
      </w:r>
      <w:r>
        <w:rPr>
          <w:spacing w:val="-4"/>
        </w:rPr>
        <w:t xml:space="preserve"> </w:t>
      </w:r>
      <w:r>
        <w:rPr>
          <w:spacing w:val="-2"/>
        </w:rPr>
        <w:t>Clemens.”</w:t>
      </w:r>
    </w:p>
    <w:p w14:paraId="7E001268" w14:textId="77777777" w:rsidR="009A58DB" w:rsidRDefault="00000000">
      <w:pPr>
        <w:pStyle w:val="Heading1"/>
        <w:numPr>
          <w:ilvl w:val="1"/>
          <w:numId w:val="157"/>
        </w:numPr>
        <w:tabs>
          <w:tab w:val="left" w:pos="1023"/>
        </w:tabs>
        <w:spacing w:before="201" w:line="244" w:lineRule="auto"/>
        <w:ind w:left="360" w:right="365" w:firstLine="0"/>
      </w:pPr>
      <w:r>
        <w:t>Why Kripke believes that there are necessary a posteriori truths</w:t>
      </w:r>
    </w:p>
    <w:p w14:paraId="7E001269" w14:textId="77777777" w:rsidR="009A58DB" w:rsidRDefault="00000000">
      <w:pPr>
        <w:pStyle w:val="BodyText"/>
        <w:spacing w:before="132" w:line="249" w:lineRule="auto"/>
        <w:ind w:right="359"/>
      </w:pPr>
      <w:r>
        <w:t xml:space="preserve">Kripke made it clear that “Hesperus” isn’t synonymous with “the morning star” or with any other non-rigid designator, and he showed the same thing </w:t>
      </w:r>
      <w:r>
        <w:rPr>
          <w:i/>
        </w:rPr>
        <w:t xml:space="preserve">mutatis mutandis </w:t>
      </w:r>
      <w:r>
        <w:t xml:space="preserve">to be true of “Phosphorous.” Given that Hesperus </w:t>
      </w:r>
      <w:r>
        <w:rPr>
          <w:i/>
        </w:rPr>
        <w:t xml:space="preserve">is </w:t>
      </w:r>
      <w:r>
        <w:t>Phosphorous, Hesperus can no more fail to be Phosphorous than it can fail to be Hesperus. So given that it holds, IHP holds necessarily.</w:t>
      </w:r>
    </w:p>
    <w:p w14:paraId="7E00126A" w14:textId="77777777" w:rsidR="009A58DB" w:rsidRDefault="00000000">
      <w:pPr>
        <w:pStyle w:val="BodyText"/>
        <w:spacing w:before="6" w:line="249" w:lineRule="auto"/>
        <w:ind w:right="358" w:firstLine="360"/>
      </w:pPr>
      <w:r>
        <w:t xml:space="preserve">Kripke says that “IHP” encodes an a posteriori truth. The idea is that it can’t be known a priori that IHP (or any other synonymous sentence) is true. It can be known only through astronomical observation. Given that IHP is necessarily true, it follows that IHP is both </w:t>
      </w:r>
      <w:r>
        <w:rPr>
          <w:i/>
        </w:rPr>
        <w:t xml:space="preserve">necessary </w:t>
      </w:r>
      <w:r>
        <w:t>and a posteriori.</w:t>
      </w:r>
    </w:p>
    <w:p w14:paraId="7E00126B" w14:textId="77777777" w:rsidR="009A58DB" w:rsidRDefault="00000000">
      <w:pPr>
        <w:pStyle w:val="Heading1"/>
        <w:numPr>
          <w:ilvl w:val="1"/>
          <w:numId w:val="157"/>
        </w:numPr>
        <w:tabs>
          <w:tab w:val="left" w:pos="1024"/>
        </w:tabs>
        <w:spacing w:before="208" w:line="244" w:lineRule="auto"/>
        <w:ind w:left="360" w:right="359" w:firstLine="0"/>
      </w:pPr>
      <w:r>
        <w:t>Evaluating Kripke’s attempt to show that there are necessary a posteriori truths</w:t>
      </w:r>
    </w:p>
    <w:p w14:paraId="7E00126C" w14:textId="77777777" w:rsidR="009A58DB" w:rsidRDefault="00000000">
      <w:pPr>
        <w:spacing w:before="131" w:line="249" w:lineRule="auto"/>
        <w:ind w:left="360" w:right="359"/>
        <w:jc w:val="both"/>
        <w:rPr>
          <w:i/>
          <w:sz w:val="30"/>
        </w:rPr>
      </w:pPr>
      <w:r>
        <w:rPr>
          <w:sz w:val="30"/>
        </w:rPr>
        <w:t xml:space="preserve">This is not a good argument. We made it clear earlier in this chapter that, although it doesn’t have such a claim for its </w:t>
      </w:r>
      <w:r>
        <w:rPr>
          <w:i/>
          <w:sz w:val="30"/>
        </w:rPr>
        <w:t xml:space="preserve">literal meaning, </w:t>
      </w:r>
      <w:r>
        <w:rPr>
          <w:sz w:val="30"/>
        </w:rPr>
        <w:t xml:space="preserve">IHP </w:t>
      </w:r>
      <w:r>
        <w:rPr>
          <w:i/>
          <w:sz w:val="30"/>
        </w:rPr>
        <w:t xml:space="preserve">communicates </w:t>
      </w:r>
      <w:r>
        <w:rPr>
          <w:sz w:val="30"/>
        </w:rPr>
        <w:t xml:space="preserve">a proposition of the form </w:t>
      </w:r>
      <w:r>
        <w:rPr>
          <w:i/>
          <w:sz w:val="30"/>
        </w:rPr>
        <w:t xml:space="preserve">the phi is identical with the psi. </w:t>
      </w:r>
      <w:r>
        <w:rPr>
          <w:sz w:val="30"/>
        </w:rPr>
        <w:t xml:space="preserve">In other words, it (non-literally) communicates a proposition of the form: </w:t>
      </w:r>
      <w:r>
        <w:rPr>
          <w:i/>
          <w:sz w:val="30"/>
        </w:rPr>
        <w:t>something uniquely has phi, and anything that has phi also uniquely has psi.</w:t>
      </w:r>
    </w:p>
    <w:p w14:paraId="7E00126D" w14:textId="77777777" w:rsidR="009A58DB" w:rsidRDefault="00000000">
      <w:pPr>
        <w:pStyle w:val="BodyText"/>
        <w:spacing w:before="7" w:line="249" w:lineRule="auto"/>
        <w:ind w:right="358" w:firstLine="360"/>
      </w:pPr>
      <w:r>
        <w:t xml:space="preserve">So IHP communicates a </w:t>
      </w:r>
      <w:r>
        <w:rPr>
          <w:i/>
        </w:rPr>
        <w:t>contingent</w:t>
      </w:r>
      <w:r>
        <w:rPr>
          <w:i/>
          <w:spacing w:val="-4"/>
        </w:rPr>
        <w:t xml:space="preserve"> </w:t>
      </w:r>
      <w:r>
        <w:t>truth. It communicates, as we saw, the proposition that is expressed by the sentence:</w:t>
      </w:r>
    </w:p>
    <w:p w14:paraId="7E00126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6F" w14:textId="77777777" w:rsidR="009A58DB" w:rsidRDefault="00000000">
      <w:pPr>
        <w:pStyle w:val="BodyText"/>
        <w:spacing w:before="65" w:line="249" w:lineRule="auto"/>
        <w:ind w:right="357"/>
      </w:pPr>
      <w:r>
        <w:lastRenderedPageBreak/>
        <w:t>(MS) “the last celestial body to disappear from the morning sky is identical with the first to appear in the evening sky” (which we’ve abbreviated as: “the morning star is identical with the evening star”).</w:t>
      </w:r>
    </w:p>
    <w:p w14:paraId="7E001270" w14:textId="77777777" w:rsidR="009A58DB" w:rsidRDefault="009A58DB">
      <w:pPr>
        <w:pStyle w:val="BodyText"/>
        <w:spacing w:before="18"/>
        <w:ind w:left="0"/>
        <w:jc w:val="left"/>
      </w:pPr>
    </w:p>
    <w:p w14:paraId="7E001271" w14:textId="77777777" w:rsidR="009A58DB" w:rsidRDefault="00000000">
      <w:pPr>
        <w:pStyle w:val="BodyText"/>
      </w:pPr>
      <w:r>
        <w:t>The</w:t>
      </w:r>
      <w:r>
        <w:rPr>
          <w:spacing w:val="-5"/>
        </w:rPr>
        <w:t xml:space="preserve"> </w:t>
      </w:r>
      <w:r>
        <w:t>proposition</w:t>
      </w:r>
      <w:r>
        <w:rPr>
          <w:spacing w:val="-2"/>
        </w:rPr>
        <w:t xml:space="preserve"> </w:t>
      </w:r>
      <w:r>
        <w:t>meant</w:t>
      </w:r>
      <w:r>
        <w:rPr>
          <w:spacing w:val="-3"/>
        </w:rPr>
        <w:t xml:space="preserve"> </w:t>
      </w:r>
      <w:r>
        <w:t>by</w:t>
      </w:r>
      <w:r>
        <w:rPr>
          <w:spacing w:val="-3"/>
        </w:rPr>
        <w:t xml:space="preserve"> </w:t>
      </w:r>
      <w:r>
        <w:t>MS</w:t>
      </w:r>
      <w:r>
        <w:rPr>
          <w:spacing w:val="-2"/>
        </w:rPr>
        <w:t xml:space="preserve"> </w:t>
      </w:r>
      <w:r>
        <w:rPr>
          <w:spacing w:val="-5"/>
        </w:rPr>
        <w:t>is:</w:t>
      </w:r>
    </w:p>
    <w:p w14:paraId="7E001272" w14:textId="77777777" w:rsidR="009A58DB" w:rsidRDefault="009A58DB">
      <w:pPr>
        <w:pStyle w:val="BodyText"/>
        <w:spacing w:before="30"/>
        <w:ind w:left="0"/>
        <w:jc w:val="left"/>
      </w:pPr>
    </w:p>
    <w:p w14:paraId="7E001273" w14:textId="77777777" w:rsidR="009A58DB" w:rsidRDefault="00000000">
      <w:pPr>
        <w:pStyle w:val="BodyText"/>
        <w:spacing w:line="249" w:lineRule="auto"/>
        <w:ind w:right="359"/>
      </w:pPr>
      <w:r>
        <w:t>(MSP) something is uniquely a last body to disappear from the morning sky, and anything having that property also uniquely has the property of being a first thing to appear in the evening sky.</w:t>
      </w:r>
    </w:p>
    <w:p w14:paraId="7E001274" w14:textId="77777777" w:rsidR="009A58DB" w:rsidRDefault="009A58DB">
      <w:pPr>
        <w:pStyle w:val="BodyText"/>
        <w:spacing w:before="19"/>
        <w:ind w:left="0"/>
        <w:jc w:val="left"/>
      </w:pPr>
    </w:p>
    <w:p w14:paraId="7E001275" w14:textId="77777777" w:rsidR="009A58DB" w:rsidRDefault="00000000">
      <w:pPr>
        <w:pStyle w:val="BodyText"/>
        <w:spacing w:line="249" w:lineRule="auto"/>
        <w:ind w:right="366"/>
      </w:pPr>
      <w:r>
        <w:t>MSP is a posteriori. But it’s also contingent. It wouldn’t be true if matter were differently distributed.</w:t>
      </w:r>
    </w:p>
    <w:p w14:paraId="7E001276" w14:textId="77777777" w:rsidR="009A58DB" w:rsidRDefault="00000000">
      <w:pPr>
        <w:pStyle w:val="BodyText"/>
        <w:spacing w:before="3" w:line="249" w:lineRule="auto"/>
        <w:ind w:right="366" w:firstLine="360"/>
      </w:pPr>
      <w:r>
        <w:t>Kripke is quite right that IHP has a necessarily true proposition for its meaning. But that proposition is also analytic and knowable a priori.</w:t>
      </w:r>
    </w:p>
    <w:p w14:paraId="7E001277" w14:textId="77777777" w:rsidR="009A58DB" w:rsidRDefault="00000000">
      <w:pPr>
        <w:pStyle w:val="BodyText"/>
        <w:spacing w:before="2" w:line="249" w:lineRule="auto"/>
        <w:ind w:right="358" w:firstLine="360"/>
        <w:rPr>
          <w:i/>
        </w:rPr>
      </w:pPr>
      <w:r>
        <w:t>Here’s why. We’ve agreed with Kripke that, for any property phi, “Hesperus” isn’t synonymous with ‹the phi.› And we’ve also agreed with Kripke, and with commonsense, that “Hesperus” is a referring expression—that, in other words, there is some object x such that “Hesperus” picks x out. Trivially, either “Hesperus” picks out this object through the mediation of a description</w:t>
      </w:r>
      <w:r>
        <w:rPr>
          <w:spacing w:val="-1"/>
        </w:rPr>
        <w:t xml:space="preserve"> </w:t>
      </w:r>
      <w:r>
        <w:t>or</w:t>
      </w:r>
      <w:r>
        <w:rPr>
          <w:spacing w:val="-1"/>
        </w:rPr>
        <w:t xml:space="preserve"> </w:t>
      </w:r>
      <w:r>
        <w:t>it</w:t>
      </w:r>
      <w:r>
        <w:rPr>
          <w:spacing w:val="-1"/>
        </w:rPr>
        <w:t xml:space="preserve"> </w:t>
      </w:r>
      <w:r>
        <w:t>doesn’t.</w:t>
      </w:r>
      <w:r>
        <w:rPr>
          <w:spacing w:val="-1"/>
        </w:rPr>
        <w:t xml:space="preserve"> </w:t>
      </w:r>
      <w:r>
        <w:t>In</w:t>
      </w:r>
      <w:r>
        <w:rPr>
          <w:spacing w:val="-1"/>
        </w:rPr>
        <w:t xml:space="preserve"> </w:t>
      </w:r>
      <w:r>
        <w:t>other</w:t>
      </w:r>
      <w:r>
        <w:rPr>
          <w:spacing w:val="-1"/>
        </w:rPr>
        <w:t xml:space="preserve"> </w:t>
      </w:r>
      <w:r>
        <w:t>words,</w:t>
      </w:r>
      <w:r>
        <w:rPr>
          <w:spacing w:val="-1"/>
        </w:rPr>
        <w:t xml:space="preserve"> </w:t>
      </w:r>
      <w:r>
        <w:t>supposing</w:t>
      </w:r>
      <w:r>
        <w:rPr>
          <w:spacing w:val="-1"/>
        </w:rPr>
        <w:t xml:space="preserve"> </w:t>
      </w:r>
      <w:r>
        <w:t>that</w:t>
      </w:r>
      <w:r>
        <w:rPr>
          <w:spacing w:val="-1"/>
        </w:rPr>
        <w:t xml:space="preserve"> </w:t>
      </w:r>
      <w:r>
        <w:t>O</w:t>
      </w:r>
      <w:r>
        <w:rPr>
          <w:spacing w:val="-1"/>
        </w:rPr>
        <w:t xml:space="preserve"> </w:t>
      </w:r>
      <w:r>
        <w:t>is</w:t>
      </w:r>
      <w:r>
        <w:rPr>
          <w:spacing w:val="-1"/>
        </w:rPr>
        <w:t xml:space="preserve"> </w:t>
      </w:r>
      <w:r>
        <w:t>what</w:t>
      </w:r>
      <w:r>
        <w:rPr>
          <w:spacing w:val="-1"/>
        </w:rPr>
        <w:t xml:space="preserve"> </w:t>
      </w:r>
      <w:r>
        <w:t xml:space="preserve">“Hesperus” picks out, it either is, or is not, by virtue of O’s fitting some description that “Hesperus” picks out it. If it is, then “Hesperus” is </w:t>
      </w:r>
      <w:r>
        <w:rPr>
          <w:i/>
        </w:rPr>
        <w:t>ipso facto</w:t>
      </w:r>
      <w:r>
        <w:rPr>
          <w:i/>
          <w:spacing w:val="40"/>
        </w:rPr>
        <w:t xml:space="preserve"> </w:t>
      </w:r>
      <w:r>
        <w:t xml:space="preserve">a non-rigid designator—a definite description. For supposing that the description that O must satisfy is </w:t>
      </w:r>
      <w:r>
        <w:rPr>
          <w:i/>
        </w:rPr>
        <w:t xml:space="preserve">unique thing having phi, </w:t>
      </w:r>
      <w:r>
        <w:t>“Hesperus” must be synonymous</w:t>
      </w:r>
      <w:r>
        <w:rPr>
          <w:spacing w:val="40"/>
        </w:rPr>
        <w:t xml:space="preserve"> </w:t>
      </w:r>
      <w:r>
        <w:t xml:space="preserve">with ‹the phi.› But we know, from Kripke himself, that “Hesperus” is not synonymous with any such expression. So “Hesperus” does </w:t>
      </w:r>
      <w:r>
        <w:rPr>
          <w:i/>
        </w:rPr>
        <w:t xml:space="preserve">not </w:t>
      </w:r>
      <w:r>
        <w:t xml:space="preserve">refer to O through the mediation of a description. It picks O out—but </w:t>
      </w:r>
      <w:r>
        <w:rPr>
          <w:i/>
        </w:rPr>
        <w:t>not</w:t>
      </w:r>
      <w:r>
        <w:rPr>
          <w:i/>
          <w:spacing w:val="-3"/>
        </w:rPr>
        <w:t xml:space="preserve"> </w:t>
      </w:r>
      <w:r>
        <w:t xml:space="preserve">because it has this or that property. It picks it out because the semantic rule for “Hesperus” is to the effect that, no matter what properties O has, “Hesperus” is to pick it out—because, in other words, “Hesperus” picks out O, this not being contingent on O’s satisfying any condition (other than its being O). Thus, there is some object x (namely, O) such that the semantic rule for “Hesperus” is to the effect that, no matter how O is, “Hesperus” picks it out. In other words, “Hesperus” </w:t>
      </w:r>
      <w:r>
        <w:rPr>
          <w:i/>
        </w:rPr>
        <w:t xml:space="preserve">picks out O directly. </w:t>
      </w:r>
      <w:r>
        <w:t xml:space="preserve">It is </w:t>
      </w:r>
      <w:r>
        <w:rPr>
          <w:i/>
        </w:rPr>
        <w:t>directly referential.</w:t>
      </w:r>
    </w:p>
    <w:p w14:paraId="7E001278" w14:textId="77777777" w:rsidR="009A58DB" w:rsidRDefault="00000000">
      <w:pPr>
        <w:pStyle w:val="BodyText"/>
        <w:spacing w:before="25"/>
        <w:ind w:left="720"/>
      </w:pPr>
      <w:r>
        <w:t>A</w:t>
      </w:r>
      <w:r>
        <w:rPr>
          <w:spacing w:val="2"/>
        </w:rPr>
        <w:t xml:space="preserve"> </w:t>
      </w:r>
      <w:r>
        <w:t>consequence</w:t>
      </w:r>
      <w:r>
        <w:rPr>
          <w:spacing w:val="3"/>
        </w:rPr>
        <w:t xml:space="preserve"> </w:t>
      </w:r>
      <w:r>
        <w:t>is,</w:t>
      </w:r>
      <w:r>
        <w:rPr>
          <w:spacing w:val="3"/>
        </w:rPr>
        <w:t xml:space="preserve"> </w:t>
      </w:r>
      <w:r>
        <w:t>for</w:t>
      </w:r>
      <w:r>
        <w:rPr>
          <w:spacing w:val="3"/>
        </w:rPr>
        <w:t xml:space="preserve"> </w:t>
      </w:r>
      <w:r>
        <w:t>some</w:t>
      </w:r>
      <w:r>
        <w:rPr>
          <w:spacing w:val="3"/>
        </w:rPr>
        <w:t xml:space="preserve"> </w:t>
      </w:r>
      <w:r>
        <w:t>object</w:t>
      </w:r>
      <w:r>
        <w:rPr>
          <w:spacing w:val="3"/>
        </w:rPr>
        <w:t xml:space="preserve"> </w:t>
      </w:r>
      <w:r>
        <w:t>x</w:t>
      </w:r>
      <w:r>
        <w:rPr>
          <w:spacing w:val="3"/>
        </w:rPr>
        <w:t xml:space="preserve"> </w:t>
      </w:r>
      <w:r>
        <w:t>(such</w:t>
      </w:r>
      <w:r>
        <w:rPr>
          <w:spacing w:val="2"/>
        </w:rPr>
        <w:t xml:space="preserve"> </w:t>
      </w:r>
      <w:r>
        <w:t>that</w:t>
      </w:r>
      <w:r>
        <w:rPr>
          <w:spacing w:val="3"/>
        </w:rPr>
        <w:t xml:space="preserve"> </w:t>
      </w:r>
      <w:r>
        <w:t>x</w:t>
      </w:r>
      <w:r>
        <w:rPr>
          <w:spacing w:val="3"/>
        </w:rPr>
        <w:t xml:space="preserve"> </w:t>
      </w:r>
      <w:r>
        <w:t>is</w:t>
      </w:r>
      <w:r>
        <w:rPr>
          <w:spacing w:val="3"/>
        </w:rPr>
        <w:t xml:space="preserve"> </w:t>
      </w:r>
      <w:r>
        <w:t>Hesperus)</w:t>
      </w:r>
      <w:r>
        <w:rPr>
          <w:spacing w:val="3"/>
        </w:rPr>
        <w:t xml:space="preserve"> </w:t>
      </w:r>
      <w:r>
        <w:t>such</w:t>
      </w:r>
      <w:r>
        <w:rPr>
          <w:spacing w:val="3"/>
        </w:rPr>
        <w:t xml:space="preserve"> </w:t>
      </w:r>
      <w:r>
        <w:t>that,</w:t>
      </w:r>
      <w:r>
        <w:rPr>
          <w:spacing w:val="3"/>
        </w:rPr>
        <w:t xml:space="preserve"> </w:t>
      </w:r>
      <w:r>
        <w:rPr>
          <w:spacing w:val="-5"/>
        </w:rPr>
        <w:t>in</w:t>
      </w:r>
    </w:p>
    <w:p w14:paraId="7E001279" w14:textId="77777777" w:rsidR="009A58DB" w:rsidRDefault="009A58DB">
      <w:pPr>
        <w:pStyle w:val="BodyText"/>
        <w:sectPr w:rsidR="009A58DB">
          <w:pgSz w:w="12240" w:h="15840"/>
          <w:pgMar w:top="1740" w:right="1080" w:bottom="280" w:left="1080" w:header="720" w:footer="720" w:gutter="0"/>
          <w:cols w:space="720"/>
        </w:sectPr>
      </w:pPr>
    </w:p>
    <w:p w14:paraId="7E00127A" w14:textId="77777777" w:rsidR="009A58DB" w:rsidRDefault="00000000">
      <w:pPr>
        <w:pStyle w:val="BodyText"/>
        <w:spacing w:before="65" w:line="249" w:lineRule="auto"/>
        <w:ind w:right="359"/>
      </w:pPr>
      <w:r>
        <w:lastRenderedPageBreak/>
        <w:t>virtue of having the form, ‹Hesperus has psi›, a sentence is true if and only if x</w:t>
      </w:r>
      <w:r>
        <w:rPr>
          <w:spacing w:val="-3"/>
        </w:rPr>
        <w:t xml:space="preserve"> </w:t>
      </w:r>
      <w:r>
        <w:t>has</w:t>
      </w:r>
      <w:r>
        <w:rPr>
          <w:spacing w:val="-3"/>
        </w:rPr>
        <w:t xml:space="preserve"> </w:t>
      </w:r>
      <w:r>
        <w:t>phi.</w:t>
      </w:r>
      <w:r>
        <w:rPr>
          <w:spacing w:val="-3"/>
        </w:rPr>
        <w:t xml:space="preserve"> </w:t>
      </w:r>
      <w:r>
        <w:t>For</w:t>
      </w:r>
      <w:r>
        <w:rPr>
          <w:spacing w:val="-3"/>
        </w:rPr>
        <w:t xml:space="preserve"> </w:t>
      </w:r>
      <w:r>
        <w:t>exactly</w:t>
      </w:r>
      <w:r>
        <w:rPr>
          <w:spacing w:val="-3"/>
        </w:rPr>
        <w:t xml:space="preserve"> </w:t>
      </w:r>
      <w:r>
        <w:t>similar</w:t>
      </w:r>
      <w:r>
        <w:rPr>
          <w:spacing w:val="-3"/>
        </w:rPr>
        <w:t xml:space="preserve"> </w:t>
      </w:r>
      <w:r>
        <w:t>reasons,</w:t>
      </w:r>
      <w:r>
        <w:rPr>
          <w:spacing w:val="-3"/>
        </w:rPr>
        <w:t xml:space="preserve"> </w:t>
      </w:r>
      <w:r>
        <w:t>“Phosphorous”</w:t>
      </w:r>
      <w:r>
        <w:rPr>
          <w:spacing w:val="-3"/>
        </w:rPr>
        <w:t xml:space="preserve"> </w:t>
      </w:r>
      <w:r>
        <w:t>is</w:t>
      </w:r>
      <w:r>
        <w:rPr>
          <w:spacing w:val="-3"/>
        </w:rPr>
        <w:t xml:space="preserve"> </w:t>
      </w:r>
      <w:r>
        <w:t>directly</w:t>
      </w:r>
      <w:r>
        <w:rPr>
          <w:spacing w:val="-3"/>
        </w:rPr>
        <w:t xml:space="preserve"> </w:t>
      </w:r>
      <w:r>
        <w:t>referential.</w:t>
      </w:r>
      <w:r>
        <w:rPr>
          <w:spacing w:val="-3"/>
        </w:rPr>
        <w:t xml:space="preserve"> </w:t>
      </w:r>
      <w:r>
        <w:t>It co-refers with “Hesperus.” Thus, there is some object x (such that x is Hesperus</w:t>
      </w:r>
      <w:r>
        <w:rPr>
          <w:spacing w:val="-2"/>
        </w:rPr>
        <w:t xml:space="preserve"> </w:t>
      </w:r>
      <w:r>
        <w:t>and</w:t>
      </w:r>
      <w:r>
        <w:rPr>
          <w:spacing w:val="-2"/>
        </w:rPr>
        <w:t xml:space="preserve"> </w:t>
      </w:r>
      <w:r>
        <w:t>Phosphorous)</w:t>
      </w:r>
      <w:r>
        <w:rPr>
          <w:spacing w:val="-2"/>
        </w:rPr>
        <w:t xml:space="preserve"> </w:t>
      </w:r>
      <w:r>
        <w:t>such</w:t>
      </w:r>
      <w:r>
        <w:rPr>
          <w:spacing w:val="-2"/>
        </w:rPr>
        <w:t xml:space="preserve"> </w:t>
      </w:r>
      <w:r>
        <w:t>that,</w:t>
      </w:r>
      <w:r>
        <w:rPr>
          <w:spacing w:val="-2"/>
        </w:rPr>
        <w:t xml:space="preserve"> </w:t>
      </w:r>
      <w:r>
        <w:t>in</w:t>
      </w:r>
      <w:r>
        <w:rPr>
          <w:spacing w:val="-2"/>
        </w:rPr>
        <w:t xml:space="preserve"> </w:t>
      </w:r>
      <w:r>
        <w:t>virtue</w:t>
      </w:r>
      <w:r>
        <w:rPr>
          <w:spacing w:val="-2"/>
        </w:rPr>
        <w:t xml:space="preserve"> </w:t>
      </w:r>
      <w:r>
        <w:t>of</w:t>
      </w:r>
      <w:r>
        <w:rPr>
          <w:spacing w:val="-2"/>
        </w:rPr>
        <w:t xml:space="preserve"> </w:t>
      </w:r>
      <w:r>
        <w:t>having</w:t>
      </w:r>
      <w:r>
        <w:rPr>
          <w:spacing w:val="-2"/>
        </w:rPr>
        <w:t xml:space="preserve"> </w:t>
      </w:r>
      <w:r>
        <w:t>the</w:t>
      </w:r>
      <w:r>
        <w:rPr>
          <w:spacing w:val="-2"/>
        </w:rPr>
        <w:t xml:space="preserve"> </w:t>
      </w:r>
      <w:r>
        <w:t>form,</w:t>
      </w:r>
      <w:r>
        <w:rPr>
          <w:spacing w:val="-2"/>
        </w:rPr>
        <w:t xml:space="preserve"> </w:t>
      </w:r>
      <w:r>
        <w:t xml:space="preserve">‹Hesperus has psi›, a sentence is true if and only if x has phi and such that, in virtue of having the form, ‹Phosphorous has psi›, a sentence is true if and only if x has phi. Thus, ‹Hesperus has psi›and ‹Phosphorous has psi› </w:t>
      </w:r>
      <w:r>
        <w:rPr>
          <w:i/>
        </w:rPr>
        <w:t xml:space="preserve">have the very same literal meaning. </w:t>
      </w:r>
      <w:r>
        <w:t>In general, inter-substituting “Hesperus” and “Phosphorous” doesn’t change literal meaning. (This is entirely consistent with the fact such inter-substitutions may dramatically change suggested meaning, the reason being that one may learn what those two words refer to under very different circumstances and thus in connection with very different bodies of</w:t>
      </w:r>
      <w:r>
        <w:rPr>
          <w:spacing w:val="40"/>
        </w:rPr>
        <w:t xml:space="preserve"> </w:t>
      </w:r>
      <w:r>
        <w:t>descriptive data. The way the “referent is fixed” will obviously affect the connotation of sentences containing the word in question, even though it won’t affect the literal meanings of such sentences.) Given that such inter-substitutions preserve meaning, it follows that:</w:t>
      </w:r>
    </w:p>
    <w:p w14:paraId="7E00127B" w14:textId="77777777" w:rsidR="009A58DB" w:rsidRDefault="009A58DB">
      <w:pPr>
        <w:pStyle w:val="BodyText"/>
        <w:spacing w:before="34"/>
        <w:ind w:left="0"/>
        <w:jc w:val="left"/>
      </w:pPr>
    </w:p>
    <w:p w14:paraId="7E00127C" w14:textId="77777777" w:rsidR="009A58DB" w:rsidRDefault="00000000">
      <w:pPr>
        <w:pStyle w:val="BodyText"/>
        <w:spacing w:line="501" w:lineRule="auto"/>
        <w:ind w:right="3962"/>
      </w:pPr>
      <w:r>
        <w:t>(IHP)</w:t>
      </w:r>
      <w:r>
        <w:rPr>
          <w:spacing w:val="-9"/>
        </w:rPr>
        <w:t xml:space="preserve"> </w:t>
      </w:r>
      <w:r>
        <w:t>“Hesperus</w:t>
      </w:r>
      <w:r>
        <w:rPr>
          <w:spacing w:val="-9"/>
        </w:rPr>
        <w:t xml:space="preserve"> </w:t>
      </w:r>
      <w:r>
        <w:t>is</w:t>
      </w:r>
      <w:r>
        <w:rPr>
          <w:spacing w:val="-9"/>
        </w:rPr>
        <w:t xml:space="preserve"> </w:t>
      </w:r>
      <w:r>
        <w:t>identical</w:t>
      </w:r>
      <w:r>
        <w:rPr>
          <w:spacing w:val="-9"/>
        </w:rPr>
        <w:t xml:space="preserve"> </w:t>
      </w:r>
      <w:r>
        <w:t>with</w:t>
      </w:r>
      <w:r>
        <w:rPr>
          <w:spacing w:val="-8"/>
        </w:rPr>
        <w:t xml:space="preserve"> </w:t>
      </w:r>
      <w:r>
        <w:t>Phosphorous” has the same literal meaning as</w:t>
      </w:r>
    </w:p>
    <w:p w14:paraId="7E00127D" w14:textId="77777777" w:rsidR="009A58DB" w:rsidRDefault="00000000">
      <w:pPr>
        <w:pStyle w:val="BodyText"/>
        <w:spacing w:line="343" w:lineRule="exact"/>
      </w:pPr>
      <w:r>
        <w:t>(IHH)</w:t>
      </w:r>
      <w:r>
        <w:rPr>
          <w:spacing w:val="-7"/>
        </w:rPr>
        <w:t xml:space="preserve"> </w:t>
      </w:r>
      <w:r>
        <w:t>“Hesperus</w:t>
      </w:r>
      <w:r>
        <w:rPr>
          <w:spacing w:val="-5"/>
        </w:rPr>
        <w:t xml:space="preserve"> </w:t>
      </w:r>
      <w:r>
        <w:t>is</w:t>
      </w:r>
      <w:r>
        <w:rPr>
          <w:spacing w:val="-5"/>
        </w:rPr>
        <w:t xml:space="preserve"> </w:t>
      </w:r>
      <w:r>
        <w:t>identical</w:t>
      </w:r>
      <w:r>
        <w:rPr>
          <w:spacing w:val="-5"/>
        </w:rPr>
        <w:t xml:space="preserve"> </w:t>
      </w:r>
      <w:r>
        <w:t>with</w:t>
      </w:r>
      <w:r>
        <w:rPr>
          <w:spacing w:val="-4"/>
        </w:rPr>
        <w:t xml:space="preserve"> </w:t>
      </w:r>
      <w:r>
        <w:rPr>
          <w:spacing w:val="-2"/>
        </w:rPr>
        <w:t>Hesperus”</w:t>
      </w:r>
    </w:p>
    <w:p w14:paraId="7E00127E" w14:textId="77777777" w:rsidR="009A58DB" w:rsidRDefault="009A58DB">
      <w:pPr>
        <w:pStyle w:val="BodyText"/>
        <w:spacing w:before="30"/>
        <w:ind w:left="0"/>
        <w:jc w:val="left"/>
      </w:pPr>
    </w:p>
    <w:p w14:paraId="7E00127F" w14:textId="77777777" w:rsidR="009A58DB" w:rsidRDefault="00000000">
      <w:pPr>
        <w:pStyle w:val="BodyText"/>
        <w:spacing w:line="249" w:lineRule="auto"/>
        <w:ind w:right="358"/>
      </w:pPr>
      <w:r>
        <w:t xml:space="preserve">(even though, given how it is typically made known what these words refer to, they have very different non-literal connotations). We’ve agreed that, for some x, each of ‹Hesperus has psi› and ‹Phosphorous has psi› is true just in case x has phi. It follows that, for some x, each of IHP and IHH is true just in case x has the property of being identical with x. Thus, for some x, IHP </w:t>
      </w:r>
      <w:r>
        <w:rPr>
          <w:spacing w:val="-2"/>
        </w:rPr>
        <w:t>means:</w:t>
      </w:r>
    </w:p>
    <w:p w14:paraId="7E001280" w14:textId="77777777" w:rsidR="009A58DB" w:rsidRDefault="009A58DB">
      <w:pPr>
        <w:pStyle w:val="BodyText"/>
        <w:spacing w:before="23"/>
        <w:ind w:left="0"/>
        <w:jc w:val="left"/>
      </w:pPr>
    </w:p>
    <w:p w14:paraId="7E001281" w14:textId="77777777" w:rsidR="009A58DB" w:rsidRDefault="00000000">
      <w:pPr>
        <w:pStyle w:val="BodyText"/>
      </w:pPr>
      <w:r>
        <w:t>(XSI)</w:t>
      </w:r>
      <w:r>
        <w:rPr>
          <w:spacing w:val="-3"/>
        </w:rPr>
        <w:t xml:space="preserve"> </w:t>
      </w:r>
      <w:r>
        <w:t>x</w:t>
      </w:r>
      <w:r>
        <w:rPr>
          <w:spacing w:val="-2"/>
        </w:rPr>
        <w:t xml:space="preserve"> </w:t>
      </w:r>
      <w:r>
        <w:t>is</w:t>
      </w:r>
      <w:r>
        <w:rPr>
          <w:spacing w:val="-2"/>
        </w:rPr>
        <w:t xml:space="preserve"> </w:t>
      </w:r>
      <w:r>
        <w:rPr>
          <w:spacing w:val="-5"/>
        </w:rPr>
        <w:t>x.</w:t>
      </w:r>
    </w:p>
    <w:p w14:paraId="7E001282" w14:textId="77777777" w:rsidR="009A58DB" w:rsidRDefault="009A58DB">
      <w:pPr>
        <w:pStyle w:val="BodyText"/>
        <w:spacing w:before="30"/>
        <w:ind w:left="0"/>
        <w:jc w:val="left"/>
      </w:pPr>
    </w:p>
    <w:p w14:paraId="7E001283" w14:textId="77777777" w:rsidR="009A58DB" w:rsidRDefault="00000000">
      <w:pPr>
        <w:pStyle w:val="BodyText"/>
      </w:pPr>
      <w:r>
        <w:t>And</w:t>
      </w:r>
      <w:r>
        <w:rPr>
          <w:spacing w:val="-5"/>
        </w:rPr>
        <w:t xml:space="preserve"> </w:t>
      </w:r>
      <w:r>
        <w:t>XSI</w:t>
      </w:r>
      <w:r>
        <w:rPr>
          <w:spacing w:val="-3"/>
        </w:rPr>
        <w:t xml:space="preserve"> </w:t>
      </w:r>
      <w:r>
        <w:t>is</w:t>
      </w:r>
      <w:r>
        <w:rPr>
          <w:spacing w:val="-3"/>
        </w:rPr>
        <w:t xml:space="preserve"> </w:t>
      </w:r>
      <w:r>
        <w:t>an</w:t>
      </w:r>
      <w:r>
        <w:rPr>
          <w:spacing w:val="-3"/>
        </w:rPr>
        <w:t xml:space="preserve"> </w:t>
      </w:r>
      <w:r>
        <w:t>analytic,</w:t>
      </w:r>
      <w:r>
        <w:rPr>
          <w:spacing w:val="-2"/>
        </w:rPr>
        <w:t xml:space="preserve"> </w:t>
      </w:r>
      <w:r>
        <w:t>a</w:t>
      </w:r>
      <w:r>
        <w:rPr>
          <w:spacing w:val="-3"/>
        </w:rPr>
        <w:t xml:space="preserve"> </w:t>
      </w:r>
      <w:r>
        <w:t>priori</w:t>
      </w:r>
      <w:r>
        <w:rPr>
          <w:spacing w:val="-4"/>
        </w:rPr>
        <w:t xml:space="preserve"> </w:t>
      </w:r>
      <w:r>
        <w:t>knowable</w:t>
      </w:r>
      <w:r>
        <w:rPr>
          <w:spacing w:val="-3"/>
        </w:rPr>
        <w:t xml:space="preserve"> </w:t>
      </w:r>
      <w:r>
        <w:t>proposition</w:t>
      </w:r>
      <w:r>
        <w:rPr>
          <w:spacing w:val="-2"/>
        </w:rPr>
        <w:t xml:space="preserve"> </w:t>
      </w:r>
      <w:r>
        <w:t>if</w:t>
      </w:r>
      <w:r>
        <w:rPr>
          <w:spacing w:val="-4"/>
        </w:rPr>
        <w:t xml:space="preserve"> </w:t>
      </w:r>
      <w:r>
        <w:t>ever</w:t>
      </w:r>
      <w:r>
        <w:rPr>
          <w:spacing w:val="-3"/>
        </w:rPr>
        <w:t xml:space="preserve"> </w:t>
      </w:r>
      <w:r>
        <w:t>there</w:t>
      </w:r>
      <w:r>
        <w:rPr>
          <w:spacing w:val="-3"/>
        </w:rPr>
        <w:t xml:space="preserve"> </w:t>
      </w:r>
      <w:r>
        <w:t>was</w:t>
      </w:r>
      <w:r>
        <w:rPr>
          <w:spacing w:val="-3"/>
        </w:rPr>
        <w:t xml:space="preserve"> </w:t>
      </w:r>
      <w:r>
        <w:rPr>
          <w:spacing w:val="-4"/>
        </w:rPr>
        <w:t>one.</w:t>
      </w:r>
    </w:p>
    <w:p w14:paraId="7E001284" w14:textId="77777777" w:rsidR="009A58DB" w:rsidRDefault="00000000">
      <w:pPr>
        <w:pStyle w:val="BodyText"/>
        <w:spacing w:before="15" w:line="249" w:lineRule="auto"/>
        <w:ind w:right="358" w:firstLine="360"/>
      </w:pPr>
      <w:r>
        <w:t>There is no a posteriori necessary truth. It appears otherwise only if one fails to distinguish sentences from the propositions that are their meanings. The</w:t>
      </w:r>
      <w:r>
        <w:rPr>
          <w:spacing w:val="-5"/>
        </w:rPr>
        <w:t xml:space="preserve"> </w:t>
      </w:r>
      <w:r>
        <w:t>gulf</w:t>
      </w:r>
      <w:r>
        <w:rPr>
          <w:spacing w:val="-3"/>
        </w:rPr>
        <w:t xml:space="preserve"> </w:t>
      </w:r>
      <w:r>
        <w:t>between</w:t>
      </w:r>
      <w:r>
        <w:rPr>
          <w:spacing w:val="-2"/>
        </w:rPr>
        <w:t xml:space="preserve"> </w:t>
      </w:r>
      <w:r>
        <w:t>the</w:t>
      </w:r>
      <w:r>
        <w:rPr>
          <w:spacing w:val="-3"/>
        </w:rPr>
        <w:t xml:space="preserve"> </w:t>
      </w:r>
      <w:r>
        <w:t>two</w:t>
      </w:r>
      <w:r>
        <w:rPr>
          <w:spacing w:val="-2"/>
        </w:rPr>
        <w:t xml:space="preserve"> </w:t>
      </w:r>
      <w:r>
        <w:t>can</w:t>
      </w:r>
      <w:r>
        <w:rPr>
          <w:spacing w:val="-1"/>
        </w:rPr>
        <w:t xml:space="preserve"> </w:t>
      </w:r>
      <w:r>
        <w:t>be</w:t>
      </w:r>
      <w:r>
        <w:rPr>
          <w:spacing w:val="-3"/>
        </w:rPr>
        <w:t xml:space="preserve"> </w:t>
      </w:r>
      <w:r>
        <w:t>large.</w:t>
      </w:r>
      <w:r>
        <w:rPr>
          <w:spacing w:val="-2"/>
        </w:rPr>
        <w:t xml:space="preserve"> </w:t>
      </w:r>
      <w:r>
        <w:t>This</w:t>
      </w:r>
      <w:r>
        <w:rPr>
          <w:spacing w:val="-3"/>
        </w:rPr>
        <w:t xml:space="preserve"> </w:t>
      </w:r>
      <w:r>
        <w:t>is</w:t>
      </w:r>
      <w:r>
        <w:rPr>
          <w:spacing w:val="-3"/>
        </w:rPr>
        <w:t xml:space="preserve"> </w:t>
      </w:r>
      <w:r>
        <w:t>but</w:t>
      </w:r>
      <w:r>
        <w:rPr>
          <w:spacing w:val="-2"/>
        </w:rPr>
        <w:t xml:space="preserve"> </w:t>
      </w:r>
      <w:r>
        <w:t>another</w:t>
      </w:r>
      <w:r>
        <w:rPr>
          <w:spacing w:val="-3"/>
        </w:rPr>
        <w:t xml:space="preserve"> </w:t>
      </w:r>
      <w:r>
        <w:t>example</w:t>
      </w:r>
      <w:r>
        <w:rPr>
          <w:spacing w:val="-3"/>
        </w:rPr>
        <w:t xml:space="preserve"> </w:t>
      </w:r>
      <w:r>
        <w:t>of</w:t>
      </w:r>
      <w:r>
        <w:rPr>
          <w:spacing w:val="-3"/>
        </w:rPr>
        <w:t xml:space="preserve"> </w:t>
      </w:r>
      <w:r>
        <w:t>the</w:t>
      </w:r>
      <w:r>
        <w:rPr>
          <w:spacing w:val="-2"/>
        </w:rPr>
        <w:t xml:space="preserve"> </w:t>
      </w:r>
      <w:r>
        <w:rPr>
          <w:spacing w:val="-4"/>
        </w:rPr>
        <w:t>fact</w:t>
      </w:r>
    </w:p>
    <w:p w14:paraId="7E00128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86" w14:textId="77777777" w:rsidR="009A58DB" w:rsidRDefault="00000000">
      <w:pPr>
        <w:pStyle w:val="BodyText"/>
        <w:spacing w:before="65" w:line="249" w:lineRule="auto"/>
        <w:ind w:right="359"/>
      </w:pPr>
      <w:r>
        <w:lastRenderedPageBreak/>
        <w:t>that metaphysics can’t be read off of sentential structure. Kripke’s disregard for this shibboleth of analytic philosophy comes as a shock. But that shock is nothing compared to the one we’re in for.</w:t>
      </w:r>
    </w:p>
    <w:p w14:paraId="7E001287" w14:textId="77777777" w:rsidR="009A58DB" w:rsidRDefault="00000000">
      <w:pPr>
        <w:pStyle w:val="Heading1"/>
        <w:numPr>
          <w:ilvl w:val="1"/>
          <w:numId w:val="155"/>
        </w:numPr>
        <w:tabs>
          <w:tab w:val="left" w:pos="990"/>
        </w:tabs>
        <w:spacing w:before="191"/>
      </w:pPr>
      <w:r>
        <w:t>A</w:t>
      </w:r>
      <w:r>
        <w:rPr>
          <w:spacing w:val="-5"/>
        </w:rPr>
        <w:t xml:space="preserve"> </w:t>
      </w:r>
      <w:r>
        <w:t>cure</w:t>
      </w:r>
      <w:r>
        <w:rPr>
          <w:spacing w:val="-3"/>
        </w:rPr>
        <w:t xml:space="preserve"> </w:t>
      </w:r>
      <w:r>
        <w:t>for</w:t>
      </w:r>
      <w:r>
        <w:rPr>
          <w:spacing w:val="-3"/>
        </w:rPr>
        <w:t xml:space="preserve"> </w:t>
      </w:r>
      <w:r>
        <w:t>Nathan</w:t>
      </w:r>
      <w:r>
        <w:rPr>
          <w:spacing w:val="-2"/>
        </w:rPr>
        <w:t xml:space="preserve"> Salmonella</w:t>
      </w:r>
    </w:p>
    <w:p w14:paraId="7E001288" w14:textId="77777777" w:rsidR="009A58DB" w:rsidRDefault="00000000">
      <w:pPr>
        <w:pStyle w:val="BodyText"/>
        <w:spacing w:before="139" w:line="249" w:lineRule="auto"/>
        <w:ind w:right="361"/>
      </w:pPr>
      <w:r>
        <w:t xml:space="preserve">Kripke (1979) wrote an article in which he put forth a new argument (one not stated in </w:t>
      </w:r>
      <w:r>
        <w:rPr>
          <w:i/>
        </w:rPr>
        <w:t>Naming and Necessity</w:t>
      </w:r>
      <w:r>
        <w:t>) as to why the Russell-Frege analysis of the non-triviality of IHP fails. Pierre is a monolingual speaker of French. He reads many books about London (which he knows as “Londres”). On the basis of the information contained in those books, he draws the rational inference that London is a beautiful city. Expressing this belief, he says:</w:t>
      </w:r>
    </w:p>
    <w:p w14:paraId="7E001289" w14:textId="77777777" w:rsidR="009A58DB" w:rsidRDefault="009A58DB">
      <w:pPr>
        <w:pStyle w:val="BodyText"/>
        <w:spacing w:before="23"/>
        <w:ind w:left="0"/>
        <w:jc w:val="left"/>
      </w:pPr>
    </w:p>
    <w:p w14:paraId="7E00128A" w14:textId="77777777" w:rsidR="009A58DB" w:rsidRDefault="00000000">
      <w:pPr>
        <w:pStyle w:val="ListParagraph"/>
        <w:numPr>
          <w:ilvl w:val="0"/>
          <w:numId w:val="154"/>
        </w:numPr>
        <w:tabs>
          <w:tab w:val="left" w:pos="782"/>
        </w:tabs>
        <w:ind w:left="782" w:hanging="422"/>
        <w:rPr>
          <w:sz w:val="30"/>
        </w:rPr>
      </w:pPr>
      <w:r>
        <w:rPr>
          <w:sz w:val="30"/>
        </w:rPr>
        <w:t>“Londres</w:t>
      </w:r>
      <w:r>
        <w:rPr>
          <w:spacing w:val="-4"/>
          <w:sz w:val="30"/>
        </w:rPr>
        <w:t xml:space="preserve"> </w:t>
      </w:r>
      <w:r>
        <w:rPr>
          <w:sz w:val="30"/>
        </w:rPr>
        <w:t>est</w:t>
      </w:r>
      <w:r>
        <w:rPr>
          <w:spacing w:val="-4"/>
          <w:sz w:val="30"/>
        </w:rPr>
        <w:t xml:space="preserve"> </w:t>
      </w:r>
      <w:r>
        <w:rPr>
          <w:spacing w:val="-2"/>
          <w:sz w:val="30"/>
        </w:rPr>
        <w:t>jolie.”</w:t>
      </w:r>
    </w:p>
    <w:p w14:paraId="7E00128B" w14:textId="77777777" w:rsidR="009A58DB" w:rsidRDefault="009A58DB">
      <w:pPr>
        <w:pStyle w:val="BodyText"/>
        <w:spacing w:before="30"/>
        <w:ind w:left="0"/>
        <w:jc w:val="left"/>
      </w:pPr>
    </w:p>
    <w:p w14:paraId="7E00128C" w14:textId="77777777" w:rsidR="009A58DB" w:rsidRDefault="00000000">
      <w:pPr>
        <w:pStyle w:val="BodyText"/>
        <w:spacing w:line="249" w:lineRule="auto"/>
        <w:ind w:right="369"/>
      </w:pPr>
      <w:r>
        <w:t xml:space="preserve">It is to be emphasized that, given the data at his disposal, it is </w:t>
      </w:r>
      <w:r>
        <w:rPr>
          <w:i/>
        </w:rPr>
        <w:t xml:space="preserve">rational </w:t>
      </w:r>
      <w:r>
        <w:t>of Pierre to accept (1).</w:t>
      </w:r>
    </w:p>
    <w:p w14:paraId="7E00128D" w14:textId="77777777" w:rsidR="009A58DB" w:rsidRDefault="00000000">
      <w:pPr>
        <w:pStyle w:val="BodyText"/>
        <w:spacing w:before="2" w:line="249" w:lineRule="auto"/>
        <w:ind w:right="361" w:firstLine="360"/>
      </w:pPr>
      <w:r>
        <w:t>Our story continues. Pierre is kidnapped and forced to live in a terrible</w:t>
      </w:r>
      <w:r>
        <w:rPr>
          <w:spacing w:val="40"/>
        </w:rPr>
        <w:t xml:space="preserve"> </w:t>
      </w:r>
      <w:r>
        <w:t>part of London. He doesn’t know that he’s living in the city known to him as “Londres.” He learns English, but he learns it as one learns a first language. In other words, he doesn’t learn what English words mean by learning what their French translations are—he learns them the way that a native speaker of English</w:t>
      </w:r>
      <w:r>
        <w:rPr>
          <w:spacing w:val="-3"/>
        </w:rPr>
        <w:t xml:space="preserve"> </w:t>
      </w:r>
      <w:r>
        <w:t>learns</w:t>
      </w:r>
      <w:r>
        <w:rPr>
          <w:spacing w:val="-2"/>
        </w:rPr>
        <w:t xml:space="preserve"> </w:t>
      </w:r>
      <w:r>
        <w:t>them.</w:t>
      </w:r>
      <w:r>
        <w:rPr>
          <w:spacing w:val="-2"/>
        </w:rPr>
        <w:t xml:space="preserve"> </w:t>
      </w:r>
      <w:r>
        <w:t>He</w:t>
      </w:r>
      <w:r>
        <w:rPr>
          <w:spacing w:val="-2"/>
        </w:rPr>
        <w:t xml:space="preserve"> </w:t>
      </w:r>
      <w:r>
        <w:t>learns</w:t>
      </w:r>
      <w:r>
        <w:rPr>
          <w:spacing w:val="-2"/>
        </w:rPr>
        <w:t xml:space="preserve"> </w:t>
      </w:r>
      <w:r>
        <w:t>what</w:t>
      </w:r>
      <w:r>
        <w:rPr>
          <w:spacing w:val="-2"/>
        </w:rPr>
        <w:t xml:space="preserve"> </w:t>
      </w:r>
      <w:r>
        <w:t>“snow”</w:t>
      </w:r>
      <w:r>
        <w:rPr>
          <w:spacing w:val="-2"/>
        </w:rPr>
        <w:t xml:space="preserve"> </w:t>
      </w:r>
      <w:r>
        <w:t>means,</w:t>
      </w:r>
      <w:r>
        <w:rPr>
          <w:spacing w:val="-2"/>
        </w:rPr>
        <w:t xml:space="preserve"> </w:t>
      </w:r>
      <w:r>
        <w:t>not</w:t>
      </w:r>
      <w:r>
        <w:rPr>
          <w:spacing w:val="-2"/>
        </w:rPr>
        <w:t xml:space="preserve"> </w:t>
      </w:r>
      <w:r>
        <w:t>by</w:t>
      </w:r>
      <w:r>
        <w:rPr>
          <w:spacing w:val="-2"/>
        </w:rPr>
        <w:t xml:space="preserve"> </w:t>
      </w:r>
      <w:r>
        <w:t>learning</w:t>
      </w:r>
      <w:r>
        <w:rPr>
          <w:spacing w:val="-2"/>
        </w:rPr>
        <w:t xml:space="preserve"> </w:t>
      </w:r>
      <w:r>
        <w:t>that</w:t>
      </w:r>
      <w:r>
        <w:rPr>
          <w:spacing w:val="-2"/>
        </w:rPr>
        <w:t xml:space="preserve"> </w:t>
      </w:r>
      <w:r>
        <w:t>it</w:t>
      </w:r>
      <w:r>
        <w:rPr>
          <w:spacing w:val="-2"/>
        </w:rPr>
        <w:t xml:space="preserve"> </w:t>
      </w:r>
      <w:r>
        <w:t xml:space="preserve">co-refers with “neige,” but by learning a certain crystalline substance that falls on rooftops in the winter is called “snow.” And he learns what “London” refers to in the same way. Given the data at his disposal, it is </w:t>
      </w:r>
      <w:r>
        <w:rPr>
          <w:i/>
        </w:rPr>
        <w:t xml:space="preserve">rational </w:t>
      </w:r>
      <w:r>
        <w:t>of Pierre to believe that the sentence:</w:t>
      </w:r>
    </w:p>
    <w:p w14:paraId="7E00128E" w14:textId="77777777" w:rsidR="009A58DB" w:rsidRDefault="009A58DB">
      <w:pPr>
        <w:pStyle w:val="BodyText"/>
        <w:spacing w:before="27"/>
        <w:ind w:left="0"/>
        <w:jc w:val="left"/>
      </w:pPr>
    </w:p>
    <w:p w14:paraId="7E00128F" w14:textId="77777777" w:rsidR="009A58DB" w:rsidRDefault="00000000">
      <w:pPr>
        <w:pStyle w:val="ListParagraph"/>
        <w:numPr>
          <w:ilvl w:val="0"/>
          <w:numId w:val="154"/>
        </w:numPr>
        <w:tabs>
          <w:tab w:val="left" w:pos="782"/>
        </w:tabs>
        <w:spacing w:before="1"/>
        <w:ind w:left="782" w:hanging="422"/>
        <w:rPr>
          <w:sz w:val="30"/>
        </w:rPr>
      </w:pPr>
      <w:r>
        <w:rPr>
          <w:sz w:val="30"/>
        </w:rPr>
        <w:t>“London</w:t>
      </w:r>
      <w:r>
        <w:rPr>
          <w:spacing w:val="-1"/>
          <w:sz w:val="30"/>
        </w:rPr>
        <w:t xml:space="preserve"> </w:t>
      </w:r>
      <w:r>
        <w:rPr>
          <w:sz w:val="30"/>
        </w:rPr>
        <w:t>is</w:t>
      </w:r>
      <w:r>
        <w:rPr>
          <w:spacing w:val="-2"/>
          <w:sz w:val="30"/>
        </w:rPr>
        <w:t xml:space="preserve"> </w:t>
      </w:r>
      <w:r>
        <w:rPr>
          <w:sz w:val="30"/>
        </w:rPr>
        <w:t>not</w:t>
      </w:r>
      <w:r>
        <w:rPr>
          <w:spacing w:val="-2"/>
          <w:sz w:val="30"/>
        </w:rPr>
        <w:t xml:space="preserve"> pretty”</w:t>
      </w:r>
    </w:p>
    <w:p w14:paraId="7E001290" w14:textId="77777777" w:rsidR="009A58DB" w:rsidRDefault="009A58DB">
      <w:pPr>
        <w:pStyle w:val="BodyText"/>
        <w:spacing w:before="29"/>
        <w:ind w:left="0"/>
        <w:jc w:val="left"/>
      </w:pPr>
    </w:p>
    <w:p w14:paraId="7E001291" w14:textId="77777777" w:rsidR="009A58DB" w:rsidRDefault="00000000">
      <w:pPr>
        <w:pStyle w:val="BodyText"/>
        <w:spacing w:before="1" w:line="249" w:lineRule="auto"/>
        <w:ind w:right="358"/>
      </w:pPr>
      <w:r>
        <w:t xml:space="preserve">expresses a truth—a truth to the effect that the city he is living in is </w:t>
      </w:r>
      <w:r>
        <w:rPr>
          <w:i/>
        </w:rPr>
        <w:t>not</w:t>
      </w:r>
      <w:r>
        <w:rPr>
          <w:i/>
          <w:spacing w:val="40"/>
        </w:rPr>
        <w:t xml:space="preserve"> </w:t>
      </w:r>
      <w:r>
        <w:t>pretty. And Pierre does assent to it, and he utters that very sentence, knowing what it means.</w:t>
      </w:r>
    </w:p>
    <w:p w14:paraId="7E001292" w14:textId="77777777" w:rsidR="009A58DB" w:rsidRDefault="00000000">
      <w:pPr>
        <w:pStyle w:val="BodyText"/>
        <w:spacing w:before="3"/>
        <w:ind w:left="720"/>
      </w:pPr>
      <w:r>
        <w:t>Of</w:t>
      </w:r>
      <w:r>
        <w:rPr>
          <w:spacing w:val="-6"/>
        </w:rPr>
        <w:t xml:space="preserve"> </w:t>
      </w:r>
      <w:r>
        <w:t>course,</w:t>
      </w:r>
      <w:r>
        <w:rPr>
          <w:spacing w:val="-2"/>
        </w:rPr>
        <w:t xml:space="preserve"> </w:t>
      </w:r>
      <w:r>
        <w:t>(2)</w:t>
      </w:r>
      <w:r>
        <w:rPr>
          <w:spacing w:val="-4"/>
        </w:rPr>
        <w:t xml:space="preserve"> </w:t>
      </w:r>
      <w:r>
        <w:t>is</w:t>
      </w:r>
      <w:r>
        <w:rPr>
          <w:spacing w:val="-3"/>
        </w:rPr>
        <w:t xml:space="preserve"> </w:t>
      </w:r>
      <w:r>
        <w:t>the</w:t>
      </w:r>
      <w:r>
        <w:rPr>
          <w:spacing w:val="-4"/>
        </w:rPr>
        <w:t xml:space="preserve"> </w:t>
      </w:r>
      <w:r>
        <w:t>(English</w:t>
      </w:r>
      <w:r>
        <w:rPr>
          <w:spacing w:val="-2"/>
        </w:rPr>
        <w:t xml:space="preserve"> </w:t>
      </w:r>
      <w:r>
        <w:t>translation</w:t>
      </w:r>
      <w:r>
        <w:rPr>
          <w:spacing w:val="-3"/>
        </w:rPr>
        <w:t xml:space="preserve"> </w:t>
      </w:r>
      <w:r>
        <w:t>of</w:t>
      </w:r>
      <w:r>
        <w:rPr>
          <w:spacing w:val="-3"/>
        </w:rPr>
        <w:t xml:space="preserve"> </w:t>
      </w:r>
      <w:r>
        <w:t>the)</w:t>
      </w:r>
      <w:r>
        <w:rPr>
          <w:spacing w:val="-4"/>
        </w:rPr>
        <w:t xml:space="preserve"> </w:t>
      </w:r>
      <w:r>
        <w:rPr>
          <w:b/>
          <w:i/>
        </w:rPr>
        <w:t>negation</w:t>
      </w:r>
      <w:r>
        <w:rPr>
          <w:b/>
          <w:i/>
          <w:spacing w:val="-3"/>
        </w:rPr>
        <w:t xml:space="preserve"> </w:t>
      </w:r>
      <w:r>
        <w:t>of</w:t>
      </w:r>
      <w:r>
        <w:rPr>
          <w:spacing w:val="-3"/>
        </w:rPr>
        <w:t xml:space="preserve"> </w:t>
      </w:r>
      <w:r>
        <w:rPr>
          <w:spacing w:val="-4"/>
        </w:rPr>
        <w:t>(1).</w:t>
      </w:r>
    </w:p>
    <w:p w14:paraId="7E001293" w14:textId="77777777" w:rsidR="009A58DB" w:rsidRDefault="00000000">
      <w:pPr>
        <w:pStyle w:val="BodyText"/>
        <w:spacing w:before="15" w:line="249" w:lineRule="auto"/>
        <w:ind w:right="361" w:firstLine="360"/>
      </w:pPr>
      <w:r>
        <w:t>“London” is the translation of “Londres.” So if “London” is synonymous with</w:t>
      </w:r>
      <w:r>
        <w:rPr>
          <w:spacing w:val="-1"/>
        </w:rPr>
        <w:t xml:space="preserve"> </w:t>
      </w:r>
      <w:r>
        <w:t>some</w:t>
      </w:r>
      <w:r>
        <w:rPr>
          <w:spacing w:val="1"/>
        </w:rPr>
        <w:t xml:space="preserve"> </w:t>
      </w:r>
      <w:r>
        <w:t>definite</w:t>
      </w:r>
      <w:r>
        <w:rPr>
          <w:spacing w:val="1"/>
        </w:rPr>
        <w:t xml:space="preserve"> </w:t>
      </w:r>
      <w:r>
        <w:t>description—with,</w:t>
      </w:r>
      <w:r>
        <w:rPr>
          <w:spacing w:val="1"/>
        </w:rPr>
        <w:t xml:space="preserve"> </w:t>
      </w:r>
      <w:r>
        <w:t>let</w:t>
      </w:r>
      <w:r>
        <w:rPr>
          <w:spacing w:val="1"/>
        </w:rPr>
        <w:t xml:space="preserve"> </w:t>
      </w:r>
      <w:r>
        <w:t>us</w:t>
      </w:r>
      <w:r>
        <w:rPr>
          <w:spacing w:val="1"/>
        </w:rPr>
        <w:t xml:space="preserve"> </w:t>
      </w:r>
      <w:r>
        <w:t>suppose,</w:t>
      </w:r>
      <w:r>
        <w:rPr>
          <w:spacing w:val="1"/>
        </w:rPr>
        <w:t xml:space="preserve"> </w:t>
      </w:r>
      <w:r>
        <w:t>“the</w:t>
      </w:r>
      <w:r>
        <w:rPr>
          <w:spacing w:val="1"/>
        </w:rPr>
        <w:t xml:space="preserve"> </w:t>
      </w:r>
      <w:r>
        <w:t>most</w:t>
      </w:r>
      <w:r>
        <w:rPr>
          <w:spacing w:val="1"/>
        </w:rPr>
        <w:t xml:space="preserve"> </w:t>
      </w:r>
      <w:r>
        <w:t>populous</w:t>
      </w:r>
      <w:r>
        <w:rPr>
          <w:spacing w:val="1"/>
        </w:rPr>
        <w:t xml:space="preserve"> </w:t>
      </w:r>
      <w:r>
        <w:rPr>
          <w:spacing w:val="-4"/>
        </w:rPr>
        <w:t>city</w:t>
      </w:r>
    </w:p>
    <w:p w14:paraId="7E00129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95" w14:textId="77777777" w:rsidR="009A58DB" w:rsidRDefault="00000000">
      <w:pPr>
        <w:pStyle w:val="BodyText"/>
        <w:spacing w:before="60" w:line="249" w:lineRule="auto"/>
        <w:ind w:right="361"/>
      </w:pPr>
      <w:r>
        <w:lastRenderedPageBreak/>
        <w:t>on the Thames”—then “Londres” is synonymous with the French translation of</w:t>
      </w:r>
      <w:r>
        <w:rPr>
          <w:spacing w:val="-4"/>
        </w:rPr>
        <w:t xml:space="preserve"> </w:t>
      </w:r>
      <w:r>
        <w:t>that</w:t>
      </w:r>
      <w:r>
        <w:rPr>
          <w:spacing w:val="-4"/>
        </w:rPr>
        <w:t xml:space="preserve"> </w:t>
      </w:r>
      <w:r>
        <w:t>definite</w:t>
      </w:r>
      <w:r>
        <w:rPr>
          <w:spacing w:val="-4"/>
        </w:rPr>
        <w:t xml:space="preserve"> </w:t>
      </w:r>
      <w:r>
        <w:t>description.</w:t>
      </w:r>
      <w:r>
        <w:rPr>
          <w:spacing w:val="-3"/>
        </w:rPr>
        <w:t xml:space="preserve"> </w:t>
      </w:r>
      <w:r>
        <w:t>But</w:t>
      </w:r>
      <w:r>
        <w:rPr>
          <w:spacing w:val="-4"/>
        </w:rPr>
        <w:t xml:space="preserve"> </w:t>
      </w:r>
      <w:r>
        <w:t>if</w:t>
      </w:r>
      <w:r>
        <w:rPr>
          <w:spacing w:val="-4"/>
        </w:rPr>
        <w:t xml:space="preserve"> </w:t>
      </w:r>
      <w:r>
        <w:rPr>
          <w:i/>
        </w:rPr>
        <w:t>that</w:t>
      </w:r>
      <w:r>
        <w:rPr>
          <w:i/>
          <w:spacing w:val="-4"/>
        </w:rPr>
        <w:t xml:space="preserve"> </w:t>
      </w:r>
      <w:r>
        <w:t>were the case, then (1) would mean the same thing as:</w:t>
      </w:r>
    </w:p>
    <w:p w14:paraId="7E001296" w14:textId="77777777" w:rsidR="009A58DB" w:rsidRDefault="009A58DB">
      <w:pPr>
        <w:pStyle w:val="BodyText"/>
        <w:spacing w:before="23"/>
        <w:ind w:left="0"/>
        <w:jc w:val="left"/>
      </w:pPr>
    </w:p>
    <w:p w14:paraId="7E001297" w14:textId="77777777" w:rsidR="009A58DB" w:rsidRDefault="00000000">
      <w:pPr>
        <w:pStyle w:val="BodyText"/>
        <w:spacing w:line="499" w:lineRule="auto"/>
        <w:ind w:right="3145"/>
        <w:jc w:val="left"/>
      </w:pPr>
      <w:r>
        <w:t>(1</w:t>
      </w:r>
      <w:r>
        <w:rPr>
          <w:position w:val="-7"/>
          <w:sz w:val="22"/>
        </w:rPr>
        <w:t>R</w:t>
      </w:r>
      <w:r>
        <w:t>)</w:t>
      </w:r>
      <w:r>
        <w:rPr>
          <w:spacing w:val="-5"/>
        </w:rPr>
        <w:t xml:space="preserve"> </w:t>
      </w:r>
      <w:r>
        <w:t>“the</w:t>
      </w:r>
      <w:r>
        <w:rPr>
          <w:spacing w:val="-5"/>
        </w:rPr>
        <w:t xml:space="preserve"> </w:t>
      </w:r>
      <w:r>
        <w:t>most</w:t>
      </w:r>
      <w:r>
        <w:rPr>
          <w:spacing w:val="-5"/>
        </w:rPr>
        <w:t xml:space="preserve"> </w:t>
      </w:r>
      <w:r>
        <w:t>populous</w:t>
      </w:r>
      <w:r>
        <w:rPr>
          <w:spacing w:val="-5"/>
        </w:rPr>
        <w:t xml:space="preserve"> </w:t>
      </w:r>
      <w:r>
        <w:t>city</w:t>
      </w:r>
      <w:r>
        <w:rPr>
          <w:spacing w:val="-4"/>
        </w:rPr>
        <w:t xml:space="preserve"> </w:t>
      </w:r>
      <w:r>
        <w:t>on</w:t>
      </w:r>
      <w:r>
        <w:rPr>
          <w:spacing w:val="-4"/>
        </w:rPr>
        <w:t xml:space="preserve"> </w:t>
      </w:r>
      <w:r>
        <w:t>the</w:t>
      </w:r>
      <w:r>
        <w:rPr>
          <w:spacing w:val="-5"/>
        </w:rPr>
        <w:t xml:space="preserve"> </w:t>
      </w:r>
      <w:r>
        <w:t>Thames</w:t>
      </w:r>
      <w:r>
        <w:rPr>
          <w:spacing w:val="-5"/>
        </w:rPr>
        <w:t xml:space="preserve"> </w:t>
      </w:r>
      <w:r>
        <w:t>is</w:t>
      </w:r>
      <w:r>
        <w:rPr>
          <w:spacing w:val="-5"/>
        </w:rPr>
        <w:t xml:space="preserve"> </w:t>
      </w:r>
      <w:r>
        <w:t>pretty” and (2) would be mean the same thing as:</w:t>
      </w:r>
    </w:p>
    <w:p w14:paraId="7E001298" w14:textId="77777777" w:rsidR="009A58DB" w:rsidRDefault="00000000">
      <w:pPr>
        <w:pStyle w:val="BodyText"/>
        <w:spacing w:before="3"/>
        <w:jc w:val="left"/>
      </w:pPr>
      <w:r>
        <w:t>(2</w:t>
      </w:r>
      <w:r>
        <w:rPr>
          <w:position w:val="-7"/>
          <w:sz w:val="22"/>
        </w:rPr>
        <w:t>R</w:t>
      </w:r>
      <w:r>
        <w:t>)</w:t>
      </w:r>
      <w:r>
        <w:rPr>
          <w:spacing w:val="-3"/>
        </w:rPr>
        <w:t xml:space="preserve"> </w:t>
      </w:r>
      <w:r>
        <w:t>“the</w:t>
      </w:r>
      <w:r>
        <w:rPr>
          <w:spacing w:val="-2"/>
        </w:rPr>
        <w:t xml:space="preserve"> </w:t>
      </w:r>
      <w:r>
        <w:t>most</w:t>
      </w:r>
      <w:r>
        <w:rPr>
          <w:spacing w:val="-2"/>
        </w:rPr>
        <w:t xml:space="preserve"> </w:t>
      </w:r>
      <w:r>
        <w:t>populous</w:t>
      </w:r>
      <w:r>
        <w:rPr>
          <w:spacing w:val="-3"/>
        </w:rPr>
        <w:t xml:space="preserve"> </w:t>
      </w:r>
      <w:r>
        <w:t>city</w:t>
      </w:r>
      <w:r>
        <w:rPr>
          <w:spacing w:val="-1"/>
        </w:rPr>
        <w:t xml:space="preserve"> </w:t>
      </w:r>
      <w:r>
        <w:t>on</w:t>
      </w:r>
      <w:r>
        <w:rPr>
          <w:spacing w:val="-1"/>
        </w:rPr>
        <w:t xml:space="preserve"> </w:t>
      </w:r>
      <w:r>
        <w:t>the</w:t>
      </w:r>
      <w:r>
        <w:rPr>
          <w:spacing w:val="-3"/>
        </w:rPr>
        <w:t xml:space="preserve"> </w:t>
      </w:r>
      <w:r>
        <w:t>Thames</w:t>
      </w:r>
      <w:r>
        <w:rPr>
          <w:spacing w:val="-2"/>
        </w:rPr>
        <w:t xml:space="preserve"> </w:t>
      </w:r>
      <w:r>
        <w:t>is</w:t>
      </w:r>
      <w:r>
        <w:rPr>
          <w:spacing w:val="-2"/>
        </w:rPr>
        <w:t xml:space="preserve"> </w:t>
      </w:r>
      <w:r>
        <w:rPr>
          <w:i/>
        </w:rPr>
        <w:t>not</w:t>
      </w:r>
      <w:r>
        <w:rPr>
          <w:i/>
          <w:spacing w:val="-3"/>
        </w:rPr>
        <w:t xml:space="preserve"> </w:t>
      </w:r>
      <w:r>
        <w:rPr>
          <w:spacing w:val="-2"/>
        </w:rPr>
        <w:t>pretty.”</w:t>
      </w:r>
    </w:p>
    <w:p w14:paraId="7E001299" w14:textId="77777777" w:rsidR="009A58DB" w:rsidRDefault="009A58DB">
      <w:pPr>
        <w:pStyle w:val="BodyText"/>
        <w:spacing w:before="27"/>
        <w:ind w:left="0"/>
        <w:jc w:val="left"/>
      </w:pPr>
    </w:p>
    <w:p w14:paraId="7E00129A" w14:textId="77777777" w:rsidR="009A58DB" w:rsidRDefault="00000000">
      <w:pPr>
        <w:pStyle w:val="BodyText"/>
        <w:spacing w:line="249" w:lineRule="auto"/>
        <w:ind w:right="359"/>
      </w:pPr>
      <w:r>
        <w:t xml:space="preserve">Pierre clearly </w:t>
      </w:r>
      <w:r>
        <w:rPr>
          <w:i/>
        </w:rPr>
        <w:t xml:space="preserve">isn’t </w:t>
      </w:r>
      <w:r>
        <w:t xml:space="preserve">in the same category as somebody who accepts </w:t>
      </w:r>
      <w:r>
        <w:rPr>
          <w:i/>
        </w:rPr>
        <w:t xml:space="preserve">both </w:t>
      </w:r>
      <w:r>
        <w:t>(1</w:t>
      </w:r>
      <w:r>
        <w:rPr>
          <w:position w:val="-7"/>
          <w:sz w:val="22"/>
        </w:rPr>
        <w:t>R</w:t>
      </w:r>
      <w:r>
        <w:t>) and (2</w:t>
      </w:r>
      <w:r>
        <w:rPr>
          <w:position w:val="-7"/>
          <w:sz w:val="22"/>
        </w:rPr>
        <w:t>R</w:t>
      </w:r>
      <w:r>
        <w:t xml:space="preserve">). So even if, as Russell and Frege thought, “London” was synonymous with some definite description, that wouldn’t explain the fact that (1) and (2) communicate such different propositions. In other words, it would fail to account for the </w:t>
      </w:r>
      <w:r>
        <w:rPr>
          <w:i/>
        </w:rPr>
        <w:t xml:space="preserve">cognitive values </w:t>
      </w:r>
      <w:r>
        <w:t>of those sentences. (The “cognitive value” of a sentence is what it communicates.) Since the whole point of the Frege-Russell theory that proper names are (abbreviated) definite descriptions is to account for the cognitive values of sentences containing proper names, that theory fails to do what it’s supposed to do.</w:t>
      </w:r>
    </w:p>
    <w:p w14:paraId="7E00129B" w14:textId="77777777" w:rsidR="009A58DB" w:rsidRDefault="00000000">
      <w:pPr>
        <w:pStyle w:val="Heading1"/>
        <w:numPr>
          <w:ilvl w:val="1"/>
          <w:numId w:val="155"/>
        </w:numPr>
        <w:tabs>
          <w:tab w:val="left" w:pos="990"/>
        </w:tabs>
        <w:spacing w:before="194"/>
      </w:pPr>
      <w:r>
        <w:t>A</w:t>
      </w:r>
      <w:r>
        <w:rPr>
          <w:spacing w:val="-4"/>
        </w:rPr>
        <w:t xml:space="preserve"> </w:t>
      </w:r>
      <w:r>
        <w:t>cure</w:t>
      </w:r>
      <w:r>
        <w:rPr>
          <w:spacing w:val="-4"/>
        </w:rPr>
        <w:t xml:space="preserve"> </w:t>
      </w:r>
      <w:r>
        <w:t>for</w:t>
      </w:r>
      <w:r>
        <w:rPr>
          <w:spacing w:val="-4"/>
        </w:rPr>
        <w:t xml:space="preserve"> </w:t>
      </w:r>
      <w:r>
        <w:t>Salmonella</w:t>
      </w:r>
      <w:r>
        <w:rPr>
          <w:spacing w:val="-2"/>
        </w:rPr>
        <w:t xml:space="preserve"> (continued)</w:t>
      </w:r>
    </w:p>
    <w:p w14:paraId="7E00129C" w14:textId="77777777" w:rsidR="009A58DB" w:rsidRDefault="00000000">
      <w:pPr>
        <w:pStyle w:val="BodyText"/>
        <w:spacing w:before="139" w:line="249" w:lineRule="auto"/>
        <w:ind w:right="358"/>
      </w:pPr>
      <w:r>
        <w:t xml:space="preserve">But Kripke’s parable exposes a problem much more profound than anything having to do with the semantics of a proper name. It’s a datum that Pierre understands each of (1) and (2), that he assents to each, and sincerely utters each. So it’s a datum, or follows from data, that Pierre is </w:t>
      </w:r>
      <w:r>
        <w:rPr>
          <w:i/>
        </w:rPr>
        <w:t>rationally</w:t>
      </w:r>
      <w:r>
        <w:rPr>
          <w:i/>
          <w:spacing w:val="-3"/>
        </w:rPr>
        <w:t xml:space="preserve"> </w:t>
      </w:r>
      <w:r>
        <w:t xml:space="preserve">accepting some sentence </w:t>
      </w:r>
      <w:r>
        <w:rPr>
          <w:i/>
        </w:rPr>
        <w:t xml:space="preserve">and </w:t>
      </w:r>
      <w:r>
        <w:t>its negation.</w:t>
      </w:r>
    </w:p>
    <w:p w14:paraId="7E00129D" w14:textId="77777777" w:rsidR="009A58DB" w:rsidRDefault="00000000">
      <w:pPr>
        <w:pStyle w:val="BodyText"/>
        <w:spacing w:before="6" w:line="249" w:lineRule="auto"/>
        <w:ind w:right="359" w:firstLine="360"/>
      </w:pPr>
      <w:r>
        <w:t xml:space="preserve">This seems like a problem. A paradox. What’s the solution? Pierre is rational. No denying it. And Pierre understands each of (1) and (2). No denying that either. (To be sure, he doesn’t know as much </w:t>
      </w:r>
      <w:r>
        <w:rPr>
          <w:i/>
        </w:rPr>
        <w:t xml:space="preserve">about </w:t>
      </w:r>
      <w:r>
        <w:t>the thing</w:t>
      </w:r>
      <w:r>
        <w:rPr>
          <w:spacing w:val="40"/>
        </w:rPr>
        <w:t xml:space="preserve"> </w:t>
      </w:r>
      <w:r>
        <w:t xml:space="preserve">that is referred to as “London”/”Londres” as some other people. But so what? If I know who it is that “Larry” refers to, then I know the </w:t>
      </w:r>
      <w:r>
        <w:rPr>
          <w:i/>
        </w:rPr>
        <w:t xml:space="preserve">semantics </w:t>
      </w:r>
      <w:r>
        <w:t xml:space="preserve">of “Larry.” Obviously I don’t know who Larry is as a person as well as his therapist. But I know the </w:t>
      </w:r>
      <w:r>
        <w:rPr>
          <w:i/>
        </w:rPr>
        <w:t xml:space="preserve">semantics </w:t>
      </w:r>
      <w:r>
        <w:t>of “Larry” every bit as well.)</w:t>
      </w:r>
    </w:p>
    <w:p w14:paraId="7E00129E" w14:textId="77777777" w:rsidR="009A58DB" w:rsidRDefault="00000000">
      <w:pPr>
        <w:pStyle w:val="BodyText"/>
        <w:spacing w:before="8" w:line="249" w:lineRule="auto"/>
        <w:ind w:right="363" w:firstLine="360"/>
      </w:pPr>
      <w:r>
        <w:t>Kripke says that he doesn’t know how to solve the problem. He says only that he’s inclined to suspect that “the apparatus of propositions breaks down</w:t>
      </w:r>
    </w:p>
    <w:p w14:paraId="7E00129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A0" w14:textId="77777777" w:rsidR="009A58DB" w:rsidRDefault="00000000">
      <w:pPr>
        <w:pStyle w:val="BodyText"/>
        <w:spacing w:before="60" w:line="249" w:lineRule="auto"/>
        <w:ind w:right="361"/>
      </w:pPr>
      <w:r>
        <w:lastRenderedPageBreak/>
        <w:t>here.” He doesn’t say what he means by this. Nor does it matter, since, whatever it means, it’s false, as we’ll see.</w:t>
      </w:r>
    </w:p>
    <w:p w14:paraId="7E0012A1" w14:textId="77777777" w:rsidR="009A58DB" w:rsidRDefault="00000000">
      <w:pPr>
        <w:pStyle w:val="BodyText"/>
        <w:spacing w:before="7" w:line="249" w:lineRule="auto"/>
        <w:ind w:right="361" w:firstLine="360"/>
      </w:pPr>
      <w:r>
        <w:t>Nathan Salmon says that, given Kripke’s parable, it follows that, at a</w:t>
      </w:r>
      <w:r>
        <w:rPr>
          <w:spacing w:val="40"/>
        </w:rPr>
        <w:t xml:space="preserve"> </w:t>
      </w:r>
      <w:r>
        <w:t xml:space="preserve">given time, one </w:t>
      </w:r>
      <w:r>
        <w:rPr>
          <w:i/>
        </w:rPr>
        <w:t xml:space="preserve">can </w:t>
      </w:r>
      <w:r>
        <w:t xml:space="preserve">rationally accept a proposition </w:t>
      </w:r>
      <w:r>
        <w:rPr>
          <w:i/>
        </w:rPr>
        <w:t xml:space="preserve">and </w:t>
      </w:r>
      <w:r>
        <w:t>its negation.</w:t>
      </w:r>
      <w:bookmarkStart w:id="248" w:name="_bookmark248"/>
      <w:bookmarkEnd w:id="248"/>
      <w:r>
        <w:rPr>
          <w:color w:val="0562C1"/>
          <w:position w:val="21"/>
          <w:u w:val="single" w:color="0562C1"/>
        </w:rPr>
        <w:t>[153]</w:t>
      </w:r>
      <w:r>
        <w:rPr>
          <w:color w:val="0562C1"/>
          <w:position w:val="21"/>
        </w:rPr>
        <w:t xml:space="preserve"> </w:t>
      </w:r>
      <w:r>
        <w:t>Pierre would be rational, given what we’ve said so far, to believe that “Londres ≠ London” is a true sentence. Thus, there is some x (namely, London) such that, according to Salmon, Pierre can rationally believe that: x</w:t>
      </w:r>
    </w:p>
    <w:p w14:paraId="7E0012A2" w14:textId="77777777" w:rsidR="009A58DB" w:rsidRDefault="00000000">
      <w:pPr>
        <w:pStyle w:val="BodyText"/>
        <w:spacing w:before="6" w:line="249" w:lineRule="auto"/>
        <w:ind w:right="361"/>
      </w:pPr>
      <w:r>
        <w:t>≠ x—that is, that x is not self-identical. Thus, Salmon’s position is that one can rationally believe that London is not self-identical—that, in fact, any given object is not identical with itself.</w:t>
      </w:r>
    </w:p>
    <w:p w14:paraId="7E0012A3" w14:textId="77777777" w:rsidR="009A58DB" w:rsidRDefault="00000000">
      <w:pPr>
        <w:pStyle w:val="Heading1"/>
        <w:numPr>
          <w:ilvl w:val="1"/>
          <w:numId w:val="155"/>
        </w:numPr>
        <w:tabs>
          <w:tab w:val="left" w:pos="1025"/>
        </w:tabs>
        <w:spacing w:before="192" w:line="244" w:lineRule="auto"/>
        <w:ind w:left="360" w:right="370" w:firstLine="0"/>
      </w:pPr>
      <w:r>
        <w:t>Why, contrary to what Nathan Salmon ways, it is not rational to believe both P and not-P</w:t>
      </w:r>
    </w:p>
    <w:p w14:paraId="7E0012A4" w14:textId="77777777" w:rsidR="009A58DB" w:rsidRDefault="00000000">
      <w:pPr>
        <w:pStyle w:val="BodyText"/>
        <w:spacing w:before="132" w:line="249" w:lineRule="auto"/>
        <w:ind w:right="358"/>
      </w:pPr>
      <w:r>
        <w:t>Salmon’s solution is not only desperate, but utterly incoherent. What is rationality? It’s the ability to draw the consequences of the information at one’s disposal. No truth is a consequence of its own negation, and every truth is</w:t>
      </w:r>
      <w:r>
        <w:rPr>
          <w:spacing w:val="-3"/>
        </w:rPr>
        <w:t xml:space="preserve"> </w:t>
      </w:r>
      <w:r>
        <w:t>incompatible</w:t>
      </w:r>
      <w:r>
        <w:rPr>
          <w:spacing w:val="-3"/>
        </w:rPr>
        <w:t xml:space="preserve"> </w:t>
      </w:r>
      <w:r>
        <w:t>with</w:t>
      </w:r>
      <w:r>
        <w:rPr>
          <w:spacing w:val="-2"/>
        </w:rPr>
        <w:t xml:space="preserve"> </w:t>
      </w:r>
      <w:r>
        <w:t>its</w:t>
      </w:r>
      <w:r>
        <w:rPr>
          <w:spacing w:val="-3"/>
        </w:rPr>
        <w:t xml:space="preserve"> </w:t>
      </w:r>
      <w:r>
        <w:t>own</w:t>
      </w:r>
      <w:r>
        <w:rPr>
          <w:spacing w:val="-2"/>
        </w:rPr>
        <w:t xml:space="preserve"> </w:t>
      </w:r>
      <w:r>
        <w:t>negation.</w:t>
      </w:r>
      <w:r>
        <w:rPr>
          <w:spacing w:val="-2"/>
        </w:rPr>
        <w:t xml:space="preserve"> </w:t>
      </w:r>
      <w:r>
        <w:t>Given</w:t>
      </w:r>
      <w:r>
        <w:rPr>
          <w:spacing w:val="-2"/>
        </w:rPr>
        <w:t xml:space="preserve"> </w:t>
      </w:r>
      <w:r>
        <w:t>that</w:t>
      </w:r>
      <w:r>
        <w:rPr>
          <w:spacing w:val="-3"/>
        </w:rPr>
        <w:t xml:space="preserve"> </w:t>
      </w:r>
      <w:r>
        <w:rPr>
          <w:i/>
        </w:rPr>
        <w:t>P</w:t>
      </w:r>
      <w:r>
        <w:rPr>
          <w:i/>
          <w:spacing w:val="-3"/>
        </w:rPr>
        <w:t xml:space="preserve"> </w:t>
      </w:r>
      <w:r>
        <w:rPr>
          <w:i/>
        </w:rPr>
        <w:t>and</w:t>
      </w:r>
      <w:r>
        <w:rPr>
          <w:i/>
          <w:spacing w:val="-2"/>
        </w:rPr>
        <w:t xml:space="preserve"> </w:t>
      </w:r>
      <w:r>
        <w:rPr>
          <w:i/>
        </w:rPr>
        <w:t>not-P</w:t>
      </w:r>
      <w:r>
        <w:rPr>
          <w:i/>
          <w:spacing w:val="-3"/>
        </w:rPr>
        <w:t xml:space="preserve"> </w:t>
      </w:r>
      <w:r>
        <w:t>is always false, it can never be rational to accept it or, therefore, to infer it. Salmon’s position is inconsistent with the very meaning of the word “rational.”</w:t>
      </w:r>
    </w:p>
    <w:p w14:paraId="7E0012A5" w14:textId="77777777" w:rsidR="009A58DB" w:rsidRDefault="00000000">
      <w:pPr>
        <w:pStyle w:val="BodyText"/>
        <w:spacing w:before="7" w:line="249" w:lineRule="auto"/>
        <w:ind w:right="359" w:firstLine="360"/>
      </w:pPr>
      <w:r>
        <w:t xml:space="preserve">Salmon sometimes defends his position by saying that one can rationally accept </w:t>
      </w:r>
      <w:r>
        <w:rPr>
          <w:i/>
        </w:rPr>
        <w:t xml:space="preserve">P and not-P </w:t>
      </w:r>
      <w:r>
        <w:t xml:space="preserve">only if one doesn’t know that what one is accepting is a proposition </w:t>
      </w:r>
      <w:r>
        <w:rPr>
          <w:i/>
        </w:rPr>
        <w:t xml:space="preserve">and </w:t>
      </w:r>
      <w:r>
        <w:t xml:space="preserve">its negation. But this makes no sense. You are irrational if you believe </w:t>
      </w:r>
      <w:r>
        <w:rPr>
          <w:i/>
        </w:rPr>
        <w:t xml:space="preserve">P and not-P </w:t>
      </w:r>
      <w:r>
        <w:t xml:space="preserve">or if you grasp both P and not-P and yet fail to generate the additional belief that they’re inconsistent with each other. For acceptance of </w:t>
      </w:r>
      <w:r>
        <w:rPr>
          <w:i/>
        </w:rPr>
        <w:t xml:space="preserve">P and not-P </w:t>
      </w:r>
      <w:r>
        <w:t>to be rational, it would be necessary that the data</w:t>
      </w:r>
      <w:r>
        <w:rPr>
          <w:spacing w:val="40"/>
        </w:rPr>
        <w:t xml:space="preserve"> </w:t>
      </w:r>
      <w:r>
        <w:t>at your disposal not make it clear that you were accepting some proposition and its negation, which would be possible only if you didn’t know what it</w:t>
      </w:r>
      <w:r>
        <w:rPr>
          <w:spacing w:val="40"/>
        </w:rPr>
        <w:t xml:space="preserve"> </w:t>
      </w:r>
      <w:r>
        <w:t>was you were accepting. And this seems to be what Salmon holds.</w:t>
      </w:r>
    </w:p>
    <w:p w14:paraId="7E0012A6" w14:textId="77777777" w:rsidR="009A58DB" w:rsidRDefault="00000000">
      <w:pPr>
        <w:pStyle w:val="BodyText"/>
        <w:spacing w:before="11" w:line="249" w:lineRule="auto"/>
        <w:ind w:right="361" w:firstLine="360"/>
      </w:pPr>
      <w:r>
        <w:t xml:space="preserve">But, contrary to what Salmon evidently thinks, you can’t accept a proposition without knowing what it is. The counterexamples to this are spurious. Suppose that Smith believes anything that he believes Jones to believe. If Jones believes that Lima is the capital of Peru, does it follow that Smith also believes it? No. What follows it is </w:t>
      </w:r>
      <w:r>
        <w:rPr>
          <w:i/>
        </w:rPr>
        <w:t xml:space="preserve">if </w:t>
      </w:r>
      <w:r>
        <w:t>Smith were to know that Jones</w:t>
      </w:r>
      <w:r>
        <w:rPr>
          <w:spacing w:val="79"/>
          <w:w w:val="150"/>
        </w:rPr>
        <w:t xml:space="preserve"> </w:t>
      </w:r>
      <w:r>
        <w:t>believed</w:t>
      </w:r>
      <w:r>
        <w:rPr>
          <w:spacing w:val="80"/>
          <w:w w:val="150"/>
        </w:rPr>
        <w:t xml:space="preserve"> </w:t>
      </w:r>
      <w:r>
        <w:t>it,</w:t>
      </w:r>
      <w:r>
        <w:rPr>
          <w:spacing w:val="80"/>
          <w:w w:val="150"/>
        </w:rPr>
        <w:t xml:space="preserve"> </w:t>
      </w:r>
      <w:r>
        <w:rPr>
          <w:i/>
        </w:rPr>
        <w:t>then</w:t>
      </w:r>
      <w:r>
        <w:rPr>
          <w:i/>
          <w:spacing w:val="79"/>
          <w:w w:val="150"/>
        </w:rPr>
        <w:t xml:space="preserve"> </w:t>
      </w:r>
      <w:r>
        <w:t>Jones</w:t>
      </w:r>
      <w:r>
        <w:rPr>
          <w:spacing w:val="80"/>
          <w:w w:val="150"/>
        </w:rPr>
        <w:t xml:space="preserve"> </w:t>
      </w:r>
      <w:r>
        <w:t>would</w:t>
      </w:r>
      <w:r>
        <w:rPr>
          <w:spacing w:val="80"/>
          <w:w w:val="150"/>
        </w:rPr>
        <w:t xml:space="preserve"> </w:t>
      </w:r>
      <w:r>
        <w:t>believe</w:t>
      </w:r>
      <w:r>
        <w:rPr>
          <w:spacing w:val="80"/>
          <w:w w:val="150"/>
        </w:rPr>
        <w:t xml:space="preserve"> </w:t>
      </w:r>
      <w:r>
        <w:t>it.</w:t>
      </w:r>
      <w:r>
        <w:rPr>
          <w:spacing w:val="80"/>
          <w:w w:val="150"/>
        </w:rPr>
        <w:t xml:space="preserve"> </w:t>
      </w:r>
      <w:r>
        <w:t>In</w:t>
      </w:r>
      <w:r>
        <w:rPr>
          <w:spacing w:val="80"/>
          <w:w w:val="150"/>
        </w:rPr>
        <w:t xml:space="preserve"> </w:t>
      </w:r>
      <w:r>
        <w:t>order</w:t>
      </w:r>
      <w:r>
        <w:rPr>
          <w:spacing w:val="80"/>
          <w:w w:val="150"/>
        </w:rPr>
        <w:t xml:space="preserve"> </w:t>
      </w:r>
      <w:r>
        <w:t>to</w:t>
      </w:r>
      <w:r>
        <w:rPr>
          <w:spacing w:val="80"/>
          <w:w w:val="150"/>
        </w:rPr>
        <w:t xml:space="preserve"> </w:t>
      </w:r>
      <w:r>
        <w:t>accept</w:t>
      </w:r>
      <w:r>
        <w:rPr>
          <w:spacing w:val="80"/>
          <w:w w:val="150"/>
        </w:rPr>
        <w:t xml:space="preserve"> </w:t>
      </w:r>
      <w:r>
        <w:t>a</w:t>
      </w:r>
    </w:p>
    <w:p w14:paraId="7E0012A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A8" w14:textId="77777777" w:rsidR="009A58DB" w:rsidRDefault="00000000">
      <w:pPr>
        <w:pStyle w:val="BodyText"/>
        <w:spacing w:before="60" w:line="249" w:lineRule="auto"/>
        <w:ind w:right="362"/>
      </w:pPr>
      <w:r>
        <w:lastRenderedPageBreak/>
        <w:t xml:space="preserve">proposition, it is not enough that it be </w:t>
      </w:r>
      <w:r>
        <w:rPr>
          <w:i/>
        </w:rPr>
        <w:t xml:space="preserve">described </w:t>
      </w:r>
      <w:r>
        <w:t>to you. You must actually grasp it. Another story will make this clear.</w:t>
      </w:r>
    </w:p>
    <w:p w14:paraId="7E0012A9" w14:textId="77777777" w:rsidR="009A58DB" w:rsidRDefault="00000000">
      <w:pPr>
        <w:pStyle w:val="BodyText"/>
        <w:spacing w:before="7" w:line="249" w:lineRule="auto"/>
        <w:ind w:right="358" w:firstLine="360"/>
      </w:pPr>
      <w:r>
        <w:t>Person X is never convinced of anything unless it actually is true. This has been verified, and I know this. Smith and I have a mutual friend, Green, who has been missing for the last three weeks. One day Smith tells me that he knows where our friend Green has been for the last three weeks. I have no idea where Green has been. I couldn’t even guess. But Smith doesn’t tell me where Green has been—only that he knows where he’s been. So there is</w:t>
      </w:r>
      <w:r>
        <w:rPr>
          <w:spacing w:val="40"/>
        </w:rPr>
        <w:t xml:space="preserve"> </w:t>
      </w:r>
      <w:r>
        <w:t>some proposition P such that, if correct, P says where Green has been and such that Smith accepts P. I know that whatever it is that Smith believes</w:t>
      </w:r>
      <w:r>
        <w:rPr>
          <w:spacing w:val="40"/>
        </w:rPr>
        <w:t xml:space="preserve"> </w:t>
      </w:r>
      <w:r>
        <w:t>about Green’s whereabouts is correct. But do I, under these circumstances, accept</w:t>
      </w:r>
      <w:r>
        <w:rPr>
          <w:spacing w:val="-2"/>
        </w:rPr>
        <w:t xml:space="preserve"> </w:t>
      </w:r>
      <w:r>
        <w:t>the</w:t>
      </w:r>
      <w:r>
        <w:rPr>
          <w:spacing w:val="-2"/>
        </w:rPr>
        <w:t xml:space="preserve"> </w:t>
      </w:r>
      <w:r>
        <w:t>proposition</w:t>
      </w:r>
      <w:r>
        <w:rPr>
          <w:spacing w:val="-2"/>
        </w:rPr>
        <w:t xml:space="preserve"> </w:t>
      </w:r>
      <w:r>
        <w:t>that</w:t>
      </w:r>
      <w:r>
        <w:rPr>
          <w:spacing w:val="-2"/>
        </w:rPr>
        <w:t xml:space="preserve"> </w:t>
      </w:r>
      <w:r>
        <w:t>identifies</w:t>
      </w:r>
      <w:r>
        <w:rPr>
          <w:spacing w:val="-2"/>
        </w:rPr>
        <w:t xml:space="preserve"> </w:t>
      </w:r>
      <w:r>
        <w:t>his</w:t>
      </w:r>
      <w:r>
        <w:rPr>
          <w:spacing w:val="-2"/>
        </w:rPr>
        <w:t xml:space="preserve"> </w:t>
      </w:r>
      <w:r>
        <w:t>whereabouts?</w:t>
      </w:r>
      <w:r>
        <w:rPr>
          <w:spacing w:val="-2"/>
        </w:rPr>
        <w:t xml:space="preserve"> </w:t>
      </w:r>
      <w:r>
        <w:t>No.</w:t>
      </w:r>
      <w:r>
        <w:rPr>
          <w:spacing w:val="-2"/>
        </w:rPr>
        <w:t xml:space="preserve"> </w:t>
      </w:r>
      <w:r>
        <w:t>If</w:t>
      </w:r>
      <w:r>
        <w:rPr>
          <w:spacing w:val="-2"/>
        </w:rPr>
        <w:t xml:space="preserve"> </w:t>
      </w:r>
      <w:r>
        <w:t>I</w:t>
      </w:r>
      <w:r>
        <w:rPr>
          <w:spacing w:val="-2"/>
        </w:rPr>
        <w:t xml:space="preserve"> </w:t>
      </w:r>
      <w:r>
        <w:t>were</w:t>
      </w:r>
      <w:r>
        <w:rPr>
          <w:spacing w:val="-2"/>
        </w:rPr>
        <w:t xml:space="preserve"> </w:t>
      </w:r>
      <w:r>
        <w:t>told</w:t>
      </w:r>
      <w:r>
        <w:rPr>
          <w:spacing w:val="-2"/>
        </w:rPr>
        <w:t xml:space="preserve"> </w:t>
      </w:r>
      <w:r>
        <w:t xml:space="preserve">what that proposition was, I </w:t>
      </w:r>
      <w:r>
        <w:rPr>
          <w:i/>
        </w:rPr>
        <w:t>would</w:t>
      </w:r>
      <w:r>
        <w:rPr>
          <w:i/>
          <w:spacing w:val="-3"/>
        </w:rPr>
        <w:t xml:space="preserve"> </w:t>
      </w:r>
      <w:r>
        <w:t>accept it. But I do not now do so. I don’t know what the right value of P is.</w:t>
      </w:r>
    </w:p>
    <w:p w14:paraId="7E0012AA" w14:textId="77777777" w:rsidR="009A58DB" w:rsidRDefault="00000000">
      <w:pPr>
        <w:spacing w:before="15" w:line="249" w:lineRule="auto"/>
        <w:ind w:left="360" w:right="357" w:firstLine="360"/>
        <w:jc w:val="both"/>
        <w:rPr>
          <w:sz w:val="30"/>
        </w:rPr>
      </w:pPr>
      <w:r>
        <w:rPr>
          <w:sz w:val="30"/>
        </w:rPr>
        <w:t xml:space="preserve">Suppose that, as Smith knows, Green has been in Spain for the last three weeks but that I’m not told this. Under these circumstances I don’t accept the proposition: Green has been in Spain for the last three weeks. I </w:t>
      </w:r>
      <w:r>
        <w:rPr>
          <w:i/>
          <w:sz w:val="30"/>
        </w:rPr>
        <w:t xml:space="preserve">would </w:t>
      </w:r>
      <w:r>
        <w:rPr>
          <w:sz w:val="30"/>
        </w:rPr>
        <w:t xml:space="preserve">accept it if I knew that Green accepted it. But I don’t yet know this, and I don’t yet accept it. The proposition that I </w:t>
      </w:r>
      <w:r>
        <w:rPr>
          <w:i/>
          <w:sz w:val="30"/>
        </w:rPr>
        <w:t>do</w:t>
      </w:r>
      <w:r>
        <w:rPr>
          <w:i/>
          <w:spacing w:val="-2"/>
          <w:sz w:val="30"/>
        </w:rPr>
        <w:t xml:space="preserve"> </w:t>
      </w:r>
      <w:r>
        <w:rPr>
          <w:sz w:val="30"/>
        </w:rPr>
        <w:t>accept</w:t>
      </w:r>
      <w:r>
        <w:rPr>
          <w:spacing w:val="-3"/>
          <w:sz w:val="30"/>
        </w:rPr>
        <w:t xml:space="preserve"> </w:t>
      </w:r>
      <w:r>
        <w:rPr>
          <w:sz w:val="30"/>
        </w:rPr>
        <w:t>is</w:t>
      </w:r>
      <w:r>
        <w:rPr>
          <w:spacing w:val="-2"/>
          <w:sz w:val="30"/>
        </w:rPr>
        <w:t xml:space="preserve"> </w:t>
      </w:r>
      <w:r>
        <w:rPr>
          <w:i/>
          <w:sz w:val="30"/>
        </w:rPr>
        <w:t xml:space="preserve">this: I know that, whatever Smith believes to be the proposition describing Green’s whereabouts over the last three weeks, that proposition must be correct. </w:t>
      </w:r>
      <w:r>
        <w:rPr>
          <w:sz w:val="30"/>
        </w:rPr>
        <w:t xml:space="preserve">But </w:t>
      </w:r>
      <w:r>
        <w:rPr>
          <w:i/>
          <w:sz w:val="30"/>
        </w:rPr>
        <w:t xml:space="preserve">that </w:t>
      </w:r>
      <w:r>
        <w:rPr>
          <w:sz w:val="30"/>
        </w:rPr>
        <w:t xml:space="preserve">proposition is very different from </w:t>
      </w:r>
      <w:r>
        <w:rPr>
          <w:i/>
          <w:sz w:val="30"/>
        </w:rPr>
        <w:t xml:space="preserve">Green has been in Spain for the last three weeks. </w:t>
      </w:r>
      <w:r>
        <w:rPr>
          <w:sz w:val="30"/>
        </w:rPr>
        <w:t>And I don’t yet accept the latter.</w:t>
      </w:r>
    </w:p>
    <w:p w14:paraId="7E0012AB" w14:textId="77777777" w:rsidR="009A58DB" w:rsidRDefault="00000000">
      <w:pPr>
        <w:pStyle w:val="BodyText"/>
        <w:spacing w:before="11" w:line="249" w:lineRule="auto"/>
        <w:ind w:right="362" w:firstLine="360"/>
      </w:pPr>
      <w:r>
        <w:t>What this shows is that one cannot accept a proposition without knowing that</w:t>
      </w:r>
      <w:r>
        <w:rPr>
          <w:spacing w:val="-3"/>
        </w:rPr>
        <w:t xml:space="preserve"> </w:t>
      </w:r>
      <w:r>
        <w:t>one</w:t>
      </w:r>
      <w:r>
        <w:rPr>
          <w:spacing w:val="-3"/>
        </w:rPr>
        <w:t xml:space="preserve"> </w:t>
      </w:r>
      <w:r>
        <w:t>is</w:t>
      </w:r>
      <w:r>
        <w:rPr>
          <w:spacing w:val="-3"/>
        </w:rPr>
        <w:t xml:space="preserve"> </w:t>
      </w:r>
      <w:r>
        <w:t>doing</w:t>
      </w:r>
      <w:r>
        <w:rPr>
          <w:spacing w:val="-2"/>
        </w:rPr>
        <w:t xml:space="preserve"> </w:t>
      </w:r>
      <w:r>
        <w:t>so.</w:t>
      </w:r>
      <w:r>
        <w:rPr>
          <w:spacing w:val="-2"/>
        </w:rPr>
        <w:t xml:space="preserve"> </w:t>
      </w:r>
      <w:r>
        <w:t>When</w:t>
      </w:r>
      <w:r>
        <w:rPr>
          <w:spacing w:val="-2"/>
        </w:rPr>
        <w:t xml:space="preserve"> </w:t>
      </w:r>
      <w:r>
        <w:t>it</w:t>
      </w:r>
      <w:r>
        <w:rPr>
          <w:spacing w:val="-3"/>
        </w:rPr>
        <w:t xml:space="preserve"> </w:t>
      </w:r>
      <w:r>
        <w:rPr>
          <w:i/>
        </w:rPr>
        <w:t>seems</w:t>
      </w:r>
      <w:r>
        <w:rPr>
          <w:i/>
          <w:spacing w:val="-3"/>
        </w:rPr>
        <w:t xml:space="preserve"> </w:t>
      </w:r>
      <w:r>
        <w:t>as</w:t>
      </w:r>
      <w:r>
        <w:rPr>
          <w:spacing w:val="-3"/>
        </w:rPr>
        <w:t xml:space="preserve"> </w:t>
      </w:r>
      <w:r>
        <w:t>though</w:t>
      </w:r>
      <w:r>
        <w:rPr>
          <w:spacing w:val="-2"/>
        </w:rPr>
        <w:t xml:space="preserve"> </w:t>
      </w:r>
      <w:r>
        <w:t>one</w:t>
      </w:r>
      <w:r>
        <w:rPr>
          <w:spacing w:val="-3"/>
        </w:rPr>
        <w:t xml:space="preserve"> </w:t>
      </w:r>
      <w:r>
        <w:t>does</w:t>
      </w:r>
      <w:r>
        <w:rPr>
          <w:spacing w:val="-3"/>
        </w:rPr>
        <w:t xml:space="preserve"> </w:t>
      </w:r>
      <w:r>
        <w:t>this,</w:t>
      </w:r>
      <w:r>
        <w:rPr>
          <w:spacing w:val="-2"/>
        </w:rPr>
        <w:t xml:space="preserve"> </w:t>
      </w:r>
      <w:r>
        <w:t>one</w:t>
      </w:r>
      <w:r>
        <w:rPr>
          <w:spacing w:val="-3"/>
        </w:rPr>
        <w:t xml:space="preserve"> </w:t>
      </w:r>
      <w:r>
        <w:t>accepts</w:t>
      </w:r>
      <w:r>
        <w:rPr>
          <w:spacing w:val="-3"/>
        </w:rPr>
        <w:t xml:space="preserve"> </w:t>
      </w:r>
      <w:r>
        <w:t xml:space="preserve">some distinct proposition that describes some unknown proposition. If you accept a proposition, you know it. So if, for some P, you accept both P and not-P, you know it. But if you know it, you’re not rational, since anyone who makes a faulty inference is </w:t>
      </w:r>
      <w:r>
        <w:rPr>
          <w:i/>
        </w:rPr>
        <w:t>ipso facto</w:t>
      </w:r>
      <w:r>
        <w:rPr>
          <w:i/>
          <w:spacing w:val="40"/>
        </w:rPr>
        <w:t xml:space="preserve"> </w:t>
      </w:r>
      <w:r>
        <w:t xml:space="preserve">irrational (to that extent), and any inference whose conclusion is </w:t>
      </w:r>
      <w:r>
        <w:rPr>
          <w:i/>
        </w:rPr>
        <w:t xml:space="preserve">P and not-P </w:t>
      </w:r>
      <w:r>
        <w:t xml:space="preserve">is </w:t>
      </w:r>
      <w:r>
        <w:rPr>
          <w:i/>
        </w:rPr>
        <w:t>ipso facto</w:t>
      </w:r>
      <w:r>
        <w:rPr>
          <w:i/>
          <w:spacing w:val="40"/>
        </w:rPr>
        <w:t xml:space="preserve"> </w:t>
      </w:r>
      <w:r>
        <w:t>faulty.</w:t>
      </w:r>
    </w:p>
    <w:p w14:paraId="7E0012AC" w14:textId="77777777" w:rsidR="009A58DB" w:rsidRDefault="00000000">
      <w:pPr>
        <w:pStyle w:val="Heading3"/>
        <w:numPr>
          <w:ilvl w:val="2"/>
          <w:numId w:val="155"/>
        </w:numPr>
        <w:tabs>
          <w:tab w:val="left" w:pos="1224"/>
        </w:tabs>
        <w:spacing w:line="249" w:lineRule="auto"/>
        <w:ind w:right="363" w:firstLine="0"/>
        <w:jc w:val="both"/>
      </w:pPr>
      <w:r>
        <w:t>Why, contrary to what Nathan Salmon says, it is not rational to believe both P and not-P (continued)</w:t>
      </w:r>
    </w:p>
    <w:p w14:paraId="7E0012AD" w14:textId="77777777" w:rsidR="009A58DB" w:rsidRDefault="00000000">
      <w:pPr>
        <w:pStyle w:val="BodyText"/>
        <w:spacing w:before="64" w:line="249" w:lineRule="auto"/>
        <w:ind w:right="358"/>
      </w:pPr>
      <w:r>
        <w:t>Salmon was driven to accept this preposterous view by his failure to take into account even the most basic points concerning the relationship between thought</w:t>
      </w:r>
      <w:r>
        <w:rPr>
          <w:spacing w:val="64"/>
        </w:rPr>
        <w:t xml:space="preserve"> </w:t>
      </w:r>
      <w:r>
        <w:t>and</w:t>
      </w:r>
      <w:r>
        <w:rPr>
          <w:spacing w:val="66"/>
        </w:rPr>
        <w:t xml:space="preserve"> </w:t>
      </w:r>
      <w:r>
        <w:t>language.</w:t>
      </w:r>
      <w:r>
        <w:rPr>
          <w:spacing w:val="67"/>
        </w:rPr>
        <w:t xml:space="preserve"> </w:t>
      </w:r>
      <w:r>
        <w:t>Pierre</w:t>
      </w:r>
      <w:r>
        <w:rPr>
          <w:spacing w:val="66"/>
        </w:rPr>
        <w:t xml:space="preserve"> </w:t>
      </w:r>
      <w:r>
        <w:t>doesn’t</w:t>
      </w:r>
      <w:r>
        <w:rPr>
          <w:spacing w:val="66"/>
        </w:rPr>
        <w:t xml:space="preserve"> </w:t>
      </w:r>
      <w:r>
        <w:t>learn</w:t>
      </w:r>
      <w:r>
        <w:rPr>
          <w:spacing w:val="67"/>
        </w:rPr>
        <w:t xml:space="preserve"> </w:t>
      </w:r>
      <w:r>
        <w:t>what</w:t>
      </w:r>
      <w:r>
        <w:rPr>
          <w:spacing w:val="66"/>
        </w:rPr>
        <w:t xml:space="preserve"> </w:t>
      </w:r>
      <w:r>
        <w:t>“London”</w:t>
      </w:r>
      <w:r>
        <w:rPr>
          <w:spacing w:val="66"/>
        </w:rPr>
        <w:t xml:space="preserve"> </w:t>
      </w:r>
      <w:r>
        <w:t>refers</w:t>
      </w:r>
      <w:r>
        <w:rPr>
          <w:spacing w:val="67"/>
        </w:rPr>
        <w:t xml:space="preserve"> </w:t>
      </w:r>
      <w:r>
        <w:t>to</w:t>
      </w:r>
      <w:r>
        <w:rPr>
          <w:spacing w:val="66"/>
        </w:rPr>
        <w:t xml:space="preserve"> </w:t>
      </w:r>
      <w:r>
        <w:t>in</w:t>
      </w:r>
      <w:r>
        <w:rPr>
          <w:spacing w:val="67"/>
        </w:rPr>
        <w:t xml:space="preserve"> </w:t>
      </w:r>
      <w:r>
        <w:rPr>
          <w:spacing w:val="-10"/>
        </w:rPr>
        <w:t>a</w:t>
      </w:r>
    </w:p>
    <w:p w14:paraId="7E0012A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AF" w14:textId="77777777" w:rsidR="009A58DB" w:rsidRDefault="00000000">
      <w:pPr>
        <w:pStyle w:val="BodyText"/>
        <w:spacing w:before="70" w:line="249" w:lineRule="auto"/>
        <w:ind w:right="357"/>
      </w:pPr>
      <w:r>
        <w:lastRenderedPageBreak/>
        <w:t>vacuum. He is air-dropped into a horrible part of a certain city. There is garbage all around. His captors are rude to him, and so are the people with whom</w:t>
      </w:r>
      <w:r>
        <w:rPr>
          <w:spacing w:val="-2"/>
        </w:rPr>
        <w:t xml:space="preserve"> </w:t>
      </w:r>
      <w:r>
        <w:t>his</w:t>
      </w:r>
      <w:r>
        <w:rPr>
          <w:spacing w:val="-2"/>
        </w:rPr>
        <w:t xml:space="preserve"> </w:t>
      </w:r>
      <w:r>
        <w:t>captors</w:t>
      </w:r>
      <w:r>
        <w:rPr>
          <w:spacing w:val="-2"/>
        </w:rPr>
        <w:t xml:space="preserve"> </w:t>
      </w:r>
      <w:r>
        <w:t>associate.</w:t>
      </w:r>
      <w:r>
        <w:rPr>
          <w:spacing w:val="-2"/>
        </w:rPr>
        <w:t xml:space="preserve"> </w:t>
      </w:r>
      <w:r>
        <w:t>(The</w:t>
      </w:r>
      <w:r>
        <w:rPr>
          <w:spacing w:val="-2"/>
        </w:rPr>
        <w:t xml:space="preserve"> </w:t>
      </w:r>
      <w:r>
        <w:t>only</w:t>
      </w:r>
      <w:r>
        <w:rPr>
          <w:spacing w:val="-2"/>
        </w:rPr>
        <w:t xml:space="preserve"> </w:t>
      </w:r>
      <w:r>
        <w:t>Londoners</w:t>
      </w:r>
      <w:r>
        <w:rPr>
          <w:spacing w:val="-2"/>
        </w:rPr>
        <w:t xml:space="preserve"> </w:t>
      </w:r>
      <w:r>
        <w:t>with</w:t>
      </w:r>
      <w:r>
        <w:rPr>
          <w:spacing w:val="-2"/>
        </w:rPr>
        <w:t xml:space="preserve"> </w:t>
      </w:r>
      <w:r>
        <w:t>whom</w:t>
      </w:r>
      <w:r>
        <w:rPr>
          <w:spacing w:val="-2"/>
        </w:rPr>
        <w:t xml:space="preserve"> </w:t>
      </w:r>
      <w:r>
        <w:t>Pierre’s</w:t>
      </w:r>
      <w:r>
        <w:rPr>
          <w:spacing w:val="-2"/>
        </w:rPr>
        <w:t xml:space="preserve"> </w:t>
      </w:r>
      <w:r>
        <w:t>captors consort are, uncharacteristically for Londoners, not very nice people.) He is then told: “Welcome to London! This is your new home.” Let us suppose, in fact, that one of his captors is a philosopher of language who, like all those in that field, has a penchant for making things explicit. So, when first introducing Pierre to his new home, he says: “there is a certain city x, such that x is the city you are now occupying— this being the city whose dirty, garbage-ridden</w:t>
      </w:r>
      <w:r>
        <w:rPr>
          <w:spacing w:val="-2"/>
        </w:rPr>
        <w:t xml:space="preserve"> </w:t>
      </w:r>
      <w:r>
        <w:t>streets</w:t>
      </w:r>
      <w:r>
        <w:rPr>
          <w:spacing w:val="-2"/>
        </w:rPr>
        <w:t xml:space="preserve"> </w:t>
      </w:r>
      <w:r>
        <w:t>you</w:t>
      </w:r>
      <w:r>
        <w:rPr>
          <w:spacing w:val="-2"/>
        </w:rPr>
        <w:t xml:space="preserve"> </w:t>
      </w:r>
      <w:r>
        <w:t>are</w:t>
      </w:r>
      <w:r>
        <w:rPr>
          <w:spacing w:val="-2"/>
        </w:rPr>
        <w:t xml:space="preserve"> </w:t>
      </w:r>
      <w:r>
        <w:t>now</w:t>
      </w:r>
      <w:r>
        <w:rPr>
          <w:spacing w:val="-2"/>
        </w:rPr>
        <w:t xml:space="preserve"> </w:t>
      </w:r>
      <w:r>
        <w:t>beholding—and</w:t>
      </w:r>
      <w:r>
        <w:rPr>
          <w:spacing w:val="-2"/>
        </w:rPr>
        <w:t xml:space="preserve"> </w:t>
      </w:r>
      <w:r>
        <w:t>such</w:t>
      </w:r>
      <w:r>
        <w:rPr>
          <w:spacing w:val="-2"/>
        </w:rPr>
        <w:t xml:space="preserve"> </w:t>
      </w:r>
      <w:r>
        <w:t>that</w:t>
      </w:r>
      <w:r>
        <w:rPr>
          <w:spacing w:val="-2"/>
        </w:rPr>
        <w:t xml:space="preserve"> </w:t>
      </w:r>
      <w:r>
        <w:t>‘London’</w:t>
      </w:r>
      <w:r>
        <w:rPr>
          <w:spacing w:val="-2"/>
        </w:rPr>
        <w:t xml:space="preserve"> </w:t>
      </w:r>
      <w:r>
        <w:t>refers to x.”</w:t>
      </w:r>
    </w:p>
    <w:p w14:paraId="7E0012B0" w14:textId="77777777" w:rsidR="009A58DB" w:rsidRDefault="00000000">
      <w:pPr>
        <w:pStyle w:val="BodyText"/>
        <w:spacing w:before="8"/>
        <w:ind w:left="720"/>
      </w:pPr>
      <w:r>
        <w:t>What</w:t>
      </w:r>
      <w:r>
        <w:rPr>
          <w:spacing w:val="19"/>
        </w:rPr>
        <w:t xml:space="preserve"> </w:t>
      </w:r>
      <w:r>
        <w:t>Pierre</w:t>
      </w:r>
      <w:r>
        <w:rPr>
          <w:spacing w:val="22"/>
        </w:rPr>
        <w:t xml:space="preserve"> </w:t>
      </w:r>
      <w:r>
        <w:t>is</w:t>
      </w:r>
      <w:r>
        <w:rPr>
          <w:spacing w:val="22"/>
        </w:rPr>
        <w:t xml:space="preserve"> </w:t>
      </w:r>
      <w:r>
        <w:t>being</w:t>
      </w:r>
      <w:r>
        <w:rPr>
          <w:spacing w:val="22"/>
        </w:rPr>
        <w:t xml:space="preserve"> </w:t>
      </w:r>
      <w:r>
        <w:t>told,</w:t>
      </w:r>
      <w:r>
        <w:rPr>
          <w:spacing w:val="21"/>
        </w:rPr>
        <w:t xml:space="preserve"> </w:t>
      </w:r>
      <w:r>
        <w:t>in</w:t>
      </w:r>
      <w:r>
        <w:rPr>
          <w:spacing w:val="22"/>
        </w:rPr>
        <w:t xml:space="preserve"> </w:t>
      </w:r>
      <w:r>
        <w:t>being</w:t>
      </w:r>
      <w:r>
        <w:rPr>
          <w:spacing w:val="22"/>
        </w:rPr>
        <w:t xml:space="preserve"> </w:t>
      </w:r>
      <w:r>
        <w:t>told</w:t>
      </w:r>
      <w:r>
        <w:rPr>
          <w:spacing w:val="22"/>
        </w:rPr>
        <w:t xml:space="preserve"> </w:t>
      </w:r>
      <w:r>
        <w:t>this,</w:t>
      </w:r>
      <w:r>
        <w:rPr>
          <w:spacing w:val="21"/>
        </w:rPr>
        <w:t xml:space="preserve"> </w:t>
      </w:r>
      <w:r>
        <w:t>is</w:t>
      </w:r>
      <w:r>
        <w:rPr>
          <w:spacing w:val="22"/>
        </w:rPr>
        <w:t xml:space="preserve"> </w:t>
      </w:r>
      <w:r>
        <w:t>something</w:t>
      </w:r>
      <w:r>
        <w:rPr>
          <w:spacing w:val="22"/>
        </w:rPr>
        <w:t xml:space="preserve"> </w:t>
      </w:r>
      <w:r>
        <w:t>along</w:t>
      </w:r>
      <w:r>
        <w:rPr>
          <w:spacing w:val="22"/>
        </w:rPr>
        <w:t xml:space="preserve"> </w:t>
      </w:r>
      <w:r>
        <w:t>the</w:t>
      </w:r>
      <w:r>
        <w:rPr>
          <w:spacing w:val="22"/>
        </w:rPr>
        <w:t xml:space="preserve"> </w:t>
      </w:r>
      <w:r>
        <w:rPr>
          <w:spacing w:val="-2"/>
        </w:rPr>
        <w:t>lines</w:t>
      </w:r>
    </w:p>
    <w:p w14:paraId="7E0012B1" w14:textId="77777777" w:rsidR="009A58DB" w:rsidRDefault="00000000">
      <w:pPr>
        <w:pStyle w:val="BodyText"/>
        <w:spacing w:before="15"/>
        <w:jc w:val="left"/>
      </w:pPr>
      <w:r>
        <w:rPr>
          <w:spacing w:val="-5"/>
        </w:rPr>
        <w:t>of:</w:t>
      </w:r>
    </w:p>
    <w:p w14:paraId="7E0012B2" w14:textId="77777777" w:rsidR="009A58DB" w:rsidRDefault="009A58DB">
      <w:pPr>
        <w:pStyle w:val="BodyText"/>
        <w:spacing w:before="30"/>
        <w:ind w:left="0"/>
        <w:jc w:val="left"/>
      </w:pPr>
    </w:p>
    <w:p w14:paraId="7E0012B3" w14:textId="77777777" w:rsidR="009A58DB" w:rsidRDefault="00000000">
      <w:pPr>
        <w:pStyle w:val="BodyText"/>
        <w:spacing w:line="271" w:lineRule="auto"/>
        <w:ind w:right="361"/>
      </w:pPr>
      <w:r>
        <w:t>(L</w:t>
      </w:r>
      <w:r>
        <w:rPr>
          <w:vertAlign w:val="subscript"/>
        </w:rPr>
        <w:t>1</w:t>
      </w:r>
      <w:r>
        <w:t>) there is some vile, squalid, garbage-infested city x such that I am now in x and such that I was dragged here against my will and such that, because of x’s obvious horridness, I am now depressed; moreover, “London” refers to x.</w:t>
      </w:r>
    </w:p>
    <w:p w14:paraId="7E0012B4" w14:textId="77777777" w:rsidR="009A58DB" w:rsidRDefault="00000000">
      <w:pPr>
        <w:pStyle w:val="BodyText"/>
        <w:spacing w:before="331" w:line="249" w:lineRule="auto"/>
        <w:ind w:right="371"/>
      </w:pPr>
      <w:r>
        <w:t>An inevitable consequence of the fact that these are the circumstances under which Pierre learns what “London” refers to is that what an utterance of</w:t>
      </w:r>
    </w:p>
    <w:p w14:paraId="7E0012B5" w14:textId="77777777" w:rsidR="009A58DB" w:rsidRDefault="009A58DB">
      <w:pPr>
        <w:pStyle w:val="BodyText"/>
        <w:spacing w:before="17"/>
        <w:ind w:left="0"/>
        <w:jc w:val="left"/>
      </w:pPr>
    </w:p>
    <w:p w14:paraId="7E0012B6" w14:textId="77777777" w:rsidR="009A58DB" w:rsidRDefault="00000000">
      <w:pPr>
        <w:pStyle w:val="BodyText"/>
        <w:jc w:val="left"/>
      </w:pPr>
      <w:r>
        <w:t>(2)</w:t>
      </w:r>
      <w:r>
        <w:rPr>
          <w:spacing w:val="-2"/>
        </w:rPr>
        <w:t xml:space="preserve"> </w:t>
      </w:r>
      <w:r>
        <w:t>“London</w:t>
      </w:r>
      <w:r>
        <w:rPr>
          <w:spacing w:val="-1"/>
        </w:rPr>
        <w:t xml:space="preserve"> </w:t>
      </w:r>
      <w:r>
        <w:t>is</w:t>
      </w:r>
      <w:r>
        <w:rPr>
          <w:spacing w:val="-2"/>
        </w:rPr>
        <w:t xml:space="preserve"> </w:t>
      </w:r>
      <w:r>
        <w:t>not</w:t>
      </w:r>
      <w:r>
        <w:rPr>
          <w:spacing w:val="-2"/>
        </w:rPr>
        <w:t xml:space="preserve"> pretty”</w:t>
      </w:r>
    </w:p>
    <w:p w14:paraId="7E0012B7" w14:textId="77777777" w:rsidR="009A58DB" w:rsidRDefault="009A58DB">
      <w:pPr>
        <w:pStyle w:val="BodyText"/>
        <w:spacing w:before="30"/>
        <w:ind w:left="0"/>
        <w:jc w:val="left"/>
      </w:pPr>
    </w:p>
    <w:p w14:paraId="7E0012B8" w14:textId="77777777" w:rsidR="009A58DB" w:rsidRDefault="00000000">
      <w:pPr>
        <w:pStyle w:val="BodyText"/>
        <w:jc w:val="left"/>
      </w:pPr>
      <w:r>
        <w:t>would</w:t>
      </w:r>
      <w:r>
        <w:rPr>
          <w:spacing w:val="-6"/>
        </w:rPr>
        <w:t xml:space="preserve"> </w:t>
      </w:r>
      <w:r>
        <w:t>impart</w:t>
      </w:r>
      <w:r>
        <w:rPr>
          <w:spacing w:val="-4"/>
        </w:rPr>
        <w:t xml:space="preserve"> </w:t>
      </w:r>
      <w:r>
        <w:t>(not</w:t>
      </w:r>
      <w:r>
        <w:rPr>
          <w:spacing w:val="-4"/>
        </w:rPr>
        <w:t xml:space="preserve"> </w:t>
      </w:r>
      <w:r>
        <w:t>semantically</w:t>
      </w:r>
      <w:r>
        <w:rPr>
          <w:spacing w:val="-3"/>
        </w:rPr>
        <w:t xml:space="preserve"> </w:t>
      </w:r>
      <w:r>
        <w:t>encode)</w:t>
      </w:r>
      <w:r>
        <w:rPr>
          <w:spacing w:val="-4"/>
        </w:rPr>
        <w:t xml:space="preserve"> </w:t>
      </w:r>
      <w:r>
        <w:t>is</w:t>
      </w:r>
      <w:r>
        <w:rPr>
          <w:spacing w:val="-5"/>
        </w:rPr>
        <w:t xml:space="preserve"> </w:t>
      </w:r>
      <w:r>
        <w:t>something</w:t>
      </w:r>
      <w:r>
        <w:rPr>
          <w:spacing w:val="-3"/>
        </w:rPr>
        <w:t xml:space="preserve"> </w:t>
      </w:r>
      <w:r>
        <w:t>along</w:t>
      </w:r>
      <w:r>
        <w:rPr>
          <w:spacing w:val="-3"/>
        </w:rPr>
        <w:t xml:space="preserve"> </w:t>
      </w:r>
      <w:r>
        <w:t>the</w:t>
      </w:r>
      <w:r>
        <w:rPr>
          <w:spacing w:val="-4"/>
        </w:rPr>
        <w:t xml:space="preserve"> </w:t>
      </w:r>
      <w:r>
        <w:t>lines</w:t>
      </w:r>
      <w:r>
        <w:rPr>
          <w:spacing w:val="-4"/>
        </w:rPr>
        <w:t xml:space="preserve"> </w:t>
      </w:r>
      <w:r>
        <w:rPr>
          <w:spacing w:val="-5"/>
        </w:rPr>
        <w:t>of:</w:t>
      </w:r>
    </w:p>
    <w:p w14:paraId="7E0012B9" w14:textId="77777777" w:rsidR="009A58DB" w:rsidRDefault="009A58DB">
      <w:pPr>
        <w:pStyle w:val="BodyText"/>
        <w:spacing w:before="30"/>
        <w:ind w:left="0"/>
        <w:jc w:val="left"/>
      </w:pPr>
    </w:p>
    <w:p w14:paraId="7E0012BA" w14:textId="77777777" w:rsidR="009A58DB" w:rsidRDefault="00000000">
      <w:pPr>
        <w:pStyle w:val="BodyText"/>
        <w:spacing w:line="292" w:lineRule="auto"/>
        <w:ind w:right="365"/>
        <w:jc w:val="left"/>
      </w:pPr>
      <w:r>
        <w:t>(L</w:t>
      </w:r>
      <w:r>
        <w:rPr>
          <w:vertAlign w:val="subscript"/>
        </w:rPr>
        <w:t>2</w:t>
      </w:r>
      <w:r>
        <w:t>) there is some vile, squalid, garbage-infested city x such that I am now in x [etc.] and such that “London” refers to x; moreover, x is not pretty</w:t>
      </w:r>
    </w:p>
    <w:p w14:paraId="7E0012BB" w14:textId="77777777" w:rsidR="009A58DB" w:rsidRDefault="00000000">
      <w:pPr>
        <w:pStyle w:val="BodyText"/>
        <w:spacing w:before="299" w:line="501" w:lineRule="auto"/>
        <w:ind w:right="4587"/>
        <w:jc w:val="left"/>
      </w:pPr>
      <w:r>
        <w:t>and,</w:t>
      </w:r>
      <w:r>
        <w:rPr>
          <w:spacing w:val="-6"/>
        </w:rPr>
        <w:t xml:space="preserve"> </w:t>
      </w:r>
      <w:r>
        <w:t>in</w:t>
      </w:r>
      <w:r>
        <w:rPr>
          <w:spacing w:val="-6"/>
        </w:rPr>
        <w:t xml:space="preserve"> </w:t>
      </w:r>
      <w:r>
        <w:t>general,</w:t>
      </w:r>
      <w:r>
        <w:rPr>
          <w:spacing w:val="-6"/>
        </w:rPr>
        <w:t xml:space="preserve"> </w:t>
      </w:r>
      <w:r>
        <w:t>that</w:t>
      </w:r>
      <w:r>
        <w:rPr>
          <w:spacing w:val="-7"/>
        </w:rPr>
        <w:t xml:space="preserve"> </w:t>
      </w:r>
      <w:r>
        <w:t>for</w:t>
      </w:r>
      <w:r>
        <w:rPr>
          <w:spacing w:val="-7"/>
        </w:rPr>
        <w:t xml:space="preserve"> </w:t>
      </w:r>
      <w:r>
        <w:t>any</w:t>
      </w:r>
      <w:r>
        <w:rPr>
          <w:spacing w:val="-6"/>
        </w:rPr>
        <w:t xml:space="preserve"> </w:t>
      </w:r>
      <w:r>
        <w:t>property</w:t>
      </w:r>
      <w:r>
        <w:rPr>
          <w:spacing w:val="-6"/>
        </w:rPr>
        <w:t xml:space="preserve"> </w:t>
      </w:r>
      <w:r>
        <w:t>psi (L</w:t>
      </w:r>
      <w:r>
        <w:rPr>
          <w:position w:val="-7"/>
          <w:sz w:val="22"/>
        </w:rPr>
        <w:t>n</w:t>
      </w:r>
      <w:r>
        <w:t>) ‹London has psi›</w:t>
      </w:r>
    </w:p>
    <w:p w14:paraId="7E0012BC" w14:textId="77777777" w:rsidR="009A58DB" w:rsidRDefault="00000000">
      <w:pPr>
        <w:pStyle w:val="BodyText"/>
        <w:spacing w:line="340" w:lineRule="exact"/>
      </w:pPr>
      <w:r>
        <w:t>would</w:t>
      </w:r>
      <w:r>
        <w:rPr>
          <w:spacing w:val="-6"/>
        </w:rPr>
        <w:t xml:space="preserve"> </w:t>
      </w:r>
      <w:r>
        <w:t>impart</w:t>
      </w:r>
      <w:r>
        <w:rPr>
          <w:spacing w:val="-4"/>
        </w:rPr>
        <w:t xml:space="preserve"> </w:t>
      </w:r>
      <w:r>
        <w:t>(not</w:t>
      </w:r>
      <w:r>
        <w:rPr>
          <w:spacing w:val="-5"/>
        </w:rPr>
        <w:t xml:space="preserve"> </w:t>
      </w:r>
      <w:r>
        <w:t>semantically</w:t>
      </w:r>
      <w:r>
        <w:rPr>
          <w:spacing w:val="-3"/>
        </w:rPr>
        <w:t xml:space="preserve"> </w:t>
      </w:r>
      <w:r>
        <w:t>encode)</w:t>
      </w:r>
      <w:r>
        <w:rPr>
          <w:spacing w:val="-5"/>
        </w:rPr>
        <w:t xml:space="preserve"> </w:t>
      </w:r>
      <w:r>
        <w:t>something</w:t>
      </w:r>
      <w:r>
        <w:rPr>
          <w:spacing w:val="-3"/>
        </w:rPr>
        <w:t xml:space="preserve"> </w:t>
      </w:r>
      <w:r>
        <w:t>along</w:t>
      </w:r>
      <w:r>
        <w:rPr>
          <w:spacing w:val="-4"/>
        </w:rPr>
        <w:t xml:space="preserve"> </w:t>
      </w:r>
      <w:r>
        <w:t>the</w:t>
      </w:r>
      <w:r>
        <w:rPr>
          <w:spacing w:val="-4"/>
        </w:rPr>
        <w:t xml:space="preserve"> </w:t>
      </w:r>
      <w:r>
        <w:t>lines</w:t>
      </w:r>
      <w:r>
        <w:rPr>
          <w:spacing w:val="-4"/>
        </w:rPr>
        <w:t xml:space="preserve"> </w:t>
      </w:r>
      <w:r>
        <w:rPr>
          <w:spacing w:val="-5"/>
        </w:rPr>
        <w:t>of:</w:t>
      </w:r>
    </w:p>
    <w:p w14:paraId="7E0012BD" w14:textId="77777777" w:rsidR="009A58DB" w:rsidRDefault="009A58DB">
      <w:pPr>
        <w:pStyle w:val="BodyText"/>
        <w:spacing w:before="30"/>
        <w:ind w:left="0"/>
        <w:jc w:val="left"/>
      </w:pPr>
    </w:p>
    <w:p w14:paraId="7E0012BE" w14:textId="77777777" w:rsidR="009A58DB" w:rsidRDefault="00000000">
      <w:pPr>
        <w:pStyle w:val="BodyText"/>
        <w:jc w:val="left"/>
      </w:pPr>
      <w:r>
        <w:t>(L*P</w:t>
      </w:r>
      <w:r>
        <w:rPr>
          <w:vertAlign w:val="subscript"/>
        </w:rPr>
        <w:t>2</w:t>
      </w:r>
      <w:r>
        <w:t>)</w:t>
      </w:r>
      <w:r>
        <w:rPr>
          <w:spacing w:val="4"/>
        </w:rPr>
        <w:t xml:space="preserve"> </w:t>
      </w:r>
      <w:r>
        <w:t>there</w:t>
      </w:r>
      <w:r>
        <w:rPr>
          <w:spacing w:val="6"/>
        </w:rPr>
        <w:t xml:space="preserve"> </w:t>
      </w:r>
      <w:r>
        <w:t>is</w:t>
      </w:r>
      <w:r>
        <w:rPr>
          <w:spacing w:val="5"/>
        </w:rPr>
        <w:t xml:space="preserve"> </w:t>
      </w:r>
      <w:r>
        <w:t>some</w:t>
      </w:r>
      <w:r>
        <w:rPr>
          <w:spacing w:val="6"/>
        </w:rPr>
        <w:t xml:space="preserve"> </w:t>
      </w:r>
      <w:r>
        <w:t>vile,</w:t>
      </w:r>
      <w:r>
        <w:rPr>
          <w:spacing w:val="5"/>
        </w:rPr>
        <w:t xml:space="preserve"> </w:t>
      </w:r>
      <w:r>
        <w:t>squalid,</w:t>
      </w:r>
      <w:r>
        <w:rPr>
          <w:spacing w:val="6"/>
        </w:rPr>
        <w:t xml:space="preserve"> </w:t>
      </w:r>
      <w:r>
        <w:t>garbage-infested</w:t>
      </w:r>
      <w:r>
        <w:rPr>
          <w:spacing w:val="4"/>
        </w:rPr>
        <w:t xml:space="preserve"> </w:t>
      </w:r>
      <w:r>
        <w:t>city</w:t>
      </w:r>
      <w:r>
        <w:rPr>
          <w:spacing w:val="6"/>
        </w:rPr>
        <w:t xml:space="preserve"> </w:t>
      </w:r>
      <w:r>
        <w:t>x</w:t>
      </w:r>
      <w:r>
        <w:rPr>
          <w:spacing w:val="5"/>
        </w:rPr>
        <w:t xml:space="preserve"> </w:t>
      </w:r>
      <w:r>
        <w:t>such</w:t>
      </w:r>
      <w:r>
        <w:rPr>
          <w:spacing w:val="6"/>
        </w:rPr>
        <w:t xml:space="preserve"> </w:t>
      </w:r>
      <w:r>
        <w:t>that</w:t>
      </w:r>
      <w:r>
        <w:rPr>
          <w:spacing w:val="5"/>
        </w:rPr>
        <w:t xml:space="preserve"> </w:t>
      </w:r>
      <w:r>
        <w:t>I</w:t>
      </w:r>
      <w:r>
        <w:rPr>
          <w:spacing w:val="5"/>
        </w:rPr>
        <w:t xml:space="preserve"> </w:t>
      </w:r>
      <w:r>
        <w:t>am</w:t>
      </w:r>
      <w:r>
        <w:rPr>
          <w:spacing w:val="4"/>
        </w:rPr>
        <w:t xml:space="preserve"> </w:t>
      </w:r>
      <w:r>
        <w:rPr>
          <w:spacing w:val="-5"/>
        </w:rPr>
        <w:t>now</w:t>
      </w:r>
    </w:p>
    <w:p w14:paraId="7E0012BF" w14:textId="77777777" w:rsidR="009A58DB" w:rsidRDefault="009A58DB">
      <w:pPr>
        <w:pStyle w:val="BodyText"/>
        <w:jc w:val="left"/>
        <w:sectPr w:rsidR="009A58DB">
          <w:pgSz w:w="12240" w:h="15840"/>
          <w:pgMar w:top="1380" w:right="1080" w:bottom="280" w:left="1080" w:header="720" w:footer="720" w:gutter="0"/>
          <w:cols w:space="720"/>
        </w:sectPr>
      </w:pPr>
    </w:p>
    <w:p w14:paraId="7E0012C0" w14:textId="77777777" w:rsidR="009A58DB" w:rsidRDefault="00000000">
      <w:pPr>
        <w:pStyle w:val="BodyText"/>
        <w:spacing w:before="65"/>
      </w:pPr>
      <w:r>
        <w:lastRenderedPageBreak/>
        <w:t>in</w:t>
      </w:r>
      <w:r>
        <w:rPr>
          <w:spacing w:val="-2"/>
        </w:rPr>
        <w:t xml:space="preserve"> </w:t>
      </w:r>
      <w:r>
        <w:t>x</w:t>
      </w:r>
      <w:r>
        <w:rPr>
          <w:spacing w:val="-2"/>
        </w:rPr>
        <w:t xml:space="preserve"> </w:t>
      </w:r>
      <w:r>
        <w:t>[etc.]</w:t>
      </w:r>
      <w:r>
        <w:rPr>
          <w:spacing w:val="-3"/>
        </w:rPr>
        <w:t xml:space="preserve"> </w:t>
      </w:r>
      <w:r>
        <w:t>and</w:t>
      </w:r>
      <w:r>
        <w:rPr>
          <w:spacing w:val="-2"/>
        </w:rPr>
        <w:t xml:space="preserve"> </w:t>
      </w:r>
      <w:r>
        <w:t>such</w:t>
      </w:r>
      <w:r>
        <w:rPr>
          <w:spacing w:val="-2"/>
        </w:rPr>
        <w:t xml:space="preserve"> </w:t>
      </w:r>
      <w:r>
        <w:t>that</w:t>
      </w:r>
      <w:r>
        <w:rPr>
          <w:spacing w:val="-3"/>
        </w:rPr>
        <w:t xml:space="preserve"> </w:t>
      </w:r>
      <w:r>
        <w:t>“London”</w:t>
      </w:r>
      <w:r>
        <w:rPr>
          <w:spacing w:val="-2"/>
        </w:rPr>
        <w:t xml:space="preserve"> </w:t>
      </w:r>
      <w:r>
        <w:t>refers</w:t>
      </w:r>
      <w:r>
        <w:rPr>
          <w:spacing w:val="-3"/>
        </w:rPr>
        <w:t xml:space="preserve"> </w:t>
      </w:r>
      <w:r>
        <w:t>to</w:t>
      </w:r>
      <w:r>
        <w:rPr>
          <w:spacing w:val="-2"/>
        </w:rPr>
        <w:t xml:space="preserve"> </w:t>
      </w:r>
      <w:r>
        <w:t>x;</w:t>
      </w:r>
      <w:r>
        <w:rPr>
          <w:spacing w:val="-3"/>
        </w:rPr>
        <w:t xml:space="preserve"> </w:t>
      </w:r>
      <w:r>
        <w:t>moreover,</w:t>
      </w:r>
      <w:r>
        <w:rPr>
          <w:spacing w:val="-2"/>
        </w:rPr>
        <w:t xml:space="preserve"> </w:t>
      </w:r>
      <w:r>
        <w:t>x</w:t>
      </w:r>
      <w:r>
        <w:rPr>
          <w:spacing w:val="-2"/>
        </w:rPr>
        <w:t xml:space="preserve"> </w:t>
      </w:r>
      <w:r>
        <w:t>has</w:t>
      </w:r>
      <w:r>
        <w:rPr>
          <w:spacing w:val="-2"/>
        </w:rPr>
        <w:t xml:space="preserve"> </w:t>
      </w:r>
      <w:r>
        <w:rPr>
          <w:spacing w:val="-4"/>
        </w:rPr>
        <w:t>psi.</w:t>
      </w:r>
    </w:p>
    <w:p w14:paraId="7E0012C1" w14:textId="77777777" w:rsidR="009A58DB" w:rsidRDefault="009A58DB">
      <w:pPr>
        <w:pStyle w:val="BodyText"/>
        <w:spacing w:before="29"/>
        <w:ind w:left="0"/>
        <w:jc w:val="left"/>
      </w:pPr>
    </w:p>
    <w:p w14:paraId="7E0012C2" w14:textId="77777777" w:rsidR="009A58DB" w:rsidRDefault="00000000">
      <w:pPr>
        <w:pStyle w:val="BodyText"/>
        <w:spacing w:before="1" w:line="249" w:lineRule="auto"/>
        <w:ind w:right="367" w:firstLine="360"/>
      </w:pPr>
      <w:r>
        <w:t>We’ve already made it clear why, even though L</w:t>
      </w:r>
      <w:r>
        <w:rPr>
          <w:position w:val="-7"/>
          <w:sz w:val="22"/>
        </w:rPr>
        <w:t xml:space="preserve">n </w:t>
      </w:r>
      <w:r>
        <w:t xml:space="preserve">would </w:t>
      </w:r>
      <w:r>
        <w:rPr>
          <w:i/>
        </w:rPr>
        <w:t xml:space="preserve">convey </w:t>
      </w:r>
      <w:r>
        <w:t>L*P</w:t>
      </w:r>
      <w:r>
        <w:rPr>
          <w:vertAlign w:val="subscript"/>
        </w:rPr>
        <w:t>2</w:t>
      </w:r>
      <w:r>
        <w:t>, Pierre wouldn’t be under any illusions as to what the former literally means. It’s</w:t>
      </w:r>
      <w:r>
        <w:rPr>
          <w:spacing w:val="9"/>
        </w:rPr>
        <w:t xml:space="preserve"> </w:t>
      </w:r>
      <w:r>
        <w:t>also</w:t>
      </w:r>
      <w:r>
        <w:rPr>
          <w:spacing w:val="9"/>
        </w:rPr>
        <w:t xml:space="preserve"> </w:t>
      </w:r>
      <w:r>
        <w:t>obvious</w:t>
      </w:r>
      <w:r>
        <w:rPr>
          <w:spacing w:val="9"/>
        </w:rPr>
        <w:t xml:space="preserve"> </w:t>
      </w:r>
      <w:r>
        <w:t>that,</w:t>
      </w:r>
      <w:r>
        <w:rPr>
          <w:spacing w:val="10"/>
        </w:rPr>
        <w:t xml:space="preserve"> </w:t>
      </w:r>
      <w:r>
        <w:t>since</w:t>
      </w:r>
      <w:r>
        <w:rPr>
          <w:spacing w:val="9"/>
        </w:rPr>
        <w:t xml:space="preserve"> </w:t>
      </w:r>
      <w:r>
        <w:t>it’s</w:t>
      </w:r>
      <w:r>
        <w:rPr>
          <w:spacing w:val="9"/>
        </w:rPr>
        <w:t xml:space="preserve"> </w:t>
      </w:r>
      <w:r>
        <w:t>through</w:t>
      </w:r>
      <w:r>
        <w:rPr>
          <w:spacing w:val="9"/>
        </w:rPr>
        <w:t xml:space="preserve"> </w:t>
      </w:r>
      <w:r>
        <w:t>L</w:t>
      </w:r>
      <w:r>
        <w:rPr>
          <w:vertAlign w:val="subscript"/>
        </w:rPr>
        <w:t>1</w:t>
      </w:r>
      <w:r>
        <w:rPr>
          <w:spacing w:val="11"/>
        </w:rPr>
        <w:t xml:space="preserve"> </w:t>
      </w:r>
      <w:r>
        <w:t>that</w:t>
      </w:r>
      <w:r>
        <w:rPr>
          <w:spacing w:val="10"/>
        </w:rPr>
        <w:t xml:space="preserve"> </w:t>
      </w:r>
      <w:r>
        <w:t>Pierre</w:t>
      </w:r>
      <w:r>
        <w:rPr>
          <w:spacing w:val="10"/>
        </w:rPr>
        <w:t xml:space="preserve"> </w:t>
      </w:r>
      <w:r>
        <w:t>knows</w:t>
      </w:r>
      <w:r>
        <w:rPr>
          <w:spacing w:val="10"/>
        </w:rPr>
        <w:t xml:space="preserve"> </w:t>
      </w:r>
      <w:r>
        <w:t>what</w:t>
      </w:r>
      <w:r>
        <w:rPr>
          <w:spacing w:val="11"/>
        </w:rPr>
        <w:t xml:space="preserve"> </w:t>
      </w:r>
      <w:r>
        <w:rPr>
          <w:spacing w:val="-2"/>
        </w:rPr>
        <w:t>“London”</w:t>
      </w:r>
    </w:p>
    <w:p w14:paraId="7E0012C3" w14:textId="77777777" w:rsidR="009A58DB" w:rsidRDefault="00000000">
      <w:pPr>
        <w:pStyle w:val="BodyText"/>
        <w:spacing w:before="61"/>
      </w:pPr>
      <w:r>
        <w:t>refers</w:t>
      </w:r>
      <w:r>
        <w:rPr>
          <w:spacing w:val="-4"/>
        </w:rPr>
        <w:t xml:space="preserve"> </w:t>
      </w:r>
      <w:r>
        <w:t>to,</w:t>
      </w:r>
      <w:r>
        <w:rPr>
          <w:spacing w:val="-2"/>
        </w:rPr>
        <w:t xml:space="preserve"> </w:t>
      </w:r>
      <w:r>
        <w:t>it</w:t>
      </w:r>
      <w:r>
        <w:rPr>
          <w:spacing w:val="-3"/>
        </w:rPr>
        <w:t xml:space="preserve"> </w:t>
      </w:r>
      <w:r>
        <w:t>is</w:t>
      </w:r>
      <w:r>
        <w:rPr>
          <w:spacing w:val="-3"/>
        </w:rPr>
        <w:t xml:space="preserve"> </w:t>
      </w:r>
      <w:r>
        <w:t>rational</w:t>
      </w:r>
      <w:r>
        <w:rPr>
          <w:spacing w:val="-3"/>
        </w:rPr>
        <w:t xml:space="preserve"> </w:t>
      </w:r>
      <w:r>
        <w:t>of</w:t>
      </w:r>
      <w:r>
        <w:rPr>
          <w:spacing w:val="-3"/>
        </w:rPr>
        <w:t xml:space="preserve"> </w:t>
      </w:r>
      <w:r>
        <w:t>him</w:t>
      </w:r>
      <w:r>
        <w:rPr>
          <w:spacing w:val="-3"/>
        </w:rPr>
        <w:t xml:space="preserve"> </w:t>
      </w:r>
      <w:r>
        <w:t>to</w:t>
      </w:r>
      <w:r>
        <w:rPr>
          <w:spacing w:val="-2"/>
        </w:rPr>
        <w:t xml:space="preserve"> </w:t>
      </w:r>
      <w:r>
        <w:t>accept</w:t>
      </w:r>
      <w:r>
        <w:rPr>
          <w:spacing w:val="-3"/>
        </w:rPr>
        <w:t xml:space="preserve"> </w:t>
      </w:r>
      <w:r>
        <w:rPr>
          <w:spacing w:val="-4"/>
        </w:rPr>
        <w:t>(2).</w:t>
      </w:r>
    </w:p>
    <w:p w14:paraId="7E0012C4" w14:textId="77777777" w:rsidR="009A58DB" w:rsidRDefault="00000000">
      <w:pPr>
        <w:pStyle w:val="BodyText"/>
        <w:spacing w:before="15" w:line="249" w:lineRule="auto"/>
        <w:ind w:right="359" w:firstLine="360"/>
      </w:pPr>
      <w:r>
        <w:t>Let’s think back to the time when Pierre, not yet having been abducted, was still in Paris. As we’ve said, Pierre has a lot of information about the city he knows as “Londres” and he draws the only reasonable inference that,</w:t>
      </w:r>
      <w:r>
        <w:rPr>
          <w:spacing w:val="40"/>
        </w:rPr>
        <w:t xml:space="preserve"> </w:t>
      </w:r>
      <w:r>
        <w:t>given</w:t>
      </w:r>
      <w:r>
        <w:rPr>
          <w:spacing w:val="-3"/>
        </w:rPr>
        <w:t xml:space="preserve"> </w:t>
      </w:r>
      <w:r>
        <w:t>that</w:t>
      </w:r>
      <w:r>
        <w:rPr>
          <w:spacing w:val="-3"/>
        </w:rPr>
        <w:t xml:space="preserve"> </w:t>
      </w:r>
      <w:r>
        <w:t>information,</w:t>
      </w:r>
      <w:r>
        <w:rPr>
          <w:spacing w:val="-3"/>
        </w:rPr>
        <w:t xml:space="preserve"> </w:t>
      </w:r>
      <w:r>
        <w:t>he</w:t>
      </w:r>
      <w:r>
        <w:rPr>
          <w:spacing w:val="-2"/>
        </w:rPr>
        <w:t xml:space="preserve"> </w:t>
      </w:r>
      <w:r>
        <w:t>can</w:t>
      </w:r>
      <w:r>
        <w:rPr>
          <w:spacing w:val="-3"/>
        </w:rPr>
        <w:t xml:space="preserve"> </w:t>
      </w:r>
      <w:r>
        <w:t>draw;</w:t>
      </w:r>
      <w:r>
        <w:rPr>
          <w:spacing w:val="-3"/>
        </w:rPr>
        <w:t xml:space="preserve"> </w:t>
      </w:r>
      <w:r>
        <w:t>namely,</w:t>
      </w:r>
      <w:r>
        <w:rPr>
          <w:spacing w:val="-3"/>
        </w:rPr>
        <w:t xml:space="preserve"> </w:t>
      </w:r>
      <w:r>
        <w:t>that</w:t>
      </w:r>
      <w:r>
        <w:rPr>
          <w:spacing w:val="-2"/>
        </w:rPr>
        <w:t xml:space="preserve"> </w:t>
      </w:r>
      <w:r>
        <w:t>it</w:t>
      </w:r>
      <w:r>
        <w:rPr>
          <w:spacing w:val="-3"/>
        </w:rPr>
        <w:t xml:space="preserve"> </w:t>
      </w:r>
      <w:r>
        <w:t>is</w:t>
      </w:r>
      <w:r>
        <w:rPr>
          <w:spacing w:val="-3"/>
        </w:rPr>
        <w:t xml:space="preserve"> </w:t>
      </w:r>
      <w:r>
        <w:t>a</w:t>
      </w:r>
      <w:r>
        <w:rPr>
          <w:spacing w:val="-3"/>
        </w:rPr>
        <w:t xml:space="preserve"> </w:t>
      </w:r>
      <w:r>
        <w:t>pretty</w:t>
      </w:r>
      <w:r>
        <w:rPr>
          <w:spacing w:val="-2"/>
        </w:rPr>
        <w:t xml:space="preserve"> </w:t>
      </w:r>
      <w:r>
        <w:t>city.</w:t>
      </w:r>
      <w:r>
        <w:rPr>
          <w:spacing w:val="-3"/>
        </w:rPr>
        <w:t xml:space="preserve"> </w:t>
      </w:r>
      <w:r>
        <w:t>For</w:t>
      </w:r>
      <w:r>
        <w:rPr>
          <w:spacing w:val="-3"/>
        </w:rPr>
        <w:t xml:space="preserve"> </w:t>
      </w:r>
      <w:r>
        <w:t>he</w:t>
      </w:r>
      <w:r>
        <w:rPr>
          <w:spacing w:val="-2"/>
        </w:rPr>
        <w:t xml:space="preserve"> </w:t>
      </w:r>
      <w:r>
        <w:t>has read in various books that he knows to be authoritative that:</w:t>
      </w:r>
    </w:p>
    <w:p w14:paraId="7E0012C5" w14:textId="77777777" w:rsidR="009A58DB" w:rsidRDefault="009A58DB">
      <w:pPr>
        <w:pStyle w:val="BodyText"/>
        <w:spacing w:before="21"/>
        <w:ind w:left="0"/>
        <w:jc w:val="left"/>
      </w:pPr>
    </w:p>
    <w:p w14:paraId="7E0012C6" w14:textId="77777777" w:rsidR="009A58DB" w:rsidRDefault="00000000">
      <w:pPr>
        <w:pStyle w:val="BodyText"/>
        <w:spacing w:line="249" w:lineRule="auto"/>
        <w:ind w:right="361"/>
      </w:pPr>
      <w:r>
        <w:t>(##) There is a certain city x such that x is more populous than any other in Britain, such that is the Capital of Britain, such that there are beautiful buildings in x, such that x’s streets are generally very clean, there isn’t much violent crime in x, there are beautiful buildings in x, etc.; moreover, “Londres” refers to x.</w:t>
      </w:r>
    </w:p>
    <w:p w14:paraId="7E0012C7" w14:textId="77777777" w:rsidR="009A58DB" w:rsidRDefault="009A58DB">
      <w:pPr>
        <w:pStyle w:val="BodyText"/>
        <w:spacing w:before="21"/>
        <w:ind w:left="0"/>
        <w:jc w:val="left"/>
      </w:pPr>
    </w:p>
    <w:p w14:paraId="7E0012C8" w14:textId="77777777" w:rsidR="009A58DB" w:rsidRDefault="00000000">
      <w:pPr>
        <w:pStyle w:val="BodyText"/>
        <w:spacing w:line="249" w:lineRule="auto"/>
        <w:ind w:right="362"/>
      </w:pPr>
      <w:r>
        <w:t>Given that it is through some proposition along the lines of ## that Pierre knows what “Londres” refers to, it is inevitable that an utterance of:</w:t>
      </w:r>
    </w:p>
    <w:p w14:paraId="7E0012C9" w14:textId="77777777" w:rsidR="009A58DB" w:rsidRDefault="009A58DB">
      <w:pPr>
        <w:pStyle w:val="BodyText"/>
        <w:spacing w:before="17"/>
        <w:ind w:left="0"/>
        <w:jc w:val="left"/>
      </w:pPr>
    </w:p>
    <w:p w14:paraId="7E0012CA" w14:textId="77777777" w:rsidR="009A58DB" w:rsidRDefault="00000000">
      <w:pPr>
        <w:pStyle w:val="BodyText"/>
        <w:spacing w:before="1"/>
        <w:jc w:val="left"/>
      </w:pPr>
      <w:r>
        <w:t>(1)</w:t>
      </w:r>
      <w:r>
        <w:rPr>
          <w:spacing w:val="-4"/>
        </w:rPr>
        <w:t xml:space="preserve"> </w:t>
      </w:r>
      <w:r>
        <w:t>“Londres</w:t>
      </w:r>
      <w:r>
        <w:rPr>
          <w:spacing w:val="-3"/>
        </w:rPr>
        <w:t xml:space="preserve"> </w:t>
      </w:r>
      <w:r>
        <w:t>est</w:t>
      </w:r>
      <w:r>
        <w:rPr>
          <w:spacing w:val="-3"/>
        </w:rPr>
        <w:t xml:space="preserve"> </w:t>
      </w:r>
      <w:r>
        <w:rPr>
          <w:spacing w:val="-2"/>
        </w:rPr>
        <w:t>jolie”</w:t>
      </w:r>
    </w:p>
    <w:p w14:paraId="7E0012CB" w14:textId="77777777" w:rsidR="009A58DB" w:rsidRDefault="009A58DB">
      <w:pPr>
        <w:pStyle w:val="BodyText"/>
        <w:spacing w:before="29"/>
        <w:ind w:left="0"/>
        <w:jc w:val="left"/>
      </w:pPr>
    </w:p>
    <w:p w14:paraId="7E0012CC" w14:textId="77777777" w:rsidR="009A58DB" w:rsidRDefault="00000000">
      <w:pPr>
        <w:pStyle w:val="BodyText"/>
        <w:spacing w:before="1"/>
      </w:pPr>
      <w:r>
        <w:t>would</w:t>
      </w:r>
      <w:r>
        <w:rPr>
          <w:spacing w:val="-5"/>
        </w:rPr>
        <w:t xml:space="preserve"> </w:t>
      </w:r>
      <w:r>
        <w:t>convey</w:t>
      </w:r>
      <w:r>
        <w:rPr>
          <w:spacing w:val="-2"/>
        </w:rPr>
        <w:t xml:space="preserve"> </w:t>
      </w:r>
      <w:r>
        <w:t>to</w:t>
      </w:r>
      <w:r>
        <w:rPr>
          <w:spacing w:val="-2"/>
        </w:rPr>
        <w:t xml:space="preserve"> </w:t>
      </w:r>
      <w:r>
        <w:t>him</w:t>
      </w:r>
      <w:r>
        <w:rPr>
          <w:spacing w:val="-3"/>
        </w:rPr>
        <w:t xml:space="preserve"> </w:t>
      </w:r>
      <w:r>
        <w:t>something</w:t>
      </w:r>
      <w:r>
        <w:rPr>
          <w:spacing w:val="-2"/>
        </w:rPr>
        <w:t xml:space="preserve"> </w:t>
      </w:r>
      <w:r>
        <w:t>along</w:t>
      </w:r>
      <w:r>
        <w:rPr>
          <w:spacing w:val="-2"/>
        </w:rPr>
        <w:t xml:space="preserve"> </w:t>
      </w:r>
      <w:r>
        <w:t>the</w:t>
      </w:r>
      <w:r>
        <w:rPr>
          <w:spacing w:val="-3"/>
        </w:rPr>
        <w:t xml:space="preserve"> </w:t>
      </w:r>
      <w:r>
        <w:t>lines</w:t>
      </w:r>
      <w:r>
        <w:rPr>
          <w:spacing w:val="-3"/>
        </w:rPr>
        <w:t xml:space="preserve"> </w:t>
      </w:r>
      <w:r>
        <w:rPr>
          <w:spacing w:val="-5"/>
        </w:rPr>
        <w:t>of:</w:t>
      </w:r>
    </w:p>
    <w:p w14:paraId="7E0012CD" w14:textId="77777777" w:rsidR="009A58DB" w:rsidRDefault="009A58DB">
      <w:pPr>
        <w:pStyle w:val="BodyText"/>
        <w:spacing w:before="29"/>
        <w:ind w:left="0"/>
        <w:jc w:val="left"/>
      </w:pPr>
    </w:p>
    <w:p w14:paraId="7E0012CE" w14:textId="77777777" w:rsidR="009A58DB" w:rsidRDefault="00000000">
      <w:pPr>
        <w:pStyle w:val="BodyText"/>
        <w:spacing w:before="1" w:line="249" w:lineRule="auto"/>
        <w:ind w:right="371"/>
      </w:pPr>
      <w:r>
        <w:t>(##^) There is a certain city x such that x is more populous than any other in Britain [etc.] and “Londres” refers to x; moreover, x is pretty.</w:t>
      </w:r>
    </w:p>
    <w:p w14:paraId="7E0012CF" w14:textId="77777777" w:rsidR="009A58DB" w:rsidRDefault="009A58DB">
      <w:pPr>
        <w:pStyle w:val="BodyText"/>
        <w:spacing w:before="17"/>
        <w:ind w:left="0"/>
        <w:jc w:val="left"/>
      </w:pPr>
    </w:p>
    <w:p w14:paraId="7E0012D0" w14:textId="77777777" w:rsidR="009A58DB" w:rsidRDefault="00000000">
      <w:pPr>
        <w:pStyle w:val="BodyText"/>
        <w:spacing w:line="249" w:lineRule="auto"/>
        <w:ind w:right="361"/>
      </w:pPr>
      <w:r>
        <w:t>And given that (1) communicates (##^) to Pierre, it’s clear, given the information at his disposal, that he’s rational to accept (1).</w:t>
      </w:r>
    </w:p>
    <w:p w14:paraId="7E0012D1" w14:textId="77777777" w:rsidR="009A58DB" w:rsidRDefault="00000000">
      <w:pPr>
        <w:pStyle w:val="BodyText"/>
        <w:spacing w:before="3" w:line="249" w:lineRule="auto"/>
        <w:ind w:right="359" w:firstLine="360"/>
      </w:pPr>
      <w:r>
        <w:t>Here’s what’s going on. Pierre knows what “London” refers to and he also knows what “Londres” refer to. He doesn’t know that they refer to the same thing, since the body of descriptive information that he uses to attach “London” to the right thing is different from the body of descriptive information</w:t>
      </w:r>
      <w:r>
        <w:rPr>
          <w:spacing w:val="20"/>
        </w:rPr>
        <w:t xml:space="preserve"> </w:t>
      </w:r>
      <w:r>
        <w:t>that</w:t>
      </w:r>
      <w:r>
        <w:rPr>
          <w:spacing w:val="20"/>
        </w:rPr>
        <w:t xml:space="preserve"> </w:t>
      </w:r>
      <w:r>
        <w:t>he</w:t>
      </w:r>
      <w:r>
        <w:rPr>
          <w:spacing w:val="20"/>
        </w:rPr>
        <w:t xml:space="preserve"> </w:t>
      </w:r>
      <w:r>
        <w:t>uses</w:t>
      </w:r>
      <w:r>
        <w:rPr>
          <w:spacing w:val="20"/>
        </w:rPr>
        <w:t xml:space="preserve"> </w:t>
      </w:r>
      <w:r>
        <w:t>to</w:t>
      </w:r>
      <w:r>
        <w:rPr>
          <w:spacing w:val="20"/>
        </w:rPr>
        <w:t xml:space="preserve"> </w:t>
      </w:r>
      <w:r>
        <w:t>attach</w:t>
      </w:r>
      <w:r>
        <w:rPr>
          <w:spacing w:val="20"/>
        </w:rPr>
        <w:t xml:space="preserve"> </w:t>
      </w:r>
      <w:r>
        <w:t>“Londres”</w:t>
      </w:r>
      <w:r>
        <w:rPr>
          <w:spacing w:val="20"/>
        </w:rPr>
        <w:t xml:space="preserve"> </w:t>
      </w:r>
      <w:r>
        <w:t>to</w:t>
      </w:r>
      <w:r>
        <w:rPr>
          <w:spacing w:val="20"/>
        </w:rPr>
        <w:t xml:space="preserve"> </w:t>
      </w:r>
      <w:r>
        <w:t>that</w:t>
      </w:r>
      <w:r>
        <w:rPr>
          <w:spacing w:val="20"/>
        </w:rPr>
        <w:t xml:space="preserve"> </w:t>
      </w:r>
      <w:r>
        <w:t>thing.</w:t>
      </w:r>
      <w:r>
        <w:rPr>
          <w:spacing w:val="20"/>
        </w:rPr>
        <w:t xml:space="preserve"> </w:t>
      </w:r>
      <w:r>
        <w:t>This</w:t>
      </w:r>
      <w:r>
        <w:rPr>
          <w:spacing w:val="20"/>
        </w:rPr>
        <w:t xml:space="preserve"> </w:t>
      </w:r>
      <w:r>
        <w:t>is</w:t>
      </w:r>
      <w:r>
        <w:rPr>
          <w:spacing w:val="20"/>
        </w:rPr>
        <w:t xml:space="preserve"> </w:t>
      </w:r>
      <w:r>
        <w:t>consistent</w:t>
      </w:r>
    </w:p>
    <w:p w14:paraId="7E0012D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D3" w14:textId="77777777" w:rsidR="009A58DB" w:rsidRDefault="00000000">
      <w:pPr>
        <w:pStyle w:val="BodyText"/>
        <w:spacing w:before="65" w:line="249" w:lineRule="auto"/>
        <w:ind w:right="358"/>
      </w:pPr>
      <w:r>
        <w:lastRenderedPageBreak/>
        <w:t>with the supposition that he knows what “Londres” and “London” refer to. (I may not know that my friend Smith is also the masked bandit and, therefore, that</w:t>
      </w:r>
      <w:r>
        <w:rPr>
          <w:spacing w:val="-3"/>
        </w:rPr>
        <w:t xml:space="preserve"> </w:t>
      </w:r>
      <w:r>
        <w:t>“the</w:t>
      </w:r>
      <w:r>
        <w:rPr>
          <w:spacing w:val="-2"/>
        </w:rPr>
        <w:t xml:space="preserve"> </w:t>
      </w:r>
      <w:r>
        <w:t>masked</w:t>
      </w:r>
      <w:r>
        <w:rPr>
          <w:spacing w:val="-2"/>
        </w:rPr>
        <w:t xml:space="preserve"> </w:t>
      </w:r>
      <w:r>
        <w:t>bandit”</w:t>
      </w:r>
      <w:r>
        <w:rPr>
          <w:spacing w:val="-2"/>
        </w:rPr>
        <w:t xml:space="preserve"> </w:t>
      </w:r>
      <w:r>
        <w:t>refers</w:t>
      </w:r>
      <w:r>
        <w:rPr>
          <w:spacing w:val="-2"/>
        </w:rPr>
        <w:t xml:space="preserve"> </w:t>
      </w:r>
      <w:r>
        <w:t>to</w:t>
      </w:r>
      <w:r>
        <w:rPr>
          <w:spacing w:val="-2"/>
        </w:rPr>
        <w:t xml:space="preserve"> </w:t>
      </w:r>
      <w:r>
        <w:t>Smith.</w:t>
      </w:r>
      <w:r>
        <w:rPr>
          <w:spacing w:val="-2"/>
        </w:rPr>
        <w:t xml:space="preserve"> </w:t>
      </w:r>
      <w:r>
        <w:t>But</w:t>
      </w:r>
      <w:r>
        <w:rPr>
          <w:spacing w:val="-2"/>
        </w:rPr>
        <w:t xml:space="preserve"> </w:t>
      </w:r>
      <w:r>
        <w:t>I</w:t>
      </w:r>
      <w:r>
        <w:rPr>
          <w:spacing w:val="-2"/>
        </w:rPr>
        <w:t xml:space="preserve"> </w:t>
      </w:r>
      <w:r>
        <w:t>know</w:t>
      </w:r>
      <w:r>
        <w:rPr>
          <w:spacing w:val="-2"/>
        </w:rPr>
        <w:t xml:space="preserve"> </w:t>
      </w:r>
      <w:r>
        <w:t>who</w:t>
      </w:r>
      <w:r>
        <w:rPr>
          <w:spacing w:val="-2"/>
        </w:rPr>
        <w:t xml:space="preserve"> </w:t>
      </w:r>
      <w:r>
        <w:t>“Smith”</w:t>
      </w:r>
      <w:r>
        <w:rPr>
          <w:spacing w:val="-2"/>
        </w:rPr>
        <w:t xml:space="preserve"> </w:t>
      </w:r>
      <w:r>
        <w:t>refers</w:t>
      </w:r>
      <w:r>
        <w:rPr>
          <w:spacing w:val="-2"/>
        </w:rPr>
        <w:t xml:space="preserve"> </w:t>
      </w:r>
      <w:r>
        <w:t xml:space="preserve">to—he refers to my amicable next-door neighbor. And I also know who “the masked bandit” refers to—it refers to the cape-wearing buffoon frequently featured on the evening news.) Given that Pierre speaks both French and English, he understands (1) and (2). He rationally assents to both, even though the one is the negation of the other. This is </w:t>
      </w:r>
      <w:r>
        <w:rPr>
          <w:i/>
        </w:rPr>
        <w:t>not</w:t>
      </w:r>
      <w:r>
        <w:rPr>
          <w:i/>
          <w:spacing w:val="-3"/>
        </w:rPr>
        <w:t xml:space="preserve"> </w:t>
      </w:r>
      <w:r>
        <w:t>because he ratio-nally accepts</w:t>
      </w:r>
      <w:r>
        <w:rPr>
          <w:spacing w:val="-3"/>
        </w:rPr>
        <w:t xml:space="preserve"> </w:t>
      </w:r>
      <w:r>
        <w:t>some</w:t>
      </w:r>
      <w:r>
        <w:rPr>
          <w:spacing w:val="-3"/>
        </w:rPr>
        <w:t xml:space="preserve"> </w:t>
      </w:r>
      <w:r>
        <w:t>proposition</w:t>
      </w:r>
      <w:r>
        <w:rPr>
          <w:spacing w:val="-2"/>
        </w:rPr>
        <w:t xml:space="preserve"> </w:t>
      </w:r>
      <w:r>
        <w:rPr>
          <w:i/>
        </w:rPr>
        <w:t>and</w:t>
      </w:r>
      <w:r>
        <w:rPr>
          <w:i/>
          <w:spacing w:val="-2"/>
        </w:rPr>
        <w:t xml:space="preserve"> </w:t>
      </w:r>
      <w:r>
        <w:t>its</w:t>
      </w:r>
      <w:r>
        <w:rPr>
          <w:spacing w:val="-3"/>
        </w:rPr>
        <w:t xml:space="preserve"> </w:t>
      </w:r>
      <w:r>
        <w:t>negation.</w:t>
      </w:r>
      <w:r>
        <w:rPr>
          <w:spacing w:val="-2"/>
        </w:rPr>
        <w:t xml:space="preserve"> </w:t>
      </w:r>
      <w:r>
        <w:rPr>
          <w:i/>
        </w:rPr>
        <w:t>Nor</w:t>
      </w:r>
      <w:r>
        <w:rPr>
          <w:i/>
          <w:spacing w:val="-3"/>
        </w:rPr>
        <w:t xml:space="preserve"> </w:t>
      </w:r>
      <w:r>
        <w:t xml:space="preserve">is it because “the apparatus of propositions breaks down,” whatever that means. No—it’s because, given the information </w:t>
      </w:r>
      <w:r>
        <w:rPr>
          <w:i/>
        </w:rPr>
        <w:t xml:space="preserve">through </w:t>
      </w:r>
      <w:r>
        <w:t>which he learned the relevant semantic rules (the ones that, for some x (namely London), are to the effect that “Londres” refers to x and that “London” refers to x), (1) and (2) communicate very different propositions to Pierre. Those propositions don’t entail each other, and they are, in addition, supported by very different bodies of data.</w:t>
      </w:r>
    </w:p>
    <w:p w14:paraId="7E0012D4" w14:textId="77777777" w:rsidR="009A58DB" w:rsidRDefault="00000000">
      <w:pPr>
        <w:pStyle w:val="BodyText"/>
        <w:spacing w:before="18" w:line="249" w:lineRule="auto"/>
        <w:ind w:right="359" w:firstLine="360"/>
      </w:pPr>
      <w:r>
        <w:t xml:space="preserve">There is no proposition that Pierre both accepts and rejects. Salmon is just plain wrong to think otherwise. And his contention that one </w:t>
      </w:r>
      <w:r>
        <w:rPr>
          <w:i/>
        </w:rPr>
        <w:t xml:space="preserve">can </w:t>
      </w:r>
      <w:r>
        <w:t>rationally accept propositions and their negations involves a number of rather obvious fallacies.</w:t>
      </w:r>
      <w:r>
        <w:rPr>
          <w:spacing w:val="76"/>
        </w:rPr>
        <w:t xml:space="preserve"> </w:t>
      </w:r>
      <w:r>
        <w:t>First,</w:t>
      </w:r>
      <w:r>
        <w:rPr>
          <w:spacing w:val="79"/>
        </w:rPr>
        <w:t xml:space="preserve"> </w:t>
      </w:r>
      <w:r>
        <w:t>sentences</w:t>
      </w:r>
      <w:r>
        <w:rPr>
          <w:spacing w:val="79"/>
        </w:rPr>
        <w:t xml:space="preserve"> </w:t>
      </w:r>
      <w:r>
        <w:t>are</w:t>
      </w:r>
      <w:r>
        <w:rPr>
          <w:spacing w:val="79"/>
        </w:rPr>
        <w:t xml:space="preserve"> </w:t>
      </w:r>
      <w:r>
        <w:t>not</w:t>
      </w:r>
      <w:r>
        <w:rPr>
          <w:spacing w:val="79"/>
        </w:rPr>
        <w:t xml:space="preserve"> </w:t>
      </w:r>
      <w:r>
        <w:t>propositions.</w:t>
      </w:r>
      <w:r>
        <w:rPr>
          <w:spacing w:val="79"/>
        </w:rPr>
        <w:t xml:space="preserve"> </w:t>
      </w:r>
      <w:r>
        <w:t>Suppose</w:t>
      </w:r>
      <w:r>
        <w:rPr>
          <w:spacing w:val="79"/>
        </w:rPr>
        <w:t xml:space="preserve"> </w:t>
      </w:r>
      <w:r>
        <w:t>that</w:t>
      </w:r>
      <w:r>
        <w:rPr>
          <w:spacing w:val="79"/>
        </w:rPr>
        <w:t xml:space="preserve"> </w:t>
      </w:r>
      <w:r>
        <w:t>sentence</w:t>
      </w:r>
      <w:r>
        <w:rPr>
          <w:spacing w:val="79"/>
        </w:rPr>
        <w:t xml:space="preserve"> </w:t>
      </w:r>
      <w:r>
        <w:rPr>
          <w:spacing w:val="-5"/>
        </w:rPr>
        <w:t>S</w:t>
      </w:r>
      <w:r>
        <w:rPr>
          <w:spacing w:val="-5"/>
          <w:vertAlign w:val="subscript"/>
        </w:rPr>
        <w:t>1</w:t>
      </w:r>
    </w:p>
    <w:p w14:paraId="7E0012D5" w14:textId="77777777" w:rsidR="009A58DB" w:rsidRDefault="00000000">
      <w:pPr>
        <w:pStyle w:val="BodyText"/>
        <w:spacing w:before="65" w:line="271" w:lineRule="auto"/>
        <w:ind w:right="359"/>
      </w:pPr>
      <w:r>
        <w:t>encodes proposition P</w:t>
      </w:r>
      <w:r>
        <w:rPr>
          <w:vertAlign w:val="subscript"/>
        </w:rPr>
        <w:t>1</w:t>
      </w:r>
      <w:r>
        <w:t xml:space="preserve"> and that sentence S</w:t>
      </w:r>
      <w:r>
        <w:rPr>
          <w:vertAlign w:val="subscript"/>
        </w:rPr>
        <w:t>2</w:t>
      </w:r>
      <w:r>
        <w:t xml:space="preserve"> encodes the negation of P</w:t>
      </w:r>
      <w:r>
        <w:rPr>
          <w:vertAlign w:val="subscript"/>
        </w:rPr>
        <w:t>1</w:t>
      </w:r>
      <w:r>
        <w:t>.</w:t>
      </w:r>
      <w:r>
        <w:rPr>
          <w:spacing w:val="80"/>
        </w:rPr>
        <w:t xml:space="preserve"> </w:t>
      </w:r>
      <w:r>
        <w:t xml:space="preserve">Given </w:t>
      </w:r>
      <w:r>
        <w:rPr>
          <w:i/>
        </w:rPr>
        <w:t xml:space="preserve">only </w:t>
      </w:r>
      <w:r>
        <w:t>that information, it doesn’t follow that a person who understands S</w:t>
      </w:r>
      <w:r>
        <w:rPr>
          <w:vertAlign w:val="subscript"/>
        </w:rPr>
        <w:t>1</w:t>
      </w:r>
      <w:r>
        <w:rPr>
          <w:spacing w:val="7"/>
        </w:rPr>
        <w:t xml:space="preserve"> </w:t>
      </w:r>
      <w:r>
        <w:t>and</w:t>
      </w:r>
      <w:r>
        <w:rPr>
          <w:spacing w:val="8"/>
        </w:rPr>
        <w:t xml:space="preserve"> </w:t>
      </w:r>
      <w:r>
        <w:t>S</w:t>
      </w:r>
      <w:r>
        <w:rPr>
          <w:vertAlign w:val="subscript"/>
        </w:rPr>
        <w:t>2</w:t>
      </w:r>
      <w:r>
        <w:rPr>
          <w:spacing w:val="7"/>
        </w:rPr>
        <w:t xml:space="preserve"> </w:t>
      </w:r>
      <w:r>
        <w:t>can’t</w:t>
      </w:r>
      <w:r>
        <w:rPr>
          <w:spacing w:val="8"/>
        </w:rPr>
        <w:t xml:space="preserve"> </w:t>
      </w:r>
      <w:r>
        <w:t>rationally</w:t>
      </w:r>
      <w:r>
        <w:rPr>
          <w:spacing w:val="8"/>
        </w:rPr>
        <w:t xml:space="preserve"> </w:t>
      </w:r>
      <w:r>
        <w:t>accept</w:t>
      </w:r>
      <w:r>
        <w:rPr>
          <w:spacing w:val="7"/>
        </w:rPr>
        <w:t xml:space="preserve"> </w:t>
      </w:r>
      <w:r>
        <w:t>both</w:t>
      </w:r>
      <w:r>
        <w:rPr>
          <w:spacing w:val="8"/>
        </w:rPr>
        <w:t xml:space="preserve"> </w:t>
      </w:r>
      <w:r>
        <w:t>of</w:t>
      </w:r>
      <w:r>
        <w:rPr>
          <w:spacing w:val="8"/>
        </w:rPr>
        <w:t xml:space="preserve"> </w:t>
      </w:r>
      <w:r>
        <w:t>those</w:t>
      </w:r>
      <w:r>
        <w:rPr>
          <w:spacing w:val="7"/>
        </w:rPr>
        <w:t xml:space="preserve"> </w:t>
      </w:r>
      <w:r>
        <w:t>sentences.</w:t>
      </w:r>
      <w:r>
        <w:rPr>
          <w:spacing w:val="8"/>
        </w:rPr>
        <w:t xml:space="preserve"> </w:t>
      </w:r>
      <w:r>
        <w:t>For</w:t>
      </w:r>
      <w:r>
        <w:rPr>
          <w:spacing w:val="8"/>
        </w:rPr>
        <w:t xml:space="preserve"> </w:t>
      </w:r>
      <w:r>
        <w:t>it</w:t>
      </w:r>
      <w:r>
        <w:rPr>
          <w:spacing w:val="7"/>
        </w:rPr>
        <w:t xml:space="preserve"> </w:t>
      </w:r>
      <w:r>
        <w:t>could</w:t>
      </w:r>
      <w:r>
        <w:rPr>
          <w:spacing w:val="8"/>
        </w:rPr>
        <w:t xml:space="preserve"> </w:t>
      </w:r>
      <w:r>
        <w:t>be</w:t>
      </w:r>
      <w:r>
        <w:rPr>
          <w:spacing w:val="7"/>
        </w:rPr>
        <w:t xml:space="preserve"> </w:t>
      </w:r>
      <w:r>
        <w:rPr>
          <w:spacing w:val="-2"/>
        </w:rPr>
        <w:t>that,</w:t>
      </w:r>
    </w:p>
    <w:p w14:paraId="7E0012D6" w14:textId="77777777" w:rsidR="009A58DB" w:rsidRDefault="00000000">
      <w:pPr>
        <w:pStyle w:val="BodyText"/>
        <w:spacing w:before="31" w:line="249" w:lineRule="auto"/>
        <w:ind w:right="360"/>
      </w:pPr>
      <w:r>
        <w:t>given the information through which that person learned the relevant</w:t>
      </w:r>
      <w:r>
        <w:rPr>
          <w:spacing w:val="40"/>
        </w:rPr>
        <w:t xml:space="preserve"> </w:t>
      </w:r>
      <w:r>
        <w:t xml:space="preserve">semantic rules, the </w:t>
      </w:r>
      <w:r>
        <w:rPr>
          <w:i/>
        </w:rPr>
        <w:t xml:space="preserve">propositions </w:t>
      </w:r>
      <w:r>
        <w:t xml:space="preserve">conveyed to him by those sentences </w:t>
      </w:r>
      <w:r>
        <w:rPr>
          <w:i/>
        </w:rPr>
        <w:t xml:space="preserve">could </w:t>
      </w:r>
      <w:r>
        <w:t xml:space="preserve">both be true. Salmon agrees that, given only that the proposition encoded in the one sentence is the negation of the proposition encoded in the other, one can rationally accept both sentences. But </w:t>
      </w:r>
      <w:r>
        <w:rPr>
          <w:i/>
        </w:rPr>
        <w:t xml:space="preserve">he </w:t>
      </w:r>
      <w:r>
        <w:t xml:space="preserve">thinks this is because one can rationally accept </w:t>
      </w:r>
      <w:r>
        <w:rPr>
          <w:i/>
        </w:rPr>
        <w:t xml:space="preserve">propositions </w:t>
      </w:r>
      <w:r>
        <w:t xml:space="preserve">that are inconsistent with each other; Salmon thinks that one accept the </w:t>
      </w:r>
      <w:r>
        <w:rPr>
          <w:i/>
        </w:rPr>
        <w:t xml:space="preserve">propositions </w:t>
      </w:r>
      <w:r>
        <w:t xml:space="preserve">P </w:t>
      </w:r>
      <w:r>
        <w:rPr>
          <w:i/>
        </w:rPr>
        <w:t xml:space="preserve">and </w:t>
      </w:r>
      <w:r>
        <w:t xml:space="preserve">not-P </w:t>
      </w:r>
      <w:r>
        <w:rPr>
          <w:i/>
        </w:rPr>
        <w:t xml:space="preserve">without being irrational. </w:t>
      </w:r>
      <w:r>
        <w:t>This is a deeply irrational belief. Irrationality is acceptance of incoherencies, such as P and not-P.</w:t>
      </w:r>
    </w:p>
    <w:p w14:paraId="7E0012D7" w14:textId="77777777" w:rsidR="009A58DB" w:rsidRDefault="00000000">
      <w:pPr>
        <w:pStyle w:val="BodyText"/>
        <w:spacing w:before="11"/>
        <w:ind w:left="720"/>
      </w:pPr>
      <w:r>
        <w:t>Salmon</w:t>
      </w:r>
      <w:r>
        <w:rPr>
          <w:spacing w:val="32"/>
        </w:rPr>
        <w:t xml:space="preserve"> </w:t>
      </w:r>
      <w:r>
        <w:t>holds,</w:t>
      </w:r>
      <w:r>
        <w:rPr>
          <w:spacing w:val="33"/>
        </w:rPr>
        <w:t xml:space="preserve"> </w:t>
      </w:r>
      <w:r>
        <w:t>correctly,</w:t>
      </w:r>
      <w:r>
        <w:rPr>
          <w:spacing w:val="33"/>
        </w:rPr>
        <w:t xml:space="preserve"> </w:t>
      </w:r>
      <w:r>
        <w:t>that</w:t>
      </w:r>
      <w:r>
        <w:rPr>
          <w:spacing w:val="33"/>
        </w:rPr>
        <w:t xml:space="preserve"> </w:t>
      </w:r>
      <w:r>
        <w:t>Pierre</w:t>
      </w:r>
      <w:r>
        <w:rPr>
          <w:spacing w:val="33"/>
        </w:rPr>
        <w:t xml:space="preserve"> </w:t>
      </w:r>
      <w:r>
        <w:t>is</w:t>
      </w:r>
      <w:r>
        <w:rPr>
          <w:spacing w:val="32"/>
        </w:rPr>
        <w:t xml:space="preserve"> </w:t>
      </w:r>
      <w:r>
        <w:t>rational</w:t>
      </w:r>
      <w:r>
        <w:rPr>
          <w:spacing w:val="33"/>
        </w:rPr>
        <w:t xml:space="preserve"> </w:t>
      </w:r>
      <w:r>
        <w:t>in</w:t>
      </w:r>
      <w:r>
        <w:rPr>
          <w:spacing w:val="33"/>
        </w:rPr>
        <w:t xml:space="preserve"> </w:t>
      </w:r>
      <w:r>
        <w:t>accepting</w:t>
      </w:r>
      <w:r>
        <w:rPr>
          <w:spacing w:val="33"/>
        </w:rPr>
        <w:t xml:space="preserve"> </w:t>
      </w:r>
      <w:r>
        <w:t>both</w:t>
      </w:r>
      <w:r>
        <w:rPr>
          <w:spacing w:val="33"/>
        </w:rPr>
        <w:t xml:space="preserve"> </w:t>
      </w:r>
      <w:r>
        <w:t>(1)</w:t>
      </w:r>
      <w:r>
        <w:rPr>
          <w:spacing w:val="33"/>
        </w:rPr>
        <w:t xml:space="preserve"> </w:t>
      </w:r>
      <w:r>
        <w:rPr>
          <w:spacing w:val="-5"/>
        </w:rPr>
        <w:t>and</w:t>
      </w:r>
    </w:p>
    <w:p w14:paraId="7E0012D8" w14:textId="77777777" w:rsidR="009A58DB" w:rsidRDefault="00000000">
      <w:pPr>
        <w:pStyle w:val="BodyText"/>
        <w:spacing w:before="15" w:line="249" w:lineRule="auto"/>
        <w:ind w:right="361"/>
      </w:pPr>
      <w:r>
        <w:t xml:space="preserve">(2). According to Salmon, it follows from this that Pierre is rationally accepting some proposition </w:t>
      </w:r>
      <w:r>
        <w:rPr>
          <w:i/>
        </w:rPr>
        <w:t xml:space="preserve">and </w:t>
      </w:r>
      <w:r>
        <w:t xml:space="preserve">its negation. But that would follow </w:t>
      </w:r>
      <w:r>
        <w:rPr>
          <w:i/>
        </w:rPr>
        <w:t xml:space="preserve">only </w:t>
      </w:r>
      <w:r>
        <w:t>if what</w:t>
      </w:r>
      <w:r>
        <w:rPr>
          <w:spacing w:val="58"/>
        </w:rPr>
        <w:t xml:space="preserve"> </w:t>
      </w:r>
      <w:r>
        <w:t>(1)</w:t>
      </w:r>
      <w:r>
        <w:rPr>
          <w:spacing w:val="58"/>
        </w:rPr>
        <w:t xml:space="preserve"> </w:t>
      </w:r>
      <w:r>
        <w:t>and</w:t>
      </w:r>
      <w:r>
        <w:rPr>
          <w:spacing w:val="58"/>
        </w:rPr>
        <w:t xml:space="preserve"> </w:t>
      </w:r>
      <w:r>
        <w:t>(2)</w:t>
      </w:r>
      <w:r>
        <w:rPr>
          <w:spacing w:val="58"/>
        </w:rPr>
        <w:t xml:space="preserve"> </w:t>
      </w:r>
      <w:r>
        <w:t>conveyed</w:t>
      </w:r>
      <w:r>
        <w:rPr>
          <w:spacing w:val="58"/>
        </w:rPr>
        <w:t xml:space="preserve"> </w:t>
      </w:r>
      <w:r>
        <w:t>to</w:t>
      </w:r>
      <w:r>
        <w:rPr>
          <w:spacing w:val="58"/>
        </w:rPr>
        <w:t xml:space="preserve"> </w:t>
      </w:r>
      <w:r>
        <w:t>Pierre</w:t>
      </w:r>
      <w:r>
        <w:rPr>
          <w:spacing w:val="58"/>
        </w:rPr>
        <w:t xml:space="preserve"> </w:t>
      </w:r>
      <w:r>
        <w:t>were</w:t>
      </w:r>
      <w:r>
        <w:rPr>
          <w:spacing w:val="58"/>
        </w:rPr>
        <w:t xml:space="preserve"> </w:t>
      </w:r>
      <w:r>
        <w:t>confined</w:t>
      </w:r>
      <w:r>
        <w:rPr>
          <w:spacing w:val="58"/>
        </w:rPr>
        <w:t xml:space="preserve"> </w:t>
      </w:r>
      <w:r>
        <w:t>to</w:t>
      </w:r>
      <w:r>
        <w:rPr>
          <w:spacing w:val="58"/>
        </w:rPr>
        <w:t xml:space="preserve"> </w:t>
      </w:r>
      <w:r>
        <w:t>what</w:t>
      </w:r>
      <w:r>
        <w:rPr>
          <w:spacing w:val="58"/>
        </w:rPr>
        <w:t xml:space="preserve"> </w:t>
      </w:r>
      <w:r>
        <w:t>they</w:t>
      </w:r>
      <w:r>
        <w:rPr>
          <w:spacing w:val="58"/>
        </w:rPr>
        <w:t xml:space="preserve"> </w:t>
      </w:r>
      <w:r>
        <w:t>literally</w:t>
      </w:r>
    </w:p>
    <w:p w14:paraId="7E0012D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DA" w14:textId="77777777" w:rsidR="009A58DB" w:rsidRDefault="00000000">
      <w:pPr>
        <w:pStyle w:val="BodyText"/>
        <w:spacing w:before="65" w:line="249" w:lineRule="auto"/>
        <w:ind w:right="367"/>
      </w:pPr>
      <w:r>
        <w:lastRenderedPageBreak/>
        <w:t>mean. But what sentences convey isn’t always confined to what they literally mean. It’s seldom confined to it. (See Chapters 9 and 18.) Every semanticist knows this. It’s unclear why Salmon doesn’t know it or why, if he does, he didn’t see its bearing on this issue.</w:t>
      </w:r>
    </w:p>
    <w:p w14:paraId="7E0012DB" w14:textId="77777777" w:rsidR="009A58DB" w:rsidRDefault="00000000">
      <w:pPr>
        <w:pStyle w:val="Heading1"/>
        <w:numPr>
          <w:ilvl w:val="1"/>
          <w:numId w:val="155"/>
        </w:numPr>
        <w:tabs>
          <w:tab w:val="left" w:pos="1092"/>
        </w:tabs>
        <w:spacing w:before="193" w:line="244" w:lineRule="auto"/>
        <w:ind w:left="360" w:right="359" w:firstLine="0"/>
        <w:jc w:val="both"/>
      </w:pPr>
      <w:r>
        <w:t>Some final remarks on Frege’s conception of reference: Frege’s distinction between sense and reference are a distortion of the distinction between pre-semantics and semantics</w:t>
      </w:r>
    </w:p>
    <w:p w14:paraId="7E0012DC" w14:textId="77777777" w:rsidR="009A58DB" w:rsidRDefault="00000000">
      <w:pPr>
        <w:pStyle w:val="BodyText"/>
        <w:spacing w:before="136" w:line="249" w:lineRule="auto"/>
        <w:ind w:right="371"/>
      </w:pPr>
      <w:r>
        <w:t>We’ve seen that if a proper name N refers to some object x, then, in virtue of having the form ‹N has psi›, a sentence S is true just in case:</w:t>
      </w:r>
    </w:p>
    <w:p w14:paraId="7E0012DD" w14:textId="77777777" w:rsidR="009A58DB" w:rsidRDefault="009A58DB">
      <w:pPr>
        <w:pStyle w:val="BodyText"/>
        <w:spacing w:before="17"/>
        <w:ind w:left="0"/>
        <w:jc w:val="left"/>
      </w:pPr>
    </w:p>
    <w:p w14:paraId="7E0012DE" w14:textId="77777777" w:rsidR="009A58DB" w:rsidRDefault="00000000">
      <w:pPr>
        <w:pStyle w:val="ListParagraph"/>
        <w:numPr>
          <w:ilvl w:val="0"/>
          <w:numId w:val="153"/>
        </w:numPr>
        <w:tabs>
          <w:tab w:val="left" w:pos="715"/>
        </w:tabs>
        <w:spacing w:before="1"/>
        <w:ind w:left="715" w:hanging="355"/>
        <w:jc w:val="both"/>
        <w:rPr>
          <w:sz w:val="30"/>
        </w:rPr>
      </w:pPr>
      <w:r>
        <w:rPr>
          <w:sz w:val="30"/>
        </w:rPr>
        <w:t>x</w:t>
      </w:r>
      <w:r>
        <w:rPr>
          <w:spacing w:val="-1"/>
          <w:sz w:val="30"/>
        </w:rPr>
        <w:t xml:space="preserve"> </w:t>
      </w:r>
      <w:r>
        <w:rPr>
          <w:sz w:val="30"/>
        </w:rPr>
        <w:t>has</w:t>
      </w:r>
      <w:r>
        <w:rPr>
          <w:spacing w:val="-1"/>
          <w:sz w:val="30"/>
        </w:rPr>
        <w:t xml:space="preserve"> </w:t>
      </w:r>
      <w:r>
        <w:rPr>
          <w:spacing w:val="-4"/>
          <w:sz w:val="30"/>
        </w:rPr>
        <w:t>psi.</w:t>
      </w:r>
    </w:p>
    <w:p w14:paraId="7E0012DF" w14:textId="77777777" w:rsidR="009A58DB" w:rsidRDefault="009A58DB">
      <w:pPr>
        <w:pStyle w:val="BodyText"/>
        <w:spacing w:before="29"/>
        <w:ind w:left="0"/>
        <w:jc w:val="left"/>
      </w:pPr>
    </w:p>
    <w:p w14:paraId="7E0012E0" w14:textId="77777777" w:rsidR="009A58DB" w:rsidRDefault="00000000">
      <w:pPr>
        <w:pStyle w:val="BodyText"/>
        <w:spacing w:before="1" w:line="249" w:lineRule="auto"/>
        <w:ind w:right="360"/>
      </w:pPr>
      <w:r>
        <w:t>It</w:t>
      </w:r>
      <w:r>
        <w:rPr>
          <w:spacing w:val="-1"/>
        </w:rPr>
        <w:t xml:space="preserve"> </w:t>
      </w:r>
      <w:r>
        <w:t>immediately</w:t>
      </w:r>
      <w:r>
        <w:rPr>
          <w:spacing w:val="-1"/>
        </w:rPr>
        <w:t xml:space="preserve"> </w:t>
      </w:r>
      <w:r>
        <w:t>follows,</w:t>
      </w:r>
      <w:r>
        <w:rPr>
          <w:spacing w:val="-1"/>
        </w:rPr>
        <w:t xml:space="preserve"> </w:t>
      </w:r>
      <w:r>
        <w:t>as</w:t>
      </w:r>
      <w:r>
        <w:rPr>
          <w:spacing w:val="-1"/>
        </w:rPr>
        <w:t xml:space="preserve"> </w:t>
      </w:r>
      <w:r>
        <w:t>we’ve</w:t>
      </w:r>
      <w:r>
        <w:rPr>
          <w:spacing w:val="-1"/>
        </w:rPr>
        <w:t xml:space="preserve"> </w:t>
      </w:r>
      <w:r>
        <w:t>noted,</w:t>
      </w:r>
      <w:r>
        <w:rPr>
          <w:spacing w:val="-1"/>
        </w:rPr>
        <w:t xml:space="preserve"> </w:t>
      </w:r>
      <w:r>
        <w:t>that</w:t>
      </w:r>
      <w:r>
        <w:rPr>
          <w:spacing w:val="-1"/>
        </w:rPr>
        <w:t xml:space="preserve"> </w:t>
      </w:r>
      <w:r>
        <w:t>Frege’s</w:t>
      </w:r>
      <w:r>
        <w:rPr>
          <w:spacing w:val="-1"/>
        </w:rPr>
        <w:t xml:space="preserve"> </w:t>
      </w:r>
      <w:r>
        <w:t>analysis</w:t>
      </w:r>
      <w:r>
        <w:rPr>
          <w:spacing w:val="-1"/>
        </w:rPr>
        <w:t xml:space="preserve"> </w:t>
      </w:r>
      <w:r>
        <w:t>of</w:t>
      </w:r>
      <w:r>
        <w:rPr>
          <w:spacing w:val="-1"/>
        </w:rPr>
        <w:t xml:space="preserve"> </w:t>
      </w:r>
      <w:r>
        <w:t>proper</w:t>
      </w:r>
      <w:r>
        <w:rPr>
          <w:spacing w:val="-1"/>
        </w:rPr>
        <w:t xml:space="preserve"> </w:t>
      </w:r>
      <w:r>
        <w:t>names is false. According to Frege, proper names, and indeed all referring expressions, have “senses.” If a referring term M refers to y, M’s sense is some property phi that y uniquely instantiates. And, if Frege is right, in virtue of having the form ‹M has psi› a sentence S* is true just in case:</w:t>
      </w:r>
    </w:p>
    <w:p w14:paraId="7E0012E1" w14:textId="77777777" w:rsidR="009A58DB" w:rsidRDefault="009A58DB">
      <w:pPr>
        <w:pStyle w:val="BodyText"/>
        <w:spacing w:before="21"/>
        <w:ind w:left="0"/>
        <w:jc w:val="left"/>
      </w:pPr>
    </w:p>
    <w:p w14:paraId="7E0012E2" w14:textId="77777777" w:rsidR="009A58DB" w:rsidRDefault="00000000">
      <w:pPr>
        <w:pStyle w:val="ListParagraph"/>
        <w:numPr>
          <w:ilvl w:val="0"/>
          <w:numId w:val="153"/>
        </w:numPr>
        <w:tabs>
          <w:tab w:val="left" w:pos="797"/>
        </w:tabs>
        <w:ind w:left="797" w:hanging="437"/>
        <w:jc w:val="both"/>
        <w:rPr>
          <w:sz w:val="30"/>
        </w:rPr>
      </w:pPr>
      <w:r>
        <w:rPr>
          <w:sz w:val="30"/>
        </w:rPr>
        <w:t>phi</w:t>
      </w:r>
      <w:r>
        <w:rPr>
          <w:spacing w:val="-6"/>
          <w:sz w:val="30"/>
        </w:rPr>
        <w:t xml:space="preserve"> </w:t>
      </w:r>
      <w:r>
        <w:rPr>
          <w:sz w:val="30"/>
        </w:rPr>
        <w:t>is</w:t>
      </w:r>
      <w:r>
        <w:rPr>
          <w:spacing w:val="-4"/>
          <w:sz w:val="30"/>
        </w:rPr>
        <w:t xml:space="preserve"> </w:t>
      </w:r>
      <w:r>
        <w:rPr>
          <w:sz w:val="30"/>
        </w:rPr>
        <w:t>uniquely</w:t>
      </w:r>
      <w:r>
        <w:rPr>
          <w:spacing w:val="-3"/>
          <w:sz w:val="30"/>
        </w:rPr>
        <w:t xml:space="preserve"> </w:t>
      </w:r>
      <w:r>
        <w:rPr>
          <w:sz w:val="30"/>
        </w:rPr>
        <w:t>instantiated;</w:t>
      </w:r>
      <w:r>
        <w:rPr>
          <w:spacing w:val="-4"/>
          <w:sz w:val="30"/>
        </w:rPr>
        <w:t xml:space="preserve"> </w:t>
      </w:r>
      <w:r>
        <w:rPr>
          <w:sz w:val="30"/>
        </w:rPr>
        <w:t>moreover,</w:t>
      </w:r>
      <w:r>
        <w:rPr>
          <w:spacing w:val="-3"/>
          <w:sz w:val="30"/>
        </w:rPr>
        <w:t xml:space="preserve"> </w:t>
      </w:r>
      <w:r>
        <w:rPr>
          <w:sz w:val="30"/>
        </w:rPr>
        <w:t>any</w:t>
      </w:r>
      <w:r>
        <w:rPr>
          <w:spacing w:val="-4"/>
          <w:sz w:val="30"/>
        </w:rPr>
        <w:t xml:space="preserve"> </w:t>
      </w:r>
      <w:r>
        <w:rPr>
          <w:sz w:val="30"/>
        </w:rPr>
        <w:t>such</w:t>
      </w:r>
      <w:r>
        <w:rPr>
          <w:spacing w:val="-3"/>
          <w:sz w:val="30"/>
        </w:rPr>
        <w:t xml:space="preserve"> </w:t>
      </w:r>
      <w:r>
        <w:rPr>
          <w:sz w:val="30"/>
        </w:rPr>
        <w:t>instance</w:t>
      </w:r>
      <w:r>
        <w:rPr>
          <w:spacing w:val="-4"/>
          <w:sz w:val="30"/>
        </w:rPr>
        <w:t xml:space="preserve"> </w:t>
      </w:r>
      <w:r>
        <w:rPr>
          <w:sz w:val="30"/>
        </w:rPr>
        <w:t>has</w:t>
      </w:r>
      <w:r>
        <w:rPr>
          <w:spacing w:val="-3"/>
          <w:sz w:val="30"/>
        </w:rPr>
        <w:t xml:space="preserve"> </w:t>
      </w:r>
      <w:r>
        <w:rPr>
          <w:spacing w:val="-4"/>
          <w:sz w:val="30"/>
        </w:rPr>
        <w:t>psi.</w:t>
      </w:r>
    </w:p>
    <w:p w14:paraId="7E0012E3" w14:textId="77777777" w:rsidR="009A58DB" w:rsidRDefault="009A58DB">
      <w:pPr>
        <w:pStyle w:val="BodyText"/>
        <w:spacing w:before="30"/>
        <w:ind w:left="0"/>
        <w:jc w:val="left"/>
      </w:pPr>
    </w:p>
    <w:p w14:paraId="7E0012E4" w14:textId="77777777" w:rsidR="009A58DB" w:rsidRDefault="00000000">
      <w:pPr>
        <w:pStyle w:val="BodyText"/>
        <w:spacing w:line="249" w:lineRule="auto"/>
        <w:ind w:right="360" w:firstLine="360"/>
      </w:pPr>
      <w:r>
        <w:t xml:space="preserve">No sooner is Frege’s analysis made clear than its incoherence is plain to see. (ii) is an existential generalization, and the </w:t>
      </w:r>
      <w:r>
        <w:rPr>
          <w:i/>
        </w:rPr>
        <w:t xml:space="preserve">reason </w:t>
      </w:r>
      <w:r>
        <w:t>for this is that it contains what Frege regards as a referring term. Thus, if Frege’s analysis of proper</w:t>
      </w:r>
      <w:r>
        <w:rPr>
          <w:spacing w:val="-2"/>
        </w:rPr>
        <w:t xml:space="preserve"> </w:t>
      </w:r>
      <w:r>
        <w:t>names</w:t>
      </w:r>
      <w:r>
        <w:rPr>
          <w:spacing w:val="-2"/>
        </w:rPr>
        <w:t xml:space="preserve"> </w:t>
      </w:r>
      <w:r>
        <w:t>is</w:t>
      </w:r>
      <w:r>
        <w:rPr>
          <w:spacing w:val="-2"/>
        </w:rPr>
        <w:t xml:space="preserve"> </w:t>
      </w:r>
      <w:r>
        <w:t>right,</w:t>
      </w:r>
      <w:r>
        <w:rPr>
          <w:spacing w:val="-2"/>
        </w:rPr>
        <w:t xml:space="preserve"> </w:t>
      </w:r>
      <w:r>
        <w:t>they</w:t>
      </w:r>
      <w:r>
        <w:rPr>
          <w:spacing w:val="-2"/>
        </w:rPr>
        <w:t xml:space="preserve"> </w:t>
      </w:r>
      <w:r>
        <w:t>are</w:t>
      </w:r>
      <w:r>
        <w:rPr>
          <w:spacing w:val="-2"/>
        </w:rPr>
        <w:t xml:space="preserve"> </w:t>
      </w:r>
      <w:r>
        <w:t>semantically</w:t>
      </w:r>
      <w:r>
        <w:rPr>
          <w:spacing w:val="-2"/>
        </w:rPr>
        <w:t xml:space="preserve"> </w:t>
      </w:r>
      <w:r>
        <w:t>indistinguishable</w:t>
      </w:r>
      <w:r>
        <w:rPr>
          <w:spacing w:val="-2"/>
        </w:rPr>
        <w:t xml:space="preserve"> </w:t>
      </w:r>
      <w:r>
        <w:t>from</w:t>
      </w:r>
      <w:r>
        <w:rPr>
          <w:spacing w:val="-2"/>
        </w:rPr>
        <w:t xml:space="preserve"> </w:t>
      </w:r>
      <w:r>
        <w:t xml:space="preserve">existential quantifiers and, therefore, </w:t>
      </w:r>
      <w:r>
        <w:rPr>
          <w:i/>
        </w:rPr>
        <w:t xml:space="preserve">are </w:t>
      </w:r>
      <w:r>
        <w:t>such quantifiers. But Frege says they’re referring terms. Since, therefore, Frege’s position is, in effect, that proper names both are and are not quantifiers, it is incoherent.</w:t>
      </w:r>
    </w:p>
    <w:p w14:paraId="7E0012E5" w14:textId="77777777" w:rsidR="009A58DB" w:rsidRDefault="00000000">
      <w:pPr>
        <w:pStyle w:val="ListParagraph"/>
        <w:numPr>
          <w:ilvl w:val="2"/>
          <w:numId w:val="155"/>
        </w:numPr>
        <w:tabs>
          <w:tab w:val="left" w:pos="1140"/>
        </w:tabs>
        <w:spacing w:before="106" w:line="249" w:lineRule="auto"/>
        <w:ind w:right="371" w:firstLine="0"/>
        <w:jc w:val="both"/>
        <w:rPr>
          <w:b/>
          <w:sz w:val="34"/>
        </w:rPr>
      </w:pPr>
      <w:r>
        <w:rPr>
          <w:b/>
          <w:sz w:val="34"/>
        </w:rPr>
        <w:t>Indirect reference = quantification = non-reference, direct reference = only true form of reference</w:t>
      </w:r>
    </w:p>
    <w:p w14:paraId="7E0012E6" w14:textId="77777777" w:rsidR="009A58DB" w:rsidRDefault="00000000">
      <w:pPr>
        <w:pStyle w:val="BodyText"/>
        <w:spacing w:before="64" w:line="249" w:lineRule="auto"/>
        <w:ind w:right="360"/>
      </w:pPr>
      <w:r>
        <w:t xml:space="preserve">Frege’s position is that names refer </w:t>
      </w:r>
      <w:r>
        <w:rPr>
          <w:i/>
        </w:rPr>
        <w:t xml:space="preserve">indirectly. </w:t>
      </w:r>
      <w:r>
        <w:t>In other words, they refer through</w:t>
      </w:r>
      <w:r>
        <w:rPr>
          <w:spacing w:val="40"/>
        </w:rPr>
        <w:t xml:space="preserve"> </w:t>
      </w:r>
      <w:r>
        <w:t>the</w:t>
      </w:r>
      <w:r>
        <w:rPr>
          <w:spacing w:val="40"/>
        </w:rPr>
        <w:t xml:space="preserve"> </w:t>
      </w:r>
      <w:r>
        <w:t>mediation</w:t>
      </w:r>
      <w:r>
        <w:rPr>
          <w:spacing w:val="40"/>
        </w:rPr>
        <w:t xml:space="preserve"> </w:t>
      </w:r>
      <w:r>
        <w:t>of</w:t>
      </w:r>
      <w:r>
        <w:rPr>
          <w:spacing w:val="40"/>
        </w:rPr>
        <w:t xml:space="preserve"> </w:t>
      </w:r>
      <w:r>
        <w:t>a</w:t>
      </w:r>
      <w:r>
        <w:rPr>
          <w:spacing w:val="40"/>
        </w:rPr>
        <w:t xml:space="preserve"> </w:t>
      </w:r>
      <w:r>
        <w:t>sense,</w:t>
      </w:r>
      <w:r>
        <w:rPr>
          <w:spacing w:val="40"/>
        </w:rPr>
        <w:t xml:space="preserve"> </w:t>
      </w:r>
      <w:r>
        <w:t>and</w:t>
      </w:r>
      <w:r>
        <w:rPr>
          <w:spacing w:val="40"/>
        </w:rPr>
        <w:t xml:space="preserve"> </w:t>
      </w:r>
      <w:r>
        <w:t>that</w:t>
      </w:r>
      <w:r>
        <w:rPr>
          <w:spacing w:val="40"/>
        </w:rPr>
        <w:t xml:space="preserve"> </w:t>
      </w:r>
      <w:r>
        <w:t>sense</w:t>
      </w:r>
      <w:r>
        <w:rPr>
          <w:spacing w:val="40"/>
        </w:rPr>
        <w:t xml:space="preserve"> </w:t>
      </w:r>
      <w:r>
        <w:t>is</w:t>
      </w:r>
      <w:r>
        <w:rPr>
          <w:spacing w:val="40"/>
        </w:rPr>
        <w:t xml:space="preserve"> </w:t>
      </w:r>
      <w:r>
        <w:t>what</w:t>
      </w:r>
      <w:r>
        <w:rPr>
          <w:spacing w:val="40"/>
        </w:rPr>
        <w:t xml:space="preserve"> </w:t>
      </w:r>
      <w:r>
        <w:t>makes</w:t>
      </w:r>
      <w:r>
        <w:rPr>
          <w:spacing w:val="40"/>
        </w:rPr>
        <w:t xml:space="preserve"> </w:t>
      </w:r>
      <w:r>
        <w:t>it</w:t>
      </w:r>
      <w:r>
        <w:rPr>
          <w:spacing w:val="40"/>
        </w:rPr>
        <w:t xml:space="preserve"> </w:t>
      </w:r>
      <w:r>
        <w:t>into</w:t>
      </w:r>
      <w:r>
        <w:rPr>
          <w:spacing w:val="40"/>
        </w:rPr>
        <w:t xml:space="preserve"> </w:t>
      </w:r>
      <w:r>
        <w:t>the</w:t>
      </w:r>
    </w:p>
    <w:p w14:paraId="7E0012E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E8" w14:textId="77777777" w:rsidR="009A58DB" w:rsidRDefault="00000000">
      <w:pPr>
        <w:pStyle w:val="BodyText"/>
        <w:spacing w:before="65" w:line="249" w:lineRule="auto"/>
        <w:ind w:right="363"/>
      </w:pPr>
      <w:r>
        <w:lastRenderedPageBreak/>
        <w:t xml:space="preserve">propositions meant by sentences containing those names. The referents of those names don’t make it into those propositions. By virtue of containing proper names of those objects, sentences containing those names merely </w:t>
      </w:r>
      <w:r>
        <w:rPr>
          <w:i/>
        </w:rPr>
        <w:t>describe</w:t>
      </w:r>
      <w:r>
        <w:rPr>
          <w:i/>
          <w:spacing w:val="-4"/>
        </w:rPr>
        <w:t xml:space="preserve"> </w:t>
      </w:r>
      <w:r>
        <w:t>their referents. But we’ve just seen that “indirect reference” is really just quantification.</w:t>
      </w:r>
    </w:p>
    <w:p w14:paraId="7E0012E9" w14:textId="77777777" w:rsidR="009A58DB" w:rsidRDefault="00000000">
      <w:pPr>
        <w:pStyle w:val="BodyText"/>
        <w:spacing w:before="6" w:line="249" w:lineRule="auto"/>
        <w:ind w:right="359" w:firstLine="360"/>
      </w:pPr>
      <w:r>
        <w:t xml:space="preserve">Frege’s distinction between “sense” and “reference” is an incoherent way of describing the distinction between semantics and </w:t>
      </w:r>
      <w:r>
        <w:rPr>
          <w:i/>
        </w:rPr>
        <w:t>pre</w:t>
      </w:r>
      <w:r>
        <w:t>-semantics. There is some entity O, namely London, such that the proposition literally meant by 2 is true just in case:</w:t>
      </w:r>
    </w:p>
    <w:p w14:paraId="7E0012EA" w14:textId="77777777" w:rsidR="009A58DB" w:rsidRDefault="009A58DB">
      <w:pPr>
        <w:pStyle w:val="BodyText"/>
        <w:spacing w:before="20"/>
        <w:ind w:left="0"/>
        <w:jc w:val="left"/>
      </w:pPr>
    </w:p>
    <w:p w14:paraId="7E0012EB" w14:textId="77777777" w:rsidR="009A58DB" w:rsidRDefault="00000000">
      <w:pPr>
        <w:pStyle w:val="BodyText"/>
      </w:pPr>
      <w:r>
        <w:t>(ONP)</w:t>
      </w:r>
      <w:r>
        <w:rPr>
          <w:spacing w:val="-3"/>
        </w:rPr>
        <w:t xml:space="preserve"> </w:t>
      </w:r>
      <w:r>
        <w:t>O</w:t>
      </w:r>
      <w:r>
        <w:rPr>
          <w:spacing w:val="-2"/>
        </w:rPr>
        <w:t xml:space="preserve"> </w:t>
      </w:r>
      <w:r>
        <w:t>is</w:t>
      </w:r>
      <w:r>
        <w:rPr>
          <w:spacing w:val="-2"/>
        </w:rPr>
        <w:t xml:space="preserve"> </w:t>
      </w:r>
      <w:r>
        <w:t>not</w:t>
      </w:r>
      <w:r>
        <w:rPr>
          <w:spacing w:val="-2"/>
        </w:rPr>
        <w:t xml:space="preserve"> pretty,</w:t>
      </w:r>
    </w:p>
    <w:p w14:paraId="7E0012EC" w14:textId="77777777" w:rsidR="009A58DB" w:rsidRDefault="009A58DB">
      <w:pPr>
        <w:pStyle w:val="BodyText"/>
        <w:spacing w:before="30"/>
        <w:ind w:left="0"/>
        <w:jc w:val="left"/>
      </w:pPr>
    </w:p>
    <w:p w14:paraId="7E0012ED" w14:textId="77777777" w:rsidR="009A58DB" w:rsidRDefault="00000000">
      <w:pPr>
        <w:pStyle w:val="BodyText"/>
      </w:pPr>
      <w:r>
        <w:t>but</w:t>
      </w:r>
      <w:r>
        <w:rPr>
          <w:spacing w:val="-1"/>
        </w:rPr>
        <w:t xml:space="preserve"> </w:t>
      </w:r>
      <w:r>
        <w:t>such</w:t>
      </w:r>
      <w:r>
        <w:rPr>
          <w:spacing w:val="2"/>
        </w:rPr>
        <w:t xml:space="preserve"> </w:t>
      </w:r>
      <w:r>
        <w:t>that,</w:t>
      </w:r>
      <w:r>
        <w:rPr>
          <w:spacing w:val="2"/>
        </w:rPr>
        <w:t xml:space="preserve"> </w:t>
      </w:r>
      <w:r>
        <w:t>because</w:t>
      </w:r>
      <w:r>
        <w:rPr>
          <w:spacing w:val="1"/>
        </w:rPr>
        <w:t xml:space="preserve"> </w:t>
      </w:r>
      <w:r>
        <w:t>of</w:t>
      </w:r>
      <w:r>
        <w:rPr>
          <w:spacing w:val="2"/>
        </w:rPr>
        <w:t xml:space="preserve"> </w:t>
      </w:r>
      <w:r>
        <w:t>how</w:t>
      </w:r>
      <w:r>
        <w:rPr>
          <w:spacing w:val="2"/>
        </w:rPr>
        <w:t xml:space="preserve"> </w:t>
      </w:r>
      <w:r>
        <w:t>Pierre</w:t>
      </w:r>
      <w:r>
        <w:rPr>
          <w:spacing w:val="1"/>
        </w:rPr>
        <w:t xml:space="preserve"> </w:t>
      </w:r>
      <w:r>
        <w:rPr>
          <w:i/>
        </w:rPr>
        <w:t>learned</w:t>
      </w:r>
      <w:r>
        <w:rPr>
          <w:i/>
          <w:spacing w:val="-3"/>
        </w:rPr>
        <w:t xml:space="preserve"> </w:t>
      </w:r>
      <w:r>
        <w:t>what</w:t>
      </w:r>
      <w:r>
        <w:rPr>
          <w:spacing w:val="3"/>
        </w:rPr>
        <w:t xml:space="preserve"> </w:t>
      </w:r>
      <w:r>
        <w:t>“London”</w:t>
      </w:r>
      <w:r>
        <w:rPr>
          <w:spacing w:val="4"/>
        </w:rPr>
        <w:t xml:space="preserve"> </w:t>
      </w:r>
      <w:r>
        <w:t>refers</w:t>
      </w:r>
      <w:r>
        <w:rPr>
          <w:spacing w:val="2"/>
        </w:rPr>
        <w:t xml:space="preserve"> </w:t>
      </w:r>
      <w:r>
        <w:t>to,</w:t>
      </w:r>
      <w:r>
        <w:rPr>
          <w:spacing w:val="4"/>
        </w:rPr>
        <w:t xml:space="preserve"> </w:t>
      </w:r>
      <w:r>
        <w:t>what</w:t>
      </w:r>
      <w:r>
        <w:rPr>
          <w:spacing w:val="3"/>
        </w:rPr>
        <w:t xml:space="preserve"> </w:t>
      </w:r>
      <w:r>
        <w:rPr>
          <w:spacing w:val="-10"/>
        </w:rPr>
        <w:t>2</w:t>
      </w:r>
    </w:p>
    <w:p w14:paraId="7E0012EE" w14:textId="77777777" w:rsidR="009A58DB" w:rsidRDefault="00000000">
      <w:pPr>
        <w:spacing w:before="15"/>
        <w:ind w:left="360"/>
        <w:jc w:val="both"/>
        <w:rPr>
          <w:sz w:val="30"/>
        </w:rPr>
      </w:pPr>
      <w:r>
        <w:rPr>
          <w:i/>
          <w:sz w:val="30"/>
        </w:rPr>
        <w:t>conveys</w:t>
      </w:r>
      <w:r>
        <w:rPr>
          <w:i/>
          <w:spacing w:val="-3"/>
          <w:sz w:val="30"/>
        </w:rPr>
        <w:t xml:space="preserve"> </w:t>
      </w:r>
      <w:r>
        <w:rPr>
          <w:sz w:val="30"/>
        </w:rPr>
        <w:t>to</w:t>
      </w:r>
      <w:r>
        <w:rPr>
          <w:spacing w:val="-2"/>
          <w:sz w:val="30"/>
        </w:rPr>
        <w:t xml:space="preserve"> </w:t>
      </w:r>
      <w:r>
        <w:rPr>
          <w:sz w:val="30"/>
        </w:rPr>
        <w:t>him</w:t>
      </w:r>
      <w:r>
        <w:rPr>
          <w:spacing w:val="-3"/>
          <w:sz w:val="30"/>
        </w:rPr>
        <w:t xml:space="preserve"> </w:t>
      </w:r>
      <w:r>
        <w:rPr>
          <w:sz w:val="30"/>
        </w:rPr>
        <w:t>is</w:t>
      </w:r>
      <w:r>
        <w:rPr>
          <w:spacing w:val="-2"/>
          <w:sz w:val="30"/>
        </w:rPr>
        <w:t xml:space="preserve"> (L*P</w:t>
      </w:r>
      <w:r>
        <w:rPr>
          <w:spacing w:val="-2"/>
          <w:sz w:val="30"/>
          <w:vertAlign w:val="subscript"/>
        </w:rPr>
        <w:t>2</w:t>
      </w:r>
      <w:r>
        <w:rPr>
          <w:spacing w:val="-2"/>
          <w:sz w:val="30"/>
        </w:rPr>
        <w:t>).</w:t>
      </w:r>
    </w:p>
    <w:p w14:paraId="7E0012EF" w14:textId="77777777" w:rsidR="009A58DB" w:rsidRDefault="00000000">
      <w:pPr>
        <w:pStyle w:val="BodyText"/>
        <w:spacing w:before="75" w:line="249" w:lineRule="auto"/>
        <w:ind w:right="358" w:firstLine="360"/>
      </w:pPr>
      <w:r>
        <w:t xml:space="preserve">Frege would have said that </w:t>
      </w:r>
      <w:r>
        <w:rPr>
          <w:i/>
        </w:rPr>
        <w:t xml:space="preserve">the </w:t>
      </w:r>
      <w:r>
        <w:t>sense of “London” is some property uniquely had by London (e.g., the property of being a city that is vile,</w:t>
      </w:r>
      <w:r>
        <w:rPr>
          <w:spacing w:val="40"/>
        </w:rPr>
        <w:t xml:space="preserve"> </w:t>
      </w:r>
      <w:r>
        <w:t xml:space="preserve">squalid, etc.). But that isn’t true. One’s knowing what “London” refers to consists in there being </w:t>
      </w:r>
      <w:r>
        <w:rPr>
          <w:i/>
        </w:rPr>
        <w:t xml:space="preserve">a </w:t>
      </w:r>
      <w:r>
        <w:t xml:space="preserve">property phi—it doesn’t matter which one—such that one knows that phi is uniquely instantiated and that “London” refers to any instance of it. There is no </w:t>
      </w:r>
      <w:r>
        <w:rPr>
          <w:i/>
        </w:rPr>
        <w:t xml:space="preserve">one </w:t>
      </w:r>
      <w:r>
        <w:t>property phi such that one’s knowing of what “London” refers to consists in one’s knowing that phi specifically is uniquely instantiated and that “London” refers to an instance of it.</w:t>
      </w:r>
    </w:p>
    <w:p w14:paraId="7E0012F0" w14:textId="77777777" w:rsidR="009A58DB" w:rsidRDefault="00000000">
      <w:pPr>
        <w:pStyle w:val="BodyText"/>
        <w:spacing w:before="10" w:line="249" w:lineRule="auto"/>
        <w:ind w:right="362" w:firstLine="360"/>
      </w:pPr>
      <w:r>
        <w:t>And</w:t>
      </w:r>
      <w:r>
        <w:rPr>
          <w:spacing w:val="-3"/>
        </w:rPr>
        <w:t xml:space="preserve"> </w:t>
      </w:r>
      <w:r>
        <w:t>yet</w:t>
      </w:r>
      <w:r>
        <w:rPr>
          <w:spacing w:val="-4"/>
        </w:rPr>
        <w:t xml:space="preserve"> </w:t>
      </w:r>
      <w:r>
        <w:t>Frege</w:t>
      </w:r>
      <w:r>
        <w:rPr>
          <w:spacing w:val="-4"/>
        </w:rPr>
        <w:t xml:space="preserve"> </w:t>
      </w:r>
      <w:r>
        <w:t>constantly</w:t>
      </w:r>
      <w:r>
        <w:rPr>
          <w:spacing w:val="-3"/>
        </w:rPr>
        <w:t xml:space="preserve"> </w:t>
      </w:r>
      <w:r>
        <w:t>speaks</w:t>
      </w:r>
      <w:r>
        <w:rPr>
          <w:spacing w:val="-4"/>
        </w:rPr>
        <w:t xml:space="preserve"> </w:t>
      </w:r>
      <w:r>
        <w:t>of</w:t>
      </w:r>
      <w:r>
        <w:rPr>
          <w:spacing w:val="-3"/>
        </w:rPr>
        <w:t xml:space="preserve"> </w:t>
      </w:r>
      <w:r>
        <w:rPr>
          <w:i/>
        </w:rPr>
        <w:t>the</w:t>
      </w:r>
      <w:r>
        <w:rPr>
          <w:i/>
          <w:spacing w:val="-4"/>
        </w:rPr>
        <w:t xml:space="preserve"> </w:t>
      </w:r>
      <w:r>
        <w:t>sense</w:t>
      </w:r>
      <w:r>
        <w:rPr>
          <w:spacing w:val="-4"/>
        </w:rPr>
        <w:t xml:space="preserve"> </w:t>
      </w:r>
      <w:r>
        <w:t>of</w:t>
      </w:r>
      <w:r>
        <w:rPr>
          <w:spacing w:val="-4"/>
        </w:rPr>
        <w:t xml:space="preserve"> </w:t>
      </w:r>
      <w:r>
        <w:t>“Socrates,”</w:t>
      </w:r>
      <w:r>
        <w:rPr>
          <w:spacing w:val="-4"/>
        </w:rPr>
        <w:t xml:space="preserve"> </w:t>
      </w:r>
      <w:r>
        <w:t>“London,”</w:t>
      </w:r>
      <w:r>
        <w:rPr>
          <w:spacing w:val="-4"/>
        </w:rPr>
        <w:t xml:space="preserve"> </w:t>
      </w:r>
      <w:r>
        <w:t xml:space="preserve">etc. Although this view is patently false, Frege has a good reason for holding it. He thinks that if “London” had as many senses as there were people who knew what it referred to, then “London” would be useless as a device of interpersonal communication. When I said “London is pretty,” I’d mean one thing (e.g., the most populous city in the UK is pretty) and what </w:t>
      </w:r>
      <w:r>
        <w:rPr>
          <w:i/>
        </w:rPr>
        <w:t xml:space="preserve">you’d </w:t>
      </w:r>
      <w:r>
        <w:t xml:space="preserve">mean by that sentence would be something else (e.g., </w:t>
      </w:r>
      <w:r>
        <w:rPr>
          <w:i/>
        </w:rPr>
        <w:t>the city where grandma lives is pretty</w:t>
      </w:r>
      <w:r>
        <w:t>).</w:t>
      </w:r>
    </w:p>
    <w:p w14:paraId="7E0012F1" w14:textId="77777777" w:rsidR="009A58DB" w:rsidRDefault="00000000">
      <w:pPr>
        <w:pStyle w:val="BodyText"/>
        <w:spacing w:before="10" w:line="249" w:lineRule="auto"/>
        <w:ind w:right="358" w:firstLine="360"/>
      </w:pPr>
      <w:r>
        <w:t>But we’ve already seen why this is spurious. There is some x such that I know that x is the most populous city in England and such that I know that “London” refers to x and, finally, such that, when I say “London is pretty,” what I am affirming, and what other English-speaking auditors (who know that I speak English) know me to be affirming, is:</w:t>
      </w:r>
    </w:p>
    <w:p w14:paraId="7E0012F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2F3" w14:textId="77777777" w:rsidR="009A58DB" w:rsidRDefault="00000000">
      <w:pPr>
        <w:pStyle w:val="BodyText"/>
        <w:spacing w:before="65"/>
      </w:pPr>
      <w:r>
        <w:lastRenderedPageBreak/>
        <w:t>(LP)</w:t>
      </w:r>
      <w:r>
        <w:rPr>
          <w:spacing w:val="-3"/>
        </w:rPr>
        <w:t xml:space="preserve"> </w:t>
      </w:r>
      <w:r>
        <w:t>x</w:t>
      </w:r>
      <w:r>
        <w:rPr>
          <w:spacing w:val="-1"/>
        </w:rPr>
        <w:t xml:space="preserve"> </w:t>
      </w:r>
      <w:r>
        <w:t>is</w:t>
      </w:r>
      <w:r>
        <w:rPr>
          <w:spacing w:val="-2"/>
        </w:rPr>
        <w:t xml:space="preserve"> pretty.</w:t>
      </w:r>
    </w:p>
    <w:p w14:paraId="7E0012F4" w14:textId="77777777" w:rsidR="009A58DB" w:rsidRDefault="009A58DB">
      <w:pPr>
        <w:pStyle w:val="BodyText"/>
        <w:spacing w:before="29"/>
        <w:ind w:left="0"/>
        <w:jc w:val="left"/>
      </w:pPr>
    </w:p>
    <w:p w14:paraId="7E0012F5" w14:textId="77777777" w:rsidR="009A58DB" w:rsidRDefault="00000000">
      <w:pPr>
        <w:pStyle w:val="BodyText"/>
        <w:spacing w:before="1" w:line="249" w:lineRule="auto"/>
        <w:ind w:right="359"/>
      </w:pPr>
      <w:r>
        <w:t>And there is some x such that you know that x is where your grandmother lives and such that “London” refers to x and, finally, such that, when you say “London is pretty,” what you are affirming, and what other English-speaking auditors (who know that you speak English) know you to be affirming is</w:t>
      </w:r>
    </w:p>
    <w:p w14:paraId="7E0012F6" w14:textId="77777777" w:rsidR="009A58DB" w:rsidRDefault="009A58DB">
      <w:pPr>
        <w:pStyle w:val="BodyText"/>
        <w:spacing w:before="19"/>
        <w:ind w:left="0"/>
        <w:jc w:val="left"/>
      </w:pPr>
    </w:p>
    <w:p w14:paraId="7E0012F7" w14:textId="77777777" w:rsidR="009A58DB" w:rsidRDefault="00000000">
      <w:pPr>
        <w:pStyle w:val="BodyText"/>
        <w:spacing w:before="1"/>
      </w:pPr>
      <w:r>
        <w:t>(LP)</w:t>
      </w:r>
      <w:r>
        <w:rPr>
          <w:spacing w:val="-3"/>
        </w:rPr>
        <w:t xml:space="preserve"> </w:t>
      </w:r>
      <w:r>
        <w:t>x</w:t>
      </w:r>
      <w:r>
        <w:rPr>
          <w:spacing w:val="-1"/>
        </w:rPr>
        <w:t xml:space="preserve"> </w:t>
      </w:r>
      <w:r>
        <w:t>is</w:t>
      </w:r>
      <w:r>
        <w:rPr>
          <w:spacing w:val="-2"/>
        </w:rPr>
        <w:t xml:space="preserve"> pretty.</w:t>
      </w:r>
    </w:p>
    <w:p w14:paraId="7E0012F8" w14:textId="77777777" w:rsidR="009A58DB" w:rsidRDefault="009A58DB">
      <w:pPr>
        <w:pStyle w:val="BodyText"/>
        <w:spacing w:before="30"/>
        <w:ind w:left="0"/>
        <w:jc w:val="left"/>
      </w:pPr>
    </w:p>
    <w:p w14:paraId="7E0012F9" w14:textId="77777777" w:rsidR="009A58DB" w:rsidRDefault="00000000">
      <w:pPr>
        <w:pStyle w:val="BodyText"/>
        <w:spacing w:line="249" w:lineRule="auto"/>
        <w:ind w:right="358" w:firstLine="360"/>
      </w:pPr>
      <w:r>
        <w:t>So while it’s a fact that “London” has one sense for me and a different sense for you, that doesn’t prevent us from using it to make ourselves understood to each other. And the reason is that these senses don’t make it into what we are affirming or what we believe ourselves to be affirming.</w:t>
      </w:r>
    </w:p>
    <w:p w14:paraId="7E0012FA" w14:textId="77777777" w:rsidR="009A58DB" w:rsidRDefault="00000000">
      <w:pPr>
        <w:pStyle w:val="BodyText"/>
        <w:spacing w:before="5" w:line="249" w:lineRule="auto"/>
        <w:ind w:right="360" w:firstLine="360"/>
      </w:pPr>
      <w:r>
        <w:t xml:space="preserve">Bearing these points in mind, let’s wrap up our discussion of Pierre. Pierre has a thorough grasp of the semantics of “London.” For him, the sense of “London” is a </w:t>
      </w:r>
      <w:r>
        <w:rPr>
          <w:i/>
        </w:rPr>
        <w:t xml:space="preserve">squalid and horrible city where my kidnappers have forced me to live, </w:t>
      </w:r>
      <w:r>
        <w:t xml:space="preserve">or some such. There are others who grasp the semantics of “London” but don’t associate that property with that expression. The sense of “London” varies from person to person. (We’ve just explained why this does not undermine people’s ability to use that expression to make themselves understood to others.) This is because what the sense of “London” is for a given person depends, not on its literal meaning, but on the information through which that person </w:t>
      </w:r>
      <w:r>
        <w:rPr>
          <w:i/>
        </w:rPr>
        <w:t xml:space="preserve">grasps </w:t>
      </w:r>
      <w:r>
        <w:t xml:space="preserve">that literal meaning. Sense, therefore, is </w:t>
      </w:r>
      <w:r>
        <w:rPr>
          <w:i/>
        </w:rPr>
        <w:t>pre</w:t>
      </w:r>
      <w:r>
        <w:t>-semantics, not semantics.</w:t>
      </w:r>
    </w:p>
    <w:p w14:paraId="7E0012FB" w14:textId="77777777" w:rsidR="009A58DB" w:rsidRDefault="00000000">
      <w:pPr>
        <w:pStyle w:val="Heading1"/>
        <w:numPr>
          <w:ilvl w:val="1"/>
          <w:numId w:val="155"/>
        </w:numPr>
        <w:tabs>
          <w:tab w:val="left" w:pos="990"/>
        </w:tabs>
        <w:spacing w:before="201"/>
      </w:pPr>
      <w:r>
        <w:t>Salmon</w:t>
      </w:r>
      <w:r>
        <w:rPr>
          <w:spacing w:val="-7"/>
        </w:rPr>
        <w:t xml:space="preserve"> </w:t>
      </w:r>
      <w:r>
        <w:t>on</w:t>
      </w:r>
      <w:r>
        <w:rPr>
          <w:spacing w:val="-5"/>
        </w:rPr>
        <w:t xml:space="preserve"> </w:t>
      </w:r>
      <w:r>
        <w:t>non-existence</w:t>
      </w:r>
      <w:r>
        <w:rPr>
          <w:spacing w:val="-5"/>
        </w:rPr>
        <w:t xml:space="preserve"> </w:t>
      </w:r>
      <w:r>
        <w:t>and</w:t>
      </w:r>
      <w:r>
        <w:rPr>
          <w:spacing w:val="-5"/>
        </w:rPr>
        <w:t xml:space="preserve"> </w:t>
      </w:r>
      <w:r>
        <w:t>mythical</w:t>
      </w:r>
      <w:r>
        <w:rPr>
          <w:spacing w:val="-4"/>
        </w:rPr>
        <w:t xml:space="preserve"> </w:t>
      </w:r>
      <w:r>
        <w:rPr>
          <w:spacing w:val="-2"/>
        </w:rPr>
        <w:t>objects</w:t>
      </w:r>
    </w:p>
    <w:p w14:paraId="7E0012FC" w14:textId="77777777" w:rsidR="009A58DB" w:rsidRDefault="00000000">
      <w:pPr>
        <w:pStyle w:val="BodyText"/>
        <w:spacing w:before="139" w:line="249" w:lineRule="auto"/>
        <w:ind w:right="361"/>
      </w:pPr>
      <w:r>
        <w:t xml:space="preserve">Nathan Salmon holds that one </w:t>
      </w:r>
      <w:r>
        <w:rPr>
          <w:i/>
        </w:rPr>
        <w:t>can</w:t>
      </w:r>
      <w:r>
        <w:rPr>
          <w:i/>
          <w:spacing w:val="-2"/>
        </w:rPr>
        <w:t xml:space="preserve"> </w:t>
      </w:r>
      <w:r>
        <w:t>say of a given thing x that x exists or that</w:t>
      </w:r>
      <w:r>
        <w:rPr>
          <w:spacing w:val="40"/>
        </w:rPr>
        <w:t xml:space="preserve"> </w:t>
      </w:r>
      <w:r>
        <w:t xml:space="preserve">it does not exist. Indeed, Salmon says that one can </w:t>
      </w:r>
      <w:r>
        <w:rPr>
          <w:i/>
        </w:rPr>
        <w:t xml:space="preserve">correctly </w:t>
      </w:r>
      <w:r>
        <w:t xml:space="preserve">say of a given thing x that x does not exist. Of course, for one to </w:t>
      </w:r>
      <w:r>
        <w:rPr>
          <w:i/>
        </w:rPr>
        <w:t xml:space="preserve">correctly </w:t>
      </w:r>
      <w:r>
        <w:t>say of a given thing x that it doesn’t exist there must exist some thing such that one is correctly saying of it that it doesn’t exist. So there must exist something that doesn’t exist. Since this isn’t possible, Salmon is wrong.</w:t>
      </w:r>
    </w:p>
    <w:p w14:paraId="7E0012FD" w14:textId="77777777" w:rsidR="009A58DB" w:rsidRDefault="00000000">
      <w:pPr>
        <w:pStyle w:val="BodyText"/>
        <w:spacing w:before="8" w:line="249" w:lineRule="auto"/>
        <w:ind w:right="357" w:firstLine="360"/>
      </w:pPr>
      <w:r>
        <w:t>But arguments like the one just given have been around since Russell first produced</w:t>
      </w:r>
      <w:r>
        <w:rPr>
          <w:spacing w:val="41"/>
        </w:rPr>
        <w:t xml:space="preserve"> </w:t>
      </w:r>
      <w:r>
        <w:t>them</w:t>
      </w:r>
      <w:r>
        <w:rPr>
          <w:spacing w:val="42"/>
        </w:rPr>
        <w:t xml:space="preserve"> </w:t>
      </w:r>
      <w:r>
        <w:t>over</w:t>
      </w:r>
      <w:r>
        <w:rPr>
          <w:spacing w:val="42"/>
        </w:rPr>
        <w:t xml:space="preserve"> </w:t>
      </w:r>
      <w:r>
        <w:t>a</w:t>
      </w:r>
      <w:r>
        <w:rPr>
          <w:spacing w:val="42"/>
        </w:rPr>
        <w:t xml:space="preserve"> </w:t>
      </w:r>
      <w:r>
        <w:t>hundred</w:t>
      </w:r>
      <w:r>
        <w:rPr>
          <w:spacing w:val="43"/>
        </w:rPr>
        <w:t xml:space="preserve"> </w:t>
      </w:r>
      <w:r>
        <w:t>years</w:t>
      </w:r>
      <w:r>
        <w:rPr>
          <w:spacing w:val="43"/>
        </w:rPr>
        <w:t xml:space="preserve"> </w:t>
      </w:r>
      <w:r>
        <w:t>ago;</w:t>
      </w:r>
      <w:r>
        <w:rPr>
          <w:spacing w:val="42"/>
        </w:rPr>
        <w:t xml:space="preserve"> </w:t>
      </w:r>
      <w:r>
        <w:t>and</w:t>
      </w:r>
      <w:r>
        <w:rPr>
          <w:spacing w:val="43"/>
        </w:rPr>
        <w:t xml:space="preserve"> </w:t>
      </w:r>
      <w:r>
        <w:t>Salmon,</w:t>
      </w:r>
      <w:r>
        <w:rPr>
          <w:spacing w:val="43"/>
        </w:rPr>
        <w:t xml:space="preserve"> </w:t>
      </w:r>
      <w:r>
        <w:t>being</w:t>
      </w:r>
      <w:r>
        <w:rPr>
          <w:spacing w:val="43"/>
        </w:rPr>
        <w:t xml:space="preserve"> </w:t>
      </w:r>
      <w:r>
        <w:t>a</w:t>
      </w:r>
      <w:r>
        <w:rPr>
          <w:spacing w:val="42"/>
        </w:rPr>
        <w:t xml:space="preserve"> </w:t>
      </w:r>
      <w:r>
        <w:t>devotee</w:t>
      </w:r>
      <w:r>
        <w:rPr>
          <w:spacing w:val="43"/>
        </w:rPr>
        <w:t xml:space="preserve"> </w:t>
      </w:r>
      <w:r>
        <w:rPr>
          <w:spacing w:val="-5"/>
        </w:rPr>
        <w:t>of</w:t>
      </w:r>
    </w:p>
    <w:p w14:paraId="7E0012F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2FF" w14:textId="77777777" w:rsidR="009A58DB" w:rsidRDefault="00000000">
      <w:pPr>
        <w:pStyle w:val="BodyText"/>
        <w:spacing w:before="60" w:line="249" w:lineRule="auto"/>
        <w:ind w:right="369"/>
      </w:pPr>
      <w:r>
        <w:lastRenderedPageBreak/>
        <w:t>Russell’s works, is well aware of these arguments. So why does he hold that one can correctly attribute non-existence and existence to objects?</w:t>
      </w:r>
    </w:p>
    <w:p w14:paraId="7E001300" w14:textId="77777777" w:rsidR="009A58DB" w:rsidRDefault="00000000">
      <w:pPr>
        <w:pStyle w:val="BodyText"/>
        <w:spacing w:before="7"/>
        <w:ind w:left="720"/>
        <w:jc w:val="left"/>
      </w:pPr>
      <w:r>
        <w:t>Salmon</w:t>
      </w:r>
      <w:r>
        <w:rPr>
          <w:spacing w:val="-2"/>
        </w:rPr>
        <w:t xml:space="preserve"> </w:t>
      </w:r>
      <w:r>
        <w:t>has</w:t>
      </w:r>
      <w:r>
        <w:rPr>
          <w:spacing w:val="-3"/>
        </w:rPr>
        <w:t xml:space="preserve"> </w:t>
      </w:r>
      <w:r>
        <w:t>a</w:t>
      </w:r>
      <w:r>
        <w:rPr>
          <w:spacing w:val="-3"/>
        </w:rPr>
        <w:t xml:space="preserve"> </w:t>
      </w:r>
      <w:r>
        <w:t>couple</w:t>
      </w:r>
      <w:r>
        <w:rPr>
          <w:spacing w:val="-3"/>
        </w:rPr>
        <w:t xml:space="preserve"> </w:t>
      </w:r>
      <w:r>
        <w:t>of</w:t>
      </w:r>
      <w:r>
        <w:rPr>
          <w:spacing w:val="-3"/>
        </w:rPr>
        <w:t xml:space="preserve"> </w:t>
      </w:r>
      <w:r>
        <w:t>reasons.</w:t>
      </w:r>
      <w:r>
        <w:rPr>
          <w:spacing w:val="-2"/>
        </w:rPr>
        <w:t xml:space="preserve"> </w:t>
      </w:r>
      <w:r>
        <w:t>The</w:t>
      </w:r>
      <w:r>
        <w:rPr>
          <w:spacing w:val="-2"/>
        </w:rPr>
        <w:t xml:space="preserve"> sentence:</w:t>
      </w:r>
    </w:p>
    <w:p w14:paraId="7E001301" w14:textId="77777777" w:rsidR="009A58DB" w:rsidRDefault="009A58DB">
      <w:pPr>
        <w:pStyle w:val="BodyText"/>
        <w:spacing w:before="30"/>
        <w:ind w:left="0"/>
        <w:jc w:val="left"/>
      </w:pPr>
    </w:p>
    <w:p w14:paraId="7E001302" w14:textId="77777777" w:rsidR="009A58DB" w:rsidRDefault="00000000">
      <w:pPr>
        <w:pStyle w:val="ListParagraph"/>
        <w:numPr>
          <w:ilvl w:val="0"/>
          <w:numId w:val="152"/>
        </w:numPr>
        <w:tabs>
          <w:tab w:val="left" w:pos="782"/>
        </w:tabs>
        <w:spacing w:line="501" w:lineRule="auto"/>
        <w:ind w:right="5961" w:firstLine="0"/>
        <w:rPr>
          <w:sz w:val="30"/>
        </w:rPr>
      </w:pPr>
      <w:r>
        <w:rPr>
          <w:sz w:val="30"/>
        </w:rPr>
        <w:t>“Socrates is Socrates” doesn’t</w:t>
      </w:r>
      <w:r>
        <w:rPr>
          <w:spacing w:val="-9"/>
          <w:sz w:val="30"/>
        </w:rPr>
        <w:t xml:space="preserve"> </w:t>
      </w:r>
      <w:r>
        <w:rPr>
          <w:sz w:val="30"/>
        </w:rPr>
        <w:t>mean</w:t>
      </w:r>
      <w:r>
        <w:rPr>
          <w:spacing w:val="-8"/>
          <w:sz w:val="30"/>
        </w:rPr>
        <w:t xml:space="preserve"> </w:t>
      </w:r>
      <w:r>
        <w:rPr>
          <w:sz w:val="30"/>
        </w:rPr>
        <w:t>the</w:t>
      </w:r>
      <w:r>
        <w:rPr>
          <w:spacing w:val="-9"/>
          <w:sz w:val="30"/>
        </w:rPr>
        <w:t xml:space="preserve"> </w:t>
      </w:r>
      <w:r>
        <w:rPr>
          <w:sz w:val="30"/>
        </w:rPr>
        <w:t>same</w:t>
      </w:r>
      <w:r>
        <w:rPr>
          <w:spacing w:val="-9"/>
          <w:sz w:val="30"/>
        </w:rPr>
        <w:t xml:space="preserve"> </w:t>
      </w:r>
      <w:r>
        <w:rPr>
          <w:sz w:val="30"/>
        </w:rPr>
        <w:t>thing</w:t>
      </w:r>
      <w:r>
        <w:rPr>
          <w:spacing w:val="-8"/>
          <w:sz w:val="30"/>
        </w:rPr>
        <w:t xml:space="preserve"> </w:t>
      </w:r>
      <w:r>
        <w:rPr>
          <w:sz w:val="30"/>
        </w:rPr>
        <w:t>as</w:t>
      </w:r>
    </w:p>
    <w:p w14:paraId="7E001303" w14:textId="77777777" w:rsidR="009A58DB" w:rsidRDefault="00000000">
      <w:pPr>
        <w:pStyle w:val="ListParagraph"/>
        <w:numPr>
          <w:ilvl w:val="0"/>
          <w:numId w:val="152"/>
        </w:numPr>
        <w:tabs>
          <w:tab w:val="left" w:pos="782"/>
        </w:tabs>
        <w:spacing w:line="343" w:lineRule="exact"/>
        <w:ind w:left="782" w:hanging="422"/>
        <w:rPr>
          <w:sz w:val="30"/>
        </w:rPr>
      </w:pPr>
      <w:r>
        <w:rPr>
          <w:sz w:val="30"/>
        </w:rPr>
        <w:t>“Socrates</w:t>
      </w:r>
      <w:r>
        <w:rPr>
          <w:spacing w:val="-6"/>
          <w:sz w:val="30"/>
        </w:rPr>
        <w:t xml:space="preserve"> </w:t>
      </w:r>
      <w:r>
        <w:rPr>
          <w:sz w:val="30"/>
        </w:rPr>
        <w:t>is</w:t>
      </w:r>
      <w:r>
        <w:rPr>
          <w:spacing w:val="-4"/>
          <w:sz w:val="30"/>
        </w:rPr>
        <w:t xml:space="preserve"> </w:t>
      </w:r>
      <w:r>
        <w:rPr>
          <w:sz w:val="30"/>
        </w:rPr>
        <w:t>the</w:t>
      </w:r>
      <w:r>
        <w:rPr>
          <w:spacing w:val="-4"/>
          <w:sz w:val="30"/>
        </w:rPr>
        <w:t xml:space="preserve"> </w:t>
      </w:r>
      <w:r>
        <w:rPr>
          <w:sz w:val="30"/>
        </w:rPr>
        <w:t>main</w:t>
      </w:r>
      <w:r>
        <w:rPr>
          <w:spacing w:val="-3"/>
          <w:sz w:val="30"/>
        </w:rPr>
        <w:t xml:space="preserve"> </w:t>
      </w:r>
      <w:r>
        <w:rPr>
          <w:sz w:val="30"/>
        </w:rPr>
        <w:t>character</w:t>
      </w:r>
      <w:r>
        <w:rPr>
          <w:spacing w:val="-4"/>
          <w:sz w:val="30"/>
        </w:rPr>
        <w:t xml:space="preserve"> </w:t>
      </w:r>
      <w:r>
        <w:rPr>
          <w:sz w:val="30"/>
        </w:rPr>
        <w:t>in</w:t>
      </w:r>
      <w:r>
        <w:rPr>
          <w:spacing w:val="-4"/>
          <w:sz w:val="30"/>
        </w:rPr>
        <w:t xml:space="preserve"> </w:t>
      </w:r>
      <w:r>
        <w:rPr>
          <w:sz w:val="30"/>
        </w:rPr>
        <w:t>most</w:t>
      </w:r>
      <w:r>
        <w:rPr>
          <w:spacing w:val="-4"/>
          <w:sz w:val="30"/>
        </w:rPr>
        <w:t xml:space="preserve"> </w:t>
      </w:r>
      <w:r>
        <w:rPr>
          <w:sz w:val="30"/>
        </w:rPr>
        <w:t>of</w:t>
      </w:r>
      <w:r>
        <w:rPr>
          <w:spacing w:val="-3"/>
          <w:sz w:val="30"/>
        </w:rPr>
        <w:t xml:space="preserve"> </w:t>
      </w:r>
      <w:r>
        <w:rPr>
          <w:sz w:val="30"/>
        </w:rPr>
        <w:t>Plato’s</w:t>
      </w:r>
      <w:r>
        <w:rPr>
          <w:spacing w:val="-4"/>
          <w:sz w:val="30"/>
        </w:rPr>
        <w:t xml:space="preserve"> </w:t>
      </w:r>
      <w:r>
        <w:rPr>
          <w:spacing w:val="-2"/>
          <w:sz w:val="30"/>
        </w:rPr>
        <w:t>dialogues.”</w:t>
      </w:r>
    </w:p>
    <w:p w14:paraId="7E001304" w14:textId="77777777" w:rsidR="009A58DB" w:rsidRDefault="009A58DB">
      <w:pPr>
        <w:pStyle w:val="BodyText"/>
        <w:spacing w:before="30"/>
        <w:ind w:left="0"/>
        <w:jc w:val="left"/>
      </w:pPr>
    </w:p>
    <w:p w14:paraId="7E001305" w14:textId="77777777" w:rsidR="009A58DB" w:rsidRDefault="00000000">
      <w:pPr>
        <w:pStyle w:val="BodyText"/>
        <w:spacing w:line="249" w:lineRule="auto"/>
        <w:ind w:right="358"/>
        <w:rPr>
          <w:position w:val="21"/>
        </w:rPr>
      </w:pPr>
      <w:r>
        <w:t xml:space="preserve">Thus, “Socrates” isn’t synonymous with “the main character in most of Plato’s dialogues” or, by obvious generalizations of this argument, with any other </w:t>
      </w:r>
      <w:r>
        <w:rPr>
          <w:b/>
          <w:i/>
        </w:rPr>
        <w:t xml:space="preserve">definite description. </w:t>
      </w:r>
      <w:r>
        <w:t>This argument, duly generalized, shows that</w:t>
      </w:r>
      <w:r>
        <w:rPr>
          <w:spacing w:val="40"/>
        </w:rPr>
        <w:t xml:space="preserve"> </w:t>
      </w:r>
      <w:r>
        <w:t xml:space="preserve">proper names are not in general synonymous with definite descriptions. From this it follows that proper names are mere labels. “Socrates” no more </w:t>
      </w:r>
      <w:r>
        <w:rPr>
          <w:i/>
        </w:rPr>
        <w:t xml:space="preserve">describes </w:t>
      </w:r>
      <w:r>
        <w:t>“Socrates” than your social security number describes you</w:t>
      </w:r>
      <w:bookmarkStart w:id="249" w:name="_bookmark249"/>
      <w:bookmarkEnd w:id="249"/>
      <w:r>
        <w:t>.</w:t>
      </w:r>
      <w:r>
        <w:rPr>
          <w:color w:val="0562C1"/>
          <w:position w:val="21"/>
          <w:u w:val="single" w:color="0562C1"/>
        </w:rPr>
        <w:t>[154]</w:t>
      </w:r>
    </w:p>
    <w:p w14:paraId="7E001306" w14:textId="77777777" w:rsidR="009A58DB" w:rsidRDefault="00000000">
      <w:pPr>
        <w:pStyle w:val="BodyText"/>
        <w:spacing w:before="8" w:line="249" w:lineRule="auto"/>
        <w:ind w:right="358" w:firstLine="360"/>
      </w:pPr>
      <w:r>
        <w:t>Definite descriptions describe their referents. To be referred to by “the tallest person in the room,” you have to have certain characteristics. You</w:t>
      </w:r>
      <w:r>
        <w:rPr>
          <w:spacing w:val="40"/>
        </w:rPr>
        <w:t xml:space="preserve"> </w:t>
      </w:r>
      <w:r>
        <w:t>must uniquely be a tallest person in the room. If a taller person walks in the room, that expression won’t pick you out. But, whatever your name is, there isn’t any way you have to be</w:t>
      </w:r>
      <w:r>
        <w:rPr>
          <w:spacing w:val="-3"/>
        </w:rPr>
        <w:t xml:space="preserve"> </w:t>
      </w:r>
      <w:r>
        <w:t>for that expression to pick you. It doesn’t matter how tall or short you are; what your job is; etc. Thus, names are mere labels.</w:t>
      </w:r>
    </w:p>
    <w:p w14:paraId="7E001307" w14:textId="77777777" w:rsidR="009A58DB" w:rsidRDefault="00000000">
      <w:pPr>
        <w:pStyle w:val="BodyText"/>
        <w:spacing w:before="7" w:line="249" w:lineRule="auto"/>
        <w:ind w:right="358" w:firstLine="360"/>
      </w:pPr>
      <w:r>
        <w:t>It follows that, if you say “Bill Jeffries is tall,” there is some individual x such</w:t>
      </w:r>
      <w:r>
        <w:rPr>
          <w:spacing w:val="-1"/>
        </w:rPr>
        <w:t xml:space="preserve"> </w:t>
      </w:r>
      <w:r>
        <w:t>that</w:t>
      </w:r>
      <w:r>
        <w:rPr>
          <w:spacing w:val="-1"/>
        </w:rPr>
        <w:t xml:space="preserve"> </w:t>
      </w:r>
      <w:r>
        <w:t>“Bill</w:t>
      </w:r>
      <w:r>
        <w:rPr>
          <w:spacing w:val="-1"/>
        </w:rPr>
        <w:t xml:space="preserve"> </w:t>
      </w:r>
      <w:r>
        <w:t>Jeffries” refers</w:t>
      </w:r>
      <w:r>
        <w:rPr>
          <w:spacing w:val="-1"/>
        </w:rPr>
        <w:t xml:space="preserve"> </w:t>
      </w:r>
      <w:r>
        <w:t>to x</w:t>
      </w:r>
      <w:r>
        <w:rPr>
          <w:spacing w:val="-1"/>
        </w:rPr>
        <w:t xml:space="preserve"> </w:t>
      </w:r>
      <w:r>
        <w:t>and such</w:t>
      </w:r>
      <w:r>
        <w:rPr>
          <w:spacing w:val="-1"/>
        </w:rPr>
        <w:t xml:space="preserve"> </w:t>
      </w:r>
      <w:r>
        <w:t>that</w:t>
      </w:r>
      <w:r>
        <w:rPr>
          <w:spacing w:val="-1"/>
        </w:rPr>
        <w:t xml:space="preserve"> </w:t>
      </w:r>
      <w:r>
        <w:t>for</w:t>
      </w:r>
      <w:r>
        <w:rPr>
          <w:spacing w:val="-1"/>
        </w:rPr>
        <w:t xml:space="preserve"> </w:t>
      </w:r>
      <w:r>
        <w:t>your statement</w:t>
      </w:r>
      <w:r>
        <w:rPr>
          <w:spacing w:val="-1"/>
        </w:rPr>
        <w:t xml:space="preserve"> </w:t>
      </w:r>
      <w:r>
        <w:t xml:space="preserve">to be true, it is necessary and sufficient that x be tall—it being entirely irrelevant what other properties x has. The same thing </w:t>
      </w:r>
      <w:r>
        <w:rPr>
          <w:i/>
        </w:rPr>
        <w:t>mutatis</w:t>
      </w:r>
      <w:r>
        <w:rPr>
          <w:i/>
          <w:spacing w:val="-4"/>
        </w:rPr>
        <w:t xml:space="preserve"> </w:t>
      </w:r>
      <w:r>
        <w:rPr>
          <w:i/>
        </w:rPr>
        <w:t>mutandis</w:t>
      </w:r>
      <w:r>
        <w:rPr>
          <w:i/>
          <w:spacing w:val="-4"/>
        </w:rPr>
        <w:t xml:space="preserve"> </w:t>
      </w:r>
      <w:r>
        <w:t>obviously holds with respect to “Socrates,” “Winston Churchill,” etc.</w:t>
      </w:r>
    </w:p>
    <w:p w14:paraId="7E001308" w14:textId="77777777" w:rsidR="009A58DB" w:rsidRDefault="00000000">
      <w:pPr>
        <w:pStyle w:val="BodyText"/>
        <w:spacing w:before="6" w:line="249" w:lineRule="auto"/>
        <w:ind w:right="366" w:firstLine="360"/>
      </w:pPr>
      <w:r>
        <w:t>Thus,</w:t>
      </w:r>
      <w:r>
        <w:rPr>
          <w:spacing w:val="-2"/>
        </w:rPr>
        <w:t xml:space="preserve"> </w:t>
      </w:r>
      <w:r>
        <w:t>if</w:t>
      </w:r>
      <w:r>
        <w:rPr>
          <w:spacing w:val="-3"/>
        </w:rPr>
        <w:t xml:space="preserve"> </w:t>
      </w:r>
      <w:r>
        <w:t>N</w:t>
      </w:r>
      <w:r>
        <w:rPr>
          <w:spacing w:val="-3"/>
        </w:rPr>
        <w:t xml:space="preserve"> </w:t>
      </w:r>
      <w:r>
        <w:t>is</w:t>
      </w:r>
      <w:r>
        <w:rPr>
          <w:spacing w:val="-3"/>
        </w:rPr>
        <w:t xml:space="preserve"> </w:t>
      </w:r>
      <w:r>
        <w:t>a</w:t>
      </w:r>
      <w:r>
        <w:rPr>
          <w:spacing w:val="-3"/>
        </w:rPr>
        <w:t xml:space="preserve"> </w:t>
      </w:r>
      <w:r>
        <w:t>proper</w:t>
      </w:r>
      <w:r>
        <w:rPr>
          <w:spacing w:val="-3"/>
        </w:rPr>
        <w:t xml:space="preserve"> </w:t>
      </w:r>
      <w:r>
        <w:t>name</w:t>
      </w:r>
      <w:r>
        <w:rPr>
          <w:spacing w:val="-3"/>
        </w:rPr>
        <w:t xml:space="preserve"> </w:t>
      </w:r>
      <w:r>
        <w:t>(that</w:t>
      </w:r>
      <w:r>
        <w:rPr>
          <w:spacing w:val="-3"/>
        </w:rPr>
        <w:t xml:space="preserve"> </w:t>
      </w:r>
      <w:r>
        <w:t>isn’t</w:t>
      </w:r>
      <w:r>
        <w:rPr>
          <w:spacing w:val="-3"/>
        </w:rPr>
        <w:t xml:space="preserve"> </w:t>
      </w:r>
      <w:r>
        <w:t>a</w:t>
      </w:r>
      <w:r>
        <w:rPr>
          <w:spacing w:val="-3"/>
        </w:rPr>
        <w:t xml:space="preserve"> </w:t>
      </w:r>
      <w:r>
        <w:t>make-believe</w:t>
      </w:r>
      <w:r>
        <w:rPr>
          <w:spacing w:val="-3"/>
        </w:rPr>
        <w:t xml:space="preserve"> </w:t>
      </w:r>
      <w:r>
        <w:t>name</w:t>
      </w:r>
      <w:r>
        <w:rPr>
          <w:spacing w:val="-3"/>
        </w:rPr>
        <w:t xml:space="preserve"> </w:t>
      </w:r>
      <w:r>
        <w:t>or</w:t>
      </w:r>
      <w:r>
        <w:rPr>
          <w:spacing w:val="-3"/>
        </w:rPr>
        <w:t xml:space="preserve"> </w:t>
      </w:r>
      <w:r>
        <w:t>is</w:t>
      </w:r>
      <w:r>
        <w:rPr>
          <w:spacing w:val="-3"/>
        </w:rPr>
        <w:t xml:space="preserve"> </w:t>
      </w:r>
      <w:r>
        <w:t>otherwise one that doesn’t pick anything out) and psi is any property, there exists some object x such that ‹N has psi› is true iff x has psi—it being irrelevant what other properties x has or lacks.</w:t>
      </w:r>
    </w:p>
    <w:p w14:paraId="7E001309" w14:textId="77777777" w:rsidR="009A58DB" w:rsidRDefault="00000000">
      <w:pPr>
        <w:pStyle w:val="BodyText"/>
        <w:spacing w:before="5" w:line="249" w:lineRule="auto"/>
        <w:ind w:right="359" w:firstLine="360"/>
      </w:pPr>
      <w:r>
        <w:t>But now we have a problem. “Winston Churchill” isn’t an “empty” (non-referring) name. It isn’t in the same category as “Rooster Cogburn.” And “Winston</w:t>
      </w:r>
      <w:r>
        <w:rPr>
          <w:spacing w:val="12"/>
        </w:rPr>
        <w:t xml:space="preserve"> </w:t>
      </w:r>
      <w:r>
        <w:t>Churchill</w:t>
      </w:r>
      <w:r>
        <w:rPr>
          <w:spacing w:val="14"/>
        </w:rPr>
        <w:t xml:space="preserve"> </w:t>
      </w:r>
      <w:r>
        <w:t>was</w:t>
      </w:r>
      <w:r>
        <w:rPr>
          <w:spacing w:val="15"/>
        </w:rPr>
        <w:t xml:space="preserve"> </w:t>
      </w:r>
      <w:r>
        <w:t>bald”</w:t>
      </w:r>
      <w:r>
        <w:rPr>
          <w:spacing w:val="15"/>
        </w:rPr>
        <w:t xml:space="preserve"> </w:t>
      </w:r>
      <w:r>
        <w:t>is</w:t>
      </w:r>
      <w:r>
        <w:rPr>
          <w:spacing w:val="15"/>
        </w:rPr>
        <w:t xml:space="preserve"> </w:t>
      </w:r>
      <w:r>
        <w:t>meaningful.</w:t>
      </w:r>
      <w:r>
        <w:rPr>
          <w:spacing w:val="14"/>
        </w:rPr>
        <w:t xml:space="preserve"> </w:t>
      </w:r>
      <w:r>
        <w:t>But</w:t>
      </w:r>
      <w:r>
        <w:rPr>
          <w:spacing w:val="14"/>
        </w:rPr>
        <w:t xml:space="preserve"> </w:t>
      </w:r>
      <w:r>
        <w:t>Churchill</w:t>
      </w:r>
      <w:r>
        <w:rPr>
          <w:spacing w:val="14"/>
        </w:rPr>
        <w:t xml:space="preserve"> </w:t>
      </w:r>
      <w:r>
        <w:t>no</w:t>
      </w:r>
      <w:r>
        <w:rPr>
          <w:spacing w:val="15"/>
        </w:rPr>
        <w:t xml:space="preserve"> </w:t>
      </w:r>
      <w:r>
        <w:t>longer</w:t>
      </w:r>
      <w:r>
        <w:rPr>
          <w:spacing w:val="15"/>
        </w:rPr>
        <w:t xml:space="preserve"> </w:t>
      </w:r>
      <w:r>
        <w:rPr>
          <w:spacing w:val="-2"/>
        </w:rPr>
        <w:t>exists.</w:t>
      </w:r>
    </w:p>
    <w:p w14:paraId="7E00130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0B" w14:textId="77777777" w:rsidR="009A58DB" w:rsidRDefault="00000000">
      <w:pPr>
        <w:pStyle w:val="BodyText"/>
        <w:spacing w:before="65" w:line="277" w:lineRule="exact"/>
        <w:ind w:left="8812"/>
        <w:jc w:val="left"/>
      </w:pPr>
      <w:bookmarkStart w:id="250" w:name="_bookmark250"/>
      <w:bookmarkEnd w:id="250"/>
      <w:r>
        <w:rPr>
          <w:color w:val="0562C1"/>
          <w:spacing w:val="-2"/>
          <w:u w:val="single" w:color="0562C1"/>
        </w:rPr>
        <w:lastRenderedPageBreak/>
        <w:t>[155]</w:t>
      </w:r>
    </w:p>
    <w:p w14:paraId="7E00130C" w14:textId="77777777" w:rsidR="009A58DB" w:rsidRDefault="00000000">
      <w:pPr>
        <w:pStyle w:val="BodyText"/>
        <w:spacing w:line="277" w:lineRule="exact"/>
        <w:jc w:val="left"/>
      </w:pPr>
      <w:r>
        <w:t>Thus,</w:t>
      </w:r>
      <w:r>
        <w:rPr>
          <w:spacing w:val="-5"/>
        </w:rPr>
        <w:t xml:space="preserve"> </w:t>
      </w:r>
      <w:r>
        <w:t>there</w:t>
      </w:r>
      <w:r>
        <w:rPr>
          <w:spacing w:val="-3"/>
        </w:rPr>
        <w:t xml:space="preserve"> </w:t>
      </w:r>
      <w:r>
        <w:t>does</w:t>
      </w:r>
      <w:r>
        <w:rPr>
          <w:spacing w:val="-3"/>
        </w:rPr>
        <w:t xml:space="preserve"> </w:t>
      </w:r>
      <w:r>
        <w:t>not</w:t>
      </w:r>
      <w:r>
        <w:rPr>
          <w:spacing w:val="-4"/>
        </w:rPr>
        <w:t xml:space="preserve"> </w:t>
      </w:r>
      <w:r>
        <w:t>exist</w:t>
      </w:r>
      <w:r>
        <w:rPr>
          <w:spacing w:val="-3"/>
        </w:rPr>
        <w:t xml:space="preserve"> </w:t>
      </w:r>
      <w:r>
        <w:t>an</w:t>
      </w:r>
      <w:r>
        <w:rPr>
          <w:spacing w:val="-2"/>
        </w:rPr>
        <w:t xml:space="preserve"> </w:t>
      </w:r>
      <w:r>
        <w:t>object</w:t>
      </w:r>
      <w:r>
        <w:rPr>
          <w:spacing w:val="-4"/>
        </w:rPr>
        <w:t xml:space="preserve"> </w:t>
      </w:r>
      <w:r>
        <w:t>x</w:t>
      </w:r>
      <w:r>
        <w:rPr>
          <w:spacing w:val="-2"/>
        </w:rPr>
        <w:t xml:space="preserve"> </w:t>
      </w:r>
      <w:r>
        <w:t>such</w:t>
      </w:r>
      <w:r>
        <w:rPr>
          <w:spacing w:val="-2"/>
        </w:rPr>
        <w:t xml:space="preserve"> </w:t>
      </w:r>
      <w:r>
        <w:t>that</w:t>
      </w:r>
      <w:r>
        <w:rPr>
          <w:spacing w:val="-4"/>
        </w:rPr>
        <w:t xml:space="preserve"> </w:t>
      </w:r>
      <w:r>
        <w:t>“Churchill”</w:t>
      </w:r>
      <w:r>
        <w:rPr>
          <w:spacing w:val="-3"/>
        </w:rPr>
        <w:t xml:space="preserve"> </w:t>
      </w:r>
      <w:r>
        <w:t>refers</w:t>
      </w:r>
      <w:r>
        <w:rPr>
          <w:spacing w:val="-3"/>
        </w:rPr>
        <w:t xml:space="preserve"> </w:t>
      </w:r>
      <w:r>
        <w:t>to</w:t>
      </w:r>
      <w:r>
        <w:rPr>
          <w:spacing w:val="-2"/>
        </w:rPr>
        <w:t xml:space="preserve"> </w:t>
      </w:r>
      <w:r>
        <w:rPr>
          <w:spacing w:val="-5"/>
        </w:rPr>
        <w:t>x.</w:t>
      </w:r>
    </w:p>
    <w:p w14:paraId="7E00130D" w14:textId="77777777" w:rsidR="009A58DB" w:rsidRDefault="00000000">
      <w:pPr>
        <w:pStyle w:val="BodyText"/>
        <w:spacing w:before="15" w:line="249" w:lineRule="auto"/>
        <w:ind w:right="361" w:firstLine="360"/>
      </w:pPr>
      <w:r>
        <w:t>Some people deal with this by trying to revive the idea that proper names are definite descriptions. But this isn’t a good idea, since the arguments just given are clearly probative. Salmon rightly avoids this path. Others deal with it by saying that, since existence is “four-dimensional,” nothing ever ceases</w:t>
      </w:r>
      <w:r>
        <w:rPr>
          <w:spacing w:val="40"/>
        </w:rPr>
        <w:t xml:space="preserve"> </w:t>
      </w:r>
      <w:r>
        <w:t>to exist. But Salmon rightly rejects this tortured and implausible view.</w:t>
      </w:r>
    </w:p>
    <w:p w14:paraId="7E00130E" w14:textId="77777777" w:rsidR="009A58DB" w:rsidRDefault="00000000">
      <w:pPr>
        <w:pStyle w:val="BodyText"/>
        <w:spacing w:before="6" w:line="249" w:lineRule="auto"/>
        <w:ind w:right="360" w:firstLine="360"/>
      </w:pPr>
      <w:r>
        <w:t xml:space="preserve">Unfortunately, the way Salmon deals with the problem is no more plausible than the two views that he rightly rejects. Salmon says that it </w:t>
      </w:r>
      <w:r>
        <w:rPr>
          <w:i/>
        </w:rPr>
        <w:t xml:space="preserve">is </w:t>
      </w:r>
      <w:r>
        <w:t xml:space="preserve">meaningful to say of a given thing (e.g., Churchill) that it doesn’t exist. Salmon’s position is that “Winston Churchill” </w:t>
      </w:r>
      <w:r>
        <w:rPr>
          <w:i/>
        </w:rPr>
        <w:t xml:space="preserve">does </w:t>
      </w:r>
      <w:r>
        <w:t>have a referent—a non-existent one.</w:t>
      </w:r>
    </w:p>
    <w:p w14:paraId="7E00130F" w14:textId="77777777" w:rsidR="009A58DB" w:rsidRDefault="00000000">
      <w:pPr>
        <w:pStyle w:val="BodyText"/>
        <w:spacing w:before="6" w:line="249" w:lineRule="auto"/>
        <w:ind w:right="360" w:firstLine="360"/>
      </w:pPr>
      <w:r>
        <w:rPr>
          <w:i/>
        </w:rPr>
        <w:t xml:space="preserve">If </w:t>
      </w:r>
      <w:r>
        <w:t xml:space="preserve">Salmon were right to say that one could say of specific non-existent things that they were non-existent, it would follow that one could say of specific non-existent things that they were existent. If a proposition can be affirmed, so can its negation. (Of course, one couldn’t </w:t>
      </w:r>
      <w:r>
        <w:rPr>
          <w:i/>
        </w:rPr>
        <w:t xml:space="preserve">correctly </w:t>
      </w:r>
      <w:r>
        <w:t>say of a</w:t>
      </w:r>
      <w:r>
        <w:rPr>
          <w:spacing w:val="40"/>
        </w:rPr>
        <w:t xml:space="preserve"> </w:t>
      </w:r>
      <w:r>
        <w:t xml:space="preserve">given non-existent thing that it existed. But one could still say it—just as one can say, albeit falsely, that Barack Obama is eight-feet tall.) For similar reasons, it would follow that one could meaningfully (though, of course, falsely) say of a given existing thing that it didn’t exist and also that it did </w:t>
      </w:r>
      <w:r>
        <w:rPr>
          <w:spacing w:val="-2"/>
        </w:rPr>
        <w:t>exist.</w:t>
      </w:r>
    </w:p>
    <w:p w14:paraId="7E001310" w14:textId="77777777" w:rsidR="009A58DB" w:rsidRDefault="00000000">
      <w:pPr>
        <w:pStyle w:val="BodyText"/>
        <w:spacing w:before="11" w:line="249" w:lineRule="auto"/>
        <w:ind w:right="358" w:firstLine="360"/>
      </w:pPr>
      <w:r>
        <w:t>Of course, in saying that “Winston Churchill” has a non-existent referent, Salmon is saying that there exists something x such that “Winston Churchill” refers</w:t>
      </w:r>
      <w:r>
        <w:rPr>
          <w:spacing w:val="-1"/>
        </w:rPr>
        <w:t xml:space="preserve"> </w:t>
      </w:r>
      <w:r>
        <w:t>to x</w:t>
      </w:r>
      <w:r>
        <w:rPr>
          <w:spacing w:val="-1"/>
        </w:rPr>
        <w:t xml:space="preserve"> </w:t>
      </w:r>
      <w:r>
        <w:t>and such</w:t>
      </w:r>
      <w:r>
        <w:rPr>
          <w:spacing w:val="-1"/>
        </w:rPr>
        <w:t xml:space="preserve"> </w:t>
      </w:r>
      <w:r>
        <w:t>that</w:t>
      </w:r>
      <w:r>
        <w:rPr>
          <w:spacing w:val="-1"/>
        </w:rPr>
        <w:t xml:space="preserve"> </w:t>
      </w:r>
      <w:r>
        <w:t>x</w:t>
      </w:r>
      <w:r>
        <w:rPr>
          <w:spacing w:val="-1"/>
        </w:rPr>
        <w:t xml:space="preserve"> </w:t>
      </w:r>
      <w:r>
        <w:t>doesn’t</w:t>
      </w:r>
      <w:r>
        <w:rPr>
          <w:spacing w:val="-1"/>
        </w:rPr>
        <w:t xml:space="preserve"> </w:t>
      </w:r>
      <w:r>
        <w:t>exist.</w:t>
      </w:r>
      <w:r>
        <w:rPr>
          <w:spacing w:val="-1"/>
        </w:rPr>
        <w:t xml:space="preserve"> </w:t>
      </w:r>
      <w:r>
        <w:t>And, of</w:t>
      </w:r>
      <w:r>
        <w:rPr>
          <w:spacing w:val="-1"/>
        </w:rPr>
        <w:t xml:space="preserve"> </w:t>
      </w:r>
      <w:r>
        <w:t>course, that</w:t>
      </w:r>
      <w:r>
        <w:rPr>
          <w:spacing w:val="-1"/>
        </w:rPr>
        <w:t xml:space="preserve"> </w:t>
      </w:r>
      <w:r>
        <w:t>statement</w:t>
      </w:r>
      <w:r>
        <w:rPr>
          <w:spacing w:val="-1"/>
        </w:rPr>
        <w:t xml:space="preserve"> </w:t>
      </w:r>
      <w:r>
        <w:t>is self-contradictory—so far as, given the points made earlier, it isn’t completely meaningless. For some reason, Salmon isn’t bothered by the consequence of this theory.</w:t>
      </w:r>
    </w:p>
    <w:p w14:paraId="7E001311" w14:textId="77777777" w:rsidR="009A58DB" w:rsidRDefault="00000000">
      <w:pPr>
        <w:pStyle w:val="BodyText"/>
        <w:spacing w:before="7" w:line="249" w:lineRule="auto"/>
        <w:ind w:right="362" w:firstLine="360"/>
      </w:pPr>
      <w:r>
        <w:t>Salmon is quite right to hold that proper names are mere labels. But, contrary to what he thinks, that fact doesn’t license his desperate and incoherent views about existence. Consider the sentence:</w:t>
      </w:r>
    </w:p>
    <w:p w14:paraId="7E001312" w14:textId="77777777" w:rsidR="009A58DB" w:rsidRDefault="009A58DB">
      <w:pPr>
        <w:pStyle w:val="BodyText"/>
        <w:spacing w:before="19"/>
        <w:ind w:left="0"/>
        <w:jc w:val="left"/>
      </w:pPr>
    </w:p>
    <w:p w14:paraId="7E001313" w14:textId="77777777" w:rsidR="009A58DB" w:rsidRDefault="00000000">
      <w:pPr>
        <w:pStyle w:val="BodyText"/>
        <w:jc w:val="left"/>
      </w:pPr>
      <w:r>
        <w:t>(S</w:t>
      </w:r>
      <w:r>
        <w:rPr>
          <w:vertAlign w:val="subscript"/>
        </w:rPr>
        <w:t>1</w:t>
      </w:r>
      <w:r>
        <w:t>)</w:t>
      </w:r>
      <w:r>
        <w:rPr>
          <w:spacing w:val="3"/>
        </w:rPr>
        <w:t xml:space="preserve"> </w:t>
      </w:r>
      <w:r>
        <w:t>“JMK</w:t>
      </w:r>
      <w:r>
        <w:rPr>
          <w:spacing w:val="3"/>
        </w:rPr>
        <w:t xml:space="preserve"> </w:t>
      </w:r>
      <w:r>
        <w:t>plays</w:t>
      </w:r>
      <w:r>
        <w:rPr>
          <w:spacing w:val="3"/>
        </w:rPr>
        <w:t xml:space="preserve"> </w:t>
      </w:r>
      <w:r>
        <w:rPr>
          <w:spacing w:val="-2"/>
        </w:rPr>
        <w:t>tennis.”</w:t>
      </w:r>
    </w:p>
    <w:p w14:paraId="7E001314" w14:textId="77777777" w:rsidR="009A58DB" w:rsidRDefault="009A58DB">
      <w:pPr>
        <w:pStyle w:val="BodyText"/>
        <w:spacing w:before="90"/>
        <w:ind w:left="0"/>
        <w:jc w:val="left"/>
      </w:pPr>
    </w:p>
    <w:p w14:paraId="7E001315" w14:textId="77777777" w:rsidR="009A58DB" w:rsidRDefault="00000000">
      <w:pPr>
        <w:pStyle w:val="BodyText"/>
        <w:spacing w:line="249" w:lineRule="auto"/>
        <w:jc w:val="left"/>
      </w:pPr>
      <w:r>
        <w:t xml:space="preserve">This sentence is meaningful. In other words, there is some </w:t>
      </w:r>
      <w:r>
        <w:rPr>
          <w:b/>
          <w:i/>
        </w:rPr>
        <w:t>proposition</w:t>
      </w:r>
      <w:r>
        <w:rPr>
          <w:b/>
          <w:i/>
          <w:spacing w:val="-4"/>
        </w:rPr>
        <w:t xml:space="preserve"> </w:t>
      </w:r>
      <w:r>
        <w:t>that it expresses.</w:t>
      </w:r>
      <w:r>
        <w:rPr>
          <w:spacing w:val="29"/>
        </w:rPr>
        <w:t xml:space="preserve"> </w:t>
      </w:r>
      <w:r>
        <w:t>Let</w:t>
      </w:r>
      <w:r>
        <w:rPr>
          <w:spacing w:val="28"/>
        </w:rPr>
        <w:t xml:space="preserve"> </w:t>
      </w:r>
      <w:r>
        <w:t>P</w:t>
      </w:r>
      <w:r>
        <w:rPr>
          <w:vertAlign w:val="subscript"/>
        </w:rPr>
        <w:t>1</w:t>
      </w:r>
      <w:r>
        <w:rPr>
          <w:spacing w:val="30"/>
        </w:rPr>
        <w:t xml:space="preserve"> </w:t>
      </w:r>
      <w:r>
        <w:t>be</w:t>
      </w:r>
      <w:r>
        <w:rPr>
          <w:spacing w:val="30"/>
        </w:rPr>
        <w:t xml:space="preserve"> </w:t>
      </w:r>
      <w:r>
        <w:t>this</w:t>
      </w:r>
      <w:r>
        <w:rPr>
          <w:spacing w:val="30"/>
        </w:rPr>
        <w:t xml:space="preserve"> </w:t>
      </w:r>
      <w:r>
        <w:t>proposition.</w:t>
      </w:r>
      <w:r>
        <w:rPr>
          <w:spacing w:val="30"/>
        </w:rPr>
        <w:t xml:space="preserve"> </w:t>
      </w:r>
      <w:r>
        <w:t>We’ve</w:t>
      </w:r>
      <w:r>
        <w:rPr>
          <w:spacing w:val="31"/>
        </w:rPr>
        <w:t xml:space="preserve"> </w:t>
      </w:r>
      <w:r>
        <w:t>seen</w:t>
      </w:r>
      <w:r>
        <w:rPr>
          <w:spacing w:val="30"/>
        </w:rPr>
        <w:t xml:space="preserve"> </w:t>
      </w:r>
      <w:r>
        <w:t>that</w:t>
      </w:r>
      <w:r>
        <w:rPr>
          <w:spacing w:val="30"/>
        </w:rPr>
        <w:t xml:space="preserve"> </w:t>
      </w:r>
      <w:r>
        <w:t>there</w:t>
      </w:r>
      <w:r>
        <w:rPr>
          <w:spacing w:val="30"/>
        </w:rPr>
        <w:t xml:space="preserve"> </w:t>
      </w:r>
      <w:r>
        <w:t>is</w:t>
      </w:r>
      <w:r>
        <w:rPr>
          <w:spacing w:val="30"/>
        </w:rPr>
        <w:t xml:space="preserve"> </w:t>
      </w:r>
      <w:r>
        <w:t>some</w:t>
      </w:r>
      <w:r>
        <w:rPr>
          <w:spacing w:val="30"/>
        </w:rPr>
        <w:t xml:space="preserve"> </w:t>
      </w:r>
      <w:r>
        <w:t>x</w:t>
      </w:r>
      <w:r>
        <w:rPr>
          <w:spacing w:val="30"/>
        </w:rPr>
        <w:t xml:space="preserve"> </w:t>
      </w:r>
      <w:r>
        <w:rPr>
          <w:spacing w:val="-4"/>
        </w:rPr>
        <w:t>such</w:t>
      </w:r>
    </w:p>
    <w:p w14:paraId="7E001316"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1317" w14:textId="77777777" w:rsidR="009A58DB" w:rsidRDefault="00000000">
      <w:pPr>
        <w:pStyle w:val="BodyText"/>
        <w:spacing w:before="65" w:line="292" w:lineRule="auto"/>
        <w:ind w:right="362"/>
      </w:pPr>
      <w:r>
        <w:lastRenderedPageBreak/>
        <w:t>that “JMK” refers to x such that S</w:t>
      </w:r>
      <w:r>
        <w:rPr>
          <w:vertAlign w:val="subscript"/>
        </w:rPr>
        <w:t>1</w:t>
      </w:r>
      <w:r>
        <w:t xml:space="preserve"> is true just in case x plays tennis—that, in other words, P</w:t>
      </w:r>
      <w:r>
        <w:rPr>
          <w:vertAlign w:val="subscript"/>
        </w:rPr>
        <w:t>1</w:t>
      </w:r>
      <w:r>
        <w:t xml:space="preserve"> is true iff x plays tennis. Salmon knows this, and he</w:t>
      </w:r>
      <w:r>
        <w:rPr>
          <w:spacing w:val="40"/>
        </w:rPr>
        <w:t xml:space="preserve"> </w:t>
      </w:r>
      <w:r>
        <w:t>concludes</w:t>
      </w:r>
      <w:r>
        <w:rPr>
          <w:spacing w:val="8"/>
        </w:rPr>
        <w:t xml:space="preserve"> </w:t>
      </w:r>
      <w:r>
        <w:t>from</w:t>
      </w:r>
      <w:r>
        <w:rPr>
          <w:spacing w:val="8"/>
        </w:rPr>
        <w:t xml:space="preserve"> </w:t>
      </w:r>
      <w:r>
        <w:t>this</w:t>
      </w:r>
      <w:r>
        <w:rPr>
          <w:spacing w:val="8"/>
        </w:rPr>
        <w:t xml:space="preserve"> </w:t>
      </w:r>
      <w:r>
        <w:t>that</w:t>
      </w:r>
      <w:r>
        <w:rPr>
          <w:spacing w:val="9"/>
        </w:rPr>
        <w:t xml:space="preserve"> </w:t>
      </w:r>
      <w:r>
        <w:t>JMK</w:t>
      </w:r>
      <w:r>
        <w:rPr>
          <w:spacing w:val="8"/>
        </w:rPr>
        <w:t xml:space="preserve"> </w:t>
      </w:r>
      <w:r>
        <w:t>is</w:t>
      </w:r>
      <w:r>
        <w:rPr>
          <w:spacing w:val="8"/>
        </w:rPr>
        <w:t xml:space="preserve"> </w:t>
      </w:r>
      <w:r>
        <w:t>a</w:t>
      </w:r>
      <w:r>
        <w:rPr>
          <w:spacing w:val="9"/>
        </w:rPr>
        <w:t xml:space="preserve"> </w:t>
      </w:r>
      <w:r>
        <w:t>veritable</w:t>
      </w:r>
      <w:r>
        <w:rPr>
          <w:spacing w:val="8"/>
        </w:rPr>
        <w:t xml:space="preserve"> </w:t>
      </w:r>
      <w:r>
        <w:rPr>
          <w:i/>
        </w:rPr>
        <w:t>constituent</w:t>
      </w:r>
      <w:r>
        <w:rPr>
          <w:i/>
          <w:spacing w:val="-2"/>
        </w:rPr>
        <w:t xml:space="preserve"> </w:t>
      </w:r>
      <w:r>
        <w:t>of</w:t>
      </w:r>
      <w:r>
        <w:rPr>
          <w:spacing w:val="14"/>
        </w:rPr>
        <w:t xml:space="preserve"> </w:t>
      </w:r>
      <w:r>
        <w:t>P</w:t>
      </w:r>
      <w:r>
        <w:rPr>
          <w:vertAlign w:val="subscript"/>
        </w:rPr>
        <w:t>1</w:t>
      </w:r>
      <w:r>
        <w:t>.</w:t>
      </w:r>
      <w:r>
        <w:rPr>
          <w:spacing w:val="14"/>
        </w:rPr>
        <w:t xml:space="preserve"> </w:t>
      </w:r>
      <w:r>
        <w:t>In</w:t>
      </w:r>
      <w:r>
        <w:rPr>
          <w:spacing w:val="14"/>
        </w:rPr>
        <w:t xml:space="preserve"> </w:t>
      </w:r>
      <w:r>
        <w:t>other</w:t>
      </w:r>
      <w:r>
        <w:rPr>
          <w:spacing w:val="13"/>
        </w:rPr>
        <w:t xml:space="preserve"> </w:t>
      </w:r>
      <w:r>
        <w:rPr>
          <w:spacing w:val="-2"/>
        </w:rPr>
        <w:t>words,</w:t>
      </w:r>
    </w:p>
    <w:p w14:paraId="7E001318" w14:textId="77777777" w:rsidR="009A58DB" w:rsidRDefault="00000000">
      <w:pPr>
        <w:pStyle w:val="BodyText"/>
        <w:spacing w:line="249" w:lineRule="auto"/>
        <w:ind w:right="369"/>
      </w:pPr>
      <w:r>
        <w:t>there is some proposition that I am actually a part of. This is a very contrived view, given that I’m a spatiotemporal entity, whereas propositions are not.</w:t>
      </w:r>
    </w:p>
    <w:p w14:paraId="7E001319" w14:textId="77777777" w:rsidR="009A58DB" w:rsidRDefault="00000000">
      <w:pPr>
        <w:pStyle w:val="BodyText"/>
        <w:spacing w:line="271" w:lineRule="auto"/>
        <w:ind w:right="359" w:firstLine="360"/>
      </w:pPr>
      <w:r>
        <w:t>In any case, it isn’t the right view. Under what circumstances is P</w:t>
      </w:r>
      <w:r>
        <w:rPr>
          <w:vertAlign w:val="subscript"/>
        </w:rPr>
        <w:t>1</w:t>
      </w:r>
      <w:r>
        <w:t xml:space="preserve"> true? First of all, the property of being a tennis player must be instantiated. (If nobody</w:t>
      </w:r>
      <w:r>
        <w:rPr>
          <w:spacing w:val="2"/>
        </w:rPr>
        <w:t xml:space="preserve"> </w:t>
      </w:r>
      <w:r>
        <w:t>plays</w:t>
      </w:r>
      <w:r>
        <w:rPr>
          <w:spacing w:val="3"/>
        </w:rPr>
        <w:t xml:space="preserve"> </w:t>
      </w:r>
      <w:r>
        <w:t>tennis,</w:t>
      </w:r>
      <w:r>
        <w:rPr>
          <w:spacing w:val="4"/>
        </w:rPr>
        <w:t xml:space="preserve"> </w:t>
      </w:r>
      <w:r>
        <w:t>P</w:t>
      </w:r>
      <w:r>
        <w:rPr>
          <w:vertAlign w:val="subscript"/>
        </w:rPr>
        <w:t>1</w:t>
      </w:r>
      <w:r>
        <w:rPr>
          <w:spacing w:val="7"/>
        </w:rPr>
        <w:t xml:space="preserve"> </w:t>
      </w:r>
      <w:r>
        <w:t>is</w:t>
      </w:r>
      <w:r>
        <w:rPr>
          <w:spacing w:val="7"/>
        </w:rPr>
        <w:t xml:space="preserve"> </w:t>
      </w:r>
      <w:r>
        <w:t>false.)</w:t>
      </w:r>
      <w:r>
        <w:rPr>
          <w:spacing w:val="7"/>
        </w:rPr>
        <w:t xml:space="preserve"> </w:t>
      </w:r>
      <w:r>
        <w:t>For</w:t>
      </w:r>
      <w:r>
        <w:rPr>
          <w:spacing w:val="7"/>
        </w:rPr>
        <w:t xml:space="preserve"> </w:t>
      </w:r>
      <w:r>
        <w:t>obvious</w:t>
      </w:r>
      <w:r>
        <w:rPr>
          <w:spacing w:val="7"/>
        </w:rPr>
        <w:t xml:space="preserve"> </w:t>
      </w:r>
      <w:r>
        <w:t>reasons,</w:t>
      </w:r>
      <w:r>
        <w:rPr>
          <w:spacing w:val="7"/>
        </w:rPr>
        <w:t xml:space="preserve"> </w:t>
      </w:r>
      <w:r>
        <w:t>it’s</w:t>
      </w:r>
      <w:r>
        <w:rPr>
          <w:spacing w:val="7"/>
        </w:rPr>
        <w:t xml:space="preserve"> </w:t>
      </w:r>
      <w:r>
        <w:t>also</w:t>
      </w:r>
      <w:r>
        <w:rPr>
          <w:spacing w:val="7"/>
        </w:rPr>
        <w:t xml:space="preserve"> </w:t>
      </w:r>
      <w:r>
        <w:t>necessary</w:t>
      </w:r>
      <w:r>
        <w:rPr>
          <w:spacing w:val="6"/>
        </w:rPr>
        <w:t xml:space="preserve"> </w:t>
      </w:r>
      <w:r>
        <w:rPr>
          <w:spacing w:val="-4"/>
        </w:rPr>
        <w:t>that</w:t>
      </w:r>
    </w:p>
    <w:p w14:paraId="7E00131A" w14:textId="77777777" w:rsidR="009A58DB" w:rsidRDefault="00000000">
      <w:pPr>
        <w:pStyle w:val="BodyText"/>
        <w:spacing w:before="30" w:line="249" w:lineRule="auto"/>
        <w:ind w:right="358"/>
      </w:pPr>
      <w:r>
        <w:t>the property of being identical with JMK be instantiated. Let PTP and PJMK be the property of being a tennis player and the property of being identical with JMK, respectively</w:t>
      </w:r>
      <w:bookmarkStart w:id="251" w:name="_bookmark251"/>
      <w:bookmarkEnd w:id="251"/>
      <w:r>
        <w:t>.</w:t>
      </w:r>
      <w:r>
        <w:rPr>
          <w:color w:val="0562C1"/>
          <w:position w:val="21"/>
          <w:u w:val="single" w:color="0562C1"/>
        </w:rPr>
        <w:t>[156]</w:t>
      </w:r>
      <w:r>
        <w:rPr>
          <w:color w:val="0562C1"/>
          <w:position w:val="21"/>
        </w:rPr>
        <w:t xml:space="preserve"> </w:t>
      </w:r>
      <w:r>
        <w:t xml:space="preserve">Finally, let PJMT be the property of being identical with JMK </w:t>
      </w:r>
      <w:r>
        <w:rPr>
          <w:i/>
        </w:rPr>
        <w:t xml:space="preserve">and </w:t>
      </w:r>
      <w:r>
        <w:t>being a tennis player.</w:t>
      </w:r>
    </w:p>
    <w:p w14:paraId="7E00131B" w14:textId="77777777" w:rsidR="009A58DB" w:rsidRDefault="00000000">
      <w:pPr>
        <w:pStyle w:val="BodyText"/>
        <w:spacing w:before="5" w:line="249" w:lineRule="auto"/>
        <w:ind w:right="359" w:firstLine="360"/>
      </w:pPr>
      <w:r>
        <w:t>Supposing that P# is the set containing PTP, PJMK, and PJMT, and not containing anything else, the members of P# are collectively instantiated if and</w:t>
      </w:r>
      <w:r>
        <w:rPr>
          <w:spacing w:val="4"/>
        </w:rPr>
        <w:t xml:space="preserve"> </w:t>
      </w:r>
      <w:r>
        <w:t>only</w:t>
      </w:r>
      <w:r>
        <w:rPr>
          <w:spacing w:val="5"/>
        </w:rPr>
        <w:t xml:space="preserve"> </w:t>
      </w:r>
      <w:r>
        <w:t>if</w:t>
      </w:r>
      <w:r>
        <w:rPr>
          <w:spacing w:val="6"/>
        </w:rPr>
        <w:t xml:space="preserve"> </w:t>
      </w:r>
      <w:r>
        <w:t>P</w:t>
      </w:r>
      <w:r>
        <w:rPr>
          <w:vertAlign w:val="subscript"/>
        </w:rPr>
        <w:t>1</w:t>
      </w:r>
      <w:r>
        <w:rPr>
          <w:spacing w:val="7"/>
        </w:rPr>
        <w:t xml:space="preserve"> </w:t>
      </w:r>
      <w:r>
        <w:t>is</w:t>
      </w:r>
      <w:r>
        <w:rPr>
          <w:spacing w:val="8"/>
        </w:rPr>
        <w:t xml:space="preserve"> </w:t>
      </w:r>
      <w:r>
        <w:t>true.</w:t>
      </w:r>
      <w:r>
        <w:rPr>
          <w:spacing w:val="8"/>
        </w:rPr>
        <w:t xml:space="preserve"> </w:t>
      </w:r>
      <w:r>
        <w:t>There</w:t>
      </w:r>
      <w:r>
        <w:rPr>
          <w:spacing w:val="8"/>
        </w:rPr>
        <w:t xml:space="preserve"> </w:t>
      </w:r>
      <w:r>
        <w:t>is</w:t>
      </w:r>
      <w:r>
        <w:rPr>
          <w:spacing w:val="7"/>
        </w:rPr>
        <w:t xml:space="preserve"> </w:t>
      </w:r>
      <w:r>
        <w:t>thus</w:t>
      </w:r>
      <w:r>
        <w:rPr>
          <w:spacing w:val="8"/>
        </w:rPr>
        <w:t xml:space="preserve"> </w:t>
      </w:r>
      <w:r>
        <w:t>no</w:t>
      </w:r>
      <w:r>
        <w:rPr>
          <w:spacing w:val="8"/>
        </w:rPr>
        <w:t xml:space="preserve"> </w:t>
      </w:r>
      <w:r>
        <w:t>reason</w:t>
      </w:r>
      <w:r>
        <w:rPr>
          <w:spacing w:val="8"/>
        </w:rPr>
        <w:t xml:space="preserve"> </w:t>
      </w:r>
      <w:r>
        <w:t>not</w:t>
      </w:r>
      <w:r>
        <w:rPr>
          <w:spacing w:val="7"/>
        </w:rPr>
        <w:t xml:space="preserve"> </w:t>
      </w:r>
      <w:r>
        <w:t>to</w:t>
      </w:r>
      <w:r>
        <w:rPr>
          <w:spacing w:val="8"/>
        </w:rPr>
        <w:t xml:space="preserve"> </w:t>
      </w:r>
      <w:r>
        <w:t>say</w:t>
      </w:r>
      <w:r>
        <w:rPr>
          <w:spacing w:val="8"/>
        </w:rPr>
        <w:t xml:space="preserve"> </w:t>
      </w:r>
      <w:r>
        <w:t>that</w:t>
      </w:r>
      <w:r>
        <w:rPr>
          <w:spacing w:val="7"/>
        </w:rPr>
        <w:t xml:space="preserve"> </w:t>
      </w:r>
      <w:r>
        <w:t>P</w:t>
      </w:r>
      <w:r>
        <w:rPr>
          <w:vertAlign w:val="subscript"/>
        </w:rPr>
        <w:t>1</w:t>
      </w:r>
      <w:r>
        <w:rPr>
          <w:spacing w:val="1"/>
        </w:rPr>
        <w:t xml:space="preserve"> </w:t>
      </w:r>
      <w:r>
        <w:rPr>
          <w:i/>
        </w:rPr>
        <w:t>is</w:t>
      </w:r>
      <w:r>
        <w:rPr>
          <w:i/>
          <w:spacing w:val="1"/>
        </w:rPr>
        <w:t xml:space="preserve"> </w:t>
      </w:r>
      <w:r>
        <w:t>P#</w:t>
      </w:r>
      <w:r>
        <w:rPr>
          <w:spacing w:val="16"/>
        </w:rPr>
        <w:t xml:space="preserve"> </w:t>
      </w:r>
      <w:r>
        <w:t>and</w:t>
      </w:r>
      <w:r>
        <w:rPr>
          <w:spacing w:val="15"/>
        </w:rPr>
        <w:t xml:space="preserve"> </w:t>
      </w:r>
      <w:r>
        <w:rPr>
          <w:spacing w:val="-4"/>
        </w:rPr>
        <w:t>that</w:t>
      </w:r>
    </w:p>
    <w:p w14:paraId="7E00131C" w14:textId="77777777" w:rsidR="009A58DB" w:rsidRDefault="00000000">
      <w:pPr>
        <w:pStyle w:val="BodyText"/>
        <w:spacing w:before="64"/>
      </w:pPr>
      <w:r>
        <w:t>for</w:t>
      </w:r>
      <w:r>
        <w:rPr>
          <w:spacing w:val="-1"/>
        </w:rPr>
        <w:t xml:space="preserve"> </w:t>
      </w:r>
      <w:r>
        <w:t>P</w:t>
      </w:r>
      <w:r>
        <w:rPr>
          <w:vertAlign w:val="subscript"/>
        </w:rPr>
        <w:t>1</w:t>
      </w:r>
      <w:r>
        <w:t xml:space="preserve"> to be</w:t>
      </w:r>
      <w:r>
        <w:rPr>
          <w:spacing w:val="-1"/>
        </w:rPr>
        <w:t xml:space="preserve"> </w:t>
      </w:r>
      <w:r>
        <w:rPr>
          <w:i/>
        </w:rPr>
        <w:t>true</w:t>
      </w:r>
      <w:r>
        <w:rPr>
          <w:i/>
          <w:spacing w:val="1"/>
        </w:rPr>
        <w:t xml:space="preserve"> </w:t>
      </w:r>
      <w:r>
        <w:t>is</w:t>
      </w:r>
      <w:r>
        <w:rPr>
          <w:spacing w:val="-1"/>
        </w:rPr>
        <w:t xml:space="preserve"> </w:t>
      </w:r>
      <w:r>
        <w:t>for</w:t>
      </w:r>
      <w:r>
        <w:rPr>
          <w:spacing w:val="-1"/>
        </w:rPr>
        <w:t xml:space="preserve"> </w:t>
      </w:r>
      <w:r>
        <w:t>all</w:t>
      </w:r>
      <w:r>
        <w:rPr>
          <w:spacing w:val="-1"/>
        </w:rPr>
        <w:t xml:space="preserve"> </w:t>
      </w:r>
      <w:r>
        <w:t>of P#’s</w:t>
      </w:r>
      <w:r>
        <w:rPr>
          <w:spacing w:val="-1"/>
        </w:rPr>
        <w:t xml:space="preserve"> </w:t>
      </w:r>
      <w:r>
        <w:t>members</w:t>
      </w:r>
      <w:r>
        <w:rPr>
          <w:spacing w:val="-1"/>
        </w:rPr>
        <w:t xml:space="preserve"> </w:t>
      </w:r>
      <w:r>
        <w:t>to be</w:t>
      </w:r>
      <w:r>
        <w:rPr>
          <w:spacing w:val="-1"/>
        </w:rPr>
        <w:t xml:space="preserve"> </w:t>
      </w:r>
      <w:r>
        <w:rPr>
          <w:spacing w:val="-2"/>
        </w:rPr>
        <w:t>instantiated.</w:t>
      </w:r>
    </w:p>
    <w:p w14:paraId="7E00131D" w14:textId="77777777" w:rsidR="009A58DB" w:rsidRDefault="00000000">
      <w:pPr>
        <w:pStyle w:val="BodyText"/>
        <w:spacing w:before="75" w:line="249" w:lineRule="auto"/>
        <w:ind w:right="361" w:firstLine="360"/>
        <w:rPr>
          <w:position w:val="21"/>
        </w:rPr>
      </w:pPr>
      <w:r>
        <w:t>The</w:t>
      </w:r>
      <w:r>
        <w:rPr>
          <w:spacing w:val="-2"/>
        </w:rPr>
        <w:t xml:space="preserve"> </w:t>
      </w:r>
      <w:r>
        <w:rPr>
          <w:i/>
        </w:rPr>
        <w:t>property</w:t>
      </w:r>
      <w:r>
        <w:rPr>
          <w:i/>
          <w:spacing w:val="-3"/>
        </w:rPr>
        <w:t xml:space="preserve"> </w:t>
      </w:r>
      <w:r>
        <w:t xml:space="preserve">of being identical with JMK will exist even after I no longer do, and it existed before I was born. It wasn’t until I was born that PJMK was </w:t>
      </w:r>
      <w:r>
        <w:rPr>
          <w:i/>
        </w:rPr>
        <w:t xml:space="preserve">instantiated; </w:t>
      </w:r>
      <w:r>
        <w:t>and when I die, it will cease to be instantiated. But that’s irrelevant: properties pre-exist and post-exist their instances</w:t>
      </w:r>
      <w:bookmarkStart w:id="252" w:name="_bookmark252"/>
      <w:bookmarkEnd w:id="252"/>
      <w:r>
        <w:t>.</w:t>
      </w:r>
      <w:r>
        <w:rPr>
          <w:color w:val="0562C1"/>
          <w:position w:val="21"/>
          <w:u w:val="single" w:color="0562C1"/>
        </w:rPr>
        <w:t>[157]</w:t>
      </w:r>
    </w:p>
    <w:p w14:paraId="7E00131E" w14:textId="77777777" w:rsidR="009A58DB" w:rsidRDefault="00000000">
      <w:pPr>
        <w:pStyle w:val="BodyText"/>
        <w:spacing w:before="5" w:line="249" w:lineRule="auto"/>
        <w:ind w:right="358" w:firstLine="360"/>
      </w:pPr>
      <w:r>
        <w:t xml:space="preserve">This analysis is consistent with the view (held by Salmon and myself) that “JMK” refers to me, not by </w:t>
      </w:r>
      <w:r>
        <w:rPr>
          <w:i/>
        </w:rPr>
        <w:t xml:space="preserve">describing </w:t>
      </w:r>
      <w:r>
        <w:t>me, but just by labeling me. Supposing,</w:t>
      </w:r>
      <w:r>
        <w:rPr>
          <w:spacing w:val="31"/>
        </w:rPr>
        <w:t xml:space="preserve"> </w:t>
      </w:r>
      <w:r>
        <w:t>as</w:t>
      </w:r>
      <w:r>
        <w:rPr>
          <w:spacing w:val="32"/>
        </w:rPr>
        <w:t xml:space="preserve"> </w:t>
      </w:r>
      <w:r>
        <w:t>we</w:t>
      </w:r>
      <w:r>
        <w:rPr>
          <w:spacing w:val="32"/>
        </w:rPr>
        <w:t xml:space="preserve"> </w:t>
      </w:r>
      <w:r>
        <w:t>are,</w:t>
      </w:r>
      <w:r>
        <w:rPr>
          <w:spacing w:val="31"/>
        </w:rPr>
        <w:t xml:space="preserve"> </w:t>
      </w:r>
      <w:r>
        <w:t>that</w:t>
      </w:r>
      <w:r>
        <w:rPr>
          <w:spacing w:val="32"/>
        </w:rPr>
        <w:t xml:space="preserve"> </w:t>
      </w:r>
      <w:r>
        <w:t>P#</w:t>
      </w:r>
      <w:r>
        <w:rPr>
          <w:spacing w:val="32"/>
        </w:rPr>
        <w:t xml:space="preserve"> </w:t>
      </w:r>
      <w:r>
        <w:t>is</w:t>
      </w:r>
      <w:r>
        <w:rPr>
          <w:spacing w:val="31"/>
        </w:rPr>
        <w:t xml:space="preserve"> </w:t>
      </w:r>
      <w:r>
        <w:t>identical</w:t>
      </w:r>
      <w:r>
        <w:rPr>
          <w:spacing w:val="32"/>
        </w:rPr>
        <w:t xml:space="preserve"> </w:t>
      </w:r>
      <w:r>
        <w:t>with</w:t>
      </w:r>
      <w:r>
        <w:rPr>
          <w:spacing w:val="32"/>
        </w:rPr>
        <w:t xml:space="preserve"> </w:t>
      </w:r>
      <w:r>
        <w:t>P</w:t>
      </w:r>
      <w:r>
        <w:rPr>
          <w:vertAlign w:val="subscript"/>
        </w:rPr>
        <w:t>1</w:t>
      </w:r>
      <w:r>
        <w:t>,</w:t>
      </w:r>
      <w:r>
        <w:rPr>
          <w:spacing w:val="30"/>
        </w:rPr>
        <w:t xml:space="preserve"> </w:t>
      </w:r>
      <w:r>
        <w:t>S</w:t>
      </w:r>
      <w:r>
        <w:rPr>
          <w:vertAlign w:val="subscript"/>
        </w:rPr>
        <w:t>1</w:t>
      </w:r>
      <w:r>
        <w:rPr>
          <w:spacing w:val="38"/>
        </w:rPr>
        <w:t xml:space="preserve"> </w:t>
      </w:r>
      <w:r>
        <w:t>has</w:t>
      </w:r>
      <w:r>
        <w:rPr>
          <w:spacing w:val="38"/>
        </w:rPr>
        <w:t xml:space="preserve"> </w:t>
      </w:r>
      <w:r>
        <w:t>exactly</w:t>
      </w:r>
      <w:r>
        <w:rPr>
          <w:spacing w:val="38"/>
        </w:rPr>
        <w:t xml:space="preserve"> </w:t>
      </w:r>
      <w:r>
        <w:t>the</w:t>
      </w:r>
      <w:r>
        <w:rPr>
          <w:spacing w:val="37"/>
        </w:rPr>
        <w:t xml:space="preserve"> </w:t>
      </w:r>
      <w:r>
        <w:rPr>
          <w:spacing w:val="-2"/>
        </w:rPr>
        <w:t>truth-</w:t>
      </w:r>
    </w:p>
    <w:p w14:paraId="7E00131F" w14:textId="77777777" w:rsidR="009A58DB" w:rsidRDefault="00000000">
      <w:pPr>
        <w:pStyle w:val="BodyText"/>
        <w:spacing w:before="63" w:line="271" w:lineRule="auto"/>
        <w:ind w:right="364"/>
      </w:pPr>
      <w:r>
        <w:t>conditions that Salmon believes it to have. There is some x (namely, JMK) such that for P</w:t>
      </w:r>
      <w:r>
        <w:rPr>
          <w:vertAlign w:val="subscript"/>
        </w:rPr>
        <w:t>1</w:t>
      </w:r>
      <w:r>
        <w:t xml:space="preserve">, as we’ve analyzed it, to be true, it is necessary and sufficient </w:t>
      </w:r>
      <w:r>
        <w:rPr>
          <w:spacing w:val="-2"/>
        </w:rPr>
        <w:t>that:</w:t>
      </w:r>
    </w:p>
    <w:p w14:paraId="7E001320" w14:textId="77777777" w:rsidR="009A58DB" w:rsidRDefault="00000000">
      <w:pPr>
        <w:pStyle w:val="BodyText"/>
        <w:spacing w:before="331" w:line="277" w:lineRule="exact"/>
        <w:ind w:left="1481"/>
        <w:jc w:val="left"/>
      </w:pPr>
      <w:r>
        <w:rPr>
          <w:noProof/>
        </w:rPr>
        <mc:AlternateContent>
          <mc:Choice Requires="wps">
            <w:drawing>
              <wp:anchor distT="0" distB="0" distL="0" distR="0" simplePos="0" relativeHeight="15738880" behindDoc="0" locked="0" layoutInCell="1" allowOverlap="1" wp14:anchorId="7E003278" wp14:editId="7E003279">
                <wp:simplePos x="0" y="0"/>
                <wp:positionH relativeFrom="page">
                  <wp:posOffset>1143000</wp:posOffset>
                </wp:positionH>
                <wp:positionV relativeFrom="paragraph">
                  <wp:posOffset>351719</wp:posOffset>
                </wp:positionV>
                <wp:extent cx="412750" cy="2114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211454"/>
                        </a:xfrm>
                        <a:prstGeom prst="rect">
                          <a:avLst/>
                        </a:prstGeom>
                      </wps:spPr>
                      <wps:txbx>
                        <w:txbxContent>
                          <w:p w14:paraId="7E0032B9" w14:textId="77777777" w:rsidR="009A58DB" w:rsidRDefault="00000000">
                            <w:pPr>
                              <w:pStyle w:val="BodyText"/>
                              <w:spacing w:line="332" w:lineRule="exact"/>
                              <w:ind w:left="0"/>
                              <w:jc w:val="left"/>
                            </w:pPr>
                            <w:r>
                              <w:rPr>
                                <w:spacing w:val="-4"/>
                              </w:rPr>
                              <w:t>(TCS</w:t>
                            </w:r>
                          </w:p>
                        </w:txbxContent>
                      </wps:txbx>
                      <wps:bodyPr wrap="square" lIns="0" tIns="0" rIns="0" bIns="0" rtlCol="0">
                        <a:noAutofit/>
                      </wps:bodyPr>
                    </wps:wsp>
                  </a:graphicData>
                </a:graphic>
              </wp:anchor>
            </w:drawing>
          </mc:Choice>
          <mc:Fallback>
            <w:pict>
              <v:shape w14:anchorId="7E003278" id="Textbox 21" o:spid="_x0000_s1035" type="#_x0000_t202" style="position:absolute;left:0;text-align:left;margin-left:90pt;margin-top:27.7pt;width:32.5pt;height:16.6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" filled="f" stroked="f">
                <v:textbox inset="0,0,0,0">
                  <w:txbxContent>
                    <w:p w14:paraId="7E0032B9" w14:textId="77777777" w:rsidR="009A58DB" w:rsidRDefault="00000000">
                      <w:pPr>
                        <w:pStyle w:val="BodyText"/>
                        <w:spacing w:line="332" w:lineRule="exact"/>
                        <w:ind w:left="0"/>
                        <w:jc w:val="left"/>
                      </w:pPr>
                      <w:r>
                        <w:rPr>
                          <w:spacing w:val="-4"/>
                        </w:rPr>
                        <w:t>(TCS</w:t>
                      </w:r>
                    </w:p>
                  </w:txbxContent>
                </v:textbox>
                <w10:wrap anchorx="page"/>
              </v:shape>
            </w:pict>
          </mc:Fallback>
        </mc:AlternateContent>
      </w:r>
      <w:bookmarkStart w:id="253" w:name="_bookmark253"/>
      <w:bookmarkEnd w:id="253"/>
      <w:r>
        <w:rPr>
          <w:color w:val="0562C1"/>
          <w:spacing w:val="-2"/>
          <w:u w:val="single" w:color="0562C1"/>
        </w:rPr>
        <w:t>[158]</w:t>
      </w:r>
    </w:p>
    <w:p w14:paraId="7E001321" w14:textId="77777777" w:rsidR="009A58DB" w:rsidRDefault="00000000">
      <w:pPr>
        <w:pStyle w:val="BodyText"/>
        <w:tabs>
          <w:tab w:val="left" w:pos="2131"/>
        </w:tabs>
        <w:spacing w:line="277" w:lineRule="exact"/>
        <w:ind w:left="1369"/>
        <w:jc w:val="left"/>
      </w:pPr>
      <w:r>
        <w:rPr>
          <w:spacing w:val="-10"/>
          <w:vertAlign w:val="subscript"/>
        </w:rPr>
        <w:t>1</w:t>
      </w:r>
      <w:r>
        <w:tab/>
        <w:t>)</w:t>
      </w:r>
      <w:r>
        <w:rPr>
          <w:spacing w:val="-2"/>
        </w:rPr>
        <w:t xml:space="preserve"> </w:t>
      </w:r>
      <w:r>
        <w:t>x</w:t>
      </w:r>
      <w:r>
        <w:rPr>
          <w:spacing w:val="-1"/>
        </w:rPr>
        <w:t xml:space="preserve"> </w:t>
      </w:r>
      <w:r>
        <w:t>likes</w:t>
      </w:r>
      <w:r>
        <w:rPr>
          <w:spacing w:val="-2"/>
        </w:rPr>
        <w:t xml:space="preserve"> tennis</w:t>
      </w:r>
    </w:p>
    <w:p w14:paraId="7E001322" w14:textId="77777777" w:rsidR="009A58DB" w:rsidRDefault="009A58DB">
      <w:pPr>
        <w:pStyle w:val="BodyText"/>
        <w:spacing w:before="90"/>
        <w:ind w:left="0"/>
        <w:jc w:val="left"/>
      </w:pPr>
    </w:p>
    <w:p w14:paraId="7E001323" w14:textId="77777777" w:rsidR="009A58DB" w:rsidRDefault="00000000">
      <w:pPr>
        <w:pStyle w:val="BodyText"/>
        <w:spacing w:line="271" w:lineRule="auto"/>
        <w:ind w:right="362"/>
      </w:pPr>
      <w:r>
        <w:t>After I die, there won’t exist an object of the kind just described. But that’s irrelevant. After I die, P</w:t>
      </w:r>
      <w:r>
        <w:rPr>
          <w:vertAlign w:val="subscript"/>
        </w:rPr>
        <w:t>1</w:t>
      </w:r>
      <w:r>
        <w:t xml:space="preserve"> won’t be true; it will be false to say, at that point, that</w:t>
      </w:r>
      <w:r>
        <w:rPr>
          <w:spacing w:val="77"/>
        </w:rPr>
        <w:t xml:space="preserve"> </w:t>
      </w:r>
      <w:r>
        <w:t>JMK</w:t>
      </w:r>
      <w:r>
        <w:rPr>
          <w:spacing w:val="79"/>
        </w:rPr>
        <w:t xml:space="preserve"> </w:t>
      </w:r>
      <w:r>
        <w:t>plays</w:t>
      </w:r>
      <w:r>
        <w:rPr>
          <w:spacing w:val="79"/>
        </w:rPr>
        <w:t xml:space="preserve"> </w:t>
      </w:r>
      <w:r>
        <w:t>tennis,</w:t>
      </w:r>
      <w:r>
        <w:rPr>
          <w:spacing w:val="79"/>
        </w:rPr>
        <w:t xml:space="preserve"> </w:t>
      </w:r>
      <w:r>
        <w:t>the</w:t>
      </w:r>
      <w:r>
        <w:rPr>
          <w:spacing w:val="79"/>
        </w:rPr>
        <w:t xml:space="preserve"> </w:t>
      </w:r>
      <w:r>
        <w:t>reason</w:t>
      </w:r>
      <w:r>
        <w:rPr>
          <w:spacing w:val="79"/>
        </w:rPr>
        <w:t xml:space="preserve"> </w:t>
      </w:r>
      <w:r>
        <w:t>being</w:t>
      </w:r>
      <w:r>
        <w:rPr>
          <w:spacing w:val="79"/>
        </w:rPr>
        <w:t xml:space="preserve"> </w:t>
      </w:r>
      <w:r>
        <w:t>that,</w:t>
      </w:r>
      <w:r>
        <w:rPr>
          <w:spacing w:val="79"/>
        </w:rPr>
        <w:t xml:space="preserve"> </w:t>
      </w:r>
      <w:r>
        <w:t>sadly,</w:t>
      </w:r>
      <w:r>
        <w:rPr>
          <w:spacing w:val="79"/>
        </w:rPr>
        <w:t xml:space="preserve"> </w:t>
      </w:r>
      <w:r>
        <w:t>he</w:t>
      </w:r>
      <w:r>
        <w:rPr>
          <w:spacing w:val="79"/>
        </w:rPr>
        <w:t xml:space="preserve"> </w:t>
      </w:r>
      <w:r>
        <w:t>won’t</w:t>
      </w:r>
      <w:r>
        <w:rPr>
          <w:spacing w:val="79"/>
        </w:rPr>
        <w:t xml:space="preserve"> </w:t>
      </w:r>
      <w:r>
        <w:t>be</w:t>
      </w:r>
      <w:r>
        <w:rPr>
          <w:spacing w:val="79"/>
        </w:rPr>
        <w:t xml:space="preserve"> </w:t>
      </w:r>
      <w:r>
        <w:rPr>
          <w:spacing w:val="-2"/>
        </w:rPr>
        <w:t>doing</w:t>
      </w:r>
    </w:p>
    <w:p w14:paraId="7E001324"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1325" w14:textId="77777777" w:rsidR="009A58DB" w:rsidRDefault="00000000">
      <w:pPr>
        <w:pStyle w:val="BodyText"/>
        <w:spacing w:before="65" w:line="249" w:lineRule="auto"/>
        <w:ind w:right="364"/>
        <w:jc w:val="left"/>
      </w:pPr>
      <w:r>
        <w:lastRenderedPageBreak/>
        <w:t xml:space="preserve">anything. But our analysis is consistent with that. After I die, PJMK won’t be </w:t>
      </w:r>
      <w:r>
        <w:rPr>
          <w:spacing w:val="-2"/>
        </w:rPr>
        <w:t>instantiated.</w:t>
      </w:r>
    </w:p>
    <w:p w14:paraId="7E001326" w14:textId="77777777" w:rsidR="009A58DB" w:rsidRDefault="00000000">
      <w:pPr>
        <w:pStyle w:val="BodyText"/>
        <w:spacing w:before="2" w:line="249" w:lineRule="auto"/>
        <w:ind w:right="364" w:firstLine="360"/>
        <w:jc w:val="left"/>
      </w:pPr>
      <w:r>
        <w:t>It</w:t>
      </w:r>
      <w:r>
        <w:rPr>
          <w:spacing w:val="27"/>
        </w:rPr>
        <w:t xml:space="preserve"> </w:t>
      </w:r>
      <w:r>
        <w:rPr>
          <w:i/>
        </w:rPr>
        <w:t>will</w:t>
      </w:r>
      <w:r>
        <w:rPr>
          <w:i/>
          <w:spacing w:val="27"/>
        </w:rPr>
        <w:t xml:space="preserve"> </w:t>
      </w:r>
      <w:r>
        <w:t>be</w:t>
      </w:r>
      <w:r>
        <w:rPr>
          <w:spacing w:val="27"/>
        </w:rPr>
        <w:t xml:space="preserve"> </w:t>
      </w:r>
      <w:r>
        <w:t>true</w:t>
      </w:r>
      <w:r>
        <w:rPr>
          <w:spacing w:val="27"/>
        </w:rPr>
        <w:t xml:space="preserve"> </w:t>
      </w:r>
      <w:r>
        <w:t>at</w:t>
      </w:r>
      <w:r>
        <w:rPr>
          <w:spacing w:val="27"/>
        </w:rPr>
        <w:t xml:space="preserve"> </w:t>
      </w:r>
      <w:r>
        <w:t>that</w:t>
      </w:r>
      <w:r>
        <w:rPr>
          <w:spacing w:val="27"/>
        </w:rPr>
        <w:t xml:space="preserve"> </w:t>
      </w:r>
      <w:r>
        <w:t>point</w:t>
      </w:r>
      <w:r>
        <w:rPr>
          <w:spacing w:val="27"/>
        </w:rPr>
        <w:t xml:space="preserve"> </w:t>
      </w:r>
      <w:r>
        <w:t>that</w:t>
      </w:r>
      <w:r>
        <w:rPr>
          <w:spacing w:val="27"/>
        </w:rPr>
        <w:t xml:space="preserve"> </w:t>
      </w:r>
      <w:r>
        <w:t>JMK</w:t>
      </w:r>
      <w:r>
        <w:rPr>
          <w:spacing w:val="27"/>
        </w:rPr>
        <w:t xml:space="preserve"> </w:t>
      </w:r>
      <w:r>
        <w:rPr>
          <w:i/>
        </w:rPr>
        <w:t>did</w:t>
      </w:r>
      <w:r>
        <w:rPr>
          <w:i/>
          <w:spacing w:val="27"/>
        </w:rPr>
        <w:t xml:space="preserve"> </w:t>
      </w:r>
      <w:r>
        <w:t>play</w:t>
      </w:r>
      <w:r>
        <w:rPr>
          <w:spacing w:val="30"/>
        </w:rPr>
        <w:t xml:space="preserve"> </w:t>
      </w:r>
      <w:r>
        <w:t>tennis.</w:t>
      </w:r>
      <w:r>
        <w:rPr>
          <w:spacing w:val="31"/>
        </w:rPr>
        <w:t xml:space="preserve"> </w:t>
      </w:r>
      <w:r>
        <w:t>But</w:t>
      </w:r>
      <w:r>
        <w:rPr>
          <w:spacing w:val="30"/>
        </w:rPr>
        <w:t xml:space="preserve"> </w:t>
      </w:r>
      <w:r>
        <w:t>our</w:t>
      </w:r>
      <w:r>
        <w:rPr>
          <w:spacing w:val="30"/>
        </w:rPr>
        <w:t xml:space="preserve"> </w:t>
      </w:r>
      <w:r>
        <w:t>analysis</w:t>
      </w:r>
      <w:r>
        <w:rPr>
          <w:spacing w:val="30"/>
        </w:rPr>
        <w:t xml:space="preserve"> </w:t>
      </w:r>
      <w:r>
        <w:t>is consistent with that fact as well.</w:t>
      </w:r>
    </w:p>
    <w:p w14:paraId="7E001327" w14:textId="77777777" w:rsidR="009A58DB" w:rsidRDefault="00000000">
      <w:pPr>
        <w:pStyle w:val="BodyText"/>
        <w:spacing w:before="3"/>
        <w:jc w:val="left"/>
      </w:pPr>
      <w:r>
        <w:t>The</w:t>
      </w:r>
      <w:r>
        <w:rPr>
          <w:spacing w:val="-2"/>
        </w:rPr>
        <w:t xml:space="preserve"> sentence:</w:t>
      </w:r>
    </w:p>
    <w:p w14:paraId="7E001328" w14:textId="77777777" w:rsidR="009A58DB" w:rsidRDefault="009A58DB">
      <w:pPr>
        <w:pStyle w:val="BodyText"/>
        <w:spacing w:before="29"/>
        <w:ind w:left="0"/>
        <w:jc w:val="left"/>
      </w:pPr>
    </w:p>
    <w:p w14:paraId="7E001329" w14:textId="77777777" w:rsidR="009A58DB" w:rsidRDefault="00000000">
      <w:pPr>
        <w:pStyle w:val="BodyText"/>
        <w:spacing w:before="1" w:line="542" w:lineRule="auto"/>
        <w:ind w:right="5627"/>
        <w:jc w:val="left"/>
      </w:pPr>
      <w:r>
        <w:t>(S</w:t>
      </w:r>
      <w:r>
        <w:rPr>
          <w:vertAlign w:val="subscript"/>
        </w:rPr>
        <w:t>2</w:t>
      </w:r>
      <w:r>
        <w:t>)</w:t>
      </w:r>
      <w:r>
        <w:rPr>
          <w:spacing w:val="-5"/>
        </w:rPr>
        <w:t xml:space="preserve"> </w:t>
      </w:r>
      <w:r>
        <w:t>“JMK</w:t>
      </w:r>
      <w:r>
        <w:rPr>
          <w:spacing w:val="-5"/>
        </w:rPr>
        <w:t xml:space="preserve"> </w:t>
      </w:r>
      <w:r>
        <w:t>used</w:t>
      </w:r>
      <w:r>
        <w:rPr>
          <w:spacing w:val="-4"/>
        </w:rPr>
        <w:t xml:space="preserve"> </w:t>
      </w:r>
      <w:r>
        <w:t>to</w:t>
      </w:r>
      <w:r>
        <w:rPr>
          <w:spacing w:val="-4"/>
        </w:rPr>
        <w:t xml:space="preserve"> </w:t>
      </w:r>
      <w:r>
        <w:t>play</w:t>
      </w:r>
      <w:r>
        <w:rPr>
          <w:spacing w:val="-4"/>
        </w:rPr>
        <w:t xml:space="preserve"> </w:t>
      </w:r>
      <w:r>
        <w:t>tennis” says the same thing as:</w:t>
      </w:r>
    </w:p>
    <w:p w14:paraId="7E00132A" w14:textId="77777777" w:rsidR="009A58DB" w:rsidRDefault="00000000">
      <w:pPr>
        <w:spacing w:line="286" w:lineRule="exact"/>
        <w:ind w:left="360"/>
        <w:rPr>
          <w:sz w:val="30"/>
        </w:rPr>
      </w:pPr>
      <w:r>
        <w:rPr>
          <w:sz w:val="30"/>
        </w:rPr>
        <w:t>(S</w:t>
      </w:r>
      <w:r>
        <w:rPr>
          <w:sz w:val="30"/>
          <w:vertAlign w:val="subscript"/>
        </w:rPr>
        <w:t>3</w:t>
      </w:r>
      <w:r>
        <w:rPr>
          <w:sz w:val="30"/>
        </w:rPr>
        <w:t>)</w:t>
      </w:r>
      <w:r>
        <w:rPr>
          <w:spacing w:val="-1"/>
          <w:sz w:val="30"/>
        </w:rPr>
        <w:t xml:space="preserve"> </w:t>
      </w:r>
      <w:r>
        <w:rPr>
          <w:sz w:val="30"/>
        </w:rPr>
        <w:t>the</w:t>
      </w:r>
      <w:r>
        <w:rPr>
          <w:spacing w:val="-1"/>
          <w:sz w:val="30"/>
        </w:rPr>
        <w:t xml:space="preserve"> </w:t>
      </w:r>
      <w:r>
        <w:rPr>
          <w:sz w:val="30"/>
        </w:rPr>
        <w:t>proposition</w:t>
      </w:r>
      <w:r>
        <w:rPr>
          <w:spacing w:val="-1"/>
          <w:sz w:val="30"/>
        </w:rPr>
        <w:t xml:space="preserve"> </w:t>
      </w:r>
      <w:r>
        <w:rPr>
          <w:i/>
          <w:sz w:val="30"/>
        </w:rPr>
        <w:t>that</w:t>
      </w:r>
      <w:r>
        <w:rPr>
          <w:i/>
          <w:spacing w:val="-1"/>
          <w:sz w:val="30"/>
        </w:rPr>
        <w:t xml:space="preserve"> </w:t>
      </w:r>
      <w:r>
        <w:rPr>
          <w:i/>
          <w:sz w:val="30"/>
        </w:rPr>
        <w:t>JMK</w:t>
      </w:r>
      <w:r>
        <w:rPr>
          <w:i/>
          <w:spacing w:val="-1"/>
          <w:sz w:val="30"/>
        </w:rPr>
        <w:t xml:space="preserve"> </w:t>
      </w:r>
      <w:r>
        <w:rPr>
          <w:i/>
          <w:sz w:val="30"/>
        </w:rPr>
        <w:t>plays</w:t>
      </w:r>
      <w:r>
        <w:rPr>
          <w:i/>
          <w:spacing w:val="-1"/>
          <w:sz w:val="30"/>
        </w:rPr>
        <w:t xml:space="preserve"> </w:t>
      </w:r>
      <w:r>
        <w:rPr>
          <w:i/>
          <w:sz w:val="30"/>
        </w:rPr>
        <w:t xml:space="preserve">tennis </w:t>
      </w:r>
      <w:r>
        <w:rPr>
          <w:sz w:val="30"/>
        </w:rPr>
        <w:t>used to be</w:t>
      </w:r>
      <w:r>
        <w:rPr>
          <w:spacing w:val="-1"/>
          <w:sz w:val="30"/>
        </w:rPr>
        <w:t xml:space="preserve"> </w:t>
      </w:r>
      <w:r>
        <w:rPr>
          <w:spacing w:val="-2"/>
          <w:sz w:val="30"/>
        </w:rPr>
        <w:t>true.</w:t>
      </w:r>
    </w:p>
    <w:p w14:paraId="7E00132B" w14:textId="77777777" w:rsidR="009A58DB" w:rsidRDefault="009A58DB">
      <w:pPr>
        <w:pStyle w:val="BodyText"/>
        <w:spacing w:before="89"/>
        <w:ind w:left="0"/>
        <w:jc w:val="left"/>
      </w:pPr>
    </w:p>
    <w:p w14:paraId="7E00132C" w14:textId="77777777" w:rsidR="009A58DB" w:rsidRDefault="00000000">
      <w:pPr>
        <w:pStyle w:val="BodyText"/>
        <w:spacing w:before="1" w:line="292" w:lineRule="auto"/>
        <w:ind w:right="365"/>
      </w:pPr>
      <w:r>
        <w:t>According to our analysis, S</w:t>
      </w:r>
      <w:r>
        <w:rPr>
          <w:vertAlign w:val="subscript"/>
        </w:rPr>
        <w:t>3</w:t>
      </w:r>
      <w:r>
        <w:t xml:space="preserve"> is true iff PTP, PJMK, and PJMT </w:t>
      </w:r>
      <w:r>
        <w:rPr>
          <w:i/>
        </w:rPr>
        <w:t xml:space="preserve">used </w:t>
      </w:r>
      <w:r>
        <w:t>to be collectively</w:t>
      </w:r>
      <w:r>
        <w:rPr>
          <w:spacing w:val="65"/>
        </w:rPr>
        <w:t xml:space="preserve"> </w:t>
      </w:r>
      <w:r>
        <w:t>instantiated.</w:t>
      </w:r>
      <w:r>
        <w:rPr>
          <w:spacing w:val="65"/>
        </w:rPr>
        <w:t xml:space="preserve"> </w:t>
      </w:r>
      <w:r>
        <w:t>And</w:t>
      </w:r>
      <w:r>
        <w:rPr>
          <w:spacing w:val="65"/>
        </w:rPr>
        <w:t xml:space="preserve"> </w:t>
      </w:r>
      <w:r>
        <w:t>if</w:t>
      </w:r>
      <w:r>
        <w:rPr>
          <w:spacing w:val="65"/>
        </w:rPr>
        <w:t xml:space="preserve"> </w:t>
      </w:r>
      <w:r>
        <w:t>uttered</w:t>
      </w:r>
      <w:r>
        <w:rPr>
          <w:spacing w:val="65"/>
        </w:rPr>
        <w:t xml:space="preserve"> </w:t>
      </w:r>
      <w:r>
        <w:t>after</w:t>
      </w:r>
      <w:r>
        <w:rPr>
          <w:spacing w:val="65"/>
        </w:rPr>
        <w:t xml:space="preserve"> </w:t>
      </w:r>
      <w:r>
        <w:t>my</w:t>
      </w:r>
      <w:r>
        <w:rPr>
          <w:spacing w:val="65"/>
        </w:rPr>
        <w:t xml:space="preserve"> </w:t>
      </w:r>
      <w:r>
        <w:t>passing,</w:t>
      </w:r>
      <w:r>
        <w:rPr>
          <w:spacing w:val="65"/>
        </w:rPr>
        <w:t xml:space="preserve"> </w:t>
      </w:r>
      <w:r>
        <w:t>S</w:t>
      </w:r>
      <w:r>
        <w:rPr>
          <w:vertAlign w:val="subscript"/>
        </w:rPr>
        <w:t>3</w:t>
      </w:r>
      <w:r>
        <w:rPr>
          <w:spacing w:val="62"/>
        </w:rPr>
        <w:t xml:space="preserve"> </w:t>
      </w:r>
      <w:r>
        <w:t>will</w:t>
      </w:r>
      <w:r>
        <w:rPr>
          <w:spacing w:val="62"/>
        </w:rPr>
        <w:t xml:space="preserve"> </w:t>
      </w:r>
      <w:r>
        <w:t>be</w:t>
      </w:r>
      <w:r>
        <w:rPr>
          <w:spacing w:val="63"/>
        </w:rPr>
        <w:t xml:space="preserve"> </w:t>
      </w:r>
      <w:r>
        <w:t>true</w:t>
      </w:r>
    </w:p>
    <w:p w14:paraId="7E00132D" w14:textId="77777777" w:rsidR="009A58DB" w:rsidRDefault="00000000">
      <w:pPr>
        <w:pStyle w:val="BodyText"/>
        <w:spacing w:line="249" w:lineRule="auto"/>
        <w:ind w:right="361"/>
      </w:pPr>
      <w:r>
        <w:t xml:space="preserve">exactly if, at the time of that utterance, those three </w:t>
      </w:r>
      <w:r>
        <w:rPr>
          <w:i/>
        </w:rPr>
        <w:t xml:space="preserve">used </w:t>
      </w:r>
      <w:r>
        <w:t>to be instantiated. Exactly similar points hold of the propositions expressed by “Churchill was bald,” “Socrates couldn’t read,” etc. Given each of these propositions,</w:t>
      </w:r>
      <w:r>
        <w:rPr>
          <w:spacing w:val="40"/>
        </w:rPr>
        <w:t xml:space="preserve"> </w:t>
      </w:r>
      <w:r>
        <w:t>Salmon says that it contains a non-existent object. Salmon also says that each of these</w:t>
      </w:r>
      <w:r>
        <w:rPr>
          <w:spacing w:val="-1"/>
        </w:rPr>
        <w:t xml:space="preserve"> </w:t>
      </w:r>
      <w:r>
        <w:t>sentences has a “non-existent proposition” for its meaning. He grants that “Churchill was bald” is meaningful and, therefore, that it encodes a proposition.</w:t>
      </w:r>
      <w:r>
        <w:rPr>
          <w:spacing w:val="-2"/>
        </w:rPr>
        <w:t xml:space="preserve"> </w:t>
      </w:r>
      <w:r>
        <w:t>But</w:t>
      </w:r>
      <w:r>
        <w:rPr>
          <w:spacing w:val="-3"/>
        </w:rPr>
        <w:t xml:space="preserve"> </w:t>
      </w:r>
      <w:r>
        <w:t>he</w:t>
      </w:r>
      <w:r>
        <w:rPr>
          <w:spacing w:val="-3"/>
        </w:rPr>
        <w:t xml:space="preserve"> </w:t>
      </w:r>
      <w:r>
        <w:t>says</w:t>
      </w:r>
      <w:r>
        <w:rPr>
          <w:spacing w:val="-3"/>
        </w:rPr>
        <w:t xml:space="preserve"> </w:t>
      </w:r>
      <w:r>
        <w:t>that</w:t>
      </w:r>
      <w:r>
        <w:rPr>
          <w:spacing w:val="-3"/>
        </w:rPr>
        <w:t xml:space="preserve"> </w:t>
      </w:r>
      <w:r>
        <w:t>this</w:t>
      </w:r>
      <w:r>
        <w:rPr>
          <w:spacing w:val="-3"/>
        </w:rPr>
        <w:t xml:space="preserve"> </w:t>
      </w:r>
      <w:r>
        <w:t>proposition</w:t>
      </w:r>
      <w:r>
        <w:rPr>
          <w:spacing w:val="-2"/>
        </w:rPr>
        <w:t xml:space="preserve"> </w:t>
      </w:r>
      <w:r>
        <w:t>doesn’t</w:t>
      </w:r>
      <w:r>
        <w:rPr>
          <w:spacing w:val="-3"/>
        </w:rPr>
        <w:t xml:space="preserve"> </w:t>
      </w:r>
      <w:r>
        <w:t>exist.</w:t>
      </w:r>
      <w:r>
        <w:rPr>
          <w:spacing w:val="-2"/>
        </w:rPr>
        <w:t xml:space="preserve"> </w:t>
      </w:r>
      <w:r>
        <w:t>So</w:t>
      </w:r>
      <w:r>
        <w:rPr>
          <w:spacing w:val="-2"/>
        </w:rPr>
        <w:t xml:space="preserve"> </w:t>
      </w:r>
      <w:r>
        <w:t>that</w:t>
      </w:r>
      <w:r>
        <w:rPr>
          <w:spacing w:val="-3"/>
        </w:rPr>
        <w:t xml:space="preserve"> </w:t>
      </w:r>
      <w:r>
        <w:t>sentence</w:t>
      </w:r>
      <w:r>
        <w:rPr>
          <w:spacing w:val="-3"/>
        </w:rPr>
        <w:t xml:space="preserve"> </w:t>
      </w:r>
      <w:r>
        <w:t>is meaningful by virtue of encoding a non-existent proposition.</w:t>
      </w:r>
    </w:p>
    <w:p w14:paraId="7E00132E" w14:textId="77777777" w:rsidR="009A58DB" w:rsidRDefault="00000000">
      <w:pPr>
        <w:pStyle w:val="BodyText"/>
        <w:spacing w:before="8" w:line="249" w:lineRule="auto"/>
        <w:ind w:right="362" w:firstLine="360"/>
      </w:pPr>
      <w:r>
        <w:t xml:space="preserve">This is disastrous—and unnecessary. Unlike Salmon’s analysis, ours doesn’t require that there exist anything that doesn’t exist. Ours doesn’t require </w:t>
      </w:r>
      <w:r>
        <w:rPr>
          <w:i/>
        </w:rPr>
        <w:t xml:space="preserve">any </w:t>
      </w:r>
      <w:r>
        <w:t>violations of logic or commonsense. Our analysis makes only three demands: (i) that there is such a thing as being me; (ii) that to be such a thing as being a tennis player; and (iii) that there be such a thing as me playing tennis. Each of those demands is met.</w:t>
      </w:r>
    </w:p>
    <w:p w14:paraId="7E00132F" w14:textId="77777777" w:rsidR="009A58DB" w:rsidRDefault="00000000">
      <w:pPr>
        <w:pStyle w:val="BodyText"/>
        <w:spacing w:before="7" w:line="249" w:lineRule="auto"/>
        <w:ind w:right="357" w:firstLine="360"/>
      </w:pPr>
      <w:r>
        <w:t>I happen to be a Platonist, and I happen to think that each of those three things</w:t>
      </w:r>
      <w:r>
        <w:rPr>
          <w:spacing w:val="-2"/>
        </w:rPr>
        <w:t xml:space="preserve"> </w:t>
      </w:r>
      <w:r>
        <w:t>is</w:t>
      </w:r>
      <w:r>
        <w:rPr>
          <w:spacing w:val="-1"/>
        </w:rPr>
        <w:t xml:space="preserve"> </w:t>
      </w:r>
      <w:r>
        <w:t>a</w:t>
      </w:r>
      <w:r>
        <w:rPr>
          <w:spacing w:val="-1"/>
        </w:rPr>
        <w:t xml:space="preserve"> </w:t>
      </w:r>
      <w:r>
        <w:t>non-spatiotemporal</w:t>
      </w:r>
      <w:r>
        <w:rPr>
          <w:spacing w:val="-2"/>
        </w:rPr>
        <w:t xml:space="preserve"> </w:t>
      </w:r>
      <w:r>
        <w:t>object.</w:t>
      </w:r>
      <w:r>
        <w:rPr>
          <w:spacing w:val="-1"/>
        </w:rPr>
        <w:t xml:space="preserve"> </w:t>
      </w:r>
      <w:r>
        <w:t>But</w:t>
      </w:r>
      <w:r>
        <w:rPr>
          <w:spacing w:val="-2"/>
        </w:rPr>
        <w:t xml:space="preserve"> </w:t>
      </w:r>
      <w:r>
        <w:t>that’s</w:t>
      </w:r>
      <w:r>
        <w:rPr>
          <w:spacing w:val="-1"/>
        </w:rPr>
        <w:t xml:space="preserve"> </w:t>
      </w:r>
      <w:r>
        <w:t>irrelevant.</w:t>
      </w:r>
      <w:r>
        <w:rPr>
          <w:spacing w:val="-1"/>
        </w:rPr>
        <w:t xml:space="preserve"> </w:t>
      </w:r>
      <w:r>
        <w:t>This</w:t>
      </w:r>
      <w:r>
        <w:rPr>
          <w:spacing w:val="-1"/>
        </w:rPr>
        <w:t xml:space="preserve"> </w:t>
      </w:r>
      <w:r>
        <w:t>analysis</w:t>
      </w:r>
      <w:r>
        <w:rPr>
          <w:spacing w:val="-1"/>
        </w:rPr>
        <w:t xml:space="preserve"> </w:t>
      </w:r>
      <w:r>
        <w:t>goes through as long as those three things exist. It doesn’t matter how they’re thought of.</w:t>
      </w:r>
    </w:p>
    <w:p w14:paraId="7E001330" w14:textId="77777777" w:rsidR="009A58DB" w:rsidRDefault="00000000">
      <w:pPr>
        <w:pStyle w:val="BodyText"/>
        <w:spacing w:before="5" w:line="249" w:lineRule="auto"/>
        <w:ind w:right="364" w:firstLine="360"/>
      </w:pPr>
      <w:r>
        <w:t>Salmon</w:t>
      </w:r>
      <w:r>
        <w:rPr>
          <w:spacing w:val="-3"/>
        </w:rPr>
        <w:t xml:space="preserve"> </w:t>
      </w:r>
      <w:r>
        <w:t>doesn’t</w:t>
      </w:r>
      <w:r>
        <w:rPr>
          <w:spacing w:val="-3"/>
        </w:rPr>
        <w:t xml:space="preserve"> </w:t>
      </w:r>
      <w:r>
        <w:t>even</w:t>
      </w:r>
      <w:r>
        <w:rPr>
          <w:spacing w:val="-3"/>
        </w:rPr>
        <w:t xml:space="preserve"> </w:t>
      </w:r>
      <w:r>
        <w:t>consider</w:t>
      </w:r>
      <w:r>
        <w:rPr>
          <w:spacing w:val="-3"/>
        </w:rPr>
        <w:t xml:space="preserve"> </w:t>
      </w:r>
      <w:r>
        <w:t>anything</w:t>
      </w:r>
      <w:r>
        <w:rPr>
          <w:spacing w:val="-3"/>
        </w:rPr>
        <w:t xml:space="preserve"> </w:t>
      </w:r>
      <w:r>
        <w:t>like</w:t>
      </w:r>
      <w:r>
        <w:rPr>
          <w:spacing w:val="-3"/>
        </w:rPr>
        <w:t xml:space="preserve"> </w:t>
      </w:r>
      <w:r>
        <w:t>this</w:t>
      </w:r>
      <w:r>
        <w:rPr>
          <w:spacing w:val="-3"/>
        </w:rPr>
        <w:t xml:space="preserve"> </w:t>
      </w:r>
      <w:r>
        <w:t>analysis.</w:t>
      </w:r>
      <w:r>
        <w:rPr>
          <w:spacing w:val="-3"/>
        </w:rPr>
        <w:t xml:space="preserve"> </w:t>
      </w:r>
      <w:r>
        <w:t>Instead,</w:t>
      </w:r>
      <w:r>
        <w:rPr>
          <w:spacing w:val="-3"/>
        </w:rPr>
        <w:t xml:space="preserve"> </w:t>
      </w:r>
      <w:r>
        <w:t>he</w:t>
      </w:r>
      <w:r>
        <w:rPr>
          <w:spacing w:val="-3"/>
        </w:rPr>
        <w:t xml:space="preserve"> </w:t>
      </w:r>
      <w:r>
        <w:t>holds that, since proper names are labels, it follows more or less directly that there exist</w:t>
      </w:r>
      <w:r>
        <w:rPr>
          <w:spacing w:val="20"/>
        </w:rPr>
        <w:t xml:space="preserve"> </w:t>
      </w:r>
      <w:r>
        <w:t>things</w:t>
      </w:r>
      <w:r>
        <w:rPr>
          <w:spacing w:val="23"/>
        </w:rPr>
        <w:t xml:space="preserve"> </w:t>
      </w:r>
      <w:r>
        <w:t>that</w:t>
      </w:r>
      <w:r>
        <w:rPr>
          <w:spacing w:val="22"/>
        </w:rPr>
        <w:t xml:space="preserve"> </w:t>
      </w:r>
      <w:r>
        <w:t>don’t</w:t>
      </w:r>
      <w:r>
        <w:rPr>
          <w:spacing w:val="22"/>
        </w:rPr>
        <w:t xml:space="preserve"> </w:t>
      </w:r>
      <w:r>
        <w:t>exist.</w:t>
      </w:r>
      <w:r>
        <w:rPr>
          <w:spacing w:val="23"/>
        </w:rPr>
        <w:t xml:space="preserve"> </w:t>
      </w:r>
      <w:r>
        <w:t>But</w:t>
      </w:r>
      <w:r>
        <w:rPr>
          <w:spacing w:val="22"/>
        </w:rPr>
        <w:t xml:space="preserve"> </w:t>
      </w:r>
      <w:r>
        <w:t>surely</w:t>
      </w:r>
      <w:r>
        <w:rPr>
          <w:spacing w:val="22"/>
        </w:rPr>
        <w:t xml:space="preserve"> </w:t>
      </w:r>
      <w:r>
        <w:t>it’s</w:t>
      </w:r>
      <w:r>
        <w:rPr>
          <w:spacing w:val="24"/>
        </w:rPr>
        <w:t xml:space="preserve"> </w:t>
      </w:r>
      <w:r>
        <w:t>a</w:t>
      </w:r>
      <w:r>
        <w:rPr>
          <w:spacing w:val="23"/>
        </w:rPr>
        <w:t xml:space="preserve"> </w:t>
      </w:r>
      <w:r>
        <w:t>very</w:t>
      </w:r>
      <w:r>
        <w:rPr>
          <w:spacing w:val="22"/>
        </w:rPr>
        <w:t xml:space="preserve"> </w:t>
      </w:r>
      <w:r>
        <w:t>bad</w:t>
      </w:r>
      <w:r>
        <w:rPr>
          <w:spacing w:val="23"/>
        </w:rPr>
        <w:t xml:space="preserve"> </w:t>
      </w:r>
      <w:r>
        <w:t>idea</w:t>
      </w:r>
      <w:r>
        <w:rPr>
          <w:spacing w:val="22"/>
        </w:rPr>
        <w:t xml:space="preserve"> </w:t>
      </w:r>
      <w:r>
        <w:t>to</w:t>
      </w:r>
      <w:r>
        <w:rPr>
          <w:spacing w:val="23"/>
        </w:rPr>
        <w:t xml:space="preserve"> </w:t>
      </w:r>
      <w:r>
        <w:t>throw</w:t>
      </w:r>
      <w:r>
        <w:rPr>
          <w:spacing w:val="23"/>
        </w:rPr>
        <w:t xml:space="preserve"> </w:t>
      </w:r>
      <w:r>
        <w:t>out</w:t>
      </w:r>
      <w:r>
        <w:rPr>
          <w:spacing w:val="23"/>
        </w:rPr>
        <w:t xml:space="preserve"> </w:t>
      </w:r>
      <w:r>
        <w:rPr>
          <w:spacing w:val="-5"/>
        </w:rPr>
        <w:t>the</w:t>
      </w:r>
    </w:p>
    <w:p w14:paraId="7E00133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32" w14:textId="77777777" w:rsidR="009A58DB" w:rsidRDefault="00000000">
      <w:pPr>
        <w:pStyle w:val="BodyText"/>
        <w:spacing w:before="65" w:line="249" w:lineRule="auto"/>
        <w:ind w:right="361"/>
      </w:pPr>
      <w:r>
        <w:lastRenderedPageBreak/>
        <w:t>most basic principles of logic and to overhaul our most basic beliefs about reality, just so as to validate some semantic result concerning a certain class of nouns. Moreover, Salmon’s way of validating that fact isn’t even the right one,</w:t>
      </w:r>
      <w:r>
        <w:rPr>
          <w:spacing w:val="-1"/>
        </w:rPr>
        <w:t xml:space="preserve"> </w:t>
      </w:r>
      <w:r>
        <w:t>since,</w:t>
      </w:r>
      <w:r>
        <w:rPr>
          <w:spacing w:val="-1"/>
        </w:rPr>
        <w:t xml:space="preserve"> </w:t>
      </w:r>
      <w:r>
        <w:t>as</w:t>
      </w:r>
      <w:r>
        <w:rPr>
          <w:spacing w:val="-1"/>
        </w:rPr>
        <w:t xml:space="preserve"> </w:t>
      </w:r>
      <w:r>
        <w:t>we’ve</w:t>
      </w:r>
      <w:r>
        <w:rPr>
          <w:spacing w:val="-1"/>
        </w:rPr>
        <w:t xml:space="preserve"> </w:t>
      </w:r>
      <w:r>
        <w:t>seen,</w:t>
      </w:r>
      <w:r>
        <w:rPr>
          <w:spacing w:val="-1"/>
        </w:rPr>
        <w:t xml:space="preserve"> </w:t>
      </w:r>
      <w:r>
        <w:t>that</w:t>
      </w:r>
      <w:r>
        <w:rPr>
          <w:spacing w:val="-2"/>
        </w:rPr>
        <w:t xml:space="preserve"> </w:t>
      </w:r>
      <w:r>
        <w:t>fact</w:t>
      </w:r>
      <w:r>
        <w:rPr>
          <w:spacing w:val="-2"/>
        </w:rPr>
        <w:t xml:space="preserve"> </w:t>
      </w:r>
      <w:r>
        <w:t>is</w:t>
      </w:r>
      <w:r>
        <w:rPr>
          <w:spacing w:val="-1"/>
        </w:rPr>
        <w:t xml:space="preserve"> </w:t>
      </w:r>
      <w:r>
        <w:t>easy</w:t>
      </w:r>
      <w:r>
        <w:rPr>
          <w:spacing w:val="-1"/>
        </w:rPr>
        <w:t xml:space="preserve"> </w:t>
      </w:r>
      <w:r>
        <w:t>to</w:t>
      </w:r>
      <w:r>
        <w:rPr>
          <w:spacing w:val="-1"/>
        </w:rPr>
        <w:t xml:space="preserve"> </w:t>
      </w:r>
      <w:r>
        <w:t>validate</w:t>
      </w:r>
      <w:r>
        <w:rPr>
          <w:spacing w:val="-1"/>
        </w:rPr>
        <w:t xml:space="preserve"> </w:t>
      </w:r>
      <w:r>
        <w:t>within</w:t>
      </w:r>
      <w:r>
        <w:rPr>
          <w:spacing w:val="-1"/>
        </w:rPr>
        <w:t xml:space="preserve"> </w:t>
      </w:r>
      <w:r>
        <w:t>a</w:t>
      </w:r>
      <w:r>
        <w:rPr>
          <w:spacing w:val="-1"/>
        </w:rPr>
        <w:t xml:space="preserve"> </w:t>
      </w:r>
      <w:r>
        <w:t>framework</w:t>
      </w:r>
      <w:r>
        <w:rPr>
          <w:spacing w:val="-1"/>
        </w:rPr>
        <w:t xml:space="preserve"> </w:t>
      </w:r>
      <w:r>
        <w:t>that is entirely congenial to commonsense and its philosophical derivatives.</w:t>
      </w:r>
    </w:p>
    <w:p w14:paraId="7E001333" w14:textId="77777777" w:rsidR="009A58DB" w:rsidRDefault="00000000">
      <w:pPr>
        <w:pStyle w:val="BodyText"/>
        <w:spacing w:before="6" w:line="249" w:lineRule="auto"/>
        <w:ind w:right="358" w:firstLine="360"/>
      </w:pPr>
      <w:r>
        <w:t>Salmon has another, similar reason for holding that one can meaningfully say of a given non-existent object that it exists (or that it doesn’t) and also that one can meaningfully say of a given existent object that it doesn’t exist (or that it does). It’s obvious that:</w:t>
      </w:r>
    </w:p>
    <w:p w14:paraId="7E001334" w14:textId="77777777" w:rsidR="009A58DB" w:rsidRDefault="009A58DB">
      <w:pPr>
        <w:pStyle w:val="BodyText"/>
        <w:spacing w:before="20"/>
        <w:ind w:left="0"/>
        <w:jc w:val="left"/>
      </w:pPr>
    </w:p>
    <w:p w14:paraId="7E001335" w14:textId="77777777" w:rsidR="009A58DB" w:rsidRDefault="00000000">
      <w:pPr>
        <w:pStyle w:val="BodyText"/>
      </w:pPr>
      <w:r>
        <w:t>(ZA)</w:t>
      </w:r>
      <w:r>
        <w:rPr>
          <w:spacing w:val="-4"/>
        </w:rPr>
        <w:t xml:space="preserve"> </w:t>
      </w:r>
      <w:r>
        <w:t>“Zeus</w:t>
      </w:r>
      <w:r>
        <w:rPr>
          <w:spacing w:val="-3"/>
        </w:rPr>
        <w:t xml:space="preserve"> </w:t>
      </w:r>
      <w:r>
        <w:t>is</w:t>
      </w:r>
      <w:r>
        <w:rPr>
          <w:spacing w:val="-3"/>
        </w:rPr>
        <w:t xml:space="preserve"> </w:t>
      </w:r>
      <w:r>
        <w:t>very</w:t>
      </w:r>
      <w:r>
        <w:rPr>
          <w:spacing w:val="-2"/>
        </w:rPr>
        <w:t xml:space="preserve"> </w:t>
      </w:r>
      <w:r>
        <w:t>angry</w:t>
      </w:r>
      <w:r>
        <w:rPr>
          <w:spacing w:val="-2"/>
        </w:rPr>
        <w:t xml:space="preserve"> </w:t>
      </w:r>
      <w:r>
        <w:t>right</w:t>
      </w:r>
      <w:r>
        <w:rPr>
          <w:spacing w:val="-3"/>
        </w:rPr>
        <w:t xml:space="preserve"> </w:t>
      </w:r>
      <w:r>
        <w:rPr>
          <w:spacing w:val="-4"/>
        </w:rPr>
        <w:t>now”</w:t>
      </w:r>
    </w:p>
    <w:p w14:paraId="7E001336" w14:textId="77777777" w:rsidR="009A58DB" w:rsidRDefault="009A58DB">
      <w:pPr>
        <w:pStyle w:val="BodyText"/>
        <w:spacing w:before="30"/>
        <w:ind w:left="0"/>
        <w:jc w:val="left"/>
      </w:pPr>
    </w:p>
    <w:p w14:paraId="7E001337" w14:textId="77777777" w:rsidR="009A58DB" w:rsidRDefault="00000000">
      <w:pPr>
        <w:pStyle w:val="BodyText"/>
        <w:spacing w:line="249" w:lineRule="auto"/>
        <w:ind w:right="366"/>
      </w:pPr>
      <w:r>
        <w:t xml:space="preserve">isn’t in the same category as “blarg blurbo gloxo.” Utterances of ZA communicate propositions. We don’t </w:t>
      </w:r>
      <w:r>
        <w:rPr>
          <w:i/>
        </w:rPr>
        <w:t xml:space="preserve">believe </w:t>
      </w:r>
      <w:r>
        <w:t>the proposition communicated by such utterances. But all that is relevant here is such that utterances do in fact convey propositions.</w:t>
      </w:r>
    </w:p>
    <w:p w14:paraId="7E001338" w14:textId="77777777" w:rsidR="009A58DB" w:rsidRDefault="00000000">
      <w:pPr>
        <w:pStyle w:val="BodyText"/>
        <w:spacing w:before="5" w:line="249" w:lineRule="auto"/>
        <w:ind w:right="359" w:firstLine="360"/>
      </w:pPr>
      <w:r>
        <w:t>Note: ZA is a sentence of English. But it will help if, whenever necessary, you let ZA represent its Ancient Greek translation.</w:t>
      </w:r>
    </w:p>
    <w:p w14:paraId="7E001339" w14:textId="77777777" w:rsidR="009A58DB" w:rsidRDefault="00000000">
      <w:pPr>
        <w:pStyle w:val="BodyText"/>
        <w:spacing w:before="2" w:line="249" w:lineRule="auto"/>
        <w:ind w:right="361" w:firstLine="360"/>
      </w:pPr>
      <w:r>
        <w:t>There was a time when people actually believed ZA (or its Ancient Greek equivalent</w:t>
      </w:r>
      <w:r>
        <w:rPr>
          <w:spacing w:val="-2"/>
        </w:rPr>
        <w:t xml:space="preserve"> </w:t>
      </w:r>
      <w:r>
        <w:t>rather).</w:t>
      </w:r>
      <w:r>
        <w:rPr>
          <w:spacing w:val="-1"/>
        </w:rPr>
        <w:t xml:space="preserve"> </w:t>
      </w:r>
      <w:r>
        <w:t>There</w:t>
      </w:r>
      <w:r>
        <w:rPr>
          <w:spacing w:val="-1"/>
        </w:rPr>
        <w:t xml:space="preserve"> </w:t>
      </w:r>
      <w:r>
        <w:t>may</w:t>
      </w:r>
      <w:r>
        <w:rPr>
          <w:spacing w:val="-1"/>
        </w:rPr>
        <w:t xml:space="preserve"> </w:t>
      </w:r>
      <w:r>
        <w:t>be</w:t>
      </w:r>
      <w:r>
        <w:rPr>
          <w:spacing w:val="-1"/>
        </w:rPr>
        <w:t xml:space="preserve"> </w:t>
      </w:r>
      <w:r>
        <w:t>people</w:t>
      </w:r>
      <w:r>
        <w:rPr>
          <w:spacing w:val="-1"/>
        </w:rPr>
        <w:t xml:space="preserve"> </w:t>
      </w:r>
      <w:r>
        <w:t>who</w:t>
      </w:r>
      <w:r>
        <w:rPr>
          <w:spacing w:val="-1"/>
        </w:rPr>
        <w:t xml:space="preserve"> </w:t>
      </w:r>
      <w:r>
        <w:t>believe</w:t>
      </w:r>
      <w:r>
        <w:rPr>
          <w:spacing w:val="-1"/>
        </w:rPr>
        <w:t xml:space="preserve"> </w:t>
      </w:r>
      <w:r>
        <w:t>it</w:t>
      </w:r>
      <w:r>
        <w:rPr>
          <w:spacing w:val="-1"/>
        </w:rPr>
        <w:t xml:space="preserve"> </w:t>
      </w:r>
      <w:r>
        <w:t>to</w:t>
      </w:r>
      <w:r>
        <w:rPr>
          <w:spacing w:val="-1"/>
        </w:rPr>
        <w:t xml:space="preserve"> </w:t>
      </w:r>
      <w:r>
        <w:t>this</w:t>
      </w:r>
      <w:r>
        <w:rPr>
          <w:spacing w:val="-1"/>
        </w:rPr>
        <w:t xml:space="preserve"> </w:t>
      </w:r>
      <w:r>
        <w:t>day.</w:t>
      </w:r>
      <w:r>
        <w:rPr>
          <w:spacing w:val="-1"/>
        </w:rPr>
        <w:t xml:space="preserve"> </w:t>
      </w:r>
      <w:r>
        <w:t>In</w:t>
      </w:r>
      <w:r>
        <w:rPr>
          <w:spacing w:val="-1"/>
        </w:rPr>
        <w:t xml:space="preserve"> </w:t>
      </w:r>
      <w:r>
        <w:t>general, there are proper names that don’t refer to anything. Here I’m not referring to names, such as “Socrates,” whose referents died long ago. I’m referring to genuinely “empty” names.</w:t>
      </w:r>
    </w:p>
    <w:p w14:paraId="7E00133A" w14:textId="77777777" w:rsidR="009A58DB" w:rsidRDefault="00000000">
      <w:pPr>
        <w:pStyle w:val="BodyText"/>
        <w:spacing w:before="6" w:line="501" w:lineRule="auto"/>
        <w:ind w:right="2223" w:firstLine="360"/>
        <w:jc w:val="left"/>
      </w:pPr>
      <w:r>
        <w:t>Supposing</w:t>
      </w:r>
      <w:r>
        <w:rPr>
          <w:spacing w:val="-4"/>
        </w:rPr>
        <w:t xml:space="preserve"> </w:t>
      </w:r>
      <w:r>
        <w:t>that</w:t>
      </w:r>
      <w:r>
        <w:rPr>
          <w:spacing w:val="-5"/>
        </w:rPr>
        <w:t xml:space="preserve"> </w:t>
      </w:r>
      <w:r>
        <w:t>N</w:t>
      </w:r>
      <w:r>
        <w:rPr>
          <w:spacing w:val="-5"/>
        </w:rPr>
        <w:t xml:space="preserve"> </w:t>
      </w:r>
      <w:r>
        <w:t>is</w:t>
      </w:r>
      <w:r>
        <w:rPr>
          <w:spacing w:val="-5"/>
        </w:rPr>
        <w:t xml:space="preserve"> </w:t>
      </w:r>
      <w:r>
        <w:t>an</w:t>
      </w:r>
      <w:r>
        <w:rPr>
          <w:spacing w:val="-4"/>
        </w:rPr>
        <w:t xml:space="preserve"> </w:t>
      </w:r>
      <w:r>
        <w:t>empty</w:t>
      </w:r>
      <w:r>
        <w:rPr>
          <w:spacing w:val="-4"/>
        </w:rPr>
        <w:t xml:space="preserve"> </w:t>
      </w:r>
      <w:r>
        <w:t>name,</w:t>
      </w:r>
      <w:r>
        <w:rPr>
          <w:spacing w:val="-4"/>
        </w:rPr>
        <w:t xml:space="preserve"> </w:t>
      </w:r>
      <w:r>
        <w:t>one</w:t>
      </w:r>
      <w:r>
        <w:rPr>
          <w:spacing w:val="-5"/>
        </w:rPr>
        <w:t xml:space="preserve"> </w:t>
      </w:r>
      <w:r>
        <w:t>would</w:t>
      </w:r>
      <w:r>
        <w:rPr>
          <w:spacing w:val="-4"/>
        </w:rPr>
        <w:t xml:space="preserve"> </w:t>
      </w:r>
      <w:r>
        <w:t>think</w:t>
      </w:r>
      <w:r>
        <w:rPr>
          <w:spacing w:val="-4"/>
        </w:rPr>
        <w:t xml:space="preserve"> </w:t>
      </w:r>
      <w:r>
        <w:t>that: (NS) ‹N is a fierce warrior›</w:t>
      </w:r>
    </w:p>
    <w:p w14:paraId="7E00133B" w14:textId="77777777" w:rsidR="009A58DB" w:rsidRDefault="00000000">
      <w:pPr>
        <w:pStyle w:val="BodyText"/>
        <w:spacing w:line="249" w:lineRule="auto"/>
        <w:ind w:right="369"/>
      </w:pPr>
      <w:r>
        <w:t>would fail to convey anything—that, so far as what it communicates is concerned, it would be in the same category as:</w:t>
      </w:r>
    </w:p>
    <w:p w14:paraId="7E00133C" w14:textId="77777777" w:rsidR="009A58DB" w:rsidRDefault="009A58DB">
      <w:pPr>
        <w:pStyle w:val="BodyText"/>
        <w:spacing w:before="16"/>
        <w:ind w:left="0"/>
        <w:jc w:val="left"/>
      </w:pPr>
    </w:p>
    <w:p w14:paraId="7E00133D" w14:textId="77777777" w:rsidR="009A58DB" w:rsidRDefault="00000000">
      <w:pPr>
        <w:pStyle w:val="BodyText"/>
      </w:pPr>
      <w:r>
        <w:t>(ES)</w:t>
      </w:r>
      <w:r>
        <w:rPr>
          <w:spacing w:val="-3"/>
        </w:rPr>
        <w:t xml:space="preserve"> </w:t>
      </w:r>
      <w:r>
        <w:t>“</w:t>
      </w:r>
      <w:r>
        <w:rPr>
          <w:spacing w:val="70"/>
          <w:w w:val="150"/>
          <w:u w:val="single"/>
        </w:rPr>
        <w:t xml:space="preserve">  </w:t>
      </w:r>
      <w:r>
        <w:t>is</w:t>
      </w:r>
      <w:r>
        <w:rPr>
          <w:spacing w:val="-1"/>
        </w:rPr>
        <w:t xml:space="preserve"> </w:t>
      </w:r>
      <w:r>
        <w:t>a</w:t>
      </w:r>
      <w:r>
        <w:rPr>
          <w:spacing w:val="-2"/>
        </w:rPr>
        <w:t xml:space="preserve"> </w:t>
      </w:r>
      <w:r>
        <w:t>fierce</w:t>
      </w:r>
      <w:r>
        <w:rPr>
          <w:spacing w:val="-2"/>
        </w:rPr>
        <w:t xml:space="preserve"> warrior.”</w:t>
      </w:r>
    </w:p>
    <w:p w14:paraId="7E00133E" w14:textId="77777777" w:rsidR="009A58DB" w:rsidRDefault="00000000">
      <w:pPr>
        <w:pStyle w:val="BodyText"/>
        <w:spacing w:before="15" w:line="249" w:lineRule="auto"/>
        <w:ind w:right="359" w:firstLine="360"/>
      </w:pPr>
      <w:r>
        <w:t>But this isn’t the case. A story will make this clear. Your friend Smith, who is generally pretty credible, tells you a story about a friend of his who has the unusual name of “Gigantus.” You don’t know Gigantus. When Smith first tells you about him, he says:</w:t>
      </w:r>
    </w:p>
    <w:p w14:paraId="7E00133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40" w14:textId="77777777" w:rsidR="009A58DB" w:rsidRDefault="00000000">
      <w:pPr>
        <w:pStyle w:val="BodyText"/>
        <w:spacing w:before="65" w:line="277" w:lineRule="exact"/>
        <w:ind w:left="1203"/>
        <w:jc w:val="left"/>
      </w:pPr>
      <w:bookmarkStart w:id="254" w:name="_bookmark254"/>
      <w:bookmarkEnd w:id="254"/>
      <w:r>
        <w:rPr>
          <w:color w:val="0562C1"/>
          <w:spacing w:val="-2"/>
          <w:u w:val="single" w:color="0562C1"/>
        </w:rPr>
        <w:lastRenderedPageBreak/>
        <w:t>[159]</w:t>
      </w:r>
    </w:p>
    <w:p w14:paraId="7E001341" w14:textId="77777777" w:rsidR="009A58DB" w:rsidRDefault="00000000">
      <w:pPr>
        <w:pStyle w:val="BodyText"/>
        <w:spacing w:line="277" w:lineRule="exact"/>
        <w:ind w:left="720"/>
      </w:pPr>
      <w:r>
        <w:t>(SG</w:t>
      </w:r>
      <w:r>
        <w:rPr>
          <w:spacing w:val="44"/>
          <w:w w:val="150"/>
        </w:rPr>
        <w:t xml:space="preserve">    </w:t>
      </w:r>
      <w:r>
        <w:t>)</w:t>
      </w:r>
      <w:r>
        <w:rPr>
          <w:spacing w:val="40"/>
        </w:rPr>
        <w:t xml:space="preserve"> </w:t>
      </w:r>
      <w:r>
        <w:t>“My</w:t>
      </w:r>
      <w:r>
        <w:rPr>
          <w:spacing w:val="38"/>
        </w:rPr>
        <w:t xml:space="preserve"> </w:t>
      </w:r>
      <w:r>
        <w:t>friend</w:t>
      </w:r>
      <w:r>
        <w:rPr>
          <w:spacing w:val="38"/>
        </w:rPr>
        <w:t xml:space="preserve"> </w:t>
      </w:r>
      <w:r>
        <w:t>Gigantus</w:t>
      </w:r>
      <w:r>
        <w:rPr>
          <w:spacing w:val="37"/>
        </w:rPr>
        <w:t xml:space="preserve"> </w:t>
      </w:r>
      <w:r>
        <w:t>is</w:t>
      </w:r>
      <w:r>
        <w:rPr>
          <w:spacing w:val="38"/>
        </w:rPr>
        <w:t xml:space="preserve"> </w:t>
      </w:r>
      <w:r>
        <w:t>truly</w:t>
      </w:r>
      <w:r>
        <w:rPr>
          <w:spacing w:val="38"/>
        </w:rPr>
        <w:t xml:space="preserve"> </w:t>
      </w:r>
      <w:r>
        <w:t>extraordinary.</w:t>
      </w:r>
      <w:r>
        <w:rPr>
          <w:spacing w:val="37"/>
        </w:rPr>
        <w:t xml:space="preserve"> </w:t>
      </w:r>
      <w:r>
        <w:t>Gigantus</w:t>
      </w:r>
      <w:r>
        <w:rPr>
          <w:spacing w:val="38"/>
        </w:rPr>
        <w:t xml:space="preserve"> </w:t>
      </w:r>
      <w:r>
        <w:t>was</w:t>
      </w:r>
      <w:r>
        <w:rPr>
          <w:spacing w:val="37"/>
        </w:rPr>
        <w:t xml:space="preserve"> </w:t>
      </w:r>
      <w:r>
        <w:rPr>
          <w:spacing w:val="-5"/>
        </w:rPr>
        <w:t>the</w:t>
      </w:r>
    </w:p>
    <w:p w14:paraId="7E001342" w14:textId="77777777" w:rsidR="009A58DB" w:rsidRDefault="00000000">
      <w:pPr>
        <w:pStyle w:val="BodyText"/>
        <w:spacing w:before="15" w:line="249" w:lineRule="auto"/>
        <w:ind w:left="720" w:right="363"/>
      </w:pPr>
      <w:r>
        <w:t>first person to translate the complete works of Shakespeare into Albanian. Gigantus used to be a professor, but he now lives in the woods. He</w:t>
      </w:r>
      <w:r>
        <w:rPr>
          <w:spacing w:val="40"/>
        </w:rPr>
        <w:t xml:space="preserve"> </w:t>
      </w:r>
      <w:r>
        <w:t>actually</w:t>
      </w:r>
      <w:r>
        <w:rPr>
          <w:spacing w:val="-3"/>
        </w:rPr>
        <w:t xml:space="preserve"> </w:t>
      </w:r>
      <w:r>
        <w:t>lives</w:t>
      </w:r>
      <w:r>
        <w:rPr>
          <w:spacing w:val="-3"/>
        </w:rPr>
        <w:t xml:space="preserve"> </w:t>
      </w:r>
      <w:r>
        <w:t>in</w:t>
      </w:r>
      <w:r>
        <w:rPr>
          <w:spacing w:val="-3"/>
        </w:rPr>
        <w:t xml:space="preserve"> </w:t>
      </w:r>
      <w:r>
        <w:t>a</w:t>
      </w:r>
      <w:r>
        <w:rPr>
          <w:spacing w:val="-3"/>
        </w:rPr>
        <w:t xml:space="preserve"> </w:t>
      </w:r>
      <w:r>
        <w:t>hollowed</w:t>
      </w:r>
      <w:r>
        <w:rPr>
          <w:spacing w:val="-3"/>
        </w:rPr>
        <w:t xml:space="preserve"> </w:t>
      </w:r>
      <w:r>
        <w:t>out</w:t>
      </w:r>
      <w:r>
        <w:rPr>
          <w:spacing w:val="-3"/>
        </w:rPr>
        <w:t xml:space="preserve"> </w:t>
      </w:r>
      <w:r>
        <w:t>tree</w:t>
      </w:r>
      <w:r>
        <w:rPr>
          <w:spacing w:val="-3"/>
        </w:rPr>
        <w:t xml:space="preserve"> </w:t>
      </w:r>
      <w:r>
        <w:t>trunk.</w:t>
      </w:r>
      <w:r>
        <w:rPr>
          <w:spacing w:val="-3"/>
        </w:rPr>
        <w:t xml:space="preserve"> </w:t>
      </w:r>
      <w:r>
        <w:t>For</w:t>
      </w:r>
      <w:r>
        <w:rPr>
          <w:spacing w:val="-3"/>
        </w:rPr>
        <w:t xml:space="preserve"> </w:t>
      </w:r>
      <w:r>
        <w:t>a</w:t>
      </w:r>
      <w:r>
        <w:rPr>
          <w:spacing w:val="-3"/>
        </w:rPr>
        <w:t xml:space="preserve"> </w:t>
      </w:r>
      <w:r>
        <w:t>while</w:t>
      </w:r>
      <w:r>
        <w:rPr>
          <w:spacing w:val="-3"/>
        </w:rPr>
        <w:t xml:space="preserve"> </w:t>
      </w:r>
      <w:r>
        <w:t>he</w:t>
      </w:r>
      <w:r>
        <w:rPr>
          <w:spacing w:val="-3"/>
        </w:rPr>
        <w:t xml:space="preserve"> </w:t>
      </w:r>
      <w:r>
        <w:t>was</w:t>
      </w:r>
      <w:r>
        <w:rPr>
          <w:spacing w:val="-3"/>
        </w:rPr>
        <w:t xml:space="preserve"> </w:t>
      </w:r>
      <w:r>
        <w:t>the</w:t>
      </w:r>
      <w:r>
        <w:rPr>
          <w:spacing w:val="-3"/>
        </w:rPr>
        <w:t xml:space="preserve"> </w:t>
      </w:r>
      <w:r>
        <w:t>best</w:t>
      </w:r>
      <w:r>
        <w:rPr>
          <w:spacing w:val="-3"/>
        </w:rPr>
        <w:t xml:space="preserve"> </w:t>
      </w:r>
      <w:r>
        <w:t>paid male model in Europe [etc.].”</w:t>
      </w:r>
    </w:p>
    <w:p w14:paraId="7E001343" w14:textId="77777777" w:rsidR="009A58DB" w:rsidRDefault="009A58DB">
      <w:pPr>
        <w:pStyle w:val="BodyText"/>
        <w:spacing w:before="19"/>
        <w:ind w:left="0"/>
        <w:jc w:val="left"/>
      </w:pPr>
    </w:p>
    <w:p w14:paraId="7E001344" w14:textId="77777777" w:rsidR="009A58DB" w:rsidRDefault="00000000">
      <w:pPr>
        <w:pStyle w:val="BodyText"/>
        <w:spacing w:before="1" w:line="249" w:lineRule="auto"/>
        <w:ind w:right="361" w:firstLine="360"/>
      </w:pPr>
      <w:r>
        <w:t>Smith entertains you with stories about Gigantus for several weeks. Of course, these stories are replete with statements of the form ‹...Gigantus...› (e.g.,</w:t>
      </w:r>
      <w:r>
        <w:rPr>
          <w:spacing w:val="-3"/>
        </w:rPr>
        <w:t xml:space="preserve"> </w:t>
      </w:r>
      <w:r>
        <w:t>“Gigantus</w:t>
      </w:r>
      <w:r>
        <w:rPr>
          <w:spacing w:val="-4"/>
        </w:rPr>
        <w:t xml:space="preserve"> </w:t>
      </w:r>
      <w:r>
        <w:t>recently</w:t>
      </w:r>
      <w:r>
        <w:rPr>
          <w:spacing w:val="-3"/>
        </w:rPr>
        <w:t xml:space="preserve"> </w:t>
      </w:r>
      <w:r>
        <w:t>read</w:t>
      </w:r>
      <w:r>
        <w:rPr>
          <w:spacing w:val="-3"/>
        </w:rPr>
        <w:t xml:space="preserve"> </w:t>
      </w:r>
      <w:r>
        <w:rPr>
          <w:i/>
        </w:rPr>
        <w:t>War</w:t>
      </w:r>
      <w:r>
        <w:rPr>
          <w:i/>
          <w:spacing w:val="-4"/>
        </w:rPr>
        <w:t xml:space="preserve"> </w:t>
      </w:r>
      <w:r>
        <w:rPr>
          <w:i/>
        </w:rPr>
        <w:t>and</w:t>
      </w:r>
      <w:r>
        <w:rPr>
          <w:i/>
          <w:spacing w:val="-3"/>
        </w:rPr>
        <w:t xml:space="preserve"> </w:t>
      </w:r>
      <w:r>
        <w:rPr>
          <w:i/>
        </w:rPr>
        <w:t>Peace,</w:t>
      </w:r>
      <w:r>
        <w:t>”</w:t>
      </w:r>
      <w:r>
        <w:rPr>
          <w:spacing w:val="-1"/>
        </w:rPr>
        <w:t xml:space="preserve"> </w:t>
      </w:r>
      <w:r>
        <w:t>“You’d really like Gigantus</w:t>
      </w:r>
      <w:r>
        <w:rPr>
          <w:spacing w:val="-1"/>
        </w:rPr>
        <w:t xml:space="preserve"> </w:t>
      </w:r>
      <w:r>
        <w:t>if you met him,” etc.). It goes without saying that, at least from your viewpoint, these statements aren’t like ES, let alone “blarg blurbo gloxo.” They’re quite as meaningful as “Socrates was a fine orator.”</w:t>
      </w:r>
    </w:p>
    <w:p w14:paraId="7E001345" w14:textId="77777777" w:rsidR="009A58DB" w:rsidRDefault="00000000">
      <w:pPr>
        <w:pStyle w:val="BodyText"/>
        <w:spacing w:before="7" w:line="249" w:lineRule="auto"/>
        <w:ind w:right="363" w:firstLine="360"/>
      </w:pPr>
      <w:r>
        <w:t>Then one day Smith tells you that there is no Gigantus. Smith made him up.</w:t>
      </w:r>
      <w:r>
        <w:rPr>
          <w:spacing w:val="16"/>
        </w:rPr>
        <w:t xml:space="preserve"> </w:t>
      </w:r>
      <w:r>
        <w:t>It</w:t>
      </w:r>
      <w:r>
        <w:rPr>
          <w:spacing w:val="16"/>
        </w:rPr>
        <w:t xml:space="preserve"> </w:t>
      </w:r>
      <w:r>
        <w:t>was</w:t>
      </w:r>
      <w:r>
        <w:rPr>
          <w:spacing w:val="16"/>
        </w:rPr>
        <w:t xml:space="preserve"> </w:t>
      </w:r>
      <w:r>
        <w:t>all</w:t>
      </w:r>
      <w:r>
        <w:rPr>
          <w:spacing w:val="16"/>
        </w:rPr>
        <w:t xml:space="preserve"> </w:t>
      </w:r>
      <w:r>
        <w:t>a</w:t>
      </w:r>
      <w:r>
        <w:rPr>
          <w:spacing w:val="16"/>
        </w:rPr>
        <w:t xml:space="preserve"> </w:t>
      </w:r>
      <w:r>
        <w:t>hoax.</w:t>
      </w:r>
      <w:r>
        <w:rPr>
          <w:spacing w:val="16"/>
        </w:rPr>
        <w:t xml:space="preserve"> </w:t>
      </w:r>
      <w:r>
        <w:t>There</w:t>
      </w:r>
      <w:r>
        <w:rPr>
          <w:spacing w:val="16"/>
        </w:rPr>
        <w:t xml:space="preserve"> </w:t>
      </w:r>
      <w:r>
        <w:t>is</w:t>
      </w:r>
      <w:r>
        <w:rPr>
          <w:spacing w:val="16"/>
        </w:rPr>
        <w:t xml:space="preserve"> </w:t>
      </w:r>
      <w:r>
        <w:t>no</w:t>
      </w:r>
      <w:r>
        <w:rPr>
          <w:spacing w:val="16"/>
        </w:rPr>
        <w:t xml:space="preserve"> </w:t>
      </w:r>
      <w:r>
        <w:t>individual</w:t>
      </w:r>
      <w:r>
        <w:rPr>
          <w:spacing w:val="16"/>
        </w:rPr>
        <w:t xml:space="preserve"> </w:t>
      </w:r>
      <w:r>
        <w:t>x</w:t>
      </w:r>
      <w:r>
        <w:rPr>
          <w:spacing w:val="16"/>
        </w:rPr>
        <w:t xml:space="preserve"> </w:t>
      </w:r>
      <w:r>
        <w:t>such</w:t>
      </w:r>
      <w:r>
        <w:rPr>
          <w:spacing w:val="16"/>
        </w:rPr>
        <w:t xml:space="preserve"> </w:t>
      </w:r>
      <w:r>
        <w:t>that</w:t>
      </w:r>
      <w:r>
        <w:rPr>
          <w:spacing w:val="16"/>
        </w:rPr>
        <w:t xml:space="preserve"> </w:t>
      </w:r>
      <w:r>
        <w:t>“Gigantus”</w:t>
      </w:r>
      <w:r>
        <w:rPr>
          <w:spacing w:val="16"/>
        </w:rPr>
        <w:t xml:space="preserve"> </w:t>
      </w:r>
      <w:r>
        <w:t>refers</w:t>
      </w:r>
      <w:r>
        <w:rPr>
          <w:spacing w:val="16"/>
        </w:rPr>
        <w:t xml:space="preserve"> </w:t>
      </w:r>
      <w:r>
        <w:t>to</w:t>
      </w:r>
    </w:p>
    <w:p w14:paraId="7E001346" w14:textId="77777777" w:rsidR="009A58DB" w:rsidRDefault="00000000">
      <w:pPr>
        <w:pStyle w:val="BodyText"/>
        <w:spacing w:before="2"/>
      </w:pPr>
      <w:r>
        <w:t>x.</w:t>
      </w:r>
      <w:r>
        <w:rPr>
          <w:spacing w:val="-4"/>
        </w:rPr>
        <w:t xml:space="preserve"> </w:t>
      </w:r>
      <w:r>
        <w:t>It</w:t>
      </w:r>
      <w:r>
        <w:rPr>
          <w:spacing w:val="-3"/>
        </w:rPr>
        <w:t xml:space="preserve"> </w:t>
      </w:r>
      <w:r>
        <w:t>follows</w:t>
      </w:r>
      <w:r>
        <w:rPr>
          <w:spacing w:val="-2"/>
        </w:rPr>
        <w:t xml:space="preserve"> </w:t>
      </w:r>
      <w:r>
        <w:rPr>
          <w:spacing w:val="-4"/>
        </w:rPr>
        <w:t>that:</w:t>
      </w:r>
    </w:p>
    <w:p w14:paraId="7E001347" w14:textId="77777777" w:rsidR="009A58DB" w:rsidRDefault="009A58DB">
      <w:pPr>
        <w:pStyle w:val="BodyText"/>
        <w:spacing w:before="30"/>
        <w:ind w:left="0"/>
        <w:jc w:val="left"/>
      </w:pPr>
    </w:p>
    <w:p w14:paraId="7E001348" w14:textId="77777777" w:rsidR="009A58DB" w:rsidRDefault="00000000">
      <w:pPr>
        <w:spacing w:before="1"/>
        <w:ind w:left="360"/>
        <w:jc w:val="both"/>
        <w:rPr>
          <w:sz w:val="30"/>
        </w:rPr>
      </w:pPr>
      <w:r>
        <w:rPr>
          <w:sz w:val="30"/>
        </w:rPr>
        <w:t>(GW)</w:t>
      </w:r>
      <w:r>
        <w:rPr>
          <w:spacing w:val="-4"/>
          <w:sz w:val="30"/>
        </w:rPr>
        <w:t xml:space="preserve"> </w:t>
      </w:r>
      <w:r>
        <w:rPr>
          <w:sz w:val="30"/>
        </w:rPr>
        <w:t>“Gigantus</w:t>
      </w:r>
      <w:r>
        <w:rPr>
          <w:spacing w:val="-4"/>
          <w:sz w:val="30"/>
        </w:rPr>
        <w:t xml:space="preserve"> </w:t>
      </w:r>
      <w:r>
        <w:rPr>
          <w:sz w:val="30"/>
        </w:rPr>
        <w:t>recently</w:t>
      </w:r>
      <w:r>
        <w:rPr>
          <w:spacing w:val="-3"/>
          <w:sz w:val="30"/>
        </w:rPr>
        <w:t xml:space="preserve"> </w:t>
      </w:r>
      <w:r>
        <w:rPr>
          <w:sz w:val="30"/>
        </w:rPr>
        <w:t>read</w:t>
      </w:r>
      <w:r>
        <w:rPr>
          <w:spacing w:val="-3"/>
          <w:sz w:val="30"/>
        </w:rPr>
        <w:t xml:space="preserve"> </w:t>
      </w:r>
      <w:r>
        <w:rPr>
          <w:i/>
          <w:sz w:val="30"/>
        </w:rPr>
        <w:t>War</w:t>
      </w:r>
      <w:r>
        <w:rPr>
          <w:i/>
          <w:spacing w:val="-4"/>
          <w:sz w:val="30"/>
        </w:rPr>
        <w:t xml:space="preserve"> </w:t>
      </w:r>
      <w:r>
        <w:rPr>
          <w:i/>
          <w:sz w:val="30"/>
        </w:rPr>
        <w:t>and</w:t>
      </w:r>
      <w:r>
        <w:rPr>
          <w:i/>
          <w:spacing w:val="-3"/>
          <w:sz w:val="30"/>
        </w:rPr>
        <w:t xml:space="preserve"> </w:t>
      </w:r>
      <w:r>
        <w:rPr>
          <w:i/>
          <w:spacing w:val="-2"/>
          <w:sz w:val="30"/>
        </w:rPr>
        <w:t>Peace</w:t>
      </w:r>
      <w:r>
        <w:rPr>
          <w:spacing w:val="-2"/>
          <w:sz w:val="30"/>
        </w:rPr>
        <w:t>”</w:t>
      </w:r>
    </w:p>
    <w:p w14:paraId="7E001349" w14:textId="77777777" w:rsidR="009A58DB" w:rsidRDefault="009A58DB">
      <w:pPr>
        <w:pStyle w:val="BodyText"/>
        <w:spacing w:before="29"/>
        <w:ind w:left="0"/>
        <w:jc w:val="left"/>
      </w:pPr>
    </w:p>
    <w:p w14:paraId="7E00134A" w14:textId="77777777" w:rsidR="009A58DB" w:rsidRDefault="00000000">
      <w:pPr>
        <w:pStyle w:val="BodyText"/>
        <w:spacing w:before="1" w:line="249" w:lineRule="auto"/>
        <w:ind w:right="360"/>
      </w:pPr>
      <w:r>
        <w:t xml:space="preserve">fails to have a proposition for its literal meaning. So far as that sentence (or pseudo-sentence) has a meaning, its meaning is comparable to ES’s. (It’s meaning, it would seem is a propositional function, viz. </w:t>
      </w:r>
      <w:r>
        <w:rPr>
          <w:spacing w:val="40"/>
          <w:u w:val="single"/>
        </w:rPr>
        <w:t xml:space="preserve">  </w:t>
      </w:r>
      <w:r>
        <w:rPr>
          <w:i/>
        </w:rPr>
        <w:t>recently</w:t>
      </w:r>
      <w:r>
        <w:rPr>
          <w:i/>
          <w:spacing w:val="-3"/>
        </w:rPr>
        <w:t xml:space="preserve"> </w:t>
      </w:r>
      <w:r>
        <w:rPr>
          <w:i/>
        </w:rPr>
        <w:t>read</w:t>
      </w:r>
      <w:r>
        <w:rPr>
          <w:i/>
          <w:spacing w:val="-2"/>
        </w:rPr>
        <w:t xml:space="preserve"> </w:t>
      </w:r>
      <w:r>
        <w:rPr>
          <w:i/>
        </w:rPr>
        <w:t>War and Peace.</w:t>
      </w:r>
      <w:r>
        <w:t>) So how are we to explain the fact that, as far as what it communicates is concerned, GW is in the same category as “Socrates was tall,” as opposed to “blarg blurbo gloxo”?</w:t>
      </w:r>
    </w:p>
    <w:p w14:paraId="7E00134B" w14:textId="77777777" w:rsidR="009A58DB" w:rsidRDefault="00000000">
      <w:pPr>
        <w:pStyle w:val="BodyText"/>
        <w:spacing w:before="7" w:line="249" w:lineRule="auto"/>
        <w:ind w:right="361" w:firstLine="360"/>
      </w:pPr>
      <w:r>
        <w:t xml:space="preserve">Here is my answer. When you first encountered it, the name “Gigantus” was embedded in SG. (Remember that SG was told to you by your friend Smith.) It immediately follows that, when you first heard GW, what that utterance </w:t>
      </w:r>
      <w:r>
        <w:rPr>
          <w:i/>
        </w:rPr>
        <w:t xml:space="preserve">communicated </w:t>
      </w:r>
      <w:r>
        <w:t>to you was some message quite a bit richer than its (as it turns out, nonexistent) literal one. What that utterance of GW communicated to you was along the lines of:</w:t>
      </w:r>
    </w:p>
    <w:p w14:paraId="7E00134C" w14:textId="77777777" w:rsidR="009A58DB" w:rsidRDefault="009A58DB">
      <w:pPr>
        <w:pStyle w:val="BodyText"/>
        <w:spacing w:before="22"/>
        <w:ind w:left="0"/>
        <w:jc w:val="left"/>
      </w:pPr>
    </w:p>
    <w:p w14:paraId="7E00134D" w14:textId="77777777" w:rsidR="009A58DB" w:rsidRDefault="00000000">
      <w:pPr>
        <w:pStyle w:val="BodyText"/>
        <w:spacing w:line="249" w:lineRule="auto"/>
        <w:ind w:right="361"/>
        <w:rPr>
          <w:i/>
        </w:rPr>
      </w:pPr>
      <w:r>
        <w:t xml:space="preserve">(GWC) There exists a certain extraordinary individual x such that “Gigantus” is x’s name, such that at this moment my friend Smith is telling me about x, such that x lives in the woods in a hollowed tree-trunk, even though x used to be a professor [etc.]; moreover, x recently read </w:t>
      </w:r>
      <w:r>
        <w:rPr>
          <w:i/>
        </w:rPr>
        <w:t>War and Peace.</w:t>
      </w:r>
    </w:p>
    <w:p w14:paraId="7E00134E"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134F" w14:textId="77777777" w:rsidR="009A58DB" w:rsidRDefault="00000000">
      <w:pPr>
        <w:pStyle w:val="BodyText"/>
        <w:spacing w:before="65" w:line="249" w:lineRule="auto"/>
        <w:ind w:right="359"/>
      </w:pPr>
      <w:r>
        <w:lastRenderedPageBreak/>
        <w:t>GWC</w:t>
      </w:r>
      <w:r>
        <w:rPr>
          <w:spacing w:val="-4"/>
        </w:rPr>
        <w:t xml:space="preserve"> </w:t>
      </w:r>
      <w:r>
        <w:t>is</w:t>
      </w:r>
      <w:r>
        <w:rPr>
          <w:spacing w:val="-4"/>
        </w:rPr>
        <w:t xml:space="preserve"> </w:t>
      </w:r>
      <w:r>
        <w:t>not</w:t>
      </w:r>
      <w:r>
        <w:rPr>
          <w:spacing w:val="-4"/>
        </w:rPr>
        <w:t xml:space="preserve"> </w:t>
      </w:r>
      <w:r>
        <w:t>GW’s</w:t>
      </w:r>
      <w:r>
        <w:rPr>
          <w:spacing w:val="-3"/>
        </w:rPr>
        <w:t xml:space="preserve"> </w:t>
      </w:r>
      <w:r>
        <w:rPr>
          <w:i/>
        </w:rPr>
        <w:t>literal</w:t>
      </w:r>
      <w:r>
        <w:rPr>
          <w:i/>
          <w:spacing w:val="-4"/>
        </w:rPr>
        <w:t xml:space="preserve"> </w:t>
      </w:r>
      <w:r>
        <w:rPr>
          <w:i/>
        </w:rPr>
        <w:t>meaning.</w:t>
      </w:r>
      <w:r>
        <w:rPr>
          <w:i/>
          <w:spacing w:val="-4"/>
        </w:rPr>
        <w:t xml:space="preserve"> </w:t>
      </w:r>
      <w:r>
        <w:t>This cannot be emphasized enough. But it is what, because of your circumstances, GWC conveys to you.</w:t>
      </w:r>
    </w:p>
    <w:p w14:paraId="7E001350" w14:textId="77777777" w:rsidR="009A58DB" w:rsidRDefault="00000000">
      <w:pPr>
        <w:pStyle w:val="BodyText"/>
        <w:spacing w:before="2" w:line="249" w:lineRule="auto"/>
        <w:ind w:right="360" w:firstLine="360"/>
      </w:pPr>
      <w:r>
        <w:t xml:space="preserve">The point is that, even though GW doesn’t have </w:t>
      </w:r>
      <w:r>
        <w:rPr>
          <w:i/>
        </w:rPr>
        <w:t xml:space="preserve">any </w:t>
      </w:r>
      <w:r>
        <w:t xml:space="preserve">proposition for its literal meaning, there is no difficulty accounting for the fact that, empty of literal meaning though they be, utterances of it are replete with non-literal communicated meaning. We’ve already seen why much of what sentence-utterances communicate isn’t literal meaning—why much of it is really </w:t>
      </w:r>
      <w:r>
        <w:rPr>
          <w:i/>
        </w:rPr>
        <w:t>pre</w:t>
      </w:r>
      <w:r>
        <w:t>-semantic content that reflects the idiosyncrasies of our knowledge of semantics and that we have some tendency to mistake for semantic content.</w:t>
      </w:r>
    </w:p>
    <w:p w14:paraId="7E001351" w14:textId="77777777" w:rsidR="009A58DB" w:rsidRDefault="00000000">
      <w:pPr>
        <w:pStyle w:val="BodyText"/>
        <w:spacing w:before="9" w:line="249" w:lineRule="auto"/>
        <w:ind w:right="362" w:firstLine="360"/>
      </w:pPr>
      <w:r>
        <w:t>Nowhere in all this did we suppose that “Gigantus” is synonymous with a definite description. We didn’t have to make that supposition to account for the data. Nor would it have been advisable for us to do so. “Gigantus” isn’t a definite description. It’s a proper name, albeit an empty one. Whatever it is that utterances of ‹...Gigantus...› might communicate, it isn’t because “Gigantus” is a definite description that they communicate it.</w:t>
      </w:r>
    </w:p>
    <w:p w14:paraId="7E001352" w14:textId="77777777" w:rsidR="009A58DB" w:rsidRDefault="00000000">
      <w:pPr>
        <w:pStyle w:val="BodyText"/>
        <w:spacing w:before="7" w:line="249" w:lineRule="auto"/>
        <w:ind w:right="357" w:firstLine="360"/>
      </w:pPr>
      <w:r>
        <w:t>Notice that our analysis is a very conservative one. We didn’t posit any new entities. We didn’t assume facts not in evidence (e.g., we didn’t presuppose the truth of any uncorroborated hypotheses or otherwise prejudge open questions).</w:t>
      </w:r>
    </w:p>
    <w:p w14:paraId="7E001353" w14:textId="77777777" w:rsidR="009A58DB" w:rsidRDefault="00000000">
      <w:pPr>
        <w:pStyle w:val="BodyText"/>
        <w:spacing w:before="5" w:line="249" w:lineRule="auto"/>
        <w:ind w:right="358" w:firstLine="360"/>
      </w:pPr>
      <w:r>
        <w:t xml:space="preserve">Now let’s look at what Nathan Salmon says about empty proper names, like “Gigantus.” He says that socalled “empty” proper names </w:t>
      </w:r>
      <w:r>
        <w:rPr>
          <w:i/>
        </w:rPr>
        <w:t xml:space="preserve">aren’t </w:t>
      </w:r>
      <w:r>
        <w:t xml:space="preserve">empty. He says that “Zeus” </w:t>
      </w:r>
      <w:r>
        <w:rPr>
          <w:i/>
        </w:rPr>
        <w:t xml:space="preserve">does </w:t>
      </w:r>
      <w:r>
        <w:t xml:space="preserve">refer to a Greek God. He says that “Vulcan” </w:t>
      </w:r>
      <w:r>
        <w:rPr>
          <w:i/>
        </w:rPr>
        <w:t xml:space="preserve">does </w:t>
      </w:r>
      <w:r>
        <w:t>refer</w:t>
      </w:r>
      <w:r>
        <w:rPr>
          <w:spacing w:val="-1"/>
        </w:rPr>
        <w:t xml:space="preserve"> </w:t>
      </w:r>
      <w:r>
        <w:t>to</w:t>
      </w:r>
      <w:r>
        <w:rPr>
          <w:spacing w:val="-1"/>
        </w:rPr>
        <w:t xml:space="preserve"> </w:t>
      </w:r>
      <w:r>
        <w:t>an</w:t>
      </w:r>
      <w:r>
        <w:rPr>
          <w:spacing w:val="-1"/>
        </w:rPr>
        <w:t xml:space="preserve"> </w:t>
      </w:r>
      <w:r>
        <w:t>actual</w:t>
      </w:r>
      <w:r>
        <w:rPr>
          <w:spacing w:val="-1"/>
        </w:rPr>
        <w:t xml:space="preserve"> </w:t>
      </w:r>
      <w:r>
        <w:t>planet.</w:t>
      </w:r>
      <w:r>
        <w:rPr>
          <w:spacing w:val="-1"/>
        </w:rPr>
        <w:t xml:space="preserve"> </w:t>
      </w:r>
      <w:r>
        <w:t>(“Vulcan”</w:t>
      </w:r>
      <w:r>
        <w:rPr>
          <w:spacing w:val="-1"/>
        </w:rPr>
        <w:t xml:space="preserve"> </w:t>
      </w:r>
      <w:r>
        <w:t>was</w:t>
      </w:r>
      <w:r>
        <w:rPr>
          <w:spacing w:val="-1"/>
        </w:rPr>
        <w:t xml:space="preserve"> </w:t>
      </w:r>
      <w:r>
        <w:t>the</w:t>
      </w:r>
      <w:r>
        <w:rPr>
          <w:spacing w:val="-1"/>
        </w:rPr>
        <w:t xml:space="preserve"> </w:t>
      </w:r>
      <w:r>
        <w:t>name</w:t>
      </w:r>
      <w:r>
        <w:rPr>
          <w:spacing w:val="-1"/>
        </w:rPr>
        <w:t xml:space="preserve"> </w:t>
      </w:r>
      <w:r>
        <w:t>given</w:t>
      </w:r>
      <w:r>
        <w:rPr>
          <w:spacing w:val="-1"/>
        </w:rPr>
        <w:t xml:space="preserve"> </w:t>
      </w:r>
      <w:r>
        <w:t>by</w:t>
      </w:r>
      <w:r>
        <w:rPr>
          <w:spacing w:val="-1"/>
        </w:rPr>
        <w:t xml:space="preserve"> </w:t>
      </w:r>
      <w:r>
        <w:t>astronomers</w:t>
      </w:r>
      <w:r>
        <w:rPr>
          <w:spacing w:val="-1"/>
        </w:rPr>
        <w:t xml:space="preserve"> </w:t>
      </w:r>
      <w:r>
        <w:t>in</w:t>
      </w:r>
      <w:r>
        <w:rPr>
          <w:spacing w:val="-1"/>
        </w:rPr>
        <w:t xml:space="preserve"> </w:t>
      </w:r>
      <w:r>
        <w:t>the 19th century to a planet that they posited, but that turned out not to exist.) Salmon concedes that Zeus and Vulcan don’t exist in space-time. If you flew around</w:t>
      </w:r>
      <w:r>
        <w:rPr>
          <w:spacing w:val="-1"/>
        </w:rPr>
        <w:t xml:space="preserve"> </w:t>
      </w:r>
      <w:r>
        <w:t>the</w:t>
      </w:r>
      <w:r>
        <w:rPr>
          <w:spacing w:val="-1"/>
        </w:rPr>
        <w:t xml:space="preserve"> </w:t>
      </w:r>
      <w:r>
        <w:t>solar</w:t>
      </w:r>
      <w:r>
        <w:rPr>
          <w:spacing w:val="-1"/>
        </w:rPr>
        <w:t xml:space="preserve"> </w:t>
      </w:r>
      <w:r>
        <w:t>system,</w:t>
      </w:r>
      <w:r>
        <w:rPr>
          <w:spacing w:val="-1"/>
        </w:rPr>
        <w:t xml:space="preserve"> </w:t>
      </w:r>
      <w:r>
        <w:t>you’d</w:t>
      </w:r>
      <w:r>
        <w:rPr>
          <w:spacing w:val="-1"/>
        </w:rPr>
        <w:t xml:space="preserve"> </w:t>
      </w:r>
      <w:r>
        <w:t>never</w:t>
      </w:r>
      <w:r>
        <w:rPr>
          <w:spacing w:val="-1"/>
        </w:rPr>
        <w:t xml:space="preserve"> </w:t>
      </w:r>
      <w:r>
        <w:t>come</w:t>
      </w:r>
      <w:r>
        <w:rPr>
          <w:spacing w:val="-1"/>
        </w:rPr>
        <w:t xml:space="preserve"> </w:t>
      </w:r>
      <w:r>
        <w:t>across</w:t>
      </w:r>
      <w:r>
        <w:rPr>
          <w:spacing w:val="-1"/>
        </w:rPr>
        <w:t xml:space="preserve"> </w:t>
      </w:r>
      <w:r>
        <w:t>Vulcan;</w:t>
      </w:r>
      <w:r>
        <w:rPr>
          <w:spacing w:val="-1"/>
        </w:rPr>
        <w:t xml:space="preserve"> </w:t>
      </w:r>
      <w:r>
        <w:t>if</w:t>
      </w:r>
      <w:r>
        <w:rPr>
          <w:spacing w:val="-1"/>
        </w:rPr>
        <w:t xml:space="preserve"> </w:t>
      </w:r>
      <w:r>
        <w:t>you</w:t>
      </w:r>
      <w:r>
        <w:rPr>
          <w:spacing w:val="-1"/>
        </w:rPr>
        <w:t xml:space="preserve"> </w:t>
      </w:r>
      <w:r>
        <w:t>climbed</w:t>
      </w:r>
      <w:r>
        <w:rPr>
          <w:spacing w:val="-1"/>
        </w:rPr>
        <w:t xml:space="preserve"> </w:t>
      </w:r>
      <w:r>
        <w:t>Mt. Olympus, you’d never see Zeus. But they do exist—they exist, Salmon says, as abstract entities.</w:t>
      </w:r>
    </w:p>
    <w:p w14:paraId="7E001354" w14:textId="77777777" w:rsidR="009A58DB" w:rsidRDefault="00000000">
      <w:pPr>
        <w:pStyle w:val="BodyText"/>
        <w:spacing w:before="11" w:line="249" w:lineRule="auto"/>
        <w:ind w:right="361" w:firstLine="360"/>
      </w:pPr>
      <w:r>
        <w:t>Salmon’s primary reason for accepting this view is that, since he thinks that names are mere labels, he (rightly) doesn’t see it as an option to see “Vulcan” and “Zeus” as being synonymous or identical with definite descriptions. But he finds it puzzling that, for any psi, utterances of ‹Zeus has psi› and ‹Vulcan has psi› are so rich in communicated meaning. He doesn’t consider the proposal that we put forth a moment ago, and instead tries to solve</w:t>
      </w:r>
      <w:r>
        <w:rPr>
          <w:spacing w:val="34"/>
        </w:rPr>
        <w:t xml:space="preserve"> </w:t>
      </w:r>
      <w:r>
        <w:t>the</w:t>
      </w:r>
      <w:r>
        <w:rPr>
          <w:spacing w:val="35"/>
        </w:rPr>
        <w:t xml:space="preserve"> </w:t>
      </w:r>
      <w:r>
        <w:t>problem</w:t>
      </w:r>
      <w:r>
        <w:rPr>
          <w:spacing w:val="35"/>
        </w:rPr>
        <w:t xml:space="preserve"> </w:t>
      </w:r>
      <w:r>
        <w:t>by</w:t>
      </w:r>
      <w:r>
        <w:rPr>
          <w:spacing w:val="35"/>
        </w:rPr>
        <w:t xml:space="preserve"> </w:t>
      </w:r>
      <w:r>
        <w:t>saying</w:t>
      </w:r>
      <w:r>
        <w:rPr>
          <w:spacing w:val="35"/>
        </w:rPr>
        <w:t xml:space="preserve"> </w:t>
      </w:r>
      <w:r>
        <w:t>that,</w:t>
      </w:r>
      <w:r>
        <w:rPr>
          <w:spacing w:val="35"/>
        </w:rPr>
        <w:t xml:space="preserve"> </w:t>
      </w:r>
      <w:r>
        <w:t>in</w:t>
      </w:r>
      <w:r>
        <w:rPr>
          <w:spacing w:val="35"/>
        </w:rPr>
        <w:t xml:space="preserve"> </w:t>
      </w:r>
      <w:r>
        <w:t>fact,</w:t>
      </w:r>
      <w:r>
        <w:rPr>
          <w:spacing w:val="35"/>
        </w:rPr>
        <w:t xml:space="preserve"> </w:t>
      </w:r>
      <w:r>
        <w:t>“Vulcan”</w:t>
      </w:r>
      <w:r>
        <w:rPr>
          <w:spacing w:val="35"/>
        </w:rPr>
        <w:t xml:space="preserve"> </w:t>
      </w:r>
      <w:r>
        <w:t>and</w:t>
      </w:r>
      <w:r>
        <w:rPr>
          <w:spacing w:val="35"/>
        </w:rPr>
        <w:t xml:space="preserve"> </w:t>
      </w:r>
      <w:r>
        <w:t>“Zeus”</w:t>
      </w:r>
      <w:r>
        <w:rPr>
          <w:spacing w:val="35"/>
        </w:rPr>
        <w:t xml:space="preserve"> </w:t>
      </w:r>
      <w:r>
        <w:rPr>
          <w:i/>
        </w:rPr>
        <w:t>do</w:t>
      </w:r>
      <w:r>
        <w:rPr>
          <w:i/>
          <w:spacing w:val="28"/>
        </w:rPr>
        <w:t xml:space="preserve"> </w:t>
      </w:r>
      <w:r>
        <w:t>refer</w:t>
      </w:r>
      <w:r>
        <w:rPr>
          <w:spacing w:val="40"/>
        </w:rPr>
        <w:t xml:space="preserve"> </w:t>
      </w:r>
      <w:r>
        <w:t>to</w:t>
      </w:r>
    </w:p>
    <w:p w14:paraId="7E001355"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356" w14:textId="77777777" w:rsidR="009A58DB" w:rsidRDefault="00000000">
      <w:pPr>
        <w:pStyle w:val="BodyText"/>
        <w:spacing w:before="65"/>
        <w:jc w:val="left"/>
      </w:pPr>
      <w:r>
        <w:rPr>
          <w:spacing w:val="-2"/>
        </w:rPr>
        <w:lastRenderedPageBreak/>
        <w:t>things.</w:t>
      </w:r>
    </w:p>
    <w:p w14:paraId="7E001357" w14:textId="77777777" w:rsidR="009A58DB" w:rsidRDefault="00000000">
      <w:pPr>
        <w:pStyle w:val="BodyText"/>
        <w:spacing w:before="15" w:line="249" w:lineRule="auto"/>
        <w:ind w:right="360" w:firstLine="360"/>
      </w:pPr>
      <w:r>
        <w:t>This isn’t necessary. It’s also pointless. What is communicated by sentence-utterances of the form ‹Joseph Biden has psi› and ‹Charles Keating has psi›, and other sentence-utterances containing no non-empty names, diverges dramatically from what such utterances literally mean. This is a well-known fact. So what it is that “Joseph Biden is a democrat” conveys cannot be explained solely in terms of what it literally means. So even if Salmon were right to say that there is some actual God to whom “Zeus” refers, that wouldn’t explain any of the relevant data—it wouldn’t explain why utterances of “Zeus has a beard” communicate what they do.</w:t>
      </w:r>
    </w:p>
    <w:p w14:paraId="7E001358" w14:textId="77777777" w:rsidR="009A58DB" w:rsidRDefault="00000000">
      <w:pPr>
        <w:pStyle w:val="BodyText"/>
        <w:spacing w:before="11" w:line="249" w:lineRule="auto"/>
        <w:ind w:right="360" w:firstLine="360"/>
      </w:pPr>
      <w:r>
        <w:t>There’s also the fact that Zeus, if he exists, isn’t an abstract object. If he’s anything, he’s a God. If you pay me $1,000,000 to find Zeus, and all I find is an abstract object, I should give you your money back.</w:t>
      </w:r>
    </w:p>
    <w:p w14:paraId="7E001359" w14:textId="77777777" w:rsidR="009A58DB" w:rsidRDefault="00000000">
      <w:pPr>
        <w:pStyle w:val="BodyText"/>
        <w:spacing w:before="3" w:line="249" w:lineRule="auto"/>
        <w:ind w:right="368" w:firstLine="360"/>
      </w:pPr>
      <w:r>
        <w:t>Salmon says that “Vulcan” is a planet—albeit a mythical one. Planets are giant hunks of rock in outer space. “Mythical” planets aren’t hunks of rock. So they aren’t planets. The expression “mythical planet” is in the same category</w:t>
      </w:r>
      <w:r>
        <w:rPr>
          <w:spacing w:val="-1"/>
        </w:rPr>
        <w:t xml:space="preserve"> </w:t>
      </w:r>
      <w:r>
        <w:t>as</w:t>
      </w:r>
      <w:r>
        <w:rPr>
          <w:spacing w:val="-1"/>
        </w:rPr>
        <w:t xml:space="preserve"> </w:t>
      </w:r>
      <w:r>
        <w:t>“Mr.</w:t>
      </w:r>
      <w:r>
        <w:rPr>
          <w:spacing w:val="-1"/>
        </w:rPr>
        <w:t xml:space="preserve"> </w:t>
      </w:r>
      <w:r>
        <w:t>Right.”</w:t>
      </w:r>
      <w:r>
        <w:rPr>
          <w:spacing w:val="-1"/>
        </w:rPr>
        <w:t xml:space="preserve"> </w:t>
      </w:r>
      <w:r>
        <w:t>Its</w:t>
      </w:r>
      <w:r>
        <w:rPr>
          <w:spacing w:val="-1"/>
        </w:rPr>
        <w:t xml:space="preserve"> </w:t>
      </w:r>
      <w:r>
        <w:t>semantic</w:t>
      </w:r>
      <w:r>
        <w:rPr>
          <w:spacing w:val="-1"/>
        </w:rPr>
        <w:t xml:space="preserve"> </w:t>
      </w:r>
      <w:r>
        <w:t>function</w:t>
      </w:r>
      <w:r>
        <w:rPr>
          <w:spacing w:val="-1"/>
        </w:rPr>
        <w:t xml:space="preserve"> </w:t>
      </w:r>
      <w:r>
        <w:t>isn’t</w:t>
      </w:r>
      <w:r>
        <w:rPr>
          <w:spacing w:val="-1"/>
        </w:rPr>
        <w:t xml:space="preserve"> </w:t>
      </w:r>
      <w:r>
        <w:t>to</w:t>
      </w:r>
      <w:r>
        <w:rPr>
          <w:spacing w:val="-1"/>
        </w:rPr>
        <w:t xml:space="preserve"> </w:t>
      </w:r>
      <w:r>
        <w:t>refer</w:t>
      </w:r>
      <w:r>
        <w:rPr>
          <w:spacing w:val="-1"/>
        </w:rPr>
        <w:t xml:space="preserve"> </w:t>
      </w:r>
      <w:r>
        <w:t>to</w:t>
      </w:r>
      <w:r>
        <w:rPr>
          <w:spacing w:val="-1"/>
        </w:rPr>
        <w:t xml:space="preserve"> </w:t>
      </w:r>
      <w:r>
        <w:t>anything</w:t>
      </w:r>
      <w:r>
        <w:rPr>
          <w:spacing w:val="-1"/>
        </w:rPr>
        <w:t xml:space="preserve"> </w:t>
      </w:r>
      <w:r>
        <w:t>and</w:t>
      </w:r>
      <w:r>
        <w:rPr>
          <w:spacing w:val="-1"/>
        </w:rPr>
        <w:t xml:space="preserve"> </w:t>
      </w:r>
      <w:r>
        <w:t>is instead to help us abbreviate otherwise long and unwieldy statements.</w:t>
      </w:r>
    </w:p>
    <w:p w14:paraId="7E00135A" w14:textId="77777777" w:rsidR="009A58DB" w:rsidRDefault="00000000">
      <w:pPr>
        <w:pStyle w:val="BodyText"/>
        <w:spacing w:before="7" w:line="277" w:lineRule="exact"/>
        <w:ind w:left="7495"/>
        <w:jc w:val="left"/>
      </w:pPr>
      <w:bookmarkStart w:id="255" w:name="_bookmark255"/>
      <w:bookmarkEnd w:id="255"/>
      <w:r>
        <w:rPr>
          <w:color w:val="0562C1"/>
          <w:spacing w:val="-2"/>
          <w:u w:val="single" w:color="0562C1"/>
        </w:rPr>
        <w:t>[160]</w:t>
      </w:r>
    </w:p>
    <w:p w14:paraId="7E00135B" w14:textId="77777777" w:rsidR="009A58DB" w:rsidRDefault="00000000">
      <w:pPr>
        <w:pStyle w:val="BodyText"/>
        <w:tabs>
          <w:tab w:val="left" w:pos="8249"/>
        </w:tabs>
        <w:spacing w:line="277" w:lineRule="exact"/>
        <w:ind w:left="720"/>
        <w:jc w:val="left"/>
      </w:pPr>
      <w:r>
        <w:t>Salmon</w:t>
      </w:r>
      <w:r>
        <w:rPr>
          <w:spacing w:val="23"/>
        </w:rPr>
        <w:t xml:space="preserve"> </w:t>
      </w:r>
      <w:r>
        <w:t>published</w:t>
      </w:r>
      <w:r>
        <w:rPr>
          <w:spacing w:val="25"/>
        </w:rPr>
        <w:t xml:space="preserve"> </w:t>
      </w:r>
      <w:r>
        <w:t>an</w:t>
      </w:r>
      <w:r>
        <w:rPr>
          <w:spacing w:val="26"/>
        </w:rPr>
        <w:t xml:space="preserve"> </w:t>
      </w:r>
      <w:r>
        <w:t>article,</w:t>
      </w:r>
      <w:r>
        <w:rPr>
          <w:spacing w:val="25"/>
        </w:rPr>
        <w:t xml:space="preserve"> </w:t>
      </w:r>
      <w:r>
        <w:t>titled</w:t>
      </w:r>
      <w:r>
        <w:rPr>
          <w:spacing w:val="26"/>
        </w:rPr>
        <w:t xml:space="preserve"> </w:t>
      </w:r>
      <w:r>
        <w:t>“Mythical</w:t>
      </w:r>
      <w:r>
        <w:rPr>
          <w:spacing w:val="25"/>
        </w:rPr>
        <w:t xml:space="preserve"> </w:t>
      </w:r>
      <w:r>
        <w:rPr>
          <w:spacing w:val="-2"/>
        </w:rPr>
        <w:t>Objects,”</w:t>
      </w:r>
      <w:r>
        <w:tab/>
        <w:t>in</w:t>
      </w:r>
      <w:r>
        <w:rPr>
          <w:spacing w:val="26"/>
        </w:rPr>
        <w:t xml:space="preserve"> </w:t>
      </w:r>
      <w:r>
        <w:t>which</w:t>
      </w:r>
      <w:r>
        <w:rPr>
          <w:spacing w:val="28"/>
        </w:rPr>
        <w:t xml:space="preserve"> </w:t>
      </w:r>
      <w:r>
        <w:rPr>
          <w:spacing w:val="-5"/>
        </w:rPr>
        <w:t>he</w:t>
      </w:r>
    </w:p>
    <w:p w14:paraId="7E00135C" w14:textId="77777777" w:rsidR="009A58DB" w:rsidRDefault="00000000">
      <w:pPr>
        <w:pStyle w:val="BodyText"/>
        <w:spacing w:before="15" w:line="249" w:lineRule="auto"/>
        <w:jc w:val="left"/>
      </w:pPr>
      <w:r>
        <w:t>attempts</w:t>
      </w:r>
      <w:r>
        <w:rPr>
          <w:spacing w:val="39"/>
        </w:rPr>
        <w:t xml:space="preserve"> </w:t>
      </w:r>
      <w:r>
        <w:t>to</w:t>
      </w:r>
      <w:r>
        <w:rPr>
          <w:spacing w:val="39"/>
        </w:rPr>
        <w:t xml:space="preserve"> </w:t>
      </w:r>
      <w:r>
        <w:t>corroborate</w:t>
      </w:r>
      <w:r>
        <w:rPr>
          <w:spacing w:val="39"/>
        </w:rPr>
        <w:t xml:space="preserve"> </w:t>
      </w:r>
      <w:r>
        <w:t>these</w:t>
      </w:r>
      <w:r>
        <w:rPr>
          <w:spacing w:val="39"/>
        </w:rPr>
        <w:t xml:space="preserve"> </w:t>
      </w:r>
      <w:r>
        <w:t>views</w:t>
      </w:r>
      <w:r>
        <w:rPr>
          <w:spacing w:val="39"/>
        </w:rPr>
        <w:t xml:space="preserve"> </w:t>
      </w:r>
      <w:r>
        <w:t>of</w:t>
      </w:r>
      <w:r>
        <w:rPr>
          <w:spacing w:val="39"/>
        </w:rPr>
        <w:t xml:space="preserve"> </w:t>
      </w:r>
      <w:r>
        <w:t>his.</w:t>
      </w:r>
      <w:r>
        <w:rPr>
          <w:spacing w:val="39"/>
        </w:rPr>
        <w:t xml:space="preserve"> </w:t>
      </w:r>
      <w:r>
        <w:t>Here</w:t>
      </w:r>
      <w:r>
        <w:rPr>
          <w:spacing w:val="39"/>
        </w:rPr>
        <w:t xml:space="preserve"> </w:t>
      </w:r>
      <w:r>
        <w:t>is</w:t>
      </w:r>
      <w:r>
        <w:rPr>
          <w:spacing w:val="39"/>
        </w:rPr>
        <w:t xml:space="preserve"> </w:t>
      </w:r>
      <w:r>
        <w:t>the</w:t>
      </w:r>
      <w:r>
        <w:rPr>
          <w:spacing w:val="39"/>
        </w:rPr>
        <w:t xml:space="preserve"> </w:t>
      </w:r>
      <w:r>
        <w:t>argument</w:t>
      </w:r>
      <w:r>
        <w:rPr>
          <w:spacing w:val="39"/>
        </w:rPr>
        <w:t xml:space="preserve"> </w:t>
      </w:r>
      <w:r>
        <w:t xml:space="preserve">presented </w:t>
      </w:r>
      <w:r>
        <w:rPr>
          <w:spacing w:val="-2"/>
        </w:rPr>
        <w:t>therein:</w:t>
      </w:r>
    </w:p>
    <w:p w14:paraId="7E00135D" w14:textId="77777777" w:rsidR="009A58DB" w:rsidRDefault="009A58DB">
      <w:pPr>
        <w:pStyle w:val="BodyText"/>
        <w:ind w:left="0"/>
        <w:jc w:val="left"/>
      </w:pPr>
    </w:p>
    <w:p w14:paraId="7E00135E" w14:textId="77777777" w:rsidR="009A58DB" w:rsidRDefault="009A58DB">
      <w:pPr>
        <w:pStyle w:val="BodyText"/>
        <w:spacing w:before="32"/>
        <w:ind w:left="0"/>
        <w:jc w:val="left"/>
      </w:pPr>
    </w:p>
    <w:p w14:paraId="7E00135F" w14:textId="77777777" w:rsidR="009A58DB" w:rsidRDefault="00000000">
      <w:pPr>
        <w:pStyle w:val="BodyText"/>
        <w:spacing w:line="277" w:lineRule="exact"/>
        <w:ind w:left="1303"/>
        <w:jc w:val="left"/>
      </w:pPr>
      <w:bookmarkStart w:id="256" w:name="_bookmark256"/>
      <w:bookmarkEnd w:id="256"/>
      <w:r>
        <w:rPr>
          <w:color w:val="0562C1"/>
          <w:spacing w:val="-2"/>
          <w:u w:val="single" w:color="0562C1"/>
        </w:rPr>
        <w:t>[161]</w:t>
      </w:r>
    </w:p>
    <w:p w14:paraId="7E001360" w14:textId="77777777" w:rsidR="009A58DB" w:rsidRDefault="00000000">
      <w:pPr>
        <w:pStyle w:val="BodyText"/>
        <w:spacing w:line="277" w:lineRule="exact"/>
        <w:ind w:left="720"/>
      </w:pPr>
      <w:r>
        <w:t>(MO</w:t>
      </w:r>
      <w:r>
        <w:rPr>
          <w:spacing w:val="46"/>
          <w:w w:val="150"/>
        </w:rPr>
        <w:t xml:space="preserve">    </w:t>
      </w:r>
      <w:r>
        <w:t>)</w:t>
      </w:r>
      <w:r>
        <w:rPr>
          <w:spacing w:val="9"/>
        </w:rPr>
        <w:t xml:space="preserve"> </w:t>
      </w:r>
      <w:r>
        <w:t>Imagine</w:t>
      </w:r>
      <w:r>
        <w:rPr>
          <w:spacing w:val="5"/>
        </w:rPr>
        <w:t xml:space="preserve"> </w:t>
      </w:r>
      <w:r>
        <w:t>the</w:t>
      </w:r>
      <w:r>
        <w:rPr>
          <w:spacing w:val="6"/>
        </w:rPr>
        <w:t xml:space="preserve"> </w:t>
      </w:r>
      <w:r>
        <w:t>following.</w:t>
      </w:r>
      <w:r>
        <w:rPr>
          <w:spacing w:val="5"/>
        </w:rPr>
        <w:t xml:space="preserve"> </w:t>
      </w:r>
      <w:r>
        <w:t>Smith</w:t>
      </w:r>
      <w:r>
        <w:rPr>
          <w:spacing w:val="6"/>
        </w:rPr>
        <w:t xml:space="preserve"> </w:t>
      </w:r>
      <w:r>
        <w:t>and</w:t>
      </w:r>
      <w:r>
        <w:rPr>
          <w:spacing w:val="5"/>
        </w:rPr>
        <w:t xml:space="preserve"> </w:t>
      </w:r>
      <w:r>
        <w:t>Jones</w:t>
      </w:r>
      <w:r>
        <w:rPr>
          <w:spacing w:val="6"/>
        </w:rPr>
        <w:t xml:space="preserve"> </w:t>
      </w:r>
      <w:r>
        <w:t>both</w:t>
      </w:r>
      <w:r>
        <w:rPr>
          <w:spacing w:val="5"/>
        </w:rPr>
        <w:t xml:space="preserve"> </w:t>
      </w:r>
      <w:r>
        <w:t>believe</w:t>
      </w:r>
      <w:r>
        <w:rPr>
          <w:spacing w:val="6"/>
        </w:rPr>
        <w:t xml:space="preserve"> </w:t>
      </w:r>
      <w:r>
        <w:t>that</w:t>
      </w:r>
      <w:r>
        <w:rPr>
          <w:spacing w:val="6"/>
        </w:rPr>
        <w:t xml:space="preserve"> </w:t>
      </w:r>
      <w:r>
        <w:rPr>
          <w:spacing w:val="-4"/>
        </w:rPr>
        <w:t>Zeus</w:t>
      </w:r>
    </w:p>
    <w:p w14:paraId="7E001361" w14:textId="77777777" w:rsidR="009A58DB" w:rsidRDefault="00000000">
      <w:pPr>
        <w:pStyle w:val="BodyText"/>
        <w:spacing w:before="15" w:line="249" w:lineRule="auto"/>
        <w:ind w:left="720" w:right="360"/>
      </w:pPr>
      <w:r>
        <w:t>exists, and they both think that he lives on Mt. Olympus and can hurl lightning bolts. One day Smith wakes up with a terrible headache. He thinks</w:t>
      </w:r>
      <w:r>
        <w:rPr>
          <w:spacing w:val="-1"/>
        </w:rPr>
        <w:t xml:space="preserve"> </w:t>
      </w:r>
      <w:r>
        <w:t>that</w:t>
      </w:r>
      <w:r>
        <w:rPr>
          <w:spacing w:val="-1"/>
        </w:rPr>
        <w:t xml:space="preserve"> </w:t>
      </w:r>
      <w:r>
        <w:t>Zeus</w:t>
      </w:r>
      <w:r>
        <w:rPr>
          <w:spacing w:val="-1"/>
        </w:rPr>
        <w:t xml:space="preserve"> </w:t>
      </w:r>
      <w:r>
        <w:t>gave it</w:t>
      </w:r>
      <w:r>
        <w:rPr>
          <w:spacing w:val="-1"/>
        </w:rPr>
        <w:t xml:space="preserve"> </w:t>
      </w:r>
      <w:r>
        <w:t>to him.</w:t>
      </w:r>
      <w:r>
        <w:rPr>
          <w:spacing w:val="-1"/>
        </w:rPr>
        <w:t xml:space="preserve"> </w:t>
      </w:r>
      <w:r>
        <w:t>That</w:t>
      </w:r>
      <w:r>
        <w:rPr>
          <w:spacing w:val="-1"/>
        </w:rPr>
        <w:t xml:space="preserve"> </w:t>
      </w:r>
      <w:r>
        <w:t>same</w:t>
      </w:r>
      <w:r>
        <w:rPr>
          <w:spacing w:val="-1"/>
        </w:rPr>
        <w:t xml:space="preserve"> </w:t>
      </w:r>
      <w:r>
        <w:t>day, Jones</w:t>
      </w:r>
      <w:r>
        <w:rPr>
          <w:spacing w:val="-1"/>
        </w:rPr>
        <w:t xml:space="preserve"> </w:t>
      </w:r>
      <w:r>
        <w:t>can’t</w:t>
      </w:r>
      <w:r>
        <w:rPr>
          <w:spacing w:val="-1"/>
        </w:rPr>
        <w:t xml:space="preserve"> </w:t>
      </w:r>
      <w:r>
        <w:t>find</w:t>
      </w:r>
      <w:r>
        <w:rPr>
          <w:spacing w:val="-1"/>
        </w:rPr>
        <w:t xml:space="preserve"> </w:t>
      </w:r>
      <w:r>
        <w:t>his car. He thinks that Zeus destroyed it. Smith and Jones tell each other about their misfortunes, and they’re in agreement that Zeus is indeed the culprit in both cases. It is thus a fact that:</w:t>
      </w:r>
    </w:p>
    <w:p w14:paraId="7E001362" w14:textId="77777777" w:rsidR="009A58DB" w:rsidRDefault="009A58DB">
      <w:pPr>
        <w:pStyle w:val="BodyText"/>
        <w:spacing w:before="22"/>
        <w:ind w:left="0"/>
        <w:jc w:val="left"/>
      </w:pPr>
    </w:p>
    <w:p w14:paraId="7E001363" w14:textId="77777777" w:rsidR="009A58DB" w:rsidRDefault="00000000">
      <w:pPr>
        <w:pStyle w:val="BodyText"/>
        <w:spacing w:before="1" w:line="249" w:lineRule="auto"/>
        <w:ind w:left="720" w:right="361"/>
      </w:pPr>
      <w:r>
        <w:t>(1#) Smith and Jones believe some one deity (who lives on Mt. Olympus and can hurl lightning bolts) to be responsible for Smith’s headache and also for the disappearance of Jones’ car.</w:t>
      </w:r>
    </w:p>
    <w:p w14:paraId="7E00136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65" w14:textId="77777777" w:rsidR="009A58DB" w:rsidRDefault="00000000">
      <w:pPr>
        <w:pStyle w:val="BodyText"/>
        <w:spacing w:before="65"/>
        <w:ind w:left="720"/>
        <w:jc w:val="left"/>
      </w:pPr>
      <w:r>
        <w:lastRenderedPageBreak/>
        <w:t>(1#)</w:t>
      </w:r>
      <w:r>
        <w:rPr>
          <w:spacing w:val="-5"/>
        </w:rPr>
        <w:t xml:space="preserve"> </w:t>
      </w:r>
      <w:r>
        <w:t>is</w:t>
      </w:r>
      <w:r>
        <w:rPr>
          <w:spacing w:val="-3"/>
        </w:rPr>
        <w:t xml:space="preserve"> </w:t>
      </w:r>
      <w:r>
        <w:t>ambiguous,</w:t>
      </w:r>
      <w:r>
        <w:rPr>
          <w:spacing w:val="-2"/>
        </w:rPr>
        <w:t xml:space="preserve"> </w:t>
      </w:r>
      <w:r>
        <w:t>as</w:t>
      </w:r>
      <w:r>
        <w:rPr>
          <w:spacing w:val="-3"/>
        </w:rPr>
        <w:t xml:space="preserve"> </w:t>
      </w:r>
      <w:r>
        <w:t>it</w:t>
      </w:r>
      <w:r>
        <w:rPr>
          <w:spacing w:val="-3"/>
        </w:rPr>
        <w:t xml:space="preserve"> </w:t>
      </w:r>
      <w:r>
        <w:t>could</w:t>
      </w:r>
      <w:r>
        <w:rPr>
          <w:spacing w:val="-2"/>
        </w:rPr>
        <w:t xml:space="preserve"> </w:t>
      </w:r>
      <w:r>
        <w:t>mean</w:t>
      </w:r>
      <w:r>
        <w:rPr>
          <w:spacing w:val="-1"/>
        </w:rPr>
        <w:t xml:space="preserve"> </w:t>
      </w:r>
      <w:r>
        <w:rPr>
          <w:spacing w:val="-2"/>
        </w:rPr>
        <w:t>either:</w:t>
      </w:r>
    </w:p>
    <w:p w14:paraId="7E001366" w14:textId="77777777" w:rsidR="009A58DB" w:rsidRDefault="009A58DB">
      <w:pPr>
        <w:pStyle w:val="BodyText"/>
        <w:spacing w:before="29"/>
        <w:ind w:left="0"/>
        <w:jc w:val="left"/>
      </w:pPr>
    </w:p>
    <w:p w14:paraId="7E001367" w14:textId="77777777" w:rsidR="009A58DB" w:rsidRDefault="00000000">
      <w:pPr>
        <w:pStyle w:val="BodyText"/>
        <w:spacing w:before="1" w:line="249" w:lineRule="auto"/>
        <w:ind w:left="720" w:right="360"/>
      </w:pPr>
      <w:r>
        <w:t>(2#) there exists some deity x (such that x lives on Mt. Olympus and can hurl lightning bolts) such that Smith and Jones both believe that x destroyed Jones’ car and also gave Smith a headache</w:t>
      </w:r>
    </w:p>
    <w:p w14:paraId="7E001368" w14:textId="77777777" w:rsidR="009A58DB" w:rsidRDefault="009A58DB">
      <w:pPr>
        <w:pStyle w:val="BodyText"/>
        <w:spacing w:before="18"/>
        <w:ind w:left="0"/>
        <w:jc w:val="left"/>
      </w:pPr>
    </w:p>
    <w:p w14:paraId="7E001369" w14:textId="77777777" w:rsidR="009A58DB" w:rsidRDefault="00000000">
      <w:pPr>
        <w:pStyle w:val="BodyText"/>
        <w:ind w:left="720"/>
        <w:jc w:val="left"/>
      </w:pPr>
      <w:r>
        <w:rPr>
          <w:spacing w:val="-5"/>
        </w:rPr>
        <w:t>or</w:t>
      </w:r>
    </w:p>
    <w:p w14:paraId="7E00136A" w14:textId="77777777" w:rsidR="009A58DB" w:rsidRDefault="009A58DB">
      <w:pPr>
        <w:pStyle w:val="BodyText"/>
        <w:spacing w:before="30"/>
        <w:ind w:left="0"/>
        <w:jc w:val="left"/>
      </w:pPr>
    </w:p>
    <w:p w14:paraId="7E00136B" w14:textId="77777777" w:rsidR="009A58DB" w:rsidRDefault="00000000">
      <w:pPr>
        <w:pStyle w:val="BodyText"/>
        <w:spacing w:line="249" w:lineRule="auto"/>
        <w:ind w:left="720" w:right="359"/>
      </w:pPr>
      <w:r>
        <w:t>(3#) Each of Smith and Jones believes there to be some deity x (such that</w:t>
      </w:r>
      <w:r>
        <w:rPr>
          <w:spacing w:val="40"/>
        </w:rPr>
        <w:t xml:space="preserve"> </w:t>
      </w:r>
      <w:r>
        <w:t>x lives on Mt. Olympus and can hurl lightning bolts) such that x is identical with Zeus, such that x destroyed Jones’ car, and such that x gave Smith a headache.</w:t>
      </w:r>
    </w:p>
    <w:p w14:paraId="7E00136C" w14:textId="77777777" w:rsidR="009A58DB" w:rsidRDefault="009A58DB">
      <w:pPr>
        <w:pStyle w:val="BodyText"/>
        <w:spacing w:before="20"/>
        <w:ind w:left="0"/>
        <w:jc w:val="left"/>
      </w:pPr>
    </w:p>
    <w:p w14:paraId="7E00136D" w14:textId="77777777" w:rsidR="009A58DB" w:rsidRDefault="00000000">
      <w:pPr>
        <w:pStyle w:val="BodyText"/>
        <w:spacing w:line="249" w:lineRule="auto"/>
        <w:ind w:left="720" w:right="359"/>
      </w:pPr>
      <w:r>
        <w:t>(3#) cannot be the right disambiguation. (3#) says that Smith believes some one deity to be responsible for those two misfortunes, and that Jones believes</w:t>
      </w:r>
      <w:r>
        <w:rPr>
          <w:spacing w:val="-1"/>
        </w:rPr>
        <w:t xml:space="preserve"> </w:t>
      </w:r>
      <w:r>
        <w:t>some</w:t>
      </w:r>
      <w:r>
        <w:rPr>
          <w:spacing w:val="-1"/>
        </w:rPr>
        <w:t xml:space="preserve"> </w:t>
      </w:r>
      <w:r>
        <w:t>one</w:t>
      </w:r>
      <w:r>
        <w:rPr>
          <w:spacing w:val="-1"/>
        </w:rPr>
        <w:t xml:space="preserve"> </w:t>
      </w:r>
      <w:r>
        <w:t>deity</w:t>
      </w:r>
      <w:r>
        <w:rPr>
          <w:spacing w:val="-1"/>
        </w:rPr>
        <w:t xml:space="preserve"> </w:t>
      </w:r>
      <w:r>
        <w:t>to</w:t>
      </w:r>
      <w:r>
        <w:rPr>
          <w:spacing w:val="-1"/>
        </w:rPr>
        <w:t xml:space="preserve"> </w:t>
      </w:r>
      <w:r>
        <w:t>be</w:t>
      </w:r>
      <w:r>
        <w:rPr>
          <w:spacing w:val="-1"/>
        </w:rPr>
        <w:t xml:space="preserve"> </w:t>
      </w:r>
      <w:r>
        <w:t>responsible</w:t>
      </w:r>
      <w:r>
        <w:rPr>
          <w:spacing w:val="-1"/>
        </w:rPr>
        <w:t xml:space="preserve"> </w:t>
      </w:r>
      <w:r>
        <w:t>for</w:t>
      </w:r>
      <w:r>
        <w:rPr>
          <w:spacing w:val="-1"/>
        </w:rPr>
        <w:t xml:space="preserve"> </w:t>
      </w:r>
      <w:r>
        <w:t>them.</w:t>
      </w:r>
      <w:r>
        <w:rPr>
          <w:spacing w:val="-1"/>
        </w:rPr>
        <w:t xml:space="preserve"> </w:t>
      </w:r>
      <w:r>
        <w:t>But</w:t>
      </w:r>
      <w:r>
        <w:rPr>
          <w:spacing w:val="-1"/>
        </w:rPr>
        <w:t xml:space="preserve"> </w:t>
      </w:r>
      <w:r>
        <w:t>(3#)</w:t>
      </w:r>
      <w:r>
        <w:rPr>
          <w:spacing w:val="-1"/>
        </w:rPr>
        <w:t xml:space="preserve"> </w:t>
      </w:r>
      <w:r>
        <w:t>leaves</w:t>
      </w:r>
      <w:r>
        <w:rPr>
          <w:spacing w:val="-1"/>
        </w:rPr>
        <w:t xml:space="preserve"> </w:t>
      </w:r>
      <w:r>
        <w:t>it</w:t>
      </w:r>
      <w:r>
        <w:rPr>
          <w:spacing w:val="-1"/>
        </w:rPr>
        <w:t xml:space="preserve"> </w:t>
      </w:r>
      <w:r>
        <w:t>open whether the deity that Smith has in mind is identical with the one Jones</w:t>
      </w:r>
      <w:r>
        <w:rPr>
          <w:spacing w:val="40"/>
        </w:rPr>
        <w:t xml:space="preserve"> </w:t>
      </w:r>
      <w:r>
        <w:t>has in mind. That means that (2#) is the correct disambiguation, and therefore, that there exists some deity who lives on Mt. Olympus, etc.</w:t>
      </w:r>
    </w:p>
    <w:p w14:paraId="7E00136E" w14:textId="77777777" w:rsidR="009A58DB" w:rsidRDefault="009A58DB">
      <w:pPr>
        <w:pStyle w:val="BodyText"/>
        <w:spacing w:before="23"/>
        <w:ind w:left="0"/>
        <w:jc w:val="left"/>
      </w:pPr>
    </w:p>
    <w:p w14:paraId="7E00136F" w14:textId="77777777" w:rsidR="009A58DB" w:rsidRDefault="00000000">
      <w:pPr>
        <w:pStyle w:val="BodyText"/>
        <w:spacing w:line="249" w:lineRule="auto"/>
        <w:ind w:right="363" w:firstLine="360"/>
      </w:pPr>
      <w:r>
        <w:rPr>
          <w:i/>
        </w:rPr>
        <w:t>This</w:t>
      </w:r>
      <w:r>
        <w:rPr>
          <w:i/>
          <w:spacing w:val="-4"/>
        </w:rPr>
        <w:t xml:space="preserve"> </w:t>
      </w:r>
      <w:r>
        <w:rPr>
          <w:i/>
        </w:rPr>
        <w:t>argument</w:t>
      </w:r>
      <w:r>
        <w:rPr>
          <w:i/>
          <w:spacing w:val="-4"/>
        </w:rPr>
        <w:t xml:space="preserve"> </w:t>
      </w:r>
      <w:r>
        <w:rPr>
          <w:i/>
        </w:rPr>
        <w:t>evaluated</w:t>
      </w:r>
      <w:r>
        <w:t>:</w:t>
      </w:r>
      <w:r>
        <w:rPr>
          <w:spacing w:val="-4"/>
        </w:rPr>
        <w:t xml:space="preserve"> </w:t>
      </w:r>
      <w:r>
        <w:t>MO</w:t>
      </w:r>
      <w:r>
        <w:rPr>
          <w:spacing w:val="-1"/>
        </w:rPr>
        <w:t xml:space="preserve"> </w:t>
      </w:r>
      <w:r>
        <w:t>presupposes</w:t>
      </w:r>
      <w:r>
        <w:rPr>
          <w:spacing w:val="-1"/>
        </w:rPr>
        <w:t xml:space="preserve"> </w:t>
      </w:r>
      <w:r>
        <w:t>the</w:t>
      </w:r>
      <w:r>
        <w:rPr>
          <w:spacing w:val="-1"/>
        </w:rPr>
        <w:t xml:space="preserve"> </w:t>
      </w:r>
      <w:r>
        <w:t>truth</w:t>
      </w:r>
      <w:r>
        <w:rPr>
          <w:spacing w:val="-1"/>
        </w:rPr>
        <w:t xml:space="preserve"> </w:t>
      </w:r>
      <w:r>
        <w:t>of</w:t>
      </w:r>
      <w:r>
        <w:rPr>
          <w:spacing w:val="-1"/>
        </w:rPr>
        <w:t xml:space="preserve"> </w:t>
      </w:r>
      <w:r>
        <w:t>its</w:t>
      </w:r>
      <w:r>
        <w:rPr>
          <w:spacing w:val="-1"/>
        </w:rPr>
        <w:t xml:space="preserve"> </w:t>
      </w:r>
      <w:r>
        <w:t>own</w:t>
      </w:r>
      <w:r>
        <w:rPr>
          <w:spacing w:val="-1"/>
        </w:rPr>
        <w:t xml:space="preserve"> </w:t>
      </w:r>
      <w:r>
        <w:t>conclusion. Smith’s belief that Zeus exists is identical with his acceptance of something along the lines of:</w:t>
      </w:r>
    </w:p>
    <w:p w14:paraId="7E001370" w14:textId="77777777" w:rsidR="009A58DB" w:rsidRDefault="009A58DB">
      <w:pPr>
        <w:pStyle w:val="BodyText"/>
        <w:spacing w:before="18"/>
        <w:ind w:left="0"/>
        <w:jc w:val="left"/>
      </w:pPr>
    </w:p>
    <w:p w14:paraId="7E001371" w14:textId="77777777" w:rsidR="009A58DB" w:rsidRDefault="00000000">
      <w:pPr>
        <w:pStyle w:val="BodyText"/>
        <w:spacing w:before="1" w:line="249" w:lineRule="auto"/>
        <w:ind w:right="364"/>
        <w:jc w:val="left"/>
      </w:pPr>
      <w:r>
        <w:t>(Z)</w:t>
      </w:r>
      <w:r>
        <w:rPr>
          <w:spacing w:val="36"/>
        </w:rPr>
        <w:t xml:space="preserve"> </w:t>
      </w:r>
      <w:r>
        <w:t>there</w:t>
      </w:r>
      <w:r>
        <w:rPr>
          <w:spacing w:val="37"/>
        </w:rPr>
        <w:t xml:space="preserve"> </w:t>
      </w:r>
      <w:r>
        <w:t>exists</w:t>
      </w:r>
      <w:r>
        <w:rPr>
          <w:spacing w:val="37"/>
        </w:rPr>
        <w:t xml:space="preserve"> </w:t>
      </w:r>
      <w:r>
        <w:t>a</w:t>
      </w:r>
      <w:r>
        <w:rPr>
          <w:spacing w:val="36"/>
        </w:rPr>
        <w:t xml:space="preserve"> </w:t>
      </w:r>
      <w:r>
        <w:t>deity</w:t>
      </w:r>
      <w:r>
        <w:rPr>
          <w:spacing w:val="37"/>
        </w:rPr>
        <w:t xml:space="preserve"> </w:t>
      </w:r>
      <w:r>
        <w:t>who</w:t>
      </w:r>
      <w:r>
        <w:rPr>
          <w:spacing w:val="37"/>
        </w:rPr>
        <w:t xml:space="preserve"> </w:t>
      </w:r>
      <w:r>
        <w:t>lives</w:t>
      </w:r>
      <w:r>
        <w:rPr>
          <w:spacing w:val="36"/>
        </w:rPr>
        <w:t xml:space="preserve"> </w:t>
      </w:r>
      <w:r>
        <w:t>on</w:t>
      </w:r>
      <w:r>
        <w:rPr>
          <w:spacing w:val="37"/>
        </w:rPr>
        <w:t xml:space="preserve"> </w:t>
      </w:r>
      <w:r>
        <w:t>Mt.</w:t>
      </w:r>
      <w:r>
        <w:rPr>
          <w:spacing w:val="37"/>
        </w:rPr>
        <w:t xml:space="preserve"> </w:t>
      </w:r>
      <w:r>
        <w:t>Olympus</w:t>
      </w:r>
      <w:r>
        <w:rPr>
          <w:spacing w:val="38"/>
        </w:rPr>
        <w:t xml:space="preserve"> </w:t>
      </w:r>
      <w:r>
        <w:t>and</w:t>
      </w:r>
      <w:r>
        <w:rPr>
          <w:spacing w:val="38"/>
        </w:rPr>
        <w:t xml:space="preserve"> </w:t>
      </w:r>
      <w:r>
        <w:t>hurls</w:t>
      </w:r>
      <w:r>
        <w:rPr>
          <w:spacing w:val="38"/>
        </w:rPr>
        <w:t xml:space="preserve"> </w:t>
      </w:r>
      <w:r>
        <w:t>lighting</w:t>
      </w:r>
      <w:r>
        <w:rPr>
          <w:spacing w:val="38"/>
        </w:rPr>
        <w:t xml:space="preserve"> </w:t>
      </w:r>
      <w:r>
        <w:t xml:space="preserve">bolts </w:t>
      </w:r>
      <w:r>
        <w:rPr>
          <w:spacing w:val="-2"/>
        </w:rPr>
        <w:t>(etc.),</w:t>
      </w:r>
    </w:p>
    <w:p w14:paraId="7E001372" w14:textId="77777777" w:rsidR="009A58DB" w:rsidRDefault="009A58DB">
      <w:pPr>
        <w:pStyle w:val="BodyText"/>
        <w:spacing w:before="17"/>
        <w:ind w:left="0"/>
        <w:jc w:val="left"/>
      </w:pPr>
    </w:p>
    <w:p w14:paraId="7E001373" w14:textId="77777777" w:rsidR="009A58DB" w:rsidRDefault="00000000">
      <w:pPr>
        <w:pStyle w:val="BodyText"/>
        <w:jc w:val="left"/>
      </w:pPr>
      <w:r>
        <w:t>the</w:t>
      </w:r>
      <w:r>
        <w:rPr>
          <w:spacing w:val="-6"/>
        </w:rPr>
        <w:t xml:space="preserve"> </w:t>
      </w:r>
      <w:r>
        <w:t>same</w:t>
      </w:r>
      <w:r>
        <w:rPr>
          <w:spacing w:val="-3"/>
        </w:rPr>
        <w:t xml:space="preserve"> </w:t>
      </w:r>
      <w:r>
        <w:t>being</w:t>
      </w:r>
      <w:r>
        <w:rPr>
          <w:spacing w:val="-3"/>
        </w:rPr>
        <w:t xml:space="preserve"> </w:t>
      </w:r>
      <w:r>
        <w:t>true</w:t>
      </w:r>
      <w:r>
        <w:rPr>
          <w:spacing w:val="-3"/>
        </w:rPr>
        <w:t xml:space="preserve"> </w:t>
      </w:r>
      <w:r>
        <w:t>of</w:t>
      </w:r>
      <w:r>
        <w:rPr>
          <w:spacing w:val="-4"/>
        </w:rPr>
        <w:t xml:space="preserve"> </w:t>
      </w:r>
      <w:r>
        <w:t>Jones’</w:t>
      </w:r>
      <w:r>
        <w:rPr>
          <w:spacing w:val="-3"/>
        </w:rPr>
        <w:t xml:space="preserve"> </w:t>
      </w:r>
      <w:r>
        <w:t>corresponding</w:t>
      </w:r>
      <w:r>
        <w:rPr>
          <w:spacing w:val="-2"/>
        </w:rPr>
        <w:t xml:space="preserve"> belief.</w:t>
      </w:r>
    </w:p>
    <w:p w14:paraId="7E001374" w14:textId="77777777" w:rsidR="009A58DB" w:rsidRDefault="00000000">
      <w:pPr>
        <w:pStyle w:val="BodyText"/>
        <w:spacing w:before="15" w:line="249" w:lineRule="auto"/>
        <w:ind w:right="365" w:firstLine="360"/>
      </w:pPr>
      <w:r>
        <w:t>Thus, Smith’s belief that Zeus is responsible for both misfortunes is identical with his acceptance of something along the lines of:</w:t>
      </w:r>
    </w:p>
    <w:p w14:paraId="7E001375" w14:textId="77777777" w:rsidR="009A58DB" w:rsidRDefault="009A58DB">
      <w:pPr>
        <w:pStyle w:val="BodyText"/>
        <w:spacing w:before="17"/>
        <w:ind w:left="0"/>
        <w:jc w:val="left"/>
      </w:pPr>
    </w:p>
    <w:p w14:paraId="7E001376" w14:textId="77777777" w:rsidR="009A58DB" w:rsidRDefault="00000000">
      <w:pPr>
        <w:pStyle w:val="BodyText"/>
        <w:spacing w:before="1" w:line="249" w:lineRule="auto"/>
        <w:jc w:val="left"/>
      </w:pPr>
      <w:r>
        <w:t>(ZMF)</w:t>
      </w:r>
      <w:r>
        <w:rPr>
          <w:spacing w:val="37"/>
        </w:rPr>
        <w:t xml:space="preserve"> </w:t>
      </w:r>
      <w:r>
        <w:t>there</w:t>
      </w:r>
      <w:r>
        <w:rPr>
          <w:spacing w:val="37"/>
        </w:rPr>
        <w:t xml:space="preserve"> </w:t>
      </w:r>
      <w:r>
        <w:t>exists</w:t>
      </w:r>
      <w:r>
        <w:rPr>
          <w:spacing w:val="37"/>
        </w:rPr>
        <w:t xml:space="preserve"> </w:t>
      </w:r>
      <w:r>
        <w:t>a</w:t>
      </w:r>
      <w:r>
        <w:rPr>
          <w:spacing w:val="37"/>
        </w:rPr>
        <w:t xml:space="preserve"> </w:t>
      </w:r>
      <w:r>
        <w:t>deity</w:t>
      </w:r>
      <w:r>
        <w:rPr>
          <w:spacing w:val="37"/>
        </w:rPr>
        <w:t xml:space="preserve"> </w:t>
      </w:r>
      <w:r>
        <w:t>x</w:t>
      </w:r>
      <w:r>
        <w:rPr>
          <w:spacing w:val="37"/>
        </w:rPr>
        <w:t xml:space="preserve"> </w:t>
      </w:r>
      <w:r>
        <w:t>who</w:t>
      </w:r>
      <w:r>
        <w:rPr>
          <w:spacing w:val="37"/>
        </w:rPr>
        <w:t xml:space="preserve"> </w:t>
      </w:r>
      <w:r>
        <w:t>lives</w:t>
      </w:r>
      <w:r>
        <w:rPr>
          <w:spacing w:val="37"/>
        </w:rPr>
        <w:t xml:space="preserve"> </w:t>
      </w:r>
      <w:r>
        <w:t>on</w:t>
      </w:r>
      <w:r>
        <w:rPr>
          <w:spacing w:val="37"/>
        </w:rPr>
        <w:t xml:space="preserve"> </w:t>
      </w:r>
      <w:r>
        <w:t>Mt.</w:t>
      </w:r>
      <w:r>
        <w:rPr>
          <w:spacing w:val="37"/>
        </w:rPr>
        <w:t xml:space="preserve"> </w:t>
      </w:r>
      <w:r>
        <w:t>Olympus</w:t>
      </w:r>
      <w:r>
        <w:rPr>
          <w:spacing w:val="36"/>
        </w:rPr>
        <w:t xml:space="preserve"> </w:t>
      </w:r>
      <w:r>
        <w:t>and</w:t>
      </w:r>
      <w:r>
        <w:rPr>
          <w:spacing w:val="37"/>
        </w:rPr>
        <w:t xml:space="preserve"> </w:t>
      </w:r>
      <w:r>
        <w:t>hurls</w:t>
      </w:r>
      <w:r>
        <w:rPr>
          <w:spacing w:val="37"/>
        </w:rPr>
        <w:t xml:space="preserve"> </w:t>
      </w:r>
      <w:r>
        <w:t>lighting bolts (etc.); moreover, x is responsible for both misfortunes</w:t>
      </w:r>
    </w:p>
    <w:p w14:paraId="7E001377" w14:textId="77777777" w:rsidR="009A58DB" w:rsidRDefault="009A58DB">
      <w:pPr>
        <w:pStyle w:val="BodyText"/>
        <w:spacing w:before="17"/>
        <w:ind w:left="0"/>
        <w:jc w:val="left"/>
      </w:pPr>
    </w:p>
    <w:p w14:paraId="7E001378" w14:textId="77777777" w:rsidR="009A58DB" w:rsidRDefault="00000000">
      <w:pPr>
        <w:pStyle w:val="BodyText"/>
        <w:jc w:val="left"/>
      </w:pPr>
      <w:r>
        <w:t>the</w:t>
      </w:r>
      <w:r>
        <w:rPr>
          <w:spacing w:val="-6"/>
        </w:rPr>
        <w:t xml:space="preserve"> </w:t>
      </w:r>
      <w:r>
        <w:t>same</w:t>
      </w:r>
      <w:r>
        <w:rPr>
          <w:spacing w:val="-3"/>
        </w:rPr>
        <w:t xml:space="preserve"> </w:t>
      </w:r>
      <w:r>
        <w:t>being</w:t>
      </w:r>
      <w:r>
        <w:rPr>
          <w:spacing w:val="-3"/>
        </w:rPr>
        <w:t xml:space="preserve"> </w:t>
      </w:r>
      <w:r>
        <w:t>true</w:t>
      </w:r>
      <w:r>
        <w:rPr>
          <w:spacing w:val="-3"/>
        </w:rPr>
        <w:t xml:space="preserve"> </w:t>
      </w:r>
      <w:r>
        <w:t>of</w:t>
      </w:r>
      <w:r>
        <w:rPr>
          <w:spacing w:val="-4"/>
        </w:rPr>
        <w:t xml:space="preserve"> </w:t>
      </w:r>
      <w:r>
        <w:t>Jones’</w:t>
      </w:r>
      <w:r>
        <w:rPr>
          <w:spacing w:val="-3"/>
        </w:rPr>
        <w:t xml:space="preserve"> </w:t>
      </w:r>
      <w:r>
        <w:t>corresponding</w:t>
      </w:r>
      <w:r>
        <w:rPr>
          <w:spacing w:val="-2"/>
        </w:rPr>
        <w:t xml:space="preserve"> belief.</w:t>
      </w:r>
    </w:p>
    <w:p w14:paraId="7E001379" w14:textId="77777777" w:rsidR="009A58DB" w:rsidRDefault="009A58DB">
      <w:pPr>
        <w:pStyle w:val="BodyText"/>
        <w:jc w:val="left"/>
        <w:sectPr w:rsidR="009A58DB">
          <w:pgSz w:w="12240" w:h="15840"/>
          <w:pgMar w:top="1740" w:right="1080" w:bottom="280" w:left="1080" w:header="720" w:footer="720" w:gutter="0"/>
          <w:cols w:space="720"/>
        </w:sectPr>
      </w:pPr>
    </w:p>
    <w:p w14:paraId="7E00137A" w14:textId="77777777" w:rsidR="009A58DB" w:rsidRDefault="00000000">
      <w:pPr>
        <w:pStyle w:val="BodyText"/>
        <w:spacing w:before="65" w:line="249" w:lineRule="auto"/>
        <w:ind w:right="362" w:firstLine="360"/>
      </w:pPr>
      <w:r>
        <w:lastRenderedPageBreak/>
        <w:t>And the statement that Smith and Jones “believe some one deity [etc.] to be responsible for Smith’s headache and the disappearance of Jones’ car” is just a loose way of saying that Jones and Smith both accept ZMF.</w:t>
      </w:r>
    </w:p>
    <w:p w14:paraId="7E00137B" w14:textId="77777777" w:rsidR="009A58DB" w:rsidRDefault="00000000">
      <w:pPr>
        <w:pStyle w:val="BodyText"/>
        <w:spacing w:before="3" w:line="249" w:lineRule="auto"/>
        <w:ind w:right="360" w:firstLine="360"/>
      </w:pPr>
      <w:r>
        <w:t xml:space="preserve">If there is no Zeus, there is no one entity that Smith and Jones both blame for these misfortunes. Each individual may </w:t>
      </w:r>
      <w:r>
        <w:rPr>
          <w:i/>
        </w:rPr>
        <w:t xml:space="preserve">think </w:t>
      </w:r>
      <w:r>
        <w:t xml:space="preserve">that he and the other are both blaming some one deity. But they’re wrong. And (1#) is either false or it’s a misleading way of saying that Jones accepts ZMF and so does Smith. Salmon’s argument therefore fails </w:t>
      </w:r>
      <w:r>
        <w:rPr>
          <w:i/>
        </w:rPr>
        <w:t>unless</w:t>
      </w:r>
      <w:r>
        <w:rPr>
          <w:i/>
          <w:spacing w:val="-3"/>
        </w:rPr>
        <w:t xml:space="preserve"> </w:t>
      </w:r>
      <w:r>
        <w:t>it’s assumed that Zeus exists. But if this is assumed, the argument assumes the truth of its conclusion and is therefore broken.</w:t>
      </w:r>
    </w:p>
    <w:p w14:paraId="7E00137C" w14:textId="77777777" w:rsidR="009A58DB" w:rsidRDefault="00000000">
      <w:pPr>
        <w:pStyle w:val="Heading1"/>
        <w:spacing w:before="197" w:line="244" w:lineRule="auto"/>
        <w:ind w:left="360" w:firstLine="0"/>
      </w:pPr>
      <w:r>
        <w:t>4.0</w:t>
      </w:r>
      <w:r>
        <w:rPr>
          <w:spacing w:val="80"/>
          <w:w w:val="150"/>
        </w:rPr>
        <w:t xml:space="preserve"> </w:t>
      </w:r>
      <w:r>
        <w:t>Natural</w:t>
      </w:r>
      <w:r>
        <w:rPr>
          <w:spacing w:val="80"/>
          <w:w w:val="150"/>
        </w:rPr>
        <w:t xml:space="preserve"> </w:t>
      </w:r>
      <w:r>
        <w:t>kinds</w:t>
      </w:r>
      <w:r>
        <w:rPr>
          <w:spacing w:val="80"/>
          <w:w w:val="150"/>
        </w:rPr>
        <w:t xml:space="preserve"> </w:t>
      </w:r>
      <w:r>
        <w:t>and</w:t>
      </w:r>
      <w:r>
        <w:rPr>
          <w:spacing w:val="80"/>
          <w:w w:val="150"/>
        </w:rPr>
        <w:t xml:space="preserve"> </w:t>
      </w:r>
      <w:r>
        <w:t>the</w:t>
      </w:r>
      <w:r>
        <w:rPr>
          <w:spacing w:val="80"/>
          <w:w w:val="150"/>
        </w:rPr>
        <w:t xml:space="preserve"> </w:t>
      </w:r>
      <w:r>
        <w:t>modality</w:t>
      </w:r>
      <w:r>
        <w:rPr>
          <w:spacing w:val="80"/>
          <w:w w:val="150"/>
        </w:rPr>
        <w:t xml:space="preserve"> </w:t>
      </w:r>
      <w:r>
        <w:t>of</w:t>
      </w:r>
      <w:r>
        <w:rPr>
          <w:spacing w:val="80"/>
          <w:w w:val="150"/>
        </w:rPr>
        <w:t xml:space="preserve"> </w:t>
      </w:r>
      <w:r>
        <w:t>identity-</w:t>
      </w:r>
      <w:r>
        <w:rPr>
          <w:spacing w:val="-2"/>
        </w:rPr>
        <w:t>claims</w:t>
      </w:r>
    </w:p>
    <w:p w14:paraId="7E00137D" w14:textId="77777777" w:rsidR="009A58DB" w:rsidRDefault="00000000">
      <w:pPr>
        <w:pStyle w:val="BodyText"/>
        <w:spacing w:before="132"/>
        <w:jc w:val="left"/>
      </w:pPr>
      <w:r>
        <w:t>Consider</w:t>
      </w:r>
      <w:r>
        <w:rPr>
          <w:spacing w:val="-4"/>
        </w:rPr>
        <w:t xml:space="preserve"> </w:t>
      </w:r>
      <w:r>
        <w:t>the</w:t>
      </w:r>
      <w:r>
        <w:rPr>
          <w:spacing w:val="-3"/>
        </w:rPr>
        <w:t xml:space="preserve"> </w:t>
      </w:r>
      <w:r>
        <w:rPr>
          <w:spacing w:val="-2"/>
        </w:rPr>
        <w:t>statement:</w:t>
      </w:r>
    </w:p>
    <w:p w14:paraId="7E00137E" w14:textId="77777777" w:rsidR="009A58DB" w:rsidRDefault="009A58DB">
      <w:pPr>
        <w:pStyle w:val="BodyText"/>
        <w:spacing w:before="30"/>
        <w:ind w:left="0"/>
        <w:jc w:val="left"/>
      </w:pPr>
    </w:p>
    <w:p w14:paraId="7E00137F" w14:textId="77777777" w:rsidR="009A58DB" w:rsidRDefault="00000000">
      <w:pPr>
        <w:pStyle w:val="BodyText"/>
        <w:jc w:val="left"/>
      </w:pPr>
      <w:r>
        <w:t>(WH)</w:t>
      </w:r>
      <w:r>
        <w:rPr>
          <w:spacing w:val="-4"/>
        </w:rPr>
        <w:t xml:space="preserve"> </w:t>
      </w:r>
      <w:r>
        <w:t>“water</w:t>
      </w:r>
      <w:r>
        <w:rPr>
          <w:spacing w:val="-4"/>
        </w:rPr>
        <w:t xml:space="preserve"> </w:t>
      </w:r>
      <w:r>
        <w:t>is</w:t>
      </w:r>
      <w:r>
        <w:rPr>
          <w:spacing w:val="-4"/>
        </w:rPr>
        <w:t xml:space="preserve"> H</w:t>
      </w:r>
      <w:r>
        <w:rPr>
          <w:spacing w:val="-4"/>
          <w:vertAlign w:val="subscript"/>
        </w:rPr>
        <w:t>2</w:t>
      </w:r>
      <w:r>
        <w:rPr>
          <w:spacing w:val="-4"/>
        </w:rPr>
        <w:t>O.”</w:t>
      </w:r>
    </w:p>
    <w:p w14:paraId="7E001380" w14:textId="77777777" w:rsidR="009A58DB" w:rsidRDefault="009A58DB">
      <w:pPr>
        <w:pStyle w:val="BodyText"/>
        <w:spacing w:before="90"/>
        <w:ind w:left="0"/>
        <w:jc w:val="left"/>
      </w:pPr>
    </w:p>
    <w:p w14:paraId="7E001381" w14:textId="77777777" w:rsidR="009A58DB" w:rsidRDefault="00000000">
      <w:pPr>
        <w:pStyle w:val="BodyText"/>
        <w:spacing w:line="249" w:lineRule="auto"/>
        <w:jc w:val="left"/>
      </w:pPr>
      <w:r>
        <w:t xml:space="preserve">According to Kripke, WH encodes a necessary a posteriori truth. Here is his </w:t>
      </w:r>
      <w:r>
        <w:rPr>
          <w:spacing w:val="-2"/>
        </w:rPr>
        <w:t>argument.</w:t>
      </w:r>
    </w:p>
    <w:p w14:paraId="7E001382" w14:textId="77777777" w:rsidR="009A58DB" w:rsidRDefault="009A58DB">
      <w:pPr>
        <w:pStyle w:val="BodyText"/>
        <w:spacing w:before="17"/>
        <w:ind w:left="0"/>
        <w:jc w:val="left"/>
      </w:pPr>
    </w:p>
    <w:p w14:paraId="7E001383" w14:textId="77777777" w:rsidR="009A58DB" w:rsidRDefault="00000000">
      <w:pPr>
        <w:pStyle w:val="BodyText"/>
        <w:spacing w:line="249" w:lineRule="auto"/>
        <w:ind w:left="720" w:right="360"/>
      </w:pPr>
      <w:r>
        <w:t>(K</w:t>
      </w:r>
      <w:bookmarkStart w:id="257" w:name="_bookmark257"/>
      <w:bookmarkEnd w:id="257"/>
      <w:r>
        <w:t>A</w:t>
      </w:r>
      <w:r>
        <w:rPr>
          <w:color w:val="0562C1"/>
          <w:position w:val="21"/>
          <w:u w:val="single" w:color="0562C1"/>
        </w:rPr>
        <w:t>[162]</w:t>
      </w:r>
      <w:r>
        <w:t>) It obviously can’t be known a priori that water is H</w:t>
      </w:r>
      <w:r>
        <w:rPr>
          <w:position w:val="-7"/>
          <w:sz w:val="22"/>
        </w:rPr>
        <w:t>2</w:t>
      </w:r>
      <w:r>
        <w:t>O. Look at a glass of water. Can it be known through “pure reason” or through sheer logic</w:t>
      </w:r>
      <w:r>
        <w:rPr>
          <w:spacing w:val="56"/>
        </w:rPr>
        <w:t xml:space="preserve"> </w:t>
      </w:r>
      <w:r>
        <w:t>chopping</w:t>
      </w:r>
      <w:r>
        <w:rPr>
          <w:spacing w:val="57"/>
        </w:rPr>
        <w:t xml:space="preserve"> </w:t>
      </w:r>
      <w:r>
        <w:t>that</w:t>
      </w:r>
      <w:r>
        <w:rPr>
          <w:spacing w:val="56"/>
        </w:rPr>
        <w:t xml:space="preserve"> </w:t>
      </w:r>
      <w:r>
        <w:t>it</w:t>
      </w:r>
      <w:r>
        <w:rPr>
          <w:spacing w:val="57"/>
        </w:rPr>
        <w:t xml:space="preserve"> </w:t>
      </w:r>
      <w:r>
        <w:t>consists</w:t>
      </w:r>
      <w:r>
        <w:rPr>
          <w:spacing w:val="56"/>
        </w:rPr>
        <w:t xml:space="preserve"> </w:t>
      </w:r>
      <w:r>
        <w:t>of</w:t>
      </w:r>
      <w:r>
        <w:rPr>
          <w:spacing w:val="57"/>
        </w:rPr>
        <w:t xml:space="preserve"> </w:t>
      </w:r>
      <w:r>
        <w:t>H</w:t>
      </w:r>
      <w:r>
        <w:rPr>
          <w:vertAlign w:val="subscript"/>
        </w:rPr>
        <w:t>2</w:t>
      </w:r>
      <w:r>
        <w:t>O</w:t>
      </w:r>
      <w:r>
        <w:rPr>
          <w:spacing w:val="57"/>
        </w:rPr>
        <w:t xml:space="preserve"> </w:t>
      </w:r>
      <w:r>
        <w:t>molecules?</w:t>
      </w:r>
      <w:r>
        <w:rPr>
          <w:spacing w:val="56"/>
        </w:rPr>
        <w:t xml:space="preserve"> </w:t>
      </w:r>
      <w:r>
        <w:t>No!</w:t>
      </w:r>
      <w:r>
        <w:rPr>
          <w:spacing w:val="57"/>
        </w:rPr>
        <w:t xml:space="preserve"> </w:t>
      </w:r>
      <w:r>
        <w:t>Thus,</w:t>
      </w:r>
      <w:r>
        <w:rPr>
          <w:spacing w:val="56"/>
        </w:rPr>
        <w:t xml:space="preserve"> </w:t>
      </w:r>
      <w:r>
        <w:t>WH</w:t>
      </w:r>
      <w:r>
        <w:rPr>
          <w:spacing w:val="57"/>
        </w:rPr>
        <w:t xml:space="preserve"> </w:t>
      </w:r>
      <w:r>
        <w:t>is</w:t>
      </w:r>
      <w:r>
        <w:rPr>
          <w:spacing w:val="56"/>
        </w:rPr>
        <w:t xml:space="preserve"> </w:t>
      </w:r>
      <w:r>
        <w:rPr>
          <w:spacing w:val="-10"/>
        </w:rPr>
        <w:t>a</w:t>
      </w:r>
    </w:p>
    <w:p w14:paraId="7E001384" w14:textId="77777777" w:rsidR="009A58DB" w:rsidRDefault="00000000">
      <w:pPr>
        <w:pStyle w:val="BodyText"/>
        <w:spacing w:before="61"/>
        <w:ind w:left="720"/>
        <w:jc w:val="left"/>
      </w:pPr>
      <w:r>
        <w:rPr>
          <w:spacing w:val="-2"/>
        </w:rPr>
        <w:t>posteriori.</w:t>
      </w:r>
    </w:p>
    <w:p w14:paraId="7E001385" w14:textId="77777777" w:rsidR="009A58DB" w:rsidRDefault="00000000">
      <w:pPr>
        <w:pStyle w:val="BodyText"/>
        <w:spacing w:before="15" w:line="271" w:lineRule="auto"/>
        <w:ind w:left="720" w:right="366" w:firstLine="360"/>
      </w:pPr>
      <w:r>
        <w:t>We’ve discovered that water is H</w:t>
      </w:r>
      <w:r>
        <w:rPr>
          <w:vertAlign w:val="subscript"/>
        </w:rPr>
        <w:t>2</w:t>
      </w:r>
      <w:r>
        <w:t>O. Given this, suppose that we discovered some substance that was macroscopically just like water, but upon</w:t>
      </w:r>
      <w:r>
        <w:rPr>
          <w:spacing w:val="47"/>
        </w:rPr>
        <w:t xml:space="preserve"> </w:t>
      </w:r>
      <w:r>
        <w:t>examination</w:t>
      </w:r>
      <w:r>
        <w:rPr>
          <w:spacing w:val="47"/>
        </w:rPr>
        <w:t xml:space="preserve"> </w:t>
      </w:r>
      <w:r>
        <w:t>turned</w:t>
      </w:r>
      <w:r>
        <w:rPr>
          <w:spacing w:val="46"/>
        </w:rPr>
        <w:t xml:space="preserve"> </w:t>
      </w:r>
      <w:r>
        <w:t>out</w:t>
      </w:r>
      <w:r>
        <w:rPr>
          <w:spacing w:val="46"/>
        </w:rPr>
        <w:t xml:space="preserve"> </w:t>
      </w:r>
      <w:r>
        <w:t>not</w:t>
      </w:r>
      <w:r>
        <w:rPr>
          <w:spacing w:val="46"/>
        </w:rPr>
        <w:t xml:space="preserve"> </w:t>
      </w:r>
      <w:r>
        <w:t>to</w:t>
      </w:r>
      <w:r>
        <w:rPr>
          <w:spacing w:val="47"/>
        </w:rPr>
        <w:t xml:space="preserve"> </w:t>
      </w:r>
      <w:r>
        <w:t>be</w:t>
      </w:r>
      <w:r>
        <w:rPr>
          <w:spacing w:val="47"/>
        </w:rPr>
        <w:t xml:space="preserve"> </w:t>
      </w:r>
      <w:r>
        <w:t>H</w:t>
      </w:r>
      <w:r>
        <w:rPr>
          <w:vertAlign w:val="subscript"/>
        </w:rPr>
        <w:t>2</w:t>
      </w:r>
      <w:r>
        <w:t>O.</w:t>
      </w:r>
      <w:r>
        <w:rPr>
          <w:spacing w:val="47"/>
        </w:rPr>
        <w:t xml:space="preserve"> </w:t>
      </w:r>
      <w:r>
        <w:t>Would</w:t>
      </w:r>
      <w:r>
        <w:rPr>
          <w:spacing w:val="47"/>
        </w:rPr>
        <w:t xml:space="preserve"> </w:t>
      </w:r>
      <w:r>
        <w:t>we</w:t>
      </w:r>
      <w:r>
        <w:rPr>
          <w:spacing w:val="47"/>
        </w:rPr>
        <w:t xml:space="preserve"> </w:t>
      </w:r>
      <w:r>
        <w:t>say</w:t>
      </w:r>
      <w:r>
        <w:rPr>
          <w:spacing w:val="47"/>
        </w:rPr>
        <w:t xml:space="preserve"> </w:t>
      </w:r>
      <w:r>
        <w:t>that</w:t>
      </w:r>
      <w:r>
        <w:rPr>
          <w:spacing w:val="47"/>
        </w:rPr>
        <w:t xml:space="preserve"> </w:t>
      </w:r>
      <w:r>
        <w:t>it</w:t>
      </w:r>
      <w:r>
        <w:rPr>
          <w:spacing w:val="47"/>
        </w:rPr>
        <w:t xml:space="preserve"> </w:t>
      </w:r>
      <w:r>
        <w:rPr>
          <w:spacing w:val="-5"/>
        </w:rPr>
        <w:t>was</w:t>
      </w:r>
    </w:p>
    <w:p w14:paraId="7E001386" w14:textId="77777777" w:rsidR="009A58DB" w:rsidRDefault="00000000">
      <w:pPr>
        <w:pStyle w:val="BodyText"/>
        <w:spacing w:before="31" w:line="271" w:lineRule="auto"/>
        <w:ind w:left="720" w:right="358"/>
      </w:pPr>
      <w:r>
        <w:t xml:space="preserve">water? Would we say that water </w:t>
      </w:r>
      <w:r>
        <w:rPr>
          <w:i/>
        </w:rPr>
        <w:t xml:space="preserve">can </w:t>
      </w:r>
      <w:r>
        <w:t>be something other than H</w:t>
      </w:r>
      <w:r>
        <w:rPr>
          <w:vertAlign w:val="subscript"/>
        </w:rPr>
        <w:t>2</w:t>
      </w:r>
      <w:r>
        <w:t xml:space="preserve">O? No. We’d say that we had discovered a water imposter. Since, therefore, water </w:t>
      </w:r>
      <w:r>
        <w:rPr>
          <w:i/>
        </w:rPr>
        <w:t xml:space="preserve">must </w:t>
      </w:r>
      <w:r>
        <w:t>be H</w:t>
      </w:r>
      <w:r>
        <w:rPr>
          <w:vertAlign w:val="subscript"/>
        </w:rPr>
        <w:t>2</w:t>
      </w:r>
      <w:r>
        <w:t>O, WH is necessary, while also being a posteriori.</w:t>
      </w:r>
    </w:p>
    <w:p w14:paraId="7E001387" w14:textId="77777777" w:rsidR="009A58DB" w:rsidRDefault="00000000">
      <w:pPr>
        <w:pStyle w:val="Heading1"/>
        <w:spacing w:before="233"/>
        <w:ind w:left="360" w:firstLine="0"/>
      </w:pPr>
      <w:r>
        <w:t>4.1</w:t>
      </w:r>
      <w:r>
        <w:rPr>
          <w:spacing w:val="-3"/>
        </w:rPr>
        <w:t xml:space="preserve"> </w:t>
      </w:r>
      <w:r>
        <w:t>Evaluating</w:t>
      </w:r>
      <w:r>
        <w:rPr>
          <w:spacing w:val="-3"/>
        </w:rPr>
        <w:t xml:space="preserve"> </w:t>
      </w:r>
      <w:r>
        <w:rPr>
          <w:spacing w:val="-5"/>
        </w:rPr>
        <w:t>KA</w:t>
      </w:r>
    </w:p>
    <w:p w14:paraId="7E001388" w14:textId="77777777" w:rsidR="009A58DB" w:rsidRDefault="00000000">
      <w:pPr>
        <w:pStyle w:val="BodyText"/>
        <w:spacing w:before="139"/>
        <w:jc w:val="left"/>
      </w:pPr>
      <w:r>
        <w:t>There</w:t>
      </w:r>
      <w:r>
        <w:rPr>
          <w:spacing w:val="19"/>
        </w:rPr>
        <w:t xml:space="preserve"> </w:t>
      </w:r>
      <w:r>
        <w:t>is</w:t>
      </w:r>
      <w:r>
        <w:rPr>
          <w:spacing w:val="22"/>
        </w:rPr>
        <w:t xml:space="preserve"> </w:t>
      </w:r>
      <w:r>
        <w:t>much</w:t>
      </w:r>
      <w:r>
        <w:rPr>
          <w:spacing w:val="21"/>
        </w:rPr>
        <w:t xml:space="preserve"> </w:t>
      </w:r>
      <w:r>
        <w:t>that</w:t>
      </w:r>
      <w:r>
        <w:rPr>
          <w:spacing w:val="22"/>
        </w:rPr>
        <w:t xml:space="preserve"> </w:t>
      </w:r>
      <w:r>
        <w:t>is</w:t>
      </w:r>
      <w:r>
        <w:rPr>
          <w:spacing w:val="22"/>
        </w:rPr>
        <w:t xml:space="preserve"> </w:t>
      </w:r>
      <w:r>
        <w:t>right</w:t>
      </w:r>
      <w:r>
        <w:rPr>
          <w:spacing w:val="21"/>
        </w:rPr>
        <w:t xml:space="preserve"> </w:t>
      </w:r>
      <w:r>
        <w:t>in</w:t>
      </w:r>
      <w:r>
        <w:rPr>
          <w:spacing w:val="22"/>
        </w:rPr>
        <w:t xml:space="preserve"> </w:t>
      </w:r>
      <w:r>
        <w:t>this</w:t>
      </w:r>
      <w:r>
        <w:rPr>
          <w:spacing w:val="21"/>
        </w:rPr>
        <w:t xml:space="preserve"> </w:t>
      </w:r>
      <w:r>
        <w:t>argument.</w:t>
      </w:r>
      <w:r>
        <w:rPr>
          <w:spacing w:val="22"/>
        </w:rPr>
        <w:t xml:space="preserve"> </w:t>
      </w:r>
      <w:r>
        <w:t>Consider</w:t>
      </w:r>
      <w:r>
        <w:rPr>
          <w:spacing w:val="22"/>
        </w:rPr>
        <w:t xml:space="preserve"> </w:t>
      </w:r>
      <w:r>
        <w:t>the</w:t>
      </w:r>
      <w:r>
        <w:rPr>
          <w:spacing w:val="21"/>
        </w:rPr>
        <w:t xml:space="preserve"> </w:t>
      </w:r>
      <w:r>
        <w:t>substance</w:t>
      </w:r>
      <w:r>
        <w:rPr>
          <w:spacing w:val="22"/>
        </w:rPr>
        <w:t xml:space="preserve"> </w:t>
      </w:r>
      <w:r>
        <w:t>that</w:t>
      </w:r>
      <w:r>
        <w:rPr>
          <w:spacing w:val="22"/>
        </w:rPr>
        <w:t xml:space="preserve"> </w:t>
      </w:r>
      <w:r>
        <w:rPr>
          <w:spacing w:val="-5"/>
        </w:rPr>
        <w:t>we</w:t>
      </w:r>
    </w:p>
    <w:p w14:paraId="7E001389" w14:textId="77777777" w:rsidR="009A58DB" w:rsidRDefault="009A58DB">
      <w:pPr>
        <w:pStyle w:val="BodyText"/>
        <w:jc w:val="left"/>
        <w:sectPr w:rsidR="009A58DB">
          <w:pgSz w:w="12240" w:h="15840"/>
          <w:pgMar w:top="1380" w:right="1080" w:bottom="280" w:left="1080" w:header="720" w:footer="720" w:gutter="0"/>
          <w:cols w:space="720"/>
        </w:sectPr>
      </w:pPr>
    </w:p>
    <w:p w14:paraId="7E00138A" w14:textId="77777777" w:rsidR="009A58DB" w:rsidRDefault="00000000">
      <w:pPr>
        <w:pStyle w:val="BodyText"/>
        <w:spacing w:before="70" w:line="271" w:lineRule="auto"/>
        <w:ind w:right="360"/>
      </w:pPr>
      <w:r>
        <w:lastRenderedPageBreak/>
        <w:t xml:space="preserve">bathe in, drink, etc. </w:t>
      </w:r>
      <w:r>
        <w:rPr>
          <w:i/>
        </w:rPr>
        <w:t>If</w:t>
      </w:r>
      <w:r>
        <w:rPr>
          <w:i/>
          <w:spacing w:val="-1"/>
        </w:rPr>
        <w:t xml:space="preserve"> </w:t>
      </w:r>
      <w:r>
        <w:t>that substance is in fact H</w:t>
      </w:r>
      <w:r>
        <w:rPr>
          <w:vertAlign w:val="subscript"/>
        </w:rPr>
        <w:t>2</w:t>
      </w:r>
      <w:r>
        <w:t xml:space="preserve">O, it couldn’t </w:t>
      </w:r>
      <w:r>
        <w:rPr>
          <w:i/>
        </w:rPr>
        <w:t>fail</w:t>
      </w:r>
      <w:r>
        <w:rPr>
          <w:i/>
          <w:spacing w:val="-1"/>
        </w:rPr>
        <w:t xml:space="preserve"> </w:t>
      </w:r>
      <w:r>
        <w:t>to be H</w:t>
      </w:r>
      <w:r>
        <w:rPr>
          <w:vertAlign w:val="subscript"/>
        </w:rPr>
        <w:t>2</w:t>
      </w:r>
      <w:r>
        <w:t>O. And, just as Kripke says, you can’t have a priori knowledge of the chemical composition of the liquid you bathe in.</w:t>
      </w:r>
    </w:p>
    <w:p w14:paraId="7E00138B" w14:textId="77777777" w:rsidR="009A58DB" w:rsidRDefault="00000000">
      <w:pPr>
        <w:pStyle w:val="BodyText"/>
        <w:spacing w:line="310" w:lineRule="exact"/>
        <w:ind w:left="720"/>
      </w:pPr>
      <w:r>
        <w:t>But,</w:t>
      </w:r>
      <w:r>
        <w:rPr>
          <w:spacing w:val="32"/>
        </w:rPr>
        <w:t xml:space="preserve"> </w:t>
      </w:r>
      <w:r>
        <w:t>contrary</w:t>
      </w:r>
      <w:r>
        <w:rPr>
          <w:spacing w:val="35"/>
        </w:rPr>
        <w:t xml:space="preserve"> </w:t>
      </w:r>
      <w:r>
        <w:t>to</w:t>
      </w:r>
      <w:r>
        <w:rPr>
          <w:spacing w:val="34"/>
        </w:rPr>
        <w:t xml:space="preserve"> </w:t>
      </w:r>
      <w:r>
        <w:t>what</w:t>
      </w:r>
      <w:r>
        <w:rPr>
          <w:spacing w:val="35"/>
        </w:rPr>
        <w:t xml:space="preserve"> </w:t>
      </w:r>
      <w:r>
        <w:t>Kripke</w:t>
      </w:r>
      <w:r>
        <w:rPr>
          <w:spacing w:val="34"/>
        </w:rPr>
        <w:t xml:space="preserve"> </w:t>
      </w:r>
      <w:r>
        <w:t>thinks,</w:t>
      </w:r>
      <w:r>
        <w:rPr>
          <w:spacing w:val="35"/>
        </w:rPr>
        <w:t xml:space="preserve"> </w:t>
      </w:r>
      <w:r>
        <w:t>it</w:t>
      </w:r>
      <w:r>
        <w:rPr>
          <w:spacing w:val="34"/>
        </w:rPr>
        <w:t xml:space="preserve"> </w:t>
      </w:r>
      <w:r>
        <w:t>doesn’t</w:t>
      </w:r>
      <w:r>
        <w:rPr>
          <w:spacing w:val="35"/>
        </w:rPr>
        <w:t xml:space="preserve"> </w:t>
      </w:r>
      <w:r>
        <w:t>follow</w:t>
      </w:r>
      <w:r>
        <w:rPr>
          <w:spacing w:val="34"/>
        </w:rPr>
        <w:t xml:space="preserve"> </w:t>
      </w:r>
      <w:r>
        <w:t>that</w:t>
      </w:r>
      <w:r>
        <w:rPr>
          <w:spacing w:val="35"/>
        </w:rPr>
        <w:t xml:space="preserve"> </w:t>
      </w:r>
      <w:r>
        <w:t>there</w:t>
      </w:r>
      <w:r>
        <w:rPr>
          <w:spacing w:val="34"/>
        </w:rPr>
        <w:t xml:space="preserve"> </w:t>
      </w:r>
      <w:r>
        <w:t>are</w:t>
      </w:r>
      <w:r>
        <w:rPr>
          <w:spacing w:val="35"/>
        </w:rPr>
        <w:t xml:space="preserve"> </w:t>
      </w:r>
      <w:r>
        <w:rPr>
          <w:spacing w:val="-5"/>
        </w:rPr>
        <w:t>any</w:t>
      </w:r>
    </w:p>
    <w:p w14:paraId="7E00138C" w14:textId="77777777" w:rsidR="009A58DB" w:rsidRDefault="00000000">
      <w:pPr>
        <w:pStyle w:val="BodyText"/>
        <w:spacing w:before="15" w:line="249" w:lineRule="auto"/>
        <w:ind w:right="358"/>
      </w:pPr>
      <w:r>
        <w:t>necessary a posteriori truths. The problem is that, as before, Kripke confuses semantics with pre-semantic information.</w:t>
      </w:r>
    </w:p>
    <w:p w14:paraId="7E00138D" w14:textId="77777777" w:rsidR="009A58DB" w:rsidRDefault="00000000">
      <w:pPr>
        <w:pStyle w:val="BodyText"/>
        <w:spacing w:before="2" w:line="249" w:lineRule="auto"/>
        <w:ind w:right="364" w:firstLine="360"/>
      </w:pPr>
      <w:r>
        <w:t>Let us suppose that, when you were a child, your father pointed to the liquid in your drinking cup and said “that’s water,” and he said the same</w:t>
      </w:r>
      <w:r>
        <w:rPr>
          <w:spacing w:val="40"/>
        </w:rPr>
        <w:t xml:space="preserve"> </w:t>
      </w:r>
      <w:r>
        <w:t xml:space="preserve">thing when pointing to the liquid in the bath you were about to step into, and so on. Kripke </w:t>
      </w:r>
      <w:r>
        <w:rPr>
          <w:i/>
        </w:rPr>
        <w:t xml:space="preserve">correctly </w:t>
      </w:r>
      <w:r>
        <w:t>says that:</w:t>
      </w:r>
    </w:p>
    <w:p w14:paraId="7E00138E" w14:textId="77777777" w:rsidR="009A58DB" w:rsidRDefault="009A58DB">
      <w:pPr>
        <w:pStyle w:val="BodyText"/>
        <w:spacing w:before="20"/>
        <w:ind w:left="0"/>
        <w:jc w:val="left"/>
      </w:pPr>
    </w:p>
    <w:p w14:paraId="7E00138F" w14:textId="77777777" w:rsidR="009A58DB" w:rsidRDefault="00000000">
      <w:pPr>
        <w:pStyle w:val="BodyText"/>
        <w:spacing w:line="292" w:lineRule="auto"/>
        <w:ind w:right="366"/>
      </w:pPr>
      <w:r>
        <w:t>(W</w:t>
      </w:r>
      <w:r>
        <w:rPr>
          <w:vertAlign w:val="subscript"/>
        </w:rPr>
        <w:t>0</w:t>
      </w:r>
      <w:r>
        <w:t>) “water” refers to anything that is a clear liquid in drinking cups, bathtubs, etc.</w:t>
      </w:r>
    </w:p>
    <w:p w14:paraId="7E001390" w14:textId="77777777" w:rsidR="009A58DB" w:rsidRDefault="00000000">
      <w:pPr>
        <w:pStyle w:val="BodyText"/>
        <w:spacing w:before="298" w:line="271" w:lineRule="auto"/>
        <w:ind w:right="357"/>
      </w:pPr>
      <w:r>
        <w:t xml:space="preserve">is </w:t>
      </w:r>
      <w:r>
        <w:rPr>
          <w:i/>
        </w:rPr>
        <w:t xml:space="preserve">false. </w:t>
      </w:r>
      <w:r>
        <w:t>There could, in principle, be liquids in bathtubs, drinking cups, etc. that weren’t H</w:t>
      </w:r>
      <w:r>
        <w:rPr>
          <w:vertAlign w:val="subscript"/>
        </w:rPr>
        <w:t>2</w:t>
      </w:r>
      <w:r>
        <w:t>O but in day-today contexts were macroscopically indistinguishable</w:t>
      </w:r>
      <w:r>
        <w:rPr>
          <w:spacing w:val="19"/>
        </w:rPr>
        <w:t xml:space="preserve"> </w:t>
      </w:r>
      <w:r>
        <w:t>from</w:t>
      </w:r>
      <w:r>
        <w:rPr>
          <w:spacing w:val="22"/>
        </w:rPr>
        <w:t xml:space="preserve"> </w:t>
      </w:r>
      <w:r>
        <w:t>water,</w:t>
      </w:r>
      <w:r>
        <w:rPr>
          <w:spacing w:val="22"/>
        </w:rPr>
        <w:t xml:space="preserve"> </w:t>
      </w:r>
      <w:r>
        <w:t>and</w:t>
      </w:r>
      <w:r>
        <w:rPr>
          <w:spacing w:val="22"/>
        </w:rPr>
        <w:t xml:space="preserve"> </w:t>
      </w:r>
      <w:r>
        <w:t>those</w:t>
      </w:r>
      <w:r>
        <w:rPr>
          <w:spacing w:val="22"/>
        </w:rPr>
        <w:t xml:space="preserve"> </w:t>
      </w:r>
      <w:r>
        <w:t>liquids</w:t>
      </w:r>
      <w:r>
        <w:rPr>
          <w:spacing w:val="22"/>
        </w:rPr>
        <w:t xml:space="preserve"> </w:t>
      </w:r>
      <w:r>
        <w:t>wouldn’t</w:t>
      </w:r>
      <w:r>
        <w:rPr>
          <w:spacing w:val="22"/>
        </w:rPr>
        <w:t xml:space="preserve"> </w:t>
      </w:r>
      <w:r>
        <w:t>be</w:t>
      </w:r>
      <w:r>
        <w:rPr>
          <w:spacing w:val="22"/>
        </w:rPr>
        <w:t xml:space="preserve"> </w:t>
      </w:r>
      <w:r>
        <w:t>water.</w:t>
      </w:r>
      <w:r>
        <w:rPr>
          <w:spacing w:val="22"/>
        </w:rPr>
        <w:t xml:space="preserve"> </w:t>
      </w:r>
      <w:r>
        <w:t>But</w:t>
      </w:r>
      <w:r>
        <w:rPr>
          <w:spacing w:val="22"/>
        </w:rPr>
        <w:t xml:space="preserve"> </w:t>
      </w:r>
      <w:r>
        <w:rPr>
          <w:spacing w:val="-4"/>
        </w:rPr>
        <w:t>your</w:t>
      </w:r>
    </w:p>
    <w:p w14:paraId="7E001391" w14:textId="77777777" w:rsidR="009A58DB" w:rsidRDefault="00000000">
      <w:pPr>
        <w:pStyle w:val="BodyText"/>
        <w:spacing w:line="316" w:lineRule="exact"/>
      </w:pPr>
      <w:r>
        <w:t>father</w:t>
      </w:r>
      <w:r>
        <w:rPr>
          <w:spacing w:val="77"/>
          <w:w w:val="150"/>
        </w:rPr>
        <w:t xml:space="preserve"> </w:t>
      </w:r>
      <w:r>
        <w:t>isn’t</w:t>
      </w:r>
      <w:r>
        <w:rPr>
          <w:spacing w:val="77"/>
          <w:w w:val="150"/>
        </w:rPr>
        <w:t xml:space="preserve"> </w:t>
      </w:r>
      <w:r>
        <w:rPr>
          <w:i/>
        </w:rPr>
        <w:t>mis</w:t>
      </w:r>
      <w:r>
        <w:t>-defining</w:t>
      </w:r>
      <w:r>
        <w:rPr>
          <w:spacing w:val="21"/>
        </w:rPr>
        <w:t xml:space="preserve">  </w:t>
      </w:r>
      <w:r>
        <w:t>“water.”</w:t>
      </w:r>
      <w:r>
        <w:rPr>
          <w:spacing w:val="22"/>
        </w:rPr>
        <w:t xml:space="preserve">  </w:t>
      </w:r>
      <w:r>
        <w:t>For</w:t>
      </w:r>
      <w:r>
        <w:rPr>
          <w:spacing w:val="21"/>
        </w:rPr>
        <w:t xml:space="preserve">  </w:t>
      </w:r>
      <w:r>
        <w:t>the</w:t>
      </w:r>
      <w:r>
        <w:rPr>
          <w:spacing w:val="22"/>
        </w:rPr>
        <w:t xml:space="preserve">  </w:t>
      </w:r>
      <w:r>
        <w:t>correct</w:t>
      </w:r>
      <w:r>
        <w:rPr>
          <w:spacing w:val="79"/>
          <w:w w:val="150"/>
        </w:rPr>
        <w:t xml:space="preserve"> </w:t>
      </w:r>
      <w:r>
        <w:t>interpretation</w:t>
      </w:r>
      <w:r>
        <w:rPr>
          <w:spacing w:val="21"/>
        </w:rPr>
        <w:t xml:space="preserve">  </w:t>
      </w:r>
      <w:r>
        <w:t>of</w:t>
      </w:r>
      <w:r>
        <w:rPr>
          <w:spacing w:val="22"/>
        </w:rPr>
        <w:t xml:space="preserve">  </w:t>
      </w:r>
      <w:r>
        <w:rPr>
          <w:spacing w:val="-5"/>
        </w:rPr>
        <w:t>his</w:t>
      </w:r>
    </w:p>
    <w:p w14:paraId="7E001392" w14:textId="77777777" w:rsidR="009A58DB" w:rsidRDefault="00000000">
      <w:pPr>
        <w:pStyle w:val="BodyText"/>
        <w:spacing w:before="16"/>
      </w:pPr>
      <w:r>
        <w:t>definition</w:t>
      </w:r>
      <w:r>
        <w:rPr>
          <w:spacing w:val="-4"/>
        </w:rPr>
        <w:t xml:space="preserve"> </w:t>
      </w:r>
      <w:r>
        <w:t>is</w:t>
      </w:r>
      <w:r>
        <w:rPr>
          <w:spacing w:val="-4"/>
        </w:rPr>
        <w:t xml:space="preserve"> this:</w:t>
      </w:r>
    </w:p>
    <w:p w14:paraId="7E001393" w14:textId="77777777" w:rsidR="009A58DB" w:rsidRDefault="009A58DB">
      <w:pPr>
        <w:pStyle w:val="BodyText"/>
        <w:spacing w:before="29"/>
        <w:ind w:left="0"/>
        <w:jc w:val="left"/>
      </w:pPr>
    </w:p>
    <w:p w14:paraId="7E001394" w14:textId="77777777" w:rsidR="009A58DB" w:rsidRDefault="00000000">
      <w:pPr>
        <w:pStyle w:val="BodyText"/>
        <w:spacing w:before="1" w:line="292" w:lineRule="auto"/>
        <w:ind w:right="365"/>
      </w:pPr>
      <w:r>
        <w:t>(W</w:t>
      </w:r>
      <w:r>
        <w:rPr>
          <w:vertAlign w:val="subscript"/>
        </w:rPr>
        <w:t>1</w:t>
      </w:r>
      <w:r>
        <w:t>) there is something x such that x is a clear liquid in drinking cups, bathtubs, etc., and “water” refers to x.</w:t>
      </w:r>
    </w:p>
    <w:p w14:paraId="7E001395" w14:textId="77777777" w:rsidR="009A58DB" w:rsidRDefault="00000000">
      <w:pPr>
        <w:pStyle w:val="BodyText"/>
        <w:spacing w:before="298" w:line="292" w:lineRule="auto"/>
        <w:ind w:right="360"/>
      </w:pPr>
      <w:r>
        <w:t>W</w:t>
      </w:r>
      <w:r>
        <w:rPr>
          <w:vertAlign w:val="subscript"/>
        </w:rPr>
        <w:t>0</w:t>
      </w:r>
      <w:r>
        <w:t xml:space="preserve"> has the false consequence that “water” would refer to </w:t>
      </w:r>
      <w:r>
        <w:rPr>
          <w:i/>
        </w:rPr>
        <w:t xml:space="preserve">anything </w:t>
      </w:r>
      <w:r>
        <w:t>that is a clear</w:t>
      </w:r>
      <w:r>
        <w:rPr>
          <w:spacing w:val="2"/>
        </w:rPr>
        <w:t xml:space="preserve"> </w:t>
      </w:r>
      <w:r>
        <w:t>liquid</w:t>
      </w:r>
      <w:r>
        <w:rPr>
          <w:spacing w:val="4"/>
        </w:rPr>
        <w:t xml:space="preserve"> </w:t>
      </w:r>
      <w:r>
        <w:t>in</w:t>
      </w:r>
      <w:r>
        <w:rPr>
          <w:spacing w:val="4"/>
        </w:rPr>
        <w:t xml:space="preserve"> </w:t>
      </w:r>
      <w:r>
        <w:t>bathtubs</w:t>
      </w:r>
      <w:r>
        <w:rPr>
          <w:spacing w:val="4"/>
        </w:rPr>
        <w:t xml:space="preserve"> </w:t>
      </w:r>
      <w:r>
        <w:t>(etc).</w:t>
      </w:r>
      <w:r>
        <w:rPr>
          <w:spacing w:val="3"/>
        </w:rPr>
        <w:t xml:space="preserve"> </w:t>
      </w:r>
      <w:r>
        <w:t>W</w:t>
      </w:r>
      <w:r>
        <w:rPr>
          <w:vertAlign w:val="subscript"/>
        </w:rPr>
        <w:t>1</w:t>
      </w:r>
      <w:r>
        <w:rPr>
          <w:spacing w:val="5"/>
        </w:rPr>
        <w:t xml:space="preserve"> </w:t>
      </w:r>
      <w:r>
        <w:t>doesn’t</w:t>
      </w:r>
      <w:r>
        <w:rPr>
          <w:spacing w:val="6"/>
        </w:rPr>
        <w:t xml:space="preserve"> </w:t>
      </w:r>
      <w:r>
        <w:t>have</w:t>
      </w:r>
      <w:r>
        <w:rPr>
          <w:spacing w:val="6"/>
        </w:rPr>
        <w:t xml:space="preserve"> </w:t>
      </w:r>
      <w:r>
        <w:t>this</w:t>
      </w:r>
      <w:r>
        <w:rPr>
          <w:spacing w:val="7"/>
        </w:rPr>
        <w:t xml:space="preserve"> </w:t>
      </w:r>
      <w:r>
        <w:t>consequence.</w:t>
      </w:r>
      <w:r>
        <w:rPr>
          <w:spacing w:val="7"/>
        </w:rPr>
        <w:t xml:space="preserve"> </w:t>
      </w:r>
      <w:r>
        <w:t>W</w:t>
      </w:r>
      <w:r>
        <w:rPr>
          <w:vertAlign w:val="subscript"/>
        </w:rPr>
        <w:t>1</w:t>
      </w:r>
      <w:r>
        <w:rPr>
          <w:spacing w:val="1"/>
        </w:rPr>
        <w:t xml:space="preserve"> </w:t>
      </w:r>
      <w:r>
        <w:t>says</w:t>
      </w:r>
      <w:r>
        <w:rPr>
          <w:spacing w:val="-1"/>
        </w:rPr>
        <w:t xml:space="preserve"> </w:t>
      </w:r>
      <w:r>
        <w:rPr>
          <w:spacing w:val="-4"/>
        </w:rPr>
        <w:t>that</w:t>
      </w:r>
    </w:p>
    <w:p w14:paraId="7E001396" w14:textId="77777777" w:rsidR="009A58DB" w:rsidRDefault="00000000">
      <w:pPr>
        <w:pStyle w:val="BodyText"/>
        <w:spacing w:line="249" w:lineRule="auto"/>
        <w:ind w:right="369"/>
      </w:pPr>
      <w:r>
        <w:t xml:space="preserve">there is a liquid x that </w:t>
      </w:r>
      <w:r>
        <w:rPr>
          <w:i/>
        </w:rPr>
        <w:t xml:space="preserve">as it happens </w:t>
      </w:r>
      <w:r>
        <w:t>is in bathtubs and is clear, etc., but may or may not necessarily be so, and “water” refers to that liquid.</w:t>
      </w:r>
    </w:p>
    <w:p w14:paraId="7E001397" w14:textId="77777777" w:rsidR="009A58DB" w:rsidRDefault="00000000">
      <w:pPr>
        <w:pStyle w:val="BodyText"/>
        <w:spacing w:before="1" w:line="271" w:lineRule="auto"/>
        <w:ind w:right="359" w:firstLine="360"/>
      </w:pPr>
      <w:r>
        <w:t>Let’s look at the fact that you learn what “water” refers to throughW</w:t>
      </w:r>
      <w:r>
        <w:rPr>
          <w:vertAlign w:val="subscript"/>
        </w:rPr>
        <w:t>1</w:t>
      </w:r>
      <w:r>
        <w:t>. W</w:t>
      </w:r>
      <w:r>
        <w:rPr>
          <w:vertAlign w:val="subscript"/>
        </w:rPr>
        <w:t>1</w:t>
      </w:r>
      <w:r>
        <w:t xml:space="preserve"> </w:t>
      </w:r>
      <w:r>
        <w:rPr>
          <w:i/>
        </w:rPr>
        <w:t xml:space="preserve">describes </w:t>
      </w:r>
      <w:r>
        <w:t>the referent of “water.” It says of this reference that, whatever it should</w:t>
      </w:r>
      <w:r>
        <w:rPr>
          <w:spacing w:val="14"/>
        </w:rPr>
        <w:t xml:space="preserve"> </w:t>
      </w:r>
      <w:r>
        <w:t>turn</w:t>
      </w:r>
      <w:r>
        <w:rPr>
          <w:spacing w:val="16"/>
        </w:rPr>
        <w:t xml:space="preserve"> </w:t>
      </w:r>
      <w:r>
        <w:t>out</w:t>
      </w:r>
      <w:r>
        <w:rPr>
          <w:spacing w:val="14"/>
        </w:rPr>
        <w:t xml:space="preserve"> </w:t>
      </w:r>
      <w:r>
        <w:t>to</w:t>
      </w:r>
      <w:r>
        <w:rPr>
          <w:spacing w:val="16"/>
        </w:rPr>
        <w:t xml:space="preserve"> </w:t>
      </w:r>
      <w:r>
        <w:t>be,</w:t>
      </w:r>
      <w:r>
        <w:rPr>
          <w:spacing w:val="15"/>
        </w:rPr>
        <w:t xml:space="preserve"> </w:t>
      </w:r>
      <w:r>
        <w:t>it</w:t>
      </w:r>
      <w:r>
        <w:rPr>
          <w:spacing w:val="14"/>
        </w:rPr>
        <w:t xml:space="preserve"> </w:t>
      </w:r>
      <w:r>
        <w:t>happens</w:t>
      </w:r>
      <w:r>
        <w:rPr>
          <w:spacing w:val="15"/>
        </w:rPr>
        <w:t xml:space="preserve"> </w:t>
      </w:r>
      <w:r>
        <w:t>right</w:t>
      </w:r>
      <w:r>
        <w:rPr>
          <w:spacing w:val="14"/>
        </w:rPr>
        <w:t xml:space="preserve"> </w:t>
      </w:r>
      <w:r>
        <w:t>now</w:t>
      </w:r>
      <w:r>
        <w:rPr>
          <w:spacing w:val="15"/>
        </w:rPr>
        <w:t xml:space="preserve"> </w:t>
      </w:r>
      <w:r>
        <w:t>to</w:t>
      </w:r>
      <w:r>
        <w:rPr>
          <w:spacing w:val="16"/>
        </w:rPr>
        <w:t xml:space="preserve"> </w:t>
      </w:r>
      <w:r>
        <w:t>be</w:t>
      </w:r>
      <w:r>
        <w:rPr>
          <w:spacing w:val="14"/>
        </w:rPr>
        <w:t xml:space="preserve"> </w:t>
      </w:r>
      <w:r>
        <w:t>the</w:t>
      </w:r>
      <w:r>
        <w:rPr>
          <w:spacing w:val="16"/>
        </w:rPr>
        <w:t xml:space="preserve"> </w:t>
      </w:r>
      <w:r>
        <w:t>clear</w:t>
      </w:r>
      <w:r>
        <w:rPr>
          <w:spacing w:val="14"/>
        </w:rPr>
        <w:t xml:space="preserve"> </w:t>
      </w:r>
      <w:r>
        <w:t>liquid</w:t>
      </w:r>
      <w:r>
        <w:rPr>
          <w:spacing w:val="16"/>
        </w:rPr>
        <w:t xml:space="preserve"> </w:t>
      </w:r>
      <w:r>
        <w:t>in</w:t>
      </w:r>
      <w:r>
        <w:rPr>
          <w:spacing w:val="16"/>
        </w:rPr>
        <w:t xml:space="preserve"> </w:t>
      </w:r>
      <w:r>
        <w:rPr>
          <w:spacing w:val="-2"/>
        </w:rPr>
        <w:t>bathtubs,</w:t>
      </w:r>
    </w:p>
    <w:p w14:paraId="7E001398" w14:textId="77777777" w:rsidR="009A58DB" w:rsidRDefault="00000000">
      <w:pPr>
        <w:pStyle w:val="BodyText"/>
        <w:spacing w:line="316" w:lineRule="exact"/>
      </w:pPr>
      <w:r>
        <w:t>etc.</w:t>
      </w:r>
      <w:r>
        <w:rPr>
          <w:spacing w:val="-5"/>
        </w:rPr>
        <w:t xml:space="preserve"> </w:t>
      </w:r>
      <w:r>
        <w:t>So</w:t>
      </w:r>
      <w:r>
        <w:rPr>
          <w:spacing w:val="-2"/>
        </w:rPr>
        <w:t xml:space="preserve"> </w:t>
      </w:r>
      <w:r>
        <w:t>it</w:t>
      </w:r>
      <w:r>
        <w:rPr>
          <w:spacing w:val="-3"/>
        </w:rPr>
        <w:t xml:space="preserve"> </w:t>
      </w:r>
      <w:r>
        <w:t>is</w:t>
      </w:r>
      <w:r>
        <w:rPr>
          <w:spacing w:val="-2"/>
        </w:rPr>
        <w:t xml:space="preserve"> </w:t>
      </w:r>
      <w:r>
        <w:rPr>
          <w:i/>
        </w:rPr>
        <w:t>through</w:t>
      </w:r>
      <w:r>
        <w:rPr>
          <w:i/>
          <w:spacing w:val="-2"/>
        </w:rPr>
        <w:t xml:space="preserve"> </w:t>
      </w:r>
      <w:r>
        <w:t>that</w:t>
      </w:r>
      <w:r>
        <w:rPr>
          <w:spacing w:val="1"/>
        </w:rPr>
        <w:t xml:space="preserve"> </w:t>
      </w:r>
      <w:r>
        <w:t>description,</w:t>
      </w:r>
      <w:r>
        <w:rPr>
          <w:spacing w:val="1"/>
        </w:rPr>
        <w:t xml:space="preserve"> </w:t>
      </w:r>
      <w:r>
        <w:t>or</w:t>
      </w:r>
      <w:r>
        <w:rPr>
          <w:spacing w:val="1"/>
        </w:rPr>
        <w:t xml:space="preserve"> </w:t>
      </w:r>
      <w:r>
        <w:t>some other</w:t>
      </w:r>
      <w:r>
        <w:rPr>
          <w:spacing w:val="1"/>
        </w:rPr>
        <w:t xml:space="preserve"> </w:t>
      </w:r>
      <w:r>
        <w:t>similar</w:t>
      </w:r>
      <w:r>
        <w:rPr>
          <w:spacing w:val="1"/>
        </w:rPr>
        <w:t xml:space="preserve"> </w:t>
      </w:r>
      <w:r>
        <w:t>one,</w:t>
      </w:r>
      <w:r>
        <w:rPr>
          <w:spacing w:val="1"/>
        </w:rPr>
        <w:t xml:space="preserve"> </w:t>
      </w:r>
      <w:r>
        <w:t>that</w:t>
      </w:r>
      <w:r>
        <w:rPr>
          <w:spacing w:val="1"/>
        </w:rPr>
        <w:t xml:space="preserve"> </w:t>
      </w:r>
      <w:r>
        <w:t>you</w:t>
      </w:r>
      <w:r>
        <w:rPr>
          <w:spacing w:val="1"/>
        </w:rPr>
        <w:t xml:space="preserve"> </w:t>
      </w:r>
      <w:r>
        <w:rPr>
          <w:spacing w:val="-2"/>
        </w:rPr>
        <w:t>think</w:t>
      </w:r>
    </w:p>
    <w:p w14:paraId="7E001399" w14:textId="77777777" w:rsidR="009A58DB" w:rsidRDefault="00000000">
      <w:pPr>
        <w:pStyle w:val="BodyText"/>
        <w:spacing w:before="15" w:line="249" w:lineRule="auto"/>
        <w:ind w:right="362"/>
      </w:pPr>
      <w:r>
        <w:t xml:space="preserve">about water. This doesn’t mean that you incorrectly believe that </w:t>
      </w:r>
      <w:r>
        <w:rPr>
          <w:i/>
        </w:rPr>
        <w:t>anything</w:t>
      </w:r>
      <w:r>
        <w:rPr>
          <w:i/>
          <w:spacing w:val="-4"/>
        </w:rPr>
        <w:t xml:space="preserve"> </w:t>
      </w:r>
      <w:r>
        <w:t xml:space="preserve">that fits that description is water. It means that you think that what </w:t>
      </w:r>
      <w:r>
        <w:rPr>
          <w:i/>
        </w:rPr>
        <w:t xml:space="preserve">in fact </w:t>
      </w:r>
      <w:r>
        <w:t>fits</w:t>
      </w:r>
      <w:r>
        <w:rPr>
          <w:spacing w:val="-3"/>
        </w:rPr>
        <w:t xml:space="preserve"> </w:t>
      </w:r>
      <w:r>
        <w:t>that description—but might fail to—is what is referred to as water. So you know</w:t>
      </w:r>
    </w:p>
    <w:p w14:paraId="7E00139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9B" w14:textId="77777777" w:rsidR="009A58DB" w:rsidRDefault="00000000">
      <w:pPr>
        <w:pStyle w:val="BodyText"/>
        <w:spacing w:before="65" w:line="249" w:lineRule="auto"/>
        <w:ind w:right="371"/>
      </w:pPr>
      <w:r>
        <w:lastRenderedPageBreak/>
        <w:t xml:space="preserve">that there is something x that </w:t>
      </w:r>
      <w:r>
        <w:rPr>
          <w:i/>
        </w:rPr>
        <w:t xml:space="preserve">in fact </w:t>
      </w:r>
      <w:r>
        <w:t>fits that description (i.e., is a clear liquid in bathtubs, etc.) and that “water” refers to x.</w:t>
      </w:r>
    </w:p>
    <w:p w14:paraId="7E00139C" w14:textId="77777777" w:rsidR="009A58DB" w:rsidRDefault="00000000">
      <w:pPr>
        <w:pStyle w:val="BodyText"/>
        <w:spacing w:before="2" w:line="249" w:lineRule="auto"/>
        <w:ind w:right="364" w:firstLine="360"/>
        <w:jc w:val="left"/>
      </w:pPr>
      <w:r>
        <w:t>Given</w:t>
      </w:r>
      <w:r>
        <w:rPr>
          <w:spacing w:val="30"/>
        </w:rPr>
        <w:t xml:space="preserve"> </w:t>
      </w:r>
      <w:r>
        <w:t>it</w:t>
      </w:r>
      <w:r>
        <w:rPr>
          <w:spacing w:val="30"/>
        </w:rPr>
        <w:t xml:space="preserve"> </w:t>
      </w:r>
      <w:r>
        <w:t>is</w:t>
      </w:r>
      <w:r>
        <w:rPr>
          <w:spacing w:val="30"/>
        </w:rPr>
        <w:t xml:space="preserve"> </w:t>
      </w:r>
      <w:r>
        <w:t>by</w:t>
      </w:r>
      <w:r>
        <w:rPr>
          <w:spacing w:val="30"/>
        </w:rPr>
        <w:t xml:space="preserve"> </w:t>
      </w:r>
      <w:r>
        <w:t>way</w:t>
      </w:r>
      <w:r>
        <w:rPr>
          <w:spacing w:val="30"/>
        </w:rPr>
        <w:t xml:space="preserve"> </w:t>
      </w:r>
      <w:r>
        <w:t>of</w:t>
      </w:r>
      <w:r>
        <w:rPr>
          <w:spacing w:val="30"/>
        </w:rPr>
        <w:t xml:space="preserve"> </w:t>
      </w:r>
      <w:r>
        <w:t>this</w:t>
      </w:r>
      <w:r>
        <w:rPr>
          <w:spacing w:val="30"/>
        </w:rPr>
        <w:t xml:space="preserve"> </w:t>
      </w:r>
      <w:r>
        <w:t>sort</w:t>
      </w:r>
      <w:r>
        <w:rPr>
          <w:spacing w:val="30"/>
        </w:rPr>
        <w:t xml:space="preserve"> </w:t>
      </w:r>
      <w:r>
        <w:t>of</w:t>
      </w:r>
      <w:r>
        <w:rPr>
          <w:spacing w:val="30"/>
        </w:rPr>
        <w:t xml:space="preserve"> </w:t>
      </w:r>
      <w:r>
        <w:t>descriptive</w:t>
      </w:r>
      <w:r>
        <w:rPr>
          <w:spacing w:val="30"/>
        </w:rPr>
        <w:t xml:space="preserve"> </w:t>
      </w:r>
      <w:r>
        <w:t>information</w:t>
      </w:r>
      <w:r>
        <w:rPr>
          <w:spacing w:val="30"/>
        </w:rPr>
        <w:t xml:space="preserve"> </w:t>
      </w:r>
      <w:r>
        <w:t>that</w:t>
      </w:r>
      <w:r>
        <w:rPr>
          <w:spacing w:val="30"/>
        </w:rPr>
        <w:t xml:space="preserve"> </w:t>
      </w:r>
      <w:r>
        <w:t>you</w:t>
      </w:r>
      <w:r>
        <w:rPr>
          <w:spacing w:val="30"/>
        </w:rPr>
        <w:t xml:space="preserve"> </w:t>
      </w:r>
      <w:r>
        <w:t>know what “water” refers to, it’s inevitable that:</w:t>
      </w:r>
    </w:p>
    <w:p w14:paraId="7E00139D" w14:textId="77777777" w:rsidR="009A58DB" w:rsidRDefault="009A58DB">
      <w:pPr>
        <w:pStyle w:val="BodyText"/>
        <w:spacing w:before="17"/>
        <w:ind w:left="0"/>
        <w:jc w:val="left"/>
      </w:pPr>
    </w:p>
    <w:p w14:paraId="7E00139E" w14:textId="77777777" w:rsidR="009A58DB" w:rsidRDefault="00000000">
      <w:pPr>
        <w:pStyle w:val="BodyText"/>
        <w:spacing w:before="1" w:line="542" w:lineRule="auto"/>
        <w:ind w:right="3145"/>
        <w:jc w:val="left"/>
      </w:pPr>
      <w:r>
        <w:t>(W</w:t>
      </w:r>
      <w:r>
        <w:rPr>
          <w:vertAlign w:val="subscript"/>
        </w:rPr>
        <w:t>2</w:t>
      </w:r>
      <w:r>
        <w:t>)</w:t>
      </w:r>
      <w:r>
        <w:rPr>
          <w:spacing w:val="-4"/>
        </w:rPr>
        <w:t xml:space="preserve"> </w:t>
      </w:r>
      <w:r>
        <w:t>“water</w:t>
      </w:r>
      <w:r>
        <w:rPr>
          <w:spacing w:val="-4"/>
        </w:rPr>
        <w:t xml:space="preserve"> </w:t>
      </w:r>
      <w:r>
        <w:t>becomes</w:t>
      </w:r>
      <w:r>
        <w:rPr>
          <w:spacing w:val="-4"/>
        </w:rPr>
        <w:t xml:space="preserve"> </w:t>
      </w:r>
      <w:r>
        <w:t>ice</w:t>
      </w:r>
      <w:r>
        <w:rPr>
          <w:spacing w:val="-4"/>
        </w:rPr>
        <w:t xml:space="preserve"> </w:t>
      </w:r>
      <w:r>
        <w:t>when</w:t>
      </w:r>
      <w:r>
        <w:rPr>
          <w:spacing w:val="-3"/>
        </w:rPr>
        <w:t xml:space="preserve"> </w:t>
      </w:r>
      <w:r>
        <w:t>it’s</w:t>
      </w:r>
      <w:r>
        <w:rPr>
          <w:spacing w:val="-4"/>
        </w:rPr>
        <w:t xml:space="preserve"> </w:t>
      </w:r>
      <w:r>
        <w:t>very</w:t>
      </w:r>
      <w:r>
        <w:rPr>
          <w:spacing w:val="-3"/>
        </w:rPr>
        <w:t xml:space="preserve"> </w:t>
      </w:r>
      <w:r>
        <w:t>cold</w:t>
      </w:r>
      <w:r>
        <w:rPr>
          <w:spacing w:val="-3"/>
        </w:rPr>
        <w:t xml:space="preserve"> </w:t>
      </w:r>
      <w:r>
        <w:t>outside” will convey the message to you that:</w:t>
      </w:r>
    </w:p>
    <w:p w14:paraId="7E00139F" w14:textId="77777777" w:rsidR="009A58DB" w:rsidRDefault="00000000">
      <w:pPr>
        <w:pStyle w:val="BodyText"/>
        <w:spacing w:line="286" w:lineRule="exact"/>
        <w:jc w:val="left"/>
      </w:pPr>
      <w:r>
        <w:t>(W</w:t>
      </w:r>
      <w:r>
        <w:rPr>
          <w:vertAlign w:val="subscript"/>
        </w:rPr>
        <w:t>3</w:t>
      </w:r>
      <w:r>
        <w:t>)</w:t>
      </w:r>
      <w:r>
        <w:rPr>
          <w:spacing w:val="69"/>
        </w:rPr>
        <w:t xml:space="preserve"> </w:t>
      </w:r>
      <w:r>
        <w:t>there</w:t>
      </w:r>
      <w:r>
        <w:rPr>
          <w:spacing w:val="69"/>
        </w:rPr>
        <w:t xml:space="preserve"> </w:t>
      </w:r>
      <w:r>
        <w:t>is</w:t>
      </w:r>
      <w:r>
        <w:rPr>
          <w:spacing w:val="69"/>
        </w:rPr>
        <w:t xml:space="preserve"> </w:t>
      </w:r>
      <w:r>
        <w:t>something</w:t>
      </w:r>
      <w:r>
        <w:rPr>
          <w:spacing w:val="70"/>
        </w:rPr>
        <w:t xml:space="preserve"> </w:t>
      </w:r>
      <w:r>
        <w:t>x</w:t>
      </w:r>
      <w:r>
        <w:rPr>
          <w:spacing w:val="69"/>
        </w:rPr>
        <w:t xml:space="preserve"> </w:t>
      </w:r>
      <w:r>
        <w:t>that</w:t>
      </w:r>
      <w:r>
        <w:rPr>
          <w:spacing w:val="69"/>
        </w:rPr>
        <w:t xml:space="preserve"> </w:t>
      </w:r>
      <w:r>
        <w:t>is</w:t>
      </w:r>
      <w:r>
        <w:rPr>
          <w:spacing w:val="69"/>
        </w:rPr>
        <w:t xml:space="preserve"> </w:t>
      </w:r>
      <w:r>
        <w:t>a</w:t>
      </w:r>
      <w:r>
        <w:rPr>
          <w:spacing w:val="70"/>
        </w:rPr>
        <w:t xml:space="preserve"> </w:t>
      </w:r>
      <w:r>
        <w:t>clear</w:t>
      </w:r>
      <w:r>
        <w:rPr>
          <w:spacing w:val="69"/>
        </w:rPr>
        <w:t xml:space="preserve"> </w:t>
      </w:r>
      <w:r>
        <w:t>liquid</w:t>
      </w:r>
      <w:r>
        <w:rPr>
          <w:spacing w:val="69"/>
        </w:rPr>
        <w:t xml:space="preserve"> </w:t>
      </w:r>
      <w:r>
        <w:t>in</w:t>
      </w:r>
      <w:r>
        <w:rPr>
          <w:spacing w:val="70"/>
        </w:rPr>
        <w:t xml:space="preserve"> </w:t>
      </w:r>
      <w:r>
        <w:t>bathtubs,</w:t>
      </w:r>
      <w:r>
        <w:rPr>
          <w:spacing w:val="69"/>
        </w:rPr>
        <w:t xml:space="preserve"> </w:t>
      </w:r>
      <w:r>
        <w:t>etc.,</w:t>
      </w:r>
      <w:r>
        <w:rPr>
          <w:spacing w:val="69"/>
        </w:rPr>
        <w:t xml:space="preserve"> </w:t>
      </w:r>
      <w:r>
        <w:t>and</w:t>
      </w:r>
      <w:r>
        <w:rPr>
          <w:spacing w:val="69"/>
        </w:rPr>
        <w:t xml:space="preserve"> </w:t>
      </w:r>
      <w:r>
        <w:rPr>
          <w:spacing w:val="-5"/>
        </w:rPr>
        <w:t>is</w:t>
      </w:r>
    </w:p>
    <w:p w14:paraId="7E0013A0" w14:textId="77777777" w:rsidR="009A58DB" w:rsidRDefault="00000000">
      <w:pPr>
        <w:pStyle w:val="BodyText"/>
        <w:spacing w:before="75"/>
        <w:jc w:val="left"/>
      </w:pPr>
      <w:r>
        <w:t>referred</w:t>
      </w:r>
      <w:r>
        <w:rPr>
          <w:spacing w:val="-6"/>
        </w:rPr>
        <w:t xml:space="preserve"> </w:t>
      </w:r>
      <w:r>
        <w:t>to</w:t>
      </w:r>
      <w:r>
        <w:rPr>
          <w:spacing w:val="-3"/>
        </w:rPr>
        <w:t xml:space="preserve"> </w:t>
      </w:r>
      <w:r>
        <w:t>as</w:t>
      </w:r>
      <w:r>
        <w:rPr>
          <w:spacing w:val="-4"/>
        </w:rPr>
        <w:t xml:space="preserve"> </w:t>
      </w:r>
      <w:r>
        <w:t>“water”;</w:t>
      </w:r>
      <w:r>
        <w:rPr>
          <w:spacing w:val="-3"/>
        </w:rPr>
        <w:t xml:space="preserve"> </w:t>
      </w:r>
      <w:r>
        <w:t>moreover,</w:t>
      </w:r>
      <w:r>
        <w:rPr>
          <w:spacing w:val="-3"/>
        </w:rPr>
        <w:t xml:space="preserve"> </w:t>
      </w:r>
      <w:r>
        <w:t>x</w:t>
      </w:r>
      <w:r>
        <w:rPr>
          <w:spacing w:val="-4"/>
        </w:rPr>
        <w:t xml:space="preserve"> </w:t>
      </w:r>
      <w:r>
        <w:t>becomes</w:t>
      </w:r>
      <w:r>
        <w:rPr>
          <w:spacing w:val="-3"/>
        </w:rPr>
        <w:t xml:space="preserve"> </w:t>
      </w:r>
      <w:r>
        <w:t>ice</w:t>
      </w:r>
      <w:r>
        <w:rPr>
          <w:spacing w:val="-4"/>
        </w:rPr>
        <w:t xml:space="preserve"> </w:t>
      </w:r>
      <w:r>
        <w:t>when</w:t>
      </w:r>
      <w:r>
        <w:rPr>
          <w:spacing w:val="-3"/>
        </w:rPr>
        <w:t xml:space="preserve"> </w:t>
      </w:r>
      <w:r>
        <w:t>it’s</w:t>
      </w:r>
      <w:r>
        <w:rPr>
          <w:spacing w:val="-4"/>
        </w:rPr>
        <w:t xml:space="preserve"> </w:t>
      </w:r>
      <w:r>
        <w:t>very</w:t>
      </w:r>
      <w:r>
        <w:rPr>
          <w:spacing w:val="-3"/>
        </w:rPr>
        <w:t xml:space="preserve"> </w:t>
      </w:r>
      <w:r>
        <w:t>cold</w:t>
      </w:r>
      <w:r>
        <w:rPr>
          <w:spacing w:val="-3"/>
        </w:rPr>
        <w:t xml:space="preserve"> </w:t>
      </w:r>
      <w:r>
        <w:rPr>
          <w:spacing w:val="-2"/>
        </w:rPr>
        <w:t>outside.</w:t>
      </w:r>
    </w:p>
    <w:p w14:paraId="7E0013A1" w14:textId="77777777" w:rsidR="009A58DB" w:rsidRDefault="009A58DB">
      <w:pPr>
        <w:pStyle w:val="BodyText"/>
        <w:spacing w:before="29"/>
        <w:ind w:left="0"/>
        <w:jc w:val="left"/>
      </w:pPr>
    </w:p>
    <w:p w14:paraId="7E0013A2" w14:textId="77777777" w:rsidR="009A58DB" w:rsidRDefault="00000000">
      <w:pPr>
        <w:pStyle w:val="BodyText"/>
        <w:spacing w:before="1" w:line="271" w:lineRule="auto"/>
        <w:ind w:right="358"/>
      </w:pPr>
      <w:r>
        <w:t>To be</w:t>
      </w:r>
      <w:r>
        <w:rPr>
          <w:spacing w:val="-1"/>
        </w:rPr>
        <w:t xml:space="preserve"> </w:t>
      </w:r>
      <w:r>
        <w:t>sure, W</w:t>
      </w:r>
      <w:r>
        <w:rPr>
          <w:vertAlign w:val="subscript"/>
        </w:rPr>
        <w:t>3</w:t>
      </w:r>
      <w:r>
        <w:t xml:space="preserve"> is</w:t>
      </w:r>
      <w:r>
        <w:rPr>
          <w:spacing w:val="-1"/>
        </w:rPr>
        <w:t xml:space="preserve"> </w:t>
      </w:r>
      <w:r>
        <w:t>not</w:t>
      </w:r>
      <w:r>
        <w:rPr>
          <w:spacing w:val="-1"/>
        </w:rPr>
        <w:t xml:space="preserve"> </w:t>
      </w:r>
      <w:r>
        <w:t>W</w:t>
      </w:r>
      <w:r>
        <w:rPr>
          <w:vertAlign w:val="subscript"/>
        </w:rPr>
        <w:t>2</w:t>
      </w:r>
      <w:r>
        <w:t>’s</w:t>
      </w:r>
      <w:r>
        <w:rPr>
          <w:spacing w:val="-1"/>
        </w:rPr>
        <w:t xml:space="preserve"> </w:t>
      </w:r>
      <w:r>
        <w:rPr>
          <w:i/>
        </w:rPr>
        <w:t>literal</w:t>
      </w:r>
      <w:r>
        <w:rPr>
          <w:i/>
          <w:spacing w:val="-1"/>
        </w:rPr>
        <w:t xml:space="preserve"> </w:t>
      </w:r>
      <w:r>
        <w:rPr>
          <w:i/>
        </w:rPr>
        <w:t xml:space="preserve">meaning. </w:t>
      </w:r>
      <w:r>
        <w:t>Kripke has made this clear. There is some clear liquid L such that, as it happens, L is in bathtubs, etc., and such that “water” refers to x and such that W</w:t>
      </w:r>
      <w:r>
        <w:rPr>
          <w:vertAlign w:val="subscript"/>
        </w:rPr>
        <w:t>2</w:t>
      </w:r>
      <w:r>
        <w:t>’s literal meaning is:</w:t>
      </w:r>
    </w:p>
    <w:p w14:paraId="7E0013A3" w14:textId="77777777" w:rsidR="009A58DB" w:rsidRDefault="00000000">
      <w:pPr>
        <w:pStyle w:val="BodyText"/>
        <w:spacing w:before="46" w:line="780" w:lineRule="exact"/>
        <w:ind w:right="4416"/>
        <w:jc w:val="left"/>
      </w:pPr>
      <w:r>
        <w:t>(W</w:t>
      </w:r>
      <w:r>
        <w:rPr>
          <w:vertAlign w:val="subscript"/>
        </w:rPr>
        <w:t>4</w:t>
      </w:r>
      <w:r>
        <w:t>) L turns to ice when it’s cold outside. There’s</w:t>
      </w:r>
      <w:r>
        <w:rPr>
          <w:spacing w:val="-5"/>
        </w:rPr>
        <w:t xml:space="preserve"> </w:t>
      </w:r>
      <w:r>
        <w:t>nothing</w:t>
      </w:r>
      <w:r>
        <w:rPr>
          <w:spacing w:val="-4"/>
        </w:rPr>
        <w:t xml:space="preserve"> </w:t>
      </w:r>
      <w:r>
        <w:t>about</w:t>
      </w:r>
      <w:r>
        <w:rPr>
          <w:spacing w:val="-5"/>
        </w:rPr>
        <w:t xml:space="preserve"> </w:t>
      </w:r>
      <w:r>
        <w:t>bathtubs</w:t>
      </w:r>
      <w:r>
        <w:rPr>
          <w:spacing w:val="-5"/>
        </w:rPr>
        <w:t xml:space="preserve"> </w:t>
      </w:r>
      <w:r>
        <w:t>(etc.)</w:t>
      </w:r>
      <w:r>
        <w:rPr>
          <w:spacing w:val="-5"/>
        </w:rPr>
        <w:t xml:space="preserve"> </w:t>
      </w:r>
      <w:r>
        <w:t>inW</w:t>
      </w:r>
      <w:r>
        <w:rPr>
          <w:vertAlign w:val="subscript"/>
        </w:rPr>
        <w:t>4</w:t>
      </w:r>
      <w:r>
        <w:t>.</w:t>
      </w:r>
    </w:p>
    <w:p w14:paraId="7E0013A4" w14:textId="77777777" w:rsidR="009A58DB" w:rsidRDefault="00000000">
      <w:pPr>
        <w:pStyle w:val="BodyText"/>
        <w:spacing w:line="329" w:lineRule="exact"/>
        <w:ind w:left="720"/>
        <w:jc w:val="left"/>
      </w:pPr>
      <w:r>
        <w:t>For</w:t>
      </w:r>
      <w:r>
        <w:rPr>
          <w:spacing w:val="43"/>
        </w:rPr>
        <w:t xml:space="preserve"> </w:t>
      </w:r>
      <w:r>
        <w:t>exactly</w:t>
      </w:r>
      <w:r>
        <w:rPr>
          <w:spacing w:val="44"/>
        </w:rPr>
        <w:t xml:space="preserve"> </w:t>
      </w:r>
      <w:r>
        <w:t>analogous</w:t>
      </w:r>
      <w:r>
        <w:rPr>
          <w:spacing w:val="44"/>
        </w:rPr>
        <w:t xml:space="preserve"> </w:t>
      </w:r>
      <w:r>
        <w:t>reasons,</w:t>
      </w:r>
      <w:r>
        <w:rPr>
          <w:spacing w:val="43"/>
        </w:rPr>
        <w:t xml:space="preserve"> </w:t>
      </w:r>
      <w:r>
        <w:t>there</w:t>
      </w:r>
      <w:r>
        <w:rPr>
          <w:spacing w:val="44"/>
        </w:rPr>
        <w:t xml:space="preserve"> </w:t>
      </w:r>
      <w:r>
        <w:t>is</w:t>
      </w:r>
      <w:r>
        <w:rPr>
          <w:spacing w:val="44"/>
        </w:rPr>
        <w:t xml:space="preserve"> </w:t>
      </w:r>
      <w:r>
        <w:t>some</w:t>
      </w:r>
      <w:r>
        <w:rPr>
          <w:spacing w:val="43"/>
        </w:rPr>
        <w:t xml:space="preserve"> </w:t>
      </w:r>
      <w:r>
        <w:t>liquid</w:t>
      </w:r>
      <w:r>
        <w:rPr>
          <w:spacing w:val="44"/>
        </w:rPr>
        <w:t xml:space="preserve"> </w:t>
      </w:r>
      <w:r>
        <w:t>L</w:t>
      </w:r>
      <w:r>
        <w:rPr>
          <w:spacing w:val="44"/>
        </w:rPr>
        <w:t xml:space="preserve"> </w:t>
      </w:r>
      <w:r>
        <w:t>that</w:t>
      </w:r>
      <w:r>
        <w:rPr>
          <w:spacing w:val="43"/>
        </w:rPr>
        <w:t xml:space="preserve"> </w:t>
      </w:r>
      <w:r>
        <w:t>we</w:t>
      </w:r>
      <w:r>
        <w:rPr>
          <w:spacing w:val="44"/>
        </w:rPr>
        <w:t xml:space="preserve"> </w:t>
      </w:r>
      <w:r>
        <w:t>bathe</w:t>
      </w:r>
      <w:r>
        <w:rPr>
          <w:spacing w:val="44"/>
        </w:rPr>
        <w:t xml:space="preserve"> </w:t>
      </w:r>
      <w:r>
        <w:rPr>
          <w:spacing w:val="-5"/>
        </w:rPr>
        <w:t>in,</w:t>
      </w:r>
    </w:p>
    <w:p w14:paraId="7E0013A5" w14:textId="77777777" w:rsidR="009A58DB" w:rsidRDefault="00000000">
      <w:pPr>
        <w:pStyle w:val="BodyText"/>
        <w:spacing w:before="15" w:line="501" w:lineRule="auto"/>
        <w:ind w:right="4416"/>
        <w:jc w:val="left"/>
      </w:pPr>
      <w:r>
        <w:t>drink,</w:t>
      </w:r>
      <w:r>
        <w:rPr>
          <w:spacing w:val="-6"/>
        </w:rPr>
        <w:t xml:space="preserve"> </w:t>
      </w:r>
      <w:r>
        <w:t>etc.,</w:t>
      </w:r>
      <w:r>
        <w:rPr>
          <w:spacing w:val="-6"/>
        </w:rPr>
        <w:t xml:space="preserve"> </w:t>
      </w:r>
      <w:r>
        <w:t>such</w:t>
      </w:r>
      <w:r>
        <w:rPr>
          <w:spacing w:val="-6"/>
        </w:rPr>
        <w:t xml:space="preserve"> </w:t>
      </w:r>
      <w:r>
        <w:t>that,</w:t>
      </w:r>
      <w:r>
        <w:rPr>
          <w:spacing w:val="-6"/>
        </w:rPr>
        <w:t xml:space="preserve"> </w:t>
      </w:r>
      <w:r>
        <w:t>for</w:t>
      </w:r>
      <w:r>
        <w:rPr>
          <w:spacing w:val="-7"/>
        </w:rPr>
        <w:t xml:space="preserve"> </w:t>
      </w:r>
      <w:r>
        <w:t>any</w:t>
      </w:r>
      <w:r>
        <w:rPr>
          <w:spacing w:val="-6"/>
        </w:rPr>
        <w:t xml:space="preserve"> </w:t>
      </w:r>
      <w:r>
        <w:t>property</w:t>
      </w:r>
      <w:r>
        <w:rPr>
          <w:spacing w:val="-6"/>
        </w:rPr>
        <w:t xml:space="preserve"> </w:t>
      </w:r>
      <w:r>
        <w:t>psi, (W</w:t>
      </w:r>
      <w:r>
        <w:rPr>
          <w:vertAlign w:val="subscript"/>
        </w:rPr>
        <w:t>5</w:t>
      </w:r>
      <w:r>
        <w:t>) ‹water has psi›</w:t>
      </w:r>
    </w:p>
    <w:p w14:paraId="7E0013A6" w14:textId="77777777" w:rsidR="009A58DB" w:rsidRDefault="00000000">
      <w:pPr>
        <w:pStyle w:val="BodyText"/>
        <w:spacing w:before="58"/>
        <w:jc w:val="left"/>
      </w:pPr>
      <w:r>
        <w:t>has</w:t>
      </w:r>
      <w:r>
        <w:rPr>
          <w:spacing w:val="-6"/>
        </w:rPr>
        <w:t xml:space="preserve"> </w:t>
      </w:r>
      <w:r>
        <w:t>for</w:t>
      </w:r>
      <w:r>
        <w:rPr>
          <w:spacing w:val="-3"/>
        </w:rPr>
        <w:t xml:space="preserve"> </w:t>
      </w:r>
      <w:r>
        <w:t>its</w:t>
      </w:r>
      <w:r>
        <w:rPr>
          <w:spacing w:val="-4"/>
        </w:rPr>
        <w:t xml:space="preserve"> </w:t>
      </w:r>
      <w:r>
        <w:t>literal</w:t>
      </w:r>
      <w:r>
        <w:rPr>
          <w:spacing w:val="-3"/>
        </w:rPr>
        <w:t xml:space="preserve"> </w:t>
      </w:r>
      <w:r>
        <w:t>meaning</w:t>
      </w:r>
      <w:r>
        <w:rPr>
          <w:spacing w:val="-3"/>
        </w:rPr>
        <w:t xml:space="preserve"> </w:t>
      </w:r>
      <w:r>
        <w:t>the</w:t>
      </w:r>
      <w:r>
        <w:rPr>
          <w:spacing w:val="-3"/>
        </w:rPr>
        <w:t xml:space="preserve"> </w:t>
      </w:r>
      <w:r>
        <w:rPr>
          <w:spacing w:val="-2"/>
        </w:rPr>
        <w:t>proposition:</w:t>
      </w:r>
    </w:p>
    <w:p w14:paraId="7E0013A7" w14:textId="77777777" w:rsidR="009A58DB" w:rsidRDefault="009A58DB">
      <w:pPr>
        <w:pStyle w:val="BodyText"/>
        <w:spacing w:before="30"/>
        <w:ind w:left="0"/>
        <w:jc w:val="left"/>
      </w:pPr>
    </w:p>
    <w:p w14:paraId="7E0013A8" w14:textId="77777777" w:rsidR="009A58DB" w:rsidRDefault="00000000">
      <w:pPr>
        <w:pStyle w:val="BodyText"/>
        <w:jc w:val="left"/>
      </w:pPr>
      <w:r>
        <w:t>(W</w:t>
      </w:r>
      <w:r>
        <w:rPr>
          <w:vertAlign w:val="subscript"/>
        </w:rPr>
        <w:t>6</w:t>
      </w:r>
      <w:r>
        <w:t>)</w:t>
      </w:r>
      <w:r>
        <w:rPr>
          <w:spacing w:val="4"/>
        </w:rPr>
        <w:t xml:space="preserve"> </w:t>
      </w:r>
      <w:r>
        <w:t>L</w:t>
      </w:r>
      <w:r>
        <w:rPr>
          <w:spacing w:val="5"/>
        </w:rPr>
        <w:t xml:space="preserve"> </w:t>
      </w:r>
      <w:r>
        <w:t>has</w:t>
      </w:r>
      <w:r>
        <w:rPr>
          <w:spacing w:val="4"/>
        </w:rPr>
        <w:t xml:space="preserve"> </w:t>
      </w:r>
      <w:r>
        <w:rPr>
          <w:spacing w:val="-4"/>
        </w:rPr>
        <w:t>psi,</w:t>
      </w:r>
    </w:p>
    <w:p w14:paraId="7E0013A9" w14:textId="77777777" w:rsidR="009A58DB" w:rsidRDefault="009A58DB">
      <w:pPr>
        <w:pStyle w:val="BodyText"/>
        <w:spacing w:before="90"/>
        <w:ind w:left="0"/>
        <w:jc w:val="left"/>
      </w:pPr>
    </w:p>
    <w:p w14:paraId="7E0013AA" w14:textId="77777777" w:rsidR="009A58DB" w:rsidRDefault="00000000">
      <w:pPr>
        <w:pStyle w:val="BodyText"/>
        <w:jc w:val="left"/>
      </w:pPr>
      <w:r>
        <w:t>even</w:t>
      </w:r>
      <w:r>
        <w:rPr>
          <w:spacing w:val="-3"/>
        </w:rPr>
        <w:t xml:space="preserve"> </w:t>
      </w:r>
      <w:r>
        <w:t>though</w:t>
      </w:r>
      <w:r>
        <w:rPr>
          <w:spacing w:val="-2"/>
        </w:rPr>
        <w:t xml:space="preserve"> </w:t>
      </w:r>
      <w:r>
        <w:t>it</w:t>
      </w:r>
      <w:r>
        <w:rPr>
          <w:spacing w:val="-3"/>
        </w:rPr>
        <w:t xml:space="preserve"> </w:t>
      </w:r>
      <w:r>
        <w:t>will</w:t>
      </w:r>
      <w:r>
        <w:rPr>
          <w:spacing w:val="-3"/>
        </w:rPr>
        <w:t xml:space="preserve"> </w:t>
      </w:r>
      <w:r>
        <w:t>convey</w:t>
      </w:r>
      <w:r>
        <w:rPr>
          <w:spacing w:val="-2"/>
        </w:rPr>
        <w:t xml:space="preserve"> </w:t>
      </w:r>
      <w:r>
        <w:t>the</w:t>
      </w:r>
      <w:r>
        <w:rPr>
          <w:spacing w:val="-3"/>
        </w:rPr>
        <w:t xml:space="preserve"> </w:t>
      </w:r>
      <w:r>
        <w:t>proposition</w:t>
      </w:r>
      <w:r>
        <w:rPr>
          <w:spacing w:val="-2"/>
        </w:rPr>
        <w:t xml:space="preserve"> that:</w:t>
      </w:r>
    </w:p>
    <w:p w14:paraId="7E0013AB" w14:textId="77777777" w:rsidR="009A58DB" w:rsidRDefault="009A58DB">
      <w:pPr>
        <w:pStyle w:val="BodyText"/>
        <w:spacing w:before="30"/>
        <w:ind w:left="0"/>
        <w:jc w:val="left"/>
      </w:pPr>
    </w:p>
    <w:p w14:paraId="7E0013AC" w14:textId="77777777" w:rsidR="009A58DB" w:rsidRDefault="00000000">
      <w:pPr>
        <w:pStyle w:val="BodyText"/>
        <w:spacing w:before="1" w:line="292" w:lineRule="auto"/>
        <w:ind w:right="362"/>
      </w:pPr>
      <w:r>
        <w:t>(W</w:t>
      </w:r>
      <w:r>
        <w:rPr>
          <w:vertAlign w:val="subscript"/>
        </w:rPr>
        <w:t>7</w:t>
      </w:r>
      <w:r>
        <w:t>) there is something x that is a clear liquid in bathtubs, etc., and is</w:t>
      </w:r>
      <w:r>
        <w:rPr>
          <w:spacing w:val="40"/>
        </w:rPr>
        <w:t xml:space="preserve"> </w:t>
      </w:r>
      <w:r>
        <w:t>referred to as “water”; moreover, x has psi.</w:t>
      </w:r>
    </w:p>
    <w:p w14:paraId="7E0013AD" w14:textId="77777777" w:rsidR="009A58DB" w:rsidRDefault="00000000">
      <w:pPr>
        <w:pStyle w:val="BodyText"/>
        <w:spacing w:before="298"/>
        <w:jc w:val="left"/>
      </w:pPr>
      <w:r>
        <w:t>In</w:t>
      </w:r>
      <w:r>
        <w:rPr>
          <w:spacing w:val="-4"/>
        </w:rPr>
        <w:t xml:space="preserve"> </w:t>
      </w:r>
      <w:r>
        <w:t>particular,</w:t>
      </w:r>
      <w:r>
        <w:rPr>
          <w:spacing w:val="-4"/>
        </w:rPr>
        <w:t xml:space="preserve"> </w:t>
      </w:r>
      <w:r>
        <w:t>it</w:t>
      </w:r>
      <w:r>
        <w:rPr>
          <w:spacing w:val="-4"/>
        </w:rPr>
        <w:t xml:space="preserve"> </w:t>
      </w:r>
      <w:r>
        <w:t>follows</w:t>
      </w:r>
      <w:r>
        <w:rPr>
          <w:spacing w:val="-4"/>
        </w:rPr>
        <w:t xml:space="preserve"> that:</w:t>
      </w:r>
    </w:p>
    <w:p w14:paraId="7E0013AE" w14:textId="77777777" w:rsidR="009A58DB" w:rsidRDefault="009A58DB">
      <w:pPr>
        <w:pStyle w:val="BodyText"/>
        <w:jc w:val="left"/>
        <w:sectPr w:rsidR="009A58DB">
          <w:pgSz w:w="12240" w:h="15840"/>
          <w:pgMar w:top="1380" w:right="1080" w:bottom="280" w:left="1080" w:header="720" w:footer="720" w:gutter="0"/>
          <w:cols w:space="720"/>
        </w:sectPr>
      </w:pPr>
    </w:p>
    <w:p w14:paraId="7E0013AF" w14:textId="77777777" w:rsidR="009A58DB" w:rsidRDefault="00000000">
      <w:pPr>
        <w:pStyle w:val="BodyText"/>
        <w:spacing w:before="65"/>
        <w:jc w:val="left"/>
      </w:pPr>
      <w:r>
        <w:lastRenderedPageBreak/>
        <w:t>(W</w:t>
      </w:r>
      <w:r>
        <w:rPr>
          <w:vertAlign w:val="subscript"/>
        </w:rPr>
        <w:t>8</w:t>
      </w:r>
      <w:r>
        <w:t>)</w:t>
      </w:r>
      <w:r>
        <w:rPr>
          <w:spacing w:val="2"/>
        </w:rPr>
        <w:t xml:space="preserve"> </w:t>
      </w:r>
      <w:r>
        <w:t>“water</w:t>
      </w:r>
      <w:r>
        <w:rPr>
          <w:spacing w:val="3"/>
        </w:rPr>
        <w:t xml:space="preserve"> </w:t>
      </w:r>
      <w:r>
        <w:t>is</w:t>
      </w:r>
      <w:r>
        <w:rPr>
          <w:spacing w:val="3"/>
        </w:rPr>
        <w:t xml:space="preserve"> </w:t>
      </w:r>
      <w:r>
        <w:rPr>
          <w:spacing w:val="-4"/>
        </w:rPr>
        <w:t>H</w:t>
      </w:r>
      <w:r>
        <w:rPr>
          <w:spacing w:val="-4"/>
          <w:vertAlign w:val="subscript"/>
        </w:rPr>
        <w:t>2</w:t>
      </w:r>
      <w:r>
        <w:rPr>
          <w:spacing w:val="-4"/>
        </w:rPr>
        <w:t>O”</w:t>
      </w:r>
    </w:p>
    <w:p w14:paraId="7E0013B0" w14:textId="77777777" w:rsidR="009A58DB" w:rsidRDefault="009A58DB">
      <w:pPr>
        <w:pStyle w:val="BodyText"/>
        <w:spacing w:before="89"/>
        <w:ind w:left="0"/>
        <w:jc w:val="left"/>
      </w:pPr>
    </w:p>
    <w:p w14:paraId="7E0013B1" w14:textId="77777777" w:rsidR="009A58DB" w:rsidRDefault="00000000">
      <w:pPr>
        <w:pStyle w:val="BodyText"/>
        <w:spacing w:before="1"/>
        <w:jc w:val="left"/>
      </w:pPr>
      <w:r>
        <w:t>will</w:t>
      </w:r>
      <w:r>
        <w:rPr>
          <w:spacing w:val="-4"/>
        </w:rPr>
        <w:t xml:space="preserve"> </w:t>
      </w:r>
      <w:r>
        <w:t>convey</w:t>
      </w:r>
      <w:r>
        <w:rPr>
          <w:spacing w:val="-3"/>
        </w:rPr>
        <w:t xml:space="preserve"> </w:t>
      </w:r>
      <w:r>
        <w:t>the</w:t>
      </w:r>
      <w:r>
        <w:rPr>
          <w:spacing w:val="-4"/>
        </w:rPr>
        <w:t xml:space="preserve"> </w:t>
      </w:r>
      <w:r>
        <w:t>message</w:t>
      </w:r>
      <w:r>
        <w:rPr>
          <w:spacing w:val="-3"/>
        </w:rPr>
        <w:t xml:space="preserve"> </w:t>
      </w:r>
      <w:r>
        <w:rPr>
          <w:spacing w:val="-4"/>
        </w:rPr>
        <w:t>that:</w:t>
      </w:r>
    </w:p>
    <w:p w14:paraId="7E0013B2" w14:textId="77777777" w:rsidR="009A58DB" w:rsidRDefault="009A58DB">
      <w:pPr>
        <w:pStyle w:val="BodyText"/>
        <w:spacing w:before="30"/>
        <w:ind w:left="0"/>
        <w:jc w:val="left"/>
      </w:pPr>
    </w:p>
    <w:p w14:paraId="7E0013B3" w14:textId="77777777" w:rsidR="009A58DB" w:rsidRDefault="00000000">
      <w:pPr>
        <w:pStyle w:val="BodyText"/>
        <w:spacing w:line="292" w:lineRule="auto"/>
        <w:ind w:right="362"/>
      </w:pPr>
      <w:r>
        <w:t>(W</w:t>
      </w:r>
      <w:r>
        <w:rPr>
          <w:vertAlign w:val="subscript"/>
        </w:rPr>
        <w:t>9</w:t>
      </w:r>
      <w:r>
        <w:t>) there is something x that is a clear liquid in bathtubs, etc., and is</w:t>
      </w:r>
      <w:r>
        <w:rPr>
          <w:spacing w:val="40"/>
        </w:rPr>
        <w:t xml:space="preserve"> </w:t>
      </w:r>
      <w:r>
        <w:t>referred to as “water”; moreover, x is H</w:t>
      </w:r>
      <w:r>
        <w:rPr>
          <w:vertAlign w:val="subscript"/>
        </w:rPr>
        <w:t>2</w:t>
      </w:r>
      <w:r>
        <w:t>O (i.e., consists of dihydrogen monoxide molecules),</w:t>
      </w:r>
    </w:p>
    <w:p w14:paraId="7E0013B4" w14:textId="77777777" w:rsidR="009A58DB" w:rsidRDefault="00000000">
      <w:pPr>
        <w:pStyle w:val="BodyText"/>
        <w:spacing w:before="297" w:line="542" w:lineRule="auto"/>
        <w:ind w:right="1635"/>
      </w:pPr>
      <w:r>
        <w:t>even</w:t>
      </w:r>
      <w:r>
        <w:rPr>
          <w:spacing w:val="-2"/>
        </w:rPr>
        <w:t xml:space="preserve"> </w:t>
      </w:r>
      <w:r>
        <w:t>though</w:t>
      </w:r>
      <w:r>
        <w:rPr>
          <w:spacing w:val="-2"/>
        </w:rPr>
        <w:t xml:space="preserve"> </w:t>
      </w:r>
      <w:r>
        <w:t>there</w:t>
      </w:r>
      <w:r>
        <w:rPr>
          <w:spacing w:val="-3"/>
        </w:rPr>
        <w:t xml:space="preserve"> </w:t>
      </w:r>
      <w:r>
        <w:t>is</w:t>
      </w:r>
      <w:r>
        <w:rPr>
          <w:spacing w:val="-3"/>
        </w:rPr>
        <w:t xml:space="preserve"> </w:t>
      </w:r>
      <w:r>
        <w:t>something</w:t>
      </w:r>
      <w:r>
        <w:rPr>
          <w:spacing w:val="-2"/>
        </w:rPr>
        <w:t xml:space="preserve"> </w:t>
      </w:r>
      <w:r>
        <w:t>L</w:t>
      </w:r>
      <w:r>
        <w:rPr>
          <w:spacing w:val="-3"/>
        </w:rPr>
        <w:t xml:space="preserve"> </w:t>
      </w:r>
      <w:r>
        <w:t>such</w:t>
      </w:r>
      <w:r>
        <w:rPr>
          <w:spacing w:val="-2"/>
        </w:rPr>
        <w:t xml:space="preserve"> </w:t>
      </w:r>
      <w:r>
        <w:t>that</w:t>
      </w:r>
      <w:r>
        <w:rPr>
          <w:spacing w:val="-3"/>
        </w:rPr>
        <w:t xml:space="preserve"> </w:t>
      </w:r>
      <w:r>
        <w:t>W</w:t>
      </w:r>
      <w:r>
        <w:rPr>
          <w:vertAlign w:val="subscript"/>
        </w:rPr>
        <w:t>8</w:t>
      </w:r>
      <w:r>
        <w:t>’s</w:t>
      </w:r>
      <w:r>
        <w:rPr>
          <w:spacing w:val="-3"/>
        </w:rPr>
        <w:t xml:space="preserve"> </w:t>
      </w:r>
      <w:r>
        <w:t>literal</w:t>
      </w:r>
      <w:r>
        <w:rPr>
          <w:spacing w:val="-3"/>
        </w:rPr>
        <w:t xml:space="preserve"> </w:t>
      </w:r>
      <w:r>
        <w:t>meaning</w:t>
      </w:r>
      <w:r>
        <w:rPr>
          <w:spacing w:val="-2"/>
        </w:rPr>
        <w:t xml:space="preserve"> </w:t>
      </w:r>
      <w:r>
        <w:t>is: (W</w:t>
      </w:r>
      <w:r>
        <w:rPr>
          <w:position w:val="-7"/>
          <w:sz w:val="22"/>
        </w:rPr>
        <w:t>10</w:t>
      </w:r>
      <w:r>
        <w:t>) L is H</w:t>
      </w:r>
      <w:r>
        <w:rPr>
          <w:position w:val="-7"/>
          <w:sz w:val="22"/>
        </w:rPr>
        <w:t>2</w:t>
      </w:r>
      <w:r>
        <w:t>O.</w:t>
      </w:r>
    </w:p>
    <w:p w14:paraId="7E0013B5" w14:textId="77777777" w:rsidR="009A58DB" w:rsidRDefault="00000000">
      <w:pPr>
        <w:spacing w:line="283" w:lineRule="exact"/>
        <w:ind w:left="360"/>
        <w:jc w:val="both"/>
        <w:rPr>
          <w:sz w:val="30"/>
        </w:rPr>
      </w:pPr>
      <w:r>
        <w:rPr>
          <w:sz w:val="30"/>
        </w:rPr>
        <w:t>W</w:t>
      </w:r>
      <w:r>
        <w:rPr>
          <w:sz w:val="30"/>
          <w:vertAlign w:val="subscript"/>
        </w:rPr>
        <w:t>9</w:t>
      </w:r>
      <w:r>
        <w:rPr>
          <w:spacing w:val="63"/>
          <w:sz w:val="30"/>
        </w:rPr>
        <w:t xml:space="preserve"> </w:t>
      </w:r>
      <w:r>
        <w:rPr>
          <w:sz w:val="30"/>
        </w:rPr>
        <w:t>is</w:t>
      </w:r>
      <w:r>
        <w:rPr>
          <w:spacing w:val="63"/>
          <w:sz w:val="30"/>
        </w:rPr>
        <w:t xml:space="preserve"> </w:t>
      </w:r>
      <w:r>
        <w:rPr>
          <w:sz w:val="30"/>
        </w:rPr>
        <w:t>a</w:t>
      </w:r>
      <w:r>
        <w:rPr>
          <w:spacing w:val="63"/>
          <w:sz w:val="30"/>
        </w:rPr>
        <w:t xml:space="preserve"> </w:t>
      </w:r>
      <w:r>
        <w:rPr>
          <w:sz w:val="30"/>
        </w:rPr>
        <w:t>posteriori.</w:t>
      </w:r>
      <w:r>
        <w:rPr>
          <w:spacing w:val="64"/>
          <w:sz w:val="30"/>
        </w:rPr>
        <w:t xml:space="preserve"> </w:t>
      </w:r>
      <w:r>
        <w:rPr>
          <w:sz w:val="30"/>
        </w:rPr>
        <w:t>But</w:t>
      </w:r>
      <w:r>
        <w:rPr>
          <w:spacing w:val="63"/>
          <w:sz w:val="30"/>
        </w:rPr>
        <w:t xml:space="preserve"> </w:t>
      </w:r>
      <w:r>
        <w:rPr>
          <w:sz w:val="30"/>
        </w:rPr>
        <w:t>it’s</w:t>
      </w:r>
      <w:r>
        <w:rPr>
          <w:spacing w:val="63"/>
          <w:sz w:val="30"/>
        </w:rPr>
        <w:t xml:space="preserve"> </w:t>
      </w:r>
      <w:r>
        <w:rPr>
          <w:sz w:val="30"/>
        </w:rPr>
        <w:t>also</w:t>
      </w:r>
      <w:r>
        <w:rPr>
          <w:spacing w:val="64"/>
          <w:sz w:val="30"/>
        </w:rPr>
        <w:t xml:space="preserve"> </w:t>
      </w:r>
      <w:r>
        <w:rPr>
          <w:i/>
          <w:sz w:val="30"/>
        </w:rPr>
        <w:t>contingent.</w:t>
      </w:r>
      <w:r>
        <w:rPr>
          <w:i/>
          <w:spacing w:val="59"/>
          <w:sz w:val="30"/>
        </w:rPr>
        <w:t xml:space="preserve"> </w:t>
      </w:r>
      <w:r>
        <w:rPr>
          <w:sz w:val="30"/>
        </w:rPr>
        <w:t>Water</w:t>
      </w:r>
      <w:r>
        <w:rPr>
          <w:spacing w:val="66"/>
          <w:sz w:val="30"/>
        </w:rPr>
        <w:t xml:space="preserve"> </w:t>
      </w:r>
      <w:r>
        <w:rPr>
          <w:sz w:val="30"/>
        </w:rPr>
        <w:t>doesn’t</w:t>
      </w:r>
      <w:r>
        <w:rPr>
          <w:spacing w:val="67"/>
          <w:sz w:val="30"/>
        </w:rPr>
        <w:t xml:space="preserve"> </w:t>
      </w:r>
      <w:r>
        <w:rPr>
          <w:i/>
          <w:sz w:val="30"/>
        </w:rPr>
        <w:t>have</w:t>
      </w:r>
      <w:r>
        <w:rPr>
          <w:i/>
          <w:spacing w:val="58"/>
          <w:sz w:val="30"/>
        </w:rPr>
        <w:t xml:space="preserve"> </w:t>
      </w:r>
      <w:r>
        <w:rPr>
          <w:sz w:val="30"/>
        </w:rPr>
        <w:t>to</w:t>
      </w:r>
      <w:r>
        <w:rPr>
          <w:spacing w:val="74"/>
          <w:sz w:val="30"/>
        </w:rPr>
        <w:t xml:space="preserve"> </w:t>
      </w:r>
      <w:r>
        <w:rPr>
          <w:sz w:val="30"/>
        </w:rPr>
        <w:t>be</w:t>
      </w:r>
      <w:r>
        <w:rPr>
          <w:spacing w:val="73"/>
          <w:sz w:val="30"/>
        </w:rPr>
        <w:t xml:space="preserve"> </w:t>
      </w:r>
      <w:r>
        <w:rPr>
          <w:spacing w:val="-5"/>
          <w:sz w:val="30"/>
        </w:rPr>
        <w:t>in</w:t>
      </w:r>
    </w:p>
    <w:p w14:paraId="7E0013B6" w14:textId="77777777" w:rsidR="009A58DB" w:rsidRDefault="00000000">
      <w:pPr>
        <w:pStyle w:val="BodyText"/>
        <w:spacing w:before="75" w:line="271" w:lineRule="auto"/>
        <w:ind w:right="364"/>
      </w:pPr>
      <w:r>
        <w:t>bathtubs. (There was water before there were bathtubs.) So we don’t yet have anything that’s both necessary and a posteriori. But, of course, it isW</w:t>
      </w:r>
      <w:r>
        <w:rPr>
          <w:vertAlign w:val="subscript"/>
        </w:rPr>
        <w:t>10</w:t>
      </w:r>
      <w:r>
        <w:t>, not W</w:t>
      </w:r>
      <w:r>
        <w:rPr>
          <w:position w:val="-7"/>
          <w:sz w:val="22"/>
        </w:rPr>
        <w:t>9</w:t>
      </w:r>
      <w:r>
        <w:t>,</w:t>
      </w:r>
      <w:r>
        <w:rPr>
          <w:spacing w:val="58"/>
        </w:rPr>
        <w:t xml:space="preserve"> </w:t>
      </w:r>
      <w:r>
        <w:t>that</w:t>
      </w:r>
      <w:r>
        <w:rPr>
          <w:spacing w:val="58"/>
        </w:rPr>
        <w:t xml:space="preserve"> </w:t>
      </w:r>
      <w:r>
        <w:t>is</w:t>
      </w:r>
      <w:r>
        <w:rPr>
          <w:spacing w:val="57"/>
        </w:rPr>
        <w:t xml:space="preserve"> </w:t>
      </w:r>
      <w:r>
        <w:t>W</w:t>
      </w:r>
      <w:r>
        <w:rPr>
          <w:position w:val="-7"/>
          <w:sz w:val="22"/>
        </w:rPr>
        <w:t>8</w:t>
      </w:r>
      <w:r>
        <w:t>’s</w:t>
      </w:r>
      <w:r>
        <w:rPr>
          <w:spacing w:val="63"/>
        </w:rPr>
        <w:t xml:space="preserve"> </w:t>
      </w:r>
      <w:r>
        <w:t>literal</w:t>
      </w:r>
      <w:r>
        <w:rPr>
          <w:spacing w:val="63"/>
        </w:rPr>
        <w:t xml:space="preserve"> </w:t>
      </w:r>
      <w:r>
        <w:t>meaning.</w:t>
      </w:r>
      <w:r>
        <w:rPr>
          <w:spacing w:val="63"/>
        </w:rPr>
        <w:t xml:space="preserve"> </w:t>
      </w:r>
      <w:r>
        <w:t>For</w:t>
      </w:r>
      <w:r>
        <w:rPr>
          <w:spacing w:val="63"/>
        </w:rPr>
        <w:t xml:space="preserve"> </w:t>
      </w:r>
      <w:r>
        <w:t>the</w:t>
      </w:r>
      <w:r>
        <w:rPr>
          <w:spacing w:val="62"/>
        </w:rPr>
        <w:t xml:space="preserve"> </w:t>
      </w:r>
      <w:r>
        <w:t>appropriate</w:t>
      </w:r>
      <w:r>
        <w:rPr>
          <w:spacing w:val="64"/>
        </w:rPr>
        <w:t xml:space="preserve"> </w:t>
      </w:r>
      <w:r>
        <w:t>value</w:t>
      </w:r>
      <w:r>
        <w:rPr>
          <w:spacing w:val="63"/>
        </w:rPr>
        <w:t xml:space="preserve"> </w:t>
      </w:r>
      <w:r>
        <w:t>of</w:t>
      </w:r>
      <w:r>
        <w:rPr>
          <w:spacing w:val="62"/>
        </w:rPr>
        <w:t xml:space="preserve"> </w:t>
      </w:r>
      <w:r>
        <w:t>L,</w:t>
      </w:r>
      <w:r>
        <w:rPr>
          <w:spacing w:val="64"/>
        </w:rPr>
        <w:t xml:space="preserve"> </w:t>
      </w:r>
      <w:r>
        <w:t>W</w:t>
      </w:r>
      <w:r>
        <w:rPr>
          <w:position w:val="-7"/>
          <w:sz w:val="22"/>
        </w:rPr>
        <w:t>10</w:t>
      </w:r>
      <w:r>
        <w:rPr>
          <w:spacing w:val="78"/>
          <w:position w:val="-7"/>
          <w:sz w:val="22"/>
        </w:rPr>
        <w:t xml:space="preserve"> </w:t>
      </w:r>
      <w:r>
        <w:rPr>
          <w:spacing w:val="-5"/>
        </w:rPr>
        <w:t>is</w:t>
      </w:r>
    </w:p>
    <w:p w14:paraId="7E0013B7" w14:textId="77777777" w:rsidR="009A58DB" w:rsidRDefault="00000000">
      <w:pPr>
        <w:pStyle w:val="BodyText"/>
        <w:spacing w:line="313" w:lineRule="exact"/>
      </w:pPr>
      <w:r>
        <w:t>indeed</w:t>
      </w:r>
      <w:r>
        <w:rPr>
          <w:spacing w:val="1"/>
        </w:rPr>
        <w:t xml:space="preserve"> </w:t>
      </w:r>
      <w:r>
        <w:t>necessary</w:t>
      </w:r>
      <w:r>
        <w:rPr>
          <w:spacing w:val="2"/>
        </w:rPr>
        <w:t xml:space="preserve"> </w:t>
      </w:r>
      <w:r>
        <w:t>(just as</w:t>
      </w:r>
      <w:r>
        <w:rPr>
          <w:spacing w:val="1"/>
        </w:rPr>
        <w:t xml:space="preserve"> </w:t>
      </w:r>
      <w:r>
        <w:t>Kripke says).</w:t>
      </w:r>
      <w:r>
        <w:rPr>
          <w:spacing w:val="2"/>
        </w:rPr>
        <w:t xml:space="preserve"> </w:t>
      </w:r>
      <w:r>
        <w:t>But</w:t>
      </w:r>
      <w:r>
        <w:rPr>
          <w:spacing w:val="1"/>
        </w:rPr>
        <w:t xml:space="preserve"> </w:t>
      </w:r>
      <w:r>
        <w:t>is W</w:t>
      </w:r>
      <w:r>
        <w:rPr>
          <w:vertAlign w:val="subscript"/>
        </w:rPr>
        <w:t>10</w:t>
      </w:r>
      <w:r>
        <w:rPr>
          <w:spacing w:val="2"/>
        </w:rPr>
        <w:t xml:space="preserve"> </w:t>
      </w:r>
      <w:r>
        <w:t xml:space="preserve">a </w:t>
      </w:r>
      <w:r>
        <w:rPr>
          <w:spacing w:val="-2"/>
        </w:rPr>
        <w:t>posteriori?</w:t>
      </w:r>
    </w:p>
    <w:p w14:paraId="7E0013B8" w14:textId="77777777" w:rsidR="009A58DB" w:rsidRDefault="00000000">
      <w:pPr>
        <w:pStyle w:val="BodyText"/>
        <w:spacing w:before="75" w:line="271" w:lineRule="auto"/>
        <w:ind w:right="358" w:firstLine="360"/>
      </w:pPr>
      <w:r>
        <w:t>We must make two preliminary points before we take a stand on this delicate question. First, we must distinguishW</w:t>
      </w:r>
      <w:r>
        <w:rPr>
          <w:vertAlign w:val="subscript"/>
        </w:rPr>
        <w:t>10</w:t>
      </w:r>
      <w:r>
        <w:t xml:space="preserve"> from the information</w:t>
      </w:r>
      <w:r>
        <w:rPr>
          <w:spacing w:val="40"/>
        </w:rPr>
        <w:t xml:space="preserve"> </w:t>
      </w:r>
      <w:r>
        <w:rPr>
          <w:i/>
        </w:rPr>
        <w:t>through</w:t>
      </w:r>
      <w:r>
        <w:rPr>
          <w:i/>
          <w:spacing w:val="59"/>
          <w:w w:val="150"/>
        </w:rPr>
        <w:t xml:space="preserve"> </w:t>
      </w:r>
      <w:r>
        <w:rPr>
          <w:i/>
        </w:rPr>
        <w:t>which</w:t>
      </w:r>
      <w:r>
        <w:rPr>
          <w:i/>
          <w:spacing w:val="59"/>
          <w:w w:val="150"/>
        </w:rPr>
        <w:t xml:space="preserve"> </w:t>
      </w:r>
      <w:r>
        <w:t>it</w:t>
      </w:r>
      <w:r>
        <w:rPr>
          <w:spacing w:val="67"/>
          <w:w w:val="150"/>
        </w:rPr>
        <w:t xml:space="preserve"> </w:t>
      </w:r>
      <w:r>
        <w:t>might</w:t>
      </w:r>
      <w:r>
        <w:rPr>
          <w:spacing w:val="66"/>
          <w:w w:val="150"/>
        </w:rPr>
        <w:t xml:space="preserve"> </w:t>
      </w:r>
      <w:r>
        <w:t>be</w:t>
      </w:r>
      <w:r>
        <w:rPr>
          <w:spacing w:val="66"/>
          <w:w w:val="150"/>
        </w:rPr>
        <w:t xml:space="preserve"> </w:t>
      </w:r>
      <w:r>
        <w:t>grasped.</w:t>
      </w:r>
      <w:r>
        <w:rPr>
          <w:spacing w:val="68"/>
          <w:w w:val="150"/>
        </w:rPr>
        <w:t xml:space="preserve"> </w:t>
      </w:r>
      <w:r>
        <w:t>W</w:t>
      </w:r>
      <w:r>
        <w:rPr>
          <w:vertAlign w:val="subscript"/>
        </w:rPr>
        <w:t>9</w:t>
      </w:r>
      <w:r>
        <w:rPr>
          <w:spacing w:val="67"/>
          <w:w w:val="150"/>
        </w:rPr>
        <w:t xml:space="preserve"> </w:t>
      </w:r>
      <w:r>
        <w:t>is</w:t>
      </w:r>
      <w:r>
        <w:rPr>
          <w:spacing w:val="66"/>
          <w:w w:val="150"/>
        </w:rPr>
        <w:t xml:space="preserve"> </w:t>
      </w:r>
      <w:r>
        <w:t>an</w:t>
      </w:r>
      <w:r>
        <w:rPr>
          <w:spacing w:val="68"/>
          <w:w w:val="150"/>
        </w:rPr>
        <w:t xml:space="preserve"> </w:t>
      </w:r>
      <w:r>
        <w:t>example</w:t>
      </w:r>
      <w:r>
        <w:rPr>
          <w:spacing w:val="66"/>
          <w:w w:val="150"/>
        </w:rPr>
        <w:t xml:space="preserve"> </w:t>
      </w:r>
      <w:r>
        <w:t>of</w:t>
      </w:r>
      <w:r>
        <w:rPr>
          <w:spacing w:val="66"/>
          <w:w w:val="150"/>
        </w:rPr>
        <w:t xml:space="preserve"> </w:t>
      </w:r>
      <w:r>
        <w:t>the</w:t>
      </w:r>
      <w:r>
        <w:rPr>
          <w:spacing w:val="67"/>
          <w:w w:val="150"/>
        </w:rPr>
        <w:t xml:space="preserve"> </w:t>
      </w:r>
      <w:r>
        <w:t>sort</w:t>
      </w:r>
      <w:r>
        <w:rPr>
          <w:spacing w:val="66"/>
          <w:w w:val="150"/>
        </w:rPr>
        <w:t xml:space="preserve"> </w:t>
      </w:r>
      <w:r>
        <w:rPr>
          <w:spacing w:val="-5"/>
        </w:rPr>
        <w:t>of</w:t>
      </w:r>
    </w:p>
    <w:p w14:paraId="7E0013B9" w14:textId="77777777" w:rsidR="009A58DB" w:rsidRDefault="00000000">
      <w:pPr>
        <w:pStyle w:val="BodyText"/>
        <w:spacing w:before="31" w:line="249" w:lineRule="auto"/>
        <w:ind w:right="367"/>
      </w:pPr>
      <w:r>
        <w:t>descriptive information through one graspsW</w:t>
      </w:r>
      <w:r>
        <w:rPr>
          <w:position w:val="-7"/>
          <w:sz w:val="22"/>
        </w:rPr>
        <w:t>10</w:t>
      </w:r>
      <w:r>
        <w:t>. Since one grasps W</w:t>
      </w:r>
      <w:r>
        <w:rPr>
          <w:position w:val="-7"/>
          <w:sz w:val="22"/>
        </w:rPr>
        <w:t xml:space="preserve">10 </w:t>
      </w:r>
      <w:r>
        <w:t xml:space="preserve">through such propositions, it’s easy to attribute their features to it. Since </w:t>
      </w:r>
      <w:r>
        <w:rPr>
          <w:i/>
        </w:rPr>
        <w:t xml:space="preserve">they </w:t>
      </w:r>
      <w:r>
        <w:t>are contingent, and we grasp W</w:t>
      </w:r>
      <w:r>
        <w:rPr>
          <w:position w:val="-7"/>
          <w:sz w:val="22"/>
        </w:rPr>
        <w:t xml:space="preserve">10 </w:t>
      </w:r>
      <w:r>
        <w:t>through them, it’s easy to think that W</w:t>
      </w:r>
      <w:r>
        <w:rPr>
          <w:position w:val="-7"/>
          <w:sz w:val="22"/>
        </w:rPr>
        <w:t xml:space="preserve">10 </w:t>
      </w:r>
      <w:r>
        <w:t xml:space="preserve">is </w:t>
      </w:r>
      <w:r>
        <w:rPr>
          <w:spacing w:val="-2"/>
        </w:rPr>
        <w:t>contingent.</w:t>
      </w:r>
    </w:p>
    <w:p w14:paraId="7E0013BA" w14:textId="77777777" w:rsidR="009A58DB" w:rsidRDefault="00000000">
      <w:pPr>
        <w:pStyle w:val="BodyText"/>
        <w:spacing w:line="249" w:lineRule="auto"/>
        <w:ind w:right="360" w:firstLine="360"/>
      </w:pPr>
      <w:r>
        <w:t>The second point involves our outlining points that will be discussed more fully in Chapter 9. Consider the proposition:</w:t>
      </w:r>
    </w:p>
    <w:p w14:paraId="7E0013BB" w14:textId="77777777" w:rsidR="009A58DB" w:rsidRDefault="009A58DB">
      <w:pPr>
        <w:pStyle w:val="BodyText"/>
        <w:spacing w:before="17"/>
        <w:ind w:left="0"/>
        <w:jc w:val="left"/>
      </w:pPr>
    </w:p>
    <w:p w14:paraId="7E0013BC" w14:textId="77777777" w:rsidR="009A58DB" w:rsidRDefault="00000000">
      <w:pPr>
        <w:pStyle w:val="BodyText"/>
        <w:jc w:val="left"/>
      </w:pPr>
      <w:r>
        <w:t>(JS)</w:t>
      </w:r>
      <w:r>
        <w:rPr>
          <w:spacing w:val="-3"/>
        </w:rPr>
        <w:t xml:space="preserve"> </w:t>
      </w:r>
      <w:r>
        <w:t>John</w:t>
      </w:r>
      <w:r>
        <w:rPr>
          <w:spacing w:val="-2"/>
        </w:rPr>
        <w:t xml:space="preserve"> snores.</w:t>
      </w:r>
    </w:p>
    <w:p w14:paraId="7E0013BD" w14:textId="77777777" w:rsidR="009A58DB" w:rsidRDefault="009A58DB">
      <w:pPr>
        <w:pStyle w:val="BodyText"/>
        <w:spacing w:before="30"/>
        <w:ind w:left="0"/>
        <w:jc w:val="left"/>
      </w:pPr>
    </w:p>
    <w:p w14:paraId="7E0013BE" w14:textId="77777777" w:rsidR="009A58DB" w:rsidRDefault="00000000">
      <w:pPr>
        <w:pStyle w:val="BodyText"/>
        <w:spacing w:line="249" w:lineRule="auto"/>
        <w:ind w:right="362"/>
      </w:pPr>
      <w:r>
        <w:t>Under what circumstances is it true? The property of being identical with John must be instantiated. The property of being a smoker must be instantiated. And the property of being something that is and is also a smoker</w:t>
      </w:r>
    </w:p>
    <w:p w14:paraId="7E0013BF"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3C0" w14:textId="77777777" w:rsidR="009A58DB" w:rsidRDefault="00000000">
      <w:pPr>
        <w:pStyle w:val="BodyText"/>
        <w:spacing w:before="65"/>
      </w:pPr>
      <w:r>
        <w:lastRenderedPageBreak/>
        <w:t>must</w:t>
      </w:r>
      <w:r>
        <w:rPr>
          <w:spacing w:val="-2"/>
        </w:rPr>
        <w:t xml:space="preserve"> </w:t>
      </w:r>
      <w:r>
        <w:t>be</w:t>
      </w:r>
      <w:r>
        <w:rPr>
          <w:spacing w:val="-2"/>
        </w:rPr>
        <w:t xml:space="preserve"> instantiated.</w:t>
      </w:r>
    </w:p>
    <w:p w14:paraId="7E0013C1" w14:textId="77777777" w:rsidR="009A58DB" w:rsidRDefault="00000000">
      <w:pPr>
        <w:pStyle w:val="BodyText"/>
        <w:spacing w:before="15" w:line="249" w:lineRule="auto"/>
        <w:ind w:right="365" w:firstLine="360"/>
      </w:pPr>
      <w:r>
        <w:t>We can thus identify JS with a set S consisting of those three properties (viz. that of being identical with John, that of being a smoker, and that of being a thing that is John that is smoking). Since all the members of S are instantiated if and only if JS is true, we may identify JS’s being true with its being the case that all the members of JS are instantiated. Thus, JS may be identified with a set of properties, and the fact that it’s true may be identified with the fact that those properties are instantiated.</w:t>
      </w:r>
    </w:p>
    <w:p w14:paraId="7E0013C2" w14:textId="77777777" w:rsidR="009A58DB" w:rsidRDefault="00000000">
      <w:pPr>
        <w:pStyle w:val="BodyText"/>
        <w:spacing w:before="8" w:line="271" w:lineRule="auto"/>
        <w:ind w:right="361" w:firstLine="360"/>
      </w:pPr>
      <w:r>
        <w:t>Let’s apply this reasoning to L</w:t>
      </w:r>
      <w:r>
        <w:rPr>
          <w:vertAlign w:val="subscript"/>
        </w:rPr>
        <w:t>10</w:t>
      </w:r>
      <w:r>
        <w:t>. That proposition is true if and only if anything</w:t>
      </w:r>
      <w:r>
        <w:rPr>
          <w:spacing w:val="-2"/>
        </w:rPr>
        <w:t xml:space="preserve"> </w:t>
      </w:r>
      <w:r>
        <w:t>that</w:t>
      </w:r>
      <w:r>
        <w:rPr>
          <w:spacing w:val="-3"/>
        </w:rPr>
        <w:t xml:space="preserve"> </w:t>
      </w:r>
      <w:r>
        <w:t>is</w:t>
      </w:r>
      <w:r>
        <w:rPr>
          <w:spacing w:val="-3"/>
        </w:rPr>
        <w:t xml:space="preserve"> </w:t>
      </w:r>
      <w:r>
        <w:t>an</w:t>
      </w:r>
      <w:r>
        <w:rPr>
          <w:spacing w:val="-2"/>
        </w:rPr>
        <w:t xml:space="preserve"> </w:t>
      </w:r>
      <w:r>
        <w:t>instance</w:t>
      </w:r>
      <w:r>
        <w:rPr>
          <w:spacing w:val="-3"/>
        </w:rPr>
        <w:t xml:space="preserve"> </w:t>
      </w:r>
      <w:r>
        <w:t>of</w:t>
      </w:r>
      <w:r>
        <w:rPr>
          <w:spacing w:val="-3"/>
        </w:rPr>
        <w:t xml:space="preserve"> </w:t>
      </w:r>
      <w:r>
        <w:t>the</w:t>
      </w:r>
      <w:r>
        <w:rPr>
          <w:spacing w:val="-3"/>
        </w:rPr>
        <w:t xml:space="preserve"> </w:t>
      </w:r>
      <w:r>
        <w:t>property</w:t>
      </w:r>
      <w:r>
        <w:rPr>
          <w:spacing w:val="-2"/>
        </w:rPr>
        <w:t xml:space="preserve"> </w:t>
      </w:r>
      <w:r>
        <w:t>of</w:t>
      </w:r>
      <w:r>
        <w:rPr>
          <w:spacing w:val="-3"/>
        </w:rPr>
        <w:t xml:space="preserve"> </w:t>
      </w:r>
      <w:r>
        <w:t>being</w:t>
      </w:r>
      <w:r>
        <w:rPr>
          <w:spacing w:val="-2"/>
        </w:rPr>
        <w:t xml:space="preserve"> </w:t>
      </w:r>
      <w:r>
        <w:t>identical</w:t>
      </w:r>
      <w:r>
        <w:rPr>
          <w:spacing w:val="-3"/>
        </w:rPr>
        <w:t xml:space="preserve"> </w:t>
      </w:r>
      <w:r>
        <w:t>with</w:t>
      </w:r>
      <w:r>
        <w:rPr>
          <w:spacing w:val="-2"/>
        </w:rPr>
        <w:t xml:space="preserve"> </w:t>
      </w:r>
      <w:r>
        <w:t>L</w:t>
      </w:r>
      <w:r>
        <w:rPr>
          <w:spacing w:val="-3"/>
        </w:rPr>
        <w:t xml:space="preserve"> </w:t>
      </w:r>
      <w:r>
        <w:t>is</w:t>
      </w:r>
      <w:r>
        <w:rPr>
          <w:spacing w:val="-3"/>
        </w:rPr>
        <w:t xml:space="preserve"> </w:t>
      </w:r>
      <w:r>
        <w:t>also</w:t>
      </w:r>
      <w:r>
        <w:rPr>
          <w:spacing w:val="-2"/>
        </w:rPr>
        <w:t xml:space="preserve"> </w:t>
      </w:r>
      <w:r>
        <w:t>an instance</w:t>
      </w:r>
      <w:r>
        <w:rPr>
          <w:spacing w:val="8"/>
        </w:rPr>
        <w:t xml:space="preserve"> </w:t>
      </w:r>
      <w:r>
        <w:t>of</w:t>
      </w:r>
      <w:r>
        <w:rPr>
          <w:spacing w:val="9"/>
        </w:rPr>
        <w:t xml:space="preserve"> </w:t>
      </w:r>
      <w:r>
        <w:t>the</w:t>
      </w:r>
      <w:r>
        <w:rPr>
          <w:spacing w:val="8"/>
        </w:rPr>
        <w:t xml:space="preserve"> </w:t>
      </w:r>
      <w:r>
        <w:t>property</w:t>
      </w:r>
      <w:r>
        <w:rPr>
          <w:spacing w:val="9"/>
        </w:rPr>
        <w:t xml:space="preserve"> </w:t>
      </w:r>
      <w:r>
        <w:t>of</w:t>
      </w:r>
      <w:r>
        <w:rPr>
          <w:spacing w:val="10"/>
        </w:rPr>
        <w:t xml:space="preserve"> </w:t>
      </w:r>
      <w:r>
        <w:t>being</w:t>
      </w:r>
      <w:r>
        <w:rPr>
          <w:spacing w:val="8"/>
        </w:rPr>
        <w:t xml:space="preserve"> </w:t>
      </w:r>
      <w:r>
        <w:t>identical</w:t>
      </w:r>
      <w:r>
        <w:rPr>
          <w:spacing w:val="9"/>
        </w:rPr>
        <w:t xml:space="preserve"> </w:t>
      </w:r>
      <w:r>
        <w:t>with</w:t>
      </w:r>
      <w:r>
        <w:rPr>
          <w:spacing w:val="8"/>
        </w:rPr>
        <w:t xml:space="preserve"> </w:t>
      </w:r>
      <w:r>
        <w:t>water.</w:t>
      </w:r>
      <w:r>
        <w:rPr>
          <w:spacing w:val="9"/>
        </w:rPr>
        <w:t xml:space="preserve"> </w:t>
      </w:r>
      <w:r>
        <w:t>L</w:t>
      </w:r>
      <w:r>
        <w:rPr>
          <w:spacing w:val="10"/>
        </w:rPr>
        <w:t xml:space="preserve"> </w:t>
      </w:r>
      <w:r>
        <w:rPr>
          <w:i/>
        </w:rPr>
        <w:t>is</w:t>
      </w:r>
      <w:r>
        <w:rPr>
          <w:i/>
          <w:spacing w:val="12"/>
        </w:rPr>
        <w:t xml:space="preserve"> </w:t>
      </w:r>
      <w:r>
        <w:t>water.</w:t>
      </w:r>
      <w:r>
        <w:rPr>
          <w:spacing w:val="12"/>
        </w:rPr>
        <w:t xml:space="preserve"> </w:t>
      </w:r>
      <w:r>
        <w:t>So</w:t>
      </w:r>
      <w:r>
        <w:rPr>
          <w:spacing w:val="13"/>
        </w:rPr>
        <w:t xml:space="preserve"> </w:t>
      </w:r>
      <w:r>
        <w:t>the</w:t>
      </w:r>
      <w:r>
        <w:rPr>
          <w:spacing w:val="12"/>
        </w:rPr>
        <w:t xml:space="preserve"> </w:t>
      </w:r>
      <w:r>
        <w:rPr>
          <w:spacing w:val="-4"/>
        </w:rPr>
        <w:t>first</w:t>
      </w:r>
    </w:p>
    <w:p w14:paraId="7E0013C3" w14:textId="77777777" w:rsidR="009A58DB" w:rsidRDefault="00000000">
      <w:pPr>
        <w:pStyle w:val="BodyText"/>
        <w:spacing w:line="316" w:lineRule="exact"/>
      </w:pPr>
      <w:r>
        <w:t>property</w:t>
      </w:r>
      <w:r>
        <w:rPr>
          <w:spacing w:val="14"/>
        </w:rPr>
        <w:t xml:space="preserve"> </w:t>
      </w:r>
      <w:r>
        <w:t>is</w:t>
      </w:r>
      <w:r>
        <w:rPr>
          <w:spacing w:val="16"/>
        </w:rPr>
        <w:t xml:space="preserve"> </w:t>
      </w:r>
      <w:r>
        <w:t>the</w:t>
      </w:r>
      <w:r>
        <w:rPr>
          <w:spacing w:val="18"/>
        </w:rPr>
        <w:t xml:space="preserve"> </w:t>
      </w:r>
      <w:r>
        <w:t>property</w:t>
      </w:r>
      <w:r>
        <w:rPr>
          <w:spacing w:val="16"/>
        </w:rPr>
        <w:t xml:space="preserve"> </w:t>
      </w:r>
      <w:r>
        <w:t>of</w:t>
      </w:r>
      <w:r>
        <w:rPr>
          <w:spacing w:val="17"/>
        </w:rPr>
        <w:t xml:space="preserve"> </w:t>
      </w:r>
      <w:r>
        <w:t>being</w:t>
      </w:r>
      <w:r>
        <w:rPr>
          <w:spacing w:val="17"/>
        </w:rPr>
        <w:t xml:space="preserve"> </w:t>
      </w:r>
      <w:r>
        <w:t>identical</w:t>
      </w:r>
      <w:r>
        <w:rPr>
          <w:spacing w:val="16"/>
        </w:rPr>
        <w:t xml:space="preserve"> </w:t>
      </w:r>
      <w:r>
        <w:t>with</w:t>
      </w:r>
      <w:r>
        <w:rPr>
          <w:spacing w:val="17"/>
        </w:rPr>
        <w:t xml:space="preserve"> </w:t>
      </w:r>
      <w:r>
        <w:t>water.</w:t>
      </w:r>
      <w:r>
        <w:rPr>
          <w:spacing w:val="17"/>
        </w:rPr>
        <w:t xml:space="preserve"> </w:t>
      </w:r>
      <w:r>
        <w:t>The</w:t>
      </w:r>
      <w:r>
        <w:rPr>
          <w:spacing w:val="17"/>
        </w:rPr>
        <w:t xml:space="preserve"> </w:t>
      </w:r>
      <w:r>
        <w:t>property</w:t>
      </w:r>
      <w:r>
        <w:rPr>
          <w:spacing w:val="16"/>
        </w:rPr>
        <w:t xml:space="preserve"> </w:t>
      </w:r>
      <w:r>
        <w:t>of</w:t>
      </w:r>
      <w:r>
        <w:rPr>
          <w:spacing w:val="18"/>
        </w:rPr>
        <w:t xml:space="preserve"> </w:t>
      </w:r>
      <w:r>
        <w:rPr>
          <w:spacing w:val="-2"/>
        </w:rPr>
        <w:t>being</w:t>
      </w:r>
    </w:p>
    <w:p w14:paraId="7E0013C4" w14:textId="77777777" w:rsidR="009A58DB" w:rsidRDefault="00000000">
      <w:pPr>
        <w:pStyle w:val="BodyText"/>
        <w:spacing w:before="15" w:line="271" w:lineRule="auto"/>
        <w:ind w:right="361"/>
      </w:pPr>
      <w:r>
        <w:t xml:space="preserve">identical with water </w:t>
      </w:r>
      <w:r>
        <w:rPr>
          <w:i/>
        </w:rPr>
        <w:t xml:space="preserve">is </w:t>
      </w:r>
      <w:r>
        <w:t>the property of being identical with H</w:t>
      </w:r>
      <w:r>
        <w:rPr>
          <w:vertAlign w:val="subscript"/>
        </w:rPr>
        <w:t>2</w:t>
      </w:r>
      <w:r>
        <w:t xml:space="preserve">O. As Kripke himself stresses, it </w:t>
      </w:r>
      <w:r>
        <w:rPr>
          <w:i/>
        </w:rPr>
        <w:t>isn’t</w:t>
      </w:r>
      <w:r>
        <w:rPr>
          <w:i/>
          <w:spacing w:val="-4"/>
        </w:rPr>
        <w:t xml:space="preserve"> </w:t>
      </w:r>
      <w:r>
        <w:t>the property of being the clear liquid in bathtubs, etc. No—it’s</w:t>
      </w:r>
      <w:r>
        <w:rPr>
          <w:spacing w:val="27"/>
        </w:rPr>
        <w:t xml:space="preserve">  </w:t>
      </w:r>
      <w:r>
        <w:t>the</w:t>
      </w:r>
      <w:r>
        <w:rPr>
          <w:spacing w:val="30"/>
        </w:rPr>
        <w:t xml:space="preserve">  </w:t>
      </w:r>
      <w:r>
        <w:t>property</w:t>
      </w:r>
      <w:r>
        <w:rPr>
          <w:spacing w:val="30"/>
        </w:rPr>
        <w:t xml:space="preserve">  </w:t>
      </w:r>
      <w:r>
        <w:t>of</w:t>
      </w:r>
      <w:r>
        <w:rPr>
          <w:spacing w:val="30"/>
        </w:rPr>
        <w:t xml:space="preserve">  </w:t>
      </w:r>
      <w:r>
        <w:t>having</w:t>
      </w:r>
      <w:r>
        <w:rPr>
          <w:spacing w:val="30"/>
        </w:rPr>
        <w:t xml:space="preserve">  </w:t>
      </w:r>
      <w:r>
        <w:t>a</w:t>
      </w:r>
      <w:r>
        <w:rPr>
          <w:spacing w:val="30"/>
        </w:rPr>
        <w:t xml:space="preserve">  </w:t>
      </w:r>
      <w:r>
        <w:t>certain</w:t>
      </w:r>
      <w:r>
        <w:rPr>
          <w:spacing w:val="30"/>
        </w:rPr>
        <w:t xml:space="preserve">  </w:t>
      </w:r>
      <w:r>
        <w:t>chemical</w:t>
      </w:r>
      <w:r>
        <w:rPr>
          <w:spacing w:val="30"/>
        </w:rPr>
        <w:t xml:space="preserve">  </w:t>
      </w:r>
      <w:r>
        <w:t>composition,</w:t>
      </w:r>
      <w:r>
        <w:rPr>
          <w:spacing w:val="30"/>
        </w:rPr>
        <w:t xml:space="preserve">  </w:t>
      </w:r>
      <w:r>
        <w:rPr>
          <w:spacing w:val="-5"/>
        </w:rPr>
        <w:t>for</w:t>
      </w:r>
    </w:p>
    <w:p w14:paraId="7E0013C5" w14:textId="77777777" w:rsidR="009A58DB" w:rsidRDefault="00000000">
      <w:pPr>
        <w:pStyle w:val="BodyText"/>
        <w:spacing w:line="316" w:lineRule="exact"/>
      </w:pPr>
      <w:r>
        <w:t>something</w:t>
      </w:r>
      <w:r>
        <w:rPr>
          <w:spacing w:val="15"/>
        </w:rPr>
        <w:t xml:space="preserve"> </w:t>
      </w:r>
      <w:r>
        <w:t>to</w:t>
      </w:r>
      <w:r>
        <w:rPr>
          <w:spacing w:val="15"/>
        </w:rPr>
        <w:t xml:space="preserve"> </w:t>
      </w:r>
      <w:r>
        <w:t>have</w:t>
      </w:r>
      <w:r>
        <w:rPr>
          <w:spacing w:val="15"/>
        </w:rPr>
        <w:t xml:space="preserve"> </w:t>
      </w:r>
      <w:r>
        <w:t>that</w:t>
      </w:r>
      <w:r>
        <w:rPr>
          <w:spacing w:val="15"/>
        </w:rPr>
        <w:t xml:space="preserve"> </w:t>
      </w:r>
      <w:r>
        <w:t>composition</w:t>
      </w:r>
      <w:r>
        <w:rPr>
          <w:spacing w:val="15"/>
        </w:rPr>
        <w:t xml:space="preserve"> </w:t>
      </w:r>
      <w:r>
        <w:t>is</w:t>
      </w:r>
      <w:r>
        <w:rPr>
          <w:spacing w:val="15"/>
        </w:rPr>
        <w:t xml:space="preserve"> </w:t>
      </w:r>
      <w:r>
        <w:t>for</w:t>
      </w:r>
      <w:r>
        <w:rPr>
          <w:spacing w:val="16"/>
        </w:rPr>
        <w:t xml:space="preserve"> </w:t>
      </w:r>
      <w:r>
        <w:t>it</w:t>
      </w:r>
      <w:r>
        <w:rPr>
          <w:spacing w:val="15"/>
        </w:rPr>
        <w:t xml:space="preserve"> </w:t>
      </w:r>
      <w:r>
        <w:t>to</w:t>
      </w:r>
      <w:r>
        <w:rPr>
          <w:spacing w:val="15"/>
        </w:rPr>
        <w:t xml:space="preserve"> </w:t>
      </w:r>
      <w:r>
        <w:t>consist</w:t>
      </w:r>
      <w:r>
        <w:rPr>
          <w:spacing w:val="15"/>
        </w:rPr>
        <w:t xml:space="preserve"> </w:t>
      </w:r>
      <w:r>
        <w:t>of</w:t>
      </w:r>
      <w:r>
        <w:rPr>
          <w:spacing w:val="15"/>
        </w:rPr>
        <w:t xml:space="preserve"> </w:t>
      </w:r>
      <w:r>
        <w:t>H</w:t>
      </w:r>
      <w:r>
        <w:rPr>
          <w:vertAlign w:val="subscript"/>
        </w:rPr>
        <w:t>2</w:t>
      </w:r>
      <w:r>
        <w:t>O</w:t>
      </w:r>
      <w:r>
        <w:rPr>
          <w:spacing w:val="13"/>
        </w:rPr>
        <w:t xml:space="preserve"> </w:t>
      </w:r>
      <w:r>
        <w:t>molecules.</w:t>
      </w:r>
      <w:r>
        <w:rPr>
          <w:spacing w:val="14"/>
        </w:rPr>
        <w:t xml:space="preserve"> </w:t>
      </w:r>
      <w:r>
        <w:rPr>
          <w:spacing w:val="-7"/>
        </w:rPr>
        <w:t>So</w:t>
      </w:r>
    </w:p>
    <w:p w14:paraId="7E0013C6" w14:textId="77777777" w:rsidR="009A58DB" w:rsidRDefault="00000000">
      <w:pPr>
        <w:pStyle w:val="BodyText"/>
        <w:spacing w:before="75" w:line="292" w:lineRule="auto"/>
        <w:ind w:right="363"/>
      </w:pPr>
      <w:r>
        <w:t>if W</w:t>
      </w:r>
      <w:r>
        <w:rPr>
          <w:vertAlign w:val="subscript"/>
        </w:rPr>
        <w:t>10</w:t>
      </w:r>
      <w:r>
        <w:t xml:space="preserve"> is true the property of being with water is instantiated just in case the property of having a certain chemical composition, viz. that of being H</w:t>
      </w:r>
      <w:r>
        <w:rPr>
          <w:vertAlign w:val="subscript"/>
        </w:rPr>
        <w:t>2</w:t>
      </w:r>
      <w:r>
        <w:t>O, is instantiated. Since</w:t>
      </w:r>
      <w:r>
        <w:rPr>
          <w:spacing w:val="2"/>
        </w:rPr>
        <w:t xml:space="preserve"> </w:t>
      </w:r>
      <w:r>
        <w:t>the</w:t>
      </w:r>
      <w:r>
        <w:rPr>
          <w:spacing w:val="2"/>
        </w:rPr>
        <w:t xml:space="preserve"> </w:t>
      </w:r>
      <w:r>
        <w:t>former</w:t>
      </w:r>
      <w:r>
        <w:rPr>
          <w:spacing w:val="2"/>
        </w:rPr>
        <w:t xml:space="preserve"> </w:t>
      </w:r>
      <w:r>
        <w:t>is</w:t>
      </w:r>
      <w:r>
        <w:rPr>
          <w:spacing w:val="2"/>
        </w:rPr>
        <w:t xml:space="preserve"> </w:t>
      </w:r>
      <w:r>
        <w:t>the</w:t>
      </w:r>
      <w:r>
        <w:rPr>
          <w:spacing w:val="2"/>
        </w:rPr>
        <w:t xml:space="preserve"> </w:t>
      </w:r>
      <w:r>
        <w:t>property</w:t>
      </w:r>
      <w:r>
        <w:rPr>
          <w:spacing w:val="2"/>
        </w:rPr>
        <w:t xml:space="preserve"> </w:t>
      </w:r>
      <w:r>
        <w:t>of</w:t>
      </w:r>
      <w:r>
        <w:rPr>
          <w:spacing w:val="2"/>
        </w:rPr>
        <w:t xml:space="preserve"> </w:t>
      </w:r>
      <w:r>
        <w:t>having</w:t>
      </w:r>
      <w:r>
        <w:rPr>
          <w:spacing w:val="2"/>
        </w:rPr>
        <w:t xml:space="preserve"> </w:t>
      </w:r>
      <w:r>
        <w:t>that</w:t>
      </w:r>
      <w:r>
        <w:rPr>
          <w:spacing w:val="2"/>
        </w:rPr>
        <w:t xml:space="preserve"> </w:t>
      </w:r>
      <w:r>
        <w:t>composition,</w:t>
      </w:r>
      <w:r>
        <w:rPr>
          <w:spacing w:val="2"/>
        </w:rPr>
        <w:t xml:space="preserve"> </w:t>
      </w:r>
      <w:r>
        <w:rPr>
          <w:spacing w:val="-5"/>
        </w:rPr>
        <w:t>W</w:t>
      </w:r>
      <w:r>
        <w:rPr>
          <w:spacing w:val="-5"/>
          <w:vertAlign w:val="subscript"/>
        </w:rPr>
        <w:t>10</w:t>
      </w:r>
    </w:p>
    <w:p w14:paraId="7E0013C7" w14:textId="77777777" w:rsidR="009A58DB" w:rsidRDefault="00000000">
      <w:pPr>
        <w:pStyle w:val="BodyText"/>
        <w:spacing w:line="249" w:lineRule="auto"/>
        <w:ind w:right="369"/>
      </w:pPr>
      <w:r>
        <w:t>is true just in case anything having that chemical composition has that composition. In other words, W</w:t>
      </w:r>
      <w:r>
        <w:rPr>
          <w:vertAlign w:val="subscript"/>
        </w:rPr>
        <w:t>10</w:t>
      </w:r>
      <w:r>
        <w:t xml:space="preserve"> is true just in case:</w:t>
      </w:r>
    </w:p>
    <w:p w14:paraId="7E0013C8" w14:textId="77777777" w:rsidR="009A58DB" w:rsidRDefault="00000000">
      <w:pPr>
        <w:pStyle w:val="BodyText"/>
        <w:spacing w:before="118" w:line="710" w:lineRule="atLeast"/>
        <w:ind w:right="5386"/>
      </w:pPr>
      <w:r>
        <w:t>(W</w:t>
      </w:r>
      <w:r>
        <w:rPr>
          <w:position w:val="-7"/>
          <w:sz w:val="22"/>
        </w:rPr>
        <w:t>11</w:t>
      </w:r>
      <w:r>
        <w:t>) anything that is H</w:t>
      </w:r>
      <w:r>
        <w:rPr>
          <w:position w:val="-7"/>
          <w:sz w:val="22"/>
        </w:rPr>
        <w:t>2</w:t>
      </w:r>
      <w:r>
        <w:t>O is H</w:t>
      </w:r>
      <w:r>
        <w:rPr>
          <w:position w:val="-7"/>
          <w:sz w:val="22"/>
        </w:rPr>
        <w:t>2</w:t>
      </w:r>
      <w:r>
        <w:t>O which,</w:t>
      </w:r>
      <w:r>
        <w:rPr>
          <w:spacing w:val="-3"/>
        </w:rPr>
        <w:t xml:space="preserve"> </w:t>
      </w:r>
      <w:r>
        <w:t>though</w:t>
      </w:r>
      <w:r>
        <w:rPr>
          <w:spacing w:val="-2"/>
        </w:rPr>
        <w:t xml:space="preserve"> </w:t>
      </w:r>
      <w:r>
        <w:t>necessary,</w:t>
      </w:r>
      <w:r>
        <w:rPr>
          <w:spacing w:val="-3"/>
        </w:rPr>
        <w:t xml:space="preserve"> </w:t>
      </w:r>
      <w:r>
        <w:t>is</w:t>
      </w:r>
      <w:r>
        <w:rPr>
          <w:spacing w:val="-3"/>
        </w:rPr>
        <w:t xml:space="preserve"> </w:t>
      </w:r>
      <w:r>
        <w:t>a</w:t>
      </w:r>
      <w:r>
        <w:rPr>
          <w:spacing w:val="-3"/>
        </w:rPr>
        <w:t xml:space="preserve"> </w:t>
      </w:r>
      <w:r>
        <w:rPr>
          <w:spacing w:val="-2"/>
        </w:rPr>
        <w:t>priori.</w:t>
      </w:r>
    </w:p>
    <w:p w14:paraId="7E0013C9" w14:textId="77777777" w:rsidR="009A58DB" w:rsidRDefault="00000000">
      <w:pPr>
        <w:pStyle w:val="BodyText"/>
        <w:spacing w:before="22" w:line="249" w:lineRule="auto"/>
        <w:ind w:right="362" w:firstLine="360"/>
      </w:pPr>
      <w:r>
        <w:t xml:space="preserve">Once again, we find that Kripke’s claim that he’s found a necessary a posteriori truth involves his conflating </w:t>
      </w:r>
      <w:r>
        <w:rPr>
          <w:i/>
        </w:rPr>
        <w:t xml:space="preserve">two </w:t>
      </w:r>
      <w:r>
        <w:t>truths: one a posteriori and contingent, the other necessary but also analytic.</w:t>
      </w:r>
    </w:p>
    <w:p w14:paraId="7E0013CA" w14:textId="77777777" w:rsidR="009A58DB" w:rsidRDefault="00000000">
      <w:pPr>
        <w:pStyle w:val="Heading1"/>
        <w:numPr>
          <w:ilvl w:val="1"/>
          <w:numId w:val="151"/>
        </w:numPr>
        <w:tabs>
          <w:tab w:val="left" w:pos="1204"/>
          <w:tab w:val="left" w:pos="2223"/>
          <w:tab w:val="left" w:pos="3662"/>
          <w:tab w:val="left" w:pos="4459"/>
          <w:tab w:val="left" w:pos="5338"/>
          <w:tab w:val="left" w:pos="7615"/>
          <w:tab w:val="left" w:pos="9357"/>
        </w:tabs>
        <w:spacing w:before="192" w:line="244" w:lineRule="auto"/>
        <w:ind w:right="370" w:firstLine="0"/>
      </w:pPr>
      <w:r>
        <w:rPr>
          <w:spacing w:val="-4"/>
        </w:rPr>
        <w:t>The</w:t>
      </w:r>
      <w:r>
        <w:tab/>
      </w:r>
      <w:r>
        <w:rPr>
          <w:spacing w:val="-2"/>
        </w:rPr>
        <w:t>causal</w:t>
      </w:r>
      <w:r>
        <w:tab/>
      </w:r>
      <w:r>
        <w:rPr>
          <w:spacing w:val="-4"/>
        </w:rPr>
        <w:t>vs.</w:t>
      </w:r>
      <w:r>
        <w:tab/>
      </w:r>
      <w:r>
        <w:rPr>
          <w:spacing w:val="-4"/>
        </w:rPr>
        <w:t>the</w:t>
      </w:r>
      <w:r>
        <w:tab/>
      </w:r>
      <w:r>
        <w:rPr>
          <w:spacing w:val="-2"/>
        </w:rPr>
        <w:t>descriptive</w:t>
      </w:r>
      <w:r>
        <w:tab/>
      </w:r>
      <w:r>
        <w:rPr>
          <w:spacing w:val="-2"/>
        </w:rPr>
        <w:t>theories</w:t>
      </w:r>
      <w:r>
        <w:tab/>
      </w:r>
      <w:r>
        <w:rPr>
          <w:spacing w:val="-6"/>
        </w:rPr>
        <w:t xml:space="preserve">of </w:t>
      </w:r>
      <w:r>
        <w:rPr>
          <w:spacing w:val="-2"/>
        </w:rPr>
        <w:t>conception</w:t>
      </w:r>
    </w:p>
    <w:p w14:paraId="7E0013CB" w14:textId="77777777" w:rsidR="009A58DB" w:rsidRDefault="00000000">
      <w:pPr>
        <w:pStyle w:val="BodyText"/>
        <w:spacing w:before="132" w:line="249" w:lineRule="auto"/>
        <w:ind w:right="365"/>
      </w:pPr>
      <w:r>
        <w:t>According to Russell, “Socrates” is synonymous with a definite description; this might be “the great philosopher of antiquity who died of hemlock poisoning.”</w:t>
      </w:r>
      <w:r>
        <w:rPr>
          <w:spacing w:val="79"/>
        </w:rPr>
        <w:t xml:space="preserve"> </w:t>
      </w:r>
      <w:r>
        <w:t>To</w:t>
      </w:r>
      <w:r>
        <w:rPr>
          <w:spacing w:val="42"/>
          <w:w w:val="150"/>
        </w:rPr>
        <w:t xml:space="preserve"> </w:t>
      </w:r>
      <w:r>
        <w:rPr>
          <w:i/>
        </w:rPr>
        <w:t>understand</w:t>
      </w:r>
      <w:r>
        <w:rPr>
          <w:i/>
          <w:spacing w:val="73"/>
        </w:rPr>
        <w:t xml:space="preserve"> </w:t>
      </w:r>
      <w:r>
        <w:t>the</w:t>
      </w:r>
      <w:r>
        <w:rPr>
          <w:spacing w:val="49"/>
          <w:w w:val="150"/>
        </w:rPr>
        <w:t xml:space="preserve"> </w:t>
      </w:r>
      <w:r>
        <w:t>word</w:t>
      </w:r>
      <w:r>
        <w:rPr>
          <w:spacing w:val="50"/>
          <w:w w:val="150"/>
        </w:rPr>
        <w:t xml:space="preserve"> </w:t>
      </w:r>
      <w:r>
        <w:t>“Socrates,”</w:t>
      </w:r>
      <w:r>
        <w:rPr>
          <w:spacing w:val="49"/>
          <w:w w:val="150"/>
        </w:rPr>
        <w:t xml:space="preserve"> </w:t>
      </w:r>
      <w:r>
        <w:t>and</w:t>
      </w:r>
      <w:r>
        <w:rPr>
          <w:spacing w:val="50"/>
          <w:w w:val="150"/>
        </w:rPr>
        <w:t xml:space="preserve"> </w:t>
      </w:r>
      <w:r>
        <w:t>thus</w:t>
      </w:r>
      <w:r>
        <w:rPr>
          <w:spacing w:val="49"/>
          <w:w w:val="150"/>
        </w:rPr>
        <w:t xml:space="preserve"> </w:t>
      </w:r>
      <w:r>
        <w:t>to</w:t>
      </w:r>
      <w:r>
        <w:rPr>
          <w:spacing w:val="50"/>
          <w:w w:val="150"/>
        </w:rPr>
        <w:t xml:space="preserve"> </w:t>
      </w:r>
      <w:r>
        <w:rPr>
          <w:spacing w:val="-2"/>
        </w:rPr>
        <w:t>understand</w:t>
      </w:r>
    </w:p>
    <w:p w14:paraId="7E0013C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CD" w14:textId="77777777" w:rsidR="009A58DB" w:rsidRDefault="00000000">
      <w:pPr>
        <w:pStyle w:val="BodyText"/>
        <w:spacing w:before="60" w:line="249" w:lineRule="auto"/>
        <w:ind w:right="359"/>
      </w:pPr>
      <w:r>
        <w:lastRenderedPageBreak/>
        <w:t>sentences of the form ‹...Socrates...›, one must obviously know the semantics of “Socrates.” So one must know that “Socrates” is synonymous with that definite description. Consequently, anyone who uses the word “Socrates” with understanding is able to produce a description that applies to Socrates and</w:t>
      </w:r>
      <w:r>
        <w:rPr>
          <w:spacing w:val="-3"/>
        </w:rPr>
        <w:t xml:space="preserve"> </w:t>
      </w:r>
      <w:r>
        <w:t>Socrates</w:t>
      </w:r>
      <w:r>
        <w:rPr>
          <w:spacing w:val="-4"/>
        </w:rPr>
        <w:t xml:space="preserve"> </w:t>
      </w:r>
      <w:r>
        <w:t>alone.</w:t>
      </w:r>
      <w:r>
        <w:rPr>
          <w:spacing w:val="-3"/>
        </w:rPr>
        <w:t xml:space="preserve"> </w:t>
      </w:r>
      <w:r>
        <w:t>In</w:t>
      </w:r>
      <w:r>
        <w:rPr>
          <w:spacing w:val="-3"/>
        </w:rPr>
        <w:t xml:space="preserve"> </w:t>
      </w:r>
      <w:r>
        <w:t>general,</w:t>
      </w:r>
      <w:r>
        <w:rPr>
          <w:spacing w:val="-3"/>
        </w:rPr>
        <w:t xml:space="preserve"> </w:t>
      </w:r>
      <w:r>
        <w:t>if</w:t>
      </w:r>
      <w:r>
        <w:rPr>
          <w:spacing w:val="-4"/>
        </w:rPr>
        <w:t xml:space="preserve"> </w:t>
      </w:r>
      <w:r>
        <w:t>one</w:t>
      </w:r>
      <w:r>
        <w:rPr>
          <w:spacing w:val="-4"/>
        </w:rPr>
        <w:t xml:space="preserve"> </w:t>
      </w:r>
      <w:r>
        <w:t>knows</w:t>
      </w:r>
      <w:r>
        <w:rPr>
          <w:spacing w:val="-4"/>
        </w:rPr>
        <w:t xml:space="preserve"> </w:t>
      </w:r>
      <w:r>
        <w:t>the</w:t>
      </w:r>
      <w:r>
        <w:rPr>
          <w:spacing w:val="-4"/>
        </w:rPr>
        <w:t xml:space="preserve"> </w:t>
      </w:r>
      <w:r>
        <w:t>semantics</w:t>
      </w:r>
      <w:r>
        <w:rPr>
          <w:spacing w:val="-4"/>
        </w:rPr>
        <w:t xml:space="preserve"> </w:t>
      </w:r>
      <w:r>
        <w:t>of</w:t>
      </w:r>
      <w:r>
        <w:rPr>
          <w:spacing w:val="-4"/>
        </w:rPr>
        <w:t xml:space="preserve"> </w:t>
      </w:r>
      <w:r>
        <w:t>a</w:t>
      </w:r>
      <w:r>
        <w:rPr>
          <w:spacing w:val="-4"/>
        </w:rPr>
        <w:t xml:space="preserve"> </w:t>
      </w:r>
      <w:r>
        <w:t>referring</w:t>
      </w:r>
      <w:r>
        <w:rPr>
          <w:spacing w:val="-3"/>
        </w:rPr>
        <w:t xml:space="preserve"> </w:t>
      </w:r>
      <w:r>
        <w:t>term, then one knows some description that applies uniquely to the referent of that term. (A description “uniquely applies” to x if x uniquely satisfies it. So the description “president of the U.S. in 2009” applies to/is uniquely satisfied by Barack Obama.)</w:t>
      </w:r>
    </w:p>
    <w:p w14:paraId="7E0013CE" w14:textId="77777777" w:rsidR="009A58DB" w:rsidRDefault="00000000">
      <w:pPr>
        <w:pStyle w:val="BodyText"/>
        <w:spacing w:before="16" w:line="249" w:lineRule="auto"/>
        <w:ind w:right="359" w:firstLine="360"/>
      </w:pPr>
      <w:r>
        <w:t xml:space="preserve">As we’ve seen, Kripke demolished this view. Consider </w:t>
      </w:r>
      <w:r>
        <w:rPr>
          <w:i/>
        </w:rPr>
        <w:t xml:space="preserve">any </w:t>
      </w:r>
      <w:r>
        <w:t xml:space="preserve">description of Socrates that Socrates uniquely satisfies (e.g., </w:t>
      </w:r>
      <w:r>
        <w:rPr>
          <w:i/>
        </w:rPr>
        <w:t>greatest philosopher to have died of hemlock poisoning</w:t>
      </w:r>
      <w:r>
        <w:t xml:space="preserve">). One can understand ‹Socrates had psi› without knowing that a unique </w:t>
      </w:r>
      <w:r>
        <w:rPr>
          <w:i/>
        </w:rPr>
        <w:t xml:space="preserve">greatest </w:t>
      </w:r>
      <w:r>
        <w:t xml:space="preserve">philosopher to have died of hemlock poisoning had psi. The same thing </w:t>
      </w:r>
      <w:r>
        <w:rPr>
          <w:i/>
        </w:rPr>
        <w:t xml:space="preserve">mutatis mutandis </w:t>
      </w:r>
      <w:r>
        <w:t xml:space="preserve">holds of any description that singles out Socrates. It follows that “Socrates” isn’t synonymous with “the greatest philosopher to have died of hemlock poisoning” or with any other definite description and that the same thing </w:t>
      </w:r>
      <w:r>
        <w:rPr>
          <w:i/>
        </w:rPr>
        <w:t xml:space="preserve">mutatis mutandis </w:t>
      </w:r>
      <w:r>
        <w:t>is true of any other proper name.</w:t>
      </w:r>
    </w:p>
    <w:p w14:paraId="7E0013CF" w14:textId="77777777" w:rsidR="009A58DB" w:rsidRDefault="00000000">
      <w:pPr>
        <w:pStyle w:val="Heading1"/>
        <w:numPr>
          <w:ilvl w:val="1"/>
          <w:numId w:val="151"/>
        </w:numPr>
        <w:tabs>
          <w:tab w:val="left" w:pos="990"/>
        </w:tabs>
        <w:spacing w:before="199"/>
        <w:ind w:left="990" w:hanging="630"/>
      </w:pPr>
      <w:r>
        <w:t>The</w:t>
      </w:r>
      <w:r>
        <w:rPr>
          <w:spacing w:val="-6"/>
        </w:rPr>
        <w:t xml:space="preserve"> </w:t>
      </w:r>
      <w:r>
        <w:t>causal</w:t>
      </w:r>
      <w:r>
        <w:rPr>
          <w:spacing w:val="-3"/>
        </w:rPr>
        <w:t xml:space="preserve"> </w:t>
      </w:r>
      <w:r>
        <w:t>theory</w:t>
      </w:r>
      <w:r>
        <w:rPr>
          <w:spacing w:val="-2"/>
        </w:rPr>
        <w:t xml:space="preserve"> </w:t>
      </w:r>
      <w:r>
        <w:t>of</w:t>
      </w:r>
      <w:r>
        <w:rPr>
          <w:spacing w:val="-3"/>
        </w:rPr>
        <w:t xml:space="preserve"> </w:t>
      </w:r>
      <w:r>
        <w:rPr>
          <w:spacing w:val="-2"/>
        </w:rPr>
        <w:t>reference</w:t>
      </w:r>
    </w:p>
    <w:p w14:paraId="7E0013D0" w14:textId="77777777" w:rsidR="009A58DB" w:rsidRDefault="00000000">
      <w:pPr>
        <w:pStyle w:val="BodyText"/>
        <w:spacing w:before="139" w:line="249" w:lineRule="auto"/>
        <w:ind w:right="357"/>
      </w:pPr>
      <w:r>
        <w:t xml:space="preserve">Rightly rejecting Russell’s view, according to which “Socrates” is a definite description that picks out Socrates, Kripke an alternative—to wit, “Socrates” refers to Socrates because a certain kind of </w:t>
      </w:r>
      <w:r>
        <w:rPr>
          <w:i/>
        </w:rPr>
        <w:t xml:space="preserve">causal </w:t>
      </w:r>
      <w:r>
        <w:t>relation holds between tokens of “Socrates” and Socrates himself (or, more exactly, states of affairs involving Socrates).</w:t>
      </w:r>
    </w:p>
    <w:p w14:paraId="7E0013D1" w14:textId="77777777" w:rsidR="009A58DB" w:rsidRDefault="00000000">
      <w:pPr>
        <w:pStyle w:val="BodyText"/>
        <w:spacing w:before="6" w:line="249" w:lineRule="auto"/>
        <w:ind w:right="358" w:firstLine="360"/>
      </w:pPr>
      <w:r>
        <w:t xml:space="preserve">According to Kripke, somebody </w:t>
      </w:r>
      <w:r>
        <w:rPr>
          <w:i/>
        </w:rPr>
        <w:t xml:space="preserve">saw </w:t>
      </w:r>
      <w:r>
        <w:t xml:space="preserve">Socrates. (Let’s call that person “Smith,” even though that obviously wasn’t his name.) Thus, Socrates’ presence </w:t>
      </w:r>
      <w:r>
        <w:rPr>
          <w:i/>
        </w:rPr>
        <w:t xml:space="preserve">caused </w:t>
      </w:r>
      <w:r>
        <w:t>Smith to have certain visual experiences. Smith then gave a name to Socrates. (Since it doesn’t matter in this context that Socrates’ actual name was something of which “Socrates” is a distorted Anglicization, we’ll make the false but expedient assumption that Socrates was in fact named “Socrates.”) Smith passed that name along to people who did not themselves see, or otherwise sense-perceive, Socrates. In order for Smith to pass along that name to a given person, that person had to be causally connected to Smith,</w:t>
      </w:r>
      <w:r>
        <w:rPr>
          <w:spacing w:val="20"/>
        </w:rPr>
        <w:t xml:space="preserve"> </w:t>
      </w:r>
      <w:r>
        <w:t>and</w:t>
      </w:r>
      <w:r>
        <w:rPr>
          <w:spacing w:val="20"/>
        </w:rPr>
        <w:t xml:space="preserve"> </w:t>
      </w:r>
      <w:r>
        <w:rPr>
          <w:i/>
        </w:rPr>
        <w:t>that</w:t>
      </w:r>
      <w:r>
        <w:rPr>
          <w:i/>
          <w:spacing w:val="27"/>
        </w:rPr>
        <w:t xml:space="preserve"> </w:t>
      </w:r>
      <w:r>
        <w:t>person</w:t>
      </w:r>
      <w:r>
        <w:rPr>
          <w:spacing w:val="28"/>
        </w:rPr>
        <w:t xml:space="preserve"> </w:t>
      </w:r>
      <w:r>
        <w:t>had</w:t>
      </w:r>
      <w:r>
        <w:rPr>
          <w:spacing w:val="28"/>
        </w:rPr>
        <w:t xml:space="preserve"> </w:t>
      </w:r>
      <w:r>
        <w:t>to</w:t>
      </w:r>
      <w:r>
        <w:rPr>
          <w:spacing w:val="28"/>
        </w:rPr>
        <w:t xml:space="preserve"> </w:t>
      </w:r>
      <w:r>
        <w:t>be</w:t>
      </w:r>
      <w:r>
        <w:rPr>
          <w:spacing w:val="27"/>
        </w:rPr>
        <w:t xml:space="preserve"> </w:t>
      </w:r>
      <w:r>
        <w:t>causally</w:t>
      </w:r>
      <w:r>
        <w:rPr>
          <w:spacing w:val="28"/>
        </w:rPr>
        <w:t xml:space="preserve"> </w:t>
      </w:r>
      <w:r>
        <w:t>connected</w:t>
      </w:r>
      <w:r>
        <w:rPr>
          <w:spacing w:val="28"/>
        </w:rPr>
        <w:t xml:space="preserve"> </w:t>
      </w:r>
      <w:r>
        <w:t>to</w:t>
      </w:r>
      <w:r>
        <w:rPr>
          <w:spacing w:val="28"/>
        </w:rPr>
        <w:t xml:space="preserve"> </w:t>
      </w:r>
      <w:r>
        <w:t>anyone</w:t>
      </w:r>
      <w:r>
        <w:rPr>
          <w:spacing w:val="27"/>
        </w:rPr>
        <w:t xml:space="preserve"> </w:t>
      </w:r>
      <w:r>
        <w:t>to</w:t>
      </w:r>
      <w:r>
        <w:rPr>
          <w:spacing w:val="28"/>
        </w:rPr>
        <w:t xml:space="preserve"> </w:t>
      </w:r>
      <w:r>
        <w:t>whom</w:t>
      </w:r>
      <w:r>
        <w:rPr>
          <w:spacing w:val="27"/>
        </w:rPr>
        <w:t xml:space="preserve"> </w:t>
      </w:r>
      <w:r>
        <w:rPr>
          <w:spacing w:val="-5"/>
        </w:rPr>
        <w:t>he</w:t>
      </w:r>
    </w:p>
    <w:p w14:paraId="7E0013D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D3" w14:textId="77777777" w:rsidR="009A58DB" w:rsidRDefault="00000000">
      <w:pPr>
        <w:pStyle w:val="BodyText"/>
        <w:spacing w:before="60" w:line="249" w:lineRule="auto"/>
        <w:ind w:right="358"/>
      </w:pPr>
      <w:r>
        <w:lastRenderedPageBreak/>
        <w:t>transmitted that word. Since, let us assume, I am the 521st installment in this sequence, I can refer to Socrates by saying “Socrates.” Thus, when I say “Socrates,” my words refer to Socrates because they are causally connected</w:t>
      </w:r>
      <w:r>
        <w:rPr>
          <w:spacing w:val="40"/>
        </w:rPr>
        <w:t xml:space="preserve"> </w:t>
      </w:r>
      <w:r>
        <w:t>to him in a certain way.</w:t>
      </w:r>
    </w:p>
    <w:p w14:paraId="7E0013D4" w14:textId="77777777" w:rsidR="009A58DB" w:rsidRDefault="00000000">
      <w:pPr>
        <w:pStyle w:val="BodyText"/>
        <w:spacing w:before="10" w:line="249" w:lineRule="auto"/>
        <w:ind w:right="369" w:firstLine="360"/>
      </w:pPr>
      <w:r>
        <w:t>In general, if an expression E refers to an object O, that is because tokens of E stand in a certain causal relation to states of affairs involving O.</w:t>
      </w:r>
    </w:p>
    <w:p w14:paraId="7E0013D5" w14:textId="77777777" w:rsidR="009A58DB" w:rsidRDefault="00000000">
      <w:pPr>
        <w:pStyle w:val="Heading1"/>
        <w:numPr>
          <w:ilvl w:val="1"/>
          <w:numId w:val="151"/>
        </w:numPr>
        <w:tabs>
          <w:tab w:val="left" w:pos="990"/>
        </w:tabs>
        <w:spacing w:before="190"/>
        <w:ind w:left="990" w:hanging="630"/>
      </w:pPr>
      <w:r>
        <w:t>The</w:t>
      </w:r>
      <w:r>
        <w:rPr>
          <w:spacing w:val="-9"/>
        </w:rPr>
        <w:t xml:space="preserve"> </w:t>
      </w:r>
      <w:r>
        <w:t>anti-descriptivist</w:t>
      </w:r>
      <w:r>
        <w:rPr>
          <w:spacing w:val="-6"/>
        </w:rPr>
        <w:t xml:space="preserve"> </w:t>
      </w:r>
      <w:r>
        <w:t>theory</w:t>
      </w:r>
      <w:r>
        <w:rPr>
          <w:spacing w:val="-5"/>
        </w:rPr>
        <w:t xml:space="preserve"> </w:t>
      </w:r>
      <w:r>
        <w:t>of</w:t>
      </w:r>
      <w:r>
        <w:rPr>
          <w:spacing w:val="-6"/>
        </w:rPr>
        <w:t xml:space="preserve"> </w:t>
      </w:r>
      <w:r>
        <w:rPr>
          <w:spacing w:val="-2"/>
        </w:rPr>
        <w:t>conception</w:t>
      </w:r>
    </w:p>
    <w:p w14:paraId="7E0013D6" w14:textId="77777777" w:rsidR="009A58DB" w:rsidRDefault="00000000">
      <w:pPr>
        <w:pStyle w:val="BodyText"/>
        <w:spacing w:before="139" w:line="249" w:lineRule="auto"/>
        <w:ind w:right="358"/>
      </w:pPr>
      <w:r>
        <w:t xml:space="preserve">We’ve see that, for any property phi uniquely had by Socrates, one can refer to Socrates using the word “Socrates” </w:t>
      </w:r>
      <w:r>
        <w:rPr>
          <w:i/>
        </w:rPr>
        <w:t>without</w:t>
      </w:r>
      <w:r>
        <w:rPr>
          <w:i/>
          <w:spacing w:val="-4"/>
        </w:rPr>
        <w:t xml:space="preserve"> </w:t>
      </w:r>
      <w:r>
        <w:t>knowing that “Socrates” refers to a unique instance of phi. Presumably, understanding ‹Socrates had psi›, for any property psi, involves having a concept of Socrates. Taken together,</w:t>
      </w:r>
      <w:r>
        <w:rPr>
          <w:spacing w:val="40"/>
        </w:rPr>
        <w:t xml:space="preserve"> </w:t>
      </w:r>
      <w:r>
        <w:t xml:space="preserve">these points strongly suggest that one can understand “Socrates,” and can therefore have a concept of Socrates, </w:t>
      </w:r>
      <w:r>
        <w:rPr>
          <w:i/>
        </w:rPr>
        <w:t xml:space="preserve">without </w:t>
      </w:r>
      <w:r>
        <w:t>knowing some truth of the</w:t>
      </w:r>
      <w:r>
        <w:rPr>
          <w:spacing w:val="40"/>
        </w:rPr>
        <w:t xml:space="preserve"> </w:t>
      </w:r>
      <w:r>
        <w:t xml:space="preserve">form: </w:t>
      </w:r>
      <w:r>
        <w:rPr>
          <w:i/>
        </w:rPr>
        <w:t xml:space="preserve">something x uniquely has phi, and “Socrates” refer to x. </w:t>
      </w:r>
      <w:r>
        <w:t>This position is, of course, antithetical to the descriptivist conception of conception advocated by Russell.</w:t>
      </w:r>
    </w:p>
    <w:p w14:paraId="7E0013D7" w14:textId="77777777" w:rsidR="009A58DB" w:rsidRDefault="00000000">
      <w:pPr>
        <w:pStyle w:val="Heading1"/>
        <w:numPr>
          <w:ilvl w:val="1"/>
          <w:numId w:val="151"/>
        </w:numPr>
        <w:tabs>
          <w:tab w:val="left" w:pos="990"/>
        </w:tabs>
        <w:spacing w:before="214"/>
        <w:ind w:left="990" w:hanging="630"/>
      </w:pPr>
      <w:r>
        <w:t>The</w:t>
      </w:r>
      <w:r>
        <w:rPr>
          <w:spacing w:val="-4"/>
        </w:rPr>
        <w:t xml:space="preserve"> </w:t>
      </w:r>
      <w:r>
        <w:t>causal</w:t>
      </w:r>
      <w:r>
        <w:rPr>
          <w:spacing w:val="-3"/>
        </w:rPr>
        <w:t xml:space="preserve"> </w:t>
      </w:r>
      <w:r>
        <w:t>theory</w:t>
      </w:r>
      <w:r>
        <w:rPr>
          <w:spacing w:val="-2"/>
        </w:rPr>
        <w:t xml:space="preserve"> </w:t>
      </w:r>
      <w:r>
        <w:t>of</w:t>
      </w:r>
      <w:r>
        <w:rPr>
          <w:spacing w:val="-3"/>
        </w:rPr>
        <w:t xml:space="preserve"> </w:t>
      </w:r>
      <w:r>
        <w:rPr>
          <w:spacing w:val="-2"/>
        </w:rPr>
        <w:t>conception</w:t>
      </w:r>
    </w:p>
    <w:p w14:paraId="7E0013D8" w14:textId="77777777" w:rsidR="009A58DB" w:rsidRDefault="00000000">
      <w:pPr>
        <w:pStyle w:val="BodyText"/>
        <w:spacing w:before="139" w:line="249" w:lineRule="auto"/>
        <w:ind w:right="363"/>
      </w:pPr>
      <w:r>
        <w:t xml:space="preserve">Because of Kripke’s work, many philosophers accept both a causal theory of reference and an anti-descriptivist theory of conception. Many such philosophers believe that, since these two views of theirs are true, it is </w:t>
      </w:r>
      <w:r>
        <w:rPr>
          <w:i/>
        </w:rPr>
        <w:t xml:space="preserve">de rigueur </w:t>
      </w:r>
      <w:r>
        <w:t xml:space="preserve">to accept a </w:t>
      </w:r>
      <w:r>
        <w:rPr>
          <w:i/>
        </w:rPr>
        <w:t xml:space="preserve">causal </w:t>
      </w:r>
      <w:r>
        <w:t>theory of conception. According to such a theory,</w:t>
      </w:r>
      <w:r>
        <w:rPr>
          <w:spacing w:val="40"/>
        </w:rPr>
        <w:t xml:space="preserve"> </w:t>
      </w:r>
      <w:r>
        <w:t>x has a concept of y if and only if y has certain sorts of effects on x.</w:t>
      </w:r>
    </w:p>
    <w:p w14:paraId="7E0013D9" w14:textId="77777777" w:rsidR="009A58DB" w:rsidRDefault="00000000">
      <w:pPr>
        <w:pStyle w:val="BodyText"/>
        <w:spacing w:before="6" w:line="249" w:lineRule="auto"/>
        <w:ind w:right="360" w:firstLine="360"/>
      </w:pPr>
      <w:r>
        <w:t xml:space="preserve">David Kaplan (1968), himself an advocate of this view, made a point that helps bring out the raison d’être for it. Let X be a low-resolution, distorted photograph of Smith. Let Y be a high-resolution, undistorted photograph of somebody who isn’t Smith but looks just like him. X can be thought of as a distorted, low-resolution, inaccurate, description of Smith, and Y can be thought of as a very good and accurate description of some Smith look-alike. The reason that, despite its shortcomings, X is a picture of Smith is that X is an </w:t>
      </w:r>
      <w:r>
        <w:rPr>
          <w:i/>
        </w:rPr>
        <w:t xml:space="preserve">effect </w:t>
      </w:r>
      <w:r>
        <w:t>of Smith (or, more accurately, of some situation involving Smith—light bounced off Smith and headed in the direction of a certain camera, etc.). And the reason that, despite its encoding a description that Smith satisfies to</w:t>
      </w:r>
      <w:r>
        <w:rPr>
          <w:spacing w:val="40"/>
        </w:rPr>
        <w:t xml:space="preserve"> </w:t>
      </w:r>
      <w:r>
        <w:t>a</w:t>
      </w:r>
      <w:r>
        <w:rPr>
          <w:spacing w:val="27"/>
        </w:rPr>
        <w:t xml:space="preserve"> </w:t>
      </w:r>
      <w:r>
        <w:t>tee,</w:t>
      </w:r>
      <w:r>
        <w:rPr>
          <w:spacing w:val="28"/>
        </w:rPr>
        <w:t xml:space="preserve"> </w:t>
      </w:r>
      <w:r>
        <w:t>Y</w:t>
      </w:r>
      <w:r>
        <w:rPr>
          <w:spacing w:val="27"/>
        </w:rPr>
        <w:t xml:space="preserve"> </w:t>
      </w:r>
      <w:r>
        <w:t>is</w:t>
      </w:r>
      <w:r>
        <w:rPr>
          <w:spacing w:val="27"/>
        </w:rPr>
        <w:t xml:space="preserve"> </w:t>
      </w:r>
      <w:r>
        <w:t>not</w:t>
      </w:r>
      <w:r>
        <w:rPr>
          <w:spacing w:val="27"/>
        </w:rPr>
        <w:t xml:space="preserve"> </w:t>
      </w:r>
      <w:r>
        <w:t>a</w:t>
      </w:r>
      <w:r>
        <w:rPr>
          <w:spacing w:val="27"/>
        </w:rPr>
        <w:t xml:space="preserve"> </w:t>
      </w:r>
      <w:r>
        <w:t>photograph</w:t>
      </w:r>
      <w:r>
        <w:rPr>
          <w:spacing w:val="28"/>
        </w:rPr>
        <w:t xml:space="preserve"> </w:t>
      </w:r>
      <w:r>
        <w:t>of</w:t>
      </w:r>
      <w:r>
        <w:rPr>
          <w:spacing w:val="27"/>
        </w:rPr>
        <w:t xml:space="preserve"> </w:t>
      </w:r>
      <w:r>
        <w:t>Smith</w:t>
      </w:r>
      <w:r>
        <w:rPr>
          <w:spacing w:val="28"/>
        </w:rPr>
        <w:t xml:space="preserve"> </w:t>
      </w:r>
      <w:r>
        <w:t>is</w:t>
      </w:r>
      <w:r>
        <w:rPr>
          <w:spacing w:val="27"/>
        </w:rPr>
        <w:t xml:space="preserve"> </w:t>
      </w:r>
      <w:r>
        <w:t>that</w:t>
      </w:r>
      <w:r>
        <w:rPr>
          <w:spacing w:val="27"/>
        </w:rPr>
        <w:t xml:space="preserve"> </w:t>
      </w:r>
      <w:r>
        <w:t>it</w:t>
      </w:r>
      <w:r>
        <w:rPr>
          <w:spacing w:val="27"/>
        </w:rPr>
        <w:t xml:space="preserve"> </w:t>
      </w:r>
      <w:r>
        <w:t>lacks</w:t>
      </w:r>
      <w:r>
        <w:rPr>
          <w:spacing w:val="27"/>
        </w:rPr>
        <w:t xml:space="preserve"> </w:t>
      </w:r>
      <w:r>
        <w:t>just</w:t>
      </w:r>
      <w:r>
        <w:rPr>
          <w:spacing w:val="27"/>
        </w:rPr>
        <w:t xml:space="preserve"> </w:t>
      </w:r>
      <w:r>
        <w:t>this</w:t>
      </w:r>
      <w:r>
        <w:rPr>
          <w:spacing w:val="27"/>
        </w:rPr>
        <w:t xml:space="preserve"> </w:t>
      </w:r>
      <w:r>
        <w:t>sort</w:t>
      </w:r>
      <w:r>
        <w:rPr>
          <w:spacing w:val="27"/>
        </w:rPr>
        <w:t xml:space="preserve"> </w:t>
      </w:r>
      <w:r>
        <w:t>of</w:t>
      </w:r>
      <w:r>
        <w:rPr>
          <w:spacing w:val="27"/>
        </w:rPr>
        <w:t xml:space="preserve"> </w:t>
      </w:r>
      <w:r>
        <w:t>causal</w:t>
      </w:r>
    </w:p>
    <w:p w14:paraId="7E0013D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3DB" w14:textId="77777777" w:rsidR="009A58DB" w:rsidRDefault="00000000">
      <w:pPr>
        <w:pStyle w:val="BodyText"/>
        <w:spacing w:before="70"/>
      </w:pPr>
      <w:r>
        <w:lastRenderedPageBreak/>
        <w:t>connection</w:t>
      </w:r>
      <w:r>
        <w:rPr>
          <w:spacing w:val="-3"/>
        </w:rPr>
        <w:t xml:space="preserve"> </w:t>
      </w:r>
      <w:r>
        <w:t>to</w:t>
      </w:r>
      <w:r>
        <w:rPr>
          <w:spacing w:val="-3"/>
        </w:rPr>
        <w:t xml:space="preserve"> </w:t>
      </w:r>
      <w:r>
        <w:rPr>
          <w:spacing w:val="-4"/>
        </w:rPr>
        <w:t>him.</w:t>
      </w:r>
    </w:p>
    <w:p w14:paraId="7E0013DC" w14:textId="77777777" w:rsidR="009A58DB" w:rsidRDefault="00000000">
      <w:pPr>
        <w:pStyle w:val="BodyText"/>
        <w:spacing w:before="10" w:line="249" w:lineRule="auto"/>
        <w:ind w:right="359" w:firstLine="360"/>
      </w:pPr>
      <w:r>
        <w:t>Advocates of the causal theory of reference hold that concepts of Smith</w:t>
      </w:r>
      <w:r>
        <w:rPr>
          <w:spacing w:val="40"/>
        </w:rPr>
        <w:t xml:space="preserve"> </w:t>
      </w:r>
      <w:r>
        <w:t>are to Smith what photographs of Smith are to him and that, for any x, concepts of x are to x what photographs of x are to x.</w:t>
      </w:r>
    </w:p>
    <w:p w14:paraId="7E0013DD" w14:textId="77777777" w:rsidR="009A58DB" w:rsidRDefault="00000000">
      <w:pPr>
        <w:pStyle w:val="BodyText"/>
        <w:spacing w:before="3" w:line="249" w:lineRule="auto"/>
        <w:ind w:right="358" w:firstLine="360"/>
      </w:pPr>
      <w:r>
        <w:t xml:space="preserve">I reject this view. I accept Kripke’s point that names aren’t definite descriptions. And, with some qualifications to be stated forthwith, I accept Kripke’s theory of reference. I agree that there is a causal </w:t>
      </w:r>
      <w:r>
        <w:rPr>
          <w:i/>
        </w:rPr>
        <w:t xml:space="preserve">component </w:t>
      </w:r>
      <w:r>
        <w:t xml:space="preserve">to conception, at least where spatiotemporal entities are concerned. (One’s concept of a non-spatiotemporal entity does not, I believe, have such a component.) But I agree with Russell that one’s concept of Socrates </w:t>
      </w:r>
      <w:r>
        <w:rPr>
          <w:i/>
        </w:rPr>
        <w:t xml:space="preserve">is </w:t>
      </w:r>
      <w:r>
        <w:t>descriptive. There is, we will see, an ineliminable causal component to it. But that component is internal to a description that singles out Socrates. And I agree with Russell that one’s concept of Socrates is descriptive and is expressed by a definite description. But, contrary to what Russell says, those definite descriptions aren’t at all like the ones that Russell had in mind.</w:t>
      </w:r>
    </w:p>
    <w:p w14:paraId="7E0013DE" w14:textId="77777777" w:rsidR="009A58DB" w:rsidRDefault="00000000">
      <w:pPr>
        <w:pStyle w:val="BodyText"/>
        <w:spacing w:before="14" w:line="249" w:lineRule="auto"/>
        <w:ind w:right="368" w:firstLine="360"/>
      </w:pPr>
      <w:r>
        <w:t>How can all of this be true? Simple: pre-semantics isn’t semantics. For elucidation, read on.</w:t>
      </w:r>
    </w:p>
    <w:p w14:paraId="7E0013DF" w14:textId="77777777" w:rsidR="009A58DB" w:rsidRDefault="00000000">
      <w:pPr>
        <w:pStyle w:val="Heading1"/>
        <w:numPr>
          <w:ilvl w:val="1"/>
          <w:numId w:val="151"/>
        </w:numPr>
        <w:tabs>
          <w:tab w:val="left" w:pos="990"/>
        </w:tabs>
        <w:spacing w:before="190"/>
        <w:ind w:left="990" w:hanging="630"/>
      </w:pPr>
      <w:r>
        <w:t>The</w:t>
      </w:r>
      <w:r>
        <w:rPr>
          <w:spacing w:val="-9"/>
        </w:rPr>
        <w:t xml:space="preserve"> </w:t>
      </w:r>
      <w:r>
        <w:t>causal-descriptivist</w:t>
      </w:r>
      <w:r>
        <w:rPr>
          <w:spacing w:val="-6"/>
        </w:rPr>
        <w:t xml:space="preserve"> </w:t>
      </w:r>
      <w:r>
        <w:t>theory</w:t>
      </w:r>
      <w:r>
        <w:rPr>
          <w:spacing w:val="-6"/>
        </w:rPr>
        <w:t xml:space="preserve"> </w:t>
      </w:r>
      <w:r>
        <w:t>of</w:t>
      </w:r>
      <w:r>
        <w:rPr>
          <w:spacing w:val="-6"/>
        </w:rPr>
        <w:t xml:space="preserve"> </w:t>
      </w:r>
      <w:r>
        <w:rPr>
          <w:spacing w:val="-2"/>
        </w:rPr>
        <w:t>conception</w:t>
      </w:r>
    </w:p>
    <w:p w14:paraId="7E0013E0" w14:textId="77777777" w:rsidR="009A58DB" w:rsidRDefault="00000000">
      <w:pPr>
        <w:pStyle w:val="BodyText"/>
        <w:spacing w:before="139" w:line="249" w:lineRule="auto"/>
        <w:ind w:right="363"/>
      </w:pPr>
      <w:r>
        <w:t>Imagine the following. There are 30 numerically different, but qualitatively identical men in a certain place. Your friend Bob goes up to one of them, put his hand on his shoulder, and says:</w:t>
      </w:r>
    </w:p>
    <w:p w14:paraId="7E0013E1" w14:textId="77777777" w:rsidR="009A58DB" w:rsidRDefault="009A58DB">
      <w:pPr>
        <w:pStyle w:val="BodyText"/>
        <w:spacing w:before="19"/>
        <w:ind w:left="0"/>
        <w:jc w:val="left"/>
      </w:pPr>
    </w:p>
    <w:p w14:paraId="7E0013E2" w14:textId="77777777" w:rsidR="009A58DB" w:rsidRDefault="00000000">
      <w:pPr>
        <w:pStyle w:val="ListParagraph"/>
        <w:numPr>
          <w:ilvl w:val="0"/>
          <w:numId w:val="150"/>
        </w:numPr>
        <w:tabs>
          <w:tab w:val="left" w:pos="782"/>
        </w:tabs>
        <w:spacing w:line="501" w:lineRule="auto"/>
        <w:ind w:right="6120" w:firstLine="0"/>
        <w:rPr>
          <w:sz w:val="30"/>
        </w:rPr>
      </w:pPr>
      <w:r>
        <w:rPr>
          <w:sz w:val="30"/>
        </w:rPr>
        <w:t>This</w:t>
      </w:r>
      <w:r>
        <w:rPr>
          <w:spacing w:val="-10"/>
          <w:sz w:val="30"/>
        </w:rPr>
        <w:t xml:space="preserve"> </w:t>
      </w:r>
      <w:r>
        <w:rPr>
          <w:sz w:val="30"/>
        </w:rPr>
        <w:t>guy</w:t>
      </w:r>
      <w:r>
        <w:rPr>
          <w:spacing w:val="-9"/>
          <w:sz w:val="30"/>
        </w:rPr>
        <w:t xml:space="preserve"> </w:t>
      </w:r>
      <w:r>
        <w:rPr>
          <w:sz w:val="30"/>
        </w:rPr>
        <w:t>is</w:t>
      </w:r>
      <w:r>
        <w:rPr>
          <w:spacing w:val="-10"/>
          <w:sz w:val="30"/>
        </w:rPr>
        <w:t xml:space="preserve"> </w:t>
      </w:r>
      <w:r>
        <w:rPr>
          <w:sz w:val="30"/>
        </w:rPr>
        <w:t>named</w:t>
      </w:r>
      <w:r>
        <w:rPr>
          <w:spacing w:val="-9"/>
          <w:sz w:val="30"/>
        </w:rPr>
        <w:t xml:space="preserve"> </w:t>
      </w:r>
      <w:r>
        <w:rPr>
          <w:sz w:val="30"/>
        </w:rPr>
        <w:t>“Fred.” You thus know that:</w:t>
      </w:r>
    </w:p>
    <w:p w14:paraId="7E0013E3" w14:textId="77777777" w:rsidR="009A58DB" w:rsidRDefault="00000000">
      <w:pPr>
        <w:pStyle w:val="ListParagraph"/>
        <w:numPr>
          <w:ilvl w:val="0"/>
          <w:numId w:val="150"/>
        </w:numPr>
        <w:tabs>
          <w:tab w:val="left" w:pos="786"/>
        </w:tabs>
        <w:spacing w:line="249" w:lineRule="auto"/>
        <w:ind w:right="370" w:firstLine="0"/>
        <w:rPr>
          <w:sz w:val="30"/>
        </w:rPr>
      </w:pPr>
      <w:r>
        <w:rPr>
          <w:sz w:val="30"/>
        </w:rPr>
        <w:t>there is some individual x such that x is uniquely a person whom Bob just picked out; and “Fred” names x.</w:t>
      </w:r>
    </w:p>
    <w:p w14:paraId="7E0013E4" w14:textId="77777777" w:rsidR="009A58DB" w:rsidRDefault="009A58DB">
      <w:pPr>
        <w:pStyle w:val="BodyText"/>
        <w:spacing w:before="15"/>
        <w:ind w:left="0"/>
        <w:jc w:val="left"/>
      </w:pPr>
    </w:p>
    <w:p w14:paraId="7E0013E5" w14:textId="77777777" w:rsidR="009A58DB" w:rsidRDefault="00000000">
      <w:pPr>
        <w:pStyle w:val="BodyText"/>
        <w:spacing w:before="1" w:line="249" w:lineRule="auto"/>
        <w:ind w:right="372" w:firstLine="360"/>
      </w:pPr>
      <w:r>
        <w:t xml:space="preserve">You thus know to whom “Fred” refers </w:t>
      </w:r>
      <w:r>
        <w:rPr>
          <w:i/>
        </w:rPr>
        <w:t xml:space="preserve">only </w:t>
      </w:r>
      <w:r>
        <w:t>because you know some true proposition of the form:</w:t>
      </w:r>
    </w:p>
    <w:p w14:paraId="7E0013E6" w14:textId="77777777" w:rsidR="009A58DB" w:rsidRDefault="009A58DB">
      <w:pPr>
        <w:pStyle w:val="BodyText"/>
        <w:spacing w:before="17"/>
        <w:ind w:left="0"/>
        <w:jc w:val="left"/>
      </w:pPr>
    </w:p>
    <w:p w14:paraId="7E0013E7" w14:textId="77777777" w:rsidR="009A58DB" w:rsidRDefault="00000000">
      <w:pPr>
        <w:pStyle w:val="ListParagraph"/>
        <w:numPr>
          <w:ilvl w:val="0"/>
          <w:numId w:val="150"/>
        </w:numPr>
        <w:tabs>
          <w:tab w:val="left" w:pos="782"/>
        </w:tabs>
        <w:ind w:left="782" w:hanging="422"/>
        <w:rPr>
          <w:sz w:val="30"/>
        </w:rPr>
      </w:pPr>
      <w:r>
        <w:rPr>
          <w:sz w:val="30"/>
        </w:rPr>
        <w:t>something</w:t>
      </w:r>
      <w:r>
        <w:rPr>
          <w:spacing w:val="-3"/>
          <w:sz w:val="30"/>
        </w:rPr>
        <w:t xml:space="preserve"> </w:t>
      </w:r>
      <w:r>
        <w:rPr>
          <w:sz w:val="30"/>
        </w:rPr>
        <w:t>x</w:t>
      </w:r>
      <w:r>
        <w:rPr>
          <w:spacing w:val="-3"/>
          <w:sz w:val="30"/>
        </w:rPr>
        <w:t xml:space="preserve"> </w:t>
      </w:r>
      <w:r>
        <w:rPr>
          <w:sz w:val="30"/>
        </w:rPr>
        <w:t>uniquely</w:t>
      </w:r>
      <w:r>
        <w:rPr>
          <w:spacing w:val="-3"/>
          <w:sz w:val="30"/>
        </w:rPr>
        <w:t xml:space="preserve"> </w:t>
      </w:r>
      <w:r>
        <w:rPr>
          <w:sz w:val="30"/>
        </w:rPr>
        <w:t>has</w:t>
      </w:r>
      <w:r>
        <w:rPr>
          <w:spacing w:val="-4"/>
          <w:sz w:val="30"/>
        </w:rPr>
        <w:t xml:space="preserve"> </w:t>
      </w:r>
      <w:r>
        <w:rPr>
          <w:sz w:val="30"/>
        </w:rPr>
        <w:t>phi;</w:t>
      </w:r>
      <w:r>
        <w:rPr>
          <w:spacing w:val="-3"/>
          <w:sz w:val="30"/>
        </w:rPr>
        <w:t xml:space="preserve"> </w:t>
      </w:r>
      <w:r>
        <w:rPr>
          <w:sz w:val="30"/>
        </w:rPr>
        <w:t>moreover,</w:t>
      </w:r>
      <w:r>
        <w:rPr>
          <w:spacing w:val="-3"/>
          <w:sz w:val="30"/>
        </w:rPr>
        <w:t xml:space="preserve"> </w:t>
      </w:r>
      <w:r>
        <w:rPr>
          <w:sz w:val="30"/>
        </w:rPr>
        <w:t>“Fred”</w:t>
      </w:r>
      <w:r>
        <w:rPr>
          <w:spacing w:val="-4"/>
          <w:sz w:val="30"/>
        </w:rPr>
        <w:t xml:space="preserve"> </w:t>
      </w:r>
      <w:r>
        <w:rPr>
          <w:sz w:val="30"/>
        </w:rPr>
        <w:t>refers</w:t>
      </w:r>
      <w:r>
        <w:rPr>
          <w:spacing w:val="-4"/>
          <w:sz w:val="30"/>
        </w:rPr>
        <w:t xml:space="preserve"> </w:t>
      </w:r>
      <w:r>
        <w:rPr>
          <w:sz w:val="30"/>
        </w:rPr>
        <w:t>to</w:t>
      </w:r>
      <w:r>
        <w:rPr>
          <w:spacing w:val="-2"/>
          <w:sz w:val="30"/>
        </w:rPr>
        <w:t xml:space="preserve"> </w:t>
      </w:r>
      <w:r>
        <w:rPr>
          <w:spacing w:val="-5"/>
          <w:sz w:val="30"/>
        </w:rPr>
        <w:t>x.</w:t>
      </w:r>
    </w:p>
    <w:p w14:paraId="7E0013E8"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13E9" w14:textId="77777777" w:rsidR="009A58DB" w:rsidRDefault="00000000">
      <w:pPr>
        <w:pStyle w:val="BodyText"/>
        <w:spacing w:before="65" w:line="249" w:lineRule="auto"/>
        <w:ind w:right="358" w:firstLine="360"/>
      </w:pPr>
      <w:r>
        <w:lastRenderedPageBreak/>
        <w:t xml:space="preserve">Your knowing who “Fred” refers to </w:t>
      </w:r>
      <w:r>
        <w:rPr>
          <w:i/>
        </w:rPr>
        <w:t>also</w:t>
      </w:r>
      <w:r>
        <w:rPr>
          <w:i/>
          <w:spacing w:val="-3"/>
        </w:rPr>
        <w:t xml:space="preserve"> </w:t>
      </w:r>
      <w:r>
        <w:t>depends on your having a causal connection to Fred. Your seeing Fred is important to your having this knowledge,</w:t>
      </w:r>
      <w:r>
        <w:rPr>
          <w:spacing w:val="-1"/>
        </w:rPr>
        <w:t xml:space="preserve"> </w:t>
      </w:r>
      <w:r>
        <w:t>and</w:t>
      </w:r>
      <w:r>
        <w:rPr>
          <w:spacing w:val="-1"/>
        </w:rPr>
        <w:t xml:space="preserve"> </w:t>
      </w:r>
      <w:r>
        <w:t>your</w:t>
      </w:r>
      <w:r>
        <w:rPr>
          <w:spacing w:val="-1"/>
        </w:rPr>
        <w:t xml:space="preserve"> </w:t>
      </w:r>
      <w:r>
        <w:t>seeing</w:t>
      </w:r>
      <w:r>
        <w:rPr>
          <w:spacing w:val="-1"/>
        </w:rPr>
        <w:t xml:space="preserve"> </w:t>
      </w:r>
      <w:r>
        <w:t>him</w:t>
      </w:r>
      <w:r>
        <w:rPr>
          <w:spacing w:val="-1"/>
        </w:rPr>
        <w:t xml:space="preserve"> </w:t>
      </w:r>
      <w:r>
        <w:t>involves</w:t>
      </w:r>
      <w:r>
        <w:rPr>
          <w:spacing w:val="-1"/>
        </w:rPr>
        <w:t xml:space="preserve"> </w:t>
      </w:r>
      <w:r>
        <w:t>your</w:t>
      </w:r>
      <w:r>
        <w:rPr>
          <w:spacing w:val="-1"/>
        </w:rPr>
        <w:t xml:space="preserve"> </w:t>
      </w:r>
      <w:r>
        <w:t>being</w:t>
      </w:r>
      <w:r>
        <w:rPr>
          <w:spacing w:val="-1"/>
        </w:rPr>
        <w:t xml:space="preserve"> </w:t>
      </w:r>
      <w:r>
        <w:t>at</w:t>
      </w:r>
      <w:r>
        <w:rPr>
          <w:spacing w:val="-1"/>
        </w:rPr>
        <w:t xml:space="preserve"> </w:t>
      </w:r>
      <w:r>
        <w:t>the</w:t>
      </w:r>
      <w:r>
        <w:rPr>
          <w:spacing w:val="-1"/>
        </w:rPr>
        <w:t xml:space="preserve"> </w:t>
      </w:r>
      <w:r>
        <w:t>receiving</w:t>
      </w:r>
      <w:r>
        <w:rPr>
          <w:spacing w:val="-1"/>
        </w:rPr>
        <w:t xml:space="preserve"> </w:t>
      </w:r>
      <w:r>
        <w:t>end</w:t>
      </w:r>
      <w:r>
        <w:rPr>
          <w:spacing w:val="-1"/>
        </w:rPr>
        <w:t xml:space="preserve"> </w:t>
      </w:r>
      <w:r>
        <w:t>of</w:t>
      </w:r>
      <w:r>
        <w:rPr>
          <w:spacing w:val="-1"/>
        </w:rPr>
        <w:t xml:space="preserve"> </w:t>
      </w:r>
      <w:r>
        <w:t xml:space="preserve">a causal process beginning with him. (x cannot see or otherwise sense-perceive y without being affected either by light signals bouncing off y or by other information-bearing processes originating with y.) But it’s involved only because it’s involved in your knowing some truth like (2)—some truth that </w:t>
      </w:r>
      <w:r>
        <w:rPr>
          <w:i/>
        </w:rPr>
        <w:t xml:space="preserve">describes </w:t>
      </w:r>
      <w:r>
        <w:t>the referent of the expression in question.</w:t>
      </w:r>
    </w:p>
    <w:p w14:paraId="7E0013EA" w14:textId="77777777" w:rsidR="009A58DB" w:rsidRDefault="00000000">
      <w:pPr>
        <w:pStyle w:val="ListParagraph"/>
        <w:numPr>
          <w:ilvl w:val="2"/>
          <w:numId w:val="151"/>
        </w:numPr>
        <w:tabs>
          <w:tab w:val="left" w:pos="1136"/>
          <w:tab w:val="left" w:pos="1681"/>
          <w:tab w:val="left" w:pos="2818"/>
          <w:tab w:val="left" w:pos="3889"/>
          <w:tab w:val="left" w:pos="4793"/>
          <w:tab w:val="left" w:pos="6264"/>
          <w:tab w:val="left" w:pos="7302"/>
          <w:tab w:val="left" w:pos="8498"/>
          <w:tab w:val="left" w:pos="9352"/>
        </w:tabs>
        <w:spacing w:before="107" w:line="271" w:lineRule="auto"/>
        <w:ind w:right="359" w:firstLine="0"/>
        <w:rPr>
          <w:sz w:val="30"/>
        </w:rPr>
      </w:pPr>
      <w:r>
        <w:rPr>
          <w:b/>
          <w:sz w:val="34"/>
        </w:rPr>
        <w:t xml:space="preserve">The causal-descriptivist theory of conception (continued) </w:t>
      </w:r>
      <w:r>
        <w:rPr>
          <w:sz w:val="30"/>
        </w:rPr>
        <w:t>Imagine</w:t>
      </w:r>
      <w:r>
        <w:rPr>
          <w:spacing w:val="80"/>
          <w:sz w:val="30"/>
        </w:rPr>
        <w:t xml:space="preserve"> </w:t>
      </w:r>
      <w:r>
        <w:rPr>
          <w:sz w:val="30"/>
        </w:rPr>
        <w:t>that</w:t>
      </w:r>
      <w:r>
        <w:rPr>
          <w:spacing w:val="80"/>
          <w:sz w:val="30"/>
        </w:rPr>
        <w:t xml:space="preserve"> </w:t>
      </w:r>
      <w:r>
        <w:rPr>
          <w:sz w:val="30"/>
        </w:rPr>
        <w:t>you</w:t>
      </w:r>
      <w:r>
        <w:rPr>
          <w:spacing w:val="80"/>
          <w:sz w:val="30"/>
        </w:rPr>
        <w:t xml:space="preserve"> </w:t>
      </w:r>
      <w:r>
        <w:rPr>
          <w:sz w:val="30"/>
        </w:rPr>
        <w:t>are</w:t>
      </w:r>
      <w:r>
        <w:rPr>
          <w:spacing w:val="80"/>
          <w:sz w:val="30"/>
        </w:rPr>
        <w:t xml:space="preserve"> </w:t>
      </w:r>
      <w:r>
        <w:rPr>
          <w:sz w:val="30"/>
        </w:rPr>
        <w:t>talking</w:t>
      </w:r>
      <w:r>
        <w:rPr>
          <w:spacing w:val="80"/>
          <w:sz w:val="30"/>
        </w:rPr>
        <w:t xml:space="preserve"> </w:t>
      </w:r>
      <w:r>
        <w:rPr>
          <w:sz w:val="30"/>
        </w:rPr>
        <w:t>with</w:t>
      </w:r>
      <w:r>
        <w:rPr>
          <w:spacing w:val="80"/>
          <w:sz w:val="30"/>
        </w:rPr>
        <w:t xml:space="preserve"> </w:t>
      </w:r>
      <w:r>
        <w:rPr>
          <w:sz w:val="30"/>
        </w:rPr>
        <w:t>your</w:t>
      </w:r>
      <w:r>
        <w:rPr>
          <w:spacing w:val="80"/>
          <w:sz w:val="30"/>
        </w:rPr>
        <w:t xml:space="preserve"> </w:t>
      </w:r>
      <w:r>
        <w:rPr>
          <w:sz w:val="30"/>
        </w:rPr>
        <w:t>friends</w:t>
      </w:r>
      <w:r>
        <w:rPr>
          <w:spacing w:val="80"/>
          <w:sz w:val="30"/>
        </w:rPr>
        <w:t xml:space="preserve"> </w:t>
      </w:r>
      <w:r>
        <w:rPr>
          <w:sz w:val="30"/>
        </w:rPr>
        <w:t>Smith</w:t>
      </w:r>
      <w:r>
        <w:rPr>
          <w:spacing w:val="80"/>
          <w:sz w:val="30"/>
        </w:rPr>
        <w:t xml:space="preserve"> </w:t>
      </w:r>
      <w:r>
        <w:rPr>
          <w:sz w:val="30"/>
        </w:rPr>
        <w:t>and</w:t>
      </w:r>
      <w:r>
        <w:rPr>
          <w:spacing w:val="80"/>
          <w:sz w:val="30"/>
        </w:rPr>
        <w:t xml:space="preserve"> </w:t>
      </w:r>
      <w:r>
        <w:rPr>
          <w:sz w:val="30"/>
        </w:rPr>
        <w:t>Jones.</w:t>
      </w:r>
      <w:r>
        <w:rPr>
          <w:spacing w:val="80"/>
          <w:sz w:val="30"/>
        </w:rPr>
        <w:t xml:space="preserve"> </w:t>
      </w:r>
      <w:r>
        <w:rPr>
          <w:sz w:val="30"/>
        </w:rPr>
        <w:t xml:space="preserve">They </w:t>
      </w:r>
      <w:r>
        <w:rPr>
          <w:spacing w:val="-2"/>
          <w:sz w:val="30"/>
        </w:rPr>
        <w:t>suddenly</w:t>
      </w:r>
      <w:r>
        <w:rPr>
          <w:sz w:val="30"/>
        </w:rPr>
        <w:tab/>
      </w:r>
      <w:r>
        <w:rPr>
          <w:spacing w:val="-2"/>
          <w:sz w:val="30"/>
        </w:rPr>
        <w:t>starting</w:t>
      </w:r>
      <w:r>
        <w:rPr>
          <w:sz w:val="30"/>
        </w:rPr>
        <w:tab/>
      </w:r>
      <w:r>
        <w:rPr>
          <w:spacing w:val="-2"/>
          <w:sz w:val="30"/>
        </w:rPr>
        <w:t>talking</w:t>
      </w:r>
      <w:r>
        <w:rPr>
          <w:sz w:val="30"/>
        </w:rPr>
        <w:tab/>
      </w:r>
      <w:r>
        <w:rPr>
          <w:spacing w:val="-2"/>
          <w:sz w:val="30"/>
        </w:rPr>
        <w:t>about</w:t>
      </w:r>
      <w:r>
        <w:rPr>
          <w:sz w:val="30"/>
        </w:rPr>
        <w:tab/>
      </w:r>
      <w:r>
        <w:rPr>
          <w:spacing w:val="-2"/>
          <w:sz w:val="30"/>
        </w:rPr>
        <w:t>somebody</w:t>
      </w:r>
      <w:r>
        <w:rPr>
          <w:sz w:val="30"/>
        </w:rPr>
        <w:tab/>
      </w:r>
      <w:r>
        <w:rPr>
          <w:spacing w:val="-2"/>
          <w:sz w:val="30"/>
        </w:rPr>
        <w:t>named</w:t>
      </w:r>
      <w:r>
        <w:rPr>
          <w:sz w:val="30"/>
        </w:rPr>
        <w:tab/>
      </w:r>
      <w:r>
        <w:rPr>
          <w:spacing w:val="-2"/>
          <w:sz w:val="30"/>
        </w:rPr>
        <w:t>“Argo.”</w:t>
      </w:r>
      <w:r>
        <w:rPr>
          <w:sz w:val="30"/>
        </w:rPr>
        <w:tab/>
      </w:r>
      <w:r>
        <w:rPr>
          <w:spacing w:val="-4"/>
          <w:sz w:val="30"/>
        </w:rPr>
        <w:t>They</w:t>
      </w:r>
      <w:r>
        <w:rPr>
          <w:sz w:val="30"/>
        </w:rPr>
        <w:tab/>
      </w:r>
      <w:r>
        <w:rPr>
          <w:spacing w:val="-5"/>
          <w:sz w:val="30"/>
        </w:rPr>
        <w:t>are</w:t>
      </w:r>
    </w:p>
    <w:p w14:paraId="7E0013EB" w14:textId="77777777" w:rsidR="009A58DB" w:rsidRDefault="00000000">
      <w:pPr>
        <w:pStyle w:val="BodyText"/>
        <w:spacing w:line="316" w:lineRule="exact"/>
      </w:pPr>
      <w:r>
        <w:t>acquainted</w:t>
      </w:r>
      <w:r>
        <w:rPr>
          <w:spacing w:val="40"/>
        </w:rPr>
        <w:t xml:space="preserve"> </w:t>
      </w:r>
      <w:r>
        <w:t>with</w:t>
      </w:r>
      <w:r>
        <w:rPr>
          <w:spacing w:val="40"/>
        </w:rPr>
        <w:t xml:space="preserve"> </w:t>
      </w:r>
      <w:r>
        <w:t>Argo,</w:t>
      </w:r>
      <w:r>
        <w:rPr>
          <w:spacing w:val="40"/>
        </w:rPr>
        <w:t xml:space="preserve"> </w:t>
      </w:r>
      <w:r>
        <w:t>but</w:t>
      </w:r>
      <w:r>
        <w:rPr>
          <w:spacing w:val="40"/>
        </w:rPr>
        <w:t xml:space="preserve"> </w:t>
      </w:r>
      <w:r>
        <w:t>you</w:t>
      </w:r>
      <w:r>
        <w:rPr>
          <w:spacing w:val="40"/>
        </w:rPr>
        <w:t xml:space="preserve"> </w:t>
      </w:r>
      <w:r>
        <w:t>are</w:t>
      </w:r>
      <w:r>
        <w:rPr>
          <w:spacing w:val="40"/>
        </w:rPr>
        <w:t xml:space="preserve"> </w:t>
      </w:r>
      <w:r>
        <w:t>not.</w:t>
      </w:r>
      <w:r>
        <w:rPr>
          <w:spacing w:val="40"/>
        </w:rPr>
        <w:t xml:space="preserve"> </w:t>
      </w:r>
      <w:r>
        <w:t>At</w:t>
      </w:r>
      <w:r>
        <w:rPr>
          <w:spacing w:val="40"/>
        </w:rPr>
        <w:t xml:space="preserve"> </w:t>
      </w:r>
      <w:r>
        <w:t>no</w:t>
      </w:r>
      <w:r>
        <w:rPr>
          <w:spacing w:val="40"/>
        </w:rPr>
        <w:t xml:space="preserve"> </w:t>
      </w:r>
      <w:r>
        <w:t>point</w:t>
      </w:r>
      <w:r>
        <w:rPr>
          <w:spacing w:val="40"/>
        </w:rPr>
        <w:t xml:space="preserve"> </w:t>
      </w:r>
      <w:r>
        <w:t>in</w:t>
      </w:r>
      <w:r>
        <w:rPr>
          <w:spacing w:val="40"/>
        </w:rPr>
        <w:t xml:space="preserve"> </w:t>
      </w:r>
      <w:r>
        <w:t>the</w:t>
      </w:r>
      <w:r>
        <w:rPr>
          <w:spacing w:val="40"/>
        </w:rPr>
        <w:t xml:space="preserve"> </w:t>
      </w:r>
      <w:r>
        <w:t>conversation</w:t>
      </w:r>
      <w:r>
        <w:rPr>
          <w:spacing w:val="41"/>
        </w:rPr>
        <w:t xml:space="preserve"> </w:t>
      </w:r>
      <w:r>
        <w:rPr>
          <w:spacing w:val="-5"/>
        </w:rPr>
        <w:t>do</w:t>
      </w:r>
    </w:p>
    <w:p w14:paraId="7E0013EC" w14:textId="77777777" w:rsidR="009A58DB" w:rsidRDefault="00000000">
      <w:pPr>
        <w:pStyle w:val="BodyText"/>
        <w:spacing w:before="15" w:line="249" w:lineRule="auto"/>
        <w:ind w:right="367"/>
      </w:pPr>
      <w:r>
        <w:t>they ever say anything like “Argo was my divorce lawyer” or “Argo was the best man at my wedding.” They never explicitly or implicitly tell you anything of the form:</w:t>
      </w:r>
    </w:p>
    <w:p w14:paraId="7E0013ED" w14:textId="77777777" w:rsidR="009A58DB" w:rsidRDefault="009A58DB">
      <w:pPr>
        <w:pStyle w:val="BodyText"/>
        <w:spacing w:before="19"/>
        <w:ind w:left="0"/>
        <w:jc w:val="left"/>
      </w:pPr>
    </w:p>
    <w:p w14:paraId="7E0013EE" w14:textId="77777777" w:rsidR="009A58DB" w:rsidRDefault="00000000">
      <w:pPr>
        <w:pStyle w:val="ListParagraph"/>
        <w:numPr>
          <w:ilvl w:val="0"/>
          <w:numId w:val="150"/>
        </w:numPr>
        <w:tabs>
          <w:tab w:val="left" w:pos="782"/>
        </w:tabs>
        <w:ind w:left="782" w:hanging="422"/>
        <w:rPr>
          <w:sz w:val="30"/>
        </w:rPr>
      </w:pPr>
      <w:r>
        <w:rPr>
          <w:sz w:val="30"/>
        </w:rPr>
        <w:t>something</w:t>
      </w:r>
      <w:r>
        <w:rPr>
          <w:spacing w:val="-3"/>
          <w:sz w:val="30"/>
        </w:rPr>
        <w:t xml:space="preserve"> </w:t>
      </w:r>
      <w:r>
        <w:rPr>
          <w:sz w:val="30"/>
        </w:rPr>
        <w:t>x</w:t>
      </w:r>
      <w:r>
        <w:rPr>
          <w:spacing w:val="-3"/>
          <w:sz w:val="30"/>
        </w:rPr>
        <w:t xml:space="preserve"> </w:t>
      </w:r>
      <w:r>
        <w:rPr>
          <w:sz w:val="30"/>
        </w:rPr>
        <w:t>uniquely</w:t>
      </w:r>
      <w:r>
        <w:rPr>
          <w:spacing w:val="-3"/>
          <w:sz w:val="30"/>
        </w:rPr>
        <w:t xml:space="preserve"> </w:t>
      </w:r>
      <w:r>
        <w:rPr>
          <w:sz w:val="30"/>
        </w:rPr>
        <w:t>has</w:t>
      </w:r>
      <w:r>
        <w:rPr>
          <w:spacing w:val="-3"/>
          <w:sz w:val="30"/>
        </w:rPr>
        <w:t xml:space="preserve"> </w:t>
      </w:r>
      <w:r>
        <w:rPr>
          <w:sz w:val="30"/>
        </w:rPr>
        <w:t>phi;</w:t>
      </w:r>
      <w:r>
        <w:rPr>
          <w:spacing w:val="-4"/>
          <w:sz w:val="30"/>
        </w:rPr>
        <w:t xml:space="preserve"> </w:t>
      </w:r>
      <w:r>
        <w:rPr>
          <w:sz w:val="30"/>
        </w:rPr>
        <w:t>moreover,</w:t>
      </w:r>
      <w:r>
        <w:rPr>
          <w:spacing w:val="-3"/>
          <w:sz w:val="30"/>
        </w:rPr>
        <w:t xml:space="preserve"> </w:t>
      </w:r>
      <w:r>
        <w:rPr>
          <w:sz w:val="30"/>
        </w:rPr>
        <w:t>“Argo”</w:t>
      </w:r>
      <w:r>
        <w:rPr>
          <w:spacing w:val="-3"/>
          <w:sz w:val="30"/>
        </w:rPr>
        <w:t xml:space="preserve"> </w:t>
      </w:r>
      <w:r>
        <w:rPr>
          <w:sz w:val="30"/>
        </w:rPr>
        <w:t>refers</w:t>
      </w:r>
      <w:r>
        <w:rPr>
          <w:spacing w:val="-4"/>
          <w:sz w:val="30"/>
        </w:rPr>
        <w:t xml:space="preserve"> </w:t>
      </w:r>
      <w:r>
        <w:rPr>
          <w:sz w:val="30"/>
        </w:rPr>
        <w:t>to</w:t>
      </w:r>
      <w:r>
        <w:rPr>
          <w:spacing w:val="-2"/>
          <w:sz w:val="30"/>
        </w:rPr>
        <w:t xml:space="preserve"> </w:t>
      </w:r>
      <w:r>
        <w:rPr>
          <w:spacing w:val="-5"/>
          <w:sz w:val="30"/>
        </w:rPr>
        <w:t>x.</w:t>
      </w:r>
    </w:p>
    <w:p w14:paraId="7E0013EF" w14:textId="77777777" w:rsidR="009A58DB" w:rsidRDefault="009A58DB">
      <w:pPr>
        <w:pStyle w:val="BodyText"/>
        <w:spacing w:before="30"/>
        <w:ind w:left="0"/>
        <w:jc w:val="left"/>
      </w:pPr>
    </w:p>
    <w:p w14:paraId="7E0013F0" w14:textId="77777777" w:rsidR="009A58DB" w:rsidRDefault="00000000">
      <w:pPr>
        <w:pStyle w:val="BodyText"/>
        <w:spacing w:line="249" w:lineRule="auto"/>
        <w:ind w:right="358" w:firstLine="360"/>
      </w:pPr>
      <w:r>
        <w:t>Suppose that, during this conversation, at time t, Smith says “Argo was a cad.” Obviously the description ‹x is a cad› is indefinite, and many satisfy it. But on that occasion, there was, as you know, exactly one person who Smith was describing as being a cad, and you thus pick up knowledge of some</w:t>
      </w:r>
      <w:r>
        <w:rPr>
          <w:spacing w:val="40"/>
        </w:rPr>
        <w:t xml:space="preserve"> </w:t>
      </w:r>
      <w:r>
        <w:t>claim along the lines of:</w:t>
      </w:r>
    </w:p>
    <w:p w14:paraId="7E0013F1" w14:textId="77777777" w:rsidR="009A58DB" w:rsidRDefault="009A58DB">
      <w:pPr>
        <w:pStyle w:val="BodyText"/>
        <w:spacing w:before="21"/>
        <w:ind w:left="0"/>
        <w:jc w:val="left"/>
      </w:pPr>
    </w:p>
    <w:p w14:paraId="7E0013F2" w14:textId="77777777" w:rsidR="009A58DB" w:rsidRDefault="00000000">
      <w:pPr>
        <w:pStyle w:val="ListParagraph"/>
        <w:numPr>
          <w:ilvl w:val="0"/>
          <w:numId w:val="150"/>
        </w:numPr>
        <w:tabs>
          <w:tab w:val="left" w:pos="787"/>
        </w:tabs>
        <w:spacing w:line="249" w:lineRule="auto"/>
        <w:ind w:right="363" w:firstLine="0"/>
        <w:rPr>
          <w:sz w:val="30"/>
        </w:rPr>
      </w:pPr>
      <w:r>
        <w:rPr>
          <w:sz w:val="30"/>
        </w:rPr>
        <w:t>on occasion t, there was exactly one person who Smith described as being a cad, and ‘Argo’ refers to x.</w:t>
      </w:r>
    </w:p>
    <w:p w14:paraId="7E0013F3" w14:textId="77777777" w:rsidR="009A58DB" w:rsidRDefault="009A58DB">
      <w:pPr>
        <w:pStyle w:val="BodyText"/>
        <w:spacing w:before="17"/>
        <w:ind w:left="0"/>
        <w:jc w:val="left"/>
      </w:pPr>
    </w:p>
    <w:p w14:paraId="7E0013F4" w14:textId="77777777" w:rsidR="009A58DB" w:rsidRDefault="00000000">
      <w:pPr>
        <w:pStyle w:val="BodyText"/>
        <w:spacing w:before="1"/>
      </w:pPr>
      <w:r>
        <w:t>And,</w:t>
      </w:r>
      <w:r>
        <w:rPr>
          <w:spacing w:val="-4"/>
        </w:rPr>
        <w:t xml:space="preserve"> </w:t>
      </w:r>
      <w:r>
        <w:t>of</w:t>
      </w:r>
      <w:r>
        <w:rPr>
          <w:spacing w:val="-2"/>
        </w:rPr>
        <w:t xml:space="preserve"> </w:t>
      </w:r>
      <w:r>
        <w:t>course,</w:t>
      </w:r>
      <w:r>
        <w:rPr>
          <w:spacing w:val="-2"/>
        </w:rPr>
        <w:t xml:space="preserve"> </w:t>
      </w:r>
      <w:r>
        <w:t>(5)</w:t>
      </w:r>
      <w:r>
        <w:rPr>
          <w:spacing w:val="-2"/>
        </w:rPr>
        <w:t xml:space="preserve"> </w:t>
      </w:r>
      <w:r>
        <w:t>has</w:t>
      </w:r>
      <w:r>
        <w:rPr>
          <w:spacing w:val="-2"/>
        </w:rPr>
        <w:t xml:space="preserve"> </w:t>
      </w:r>
      <w:r>
        <w:t>(4)</w:t>
      </w:r>
      <w:r>
        <w:rPr>
          <w:spacing w:val="-3"/>
        </w:rPr>
        <w:t xml:space="preserve"> </w:t>
      </w:r>
      <w:r>
        <w:t>for</w:t>
      </w:r>
      <w:r>
        <w:rPr>
          <w:spacing w:val="-2"/>
        </w:rPr>
        <w:t xml:space="preserve"> </w:t>
      </w:r>
      <w:r>
        <w:t>its</w:t>
      </w:r>
      <w:r>
        <w:rPr>
          <w:spacing w:val="-2"/>
        </w:rPr>
        <w:t xml:space="preserve"> </w:t>
      </w:r>
      <w:r>
        <w:rPr>
          <w:spacing w:val="-4"/>
        </w:rPr>
        <w:t>form.</w:t>
      </w:r>
    </w:p>
    <w:p w14:paraId="7E0013F5" w14:textId="77777777" w:rsidR="009A58DB" w:rsidRDefault="009A58DB">
      <w:pPr>
        <w:pStyle w:val="BodyText"/>
        <w:spacing w:before="29"/>
        <w:ind w:left="0"/>
        <w:jc w:val="left"/>
      </w:pPr>
    </w:p>
    <w:p w14:paraId="7E0013F6" w14:textId="77777777" w:rsidR="009A58DB" w:rsidRDefault="00000000">
      <w:pPr>
        <w:pStyle w:val="BodyText"/>
        <w:spacing w:before="1" w:line="249" w:lineRule="auto"/>
        <w:ind w:right="359" w:firstLine="360"/>
      </w:pPr>
      <w:r>
        <w:t xml:space="preserve">So </w:t>
      </w:r>
      <w:r>
        <w:rPr>
          <w:i/>
        </w:rPr>
        <w:t xml:space="preserve">merely </w:t>
      </w:r>
      <w:r>
        <w:t>by virtue of being in a position to “pick up” use of the term “Argo,”</w:t>
      </w:r>
      <w:r>
        <w:rPr>
          <w:spacing w:val="-3"/>
        </w:rPr>
        <w:t xml:space="preserve"> </w:t>
      </w:r>
      <w:r>
        <w:t>you</w:t>
      </w:r>
      <w:r>
        <w:rPr>
          <w:spacing w:val="-2"/>
        </w:rPr>
        <w:t xml:space="preserve"> </w:t>
      </w:r>
      <w:r>
        <w:t>are</w:t>
      </w:r>
      <w:r>
        <w:rPr>
          <w:spacing w:val="-3"/>
        </w:rPr>
        <w:t xml:space="preserve"> </w:t>
      </w:r>
      <w:r>
        <w:rPr>
          <w:i/>
        </w:rPr>
        <w:t>ipso</w:t>
      </w:r>
      <w:r>
        <w:rPr>
          <w:i/>
          <w:spacing w:val="-2"/>
        </w:rPr>
        <w:t xml:space="preserve"> </w:t>
      </w:r>
      <w:r>
        <w:rPr>
          <w:i/>
        </w:rPr>
        <w:t>facto</w:t>
      </w:r>
      <w:r>
        <w:rPr>
          <w:i/>
          <w:spacing w:val="40"/>
        </w:rPr>
        <w:t xml:space="preserve"> </w:t>
      </w:r>
      <w:r>
        <w:t xml:space="preserve">in a position to know the truth of (1). Thus </w:t>
      </w:r>
      <w:r>
        <w:rPr>
          <w:i/>
        </w:rPr>
        <w:t xml:space="preserve">merely </w:t>
      </w:r>
      <w:r>
        <w:t>by virtue of being in a position to “pick up” use of the term “Argo” some existence-claim of the form: there is some x such that x uniquely has phi and “Argo” refers to x.</w:t>
      </w:r>
    </w:p>
    <w:p w14:paraId="7E0013F7" w14:textId="77777777" w:rsidR="009A58DB" w:rsidRDefault="00000000">
      <w:pPr>
        <w:pStyle w:val="BodyText"/>
        <w:spacing w:before="6"/>
        <w:ind w:left="720"/>
      </w:pPr>
      <w:r>
        <w:t>It</w:t>
      </w:r>
      <w:r>
        <w:rPr>
          <w:spacing w:val="65"/>
        </w:rPr>
        <w:t xml:space="preserve"> </w:t>
      </w:r>
      <w:r>
        <w:t>is</w:t>
      </w:r>
      <w:r>
        <w:rPr>
          <w:spacing w:val="67"/>
        </w:rPr>
        <w:t xml:space="preserve"> </w:t>
      </w:r>
      <w:r>
        <w:t>plain</w:t>
      </w:r>
      <w:r>
        <w:rPr>
          <w:spacing w:val="67"/>
        </w:rPr>
        <w:t xml:space="preserve"> </w:t>
      </w:r>
      <w:r>
        <w:t>that</w:t>
      </w:r>
      <w:r>
        <w:rPr>
          <w:spacing w:val="68"/>
        </w:rPr>
        <w:t xml:space="preserve"> </w:t>
      </w:r>
      <w:r>
        <w:t>what</w:t>
      </w:r>
      <w:r>
        <w:rPr>
          <w:spacing w:val="67"/>
        </w:rPr>
        <w:t xml:space="preserve"> </w:t>
      </w:r>
      <w:r>
        <w:t>enables</w:t>
      </w:r>
      <w:r>
        <w:rPr>
          <w:spacing w:val="67"/>
        </w:rPr>
        <w:t xml:space="preserve"> </w:t>
      </w:r>
      <w:r>
        <w:t>you</w:t>
      </w:r>
      <w:r>
        <w:rPr>
          <w:spacing w:val="68"/>
        </w:rPr>
        <w:t xml:space="preserve"> </w:t>
      </w:r>
      <w:r>
        <w:t>to</w:t>
      </w:r>
      <w:r>
        <w:rPr>
          <w:spacing w:val="67"/>
        </w:rPr>
        <w:t xml:space="preserve"> </w:t>
      </w:r>
      <w:r>
        <w:t>pick</w:t>
      </w:r>
      <w:r>
        <w:rPr>
          <w:spacing w:val="67"/>
        </w:rPr>
        <w:t xml:space="preserve"> </w:t>
      </w:r>
      <w:r>
        <w:t>up</w:t>
      </w:r>
      <w:r>
        <w:rPr>
          <w:spacing w:val="67"/>
        </w:rPr>
        <w:t xml:space="preserve"> </w:t>
      </w:r>
      <w:r>
        <w:t>the</w:t>
      </w:r>
      <w:r>
        <w:rPr>
          <w:spacing w:val="68"/>
        </w:rPr>
        <w:t xml:space="preserve"> </w:t>
      </w:r>
      <w:r>
        <w:t>term</w:t>
      </w:r>
      <w:r>
        <w:rPr>
          <w:spacing w:val="67"/>
        </w:rPr>
        <w:t xml:space="preserve"> </w:t>
      </w:r>
      <w:r>
        <w:t>“Argo”</w:t>
      </w:r>
      <w:r>
        <w:rPr>
          <w:spacing w:val="67"/>
        </w:rPr>
        <w:t xml:space="preserve"> </w:t>
      </w:r>
      <w:r>
        <w:t>is</w:t>
      </w:r>
      <w:r>
        <w:rPr>
          <w:spacing w:val="68"/>
        </w:rPr>
        <w:t xml:space="preserve"> </w:t>
      </w:r>
      <w:r>
        <w:rPr>
          <w:spacing w:val="-4"/>
        </w:rPr>
        <w:t>your</w:t>
      </w:r>
    </w:p>
    <w:p w14:paraId="7E0013F8" w14:textId="77777777" w:rsidR="009A58DB" w:rsidRDefault="009A58DB">
      <w:pPr>
        <w:pStyle w:val="BodyText"/>
        <w:sectPr w:rsidR="009A58DB">
          <w:pgSz w:w="12240" w:h="15840"/>
          <w:pgMar w:top="1380" w:right="1080" w:bottom="280" w:left="1080" w:header="720" w:footer="720" w:gutter="0"/>
          <w:cols w:space="720"/>
        </w:sectPr>
      </w:pPr>
    </w:p>
    <w:p w14:paraId="7E0013F9" w14:textId="77777777" w:rsidR="009A58DB" w:rsidRDefault="00000000">
      <w:pPr>
        <w:pStyle w:val="BodyText"/>
        <w:spacing w:before="70" w:line="249" w:lineRule="auto"/>
        <w:ind w:right="366"/>
      </w:pPr>
      <w:r>
        <w:lastRenderedPageBreak/>
        <w:t>knowledge of some claim of the sort just described. Your picking up a term like</w:t>
      </w:r>
      <w:r>
        <w:rPr>
          <w:spacing w:val="70"/>
          <w:w w:val="150"/>
        </w:rPr>
        <w:t xml:space="preserve"> </w:t>
      </w:r>
      <w:r>
        <w:t>“Argo”</w:t>
      </w:r>
      <w:r>
        <w:rPr>
          <w:spacing w:val="71"/>
          <w:w w:val="150"/>
        </w:rPr>
        <w:t xml:space="preserve"> </w:t>
      </w:r>
      <w:r>
        <w:t>involves</w:t>
      </w:r>
      <w:r>
        <w:rPr>
          <w:spacing w:val="70"/>
          <w:w w:val="150"/>
        </w:rPr>
        <w:t xml:space="preserve"> </w:t>
      </w:r>
      <w:r>
        <w:t>your</w:t>
      </w:r>
      <w:r>
        <w:rPr>
          <w:spacing w:val="71"/>
          <w:w w:val="150"/>
        </w:rPr>
        <w:t xml:space="preserve"> </w:t>
      </w:r>
      <w:r>
        <w:t>hearing</w:t>
      </w:r>
      <w:r>
        <w:rPr>
          <w:spacing w:val="70"/>
          <w:w w:val="150"/>
        </w:rPr>
        <w:t xml:space="preserve"> </w:t>
      </w:r>
      <w:r>
        <w:t>or</w:t>
      </w:r>
      <w:r>
        <w:rPr>
          <w:spacing w:val="71"/>
          <w:w w:val="150"/>
        </w:rPr>
        <w:t xml:space="preserve"> </w:t>
      </w:r>
      <w:r>
        <w:t>reading</w:t>
      </w:r>
      <w:r>
        <w:rPr>
          <w:spacing w:val="70"/>
          <w:w w:val="150"/>
        </w:rPr>
        <w:t xml:space="preserve"> </w:t>
      </w:r>
      <w:r>
        <w:t>a</w:t>
      </w:r>
      <w:r>
        <w:rPr>
          <w:spacing w:val="71"/>
          <w:w w:val="150"/>
        </w:rPr>
        <w:t xml:space="preserve"> </w:t>
      </w:r>
      <w:r>
        <w:t>sentence</w:t>
      </w:r>
      <w:r>
        <w:rPr>
          <w:spacing w:val="70"/>
          <w:w w:val="150"/>
        </w:rPr>
        <w:t xml:space="preserve"> </w:t>
      </w:r>
      <w:r>
        <w:t>of</w:t>
      </w:r>
      <w:r>
        <w:rPr>
          <w:spacing w:val="71"/>
          <w:w w:val="150"/>
        </w:rPr>
        <w:t xml:space="preserve"> </w:t>
      </w:r>
      <w:r>
        <w:t>the</w:t>
      </w:r>
      <w:r>
        <w:rPr>
          <w:spacing w:val="70"/>
          <w:w w:val="150"/>
        </w:rPr>
        <w:t xml:space="preserve"> </w:t>
      </w:r>
      <w:r>
        <w:rPr>
          <w:spacing w:val="-4"/>
        </w:rPr>
        <w:t>form</w:t>
      </w:r>
    </w:p>
    <w:p w14:paraId="7E0013FA" w14:textId="77777777" w:rsidR="009A58DB" w:rsidRDefault="00000000">
      <w:pPr>
        <w:pStyle w:val="BodyText"/>
        <w:spacing w:before="2" w:line="249" w:lineRule="auto"/>
        <w:ind w:right="358"/>
      </w:pPr>
      <w:r>
        <w:t>‹...Argo...›.</w:t>
      </w:r>
      <w:r>
        <w:rPr>
          <w:spacing w:val="-3"/>
        </w:rPr>
        <w:t xml:space="preserve"> </w:t>
      </w:r>
      <w:r>
        <w:t>It</w:t>
      </w:r>
      <w:r>
        <w:rPr>
          <w:spacing w:val="-4"/>
        </w:rPr>
        <w:t xml:space="preserve"> </w:t>
      </w:r>
      <w:r>
        <w:t>thus</w:t>
      </w:r>
      <w:r>
        <w:rPr>
          <w:spacing w:val="-4"/>
        </w:rPr>
        <w:t xml:space="preserve"> </w:t>
      </w:r>
      <w:r>
        <w:t>involves</w:t>
      </w:r>
      <w:r>
        <w:rPr>
          <w:spacing w:val="-4"/>
        </w:rPr>
        <w:t xml:space="preserve"> </w:t>
      </w:r>
      <w:r>
        <w:t>your</w:t>
      </w:r>
      <w:r>
        <w:rPr>
          <w:spacing w:val="-4"/>
        </w:rPr>
        <w:t xml:space="preserve"> </w:t>
      </w:r>
      <w:r>
        <w:t>encountering</w:t>
      </w:r>
      <w:r>
        <w:rPr>
          <w:spacing w:val="-3"/>
        </w:rPr>
        <w:t xml:space="preserve"> </w:t>
      </w:r>
      <w:r>
        <w:t>a</w:t>
      </w:r>
      <w:r>
        <w:rPr>
          <w:spacing w:val="-4"/>
        </w:rPr>
        <w:t xml:space="preserve"> </w:t>
      </w:r>
      <w:r>
        <w:t>case</w:t>
      </w:r>
      <w:r>
        <w:rPr>
          <w:spacing w:val="-4"/>
        </w:rPr>
        <w:t xml:space="preserve"> </w:t>
      </w:r>
      <w:r>
        <w:t>of</w:t>
      </w:r>
      <w:r>
        <w:rPr>
          <w:spacing w:val="-4"/>
        </w:rPr>
        <w:t xml:space="preserve"> </w:t>
      </w:r>
      <w:r>
        <w:t>somebody’s</w:t>
      </w:r>
      <w:r>
        <w:rPr>
          <w:spacing w:val="-4"/>
        </w:rPr>
        <w:t xml:space="preserve"> </w:t>
      </w:r>
      <w:r>
        <w:t xml:space="preserve">ascribing a property to Argo. (This is true even if you read such sentence: you are </w:t>
      </w:r>
      <w:r>
        <w:rPr>
          <w:i/>
        </w:rPr>
        <w:t xml:space="preserve">still, </w:t>
      </w:r>
      <w:r>
        <w:t xml:space="preserve">in effect, encountering somebody’s using that sentence to make such a statement.)Whenever you hear a token of ‹Argo has phi› you are thereby made aware of the fact that there is somebody x such that, </w:t>
      </w:r>
      <w:r>
        <w:rPr>
          <w:i/>
        </w:rPr>
        <w:t xml:space="preserve">on that occasion, </w:t>
      </w:r>
      <w:r>
        <w:t>the property of being a phi is being ascribed to x and x alone; and you are</w:t>
      </w:r>
      <w:r>
        <w:rPr>
          <w:spacing w:val="40"/>
        </w:rPr>
        <w:t xml:space="preserve"> </w:t>
      </w:r>
      <w:r>
        <w:t>also</w:t>
      </w:r>
      <w:r>
        <w:rPr>
          <w:spacing w:val="-1"/>
        </w:rPr>
        <w:t xml:space="preserve"> </w:t>
      </w:r>
      <w:r>
        <w:t>being</w:t>
      </w:r>
      <w:r>
        <w:rPr>
          <w:spacing w:val="-1"/>
        </w:rPr>
        <w:t xml:space="preserve"> </w:t>
      </w:r>
      <w:r>
        <w:t>made</w:t>
      </w:r>
      <w:r>
        <w:rPr>
          <w:spacing w:val="-1"/>
        </w:rPr>
        <w:t xml:space="preserve"> </w:t>
      </w:r>
      <w:r>
        <w:t>aware</w:t>
      </w:r>
      <w:r>
        <w:rPr>
          <w:spacing w:val="-1"/>
        </w:rPr>
        <w:t xml:space="preserve"> </w:t>
      </w:r>
      <w:r>
        <w:t>of</w:t>
      </w:r>
      <w:r>
        <w:rPr>
          <w:spacing w:val="-1"/>
        </w:rPr>
        <w:t xml:space="preserve"> </w:t>
      </w:r>
      <w:r>
        <w:t>the</w:t>
      </w:r>
      <w:r>
        <w:rPr>
          <w:spacing w:val="-1"/>
        </w:rPr>
        <w:t xml:space="preserve"> </w:t>
      </w:r>
      <w:r>
        <w:t>fact</w:t>
      </w:r>
      <w:r>
        <w:rPr>
          <w:spacing w:val="-2"/>
        </w:rPr>
        <w:t xml:space="preserve"> </w:t>
      </w:r>
      <w:r>
        <w:t>that,</w:t>
      </w:r>
      <w:r>
        <w:rPr>
          <w:spacing w:val="-1"/>
        </w:rPr>
        <w:t xml:space="preserve"> </w:t>
      </w:r>
      <w:r>
        <w:t>on</w:t>
      </w:r>
      <w:r>
        <w:rPr>
          <w:spacing w:val="-1"/>
        </w:rPr>
        <w:t xml:space="preserve"> </w:t>
      </w:r>
      <w:r>
        <w:t>that</w:t>
      </w:r>
      <w:r>
        <w:rPr>
          <w:spacing w:val="-2"/>
        </w:rPr>
        <w:t xml:space="preserve"> </w:t>
      </w:r>
      <w:r>
        <w:t>occasion,</w:t>
      </w:r>
      <w:r>
        <w:rPr>
          <w:spacing w:val="-1"/>
        </w:rPr>
        <w:t xml:space="preserve"> </w:t>
      </w:r>
      <w:r>
        <w:t>“Argo”</w:t>
      </w:r>
      <w:r>
        <w:rPr>
          <w:spacing w:val="-1"/>
        </w:rPr>
        <w:t xml:space="preserve"> </w:t>
      </w:r>
      <w:r>
        <w:t>is</w:t>
      </w:r>
      <w:r>
        <w:rPr>
          <w:spacing w:val="-1"/>
        </w:rPr>
        <w:t xml:space="preserve"> </w:t>
      </w:r>
      <w:r>
        <w:t>being</w:t>
      </w:r>
      <w:r>
        <w:rPr>
          <w:spacing w:val="-1"/>
        </w:rPr>
        <w:t xml:space="preserve"> </w:t>
      </w:r>
      <w:r>
        <w:t>used to refer to x. On any such occasion, therefore, you are being apprised of an existence-claim that Argo uniquely satisfies, even though no such claim is being overtly stated.</w:t>
      </w:r>
    </w:p>
    <w:p w14:paraId="7E0013FB" w14:textId="77777777" w:rsidR="009A58DB" w:rsidRDefault="00000000">
      <w:pPr>
        <w:pStyle w:val="BodyText"/>
        <w:spacing w:before="7"/>
        <w:ind w:left="720"/>
      </w:pPr>
      <w:r>
        <w:t>We</w:t>
      </w:r>
      <w:r>
        <w:rPr>
          <w:spacing w:val="-6"/>
        </w:rPr>
        <w:t xml:space="preserve"> </w:t>
      </w:r>
      <w:r>
        <w:t>must</w:t>
      </w:r>
      <w:r>
        <w:rPr>
          <w:spacing w:val="-4"/>
        </w:rPr>
        <w:t xml:space="preserve"> </w:t>
      </w:r>
      <w:r>
        <w:t>be</w:t>
      </w:r>
      <w:r>
        <w:rPr>
          <w:spacing w:val="-3"/>
        </w:rPr>
        <w:t xml:space="preserve"> </w:t>
      </w:r>
      <w:r>
        <w:t>careful</w:t>
      </w:r>
      <w:r>
        <w:rPr>
          <w:spacing w:val="-4"/>
        </w:rPr>
        <w:t xml:space="preserve"> </w:t>
      </w:r>
      <w:r>
        <w:t>to</w:t>
      </w:r>
      <w:r>
        <w:rPr>
          <w:spacing w:val="-3"/>
        </w:rPr>
        <w:t xml:space="preserve"> </w:t>
      </w:r>
      <w:r>
        <w:t>distinguish</w:t>
      </w:r>
      <w:r>
        <w:rPr>
          <w:spacing w:val="-2"/>
        </w:rPr>
        <w:t xml:space="preserve"> </w:t>
      </w:r>
      <w:r>
        <w:t>the</w:t>
      </w:r>
      <w:r>
        <w:rPr>
          <w:spacing w:val="-4"/>
        </w:rPr>
        <w:t xml:space="preserve"> </w:t>
      </w:r>
      <w:r>
        <w:t>following</w:t>
      </w:r>
      <w:r>
        <w:rPr>
          <w:spacing w:val="-2"/>
        </w:rPr>
        <w:t xml:space="preserve"> claims:</w:t>
      </w:r>
    </w:p>
    <w:p w14:paraId="7E0013FC" w14:textId="77777777" w:rsidR="009A58DB" w:rsidRDefault="009A58DB">
      <w:pPr>
        <w:pStyle w:val="BodyText"/>
        <w:spacing w:before="30"/>
        <w:ind w:left="0"/>
        <w:jc w:val="left"/>
      </w:pPr>
    </w:p>
    <w:p w14:paraId="7E0013FD" w14:textId="77777777" w:rsidR="009A58DB" w:rsidRDefault="00000000">
      <w:pPr>
        <w:pStyle w:val="ListParagraph"/>
        <w:numPr>
          <w:ilvl w:val="1"/>
          <w:numId w:val="150"/>
        </w:numPr>
        <w:tabs>
          <w:tab w:val="left" w:pos="764"/>
        </w:tabs>
        <w:ind w:left="764" w:hanging="404"/>
        <w:rPr>
          <w:sz w:val="30"/>
        </w:rPr>
      </w:pPr>
      <w:r>
        <w:rPr>
          <w:sz w:val="30"/>
        </w:rPr>
        <w:t>Exactly</w:t>
      </w:r>
      <w:r>
        <w:rPr>
          <w:spacing w:val="-3"/>
          <w:sz w:val="30"/>
        </w:rPr>
        <w:t xml:space="preserve"> </w:t>
      </w:r>
      <w:r>
        <w:rPr>
          <w:sz w:val="30"/>
        </w:rPr>
        <w:t>one</w:t>
      </w:r>
      <w:r>
        <w:rPr>
          <w:spacing w:val="-3"/>
          <w:sz w:val="30"/>
        </w:rPr>
        <w:t xml:space="preserve"> </w:t>
      </w:r>
      <w:r>
        <w:rPr>
          <w:sz w:val="30"/>
        </w:rPr>
        <w:t>person</w:t>
      </w:r>
      <w:r>
        <w:rPr>
          <w:spacing w:val="-2"/>
          <w:sz w:val="30"/>
        </w:rPr>
        <w:t xml:space="preserve"> </w:t>
      </w:r>
      <w:r>
        <w:rPr>
          <w:sz w:val="30"/>
        </w:rPr>
        <w:t>has</w:t>
      </w:r>
      <w:r>
        <w:rPr>
          <w:spacing w:val="-3"/>
          <w:sz w:val="30"/>
        </w:rPr>
        <w:t xml:space="preserve"> </w:t>
      </w:r>
      <w:r>
        <w:rPr>
          <w:spacing w:val="-4"/>
          <w:sz w:val="30"/>
        </w:rPr>
        <w:t>phi.</w:t>
      </w:r>
    </w:p>
    <w:p w14:paraId="7E0013FE" w14:textId="77777777" w:rsidR="009A58DB" w:rsidRDefault="00000000">
      <w:pPr>
        <w:pStyle w:val="ListParagraph"/>
        <w:numPr>
          <w:ilvl w:val="1"/>
          <w:numId w:val="150"/>
        </w:numPr>
        <w:tabs>
          <w:tab w:val="left" w:pos="825"/>
        </w:tabs>
        <w:spacing w:before="15" w:line="249" w:lineRule="auto"/>
        <w:ind w:left="360" w:right="366" w:firstLine="0"/>
        <w:rPr>
          <w:sz w:val="30"/>
        </w:rPr>
      </w:pPr>
      <w:r>
        <w:rPr>
          <w:sz w:val="30"/>
        </w:rPr>
        <w:t>Exactly</w:t>
      </w:r>
      <w:r>
        <w:rPr>
          <w:spacing w:val="38"/>
          <w:sz w:val="30"/>
        </w:rPr>
        <w:t xml:space="preserve"> </w:t>
      </w:r>
      <w:r>
        <w:rPr>
          <w:sz w:val="30"/>
        </w:rPr>
        <w:t>one</w:t>
      </w:r>
      <w:r>
        <w:rPr>
          <w:spacing w:val="38"/>
          <w:sz w:val="30"/>
        </w:rPr>
        <w:t xml:space="preserve"> </w:t>
      </w:r>
      <w:r>
        <w:rPr>
          <w:sz w:val="30"/>
        </w:rPr>
        <w:t>person</w:t>
      </w:r>
      <w:r>
        <w:rPr>
          <w:spacing w:val="38"/>
          <w:sz w:val="30"/>
        </w:rPr>
        <w:t xml:space="preserve"> </w:t>
      </w:r>
      <w:r>
        <w:rPr>
          <w:sz w:val="30"/>
        </w:rPr>
        <w:t>is</w:t>
      </w:r>
      <w:r>
        <w:rPr>
          <w:spacing w:val="38"/>
          <w:sz w:val="30"/>
        </w:rPr>
        <w:t xml:space="preserve"> </w:t>
      </w:r>
      <w:r>
        <w:rPr>
          <w:sz w:val="30"/>
        </w:rPr>
        <w:t>being</w:t>
      </w:r>
      <w:r>
        <w:rPr>
          <w:spacing w:val="38"/>
          <w:sz w:val="30"/>
        </w:rPr>
        <w:t xml:space="preserve"> </w:t>
      </w:r>
      <w:r>
        <w:rPr>
          <w:i/>
          <w:sz w:val="30"/>
        </w:rPr>
        <w:t xml:space="preserve">described, </w:t>
      </w:r>
      <w:r>
        <w:rPr>
          <w:sz w:val="30"/>
        </w:rPr>
        <w:t>on</w:t>
      </w:r>
      <w:r>
        <w:rPr>
          <w:spacing w:val="40"/>
          <w:sz w:val="30"/>
        </w:rPr>
        <w:t xml:space="preserve"> </w:t>
      </w:r>
      <w:r>
        <w:rPr>
          <w:sz w:val="30"/>
        </w:rPr>
        <w:t>some</w:t>
      </w:r>
      <w:r>
        <w:rPr>
          <w:spacing w:val="40"/>
          <w:sz w:val="30"/>
        </w:rPr>
        <w:t xml:space="preserve"> </w:t>
      </w:r>
      <w:r>
        <w:rPr>
          <w:sz w:val="30"/>
        </w:rPr>
        <w:t>particular</w:t>
      </w:r>
      <w:r>
        <w:rPr>
          <w:spacing w:val="40"/>
          <w:sz w:val="30"/>
        </w:rPr>
        <w:t xml:space="preserve"> </w:t>
      </w:r>
      <w:r>
        <w:rPr>
          <w:sz w:val="30"/>
        </w:rPr>
        <w:t>occasion,</w:t>
      </w:r>
      <w:r>
        <w:rPr>
          <w:spacing w:val="40"/>
          <w:sz w:val="30"/>
        </w:rPr>
        <w:t xml:space="preserve"> </w:t>
      </w:r>
      <w:r>
        <w:rPr>
          <w:sz w:val="30"/>
        </w:rPr>
        <w:t>as having phi.</w:t>
      </w:r>
    </w:p>
    <w:p w14:paraId="7E0013FF" w14:textId="77777777" w:rsidR="009A58DB" w:rsidRDefault="009A58DB">
      <w:pPr>
        <w:pStyle w:val="BodyText"/>
        <w:spacing w:before="18"/>
        <w:ind w:left="0"/>
        <w:jc w:val="left"/>
      </w:pPr>
    </w:p>
    <w:p w14:paraId="7E001400" w14:textId="77777777" w:rsidR="009A58DB" w:rsidRDefault="00000000">
      <w:pPr>
        <w:pStyle w:val="BodyText"/>
        <w:spacing w:line="249" w:lineRule="auto"/>
        <w:ind w:right="358" w:firstLine="360"/>
      </w:pPr>
      <w:r>
        <w:t>There</w:t>
      </w:r>
      <w:r>
        <w:rPr>
          <w:spacing w:val="-1"/>
        </w:rPr>
        <w:t xml:space="preserve"> </w:t>
      </w:r>
      <w:r>
        <w:t>are</w:t>
      </w:r>
      <w:r>
        <w:rPr>
          <w:spacing w:val="-1"/>
        </w:rPr>
        <w:t xml:space="preserve"> </w:t>
      </w:r>
      <w:r>
        <w:t>many</w:t>
      </w:r>
      <w:r>
        <w:rPr>
          <w:spacing w:val="-1"/>
        </w:rPr>
        <w:t xml:space="preserve"> </w:t>
      </w:r>
      <w:r>
        <w:t>cads.</w:t>
      </w:r>
      <w:r>
        <w:rPr>
          <w:spacing w:val="-1"/>
        </w:rPr>
        <w:t xml:space="preserve"> </w:t>
      </w:r>
      <w:r>
        <w:t>But</w:t>
      </w:r>
      <w:r>
        <w:rPr>
          <w:spacing w:val="-1"/>
        </w:rPr>
        <w:t xml:space="preserve"> </w:t>
      </w:r>
      <w:r>
        <w:t>there</w:t>
      </w:r>
      <w:r>
        <w:rPr>
          <w:spacing w:val="-1"/>
        </w:rPr>
        <w:t xml:space="preserve"> </w:t>
      </w:r>
      <w:r>
        <w:t>are</w:t>
      </w:r>
      <w:r>
        <w:rPr>
          <w:spacing w:val="-1"/>
        </w:rPr>
        <w:t xml:space="preserve"> </w:t>
      </w:r>
      <w:r>
        <w:t>many</w:t>
      </w:r>
      <w:r>
        <w:rPr>
          <w:spacing w:val="-1"/>
        </w:rPr>
        <w:t xml:space="preserve"> </w:t>
      </w:r>
      <w:r>
        <w:t>occasions</w:t>
      </w:r>
      <w:r>
        <w:rPr>
          <w:spacing w:val="-1"/>
        </w:rPr>
        <w:t xml:space="preserve"> </w:t>
      </w:r>
      <w:r>
        <w:t>where</w:t>
      </w:r>
      <w:r>
        <w:rPr>
          <w:spacing w:val="-1"/>
        </w:rPr>
        <w:t xml:space="preserve"> </w:t>
      </w:r>
      <w:r>
        <w:t>only</w:t>
      </w:r>
      <w:r>
        <w:rPr>
          <w:spacing w:val="-1"/>
        </w:rPr>
        <w:t xml:space="preserve"> </w:t>
      </w:r>
      <w:r>
        <w:t>one</w:t>
      </w:r>
      <w:r>
        <w:rPr>
          <w:spacing w:val="-1"/>
        </w:rPr>
        <w:t xml:space="preserve"> </w:t>
      </w:r>
      <w:r>
        <w:t xml:space="preserve">person is being </w:t>
      </w:r>
      <w:r>
        <w:rPr>
          <w:i/>
        </w:rPr>
        <w:t xml:space="preserve">described </w:t>
      </w:r>
      <w:r>
        <w:t>as a cad. Your learning who “Argo” refers to doesn’t involve your learning that:</w:t>
      </w:r>
    </w:p>
    <w:p w14:paraId="7E001401" w14:textId="77777777" w:rsidR="009A58DB" w:rsidRDefault="009A58DB">
      <w:pPr>
        <w:pStyle w:val="BodyText"/>
        <w:spacing w:before="18"/>
        <w:ind w:left="0"/>
        <w:jc w:val="left"/>
      </w:pPr>
    </w:p>
    <w:p w14:paraId="7E001402" w14:textId="77777777" w:rsidR="009A58DB" w:rsidRDefault="00000000">
      <w:pPr>
        <w:pStyle w:val="ListParagraph"/>
        <w:numPr>
          <w:ilvl w:val="0"/>
          <w:numId w:val="150"/>
        </w:numPr>
        <w:tabs>
          <w:tab w:val="left" w:pos="782"/>
        </w:tabs>
        <w:spacing w:before="1"/>
        <w:ind w:left="782" w:hanging="422"/>
        <w:rPr>
          <w:sz w:val="30"/>
        </w:rPr>
      </w:pPr>
      <w:r>
        <w:rPr>
          <w:sz w:val="30"/>
        </w:rPr>
        <w:t>exactly</w:t>
      </w:r>
      <w:r>
        <w:rPr>
          <w:spacing w:val="-4"/>
          <w:sz w:val="30"/>
        </w:rPr>
        <w:t xml:space="preserve"> </w:t>
      </w:r>
      <w:r>
        <w:rPr>
          <w:sz w:val="30"/>
        </w:rPr>
        <w:t>one</w:t>
      </w:r>
      <w:r>
        <w:rPr>
          <w:spacing w:val="-3"/>
          <w:sz w:val="30"/>
        </w:rPr>
        <w:t xml:space="preserve"> </w:t>
      </w:r>
      <w:r>
        <w:rPr>
          <w:sz w:val="30"/>
        </w:rPr>
        <w:t>person</w:t>
      </w:r>
      <w:r>
        <w:rPr>
          <w:spacing w:val="-2"/>
          <w:sz w:val="30"/>
        </w:rPr>
        <w:t xml:space="preserve"> </w:t>
      </w:r>
      <w:r>
        <w:rPr>
          <w:sz w:val="30"/>
        </w:rPr>
        <w:t>x</w:t>
      </w:r>
      <w:r>
        <w:rPr>
          <w:spacing w:val="-2"/>
          <w:sz w:val="30"/>
        </w:rPr>
        <w:t xml:space="preserve"> </w:t>
      </w:r>
      <w:r>
        <w:rPr>
          <w:sz w:val="30"/>
        </w:rPr>
        <w:t>is</w:t>
      </w:r>
      <w:r>
        <w:rPr>
          <w:spacing w:val="-3"/>
          <w:sz w:val="30"/>
        </w:rPr>
        <w:t xml:space="preserve"> </w:t>
      </w:r>
      <w:r>
        <w:rPr>
          <w:sz w:val="30"/>
        </w:rPr>
        <w:t>a</w:t>
      </w:r>
      <w:r>
        <w:rPr>
          <w:spacing w:val="-3"/>
          <w:sz w:val="30"/>
        </w:rPr>
        <w:t xml:space="preserve"> </w:t>
      </w:r>
      <w:r>
        <w:rPr>
          <w:sz w:val="30"/>
        </w:rPr>
        <w:t>cad,</w:t>
      </w:r>
      <w:r>
        <w:rPr>
          <w:spacing w:val="-2"/>
          <w:sz w:val="30"/>
        </w:rPr>
        <w:t xml:space="preserve"> </w:t>
      </w:r>
      <w:r>
        <w:rPr>
          <w:sz w:val="30"/>
        </w:rPr>
        <w:t>and</w:t>
      </w:r>
      <w:r>
        <w:rPr>
          <w:spacing w:val="-2"/>
          <w:sz w:val="30"/>
        </w:rPr>
        <w:t xml:space="preserve"> </w:t>
      </w:r>
      <w:r>
        <w:rPr>
          <w:sz w:val="30"/>
        </w:rPr>
        <w:t>“Argo”</w:t>
      </w:r>
      <w:r>
        <w:rPr>
          <w:spacing w:val="-3"/>
          <w:sz w:val="30"/>
        </w:rPr>
        <w:t xml:space="preserve"> </w:t>
      </w:r>
      <w:r>
        <w:rPr>
          <w:sz w:val="30"/>
        </w:rPr>
        <w:t>refers</w:t>
      </w:r>
      <w:r>
        <w:rPr>
          <w:spacing w:val="-3"/>
          <w:sz w:val="30"/>
        </w:rPr>
        <w:t xml:space="preserve"> </w:t>
      </w:r>
      <w:r>
        <w:rPr>
          <w:sz w:val="30"/>
        </w:rPr>
        <w:t>to</w:t>
      </w:r>
      <w:r>
        <w:rPr>
          <w:spacing w:val="-1"/>
          <w:sz w:val="30"/>
        </w:rPr>
        <w:t xml:space="preserve"> </w:t>
      </w:r>
      <w:r>
        <w:rPr>
          <w:spacing w:val="-5"/>
          <w:sz w:val="30"/>
        </w:rPr>
        <w:t>x.</w:t>
      </w:r>
    </w:p>
    <w:p w14:paraId="7E001403" w14:textId="77777777" w:rsidR="009A58DB" w:rsidRDefault="009A58DB">
      <w:pPr>
        <w:pStyle w:val="BodyText"/>
        <w:spacing w:before="30"/>
        <w:ind w:left="0"/>
        <w:jc w:val="left"/>
      </w:pPr>
    </w:p>
    <w:p w14:paraId="7E001404" w14:textId="77777777" w:rsidR="009A58DB" w:rsidRDefault="00000000">
      <w:pPr>
        <w:pStyle w:val="BodyText"/>
        <w:spacing w:line="249" w:lineRule="auto"/>
        <w:ind w:right="358"/>
      </w:pPr>
      <w:r>
        <w:t xml:space="preserve">You couldn’t possibly “learn” (6), since it’s false, given that there are many cads. Your learning who “Argo” refers to involves your learning that, on some occasion, somebody x is being </w:t>
      </w:r>
      <w:r>
        <w:rPr>
          <w:b/>
        </w:rPr>
        <w:t xml:space="preserve">described </w:t>
      </w:r>
      <w:r>
        <w:t>by some specific person (Smith) as a “cad.”</w:t>
      </w:r>
    </w:p>
    <w:p w14:paraId="7E001405" w14:textId="77777777" w:rsidR="009A58DB" w:rsidRDefault="00000000">
      <w:pPr>
        <w:pStyle w:val="BodyText"/>
        <w:spacing w:before="5" w:line="249" w:lineRule="auto"/>
        <w:ind w:right="361" w:firstLine="360"/>
      </w:pPr>
      <w:r>
        <w:t>What</w:t>
      </w:r>
      <w:r>
        <w:rPr>
          <w:spacing w:val="-2"/>
        </w:rPr>
        <w:t xml:space="preserve"> </w:t>
      </w:r>
      <w:r>
        <w:t>these</w:t>
      </w:r>
      <w:r>
        <w:rPr>
          <w:spacing w:val="-2"/>
        </w:rPr>
        <w:t xml:space="preserve"> </w:t>
      </w:r>
      <w:r>
        <w:t>remarks</w:t>
      </w:r>
      <w:r>
        <w:rPr>
          <w:spacing w:val="-2"/>
        </w:rPr>
        <w:t xml:space="preserve"> </w:t>
      </w:r>
      <w:r>
        <w:t>show</w:t>
      </w:r>
      <w:r>
        <w:rPr>
          <w:spacing w:val="-2"/>
        </w:rPr>
        <w:t xml:space="preserve"> </w:t>
      </w:r>
      <w:r>
        <w:t>is</w:t>
      </w:r>
      <w:r>
        <w:rPr>
          <w:spacing w:val="-2"/>
        </w:rPr>
        <w:t xml:space="preserve"> </w:t>
      </w:r>
      <w:r>
        <w:t>that,</w:t>
      </w:r>
      <w:r>
        <w:rPr>
          <w:spacing w:val="-2"/>
        </w:rPr>
        <w:t xml:space="preserve"> </w:t>
      </w:r>
      <w:r>
        <w:t>even</w:t>
      </w:r>
      <w:r>
        <w:rPr>
          <w:spacing w:val="-2"/>
        </w:rPr>
        <w:t xml:space="preserve"> </w:t>
      </w:r>
      <w:r>
        <w:t>though</w:t>
      </w:r>
      <w:r>
        <w:rPr>
          <w:spacing w:val="-2"/>
        </w:rPr>
        <w:t xml:space="preserve"> </w:t>
      </w:r>
      <w:r>
        <w:t>names</w:t>
      </w:r>
      <w:r>
        <w:rPr>
          <w:spacing w:val="-2"/>
        </w:rPr>
        <w:t xml:space="preserve"> </w:t>
      </w:r>
      <w:r>
        <w:t>are</w:t>
      </w:r>
      <w:r>
        <w:rPr>
          <w:spacing w:val="-2"/>
        </w:rPr>
        <w:t xml:space="preserve"> </w:t>
      </w:r>
      <w:r>
        <w:t>merely</w:t>
      </w:r>
      <w:r>
        <w:rPr>
          <w:spacing w:val="-2"/>
        </w:rPr>
        <w:t xml:space="preserve"> </w:t>
      </w:r>
      <w:r>
        <w:t>labels,</w:t>
      </w:r>
      <w:r>
        <w:rPr>
          <w:spacing w:val="-2"/>
        </w:rPr>
        <w:t xml:space="preserve"> </w:t>
      </w:r>
      <w:r>
        <w:t xml:space="preserve">we can </w:t>
      </w:r>
      <w:r>
        <w:rPr>
          <w:i/>
        </w:rPr>
        <w:t xml:space="preserve">attach </w:t>
      </w:r>
      <w:r>
        <w:t xml:space="preserve">them to their referents only because we know of descriptions that single those referents out. Semantically, “Argo” and “Socrates” are mere labels. But </w:t>
      </w:r>
      <w:r>
        <w:rPr>
          <w:i/>
        </w:rPr>
        <w:t>pre</w:t>
      </w:r>
      <w:r>
        <w:t>-semantically, they are descriptions. The information that one must use to affix them to their referents is descriptive in nature, and so is the information one must work through to interpret utterances containing occurrences of them.</w:t>
      </w:r>
    </w:p>
    <w:p w14:paraId="7E0014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07" w14:textId="77777777" w:rsidR="009A58DB" w:rsidRDefault="00000000">
      <w:pPr>
        <w:pStyle w:val="Heading1"/>
        <w:numPr>
          <w:ilvl w:val="1"/>
          <w:numId w:val="151"/>
        </w:numPr>
        <w:tabs>
          <w:tab w:val="left" w:pos="990"/>
        </w:tabs>
        <w:spacing w:before="58"/>
        <w:ind w:left="990" w:hanging="630"/>
      </w:pPr>
      <w:r>
        <w:lastRenderedPageBreak/>
        <w:t>The</w:t>
      </w:r>
      <w:r>
        <w:rPr>
          <w:spacing w:val="-7"/>
        </w:rPr>
        <w:t xml:space="preserve"> </w:t>
      </w:r>
      <w:r>
        <w:t>problem</w:t>
      </w:r>
      <w:r>
        <w:rPr>
          <w:spacing w:val="-5"/>
        </w:rPr>
        <w:t xml:space="preserve"> </w:t>
      </w:r>
      <w:r>
        <w:t>of</w:t>
      </w:r>
      <w:r>
        <w:rPr>
          <w:spacing w:val="-4"/>
        </w:rPr>
        <w:t xml:space="preserve"> </w:t>
      </w:r>
      <w:r>
        <w:t>forgotten</w:t>
      </w:r>
      <w:r>
        <w:rPr>
          <w:spacing w:val="-5"/>
        </w:rPr>
        <w:t xml:space="preserve"> </w:t>
      </w:r>
      <w:r>
        <w:t>start-up</w:t>
      </w:r>
      <w:r>
        <w:rPr>
          <w:spacing w:val="-4"/>
        </w:rPr>
        <w:t xml:space="preserve"> </w:t>
      </w:r>
      <w:r>
        <w:rPr>
          <w:spacing w:val="-2"/>
        </w:rPr>
        <w:t>descriptions</w:t>
      </w:r>
    </w:p>
    <w:p w14:paraId="7E001408" w14:textId="77777777" w:rsidR="009A58DB" w:rsidRDefault="00000000">
      <w:pPr>
        <w:pStyle w:val="BodyText"/>
        <w:spacing w:before="139" w:line="249" w:lineRule="auto"/>
        <w:ind w:right="362"/>
      </w:pPr>
      <w:r>
        <w:t>One typically forgets the existence-claim through which one added a name to one’s</w:t>
      </w:r>
      <w:r>
        <w:rPr>
          <w:spacing w:val="-2"/>
        </w:rPr>
        <w:t xml:space="preserve"> </w:t>
      </w:r>
      <w:r>
        <w:t>lexicon.</w:t>
      </w:r>
      <w:r>
        <w:rPr>
          <w:spacing w:val="-2"/>
        </w:rPr>
        <w:t xml:space="preserve"> </w:t>
      </w:r>
      <w:r>
        <w:t>One</w:t>
      </w:r>
      <w:r>
        <w:rPr>
          <w:spacing w:val="-2"/>
        </w:rPr>
        <w:t xml:space="preserve"> </w:t>
      </w:r>
      <w:r>
        <w:t>typically</w:t>
      </w:r>
      <w:r>
        <w:rPr>
          <w:spacing w:val="-2"/>
        </w:rPr>
        <w:t xml:space="preserve"> </w:t>
      </w:r>
      <w:r>
        <w:t>forgets</w:t>
      </w:r>
      <w:r>
        <w:rPr>
          <w:spacing w:val="-2"/>
        </w:rPr>
        <w:t xml:space="preserve"> </w:t>
      </w:r>
      <w:r>
        <w:t>the</w:t>
      </w:r>
      <w:r>
        <w:rPr>
          <w:spacing w:val="-2"/>
        </w:rPr>
        <w:t xml:space="preserve"> </w:t>
      </w:r>
      <w:r>
        <w:rPr>
          <w:i/>
        </w:rPr>
        <w:t>first</w:t>
      </w:r>
      <w:r>
        <w:rPr>
          <w:i/>
          <w:spacing w:val="-4"/>
        </w:rPr>
        <w:t xml:space="preserve"> </w:t>
      </w:r>
      <w:r>
        <w:t xml:space="preserve">time one heard “Shakespeare” or “Aristotle”; one often forgets one’s </w:t>
      </w:r>
      <w:r>
        <w:rPr>
          <w:i/>
        </w:rPr>
        <w:t>first</w:t>
      </w:r>
      <w:r>
        <w:rPr>
          <w:i/>
          <w:spacing w:val="-3"/>
        </w:rPr>
        <w:t xml:space="preserve"> </w:t>
      </w:r>
      <w:r>
        <w:t>meeting of a person. Given this, one is tempted to say:</w:t>
      </w:r>
    </w:p>
    <w:p w14:paraId="7E001409" w14:textId="77777777" w:rsidR="009A58DB" w:rsidRDefault="009A58DB">
      <w:pPr>
        <w:pStyle w:val="BodyText"/>
        <w:spacing w:before="19"/>
        <w:ind w:left="0"/>
        <w:jc w:val="left"/>
      </w:pPr>
    </w:p>
    <w:p w14:paraId="7E00140A" w14:textId="77777777" w:rsidR="009A58DB" w:rsidRDefault="00000000">
      <w:pPr>
        <w:pStyle w:val="BodyText"/>
        <w:spacing w:before="1" w:line="249" w:lineRule="auto"/>
        <w:ind w:left="720" w:right="358"/>
      </w:pPr>
      <w:r>
        <w:t xml:space="preserve">You don’t necessarily associate </w:t>
      </w:r>
      <w:r>
        <w:rPr>
          <w:i/>
        </w:rPr>
        <w:t xml:space="preserve">any </w:t>
      </w:r>
      <w:r>
        <w:t xml:space="preserve">uniquely individuating description with “Aristotle” or “Smith” or “Jones.” Such a description was needed to </w:t>
      </w:r>
      <w:r>
        <w:rPr>
          <w:i/>
        </w:rPr>
        <w:t>enable</w:t>
      </w:r>
      <w:r>
        <w:rPr>
          <w:i/>
          <w:spacing w:val="-2"/>
        </w:rPr>
        <w:t xml:space="preserve"> </w:t>
      </w:r>
      <w:r>
        <w:t xml:space="preserve">you to refer to those people, and to think about them. But once that ability is in place, the description drops out. At that point, there can be </w:t>
      </w:r>
      <w:r>
        <w:rPr>
          <w:i/>
        </w:rPr>
        <w:t xml:space="preserve">pure </w:t>
      </w:r>
      <w:r>
        <w:t xml:space="preserve">thought about the entities in question. You can </w:t>
      </w:r>
      <w:r>
        <w:rPr>
          <w:i/>
        </w:rPr>
        <w:t xml:space="preserve">just </w:t>
      </w:r>
      <w:r>
        <w:t xml:space="preserve">think about Aristotle and Smith; you don’t have to think about them </w:t>
      </w:r>
      <w:r>
        <w:rPr>
          <w:i/>
        </w:rPr>
        <w:t xml:space="preserve">through </w:t>
      </w:r>
      <w:r>
        <w:t>a uniquely individuating description.</w:t>
      </w:r>
    </w:p>
    <w:p w14:paraId="7E00140B" w14:textId="77777777" w:rsidR="009A58DB" w:rsidRDefault="009A58DB">
      <w:pPr>
        <w:pStyle w:val="BodyText"/>
        <w:spacing w:before="23"/>
        <w:ind w:left="0"/>
        <w:jc w:val="left"/>
      </w:pPr>
    </w:p>
    <w:p w14:paraId="7E00140C" w14:textId="77777777" w:rsidR="009A58DB" w:rsidRDefault="00000000">
      <w:pPr>
        <w:spacing w:line="249" w:lineRule="auto"/>
        <w:ind w:left="360" w:right="359" w:firstLine="360"/>
        <w:jc w:val="both"/>
        <w:rPr>
          <w:i/>
          <w:sz w:val="30"/>
        </w:rPr>
      </w:pPr>
      <w:r>
        <w:rPr>
          <w:sz w:val="30"/>
        </w:rPr>
        <w:t xml:space="preserve">Remember what we said earlier about “Fred.” Your adding “Fred” to your lexicon involves your learning some truth of the form: </w:t>
      </w:r>
      <w:r>
        <w:rPr>
          <w:i/>
          <w:sz w:val="30"/>
        </w:rPr>
        <w:t>somebody x uniquely has phi and “Fred” names x.</w:t>
      </w:r>
    </w:p>
    <w:p w14:paraId="7E00140D" w14:textId="77777777" w:rsidR="009A58DB" w:rsidRDefault="00000000">
      <w:pPr>
        <w:pStyle w:val="BodyText"/>
        <w:spacing w:before="4" w:line="249" w:lineRule="auto"/>
        <w:ind w:right="358" w:firstLine="360"/>
      </w:pPr>
      <w:r>
        <w:t>Bearing this in mind, suppose that you and a friend are at a party. You see somebody wearing a bowler hat, talking animatedly. At time t, your friend points to that person and says “</w:t>
      </w:r>
      <w:r>
        <w:rPr>
          <w:i/>
        </w:rPr>
        <w:t xml:space="preserve">that </w:t>
      </w:r>
      <w:r>
        <w:t>is Fred.” Your adding “Fred” to your lexicon involves your knowing some existence-claim along the lines of:</w:t>
      </w:r>
    </w:p>
    <w:p w14:paraId="7E00140E" w14:textId="77777777" w:rsidR="009A58DB" w:rsidRDefault="009A58DB">
      <w:pPr>
        <w:pStyle w:val="BodyText"/>
        <w:spacing w:before="20"/>
        <w:ind w:left="0"/>
        <w:jc w:val="left"/>
      </w:pPr>
    </w:p>
    <w:p w14:paraId="7E00140F" w14:textId="77777777" w:rsidR="009A58DB" w:rsidRDefault="00000000">
      <w:pPr>
        <w:pStyle w:val="BodyText"/>
        <w:spacing w:line="292" w:lineRule="auto"/>
        <w:ind w:right="360"/>
      </w:pPr>
      <w:r>
        <w:t>(E</w:t>
      </w:r>
      <w:r>
        <w:rPr>
          <w:vertAlign w:val="subscript"/>
        </w:rPr>
        <w:t>1</w:t>
      </w:r>
      <w:r>
        <w:t>) there is now somebody x who I am sense-perceiving and who is wearing a bowler hat; and “Fred” names x.</w:t>
      </w:r>
    </w:p>
    <w:p w14:paraId="7E001410" w14:textId="77777777" w:rsidR="009A58DB" w:rsidRDefault="00000000">
      <w:pPr>
        <w:pStyle w:val="BodyText"/>
        <w:spacing w:before="298" w:line="249" w:lineRule="auto"/>
        <w:ind w:right="360" w:firstLine="360"/>
      </w:pPr>
      <w:r>
        <w:t>Let us suppose that, a minute or so after “Fred” is ostensively defined for you, you go up to him and start talking. Now you have new information</w:t>
      </w:r>
      <w:r>
        <w:rPr>
          <w:spacing w:val="40"/>
        </w:rPr>
        <w:t xml:space="preserve"> </w:t>
      </w:r>
      <w:r>
        <w:t>about Fred; you have a new uniquely individuating description of him. There are a number of reasons for this, the mere passage of time being one of them. At</w:t>
      </w:r>
      <w:r>
        <w:rPr>
          <w:spacing w:val="8"/>
        </w:rPr>
        <w:t xml:space="preserve"> </w:t>
      </w:r>
      <w:r>
        <w:t>time</w:t>
      </w:r>
      <w:r>
        <w:rPr>
          <w:spacing w:val="10"/>
        </w:rPr>
        <w:t xml:space="preserve"> </w:t>
      </w:r>
      <w:r>
        <w:t>t,</w:t>
      </w:r>
      <w:r>
        <w:rPr>
          <w:spacing w:val="8"/>
        </w:rPr>
        <w:t xml:space="preserve"> </w:t>
      </w:r>
      <w:r>
        <w:t>E</w:t>
      </w:r>
      <w:r>
        <w:rPr>
          <w:vertAlign w:val="subscript"/>
        </w:rPr>
        <w:t>1</w:t>
      </w:r>
      <w:r>
        <w:rPr>
          <w:spacing w:val="15"/>
        </w:rPr>
        <w:t xml:space="preserve"> </w:t>
      </w:r>
      <w:r>
        <w:t>was</w:t>
      </w:r>
      <w:r>
        <w:rPr>
          <w:spacing w:val="13"/>
        </w:rPr>
        <w:t xml:space="preserve"> </w:t>
      </w:r>
      <w:r>
        <w:t>your</w:t>
      </w:r>
      <w:r>
        <w:rPr>
          <w:spacing w:val="14"/>
        </w:rPr>
        <w:t xml:space="preserve"> </w:t>
      </w:r>
      <w:r>
        <w:t>uniquely</w:t>
      </w:r>
      <w:r>
        <w:rPr>
          <w:spacing w:val="14"/>
        </w:rPr>
        <w:t xml:space="preserve"> </w:t>
      </w:r>
      <w:r>
        <w:t>individuating</w:t>
      </w:r>
      <w:r>
        <w:rPr>
          <w:spacing w:val="15"/>
        </w:rPr>
        <w:t xml:space="preserve"> </w:t>
      </w:r>
      <w:r>
        <w:t>description.</w:t>
      </w:r>
      <w:r>
        <w:rPr>
          <w:spacing w:val="14"/>
        </w:rPr>
        <w:t xml:space="preserve"> </w:t>
      </w:r>
      <w:r>
        <w:t>But</w:t>
      </w:r>
      <w:r>
        <w:rPr>
          <w:spacing w:val="13"/>
        </w:rPr>
        <w:t xml:space="preserve"> </w:t>
      </w:r>
      <w:r>
        <w:t>now</w:t>
      </w:r>
      <w:r>
        <w:rPr>
          <w:spacing w:val="14"/>
        </w:rPr>
        <w:t xml:space="preserve"> </w:t>
      </w:r>
      <w:r>
        <w:t>that</w:t>
      </w:r>
      <w:r>
        <w:rPr>
          <w:spacing w:val="13"/>
        </w:rPr>
        <w:t xml:space="preserve"> </w:t>
      </w:r>
      <w:r>
        <w:rPr>
          <w:spacing w:val="-4"/>
        </w:rPr>
        <w:t>time</w:t>
      </w:r>
    </w:p>
    <w:p w14:paraId="7E001411" w14:textId="77777777" w:rsidR="009A58DB" w:rsidRDefault="00000000">
      <w:pPr>
        <w:pStyle w:val="BodyText"/>
        <w:spacing w:before="66"/>
      </w:pPr>
      <w:r>
        <w:t>has</w:t>
      </w:r>
      <w:r>
        <w:rPr>
          <w:spacing w:val="-1"/>
        </w:rPr>
        <w:t xml:space="preserve"> </w:t>
      </w:r>
      <w:r>
        <w:t>passed,</w:t>
      </w:r>
      <w:r>
        <w:rPr>
          <w:spacing w:val="1"/>
        </w:rPr>
        <w:t xml:space="preserve"> </w:t>
      </w:r>
      <w:r>
        <w:t>E</w:t>
      </w:r>
      <w:r>
        <w:rPr>
          <w:vertAlign w:val="subscript"/>
        </w:rPr>
        <w:t>1</w:t>
      </w:r>
      <w:r>
        <w:rPr>
          <w:spacing w:val="1"/>
        </w:rPr>
        <w:t xml:space="preserve"> </w:t>
      </w:r>
      <w:r>
        <w:t>has been</w:t>
      </w:r>
      <w:r>
        <w:rPr>
          <w:spacing w:val="1"/>
        </w:rPr>
        <w:t xml:space="preserve"> </w:t>
      </w:r>
      <w:r>
        <w:t xml:space="preserve">replaced </w:t>
      </w:r>
      <w:r>
        <w:rPr>
          <w:spacing w:val="-2"/>
        </w:rPr>
        <w:t>with:</w:t>
      </w:r>
    </w:p>
    <w:p w14:paraId="7E001412" w14:textId="77777777" w:rsidR="009A58DB" w:rsidRDefault="009A58DB">
      <w:pPr>
        <w:pStyle w:val="BodyText"/>
        <w:spacing w:before="90"/>
        <w:ind w:left="0"/>
        <w:jc w:val="left"/>
      </w:pPr>
    </w:p>
    <w:p w14:paraId="7E001413" w14:textId="77777777" w:rsidR="009A58DB" w:rsidRDefault="00000000">
      <w:pPr>
        <w:pStyle w:val="BodyText"/>
        <w:spacing w:line="292" w:lineRule="auto"/>
        <w:ind w:right="365"/>
      </w:pPr>
      <w:r>
        <w:t>(E</w:t>
      </w:r>
      <w:r>
        <w:rPr>
          <w:vertAlign w:val="subscript"/>
        </w:rPr>
        <w:t>2</w:t>
      </w:r>
      <w:r>
        <w:t>) there is somebody x whom, a minute or two ago, I was sense-perceiving and</w:t>
      </w:r>
      <w:r>
        <w:rPr>
          <w:spacing w:val="10"/>
        </w:rPr>
        <w:t xml:space="preserve"> </w:t>
      </w:r>
      <w:r>
        <w:t>attending</w:t>
      </w:r>
      <w:r>
        <w:rPr>
          <w:spacing w:val="13"/>
        </w:rPr>
        <w:t xml:space="preserve"> </w:t>
      </w:r>
      <w:r>
        <w:t>to,</w:t>
      </w:r>
      <w:r>
        <w:rPr>
          <w:spacing w:val="13"/>
        </w:rPr>
        <w:t xml:space="preserve"> </w:t>
      </w:r>
      <w:r>
        <w:t>and</w:t>
      </w:r>
      <w:r>
        <w:rPr>
          <w:spacing w:val="13"/>
        </w:rPr>
        <w:t xml:space="preserve"> </w:t>
      </w:r>
      <w:r>
        <w:t>who</w:t>
      </w:r>
      <w:r>
        <w:rPr>
          <w:spacing w:val="13"/>
        </w:rPr>
        <w:t xml:space="preserve"> </w:t>
      </w:r>
      <w:r>
        <w:t>was</w:t>
      </w:r>
      <w:r>
        <w:rPr>
          <w:spacing w:val="12"/>
        </w:rPr>
        <w:t xml:space="preserve"> </w:t>
      </w:r>
      <w:r>
        <w:t>then</w:t>
      </w:r>
      <w:r>
        <w:rPr>
          <w:spacing w:val="12"/>
        </w:rPr>
        <w:t xml:space="preserve"> </w:t>
      </w:r>
      <w:r>
        <w:t>wearing</w:t>
      </w:r>
      <w:r>
        <w:rPr>
          <w:spacing w:val="13"/>
        </w:rPr>
        <w:t xml:space="preserve"> </w:t>
      </w:r>
      <w:r>
        <w:t>a</w:t>
      </w:r>
      <w:r>
        <w:rPr>
          <w:spacing w:val="12"/>
        </w:rPr>
        <w:t xml:space="preserve"> </w:t>
      </w:r>
      <w:r>
        <w:t>bowler</w:t>
      </w:r>
      <w:r>
        <w:rPr>
          <w:spacing w:val="12"/>
        </w:rPr>
        <w:t xml:space="preserve"> </w:t>
      </w:r>
      <w:r>
        <w:t>hat,</w:t>
      </w:r>
      <w:r>
        <w:rPr>
          <w:spacing w:val="13"/>
        </w:rPr>
        <w:t xml:space="preserve"> </w:t>
      </w:r>
      <w:r>
        <w:t>and</w:t>
      </w:r>
      <w:r>
        <w:rPr>
          <w:spacing w:val="13"/>
        </w:rPr>
        <w:t xml:space="preserve"> </w:t>
      </w:r>
      <w:r>
        <w:t>“Fred”</w:t>
      </w:r>
      <w:r>
        <w:rPr>
          <w:spacing w:val="12"/>
        </w:rPr>
        <w:t xml:space="preserve"> </w:t>
      </w:r>
      <w:r>
        <w:rPr>
          <w:spacing w:val="-2"/>
        </w:rPr>
        <w:t>names</w:t>
      </w:r>
    </w:p>
    <w:p w14:paraId="7E001414"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415" w14:textId="77777777" w:rsidR="009A58DB" w:rsidRDefault="00000000">
      <w:pPr>
        <w:pStyle w:val="BodyText"/>
        <w:spacing w:before="65"/>
        <w:jc w:val="left"/>
      </w:pPr>
      <w:r>
        <w:rPr>
          <w:spacing w:val="-5"/>
        </w:rPr>
        <w:lastRenderedPageBreak/>
        <w:t>x.</w:t>
      </w:r>
    </w:p>
    <w:p w14:paraId="7E001416" w14:textId="77777777" w:rsidR="009A58DB" w:rsidRDefault="009A58DB">
      <w:pPr>
        <w:pStyle w:val="BodyText"/>
        <w:spacing w:before="29"/>
        <w:ind w:left="0"/>
        <w:jc w:val="left"/>
      </w:pPr>
    </w:p>
    <w:p w14:paraId="7E001417" w14:textId="77777777" w:rsidR="009A58DB" w:rsidRDefault="00000000">
      <w:pPr>
        <w:pStyle w:val="BodyText"/>
        <w:tabs>
          <w:tab w:val="left" w:pos="1766"/>
          <w:tab w:val="left" w:pos="2463"/>
          <w:tab w:val="left" w:pos="3004"/>
          <w:tab w:val="left" w:pos="4697"/>
          <w:tab w:val="left" w:pos="5475"/>
          <w:tab w:val="left" w:pos="6096"/>
          <w:tab w:val="left" w:pos="6812"/>
          <w:tab w:val="left" w:pos="8112"/>
        </w:tabs>
        <w:spacing w:before="1"/>
        <w:ind w:left="720"/>
        <w:jc w:val="left"/>
      </w:pPr>
      <w:r>
        <w:rPr>
          <w:spacing w:val="-2"/>
        </w:rPr>
        <w:t>Notice</w:t>
      </w:r>
      <w:r>
        <w:tab/>
      </w:r>
      <w:r>
        <w:rPr>
          <w:spacing w:val="-4"/>
        </w:rPr>
        <w:t>that</w:t>
      </w:r>
      <w:r>
        <w:tab/>
      </w:r>
      <w:r>
        <w:rPr>
          <w:spacing w:val="-5"/>
        </w:rPr>
        <w:t>E</w:t>
      </w:r>
      <w:r>
        <w:rPr>
          <w:spacing w:val="-5"/>
          <w:vertAlign w:val="subscript"/>
        </w:rPr>
        <w:t>2</w:t>
      </w:r>
      <w:r>
        <w:tab/>
      </w:r>
      <w:r>
        <w:rPr>
          <w:spacing w:val="-2"/>
        </w:rPr>
        <w:t>“interlocks”</w:t>
      </w:r>
      <w:r>
        <w:tab/>
      </w:r>
      <w:r>
        <w:rPr>
          <w:spacing w:val="-4"/>
        </w:rPr>
        <w:t>with</w:t>
      </w:r>
      <w:r>
        <w:tab/>
      </w:r>
      <w:r>
        <w:rPr>
          <w:spacing w:val="-5"/>
        </w:rPr>
        <w:t>E</w:t>
      </w:r>
      <w:r>
        <w:rPr>
          <w:spacing w:val="-5"/>
          <w:vertAlign w:val="subscript"/>
        </w:rPr>
        <w:t>1</w:t>
      </w:r>
      <w:r>
        <w:rPr>
          <w:spacing w:val="-5"/>
        </w:rPr>
        <w:t>.</w:t>
      </w:r>
      <w:r>
        <w:tab/>
      </w:r>
      <w:r>
        <w:rPr>
          <w:spacing w:val="-5"/>
        </w:rPr>
        <w:t>The</w:t>
      </w:r>
      <w:r>
        <w:tab/>
      </w:r>
      <w:r>
        <w:rPr>
          <w:spacing w:val="-2"/>
        </w:rPr>
        <w:t>uniquely</w:t>
      </w:r>
      <w:r>
        <w:tab/>
      </w:r>
      <w:r>
        <w:rPr>
          <w:spacing w:val="-2"/>
        </w:rPr>
        <w:t>individuating</w:t>
      </w:r>
    </w:p>
    <w:p w14:paraId="7E001418" w14:textId="77777777" w:rsidR="009A58DB" w:rsidRDefault="00000000">
      <w:pPr>
        <w:pStyle w:val="BodyText"/>
        <w:spacing w:before="75" w:line="249" w:lineRule="auto"/>
        <w:ind w:right="359"/>
      </w:pPr>
      <w:r>
        <w:t>description changes. But the new one is related to the old one in such a way that some one object uniquely satisfies both of them. The new one thus “inherits”</w:t>
      </w:r>
      <w:r>
        <w:rPr>
          <w:spacing w:val="-3"/>
        </w:rPr>
        <w:t xml:space="preserve"> </w:t>
      </w:r>
      <w:r>
        <w:t>the</w:t>
      </w:r>
      <w:r>
        <w:rPr>
          <w:spacing w:val="-3"/>
        </w:rPr>
        <w:t xml:space="preserve"> </w:t>
      </w:r>
      <w:r>
        <w:t>verifier</w:t>
      </w:r>
      <w:r>
        <w:rPr>
          <w:spacing w:val="-3"/>
        </w:rPr>
        <w:t xml:space="preserve"> </w:t>
      </w:r>
      <w:r>
        <w:t>of</w:t>
      </w:r>
      <w:r>
        <w:rPr>
          <w:spacing w:val="-2"/>
        </w:rPr>
        <w:t xml:space="preserve"> </w:t>
      </w:r>
      <w:r>
        <w:t>the</w:t>
      </w:r>
      <w:r>
        <w:rPr>
          <w:spacing w:val="-3"/>
        </w:rPr>
        <w:t xml:space="preserve"> </w:t>
      </w:r>
      <w:r>
        <w:t>old</w:t>
      </w:r>
      <w:r>
        <w:rPr>
          <w:spacing w:val="-3"/>
        </w:rPr>
        <w:t xml:space="preserve"> </w:t>
      </w:r>
      <w:r>
        <w:t>one.</w:t>
      </w:r>
      <w:r>
        <w:rPr>
          <w:spacing w:val="-3"/>
        </w:rPr>
        <w:t xml:space="preserve"> </w:t>
      </w:r>
      <w:r>
        <w:t>In</w:t>
      </w:r>
      <w:r>
        <w:rPr>
          <w:spacing w:val="-2"/>
        </w:rPr>
        <w:t xml:space="preserve"> </w:t>
      </w:r>
      <w:r>
        <w:t>a</w:t>
      </w:r>
      <w:r>
        <w:rPr>
          <w:spacing w:val="-3"/>
        </w:rPr>
        <w:t xml:space="preserve"> </w:t>
      </w:r>
      <w:r>
        <w:t>moment</w:t>
      </w:r>
      <w:r>
        <w:rPr>
          <w:spacing w:val="-3"/>
        </w:rPr>
        <w:t xml:space="preserve"> </w:t>
      </w:r>
      <w:r>
        <w:t>we</w:t>
      </w:r>
      <w:r>
        <w:rPr>
          <w:spacing w:val="-3"/>
        </w:rPr>
        <w:t xml:space="preserve"> </w:t>
      </w:r>
      <w:r>
        <w:t>will</w:t>
      </w:r>
      <w:r>
        <w:rPr>
          <w:spacing w:val="-2"/>
        </w:rPr>
        <w:t xml:space="preserve"> </w:t>
      </w:r>
      <w:r>
        <w:t>say</w:t>
      </w:r>
      <w:r>
        <w:rPr>
          <w:spacing w:val="-3"/>
        </w:rPr>
        <w:t xml:space="preserve"> </w:t>
      </w:r>
      <w:r>
        <w:t>more</w:t>
      </w:r>
      <w:r>
        <w:rPr>
          <w:spacing w:val="-3"/>
        </w:rPr>
        <w:t xml:space="preserve"> </w:t>
      </w:r>
      <w:r>
        <w:t>about</w:t>
      </w:r>
      <w:r>
        <w:rPr>
          <w:spacing w:val="-2"/>
        </w:rPr>
        <w:t xml:space="preserve"> </w:t>
      </w:r>
      <w:r>
        <w:t>this process of inheritance or transmission.</w:t>
      </w:r>
    </w:p>
    <w:p w14:paraId="7E001419" w14:textId="77777777" w:rsidR="009A58DB" w:rsidRDefault="00000000">
      <w:pPr>
        <w:pStyle w:val="BodyText"/>
        <w:spacing w:before="5" w:line="249" w:lineRule="auto"/>
        <w:ind w:right="361" w:firstLine="360"/>
      </w:pPr>
      <w:r>
        <w:t xml:space="preserve">Things other than the mere passage of time, will lead to E1’s being replaced. Let’s suppose that you are now engaged in a conversation with Fred. You can see him more clearly than before. (Although, when looked at from afar, he looked healthy and strong, you now see that he is puffy and out of shape.) He is talking about the national debt. As a result, you generate a </w:t>
      </w:r>
      <w:r>
        <w:rPr>
          <w:i/>
        </w:rPr>
        <w:t xml:space="preserve">new </w:t>
      </w:r>
      <w:r>
        <w:t>uniquely individuating description of Fred, this one being given by an existence-claim along the lines of:</w:t>
      </w:r>
    </w:p>
    <w:p w14:paraId="7E00141A" w14:textId="77777777" w:rsidR="009A58DB" w:rsidRDefault="009A58DB">
      <w:pPr>
        <w:pStyle w:val="BodyText"/>
        <w:spacing w:before="23"/>
        <w:ind w:left="0"/>
        <w:jc w:val="left"/>
      </w:pPr>
    </w:p>
    <w:p w14:paraId="7E00141B" w14:textId="77777777" w:rsidR="009A58DB" w:rsidRDefault="00000000">
      <w:pPr>
        <w:pStyle w:val="BodyText"/>
        <w:spacing w:line="271" w:lineRule="auto"/>
        <w:ind w:right="361"/>
      </w:pPr>
      <w:r>
        <w:t>(E</w:t>
      </w:r>
      <w:r>
        <w:rPr>
          <w:vertAlign w:val="subscript"/>
        </w:rPr>
        <w:t>3</w:t>
      </w:r>
      <w:r>
        <w:t>) there is somebody x such that, a minute or two ago, I was sense-perceiving x while standing several feet away from him, and such that, at the present</w:t>
      </w:r>
      <w:r>
        <w:rPr>
          <w:spacing w:val="21"/>
        </w:rPr>
        <w:t xml:space="preserve"> </w:t>
      </w:r>
      <w:r>
        <w:t>time,</w:t>
      </w:r>
      <w:r>
        <w:rPr>
          <w:spacing w:val="21"/>
        </w:rPr>
        <w:t xml:space="preserve"> </w:t>
      </w:r>
      <w:r>
        <w:t>I</w:t>
      </w:r>
      <w:r>
        <w:rPr>
          <w:spacing w:val="21"/>
        </w:rPr>
        <w:t xml:space="preserve"> </w:t>
      </w:r>
      <w:r>
        <w:t>am</w:t>
      </w:r>
      <w:r>
        <w:rPr>
          <w:spacing w:val="21"/>
        </w:rPr>
        <w:t xml:space="preserve"> </w:t>
      </w:r>
      <w:r>
        <w:t>listening</w:t>
      </w:r>
      <w:r>
        <w:rPr>
          <w:spacing w:val="21"/>
        </w:rPr>
        <w:t xml:space="preserve"> </w:t>
      </w:r>
      <w:r>
        <w:t>to</w:t>
      </w:r>
      <w:r>
        <w:rPr>
          <w:spacing w:val="21"/>
        </w:rPr>
        <w:t xml:space="preserve"> </w:t>
      </w:r>
      <w:r>
        <w:t>his</w:t>
      </w:r>
      <w:r>
        <w:rPr>
          <w:spacing w:val="21"/>
        </w:rPr>
        <w:t xml:space="preserve"> </w:t>
      </w:r>
      <w:r>
        <w:t>puffy</w:t>
      </w:r>
      <w:r>
        <w:rPr>
          <w:spacing w:val="21"/>
        </w:rPr>
        <w:t xml:space="preserve"> </w:t>
      </w:r>
      <w:r>
        <w:t>and</w:t>
      </w:r>
      <w:r>
        <w:rPr>
          <w:spacing w:val="21"/>
        </w:rPr>
        <w:t xml:space="preserve"> </w:t>
      </w:r>
      <w:r>
        <w:t>out</w:t>
      </w:r>
      <w:r>
        <w:rPr>
          <w:spacing w:val="21"/>
        </w:rPr>
        <w:t xml:space="preserve"> </w:t>
      </w:r>
      <w:r>
        <w:t>of</w:t>
      </w:r>
      <w:r>
        <w:rPr>
          <w:spacing w:val="21"/>
        </w:rPr>
        <w:t xml:space="preserve"> </w:t>
      </w:r>
      <w:r>
        <w:t>shape</w:t>
      </w:r>
      <w:r>
        <w:rPr>
          <w:spacing w:val="21"/>
        </w:rPr>
        <w:t xml:space="preserve"> </w:t>
      </w:r>
      <w:r>
        <w:t>self</w:t>
      </w:r>
      <w:r>
        <w:rPr>
          <w:spacing w:val="21"/>
        </w:rPr>
        <w:t xml:space="preserve"> </w:t>
      </w:r>
      <w:r>
        <w:t>talk</w:t>
      </w:r>
      <w:r>
        <w:rPr>
          <w:spacing w:val="21"/>
        </w:rPr>
        <w:t xml:space="preserve"> </w:t>
      </w:r>
      <w:r>
        <w:t>about</w:t>
      </w:r>
      <w:r>
        <w:rPr>
          <w:spacing w:val="21"/>
        </w:rPr>
        <w:t xml:space="preserve"> </w:t>
      </w:r>
      <w:r>
        <w:t>the</w:t>
      </w:r>
    </w:p>
    <w:p w14:paraId="7E00141C" w14:textId="77777777" w:rsidR="009A58DB" w:rsidRDefault="00000000">
      <w:pPr>
        <w:pStyle w:val="BodyText"/>
        <w:spacing w:line="316" w:lineRule="exact"/>
      </w:pPr>
      <w:r>
        <w:t>national</w:t>
      </w:r>
      <w:r>
        <w:rPr>
          <w:spacing w:val="-5"/>
        </w:rPr>
        <w:t xml:space="preserve"> </w:t>
      </w:r>
      <w:r>
        <w:t>debt;</w:t>
      </w:r>
      <w:r>
        <w:rPr>
          <w:spacing w:val="-5"/>
        </w:rPr>
        <w:t xml:space="preserve"> </w:t>
      </w:r>
      <w:r>
        <w:t>moreover,</w:t>
      </w:r>
      <w:r>
        <w:rPr>
          <w:spacing w:val="-3"/>
        </w:rPr>
        <w:t xml:space="preserve"> </w:t>
      </w:r>
      <w:r>
        <w:t>“Fred”</w:t>
      </w:r>
      <w:r>
        <w:rPr>
          <w:spacing w:val="-5"/>
        </w:rPr>
        <w:t xml:space="preserve"> </w:t>
      </w:r>
      <w:r>
        <w:t>names</w:t>
      </w:r>
      <w:r>
        <w:rPr>
          <w:spacing w:val="-4"/>
        </w:rPr>
        <w:t xml:space="preserve"> </w:t>
      </w:r>
      <w:r>
        <w:rPr>
          <w:spacing w:val="-5"/>
        </w:rPr>
        <w:t>x.</w:t>
      </w:r>
    </w:p>
    <w:p w14:paraId="7E00141D" w14:textId="77777777" w:rsidR="009A58DB" w:rsidRDefault="009A58DB">
      <w:pPr>
        <w:pStyle w:val="BodyText"/>
        <w:spacing w:before="30"/>
        <w:ind w:left="0"/>
        <w:jc w:val="left"/>
      </w:pPr>
    </w:p>
    <w:p w14:paraId="7E00141E" w14:textId="77777777" w:rsidR="009A58DB" w:rsidRDefault="00000000">
      <w:pPr>
        <w:pStyle w:val="BodyText"/>
        <w:ind w:left="720"/>
      </w:pPr>
      <w:r>
        <w:t>Notice</w:t>
      </w:r>
      <w:r>
        <w:rPr>
          <w:spacing w:val="-4"/>
        </w:rPr>
        <w:t xml:space="preserve"> </w:t>
      </w:r>
      <w:r>
        <w:t>that</w:t>
      </w:r>
      <w:r>
        <w:rPr>
          <w:spacing w:val="-3"/>
        </w:rPr>
        <w:t xml:space="preserve"> </w:t>
      </w:r>
      <w:r>
        <w:t>E</w:t>
      </w:r>
      <w:r>
        <w:rPr>
          <w:position w:val="-7"/>
          <w:sz w:val="22"/>
        </w:rPr>
        <w:t>3</w:t>
      </w:r>
      <w:r>
        <w:rPr>
          <w:spacing w:val="18"/>
          <w:position w:val="-7"/>
          <w:sz w:val="22"/>
        </w:rPr>
        <w:t xml:space="preserve"> </w:t>
      </w:r>
      <w:r>
        <w:t>and</w:t>
      </w:r>
      <w:r>
        <w:rPr>
          <w:spacing w:val="-3"/>
        </w:rPr>
        <w:t xml:space="preserve"> </w:t>
      </w:r>
      <w:r>
        <w:t>E</w:t>
      </w:r>
      <w:r>
        <w:rPr>
          <w:position w:val="-7"/>
          <w:sz w:val="22"/>
        </w:rPr>
        <w:t>2</w:t>
      </w:r>
      <w:r>
        <w:rPr>
          <w:spacing w:val="18"/>
          <w:position w:val="-7"/>
          <w:sz w:val="22"/>
        </w:rPr>
        <w:t xml:space="preserve"> </w:t>
      </w:r>
      <w:r>
        <w:t>interlock;</w:t>
      </w:r>
      <w:r>
        <w:rPr>
          <w:spacing w:val="-3"/>
        </w:rPr>
        <w:t xml:space="preserve"> </w:t>
      </w:r>
      <w:r>
        <w:t>E</w:t>
      </w:r>
      <w:r>
        <w:rPr>
          <w:position w:val="-7"/>
          <w:sz w:val="22"/>
        </w:rPr>
        <w:t>2</w:t>
      </w:r>
      <w:r>
        <w:rPr>
          <w:spacing w:val="17"/>
          <w:position w:val="-7"/>
          <w:sz w:val="22"/>
        </w:rPr>
        <w:t xml:space="preserve"> </w:t>
      </w:r>
      <w:r>
        <w:t>transmits</w:t>
      </w:r>
      <w:r>
        <w:rPr>
          <w:spacing w:val="-3"/>
        </w:rPr>
        <w:t xml:space="preserve"> </w:t>
      </w:r>
      <w:r>
        <w:t>its</w:t>
      </w:r>
      <w:r>
        <w:rPr>
          <w:spacing w:val="-3"/>
        </w:rPr>
        <w:t xml:space="preserve"> </w:t>
      </w:r>
      <w:r>
        <w:t>verifier</w:t>
      </w:r>
      <w:r>
        <w:rPr>
          <w:spacing w:val="-4"/>
        </w:rPr>
        <w:t xml:space="preserve"> </w:t>
      </w:r>
      <w:r>
        <w:t>to</w:t>
      </w:r>
      <w:r>
        <w:rPr>
          <w:spacing w:val="-2"/>
        </w:rPr>
        <w:t xml:space="preserve"> </w:t>
      </w:r>
      <w:r>
        <w:rPr>
          <w:spacing w:val="-5"/>
        </w:rPr>
        <w:t>E</w:t>
      </w:r>
      <w:r>
        <w:rPr>
          <w:spacing w:val="-5"/>
          <w:position w:val="-7"/>
          <w:sz w:val="22"/>
        </w:rPr>
        <w:t>3</w:t>
      </w:r>
      <w:r>
        <w:rPr>
          <w:spacing w:val="-5"/>
        </w:rPr>
        <w:t>.</w:t>
      </w:r>
    </w:p>
    <w:p w14:paraId="7E00141F" w14:textId="77777777" w:rsidR="009A58DB" w:rsidRDefault="00000000">
      <w:pPr>
        <w:pStyle w:val="BodyText"/>
        <w:spacing w:before="13" w:line="249" w:lineRule="auto"/>
        <w:ind w:right="360" w:firstLine="360"/>
      </w:pPr>
      <w:r>
        <w:t>Now</w:t>
      </w:r>
      <w:r>
        <w:rPr>
          <w:spacing w:val="-3"/>
        </w:rPr>
        <w:t xml:space="preserve"> </w:t>
      </w:r>
      <w:r>
        <w:t>that</w:t>
      </w:r>
      <w:r>
        <w:rPr>
          <w:spacing w:val="-3"/>
        </w:rPr>
        <w:t xml:space="preserve"> </w:t>
      </w:r>
      <w:r>
        <w:t>you</w:t>
      </w:r>
      <w:r>
        <w:rPr>
          <w:spacing w:val="-2"/>
        </w:rPr>
        <w:t xml:space="preserve"> </w:t>
      </w:r>
      <w:r>
        <w:t>have</w:t>
      </w:r>
      <w:r>
        <w:rPr>
          <w:spacing w:val="-3"/>
        </w:rPr>
        <w:t xml:space="preserve"> </w:t>
      </w:r>
      <w:r>
        <w:t>E</w:t>
      </w:r>
      <w:r>
        <w:rPr>
          <w:position w:val="-7"/>
          <w:sz w:val="22"/>
        </w:rPr>
        <w:t>3</w:t>
      </w:r>
      <w:r>
        <w:t>,</w:t>
      </w:r>
      <w:r>
        <w:rPr>
          <w:spacing w:val="-2"/>
        </w:rPr>
        <w:t xml:space="preserve"> </w:t>
      </w:r>
      <w:r>
        <w:t>you</w:t>
      </w:r>
      <w:r>
        <w:rPr>
          <w:spacing w:val="-2"/>
        </w:rPr>
        <w:t xml:space="preserve"> </w:t>
      </w:r>
      <w:r>
        <w:t>can</w:t>
      </w:r>
      <w:r>
        <w:rPr>
          <w:spacing w:val="-2"/>
        </w:rPr>
        <w:t xml:space="preserve"> </w:t>
      </w:r>
      <w:r>
        <w:rPr>
          <w:i/>
        </w:rPr>
        <w:t>drop</w:t>
      </w:r>
      <w:r>
        <w:rPr>
          <w:i/>
          <w:spacing w:val="-3"/>
        </w:rPr>
        <w:t xml:space="preserve"> </w:t>
      </w:r>
      <w:r>
        <w:t>E</w:t>
      </w:r>
      <w:r>
        <w:rPr>
          <w:position w:val="-7"/>
          <w:sz w:val="22"/>
        </w:rPr>
        <w:t xml:space="preserve">2 </w:t>
      </w:r>
      <w:r>
        <w:t>and</w:t>
      </w:r>
      <w:r>
        <w:rPr>
          <w:spacing w:val="-2"/>
        </w:rPr>
        <w:t xml:space="preserve"> </w:t>
      </w:r>
      <w:r>
        <w:t>E</w:t>
      </w:r>
      <w:r>
        <w:rPr>
          <w:position w:val="-7"/>
          <w:sz w:val="22"/>
        </w:rPr>
        <w:t>1</w:t>
      </w:r>
      <w:r>
        <w:t>. You can completely forget them; and that will not jeopardize your ability to think about Fred. Supposing that a moment has passed and that you have stopped talking with Fred, the mere passage of time replaces E</w:t>
      </w:r>
      <w:r>
        <w:rPr>
          <w:vertAlign w:val="subscript"/>
        </w:rPr>
        <w:t>3</w:t>
      </w:r>
      <w:r>
        <w:t xml:space="preserve"> with a slightly different claim:</w:t>
      </w:r>
    </w:p>
    <w:p w14:paraId="7E001420" w14:textId="77777777" w:rsidR="009A58DB" w:rsidRDefault="009A58DB">
      <w:pPr>
        <w:pStyle w:val="BodyText"/>
        <w:spacing w:before="77"/>
        <w:ind w:left="0"/>
        <w:jc w:val="left"/>
      </w:pPr>
    </w:p>
    <w:p w14:paraId="7E001421" w14:textId="77777777" w:rsidR="009A58DB" w:rsidRDefault="00000000">
      <w:pPr>
        <w:pStyle w:val="BodyText"/>
        <w:spacing w:line="292" w:lineRule="auto"/>
        <w:ind w:right="369"/>
      </w:pPr>
      <w:r>
        <w:t>(E</w:t>
      </w:r>
      <w:r>
        <w:rPr>
          <w:vertAlign w:val="subscript"/>
        </w:rPr>
        <w:t>4</w:t>
      </w:r>
      <w:r>
        <w:t>)</w:t>
      </w:r>
      <w:r>
        <w:rPr>
          <w:spacing w:val="-2"/>
        </w:rPr>
        <w:t xml:space="preserve"> </w:t>
      </w:r>
      <w:r>
        <w:t>there</w:t>
      </w:r>
      <w:r>
        <w:rPr>
          <w:spacing w:val="-2"/>
        </w:rPr>
        <w:t xml:space="preserve"> </w:t>
      </w:r>
      <w:r>
        <w:t>is</w:t>
      </w:r>
      <w:r>
        <w:rPr>
          <w:spacing w:val="-2"/>
        </w:rPr>
        <w:t xml:space="preserve"> </w:t>
      </w:r>
      <w:r>
        <w:t>some</w:t>
      </w:r>
      <w:r>
        <w:rPr>
          <w:spacing w:val="-2"/>
        </w:rPr>
        <w:t xml:space="preserve"> </w:t>
      </w:r>
      <w:r>
        <w:t>x</w:t>
      </w:r>
      <w:r>
        <w:rPr>
          <w:spacing w:val="-1"/>
        </w:rPr>
        <w:t xml:space="preserve"> </w:t>
      </w:r>
      <w:r>
        <w:t>such</w:t>
      </w:r>
      <w:r>
        <w:rPr>
          <w:spacing w:val="-1"/>
        </w:rPr>
        <w:t xml:space="preserve"> </w:t>
      </w:r>
      <w:r>
        <w:t>that,</w:t>
      </w:r>
      <w:r>
        <w:rPr>
          <w:spacing w:val="-1"/>
        </w:rPr>
        <w:t xml:space="preserve"> </w:t>
      </w:r>
      <w:r>
        <w:t>a</w:t>
      </w:r>
      <w:r>
        <w:rPr>
          <w:spacing w:val="-2"/>
        </w:rPr>
        <w:t xml:space="preserve"> </w:t>
      </w:r>
      <w:r>
        <w:t>moment</w:t>
      </w:r>
      <w:r>
        <w:rPr>
          <w:spacing w:val="-2"/>
        </w:rPr>
        <w:t xml:space="preserve"> </w:t>
      </w:r>
      <w:r>
        <w:t>ago,</w:t>
      </w:r>
      <w:r>
        <w:rPr>
          <w:spacing w:val="-1"/>
        </w:rPr>
        <w:t xml:space="preserve"> </w:t>
      </w:r>
      <w:r>
        <w:t>x</w:t>
      </w:r>
      <w:r>
        <w:rPr>
          <w:spacing w:val="-1"/>
        </w:rPr>
        <w:t xml:space="preserve"> </w:t>
      </w:r>
      <w:r>
        <w:t>was</w:t>
      </w:r>
      <w:r>
        <w:rPr>
          <w:spacing w:val="-2"/>
        </w:rPr>
        <w:t xml:space="preserve"> </w:t>
      </w:r>
      <w:r>
        <w:t>talking</w:t>
      </w:r>
      <w:r>
        <w:rPr>
          <w:spacing w:val="-1"/>
        </w:rPr>
        <w:t xml:space="preserve"> </w:t>
      </w:r>
      <w:r>
        <w:t>about</w:t>
      </w:r>
      <w:r>
        <w:rPr>
          <w:spacing w:val="-2"/>
        </w:rPr>
        <w:t xml:space="preserve"> </w:t>
      </w:r>
      <w:r>
        <w:t>the</w:t>
      </w:r>
      <w:r>
        <w:rPr>
          <w:spacing w:val="-2"/>
        </w:rPr>
        <w:t xml:space="preserve"> </w:t>
      </w:r>
      <w:r>
        <w:t>national debt, and x looked puffy and unhealthy, and “Fred” names x.</w:t>
      </w:r>
    </w:p>
    <w:p w14:paraId="7E001422" w14:textId="77777777" w:rsidR="009A58DB" w:rsidRDefault="00000000">
      <w:pPr>
        <w:pStyle w:val="BodyText"/>
        <w:spacing w:before="298" w:line="249" w:lineRule="auto"/>
        <w:ind w:right="363"/>
      </w:pPr>
      <w:r>
        <w:t>Given that you now know E</w:t>
      </w:r>
      <w:r>
        <w:rPr>
          <w:position w:val="-7"/>
          <w:sz w:val="22"/>
        </w:rPr>
        <w:t>4</w:t>
      </w:r>
      <w:r>
        <w:t>, you can forget each of E</w:t>
      </w:r>
      <w:r>
        <w:rPr>
          <w:position w:val="-7"/>
          <w:sz w:val="22"/>
        </w:rPr>
        <w:t>1</w:t>
      </w:r>
      <w:r>
        <w:t>–E</w:t>
      </w:r>
      <w:r>
        <w:rPr>
          <w:position w:val="-7"/>
          <w:sz w:val="22"/>
        </w:rPr>
        <w:t>3</w:t>
      </w:r>
      <w:r>
        <w:rPr>
          <w:spacing w:val="40"/>
          <w:position w:val="-7"/>
          <w:sz w:val="22"/>
        </w:rPr>
        <w:t xml:space="preserve"> </w:t>
      </w:r>
      <w:r>
        <w:t>without ceasing to be able to think about Fred. And, so long as you are able to think about Fred, this will continue to be the case.</w:t>
      </w:r>
    </w:p>
    <w:p w14:paraId="7E001423" w14:textId="77777777" w:rsidR="009A58DB" w:rsidRDefault="009A58DB">
      <w:pPr>
        <w:pStyle w:val="BodyText"/>
        <w:spacing w:before="16"/>
        <w:ind w:left="0"/>
        <w:jc w:val="left"/>
      </w:pPr>
    </w:p>
    <w:p w14:paraId="7E001424" w14:textId="77777777" w:rsidR="009A58DB" w:rsidRDefault="00000000">
      <w:pPr>
        <w:pStyle w:val="BodyText"/>
        <w:ind w:left="720"/>
        <w:rPr>
          <w:i/>
        </w:rPr>
      </w:pPr>
      <w:r>
        <w:t>One’s</w:t>
      </w:r>
      <w:r>
        <w:rPr>
          <w:spacing w:val="-2"/>
        </w:rPr>
        <w:t xml:space="preserve"> </w:t>
      </w:r>
      <w:r>
        <w:t>ability</w:t>
      </w:r>
      <w:r>
        <w:rPr>
          <w:spacing w:val="-1"/>
        </w:rPr>
        <w:t xml:space="preserve"> </w:t>
      </w:r>
      <w:r>
        <w:t>to</w:t>
      </w:r>
      <w:r>
        <w:rPr>
          <w:spacing w:val="-2"/>
        </w:rPr>
        <w:t xml:space="preserve"> </w:t>
      </w:r>
      <w:r>
        <w:t>think</w:t>
      </w:r>
      <w:r>
        <w:rPr>
          <w:spacing w:val="-1"/>
        </w:rPr>
        <w:t xml:space="preserve"> </w:t>
      </w:r>
      <w:r>
        <w:t>about,</w:t>
      </w:r>
      <w:r>
        <w:rPr>
          <w:spacing w:val="-2"/>
        </w:rPr>
        <w:t xml:space="preserve"> </w:t>
      </w:r>
      <w:r>
        <w:t>and</w:t>
      </w:r>
      <w:r>
        <w:rPr>
          <w:spacing w:val="-1"/>
        </w:rPr>
        <w:t xml:space="preserve"> </w:t>
      </w:r>
      <w:r>
        <w:t>refer</w:t>
      </w:r>
      <w:r>
        <w:rPr>
          <w:spacing w:val="-2"/>
        </w:rPr>
        <w:t xml:space="preserve"> </w:t>
      </w:r>
      <w:r>
        <w:t>to,</w:t>
      </w:r>
      <w:r>
        <w:rPr>
          <w:spacing w:val="-1"/>
        </w:rPr>
        <w:t xml:space="preserve"> </w:t>
      </w:r>
      <w:r>
        <w:t>something</w:t>
      </w:r>
      <w:r>
        <w:rPr>
          <w:spacing w:val="-2"/>
        </w:rPr>
        <w:t xml:space="preserve"> </w:t>
      </w:r>
      <w:r>
        <w:t>can</w:t>
      </w:r>
      <w:r>
        <w:rPr>
          <w:spacing w:val="-1"/>
        </w:rPr>
        <w:t xml:space="preserve"> </w:t>
      </w:r>
      <w:r>
        <w:t>only</w:t>
      </w:r>
      <w:r>
        <w:rPr>
          <w:spacing w:val="-2"/>
        </w:rPr>
        <w:t xml:space="preserve"> </w:t>
      </w:r>
      <w:r>
        <w:t>be</w:t>
      </w:r>
      <w:r>
        <w:rPr>
          <w:spacing w:val="-1"/>
        </w:rPr>
        <w:t xml:space="preserve"> </w:t>
      </w:r>
      <w:r>
        <w:rPr>
          <w:i/>
        </w:rPr>
        <w:t>started</w:t>
      </w:r>
      <w:r>
        <w:rPr>
          <w:i/>
          <w:spacing w:val="-2"/>
        </w:rPr>
        <w:t xml:space="preserve"> </w:t>
      </w:r>
      <w:r>
        <w:rPr>
          <w:i/>
          <w:spacing w:val="-5"/>
        </w:rPr>
        <w:t>up</w:t>
      </w:r>
    </w:p>
    <w:p w14:paraId="7E001425" w14:textId="77777777" w:rsidR="009A58DB" w:rsidRDefault="009A58DB">
      <w:pPr>
        <w:pStyle w:val="BodyText"/>
        <w:rPr>
          <w:i/>
        </w:rPr>
        <w:sectPr w:rsidR="009A58DB">
          <w:pgSz w:w="12240" w:h="15840"/>
          <w:pgMar w:top="1380" w:right="1080" w:bottom="280" w:left="1080" w:header="720" w:footer="720" w:gutter="0"/>
          <w:cols w:space="720"/>
        </w:sectPr>
      </w:pPr>
    </w:p>
    <w:p w14:paraId="7E001426" w14:textId="77777777" w:rsidR="009A58DB" w:rsidRDefault="00000000">
      <w:pPr>
        <w:pStyle w:val="BodyText"/>
        <w:spacing w:before="65" w:line="249" w:lineRule="auto"/>
        <w:ind w:right="362"/>
      </w:pPr>
      <w:r>
        <w:lastRenderedPageBreak/>
        <w:t xml:space="preserve">by one’s acquiring knowledge of the right kind of existence-claim. Typically, that specific claim is forgotten. But it is replaced by another interlocking existence-claim. And that second one will, in its turn, be replaced by a third; and so on. Thus, an integral part of one’s ability to think about or refer to an external object is one’s having knowledge of an existence-claim that it uniquely satisfies; i.e., it is my having a uniquely individuating description of </w:t>
      </w:r>
      <w:r>
        <w:rPr>
          <w:spacing w:val="-4"/>
        </w:rPr>
        <w:t>him.</w:t>
      </w:r>
    </w:p>
    <w:p w14:paraId="7E001427" w14:textId="77777777" w:rsidR="009A58DB" w:rsidRDefault="00000000">
      <w:pPr>
        <w:pStyle w:val="BodyText"/>
        <w:spacing w:before="8" w:line="249" w:lineRule="auto"/>
        <w:ind w:right="358" w:firstLine="360"/>
      </w:pPr>
      <w:r>
        <w:t xml:space="preserve">None of this belittles the role that causal connections play in conception and reference. I am able to think about, and refer to, Fred precisely because I saw him: and seeing something involves being causally connected to it. But </w:t>
      </w:r>
      <w:r>
        <w:rPr>
          <w:i/>
        </w:rPr>
        <w:t>how</w:t>
      </w:r>
      <w:r>
        <w:rPr>
          <w:i/>
          <w:spacing w:val="-4"/>
        </w:rPr>
        <w:t xml:space="preserve"> </w:t>
      </w:r>
      <w:r>
        <w:t xml:space="preserve">is the causal connection involved? What enables me to think about Fred is my knowledge of some existence-claim that describes him: </w:t>
      </w:r>
      <w:r>
        <w:rPr>
          <w:i/>
        </w:rPr>
        <w:t xml:space="preserve">there is some guy whom I am now seeing and attending to, who is wearing a bowler hat, and “Fred” names that guy. </w:t>
      </w:r>
      <w:r>
        <w:t>The causal connection is involved in my seeing Fred; and my seeing Fred, in its turn, is involved in my having a uniquely individuating description of him. So what is doing the work is my knowledge of</w:t>
      </w:r>
      <w:r>
        <w:rPr>
          <w:spacing w:val="-2"/>
        </w:rPr>
        <w:t xml:space="preserve"> </w:t>
      </w:r>
      <w:r>
        <w:t>a</w:t>
      </w:r>
      <w:r>
        <w:rPr>
          <w:spacing w:val="-2"/>
        </w:rPr>
        <w:t xml:space="preserve"> </w:t>
      </w:r>
      <w:r>
        <w:t>uniquely</w:t>
      </w:r>
      <w:r>
        <w:rPr>
          <w:spacing w:val="-2"/>
        </w:rPr>
        <w:t xml:space="preserve"> </w:t>
      </w:r>
      <w:r>
        <w:t>individuating</w:t>
      </w:r>
      <w:r>
        <w:rPr>
          <w:spacing w:val="-2"/>
        </w:rPr>
        <w:t xml:space="preserve"> </w:t>
      </w:r>
      <w:r>
        <w:t>description</w:t>
      </w:r>
      <w:r>
        <w:rPr>
          <w:spacing w:val="-2"/>
        </w:rPr>
        <w:t xml:space="preserve"> </w:t>
      </w:r>
      <w:r>
        <w:t>of</w:t>
      </w:r>
      <w:r>
        <w:rPr>
          <w:spacing w:val="-2"/>
        </w:rPr>
        <w:t xml:space="preserve"> </w:t>
      </w:r>
      <w:r>
        <w:t>Fred;</w:t>
      </w:r>
      <w:r>
        <w:rPr>
          <w:spacing w:val="-2"/>
        </w:rPr>
        <w:t xml:space="preserve"> </w:t>
      </w:r>
      <w:r>
        <w:t>the</w:t>
      </w:r>
      <w:r>
        <w:rPr>
          <w:spacing w:val="-2"/>
        </w:rPr>
        <w:t xml:space="preserve"> </w:t>
      </w:r>
      <w:r>
        <w:t>causal</w:t>
      </w:r>
      <w:r>
        <w:rPr>
          <w:spacing w:val="-2"/>
        </w:rPr>
        <w:t xml:space="preserve"> </w:t>
      </w:r>
      <w:r>
        <w:t>connection,</w:t>
      </w:r>
      <w:r>
        <w:rPr>
          <w:spacing w:val="-2"/>
        </w:rPr>
        <w:t xml:space="preserve"> </w:t>
      </w:r>
      <w:r>
        <w:t xml:space="preserve">though essential, has a role that is subordinate and internal to my knowledge of that </w:t>
      </w:r>
      <w:r>
        <w:rPr>
          <w:spacing w:val="-2"/>
        </w:rPr>
        <w:t>description.</w:t>
      </w:r>
    </w:p>
    <w:p w14:paraId="7E001428" w14:textId="77777777" w:rsidR="009A58DB" w:rsidRDefault="00000000">
      <w:pPr>
        <w:pStyle w:val="BodyText"/>
        <w:spacing w:before="15" w:line="249" w:lineRule="auto"/>
        <w:ind w:right="362" w:firstLine="360"/>
      </w:pPr>
      <w:r>
        <w:t xml:space="preserve">Here we need to very clear about a certain distinction: the distinction between </w:t>
      </w:r>
      <w:r>
        <w:rPr>
          <w:i/>
        </w:rPr>
        <w:t xml:space="preserve">literal meaning </w:t>
      </w:r>
      <w:r>
        <w:t xml:space="preserve">and </w:t>
      </w:r>
      <w:r>
        <w:rPr>
          <w:i/>
        </w:rPr>
        <w:t xml:space="preserve">cognitive content. </w:t>
      </w:r>
      <w:r>
        <w:t>“Fred” is just a label. The following statement is true:</w:t>
      </w:r>
    </w:p>
    <w:p w14:paraId="7E001429" w14:textId="77777777" w:rsidR="009A58DB" w:rsidRDefault="009A58DB">
      <w:pPr>
        <w:pStyle w:val="BodyText"/>
        <w:spacing w:before="19"/>
        <w:ind w:left="0"/>
        <w:jc w:val="left"/>
      </w:pPr>
    </w:p>
    <w:p w14:paraId="7E00142A" w14:textId="77777777" w:rsidR="009A58DB" w:rsidRDefault="00000000">
      <w:pPr>
        <w:pStyle w:val="BodyText"/>
        <w:spacing w:line="271" w:lineRule="auto"/>
        <w:ind w:right="364"/>
      </w:pPr>
      <w:r>
        <w:t>(F</w:t>
      </w:r>
      <w:r>
        <w:rPr>
          <w:vertAlign w:val="subscript"/>
        </w:rPr>
        <w:t>1</w:t>
      </w:r>
      <w:r>
        <w:t>) There is somebody x who I met on such and such occasion and who looked pale and talked about communism; and the semantic rule for “Fred” is: “Fred” names x.</w:t>
      </w:r>
    </w:p>
    <w:p w14:paraId="7E00142B" w14:textId="77777777" w:rsidR="009A58DB" w:rsidRDefault="00000000">
      <w:pPr>
        <w:pStyle w:val="BodyText"/>
        <w:spacing w:before="330"/>
      </w:pPr>
      <w:r>
        <w:t>The</w:t>
      </w:r>
      <w:r>
        <w:rPr>
          <w:spacing w:val="-7"/>
        </w:rPr>
        <w:t xml:space="preserve"> </w:t>
      </w:r>
      <w:r>
        <w:t>following</w:t>
      </w:r>
      <w:r>
        <w:rPr>
          <w:spacing w:val="-4"/>
        </w:rPr>
        <w:t xml:space="preserve"> </w:t>
      </w:r>
      <w:r>
        <w:t>statement</w:t>
      </w:r>
      <w:r>
        <w:rPr>
          <w:spacing w:val="-4"/>
        </w:rPr>
        <w:t xml:space="preserve"> </w:t>
      </w:r>
      <w:r>
        <w:t>is</w:t>
      </w:r>
      <w:r>
        <w:rPr>
          <w:spacing w:val="-4"/>
        </w:rPr>
        <w:t xml:space="preserve"> </w:t>
      </w:r>
      <w:r>
        <w:rPr>
          <w:spacing w:val="-2"/>
        </w:rPr>
        <w:t>false:</w:t>
      </w:r>
    </w:p>
    <w:p w14:paraId="7E00142C" w14:textId="77777777" w:rsidR="009A58DB" w:rsidRDefault="009A58DB">
      <w:pPr>
        <w:pStyle w:val="BodyText"/>
        <w:spacing w:before="30"/>
        <w:ind w:left="0"/>
        <w:jc w:val="left"/>
      </w:pPr>
    </w:p>
    <w:p w14:paraId="7E00142D" w14:textId="77777777" w:rsidR="009A58DB" w:rsidRDefault="00000000">
      <w:pPr>
        <w:pStyle w:val="BodyText"/>
        <w:spacing w:line="271" w:lineRule="auto"/>
        <w:ind w:right="361"/>
      </w:pPr>
      <w:r>
        <w:t>(F</w:t>
      </w:r>
      <w:r>
        <w:rPr>
          <w:vertAlign w:val="subscript"/>
        </w:rPr>
        <w:t>2</w:t>
      </w:r>
      <w:r>
        <w:t>) The semantic rule for “Fred” is this: There is somebody x who I met on such and such occasion and who looked pale and talked about communism; and “Fred” names x.</w:t>
      </w:r>
    </w:p>
    <w:p w14:paraId="7E00142E" w14:textId="77777777" w:rsidR="009A58DB" w:rsidRDefault="00000000">
      <w:pPr>
        <w:pStyle w:val="BodyText"/>
        <w:spacing w:before="331"/>
      </w:pPr>
      <w:r>
        <w:t>The</w:t>
      </w:r>
      <w:r>
        <w:rPr>
          <w:spacing w:val="-6"/>
        </w:rPr>
        <w:t xml:space="preserve"> </w:t>
      </w:r>
      <w:r>
        <w:t>following</w:t>
      </w:r>
      <w:r>
        <w:rPr>
          <w:spacing w:val="-3"/>
        </w:rPr>
        <w:t xml:space="preserve"> </w:t>
      </w:r>
      <w:r>
        <w:t>embodies</w:t>
      </w:r>
      <w:r>
        <w:rPr>
          <w:spacing w:val="-4"/>
        </w:rPr>
        <w:t xml:space="preserve"> </w:t>
      </w:r>
      <w:r>
        <w:t>even</w:t>
      </w:r>
      <w:r>
        <w:rPr>
          <w:spacing w:val="-4"/>
        </w:rPr>
        <w:t xml:space="preserve"> </w:t>
      </w:r>
      <w:r>
        <w:t>more</w:t>
      </w:r>
      <w:r>
        <w:rPr>
          <w:spacing w:val="-3"/>
        </w:rPr>
        <w:t xml:space="preserve"> </w:t>
      </w:r>
      <w:r>
        <w:t>falsehoods</w:t>
      </w:r>
      <w:r>
        <w:rPr>
          <w:spacing w:val="-4"/>
        </w:rPr>
        <w:t xml:space="preserve"> </w:t>
      </w:r>
      <w:r>
        <w:t>than</w:t>
      </w:r>
      <w:r>
        <w:rPr>
          <w:spacing w:val="-3"/>
        </w:rPr>
        <w:t xml:space="preserve"> </w:t>
      </w:r>
      <w:r>
        <w:rPr>
          <w:spacing w:val="-5"/>
        </w:rPr>
        <w:t>F</w:t>
      </w:r>
      <w:r>
        <w:rPr>
          <w:spacing w:val="-5"/>
          <w:vertAlign w:val="subscript"/>
        </w:rPr>
        <w:t>2</w:t>
      </w:r>
      <w:r>
        <w:rPr>
          <w:spacing w:val="-5"/>
        </w:rPr>
        <w:t>:</w:t>
      </w:r>
    </w:p>
    <w:p w14:paraId="7E00142F" w14:textId="77777777" w:rsidR="009A58DB" w:rsidRDefault="009A58DB">
      <w:pPr>
        <w:pStyle w:val="BodyText"/>
        <w:sectPr w:rsidR="009A58DB">
          <w:pgSz w:w="12240" w:h="15840"/>
          <w:pgMar w:top="1380" w:right="1080" w:bottom="280" w:left="1080" w:header="720" w:footer="720" w:gutter="0"/>
          <w:cols w:space="720"/>
        </w:sectPr>
      </w:pPr>
    </w:p>
    <w:p w14:paraId="7E001430" w14:textId="77777777" w:rsidR="009A58DB" w:rsidRDefault="00000000">
      <w:pPr>
        <w:pStyle w:val="BodyText"/>
        <w:spacing w:before="65" w:line="271" w:lineRule="auto"/>
        <w:ind w:right="362"/>
      </w:pPr>
      <w:r>
        <w:lastRenderedPageBreak/>
        <w:t>(F</w:t>
      </w:r>
      <w:r>
        <w:rPr>
          <w:vertAlign w:val="subscript"/>
        </w:rPr>
        <w:t>3</w:t>
      </w:r>
      <w:r>
        <w:t>) The semantic rule for “Fred” is this: for any predicate ‹...x...›, ‹...Fred...› means: There is somebody O who I met on such and such occasion, and who looked pale and talked about communism and...O...</w:t>
      </w:r>
    </w:p>
    <w:p w14:paraId="7E001431" w14:textId="77777777" w:rsidR="009A58DB" w:rsidRDefault="00000000">
      <w:pPr>
        <w:pStyle w:val="BodyText"/>
        <w:spacing w:before="330" w:line="501" w:lineRule="auto"/>
        <w:ind w:right="4013"/>
      </w:pPr>
      <w:r>
        <w:t>There</w:t>
      </w:r>
      <w:r>
        <w:rPr>
          <w:spacing w:val="-5"/>
        </w:rPr>
        <w:t xml:space="preserve"> </w:t>
      </w:r>
      <w:r>
        <w:t>is</w:t>
      </w:r>
      <w:r>
        <w:rPr>
          <w:spacing w:val="-5"/>
        </w:rPr>
        <w:t xml:space="preserve"> </w:t>
      </w:r>
      <w:r>
        <w:t>some</w:t>
      </w:r>
      <w:r>
        <w:rPr>
          <w:spacing w:val="-5"/>
        </w:rPr>
        <w:t xml:space="preserve"> </w:t>
      </w:r>
      <w:r>
        <w:t>x</w:t>
      </w:r>
      <w:r>
        <w:rPr>
          <w:spacing w:val="-4"/>
        </w:rPr>
        <w:t xml:space="preserve"> </w:t>
      </w:r>
      <w:r>
        <w:t>such</w:t>
      </w:r>
      <w:r>
        <w:rPr>
          <w:spacing w:val="-4"/>
        </w:rPr>
        <w:t xml:space="preserve"> </w:t>
      </w:r>
      <w:r>
        <w:t>that</w:t>
      </w:r>
      <w:r>
        <w:rPr>
          <w:spacing w:val="-5"/>
        </w:rPr>
        <w:t xml:space="preserve"> </w:t>
      </w:r>
      <w:r>
        <w:t>the</w:t>
      </w:r>
      <w:r>
        <w:rPr>
          <w:spacing w:val="-5"/>
        </w:rPr>
        <w:t xml:space="preserve"> </w:t>
      </w:r>
      <w:r>
        <w:t>literal</w:t>
      </w:r>
      <w:r>
        <w:rPr>
          <w:spacing w:val="-5"/>
        </w:rPr>
        <w:t xml:space="preserve"> </w:t>
      </w:r>
      <w:r>
        <w:t>meaning</w:t>
      </w:r>
      <w:r>
        <w:rPr>
          <w:spacing w:val="-4"/>
        </w:rPr>
        <w:t xml:space="preserve"> </w:t>
      </w:r>
      <w:r>
        <w:t>of (*) “Fred looked puffy and pale”</w:t>
      </w:r>
    </w:p>
    <w:p w14:paraId="7E001432" w14:textId="77777777" w:rsidR="009A58DB" w:rsidRDefault="00000000">
      <w:pPr>
        <w:pStyle w:val="BodyText"/>
        <w:spacing w:line="343" w:lineRule="exact"/>
      </w:pPr>
      <w:r>
        <w:t>is</w:t>
      </w:r>
      <w:r>
        <w:rPr>
          <w:spacing w:val="-2"/>
        </w:rPr>
        <w:t xml:space="preserve"> simply:</w:t>
      </w:r>
    </w:p>
    <w:p w14:paraId="7E001433" w14:textId="77777777" w:rsidR="009A58DB" w:rsidRDefault="009A58DB">
      <w:pPr>
        <w:pStyle w:val="BodyText"/>
        <w:spacing w:before="30"/>
        <w:ind w:left="0"/>
        <w:jc w:val="left"/>
      </w:pPr>
    </w:p>
    <w:p w14:paraId="7E001434" w14:textId="77777777" w:rsidR="009A58DB" w:rsidRDefault="00000000">
      <w:pPr>
        <w:pStyle w:val="BodyText"/>
      </w:pPr>
      <w:r>
        <w:t>(*LM)</w:t>
      </w:r>
      <w:r>
        <w:rPr>
          <w:spacing w:val="-3"/>
        </w:rPr>
        <w:t xml:space="preserve"> </w:t>
      </w:r>
      <w:r>
        <w:t>x</w:t>
      </w:r>
      <w:r>
        <w:rPr>
          <w:spacing w:val="-2"/>
        </w:rPr>
        <w:t xml:space="preserve"> </w:t>
      </w:r>
      <w:r>
        <w:t>looked</w:t>
      </w:r>
      <w:r>
        <w:rPr>
          <w:spacing w:val="-1"/>
        </w:rPr>
        <w:t xml:space="preserve"> </w:t>
      </w:r>
      <w:r>
        <w:t>puffy</w:t>
      </w:r>
      <w:r>
        <w:rPr>
          <w:spacing w:val="-2"/>
        </w:rPr>
        <w:t xml:space="preserve"> </w:t>
      </w:r>
      <w:r>
        <w:t>and</w:t>
      </w:r>
      <w:r>
        <w:rPr>
          <w:spacing w:val="-1"/>
        </w:rPr>
        <w:t xml:space="preserve"> </w:t>
      </w:r>
      <w:r>
        <w:rPr>
          <w:spacing w:val="-4"/>
        </w:rPr>
        <w:t>pale.</w:t>
      </w:r>
    </w:p>
    <w:p w14:paraId="7E001435" w14:textId="77777777" w:rsidR="009A58DB" w:rsidRDefault="009A58DB">
      <w:pPr>
        <w:pStyle w:val="BodyText"/>
        <w:spacing w:before="30"/>
        <w:ind w:left="0"/>
        <w:jc w:val="left"/>
      </w:pPr>
    </w:p>
    <w:p w14:paraId="7E001436" w14:textId="77777777" w:rsidR="009A58DB" w:rsidRDefault="00000000">
      <w:pPr>
        <w:spacing w:line="249" w:lineRule="auto"/>
        <w:ind w:left="360" w:right="360" w:firstLine="360"/>
        <w:jc w:val="both"/>
        <w:rPr>
          <w:i/>
          <w:sz w:val="30"/>
        </w:rPr>
      </w:pPr>
      <w:r>
        <w:rPr>
          <w:sz w:val="30"/>
        </w:rPr>
        <w:t xml:space="preserve">But remember that one knows what “Fred” refers to only insofar as one knows some claim of the form: </w:t>
      </w:r>
      <w:r>
        <w:rPr>
          <w:i/>
          <w:sz w:val="30"/>
        </w:rPr>
        <w:t>somebody x uniquely has phi and “Fred” refers to x.</w:t>
      </w:r>
    </w:p>
    <w:p w14:paraId="7E001437" w14:textId="77777777" w:rsidR="009A58DB" w:rsidRDefault="00000000">
      <w:pPr>
        <w:pStyle w:val="BodyText"/>
        <w:spacing w:before="4" w:line="249" w:lineRule="auto"/>
        <w:ind w:right="363" w:firstLine="360"/>
      </w:pPr>
      <w:r>
        <w:t xml:space="preserve">Tyler Burge (1941–) overlooked these points. The result of his doing so was a doctrine known as </w:t>
      </w:r>
      <w:r>
        <w:rPr>
          <w:b/>
          <w:i/>
        </w:rPr>
        <w:t xml:space="preserve">content externalism </w:t>
      </w:r>
      <w:r>
        <w:t>that, in order to be kept from crashing, has had more epicycles added to it than just about any theory in human history. It is to this dark chapter of intellectual history that we turn.</w:t>
      </w:r>
    </w:p>
    <w:p w14:paraId="7E00143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39" w14:textId="77777777" w:rsidR="009A58DB" w:rsidRDefault="00000000">
      <w:pPr>
        <w:spacing w:line="503" w:lineRule="exact"/>
        <w:ind w:left="326" w:right="332"/>
        <w:jc w:val="center"/>
        <w:rPr>
          <w:rFonts w:ascii="Calibri Light"/>
          <w:sz w:val="42"/>
        </w:rPr>
      </w:pPr>
      <w:bookmarkStart w:id="258" w:name="_bookmark258"/>
      <w:bookmarkEnd w:id="258"/>
      <w:r>
        <w:rPr>
          <w:rFonts w:ascii="Calibri Light"/>
          <w:sz w:val="42"/>
        </w:rPr>
        <w:lastRenderedPageBreak/>
        <w:t>Chapter</w:t>
      </w:r>
      <w:r>
        <w:rPr>
          <w:rFonts w:ascii="Calibri Light"/>
          <w:spacing w:val="56"/>
          <w:sz w:val="42"/>
        </w:rPr>
        <w:t xml:space="preserve"> </w:t>
      </w:r>
      <w:r>
        <w:rPr>
          <w:rFonts w:ascii="Calibri Light"/>
          <w:spacing w:val="-10"/>
          <w:sz w:val="42"/>
        </w:rPr>
        <w:t>9</w:t>
      </w:r>
    </w:p>
    <w:p w14:paraId="7E00143A" w14:textId="77777777" w:rsidR="009A58DB" w:rsidRDefault="00000000">
      <w:pPr>
        <w:spacing w:before="222" w:line="343" w:lineRule="auto"/>
        <w:ind w:left="1011" w:right="1018"/>
        <w:jc w:val="center"/>
        <w:rPr>
          <w:rFonts w:ascii="Calibri Light" w:hAnsi="Calibri Light"/>
          <w:sz w:val="42"/>
        </w:rPr>
      </w:pPr>
      <w:bookmarkStart w:id="259" w:name="_bookmark259"/>
      <w:bookmarkEnd w:id="259"/>
      <w:r>
        <w:rPr>
          <w:rFonts w:ascii="Calibri Light" w:hAnsi="Calibri Light"/>
          <w:sz w:val="42"/>
        </w:rPr>
        <w:t>Putnam’s Insight and Burge’s Blunder:</w:t>
      </w:r>
      <w:r>
        <w:rPr>
          <w:rFonts w:ascii="Calibri Light" w:hAnsi="Calibri Light"/>
          <w:spacing w:val="40"/>
          <w:sz w:val="42"/>
        </w:rPr>
        <w:t xml:space="preserve"> </w:t>
      </w:r>
      <w:bookmarkStart w:id="260" w:name="_bookmark260"/>
      <w:bookmarkEnd w:id="260"/>
      <w:r>
        <w:rPr>
          <w:rFonts w:ascii="Calibri Light" w:hAnsi="Calibri Light"/>
          <w:sz w:val="42"/>
        </w:rPr>
        <w:t>Semantic</w:t>
      </w:r>
      <w:r>
        <w:rPr>
          <w:rFonts w:ascii="Calibri Light" w:hAnsi="Calibri Light"/>
          <w:spacing w:val="80"/>
          <w:sz w:val="42"/>
        </w:rPr>
        <w:t xml:space="preserve"> </w:t>
      </w:r>
      <w:r>
        <w:rPr>
          <w:rFonts w:ascii="Calibri Light" w:hAnsi="Calibri Light"/>
          <w:sz w:val="42"/>
        </w:rPr>
        <w:t>Externalism</w:t>
      </w:r>
      <w:r>
        <w:rPr>
          <w:rFonts w:ascii="Calibri Light" w:hAnsi="Calibri Light"/>
          <w:spacing w:val="80"/>
          <w:sz w:val="42"/>
        </w:rPr>
        <w:t xml:space="preserve"> </w:t>
      </w:r>
      <w:r>
        <w:rPr>
          <w:rFonts w:ascii="Calibri Light" w:hAnsi="Calibri Light"/>
          <w:sz w:val="42"/>
        </w:rPr>
        <w:t>vs.</w:t>
      </w:r>
      <w:r>
        <w:rPr>
          <w:rFonts w:ascii="Calibri Light" w:hAnsi="Calibri Light"/>
          <w:spacing w:val="80"/>
          <w:sz w:val="42"/>
        </w:rPr>
        <w:t xml:space="preserve"> </w:t>
      </w:r>
      <w:r>
        <w:rPr>
          <w:rFonts w:ascii="Calibri Light" w:hAnsi="Calibri Light"/>
          <w:sz w:val="42"/>
        </w:rPr>
        <w:t>Content-Externalism</w:t>
      </w:r>
    </w:p>
    <w:p w14:paraId="7E00143B" w14:textId="77777777" w:rsidR="009A58DB" w:rsidRDefault="00000000">
      <w:pPr>
        <w:pStyle w:val="Heading1"/>
        <w:numPr>
          <w:ilvl w:val="1"/>
          <w:numId w:val="149"/>
        </w:numPr>
        <w:tabs>
          <w:tab w:val="left" w:pos="1127"/>
        </w:tabs>
        <w:spacing w:before="0" w:line="449" w:lineRule="exact"/>
        <w:ind w:hanging="767"/>
      </w:pPr>
      <w:r>
        <w:t>Is</w:t>
      </w:r>
      <w:r>
        <w:rPr>
          <w:spacing w:val="13"/>
        </w:rPr>
        <w:t xml:space="preserve">  </w:t>
      </w:r>
      <w:r>
        <w:t>linguistic</w:t>
      </w:r>
      <w:r>
        <w:rPr>
          <w:spacing w:val="14"/>
        </w:rPr>
        <w:t xml:space="preserve">  </w:t>
      </w:r>
      <w:r>
        <w:t>meaning</w:t>
      </w:r>
      <w:r>
        <w:rPr>
          <w:spacing w:val="14"/>
        </w:rPr>
        <w:t xml:space="preserve">  </w:t>
      </w:r>
      <w:r>
        <w:t>a</w:t>
      </w:r>
      <w:r>
        <w:rPr>
          <w:spacing w:val="14"/>
        </w:rPr>
        <w:t xml:space="preserve">  </w:t>
      </w:r>
      <w:r>
        <w:t>strictly</w:t>
      </w:r>
      <w:r>
        <w:rPr>
          <w:spacing w:val="14"/>
        </w:rPr>
        <w:t xml:space="preserve">  </w:t>
      </w:r>
      <w:r>
        <w:rPr>
          <w:spacing w:val="-2"/>
        </w:rPr>
        <w:t>psychological</w:t>
      </w:r>
    </w:p>
    <w:p w14:paraId="7E00143C" w14:textId="77777777" w:rsidR="009A58DB" w:rsidRDefault="00000000">
      <w:pPr>
        <w:spacing w:before="12"/>
        <w:ind w:left="360"/>
        <w:rPr>
          <w:b/>
          <w:sz w:val="42"/>
        </w:rPr>
      </w:pPr>
      <w:r>
        <w:rPr>
          <w:b/>
          <w:spacing w:val="-2"/>
          <w:sz w:val="42"/>
        </w:rPr>
        <w:t>notion?</w:t>
      </w:r>
    </w:p>
    <w:p w14:paraId="7E00143D" w14:textId="77777777" w:rsidR="009A58DB" w:rsidRDefault="00000000">
      <w:pPr>
        <w:pStyle w:val="BodyText"/>
        <w:spacing w:before="139" w:line="249" w:lineRule="auto"/>
        <w:ind w:right="358"/>
      </w:pPr>
      <w:r>
        <w:t xml:space="preserve">In </w:t>
      </w:r>
      <w:r>
        <w:rPr>
          <w:i/>
        </w:rPr>
        <w:t xml:space="preserve">Naming and Necessity, </w:t>
      </w:r>
      <w:r>
        <w:t>Kripke decisively showed that proper names are</w:t>
      </w:r>
      <w:r>
        <w:rPr>
          <w:spacing w:val="40"/>
        </w:rPr>
        <w:t xml:space="preserve"> </w:t>
      </w:r>
      <w:r>
        <w:t>not definite descriptions. In doing this, Kripke was making a specific point concerning the semantics of a specific class of expressions. It might therefore seem that what Kripke was doing in NN, though non-trivial, was too narrow to be of great philosophical importance.</w:t>
      </w:r>
    </w:p>
    <w:p w14:paraId="7E00143E" w14:textId="77777777" w:rsidR="009A58DB" w:rsidRDefault="00000000">
      <w:pPr>
        <w:pStyle w:val="BodyText"/>
        <w:spacing w:before="6" w:line="249" w:lineRule="auto"/>
        <w:ind w:right="359" w:firstLine="360"/>
      </w:pPr>
      <w:r>
        <w:t>But implicit in what Kripke said about proper names are many deep and important principles concerning the very nature of meaning and the relationship between language and thought. In 1975, Hilary Putnam</w:t>
      </w:r>
      <w:r>
        <w:rPr>
          <w:spacing w:val="40"/>
        </w:rPr>
        <w:t xml:space="preserve"> </w:t>
      </w:r>
      <w:r>
        <w:t xml:space="preserve">published an article titled </w:t>
      </w:r>
      <w:r>
        <w:rPr>
          <w:i/>
        </w:rPr>
        <w:t>The meaning of “meaning</w:t>
      </w:r>
      <w:r>
        <w:t>” (henceforth, “MM”) in which he explicitly stated one of these principles and cogently argued for it. What he showed is that what we think does not, by itself, establish what our words and sentences mean.</w:t>
      </w:r>
    </w:p>
    <w:p w14:paraId="7E00143F" w14:textId="77777777" w:rsidR="009A58DB" w:rsidRDefault="00000000">
      <w:pPr>
        <w:pStyle w:val="BodyText"/>
        <w:spacing w:before="9" w:line="249" w:lineRule="auto"/>
        <w:ind w:right="362" w:firstLine="360"/>
      </w:pPr>
      <w:r>
        <w:t xml:space="preserve">It’s obvious that what we think </w:t>
      </w:r>
      <w:r>
        <w:rPr>
          <w:i/>
        </w:rPr>
        <w:t xml:space="preserve">largely </w:t>
      </w:r>
      <w:r>
        <w:t>determines what it is that our expressions</w:t>
      </w:r>
      <w:r>
        <w:rPr>
          <w:spacing w:val="-2"/>
        </w:rPr>
        <w:t xml:space="preserve"> </w:t>
      </w:r>
      <w:r>
        <w:t>mean.</w:t>
      </w:r>
      <w:r>
        <w:rPr>
          <w:spacing w:val="-2"/>
        </w:rPr>
        <w:t xml:space="preserve"> </w:t>
      </w:r>
      <w:r>
        <w:t>The</w:t>
      </w:r>
      <w:r>
        <w:rPr>
          <w:spacing w:val="-2"/>
        </w:rPr>
        <w:t xml:space="preserve"> </w:t>
      </w:r>
      <w:r>
        <w:t>word</w:t>
      </w:r>
      <w:r>
        <w:rPr>
          <w:spacing w:val="-2"/>
        </w:rPr>
        <w:t xml:space="preserve"> </w:t>
      </w:r>
      <w:r>
        <w:t>“snow”</w:t>
      </w:r>
      <w:r>
        <w:rPr>
          <w:spacing w:val="-2"/>
        </w:rPr>
        <w:t xml:space="preserve"> </w:t>
      </w:r>
      <w:r>
        <w:t>could</w:t>
      </w:r>
      <w:r>
        <w:rPr>
          <w:spacing w:val="-2"/>
        </w:rPr>
        <w:t xml:space="preserve"> </w:t>
      </w:r>
      <w:r>
        <w:t>refer</w:t>
      </w:r>
      <w:r>
        <w:rPr>
          <w:spacing w:val="-2"/>
        </w:rPr>
        <w:t xml:space="preserve"> </w:t>
      </w:r>
      <w:r>
        <w:t>to</w:t>
      </w:r>
      <w:r>
        <w:rPr>
          <w:spacing w:val="-2"/>
        </w:rPr>
        <w:t xml:space="preserve"> </w:t>
      </w:r>
      <w:r>
        <w:t>anything;</w:t>
      </w:r>
      <w:r>
        <w:rPr>
          <w:spacing w:val="-2"/>
        </w:rPr>
        <w:t xml:space="preserve"> </w:t>
      </w:r>
      <w:r>
        <w:t>it</w:t>
      </w:r>
      <w:r>
        <w:rPr>
          <w:spacing w:val="-2"/>
        </w:rPr>
        <w:t xml:space="preserve"> </w:t>
      </w:r>
      <w:r>
        <w:t>would</w:t>
      </w:r>
      <w:r>
        <w:rPr>
          <w:spacing w:val="-2"/>
        </w:rPr>
        <w:t xml:space="preserve"> </w:t>
      </w:r>
      <w:r>
        <w:t>be</w:t>
      </w:r>
      <w:r>
        <w:rPr>
          <w:spacing w:val="-2"/>
        </w:rPr>
        <w:t xml:space="preserve"> </w:t>
      </w:r>
      <w:r>
        <w:t>easy to create a language in which it referred, not to so snow, but to Julius Caesar. (Let’s create such a language right now. Let L be a language that is just like English except that, in L, “snow” refers to Julius Caesar and “Julius Caesar” refers to snow. L is a perfectly good language—it’s as expressively powerful a language as English.) It’s obviously at least partly because of what some people were thinking at certain times that “snow” refers to snow, and not to Julius Caesar.</w:t>
      </w:r>
    </w:p>
    <w:p w14:paraId="7E001440" w14:textId="77777777" w:rsidR="009A58DB" w:rsidRDefault="00000000">
      <w:pPr>
        <w:pStyle w:val="BodyText"/>
        <w:spacing w:before="11" w:line="249" w:lineRule="auto"/>
        <w:ind w:right="362" w:firstLine="360"/>
      </w:pPr>
      <w:r>
        <w:t xml:space="preserve">But Putnam made it clear that there is an important </w:t>
      </w:r>
      <w:r>
        <w:rPr>
          <w:i/>
        </w:rPr>
        <w:t>non</w:t>
      </w:r>
      <w:r>
        <w:t xml:space="preserve">-psychological dimension to linguistic meaning. Given only that, at any given moment, person X is psychologically and behaviorally indistinguishable from person Y, it does </w:t>
      </w:r>
      <w:r>
        <w:rPr>
          <w:i/>
        </w:rPr>
        <w:t xml:space="preserve">not </w:t>
      </w:r>
      <w:r>
        <w:t>follow that the words leaving X’s mouth have the same meanings</w:t>
      </w:r>
      <w:r>
        <w:rPr>
          <w:spacing w:val="31"/>
        </w:rPr>
        <w:t xml:space="preserve"> </w:t>
      </w:r>
      <w:r>
        <w:t>as</w:t>
      </w:r>
      <w:r>
        <w:rPr>
          <w:spacing w:val="31"/>
        </w:rPr>
        <w:t xml:space="preserve"> </w:t>
      </w:r>
      <w:r>
        <w:t>the</w:t>
      </w:r>
      <w:r>
        <w:rPr>
          <w:spacing w:val="32"/>
        </w:rPr>
        <w:t xml:space="preserve"> </w:t>
      </w:r>
      <w:r>
        <w:t>words</w:t>
      </w:r>
      <w:r>
        <w:rPr>
          <w:spacing w:val="31"/>
        </w:rPr>
        <w:t xml:space="preserve"> </w:t>
      </w:r>
      <w:r>
        <w:t>leaving</w:t>
      </w:r>
      <w:r>
        <w:rPr>
          <w:spacing w:val="31"/>
        </w:rPr>
        <w:t xml:space="preserve"> </w:t>
      </w:r>
      <w:r>
        <w:t>Y’s</w:t>
      </w:r>
      <w:r>
        <w:rPr>
          <w:spacing w:val="32"/>
        </w:rPr>
        <w:t xml:space="preserve"> </w:t>
      </w:r>
      <w:r>
        <w:t>mouth.</w:t>
      </w:r>
      <w:r>
        <w:rPr>
          <w:spacing w:val="31"/>
        </w:rPr>
        <w:t xml:space="preserve"> </w:t>
      </w:r>
      <w:r>
        <w:t>So,</w:t>
      </w:r>
      <w:r>
        <w:rPr>
          <w:spacing w:val="31"/>
        </w:rPr>
        <w:t xml:space="preserve"> </w:t>
      </w:r>
      <w:r>
        <w:t>supposing</w:t>
      </w:r>
      <w:r>
        <w:rPr>
          <w:spacing w:val="32"/>
        </w:rPr>
        <w:t xml:space="preserve"> </w:t>
      </w:r>
      <w:r>
        <w:t>that</w:t>
      </w:r>
      <w:r>
        <w:rPr>
          <w:spacing w:val="31"/>
        </w:rPr>
        <w:t xml:space="preserve"> </w:t>
      </w:r>
      <w:r>
        <w:t>at</w:t>
      </w:r>
      <w:r>
        <w:rPr>
          <w:spacing w:val="31"/>
        </w:rPr>
        <w:t xml:space="preserve"> </w:t>
      </w:r>
      <w:r>
        <w:t>any</w:t>
      </w:r>
      <w:r>
        <w:rPr>
          <w:spacing w:val="31"/>
        </w:rPr>
        <w:t xml:space="preserve"> </w:t>
      </w:r>
      <w:r>
        <w:t>given</w:t>
      </w:r>
    </w:p>
    <w:p w14:paraId="7E001441"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442" w14:textId="77777777" w:rsidR="009A58DB" w:rsidRDefault="00000000">
      <w:pPr>
        <w:pStyle w:val="BodyText"/>
        <w:spacing w:before="60" w:line="249" w:lineRule="auto"/>
        <w:ind w:right="358"/>
      </w:pPr>
      <w:r>
        <w:lastRenderedPageBreak/>
        <w:t xml:space="preserve">moment X is having a given thought if and only if Y is having an exactly similar thought, and that X is producing a given utterance if and only if Y is producing an exactly similar utterance, it does </w:t>
      </w:r>
      <w:r>
        <w:rPr>
          <w:i/>
        </w:rPr>
        <w:t xml:space="preserve">not </w:t>
      </w:r>
      <w:r>
        <w:t>follow that what is meant by X’s utterance coincides with what is meant by Y’s. Even though the psychological state that gave rise to the one utterance is just like the psychological state that gave rise to the other, the meaning of the one may diverge from that of the other.</w:t>
      </w:r>
    </w:p>
    <w:p w14:paraId="7E001443" w14:textId="77777777" w:rsidR="009A58DB" w:rsidRDefault="00000000">
      <w:pPr>
        <w:pStyle w:val="Heading1"/>
        <w:numPr>
          <w:ilvl w:val="1"/>
          <w:numId w:val="149"/>
        </w:numPr>
        <w:tabs>
          <w:tab w:val="left" w:pos="990"/>
        </w:tabs>
        <w:spacing w:before="201"/>
        <w:ind w:left="990" w:hanging="630"/>
      </w:pPr>
      <w:r>
        <w:t>Putnam’s</w:t>
      </w:r>
      <w:r>
        <w:rPr>
          <w:spacing w:val="-7"/>
        </w:rPr>
        <w:t xml:space="preserve"> </w:t>
      </w:r>
      <w:r>
        <w:rPr>
          <w:spacing w:val="-2"/>
        </w:rPr>
        <w:t>argument</w:t>
      </w:r>
    </w:p>
    <w:p w14:paraId="7E001444" w14:textId="77777777" w:rsidR="009A58DB" w:rsidRDefault="00000000">
      <w:pPr>
        <w:pStyle w:val="BodyText"/>
        <w:spacing w:before="139" w:line="249" w:lineRule="auto"/>
        <w:ind w:right="359"/>
      </w:pPr>
      <w:r>
        <w:t>Let Twin-Earth be a planet in some distant galaxy that satisfies the following conditions. Given any person x on Earth, there is a person y on Twin-Earth who is an atom-for-atom duplicate of x. At any given moment, y has a given thought if and only if x has that thought; y has a given feeling if and only if x has that very feeling. y acts a certain way if and only if x acts in an exactly similar way; y makes a certain noise if and only if x makes an exactly similar noise. Thus, Earth people are psychologically and behaviorally exactly like Twin-Earth people. They think, feel, do, and say the very same things at the very same times.</w:t>
      </w:r>
    </w:p>
    <w:p w14:paraId="7E001445" w14:textId="77777777" w:rsidR="009A58DB" w:rsidRDefault="00000000">
      <w:pPr>
        <w:pStyle w:val="BodyText"/>
        <w:spacing w:before="11" w:line="249" w:lineRule="auto"/>
        <w:ind w:right="358" w:firstLine="360"/>
      </w:pPr>
      <w:r>
        <w:t>It</w:t>
      </w:r>
      <w:r>
        <w:rPr>
          <w:spacing w:val="-3"/>
        </w:rPr>
        <w:t xml:space="preserve"> </w:t>
      </w:r>
      <w:r>
        <w:t>is</w:t>
      </w:r>
      <w:r>
        <w:rPr>
          <w:spacing w:val="-3"/>
        </w:rPr>
        <w:t xml:space="preserve"> </w:t>
      </w:r>
      <w:r>
        <w:t>merely</w:t>
      </w:r>
      <w:r>
        <w:rPr>
          <w:spacing w:val="-3"/>
        </w:rPr>
        <w:t xml:space="preserve"> </w:t>
      </w:r>
      <w:r>
        <w:t>coincidence</w:t>
      </w:r>
      <w:r>
        <w:rPr>
          <w:spacing w:val="-3"/>
        </w:rPr>
        <w:t xml:space="preserve"> </w:t>
      </w:r>
      <w:r>
        <w:t>that</w:t>
      </w:r>
      <w:r>
        <w:rPr>
          <w:spacing w:val="-3"/>
        </w:rPr>
        <w:t xml:space="preserve"> </w:t>
      </w:r>
      <w:r>
        <w:t>Earth</w:t>
      </w:r>
      <w:r>
        <w:rPr>
          <w:spacing w:val="-3"/>
        </w:rPr>
        <w:t xml:space="preserve"> </w:t>
      </w:r>
      <w:r>
        <w:t>people</w:t>
      </w:r>
      <w:r>
        <w:rPr>
          <w:spacing w:val="-3"/>
        </w:rPr>
        <w:t xml:space="preserve"> </w:t>
      </w:r>
      <w:r>
        <w:t>are</w:t>
      </w:r>
      <w:r>
        <w:rPr>
          <w:spacing w:val="-3"/>
        </w:rPr>
        <w:t xml:space="preserve"> </w:t>
      </w:r>
      <w:r>
        <w:t>in</w:t>
      </w:r>
      <w:r>
        <w:rPr>
          <w:spacing w:val="-3"/>
        </w:rPr>
        <w:t xml:space="preserve"> </w:t>
      </w:r>
      <w:r>
        <w:t>lock-step</w:t>
      </w:r>
      <w:r>
        <w:rPr>
          <w:spacing w:val="-3"/>
        </w:rPr>
        <w:t xml:space="preserve"> </w:t>
      </w:r>
      <w:r>
        <w:t>with</w:t>
      </w:r>
      <w:r>
        <w:rPr>
          <w:spacing w:val="-3"/>
        </w:rPr>
        <w:t xml:space="preserve"> </w:t>
      </w:r>
      <w:r>
        <w:t>Twin-Earth people. There is no causal interaction between Earth people and Twin-Earth people. No messages are sent from one planet to the other; nobody on either planet in any way influences anyone on the other.</w:t>
      </w:r>
    </w:p>
    <w:p w14:paraId="7E001446" w14:textId="77777777" w:rsidR="009A58DB" w:rsidRDefault="00000000">
      <w:pPr>
        <w:pStyle w:val="BodyText"/>
        <w:spacing w:before="5" w:line="249" w:lineRule="auto"/>
        <w:ind w:right="359" w:firstLine="360"/>
      </w:pPr>
      <w:r>
        <w:t>Even though Earth and Twin-Earth are extremely similar, there is an important difference between them. On Twin-Earth, the liquid in bathtubs, drinking glasses, lakes, etc., isn’t H</w:t>
      </w:r>
      <w:r>
        <w:rPr>
          <w:vertAlign w:val="subscript"/>
        </w:rPr>
        <w:t>2</w:t>
      </w:r>
      <w:r>
        <w:t>O—it’s XYZ. (“XYZ” is an abbreviation</w:t>
      </w:r>
    </w:p>
    <w:p w14:paraId="7E001447" w14:textId="77777777" w:rsidR="009A58DB" w:rsidRDefault="00000000">
      <w:pPr>
        <w:pStyle w:val="BodyText"/>
        <w:spacing w:before="64" w:line="249" w:lineRule="auto"/>
        <w:ind w:right="358"/>
      </w:pPr>
      <w:r>
        <w:t>for some long chemical formula.) With that qualification, Twin-Earth is, at any given moment, exactly like Earth.</w:t>
      </w:r>
    </w:p>
    <w:p w14:paraId="7E001448" w14:textId="77777777" w:rsidR="009A58DB" w:rsidRDefault="00000000">
      <w:pPr>
        <w:pStyle w:val="BodyText"/>
        <w:spacing w:before="2" w:line="249" w:lineRule="auto"/>
        <w:ind w:right="361" w:firstLine="360"/>
      </w:pPr>
      <w:r>
        <w:t>Let’s continue our story. Smith is a psychologically normal, English speaking, adult Earthling who lives in the 1600s. One day, after doing back-breaking work for several hours, Smith desperately wants to drink some cool water. Addressing his companion, Smith says:</w:t>
      </w:r>
    </w:p>
    <w:p w14:paraId="7E001449" w14:textId="77777777" w:rsidR="009A58DB" w:rsidRDefault="009A58DB">
      <w:pPr>
        <w:pStyle w:val="BodyText"/>
        <w:spacing w:before="20"/>
        <w:ind w:left="0"/>
        <w:jc w:val="left"/>
      </w:pPr>
    </w:p>
    <w:p w14:paraId="7E00144A" w14:textId="77777777" w:rsidR="009A58DB" w:rsidRDefault="00000000">
      <w:pPr>
        <w:pStyle w:val="BodyText"/>
        <w:spacing w:line="249" w:lineRule="auto"/>
        <w:ind w:right="358"/>
      </w:pPr>
      <w:r>
        <w:t>(S</w:t>
      </w:r>
      <w:bookmarkStart w:id="261" w:name="_bookmark261"/>
      <w:bookmarkEnd w:id="261"/>
      <w:r>
        <w:t>E</w:t>
      </w:r>
      <w:r>
        <w:rPr>
          <w:color w:val="0562C1"/>
          <w:position w:val="21"/>
          <w:u w:val="single" w:color="0562C1"/>
        </w:rPr>
        <w:t>[163]</w:t>
      </w:r>
      <w:r>
        <w:t>) “When people are thirsty, they find it more refreshing to drink cool,</w:t>
      </w:r>
      <w:r>
        <w:rPr>
          <w:spacing w:val="63"/>
        </w:rPr>
        <w:t xml:space="preserve"> </w:t>
      </w:r>
      <w:r>
        <w:t>glacial</w:t>
      </w:r>
      <w:r>
        <w:rPr>
          <w:spacing w:val="63"/>
        </w:rPr>
        <w:t xml:space="preserve"> </w:t>
      </w:r>
      <w:r>
        <w:t>water</w:t>
      </w:r>
      <w:r>
        <w:rPr>
          <w:spacing w:val="63"/>
        </w:rPr>
        <w:t xml:space="preserve"> </w:t>
      </w:r>
      <w:r>
        <w:t>than</w:t>
      </w:r>
      <w:r>
        <w:rPr>
          <w:spacing w:val="63"/>
        </w:rPr>
        <w:t xml:space="preserve"> </w:t>
      </w:r>
      <w:r>
        <w:t>warm,</w:t>
      </w:r>
      <w:r>
        <w:rPr>
          <w:spacing w:val="63"/>
        </w:rPr>
        <w:t xml:space="preserve"> </w:t>
      </w:r>
      <w:r>
        <w:t>swamp</w:t>
      </w:r>
      <w:r>
        <w:rPr>
          <w:spacing w:val="63"/>
        </w:rPr>
        <w:t xml:space="preserve"> </w:t>
      </w:r>
      <w:r>
        <w:t>water;</w:t>
      </w:r>
      <w:r>
        <w:rPr>
          <w:spacing w:val="62"/>
        </w:rPr>
        <w:t xml:space="preserve"> </w:t>
      </w:r>
      <w:r>
        <w:t>and</w:t>
      </w:r>
      <w:r>
        <w:rPr>
          <w:spacing w:val="63"/>
        </w:rPr>
        <w:t xml:space="preserve"> </w:t>
      </w:r>
      <w:r>
        <w:t>if</w:t>
      </w:r>
      <w:r>
        <w:rPr>
          <w:spacing w:val="63"/>
        </w:rPr>
        <w:t xml:space="preserve"> </w:t>
      </w:r>
      <w:r>
        <w:t>there</w:t>
      </w:r>
      <w:r>
        <w:rPr>
          <w:spacing w:val="63"/>
        </w:rPr>
        <w:t xml:space="preserve"> </w:t>
      </w:r>
      <w:r>
        <w:t>were</w:t>
      </w:r>
      <w:r>
        <w:rPr>
          <w:spacing w:val="63"/>
        </w:rPr>
        <w:t xml:space="preserve"> </w:t>
      </w:r>
      <w:r>
        <w:t>no</w:t>
      </w:r>
      <w:r>
        <w:rPr>
          <w:spacing w:val="63"/>
        </w:rPr>
        <w:t xml:space="preserve"> </w:t>
      </w:r>
      <w:r>
        <w:t>clean</w:t>
      </w:r>
    </w:p>
    <w:p w14:paraId="7E00144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4C" w14:textId="77777777" w:rsidR="009A58DB" w:rsidRDefault="00000000">
      <w:pPr>
        <w:pStyle w:val="BodyText"/>
        <w:spacing w:before="60"/>
      </w:pPr>
      <w:r>
        <w:lastRenderedPageBreak/>
        <w:t>water,</w:t>
      </w:r>
      <w:r>
        <w:rPr>
          <w:spacing w:val="-4"/>
        </w:rPr>
        <w:t xml:space="preserve"> </w:t>
      </w:r>
      <w:r>
        <w:t>people</w:t>
      </w:r>
      <w:r>
        <w:rPr>
          <w:spacing w:val="-4"/>
        </w:rPr>
        <w:t xml:space="preserve"> </w:t>
      </w:r>
      <w:r>
        <w:t>couldn’t</w:t>
      </w:r>
      <w:r>
        <w:rPr>
          <w:spacing w:val="-4"/>
        </w:rPr>
        <w:t xml:space="preserve"> </w:t>
      </w:r>
      <w:r>
        <w:rPr>
          <w:spacing w:val="-2"/>
        </w:rPr>
        <w:t>survive.”</w:t>
      </w:r>
    </w:p>
    <w:p w14:paraId="7E00144D" w14:textId="77777777" w:rsidR="009A58DB" w:rsidRDefault="009A58DB">
      <w:pPr>
        <w:pStyle w:val="BodyText"/>
        <w:spacing w:before="34"/>
        <w:ind w:left="0"/>
        <w:jc w:val="left"/>
      </w:pPr>
    </w:p>
    <w:p w14:paraId="7E00144E" w14:textId="77777777" w:rsidR="009A58DB" w:rsidRDefault="00000000">
      <w:pPr>
        <w:pStyle w:val="BodyText"/>
        <w:spacing w:before="1"/>
        <w:ind w:left="720"/>
      </w:pPr>
      <w:r>
        <w:t>This</w:t>
      </w:r>
      <w:r>
        <w:rPr>
          <w:spacing w:val="-6"/>
        </w:rPr>
        <w:t xml:space="preserve"> </w:t>
      </w:r>
      <w:r>
        <w:t>utterance</w:t>
      </w:r>
      <w:r>
        <w:rPr>
          <w:spacing w:val="-4"/>
        </w:rPr>
        <w:t xml:space="preserve"> </w:t>
      </w:r>
      <w:r>
        <w:t>takes</w:t>
      </w:r>
      <w:r>
        <w:rPr>
          <w:spacing w:val="-4"/>
        </w:rPr>
        <w:t xml:space="preserve"> </w:t>
      </w:r>
      <w:r>
        <w:t>place</w:t>
      </w:r>
      <w:r>
        <w:rPr>
          <w:spacing w:val="-4"/>
        </w:rPr>
        <w:t xml:space="preserve"> </w:t>
      </w:r>
      <w:r>
        <w:t>at</w:t>
      </w:r>
      <w:r>
        <w:rPr>
          <w:spacing w:val="-4"/>
        </w:rPr>
        <w:t xml:space="preserve"> </w:t>
      </w:r>
      <w:r>
        <w:t>time</w:t>
      </w:r>
      <w:r>
        <w:rPr>
          <w:spacing w:val="-4"/>
        </w:rPr>
        <w:t xml:space="preserve"> </w:t>
      </w:r>
      <w:r>
        <w:rPr>
          <w:spacing w:val="-5"/>
        </w:rPr>
        <w:t>t.</w:t>
      </w:r>
    </w:p>
    <w:p w14:paraId="7E00144F" w14:textId="77777777" w:rsidR="009A58DB" w:rsidRDefault="00000000">
      <w:pPr>
        <w:pStyle w:val="BodyText"/>
        <w:spacing w:before="15" w:line="249" w:lineRule="auto"/>
        <w:ind w:right="358" w:firstLine="360"/>
      </w:pPr>
      <w:r>
        <w:t xml:space="preserve">Important point: SE doesn’t refer to a sentence. It refers to a specific </w:t>
      </w:r>
      <w:r>
        <w:rPr>
          <w:i/>
        </w:rPr>
        <w:t xml:space="preserve">utterance </w:t>
      </w:r>
      <w:r>
        <w:t xml:space="preserve">of a sentence. It refers to the specific burst of noise produced by Smith at time t. (Different people can </w:t>
      </w:r>
      <w:r>
        <w:rPr>
          <w:i/>
        </w:rPr>
        <w:t>utter</w:t>
      </w:r>
      <w:r>
        <w:rPr>
          <w:i/>
          <w:spacing w:val="-4"/>
        </w:rPr>
        <w:t xml:space="preserve"> </w:t>
      </w:r>
      <w:r>
        <w:t xml:space="preserve">a given sentence; different people can </w:t>
      </w:r>
      <w:r>
        <w:rPr>
          <w:i/>
        </w:rPr>
        <w:t xml:space="preserve">utter </w:t>
      </w:r>
      <w:r>
        <w:t>the sentence uttered by Smith (viz. “when people are thirsty, they find it more refreshing to drink cool, glacial water than . . .”)</w:t>
      </w:r>
    </w:p>
    <w:p w14:paraId="7E001450" w14:textId="77777777" w:rsidR="009A58DB" w:rsidRDefault="00000000">
      <w:pPr>
        <w:pStyle w:val="BodyText"/>
        <w:spacing w:before="6" w:line="249" w:lineRule="auto"/>
        <w:ind w:right="362" w:firstLine="360"/>
      </w:pPr>
      <w:r>
        <w:t>Bear in mind here that, in Smith’s time, nothing was known about the chemical composition of water. People obviously had thoughts about water; they wanted to drink it; bathe in it, and so on. But they didn’t know that it</w:t>
      </w:r>
      <w:r>
        <w:rPr>
          <w:spacing w:val="40"/>
        </w:rPr>
        <w:t xml:space="preserve"> </w:t>
      </w:r>
      <w:r>
        <w:t>was</w:t>
      </w:r>
      <w:r>
        <w:rPr>
          <w:spacing w:val="-2"/>
        </w:rPr>
        <w:t xml:space="preserve"> </w:t>
      </w:r>
      <w:r>
        <w:t>H</w:t>
      </w:r>
      <w:r>
        <w:rPr>
          <w:vertAlign w:val="subscript"/>
        </w:rPr>
        <w:t>2</w:t>
      </w:r>
      <w:r>
        <w:t>O;</w:t>
      </w:r>
      <w:r>
        <w:rPr>
          <w:spacing w:val="10"/>
        </w:rPr>
        <w:t xml:space="preserve"> </w:t>
      </w:r>
      <w:r>
        <w:t>they</w:t>
      </w:r>
      <w:r>
        <w:rPr>
          <w:spacing w:val="10"/>
        </w:rPr>
        <w:t xml:space="preserve"> </w:t>
      </w:r>
      <w:r>
        <w:t>didn’t</w:t>
      </w:r>
      <w:r>
        <w:rPr>
          <w:spacing w:val="11"/>
        </w:rPr>
        <w:t xml:space="preserve"> </w:t>
      </w:r>
      <w:r>
        <w:t>even</w:t>
      </w:r>
      <w:r>
        <w:rPr>
          <w:spacing w:val="10"/>
        </w:rPr>
        <w:t xml:space="preserve"> </w:t>
      </w:r>
      <w:r>
        <w:t>grasp</w:t>
      </w:r>
      <w:r>
        <w:rPr>
          <w:spacing w:val="10"/>
        </w:rPr>
        <w:t xml:space="preserve"> </w:t>
      </w:r>
      <w:r>
        <w:t>the</w:t>
      </w:r>
      <w:r>
        <w:rPr>
          <w:spacing w:val="11"/>
        </w:rPr>
        <w:t xml:space="preserve"> </w:t>
      </w:r>
      <w:r>
        <w:t>concepts</w:t>
      </w:r>
      <w:r>
        <w:rPr>
          <w:spacing w:val="10"/>
        </w:rPr>
        <w:t xml:space="preserve"> </w:t>
      </w:r>
      <w:r>
        <w:t>needed</w:t>
      </w:r>
      <w:r>
        <w:rPr>
          <w:spacing w:val="10"/>
        </w:rPr>
        <w:t xml:space="preserve"> </w:t>
      </w:r>
      <w:r>
        <w:t>to</w:t>
      </w:r>
      <w:r>
        <w:rPr>
          <w:spacing w:val="11"/>
        </w:rPr>
        <w:t xml:space="preserve"> </w:t>
      </w:r>
      <w:r>
        <w:t>grasp</w:t>
      </w:r>
      <w:r>
        <w:rPr>
          <w:spacing w:val="10"/>
        </w:rPr>
        <w:t xml:space="preserve"> </w:t>
      </w:r>
      <w:r>
        <w:t>the</w:t>
      </w:r>
      <w:r>
        <w:rPr>
          <w:spacing w:val="10"/>
        </w:rPr>
        <w:t xml:space="preserve"> </w:t>
      </w:r>
      <w:r>
        <w:t>concept</w:t>
      </w:r>
      <w:r>
        <w:rPr>
          <w:spacing w:val="10"/>
        </w:rPr>
        <w:t xml:space="preserve"> </w:t>
      </w:r>
      <w:r>
        <w:rPr>
          <w:spacing w:val="-5"/>
        </w:rPr>
        <w:t>of</w:t>
      </w:r>
    </w:p>
    <w:p w14:paraId="7E001451" w14:textId="77777777" w:rsidR="009A58DB" w:rsidRDefault="00000000">
      <w:pPr>
        <w:pStyle w:val="BodyText"/>
        <w:spacing w:before="65"/>
      </w:pPr>
      <w:r>
        <w:t>an</w:t>
      </w:r>
      <w:r>
        <w:rPr>
          <w:spacing w:val="9"/>
        </w:rPr>
        <w:t xml:space="preserve"> </w:t>
      </w:r>
      <w:r>
        <w:t>H</w:t>
      </w:r>
      <w:r>
        <w:rPr>
          <w:vertAlign w:val="subscript"/>
        </w:rPr>
        <w:t>2</w:t>
      </w:r>
      <w:r>
        <w:t>O</w:t>
      </w:r>
      <w:r>
        <w:rPr>
          <w:spacing w:val="7"/>
        </w:rPr>
        <w:t xml:space="preserve"> </w:t>
      </w:r>
      <w:r>
        <w:rPr>
          <w:spacing w:val="-2"/>
        </w:rPr>
        <w:t>molecule.</w:t>
      </w:r>
    </w:p>
    <w:p w14:paraId="7E001452" w14:textId="77777777" w:rsidR="009A58DB" w:rsidRDefault="00000000">
      <w:pPr>
        <w:pStyle w:val="BodyText"/>
        <w:spacing w:before="75" w:line="249" w:lineRule="auto"/>
        <w:ind w:right="361" w:firstLine="360"/>
      </w:pPr>
      <w:r>
        <w:t>On Twin-Earth, there is somebody who, at any given moment, is psychologically and behaviorally just like Smith. (This follows from what we said earlier.) Let Twin-Smith be that person. At any given time, Twin-Smith makes the very noises as Smith and, in so doing, expresses the very sentiments. (This too follows from our earlier points.) Thus, at time t, Twin-Smith says:</w:t>
      </w:r>
    </w:p>
    <w:p w14:paraId="7E001453" w14:textId="77777777" w:rsidR="009A58DB" w:rsidRDefault="009A58DB">
      <w:pPr>
        <w:pStyle w:val="BodyText"/>
        <w:spacing w:before="22"/>
        <w:ind w:left="0"/>
        <w:jc w:val="left"/>
      </w:pPr>
    </w:p>
    <w:p w14:paraId="7E001454" w14:textId="77777777" w:rsidR="009A58DB" w:rsidRDefault="00000000">
      <w:pPr>
        <w:pStyle w:val="BodyText"/>
        <w:tabs>
          <w:tab w:val="left" w:pos="1689"/>
        </w:tabs>
        <w:spacing w:line="249" w:lineRule="auto"/>
        <w:ind w:right="358"/>
      </w:pPr>
      <w:r>
        <w:rPr>
          <w:noProof/>
        </w:rPr>
        <mc:AlternateContent>
          <mc:Choice Requires="wps">
            <w:drawing>
              <wp:anchor distT="0" distB="0" distL="0" distR="0" simplePos="0" relativeHeight="480335872" behindDoc="1" locked="0" layoutInCell="1" allowOverlap="1" wp14:anchorId="7E00327A" wp14:editId="7E00327B">
                <wp:simplePos x="0" y="0"/>
                <wp:positionH relativeFrom="page">
                  <wp:posOffset>1094035</wp:posOffset>
                </wp:positionH>
                <wp:positionV relativeFrom="paragraph">
                  <wp:posOffset>141776</wp:posOffset>
                </wp:positionV>
                <wp:extent cx="582295" cy="21145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211454"/>
                        </a:xfrm>
                        <a:prstGeom prst="rect">
                          <a:avLst/>
                        </a:prstGeom>
                      </wps:spPr>
                      <wps:txbx>
                        <w:txbxContent>
                          <w:p w14:paraId="7E0032BA" w14:textId="77777777" w:rsidR="009A58DB" w:rsidRDefault="00000000">
                            <w:pPr>
                              <w:pStyle w:val="BodyText"/>
                              <w:tabs>
                                <w:tab w:val="left" w:pos="816"/>
                              </w:tabs>
                              <w:spacing w:line="332" w:lineRule="exact"/>
                              <w:ind w:left="0"/>
                              <w:jc w:val="left"/>
                            </w:pPr>
                            <w:r>
                              <w:rPr>
                                <w:spacing w:val="-10"/>
                              </w:rPr>
                              <w:t>S</w:t>
                            </w:r>
                            <w:r>
                              <w:tab/>
                            </w:r>
                            <w:r>
                              <w:rPr>
                                <w:spacing w:val="-10"/>
                              </w:rPr>
                              <w:t>)</w:t>
                            </w:r>
                          </w:p>
                        </w:txbxContent>
                      </wps:txbx>
                      <wps:bodyPr wrap="square" lIns="0" tIns="0" rIns="0" bIns="0" rtlCol="0">
                        <a:noAutofit/>
                      </wps:bodyPr>
                    </wps:wsp>
                  </a:graphicData>
                </a:graphic>
              </wp:anchor>
            </w:drawing>
          </mc:Choice>
          <mc:Fallback>
            <w:pict>
              <v:shape w14:anchorId="7E00327A" id="Textbox 22" o:spid="_x0000_s1036" type="#_x0000_t202" style="position:absolute;left:0;text-align:left;margin-left:86.15pt;margin-top:11.15pt;width:45.85pt;height:16.65pt;z-index:-2298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" filled="f" stroked="f">
                <v:textbox inset="0,0,0,0">
                  <w:txbxContent>
                    <w:p w14:paraId="7E0032BA" w14:textId="77777777" w:rsidR="009A58DB" w:rsidRDefault="00000000">
                      <w:pPr>
                        <w:pStyle w:val="BodyText"/>
                        <w:tabs>
                          <w:tab w:val="left" w:pos="816"/>
                        </w:tabs>
                        <w:spacing w:line="332" w:lineRule="exact"/>
                        <w:ind w:left="0"/>
                        <w:jc w:val="left"/>
                      </w:pPr>
                      <w:r>
                        <w:rPr>
                          <w:spacing w:val="-10"/>
                        </w:rPr>
                        <w:t>S</w:t>
                      </w:r>
                      <w:r>
                        <w:tab/>
                      </w:r>
                      <w:r>
                        <w:rPr>
                          <w:spacing w:val="-10"/>
                        </w:rPr>
                        <w:t>)</w:t>
                      </w:r>
                    </w:p>
                  </w:txbxContent>
                </v:textbox>
                <w10:wrap anchorx="page"/>
              </v:shape>
            </w:pict>
          </mc:Fallback>
        </mc:AlternateContent>
      </w:r>
      <w:bookmarkStart w:id="262" w:name="_bookmark262"/>
      <w:bookmarkEnd w:id="262"/>
      <w:r>
        <w:rPr>
          <w:color w:val="0562C1"/>
          <w:spacing w:val="-3"/>
          <w:position w:val="21"/>
          <w:u w:val="single" w:color="0562C1"/>
        </w:rPr>
        <w:t>[</w:t>
      </w:r>
      <w:r>
        <w:rPr>
          <w:color w:val="0562C1"/>
          <w:spacing w:val="-2"/>
          <w:position w:val="21"/>
          <w:u w:val="single" w:color="0562C1"/>
        </w:rPr>
        <w:t>164</w:t>
      </w:r>
      <w:r>
        <w:rPr>
          <w:color w:val="0562C1"/>
          <w:spacing w:val="-1102"/>
          <w:position w:val="21"/>
          <w:u w:val="single" w:color="0562C1"/>
        </w:rPr>
        <w:t>]</w:t>
      </w:r>
      <w:r>
        <w:rPr>
          <w:spacing w:val="-3"/>
        </w:rPr>
        <w:t>(</w:t>
      </w:r>
      <w:r>
        <w:rPr>
          <w:spacing w:val="-2"/>
        </w:rPr>
        <w:t>T</w:t>
      </w:r>
      <w:r>
        <w:tab/>
        <w:t>“When people are thirsty, they find it more refreshing to drink cool, glacial water than warm, swamp water; and if there were no clean</w:t>
      </w:r>
      <w:r>
        <w:rPr>
          <w:spacing w:val="40"/>
        </w:rPr>
        <w:t xml:space="preserve"> </w:t>
      </w:r>
      <w:r>
        <w:t>water, people couldn’t survive.”</w:t>
      </w:r>
    </w:p>
    <w:p w14:paraId="7E001455" w14:textId="77777777" w:rsidR="009A58DB" w:rsidRDefault="009A58DB">
      <w:pPr>
        <w:pStyle w:val="BodyText"/>
        <w:spacing w:before="19"/>
        <w:ind w:left="0"/>
        <w:jc w:val="left"/>
      </w:pPr>
    </w:p>
    <w:p w14:paraId="7E001456" w14:textId="77777777" w:rsidR="009A58DB" w:rsidRDefault="00000000">
      <w:pPr>
        <w:pStyle w:val="BodyText"/>
        <w:spacing w:line="249" w:lineRule="auto"/>
        <w:ind w:right="359"/>
      </w:pPr>
      <w:r>
        <w:t xml:space="preserve">Important point: TS doesn’t refer to a sentence. It refers to a specific </w:t>
      </w:r>
      <w:r>
        <w:rPr>
          <w:i/>
        </w:rPr>
        <w:t xml:space="preserve">utterance </w:t>
      </w:r>
      <w:r>
        <w:t>of a sentence—to the specific burst of noise produced by Twin-Smith at time t.</w:t>
      </w:r>
    </w:p>
    <w:p w14:paraId="7E001457" w14:textId="77777777" w:rsidR="009A58DB" w:rsidRDefault="00000000">
      <w:pPr>
        <w:pStyle w:val="BodyText"/>
        <w:spacing w:before="4" w:line="249" w:lineRule="auto"/>
        <w:ind w:right="359" w:firstLine="360"/>
        <w:rPr>
          <w:position w:val="21"/>
        </w:rPr>
      </w:pPr>
      <w:r>
        <w:t>Question: Does SE have the same meaning as TS? I am not asking</w:t>
      </w:r>
      <w:r>
        <w:rPr>
          <w:spacing w:val="40"/>
        </w:rPr>
        <w:t xml:space="preserve"> </w:t>
      </w:r>
      <w:r>
        <w:t xml:space="preserve">whether Smith and Twin-Smith coincide in respect of what </w:t>
      </w:r>
      <w:r>
        <w:rPr>
          <w:i/>
        </w:rPr>
        <w:t xml:space="preserve">they </w:t>
      </w:r>
      <w:r>
        <w:t>mean by</w:t>
      </w:r>
      <w:r>
        <w:rPr>
          <w:spacing w:val="40"/>
        </w:rPr>
        <w:t xml:space="preserve"> </w:t>
      </w:r>
      <w:r>
        <w:t>their respective utterances, but whether SE and TS coincide in respect of</w:t>
      </w:r>
      <w:r>
        <w:rPr>
          <w:spacing w:val="40"/>
        </w:rPr>
        <w:t xml:space="preserve"> </w:t>
      </w:r>
      <w:r>
        <w:t xml:space="preserve">what </w:t>
      </w:r>
      <w:r>
        <w:rPr>
          <w:i/>
        </w:rPr>
        <w:t xml:space="preserve">they </w:t>
      </w:r>
      <w:r>
        <w:t>mean. The question doesn’t concern what Smith and Twin-Smith are trying to convey through their respective utterances; it concerns what those utterances themselves mean</w:t>
      </w:r>
      <w:bookmarkStart w:id="263" w:name="_bookmark263"/>
      <w:bookmarkEnd w:id="263"/>
      <w:r>
        <w:t>.</w:t>
      </w:r>
      <w:r>
        <w:rPr>
          <w:color w:val="0562C1"/>
          <w:position w:val="21"/>
          <w:u w:val="single" w:color="0562C1"/>
        </w:rPr>
        <w:t>[165]</w:t>
      </w:r>
    </w:p>
    <w:p w14:paraId="7E001458" w14:textId="77777777" w:rsidR="009A58DB" w:rsidRDefault="00000000">
      <w:pPr>
        <w:pStyle w:val="BodyText"/>
        <w:spacing w:before="7"/>
        <w:ind w:left="720"/>
      </w:pPr>
      <w:r>
        <w:t>SE</w:t>
      </w:r>
      <w:r>
        <w:rPr>
          <w:spacing w:val="-1"/>
        </w:rPr>
        <w:t xml:space="preserve"> </w:t>
      </w:r>
      <w:r>
        <w:t>and</w:t>
      </w:r>
      <w:r>
        <w:rPr>
          <w:spacing w:val="2"/>
        </w:rPr>
        <w:t xml:space="preserve"> </w:t>
      </w:r>
      <w:r>
        <w:t>TS</w:t>
      </w:r>
      <w:r>
        <w:rPr>
          <w:spacing w:val="2"/>
        </w:rPr>
        <w:t xml:space="preserve"> </w:t>
      </w:r>
      <w:r>
        <w:rPr>
          <w:i/>
        </w:rPr>
        <w:t>don’t</w:t>
      </w:r>
      <w:r>
        <w:rPr>
          <w:i/>
          <w:spacing w:val="-2"/>
        </w:rPr>
        <w:t xml:space="preserve"> </w:t>
      </w:r>
      <w:r>
        <w:t>have</w:t>
      </w:r>
      <w:r>
        <w:rPr>
          <w:spacing w:val="2"/>
        </w:rPr>
        <w:t xml:space="preserve"> </w:t>
      </w:r>
      <w:r>
        <w:t>the</w:t>
      </w:r>
      <w:r>
        <w:rPr>
          <w:spacing w:val="2"/>
        </w:rPr>
        <w:t xml:space="preserve"> </w:t>
      </w:r>
      <w:r>
        <w:t>same</w:t>
      </w:r>
      <w:r>
        <w:rPr>
          <w:spacing w:val="2"/>
        </w:rPr>
        <w:t xml:space="preserve"> </w:t>
      </w:r>
      <w:r>
        <w:t>meaning.</w:t>
      </w:r>
      <w:r>
        <w:rPr>
          <w:spacing w:val="2"/>
        </w:rPr>
        <w:t xml:space="preserve"> </w:t>
      </w:r>
      <w:r>
        <w:t>They</w:t>
      </w:r>
      <w:r>
        <w:rPr>
          <w:spacing w:val="2"/>
        </w:rPr>
        <w:t xml:space="preserve"> </w:t>
      </w:r>
      <w:r>
        <w:t>have</w:t>
      </w:r>
      <w:r>
        <w:rPr>
          <w:spacing w:val="2"/>
        </w:rPr>
        <w:t xml:space="preserve"> </w:t>
      </w:r>
      <w:r>
        <w:t>different</w:t>
      </w:r>
      <w:r>
        <w:rPr>
          <w:spacing w:val="2"/>
        </w:rPr>
        <w:t xml:space="preserve"> </w:t>
      </w:r>
      <w:r>
        <w:rPr>
          <w:spacing w:val="-2"/>
        </w:rPr>
        <w:t>propositions</w:t>
      </w:r>
    </w:p>
    <w:p w14:paraId="7E001459" w14:textId="77777777" w:rsidR="009A58DB" w:rsidRDefault="009A58DB">
      <w:pPr>
        <w:pStyle w:val="BodyText"/>
        <w:sectPr w:rsidR="009A58DB">
          <w:pgSz w:w="12240" w:h="15840"/>
          <w:pgMar w:top="1380" w:right="1080" w:bottom="280" w:left="1080" w:header="720" w:footer="720" w:gutter="0"/>
          <w:cols w:space="720"/>
        </w:sectPr>
      </w:pPr>
    </w:p>
    <w:p w14:paraId="7E00145A" w14:textId="77777777" w:rsidR="009A58DB" w:rsidRDefault="00000000">
      <w:pPr>
        <w:pStyle w:val="BodyText"/>
        <w:spacing w:before="65" w:line="249" w:lineRule="auto"/>
        <w:ind w:right="361"/>
      </w:pPr>
      <w:r>
        <w:lastRenderedPageBreak/>
        <w:t>for their respective meanings, and the one proposition is true in</w:t>
      </w:r>
      <w:r>
        <w:rPr>
          <w:spacing w:val="40"/>
        </w:rPr>
        <w:t xml:space="preserve"> </w:t>
      </w:r>
      <w:r>
        <w:t>circumstances where the other is false, and false in circumstances where the other is true.</w:t>
      </w:r>
    </w:p>
    <w:p w14:paraId="7E00145B" w14:textId="77777777" w:rsidR="009A58DB" w:rsidRDefault="00000000">
      <w:pPr>
        <w:pStyle w:val="BodyText"/>
        <w:spacing w:before="3" w:line="271" w:lineRule="auto"/>
        <w:ind w:right="360" w:firstLine="360"/>
      </w:pPr>
      <w:r>
        <w:t>“Water” refers to the substance whose chemical composition is H</w:t>
      </w:r>
      <w:r>
        <w:rPr>
          <w:vertAlign w:val="subscript"/>
        </w:rPr>
        <w:t>2</w:t>
      </w:r>
      <w:r>
        <w:t>O. That’s a simple fact. A thoroughly competent speaker of English can easily fail</w:t>
      </w:r>
      <w:r>
        <w:rPr>
          <w:spacing w:val="47"/>
        </w:rPr>
        <w:t xml:space="preserve"> </w:t>
      </w:r>
      <w:r>
        <w:t>to</w:t>
      </w:r>
      <w:r>
        <w:rPr>
          <w:spacing w:val="49"/>
        </w:rPr>
        <w:t xml:space="preserve"> </w:t>
      </w:r>
      <w:r>
        <w:rPr>
          <w:i/>
        </w:rPr>
        <w:t>know</w:t>
      </w:r>
      <w:r>
        <w:rPr>
          <w:i/>
          <w:spacing w:val="41"/>
        </w:rPr>
        <w:t xml:space="preserve"> </w:t>
      </w:r>
      <w:r>
        <w:t>that</w:t>
      </w:r>
      <w:r>
        <w:rPr>
          <w:spacing w:val="51"/>
        </w:rPr>
        <w:t xml:space="preserve"> </w:t>
      </w:r>
      <w:r>
        <w:t>“water”</w:t>
      </w:r>
      <w:r>
        <w:rPr>
          <w:spacing w:val="50"/>
        </w:rPr>
        <w:t xml:space="preserve"> </w:t>
      </w:r>
      <w:r>
        <w:t>refers</w:t>
      </w:r>
      <w:r>
        <w:rPr>
          <w:spacing w:val="50"/>
        </w:rPr>
        <w:t xml:space="preserve"> </w:t>
      </w:r>
      <w:r>
        <w:t>to</w:t>
      </w:r>
      <w:r>
        <w:rPr>
          <w:spacing w:val="50"/>
        </w:rPr>
        <w:t xml:space="preserve"> </w:t>
      </w:r>
      <w:r>
        <w:t>that</w:t>
      </w:r>
      <w:r>
        <w:rPr>
          <w:spacing w:val="51"/>
        </w:rPr>
        <w:t xml:space="preserve"> </w:t>
      </w:r>
      <w:r>
        <w:t>substance.</w:t>
      </w:r>
      <w:r>
        <w:rPr>
          <w:spacing w:val="50"/>
        </w:rPr>
        <w:t xml:space="preserve"> </w:t>
      </w:r>
      <w:r>
        <w:t>Newton</w:t>
      </w:r>
      <w:r>
        <w:rPr>
          <w:spacing w:val="50"/>
        </w:rPr>
        <w:t xml:space="preserve"> </w:t>
      </w:r>
      <w:r>
        <w:t>didn’t</w:t>
      </w:r>
      <w:r>
        <w:rPr>
          <w:spacing w:val="50"/>
        </w:rPr>
        <w:t xml:space="preserve"> </w:t>
      </w:r>
      <w:r>
        <w:t>know</w:t>
      </w:r>
      <w:r>
        <w:rPr>
          <w:spacing w:val="51"/>
        </w:rPr>
        <w:t xml:space="preserve"> </w:t>
      </w:r>
      <w:r>
        <w:rPr>
          <w:spacing w:val="-5"/>
        </w:rPr>
        <w:t>it,</w:t>
      </w:r>
    </w:p>
    <w:p w14:paraId="7E00145C" w14:textId="77777777" w:rsidR="009A58DB" w:rsidRDefault="00000000">
      <w:pPr>
        <w:pStyle w:val="BodyText"/>
        <w:spacing w:line="316" w:lineRule="exact"/>
      </w:pPr>
      <w:r>
        <w:t>even</w:t>
      </w:r>
      <w:r>
        <w:rPr>
          <w:spacing w:val="44"/>
        </w:rPr>
        <w:t xml:space="preserve"> </w:t>
      </w:r>
      <w:r>
        <w:t>though</w:t>
      </w:r>
      <w:r>
        <w:rPr>
          <w:spacing w:val="46"/>
        </w:rPr>
        <w:t xml:space="preserve"> </w:t>
      </w:r>
      <w:r>
        <w:t>he</w:t>
      </w:r>
      <w:r>
        <w:rPr>
          <w:spacing w:val="47"/>
        </w:rPr>
        <w:t xml:space="preserve"> </w:t>
      </w:r>
      <w:r>
        <w:t>was</w:t>
      </w:r>
      <w:r>
        <w:rPr>
          <w:spacing w:val="46"/>
        </w:rPr>
        <w:t xml:space="preserve"> </w:t>
      </w:r>
      <w:r>
        <w:t>an</w:t>
      </w:r>
      <w:r>
        <w:rPr>
          <w:spacing w:val="47"/>
        </w:rPr>
        <w:t xml:space="preserve"> </w:t>
      </w:r>
      <w:r>
        <w:t>exceptionally</w:t>
      </w:r>
      <w:r>
        <w:rPr>
          <w:spacing w:val="46"/>
        </w:rPr>
        <w:t xml:space="preserve"> </w:t>
      </w:r>
      <w:r>
        <w:t>intelligent</w:t>
      </w:r>
      <w:r>
        <w:rPr>
          <w:spacing w:val="46"/>
        </w:rPr>
        <w:t xml:space="preserve"> </w:t>
      </w:r>
      <w:r>
        <w:t>person</w:t>
      </w:r>
      <w:r>
        <w:rPr>
          <w:spacing w:val="47"/>
        </w:rPr>
        <w:t xml:space="preserve"> </w:t>
      </w:r>
      <w:r>
        <w:t>who</w:t>
      </w:r>
      <w:r>
        <w:rPr>
          <w:spacing w:val="46"/>
        </w:rPr>
        <w:t xml:space="preserve"> </w:t>
      </w:r>
      <w:r>
        <w:t>spoke</w:t>
      </w:r>
      <w:r>
        <w:rPr>
          <w:spacing w:val="47"/>
        </w:rPr>
        <w:t xml:space="preserve"> </w:t>
      </w:r>
      <w:r>
        <w:rPr>
          <w:spacing w:val="-2"/>
        </w:rPr>
        <w:t>perfect</w:t>
      </w:r>
    </w:p>
    <w:p w14:paraId="7E00145D" w14:textId="77777777" w:rsidR="009A58DB" w:rsidRDefault="00000000">
      <w:pPr>
        <w:pStyle w:val="BodyText"/>
        <w:spacing w:before="15" w:line="249" w:lineRule="auto"/>
        <w:ind w:right="359"/>
      </w:pPr>
      <w:r>
        <w:t>English. But that doesn’t matter. Here on Earth, there is a certain liquid x such that x is found in bathtubs, drinking glasses, lakes, and oceans, and such that that is referred to as “water.” That substance was referred to as “water” for many hundreds of years before anything was known about chemistry or, in particular, about the chemical composition of that substance. When,</w:t>
      </w:r>
      <w:r>
        <w:rPr>
          <w:spacing w:val="40"/>
        </w:rPr>
        <w:t xml:space="preserve"> </w:t>
      </w:r>
      <w:r>
        <w:t>finally,</w:t>
      </w:r>
      <w:r>
        <w:rPr>
          <w:spacing w:val="74"/>
          <w:w w:val="150"/>
        </w:rPr>
        <w:t xml:space="preserve"> </w:t>
      </w:r>
      <w:r>
        <w:t>that</w:t>
      </w:r>
      <w:r>
        <w:rPr>
          <w:spacing w:val="75"/>
          <w:w w:val="150"/>
        </w:rPr>
        <w:t xml:space="preserve"> </w:t>
      </w:r>
      <w:r>
        <w:t>substance</w:t>
      </w:r>
      <w:r>
        <w:rPr>
          <w:spacing w:val="75"/>
          <w:w w:val="150"/>
        </w:rPr>
        <w:t xml:space="preserve"> </w:t>
      </w:r>
      <w:r>
        <w:t>was</w:t>
      </w:r>
      <w:r>
        <w:rPr>
          <w:spacing w:val="75"/>
          <w:w w:val="150"/>
        </w:rPr>
        <w:t xml:space="preserve"> </w:t>
      </w:r>
      <w:r>
        <w:t>analyzed,</w:t>
      </w:r>
      <w:r>
        <w:rPr>
          <w:spacing w:val="75"/>
          <w:w w:val="150"/>
        </w:rPr>
        <w:t xml:space="preserve"> </w:t>
      </w:r>
      <w:r>
        <w:t>it</w:t>
      </w:r>
      <w:r>
        <w:rPr>
          <w:spacing w:val="75"/>
          <w:w w:val="150"/>
        </w:rPr>
        <w:t xml:space="preserve"> </w:t>
      </w:r>
      <w:r>
        <w:t>turned</w:t>
      </w:r>
      <w:r>
        <w:rPr>
          <w:spacing w:val="75"/>
          <w:w w:val="150"/>
        </w:rPr>
        <w:t xml:space="preserve"> </w:t>
      </w:r>
      <w:r>
        <w:t>out</w:t>
      </w:r>
      <w:r>
        <w:rPr>
          <w:spacing w:val="75"/>
          <w:w w:val="150"/>
        </w:rPr>
        <w:t xml:space="preserve"> </w:t>
      </w:r>
      <w:r>
        <w:t>to</w:t>
      </w:r>
      <w:r>
        <w:rPr>
          <w:spacing w:val="75"/>
          <w:w w:val="150"/>
        </w:rPr>
        <w:t xml:space="preserve"> </w:t>
      </w:r>
      <w:r>
        <w:t>consist</w:t>
      </w:r>
      <w:r>
        <w:rPr>
          <w:spacing w:val="75"/>
          <w:w w:val="150"/>
        </w:rPr>
        <w:t xml:space="preserve"> </w:t>
      </w:r>
      <w:r>
        <w:t>of</w:t>
      </w:r>
      <w:r>
        <w:rPr>
          <w:spacing w:val="75"/>
          <w:w w:val="150"/>
        </w:rPr>
        <w:t xml:space="preserve"> </w:t>
      </w:r>
      <w:r>
        <w:rPr>
          <w:spacing w:val="-5"/>
        </w:rPr>
        <w:t>H</w:t>
      </w:r>
      <w:r>
        <w:rPr>
          <w:spacing w:val="-5"/>
          <w:vertAlign w:val="subscript"/>
        </w:rPr>
        <w:t>2</w:t>
      </w:r>
      <w:r>
        <w:rPr>
          <w:spacing w:val="-5"/>
        </w:rPr>
        <w:t>O</w:t>
      </w:r>
    </w:p>
    <w:p w14:paraId="7E00145E" w14:textId="77777777" w:rsidR="009A58DB" w:rsidRDefault="00000000">
      <w:pPr>
        <w:pStyle w:val="BodyText"/>
        <w:spacing w:before="68"/>
      </w:pPr>
      <w:r>
        <w:t>molecules.</w:t>
      </w:r>
      <w:r>
        <w:rPr>
          <w:spacing w:val="-9"/>
        </w:rPr>
        <w:t xml:space="preserve"> </w:t>
      </w:r>
      <w:r>
        <w:rPr>
          <w:spacing w:val="-4"/>
        </w:rPr>
        <w:t>Thus,</w:t>
      </w:r>
    </w:p>
    <w:p w14:paraId="7E00145F" w14:textId="77777777" w:rsidR="009A58DB" w:rsidRDefault="009A58DB">
      <w:pPr>
        <w:pStyle w:val="BodyText"/>
        <w:spacing w:before="30"/>
        <w:ind w:left="0"/>
        <w:jc w:val="left"/>
      </w:pPr>
    </w:p>
    <w:p w14:paraId="7E001460" w14:textId="77777777" w:rsidR="009A58DB" w:rsidRDefault="00000000">
      <w:pPr>
        <w:pStyle w:val="BodyText"/>
        <w:spacing w:line="292" w:lineRule="auto"/>
        <w:ind w:right="361"/>
      </w:pPr>
      <w:r>
        <w:t>(WAT</w:t>
      </w:r>
      <w:r>
        <w:rPr>
          <w:vertAlign w:val="subscript"/>
        </w:rPr>
        <w:t>1</w:t>
      </w:r>
      <w:r>
        <w:t>) “there is some substance x such that x is found in bathtubs, drinking glasses, lakes, and oceans, and such that x consists of H</w:t>
      </w:r>
      <w:r>
        <w:rPr>
          <w:vertAlign w:val="subscript"/>
        </w:rPr>
        <w:t>2</w:t>
      </w:r>
      <w:r>
        <w:t>O molecules, and such that: ‘</w:t>
      </w:r>
      <w:r>
        <w:rPr>
          <w:i/>
        </w:rPr>
        <w:t>water’ refers to x.</w:t>
      </w:r>
      <w:r>
        <w:t>”</w:t>
      </w:r>
    </w:p>
    <w:p w14:paraId="7E001461" w14:textId="77777777" w:rsidR="009A58DB" w:rsidRDefault="00000000">
      <w:pPr>
        <w:pStyle w:val="BodyText"/>
        <w:spacing w:before="297" w:line="292" w:lineRule="auto"/>
        <w:ind w:right="359"/>
      </w:pPr>
      <w:r>
        <w:t>Of course, we now know that the substance referred to as “water” is H</w:t>
      </w:r>
      <w:r>
        <w:rPr>
          <w:vertAlign w:val="subscript"/>
        </w:rPr>
        <w:t>2</w:t>
      </w:r>
      <w:r>
        <w:t>O. And if we were to discover some substance that consisted of XYZ, not H</w:t>
      </w:r>
      <w:r>
        <w:rPr>
          <w:vertAlign w:val="subscript"/>
        </w:rPr>
        <w:t>2</w:t>
      </w:r>
      <w:r>
        <w:t>O,</w:t>
      </w:r>
    </w:p>
    <w:p w14:paraId="7E001462" w14:textId="77777777" w:rsidR="009A58DB" w:rsidRDefault="00000000">
      <w:pPr>
        <w:pStyle w:val="BodyText"/>
        <w:spacing w:line="249" w:lineRule="auto"/>
        <w:ind w:right="359"/>
      </w:pPr>
      <w:r>
        <w:t>but was otherwise just like water, at least as far as the conditions that are likely</w:t>
      </w:r>
      <w:r>
        <w:rPr>
          <w:spacing w:val="-3"/>
        </w:rPr>
        <w:t xml:space="preserve"> </w:t>
      </w:r>
      <w:r>
        <w:t>to</w:t>
      </w:r>
      <w:r>
        <w:rPr>
          <w:spacing w:val="-2"/>
        </w:rPr>
        <w:t xml:space="preserve"> </w:t>
      </w:r>
      <w:r>
        <w:t>obtain</w:t>
      </w:r>
      <w:r>
        <w:rPr>
          <w:spacing w:val="-2"/>
        </w:rPr>
        <w:t xml:space="preserve"> </w:t>
      </w:r>
      <w:r>
        <w:t>on</w:t>
      </w:r>
      <w:r>
        <w:rPr>
          <w:spacing w:val="-2"/>
        </w:rPr>
        <w:t xml:space="preserve"> </w:t>
      </w:r>
      <w:r>
        <w:t>the</w:t>
      </w:r>
      <w:r>
        <w:rPr>
          <w:spacing w:val="-2"/>
        </w:rPr>
        <w:t xml:space="preserve"> </w:t>
      </w:r>
      <w:r>
        <w:t>surface</w:t>
      </w:r>
      <w:r>
        <w:rPr>
          <w:spacing w:val="-2"/>
        </w:rPr>
        <w:t xml:space="preserve"> </w:t>
      </w:r>
      <w:r>
        <w:t>of</w:t>
      </w:r>
      <w:r>
        <w:rPr>
          <w:spacing w:val="-2"/>
        </w:rPr>
        <w:t xml:space="preserve"> </w:t>
      </w:r>
      <w:r>
        <w:t>the</w:t>
      </w:r>
      <w:r>
        <w:rPr>
          <w:spacing w:val="-2"/>
        </w:rPr>
        <w:t xml:space="preserve"> </w:t>
      </w:r>
      <w:r>
        <w:t>Earth</w:t>
      </w:r>
      <w:r>
        <w:rPr>
          <w:spacing w:val="-2"/>
        </w:rPr>
        <w:t xml:space="preserve"> </w:t>
      </w:r>
      <w:r>
        <w:t>are</w:t>
      </w:r>
      <w:r>
        <w:rPr>
          <w:spacing w:val="-2"/>
        </w:rPr>
        <w:t xml:space="preserve"> </w:t>
      </w:r>
      <w:r>
        <w:t>concerned,</w:t>
      </w:r>
      <w:r>
        <w:rPr>
          <w:spacing w:val="-2"/>
        </w:rPr>
        <w:t xml:space="preserve"> </w:t>
      </w:r>
      <w:r>
        <w:t>that</w:t>
      </w:r>
      <w:r>
        <w:rPr>
          <w:spacing w:val="-2"/>
        </w:rPr>
        <w:t xml:space="preserve"> </w:t>
      </w:r>
      <w:r>
        <w:t>other</w:t>
      </w:r>
      <w:r>
        <w:rPr>
          <w:spacing w:val="-2"/>
        </w:rPr>
        <w:t xml:space="preserve"> </w:t>
      </w:r>
      <w:r>
        <w:t>substance wouldn’t</w:t>
      </w:r>
      <w:r>
        <w:rPr>
          <w:spacing w:val="6"/>
        </w:rPr>
        <w:t xml:space="preserve"> </w:t>
      </w:r>
      <w:r>
        <w:t>be</w:t>
      </w:r>
      <w:r>
        <w:rPr>
          <w:spacing w:val="7"/>
        </w:rPr>
        <w:t xml:space="preserve"> </w:t>
      </w:r>
      <w:r>
        <w:t>H</w:t>
      </w:r>
      <w:r>
        <w:rPr>
          <w:vertAlign w:val="subscript"/>
        </w:rPr>
        <w:t>2</w:t>
      </w:r>
      <w:r>
        <w:t>O.</w:t>
      </w:r>
      <w:r>
        <w:rPr>
          <w:spacing w:val="11"/>
        </w:rPr>
        <w:t xml:space="preserve"> </w:t>
      </w:r>
      <w:r>
        <w:t>The</w:t>
      </w:r>
      <w:r>
        <w:rPr>
          <w:spacing w:val="12"/>
        </w:rPr>
        <w:t xml:space="preserve"> </w:t>
      </w:r>
      <w:r>
        <w:t>chemists</w:t>
      </w:r>
      <w:r>
        <w:rPr>
          <w:spacing w:val="11"/>
        </w:rPr>
        <w:t xml:space="preserve"> </w:t>
      </w:r>
      <w:r>
        <w:t>who</w:t>
      </w:r>
      <w:r>
        <w:rPr>
          <w:spacing w:val="11"/>
        </w:rPr>
        <w:t xml:space="preserve"> </w:t>
      </w:r>
      <w:r>
        <w:t>discovered</w:t>
      </w:r>
      <w:r>
        <w:rPr>
          <w:spacing w:val="12"/>
        </w:rPr>
        <w:t xml:space="preserve"> </w:t>
      </w:r>
      <w:r>
        <w:t>XYZ</w:t>
      </w:r>
      <w:r>
        <w:rPr>
          <w:spacing w:val="11"/>
        </w:rPr>
        <w:t xml:space="preserve"> </w:t>
      </w:r>
      <w:r>
        <w:t>would</w:t>
      </w:r>
      <w:r>
        <w:rPr>
          <w:spacing w:val="12"/>
        </w:rPr>
        <w:t xml:space="preserve"> </w:t>
      </w:r>
      <w:r>
        <w:rPr>
          <w:i/>
        </w:rPr>
        <w:t>not</w:t>
      </w:r>
      <w:r>
        <w:rPr>
          <w:i/>
          <w:spacing w:val="-1"/>
        </w:rPr>
        <w:t xml:space="preserve"> </w:t>
      </w:r>
      <w:r>
        <w:t>come</w:t>
      </w:r>
      <w:r>
        <w:rPr>
          <w:spacing w:val="13"/>
        </w:rPr>
        <w:t xml:space="preserve"> </w:t>
      </w:r>
      <w:r>
        <w:t>to</w:t>
      </w:r>
      <w:r>
        <w:rPr>
          <w:spacing w:val="14"/>
        </w:rPr>
        <w:t xml:space="preserve"> </w:t>
      </w:r>
      <w:r>
        <w:rPr>
          <w:spacing w:val="-5"/>
        </w:rPr>
        <w:t>the</w:t>
      </w:r>
    </w:p>
    <w:p w14:paraId="7E001463" w14:textId="77777777" w:rsidR="009A58DB" w:rsidRDefault="00000000">
      <w:pPr>
        <w:pStyle w:val="BodyText"/>
        <w:spacing w:before="62" w:line="292" w:lineRule="auto"/>
        <w:ind w:right="366"/>
      </w:pPr>
      <w:r>
        <w:t xml:space="preserve">conclusion that water is </w:t>
      </w:r>
      <w:r>
        <w:rPr>
          <w:i/>
        </w:rPr>
        <w:t xml:space="preserve">sometimes </w:t>
      </w:r>
      <w:r>
        <w:t>H</w:t>
      </w:r>
      <w:r>
        <w:rPr>
          <w:vertAlign w:val="subscript"/>
        </w:rPr>
        <w:t>2</w:t>
      </w:r>
      <w:r>
        <w:t xml:space="preserve">O and is sometimes XYZ. No—they’d say that water is </w:t>
      </w:r>
      <w:r>
        <w:rPr>
          <w:i/>
        </w:rPr>
        <w:t xml:space="preserve">always </w:t>
      </w:r>
      <w:r>
        <w:t>H</w:t>
      </w:r>
      <w:r>
        <w:rPr>
          <w:vertAlign w:val="subscript"/>
        </w:rPr>
        <w:t>2</w:t>
      </w:r>
      <w:r>
        <w:t>O, but that a different substance, namely XYZ, is extremely water-like, at least within certain horizons.</w:t>
      </w:r>
    </w:p>
    <w:p w14:paraId="7E001464" w14:textId="77777777" w:rsidR="009A58DB" w:rsidRDefault="00000000">
      <w:pPr>
        <w:pStyle w:val="BodyText"/>
        <w:spacing w:line="282" w:lineRule="exact"/>
        <w:ind w:left="720"/>
      </w:pPr>
      <w:r>
        <w:t>When</w:t>
      </w:r>
      <w:r>
        <w:rPr>
          <w:spacing w:val="70"/>
        </w:rPr>
        <w:t xml:space="preserve"> </w:t>
      </w:r>
      <w:r>
        <w:t>they</w:t>
      </w:r>
      <w:r>
        <w:rPr>
          <w:spacing w:val="71"/>
        </w:rPr>
        <w:t xml:space="preserve"> </w:t>
      </w:r>
      <w:r>
        <w:t>weren’t</w:t>
      </w:r>
      <w:r>
        <w:rPr>
          <w:spacing w:val="72"/>
        </w:rPr>
        <w:t xml:space="preserve"> </w:t>
      </w:r>
      <w:r>
        <w:t>referring</w:t>
      </w:r>
      <w:r>
        <w:rPr>
          <w:spacing w:val="71"/>
        </w:rPr>
        <w:t xml:space="preserve"> </w:t>
      </w:r>
      <w:r>
        <w:t>to</w:t>
      </w:r>
      <w:r>
        <w:rPr>
          <w:spacing w:val="72"/>
        </w:rPr>
        <w:t xml:space="preserve"> </w:t>
      </w:r>
      <w:r>
        <w:t>XYZ</w:t>
      </w:r>
      <w:r>
        <w:rPr>
          <w:spacing w:val="72"/>
        </w:rPr>
        <w:t xml:space="preserve"> </w:t>
      </w:r>
      <w:r>
        <w:t>by</w:t>
      </w:r>
      <w:r>
        <w:rPr>
          <w:spacing w:val="71"/>
        </w:rPr>
        <w:t xml:space="preserve"> </w:t>
      </w:r>
      <w:r>
        <w:t>its</w:t>
      </w:r>
      <w:r>
        <w:rPr>
          <w:spacing w:val="72"/>
        </w:rPr>
        <w:t xml:space="preserve"> </w:t>
      </w:r>
      <w:r>
        <w:t>chemical</w:t>
      </w:r>
      <w:r>
        <w:rPr>
          <w:spacing w:val="71"/>
        </w:rPr>
        <w:t xml:space="preserve"> </w:t>
      </w:r>
      <w:r>
        <w:t>name,</w:t>
      </w:r>
      <w:r>
        <w:rPr>
          <w:spacing w:val="72"/>
        </w:rPr>
        <w:t xml:space="preserve"> </w:t>
      </w:r>
      <w:r>
        <w:rPr>
          <w:spacing w:val="-2"/>
        </w:rPr>
        <w:t>chemists</w:t>
      </w:r>
    </w:p>
    <w:p w14:paraId="7E001465" w14:textId="77777777" w:rsidR="009A58DB" w:rsidRDefault="00000000">
      <w:pPr>
        <w:pStyle w:val="BodyText"/>
        <w:spacing w:before="15" w:line="249" w:lineRule="auto"/>
        <w:ind w:right="360"/>
      </w:pPr>
      <w:r>
        <w:t>would</w:t>
      </w:r>
      <w:r>
        <w:rPr>
          <w:spacing w:val="-2"/>
        </w:rPr>
        <w:t xml:space="preserve"> </w:t>
      </w:r>
      <w:r>
        <w:rPr>
          <w:i/>
        </w:rPr>
        <w:t>not</w:t>
      </w:r>
      <w:r>
        <w:rPr>
          <w:i/>
          <w:spacing w:val="-3"/>
        </w:rPr>
        <w:t xml:space="preserve"> </w:t>
      </w:r>
      <w:r>
        <w:t>refer</w:t>
      </w:r>
      <w:r>
        <w:rPr>
          <w:spacing w:val="-3"/>
        </w:rPr>
        <w:t xml:space="preserve"> </w:t>
      </w:r>
      <w:r>
        <w:t>to</w:t>
      </w:r>
      <w:r>
        <w:rPr>
          <w:spacing w:val="-2"/>
        </w:rPr>
        <w:t xml:space="preserve"> </w:t>
      </w:r>
      <w:r>
        <w:t>it</w:t>
      </w:r>
      <w:r>
        <w:rPr>
          <w:spacing w:val="-3"/>
        </w:rPr>
        <w:t xml:space="preserve"> </w:t>
      </w:r>
      <w:r>
        <w:t>as</w:t>
      </w:r>
      <w:r>
        <w:rPr>
          <w:spacing w:val="-3"/>
        </w:rPr>
        <w:t xml:space="preserve"> </w:t>
      </w:r>
      <w:r>
        <w:t>“water.”</w:t>
      </w:r>
      <w:r>
        <w:rPr>
          <w:spacing w:val="-3"/>
        </w:rPr>
        <w:t xml:space="preserve"> </w:t>
      </w:r>
      <w:r>
        <w:t>Maybe</w:t>
      </w:r>
      <w:r>
        <w:rPr>
          <w:spacing w:val="-3"/>
        </w:rPr>
        <w:t xml:space="preserve"> </w:t>
      </w:r>
      <w:r>
        <w:t>they’d</w:t>
      </w:r>
      <w:r>
        <w:rPr>
          <w:spacing w:val="-2"/>
        </w:rPr>
        <w:t xml:space="preserve"> </w:t>
      </w:r>
      <w:r>
        <w:t>refer</w:t>
      </w:r>
      <w:r>
        <w:rPr>
          <w:spacing w:val="-3"/>
        </w:rPr>
        <w:t xml:space="preserve"> </w:t>
      </w:r>
      <w:r>
        <w:t>to</w:t>
      </w:r>
      <w:r>
        <w:rPr>
          <w:spacing w:val="-2"/>
        </w:rPr>
        <w:t xml:space="preserve"> </w:t>
      </w:r>
      <w:r>
        <w:t>it</w:t>
      </w:r>
      <w:r>
        <w:rPr>
          <w:spacing w:val="-3"/>
        </w:rPr>
        <w:t xml:space="preserve"> </w:t>
      </w:r>
      <w:r>
        <w:t>as</w:t>
      </w:r>
      <w:r>
        <w:rPr>
          <w:spacing w:val="-3"/>
        </w:rPr>
        <w:t xml:space="preserve"> </w:t>
      </w:r>
      <w:r>
        <w:t>“pseudo-water”</w:t>
      </w:r>
      <w:r>
        <w:rPr>
          <w:spacing w:val="-3"/>
        </w:rPr>
        <w:t xml:space="preserve"> </w:t>
      </w:r>
      <w:r>
        <w:t xml:space="preserve">or as “fool’s water”—but not “water.” This practice of theirs wouldn’t be a case of hair-splitting pedantry. If chemists </w:t>
      </w:r>
      <w:r>
        <w:rPr>
          <w:i/>
        </w:rPr>
        <w:t xml:space="preserve">did </w:t>
      </w:r>
      <w:r>
        <w:t>refer to this other substance as “water,” their doing so would violate beliefs that are deeply embedded in common sense. Even the most philistine, intellectually narrow human being desperately wants real diamonds, not zirconium imitation diamonds, and thus</w:t>
      </w:r>
    </w:p>
    <w:p w14:paraId="7E00146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67" w14:textId="77777777" w:rsidR="009A58DB" w:rsidRDefault="00000000">
      <w:pPr>
        <w:pStyle w:val="BodyText"/>
        <w:spacing w:before="65" w:line="249" w:lineRule="auto"/>
        <w:ind w:right="358"/>
      </w:pPr>
      <w:r>
        <w:lastRenderedPageBreak/>
        <w:t>knows that being diamond-</w:t>
      </w:r>
      <w:r>
        <w:rPr>
          <w:i/>
        </w:rPr>
        <w:t xml:space="preserve">like </w:t>
      </w:r>
      <w:r>
        <w:t>isn’t the same thing as being a diamond. Similarly, everybody knows that being water-</w:t>
      </w:r>
      <w:r>
        <w:rPr>
          <w:i/>
        </w:rPr>
        <w:t xml:space="preserve">like </w:t>
      </w:r>
      <w:r>
        <w:t>isn’t the same thing as being</w:t>
      </w:r>
      <w:r>
        <w:rPr>
          <w:spacing w:val="-3"/>
        </w:rPr>
        <w:t xml:space="preserve"> </w:t>
      </w:r>
      <w:r>
        <w:t>real</w:t>
      </w:r>
      <w:r>
        <w:rPr>
          <w:spacing w:val="-2"/>
        </w:rPr>
        <w:t xml:space="preserve"> </w:t>
      </w:r>
      <w:r>
        <w:t>water.</w:t>
      </w:r>
      <w:r>
        <w:rPr>
          <w:spacing w:val="-2"/>
        </w:rPr>
        <w:t xml:space="preserve"> </w:t>
      </w:r>
      <w:r>
        <w:t>And</w:t>
      </w:r>
      <w:r>
        <w:rPr>
          <w:spacing w:val="-2"/>
        </w:rPr>
        <w:t xml:space="preserve"> </w:t>
      </w:r>
      <w:r>
        <w:t>even</w:t>
      </w:r>
      <w:r>
        <w:rPr>
          <w:spacing w:val="-2"/>
        </w:rPr>
        <w:t xml:space="preserve"> </w:t>
      </w:r>
      <w:r>
        <w:t>if</w:t>
      </w:r>
      <w:r>
        <w:rPr>
          <w:spacing w:val="-2"/>
        </w:rPr>
        <w:t xml:space="preserve"> </w:t>
      </w:r>
      <w:r>
        <w:t>some</w:t>
      </w:r>
      <w:r>
        <w:rPr>
          <w:spacing w:val="-2"/>
        </w:rPr>
        <w:t xml:space="preserve"> </w:t>
      </w:r>
      <w:r>
        <w:t>people</w:t>
      </w:r>
      <w:r>
        <w:rPr>
          <w:spacing w:val="-2"/>
        </w:rPr>
        <w:t xml:space="preserve"> </w:t>
      </w:r>
      <w:r>
        <w:t>don’t</w:t>
      </w:r>
      <w:r>
        <w:rPr>
          <w:spacing w:val="-2"/>
        </w:rPr>
        <w:t xml:space="preserve"> </w:t>
      </w:r>
      <w:r>
        <w:t>know</w:t>
      </w:r>
      <w:r>
        <w:rPr>
          <w:spacing w:val="-2"/>
        </w:rPr>
        <w:t xml:space="preserve"> </w:t>
      </w:r>
      <w:r>
        <w:t>it,</w:t>
      </w:r>
      <w:r>
        <w:rPr>
          <w:spacing w:val="-2"/>
        </w:rPr>
        <w:t xml:space="preserve"> </w:t>
      </w:r>
      <w:r>
        <w:t>they’d</w:t>
      </w:r>
      <w:r>
        <w:rPr>
          <w:spacing w:val="-2"/>
        </w:rPr>
        <w:t xml:space="preserve"> </w:t>
      </w:r>
      <w:r>
        <w:t>quickly</w:t>
      </w:r>
      <w:r>
        <w:rPr>
          <w:spacing w:val="-2"/>
        </w:rPr>
        <w:t xml:space="preserve"> </w:t>
      </w:r>
      <w:r>
        <w:t xml:space="preserve">learn it, no matter how scientifically uninformed they were, if the distinction between water and XYZ became a financially significant one, like the distinction between diamonds and chunks of zirconium paste that resemble </w:t>
      </w:r>
      <w:r>
        <w:rPr>
          <w:spacing w:val="-2"/>
        </w:rPr>
        <w:t>diamonds.</w:t>
      </w:r>
    </w:p>
    <w:p w14:paraId="7E001468" w14:textId="77777777" w:rsidR="009A58DB" w:rsidRDefault="00000000">
      <w:pPr>
        <w:pStyle w:val="BodyText"/>
        <w:spacing w:before="8" w:line="271" w:lineRule="auto"/>
        <w:ind w:right="362" w:firstLine="360"/>
      </w:pPr>
      <w:r>
        <w:t xml:space="preserve">For the same reasons </w:t>
      </w:r>
      <w:r>
        <w:rPr>
          <w:i/>
        </w:rPr>
        <w:t xml:space="preserve">mutatis mutandis, </w:t>
      </w:r>
      <w:r>
        <w:t>on Twin-Earth “water” would refer to XYZ, not H</w:t>
      </w:r>
      <w:r>
        <w:rPr>
          <w:vertAlign w:val="subscript"/>
        </w:rPr>
        <w:t>2</w:t>
      </w:r>
      <w:r>
        <w:t xml:space="preserve">O. And it would </w:t>
      </w:r>
      <w:r>
        <w:rPr>
          <w:i/>
        </w:rPr>
        <w:t xml:space="preserve">always </w:t>
      </w:r>
      <w:r>
        <w:t>have referred to XYZ—even before scientists on their planet discovered its chemical composition.</w:t>
      </w:r>
    </w:p>
    <w:p w14:paraId="7E001469" w14:textId="77777777" w:rsidR="009A58DB" w:rsidRDefault="00000000">
      <w:pPr>
        <w:pStyle w:val="BodyText"/>
        <w:spacing w:line="316" w:lineRule="exact"/>
        <w:ind w:left="720"/>
      </w:pPr>
      <w:r>
        <w:t>Before</w:t>
      </w:r>
      <w:r>
        <w:rPr>
          <w:spacing w:val="-6"/>
        </w:rPr>
        <w:t xml:space="preserve"> </w:t>
      </w:r>
      <w:r>
        <w:t>proceeding,</w:t>
      </w:r>
      <w:r>
        <w:rPr>
          <w:spacing w:val="-3"/>
        </w:rPr>
        <w:t xml:space="preserve"> </w:t>
      </w:r>
      <w:r>
        <w:t>let’s</w:t>
      </w:r>
      <w:r>
        <w:rPr>
          <w:spacing w:val="-3"/>
        </w:rPr>
        <w:t xml:space="preserve"> </w:t>
      </w:r>
      <w:r>
        <w:t>deal</w:t>
      </w:r>
      <w:r>
        <w:rPr>
          <w:spacing w:val="-4"/>
        </w:rPr>
        <w:t xml:space="preserve"> </w:t>
      </w:r>
      <w:r>
        <w:t>with</w:t>
      </w:r>
      <w:r>
        <w:rPr>
          <w:spacing w:val="-3"/>
        </w:rPr>
        <w:t xml:space="preserve"> </w:t>
      </w:r>
      <w:r>
        <w:t>an</w:t>
      </w:r>
      <w:r>
        <w:rPr>
          <w:spacing w:val="-2"/>
        </w:rPr>
        <w:t xml:space="preserve"> </w:t>
      </w:r>
      <w:r>
        <w:t>objection</w:t>
      </w:r>
      <w:r>
        <w:rPr>
          <w:spacing w:val="-3"/>
        </w:rPr>
        <w:t xml:space="preserve"> </w:t>
      </w:r>
      <w:r>
        <w:t>that</w:t>
      </w:r>
      <w:r>
        <w:rPr>
          <w:spacing w:val="-4"/>
        </w:rPr>
        <w:t xml:space="preserve"> </w:t>
      </w:r>
      <w:r>
        <w:t>is</w:t>
      </w:r>
      <w:r>
        <w:rPr>
          <w:spacing w:val="-3"/>
        </w:rPr>
        <w:t xml:space="preserve"> </w:t>
      </w:r>
      <w:r>
        <w:t>likely</w:t>
      </w:r>
      <w:r>
        <w:rPr>
          <w:spacing w:val="-3"/>
        </w:rPr>
        <w:t xml:space="preserve"> </w:t>
      </w:r>
      <w:r>
        <w:t>to</w:t>
      </w:r>
      <w:r>
        <w:rPr>
          <w:spacing w:val="-3"/>
        </w:rPr>
        <w:t xml:space="preserve"> </w:t>
      </w:r>
      <w:r>
        <w:t>be</w:t>
      </w:r>
      <w:r>
        <w:rPr>
          <w:spacing w:val="-3"/>
        </w:rPr>
        <w:t xml:space="preserve"> </w:t>
      </w:r>
      <w:r>
        <w:rPr>
          <w:spacing w:val="-2"/>
        </w:rPr>
        <w:t>heard:</w:t>
      </w:r>
    </w:p>
    <w:p w14:paraId="7E00146A" w14:textId="77777777" w:rsidR="009A58DB" w:rsidRDefault="009A58DB">
      <w:pPr>
        <w:pStyle w:val="BodyText"/>
        <w:spacing w:before="30"/>
        <w:ind w:left="0"/>
        <w:jc w:val="left"/>
      </w:pPr>
    </w:p>
    <w:p w14:paraId="7E00146B" w14:textId="77777777" w:rsidR="009A58DB" w:rsidRDefault="00000000">
      <w:pPr>
        <w:pStyle w:val="BodyText"/>
        <w:spacing w:line="249" w:lineRule="auto"/>
        <w:ind w:left="720" w:right="720"/>
      </w:pPr>
      <w:r>
        <w:t xml:space="preserve">An English-speaking physical chemist obviously knows a lot about water that other English speakers don’t. But what the physical chemist knows that other English speakers don’t has nothing to do with the English language or, therefore, with </w:t>
      </w:r>
      <w:r>
        <w:rPr>
          <w:i/>
        </w:rPr>
        <w:t xml:space="preserve">semantics. </w:t>
      </w:r>
      <w:r>
        <w:t xml:space="preserve">Given only that somebody doesn’t have a PhD in physical chemistry, it doesn’t follow that they have any </w:t>
      </w:r>
      <w:r>
        <w:rPr>
          <w:i/>
        </w:rPr>
        <w:t xml:space="preserve">linguistic </w:t>
      </w:r>
      <w:r>
        <w:t xml:space="preserve">deficits—that they don’t </w:t>
      </w:r>
      <w:r>
        <w:rPr>
          <w:i/>
        </w:rPr>
        <w:t xml:space="preserve">really </w:t>
      </w:r>
      <w:r>
        <w:t>know the identities of the semantic rules governing expressions like “water,” “gold,” “lead,” etc. This is all quite uncontroversial.</w:t>
      </w:r>
    </w:p>
    <w:p w14:paraId="7E00146C" w14:textId="77777777" w:rsidR="009A58DB" w:rsidRDefault="00000000">
      <w:pPr>
        <w:pStyle w:val="BodyText"/>
        <w:spacing w:before="10" w:line="249" w:lineRule="auto"/>
        <w:ind w:left="720" w:right="718" w:firstLine="360"/>
      </w:pPr>
      <w:r>
        <w:t>But it’s inconsistent with the view you (speaking on Putnam’s behalf) are advocating. You say that, for something to be water, it isn’t enough that it have certain macro-characteristics: it must have a</w:t>
      </w:r>
      <w:r>
        <w:rPr>
          <w:spacing w:val="40"/>
        </w:rPr>
        <w:t xml:space="preserve"> </w:t>
      </w:r>
      <w:r>
        <w:t>specific</w:t>
      </w:r>
      <w:r>
        <w:rPr>
          <w:spacing w:val="1"/>
        </w:rPr>
        <w:t xml:space="preserve"> </w:t>
      </w:r>
      <w:r>
        <w:t>chemical</w:t>
      </w:r>
      <w:r>
        <w:rPr>
          <w:spacing w:val="1"/>
        </w:rPr>
        <w:t xml:space="preserve"> </w:t>
      </w:r>
      <w:r>
        <w:t>composition—it</w:t>
      </w:r>
      <w:r>
        <w:rPr>
          <w:spacing w:val="1"/>
        </w:rPr>
        <w:t xml:space="preserve"> </w:t>
      </w:r>
      <w:r>
        <w:t>must</w:t>
      </w:r>
      <w:r>
        <w:rPr>
          <w:spacing w:val="1"/>
        </w:rPr>
        <w:t xml:space="preserve"> </w:t>
      </w:r>
      <w:r>
        <w:t>be</w:t>
      </w:r>
      <w:r>
        <w:rPr>
          <w:spacing w:val="1"/>
        </w:rPr>
        <w:t xml:space="preserve"> </w:t>
      </w:r>
      <w:r>
        <w:t>H</w:t>
      </w:r>
      <w:r>
        <w:rPr>
          <w:vertAlign w:val="subscript"/>
        </w:rPr>
        <w:t>2</w:t>
      </w:r>
      <w:r>
        <w:t>O.</w:t>
      </w:r>
      <w:r>
        <w:rPr>
          <w:spacing w:val="1"/>
        </w:rPr>
        <w:t xml:space="preserve"> </w:t>
      </w:r>
      <w:r>
        <w:t>Given</w:t>
      </w:r>
      <w:r>
        <w:rPr>
          <w:spacing w:val="2"/>
        </w:rPr>
        <w:t xml:space="preserve"> </w:t>
      </w:r>
      <w:r>
        <w:t>that,</w:t>
      </w:r>
      <w:r>
        <w:rPr>
          <w:spacing w:val="2"/>
        </w:rPr>
        <w:t xml:space="preserve"> </w:t>
      </w:r>
      <w:r>
        <w:t>as</w:t>
      </w:r>
      <w:r>
        <w:rPr>
          <w:spacing w:val="2"/>
        </w:rPr>
        <w:t xml:space="preserve"> </w:t>
      </w:r>
      <w:r>
        <w:t>a</w:t>
      </w:r>
      <w:r>
        <w:rPr>
          <w:spacing w:val="1"/>
        </w:rPr>
        <w:t xml:space="preserve"> </w:t>
      </w:r>
      <w:r>
        <w:rPr>
          <w:spacing w:val="-2"/>
        </w:rPr>
        <w:t>matter</w:t>
      </w:r>
    </w:p>
    <w:p w14:paraId="7E00146D" w14:textId="77777777" w:rsidR="009A58DB" w:rsidRDefault="00000000">
      <w:pPr>
        <w:pStyle w:val="BodyText"/>
        <w:spacing w:before="65" w:line="271" w:lineRule="auto"/>
        <w:ind w:left="720" w:right="725"/>
      </w:pPr>
      <w:r>
        <w:t>of</w:t>
      </w:r>
      <w:r>
        <w:rPr>
          <w:spacing w:val="-4"/>
        </w:rPr>
        <w:t xml:space="preserve"> </w:t>
      </w:r>
      <w:r>
        <w:t>semantics,</w:t>
      </w:r>
      <w:r>
        <w:rPr>
          <w:spacing w:val="-3"/>
        </w:rPr>
        <w:t xml:space="preserve"> </w:t>
      </w:r>
      <w:r>
        <w:t>“water”</w:t>
      </w:r>
      <w:r>
        <w:rPr>
          <w:spacing w:val="-4"/>
        </w:rPr>
        <w:t xml:space="preserve"> </w:t>
      </w:r>
      <w:r>
        <w:t>refers</w:t>
      </w:r>
      <w:r>
        <w:rPr>
          <w:spacing w:val="-4"/>
        </w:rPr>
        <w:t xml:space="preserve"> </w:t>
      </w:r>
      <w:r>
        <w:t>to</w:t>
      </w:r>
      <w:r>
        <w:rPr>
          <w:spacing w:val="-3"/>
        </w:rPr>
        <w:t xml:space="preserve"> </w:t>
      </w:r>
      <w:r>
        <w:t>water,</w:t>
      </w:r>
      <w:r>
        <w:rPr>
          <w:spacing w:val="-3"/>
        </w:rPr>
        <w:t xml:space="preserve"> </w:t>
      </w:r>
      <w:r>
        <w:t>what</w:t>
      </w:r>
      <w:r>
        <w:rPr>
          <w:spacing w:val="-4"/>
        </w:rPr>
        <w:t xml:space="preserve"> </w:t>
      </w:r>
      <w:r>
        <w:t>you’re</w:t>
      </w:r>
      <w:r>
        <w:rPr>
          <w:spacing w:val="-4"/>
        </w:rPr>
        <w:t xml:space="preserve"> </w:t>
      </w:r>
      <w:r>
        <w:t>saying</w:t>
      </w:r>
      <w:r>
        <w:rPr>
          <w:spacing w:val="-3"/>
        </w:rPr>
        <w:t xml:space="preserve"> </w:t>
      </w:r>
      <w:r>
        <w:t>entails</w:t>
      </w:r>
      <w:r>
        <w:rPr>
          <w:spacing w:val="-4"/>
        </w:rPr>
        <w:t xml:space="preserve"> </w:t>
      </w:r>
      <w:r>
        <w:t>that,</w:t>
      </w:r>
      <w:r>
        <w:rPr>
          <w:spacing w:val="-3"/>
        </w:rPr>
        <w:t xml:space="preserve"> </w:t>
      </w:r>
      <w:r>
        <w:t>as a matter of semantics, “water” refers to H</w:t>
      </w:r>
      <w:r>
        <w:rPr>
          <w:vertAlign w:val="subscript"/>
        </w:rPr>
        <w:t>2</w:t>
      </w:r>
      <w:r>
        <w:t>O. But if that were right, one couldn’t</w:t>
      </w:r>
      <w:r>
        <w:rPr>
          <w:spacing w:val="53"/>
        </w:rPr>
        <w:t xml:space="preserve"> </w:t>
      </w:r>
      <w:r>
        <w:t>master</w:t>
      </w:r>
      <w:r>
        <w:rPr>
          <w:spacing w:val="53"/>
        </w:rPr>
        <w:t xml:space="preserve"> </w:t>
      </w:r>
      <w:r>
        <w:t>the</w:t>
      </w:r>
      <w:r>
        <w:rPr>
          <w:spacing w:val="53"/>
        </w:rPr>
        <w:t xml:space="preserve"> </w:t>
      </w:r>
      <w:r>
        <w:t>English</w:t>
      </w:r>
      <w:r>
        <w:rPr>
          <w:spacing w:val="54"/>
        </w:rPr>
        <w:t xml:space="preserve"> </w:t>
      </w:r>
      <w:r>
        <w:t>language</w:t>
      </w:r>
      <w:r>
        <w:rPr>
          <w:spacing w:val="53"/>
        </w:rPr>
        <w:t xml:space="preserve"> </w:t>
      </w:r>
      <w:r>
        <w:t>without</w:t>
      </w:r>
      <w:r>
        <w:rPr>
          <w:spacing w:val="53"/>
        </w:rPr>
        <w:t xml:space="preserve"> </w:t>
      </w:r>
      <w:r>
        <w:t>knowing</w:t>
      </w:r>
      <w:r>
        <w:rPr>
          <w:spacing w:val="53"/>
        </w:rPr>
        <w:t xml:space="preserve"> </w:t>
      </w:r>
      <w:r>
        <w:t>the</w:t>
      </w:r>
      <w:r>
        <w:rPr>
          <w:spacing w:val="54"/>
        </w:rPr>
        <w:t xml:space="preserve"> </w:t>
      </w:r>
      <w:r>
        <w:rPr>
          <w:spacing w:val="-2"/>
        </w:rPr>
        <w:t>chemical</w:t>
      </w:r>
    </w:p>
    <w:p w14:paraId="7E00146E" w14:textId="77777777" w:rsidR="009A58DB" w:rsidRDefault="00000000">
      <w:pPr>
        <w:pStyle w:val="BodyText"/>
        <w:spacing w:line="316" w:lineRule="exact"/>
        <w:ind w:left="720"/>
      </w:pPr>
      <w:r>
        <w:t>composition</w:t>
      </w:r>
      <w:r>
        <w:rPr>
          <w:spacing w:val="33"/>
        </w:rPr>
        <w:t xml:space="preserve"> </w:t>
      </w:r>
      <w:r>
        <w:t>of</w:t>
      </w:r>
      <w:r>
        <w:rPr>
          <w:spacing w:val="36"/>
        </w:rPr>
        <w:t xml:space="preserve"> </w:t>
      </w:r>
      <w:r>
        <w:t>water</w:t>
      </w:r>
      <w:r>
        <w:rPr>
          <w:spacing w:val="36"/>
        </w:rPr>
        <w:t xml:space="preserve"> </w:t>
      </w:r>
      <w:r>
        <w:t>or,</w:t>
      </w:r>
      <w:r>
        <w:rPr>
          <w:spacing w:val="36"/>
        </w:rPr>
        <w:t xml:space="preserve"> </w:t>
      </w:r>
      <w:r>
        <w:t>by</w:t>
      </w:r>
      <w:r>
        <w:rPr>
          <w:spacing w:val="37"/>
        </w:rPr>
        <w:t xml:space="preserve"> </w:t>
      </w:r>
      <w:r>
        <w:t>obvious</w:t>
      </w:r>
      <w:r>
        <w:rPr>
          <w:spacing w:val="35"/>
        </w:rPr>
        <w:t xml:space="preserve"> </w:t>
      </w:r>
      <w:r>
        <w:t>extensions</w:t>
      </w:r>
      <w:r>
        <w:rPr>
          <w:spacing w:val="36"/>
        </w:rPr>
        <w:t xml:space="preserve"> </w:t>
      </w:r>
      <w:r>
        <w:t>of</w:t>
      </w:r>
      <w:r>
        <w:rPr>
          <w:spacing w:val="36"/>
        </w:rPr>
        <w:t xml:space="preserve"> </w:t>
      </w:r>
      <w:r>
        <w:t>this</w:t>
      </w:r>
      <w:r>
        <w:rPr>
          <w:spacing w:val="36"/>
        </w:rPr>
        <w:t xml:space="preserve"> </w:t>
      </w:r>
      <w:r>
        <w:t>argument,</w:t>
      </w:r>
      <w:r>
        <w:rPr>
          <w:spacing w:val="37"/>
        </w:rPr>
        <w:t xml:space="preserve"> </w:t>
      </w:r>
      <w:r>
        <w:rPr>
          <w:spacing w:val="-5"/>
        </w:rPr>
        <w:t>the</w:t>
      </w:r>
    </w:p>
    <w:p w14:paraId="7E00146F" w14:textId="77777777" w:rsidR="009A58DB" w:rsidRDefault="00000000">
      <w:pPr>
        <w:pStyle w:val="BodyText"/>
        <w:spacing w:before="15"/>
        <w:ind w:left="720"/>
      </w:pPr>
      <w:r>
        <w:t>chemical</w:t>
      </w:r>
      <w:r>
        <w:rPr>
          <w:spacing w:val="-6"/>
        </w:rPr>
        <w:t xml:space="preserve"> </w:t>
      </w:r>
      <w:r>
        <w:t>composition</w:t>
      </w:r>
      <w:r>
        <w:rPr>
          <w:spacing w:val="-3"/>
        </w:rPr>
        <w:t xml:space="preserve"> </w:t>
      </w:r>
      <w:r>
        <w:t>of</w:t>
      </w:r>
      <w:r>
        <w:rPr>
          <w:spacing w:val="-4"/>
        </w:rPr>
        <w:t xml:space="preserve"> </w:t>
      </w:r>
      <w:r>
        <w:t>gold</w:t>
      </w:r>
      <w:r>
        <w:rPr>
          <w:spacing w:val="-3"/>
        </w:rPr>
        <w:t xml:space="preserve"> </w:t>
      </w:r>
      <w:r>
        <w:t>or</w:t>
      </w:r>
      <w:r>
        <w:rPr>
          <w:spacing w:val="-4"/>
        </w:rPr>
        <w:t xml:space="preserve"> </w:t>
      </w:r>
      <w:r>
        <w:t>aluminum.</w:t>
      </w:r>
      <w:r>
        <w:rPr>
          <w:spacing w:val="-3"/>
        </w:rPr>
        <w:t xml:space="preserve"> </w:t>
      </w:r>
      <w:r>
        <w:t>But</w:t>
      </w:r>
      <w:r>
        <w:rPr>
          <w:spacing w:val="-4"/>
        </w:rPr>
        <w:t xml:space="preserve"> </w:t>
      </w:r>
      <w:r>
        <w:t>that’s</w:t>
      </w:r>
      <w:r>
        <w:rPr>
          <w:spacing w:val="-3"/>
        </w:rPr>
        <w:t xml:space="preserve"> </w:t>
      </w:r>
      <w:r>
        <w:rPr>
          <w:spacing w:val="-2"/>
        </w:rPr>
        <w:t>preposterous.</w:t>
      </w:r>
    </w:p>
    <w:p w14:paraId="7E001470" w14:textId="77777777" w:rsidR="009A58DB" w:rsidRDefault="009A58DB">
      <w:pPr>
        <w:pStyle w:val="BodyText"/>
        <w:spacing w:before="30"/>
        <w:ind w:left="0"/>
        <w:jc w:val="left"/>
      </w:pPr>
    </w:p>
    <w:p w14:paraId="7E001471" w14:textId="77777777" w:rsidR="009A58DB" w:rsidRDefault="00000000">
      <w:pPr>
        <w:pStyle w:val="BodyText"/>
        <w:spacing w:line="249" w:lineRule="auto"/>
        <w:ind w:right="364" w:firstLine="360"/>
      </w:pPr>
      <w:r>
        <w:t>One doesn’t have to know anything about chemistry to have a complete mastery of English (or any other natural language), and it would be preposterous to deny that. But the view I’m describing doesn’t have that consequence. There is some individual x such that the semantic rule for the expression “Barack Obama” is to the effect that:</w:t>
      </w:r>
    </w:p>
    <w:p w14:paraId="7E00147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73" w14:textId="77777777" w:rsidR="009A58DB" w:rsidRDefault="00000000">
      <w:pPr>
        <w:pStyle w:val="BodyText"/>
        <w:spacing w:before="65"/>
      </w:pPr>
      <w:r>
        <w:lastRenderedPageBreak/>
        <w:t>(BO)</w:t>
      </w:r>
      <w:r>
        <w:rPr>
          <w:spacing w:val="-7"/>
        </w:rPr>
        <w:t xml:space="preserve"> </w:t>
      </w:r>
      <w:r>
        <w:t>“Barack</w:t>
      </w:r>
      <w:r>
        <w:rPr>
          <w:spacing w:val="-4"/>
        </w:rPr>
        <w:t xml:space="preserve"> </w:t>
      </w:r>
      <w:r>
        <w:t>Obama</w:t>
      </w:r>
      <w:r>
        <w:rPr>
          <w:spacing w:val="-4"/>
        </w:rPr>
        <w:t xml:space="preserve"> </w:t>
      </w:r>
      <w:r>
        <w:t>refers</w:t>
      </w:r>
      <w:r>
        <w:rPr>
          <w:spacing w:val="-5"/>
        </w:rPr>
        <w:t xml:space="preserve"> </w:t>
      </w:r>
      <w:r>
        <w:t>to</w:t>
      </w:r>
      <w:r>
        <w:rPr>
          <w:spacing w:val="-3"/>
        </w:rPr>
        <w:t xml:space="preserve"> </w:t>
      </w:r>
      <w:r>
        <w:rPr>
          <w:spacing w:val="-5"/>
        </w:rPr>
        <w:t>x.”</w:t>
      </w:r>
    </w:p>
    <w:p w14:paraId="7E001474" w14:textId="77777777" w:rsidR="009A58DB" w:rsidRDefault="009A58DB">
      <w:pPr>
        <w:pStyle w:val="BodyText"/>
        <w:spacing w:before="29"/>
        <w:ind w:left="0"/>
        <w:jc w:val="left"/>
      </w:pPr>
    </w:p>
    <w:p w14:paraId="7E001475" w14:textId="77777777" w:rsidR="009A58DB" w:rsidRDefault="00000000">
      <w:pPr>
        <w:pStyle w:val="BodyText"/>
        <w:spacing w:before="1" w:line="249" w:lineRule="auto"/>
        <w:ind w:right="358"/>
      </w:pPr>
      <w:r>
        <w:t>BO</w:t>
      </w:r>
      <w:r>
        <w:rPr>
          <w:spacing w:val="-3"/>
        </w:rPr>
        <w:t xml:space="preserve"> </w:t>
      </w:r>
      <w:r>
        <w:t>pairs</w:t>
      </w:r>
      <w:r>
        <w:rPr>
          <w:spacing w:val="-2"/>
        </w:rPr>
        <w:t xml:space="preserve"> </w:t>
      </w:r>
      <w:r>
        <w:t>off</w:t>
      </w:r>
      <w:r>
        <w:rPr>
          <w:spacing w:val="-2"/>
        </w:rPr>
        <w:t xml:space="preserve"> </w:t>
      </w:r>
      <w:r>
        <w:t>a</w:t>
      </w:r>
      <w:r>
        <w:rPr>
          <w:spacing w:val="-2"/>
        </w:rPr>
        <w:t xml:space="preserve"> </w:t>
      </w:r>
      <w:r>
        <w:t>name</w:t>
      </w:r>
      <w:r>
        <w:rPr>
          <w:spacing w:val="-2"/>
        </w:rPr>
        <w:t xml:space="preserve"> </w:t>
      </w:r>
      <w:r>
        <w:t>with</w:t>
      </w:r>
      <w:r>
        <w:rPr>
          <w:spacing w:val="-2"/>
        </w:rPr>
        <w:t xml:space="preserve"> </w:t>
      </w:r>
      <w:r>
        <w:t>an</w:t>
      </w:r>
      <w:r>
        <w:rPr>
          <w:spacing w:val="-2"/>
        </w:rPr>
        <w:t xml:space="preserve"> </w:t>
      </w:r>
      <w:r>
        <w:t>individual.</w:t>
      </w:r>
      <w:r>
        <w:rPr>
          <w:spacing w:val="-2"/>
        </w:rPr>
        <w:t xml:space="preserve"> </w:t>
      </w:r>
      <w:r>
        <w:t>If</w:t>
      </w:r>
      <w:r>
        <w:rPr>
          <w:spacing w:val="-2"/>
        </w:rPr>
        <w:t xml:space="preserve"> </w:t>
      </w:r>
      <w:r>
        <w:t>one</w:t>
      </w:r>
      <w:r>
        <w:rPr>
          <w:spacing w:val="-2"/>
        </w:rPr>
        <w:t xml:space="preserve"> </w:t>
      </w:r>
      <w:r>
        <w:t>doesn’t</w:t>
      </w:r>
      <w:r>
        <w:rPr>
          <w:spacing w:val="-2"/>
        </w:rPr>
        <w:t xml:space="preserve"> </w:t>
      </w:r>
      <w:r>
        <w:t>know</w:t>
      </w:r>
      <w:r>
        <w:rPr>
          <w:spacing w:val="-2"/>
        </w:rPr>
        <w:t xml:space="preserve"> </w:t>
      </w:r>
      <w:r>
        <w:t>which</w:t>
      </w:r>
      <w:r>
        <w:rPr>
          <w:spacing w:val="-2"/>
        </w:rPr>
        <w:t xml:space="preserve"> </w:t>
      </w:r>
      <w:r>
        <w:t>individual that is, then one doesn’t know the semantic rule for “Barack Obama” and, therefore, one doesn’t know all of the semantic rules constitutive of the English language in 2009.</w:t>
      </w:r>
    </w:p>
    <w:p w14:paraId="7E001476" w14:textId="77777777" w:rsidR="009A58DB" w:rsidRDefault="00000000">
      <w:pPr>
        <w:pStyle w:val="BodyText"/>
        <w:spacing w:before="5" w:line="249" w:lineRule="auto"/>
        <w:ind w:right="360" w:firstLine="360"/>
      </w:pPr>
      <w:r>
        <w:t>But there are infinitely many ways of singling out any given entity. This is a consequence of the fact that, as a matter of logic, any given object uniquely satisfies infinitely many different descriptions. Let P be the region of space you were occupying the instant you began reading this sentence, and let t be that</w:t>
      </w:r>
      <w:r>
        <w:rPr>
          <w:spacing w:val="-2"/>
        </w:rPr>
        <w:t xml:space="preserve"> </w:t>
      </w:r>
      <w:r>
        <w:t>instant.</w:t>
      </w:r>
      <w:r>
        <w:rPr>
          <w:spacing w:val="-2"/>
        </w:rPr>
        <w:t xml:space="preserve"> </w:t>
      </w:r>
      <w:r>
        <w:t>You</w:t>
      </w:r>
      <w:r>
        <w:rPr>
          <w:spacing w:val="-2"/>
        </w:rPr>
        <w:t xml:space="preserve"> </w:t>
      </w:r>
      <w:r>
        <w:t>uniquely</w:t>
      </w:r>
      <w:r>
        <w:rPr>
          <w:spacing w:val="-2"/>
        </w:rPr>
        <w:t xml:space="preserve"> </w:t>
      </w:r>
      <w:r>
        <w:t>satisfy</w:t>
      </w:r>
      <w:r>
        <w:rPr>
          <w:spacing w:val="-2"/>
        </w:rPr>
        <w:t xml:space="preserve"> </w:t>
      </w:r>
      <w:r>
        <w:t>each</w:t>
      </w:r>
      <w:r>
        <w:rPr>
          <w:spacing w:val="-2"/>
        </w:rPr>
        <w:t xml:space="preserve"> </w:t>
      </w:r>
      <w:r>
        <w:t>of</w:t>
      </w:r>
      <w:r>
        <w:rPr>
          <w:spacing w:val="-2"/>
        </w:rPr>
        <w:t xml:space="preserve"> </w:t>
      </w:r>
      <w:r>
        <w:t>the</w:t>
      </w:r>
      <w:r>
        <w:rPr>
          <w:spacing w:val="-2"/>
        </w:rPr>
        <w:t xml:space="preserve"> </w:t>
      </w:r>
      <w:r>
        <w:t>following</w:t>
      </w:r>
      <w:r>
        <w:rPr>
          <w:spacing w:val="-2"/>
        </w:rPr>
        <w:t xml:space="preserve"> </w:t>
      </w:r>
      <w:r>
        <w:t>predicates:</w:t>
      </w:r>
      <w:r>
        <w:rPr>
          <w:spacing w:val="-2"/>
        </w:rPr>
        <w:t xml:space="preserve"> </w:t>
      </w:r>
      <w:r>
        <w:t>“thing</w:t>
      </w:r>
      <w:r>
        <w:rPr>
          <w:spacing w:val="-2"/>
        </w:rPr>
        <w:t xml:space="preserve"> </w:t>
      </w:r>
      <w:r>
        <w:t>that occupied p one minute before time t + one minute,” “thing that occupied p two minutes before time t + two minutes,” and so on. We’ll henceforth abbreviate the first of these predicates as “P</w:t>
      </w:r>
      <w:r>
        <w:rPr>
          <w:vertAlign w:val="subscript"/>
        </w:rPr>
        <w:t>1</w:t>
      </w:r>
      <w:r>
        <w:t>,” the second as “P</w:t>
      </w:r>
      <w:r>
        <w:rPr>
          <w:vertAlign w:val="subscript"/>
        </w:rPr>
        <w:t>2</w:t>
      </w:r>
      <w:r>
        <w:t>,” etc.</w:t>
      </w:r>
    </w:p>
    <w:p w14:paraId="7E001477" w14:textId="77777777" w:rsidR="009A58DB" w:rsidRDefault="00000000">
      <w:pPr>
        <w:pStyle w:val="BodyText"/>
        <w:spacing w:before="69" w:line="271" w:lineRule="auto"/>
        <w:ind w:right="363" w:firstLine="360"/>
      </w:pPr>
      <w:r>
        <w:t>For argument’s sake, let’s suppose that your name is “Jack Jones.” There is some x such that x uniquely satisfies each of P</w:t>
      </w:r>
      <w:r>
        <w:rPr>
          <w:vertAlign w:val="subscript"/>
        </w:rPr>
        <w:t>1</w:t>
      </w:r>
      <w:r>
        <w:t>, P</w:t>
      </w:r>
      <w:r>
        <w:rPr>
          <w:vertAlign w:val="subscript"/>
        </w:rPr>
        <w:t>2</w:t>
      </w:r>
      <w:r>
        <w:t>, P</w:t>
      </w:r>
      <w:r>
        <w:rPr>
          <w:vertAlign w:val="subscript"/>
        </w:rPr>
        <w:t>3</w:t>
      </w:r>
      <w:r>
        <w:t>, etc., and such that, in</w:t>
      </w:r>
      <w:r>
        <w:rPr>
          <w:spacing w:val="3"/>
        </w:rPr>
        <w:t xml:space="preserve"> </w:t>
      </w:r>
      <w:r>
        <w:t>order</w:t>
      </w:r>
      <w:r>
        <w:rPr>
          <w:spacing w:val="4"/>
        </w:rPr>
        <w:t xml:space="preserve"> </w:t>
      </w:r>
      <w:r>
        <w:t>to</w:t>
      </w:r>
      <w:r>
        <w:rPr>
          <w:spacing w:val="4"/>
        </w:rPr>
        <w:t xml:space="preserve"> </w:t>
      </w:r>
      <w:r>
        <w:t>the</w:t>
      </w:r>
      <w:r>
        <w:rPr>
          <w:spacing w:val="4"/>
        </w:rPr>
        <w:t xml:space="preserve"> </w:t>
      </w:r>
      <w:r>
        <w:t>know</w:t>
      </w:r>
      <w:r>
        <w:rPr>
          <w:spacing w:val="4"/>
        </w:rPr>
        <w:t xml:space="preserve"> </w:t>
      </w:r>
      <w:r>
        <w:t>semantic</w:t>
      </w:r>
      <w:r>
        <w:rPr>
          <w:spacing w:val="3"/>
        </w:rPr>
        <w:t xml:space="preserve"> </w:t>
      </w:r>
      <w:r>
        <w:t>rule</w:t>
      </w:r>
      <w:r>
        <w:rPr>
          <w:spacing w:val="4"/>
        </w:rPr>
        <w:t xml:space="preserve"> </w:t>
      </w:r>
      <w:r>
        <w:t>governing</w:t>
      </w:r>
      <w:r>
        <w:rPr>
          <w:spacing w:val="4"/>
        </w:rPr>
        <w:t xml:space="preserve"> </w:t>
      </w:r>
      <w:r>
        <w:t>that</w:t>
      </w:r>
      <w:r>
        <w:rPr>
          <w:spacing w:val="3"/>
        </w:rPr>
        <w:t xml:space="preserve"> </w:t>
      </w:r>
      <w:r>
        <w:t>expression,</w:t>
      </w:r>
      <w:r>
        <w:rPr>
          <w:spacing w:val="4"/>
        </w:rPr>
        <w:t xml:space="preserve"> </w:t>
      </w:r>
      <w:r>
        <w:t>one</w:t>
      </w:r>
      <w:r>
        <w:rPr>
          <w:spacing w:val="4"/>
        </w:rPr>
        <w:t xml:space="preserve"> </w:t>
      </w:r>
      <w:r>
        <w:t>must</w:t>
      </w:r>
      <w:r>
        <w:rPr>
          <w:spacing w:val="4"/>
        </w:rPr>
        <w:t xml:space="preserve"> </w:t>
      </w:r>
      <w:r>
        <w:rPr>
          <w:spacing w:val="-4"/>
        </w:rPr>
        <w:t>know</w:t>
      </w:r>
    </w:p>
    <w:p w14:paraId="7E001478" w14:textId="77777777" w:rsidR="009A58DB" w:rsidRDefault="00000000">
      <w:pPr>
        <w:pStyle w:val="BodyText"/>
        <w:spacing w:line="316" w:lineRule="exact"/>
        <w:jc w:val="left"/>
      </w:pPr>
      <w:r>
        <w:rPr>
          <w:spacing w:val="-2"/>
        </w:rPr>
        <w:t>that:</w:t>
      </w:r>
    </w:p>
    <w:p w14:paraId="7E001479" w14:textId="77777777" w:rsidR="009A58DB" w:rsidRDefault="009A58DB">
      <w:pPr>
        <w:pStyle w:val="BodyText"/>
        <w:spacing w:before="30"/>
        <w:ind w:left="0"/>
        <w:jc w:val="left"/>
      </w:pPr>
    </w:p>
    <w:p w14:paraId="7E00147A" w14:textId="77777777" w:rsidR="009A58DB" w:rsidRDefault="00000000">
      <w:pPr>
        <w:pStyle w:val="BodyText"/>
        <w:spacing w:before="1" w:line="501" w:lineRule="auto"/>
        <w:ind w:right="6167"/>
        <w:jc w:val="left"/>
      </w:pPr>
      <w:r>
        <w:t>(JJ)</w:t>
      </w:r>
      <w:r>
        <w:rPr>
          <w:spacing w:val="-9"/>
        </w:rPr>
        <w:t xml:space="preserve"> </w:t>
      </w:r>
      <w:r>
        <w:t>“Jack</w:t>
      </w:r>
      <w:r>
        <w:rPr>
          <w:spacing w:val="-8"/>
        </w:rPr>
        <w:t xml:space="preserve"> </w:t>
      </w:r>
      <w:r>
        <w:t>Jones</w:t>
      </w:r>
      <w:r>
        <w:rPr>
          <w:spacing w:val="-9"/>
        </w:rPr>
        <w:t xml:space="preserve"> </w:t>
      </w:r>
      <w:r>
        <w:t>refers</w:t>
      </w:r>
      <w:r>
        <w:rPr>
          <w:spacing w:val="-9"/>
        </w:rPr>
        <w:t xml:space="preserve"> </w:t>
      </w:r>
      <w:r>
        <w:t>to</w:t>
      </w:r>
      <w:r>
        <w:rPr>
          <w:spacing w:val="-8"/>
        </w:rPr>
        <w:t xml:space="preserve"> </w:t>
      </w:r>
      <w:r>
        <w:t>x.” If Smith knows that:</w:t>
      </w:r>
    </w:p>
    <w:p w14:paraId="7E00147B" w14:textId="77777777" w:rsidR="009A58DB" w:rsidRDefault="00000000">
      <w:pPr>
        <w:spacing w:line="249" w:lineRule="auto"/>
        <w:ind w:left="360"/>
        <w:rPr>
          <w:i/>
          <w:sz w:val="30"/>
        </w:rPr>
      </w:pPr>
      <w:r>
        <w:rPr>
          <w:sz w:val="30"/>
        </w:rPr>
        <w:t>(JJ</w:t>
      </w:r>
      <w:r>
        <w:rPr>
          <w:position w:val="-7"/>
        </w:rPr>
        <w:t>75</w:t>
      </w:r>
      <w:r>
        <w:rPr>
          <w:sz w:val="30"/>
        </w:rPr>
        <w:t>) there is some x such that x uniquely satisfies P</w:t>
      </w:r>
      <w:r>
        <w:rPr>
          <w:position w:val="-7"/>
        </w:rPr>
        <w:t>75</w:t>
      </w:r>
      <w:r>
        <w:rPr>
          <w:spacing w:val="40"/>
          <w:position w:val="-7"/>
        </w:rPr>
        <w:t xml:space="preserve"> </w:t>
      </w:r>
      <w:r>
        <w:rPr>
          <w:sz w:val="30"/>
        </w:rPr>
        <w:t>and such that: “</w:t>
      </w:r>
      <w:r>
        <w:rPr>
          <w:i/>
          <w:sz w:val="30"/>
        </w:rPr>
        <w:t>Jack</w:t>
      </w:r>
      <w:r>
        <w:rPr>
          <w:i/>
          <w:spacing w:val="40"/>
          <w:sz w:val="30"/>
        </w:rPr>
        <w:t xml:space="preserve"> </w:t>
      </w:r>
      <w:r>
        <w:rPr>
          <w:i/>
          <w:sz w:val="30"/>
        </w:rPr>
        <w:t>Jones” refers to x</w:t>
      </w:r>
    </w:p>
    <w:p w14:paraId="7E00147C" w14:textId="77777777" w:rsidR="009A58DB" w:rsidRDefault="00000000">
      <w:pPr>
        <w:pStyle w:val="BodyText"/>
        <w:spacing w:line="345" w:lineRule="exact"/>
        <w:jc w:val="left"/>
      </w:pPr>
      <w:r>
        <w:t>and</w:t>
      </w:r>
      <w:r>
        <w:rPr>
          <w:spacing w:val="-2"/>
        </w:rPr>
        <w:t xml:space="preserve"> </w:t>
      </w:r>
      <w:r>
        <w:t>Jones</w:t>
      </w:r>
      <w:r>
        <w:rPr>
          <w:spacing w:val="-2"/>
        </w:rPr>
        <w:t xml:space="preserve"> </w:t>
      </w:r>
      <w:r>
        <w:t>knows</w:t>
      </w:r>
      <w:r>
        <w:rPr>
          <w:spacing w:val="-2"/>
        </w:rPr>
        <w:t xml:space="preserve"> that:</w:t>
      </w:r>
    </w:p>
    <w:p w14:paraId="7E00147D" w14:textId="77777777" w:rsidR="009A58DB" w:rsidRDefault="009A58DB">
      <w:pPr>
        <w:pStyle w:val="BodyText"/>
        <w:spacing w:before="27"/>
        <w:ind w:left="0"/>
        <w:jc w:val="left"/>
      </w:pPr>
    </w:p>
    <w:p w14:paraId="7E00147E" w14:textId="77777777" w:rsidR="009A58DB" w:rsidRDefault="00000000">
      <w:pPr>
        <w:spacing w:before="1" w:line="249" w:lineRule="auto"/>
        <w:ind w:left="360"/>
        <w:rPr>
          <w:i/>
          <w:sz w:val="30"/>
        </w:rPr>
      </w:pPr>
      <w:r>
        <w:rPr>
          <w:sz w:val="30"/>
        </w:rPr>
        <w:t>(JJ</w:t>
      </w:r>
      <w:r>
        <w:rPr>
          <w:position w:val="-7"/>
        </w:rPr>
        <w:t>143</w:t>
      </w:r>
      <w:r>
        <w:rPr>
          <w:sz w:val="30"/>
        </w:rPr>
        <w:t>) there is some x such that x uniquely satisfies P</w:t>
      </w:r>
      <w:r>
        <w:rPr>
          <w:position w:val="-7"/>
        </w:rPr>
        <w:t>143</w:t>
      </w:r>
      <w:r>
        <w:rPr>
          <w:spacing w:val="25"/>
          <w:position w:val="-7"/>
        </w:rPr>
        <w:t xml:space="preserve"> </w:t>
      </w:r>
      <w:r>
        <w:rPr>
          <w:sz w:val="30"/>
        </w:rPr>
        <w:t>and such that: “</w:t>
      </w:r>
      <w:r>
        <w:rPr>
          <w:i/>
          <w:sz w:val="30"/>
        </w:rPr>
        <w:t>Jack Jones” refers to x</w:t>
      </w:r>
    </w:p>
    <w:p w14:paraId="7E00147F" w14:textId="77777777" w:rsidR="009A58DB" w:rsidRDefault="009A58DB">
      <w:pPr>
        <w:pStyle w:val="BodyText"/>
        <w:spacing w:before="14"/>
        <w:ind w:left="0"/>
        <w:jc w:val="left"/>
        <w:rPr>
          <w:i/>
        </w:rPr>
      </w:pPr>
    </w:p>
    <w:p w14:paraId="7E001480" w14:textId="77777777" w:rsidR="009A58DB" w:rsidRDefault="00000000">
      <w:pPr>
        <w:pStyle w:val="BodyText"/>
        <w:spacing w:line="249" w:lineRule="auto"/>
        <w:ind w:right="359"/>
      </w:pPr>
      <w:r>
        <w:t>Smith and Jones are, to that extent, in complete semantic accord. There is some</w:t>
      </w:r>
      <w:r>
        <w:rPr>
          <w:spacing w:val="-3"/>
        </w:rPr>
        <w:t xml:space="preserve"> </w:t>
      </w:r>
      <w:r>
        <w:t>one</w:t>
      </w:r>
      <w:r>
        <w:rPr>
          <w:spacing w:val="-3"/>
        </w:rPr>
        <w:t xml:space="preserve"> </w:t>
      </w:r>
      <w:r>
        <w:t>x</w:t>
      </w:r>
      <w:r>
        <w:rPr>
          <w:spacing w:val="-2"/>
        </w:rPr>
        <w:t xml:space="preserve"> </w:t>
      </w:r>
      <w:r>
        <w:t>such</w:t>
      </w:r>
      <w:r>
        <w:rPr>
          <w:spacing w:val="-2"/>
        </w:rPr>
        <w:t xml:space="preserve"> </w:t>
      </w:r>
      <w:r>
        <w:t>that</w:t>
      </w:r>
      <w:r>
        <w:rPr>
          <w:spacing w:val="-3"/>
        </w:rPr>
        <w:t xml:space="preserve"> </w:t>
      </w:r>
      <w:r>
        <w:t>x</w:t>
      </w:r>
      <w:r>
        <w:rPr>
          <w:spacing w:val="-2"/>
        </w:rPr>
        <w:t xml:space="preserve"> </w:t>
      </w:r>
      <w:r>
        <w:t>satisfies</w:t>
      </w:r>
      <w:r>
        <w:rPr>
          <w:spacing w:val="-3"/>
        </w:rPr>
        <w:t xml:space="preserve"> </w:t>
      </w:r>
      <w:r>
        <w:t>each</w:t>
      </w:r>
      <w:r>
        <w:rPr>
          <w:spacing w:val="-2"/>
        </w:rPr>
        <w:t xml:space="preserve"> </w:t>
      </w:r>
      <w:r>
        <w:t>of</w:t>
      </w:r>
      <w:r>
        <w:rPr>
          <w:spacing w:val="-3"/>
        </w:rPr>
        <w:t xml:space="preserve"> </w:t>
      </w:r>
      <w:r>
        <w:t>P</w:t>
      </w:r>
      <w:r>
        <w:rPr>
          <w:position w:val="-7"/>
          <w:sz w:val="22"/>
        </w:rPr>
        <w:t xml:space="preserve">75 </w:t>
      </w:r>
      <w:r>
        <w:t>and</w:t>
      </w:r>
      <w:r>
        <w:rPr>
          <w:spacing w:val="-2"/>
        </w:rPr>
        <w:t xml:space="preserve"> </w:t>
      </w:r>
      <w:r>
        <w:t>P</w:t>
      </w:r>
      <w:r>
        <w:rPr>
          <w:position w:val="-7"/>
          <w:sz w:val="22"/>
        </w:rPr>
        <w:t>143</w:t>
      </w:r>
      <w:r>
        <w:t>, and such that, given any property psi, when Smith says:</w:t>
      </w:r>
    </w:p>
    <w:p w14:paraId="7E001481"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482" w14:textId="77777777" w:rsidR="009A58DB" w:rsidRDefault="00000000">
      <w:pPr>
        <w:pStyle w:val="BodyText"/>
        <w:spacing w:before="65" w:line="542" w:lineRule="auto"/>
        <w:ind w:right="6578"/>
        <w:jc w:val="left"/>
      </w:pPr>
      <w:r>
        <w:lastRenderedPageBreak/>
        <w:t>(JJ</w:t>
      </w:r>
      <w:r>
        <w:rPr>
          <w:vertAlign w:val="subscript"/>
        </w:rPr>
        <w:t>1</w:t>
      </w:r>
      <w:r>
        <w:t>)</w:t>
      </w:r>
      <w:r>
        <w:rPr>
          <w:spacing w:val="-6"/>
        </w:rPr>
        <w:t xml:space="preserve"> </w:t>
      </w:r>
      <w:r>
        <w:t>‹Jack</w:t>
      </w:r>
      <w:r>
        <w:rPr>
          <w:spacing w:val="-5"/>
        </w:rPr>
        <w:t xml:space="preserve"> </w:t>
      </w:r>
      <w:r>
        <w:t>Jones</w:t>
      </w:r>
      <w:r>
        <w:rPr>
          <w:spacing w:val="-6"/>
        </w:rPr>
        <w:t xml:space="preserve"> </w:t>
      </w:r>
      <w:r>
        <w:t>has</w:t>
      </w:r>
      <w:r>
        <w:rPr>
          <w:spacing w:val="-6"/>
        </w:rPr>
        <w:t xml:space="preserve"> </w:t>
      </w:r>
      <w:r>
        <w:t>psi› he is affirming that</w:t>
      </w:r>
    </w:p>
    <w:p w14:paraId="7E001483" w14:textId="77777777" w:rsidR="009A58DB" w:rsidRDefault="00000000">
      <w:pPr>
        <w:pStyle w:val="BodyText"/>
        <w:spacing w:line="286" w:lineRule="exact"/>
        <w:jc w:val="left"/>
      </w:pPr>
      <w:r>
        <w:t>(JJ</w:t>
      </w:r>
      <w:r>
        <w:rPr>
          <w:vertAlign w:val="subscript"/>
        </w:rPr>
        <w:t>2</w:t>
      </w:r>
      <w:r>
        <w:t>)</w:t>
      </w:r>
      <w:r>
        <w:rPr>
          <w:spacing w:val="4"/>
        </w:rPr>
        <w:t xml:space="preserve"> </w:t>
      </w:r>
      <w:r>
        <w:t>x</w:t>
      </w:r>
      <w:r>
        <w:rPr>
          <w:spacing w:val="5"/>
        </w:rPr>
        <w:t xml:space="preserve"> </w:t>
      </w:r>
      <w:r>
        <w:t>has</w:t>
      </w:r>
      <w:r>
        <w:rPr>
          <w:spacing w:val="4"/>
        </w:rPr>
        <w:t xml:space="preserve"> </w:t>
      </w:r>
      <w:r>
        <w:rPr>
          <w:spacing w:val="-4"/>
        </w:rPr>
        <w:t>psi,</w:t>
      </w:r>
    </w:p>
    <w:p w14:paraId="7E001484" w14:textId="77777777" w:rsidR="009A58DB" w:rsidRDefault="009A58DB">
      <w:pPr>
        <w:pStyle w:val="BodyText"/>
        <w:spacing w:before="89"/>
        <w:ind w:left="0"/>
        <w:jc w:val="left"/>
      </w:pPr>
    </w:p>
    <w:p w14:paraId="7E001485" w14:textId="77777777" w:rsidR="009A58DB" w:rsidRDefault="00000000">
      <w:pPr>
        <w:pStyle w:val="BodyText"/>
        <w:spacing w:before="1" w:line="292" w:lineRule="auto"/>
        <w:ind w:right="361"/>
      </w:pPr>
      <w:r>
        <w:t>and</w:t>
      </w:r>
      <w:r>
        <w:rPr>
          <w:spacing w:val="-1"/>
        </w:rPr>
        <w:t xml:space="preserve"> </w:t>
      </w:r>
      <w:r>
        <w:t>such</w:t>
      </w:r>
      <w:r>
        <w:rPr>
          <w:spacing w:val="-1"/>
        </w:rPr>
        <w:t xml:space="preserve"> </w:t>
      </w:r>
      <w:r>
        <w:t>that</w:t>
      </w:r>
      <w:r>
        <w:rPr>
          <w:spacing w:val="-2"/>
        </w:rPr>
        <w:t xml:space="preserve"> </w:t>
      </w:r>
      <w:r>
        <w:t>when</w:t>
      </w:r>
      <w:r>
        <w:rPr>
          <w:spacing w:val="-1"/>
        </w:rPr>
        <w:t xml:space="preserve"> </w:t>
      </w:r>
      <w:r>
        <w:t>Jones</w:t>
      </w:r>
      <w:r>
        <w:rPr>
          <w:spacing w:val="-2"/>
        </w:rPr>
        <w:t xml:space="preserve"> </w:t>
      </w:r>
      <w:r>
        <w:t>utters</w:t>
      </w:r>
      <w:r>
        <w:rPr>
          <w:spacing w:val="-2"/>
        </w:rPr>
        <w:t xml:space="preserve"> </w:t>
      </w:r>
      <w:r>
        <w:t>JJ</w:t>
      </w:r>
      <w:r>
        <w:rPr>
          <w:vertAlign w:val="subscript"/>
        </w:rPr>
        <w:t>1</w:t>
      </w:r>
      <w:r>
        <w:t>, he too is affirming that x has psi. Further, it</w:t>
      </w:r>
      <w:r>
        <w:rPr>
          <w:spacing w:val="-1"/>
        </w:rPr>
        <w:t xml:space="preserve"> </w:t>
      </w:r>
      <w:r>
        <w:t>is</w:t>
      </w:r>
      <w:r>
        <w:rPr>
          <w:spacing w:val="-1"/>
        </w:rPr>
        <w:t xml:space="preserve"> </w:t>
      </w:r>
      <w:r>
        <w:t>each individual’s</w:t>
      </w:r>
      <w:r>
        <w:rPr>
          <w:spacing w:val="-1"/>
        </w:rPr>
        <w:t xml:space="preserve"> </w:t>
      </w:r>
      <w:r>
        <w:rPr>
          <w:i/>
        </w:rPr>
        <w:t xml:space="preserve">intention </w:t>
      </w:r>
      <w:r>
        <w:t>in uttering JJ</w:t>
      </w:r>
      <w:r>
        <w:rPr>
          <w:vertAlign w:val="subscript"/>
        </w:rPr>
        <w:t>1</w:t>
      </w:r>
      <w:r>
        <w:t xml:space="preserve"> to affirm JJ</w:t>
      </w:r>
      <w:r>
        <w:rPr>
          <w:vertAlign w:val="subscript"/>
        </w:rPr>
        <w:t>2</w:t>
      </w:r>
      <w:r>
        <w:t>. What each wishes</w:t>
      </w:r>
    </w:p>
    <w:p w14:paraId="7E001486" w14:textId="77777777" w:rsidR="009A58DB" w:rsidRDefault="00000000">
      <w:pPr>
        <w:pStyle w:val="BodyText"/>
        <w:spacing w:line="249" w:lineRule="auto"/>
        <w:ind w:right="364"/>
      </w:pPr>
      <w:r>
        <w:t>to do is to attribute psi to some person—nothing more. Neither wants to say anything about his way of thinking about that person. Neither wishes to say</w:t>
      </w:r>
      <w:r>
        <w:rPr>
          <w:spacing w:val="40"/>
        </w:rPr>
        <w:t xml:space="preserve"> </w:t>
      </w:r>
      <w:r>
        <w:t>of P</w:t>
      </w:r>
      <w:r>
        <w:rPr>
          <w:position w:val="-7"/>
          <w:sz w:val="22"/>
        </w:rPr>
        <w:t>75</w:t>
      </w:r>
      <w:r>
        <w:rPr>
          <w:spacing w:val="33"/>
          <w:position w:val="-7"/>
          <w:sz w:val="22"/>
        </w:rPr>
        <w:t xml:space="preserve"> </w:t>
      </w:r>
      <w:r>
        <w:t>or P</w:t>
      </w:r>
      <w:r>
        <w:rPr>
          <w:position w:val="-7"/>
          <w:sz w:val="22"/>
        </w:rPr>
        <w:t>143</w:t>
      </w:r>
      <w:r>
        <w:rPr>
          <w:spacing w:val="36"/>
          <w:position w:val="-7"/>
          <w:sz w:val="22"/>
        </w:rPr>
        <w:t xml:space="preserve"> </w:t>
      </w:r>
      <w:r>
        <w:t>or any other property that it is uniquely instantiated or that all its instances are psis.</w:t>
      </w:r>
    </w:p>
    <w:p w14:paraId="7E001487" w14:textId="77777777" w:rsidR="009A58DB" w:rsidRDefault="00000000">
      <w:pPr>
        <w:pStyle w:val="BodyText"/>
        <w:spacing w:line="249" w:lineRule="auto"/>
        <w:ind w:right="366" w:firstLine="360"/>
      </w:pPr>
      <w:r>
        <w:t>Points exactly similar to those just made about “Jack Jones” hold with respect to “water.” At time t, bathtub B is filled with pure water, on which your rubber ducky is floating. Your mother points to that B and says:</w:t>
      </w:r>
    </w:p>
    <w:p w14:paraId="7E001488" w14:textId="77777777" w:rsidR="009A58DB" w:rsidRDefault="009A58DB">
      <w:pPr>
        <w:pStyle w:val="BodyText"/>
        <w:spacing w:before="19"/>
        <w:ind w:left="0"/>
        <w:jc w:val="left"/>
      </w:pPr>
    </w:p>
    <w:p w14:paraId="7E001489" w14:textId="77777777" w:rsidR="009A58DB" w:rsidRDefault="00000000">
      <w:pPr>
        <w:pStyle w:val="BodyText"/>
      </w:pPr>
      <w:r>
        <w:t>(*)</w:t>
      </w:r>
      <w:r>
        <w:rPr>
          <w:spacing w:val="-5"/>
        </w:rPr>
        <w:t xml:space="preserve"> </w:t>
      </w:r>
      <w:r>
        <w:t>The</w:t>
      </w:r>
      <w:r>
        <w:rPr>
          <w:spacing w:val="-2"/>
        </w:rPr>
        <w:t xml:space="preserve"> </w:t>
      </w:r>
      <w:r>
        <w:t>liquid</w:t>
      </w:r>
      <w:r>
        <w:rPr>
          <w:spacing w:val="-1"/>
        </w:rPr>
        <w:t xml:space="preserve"> </w:t>
      </w:r>
      <w:r>
        <w:t>in</w:t>
      </w:r>
      <w:r>
        <w:rPr>
          <w:spacing w:val="-1"/>
        </w:rPr>
        <w:t xml:space="preserve"> </w:t>
      </w:r>
      <w:r>
        <w:t>the</w:t>
      </w:r>
      <w:r>
        <w:rPr>
          <w:spacing w:val="-3"/>
        </w:rPr>
        <w:t xml:space="preserve"> </w:t>
      </w:r>
      <w:r>
        <w:t>tub</w:t>
      </w:r>
      <w:r>
        <w:rPr>
          <w:spacing w:val="-1"/>
        </w:rPr>
        <w:t xml:space="preserve"> </w:t>
      </w:r>
      <w:r>
        <w:t>is</w:t>
      </w:r>
      <w:r>
        <w:rPr>
          <w:spacing w:val="-2"/>
        </w:rPr>
        <w:t xml:space="preserve"> </w:t>
      </w:r>
      <w:r>
        <w:t>known</w:t>
      </w:r>
      <w:r>
        <w:rPr>
          <w:spacing w:val="-1"/>
        </w:rPr>
        <w:t xml:space="preserve"> </w:t>
      </w:r>
      <w:r>
        <w:t>as</w:t>
      </w:r>
      <w:r>
        <w:rPr>
          <w:spacing w:val="-2"/>
        </w:rPr>
        <w:t xml:space="preserve"> “water.”</w:t>
      </w:r>
    </w:p>
    <w:p w14:paraId="7E00148A" w14:textId="77777777" w:rsidR="009A58DB" w:rsidRDefault="009A58DB">
      <w:pPr>
        <w:pStyle w:val="BodyText"/>
        <w:spacing w:before="30"/>
        <w:ind w:left="0"/>
        <w:jc w:val="left"/>
      </w:pPr>
    </w:p>
    <w:p w14:paraId="7E00148B" w14:textId="77777777" w:rsidR="009A58DB" w:rsidRDefault="00000000">
      <w:pPr>
        <w:pStyle w:val="BodyText"/>
        <w:spacing w:line="249" w:lineRule="auto"/>
        <w:ind w:right="365"/>
      </w:pPr>
      <w:r>
        <w:t>A few days later, at time t*, you burn your finger in scalding water. Given that water is H</w:t>
      </w:r>
      <w:r>
        <w:rPr>
          <w:vertAlign w:val="subscript"/>
        </w:rPr>
        <w:t>2</w:t>
      </w:r>
      <w:r>
        <w:t>O, it follows that each of the following statements is true:</w:t>
      </w:r>
    </w:p>
    <w:p w14:paraId="7E00148C" w14:textId="77777777" w:rsidR="009A58DB" w:rsidRDefault="009A58DB">
      <w:pPr>
        <w:pStyle w:val="BodyText"/>
        <w:spacing w:before="77"/>
        <w:ind w:left="0"/>
        <w:jc w:val="left"/>
      </w:pPr>
    </w:p>
    <w:p w14:paraId="7E00148D" w14:textId="77777777" w:rsidR="009A58DB" w:rsidRDefault="00000000">
      <w:pPr>
        <w:pStyle w:val="ListParagraph"/>
        <w:numPr>
          <w:ilvl w:val="0"/>
          <w:numId w:val="148"/>
        </w:numPr>
        <w:tabs>
          <w:tab w:val="left" w:pos="798"/>
        </w:tabs>
        <w:spacing w:line="249" w:lineRule="auto"/>
        <w:ind w:right="361" w:firstLine="0"/>
        <w:jc w:val="both"/>
        <w:rPr>
          <w:i/>
          <w:sz w:val="30"/>
        </w:rPr>
      </w:pPr>
      <w:r>
        <w:rPr>
          <w:sz w:val="30"/>
        </w:rPr>
        <w:t xml:space="preserve">there is some liquid x such that, at time t, x is what your rubber ducky is floating on; moreover, </w:t>
      </w:r>
      <w:r>
        <w:rPr>
          <w:i/>
          <w:sz w:val="30"/>
        </w:rPr>
        <w:t>“water” refers to x.</w:t>
      </w:r>
    </w:p>
    <w:p w14:paraId="7E00148E" w14:textId="77777777" w:rsidR="009A58DB" w:rsidRDefault="00000000">
      <w:pPr>
        <w:pStyle w:val="ListParagraph"/>
        <w:numPr>
          <w:ilvl w:val="0"/>
          <w:numId w:val="148"/>
        </w:numPr>
        <w:tabs>
          <w:tab w:val="left" w:pos="786"/>
        </w:tabs>
        <w:spacing w:before="3" w:line="249" w:lineRule="auto"/>
        <w:ind w:right="363" w:firstLine="0"/>
        <w:jc w:val="both"/>
        <w:rPr>
          <w:i/>
          <w:sz w:val="30"/>
        </w:rPr>
      </w:pPr>
      <w:r>
        <w:rPr>
          <w:sz w:val="30"/>
        </w:rPr>
        <w:t xml:space="preserve">there is some liquid x such that, at time t, x is what your bathtub is full of; moreover, </w:t>
      </w:r>
      <w:r>
        <w:rPr>
          <w:i/>
          <w:sz w:val="30"/>
        </w:rPr>
        <w:t xml:space="preserve">“water” refers to x. </w:t>
      </w:r>
      <w:r>
        <w:rPr>
          <w:sz w:val="30"/>
        </w:rPr>
        <w:t>(3) there is some liquid x such that x and x alone is H</w:t>
      </w:r>
      <w:r>
        <w:rPr>
          <w:sz w:val="30"/>
          <w:vertAlign w:val="subscript"/>
        </w:rPr>
        <w:t>2</w:t>
      </w:r>
      <w:r>
        <w:rPr>
          <w:sz w:val="30"/>
        </w:rPr>
        <w:t xml:space="preserve">O, and such that </w:t>
      </w:r>
      <w:r>
        <w:rPr>
          <w:i/>
          <w:sz w:val="30"/>
        </w:rPr>
        <w:t>“water” refers to x.</w:t>
      </w:r>
    </w:p>
    <w:p w14:paraId="7E00148F" w14:textId="77777777" w:rsidR="009A58DB" w:rsidRDefault="00000000">
      <w:pPr>
        <w:pStyle w:val="ListParagraph"/>
        <w:numPr>
          <w:ilvl w:val="0"/>
          <w:numId w:val="147"/>
        </w:numPr>
        <w:tabs>
          <w:tab w:val="left" w:pos="797"/>
        </w:tabs>
        <w:spacing w:before="64" w:line="249" w:lineRule="auto"/>
        <w:ind w:right="360" w:firstLine="0"/>
        <w:jc w:val="both"/>
        <w:rPr>
          <w:i/>
          <w:sz w:val="30"/>
        </w:rPr>
      </w:pPr>
      <w:r>
        <w:rPr>
          <w:sz w:val="30"/>
        </w:rPr>
        <w:t xml:space="preserve">there is some liquid x such that, at time t*, x and x alone is what scalded your finger; moreover, </w:t>
      </w:r>
      <w:r>
        <w:rPr>
          <w:i/>
          <w:sz w:val="30"/>
        </w:rPr>
        <w:t>“water” refers to x.</w:t>
      </w:r>
    </w:p>
    <w:p w14:paraId="7E001490" w14:textId="77777777" w:rsidR="009A58DB" w:rsidRDefault="00000000">
      <w:pPr>
        <w:pStyle w:val="ListParagraph"/>
        <w:numPr>
          <w:ilvl w:val="0"/>
          <w:numId w:val="147"/>
        </w:numPr>
        <w:tabs>
          <w:tab w:val="left" w:pos="817"/>
        </w:tabs>
        <w:spacing w:before="2" w:line="271" w:lineRule="auto"/>
        <w:ind w:right="359" w:firstLine="0"/>
        <w:jc w:val="both"/>
        <w:rPr>
          <w:i/>
          <w:sz w:val="30"/>
        </w:rPr>
      </w:pPr>
      <w:r>
        <w:rPr>
          <w:sz w:val="30"/>
        </w:rPr>
        <w:t>there is some liquid x such that x and x alone is H</w:t>
      </w:r>
      <w:r>
        <w:rPr>
          <w:sz w:val="30"/>
          <w:vertAlign w:val="subscript"/>
        </w:rPr>
        <w:t>2</w:t>
      </w:r>
      <w:r>
        <w:rPr>
          <w:sz w:val="30"/>
        </w:rPr>
        <w:t>O and such that, at</w:t>
      </w:r>
      <w:r>
        <w:rPr>
          <w:spacing w:val="40"/>
          <w:sz w:val="30"/>
        </w:rPr>
        <w:t xml:space="preserve"> </w:t>
      </w:r>
      <w:r>
        <w:rPr>
          <w:sz w:val="30"/>
        </w:rPr>
        <w:t xml:space="preserve">time t*, x and x alone is what scalded your finger; moreover, </w:t>
      </w:r>
      <w:r>
        <w:rPr>
          <w:i/>
          <w:sz w:val="30"/>
        </w:rPr>
        <w:t>“water” refers to x.</w:t>
      </w:r>
    </w:p>
    <w:p w14:paraId="7E001491" w14:textId="77777777" w:rsidR="009A58DB" w:rsidRDefault="00000000">
      <w:pPr>
        <w:pStyle w:val="BodyText"/>
        <w:spacing w:before="331"/>
      </w:pPr>
      <w:r>
        <w:t>And</w:t>
      </w:r>
      <w:r>
        <w:rPr>
          <w:spacing w:val="-1"/>
        </w:rPr>
        <w:t xml:space="preserve"> </w:t>
      </w:r>
      <w:r>
        <w:t>so</w:t>
      </w:r>
      <w:r>
        <w:rPr>
          <w:spacing w:val="-1"/>
        </w:rPr>
        <w:t xml:space="preserve"> </w:t>
      </w:r>
      <w:r>
        <w:rPr>
          <w:spacing w:val="-5"/>
        </w:rPr>
        <w:t>on.</w:t>
      </w:r>
    </w:p>
    <w:p w14:paraId="7E001492" w14:textId="77777777" w:rsidR="009A58DB" w:rsidRDefault="00000000">
      <w:pPr>
        <w:pStyle w:val="BodyText"/>
        <w:spacing w:before="15"/>
        <w:ind w:left="720"/>
        <w:jc w:val="left"/>
        <w:rPr>
          <w:i/>
        </w:rPr>
      </w:pPr>
      <w:r>
        <w:t>To</w:t>
      </w:r>
      <w:r>
        <w:rPr>
          <w:spacing w:val="17"/>
        </w:rPr>
        <w:t xml:space="preserve"> </w:t>
      </w:r>
      <w:r>
        <w:t>know</w:t>
      </w:r>
      <w:r>
        <w:rPr>
          <w:spacing w:val="18"/>
        </w:rPr>
        <w:t xml:space="preserve"> </w:t>
      </w:r>
      <w:r>
        <w:t>what</w:t>
      </w:r>
      <w:r>
        <w:rPr>
          <w:spacing w:val="18"/>
        </w:rPr>
        <w:t xml:space="preserve"> </w:t>
      </w:r>
      <w:r>
        <w:t>“water”</w:t>
      </w:r>
      <w:r>
        <w:rPr>
          <w:spacing w:val="18"/>
        </w:rPr>
        <w:t xml:space="preserve"> </w:t>
      </w:r>
      <w:r>
        <w:t>refers</w:t>
      </w:r>
      <w:r>
        <w:rPr>
          <w:spacing w:val="18"/>
        </w:rPr>
        <w:t xml:space="preserve"> </w:t>
      </w:r>
      <w:r>
        <w:t>to,</w:t>
      </w:r>
      <w:r>
        <w:rPr>
          <w:spacing w:val="18"/>
        </w:rPr>
        <w:t xml:space="preserve"> </w:t>
      </w:r>
      <w:r>
        <w:t>it</w:t>
      </w:r>
      <w:r>
        <w:rPr>
          <w:spacing w:val="18"/>
        </w:rPr>
        <w:t xml:space="preserve"> </w:t>
      </w:r>
      <w:r>
        <w:t>is</w:t>
      </w:r>
      <w:r>
        <w:rPr>
          <w:spacing w:val="18"/>
        </w:rPr>
        <w:t xml:space="preserve"> </w:t>
      </w:r>
      <w:r>
        <w:t>necessary</w:t>
      </w:r>
      <w:r>
        <w:rPr>
          <w:spacing w:val="18"/>
        </w:rPr>
        <w:t xml:space="preserve"> </w:t>
      </w:r>
      <w:r>
        <w:t>only</w:t>
      </w:r>
      <w:r>
        <w:rPr>
          <w:spacing w:val="18"/>
        </w:rPr>
        <w:t xml:space="preserve"> </w:t>
      </w:r>
      <w:r>
        <w:t>that</w:t>
      </w:r>
      <w:r>
        <w:rPr>
          <w:spacing w:val="18"/>
        </w:rPr>
        <w:t xml:space="preserve"> </w:t>
      </w:r>
      <w:r>
        <w:t>you</w:t>
      </w:r>
      <w:r>
        <w:rPr>
          <w:spacing w:val="18"/>
        </w:rPr>
        <w:t xml:space="preserve"> </w:t>
      </w:r>
      <w:r>
        <w:t>know</w:t>
      </w:r>
      <w:r>
        <w:rPr>
          <w:spacing w:val="18"/>
        </w:rPr>
        <w:t xml:space="preserve"> </w:t>
      </w:r>
      <w:r>
        <w:rPr>
          <w:i/>
          <w:spacing w:val="-4"/>
        </w:rPr>
        <w:t>some</w:t>
      </w:r>
    </w:p>
    <w:p w14:paraId="7E001493" w14:textId="77777777" w:rsidR="009A58DB" w:rsidRDefault="009A58DB">
      <w:pPr>
        <w:pStyle w:val="BodyText"/>
        <w:jc w:val="left"/>
        <w:rPr>
          <w:i/>
        </w:rPr>
        <w:sectPr w:rsidR="009A58DB">
          <w:pgSz w:w="12240" w:h="15840"/>
          <w:pgMar w:top="1380" w:right="1080" w:bottom="280" w:left="1080" w:header="720" w:footer="720" w:gutter="0"/>
          <w:cols w:space="720"/>
        </w:sectPr>
      </w:pPr>
    </w:p>
    <w:p w14:paraId="7E001494" w14:textId="77777777" w:rsidR="009A58DB" w:rsidRDefault="00000000">
      <w:pPr>
        <w:pStyle w:val="BodyText"/>
        <w:spacing w:before="65"/>
        <w:ind w:left="720"/>
      </w:pPr>
      <w:r>
        <w:lastRenderedPageBreak/>
        <w:t>truth</w:t>
      </w:r>
      <w:r>
        <w:rPr>
          <w:spacing w:val="-4"/>
        </w:rPr>
        <w:t xml:space="preserve"> </w:t>
      </w:r>
      <w:r>
        <w:t>of</w:t>
      </w:r>
      <w:r>
        <w:rPr>
          <w:spacing w:val="-2"/>
        </w:rPr>
        <w:t xml:space="preserve"> </w:t>
      </w:r>
      <w:r>
        <w:t>the</w:t>
      </w:r>
      <w:r>
        <w:rPr>
          <w:spacing w:val="-2"/>
        </w:rPr>
        <w:t xml:space="preserve"> </w:t>
      </w:r>
      <w:r>
        <w:rPr>
          <w:spacing w:val="-4"/>
        </w:rPr>
        <w:t>form:</w:t>
      </w:r>
    </w:p>
    <w:p w14:paraId="7E001495" w14:textId="77777777" w:rsidR="009A58DB" w:rsidRDefault="009A58DB">
      <w:pPr>
        <w:pStyle w:val="BodyText"/>
        <w:spacing w:before="29"/>
        <w:ind w:left="0"/>
        <w:jc w:val="left"/>
      </w:pPr>
    </w:p>
    <w:p w14:paraId="7E001496" w14:textId="77777777" w:rsidR="009A58DB" w:rsidRDefault="00000000">
      <w:pPr>
        <w:spacing w:before="1" w:line="249" w:lineRule="auto"/>
        <w:ind w:left="360"/>
        <w:rPr>
          <w:i/>
          <w:sz w:val="30"/>
        </w:rPr>
      </w:pPr>
      <w:r>
        <w:rPr>
          <w:sz w:val="30"/>
        </w:rPr>
        <w:t xml:space="preserve">(n) there is some substance x such that x uniquely has property phi; </w:t>
      </w:r>
      <w:r>
        <w:rPr>
          <w:i/>
          <w:sz w:val="30"/>
        </w:rPr>
        <w:t>“water” refers to x.</w:t>
      </w:r>
    </w:p>
    <w:p w14:paraId="7E001497" w14:textId="77777777" w:rsidR="009A58DB" w:rsidRDefault="009A58DB">
      <w:pPr>
        <w:pStyle w:val="BodyText"/>
        <w:spacing w:before="17"/>
        <w:ind w:left="0"/>
        <w:jc w:val="left"/>
        <w:rPr>
          <w:i/>
        </w:rPr>
      </w:pPr>
    </w:p>
    <w:p w14:paraId="7E001498" w14:textId="77777777" w:rsidR="009A58DB" w:rsidRDefault="00000000">
      <w:pPr>
        <w:pStyle w:val="BodyText"/>
        <w:spacing w:line="249" w:lineRule="auto"/>
        <w:ind w:right="360" w:firstLine="360"/>
      </w:pPr>
      <w:r>
        <w:t xml:space="preserve">Since water uniquely has each of infinitely many different properties, n is true for each of infinitely many values of phi. Where any given one of these truths is concerned, knowing it is sufficient, but not necessary, for knowing what “water” refers to and, therefore, for knowing the semantics of that </w:t>
      </w:r>
      <w:r>
        <w:rPr>
          <w:spacing w:val="-2"/>
        </w:rPr>
        <w:t>expression.</w:t>
      </w:r>
    </w:p>
    <w:p w14:paraId="7E001499" w14:textId="77777777" w:rsidR="009A58DB" w:rsidRDefault="00000000">
      <w:pPr>
        <w:pStyle w:val="BodyText"/>
        <w:spacing w:before="6" w:line="249" w:lineRule="auto"/>
        <w:ind w:right="361" w:firstLine="360"/>
      </w:pPr>
      <w:r>
        <w:t>Since n is a sentence-schema, not a sentence proper, it does not itself express any one of these truths. But in what follows, take n to stand for an arbitrary one of them.</w:t>
      </w:r>
    </w:p>
    <w:p w14:paraId="7E00149A" w14:textId="77777777" w:rsidR="009A58DB" w:rsidRDefault="00000000">
      <w:pPr>
        <w:pStyle w:val="BodyText"/>
        <w:spacing w:before="4" w:line="249" w:lineRule="auto"/>
        <w:ind w:right="361" w:firstLine="360"/>
      </w:pPr>
      <w:r>
        <w:t>Only the italicized part of n describes a semantic rule. The rest describes the information through which one grasps that rule. Anyone who knows the semantics of water knows this (though they might not recognize what it is</w:t>
      </w:r>
      <w:r>
        <w:rPr>
          <w:spacing w:val="40"/>
        </w:rPr>
        <w:t xml:space="preserve"> </w:t>
      </w:r>
      <w:r>
        <w:t>that they know in the statements just made).</w:t>
      </w:r>
    </w:p>
    <w:p w14:paraId="7E00149B" w14:textId="77777777" w:rsidR="009A58DB" w:rsidRDefault="00000000">
      <w:pPr>
        <w:pStyle w:val="BodyText"/>
        <w:spacing w:before="5" w:line="249" w:lineRule="auto"/>
        <w:ind w:left="720" w:right="364"/>
      </w:pPr>
      <w:r>
        <w:t>Let’s tell another story about Smith and Jones. Both are competent speakers of English. Smith knows that:</w:t>
      </w:r>
    </w:p>
    <w:p w14:paraId="7E00149C" w14:textId="77777777" w:rsidR="009A58DB" w:rsidRDefault="009A58DB">
      <w:pPr>
        <w:pStyle w:val="BodyText"/>
        <w:spacing w:before="17"/>
        <w:ind w:left="0"/>
        <w:jc w:val="left"/>
      </w:pPr>
    </w:p>
    <w:p w14:paraId="7E00149D" w14:textId="77777777" w:rsidR="009A58DB" w:rsidRDefault="00000000">
      <w:pPr>
        <w:pStyle w:val="ListParagraph"/>
        <w:numPr>
          <w:ilvl w:val="0"/>
          <w:numId w:val="146"/>
        </w:numPr>
        <w:tabs>
          <w:tab w:val="left" w:pos="833"/>
        </w:tabs>
        <w:spacing w:line="249" w:lineRule="auto"/>
        <w:ind w:right="365" w:firstLine="0"/>
        <w:rPr>
          <w:i/>
          <w:sz w:val="30"/>
        </w:rPr>
      </w:pPr>
      <w:r>
        <w:rPr>
          <w:sz w:val="30"/>
        </w:rPr>
        <w:t>there</w:t>
      </w:r>
      <w:r>
        <w:rPr>
          <w:spacing w:val="40"/>
          <w:sz w:val="30"/>
        </w:rPr>
        <w:t xml:space="preserve"> </w:t>
      </w:r>
      <w:r>
        <w:rPr>
          <w:sz w:val="30"/>
        </w:rPr>
        <w:t>is</w:t>
      </w:r>
      <w:r>
        <w:rPr>
          <w:spacing w:val="40"/>
          <w:sz w:val="30"/>
        </w:rPr>
        <w:t xml:space="preserve"> </w:t>
      </w:r>
      <w:r>
        <w:rPr>
          <w:sz w:val="30"/>
        </w:rPr>
        <w:t>some</w:t>
      </w:r>
      <w:r>
        <w:rPr>
          <w:spacing w:val="40"/>
          <w:sz w:val="30"/>
        </w:rPr>
        <w:t xml:space="preserve"> </w:t>
      </w:r>
      <w:r>
        <w:rPr>
          <w:sz w:val="30"/>
        </w:rPr>
        <w:t>liquid</w:t>
      </w:r>
      <w:r>
        <w:rPr>
          <w:spacing w:val="40"/>
          <w:sz w:val="30"/>
        </w:rPr>
        <w:t xml:space="preserve"> </w:t>
      </w:r>
      <w:r>
        <w:rPr>
          <w:sz w:val="30"/>
        </w:rPr>
        <w:t>x</w:t>
      </w:r>
      <w:r>
        <w:rPr>
          <w:spacing w:val="40"/>
          <w:sz w:val="30"/>
        </w:rPr>
        <w:t xml:space="preserve"> </w:t>
      </w:r>
      <w:r>
        <w:rPr>
          <w:sz w:val="30"/>
        </w:rPr>
        <w:t>such</w:t>
      </w:r>
      <w:r>
        <w:rPr>
          <w:spacing w:val="40"/>
          <w:sz w:val="30"/>
        </w:rPr>
        <w:t xml:space="preserve"> </w:t>
      </w:r>
      <w:r>
        <w:rPr>
          <w:sz w:val="30"/>
        </w:rPr>
        <w:t>that</w:t>
      </w:r>
      <w:r>
        <w:rPr>
          <w:spacing w:val="40"/>
          <w:sz w:val="30"/>
        </w:rPr>
        <w:t xml:space="preserve"> </w:t>
      </w:r>
      <w:r>
        <w:rPr>
          <w:sz w:val="30"/>
        </w:rPr>
        <w:t>x</w:t>
      </w:r>
      <w:r>
        <w:rPr>
          <w:spacing w:val="40"/>
          <w:sz w:val="30"/>
        </w:rPr>
        <w:t xml:space="preserve"> </w:t>
      </w:r>
      <w:r>
        <w:rPr>
          <w:sz w:val="30"/>
        </w:rPr>
        <w:t>is</w:t>
      </w:r>
      <w:r>
        <w:rPr>
          <w:spacing w:val="40"/>
          <w:sz w:val="30"/>
        </w:rPr>
        <w:t xml:space="preserve"> </w:t>
      </w:r>
      <w:r>
        <w:rPr>
          <w:sz w:val="30"/>
        </w:rPr>
        <w:t>what</w:t>
      </w:r>
      <w:r>
        <w:rPr>
          <w:spacing w:val="40"/>
          <w:sz w:val="30"/>
        </w:rPr>
        <w:t xml:space="preserve"> </w:t>
      </w:r>
      <w:r>
        <w:rPr>
          <w:sz w:val="30"/>
        </w:rPr>
        <w:t>is</w:t>
      </w:r>
      <w:r>
        <w:rPr>
          <w:spacing w:val="40"/>
          <w:sz w:val="30"/>
        </w:rPr>
        <w:t xml:space="preserve"> </w:t>
      </w:r>
      <w:r>
        <w:rPr>
          <w:sz w:val="30"/>
        </w:rPr>
        <w:t>in</w:t>
      </w:r>
      <w:r>
        <w:rPr>
          <w:spacing w:val="40"/>
          <w:sz w:val="30"/>
        </w:rPr>
        <w:t xml:space="preserve"> </w:t>
      </w:r>
      <w:r>
        <w:rPr>
          <w:sz w:val="30"/>
        </w:rPr>
        <w:t>bathtubs</w:t>
      </w:r>
      <w:r>
        <w:rPr>
          <w:spacing w:val="40"/>
          <w:sz w:val="30"/>
        </w:rPr>
        <w:t xml:space="preserve"> </w:t>
      </w:r>
      <w:r>
        <w:rPr>
          <w:sz w:val="30"/>
        </w:rPr>
        <w:t>and</w:t>
      </w:r>
      <w:r>
        <w:rPr>
          <w:spacing w:val="40"/>
          <w:sz w:val="30"/>
        </w:rPr>
        <w:t xml:space="preserve"> </w:t>
      </w:r>
      <w:r>
        <w:rPr>
          <w:sz w:val="30"/>
        </w:rPr>
        <w:t xml:space="preserve">drinking glasses; moreover, </w:t>
      </w:r>
      <w:r>
        <w:rPr>
          <w:i/>
          <w:sz w:val="30"/>
        </w:rPr>
        <w:t>“water” refers to x.</w:t>
      </w:r>
    </w:p>
    <w:p w14:paraId="7E00149E" w14:textId="77777777" w:rsidR="009A58DB" w:rsidRDefault="009A58DB">
      <w:pPr>
        <w:pStyle w:val="ListParagraph"/>
        <w:spacing w:line="249" w:lineRule="auto"/>
        <w:rPr>
          <w:i/>
          <w:sz w:val="30"/>
        </w:rPr>
        <w:sectPr w:rsidR="009A58DB">
          <w:pgSz w:w="12240" w:h="15840"/>
          <w:pgMar w:top="1380" w:right="1080" w:bottom="280" w:left="1080" w:header="720" w:footer="720" w:gutter="0"/>
          <w:cols w:space="720"/>
        </w:sectPr>
      </w:pPr>
    </w:p>
    <w:p w14:paraId="7E00149F" w14:textId="77777777" w:rsidR="009A58DB" w:rsidRDefault="00000000">
      <w:pPr>
        <w:pStyle w:val="BodyText"/>
        <w:spacing w:before="65"/>
        <w:jc w:val="left"/>
      </w:pPr>
      <w:r>
        <w:lastRenderedPageBreak/>
        <w:t>Jones,</w:t>
      </w:r>
      <w:r>
        <w:rPr>
          <w:spacing w:val="-6"/>
        </w:rPr>
        <w:t xml:space="preserve"> </w:t>
      </w:r>
      <w:r>
        <w:t>who</w:t>
      </w:r>
      <w:r>
        <w:rPr>
          <w:spacing w:val="-3"/>
        </w:rPr>
        <w:t xml:space="preserve"> </w:t>
      </w:r>
      <w:r>
        <w:t>is</w:t>
      </w:r>
      <w:r>
        <w:rPr>
          <w:spacing w:val="-4"/>
        </w:rPr>
        <w:t xml:space="preserve"> </w:t>
      </w:r>
      <w:r>
        <w:t>more</w:t>
      </w:r>
      <w:r>
        <w:rPr>
          <w:spacing w:val="-4"/>
        </w:rPr>
        <w:t xml:space="preserve"> </w:t>
      </w:r>
      <w:r>
        <w:t>scientifically</w:t>
      </w:r>
      <w:r>
        <w:rPr>
          <w:spacing w:val="-4"/>
        </w:rPr>
        <w:t xml:space="preserve"> </w:t>
      </w:r>
      <w:r>
        <w:t>minded</w:t>
      </w:r>
      <w:r>
        <w:rPr>
          <w:spacing w:val="-3"/>
        </w:rPr>
        <w:t xml:space="preserve"> </w:t>
      </w:r>
      <w:r>
        <w:t>than</w:t>
      </w:r>
      <w:r>
        <w:rPr>
          <w:spacing w:val="-3"/>
        </w:rPr>
        <w:t xml:space="preserve"> </w:t>
      </w:r>
      <w:r>
        <w:t>Smith,</w:t>
      </w:r>
      <w:r>
        <w:rPr>
          <w:spacing w:val="-3"/>
        </w:rPr>
        <w:t xml:space="preserve"> </w:t>
      </w:r>
      <w:r>
        <w:t>knows</w:t>
      </w:r>
      <w:r>
        <w:rPr>
          <w:spacing w:val="-4"/>
        </w:rPr>
        <w:t xml:space="preserve"> </w:t>
      </w:r>
      <w:r>
        <w:rPr>
          <w:spacing w:val="-2"/>
        </w:rPr>
        <w:t>that:</w:t>
      </w:r>
    </w:p>
    <w:p w14:paraId="7E0014A0" w14:textId="77777777" w:rsidR="009A58DB" w:rsidRDefault="009A58DB">
      <w:pPr>
        <w:pStyle w:val="BodyText"/>
        <w:spacing w:before="29"/>
        <w:ind w:left="0"/>
        <w:jc w:val="left"/>
      </w:pPr>
    </w:p>
    <w:p w14:paraId="7E0014A1" w14:textId="77777777" w:rsidR="009A58DB" w:rsidRDefault="00000000">
      <w:pPr>
        <w:pStyle w:val="ListParagraph"/>
        <w:numPr>
          <w:ilvl w:val="0"/>
          <w:numId w:val="146"/>
        </w:numPr>
        <w:tabs>
          <w:tab w:val="left" w:pos="785"/>
        </w:tabs>
        <w:spacing w:before="1" w:line="271" w:lineRule="auto"/>
        <w:ind w:right="364" w:firstLine="0"/>
        <w:jc w:val="both"/>
        <w:rPr>
          <w:i/>
          <w:sz w:val="30"/>
        </w:rPr>
      </w:pPr>
      <w:r>
        <w:rPr>
          <w:sz w:val="30"/>
        </w:rPr>
        <w:t>there is some liquid x such that x is H</w:t>
      </w:r>
      <w:r>
        <w:rPr>
          <w:sz w:val="30"/>
          <w:vertAlign w:val="subscript"/>
        </w:rPr>
        <w:t>2</w:t>
      </w:r>
      <w:r>
        <w:rPr>
          <w:sz w:val="30"/>
        </w:rPr>
        <w:t xml:space="preserve">O and such that creatures with gills can breathe when immersed in x and creatures with lungs cannot; moreover, </w:t>
      </w:r>
      <w:r>
        <w:rPr>
          <w:i/>
          <w:sz w:val="30"/>
        </w:rPr>
        <w:t>“water” refers to x.</w:t>
      </w:r>
    </w:p>
    <w:p w14:paraId="7E0014A2" w14:textId="77777777" w:rsidR="009A58DB" w:rsidRDefault="00000000">
      <w:pPr>
        <w:pStyle w:val="BodyText"/>
        <w:spacing w:before="330" w:line="501" w:lineRule="auto"/>
        <w:ind w:right="1514"/>
      </w:pPr>
      <w:r>
        <w:t>There</w:t>
      </w:r>
      <w:r>
        <w:rPr>
          <w:spacing w:val="-5"/>
        </w:rPr>
        <w:t xml:space="preserve"> </w:t>
      </w:r>
      <w:r>
        <w:t>is</w:t>
      </w:r>
      <w:r>
        <w:rPr>
          <w:spacing w:val="-5"/>
        </w:rPr>
        <w:t xml:space="preserve"> </w:t>
      </w:r>
      <w:r>
        <w:t>some</w:t>
      </w:r>
      <w:r>
        <w:rPr>
          <w:spacing w:val="-5"/>
        </w:rPr>
        <w:t xml:space="preserve"> </w:t>
      </w:r>
      <w:r>
        <w:t>liquid</w:t>
      </w:r>
      <w:r>
        <w:rPr>
          <w:spacing w:val="-4"/>
        </w:rPr>
        <w:t xml:space="preserve"> </w:t>
      </w:r>
      <w:r>
        <w:t>x</w:t>
      </w:r>
      <w:r>
        <w:rPr>
          <w:spacing w:val="-4"/>
        </w:rPr>
        <w:t xml:space="preserve"> </w:t>
      </w:r>
      <w:r>
        <w:t>such</w:t>
      </w:r>
      <w:r>
        <w:rPr>
          <w:spacing w:val="-4"/>
        </w:rPr>
        <w:t xml:space="preserve"> </w:t>
      </w:r>
      <w:r>
        <w:t>that</w:t>
      </w:r>
      <w:r>
        <w:rPr>
          <w:spacing w:val="-5"/>
        </w:rPr>
        <w:t xml:space="preserve"> </w:t>
      </w:r>
      <w:r>
        <w:t>individual’s</w:t>
      </w:r>
      <w:r>
        <w:rPr>
          <w:spacing w:val="-5"/>
        </w:rPr>
        <w:t xml:space="preserve"> </w:t>
      </w:r>
      <w:r>
        <w:t>sole</w:t>
      </w:r>
      <w:r>
        <w:rPr>
          <w:spacing w:val="-5"/>
        </w:rPr>
        <w:t xml:space="preserve"> </w:t>
      </w:r>
      <w:r>
        <w:t>intention</w:t>
      </w:r>
      <w:r>
        <w:rPr>
          <w:spacing w:val="-4"/>
        </w:rPr>
        <w:t xml:space="preserve"> </w:t>
      </w:r>
      <w:r>
        <w:t>in</w:t>
      </w:r>
      <w:r>
        <w:rPr>
          <w:spacing w:val="-4"/>
        </w:rPr>
        <w:t xml:space="preserve"> </w:t>
      </w:r>
      <w:r>
        <w:t>saying (w</w:t>
      </w:r>
      <w:r>
        <w:rPr>
          <w:vertAlign w:val="subscript"/>
        </w:rPr>
        <w:t>2</w:t>
      </w:r>
      <w:r>
        <w:t>) “water covers most of the Earth’s surface”</w:t>
      </w:r>
    </w:p>
    <w:p w14:paraId="7E0014A3" w14:textId="77777777" w:rsidR="009A58DB" w:rsidRDefault="00000000">
      <w:pPr>
        <w:pStyle w:val="BodyText"/>
        <w:spacing w:before="58"/>
        <w:jc w:val="left"/>
      </w:pPr>
      <w:r>
        <w:t>is</w:t>
      </w:r>
      <w:r>
        <w:rPr>
          <w:spacing w:val="-2"/>
        </w:rPr>
        <w:t xml:space="preserve"> </w:t>
      </w:r>
      <w:r>
        <w:t>to</w:t>
      </w:r>
      <w:r>
        <w:rPr>
          <w:spacing w:val="-1"/>
        </w:rPr>
        <w:t xml:space="preserve"> </w:t>
      </w:r>
      <w:r>
        <w:rPr>
          <w:spacing w:val="-4"/>
        </w:rPr>
        <w:t>say:</w:t>
      </w:r>
    </w:p>
    <w:p w14:paraId="7E0014A4" w14:textId="77777777" w:rsidR="009A58DB" w:rsidRDefault="009A58DB">
      <w:pPr>
        <w:pStyle w:val="BodyText"/>
        <w:spacing w:before="30"/>
        <w:ind w:left="0"/>
        <w:jc w:val="left"/>
      </w:pPr>
    </w:p>
    <w:p w14:paraId="7E0014A5" w14:textId="77777777" w:rsidR="009A58DB" w:rsidRDefault="00000000">
      <w:pPr>
        <w:pStyle w:val="BodyText"/>
        <w:spacing w:line="542" w:lineRule="auto"/>
        <w:ind w:right="4416"/>
        <w:jc w:val="left"/>
      </w:pPr>
      <w:r>
        <w:t>(w</w:t>
      </w:r>
      <w:r>
        <w:rPr>
          <w:vertAlign w:val="subscript"/>
        </w:rPr>
        <w:t>3</w:t>
      </w:r>
      <w:r>
        <w:t>)</w:t>
      </w:r>
      <w:r>
        <w:rPr>
          <w:spacing w:val="-4"/>
        </w:rPr>
        <w:t xml:space="preserve"> </w:t>
      </w:r>
      <w:r>
        <w:t>x</w:t>
      </w:r>
      <w:r>
        <w:rPr>
          <w:spacing w:val="-3"/>
        </w:rPr>
        <w:t xml:space="preserve"> </w:t>
      </w:r>
      <w:r>
        <w:t>covers</w:t>
      </w:r>
      <w:r>
        <w:rPr>
          <w:spacing w:val="-4"/>
        </w:rPr>
        <w:t xml:space="preserve"> </w:t>
      </w:r>
      <w:r>
        <w:t>most</w:t>
      </w:r>
      <w:r>
        <w:rPr>
          <w:spacing w:val="-4"/>
        </w:rPr>
        <w:t xml:space="preserve"> </w:t>
      </w:r>
      <w:r>
        <w:t>of</w:t>
      </w:r>
      <w:r>
        <w:rPr>
          <w:spacing w:val="-4"/>
        </w:rPr>
        <w:t xml:space="preserve"> </w:t>
      </w:r>
      <w:r>
        <w:t>the</w:t>
      </w:r>
      <w:r>
        <w:rPr>
          <w:spacing w:val="-4"/>
        </w:rPr>
        <w:t xml:space="preserve"> </w:t>
      </w:r>
      <w:r>
        <w:t>Earth’s</w:t>
      </w:r>
      <w:r>
        <w:rPr>
          <w:spacing w:val="-4"/>
        </w:rPr>
        <w:t xml:space="preserve"> </w:t>
      </w:r>
      <w:r>
        <w:t>surface. Neither wishes to affirm either that:</w:t>
      </w:r>
    </w:p>
    <w:p w14:paraId="7E0014A6" w14:textId="77777777" w:rsidR="009A58DB" w:rsidRDefault="00000000">
      <w:pPr>
        <w:pStyle w:val="BodyText"/>
        <w:spacing w:line="286" w:lineRule="exact"/>
      </w:pPr>
      <w:r>
        <w:t>(w</w:t>
      </w:r>
      <w:r>
        <w:rPr>
          <w:vertAlign w:val="subscript"/>
        </w:rPr>
        <w:t>4</w:t>
      </w:r>
      <w:r>
        <w:t>)</w:t>
      </w:r>
      <w:r>
        <w:rPr>
          <w:spacing w:val="37"/>
        </w:rPr>
        <w:t xml:space="preserve"> </w:t>
      </w:r>
      <w:r>
        <w:t>there</w:t>
      </w:r>
      <w:r>
        <w:rPr>
          <w:spacing w:val="38"/>
        </w:rPr>
        <w:t xml:space="preserve"> </w:t>
      </w:r>
      <w:r>
        <w:t>is</w:t>
      </w:r>
      <w:r>
        <w:rPr>
          <w:spacing w:val="39"/>
        </w:rPr>
        <w:t xml:space="preserve"> </w:t>
      </w:r>
      <w:r>
        <w:t>some</w:t>
      </w:r>
      <w:r>
        <w:rPr>
          <w:spacing w:val="37"/>
        </w:rPr>
        <w:t xml:space="preserve"> </w:t>
      </w:r>
      <w:r>
        <w:t>liquid</w:t>
      </w:r>
      <w:r>
        <w:rPr>
          <w:spacing w:val="39"/>
        </w:rPr>
        <w:t xml:space="preserve"> </w:t>
      </w:r>
      <w:r>
        <w:t>x</w:t>
      </w:r>
      <w:r>
        <w:rPr>
          <w:spacing w:val="38"/>
        </w:rPr>
        <w:t xml:space="preserve"> </w:t>
      </w:r>
      <w:r>
        <w:t>such</w:t>
      </w:r>
      <w:r>
        <w:rPr>
          <w:spacing w:val="38"/>
        </w:rPr>
        <w:t xml:space="preserve"> </w:t>
      </w:r>
      <w:r>
        <w:t>that</w:t>
      </w:r>
      <w:r>
        <w:rPr>
          <w:spacing w:val="38"/>
        </w:rPr>
        <w:t xml:space="preserve"> </w:t>
      </w:r>
      <w:r>
        <w:t>x</w:t>
      </w:r>
      <w:r>
        <w:rPr>
          <w:spacing w:val="38"/>
        </w:rPr>
        <w:t xml:space="preserve"> </w:t>
      </w:r>
      <w:r>
        <w:t>is</w:t>
      </w:r>
      <w:r>
        <w:rPr>
          <w:spacing w:val="39"/>
        </w:rPr>
        <w:t xml:space="preserve"> </w:t>
      </w:r>
      <w:r>
        <w:t>what</w:t>
      </w:r>
      <w:r>
        <w:rPr>
          <w:spacing w:val="38"/>
        </w:rPr>
        <w:t xml:space="preserve"> </w:t>
      </w:r>
      <w:r>
        <w:t>is</w:t>
      </w:r>
      <w:r>
        <w:rPr>
          <w:spacing w:val="37"/>
        </w:rPr>
        <w:t xml:space="preserve"> </w:t>
      </w:r>
      <w:r>
        <w:t>in</w:t>
      </w:r>
      <w:r>
        <w:rPr>
          <w:spacing w:val="39"/>
        </w:rPr>
        <w:t xml:space="preserve"> </w:t>
      </w:r>
      <w:r>
        <w:t>bathtubs</w:t>
      </w:r>
      <w:r>
        <w:rPr>
          <w:spacing w:val="38"/>
        </w:rPr>
        <w:t xml:space="preserve"> </w:t>
      </w:r>
      <w:r>
        <w:t>and</w:t>
      </w:r>
      <w:r>
        <w:rPr>
          <w:spacing w:val="38"/>
        </w:rPr>
        <w:t xml:space="preserve"> </w:t>
      </w:r>
      <w:r>
        <w:rPr>
          <w:spacing w:val="-2"/>
        </w:rPr>
        <w:t>drinking</w:t>
      </w:r>
    </w:p>
    <w:p w14:paraId="7E0014A7" w14:textId="77777777" w:rsidR="009A58DB" w:rsidRDefault="00000000">
      <w:pPr>
        <w:pStyle w:val="BodyText"/>
        <w:spacing w:before="75" w:line="249" w:lineRule="auto"/>
        <w:ind w:right="363"/>
      </w:pPr>
      <w:r>
        <w:t>glasses, and such that “water” refers to x; moreover, x covers most of the Earth’s surface,</w:t>
      </w:r>
    </w:p>
    <w:p w14:paraId="7E0014A8" w14:textId="77777777" w:rsidR="009A58DB" w:rsidRDefault="009A58DB">
      <w:pPr>
        <w:pStyle w:val="BodyText"/>
        <w:spacing w:before="18"/>
        <w:ind w:left="0"/>
        <w:jc w:val="left"/>
      </w:pPr>
    </w:p>
    <w:p w14:paraId="7E0014A9" w14:textId="77777777" w:rsidR="009A58DB" w:rsidRDefault="00000000">
      <w:pPr>
        <w:pStyle w:val="BodyText"/>
        <w:jc w:val="left"/>
      </w:pPr>
      <w:r>
        <w:t>or</w:t>
      </w:r>
      <w:r>
        <w:rPr>
          <w:spacing w:val="-3"/>
        </w:rPr>
        <w:t xml:space="preserve"> </w:t>
      </w:r>
      <w:r>
        <w:rPr>
          <w:spacing w:val="-4"/>
        </w:rPr>
        <w:t>that</w:t>
      </w:r>
    </w:p>
    <w:p w14:paraId="7E0014AA" w14:textId="77777777" w:rsidR="009A58DB" w:rsidRDefault="009A58DB">
      <w:pPr>
        <w:pStyle w:val="BodyText"/>
        <w:spacing w:before="30"/>
        <w:ind w:left="0"/>
        <w:jc w:val="left"/>
      </w:pPr>
    </w:p>
    <w:p w14:paraId="7E0014AB" w14:textId="77777777" w:rsidR="009A58DB" w:rsidRDefault="00000000">
      <w:pPr>
        <w:pStyle w:val="BodyText"/>
        <w:spacing w:line="271" w:lineRule="auto"/>
        <w:ind w:right="359"/>
      </w:pPr>
      <w:r>
        <w:t>(w</w:t>
      </w:r>
      <w:r>
        <w:rPr>
          <w:vertAlign w:val="subscript"/>
        </w:rPr>
        <w:t>5</w:t>
      </w:r>
      <w:r>
        <w:t>) there is some liquid x such that x is H</w:t>
      </w:r>
      <w:r>
        <w:rPr>
          <w:vertAlign w:val="subscript"/>
        </w:rPr>
        <w:t>2</w:t>
      </w:r>
      <w:r>
        <w:t>O and such that creatures with gills can breathe when immersed in x and creatures with lungs cannot; moreover, x covers most of the Earth’s surface.</w:t>
      </w:r>
    </w:p>
    <w:p w14:paraId="7E0014AC" w14:textId="77777777" w:rsidR="009A58DB" w:rsidRDefault="00000000">
      <w:pPr>
        <w:pStyle w:val="BodyText"/>
        <w:spacing w:before="330" w:line="271" w:lineRule="auto"/>
        <w:ind w:right="358"/>
      </w:pPr>
      <w:r>
        <w:t>Each individual’s intention in uttering w</w:t>
      </w:r>
      <w:r>
        <w:rPr>
          <w:vertAlign w:val="subscript"/>
        </w:rPr>
        <w:t>2</w:t>
      </w:r>
      <w:r>
        <w:t xml:space="preserve"> is to ascribe a certain property to a certain substance. They have the same substance in mind. They wish to attribute</w:t>
      </w:r>
      <w:r>
        <w:rPr>
          <w:spacing w:val="9"/>
        </w:rPr>
        <w:t xml:space="preserve"> </w:t>
      </w:r>
      <w:r>
        <w:t>the</w:t>
      </w:r>
      <w:r>
        <w:rPr>
          <w:spacing w:val="10"/>
        </w:rPr>
        <w:t xml:space="preserve"> </w:t>
      </w:r>
      <w:r>
        <w:t>same</w:t>
      </w:r>
      <w:r>
        <w:rPr>
          <w:spacing w:val="9"/>
        </w:rPr>
        <w:t xml:space="preserve"> </w:t>
      </w:r>
      <w:r>
        <w:t>property</w:t>
      </w:r>
      <w:r>
        <w:rPr>
          <w:spacing w:val="10"/>
        </w:rPr>
        <w:t xml:space="preserve"> </w:t>
      </w:r>
      <w:r>
        <w:t>to</w:t>
      </w:r>
      <w:r>
        <w:rPr>
          <w:spacing w:val="9"/>
        </w:rPr>
        <w:t xml:space="preserve"> </w:t>
      </w:r>
      <w:r>
        <w:t>it.</w:t>
      </w:r>
      <w:r>
        <w:rPr>
          <w:spacing w:val="10"/>
        </w:rPr>
        <w:t xml:space="preserve"> </w:t>
      </w:r>
      <w:r>
        <w:t>Neither</w:t>
      </w:r>
      <w:r>
        <w:rPr>
          <w:spacing w:val="9"/>
        </w:rPr>
        <w:t xml:space="preserve"> </w:t>
      </w:r>
      <w:r>
        <w:t>wants</w:t>
      </w:r>
      <w:r>
        <w:rPr>
          <w:spacing w:val="10"/>
        </w:rPr>
        <w:t xml:space="preserve"> </w:t>
      </w:r>
      <w:r>
        <w:t>to</w:t>
      </w:r>
      <w:r>
        <w:rPr>
          <w:spacing w:val="9"/>
        </w:rPr>
        <w:t xml:space="preserve"> </w:t>
      </w:r>
      <w:r>
        <w:t>say</w:t>
      </w:r>
      <w:r>
        <w:rPr>
          <w:spacing w:val="10"/>
        </w:rPr>
        <w:t xml:space="preserve"> </w:t>
      </w:r>
      <w:r>
        <w:t>anything</w:t>
      </w:r>
      <w:r>
        <w:rPr>
          <w:spacing w:val="9"/>
        </w:rPr>
        <w:t xml:space="preserve"> </w:t>
      </w:r>
      <w:r>
        <w:t>about</w:t>
      </w:r>
      <w:r>
        <w:rPr>
          <w:spacing w:val="10"/>
        </w:rPr>
        <w:t xml:space="preserve"> </w:t>
      </w:r>
      <w:r>
        <w:t>how</w:t>
      </w:r>
      <w:r>
        <w:rPr>
          <w:spacing w:val="10"/>
        </w:rPr>
        <w:t xml:space="preserve"> </w:t>
      </w:r>
      <w:r>
        <w:rPr>
          <w:spacing w:val="-5"/>
        </w:rPr>
        <w:t>he</w:t>
      </w:r>
    </w:p>
    <w:p w14:paraId="7E0014AD" w14:textId="77777777" w:rsidR="009A58DB" w:rsidRDefault="00000000">
      <w:pPr>
        <w:pStyle w:val="BodyText"/>
        <w:spacing w:line="316" w:lineRule="exact"/>
      </w:pPr>
      <w:r>
        <w:t>thinks</w:t>
      </w:r>
      <w:r>
        <w:rPr>
          <w:spacing w:val="57"/>
          <w:w w:val="150"/>
        </w:rPr>
        <w:t xml:space="preserve"> </w:t>
      </w:r>
      <w:r>
        <w:t>about</w:t>
      </w:r>
      <w:r>
        <w:rPr>
          <w:spacing w:val="59"/>
          <w:w w:val="150"/>
        </w:rPr>
        <w:t xml:space="preserve"> </w:t>
      </w:r>
      <w:r>
        <w:t>that</w:t>
      </w:r>
      <w:r>
        <w:rPr>
          <w:spacing w:val="60"/>
          <w:w w:val="150"/>
        </w:rPr>
        <w:t xml:space="preserve"> </w:t>
      </w:r>
      <w:r>
        <w:t>substance.</w:t>
      </w:r>
      <w:r>
        <w:rPr>
          <w:spacing w:val="59"/>
          <w:w w:val="150"/>
        </w:rPr>
        <w:t xml:space="preserve"> </w:t>
      </w:r>
      <w:r>
        <w:t>Neither</w:t>
      </w:r>
      <w:r>
        <w:rPr>
          <w:spacing w:val="60"/>
          <w:w w:val="150"/>
        </w:rPr>
        <w:t xml:space="preserve"> </w:t>
      </w:r>
      <w:r>
        <w:t>wants</w:t>
      </w:r>
      <w:r>
        <w:rPr>
          <w:spacing w:val="59"/>
          <w:w w:val="150"/>
        </w:rPr>
        <w:t xml:space="preserve"> </w:t>
      </w:r>
      <w:r>
        <w:t>to</w:t>
      </w:r>
      <w:r>
        <w:rPr>
          <w:spacing w:val="59"/>
          <w:w w:val="150"/>
        </w:rPr>
        <w:t xml:space="preserve"> </w:t>
      </w:r>
      <w:r>
        <w:t>attribute</w:t>
      </w:r>
      <w:r>
        <w:rPr>
          <w:spacing w:val="60"/>
          <w:w w:val="150"/>
        </w:rPr>
        <w:t xml:space="preserve"> </w:t>
      </w:r>
      <w:r>
        <w:t>any</w:t>
      </w:r>
      <w:r>
        <w:rPr>
          <w:spacing w:val="59"/>
          <w:w w:val="150"/>
        </w:rPr>
        <w:t xml:space="preserve"> </w:t>
      </w:r>
      <w:r>
        <w:t>property</w:t>
      </w:r>
      <w:r>
        <w:rPr>
          <w:spacing w:val="60"/>
          <w:w w:val="150"/>
        </w:rPr>
        <w:t xml:space="preserve"> </w:t>
      </w:r>
      <w:r>
        <w:rPr>
          <w:spacing w:val="-5"/>
        </w:rPr>
        <w:t>to</w:t>
      </w:r>
    </w:p>
    <w:p w14:paraId="7E0014AE" w14:textId="77777777" w:rsidR="009A58DB" w:rsidRDefault="00000000">
      <w:pPr>
        <w:pStyle w:val="BodyText"/>
        <w:spacing w:before="15" w:line="249" w:lineRule="auto"/>
        <w:ind w:right="358"/>
      </w:pPr>
      <w:r>
        <w:t xml:space="preserve">anything other than that substance. Thus, what Smith means when he says “water covers most of the Earth’s surface” is exactly what Jones means when </w:t>
      </w:r>
      <w:r>
        <w:rPr>
          <w:i/>
        </w:rPr>
        <w:t>he</w:t>
      </w:r>
      <w:r>
        <w:rPr>
          <w:i/>
          <w:spacing w:val="-3"/>
        </w:rPr>
        <w:t xml:space="preserve"> </w:t>
      </w:r>
      <w:r>
        <w:t>utters the same sentence. And so long as each knows that the other agrees with</w:t>
      </w:r>
      <w:r>
        <w:rPr>
          <w:spacing w:val="19"/>
        </w:rPr>
        <w:t xml:space="preserve"> </w:t>
      </w:r>
      <w:r>
        <w:t>him</w:t>
      </w:r>
      <w:r>
        <w:rPr>
          <w:spacing w:val="19"/>
        </w:rPr>
        <w:t xml:space="preserve"> </w:t>
      </w:r>
      <w:r>
        <w:t>about</w:t>
      </w:r>
      <w:r>
        <w:rPr>
          <w:spacing w:val="20"/>
        </w:rPr>
        <w:t xml:space="preserve"> </w:t>
      </w:r>
      <w:r>
        <w:t>what</w:t>
      </w:r>
      <w:r>
        <w:rPr>
          <w:spacing w:val="19"/>
        </w:rPr>
        <w:t xml:space="preserve"> </w:t>
      </w:r>
      <w:r>
        <w:t>it</w:t>
      </w:r>
      <w:r>
        <w:rPr>
          <w:spacing w:val="20"/>
        </w:rPr>
        <w:t xml:space="preserve"> </w:t>
      </w:r>
      <w:r>
        <w:t>is</w:t>
      </w:r>
      <w:r>
        <w:rPr>
          <w:spacing w:val="19"/>
        </w:rPr>
        <w:t xml:space="preserve"> </w:t>
      </w:r>
      <w:r>
        <w:t>that</w:t>
      </w:r>
      <w:r>
        <w:rPr>
          <w:spacing w:val="20"/>
        </w:rPr>
        <w:t xml:space="preserve"> </w:t>
      </w:r>
      <w:r>
        <w:t>“water”</w:t>
      </w:r>
      <w:r>
        <w:rPr>
          <w:spacing w:val="19"/>
        </w:rPr>
        <w:t xml:space="preserve"> </w:t>
      </w:r>
      <w:r>
        <w:t>that</w:t>
      </w:r>
      <w:r>
        <w:rPr>
          <w:spacing w:val="20"/>
        </w:rPr>
        <w:t xml:space="preserve"> </w:t>
      </w:r>
      <w:r>
        <w:t>refers</w:t>
      </w:r>
      <w:r>
        <w:rPr>
          <w:spacing w:val="19"/>
        </w:rPr>
        <w:t xml:space="preserve"> </w:t>
      </w:r>
      <w:r>
        <w:t>to,</w:t>
      </w:r>
      <w:r>
        <w:rPr>
          <w:spacing w:val="20"/>
        </w:rPr>
        <w:t xml:space="preserve"> </w:t>
      </w:r>
      <w:r>
        <w:t>any</w:t>
      </w:r>
      <w:r>
        <w:rPr>
          <w:spacing w:val="19"/>
        </w:rPr>
        <w:t xml:space="preserve"> </w:t>
      </w:r>
      <w:r>
        <w:t>difference</w:t>
      </w:r>
      <w:r>
        <w:rPr>
          <w:spacing w:val="20"/>
        </w:rPr>
        <w:t xml:space="preserve"> </w:t>
      </w:r>
      <w:r>
        <w:t>between</w:t>
      </w:r>
    </w:p>
    <w:p w14:paraId="7E0014AF"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4B0" w14:textId="77777777" w:rsidR="009A58DB" w:rsidRDefault="00000000">
      <w:pPr>
        <w:pStyle w:val="BodyText"/>
        <w:spacing w:before="65" w:line="249" w:lineRule="auto"/>
        <w:ind w:right="358"/>
      </w:pPr>
      <w:r>
        <w:lastRenderedPageBreak/>
        <w:t>them in respect of how they think about its referent will in no way jeopardize the one person’s ability to understand the other. To put it more formally: provided that, for some x, each believes that “water” refers to x and that each knows that the other believes this, the differences between these two individuals in respect of how they think about that substance won’t</w:t>
      </w:r>
      <w:r>
        <w:rPr>
          <w:spacing w:val="40"/>
        </w:rPr>
        <w:t xml:space="preserve"> </w:t>
      </w:r>
      <w:r>
        <w:t>jeopardize their ability to communicate with each other.</w:t>
      </w:r>
    </w:p>
    <w:p w14:paraId="7E0014B1" w14:textId="77777777" w:rsidR="009A58DB" w:rsidRDefault="00000000">
      <w:pPr>
        <w:pStyle w:val="Heading1"/>
        <w:numPr>
          <w:ilvl w:val="1"/>
          <w:numId w:val="149"/>
        </w:numPr>
        <w:tabs>
          <w:tab w:val="left" w:pos="990"/>
        </w:tabs>
        <w:spacing w:before="195"/>
        <w:ind w:left="990" w:hanging="630"/>
      </w:pPr>
      <w:r>
        <w:t>Putnam’s</w:t>
      </w:r>
      <w:r>
        <w:rPr>
          <w:spacing w:val="-10"/>
        </w:rPr>
        <w:t xml:space="preserve"> </w:t>
      </w:r>
      <w:r>
        <w:t>semantic</w:t>
      </w:r>
      <w:r>
        <w:rPr>
          <w:spacing w:val="-8"/>
        </w:rPr>
        <w:t xml:space="preserve"> </w:t>
      </w:r>
      <w:r>
        <w:t>externalism</w:t>
      </w:r>
      <w:r>
        <w:rPr>
          <w:spacing w:val="-7"/>
        </w:rPr>
        <w:t xml:space="preserve"> </w:t>
      </w:r>
      <w:r>
        <w:rPr>
          <w:spacing w:val="-2"/>
        </w:rPr>
        <w:t>(continued)</w:t>
      </w:r>
    </w:p>
    <w:p w14:paraId="7E0014B2" w14:textId="77777777" w:rsidR="009A58DB" w:rsidRDefault="00000000">
      <w:pPr>
        <w:pStyle w:val="BodyText"/>
        <w:spacing w:before="139" w:line="249" w:lineRule="auto"/>
        <w:ind w:right="358"/>
      </w:pPr>
      <w:r>
        <w:t>These points make it clear why it is that Smith and Twin-Smith, though driven to make the very same noises by the very same internal conditions, are nonetheless affirming different propositions. Let’s suppose that when Smith was a child, his mother pointed to the liquid in the tub in which Smith regularly bathed, and which Smith recognized as the liquid that he had to drink in order to live, and said: “That is water.” The message that is communicated to Smith is along the lines of:</w:t>
      </w:r>
    </w:p>
    <w:p w14:paraId="7E0014B3" w14:textId="77777777" w:rsidR="009A58DB" w:rsidRDefault="009A58DB">
      <w:pPr>
        <w:pStyle w:val="BodyText"/>
        <w:spacing w:before="23"/>
        <w:ind w:left="0"/>
        <w:jc w:val="left"/>
      </w:pPr>
    </w:p>
    <w:p w14:paraId="7E0014B4" w14:textId="77777777" w:rsidR="009A58DB" w:rsidRDefault="00000000">
      <w:pPr>
        <w:pStyle w:val="BodyText"/>
        <w:spacing w:before="1" w:line="249" w:lineRule="auto"/>
        <w:jc w:val="left"/>
      </w:pPr>
      <w:r>
        <w:t>(8)</w:t>
      </w:r>
      <w:r>
        <w:rPr>
          <w:spacing w:val="-2"/>
        </w:rPr>
        <w:t xml:space="preserve"> </w:t>
      </w:r>
      <w:r>
        <w:t>There</w:t>
      </w:r>
      <w:r>
        <w:rPr>
          <w:spacing w:val="-2"/>
        </w:rPr>
        <w:t xml:space="preserve"> </w:t>
      </w:r>
      <w:r>
        <w:t>is</w:t>
      </w:r>
      <w:r>
        <w:rPr>
          <w:spacing w:val="-2"/>
        </w:rPr>
        <w:t xml:space="preserve"> </w:t>
      </w:r>
      <w:r>
        <w:t>some</w:t>
      </w:r>
      <w:r>
        <w:rPr>
          <w:spacing w:val="-2"/>
        </w:rPr>
        <w:t xml:space="preserve"> </w:t>
      </w:r>
      <w:r>
        <w:t>liquid</w:t>
      </w:r>
      <w:r>
        <w:rPr>
          <w:spacing w:val="-2"/>
        </w:rPr>
        <w:t xml:space="preserve"> </w:t>
      </w:r>
      <w:r>
        <w:t>x</w:t>
      </w:r>
      <w:r>
        <w:rPr>
          <w:spacing w:val="-2"/>
        </w:rPr>
        <w:t xml:space="preserve"> </w:t>
      </w:r>
      <w:r>
        <w:t>such</w:t>
      </w:r>
      <w:r>
        <w:rPr>
          <w:spacing w:val="-2"/>
        </w:rPr>
        <w:t xml:space="preserve"> </w:t>
      </w:r>
      <w:r>
        <w:t>that</w:t>
      </w:r>
      <w:r>
        <w:rPr>
          <w:spacing w:val="-2"/>
        </w:rPr>
        <w:t xml:space="preserve"> </w:t>
      </w:r>
      <w:r>
        <w:t>x</w:t>
      </w:r>
      <w:r>
        <w:rPr>
          <w:spacing w:val="-2"/>
        </w:rPr>
        <w:t xml:space="preserve"> </w:t>
      </w:r>
      <w:r>
        <w:t>is</w:t>
      </w:r>
      <w:r>
        <w:rPr>
          <w:spacing w:val="-2"/>
        </w:rPr>
        <w:t xml:space="preserve"> </w:t>
      </w:r>
      <w:r>
        <w:t>what</w:t>
      </w:r>
      <w:r>
        <w:rPr>
          <w:spacing w:val="-2"/>
        </w:rPr>
        <w:t xml:space="preserve"> </w:t>
      </w:r>
      <w:r>
        <w:t>I</w:t>
      </w:r>
      <w:r>
        <w:rPr>
          <w:spacing w:val="-2"/>
        </w:rPr>
        <w:t xml:space="preserve"> </w:t>
      </w:r>
      <w:r>
        <w:t>(Smith)</w:t>
      </w:r>
      <w:r>
        <w:rPr>
          <w:spacing w:val="-2"/>
        </w:rPr>
        <w:t xml:space="preserve"> </w:t>
      </w:r>
      <w:r>
        <w:t>bathe</w:t>
      </w:r>
      <w:r>
        <w:rPr>
          <w:spacing w:val="-2"/>
        </w:rPr>
        <w:t xml:space="preserve"> </w:t>
      </w:r>
      <w:r>
        <w:t>in</w:t>
      </w:r>
      <w:r>
        <w:rPr>
          <w:spacing w:val="-2"/>
        </w:rPr>
        <w:t xml:space="preserve"> </w:t>
      </w:r>
      <w:r>
        <w:t>and</w:t>
      </w:r>
      <w:r>
        <w:rPr>
          <w:spacing w:val="-2"/>
        </w:rPr>
        <w:t xml:space="preserve"> </w:t>
      </w:r>
      <w:r>
        <w:t>must</w:t>
      </w:r>
      <w:r>
        <w:rPr>
          <w:spacing w:val="-2"/>
        </w:rPr>
        <w:t xml:space="preserve"> </w:t>
      </w:r>
      <w:r>
        <w:t>also drink in order to survive and “water” refers to x.</w:t>
      </w:r>
    </w:p>
    <w:p w14:paraId="7E0014B5" w14:textId="77777777" w:rsidR="009A58DB" w:rsidRDefault="009A58DB">
      <w:pPr>
        <w:pStyle w:val="BodyText"/>
        <w:spacing w:before="17"/>
        <w:ind w:left="0"/>
        <w:jc w:val="left"/>
      </w:pPr>
    </w:p>
    <w:p w14:paraId="7E0014B6" w14:textId="77777777" w:rsidR="009A58DB" w:rsidRDefault="00000000">
      <w:pPr>
        <w:pStyle w:val="BodyText"/>
        <w:spacing w:line="292" w:lineRule="auto"/>
        <w:ind w:right="362"/>
      </w:pPr>
      <w:r>
        <w:t>Given that the liquid indicated by Smith’s mother is, of its very nature, H</w:t>
      </w:r>
      <w:r>
        <w:rPr>
          <w:vertAlign w:val="subscript"/>
        </w:rPr>
        <w:t>2</w:t>
      </w:r>
      <w:r>
        <w:t>O, it</w:t>
      </w:r>
      <w:r>
        <w:rPr>
          <w:spacing w:val="-2"/>
        </w:rPr>
        <w:t xml:space="preserve"> </w:t>
      </w:r>
      <w:r>
        <w:t>follows</w:t>
      </w:r>
      <w:r>
        <w:rPr>
          <w:spacing w:val="-2"/>
        </w:rPr>
        <w:t xml:space="preserve"> </w:t>
      </w:r>
      <w:r>
        <w:t>that</w:t>
      </w:r>
      <w:r>
        <w:rPr>
          <w:spacing w:val="-2"/>
        </w:rPr>
        <w:t xml:space="preserve"> </w:t>
      </w:r>
      <w:r>
        <w:t>when,</w:t>
      </w:r>
      <w:r>
        <w:rPr>
          <w:spacing w:val="-1"/>
        </w:rPr>
        <w:t xml:space="preserve"> </w:t>
      </w:r>
      <w:r>
        <w:t>at</w:t>
      </w:r>
      <w:r>
        <w:rPr>
          <w:spacing w:val="-2"/>
        </w:rPr>
        <w:t xml:space="preserve"> </w:t>
      </w:r>
      <w:r>
        <w:t>time</w:t>
      </w:r>
      <w:r>
        <w:rPr>
          <w:spacing w:val="-2"/>
        </w:rPr>
        <w:t xml:space="preserve"> </w:t>
      </w:r>
      <w:r>
        <w:t>t,</w:t>
      </w:r>
      <w:r>
        <w:rPr>
          <w:spacing w:val="-1"/>
        </w:rPr>
        <w:t xml:space="preserve"> </w:t>
      </w:r>
      <w:r>
        <w:t>Smith</w:t>
      </w:r>
      <w:r>
        <w:rPr>
          <w:spacing w:val="-1"/>
        </w:rPr>
        <w:t xml:space="preserve"> </w:t>
      </w:r>
      <w:r>
        <w:t>utters</w:t>
      </w:r>
      <w:r>
        <w:rPr>
          <w:spacing w:val="-2"/>
        </w:rPr>
        <w:t xml:space="preserve"> </w:t>
      </w:r>
      <w:r>
        <w:t>SE,</w:t>
      </w:r>
      <w:r>
        <w:rPr>
          <w:spacing w:val="-1"/>
        </w:rPr>
        <w:t xml:space="preserve"> </w:t>
      </w:r>
      <w:r>
        <w:t>his</w:t>
      </w:r>
      <w:r>
        <w:rPr>
          <w:spacing w:val="-2"/>
        </w:rPr>
        <w:t xml:space="preserve"> </w:t>
      </w:r>
      <w:r>
        <w:t>utterance</w:t>
      </w:r>
      <w:r>
        <w:rPr>
          <w:spacing w:val="-2"/>
        </w:rPr>
        <w:t xml:space="preserve"> </w:t>
      </w:r>
      <w:r>
        <w:t>is</w:t>
      </w:r>
      <w:r>
        <w:rPr>
          <w:spacing w:val="-2"/>
        </w:rPr>
        <w:t xml:space="preserve"> </w:t>
      </w:r>
      <w:r>
        <w:t>true</w:t>
      </w:r>
      <w:r>
        <w:rPr>
          <w:spacing w:val="-2"/>
        </w:rPr>
        <w:t xml:space="preserve"> </w:t>
      </w:r>
      <w:r>
        <w:t>exactly</w:t>
      </w:r>
      <w:r>
        <w:rPr>
          <w:spacing w:val="-1"/>
        </w:rPr>
        <w:t xml:space="preserve"> </w:t>
      </w:r>
      <w:r>
        <w:t>if:</w:t>
      </w:r>
    </w:p>
    <w:p w14:paraId="7E0014B7" w14:textId="77777777" w:rsidR="009A58DB" w:rsidRDefault="00000000">
      <w:pPr>
        <w:pStyle w:val="BodyText"/>
        <w:spacing w:before="298" w:line="249" w:lineRule="auto"/>
        <w:ind w:right="360"/>
      </w:pPr>
      <w:r>
        <w:t>(SE*) “When people are thirsty, they find it more refreshing to drink cool, glacial</w:t>
      </w:r>
      <w:r>
        <w:rPr>
          <w:spacing w:val="-3"/>
        </w:rPr>
        <w:t xml:space="preserve"> </w:t>
      </w:r>
      <w:r>
        <w:t>H</w:t>
      </w:r>
      <w:r>
        <w:rPr>
          <w:position w:val="-7"/>
          <w:sz w:val="22"/>
        </w:rPr>
        <w:t>2</w:t>
      </w:r>
      <w:r>
        <w:t>O than warm, swamp H</w:t>
      </w:r>
      <w:r>
        <w:rPr>
          <w:position w:val="-7"/>
          <w:sz w:val="22"/>
        </w:rPr>
        <w:t>2</w:t>
      </w:r>
      <w:r>
        <w:t>O; and if there were no clean H</w:t>
      </w:r>
      <w:r>
        <w:rPr>
          <w:position w:val="-7"/>
          <w:sz w:val="22"/>
        </w:rPr>
        <w:t>2</w:t>
      </w:r>
      <w:r>
        <w:t>O, people couldn’t survive.</w:t>
      </w:r>
    </w:p>
    <w:p w14:paraId="7E0014B8" w14:textId="77777777" w:rsidR="009A58DB" w:rsidRDefault="009A58DB">
      <w:pPr>
        <w:pStyle w:val="BodyText"/>
        <w:spacing w:before="16"/>
        <w:ind w:left="0"/>
        <w:jc w:val="left"/>
      </w:pPr>
    </w:p>
    <w:p w14:paraId="7E0014B9" w14:textId="77777777" w:rsidR="009A58DB" w:rsidRDefault="00000000">
      <w:pPr>
        <w:pStyle w:val="BodyText"/>
        <w:spacing w:line="249" w:lineRule="auto"/>
        <w:ind w:right="362" w:firstLine="720"/>
      </w:pPr>
      <w:r>
        <w:t>Because he lives hundreds of years before the birth of modern chemistry known, Smith has no idea what it would even mean to identify water</w:t>
      </w:r>
      <w:r>
        <w:rPr>
          <w:spacing w:val="43"/>
        </w:rPr>
        <w:t xml:space="preserve"> </w:t>
      </w:r>
      <w:r>
        <w:t>with</w:t>
      </w:r>
      <w:r>
        <w:rPr>
          <w:spacing w:val="45"/>
        </w:rPr>
        <w:t xml:space="preserve"> </w:t>
      </w:r>
      <w:r>
        <w:t>H</w:t>
      </w:r>
      <w:r>
        <w:rPr>
          <w:vertAlign w:val="subscript"/>
        </w:rPr>
        <w:t>2</w:t>
      </w:r>
      <w:r>
        <w:t>O.</w:t>
      </w:r>
      <w:r>
        <w:rPr>
          <w:spacing w:val="44"/>
        </w:rPr>
        <w:t xml:space="preserve"> </w:t>
      </w:r>
      <w:r>
        <w:t>Moreover,</w:t>
      </w:r>
      <w:r>
        <w:rPr>
          <w:spacing w:val="45"/>
        </w:rPr>
        <w:t xml:space="preserve"> </w:t>
      </w:r>
      <w:r>
        <w:rPr>
          <w:i/>
        </w:rPr>
        <w:t>nobody</w:t>
      </w:r>
      <w:r>
        <w:rPr>
          <w:i/>
          <w:spacing w:val="43"/>
        </w:rPr>
        <w:t xml:space="preserve"> </w:t>
      </w:r>
      <w:r>
        <w:t>who</w:t>
      </w:r>
      <w:r>
        <w:rPr>
          <w:spacing w:val="48"/>
        </w:rPr>
        <w:t xml:space="preserve"> </w:t>
      </w:r>
      <w:r>
        <w:t>is</w:t>
      </w:r>
      <w:r>
        <w:rPr>
          <w:spacing w:val="47"/>
        </w:rPr>
        <w:t xml:space="preserve"> </w:t>
      </w:r>
      <w:r>
        <w:t>alive</w:t>
      </w:r>
      <w:r>
        <w:rPr>
          <w:spacing w:val="48"/>
        </w:rPr>
        <w:t xml:space="preserve"> </w:t>
      </w:r>
      <w:r>
        <w:t>at</w:t>
      </w:r>
      <w:r>
        <w:rPr>
          <w:spacing w:val="47"/>
        </w:rPr>
        <w:t xml:space="preserve"> </w:t>
      </w:r>
      <w:r>
        <w:t>the</w:t>
      </w:r>
      <w:r>
        <w:rPr>
          <w:spacing w:val="48"/>
        </w:rPr>
        <w:t xml:space="preserve"> </w:t>
      </w:r>
      <w:r>
        <w:t>time</w:t>
      </w:r>
      <w:r>
        <w:rPr>
          <w:spacing w:val="47"/>
        </w:rPr>
        <w:t xml:space="preserve"> </w:t>
      </w:r>
      <w:r>
        <w:t>has</w:t>
      </w:r>
      <w:r>
        <w:rPr>
          <w:spacing w:val="48"/>
        </w:rPr>
        <w:t xml:space="preserve"> </w:t>
      </w:r>
      <w:r>
        <w:t>any</w:t>
      </w:r>
      <w:r>
        <w:rPr>
          <w:spacing w:val="47"/>
        </w:rPr>
        <w:t xml:space="preserve"> </w:t>
      </w:r>
      <w:r>
        <w:rPr>
          <w:spacing w:val="-4"/>
        </w:rPr>
        <w:t>such</w:t>
      </w:r>
    </w:p>
    <w:p w14:paraId="7E0014BA" w14:textId="77777777" w:rsidR="009A58DB" w:rsidRDefault="00000000">
      <w:pPr>
        <w:pStyle w:val="BodyText"/>
        <w:spacing w:before="64" w:line="292" w:lineRule="auto"/>
        <w:ind w:right="372"/>
      </w:pPr>
      <w:r>
        <w:t>idea. Nonetheless, the statement he is making does concern H</w:t>
      </w:r>
      <w:r>
        <w:rPr>
          <w:vertAlign w:val="subscript"/>
        </w:rPr>
        <w:t>2</w:t>
      </w:r>
      <w:r>
        <w:t xml:space="preserve">O. This shows </w:t>
      </w:r>
      <w:r>
        <w:rPr>
          <w:spacing w:val="-2"/>
        </w:rPr>
        <w:t>that:</w:t>
      </w:r>
    </w:p>
    <w:p w14:paraId="7E0014BB" w14:textId="77777777" w:rsidR="009A58DB" w:rsidRDefault="00000000">
      <w:pPr>
        <w:pStyle w:val="BodyText"/>
        <w:spacing w:before="298" w:line="249" w:lineRule="auto"/>
        <w:ind w:right="360"/>
      </w:pPr>
      <w:r>
        <w:t>(PTM) the meanings borne by our utterances are not determined solely by the thoughts</w:t>
      </w:r>
      <w:r>
        <w:rPr>
          <w:spacing w:val="-2"/>
        </w:rPr>
        <w:t xml:space="preserve"> </w:t>
      </w:r>
      <w:r>
        <w:t>we</w:t>
      </w:r>
      <w:r>
        <w:rPr>
          <w:spacing w:val="-2"/>
        </w:rPr>
        <w:t xml:space="preserve"> </w:t>
      </w:r>
      <w:r>
        <w:t>have;</w:t>
      </w:r>
      <w:r>
        <w:rPr>
          <w:spacing w:val="-2"/>
        </w:rPr>
        <w:t xml:space="preserve"> </w:t>
      </w:r>
      <w:r>
        <w:t>there</w:t>
      </w:r>
      <w:r>
        <w:rPr>
          <w:spacing w:val="-2"/>
        </w:rPr>
        <w:t xml:space="preserve"> </w:t>
      </w:r>
      <w:r>
        <w:t>is</w:t>
      </w:r>
      <w:r>
        <w:rPr>
          <w:spacing w:val="-2"/>
        </w:rPr>
        <w:t xml:space="preserve"> </w:t>
      </w:r>
      <w:r>
        <w:t>a</w:t>
      </w:r>
      <w:r>
        <w:rPr>
          <w:spacing w:val="-2"/>
        </w:rPr>
        <w:t xml:space="preserve"> </w:t>
      </w:r>
      <w:r>
        <w:t>strictly</w:t>
      </w:r>
      <w:r>
        <w:rPr>
          <w:spacing w:val="-2"/>
        </w:rPr>
        <w:t xml:space="preserve"> </w:t>
      </w:r>
      <w:r>
        <w:t>non-psychological,</w:t>
      </w:r>
      <w:r>
        <w:rPr>
          <w:spacing w:val="-2"/>
        </w:rPr>
        <w:t xml:space="preserve"> </w:t>
      </w:r>
      <w:r>
        <w:t>strictly</w:t>
      </w:r>
      <w:r>
        <w:rPr>
          <w:spacing w:val="-2"/>
        </w:rPr>
        <w:t xml:space="preserve"> </w:t>
      </w:r>
      <w:r>
        <w:t>environmental dimension to linguistic meaning.</w:t>
      </w:r>
    </w:p>
    <w:p w14:paraId="7E0014B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BD" w14:textId="77777777" w:rsidR="009A58DB" w:rsidRDefault="00000000">
      <w:pPr>
        <w:pStyle w:val="BodyText"/>
        <w:spacing w:before="65" w:line="249" w:lineRule="auto"/>
        <w:ind w:right="365" w:firstLine="360"/>
      </w:pPr>
      <w:r>
        <w:lastRenderedPageBreak/>
        <w:t>Given what we know about Twin-Smith and Twin-Earth, it follows that, when Twin-Smith utters TS, what he is saying is true exactly if:</w:t>
      </w:r>
    </w:p>
    <w:p w14:paraId="7E0014BE" w14:textId="77777777" w:rsidR="009A58DB" w:rsidRDefault="009A58DB">
      <w:pPr>
        <w:pStyle w:val="BodyText"/>
        <w:spacing w:before="17"/>
        <w:ind w:left="0"/>
        <w:jc w:val="left"/>
      </w:pPr>
    </w:p>
    <w:p w14:paraId="7E0014BF" w14:textId="77777777" w:rsidR="009A58DB" w:rsidRDefault="00000000">
      <w:pPr>
        <w:pStyle w:val="BodyText"/>
        <w:spacing w:line="249" w:lineRule="auto"/>
        <w:ind w:right="358"/>
      </w:pPr>
      <w:r>
        <w:t>(TS*) “When people are thirsty, they find it more refreshing to drink cool, glacial XYZ than warm, swamp water; and if there were no clean XYZ, people couldn’t survive.”</w:t>
      </w:r>
    </w:p>
    <w:p w14:paraId="7E0014C0" w14:textId="77777777" w:rsidR="009A58DB" w:rsidRDefault="009A58DB">
      <w:pPr>
        <w:pStyle w:val="BodyText"/>
        <w:spacing w:before="19"/>
        <w:ind w:left="0"/>
        <w:jc w:val="left"/>
      </w:pPr>
    </w:p>
    <w:p w14:paraId="7E0014C1" w14:textId="77777777" w:rsidR="009A58DB" w:rsidRDefault="00000000">
      <w:pPr>
        <w:pStyle w:val="BodyText"/>
      </w:pPr>
      <w:r>
        <w:t>And</w:t>
      </w:r>
      <w:r>
        <w:rPr>
          <w:spacing w:val="-6"/>
        </w:rPr>
        <w:t xml:space="preserve"> </w:t>
      </w:r>
      <w:r>
        <w:t>this</w:t>
      </w:r>
      <w:r>
        <w:rPr>
          <w:spacing w:val="-5"/>
        </w:rPr>
        <w:t xml:space="preserve"> </w:t>
      </w:r>
      <w:r>
        <w:t>is</w:t>
      </w:r>
      <w:r>
        <w:rPr>
          <w:spacing w:val="-4"/>
        </w:rPr>
        <w:t xml:space="preserve"> </w:t>
      </w:r>
      <w:r>
        <w:t>obviously</w:t>
      </w:r>
      <w:r>
        <w:rPr>
          <w:spacing w:val="-4"/>
        </w:rPr>
        <w:t xml:space="preserve"> </w:t>
      </w:r>
      <w:r>
        <w:t>consistent</w:t>
      </w:r>
      <w:r>
        <w:rPr>
          <w:spacing w:val="-4"/>
        </w:rPr>
        <w:t xml:space="preserve"> </w:t>
      </w:r>
      <w:r>
        <w:t>with</w:t>
      </w:r>
      <w:r>
        <w:rPr>
          <w:spacing w:val="-4"/>
        </w:rPr>
        <w:t xml:space="preserve"> </w:t>
      </w:r>
      <w:r>
        <w:t>Putnam’s</w:t>
      </w:r>
      <w:r>
        <w:rPr>
          <w:spacing w:val="-4"/>
        </w:rPr>
        <w:t xml:space="preserve"> </w:t>
      </w:r>
      <w:r>
        <w:t>thesis</w:t>
      </w:r>
      <w:r>
        <w:rPr>
          <w:spacing w:val="-5"/>
        </w:rPr>
        <w:t xml:space="preserve"> </w:t>
      </w:r>
      <w:r>
        <w:t>(henceforth</w:t>
      </w:r>
      <w:r>
        <w:rPr>
          <w:spacing w:val="-3"/>
        </w:rPr>
        <w:t xml:space="preserve"> </w:t>
      </w:r>
      <w:r>
        <w:rPr>
          <w:spacing w:val="-2"/>
        </w:rPr>
        <w:t>“PTM”).</w:t>
      </w:r>
    </w:p>
    <w:p w14:paraId="7E0014C2" w14:textId="77777777" w:rsidR="009A58DB" w:rsidRDefault="00000000">
      <w:pPr>
        <w:pStyle w:val="BodyText"/>
        <w:spacing w:before="15" w:line="249" w:lineRule="auto"/>
        <w:ind w:right="361" w:firstLine="360"/>
      </w:pPr>
      <w:r>
        <w:t xml:space="preserve">The doctrine that PTM is true is known as </w:t>
      </w:r>
      <w:r>
        <w:rPr>
          <w:i/>
        </w:rPr>
        <w:t xml:space="preserve">semantic externalism. </w:t>
      </w:r>
      <w:r>
        <w:t>It is so-called because, according to PTM, the determinants of the semantics of our expressions are (in some cases, in some respects) external to us.</w:t>
      </w:r>
    </w:p>
    <w:p w14:paraId="7E0014C3" w14:textId="77777777" w:rsidR="009A58DB" w:rsidRDefault="00000000">
      <w:pPr>
        <w:pStyle w:val="Heading1"/>
        <w:numPr>
          <w:ilvl w:val="1"/>
          <w:numId w:val="145"/>
        </w:numPr>
        <w:tabs>
          <w:tab w:val="left" w:pos="1070"/>
        </w:tabs>
        <w:spacing w:before="192" w:line="244" w:lineRule="auto"/>
        <w:ind w:right="358" w:firstLine="0"/>
      </w:pPr>
      <w:r>
        <w:t>Burge’s</w:t>
      </w:r>
      <w:r>
        <w:rPr>
          <w:spacing w:val="40"/>
        </w:rPr>
        <w:t xml:space="preserve"> </w:t>
      </w:r>
      <w:r>
        <w:t>blunder—the</w:t>
      </w:r>
      <w:r>
        <w:rPr>
          <w:spacing w:val="40"/>
        </w:rPr>
        <w:t xml:space="preserve"> </w:t>
      </w:r>
      <w:r>
        <w:t>(mis)step</w:t>
      </w:r>
      <w:r>
        <w:rPr>
          <w:spacing w:val="40"/>
        </w:rPr>
        <w:t xml:space="preserve"> </w:t>
      </w:r>
      <w:r>
        <w:t>from</w:t>
      </w:r>
      <w:r>
        <w:rPr>
          <w:spacing w:val="40"/>
        </w:rPr>
        <w:t xml:space="preserve"> </w:t>
      </w:r>
      <w:r>
        <w:t>semantic to content externalism</w:t>
      </w:r>
    </w:p>
    <w:p w14:paraId="7E0014C4" w14:textId="77777777" w:rsidR="009A58DB" w:rsidRDefault="00000000">
      <w:pPr>
        <w:pStyle w:val="BodyText"/>
        <w:spacing w:before="131" w:line="249" w:lineRule="auto"/>
        <w:ind w:right="358"/>
        <w:rPr>
          <w:i/>
        </w:rPr>
      </w:pPr>
      <w:r>
        <w:t>PTM is a deep, important, and original insight, and Putnam deserves sole credit</w:t>
      </w:r>
      <w:r>
        <w:rPr>
          <w:spacing w:val="-3"/>
        </w:rPr>
        <w:t xml:space="preserve"> </w:t>
      </w:r>
      <w:r>
        <w:t>for</w:t>
      </w:r>
      <w:r>
        <w:rPr>
          <w:spacing w:val="-2"/>
        </w:rPr>
        <w:t xml:space="preserve"> </w:t>
      </w:r>
      <w:r>
        <w:t>it.</w:t>
      </w:r>
      <w:r>
        <w:rPr>
          <w:spacing w:val="-2"/>
        </w:rPr>
        <w:t xml:space="preserve"> </w:t>
      </w:r>
      <w:r>
        <w:t>And</w:t>
      </w:r>
      <w:r>
        <w:rPr>
          <w:spacing w:val="-2"/>
        </w:rPr>
        <w:t xml:space="preserve"> </w:t>
      </w:r>
      <w:r>
        <w:t>unlike</w:t>
      </w:r>
      <w:r>
        <w:rPr>
          <w:spacing w:val="-2"/>
        </w:rPr>
        <w:t xml:space="preserve"> </w:t>
      </w:r>
      <w:r>
        <w:t>many</w:t>
      </w:r>
      <w:r>
        <w:rPr>
          <w:spacing w:val="-2"/>
        </w:rPr>
        <w:t xml:space="preserve"> </w:t>
      </w:r>
      <w:r>
        <w:t>of</w:t>
      </w:r>
      <w:r>
        <w:rPr>
          <w:spacing w:val="-2"/>
        </w:rPr>
        <w:t xml:space="preserve"> </w:t>
      </w:r>
      <w:r>
        <w:t>the</w:t>
      </w:r>
      <w:r>
        <w:rPr>
          <w:spacing w:val="-2"/>
        </w:rPr>
        <w:t xml:space="preserve"> </w:t>
      </w:r>
      <w:r>
        <w:t>philosophers</w:t>
      </w:r>
      <w:r>
        <w:rPr>
          <w:spacing w:val="-2"/>
        </w:rPr>
        <w:t xml:space="preserve"> </w:t>
      </w:r>
      <w:r>
        <w:t>who</w:t>
      </w:r>
      <w:r>
        <w:rPr>
          <w:spacing w:val="-2"/>
        </w:rPr>
        <w:t xml:space="preserve"> </w:t>
      </w:r>
      <w:r>
        <w:t>were</w:t>
      </w:r>
      <w:r>
        <w:rPr>
          <w:spacing w:val="-2"/>
        </w:rPr>
        <w:t xml:space="preserve"> </w:t>
      </w:r>
      <w:r>
        <w:t>influenced</w:t>
      </w:r>
      <w:r>
        <w:rPr>
          <w:spacing w:val="-2"/>
        </w:rPr>
        <w:t xml:space="preserve"> </w:t>
      </w:r>
      <w:r>
        <w:t>by</w:t>
      </w:r>
      <w:r>
        <w:rPr>
          <w:spacing w:val="-2"/>
        </w:rPr>
        <w:t xml:space="preserve"> </w:t>
      </w:r>
      <w:r>
        <w:t xml:space="preserve">his important article, Putnam’s views as to what PTM does and does not imply were correct. In MM, Putnam says that Smith’s </w:t>
      </w:r>
      <w:r>
        <w:rPr>
          <w:i/>
        </w:rPr>
        <w:t xml:space="preserve">words </w:t>
      </w:r>
      <w:r>
        <w:t xml:space="preserve">don’t have quite the same meanings as Twin-Smith’s </w:t>
      </w:r>
      <w:r>
        <w:rPr>
          <w:i/>
        </w:rPr>
        <w:t xml:space="preserve">words, </w:t>
      </w:r>
      <w:r>
        <w:t xml:space="preserve">even though Smith and Twin-Smith have the same </w:t>
      </w:r>
      <w:r>
        <w:rPr>
          <w:i/>
        </w:rPr>
        <w:t>thoughts.</w:t>
      </w:r>
    </w:p>
    <w:p w14:paraId="7E0014C5" w14:textId="77777777" w:rsidR="009A58DB" w:rsidRDefault="00000000">
      <w:pPr>
        <w:pStyle w:val="BodyText"/>
        <w:spacing w:before="8" w:line="249" w:lineRule="auto"/>
        <w:ind w:right="360" w:firstLine="360"/>
      </w:pPr>
      <w:r>
        <w:t>Under pressure from other philosophers, especially Tyler Burg</w:t>
      </w:r>
      <w:bookmarkStart w:id="264" w:name="_bookmark264"/>
      <w:bookmarkEnd w:id="264"/>
      <w:r>
        <w:t>e</w:t>
      </w:r>
      <w:r>
        <w:rPr>
          <w:color w:val="0562C1"/>
          <w:position w:val="21"/>
          <w:u w:val="single" w:color="0562C1"/>
        </w:rPr>
        <w:t>[166]</w:t>
      </w:r>
      <w:r>
        <w:t>, Putna</w:t>
      </w:r>
      <w:bookmarkStart w:id="265" w:name="_bookmark265"/>
      <w:bookmarkEnd w:id="265"/>
      <w:r>
        <w:t>m</w:t>
      </w:r>
      <w:r>
        <w:rPr>
          <w:color w:val="0562C1"/>
          <w:position w:val="21"/>
          <w:u w:val="single" w:color="0562C1"/>
        </w:rPr>
        <w:t>[167]</w:t>
      </w:r>
      <w:r>
        <w:rPr>
          <w:color w:val="0562C1"/>
          <w:position w:val="21"/>
        </w:rPr>
        <w:t xml:space="preserve"> </w:t>
      </w:r>
      <w:r>
        <w:t xml:space="preserve">later rejected this correct and profound insight, and he came to accept Burge’s position, which is that, not only do Smith’s </w:t>
      </w:r>
      <w:r>
        <w:rPr>
          <w:i/>
        </w:rPr>
        <w:t xml:space="preserve">words </w:t>
      </w:r>
      <w:r>
        <w:t>have different</w:t>
      </w:r>
      <w:r>
        <w:rPr>
          <w:spacing w:val="-5"/>
        </w:rPr>
        <w:t xml:space="preserve"> </w:t>
      </w:r>
      <w:r>
        <w:rPr>
          <w:i/>
        </w:rPr>
        <w:t>meanings</w:t>
      </w:r>
      <w:r>
        <w:rPr>
          <w:i/>
          <w:spacing w:val="-5"/>
        </w:rPr>
        <w:t xml:space="preserve"> </w:t>
      </w:r>
      <w:r>
        <w:t>from</w:t>
      </w:r>
      <w:r>
        <w:rPr>
          <w:spacing w:val="-5"/>
        </w:rPr>
        <w:t xml:space="preserve"> </w:t>
      </w:r>
      <w:r>
        <w:t>Twin-Smith’s,</w:t>
      </w:r>
      <w:r>
        <w:rPr>
          <w:spacing w:val="-4"/>
        </w:rPr>
        <w:t xml:space="preserve"> </w:t>
      </w:r>
      <w:r>
        <w:t>Smith’s</w:t>
      </w:r>
      <w:r>
        <w:rPr>
          <w:spacing w:val="-5"/>
        </w:rPr>
        <w:t xml:space="preserve"> </w:t>
      </w:r>
      <w:r>
        <w:rPr>
          <w:i/>
        </w:rPr>
        <w:t>thoughts</w:t>
      </w:r>
      <w:r>
        <w:rPr>
          <w:i/>
          <w:spacing w:val="-5"/>
        </w:rPr>
        <w:t xml:space="preserve"> </w:t>
      </w:r>
      <w:r>
        <w:t xml:space="preserve">don’t have the same </w:t>
      </w:r>
      <w:r>
        <w:rPr>
          <w:i/>
        </w:rPr>
        <w:t xml:space="preserve">contents </w:t>
      </w:r>
      <w:r>
        <w:t>as Twin-Smith’s.</w:t>
      </w:r>
    </w:p>
    <w:p w14:paraId="7E0014C6" w14:textId="77777777" w:rsidR="009A58DB" w:rsidRDefault="00000000">
      <w:pPr>
        <w:pStyle w:val="BodyText"/>
        <w:spacing w:before="6" w:line="249" w:lineRule="auto"/>
        <w:ind w:right="358" w:firstLine="360"/>
      </w:pPr>
      <w:r>
        <w:t>Burge’s work has been enormously influential. It didn’t just influence Putnam, but analytic philosophy as a whole. Thanks largely to Burge’s work, it came to be widely held for 20 years or so that Smith and Twin-Smith have different</w:t>
      </w:r>
      <w:r>
        <w:rPr>
          <w:spacing w:val="-4"/>
        </w:rPr>
        <w:t xml:space="preserve"> </w:t>
      </w:r>
      <w:r>
        <w:rPr>
          <w:i/>
        </w:rPr>
        <w:t>thoughts.</w:t>
      </w:r>
      <w:r>
        <w:rPr>
          <w:i/>
          <w:spacing w:val="-3"/>
        </w:rPr>
        <w:t xml:space="preserve"> </w:t>
      </w:r>
      <w:r>
        <w:t>This must be understood aright. Nobody denies that Smith and Twin-Smith have numerically different thoughts. Burge is making the much less innocuous claim that what Smith is thinking is different from what Twin-Smith is thinking. In Burge’s view, just my thought that it’s hot during the summer has a different content from your thought that it’s cold during the</w:t>
      </w:r>
    </w:p>
    <w:p w14:paraId="7E0014C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4C8" w14:textId="77777777" w:rsidR="009A58DB" w:rsidRDefault="00000000">
      <w:pPr>
        <w:pStyle w:val="BodyText"/>
        <w:spacing w:before="60" w:line="249" w:lineRule="auto"/>
        <w:ind w:right="358"/>
      </w:pPr>
      <w:r>
        <w:lastRenderedPageBreak/>
        <w:t>winter,</w:t>
      </w:r>
      <w:r>
        <w:rPr>
          <w:spacing w:val="-3"/>
        </w:rPr>
        <w:t xml:space="preserve"> </w:t>
      </w:r>
      <w:r>
        <w:t>so,</w:t>
      </w:r>
      <w:r>
        <w:rPr>
          <w:spacing w:val="-3"/>
        </w:rPr>
        <w:t xml:space="preserve"> </w:t>
      </w:r>
      <w:r>
        <w:t>according</w:t>
      </w:r>
      <w:r>
        <w:rPr>
          <w:spacing w:val="-3"/>
        </w:rPr>
        <w:t xml:space="preserve"> </w:t>
      </w:r>
      <w:r>
        <w:t>to</w:t>
      </w:r>
      <w:r>
        <w:rPr>
          <w:spacing w:val="-3"/>
        </w:rPr>
        <w:t xml:space="preserve"> </w:t>
      </w:r>
      <w:r>
        <w:t>Burge,</w:t>
      </w:r>
      <w:r>
        <w:rPr>
          <w:spacing w:val="-3"/>
        </w:rPr>
        <w:t xml:space="preserve"> </w:t>
      </w:r>
      <w:r>
        <w:t>the</w:t>
      </w:r>
      <w:r>
        <w:rPr>
          <w:spacing w:val="-3"/>
        </w:rPr>
        <w:t xml:space="preserve"> </w:t>
      </w:r>
      <w:r>
        <w:t>thought</w:t>
      </w:r>
      <w:r>
        <w:rPr>
          <w:spacing w:val="-3"/>
        </w:rPr>
        <w:t xml:space="preserve"> </w:t>
      </w:r>
      <w:r>
        <w:t>that</w:t>
      </w:r>
      <w:r>
        <w:rPr>
          <w:spacing w:val="-3"/>
        </w:rPr>
        <w:t xml:space="preserve"> </w:t>
      </w:r>
      <w:r>
        <w:t>Smith</w:t>
      </w:r>
      <w:r>
        <w:rPr>
          <w:spacing w:val="-3"/>
        </w:rPr>
        <w:t xml:space="preserve"> </w:t>
      </w:r>
      <w:r>
        <w:t>expresses</w:t>
      </w:r>
      <w:r>
        <w:rPr>
          <w:spacing w:val="-3"/>
        </w:rPr>
        <w:t xml:space="preserve"> </w:t>
      </w:r>
      <w:r>
        <w:t>in</w:t>
      </w:r>
      <w:r>
        <w:rPr>
          <w:spacing w:val="-3"/>
        </w:rPr>
        <w:t xml:space="preserve"> </w:t>
      </w:r>
      <w:r>
        <w:t>saying,</w:t>
      </w:r>
      <w:r>
        <w:rPr>
          <w:spacing w:val="-3"/>
        </w:rPr>
        <w:t xml:space="preserve"> </w:t>
      </w:r>
      <w:r>
        <w:t>for property psi, “water has psi” is different from the thought that Twin-Smith expresses by means of that same utterance.</w:t>
      </w:r>
    </w:p>
    <w:p w14:paraId="7E0014C9" w14:textId="77777777" w:rsidR="009A58DB" w:rsidRDefault="00000000">
      <w:pPr>
        <w:pStyle w:val="BodyText"/>
        <w:spacing w:before="8" w:line="249" w:lineRule="auto"/>
        <w:ind w:right="358" w:firstLine="360"/>
      </w:pPr>
      <w:r>
        <w:t>This interesting chapter in the history of analytic philosophy began in 1979,</w:t>
      </w:r>
      <w:r>
        <w:rPr>
          <w:spacing w:val="-1"/>
        </w:rPr>
        <w:t xml:space="preserve"> </w:t>
      </w:r>
      <w:r>
        <w:t>four</w:t>
      </w:r>
      <w:r>
        <w:rPr>
          <w:spacing w:val="-1"/>
        </w:rPr>
        <w:t xml:space="preserve"> </w:t>
      </w:r>
      <w:r>
        <w:t>years</w:t>
      </w:r>
      <w:r>
        <w:rPr>
          <w:spacing w:val="-1"/>
        </w:rPr>
        <w:t xml:space="preserve"> </w:t>
      </w:r>
      <w:r>
        <w:t>after</w:t>
      </w:r>
      <w:r>
        <w:rPr>
          <w:spacing w:val="-1"/>
        </w:rPr>
        <w:t xml:space="preserve"> </w:t>
      </w:r>
      <w:r>
        <w:t>Putnam</w:t>
      </w:r>
      <w:r>
        <w:rPr>
          <w:spacing w:val="-1"/>
        </w:rPr>
        <w:t xml:space="preserve"> </w:t>
      </w:r>
      <w:r>
        <w:t>published</w:t>
      </w:r>
      <w:r>
        <w:rPr>
          <w:spacing w:val="-1"/>
        </w:rPr>
        <w:t xml:space="preserve"> </w:t>
      </w:r>
      <w:r>
        <w:t>MM,</w:t>
      </w:r>
      <w:r>
        <w:rPr>
          <w:spacing w:val="-1"/>
        </w:rPr>
        <w:t xml:space="preserve"> </w:t>
      </w:r>
      <w:r>
        <w:t>with</w:t>
      </w:r>
      <w:r>
        <w:rPr>
          <w:spacing w:val="-1"/>
        </w:rPr>
        <w:t xml:space="preserve"> </w:t>
      </w:r>
      <w:r>
        <w:t>the</w:t>
      </w:r>
      <w:r>
        <w:rPr>
          <w:spacing w:val="-1"/>
        </w:rPr>
        <w:t xml:space="preserve"> </w:t>
      </w:r>
      <w:r>
        <w:t>publication</w:t>
      </w:r>
      <w:r>
        <w:rPr>
          <w:spacing w:val="-1"/>
        </w:rPr>
        <w:t xml:space="preserve"> </w:t>
      </w:r>
      <w:r>
        <w:t>of</w:t>
      </w:r>
      <w:r>
        <w:rPr>
          <w:spacing w:val="-1"/>
        </w:rPr>
        <w:t xml:space="preserve"> </w:t>
      </w:r>
      <w:r>
        <w:t>Burge’s article “Individualism and the mental” (henceforth, “BI</w:t>
      </w:r>
      <w:bookmarkStart w:id="266" w:name="_bookmark266"/>
      <w:bookmarkEnd w:id="266"/>
      <w:r>
        <w:t>”</w:t>
      </w:r>
      <w:r>
        <w:rPr>
          <w:color w:val="0562C1"/>
          <w:position w:val="21"/>
          <w:u w:val="single" w:color="0562C1"/>
        </w:rPr>
        <w:t>[168]</w:t>
      </w:r>
      <w:r>
        <w:t>). Here is what Burge</w:t>
      </w:r>
      <w:r>
        <w:rPr>
          <w:spacing w:val="-3"/>
        </w:rPr>
        <w:t xml:space="preserve"> </w:t>
      </w:r>
      <w:r>
        <w:t>argues.</w:t>
      </w:r>
      <w:r>
        <w:rPr>
          <w:spacing w:val="-2"/>
        </w:rPr>
        <w:t xml:space="preserve"> </w:t>
      </w:r>
      <w:r>
        <w:t>There</w:t>
      </w:r>
      <w:r>
        <w:rPr>
          <w:spacing w:val="-3"/>
        </w:rPr>
        <w:t xml:space="preserve"> </w:t>
      </w:r>
      <w:r>
        <w:t>is</w:t>
      </w:r>
      <w:r>
        <w:rPr>
          <w:spacing w:val="-3"/>
        </w:rPr>
        <w:t xml:space="preserve"> </w:t>
      </w:r>
      <w:r>
        <w:t>a</w:t>
      </w:r>
      <w:r>
        <w:rPr>
          <w:spacing w:val="-3"/>
        </w:rPr>
        <w:t xml:space="preserve"> </w:t>
      </w:r>
      <w:r>
        <w:t>planet,</w:t>
      </w:r>
      <w:r>
        <w:rPr>
          <w:spacing w:val="-2"/>
        </w:rPr>
        <w:t xml:space="preserve"> </w:t>
      </w:r>
      <w:r>
        <w:t>which</w:t>
      </w:r>
      <w:r>
        <w:rPr>
          <w:spacing w:val="-3"/>
        </w:rPr>
        <w:t xml:space="preserve"> </w:t>
      </w:r>
      <w:r>
        <w:t>we’ll</w:t>
      </w:r>
      <w:r>
        <w:rPr>
          <w:spacing w:val="-3"/>
        </w:rPr>
        <w:t xml:space="preserve"> </w:t>
      </w:r>
      <w:r>
        <w:t>call</w:t>
      </w:r>
      <w:r>
        <w:rPr>
          <w:spacing w:val="-3"/>
        </w:rPr>
        <w:t xml:space="preserve"> </w:t>
      </w:r>
      <w:r>
        <w:t>“Twin-Earth,”</w:t>
      </w:r>
      <w:r>
        <w:rPr>
          <w:spacing w:val="-3"/>
        </w:rPr>
        <w:t xml:space="preserve"> </w:t>
      </w:r>
      <w:r>
        <w:t>that</w:t>
      </w:r>
      <w:r>
        <w:rPr>
          <w:spacing w:val="-3"/>
        </w:rPr>
        <w:t xml:space="preserve"> </w:t>
      </w:r>
      <w:r>
        <w:t>is</w:t>
      </w:r>
      <w:r>
        <w:rPr>
          <w:spacing w:val="-3"/>
        </w:rPr>
        <w:t xml:space="preserve"> </w:t>
      </w:r>
      <w:r>
        <w:t>exactly like Earth, with one qualification to be stated in a moment. The events on Twin-Earth are in lockstep with those on Earth. So given that earthling Smith sneezes at a certain time, Twin-earthling Twin-Smith sneezes in the exact same way at the exact same time.</w:t>
      </w:r>
    </w:p>
    <w:p w14:paraId="7E0014CA" w14:textId="77777777" w:rsidR="009A58DB" w:rsidRDefault="00000000">
      <w:pPr>
        <w:pStyle w:val="BodyText"/>
        <w:spacing w:before="10" w:line="249" w:lineRule="auto"/>
        <w:ind w:right="362" w:firstLine="360"/>
      </w:pPr>
      <w:r>
        <w:t xml:space="preserve">Given what we’ve said, it follows that English is spoken by many people on Twin-Earth. Twin-Smith is one of these people. On our planet—on Earth, in other words—“arthritis” refers to a disease exclusively of the joints. On Twin-Earth, “arthritis” refers to a malady not </w:t>
      </w:r>
      <w:r>
        <w:rPr>
          <w:i/>
        </w:rPr>
        <w:t xml:space="preserve">only </w:t>
      </w:r>
      <w:r>
        <w:t>of the joints, but also of certain bones (as opposed to the cartilaginous joints linking bones to one another). So, on Twin-Earth, “arthritis” doesn’t refer to the same disease that it refers to on Earth. It refers to a similar, but distinct ailment. Let us refer to that ailment as “twin-arthritis.”</w:t>
      </w:r>
    </w:p>
    <w:p w14:paraId="7E0014CB" w14:textId="77777777" w:rsidR="009A58DB" w:rsidRDefault="00000000">
      <w:pPr>
        <w:pStyle w:val="BodyText"/>
        <w:spacing w:before="10" w:line="501" w:lineRule="auto"/>
        <w:ind w:right="4416" w:firstLine="360"/>
        <w:jc w:val="left"/>
      </w:pPr>
      <w:r>
        <w:t>On</w:t>
      </w:r>
      <w:r>
        <w:rPr>
          <w:spacing w:val="-8"/>
        </w:rPr>
        <w:t xml:space="preserve"> </w:t>
      </w:r>
      <w:r>
        <w:t>Earth,</w:t>
      </w:r>
      <w:r>
        <w:rPr>
          <w:spacing w:val="-8"/>
        </w:rPr>
        <w:t xml:space="preserve"> </w:t>
      </w:r>
      <w:r>
        <w:t>Smith</w:t>
      </w:r>
      <w:r>
        <w:rPr>
          <w:spacing w:val="-8"/>
        </w:rPr>
        <w:t xml:space="preserve"> </w:t>
      </w:r>
      <w:r>
        <w:t>regards</w:t>
      </w:r>
      <w:r>
        <w:rPr>
          <w:spacing w:val="-9"/>
        </w:rPr>
        <w:t xml:space="preserve"> </w:t>
      </w:r>
      <w:r>
        <w:t>the</w:t>
      </w:r>
      <w:r>
        <w:rPr>
          <w:spacing w:val="-9"/>
        </w:rPr>
        <w:t xml:space="preserve"> </w:t>
      </w:r>
      <w:r>
        <w:t>sentence: (A</w:t>
      </w:r>
      <w:bookmarkStart w:id="267" w:name="_bookmark267"/>
      <w:bookmarkEnd w:id="267"/>
      <w:r>
        <w:t>U</w:t>
      </w:r>
      <w:r>
        <w:rPr>
          <w:color w:val="0562C1"/>
          <w:position w:val="21"/>
          <w:u w:val="single" w:color="0562C1"/>
        </w:rPr>
        <w:t>[169]</w:t>
      </w:r>
      <w:r>
        <w:t>) “arthritis is unpleasant”</w:t>
      </w:r>
    </w:p>
    <w:p w14:paraId="7E0014CC" w14:textId="77777777" w:rsidR="009A58DB" w:rsidRDefault="009A58DB">
      <w:pPr>
        <w:pStyle w:val="BodyText"/>
        <w:spacing w:line="501" w:lineRule="auto"/>
        <w:jc w:val="left"/>
        <w:sectPr w:rsidR="009A58DB">
          <w:pgSz w:w="12240" w:h="15840"/>
          <w:pgMar w:top="1380" w:right="1080" w:bottom="280" w:left="1080" w:header="720" w:footer="720" w:gutter="0"/>
          <w:cols w:space="720"/>
        </w:sectPr>
      </w:pPr>
    </w:p>
    <w:p w14:paraId="7E0014CD" w14:textId="77777777" w:rsidR="009A58DB" w:rsidRDefault="00000000">
      <w:pPr>
        <w:pStyle w:val="BodyText"/>
        <w:spacing w:before="65" w:line="249" w:lineRule="auto"/>
        <w:ind w:right="358"/>
      </w:pPr>
      <w:r>
        <w:lastRenderedPageBreak/>
        <w:t>as expressing a truth. And because he personally suffers from arthritis, he often utters AU. (In this context, it is to be assumed that Smith is speaking sincerely, is cognitively competent, etc., and these same assumptions are to</w:t>
      </w:r>
      <w:r>
        <w:rPr>
          <w:spacing w:val="40"/>
        </w:rPr>
        <w:t xml:space="preserve"> </w:t>
      </w:r>
      <w:r>
        <w:t>be made about Twin-Smith).</w:t>
      </w:r>
    </w:p>
    <w:p w14:paraId="7E0014CE" w14:textId="77777777" w:rsidR="009A58DB" w:rsidRDefault="00000000">
      <w:pPr>
        <w:pStyle w:val="BodyText"/>
        <w:spacing w:before="5" w:line="249" w:lineRule="auto"/>
        <w:ind w:right="361" w:firstLine="360"/>
      </w:pPr>
      <w:r>
        <w:t>Like Smith, Twin-Smith regards AU as expressing a truth. But, according to Burge, the thought underlying Twin-Smith’s utterance of AU is different from the thought underlying Smith’s utterance of it. Twin-Smith is thinking about twin-arthritis, not arthritis, and Smith is thinking about arthritis, not twin-arthritis. In a moment, we’ll evaluate this important claim.</w:t>
      </w:r>
    </w:p>
    <w:p w14:paraId="7E0014CF" w14:textId="77777777" w:rsidR="009A58DB" w:rsidRDefault="00000000">
      <w:pPr>
        <w:pStyle w:val="BodyText"/>
        <w:spacing w:before="6" w:line="249" w:lineRule="auto"/>
        <w:ind w:right="364" w:firstLine="360"/>
      </w:pPr>
      <w:r>
        <w:t>Burge concludes from this that two people who are atom-for-atom duplicates</w:t>
      </w:r>
      <w:r>
        <w:rPr>
          <w:spacing w:val="-3"/>
        </w:rPr>
        <w:t xml:space="preserve"> </w:t>
      </w:r>
      <w:r>
        <w:t>of</w:t>
      </w:r>
      <w:r>
        <w:rPr>
          <w:spacing w:val="-3"/>
        </w:rPr>
        <w:t xml:space="preserve"> </w:t>
      </w:r>
      <w:r>
        <w:t>each</w:t>
      </w:r>
      <w:r>
        <w:rPr>
          <w:spacing w:val="-3"/>
        </w:rPr>
        <w:t xml:space="preserve"> </w:t>
      </w:r>
      <w:r>
        <w:t>other,</w:t>
      </w:r>
      <w:r>
        <w:rPr>
          <w:spacing w:val="-3"/>
        </w:rPr>
        <w:t xml:space="preserve"> </w:t>
      </w:r>
      <w:r>
        <w:t>each</w:t>
      </w:r>
      <w:r>
        <w:rPr>
          <w:spacing w:val="-3"/>
        </w:rPr>
        <w:t xml:space="preserve"> </w:t>
      </w:r>
      <w:r>
        <w:t>a</w:t>
      </w:r>
      <w:r>
        <w:rPr>
          <w:spacing w:val="-3"/>
        </w:rPr>
        <w:t xml:space="preserve"> </w:t>
      </w:r>
      <w:r>
        <w:t>perfect</w:t>
      </w:r>
      <w:r>
        <w:rPr>
          <w:spacing w:val="-3"/>
        </w:rPr>
        <w:t xml:space="preserve"> </w:t>
      </w:r>
      <w:r>
        <w:t>physiological</w:t>
      </w:r>
      <w:r>
        <w:rPr>
          <w:spacing w:val="-3"/>
        </w:rPr>
        <w:t xml:space="preserve"> </w:t>
      </w:r>
      <w:r>
        <w:t>and</w:t>
      </w:r>
      <w:r>
        <w:rPr>
          <w:spacing w:val="-3"/>
        </w:rPr>
        <w:t xml:space="preserve"> </w:t>
      </w:r>
      <w:r>
        <w:t>psychological</w:t>
      </w:r>
      <w:r>
        <w:rPr>
          <w:spacing w:val="-3"/>
        </w:rPr>
        <w:t xml:space="preserve"> </w:t>
      </w:r>
      <w:r>
        <w:t xml:space="preserve">clone of the other, may have thoughts with different contents. Twin-Smith is thinking </w:t>
      </w:r>
      <w:r>
        <w:rPr>
          <w:i/>
        </w:rPr>
        <w:t xml:space="preserve">Descartes </w:t>
      </w:r>
      <w:r>
        <w:t xml:space="preserve">(or Twin-Descartes, rather) </w:t>
      </w:r>
      <w:r>
        <w:rPr>
          <w:i/>
        </w:rPr>
        <w:t xml:space="preserve">was a great philosopher, </w:t>
      </w:r>
      <w:r>
        <w:t xml:space="preserve">whereas Smith is thinking </w:t>
      </w:r>
      <w:r>
        <w:rPr>
          <w:i/>
        </w:rPr>
        <w:t xml:space="preserve">Ted Danson is a great philosopher, </w:t>
      </w:r>
      <w:r>
        <w:t>notwithstanding that Smith and Twin-Smith are, by Burge’s hypothesis, psychologically exactly the same.</w:t>
      </w:r>
    </w:p>
    <w:p w14:paraId="7E0014D0" w14:textId="77777777" w:rsidR="009A58DB" w:rsidRDefault="00000000">
      <w:pPr>
        <w:pStyle w:val="BodyText"/>
        <w:spacing w:before="8" w:line="249" w:lineRule="auto"/>
        <w:ind w:right="366" w:firstLine="360"/>
      </w:pPr>
      <w:r>
        <w:t xml:space="preserve">Is Burge right? First of all, he’s right that, on Twin-Earth, “arthritis” doesn’t </w:t>
      </w:r>
      <w:r>
        <w:rPr>
          <w:i/>
        </w:rPr>
        <w:t xml:space="preserve">refer </w:t>
      </w:r>
      <w:r>
        <w:t xml:space="preserve">to arthritis, and instead refers to twin-arthritis. This is precisely what Putnam showed. But is Burge right that Smith and Twin-Smith are </w:t>
      </w:r>
      <w:r>
        <w:rPr>
          <w:i/>
        </w:rPr>
        <w:t xml:space="preserve">cognitively </w:t>
      </w:r>
      <w:r>
        <w:t>different?</w:t>
      </w:r>
    </w:p>
    <w:p w14:paraId="7E0014D1" w14:textId="77777777" w:rsidR="009A58DB" w:rsidRDefault="00000000">
      <w:pPr>
        <w:pStyle w:val="BodyText"/>
        <w:spacing w:before="5" w:line="249" w:lineRule="auto"/>
        <w:ind w:right="363" w:firstLine="360"/>
      </w:pPr>
      <w:r>
        <w:t>No. How does Smith learn what “arthritis” refers to? Here’s a possible answer (and it’s representative, in the relevant respects, of all the other possible answers). Addressing Smith, so and so says:</w:t>
      </w:r>
    </w:p>
    <w:p w14:paraId="7E0014D2" w14:textId="77777777" w:rsidR="009A58DB" w:rsidRDefault="009A58DB">
      <w:pPr>
        <w:pStyle w:val="BodyText"/>
        <w:spacing w:before="19"/>
        <w:ind w:left="0"/>
        <w:jc w:val="left"/>
      </w:pPr>
    </w:p>
    <w:p w14:paraId="7E0014D3" w14:textId="77777777" w:rsidR="009A58DB" w:rsidRDefault="00000000">
      <w:pPr>
        <w:pStyle w:val="BodyText"/>
        <w:spacing w:line="292" w:lineRule="auto"/>
        <w:ind w:right="371"/>
      </w:pPr>
      <w:r>
        <w:t>(A</w:t>
      </w:r>
      <w:r>
        <w:rPr>
          <w:vertAlign w:val="subscript"/>
        </w:rPr>
        <w:t>1</w:t>
      </w:r>
      <w:r>
        <w:t>) “the unpleasant inflammation in your knees is due to arthritis; arthritis can do terrible damage to one’s joints.”</w:t>
      </w:r>
    </w:p>
    <w:p w14:paraId="7E0014D4" w14:textId="77777777" w:rsidR="009A58DB" w:rsidRDefault="00000000">
      <w:pPr>
        <w:pStyle w:val="BodyText"/>
        <w:spacing w:before="298"/>
      </w:pPr>
      <w:r>
        <w:t>A</w:t>
      </w:r>
      <w:r>
        <w:rPr>
          <w:vertAlign w:val="subscript"/>
        </w:rPr>
        <w:t>1</w:t>
      </w:r>
      <w:r>
        <w:rPr>
          <w:spacing w:val="2"/>
        </w:rPr>
        <w:t xml:space="preserve"> </w:t>
      </w:r>
      <w:r>
        <w:t>is</w:t>
      </w:r>
      <w:r>
        <w:rPr>
          <w:spacing w:val="1"/>
        </w:rPr>
        <w:t xml:space="preserve"> </w:t>
      </w:r>
      <w:r>
        <w:t>to</w:t>
      </w:r>
      <w:r>
        <w:rPr>
          <w:spacing w:val="2"/>
        </w:rPr>
        <w:t xml:space="preserve"> </w:t>
      </w:r>
      <w:r>
        <w:t>the</w:t>
      </w:r>
      <w:r>
        <w:rPr>
          <w:spacing w:val="1"/>
        </w:rPr>
        <w:t xml:space="preserve"> </w:t>
      </w:r>
      <w:r>
        <w:t>effect</w:t>
      </w:r>
      <w:r>
        <w:rPr>
          <w:spacing w:val="1"/>
        </w:rPr>
        <w:t xml:space="preserve"> </w:t>
      </w:r>
      <w:r>
        <w:rPr>
          <w:spacing w:val="-2"/>
        </w:rPr>
        <w:t>that:</w:t>
      </w:r>
    </w:p>
    <w:p w14:paraId="7E0014D5" w14:textId="77777777" w:rsidR="009A58DB" w:rsidRDefault="009A58DB">
      <w:pPr>
        <w:pStyle w:val="BodyText"/>
        <w:spacing w:before="90"/>
        <w:ind w:left="0"/>
        <w:jc w:val="left"/>
      </w:pPr>
    </w:p>
    <w:p w14:paraId="7E0014D6" w14:textId="77777777" w:rsidR="009A58DB" w:rsidRDefault="00000000">
      <w:pPr>
        <w:pStyle w:val="BodyText"/>
        <w:spacing w:line="292" w:lineRule="auto"/>
        <w:ind w:right="365"/>
      </w:pPr>
      <w:r>
        <w:t>(A</w:t>
      </w:r>
      <w:r>
        <w:rPr>
          <w:vertAlign w:val="subscript"/>
        </w:rPr>
        <w:t>2</w:t>
      </w:r>
      <w:r>
        <w:t>) there is some x such that the swelling in your knees is due to x and such that x can do terrible damage to one’s joints; moreover, “arthritis” refers to x.</w:t>
      </w:r>
    </w:p>
    <w:p w14:paraId="7E0014D7" w14:textId="77777777" w:rsidR="009A58DB" w:rsidRDefault="00000000">
      <w:pPr>
        <w:pStyle w:val="BodyText"/>
        <w:spacing w:before="299"/>
      </w:pPr>
      <w:r>
        <w:t>For</w:t>
      </w:r>
      <w:r>
        <w:rPr>
          <w:spacing w:val="-6"/>
        </w:rPr>
        <w:t xml:space="preserve"> </w:t>
      </w:r>
      <w:r>
        <w:t>now</w:t>
      </w:r>
      <w:r>
        <w:rPr>
          <w:spacing w:val="-4"/>
        </w:rPr>
        <w:t xml:space="preserve"> </w:t>
      </w:r>
      <w:r>
        <w:t>familiar</w:t>
      </w:r>
      <w:r>
        <w:rPr>
          <w:spacing w:val="-4"/>
        </w:rPr>
        <w:t xml:space="preserve"> </w:t>
      </w:r>
      <w:r>
        <w:t>reasons,</w:t>
      </w:r>
      <w:r>
        <w:rPr>
          <w:spacing w:val="-3"/>
        </w:rPr>
        <w:t xml:space="preserve"> </w:t>
      </w:r>
      <w:r>
        <w:t>it</w:t>
      </w:r>
      <w:r>
        <w:rPr>
          <w:spacing w:val="-4"/>
        </w:rPr>
        <w:t xml:space="preserve"> </w:t>
      </w:r>
      <w:r>
        <w:t>follows</w:t>
      </w:r>
      <w:r>
        <w:rPr>
          <w:spacing w:val="-4"/>
        </w:rPr>
        <w:t xml:space="preserve"> </w:t>
      </w:r>
      <w:r>
        <w:t>that</w:t>
      </w:r>
      <w:r>
        <w:rPr>
          <w:spacing w:val="-4"/>
        </w:rPr>
        <w:t xml:space="preserve"> </w:t>
      </w:r>
      <w:r>
        <w:t>when</w:t>
      </w:r>
      <w:r>
        <w:rPr>
          <w:spacing w:val="-3"/>
        </w:rPr>
        <w:t xml:space="preserve"> </w:t>
      </w:r>
      <w:r>
        <w:t>Smith</w:t>
      </w:r>
      <w:r>
        <w:rPr>
          <w:spacing w:val="-3"/>
        </w:rPr>
        <w:t xml:space="preserve"> </w:t>
      </w:r>
      <w:r>
        <w:t>hears</w:t>
      </w:r>
      <w:r>
        <w:rPr>
          <w:spacing w:val="-4"/>
        </w:rPr>
        <w:t xml:space="preserve"> </w:t>
      </w:r>
      <w:r>
        <w:t>someone</w:t>
      </w:r>
      <w:r>
        <w:rPr>
          <w:spacing w:val="-3"/>
        </w:rPr>
        <w:t xml:space="preserve"> </w:t>
      </w:r>
      <w:r>
        <w:rPr>
          <w:spacing w:val="-4"/>
        </w:rPr>
        <w:t>say:</w:t>
      </w:r>
    </w:p>
    <w:p w14:paraId="7E0014D8" w14:textId="77777777" w:rsidR="009A58DB" w:rsidRDefault="009A58DB">
      <w:pPr>
        <w:pStyle w:val="BodyText"/>
        <w:sectPr w:rsidR="009A58DB">
          <w:pgSz w:w="12240" w:h="15840"/>
          <w:pgMar w:top="1740" w:right="1080" w:bottom="280" w:left="1080" w:header="720" w:footer="720" w:gutter="0"/>
          <w:cols w:space="720"/>
        </w:sectPr>
      </w:pPr>
    </w:p>
    <w:p w14:paraId="7E0014D9" w14:textId="77777777" w:rsidR="009A58DB" w:rsidRDefault="00000000">
      <w:pPr>
        <w:pStyle w:val="BodyText"/>
        <w:spacing w:before="65"/>
        <w:jc w:val="left"/>
      </w:pPr>
      <w:r>
        <w:lastRenderedPageBreak/>
        <w:t>(A</w:t>
      </w:r>
      <w:r>
        <w:rPr>
          <w:vertAlign w:val="subscript"/>
        </w:rPr>
        <w:t>3</w:t>
      </w:r>
      <w:r>
        <w:t>)</w:t>
      </w:r>
      <w:r>
        <w:rPr>
          <w:spacing w:val="1"/>
        </w:rPr>
        <w:t xml:space="preserve"> </w:t>
      </w:r>
      <w:r>
        <w:t>“arthritis</w:t>
      </w:r>
      <w:r>
        <w:rPr>
          <w:spacing w:val="2"/>
        </w:rPr>
        <w:t xml:space="preserve"> </w:t>
      </w:r>
      <w:r>
        <w:t>has</w:t>
      </w:r>
      <w:r>
        <w:rPr>
          <w:spacing w:val="2"/>
        </w:rPr>
        <w:t xml:space="preserve"> </w:t>
      </w:r>
      <w:r>
        <w:rPr>
          <w:spacing w:val="-2"/>
        </w:rPr>
        <w:t>psi,”</w:t>
      </w:r>
    </w:p>
    <w:p w14:paraId="7E0014DA" w14:textId="77777777" w:rsidR="009A58DB" w:rsidRDefault="009A58DB">
      <w:pPr>
        <w:pStyle w:val="BodyText"/>
        <w:spacing w:before="89"/>
        <w:ind w:left="0"/>
        <w:jc w:val="left"/>
      </w:pPr>
    </w:p>
    <w:p w14:paraId="7E0014DB" w14:textId="77777777" w:rsidR="009A58DB" w:rsidRDefault="00000000">
      <w:pPr>
        <w:pStyle w:val="BodyText"/>
        <w:spacing w:before="1"/>
        <w:jc w:val="left"/>
      </w:pPr>
      <w:r>
        <w:t>the</w:t>
      </w:r>
      <w:r>
        <w:rPr>
          <w:spacing w:val="-7"/>
        </w:rPr>
        <w:t xml:space="preserve"> </w:t>
      </w:r>
      <w:r>
        <w:t>message</w:t>
      </w:r>
      <w:r>
        <w:rPr>
          <w:spacing w:val="-5"/>
        </w:rPr>
        <w:t xml:space="preserve"> </w:t>
      </w:r>
      <w:r>
        <w:t>that</w:t>
      </w:r>
      <w:r>
        <w:rPr>
          <w:spacing w:val="-5"/>
        </w:rPr>
        <w:t xml:space="preserve"> </w:t>
      </w:r>
      <w:r>
        <w:t>is</w:t>
      </w:r>
      <w:r>
        <w:rPr>
          <w:spacing w:val="-4"/>
        </w:rPr>
        <w:t xml:space="preserve"> </w:t>
      </w:r>
      <w:r>
        <w:t>communicated</w:t>
      </w:r>
      <w:r>
        <w:rPr>
          <w:spacing w:val="-4"/>
        </w:rPr>
        <w:t xml:space="preserve"> </w:t>
      </w:r>
      <w:r>
        <w:t>(not</w:t>
      </w:r>
      <w:r>
        <w:rPr>
          <w:spacing w:val="-5"/>
        </w:rPr>
        <w:t xml:space="preserve"> </w:t>
      </w:r>
      <w:r>
        <w:t>literally</w:t>
      </w:r>
      <w:r>
        <w:rPr>
          <w:spacing w:val="-4"/>
        </w:rPr>
        <w:t xml:space="preserve"> </w:t>
      </w:r>
      <w:r>
        <w:t>meant)</w:t>
      </w:r>
      <w:r>
        <w:rPr>
          <w:spacing w:val="-4"/>
        </w:rPr>
        <w:t xml:space="preserve"> </w:t>
      </w:r>
      <w:r>
        <w:rPr>
          <w:spacing w:val="-5"/>
        </w:rPr>
        <w:t>is:</w:t>
      </w:r>
    </w:p>
    <w:p w14:paraId="7E0014DC" w14:textId="77777777" w:rsidR="009A58DB" w:rsidRDefault="009A58DB">
      <w:pPr>
        <w:pStyle w:val="BodyText"/>
        <w:spacing w:before="30"/>
        <w:ind w:left="0"/>
        <w:jc w:val="left"/>
      </w:pPr>
    </w:p>
    <w:p w14:paraId="7E0014DD" w14:textId="77777777" w:rsidR="009A58DB" w:rsidRDefault="00000000">
      <w:pPr>
        <w:pStyle w:val="BodyText"/>
        <w:spacing w:line="271" w:lineRule="auto"/>
        <w:ind w:right="368"/>
      </w:pPr>
      <w:r>
        <w:t>(A</w:t>
      </w:r>
      <w:r>
        <w:rPr>
          <w:vertAlign w:val="subscript"/>
        </w:rPr>
        <w:t>4</w:t>
      </w:r>
      <w:r>
        <w:t>) There is some x such that the swelling in your knees is due to x, such that</w:t>
      </w:r>
      <w:r>
        <w:rPr>
          <w:spacing w:val="-3"/>
        </w:rPr>
        <w:t xml:space="preserve"> </w:t>
      </w:r>
      <w:r>
        <w:t>x</w:t>
      </w:r>
      <w:r>
        <w:rPr>
          <w:spacing w:val="-2"/>
        </w:rPr>
        <w:t xml:space="preserve"> </w:t>
      </w:r>
      <w:r>
        <w:t>can</w:t>
      </w:r>
      <w:r>
        <w:rPr>
          <w:spacing w:val="-3"/>
        </w:rPr>
        <w:t xml:space="preserve"> </w:t>
      </w:r>
      <w:r>
        <w:t>do</w:t>
      </w:r>
      <w:r>
        <w:rPr>
          <w:spacing w:val="-2"/>
        </w:rPr>
        <w:t xml:space="preserve"> </w:t>
      </w:r>
      <w:r>
        <w:t>terrible</w:t>
      </w:r>
      <w:r>
        <w:rPr>
          <w:spacing w:val="-3"/>
        </w:rPr>
        <w:t xml:space="preserve"> </w:t>
      </w:r>
      <w:r>
        <w:t>damage</w:t>
      </w:r>
      <w:r>
        <w:rPr>
          <w:spacing w:val="-2"/>
        </w:rPr>
        <w:t xml:space="preserve"> </w:t>
      </w:r>
      <w:r>
        <w:t>to</w:t>
      </w:r>
      <w:r>
        <w:rPr>
          <w:spacing w:val="-2"/>
        </w:rPr>
        <w:t xml:space="preserve"> </w:t>
      </w:r>
      <w:r>
        <w:t>one’s</w:t>
      </w:r>
      <w:r>
        <w:rPr>
          <w:spacing w:val="-3"/>
        </w:rPr>
        <w:t xml:space="preserve"> </w:t>
      </w:r>
      <w:r>
        <w:t>joints,</w:t>
      </w:r>
      <w:r>
        <w:rPr>
          <w:spacing w:val="-2"/>
        </w:rPr>
        <w:t xml:space="preserve"> </w:t>
      </w:r>
      <w:r>
        <w:t>and</w:t>
      </w:r>
      <w:r>
        <w:rPr>
          <w:spacing w:val="-3"/>
        </w:rPr>
        <w:t xml:space="preserve"> </w:t>
      </w:r>
      <w:r>
        <w:t>such</w:t>
      </w:r>
      <w:r>
        <w:rPr>
          <w:spacing w:val="-2"/>
        </w:rPr>
        <w:t xml:space="preserve"> </w:t>
      </w:r>
      <w:r>
        <w:t>that</w:t>
      </w:r>
      <w:r>
        <w:rPr>
          <w:spacing w:val="-3"/>
        </w:rPr>
        <w:t xml:space="preserve"> </w:t>
      </w:r>
      <w:r>
        <w:t>“arthritis”</w:t>
      </w:r>
      <w:r>
        <w:rPr>
          <w:spacing w:val="-2"/>
        </w:rPr>
        <w:t xml:space="preserve"> </w:t>
      </w:r>
      <w:r>
        <w:t>refers</w:t>
      </w:r>
      <w:r>
        <w:rPr>
          <w:spacing w:val="-2"/>
        </w:rPr>
        <w:t xml:space="preserve"> </w:t>
      </w:r>
      <w:r>
        <w:t>to x; moreover, “arthritis” refers to x.</w:t>
      </w:r>
    </w:p>
    <w:p w14:paraId="7E0014DE" w14:textId="77777777" w:rsidR="009A58DB" w:rsidRDefault="00000000">
      <w:pPr>
        <w:pStyle w:val="BodyText"/>
        <w:spacing w:before="330" w:line="271" w:lineRule="auto"/>
        <w:ind w:right="362"/>
      </w:pPr>
      <w:r>
        <w:t>Remember that Twin-Smith’s life precisely parallels Smith’s. It therefore follows that, when Twin-Smith hears someone utter (A</w:t>
      </w:r>
      <w:r>
        <w:rPr>
          <w:vertAlign w:val="subscript"/>
        </w:rPr>
        <w:t>3</w:t>
      </w:r>
      <w:r>
        <w:t>), is the message that is communicated (not literally meant) is (A</w:t>
      </w:r>
      <w:r>
        <w:rPr>
          <w:vertAlign w:val="subscript"/>
        </w:rPr>
        <w:t>4</w:t>
      </w:r>
      <w:r>
        <w:t>).</w:t>
      </w:r>
    </w:p>
    <w:p w14:paraId="7E0014DF" w14:textId="77777777" w:rsidR="009A58DB" w:rsidRDefault="00000000">
      <w:pPr>
        <w:pStyle w:val="BodyText"/>
        <w:spacing w:before="31" w:line="249" w:lineRule="auto"/>
        <w:ind w:right="360" w:firstLine="360"/>
      </w:pPr>
      <w:r>
        <w:t xml:space="preserve">Thus, contrary to what Burge says, Smith’s thoughts </w:t>
      </w:r>
      <w:r>
        <w:rPr>
          <w:i/>
        </w:rPr>
        <w:t xml:space="preserve">do </w:t>
      </w:r>
      <w:r>
        <w:t xml:space="preserve">have the same content as Twin-Smith’s. It’s true that, for the reasons given by Putnam, the </w:t>
      </w:r>
      <w:r>
        <w:rPr>
          <w:i/>
        </w:rPr>
        <w:t xml:space="preserve">sentences </w:t>
      </w:r>
      <w:r>
        <w:t>they use to express those thoughts don’t always have the same literal meanings. But unless one countenances the obviously false assumption that what we think coincides exactly with what our expressions mean, it doesn’t follow that Smith’s thoughts have the same contents as Twin-Smith’s</w:t>
      </w:r>
    </w:p>
    <w:p w14:paraId="7E0014E0" w14:textId="77777777" w:rsidR="009A58DB" w:rsidRDefault="00000000">
      <w:pPr>
        <w:spacing w:before="7"/>
        <w:ind w:left="360"/>
        <w:rPr>
          <w:sz w:val="30"/>
        </w:rPr>
      </w:pPr>
      <w:r>
        <w:rPr>
          <w:spacing w:val="-10"/>
          <w:sz w:val="30"/>
        </w:rPr>
        <w:t>.</w:t>
      </w:r>
    </w:p>
    <w:p w14:paraId="7E0014E1" w14:textId="77777777" w:rsidR="009A58DB" w:rsidRDefault="00000000">
      <w:pPr>
        <w:pStyle w:val="Heading1"/>
        <w:numPr>
          <w:ilvl w:val="1"/>
          <w:numId w:val="145"/>
        </w:numPr>
        <w:tabs>
          <w:tab w:val="left" w:pos="990"/>
        </w:tabs>
        <w:ind w:left="990" w:hanging="630"/>
      </w:pPr>
      <w:r>
        <w:t>Literal</w:t>
      </w:r>
      <w:r>
        <w:rPr>
          <w:spacing w:val="-7"/>
        </w:rPr>
        <w:t xml:space="preserve"> </w:t>
      </w:r>
      <w:r>
        <w:t>meaning</w:t>
      </w:r>
      <w:r>
        <w:rPr>
          <w:spacing w:val="-4"/>
        </w:rPr>
        <w:t xml:space="preserve"> </w:t>
      </w:r>
      <w:r>
        <w:t>vs.</w:t>
      </w:r>
      <w:r>
        <w:rPr>
          <w:spacing w:val="-5"/>
        </w:rPr>
        <w:t xml:space="preserve"> </w:t>
      </w:r>
      <w:r>
        <w:t>cognitive</w:t>
      </w:r>
      <w:r>
        <w:rPr>
          <w:spacing w:val="-4"/>
        </w:rPr>
        <w:t xml:space="preserve"> </w:t>
      </w:r>
      <w:r>
        <w:rPr>
          <w:spacing w:val="-2"/>
        </w:rPr>
        <w:t>content</w:t>
      </w:r>
    </w:p>
    <w:p w14:paraId="7E0014E2" w14:textId="77777777" w:rsidR="009A58DB" w:rsidRDefault="00000000">
      <w:pPr>
        <w:pStyle w:val="BodyText"/>
        <w:spacing w:before="139" w:line="249" w:lineRule="auto"/>
        <w:ind w:right="364"/>
        <w:rPr>
          <w:i/>
        </w:rPr>
      </w:pPr>
      <w:r>
        <w:t xml:space="preserve">An utterance on Earth of “arthritis is painful” </w:t>
      </w:r>
      <w:r>
        <w:rPr>
          <w:i/>
        </w:rPr>
        <w:t xml:space="preserve">does </w:t>
      </w:r>
      <w:r>
        <w:t xml:space="preserve">have a different literal meaning from such an utterance on Twin-Earth. There is some malady x, namely arthritis, such that x only afflicts the joints and such that an utterance </w:t>
      </w:r>
      <w:r>
        <w:rPr>
          <w:i/>
        </w:rPr>
        <w:t>on Earth of:</w:t>
      </w:r>
    </w:p>
    <w:p w14:paraId="7E0014E3" w14:textId="77777777" w:rsidR="009A58DB" w:rsidRDefault="009A58DB">
      <w:pPr>
        <w:pStyle w:val="BodyText"/>
        <w:spacing w:before="20"/>
        <w:ind w:left="0"/>
        <w:jc w:val="left"/>
        <w:rPr>
          <w:i/>
        </w:rPr>
      </w:pPr>
    </w:p>
    <w:p w14:paraId="7E0014E4" w14:textId="77777777" w:rsidR="009A58DB" w:rsidRDefault="00000000">
      <w:pPr>
        <w:pStyle w:val="BodyText"/>
        <w:spacing w:line="542" w:lineRule="auto"/>
        <w:ind w:right="6578"/>
        <w:jc w:val="left"/>
      </w:pPr>
      <w:r>
        <w:t>(A</w:t>
      </w:r>
      <w:r>
        <w:rPr>
          <w:vertAlign w:val="subscript"/>
        </w:rPr>
        <w:t>5</w:t>
      </w:r>
      <w:r>
        <w:t>)</w:t>
      </w:r>
      <w:r>
        <w:rPr>
          <w:spacing w:val="-8"/>
        </w:rPr>
        <w:t xml:space="preserve"> </w:t>
      </w:r>
      <w:r>
        <w:t>“arthritis</w:t>
      </w:r>
      <w:r>
        <w:rPr>
          <w:spacing w:val="-8"/>
        </w:rPr>
        <w:t xml:space="preserve"> </w:t>
      </w:r>
      <w:r>
        <w:t>is</w:t>
      </w:r>
      <w:r>
        <w:rPr>
          <w:spacing w:val="-8"/>
        </w:rPr>
        <w:t xml:space="preserve"> </w:t>
      </w:r>
      <w:r>
        <w:t>painful” is true just in case:</w:t>
      </w:r>
    </w:p>
    <w:p w14:paraId="7E0014E5" w14:textId="77777777" w:rsidR="009A58DB" w:rsidRDefault="00000000">
      <w:pPr>
        <w:pStyle w:val="BodyText"/>
        <w:spacing w:line="286" w:lineRule="exact"/>
      </w:pPr>
      <w:r>
        <w:t>(A</w:t>
      </w:r>
      <w:r>
        <w:rPr>
          <w:vertAlign w:val="subscript"/>
        </w:rPr>
        <w:t>6</w:t>
      </w:r>
      <w:r>
        <w:t>)</w:t>
      </w:r>
      <w:r>
        <w:rPr>
          <w:spacing w:val="4"/>
        </w:rPr>
        <w:t xml:space="preserve"> </w:t>
      </w:r>
      <w:r>
        <w:t>x</w:t>
      </w:r>
      <w:r>
        <w:rPr>
          <w:spacing w:val="6"/>
        </w:rPr>
        <w:t xml:space="preserve"> </w:t>
      </w:r>
      <w:r>
        <w:t>is</w:t>
      </w:r>
      <w:r>
        <w:rPr>
          <w:spacing w:val="4"/>
        </w:rPr>
        <w:t xml:space="preserve"> </w:t>
      </w:r>
      <w:r>
        <w:rPr>
          <w:spacing w:val="-2"/>
        </w:rPr>
        <w:t>painful,</w:t>
      </w:r>
    </w:p>
    <w:p w14:paraId="7E0014E6" w14:textId="77777777" w:rsidR="009A58DB" w:rsidRDefault="009A58DB">
      <w:pPr>
        <w:pStyle w:val="BodyText"/>
        <w:spacing w:before="90"/>
        <w:ind w:left="0"/>
        <w:jc w:val="left"/>
      </w:pPr>
    </w:p>
    <w:p w14:paraId="7E0014E7" w14:textId="77777777" w:rsidR="009A58DB" w:rsidRDefault="00000000">
      <w:pPr>
        <w:pStyle w:val="BodyText"/>
        <w:spacing w:line="249" w:lineRule="auto"/>
        <w:ind w:right="361"/>
      </w:pPr>
      <w:r>
        <w:t xml:space="preserve">it being irrelevant whether some disease that afflicts things </w:t>
      </w:r>
      <w:r>
        <w:rPr>
          <w:i/>
        </w:rPr>
        <w:t xml:space="preserve">other </w:t>
      </w:r>
      <w:r>
        <w:t xml:space="preserve">than the joints is also painful. And there is some y, namely twin-arthritis, such that y does not afflict only the joints and such that an utterance on </w:t>
      </w:r>
      <w:r>
        <w:rPr>
          <w:i/>
        </w:rPr>
        <w:t>Twin</w:t>
      </w:r>
      <w:r>
        <w:t>-Earth of</w:t>
      </w:r>
    </w:p>
    <w:p w14:paraId="7E0014E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4E9" w14:textId="77777777" w:rsidR="009A58DB" w:rsidRDefault="00000000">
      <w:pPr>
        <w:pStyle w:val="BodyText"/>
        <w:spacing w:before="65" w:line="542" w:lineRule="auto"/>
        <w:ind w:right="6578"/>
        <w:jc w:val="left"/>
      </w:pPr>
      <w:r>
        <w:lastRenderedPageBreak/>
        <w:t>(A</w:t>
      </w:r>
      <w:r>
        <w:rPr>
          <w:vertAlign w:val="subscript"/>
        </w:rPr>
        <w:t>5</w:t>
      </w:r>
      <w:r>
        <w:t>)</w:t>
      </w:r>
      <w:r>
        <w:rPr>
          <w:spacing w:val="-8"/>
        </w:rPr>
        <w:t xml:space="preserve"> </w:t>
      </w:r>
      <w:r>
        <w:t>“arthritis</w:t>
      </w:r>
      <w:r>
        <w:rPr>
          <w:spacing w:val="-8"/>
        </w:rPr>
        <w:t xml:space="preserve"> </w:t>
      </w:r>
      <w:r>
        <w:t>is</w:t>
      </w:r>
      <w:r>
        <w:rPr>
          <w:spacing w:val="-8"/>
        </w:rPr>
        <w:t xml:space="preserve"> </w:t>
      </w:r>
      <w:r>
        <w:t>painful” is true just in case:</w:t>
      </w:r>
    </w:p>
    <w:p w14:paraId="7E0014EA" w14:textId="77777777" w:rsidR="009A58DB" w:rsidRDefault="00000000">
      <w:pPr>
        <w:pStyle w:val="BodyText"/>
        <w:spacing w:line="286" w:lineRule="exact"/>
        <w:jc w:val="left"/>
      </w:pPr>
      <w:r>
        <w:t>(A</w:t>
      </w:r>
      <w:r>
        <w:rPr>
          <w:vertAlign w:val="subscript"/>
        </w:rPr>
        <w:t>6</w:t>
      </w:r>
      <w:r>
        <w:t>)</w:t>
      </w:r>
      <w:r>
        <w:rPr>
          <w:spacing w:val="4"/>
        </w:rPr>
        <w:t xml:space="preserve"> </w:t>
      </w:r>
      <w:r>
        <w:t>y</w:t>
      </w:r>
      <w:r>
        <w:rPr>
          <w:spacing w:val="6"/>
        </w:rPr>
        <w:t xml:space="preserve"> </w:t>
      </w:r>
      <w:r>
        <w:t>is</w:t>
      </w:r>
      <w:r>
        <w:rPr>
          <w:spacing w:val="4"/>
        </w:rPr>
        <w:t xml:space="preserve"> </w:t>
      </w:r>
      <w:r>
        <w:rPr>
          <w:spacing w:val="-2"/>
        </w:rPr>
        <w:t>painful,</w:t>
      </w:r>
    </w:p>
    <w:p w14:paraId="7E0014EB" w14:textId="77777777" w:rsidR="009A58DB" w:rsidRDefault="009A58DB">
      <w:pPr>
        <w:pStyle w:val="BodyText"/>
        <w:spacing w:before="89"/>
        <w:ind w:left="0"/>
        <w:jc w:val="left"/>
      </w:pPr>
    </w:p>
    <w:p w14:paraId="7E0014EC" w14:textId="77777777" w:rsidR="009A58DB" w:rsidRDefault="00000000">
      <w:pPr>
        <w:pStyle w:val="BodyText"/>
        <w:spacing w:before="1" w:line="249" w:lineRule="auto"/>
        <w:ind w:right="361"/>
      </w:pPr>
      <w:r>
        <w:t xml:space="preserve">it being irrelevant whether some disease that afflicts </w:t>
      </w:r>
      <w:r>
        <w:rPr>
          <w:i/>
        </w:rPr>
        <w:t xml:space="preserve">only </w:t>
      </w:r>
      <w:r>
        <w:t>the joints is also painful. But Burge is wrong to conclude from these facts that Smith and Twin-Smith have different thoughts.</w:t>
      </w:r>
    </w:p>
    <w:p w14:paraId="7E0014ED" w14:textId="77777777" w:rsidR="009A58DB" w:rsidRDefault="00000000">
      <w:pPr>
        <w:pStyle w:val="Heading1"/>
        <w:numPr>
          <w:ilvl w:val="1"/>
          <w:numId w:val="145"/>
        </w:numPr>
        <w:tabs>
          <w:tab w:val="left" w:pos="990"/>
        </w:tabs>
        <w:spacing w:before="191"/>
        <w:ind w:left="990" w:hanging="630"/>
        <w:rPr>
          <w:position w:val="30"/>
        </w:rPr>
      </w:pPr>
      <w:r>
        <w:rPr>
          <w:noProof/>
          <w:position w:val="30"/>
        </w:rPr>
        <mc:AlternateContent>
          <mc:Choice Requires="wps">
            <w:drawing>
              <wp:anchor distT="0" distB="0" distL="0" distR="0" simplePos="0" relativeHeight="480336384" behindDoc="1" locked="0" layoutInCell="1" allowOverlap="1" wp14:anchorId="7E00327C" wp14:editId="7E00327D">
                <wp:simplePos x="0" y="0"/>
                <wp:positionH relativeFrom="page">
                  <wp:posOffset>4886325</wp:posOffset>
                </wp:positionH>
                <wp:positionV relativeFrom="paragraph">
                  <wp:posOffset>384968</wp:posOffset>
                </wp:positionV>
                <wp:extent cx="5715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5077AE8C" id="Graphic 23" o:spid="_x0000_s1026" style="position:absolute;margin-left:384.75pt;margin-top:30.3pt;width:45pt;height:.1pt;z-index:-22980096;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" path="m,l571500,e" filled="f" strokecolor="#0562c1">
                <v:path arrowok="t"/>
                <w10:wrap anchorx="page"/>
              </v:shape>
            </w:pict>
          </mc:Fallback>
        </mc:AlternateContent>
      </w:r>
      <w:r>
        <w:t>A</w:t>
      </w:r>
      <w:r>
        <w:rPr>
          <w:spacing w:val="-7"/>
        </w:rPr>
        <w:t xml:space="preserve"> </w:t>
      </w:r>
      <w:r>
        <w:t>second</w:t>
      </w:r>
      <w:r>
        <w:rPr>
          <w:spacing w:val="-5"/>
        </w:rPr>
        <w:t xml:space="preserve"> </w:t>
      </w:r>
      <w:r>
        <w:t>Burge-style</w:t>
      </w:r>
      <w:r>
        <w:rPr>
          <w:spacing w:val="-5"/>
        </w:rPr>
        <w:t xml:space="preserve"> </w:t>
      </w:r>
      <w:r>
        <w:rPr>
          <w:spacing w:val="-2"/>
        </w:rPr>
        <w:t>argumen</w:t>
      </w:r>
      <w:bookmarkStart w:id="268" w:name="_bookmark268"/>
      <w:bookmarkEnd w:id="268"/>
      <w:r>
        <w:rPr>
          <w:spacing w:val="-2"/>
        </w:rPr>
        <w:t>t</w:t>
      </w:r>
      <w:r>
        <w:rPr>
          <w:color w:val="0562C1"/>
          <w:spacing w:val="-2"/>
          <w:position w:val="30"/>
        </w:rPr>
        <w:t>[170]</w:t>
      </w:r>
    </w:p>
    <w:p w14:paraId="7E0014EE" w14:textId="77777777" w:rsidR="009A58DB" w:rsidRDefault="00000000">
      <w:pPr>
        <w:pStyle w:val="BodyText"/>
        <w:spacing w:before="139" w:line="292" w:lineRule="auto"/>
        <w:ind w:right="358"/>
      </w:pPr>
      <w:r>
        <w:t>Let</w:t>
      </w:r>
      <w:r>
        <w:rPr>
          <w:spacing w:val="-1"/>
        </w:rPr>
        <w:t xml:space="preserve"> </w:t>
      </w:r>
      <w:r>
        <w:t>W</w:t>
      </w:r>
      <w:r>
        <w:rPr>
          <w:vertAlign w:val="subscript"/>
        </w:rPr>
        <w:t>1</w:t>
      </w:r>
      <w:r>
        <w:t xml:space="preserve"> be the actual world and let W</w:t>
      </w:r>
      <w:r>
        <w:rPr>
          <w:vertAlign w:val="subscript"/>
        </w:rPr>
        <w:t>2</w:t>
      </w:r>
      <w:r>
        <w:t xml:space="preserve"> be some other possible world. In each of</w:t>
      </w:r>
      <w:r>
        <w:rPr>
          <w:spacing w:val="-1"/>
        </w:rPr>
        <w:t xml:space="preserve"> </w:t>
      </w:r>
      <w:r>
        <w:t>W</w:t>
      </w:r>
      <w:r>
        <w:rPr>
          <w:vertAlign w:val="subscript"/>
        </w:rPr>
        <w:t>1</w:t>
      </w:r>
      <w:r>
        <w:rPr>
          <w:spacing w:val="8"/>
        </w:rPr>
        <w:t xml:space="preserve"> </w:t>
      </w:r>
      <w:r>
        <w:t>and</w:t>
      </w:r>
      <w:r>
        <w:rPr>
          <w:spacing w:val="8"/>
        </w:rPr>
        <w:t xml:space="preserve"> </w:t>
      </w:r>
      <w:r>
        <w:t>W</w:t>
      </w:r>
      <w:r>
        <w:rPr>
          <w:vertAlign w:val="subscript"/>
        </w:rPr>
        <w:t>2</w:t>
      </w:r>
      <w:r>
        <w:t>,</w:t>
      </w:r>
      <w:r>
        <w:rPr>
          <w:spacing w:val="12"/>
        </w:rPr>
        <w:t xml:space="preserve"> </w:t>
      </w:r>
      <w:r>
        <w:t>my</w:t>
      </w:r>
      <w:r>
        <w:rPr>
          <w:spacing w:val="13"/>
        </w:rPr>
        <w:t xml:space="preserve"> </w:t>
      </w:r>
      <w:r>
        <w:t>friend</w:t>
      </w:r>
      <w:r>
        <w:rPr>
          <w:spacing w:val="13"/>
        </w:rPr>
        <w:t xml:space="preserve"> </w:t>
      </w:r>
      <w:r>
        <w:t>Max</w:t>
      </w:r>
      <w:r>
        <w:rPr>
          <w:spacing w:val="12"/>
        </w:rPr>
        <w:t xml:space="preserve"> </w:t>
      </w:r>
      <w:r>
        <w:t>has</w:t>
      </w:r>
      <w:r>
        <w:rPr>
          <w:spacing w:val="13"/>
        </w:rPr>
        <w:t xml:space="preserve"> </w:t>
      </w:r>
      <w:r>
        <w:t>an</w:t>
      </w:r>
      <w:r>
        <w:rPr>
          <w:spacing w:val="13"/>
        </w:rPr>
        <w:t xml:space="preserve"> </w:t>
      </w:r>
      <w:r>
        <w:t>identical</w:t>
      </w:r>
      <w:r>
        <w:rPr>
          <w:spacing w:val="13"/>
        </w:rPr>
        <w:t xml:space="preserve"> </w:t>
      </w:r>
      <w:r>
        <w:t>twin</w:t>
      </w:r>
      <w:r>
        <w:rPr>
          <w:spacing w:val="12"/>
        </w:rPr>
        <w:t xml:space="preserve"> </w:t>
      </w:r>
      <w:r>
        <w:t>Gary.</w:t>
      </w:r>
      <w:r>
        <w:rPr>
          <w:spacing w:val="13"/>
        </w:rPr>
        <w:t xml:space="preserve"> </w:t>
      </w:r>
      <w:r>
        <w:t>Gary</w:t>
      </w:r>
      <w:r>
        <w:rPr>
          <w:spacing w:val="13"/>
        </w:rPr>
        <w:t xml:space="preserve"> </w:t>
      </w:r>
      <w:r>
        <w:t>and</w:t>
      </w:r>
      <w:r>
        <w:rPr>
          <w:spacing w:val="13"/>
        </w:rPr>
        <w:t xml:space="preserve"> </w:t>
      </w:r>
      <w:r>
        <w:t>Max</w:t>
      </w:r>
      <w:r>
        <w:rPr>
          <w:spacing w:val="12"/>
        </w:rPr>
        <w:t xml:space="preserve"> </w:t>
      </w:r>
      <w:r>
        <w:rPr>
          <w:spacing w:val="-5"/>
        </w:rPr>
        <w:t>are</w:t>
      </w:r>
    </w:p>
    <w:p w14:paraId="7E0014EF" w14:textId="77777777" w:rsidR="009A58DB" w:rsidRDefault="00000000">
      <w:pPr>
        <w:pStyle w:val="BodyText"/>
        <w:spacing w:line="249" w:lineRule="auto"/>
        <w:ind w:right="358"/>
      </w:pPr>
      <w:r>
        <w:t>cosmetically, physiologically, and behaviorally completely and totally indistinguishable. To know that one is seeing Max as opposed to Gary, or</w:t>
      </w:r>
      <w:r>
        <w:rPr>
          <w:spacing w:val="40"/>
        </w:rPr>
        <w:t xml:space="preserve"> </w:t>
      </w:r>
      <w:r>
        <w:rPr>
          <w:i/>
        </w:rPr>
        <w:t xml:space="preserve">vice versa, </w:t>
      </w:r>
      <w:r>
        <w:t>one has to rely on ulterior knowledge (e.g., that Gary is now in Finland and that he couldn’t possibly be the person with whom one is now lunching in New York).</w:t>
      </w:r>
    </w:p>
    <w:p w14:paraId="7E0014F0" w14:textId="77777777" w:rsidR="009A58DB" w:rsidRDefault="00000000">
      <w:pPr>
        <w:pStyle w:val="BodyText"/>
        <w:spacing w:before="5" w:line="292" w:lineRule="auto"/>
        <w:ind w:right="359" w:firstLine="360"/>
      </w:pPr>
      <w:r>
        <w:t>In W</w:t>
      </w:r>
      <w:r>
        <w:rPr>
          <w:vertAlign w:val="subscript"/>
        </w:rPr>
        <w:t>1</w:t>
      </w:r>
      <w:r>
        <w:t>, at time t, my friend Sally and I are 10 feet away from Max, and I’m looking right at him. In W</w:t>
      </w:r>
      <w:r>
        <w:rPr>
          <w:vertAlign w:val="subscript"/>
        </w:rPr>
        <w:t>2</w:t>
      </w:r>
      <w:r>
        <w:t>, at time t, Sally and I are 10 feet away from</w:t>
      </w:r>
      <w:r>
        <w:rPr>
          <w:spacing w:val="40"/>
        </w:rPr>
        <w:t xml:space="preserve"> </w:t>
      </w:r>
      <w:r>
        <w:t>Max’s</w:t>
      </w:r>
      <w:r>
        <w:rPr>
          <w:spacing w:val="40"/>
        </w:rPr>
        <w:t xml:space="preserve">  </w:t>
      </w:r>
      <w:r>
        <w:t>identical</w:t>
      </w:r>
      <w:r>
        <w:rPr>
          <w:spacing w:val="41"/>
        </w:rPr>
        <w:t xml:space="preserve">  </w:t>
      </w:r>
      <w:r>
        <w:t>twin,</w:t>
      </w:r>
      <w:r>
        <w:rPr>
          <w:spacing w:val="40"/>
        </w:rPr>
        <w:t xml:space="preserve">  </w:t>
      </w:r>
      <w:r>
        <w:t>Gary.</w:t>
      </w:r>
      <w:r>
        <w:rPr>
          <w:spacing w:val="41"/>
        </w:rPr>
        <w:t xml:space="preserve">  </w:t>
      </w:r>
      <w:r>
        <w:t>Otherwise,</w:t>
      </w:r>
      <w:r>
        <w:rPr>
          <w:spacing w:val="41"/>
        </w:rPr>
        <w:t xml:space="preserve">  </w:t>
      </w:r>
      <w:r>
        <w:t>W</w:t>
      </w:r>
      <w:r>
        <w:rPr>
          <w:vertAlign w:val="subscript"/>
        </w:rPr>
        <w:t>1</w:t>
      </w:r>
      <w:r>
        <w:rPr>
          <w:spacing w:val="39"/>
        </w:rPr>
        <w:t xml:space="preserve">  </w:t>
      </w:r>
      <w:r>
        <w:t>at</w:t>
      </w:r>
      <w:r>
        <w:rPr>
          <w:spacing w:val="40"/>
        </w:rPr>
        <w:t xml:space="preserve">  </w:t>
      </w:r>
      <w:r>
        <w:t>t</w:t>
      </w:r>
      <w:r>
        <w:rPr>
          <w:spacing w:val="39"/>
        </w:rPr>
        <w:t xml:space="preserve">  </w:t>
      </w:r>
      <w:r>
        <w:t>and</w:t>
      </w:r>
      <w:r>
        <w:rPr>
          <w:spacing w:val="40"/>
        </w:rPr>
        <w:t xml:space="preserve">  </w:t>
      </w:r>
      <w:r>
        <w:t>W</w:t>
      </w:r>
      <w:r>
        <w:rPr>
          <w:vertAlign w:val="subscript"/>
        </w:rPr>
        <w:t>2</w:t>
      </w:r>
      <w:r>
        <w:rPr>
          <w:spacing w:val="42"/>
        </w:rPr>
        <w:t xml:space="preserve">  </w:t>
      </w:r>
      <w:r>
        <w:t>at</w:t>
      </w:r>
      <w:r>
        <w:rPr>
          <w:spacing w:val="43"/>
        </w:rPr>
        <w:t xml:space="preserve">  </w:t>
      </w:r>
      <w:r>
        <w:t>t</w:t>
      </w:r>
      <w:r>
        <w:rPr>
          <w:spacing w:val="42"/>
        </w:rPr>
        <w:t xml:space="preserve">  </w:t>
      </w:r>
      <w:r>
        <w:rPr>
          <w:spacing w:val="-5"/>
        </w:rPr>
        <w:t>are</w:t>
      </w:r>
    </w:p>
    <w:p w14:paraId="7E0014F1" w14:textId="77777777" w:rsidR="009A58DB" w:rsidRDefault="00000000">
      <w:pPr>
        <w:pStyle w:val="BodyText"/>
        <w:spacing w:line="249" w:lineRule="auto"/>
        <w:ind w:right="359"/>
      </w:pPr>
      <w:r>
        <w:t>indistinguishable (at time t). Given only the information available to me by virtue of having the perception involved in my seeing Max, it is not even a theoretical possibility that I might encounter some evidence or have some experience on the basis of which I could rationally conclude that I was in the one world as opposed to the other.</w:t>
      </w:r>
    </w:p>
    <w:p w14:paraId="7E0014F2" w14:textId="77777777" w:rsidR="009A58DB" w:rsidRDefault="00000000">
      <w:pPr>
        <w:pStyle w:val="BodyText"/>
        <w:spacing w:before="3" w:line="292" w:lineRule="auto"/>
        <w:ind w:right="358" w:firstLine="360"/>
      </w:pPr>
      <w:r>
        <w:t>Moreover, the experiences that I have had in W</w:t>
      </w:r>
      <w:r>
        <w:rPr>
          <w:vertAlign w:val="subscript"/>
        </w:rPr>
        <w:t>1</w:t>
      </w:r>
      <w:r>
        <w:t xml:space="preserve"> up until time t have been qualitatively</w:t>
      </w:r>
      <w:r>
        <w:rPr>
          <w:spacing w:val="62"/>
        </w:rPr>
        <w:t xml:space="preserve"> </w:t>
      </w:r>
      <w:r>
        <w:t>identical</w:t>
      </w:r>
      <w:r>
        <w:rPr>
          <w:spacing w:val="62"/>
        </w:rPr>
        <w:t xml:space="preserve"> </w:t>
      </w:r>
      <w:r>
        <w:t>with</w:t>
      </w:r>
      <w:r>
        <w:rPr>
          <w:spacing w:val="62"/>
        </w:rPr>
        <w:t xml:space="preserve"> </w:t>
      </w:r>
      <w:r>
        <w:t>those</w:t>
      </w:r>
      <w:r>
        <w:rPr>
          <w:spacing w:val="62"/>
        </w:rPr>
        <w:t xml:space="preserve"> </w:t>
      </w:r>
      <w:r>
        <w:t>that</w:t>
      </w:r>
      <w:r>
        <w:rPr>
          <w:spacing w:val="62"/>
        </w:rPr>
        <w:t xml:space="preserve"> </w:t>
      </w:r>
      <w:r>
        <w:t>I’ve</w:t>
      </w:r>
      <w:r>
        <w:rPr>
          <w:spacing w:val="62"/>
        </w:rPr>
        <w:t xml:space="preserve"> </w:t>
      </w:r>
      <w:r>
        <w:t>had</w:t>
      </w:r>
      <w:r>
        <w:rPr>
          <w:spacing w:val="62"/>
        </w:rPr>
        <w:t xml:space="preserve"> </w:t>
      </w:r>
      <w:r>
        <w:t>in</w:t>
      </w:r>
      <w:r>
        <w:rPr>
          <w:spacing w:val="62"/>
        </w:rPr>
        <w:t xml:space="preserve"> </w:t>
      </w:r>
      <w:r>
        <w:t>W</w:t>
      </w:r>
      <w:r>
        <w:rPr>
          <w:vertAlign w:val="subscript"/>
        </w:rPr>
        <w:t>2</w:t>
      </w:r>
      <w:r>
        <w:rPr>
          <w:spacing w:val="61"/>
        </w:rPr>
        <w:t xml:space="preserve"> </w:t>
      </w:r>
      <w:r>
        <w:t>up</w:t>
      </w:r>
      <w:r>
        <w:rPr>
          <w:spacing w:val="62"/>
        </w:rPr>
        <w:t xml:space="preserve"> </w:t>
      </w:r>
      <w:r>
        <w:t>until</w:t>
      </w:r>
      <w:r>
        <w:rPr>
          <w:spacing w:val="61"/>
        </w:rPr>
        <w:t xml:space="preserve"> </w:t>
      </w:r>
      <w:r>
        <w:t>time</w:t>
      </w:r>
      <w:r>
        <w:rPr>
          <w:spacing w:val="62"/>
        </w:rPr>
        <w:t xml:space="preserve"> </w:t>
      </w:r>
      <w:r>
        <w:t>t.</w:t>
      </w:r>
      <w:r>
        <w:rPr>
          <w:spacing w:val="62"/>
        </w:rPr>
        <w:t xml:space="preserve"> </w:t>
      </w:r>
      <w:r>
        <w:t>So</w:t>
      </w:r>
    </w:p>
    <w:p w14:paraId="7E0014F3" w14:textId="77777777" w:rsidR="009A58DB" w:rsidRDefault="00000000">
      <w:pPr>
        <w:pStyle w:val="BodyText"/>
        <w:spacing w:line="249" w:lineRule="auto"/>
        <w:ind w:right="367"/>
      </w:pPr>
      <w:r>
        <w:t>neither</w:t>
      </w:r>
      <w:r>
        <w:rPr>
          <w:spacing w:val="-3"/>
        </w:rPr>
        <w:t xml:space="preserve"> </w:t>
      </w:r>
      <w:r>
        <w:t>my</w:t>
      </w:r>
      <w:r>
        <w:rPr>
          <w:spacing w:val="-3"/>
        </w:rPr>
        <w:t xml:space="preserve"> </w:t>
      </w:r>
      <w:r>
        <w:t>current</w:t>
      </w:r>
      <w:r>
        <w:rPr>
          <w:spacing w:val="-3"/>
        </w:rPr>
        <w:t xml:space="preserve"> </w:t>
      </w:r>
      <w:r>
        <w:t>experiences</w:t>
      </w:r>
      <w:r>
        <w:rPr>
          <w:spacing w:val="-3"/>
        </w:rPr>
        <w:t xml:space="preserve"> </w:t>
      </w:r>
      <w:r>
        <w:t>nor</w:t>
      </w:r>
      <w:r>
        <w:rPr>
          <w:spacing w:val="-3"/>
        </w:rPr>
        <w:t xml:space="preserve"> </w:t>
      </w:r>
      <w:r>
        <w:t>my</w:t>
      </w:r>
      <w:r>
        <w:rPr>
          <w:spacing w:val="-3"/>
        </w:rPr>
        <w:t xml:space="preserve"> </w:t>
      </w:r>
      <w:r>
        <w:t>memories</w:t>
      </w:r>
      <w:r>
        <w:rPr>
          <w:spacing w:val="-3"/>
        </w:rPr>
        <w:t xml:space="preserve"> </w:t>
      </w:r>
      <w:r>
        <w:t>nor</w:t>
      </w:r>
      <w:r>
        <w:rPr>
          <w:spacing w:val="-3"/>
        </w:rPr>
        <w:t xml:space="preserve"> </w:t>
      </w:r>
      <w:r>
        <w:t>the</w:t>
      </w:r>
      <w:r>
        <w:rPr>
          <w:spacing w:val="-3"/>
        </w:rPr>
        <w:t xml:space="preserve"> </w:t>
      </w:r>
      <w:r>
        <w:t>two</w:t>
      </w:r>
      <w:r>
        <w:rPr>
          <w:spacing w:val="-3"/>
        </w:rPr>
        <w:t xml:space="preserve"> </w:t>
      </w:r>
      <w:r>
        <w:t>combined</w:t>
      </w:r>
      <w:r>
        <w:rPr>
          <w:spacing w:val="-3"/>
        </w:rPr>
        <w:t xml:space="preserve"> </w:t>
      </w:r>
      <w:r>
        <w:t>could possibly enable me to determine whether I’m in the one world as opposed to the other.</w:t>
      </w:r>
    </w:p>
    <w:p w14:paraId="7E0014F4" w14:textId="77777777" w:rsidR="009A58DB" w:rsidRDefault="00000000">
      <w:pPr>
        <w:pStyle w:val="BodyText"/>
        <w:spacing w:before="2"/>
        <w:ind w:left="720"/>
      </w:pPr>
      <w:r>
        <w:t>It</w:t>
      </w:r>
      <w:r>
        <w:rPr>
          <w:spacing w:val="34"/>
        </w:rPr>
        <w:t xml:space="preserve"> </w:t>
      </w:r>
      <w:r>
        <w:t>is</w:t>
      </w:r>
      <w:r>
        <w:rPr>
          <w:spacing w:val="37"/>
        </w:rPr>
        <w:t xml:space="preserve"> </w:t>
      </w:r>
      <w:r>
        <w:t>to</w:t>
      </w:r>
      <w:r>
        <w:rPr>
          <w:spacing w:val="37"/>
        </w:rPr>
        <w:t xml:space="preserve"> </w:t>
      </w:r>
      <w:r>
        <w:t>be</w:t>
      </w:r>
      <w:r>
        <w:rPr>
          <w:spacing w:val="37"/>
        </w:rPr>
        <w:t xml:space="preserve"> </w:t>
      </w:r>
      <w:r>
        <w:t>assumed</w:t>
      </w:r>
      <w:r>
        <w:rPr>
          <w:spacing w:val="36"/>
        </w:rPr>
        <w:t xml:space="preserve"> </w:t>
      </w:r>
      <w:r>
        <w:t>in</w:t>
      </w:r>
      <w:r>
        <w:rPr>
          <w:spacing w:val="37"/>
        </w:rPr>
        <w:t xml:space="preserve"> </w:t>
      </w:r>
      <w:r>
        <w:t>what</w:t>
      </w:r>
      <w:r>
        <w:rPr>
          <w:spacing w:val="37"/>
        </w:rPr>
        <w:t xml:space="preserve"> </w:t>
      </w:r>
      <w:r>
        <w:t>follows</w:t>
      </w:r>
      <w:r>
        <w:rPr>
          <w:spacing w:val="37"/>
        </w:rPr>
        <w:t xml:space="preserve"> </w:t>
      </w:r>
      <w:r>
        <w:t>that</w:t>
      </w:r>
      <w:r>
        <w:rPr>
          <w:spacing w:val="36"/>
        </w:rPr>
        <w:t xml:space="preserve"> </w:t>
      </w:r>
      <w:r>
        <w:t>all</w:t>
      </w:r>
      <w:r>
        <w:rPr>
          <w:spacing w:val="37"/>
        </w:rPr>
        <w:t xml:space="preserve"> </w:t>
      </w:r>
      <w:r>
        <w:t>my</w:t>
      </w:r>
      <w:r>
        <w:rPr>
          <w:spacing w:val="37"/>
        </w:rPr>
        <w:t xml:space="preserve"> </w:t>
      </w:r>
      <w:r>
        <w:t>utterances</w:t>
      </w:r>
      <w:r>
        <w:rPr>
          <w:spacing w:val="37"/>
        </w:rPr>
        <w:t xml:space="preserve"> </w:t>
      </w:r>
      <w:r>
        <w:t>are</w:t>
      </w:r>
      <w:r>
        <w:rPr>
          <w:spacing w:val="37"/>
        </w:rPr>
        <w:t xml:space="preserve"> </w:t>
      </w:r>
      <w:r>
        <w:rPr>
          <w:spacing w:val="-2"/>
        </w:rPr>
        <w:t>sincere—</w:t>
      </w:r>
    </w:p>
    <w:p w14:paraId="7E0014F5" w14:textId="77777777" w:rsidR="009A58DB" w:rsidRDefault="009A58DB">
      <w:pPr>
        <w:pStyle w:val="BodyText"/>
        <w:sectPr w:rsidR="009A58DB">
          <w:pgSz w:w="12240" w:h="15840"/>
          <w:pgMar w:top="1740" w:right="1080" w:bottom="280" w:left="1080" w:header="720" w:footer="720" w:gutter="0"/>
          <w:cols w:space="720"/>
        </w:sectPr>
      </w:pPr>
    </w:p>
    <w:p w14:paraId="7E0014F6" w14:textId="77777777" w:rsidR="009A58DB" w:rsidRDefault="00000000">
      <w:pPr>
        <w:pStyle w:val="BodyText"/>
        <w:spacing w:before="60"/>
        <w:jc w:val="left"/>
      </w:pPr>
      <w:r>
        <w:lastRenderedPageBreak/>
        <w:t>they</w:t>
      </w:r>
      <w:r>
        <w:rPr>
          <w:spacing w:val="-4"/>
        </w:rPr>
        <w:t xml:space="preserve"> </w:t>
      </w:r>
      <w:r>
        <w:t>express</w:t>
      </w:r>
      <w:r>
        <w:rPr>
          <w:spacing w:val="-4"/>
        </w:rPr>
        <w:t xml:space="preserve"> </w:t>
      </w:r>
      <w:r>
        <w:t>beliefs</w:t>
      </w:r>
      <w:r>
        <w:rPr>
          <w:spacing w:val="-4"/>
        </w:rPr>
        <w:t xml:space="preserve"> </w:t>
      </w:r>
      <w:r>
        <w:t>that</w:t>
      </w:r>
      <w:r>
        <w:rPr>
          <w:spacing w:val="-4"/>
        </w:rPr>
        <w:t xml:space="preserve"> </w:t>
      </w:r>
      <w:r>
        <w:t>I</w:t>
      </w:r>
      <w:r>
        <w:rPr>
          <w:spacing w:val="-4"/>
        </w:rPr>
        <w:t xml:space="preserve"> </w:t>
      </w:r>
      <w:r>
        <w:t>actually</w:t>
      </w:r>
      <w:r>
        <w:rPr>
          <w:spacing w:val="-3"/>
        </w:rPr>
        <w:t xml:space="preserve"> </w:t>
      </w:r>
      <w:r>
        <w:rPr>
          <w:spacing w:val="-4"/>
        </w:rPr>
        <w:t>have.</w:t>
      </w:r>
    </w:p>
    <w:p w14:paraId="7E0014F7" w14:textId="77777777" w:rsidR="009A58DB" w:rsidRDefault="00000000">
      <w:pPr>
        <w:pStyle w:val="BodyText"/>
        <w:spacing w:before="20"/>
        <w:ind w:left="720"/>
        <w:jc w:val="left"/>
      </w:pPr>
      <w:r>
        <w:t>In W</w:t>
      </w:r>
      <w:r>
        <w:rPr>
          <w:vertAlign w:val="subscript"/>
        </w:rPr>
        <w:t>1</w:t>
      </w:r>
      <w:r>
        <w:t>,</w:t>
      </w:r>
      <w:r>
        <w:rPr>
          <w:spacing w:val="1"/>
        </w:rPr>
        <w:t xml:space="preserve"> </w:t>
      </w:r>
      <w:r>
        <w:t>while pointing at Max,</w:t>
      </w:r>
      <w:r>
        <w:rPr>
          <w:spacing w:val="1"/>
        </w:rPr>
        <w:t xml:space="preserve"> </w:t>
      </w:r>
      <w:r>
        <w:t>I tell</w:t>
      </w:r>
      <w:r>
        <w:rPr>
          <w:spacing w:val="-1"/>
        </w:rPr>
        <w:t xml:space="preserve"> </w:t>
      </w:r>
      <w:r>
        <w:rPr>
          <w:spacing w:val="-2"/>
        </w:rPr>
        <w:t>Sally:</w:t>
      </w:r>
    </w:p>
    <w:p w14:paraId="7E0014F8" w14:textId="77777777" w:rsidR="009A58DB" w:rsidRDefault="009A58DB">
      <w:pPr>
        <w:pStyle w:val="BodyText"/>
        <w:spacing w:before="90"/>
        <w:ind w:left="0"/>
        <w:jc w:val="left"/>
      </w:pPr>
    </w:p>
    <w:p w14:paraId="7E0014F9" w14:textId="77777777" w:rsidR="009A58DB" w:rsidRDefault="00000000">
      <w:pPr>
        <w:pStyle w:val="BodyText"/>
        <w:spacing w:line="277" w:lineRule="exact"/>
        <w:ind w:left="788"/>
        <w:jc w:val="left"/>
      </w:pPr>
      <w:r>
        <w:rPr>
          <w:noProof/>
        </w:rPr>
        <mc:AlternateContent>
          <mc:Choice Requires="wps">
            <w:drawing>
              <wp:anchor distT="0" distB="0" distL="0" distR="0" simplePos="0" relativeHeight="15740416" behindDoc="0" locked="0" layoutInCell="1" allowOverlap="1" wp14:anchorId="7E00327E" wp14:editId="7E00327F">
                <wp:simplePos x="0" y="0"/>
                <wp:positionH relativeFrom="page">
                  <wp:posOffset>914400</wp:posOffset>
                </wp:positionH>
                <wp:positionV relativeFrom="paragraph">
                  <wp:posOffset>141448</wp:posOffset>
                </wp:positionV>
                <wp:extent cx="201295" cy="2114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211454"/>
                        </a:xfrm>
                        <a:prstGeom prst="rect">
                          <a:avLst/>
                        </a:prstGeom>
                      </wps:spPr>
                      <wps:txbx>
                        <w:txbxContent>
                          <w:p w14:paraId="7E0032BB" w14:textId="77777777" w:rsidR="009A58DB" w:rsidRDefault="00000000">
                            <w:pPr>
                              <w:pStyle w:val="BodyText"/>
                              <w:spacing w:line="332" w:lineRule="exact"/>
                              <w:ind w:left="0"/>
                              <w:jc w:val="left"/>
                            </w:pPr>
                            <w:r>
                              <w:rPr>
                                <w:spacing w:val="-5"/>
                              </w:rPr>
                              <w:t>(U</w:t>
                            </w:r>
                          </w:p>
                        </w:txbxContent>
                      </wps:txbx>
                      <wps:bodyPr wrap="square" lIns="0" tIns="0" rIns="0" bIns="0" rtlCol="0">
                        <a:noAutofit/>
                      </wps:bodyPr>
                    </wps:wsp>
                  </a:graphicData>
                </a:graphic>
              </wp:anchor>
            </w:drawing>
          </mc:Choice>
          <mc:Fallback>
            <w:pict>
              <v:shape w14:anchorId="7E00327E" id="Textbox 24" o:spid="_x0000_s1037" type="#_x0000_t202" style="position:absolute;left:0;text-align:left;margin-left:1in;margin-top:11.15pt;width:15.85pt;height:16.6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" filled="f" stroked="f">
                <v:textbox inset="0,0,0,0">
                  <w:txbxContent>
                    <w:p w14:paraId="7E0032BB" w14:textId="77777777" w:rsidR="009A58DB" w:rsidRDefault="00000000">
                      <w:pPr>
                        <w:pStyle w:val="BodyText"/>
                        <w:spacing w:line="332" w:lineRule="exact"/>
                        <w:ind w:left="0"/>
                        <w:jc w:val="left"/>
                      </w:pPr>
                      <w:r>
                        <w:rPr>
                          <w:spacing w:val="-5"/>
                        </w:rPr>
                        <w:t>(U</w:t>
                      </w:r>
                    </w:p>
                  </w:txbxContent>
                </v:textbox>
                <w10:wrap anchorx="page"/>
              </v:shape>
            </w:pict>
          </mc:Fallback>
        </mc:AlternateContent>
      </w:r>
      <w:bookmarkStart w:id="269" w:name="_bookmark269"/>
      <w:bookmarkEnd w:id="269"/>
      <w:r>
        <w:rPr>
          <w:color w:val="0562C1"/>
          <w:spacing w:val="-2"/>
          <w:u w:val="single" w:color="0562C1"/>
        </w:rPr>
        <w:t>[171]</w:t>
      </w:r>
    </w:p>
    <w:p w14:paraId="7E0014FA" w14:textId="77777777" w:rsidR="009A58DB" w:rsidRDefault="00000000">
      <w:pPr>
        <w:pStyle w:val="BodyText"/>
        <w:tabs>
          <w:tab w:val="left" w:pos="1438"/>
        </w:tabs>
        <w:spacing w:line="277" w:lineRule="exact"/>
        <w:ind w:left="676"/>
        <w:jc w:val="left"/>
      </w:pPr>
      <w:r>
        <w:rPr>
          <w:spacing w:val="-10"/>
          <w:vertAlign w:val="subscript"/>
        </w:rPr>
        <w:t>1</w:t>
      </w:r>
      <w:r>
        <w:tab/>
        <w:t>)</w:t>
      </w:r>
      <w:r>
        <w:rPr>
          <w:spacing w:val="-6"/>
        </w:rPr>
        <w:t xml:space="preserve"> </w:t>
      </w:r>
      <w:r>
        <w:t>“That</w:t>
      </w:r>
      <w:r>
        <w:rPr>
          <w:spacing w:val="-3"/>
        </w:rPr>
        <w:t xml:space="preserve"> </w:t>
      </w:r>
      <w:r>
        <w:t>entity</w:t>
      </w:r>
      <w:r>
        <w:rPr>
          <w:spacing w:val="-2"/>
        </w:rPr>
        <w:t xml:space="preserve"> </w:t>
      </w:r>
      <w:r>
        <w:t>is</w:t>
      </w:r>
      <w:r>
        <w:rPr>
          <w:spacing w:val="-4"/>
        </w:rPr>
        <w:t xml:space="preserve"> </w:t>
      </w:r>
      <w:r>
        <w:t>wearing</w:t>
      </w:r>
      <w:r>
        <w:rPr>
          <w:spacing w:val="-2"/>
        </w:rPr>
        <w:t xml:space="preserve"> </w:t>
      </w:r>
      <w:r>
        <w:t>a</w:t>
      </w:r>
      <w:r>
        <w:rPr>
          <w:spacing w:val="-3"/>
        </w:rPr>
        <w:t xml:space="preserve"> </w:t>
      </w:r>
      <w:r>
        <w:t>plaid</w:t>
      </w:r>
      <w:r>
        <w:rPr>
          <w:spacing w:val="-2"/>
        </w:rPr>
        <w:t xml:space="preserve"> shirt.”</w:t>
      </w:r>
    </w:p>
    <w:p w14:paraId="7E0014FB" w14:textId="77777777" w:rsidR="009A58DB" w:rsidRDefault="009A58DB">
      <w:pPr>
        <w:pStyle w:val="BodyText"/>
        <w:spacing w:before="90"/>
        <w:ind w:left="0"/>
        <w:jc w:val="left"/>
      </w:pPr>
    </w:p>
    <w:p w14:paraId="7E0014FC" w14:textId="77777777" w:rsidR="009A58DB" w:rsidRDefault="00000000">
      <w:pPr>
        <w:pStyle w:val="BodyText"/>
        <w:spacing w:line="249" w:lineRule="auto"/>
        <w:jc w:val="left"/>
      </w:pPr>
      <w:r>
        <w:t>(In due course, it’ll be clear why I’m using the word “entity” as opposed to</w:t>
      </w:r>
      <w:r>
        <w:rPr>
          <w:spacing w:val="80"/>
        </w:rPr>
        <w:t xml:space="preserve"> </w:t>
      </w:r>
      <w:r>
        <w:t>individual.) In W</w:t>
      </w:r>
      <w:r>
        <w:rPr>
          <w:vertAlign w:val="subscript"/>
        </w:rPr>
        <w:t>2</w:t>
      </w:r>
      <w:r>
        <w:t>, while pointing at Gary, I tell Sally:</w:t>
      </w:r>
    </w:p>
    <w:p w14:paraId="7E0014FD" w14:textId="77777777" w:rsidR="009A58DB" w:rsidRDefault="009A58DB">
      <w:pPr>
        <w:pStyle w:val="BodyText"/>
        <w:spacing w:before="77"/>
        <w:ind w:left="0"/>
        <w:jc w:val="left"/>
      </w:pPr>
    </w:p>
    <w:p w14:paraId="7E0014FE" w14:textId="77777777" w:rsidR="009A58DB" w:rsidRDefault="00000000">
      <w:pPr>
        <w:pStyle w:val="BodyText"/>
        <w:ind w:left="720"/>
        <w:jc w:val="left"/>
      </w:pPr>
      <w:r>
        <w:t>(U</w:t>
      </w:r>
      <w:r>
        <w:rPr>
          <w:vertAlign w:val="subscript"/>
        </w:rPr>
        <w:t>2</w:t>
      </w:r>
      <w:r>
        <w:t>)</w:t>
      </w:r>
      <w:r>
        <w:rPr>
          <w:spacing w:val="-1"/>
        </w:rPr>
        <w:t xml:space="preserve"> </w:t>
      </w:r>
      <w:r>
        <w:t>“That</w:t>
      </w:r>
      <w:r>
        <w:rPr>
          <w:spacing w:val="-1"/>
        </w:rPr>
        <w:t xml:space="preserve"> </w:t>
      </w:r>
      <w:r>
        <w:t>entity is wearing a</w:t>
      </w:r>
      <w:r>
        <w:rPr>
          <w:spacing w:val="-1"/>
        </w:rPr>
        <w:t xml:space="preserve"> </w:t>
      </w:r>
      <w:r>
        <w:t xml:space="preserve">plaid </w:t>
      </w:r>
      <w:r>
        <w:rPr>
          <w:spacing w:val="-2"/>
        </w:rPr>
        <w:t>shirt.”</w:t>
      </w:r>
    </w:p>
    <w:p w14:paraId="7E0014FF" w14:textId="77777777" w:rsidR="009A58DB" w:rsidRDefault="009A58DB">
      <w:pPr>
        <w:pStyle w:val="BodyText"/>
        <w:spacing w:before="90"/>
        <w:ind w:left="0"/>
        <w:jc w:val="left"/>
      </w:pPr>
    </w:p>
    <w:p w14:paraId="7E001500" w14:textId="77777777" w:rsidR="009A58DB" w:rsidRDefault="00000000">
      <w:pPr>
        <w:pStyle w:val="BodyText"/>
        <w:spacing w:line="292" w:lineRule="auto"/>
        <w:ind w:right="364"/>
        <w:jc w:val="left"/>
      </w:pPr>
      <w:r>
        <w:t>U</w:t>
      </w:r>
      <w:r>
        <w:rPr>
          <w:vertAlign w:val="subscript"/>
        </w:rPr>
        <w:t>1</w:t>
      </w:r>
      <w:r>
        <w:t xml:space="preserve"> and U</w:t>
      </w:r>
      <w:r>
        <w:rPr>
          <w:vertAlign w:val="subscript"/>
        </w:rPr>
        <w:t>2</w:t>
      </w:r>
      <w:r>
        <w:t xml:space="preserve"> are specific </w:t>
      </w:r>
      <w:r>
        <w:rPr>
          <w:i/>
        </w:rPr>
        <w:t xml:space="preserve">utterances. </w:t>
      </w:r>
      <w:r>
        <w:t>So U</w:t>
      </w:r>
      <w:r>
        <w:rPr>
          <w:vertAlign w:val="subscript"/>
        </w:rPr>
        <w:t>1</w:t>
      </w:r>
      <w:r>
        <w:t xml:space="preserve"> is an utterance that occurs in Max’s presence</w:t>
      </w:r>
      <w:r>
        <w:rPr>
          <w:spacing w:val="7"/>
        </w:rPr>
        <w:t xml:space="preserve"> </w:t>
      </w:r>
      <w:r>
        <w:t>in</w:t>
      </w:r>
      <w:r>
        <w:rPr>
          <w:spacing w:val="7"/>
        </w:rPr>
        <w:t xml:space="preserve"> </w:t>
      </w:r>
      <w:r>
        <w:t>W</w:t>
      </w:r>
      <w:r>
        <w:rPr>
          <w:vertAlign w:val="subscript"/>
        </w:rPr>
        <w:t>1</w:t>
      </w:r>
      <w:r>
        <w:t>,</w:t>
      </w:r>
      <w:r>
        <w:rPr>
          <w:spacing w:val="8"/>
        </w:rPr>
        <w:t xml:space="preserve"> </w:t>
      </w:r>
      <w:r>
        <w:t>and</w:t>
      </w:r>
      <w:r>
        <w:rPr>
          <w:spacing w:val="7"/>
        </w:rPr>
        <w:t xml:space="preserve"> </w:t>
      </w:r>
      <w:r>
        <w:t>U</w:t>
      </w:r>
      <w:r>
        <w:rPr>
          <w:vertAlign w:val="subscript"/>
        </w:rPr>
        <w:t>2</w:t>
      </w:r>
      <w:r>
        <w:rPr>
          <w:spacing w:val="14"/>
        </w:rPr>
        <w:t xml:space="preserve"> </w:t>
      </w:r>
      <w:r>
        <w:t>is</w:t>
      </w:r>
      <w:r>
        <w:rPr>
          <w:spacing w:val="13"/>
        </w:rPr>
        <w:t xml:space="preserve"> </w:t>
      </w:r>
      <w:r>
        <w:t>an</w:t>
      </w:r>
      <w:r>
        <w:rPr>
          <w:spacing w:val="14"/>
        </w:rPr>
        <w:t xml:space="preserve"> </w:t>
      </w:r>
      <w:r>
        <w:t>utterance</w:t>
      </w:r>
      <w:r>
        <w:rPr>
          <w:spacing w:val="13"/>
        </w:rPr>
        <w:t xml:space="preserve"> </w:t>
      </w:r>
      <w:r>
        <w:t>that</w:t>
      </w:r>
      <w:r>
        <w:rPr>
          <w:spacing w:val="14"/>
        </w:rPr>
        <w:t xml:space="preserve"> </w:t>
      </w:r>
      <w:r>
        <w:t>occurs</w:t>
      </w:r>
      <w:r>
        <w:rPr>
          <w:spacing w:val="13"/>
        </w:rPr>
        <w:t xml:space="preserve"> </w:t>
      </w:r>
      <w:r>
        <w:t>in</w:t>
      </w:r>
      <w:r>
        <w:rPr>
          <w:spacing w:val="14"/>
        </w:rPr>
        <w:t xml:space="preserve"> </w:t>
      </w:r>
      <w:r>
        <w:t>Gary’s</w:t>
      </w:r>
      <w:r>
        <w:rPr>
          <w:spacing w:val="13"/>
        </w:rPr>
        <w:t xml:space="preserve"> </w:t>
      </w:r>
      <w:r>
        <w:t>presence</w:t>
      </w:r>
      <w:r>
        <w:rPr>
          <w:spacing w:val="14"/>
        </w:rPr>
        <w:t xml:space="preserve"> </w:t>
      </w:r>
      <w:r>
        <w:t>in</w:t>
      </w:r>
      <w:r>
        <w:rPr>
          <w:spacing w:val="13"/>
        </w:rPr>
        <w:t xml:space="preserve"> </w:t>
      </w:r>
      <w:r>
        <w:rPr>
          <w:spacing w:val="-5"/>
        </w:rPr>
        <w:t>W</w:t>
      </w:r>
      <w:r>
        <w:rPr>
          <w:spacing w:val="-5"/>
          <w:vertAlign w:val="subscript"/>
        </w:rPr>
        <w:t>2</w:t>
      </w:r>
      <w:r>
        <w:rPr>
          <w:spacing w:val="-5"/>
        </w:rPr>
        <w:t>.</w:t>
      </w:r>
    </w:p>
    <w:p w14:paraId="7E001501" w14:textId="77777777" w:rsidR="009A58DB" w:rsidRDefault="00000000">
      <w:pPr>
        <w:pStyle w:val="BodyText"/>
        <w:spacing w:line="249" w:lineRule="auto"/>
        <w:ind w:right="364"/>
        <w:jc w:val="left"/>
      </w:pPr>
      <w:r>
        <w:t>In</w:t>
      </w:r>
      <w:r>
        <w:rPr>
          <w:spacing w:val="40"/>
        </w:rPr>
        <w:t xml:space="preserve"> </w:t>
      </w:r>
      <w:r>
        <w:t>each</w:t>
      </w:r>
      <w:r>
        <w:rPr>
          <w:spacing w:val="40"/>
        </w:rPr>
        <w:t xml:space="preserve"> </w:t>
      </w:r>
      <w:r>
        <w:t>world,</w:t>
      </w:r>
      <w:r>
        <w:rPr>
          <w:spacing w:val="40"/>
        </w:rPr>
        <w:t xml:space="preserve"> </w:t>
      </w:r>
      <w:r>
        <w:t>I</w:t>
      </w:r>
      <w:r>
        <w:rPr>
          <w:spacing w:val="40"/>
        </w:rPr>
        <w:t xml:space="preserve"> </w:t>
      </w:r>
      <w:r>
        <w:t>know</w:t>
      </w:r>
      <w:r>
        <w:rPr>
          <w:spacing w:val="40"/>
        </w:rPr>
        <w:t xml:space="preserve"> </w:t>
      </w:r>
      <w:r>
        <w:t>that</w:t>
      </w:r>
      <w:r>
        <w:rPr>
          <w:spacing w:val="40"/>
        </w:rPr>
        <w:t xml:space="preserve"> </w:t>
      </w:r>
      <w:r>
        <w:t>I’m</w:t>
      </w:r>
      <w:r>
        <w:rPr>
          <w:spacing w:val="40"/>
        </w:rPr>
        <w:t xml:space="preserve"> </w:t>
      </w:r>
      <w:r>
        <w:t>seeing</w:t>
      </w:r>
      <w:r>
        <w:rPr>
          <w:spacing w:val="40"/>
        </w:rPr>
        <w:t xml:space="preserve"> </w:t>
      </w:r>
      <w:r>
        <w:rPr>
          <w:i/>
        </w:rPr>
        <w:t>either</w:t>
      </w:r>
      <w:r>
        <w:rPr>
          <w:i/>
          <w:spacing w:val="40"/>
        </w:rPr>
        <w:t xml:space="preserve"> </w:t>
      </w:r>
      <w:r>
        <w:t>Gary</w:t>
      </w:r>
      <w:r>
        <w:rPr>
          <w:spacing w:val="40"/>
        </w:rPr>
        <w:t xml:space="preserve"> </w:t>
      </w:r>
      <w:r>
        <w:rPr>
          <w:i/>
        </w:rPr>
        <w:t>or</w:t>
      </w:r>
      <w:r>
        <w:rPr>
          <w:i/>
          <w:spacing w:val="40"/>
        </w:rPr>
        <w:t xml:space="preserve"> </w:t>
      </w:r>
      <w:r>
        <w:t>Max,</w:t>
      </w:r>
      <w:r>
        <w:rPr>
          <w:spacing w:val="40"/>
        </w:rPr>
        <w:t xml:space="preserve"> </w:t>
      </w:r>
      <w:r>
        <w:t>but</w:t>
      </w:r>
      <w:r>
        <w:rPr>
          <w:spacing w:val="40"/>
        </w:rPr>
        <w:t xml:space="preserve"> </w:t>
      </w:r>
      <w:r>
        <w:t>in</w:t>
      </w:r>
      <w:r>
        <w:rPr>
          <w:spacing w:val="40"/>
        </w:rPr>
        <w:t xml:space="preserve"> </w:t>
      </w:r>
      <w:r>
        <w:t>neither world do I know which of the two I’m seeing.</w:t>
      </w:r>
    </w:p>
    <w:p w14:paraId="7E001502" w14:textId="77777777" w:rsidR="009A58DB" w:rsidRDefault="00000000">
      <w:pPr>
        <w:pStyle w:val="BodyText"/>
        <w:spacing w:before="1" w:line="292" w:lineRule="auto"/>
        <w:ind w:right="365" w:firstLine="360"/>
        <w:jc w:val="left"/>
      </w:pPr>
      <w:r>
        <w:t>In W</w:t>
      </w:r>
      <w:r>
        <w:rPr>
          <w:vertAlign w:val="subscript"/>
        </w:rPr>
        <w:t>1</w:t>
      </w:r>
      <w:r>
        <w:t>, there is some individual x, namely x, such that such x ≠ Gary and</w:t>
      </w:r>
      <w:r>
        <w:rPr>
          <w:spacing w:val="40"/>
        </w:rPr>
        <w:t xml:space="preserve"> </w:t>
      </w:r>
      <w:r>
        <w:t>such that U</w:t>
      </w:r>
      <w:r>
        <w:rPr>
          <w:vertAlign w:val="subscript"/>
        </w:rPr>
        <w:t>1</w:t>
      </w:r>
      <w:r>
        <w:t xml:space="preserve"> is true exactly if:</w:t>
      </w:r>
    </w:p>
    <w:p w14:paraId="7E001503" w14:textId="77777777" w:rsidR="009A58DB" w:rsidRDefault="009A58DB">
      <w:pPr>
        <w:pStyle w:val="BodyText"/>
        <w:spacing w:before="13"/>
        <w:ind w:left="0"/>
        <w:jc w:val="left"/>
      </w:pPr>
    </w:p>
    <w:p w14:paraId="7E001504" w14:textId="77777777" w:rsidR="009A58DB" w:rsidRDefault="00000000">
      <w:pPr>
        <w:pStyle w:val="BodyText"/>
        <w:jc w:val="left"/>
      </w:pPr>
      <w:r>
        <w:t>(M</w:t>
      </w:r>
      <w:bookmarkStart w:id="270" w:name="_bookmark270"/>
      <w:bookmarkEnd w:id="270"/>
      <w:r>
        <w:t>P</w:t>
      </w:r>
      <w:r>
        <w:rPr>
          <w:color w:val="0562C1"/>
          <w:position w:val="21"/>
          <w:u w:val="single" w:color="0562C1"/>
        </w:rPr>
        <w:t>[172]</w:t>
      </w:r>
      <w:r>
        <w:t>)</w:t>
      </w:r>
      <w:r>
        <w:rPr>
          <w:spacing w:val="-4"/>
        </w:rPr>
        <w:t xml:space="preserve"> </w:t>
      </w:r>
      <w:r>
        <w:t>x</w:t>
      </w:r>
      <w:r>
        <w:rPr>
          <w:spacing w:val="-2"/>
        </w:rPr>
        <w:t xml:space="preserve"> </w:t>
      </w:r>
      <w:r>
        <w:t>is</w:t>
      </w:r>
      <w:r>
        <w:rPr>
          <w:spacing w:val="-3"/>
        </w:rPr>
        <w:t xml:space="preserve"> </w:t>
      </w:r>
      <w:r>
        <w:t>wearing</w:t>
      </w:r>
      <w:r>
        <w:rPr>
          <w:spacing w:val="-3"/>
        </w:rPr>
        <w:t xml:space="preserve"> </w:t>
      </w:r>
      <w:r>
        <w:t>a</w:t>
      </w:r>
      <w:r>
        <w:rPr>
          <w:spacing w:val="-3"/>
        </w:rPr>
        <w:t xml:space="preserve"> </w:t>
      </w:r>
      <w:r>
        <w:t>plaid</w:t>
      </w:r>
      <w:r>
        <w:rPr>
          <w:spacing w:val="-2"/>
        </w:rPr>
        <w:t xml:space="preserve"> shirt.</w:t>
      </w:r>
    </w:p>
    <w:p w14:paraId="7E001505" w14:textId="77777777" w:rsidR="009A58DB" w:rsidRDefault="009A58DB">
      <w:pPr>
        <w:pStyle w:val="BodyText"/>
        <w:jc w:val="left"/>
        <w:sectPr w:rsidR="009A58DB">
          <w:pgSz w:w="12240" w:h="15840"/>
          <w:pgMar w:top="1380" w:right="1080" w:bottom="280" w:left="1080" w:header="720" w:footer="720" w:gutter="0"/>
          <w:cols w:space="720"/>
        </w:sectPr>
      </w:pPr>
    </w:p>
    <w:p w14:paraId="7E001506" w14:textId="77777777" w:rsidR="009A58DB" w:rsidRDefault="00000000">
      <w:pPr>
        <w:pStyle w:val="BodyText"/>
        <w:spacing w:before="65" w:line="292" w:lineRule="auto"/>
        <w:ind w:right="364"/>
      </w:pPr>
      <w:r>
        <w:lastRenderedPageBreak/>
        <w:t>In</w:t>
      </w:r>
      <w:r>
        <w:rPr>
          <w:spacing w:val="-1"/>
        </w:rPr>
        <w:t xml:space="preserve"> </w:t>
      </w:r>
      <w:r>
        <w:t>W</w:t>
      </w:r>
      <w:r>
        <w:rPr>
          <w:vertAlign w:val="subscript"/>
        </w:rPr>
        <w:t>2</w:t>
      </w:r>
      <w:r>
        <w:t>, there is some other individual y, namely Gary, such that y ≠ Max and such that U</w:t>
      </w:r>
      <w:r>
        <w:rPr>
          <w:vertAlign w:val="subscript"/>
        </w:rPr>
        <w:t>2</w:t>
      </w:r>
      <w:r>
        <w:t xml:space="preserve"> is true exactly if:</w:t>
      </w:r>
    </w:p>
    <w:p w14:paraId="7E001507" w14:textId="77777777" w:rsidR="009A58DB" w:rsidRDefault="009A58DB">
      <w:pPr>
        <w:pStyle w:val="BodyText"/>
        <w:spacing w:before="13"/>
        <w:ind w:left="0"/>
        <w:jc w:val="left"/>
      </w:pPr>
    </w:p>
    <w:p w14:paraId="7E001508" w14:textId="77777777" w:rsidR="009A58DB" w:rsidRDefault="00000000">
      <w:pPr>
        <w:pStyle w:val="BodyText"/>
      </w:pPr>
      <w:r>
        <w:t>(GP)</w:t>
      </w:r>
      <w:r>
        <w:rPr>
          <w:spacing w:val="-3"/>
        </w:rPr>
        <w:t xml:space="preserve"> </w:t>
      </w:r>
      <w:r>
        <w:t>y</w:t>
      </w:r>
      <w:r>
        <w:rPr>
          <w:spacing w:val="-2"/>
        </w:rPr>
        <w:t xml:space="preserve"> </w:t>
      </w:r>
      <w:r>
        <w:t>is</w:t>
      </w:r>
      <w:r>
        <w:rPr>
          <w:spacing w:val="-3"/>
        </w:rPr>
        <w:t xml:space="preserve"> </w:t>
      </w:r>
      <w:r>
        <w:t>wearing</w:t>
      </w:r>
      <w:r>
        <w:rPr>
          <w:spacing w:val="-2"/>
        </w:rPr>
        <w:t xml:space="preserve"> </w:t>
      </w:r>
      <w:r>
        <w:t>a</w:t>
      </w:r>
      <w:r>
        <w:rPr>
          <w:spacing w:val="-3"/>
        </w:rPr>
        <w:t xml:space="preserve"> </w:t>
      </w:r>
      <w:r>
        <w:t>plaid</w:t>
      </w:r>
      <w:r>
        <w:rPr>
          <w:spacing w:val="-2"/>
        </w:rPr>
        <w:t xml:space="preserve"> shirt.</w:t>
      </w:r>
    </w:p>
    <w:p w14:paraId="7E001509" w14:textId="77777777" w:rsidR="009A58DB" w:rsidRDefault="009A58DB">
      <w:pPr>
        <w:pStyle w:val="BodyText"/>
        <w:spacing w:before="30"/>
        <w:ind w:left="0"/>
        <w:jc w:val="left"/>
      </w:pPr>
    </w:p>
    <w:p w14:paraId="7E00150A" w14:textId="77777777" w:rsidR="009A58DB" w:rsidRDefault="00000000">
      <w:pPr>
        <w:pStyle w:val="BodyText"/>
        <w:spacing w:line="249" w:lineRule="auto"/>
        <w:ind w:right="360"/>
      </w:pPr>
      <w:r>
        <w:t xml:space="preserve">MP is true just in case </w:t>
      </w:r>
      <w:r>
        <w:rPr>
          <w:i/>
        </w:rPr>
        <w:t xml:space="preserve">Max </w:t>
      </w:r>
      <w:r>
        <w:t>is wearing a plaid shirt, it being irrelevant</w:t>
      </w:r>
      <w:r>
        <w:rPr>
          <w:spacing w:val="40"/>
        </w:rPr>
        <w:t xml:space="preserve"> </w:t>
      </w:r>
      <w:r>
        <w:t xml:space="preserve">whether Gary is wearing one. And GP is true just in case </w:t>
      </w:r>
      <w:r>
        <w:rPr>
          <w:i/>
        </w:rPr>
        <w:t xml:space="preserve">Gary </w:t>
      </w:r>
      <w:r>
        <w:t>is wearing a plaid</w:t>
      </w:r>
      <w:r>
        <w:rPr>
          <w:spacing w:val="-1"/>
        </w:rPr>
        <w:t xml:space="preserve"> </w:t>
      </w:r>
      <w:r>
        <w:t>shirt,</w:t>
      </w:r>
      <w:r>
        <w:rPr>
          <w:spacing w:val="-1"/>
        </w:rPr>
        <w:t xml:space="preserve"> </w:t>
      </w:r>
      <w:r>
        <w:t>it</w:t>
      </w:r>
      <w:r>
        <w:rPr>
          <w:spacing w:val="-1"/>
        </w:rPr>
        <w:t xml:space="preserve"> </w:t>
      </w:r>
      <w:r>
        <w:t>being</w:t>
      </w:r>
      <w:r>
        <w:rPr>
          <w:spacing w:val="-1"/>
        </w:rPr>
        <w:t xml:space="preserve"> </w:t>
      </w:r>
      <w:r>
        <w:t>irrelevant</w:t>
      </w:r>
      <w:r>
        <w:rPr>
          <w:spacing w:val="-1"/>
        </w:rPr>
        <w:t xml:space="preserve"> </w:t>
      </w:r>
      <w:r>
        <w:t>whether</w:t>
      </w:r>
      <w:r>
        <w:rPr>
          <w:spacing w:val="-1"/>
        </w:rPr>
        <w:t xml:space="preserve"> </w:t>
      </w:r>
      <w:r>
        <w:t>Max</w:t>
      </w:r>
      <w:r>
        <w:rPr>
          <w:spacing w:val="-1"/>
        </w:rPr>
        <w:t xml:space="preserve"> </w:t>
      </w:r>
      <w:r>
        <w:t>is</w:t>
      </w:r>
      <w:r>
        <w:rPr>
          <w:spacing w:val="-1"/>
        </w:rPr>
        <w:t xml:space="preserve"> </w:t>
      </w:r>
      <w:r>
        <w:t>wearing</w:t>
      </w:r>
      <w:r>
        <w:rPr>
          <w:spacing w:val="-1"/>
        </w:rPr>
        <w:t xml:space="preserve"> </w:t>
      </w:r>
      <w:r>
        <w:t>one.</w:t>
      </w:r>
      <w:r>
        <w:rPr>
          <w:spacing w:val="-1"/>
        </w:rPr>
        <w:t xml:space="preserve"> </w:t>
      </w:r>
      <w:r>
        <w:t>Neither</w:t>
      </w:r>
      <w:r>
        <w:rPr>
          <w:spacing w:val="-1"/>
        </w:rPr>
        <w:t xml:space="preserve"> </w:t>
      </w:r>
      <w:r>
        <w:t>entails</w:t>
      </w:r>
      <w:r>
        <w:rPr>
          <w:spacing w:val="-1"/>
        </w:rPr>
        <w:t xml:space="preserve"> </w:t>
      </w:r>
      <w:r>
        <w:t xml:space="preserve">the other; neither entails the negation of the other. MP and GP are different </w:t>
      </w:r>
      <w:r>
        <w:rPr>
          <w:spacing w:val="-2"/>
        </w:rPr>
        <w:t>propositions.</w:t>
      </w:r>
    </w:p>
    <w:p w14:paraId="7E00150B" w14:textId="77777777" w:rsidR="009A58DB" w:rsidRDefault="00000000">
      <w:pPr>
        <w:pStyle w:val="BodyText"/>
        <w:spacing w:before="6" w:line="271" w:lineRule="auto"/>
        <w:ind w:right="357" w:firstLine="360"/>
      </w:pPr>
      <w:r>
        <w:t>U</w:t>
      </w:r>
      <w:r>
        <w:rPr>
          <w:position w:val="-7"/>
          <w:sz w:val="22"/>
        </w:rPr>
        <w:t>1</w:t>
      </w:r>
      <w:r>
        <w:rPr>
          <w:spacing w:val="40"/>
          <w:position w:val="-7"/>
          <w:sz w:val="22"/>
        </w:rPr>
        <w:t xml:space="preserve"> </w:t>
      </w:r>
      <w:r>
        <w:t>expresses what I’m thinking in W</w:t>
      </w:r>
      <w:r>
        <w:rPr>
          <w:position w:val="-7"/>
          <w:sz w:val="22"/>
        </w:rPr>
        <w:t>1</w:t>
      </w:r>
      <w:r>
        <w:t>, and U</w:t>
      </w:r>
      <w:r>
        <w:rPr>
          <w:position w:val="-7"/>
          <w:sz w:val="22"/>
        </w:rPr>
        <w:t>2</w:t>
      </w:r>
      <w:r>
        <w:rPr>
          <w:spacing w:val="40"/>
          <w:position w:val="-7"/>
          <w:sz w:val="22"/>
        </w:rPr>
        <w:t xml:space="preserve"> </w:t>
      </w:r>
      <w:r>
        <w:t>expresses what I’m thinking U</w:t>
      </w:r>
      <w:r>
        <w:rPr>
          <w:vertAlign w:val="subscript"/>
        </w:rPr>
        <w:t>2</w:t>
      </w:r>
      <w:r>
        <w:t>. U</w:t>
      </w:r>
      <w:r>
        <w:rPr>
          <w:vertAlign w:val="subscript"/>
        </w:rPr>
        <w:t>2</w:t>
      </w:r>
      <w:r>
        <w:t>s ’ truth-conditions coincide with those of the thought I’m having</w:t>
      </w:r>
      <w:r>
        <w:rPr>
          <w:spacing w:val="68"/>
        </w:rPr>
        <w:t xml:space="preserve"> </w:t>
      </w:r>
      <w:r>
        <w:t>in</w:t>
      </w:r>
      <w:r>
        <w:rPr>
          <w:spacing w:val="68"/>
        </w:rPr>
        <w:t xml:space="preserve"> </w:t>
      </w:r>
      <w:r>
        <w:t>W</w:t>
      </w:r>
      <w:r>
        <w:rPr>
          <w:vertAlign w:val="subscript"/>
        </w:rPr>
        <w:t>1</w:t>
      </w:r>
      <w:r>
        <w:t>,</w:t>
      </w:r>
      <w:r>
        <w:rPr>
          <w:spacing w:val="69"/>
        </w:rPr>
        <w:t xml:space="preserve"> </w:t>
      </w:r>
      <w:r>
        <w:t>and</w:t>
      </w:r>
      <w:r>
        <w:rPr>
          <w:spacing w:val="68"/>
        </w:rPr>
        <w:t xml:space="preserve"> </w:t>
      </w:r>
      <w:r>
        <w:t>are</w:t>
      </w:r>
      <w:r>
        <w:rPr>
          <w:spacing w:val="69"/>
        </w:rPr>
        <w:t xml:space="preserve"> </w:t>
      </w:r>
      <w:r>
        <w:t>therefore</w:t>
      </w:r>
      <w:r>
        <w:rPr>
          <w:spacing w:val="68"/>
        </w:rPr>
        <w:t xml:space="preserve"> </w:t>
      </w:r>
      <w:r>
        <w:t>given</w:t>
      </w:r>
      <w:r>
        <w:rPr>
          <w:spacing w:val="69"/>
        </w:rPr>
        <w:t xml:space="preserve"> </w:t>
      </w:r>
      <w:r>
        <w:t>by</w:t>
      </w:r>
      <w:r>
        <w:rPr>
          <w:spacing w:val="68"/>
        </w:rPr>
        <w:t xml:space="preserve"> </w:t>
      </w:r>
      <w:r>
        <w:t>MP;</w:t>
      </w:r>
      <w:r>
        <w:rPr>
          <w:spacing w:val="68"/>
        </w:rPr>
        <w:t xml:space="preserve"> </w:t>
      </w:r>
      <w:r>
        <w:t>and</w:t>
      </w:r>
      <w:r>
        <w:rPr>
          <w:spacing w:val="69"/>
        </w:rPr>
        <w:t xml:space="preserve"> </w:t>
      </w:r>
      <w:r>
        <w:t>U</w:t>
      </w:r>
      <w:r>
        <w:rPr>
          <w:vertAlign w:val="subscript"/>
        </w:rPr>
        <w:t>2</w:t>
      </w:r>
      <w:r>
        <w:t>’s</w:t>
      </w:r>
      <w:r>
        <w:rPr>
          <w:spacing w:val="75"/>
        </w:rPr>
        <w:t xml:space="preserve"> </w:t>
      </w:r>
      <w:r>
        <w:t>truth-</w:t>
      </w:r>
      <w:r>
        <w:rPr>
          <w:spacing w:val="-2"/>
        </w:rPr>
        <w:t>conditions</w:t>
      </w:r>
    </w:p>
    <w:p w14:paraId="7E00150C" w14:textId="77777777" w:rsidR="009A58DB" w:rsidRDefault="00000000">
      <w:pPr>
        <w:pStyle w:val="BodyText"/>
        <w:spacing w:before="28" w:line="292" w:lineRule="auto"/>
        <w:ind w:right="362"/>
      </w:pPr>
      <w:r>
        <w:t>coincide with those of the thought I’m having in W</w:t>
      </w:r>
      <w:r>
        <w:rPr>
          <w:vertAlign w:val="subscript"/>
        </w:rPr>
        <w:t>2</w:t>
      </w:r>
      <w:r>
        <w:t xml:space="preserve"> and are therefore given by GP. Thus, the belief expressed by U</w:t>
      </w:r>
      <w:r>
        <w:rPr>
          <w:vertAlign w:val="subscript"/>
        </w:rPr>
        <w:t>1</w:t>
      </w:r>
      <w:r>
        <w:t xml:space="preserve"> has a different content from the belief expressed by U</w:t>
      </w:r>
      <w:r>
        <w:rPr>
          <w:vertAlign w:val="subscript"/>
        </w:rPr>
        <w:t>2</w:t>
      </w:r>
      <w:r>
        <w:t>.</w:t>
      </w:r>
    </w:p>
    <w:p w14:paraId="7E00150D" w14:textId="77777777" w:rsidR="009A58DB" w:rsidRDefault="00000000">
      <w:pPr>
        <w:pStyle w:val="BodyText"/>
        <w:spacing w:line="292" w:lineRule="auto"/>
        <w:ind w:right="362" w:firstLine="360"/>
      </w:pPr>
      <w:r>
        <w:t>Of course, in W</w:t>
      </w:r>
      <w:r>
        <w:rPr>
          <w:vertAlign w:val="subscript"/>
        </w:rPr>
        <w:t>1</w:t>
      </w:r>
      <w:r>
        <w:t>, my visual experience results from light bouncing off Max,</w:t>
      </w:r>
      <w:r>
        <w:rPr>
          <w:spacing w:val="40"/>
        </w:rPr>
        <w:t xml:space="preserve"> </w:t>
      </w:r>
      <w:r>
        <w:t>not</w:t>
      </w:r>
      <w:r>
        <w:rPr>
          <w:spacing w:val="41"/>
        </w:rPr>
        <w:t xml:space="preserve"> </w:t>
      </w:r>
      <w:r>
        <w:t>Gary;</w:t>
      </w:r>
      <w:r>
        <w:rPr>
          <w:spacing w:val="41"/>
        </w:rPr>
        <w:t xml:space="preserve"> </w:t>
      </w:r>
      <w:r>
        <w:t>and</w:t>
      </w:r>
      <w:r>
        <w:rPr>
          <w:spacing w:val="40"/>
        </w:rPr>
        <w:t xml:space="preserve"> </w:t>
      </w:r>
      <w:r>
        <w:t>in</w:t>
      </w:r>
      <w:r>
        <w:rPr>
          <w:spacing w:val="42"/>
        </w:rPr>
        <w:t xml:space="preserve"> </w:t>
      </w:r>
      <w:r>
        <w:t>W</w:t>
      </w:r>
      <w:r>
        <w:rPr>
          <w:vertAlign w:val="subscript"/>
        </w:rPr>
        <w:t>2</w:t>
      </w:r>
      <w:r>
        <w:t>,</w:t>
      </w:r>
      <w:r>
        <w:rPr>
          <w:spacing w:val="45"/>
        </w:rPr>
        <w:t xml:space="preserve"> </w:t>
      </w:r>
      <w:r>
        <w:t>it</w:t>
      </w:r>
      <w:r>
        <w:rPr>
          <w:spacing w:val="44"/>
        </w:rPr>
        <w:t xml:space="preserve"> </w:t>
      </w:r>
      <w:r>
        <w:t>results</w:t>
      </w:r>
      <w:r>
        <w:rPr>
          <w:spacing w:val="43"/>
        </w:rPr>
        <w:t xml:space="preserve"> </w:t>
      </w:r>
      <w:r>
        <w:t>from</w:t>
      </w:r>
      <w:r>
        <w:rPr>
          <w:spacing w:val="44"/>
        </w:rPr>
        <w:t xml:space="preserve"> </w:t>
      </w:r>
      <w:r>
        <w:t>light</w:t>
      </w:r>
      <w:r>
        <w:rPr>
          <w:spacing w:val="44"/>
        </w:rPr>
        <w:t xml:space="preserve"> </w:t>
      </w:r>
      <w:r>
        <w:t>bouncing</w:t>
      </w:r>
      <w:r>
        <w:rPr>
          <w:spacing w:val="44"/>
        </w:rPr>
        <w:t xml:space="preserve"> </w:t>
      </w:r>
      <w:r>
        <w:t>off</w:t>
      </w:r>
      <w:r>
        <w:rPr>
          <w:spacing w:val="44"/>
        </w:rPr>
        <w:t xml:space="preserve"> </w:t>
      </w:r>
      <w:r>
        <w:t>of</w:t>
      </w:r>
      <w:r>
        <w:rPr>
          <w:spacing w:val="44"/>
        </w:rPr>
        <w:t xml:space="preserve"> </w:t>
      </w:r>
      <w:r>
        <w:t>Gary,</w:t>
      </w:r>
      <w:r>
        <w:rPr>
          <w:spacing w:val="44"/>
        </w:rPr>
        <w:t xml:space="preserve"> </w:t>
      </w:r>
      <w:r>
        <w:rPr>
          <w:spacing w:val="-5"/>
        </w:rPr>
        <w:t>not</w:t>
      </w:r>
    </w:p>
    <w:p w14:paraId="7E00150E" w14:textId="77777777" w:rsidR="009A58DB" w:rsidRDefault="00000000">
      <w:pPr>
        <w:pStyle w:val="BodyText"/>
        <w:spacing w:line="249" w:lineRule="auto"/>
        <w:ind w:right="358"/>
      </w:pPr>
      <w:r>
        <w:t>Max. But apart from that fact, there is absolutely nothing that at that time distinguishes my situation in the one world at time t from my situation in the other</w:t>
      </w:r>
      <w:r>
        <w:rPr>
          <w:spacing w:val="76"/>
        </w:rPr>
        <w:t xml:space="preserve"> </w:t>
      </w:r>
      <w:r>
        <w:t>world.</w:t>
      </w:r>
      <w:r>
        <w:rPr>
          <w:spacing w:val="76"/>
        </w:rPr>
        <w:t xml:space="preserve"> </w:t>
      </w:r>
      <w:r>
        <w:t>My</w:t>
      </w:r>
      <w:r>
        <w:rPr>
          <w:spacing w:val="76"/>
        </w:rPr>
        <w:t xml:space="preserve"> </w:t>
      </w:r>
      <w:r>
        <w:t>intracranial</w:t>
      </w:r>
      <w:r>
        <w:rPr>
          <w:spacing w:val="76"/>
        </w:rPr>
        <w:t xml:space="preserve"> </w:t>
      </w:r>
      <w:r>
        <w:t>situation</w:t>
      </w:r>
      <w:r>
        <w:rPr>
          <w:spacing w:val="76"/>
        </w:rPr>
        <w:t xml:space="preserve"> </w:t>
      </w:r>
      <w:r>
        <w:t>in</w:t>
      </w:r>
      <w:r>
        <w:rPr>
          <w:spacing w:val="77"/>
        </w:rPr>
        <w:t xml:space="preserve"> </w:t>
      </w:r>
      <w:r>
        <w:t>W</w:t>
      </w:r>
      <w:r>
        <w:rPr>
          <w:vertAlign w:val="subscript"/>
        </w:rPr>
        <w:t>1</w:t>
      </w:r>
      <w:r>
        <w:rPr>
          <w:spacing w:val="79"/>
        </w:rPr>
        <w:t xml:space="preserve"> </w:t>
      </w:r>
      <w:r>
        <w:t>is</w:t>
      </w:r>
      <w:r>
        <w:rPr>
          <w:spacing w:val="42"/>
          <w:w w:val="150"/>
        </w:rPr>
        <w:t xml:space="preserve"> </w:t>
      </w:r>
      <w:r>
        <w:t>just</w:t>
      </w:r>
      <w:r>
        <w:rPr>
          <w:spacing w:val="42"/>
          <w:w w:val="150"/>
        </w:rPr>
        <w:t xml:space="preserve"> </w:t>
      </w:r>
      <w:r>
        <w:t>like</w:t>
      </w:r>
      <w:r>
        <w:rPr>
          <w:spacing w:val="43"/>
          <w:w w:val="150"/>
        </w:rPr>
        <w:t xml:space="preserve"> </w:t>
      </w:r>
      <w:r>
        <w:t>my</w:t>
      </w:r>
      <w:r>
        <w:rPr>
          <w:spacing w:val="42"/>
          <w:w w:val="150"/>
        </w:rPr>
        <w:t xml:space="preserve"> </w:t>
      </w:r>
      <w:r>
        <w:rPr>
          <w:spacing w:val="-2"/>
        </w:rPr>
        <w:t>intracranial</w:t>
      </w:r>
    </w:p>
    <w:p w14:paraId="7E00150F" w14:textId="77777777" w:rsidR="009A58DB" w:rsidRDefault="00000000">
      <w:pPr>
        <w:pStyle w:val="BodyText"/>
        <w:spacing w:before="59"/>
      </w:pPr>
      <w:r>
        <w:t>situation</w:t>
      </w:r>
      <w:r>
        <w:rPr>
          <w:spacing w:val="-4"/>
        </w:rPr>
        <w:t xml:space="preserve"> </w:t>
      </w:r>
      <w:r>
        <w:t>in</w:t>
      </w:r>
      <w:r>
        <w:rPr>
          <w:spacing w:val="-3"/>
        </w:rPr>
        <w:t xml:space="preserve"> </w:t>
      </w:r>
      <w:r>
        <w:rPr>
          <w:spacing w:val="-5"/>
        </w:rPr>
        <w:t>W</w:t>
      </w:r>
      <w:r>
        <w:rPr>
          <w:spacing w:val="-5"/>
          <w:vertAlign w:val="subscript"/>
        </w:rPr>
        <w:t>2</w:t>
      </w:r>
      <w:r>
        <w:rPr>
          <w:spacing w:val="-5"/>
        </w:rPr>
        <w:t>.</w:t>
      </w:r>
    </w:p>
    <w:p w14:paraId="7E001510" w14:textId="77777777" w:rsidR="009A58DB" w:rsidRDefault="00000000">
      <w:pPr>
        <w:pStyle w:val="BodyText"/>
        <w:spacing w:before="75" w:line="292" w:lineRule="auto"/>
        <w:ind w:right="363" w:firstLine="360"/>
      </w:pPr>
      <w:r>
        <w:t>But we just saw that the content of what I’m thinking in W</w:t>
      </w:r>
      <w:r>
        <w:rPr>
          <w:vertAlign w:val="subscript"/>
        </w:rPr>
        <w:t>1</w:t>
      </w:r>
      <w:r>
        <w:t xml:space="preserve"> at t is</w:t>
      </w:r>
      <w:r>
        <w:rPr>
          <w:spacing w:val="80"/>
        </w:rPr>
        <w:t xml:space="preserve"> </w:t>
      </w:r>
      <w:r>
        <w:t>different from the content of what I’m thinking in W</w:t>
      </w:r>
      <w:r>
        <w:rPr>
          <w:vertAlign w:val="subscript"/>
        </w:rPr>
        <w:t>2</w:t>
      </w:r>
      <w:r>
        <w:t>. This difference must derive from the fact that, in W</w:t>
      </w:r>
      <w:r>
        <w:rPr>
          <w:vertAlign w:val="subscript"/>
        </w:rPr>
        <w:t>1</w:t>
      </w:r>
      <w:r>
        <w:t>, my mental state has a certain external cause (light bouncing off of Max), whereas in W</w:t>
      </w:r>
      <w:r>
        <w:rPr>
          <w:vertAlign w:val="subscript"/>
        </w:rPr>
        <w:t>2</w:t>
      </w:r>
      <w:r>
        <w:t xml:space="preserve"> it has a different external cause (light bouncing off of Gary).</w:t>
      </w:r>
    </w:p>
    <w:p w14:paraId="7E001511" w14:textId="77777777" w:rsidR="009A58DB" w:rsidRDefault="00000000">
      <w:pPr>
        <w:pStyle w:val="Heading1"/>
        <w:numPr>
          <w:ilvl w:val="1"/>
          <w:numId w:val="145"/>
        </w:numPr>
        <w:tabs>
          <w:tab w:val="left" w:pos="1110"/>
        </w:tabs>
        <w:spacing w:before="124" w:line="244" w:lineRule="auto"/>
        <w:ind w:right="364" w:firstLine="0"/>
        <w:jc w:val="both"/>
      </w:pPr>
      <w:r>
        <w:t xml:space="preserve">Burge’s failure to distinguish what we know directly from perception from what we infer from </w:t>
      </w:r>
      <w:r>
        <w:rPr>
          <w:spacing w:val="-2"/>
        </w:rPr>
        <w:t>perception</w:t>
      </w:r>
    </w:p>
    <w:p w14:paraId="7E001512" w14:textId="77777777" w:rsidR="009A58DB" w:rsidRDefault="009A58DB">
      <w:pPr>
        <w:pStyle w:val="Heading1"/>
        <w:spacing w:line="244" w:lineRule="auto"/>
        <w:jc w:val="both"/>
        <w:sectPr w:rsidR="009A58DB">
          <w:pgSz w:w="12240" w:h="15840"/>
          <w:pgMar w:top="1740" w:right="1080" w:bottom="280" w:left="1080" w:header="720" w:footer="720" w:gutter="0"/>
          <w:cols w:space="720"/>
        </w:sectPr>
      </w:pPr>
    </w:p>
    <w:p w14:paraId="7E001513" w14:textId="77777777" w:rsidR="009A58DB" w:rsidRDefault="00000000">
      <w:pPr>
        <w:pStyle w:val="BodyText"/>
        <w:spacing w:before="65" w:line="249" w:lineRule="auto"/>
        <w:ind w:right="362"/>
      </w:pPr>
      <w:r>
        <w:lastRenderedPageBreak/>
        <w:t>The conclusion of this argument is false, and there is thus something wrong with the argument itself. The problem with it is that it assumes that the relationship</w:t>
      </w:r>
      <w:r>
        <w:rPr>
          <w:spacing w:val="-1"/>
        </w:rPr>
        <w:t xml:space="preserve"> </w:t>
      </w:r>
      <w:r>
        <w:t>between</w:t>
      </w:r>
      <w:r>
        <w:rPr>
          <w:spacing w:val="-1"/>
        </w:rPr>
        <w:t xml:space="preserve"> </w:t>
      </w:r>
      <w:r>
        <w:t>linguistic</w:t>
      </w:r>
      <w:r>
        <w:rPr>
          <w:spacing w:val="-1"/>
        </w:rPr>
        <w:t xml:space="preserve"> </w:t>
      </w:r>
      <w:r>
        <w:t>meaning</w:t>
      </w:r>
      <w:r>
        <w:rPr>
          <w:spacing w:val="-1"/>
        </w:rPr>
        <w:t xml:space="preserve"> </w:t>
      </w:r>
      <w:r>
        <w:t>and</w:t>
      </w:r>
      <w:r>
        <w:rPr>
          <w:spacing w:val="-1"/>
        </w:rPr>
        <w:t xml:space="preserve"> </w:t>
      </w:r>
      <w:r>
        <w:t>cognitive</w:t>
      </w:r>
      <w:r>
        <w:rPr>
          <w:spacing w:val="-1"/>
        </w:rPr>
        <w:t xml:space="preserve"> </w:t>
      </w:r>
      <w:r>
        <w:t>content</w:t>
      </w:r>
      <w:r>
        <w:rPr>
          <w:spacing w:val="-1"/>
        </w:rPr>
        <w:t xml:space="preserve"> </w:t>
      </w:r>
      <w:r>
        <w:t>is</w:t>
      </w:r>
      <w:r>
        <w:rPr>
          <w:spacing w:val="-1"/>
        </w:rPr>
        <w:t xml:space="preserve"> </w:t>
      </w:r>
      <w:r>
        <w:t>much</w:t>
      </w:r>
      <w:r>
        <w:rPr>
          <w:spacing w:val="-1"/>
        </w:rPr>
        <w:t xml:space="preserve"> </w:t>
      </w:r>
      <w:r>
        <w:t>tighter than it actually is.</w:t>
      </w:r>
    </w:p>
    <w:p w14:paraId="7E001514" w14:textId="77777777" w:rsidR="009A58DB" w:rsidRDefault="00000000">
      <w:pPr>
        <w:pStyle w:val="BodyText"/>
        <w:spacing w:before="5" w:line="292" w:lineRule="auto"/>
        <w:ind w:right="365" w:firstLine="360"/>
      </w:pPr>
      <w:r>
        <w:t>Let’s suppose the following. I’m in some world W</w:t>
      </w:r>
      <w:r>
        <w:rPr>
          <w:vertAlign w:val="subscript"/>
        </w:rPr>
        <w:t>3</w:t>
      </w:r>
      <w:r>
        <w:t xml:space="preserve"> (not identical with W</w:t>
      </w:r>
      <w:r>
        <w:rPr>
          <w:vertAlign w:val="subscript"/>
        </w:rPr>
        <w:t>1</w:t>
      </w:r>
      <w:r>
        <w:t xml:space="preserve"> or</w:t>
      </w:r>
      <w:r>
        <w:rPr>
          <w:spacing w:val="13"/>
        </w:rPr>
        <w:t xml:space="preserve"> </w:t>
      </w:r>
      <w:r>
        <w:t>with</w:t>
      </w:r>
      <w:r>
        <w:rPr>
          <w:spacing w:val="14"/>
        </w:rPr>
        <w:t xml:space="preserve"> </w:t>
      </w:r>
      <w:r>
        <w:t>W</w:t>
      </w:r>
      <w:r>
        <w:rPr>
          <w:vertAlign w:val="subscript"/>
        </w:rPr>
        <w:t>2</w:t>
      </w:r>
      <w:r>
        <w:t>).</w:t>
      </w:r>
      <w:r>
        <w:rPr>
          <w:spacing w:val="22"/>
        </w:rPr>
        <w:t xml:space="preserve"> </w:t>
      </w:r>
      <w:r>
        <w:t>I’m</w:t>
      </w:r>
      <w:r>
        <w:rPr>
          <w:spacing w:val="21"/>
        </w:rPr>
        <w:t xml:space="preserve"> </w:t>
      </w:r>
      <w:r>
        <w:t>with</w:t>
      </w:r>
      <w:r>
        <w:rPr>
          <w:spacing w:val="22"/>
        </w:rPr>
        <w:t xml:space="preserve"> </w:t>
      </w:r>
      <w:r>
        <w:t>my</w:t>
      </w:r>
      <w:r>
        <w:rPr>
          <w:spacing w:val="21"/>
        </w:rPr>
        <w:t xml:space="preserve"> </w:t>
      </w:r>
      <w:r>
        <w:t>friend</w:t>
      </w:r>
      <w:r>
        <w:rPr>
          <w:spacing w:val="22"/>
        </w:rPr>
        <w:t xml:space="preserve"> </w:t>
      </w:r>
      <w:r>
        <w:t>Sally.</w:t>
      </w:r>
      <w:r>
        <w:rPr>
          <w:spacing w:val="21"/>
        </w:rPr>
        <w:t xml:space="preserve"> </w:t>
      </w:r>
      <w:r>
        <w:t>I</w:t>
      </w:r>
      <w:r>
        <w:rPr>
          <w:spacing w:val="21"/>
        </w:rPr>
        <w:t xml:space="preserve"> </w:t>
      </w:r>
      <w:r>
        <w:t>bet</w:t>
      </w:r>
      <w:r>
        <w:rPr>
          <w:spacing w:val="22"/>
        </w:rPr>
        <w:t xml:space="preserve"> </w:t>
      </w:r>
      <w:r>
        <w:t>her</w:t>
      </w:r>
      <w:r>
        <w:rPr>
          <w:spacing w:val="21"/>
        </w:rPr>
        <w:t xml:space="preserve"> </w:t>
      </w:r>
      <w:r>
        <w:t>$10</w:t>
      </w:r>
      <w:r>
        <w:rPr>
          <w:spacing w:val="22"/>
        </w:rPr>
        <w:t xml:space="preserve"> </w:t>
      </w:r>
      <w:r>
        <w:t>that</w:t>
      </w:r>
      <w:r>
        <w:rPr>
          <w:spacing w:val="21"/>
        </w:rPr>
        <w:t xml:space="preserve"> </w:t>
      </w:r>
      <w:r>
        <w:t>within</w:t>
      </w:r>
      <w:r>
        <w:rPr>
          <w:spacing w:val="22"/>
        </w:rPr>
        <w:t xml:space="preserve"> </w:t>
      </w:r>
      <w:r>
        <w:t>the</w:t>
      </w:r>
      <w:r>
        <w:rPr>
          <w:spacing w:val="21"/>
        </w:rPr>
        <w:t xml:space="preserve"> </w:t>
      </w:r>
      <w:r>
        <w:t>next</w:t>
      </w:r>
      <w:r>
        <w:rPr>
          <w:spacing w:val="21"/>
        </w:rPr>
        <w:t xml:space="preserve"> </w:t>
      </w:r>
      <w:r>
        <w:rPr>
          <w:spacing w:val="-5"/>
        </w:rPr>
        <w:t>24</w:t>
      </w:r>
    </w:p>
    <w:p w14:paraId="7E001515" w14:textId="77777777" w:rsidR="009A58DB" w:rsidRDefault="00000000">
      <w:pPr>
        <w:pStyle w:val="BodyText"/>
        <w:spacing w:line="271" w:lineRule="auto"/>
        <w:ind w:right="365"/>
      </w:pPr>
      <w:r>
        <w:t>hours we’d see somebody wearing a plaid shirt. She doesn’t know, or know of, either Max or Gary. W</w:t>
      </w:r>
      <w:r>
        <w:rPr>
          <w:vertAlign w:val="subscript"/>
        </w:rPr>
        <w:t>3</w:t>
      </w:r>
      <w:r>
        <w:t xml:space="preserve"> is exactly like each of W</w:t>
      </w:r>
      <w:r>
        <w:rPr>
          <w:vertAlign w:val="subscript"/>
        </w:rPr>
        <w:t>1</w:t>
      </w:r>
      <w:r>
        <w:t xml:space="preserve"> and W</w:t>
      </w:r>
      <w:r>
        <w:rPr>
          <w:vertAlign w:val="subscript"/>
        </w:rPr>
        <w:t>2</w:t>
      </w:r>
      <w:r>
        <w:t xml:space="preserve"> </w:t>
      </w:r>
      <w:r>
        <w:rPr>
          <w:i/>
        </w:rPr>
        <w:t xml:space="preserve">except </w:t>
      </w:r>
      <w:r>
        <w:t>that, in W</w:t>
      </w:r>
      <w:r>
        <w:rPr>
          <w:vertAlign w:val="subscript"/>
        </w:rPr>
        <w:t>3</w:t>
      </w:r>
      <w:r>
        <w:t>,</w:t>
      </w:r>
      <w:r>
        <w:rPr>
          <w:spacing w:val="39"/>
        </w:rPr>
        <w:t xml:space="preserve"> </w:t>
      </w:r>
      <w:r>
        <w:t>the</w:t>
      </w:r>
      <w:r>
        <w:rPr>
          <w:spacing w:val="40"/>
        </w:rPr>
        <w:t xml:space="preserve"> </w:t>
      </w:r>
      <w:r>
        <w:t>thing</w:t>
      </w:r>
      <w:r>
        <w:rPr>
          <w:spacing w:val="40"/>
        </w:rPr>
        <w:t xml:space="preserve"> </w:t>
      </w:r>
      <w:r>
        <w:t>standing</w:t>
      </w:r>
      <w:r>
        <w:rPr>
          <w:spacing w:val="39"/>
        </w:rPr>
        <w:t xml:space="preserve"> </w:t>
      </w:r>
      <w:r>
        <w:t>in</w:t>
      </w:r>
      <w:r>
        <w:rPr>
          <w:spacing w:val="40"/>
        </w:rPr>
        <w:t xml:space="preserve"> </w:t>
      </w:r>
      <w:r>
        <w:t>front</w:t>
      </w:r>
      <w:r>
        <w:rPr>
          <w:spacing w:val="40"/>
        </w:rPr>
        <w:t xml:space="preserve"> </w:t>
      </w:r>
      <w:r>
        <w:t>of</w:t>
      </w:r>
      <w:r>
        <w:rPr>
          <w:spacing w:val="39"/>
        </w:rPr>
        <w:t xml:space="preserve"> </w:t>
      </w:r>
      <w:r>
        <w:t>me</w:t>
      </w:r>
      <w:r>
        <w:rPr>
          <w:spacing w:val="40"/>
        </w:rPr>
        <w:t xml:space="preserve"> </w:t>
      </w:r>
      <w:r>
        <w:t>isn’t</w:t>
      </w:r>
      <w:r>
        <w:rPr>
          <w:spacing w:val="40"/>
        </w:rPr>
        <w:t xml:space="preserve"> </w:t>
      </w:r>
      <w:r>
        <w:t>Max</w:t>
      </w:r>
      <w:r>
        <w:rPr>
          <w:spacing w:val="40"/>
        </w:rPr>
        <w:t xml:space="preserve"> </w:t>
      </w:r>
      <w:r>
        <w:t>or</w:t>
      </w:r>
      <w:r>
        <w:rPr>
          <w:spacing w:val="39"/>
        </w:rPr>
        <w:t xml:space="preserve"> </w:t>
      </w:r>
      <w:r>
        <w:t>Gary—it’s</w:t>
      </w:r>
      <w:r>
        <w:rPr>
          <w:spacing w:val="40"/>
        </w:rPr>
        <w:t xml:space="preserve"> </w:t>
      </w:r>
      <w:r>
        <w:t>a</w:t>
      </w:r>
      <w:r>
        <w:rPr>
          <w:spacing w:val="40"/>
        </w:rPr>
        <w:t xml:space="preserve"> </w:t>
      </w:r>
      <w:r>
        <w:t>robot</w:t>
      </w:r>
      <w:r>
        <w:rPr>
          <w:spacing w:val="39"/>
        </w:rPr>
        <w:t xml:space="preserve"> </w:t>
      </w:r>
      <w:r>
        <w:rPr>
          <w:spacing w:val="-4"/>
        </w:rPr>
        <w:t>that</w:t>
      </w:r>
    </w:p>
    <w:p w14:paraId="7E001516" w14:textId="77777777" w:rsidR="009A58DB" w:rsidRDefault="00000000">
      <w:pPr>
        <w:pStyle w:val="BodyText"/>
        <w:spacing w:before="28" w:line="249" w:lineRule="auto"/>
        <w:ind w:right="359"/>
      </w:pPr>
      <w:r>
        <w:t>looks exactly like both of them. I don’t (yet) know that such a robots exists. I’m friends with Max and Gary. I happen to know that Gary is out of the country. I also know that Max is somewhere in the vicinity. So, given that</w:t>
      </w:r>
      <w:r>
        <w:rPr>
          <w:spacing w:val="40"/>
        </w:rPr>
        <w:t xml:space="preserve"> </w:t>
      </w:r>
      <w:r>
        <w:t xml:space="preserve">I’m looking at something that looks exactly like Max, I believe that I </w:t>
      </w:r>
      <w:r>
        <w:rPr>
          <w:i/>
        </w:rPr>
        <w:t xml:space="preserve">am </w:t>
      </w:r>
      <w:r>
        <w:t>seeing Max. I’m with my friend Sally. I see that the thing I’m beholding is wearing a plaid shirt, and I say:</w:t>
      </w:r>
    </w:p>
    <w:p w14:paraId="7E001517" w14:textId="77777777" w:rsidR="009A58DB" w:rsidRDefault="009A58DB">
      <w:pPr>
        <w:pStyle w:val="BodyText"/>
        <w:spacing w:before="23"/>
        <w:ind w:left="0"/>
        <w:jc w:val="left"/>
      </w:pPr>
    </w:p>
    <w:p w14:paraId="7E001518" w14:textId="77777777" w:rsidR="009A58DB" w:rsidRDefault="00000000">
      <w:pPr>
        <w:pStyle w:val="BodyText"/>
        <w:jc w:val="left"/>
      </w:pPr>
      <w:r>
        <w:t>(U</w:t>
      </w:r>
      <w:r>
        <w:rPr>
          <w:vertAlign w:val="subscript"/>
        </w:rPr>
        <w:t>3</w:t>
      </w:r>
      <w:r>
        <w:t>)</w:t>
      </w:r>
      <w:r>
        <w:rPr>
          <w:spacing w:val="-1"/>
        </w:rPr>
        <w:t xml:space="preserve"> </w:t>
      </w:r>
      <w:r>
        <w:t>“That</w:t>
      </w:r>
      <w:r>
        <w:rPr>
          <w:spacing w:val="-1"/>
        </w:rPr>
        <w:t xml:space="preserve"> </w:t>
      </w:r>
      <w:r>
        <w:t>entity is wearing a</w:t>
      </w:r>
      <w:r>
        <w:rPr>
          <w:spacing w:val="-1"/>
        </w:rPr>
        <w:t xml:space="preserve"> </w:t>
      </w:r>
      <w:r>
        <w:t xml:space="preserve">plaid </w:t>
      </w:r>
      <w:r>
        <w:rPr>
          <w:spacing w:val="-2"/>
        </w:rPr>
        <w:t>shirt.”</w:t>
      </w:r>
    </w:p>
    <w:p w14:paraId="7E001519" w14:textId="77777777" w:rsidR="009A58DB" w:rsidRDefault="009A58DB">
      <w:pPr>
        <w:pStyle w:val="BodyText"/>
        <w:spacing w:before="90"/>
        <w:ind w:left="0"/>
        <w:jc w:val="left"/>
      </w:pPr>
    </w:p>
    <w:p w14:paraId="7E00151A" w14:textId="77777777" w:rsidR="009A58DB" w:rsidRDefault="00000000">
      <w:pPr>
        <w:pStyle w:val="BodyText"/>
        <w:spacing w:line="249" w:lineRule="auto"/>
        <w:ind w:right="360" w:firstLine="360"/>
      </w:pPr>
      <w:r>
        <w:t>Let V</w:t>
      </w:r>
      <w:bookmarkStart w:id="271" w:name="_bookmark271"/>
      <w:bookmarkEnd w:id="271"/>
      <w:r>
        <w:t>R</w:t>
      </w:r>
      <w:r>
        <w:rPr>
          <w:color w:val="0562C1"/>
          <w:position w:val="21"/>
          <w:u w:val="single" w:color="0562C1"/>
        </w:rPr>
        <w:t>[173]</w:t>
      </w:r>
      <w:r>
        <w:rPr>
          <w:color w:val="0562C1"/>
          <w:position w:val="21"/>
        </w:rPr>
        <w:t xml:space="preserve"> </w:t>
      </w:r>
      <w:r>
        <w:t>be the visual perception of which my seeing this thing consists. VR is utterly high resolution and veridical. I’m seeing the thing before</w:t>
      </w:r>
      <w:r>
        <w:rPr>
          <w:spacing w:val="-4"/>
        </w:rPr>
        <w:t xml:space="preserve"> </w:t>
      </w:r>
      <w:r>
        <w:t>me,</w:t>
      </w:r>
      <w:r>
        <w:rPr>
          <w:spacing w:val="-3"/>
        </w:rPr>
        <w:t xml:space="preserve"> </w:t>
      </w:r>
      <w:r>
        <w:t>whatever</w:t>
      </w:r>
      <w:r>
        <w:rPr>
          <w:spacing w:val="-4"/>
        </w:rPr>
        <w:t xml:space="preserve"> </w:t>
      </w:r>
      <w:r>
        <w:t>it</w:t>
      </w:r>
      <w:r>
        <w:rPr>
          <w:spacing w:val="-4"/>
        </w:rPr>
        <w:t xml:space="preserve"> </w:t>
      </w:r>
      <w:r>
        <w:t>is,</w:t>
      </w:r>
      <w:r>
        <w:rPr>
          <w:spacing w:val="-3"/>
        </w:rPr>
        <w:t xml:space="preserve"> </w:t>
      </w:r>
      <w:r>
        <w:rPr>
          <w:i/>
        </w:rPr>
        <w:t>as</w:t>
      </w:r>
      <w:r>
        <w:rPr>
          <w:i/>
          <w:spacing w:val="-4"/>
        </w:rPr>
        <w:t xml:space="preserve"> </w:t>
      </w:r>
      <w:r>
        <w:t xml:space="preserve">it is. Given that this thing looks exactly like Max and Gary, my seeing it as it is involves my having a perception exactly like the one that I’d have in that very situation if </w:t>
      </w:r>
      <w:r>
        <w:rPr>
          <w:i/>
        </w:rPr>
        <w:t xml:space="preserve">ceteris paribus, </w:t>
      </w:r>
      <w:r>
        <w:t>it was Max or Gary I was seeing.</w:t>
      </w:r>
    </w:p>
    <w:p w14:paraId="7E00151B" w14:textId="77777777" w:rsidR="009A58DB" w:rsidRDefault="00000000">
      <w:pPr>
        <w:pStyle w:val="BodyText"/>
        <w:spacing w:before="7" w:line="249" w:lineRule="auto"/>
        <w:ind w:right="359" w:firstLine="360"/>
      </w:pPr>
      <w:r>
        <w:t>Thus,</w:t>
      </w:r>
      <w:r>
        <w:rPr>
          <w:spacing w:val="-1"/>
        </w:rPr>
        <w:t xml:space="preserve"> </w:t>
      </w:r>
      <w:r>
        <w:t>VR</w:t>
      </w:r>
      <w:r>
        <w:rPr>
          <w:spacing w:val="-1"/>
        </w:rPr>
        <w:t xml:space="preserve"> </w:t>
      </w:r>
      <w:r>
        <w:t>does not</w:t>
      </w:r>
      <w:r>
        <w:rPr>
          <w:spacing w:val="-1"/>
        </w:rPr>
        <w:t xml:space="preserve"> </w:t>
      </w:r>
      <w:r>
        <w:t>itself</w:t>
      </w:r>
      <w:r>
        <w:rPr>
          <w:spacing w:val="-1"/>
        </w:rPr>
        <w:t xml:space="preserve"> </w:t>
      </w:r>
      <w:r>
        <w:t>tell</w:t>
      </w:r>
      <w:r>
        <w:rPr>
          <w:spacing w:val="-1"/>
        </w:rPr>
        <w:t xml:space="preserve"> </w:t>
      </w:r>
      <w:r>
        <w:t>me who it</w:t>
      </w:r>
      <w:r>
        <w:rPr>
          <w:spacing w:val="-1"/>
        </w:rPr>
        <w:t xml:space="preserve"> </w:t>
      </w:r>
      <w:r>
        <w:t>is that</w:t>
      </w:r>
      <w:r>
        <w:rPr>
          <w:spacing w:val="-1"/>
        </w:rPr>
        <w:t xml:space="preserve"> </w:t>
      </w:r>
      <w:r>
        <w:t>I’m</w:t>
      </w:r>
      <w:r>
        <w:rPr>
          <w:spacing w:val="-1"/>
        </w:rPr>
        <w:t xml:space="preserve"> </w:t>
      </w:r>
      <w:r>
        <w:t>seeing. Given only what VR tells me, that thing could be Max or Gary or some third person (or thing). VR</w:t>
      </w:r>
      <w:r>
        <w:rPr>
          <w:spacing w:val="-4"/>
        </w:rPr>
        <w:t xml:space="preserve"> </w:t>
      </w:r>
      <w:r>
        <w:t>does</w:t>
      </w:r>
      <w:r>
        <w:rPr>
          <w:spacing w:val="-4"/>
        </w:rPr>
        <w:t xml:space="preserve"> </w:t>
      </w:r>
      <w:r>
        <w:t>tell</w:t>
      </w:r>
      <w:r>
        <w:rPr>
          <w:spacing w:val="-4"/>
        </w:rPr>
        <w:t xml:space="preserve"> </w:t>
      </w:r>
      <w:r>
        <w:t>me</w:t>
      </w:r>
      <w:r>
        <w:rPr>
          <w:spacing w:val="-4"/>
        </w:rPr>
        <w:t xml:space="preserve"> </w:t>
      </w:r>
      <w:r>
        <w:t>that</w:t>
      </w:r>
      <w:r>
        <w:rPr>
          <w:spacing w:val="-4"/>
        </w:rPr>
        <w:t xml:space="preserve"> </w:t>
      </w:r>
      <w:r>
        <w:t>I’m</w:t>
      </w:r>
      <w:r>
        <w:rPr>
          <w:spacing w:val="-4"/>
        </w:rPr>
        <w:t xml:space="preserve"> </w:t>
      </w:r>
      <w:r>
        <w:t>seeing</w:t>
      </w:r>
      <w:r>
        <w:rPr>
          <w:spacing w:val="-3"/>
        </w:rPr>
        <w:t xml:space="preserve"> </w:t>
      </w:r>
      <w:r>
        <w:t>somebody</w:t>
      </w:r>
      <w:r>
        <w:rPr>
          <w:spacing w:val="-3"/>
        </w:rPr>
        <w:t xml:space="preserve"> </w:t>
      </w:r>
      <w:r>
        <w:t>with</w:t>
      </w:r>
      <w:r>
        <w:rPr>
          <w:spacing w:val="-3"/>
        </w:rPr>
        <w:t xml:space="preserve"> </w:t>
      </w:r>
      <w:r>
        <w:t>such</w:t>
      </w:r>
      <w:r>
        <w:rPr>
          <w:spacing w:val="-3"/>
        </w:rPr>
        <w:t xml:space="preserve"> </w:t>
      </w:r>
      <w:r>
        <w:t>and</w:t>
      </w:r>
      <w:r>
        <w:rPr>
          <w:spacing w:val="-3"/>
        </w:rPr>
        <w:t xml:space="preserve"> </w:t>
      </w:r>
      <w:r>
        <w:t>such</w:t>
      </w:r>
      <w:r>
        <w:rPr>
          <w:spacing w:val="-3"/>
        </w:rPr>
        <w:t xml:space="preserve"> </w:t>
      </w:r>
      <w:r>
        <w:t>characteristics, among them that of wearing a plaid shirt.</w:t>
      </w:r>
    </w:p>
    <w:p w14:paraId="7E00151C" w14:textId="77777777" w:rsidR="009A58DB" w:rsidRDefault="00000000">
      <w:pPr>
        <w:pStyle w:val="BodyText"/>
        <w:spacing w:before="5" w:line="249" w:lineRule="auto"/>
        <w:ind w:right="358" w:firstLine="360"/>
      </w:pPr>
      <w:r>
        <w:t>I’m wrong about who (and what) that entity is. But that doesn’t affect the belief I’m trying to get across. I don’t care who or what that entity is, and neither does Sally. All we care about is whether it’s wearing a plaid shirt. I correctly believe that it is wearing a plaid shirt, and that’s the belief I’m trying</w:t>
      </w:r>
      <w:r>
        <w:rPr>
          <w:spacing w:val="32"/>
        </w:rPr>
        <w:t xml:space="preserve"> </w:t>
      </w:r>
      <w:r>
        <w:t>to</w:t>
      </w:r>
      <w:r>
        <w:rPr>
          <w:spacing w:val="32"/>
        </w:rPr>
        <w:t xml:space="preserve"> </w:t>
      </w:r>
      <w:r>
        <w:t>get</w:t>
      </w:r>
      <w:r>
        <w:rPr>
          <w:spacing w:val="32"/>
        </w:rPr>
        <w:t xml:space="preserve"> </w:t>
      </w:r>
      <w:r>
        <w:t>across</w:t>
      </w:r>
      <w:r>
        <w:rPr>
          <w:spacing w:val="32"/>
        </w:rPr>
        <w:t xml:space="preserve"> </w:t>
      </w:r>
      <w:r>
        <w:t>by</w:t>
      </w:r>
      <w:r>
        <w:rPr>
          <w:spacing w:val="32"/>
        </w:rPr>
        <w:t xml:space="preserve"> </w:t>
      </w:r>
      <w:r>
        <w:t>uttering</w:t>
      </w:r>
      <w:r>
        <w:rPr>
          <w:spacing w:val="32"/>
        </w:rPr>
        <w:t xml:space="preserve"> </w:t>
      </w:r>
      <w:r>
        <w:t>U</w:t>
      </w:r>
      <w:r>
        <w:rPr>
          <w:vertAlign w:val="subscript"/>
        </w:rPr>
        <w:t>3</w:t>
      </w:r>
      <w:r>
        <w:t>.</w:t>
      </w:r>
      <w:r>
        <w:rPr>
          <w:spacing w:val="32"/>
        </w:rPr>
        <w:t xml:space="preserve"> </w:t>
      </w:r>
      <w:r>
        <w:t>Therefore,</w:t>
      </w:r>
      <w:r>
        <w:rPr>
          <w:spacing w:val="32"/>
        </w:rPr>
        <w:t xml:space="preserve"> </w:t>
      </w:r>
      <w:r>
        <w:t>the</w:t>
      </w:r>
      <w:r>
        <w:rPr>
          <w:spacing w:val="32"/>
        </w:rPr>
        <w:t xml:space="preserve"> </w:t>
      </w:r>
      <w:r>
        <w:t>belief</w:t>
      </w:r>
      <w:r>
        <w:rPr>
          <w:spacing w:val="32"/>
        </w:rPr>
        <w:t xml:space="preserve"> </w:t>
      </w:r>
      <w:r>
        <w:t>embodied</w:t>
      </w:r>
      <w:r>
        <w:rPr>
          <w:spacing w:val="32"/>
        </w:rPr>
        <w:t xml:space="preserve"> </w:t>
      </w:r>
      <w:r>
        <w:t>in</w:t>
      </w:r>
      <w:r>
        <w:rPr>
          <w:spacing w:val="32"/>
        </w:rPr>
        <w:t xml:space="preserve"> </w:t>
      </w:r>
      <w:r>
        <w:t>U</w:t>
      </w:r>
      <w:r>
        <w:rPr>
          <w:vertAlign w:val="subscript"/>
        </w:rPr>
        <w:t>3</w:t>
      </w:r>
      <w:r>
        <w:rPr>
          <w:spacing w:val="30"/>
        </w:rPr>
        <w:t xml:space="preserve"> </w:t>
      </w:r>
      <w:r>
        <w:t>is</w:t>
      </w:r>
    </w:p>
    <w:p w14:paraId="7E00151D" w14:textId="77777777" w:rsidR="009A58DB" w:rsidRDefault="00000000">
      <w:pPr>
        <w:pStyle w:val="BodyText"/>
        <w:spacing w:before="66"/>
        <w:jc w:val="left"/>
      </w:pPr>
      <w:r>
        <w:rPr>
          <w:spacing w:val="-2"/>
        </w:rPr>
        <w:t>correct.</w:t>
      </w:r>
    </w:p>
    <w:p w14:paraId="7E00151E" w14:textId="77777777" w:rsidR="009A58DB" w:rsidRDefault="009A58DB">
      <w:pPr>
        <w:pStyle w:val="BodyText"/>
        <w:jc w:val="left"/>
        <w:sectPr w:rsidR="009A58DB">
          <w:pgSz w:w="12240" w:h="15840"/>
          <w:pgMar w:top="1380" w:right="1080" w:bottom="280" w:left="1080" w:header="720" w:footer="720" w:gutter="0"/>
          <w:cols w:space="720"/>
        </w:sectPr>
      </w:pPr>
    </w:p>
    <w:p w14:paraId="7E00151F" w14:textId="77777777" w:rsidR="009A58DB" w:rsidRDefault="00000000">
      <w:pPr>
        <w:pStyle w:val="BodyText"/>
        <w:spacing w:before="65" w:line="249" w:lineRule="auto"/>
        <w:ind w:right="364" w:firstLine="360"/>
      </w:pPr>
      <w:r>
        <w:lastRenderedPageBreak/>
        <w:t>This has two very important consequences, each of which is incompatible with Burge’s position. Consequence #1:</w:t>
      </w:r>
      <w:r>
        <w:rPr>
          <w:spacing w:val="-5"/>
        </w:rPr>
        <w:t xml:space="preserve"> </w:t>
      </w:r>
      <w:r>
        <w:t>There is no particular</w:t>
      </w:r>
      <w:r>
        <w:rPr>
          <w:spacing w:val="-1"/>
        </w:rPr>
        <w:t xml:space="preserve"> </w:t>
      </w:r>
      <w:r>
        <w:t>x such that</w:t>
      </w:r>
      <w:r>
        <w:rPr>
          <w:spacing w:val="-5"/>
        </w:rPr>
        <w:t xml:space="preserve"> </w:t>
      </w:r>
      <w:r>
        <w:t>VR tells me that it’s x I am seeing.</w:t>
      </w:r>
      <w:r>
        <w:rPr>
          <w:spacing w:val="-4"/>
        </w:rPr>
        <w:t xml:space="preserve"> </w:t>
      </w:r>
      <w:r>
        <w:t>This follows from the fact, just noted, that</w:t>
      </w:r>
      <w:r>
        <w:rPr>
          <w:spacing w:val="-4"/>
        </w:rPr>
        <w:t xml:space="preserve"> </w:t>
      </w:r>
      <w:r>
        <w:t>VR does</w:t>
      </w:r>
      <w:r>
        <w:rPr>
          <w:spacing w:val="-12"/>
        </w:rPr>
        <w:t xml:space="preserve"> </w:t>
      </w:r>
      <w:r>
        <w:t>not</w:t>
      </w:r>
      <w:r>
        <w:rPr>
          <w:spacing w:val="-13"/>
        </w:rPr>
        <w:t xml:space="preserve"> </w:t>
      </w:r>
      <w:r>
        <w:t>itself</w:t>
      </w:r>
      <w:r>
        <w:rPr>
          <w:spacing w:val="-13"/>
        </w:rPr>
        <w:t xml:space="preserve"> </w:t>
      </w:r>
      <w:r>
        <w:t>apprise</w:t>
      </w:r>
      <w:r>
        <w:rPr>
          <w:spacing w:val="-12"/>
        </w:rPr>
        <w:t xml:space="preserve"> </w:t>
      </w:r>
      <w:r>
        <w:t>me</w:t>
      </w:r>
      <w:r>
        <w:rPr>
          <w:spacing w:val="-12"/>
        </w:rPr>
        <w:t xml:space="preserve"> </w:t>
      </w:r>
      <w:r>
        <w:t>of</w:t>
      </w:r>
      <w:r>
        <w:rPr>
          <w:spacing w:val="-13"/>
        </w:rPr>
        <w:t xml:space="preserve"> </w:t>
      </w:r>
      <w:r>
        <w:t>the</w:t>
      </w:r>
      <w:r>
        <w:rPr>
          <w:spacing w:val="-12"/>
        </w:rPr>
        <w:t xml:space="preserve"> </w:t>
      </w:r>
      <w:r>
        <w:t>identity</w:t>
      </w:r>
      <w:r>
        <w:rPr>
          <w:spacing w:val="-12"/>
        </w:rPr>
        <w:t xml:space="preserve"> </w:t>
      </w:r>
      <w:r>
        <w:t>of</w:t>
      </w:r>
      <w:r>
        <w:rPr>
          <w:spacing w:val="-13"/>
        </w:rPr>
        <w:t xml:space="preserve"> </w:t>
      </w:r>
      <w:r>
        <w:t>the</w:t>
      </w:r>
      <w:r>
        <w:rPr>
          <w:spacing w:val="-12"/>
        </w:rPr>
        <w:t xml:space="preserve"> </w:t>
      </w:r>
      <w:r>
        <w:t>thing</w:t>
      </w:r>
      <w:r>
        <w:rPr>
          <w:spacing w:val="-12"/>
        </w:rPr>
        <w:t xml:space="preserve"> </w:t>
      </w:r>
      <w:r>
        <w:t>that</w:t>
      </w:r>
      <w:r>
        <w:rPr>
          <w:spacing w:val="-13"/>
        </w:rPr>
        <w:t xml:space="preserve"> </w:t>
      </w:r>
      <w:r>
        <w:t>I’m</w:t>
      </w:r>
      <w:r>
        <w:rPr>
          <w:spacing w:val="-13"/>
        </w:rPr>
        <w:t xml:space="preserve"> </w:t>
      </w:r>
      <w:r>
        <w:t>seeing.</w:t>
      </w:r>
    </w:p>
    <w:p w14:paraId="7E00152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21" w14:textId="77777777" w:rsidR="009A58DB" w:rsidRDefault="00000000">
      <w:pPr>
        <w:pStyle w:val="BodyText"/>
        <w:spacing w:before="65" w:line="271" w:lineRule="auto"/>
        <w:ind w:right="363" w:firstLine="360"/>
      </w:pPr>
      <w:r>
        <w:lastRenderedPageBreak/>
        <w:t>Consequence #2: There is no particular x such that the belief embodied in U</w:t>
      </w:r>
      <w:r>
        <w:rPr>
          <w:vertAlign w:val="subscript"/>
        </w:rPr>
        <w:t>3</w:t>
      </w:r>
      <w:r>
        <w:t xml:space="preserve"> is correct only if x is plaid shirt. This follows from the fact, earlier noted, that</w:t>
      </w:r>
      <w:r>
        <w:rPr>
          <w:spacing w:val="16"/>
        </w:rPr>
        <w:t xml:space="preserve"> </w:t>
      </w:r>
      <w:r>
        <w:t>the</w:t>
      </w:r>
      <w:r>
        <w:rPr>
          <w:spacing w:val="17"/>
        </w:rPr>
        <w:t xml:space="preserve"> </w:t>
      </w:r>
      <w:r>
        <w:t>belief</w:t>
      </w:r>
      <w:r>
        <w:rPr>
          <w:spacing w:val="16"/>
        </w:rPr>
        <w:t xml:space="preserve"> </w:t>
      </w:r>
      <w:r>
        <w:t>embodied</w:t>
      </w:r>
      <w:r>
        <w:rPr>
          <w:spacing w:val="17"/>
        </w:rPr>
        <w:t xml:space="preserve"> </w:t>
      </w:r>
      <w:r>
        <w:t>in</w:t>
      </w:r>
      <w:r>
        <w:rPr>
          <w:spacing w:val="17"/>
        </w:rPr>
        <w:t xml:space="preserve"> </w:t>
      </w:r>
      <w:r>
        <w:t>U</w:t>
      </w:r>
      <w:r>
        <w:rPr>
          <w:vertAlign w:val="subscript"/>
        </w:rPr>
        <w:t>3</w:t>
      </w:r>
      <w:r>
        <w:rPr>
          <w:spacing w:val="18"/>
        </w:rPr>
        <w:t xml:space="preserve"> </w:t>
      </w:r>
      <w:r>
        <w:t>is</w:t>
      </w:r>
      <w:r>
        <w:rPr>
          <w:spacing w:val="18"/>
        </w:rPr>
        <w:t xml:space="preserve"> </w:t>
      </w:r>
      <w:r>
        <w:t>correct</w:t>
      </w:r>
      <w:r>
        <w:rPr>
          <w:spacing w:val="18"/>
        </w:rPr>
        <w:t xml:space="preserve"> </w:t>
      </w:r>
      <w:r>
        <w:t>as</w:t>
      </w:r>
      <w:r>
        <w:rPr>
          <w:spacing w:val="18"/>
        </w:rPr>
        <w:t xml:space="preserve"> </w:t>
      </w:r>
      <w:r>
        <w:t>long</w:t>
      </w:r>
      <w:r>
        <w:rPr>
          <w:spacing w:val="18"/>
        </w:rPr>
        <w:t xml:space="preserve"> </w:t>
      </w:r>
      <w:r>
        <w:t>as</w:t>
      </w:r>
      <w:r>
        <w:rPr>
          <w:spacing w:val="18"/>
        </w:rPr>
        <w:t xml:space="preserve"> </w:t>
      </w:r>
      <w:r>
        <w:t>the</w:t>
      </w:r>
      <w:r>
        <w:rPr>
          <w:spacing w:val="18"/>
        </w:rPr>
        <w:t xml:space="preserve"> </w:t>
      </w:r>
      <w:r>
        <w:t>thing</w:t>
      </w:r>
      <w:r>
        <w:rPr>
          <w:spacing w:val="18"/>
        </w:rPr>
        <w:t xml:space="preserve"> </w:t>
      </w:r>
      <w:r>
        <w:t>we’re</w:t>
      </w:r>
      <w:r>
        <w:rPr>
          <w:spacing w:val="18"/>
        </w:rPr>
        <w:t xml:space="preserve"> </w:t>
      </w:r>
      <w:r>
        <w:t>seeing</w:t>
      </w:r>
      <w:r>
        <w:rPr>
          <w:spacing w:val="18"/>
        </w:rPr>
        <w:t xml:space="preserve"> </w:t>
      </w:r>
      <w:r>
        <w:t>is</w:t>
      </w:r>
    </w:p>
    <w:p w14:paraId="7E001522" w14:textId="77777777" w:rsidR="009A58DB" w:rsidRDefault="00000000">
      <w:pPr>
        <w:pStyle w:val="BodyText"/>
        <w:spacing w:before="30"/>
      </w:pPr>
      <w:r>
        <w:t>wearing</w:t>
      </w:r>
      <w:r>
        <w:rPr>
          <w:spacing w:val="-5"/>
        </w:rPr>
        <w:t xml:space="preserve"> </w:t>
      </w:r>
      <w:r>
        <w:t>a</w:t>
      </w:r>
      <w:r>
        <w:rPr>
          <w:spacing w:val="-3"/>
        </w:rPr>
        <w:t xml:space="preserve"> </w:t>
      </w:r>
      <w:r>
        <w:t>plaid</w:t>
      </w:r>
      <w:r>
        <w:rPr>
          <w:spacing w:val="-3"/>
        </w:rPr>
        <w:t xml:space="preserve"> </w:t>
      </w:r>
      <w:r>
        <w:t>shirt,</w:t>
      </w:r>
      <w:r>
        <w:rPr>
          <w:spacing w:val="-2"/>
        </w:rPr>
        <w:t xml:space="preserve"> </w:t>
      </w:r>
      <w:r>
        <w:t>it</w:t>
      </w:r>
      <w:r>
        <w:rPr>
          <w:spacing w:val="-4"/>
        </w:rPr>
        <w:t xml:space="preserve"> </w:t>
      </w:r>
      <w:r>
        <w:t>being</w:t>
      </w:r>
      <w:r>
        <w:rPr>
          <w:spacing w:val="-2"/>
        </w:rPr>
        <w:t xml:space="preserve"> </w:t>
      </w:r>
      <w:r>
        <w:t>irrelevant</w:t>
      </w:r>
      <w:r>
        <w:rPr>
          <w:spacing w:val="-3"/>
        </w:rPr>
        <w:t xml:space="preserve"> </w:t>
      </w:r>
      <w:r>
        <w:t>who</w:t>
      </w:r>
      <w:r>
        <w:rPr>
          <w:spacing w:val="-3"/>
        </w:rPr>
        <w:t xml:space="preserve"> </w:t>
      </w:r>
      <w:r>
        <w:t>or</w:t>
      </w:r>
      <w:r>
        <w:rPr>
          <w:spacing w:val="-3"/>
        </w:rPr>
        <w:t xml:space="preserve"> </w:t>
      </w:r>
      <w:r>
        <w:t>what</w:t>
      </w:r>
      <w:r>
        <w:rPr>
          <w:spacing w:val="-4"/>
        </w:rPr>
        <w:t xml:space="preserve"> </w:t>
      </w:r>
      <w:r>
        <w:t>that</w:t>
      </w:r>
      <w:r>
        <w:rPr>
          <w:spacing w:val="-3"/>
        </w:rPr>
        <w:t xml:space="preserve"> </w:t>
      </w:r>
      <w:r>
        <w:t>thing</w:t>
      </w:r>
      <w:r>
        <w:rPr>
          <w:spacing w:val="-2"/>
        </w:rPr>
        <w:t xml:space="preserve"> </w:t>
      </w:r>
      <w:r>
        <w:rPr>
          <w:spacing w:val="-5"/>
        </w:rPr>
        <w:t>is.</w:t>
      </w:r>
    </w:p>
    <w:p w14:paraId="7E001523" w14:textId="77777777" w:rsidR="009A58DB" w:rsidRDefault="00000000">
      <w:pPr>
        <w:pStyle w:val="BodyText"/>
        <w:spacing w:before="15" w:line="249" w:lineRule="auto"/>
        <w:ind w:right="359" w:firstLine="360"/>
      </w:pPr>
      <w:r>
        <w:t xml:space="preserve">Suppose that Robo-Max is the entity that I’m seeing—that he’s the object of VR. Given only what VR is telling me, I could be seeing any number of different individuals. What VR tells me is that there is </w:t>
      </w:r>
      <w:r>
        <w:rPr>
          <w:i/>
        </w:rPr>
        <w:t>somebody</w:t>
      </w:r>
      <w:r>
        <w:rPr>
          <w:i/>
          <w:spacing w:val="-3"/>
        </w:rPr>
        <w:t xml:space="preserve"> </w:t>
      </w:r>
      <w:r>
        <w:t>having</w:t>
      </w:r>
      <w:r>
        <w:rPr>
          <w:spacing w:val="-2"/>
        </w:rPr>
        <w:t xml:space="preserve"> </w:t>
      </w:r>
      <w:r>
        <w:t xml:space="preserve">such and such characteristics—that there is </w:t>
      </w:r>
      <w:r>
        <w:rPr>
          <w:i/>
        </w:rPr>
        <w:t xml:space="preserve">somebody </w:t>
      </w:r>
      <w:r>
        <w:t>standing in a certain place and wearing a plaid shirt. So the content of VR is existential. It tells me that:</w:t>
      </w:r>
    </w:p>
    <w:p w14:paraId="7E001524" w14:textId="77777777" w:rsidR="009A58DB" w:rsidRDefault="009A58DB">
      <w:pPr>
        <w:pStyle w:val="BodyText"/>
        <w:spacing w:before="21"/>
        <w:ind w:left="0"/>
        <w:jc w:val="left"/>
      </w:pPr>
    </w:p>
    <w:p w14:paraId="7E001525" w14:textId="77777777" w:rsidR="009A58DB" w:rsidRDefault="00000000">
      <w:pPr>
        <w:pStyle w:val="BodyText"/>
        <w:spacing w:line="277" w:lineRule="exact"/>
        <w:ind w:left="1076"/>
        <w:jc w:val="left"/>
      </w:pPr>
      <w:bookmarkStart w:id="272" w:name="_bookmark272"/>
      <w:bookmarkEnd w:id="272"/>
      <w:r>
        <w:rPr>
          <w:color w:val="0562C1"/>
          <w:spacing w:val="-2"/>
          <w:u w:val="single" w:color="0562C1"/>
        </w:rPr>
        <w:t>[174]</w:t>
      </w:r>
    </w:p>
    <w:p w14:paraId="7E001526" w14:textId="77777777" w:rsidR="009A58DB" w:rsidRDefault="00000000">
      <w:pPr>
        <w:pStyle w:val="BodyText"/>
        <w:tabs>
          <w:tab w:val="left" w:pos="1725"/>
          <w:tab w:val="left" w:pos="2029"/>
          <w:tab w:val="left" w:pos="2932"/>
          <w:tab w:val="left" w:pos="3336"/>
          <w:tab w:val="left" w:pos="4172"/>
          <w:tab w:val="left" w:pos="5059"/>
          <w:tab w:val="left" w:pos="5412"/>
          <w:tab w:val="left" w:pos="6166"/>
          <w:tab w:val="left" w:pos="6819"/>
          <w:tab w:val="left" w:pos="7173"/>
          <w:tab w:val="left" w:pos="7777"/>
          <w:tab w:val="left" w:pos="8530"/>
          <w:tab w:val="left" w:pos="9167"/>
        </w:tabs>
        <w:spacing w:line="277" w:lineRule="exact"/>
        <w:jc w:val="left"/>
      </w:pPr>
      <w:r>
        <w:rPr>
          <w:spacing w:val="-4"/>
        </w:rPr>
        <w:t>(CVR</w:t>
      </w:r>
      <w:r>
        <w:tab/>
      </w:r>
      <w:r>
        <w:rPr>
          <w:spacing w:val="-10"/>
        </w:rPr>
        <w:t>)</w:t>
      </w:r>
      <w:r>
        <w:tab/>
      </w:r>
      <w:r>
        <w:rPr>
          <w:spacing w:val="-4"/>
        </w:rPr>
        <w:t>There</w:t>
      </w:r>
      <w:r>
        <w:tab/>
      </w:r>
      <w:r>
        <w:rPr>
          <w:spacing w:val="-7"/>
        </w:rPr>
        <w:t>is</w:t>
      </w:r>
      <w:r>
        <w:tab/>
      </w:r>
      <w:r>
        <w:rPr>
          <w:spacing w:val="-4"/>
        </w:rPr>
        <w:t>some</w:t>
      </w:r>
      <w:r>
        <w:tab/>
      </w:r>
      <w:r>
        <w:rPr>
          <w:spacing w:val="-2"/>
        </w:rPr>
        <w:t>entity</w:t>
      </w:r>
      <w:r>
        <w:tab/>
      </w:r>
      <w:r>
        <w:rPr>
          <w:spacing w:val="-10"/>
        </w:rPr>
        <w:t>x</w:t>
      </w:r>
      <w:r>
        <w:tab/>
      </w:r>
      <w:r>
        <w:rPr>
          <w:spacing w:val="-4"/>
        </w:rPr>
        <w:t>such</w:t>
      </w:r>
      <w:r>
        <w:tab/>
      </w:r>
      <w:r>
        <w:rPr>
          <w:spacing w:val="-4"/>
        </w:rPr>
        <w:t>that</w:t>
      </w:r>
      <w:r>
        <w:tab/>
      </w:r>
      <w:r>
        <w:rPr>
          <w:spacing w:val="-10"/>
        </w:rPr>
        <w:t>x</w:t>
      </w:r>
      <w:r>
        <w:tab/>
      </w:r>
      <w:r>
        <w:rPr>
          <w:spacing w:val="-5"/>
        </w:rPr>
        <w:t>has</w:t>
      </w:r>
      <w:r>
        <w:tab/>
      </w:r>
      <w:r>
        <w:rPr>
          <w:spacing w:val="-4"/>
        </w:rPr>
        <w:t>such</w:t>
      </w:r>
      <w:r>
        <w:tab/>
      </w:r>
      <w:r>
        <w:rPr>
          <w:spacing w:val="-5"/>
        </w:rPr>
        <w:t>and</w:t>
      </w:r>
      <w:r>
        <w:tab/>
      </w:r>
      <w:r>
        <w:rPr>
          <w:spacing w:val="-4"/>
        </w:rPr>
        <w:t>such</w:t>
      </w:r>
    </w:p>
    <w:p w14:paraId="7E001527" w14:textId="77777777" w:rsidR="009A58DB" w:rsidRDefault="00000000">
      <w:pPr>
        <w:pStyle w:val="BodyText"/>
        <w:spacing w:before="15" w:line="249" w:lineRule="auto"/>
        <w:jc w:val="left"/>
      </w:pPr>
      <w:r>
        <w:t>characteristics,</w:t>
      </w:r>
      <w:r>
        <w:rPr>
          <w:spacing w:val="36"/>
        </w:rPr>
        <w:t xml:space="preserve"> </w:t>
      </w:r>
      <w:r>
        <w:t>such</w:t>
      </w:r>
      <w:r>
        <w:rPr>
          <w:spacing w:val="36"/>
        </w:rPr>
        <w:t xml:space="preserve"> </w:t>
      </w:r>
      <w:r>
        <w:t>that</w:t>
      </w:r>
      <w:r>
        <w:rPr>
          <w:spacing w:val="36"/>
        </w:rPr>
        <w:t xml:space="preserve"> </w:t>
      </w:r>
      <w:r>
        <w:t>x</w:t>
      </w:r>
      <w:r>
        <w:rPr>
          <w:spacing w:val="36"/>
        </w:rPr>
        <w:t xml:space="preserve"> </w:t>
      </w:r>
      <w:r>
        <w:t>is</w:t>
      </w:r>
      <w:r>
        <w:rPr>
          <w:spacing w:val="36"/>
        </w:rPr>
        <w:t xml:space="preserve"> </w:t>
      </w:r>
      <w:r>
        <w:t>standing</w:t>
      </w:r>
      <w:r>
        <w:rPr>
          <w:spacing w:val="36"/>
        </w:rPr>
        <w:t xml:space="preserve"> </w:t>
      </w:r>
      <w:r>
        <w:t>in</w:t>
      </w:r>
      <w:r>
        <w:rPr>
          <w:spacing w:val="36"/>
        </w:rPr>
        <w:t xml:space="preserve"> </w:t>
      </w:r>
      <w:r>
        <w:t>a</w:t>
      </w:r>
      <w:r>
        <w:rPr>
          <w:spacing w:val="36"/>
        </w:rPr>
        <w:t xml:space="preserve"> </w:t>
      </w:r>
      <w:r>
        <w:t>certain</w:t>
      </w:r>
      <w:r>
        <w:rPr>
          <w:spacing w:val="36"/>
        </w:rPr>
        <w:t xml:space="preserve"> </w:t>
      </w:r>
      <w:r>
        <w:t>place</w:t>
      </w:r>
      <w:r>
        <w:rPr>
          <w:spacing w:val="36"/>
        </w:rPr>
        <w:t xml:space="preserve"> </w:t>
      </w:r>
      <w:r>
        <w:t>and</w:t>
      </w:r>
      <w:r>
        <w:rPr>
          <w:spacing w:val="36"/>
        </w:rPr>
        <w:t xml:space="preserve"> </w:t>
      </w:r>
      <w:r>
        <w:t>such</w:t>
      </w:r>
      <w:r>
        <w:rPr>
          <w:spacing w:val="36"/>
        </w:rPr>
        <w:t xml:space="preserve"> </w:t>
      </w:r>
      <w:r>
        <w:t>that</w:t>
      </w:r>
      <w:r>
        <w:rPr>
          <w:spacing w:val="36"/>
        </w:rPr>
        <w:t xml:space="preserve"> </w:t>
      </w:r>
      <w:r>
        <w:t>x</w:t>
      </w:r>
      <w:r>
        <w:rPr>
          <w:spacing w:val="36"/>
        </w:rPr>
        <w:t xml:space="preserve"> </w:t>
      </w:r>
      <w:r>
        <w:t>is wearing a plaid shirt.</w:t>
      </w:r>
    </w:p>
    <w:p w14:paraId="7E001528" w14:textId="77777777" w:rsidR="009A58DB" w:rsidRDefault="009A58DB">
      <w:pPr>
        <w:pStyle w:val="BodyText"/>
        <w:spacing w:before="18"/>
        <w:ind w:left="0"/>
        <w:jc w:val="left"/>
      </w:pPr>
    </w:p>
    <w:p w14:paraId="7E001529" w14:textId="77777777" w:rsidR="009A58DB" w:rsidRDefault="00000000">
      <w:pPr>
        <w:pStyle w:val="BodyText"/>
        <w:spacing w:line="249" w:lineRule="auto"/>
        <w:ind w:right="361" w:firstLine="360"/>
      </w:pPr>
      <w:r>
        <w:t>Obviously, CVR is at least one of the things that, on the basis of VR, I believe to be true. And it’s the relevant belief in this context, since it’s the</w:t>
      </w:r>
      <w:r>
        <w:rPr>
          <w:spacing w:val="40"/>
        </w:rPr>
        <w:t xml:space="preserve"> </w:t>
      </w:r>
      <w:r>
        <w:t>one embodied in U</w:t>
      </w:r>
      <w:r>
        <w:rPr>
          <w:vertAlign w:val="subscript"/>
        </w:rPr>
        <w:t>3</w:t>
      </w:r>
      <w:r>
        <w:t>.</w:t>
      </w:r>
    </w:p>
    <w:p w14:paraId="7E00152A" w14:textId="77777777" w:rsidR="009A58DB" w:rsidRDefault="00000000">
      <w:pPr>
        <w:pStyle w:val="BodyText"/>
        <w:spacing w:before="64" w:line="292" w:lineRule="auto"/>
        <w:ind w:right="362" w:firstLine="360"/>
      </w:pPr>
      <w:r>
        <w:t>Supposing that VM is the perception I’m having in U</w:t>
      </w:r>
      <w:r>
        <w:rPr>
          <w:vertAlign w:val="subscript"/>
        </w:rPr>
        <w:t>1</w:t>
      </w:r>
      <w:r>
        <w:t xml:space="preserve"> of Max, and that VG is the perception I’m having in U</w:t>
      </w:r>
      <w:r>
        <w:rPr>
          <w:vertAlign w:val="subscript"/>
        </w:rPr>
        <w:t>2</w:t>
      </w:r>
      <w:r>
        <w:t xml:space="preserve"> of Gary, it follows that the belief embodied in U</w:t>
      </w:r>
      <w:r>
        <w:rPr>
          <w:vertAlign w:val="subscript"/>
        </w:rPr>
        <w:t>3</w:t>
      </w:r>
      <w:r>
        <w:t xml:space="preserve"> has the very same content as the belief embodied in U</w:t>
      </w:r>
      <w:r>
        <w:rPr>
          <w:vertAlign w:val="subscript"/>
        </w:rPr>
        <w:t>1</w:t>
      </w:r>
      <w:r>
        <w:t xml:space="preserve"> as well as the belief embodied in U</w:t>
      </w:r>
      <w:r>
        <w:rPr>
          <w:vertAlign w:val="subscript"/>
        </w:rPr>
        <w:t>2</w:t>
      </w:r>
      <w:r>
        <w:t>. Remember that, from an experiential standpoint, no two of these situations are distinguishable, even in principle.</w:t>
      </w:r>
    </w:p>
    <w:p w14:paraId="7E00152B" w14:textId="77777777" w:rsidR="009A58DB" w:rsidRDefault="00000000">
      <w:pPr>
        <w:pStyle w:val="BodyText"/>
        <w:spacing w:line="281" w:lineRule="exact"/>
        <w:ind w:left="720"/>
      </w:pPr>
      <w:r>
        <w:t>Let’s</w:t>
      </w:r>
      <w:r>
        <w:rPr>
          <w:spacing w:val="39"/>
        </w:rPr>
        <w:t xml:space="preserve"> </w:t>
      </w:r>
      <w:r>
        <w:t>state</w:t>
      </w:r>
      <w:r>
        <w:rPr>
          <w:spacing w:val="41"/>
        </w:rPr>
        <w:t xml:space="preserve"> </w:t>
      </w:r>
      <w:r>
        <w:t>as</w:t>
      </w:r>
      <w:r>
        <w:rPr>
          <w:spacing w:val="41"/>
        </w:rPr>
        <w:t xml:space="preserve"> </w:t>
      </w:r>
      <w:r>
        <w:t>clearly</w:t>
      </w:r>
      <w:r>
        <w:rPr>
          <w:spacing w:val="42"/>
        </w:rPr>
        <w:t xml:space="preserve"> </w:t>
      </w:r>
      <w:r>
        <w:t>and</w:t>
      </w:r>
      <w:r>
        <w:rPr>
          <w:spacing w:val="42"/>
        </w:rPr>
        <w:t xml:space="preserve"> </w:t>
      </w:r>
      <w:r>
        <w:t>explicitly</w:t>
      </w:r>
      <w:r>
        <w:rPr>
          <w:spacing w:val="43"/>
        </w:rPr>
        <w:t xml:space="preserve"> </w:t>
      </w:r>
      <w:r>
        <w:t>as</w:t>
      </w:r>
      <w:r>
        <w:rPr>
          <w:spacing w:val="41"/>
        </w:rPr>
        <w:t xml:space="preserve"> </w:t>
      </w:r>
      <w:r>
        <w:t>possible</w:t>
      </w:r>
      <w:r>
        <w:rPr>
          <w:spacing w:val="41"/>
        </w:rPr>
        <w:t xml:space="preserve"> </w:t>
      </w:r>
      <w:r>
        <w:t>how</w:t>
      </w:r>
      <w:r>
        <w:rPr>
          <w:spacing w:val="41"/>
        </w:rPr>
        <w:t xml:space="preserve"> </w:t>
      </w:r>
      <w:r>
        <w:t>Burge</w:t>
      </w:r>
      <w:r>
        <w:rPr>
          <w:spacing w:val="41"/>
        </w:rPr>
        <w:t xml:space="preserve"> </w:t>
      </w:r>
      <w:r>
        <w:t>goes</w:t>
      </w:r>
      <w:r>
        <w:rPr>
          <w:spacing w:val="42"/>
        </w:rPr>
        <w:t xml:space="preserve"> </w:t>
      </w:r>
      <w:r>
        <w:rPr>
          <w:spacing w:val="-2"/>
        </w:rPr>
        <w:t>wrong.</w:t>
      </w:r>
    </w:p>
    <w:p w14:paraId="7E00152C" w14:textId="77777777" w:rsidR="009A58DB" w:rsidRDefault="00000000">
      <w:pPr>
        <w:pStyle w:val="BodyText"/>
        <w:spacing w:before="15" w:line="249" w:lineRule="auto"/>
        <w:ind w:right="363"/>
      </w:pPr>
      <w:r>
        <w:t>Burge</w:t>
      </w:r>
      <w:r>
        <w:rPr>
          <w:spacing w:val="-3"/>
        </w:rPr>
        <w:t xml:space="preserve"> </w:t>
      </w:r>
      <w:r>
        <w:t>says</w:t>
      </w:r>
      <w:r>
        <w:rPr>
          <w:spacing w:val="-3"/>
        </w:rPr>
        <w:t xml:space="preserve"> </w:t>
      </w:r>
      <w:r>
        <w:t>that</w:t>
      </w:r>
      <w:r>
        <w:rPr>
          <w:spacing w:val="-3"/>
        </w:rPr>
        <w:t xml:space="preserve"> </w:t>
      </w:r>
      <w:r>
        <w:t>what</w:t>
      </w:r>
      <w:r>
        <w:rPr>
          <w:spacing w:val="-3"/>
        </w:rPr>
        <w:t xml:space="preserve"> </w:t>
      </w:r>
      <w:r>
        <w:t>VR</w:t>
      </w:r>
      <w:r>
        <w:rPr>
          <w:spacing w:val="-3"/>
        </w:rPr>
        <w:t xml:space="preserve"> </w:t>
      </w:r>
      <w:r>
        <w:t>is</w:t>
      </w:r>
      <w:r>
        <w:rPr>
          <w:spacing w:val="-3"/>
        </w:rPr>
        <w:t xml:space="preserve"> </w:t>
      </w:r>
      <w:r>
        <w:t>telling</w:t>
      </w:r>
      <w:r>
        <w:rPr>
          <w:spacing w:val="-2"/>
        </w:rPr>
        <w:t xml:space="preserve"> </w:t>
      </w:r>
      <w:r>
        <w:t>me</w:t>
      </w:r>
      <w:r>
        <w:rPr>
          <w:spacing w:val="-3"/>
        </w:rPr>
        <w:t xml:space="preserve"> </w:t>
      </w:r>
      <w:r>
        <w:t>is</w:t>
      </w:r>
      <w:r>
        <w:rPr>
          <w:spacing w:val="-3"/>
        </w:rPr>
        <w:t xml:space="preserve"> </w:t>
      </w:r>
      <w:r>
        <w:rPr>
          <w:i/>
        </w:rPr>
        <w:t>different</w:t>
      </w:r>
      <w:r>
        <w:rPr>
          <w:i/>
          <w:spacing w:val="-3"/>
        </w:rPr>
        <w:t xml:space="preserve"> </w:t>
      </w:r>
      <w:r>
        <w:t>from</w:t>
      </w:r>
      <w:r>
        <w:rPr>
          <w:spacing w:val="-3"/>
        </w:rPr>
        <w:t xml:space="preserve"> </w:t>
      </w:r>
      <w:r>
        <w:t>what</w:t>
      </w:r>
      <w:r>
        <w:rPr>
          <w:spacing w:val="-3"/>
        </w:rPr>
        <w:t xml:space="preserve"> </w:t>
      </w:r>
      <w:r>
        <w:t>VM</w:t>
      </w:r>
      <w:r>
        <w:rPr>
          <w:spacing w:val="-3"/>
        </w:rPr>
        <w:t xml:space="preserve"> </w:t>
      </w:r>
      <w:r>
        <w:t>is</w:t>
      </w:r>
      <w:r>
        <w:rPr>
          <w:spacing w:val="-3"/>
        </w:rPr>
        <w:t xml:space="preserve"> </w:t>
      </w:r>
      <w:r>
        <w:t>telling</w:t>
      </w:r>
      <w:r>
        <w:rPr>
          <w:spacing w:val="-2"/>
        </w:rPr>
        <w:t xml:space="preserve"> </w:t>
      </w:r>
      <w:r>
        <w:t>me and also from what VG is telling me. Burge thinks that there is some x, namely a certain robot, such that VR is correct just in case:</w:t>
      </w:r>
    </w:p>
    <w:p w14:paraId="7E00152D" w14:textId="77777777" w:rsidR="009A58DB" w:rsidRDefault="009A58DB">
      <w:pPr>
        <w:pStyle w:val="BodyText"/>
        <w:spacing w:before="18"/>
        <w:ind w:left="0"/>
        <w:jc w:val="left"/>
      </w:pPr>
    </w:p>
    <w:p w14:paraId="7E00152E" w14:textId="77777777" w:rsidR="009A58DB" w:rsidRDefault="00000000">
      <w:pPr>
        <w:pStyle w:val="BodyText"/>
      </w:pPr>
      <w:r>
        <w:t>(bx)</w:t>
      </w:r>
      <w:r>
        <w:rPr>
          <w:spacing w:val="-3"/>
        </w:rPr>
        <w:t xml:space="preserve"> </w:t>
      </w:r>
      <w:r>
        <w:t>x</w:t>
      </w:r>
      <w:r>
        <w:rPr>
          <w:spacing w:val="-2"/>
        </w:rPr>
        <w:t xml:space="preserve"> </w:t>
      </w:r>
      <w:r>
        <w:t>is</w:t>
      </w:r>
      <w:r>
        <w:rPr>
          <w:spacing w:val="-2"/>
        </w:rPr>
        <w:t xml:space="preserve"> </w:t>
      </w:r>
      <w:r>
        <w:t>wearing</w:t>
      </w:r>
      <w:r>
        <w:rPr>
          <w:spacing w:val="-2"/>
        </w:rPr>
        <w:t xml:space="preserve"> </w:t>
      </w:r>
      <w:r>
        <w:t>a</w:t>
      </w:r>
      <w:r>
        <w:rPr>
          <w:spacing w:val="-3"/>
        </w:rPr>
        <w:t xml:space="preserve"> </w:t>
      </w:r>
      <w:r>
        <w:t>plaid</w:t>
      </w:r>
      <w:r>
        <w:rPr>
          <w:spacing w:val="-1"/>
        </w:rPr>
        <w:t xml:space="preserve"> </w:t>
      </w:r>
      <w:r>
        <w:rPr>
          <w:spacing w:val="-2"/>
        </w:rPr>
        <w:t>shirt.</w:t>
      </w:r>
    </w:p>
    <w:p w14:paraId="7E00152F" w14:textId="77777777" w:rsidR="009A58DB" w:rsidRDefault="009A58DB">
      <w:pPr>
        <w:pStyle w:val="BodyText"/>
        <w:spacing w:before="30"/>
        <w:ind w:left="0"/>
        <w:jc w:val="left"/>
      </w:pPr>
    </w:p>
    <w:p w14:paraId="7E001530" w14:textId="77777777" w:rsidR="009A58DB" w:rsidRDefault="00000000">
      <w:pPr>
        <w:pStyle w:val="BodyText"/>
        <w:spacing w:line="249" w:lineRule="auto"/>
        <w:ind w:right="361"/>
      </w:pPr>
      <w:r>
        <w:t>And Burge thinks that there is some y, namely Gary, such that VG is correct just in case:</w:t>
      </w:r>
    </w:p>
    <w:p w14:paraId="7E001531" w14:textId="77777777" w:rsidR="009A58DB" w:rsidRDefault="009A58DB">
      <w:pPr>
        <w:pStyle w:val="BodyText"/>
        <w:spacing w:before="18"/>
        <w:ind w:left="0"/>
        <w:jc w:val="left"/>
      </w:pPr>
    </w:p>
    <w:p w14:paraId="7E001532" w14:textId="77777777" w:rsidR="009A58DB" w:rsidRDefault="00000000">
      <w:pPr>
        <w:pStyle w:val="BodyText"/>
      </w:pPr>
      <w:r>
        <w:t>(by)</w:t>
      </w:r>
      <w:r>
        <w:rPr>
          <w:spacing w:val="-3"/>
        </w:rPr>
        <w:t xml:space="preserve"> </w:t>
      </w:r>
      <w:r>
        <w:t>y</w:t>
      </w:r>
      <w:r>
        <w:rPr>
          <w:spacing w:val="-2"/>
        </w:rPr>
        <w:t xml:space="preserve"> </w:t>
      </w:r>
      <w:r>
        <w:t>is</w:t>
      </w:r>
      <w:r>
        <w:rPr>
          <w:spacing w:val="-2"/>
        </w:rPr>
        <w:t xml:space="preserve"> </w:t>
      </w:r>
      <w:r>
        <w:t>wearing</w:t>
      </w:r>
      <w:r>
        <w:rPr>
          <w:spacing w:val="-2"/>
        </w:rPr>
        <w:t xml:space="preserve"> </w:t>
      </w:r>
      <w:r>
        <w:t>a</w:t>
      </w:r>
      <w:r>
        <w:rPr>
          <w:spacing w:val="-3"/>
        </w:rPr>
        <w:t xml:space="preserve"> </w:t>
      </w:r>
      <w:r>
        <w:t>plaid</w:t>
      </w:r>
      <w:r>
        <w:rPr>
          <w:spacing w:val="-1"/>
        </w:rPr>
        <w:t xml:space="preserve"> </w:t>
      </w:r>
      <w:r>
        <w:rPr>
          <w:spacing w:val="-2"/>
        </w:rPr>
        <w:t>shirt.</w:t>
      </w:r>
    </w:p>
    <w:p w14:paraId="7E001533" w14:textId="77777777" w:rsidR="009A58DB" w:rsidRDefault="009A58DB">
      <w:pPr>
        <w:pStyle w:val="BodyText"/>
        <w:sectPr w:rsidR="009A58DB">
          <w:pgSz w:w="12240" w:h="15840"/>
          <w:pgMar w:top="1740" w:right="1080" w:bottom="280" w:left="1080" w:header="720" w:footer="720" w:gutter="0"/>
          <w:cols w:space="720"/>
        </w:sectPr>
      </w:pPr>
    </w:p>
    <w:p w14:paraId="7E001534" w14:textId="77777777" w:rsidR="009A58DB" w:rsidRDefault="00000000">
      <w:pPr>
        <w:pStyle w:val="BodyText"/>
        <w:spacing w:before="65" w:line="249" w:lineRule="auto"/>
        <w:ind w:right="367"/>
      </w:pPr>
      <w:r>
        <w:lastRenderedPageBreak/>
        <w:t>Finally, Burge thinks that there is some z, namely Max, such that VM is correct just in case:</w:t>
      </w:r>
    </w:p>
    <w:p w14:paraId="7E001535" w14:textId="77777777" w:rsidR="009A58DB" w:rsidRDefault="009A58DB">
      <w:pPr>
        <w:pStyle w:val="BodyText"/>
        <w:spacing w:before="17"/>
        <w:ind w:left="0"/>
        <w:jc w:val="left"/>
      </w:pPr>
    </w:p>
    <w:p w14:paraId="7E001536" w14:textId="77777777" w:rsidR="009A58DB" w:rsidRDefault="00000000">
      <w:pPr>
        <w:pStyle w:val="BodyText"/>
      </w:pPr>
      <w:r>
        <w:t>(bz)</w:t>
      </w:r>
      <w:r>
        <w:rPr>
          <w:spacing w:val="-3"/>
        </w:rPr>
        <w:t xml:space="preserve"> </w:t>
      </w:r>
      <w:r>
        <w:t>z</w:t>
      </w:r>
      <w:r>
        <w:rPr>
          <w:spacing w:val="-3"/>
        </w:rPr>
        <w:t xml:space="preserve"> </w:t>
      </w:r>
      <w:r>
        <w:t>is</w:t>
      </w:r>
      <w:r>
        <w:rPr>
          <w:spacing w:val="-3"/>
        </w:rPr>
        <w:t xml:space="preserve"> </w:t>
      </w:r>
      <w:r>
        <w:t>wearing</w:t>
      </w:r>
      <w:r>
        <w:rPr>
          <w:spacing w:val="-2"/>
        </w:rPr>
        <w:t xml:space="preserve"> </w:t>
      </w:r>
      <w:r>
        <w:t>a</w:t>
      </w:r>
      <w:r>
        <w:rPr>
          <w:spacing w:val="-3"/>
        </w:rPr>
        <w:t xml:space="preserve"> </w:t>
      </w:r>
      <w:r>
        <w:t>plaid</w:t>
      </w:r>
      <w:r>
        <w:rPr>
          <w:spacing w:val="-1"/>
        </w:rPr>
        <w:t xml:space="preserve"> </w:t>
      </w:r>
      <w:r>
        <w:rPr>
          <w:spacing w:val="-2"/>
        </w:rPr>
        <w:t>shirt.</w:t>
      </w:r>
    </w:p>
    <w:p w14:paraId="7E001537" w14:textId="77777777" w:rsidR="009A58DB" w:rsidRDefault="009A58DB">
      <w:pPr>
        <w:pStyle w:val="BodyText"/>
        <w:spacing w:before="30"/>
        <w:ind w:left="0"/>
        <w:jc w:val="left"/>
      </w:pPr>
    </w:p>
    <w:p w14:paraId="7E001538" w14:textId="77777777" w:rsidR="009A58DB" w:rsidRDefault="00000000">
      <w:pPr>
        <w:pStyle w:val="BodyText"/>
        <w:spacing w:line="249" w:lineRule="auto"/>
        <w:ind w:right="360"/>
      </w:pPr>
      <w:r>
        <w:t>Of course, none of these three propositions is equivalent with other; none so much as entails either of the others. So if Burge is right, then the proposition encoded</w:t>
      </w:r>
      <w:r>
        <w:rPr>
          <w:spacing w:val="24"/>
        </w:rPr>
        <w:t xml:space="preserve">  </w:t>
      </w:r>
      <w:r>
        <w:t>in</w:t>
      </w:r>
      <w:r>
        <w:rPr>
          <w:spacing w:val="24"/>
        </w:rPr>
        <w:t xml:space="preserve">  </w:t>
      </w:r>
      <w:r>
        <w:t>my</w:t>
      </w:r>
      <w:r>
        <w:rPr>
          <w:spacing w:val="25"/>
        </w:rPr>
        <w:t xml:space="preserve">  </w:t>
      </w:r>
      <w:r>
        <w:t>visual</w:t>
      </w:r>
      <w:r>
        <w:rPr>
          <w:spacing w:val="24"/>
        </w:rPr>
        <w:t xml:space="preserve">  </w:t>
      </w:r>
      <w:r>
        <w:t>perception</w:t>
      </w:r>
      <w:r>
        <w:rPr>
          <w:spacing w:val="24"/>
        </w:rPr>
        <w:t xml:space="preserve">  </w:t>
      </w:r>
      <w:r>
        <w:t>in</w:t>
      </w:r>
      <w:r>
        <w:rPr>
          <w:spacing w:val="25"/>
        </w:rPr>
        <w:t xml:space="preserve">  </w:t>
      </w:r>
      <w:r>
        <w:t>W</w:t>
      </w:r>
      <w:r>
        <w:rPr>
          <w:vertAlign w:val="subscript"/>
        </w:rPr>
        <w:t>3</w:t>
      </w:r>
      <w:r>
        <w:rPr>
          <w:spacing w:val="25"/>
        </w:rPr>
        <w:t xml:space="preserve">  </w:t>
      </w:r>
      <w:r>
        <w:t>is</w:t>
      </w:r>
      <w:r>
        <w:rPr>
          <w:spacing w:val="25"/>
        </w:rPr>
        <w:t xml:space="preserve">  </w:t>
      </w:r>
      <w:r>
        <w:t>different</w:t>
      </w:r>
      <w:r>
        <w:rPr>
          <w:spacing w:val="25"/>
        </w:rPr>
        <w:t xml:space="preserve">  </w:t>
      </w:r>
      <w:r>
        <w:t>from</w:t>
      </w:r>
      <w:r>
        <w:rPr>
          <w:spacing w:val="24"/>
        </w:rPr>
        <w:t xml:space="preserve">  </w:t>
      </w:r>
      <w:r>
        <w:t>my</w:t>
      </w:r>
      <w:r>
        <w:rPr>
          <w:spacing w:val="25"/>
        </w:rPr>
        <w:t xml:space="preserve">  </w:t>
      </w:r>
      <w:r>
        <w:rPr>
          <w:spacing w:val="-2"/>
        </w:rPr>
        <w:t>visual</w:t>
      </w:r>
    </w:p>
    <w:p w14:paraId="7E001539" w14:textId="77777777" w:rsidR="009A58DB" w:rsidRDefault="00000000">
      <w:pPr>
        <w:pStyle w:val="BodyText"/>
        <w:spacing w:before="64" w:line="292" w:lineRule="auto"/>
        <w:ind w:right="371"/>
      </w:pPr>
      <w:r>
        <w:t>perceptions in W</w:t>
      </w:r>
      <w:r>
        <w:rPr>
          <w:vertAlign w:val="subscript"/>
        </w:rPr>
        <w:t>1</w:t>
      </w:r>
      <w:r>
        <w:t xml:space="preserve"> and W</w:t>
      </w:r>
      <w:r>
        <w:rPr>
          <w:vertAlign w:val="subscript"/>
        </w:rPr>
        <w:t>2</w:t>
      </w:r>
      <w:r>
        <w:t>, and the propositions encoded in the latter two perceptions are different from each other.</w:t>
      </w:r>
    </w:p>
    <w:p w14:paraId="7E00153A" w14:textId="77777777" w:rsidR="009A58DB" w:rsidRDefault="00000000">
      <w:pPr>
        <w:pStyle w:val="BodyText"/>
        <w:spacing w:line="283" w:lineRule="exact"/>
        <w:ind w:left="720"/>
      </w:pPr>
      <w:r>
        <w:t>But</w:t>
      </w:r>
      <w:r>
        <w:rPr>
          <w:spacing w:val="1"/>
        </w:rPr>
        <w:t xml:space="preserve"> </w:t>
      </w:r>
      <w:r>
        <w:t>Burge</w:t>
      </w:r>
      <w:r>
        <w:rPr>
          <w:spacing w:val="3"/>
        </w:rPr>
        <w:t xml:space="preserve"> </w:t>
      </w:r>
      <w:r>
        <w:t>is</w:t>
      </w:r>
      <w:r>
        <w:rPr>
          <w:spacing w:val="3"/>
        </w:rPr>
        <w:t xml:space="preserve"> </w:t>
      </w:r>
      <w:r>
        <w:t>not</w:t>
      </w:r>
      <w:r>
        <w:rPr>
          <w:spacing w:val="3"/>
        </w:rPr>
        <w:t xml:space="preserve"> </w:t>
      </w:r>
      <w:r>
        <w:t>right.</w:t>
      </w:r>
      <w:r>
        <w:rPr>
          <w:spacing w:val="3"/>
        </w:rPr>
        <w:t xml:space="preserve"> </w:t>
      </w:r>
      <w:r>
        <w:t>Given</w:t>
      </w:r>
      <w:r>
        <w:rPr>
          <w:spacing w:val="3"/>
        </w:rPr>
        <w:t xml:space="preserve"> </w:t>
      </w:r>
      <w:r>
        <w:t>only</w:t>
      </w:r>
      <w:r>
        <w:rPr>
          <w:spacing w:val="3"/>
        </w:rPr>
        <w:t xml:space="preserve"> </w:t>
      </w:r>
      <w:r>
        <w:t>what</w:t>
      </w:r>
      <w:r>
        <w:rPr>
          <w:spacing w:val="3"/>
        </w:rPr>
        <w:t xml:space="preserve"> </w:t>
      </w:r>
      <w:r>
        <w:t>VR</w:t>
      </w:r>
      <w:r>
        <w:rPr>
          <w:spacing w:val="3"/>
        </w:rPr>
        <w:t xml:space="preserve"> </w:t>
      </w:r>
      <w:r>
        <w:t>is</w:t>
      </w:r>
      <w:r>
        <w:rPr>
          <w:spacing w:val="3"/>
        </w:rPr>
        <w:t xml:space="preserve"> </w:t>
      </w:r>
      <w:r>
        <w:t>telling</w:t>
      </w:r>
      <w:r>
        <w:rPr>
          <w:spacing w:val="3"/>
        </w:rPr>
        <w:t xml:space="preserve"> </w:t>
      </w:r>
      <w:r>
        <w:t>me—in</w:t>
      </w:r>
      <w:r>
        <w:rPr>
          <w:spacing w:val="3"/>
        </w:rPr>
        <w:t xml:space="preserve"> </w:t>
      </w:r>
      <w:r>
        <w:t>other</w:t>
      </w:r>
      <w:r>
        <w:rPr>
          <w:spacing w:val="4"/>
        </w:rPr>
        <w:t xml:space="preserve"> </w:t>
      </w:r>
      <w:r>
        <w:rPr>
          <w:spacing w:val="-2"/>
        </w:rPr>
        <w:t>words,</w:t>
      </w:r>
    </w:p>
    <w:p w14:paraId="7E00153B" w14:textId="77777777" w:rsidR="009A58DB" w:rsidRDefault="00000000">
      <w:pPr>
        <w:pStyle w:val="BodyText"/>
        <w:spacing w:before="15" w:line="249" w:lineRule="auto"/>
        <w:ind w:right="358"/>
      </w:pPr>
      <w:r>
        <w:t xml:space="preserve">given only what I know on the basis of VR </w:t>
      </w:r>
      <w:r>
        <w:rPr>
          <w:i/>
        </w:rPr>
        <w:t xml:space="preserve">without </w:t>
      </w:r>
      <w:r>
        <w:t>the help of pre-existing, background knowledge derived from some source other than VR—I can’t possibly know that I’m seeing robot x as opposed to person y as opposed to person</w:t>
      </w:r>
      <w:r>
        <w:rPr>
          <w:spacing w:val="29"/>
        </w:rPr>
        <w:t xml:space="preserve"> </w:t>
      </w:r>
      <w:r>
        <w:t>z</w:t>
      </w:r>
      <w:r>
        <w:rPr>
          <w:spacing w:val="29"/>
        </w:rPr>
        <w:t xml:space="preserve"> </w:t>
      </w:r>
      <w:r>
        <w:t>as</w:t>
      </w:r>
      <w:r>
        <w:rPr>
          <w:spacing w:val="28"/>
        </w:rPr>
        <w:t xml:space="preserve"> </w:t>
      </w:r>
      <w:r>
        <w:t>opposed</w:t>
      </w:r>
      <w:r>
        <w:rPr>
          <w:spacing w:val="30"/>
        </w:rPr>
        <w:t xml:space="preserve"> </w:t>
      </w:r>
      <w:r>
        <w:t>to</w:t>
      </w:r>
      <w:r>
        <w:rPr>
          <w:spacing w:val="29"/>
        </w:rPr>
        <w:t xml:space="preserve"> </w:t>
      </w:r>
      <w:r>
        <w:t>Martian</w:t>
      </w:r>
      <w:r>
        <w:rPr>
          <w:spacing w:val="30"/>
        </w:rPr>
        <w:t xml:space="preserve"> </w:t>
      </w:r>
      <w:r>
        <w:t>w.</w:t>
      </w:r>
      <w:r>
        <w:rPr>
          <w:spacing w:val="30"/>
        </w:rPr>
        <w:t xml:space="preserve"> </w:t>
      </w:r>
      <w:r>
        <w:t>The</w:t>
      </w:r>
      <w:r>
        <w:rPr>
          <w:spacing w:val="28"/>
        </w:rPr>
        <w:t xml:space="preserve"> </w:t>
      </w:r>
      <w:r>
        <w:t>content</w:t>
      </w:r>
      <w:r>
        <w:rPr>
          <w:spacing w:val="29"/>
        </w:rPr>
        <w:t xml:space="preserve"> </w:t>
      </w:r>
      <w:r>
        <w:t>of</w:t>
      </w:r>
      <w:r>
        <w:rPr>
          <w:spacing w:val="28"/>
        </w:rPr>
        <w:t xml:space="preserve"> </w:t>
      </w:r>
      <w:r>
        <w:t>my</w:t>
      </w:r>
      <w:r>
        <w:rPr>
          <w:spacing w:val="30"/>
        </w:rPr>
        <w:t xml:space="preserve"> </w:t>
      </w:r>
      <w:r>
        <w:t>perception</w:t>
      </w:r>
      <w:r>
        <w:rPr>
          <w:spacing w:val="29"/>
        </w:rPr>
        <w:t xml:space="preserve"> </w:t>
      </w:r>
      <w:r>
        <w:t>on</w:t>
      </w:r>
      <w:r>
        <w:rPr>
          <w:spacing w:val="30"/>
        </w:rPr>
        <w:t xml:space="preserve"> </w:t>
      </w:r>
      <w:r>
        <w:t>W</w:t>
      </w:r>
      <w:r>
        <w:rPr>
          <w:vertAlign w:val="subscript"/>
        </w:rPr>
        <w:t>3</w:t>
      </w:r>
      <w:r>
        <w:rPr>
          <w:spacing w:val="44"/>
        </w:rPr>
        <w:t xml:space="preserve"> </w:t>
      </w:r>
      <w:r>
        <w:rPr>
          <w:spacing w:val="-5"/>
        </w:rPr>
        <w:t>is,</w:t>
      </w:r>
    </w:p>
    <w:p w14:paraId="7E00153C" w14:textId="77777777" w:rsidR="009A58DB" w:rsidRDefault="00000000">
      <w:pPr>
        <w:pStyle w:val="BodyText"/>
        <w:spacing w:before="65" w:line="249" w:lineRule="auto"/>
        <w:ind w:right="367"/>
      </w:pPr>
      <w:r>
        <w:t>quite obviously, neutral with respect to the identity of the object of that perception, and its content is therefore, in that respect, general and, more specifically, is given by CVR.</w:t>
      </w:r>
    </w:p>
    <w:p w14:paraId="7E00153D" w14:textId="77777777" w:rsidR="009A58DB" w:rsidRDefault="00000000">
      <w:pPr>
        <w:pStyle w:val="BodyText"/>
        <w:spacing w:before="4"/>
        <w:ind w:left="720"/>
      </w:pPr>
      <w:r>
        <w:t>Russell</w:t>
      </w:r>
      <w:r>
        <w:rPr>
          <w:spacing w:val="-6"/>
        </w:rPr>
        <w:t xml:space="preserve"> </w:t>
      </w:r>
      <w:r>
        <w:t>(1927)</w:t>
      </w:r>
      <w:r>
        <w:rPr>
          <w:spacing w:val="-3"/>
        </w:rPr>
        <w:t xml:space="preserve"> </w:t>
      </w:r>
      <w:r>
        <w:t>makes</w:t>
      </w:r>
      <w:r>
        <w:rPr>
          <w:spacing w:val="-3"/>
        </w:rPr>
        <w:t xml:space="preserve"> </w:t>
      </w:r>
      <w:r>
        <w:t>this</w:t>
      </w:r>
      <w:r>
        <w:rPr>
          <w:spacing w:val="-4"/>
        </w:rPr>
        <w:t xml:space="preserve"> </w:t>
      </w:r>
      <w:r>
        <w:t>point</w:t>
      </w:r>
      <w:r>
        <w:rPr>
          <w:spacing w:val="-3"/>
        </w:rPr>
        <w:t xml:space="preserve"> </w:t>
      </w:r>
      <w:r>
        <w:t>very</w:t>
      </w:r>
      <w:r>
        <w:rPr>
          <w:spacing w:val="-2"/>
        </w:rPr>
        <w:t xml:space="preserve"> clearly:</w:t>
      </w:r>
    </w:p>
    <w:p w14:paraId="7E00153E" w14:textId="77777777" w:rsidR="009A58DB" w:rsidRDefault="009A58DB">
      <w:pPr>
        <w:pStyle w:val="BodyText"/>
        <w:spacing w:before="29"/>
        <w:ind w:left="0"/>
        <w:jc w:val="left"/>
      </w:pPr>
    </w:p>
    <w:p w14:paraId="7E00153F" w14:textId="77777777" w:rsidR="009A58DB" w:rsidRDefault="00000000">
      <w:pPr>
        <w:pStyle w:val="BodyText"/>
        <w:spacing w:before="1" w:line="249" w:lineRule="auto"/>
        <w:ind w:left="720" w:right="719"/>
      </w:pPr>
      <w:r>
        <w:t xml:space="preserve">Prejudice tells you that you see the </w:t>
      </w:r>
      <w:r>
        <w:rPr>
          <w:i/>
        </w:rPr>
        <w:t xml:space="preserve">same </w:t>
      </w:r>
      <w:r>
        <w:t xml:space="preserve">table on two different occasions; you </w:t>
      </w:r>
      <w:r>
        <w:rPr>
          <w:i/>
        </w:rPr>
        <w:t xml:space="preserve">think </w:t>
      </w:r>
      <w:r>
        <w:t>that experience tells you this. If it really were experience, you could not be mistaken; yet a similar table may be substituted</w:t>
      </w:r>
      <w:r>
        <w:rPr>
          <w:spacing w:val="8"/>
        </w:rPr>
        <w:t xml:space="preserve"> </w:t>
      </w:r>
      <w:r>
        <w:t>without</w:t>
      </w:r>
      <w:r>
        <w:rPr>
          <w:spacing w:val="9"/>
        </w:rPr>
        <w:t xml:space="preserve"> </w:t>
      </w:r>
      <w:r>
        <w:t>altering</w:t>
      </w:r>
      <w:r>
        <w:rPr>
          <w:spacing w:val="8"/>
        </w:rPr>
        <w:t xml:space="preserve"> </w:t>
      </w:r>
      <w:r>
        <w:t>the</w:t>
      </w:r>
      <w:r>
        <w:rPr>
          <w:spacing w:val="9"/>
        </w:rPr>
        <w:t xml:space="preserve"> </w:t>
      </w:r>
      <w:r>
        <w:t>experience</w:t>
      </w:r>
      <w:r>
        <w:rPr>
          <w:spacing w:val="8"/>
        </w:rPr>
        <w:t xml:space="preserve"> </w:t>
      </w:r>
      <w:r>
        <w:t>.</w:t>
      </w:r>
      <w:r>
        <w:rPr>
          <w:spacing w:val="9"/>
        </w:rPr>
        <w:t xml:space="preserve"> </w:t>
      </w:r>
      <w:r>
        <w:t>.</w:t>
      </w:r>
      <w:r>
        <w:rPr>
          <w:spacing w:val="8"/>
        </w:rPr>
        <w:t xml:space="preserve"> </w:t>
      </w:r>
      <w:r>
        <w:t>.</w:t>
      </w:r>
      <w:r>
        <w:rPr>
          <w:spacing w:val="9"/>
        </w:rPr>
        <w:t xml:space="preserve"> </w:t>
      </w:r>
      <w:r>
        <w:t>there</w:t>
      </w:r>
      <w:r>
        <w:rPr>
          <w:spacing w:val="8"/>
        </w:rPr>
        <w:t xml:space="preserve"> </w:t>
      </w:r>
      <w:r>
        <w:t>is</w:t>
      </w:r>
      <w:r>
        <w:rPr>
          <w:spacing w:val="9"/>
        </w:rPr>
        <w:t xml:space="preserve"> </w:t>
      </w:r>
      <w:r>
        <w:t>nothing</w:t>
      </w:r>
      <w:r>
        <w:rPr>
          <w:spacing w:val="8"/>
        </w:rPr>
        <w:t xml:space="preserve"> </w:t>
      </w:r>
      <w:r>
        <w:t>to</w:t>
      </w:r>
      <w:r>
        <w:rPr>
          <w:spacing w:val="9"/>
        </w:rPr>
        <w:t xml:space="preserve"> </w:t>
      </w:r>
      <w:r>
        <w:rPr>
          <w:spacing w:val="-4"/>
        </w:rPr>
        <w:t>show</w:t>
      </w:r>
    </w:p>
    <w:p w14:paraId="7E001540" w14:textId="77777777" w:rsidR="009A58DB" w:rsidRDefault="00000000">
      <w:pPr>
        <w:pStyle w:val="BodyText"/>
        <w:spacing w:before="4"/>
        <w:ind w:left="720"/>
        <w:jc w:val="left"/>
      </w:pPr>
      <w:r>
        <w:rPr>
          <w:noProof/>
        </w:rPr>
        <mc:AlternateContent>
          <mc:Choice Requires="wps">
            <w:drawing>
              <wp:anchor distT="0" distB="0" distL="0" distR="0" simplePos="0" relativeHeight="480337408" behindDoc="1" locked="0" layoutInCell="1" allowOverlap="1" wp14:anchorId="7E003280" wp14:editId="7E003281">
                <wp:simplePos x="0" y="0"/>
                <wp:positionH relativeFrom="page">
                  <wp:posOffset>4923978</wp:posOffset>
                </wp:positionH>
                <wp:positionV relativeFrom="paragraph">
                  <wp:posOffset>144481</wp:posOffset>
                </wp:positionV>
                <wp:extent cx="47625" cy="2114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211454"/>
                        </a:xfrm>
                        <a:prstGeom prst="rect">
                          <a:avLst/>
                        </a:prstGeom>
                      </wps:spPr>
                      <wps:txbx>
                        <w:txbxContent>
                          <w:p w14:paraId="7E0032BC" w14:textId="77777777" w:rsidR="009A58DB" w:rsidRDefault="00000000">
                            <w:pPr>
                              <w:spacing w:line="332" w:lineRule="exact"/>
                              <w:rPr>
                                <w:sz w:val="30"/>
                              </w:rPr>
                            </w:pPr>
                            <w:r>
                              <w:rPr>
                                <w:spacing w:val="-10"/>
                                <w:sz w:val="30"/>
                              </w:rPr>
                              <w:t>.</w:t>
                            </w:r>
                          </w:p>
                        </w:txbxContent>
                      </wps:txbx>
                      <wps:bodyPr wrap="square" lIns="0" tIns="0" rIns="0" bIns="0" rtlCol="0">
                        <a:noAutofit/>
                      </wps:bodyPr>
                    </wps:wsp>
                  </a:graphicData>
                </a:graphic>
              </wp:anchor>
            </w:drawing>
          </mc:Choice>
          <mc:Fallback>
            <w:pict>
              <v:shape w14:anchorId="7E003280" id="Textbox 25" o:spid="_x0000_s1038" type="#_x0000_t202" style="position:absolute;left:0;text-align:left;margin-left:387.7pt;margin-top:11.4pt;width:3.75pt;height:16.65pt;z-index:-2297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" filled="f" stroked="f">
                <v:textbox inset="0,0,0,0">
                  <w:txbxContent>
                    <w:p w14:paraId="7E0032BC" w14:textId="77777777" w:rsidR="009A58DB" w:rsidRDefault="00000000">
                      <w:pPr>
                        <w:spacing w:line="332" w:lineRule="exact"/>
                        <w:rPr>
                          <w:sz w:val="30"/>
                        </w:rPr>
                      </w:pPr>
                      <w:r>
                        <w:rPr>
                          <w:spacing w:val="-10"/>
                          <w:sz w:val="30"/>
                        </w:rPr>
                        <w:t>.</w:t>
                      </w:r>
                    </w:p>
                  </w:txbxContent>
                </v:textbox>
                <w10:wrap anchorx="page"/>
              </v:shape>
            </w:pict>
          </mc:Fallback>
        </mc:AlternateContent>
      </w:r>
      <w:bookmarkStart w:id="273" w:name="_bookmark273"/>
      <w:bookmarkEnd w:id="273"/>
      <w:r>
        <w:rPr>
          <w:color w:val="0562C1"/>
          <w:spacing w:val="-1"/>
          <w:position w:val="21"/>
          <w:u w:val="single" w:color="0562C1"/>
        </w:rPr>
        <w:t>[</w:t>
      </w:r>
      <w:r>
        <w:rPr>
          <w:color w:val="0562C1"/>
          <w:position w:val="21"/>
          <w:u w:val="single" w:color="0562C1"/>
        </w:rPr>
        <w:t>175</w:t>
      </w:r>
      <w:r>
        <w:rPr>
          <w:color w:val="0562C1"/>
          <w:spacing w:val="-6680"/>
          <w:position w:val="21"/>
          <w:u w:val="single" w:color="0562C1"/>
        </w:rPr>
        <w:t>]</w:t>
      </w:r>
      <w:r>
        <w:rPr>
          <w:spacing w:val="-1"/>
        </w:rPr>
        <w:t>t</w:t>
      </w:r>
      <w:r>
        <w:t>h</w:t>
      </w:r>
      <w:r>
        <w:rPr>
          <w:spacing w:val="-1"/>
        </w:rPr>
        <w:t>a</w:t>
      </w:r>
      <w:r>
        <w:t>t</w:t>
      </w:r>
      <w:r>
        <w:rPr>
          <w:spacing w:val="-3"/>
        </w:rPr>
        <w:t xml:space="preserve"> </w:t>
      </w:r>
      <w:r>
        <w:t>one</w:t>
      </w:r>
      <w:r>
        <w:rPr>
          <w:spacing w:val="-6"/>
        </w:rPr>
        <w:t xml:space="preserve"> </w:t>
      </w:r>
      <w:r>
        <w:t>identical</w:t>
      </w:r>
      <w:r>
        <w:rPr>
          <w:spacing w:val="-4"/>
        </w:rPr>
        <w:t xml:space="preserve"> </w:t>
      </w:r>
      <w:r>
        <w:t>entity</w:t>
      </w:r>
      <w:r>
        <w:rPr>
          <w:spacing w:val="-2"/>
        </w:rPr>
        <w:t xml:space="preserve"> </w:t>
      </w:r>
      <w:r>
        <w:t>causes</w:t>
      </w:r>
      <w:r>
        <w:rPr>
          <w:spacing w:val="-4"/>
        </w:rPr>
        <w:t xml:space="preserve"> </w:t>
      </w:r>
      <w:r>
        <w:t>the</w:t>
      </w:r>
      <w:r>
        <w:rPr>
          <w:spacing w:val="-3"/>
        </w:rPr>
        <w:t xml:space="preserve"> </w:t>
      </w:r>
      <w:r>
        <w:t>two</w:t>
      </w:r>
      <w:r>
        <w:rPr>
          <w:spacing w:val="-2"/>
        </w:rPr>
        <w:t xml:space="preserve"> sensations</w:t>
      </w:r>
    </w:p>
    <w:p w14:paraId="7E001541" w14:textId="77777777" w:rsidR="009A58DB" w:rsidRDefault="009A58DB">
      <w:pPr>
        <w:pStyle w:val="BodyText"/>
        <w:spacing w:before="30"/>
        <w:ind w:left="0"/>
        <w:jc w:val="left"/>
      </w:pPr>
    </w:p>
    <w:p w14:paraId="7E001542" w14:textId="77777777" w:rsidR="009A58DB" w:rsidRDefault="00000000">
      <w:pPr>
        <w:pStyle w:val="BodyText"/>
        <w:spacing w:before="1" w:line="249" w:lineRule="auto"/>
        <w:ind w:right="360" w:firstLine="360"/>
      </w:pPr>
      <w:r>
        <w:t>The message embodied in VR goes through regardless of who it is that I am seeing to be wearing a plaid shirt. That identity-independent message is embodied in the belief underlying my utterance of “that guy is wearing a plaid shirt,” and it’s embodied in that utterance. Therefore, Burge is simply wrong to identify the</w:t>
      </w:r>
    </w:p>
    <w:p w14:paraId="7E001543"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544" w14:textId="77777777" w:rsidR="009A58DB" w:rsidRDefault="00000000">
      <w:pPr>
        <w:pStyle w:val="BodyText"/>
        <w:spacing w:before="65" w:line="249" w:lineRule="auto"/>
        <w:ind w:right="358"/>
      </w:pPr>
      <w:r>
        <w:lastRenderedPageBreak/>
        <w:t>content of that belief with bx. For exactly similar reasons, Burge is just plain wrong to identify bx (by)with what VM (VG)tells me and with the belief embodied in U</w:t>
      </w:r>
      <w:r>
        <w:rPr>
          <w:vertAlign w:val="subscript"/>
        </w:rPr>
        <w:t>1</w:t>
      </w:r>
      <w:r>
        <w:t xml:space="preserve"> (U</w:t>
      </w:r>
      <w:r>
        <w:rPr>
          <w:vertAlign w:val="subscript"/>
        </w:rPr>
        <w:t>2</w:t>
      </w:r>
      <w:r>
        <w:t>).</w:t>
      </w:r>
    </w:p>
    <w:p w14:paraId="7E001545" w14:textId="77777777" w:rsidR="009A58DB" w:rsidRDefault="00000000">
      <w:pPr>
        <w:pStyle w:val="BodyText"/>
        <w:spacing w:before="63" w:line="249" w:lineRule="auto"/>
        <w:ind w:right="358" w:firstLine="360"/>
      </w:pPr>
      <w:r>
        <w:t>Of course, there are differences between those situations. In the first, it’s Max who’s standing in front of me; in the second, it’s Gary; in the third it’s a robot. But these differences don’t lead to any experiential differences, since those three things all look exactly the same. In none of these worlds can the content of my visual perception, taken by itself, register that it’s Max, Gary, or some third thing that’s in front of me. Given that</w:t>
      </w:r>
    </w:p>
    <w:p w14:paraId="7E001546" w14:textId="77777777" w:rsidR="009A58DB" w:rsidRDefault="00000000">
      <w:pPr>
        <w:pStyle w:val="BodyText"/>
        <w:spacing w:before="8" w:line="292" w:lineRule="auto"/>
        <w:ind w:right="358"/>
      </w:pPr>
      <w:r>
        <w:t>CVR is the content of my visual perception in W</w:t>
      </w:r>
      <w:r>
        <w:rPr>
          <w:vertAlign w:val="subscript"/>
        </w:rPr>
        <w:t>3</w:t>
      </w:r>
      <w:r>
        <w:t>, it follows that CVR is also the</w:t>
      </w:r>
      <w:r>
        <w:rPr>
          <w:spacing w:val="39"/>
        </w:rPr>
        <w:t xml:space="preserve"> </w:t>
      </w:r>
      <w:r>
        <w:t>content</w:t>
      </w:r>
      <w:r>
        <w:rPr>
          <w:spacing w:val="39"/>
        </w:rPr>
        <w:t xml:space="preserve"> </w:t>
      </w:r>
      <w:r>
        <w:t>of</w:t>
      </w:r>
      <w:r>
        <w:rPr>
          <w:spacing w:val="40"/>
        </w:rPr>
        <w:t xml:space="preserve"> </w:t>
      </w:r>
      <w:r>
        <w:t>my</w:t>
      </w:r>
      <w:r>
        <w:rPr>
          <w:spacing w:val="39"/>
        </w:rPr>
        <w:t xml:space="preserve"> </w:t>
      </w:r>
      <w:r>
        <w:t>perception</w:t>
      </w:r>
      <w:r>
        <w:rPr>
          <w:spacing w:val="40"/>
        </w:rPr>
        <w:t xml:space="preserve"> </w:t>
      </w:r>
      <w:r>
        <w:t>in</w:t>
      </w:r>
      <w:r>
        <w:rPr>
          <w:spacing w:val="40"/>
        </w:rPr>
        <w:t xml:space="preserve"> </w:t>
      </w:r>
      <w:r>
        <w:t>U</w:t>
      </w:r>
      <w:r>
        <w:rPr>
          <w:vertAlign w:val="subscript"/>
        </w:rPr>
        <w:t>1</w:t>
      </w:r>
      <w:r>
        <w:rPr>
          <w:spacing w:val="40"/>
        </w:rPr>
        <w:t xml:space="preserve"> </w:t>
      </w:r>
      <w:r>
        <w:t>and</w:t>
      </w:r>
      <w:r>
        <w:rPr>
          <w:spacing w:val="40"/>
        </w:rPr>
        <w:t xml:space="preserve"> </w:t>
      </w:r>
      <w:r>
        <w:t>also</w:t>
      </w:r>
      <w:r>
        <w:rPr>
          <w:spacing w:val="40"/>
        </w:rPr>
        <w:t xml:space="preserve"> </w:t>
      </w:r>
      <w:r>
        <w:t>of</w:t>
      </w:r>
      <w:r>
        <w:rPr>
          <w:spacing w:val="40"/>
        </w:rPr>
        <w:t xml:space="preserve"> </w:t>
      </w:r>
      <w:r>
        <w:t>my</w:t>
      </w:r>
      <w:r>
        <w:rPr>
          <w:spacing w:val="40"/>
        </w:rPr>
        <w:t xml:space="preserve"> </w:t>
      </w:r>
      <w:r>
        <w:t>perception</w:t>
      </w:r>
      <w:r>
        <w:rPr>
          <w:spacing w:val="40"/>
        </w:rPr>
        <w:t xml:space="preserve"> </w:t>
      </w:r>
      <w:r>
        <w:t>in</w:t>
      </w:r>
      <w:r>
        <w:rPr>
          <w:spacing w:val="40"/>
        </w:rPr>
        <w:t xml:space="preserve"> </w:t>
      </w:r>
      <w:r>
        <w:t>U</w:t>
      </w:r>
      <w:r>
        <w:rPr>
          <w:vertAlign w:val="subscript"/>
        </w:rPr>
        <w:t>2</w:t>
      </w:r>
      <w:r>
        <w:t>.</w:t>
      </w:r>
      <w:r>
        <w:rPr>
          <w:spacing w:val="40"/>
        </w:rPr>
        <w:t xml:space="preserve"> </w:t>
      </w:r>
      <w:r>
        <w:t>(The</w:t>
      </w:r>
    </w:p>
    <w:p w14:paraId="7E001547" w14:textId="77777777" w:rsidR="009A58DB" w:rsidRDefault="00000000">
      <w:pPr>
        <w:pStyle w:val="BodyText"/>
        <w:spacing w:line="271" w:lineRule="auto"/>
        <w:ind w:right="358"/>
      </w:pPr>
      <w:r>
        <w:t>content of my visual perception in the one world coincides with the content</w:t>
      </w:r>
      <w:r>
        <w:rPr>
          <w:spacing w:val="40"/>
        </w:rPr>
        <w:t xml:space="preserve"> </w:t>
      </w:r>
      <w:r>
        <w:t>of my visual perception in each of the other worlds.) Given that, in W</w:t>
      </w:r>
      <w:r>
        <w:rPr>
          <w:vertAlign w:val="subscript"/>
        </w:rPr>
        <w:t>3</w:t>
      </w:r>
      <w:r>
        <w:t>, it’s my</w:t>
      </w:r>
      <w:r>
        <w:rPr>
          <w:spacing w:val="17"/>
        </w:rPr>
        <w:t xml:space="preserve"> </w:t>
      </w:r>
      <w:r>
        <w:t>belief</w:t>
      </w:r>
      <w:r>
        <w:rPr>
          <w:spacing w:val="17"/>
        </w:rPr>
        <w:t xml:space="preserve"> </w:t>
      </w:r>
      <w:r>
        <w:t>that</w:t>
      </w:r>
      <w:r>
        <w:rPr>
          <w:spacing w:val="18"/>
        </w:rPr>
        <w:t xml:space="preserve"> </w:t>
      </w:r>
      <w:r>
        <w:t>CVR</w:t>
      </w:r>
      <w:r>
        <w:rPr>
          <w:spacing w:val="17"/>
        </w:rPr>
        <w:t xml:space="preserve"> </w:t>
      </w:r>
      <w:r>
        <w:t>is</w:t>
      </w:r>
      <w:r>
        <w:rPr>
          <w:spacing w:val="18"/>
        </w:rPr>
        <w:t xml:space="preserve"> </w:t>
      </w:r>
      <w:r>
        <w:t>true</w:t>
      </w:r>
      <w:r>
        <w:rPr>
          <w:spacing w:val="17"/>
        </w:rPr>
        <w:t xml:space="preserve"> </w:t>
      </w:r>
      <w:r>
        <w:t>that</w:t>
      </w:r>
      <w:r>
        <w:rPr>
          <w:spacing w:val="18"/>
        </w:rPr>
        <w:t xml:space="preserve"> </w:t>
      </w:r>
      <w:r>
        <w:t>leads</w:t>
      </w:r>
      <w:r>
        <w:rPr>
          <w:spacing w:val="17"/>
        </w:rPr>
        <w:t xml:space="preserve"> </w:t>
      </w:r>
      <w:r>
        <w:t>me</w:t>
      </w:r>
      <w:r>
        <w:rPr>
          <w:spacing w:val="18"/>
        </w:rPr>
        <w:t xml:space="preserve"> </w:t>
      </w:r>
      <w:r>
        <w:t>to</w:t>
      </w:r>
      <w:r>
        <w:rPr>
          <w:spacing w:val="17"/>
        </w:rPr>
        <w:t xml:space="preserve"> </w:t>
      </w:r>
      <w:r>
        <w:t>utter</w:t>
      </w:r>
      <w:r>
        <w:rPr>
          <w:spacing w:val="18"/>
        </w:rPr>
        <w:t xml:space="preserve"> </w:t>
      </w:r>
      <w:r>
        <w:t>U</w:t>
      </w:r>
      <w:r>
        <w:rPr>
          <w:vertAlign w:val="subscript"/>
        </w:rPr>
        <w:t>3</w:t>
      </w:r>
      <w:r>
        <w:t>;</w:t>
      </w:r>
      <w:r>
        <w:rPr>
          <w:spacing w:val="16"/>
        </w:rPr>
        <w:t xml:space="preserve"> </w:t>
      </w:r>
      <w:r>
        <w:t>it</w:t>
      </w:r>
      <w:r>
        <w:rPr>
          <w:spacing w:val="16"/>
        </w:rPr>
        <w:t xml:space="preserve"> </w:t>
      </w:r>
      <w:r>
        <w:t>follows</w:t>
      </w:r>
      <w:r>
        <w:rPr>
          <w:spacing w:val="16"/>
        </w:rPr>
        <w:t xml:space="preserve"> </w:t>
      </w:r>
      <w:r>
        <w:t>that</w:t>
      </w:r>
      <w:r>
        <w:rPr>
          <w:spacing w:val="16"/>
        </w:rPr>
        <w:t xml:space="preserve"> </w:t>
      </w:r>
      <w:r>
        <w:t>it</w:t>
      </w:r>
      <w:r>
        <w:rPr>
          <w:spacing w:val="16"/>
        </w:rPr>
        <w:t xml:space="preserve"> </w:t>
      </w:r>
      <w:r>
        <w:t>is</w:t>
      </w:r>
      <w:r>
        <w:rPr>
          <w:spacing w:val="16"/>
        </w:rPr>
        <w:t xml:space="preserve"> </w:t>
      </w:r>
      <w:r>
        <w:t>that</w:t>
      </w:r>
    </w:p>
    <w:p w14:paraId="7E001548" w14:textId="77777777" w:rsidR="009A58DB" w:rsidRDefault="00000000">
      <w:pPr>
        <w:pStyle w:val="BodyText"/>
        <w:spacing w:before="29"/>
      </w:pPr>
      <w:r>
        <w:t>same</w:t>
      </w:r>
      <w:r>
        <w:rPr>
          <w:spacing w:val="-2"/>
        </w:rPr>
        <w:t xml:space="preserve"> </w:t>
      </w:r>
      <w:r>
        <w:t>belief</w:t>
      </w:r>
      <w:r>
        <w:rPr>
          <w:spacing w:val="-1"/>
        </w:rPr>
        <w:t xml:space="preserve"> </w:t>
      </w:r>
      <w:r>
        <w:t>that</w:t>
      </w:r>
      <w:r>
        <w:rPr>
          <w:spacing w:val="-1"/>
        </w:rPr>
        <w:t xml:space="preserve"> </w:t>
      </w:r>
      <w:r>
        <w:t>prompts</w:t>
      </w:r>
      <w:r>
        <w:rPr>
          <w:spacing w:val="-1"/>
        </w:rPr>
        <w:t xml:space="preserve"> </w:t>
      </w:r>
      <w:r>
        <w:t>me</w:t>
      </w:r>
      <w:r>
        <w:rPr>
          <w:spacing w:val="-2"/>
        </w:rPr>
        <w:t xml:space="preserve"> </w:t>
      </w:r>
      <w:r>
        <w:t>to utter</w:t>
      </w:r>
      <w:r>
        <w:rPr>
          <w:spacing w:val="-1"/>
        </w:rPr>
        <w:t xml:space="preserve"> </w:t>
      </w:r>
      <w:r>
        <w:t>U</w:t>
      </w:r>
      <w:r>
        <w:rPr>
          <w:vertAlign w:val="subscript"/>
        </w:rPr>
        <w:t>1</w:t>
      </w:r>
      <w:r>
        <w:t xml:space="preserve"> and also</w:t>
      </w:r>
      <w:r>
        <w:rPr>
          <w:spacing w:val="-1"/>
        </w:rPr>
        <w:t xml:space="preserve"> </w:t>
      </w:r>
      <w:r>
        <w:rPr>
          <w:spacing w:val="-5"/>
        </w:rPr>
        <w:t>U</w:t>
      </w:r>
      <w:r>
        <w:rPr>
          <w:spacing w:val="-5"/>
          <w:vertAlign w:val="subscript"/>
        </w:rPr>
        <w:t>2</w:t>
      </w:r>
      <w:r>
        <w:rPr>
          <w:spacing w:val="-5"/>
        </w:rPr>
        <w:t>.</w:t>
      </w:r>
    </w:p>
    <w:p w14:paraId="7E001549" w14:textId="77777777" w:rsidR="009A58DB" w:rsidRDefault="00000000">
      <w:pPr>
        <w:pStyle w:val="Heading1"/>
        <w:numPr>
          <w:ilvl w:val="1"/>
          <w:numId w:val="145"/>
        </w:numPr>
        <w:tabs>
          <w:tab w:val="left" w:pos="1104"/>
        </w:tabs>
        <w:spacing w:before="263" w:line="244" w:lineRule="auto"/>
        <w:ind w:right="364" w:firstLine="0"/>
        <w:jc w:val="both"/>
      </w:pPr>
      <w:r>
        <w:t>Burge’s failure to distinguish literal meaning from cognitive content</w:t>
      </w:r>
    </w:p>
    <w:p w14:paraId="7E00154A" w14:textId="77777777" w:rsidR="009A58DB" w:rsidRDefault="00000000">
      <w:pPr>
        <w:pStyle w:val="BodyText"/>
        <w:spacing w:before="131" w:line="292" w:lineRule="auto"/>
        <w:ind w:right="363"/>
      </w:pPr>
      <w:r>
        <w:t>U</w:t>
      </w:r>
      <w:r>
        <w:rPr>
          <w:vertAlign w:val="subscript"/>
        </w:rPr>
        <w:t>3</w:t>
      </w:r>
      <w:r>
        <w:t xml:space="preserve"> does indeed have different truth-conditions from each of U</w:t>
      </w:r>
      <w:r>
        <w:rPr>
          <w:vertAlign w:val="subscript"/>
        </w:rPr>
        <w:t>1</w:t>
      </w:r>
      <w:r>
        <w:t xml:space="preserve"> and U</w:t>
      </w:r>
      <w:r>
        <w:rPr>
          <w:vertAlign w:val="subscript"/>
        </w:rPr>
        <w:t>2</w:t>
      </w:r>
      <w:r>
        <w:t>. But it doesn’t follow that the thought underlying U</w:t>
      </w:r>
      <w:r>
        <w:rPr>
          <w:vertAlign w:val="subscript"/>
        </w:rPr>
        <w:t>3</w:t>
      </w:r>
      <w:r>
        <w:t xml:space="preserve"> is different from the thought underlying U</w:t>
      </w:r>
      <w:r>
        <w:rPr>
          <w:vertAlign w:val="subscript"/>
        </w:rPr>
        <w:t>2</w:t>
      </w:r>
      <w:r>
        <w:t>/U</w:t>
      </w:r>
      <w:r>
        <w:rPr>
          <w:vertAlign w:val="subscript"/>
        </w:rPr>
        <w:t>3</w:t>
      </w:r>
      <w:r>
        <w:t>.</w:t>
      </w:r>
    </w:p>
    <w:p w14:paraId="7E00154B" w14:textId="77777777" w:rsidR="009A58DB" w:rsidRDefault="00000000">
      <w:pPr>
        <w:pStyle w:val="BodyText"/>
        <w:spacing w:line="249" w:lineRule="auto"/>
        <w:ind w:right="359" w:firstLine="360"/>
      </w:pPr>
      <w:r>
        <w:t>Not</w:t>
      </w:r>
      <w:r>
        <w:rPr>
          <w:spacing w:val="-2"/>
        </w:rPr>
        <w:t xml:space="preserve"> </w:t>
      </w:r>
      <w:r>
        <w:t>only</w:t>
      </w:r>
      <w:r>
        <w:rPr>
          <w:spacing w:val="-2"/>
        </w:rPr>
        <w:t xml:space="preserve"> </w:t>
      </w:r>
      <w:r>
        <w:t>does</w:t>
      </w:r>
      <w:r>
        <w:rPr>
          <w:spacing w:val="-2"/>
        </w:rPr>
        <w:t xml:space="preserve"> </w:t>
      </w:r>
      <w:r>
        <w:t>it</w:t>
      </w:r>
      <w:r>
        <w:rPr>
          <w:spacing w:val="-2"/>
        </w:rPr>
        <w:t xml:space="preserve"> </w:t>
      </w:r>
      <w:r>
        <w:t>not</w:t>
      </w:r>
      <w:r>
        <w:rPr>
          <w:spacing w:val="-2"/>
        </w:rPr>
        <w:t xml:space="preserve"> </w:t>
      </w:r>
      <w:r>
        <w:t>follow:</w:t>
      </w:r>
      <w:r>
        <w:rPr>
          <w:spacing w:val="-2"/>
        </w:rPr>
        <w:t xml:space="preserve"> </w:t>
      </w:r>
      <w:r>
        <w:t>it</w:t>
      </w:r>
      <w:r>
        <w:rPr>
          <w:spacing w:val="-2"/>
        </w:rPr>
        <w:t xml:space="preserve"> </w:t>
      </w:r>
      <w:r>
        <w:t>isn’t</w:t>
      </w:r>
      <w:r>
        <w:rPr>
          <w:spacing w:val="-2"/>
        </w:rPr>
        <w:t xml:space="preserve"> </w:t>
      </w:r>
      <w:r>
        <w:t>true.</w:t>
      </w:r>
      <w:r>
        <w:rPr>
          <w:spacing w:val="-2"/>
        </w:rPr>
        <w:t xml:space="preserve"> </w:t>
      </w:r>
      <w:r>
        <w:t>What</w:t>
      </w:r>
      <w:r>
        <w:rPr>
          <w:spacing w:val="-2"/>
        </w:rPr>
        <w:t xml:space="preserve"> </w:t>
      </w:r>
      <w:r>
        <w:t>VR</w:t>
      </w:r>
      <w:r>
        <w:rPr>
          <w:spacing w:val="-2"/>
        </w:rPr>
        <w:t xml:space="preserve"> </w:t>
      </w:r>
      <w:r>
        <w:t>is</w:t>
      </w:r>
      <w:r>
        <w:rPr>
          <w:spacing w:val="-2"/>
        </w:rPr>
        <w:t xml:space="preserve"> </w:t>
      </w:r>
      <w:r>
        <w:t>telling</w:t>
      </w:r>
      <w:r>
        <w:rPr>
          <w:spacing w:val="-2"/>
        </w:rPr>
        <w:t xml:space="preserve"> </w:t>
      </w:r>
      <w:r>
        <w:t>me,</w:t>
      </w:r>
      <w:r>
        <w:rPr>
          <w:spacing w:val="-2"/>
        </w:rPr>
        <w:t xml:space="preserve"> </w:t>
      </w:r>
      <w:r>
        <w:t>and</w:t>
      </w:r>
      <w:r>
        <w:rPr>
          <w:spacing w:val="-2"/>
        </w:rPr>
        <w:t xml:space="preserve"> </w:t>
      </w:r>
      <w:r>
        <w:t>what</w:t>
      </w:r>
      <w:r>
        <w:rPr>
          <w:spacing w:val="-2"/>
        </w:rPr>
        <w:t xml:space="preserve"> </w:t>
      </w:r>
      <w:r>
        <w:t>I believe strictly on the basis of it, is CVR. It’s true that I have other beliefs. I believe</w:t>
      </w:r>
      <w:r>
        <w:rPr>
          <w:spacing w:val="-3"/>
        </w:rPr>
        <w:t xml:space="preserve"> </w:t>
      </w:r>
      <w:r>
        <w:t>(incorrectly)</w:t>
      </w:r>
      <w:r>
        <w:rPr>
          <w:spacing w:val="-2"/>
        </w:rPr>
        <w:t xml:space="preserve"> </w:t>
      </w:r>
      <w:r>
        <w:t>that</w:t>
      </w:r>
      <w:r>
        <w:rPr>
          <w:spacing w:val="-2"/>
        </w:rPr>
        <w:t xml:space="preserve"> </w:t>
      </w:r>
      <w:r>
        <w:t>it’s</w:t>
      </w:r>
      <w:r>
        <w:rPr>
          <w:spacing w:val="-2"/>
        </w:rPr>
        <w:t xml:space="preserve"> </w:t>
      </w:r>
      <w:r>
        <w:t>Max</w:t>
      </w:r>
      <w:r>
        <w:rPr>
          <w:spacing w:val="-2"/>
        </w:rPr>
        <w:t xml:space="preserve"> </w:t>
      </w:r>
      <w:r>
        <w:t>I’m</w:t>
      </w:r>
      <w:r>
        <w:rPr>
          <w:spacing w:val="-2"/>
        </w:rPr>
        <w:t xml:space="preserve"> </w:t>
      </w:r>
      <w:r>
        <w:t>seeing.</w:t>
      </w:r>
      <w:r>
        <w:rPr>
          <w:spacing w:val="-2"/>
        </w:rPr>
        <w:t xml:space="preserve"> </w:t>
      </w:r>
      <w:r>
        <w:t>But</w:t>
      </w:r>
      <w:r>
        <w:rPr>
          <w:spacing w:val="-2"/>
        </w:rPr>
        <w:t xml:space="preserve"> </w:t>
      </w:r>
      <w:r>
        <w:t>that</w:t>
      </w:r>
      <w:r>
        <w:rPr>
          <w:spacing w:val="-2"/>
        </w:rPr>
        <w:t xml:space="preserve"> </w:t>
      </w:r>
      <w:r>
        <w:t>belief</w:t>
      </w:r>
      <w:r>
        <w:rPr>
          <w:spacing w:val="-2"/>
        </w:rPr>
        <w:t xml:space="preserve"> </w:t>
      </w:r>
      <w:r>
        <w:t>is</w:t>
      </w:r>
      <w:r>
        <w:rPr>
          <w:spacing w:val="-2"/>
        </w:rPr>
        <w:t xml:space="preserve"> </w:t>
      </w:r>
      <w:r>
        <w:t>a</w:t>
      </w:r>
      <w:r>
        <w:rPr>
          <w:spacing w:val="-2"/>
        </w:rPr>
        <w:t xml:space="preserve"> </w:t>
      </w:r>
      <w:r>
        <w:t>derivative</w:t>
      </w:r>
      <w:r>
        <w:rPr>
          <w:spacing w:val="-2"/>
        </w:rPr>
        <w:t xml:space="preserve"> </w:t>
      </w:r>
      <w:r>
        <w:t>of my</w:t>
      </w:r>
      <w:r>
        <w:rPr>
          <w:spacing w:val="19"/>
        </w:rPr>
        <w:t xml:space="preserve"> </w:t>
      </w:r>
      <w:r>
        <w:t>belief</w:t>
      </w:r>
      <w:r>
        <w:rPr>
          <w:spacing w:val="19"/>
        </w:rPr>
        <w:t xml:space="preserve"> </w:t>
      </w:r>
      <w:r>
        <w:t>that</w:t>
      </w:r>
      <w:r>
        <w:rPr>
          <w:spacing w:val="19"/>
        </w:rPr>
        <w:t xml:space="preserve"> </w:t>
      </w:r>
      <w:r>
        <w:t>CVR</w:t>
      </w:r>
      <w:r>
        <w:rPr>
          <w:spacing w:val="19"/>
        </w:rPr>
        <w:t xml:space="preserve"> </w:t>
      </w:r>
      <w:r>
        <w:t>is</w:t>
      </w:r>
      <w:r>
        <w:rPr>
          <w:spacing w:val="19"/>
        </w:rPr>
        <w:t xml:space="preserve"> </w:t>
      </w:r>
      <w:r>
        <w:t>true.</w:t>
      </w:r>
      <w:r>
        <w:rPr>
          <w:spacing w:val="19"/>
        </w:rPr>
        <w:t xml:space="preserve"> </w:t>
      </w:r>
      <w:r>
        <w:t>And</w:t>
      </w:r>
      <w:r>
        <w:rPr>
          <w:spacing w:val="19"/>
        </w:rPr>
        <w:t xml:space="preserve"> </w:t>
      </w:r>
      <w:r>
        <w:t>the</w:t>
      </w:r>
      <w:r>
        <w:rPr>
          <w:spacing w:val="19"/>
        </w:rPr>
        <w:t xml:space="preserve"> </w:t>
      </w:r>
      <w:r>
        <w:t>belief</w:t>
      </w:r>
      <w:r>
        <w:rPr>
          <w:spacing w:val="19"/>
        </w:rPr>
        <w:t xml:space="preserve"> </w:t>
      </w:r>
      <w:r>
        <w:t>that</w:t>
      </w:r>
      <w:r>
        <w:rPr>
          <w:spacing w:val="19"/>
        </w:rPr>
        <w:t xml:space="preserve"> </w:t>
      </w:r>
      <w:r>
        <w:t>prompts</w:t>
      </w:r>
      <w:r>
        <w:rPr>
          <w:spacing w:val="19"/>
        </w:rPr>
        <w:t xml:space="preserve"> </w:t>
      </w:r>
      <w:r>
        <w:t>me</w:t>
      </w:r>
      <w:r>
        <w:rPr>
          <w:spacing w:val="19"/>
        </w:rPr>
        <w:t xml:space="preserve"> </w:t>
      </w:r>
      <w:r>
        <w:t>to</w:t>
      </w:r>
      <w:r>
        <w:rPr>
          <w:spacing w:val="19"/>
        </w:rPr>
        <w:t xml:space="preserve"> </w:t>
      </w:r>
      <w:r>
        <w:t>utter</w:t>
      </w:r>
      <w:r>
        <w:rPr>
          <w:spacing w:val="19"/>
        </w:rPr>
        <w:t xml:space="preserve"> </w:t>
      </w:r>
      <w:r>
        <w:t>U</w:t>
      </w:r>
      <w:r>
        <w:rPr>
          <w:vertAlign w:val="subscript"/>
        </w:rPr>
        <w:t>3</w:t>
      </w:r>
      <w:r>
        <w:t>—the</w:t>
      </w:r>
    </w:p>
    <w:p w14:paraId="7E00154C" w14:textId="77777777" w:rsidR="009A58DB" w:rsidRDefault="00000000">
      <w:pPr>
        <w:pStyle w:val="BodyText"/>
        <w:spacing w:before="63" w:line="249" w:lineRule="auto"/>
        <w:ind w:right="359"/>
      </w:pPr>
      <w:r>
        <w:t>belief I’m expressing—is true, it being irrelevant who or what the plaid-shirt wearer turns out to be.</w:t>
      </w:r>
    </w:p>
    <w:p w14:paraId="7E00154D" w14:textId="77777777" w:rsidR="009A58DB" w:rsidRDefault="00000000">
      <w:pPr>
        <w:pStyle w:val="BodyText"/>
        <w:spacing w:before="2" w:line="271" w:lineRule="auto"/>
        <w:ind w:right="369" w:firstLine="360"/>
      </w:pPr>
      <w:r>
        <w:t>An extension of our story about W</w:t>
      </w:r>
      <w:r>
        <w:rPr>
          <w:vertAlign w:val="subscript"/>
        </w:rPr>
        <w:t>3</w:t>
      </w:r>
      <w:r>
        <w:t xml:space="preserve"> makes this clear. In plain view of</w:t>
      </w:r>
      <w:r>
        <w:rPr>
          <w:spacing w:val="40"/>
        </w:rPr>
        <w:t xml:space="preserve"> </w:t>
      </w:r>
      <w:r>
        <w:t>Sally and myself, this entity takes its face-plate off, revealing a complex web of</w:t>
      </w:r>
      <w:r>
        <w:rPr>
          <w:spacing w:val="44"/>
        </w:rPr>
        <w:t xml:space="preserve"> </w:t>
      </w:r>
      <w:r>
        <w:t>circuitry,</w:t>
      </w:r>
      <w:r>
        <w:rPr>
          <w:spacing w:val="47"/>
        </w:rPr>
        <w:t xml:space="preserve"> </w:t>
      </w:r>
      <w:r>
        <w:t>as</w:t>
      </w:r>
      <w:r>
        <w:rPr>
          <w:spacing w:val="47"/>
        </w:rPr>
        <w:t xml:space="preserve"> </w:t>
      </w:r>
      <w:r>
        <w:t>opposed</w:t>
      </w:r>
      <w:r>
        <w:rPr>
          <w:spacing w:val="47"/>
        </w:rPr>
        <w:t xml:space="preserve"> </w:t>
      </w:r>
      <w:r>
        <w:t>to</w:t>
      </w:r>
      <w:r>
        <w:rPr>
          <w:spacing w:val="47"/>
        </w:rPr>
        <w:t xml:space="preserve"> </w:t>
      </w:r>
      <w:r>
        <w:t>various</w:t>
      </w:r>
      <w:r>
        <w:rPr>
          <w:spacing w:val="47"/>
        </w:rPr>
        <w:t xml:space="preserve"> </w:t>
      </w:r>
      <w:r>
        <w:t>organic</w:t>
      </w:r>
      <w:r>
        <w:rPr>
          <w:spacing w:val="46"/>
        </w:rPr>
        <w:t xml:space="preserve"> </w:t>
      </w:r>
      <w:r>
        <w:t>tissues.</w:t>
      </w:r>
      <w:r>
        <w:rPr>
          <w:spacing w:val="47"/>
        </w:rPr>
        <w:t xml:space="preserve"> </w:t>
      </w:r>
      <w:r>
        <w:t>I</w:t>
      </w:r>
      <w:r>
        <w:rPr>
          <w:spacing w:val="47"/>
        </w:rPr>
        <w:t xml:space="preserve"> </w:t>
      </w:r>
      <w:r>
        <w:t>now</w:t>
      </w:r>
      <w:r>
        <w:rPr>
          <w:spacing w:val="47"/>
        </w:rPr>
        <w:t xml:space="preserve"> </w:t>
      </w:r>
      <w:r>
        <w:t>know</w:t>
      </w:r>
      <w:r>
        <w:rPr>
          <w:spacing w:val="47"/>
        </w:rPr>
        <w:t xml:space="preserve"> </w:t>
      </w:r>
      <w:r>
        <w:t>that</w:t>
      </w:r>
      <w:r>
        <w:rPr>
          <w:spacing w:val="47"/>
        </w:rPr>
        <w:t xml:space="preserve"> </w:t>
      </w:r>
      <w:r>
        <w:t>it’s</w:t>
      </w:r>
      <w:r>
        <w:rPr>
          <w:spacing w:val="47"/>
        </w:rPr>
        <w:t xml:space="preserve"> </w:t>
      </w:r>
      <w:r>
        <w:rPr>
          <w:spacing w:val="-10"/>
        </w:rPr>
        <w:t>a</w:t>
      </w:r>
    </w:p>
    <w:p w14:paraId="7E00154E" w14:textId="77777777" w:rsidR="009A58DB" w:rsidRDefault="00000000">
      <w:pPr>
        <w:pStyle w:val="BodyText"/>
        <w:spacing w:line="316" w:lineRule="exact"/>
      </w:pPr>
      <w:r>
        <w:t>robot,</w:t>
      </w:r>
      <w:r>
        <w:rPr>
          <w:spacing w:val="34"/>
        </w:rPr>
        <w:t xml:space="preserve"> </w:t>
      </w:r>
      <w:r>
        <w:t>and,</w:t>
      </w:r>
      <w:r>
        <w:rPr>
          <w:spacing w:val="35"/>
        </w:rPr>
        <w:t xml:space="preserve"> </w:t>
      </w:r>
      <w:r>
        <w:t>given</w:t>
      </w:r>
      <w:r>
        <w:rPr>
          <w:spacing w:val="35"/>
        </w:rPr>
        <w:t xml:space="preserve"> </w:t>
      </w:r>
      <w:r>
        <w:t>my</w:t>
      </w:r>
      <w:r>
        <w:rPr>
          <w:spacing w:val="34"/>
        </w:rPr>
        <w:t xml:space="preserve"> </w:t>
      </w:r>
      <w:r>
        <w:t>pre-existing</w:t>
      </w:r>
      <w:r>
        <w:rPr>
          <w:spacing w:val="35"/>
        </w:rPr>
        <w:t xml:space="preserve"> </w:t>
      </w:r>
      <w:r>
        <w:t>knowledge</w:t>
      </w:r>
      <w:r>
        <w:rPr>
          <w:spacing w:val="35"/>
        </w:rPr>
        <w:t xml:space="preserve"> </w:t>
      </w:r>
      <w:r>
        <w:t>that</w:t>
      </w:r>
      <w:r>
        <w:rPr>
          <w:spacing w:val="34"/>
        </w:rPr>
        <w:t xml:space="preserve"> </w:t>
      </w:r>
      <w:r>
        <w:t>Max</w:t>
      </w:r>
      <w:r>
        <w:rPr>
          <w:spacing w:val="35"/>
        </w:rPr>
        <w:t xml:space="preserve"> </w:t>
      </w:r>
      <w:r>
        <w:t>isn’t</w:t>
      </w:r>
      <w:r>
        <w:rPr>
          <w:spacing w:val="35"/>
        </w:rPr>
        <w:t xml:space="preserve"> </w:t>
      </w:r>
      <w:r>
        <w:t>a</w:t>
      </w:r>
      <w:r>
        <w:rPr>
          <w:spacing w:val="34"/>
        </w:rPr>
        <w:t xml:space="preserve"> </w:t>
      </w:r>
      <w:r>
        <w:t>robot,</w:t>
      </w:r>
      <w:r>
        <w:rPr>
          <w:spacing w:val="35"/>
        </w:rPr>
        <w:t xml:space="preserve"> </w:t>
      </w:r>
      <w:r>
        <w:t>that</w:t>
      </w:r>
      <w:r>
        <w:rPr>
          <w:spacing w:val="35"/>
        </w:rPr>
        <w:t xml:space="preserve"> </w:t>
      </w:r>
      <w:r>
        <w:rPr>
          <w:spacing w:val="-5"/>
        </w:rPr>
        <w:t>it</w:t>
      </w:r>
    </w:p>
    <w:p w14:paraId="7E00154F" w14:textId="77777777" w:rsidR="009A58DB" w:rsidRDefault="00000000">
      <w:pPr>
        <w:pStyle w:val="BodyText"/>
        <w:spacing w:before="15"/>
      </w:pPr>
      <w:r>
        <w:t>therefore</w:t>
      </w:r>
      <w:r>
        <w:rPr>
          <w:spacing w:val="-2"/>
        </w:rPr>
        <w:t xml:space="preserve"> </w:t>
      </w:r>
      <w:r>
        <w:t>isn’t Max. Now</w:t>
      </w:r>
      <w:r>
        <w:rPr>
          <w:spacing w:val="1"/>
        </w:rPr>
        <w:t xml:space="preserve"> </w:t>
      </w:r>
      <w:r>
        <w:t>that I know that</w:t>
      </w:r>
      <w:r>
        <w:rPr>
          <w:spacing w:val="1"/>
        </w:rPr>
        <w:t xml:space="preserve"> </w:t>
      </w:r>
      <w:r>
        <w:t>it was a robot</w:t>
      </w:r>
      <w:r>
        <w:rPr>
          <w:spacing w:val="1"/>
        </w:rPr>
        <w:t xml:space="preserve"> </w:t>
      </w:r>
      <w:r>
        <w:t>that I was seeing,</w:t>
      </w:r>
      <w:r>
        <w:rPr>
          <w:spacing w:val="1"/>
        </w:rPr>
        <w:t xml:space="preserve"> </w:t>
      </w:r>
      <w:r>
        <w:rPr>
          <w:spacing w:val="-7"/>
        </w:rPr>
        <w:t>am</w:t>
      </w:r>
    </w:p>
    <w:p w14:paraId="7E001550" w14:textId="77777777" w:rsidR="009A58DB" w:rsidRDefault="009A58DB">
      <w:pPr>
        <w:pStyle w:val="BodyText"/>
        <w:sectPr w:rsidR="009A58DB">
          <w:pgSz w:w="12240" w:h="15840"/>
          <w:pgMar w:top="1740" w:right="1080" w:bottom="280" w:left="1080" w:header="720" w:footer="720" w:gutter="0"/>
          <w:cols w:space="720"/>
        </w:sectPr>
      </w:pPr>
    </w:p>
    <w:p w14:paraId="7E001551" w14:textId="77777777" w:rsidR="009A58DB" w:rsidRDefault="00000000">
      <w:pPr>
        <w:pStyle w:val="BodyText"/>
        <w:spacing w:before="60" w:line="271" w:lineRule="auto"/>
        <w:ind w:right="361"/>
      </w:pPr>
      <w:r>
        <w:lastRenderedPageBreak/>
        <w:t>I to conclude that the belief embodied in U</w:t>
      </w:r>
      <w:r>
        <w:rPr>
          <w:vertAlign w:val="subscript"/>
        </w:rPr>
        <w:t>3</w:t>
      </w:r>
      <w:r>
        <w:t xml:space="preserve"> is wrong? No. If I look at what is in fact a green car and say “that car is green,” what I’m saying is correct and the</w:t>
      </w:r>
      <w:r>
        <w:rPr>
          <w:spacing w:val="8"/>
        </w:rPr>
        <w:t xml:space="preserve"> </w:t>
      </w:r>
      <w:r>
        <w:t>belief</w:t>
      </w:r>
      <w:r>
        <w:rPr>
          <w:spacing w:val="10"/>
        </w:rPr>
        <w:t xml:space="preserve"> </w:t>
      </w:r>
      <w:r>
        <w:t>embodied</w:t>
      </w:r>
      <w:r>
        <w:rPr>
          <w:spacing w:val="11"/>
        </w:rPr>
        <w:t xml:space="preserve"> </w:t>
      </w:r>
      <w:r>
        <w:t>in</w:t>
      </w:r>
      <w:r>
        <w:rPr>
          <w:spacing w:val="10"/>
        </w:rPr>
        <w:t xml:space="preserve"> </w:t>
      </w:r>
      <w:r>
        <w:t>that</w:t>
      </w:r>
      <w:r>
        <w:rPr>
          <w:spacing w:val="11"/>
        </w:rPr>
        <w:t xml:space="preserve"> </w:t>
      </w:r>
      <w:r>
        <w:t>utterance</w:t>
      </w:r>
      <w:r>
        <w:rPr>
          <w:spacing w:val="10"/>
        </w:rPr>
        <w:t xml:space="preserve"> </w:t>
      </w:r>
      <w:r>
        <w:t>is</w:t>
      </w:r>
      <w:r>
        <w:rPr>
          <w:spacing w:val="11"/>
        </w:rPr>
        <w:t xml:space="preserve"> </w:t>
      </w:r>
      <w:r>
        <w:t>correct,</w:t>
      </w:r>
      <w:r>
        <w:rPr>
          <w:spacing w:val="10"/>
        </w:rPr>
        <w:t xml:space="preserve"> </w:t>
      </w:r>
      <w:r>
        <w:t>even</w:t>
      </w:r>
      <w:r>
        <w:rPr>
          <w:spacing w:val="11"/>
        </w:rPr>
        <w:t xml:space="preserve"> </w:t>
      </w:r>
      <w:r>
        <w:t>though</w:t>
      </w:r>
      <w:r>
        <w:rPr>
          <w:spacing w:val="10"/>
        </w:rPr>
        <w:t xml:space="preserve"> </w:t>
      </w:r>
      <w:r>
        <w:t>I</w:t>
      </w:r>
      <w:r>
        <w:rPr>
          <w:spacing w:val="11"/>
        </w:rPr>
        <w:t xml:space="preserve"> </w:t>
      </w:r>
      <w:r>
        <w:t>also</w:t>
      </w:r>
      <w:r>
        <w:rPr>
          <w:spacing w:val="10"/>
        </w:rPr>
        <w:t xml:space="preserve"> </w:t>
      </w:r>
      <w:r>
        <w:t>happen</w:t>
      </w:r>
      <w:r>
        <w:rPr>
          <w:spacing w:val="12"/>
        </w:rPr>
        <w:t xml:space="preserve"> </w:t>
      </w:r>
      <w:r>
        <w:rPr>
          <w:spacing w:val="-5"/>
        </w:rPr>
        <w:t>to</w:t>
      </w:r>
    </w:p>
    <w:p w14:paraId="7E001552" w14:textId="77777777" w:rsidR="009A58DB" w:rsidRDefault="00000000">
      <w:pPr>
        <w:pStyle w:val="BodyText"/>
        <w:spacing w:line="316" w:lineRule="exact"/>
      </w:pPr>
      <w:r>
        <w:t>have</w:t>
      </w:r>
      <w:r>
        <w:rPr>
          <w:spacing w:val="7"/>
        </w:rPr>
        <w:t xml:space="preserve"> </w:t>
      </w:r>
      <w:r>
        <w:t>the</w:t>
      </w:r>
      <w:r>
        <w:rPr>
          <w:spacing w:val="8"/>
        </w:rPr>
        <w:t xml:space="preserve"> </w:t>
      </w:r>
      <w:r>
        <w:t>false</w:t>
      </w:r>
      <w:r>
        <w:rPr>
          <w:spacing w:val="8"/>
        </w:rPr>
        <w:t xml:space="preserve"> </w:t>
      </w:r>
      <w:r>
        <w:t>belief</w:t>
      </w:r>
      <w:r>
        <w:rPr>
          <w:spacing w:val="8"/>
        </w:rPr>
        <w:t xml:space="preserve"> </w:t>
      </w:r>
      <w:r>
        <w:t>that</w:t>
      </w:r>
      <w:r>
        <w:rPr>
          <w:spacing w:val="8"/>
        </w:rPr>
        <w:t xml:space="preserve"> </w:t>
      </w:r>
      <w:r>
        <w:t>the</w:t>
      </w:r>
      <w:r>
        <w:rPr>
          <w:spacing w:val="8"/>
        </w:rPr>
        <w:t xml:space="preserve"> </w:t>
      </w:r>
      <w:r>
        <w:t>car</w:t>
      </w:r>
      <w:r>
        <w:rPr>
          <w:spacing w:val="8"/>
        </w:rPr>
        <w:t xml:space="preserve"> </w:t>
      </w:r>
      <w:r>
        <w:t>belongs</w:t>
      </w:r>
      <w:r>
        <w:rPr>
          <w:spacing w:val="8"/>
        </w:rPr>
        <w:t xml:space="preserve"> </w:t>
      </w:r>
      <w:r>
        <w:t>to</w:t>
      </w:r>
      <w:r>
        <w:rPr>
          <w:spacing w:val="8"/>
        </w:rPr>
        <w:t xml:space="preserve"> </w:t>
      </w:r>
      <w:r>
        <w:t>Smith</w:t>
      </w:r>
      <w:r>
        <w:rPr>
          <w:spacing w:val="9"/>
        </w:rPr>
        <w:t xml:space="preserve"> </w:t>
      </w:r>
      <w:r>
        <w:t>when,</w:t>
      </w:r>
      <w:r>
        <w:rPr>
          <w:spacing w:val="9"/>
        </w:rPr>
        <w:t xml:space="preserve"> </w:t>
      </w:r>
      <w:r>
        <w:t>in</w:t>
      </w:r>
      <w:r>
        <w:rPr>
          <w:spacing w:val="9"/>
        </w:rPr>
        <w:t xml:space="preserve"> </w:t>
      </w:r>
      <w:r>
        <w:t>fact,</w:t>
      </w:r>
      <w:r>
        <w:rPr>
          <w:spacing w:val="9"/>
        </w:rPr>
        <w:t xml:space="preserve"> </w:t>
      </w:r>
      <w:r>
        <w:t>it</w:t>
      </w:r>
      <w:r>
        <w:rPr>
          <w:spacing w:val="8"/>
        </w:rPr>
        <w:t xml:space="preserve"> </w:t>
      </w:r>
      <w:r>
        <w:t>belongs</w:t>
      </w:r>
      <w:r>
        <w:rPr>
          <w:spacing w:val="8"/>
        </w:rPr>
        <w:t xml:space="preserve"> </w:t>
      </w:r>
      <w:r>
        <w:rPr>
          <w:spacing w:val="-5"/>
        </w:rPr>
        <w:t>to</w:t>
      </w:r>
    </w:p>
    <w:p w14:paraId="7E001553" w14:textId="77777777" w:rsidR="009A58DB" w:rsidRDefault="00000000">
      <w:pPr>
        <w:pStyle w:val="BodyText"/>
        <w:spacing w:before="15"/>
        <w:jc w:val="left"/>
      </w:pPr>
      <w:r>
        <w:rPr>
          <w:spacing w:val="-2"/>
        </w:rPr>
        <w:t>Jones.</w:t>
      </w:r>
    </w:p>
    <w:p w14:paraId="7E001554" w14:textId="77777777" w:rsidR="009A58DB" w:rsidRDefault="00000000">
      <w:pPr>
        <w:pStyle w:val="BodyText"/>
        <w:spacing w:before="20" w:line="249" w:lineRule="auto"/>
        <w:ind w:right="358" w:firstLine="360"/>
      </w:pPr>
      <w:r>
        <w:t>Nor am I to conclude that VR wasn’t veridical. VR was high-resolution and veridical. The problem had to do with the fact that, in having VR, the thing I was accurately seeing, though not identical with Max, looked just like him, and with the consequent fact that, on the basis of my correct belief in CVR, I erroneously assumed that it was Max I was seeing.</w:t>
      </w:r>
    </w:p>
    <w:p w14:paraId="7E001555" w14:textId="77777777" w:rsidR="009A58DB" w:rsidRDefault="00000000">
      <w:pPr>
        <w:pStyle w:val="Heading1"/>
        <w:numPr>
          <w:ilvl w:val="2"/>
          <w:numId w:val="145"/>
        </w:numPr>
        <w:tabs>
          <w:tab w:val="left" w:pos="1367"/>
        </w:tabs>
        <w:spacing w:before="194" w:line="244" w:lineRule="auto"/>
        <w:ind w:right="364" w:firstLine="0"/>
      </w:pPr>
      <w:r>
        <w:t>Burge’s</w:t>
      </w:r>
      <w:r>
        <w:rPr>
          <w:spacing w:val="40"/>
        </w:rPr>
        <w:t xml:space="preserve"> </w:t>
      </w:r>
      <w:r>
        <w:t>failure</w:t>
      </w:r>
      <w:r>
        <w:rPr>
          <w:spacing w:val="40"/>
        </w:rPr>
        <w:t xml:space="preserve"> </w:t>
      </w:r>
      <w:r>
        <w:t>to</w:t>
      </w:r>
      <w:r>
        <w:rPr>
          <w:spacing w:val="40"/>
        </w:rPr>
        <w:t xml:space="preserve"> </w:t>
      </w:r>
      <w:r>
        <w:t>distinguish</w:t>
      </w:r>
      <w:r>
        <w:rPr>
          <w:spacing w:val="40"/>
        </w:rPr>
        <w:t xml:space="preserve"> </w:t>
      </w:r>
      <w:r>
        <w:t>literal</w:t>
      </w:r>
      <w:r>
        <w:rPr>
          <w:spacing w:val="40"/>
        </w:rPr>
        <w:t xml:space="preserve"> </w:t>
      </w:r>
      <w:r>
        <w:t>meaning from cognitive content (continued)</w:t>
      </w:r>
    </w:p>
    <w:p w14:paraId="7E001556" w14:textId="77777777" w:rsidR="009A58DB" w:rsidRDefault="00000000">
      <w:pPr>
        <w:pStyle w:val="BodyText"/>
        <w:spacing w:before="132" w:line="249" w:lineRule="auto"/>
        <w:ind w:right="363"/>
      </w:pPr>
      <w:r>
        <w:t>To clarify and substantiate the points just made, let’s modify what we said about the events taking place in W</w:t>
      </w:r>
      <w:r>
        <w:rPr>
          <w:vertAlign w:val="subscript"/>
        </w:rPr>
        <w:t>2</w:t>
      </w:r>
      <w:r>
        <w:t>.</w:t>
      </w:r>
    </w:p>
    <w:p w14:paraId="7E001557" w14:textId="77777777" w:rsidR="009A58DB" w:rsidRDefault="00000000">
      <w:pPr>
        <w:pStyle w:val="BodyText"/>
        <w:spacing w:before="62" w:line="249" w:lineRule="auto"/>
        <w:ind w:right="362" w:firstLine="360"/>
      </w:pPr>
      <w:r>
        <w:t>You and I are both looking at Gary. (We both have good vision.) I happen to know that the thing we’re seeing really is Gary. I have pre-existing knowledge to the effect that nothing other than Gary looks quite like Gary.</w:t>
      </w:r>
    </w:p>
    <w:p w14:paraId="7E001558" w14:textId="77777777" w:rsidR="009A58DB" w:rsidRDefault="00000000">
      <w:pPr>
        <w:pStyle w:val="BodyText"/>
        <w:spacing w:before="4" w:line="249" w:lineRule="auto"/>
        <w:ind w:left="720" w:right="370"/>
      </w:pPr>
      <w:r>
        <w:t>VG is my visual perception of Gary. From an experiential standpoint, VG is completely indistinguishable</w:t>
      </w:r>
    </w:p>
    <w:p w14:paraId="7E001559" w14:textId="77777777" w:rsidR="009A58DB" w:rsidRDefault="00000000">
      <w:pPr>
        <w:pStyle w:val="BodyText"/>
        <w:spacing w:before="2" w:line="292" w:lineRule="auto"/>
        <w:ind w:right="368"/>
      </w:pPr>
      <w:r>
        <w:t>from the perception that, in W</w:t>
      </w:r>
      <w:r>
        <w:rPr>
          <w:vertAlign w:val="subscript"/>
        </w:rPr>
        <w:t>1</w:t>
      </w:r>
      <w:r>
        <w:t>, prompted me to utter U</w:t>
      </w:r>
      <w:r>
        <w:rPr>
          <w:vertAlign w:val="subscript"/>
        </w:rPr>
        <w:t>1</w:t>
      </w:r>
      <w:r>
        <w:t xml:space="preserve"> and also from the perception that, in W</w:t>
      </w:r>
      <w:r>
        <w:rPr>
          <w:vertAlign w:val="subscript"/>
        </w:rPr>
        <w:t>3</w:t>
      </w:r>
      <w:r>
        <w:t>, prompted me to utter U</w:t>
      </w:r>
      <w:r>
        <w:rPr>
          <w:vertAlign w:val="subscript"/>
        </w:rPr>
        <w:t>3</w:t>
      </w:r>
      <w:r>
        <w:t>. VG is the perception that prompts me to utter U</w:t>
      </w:r>
      <w:r>
        <w:rPr>
          <w:vertAlign w:val="subscript"/>
        </w:rPr>
        <w:t>2</w:t>
      </w:r>
      <w:r>
        <w:t>.</w:t>
      </w:r>
    </w:p>
    <w:p w14:paraId="7E00155A" w14:textId="77777777" w:rsidR="009A58DB" w:rsidRDefault="00000000">
      <w:pPr>
        <w:pStyle w:val="BodyText"/>
        <w:spacing w:line="249" w:lineRule="auto"/>
        <w:ind w:right="360" w:firstLine="360"/>
      </w:pPr>
      <w:r>
        <w:t>It follows that from a purely experiential standpoint VG is completely indistinguishable from VM and also from VR. It also follows that the belief embodied</w:t>
      </w:r>
      <w:r>
        <w:rPr>
          <w:spacing w:val="30"/>
        </w:rPr>
        <w:t xml:space="preserve"> </w:t>
      </w:r>
      <w:r>
        <w:t>in</w:t>
      </w:r>
      <w:r>
        <w:rPr>
          <w:spacing w:val="31"/>
        </w:rPr>
        <w:t xml:space="preserve"> </w:t>
      </w:r>
      <w:r>
        <w:t>U</w:t>
      </w:r>
      <w:r>
        <w:rPr>
          <w:vertAlign w:val="subscript"/>
        </w:rPr>
        <w:t>2</w:t>
      </w:r>
      <w:r>
        <w:rPr>
          <w:spacing w:val="31"/>
        </w:rPr>
        <w:t xml:space="preserve"> </w:t>
      </w:r>
      <w:r>
        <w:t>is</w:t>
      </w:r>
      <w:r>
        <w:rPr>
          <w:spacing w:val="32"/>
        </w:rPr>
        <w:t xml:space="preserve"> </w:t>
      </w:r>
      <w:r>
        <w:t>identical</w:t>
      </w:r>
      <w:r>
        <w:rPr>
          <w:spacing w:val="31"/>
        </w:rPr>
        <w:t xml:space="preserve"> </w:t>
      </w:r>
      <w:r>
        <w:t>with</w:t>
      </w:r>
      <w:r>
        <w:rPr>
          <w:spacing w:val="32"/>
        </w:rPr>
        <w:t xml:space="preserve"> </w:t>
      </w:r>
      <w:r>
        <w:t>the</w:t>
      </w:r>
      <w:r>
        <w:rPr>
          <w:spacing w:val="31"/>
        </w:rPr>
        <w:t xml:space="preserve"> </w:t>
      </w:r>
      <w:r>
        <w:t>belief</w:t>
      </w:r>
      <w:r>
        <w:rPr>
          <w:spacing w:val="32"/>
        </w:rPr>
        <w:t xml:space="preserve"> </w:t>
      </w:r>
      <w:r>
        <w:t>embodied</w:t>
      </w:r>
      <w:r>
        <w:rPr>
          <w:spacing w:val="32"/>
        </w:rPr>
        <w:t xml:space="preserve"> </w:t>
      </w:r>
      <w:r>
        <w:t>in</w:t>
      </w:r>
      <w:r>
        <w:rPr>
          <w:spacing w:val="31"/>
        </w:rPr>
        <w:t xml:space="preserve"> </w:t>
      </w:r>
      <w:r>
        <w:t>U</w:t>
      </w:r>
      <w:r>
        <w:rPr>
          <w:vertAlign w:val="subscript"/>
        </w:rPr>
        <w:t>1</w:t>
      </w:r>
      <w:r>
        <w:rPr>
          <w:spacing w:val="34"/>
        </w:rPr>
        <w:t xml:space="preserve"> </w:t>
      </w:r>
      <w:r>
        <w:t>and</w:t>
      </w:r>
      <w:r>
        <w:rPr>
          <w:spacing w:val="33"/>
        </w:rPr>
        <w:t xml:space="preserve"> </w:t>
      </w:r>
      <w:r>
        <w:t>also</w:t>
      </w:r>
      <w:r>
        <w:rPr>
          <w:spacing w:val="34"/>
        </w:rPr>
        <w:t xml:space="preserve"> </w:t>
      </w:r>
      <w:r>
        <w:t>in</w:t>
      </w:r>
      <w:r>
        <w:rPr>
          <w:spacing w:val="33"/>
        </w:rPr>
        <w:t xml:space="preserve"> </w:t>
      </w:r>
      <w:r>
        <w:rPr>
          <w:spacing w:val="-5"/>
        </w:rPr>
        <w:t>U</w:t>
      </w:r>
      <w:r>
        <w:rPr>
          <w:spacing w:val="-5"/>
          <w:vertAlign w:val="subscript"/>
        </w:rPr>
        <w:t>3</w:t>
      </w:r>
      <w:r>
        <w:rPr>
          <w:spacing w:val="-5"/>
        </w:rPr>
        <w:t>.</w:t>
      </w:r>
    </w:p>
    <w:p w14:paraId="7E00155B" w14:textId="77777777" w:rsidR="009A58DB" w:rsidRDefault="00000000">
      <w:pPr>
        <w:pStyle w:val="BodyText"/>
        <w:spacing w:before="61" w:line="292" w:lineRule="auto"/>
        <w:ind w:right="359"/>
      </w:pPr>
      <w:r>
        <w:t>U</w:t>
      </w:r>
      <w:r>
        <w:rPr>
          <w:vertAlign w:val="subscript"/>
        </w:rPr>
        <w:t>1</w:t>
      </w:r>
      <w:r>
        <w:t>–U</w:t>
      </w:r>
      <w:r>
        <w:rPr>
          <w:vertAlign w:val="subscript"/>
        </w:rPr>
        <w:t>3</w:t>
      </w:r>
      <w:r>
        <w:t xml:space="preserve"> all express the same belief. So CVR is the belief embodied in each of these three utterances.</w:t>
      </w:r>
    </w:p>
    <w:p w14:paraId="7E00155C" w14:textId="77777777" w:rsidR="009A58DB" w:rsidRDefault="00000000">
      <w:pPr>
        <w:pStyle w:val="BodyText"/>
        <w:spacing w:line="283" w:lineRule="exact"/>
        <w:ind w:left="720"/>
      </w:pPr>
      <w:r>
        <w:t>Although</w:t>
      </w:r>
      <w:r>
        <w:rPr>
          <w:spacing w:val="-2"/>
        </w:rPr>
        <w:t xml:space="preserve"> </w:t>
      </w:r>
      <w:r>
        <w:t>I</w:t>
      </w:r>
      <w:r>
        <w:rPr>
          <w:spacing w:val="-1"/>
        </w:rPr>
        <w:t xml:space="preserve"> </w:t>
      </w:r>
      <w:r>
        <w:t>know</w:t>
      </w:r>
      <w:r>
        <w:rPr>
          <w:spacing w:val="-2"/>
        </w:rPr>
        <w:t xml:space="preserve"> </w:t>
      </w:r>
      <w:r>
        <w:t>that</w:t>
      </w:r>
      <w:r>
        <w:rPr>
          <w:spacing w:val="-1"/>
        </w:rPr>
        <w:t xml:space="preserve"> </w:t>
      </w:r>
      <w:r>
        <w:t>it’s</w:t>
      </w:r>
      <w:r>
        <w:rPr>
          <w:spacing w:val="-1"/>
        </w:rPr>
        <w:t xml:space="preserve"> </w:t>
      </w:r>
      <w:r>
        <w:t>Gary</w:t>
      </w:r>
      <w:r>
        <w:rPr>
          <w:spacing w:val="-2"/>
        </w:rPr>
        <w:t xml:space="preserve"> </w:t>
      </w:r>
      <w:r>
        <w:t>I’m</w:t>
      </w:r>
      <w:r>
        <w:rPr>
          <w:spacing w:val="-1"/>
        </w:rPr>
        <w:t xml:space="preserve"> </w:t>
      </w:r>
      <w:r>
        <w:t>seeing,</w:t>
      </w:r>
      <w:r>
        <w:rPr>
          <w:spacing w:val="-2"/>
        </w:rPr>
        <w:t xml:space="preserve"> </w:t>
      </w:r>
      <w:r>
        <w:t>VG</w:t>
      </w:r>
      <w:r>
        <w:rPr>
          <w:spacing w:val="-1"/>
        </w:rPr>
        <w:t xml:space="preserve"> </w:t>
      </w:r>
      <w:r>
        <w:rPr>
          <w:i/>
        </w:rPr>
        <w:t>itself</w:t>
      </w:r>
      <w:r>
        <w:rPr>
          <w:i/>
          <w:spacing w:val="-3"/>
        </w:rPr>
        <w:t xml:space="preserve"> </w:t>
      </w:r>
      <w:r>
        <w:t>obviously</w:t>
      </w:r>
      <w:r>
        <w:rPr>
          <w:spacing w:val="4"/>
        </w:rPr>
        <w:t xml:space="preserve"> </w:t>
      </w:r>
      <w:r>
        <w:t>doesn’t</w:t>
      </w:r>
      <w:r>
        <w:rPr>
          <w:spacing w:val="5"/>
        </w:rPr>
        <w:t xml:space="preserve"> </w:t>
      </w:r>
      <w:r>
        <w:rPr>
          <w:spacing w:val="-4"/>
        </w:rPr>
        <w:t>tell</w:t>
      </w:r>
    </w:p>
    <w:p w14:paraId="7E00155D" w14:textId="77777777" w:rsidR="009A58DB" w:rsidRDefault="00000000">
      <w:pPr>
        <w:pStyle w:val="BodyText"/>
        <w:spacing w:before="15" w:line="249" w:lineRule="auto"/>
        <w:ind w:right="358"/>
      </w:pPr>
      <w:r>
        <w:t xml:space="preserve">me this. Nor does it tell me that, apart from Max, nothing in the universe looks just like Gary. These things were learned independently of VG. My knowledge of them is </w:t>
      </w:r>
      <w:r>
        <w:rPr>
          <w:i/>
        </w:rPr>
        <w:t xml:space="preserve">background </w:t>
      </w:r>
      <w:r>
        <w:t>knowledge.</w:t>
      </w:r>
    </w:p>
    <w:p w14:paraId="7E00155E" w14:textId="77777777" w:rsidR="009A58DB" w:rsidRDefault="00000000">
      <w:pPr>
        <w:pStyle w:val="BodyText"/>
        <w:spacing w:before="4" w:line="249" w:lineRule="auto"/>
        <w:ind w:right="361" w:firstLine="360"/>
      </w:pPr>
      <w:r>
        <w:t xml:space="preserve">Thus, there is no individual x such that x is identical with Larry and such that </w:t>
      </w:r>
      <w:r>
        <w:rPr>
          <w:i/>
        </w:rPr>
        <w:t>by</w:t>
      </w:r>
      <w:r>
        <w:rPr>
          <w:i/>
          <w:spacing w:val="19"/>
        </w:rPr>
        <w:t xml:space="preserve"> </w:t>
      </w:r>
      <w:r>
        <w:rPr>
          <w:i/>
        </w:rPr>
        <w:t>itself</w:t>
      </w:r>
      <w:r>
        <w:rPr>
          <w:i/>
          <w:spacing w:val="19"/>
        </w:rPr>
        <w:t xml:space="preserve"> </w:t>
      </w:r>
      <w:r>
        <w:t>VG</w:t>
      </w:r>
      <w:r>
        <w:rPr>
          <w:spacing w:val="19"/>
        </w:rPr>
        <w:t xml:space="preserve"> </w:t>
      </w:r>
      <w:r>
        <w:t>tells</w:t>
      </w:r>
      <w:r>
        <w:rPr>
          <w:spacing w:val="19"/>
        </w:rPr>
        <w:t xml:space="preserve"> </w:t>
      </w:r>
      <w:r>
        <w:t>me</w:t>
      </w:r>
      <w:r>
        <w:rPr>
          <w:spacing w:val="19"/>
        </w:rPr>
        <w:t xml:space="preserve"> </w:t>
      </w:r>
      <w:r>
        <w:t>that</w:t>
      </w:r>
      <w:r>
        <w:rPr>
          <w:spacing w:val="19"/>
        </w:rPr>
        <w:t xml:space="preserve"> </w:t>
      </w:r>
      <w:r>
        <w:t>it’s</w:t>
      </w:r>
      <w:r>
        <w:rPr>
          <w:spacing w:val="19"/>
        </w:rPr>
        <w:t xml:space="preserve"> </w:t>
      </w:r>
      <w:r>
        <w:t>x</w:t>
      </w:r>
      <w:r>
        <w:rPr>
          <w:spacing w:val="19"/>
        </w:rPr>
        <w:t xml:space="preserve"> </w:t>
      </w:r>
      <w:r>
        <w:t>specifically</w:t>
      </w:r>
      <w:r>
        <w:rPr>
          <w:spacing w:val="19"/>
        </w:rPr>
        <w:t xml:space="preserve"> </w:t>
      </w:r>
      <w:r>
        <w:t>that</w:t>
      </w:r>
      <w:r>
        <w:rPr>
          <w:spacing w:val="19"/>
        </w:rPr>
        <w:t xml:space="preserve"> </w:t>
      </w:r>
      <w:r>
        <w:t>I’m</w:t>
      </w:r>
      <w:r>
        <w:rPr>
          <w:spacing w:val="19"/>
        </w:rPr>
        <w:t xml:space="preserve"> </w:t>
      </w:r>
      <w:r>
        <w:t>seeing.</w:t>
      </w:r>
      <w:r>
        <w:rPr>
          <w:spacing w:val="19"/>
        </w:rPr>
        <w:t xml:space="preserve"> </w:t>
      </w:r>
      <w:r>
        <w:t>I</w:t>
      </w:r>
      <w:r>
        <w:rPr>
          <w:spacing w:val="19"/>
        </w:rPr>
        <w:t xml:space="preserve"> </w:t>
      </w:r>
      <w:r>
        <w:t>do</w:t>
      </w:r>
      <w:r>
        <w:rPr>
          <w:spacing w:val="19"/>
        </w:rPr>
        <w:t xml:space="preserve"> </w:t>
      </w:r>
      <w:r>
        <w:t>indeed</w:t>
      </w:r>
    </w:p>
    <w:p w14:paraId="7E0015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60" w14:textId="77777777" w:rsidR="009A58DB" w:rsidRDefault="00000000">
      <w:pPr>
        <w:pStyle w:val="BodyText"/>
        <w:spacing w:before="60" w:line="249" w:lineRule="auto"/>
        <w:ind w:right="363"/>
      </w:pPr>
      <w:r>
        <w:rPr>
          <w:i/>
        </w:rPr>
        <w:lastRenderedPageBreak/>
        <w:t>know</w:t>
      </w:r>
      <w:r>
        <w:rPr>
          <w:i/>
          <w:spacing w:val="-3"/>
        </w:rPr>
        <w:t xml:space="preserve"> </w:t>
      </w:r>
      <w:r>
        <w:t xml:space="preserve">who I’m seeing. But it’s VG </w:t>
      </w:r>
      <w:r>
        <w:rPr>
          <w:i/>
        </w:rPr>
        <w:t>plus</w:t>
      </w:r>
      <w:r>
        <w:rPr>
          <w:i/>
          <w:spacing w:val="-3"/>
        </w:rPr>
        <w:t xml:space="preserve"> </w:t>
      </w:r>
      <w:r>
        <w:t>my background knowledge that gives this information, not VG by itself. Given only what VG is telling me, I could be seeing Gary or Max or some third thing, and the correctness of what I believe strictly on the basis of VG doesn’t depend on who (or what) it is that I’m seeing.</w:t>
      </w:r>
    </w:p>
    <w:p w14:paraId="7E001561" w14:textId="77777777" w:rsidR="009A58DB" w:rsidRDefault="00000000">
      <w:pPr>
        <w:pStyle w:val="Heading1"/>
        <w:numPr>
          <w:ilvl w:val="0"/>
          <w:numId w:val="144"/>
        </w:numPr>
        <w:tabs>
          <w:tab w:val="left" w:pos="990"/>
        </w:tabs>
        <w:spacing w:before="199"/>
      </w:pPr>
      <w:r>
        <w:t>The</w:t>
      </w:r>
      <w:r>
        <w:rPr>
          <w:spacing w:val="-6"/>
        </w:rPr>
        <w:t xml:space="preserve"> </w:t>
      </w:r>
      <w:r>
        <w:t>gappiness</w:t>
      </w:r>
      <w:r>
        <w:rPr>
          <w:spacing w:val="-4"/>
        </w:rPr>
        <w:t xml:space="preserve"> </w:t>
      </w:r>
      <w:r>
        <w:t>of</w:t>
      </w:r>
      <w:r>
        <w:rPr>
          <w:spacing w:val="-4"/>
        </w:rPr>
        <w:t xml:space="preserve"> </w:t>
      </w:r>
      <w:r>
        <w:t>Burge</w:t>
      </w:r>
      <w:r>
        <w:rPr>
          <w:spacing w:val="-3"/>
        </w:rPr>
        <w:t xml:space="preserve"> </w:t>
      </w:r>
      <w:r>
        <w:rPr>
          <w:spacing w:val="-2"/>
        </w:rPr>
        <w:t>thoughts</w:t>
      </w:r>
    </w:p>
    <w:p w14:paraId="7E001562" w14:textId="77777777" w:rsidR="009A58DB" w:rsidRDefault="00000000">
      <w:pPr>
        <w:pStyle w:val="BodyText"/>
        <w:spacing w:before="139" w:line="249" w:lineRule="auto"/>
        <w:ind w:right="365"/>
        <w:rPr>
          <w:position w:val="21"/>
        </w:rPr>
      </w:pPr>
      <w:r>
        <w:t>The erroneousness of Burge’s position becomes painfully clear when we register its most immediate consequences. Of those consequences, here’s the one I find most striking. Given two people who are psychologically identical, one</w:t>
      </w:r>
      <w:r>
        <w:rPr>
          <w:spacing w:val="-2"/>
        </w:rPr>
        <w:t xml:space="preserve"> </w:t>
      </w:r>
      <w:r>
        <w:t>of</w:t>
      </w:r>
      <w:r>
        <w:rPr>
          <w:spacing w:val="-2"/>
        </w:rPr>
        <w:t xml:space="preserve"> </w:t>
      </w:r>
      <w:r>
        <w:t>them</w:t>
      </w:r>
      <w:r>
        <w:rPr>
          <w:spacing w:val="-2"/>
        </w:rPr>
        <w:t xml:space="preserve"> </w:t>
      </w:r>
      <w:r>
        <w:t>may</w:t>
      </w:r>
      <w:r>
        <w:rPr>
          <w:spacing w:val="-1"/>
        </w:rPr>
        <w:t xml:space="preserve"> </w:t>
      </w:r>
      <w:r>
        <w:t>be</w:t>
      </w:r>
      <w:r>
        <w:rPr>
          <w:spacing w:val="-2"/>
        </w:rPr>
        <w:t xml:space="preserve"> </w:t>
      </w:r>
      <w:r>
        <w:t>having</w:t>
      </w:r>
      <w:r>
        <w:rPr>
          <w:spacing w:val="-2"/>
        </w:rPr>
        <w:t xml:space="preserve"> </w:t>
      </w:r>
      <w:r>
        <w:t>all</w:t>
      </w:r>
      <w:r>
        <w:rPr>
          <w:spacing w:val="-2"/>
        </w:rPr>
        <w:t xml:space="preserve"> </w:t>
      </w:r>
      <w:r>
        <w:t>sorts</w:t>
      </w:r>
      <w:r>
        <w:rPr>
          <w:spacing w:val="-1"/>
        </w:rPr>
        <w:t xml:space="preserve"> </w:t>
      </w:r>
      <w:r>
        <w:t>of</w:t>
      </w:r>
      <w:r>
        <w:rPr>
          <w:spacing w:val="-2"/>
        </w:rPr>
        <w:t xml:space="preserve"> </w:t>
      </w:r>
      <w:r>
        <w:t>thoughts</w:t>
      </w:r>
      <w:r>
        <w:rPr>
          <w:spacing w:val="-2"/>
        </w:rPr>
        <w:t xml:space="preserve"> </w:t>
      </w:r>
      <w:r>
        <w:t>while</w:t>
      </w:r>
      <w:r>
        <w:rPr>
          <w:spacing w:val="-2"/>
        </w:rPr>
        <w:t xml:space="preserve"> </w:t>
      </w:r>
      <w:r>
        <w:t>the</w:t>
      </w:r>
      <w:r>
        <w:rPr>
          <w:spacing w:val="-1"/>
        </w:rPr>
        <w:t xml:space="preserve"> </w:t>
      </w:r>
      <w:r>
        <w:t>other</w:t>
      </w:r>
      <w:r>
        <w:rPr>
          <w:spacing w:val="-2"/>
        </w:rPr>
        <w:t xml:space="preserve"> </w:t>
      </w:r>
      <w:r>
        <w:t>is</w:t>
      </w:r>
      <w:r>
        <w:rPr>
          <w:spacing w:val="-2"/>
        </w:rPr>
        <w:t xml:space="preserve"> </w:t>
      </w:r>
      <w:r>
        <w:t>a</w:t>
      </w:r>
      <w:r>
        <w:rPr>
          <w:spacing w:val="-1"/>
        </w:rPr>
        <w:t xml:space="preserve"> </w:t>
      </w:r>
      <w:r>
        <w:t>zombie—a mental blank who is no more having thoughts than a tomato.</w:t>
      </w:r>
      <w:bookmarkStart w:id="274" w:name="_bookmark274"/>
      <w:bookmarkEnd w:id="274"/>
      <w:r>
        <w:rPr>
          <w:color w:val="0562C1"/>
          <w:position w:val="21"/>
          <w:u w:val="single" w:color="0562C1"/>
        </w:rPr>
        <w:t>[176]</w:t>
      </w:r>
    </w:p>
    <w:p w14:paraId="7E001563" w14:textId="77777777" w:rsidR="009A58DB" w:rsidRDefault="00000000">
      <w:pPr>
        <w:pStyle w:val="BodyText"/>
        <w:spacing w:before="6" w:line="292" w:lineRule="auto"/>
        <w:ind w:right="364" w:firstLine="360"/>
      </w:pPr>
      <w:r>
        <w:t>Remember that, in W</w:t>
      </w:r>
      <w:r>
        <w:rPr>
          <w:vertAlign w:val="subscript"/>
        </w:rPr>
        <w:t>1</w:t>
      </w:r>
      <w:r>
        <w:t>, there is some individual x such that x = Max and such that U</w:t>
      </w:r>
      <w:r>
        <w:rPr>
          <w:vertAlign w:val="subscript"/>
        </w:rPr>
        <w:t>1</w:t>
      </w:r>
      <w:r>
        <w:t xml:space="preserve"> (my utterance of “that guy is wearing a plaid shirt”) is true exactly if:</w:t>
      </w:r>
    </w:p>
    <w:p w14:paraId="7E001564" w14:textId="77777777" w:rsidR="009A58DB" w:rsidRDefault="00000000">
      <w:pPr>
        <w:pStyle w:val="BodyText"/>
        <w:spacing w:before="297" w:line="277" w:lineRule="exact"/>
        <w:ind w:left="893"/>
        <w:jc w:val="left"/>
      </w:pPr>
      <w:bookmarkStart w:id="275" w:name="_bookmark275"/>
      <w:bookmarkEnd w:id="275"/>
      <w:r>
        <w:rPr>
          <w:color w:val="0562C1"/>
          <w:spacing w:val="-2"/>
          <w:u w:val="single" w:color="0562C1"/>
        </w:rPr>
        <w:t>[177]</w:t>
      </w:r>
    </w:p>
    <w:p w14:paraId="7E001565" w14:textId="77777777" w:rsidR="009A58DB" w:rsidRDefault="00000000">
      <w:pPr>
        <w:pStyle w:val="BodyText"/>
        <w:tabs>
          <w:tab w:val="left" w:pos="1542"/>
        </w:tabs>
        <w:spacing w:line="277" w:lineRule="exact"/>
        <w:jc w:val="left"/>
      </w:pPr>
      <w:r>
        <w:rPr>
          <w:spacing w:val="-5"/>
        </w:rPr>
        <w:t>(MP</w:t>
      </w:r>
      <w:r>
        <w:tab/>
        <w:t>)</w:t>
      </w:r>
      <w:r>
        <w:rPr>
          <w:spacing w:val="-5"/>
        </w:rPr>
        <w:t xml:space="preserve"> </w:t>
      </w:r>
      <w:r>
        <w:t>x</w:t>
      </w:r>
      <w:r>
        <w:rPr>
          <w:spacing w:val="-2"/>
        </w:rPr>
        <w:t xml:space="preserve"> </w:t>
      </w:r>
      <w:r>
        <w:t>is</w:t>
      </w:r>
      <w:r>
        <w:rPr>
          <w:spacing w:val="-3"/>
        </w:rPr>
        <w:t xml:space="preserve"> </w:t>
      </w:r>
      <w:r>
        <w:t>wearing</w:t>
      </w:r>
      <w:r>
        <w:rPr>
          <w:spacing w:val="-3"/>
        </w:rPr>
        <w:t xml:space="preserve"> </w:t>
      </w:r>
      <w:r>
        <w:t>a</w:t>
      </w:r>
      <w:r>
        <w:rPr>
          <w:spacing w:val="-2"/>
        </w:rPr>
        <w:t xml:space="preserve"> </w:t>
      </w:r>
      <w:r>
        <w:t>plaid-</w:t>
      </w:r>
      <w:r>
        <w:rPr>
          <w:spacing w:val="-2"/>
        </w:rPr>
        <w:t>shirt.</w:t>
      </w:r>
    </w:p>
    <w:p w14:paraId="7E001566" w14:textId="77777777" w:rsidR="009A58DB" w:rsidRDefault="009A58DB">
      <w:pPr>
        <w:pStyle w:val="BodyText"/>
        <w:spacing w:before="30"/>
        <w:ind w:left="0"/>
        <w:jc w:val="left"/>
      </w:pPr>
    </w:p>
    <w:p w14:paraId="7E001567" w14:textId="77777777" w:rsidR="009A58DB" w:rsidRDefault="00000000">
      <w:pPr>
        <w:pStyle w:val="BodyText"/>
        <w:spacing w:line="249" w:lineRule="auto"/>
        <w:ind w:right="367"/>
      </w:pPr>
      <w:r>
        <w:rPr>
          <w:i/>
        </w:rPr>
        <w:t xml:space="preserve">This </w:t>
      </w:r>
      <w:r>
        <w:t xml:space="preserve">is true. Notice that it’s a claim about language, about literal meaning—about what is literally meant by an </w:t>
      </w:r>
      <w:r>
        <w:rPr>
          <w:i/>
        </w:rPr>
        <w:t xml:space="preserve">utterance. </w:t>
      </w:r>
      <w:r>
        <w:t>It isn’t, at least not directly, a claim about the content of my visual perceptions or my thoughts.</w:t>
      </w:r>
    </w:p>
    <w:p w14:paraId="7E001568" w14:textId="77777777" w:rsidR="009A58DB" w:rsidRDefault="00000000">
      <w:pPr>
        <w:pStyle w:val="BodyText"/>
        <w:spacing w:before="4" w:line="249" w:lineRule="auto"/>
        <w:ind w:right="358" w:firstLine="360"/>
      </w:pPr>
      <w:r>
        <w:rPr>
          <w:i/>
        </w:rPr>
        <w:t xml:space="preserve">But </w:t>
      </w:r>
      <w:r>
        <w:t>Burge holds that, indeed, positions exactly similar to the one just stated about that utterance hold with respect to my perceptions and thoughts. Burge’s</w:t>
      </w:r>
      <w:r>
        <w:rPr>
          <w:spacing w:val="17"/>
        </w:rPr>
        <w:t xml:space="preserve"> </w:t>
      </w:r>
      <w:r>
        <w:t>holds</w:t>
      </w:r>
      <w:r>
        <w:rPr>
          <w:spacing w:val="18"/>
        </w:rPr>
        <w:t xml:space="preserve"> </w:t>
      </w:r>
      <w:r>
        <w:t>that,</w:t>
      </w:r>
      <w:r>
        <w:rPr>
          <w:spacing w:val="17"/>
        </w:rPr>
        <w:t xml:space="preserve"> </w:t>
      </w:r>
      <w:r>
        <w:t>in</w:t>
      </w:r>
      <w:r>
        <w:rPr>
          <w:spacing w:val="18"/>
        </w:rPr>
        <w:t xml:space="preserve"> </w:t>
      </w:r>
      <w:r>
        <w:t>W</w:t>
      </w:r>
      <w:r>
        <w:rPr>
          <w:vertAlign w:val="subscript"/>
        </w:rPr>
        <w:t>1</w:t>
      </w:r>
      <w:r>
        <w:t>,</w:t>
      </w:r>
      <w:r>
        <w:rPr>
          <w:spacing w:val="20"/>
        </w:rPr>
        <w:t xml:space="preserve"> </w:t>
      </w:r>
      <w:r>
        <w:t>there</w:t>
      </w:r>
      <w:r>
        <w:rPr>
          <w:spacing w:val="19"/>
        </w:rPr>
        <w:t xml:space="preserve"> </w:t>
      </w:r>
      <w:r>
        <w:t>is</w:t>
      </w:r>
      <w:r>
        <w:rPr>
          <w:spacing w:val="20"/>
        </w:rPr>
        <w:t xml:space="preserve"> </w:t>
      </w:r>
      <w:r>
        <w:t>some</w:t>
      </w:r>
      <w:r>
        <w:rPr>
          <w:spacing w:val="19"/>
        </w:rPr>
        <w:t xml:space="preserve"> </w:t>
      </w:r>
      <w:r>
        <w:t>individual</w:t>
      </w:r>
      <w:r>
        <w:rPr>
          <w:spacing w:val="20"/>
        </w:rPr>
        <w:t xml:space="preserve"> </w:t>
      </w:r>
      <w:r>
        <w:t>x</w:t>
      </w:r>
      <w:r>
        <w:rPr>
          <w:spacing w:val="19"/>
        </w:rPr>
        <w:t xml:space="preserve"> </w:t>
      </w:r>
      <w:r>
        <w:t>such</w:t>
      </w:r>
      <w:r>
        <w:rPr>
          <w:spacing w:val="20"/>
        </w:rPr>
        <w:t xml:space="preserve"> </w:t>
      </w:r>
      <w:r>
        <w:t>that</w:t>
      </w:r>
      <w:r>
        <w:rPr>
          <w:spacing w:val="20"/>
        </w:rPr>
        <w:t xml:space="preserve"> </w:t>
      </w:r>
      <w:r>
        <w:t>x</w:t>
      </w:r>
      <w:r>
        <w:rPr>
          <w:spacing w:val="19"/>
        </w:rPr>
        <w:t xml:space="preserve"> </w:t>
      </w:r>
      <w:r>
        <w:t>=</w:t>
      </w:r>
      <w:r>
        <w:rPr>
          <w:spacing w:val="20"/>
        </w:rPr>
        <w:t xml:space="preserve"> </w:t>
      </w:r>
      <w:r>
        <w:t>Max</w:t>
      </w:r>
      <w:r>
        <w:rPr>
          <w:spacing w:val="19"/>
        </w:rPr>
        <w:t xml:space="preserve"> </w:t>
      </w:r>
      <w:r>
        <w:rPr>
          <w:spacing w:val="-5"/>
        </w:rPr>
        <w:t>and</w:t>
      </w:r>
    </w:p>
    <w:p w14:paraId="7E001569" w14:textId="77777777" w:rsidR="009A58DB" w:rsidRDefault="00000000">
      <w:pPr>
        <w:pStyle w:val="BodyText"/>
        <w:spacing w:before="64" w:line="249" w:lineRule="auto"/>
        <w:ind w:right="372"/>
      </w:pPr>
      <w:r>
        <w:t xml:space="preserve">such that the content of VM (the visual perception I’m having) is true exactly </w:t>
      </w:r>
      <w:r>
        <w:rPr>
          <w:spacing w:val="-4"/>
        </w:rPr>
        <w:t>if:</w:t>
      </w:r>
    </w:p>
    <w:p w14:paraId="7E00156A" w14:textId="77777777" w:rsidR="009A58DB" w:rsidRDefault="009A58DB">
      <w:pPr>
        <w:pStyle w:val="BodyText"/>
        <w:spacing w:before="17"/>
        <w:ind w:left="0"/>
        <w:jc w:val="left"/>
      </w:pPr>
    </w:p>
    <w:p w14:paraId="7E00156B" w14:textId="77777777" w:rsidR="009A58DB" w:rsidRDefault="00000000">
      <w:pPr>
        <w:pStyle w:val="BodyText"/>
        <w:jc w:val="left"/>
      </w:pPr>
      <w:r>
        <w:t>(MP)</w:t>
      </w:r>
      <w:r>
        <w:rPr>
          <w:spacing w:val="-3"/>
        </w:rPr>
        <w:t xml:space="preserve"> </w:t>
      </w:r>
      <w:r>
        <w:t>x</w:t>
      </w:r>
      <w:r>
        <w:rPr>
          <w:spacing w:val="-2"/>
        </w:rPr>
        <w:t xml:space="preserve"> </w:t>
      </w:r>
      <w:r>
        <w:t>is</w:t>
      </w:r>
      <w:r>
        <w:rPr>
          <w:spacing w:val="-3"/>
        </w:rPr>
        <w:t xml:space="preserve"> </w:t>
      </w:r>
      <w:r>
        <w:t>wearing</w:t>
      </w:r>
      <w:r>
        <w:rPr>
          <w:spacing w:val="-2"/>
        </w:rPr>
        <w:t xml:space="preserve"> </w:t>
      </w:r>
      <w:r>
        <w:t>a</w:t>
      </w:r>
      <w:r>
        <w:rPr>
          <w:spacing w:val="-3"/>
        </w:rPr>
        <w:t xml:space="preserve"> </w:t>
      </w:r>
      <w:r>
        <w:t>plaid</w:t>
      </w:r>
      <w:r>
        <w:rPr>
          <w:spacing w:val="-2"/>
        </w:rPr>
        <w:t xml:space="preserve"> shirt.</w:t>
      </w:r>
    </w:p>
    <w:p w14:paraId="7E00156C" w14:textId="77777777" w:rsidR="009A58DB" w:rsidRDefault="009A58DB">
      <w:pPr>
        <w:pStyle w:val="BodyText"/>
        <w:spacing w:before="30"/>
        <w:ind w:left="0"/>
        <w:jc w:val="left"/>
      </w:pPr>
    </w:p>
    <w:p w14:paraId="7E00156D" w14:textId="77777777" w:rsidR="009A58DB" w:rsidRDefault="00000000">
      <w:pPr>
        <w:pStyle w:val="BodyText"/>
        <w:spacing w:line="271" w:lineRule="auto"/>
        <w:ind w:right="359"/>
      </w:pPr>
      <w:r>
        <w:t xml:space="preserve">Burge </w:t>
      </w:r>
      <w:r>
        <w:rPr>
          <w:i/>
        </w:rPr>
        <w:t xml:space="preserve">also </w:t>
      </w:r>
      <w:r>
        <w:t>holds that, in W</w:t>
      </w:r>
      <w:r>
        <w:rPr>
          <w:vertAlign w:val="subscript"/>
        </w:rPr>
        <w:t>1</w:t>
      </w:r>
      <w:r>
        <w:t>, there is some individual x such that x = Max</w:t>
      </w:r>
      <w:r>
        <w:rPr>
          <w:spacing w:val="40"/>
        </w:rPr>
        <w:t xml:space="preserve"> </w:t>
      </w:r>
      <w:r>
        <w:t xml:space="preserve">and such that the content of what I </w:t>
      </w:r>
      <w:r>
        <w:rPr>
          <w:i/>
        </w:rPr>
        <w:t xml:space="preserve">believe </w:t>
      </w:r>
      <w:r>
        <w:t>on the basis of my visual perception is true exactly if MP.</w:t>
      </w:r>
    </w:p>
    <w:p w14:paraId="7E00156E" w14:textId="77777777" w:rsidR="009A58DB" w:rsidRDefault="00000000">
      <w:pPr>
        <w:pStyle w:val="BodyText"/>
        <w:spacing w:line="316" w:lineRule="exact"/>
        <w:ind w:left="720"/>
      </w:pPr>
      <w:r>
        <w:t>This</w:t>
      </w:r>
      <w:r>
        <w:rPr>
          <w:spacing w:val="35"/>
        </w:rPr>
        <w:t xml:space="preserve"> </w:t>
      </w:r>
      <w:r>
        <w:t>last</w:t>
      </w:r>
      <w:r>
        <w:rPr>
          <w:spacing w:val="35"/>
        </w:rPr>
        <w:t xml:space="preserve"> </w:t>
      </w:r>
      <w:r>
        <w:t>claim</w:t>
      </w:r>
      <w:r>
        <w:rPr>
          <w:spacing w:val="35"/>
        </w:rPr>
        <w:t xml:space="preserve"> </w:t>
      </w:r>
      <w:r>
        <w:t>has</w:t>
      </w:r>
      <w:r>
        <w:rPr>
          <w:spacing w:val="35"/>
        </w:rPr>
        <w:t xml:space="preserve"> </w:t>
      </w:r>
      <w:r>
        <w:t>a</w:t>
      </w:r>
      <w:r>
        <w:rPr>
          <w:spacing w:val="35"/>
        </w:rPr>
        <w:t xml:space="preserve"> </w:t>
      </w:r>
      <w:r>
        <w:t>very</w:t>
      </w:r>
      <w:r>
        <w:rPr>
          <w:spacing w:val="35"/>
        </w:rPr>
        <w:t xml:space="preserve"> </w:t>
      </w:r>
      <w:r>
        <w:t>interesting</w:t>
      </w:r>
      <w:r>
        <w:rPr>
          <w:spacing w:val="35"/>
        </w:rPr>
        <w:t xml:space="preserve"> </w:t>
      </w:r>
      <w:r>
        <w:t>corollary.</w:t>
      </w:r>
      <w:r>
        <w:rPr>
          <w:spacing w:val="35"/>
        </w:rPr>
        <w:t xml:space="preserve"> </w:t>
      </w:r>
      <w:r>
        <w:t>Let</w:t>
      </w:r>
      <w:r>
        <w:rPr>
          <w:spacing w:val="35"/>
        </w:rPr>
        <w:t xml:space="preserve"> </w:t>
      </w:r>
      <w:r>
        <w:t>W</w:t>
      </w:r>
      <w:r>
        <w:rPr>
          <w:vertAlign w:val="subscript"/>
        </w:rPr>
        <w:t>4</w:t>
      </w:r>
      <w:r>
        <w:rPr>
          <w:spacing w:val="36"/>
        </w:rPr>
        <w:t xml:space="preserve"> </w:t>
      </w:r>
      <w:r>
        <w:t>be</w:t>
      </w:r>
      <w:r>
        <w:rPr>
          <w:spacing w:val="36"/>
        </w:rPr>
        <w:t xml:space="preserve"> </w:t>
      </w:r>
      <w:r>
        <w:t>a</w:t>
      </w:r>
      <w:r>
        <w:rPr>
          <w:spacing w:val="36"/>
        </w:rPr>
        <w:t xml:space="preserve"> </w:t>
      </w:r>
      <w:r>
        <w:t>world</w:t>
      </w:r>
      <w:r>
        <w:rPr>
          <w:spacing w:val="36"/>
        </w:rPr>
        <w:t xml:space="preserve"> </w:t>
      </w:r>
      <w:r>
        <w:rPr>
          <w:spacing w:val="-2"/>
        </w:rPr>
        <w:t>that,</w:t>
      </w:r>
    </w:p>
    <w:p w14:paraId="7E00156F" w14:textId="77777777" w:rsidR="009A58DB" w:rsidRDefault="009A58DB">
      <w:pPr>
        <w:pStyle w:val="BodyText"/>
        <w:spacing w:line="316" w:lineRule="exact"/>
        <w:sectPr w:rsidR="009A58DB">
          <w:pgSz w:w="12240" w:h="15840"/>
          <w:pgMar w:top="1380" w:right="1080" w:bottom="280" w:left="1080" w:header="720" w:footer="720" w:gutter="0"/>
          <w:cols w:space="720"/>
        </w:sectPr>
      </w:pPr>
    </w:p>
    <w:p w14:paraId="7E001570" w14:textId="77777777" w:rsidR="009A58DB" w:rsidRDefault="00000000">
      <w:pPr>
        <w:pStyle w:val="BodyText"/>
        <w:spacing w:before="60" w:line="271" w:lineRule="auto"/>
        <w:ind w:right="358"/>
      </w:pPr>
      <w:r>
        <w:lastRenderedPageBreak/>
        <w:t>with one qualification, is like each of W</w:t>
      </w:r>
      <w:r>
        <w:rPr>
          <w:vertAlign w:val="subscript"/>
        </w:rPr>
        <w:t>1</w:t>
      </w:r>
      <w:r>
        <w:t>–W</w:t>
      </w:r>
      <w:r>
        <w:rPr>
          <w:vertAlign w:val="subscript"/>
        </w:rPr>
        <w:t>3</w:t>
      </w:r>
      <w:r>
        <w:t>. The qualification is that, at the time in question, Sally and I are hallucinating. In other words, I’m not really seeing</w:t>
      </w:r>
      <w:r>
        <w:rPr>
          <w:spacing w:val="30"/>
        </w:rPr>
        <w:t xml:space="preserve"> </w:t>
      </w:r>
      <w:r>
        <w:t>a</w:t>
      </w:r>
      <w:r>
        <w:rPr>
          <w:spacing w:val="33"/>
        </w:rPr>
        <w:t xml:space="preserve"> </w:t>
      </w:r>
      <w:r>
        <w:t>man</w:t>
      </w:r>
      <w:r>
        <w:rPr>
          <w:spacing w:val="32"/>
        </w:rPr>
        <w:t xml:space="preserve"> </w:t>
      </w:r>
      <w:r>
        <w:t>who</w:t>
      </w:r>
      <w:r>
        <w:rPr>
          <w:spacing w:val="33"/>
        </w:rPr>
        <w:t xml:space="preserve"> </w:t>
      </w:r>
      <w:r>
        <w:t>is</w:t>
      </w:r>
      <w:r>
        <w:rPr>
          <w:spacing w:val="33"/>
        </w:rPr>
        <w:t xml:space="preserve"> </w:t>
      </w:r>
      <w:r>
        <w:t>wearing</w:t>
      </w:r>
      <w:r>
        <w:rPr>
          <w:spacing w:val="32"/>
        </w:rPr>
        <w:t xml:space="preserve"> </w:t>
      </w:r>
      <w:r>
        <w:t>a</w:t>
      </w:r>
      <w:r>
        <w:rPr>
          <w:spacing w:val="33"/>
        </w:rPr>
        <w:t xml:space="preserve"> </w:t>
      </w:r>
      <w:r>
        <w:t>plaid</w:t>
      </w:r>
      <w:r>
        <w:rPr>
          <w:spacing w:val="33"/>
        </w:rPr>
        <w:t xml:space="preserve"> </w:t>
      </w:r>
      <w:r>
        <w:t>shirt;</w:t>
      </w:r>
      <w:r>
        <w:rPr>
          <w:spacing w:val="32"/>
        </w:rPr>
        <w:t xml:space="preserve"> </w:t>
      </w:r>
      <w:r>
        <w:t>there’s</w:t>
      </w:r>
      <w:r>
        <w:rPr>
          <w:spacing w:val="33"/>
        </w:rPr>
        <w:t xml:space="preserve"> </w:t>
      </w:r>
      <w:r>
        <w:t>only</w:t>
      </w:r>
      <w:r>
        <w:rPr>
          <w:spacing w:val="33"/>
        </w:rPr>
        <w:t xml:space="preserve"> </w:t>
      </w:r>
      <w:r>
        <w:t>empty</w:t>
      </w:r>
      <w:r>
        <w:rPr>
          <w:spacing w:val="32"/>
        </w:rPr>
        <w:t xml:space="preserve"> </w:t>
      </w:r>
      <w:r>
        <w:t>space</w:t>
      </w:r>
      <w:r>
        <w:rPr>
          <w:spacing w:val="33"/>
        </w:rPr>
        <w:t xml:space="preserve"> </w:t>
      </w:r>
      <w:r>
        <w:t>in</w:t>
      </w:r>
      <w:r>
        <w:rPr>
          <w:spacing w:val="33"/>
        </w:rPr>
        <w:t xml:space="preserve"> </w:t>
      </w:r>
      <w:r>
        <w:rPr>
          <w:spacing w:val="-5"/>
        </w:rPr>
        <w:t>the</w:t>
      </w:r>
    </w:p>
    <w:p w14:paraId="7E001571" w14:textId="77777777" w:rsidR="009A58DB" w:rsidRDefault="00000000">
      <w:pPr>
        <w:pStyle w:val="BodyText"/>
        <w:spacing w:line="316" w:lineRule="exact"/>
      </w:pPr>
      <w:r>
        <w:t>place</w:t>
      </w:r>
      <w:r>
        <w:rPr>
          <w:spacing w:val="-2"/>
        </w:rPr>
        <w:t xml:space="preserve"> </w:t>
      </w:r>
      <w:r>
        <w:t>where,</w:t>
      </w:r>
      <w:r>
        <w:rPr>
          <w:spacing w:val="1"/>
        </w:rPr>
        <w:t xml:space="preserve"> </w:t>
      </w:r>
      <w:r>
        <w:t>so</w:t>
      </w:r>
      <w:r>
        <w:rPr>
          <w:spacing w:val="1"/>
        </w:rPr>
        <w:t xml:space="preserve"> </w:t>
      </w:r>
      <w:r>
        <w:t>I</w:t>
      </w:r>
      <w:r>
        <w:rPr>
          <w:spacing w:val="1"/>
        </w:rPr>
        <w:t xml:space="preserve"> </w:t>
      </w:r>
      <w:r>
        <w:t>believe, I “see”</w:t>
      </w:r>
      <w:r>
        <w:rPr>
          <w:spacing w:val="2"/>
        </w:rPr>
        <w:t xml:space="preserve"> </w:t>
      </w:r>
      <w:r>
        <w:t>there</w:t>
      </w:r>
      <w:r>
        <w:rPr>
          <w:spacing w:val="1"/>
        </w:rPr>
        <w:t xml:space="preserve"> </w:t>
      </w:r>
      <w:r>
        <w:t>to</w:t>
      </w:r>
      <w:r>
        <w:rPr>
          <w:spacing w:val="1"/>
        </w:rPr>
        <w:t xml:space="preserve"> </w:t>
      </w:r>
      <w:r>
        <w:t>be</w:t>
      </w:r>
      <w:r>
        <w:rPr>
          <w:spacing w:val="2"/>
        </w:rPr>
        <w:t xml:space="preserve"> </w:t>
      </w:r>
      <w:r>
        <w:t>such a</w:t>
      </w:r>
      <w:r>
        <w:rPr>
          <w:spacing w:val="1"/>
        </w:rPr>
        <w:t xml:space="preserve"> </w:t>
      </w:r>
      <w:r>
        <w:t>person.</w:t>
      </w:r>
      <w:r>
        <w:rPr>
          <w:spacing w:val="1"/>
        </w:rPr>
        <w:t xml:space="preserve"> </w:t>
      </w:r>
      <w:r>
        <w:t>But</w:t>
      </w:r>
      <w:r>
        <w:rPr>
          <w:spacing w:val="1"/>
        </w:rPr>
        <w:t xml:space="preserve"> </w:t>
      </w:r>
      <w:r>
        <w:t xml:space="preserve">I </w:t>
      </w:r>
      <w:r>
        <w:rPr>
          <w:i/>
        </w:rPr>
        <w:t>am</w:t>
      </w:r>
      <w:r>
        <w:rPr>
          <w:i/>
          <w:spacing w:val="-3"/>
        </w:rPr>
        <w:t xml:space="preserve"> </w:t>
      </w:r>
      <w:r>
        <w:t>having</w:t>
      </w:r>
      <w:r>
        <w:rPr>
          <w:spacing w:val="14"/>
        </w:rPr>
        <w:t xml:space="preserve"> </w:t>
      </w:r>
      <w:r>
        <w:rPr>
          <w:spacing w:val="-10"/>
        </w:rPr>
        <w:t>a</w:t>
      </w:r>
    </w:p>
    <w:p w14:paraId="7E001572" w14:textId="77777777" w:rsidR="009A58DB" w:rsidRDefault="00000000">
      <w:pPr>
        <w:pStyle w:val="BodyText"/>
        <w:spacing w:before="15" w:line="249" w:lineRule="auto"/>
        <w:ind w:right="362"/>
      </w:pPr>
      <w:r>
        <w:t>hallucination that is phenomenologically (experientially) just like VM (and, therefore, VR and VG). We’ll refer to that hallucination as “VH” (short for “visual hallucination”). Prompted by that hallucination, I say:</w:t>
      </w:r>
    </w:p>
    <w:p w14:paraId="7E001573" w14:textId="77777777" w:rsidR="009A58DB" w:rsidRDefault="009A58DB">
      <w:pPr>
        <w:pStyle w:val="BodyText"/>
        <w:spacing w:before="23"/>
        <w:ind w:left="0"/>
        <w:jc w:val="left"/>
      </w:pPr>
    </w:p>
    <w:p w14:paraId="7E001574" w14:textId="77777777" w:rsidR="009A58DB" w:rsidRDefault="00000000">
      <w:pPr>
        <w:pStyle w:val="BodyText"/>
      </w:pPr>
      <w:r>
        <w:t>(U</w:t>
      </w:r>
      <w:r>
        <w:rPr>
          <w:spacing w:val="-1"/>
        </w:rPr>
        <w:t xml:space="preserve"> </w:t>
      </w:r>
      <w:r>
        <w:rPr>
          <w:vertAlign w:val="subscript"/>
        </w:rPr>
        <w:t>4</w:t>
      </w:r>
      <w:r>
        <w:t>)</w:t>
      </w:r>
      <w:r>
        <w:rPr>
          <w:spacing w:val="-1"/>
        </w:rPr>
        <w:t xml:space="preserve"> </w:t>
      </w:r>
      <w:r>
        <w:t>“That entity is</w:t>
      </w:r>
      <w:r>
        <w:rPr>
          <w:spacing w:val="-1"/>
        </w:rPr>
        <w:t xml:space="preserve"> </w:t>
      </w:r>
      <w:r>
        <w:t>wearing</w:t>
      </w:r>
      <w:r>
        <w:rPr>
          <w:spacing w:val="1"/>
        </w:rPr>
        <w:t xml:space="preserve"> </w:t>
      </w:r>
      <w:r>
        <w:t>a</w:t>
      </w:r>
      <w:r>
        <w:rPr>
          <w:spacing w:val="-1"/>
        </w:rPr>
        <w:t xml:space="preserve"> </w:t>
      </w:r>
      <w:r>
        <w:t xml:space="preserve">plaid </w:t>
      </w:r>
      <w:r>
        <w:rPr>
          <w:spacing w:val="-2"/>
        </w:rPr>
        <w:t>shirt.”</w:t>
      </w:r>
    </w:p>
    <w:p w14:paraId="7E001575" w14:textId="77777777" w:rsidR="009A58DB" w:rsidRDefault="009A58DB">
      <w:pPr>
        <w:pStyle w:val="BodyText"/>
        <w:spacing w:before="90"/>
        <w:ind w:left="0"/>
        <w:jc w:val="left"/>
      </w:pPr>
    </w:p>
    <w:p w14:paraId="7E001576" w14:textId="77777777" w:rsidR="009A58DB" w:rsidRDefault="00000000">
      <w:pPr>
        <w:pStyle w:val="BodyText"/>
        <w:spacing w:line="271" w:lineRule="auto"/>
        <w:ind w:right="359"/>
      </w:pPr>
      <w:r>
        <w:rPr>
          <w:i/>
        </w:rPr>
        <w:t xml:space="preserve">If </w:t>
      </w:r>
      <w:r>
        <w:t>U</w:t>
      </w:r>
      <w:r>
        <w:rPr>
          <w:vertAlign w:val="subscript"/>
        </w:rPr>
        <w:t>4</w:t>
      </w:r>
      <w:r>
        <w:t xml:space="preserve"> were correct, it would be because, in the place in question (the one at which I’m pointing), there was some individual w such that w was wearing a plaid</w:t>
      </w:r>
      <w:r>
        <w:rPr>
          <w:spacing w:val="3"/>
        </w:rPr>
        <w:t xml:space="preserve"> </w:t>
      </w:r>
      <w:r>
        <w:t>shirt;</w:t>
      </w:r>
      <w:r>
        <w:rPr>
          <w:spacing w:val="4"/>
        </w:rPr>
        <w:t xml:space="preserve"> </w:t>
      </w:r>
      <w:r>
        <w:t>and</w:t>
      </w:r>
      <w:r>
        <w:rPr>
          <w:spacing w:val="4"/>
        </w:rPr>
        <w:t xml:space="preserve"> </w:t>
      </w:r>
      <w:r>
        <w:t>the</w:t>
      </w:r>
      <w:r>
        <w:rPr>
          <w:spacing w:val="4"/>
        </w:rPr>
        <w:t xml:space="preserve"> </w:t>
      </w:r>
      <w:r>
        <w:t>proposition</w:t>
      </w:r>
      <w:r>
        <w:rPr>
          <w:spacing w:val="4"/>
        </w:rPr>
        <w:t xml:space="preserve"> </w:t>
      </w:r>
      <w:r>
        <w:t>that</w:t>
      </w:r>
      <w:r>
        <w:rPr>
          <w:spacing w:val="4"/>
        </w:rPr>
        <w:t xml:space="preserve"> </w:t>
      </w:r>
      <w:r>
        <w:t>U</w:t>
      </w:r>
      <w:r>
        <w:rPr>
          <w:vertAlign w:val="subscript"/>
        </w:rPr>
        <w:t>4</w:t>
      </w:r>
      <w:r>
        <w:rPr>
          <w:spacing w:val="5"/>
        </w:rPr>
        <w:t xml:space="preserve"> </w:t>
      </w:r>
      <w:r>
        <w:t>would</w:t>
      </w:r>
      <w:r>
        <w:rPr>
          <w:spacing w:val="6"/>
        </w:rPr>
        <w:t xml:space="preserve"> </w:t>
      </w:r>
      <w:r>
        <w:t>encode</w:t>
      </w:r>
      <w:r>
        <w:rPr>
          <w:spacing w:val="4"/>
        </w:rPr>
        <w:t xml:space="preserve"> </w:t>
      </w:r>
      <w:r>
        <w:t>under</w:t>
      </w:r>
      <w:r>
        <w:rPr>
          <w:spacing w:val="6"/>
        </w:rPr>
        <w:t xml:space="preserve"> </w:t>
      </w:r>
      <w:r>
        <w:t>that</w:t>
      </w:r>
      <w:r>
        <w:rPr>
          <w:spacing w:val="4"/>
        </w:rPr>
        <w:t xml:space="preserve"> </w:t>
      </w:r>
      <w:r>
        <w:rPr>
          <w:spacing w:val="-2"/>
        </w:rPr>
        <w:t>circumstance</w:t>
      </w:r>
    </w:p>
    <w:p w14:paraId="7E001577" w14:textId="77777777" w:rsidR="009A58DB" w:rsidRDefault="00000000">
      <w:pPr>
        <w:pStyle w:val="BodyText"/>
        <w:spacing w:before="31"/>
      </w:pPr>
      <w:r>
        <w:t>would</w:t>
      </w:r>
      <w:r>
        <w:rPr>
          <w:spacing w:val="-2"/>
        </w:rPr>
        <w:t xml:space="preserve"> </w:t>
      </w:r>
      <w:r>
        <w:rPr>
          <w:spacing w:val="-5"/>
        </w:rPr>
        <w:t>be:</w:t>
      </w:r>
    </w:p>
    <w:p w14:paraId="7E001578" w14:textId="77777777" w:rsidR="009A58DB" w:rsidRDefault="009A58DB">
      <w:pPr>
        <w:pStyle w:val="BodyText"/>
        <w:spacing w:before="30"/>
        <w:ind w:left="0"/>
        <w:jc w:val="left"/>
      </w:pPr>
    </w:p>
    <w:p w14:paraId="7E001579" w14:textId="77777777" w:rsidR="009A58DB" w:rsidRDefault="00000000">
      <w:pPr>
        <w:pStyle w:val="BodyText"/>
      </w:pPr>
      <w:r>
        <w:t>(bw)</w:t>
      </w:r>
      <w:r>
        <w:rPr>
          <w:spacing w:val="-3"/>
        </w:rPr>
        <w:t xml:space="preserve"> </w:t>
      </w:r>
      <w:r>
        <w:t>w</w:t>
      </w:r>
      <w:r>
        <w:rPr>
          <w:spacing w:val="-3"/>
        </w:rPr>
        <w:t xml:space="preserve"> </w:t>
      </w:r>
      <w:r>
        <w:t>is</w:t>
      </w:r>
      <w:r>
        <w:rPr>
          <w:spacing w:val="-3"/>
        </w:rPr>
        <w:t xml:space="preserve"> </w:t>
      </w:r>
      <w:r>
        <w:t>wearing</w:t>
      </w:r>
      <w:r>
        <w:rPr>
          <w:spacing w:val="-2"/>
        </w:rPr>
        <w:t xml:space="preserve"> </w:t>
      </w:r>
      <w:r>
        <w:t>a</w:t>
      </w:r>
      <w:r>
        <w:rPr>
          <w:spacing w:val="-3"/>
        </w:rPr>
        <w:t xml:space="preserve"> </w:t>
      </w:r>
      <w:r>
        <w:t>plaid</w:t>
      </w:r>
      <w:r>
        <w:rPr>
          <w:spacing w:val="-1"/>
        </w:rPr>
        <w:t xml:space="preserve"> </w:t>
      </w:r>
      <w:r>
        <w:rPr>
          <w:spacing w:val="-2"/>
        </w:rPr>
        <w:t>shirt.</w:t>
      </w:r>
    </w:p>
    <w:p w14:paraId="7E00157A" w14:textId="77777777" w:rsidR="009A58DB" w:rsidRDefault="009A58DB">
      <w:pPr>
        <w:pStyle w:val="BodyText"/>
        <w:spacing w:before="30"/>
        <w:ind w:left="0"/>
        <w:jc w:val="left"/>
      </w:pPr>
    </w:p>
    <w:p w14:paraId="7E00157B" w14:textId="77777777" w:rsidR="009A58DB" w:rsidRDefault="00000000">
      <w:pPr>
        <w:pStyle w:val="BodyText"/>
        <w:spacing w:line="292" w:lineRule="auto"/>
        <w:ind w:right="371"/>
      </w:pPr>
      <w:r>
        <w:t>But U</w:t>
      </w:r>
      <w:r>
        <w:rPr>
          <w:vertAlign w:val="subscript"/>
        </w:rPr>
        <w:t>4</w:t>
      </w:r>
      <w:r>
        <w:t xml:space="preserve"> is not correct. It’s not true or false. It’s abortive. If I point to a non-existent gnome on my bed, and I say:</w:t>
      </w:r>
    </w:p>
    <w:p w14:paraId="7E00157C" w14:textId="77777777" w:rsidR="009A58DB" w:rsidRDefault="00000000">
      <w:pPr>
        <w:pStyle w:val="BodyText"/>
        <w:spacing w:before="298"/>
      </w:pPr>
      <w:r>
        <w:t>(G</w:t>
      </w:r>
      <w:r>
        <w:rPr>
          <w:vertAlign w:val="subscript"/>
        </w:rPr>
        <w:t>1</w:t>
      </w:r>
      <w:r>
        <w:t>) “that</w:t>
      </w:r>
      <w:r>
        <w:rPr>
          <w:spacing w:val="1"/>
        </w:rPr>
        <w:t xml:space="preserve"> </w:t>
      </w:r>
      <w:r>
        <w:t>gnome</w:t>
      </w:r>
      <w:r>
        <w:rPr>
          <w:spacing w:val="1"/>
        </w:rPr>
        <w:t xml:space="preserve"> </w:t>
      </w:r>
      <w:r>
        <w:t>weights</w:t>
      </w:r>
      <w:r>
        <w:rPr>
          <w:spacing w:val="1"/>
        </w:rPr>
        <w:t xml:space="preserve"> </w:t>
      </w:r>
      <w:r>
        <w:t>8</w:t>
      </w:r>
      <w:r>
        <w:rPr>
          <w:spacing w:val="2"/>
        </w:rPr>
        <w:t xml:space="preserve"> </w:t>
      </w:r>
      <w:r>
        <w:rPr>
          <w:spacing w:val="-4"/>
        </w:rPr>
        <w:t>lbs,”</w:t>
      </w:r>
    </w:p>
    <w:p w14:paraId="7E00157D" w14:textId="77777777" w:rsidR="009A58DB" w:rsidRDefault="009A58DB">
      <w:pPr>
        <w:pStyle w:val="BodyText"/>
        <w:spacing w:before="90"/>
        <w:ind w:left="0"/>
        <w:jc w:val="left"/>
      </w:pPr>
    </w:p>
    <w:p w14:paraId="7E00157E" w14:textId="77777777" w:rsidR="009A58DB" w:rsidRDefault="00000000">
      <w:pPr>
        <w:pStyle w:val="BodyText"/>
        <w:spacing w:line="249" w:lineRule="auto"/>
        <w:ind w:right="360"/>
      </w:pPr>
      <w:r>
        <w:t xml:space="preserve">my utterance </w:t>
      </w:r>
      <w:r>
        <w:rPr>
          <w:i/>
        </w:rPr>
        <w:t xml:space="preserve">presupposes </w:t>
      </w:r>
      <w:r>
        <w:t>that there is such a gnome, and since that presupposition is false, my statement is neither true nor false. By contrast, if I pointed to the bed and said:</w:t>
      </w:r>
    </w:p>
    <w:p w14:paraId="7E00157F" w14:textId="77777777" w:rsidR="009A58DB" w:rsidRDefault="009A58DB">
      <w:pPr>
        <w:pStyle w:val="BodyText"/>
        <w:spacing w:before="19"/>
        <w:ind w:left="0"/>
        <w:jc w:val="left"/>
      </w:pPr>
    </w:p>
    <w:p w14:paraId="7E001580" w14:textId="77777777" w:rsidR="009A58DB" w:rsidRDefault="00000000">
      <w:pPr>
        <w:pStyle w:val="BodyText"/>
      </w:pPr>
      <w:r>
        <w:t>(G</w:t>
      </w:r>
      <w:r>
        <w:rPr>
          <w:vertAlign w:val="subscript"/>
        </w:rPr>
        <w:t>2</w:t>
      </w:r>
      <w:r>
        <w:t>)</w:t>
      </w:r>
      <w:r>
        <w:rPr>
          <w:spacing w:val="-1"/>
        </w:rPr>
        <w:t xml:space="preserve"> </w:t>
      </w:r>
      <w:r>
        <w:t>“there</w:t>
      </w:r>
      <w:r>
        <w:rPr>
          <w:spacing w:val="-1"/>
        </w:rPr>
        <w:t xml:space="preserve"> </w:t>
      </w:r>
      <w:r>
        <w:t>is</w:t>
      </w:r>
      <w:r>
        <w:rPr>
          <w:spacing w:val="-1"/>
        </w:rPr>
        <w:t xml:space="preserve"> </w:t>
      </w:r>
      <w:r>
        <w:t>a</w:t>
      </w:r>
      <w:r>
        <w:rPr>
          <w:spacing w:val="-1"/>
        </w:rPr>
        <w:t xml:space="preserve"> </w:t>
      </w:r>
      <w:r>
        <w:t>gnome</w:t>
      </w:r>
      <w:r>
        <w:rPr>
          <w:spacing w:val="-1"/>
        </w:rPr>
        <w:t xml:space="preserve"> </w:t>
      </w:r>
      <w:r>
        <w:t>on my</w:t>
      </w:r>
      <w:r>
        <w:rPr>
          <w:spacing w:val="1"/>
        </w:rPr>
        <w:t xml:space="preserve"> </w:t>
      </w:r>
      <w:r>
        <w:t>bed, and that</w:t>
      </w:r>
      <w:r>
        <w:rPr>
          <w:spacing w:val="-1"/>
        </w:rPr>
        <w:t xml:space="preserve"> </w:t>
      </w:r>
      <w:r>
        <w:t>gnome</w:t>
      </w:r>
      <w:r>
        <w:rPr>
          <w:spacing w:val="-1"/>
        </w:rPr>
        <w:t xml:space="preserve"> </w:t>
      </w:r>
      <w:r>
        <w:t>weights</w:t>
      </w:r>
      <w:r>
        <w:rPr>
          <w:spacing w:val="-1"/>
        </w:rPr>
        <w:t xml:space="preserve"> </w:t>
      </w:r>
      <w:r>
        <w:t xml:space="preserve">8 </w:t>
      </w:r>
      <w:r>
        <w:rPr>
          <w:spacing w:val="-2"/>
        </w:rPr>
        <w:t>lbs,”</w:t>
      </w:r>
    </w:p>
    <w:p w14:paraId="7E001581" w14:textId="77777777" w:rsidR="009A58DB" w:rsidRDefault="009A58DB">
      <w:pPr>
        <w:pStyle w:val="BodyText"/>
        <w:spacing w:before="90"/>
        <w:ind w:left="0"/>
        <w:jc w:val="left"/>
      </w:pPr>
    </w:p>
    <w:p w14:paraId="7E001582" w14:textId="77777777" w:rsidR="009A58DB" w:rsidRDefault="00000000">
      <w:pPr>
        <w:pStyle w:val="BodyText"/>
        <w:spacing w:line="271" w:lineRule="auto"/>
        <w:ind w:right="360"/>
      </w:pPr>
      <w:r>
        <w:rPr>
          <w:i/>
        </w:rPr>
        <w:t xml:space="preserve">that </w:t>
      </w:r>
      <w:r>
        <w:t>statement would be false. (G</w:t>
      </w:r>
      <w:r>
        <w:rPr>
          <w:vertAlign w:val="subscript"/>
        </w:rPr>
        <w:t>1</w:t>
      </w:r>
      <w:r>
        <w:t xml:space="preserve"> and G</w:t>
      </w:r>
      <w:r>
        <w:rPr>
          <w:vertAlign w:val="subscript"/>
        </w:rPr>
        <w:t>2</w:t>
      </w:r>
      <w:r>
        <w:t xml:space="preserve"> are supposed to be utterances of sentences, not sentences per se—sentence-tokens, not sentence-types.</w:t>
      </w:r>
      <w:bookmarkStart w:id="276" w:name="_bookmark276"/>
      <w:bookmarkEnd w:id="276"/>
      <w:r>
        <w:t>)</w:t>
      </w:r>
      <w:r>
        <w:rPr>
          <w:color w:val="0562C1"/>
          <w:position w:val="21"/>
          <w:u w:val="single" w:color="0562C1"/>
        </w:rPr>
        <w:t>[178]</w:t>
      </w:r>
      <w:r>
        <w:rPr>
          <w:color w:val="0562C1"/>
          <w:position w:val="21"/>
        </w:rPr>
        <w:t xml:space="preserve"> </w:t>
      </w:r>
      <w:r>
        <w:t>U</w:t>
      </w:r>
      <w:r>
        <w:rPr>
          <w:vertAlign w:val="subscript"/>
        </w:rPr>
        <w:t>4</w:t>
      </w:r>
      <w:r>
        <w:rPr>
          <w:spacing w:val="31"/>
        </w:rPr>
        <w:t xml:space="preserve"> </w:t>
      </w:r>
      <w:r>
        <w:t>is</w:t>
      </w:r>
      <w:r>
        <w:rPr>
          <w:spacing w:val="31"/>
        </w:rPr>
        <w:t xml:space="preserve"> </w:t>
      </w:r>
      <w:r>
        <w:t>abortive</w:t>
      </w:r>
      <w:r>
        <w:rPr>
          <w:spacing w:val="31"/>
        </w:rPr>
        <w:t xml:space="preserve"> </w:t>
      </w:r>
      <w:r>
        <w:t>for</w:t>
      </w:r>
      <w:r>
        <w:rPr>
          <w:spacing w:val="31"/>
        </w:rPr>
        <w:t xml:space="preserve"> </w:t>
      </w:r>
      <w:r>
        <w:t>the</w:t>
      </w:r>
      <w:r>
        <w:rPr>
          <w:spacing w:val="31"/>
        </w:rPr>
        <w:t xml:space="preserve"> </w:t>
      </w:r>
      <w:r>
        <w:t>same</w:t>
      </w:r>
      <w:r>
        <w:rPr>
          <w:spacing w:val="31"/>
        </w:rPr>
        <w:t xml:space="preserve"> </w:t>
      </w:r>
      <w:r>
        <w:t>reason</w:t>
      </w:r>
      <w:r>
        <w:rPr>
          <w:spacing w:val="31"/>
        </w:rPr>
        <w:t xml:space="preserve"> </w:t>
      </w:r>
      <w:r>
        <w:t>that</w:t>
      </w:r>
      <w:r>
        <w:rPr>
          <w:spacing w:val="31"/>
        </w:rPr>
        <w:t xml:space="preserve"> </w:t>
      </w:r>
      <w:r>
        <w:t>G</w:t>
      </w:r>
      <w:r>
        <w:rPr>
          <w:vertAlign w:val="subscript"/>
        </w:rPr>
        <w:t>1</w:t>
      </w:r>
      <w:r>
        <w:rPr>
          <w:spacing w:val="32"/>
        </w:rPr>
        <w:t xml:space="preserve"> </w:t>
      </w:r>
      <w:r>
        <w:t>is</w:t>
      </w:r>
      <w:r>
        <w:rPr>
          <w:spacing w:val="32"/>
        </w:rPr>
        <w:t xml:space="preserve"> </w:t>
      </w:r>
      <w:r>
        <w:t>abortive.</w:t>
      </w:r>
      <w:r>
        <w:rPr>
          <w:spacing w:val="32"/>
        </w:rPr>
        <w:t xml:space="preserve"> </w:t>
      </w:r>
      <w:r>
        <w:t>It</w:t>
      </w:r>
      <w:r>
        <w:rPr>
          <w:spacing w:val="31"/>
        </w:rPr>
        <w:t xml:space="preserve"> </w:t>
      </w:r>
      <w:r>
        <w:t>is</w:t>
      </w:r>
      <w:r>
        <w:rPr>
          <w:spacing w:val="32"/>
        </w:rPr>
        <w:t xml:space="preserve"> </w:t>
      </w:r>
      <w:r>
        <w:t>neither</w:t>
      </w:r>
      <w:r>
        <w:rPr>
          <w:spacing w:val="32"/>
        </w:rPr>
        <w:t xml:space="preserve"> </w:t>
      </w:r>
      <w:r>
        <w:t>true</w:t>
      </w:r>
      <w:r>
        <w:rPr>
          <w:spacing w:val="32"/>
        </w:rPr>
        <w:t xml:space="preserve"> </w:t>
      </w:r>
      <w:r>
        <w:t>nor</w:t>
      </w:r>
    </w:p>
    <w:p w14:paraId="7E001583" w14:textId="77777777" w:rsidR="009A58DB" w:rsidRDefault="00000000">
      <w:pPr>
        <w:pStyle w:val="BodyText"/>
        <w:spacing w:before="31" w:line="249" w:lineRule="auto"/>
        <w:ind w:right="359"/>
      </w:pPr>
      <w:r>
        <w:t xml:space="preserve">false. Since any expression that is true or false </w:t>
      </w:r>
      <w:r>
        <w:rPr>
          <w:i/>
        </w:rPr>
        <w:t>ipso facto</w:t>
      </w:r>
      <w:r>
        <w:rPr>
          <w:i/>
          <w:spacing w:val="40"/>
        </w:rPr>
        <w:t xml:space="preserve"> </w:t>
      </w:r>
      <w:r>
        <w:t>encodes a proposition,</w:t>
      </w:r>
      <w:r>
        <w:rPr>
          <w:spacing w:val="25"/>
        </w:rPr>
        <w:t xml:space="preserve"> </w:t>
      </w:r>
      <w:r>
        <w:t>and</w:t>
      </w:r>
      <w:r>
        <w:rPr>
          <w:spacing w:val="25"/>
        </w:rPr>
        <w:t xml:space="preserve"> </w:t>
      </w:r>
      <w:r>
        <w:t>since</w:t>
      </w:r>
      <w:r>
        <w:rPr>
          <w:spacing w:val="25"/>
        </w:rPr>
        <w:t xml:space="preserve"> </w:t>
      </w:r>
      <w:r>
        <w:t>any</w:t>
      </w:r>
      <w:r>
        <w:rPr>
          <w:spacing w:val="25"/>
        </w:rPr>
        <w:t xml:space="preserve"> </w:t>
      </w:r>
      <w:r>
        <w:t>proposition</w:t>
      </w:r>
      <w:r>
        <w:rPr>
          <w:spacing w:val="25"/>
        </w:rPr>
        <w:t xml:space="preserve"> </w:t>
      </w:r>
      <w:r>
        <w:t>is</w:t>
      </w:r>
      <w:r>
        <w:rPr>
          <w:spacing w:val="25"/>
        </w:rPr>
        <w:t xml:space="preserve"> </w:t>
      </w:r>
      <w:r>
        <w:rPr>
          <w:i/>
        </w:rPr>
        <w:t>ipso</w:t>
      </w:r>
      <w:r>
        <w:rPr>
          <w:i/>
          <w:spacing w:val="22"/>
        </w:rPr>
        <w:t xml:space="preserve"> </w:t>
      </w:r>
      <w:r>
        <w:rPr>
          <w:i/>
        </w:rPr>
        <w:t>facto</w:t>
      </w:r>
      <w:r>
        <w:rPr>
          <w:i/>
          <w:spacing w:val="80"/>
          <w:w w:val="150"/>
        </w:rPr>
        <w:t xml:space="preserve"> </w:t>
      </w:r>
      <w:r>
        <w:t>true</w:t>
      </w:r>
      <w:r>
        <w:rPr>
          <w:spacing w:val="27"/>
        </w:rPr>
        <w:t xml:space="preserve"> </w:t>
      </w:r>
      <w:r>
        <w:t>or</w:t>
      </w:r>
      <w:r>
        <w:rPr>
          <w:spacing w:val="27"/>
        </w:rPr>
        <w:t xml:space="preserve"> </w:t>
      </w:r>
      <w:r>
        <w:t>false,</w:t>
      </w:r>
      <w:r>
        <w:rPr>
          <w:spacing w:val="28"/>
        </w:rPr>
        <w:t xml:space="preserve"> </w:t>
      </w:r>
      <w:r>
        <w:t>it</w:t>
      </w:r>
      <w:r>
        <w:rPr>
          <w:spacing w:val="27"/>
        </w:rPr>
        <w:t xml:space="preserve"> </w:t>
      </w:r>
      <w:r>
        <w:t>follows</w:t>
      </w:r>
    </w:p>
    <w:p w14:paraId="7E00158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85" w14:textId="77777777" w:rsidR="009A58DB" w:rsidRDefault="00000000">
      <w:pPr>
        <w:pStyle w:val="BodyText"/>
        <w:spacing w:before="65"/>
      </w:pPr>
      <w:r>
        <w:lastRenderedPageBreak/>
        <w:t>that U</w:t>
      </w:r>
      <w:r>
        <w:rPr>
          <w:vertAlign w:val="subscript"/>
        </w:rPr>
        <w:t>4</w:t>
      </w:r>
      <w:r>
        <w:rPr>
          <w:spacing w:val="2"/>
        </w:rPr>
        <w:t xml:space="preserve"> </w:t>
      </w:r>
      <w:r>
        <w:t>fails to</w:t>
      </w:r>
      <w:r>
        <w:rPr>
          <w:spacing w:val="2"/>
        </w:rPr>
        <w:t xml:space="preserve"> </w:t>
      </w:r>
      <w:r>
        <w:t>encode</w:t>
      </w:r>
      <w:r>
        <w:rPr>
          <w:spacing w:val="1"/>
        </w:rPr>
        <w:t xml:space="preserve"> </w:t>
      </w:r>
      <w:r>
        <w:t xml:space="preserve">a </w:t>
      </w:r>
      <w:r>
        <w:rPr>
          <w:spacing w:val="-2"/>
        </w:rPr>
        <w:t>proposition.</w:t>
      </w:r>
    </w:p>
    <w:p w14:paraId="7E001586" w14:textId="77777777" w:rsidR="009A58DB" w:rsidRDefault="00000000">
      <w:pPr>
        <w:pStyle w:val="BodyText"/>
        <w:spacing w:before="75" w:line="271" w:lineRule="auto"/>
        <w:ind w:right="360" w:firstLine="360"/>
      </w:pPr>
      <w:r>
        <w:t>Burge rightly believes that U</w:t>
      </w:r>
      <w:r>
        <w:rPr>
          <w:vertAlign w:val="subscript"/>
        </w:rPr>
        <w:t>4</w:t>
      </w:r>
      <w:r>
        <w:t xml:space="preserve"> fails to encode a proposition. But he believes—partly on the basis, it seems—that </w:t>
      </w:r>
      <w:r>
        <w:rPr>
          <w:i/>
        </w:rPr>
        <w:t xml:space="preserve">VH </w:t>
      </w:r>
      <w:r>
        <w:t xml:space="preserve">has no content. In other words, he believes that VH isn’t giving me </w:t>
      </w:r>
      <w:r>
        <w:rPr>
          <w:i/>
        </w:rPr>
        <w:t xml:space="preserve">any </w:t>
      </w:r>
      <w:r>
        <w:t>message. What VH is giving</w:t>
      </w:r>
    </w:p>
    <w:p w14:paraId="7E001587" w14:textId="77777777" w:rsidR="009A58DB" w:rsidRDefault="00000000">
      <w:pPr>
        <w:pStyle w:val="BodyText"/>
        <w:spacing w:line="316" w:lineRule="exact"/>
      </w:pPr>
      <w:r>
        <w:t>me,</w:t>
      </w:r>
      <w:r>
        <w:rPr>
          <w:spacing w:val="-7"/>
        </w:rPr>
        <w:t xml:space="preserve"> </w:t>
      </w:r>
      <w:r>
        <w:t>Burge</w:t>
      </w:r>
      <w:r>
        <w:rPr>
          <w:spacing w:val="-4"/>
        </w:rPr>
        <w:t xml:space="preserve"> </w:t>
      </w:r>
      <w:r>
        <w:t>believes,</w:t>
      </w:r>
      <w:r>
        <w:rPr>
          <w:spacing w:val="-5"/>
        </w:rPr>
        <w:t xml:space="preserve"> </w:t>
      </w:r>
      <w:r>
        <w:t>is</w:t>
      </w:r>
      <w:r>
        <w:rPr>
          <w:spacing w:val="-4"/>
        </w:rPr>
        <w:t xml:space="preserve"> </w:t>
      </w:r>
      <w:r>
        <w:t>the</w:t>
      </w:r>
      <w:r>
        <w:rPr>
          <w:spacing w:val="-5"/>
        </w:rPr>
        <w:t xml:space="preserve"> </w:t>
      </w:r>
      <w:r>
        <w:t>following</w:t>
      </w:r>
      <w:r>
        <w:rPr>
          <w:spacing w:val="-4"/>
        </w:rPr>
        <w:t xml:space="preserve"> </w:t>
      </w:r>
      <w:r>
        <w:t>message-</w:t>
      </w:r>
      <w:r>
        <w:rPr>
          <w:spacing w:val="-2"/>
        </w:rPr>
        <w:t>fragment:</w:t>
      </w:r>
    </w:p>
    <w:p w14:paraId="7E001588" w14:textId="77777777" w:rsidR="009A58DB" w:rsidRDefault="009A58DB">
      <w:pPr>
        <w:pStyle w:val="BodyText"/>
        <w:spacing w:before="30"/>
        <w:ind w:left="0"/>
        <w:jc w:val="left"/>
      </w:pPr>
    </w:p>
    <w:p w14:paraId="7E001589" w14:textId="77777777" w:rsidR="009A58DB" w:rsidRDefault="00000000">
      <w:pPr>
        <w:pStyle w:val="BodyText"/>
      </w:pPr>
      <w:r>
        <w:t>(BLNK)</w:t>
      </w:r>
      <w:r>
        <w:rPr>
          <w:spacing w:val="-3"/>
        </w:rPr>
        <w:t xml:space="preserve"> </w:t>
      </w:r>
      <w:r>
        <w:rPr>
          <w:spacing w:val="72"/>
          <w:u w:val="single"/>
        </w:rPr>
        <w:t xml:space="preserve">  </w:t>
      </w:r>
      <w:r>
        <w:t>is</w:t>
      </w:r>
      <w:r>
        <w:rPr>
          <w:spacing w:val="-3"/>
        </w:rPr>
        <w:t xml:space="preserve"> </w:t>
      </w:r>
      <w:r>
        <w:t>wearing</w:t>
      </w:r>
      <w:r>
        <w:rPr>
          <w:spacing w:val="-1"/>
        </w:rPr>
        <w:t xml:space="preserve"> </w:t>
      </w:r>
      <w:r>
        <w:t>a</w:t>
      </w:r>
      <w:r>
        <w:rPr>
          <w:spacing w:val="-3"/>
        </w:rPr>
        <w:t xml:space="preserve"> </w:t>
      </w:r>
      <w:r>
        <w:t>plaid</w:t>
      </w:r>
      <w:r>
        <w:rPr>
          <w:spacing w:val="-1"/>
        </w:rPr>
        <w:t xml:space="preserve"> </w:t>
      </w:r>
      <w:r>
        <w:rPr>
          <w:spacing w:val="-2"/>
        </w:rPr>
        <w:t>shirt.</w:t>
      </w:r>
    </w:p>
    <w:p w14:paraId="7E00158A" w14:textId="77777777" w:rsidR="009A58DB" w:rsidRDefault="009A58DB">
      <w:pPr>
        <w:pStyle w:val="BodyText"/>
        <w:spacing w:before="30"/>
        <w:ind w:left="0"/>
        <w:jc w:val="left"/>
      </w:pPr>
    </w:p>
    <w:p w14:paraId="7E00158B" w14:textId="77777777" w:rsidR="009A58DB" w:rsidRDefault="00000000">
      <w:pPr>
        <w:pStyle w:val="BodyText"/>
      </w:pPr>
      <w:r>
        <w:t>The</w:t>
      </w:r>
      <w:r>
        <w:rPr>
          <w:spacing w:val="-4"/>
        </w:rPr>
        <w:t xml:space="preserve"> </w:t>
      </w:r>
      <w:r>
        <w:t>underlining</w:t>
      </w:r>
      <w:r>
        <w:rPr>
          <w:spacing w:val="-1"/>
        </w:rPr>
        <w:t xml:space="preserve"> </w:t>
      </w:r>
      <w:r>
        <w:t>(the</w:t>
      </w:r>
      <w:r>
        <w:rPr>
          <w:spacing w:val="-2"/>
        </w:rPr>
        <w:t xml:space="preserve"> </w:t>
      </w:r>
      <w:r>
        <w:rPr>
          <w:spacing w:val="72"/>
          <w:u w:val="single"/>
        </w:rPr>
        <w:t xml:space="preserve">   </w:t>
      </w:r>
      <w:r>
        <w:t>) is</w:t>
      </w:r>
      <w:r>
        <w:rPr>
          <w:spacing w:val="-2"/>
        </w:rPr>
        <w:t xml:space="preserve"> </w:t>
      </w:r>
      <w:r>
        <w:t>meant</w:t>
      </w:r>
      <w:r>
        <w:rPr>
          <w:spacing w:val="-2"/>
        </w:rPr>
        <w:t xml:space="preserve"> </w:t>
      </w:r>
      <w:r>
        <w:t>to</w:t>
      </w:r>
      <w:r>
        <w:rPr>
          <w:spacing w:val="-1"/>
        </w:rPr>
        <w:t xml:space="preserve"> </w:t>
      </w:r>
      <w:r>
        <w:t>denote</w:t>
      </w:r>
      <w:r>
        <w:rPr>
          <w:spacing w:val="-2"/>
        </w:rPr>
        <w:t xml:space="preserve"> </w:t>
      </w:r>
      <w:r>
        <w:t>a</w:t>
      </w:r>
      <w:r>
        <w:rPr>
          <w:spacing w:val="-1"/>
        </w:rPr>
        <w:t xml:space="preserve"> </w:t>
      </w:r>
      <w:r>
        <w:t>gap</w:t>
      </w:r>
      <w:r>
        <w:rPr>
          <w:spacing w:val="-2"/>
        </w:rPr>
        <w:t xml:space="preserve"> </w:t>
      </w:r>
      <w:r>
        <w:t>or</w:t>
      </w:r>
      <w:r>
        <w:rPr>
          <w:spacing w:val="-1"/>
        </w:rPr>
        <w:t xml:space="preserve"> </w:t>
      </w:r>
      <w:r>
        <w:t>blank</w:t>
      </w:r>
      <w:r>
        <w:rPr>
          <w:spacing w:val="-2"/>
        </w:rPr>
        <w:t xml:space="preserve"> </w:t>
      </w:r>
      <w:r>
        <w:t>of</w:t>
      </w:r>
      <w:r>
        <w:rPr>
          <w:spacing w:val="-1"/>
        </w:rPr>
        <w:t xml:space="preserve"> </w:t>
      </w:r>
      <w:r>
        <w:t>some</w:t>
      </w:r>
      <w:r>
        <w:rPr>
          <w:spacing w:val="-2"/>
        </w:rPr>
        <w:t xml:space="preserve"> kind.</w:t>
      </w:r>
    </w:p>
    <w:p w14:paraId="7E00158C" w14:textId="77777777" w:rsidR="009A58DB" w:rsidRDefault="00000000">
      <w:pPr>
        <w:pStyle w:val="BodyText"/>
        <w:spacing w:before="15" w:line="249" w:lineRule="auto"/>
        <w:ind w:right="361" w:firstLine="360"/>
      </w:pPr>
      <w:r>
        <w:t xml:space="preserve">Burge also thinks that the thought I’m having on the basis of VH has a blank in it—that it’s like BLNK. In Burge’s view that thought (or non-thought, as the case may be) is </w:t>
      </w:r>
      <w:r>
        <w:rPr>
          <w:i/>
        </w:rPr>
        <w:t xml:space="preserve">identical </w:t>
      </w:r>
      <w:r>
        <w:t>with BLNK.</w:t>
      </w:r>
    </w:p>
    <w:p w14:paraId="7E00158D" w14:textId="77777777" w:rsidR="009A58DB" w:rsidRDefault="00000000">
      <w:pPr>
        <w:pStyle w:val="BodyText"/>
        <w:spacing w:before="3" w:line="249" w:lineRule="auto"/>
        <w:ind w:right="359" w:firstLine="360"/>
      </w:pPr>
      <w:r>
        <w:t xml:space="preserve">If Burge is right, what VH gives me has a hole in it, and therefore isn’t really a message; and to the extent that it’s based on VH, the mental activity that follows it doesn’t mediate any </w:t>
      </w:r>
      <w:r>
        <w:rPr>
          <w:i/>
        </w:rPr>
        <w:t xml:space="preserve">bona fide </w:t>
      </w:r>
      <w:r>
        <w:t>thoughts. Since the mental activity</w:t>
      </w:r>
      <w:r>
        <w:rPr>
          <w:spacing w:val="28"/>
        </w:rPr>
        <w:t xml:space="preserve"> </w:t>
      </w:r>
      <w:r>
        <w:t>underlying</w:t>
      </w:r>
      <w:r>
        <w:rPr>
          <w:spacing w:val="28"/>
        </w:rPr>
        <w:t xml:space="preserve"> </w:t>
      </w:r>
      <w:r>
        <w:t>U</w:t>
      </w:r>
      <w:r>
        <w:rPr>
          <w:vertAlign w:val="subscript"/>
        </w:rPr>
        <w:t>4</w:t>
      </w:r>
      <w:r>
        <w:rPr>
          <w:spacing w:val="31"/>
        </w:rPr>
        <w:t xml:space="preserve"> </w:t>
      </w:r>
      <w:r>
        <w:t>is</w:t>
      </w:r>
      <w:r>
        <w:rPr>
          <w:spacing w:val="31"/>
        </w:rPr>
        <w:t xml:space="preserve"> </w:t>
      </w:r>
      <w:r>
        <w:t>obviously</w:t>
      </w:r>
      <w:r>
        <w:rPr>
          <w:spacing w:val="31"/>
        </w:rPr>
        <w:t xml:space="preserve"> </w:t>
      </w:r>
      <w:r>
        <w:t>based</w:t>
      </w:r>
      <w:r>
        <w:rPr>
          <w:spacing w:val="31"/>
        </w:rPr>
        <w:t xml:space="preserve"> </w:t>
      </w:r>
      <w:r>
        <w:t>on</w:t>
      </w:r>
      <w:r>
        <w:rPr>
          <w:spacing w:val="31"/>
        </w:rPr>
        <w:t xml:space="preserve"> </w:t>
      </w:r>
      <w:r>
        <w:t>VH,</w:t>
      </w:r>
      <w:r>
        <w:rPr>
          <w:spacing w:val="31"/>
        </w:rPr>
        <w:t xml:space="preserve"> </w:t>
      </w:r>
      <w:r>
        <w:t>Burge’s</w:t>
      </w:r>
      <w:r>
        <w:rPr>
          <w:spacing w:val="31"/>
        </w:rPr>
        <w:t xml:space="preserve"> </w:t>
      </w:r>
      <w:r>
        <w:t>view</w:t>
      </w:r>
      <w:r>
        <w:rPr>
          <w:spacing w:val="31"/>
        </w:rPr>
        <w:t xml:space="preserve"> </w:t>
      </w:r>
      <w:r>
        <w:t>entails</w:t>
      </w:r>
      <w:r>
        <w:rPr>
          <w:spacing w:val="31"/>
        </w:rPr>
        <w:t xml:space="preserve"> </w:t>
      </w:r>
      <w:r>
        <w:t>that</w:t>
      </w:r>
    </w:p>
    <w:p w14:paraId="7E00158E" w14:textId="77777777" w:rsidR="009A58DB" w:rsidRDefault="00000000">
      <w:pPr>
        <w:spacing w:before="65"/>
        <w:ind w:left="360"/>
        <w:jc w:val="both"/>
        <w:rPr>
          <w:sz w:val="30"/>
        </w:rPr>
      </w:pPr>
      <w:r>
        <w:rPr>
          <w:sz w:val="30"/>
        </w:rPr>
        <w:t>no</w:t>
      </w:r>
      <w:r>
        <w:rPr>
          <w:spacing w:val="-3"/>
          <w:sz w:val="30"/>
        </w:rPr>
        <w:t xml:space="preserve"> </w:t>
      </w:r>
      <w:r>
        <w:rPr>
          <w:i/>
          <w:sz w:val="30"/>
        </w:rPr>
        <w:t>thought</w:t>
      </w:r>
      <w:r>
        <w:rPr>
          <w:i/>
          <w:spacing w:val="-3"/>
          <w:sz w:val="30"/>
        </w:rPr>
        <w:t xml:space="preserve"> </w:t>
      </w:r>
      <w:r>
        <w:rPr>
          <w:sz w:val="30"/>
        </w:rPr>
        <w:t>underlies</w:t>
      </w:r>
      <w:r>
        <w:rPr>
          <w:spacing w:val="-2"/>
          <w:sz w:val="30"/>
        </w:rPr>
        <w:t xml:space="preserve"> </w:t>
      </w:r>
      <w:r>
        <w:rPr>
          <w:sz w:val="30"/>
        </w:rPr>
        <w:t>that</w:t>
      </w:r>
      <w:r>
        <w:rPr>
          <w:spacing w:val="-3"/>
          <w:sz w:val="30"/>
        </w:rPr>
        <w:t xml:space="preserve"> </w:t>
      </w:r>
      <w:r>
        <w:rPr>
          <w:spacing w:val="-2"/>
          <w:sz w:val="30"/>
        </w:rPr>
        <w:t>utterance.</w:t>
      </w:r>
    </w:p>
    <w:p w14:paraId="7E00158F" w14:textId="77777777" w:rsidR="009A58DB" w:rsidRDefault="00000000">
      <w:pPr>
        <w:pStyle w:val="BodyText"/>
        <w:spacing w:before="15" w:line="249" w:lineRule="auto"/>
        <w:ind w:right="365" w:firstLine="360"/>
      </w:pPr>
      <w:r>
        <w:t>Burge’s position is preposterous. It’s obvious that VH gives me a</w:t>
      </w:r>
      <w:r>
        <w:rPr>
          <w:spacing w:val="40"/>
        </w:rPr>
        <w:t xml:space="preserve"> </w:t>
      </w:r>
      <w:r>
        <w:t>complete message. It tells me that there is an individual in a certain place</w:t>
      </w:r>
      <w:r>
        <w:rPr>
          <w:spacing w:val="40"/>
        </w:rPr>
        <w:t xml:space="preserve"> </w:t>
      </w:r>
      <w:r>
        <w:t>who wearing a plaid shirt (etc.). More precisely, it tells me that:</w:t>
      </w:r>
    </w:p>
    <w:p w14:paraId="7E001590" w14:textId="77777777" w:rsidR="009A58DB" w:rsidRDefault="009A58DB">
      <w:pPr>
        <w:pStyle w:val="BodyText"/>
        <w:spacing w:before="19"/>
        <w:ind w:left="0"/>
        <w:jc w:val="left"/>
      </w:pPr>
    </w:p>
    <w:p w14:paraId="7E001591" w14:textId="77777777" w:rsidR="009A58DB" w:rsidRDefault="00000000">
      <w:pPr>
        <w:pStyle w:val="BodyText"/>
        <w:spacing w:line="249" w:lineRule="auto"/>
        <w:ind w:right="360"/>
      </w:pPr>
      <w:r>
        <w:t xml:space="preserve">(CVR) There is some entity x such that x has such and such characteristics, such that x is standing is in a certain place and such that x is wearing a plaid </w:t>
      </w:r>
      <w:r>
        <w:rPr>
          <w:spacing w:val="-2"/>
        </w:rPr>
        <w:t>shirt.</w:t>
      </w:r>
    </w:p>
    <w:p w14:paraId="7E001592" w14:textId="77777777" w:rsidR="009A58DB" w:rsidRDefault="009A58DB">
      <w:pPr>
        <w:pStyle w:val="BodyText"/>
        <w:spacing w:before="19"/>
        <w:ind w:left="0"/>
        <w:jc w:val="left"/>
      </w:pPr>
    </w:p>
    <w:p w14:paraId="7E001593" w14:textId="77777777" w:rsidR="009A58DB" w:rsidRDefault="00000000">
      <w:pPr>
        <w:pStyle w:val="BodyText"/>
        <w:spacing w:line="249" w:lineRule="auto"/>
        <w:ind w:right="361" w:firstLine="360"/>
      </w:pPr>
      <w:r>
        <w:t>CVR is a false message, of course. But that only proves our point, since false messages are complete messages. Burge’s analysis entails that the message given to me by my visual experience is BLNK, not CVR. Since BLNK, unlike the message that is in fact given to me, is neither true nor</w:t>
      </w:r>
      <w:r>
        <w:rPr>
          <w:spacing w:val="40"/>
        </w:rPr>
        <w:t xml:space="preserve"> </w:t>
      </w:r>
      <w:r>
        <w:t>false, Burge’s analysis is false.</w:t>
      </w:r>
    </w:p>
    <w:p w14:paraId="7E001594" w14:textId="77777777" w:rsidR="009A58DB" w:rsidRDefault="00000000">
      <w:pPr>
        <w:pStyle w:val="Heading1"/>
        <w:numPr>
          <w:ilvl w:val="0"/>
          <w:numId w:val="144"/>
        </w:numPr>
        <w:tabs>
          <w:tab w:val="left" w:pos="1275"/>
        </w:tabs>
        <w:spacing w:before="194" w:line="244" w:lineRule="auto"/>
        <w:ind w:left="360" w:right="366" w:firstLine="0"/>
        <w:jc w:val="both"/>
      </w:pPr>
      <w:r>
        <w:t>A corollary of Burge’s externalism: the impossibility of knowing one’s conscious thoughts any</w:t>
      </w:r>
      <w:r>
        <w:rPr>
          <w:spacing w:val="28"/>
        </w:rPr>
        <w:t xml:space="preserve"> </w:t>
      </w:r>
      <w:r>
        <w:t>better</w:t>
      </w:r>
      <w:r>
        <w:rPr>
          <w:spacing w:val="29"/>
        </w:rPr>
        <w:t xml:space="preserve"> </w:t>
      </w:r>
      <w:r>
        <w:t>than</w:t>
      </w:r>
      <w:r>
        <w:rPr>
          <w:spacing w:val="28"/>
        </w:rPr>
        <w:t xml:space="preserve"> </w:t>
      </w:r>
      <w:r>
        <w:t>one</w:t>
      </w:r>
      <w:r>
        <w:rPr>
          <w:spacing w:val="29"/>
        </w:rPr>
        <w:t xml:space="preserve"> </w:t>
      </w:r>
      <w:r>
        <w:t>knows</w:t>
      </w:r>
      <w:r>
        <w:rPr>
          <w:spacing w:val="29"/>
        </w:rPr>
        <w:t xml:space="preserve"> </w:t>
      </w:r>
      <w:r>
        <w:t>facts</w:t>
      </w:r>
      <w:r>
        <w:rPr>
          <w:spacing w:val="28"/>
        </w:rPr>
        <w:t xml:space="preserve"> </w:t>
      </w:r>
      <w:r>
        <w:t>about</w:t>
      </w:r>
      <w:r>
        <w:rPr>
          <w:spacing w:val="29"/>
        </w:rPr>
        <w:t xml:space="preserve"> </w:t>
      </w:r>
      <w:r>
        <w:t>the</w:t>
      </w:r>
      <w:r>
        <w:rPr>
          <w:spacing w:val="29"/>
        </w:rPr>
        <w:t xml:space="preserve"> </w:t>
      </w:r>
      <w:r>
        <w:rPr>
          <w:spacing w:val="-2"/>
        </w:rPr>
        <w:t>spatially</w:t>
      </w:r>
    </w:p>
    <w:p w14:paraId="7E001595" w14:textId="77777777" w:rsidR="009A58DB" w:rsidRDefault="009A58DB">
      <w:pPr>
        <w:pStyle w:val="Heading1"/>
        <w:spacing w:line="244" w:lineRule="auto"/>
        <w:jc w:val="both"/>
        <w:sectPr w:rsidR="009A58DB">
          <w:pgSz w:w="12240" w:h="15840"/>
          <w:pgMar w:top="1380" w:right="1080" w:bottom="280" w:left="1080" w:header="720" w:footer="720" w:gutter="0"/>
          <w:cols w:space="720"/>
        </w:sectPr>
      </w:pPr>
    </w:p>
    <w:p w14:paraId="7E001596" w14:textId="77777777" w:rsidR="009A58DB" w:rsidRDefault="00000000">
      <w:pPr>
        <w:spacing w:before="53"/>
        <w:ind w:left="360"/>
        <w:jc w:val="both"/>
        <w:rPr>
          <w:b/>
          <w:sz w:val="42"/>
        </w:rPr>
      </w:pPr>
      <w:r>
        <w:rPr>
          <w:b/>
          <w:sz w:val="42"/>
        </w:rPr>
        <w:lastRenderedPageBreak/>
        <w:t>and</w:t>
      </w:r>
      <w:r>
        <w:rPr>
          <w:b/>
          <w:spacing w:val="-5"/>
          <w:sz w:val="42"/>
        </w:rPr>
        <w:t xml:space="preserve"> </w:t>
      </w:r>
      <w:r>
        <w:rPr>
          <w:b/>
          <w:sz w:val="42"/>
        </w:rPr>
        <w:t>temporally</w:t>
      </w:r>
      <w:r>
        <w:rPr>
          <w:b/>
          <w:spacing w:val="-5"/>
          <w:sz w:val="42"/>
        </w:rPr>
        <w:t xml:space="preserve"> </w:t>
      </w:r>
      <w:r>
        <w:rPr>
          <w:b/>
          <w:sz w:val="42"/>
        </w:rPr>
        <w:t>remote</w:t>
      </w:r>
      <w:r>
        <w:rPr>
          <w:b/>
          <w:spacing w:val="-4"/>
          <w:sz w:val="42"/>
        </w:rPr>
        <w:t xml:space="preserve"> past</w:t>
      </w:r>
    </w:p>
    <w:p w14:paraId="7E001597" w14:textId="77777777" w:rsidR="009A58DB" w:rsidRDefault="00000000">
      <w:pPr>
        <w:pStyle w:val="BodyText"/>
        <w:spacing w:before="144" w:line="271" w:lineRule="auto"/>
        <w:ind w:right="363"/>
      </w:pPr>
      <w:r>
        <w:t>Let’s continue to think about my situation in W</w:t>
      </w:r>
      <w:r>
        <w:rPr>
          <w:vertAlign w:val="subscript"/>
        </w:rPr>
        <w:t>4</w:t>
      </w:r>
      <w:r>
        <w:t xml:space="preserve">. In that world, I </w:t>
      </w:r>
      <w:r>
        <w:rPr>
          <w:i/>
        </w:rPr>
        <w:t xml:space="preserve">think </w:t>
      </w:r>
      <w:r>
        <w:t>that I’m seeing somebody—and I’m wrong. But there’s something I’m not wrong about.</w:t>
      </w:r>
      <w:r>
        <w:rPr>
          <w:spacing w:val="-1"/>
        </w:rPr>
        <w:t xml:space="preserve"> </w:t>
      </w:r>
      <w:r>
        <w:t>In W</w:t>
      </w:r>
      <w:r>
        <w:rPr>
          <w:vertAlign w:val="subscript"/>
        </w:rPr>
        <w:t>4</w:t>
      </w:r>
      <w:r>
        <w:t>,</w:t>
      </w:r>
      <w:r>
        <w:rPr>
          <w:spacing w:val="4"/>
        </w:rPr>
        <w:t xml:space="preserve"> </w:t>
      </w:r>
      <w:r>
        <w:t>if,</w:t>
      </w:r>
      <w:r>
        <w:rPr>
          <w:spacing w:val="6"/>
        </w:rPr>
        <w:t xml:space="preserve"> </w:t>
      </w:r>
      <w:r>
        <w:t>at</w:t>
      </w:r>
      <w:r>
        <w:rPr>
          <w:spacing w:val="4"/>
        </w:rPr>
        <w:t xml:space="preserve"> </w:t>
      </w:r>
      <w:r>
        <w:t>the</w:t>
      </w:r>
      <w:r>
        <w:rPr>
          <w:spacing w:val="6"/>
        </w:rPr>
        <w:t xml:space="preserve"> </w:t>
      </w:r>
      <w:r>
        <w:t>time</w:t>
      </w:r>
      <w:r>
        <w:rPr>
          <w:spacing w:val="5"/>
        </w:rPr>
        <w:t xml:space="preserve"> </w:t>
      </w:r>
      <w:r>
        <w:t>I</w:t>
      </w:r>
      <w:r>
        <w:rPr>
          <w:spacing w:val="5"/>
        </w:rPr>
        <w:t xml:space="preserve"> </w:t>
      </w:r>
      <w:r>
        <w:t>was</w:t>
      </w:r>
      <w:r>
        <w:rPr>
          <w:spacing w:val="5"/>
        </w:rPr>
        <w:t xml:space="preserve"> </w:t>
      </w:r>
      <w:r>
        <w:t>having</w:t>
      </w:r>
      <w:r>
        <w:rPr>
          <w:spacing w:val="5"/>
        </w:rPr>
        <w:t xml:space="preserve"> </w:t>
      </w:r>
      <w:r>
        <w:t>VH,</w:t>
      </w:r>
      <w:r>
        <w:rPr>
          <w:spacing w:val="5"/>
        </w:rPr>
        <w:t xml:space="preserve"> </w:t>
      </w:r>
      <w:r>
        <w:t>I</w:t>
      </w:r>
      <w:r>
        <w:rPr>
          <w:spacing w:val="5"/>
        </w:rPr>
        <w:t xml:space="preserve"> </w:t>
      </w:r>
      <w:r>
        <w:t>were</w:t>
      </w:r>
      <w:r>
        <w:rPr>
          <w:spacing w:val="5"/>
        </w:rPr>
        <w:t xml:space="preserve"> </w:t>
      </w:r>
      <w:r>
        <w:t>asked</w:t>
      </w:r>
      <w:r>
        <w:rPr>
          <w:spacing w:val="6"/>
        </w:rPr>
        <w:t xml:space="preserve"> </w:t>
      </w:r>
      <w:r>
        <w:t>“are</w:t>
      </w:r>
      <w:r>
        <w:rPr>
          <w:spacing w:val="4"/>
        </w:rPr>
        <w:t xml:space="preserve"> </w:t>
      </w:r>
      <w:r>
        <w:t>you</w:t>
      </w:r>
      <w:r>
        <w:rPr>
          <w:spacing w:val="6"/>
        </w:rPr>
        <w:t xml:space="preserve"> </w:t>
      </w:r>
      <w:r>
        <w:t>having</w:t>
      </w:r>
      <w:r>
        <w:rPr>
          <w:spacing w:val="4"/>
        </w:rPr>
        <w:t xml:space="preserve"> </w:t>
      </w:r>
      <w:r>
        <w:rPr>
          <w:spacing w:val="-10"/>
        </w:rPr>
        <w:t>a</w:t>
      </w:r>
    </w:p>
    <w:p w14:paraId="7E001598" w14:textId="77777777" w:rsidR="009A58DB" w:rsidRDefault="00000000">
      <w:pPr>
        <w:pStyle w:val="BodyText"/>
        <w:spacing w:before="30" w:line="249" w:lineRule="auto"/>
        <w:ind w:right="359"/>
      </w:pPr>
      <w:r>
        <w:t>thought and, if so, what is it?” I’d say without any hesitation: “yes, I’m having a thought; I’m thinking that the fellow standing over there is wearing</w:t>
      </w:r>
      <w:r>
        <w:rPr>
          <w:spacing w:val="40"/>
        </w:rPr>
        <w:t xml:space="preserve"> </w:t>
      </w:r>
      <w:r>
        <w:t>a plaid shirt.” Surely my answer to the second question is right. I know what I’m thinking. What I’m thinking is wrong, since there’s no man there. But</w:t>
      </w:r>
      <w:r>
        <w:rPr>
          <w:spacing w:val="40"/>
        </w:rPr>
        <w:t xml:space="preserve"> </w:t>
      </w:r>
      <w:r>
        <w:t>I’m right to think that I’m thinking it.</w:t>
      </w:r>
    </w:p>
    <w:p w14:paraId="7E001599" w14:textId="77777777" w:rsidR="009A58DB" w:rsidRDefault="00000000">
      <w:pPr>
        <w:pStyle w:val="BodyText"/>
        <w:spacing w:before="6" w:line="271" w:lineRule="auto"/>
        <w:ind w:right="366" w:firstLine="360"/>
      </w:pPr>
      <w:r>
        <w:t xml:space="preserve">But Burge’s position entails the opposite. In the context in question, I’m not thinking </w:t>
      </w:r>
      <w:r>
        <w:rPr>
          <w:i/>
        </w:rPr>
        <w:t>anything.</w:t>
      </w:r>
      <w:r>
        <w:rPr>
          <w:i/>
          <w:spacing w:val="-1"/>
        </w:rPr>
        <w:t xml:space="preserve"> </w:t>
      </w:r>
      <w:r>
        <w:t>There’s a blank where, had I been in W</w:t>
      </w:r>
      <w:r>
        <w:rPr>
          <w:vertAlign w:val="subscript"/>
        </w:rPr>
        <w:t>1</w:t>
      </w:r>
      <w:r>
        <w:t>–W</w:t>
      </w:r>
      <w:r>
        <w:rPr>
          <w:vertAlign w:val="subscript"/>
        </w:rPr>
        <w:t>3</w:t>
      </w:r>
      <w:r>
        <w:t xml:space="preserve">, I </w:t>
      </w:r>
      <w:r>
        <w:rPr>
          <w:i/>
        </w:rPr>
        <w:t xml:space="preserve">would </w:t>
      </w:r>
      <w:r>
        <w:t>have</w:t>
      </w:r>
      <w:r>
        <w:rPr>
          <w:spacing w:val="31"/>
        </w:rPr>
        <w:t xml:space="preserve"> </w:t>
      </w:r>
      <w:r>
        <w:t>been</w:t>
      </w:r>
      <w:r>
        <w:rPr>
          <w:spacing w:val="33"/>
        </w:rPr>
        <w:t xml:space="preserve"> </w:t>
      </w:r>
      <w:r>
        <w:t>having</w:t>
      </w:r>
      <w:r>
        <w:rPr>
          <w:spacing w:val="34"/>
        </w:rPr>
        <w:t xml:space="preserve"> </w:t>
      </w:r>
      <w:r>
        <w:t>a</w:t>
      </w:r>
      <w:r>
        <w:rPr>
          <w:spacing w:val="33"/>
        </w:rPr>
        <w:t xml:space="preserve"> </w:t>
      </w:r>
      <w:r>
        <w:t>thought.</w:t>
      </w:r>
      <w:r>
        <w:rPr>
          <w:spacing w:val="33"/>
        </w:rPr>
        <w:t xml:space="preserve"> </w:t>
      </w:r>
      <w:r>
        <w:t>A</w:t>
      </w:r>
      <w:r>
        <w:rPr>
          <w:spacing w:val="34"/>
        </w:rPr>
        <w:t xml:space="preserve"> </w:t>
      </w:r>
      <w:r>
        <w:t>consequence</w:t>
      </w:r>
      <w:r>
        <w:rPr>
          <w:spacing w:val="33"/>
        </w:rPr>
        <w:t xml:space="preserve"> </w:t>
      </w:r>
      <w:r>
        <w:t>is</w:t>
      </w:r>
      <w:r>
        <w:rPr>
          <w:spacing w:val="34"/>
        </w:rPr>
        <w:t xml:space="preserve"> </w:t>
      </w:r>
      <w:r>
        <w:t>that,</w:t>
      </w:r>
      <w:r>
        <w:rPr>
          <w:spacing w:val="33"/>
        </w:rPr>
        <w:t xml:space="preserve"> </w:t>
      </w:r>
      <w:r>
        <w:t>when</w:t>
      </w:r>
      <w:r>
        <w:rPr>
          <w:spacing w:val="33"/>
        </w:rPr>
        <w:t xml:space="preserve"> </w:t>
      </w:r>
      <w:r>
        <w:t>you</w:t>
      </w:r>
      <w:r>
        <w:rPr>
          <w:spacing w:val="34"/>
        </w:rPr>
        <w:t xml:space="preserve"> </w:t>
      </w:r>
      <w:r>
        <w:t>ask</w:t>
      </w:r>
      <w:r>
        <w:rPr>
          <w:spacing w:val="33"/>
        </w:rPr>
        <w:t xml:space="preserve"> </w:t>
      </w:r>
      <w:r>
        <w:t>me</w:t>
      </w:r>
      <w:r>
        <w:rPr>
          <w:spacing w:val="34"/>
        </w:rPr>
        <w:t xml:space="preserve"> </w:t>
      </w:r>
      <w:r>
        <w:rPr>
          <w:spacing w:val="-4"/>
        </w:rPr>
        <w:t>“are</w:t>
      </w:r>
    </w:p>
    <w:p w14:paraId="7E00159A" w14:textId="77777777" w:rsidR="009A58DB" w:rsidRDefault="00000000">
      <w:pPr>
        <w:pStyle w:val="BodyText"/>
        <w:spacing w:line="316" w:lineRule="exact"/>
      </w:pPr>
      <w:r>
        <w:t>you</w:t>
      </w:r>
      <w:r>
        <w:rPr>
          <w:spacing w:val="24"/>
        </w:rPr>
        <w:t xml:space="preserve"> </w:t>
      </w:r>
      <w:r>
        <w:t>having</w:t>
      </w:r>
      <w:r>
        <w:rPr>
          <w:spacing w:val="25"/>
        </w:rPr>
        <w:t xml:space="preserve"> </w:t>
      </w:r>
      <w:r>
        <w:t>a</w:t>
      </w:r>
      <w:r>
        <w:rPr>
          <w:spacing w:val="24"/>
        </w:rPr>
        <w:t xml:space="preserve"> </w:t>
      </w:r>
      <w:r>
        <w:t>thought</w:t>
      </w:r>
      <w:r>
        <w:rPr>
          <w:spacing w:val="25"/>
        </w:rPr>
        <w:t xml:space="preserve"> </w:t>
      </w:r>
      <w:r>
        <w:t>and,</w:t>
      </w:r>
      <w:r>
        <w:rPr>
          <w:spacing w:val="25"/>
        </w:rPr>
        <w:t xml:space="preserve"> </w:t>
      </w:r>
      <w:r>
        <w:t>if</w:t>
      </w:r>
      <w:r>
        <w:rPr>
          <w:spacing w:val="24"/>
        </w:rPr>
        <w:t xml:space="preserve"> </w:t>
      </w:r>
      <w:r>
        <w:t>so,</w:t>
      </w:r>
      <w:r>
        <w:rPr>
          <w:spacing w:val="25"/>
        </w:rPr>
        <w:t xml:space="preserve"> </w:t>
      </w:r>
      <w:r>
        <w:t>what</w:t>
      </w:r>
      <w:r>
        <w:rPr>
          <w:spacing w:val="25"/>
        </w:rPr>
        <w:t xml:space="preserve"> </w:t>
      </w:r>
      <w:r>
        <w:t>is</w:t>
      </w:r>
      <w:r>
        <w:rPr>
          <w:spacing w:val="24"/>
        </w:rPr>
        <w:t xml:space="preserve"> </w:t>
      </w:r>
      <w:r>
        <w:t>it?”</w:t>
      </w:r>
      <w:r>
        <w:rPr>
          <w:spacing w:val="25"/>
        </w:rPr>
        <w:t xml:space="preserve"> </w:t>
      </w:r>
      <w:r>
        <w:t>I’d</w:t>
      </w:r>
      <w:r>
        <w:rPr>
          <w:spacing w:val="25"/>
        </w:rPr>
        <w:t xml:space="preserve"> </w:t>
      </w:r>
      <w:r>
        <w:t>be</w:t>
      </w:r>
      <w:r>
        <w:rPr>
          <w:spacing w:val="24"/>
        </w:rPr>
        <w:t xml:space="preserve"> </w:t>
      </w:r>
      <w:r>
        <w:rPr>
          <w:i/>
        </w:rPr>
        <w:t>wrong</w:t>
      </w:r>
      <w:r>
        <w:rPr>
          <w:i/>
          <w:spacing w:val="29"/>
        </w:rPr>
        <w:t xml:space="preserve"> </w:t>
      </w:r>
      <w:r>
        <w:t>to</w:t>
      </w:r>
      <w:r>
        <w:rPr>
          <w:spacing w:val="28"/>
        </w:rPr>
        <w:t xml:space="preserve"> </w:t>
      </w:r>
      <w:r>
        <w:t>say:</w:t>
      </w:r>
      <w:r>
        <w:rPr>
          <w:spacing w:val="28"/>
        </w:rPr>
        <w:t xml:space="preserve"> </w:t>
      </w:r>
      <w:r>
        <w:t>“yes,</w:t>
      </w:r>
      <w:r>
        <w:rPr>
          <w:spacing w:val="29"/>
        </w:rPr>
        <w:t xml:space="preserve"> </w:t>
      </w:r>
      <w:r>
        <w:rPr>
          <w:spacing w:val="-5"/>
        </w:rPr>
        <w:t>I’m</w:t>
      </w:r>
    </w:p>
    <w:p w14:paraId="7E00159B" w14:textId="77777777" w:rsidR="009A58DB" w:rsidRDefault="00000000">
      <w:pPr>
        <w:pStyle w:val="BodyText"/>
        <w:spacing w:before="15" w:line="249" w:lineRule="auto"/>
        <w:ind w:right="360"/>
      </w:pPr>
      <w:r>
        <w:t>having a thought; I’m thinking that the fellow standing over there is wearing</w:t>
      </w:r>
      <w:r>
        <w:rPr>
          <w:spacing w:val="40"/>
        </w:rPr>
        <w:t xml:space="preserve"> </w:t>
      </w:r>
      <w:r>
        <w:t xml:space="preserve">a plaid shirt.” Why would I be wrong? Two reasons. First, I wouldn’t be having a thought at all. I’d be having a would-be thought, a pseudo-thought, but not a thought. Second, since I wouldn’t be having </w:t>
      </w:r>
      <w:r>
        <w:rPr>
          <w:i/>
        </w:rPr>
        <w:t>any</w:t>
      </w:r>
      <w:r>
        <w:rPr>
          <w:i/>
          <w:spacing w:val="-3"/>
        </w:rPr>
        <w:t xml:space="preserve"> </w:t>
      </w:r>
      <w:r>
        <w:t>thought, my belief as to what specifically I was thinking would also be wrong.</w:t>
      </w:r>
    </w:p>
    <w:p w14:paraId="7E00159C" w14:textId="77777777" w:rsidR="009A58DB" w:rsidRDefault="00000000">
      <w:pPr>
        <w:pStyle w:val="BodyText"/>
        <w:spacing w:before="7"/>
        <w:ind w:left="720"/>
      </w:pPr>
      <w:r>
        <w:t>But</w:t>
      </w:r>
      <w:r>
        <w:rPr>
          <w:spacing w:val="-4"/>
        </w:rPr>
        <w:t xml:space="preserve"> </w:t>
      </w:r>
      <w:r>
        <w:t>that’s</w:t>
      </w:r>
      <w:r>
        <w:rPr>
          <w:spacing w:val="-4"/>
        </w:rPr>
        <w:t xml:space="preserve"> </w:t>
      </w:r>
      <w:r>
        <w:t>obviously</w:t>
      </w:r>
      <w:r>
        <w:rPr>
          <w:spacing w:val="-2"/>
        </w:rPr>
        <w:t xml:space="preserve"> false.</w:t>
      </w:r>
    </w:p>
    <w:p w14:paraId="7E00159D" w14:textId="77777777" w:rsidR="009A58DB" w:rsidRDefault="00000000">
      <w:pPr>
        <w:pStyle w:val="Heading1"/>
        <w:numPr>
          <w:ilvl w:val="1"/>
          <w:numId w:val="144"/>
        </w:numPr>
        <w:tabs>
          <w:tab w:val="left" w:pos="990"/>
        </w:tabs>
      </w:pPr>
      <w:r>
        <w:t>The</w:t>
      </w:r>
      <w:r>
        <w:rPr>
          <w:spacing w:val="-6"/>
        </w:rPr>
        <w:t xml:space="preserve"> </w:t>
      </w:r>
      <w:r>
        <w:t>causal</w:t>
      </w:r>
      <w:r>
        <w:rPr>
          <w:spacing w:val="-4"/>
        </w:rPr>
        <w:t xml:space="preserve"> </w:t>
      </w:r>
      <w:r>
        <w:t>conception</w:t>
      </w:r>
      <w:r>
        <w:rPr>
          <w:spacing w:val="-4"/>
        </w:rPr>
        <w:t xml:space="preserve"> </w:t>
      </w:r>
      <w:r>
        <w:t>of</w:t>
      </w:r>
      <w:r>
        <w:rPr>
          <w:spacing w:val="-4"/>
        </w:rPr>
        <w:t xml:space="preserve"> </w:t>
      </w:r>
      <w:r>
        <w:rPr>
          <w:spacing w:val="-2"/>
        </w:rPr>
        <w:t>conception</w:t>
      </w:r>
    </w:p>
    <w:p w14:paraId="7E00159E" w14:textId="77777777" w:rsidR="009A58DB" w:rsidRDefault="00000000">
      <w:pPr>
        <w:pStyle w:val="BodyText"/>
        <w:spacing w:before="139" w:line="249" w:lineRule="auto"/>
        <w:ind w:right="361"/>
      </w:pPr>
      <w:r>
        <w:t>To appreciate the depth and severity of this problem, we have to make a few facts about Burge’s views explicit. Here is Burge’s view (this is paraphrase, not a quotation):</w:t>
      </w:r>
    </w:p>
    <w:p w14:paraId="7E00159F" w14:textId="77777777" w:rsidR="009A58DB" w:rsidRDefault="009A58DB">
      <w:pPr>
        <w:pStyle w:val="BodyText"/>
        <w:spacing w:before="18"/>
        <w:ind w:left="0"/>
        <w:jc w:val="left"/>
      </w:pPr>
    </w:p>
    <w:p w14:paraId="7E0015A0" w14:textId="77777777" w:rsidR="009A58DB" w:rsidRDefault="00000000">
      <w:pPr>
        <w:pStyle w:val="BodyText"/>
        <w:spacing w:line="271" w:lineRule="auto"/>
        <w:ind w:left="720" w:right="719"/>
      </w:pPr>
      <w:r>
        <w:t>(B</w:t>
      </w:r>
      <w:bookmarkStart w:id="277" w:name="_bookmark277"/>
      <w:bookmarkEnd w:id="277"/>
      <w:r>
        <w:t>V</w:t>
      </w:r>
      <w:r>
        <w:rPr>
          <w:color w:val="0562C1"/>
          <w:position w:val="21"/>
          <w:u w:val="single" w:color="0562C1"/>
        </w:rPr>
        <w:t>[179]</w:t>
      </w:r>
      <w:r>
        <w:t>) Let’s take another look at the situation described a moment ago—the one in which, in W</w:t>
      </w:r>
      <w:r>
        <w:rPr>
          <w:vertAlign w:val="subscript"/>
        </w:rPr>
        <w:t>1</w:t>
      </w:r>
      <w:r>
        <w:t>, you are thinking about Max. The reason you’re</w:t>
      </w:r>
      <w:r>
        <w:rPr>
          <w:spacing w:val="38"/>
        </w:rPr>
        <w:t xml:space="preserve"> </w:t>
      </w:r>
      <w:r>
        <w:t>thinking</w:t>
      </w:r>
      <w:r>
        <w:rPr>
          <w:spacing w:val="39"/>
        </w:rPr>
        <w:t xml:space="preserve"> </w:t>
      </w:r>
      <w:r>
        <w:t>about</w:t>
      </w:r>
      <w:r>
        <w:rPr>
          <w:spacing w:val="38"/>
        </w:rPr>
        <w:t xml:space="preserve"> </w:t>
      </w:r>
      <w:r>
        <w:t>Max,</w:t>
      </w:r>
      <w:r>
        <w:rPr>
          <w:spacing w:val="39"/>
        </w:rPr>
        <w:t xml:space="preserve"> </w:t>
      </w:r>
      <w:r>
        <w:t>opposed</w:t>
      </w:r>
      <w:r>
        <w:rPr>
          <w:spacing w:val="38"/>
        </w:rPr>
        <w:t xml:space="preserve"> </w:t>
      </w:r>
      <w:r>
        <w:t>to</w:t>
      </w:r>
      <w:r>
        <w:rPr>
          <w:spacing w:val="38"/>
        </w:rPr>
        <w:t xml:space="preserve"> </w:t>
      </w:r>
      <w:r>
        <w:t>Gary</w:t>
      </w:r>
      <w:r>
        <w:rPr>
          <w:spacing w:val="39"/>
        </w:rPr>
        <w:t xml:space="preserve"> </w:t>
      </w:r>
      <w:r>
        <w:t>or</w:t>
      </w:r>
      <w:r>
        <w:rPr>
          <w:spacing w:val="38"/>
        </w:rPr>
        <w:t xml:space="preserve"> </w:t>
      </w:r>
      <w:r>
        <w:t>some</w:t>
      </w:r>
      <w:r>
        <w:rPr>
          <w:spacing w:val="38"/>
        </w:rPr>
        <w:t xml:space="preserve"> </w:t>
      </w:r>
      <w:r>
        <w:t>other</w:t>
      </w:r>
      <w:r>
        <w:rPr>
          <w:spacing w:val="38"/>
        </w:rPr>
        <w:t xml:space="preserve"> </w:t>
      </w:r>
      <w:r>
        <w:t>entity,</w:t>
      </w:r>
      <w:r>
        <w:rPr>
          <w:spacing w:val="39"/>
        </w:rPr>
        <w:t xml:space="preserve"> </w:t>
      </w:r>
      <w:r>
        <w:rPr>
          <w:spacing w:val="-5"/>
        </w:rPr>
        <w:t>is</w:t>
      </w:r>
    </w:p>
    <w:p w14:paraId="7E0015A1" w14:textId="77777777" w:rsidR="009A58DB" w:rsidRDefault="00000000">
      <w:pPr>
        <w:pStyle w:val="BodyText"/>
        <w:spacing w:line="316" w:lineRule="exact"/>
        <w:ind w:left="720"/>
      </w:pPr>
      <w:r>
        <w:t>that</w:t>
      </w:r>
      <w:r>
        <w:rPr>
          <w:spacing w:val="17"/>
        </w:rPr>
        <w:t xml:space="preserve"> </w:t>
      </w:r>
      <w:r>
        <w:t>you’re</w:t>
      </w:r>
      <w:r>
        <w:rPr>
          <w:spacing w:val="20"/>
        </w:rPr>
        <w:t xml:space="preserve"> </w:t>
      </w:r>
      <w:r>
        <w:t>on</w:t>
      </w:r>
      <w:r>
        <w:rPr>
          <w:spacing w:val="20"/>
        </w:rPr>
        <w:t xml:space="preserve"> </w:t>
      </w:r>
      <w:r>
        <w:t>the</w:t>
      </w:r>
      <w:r>
        <w:rPr>
          <w:spacing w:val="19"/>
        </w:rPr>
        <w:t xml:space="preserve"> </w:t>
      </w:r>
      <w:r>
        <w:t>receiving</w:t>
      </w:r>
      <w:r>
        <w:rPr>
          <w:spacing w:val="20"/>
        </w:rPr>
        <w:t xml:space="preserve"> </w:t>
      </w:r>
      <w:r>
        <w:t>end</w:t>
      </w:r>
      <w:r>
        <w:rPr>
          <w:spacing w:val="20"/>
        </w:rPr>
        <w:t xml:space="preserve"> </w:t>
      </w:r>
      <w:r>
        <w:t>of</w:t>
      </w:r>
      <w:r>
        <w:rPr>
          <w:spacing w:val="19"/>
        </w:rPr>
        <w:t xml:space="preserve"> </w:t>
      </w:r>
      <w:r>
        <w:t>a</w:t>
      </w:r>
      <w:r>
        <w:rPr>
          <w:spacing w:val="20"/>
        </w:rPr>
        <w:t xml:space="preserve"> </w:t>
      </w:r>
      <w:r>
        <w:t>certain</w:t>
      </w:r>
      <w:r>
        <w:rPr>
          <w:spacing w:val="20"/>
        </w:rPr>
        <w:t xml:space="preserve"> </w:t>
      </w:r>
      <w:r>
        <w:t>causal</w:t>
      </w:r>
      <w:r>
        <w:rPr>
          <w:spacing w:val="19"/>
        </w:rPr>
        <w:t xml:space="preserve"> </w:t>
      </w:r>
      <w:r>
        <w:t>process</w:t>
      </w:r>
      <w:r>
        <w:rPr>
          <w:spacing w:val="20"/>
        </w:rPr>
        <w:t xml:space="preserve"> </w:t>
      </w:r>
      <w:r>
        <w:t>that</w:t>
      </w:r>
      <w:r>
        <w:rPr>
          <w:spacing w:val="20"/>
        </w:rPr>
        <w:t xml:space="preserve"> </w:t>
      </w:r>
      <w:r>
        <w:rPr>
          <w:spacing w:val="-2"/>
        </w:rPr>
        <w:t>began</w:t>
      </w:r>
    </w:p>
    <w:p w14:paraId="7E0015A2" w14:textId="77777777" w:rsidR="009A58DB" w:rsidRDefault="00000000">
      <w:pPr>
        <w:pStyle w:val="BodyText"/>
        <w:spacing w:before="15" w:line="249" w:lineRule="auto"/>
        <w:ind w:left="720" w:right="718"/>
      </w:pPr>
      <w:r>
        <w:t>with</w:t>
      </w:r>
      <w:r>
        <w:rPr>
          <w:spacing w:val="-2"/>
        </w:rPr>
        <w:t xml:space="preserve"> </w:t>
      </w:r>
      <w:r>
        <w:t>Max.</w:t>
      </w:r>
      <w:r>
        <w:rPr>
          <w:spacing w:val="-2"/>
        </w:rPr>
        <w:t xml:space="preserve"> </w:t>
      </w:r>
      <w:r>
        <w:t>Your</w:t>
      </w:r>
      <w:r>
        <w:rPr>
          <w:spacing w:val="-2"/>
        </w:rPr>
        <w:t xml:space="preserve"> </w:t>
      </w:r>
      <w:r>
        <w:t>current</w:t>
      </w:r>
      <w:r>
        <w:rPr>
          <w:spacing w:val="-2"/>
        </w:rPr>
        <w:t xml:space="preserve"> </w:t>
      </w:r>
      <w:r>
        <w:t>thought</w:t>
      </w:r>
      <w:r>
        <w:rPr>
          <w:spacing w:val="-2"/>
        </w:rPr>
        <w:t xml:space="preserve"> </w:t>
      </w:r>
      <w:r>
        <w:t>about</w:t>
      </w:r>
      <w:r>
        <w:rPr>
          <w:spacing w:val="-2"/>
        </w:rPr>
        <w:t xml:space="preserve"> </w:t>
      </w:r>
      <w:r>
        <w:t>Max</w:t>
      </w:r>
      <w:r>
        <w:rPr>
          <w:spacing w:val="-2"/>
        </w:rPr>
        <w:t xml:space="preserve"> </w:t>
      </w:r>
      <w:r>
        <w:t>(i.e.,</w:t>
      </w:r>
      <w:r>
        <w:rPr>
          <w:spacing w:val="-2"/>
        </w:rPr>
        <w:t xml:space="preserve"> </w:t>
      </w:r>
      <w:r>
        <w:t>your</w:t>
      </w:r>
      <w:r>
        <w:rPr>
          <w:spacing w:val="-2"/>
        </w:rPr>
        <w:t xml:space="preserve"> </w:t>
      </w:r>
      <w:r>
        <w:t>thinking</w:t>
      </w:r>
      <w:r>
        <w:rPr>
          <w:spacing w:val="-2"/>
        </w:rPr>
        <w:t xml:space="preserve"> </w:t>
      </w:r>
      <w:r>
        <w:t>that</w:t>
      </w:r>
      <w:r>
        <w:rPr>
          <w:spacing w:val="-2"/>
        </w:rPr>
        <w:t xml:space="preserve"> </w:t>
      </w:r>
      <w:r>
        <w:t>he’s wearing a plaid shirt, etc.) resulted from a perception that you had of him. That perception was the result of changes to your physiological condition</w:t>
      </w:r>
      <w:r>
        <w:rPr>
          <w:spacing w:val="55"/>
        </w:rPr>
        <w:t xml:space="preserve"> </w:t>
      </w:r>
      <w:r>
        <w:t>that</w:t>
      </w:r>
      <w:r>
        <w:rPr>
          <w:spacing w:val="57"/>
        </w:rPr>
        <w:t xml:space="preserve"> </w:t>
      </w:r>
      <w:r>
        <w:t>were</w:t>
      </w:r>
      <w:r>
        <w:rPr>
          <w:spacing w:val="57"/>
        </w:rPr>
        <w:t xml:space="preserve"> </w:t>
      </w:r>
      <w:r>
        <w:t>brought</w:t>
      </w:r>
      <w:r>
        <w:rPr>
          <w:spacing w:val="57"/>
        </w:rPr>
        <w:t xml:space="preserve"> </w:t>
      </w:r>
      <w:r>
        <w:t>about</w:t>
      </w:r>
      <w:r>
        <w:rPr>
          <w:spacing w:val="57"/>
        </w:rPr>
        <w:t xml:space="preserve"> </w:t>
      </w:r>
      <w:r>
        <w:t>by</w:t>
      </w:r>
      <w:r>
        <w:rPr>
          <w:spacing w:val="57"/>
        </w:rPr>
        <w:t xml:space="preserve"> </w:t>
      </w:r>
      <w:r>
        <w:t>light-rays</w:t>
      </w:r>
      <w:r>
        <w:rPr>
          <w:spacing w:val="57"/>
        </w:rPr>
        <w:t xml:space="preserve"> </w:t>
      </w:r>
      <w:r>
        <w:t>that</w:t>
      </w:r>
      <w:r>
        <w:rPr>
          <w:spacing w:val="57"/>
        </w:rPr>
        <w:t xml:space="preserve"> </w:t>
      </w:r>
      <w:r>
        <w:t>bounced</w:t>
      </w:r>
      <w:r>
        <w:rPr>
          <w:spacing w:val="58"/>
        </w:rPr>
        <w:t xml:space="preserve"> </w:t>
      </w:r>
      <w:r>
        <w:t>off</w:t>
      </w:r>
      <w:r>
        <w:rPr>
          <w:spacing w:val="57"/>
        </w:rPr>
        <w:t xml:space="preserve"> </w:t>
      </w:r>
      <w:r>
        <w:rPr>
          <w:spacing w:val="-5"/>
        </w:rPr>
        <w:t>of</w:t>
      </w:r>
    </w:p>
    <w:p w14:paraId="7E0015A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A4" w14:textId="77777777" w:rsidR="009A58DB" w:rsidRDefault="00000000">
      <w:pPr>
        <w:pStyle w:val="BodyText"/>
        <w:spacing w:before="60" w:line="249" w:lineRule="auto"/>
        <w:ind w:left="720" w:right="719"/>
      </w:pPr>
      <w:r>
        <w:lastRenderedPageBreak/>
        <w:t>him. That is why the sense-perceptions in which those disturbances eventuated were perceptions, not of Gary, but of Max; and that is also why the thoughts in which those sense-perceptions eventuated were thoughts, not of Gary, but of Max. So your current thought—the one embodied</w:t>
      </w:r>
      <w:r>
        <w:rPr>
          <w:spacing w:val="44"/>
        </w:rPr>
        <w:t xml:space="preserve"> </w:t>
      </w:r>
      <w:r>
        <w:t>in</w:t>
      </w:r>
      <w:r>
        <w:rPr>
          <w:spacing w:val="45"/>
        </w:rPr>
        <w:t xml:space="preserve"> </w:t>
      </w:r>
      <w:r>
        <w:t>U</w:t>
      </w:r>
      <w:r>
        <w:rPr>
          <w:vertAlign w:val="subscript"/>
        </w:rPr>
        <w:t>1</w:t>
      </w:r>
      <w:r>
        <w:t>—concerns</w:t>
      </w:r>
      <w:r>
        <w:rPr>
          <w:spacing w:val="48"/>
        </w:rPr>
        <w:t xml:space="preserve"> </w:t>
      </w:r>
      <w:r>
        <w:t>Max,</w:t>
      </w:r>
      <w:r>
        <w:rPr>
          <w:spacing w:val="48"/>
        </w:rPr>
        <w:t xml:space="preserve"> </w:t>
      </w:r>
      <w:r>
        <w:t>and</w:t>
      </w:r>
      <w:r>
        <w:rPr>
          <w:spacing w:val="47"/>
        </w:rPr>
        <w:t xml:space="preserve"> </w:t>
      </w:r>
      <w:r>
        <w:t>no</w:t>
      </w:r>
      <w:r>
        <w:rPr>
          <w:spacing w:val="48"/>
        </w:rPr>
        <w:t xml:space="preserve"> </w:t>
      </w:r>
      <w:r>
        <w:t>one</w:t>
      </w:r>
      <w:r>
        <w:rPr>
          <w:spacing w:val="48"/>
        </w:rPr>
        <w:t xml:space="preserve"> </w:t>
      </w:r>
      <w:r>
        <w:t>else,</w:t>
      </w:r>
      <w:r>
        <w:rPr>
          <w:spacing w:val="48"/>
        </w:rPr>
        <w:t xml:space="preserve"> </w:t>
      </w:r>
      <w:r>
        <w:t>because</w:t>
      </w:r>
      <w:r>
        <w:rPr>
          <w:spacing w:val="48"/>
        </w:rPr>
        <w:t xml:space="preserve"> </w:t>
      </w:r>
      <w:r>
        <w:t>it</w:t>
      </w:r>
      <w:r>
        <w:rPr>
          <w:spacing w:val="47"/>
        </w:rPr>
        <w:t xml:space="preserve"> </w:t>
      </w:r>
      <w:r>
        <w:rPr>
          <w:spacing w:val="-2"/>
        </w:rPr>
        <w:t>“tracks</w:t>
      </w:r>
    </w:p>
    <w:p w14:paraId="7E0015A5" w14:textId="77777777" w:rsidR="009A58DB" w:rsidRDefault="00000000">
      <w:pPr>
        <w:pStyle w:val="BodyText"/>
        <w:spacing w:before="66" w:line="249" w:lineRule="auto"/>
        <w:ind w:left="720" w:right="726"/>
      </w:pPr>
      <w:r>
        <w:t>back” to Max, meaning that it bears a causal relation of the just-described kind to Max.</w:t>
      </w:r>
    </w:p>
    <w:p w14:paraId="7E0015A6" w14:textId="77777777" w:rsidR="009A58DB" w:rsidRDefault="009A58DB">
      <w:pPr>
        <w:pStyle w:val="BodyText"/>
        <w:spacing w:before="22"/>
        <w:ind w:left="0"/>
        <w:jc w:val="left"/>
      </w:pPr>
    </w:p>
    <w:p w14:paraId="7E0015A7" w14:textId="77777777" w:rsidR="009A58DB" w:rsidRDefault="00000000">
      <w:pPr>
        <w:pStyle w:val="BodyText"/>
        <w:spacing w:line="249" w:lineRule="auto"/>
        <w:ind w:right="358" w:firstLine="360"/>
      </w:pPr>
      <w:r>
        <w:t xml:space="preserve">In Burge’s view, conception is to be understood in causal terms, not in descriptive terms. Why does he think this? Remember Putnam’s story about Smith and Twin-Smith. Smith’s mental contents are </w:t>
      </w:r>
      <w:r>
        <w:rPr>
          <w:i/>
        </w:rPr>
        <w:t xml:space="preserve">descriptively </w:t>
      </w:r>
      <w:r>
        <w:t>just like Twin-Smith’s. So far as Smith has a mentally encoded description that picks out</w:t>
      </w:r>
      <w:r>
        <w:rPr>
          <w:spacing w:val="13"/>
        </w:rPr>
        <w:t xml:space="preserve"> </w:t>
      </w:r>
      <w:r>
        <w:t>H</w:t>
      </w:r>
      <w:r>
        <w:rPr>
          <w:vertAlign w:val="subscript"/>
        </w:rPr>
        <w:t>2</w:t>
      </w:r>
      <w:r>
        <w:t>O,</w:t>
      </w:r>
      <w:r>
        <w:rPr>
          <w:spacing w:val="16"/>
        </w:rPr>
        <w:t xml:space="preserve"> </w:t>
      </w:r>
      <w:r>
        <w:t>it’s</w:t>
      </w:r>
      <w:r>
        <w:rPr>
          <w:spacing w:val="17"/>
        </w:rPr>
        <w:t xml:space="preserve"> </w:t>
      </w:r>
      <w:r>
        <w:t>“liquid</w:t>
      </w:r>
      <w:r>
        <w:rPr>
          <w:spacing w:val="16"/>
        </w:rPr>
        <w:t xml:space="preserve"> </w:t>
      </w:r>
      <w:r>
        <w:t>that</w:t>
      </w:r>
      <w:r>
        <w:rPr>
          <w:spacing w:val="15"/>
        </w:rPr>
        <w:t xml:space="preserve"> </w:t>
      </w:r>
      <w:r>
        <w:t>we</w:t>
      </w:r>
      <w:r>
        <w:rPr>
          <w:spacing w:val="17"/>
        </w:rPr>
        <w:t xml:space="preserve"> </w:t>
      </w:r>
      <w:r>
        <w:t>bathe</w:t>
      </w:r>
      <w:r>
        <w:rPr>
          <w:spacing w:val="16"/>
        </w:rPr>
        <w:t xml:space="preserve"> </w:t>
      </w:r>
      <w:r>
        <w:t>in,</w:t>
      </w:r>
      <w:r>
        <w:rPr>
          <w:spacing w:val="16"/>
        </w:rPr>
        <w:t xml:space="preserve"> </w:t>
      </w:r>
      <w:r>
        <w:t>drink,</w:t>
      </w:r>
      <w:r>
        <w:rPr>
          <w:spacing w:val="16"/>
        </w:rPr>
        <w:t xml:space="preserve"> </w:t>
      </w:r>
      <w:r>
        <w:t>is</w:t>
      </w:r>
      <w:r>
        <w:rPr>
          <w:spacing w:val="17"/>
        </w:rPr>
        <w:t xml:space="preserve"> </w:t>
      </w:r>
      <w:r>
        <w:t>found</w:t>
      </w:r>
      <w:r>
        <w:rPr>
          <w:spacing w:val="16"/>
        </w:rPr>
        <w:t xml:space="preserve"> </w:t>
      </w:r>
      <w:r>
        <w:t>in</w:t>
      </w:r>
      <w:r>
        <w:rPr>
          <w:spacing w:val="16"/>
        </w:rPr>
        <w:t xml:space="preserve"> </w:t>
      </w:r>
      <w:r>
        <w:t>lakes</w:t>
      </w:r>
      <w:r>
        <w:rPr>
          <w:spacing w:val="17"/>
        </w:rPr>
        <w:t xml:space="preserve"> </w:t>
      </w:r>
      <w:r>
        <w:t>[etc.]”;</w:t>
      </w:r>
      <w:r>
        <w:rPr>
          <w:spacing w:val="15"/>
        </w:rPr>
        <w:t xml:space="preserve"> </w:t>
      </w:r>
      <w:r>
        <w:t>and</w:t>
      </w:r>
      <w:r>
        <w:rPr>
          <w:spacing w:val="16"/>
        </w:rPr>
        <w:t xml:space="preserve"> </w:t>
      </w:r>
      <w:r>
        <w:rPr>
          <w:spacing w:val="-5"/>
        </w:rPr>
        <w:t>so</w:t>
      </w:r>
    </w:p>
    <w:p w14:paraId="7E0015A8" w14:textId="77777777" w:rsidR="009A58DB" w:rsidRDefault="00000000">
      <w:pPr>
        <w:pStyle w:val="BodyText"/>
        <w:spacing w:before="66" w:line="249" w:lineRule="auto"/>
        <w:ind w:right="360"/>
      </w:pPr>
      <w:r>
        <w:t>far as Twin-Smith has as a mentally encoded description that picks out XYZ, it coincides with Smith’s . At the same time, when Smith says “water covers most</w:t>
      </w:r>
      <w:r>
        <w:rPr>
          <w:spacing w:val="12"/>
        </w:rPr>
        <w:t xml:space="preserve"> </w:t>
      </w:r>
      <w:r>
        <w:t>of</w:t>
      </w:r>
      <w:r>
        <w:rPr>
          <w:spacing w:val="12"/>
        </w:rPr>
        <w:t xml:space="preserve"> </w:t>
      </w:r>
      <w:r>
        <w:t>my</w:t>
      </w:r>
      <w:r>
        <w:rPr>
          <w:spacing w:val="13"/>
        </w:rPr>
        <w:t xml:space="preserve"> </w:t>
      </w:r>
      <w:r>
        <w:t>planet’s</w:t>
      </w:r>
      <w:r>
        <w:rPr>
          <w:spacing w:val="12"/>
        </w:rPr>
        <w:t xml:space="preserve"> </w:t>
      </w:r>
      <w:r>
        <w:t>surface,”</w:t>
      </w:r>
      <w:r>
        <w:rPr>
          <w:spacing w:val="12"/>
        </w:rPr>
        <w:t xml:space="preserve"> </w:t>
      </w:r>
      <w:r>
        <w:t>he’s</w:t>
      </w:r>
      <w:r>
        <w:rPr>
          <w:spacing w:val="12"/>
        </w:rPr>
        <w:t xml:space="preserve"> </w:t>
      </w:r>
      <w:r>
        <w:t>making</w:t>
      </w:r>
      <w:r>
        <w:rPr>
          <w:spacing w:val="13"/>
        </w:rPr>
        <w:t xml:space="preserve"> </w:t>
      </w:r>
      <w:r>
        <w:t>a</w:t>
      </w:r>
      <w:r>
        <w:rPr>
          <w:spacing w:val="12"/>
        </w:rPr>
        <w:t xml:space="preserve"> </w:t>
      </w:r>
      <w:r>
        <w:t>statement</w:t>
      </w:r>
      <w:r>
        <w:rPr>
          <w:spacing w:val="12"/>
        </w:rPr>
        <w:t xml:space="preserve"> </w:t>
      </w:r>
      <w:r>
        <w:t>about</w:t>
      </w:r>
      <w:r>
        <w:rPr>
          <w:spacing w:val="13"/>
        </w:rPr>
        <w:t xml:space="preserve"> </w:t>
      </w:r>
      <w:r>
        <w:t>H</w:t>
      </w:r>
      <w:r>
        <w:rPr>
          <w:vertAlign w:val="subscript"/>
        </w:rPr>
        <w:t>2</w:t>
      </w:r>
      <w:r>
        <w:t>O,</w:t>
      </w:r>
      <w:r>
        <w:rPr>
          <w:spacing w:val="14"/>
        </w:rPr>
        <w:t xml:space="preserve"> </w:t>
      </w:r>
      <w:r>
        <w:t>not</w:t>
      </w:r>
      <w:r>
        <w:rPr>
          <w:spacing w:val="13"/>
        </w:rPr>
        <w:t xml:space="preserve"> </w:t>
      </w:r>
      <w:r>
        <w:rPr>
          <w:spacing w:val="-4"/>
        </w:rPr>
        <w:t>XYZ;</w:t>
      </w:r>
    </w:p>
    <w:p w14:paraId="7E0015A9" w14:textId="77777777" w:rsidR="009A58DB" w:rsidRDefault="00000000">
      <w:pPr>
        <w:pStyle w:val="BodyText"/>
        <w:spacing w:before="64" w:line="271" w:lineRule="auto"/>
        <w:ind w:right="365"/>
      </w:pPr>
      <w:r>
        <w:t>and</w:t>
      </w:r>
      <w:r>
        <w:rPr>
          <w:spacing w:val="-4"/>
        </w:rPr>
        <w:t xml:space="preserve"> </w:t>
      </w:r>
      <w:r>
        <w:t>when</w:t>
      </w:r>
      <w:r>
        <w:rPr>
          <w:spacing w:val="-4"/>
        </w:rPr>
        <w:t xml:space="preserve"> </w:t>
      </w:r>
      <w:r>
        <w:t>Twin-Smith</w:t>
      </w:r>
      <w:r>
        <w:rPr>
          <w:spacing w:val="-4"/>
        </w:rPr>
        <w:t xml:space="preserve"> </w:t>
      </w:r>
      <w:r>
        <w:t>utters</w:t>
      </w:r>
      <w:r>
        <w:rPr>
          <w:spacing w:val="-5"/>
        </w:rPr>
        <w:t xml:space="preserve"> </w:t>
      </w:r>
      <w:r>
        <w:t>those</w:t>
      </w:r>
      <w:r>
        <w:rPr>
          <w:spacing w:val="-5"/>
        </w:rPr>
        <w:t xml:space="preserve"> </w:t>
      </w:r>
      <w:r>
        <w:t>same</w:t>
      </w:r>
      <w:r>
        <w:rPr>
          <w:spacing w:val="-5"/>
        </w:rPr>
        <w:t xml:space="preserve"> </w:t>
      </w:r>
      <w:r>
        <w:t>words</w:t>
      </w:r>
      <w:r>
        <w:rPr>
          <w:spacing w:val="-5"/>
        </w:rPr>
        <w:t xml:space="preserve"> </w:t>
      </w:r>
      <w:r>
        <w:t>he’s</w:t>
      </w:r>
      <w:r>
        <w:rPr>
          <w:spacing w:val="-5"/>
        </w:rPr>
        <w:t xml:space="preserve"> </w:t>
      </w:r>
      <w:r>
        <w:t>making</w:t>
      </w:r>
      <w:r>
        <w:rPr>
          <w:spacing w:val="-4"/>
        </w:rPr>
        <w:t xml:space="preserve"> </w:t>
      </w:r>
      <w:r>
        <w:t>a</w:t>
      </w:r>
      <w:r>
        <w:rPr>
          <w:spacing w:val="-5"/>
        </w:rPr>
        <w:t xml:space="preserve"> </w:t>
      </w:r>
      <w:r>
        <w:t>statement</w:t>
      </w:r>
      <w:r>
        <w:rPr>
          <w:spacing w:val="-5"/>
        </w:rPr>
        <w:t xml:space="preserve"> </w:t>
      </w:r>
      <w:r>
        <w:t>about XYZ, not H</w:t>
      </w:r>
      <w:r>
        <w:rPr>
          <w:vertAlign w:val="subscript"/>
        </w:rPr>
        <w:t>2</w:t>
      </w:r>
      <w:r>
        <w:t>O. Given that Smith’s thoughts encode the same descriptions as Twin-Smith’s</w:t>
      </w:r>
      <w:r>
        <w:rPr>
          <w:spacing w:val="21"/>
        </w:rPr>
        <w:t xml:space="preserve"> </w:t>
      </w:r>
      <w:r>
        <w:t>thoughts,</w:t>
      </w:r>
      <w:r>
        <w:rPr>
          <w:spacing w:val="22"/>
        </w:rPr>
        <w:t xml:space="preserve"> </w:t>
      </w:r>
      <w:r>
        <w:t>why</w:t>
      </w:r>
      <w:r>
        <w:rPr>
          <w:spacing w:val="22"/>
        </w:rPr>
        <w:t xml:space="preserve"> </w:t>
      </w:r>
      <w:r>
        <w:t>do</w:t>
      </w:r>
      <w:r>
        <w:rPr>
          <w:spacing w:val="22"/>
        </w:rPr>
        <w:t xml:space="preserve"> </w:t>
      </w:r>
      <w:r>
        <w:t>Smith’s</w:t>
      </w:r>
      <w:r>
        <w:rPr>
          <w:spacing w:val="22"/>
        </w:rPr>
        <w:t xml:space="preserve"> </w:t>
      </w:r>
      <w:r>
        <w:t>words</w:t>
      </w:r>
      <w:r>
        <w:rPr>
          <w:spacing w:val="22"/>
        </w:rPr>
        <w:t xml:space="preserve"> </w:t>
      </w:r>
      <w:r>
        <w:t>concern</w:t>
      </w:r>
      <w:r>
        <w:rPr>
          <w:spacing w:val="22"/>
        </w:rPr>
        <w:t xml:space="preserve"> </w:t>
      </w:r>
      <w:r>
        <w:t>H</w:t>
      </w:r>
      <w:r>
        <w:rPr>
          <w:vertAlign w:val="subscript"/>
        </w:rPr>
        <w:t>2</w:t>
      </w:r>
      <w:r>
        <w:t>O</w:t>
      </w:r>
      <w:r>
        <w:rPr>
          <w:spacing w:val="21"/>
        </w:rPr>
        <w:t xml:space="preserve"> </w:t>
      </w:r>
      <w:r>
        <w:t>whereas</w:t>
      </w:r>
      <w:r>
        <w:rPr>
          <w:spacing w:val="20"/>
        </w:rPr>
        <w:t xml:space="preserve"> </w:t>
      </w:r>
      <w:r>
        <w:rPr>
          <w:spacing w:val="-2"/>
        </w:rPr>
        <w:t>Twin-</w:t>
      </w:r>
    </w:p>
    <w:p w14:paraId="7E0015AA" w14:textId="77777777" w:rsidR="009A58DB" w:rsidRDefault="00000000">
      <w:pPr>
        <w:pStyle w:val="BodyText"/>
        <w:spacing w:before="31" w:line="271" w:lineRule="auto"/>
        <w:ind w:right="359"/>
      </w:pPr>
      <w:r>
        <w:t>Smith’s concern XYZ? The answer: Smith is on the receiving end of a causal chain beginning with H</w:t>
      </w:r>
      <w:r>
        <w:rPr>
          <w:vertAlign w:val="subscript"/>
        </w:rPr>
        <w:t>2</w:t>
      </w:r>
      <w:r>
        <w:t>O, whereas Twin-Smith is on the receiving end of a causal chain beginning with XYZ.</w:t>
      </w:r>
    </w:p>
    <w:p w14:paraId="7E0015AB" w14:textId="77777777" w:rsidR="009A58DB" w:rsidRDefault="00000000">
      <w:pPr>
        <w:pStyle w:val="BodyText"/>
        <w:spacing w:line="316" w:lineRule="exact"/>
        <w:ind w:left="720"/>
      </w:pPr>
      <w:r>
        <w:t>The</w:t>
      </w:r>
      <w:r>
        <w:rPr>
          <w:spacing w:val="77"/>
        </w:rPr>
        <w:t xml:space="preserve"> </w:t>
      </w:r>
      <w:r>
        <w:t>essence</w:t>
      </w:r>
      <w:r>
        <w:rPr>
          <w:spacing w:val="78"/>
        </w:rPr>
        <w:t xml:space="preserve"> </w:t>
      </w:r>
      <w:r>
        <w:t>of</w:t>
      </w:r>
      <w:r>
        <w:rPr>
          <w:spacing w:val="77"/>
        </w:rPr>
        <w:t xml:space="preserve"> </w:t>
      </w:r>
      <w:r>
        <w:t>conception,</w:t>
      </w:r>
      <w:r>
        <w:rPr>
          <w:spacing w:val="78"/>
        </w:rPr>
        <w:t xml:space="preserve"> </w:t>
      </w:r>
      <w:r>
        <w:t>in</w:t>
      </w:r>
      <w:r>
        <w:rPr>
          <w:spacing w:val="77"/>
        </w:rPr>
        <w:t xml:space="preserve"> </w:t>
      </w:r>
      <w:r>
        <w:t>Burge’s</w:t>
      </w:r>
      <w:r>
        <w:rPr>
          <w:spacing w:val="78"/>
        </w:rPr>
        <w:t xml:space="preserve"> </w:t>
      </w:r>
      <w:r>
        <w:t>view,</w:t>
      </w:r>
      <w:r>
        <w:rPr>
          <w:spacing w:val="78"/>
        </w:rPr>
        <w:t xml:space="preserve"> </w:t>
      </w:r>
      <w:r>
        <w:t>isn’t</w:t>
      </w:r>
      <w:r>
        <w:rPr>
          <w:spacing w:val="77"/>
        </w:rPr>
        <w:t xml:space="preserve"> </w:t>
      </w:r>
      <w:r>
        <w:t>description,</w:t>
      </w:r>
      <w:r>
        <w:rPr>
          <w:spacing w:val="78"/>
        </w:rPr>
        <w:t xml:space="preserve"> </w:t>
      </w:r>
      <w:r>
        <w:t>and</w:t>
      </w:r>
      <w:r>
        <w:rPr>
          <w:spacing w:val="78"/>
        </w:rPr>
        <w:t xml:space="preserve"> </w:t>
      </w:r>
      <w:r>
        <w:rPr>
          <w:spacing w:val="-5"/>
        </w:rPr>
        <w:t>is</w:t>
      </w:r>
    </w:p>
    <w:p w14:paraId="7E0015AC" w14:textId="77777777" w:rsidR="009A58DB" w:rsidRDefault="00000000">
      <w:pPr>
        <w:pStyle w:val="BodyText"/>
        <w:spacing w:before="15" w:line="249" w:lineRule="auto"/>
        <w:ind w:right="370"/>
      </w:pPr>
      <w:r>
        <w:t>instead the causal back-tracking relation just described. Smith is thinking about H</w:t>
      </w:r>
      <w:r>
        <w:rPr>
          <w:vertAlign w:val="subscript"/>
        </w:rPr>
        <w:t>2</w:t>
      </w:r>
      <w:r>
        <w:t>O because his thoughts track back to H</w:t>
      </w:r>
      <w:r>
        <w:rPr>
          <w:vertAlign w:val="subscript"/>
        </w:rPr>
        <w:t>2</w:t>
      </w:r>
      <w:r>
        <w:t>O, not XYZ.</w:t>
      </w:r>
    </w:p>
    <w:p w14:paraId="7E0015AD" w14:textId="77777777" w:rsidR="009A58DB" w:rsidRDefault="00000000">
      <w:pPr>
        <w:pStyle w:val="BodyText"/>
        <w:spacing w:before="62" w:line="249" w:lineRule="auto"/>
        <w:ind w:right="364" w:firstLine="360"/>
      </w:pPr>
      <w:r>
        <w:t>A story makes it clear how untenable this is. Right now it’s 5:38 P.M., April 11, 2009. Let t be our abbreviation for that time. Right now, at t, I’m thinking about Descartes. More specifically, I’m thinking:</w:t>
      </w:r>
    </w:p>
    <w:p w14:paraId="7E0015AE" w14:textId="77777777" w:rsidR="009A58DB" w:rsidRDefault="009A58DB">
      <w:pPr>
        <w:pStyle w:val="BodyText"/>
        <w:spacing w:before="19"/>
        <w:ind w:left="0"/>
        <w:jc w:val="left"/>
      </w:pPr>
    </w:p>
    <w:p w14:paraId="7E0015AF" w14:textId="77777777" w:rsidR="009A58DB" w:rsidRDefault="00000000">
      <w:pPr>
        <w:pStyle w:val="BodyText"/>
      </w:pPr>
      <w:r>
        <w:t>(D*)</w:t>
      </w:r>
      <w:r>
        <w:rPr>
          <w:spacing w:val="-4"/>
        </w:rPr>
        <w:t xml:space="preserve"> </w:t>
      </w:r>
      <w:r>
        <w:t>Descartes</w:t>
      </w:r>
      <w:r>
        <w:rPr>
          <w:spacing w:val="-4"/>
        </w:rPr>
        <w:t xml:space="preserve"> </w:t>
      </w:r>
      <w:r>
        <w:t>was</w:t>
      </w:r>
      <w:r>
        <w:rPr>
          <w:spacing w:val="-4"/>
        </w:rPr>
        <w:t xml:space="preserve"> </w:t>
      </w:r>
      <w:r>
        <w:t>a</w:t>
      </w:r>
      <w:r>
        <w:rPr>
          <w:spacing w:val="-4"/>
        </w:rPr>
        <w:t xml:space="preserve"> </w:t>
      </w:r>
      <w:r>
        <w:t>fine</w:t>
      </w:r>
      <w:r>
        <w:rPr>
          <w:spacing w:val="-3"/>
        </w:rPr>
        <w:t xml:space="preserve"> </w:t>
      </w:r>
      <w:r>
        <w:rPr>
          <w:spacing w:val="-2"/>
        </w:rPr>
        <w:t>philosopher.</w:t>
      </w:r>
    </w:p>
    <w:p w14:paraId="7E0015B0" w14:textId="77777777" w:rsidR="009A58DB" w:rsidRDefault="009A58DB">
      <w:pPr>
        <w:pStyle w:val="BodyText"/>
        <w:spacing w:before="30"/>
        <w:ind w:left="0"/>
        <w:jc w:val="left"/>
      </w:pPr>
    </w:p>
    <w:p w14:paraId="7E0015B1" w14:textId="77777777" w:rsidR="009A58DB" w:rsidRDefault="00000000">
      <w:pPr>
        <w:pStyle w:val="BodyText"/>
        <w:spacing w:line="249" w:lineRule="auto"/>
        <w:ind w:right="359"/>
      </w:pPr>
      <w:r>
        <w:t>I</w:t>
      </w:r>
      <w:r>
        <w:rPr>
          <w:spacing w:val="-1"/>
        </w:rPr>
        <w:t xml:space="preserve"> </w:t>
      </w:r>
      <w:r>
        <w:t>must</w:t>
      </w:r>
      <w:r>
        <w:rPr>
          <w:spacing w:val="-2"/>
        </w:rPr>
        <w:t xml:space="preserve"> </w:t>
      </w:r>
      <w:r>
        <w:t>emphasize</w:t>
      </w:r>
      <w:r>
        <w:rPr>
          <w:spacing w:val="-1"/>
        </w:rPr>
        <w:t xml:space="preserve"> </w:t>
      </w:r>
      <w:r>
        <w:t>that</w:t>
      </w:r>
      <w:r>
        <w:rPr>
          <w:spacing w:val="-2"/>
        </w:rPr>
        <w:t xml:space="preserve"> </w:t>
      </w:r>
      <w:r>
        <w:t>I’m</w:t>
      </w:r>
      <w:r>
        <w:rPr>
          <w:spacing w:val="-2"/>
        </w:rPr>
        <w:t xml:space="preserve"> </w:t>
      </w:r>
      <w:r>
        <w:t>doing</w:t>
      </w:r>
      <w:r>
        <w:rPr>
          <w:spacing w:val="-1"/>
        </w:rPr>
        <w:t xml:space="preserve"> </w:t>
      </w:r>
      <w:r>
        <w:t>a</w:t>
      </w:r>
      <w:r>
        <w:rPr>
          <w:spacing w:val="-1"/>
        </w:rPr>
        <w:t xml:space="preserve"> </w:t>
      </w:r>
      <w:r>
        <w:t>very</w:t>
      </w:r>
      <w:r>
        <w:rPr>
          <w:spacing w:val="-1"/>
        </w:rPr>
        <w:t xml:space="preserve"> </w:t>
      </w:r>
      <w:r>
        <w:t>a</w:t>
      </w:r>
      <w:r>
        <w:rPr>
          <w:spacing w:val="-1"/>
        </w:rPr>
        <w:t xml:space="preserve"> </w:t>
      </w:r>
      <w:r>
        <w:t>thorough</w:t>
      </w:r>
      <w:r>
        <w:rPr>
          <w:spacing w:val="-1"/>
        </w:rPr>
        <w:t xml:space="preserve"> </w:t>
      </w:r>
      <w:r>
        <w:t>job</w:t>
      </w:r>
      <w:r>
        <w:rPr>
          <w:spacing w:val="-1"/>
        </w:rPr>
        <w:t xml:space="preserve"> </w:t>
      </w:r>
      <w:r>
        <w:t>of</w:t>
      </w:r>
      <w:r>
        <w:rPr>
          <w:spacing w:val="-1"/>
        </w:rPr>
        <w:t xml:space="preserve"> </w:t>
      </w:r>
      <w:r>
        <w:t>reflecting</w:t>
      </w:r>
      <w:r>
        <w:rPr>
          <w:spacing w:val="-1"/>
        </w:rPr>
        <w:t xml:space="preserve"> </w:t>
      </w:r>
      <w:r>
        <w:t>on</w:t>
      </w:r>
      <w:r>
        <w:rPr>
          <w:spacing w:val="-1"/>
        </w:rPr>
        <w:t xml:space="preserve"> </w:t>
      </w:r>
      <w:r>
        <w:t>what’s going on in my head right now; and, on that basis, I can say with complete confidence</w:t>
      </w:r>
      <w:r>
        <w:rPr>
          <w:spacing w:val="64"/>
          <w:w w:val="150"/>
        </w:rPr>
        <w:t xml:space="preserve"> </w:t>
      </w:r>
      <w:r>
        <w:t>that</w:t>
      </w:r>
      <w:r>
        <w:rPr>
          <w:spacing w:val="64"/>
          <w:w w:val="150"/>
        </w:rPr>
        <w:t xml:space="preserve"> </w:t>
      </w:r>
      <w:r>
        <w:t>D*</w:t>
      </w:r>
      <w:r>
        <w:rPr>
          <w:spacing w:val="66"/>
          <w:w w:val="150"/>
        </w:rPr>
        <w:t xml:space="preserve"> </w:t>
      </w:r>
      <w:r>
        <w:t>is</w:t>
      </w:r>
      <w:r>
        <w:rPr>
          <w:spacing w:val="64"/>
          <w:w w:val="150"/>
        </w:rPr>
        <w:t xml:space="preserve"> </w:t>
      </w:r>
      <w:r>
        <w:t>among</w:t>
      </w:r>
      <w:r>
        <w:rPr>
          <w:spacing w:val="66"/>
          <w:w w:val="150"/>
        </w:rPr>
        <w:t xml:space="preserve"> </w:t>
      </w:r>
      <w:r>
        <w:t>the</w:t>
      </w:r>
      <w:r>
        <w:rPr>
          <w:spacing w:val="64"/>
          <w:w w:val="150"/>
        </w:rPr>
        <w:t xml:space="preserve"> </w:t>
      </w:r>
      <w:r>
        <w:t>things</w:t>
      </w:r>
      <w:r>
        <w:rPr>
          <w:spacing w:val="64"/>
          <w:w w:val="150"/>
        </w:rPr>
        <w:t xml:space="preserve"> </w:t>
      </w:r>
      <w:r>
        <w:t>that</w:t>
      </w:r>
      <w:r>
        <w:rPr>
          <w:spacing w:val="65"/>
          <w:w w:val="150"/>
        </w:rPr>
        <w:t xml:space="preserve"> </w:t>
      </w:r>
      <w:r>
        <w:t>I’m</w:t>
      </w:r>
      <w:r>
        <w:rPr>
          <w:spacing w:val="64"/>
          <w:w w:val="150"/>
        </w:rPr>
        <w:t xml:space="preserve"> </w:t>
      </w:r>
      <w:r>
        <w:t>thinking.</w:t>
      </w:r>
      <w:r>
        <w:rPr>
          <w:spacing w:val="66"/>
          <w:w w:val="150"/>
        </w:rPr>
        <w:t xml:space="preserve"> </w:t>
      </w:r>
      <w:r>
        <w:t>Next</w:t>
      </w:r>
      <w:r>
        <w:rPr>
          <w:spacing w:val="64"/>
          <w:w w:val="150"/>
        </w:rPr>
        <w:t xml:space="preserve"> </w:t>
      </w:r>
      <w:r>
        <w:rPr>
          <w:spacing w:val="-2"/>
        </w:rPr>
        <w:t>year,</w:t>
      </w:r>
    </w:p>
    <w:p w14:paraId="7E0015B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B3" w14:textId="77777777" w:rsidR="009A58DB" w:rsidRDefault="00000000">
      <w:pPr>
        <w:pStyle w:val="BodyText"/>
        <w:spacing w:before="65" w:line="249" w:lineRule="auto"/>
        <w:ind w:right="357"/>
      </w:pPr>
      <w:r>
        <w:lastRenderedPageBreak/>
        <w:t>historical</w:t>
      </w:r>
      <w:r>
        <w:rPr>
          <w:spacing w:val="-2"/>
        </w:rPr>
        <w:t xml:space="preserve"> </w:t>
      </w:r>
      <w:r>
        <w:t>research</w:t>
      </w:r>
      <w:r>
        <w:rPr>
          <w:spacing w:val="-1"/>
        </w:rPr>
        <w:t xml:space="preserve"> </w:t>
      </w:r>
      <w:r>
        <w:t>makes</w:t>
      </w:r>
      <w:r>
        <w:rPr>
          <w:spacing w:val="-1"/>
        </w:rPr>
        <w:t xml:space="preserve"> </w:t>
      </w:r>
      <w:r>
        <w:t>it</w:t>
      </w:r>
      <w:r>
        <w:rPr>
          <w:spacing w:val="-2"/>
        </w:rPr>
        <w:t xml:space="preserve"> </w:t>
      </w:r>
      <w:r>
        <w:t>clear</w:t>
      </w:r>
      <w:r>
        <w:rPr>
          <w:spacing w:val="-2"/>
        </w:rPr>
        <w:t xml:space="preserve"> </w:t>
      </w:r>
      <w:r>
        <w:t>that</w:t>
      </w:r>
      <w:r>
        <w:rPr>
          <w:spacing w:val="-2"/>
        </w:rPr>
        <w:t xml:space="preserve"> </w:t>
      </w:r>
      <w:r>
        <w:t>Descartes</w:t>
      </w:r>
      <w:r>
        <w:rPr>
          <w:spacing w:val="-1"/>
        </w:rPr>
        <w:t xml:space="preserve"> </w:t>
      </w:r>
      <w:r>
        <w:t>never</w:t>
      </w:r>
      <w:r>
        <w:rPr>
          <w:spacing w:val="-2"/>
        </w:rPr>
        <w:t xml:space="preserve"> </w:t>
      </w:r>
      <w:r>
        <w:t>existed—that</w:t>
      </w:r>
      <w:r>
        <w:rPr>
          <w:spacing w:val="-2"/>
        </w:rPr>
        <w:t xml:space="preserve"> </w:t>
      </w:r>
      <w:r>
        <w:t>there</w:t>
      </w:r>
      <w:r>
        <w:rPr>
          <w:spacing w:val="-1"/>
        </w:rPr>
        <w:t xml:space="preserve"> </w:t>
      </w:r>
      <w:r>
        <w:t>was no Descartes. It was all a hoax, we find out; the documents—all forgeries. According to Burge, I’m thinking about Descartes only in so far as my thoughts track back to him in the relevant way. They can’t do that if he didn’t exist. So when it’s discovered that Descartes never did exist, it not only turns out</w:t>
      </w:r>
      <w:r>
        <w:rPr>
          <w:spacing w:val="-1"/>
        </w:rPr>
        <w:t xml:space="preserve"> </w:t>
      </w:r>
      <w:r>
        <w:t>that,</w:t>
      </w:r>
      <w:r>
        <w:rPr>
          <w:spacing w:val="-1"/>
        </w:rPr>
        <w:t xml:space="preserve"> </w:t>
      </w:r>
      <w:r>
        <w:t>at</w:t>
      </w:r>
      <w:r>
        <w:rPr>
          <w:spacing w:val="-1"/>
        </w:rPr>
        <w:t xml:space="preserve"> </w:t>
      </w:r>
      <w:r>
        <w:t>t,</w:t>
      </w:r>
      <w:r>
        <w:rPr>
          <w:spacing w:val="-1"/>
        </w:rPr>
        <w:t xml:space="preserve"> </w:t>
      </w:r>
      <w:r>
        <w:t>I</w:t>
      </w:r>
      <w:r>
        <w:rPr>
          <w:spacing w:val="-1"/>
        </w:rPr>
        <w:t xml:space="preserve"> </w:t>
      </w:r>
      <w:r>
        <w:t>wasn’t</w:t>
      </w:r>
      <w:r>
        <w:rPr>
          <w:spacing w:val="-1"/>
        </w:rPr>
        <w:t xml:space="preserve"> </w:t>
      </w:r>
      <w:r>
        <w:t>thinking</w:t>
      </w:r>
      <w:r>
        <w:rPr>
          <w:spacing w:val="-1"/>
        </w:rPr>
        <w:t xml:space="preserve"> </w:t>
      </w:r>
      <w:r>
        <w:t>D*:</w:t>
      </w:r>
      <w:r>
        <w:rPr>
          <w:spacing w:val="-1"/>
        </w:rPr>
        <w:t xml:space="preserve"> </w:t>
      </w:r>
      <w:r>
        <w:t>it</w:t>
      </w:r>
      <w:r>
        <w:rPr>
          <w:spacing w:val="-1"/>
        </w:rPr>
        <w:t xml:space="preserve"> </w:t>
      </w:r>
      <w:r>
        <w:rPr>
          <w:i/>
        </w:rPr>
        <w:t>also</w:t>
      </w:r>
      <w:r>
        <w:rPr>
          <w:i/>
          <w:spacing w:val="-2"/>
        </w:rPr>
        <w:t xml:space="preserve"> </w:t>
      </w:r>
      <w:r>
        <w:t xml:space="preserve">turns out that D* doesn’t even exist to be thought. Let us momentarily suppose that Descartes </w:t>
      </w:r>
      <w:r>
        <w:rPr>
          <w:i/>
        </w:rPr>
        <w:t xml:space="preserve">did </w:t>
      </w:r>
      <w:r>
        <w:t xml:space="preserve">exist. In that case, there is some x such that x = Descartes, and such that D* is correct iff x is a fine philosopher and—Burge concludes from this—such that, for that very reason, if x didn’t exist, D* wouldn’t exist either. Burge thinks that Descartes is an actual </w:t>
      </w:r>
      <w:r>
        <w:rPr>
          <w:i/>
        </w:rPr>
        <w:t xml:space="preserve">constituent </w:t>
      </w:r>
      <w:r>
        <w:t xml:space="preserve">of the proposition—of the </w:t>
      </w:r>
      <w:r>
        <w:rPr>
          <w:i/>
        </w:rPr>
        <w:t>truth</w:t>
      </w:r>
      <w:r>
        <w:t>—that he was a fine philosopher. (I myself don’t think this. I discuss this in Chapters 3, 6 and 8, where I identify the fallacies concerning the nature of propositions that underlie this view of Burge’s.)</w:t>
      </w:r>
    </w:p>
    <w:p w14:paraId="7E0015B4" w14:textId="77777777" w:rsidR="009A58DB" w:rsidRDefault="00000000">
      <w:pPr>
        <w:pStyle w:val="BodyText"/>
        <w:spacing w:before="17" w:line="249" w:lineRule="auto"/>
        <w:ind w:right="364" w:firstLine="360"/>
      </w:pPr>
      <w:r>
        <w:t>So, supposing that Descartes turns out never to have existed, despite years of thought to the contrary, it will turn out, in Burge’s view, that D* doesn’t even exist to be thought. So I can’t even think that I’m thinking it—</w:t>
      </w:r>
      <w:r>
        <w:rPr>
          <w:i/>
        </w:rPr>
        <w:t>it</w:t>
      </w:r>
      <w:r>
        <w:rPr>
          <w:i/>
          <w:spacing w:val="-3"/>
        </w:rPr>
        <w:t xml:space="preserve"> </w:t>
      </w:r>
      <w:r>
        <w:t>doesn’t exist, after all.</w:t>
      </w:r>
    </w:p>
    <w:p w14:paraId="7E0015B5" w14:textId="77777777" w:rsidR="009A58DB" w:rsidRDefault="00000000">
      <w:pPr>
        <w:pStyle w:val="BodyText"/>
        <w:spacing w:before="5" w:line="249" w:lineRule="auto"/>
        <w:ind w:right="358" w:firstLine="360"/>
      </w:pPr>
      <w:r>
        <w:t xml:space="preserve">But that seems very wrong. Right now, I’m thinking that I’m thinking that Descartes was a fine philosopher. If JMK* is an occupant of a world where Descartes never existed who is otherwise exactly like me, JMK*’s psychological condition at the current time is exactly like mine. But, whereas </w:t>
      </w:r>
      <w:r>
        <w:rPr>
          <w:i/>
        </w:rPr>
        <w:t xml:space="preserve">I </w:t>
      </w:r>
      <w:r>
        <w:t xml:space="preserve">am now thinking that I’m thinking that Descartes was a fine philosopher, JMK* is failing to have that thought. To the extent that what </w:t>
      </w:r>
      <w:r>
        <w:rPr>
          <w:i/>
        </w:rPr>
        <w:t>I</w:t>
      </w:r>
      <w:r>
        <w:rPr>
          <w:i/>
          <w:spacing w:val="-3"/>
        </w:rPr>
        <w:t xml:space="preserve"> </w:t>
      </w:r>
      <w:r>
        <w:t>am doing right now is thinking D*, JMK* is altogether failing to have a thought. He’s shooting</w:t>
      </w:r>
      <w:r>
        <w:rPr>
          <w:spacing w:val="-1"/>
        </w:rPr>
        <w:t xml:space="preserve"> </w:t>
      </w:r>
      <w:r>
        <w:t>a</w:t>
      </w:r>
      <w:r>
        <w:rPr>
          <w:spacing w:val="-1"/>
        </w:rPr>
        <w:t xml:space="preserve"> </w:t>
      </w:r>
      <w:r>
        <w:t>cognitive</w:t>
      </w:r>
      <w:r>
        <w:rPr>
          <w:spacing w:val="-1"/>
        </w:rPr>
        <w:t xml:space="preserve"> </w:t>
      </w:r>
      <w:r>
        <w:t>blank.</w:t>
      </w:r>
      <w:r>
        <w:rPr>
          <w:spacing w:val="-1"/>
        </w:rPr>
        <w:t xml:space="preserve"> </w:t>
      </w:r>
      <w:r>
        <w:t>That</w:t>
      </w:r>
      <w:r>
        <w:rPr>
          <w:spacing w:val="-1"/>
        </w:rPr>
        <w:t xml:space="preserve"> </w:t>
      </w:r>
      <w:r>
        <w:t>doesn’t</w:t>
      </w:r>
      <w:r>
        <w:rPr>
          <w:spacing w:val="-1"/>
        </w:rPr>
        <w:t xml:space="preserve"> </w:t>
      </w:r>
      <w:r>
        <w:t>mean</w:t>
      </w:r>
      <w:r>
        <w:rPr>
          <w:spacing w:val="-1"/>
        </w:rPr>
        <w:t xml:space="preserve"> </w:t>
      </w:r>
      <w:r>
        <w:t>that</w:t>
      </w:r>
      <w:r>
        <w:rPr>
          <w:spacing w:val="-1"/>
        </w:rPr>
        <w:t xml:space="preserve"> </w:t>
      </w:r>
      <w:r>
        <w:t>he</w:t>
      </w:r>
      <w:r>
        <w:rPr>
          <w:spacing w:val="-1"/>
        </w:rPr>
        <w:t xml:space="preserve"> </w:t>
      </w:r>
      <w:r>
        <w:t>isn’t</w:t>
      </w:r>
      <w:r>
        <w:rPr>
          <w:spacing w:val="-1"/>
        </w:rPr>
        <w:t xml:space="preserve"> </w:t>
      </w:r>
      <w:r>
        <w:t>thinking</w:t>
      </w:r>
      <w:r>
        <w:rPr>
          <w:spacing w:val="-1"/>
        </w:rPr>
        <w:t xml:space="preserve"> </w:t>
      </w:r>
      <w:r>
        <w:rPr>
          <w:i/>
        </w:rPr>
        <w:t xml:space="preserve">anything. </w:t>
      </w:r>
      <w:r>
        <w:t xml:space="preserve">But </w:t>
      </w:r>
      <w:r>
        <w:rPr>
          <w:i/>
        </w:rPr>
        <w:t xml:space="preserve">to the extent </w:t>
      </w:r>
      <w:r>
        <w:t>that what I’m thinking right now is D*, he isn’t thinking anything. That means that all of the psychological activity that, in my case, is mediating</w:t>
      </w:r>
      <w:r>
        <w:rPr>
          <w:spacing w:val="-3"/>
        </w:rPr>
        <w:t xml:space="preserve"> </w:t>
      </w:r>
      <w:r>
        <w:t>the</w:t>
      </w:r>
      <w:r>
        <w:rPr>
          <w:spacing w:val="-4"/>
        </w:rPr>
        <w:t xml:space="preserve"> </w:t>
      </w:r>
      <w:r>
        <w:t>thought</w:t>
      </w:r>
      <w:r>
        <w:rPr>
          <w:spacing w:val="-4"/>
        </w:rPr>
        <w:t xml:space="preserve"> </w:t>
      </w:r>
      <w:r>
        <w:t>that</w:t>
      </w:r>
      <w:r>
        <w:rPr>
          <w:spacing w:val="-4"/>
        </w:rPr>
        <w:t xml:space="preserve"> </w:t>
      </w:r>
      <w:r>
        <w:t>D*</w:t>
      </w:r>
      <w:r>
        <w:rPr>
          <w:spacing w:val="-3"/>
        </w:rPr>
        <w:t xml:space="preserve"> </w:t>
      </w:r>
      <w:r>
        <w:t>is,</w:t>
      </w:r>
      <w:r>
        <w:rPr>
          <w:spacing w:val="-3"/>
        </w:rPr>
        <w:t xml:space="preserve"> </w:t>
      </w:r>
      <w:r>
        <w:t>in</w:t>
      </w:r>
      <w:r>
        <w:rPr>
          <w:spacing w:val="-3"/>
        </w:rPr>
        <w:t xml:space="preserve"> </w:t>
      </w:r>
      <w:r>
        <w:t>JMK*’s</w:t>
      </w:r>
      <w:r>
        <w:rPr>
          <w:spacing w:val="-4"/>
        </w:rPr>
        <w:t xml:space="preserve"> </w:t>
      </w:r>
      <w:r>
        <w:t>case,</w:t>
      </w:r>
      <w:r>
        <w:rPr>
          <w:spacing w:val="-3"/>
        </w:rPr>
        <w:t xml:space="preserve"> </w:t>
      </w:r>
      <w:r>
        <w:t>failing</w:t>
      </w:r>
      <w:r>
        <w:rPr>
          <w:spacing w:val="-3"/>
        </w:rPr>
        <w:t xml:space="preserve"> </w:t>
      </w:r>
      <w:r>
        <w:t>to</w:t>
      </w:r>
      <w:r>
        <w:rPr>
          <w:spacing w:val="-3"/>
        </w:rPr>
        <w:t xml:space="preserve"> </w:t>
      </w:r>
      <w:r>
        <w:t>mediate</w:t>
      </w:r>
      <w:r>
        <w:rPr>
          <w:spacing w:val="-4"/>
        </w:rPr>
        <w:t xml:space="preserve"> </w:t>
      </w:r>
      <w:r>
        <w:t xml:space="preserve">anything. And supposing that, for a split second, D* were the one thought passing through my mind, it follows on Burge’s view that JMK* is, during that split second, </w:t>
      </w:r>
      <w:r>
        <w:rPr>
          <w:i/>
        </w:rPr>
        <w:t xml:space="preserve">not thinking anything at all. </w:t>
      </w:r>
      <w:r>
        <w:t xml:space="preserve">Thus, a consequence of Burge’s view is that, given two people who are </w:t>
      </w:r>
      <w:r>
        <w:rPr>
          <w:i/>
        </w:rPr>
        <w:t>psychologically</w:t>
      </w:r>
      <w:r>
        <w:rPr>
          <w:i/>
          <w:spacing w:val="-4"/>
        </w:rPr>
        <w:t xml:space="preserve"> </w:t>
      </w:r>
      <w:r>
        <w:t xml:space="preserve">identical, one of them may be having a thought whereas the other is thinking nothing at all. But not only is that clearly false: it’s incoherent. Thought </w:t>
      </w:r>
      <w:r>
        <w:rPr>
          <w:i/>
        </w:rPr>
        <w:t>is</w:t>
      </w:r>
      <w:r>
        <w:rPr>
          <w:i/>
          <w:spacing w:val="25"/>
        </w:rPr>
        <w:t xml:space="preserve"> </w:t>
      </w:r>
      <w:r>
        <w:t>psychological</w:t>
      </w:r>
      <w:r>
        <w:rPr>
          <w:spacing w:val="25"/>
        </w:rPr>
        <w:t xml:space="preserve"> </w:t>
      </w:r>
      <w:r>
        <w:t>activity.</w:t>
      </w:r>
      <w:r>
        <w:rPr>
          <w:spacing w:val="26"/>
        </w:rPr>
        <w:t xml:space="preserve"> </w:t>
      </w:r>
      <w:r>
        <w:t>Burge’s</w:t>
      </w:r>
    </w:p>
    <w:p w14:paraId="7E0015B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B7" w14:textId="77777777" w:rsidR="009A58DB" w:rsidRDefault="00000000">
      <w:pPr>
        <w:pStyle w:val="BodyText"/>
        <w:spacing w:before="65"/>
        <w:ind w:left="326" w:right="797"/>
        <w:jc w:val="center"/>
        <w:rPr>
          <w:position w:val="21"/>
        </w:rPr>
      </w:pPr>
      <w:r>
        <w:lastRenderedPageBreak/>
        <w:t>view</w:t>
      </w:r>
      <w:r>
        <w:rPr>
          <w:spacing w:val="-6"/>
        </w:rPr>
        <w:t xml:space="preserve"> </w:t>
      </w:r>
      <w:r>
        <w:t>has</w:t>
      </w:r>
      <w:r>
        <w:rPr>
          <w:spacing w:val="-3"/>
        </w:rPr>
        <w:t xml:space="preserve"> </w:t>
      </w:r>
      <w:r>
        <w:t>the</w:t>
      </w:r>
      <w:r>
        <w:rPr>
          <w:spacing w:val="-3"/>
        </w:rPr>
        <w:t xml:space="preserve"> </w:t>
      </w:r>
      <w:r>
        <w:t>absurd</w:t>
      </w:r>
      <w:r>
        <w:rPr>
          <w:spacing w:val="-3"/>
        </w:rPr>
        <w:t xml:space="preserve"> </w:t>
      </w:r>
      <w:r>
        <w:t>result</w:t>
      </w:r>
      <w:r>
        <w:rPr>
          <w:spacing w:val="-3"/>
        </w:rPr>
        <w:t xml:space="preserve"> </w:t>
      </w:r>
      <w:r>
        <w:t>that</w:t>
      </w:r>
      <w:r>
        <w:rPr>
          <w:spacing w:val="-3"/>
        </w:rPr>
        <w:t xml:space="preserve"> </w:t>
      </w:r>
      <w:r>
        <w:t>thought</w:t>
      </w:r>
      <w:r>
        <w:rPr>
          <w:spacing w:val="-4"/>
        </w:rPr>
        <w:t xml:space="preserve"> </w:t>
      </w:r>
      <w:r>
        <w:t>isn’t</w:t>
      </w:r>
      <w:r>
        <w:rPr>
          <w:spacing w:val="-3"/>
        </w:rPr>
        <w:t xml:space="preserve"> </w:t>
      </w:r>
      <w:r>
        <w:t>a</w:t>
      </w:r>
      <w:r>
        <w:rPr>
          <w:spacing w:val="-3"/>
        </w:rPr>
        <w:t xml:space="preserve"> </w:t>
      </w:r>
      <w:r>
        <w:t>psychological</w:t>
      </w:r>
      <w:r>
        <w:rPr>
          <w:spacing w:val="-3"/>
        </w:rPr>
        <w:t xml:space="preserve"> </w:t>
      </w:r>
      <w:r>
        <w:rPr>
          <w:spacing w:val="-2"/>
        </w:rPr>
        <w:t>process.</w:t>
      </w:r>
      <w:bookmarkStart w:id="278" w:name="_bookmark278"/>
      <w:bookmarkEnd w:id="278"/>
      <w:r>
        <w:rPr>
          <w:color w:val="0562C1"/>
          <w:spacing w:val="-2"/>
          <w:position w:val="21"/>
          <w:u w:val="single" w:color="0562C1"/>
        </w:rPr>
        <w:t>[180]</w:t>
      </w:r>
    </w:p>
    <w:p w14:paraId="7E0015B8" w14:textId="77777777" w:rsidR="009A58DB" w:rsidRDefault="00000000">
      <w:pPr>
        <w:spacing w:before="203" w:line="391" w:lineRule="exact"/>
        <w:ind w:right="424"/>
        <w:jc w:val="center"/>
        <w:rPr>
          <w:b/>
          <w:sz w:val="42"/>
        </w:rPr>
      </w:pPr>
      <w:bookmarkStart w:id="279" w:name="_bookmark279"/>
      <w:bookmarkEnd w:id="279"/>
      <w:r>
        <w:rPr>
          <w:b/>
          <w:color w:val="0562C1"/>
          <w:spacing w:val="-2"/>
          <w:sz w:val="42"/>
        </w:rPr>
        <w:t>[181]</w:t>
      </w:r>
    </w:p>
    <w:p w14:paraId="7E0015B9" w14:textId="77777777" w:rsidR="009A58DB" w:rsidRDefault="00000000">
      <w:pPr>
        <w:pStyle w:val="Heading1"/>
        <w:spacing w:before="0" w:line="391" w:lineRule="exact"/>
        <w:ind w:left="360" w:firstLine="0"/>
      </w:pPr>
      <w:r>
        <w:rPr>
          <w:noProof/>
        </w:rPr>
        <mc:AlternateContent>
          <mc:Choice Requires="wps">
            <w:drawing>
              <wp:anchor distT="0" distB="0" distL="0" distR="0" simplePos="0" relativeHeight="15741440" behindDoc="0" locked="0" layoutInCell="1" allowOverlap="1" wp14:anchorId="7E003282" wp14:editId="7E003283">
                <wp:simplePos x="0" y="0"/>
                <wp:positionH relativeFrom="page">
                  <wp:posOffset>3457575</wp:posOffset>
                </wp:positionH>
                <wp:positionV relativeFrom="paragraph">
                  <wp:posOffset>14636</wp:posOffset>
                </wp:positionV>
                <wp:extent cx="5715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4CFF30F8" id="Graphic 26" o:spid="_x0000_s1026" style="position:absolute;margin-left:272.25pt;margin-top:1.15pt;width:4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" path="m,l571500,e" filled="f" strokecolor="#0562c1">
                <v:path arrowok="t"/>
                <w10:wrap anchorx="page"/>
              </v:shape>
            </w:pict>
          </mc:Fallback>
        </mc:AlternateContent>
      </w:r>
      <w:r>
        <w:t>4.1.2</w:t>
      </w:r>
      <w:r>
        <w:rPr>
          <w:spacing w:val="-3"/>
        </w:rPr>
        <w:t xml:space="preserve"> </w:t>
      </w:r>
      <w:r>
        <w:t>Burge’s</w:t>
      </w:r>
      <w:r>
        <w:rPr>
          <w:spacing w:val="-3"/>
        </w:rPr>
        <w:t xml:space="preserve"> </w:t>
      </w:r>
      <w:r>
        <w:rPr>
          <w:spacing w:val="-2"/>
        </w:rPr>
        <w:t>response</w:t>
      </w:r>
    </w:p>
    <w:p w14:paraId="7E0015BA" w14:textId="77777777" w:rsidR="009A58DB" w:rsidRDefault="00000000">
      <w:pPr>
        <w:pStyle w:val="BodyText"/>
        <w:spacing w:before="139" w:line="249" w:lineRule="auto"/>
        <w:ind w:right="361"/>
      </w:pPr>
      <w:r>
        <w:t>Burge denies that his position is inconsistent with the presumption that</w:t>
      </w:r>
      <w:r>
        <w:rPr>
          <w:spacing w:val="40"/>
        </w:rPr>
        <w:t xml:space="preserve"> </w:t>
      </w:r>
      <w:r>
        <w:t xml:space="preserve">people know what they are consciously thinking. To evaluate this claim of his, let’s start out by saying what he </w:t>
      </w:r>
      <w:r>
        <w:rPr>
          <w:i/>
        </w:rPr>
        <w:t xml:space="preserve">does </w:t>
      </w:r>
      <w:r>
        <w:t>admit. Burge admits three things, which we’ll refer to as “B</w:t>
      </w:r>
      <w:r>
        <w:rPr>
          <w:position w:val="-7"/>
          <w:sz w:val="22"/>
        </w:rPr>
        <w:t>1</w:t>
      </w:r>
      <w:r>
        <w:t>,” “B</w:t>
      </w:r>
      <w:r>
        <w:rPr>
          <w:position w:val="-7"/>
          <w:sz w:val="22"/>
        </w:rPr>
        <w:t>2</w:t>
      </w:r>
      <w:r>
        <w:t>,” and “B</w:t>
      </w:r>
      <w:r>
        <w:rPr>
          <w:position w:val="-7"/>
          <w:sz w:val="22"/>
        </w:rPr>
        <w:t>3</w:t>
      </w:r>
      <w:r>
        <w:t>”:</w:t>
      </w:r>
    </w:p>
    <w:p w14:paraId="7E0015BB" w14:textId="77777777" w:rsidR="009A58DB" w:rsidRDefault="009A58DB">
      <w:pPr>
        <w:pStyle w:val="BodyText"/>
        <w:spacing w:before="17"/>
        <w:ind w:left="0"/>
        <w:jc w:val="left"/>
      </w:pPr>
    </w:p>
    <w:p w14:paraId="7E0015BC" w14:textId="77777777" w:rsidR="009A58DB" w:rsidRDefault="00000000">
      <w:pPr>
        <w:pStyle w:val="BodyText"/>
        <w:spacing w:line="271" w:lineRule="auto"/>
        <w:ind w:left="720" w:right="722"/>
      </w:pPr>
      <w:r>
        <w:t>(B</w:t>
      </w:r>
      <w:r>
        <w:rPr>
          <w:vertAlign w:val="subscript"/>
        </w:rPr>
        <w:t>1</w:t>
      </w:r>
      <w:r>
        <w:t>) No matter what mental states I have, it’s a possibility that Descartes didn’t exist. The documents on which my belief is based could have been forged (etc.).</w:t>
      </w:r>
    </w:p>
    <w:p w14:paraId="7E0015BD" w14:textId="77777777" w:rsidR="009A58DB" w:rsidRDefault="00000000">
      <w:pPr>
        <w:pStyle w:val="BodyText"/>
        <w:spacing w:line="316" w:lineRule="exact"/>
        <w:ind w:left="1080"/>
      </w:pPr>
      <w:r>
        <w:t>Thus,</w:t>
      </w:r>
      <w:r>
        <w:rPr>
          <w:spacing w:val="14"/>
        </w:rPr>
        <w:t xml:space="preserve"> </w:t>
      </w:r>
      <w:r>
        <w:t>even</w:t>
      </w:r>
      <w:r>
        <w:rPr>
          <w:spacing w:val="15"/>
        </w:rPr>
        <w:t xml:space="preserve"> </w:t>
      </w:r>
      <w:r>
        <w:t>though</w:t>
      </w:r>
      <w:r>
        <w:rPr>
          <w:spacing w:val="15"/>
        </w:rPr>
        <w:t xml:space="preserve"> </w:t>
      </w:r>
      <w:r>
        <w:t>(so</w:t>
      </w:r>
      <w:r>
        <w:rPr>
          <w:spacing w:val="14"/>
        </w:rPr>
        <w:t xml:space="preserve"> </w:t>
      </w:r>
      <w:r>
        <w:t>I</w:t>
      </w:r>
      <w:r>
        <w:rPr>
          <w:spacing w:val="15"/>
        </w:rPr>
        <w:t xml:space="preserve"> </w:t>
      </w:r>
      <w:r>
        <w:t>think,</w:t>
      </w:r>
      <w:r>
        <w:rPr>
          <w:spacing w:val="15"/>
        </w:rPr>
        <w:t xml:space="preserve"> </w:t>
      </w:r>
      <w:r>
        <w:t>and</w:t>
      </w:r>
      <w:r>
        <w:rPr>
          <w:spacing w:val="14"/>
        </w:rPr>
        <w:t xml:space="preserve"> </w:t>
      </w:r>
      <w:r>
        <w:t>so</w:t>
      </w:r>
      <w:r>
        <w:rPr>
          <w:spacing w:val="15"/>
        </w:rPr>
        <w:t xml:space="preserve"> </w:t>
      </w:r>
      <w:r>
        <w:t>let</w:t>
      </w:r>
      <w:r>
        <w:rPr>
          <w:spacing w:val="15"/>
        </w:rPr>
        <w:t xml:space="preserve"> </w:t>
      </w:r>
      <w:r>
        <w:t>us</w:t>
      </w:r>
      <w:r>
        <w:rPr>
          <w:spacing w:val="15"/>
        </w:rPr>
        <w:t xml:space="preserve"> </w:t>
      </w:r>
      <w:r>
        <w:t>assume)</w:t>
      </w:r>
      <w:r>
        <w:rPr>
          <w:spacing w:val="14"/>
        </w:rPr>
        <w:t xml:space="preserve"> </w:t>
      </w:r>
      <w:r>
        <w:t>I</w:t>
      </w:r>
      <w:r>
        <w:rPr>
          <w:spacing w:val="15"/>
        </w:rPr>
        <w:t xml:space="preserve"> </w:t>
      </w:r>
      <w:r>
        <w:rPr>
          <w:i/>
        </w:rPr>
        <w:t>do</w:t>
      </w:r>
      <w:r>
        <w:rPr>
          <w:i/>
          <w:spacing w:val="14"/>
        </w:rPr>
        <w:t xml:space="preserve"> </w:t>
      </w:r>
      <w:r>
        <w:t>know</w:t>
      </w:r>
      <w:r>
        <w:rPr>
          <w:spacing w:val="13"/>
        </w:rPr>
        <w:t xml:space="preserve"> </w:t>
      </w:r>
      <w:r>
        <w:rPr>
          <w:spacing w:val="-4"/>
        </w:rPr>
        <w:t>that</w:t>
      </w:r>
    </w:p>
    <w:p w14:paraId="7E0015BE" w14:textId="77777777" w:rsidR="009A58DB" w:rsidRDefault="00000000">
      <w:pPr>
        <w:pStyle w:val="BodyText"/>
        <w:spacing w:before="15" w:line="249" w:lineRule="auto"/>
        <w:ind w:left="720" w:right="722"/>
      </w:pPr>
      <w:r>
        <w:t xml:space="preserve">Descartes existed (at least insofar as I know anything about what happened in France centuries ago), I don’t know </w:t>
      </w:r>
      <w:r>
        <w:rPr>
          <w:i/>
        </w:rPr>
        <w:t xml:space="preserve">for sure </w:t>
      </w:r>
      <w:r>
        <w:t>that he did. Moreover, given only what my own mental states are, it’s a theoretical possibility that he never did exist.</w:t>
      </w:r>
    </w:p>
    <w:p w14:paraId="7E0015BF" w14:textId="77777777" w:rsidR="009A58DB" w:rsidRDefault="009A58DB">
      <w:pPr>
        <w:pStyle w:val="BodyText"/>
        <w:spacing w:before="20"/>
        <w:ind w:left="0"/>
        <w:jc w:val="left"/>
      </w:pPr>
    </w:p>
    <w:p w14:paraId="7E0015C0" w14:textId="77777777" w:rsidR="009A58DB" w:rsidRDefault="00000000">
      <w:pPr>
        <w:pStyle w:val="BodyText"/>
        <w:spacing w:line="292" w:lineRule="auto"/>
        <w:ind w:left="720" w:right="731"/>
      </w:pPr>
      <w:r>
        <w:t>(B</w:t>
      </w:r>
      <w:r>
        <w:rPr>
          <w:vertAlign w:val="subscript"/>
        </w:rPr>
        <w:t>2</w:t>
      </w:r>
      <w:r>
        <w:t>) For argument’s sake, suppose that, in reality, Descartes really did exist. Let’s also suppose that I’m now thinking:</w:t>
      </w:r>
    </w:p>
    <w:p w14:paraId="7E0015C1" w14:textId="77777777" w:rsidR="009A58DB" w:rsidRDefault="00000000">
      <w:pPr>
        <w:pStyle w:val="BodyText"/>
        <w:spacing w:before="298"/>
        <w:ind w:left="720"/>
      </w:pPr>
      <w:r>
        <w:t>(D*)</w:t>
      </w:r>
      <w:r>
        <w:rPr>
          <w:spacing w:val="-4"/>
        </w:rPr>
        <w:t xml:space="preserve"> </w:t>
      </w:r>
      <w:r>
        <w:t>Descartes</w:t>
      </w:r>
      <w:r>
        <w:rPr>
          <w:spacing w:val="-4"/>
        </w:rPr>
        <w:t xml:space="preserve"> </w:t>
      </w:r>
      <w:r>
        <w:t>was</w:t>
      </w:r>
      <w:r>
        <w:rPr>
          <w:spacing w:val="-4"/>
        </w:rPr>
        <w:t xml:space="preserve"> </w:t>
      </w:r>
      <w:r>
        <w:t>a</w:t>
      </w:r>
      <w:r>
        <w:rPr>
          <w:spacing w:val="-4"/>
        </w:rPr>
        <w:t xml:space="preserve"> </w:t>
      </w:r>
      <w:r>
        <w:t>fine</w:t>
      </w:r>
      <w:r>
        <w:rPr>
          <w:spacing w:val="-3"/>
        </w:rPr>
        <w:t xml:space="preserve"> </w:t>
      </w:r>
      <w:r>
        <w:rPr>
          <w:spacing w:val="-2"/>
        </w:rPr>
        <w:t>philosopher.</w:t>
      </w:r>
    </w:p>
    <w:p w14:paraId="7E0015C2" w14:textId="77777777" w:rsidR="009A58DB" w:rsidRDefault="009A58DB">
      <w:pPr>
        <w:pStyle w:val="BodyText"/>
        <w:spacing w:before="30"/>
        <w:ind w:left="0"/>
        <w:jc w:val="left"/>
      </w:pPr>
    </w:p>
    <w:p w14:paraId="7E0015C3" w14:textId="77777777" w:rsidR="009A58DB" w:rsidRDefault="00000000">
      <w:pPr>
        <w:pStyle w:val="BodyText"/>
        <w:spacing w:line="249" w:lineRule="auto"/>
        <w:ind w:left="720" w:right="719"/>
      </w:pPr>
      <w:r>
        <w:t>A consequence of my (Burge’s) position is that there existed some individual x, namely Descartes, such that D* is correct if and only if</w:t>
      </w:r>
    </w:p>
    <w:p w14:paraId="7E0015C4" w14:textId="77777777" w:rsidR="009A58DB" w:rsidRDefault="009A58DB">
      <w:pPr>
        <w:pStyle w:val="BodyText"/>
        <w:spacing w:before="18"/>
        <w:ind w:left="0"/>
        <w:jc w:val="left"/>
      </w:pPr>
    </w:p>
    <w:p w14:paraId="7E0015C5" w14:textId="77777777" w:rsidR="009A58DB" w:rsidRDefault="00000000">
      <w:pPr>
        <w:pStyle w:val="BodyText"/>
        <w:ind w:left="720"/>
      </w:pPr>
      <w:r>
        <w:t>(D</w:t>
      </w:r>
      <w:r>
        <w:rPr>
          <w:vertAlign w:val="subscript"/>
        </w:rPr>
        <w:t>1</w:t>
      </w:r>
      <w:r>
        <w:t>*)</w:t>
      </w:r>
      <w:r>
        <w:rPr>
          <w:spacing w:val="1"/>
        </w:rPr>
        <w:t xml:space="preserve"> </w:t>
      </w:r>
      <w:r>
        <w:t>x</w:t>
      </w:r>
      <w:r>
        <w:rPr>
          <w:spacing w:val="3"/>
        </w:rPr>
        <w:t xml:space="preserve"> </w:t>
      </w:r>
      <w:r>
        <w:t>was</w:t>
      </w:r>
      <w:r>
        <w:rPr>
          <w:spacing w:val="2"/>
        </w:rPr>
        <w:t xml:space="preserve"> </w:t>
      </w:r>
      <w:r>
        <w:t>a</w:t>
      </w:r>
      <w:r>
        <w:rPr>
          <w:spacing w:val="2"/>
        </w:rPr>
        <w:t xml:space="preserve"> </w:t>
      </w:r>
      <w:r>
        <w:t>fine</w:t>
      </w:r>
      <w:r>
        <w:rPr>
          <w:spacing w:val="1"/>
        </w:rPr>
        <w:t xml:space="preserve"> </w:t>
      </w:r>
      <w:r>
        <w:rPr>
          <w:spacing w:val="-2"/>
        </w:rPr>
        <w:t>philosopher</w:t>
      </w:r>
    </w:p>
    <w:p w14:paraId="7E0015C6" w14:textId="77777777" w:rsidR="009A58DB" w:rsidRDefault="009A58DB">
      <w:pPr>
        <w:pStyle w:val="BodyText"/>
        <w:spacing w:before="90"/>
        <w:ind w:left="0"/>
        <w:jc w:val="left"/>
      </w:pPr>
    </w:p>
    <w:p w14:paraId="7E0015C7" w14:textId="77777777" w:rsidR="009A58DB" w:rsidRDefault="00000000">
      <w:pPr>
        <w:pStyle w:val="BodyText"/>
        <w:spacing w:line="249" w:lineRule="auto"/>
        <w:ind w:left="720" w:right="725"/>
      </w:pPr>
      <w:r>
        <w:t>and such that the mental events and structures involved in my having that thought are correct if and only if D</w:t>
      </w:r>
      <w:r>
        <w:rPr>
          <w:vertAlign w:val="subscript"/>
        </w:rPr>
        <w:t>1</w:t>
      </w:r>
      <w:r>
        <w:t>* is correct.</w:t>
      </w:r>
    </w:p>
    <w:p w14:paraId="7E0015C8" w14:textId="77777777" w:rsidR="009A58DB" w:rsidRDefault="009A58DB">
      <w:pPr>
        <w:pStyle w:val="BodyText"/>
        <w:spacing w:before="77"/>
        <w:ind w:left="0"/>
        <w:jc w:val="left"/>
      </w:pPr>
    </w:p>
    <w:p w14:paraId="7E0015C9" w14:textId="77777777" w:rsidR="009A58DB" w:rsidRDefault="00000000">
      <w:pPr>
        <w:pStyle w:val="BodyText"/>
        <w:spacing w:line="271" w:lineRule="auto"/>
        <w:ind w:left="720" w:right="728"/>
      </w:pPr>
      <w:r>
        <w:t>(B</w:t>
      </w:r>
      <w:r>
        <w:rPr>
          <w:vertAlign w:val="subscript"/>
        </w:rPr>
        <w:t>3</w:t>
      </w:r>
      <w:r>
        <w:t>)</w:t>
      </w:r>
      <w:r>
        <w:rPr>
          <w:spacing w:val="-1"/>
        </w:rPr>
        <w:t xml:space="preserve"> </w:t>
      </w:r>
      <w:r>
        <w:t>B</w:t>
      </w:r>
      <w:r>
        <w:rPr>
          <w:vertAlign w:val="subscript"/>
        </w:rPr>
        <w:t>2</w:t>
      </w:r>
      <w:r>
        <w:t xml:space="preserve"> entails</w:t>
      </w:r>
      <w:r>
        <w:rPr>
          <w:spacing w:val="-1"/>
        </w:rPr>
        <w:t xml:space="preserve"> </w:t>
      </w:r>
      <w:r>
        <w:t>that</w:t>
      </w:r>
      <w:r>
        <w:rPr>
          <w:spacing w:val="-1"/>
        </w:rPr>
        <w:t xml:space="preserve"> </w:t>
      </w:r>
      <w:r>
        <w:rPr>
          <w:i/>
        </w:rPr>
        <w:t>if</w:t>
      </w:r>
      <w:r>
        <w:rPr>
          <w:i/>
          <w:spacing w:val="-1"/>
        </w:rPr>
        <w:t xml:space="preserve"> </w:t>
      </w:r>
      <w:r>
        <w:t xml:space="preserve">I were to be in the very same mental state I was in when I was thinking D*, </w:t>
      </w:r>
      <w:r>
        <w:rPr>
          <w:i/>
        </w:rPr>
        <w:t xml:space="preserve">but </w:t>
      </w:r>
      <w:r>
        <w:t>it happened to be the case that Descartes had</w:t>
      </w:r>
      <w:r>
        <w:rPr>
          <w:spacing w:val="13"/>
        </w:rPr>
        <w:t xml:space="preserve"> </w:t>
      </w:r>
      <w:r>
        <w:t>never</w:t>
      </w:r>
      <w:r>
        <w:rPr>
          <w:spacing w:val="15"/>
        </w:rPr>
        <w:t xml:space="preserve"> </w:t>
      </w:r>
      <w:r>
        <w:t>existed,</w:t>
      </w:r>
      <w:r>
        <w:rPr>
          <w:spacing w:val="16"/>
        </w:rPr>
        <w:t xml:space="preserve"> </w:t>
      </w:r>
      <w:r>
        <w:t>then</w:t>
      </w:r>
      <w:r>
        <w:rPr>
          <w:spacing w:val="15"/>
        </w:rPr>
        <w:t xml:space="preserve"> </w:t>
      </w:r>
      <w:r>
        <w:t>I</w:t>
      </w:r>
      <w:r>
        <w:rPr>
          <w:spacing w:val="15"/>
        </w:rPr>
        <w:t xml:space="preserve"> </w:t>
      </w:r>
      <w:r>
        <w:t>would</w:t>
      </w:r>
      <w:r>
        <w:rPr>
          <w:spacing w:val="16"/>
        </w:rPr>
        <w:t xml:space="preserve"> </w:t>
      </w:r>
      <w:r>
        <w:rPr>
          <w:i/>
        </w:rPr>
        <w:t>not</w:t>
      </w:r>
      <w:r>
        <w:rPr>
          <w:i/>
          <w:spacing w:val="12"/>
        </w:rPr>
        <w:t xml:space="preserve"> </w:t>
      </w:r>
      <w:r>
        <w:t>be</w:t>
      </w:r>
      <w:r>
        <w:rPr>
          <w:spacing w:val="16"/>
        </w:rPr>
        <w:t xml:space="preserve"> </w:t>
      </w:r>
      <w:r>
        <w:t>thinking</w:t>
      </w:r>
      <w:r>
        <w:rPr>
          <w:spacing w:val="15"/>
        </w:rPr>
        <w:t xml:space="preserve"> </w:t>
      </w:r>
      <w:r>
        <w:t>D*.</w:t>
      </w:r>
      <w:r>
        <w:rPr>
          <w:spacing w:val="15"/>
        </w:rPr>
        <w:t xml:space="preserve"> </w:t>
      </w:r>
      <w:r>
        <w:t>In</w:t>
      </w:r>
      <w:r>
        <w:rPr>
          <w:spacing w:val="16"/>
        </w:rPr>
        <w:t xml:space="preserve"> </w:t>
      </w:r>
      <w:r>
        <w:t>other</w:t>
      </w:r>
      <w:r>
        <w:rPr>
          <w:spacing w:val="15"/>
        </w:rPr>
        <w:t xml:space="preserve"> </w:t>
      </w:r>
      <w:r>
        <w:t>words</w:t>
      </w:r>
      <w:r>
        <w:rPr>
          <w:spacing w:val="16"/>
        </w:rPr>
        <w:t xml:space="preserve"> </w:t>
      </w:r>
      <w:r>
        <w:rPr>
          <w:spacing w:val="-5"/>
        </w:rPr>
        <w:t>D</w:t>
      </w:r>
      <w:r>
        <w:rPr>
          <w:spacing w:val="-5"/>
          <w:vertAlign w:val="subscript"/>
        </w:rPr>
        <w:t>2</w:t>
      </w:r>
    </w:p>
    <w:p w14:paraId="7E0015CA"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15CB" w14:textId="77777777" w:rsidR="009A58DB" w:rsidRDefault="00000000">
      <w:pPr>
        <w:pStyle w:val="BodyText"/>
        <w:spacing w:before="60" w:line="271" w:lineRule="auto"/>
        <w:ind w:left="720" w:right="721"/>
      </w:pPr>
      <w:r>
        <w:lastRenderedPageBreak/>
        <w:t xml:space="preserve">entails that the very mental events and brain-events that </w:t>
      </w:r>
      <w:r>
        <w:rPr>
          <w:i/>
        </w:rPr>
        <w:t xml:space="preserve">in fact </w:t>
      </w:r>
      <w:r>
        <w:t>constituted my thinking D</w:t>
      </w:r>
      <w:r>
        <w:rPr>
          <w:vertAlign w:val="subscript"/>
        </w:rPr>
        <w:t>1</w:t>
      </w:r>
      <w:r>
        <w:t xml:space="preserve">* would fail to constitute </w:t>
      </w:r>
      <w:r>
        <w:rPr>
          <w:i/>
        </w:rPr>
        <w:t xml:space="preserve">any </w:t>
      </w:r>
      <w:r>
        <w:t>thought. By virtue</w:t>
      </w:r>
      <w:r>
        <w:rPr>
          <w:spacing w:val="64"/>
        </w:rPr>
        <w:t xml:space="preserve"> </w:t>
      </w:r>
      <w:r>
        <w:t>of</w:t>
      </w:r>
      <w:r>
        <w:rPr>
          <w:spacing w:val="67"/>
        </w:rPr>
        <w:t xml:space="preserve"> </w:t>
      </w:r>
      <w:r>
        <w:t>having</w:t>
      </w:r>
      <w:r>
        <w:rPr>
          <w:spacing w:val="67"/>
        </w:rPr>
        <w:t xml:space="preserve"> </w:t>
      </w:r>
      <w:r>
        <w:t>those</w:t>
      </w:r>
      <w:r>
        <w:rPr>
          <w:spacing w:val="67"/>
        </w:rPr>
        <w:t xml:space="preserve"> </w:t>
      </w:r>
      <w:r>
        <w:t>mental</w:t>
      </w:r>
      <w:r>
        <w:rPr>
          <w:spacing w:val="67"/>
        </w:rPr>
        <w:t xml:space="preserve"> </w:t>
      </w:r>
      <w:r>
        <w:t>and</w:t>
      </w:r>
      <w:r>
        <w:rPr>
          <w:spacing w:val="66"/>
        </w:rPr>
        <w:t xml:space="preserve"> </w:t>
      </w:r>
      <w:r>
        <w:t>neural</w:t>
      </w:r>
      <w:r>
        <w:rPr>
          <w:spacing w:val="67"/>
        </w:rPr>
        <w:t xml:space="preserve"> </w:t>
      </w:r>
      <w:r>
        <w:t>events,</w:t>
      </w:r>
      <w:r>
        <w:rPr>
          <w:spacing w:val="67"/>
        </w:rPr>
        <w:t xml:space="preserve"> </w:t>
      </w:r>
      <w:r>
        <w:t>I’d</w:t>
      </w:r>
      <w:r>
        <w:rPr>
          <w:spacing w:val="67"/>
        </w:rPr>
        <w:t xml:space="preserve"> </w:t>
      </w:r>
      <w:r>
        <w:t>be</w:t>
      </w:r>
      <w:r>
        <w:rPr>
          <w:spacing w:val="67"/>
        </w:rPr>
        <w:t xml:space="preserve"> </w:t>
      </w:r>
      <w:r>
        <w:t>shooting</w:t>
      </w:r>
      <w:r>
        <w:rPr>
          <w:spacing w:val="67"/>
        </w:rPr>
        <w:t xml:space="preserve"> </w:t>
      </w:r>
      <w:r>
        <w:rPr>
          <w:spacing w:val="-10"/>
        </w:rPr>
        <w:t>a</w:t>
      </w:r>
    </w:p>
    <w:p w14:paraId="7E0015CC" w14:textId="77777777" w:rsidR="009A58DB" w:rsidRDefault="00000000">
      <w:pPr>
        <w:pStyle w:val="BodyText"/>
        <w:spacing w:line="316" w:lineRule="exact"/>
        <w:ind w:left="720"/>
        <w:rPr>
          <w:i/>
        </w:rPr>
      </w:pPr>
      <w:r>
        <w:t>blank,</w:t>
      </w:r>
      <w:r>
        <w:rPr>
          <w:spacing w:val="49"/>
          <w:w w:val="150"/>
        </w:rPr>
        <w:t xml:space="preserve"> </w:t>
      </w:r>
      <w:r>
        <w:t>not</w:t>
      </w:r>
      <w:r>
        <w:rPr>
          <w:spacing w:val="49"/>
          <w:w w:val="150"/>
        </w:rPr>
        <w:t xml:space="preserve"> </w:t>
      </w:r>
      <w:r>
        <w:t>having</w:t>
      </w:r>
      <w:r>
        <w:rPr>
          <w:spacing w:val="50"/>
          <w:w w:val="150"/>
        </w:rPr>
        <w:t xml:space="preserve"> </w:t>
      </w:r>
      <w:r>
        <w:t>a</w:t>
      </w:r>
      <w:r>
        <w:rPr>
          <w:spacing w:val="49"/>
          <w:w w:val="150"/>
        </w:rPr>
        <w:t xml:space="preserve"> </w:t>
      </w:r>
      <w:r>
        <w:t>thought—I’d</w:t>
      </w:r>
      <w:r>
        <w:rPr>
          <w:spacing w:val="50"/>
          <w:w w:val="150"/>
        </w:rPr>
        <w:t xml:space="preserve"> </w:t>
      </w:r>
      <w:r>
        <w:t>no</w:t>
      </w:r>
      <w:r>
        <w:rPr>
          <w:spacing w:val="49"/>
          <w:w w:val="150"/>
        </w:rPr>
        <w:t xml:space="preserve"> </w:t>
      </w:r>
      <w:r>
        <w:t>more</w:t>
      </w:r>
      <w:r>
        <w:rPr>
          <w:spacing w:val="49"/>
          <w:w w:val="150"/>
        </w:rPr>
        <w:t xml:space="preserve"> </w:t>
      </w:r>
      <w:r>
        <w:t>be</w:t>
      </w:r>
      <w:r>
        <w:rPr>
          <w:spacing w:val="50"/>
          <w:w w:val="150"/>
        </w:rPr>
        <w:t xml:space="preserve"> </w:t>
      </w:r>
      <w:r>
        <w:t>having</w:t>
      </w:r>
      <w:r>
        <w:rPr>
          <w:spacing w:val="49"/>
          <w:w w:val="150"/>
        </w:rPr>
        <w:t xml:space="preserve"> </w:t>
      </w:r>
      <w:r>
        <w:t>a</w:t>
      </w:r>
      <w:r>
        <w:rPr>
          <w:spacing w:val="50"/>
          <w:w w:val="150"/>
        </w:rPr>
        <w:t xml:space="preserve"> </w:t>
      </w:r>
      <w:r>
        <w:rPr>
          <w:i/>
        </w:rPr>
        <w:t>bona</w:t>
      </w:r>
      <w:r>
        <w:rPr>
          <w:i/>
          <w:spacing w:val="51"/>
          <w:w w:val="150"/>
        </w:rPr>
        <w:t xml:space="preserve"> </w:t>
      </w:r>
      <w:r>
        <w:rPr>
          <w:i/>
          <w:spacing w:val="-4"/>
        </w:rPr>
        <w:t>fide</w:t>
      </w:r>
    </w:p>
    <w:p w14:paraId="7E0015CD" w14:textId="77777777" w:rsidR="009A58DB" w:rsidRDefault="00000000">
      <w:pPr>
        <w:pStyle w:val="BodyText"/>
        <w:spacing w:before="15"/>
        <w:ind w:left="720"/>
      </w:pPr>
      <w:r>
        <w:t>thought</w:t>
      </w:r>
      <w:r>
        <w:rPr>
          <w:spacing w:val="-2"/>
        </w:rPr>
        <w:t xml:space="preserve"> </w:t>
      </w:r>
      <w:r>
        <w:t>than</w:t>
      </w:r>
      <w:r>
        <w:rPr>
          <w:spacing w:val="-1"/>
        </w:rPr>
        <w:t xml:space="preserve"> </w:t>
      </w:r>
      <w:r>
        <w:t>a</w:t>
      </w:r>
      <w:r>
        <w:rPr>
          <w:spacing w:val="-2"/>
        </w:rPr>
        <w:t xml:space="preserve"> tomato.</w:t>
      </w:r>
    </w:p>
    <w:p w14:paraId="7E0015CE" w14:textId="77777777" w:rsidR="009A58DB" w:rsidRDefault="009A58DB">
      <w:pPr>
        <w:pStyle w:val="BodyText"/>
        <w:spacing w:before="35"/>
        <w:ind w:left="0"/>
        <w:jc w:val="left"/>
      </w:pPr>
    </w:p>
    <w:p w14:paraId="7E0015CF" w14:textId="77777777" w:rsidR="009A58DB" w:rsidRDefault="00000000">
      <w:pPr>
        <w:pStyle w:val="BodyText"/>
        <w:spacing w:line="249" w:lineRule="auto"/>
        <w:ind w:right="358" w:firstLine="360"/>
      </w:pPr>
      <w:r>
        <w:t>B</w:t>
      </w:r>
      <w:r>
        <w:rPr>
          <w:position w:val="-7"/>
          <w:sz w:val="22"/>
        </w:rPr>
        <w:t>1</w:t>
      </w:r>
      <w:r>
        <w:t>–B</w:t>
      </w:r>
      <w:r>
        <w:rPr>
          <w:position w:val="-7"/>
          <w:sz w:val="22"/>
        </w:rPr>
        <w:t xml:space="preserve">3 </w:t>
      </w:r>
      <w:r>
        <w:t>are all correct. B</w:t>
      </w:r>
      <w:r>
        <w:rPr>
          <w:position w:val="-7"/>
          <w:sz w:val="22"/>
        </w:rPr>
        <w:t xml:space="preserve">1 </w:t>
      </w:r>
      <w:r>
        <w:t>is correct, since I can’t know for sure that my mental states correctly represent the external world or a fortiori that the inferences involved in my believing in Descartes’ existence are correct—inferences that are made on the basis of possibly faulty perceptions of possibly</w:t>
      </w:r>
      <w:r>
        <w:rPr>
          <w:spacing w:val="30"/>
        </w:rPr>
        <w:t xml:space="preserve"> </w:t>
      </w:r>
      <w:r>
        <w:t>faulty</w:t>
      </w:r>
      <w:r>
        <w:rPr>
          <w:spacing w:val="30"/>
        </w:rPr>
        <w:t xml:space="preserve"> </w:t>
      </w:r>
      <w:r>
        <w:t>records</w:t>
      </w:r>
      <w:r>
        <w:rPr>
          <w:spacing w:val="30"/>
        </w:rPr>
        <w:t xml:space="preserve"> </w:t>
      </w:r>
      <w:r>
        <w:t>concerning</w:t>
      </w:r>
      <w:r>
        <w:rPr>
          <w:spacing w:val="30"/>
        </w:rPr>
        <w:t xml:space="preserve"> </w:t>
      </w:r>
      <w:r>
        <w:t>17th</w:t>
      </w:r>
      <w:r>
        <w:rPr>
          <w:spacing w:val="30"/>
        </w:rPr>
        <w:t xml:space="preserve"> </w:t>
      </w:r>
      <w:r>
        <w:t>century</w:t>
      </w:r>
      <w:r>
        <w:rPr>
          <w:spacing w:val="30"/>
        </w:rPr>
        <w:t xml:space="preserve"> </w:t>
      </w:r>
      <w:r>
        <w:t>France.</w:t>
      </w:r>
      <w:r>
        <w:rPr>
          <w:spacing w:val="30"/>
        </w:rPr>
        <w:t xml:space="preserve"> </w:t>
      </w:r>
      <w:r>
        <w:t>B</w:t>
      </w:r>
      <w:r>
        <w:rPr>
          <w:vertAlign w:val="subscript"/>
        </w:rPr>
        <w:t>2</w:t>
      </w:r>
      <w:r>
        <w:rPr>
          <w:spacing w:val="32"/>
        </w:rPr>
        <w:t xml:space="preserve"> </w:t>
      </w:r>
      <w:r>
        <w:t>is</w:t>
      </w:r>
      <w:r>
        <w:rPr>
          <w:spacing w:val="32"/>
        </w:rPr>
        <w:t xml:space="preserve"> </w:t>
      </w:r>
      <w:r>
        <w:t>correct,</w:t>
      </w:r>
      <w:r>
        <w:rPr>
          <w:spacing w:val="33"/>
        </w:rPr>
        <w:t xml:space="preserve"> </w:t>
      </w:r>
      <w:r>
        <w:t>since</w:t>
      </w:r>
    </w:p>
    <w:p w14:paraId="7E0015D0" w14:textId="77777777" w:rsidR="009A58DB" w:rsidRDefault="00000000">
      <w:pPr>
        <w:pStyle w:val="BodyText"/>
        <w:spacing w:before="63" w:line="271" w:lineRule="auto"/>
        <w:ind w:right="358"/>
      </w:pPr>
      <w:r>
        <w:t>Burge’s position does indeed entail that Descartes must have existed if anyone is to think that he was a fine philosopher. And B</w:t>
      </w:r>
      <w:r>
        <w:rPr>
          <w:vertAlign w:val="subscript"/>
        </w:rPr>
        <w:t>3</w:t>
      </w:r>
      <w:r>
        <w:t xml:space="preserve"> is correct since Burge’s</w:t>
      </w:r>
      <w:r>
        <w:rPr>
          <w:spacing w:val="30"/>
        </w:rPr>
        <w:t xml:space="preserve"> </w:t>
      </w:r>
      <w:r>
        <w:t>position</w:t>
      </w:r>
      <w:r>
        <w:rPr>
          <w:spacing w:val="32"/>
        </w:rPr>
        <w:t xml:space="preserve"> </w:t>
      </w:r>
      <w:r>
        <w:t>does</w:t>
      </w:r>
      <w:r>
        <w:rPr>
          <w:spacing w:val="32"/>
        </w:rPr>
        <w:t xml:space="preserve"> </w:t>
      </w:r>
      <w:r>
        <w:t>indeed</w:t>
      </w:r>
      <w:r>
        <w:rPr>
          <w:spacing w:val="32"/>
        </w:rPr>
        <w:t xml:space="preserve"> </w:t>
      </w:r>
      <w:r>
        <w:t>entail</w:t>
      </w:r>
      <w:r>
        <w:rPr>
          <w:spacing w:val="32"/>
        </w:rPr>
        <w:t xml:space="preserve"> </w:t>
      </w:r>
      <w:r>
        <w:t>that</w:t>
      </w:r>
      <w:r>
        <w:rPr>
          <w:spacing w:val="33"/>
        </w:rPr>
        <w:t xml:space="preserve"> </w:t>
      </w:r>
      <w:r>
        <w:t>the</w:t>
      </w:r>
      <w:r>
        <w:rPr>
          <w:spacing w:val="32"/>
        </w:rPr>
        <w:t xml:space="preserve"> </w:t>
      </w:r>
      <w:r>
        <w:t>very</w:t>
      </w:r>
      <w:r>
        <w:rPr>
          <w:spacing w:val="32"/>
        </w:rPr>
        <w:t xml:space="preserve"> </w:t>
      </w:r>
      <w:r>
        <w:t>mental</w:t>
      </w:r>
      <w:r>
        <w:rPr>
          <w:spacing w:val="32"/>
        </w:rPr>
        <w:t xml:space="preserve"> </w:t>
      </w:r>
      <w:r>
        <w:t>events</w:t>
      </w:r>
      <w:r>
        <w:rPr>
          <w:spacing w:val="32"/>
        </w:rPr>
        <w:t xml:space="preserve"> </w:t>
      </w:r>
      <w:r>
        <w:t>involved</w:t>
      </w:r>
      <w:r>
        <w:rPr>
          <w:spacing w:val="33"/>
        </w:rPr>
        <w:t xml:space="preserve"> </w:t>
      </w:r>
      <w:r>
        <w:rPr>
          <w:spacing w:val="-5"/>
        </w:rPr>
        <w:t>in</w:t>
      </w:r>
    </w:p>
    <w:p w14:paraId="7E0015D1" w14:textId="77777777" w:rsidR="009A58DB" w:rsidRDefault="00000000">
      <w:pPr>
        <w:pStyle w:val="BodyText"/>
        <w:spacing w:line="316" w:lineRule="exact"/>
      </w:pPr>
      <w:r>
        <w:t>my</w:t>
      </w:r>
      <w:r>
        <w:rPr>
          <w:spacing w:val="44"/>
        </w:rPr>
        <w:t xml:space="preserve"> </w:t>
      </w:r>
      <w:r>
        <w:t>thinking</w:t>
      </w:r>
      <w:r>
        <w:rPr>
          <w:spacing w:val="45"/>
        </w:rPr>
        <w:t xml:space="preserve"> </w:t>
      </w:r>
      <w:r>
        <w:t>D</w:t>
      </w:r>
      <w:r>
        <w:rPr>
          <w:vertAlign w:val="subscript"/>
        </w:rPr>
        <w:t>1</w:t>
      </w:r>
      <w:r>
        <w:t>*</w:t>
      </w:r>
      <w:r>
        <w:rPr>
          <w:spacing w:val="49"/>
        </w:rPr>
        <w:t xml:space="preserve"> </w:t>
      </w:r>
      <w:r>
        <w:t>would</w:t>
      </w:r>
      <w:r>
        <w:rPr>
          <w:spacing w:val="50"/>
        </w:rPr>
        <w:t xml:space="preserve"> </w:t>
      </w:r>
      <w:r>
        <w:t>fail</w:t>
      </w:r>
      <w:r>
        <w:rPr>
          <w:spacing w:val="50"/>
        </w:rPr>
        <w:t xml:space="preserve"> </w:t>
      </w:r>
      <w:r>
        <w:t>to</w:t>
      </w:r>
      <w:r>
        <w:rPr>
          <w:spacing w:val="49"/>
        </w:rPr>
        <w:t xml:space="preserve"> </w:t>
      </w:r>
      <w:r>
        <w:t>constitute</w:t>
      </w:r>
      <w:r>
        <w:rPr>
          <w:spacing w:val="50"/>
        </w:rPr>
        <w:t xml:space="preserve"> </w:t>
      </w:r>
      <w:r>
        <w:t>my</w:t>
      </w:r>
      <w:r>
        <w:rPr>
          <w:spacing w:val="49"/>
        </w:rPr>
        <w:t xml:space="preserve"> </w:t>
      </w:r>
      <w:r>
        <w:t>having</w:t>
      </w:r>
      <w:r>
        <w:rPr>
          <w:spacing w:val="50"/>
        </w:rPr>
        <w:t xml:space="preserve"> </w:t>
      </w:r>
      <w:r>
        <w:t>any</w:t>
      </w:r>
      <w:r>
        <w:rPr>
          <w:spacing w:val="50"/>
        </w:rPr>
        <w:t xml:space="preserve"> </w:t>
      </w:r>
      <w:r>
        <w:t>thought</w:t>
      </w:r>
      <w:r>
        <w:rPr>
          <w:spacing w:val="49"/>
        </w:rPr>
        <w:t xml:space="preserve"> </w:t>
      </w:r>
      <w:r>
        <w:t>at</w:t>
      </w:r>
      <w:r>
        <w:rPr>
          <w:spacing w:val="50"/>
        </w:rPr>
        <w:t xml:space="preserve"> </w:t>
      </w:r>
      <w:r>
        <w:t>all</w:t>
      </w:r>
      <w:r>
        <w:rPr>
          <w:spacing w:val="49"/>
        </w:rPr>
        <w:t xml:space="preserve"> </w:t>
      </w:r>
      <w:r>
        <w:rPr>
          <w:spacing w:val="-5"/>
        </w:rPr>
        <w:t>if,</w:t>
      </w:r>
    </w:p>
    <w:p w14:paraId="7E0015D2" w14:textId="77777777" w:rsidR="009A58DB" w:rsidRDefault="00000000">
      <w:pPr>
        <w:pStyle w:val="BodyText"/>
        <w:spacing w:before="75"/>
      </w:pPr>
      <w:r>
        <w:t>supposing</w:t>
      </w:r>
      <w:r>
        <w:rPr>
          <w:spacing w:val="-6"/>
        </w:rPr>
        <w:t xml:space="preserve"> </w:t>
      </w:r>
      <w:r>
        <w:t>that</w:t>
      </w:r>
      <w:r>
        <w:rPr>
          <w:spacing w:val="-4"/>
        </w:rPr>
        <w:t xml:space="preserve"> </w:t>
      </w:r>
      <w:r>
        <w:t>everything</w:t>
      </w:r>
      <w:r>
        <w:rPr>
          <w:spacing w:val="-3"/>
        </w:rPr>
        <w:t xml:space="preserve"> </w:t>
      </w:r>
      <w:r>
        <w:t>else</w:t>
      </w:r>
      <w:r>
        <w:rPr>
          <w:spacing w:val="-4"/>
        </w:rPr>
        <w:t xml:space="preserve"> </w:t>
      </w:r>
      <w:r>
        <w:t>were</w:t>
      </w:r>
      <w:r>
        <w:rPr>
          <w:spacing w:val="-4"/>
        </w:rPr>
        <w:t xml:space="preserve"> </w:t>
      </w:r>
      <w:r>
        <w:t>the</w:t>
      </w:r>
      <w:r>
        <w:rPr>
          <w:spacing w:val="-5"/>
        </w:rPr>
        <w:t xml:space="preserve"> </w:t>
      </w:r>
      <w:r>
        <w:t>same,</w:t>
      </w:r>
      <w:r>
        <w:rPr>
          <w:spacing w:val="-3"/>
        </w:rPr>
        <w:t xml:space="preserve"> </w:t>
      </w:r>
      <w:r>
        <w:t>Descartes</w:t>
      </w:r>
      <w:r>
        <w:rPr>
          <w:spacing w:val="-4"/>
        </w:rPr>
        <w:t xml:space="preserve"> </w:t>
      </w:r>
      <w:r>
        <w:t>had</w:t>
      </w:r>
      <w:r>
        <w:rPr>
          <w:spacing w:val="-3"/>
        </w:rPr>
        <w:t xml:space="preserve"> </w:t>
      </w:r>
      <w:r>
        <w:t>never</w:t>
      </w:r>
      <w:r>
        <w:rPr>
          <w:spacing w:val="-4"/>
        </w:rPr>
        <w:t xml:space="preserve"> </w:t>
      </w:r>
      <w:r>
        <w:rPr>
          <w:spacing w:val="-2"/>
        </w:rPr>
        <w:t>existed.</w:t>
      </w:r>
    </w:p>
    <w:p w14:paraId="7E0015D3" w14:textId="77777777" w:rsidR="009A58DB" w:rsidRDefault="00000000">
      <w:pPr>
        <w:pStyle w:val="BodyText"/>
        <w:spacing w:before="15"/>
        <w:ind w:left="720"/>
      </w:pPr>
      <w:r>
        <w:t>B</w:t>
      </w:r>
      <w:r>
        <w:rPr>
          <w:vertAlign w:val="subscript"/>
        </w:rPr>
        <w:t>1</w:t>
      </w:r>
      <w:r>
        <w:t>–B</w:t>
      </w:r>
      <w:r>
        <w:rPr>
          <w:vertAlign w:val="subscript"/>
        </w:rPr>
        <w:t>3</w:t>
      </w:r>
      <w:r>
        <w:rPr>
          <w:spacing w:val="17"/>
        </w:rPr>
        <w:t xml:space="preserve"> </w:t>
      </w:r>
      <w:r>
        <w:t>entail</w:t>
      </w:r>
      <w:r>
        <w:rPr>
          <w:spacing w:val="15"/>
        </w:rPr>
        <w:t xml:space="preserve"> </w:t>
      </w:r>
      <w:r>
        <w:rPr>
          <w:spacing w:val="-4"/>
        </w:rPr>
        <w:t>that:</w:t>
      </w:r>
    </w:p>
    <w:p w14:paraId="7E0015D4" w14:textId="77777777" w:rsidR="009A58DB" w:rsidRDefault="009A58DB">
      <w:pPr>
        <w:pStyle w:val="BodyText"/>
        <w:spacing w:before="90"/>
        <w:ind w:left="0"/>
        <w:jc w:val="left"/>
      </w:pPr>
    </w:p>
    <w:p w14:paraId="7E0015D5" w14:textId="77777777" w:rsidR="009A58DB" w:rsidRDefault="00000000">
      <w:pPr>
        <w:pStyle w:val="BodyText"/>
        <w:ind w:left="720"/>
      </w:pPr>
      <w:r>
        <w:t>(B</w:t>
      </w:r>
      <w:r>
        <w:rPr>
          <w:vertAlign w:val="subscript"/>
        </w:rPr>
        <w:t>4</w:t>
      </w:r>
      <w:r>
        <w:t>)</w:t>
      </w:r>
      <w:r>
        <w:rPr>
          <w:spacing w:val="1"/>
        </w:rPr>
        <w:t xml:space="preserve"> </w:t>
      </w:r>
      <w:r>
        <w:t>If</w:t>
      </w:r>
      <w:r>
        <w:rPr>
          <w:spacing w:val="1"/>
        </w:rPr>
        <w:t xml:space="preserve"> </w:t>
      </w:r>
      <w:r>
        <w:t>I’m</w:t>
      </w:r>
      <w:r>
        <w:rPr>
          <w:spacing w:val="2"/>
        </w:rPr>
        <w:t xml:space="preserve"> </w:t>
      </w:r>
      <w:r>
        <w:t>now</w:t>
      </w:r>
      <w:r>
        <w:rPr>
          <w:spacing w:val="1"/>
        </w:rPr>
        <w:t xml:space="preserve"> </w:t>
      </w:r>
      <w:r>
        <w:t>thinking</w:t>
      </w:r>
      <w:r>
        <w:rPr>
          <w:spacing w:val="2"/>
        </w:rPr>
        <w:t xml:space="preserve"> </w:t>
      </w:r>
      <w:r>
        <w:rPr>
          <w:spacing w:val="-4"/>
        </w:rPr>
        <w:t>that:</w:t>
      </w:r>
    </w:p>
    <w:p w14:paraId="7E0015D6" w14:textId="77777777" w:rsidR="009A58DB" w:rsidRDefault="009A58DB">
      <w:pPr>
        <w:pStyle w:val="BodyText"/>
        <w:spacing w:before="90"/>
        <w:ind w:left="0"/>
        <w:jc w:val="left"/>
      </w:pPr>
    </w:p>
    <w:p w14:paraId="7E0015D7" w14:textId="77777777" w:rsidR="009A58DB" w:rsidRDefault="00000000">
      <w:pPr>
        <w:pStyle w:val="BodyText"/>
        <w:ind w:left="720"/>
      </w:pPr>
      <w:r>
        <w:t>(D*)</w:t>
      </w:r>
      <w:r>
        <w:rPr>
          <w:spacing w:val="-4"/>
        </w:rPr>
        <w:t xml:space="preserve"> </w:t>
      </w:r>
      <w:r>
        <w:t>Descartes</w:t>
      </w:r>
      <w:r>
        <w:rPr>
          <w:spacing w:val="-4"/>
        </w:rPr>
        <w:t xml:space="preserve"> </w:t>
      </w:r>
      <w:r>
        <w:t>was</w:t>
      </w:r>
      <w:r>
        <w:rPr>
          <w:spacing w:val="-4"/>
        </w:rPr>
        <w:t xml:space="preserve"> </w:t>
      </w:r>
      <w:r>
        <w:t>a</w:t>
      </w:r>
      <w:r>
        <w:rPr>
          <w:spacing w:val="-4"/>
        </w:rPr>
        <w:t xml:space="preserve"> </w:t>
      </w:r>
      <w:r>
        <w:t>fine</w:t>
      </w:r>
      <w:r>
        <w:rPr>
          <w:spacing w:val="-3"/>
        </w:rPr>
        <w:t xml:space="preserve"> </w:t>
      </w:r>
      <w:r>
        <w:rPr>
          <w:spacing w:val="-2"/>
        </w:rPr>
        <w:t>philosopher,</w:t>
      </w:r>
    </w:p>
    <w:p w14:paraId="7E0015D8" w14:textId="77777777" w:rsidR="009A58DB" w:rsidRDefault="009A58DB">
      <w:pPr>
        <w:pStyle w:val="BodyText"/>
        <w:spacing w:before="30"/>
        <w:ind w:left="0"/>
        <w:jc w:val="left"/>
      </w:pPr>
    </w:p>
    <w:p w14:paraId="7E0015D9" w14:textId="77777777" w:rsidR="009A58DB" w:rsidRDefault="00000000">
      <w:pPr>
        <w:spacing w:line="249" w:lineRule="auto"/>
        <w:ind w:left="720" w:right="365"/>
        <w:jc w:val="both"/>
        <w:rPr>
          <w:i/>
          <w:sz w:val="30"/>
        </w:rPr>
      </w:pPr>
      <w:r>
        <w:rPr>
          <w:i/>
          <w:sz w:val="30"/>
        </w:rPr>
        <w:t>then I cannot be any more certain of the fact that I'm thinking D* than I can be of the fact that Descartes existed.</w:t>
      </w:r>
    </w:p>
    <w:p w14:paraId="7E0015DA" w14:textId="77777777" w:rsidR="009A58DB" w:rsidRDefault="009A58DB">
      <w:pPr>
        <w:pStyle w:val="BodyText"/>
        <w:spacing w:before="18"/>
        <w:ind w:left="0"/>
        <w:jc w:val="left"/>
        <w:rPr>
          <w:i/>
        </w:rPr>
      </w:pPr>
    </w:p>
    <w:p w14:paraId="7E0015DB" w14:textId="77777777" w:rsidR="009A58DB" w:rsidRDefault="00000000">
      <w:pPr>
        <w:pStyle w:val="BodyText"/>
        <w:spacing w:line="271" w:lineRule="auto"/>
        <w:ind w:right="357" w:firstLine="360"/>
      </w:pPr>
      <w:r>
        <w:t>B</w:t>
      </w:r>
      <w:r>
        <w:rPr>
          <w:vertAlign w:val="subscript"/>
        </w:rPr>
        <w:t>4</w:t>
      </w:r>
      <w:r>
        <w:t xml:space="preserve"> is wrong. I obviously know what I’m consciously thinking with greater certainty than I know about medieval France. I want to make it as clear as possible</w:t>
      </w:r>
      <w:r>
        <w:rPr>
          <w:spacing w:val="27"/>
        </w:rPr>
        <w:t xml:space="preserve"> </w:t>
      </w:r>
      <w:r>
        <w:t>why</w:t>
      </w:r>
      <w:r>
        <w:rPr>
          <w:spacing w:val="29"/>
        </w:rPr>
        <w:t xml:space="preserve"> </w:t>
      </w:r>
      <w:r>
        <w:t>B</w:t>
      </w:r>
      <w:r>
        <w:rPr>
          <w:position w:val="-7"/>
          <w:sz w:val="22"/>
        </w:rPr>
        <w:t>1</w:t>
      </w:r>
      <w:r>
        <w:t>–B</w:t>
      </w:r>
      <w:r>
        <w:rPr>
          <w:position w:val="-7"/>
          <w:sz w:val="22"/>
        </w:rPr>
        <w:t>3</w:t>
      </w:r>
      <w:r>
        <w:rPr>
          <w:spacing w:val="49"/>
          <w:position w:val="-7"/>
          <w:sz w:val="22"/>
        </w:rPr>
        <w:t xml:space="preserve"> </w:t>
      </w:r>
      <w:r>
        <w:t>entail</w:t>
      </w:r>
      <w:r>
        <w:rPr>
          <w:spacing w:val="28"/>
        </w:rPr>
        <w:t xml:space="preserve"> </w:t>
      </w:r>
      <w:r>
        <w:t>B</w:t>
      </w:r>
      <w:r>
        <w:rPr>
          <w:position w:val="-7"/>
          <w:sz w:val="22"/>
        </w:rPr>
        <w:t>4</w:t>
      </w:r>
      <w:r>
        <w:t>.</w:t>
      </w:r>
      <w:r>
        <w:rPr>
          <w:spacing w:val="36"/>
        </w:rPr>
        <w:t xml:space="preserve"> </w:t>
      </w:r>
      <w:r>
        <w:t>Given</w:t>
      </w:r>
      <w:r>
        <w:rPr>
          <w:spacing w:val="36"/>
        </w:rPr>
        <w:t xml:space="preserve"> </w:t>
      </w:r>
      <w:r>
        <w:t>B</w:t>
      </w:r>
      <w:r>
        <w:rPr>
          <w:position w:val="-7"/>
          <w:sz w:val="22"/>
        </w:rPr>
        <w:t>2</w:t>
      </w:r>
      <w:r>
        <w:t>,</w:t>
      </w:r>
      <w:r>
        <w:rPr>
          <w:spacing w:val="36"/>
        </w:rPr>
        <w:t xml:space="preserve"> </w:t>
      </w:r>
      <w:r>
        <w:t>I</w:t>
      </w:r>
      <w:r>
        <w:rPr>
          <w:spacing w:val="36"/>
        </w:rPr>
        <w:t xml:space="preserve"> </w:t>
      </w:r>
      <w:r>
        <w:t>can</w:t>
      </w:r>
      <w:r>
        <w:rPr>
          <w:spacing w:val="36"/>
        </w:rPr>
        <w:t xml:space="preserve"> </w:t>
      </w:r>
      <w:r>
        <w:t>think</w:t>
      </w:r>
      <w:r>
        <w:rPr>
          <w:spacing w:val="36"/>
        </w:rPr>
        <w:t xml:space="preserve"> </w:t>
      </w:r>
      <w:r>
        <w:t>D*</w:t>
      </w:r>
      <w:r>
        <w:rPr>
          <w:spacing w:val="36"/>
        </w:rPr>
        <w:t xml:space="preserve"> </w:t>
      </w:r>
      <w:r>
        <w:t>only</w:t>
      </w:r>
      <w:r>
        <w:rPr>
          <w:spacing w:val="36"/>
        </w:rPr>
        <w:t xml:space="preserve"> </w:t>
      </w:r>
      <w:r>
        <w:t>to</w:t>
      </w:r>
      <w:r>
        <w:rPr>
          <w:spacing w:val="35"/>
        </w:rPr>
        <w:t xml:space="preserve"> </w:t>
      </w:r>
      <w:r>
        <w:t>the</w:t>
      </w:r>
      <w:r>
        <w:rPr>
          <w:spacing w:val="36"/>
        </w:rPr>
        <w:t xml:space="preserve"> </w:t>
      </w:r>
      <w:r>
        <w:rPr>
          <w:spacing w:val="-2"/>
        </w:rPr>
        <w:t>extent</w:t>
      </w:r>
    </w:p>
    <w:p w14:paraId="7E0015DC" w14:textId="77777777" w:rsidR="009A58DB" w:rsidRDefault="00000000">
      <w:pPr>
        <w:pStyle w:val="BodyText"/>
        <w:spacing w:line="313" w:lineRule="exact"/>
      </w:pPr>
      <w:r>
        <w:t>that</w:t>
      </w:r>
      <w:r>
        <w:rPr>
          <w:spacing w:val="27"/>
        </w:rPr>
        <w:t xml:space="preserve"> </w:t>
      </w:r>
      <w:r>
        <w:t>Descartes</w:t>
      </w:r>
      <w:r>
        <w:rPr>
          <w:spacing w:val="28"/>
        </w:rPr>
        <w:t xml:space="preserve"> </w:t>
      </w:r>
      <w:r>
        <w:t>really</w:t>
      </w:r>
      <w:r>
        <w:rPr>
          <w:spacing w:val="29"/>
        </w:rPr>
        <w:t xml:space="preserve"> </w:t>
      </w:r>
      <w:r>
        <w:t>did</w:t>
      </w:r>
      <w:r>
        <w:rPr>
          <w:spacing w:val="29"/>
        </w:rPr>
        <w:t xml:space="preserve"> </w:t>
      </w:r>
      <w:r>
        <w:t>exist.</w:t>
      </w:r>
      <w:r>
        <w:rPr>
          <w:spacing w:val="29"/>
        </w:rPr>
        <w:t xml:space="preserve"> </w:t>
      </w:r>
      <w:r>
        <w:t>Burge</w:t>
      </w:r>
      <w:r>
        <w:rPr>
          <w:spacing w:val="28"/>
        </w:rPr>
        <w:t xml:space="preserve"> </w:t>
      </w:r>
      <w:r>
        <w:t>admits</w:t>
      </w:r>
      <w:r>
        <w:rPr>
          <w:spacing w:val="27"/>
        </w:rPr>
        <w:t xml:space="preserve"> </w:t>
      </w:r>
      <w:r>
        <w:t>this.</w:t>
      </w:r>
      <w:r>
        <w:rPr>
          <w:spacing w:val="29"/>
        </w:rPr>
        <w:t xml:space="preserve"> </w:t>
      </w:r>
      <w:r>
        <w:t>(He</w:t>
      </w:r>
      <w:r>
        <w:rPr>
          <w:spacing w:val="28"/>
        </w:rPr>
        <w:t xml:space="preserve"> </w:t>
      </w:r>
      <w:r>
        <w:t>has</w:t>
      </w:r>
      <w:r>
        <w:rPr>
          <w:spacing w:val="28"/>
        </w:rPr>
        <w:t xml:space="preserve"> </w:t>
      </w:r>
      <w:r>
        <w:t>to.</w:t>
      </w:r>
      <w:r>
        <w:rPr>
          <w:spacing w:val="29"/>
        </w:rPr>
        <w:t xml:space="preserve"> </w:t>
      </w:r>
      <w:r>
        <w:t>B</w:t>
      </w:r>
      <w:r>
        <w:rPr>
          <w:vertAlign w:val="subscript"/>
        </w:rPr>
        <w:t>2</w:t>
      </w:r>
      <w:r>
        <w:rPr>
          <w:spacing w:val="29"/>
        </w:rPr>
        <w:t xml:space="preserve"> </w:t>
      </w:r>
      <w:r>
        <w:t>is</w:t>
      </w:r>
      <w:r>
        <w:rPr>
          <w:spacing w:val="27"/>
        </w:rPr>
        <w:t xml:space="preserve"> </w:t>
      </w:r>
      <w:r>
        <w:rPr>
          <w:spacing w:val="-2"/>
        </w:rPr>
        <w:t>Burge’s</w:t>
      </w:r>
    </w:p>
    <w:p w14:paraId="7E0015DD" w14:textId="77777777" w:rsidR="009A58DB" w:rsidRDefault="00000000">
      <w:pPr>
        <w:pStyle w:val="BodyText"/>
        <w:spacing w:before="75" w:line="271" w:lineRule="auto"/>
        <w:ind w:right="366"/>
      </w:pPr>
      <w:r>
        <w:t>whole position.) Given B</w:t>
      </w:r>
      <w:r>
        <w:rPr>
          <w:vertAlign w:val="subscript"/>
        </w:rPr>
        <w:t>1</w:t>
      </w:r>
      <w:r>
        <w:t>, I can know that he existed only to the extent that various beliefs of mine concerning the external world to be accurate—beliefs that</w:t>
      </w:r>
      <w:r>
        <w:rPr>
          <w:spacing w:val="14"/>
        </w:rPr>
        <w:t xml:space="preserve"> </w:t>
      </w:r>
      <w:r>
        <w:t>presuppose</w:t>
      </w:r>
      <w:r>
        <w:rPr>
          <w:spacing w:val="17"/>
        </w:rPr>
        <w:t xml:space="preserve"> </w:t>
      </w:r>
      <w:r>
        <w:t>the</w:t>
      </w:r>
      <w:r>
        <w:rPr>
          <w:spacing w:val="17"/>
        </w:rPr>
        <w:t xml:space="preserve"> </w:t>
      </w:r>
      <w:r>
        <w:t>accuracy</w:t>
      </w:r>
      <w:r>
        <w:rPr>
          <w:spacing w:val="18"/>
        </w:rPr>
        <w:t xml:space="preserve"> </w:t>
      </w:r>
      <w:r>
        <w:t>of</w:t>
      </w:r>
      <w:r>
        <w:rPr>
          <w:spacing w:val="16"/>
        </w:rPr>
        <w:t xml:space="preserve"> </w:t>
      </w:r>
      <w:r>
        <w:t>many</w:t>
      </w:r>
      <w:r>
        <w:rPr>
          <w:spacing w:val="18"/>
        </w:rPr>
        <w:t xml:space="preserve"> </w:t>
      </w:r>
      <w:r>
        <w:t>perceptions</w:t>
      </w:r>
      <w:r>
        <w:rPr>
          <w:spacing w:val="17"/>
        </w:rPr>
        <w:t xml:space="preserve"> </w:t>
      </w:r>
      <w:r>
        <w:t>of</w:t>
      </w:r>
      <w:r>
        <w:rPr>
          <w:spacing w:val="17"/>
        </w:rPr>
        <w:t xml:space="preserve"> </w:t>
      </w:r>
      <w:r>
        <w:t>mine</w:t>
      </w:r>
      <w:r>
        <w:rPr>
          <w:spacing w:val="17"/>
        </w:rPr>
        <w:t xml:space="preserve"> </w:t>
      </w:r>
      <w:r>
        <w:t>and</w:t>
      </w:r>
      <w:r>
        <w:rPr>
          <w:spacing w:val="17"/>
        </w:rPr>
        <w:t xml:space="preserve"> </w:t>
      </w:r>
      <w:r>
        <w:t>also</w:t>
      </w:r>
      <w:r>
        <w:rPr>
          <w:spacing w:val="17"/>
        </w:rPr>
        <w:t xml:space="preserve"> </w:t>
      </w:r>
      <w:r>
        <w:t>of</w:t>
      </w:r>
      <w:r>
        <w:rPr>
          <w:spacing w:val="18"/>
        </w:rPr>
        <w:t xml:space="preserve"> </w:t>
      </w:r>
      <w:r>
        <w:rPr>
          <w:spacing w:val="-4"/>
        </w:rPr>
        <w:t>many</w:t>
      </w:r>
    </w:p>
    <w:p w14:paraId="7E0015DE" w14:textId="77777777" w:rsidR="009A58DB" w:rsidRDefault="00000000">
      <w:pPr>
        <w:pStyle w:val="BodyText"/>
        <w:spacing w:line="316" w:lineRule="exact"/>
      </w:pPr>
      <w:r>
        <w:t>historical</w:t>
      </w:r>
      <w:r>
        <w:rPr>
          <w:spacing w:val="-7"/>
        </w:rPr>
        <w:t xml:space="preserve"> </w:t>
      </w:r>
      <w:r>
        <w:t>documents.</w:t>
      </w:r>
      <w:r>
        <w:rPr>
          <w:spacing w:val="-4"/>
        </w:rPr>
        <w:t xml:space="preserve"> </w:t>
      </w:r>
      <w:r>
        <w:t>Burge</w:t>
      </w:r>
      <w:r>
        <w:rPr>
          <w:spacing w:val="-4"/>
        </w:rPr>
        <w:t xml:space="preserve"> </w:t>
      </w:r>
      <w:r>
        <w:t>admits</w:t>
      </w:r>
      <w:r>
        <w:rPr>
          <w:spacing w:val="-5"/>
        </w:rPr>
        <w:t xml:space="preserve"> </w:t>
      </w:r>
      <w:r>
        <w:t>this</w:t>
      </w:r>
      <w:r>
        <w:rPr>
          <w:spacing w:val="-4"/>
        </w:rPr>
        <w:t xml:space="preserve"> </w:t>
      </w:r>
      <w:r>
        <w:t>as</w:t>
      </w:r>
      <w:r>
        <w:rPr>
          <w:spacing w:val="-4"/>
        </w:rPr>
        <w:t xml:space="preserve"> </w:t>
      </w:r>
      <w:r>
        <w:rPr>
          <w:spacing w:val="-2"/>
        </w:rPr>
        <w:t>well.</w:t>
      </w:r>
    </w:p>
    <w:p w14:paraId="7E0015DF" w14:textId="77777777" w:rsidR="009A58DB" w:rsidRDefault="00000000">
      <w:pPr>
        <w:pStyle w:val="BodyText"/>
        <w:spacing w:before="15"/>
        <w:ind w:left="720"/>
      </w:pPr>
      <w:r>
        <w:t>B</w:t>
      </w:r>
      <w:r>
        <w:rPr>
          <w:vertAlign w:val="subscript"/>
        </w:rPr>
        <w:t>3</w:t>
      </w:r>
      <w:r>
        <w:rPr>
          <w:spacing w:val="48"/>
        </w:rPr>
        <w:t xml:space="preserve"> </w:t>
      </w:r>
      <w:r>
        <w:t>entails</w:t>
      </w:r>
      <w:r>
        <w:rPr>
          <w:spacing w:val="49"/>
        </w:rPr>
        <w:t xml:space="preserve"> </w:t>
      </w:r>
      <w:r>
        <w:t>that</w:t>
      </w:r>
      <w:r>
        <w:rPr>
          <w:spacing w:val="48"/>
        </w:rPr>
        <w:t xml:space="preserve"> </w:t>
      </w:r>
      <w:r>
        <w:t>there</w:t>
      </w:r>
      <w:r>
        <w:rPr>
          <w:spacing w:val="50"/>
        </w:rPr>
        <w:t xml:space="preserve"> </w:t>
      </w:r>
      <w:r>
        <w:t>is</w:t>
      </w:r>
      <w:r>
        <w:rPr>
          <w:spacing w:val="49"/>
        </w:rPr>
        <w:t xml:space="preserve"> </w:t>
      </w:r>
      <w:r>
        <w:t>no</w:t>
      </w:r>
      <w:r>
        <w:rPr>
          <w:spacing w:val="48"/>
        </w:rPr>
        <w:t xml:space="preserve"> </w:t>
      </w:r>
      <w:r>
        <w:t>experiential</w:t>
      </w:r>
      <w:r>
        <w:rPr>
          <w:spacing w:val="49"/>
        </w:rPr>
        <w:t xml:space="preserve"> </w:t>
      </w:r>
      <w:r>
        <w:t>difference—no</w:t>
      </w:r>
      <w:r>
        <w:rPr>
          <w:spacing w:val="48"/>
        </w:rPr>
        <w:t xml:space="preserve"> </w:t>
      </w:r>
      <w:r>
        <w:t>difference</w:t>
      </w:r>
      <w:r>
        <w:rPr>
          <w:spacing w:val="49"/>
        </w:rPr>
        <w:t xml:space="preserve"> </w:t>
      </w:r>
      <w:r>
        <w:t>that</w:t>
      </w:r>
      <w:r>
        <w:rPr>
          <w:spacing w:val="48"/>
        </w:rPr>
        <w:t xml:space="preserve"> </w:t>
      </w:r>
      <w:r>
        <w:rPr>
          <w:spacing w:val="-5"/>
        </w:rPr>
        <w:t>is</w:t>
      </w:r>
    </w:p>
    <w:p w14:paraId="7E0015E0" w14:textId="77777777" w:rsidR="009A58DB" w:rsidRDefault="009A58DB">
      <w:pPr>
        <w:pStyle w:val="BodyText"/>
        <w:sectPr w:rsidR="009A58DB">
          <w:pgSz w:w="12240" w:h="15840"/>
          <w:pgMar w:top="1380" w:right="1080" w:bottom="280" w:left="1080" w:header="720" w:footer="720" w:gutter="0"/>
          <w:cols w:space="720"/>
        </w:sectPr>
      </w:pPr>
    </w:p>
    <w:p w14:paraId="7E0015E1" w14:textId="77777777" w:rsidR="009A58DB" w:rsidRDefault="00000000">
      <w:pPr>
        <w:pStyle w:val="BodyText"/>
        <w:spacing w:before="65" w:line="271" w:lineRule="auto"/>
        <w:ind w:right="358"/>
      </w:pPr>
      <w:r>
        <w:lastRenderedPageBreak/>
        <w:t xml:space="preserve">even theoretically detectable—between how I am when I’m </w:t>
      </w:r>
      <w:r>
        <w:rPr>
          <w:i/>
        </w:rPr>
        <w:t xml:space="preserve">actually </w:t>
      </w:r>
      <w:r>
        <w:t>thinking D*</w:t>
      </w:r>
      <w:r>
        <w:rPr>
          <w:vertAlign w:val="subscript"/>
        </w:rPr>
        <w:t>1</w:t>
      </w:r>
      <w:r>
        <w:t xml:space="preserve"> and how I am in a world where Descartes never existed but is otherwise like the world where I’m actually thinking D*</w:t>
      </w:r>
      <w:r>
        <w:rPr>
          <w:vertAlign w:val="subscript"/>
        </w:rPr>
        <w:t>1</w:t>
      </w:r>
      <w:r>
        <w:t>.</w:t>
      </w:r>
    </w:p>
    <w:p w14:paraId="7E0015E2" w14:textId="77777777" w:rsidR="009A58DB" w:rsidRDefault="00000000">
      <w:pPr>
        <w:pStyle w:val="BodyText"/>
        <w:spacing w:before="30" w:line="271" w:lineRule="auto"/>
        <w:ind w:right="361" w:firstLine="360"/>
      </w:pPr>
      <w:r>
        <w:t>B</w:t>
      </w:r>
      <w:r>
        <w:rPr>
          <w:vertAlign w:val="subscript"/>
        </w:rPr>
        <w:t>3</w:t>
      </w:r>
      <w:r>
        <w:t xml:space="preserve"> entails that, if I am to know that I’m thinking D*</w:t>
      </w:r>
      <w:r>
        <w:rPr>
          <w:vertAlign w:val="subscript"/>
        </w:rPr>
        <w:t>1</w:t>
      </w:r>
      <w:r>
        <w:t>, or anything else about Descartes, I’d jolly well better know that he existed; and I’d therefore jolly</w:t>
      </w:r>
      <w:r>
        <w:rPr>
          <w:spacing w:val="63"/>
        </w:rPr>
        <w:t xml:space="preserve"> </w:t>
      </w:r>
      <w:r>
        <w:t>well</w:t>
      </w:r>
      <w:r>
        <w:rPr>
          <w:spacing w:val="64"/>
        </w:rPr>
        <w:t xml:space="preserve"> </w:t>
      </w:r>
      <w:r>
        <w:t>better</w:t>
      </w:r>
      <w:r>
        <w:rPr>
          <w:spacing w:val="64"/>
        </w:rPr>
        <w:t xml:space="preserve"> </w:t>
      </w:r>
      <w:r>
        <w:t>know</w:t>
      </w:r>
      <w:r>
        <w:rPr>
          <w:spacing w:val="64"/>
        </w:rPr>
        <w:t xml:space="preserve"> </w:t>
      </w:r>
      <w:r>
        <w:t>that</w:t>
      </w:r>
      <w:r>
        <w:rPr>
          <w:spacing w:val="64"/>
        </w:rPr>
        <w:t xml:space="preserve"> </w:t>
      </w:r>
      <w:r>
        <w:t>various</w:t>
      </w:r>
      <w:r>
        <w:rPr>
          <w:spacing w:val="64"/>
        </w:rPr>
        <w:t xml:space="preserve"> </w:t>
      </w:r>
      <w:r>
        <w:t>Descartes-related</w:t>
      </w:r>
      <w:r>
        <w:rPr>
          <w:spacing w:val="64"/>
        </w:rPr>
        <w:t xml:space="preserve"> </w:t>
      </w:r>
      <w:r>
        <w:t>perceptions</w:t>
      </w:r>
      <w:r>
        <w:rPr>
          <w:spacing w:val="64"/>
        </w:rPr>
        <w:t xml:space="preserve"> </w:t>
      </w:r>
      <w:r>
        <w:t>of</w:t>
      </w:r>
      <w:r>
        <w:rPr>
          <w:spacing w:val="64"/>
        </w:rPr>
        <w:t xml:space="preserve"> </w:t>
      </w:r>
      <w:r>
        <w:rPr>
          <w:spacing w:val="-4"/>
        </w:rPr>
        <w:t>mine</w:t>
      </w:r>
    </w:p>
    <w:p w14:paraId="7E0015E3" w14:textId="77777777" w:rsidR="009A58DB" w:rsidRDefault="00000000">
      <w:pPr>
        <w:pStyle w:val="BodyText"/>
        <w:spacing w:line="316" w:lineRule="exact"/>
      </w:pPr>
      <w:r>
        <w:t>were</w:t>
      </w:r>
      <w:r>
        <w:rPr>
          <w:spacing w:val="42"/>
        </w:rPr>
        <w:t xml:space="preserve"> </w:t>
      </w:r>
      <w:r>
        <w:t>accurate</w:t>
      </w:r>
      <w:r>
        <w:rPr>
          <w:spacing w:val="45"/>
        </w:rPr>
        <w:t xml:space="preserve"> </w:t>
      </w:r>
      <w:r>
        <w:t>and,</w:t>
      </w:r>
      <w:r>
        <w:rPr>
          <w:spacing w:val="45"/>
        </w:rPr>
        <w:t xml:space="preserve"> </w:t>
      </w:r>
      <w:r>
        <w:t>in</w:t>
      </w:r>
      <w:r>
        <w:rPr>
          <w:spacing w:val="45"/>
        </w:rPr>
        <w:t xml:space="preserve"> </w:t>
      </w:r>
      <w:r>
        <w:t>addition,</w:t>
      </w:r>
      <w:r>
        <w:rPr>
          <w:spacing w:val="45"/>
        </w:rPr>
        <w:t xml:space="preserve"> </w:t>
      </w:r>
      <w:r>
        <w:t>that</w:t>
      </w:r>
      <w:r>
        <w:rPr>
          <w:spacing w:val="44"/>
        </w:rPr>
        <w:t xml:space="preserve"> </w:t>
      </w:r>
      <w:r>
        <w:t>various</w:t>
      </w:r>
      <w:r>
        <w:rPr>
          <w:spacing w:val="45"/>
        </w:rPr>
        <w:t xml:space="preserve"> </w:t>
      </w:r>
      <w:r>
        <w:t>inferences</w:t>
      </w:r>
      <w:r>
        <w:rPr>
          <w:spacing w:val="45"/>
        </w:rPr>
        <w:t xml:space="preserve"> </w:t>
      </w:r>
      <w:r>
        <w:t>of</w:t>
      </w:r>
      <w:r>
        <w:rPr>
          <w:spacing w:val="44"/>
        </w:rPr>
        <w:t xml:space="preserve"> </w:t>
      </w:r>
      <w:r>
        <w:t>mine</w:t>
      </w:r>
      <w:r>
        <w:rPr>
          <w:spacing w:val="46"/>
        </w:rPr>
        <w:t xml:space="preserve"> </w:t>
      </w:r>
      <w:r>
        <w:rPr>
          <w:spacing w:val="-2"/>
        </w:rPr>
        <w:t>concerning</w:t>
      </w:r>
    </w:p>
    <w:p w14:paraId="7E0015E4" w14:textId="77777777" w:rsidR="009A58DB" w:rsidRDefault="00000000">
      <w:pPr>
        <w:pStyle w:val="BodyText"/>
        <w:spacing w:before="15" w:line="249" w:lineRule="auto"/>
        <w:ind w:right="359"/>
      </w:pPr>
      <w:r>
        <w:t xml:space="preserve">various records of mine were also accurate. Which means that a </w:t>
      </w:r>
      <w:r>
        <w:rPr>
          <w:i/>
        </w:rPr>
        <w:t>pre</w:t>
      </w:r>
      <w:r>
        <w:t>condition for my thinking about Descartes is my knowing that Descartes existed</w:t>
      </w:r>
      <w:r>
        <w:rPr>
          <w:spacing w:val="40"/>
        </w:rPr>
        <w:t xml:space="preserve"> </w:t>
      </w:r>
      <w:r>
        <w:t xml:space="preserve">Which, in its turn, means that, supposing that I’m consciously thinking about Descartes right now, I can’t possibly know that fact with very much certainty at all. I can know it only with the certainty with which I know that Descartes </w:t>
      </w:r>
      <w:r>
        <w:rPr>
          <w:spacing w:val="-2"/>
        </w:rPr>
        <w:t>existed.</w:t>
      </w:r>
    </w:p>
    <w:p w14:paraId="7E0015E5" w14:textId="77777777" w:rsidR="009A58DB" w:rsidRDefault="00000000">
      <w:pPr>
        <w:pStyle w:val="BodyText"/>
        <w:spacing w:before="8"/>
        <w:ind w:left="720"/>
      </w:pPr>
      <w:r>
        <w:t>But</w:t>
      </w:r>
      <w:r>
        <w:rPr>
          <w:spacing w:val="-4"/>
        </w:rPr>
        <w:t xml:space="preserve"> </w:t>
      </w:r>
      <w:r>
        <w:t>that’s</w:t>
      </w:r>
      <w:r>
        <w:rPr>
          <w:spacing w:val="-3"/>
        </w:rPr>
        <w:t xml:space="preserve"> </w:t>
      </w:r>
      <w:r>
        <w:rPr>
          <w:spacing w:val="-2"/>
        </w:rPr>
        <w:t>false.</w:t>
      </w:r>
    </w:p>
    <w:p w14:paraId="7E0015E6" w14:textId="77777777" w:rsidR="009A58DB" w:rsidRDefault="00000000">
      <w:pPr>
        <w:pStyle w:val="BodyText"/>
        <w:spacing w:before="15" w:line="249" w:lineRule="auto"/>
        <w:ind w:right="359" w:firstLine="360"/>
      </w:pPr>
      <w:r>
        <w:t>Since knowing that Descartes existed obviously involves knowing a lot of other things about the external world—since it involves my knowing that I was in fact reading certain books at certain terms, that certain records in fact exist and were made under certain circumstances, etc.—my knowing a huge amount about the external world is a prerequisite to knowing that I’m thinking this or that about Descartes.</w:t>
      </w:r>
    </w:p>
    <w:p w14:paraId="7E0015E7" w14:textId="77777777" w:rsidR="009A58DB" w:rsidRDefault="00000000">
      <w:pPr>
        <w:pStyle w:val="BodyText"/>
        <w:spacing w:before="7"/>
        <w:ind w:left="720"/>
      </w:pPr>
      <w:r>
        <w:t>But</w:t>
      </w:r>
      <w:r>
        <w:rPr>
          <w:spacing w:val="-4"/>
        </w:rPr>
        <w:t xml:space="preserve"> </w:t>
      </w:r>
      <w:r>
        <w:t>that’s</w:t>
      </w:r>
      <w:r>
        <w:rPr>
          <w:spacing w:val="-3"/>
        </w:rPr>
        <w:t xml:space="preserve"> </w:t>
      </w:r>
      <w:r>
        <w:rPr>
          <w:spacing w:val="-2"/>
        </w:rPr>
        <w:t>false.</w:t>
      </w:r>
    </w:p>
    <w:p w14:paraId="7E0015E8" w14:textId="77777777" w:rsidR="009A58DB" w:rsidRDefault="00000000">
      <w:pPr>
        <w:pStyle w:val="BodyText"/>
        <w:spacing w:before="15" w:line="249" w:lineRule="auto"/>
        <w:ind w:right="358" w:firstLine="360"/>
      </w:pPr>
      <w:r>
        <w:t>This reasoning is easily generalized to show that, if Burge’s position is right, my knowledge that I am consciously thinking about anything x in the external world is no more certain than my knowledge that x existed and, therefore, is no more certain than my knowledge of the various things on which that knowledge is based.</w:t>
      </w:r>
    </w:p>
    <w:p w14:paraId="7E0015E9" w14:textId="77777777" w:rsidR="009A58DB" w:rsidRDefault="00000000">
      <w:pPr>
        <w:pStyle w:val="BodyText"/>
        <w:spacing w:before="6" w:line="249" w:lineRule="auto"/>
        <w:ind w:right="365" w:firstLine="360"/>
      </w:pPr>
      <w:r>
        <w:t>To sum up, Burge’s position is false, since it has the false consequence that my knowledge of my own conscious mental states is as tentative as my knowledge of occurrences in remote regions of time and space.</w:t>
      </w:r>
    </w:p>
    <w:p w14:paraId="7E0015EA" w14:textId="77777777" w:rsidR="009A58DB" w:rsidRDefault="00000000">
      <w:pPr>
        <w:pStyle w:val="BodyText"/>
        <w:spacing w:before="4" w:line="249" w:lineRule="auto"/>
        <w:ind w:right="358" w:firstLine="360"/>
      </w:pPr>
      <w:r>
        <w:t>Around six years after he wrote “Individualism and the Mental,” Burge became</w:t>
      </w:r>
      <w:r>
        <w:rPr>
          <w:spacing w:val="-1"/>
        </w:rPr>
        <w:t xml:space="preserve"> </w:t>
      </w:r>
      <w:r>
        <w:t>aware</w:t>
      </w:r>
      <w:r>
        <w:rPr>
          <w:spacing w:val="-1"/>
        </w:rPr>
        <w:t xml:space="preserve"> </w:t>
      </w:r>
      <w:r>
        <w:t>of</w:t>
      </w:r>
      <w:r>
        <w:rPr>
          <w:spacing w:val="-1"/>
        </w:rPr>
        <w:t xml:space="preserve"> </w:t>
      </w:r>
      <w:r>
        <w:t>this</w:t>
      </w:r>
      <w:r>
        <w:rPr>
          <w:spacing w:val="-1"/>
        </w:rPr>
        <w:t xml:space="preserve"> </w:t>
      </w:r>
      <w:r>
        <w:t>problem.</w:t>
      </w:r>
      <w:r>
        <w:rPr>
          <w:spacing w:val="-1"/>
        </w:rPr>
        <w:t xml:space="preserve"> </w:t>
      </w:r>
      <w:r>
        <w:t>He</w:t>
      </w:r>
      <w:r>
        <w:rPr>
          <w:spacing w:val="-1"/>
        </w:rPr>
        <w:t xml:space="preserve"> </w:t>
      </w:r>
      <w:r>
        <w:t>and</w:t>
      </w:r>
      <w:r>
        <w:rPr>
          <w:spacing w:val="-1"/>
        </w:rPr>
        <w:t xml:space="preserve"> </w:t>
      </w:r>
      <w:r>
        <w:t>various</w:t>
      </w:r>
      <w:r>
        <w:rPr>
          <w:spacing w:val="-1"/>
        </w:rPr>
        <w:t xml:space="preserve"> </w:t>
      </w:r>
      <w:r>
        <w:t>followers</w:t>
      </w:r>
      <w:r>
        <w:rPr>
          <w:spacing w:val="-1"/>
        </w:rPr>
        <w:t xml:space="preserve"> </w:t>
      </w:r>
      <w:r>
        <w:t>of</w:t>
      </w:r>
      <w:r>
        <w:rPr>
          <w:spacing w:val="-1"/>
        </w:rPr>
        <w:t xml:space="preserve"> </w:t>
      </w:r>
      <w:r>
        <w:t>his</w:t>
      </w:r>
      <w:r>
        <w:rPr>
          <w:spacing w:val="-1"/>
        </w:rPr>
        <w:t xml:space="preserve"> </w:t>
      </w:r>
      <w:r>
        <w:t>have</w:t>
      </w:r>
      <w:r>
        <w:rPr>
          <w:spacing w:val="-1"/>
        </w:rPr>
        <w:t xml:space="preserve"> </w:t>
      </w:r>
      <w:r>
        <w:t>spent</w:t>
      </w:r>
      <w:r>
        <w:rPr>
          <w:spacing w:val="-1"/>
        </w:rPr>
        <w:t xml:space="preserve"> </w:t>
      </w:r>
      <w:r>
        <w:t>the last</w:t>
      </w:r>
      <w:r>
        <w:rPr>
          <w:spacing w:val="57"/>
        </w:rPr>
        <w:t xml:space="preserve"> </w:t>
      </w:r>
      <w:r>
        <w:t>23</w:t>
      </w:r>
      <w:r>
        <w:rPr>
          <w:spacing w:val="57"/>
        </w:rPr>
        <w:t xml:space="preserve"> </w:t>
      </w:r>
      <w:r>
        <w:t>years</w:t>
      </w:r>
      <w:r>
        <w:rPr>
          <w:spacing w:val="57"/>
        </w:rPr>
        <w:t xml:space="preserve"> </w:t>
      </w:r>
      <w:r>
        <w:t>attempting</w:t>
      </w:r>
      <w:r>
        <w:rPr>
          <w:spacing w:val="57"/>
        </w:rPr>
        <w:t xml:space="preserve"> </w:t>
      </w:r>
      <w:r>
        <w:t>to</w:t>
      </w:r>
      <w:r>
        <w:rPr>
          <w:spacing w:val="57"/>
        </w:rPr>
        <w:t xml:space="preserve"> </w:t>
      </w:r>
      <w:r>
        <w:t>show</w:t>
      </w:r>
      <w:r>
        <w:rPr>
          <w:spacing w:val="57"/>
        </w:rPr>
        <w:t xml:space="preserve"> </w:t>
      </w:r>
      <w:r>
        <w:t>that,</w:t>
      </w:r>
      <w:r>
        <w:rPr>
          <w:spacing w:val="58"/>
        </w:rPr>
        <w:t xml:space="preserve"> </w:t>
      </w:r>
      <w:r>
        <w:t>even</w:t>
      </w:r>
      <w:r>
        <w:rPr>
          <w:spacing w:val="57"/>
        </w:rPr>
        <w:t xml:space="preserve"> </w:t>
      </w:r>
      <w:r>
        <w:t>though</w:t>
      </w:r>
      <w:r>
        <w:rPr>
          <w:spacing w:val="57"/>
        </w:rPr>
        <w:t xml:space="preserve"> </w:t>
      </w:r>
      <w:r>
        <w:t>B</w:t>
      </w:r>
      <w:r>
        <w:rPr>
          <w:vertAlign w:val="subscript"/>
        </w:rPr>
        <w:t>1</w:t>
      </w:r>
      <w:r>
        <w:t>–B</w:t>
      </w:r>
      <w:r>
        <w:rPr>
          <w:vertAlign w:val="subscript"/>
        </w:rPr>
        <w:t>3</w:t>
      </w:r>
      <w:r>
        <w:rPr>
          <w:spacing w:val="61"/>
        </w:rPr>
        <w:t xml:space="preserve"> </w:t>
      </w:r>
      <w:r>
        <w:t>are</w:t>
      </w:r>
      <w:r>
        <w:rPr>
          <w:spacing w:val="60"/>
        </w:rPr>
        <w:t xml:space="preserve"> </w:t>
      </w:r>
      <w:r>
        <w:t>all</w:t>
      </w:r>
      <w:r>
        <w:rPr>
          <w:spacing w:val="60"/>
        </w:rPr>
        <w:t xml:space="preserve"> </w:t>
      </w:r>
      <w:r>
        <w:rPr>
          <w:spacing w:val="-2"/>
        </w:rPr>
        <w:t>correct,</w:t>
      </w:r>
    </w:p>
    <w:p w14:paraId="7E0015EB" w14:textId="77777777" w:rsidR="009A58DB" w:rsidRDefault="00000000">
      <w:pPr>
        <w:pStyle w:val="BodyText"/>
        <w:spacing w:before="64" w:line="249" w:lineRule="auto"/>
        <w:ind w:right="360"/>
      </w:pPr>
      <w:r>
        <w:t>Burge’s position is completely compatible with the presumption that we</w:t>
      </w:r>
      <w:r>
        <w:rPr>
          <w:spacing w:val="40"/>
        </w:rPr>
        <w:t xml:space="preserve"> </w:t>
      </w:r>
      <w:r>
        <w:t xml:space="preserve">know our conscious mental states better than we know about Descartes’ </w:t>
      </w:r>
      <w:r>
        <w:rPr>
          <w:spacing w:val="-2"/>
        </w:rPr>
        <w:t>existence.</w:t>
      </w:r>
    </w:p>
    <w:p w14:paraId="7E0015E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ED" w14:textId="77777777" w:rsidR="009A58DB" w:rsidRDefault="00000000">
      <w:pPr>
        <w:pStyle w:val="BodyText"/>
        <w:spacing w:before="65" w:line="249" w:lineRule="auto"/>
        <w:ind w:right="363" w:firstLine="360"/>
        <w:rPr>
          <w:position w:val="21"/>
        </w:rPr>
      </w:pPr>
      <w:r>
        <w:lastRenderedPageBreak/>
        <w:t>To those who would join Burge in this heroic quest, I must say, quoting Sponge Bob Square Pants: “Good luck with that!</w:t>
      </w:r>
      <w:bookmarkStart w:id="280" w:name="_bookmark280"/>
      <w:bookmarkEnd w:id="280"/>
      <w:r>
        <w:t>”</w:t>
      </w:r>
      <w:r>
        <w:rPr>
          <w:color w:val="0562C1"/>
          <w:position w:val="21"/>
          <w:u w:val="single" w:color="0562C1"/>
        </w:rPr>
        <w:t>[182]</w:t>
      </w:r>
    </w:p>
    <w:p w14:paraId="7E0015EE" w14:textId="77777777" w:rsidR="009A58DB" w:rsidRDefault="00000000">
      <w:pPr>
        <w:pStyle w:val="Heading1"/>
        <w:numPr>
          <w:ilvl w:val="1"/>
          <w:numId w:val="143"/>
        </w:numPr>
        <w:tabs>
          <w:tab w:val="left" w:pos="1069"/>
        </w:tabs>
        <w:spacing w:before="190" w:line="244" w:lineRule="auto"/>
        <w:ind w:right="362" w:firstLine="0"/>
        <w:jc w:val="both"/>
      </w:pPr>
      <w:r>
        <w:t xml:space="preserve">The consequences of Burge’s big blunder: the need to deny independently known truths about </w:t>
      </w:r>
      <w:r>
        <w:rPr>
          <w:spacing w:val="-2"/>
        </w:rPr>
        <w:t>causation</w:t>
      </w:r>
    </w:p>
    <w:p w14:paraId="7E0015EF" w14:textId="77777777" w:rsidR="009A58DB" w:rsidRDefault="00000000">
      <w:pPr>
        <w:pStyle w:val="BodyText"/>
        <w:spacing w:before="134" w:line="249" w:lineRule="auto"/>
        <w:ind w:right="360"/>
      </w:pPr>
      <w:r>
        <w:t>But there are problems with Burge’s position far worse than any thus far mentioned. To see what they are, let’s revisit the situation involving Smith and Twin-Smith—the one where, according to Burge, one of them, but not the other, believes that he has arthritis.</w:t>
      </w:r>
    </w:p>
    <w:p w14:paraId="7E0015F0" w14:textId="77777777" w:rsidR="009A58DB" w:rsidRDefault="00000000">
      <w:pPr>
        <w:pStyle w:val="BodyText"/>
        <w:spacing w:before="5" w:line="249" w:lineRule="auto"/>
        <w:ind w:right="359" w:firstLine="360"/>
      </w:pPr>
      <w:r>
        <w:t>By supposition, Smith and Twin-Smith are psychologically and physiologically exactly the same. Given this, it follows that the causal properties of Smith’s thoughts coincide with those of Twin-Smith’s thoughts. This</w:t>
      </w:r>
      <w:r>
        <w:rPr>
          <w:spacing w:val="-3"/>
        </w:rPr>
        <w:t xml:space="preserve"> </w:t>
      </w:r>
      <w:r>
        <w:t>means</w:t>
      </w:r>
      <w:r>
        <w:rPr>
          <w:spacing w:val="-3"/>
        </w:rPr>
        <w:t xml:space="preserve"> </w:t>
      </w:r>
      <w:r>
        <w:t>that</w:t>
      </w:r>
      <w:r>
        <w:rPr>
          <w:spacing w:val="-3"/>
        </w:rPr>
        <w:t xml:space="preserve"> </w:t>
      </w:r>
      <w:r>
        <w:t>the</w:t>
      </w:r>
      <w:r>
        <w:rPr>
          <w:spacing w:val="-3"/>
        </w:rPr>
        <w:t xml:space="preserve"> </w:t>
      </w:r>
      <w:r>
        <w:t>supposed</w:t>
      </w:r>
      <w:r>
        <w:rPr>
          <w:spacing w:val="-3"/>
        </w:rPr>
        <w:t xml:space="preserve"> </w:t>
      </w:r>
      <w:r>
        <w:t>difference</w:t>
      </w:r>
      <w:r>
        <w:rPr>
          <w:spacing w:val="-3"/>
        </w:rPr>
        <w:t xml:space="preserve"> </w:t>
      </w:r>
      <w:r>
        <w:t>in</w:t>
      </w:r>
      <w:r>
        <w:rPr>
          <w:spacing w:val="-3"/>
        </w:rPr>
        <w:t xml:space="preserve"> </w:t>
      </w:r>
      <w:r>
        <w:t>content</w:t>
      </w:r>
      <w:r>
        <w:rPr>
          <w:spacing w:val="-3"/>
        </w:rPr>
        <w:t xml:space="preserve"> </w:t>
      </w:r>
      <w:r>
        <w:t>doesn’t</w:t>
      </w:r>
      <w:r>
        <w:rPr>
          <w:spacing w:val="-3"/>
        </w:rPr>
        <w:t xml:space="preserve"> </w:t>
      </w:r>
      <w:r>
        <w:t>make</w:t>
      </w:r>
      <w:r>
        <w:rPr>
          <w:spacing w:val="-3"/>
        </w:rPr>
        <w:t xml:space="preserve"> </w:t>
      </w:r>
      <w:r>
        <w:t>a</w:t>
      </w:r>
      <w:r>
        <w:rPr>
          <w:spacing w:val="-3"/>
        </w:rPr>
        <w:t xml:space="preserve"> </w:t>
      </w:r>
      <w:r>
        <w:t xml:space="preserve">difference, and is completely and totally inert. Although Smith’s </w:t>
      </w:r>
      <w:r>
        <w:rPr>
          <w:i/>
        </w:rPr>
        <w:t>belief</w:t>
      </w:r>
      <w:r>
        <w:rPr>
          <w:i/>
          <w:spacing w:val="-4"/>
        </w:rPr>
        <w:t xml:space="preserve"> </w:t>
      </w:r>
      <w:r>
        <w:t>in the proposition expressed</w:t>
      </w:r>
      <w:r>
        <w:rPr>
          <w:spacing w:val="36"/>
        </w:rPr>
        <w:t xml:space="preserve"> </w:t>
      </w:r>
      <w:r>
        <w:t>by</w:t>
      </w:r>
      <w:r>
        <w:rPr>
          <w:spacing w:val="36"/>
        </w:rPr>
        <w:t xml:space="preserve"> </w:t>
      </w:r>
      <w:r>
        <w:t>A</w:t>
      </w:r>
      <w:r>
        <w:rPr>
          <w:vertAlign w:val="subscript"/>
        </w:rPr>
        <w:t>3</w:t>
      </w:r>
      <w:r>
        <w:rPr>
          <w:spacing w:val="42"/>
        </w:rPr>
        <w:t xml:space="preserve"> </w:t>
      </w:r>
      <w:r>
        <w:t>(or</w:t>
      </w:r>
      <w:r>
        <w:rPr>
          <w:spacing w:val="42"/>
        </w:rPr>
        <w:t xml:space="preserve"> </w:t>
      </w:r>
      <w:r>
        <w:t>whatever)</w:t>
      </w:r>
      <w:r>
        <w:rPr>
          <w:spacing w:val="42"/>
        </w:rPr>
        <w:t xml:space="preserve"> </w:t>
      </w:r>
      <w:r>
        <w:t>obviously</w:t>
      </w:r>
      <w:r>
        <w:rPr>
          <w:spacing w:val="42"/>
        </w:rPr>
        <w:t xml:space="preserve"> </w:t>
      </w:r>
      <w:r>
        <w:t>has</w:t>
      </w:r>
      <w:r>
        <w:rPr>
          <w:spacing w:val="42"/>
        </w:rPr>
        <w:t xml:space="preserve"> </w:t>
      </w:r>
      <w:r>
        <w:t>effects</w:t>
      </w:r>
      <w:r>
        <w:rPr>
          <w:spacing w:val="42"/>
        </w:rPr>
        <w:t xml:space="preserve"> </w:t>
      </w:r>
      <w:r>
        <w:t>(on</w:t>
      </w:r>
      <w:r>
        <w:rPr>
          <w:spacing w:val="41"/>
        </w:rPr>
        <w:t xml:space="preserve"> </w:t>
      </w:r>
      <w:r>
        <w:t>what</w:t>
      </w:r>
      <w:r>
        <w:rPr>
          <w:spacing w:val="42"/>
        </w:rPr>
        <w:t xml:space="preserve"> </w:t>
      </w:r>
      <w:r>
        <w:t>Smith</w:t>
      </w:r>
      <w:r>
        <w:rPr>
          <w:spacing w:val="42"/>
        </w:rPr>
        <w:t xml:space="preserve"> </w:t>
      </w:r>
      <w:r>
        <w:rPr>
          <w:spacing w:val="-2"/>
        </w:rPr>
        <w:t>does,</w:t>
      </w:r>
    </w:p>
    <w:p w14:paraId="7E0015F1" w14:textId="77777777" w:rsidR="009A58DB" w:rsidRDefault="00000000">
      <w:pPr>
        <w:pStyle w:val="BodyText"/>
        <w:spacing w:before="68" w:line="249" w:lineRule="auto"/>
        <w:ind w:right="358"/>
      </w:pPr>
      <w:r>
        <w:t xml:space="preserve">etc.), and although the same is obviously true of Twin-Smith’s corresponding belief, the alleged </w:t>
      </w:r>
      <w:r>
        <w:rPr>
          <w:i/>
        </w:rPr>
        <w:t xml:space="preserve">difference </w:t>
      </w:r>
      <w:r>
        <w:t>between these beliefs is absolutely without any consequences. It has no consequences for anybody’s overt behavior or for anybody’s internal, psychological condition.</w:t>
      </w:r>
    </w:p>
    <w:p w14:paraId="7E0015F2" w14:textId="77777777" w:rsidR="009A58DB" w:rsidRDefault="00000000">
      <w:pPr>
        <w:pStyle w:val="Heading1"/>
        <w:numPr>
          <w:ilvl w:val="1"/>
          <w:numId w:val="143"/>
        </w:numPr>
        <w:tabs>
          <w:tab w:val="left" w:pos="990"/>
        </w:tabs>
        <w:spacing w:before="207"/>
        <w:ind w:left="990" w:hanging="630"/>
        <w:jc w:val="both"/>
      </w:pPr>
      <w:r>
        <w:t>Fodor’s</w:t>
      </w:r>
      <w:r>
        <w:rPr>
          <w:spacing w:val="-5"/>
        </w:rPr>
        <w:t xml:space="preserve"> </w:t>
      </w:r>
      <w:r>
        <w:rPr>
          <w:spacing w:val="-2"/>
        </w:rPr>
        <w:t>insight</w:t>
      </w:r>
    </w:p>
    <w:p w14:paraId="7E0015F3" w14:textId="77777777" w:rsidR="009A58DB" w:rsidRDefault="00000000">
      <w:pPr>
        <w:pStyle w:val="BodyText"/>
        <w:spacing w:before="139" w:line="249" w:lineRule="auto"/>
        <w:ind w:right="359"/>
      </w:pPr>
      <w:r>
        <w:t xml:space="preserve">Jerry Fodor (1987) was one of the first people to note this consequence of Burge’s view. Fodor’s argument is a brisk and incisive one. What is it, Fodor </w:t>
      </w:r>
      <w:r>
        <w:rPr>
          <w:spacing w:val="-2"/>
        </w:rPr>
        <w:t>asks,</w:t>
      </w:r>
      <w:r>
        <w:rPr>
          <w:spacing w:val="-16"/>
        </w:rPr>
        <w:t xml:space="preserve"> </w:t>
      </w:r>
      <w:r>
        <w:rPr>
          <w:spacing w:val="-2"/>
        </w:rPr>
        <w:t>for</w:t>
      </w:r>
      <w:r>
        <w:rPr>
          <w:spacing w:val="-16"/>
        </w:rPr>
        <w:t xml:space="preserve"> </w:t>
      </w:r>
      <w:r>
        <w:rPr>
          <w:spacing w:val="-2"/>
        </w:rPr>
        <w:t>two</w:t>
      </w:r>
      <w:r>
        <w:rPr>
          <w:spacing w:val="-16"/>
        </w:rPr>
        <w:t xml:space="preserve"> </w:t>
      </w:r>
      <w:r>
        <w:rPr>
          <w:spacing w:val="-2"/>
        </w:rPr>
        <w:t>numerically</w:t>
      </w:r>
      <w:r>
        <w:rPr>
          <w:spacing w:val="-16"/>
        </w:rPr>
        <w:t xml:space="preserve"> </w:t>
      </w:r>
      <w:r>
        <w:rPr>
          <w:spacing w:val="-2"/>
        </w:rPr>
        <w:t>distinct</w:t>
      </w:r>
      <w:r>
        <w:rPr>
          <w:spacing w:val="-16"/>
        </w:rPr>
        <w:t xml:space="preserve"> </w:t>
      </w:r>
      <w:r>
        <w:rPr>
          <w:spacing w:val="-2"/>
        </w:rPr>
        <w:t>things,</w:t>
      </w:r>
      <w:r>
        <w:rPr>
          <w:spacing w:val="-16"/>
        </w:rPr>
        <w:t xml:space="preserve"> </w:t>
      </w:r>
      <w:r>
        <w:rPr>
          <w:spacing w:val="-2"/>
        </w:rPr>
        <w:t>x</w:t>
      </w:r>
      <w:r>
        <w:rPr>
          <w:spacing w:val="-16"/>
        </w:rPr>
        <w:t xml:space="preserve"> </w:t>
      </w:r>
      <w:r>
        <w:rPr>
          <w:spacing w:val="-2"/>
        </w:rPr>
        <w:t>and</w:t>
      </w:r>
      <w:r>
        <w:rPr>
          <w:spacing w:val="-16"/>
        </w:rPr>
        <w:t xml:space="preserve"> </w:t>
      </w:r>
      <w:r>
        <w:rPr>
          <w:spacing w:val="-2"/>
        </w:rPr>
        <w:t>y,</w:t>
      </w:r>
      <w:r>
        <w:rPr>
          <w:spacing w:val="-16"/>
        </w:rPr>
        <w:t xml:space="preserve"> </w:t>
      </w:r>
      <w:r>
        <w:rPr>
          <w:spacing w:val="-2"/>
        </w:rPr>
        <w:t>to</w:t>
      </w:r>
      <w:r>
        <w:rPr>
          <w:spacing w:val="-16"/>
        </w:rPr>
        <w:t xml:space="preserve"> </w:t>
      </w:r>
      <w:r>
        <w:rPr>
          <w:spacing w:val="-2"/>
        </w:rPr>
        <w:t>be</w:t>
      </w:r>
      <w:r>
        <w:rPr>
          <w:spacing w:val="-16"/>
        </w:rPr>
        <w:t xml:space="preserve"> </w:t>
      </w:r>
      <w:r>
        <w:rPr>
          <w:spacing w:val="-2"/>
        </w:rPr>
        <w:t>causally</w:t>
      </w:r>
      <w:r>
        <w:rPr>
          <w:spacing w:val="-16"/>
        </w:rPr>
        <w:t xml:space="preserve"> </w:t>
      </w:r>
      <w:r>
        <w:rPr>
          <w:spacing w:val="-2"/>
        </w:rPr>
        <w:t>different</w:t>
      </w:r>
      <w:r>
        <w:rPr>
          <w:spacing w:val="-16"/>
        </w:rPr>
        <w:t xml:space="preserve"> </w:t>
      </w:r>
      <w:r>
        <w:rPr>
          <w:spacing w:val="-2"/>
        </w:rPr>
        <w:t>(i.e.,</w:t>
      </w:r>
      <w:r>
        <w:rPr>
          <w:spacing w:val="-16"/>
        </w:rPr>
        <w:t xml:space="preserve"> </w:t>
      </w:r>
      <w:r>
        <w:rPr>
          <w:spacing w:val="-2"/>
        </w:rPr>
        <w:t xml:space="preserve">to </w:t>
      </w:r>
      <w:r>
        <w:t>differ</w:t>
      </w:r>
      <w:r>
        <w:rPr>
          <w:spacing w:val="-4"/>
        </w:rPr>
        <w:t xml:space="preserve"> </w:t>
      </w:r>
      <w:r>
        <w:t>in</w:t>
      </w:r>
      <w:r>
        <w:rPr>
          <w:spacing w:val="-4"/>
        </w:rPr>
        <w:t xml:space="preserve"> </w:t>
      </w:r>
      <w:r>
        <w:t>respect</w:t>
      </w:r>
      <w:r>
        <w:rPr>
          <w:spacing w:val="-4"/>
        </w:rPr>
        <w:t xml:space="preserve"> </w:t>
      </w:r>
      <w:r>
        <w:t>of</w:t>
      </w:r>
      <w:r>
        <w:rPr>
          <w:spacing w:val="-3"/>
        </w:rPr>
        <w:t xml:space="preserve"> </w:t>
      </w:r>
      <w:r>
        <w:t>their</w:t>
      </w:r>
      <w:r>
        <w:rPr>
          <w:spacing w:val="-3"/>
        </w:rPr>
        <w:t xml:space="preserve"> </w:t>
      </w:r>
      <w:r>
        <w:t>causal</w:t>
      </w:r>
      <w:r>
        <w:rPr>
          <w:spacing w:val="-4"/>
        </w:rPr>
        <w:t xml:space="preserve"> </w:t>
      </w:r>
      <w:r>
        <w:t>properties)?</w:t>
      </w:r>
      <w:r>
        <w:rPr>
          <w:spacing w:val="-3"/>
        </w:rPr>
        <w:t xml:space="preserve"> </w:t>
      </w:r>
      <w:r>
        <w:t>It</w:t>
      </w:r>
      <w:r>
        <w:rPr>
          <w:spacing w:val="-4"/>
        </w:rPr>
        <w:t xml:space="preserve"> </w:t>
      </w:r>
      <w:r>
        <w:t>is</w:t>
      </w:r>
      <w:r>
        <w:rPr>
          <w:spacing w:val="-3"/>
        </w:rPr>
        <w:t xml:space="preserve"> </w:t>
      </w:r>
      <w:r>
        <w:t>for</w:t>
      </w:r>
      <w:r>
        <w:rPr>
          <w:spacing w:val="-3"/>
        </w:rPr>
        <w:t xml:space="preserve"> </w:t>
      </w:r>
      <w:r>
        <w:t>them</w:t>
      </w:r>
      <w:r>
        <w:rPr>
          <w:spacing w:val="-4"/>
        </w:rPr>
        <w:t xml:space="preserve"> </w:t>
      </w:r>
      <w:r>
        <w:t>to</w:t>
      </w:r>
      <w:r>
        <w:rPr>
          <w:spacing w:val="-3"/>
        </w:rPr>
        <w:t xml:space="preserve"> </w:t>
      </w:r>
      <w:r>
        <w:t>be</w:t>
      </w:r>
      <w:r>
        <w:rPr>
          <w:spacing w:val="-3"/>
        </w:rPr>
        <w:t xml:space="preserve"> </w:t>
      </w:r>
      <w:r>
        <w:t>such</w:t>
      </w:r>
      <w:r>
        <w:rPr>
          <w:spacing w:val="-3"/>
        </w:rPr>
        <w:t xml:space="preserve"> </w:t>
      </w:r>
      <w:r>
        <w:t>that,</w:t>
      </w:r>
      <w:r>
        <w:rPr>
          <w:spacing w:val="-3"/>
        </w:rPr>
        <w:t xml:space="preserve"> </w:t>
      </w:r>
      <w:r>
        <w:t>were they</w:t>
      </w:r>
      <w:r>
        <w:rPr>
          <w:spacing w:val="-9"/>
        </w:rPr>
        <w:t xml:space="preserve"> </w:t>
      </w:r>
      <w:r>
        <w:t>to</w:t>
      </w:r>
      <w:r>
        <w:rPr>
          <w:spacing w:val="-9"/>
        </w:rPr>
        <w:t xml:space="preserve"> </w:t>
      </w:r>
      <w:r>
        <w:t>switch</w:t>
      </w:r>
      <w:r>
        <w:rPr>
          <w:spacing w:val="-9"/>
        </w:rPr>
        <w:t xml:space="preserve"> </w:t>
      </w:r>
      <w:r>
        <w:t>places</w:t>
      </w:r>
      <w:r>
        <w:rPr>
          <w:spacing w:val="-9"/>
        </w:rPr>
        <w:t xml:space="preserve"> </w:t>
      </w:r>
      <w:r>
        <w:t>with</w:t>
      </w:r>
      <w:r>
        <w:rPr>
          <w:spacing w:val="-9"/>
        </w:rPr>
        <w:t xml:space="preserve"> </w:t>
      </w:r>
      <w:r>
        <w:t>each</w:t>
      </w:r>
      <w:r>
        <w:rPr>
          <w:spacing w:val="-9"/>
        </w:rPr>
        <w:t xml:space="preserve"> </w:t>
      </w:r>
      <w:r>
        <w:t>other</w:t>
      </w:r>
      <w:r>
        <w:rPr>
          <w:spacing w:val="-9"/>
        </w:rPr>
        <w:t xml:space="preserve"> </w:t>
      </w:r>
      <w:r>
        <w:t>but</w:t>
      </w:r>
      <w:r>
        <w:rPr>
          <w:spacing w:val="-9"/>
        </w:rPr>
        <w:t xml:space="preserve"> </w:t>
      </w:r>
      <w:r>
        <w:t>all</w:t>
      </w:r>
      <w:r>
        <w:rPr>
          <w:spacing w:val="-9"/>
        </w:rPr>
        <w:t xml:space="preserve"> </w:t>
      </w:r>
      <w:r>
        <w:t>other</w:t>
      </w:r>
      <w:r>
        <w:rPr>
          <w:spacing w:val="-9"/>
        </w:rPr>
        <w:t xml:space="preserve"> </w:t>
      </w:r>
      <w:r>
        <w:t>factors</w:t>
      </w:r>
      <w:r>
        <w:rPr>
          <w:spacing w:val="-9"/>
        </w:rPr>
        <w:t xml:space="preserve"> </w:t>
      </w:r>
      <w:r>
        <w:t>were</w:t>
      </w:r>
      <w:r>
        <w:rPr>
          <w:spacing w:val="-9"/>
        </w:rPr>
        <w:t xml:space="preserve"> </w:t>
      </w:r>
      <w:r>
        <w:t>left</w:t>
      </w:r>
      <w:r>
        <w:rPr>
          <w:spacing w:val="-9"/>
        </w:rPr>
        <w:t xml:space="preserve"> </w:t>
      </w:r>
      <w:r>
        <w:t>unchanged, the</w:t>
      </w:r>
      <w:r>
        <w:rPr>
          <w:spacing w:val="-14"/>
        </w:rPr>
        <w:t xml:space="preserve"> </w:t>
      </w:r>
      <w:r>
        <w:t>one</w:t>
      </w:r>
      <w:r>
        <w:rPr>
          <w:spacing w:val="-14"/>
        </w:rPr>
        <w:t xml:space="preserve"> </w:t>
      </w:r>
      <w:r>
        <w:t>would</w:t>
      </w:r>
      <w:r>
        <w:rPr>
          <w:spacing w:val="-14"/>
        </w:rPr>
        <w:t xml:space="preserve"> </w:t>
      </w:r>
      <w:r>
        <w:t>behave</w:t>
      </w:r>
      <w:r>
        <w:rPr>
          <w:spacing w:val="-14"/>
        </w:rPr>
        <w:t xml:space="preserve"> </w:t>
      </w:r>
      <w:r>
        <w:t>in</w:t>
      </w:r>
      <w:r>
        <w:rPr>
          <w:spacing w:val="-14"/>
        </w:rPr>
        <w:t xml:space="preserve"> </w:t>
      </w:r>
      <w:r>
        <w:t>the</w:t>
      </w:r>
      <w:r>
        <w:rPr>
          <w:spacing w:val="-14"/>
        </w:rPr>
        <w:t xml:space="preserve"> </w:t>
      </w:r>
      <w:r>
        <w:t>way</w:t>
      </w:r>
      <w:r>
        <w:rPr>
          <w:spacing w:val="-14"/>
        </w:rPr>
        <w:t xml:space="preserve"> </w:t>
      </w:r>
      <w:r>
        <w:t>in</w:t>
      </w:r>
      <w:r>
        <w:rPr>
          <w:spacing w:val="-14"/>
        </w:rPr>
        <w:t xml:space="preserve"> </w:t>
      </w:r>
      <w:r>
        <w:t>which,</w:t>
      </w:r>
      <w:r>
        <w:rPr>
          <w:spacing w:val="-14"/>
        </w:rPr>
        <w:t xml:space="preserve"> </w:t>
      </w:r>
      <w:r>
        <w:t>in</w:t>
      </w:r>
      <w:r>
        <w:rPr>
          <w:spacing w:val="-14"/>
        </w:rPr>
        <w:t xml:space="preserve"> </w:t>
      </w:r>
      <w:r>
        <w:t>actuality,</w:t>
      </w:r>
      <w:r>
        <w:rPr>
          <w:spacing w:val="-14"/>
        </w:rPr>
        <w:t xml:space="preserve"> </w:t>
      </w:r>
      <w:r>
        <w:t>the</w:t>
      </w:r>
      <w:r>
        <w:rPr>
          <w:spacing w:val="-14"/>
        </w:rPr>
        <w:t xml:space="preserve"> </w:t>
      </w:r>
      <w:r>
        <w:t>other</w:t>
      </w:r>
      <w:r>
        <w:rPr>
          <w:spacing w:val="-15"/>
        </w:rPr>
        <w:t xml:space="preserve"> </w:t>
      </w:r>
      <w:r>
        <w:t>behaves.</w:t>
      </w:r>
    </w:p>
    <w:p w14:paraId="7E0015F4" w14:textId="77777777" w:rsidR="009A58DB" w:rsidRDefault="00000000">
      <w:pPr>
        <w:pStyle w:val="BodyText"/>
        <w:spacing w:before="8" w:line="249" w:lineRule="auto"/>
        <w:ind w:right="354" w:firstLine="360"/>
      </w:pPr>
      <w:r>
        <w:t>Here’s</w:t>
      </w:r>
      <w:r>
        <w:rPr>
          <w:spacing w:val="-18"/>
        </w:rPr>
        <w:t xml:space="preserve"> </w:t>
      </w:r>
      <w:r>
        <w:t>the</w:t>
      </w:r>
      <w:r>
        <w:rPr>
          <w:spacing w:val="-18"/>
        </w:rPr>
        <w:t xml:space="preserve"> </w:t>
      </w:r>
      <w:r>
        <w:t>idea.</w:t>
      </w:r>
      <w:r>
        <w:rPr>
          <w:spacing w:val="-18"/>
        </w:rPr>
        <w:t xml:space="preserve"> </w:t>
      </w:r>
      <w:r>
        <w:t>Suppose</w:t>
      </w:r>
      <w:r>
        <w:rPr>
          <w:spacing w:val="-18"/>
        </w:rPr>
        <w:t xml:space="preserve"> </w:t>
      </w:r>
      <w:r>
        <w:t>that</w:t>
      </w:r>
      <w:r>
        <w:rPr>
          <w:spacing w:val="-18"/>
        </w:rPr>
        <w:t xml:space="preserve"> </w:t>
      </w:r>
      <w:r>
        <w:t>x</w:t>
      </w:r>
      <w:r>
        <w:rPr>
          <w:spacing w:val="-18"/>
        </w:rPr>
        <w:t xml:space="preserve"> </w:t>
      </w:r>
      <w:r>
        <w:t>and</w:t>
      </w:r>
      <w:r>
        <w:rPr>
          <w:spacing w:val="-18"/>
        </w:rPr>
        <w:t xml:space="preserve"> </w:t>
      </w:r>
      <w:r>
        <w:t>y</w:t>
      </w:r>
      <w:r>
        <w:rPr>
          <w:spacing w:val="-18"/>
        </w:rPr>
        <w:t xml:space="preserve"> </w:t>
      </w:r>
      <w:r>
        <w:t>are</w:t>
      </w:r>
      <w:r>
        <w:rPr>
          <w:spacing w:val="-18"/>
        </w:rPr>
        <w:t xml:space="preserve"> </w:t>
      </w:r>
      <w:r>
        <w:t>two</w:t>
      </w:r>
      <w:r>
        <w:rPr>
          <w:spacing w:val="-18"/>
        </w:rPr>
        <w:t xml:space="preserve"> </w:t>
      </w:r>
      <w:r>
        <w:t>billiard</w:t>
      </w:r>
      <w:r>
        <w:rPr>
          <w:spacing w:val="-18"/>
        </w:rPr>
        <w:t xml:space="preserve"> </w:t>
      </w:r>
      <w:r>
        <w:t>balls</w:t>
      </w:r>
      <w:r>
        <w:rPr>
          <w:spacing w:val="-18"/>
        </w:rPr>
        <w:t xml:space="preserve"> </w:t>
      </w:r>
      <w:r>
        <w:t>that</w:t>
      </w:r>
      <w:r>
        <w:rPr>
          <w:spacing w:val="-18"/>
        </w:rPr>
        <w:t xml:space="preserve"> </w:t>
      </w:r>
      <w:r>
        <w:t>are</w:t>
      </w:r>
      <w:r>
        <w:rPr>
          <w:spacing w:val="-18"/>
        </w:rPr>
        <w:t xml:space="preserve"> </w:t>
      </w:r>
      <w:r>
        <w:t>atom-for-atom</w:t>
      </w:r>
      <w:r>
        <w:rPr>
          <w:spacing w:val="-19"/>
        </w:rPr>
        <w:t xml:space="preserve"> </w:t>
      </w:r>
      <w:r>
        <w:t>duplicates</w:t>
      </w:r>
      <w:r>
        <w:rPr>
          <w:spacing w:val="-19"/>
        </w:rPr>
        <w:t xml:space="preserve"> </w:t>
      </w:r>
      <w:r>
        <w:t>of</w:t>
      </w:r>
      <w:r>
        <w:rPr>
          <w:spacing w:val="-19"/>
        </w:rPr>
        <w:t xml:space="preserve"> </w:t>
      </w:r>
      <w:r>
        <w:t>each</w:t>
      </w:r>
      <w:r>
        <w:rPr>
          <w:spacing w:val="-18"/>
        </w:rPr>
        <w:t xml:space="preserve"> </w:t>
      </w:r>
      <w:r>
        <w:t>other.</w:t>
      </w:r>
      <w:r>
        <w:rPr>
          <w:spacing w:val="-19"/>
        </w:rPr>
        <w:t xml:space="preserve"> </w:t>
      </w:r>
      <w:r>
        <w:t>At</w:t>
      </w:r>
      <w:r>
        <w:rPr>
          <w:spacing w:val="-19"/>
        </w:rPr>
        <w:t xml:space="preserve"> </w:t>
      </w:r>
      <w:r>
        <w:t>time</w:t>
      </w:r>
      <w:r>
        <w:rPr>
          <w:spacing w:val="-19"/>
        </w:rPr>
        <w:t xml:space="preserve"> </w:t>
      </w:r>
      <w:r>
        <w:t>t,</w:t>
      </w:r>
      <w:r>
        <w:rPr>
          <w:spacing w:val="-17"/>
        </w:rPr>
        <w:t xml:space="preserve"> </w:t>
      </w:r>
      <w:r>
        <w:t>x</w:t>
      </w:r>
      <w:r>
        <w:rPr>
          <w:spacing w:val="-18"/>
        </w:rPr>
        <w:t xml:space="preserve"> </w:t>
      </w:r>
      <w:r>
        <w:t>collides</w:t>
      </w:r>
      <w:r>
        <w:rPr>
          <w:spacing w:val="-17"/>
        </w:rPr>
        <w:t xml:space="preserve"> </w:t>
      </w:r>
      <w:r>
        <w:t>with</w:t>
      </w:r>
      <w:r>
        <w:rPr>
          <w:spacing w:val="-17"/>
        </w:rPr>
        <w:t xml:space="preserve"> </w:t>
      </w:r>
      <w:r>
        <w:t>a</w:t>
      </w:r>
      <w:r>
        <w:rPr>
          <w:spacing w:val="-17"/>
        </w:rPr>
        <w:t xml:space="preserve"> </w:t>
      </w:r>
      <w:r>
        <w:t>green</w:t>
      </w:r>
      <w:r>
        <w:rPr>
          <w:spacing w:val="-17"/>
        </w:rPr>
        <w:t xml:space="preserve"> </w:t>
      </w:r>
      <w:r>
        <w:t>billiard</w:t>
      </w:r>
      <w:r>
        <w:rPr>
          <w:spacing w:val="-17"/>
        </w:rPr>
        <w:t xml:space="preserve"> </w:t>
      </w:r>
      <w:r>
        <w:t>ball</w:t>
      </w:r>
      <w:r>
        <w:rPr>
          <w:spacing w:val="-17"/>
        </w:rPr>
        <w:t xml:space="preserve"> </w:t>
      </w:r>
      <w:r>
        <w:t>and causes</w:t>
      </w:r>
      <w:r>
        <w:rPr>
          <w:spacing w:val="-19"/>
        </w:rPr>
        <w:t xml:space="preserve"> </w:t>
      </w:r>
      <w:r>
        <w:t>that</w:t>
      </w:r>
      <w:r>
        <w:rPr>
          <w:spacing w:val="-17"/>
        </w:rPr>
        <w:t xml:space="preserve"> </w:t>
      </w:r>
      <w:r>
        <w:t>billiard</w:t>
      </w:r>
      <w:r>
        <w:rPr>
          <w:spacing w:val="-14"/>
        </w:rPr>
        <w:t xml:space="preserve"> </w:t>
      </w:r>
      <w:r>
        <w:t>ball</w:t>
      </w:r>
      <w:r>
        <w:rPr>
          <w:spacing w:val="-14"/>
        </w:rPr>
        <w:t xml:space="preserve"> </w:t>
      </w:r>
      <w:r>
        <w:t>to</w:t>
      </w:r>
      <w:r>
        <w:rPr>
          <w:spacing w:val="-14"/>
        </w:rPr>
        <w:t xml:space="preserve"> </w:t>
      </w:r>
      <w:r>
        <w:t>move.</w:t>
      </w:r>
      <w:r>
        <w:rPr>
          <w:spacing w:val="-19"/>
        </w:rPr>
        <w:t xml:space="preserve"> </w:t>
      </w:r>
      <w:r>
        <w:t>At</w:t>
      </w:r>
      <w:r>
        <w:rPr>
          <w:spacing w:val="-14"/>
        </w:rPr>
        <w:t xml:space="preserve"> </w:t>
      </w:r>
      <w:r>
        <w:t>the</w:t>
      </w:r>
      <w:r>
        <w:rPr>
          <w:spacing w:val="-14"/>
        </w:rPr>
        <w:t xml:space="preserve"> </w:t>
      </w:r>
      <w:r>
        <w:t>same</w:t>
      </w:r>
      <w:r>
        <w:rPr>
          <w:spacing w:val="-14"/>
        </w:rPr>
        <w:t xml:space="preserve"> </w:t>
      </w:r>
      <w:r>
        <w:t>time,</w:t>
      </w:r>
      <w:r>
        <w:rPr>
          <w:spacing w:val="-14"/>
        </w:rPr>
        <w:t xml:space="preserve"> </w:t>
      </w:r>
      <w:r>
        <w:t>y</w:t>
      </w:r>
      <w:r>
        <w:rPr>
          <w:spacing w:val="-14"/>
        </w:rPr>
        <w:t xml:space="preserve"> </w:t>
      </w:r>
      <w:r>
        <w:t>collides</w:t>
      </w:r>
      <w:r>
        <w:rPr>
          <w:spacing w:val="-14"/>
        </w:rPr>
        <w:t xml:space="preserve"> </w:t>
      </w:r>
      <w:r>
        <w:t>with</w:t>
      </w:r>
      <w:r>
        <w:rPr>
          <w:spacing w:val="-14"/>
        </w:rPr>
        <w:t xml:space="preserve"> </w:t>
      </w:r>
      <w:r>
        <w:t>a</w:t>
      </w:r>
      <w:r>
        <w:rPr>
          <w:spacing w:val="-14"/>
        </w:rPr>
        <w:t xml:space="preserve"> </w:t>
      </w:r>
      <w:r>
        <w:t>red</w:t>
      </w:r>
      <w:r>
        <w:rPr>
          <w:spacing w:val="-14"/>
        </w:rPr>
        <w:t xml:space="preserve"> </w:t>
      </w:r>
      <w:r>
        <w:t>billiard ball</w:t>
      </w:r>
      <w:r>
        <w:rPr>
          <w:spacing w:val="-6"/>
        </w:rPr>
        <w:t xml:space="preserve"> </w:t>
      </w:r>
      <w:r>
        <w:t>and</w:t>
      </w:r>
      <w:r>
        <w:rPr>
          <w:spacing w:val="-4"/>
        </w:rPr>
        <w:t xml:space="preserve"> </w:t>
      </w:r>
      <w:r>
        <w:t>causes</w:t>
      </w:r>
      <w:r>
        <w:rPr>
          <w:spacing w:val="-4"/>
        </w:rPr>
        <w:t xml:space="preserve"> </w:t>
      </w:r>
      <w:r>
        <w:t>that</w:t>
      </w:r>
      <w:r>
        <w:rPr>
          <w:spacing w:val="-6"/>
        </w:rPr>
        <w:t xml:space="preserve"> </w:t>
      </w:r>
      <w:r>
        <w:t>billiard</w:t>
      </w:r>
      <w:r>
        <w:rPr>
          <w:spacing w:val="-4"/>
        </w:rPr>
        <w:t xml:space="preserve"> </w:t>
      </w:r>
      <w:r>
        <w:t>ball</w:t>
      </w:r>
      <w:r>
        <w:rPr>
          <w:spacing w:val="-6"/>
        </w:rPr>
        <w:t xml:space="preserve"> </w:t>
      </w:r>
      <w:r>
        <w:t>to</w:t>
      </w:r>
      <w:r>
        <w:rPr>
          <w:spacing w:val="-4"/>
        </w:rPr>
        <w:t xml:space="preserve"> </w:t>
      </w:r>
      <w:r>
        <w:t>move.</w:t>
      </w:r>
    </w:p>
    <w:p w14:paraId="7E0015F5" w14:textId="77777777" w:rsidR="009A58DB" w:rsidRDefault="00000000">
      <w:pPr>
        <w:pStyle w:val="BodyText"/>
        <w:spacing w:before="5"/>
        <w:ind w:left="720"/>
      </w:pPr>
      <w:r>
        <w:t>It’s</w:t>
      </w:r>
      <w:r>
        <w:rPr>
          <w:spacing w:val="6"/>
        </w:rPr>
        <w:t xml:space="preserve"> </w:t>
      </w:r>
      <w:r>
        <w:t>clear</w:t>
      </w:r>
      <w:r>
        <w:rPr>
          <w:spacing w:val="9"/>
        </w:rPr>
        <w:t xml:space="preserve"> </w:t>
      </w:r>
      <w:r>
        <w:t>that</w:t>
      </w:r>
      <w:r>
        <w:rPr>
          <w:spacing w:val="10"/>
        </w:rPr>
        <w:t xml:space="preserve"> </w:t>
      </w:r>
      <w:r>
        <w:t>the</w:t>
      </w:r>
      <w:r>
        <w:rPr>
          <w:spacing w:val="-19"/>
        </w:rPr>
        <w:t xml:space="preserve"> </w:t>
      </w:r>
      <w:r>
        <w:rPr>
          <w:i/>
        </w:rPr>
        <w:t>effects</w:t>
      </w:r>
      <w:r>
        <w:rPr>
          <w:i/>
          <w:spacing w:val="-19"/>
        </w:rPr>
        <w:t xml:space="preserve"> </w:t>
      </w:r>
      <w:r>
        <w:t>of</w:t>
      </w:r>
      <w:r>
        <w:rPr>
          <w:spacing w:val="5"/>
        </w:rPr>
        <w:t xml:space="preserve"> </w:t>
      </w:r>
      <w:r>
        <w:t>the</w:t>
      </w:r>
      <w:r>
        <w:rPr>
          <w:spacing w:val="5"/>
        </w:rPr>
        <w:t xml:space="preserve"> </w:t>
      </w:r>
      <w:r>
        <w:t>one</w:t>
      </w:r>
      <w:r>
        <w:rPr>
          <w:spacing w:val="6"/>
        </w:rPr>
        <w:t xml:space="preserve"> </w:t>
      </w:r>
      <w:r>
        <w:t>collision</w:t>
      </w:r>
      <w:r>
        <w:rPr>
          <w:spacing w:val="6"/>
        </w:rPr>
        <w:t xml:space="preserve"> </w:t>
      </w:r>
      <w:r>
        <w:t>are</w:t>
      </w:r>
      <w:r>
        <w:rPr>
          <w:spacing w:val="5"/>
        </w:rPr>
        <w:t xml:space="preserve"> </w:t>
      </w:r>
      <w:r>
        <w:t>different</w:t>
      </w:r>
      <w:r>
        <w:rPr>
          <w:spacing w:val="5"/>
        </w:rPr>
        <w:t xml:space="preserve"> </w:t>
      </w:r>
      <w:r>
        <w:t>from</w:t>
      </w:r>
      <w:r>
        <w:rPr>
          <w:spacing w:val="5"/>
        </w:rPr>
        <w:t xml:space="preserve"> </w:t>
      </w:r>
      <w:r>
        <w:t>those</w:t>
      </w:r>
      <w:r>
        <w:rPr>
          <w:spacing w:val="6"/>
        </w:rPr>
        <w:t xml:space="preserve"> </w:t>
      </w:r>
      <w:r>
        <w:t>of</w:t>
      </w:r>
      <w:r>
        <w:rPr>
          <w:spacing w:val="5"/>
        </w:rPr>
        <w:t xml:space="preserve"> </w:t>
      </w:r>
      <w:r>
        <w:rPr>
          <w:spacing w:val="-5"/>
        </w:rPr>
        <w:t>the</w:t>
      </w:r>
    </w:p>
    <w:p w14:paraId="7E0015F6" w14:textId="77777777" w:rsidR="009A58DB" w:rsidRDefault="009A58DB">
      <w:pPr>
        <w:pStyle w:val="BodyText"/>
        <w:sectPr w:rsidR="009A58DB">
          <w:pgSz w:w="12240" w:h="15840"/>
          <w:pgMar w:top="1380" w:right="1080" w:bottom="280" w:left="1080" w:header="720" w:footer="720" w:gutter="0"/>
          <w:cols w:space="720"/>
        </w:sectPr>
      </w:pPr>
    </w:p>
    <w:p w14:paraId="7E0015F7" w14:textId="77777777" w:rsidR="009A58DB" w:rsidRDefault="00000000">
      <w:pPr>
        <w:pStyle w:val="BodyText"/>
        <w:spacing w:before="70" w:line="249" w:lineRule="auto"/>
        <w:ind w:right="359"/>
      </w:pPr>
      <w:r>
        <w:lastRenderedPageBreak/>
        <w:t>other.</w:t>
      </w:r>
      <w:r>
        <w:rPr>
          <w:spacing w:val="-9"/>
        </w:rPr>
        <w:t xml:space="preserve"> </w:t>
      </w:r>
      <w:r>
        <w:t>In</w:t>
      </w:r>
      <w:r>
        <w:rPr>
          <w:spacing w:val="-9"/>
        </w:rPr>
        <w:t xml:space="preserve"> </w:t>
      </w:r>
      <w:r>
        <w:t>the</w:t>
      </w:r>
      <w:r>
        <w:rPr>
          <w:spacing w:val="-9"/>
        </w:rPr>
        <w:t xml:space="preserve"> </w:t>
      </w:r>
      <w:r>
        <w:t>one</w:t>
      </w:r>
      <w:r>
        <w:rPr>
          <w:spacing w:val="-9"/>
        </w:rPr>
        <w:t xml:space="preserve"> </w:t>
      </w:r>
      <w:r>
        <w:t>case,</w:t>
      </w:r>
      <w:r>
        <w:rPr>
          <w:spacing w:val="-9"/>
        </w:rPr>
        <w:t xml:space="preserve"> </w:t>
      </w:r>
      <w:r>
        <w:t>the</w:t>
      </w:r>
      <w:r>
        <w:rPr>
          <w:spacing w:val="-9"/>
        </w:rPr>
        <w:t xml:space="preserve"> </w:t>
      </w:r>
      <w:r>
        <w:t>effect</w:t>
      </w:r>
      <w:r>
        <w:rPr>
          <w:spacing w:val="-10"/>
        </w:rPr>
        <w:t xml:space="preserve"> </w:t>
      </w:r>
      <w:r>
        <w:t>is</w:t>
      </w:r>
      <w:r>
        <w:rPr>
          <w:spacing w:val="-9"/>
        </w:rPr>
        <w:t xml:space="preserve"> </w:t>
      </w:r>
      <w:r>
        <w:t>to</w:t>
      </w:r>
      <w:r>
        <w:rPr>
          <w:spacing w:val="-9"/>
        </w:rPr>
        <w:t xml:space="preserve"> </w:t>
      </w:r>
      <w:r>
        <w:t>make</w:t>
      </w:r>
      <w:r>
        <w:rPr>
          <w:spacing w:val="-9"/>
        </w:rPr>
        <w:t xml:space="preserve"> </w:t>
      </w:r>
      <w:r>
        <w:t>a</w:t>
      </w:r>
      <w:r>
        <w:rPr>
          <w:spacing w:val="-9"/>
        </w:rPr>
        <w:t xml:space="preserve"> </w:t>
      </w:r>
      <w:r>
        <w:t>green</w:t>
      </w:r>
      <w:r>
        <w:rPr>
          <w:spacing w:val="-9"/>
        </w:rPr>
        <w:t xml:space="preserve"> </w:t>
      </w:r>
      <w:r>
        <w:t>ball</w:t>
      </w:r>
      <w:r>
        <w:rPr>
          <w:spacing w:val="-9"/>
        </w:rPr>
        <w:t xml:space="preserve"> </w:t>
      </w:r>
      <w:r>
        <w:t>move;</w:t>
      </w:r>
      <w:r>
        <w:rPr>
          <w:spacing w:val="-9"/>
        </w:rPr>
        <w:t xml:space="preserve"> </w:t>
      </w:r>
      <w:r>
        <w:t>in</w:t>
      </w:r>
      <w:r>
        <w:rPr>
          <w:spacing w:val="-9"/>
        </w:rPr>
        <w:t xml:space="preserve"> </w:t>
      </w:r>
      <w:r>
        <w:t>the</w:t>
      </w:r>
      <w:r>
        <w:rPr>
          <w:spacing w:val="-9"/>
        </w:rPr>
        <w:t xml:space="preserve"> </w:t>
      </w:r>
      <w:r>
        <w:t>other,</w:t>
      </w:r>
      <w:r>
        <w:rPr>
          <w:spacing w:val="-9"/>
        </w:rPr>
        <w:t xml:space="preserve"> </w:t>
      </w:r>
      <w:r>
        <w:t>it</w:t>
      </w:r>
      <w:r>
        <w:rPr>
          <w:spacing w:val="-9"/>
        </w:rPr>
        <w:t xml:space="preserve"> </w:t>
      </w:r>
      <w:r>
        <w:t>is to</w:t>
      </w:r>
      <w:r>
        <w:rPr>
          <w:spacing w:val="-12"/>
        </w:rPr>
        <w:t xml:space="preserve"> </w:t>
      </w:r>
      <w:r>
        <w:t>make</w:t>
      </w:r>
      <w:r>
        <w:rPr>
          <w:spacing w:val="-12"/>
        </w:rPr>
        <w:t xml:space="preserve"> </w:t>
      </w:r>
      <w:r>
        <w:t>a</w:t>
      </w:r>
      <w:r>
        <w:rPr>
          <w:spacing w:val="-12"/>
        </w:rPr>
        <w:t xml:space="preserve"> </w:t>
      </w:r>
      <w:r>
        <w:t>red</w:t>
      </w:r>
      <w:r>
        <w:rPr>
          <w:spacing w:val="-12"/>
        </w:rPr>
        <w:t xml:space="preserve"> </w:t>
      </w:r>
      <w:r>
        <w:t>ball</w:t>
      </w:r>
      <w:r>
        <w:rPr>
          <w:spacing w:val="-12"/>
        </w:rPr>
        <w:t xml:space="preserve"> </w:t>
      </w:r>
      <w:r>
        <w:t>move.</w:t>
      </w:r>
      <w:r>
        <w:rPr>
          <w:spacing w:val="-11"/>
        </w:rPr>
        <w:t xml:space="preserve"> </w:t>
      </w:r>
      <w:r>
        <w:t>But</w:t>
      </w:r>
      <w:r>
        <w:rPr>
          <w:spacing w:val="-12"/>
        </w:rPr>
        <w:t xml:space="preserve"> </w:t>
      </w:r>
      <w:r>
        <w:t>this</w:t>
      </w:r>
      <w:r>
        <w:rPr>
          <w:spacing w:val="-11"/>
        </w:rPr>
        <w:t xml:space="preserve"> </w:t>
      </w:r>
      <w:r>
        <w:t>doesn’t</w:t>
      </w:r>
      <w:r>
        <w:rPr>
          <w:spacing w:val="-12"/>
        </w:rPr>
        <w:t xml:space="preserve"> </w:t>
      </w:r>
      <w:r>
        <w:t>mean</w:t>
      </w:r>
      <w:r>
        <w:rPr>
          <w:spacing w:val="-11"/>
        </w:rPr>
        <w:t xml:space="preserve"> </w:t>
      </w:r>
      <w:r>
        <w:t>that</w:t>
      </w:r>
      <w:r>
        <w:rPr>
          <w:spacing w:val="-12"/>
        </w:rPr>
        <w:t xml:space="preserve"> </w:t>
      </w:r>
      <w:r>
        <w:t>the</w:t>
      </w:r>
      <w:r>
        <w:rPr>
          <w:spacing w:val="-11"/>
        </w:rPr>
        <w:t xml:space="preserve"> </w:t>
      </w:r>
      <w:r>
        <w:t>two</w:t>
      </w:r>
      <w:r>
        <w:rPr>
          <w:spacing w:val="-11"/>
        </w:rPr>
        <w:t xml:space="preserve"> </w:t>
      </w:r>
      <w:r>
        <w:t>billiard</w:t>
      </w:r>
      <w:r>
        <w:rPr>
          <w:spacing w:val="-11"/>
        </w:rPr>
        <w:t xml:space="preserve"> </w:t>
      </w:r>
      <w:r>
        <w:t>balls</w:t>
      </w:r>
      <w:r>
        <w:rPr>
          <w:spacing w:val="-11"/>
        </w:rPr>
        <w:t xml:space="preserve"> </w:t>
      </w:r>
      <w:r>
        <w:t>differ in their causal properties. It means that a given causal property has different effects in different contexts. Suppose that I’m moderately strong. In some contexts,</w:t>
      </w:r>
      <w:r>
        <w:rPr>
          <w:spacing w:val="-19"/>
        </w:rPr>
        <w:t xml:space="preserve"> </w:t>
      </w:r>
      <w:r>
        <w:t>that</w:t>
      </w:r>
      <w:r>
        <w:rPr>
          <w:spacing w:val="-19"/>
        </w:rPr>
        <w:t xml:space="preserve"> </w:t>
      </w:r>
      <w:r>
        <w:t>will</w:t>
      </w:r>
      <w:r>
        <w:rPr>
          <w:spacing w:val="-19"/>
        </w:rPr>
        <w:t xml:space="preserve"> </w:t>
      </w:r>
      <w:r>
        <w:t>have</w:t>
      </w:r>
      <w:r>
        <w:rPr>
          <w:spacing w:val="-18"/>
        </w:rPr>
        <w:t xml:space="preserve"> </w:t>
      </w:r>
      <w:r>
        <w:t>the</w:t>
      </w:r>
      <w:r>
        <w:rPr>
          <w:spacing w:val="-19"/>
        </w:rPr>
        <w:t xml:space="preserve"> </w:t>
      </w:r>
      <w:r>
        <w:t>effect</w:t>
      </w:r>
      <w:r>
        <w:rPr>
          <w:spacing w:val="-19"/>
        </w:rPr>
        <w:t xml:space="preserve"> </w:t>
      </w:r>
      <w:r>
        <w:t>that</w:t>
      </w:r>
      <w:r>
        <w:rPr>
          <w:spacing w:val="-19"/>
        </w:rPr>
        <w:t xml:space="preserve"> </w:t>
      </w:r>
      <w:r>
        <w:t>I</w:t>
      </w:r>
      <w:r>
        <w:rPr>
          <w:spacing w:val="-18"/>
        </w:rPr>
        <w:t xml:space="preserve"> </w:t>
      </w:r>
      <w:r>
        <w:t>easily</w:t>
      </w:r>
      <w:r>
        <w:rPr>
          <w:spacing w:val="-19"/>
        </w:rPr>
        <w:t xml:space="preserve"> </w:t>
      </w:r>
      <w:r>
        <w:t>lift</w:t>
      </w:r>
      <w:r>
        <w:rPr>
          <w:spacing w:val="-19"/>
        </w:rPr>
        <w:t xml:space="preserve"> </w:t>
      </w:r>
      <w:r>
        <w:t>the</w:t>
      </w:r>
      <w:r>
        <w:rPr>
          <w:spacing w:val="-19"/>
        </w:rPr>
        <w:t xml:space="preserve"> </w:t>
      </w:r>
      <w:r>
        <w:t>barbell</w:t>
      </w:r>
      <w:r>
        <w:rPr>
          <w:spacing w:val="-18"/>
        </w:rPr>
        <w:t xml:space="preserve"> </w:t>
      </w:r>
      <w:r>
        <w:t>I’m</w:t>
      </w:r>
      <w:r>
        <w:rPr>
          <w:spacing w:val="-19"/>
        </w:rPr>
        <w:t xml:space="preserve"> </w:t>
      </w:r>
      <w:r>
        <w:t>trying</w:t>
      </w:r>
      <w:r>
        <w:rPr>
          <w:spacing w:val="-19"/>
        </w:rPr>
        <w:t xml:space="preserve"> </w:t>
      </w:r>
      <w:r>
        <w:t>to</w:t>
      </w:r>
      <w:r>
        <w:rPr>
          <w:spacing w:val="-19"/>
        </w:rPr>
        <w:t xml:space="preserve"> </w:t>
      </w:r>
      <w:r>
        <w:t>bench press.</w:t>
      </w:r>
      <w:r>
        <w:rPr>
          <w:spacing w:val="-15"/>
        </w:rPr>
        <w:t xml:space="preserve"> </w:t>
      </w:r>
      <w:r>
        <w:t>(Such</w:t>
      </w:r>
      <w:r>
        <w:rPr>
          <w:spacing w:val="-15"/>
        </w:rPr>
        <w:t xml:space="preserve"> </w:t>
      </w:r>
      <w:r>
        <w:t>contexts</w:t>
      </w:r>
      <w:r>
        <w:rPr>
          <w:spacing w:val="-15"/>
        </w:rPr>
        <w:t xml:space="preserve"> </w:t>
      </w:r>
      <w:r>
        <w:t>include</w:t>
      </w:r>
      <w:r>
        <w:rPr>
          <w:spacing w:val="-15"/>
        </w:rPr>
        <w:t xml:space="preserve"> </w:t>
      </w:r>
      <w:r>
        <w:t>those</w:t>
      </w:r>
      <w:r>
        <w:rPr>
          <w:spacing w:val="-15"/>
        </w:rPr>
        <w:t xml:space="preserve"> </w:t>
      </w:r>
      <w:r>
        <w:t>where</w:t>
      </w:r>
      <w:r>
        <w:rPr>
          <w:spacing w:val="-15"/>
        </w:rPr>
        <w:t xml:space="preserve"> </w:t>
      </w:r>
      <w:r>
        <w:t>the</w:t>
      </w:r>
      <w:r>
        <w:rPr>
          <w:spacing w:val="-15"/>
        </w:rPr>
        <w:t xml:space="preserve"> </w:t>
      </w:r>
      <w:r>
        <w:t>barbell</w:t>
      </w:r>
      <w:r>
        <w:rPr>
          <w:spacing w:val="-15"/>
        </w:rPr>
        <w:t xml:space="preserve"> </w:t>
      </w:r>
      <w:r>
        <w:t>weighs</w:t>
      </w:r>
      <w:r>
        <w:rPr>
          <w:spacing w:val="-15"/>
        </w:rPr>
        <w:t xml:space="preserve"> </w:t>
      </w:r>
      <w:r>
        <w:t>under</w:t>
      </w:r>
      <w:r>
        <w:rPr>
          <w:spacing w:val="-15"/>
        </w:rPr>
        <w:t xml:space="preserve"> </w:t>
      </w:r>
      <w:r>
        <w:t>100</w:t>
      </w:r>
      <w:r>
        <w:rPr>
          <w:spacing w:val="-15"/>
        </w:rPr>
        <w:t xml:space="preserve"> </w:t>
      </w:r>
      <w:r>
        <w:t>lbs.)</w:t>
      </w:r>
      <w:r>
        <w:rPr>
          <w:spacing w:val="-15"/>
        </w:rPr>
        <w:t xml:space="preserve"> </w:t>
      </w:r>
      <w:r>
        <w:t xml:space="preserve">In </w:t>
      </w:r>
      <w:r>
        <w:rPr>
          <w:spacing w:val="-2"/>
        </w:rPr>
        <w:t>other</w:t>
      </w:r>
      <w:r>
        <w:rPr>
          <w:spacing w:val="-14"/>
        </w:rPr>
        <w:t xml:space="preserve"> </w:t>
      </w:r>
      <w:r>
        <w:rPr>
          <w:spacing w:val="-2"/>
        </w:rPr>
        <w:t>contexts,</w:t>
      </w:r>
      <w:r>
        <w:rPr>
          <w:spacing w:val="-14"/>
        </w:rPr>
        <w:t xml:space="preserve"> </w:t>
      </w:r>
      <w:r>
        <w:rPr>
          <w:spacing w:val="-2"/>
        </w:rPr>
        <w:t>that</w:t>
      </w:r>
      <w:r>
        <w:rPr>
          <w:spacing w:val="-15"/>
        </w:rPr>
        <w:t xml:space="preserve"> </w:t>
      </w:r>
      <w:r>
        <w:rPr>
          <w:spacing w:val="-2"/>
        </w:rPr>
        <w:t>will</w:t>
      </w:r>
      <w:r>
        <w:rPr>
          <w:spacing w:val="-15"/>
        </w:rPr>
        <w:t xml:space="preserve"> </w:t>
      </w:r>
      <w:r>
        <w:rPr>
          <w:spacing w:val="-2"/>
        </w:rPr>
        <w:t>have</w:t>
      </w:r>
      <w:r>
        <w:rPr>
          <w:spacing w:val="-14"/>
        </w:rPr>
        <w:t xml:space="preserve"> </w:t>
      </w:r>
      <w:r>
        <w:rPr>
          <w:spacing w:val="-2"/>
        </w:rPr>
        <w:t>the</w:t>
      </w:r>
      <w:r>
        <w:rPr>
          <w:spacing w:val="-14"/>
        </w:rPr>
        <w:t xml:space="preserve"> </w:t>
      </w:r>
      <w:r>
        <w:rPr>
          <w:spacing w:val="-2"/>
        </w:rPr>
        <w:t>effect</w:t>
      </w:r>
      <w:r>
        <w:rPr>
          <w:spacing w:val="-14"/>
        </w:rPr>
        <w:t xml:space="preserve"> </w:t>
      </w:r>
      <w:r>
        <w:rPr>
          <w:spacing w:val="-2"/>
        </w:rPr>
        <w:t>that</w:t>
      </w:r>
      <w:r>
        <w:rPr>
          <w:spacing w:val="-14"/>
        </w:rPr>
        <w:t xml:space="preserve"> </w:t>
      </w:r>
      <w:r>
        <w:rPr>
          <w:spacing w:val="-2"/>
        </w:rPr>
        <w:t>I</w:t>
      </w:r>
      <w:r>
        <w:rPr>
          <w:spacing w:val="-14"/>
        </w:rPr>
        <w:t xml:space="preserve"> </w:t>
      </w:r>
      <w:r>
        <w:rPr>
          <w:spacing w:val="-2"/>
        </w:rPr>
        <w:t>can</w:t>
      </w:r>
      <w:r>
        <w:rPr>
          <w:spacing w:val="-14"/>
        </w:rPr>
        <w:t xml:space="preserve"> </w:t>
      </w:r>
      <w:r>
        <w:rPr>
          <w:spacing w:val="-2"/>
        </w:rPr>
        <w:t>barely</w:t>
      </w:r>
      <w:r>
        <w:rPr>
          <w:spacing w:val="-14"/>
        </w:rPr>
        <w:t xml:space="preserve"> </w:t>
      </w:r>
      <w:r>
        <w:rPr>
          <w:spacing w:val="-2"/>
        </w:rPr>
        <w:t>make</w:t>
      </w:r>
      <w:r>
        <w:rPr>
          <w:spacing w:val="-14"/>
        </w:rPr>
        <w:t xml:space="preserve"> </w:t>
      </w:r>
      <w:r>
        <w:rPr>
          <w:spacing w:val="-2"/>
        </w:rPr>
        <w:t>the</w:t>
      </w:r>
      <w:r>
        <w:rPr>
          <w:spacing w:val="-14"/>
        </w:rPr>
        <w:t xml:space="preserve"> </w:t>
      </w:r>
      <w:r>
        <w:rPr>
          <w:spacing w:val="-2"/>
        </w:rPr>
        <w:t>barbell</w:t>
      </w:r>
      <w:r>
        <w:rPr>
          <w:spacing w:val="-14"/>
        </w:rPr>
        <w:t xml:space="preserve"> </w:t>
      </w:r>
      <w:r>
        <w:rPr>
          <w:spacing w:val="-2"/>
        </w:rPr>
        <w:t xml:space="preserve">budge. </w:t>
      </w:r>
      <w:r>
        <w:t>(Such</w:t>
      </w:r>
      <w:r>
        <w:rPr>
          <w:spacing w:val="-14"/>
        </w:rPr>
        <w:t xml:space="preserve"> </w:t>
      </w:r>
      <w:r>
        <w:t>contexts</w:t>
      </w:r>
      <w:r>
        <w:rPr>
          <w:spacing w:val="-14"/>
        </w:rPr>
        <w:t xml:space="preserve"> </w:t>
      </w:r>
      <w:r>
        <w:t>include</w:t>
      </w:r>
      <w:r>
        <w:rPr>
          <w:spacing w:val="-14"/>
        </w:rPr>
        <w:t xml:space="preserve"> </w:t>
      </w:r>
      <w:r>
        <w:t>those</w:t>
      </w:r>
      <w:r>
        <w:rPr>
          <w:spacing w:val="-14"/>
        </w:rPr>
        <w:t xml:space="preserve"> </w:t>
      </w:r>
      <w:r>
        <w:t>where</w:t>
      </w:r>
      <w:r>
        <w:rPr>
          <w:spacing w:val="-14"/>
        </w:rPr>
        <w:t xml:space="preserve"> </w:t>
      </w:r>
      <w:r>
        <w:t>the</w:t>
      </w:r>
      <w:r>
        <w:rPr>
          <w:spacing w:val="-14"/>
        </w:rPr>
        <w:t xml:space="preserve"> </w:t>
      </w:r>
      <w:r>
        <w:t>barbell</w:t>
      </w:r>
      <w:r>
        <w:rPr>
          <w:spacing w:val="-15"/>
        </w:rPr>
        <w:t xml:space="preserve"> </w:t>
      </w:r>
      <w:r>
        <w:t>weighs</w:t>
      </w:r>
      <w:r>
        <w:rPr>
          <w:spacing w:val="-14"/>
        </w:rPr>
        <w:t xml:space="preserve"> </w:t>
      </w:r>
      <w:r>
        <w:t>over</w:t>
      </w:r>
      <w:r>
        <w:rPr>
          <w:spacing w:val="-15"/>
        </w:rPr>
        <w:t xml:space="preserve"> </w:t>
      </w:r>
      <w:r>
        <w:t>350</w:t>
      </w:r>
      <w:r>
        <w:rPr>
          <w:spacing w:val="-14"/>
        </w:rPr>
        <w:t xml:space="preserve"> </w:t>
      </w:r>
      <w:r>
        <w:t>lbs.).</w:t>
      </w:r>
    </w:p>
    <w:p w14:paraId="7E0015F8" w14:textId="77777777" w:rsidR="009A58DB" w:rsidRDefault="00000000">
      <w:pPr>
        <w:pStyle w:val="BodyText"/>
        <w:spacing w:before="4" w:line="249" w:lineRule="auto"/>
        <w:ind w:right="359" w:firstLine="360"/>
      </w:pPr>
      <w:r>
        <w:t xml:space="preserve">But, assuming that my level of strength hasn’t changed in the intervening time period, the difference between a situation where I’m trying to lift 50 lbs and one where I’m trying to lift 350 lbs isn’t that my causal properties have changed; it’s that one and the same set of causal properties are sufficient for </w:t>
      </w:r>
      <w:r>
        <w:rPr>
          <w:spacing w:val="-2"/>
        </w:rPr>
        <w:t>certain</w:t>
      </w:r>
      <w:r>
        <w:rPr>
          <w:spacing w:val="-14"/>
        </w:rPr>
        <w:t xml:space="preserve"> </w:t>
      </w:r>
      <w:r>
        <w:rPr>
          <w:spacing w:val="-2"/>
        </w:rPr>
        <w:t>jobs</w:t>
      </w:r>
      <w:r>
        <w:rPr>
          <w:spacing w:val="-11"/>
        </w:rPr>
        <w:t xml:space="preserve"> </w:t>
      </w:r>
      <w:r>
        <w:rPr>
          <w:spacing w:val="-2"/>
        </w:rPr>
        <w:t>but</w:t>
      </w:r>
      <w:r>
        <w:rPr>
          <w:spacing w:val="-11"/>
        </w:rPr>
        <w:t xml:space="preserve"> </w:t>
      </w:r>
      <w:r>
        <w:rPr>
          <w:spacing w:val="-2"/>
        </w:rPr>
        <w:t>insufficient</w:t>
      </w:r>
      <w:r>
        <w:rPr>
          <w:spacing w:val="-11"/>
        </w:rPr>
        <w:t xml:space="preserve"> </w:t>
      </w:r>
      <w:r>
        <w:rPr>
          <w:spacing w:val="-2"/>
        </w:rPr>
        <w:t>for</w:t>
      </w:r>
      <w:r>
        <w:rPr>
          <w:spacing w:val="-11"/>
        </w:rPr>
        <w:t xml:space="preserve"> </w:t>
      </w:r>
      <w:r>
        <w:rPr>
          <w:spacing w:val="-2"/>
        </w:rPr>
        <w:t>others.</w:t>
      </w:r>
      <w:r>
        <w:rPr>
          <w:spacing w:val="-17"/>
        </w:rPr>
        <w:t xml:space="preserve"> </w:t>
      </w:r>
      <w:r>
        <w:rPr>
          <w:spacing w:val="-2"/>
        </w:rPr>
        <w:t>You</w:t>
      </w:r>
      <w:r>
        <w:rPr>
          <w:spacing w:val="-11"/>
        </w:rPr>
        <w:t xml:space="preserve"> </w:t>
      </w:r>
      <w:r>
        <w:rPr>
          <w:spacing w:val="-2"/>
        </w:rPr>
        <w:t>can’t</w:t>
      </w:r>
      <w:r>
        <w:rPr>
          <w:spacing w:val="-11"/>
        </w:rPr>
        <w:t xml:space="preserve"> </w:t>
      </w:r>
      <w:r>
        <w:rPr>
          <w:spacing w:val="-2"/>
        </w:rPr>
        <w:t>make</w:t>
      </w:r>
      <w:r>
        <w:rPr>
          <w:spacing w:val="-11"/>
        </w:rPr>
        <w:t xml:space="preserve"> </w:t>
      </w:r>
      <w:r>
        <w:rPr>
          <w:spacing w:val="-2"/>
        </w:rPr>
        <w:t>a</w:t>
      </w:r>
      <w:r>
        <w:rPr>
          <w:spacing w:val="-11"/>
        </w:rPr>
        <w:t xml:space="preserve"> </w:t>
      </w:r>
      <w:r>
        <w:rPr>
          <w:spacing w:val="-2"/>
        </w:rPr>
        <w:t>rocket</w:t>
      </w:r>
      <w:r>
        <w:rPr>
          <w:spacing w:val="-11"/>
        </w:rPr>
        <w:t xml:space="preserve"> </w:t>
      </w:r>
      <w:r>
        <w:rPr>
          <w:spacing w:val="-2"/>
        </w:rPr>
        <w:t>out</w:t>
      </w:r>
      <w:r>
        <w:rPr>
          <w:spacing w:val="-11"/>
        </w:rPr>
        <w:t xml:space="preserve"> </w:t>
      </w:r>
      <w:r>
        <w:rPr>
          <w:spacing w:val="-2"/>
        </w:rPr>
        <w:t>of</w:t>
      </w:r>
      <w:r>
        <w:rPr>
          <w:spacing w:val="-11"/>
        </w:rPr>
        <w:t xml:space="preserve"> </w:t>
      </w:r>
      <w:r>
        <w:rPr>
          <w:spacing w:val="-2"/>
        </w:rPr>
        <w:t xml:space="preserve">plywood. </w:t>
      </w:r>
      <w:r>
        <w:t>But you can make a birdhouse out of plywood. That doesn’t mean that the causal</w:t>
      </w:r>
      <w:r>
        <w:rPr>
          <w:spacing w:val="-11"/>
        </w:rPr>
        <w:t xml:space="preserve"> </w:t>
      </w:r>
      <w:r>
        <w:t>properties</w:t>
      </w:r>
      <w:r>
        <w:rPr>
          <w:spacing w:val="-11"/>
        </w:rPr>
        <w:t xml:space="preserve"> </w:t>
      </w:r>
      <w:r>
        <w:t>of</w:t>
      </w:r>
      <w:r>
        <w:rPr>
          <w:spacing w:val="-11"/>
        </w:rPr>
        <w:t xml:space="preserve"> </w:t>
      </w:r>
      <w:r>
        <w:t>plywood</w:t>
      </w:r>
      <w:r>
        <w:rPr>
          <w:spacing w:val="-11"/>
        </w:rPr>
        <w:t xml:space="preserve"> </w:t>
      </w:r>
      <w:r>
        <w:t>vary,</w:t>
      </w:r>
      <w:r>
        <w:rPr>
          <w:spacing w:val="-11"/>
        </w:rPr>
        <w:t xml:space="preserve"> </w:t>
      </w:r>
      <w:r>
        <w:t>depending</w:t>
      </w:r>
      <w:r>
        <w:rPr>
          <w:spacing w:val="-11"/>
        </w:rPr>
        <w:t xml:space="preserve"> </w:t>
      </w:r>
      <w:r>
        <w:t>on</w:t>
      </w:r>
      <w:r>
        <w:rPr>
          <w:spacing w:val="-10"/>
        </w:rPr>
        <w:t xml:space="preserve"> </w:t>
      </w:r>
      <w:r>
        <w:t>whether</w:t>
      </w:r>
      <w:r>
        <w:rPr>
          <w:spacing w:val="-10"/>
        </w:rPr>
        <w:t xml:space="preserve"> </w:t>
      </w:r>
      <w:r>
        <w:t>they’re</w:t>
      </w:r>
      <w:r>
        <w:rPr>
          <w:spacing w:val="-10"/>
        </w:rPr>
        <w:t xml:space="preserve"> </w:t>
      </w:r>
      <w:r>
        <w:t>composing</w:t>
      </w:r>
      <w:r>
        <w:rPr>
          <w:spacing w:val="-10"/>
        </w:rPr>
        <w:t xml:space="preserve"> </w:t>
      </w:r>
      <w:r>
        <w:t xml:space="preserve">a </w:t>
      </w:r>
      <w:r>
        <w:rPr>
          <w:spacing w:val="-2"/>
        </w:rPr>
        <w:t>rocket</w:t>
      </w:r>
      <w:r>
        <w:rPr>
          <w:spacing w:val="-17"/>
        </w:rPr>
        <w:t xml:space="preserve"> </w:t>
      </w:r>
      <w:r>
        <w:rPr>
          <w:spacing w:val="-2"/>
        </w:rPr>
        <w:t>or</w:t>
      </w:r>
      <w:r>
        <w:rPr>
          <w:spacing w:val="-17"/>
        </w:rPr>
        <w:t xml:space="preserve"> </w:t>
      </w:r>
      <w:r>
        <w:rPr>
          <w:spacing w:val="-2"/>
        </w:rPr>
        <w:t>a</w:t>
      </w:r>
      <w:r>
        <w:rPr>
          <w:spacing w:val="-17"/>
        </w:rPr>
        <w:t xml:space="preserve"> </w:t>
      </w:r>
      <w:r>
        <w:rPr>
          <w:spacing w:val="-2"/>
        </w:rPr>
        <w:t>birdhouse.</w:t>
      </w:r>
      <w:r>
        <w:rPr>
          <w:spacing w:val="-16"/>
        </w:rPr>
        <w:t xml:space="preserve"> </w:t>
      </w:r>
      <w:r>
        <w:rPr>
          <w:spacing w:val="-2"/>
        </w:rPr>
        <w:t>It</w:t>
      </w:r>
      <w:r>
        <w:rPr>
          <w:spacing w:val="-17"/>
        </w:rPr>
        <w:t xml:space="preserve"> </w:t>
      </w:r>
      <w:r>
        <w:rPr>
          <w:spacing w:val="-2"/>
        </w:rPr>
        <w:t>means</w:t>
      </w:r>
      <w:r>
        <w:rPr>
          <w:spacing w:val="-17"/>
        </w:rPr>
        <w:t xml:space="preserve"> </w:t>
      </w:r>
      <w:r>
        <w:rPr>
          <w:spacing w:val="-2"/>
        </w:rPr>
        <w:t>that</w:t>
      </w:r>
      <w:r>
        <w:rPr>
          <w:spacing w:val="-17"/>
        </w:rPr>
        <w:t xml:space="preserve"> </w:t>
      </w:r>
      <w:r>
        <w:rPr>
          <w:spacing w:val="-2"/>
        </w:rPr>
        <w:t>those</w:t>
      </w:r>
      <w:r>
        <w:rPr>
          <w:spacing w:val="-16"/>
        </w:rPr>
        <w:t xml:space="preserve"> </w:t>
      </w:r>
      <w:r>
        <w:rPr>
          <w:spacing w:val="-2"/>
        </w:rPr>
        <w:t>causal</w:t>
      </w:r>
      <w:r>
        <w:rPr>
          <w:spacing w:val="-17"/>
        </w:rPr>
        <w:t xml:space="preserve"> </w:t>
      </w:r>
      <w:r>
        <w:rPr>
          <w:spacing w:val="-2"/>
        </w:rPr>
        <w:t>properties,</w:t>
      </w:r>
      <w:r>
        <w:rPr>
          <w:spacing w:val="-17"/>
        </w:rPr>
        <w:t xml:space="preserve"> </w:t>
      </w:r>
      <w:r>
        <w:rPr>
          <w:spacing w:val="-2"/>
        </w:rPr>
        <w:t>though</w:t>
      </w:r>
      <w:r>
        <w:rPr>
          <w:spacing w:val="-17"/>
        </w:rPr>
        <w:t xml:space="preserve"> </w:t>
      </w:r>
      <w:r>
        <w:rPr>
          <w:spacing w:val="-2"/>
        </w:rPr>
        <w:t>sufficient</w:t>
      </w:r>
      <w:r>
        <w:rPr>
          <w:spacing w:val="-16"/>
        </w:rPr>
        <w:t xml:space="preserve"> </w:t>
      </w:r>
      <w:r>
        <w:rPr>
          <w:spacing w:val="-2"/>
        </w:rPr>
        <w:t xml:space="preserve">for </w:t>
      </w:r>
      <w:r>
        <w:t>certain purposes (e.g., bird-house building) are insufficient for others (e.g., rocket building).</w:t>
      </w:r>
    </w:p>
    <w:p w14:paraId="7E0015F9" w14:textId="77777777" w:rsidR="009A58DB" w:rsidRDefault="00000000">
      <w:pPr>
        <w:pStyle w:val="BodyText"/>
        <w:spacing w:before="13" w:line="249" w:lineRule="auto"/>
        <w:ind w:right="358" w:firstLine="360"/>
      </w:pPr>
      <w:r>
        <w:t>In</w:t>
      </w:r>
      <w:r>
        <w:rPr>
          <w:spacing w:val="-12"/>
        </w:rPr>
        <w:t xml:space="preserve"> </w:t>
      </w:r>
      <w:r>
        <w:t>his</w:t>
      </w:r>
      <w:r>
        <w:rPr>
          <w:spacing w:val="-6"/>
        </w:rPr>
        <w:t xml:space="preserve"> </w:t>
      </w:r>
      <w:r>
        <w:t>landmark</w:t>
      </w:r>
      <w:r>
        <w:rPr>
          <w:spacing w:val="-5"/>
        </w:rPr>
        <w:t xml:space="preserve"> </w:t>
      </w:r>
      <w:r>
        <w:t>work,</w:t>
      </w:r>
      <w:r>
        <w:rPr>
          <w:spacing w:val="-19"/>
        </w:rPr>
        <w:t xml:space="preserve"> </w:t>
      </w:r>
      <w:r>
        <w:rPr>
          <w:i/>
        </w:rPr>
        <w:t>A</w:t>
      </w:r>
      <w:r>
        <w:rPr>
          <w:i/>
          <w:spacing w:val="-10"/>
        </w:rPr>
        <w:t xml:space="preserve"> </w:t>
      </w:r>
      <w:r>
        <w:rPr>
          <w:i/>
        </w:rPr>
        <w:t>system</w:t>
      </w:r>
      <w:r>
        <w:rPr>
          <w:i/>
          <w:spacing w:val="-6"/>
        </w:rPr>
        <w:t xml:space="preserve"> </w:t>
      </w:r>
      <w:r>
        <w:rPr>
          <w:i/>
        </w:rPr>
        <w:t>of</w:t>
      </w:r>
      <w:r>
        <w:rPr>
          <w:i/>
          <w:spacing w:val="-5"/>
        </w:rPr>
        <w:t xml:space="preserve"> </w:t>
      </w:r>
      <w:r>
        <w:rPr>
          <w:i/>
        </w:rPr>
        <w:t>Logic,</w:t>
      </w:r>
      <w:r>
        <w:rPr>
          <w:i/>
          <w:spacing w:val="-19"/>
        </w:rPr>
        <w:t xml:space="preserve"> </w:t>
      </w:r>
      <w:r>
        <w:t>John</w:t>
      </w:r>
      <w:r>
        <w:rPr>
          <w:spacing w:val="-9"/>
        </w:rPr>
        <w:t xml:space="preserve"> </w:t>
      </w:r>
      <w:r>
        <w:t>Stuart</w:t>
      </w:r>
      <w:r>
        <w:rPr>
          <w:spacing w:val="-10"/>
        </w:rPr>
        <w:t xml:space="preserve"> </w:t>
      </w:r>
      <w:r>
        <w:t>Mill</w:t>
      </w:r>
      <w:r>
        <w:rPr>
          <w:spacing w:val="-10"/>
        </w:rPr>
        <w:t xml:space="preserve"> </w:t>
      </w:r>
      <w:r>
        <w:t>made</w:t>
      </w:r>
      <w:r>
        <w:rPr>
          <w:spacing w:val="-9"/>
        </w:rPr>
        <w:t xml:space="preserve"> </w:t>
      </w:r>
      <w:r>
        <w:t>it</w:t>
      </w:r>
      <w:r>
        <w:rPr>
          <w:spacing w:val="-10"/>
        </w:rPr>
        <w:t xml:space="preserve"> </w:t>
      </w:r>
      <w:r>
        <w:t>clear</w:t>
      </w:r>
      <w:r>
        <w:rPr>
          <w:spacing w:val="-10"/>
        </w:rPr>
        <w:t xml:space="preserve"> </w:t>
      </w:r>
      <w:r>
        <w:t>that the just-described criterion of causal identity is presupposed by all experimentation</w:t>
      </w:r>
      <w:r>
        <w:rPr>
          <w:spacing w:val="-14"/>
        </w:rPr>
        <w:t xml:space="preserve"> </w:t>
      </w:r>
      <w:r>
        <w:t>and,</w:t>
      </w:r>
      <w:r>
        <w:rPr>
          <w:spacing w:val="-14"/>
        </w:rPr>
        <w:t xml:space="preserve"> </w:t>
      </w:r>
      <w:r>
        <w:t>setting</w:t>
      </w:r>
      <w:r>
        <w:rPr>
          <w:spacing w:val="-14"/>
        </w:rPr>
        <w:t xml:space="preserve"> </w:t>
      </w:r>
      <w:r>
        <w:t>aside</w:t>
      </w:r>
      <w:r>
        <w:rPr>
          <w:spacing w:val="-14"/>
        </w:rPr>
        <w:t xml:space="preserve"> </w:t>
      </w:r>
      <w:r>
        <w:t>the</w:t>
      </w:r>
      <w:r>
        <w:rPr>
          <w:spacing w:val="-14"/>
        </w:rPr>
        <w:t xml:space="preserve"> </w:t>
      </w:r>
      <w:r>
        <w:t>empirical</w:t>
      </w:r>
      <w:r>
        <w:rPr>
          <w:spacing w:val="-14"/>
        </w:rPr>
        <w:t xml:space="preserve"> </w:t>
      </w:r>
      <w:r>
        <w:t>fact</w:t>
      </w:r>
      <w:r>
        <w:rPr>
          <w:spacing w:val="-14"/>
        </w:rPr>
        <w:t xml:space="preserve"> </w:t>
      </w:r>
      <w:r>
        <w:t>that</w:t>
      </w:r>
      <w:r>
        <w:rPr>
          <w:spacing w:val="-14"/>
        </w:rPr>
        <w:t xml:space="preserve"> </w:t>
      </w:r>
      <w:r>
        <w:t>scientists</w:t>
      </w:r>
      <w:r>
        <w:rPr>
          <w:spacing w:val="-14"/>
        </w:rPr>
        <w:t xml:space="preserve"> </w:t>
      </w:r>
      <w:r>
        <w:t>rely</w:t>
      </w:r>
      <w:r>
        <w:rPr>
          <w:spacing w:val="-14"/>
        </w:rPr>
        <w:t xml:space="preserve"> </w:t>
      </w:r>
      <w:r>
        <w:t>on</w:t>
      </w:r>
      <w:r>
        <w:rPr>
          <w:spacing w:val="-14"/>
        </w:rPr>
        <w:t xml:space="preserve"> </w:t>
      </w:r>
      <w:r>
        <w:t>it,</w:t>
      </w:r>
      <w:r>
        <w:rPr>
          <w:spacing w:val="-14"/>
        </w:rPr>
        <w:t xml:space="preserve"> </w:t>
      </w:r>
      <w:r>
        <w:t>is correct as a matter of logic.</w:t>
      </w:r>
    </w:p>
    <w:p w14:paraId="7E0015FA" w14:textId="77777777" w:rsidR="009A58DB" w:rsidRDefault="00000000">
      <w:pPr>
        <w:pStyle w:val="BodyText"/>
        <w:spacing w:before="5" w:line="249" w:lineRule="auto"/>
        <w:ind w:right="360" w:firstLine="360"/>
      </w:pPr>
      <w:r>
        <w:t>This</w:t>
      </w:r>
      <w:r>
        <w:rPr>
          <w:spacing w:val="-2"/>
        </w:rPr>
        <w:t xml:space="preserve"> </w:t>
      </w:r>
      <w:r>
        <w:t>is</w:t>
      </w:r>
      <w:r>
        <w:rPr>
          <w:spacing w:val="-2"/>
        </w:rPr>
        <w:t xml:space="preserve"> </w:t>
      </w:r>
      <w:r>
        <w:t>not</w:t>
      </w:r>
      <w:r>
        <w:rPr>
          <w:spacing w:val="-2"/>
        </w:rPr>
        <w:t xml:space="preserve"> </w:t>
      </w:r>
      <w:r>
        <w:t>to</w:t>
      </w:r>
      <w:r>
        <w:rPr>
          <w:spacing w:val="-2"/>
        </w:rPr>
        <w:t xml:space="preserve"> </w:t>
      </w:r>
      <w:r>
        <w:t>detract</w:t>
      </w:r>
      <w:r>
        <w:rPr>
          <w:spacing w:val="-2"/>
        </w:rPr>
        <w:t xml:space="preserve"> </w:t>
      </w:r>
      <w:r>
        <w:t>from</w:t>
      </w:r>
      <w:r>
        <w:rPr>
          <w:spacing w:val="-2"/>
        </w:rPr>
        <w:t xml:space="preserve"> </w:t>
      </w:r>
      <w:r>
        <w:t>Fodor’s</w:t>
      </w:r>
      <w:r>
        <w:rPr>
          <w:spacing w:val="-2"/>
        </w:rPr>
        <w:t xml:space="preserve"> </w:t>
      </w:r>
      <w:r>
        <w:t>achievement.</w:t>
      </w:r>
      <w:r>
        <w:rPr>
          <w:spacing w:val="-2"/>
        </w:rPr>
        <w:t xml:space="preserve"> </w:t>
      </w:r>
      <w:r>
        <w:t>Fodor</w:t>
      </w:r>
      <w:r>
        <w:rPr>
          <w:spacing w:val="-2"/>
        </w:rPr>
        <w:t xml:space="preserve"> </w:t>
      </w:r>
      <w:r>
        <w:t>stated</w:t>
      </w:r>
      <w:r>
        <w:rPr>
          <w:spacing w:val="-2"/>
        </w:rPr>
        <w:t xml:space="preserve"> </w:t>
      </w:r>
      <w:r>
        <w:t>that</w:t>
      </w:r>
      <w:r>
        <w:rPr>
          <w:spacing w:val="-2"/>
        </w:rPr>
        <w:t xml:space="preserve"> </w:t>
      </w:r>
      <w:r>
        <w:t>criterion more sharply and clearly than any author that I know of who preceded him. Plus, Fodor deserves credit for seeing the bearing of this principle on Burge’s views.</w:t>
      </w:r>
      <w:r>
        <w:rPr>
          <w:spacing w:val="-8"/>
        </w:rPr>
        <w:t xml:space="preserve"> </w:t>
      </w:r>
      <w:r>
        <w:t>Fodor</w:t>
      </w:r>
      <w:r>
        <w:rPr>
          <w:spacing w:val="-8"/>
        </w:rPr>
        <w:t xml:space="preserve"> </w:t>
      </w:r>
      <w:r>
        <w:t>deserves</w:t>
      </w:r>
      <w:r>
        <w:rPr>
          <w:spacing w:val="-8"/>
        </w:rPr>
        <w:t xml:space="preserve"> </w:t>
      </w:r>
      <w:r>
        <w:t>a</w:t>
      </w:r>
      <w:r>
        <w:rPr>
          <w:spacing w:val="-8"/>
        </w:rPr>
        <w:t xml:space="preserve"> </w:t>
      </w:r>
      <w:r>
        <w:t>lot</w:t>
      </w:r>
      <w:r>
        <w:rPr>
          <w:spacing w:val="-8"/>
        </w:rPr>
        <w:t xml:space="preserve"> </w:t>
      </w:r>
      <w:r>
        <w:t>of</w:t>
      </w:r>
      <w:r>
        <w:rPr>
          <w:spacing w:val="-8"/>
        </w:rPr>
        <w:t xml:space="preserve"> </w:t>
      </w:r>
      <w:r>
        <w:t>credit</w:t>
      </w:r>
      <w:r>
        <w:rPr>
          <w:spacing w:val="-8"/>
        </w:rPr>
        <w:t xml:space="preserve"> </w:t>
      </w:r>
      <w:r>
        <w:t>for</w:t>
      </w:r>
      <w:r>
        <w:rPr>
          <w:spacing w:val="-8"/>
        </w:rPr>
        <w:t xml:space="preserve"> </w:t>
      </w:r>
      <w:r>
        <w:t>many</w:t>
      </w:r>
      <w:r>
        <w:rPr>
          <w:spacing w:val="-8"/>
        </w:rPr>
        <w:t xml:space="preserve"> </w:t>
      </w:r>
      <w:r>
        <w:t>positive</w:t>
      </w:r>
      <w:r>
        <w:rPr>
          <w:spacing w:val="-8"/>
        </w:rPr>
        <w:t xml:space="preserve"> </w:t>
      </w:r>
      <w:r>
        <w:t>developments</w:t>
      </w:r>
      <w:r>
        <w:rPr>
          <w:spacing w:val="-8"/>
        </w:rPr>
        <w:t xml:space="preserve"> </w:t>
      </w:r>
      <w:r>
        <w:t>in</w:t>
      </w:r>
      <w:r>
        <w:rPr>
          <w:spacing w:val="-8"/>
        </w:rPr>
        <w:t xml:space="preserve"> </w:t>
      </w:r>
      <w:r>
        <w:t>recent analytic</w:t>
      </w:r>
      <w:r>
        <w:rPr>
          <w:spacing w:val="-3"/>
        </w:rPr>
        <w:t xml:space="preserve"> </w:t>
      </w:r>
      <w:r>
        <w:t>philosophy,</w:t>
      </w:r>
      <w:r>
        <w:rPr>
          <w:spacing w:val="-3"/>
        </w:rPr>
        <w:t xml:space="preserve"> </w:t>
      </w:r>
      <w:r>
        <w:t>as</w:t>
      </w:r>
      <w:r>
        <w:rPr>
          <w:spacing w:val="-3"/>
        </w:rPr>
        <w:t xml:space="preserve"> </w:t>
      </w:r>
      <w:r>
        <w:t>we’ll</w:t>
      </w:r>
      <w:r>
        <w:rPr>
          <w:spacing w:val="-4"/>
        </w:rPr>
        <w:t xml:space="preserve"> </w:t>
      </w:r>
      <w:r>
        <w:t>see.</w:t>
      </w:r>
    </w:p>
    <w:p w14:paraId="7E0015FB" w14:textId="77777777" w:rsidR="009A58DB" w:rsidRDefault="00000000">
      <w:pPr>
        <w:pStyle w:val="Heading1"/>
        <w:spacing w:before="194"/>
        <w:ind w:left="360" w:firstLine="0"/>
      </w:pPr>
      <w:r>
        <w:t>5.1.2</w:t>
      </w:r>
      <w:r>
        <w:rPr>
          <w:spacing w:val="-5"/>
        </w:rPr>
        <w:t xml:space="preserve"> </w:t>
      </w:r>
      <w:r>
        <w:t>Why</w:t>
      </w:r>
      <w:r>
        <w:rPr>
          <w:spacing w:val="-2"/>
        </w:rPr>
        <w:t xml:space="preserve"> </w:t>
      </w:r>
      <w:r>
        <w:t>thoughts</w:t>
      </w:r>
      <w:r>
        <w:rPr>
          <w:spacing w:val="-3"/>
        </w:rPr>
        <w:t xml:space="preserve"> </w:t>
      </w:r>
      <w:r>
        <w:t>must</w:t>
      </w:r>
      <w:r>
        <w:rPr>
          <w:spacing w:val="-3"/>
        </w:rPr>
        <w:t xml:space="preserve"> </w:t>
      </w:r>
      <w:r>
        <w:t>have</w:t>
      </w:r>
      <w:r>
        <w:rPr>
          <w:spacing w:val="-3"/>
        </w:rPr>
        <w:t xml:space="preserve"> </w:t>
      </w:r>
      <w:r>
        <w:t>causal</w:t>
      </w:r>
      <w:r>
        <w:rPr>
          <w:spacing w:val="-3"/>
        </w:rPr>
        <w:t xml:space="preserve"> </w:t>
      </w:r>
      <w:r>
        <w:rPr>
          <w:spacing w:val="-2"/>
        </w:rPr>
        <w:t>powers</w:t>
      </w:r>
    </w:p>
    <w:p w14:paraId="7E0015FC" w14:textId="77777777" w:rsidR="009A58DB" w:rsidRDefault="00000000">
      <w:pPr>
        <w:pStyle w:val="BodyText"/>
        <w:spacing w:before="139" w:line="249" w:lineRule="auto"/>
        <w:ind w:right="359"/>
      </w:pPr>
      <w:r>
        <w:t>Causality is indistinguishable from spatiotemporal existence. It makes no sense to say that x occupies a certain region of space-time but has no causal properties. This is because occupancy is itself a causal notion. My occupying the</w:t>
      </w:r>
      <w:r>
        <w:rPr>
          <w:spacing w:val="-3"/>
        </w:rPr>
        <w:t xml:space="preserve"> </w:t>
      </w:r>
      <w:r>
        <w:t>chair</w:t>
      </w:r>
      <w:r>
        <w:rPr>
          <w:spacing w:val="-3"/>
        </w:rPr>
        <w:t xml:space="preserve"> </w:t>
      </w:r>
      <w:r>
        <w:t>I’m</w:t>
      </w:r>
      <w:r>
        <w:rPr>
          <w:spacing w:val="-3"/>
        </w:rPr>
        <w:t xml:space="preserve"> </w:t>
      </w:r>
      <w:r>
        <w:t>in</w:t>
      </w:r>
      <w:r>
        <w:rPr>
          <w:spacing w:val="-3"/>
        </w:rPr>
        <w:t xml:space="preserve"> </w:t>
      </w:r>
      <w:r>
        <w:t>is</w:t>
      </w:r>
      <w:r>
        <w:rPr>
          <w:spacing w:val="-3"/>
        </w:rPr>
        <w:t xml:space="preserve"> </w:t>
      </w:r>
      <w:r>
        <w:t>indistinguishable</w:t>
      </w:r>
      <w:r>
        <w:rPr>
          <w:spacing w:val="-3"/>
        </w:rPr>
        <w:t xml:space="preserve"> </w:t>
      </w:r>
      <w:r>
        <w:t>from</w:t>
      </w:r>
      <w:r>
        <w:rPr>
          <w:spacing w:val="-3"/>
        </w:rPr>
        <w:t xml:space="preserve"> </w:t>
      </w:r>
      <w:r>
        <w:t>my</w:t>
      </w:r>
      <w:r>
        <w:rPr>
          <w:spacing w:val="-3"/>
        </w:rPr>
        <w:t xml:space="preserve"> </w:t>
      </w:r>
      <w:r>
        <w:t>altering</w:t>
      </w:r>
      <w:r>
        <w:rPr>
          <w:spacing w:val="-3"/>
        </w:rPr>
        <w:t xml:space="preserve"> </w:t>
      </w:r>
      <w:r>
        <w:t>the</w:t>
      </w:r>
      <w:r>
        <w:rPr>
          <w:spacing w:val="-3"/>
        </w:rPr>
        <w:t xml:space="preserve"> </w:t>
      </w:r>
      <w:r>
        <w:t>conditions</w:t>
      </w:r>
      <w:r>
        <w:rPr>
          <w:spacing w:val="-3"/>
        </w:rPr>
        <w:t xml:space="preserve"> </w:t>
      </w:r>
      <w:r>
        <w:t>that</w:t>
      </w:r>
      <w:r>
        <w:rPr>
          <w:spacing w:val="-3"/>
        </w:rPr>
        <w:t xml:space="preserve"> </w:t>
      </w:r>
      <w:r>
        <w:t>other things (e.g., you) must satisfy if they are to occupy the chair. If I weren’t in the</w:t>
      </w:r>
      <w:r>
        <w:rPr>
          <w:spacing w:val="28"/>
        </w:rPr>
        <w:t xml:space="preserve"> </w:t>
      </w:r>
      <w:r>
        <w:t>chair,</w:t>
      </w:r>
      <w:r>
        <w:rPr>
          <w:spacing w:val="29"/>
        </w:rPr>
        <w:t xml:space="preserve"> </w:t>
      </w:r>
      <w:r>
        <w:t>you</w:t>
      </w:r>
      <w:r>
        <w:rPr>
          <w:spacing w:val="29"/>
        </w:rPr>
        <w:t xml:space="preserve"> </w:t>
      </w:r>
      <w:r>
        <w:t>wouldn’t</w:t>
      </w:r>
      <w:r>
        <w:rPr>
          <w:spacing w:val="29"/>
        </w:rPr>
        <w:t xml:space="preserve"> </w:t>
      </w:r>
      <w:r>
        <w:t>have</w:t>
      </w:r>
      <w:r>
        <w:rPr>
          <w:spacing w:val="29"/>
        </w:rPr>
        <w:t xml:space="preserve"> </w:t>
      </w:r>
      <w:r>
        <w:t>to</w:t>
      </w:r>
      <w:r>
        <w:rPr>
          <w:spacing w:val="29"/>
        </w:rPr>
        <w:t xml:space="preserve"> </w:t>
      </w:r>
      <w:r>
        <w:t>displace</w:t>
      </w:r>
      <w:r>
        <w:rPr>
          <w:spacing w:val="29"/>
        </w:rPr>
        <w:t xml:space="preserve"> </w:t>
      </w:r>
      <w:r>
        <w:t>me</w:t>
      </w:r>
      <w:r>
        <w:rPr>
          <w:spacing w:val="29"/>
        </w:rPr>
        <w:t xml:space="preserve"> </w:t>
      </w:r>
      <w:r>
        <w:t>to</w:t>
      </w:r>
      <w:r>
        <w:rPr>
          <w:spacing w:val="29"/>
        </w:rPr>
        <w:t xml:space="preserve"> </w:t>
      </w:r>
      <w:r>
        <w:t>occupy</w:t>
      </w:r>
      <w:r>
        <w:rPr>
          <w:spacing w:val="29"/>
        </w:rPr>
        <w:t xml:space="preserve"> </w:t>
      </w:r>
      <w:r>
        <w:t>the</w:t>
      </w:r>
      <w:r>
        <w:rPr>
          <w:spacing w:val="29"/>
        </w:rPr>
        <w:t xml:space="preserve"> </w:t>
      </w:r>
      <w:r>
        <w:t>chair;</w:t>
      </w:r>
      <w:r>
        <w:rPr>
          <w:spacing w:val="29"/>
        </w:rPr>
        <w:t xml:space="preserve"> </w:t>
      </w:r>
      <w:r>
        <w:t>and</w:t>
      </w:r>
      <w:r>
        <w:rPr>
          <w:spacing w:val="30"/>
        </w:rPr>
        <w:t xml:space="preserve"> </w:t>
      </w:r>
      <w:r>
        <w:rPr>
          <w:spacing w:val="-2"/>
        </w:rPr>
        <w:t>given</w:t>
      </w:r>
    </w:p>
    <w:p w14:paraId="7E0015F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5FE" w14:textId="77777777" w:rsidR="009A58DB" w:rsidRDefault="00000000">
      <w:pPr>
        <w:pStyle w:val="BodyText"/>
        <w:spacing w:before="60" w:line="249" w:lineRule="auto"/>
        <w:ind w:right="357"/>
      </w:pPr>
      <w:r>
        <w:lastRenderedPageBreak/>
        <w:t xml:space="preserve">that I </w:t>
      </w:r>
      <w:r>
        <w:rPr>
          <w:i/>
        </w:rPr>
        <w:t xml:space="preserve">am </w:t>
      </w:r>
      <w:r>
        <w:t xml:space="preserve">occupying the chair, you </w:t>
      </w:r>
      <w:r>
        <w:rPr>
          <w:i/>
        </w:rPr>
        <w:t xml:space="preserve">do </w:t>
      </w:r>
      <w:r>
        <w:t>have to displace me to occupy it yourself. Which, though certainly possible, would require an otherwise unnecessary expenditure of energy on your part.</w:t>
      </w:r>
    </w:p>
    <w:p w14:paraId="7E0015FF" w14:textId="77777777" w:rsidR="009A58DB" w:rsidRDefault="00000000">
      <w:pPr>
        <w:pStyle w:val="BodyText"/>
        <w:spacing w:before="8" w:line="249" w:lineRule="auto"/>
        <w:ind w:right="358" w:firstLine="360"/>
      </w:pPr>
      <w:r>
        <w:t>Given that Smith and Twin-Smith are absolutely the same in respect of their causal properties, it follows that the alleged differences between the one person’s mental content and the other’s is causally impotent. A moment ago we saw that it makes no sense to posit the existence of anything spatiotemporal that has no causal powers at all. The just-cited alleged difference has no causal powers. Therefore, it makes no sense to suppose that it exists. Therefore, Burge is wrong.</w:t>
      </w:r>
    </w:p>
    <w:p w14:paraId="7E001600" w14:textId="77777777" w:rsidR="009A58DB" w:rsidRDefault="00000000">
      <w:pPr>
        <w:pStyle w:val="Heading1"/>
        <w:numPr>
          <w:ilvl w:val="1"/>
          <w:numId w:val="143"/>
        </w:numPr>
        <w:tabs>
          <w:tab w:val="left" w:pos="990"/>
        </w:tabs>
        <w:spacing w:before="197"/>
        <w:ind w:left="990" w:hanging="630"/>
      </w:pPr>
      <w:r>
        <w:t>Burge’s</w:t>
      </w:r>
      <w:r>
        <w:rPr>
          <w:spacing w:val="-5"/>
        </w:rPr>
        <w:t xml:space="preserve"> </w:t>
      </w:r>
      <w:r>
        <w:t>response</w:t>
      </w:r>
      <w:r>
        <w:rPr>
          <w:spacing w:val="-5"/>
        </w:rPr>
        <w:t xml:space="preserve"> </w:t>
      </w:r>
      <w:r>
        <w:t>to</w:t>
      </w:r>
      <w:r>
        <w:rPr>
          <w:spacing w:val="-4"/>
        </w:rPr>
        <w:t xml:space="preserve"> Fodor</w:t>
      </w:r>
    </w:p>
    <w:p w14:paraId="7E001601" w14:textId="77777777" w:rsidR="009A58DB" w:rsidRDefault="00000000">
      <w:pPr>
        <w:pStyle w:val="BodyText"/>
        <w:spacing w:before="139" w:line="249" w:lineRule="auto"/>
        <w:ind w:right="361"/>
      </w:pPr>
      <w:r>
        <w:t xml:space="preserve">Burge’s response to Fodor is rather curious. Burge </w:t>
      </w:r>
      <w:r>
        <w:rPr>
          <w:i/>
        </w:rPr>
        <w:t>denies</w:t>
      </w:r>
      <w:r>
        <w:rPr>
          <w:i/>
          <w:spacing w:val="-4"/>
        </w:rPr>
        <w:t xml:space="preserve"> </w:t>
      </w:r>
      <w:r>
        <w:t xml:space="preserve">that billiard balls x and y are causally identical. Burge says that the causal properties of an object are to be understood in terms of what it </w:t>
      </w:r>
      <w:r>
        <w:rPr>
          <w:i/>
        </w:rPr>
        <w:t xml:space="preserve">actually </w:t>
      </w:r>
      <w:r>
        <w:t xml:space="preserve">does and not at all, contrary to what Fodor says, in terms of what it </w:t>
      </w:r>
      <w:r>
        <w:rPr>
          <w:i/>
        </w:rPr>
        <w:t xml:space="preserve">would </w:t>
      </w:r>
      <w:r>
        <w:t>do in different circumstances.</w:t>
      </w:r>
    </w:p>
    <w:p w14:paraId="7E001602" w14:textId="77777777" w:rsidR="009A58DB" w:rsidRDefault="00000000">
      <w:pPr>
        <w:pStyle w:val="BodyText"/>
        <w:spacing w:before="5" w:line="249" w:lineRule="auto"/>
        <w:ind w:right="362" w:firstLine="360"/>
      </w:pPr>
      <w:r>
        <w:t>A story will help make it clear what Burge is saying. On Monday, I run a 6-minute mile without wearing a 20-pound backpack. On Tuesday, I run a 7-minute mile wearing such a backpack. On both days, I run on the same path. The weather is the same. I’m no worse and no better rested or nourished on the one day than on the other.</w:t>
      </w:r>
    </w:p>
    <w:p w14:paraId="7E001603" w14:textId="77777777" w:rsidR="009A58DB" w:rsidRDefault="00000000">
      <w:pPr>
        <w:pStyle w:val="BodyText"/>
        <w:spacing w:before="6" w:line="249" w:lineRule="auto"/>
        <w:ind w:right="358" w:firstLine="360"/>
      </w:pPr>
      <w:r>
        <w:t>According</w:t>
      </w:r>
      <w:r>
        <w:rPr>
          <w:spacing w:val="-1"/>
        </w:rPr>
        <w:t xml:space="preserve"> </w:t>
      </w:r>
      <w:r>
        <w:t>to</w:t>
      </w:r>
      <w:r>
        <w:rPr>
          <w:spacing w:val="-1"/>
        </w:rPr>
        <w:t xml:space="preserve"> </w:t>
      </w:r>
      <w:r>
        <w:t>Burge,</w:t>
      </w:r>
      <w:r>
        <w:rPr>
          <w:spacing w:val="-1"/>
        </w:rPr>
        <w:t xml:space="preserve"> </w:t>
      </w:r>
      <w:r>
        <w:t>my</w:t>
      </w:r>
      <w:r>
        <w:rPr>
          <w:spacing w:val="-1"/>
        </w:rPr>
        <w:t xml:space="preserve"> </w:t>
      </w:r>
      <w:r>
        <w:t>level</w:t>
      </w:r>
      <w:r>
        <w:rPr>
          <w:spacing w:val="-1"/>
        </w:rPr>
        <w:t xml:space="preserve"> </w:t>
      </w:r>
      <w:r>
        <w:t>of</w:t>
      </w:r>
      <w:r>
        <w:rPr>
          <w:spacing w:val="-1"/>
        </w:rPr>
        <w:t xml:space="preserve"> </w:t>
      </w:r>
      <w:r>
        <w:t>fitness</w:t>
      </w:r>
      <w:r>
        <w:rPr>
          <w:spacing w:val="-1"/>
        </w:rPr>
        <w:t xml:space="preserve"> </w:t>
      </w:r>
      <w:r>
        <w:t>has</w:t>
      </w:r>
      <w:r>
        <w:rPr>
          <w:spacing w:val="-1"/>
        </w:rPr>
        <w:t xml:space="preserve"> </w:t>
      </w:r>
      <w:r>
        <w:t>declined,</w:t>
      </w:r>
      <w:r>
        <w:rPr>
          <w:spacing w:val="-1"/>
        </w:rPr>
        <w:t xml:space="preserve"> </w:t>
      </w:r>
      <w:r>
        <w:t>the</w:t>
      </w:r>
      <w:r>
        <w:rPr>
          <w:spacing w:val="-1"/>
        </w:rPr>
        <w:t xml:space="preserve"> </w:t>
      </w:r>
      <w:r>
        <w:t>reason</w:t>
      </w:r>
      <w:r>
        <w:rPr>
          <w:spacing w:val="-1"/>
        </w:rPr>
        <w:t xml:space="preserve"> </w:t>
      </w:r>
      <w:r>
        <w:t>being</w:t>
      </w:r>
      <w:r>
        <w:rPr>
          <w:spacing w:val="-1"/>
        </w:rPr>
        <w:t xml:space="preserve"> </w:t>
      </w:r>
      <w:r>
        <w:t xml:space="preserve">that I ran the mile more slowly on Tuesday than on Monday. It’s irrelevant, says Burge, that, on Tuesday, I </w:t>
      </w:r>
      <w:r>
        <w:rPr>
          <w:i/>
        </w:rPr>
        <w:t xml:space="preserve">would </w:t>
      </w:r>
      <w:r>
        <w:t>have run the mile as quickly as I did on Monday</w:t>
      </w:r>
      <w:r>
        <w:rPr>
          <w:spacing w:val="-3"/>
        </w:rPr>
        <w:t xml:space="preserve"> </w:t>
      </w:r>
      <w:r>
        <w:rPr>
          <w:i/>
        </w:rPr>
        <w:t>if</w:t>
      </w:r>
      <w:r>
        <w:rPr>
          <w:i/>
          <w:spacing w:val="-4"/>
        </w:rPr>
        <w:t xml:space="preserve"> </w:t>
      </w:r>
      <w:r>
        <w:t>I</w:t>
      </w:r>
      <w:r>
        <w:rPr>
          <w:spacing w:val="-2"/>
        </w:rPr>
        <w:t xml:space="preserve"> </w:t>
      </w:r>
      <w:r>
        <w:t>hadn’t</w:t>
      </w:r>
      <w:r>
        <w:rPr>
          <w:spacing w:val="-2"/>
        </w:rPr>
        <w:t xml:space="preserve"> </w:t>
      </w:r>
      <w:r>
        <w:t>been</w:t>
      </w:r>
      <w:r>
        <w:rPr>
          <w:spacing w:val="-2"/>
        </w:rPr>
        <w:t xml:space="preserve"> </w:t>
      </w:r>
      <w:r>
        <w:t>wearing</w:t>
      </w:r>
      <w:r>
        <w:rPr>
          <w:spacing w:val="-2"/>
        </w:rPr>
        <w:t xml:space="preserve"> </w:t>
      </w:r>
      <w:r>
        <w:t>the</w:t>
      </w:r>
      <w:r>
        <w:rPr>
          <w:spacing w:val="-2"/>
        </w:rPr>
        <w:t xml:space="preserve"> </w:t>
      </w:r>
      <w:r>
        <w:t>backpack.</w:t>
      </w:r>
      <w:r>
        <w:rPr>
          <w:spacing w:val="-2"/>
        </w:rPr>
        <w:t xml:space="preserve"> </w:t>
      </w:r>
      <w:r>
        <w:t>Why</w:t>
      </w:r>
      <w:r>
        <w:rPr>
          <w:spacing w:val="-2"/>
        </w:rPr>
        <w:t xml:space="preserve"> </w:t>
      </w:r>
      <w:r>
        <w:t>is</w:t>
      </w:r>
      <w:r>
        <w:rPr>
          <w:spacing w:val="-2"/>
        </w:rPr>
        <w:t xml:space="preserve"> </w:t>
      </w:r>
      <w:r>
        <w:t>it</w:t>
      </w:r>
      <w:r>
        <w:rPr>
          <w:spacing w:val="-2"/>
        </w:rPr>
        <w:t xml:space="preserve"> </w:t>
      </w:r>
      <w:r>
        <w:t>irrelevant?</w:t>
      </w:r>
      <w:r>
        <w:rPr>
          <w:spacing w:val="-2"/>
        </w:rPr>
        <w:t xml:space="preserve"> </w:t>
      </w:r>
      <w:r>
        <w:t xml:space="preserve">Because, says Burge, the causal properties of physical objects are to be understood in terms of the peculiarities of the environments in which they happen to be </w:t>
      </w:r>
      <w:r>
        <w:rPr>
          <w:spacing w:val="-2"/>
        </w:rPr>
        <w:t>embedded.</w:t>
      </w:r>
    </w:p>
    <w:p w14:paraId="7E001604" w14:textId="77777777" w:rsidR="009A58DB" w:rsidRDefault="00000000">
      <w:pPr>
        <w:pStyle w:val="BodyText"/>
        <w:spacing w:before="9" w:line="249" w:lineRule="auto"/>
        <w:ind w:right="358" w:firstLine="360"/>
      </w:pPr>
      <w:r>
        <w:t>Let’s look at the example that Burge himself uses. Let A and B be two very large celestial bodies that are atom-for-atom duplicates of each other. A is revolving around a star. (A is a planet.) B is not revolving around any star. (So B is not a planet.) Burge says (rightly) that the concept of a planet is an explanatorily important one. We explain at least some things in terms of the fact that some things are planets. Burge concludes from this that A and B have</w:t>
      </w:r>
      <w:r>
        <w:rPr>
          <w:spacing w:val="32"/>
        </w:rPr>
        <w:t xml:space="preserve"> </w:t>
      </w:r>
      <w:r>
        <w:t>different</w:t>
      </w:r>
      <w:r>
        <w:rPr>
          <w:spacing w:val="32"/>
        </w:rPr>
        <w:t xml:space="preserve"> </w:t>
      </w:r>
      <w:r>
        <w:t>causal</w:t>
      </w:r>
      <w:r>
        <w:rPr>
          <w:spacing w:val="32"/>
        </w:rPr>
        <w:t xml:space="preserve"> </w:t>
      </w:r>
      <w:r>
        <w:t>properties.</w:t>
      </w:r>
      <w:r>
        <w:rPr>
          <w:spacing w:val="32"/>
        </w:rPr>
        <w:t xml:space="preserve"> </w:t>
      </w:r>
      <w:r>
        <w:t>It</w:t>
      </w:r>
      <w:r>
        <w:rPr>
          <w:spacing w:val="32"/>
        </w:rPr>
        <w:t xml:space="preserve"> </w:t>
      </w:r>
      <w:r>
        <w:t>is</w:t>
      </w:r>
      <w:r>
        <w:rPr>
          <w:spacing w:val="32"/>
        </w:rPr>
        <w:t xml:space="preserve"> </w:t>
      </w:r>
      <w:r>
        <w:t>not,</w:t>
      </w:r>
      <w:r>
        <w:rPr>
          <w:spacing w:val="32"/>
        </w:rPr>
        <w:t xml:space="preserve"> </w:t>
      </w:r>
      <w:r>
        <w:t>says</w:t>
      </w:r>
      <w:r>
        <w:rPr>
          <w:spacing w:val="32"/>
        </w:rPr>
        <w:t xml:space="preserve"> </w:t>
      </w:r>
      <w:r>
        <w:t>Burge,</w:t>
      </w:r>
      <w:r>
        <w:rPr>
          <w:spacing w:val="32"/>
        </w:rPr>
        <w:t xml:space="preserve"> </w:t>
      </w:r>
      <w:r>
        <w:t>that</w:t>
      </w:r>
      <w:r>
        <w:rPr>
          <w:spacing w:val="32"/>
        </w:rPr>
        <w:t xml:space="preserve"> </w:t>
      </w:r>
      <w:r>
        <w:t>A</w:t>
      </w:r>
      <w:r>
        <w:rPr>
          <w:spacing w:val="32"/>
        </w:rPr>
        <w:t xml:space="preserve"> </w:t>
      </w:r>
      <w:r>
        <w:t>and</w:t>
      </w:r>
      <w:r>
        <w:rPr>
          <w:spacing w:val="32"/>
        </w:rPr>
        <w:t xml:space="preserve"> </w:t>
      </w:r>
      <w:r>
        <w:t>B</w:t>
      </w:r>
      <w:r>
        <w:rPr>
          <w:spacing w:val="32"/>
        </w:rPr>
        <w:t xml:space="preserve"> </w:t>
      </w:r>
      <w:r>
        <w:t>merely</w:t>
      </w:r>
    </w:p>
    <w:p w14:paraId="7E00160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06" w14:textId="77777777" w:rsidR="009A58DB" w:rsidRDefault="00000000">
      <w:pPr>
        <w:pStyle w:val="BodyText"/>
        <w:spacing w:before="60" w:line="249" w:lineRule="auto"/>
        <w:ind w:right="360"/>
      </w:pPr>
      <w:r>
        <w:lastRenderedPageBreak/>
        <w:t xml:space="preserve">differ in their behavior. It is that, by virtue of being a </w:t>
      </w:r>
      <w:r>
        <w:rPr>
          <w:i/>
        </w:rPr>
        <w:t>planet</w:t>
      </w:r>
      <w:r>
        <w:t>—albeit one that is exactly like B down to the last atom—A has causal virtues that B lacks.</w:t>
      </w:r>
    </w:p>
    <w:p w14:paraId="7E001607" w14:textId="77777777" w:rsidR="009A58DB" w:rsidRDefault="00000000">
      <w:pPr>
        <w:pStyle w:val="BodyText"/>
        <w:spacing w:before="7" w:line="249" w:lineRule="auto"/>
        <w:ind w:right="359" w:firstLine="360"/>
      </w:pPr>
      <w:r>
        <w:t>Is Burge’s argument a good one? No. Suppose that Smith and Jones are atom-for-atom duplicates of each other, but that Smith has a nephew whereas Jones does not. Obviously there are, or at least could be, behavioral differences between Smith and Jones that are to be explained in terms of the fact that the one, but not the other, is an uncle. Why did Smith spend an hour shopping for toys? Because he’s six-year old Timmy’s uncle, and Timmy loves toys, as Smith knows. Why didn’t Jones spend an hour shopping for toys? Is it because Jones is mean and stingy, whereas Smith is kind and generous? No. It’s because Jones, unlike Smith, isn’t an uncle and thus does not (at least not for that reason) have go toy shopping. Burge’s position concerning</w:t>
      </w:r>
      <w:r>
        <w:rPr>
          <w:spacing w:val="-3"/>
        </w:rPr>
        <w:t xml:space="preserve"> </w:t>
      </w:r>
      <w:r>
        <w:t>planets,</w:t>
      </w:r>
      <w:r>
        <w:rPr>
          <w:spacing w:val="-2"/>
        </w:rPr>
        <w:t xml:space="preserve"> </w:t>
      </w:r>
      <w:r>
        <w:t>if</w:t>
      </w:r>
      <w:r>
        <w:rPr>
          <w:spacing w:val="-3"/>
        </w:rPr>
        <w:t xml:space="preserve"> </w:t>
      </w:r>
      <w:r>
        <w:t>transposed</w:t>
      </w:r>
      <w:r>
        <w:rPr>
          <w:spacing w:val="-2"/>
        </w:rPr>
        <w:t xml:space="preserve"> </w:t>
      </w:r>
      <w:r>
        <w:t>to</w:t>
      </w:r>
      <w:r>
        <w:rPr>
          <w:spacing w:val="-3"/>
        </w:rPr>
        <w:t xml:space="preserve"> </w:t>
      </w:r>
      <w:r>
        <w:t>this</w:t>
      </w:r>
      <w:r>
        <w:rPr>
          <w:spacing w:val="-2"/>
        </w:rPr>
        <w:t xml:space="preserve"> </w:t>
      </w:r>
      <w:r>
        <w:t>other</w:t>
      </w:r>
      <w:r>
        <w:rPr>
          <w:spacing w:val="-2"/>
        </w:rPr>
        <w:t xml:space="preserve"> </w:t>
      </w:r>
      <w:r>
        <w:t>context,</w:t>
      </w:r>
      <w:r>
        <w:rPr>
          <w:spacing w:val="-3"/>
        </w:rPr>
        <w:t xml:space="preserve"> </w:t>
      </w:r>
      <w:r>
        <w:t>is</w:t>
      </w:r>
      <w:r>
        <w:rPr>
          <w:spacing w:val="-2"/>
        </w:rPr>
        <w:t xml:space="preserve"> </w:t>
      </w:r>
      <w:r>
        <w:t>that</w:t>
      </w:r>
      <w:r>
        <w:rPr>
          <w:spacing w:val="-3"/>
        </w:rPr>
        <w:t xml:space="preserve"> </w:t>
      </w:r>
      <w:r>
        <w:t>Jones</w:t>
      </w:r>
      <w:r>
        <w:rPr>
          <w:spacing w:val="-2"/>
        </w:rPr>
        <w:t xml:space="preserve"> </w:t>
      </w:r>
      <w:r>
        <w:t>is</w:t>
      </w:r>
      <w:r>
        <w:rPr>
          <w:spacing w:val="-3"/>
        </w:rPr>
        <w:t xml:space="preserve"> </w:t>
      </w:r>
      <w:r>
        <w:t>in</w:t>
      </w:r>
      <w:r>
        <w:rPr>
          <w:spacing w:val="-2"/>
        </w:rPr>
        <w:t xml:space="preserve"> </w:t>
      </w:r>
      <w:r>
        <w:t>fact</w:t>
      </w:r>
      <w:r>
        <w:rPr>
          <w:spacing w:val="-2"/>
        </w:rPr>
        <w:t xml:space="preserve"> </w:t>
      </w:r>
      <w:r>
        <w:t>a very different person from Smith. Smith is a nice guy. (Let’s assume for argument’s</w:t>
      </w:r>
      <w:r>
        <w:rPr>
          <w:spacing w:val="-1"/>
        </w:rPr>
        <w:t xml:space="preserve"> </w:t>
      </w:r>
      <w:r>
        <w:t>sake</w:t>
      </w:r>
      <w:r>
        <w:rPr>
          <w:spacing w:val="-1"/>
        </w:rPr>
        <w:t xml:space="preserve"> </w:t>
      </w:r>
      <w:r>
        <w:t>that</w:t>
      </w:r>
      <w:r>
        <w:rPr>
          <w:spacing w:val="-1"/>
        </w:rPr>
        <w:t xml:space="preserve"> </w:t>
      </w:r>
      <w:r>
        <w:t>his</w:t>
      </w:r>
      <w:r>
        <w:rPr>
          <w:spacing w:val="-1"/>
        </w:rPr>
        <w:t xml:space="preserve"> </w:t>
      </w:r>
      <w:r>
        <w:t>toy</w:t>
      </w:r>
      <w:r>
        <w:rPr>
          <w:spacing w:val="-1"/>
        </w:rPr>
        <w:t xml:space="preserve"> </w:t>
      </w:r>
      <w:r>
        <w:t>shopping</w:t>
      </w:r>
      <w:r>
        <w:rPr>
          <w:spacing w:val="-1"/>
        </w:rPr>
        <w:t xml:space="preserve"> </w:t>
      </w:r>
      <w:r>
        <w:t>is</w:t>
      </w:r>
      <w:r>
        <w:rPr>
          <w:spacing w:val="-1"/>
        </w:rPr>
        <w:t xml:space="preserve"> </w:t>
      </w:r>
      <w:r>
        <w:t>an</w:t>
      </w:r>
      <w:r>
        <w:rPr>
          <w:spacing w:val="-1"/>
        </w:rPr>
        <w:t xml:space="preserve"> </w:t>
      </w:r>
      <w:r>
        <w:t>expression</w:t>
      </w:r>
      <w:r>
        <w:rPr>
          <w:spacing w:val="-1"/>
        </w:rPr>
        <w:t xml:space="preserve"> </w:t>
      </w:r>
      <w:r>
        <w:t>of</w:t>
      </w:r>
      <w:r>
        <w:rPr>
          <w:spacing w:val="-1"/>
        </w:rPr>
        <w:t xml:space="preserve"> </w:t>
      </w:r>
      <w:r>
        <w:t>genuine</w:t>
      </w:r>
      <w:r>
        <w:rPr>
          <w:spacing w:val="-1"/>
        </w:rPr>
        <w:t xml:space="preserve"> </w:t>
      </w:r>
      <w:r>
        <w:t>love</w:t>
      </w:r>
      <w:r>
        <w:rPr>
          <w:spacing w:val="-1"/>
        </w:rPr>
        <w:t xml:space="preserve"> </w:t>
      </w:r>
      <w:r>
        <w:t>for</w:t>
      </w:r>
      <w:r>
        <w:rPr>
          <w:spacing w:val="-1"/>
        </w:rPr>
        <w:t xml:space="preserve"> </w:t>
      </w:r>
      <w:r>
        <w:t>his nephew.) But Jones, not having gone to the trouble of buying toys for his</w:t>
      </w:r>
      <w:r>
        <w:rPr>
          <w:spacing w:val="40"/>
        </w:rPr>
        <w:t xml:space="preserve"> </w:t>
      </w:r>
      <w:r>
        <w:t>non-existent nephew, is not such a nice guy, even though Jones is just as likely as Smith to buy a present (or otherwise behave amicably towards) the people in his life who, unlike his nephew, actually exist.</w:t>
      </w:r>
    </w:p>
    <w:p w14:paraId="7E001608" w14:textId="77777777" w:rsidR="009A58DB" w:rsidRDefault="00000000">
      <w:pPr>
        <w:pStyle w:val="BodyText"/>
        <w:spacing w:before="21" w:line="249" w:lineRule="auto"/>
        <w:ind w:right="360" w:firstLine="360"/>
      </w:pPr>
      <w:r>
        <w:t>Because A is embedded in a certain way in a certain solar system, it’s going to do things that B won’t do. It’ll move in ways that B will not. It’ll draw the astronauts who land on A towards itself, whereas B will not do that, since (we may suppose) no astronauts bothered to go to B.</w:t>
      </w:r>
    </w:p>
    <w:p w14:paraId="7E001609" w14:textId="77777777" w:rsidR="009A58DB" w:rsidRDefault="00000000">
      <w:pPr>
        <w:pStyle w:val="BodyText"/>
        <w:spacing w:before="5" w:line="249" w:lineRule="auto"/>
        <w:ind w:right="357" w:firstLine="360"/>
      </w:pPr>
      <w:r>
        <w:t xml:space="preserve">Do any of these facts entail that A has different causal properties from B? No. In describing A as a “planet,” one is saying that it is embedded in a certain way in a certain environment. In describing B as a non-planet, one is saying that it is not embedded in that way in that sort of environment. Burge is quite right that what things do depends on the circumstances. If I’m underwater, I don’t breathe; if I’m not, I do. Since A is part of a solar system, it does certain things; since B isn’t, it doesn’t. But this doesn’t show that A and B differ in respect of their causal properties from each other. It shows </w:t>
      </w:r>
      <w:r>
        <w:rPr>
          <w:spacing w:val="-2"/>
        </w:rPr>
        <w:t>that:</w:t>
      </w:r>
    </w:p>
    <w:p w14:paraId="7E00160A" w14:textId="77777777" w:rsidR="009A58DB" w:rsidRDefault="009A58DB">
      <w:pPr>
        <w:pStyle w:val="BodyText"/>
        <w:spacing w:before="26"/>
        <w:ind w:left="0"/>
        <w:jc w:val="left"/>
      </w:pPr>
    </w:p>
    <w:p w14:paraId="7E00160B" w14:textId="77777777" w:rsidR="009A58DB" w:rsidRDefault="00000000">
      <w:pPr>
        <w:pStyle w:val="ListParagraph"/>
        <w:numPr>
          <w:ilvl w:val="0"/>
          <w:numId w:val="142"/>
        </w:numPr>
        <w:tabs>
          <w:tab w:val="left" w:pos="715"/>
        </w:tabs>
        <w:spacing w:line="501" w:lineRule="auto"/>
        <w:ind w:right="1898" w:firstLine="0"/>
        <w:rPr>
          <w:sz w:val="30"/>
        </w:rPr>
      </w:pPr>
      <w:r>
        <w:rPr>
          <w:sz w:val="30"/>
        </w:rPr>
        <w:t>A’s</w:t>
      </w:r>
      <w:r>
        <w:rPr>
          <w:spacing w:val="-5"/>
          <w:sz w:val="30"/>
        </w:rPr>
        <w:t xml:space="preserve"> </w:t>
      </w:r>
      <w:r>
        <w:rPr>
          <w:sz w:val="30"/>
        </w:rPr>
        <w:t>being</w:t>
      </w:r>
      <w:r>
        <w:rPr>
          <w:spacing w:val="-4"/>
          <w:sz w:val="30"/>
        </w:rPr>
        <w:t xml:space="preserve"> </w:t>
      </w:r>
      <w:r>
        <w:rPr>
          <w:sz w:val="30"/>
        </w:rPr>
        <w:t>embedded</w:t>
      </w:r>
      <w:r>
        <w:rPr>
          <w:spacing w:val="-4"/>
          <w:sz w:val="30"/>
        </w:rPr>
        <w:t xml:space="preserve"> </w:t>
      </w:r>
      <w:r>
        <w:rPr>
          <w:sz w:val="30"/>
        </w:rPr>
        <w:t>in</w:t>
      </w:r>
      <w:r>
        <w:rPr>
          <w:spacing w:val="-4"/>
          <w:sz w:val="30"/>
        </w:rPr>
        <w:t xml:space="preserve"> </w:t>
      </w:r>
      <w:r>
        <w:rPr>
          <w:sz w:val="30"/>
        </w:rPr>
        <w:t>a</w:t>
      </w:r>
      <w:r>
        <w:rPr>
          <w:spacing w:val="-5"/>
          <w:sz w:val="30"/>
        </w:rPr>
        <w:t xml:space="preserve"> </w:t>
      </w:r>
      <w:r>
        <w:rPr>
          <w:sz w:val="30"/>
        </w:rPr>
        <w:t>certain</w:t>
      </w:r>
      <w:r>
        <w:rPr>
          <w:spacing w:val="-4"/>
          <w:sz w:val="30"/>
        </w:rPr>
        <w:t xml:space="preserve"> </w:t>
      </w:r>
      <w:r>
        <w:rPr>
          <w:sz w:val="30"/>
        </w:rPr>
        <w:t>environment</w:t>
      </w:r>
      <w:r>
        <w:rPr>
          <w:spacing w:val="-5"/>
          <w:sz w:val="30"/>
        </w:rPr>
        <w:t xml:space="preserve"> </w:t>
      </w:r>
      <w:r>
        <w:rPr>
          <w:sz w:val="30"/>
        </w:rPr>
        <w:t>in</w:t>
      </w:r>
      <w:r>
        <w:rPr>
          <w:spacing w:val="-4"/>
          <w:sz w:val="30"/>
        </w:rPr>
        <w:t xml:space="preserve"> </w:t>
      </w:r>
      <w:r>
        <w:rPr>
          <w:sz w:val="30"/>
        </w:rPr>
        <w:t>a</w:t>
      </w:r>
      <w:r>
        <w:rPr>
          <w:spacing w:val="-5"/>
          <w:sz w:val="30"/>
        </w:rPr>
        <w:t xml:space="preserve"> </w:t>
      </w:r>
      <w:r>
        <w:rPr>
          <w:sz w:val="30"/>
        </w:rPr>
        <w:t>certain</w:t>
      </w:r>
      <w:r>
        <w:rPr>
          <w:spacing w:val="-4"/>
          <w:sz w:val="30"/>
        </w:rPr>
        <w:t xml:space="preserve"> </w:t>
      </w:r>
      <w:r>
        <w:rPr>
          <w:sz w:val="30"/>
        </w:rPr>
        <w:t>way has different effects from</w:t>
      </w:r>
    </w:p>
    <w:p w14:paraId="7E00160C" w14:textId="77777777" w:rsidR="009A58DB" w:rsidRDefault="009A58DB">
      <w:pPr>
        <w:pStyle w:val="ListParagraph"/>
        <w:spacing w:line="501" w:lineRule="auto"/>
        <w:rPr>
          <w:sz w:val="30"/>
        </w:rPr>
        <w:sectPr w:rsidR="009A58DB">
          <w:pgSz w:w="12240" w:h="15840"/>
          <w:pgMar w:top="1380" w:right="1080" w:bottom="280" w:left="1080" w:header="720" w:footer="720" w:gutter="0"/>
          <w:cols w:space="720"/>
        </w:sectPr>
      </w:pPr>
    </w:p>
    <w:p w14:paraId="7E00160D" w14:textId="77777777" w:rsidR="009A58DB" w:rsidRDefault="00000000">
      <w:pPr>
        <w:pStyle w:val="ListParagraph"/>
        <w:numPr>
          <w:ilvl w:val="0"/>
          <w:numId w:val="142"/>
        </w:numPr>
        <w:tabs>
          <w:tab w:val="left" w:pos="829"/>
        </w:tabs>
        <w:spacing w:before="65" w:line="249" w:lineRule="auto"/>
        <w:ind w:right="366" w:firstLine="0"/>
        <w:jc w:val="both"/>
        <w:rPr>
          <w:sz w:val="30"/>
        </w:rPr>
      </w:pPr>
      <w:r>
        <w:rPr>
          <w:sz w:val="30"/>
        </w:rPr>
        <w:lastRenderedPageBreak/>
        <w:t>B’s being embedded in a totally different way in a completely different sort of environment.</w:t>
      </w:r>
    </w:p>
    <w:p w14:paraId="7E00160E" w14:textId="77777777" w:rsidR="009A58DB" w:rsidRDefault="009A58DB">
      <w:pPr>
        <w:pStyle w:val="BodyText"/>
        <w:spacing w:before="17"/>
        <w:ind w:left="0"/>
        <w:jc w:val="left"/>
      </w:pPr>
    </w:p>
    <w:p w14:paraId="7E00160F" w14:textId="77777777" w:rsidR="009A58DB" w:rsidRDefault="00000000">
      <w:pPr>
        <w:pStyle w:val="BodyText"/>
        <w:spacing w:line="249" w:lineRule="auto"/>
        <w:ind w:right="359"/>
      </w:pPr>
      <w:r>
        <w:t xml:space="preserve">(i) is not identical with A. (ii) is not identical with B. (I am sitting in a chair right now. But I’m not identical with </w:t>
      </w:r>
      <w:r>
        <w:rPr>
          <w:i/>
        </w:rPr>
        <w:t xml:space="preserve">the state of affairs consisting of JMK’s sitting in a certain chair at 1:22 P.M. </w:t>
      </w:r>
      <w:r>
        <w:t xml:space="preserve">on April 9, 2009.) A’s being a planet is identical with (i)’s being the case. Since A’s being a planet is no more identical with A than I am identical with the fact that, at this instant, I’m sitting in a certain chair, and since the same thing </w:t>
      </w:r>
      <w:r>
        <w:rPr>
          <w:i/>
        </w:rPr>
        <w:t xml:space="preserve">mutatis mutandis </w:t>
      </w:r>
      <w:r>
        <w:t>holds of B,</w:t>
      </w:r>
      <w:r>
        <w:rPr>
          <w:spacing w:val="-2"/>
        </w:rPr>
        <w:t xml:space="preserve"> </w:t>
      </w:r>
      <w:r>
        <w:t>it</w:t>
      </w:r>
      <w:r>
        <w:rPr>
          <w:spacing w:val="-3"/>
        </w:rPr>
        <w:t xml:space="preserve"> </w:t>
      </w:r>
      <w:r>
        <w:t>would</w:t>
      </w:r>
      <w:r>
        <w:rPr>
          <w:spacing w:val="-2"/>
        </w:rPr>
        <w:t xml:space="preserve"> </w:t>
      </w:r>
      <w:r>
        <w:t>be</w:t>
      </w:r>
      <w:r>
        <w:rPr>
          <w:spacing w:val="-3"/>
        </w:rPr>
        <w:t xml:space="preserve"> </w:t>
      </w:r>
      <w:r>
        <w:t>deeply</w:t>
      </w:r>
      <w:r>
        <w:rPr>
          <w:spacing w:val="-2"/>
        </w:rPr>
        <w:t xml:space="preserve"> </w:t>
      </w:r>
      <w:r>
        <w:t>illogical</w:t>
      </w:r>
      <w:r>
        <w:rPr>
          <w:spacing w:val="-3"/>
        </w:rPr>
        <w:t xml:space="preserve"> </w:t>
      </w:r>
      <w:r>
        <w:t>to</w:t>
      </w:r>
      <w:r>
        <w:rPr>
          <w:spacing w:val="-2"/>
        </w:rPr>
        <w:t xml:space="preserve"> </w:t>
      </w:r>
      <w:r>
        <w:t>accept</w:t>
      </w:r>
      <w:r>
        <w:rPr>
          <w:spacing w:val="-3"/>
        </w:rPr>
        <w:t xml:space="preserve"> </w:t>
      </w:r>
      <w:r>
        <w:t>Burge’s</w:t>
      </w:r>
      <w:r>
        <w:rPr>
          <w:spacing w:val="-3"/>
        </w:rPr>
        <w:t xml:space="preserve"> </w:t>
      </w:r>
      <w:r>
        <w:t>judgment</w:t>
      </w:r>
      <w:r>
        <w:rPr>
          <w:spacing w:val="-3"/>
        </w:rPr>
        <w:t xml:space="preserve"> </w:t>
      </w:r>
      <w:r>
        <w:t>that</w:t>
      </w:r>
      <w:r>
        <w:rPr>
          <w:spacing w:val="-3"/>
        </w:rPr>
        <w:t xml:space="preserve"> </w:t>
      </w:r>
      <w:r>
        <w:t>A</w:t>
      </w:r>
      <w:r>
        <w:rPr>
          <w:spacing w:val="-3"/>
        </w:rPr>
        <w:t xml:space="preserve"> </w:t>
      </w:r>
      <w:r>
        <w:t>and</w:t>
      </w:r>
      <w:r>
        <w:rPr>
          <w:spacing w:val="-2"/>
        </w:rPr>
        <w:t xml:space="preserve"> </w:t>
      </w:r>
      <w:r>
        <w:t>B</w:t>
      </w:r>
      <w:r>
        <w:rPr>
          <w:spacing w:val="-3"/>
        </w:rPr>
        <w:t xml:space="preserve"> </w:t>
      </w:r>
      <w:r>
        <w:t xml:space="preserve">differ in their causal properties. In order for that judgment to be correct, A </w:t>
      </w:r>
      <w:r>
        <w:rPr>
          <w:i/>
        </w:rPr>
        <w:t xml:space="preserve">would </w:t>
      </w:r>
      <w:r>
        <w:t xml:space="preserve">have to be identical with the fact that it was embedded in a certain way in a certain sort of environment, and by parallel reasoning you </w:t>
      </w:r>
      <w:r>
        <w:rPr>
          <w:i/>
        </w:rPr>
        <w:t>would</w:t>
      </w:r>
      <w:r>
        <w:rPr>
          <w:i/>
          <w:spacing w:val="-2"/>
        </w:rPr>
        <w:t xml:space="preserve"> </w:t>
      </w:r>
      <w:r>
        <w:t>be identical with the fact that, right now, you are holding a certain book in your hands. But so far as it isn’t obviously false, this position borders on</w:t>
      </w:r>
      <w:r>
        <w:rPr>
          <w:spacing w:val="80"/>
        </w:rPr>
        <w:t xml:space="preserve"> </w:t>
      </w:r>
      <w:r>
        <w:rPr>
          <w:spacing w:val="-2"/>
        </w:rPr>
        <w:t>meaninglessness.</w:t>
      </w:r>
    </w:p>
    <w:p w14:paraId="7E001610" w14:textId="77777777" w:rsidR="009A58DB" w:rsidRDefault="00000000">
      <w:pPr>
        <w:pStyle w:val="BodyText"/>
        <w:spacing w:before="16" w:line="249" w:lineRule="auto"/>
        <w:ind w:right="359" w:firstLine="360"/>
      </w:pPr>
      <w:r>
        <w:t>Despite all these problems with content-externalism, and despite some comparably gruesome ones that I haven’t even mentioned</w:t>
      </w:r>
      <w:bookmarkStart w:id="281" w:name="_bookmark281"/>
      <w:bookmarkEnd w:id="281"/>
      <w:r>
        <w:rPr>
          <w:color w:val="0562C1"/>
          <w:position w:val="21"/>
          <w:u w:val="single" w:color="0562C1"/>
        </w:rPr>
        <w:t>[183]</w:t>
      </w:r>
      <w:r>
        <w:t>, content-externalism still has some loyal followers who are indefatigable in their attempts to make content-externalism work. To these tenacious individuals, I can only say, quoting the great Marion Barry: “Let it go!”</w:t>
      </w:r>
    </w:p>
    <w:p w14:paraId="7E001611"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612" w14:textId="77777777" w:rsidR="009A58DB" w:rsidRDefault="009A58DB">
      <w:pPr>
        <w:pStyle w:val="BodyText"/>
        <w:spacing w:before="4"/>
        <w:ind w:left="0"/>
        <w:jc w:val="left"/>
        <w:rPr>
          <w:sz w:val="17"/>
        </w:rPr>
      </w:pPr>
    </w:p>
    <w:p w14:paraId="7E001613"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1614" w14:textId="77777777" w:rsidR="009A58DB" w:rsidRDefault="00000000">
      <w:pPr>
        <w:spacing w:before="50"/>
        <w:ind w:left="326" w:right="332"/>
        <w:jc w:val="center"/>
        <w:rPr>
          <w:rFonts w:ascii="Calibri Light"/>
          <w:sz w:val="42"/>
        </w:rPr>
      </w:pPr>
      <w:bookmarkStart w:id="282" w:name="_bookmark282"/>
      <w:bookmarkEnd w:id="282"/>
      <w:r>
        <w:rPr>
          <w:rFonts w:ascii="Calibri Light"/>
          <w:sz w:val="42"/>
        </w:rPr>
        <w:lastRenderedPageBreak/>
        <w:t>P</w:t>
      </w:r>
      <w:r>
        <w:rPr>
          <w:rFonts w:ascii="Liberation Serif"/>
          <w:b/>
          <w:sz w:val="42"/>
        </w:rPr>
        <w:t>ART</w:t>
      </w:r>
      <w:r>
        <w:rPr>
          <w:rFonts w:ascii="Liberation Serif"/>
          <w:b/>
          <w:spacing w:val="-5"/>
          <w:sz w:val="42"/>
        </w:rPr>
        <w:t xml:space="preserve"> </w:t>
      </w:r>
      <w:r>
        <w:rPr>
          <w:rFonts w:ascii="Calibri Light"/>
          <w:spacing w:val="-5"/>
          <w:sz w:val="42"/>
        </w:rPr>
        <w:t>III</w:t>
      </w:r>
    </w:p>
    <w:p w14:paraId="7E001615" w14:textId="77777777" w:rsidR="009A58DB" w:rsidRDefault="00000000">
      <w:pPr>
        <w:spacing w:before="222"/>
        <w:ind w:left="326" w:right="332"/>
        <w:jc w:val="center"/>
        <w:rPr>
          <w:rFonts w:ascii="Calibri Light"/>
          <w:sz w:val="42"/>
        </w:rPr>
      </w:pPr>
      <w:bookmarkStart w:id="283" w:name="_bookmark283"/>
      <w:bookmarkEnd w:id="283"/>
      <w:r>
        <w:rPr>
          <w:rFonts w:ascii="Calibri Light"/>
          <w:sz w:val="42"/>
        </w:rPr>
        <w:t>Knowledge</w:t>
      </w:r>
      <w:r>
        <w:rPr>
          <w:rFonts w:ascii="Calibri Light"/>
          <w:spacing w:val="54"/>
          <w:sz w:val="42"/>
        </w:rPr>
        <w:t xml:space="preserve"> </w:t>
      </w:r>
      <w:r>
        <w:rPr>
          <w:rFonts w:ascii="Calibri Light"/>
          <w:sz w:val="42"/>
        </w:rPr>
        <w:t>and</w:t>
      </w:r>
      <w:r>
        <w:rPr>
          <w:rFonts w:ascii="Calibri Light"/>
          <w:spacing w:val="56"/>
          <w:sz w:val="42"/>
        </w:rPr>
        <w:t xml:space="preserve"> </w:t>
      </w:r>
      <w:r>
        <w:rPr>
          <w:rFonts w:ascii="Calibri Light"/>
          <w:sz w:val="42"/>
        </w:rPr>
        <w:t>Inductive</w:t>
      </w:r>
      <w:r>
        <w:rPr>
          <w:rFonts w:ascii="Calibri Light"/>
          <w:spacing w:val="56"/>
          <w:sz w:val="42"/>
        </w:rPr>
        <w:t xml:space="preserve"> </w:t>
      </w:r>
      <w:r>
        <w:rPr>
          <w:rFonts w:ascii="Calibri Light"/>
          <w:spacing w:val="-2"/>
          <w:sz w:val="42"/>
        </w:rPr>
        <w:t>Inference</w:t>
      </w:r>
    </w:p>
    <w:p w14:paraId="7E001616" w14:textId="77777777" w:rsidR="009A58DB" w:rsidRDefault="009A58DB">
      <w:pPr>
        <w:jc w:val="center"/>
        <w:rPr>
          <w:rFonts w:ascii="Calibri Light"/>
          <w:sz w:val="42"/>
        </w:rPr>
        <w:sectPr w:rsidR="009A58DB">
          <w:pgSz w:w="12240" w:h="15840"/>
          <w:pgMar w:top="1620" w:right="1080" w:bottom="280" w:left="1080" w:header="720" w:footer="720" w:gutter="0"/>
          <w:cols w:space="720"/>
        </w:sectPr>
      </w:pPr>
    </w:p>
    <w:p w14:paraId="7E001617" w14:textId="77777777" w:rsidR="009A58DB" w:rsidRDefault="00000000">
      <w:pPr>
        <w:spacing w:line="503" w:lineRule="exact"/>
        <w:ind w:left="326" w:right="332"/>
        <w:jc w:val="center"/>
        <w:rPr>
          <w:rFonts w:ascii="Calibri Light"/>
          <w:sz w:val="42"/>
        </w:rPr>
      </w:pPr>
      <w:bookmarkStart w:id="284" w:name="_bookmark284"/>
      <w:bookmarkEnd w:id="284"/>
      <w:r>
        <w:rPr>
          <w:rFonts w:ascii="Calibri Light"/>
          <w:sz w:val="42"/>
        </w:rPr>
        <w:lastRenderedPageBreak/>
        <w:t>Chapter</w:t>
      </w:r>
      <w:r>
        <w:rPr>
          <w:rFonts w:ascii="Calibri Light"/>
          <w:spacing w:val="56"/>
          <w:sz w:val="42"/>
        </w:rPr>
        <w:t xml:space="preserve"> </w:t>
      </w:r>
      <w:r>
        <w:rPr>
          <w:rFonts w:ascii="Calibri Light"/>
          <w:spacing w:val="-5"/>
          <w:sz w:val="42"/>
        </w:rPr>
        <w:t>10</w:t>
      </w:r>
    </w:p>
    <w:p w14:paraId="7E001618" w14:textId="77777777" w:rsidR="009A58DB" w:rsidRDefault="00000000">
      <w:pPr>
        <w:spacing w:before="222"/>
        <w:ind w:left="326" w:right="332"/>
        <w:jc w:val="center"/>
        <w:rPr>
          <w:rFonts w:ascii="Calibri Light"/>
          <w:sz w:val="42"/>
        </w:rPr>
      </w:pPr>
      <w:bookmarkStart w:id="285" w:name="_bookmark285"/>
      <w:bookmarkEnd w:id="285"/>
      <w:r>
        <w:rPr>
          <w:rFonts w:ascii="Calibri Light"/>
          <w:spacing w:val="-2"/>
          <w:sz w:val="42"/>
        </w:rPr>
        <w:t>Knowledge</w:t>
      </w:r>
    </w:p>
    <w:p w14:paraId="7E001619" w14:textId="77777777" w:rsidR="009A58DB" w:rsidRDefault="00000000">
      <w:pPr>
        <w:pStyle w:val="Heading1"/>
        <w:numPr>
          <w:ilvl w:val="1"/>
          <w:numId w:val="141"/>
        </w:numPr>
        <w:tabs>
          <w:tab w:val="left" w:pos="990"/>
        </w:tabs>
        <w:spacing w:before="185"/>
      </w:pPr>
      <w:r>
        <w:t>The</w:t>
      </w:r>
      <w:r>
        <w:rPr>
          <w:spacing w:val="-6"/>
        </w:rPr>
        <w:t xml:space="preserve"> </w:t>
      </w:r>
      <w:r>
        <w:t>ambiguity</w:t>
      </w:r>
      <w:r>
        <w:rPr>
          <w:spacing w:val="-2"/>
        </w:rPr>
        <w:t xml:space="preserve"> </w:t>
      </w:r>
      <w:r>
        <w:t>of</w:t>
      </w:r>
      <w:r>
        <w:rPr>
          <w:spacing w:val="-4"/>
        </w:rPr>
        <w:t xml:space="preserve"> </w:t>
      </w:r>
      <w:r>
        <w:t>the</w:t>
      </w:r>
      <w:r>
        <w:rPr>
          <w:spacing w:val="-3"/>
        </w:rPr>
        <w:t xml:space="preserve"> </w:t>
      </w:r>
      <w:r>
        <w:t>word</w:t>
      </w:r>
      <w:r>
        <w:rPr>
          <w:spacing w:val="-3"/>
        </w:rPr>
        <w:t xml:space="preserve"> </w:t>
      </w:r>
      <w:r>
        <w:rPr>
          <w:spacing w:val="-2"/>
        </w:rPr>
        <w:t>“know”</w:t>
      </w:r>
    </w:p>
    <w:p w14:paraId="7E00161A" w14:textId="77777777" w:rsidR="009A58DB" w:rsidRDefault="00000000">
      <w:pPr>
        <w:pStyle w:val="BodyText"/>
        <w:spacing w:before="139" w:line="249" w:lineRule="auto"/>
        <w:ind w:right="367"/>
      </w:pPr>
      <w:r>
        <w:t xml:space="preserve">The term “know” is ambiguous. Sometimes it refers to awareness of </w:t>
      </w:r>
      <w:r>
        <w:rPr>
          <w:i/>
        </w:rPr>
        <w:t xml:space="preserve">objects, </w:t>
      </w:r>
      <w:r>
        <w:t xml:space="preserve">as in “I know Smith.” But oftentimes it refers to awareness of </w:t>
      </w:r>
      <w:r>
        <w:rPr>
          <w:i/>
        </w:rPr>
        <w:t>truths,</w:t>
      </w:r>
      <w:r>
        <w:rPr>
          <w:i/>
          <w:spacing w:val="-3"/>
        </w:rPr>
        <w:t xml:space="preserve"> </w:t>
      </w:r>
      <w:r>
        <w:t>as in “I know that snow is white.”</w:t>
      </w:r>
    </w:p>
    <w:p w14:paraId="7E00161B" w14:textId="77777777" w:rsidR="009A58DB" w:rsidRDefault="00000000">
      <w:pPr>
        <w:pStyle w:val="BodyText"/>
        <w:spacing w:before="4" w:line="249" w:lineRule="auto"/>
        <w:ind w:right="359" w:firstLine="360"/>
      </w:pPr>
      <w:r>
        <w:t>Other languages use different verbs to mark this difference. For example, in</w:t>
      </w:r>
      <w:r>
        <w:rPr>
          <w:spacing w:val="-3"/>
        </w:rPr>
        <w:t xml:space="preserve"> </w:t>
      </w:r>
      <w:r>
        <w:t>Spanish,</w:t>
      </w:r>
      <w:r>
        <w:rPr>
          <w:spacing w:val="-3"/>
        </w:rPr>
        <w:t xml:space="preserve"> </w:t>
      </w:r>
      <w:r>
        <w:t>when</w:t>
      </w:r>
      <w:r>
        <w:rPr>
          <w:spacing w:val="-3"/>
        </w:rPr>
        <w:t xml:space="preserve"> </w:t>
      </w:r>
      <w:r>
        <w:t>one</w:t>
      </w:r>
      <w:r>
        <w:rPr>
          <w:spacing w:val="-4"/>
        </w:rPr>
        <w:t xml:space="preserve"> </w:t>
      </w:r>
      <w:r>
        <w:t>speaks</w:t>
      </w:r>
      <w:r>
        <w:rPr>
          <w:spacing w:val="-4"/>
        </w:rPr>
        <w:t xml:space="preserve"> </w:t>
      </w:r>
      <w:r>
        <w:t>of</w:t>
      </w:r>
      <w:r>
        <w:rPr>
          <w:spacing w:val="-4"/>
        </w:rPr>
        <w:t xml:space="preserve"> </w:t>
      </w:r>
      <w:r>
        <w:t>knowing</w:t>
      </w:r>
      <w:r>
        <w:rPr>
          <w:spacing w:val="-3"/>
        </w:rPr>
        <w:t xml:space="preserve"> </w:t>
      </w:r>
      <w:r>
        <w:rPr>
          <w:i/>
        </w:rPr>
        <w:t>people,</w:t>
      </w:r>
      <w:r>
        <w:rPr>
          <w:i/>
          <w:spacing w:val="-3"/>
        </w:rPr>
        <w:t xml:space="preserve"> </w:t>
      </w:r>
      <w:r>
        <w:t>one</w:t>
      </w:r>
      <w:r>
        <w:rPr>
          <w:spacing w:val="-4"/>
        </w:rPr>
        <w:t xml:space="preserve"> </w:t>
      </w:r>
      <w:r>
        <w:t>uses</w:t>
      </w:r>
      <w:r>
        <w:rPr>
          <w:spacing w:val="-4"/>
        </w:rPr>
        <w:t xml:space="preserve"> </w:t>
      </w:r>
      <w:r>
        <w:t>the</w:t>
      </w:r>
      <w:r>
        <w:rPr>
          <w:spacing w:val="-4"/>
        </w:rPr>
        <w:t xml:space="preserve"> </w:t>
      </w:r>
      <w:r>
        <w:t>verb</w:t>
      </w:r>
      <w:r>
        <w:rPr>
          <w:spacing w:val="-3"/>
        </w:rPr>
        <w:t xml:space="preserve"> </w:t>
      </w:r>
      <w:r>
        <w:t>“conocer,” and when one speaks of knowing truths, one uses the verb “saber.” German also uses different words to mark this distinction (“kennen,” for knowing people,</w:t>
      </w:r>
      <w:r>
        <w:rPr>
          <w:spacing w:val="-1"/>
        </w:rPr>
        <w:t xml:space="preserve"> </w:t>
      </w:r>
      <w:r>
        <w:t>and</w:t>
      </w:r>
      <w:r>
        <w:rPr>
          <w:spacing w:val="-1"/>
        </w:rPr>
        <w:t xml:space="preserve"> </w:t>
      </w:r>
      <w:r>
        <w:t>“wissen”</w:t>
      </w:r>
      <w:r>
        <w:rPr>
          <w:spacing w:val="-1"/>
        </w:rPr>
        <w:t xml:space="preserve"> </w:t>
      </w:r>
      <w:r>
        <w:t>for</w:t>
      </w:r>
      <w:r>
        <w:rPr>
          <w:spacing w:val="-1"/>
        </w:rPr>
        <w:t xml:space="preserve"> </w:t>
      </w:r>
      <w:r>
        <w:t>knowing</w:t>
      </w:r>
      <w:r>
        <w:rPr>
          <w:spacing w:val="-1"/>
        </w:rPr>
        <w:t xml:space="preserve"> </w:t>
      </w:r>
      <w:r>
        <w:t>truths).</w:t>
      </w:r>
      <w:r>
        <w:rPr>
          <w:spacing w:val="-1"/>
        </w:rPr>
        <w:t xml:space="preserve"> </w:t>
      </w:r>
      <w:r>
        <w:t>Russian</w:t>
      </w:r>
      <w:r>
        <w:rPr>
          <w:spacing w:val="-1"/>
        </w:rPr>
        <w:t xml:space="preserve"> </w:t>
      </w:r>
      <w:r>
        <w:t>does</w:t>
      </w:r>
      <w:r>
        <w:rPr>
          <w:spacing w:val="-1"/>
        </w:rPr>
        <w:t xml:space="preserve"> </w:t>
      </w:r>
      <w:r>
        <w:t>not.</w:t>
      </w:r>
      <w:r>
        <w:rPr>
          <w:spacing w:val="-1"/>
        </w:rPr>
        <w:t xml:space="preserve"> </w:t>
      </w:r>
      <w:r>
        <w:t>It</w:t>
      </w:r>
      <w:r>
        <w:rPr>
          <w:spacing w:val="-1"/>
        </w:rPr>
        <w:t xml:space="preserve"> </w:t>
      </w:r>
      <w:r>
        <w:t>is</w:t>
      </w:r>
      <w:r>
        <w:rPr>
          <w:spacing w:val="-1"/>
        </w:rPr>
        <w:t xml:space="preserve"> </w:t>
      </w:r>
      <w:r>
        <w:t>like</w:t>
      </w:r>
      <w:r>
        <w:rPr>
          <w:spacing w:val="-1"/>
        </w:rPr>
        <w:t xml:space="preserve"> </w:t>
      </w:r>
      <w:r>
        <w:t>English, and uses one verb—“znat”—for awareness of both people and truths.</w:t>
      </w:r>
    </w:p>
    <w:p w14:paraId="7E00161C" w14:textId="77777777" w:rsidR="009A58DB" w:rsidRDefault="00000000">
      <w:pPr>
        <w:pStyle w:val="BodyText"/>
        <w:spacing w:before="7" w:line="249" w:lineRule="auto"/>
        <w:ind w:right="358" w:firstLine="360"/>
      </w:pPr>
      <w:r>
        <w:t xml:space="preserve">This last fact is suggestive. If English were the </w:t>
      </w:r>
      <w:r>
        <w:rPr>
          <w:i/>
        </w:rPr>
        <w:t>only</w:t>
      </w:r>
      <w:r>
        <w:rPr>
          <w:i/>
          <w:spacing w:val="-4"/>
        </w:rPr>
        <w:t xml:space="preserve"> </w:t>
      </w:r>
      <w:r>
        <w:t xml:space="preserve">language that had just one word for both kinds of awareness, its doing so would be a mere idiosyncrasy—a random fact about one language that didn’t reveal anything inherent in human thought. But the fact that </w:t>
      </w:r>
      <w:r>
        <w:rPr>
          <w:i/>
        </w:rPr>
        <w:t xml:space="preserve">other </w:t>
      </w:r>
      <w:r>
        <w:t xml:space="preserve">languages do the same thing suggests that there is a general tendency </w:t>
      </w:r>
      <w:r>
        <w:rPr>
          <w:i/>
        </w:rPr>
        <w:t xml:space="preserve">not </w:t>
      </w:r>
      <w:r>
        <w:t xml:space="preserve">to distinguish these two very different kinds of knowledge. We will find that, in fact, this tendency of ours has a solid epistemological basis and is therefore not a logical </w:t>
      </w:r>
      <w:r>
        <w:rPr>
          <w:i/>
        </w:rPr>
        <w:t xml:space="preserve">faux pas. </w:t>
      </w:r>
      <w:r>
        <w:t xml:space="preserve">However counterintuitive it may seem, knowledge of people </w:t>
      </w:r>
      <w:r>
        <w:rPr>
          <w:i/>
        </w:rPr>
        <w:t>is</w:t>
      </w:r>
      <w:r>
        <w:t>, we will find, knowledge of truths.</w:t>
      </w:r>
    </w:p>
    <w:p w14:paraId="7E00161D" w14:textId="77777777" w:rsidR="009A58DB" w:rsidRDefault="00000000">
      <w:pPr>
        <w:pStyle w:val="Heading1"/>
        <w:numPr>
          <w:ilvl w:val="1"/>
          <w:numId w:val="141"/>
        </w:numPr>
        <w:tabs>
          <w:tab w:val="left" w:pos="990"/>
        </w:tabs>
        <w:spacing w:before="214"/>
      </w:pPr>
      <w:r>
        <w:t>The</w:t>
      </w:r>
      <w:r>
        <w:rPr>
          <w:spacing w:val="-7"/>
        </w:rPr>
        <w:t xml:space="preserve"> </w:t>
      </w:r>
      <w:r>
        <w:t>philosophical</w:t>
      </w:r>
      <w:r>
        <w:rPr>
          <w:spacing w:val="-4"/>
        </w:rPr>
        <w:t xml:space="preserve"> </w:t>
      </w:r>
      <w:r>
        <w:t>meaning</w:t>
      </w:r>
      <w:r>
        <w:rPr>
          <w:spacing w:val="-4"/>
        </w:rPr>
        <w:t xml:space="preserve"> </w:t>
      </w:r>
      <w:r>
        <w:t>of</w:t>
      </w:r>
      <w:r>
        <w:rPr>
          <w:spacing w:val="-4"/>
        </w:rPr>
        <w:t xml:space="preserve"> </w:t>
      </w:r>
      <w:r>
        <w:t>the</w:t>
      </w:r>
      <w:r>
        <w:rPr>
          <w:spacing w:val="-4"/>
        </w:rPr>
        <w:t xml:space="preserve"> </w:t>
      </w:r>
      <w:r>
        <w:t>word</w:t>
      </w:r>
      <w:r>
        <w:rPr>
          <w:spacing w:val="-4"/>
        </w:rPr>
        <w:t xml:space="preserve"> </w:t>
      </w:r>
      <w:r>
        <w:rPr>
          <w:spacing w:val="-2"/>
        </w:rPr>
        <w:t>“know”</w:t>
      </w:r>
    </w:p>
    <w:p w14:paraId="7E00161E" w14:textId="77777777" w:rsidR="009A58DB" w:rsidRDefault="00000000">
      <w:pPr>
        <w:pStyle w:val="BodyText"/>
        <w:spacing w:before="139" w:line="249" w:lineRule="auto"/>
        <w:ind w:right="367"/>
      </w:pPr>
      <w:r>
        <w:t xml:space="preserve">In philosophy, when we talk about “knowledge,” we are primarily, but not exclusively, concerned with knowledge of </w:t>
      </w:r>
      <w:r>
        <w:rPr>
          <w:i/>
        </w:rPr>
        <w:t xml:space="preserve">truths. </w:t>
      </w:r>
      <w:r>
        <w:t>Nonetheless, we will find that the distinction between knowledge of truths, on the one hand, and knowledge of individuals, on the other, is of great importance.</w:t>
      </w:r>
    </w:p>
    <w:p w14:paraId="7E00161F" w14:textId="77777777" w:rsidR="009A58DB" w:rsidRDefault="00000000">
      <w:pPr>
        <w:pStyle w:val="BodyText"/>
        <w:spacing w:before="5" w:line="249" w:lineRule="auto"/>
        <w:ind w:right="361" w:firstLine="360"/>
      </w:pPr>
      <w:r>
        <w:t>We will find later that the word “know” is actually ambiguous in additional ways. For example, psychologists and philosophers often talk about “procedural” knowledge. Any case of anyone’s being able to do anything is a case of procedural knowledge. My ability to play the piano is a case</w:t>
      </w:r>
      <w:r>
        <w:rPr>
          <w:spacing w:val="-2"/>
        </w:rPr>
        <w:t xml:space="preserve"> </w:t>
      </w:r>
      <w:r>
        <w:t>of</w:t>
      </w:r>
      <w:r>
        <w:rPr>
          <w:spacing w:val="1"/>
        </w:rPr>
        <w:t xml:space="preserve"> </w:t>
      </w:r>
      <w:r>
        <w:t>procedural</w:t>
      </w:r>
      <w:r>
        <w:rPr>
          <w:spacing w:val="1"/>
        </w:rPr>
        <w:t xml:space="preserve"> </w:t>
      </w:r>
      <w:r>
        <w:t>knowledge; so is</w:t>
      </w:r>
      <w:r>
        <w:rPr>
          <w:spacing w:val="1"/>
        </w:rPr>
        <w:t xml:space="preserve"> </w:t>
      </w:r>
      <w:r>
        <w:t>my</w:t>
      </w:r>
      <w:r>
        <w:rPr>
          <w:spacing w:val="1"/>
        </w:rPr>
        <w:t xml:space="preserve"> </w:t>
      </w:r>
      <w:r>
        <w:t>ability</w:t>
      </w:r>
      <w:r>
        <w:rPr>
          <w:spacing w:val="1"/>
        </w:rPr>
        <w:t xml:space="preserve"> </w:t>
      </w:r>
      <w:r>
        <w:t>to</w:t>
      </w:r>
      <w:r>
        <w:rPr>
          <w:spacing w:val="1"/>
        </w:rPr>
        <w:t xml:space="preserve"> </w:t>
      </w:r>
      <w:r>
        <w:t>speak English; and</w:t>
      </w:r>
      <w:r>
        <w:rPr>
          <w:spacing w:val="1"/>
        </w:rPr>
        <w:t xml:space="preserve"> </w:t>
      </w:r>
      <w:r>
        <w:t>so</w:t>
      </w:r>
      <w:r>
        <w:rPr>
          <w:spacing w:val="1"/>
        </w:rPr>
        <w:t xml:space="preserve"> </w:t>
      </w:r>
      <w:r>
        <w:t>is</w:t>
      </w:r>
      <w:r>
        <w:rPr>
          <w:spacing w:val="1"/>
        </w:rPr>
        <w:t xml:space="preserve"> </w:t>
      </w:r>
      <w:r>
        <w:rPr>
          <w:spacing w:val="-7"/>
        </w:rPr>
        <w:t>my</w:t>
      </w:r>
    </w:p>
    <w:p w14:paraId="7E001620"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621" w14:textId="77777777" w:rsidR="009A58DB" w:rsidRDefault="00000000">
      <w:pPr>
        <w:pStyle w:val="BodyText"/>
        <w:spacing w:before="70"/>
      </w:pPr>
      <w:r>
        <w:lastRenderedPageBreak/>
        <w:t>ability</w:t>
      </w:r>
      <w:r>
        <w:rPr>
          <w:spacing w:val="-3"/>
        </w:rPr>
        <w:t xml:space="preserve"> </w:t>
      </w:r>
      <w:r>
        <w:t>to</w:t>
      </w:r>
      <w:r>
        <w:rPr>
          <w:spacing w:val="-2"/>
        </w:rPr>
        <w:t xml:space="preserve"> </w:t>
      </w:r>
      <w:r>
        <w:t>tie</w:t>
      </w:r>
      <w:r>
        <w:rPr>
          <w:spacing w:val="-3"/>
        </w:rPr>
        <w:t xml:space="preserve"> </w:t>
      </w:r>
      <w:r>
        <w:t>my</w:t>
      </w:r>
      <w:r>
        <w:rPr>
          <w:spacing w:val="-2"/>
        </w:rPr>
        <w:t xml:space="preserve"> shoes.</w:t>
      </w:r>
    </w:p>
    <w:p w14:paraId="7E001622" w14:textId="77777777" w:rsidR="009A58DB" w:rsidRDefault="00000000">
      <w:pPr>
        <w:pStyle w:val="BodyText"/>
        <w:spacing w:before="10" w:line="249" w:lineRule="auto"/>
        <w:ind w:right="358" w:firstLine="360"/>
      </w:pPr>
      <w:r>
        <w:t xml:space="preserve">Many deny that procedural knowledge is </w:t>
      </w:r>
      <w:r>
        <w:rPr>
          <w:i/>
        </w:rPr>
        <w:t>bona</w:t>
      </w:r>
      <w:r>
        <w:rPr>
          <w:i/>
          <w:spacing w:val="-2"/>
        </w:rPr>
        <w:t xml:space="preserve"> </w:t>
      </w:r>
      <w:r>
        <w:rPr>
          <w:i/>
        </w:rPr>
        <w:t xml:space="preserve">fide </w:t>
      </w:r>
      <w:r>
        <w:t>knowledge. This is the exact opposite of the truth. What the virtuoso knows procedurally, the incompetent neophyte knows only discursively. As it deepens, knowledge becomes increasingly proceduralized. Non-procedural knowledge is poorly integrated knowledge; it is knowledge that hasn’t yet established the links to other pieces of knowledge that are needed to mobilize it. Procedural knowledge is knowledge that is sufficiently well-integrated to have established these links. It is therefore indefensible to hold that procedural knowledge is non-knowledge. We’ll say more about this in Section 9.3.</w:t>
      </w:r>
    </w:p>
    <w:p w14:paraId="7E001623" w14:textId="77777777" w:rsidR="009A58DB" w:rsidRDefault="00000000">
      <w:pPr>
        <w:pStyle w:val="BodyText"/>
        <w:spacing w:before="11" w:line="249" w:lineRule="auto"/>
        <w:ind w:right="366" w:firstLine="360"/>
      </w:pPr>
      <w:r>
        <w:t xml:space="preserve">We’ll find that the word “know” has meanings </w:t>
      </w:r>
      <w:r>
        <w:rPr>
          <w:i/>
        </w:rPr>
        <w:t>additional</w:t>
      </w:r>
      <w:r>
        <w:rPr>
          <w:i/>
          <w:spacing w:val="-4"/>
        </w:rPr>
        <w:t xml:space="preserve"> </w:t>
      </w:r>
      <w:r>
        <w:t>to those already discussed.</w:t>
      </w:r>
      <w:r>
        <w:rPr>
          <w:spacing w:val="-3"/>
        </w:rPr>
        <w:t xml:space="preserve"> </w:t>
      </w:r>
      <w:r>
        <w:t>But</w:t>
      </w:r>
      <w:r>
        <w:rPr>
          <w:spacing w:val="-4"/>
        </w:rPr>
        <w:t xml:space="preserve"> </w:t>
      </w:r>
      <w:r>
        <w:t>for</w:t>
      </w:r>
      <w:r>
        <w:rPr>
          <w:spacing w:val="-4"/>
        </w:rPr>
        <w:t xml:space="preserve"> </w:t>
      </w:r>
      <w:r>
        <w:t>the</w:t>
      </w:r>
      <w:r>
        <w:rPr>
          <w:spacing w:val="-4"/>
        </w:rPr>
        <w:t xml:space="preserve"> </w:t>
      </w:r>
      <w:r>
        <w:t>time</w:t>
      </w:r>
      <w:r>
        <w:rPr>
          <w:spacing w:val="-4"/>
        </w:rPr>
        <w:t xml:space="preserve"> </w:t>
      </w:r>
      <w:r>
        <w:t>being,</w:t>
      </w:r>
      <w:r>
        <w:rPr>
          <w:spacing w:val="-3"/>
        </w:rPr>
        <w:t xml:space="preserve"> </w:t>
      </w:r>
      <w:r>
        <w:t>when</w:t>
      </w:r>
      <w:r>
        <w:rPr>
          <w:spacing w:val="-3"/>
        </w:rPr>
        <w:t xml:space="preserve"> </w:t>
      </w:r>
      <w:r>
        <w:t>the</w:t>
      </w:r>
      <w:r>
        <w:rPr>
          <w:spacing w:val="-4"/>
        </w:rPr>
        <w:t xml:space="preserve"> </w:t>
      </w:r>
      <w:r>
        <w:t>word</w:t>
      </w:r>
      <w:r>
        <w:rPr>
          <w:spacing w:val="-3"/>
        </w:rPr>
        <w:t xml:space="preserve"> </w:t>
      </w:r>
      <w:r>
        <w:t>“know”</w:t>
      </w:r>
      <w:r>
        <w:rPr>
          <w:spacing w:val="-4"/>
        </w:rPr>
        <w:t xml:space="preserve"> </w:t>
      </w:r>
      <w:r>
        <w:t>is</w:t>
      </w:r>
      <w:r>
        <w:rPr>
          <w:spacing w:val="-4"/>
        </w:rPr>
        <w:t xml:space="preserve"> </w:t>
      </w:r>
      <w:r>
        <w:t>used,</w:t>
      </w:r>
      <w:r>
        <w:rPr>
          <w:spacing w:val="-3"/>
        </w:rPr>
        <w:t xml:space="preserve"> </w:t>
      </w:r>
      <w:r>
        <w:t>assume</w:t>
      </w:r>
      <w:r>
        <w:rPr>
          <w:spacing w:val="-4"/>
        </w:rPr>
        <w:t xml:space="preserve"> </w:t>
      </w:r>
      <w:r>
        <w:t>that it is referring to knowledge of truths, unless there is an explicit indication to the contrary.</w:t>
      </w:r>
    </w:p>
    <w:p w14:paraId="7E001624" w14:textId="77777777" w:rsidR="009A58DB" w:rsidRDefault="00000000">
      <w:pPr>
        <w:pStyle w:val="BodyText"/>
        <w:spacing w:before="5" w:line="249" w:lineRule="auto"/>
        <w:ind w:right="358" w:firstLine="360"/>
      </w:pPr>
      <w:r>
        <w:t xml:space="preserve">It should be pointed out that, even though, for the reasons given, the word “know” </w:t>
      </w:r>
      <w:r>
        <w:rPr>
          <w:i/>
        </w:rPr>
        <w:t xml:space="preserve">seems </w:t>
      </w:r>
      <w:r>
        <w:t>to have many meanings, some philosophers maintain that ultimately all knowledge is identical with knowledge of truths—in other words, that awareness of objects and also procedural knowledge, along with the other kinds of knowledge that we will talk about, are ultimately just different ways of knowing truths. But this is extremely controversial.</w:t>
      </w:r>
    </w:p>
    <w:p w14:paraId="7E001625" w14:textId="77777777" w:rsidR="009A58DB" w:rsidRDefault="009A58DB">
      <w:pPr>
        <w:pStyle w:val="BodyText"/>
        <w:spacing w:before="255"/>
        <w:ind w:left="0"/>
        <w:jc w:val="left"/>
      </w:pPr>
    </w:p>
    <w:p w14:paraId="7E001626" w14:textId="77777777" w:rsidR="009A58DB" w:rsidRDefault="00000000">
      <w:pPr>
        <w:pStyle w:val="Heading1"/>
        <w:numPr>
          <w:ilvl w:val="1"/>
          <w:numId w:val="140"/>
        </w:numPr>
        <w:tabs>
          <w:tab w:val="left" w:pos="990"/>
        </w:tabs>
        <w:spacing w:before="0"/>
      </w:pPr>
      <w:r>
        <w:t>Knowledge</w:t>
      </w:r>
      <w:r>
        <w:rPr>
          <w:spacing w:val="-8"/>
        </w:rPr>
        <w:t xml:space="preserve"> </w:t>
      </w:r>
      <w:r>
        <w:t>as</w:t>
      </w:r>
      <w:r>
        <w:rPr>
          <w:spacing w:val="-5"/>
        </w:rPr>
        <w:t xml:space="preserve"> </w:t>
      </w:r>
      <w:r>
        <w:t>justified</w:t>
      </w:r>
      <w:r>
        <w:rPr>
          <w:spacing w:val="-5"/>
        </w:rPr>
        <w:t xml:space="preserve"> </w:t>
      </w:r>
      <w:r>
        <w:t>true</w:t>
      </w:r>
      <w:r>
        <w:rPr>
          <w:spacing w:val="-5"/>
        </w:rPr>
        <w:t xml:space="preserve"> </w:t>
      </w:r>
      <w:r>
        <w:rPr>
          <w:spacing w:val="-2"/>
        </w:rPr>
        <w:t>belief</w:t>
      </w:r>
    </w:p>
    <w:p w14:paraId="7E001627" w14:textId="77777777" w:rsidR="009A58DB" w:rsidRDefault="00000000">
      <w:pPr>
        <w:pStyle w:val="BodyText"/>
        <w:spacing w:before="109" w:line="249" w:lineRule="auto"/>
        <w:ind w:right="360"/>
      </w:pPr>
      <w:r>
        <w:t>One</w:t>
      </w:r>
      <w:r>
        <w:rPr>
          <w:spacing w:val="-1"/>
        </w:rPr>
        <w:t xml:space="preserve"> </w:t>
      </w:r>
      <w:r>
        <w:t>cannot</w:t>
      </w:r>
      <w:r>
        <w:rPr>
          <w:spacing w:val="-1"/>
        </w:rPr>
        <w:t xml:space="preserve"> </w:t>
      </w:r>
      <w:r>
        <w:t>know</w:t>
      </w:r>
      <w:r>
        <w:rPr>
          <w:spacing w:val="-1"/>
        </w:rPr>
        <w:t xml:space="preserve"> </w:t>
      </w:r>
      <w:r>
        <w:t>something false. Of</w:t>
      </w:r>
      <w:r>
        <w:rPr>
          <w:spacing w:val="-1"/>
        </w:rPr>
        <w:t xml:space="preserve"> </w:t>
      </w:r>
      <w:r>
        <w:t xml:space="preserve">course, people often firmly </w:t>
      </w:r>
      <w:r>
        <w:rPr>
          <w:i/>
        </w:rPr>
        <w:t>believe</w:t>
      </w:r>
      <w:r>
        <w:rPr>
          <w:i/>
          <w:spacing w:val="-4"/>
        </w:rPr>
        <w:t xml:space="preserve"> </w:t>
      </w:r>
      <w:r>
        <w:t>that they</w:t>
      </w:r>
      <w:r>
        <w:rPr>
          <w:spacing w:val="-3"/>
        </w:rPr>
        <w:t xml:space="preserve"> </w:t>
      </w:r>
      <w:r>
        <w:t>know</w:t>
      </w:r>
      <w:r>
        <w:rPr>
          <w:spacing w:val="-3"/>
        </w:rPr>
        <w:t xml:space="preserve"> </w:t>
      </w:r>
      <w:r>
        <w:t>things</w:t>
      </w:r>
      <w:r>
        <w:rPr>
          <w:spacing w:val="-3"/>
        </w:rPr>
        <w:t xml:space="preserve"> </w:t>
      </w:r>
      <w:r>
        <w:t>that</w:t>
      </w:r>
      <w:r>
        <w:rPr>
          <w:spacing w:val="-2"/>
        </w:rPr>
        <w:t xml:space="preserve"> </w:t>
      </w:r>
      <w:r>
        <w:t>are</w:t>
      </w:r>
      <w:r>
        <w:rPr>
          <w:spacing w:val="-3"/>
        </w:rPr>
        <w:t xml:space="preserve"> </w:t>
      </w:r>
      <w:r>
        <w:t>in</w:t>
      </w:r>
      <w:r>
        <w:rPr>
          <w:spacing w:val="-3"/>
        </w:rPr>
        <w:t xml:space="preserve"> </w:t>
      </w:r>
      <w:r>
        <w:t>fact</w:t>
      </w:r>
      <w:r>
        <w:rPr>
          <w:spacing w:val="-3"/>
        </w:rPr>
        <w:t xml:space="preserve"> </w:t>
      </w:r>
      <w:r>
        <w:t>false.</w:t>
      </w:r>
      <w:r>
        <w:rPr>
          <w:spacing w:val="-2"/>
        </w:rPr>
        <w:t xml:space="preserve"> </w:t>
      </w:r>
      <w:r>
        <w:t>People</w:t>
      </w:r>
      <w:r>
        <w:rPr>
          <w:spacing w:val="-3"/>
        </w:rPr>
        <w:t xml:space="preserve"> </w:t>
      </w:r>
      <w:r>
        <w:t>can</w:t>
      </w:r>
      <w:r>
        <w:rPr>
          <w:spacing w:val="-3"/>
        </w:rPr>
        <w:t xml:space="preserve"> </w:t>
      </w:r>
      <w:r>
        <w:t>believe</w:t>
      </w:r>
      <w:r>
        <w:rPr>
          <w:spacing w:val="-3"/>
        </w:rPr>
        <w:t xml:space="preserve"> </w:t>
      </w:r>
      <w:r>
        <w:t>that</w:t>
      </w:r>
      <w:r>
        <w:rPr>
          <w:spacing w:val="-2"/>
        </w:rPr>
        <w:t xml:space="preserve"> </w:t>
      </w:r>
      <w:r>
        <w:t>the</w:t>
      </w:r>
      <w:r>
        <w:rPr>
          <w:spacing w:val="-3"/>
        </w:rPr>
        <w:t xml:space="preserve"> </w:t>
      </w:r>
      <w:r>
        <w:t>Earth</w:t>
      </w:r>
      <w:r>
        <w:rPr>
          <w:spacing w:val="-3"/>
        </w:rPr>
        <w:t xml:space="preserve"> </w:t>
      </w:r>
      <w:r>
        <w:t>is</w:t>
      </w:r>
      <w:r>
        <w:rPr>
          <w:spacing w:val="-2"/>
        </w:rPr>
        <w:t xml:space="preserve"> </w:t>
      </w:r>
      <w:r>
        <w:t xml:space="preserve">flat with as much conviction as they can believe that the Earth is round. The distinction between a true belief and a false one is not always marked by internal psychological or emotional differences. For example, one cannot tell whether a belief that one has is true or false merely on the basis of the intensity of that belief. In any case, it is a simple fact that only truths can be </w:t>
      </w:r>
      <w:r>
        <w:rPr>
          <w:spacing w:val="-2"/>
        </w:rPr>
        <w:t>known.</w:t>
      </w:r>
    </w:p>
    <w:p w14:paraId="7E001628" w14:textId="77777777" w:rsidR="009A58DB" w:rsidRDefault="00000000">
      <w:pPr>
        <w:pStyle w:val="BodyText"/>
        <w:spacing w:before="10" w:line="249" w:lineRule="auto"/>
        <w:ind w:right="359" w:firstLine="360"/>
      </w:pPr>
      <w:r>
        <w:t>All cases of knowledge are cases of belief. If you know something, you believe it. If you know that Paris is the Capital of France, you believe it. If, speaking non-ironically, somebody said “I know that Paris is the capital of France, but I don’t believe it,” that person would be uttering nonsense.</w:t>
      </w:r>
    </w:p>
    <w:p w14:paraId="7E00162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2A" w14:textId="77777777" w:rsidR="009A58DB" w:rsidRDefault="00000000">
      <w:pPr>
        <w:pStyle w:val="BodyText"/>
        <w:spacing w:before="65" w:line="249" w:lineRule="auto"/>
        <w:ind w:right="360" w:firstLine="360"/>
      </w:pPr>
      <w:r>
        <w:lastRenderedPageBreak/>
        <w:t xml:space="preserve">But not all instances of belief are instances of knowledge. We’ve already seen one reason for this. False beliefs are not knowledge. But there is another reason why not all belief is knowledge. A belief must be </w:t>
      </w:r>
      <w:r>
        <w:rPr>
          <w:i/>
        </w:rPr>
        <w:t>justified</w:t>
      </w:r>
      <w:r>
        <w:rPr>
          <w:i/>
          <w:spacing w:val="-3"/>
        </w:rPr>
        <w:t xml:space="preserve"> </w:t>
      </w:r>
      <w:r>
        <w:t xml:space="preserve">if it is to be </w:t>
      </w:r>
      <w:r>
        <w:rPr>
          <w:spacing w:val="-2"/>
        </w:rPr>
        <w:t>knowledge.</w:t>
      </w:r>
    </w:p>
    <w:p w14:paraId="7E00162B" w14:textId="77777777" w:rsidR="009A58DB" w:rsidRDefault="00000000">
      <w:pPr>
        <w:pStyle w:val="BodyText"/>
        <w:spacing w:before="5" w:line="249" w:lineRule="auto"/>
        <w:ind w:right="359" w:firstLine="360"/>
      </w:pPr>
      <w:r>
        <w:t>A lucky guess is not knowledge. Suppose that you’re taking a multiple-choice test and you come across the following question:</w:t>
      </w:r>
    </w:p>
    <w:p w14:paraId="7E00162C" w14:textId="77777777" w:rsidR="009A58DB" w:rsidRDefault="009A58DB">
      <w:pPr>
        <w:pStyle w:val="BodyText"/>
        <w:spacing w:before="17"/>
        <w:ind w:left="0"/>
        <w:jc w:val="left"/>
      </w:pPr>
    </w:p>
    <w:p w14:paraId="7E00162D" w14:textId="77777777" w:rsidR="009A58DB" w:rsidRDefault="00000000">
      <w:pPr>
        <w:pStyle w:val="BodyText"/>
        <w:jc w:val="left"/>
      </w:pPr>
      <w:r>
        <w:t>With</w:t>
      </w:r>
      <w:r>
        <w:rPr>
          <w:spacing w:val="-5"/>
        </w:rPr>
        <w:t xml:space="preserve"> </w:t>
      </w:r>
      <w:r>
        <w:t>what</w:t>
      </w:r>
      <w:r>
        <w:rPr>
          <w:spacing w:val="-4"/>
        </w:rPr>
        <w:t xml:space="preserve"> </w:t>
      </w:r>
      <w:r>
        <w:t>digit</w:t>
      </w:r>
      <w:r>
        <w:rPr>
          <w:spacing w:val="-4"/>
        </w:rPr>
        <w:t xml:space="preserve"> </w:t>
      </w:r>
      <w:r>
        <w:t>does</w:t>
      </w:r>
      <w:r>
        <w:rPr>
          <w:spacing w:val="-4"/>
        </w:rPr>
        <w:t xml:space="preserve"> </w:t>
      </w:r>
      <w:r>
        <w:t>Professor</w:t>
      </w:r>
      <w:r>
        <w:rPr>
          <w:spacing w:val="-3"/>
        </w:rPr>
        <w:t xml:space="preserve"> </w:t>
      </w:r>
      <w:r>
        <w:t>Kuczynski’s</w:t>
      </w:r>
      <w:r>
        <w:rPr>
          <w:spacing w:val="-4"/>
        </w:rPr>
        <w:t xml:space="preserve"> </w:t>
      </w:r>
      <w:r>
        <w:t>phone</w:t>
      </w:r>
      <w:r>
        <w:rPr>
          <w:spacing w:val="-4"/>
        </w:rPr>
        <w:t xml:space="preserve"> </w:t>
      </w:r>
      <w:r>
        <w:t>number</w:t>
      </w:r>
      <w:r>
        <w:rPr>
          <w:spacing w:val="-3"/>
        </w:rPr>
        <w:t xml:space="preserve"> </w:t>
      </w:r>
      <w:r>
        <w:rPr>
          <w:spacing w:val="-4"/>
        </w:rPr>
        <w:t>end?</w:t>
      </w:r>
    </w:p>
    <w:p w14:paraId="7E00162E" w14:textId="77777777" w:rsidR="009A58DB" w:rsidRDefault="009A58DB">
      <w:pPr>
        <w:pStyle w:val="BodyText"/>
        <w:spacing w:before="30"/>
        <w:ind w:left="0"/>
        <w:jc w:val="left"/>
      </w:pPr>
    </w:p>
    <w:p w14:paraId="7E00162F" w14:textId="77777777" w:rsidR="009A58DB" w:rsidRDefault="00000000">
      <w:pPr>
        <w:pStyle w:val="BodyText"/>
        <w:jc w:val="left"/>
      </w:pPr>
      <w:r>
        <w:t>(a)</w:t>
      </w:r>
      <w:r>
        <w:rPr>
          <w:spacing w:val="-5"/>
        </w:rPr>
        <w:t xml:space="preserve"> </w:t>
      </w:r>
      <w:r>
        <w:rPr>
          <w:spacing w:val="-10"/>
        </w:rPr>
        <w:t>9</w:t>
      </w:r>
    </w:p>
    <w:p w14:paraId="7E001630" w14:textId="77777777" w:rsidR="009A58DB" w:rsidRDefault="00000000">
      <w:pPr>
        <w:pStyle w:val="BodyText"/>
        <w:spacing w:before="15"/>
        <w:jc w:val="left"/>
      </w:pPr>
      <w:r>
        <w:t>(b)</w:t>
      </w:r>
      <w:r>
        <w:rPr>
          <w:spacing w:val="-2"/>
        </w:rPr>
        <w:t xml:space="preserve"> </w:t>
      </w:r>
      <w:r>
        <w:rPr>
          <w:spacing w:val="-10"/>
        </w:rPr>
        <w:t>3</w:t>
      </w:r>
    </w:p>
    <w:p w14:paraId="7E001631" w14:textId="77777777" w:rsidR="009A58DB" w:rsidRDefault="00000000">
      <w:pPr>
        <w:pStyle w:val="BodyText"/>
        <w:spacing w:before="15"/>
        <w:jc w:val="left"/>
      </w:pPr>
      <w:r>
        <w:t>(c)</w:t>
      </w:r>
      <w:r>
        <w:rPr>
          <w:spacing w:val="-5"/>
        </w:rPr>
        <w:t xml:space="preserve"> </w:t>
      </w:r>
      <w:r>
        <w:rPr>
          <w:spacing w:val="-10"/>
        </w:rPr>
        <w:t>2</w:t>
      </w:r>
    </w:p>
    <w:p w14:paraId="7E001632" w14:textId="77777777" w:rsidR="009A58DB" w:rsidRDefault="00000000">
      <w:pPr>
        <w:pStyle w:val="BodyText"/>
        <w:spacing w:before="15"/>
        <w:jc w:val="left"/>
      </w:pPr>
      <w:r>
        <w:t>(d)</w:t>
      </w:r>
      <w:r>
        <w:rPr>
          <w:spacing w:val="-2"/>
        </w:rPr>
        <w:t xml:space="preserve"> </w:t>
      </w:r>
      <w:r>
        <w:rPr>
          <w:spacing w:val="-10"/>
        </w:rPr>
        <w:t>0</w:t>
      </w:r>
    </w:p>
    <w:p w14:paraId="7E001633" w14:textId="77777777" w:rsidR="009A58DB" w:rsidRDefault="00000000">
      <w:pPr>
        <w:pStyle w:val="BodyText"/>
        <w:spacing w:before="15"/>
        <w:jc w:val="left"/>
      </w:pPr>
      <w:r>
        <w:t>(e)</w:t>
      </w:r>
      <w:r>
        <w:rPr>
          <w:spacing w:val="-2"/>
        </w:rPr>
        <w:t xml:space="preserve"> </w:t>
      </w:r>
      <w:r>
        <w:t>none</w:t>
      </w:r>
      <w:r>
        <w:rPr>
          <w:spacing w:val="-2"/>
        </w:rPr>
        <w:t xml:space="preserve"> </w:t>
      </w:r>
      <w:r>
        <w:t>of</w:t>
      </w:r>
      <w:r>
        <w:rPr>
          <w:spacing w:val="-2"/>
        </w:rPr>
        <w:t xml:space="preserve"> </w:t>
      </w:r>
      <w:r>
        <w:t>the</w:t>
      </w:r>
      <w:r>
        <w:rPr>
          <w:spacing w:val="-1"/>
        </w:rPr>
        <w:t xml:space="preserve"> </w:t>
      </w:r>
      <w:r>
        <w:rPr>
          <w:spacing w:val="-2"/>
        </w:rPr>
        <w:t>above</w:t>
      </w:r>
    </w:p>
    <w:p w14:paraId="7E001634" w14:textId="77777777" w:rsidR="009A58DB" w:rsidRDefault="009A58DB">
      <w:pPr>
        <w:pStyle w:val="BodyText"/>
        <w:spacing w:before="30"/>
        <w:ind w:left="0"/>
        <w:jc w:val="left"/>
      </w:pPr>
    </w:p>
    <w:p w14:paraId="7E001635" w14:textId="77777777" w:rsidR="009A58DB" w:rsidRDefault="00000000">
      <w:pPr>
        <w:pStyle w:val="BodyText"/>
        <w:spacing w:line="249" w:lineRule="auto"/>
        <w:ind w:right="363" w:firstLine="360"/>
      </w:pPr>
      <w:r>
        <w:t xml:space="preserve">A lucky guess will be enough for credit on the test, but it won’t be enough for knowledge. You have must have some good reason for your choice. Your opinion as to what the right answer is must be </w:t>
      </w:r>
      <w:r>
        <w:rPr>
          <w:i/>
        </w:rPr>
        <w:t xml:space="preserve">justified </w:t>
      </w:r>
      <w:r>
        <w:t xml:space="preserve">for it to qualify as </w:t>
      </w:r>
      <w:r>
        <w:rPr>
          <w:spacing w:val="-2"/>
        </w:rPr>
        <w:t>knowledge.</w:t>
      </w:r>
    </w:p>
    <w:p w14:paraId="7E001636" w14:textId="77777777" w:rsidR="009A58DB" w:rsidRDefault="00000000">
      <w:pPr>
        <w:pStyle w:val="BodyText"/>
        <w:spacing w:before="5" w:line="249" w:lineRule="auto"/>
        <w:ind w:right="359" w:firstLine="360"/>
      </w:pPr>
      <w:r>
        <w:t>There are a lot of ways that you can have such a justification. Maybe I’ve told you my number. Maybe you saw it on one of my class handouts. Maybe you hired a private detective to find it out. All of these would be good</w:t>
      </w:r>
      <w:r>
        <w:rPr>
          <w:spacing w:val="40"/>
        </w:rPr>
        <w:t xml:space="preserve"> </w:t>
      </w:r>
      <w:r>
        <w:t xml:space="preserve">sources of justification. But without some such source, you don’t have </w:t>
      </w:r>
      <w:r>
        <w:rPr>
          <w:spacing w:val="-2"/>
        </w:rPr>
        <w:t>knowledge.</w:t>
      </w:r>
    </w:p>
    <w:p w14:paraId="7E001637" w14:textId="77777777" w:rsidR="009A58DB" w:rsidRDefault="00000000">
      <w:pPr>
        <w:pStyle w:val="BodyText"/>
        <w:spacing w:before="6" w:line="249" w:lineRule="auto"/>
        <w:ind w:right="360" w:firstLine="360"/>
      </w:pPr>
      <w:r>
        <w:t xml:space="preserve">Also, spurious reasons that happen to lead to the right answer are not enough for knowledge. Suppose that you believe, wrongly, that all people with red hair have cancer; and also suppose that, for that reason, you believe that your red-haired friend Bob has cancer. It may be that Bob </w:t>
      </w:r>
      <w:r>
        <w:rPr>
          <w:i/>
        </w:rPr>
        <w:t xml:space="preserve">does </w:t>
      </w:r>
      <w:r>
        <w:t xml:space="preserve">have cancer. But your reason for believing this is spurious; so you don’t </w:t>
      </w:r>
      <w:r>
        <w:rPr>
          <w:i/>
        </w:rPr>
        <w:t xml:space="preserve">know </w:t>
      </w:r>
      <w:r>
        <w:t>it.</w:t>
      </w:r>
    </w:p>
    <w:p w14:paraId="7E001638" w14:textId="77777777" w:rsidR="009A58DB" w:rsidRDefault="00000000">
      <w:pPr>
        <w:pStyle w:val="BodyText"/>
        <w:spacing w:before="6" w:line="249" w:lineRule="auto"/>
        <w:ind w:right="359" w:firstLine="360"/>
      </w:pPr>
      <w:r>
        <w:t xml:space="preserve">It is a general principle of logic that false premises can lead to true conclusion; misinformation can lead to correct beliefs. Of course, accurate information is much more </w:t>
      </w:r>
      <w:r>
        <w:rPr>
          <w:i/>
        </w:rPr>
        <w:t xml:space="preserve">reliable </w:t>
      </w:r>
      <w:r>
        <w:t>than misinformation. A person whose methods are sound and whose premises are correct is considerably more likely</w:t>
      </w:r>
      <w:r>
        <w:rPr>
          <w:spacing w:val="-2"/>
        </w:rPr>
        <w:t xml:space="preserve"> </w:t>
      </w:r>
      <w:r>
        <w:t>than</w:t>
      </w:r>
      <w:r>
        <w:rPr>
          <w:spacing w:val="-1"/>
        </w:rPr>
        <w:t xml:space="preserve"> </w:t>
      </w:r>
      <w:r>
        <w:t>he</w:t>
      </w:r>
      <w:r>
        <w:rPr>
          <w:spacing w:val="-2"/>
        </w:rPr>
        <w:t xml:space="preserve"> </w:t>
      </w:r>
      <w:r>
        <w:t>would</w:t>
      </w:r>
      <w:r>
        <w:rPr>
          <w:spacing w:val="-1"/>
        </w:rPr>
        <w:t xml:space="preserve"> </w:t>
      </w:r>
      <w:r>
        <w:t>otherwise</w:t>
      </w:r>
      <w:r>
        <w:rPr>
          <w:spacing w:val="-2"/>
        </w:rPr>
        <w:t xml:space="preserve"> </w:t>
      </w:r>
      <w:r>
        <w:t>be</w:t>
      </w:r>
      <w:r>
        <w:rPr>
          <w:spacing w:val="-1"/>
        </w:rPr>
        <w:t xml:space="preserve"> </w:t>
      </w:r>
      <w:r>
        <w:t>to</w:t>
      </w:r>
      <w:r>
        <w:rPr>
          <w:spacing w:val="-1"/>
        </w:rPr>
        <w:t xml:space="preserve"> </w:t>
      </w:r>
      <w:r>
        <w:t>find</w:t>
      </w:r>
      <w:r>
        <w:rPr>
          <w:spacing w:val="-2"/>
        </w:rPr>
        <w:t xml:space="preserve"> </w:t>
      </w:r>
      <w:r>
        <w:t>out</w:t>
      </w:r>
      <w:r>
        <w:rPr>
          <w:spacing w:val="-1"/>
        </w:rPr>
        <w:t xml:space="preserve"> </w:t>
      </w:r>
      <w:r>
        <w:t>the</w:t>
      </w:r>
      <w:r>
        <w:rPr>
          <w:spacing w:val="-2"/>
        </w:rPr>
        <w:t xml:space="preserve"> </w:t>
      </w:r>
      <w:r>
        <w:t>truth.</w:t>
      </w:r>
      <w:r>
        <w:rPr>
          <w:spacing w:val="-1"/>
        </w:rPr>
        <w:t xml:space="preserve"> </w:t>
      </w:r>
      <w:r>
        <w:t>But</w:t>
      </w:r>
      <w:r>
        <w:rPr>
          <w:spacing w:val="-2"/>
        </w:rPr>
        <w:t xml:space="preserve"> </w:t>
      </w:r>
      <w:r>
        <w:t>false</w:t>
      </w:r>
      <w:r>
        <w:rPr>
          <w:spacing w:val="-1"/>
        </w:rPr>
        <w:t xml:space="preserve"> </w:t>
      </w:r>
      <w:r>
        <w:t>premises</w:t>
      </w:r>
      <w:r>
        <w:rPr>
          <w:spacing w:val="-1"/>
        </w:rPr>
        <w:t xml:space="preserve"> </w:t>
      </w:r>
      <w:r>
        <w:t>and unsound methodologies can lead to truth. When it happens, it’s a kind of accident, as our previous example shows. But accidents do happen.</w:t>
      </w:r>
    </w:p>
    <w:p w14:paraId="7E00163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3A" w14:textId="77777777" w:rsidR="009A58DB" w:rsidRDefault="00000000">
      <w:pPr>
        <w:pStyle w:val="BodyText"/>
        <w:spacing w:before="65" w:line="249" w:lineRule="auto"/>
        <w:ind w:left="720"/>
        <w:jc w:val="left"/>
      </w:pPr>
      <w:r>
        <w:lastRenderedPageBreak/>
        <w:t>So</w:t>
      </w:r>
      <w:r>
        <w:rPr>
          <w:spacing w:val="80"/>
        </w:rPr>
        <w:t xml:space="preserve"> </w:t>
      </w:r>
      <w:r>
        <w:t>for</w:t>
      </w:r>
      <w:r>
        <w:rPr>
          <w:spacing w:val="80"/>
        </w:rPr>
        <w:t xml:space="preserve"> </w:t>
      </w:r>
      <w:r>
        <w:t>something</w:t>
      </w:r>
      <w:r>
        <w:rPr>
          <w:spacing w:val="80"/>
        </w:rPr>
        <w:t xml:space="preserve"> </w:t>
      </w:r>
      <w:r>
        <w:t>to</w:t>
      </w:r>
      <w:r>
        <w:rPr>
          <w:spacing w:val="80"/>
        </w:rPr>
        <w:t xml:space="preserve"> </w:t>
      </w:r>
      <w:r>
        <w:t>be</w:t>
      </w:r>
      <w:r>
        <w:rPr>
          <w:spacing w:val="80"/>
        </w:rPr>
        <w:t xml:space="preserve"> </w:t>
      </w:r>
      <w:r>
        <w:t>knowledge</w:t>
      </w:r>
      <w:r>
        <w:rPr>
          <w:spacing w:val="80"/>
        </w:rPr>
        <w:t xml:space="preserve"> </w:t>
      </w:r>
      <w:r>
        <w:t>it</w:t>
      </w:r>
      <w:r>
        <w:rPr>
          <w:spacing w:val="80"/>
        </w:rPr>
        <w:t xml:space="preserve"> </w:t>
      </w:r>
      <w:r>
        <w:t>must</w:t>
      </w:r>
      <w:r>
        <w:rPr>
          <w:spacing w:val="80"/>
        </w:rPr>
        <w:t xml:space="preserve"> </w:t>
      </w:r>
      <w:r>
        <w:t>have</w:t>
      </w:r>
      <w:r>
        <w:rPr>
          <w:spacing w:val="80"/>
        </w:rPr>
        <w:t xml:space="preserve"> </w:t>
      </w:r>
      <w:r>
        <w:t>the</w:t>
      </w:r>
      <w:r>
        <w:rPr>
          <w:spacing w:val="80"/>
        </w:rPr>
        <w:t xml:space="preserve"> </w:t>
      </w:r>
      <w:r>
        <w:t>following</w:t>
      </w:r>
      <w:r>
        <w:rPr>
          <w:spacing w:val="80"/>
        </w:rPr>
        <w:t xml:space="preserve"> </w:t>
      </w:r>
      <w:r>
        <w:t xml:space="preserve">three </w:t>
      </w:r>
      <w:r>
        <w:rPr>
          <w:spacing w:val="-2"/>
        </w:rPr>
        <w:t>characteristics:</w:t>
      </w:r>
    </w:p>
    <w:p w14:paraId="7E00163B" w14:textId="77777777" w:rsidR="009A58DB" w:rsidRDefault="009A58DB">
      <w:pPr>
        <w:pStyle w:val="BodyText"/>
        <w:spacing w:before="17"/>
        <w:ind w:left="0"/>
        <w:jc w:val="left"/>
      </w:pPr>
    </w:p>
    <w:p w14:paraId="7E00163C" w14:textId="77777777" w:rsidR="009A58DB" w:rsidRDefault="00000000">
      <w:pPr>
        <w:pStyle w:val="ListParagraph"/>
        <w:numPr>
          <w:ilvl w:val="0"/>
          <w:numId w:val="139"/>
        </w:numPr>
        <w:tabs>
          <w:tab w:val="left" w:pos="782"/>
        </w:tabs>
        <w:ind w:left="782" w:hanging="422"/>
        <w:rPr>
          <w:sz w:val="30"/>
        </w:rPr>
      </w:pPr>
      <w:r>
        <w:rPr>
          <w:sz w:val="30"/>
        </w:rPr>
        <w:t>it</w:t>
      </w:r>
      <w:r>
        <w:rPr>
          <w:spacing w:val="-2"/>
          <w:sz w:val="30"/>
        </w:rPr>
        <w:t xml:space="preserve"> </w:t>
      </w:r>
      <w:r>
        <w:rPr>
          <w:sz w:val="30"/>
        </w:rPr>
        <w:t>must</w:t>
      </w:r>
      <w:r>
        <w:rPr>
          <w:spacing w:val="-2"/>
          <w:sz w:val="30"/>
        </w:rPr>
        <w:t xml:space="preserve"> </w:t>
      </w:r>
      <w:r>
        <w:rPr>
          <w:sz w:val="30"/>
        </w:rPr>
        <w:t>be</w:t>
      </w:r>
      <w:r>
        <w:rPr>
          <w:spacing w:val="-2"/>
          <w:sz w:val="30"/>
        </w:rPr>
        <w:t xml:space="preserve"> </w:t>
      </w:r>
      <w:r>
        <w:rPr>
          <w:spacing w:val="-4"/>
          <w:sz w:val="30"/>
        </w:rPr>
        <w:t>true;</w:t>
      </w:r>
    </w:p>
    <w:p w14:paraId="7E00163D" w14:textId="77777777" w:rsidR="009A58DB" w:rsidRDefault="00000000">
      <w:pPr>
        <w:pStyle w:val="ListParagraph"/>
        <w:numPr>
          <w:ilvl w:val="0"/>
          <w:numId w:val="139"/>
        </w:numPr>
        <w:tabs>
          <w:tab w:val="left" w:pos="782"/>
        </w:tabs>
        <w:spacing w:before="15"/>
        <w:ind w:left="782" w:hanging="422"/>
        <w:rPr>
          <w:sz w:val="30"/>
        </w:rPr>
      </w:pPr>
      <w:r>
        <w:rPr>
          <w:sz w:val="30"/>
        </w:rPr>
        <w:t>it</w:t>
      </w:r>
      <w:r>
        <w:rPr>
          <w:spacing w:val="-3"/>
          <w:sz w:val="30"/>
        </w:rPr>
        <w:t xml:space="preserve"> </w:t>
      </w:r>
      <w:r>
        <w:rPr>
          <w:sz w:val="30"/>
        </w:rPr>
        <w:t>must</w:t>
      </w:r>
      <w:r>
        <w:rPr>
          <w:spacing w:val="-3"/>
          <w:sz w:val="30"/>
        </w:rPr>
        <w:t xml:space="preserve"> </w:t>
      </w:r>
      <w:r>
        <w:rPr>
          <w:sz w:val="30"/>
        </w:rPr>
        <w:t>be</w:t>
      </w:r>
      <w:r>
        <w:rPr>
          <w:spacing w:val="-2"/>
          <w:sz w:val="30"/>
        </w:rPr>
        <w:t xml:space="preserve"> </w:t>
      </w:r>
      <w:r>
        <w:rPr>
          <w:sz w:val="30"/>
        </w:rPr>
        <w:t>a</w:t>
      </w:r>
      <w:r>
        <w:rPr>
          <w:spacing w:val="-3"/>
          <w:sz w:val="30"/>
        </w:rPr>
        <w:t xml:space="preserve"> </w:t>
      </w:r>
      <w:r>
        <w:rPr>
          <w:sz w:val="30"/>
        </w:rPr>
        <w:t>belief;</w:t>
      </w:r>
      <w:r>
        <w:rPr>
          <w:spacing w:val="-2"/>
          <w:sz w:val="30"/>
        </w:rPr>
        <w:t xml:space="preserve"> </w:t>
      </w:r>
      <w:r>
        <w:rPr>
          <w:spacing w:val="-5"/>
          <w:sz w:val="30"/>
        </w:rPr>
        <w:t>and</w:t>
      </w:r>
    </w:p>
    <w:p w14:paraId="7E00163E" w14:textId="77777777" w:rsidR="009A58DB" w:rsidRDefault="00000000">
      <w:pPr>
        <w:pStyle w:val="ListParagraph"/>
        <w:numPr>
          <w:ilvl w:val="0"/>
          <w:numId w:val="139"/>
        </w:numPr>
        <w:tabs>
          <w:tab w:val="left" w:pos="782"/>
        </w:tabs>
        <w:spacing w:before="15"/>
        <w:ind w:left="782" w:hanging="422"/>
        <w:rPr>
          <w:sz w:val="30"/>
        </w:rPr>
      </w:pPr>
      <w:r>
        <w:rPr>
          <w:sz w:val="30"/>
        </w:rPr>
        <w:t>it</w:t>
      </w:r>
      <w:r>
        <w:rPr>
          <w:spacing w:val="-2"/>
          <w:sz w:val="30"/>
        </w:rPr>
        <w:t xml:space="preserve"> </w:t>
      </w:r>
      <w:r>
        <w:rPr>
          <w:sz w:val="30"/>
        </w:rPr>
        <w:t>must</w:t>
      </w:r>
      <w:r>
        <w:rPr>
          <w:spacing w:val="-2"/>
          <w:sz w:val="30"/>
        </w:rPr>
        <w:t xml:space="preserve"> </w:t>
      </w:r>
      <w:r>
        <w:rPr>
          <w:sz w:val="30"/>
        </w:rPr>
        <w:t>be</w:t>
      </w:r>
      <w:r>
        <w:rPr>
          <w:spacing w:val="-2"/>
          <w:sz w:val="30"/>
        </w:rPr>
        <w:t xml:space="preserve"> justified.</w:t>
      </w:r>
    </w:p>
    <w:p w14:paraId="7E00163F" w14:textId="77777777" w:rsidR="009A58DB" w:rsidRDefault="009A58DB">
      <w:pPr>
        <w:pStyle w:val="BodyText"/>
        <w:spacing w:before="30"/>
        <w:ind w:left="0"/>
        <w:jc w:val="left"/>
      </w:pPr>
    </w:p>
    <w:p w14:paraId="7E001640" w14:textId="77777777" w:rsidR="009A58DB" w:rsidRDefault="00000000">
      <w:pPr>
        <w:pStyle w:val="BodyText"/>
        <w:ind w:left="720"/>
        <w:jc w:val="left"/>
      </w:pPr>
      <w:r>
        <w:t>Thus,</w:t>
      </w:r>
      <w:r>
        <w:rPr>
          <w:spacing w:val="-5"/>
        </w:rPr>
        <w:t xml:space="preserve"> </w:t>
      </w:r>
      <w:r>
        <w:t>all</w:t>
      </w:r>
      <w:r>
        <w:rPr>
          <w:spacing w:val="-4"/>
        </w:rPr>
        <w:t xml:space="preserve"> </w:t>
      </w:r>
      <w:r>
        <w:t>cases</w:t>
      </w:r>
      <w:r>
        <w:rPr>
          <w:spacing w:val="-3"/>
        </w:rPr>
        <w:t xml:space="preserve"> </w:t>
      </w:r>
      <w:r>
        <w:t>of</w:t>
      </w:r>
      <w:r>
        <w:rPr>
          <w:spacing w:val="-4"/>
        </w:rPr>
        <w:t xml:space="preserve"> </w:t>
      </w:r>
      <w:r>
        <w:t>knowledge</w:t>
      </w:r>
      <w:r>
        <w:rPr>
          <w:spacing w:val="-3"/>
        </w:rPr>
        <w:t xml:space="preserve"> </w:t>
      </w:r>
      <w:r>
        <w:t>are</w:t>
      </w:r>
      <w:r>
        <w:rPr>
          <w:spacing w:val="-4"/>
        </w:rPr>
        <w:t xml:space="preserve"> </w:t>
      </w:r>
      <w:r>
        <w:t>cases</w:t>
      </w:r>
      <w:r>
        <w:rPr>
          <w:spacing w:val="-4"/>
        </w:rPr>
        <w:t xml:space="preserve"> </w:t>
      </w:r>
      <w:r>
        <w:t>of</w:t>
      </w:r>
      <w:r>
        <w:rPr>
          <w:spacing w:val="-3"/>
        </w:rPr>
        <w:t xml:space="preserve"> </w:t>
      </w:r>
      <w:r>
        <w:t>justified</w:t>
      </w:r>
      <w:r>
        <w:rPr>
          <w:spacing w:val="-3"/>
        </w:rPr>
        <w:t xml:space="preserve"> </w:t>
      </w:r>
      <w:r>
        <w:t>true</w:t>
      </w:r>
      <w:r>
        <w:rPr>
          <w:spacing w:val="-3"/>
        </w:rPr>
        <w:t xml:space="preserve"> </w:t>
      </w:r>
      <w:r>
        <w:rPr>
          <w:spacing w:val="-2"/>
        </w:rPr>
        <w:t>belief.</w:t>
      </w:r>
    </w:p>
    <w:p w14:paraId="7E001641" w14:textId="77777777" w:rsidR="009A58DB" w:rsidRDefault="00000000">
      <w:pPr>
        <w:pStyle w:val="Heading1"/>
        <w:numPr>
          <w:ilvl w:val="1"/>
          <w:numId w:val="140"/>
        </w:numPr>
        <w:tabs>
          <w:tab w:val="left" w:pos="990"/>
        </w:tabs>
      </w:pPr>
      <w:r>
        <w:t>What</w:t>
      </w:r>
      <w:r>
        <w:rPr>
          <w:spacing w:val="-6"/>
        </w:rPr>
        <w:t xml:space="preserve"> </w:t>
      </w:r>
      <w:r>
        <w:t>constitutes</w:t>
      </w:r>
      <w:r>
        <w:rPr>
          <w:spacing w:val="-6"/>
        </w:rPr>
        <w:t xml:space="preserve"> </w:t>
      </w:r>
      <w:r>
        <w:rPr>
          <w:spacing w:val="-2"/>
        </w:rPr>
        <w:t>justification?</w:t>
      </w:r>
    </w:p>
    <w:p w14:paraId="7E001642" w14:textId="77777777" w:rsidR="009A58DB" w:rsidRDefault="00000000">
      <w:pPr>
        <w:pStyle w:val="BodyText"/>
        <w:spacing w:before="139" w:line="249" w:lineRule="auto"/>
        <w:ind w:right="358"/>
      </w:pPr>
      <w:r>
        <w:t>We must define a few more terms before we can answer this question. The term “perceptual” means having to do with sense-perception—that is, with sight, hearing, sound, taste, smell, bodily sensations (e.g., stomach aches), and also sensations of motion and resistance. I know that there is a computer in front of me because I can see it. (In any case, this is part of the story: there’s more to it, as we’ll see later.) I know that the stove is hot because I touched</w:t>
      </w:r>
      <w:r>
        <w:rPr>
          <w:spacing w:val="-2"/>
        </w:rPr>
        <w:t xml:space="preserve"> </w:t>
      </w:r>
      <w:r>
        <w:t>it.</w:t>
      </w:r>
      <w:r>
        <w:rPr>
          <w:spacing w:val="-2"/>
        </w:rPr>
        <w:t xml:space="preserve"> </w:t>
      </w:r>
      <w:r>
        <w:t>I</w:t>
      </w:r>
      <w:r>
        <w:rPr>
          <w:spacing w:val="-3"/>
        </w:rPr>
        <w:t xml:space="preserve"> </w:t>
      </w:r>
      <w:r>
        <w:t>know</w:t>
      </w:r>
      <w:r>
        <w:rPr>
          <w:spacing w:val="-3"/>
        </w:rPr>
        <w:t xml:space="preserve"> </w:t>
      </w:r>
      <w:r>
        <w:t>that</w:t>
      </w:r>
      <w:r>
        <w:rPr>
          <w:spacing w:val="-3"/>
        </w:rPr>
        <w:t xml:space="preserve"> </w:t>
      </w:r>
      <w:r>
        <w:t>one</w:t>
      </w:r>
      <w:r>
        <w:rPr>
          <w:spacing w:val="-3"/>
        </w:rPr>
        <w:t xml:space="preserve"> </w:t>
      </w:r>
      <w:r>
        <w:t>cup</w:t>
      </w:r>
      <w:r>
        <w:rPr>
          <w:spacing w:val="-2"/>
        </w:rPr>
        <w:t xml:space="preserve"> </w:t>
      </w:r>
      <w:r>
        <w:t>is</w:t>
      </w:r>
      <w:r>
        <w:rPr>
          <w:spacing w:val="-3"/>
        </w:rPr>
        <w:t xml:space="preserve"> </w:t>
      </w:r>
      <w:r>
        <w:t>heavier</w:t>
      </w:r>
      <w:r>
        <w:rPr>
          <w:spacing w:val="-3"/>
        </w:rPr>
        <w:t xml:space="preserve"> </w:t>
      </w:r>
      <w:r>
        <w:t>than</w:t>
      </w:r>
      <w:r>
        <w:rPr>
          <w:spacing w:val="-2"/>
        </w:rPr>
        <w:t xml:space="preserve"> </w:t>
      </w:r>
      <w:r>
        <w:t>another</w:t>
      </w:r>
      <w:r>
        <w:rPr>
          <w:spacing w:val="-3"/>
        </w:rPr>
        <w:t xml:space="preserve"> </w:t>
      </w:r>
      <w:r>
        <w:t>because</w:t>
      </w:r>
      <w:r>
        <w:rPr>
          <w:spacing w:val="-3"/>
        </w:rPr>
        <w:t xml:space="preserve"> </w:t>
      </w:r>
      <w:r>
        <w:t>I</w:t>
      </w:r>
      <w:r>
        <w:rPr>
          <w:spacing w:val="-3"/>
        </w:rPr>
        <w:t xml:space="preserve"> </w:t>
      </w:r>
      <w:r>
        <w:t>feel</w:t>
      </w:r>
      <w:r>
        <w:rPr>
          <w:spacing w:val="-3"/>
        </w:rPr>
        <w:t xml:space="preserve"> </w:t>
      </w:r>
      <w:r>
        <w:t>a</w:t>
      </w:r>
      <w:r>
        <w:rPr>
          <w:spacing w:val="-3"/>
        </w:rPr>
        <w:t xml:space="preserve"> </w:t>
      </w:r>
      <w:r>
        <w:t>greater degree of resistance when I try to move the one than when I try to move the other. (Notice that this last kind of perception isn’t identical with one’s sense of touch, even though it involves the use of touch.)</w:t>
      </w:r>
    </w:p>
    <w:p w14:paraId="7E001643" w14:textId="77777777" w:rsidR="009A58DB" w:rsidRDefault="00000000">
      <w:pPr>
        <w:pStyle w:val="BodyText"/>
        <w:spacing w:before="13" w:line="249" w:lineRule="auto"/>
        <w:ind w:right="359" w:firstLine="360"/>
      </w:pPr>
      <w:r>
        <w:t>The term “introspective” refers to the direct awareness that one often has of one’s own mental contents. Right now I am aware of the fact that I am having thoughts—that, more specifically, I am having thoughts about the theory of knowledge (</w:t>
      </w:r>
      <w:r>
        <w:rPr>
          <w:i/>
        </w:rPr>
        <w:t>I’m writing about it</w:t>
      </w:r>
      <w:r>
        <w:t>), about this chapter (</w:t>
      </w:r>
      <w:r>
        <w:rPr>
          <w:i/>
        </w:rPr>
        <w:t>I hope that I’ve finished writing it by tomorrow</w:t>
      </w:r>
      <w:r>
        <w:t>), and about tonight’s dinner (</w:t>
      </w:r>
      <w:r>
        <w:rPr>
          <w:i/>
        </w:rPr>
        <w:t>it’ll be chicken</w:t>
      </w:r>
      <w:r>
        <w:t xml:space="preserve">). My knowledge of this is not based on the use of my senses: I don’t </w:t>
      </w:r>
      <w:r>
        <w:rPr>
          <w:i/>
        </w:rPr>
        <w:t xml:space="preserve">see </w:t>
      </w:r>
      <w:r>
        <w:t xml:space="preserve">or </w:t>
      </w:r>
      <w:r>
        <w:rPr>
          <w:i/>
        </w:rPr>
        <w:t xml:space="preserve">touch </w:t>
      </w:r>
      <w:r>
        <w:t>those thoughts. At the same time, that knowledge seems not to involve my making inferences: I seem to be directly, non-inferentially aware that I am having them.</w:t>
      </w:r>
    </w:p>
    <w:p w14:paraId="7E001644" w14:textId="77777777" w:rsidR="009A58DB" w:rsidRDefault="00000000">
      <w:pPr>
        <w:pStyle w:val="BodyText"/>
        <w:spacing w:before="11" w:line="249" w:lineRule="auto"/>
        <w:ind w:right="361" w:firstLine="360"/>
      </w:pPr>
      <w:r>
        <w:t>Bearing all of this in mind, let us consider the question: under what circumstances is one justified in having a belief? Many different kinds of facts can be known; and, as we’ll see, the way in which a belief must be justified for it to be knowledge depends on the category into which the fact in question falls. But there are ultimately only three sources of justification: (a) perceptual</w:t>
      </w:r>
      <w:r>
        <w:rPr>
          <w:spacing w:val="40"/>
        </w:rPr>
        <w:t xml:space="preserve"> </w:t>
      </w:r>
      <w:r>
        <w:t>evidence,</w:t>
      </w:r>
      <w:r>
        <w:rPr>
          <w:spacing w:val="40"/>
        </w:rPr>
        <w:t xml:space="preserve"> </w:t>
      </w:r>
      <w:r>
        <w:t>(b)</w:t>
      </w:r>
      <w:r>
        <w:rPr>
          <w:spacing w:val="40"/>
        </w:rPr>
        <w:t xml:space="preserve"> </w:t>
      </w:r>
      <w:r>
        <w:t>introspective</w:t>
      </w:r>
      <w:r>
        <w:rPr>
          <w:spacing w:val="40"/>
        </w:rPr>
        <w:t xml:space="preserve"> </w:t>
      </w:r>
      <w:r>
        <w:t>evidence</w:t>
      </w:r>
      <w:r>
        <w:rPr>
          <w:spacing w:val="40"/>
        </w:rPr>
        <w:t xml:space="preserve"> </w:t>
      </w:r>
      <w:r>
        <w:t>and</w:t>
      </w:r>
      <w:r>
        <w:rPr>
          <w:spacing w:val="40"/>
        </w:rPr>
        <w:t xml:space="preserve"> </w:t>
      </w:r>
      <w:r>
        <w:t>(c)</w:t>
      </w:r>
      <w:r>
        <w:rPr>
          <w:spacing w:val="40"/>
        </w:rPr>
        <w:t xml:space="preserve"> </w:t>
      </w:r>
      <w:r>
        <w:t>rational</w:t>
      </w:r>
      <w:r>
        <w:rPr>
          <w:spacing w:val="40"/>
        </w:rPr>
        <w:t xml:space="preserve"> </w:t>
      </w:r>
      <w:r>
        <w:t>inference.</w:t>
      </w:r>
    </w:p>
    <w:p w14:paraId="7E00164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46" w14:textId="77777777" w:rsidR="009A58DB" w:rsidRDefault="00000000">
      <w:pPr>
        <w:pStyle w:val="BodyText"/>
        <w:spacing w:before="60" w:line="249" w:lineRule="auto"/>
        <w:ind w:right="358"/>
      </w:pPr>
      <w:r>
        <w:lastRenderedPageBreak/>
        <w:t xml:space="preserve">Some cases of knowledge involve </w:t>
      </w:r>
      <w:r>
        <w:rPr>
          <w:i/>
        </w:rPr>
        <w:t xml:space="preserve">only </w:t>
      </w:r>
      <w:r>
        <w:t>(c); some cases of knowledge are a combination of (a) and (b); the majority of cases involve a combination of both (a) and (c). Some philosopher</w:t>
      </w:r>
      <w:bookmarkStart w:id="286" w:name="_bookmark286"/>
      <w:bookmarkEnd w:id="286"/>
      <w:r>
        <w:t>s</w:t>
      </w:r>
      <w:r>
        <w:rPr>
          <w:color w:val="0562C1"/>
          <w:position w:val="21"/>
          <w:u w:val="single" w:color="0562C1"/>
        </w:rPr>
        <w:t>[184]</w:t>
      </w:r>
      <w:r>
        <w:rPr>
          <w:color w:val="0562C1"/>
          <w:position w:val="21"/>
        </w:rPr>
        <w:t xml:space="preserve"> </w:t>
      </w:r>
      <w:r>
        <w:t>have argued that whenever (a) is involved, so is (b).</w:t>
      </w:r>
    </w:p>
    <w:p w14:paraId="7E001647" w14:textId="77777777" w:rsidR="009A58DB" w:rsidRDefault="00000000">
      <w:pPr>
        <w:pStyle w:val="Heading1"/>
        <w:numPr>
          <w:ilvl w:val="1"/>
          <w:numId w:val="140"/>
        </w:numPr>
        <w:tabs>
          <w:tab w:val="left" w:pos="1362"/>
        </w:tabs>
        <w:spacing w:before="198" w:line="244" w:lineRule="auto"/>
        <w:ind w:left="360" w:right="358" w:firstLine="0"/>
        <w:jc w:val="both"/>
      </w:pPr>
      <w:r>
        <w:t xml:space="preserve">Can testimony constitute a source of </w:t>
      </w:r>
      <w:r>
        <w:rPr>
          <w:spacing w:val="-2"/>
        </w:rPr>
        <w:t>justification?</w:t>
      </w:r>
    </w:p>
    <w:p w14:paraId="7E001648" w14:textId="77777777" w:rsidR="009A58DB" w:rsidRDefault="00000000">
      <w:pPr>
        <w:pStyle w:val="BodyText"/>
        <w:spacing w:before="131" w:line="249" w:lineRule="auto"/>
        <w:ind w:right="364"/>
      </w:pPr>
      <w:r>
        <w:t>There is much that a given person knows that he hasn’t personally verified—much</w:t>
      </w:r>
      <w:r>
        <w:rPr>
          <w:spacing w:val="-1"/>
        </w:rPr>
        <w:t xml:space="preserve"> </w:t>
      </w:r>
      <w:r>
        <w:t>that</w:t>
      </w:r>
      <w:r>
        <w:rPr>
          <w:spacing w:val="-2"/>
        </w:rPr>
        <w:t xml:space="preserve"> </w:t>
      </w:r>
      <w:r>
        <w:t>he</w:t>
      </w:r>
      <w:r>
        <w:rPr>
          <w:spacing w:val="-1"/>
        </w:rPr>
        <w:t xml:space="preserve"> </w:t>
      </w:r>
      <w:r>
        <w:t>knows</w:t>
      </w:r>
      <w:r>
        <w:rPr>
          <w:spacing w:val="-1"/>
        </w:rPr>
        <w:t xml:space="preserve"> </w:t>
      </w:r>
      <w:r>
        <w:t>because</w:t>
      </w:r>
      <w:r>
        <w:rPr>
          <w:spacing w:val="-1"/>
        </w:rPr>
        <w:t xml:space="preserve"> </w:t>
      </w:r>
      <w:r>
        <w:t>he</w:t>
      </w:r>
      <w:r>
        <w:rPr>
          <w:spacing w:val="-1"/>
        </w:rPr>
        <w:t xml:space="preserve"> </w:t>
      </w:r>
      <w:r>
        <w:t>is</w:t>
      </w:r>
      <w:r>
        <w:rPr>
          <w:spacing w:val="-1"/>
        </w:rPr>
        <w:t xml:space="preserve"> </w:t>
      </w:r>
      <w:r>
        <w:rPr>
          <w:i/>
        </w:rPr>
        <w:t>told</w:t>
      </w:r>
      <w:r>
        <w:rPr>
          <w:i/>
          <w:spacing w:val="-4"/>
        </w:rPr>
        <w:t xml:space="preserve"> </w:t>
      </w:r>
      <w:r>
        <w:t>it.</w:t>
      </w:r>
      <w:r>
        <w:rPr>
          <w:spacing w:val="-1"/>
        </w:rPr>
        <w:t xml:space="preserve"> </w:t>
      </w:r>
      <w:r>
        <w:t>Such</w:t>
      </w:r>
      <w:r>
        <w:rPr>
          <w:spacing w:val="-1"/>
        </w:rPr>
        <w:t xml:space="preserve"> </w:t>
      </w:r>
      <w:r>
        <w:t>telling</w:t>
      </w:r>
      <w:r>
        <w:rPr>
          <w:spacing w:val="-1"/>
        </w:rPr>
        <w:t xml:space="preserve"> </w:t>
      </w:r>
      <w:r>
        <w:t>can</w:t>
      </w:r>
      <w:r>
        <w:rPr>
          <w:spacing w:val="-1"/>
        </w:rPr>
        <w:t xml:space="preserve"> </w:t>
      </w:r>
      <w:r>
        <w:t>take</w:t>
      </w:r>
      <w:r>
        <w:rPr>
          <w:spacing w:val="-1"/>
        </w:rPr>
        <w:t xml:space="preserve"> </w:t>
      </w:r>
      <w:r>
        <w:t>various</w:t>
      </w:r>
      <w:r>
        <w:rPr>
          <w:spacing w:val="-1"/>
        </w:rPr>
        <w:t xml:space="preserve"> </w:t>
      </w:r>
      <w:r>
        <w:t>forms: it can consist of written or spoken speech, photographs, and drawings. (This list is not complete.)</w:t>
      </w:r>
    </w:p>
    <w:p w14:paraId="7E001649" w14:textId="77777777" w:rsidR="009A58DB" w:rsidRDefault="00000000">
      <w:pPr>
        <w:pStyle w:val="BodyText"/>
        <w:spacing w:before="5" w:line="249" w:lineRule="auto"/>
        <w:ind w:right="358" w:firstLine="360"/>
      </w:pPr>
      <w:r>
        <w:t xml:space="preserve">I haven’t personally looked at the Earth from outer space. But I still </w:t>
      </w:r>
      <w:r>
        <w:rPr>
          <w:i/>
        </w:rPr>
        <w:t xml:space="preserve">know </w:t>
      </w:r>
      <w:r>
        <w:t>that it is approximately spherical. How do I know this? Because I’ve been told it. Using speech, writing, photographs, drawings, and possibly other media,</w:t>
      </w:r>
      <w:r>
        <w:rPr>
          <w:spacing w:val="-2"/>
        </w:rPr>
        <w:t xml:space="preserve"> </w:t>
      </w:r>
      <w:r>
        <w:t>various</w:t>
      </w:r>
      <w:r>
        <w:rPr>
          <w:spacing w:val="-2"/>
        </w:rPr>
        <w:t xml:space="preserve"> </w:t>
      </w:r>
      <w:r>
        <w:t>people</w:t>
      </w:r>
      <w:r>
        <w:rPr>
          <w:spacing w:val="-2"/>
        </w:rPr>
        <w:t xml:space="preserve"> </w:t>
      </w:r>
      <w:r>
        <w:t>have</w:t>
      </w:r>
      <w:r>
        <w:rPr>
          <w:spacing w:val="-2"/>
        </w:rPr>
        <w:t xml:space="preserve"> </w:t>
      </w:r>
      <w:r>
        <w:t>told</w:t>
      </w:r>
      <w:r>
        <w:rPr>
          <w:spacing w:val="-2"/>
        </w:rPr>
        <w:t xml:space="preserve"> </w:t>
      </w:r>
      <w:r>
        <w:t>me</w:t>
      </w:r>
      <w:r>
        <w:rPr>
          <w:spacing w:val="-2"/>
        </w:rPr>
        <w:t xml:space="preserve"> </w:t>
      </w:r>
      <w:r>
        <w:t>various</w:t>
      </w:r>
      <w:r>
        <w:rPr>
          <w:spacing w:val="-2"/>
        </w:rPr>
        <w:t xml:space="preserve"> </w:t>
      </w:r>
      <w:r>
        <w:t>things</w:t>
      </w:r>
      <w:r>
        <w:rPr>
          <w:spacing w:val="-2"/>
        </w:rPr>
        <w:t xml:space="preserve"> </w:t>
      </w:r>
      <w:r>
        <w:t>that</w:t>
      </w:r>
      <w:r>
        <w:rPr>
          <w:spacing w:val="-2"/>
        </w:rPr>
        <w:t xml:space="preserve"> </w:t>
      </w:r>
      <w:r>
        <w:t>justify</w:t>
      </w:r>
      <w:r>
        <w:rPr>
          <w:spacing w:val="-2"/>
        </w:rPr>
        <w:t xml:space="preserve"> </w:t>
      </w:r>
      <w:r>
        <w:t>me</w:t>
      </w:r>
      <w:r>
        <w:rPr>
          <w:spacing w:val="-2"/>
        </w:rPr>
        <w:t xml:space="preserve"> </w:t>
      </w:r>
      <w:r>
        <w:t>in</w:t>
      </w:r>
      <w:r>
        <w:rPr>
          <w:spacing w:val="-2"/>
        </w:rPr>
        <w:t xml:space="preserve"> </w:t>
      </w:r>
      <w:r>
        <w:t>believing that the Earth is spherical. For similar reasons, I have at least some knowledge</w:t>
      </w:r>
      <w:r>
        <w:rPr>
          <w:spacing w:val="-3"/>
        </w:rPr>
        <w:t xml:space="preserve"> </w:t>
      </w:r>
      <w:r>
        <w:t>about</w:t>
      </w:r>
      <w:r>
        <w:rPr>
          <w:spacing w:val="-3"/>
        </w:rPr>
        <w:t xml:space="preserve"> </w:t>
      </w:r>
      <w:r>
        <w:t>what</w:t>
      </w:r>
      <w:r>
        <w:rPr>
          <w:spacing w:val="-3"/>
        </w:rPr>
        <w:t xml:space="preserve"> </w:t>
      </w:r>
      <w:r>
        <w:t>kinds</w:t>
      </w:r>
      <w:r>
        <w:rPr>
          <w:spacing w:val="-3"/>
        </w:rPr>
        <w:t xml:space="preserve"> </w:t>
      </w:r>
      <w:r>
        <w:t>of</w:t>
      </w:r>
      <w:r>
        <w:rPr>
          <w:spacing w:val="-3"/>
        </w:rPr>
        <w:t xml:space="preserve"> </w:t>
      </w:r>
      <w:r>
        <w:t>activities</w:t>
      </w:r>
      <w:r>
        <w:rPr>
          <w:spacing w:val="-3"/>
        </w:rPr>
        <w:t xml:space="preserve"> </w:t>
      </w:r>
      <w:r>
        <w:t>are</w:t>
      </w:r>
      <w:r>
        <w:rPr>
          <w:spacing w:val="-3"/>
        </w:rPr>
        <w:t xml:space="preserve"> </w:t>
      </w:r>
      <w:r>
        <w:t>likely</w:t>
      </w:r>
      <w:r>
        <w:rPr>
          <w:spacing w:val="-3"/>
        </w:rPr>
        <w:t xml:space="preserve"> </w:t>
      </w:r>
      <w:r>
        <w:t>to</w:t>
      </w:r>
      <w:r>
        <w:rPr>
          <w:spacing w:val="-3"/>
        </w:rPr>
        <w:t xml:space="preserve"> </w:t>
      </w:r>
      <w:r>
        <w:t>bring</w:t>
      </w:r>
      <w:r>
        <w:rPr>
          <w:spacing w:val="-3"/>
        </w:rPr>
        <w:t xml:space="preserve"> </w:t>
      </w:r>
      <w:r>
        <w:t>about</w:t>
      </w:r>
      <w:r>
        <w:rPr>
          <w:spacing w:val="-3"/>
        </w:rPr>
        <w:t xml:space="preserve"> </w:t>
      </w:r>
      <w:r>
        <w:t>lung</w:t>
      </w:r>
      <w:r>
        <w:rPr>
          <w:spacing w:val="-3"/>
        </w:rPr>
        <w:t xml:space="preserve"> </w:t>
      </w:r>
      <w:r>
        <w:t>cancer and about the political situation in distant parts of the Earth, even though I have not personally done cancer research or personally visited those parts of the Earth.</w:t>
      </w:r>
    </w:p>
    <w:p w14:paraId="7E00164A" w14:textId="77777777" w:rsidR="009A58DB" w:rsidRDefault="00000000">
      <w:pPr>
        <w:pStyle w:val="BodyText"/>
        <w:spacing w:before="11" w:line="249" w:lineRule="auto"/>
        <w:ind w:right="362" w:firstLine="360"/>
      </w:pPr>
      <w:r>
        <w:t xml:space="preserve">But, of course, not </w:t>
      </w:r>
      <w:r>
        <w:rPr>
          <w:i/>
        </w:rPr>
        <w:t xml:space="preserve">all </w:t>
      </w:r>
      <w:r>
        <w:t>beliefs that are based on testimony qualify as knowledge. First of all, much of what we are told is false. But even true beliefs that are based on testimony are not always knowledge. To qualify as knowledge,</w:t>
      </w:r>
      <w:r>
        <w:rPr>
          <w:spacing w:val="12"/>
        </w:rPr>
        <w:t xml:space="preserve"> </w:t>
      </w:r>
      <w:r>
        <w:t>testimony-based</w:t>
      </w:r>
      <w:r>
        <w:rPr>
          <w:spacing w:val="13"/>
        </w:rPr>
        <w:t xml:space="preserve"> </w:t>
      </w:r>
      <w:r>
        <w:t>belief</w:t>
      </w:r>
      <w:r>
        <w:rPr>
          <w:spacing w:val="12"/>
        </w:rPr>
        <w:t xml:space="preserve"> </w:t>
      </w:r>
      <w:r>
        <w:t>must</w:t>
      </w:r>
      <w:r>
        <w:rPr>
          <w:spacing w:val="13"/>
        </w:rPr>
        <w:t xml:space="preserve"> </w:t>
      </w:r>
      <w:r>
        <w:t>(a)</w:t>
      </w:r>
      <w:r>
        <w:rPr>
          <w:spacing w:val="12"/>
        </w:rPr>
        <w:t xml:space="preserve"> </w:t>
      </w:r>
      <w:r>
        <w:t>come</w:t>
      </w:r>
      <w:r>
        <w:rPr>
          <w:spacing w:val="13"/>
        </w:rPr>
        <w:t xml:space="preserve"> </w:t>
      </w:r>
      <w:r>
        <w:t>from</w:t>
      </w:r>
      <w:r>
        <w:rPr>
          <w:spacing w:val="12"/>
        </w:rPr>
        <w:t xml:space="preserve"> </w:t>
      </w:r>
      <w:r>
        <w:t>a</w:t>
      </w:r>
      <w:r>
        <w:rPr>
          <w:spacing w:val="13"/>
        </w:rPr>
        <w:t xml:space="preserve"> </w:t>
      </w:r>
      <w:r>
        <w:t>reliable</w:t>
      </w:r>
      <w:r>
        <w:rPr>
          <w:spacing w:val="12"/>
        </w:rPr>
        <w:t xml:space="preserve"> </w:t>
      </w:r>
      <w:r>
        <w:t>source</w:t>
      </w:r>
      <w:r>
        <w:rPr>
          <w:spacing w:val="13"/>
        </w:rPr>
        <w:t xml:space="preserve"> </w:t>
      </w:r>
      <w:r>
        <w:rPr>
          <w:spacing w:val="-5"/>
        </w:rPr>
        <w:t>and</w:t>
      </w:r>
    </w:p>
    <w:p w14:paraId="7E00164B" w14:textId="77777777" w:rsidR="009A58DB" w:rsidRDefault="00000000">
      <w:pPr>
        <w:pStyle w:val="BodyText"/>
        <w:spacing w:before="5" w:line="249" w:lineRule="auto"/>
        <w:ind w:right="369"/>
      </w:pPr>
      <w:r>
        <w:t>(b) the person being given the testimony must have independent evidence of the reliability of that source.</w:t>
      </w:r>
    </w:p>
    <w:p w14:paraId="7E00164C" w14:textId="77777777" w:rsidR="009A58DB" w:rsidRDefault="00000000">
      <w:pPr>
        <w:pStyle w:val="BodyText"/>
        <w:spacing w:before="3" w:line="249" w:lineRule="auto"/>
        <w:ind w:right="360" w:firstLine="360"/>
      </w:pPr>
      <w:r>
        <w:t xml:space="preserve">A story may clarify this. I belong to a cult. My cult leader wants me to drink a certain beverage. He has told me that it is extremely nutritious. As it happens, it </w:t>
      </w:r>
      <w:r>
        <w:rPr>
          <w:i/>
        </w:rPr>
        <w:t xml:space="preserve">is </w:t>
      </w:r>
      <w:r>
        <w:t xml:space="preserve">nutritious—the cult leader has told me the truth. Further, I </w:t>
      </w:r>
      <w:r>
        <w:rPr>
          <w:i/>
        </w:rPr>
        <w:t xml:space="preserve">believe </w:t>
      </w:r>
      <w:r>
        <w:t xml:space="preserve">that the beverage is nutritious. But the reason for this is </w:t>
      </w:r>
      <w:r>
        <w:rPr>
          <w:i/>
        </w:rPr>
        <w:t xml:space="preserve">not </w:t>
      </w:r>
      <w:r>
        <w:t>that I</w:t>
      </w:r>
      <w:r>
        <w:rPr>
          <w:spacing w:val="40"/>
        </w:rPr>
        <w:t xml:space="preserve"> </w:t>
      </w:r>
      <w:r>
        <w:t>have any actual evidence that the cult leader is well-informed or truthful; the reason is that, for purely emotional reasons, I believe everything the cult leader tells me.</w:t>
      </w:r>
    </w:p>
    <w:p w14:paraId="7E00164D" w14:textId="77777777" w:rsidR="009A58DB" w:rsidRDefault="00000000">
      <w:pPr>
        <w:pStyle w:val="BodyText"/>
        <w:spacing w:before="8"/>
        <w:ind w:left="720"/>
      </w:pPr>
      <w:r>
        <w:t>Here</w:t>
      </w:r>
      <w:r>
        <w:rPr>
          <w:spacing w:val="55"/>
          <w:w w:val="150"/>
        </w:rPr>
        <w:t xml:space="preserve"> </w:t>
      </w:r>
      <w:r>
        <w:t>I</w:t>
      </w:r>
      <w:r>
        <w:rPr>
          <w:spacing w:val="56"/>
          <w:w w:val="150"/>
        </w:rPr>
        <w:t xml:space="preserve"> </w:t>
      </w:r>
      <w:r>
        <w:t>have</w:t>
      </w:r>
      <w:r>
        <w:rPr>
          <w:spacing w:val="56"/>
          <w:w w:val="150"/>
        </w:rPr>
        <w:t xml:space="preserve"> </w:t>
      </w:r>
      <w:r>
        <w:t>a</w:t>
      </w:r>
      <w:r>
        <w:rPr>
          <w:spacing w:val="56"/>
          <w:w w:val="150"/>
        </w:rPr>
        <w:t xml:space="preserve"> </w:t>
      </w:r>
      <w:r>
        <w:t>true</w:t>
      </w:r>
      <w:r>
        <w:rPr>
          <w:spacing w:val="55"/>
          <w:w w:val="150"/>
        </w:rPr>
        <w:t xml:space="preserve"> </w:t>
      </w:r>
      <w:r>
        <w:t>belief—I</w:t>
      </w:r>
      <w:r>
        <w:rPr>
          <w:spacing w:val="56"/>
          <w:w w:val="150"/>
        </w:rPr>
        <w:t xml:space="preserve"> </w:t>
      </w:r>
      <w:r>
        <w:t>believe,</w:t>
      </w:r>
      <w:r>
        <w:rPr>
          <w:spacing w:val="56"/>
          <w:w w:val="150"/>
        </w:rPr>
        <w:t xml:space="preserve"> </w:t>
      </w:r>
      <w:r>
        <w:t>correctly,</w:t>
      </w:r>
      <w:r>
        <w:rPr>
          <w:spacing w:val="56"/>
          <w:w w:val="150"/>
        </w:rPr>
        <w:t xml:space="preserve"> </w:t>
      </w:r>
      <w:r>
        <w:t>that</w:t>
      </w:r>
      <w:r>
        <w:rPr>
          <w:spacing w:val="55"/>
          <w:w w:val="150"/>
        </w:rPr>
        <w:t xml:space="preserve"> </w:t>
      </w:r>
      <w:r>
        <w:t>the</w:t>
      </w:r>
      <w:r>
        <w:rPr>
          <w:spacing w:val="56"/>
          <w:w w:val="150"/>
        </w:rPr>
        <w:t xml:space="preserve"> </w:t>
      </w:r>
      <w:r>
        <w:t>beverage</w:t>
      </w:r>
      <w:r>
        <w:rPr>
          <w:spacing w:val="57"/>
          <w:w w:val="150"/>
        </w:rPr>
        <w:t xml:space="preserve"> </w:t>
      </w:r>
      <w:r>
        <w:rPr>
          <w:spacing w:val="-5"/>
        </w:rPr>
        <w:t>is</w:t>
      </w:r>
    </w:p>
    <w:p w14:paraId="7E00164E" w14:textId="77777777" w:rsidR="009A58DB" w:rsidRDefault="009A58DB">
      <w:pPr>
        <w:pStyle w:val="BodyText"/>
        <w:sectPr w:rsidR="009A58DB">
          <w:pgSz w:w="12240" w:h="15840"/>
          <w:pgMar w:top="1380" w:right="1080" w:bottom="280" w:left="1080" w:header="720" w:footer="720" w:gutter="0"/>
          <w:cols w:space="720"/>
        </w:sectPr>
      </w:pPr>
    </w:p>
    <w:p w14:paraId="7E00164F" w14:textId="77777777" w:rsidR="009A58DB" w:rsidRDefault="00000000">
      <w:pPr>
        <w:pStyle w:val="BodyText"/>
        <w:spacing w:before="60" w:line="249" w:lineRule="auto"/>
        <w:ind w:right="360"/>
      </w:pPr>
      <w:r>
        <w:lastRenderedPageBreak/>
        <w:t xml:space="preserve">nutritious. But do I </w:t>
      </w:r>
      <w:r>
        <w:rPr>
          <w:i/>
        </w:rPr>
        <w:t xml:space="preserve">know </w:t>
      </w:r>
      <w:r>
        <w:t>this fact? No. And the reason is that I don’t have good reason to believe that the cult leader is in fact telling the truth—even though,</w:t>
      </w:r>
      <w:r>
        <w:rPr>
          <w:spacing w:val="-2"/>
        </w:rPr>
        <w:t xml:space="preserve"> </w:t>
      </w:r>
      <w:r>
        <w:t>in</w:t>
      </w:r>
      <w:r>
        <w:rPr>
          <w:spacing w:val="-1"/>
        </w:rPr>
        <w:t xml:space="preserve"> </w:t>
      </w:r>
      <w:r>
        <w:t>this</w:t>
      </w:r>
      <w:r>
        <w:rPr>
          <w:spacing w:val="-2"/>
        </w:rPr>
        <w:t xml:space="preserve"> </w:t>
      </w:r>
      <w:r>
        <w:t>case,</w:t>
      </w:r>
      <w:r>
        <w:rPr>
          <w:spacing w:val="-1"/>
        </w:rPr>
        <w:t xml:space="preserve"> </w:t>
      </w:r>
      <w:r>
        <w:t>he</w:t>
      </w:r>
      <w:r>
        <w:rPr>
          <w:spacing w:val="-2"/>
        </w:rPr>
        <w:t xml:space="preserve"> </w:t>
      </w:r>
      <w:r>
        <w:t>is</w:t>
      </w:r>
      <w:r>
        <w:rPr>
          <w:spacing w:val="-1"/>
        </w:rPr>
        <w:t xml:space="preserve"> </w:t>
      </w:r>
      <w:r>
        <w:t>telling</w:t>
      </w:r>
      <w:r>
        <w:rPr>
          <w:spacing w:val="-2"/>
        </w:rPr>
        <w:t xml:space="preserve"> </w:t>
      </w:r>
      <w:r>
        <w:t>the</w:t>
      </w:r>
      <w:r>
        <w:rPr>
          <w:spacing w:val="-1"/>
        </w:rPr>
        <w:t xml:space="preserve"> </w:t>
      </w:r>
      <w:r>
        <w:t>truth.</w:t>
      </w:r>
      <w:r>
        <w:rPr>
          <w:spacing w:val="-2"/>
        </w:rPr>
        <w:t xml:space="preserve"> </w:t>
      </w:r>
      <w:r>
        <w:t>The</w:t>
      </w:r>
      <w:r>
        <w:rPr>
          <w:spacing w:val="-1"/>
        </w:rPr>
        <w:t xml:space="preserve"> </w:t>
      </w:r>
      <w:r>
        <w:t>data</w:t>
      </w:r>
      <w:r>
        <w:rPr>
          <w:spacing w:val="-2"/>
        </w:rPr>
        <w:t xml:space="preserve"> </w:t>
      </w:r>
      <w:r>
        <w:t>that</w:t>
      </w:r>
      <w:r>
        <w:rPr>
          <w:spacing w:val="-2"/>
        </w:rPr>
        <w:t xml:space="preserve"> </w:t>
      </w:r>
      <w:r>
        <w:t>I</w:t>
      </w:r>
      <w:r>
        <w:rPr>
          <w:spacing w:val="-2"/>
        </w:rPr>
        <w:t xml:space="preserve"> </w:t>
      </w:r>
      <w:r>
        <w:t>have</w:t>
      </w:r>
      <w:r>
        <w:rPr>
          <w:spacing w:val="-1"/>
        </w:rPr>
        <w:t xml:space="preserve"> </w:t>
      </w:r>
      <w:r>
        <w:t>concerning</w:t>
      </w:r>
      <w:r>
        <w:rPr>
          <w:spacing w:val="-1"/>
        </w:rPr>
        <w:t xml:space="preserve"> </w:t>
      </w:r>
      <w:r>
        <w:t>the cult leader—more specifically, concerning the likelihood of his stating truths as opposed to falsehoods—does not warrant my accepting what he is saying.</w:t>
      </w:r>
    </w:p>
    <w:p w14:paraId="7E001650" w14:textId="77777777" w:rsidR="009A58DB" w:rsidRDefault="00000000">
      <w:pPr>
        <w:pStyle w:val="BodyText"/>
        <w:spacing w:before="11" w:line="249" w:lineRule="auto"/>
        <w:ind w:right="358" w:firstLine="360"/>
      </w:pPr>
      <w:r>
        <w:t>Here’s another story. A world-renowned physician has told me that I have arthritis. His opinion is based on his expertise and also on the results of various tests that he has performed on me. He is right—I do in fact have a mild case of arthritis. Further, I am aware of the fact that he is an arthritis expert and that he has conducted various tests.</w:t>
      </w:r>
    </w:p>
    <w:p w14:paraId="7E001651" w14:textId="77777777" w:rsidR="009A58DB" w:rsidRDefault="00000000">
      <w:pPr>
        <w:pStyle w:val="BodyText"/>
        <w:spacing w:before="6" w:line="249" w:lineRule="auto"/>
        <w:ind w:right="368" w:firstLine="360"/>
      </w:pPr>
      <w:r>
        <w:t xml:space="preserve">In this case, I obviously </w:t>
      </w:r>
      <w:r>
        <w:rPr>
          <w:i/>
        </w:rPr>
        <w:t xml:space="preserve">do </w:t>
      </w:r>
      <w:r>
        <w:t>have reason to believe the testimony I am being given. My belief is therefore justified and it is, or at least could be, a case of knowledge. (I say “or at least could be” because, for reasons that</w:t>
      </w:r>
      <w:r>
        <w:rPr>
          <w:spacing w:val="40"/>
        </w:rPr>
        <w:t xml:space="preserve"> </w:t>
      </w:r>
      <w:r>
        <w:t xml:space="preserve">we’ll discuss later, even beliefs that are true and justified aren’t always </w:t>
      </w:r>
      <w:r>
        <w:rPr>
          <w:spacing w:val="-2"/>
        </w:rPr>
        <w:t>knowledge.)</w:t>
      </w:r>
    </w:p>
    <w:p w14:paraId="7E001652" w14:textId="77777777" w:rsidR="009A58DB" w:rsidRDefault="00000000">
      <w:pPr>
        <w:pStyle w:val="BodyText"/>
        <w:spacing w:before="6" w:line="249" w:lineRule="auto"/>
        <w:ind w:right="358" w:firstLine="360"/>
      </w:pPr>
      <w:r>
        <w:t>So a testimony-based, true belief can be knowledge. But it is necessary that the person who has that belief have some reason to believe that the</w:t>
      </w:r>
      <w:r>
        <w:rPr>
          <w:spacing w:val="40"/>
        </w:rPr>
        <w:t xml:space="preserve"> </w:t>
      </w:r>
      <w:r>
        <w:t>source of the testimony is accurate.</w:t>
      </w:r>
    </w:p>
    <w:p w14:paraId="7E001653" w14:textId="77777777" w:rsidR="009A58DB" w:rsidRDefault="00000000">
      <w:pPr>
        <w:pStyle w:val="BodyText"/>
        <w:spacing w:before="4" w:line="249" w:lineRule="auto"/>
        <w:ind w:right="358" w:firstLine="360"/>
      </w:pPr>
      <w:r>
        <w:t>Notice that testimony-based belief involves a combination of perceptual knowledge and also of rational inference. You must perceive the words that are being told to you. (You hear them or see them, depending on whether</w:t>
      </w:r>
      <w:r>
        <w:rPr>
          <w:spacing w:val="40"/>
        </w:rPr>
        <w:t xml:space="preserve"> </w:t>
      </w:r>
      <w:r>
        <w:t>they are written or spoken.) You must also have perceived some kind of evidence of the truthfulness of the source of testimony. Finally, from those two sources of perceptual information, you must infer that the source of testimony is reliable. So testimony-based knowledge involves a combination of (a) and (c).</w:t>
      </w:r>
    </w:p>
    <w:p w14:paraId="7E001654" w14:textId="77777777" w:rsidR="009A58DB" w:rsidRDefault="00000000">
      <w:pPr>
        <w:pStyle w:val="Heading3"/>
        <w:numPr>
          <w:ilvl w:val="2"/>
          <w:numId w:val="140"/>
        </w:numPr>
        <w:tabs>
          <w:tab w:val="left" w:pos="1136"/>
        </w:tabs>
        <w:spacing w:before="107"/>
        <w:ind w:hanging="776"/>
        <w:jc w:val="both"/>
      </w:pPr>
      <w:r>
        <w:t>A</w:t>
      </w:r>
      <w:r>
        <w:rPr>
          <w:spacing w:val="6"/>
        </w:rPr>
        <w:t xml:space="preserve"> </w:t>
      </w:r>
      <w:r>
        <w:t>point</w:t>
      </w:r>
      <w:r>
        <w:rPr>
          <w:spacing w:val="7"/>
        </w:rPr>
        <w:t xml:space="preserve"> </w:t>
      </w:r>
      <w:r>
        <w:t>concerning</w:t>
      </w:r>
      <w:r>
        <w:rPr>
          <w:spacing w:val="7"/>
        </w:rPr>
        <w:t xml:space="preserve"> </w:t>
      </w:r>
      <w:r>
        <w:t>testimonial</w:t>
      </w:r>
      <w:r>
        <w:rPr>
          <w:spacing w:val="7"/>
        </w:rPr>
        <w:t xml:space="preserve"> </w:t>
      </w:r>
      <w:r>
        <w:rPr>
          <w:spacing w:val="-2"/>
        </w:rPr>
        <w:t>knowledge</w:t>
      </w:r>
    </w:p>
    <w:p w14:paraId="7E001655" w14:textId="77777777" w:rsidR="009A58DB" w:rsidRDefault="00000000">
      <w:pPr>
        <w:pStyle w:val="BodyText"/>
        <w:spacing w:before="82" w:line="249" w:lineRule="auto"/>
        <w:ind w:right="361"/>
      </w:pPr>
      <w:r>
        <w:t xml:space="preserve">When we’re growing up, we’re told many true things by parents, teachers, and other figures of authority. During our earlier years, we obviously don’t have independent corroboration for the testimony of these people. And yet we’re inclined to say that we </w:t>
      </w:r>
      <w:r>
        <w:rPr>
          <w:i/>
        </w:rPr>
        <w:t xml:space="preserve">know </w:t>
      </w:r>
      <w:r>
        <w:t>the things they told us.</w:t>
      </w:r>
    </w:p>
    <w:p w14:paraId="7E001656" w14:textId="77777777" w:rsidR="009A58DB" w:rsidRDefault="00000000">
      <w:pPr>
        <w:pStyle w:val="BodyText"/>
        <w:spacing w:before="5" w:line="249" w:lineRule="auto"/>
        <w:ind w:right="358" w:firstLine="360"/>
      </w:pPr>
      <w:r>
        <w:t xml:space="preserve">What I believe to be going on is that, at first, we </w:t>
      </w:r>
      <w:r>
        <w:rPr>
          <w:i/>
        </w:rPr>
        <w:t>didn’t</w:t>
      </w:r>
      <w:r>
        <w:rPr>
          <w:i/>
          <w:spacing w:val="-4"/>
        </w:rPr>
        <w:t xml:space="preserve"> </w:t>
      </w:r>
      <w:r>
        <w:t xml:space="preserve">know these things. We just believed them. But then we either came to have evidence of the reliableness of the people who told them to us or we discovered them for </w:t>
      </w:r>
      <w:r>
        <w:rPr>
          <w:spacing w:val="-2"/>
        </w:rPr>
        <w:t>ourselves.</w:t>
      </w:r>
    </w:p>
    <w:p w14:paraId="7E00165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58" w14:textId="77777777" w:rsidR="009A58DB" w:rsidRDefault="00000000">
      <w:pPr>
        <w:pStyle w:val="Heading1"/>
        <w:numPr>
          <w:ilvl w:val="1"/>
          <w:numId w:val="138"/>
        </w:numPr>
        <w:tabs>
          <w:tab w:val="left" w:pos="990"/>
        </w:tabs>
        <w:spacing w:before="58"/>
      </w:pPr>
      <w:r>
        <w:lastRenderedPageBreak/>
        <w:t>Knowledge</w:t>
      </w:r>
      <w:r>
        <w:rPr>
          <w:spacing w:val="-7"/>
        </w:rPr>
        <w:t xml:space="preserve"> </w:t>
      </w:r>
      <w:r>
        <w:t>as</w:t>
      </w:r>
      <w:r>
        <w:rPr>
          <w:spacing w:val="-6"/>
        </w:rPr>
        <w:t xml:space="preserve"> </w:t>
      </w:r>
      <w:r>
        <w:t>hyper-justified</w:t>
      </w:r>
      <w:r>
        <w:rPr>
          <w:spacing w:val="-7"/>
        </w:rPr>
        <w:t xml:space="preserve"> </w:t>
      </w:r>
      <w:r>
        <w:t>true</w:t>
      </w:r>
      <w:r>
        <w:rPr>
          <w:spacing w:val="-6"/>
        </w:rPr>
        <w:t xml:space="preserve"> </w:t>
      </w:r>
      <w:r>
        <w:rPr>
          <w:spacing w:val="-2"/>
        </w:rPr>
        <w:t>belief</w:t>
      </w:r>
    </w:p>
    <w:p w14:paraId="7E001659" w14:textId="77777777" w:rsidR="009A58DB" w:rsidRDefault="00000000">
      <w:pPr>
        <w:spacing w:before="139" w:line="249" w:lineRule="auto"/>
        <w:ind w:left="360" w:right="366"/>
        <w:jc w:val="both"/>
        <w:rPr>
          <w:i/>
          <w:sz w:val="30"/>
        </w:rPr>
      </w:pPr>
      <w:r>
        <w:rPr>
          <w:sz w:val="30"/>
        </w:rPr>
        <w:t>Not all cases of justified true belief are cases of knowledge. It is only when one has a belief that is true and that is justified in a rather specific way that one</w:t>
      </w:r>
      <w:r>
        <w:rPr>
          <w:spacing w:val="-1"/>
          <w:sz w:val="30"/>
        </w:rPr>
        <w:t xml:space="preserve"> </w:t>
      </w:r>
      <w:r>
        <w:rPr>
          <w:sz w:val="30"/>
        </w:rPr>
        <w:t>has</w:t>
      </w:r>
      <w:r>
        <w:rPr>
          <w:spacing w:val="-1"/>
          <w:sz w:val="30"/>
        </w:rPr>
        <w:t xml:space="preserve"> </w:t>
      </w:r>
      <w:r>
        <w:rPr>
          <w:sz w:val="30"/>
        </w:rPr>
        <w:t>knowledge.</w:t>
      </w:r>
      <w:r>
        <w:rPr>
          <w:spacing w:val="-1"/>
          <w:sz w:val="30"/>
        </w:rPr>
        <w:t xml:space="preserve"> </w:t>
      </w:r>
      <w:r>
        <w:rPr>
          <w:sz w:val="30"/>
        </w:rPr>
        <w:t>More</w:t>
      </w:r>
      <w:r>
        <w:rPr>
          <w:spacing w:val="-1"/>
          <w:sz w:val="30"/>
        </w:rPr>
        <w:t xml:space="preserve"> </w:t>
      </w:r>
      <w:r>
        <w:rPr>
          <w:sz w:val="30"/>
        </w:rPr>
        <w:t>specifically,</w:t>
      </w:r>
      <w:r>
        <w:rPr>
          <w:spacing w:val="-1"/>
          <w:sz w:val="30"/>
        </w:rPr>
        <w:t xml:space="preserve"> </w:t>
      </w:r>
      <w:r>
        <w:rPr>
          <w:sz w:val="30"/>
        </w:rPr>
        <w:t>one</w:t>
      </w:r>
      <w:r>
        <w:rPr>
          <w:spacing w:val="-1"/>
          <w:sz w:val="30"/>
        </w:rPr>
        <w:t xml:space="preserve"> </w:t>
      </w:r>
      <w:r>
        <w:rPr>
          <w:sz w:val="30"/>
        </w:rPr>
        <w:t>has</w:t>
      </w:r>
      <w:r>
        <w:rPr>
          <w:spacing w:val="-1"/>
          <w:sz w:val="30"/>
        </w:rPr>
        <w:t xml:space="preserve"> </w:t>
      </w:r>
      <w:r>
        <w:rPr>
          <w:sz w:val="30"/>
        </w:rPr>
        <w:t>knowledge</w:t>
      </w:r>
      <w:r>
        <w:rPr>
          <w:spacing w:val="-1"/>
          <w:sz w:val="30"/>
        </w:rPr>
        <w:t xml:space="preserve"> </w:t>
      </w:r>
      <w:r>
        <w:rPr>
          <w:sz w:val="30"/>
        </w:rPr>
        <w:t>only</w:t>
      </w:r>
      <w:r>
        <w:rPr>
          <w:spacing w:val="-1"/>
          <w:sz w:val="30"/>
        </w:rPr>
        <w:t xml:space="preserve"> </w:t>
      </w:r>
      <w:r>
        <w:rPr>
          <w:sz w:val="30"/>
        </w:rPr>
        <w:t>when</w:t>
      </w:r>
      <w:r>
        <w:rPr>
          <w:spacing w:val="-1"/>
          <w:sz w:val="30"/>
        </w:rPr>
        <w:t xml:space="preserve"> </w:t>
      </w:r>
      <w:r>
        <w:rPr>
          <w:sz w:val="30"/>
        </w:rPr>
        <w:t>one</w:t>
      </w:r>
      <w:r>
        <w:rPr>
          <w:spacing w:val="-1"/>
          <w:sz w:val="30"/>
        </w:rPr>
        <w:t xml:space="preserve"> </w:t>
      </w:r>
      <w:r>
        <w:rPr>
          <w:sz w:val="30"/>
        </w:rPr>
        <w:t xml:space="preserve">has a belief that is true and justified and, moreover, </w:t>
      </w:r>
      <w:r>
        <w:rPr>
          <w:i/>
          <w:sz w:val="30"/>
        </w:rPr>
        <w:t>one’s being justified in holding that belief is non-accidentally related to that belief’s being true.</w:t>
      </w:r>
    </w:p>
    <w:p w14:paraId="7E00165A" w14:textId="77777777" w:rsidR="009A58DB" w:rsidRDefault="00000000">
      <w:pPr>
        <w:pStyle w:val="BodyText"/>
        <w:spacing w:before="6" w:line="249" w:lineRule="auto"/>
        <w:ind w:right="358" w:firstLine="360"/>
      </w:pPr>
      <w:r>
        <w:t>A story will help clarify this. You work at some company. Smith is a fellow employee of yours. He is an excellent worker; the boss likes him; he’s overdue</w:t>
      </w:r>
      <w:r>
        <w:rPr>
          <w:spacing w:val="-3"/>
        </w:rPr>
        <w:t xml:space="preserve"> </w:t>
      </w:r>
      <w:r>
        <w:t>for</w:t>
      </w:r>
      <w:r>
        <w:rPr>
          <w:spacing w:val="-2"/>
        </w:rPr>
        <w:t xml:space="preserve"> </w:t>
      </w:r>
      <w:r>
        <w:t>a</w:t>
      </w:r>
      <w:r>
        <w:rPr>
          <w:spacing w:val="-2"/>
        </w:rPr>
        <w:t xml:space="preserve"> </w:t>
      </w:r>
      <w:r>
        <w:t>promotion;</w:t>
      </w:r>
      <w:r>
        <w:rPr>
          <w:spacing w:val="-2"/>
        </w:rPr>
        <w:t xml:space="preserve"> </w:t>
      </w:r>
      <w:r>
        <w:t>and</w:t>
      </w:r>
      <w:r>
        <w:rPr>
          <w:spacing w:val="-2"/>
        </w:rPr>
        <w:t xml:space="preserve"> </w:t>
      </w:r>
      <w:r>
        <w:t>the</w:t>
      </w:r>
      <w:r>
        <w:rPr>
          <w:spacing w:val="-2"/>
        </w:rPr>
        <w:t xml:space="preserve"> </w:t>
      </w:r>
      <w:r>
        <w:t>boss,</w:t>
      </w:r>
      <w:r>
        <w:rPr>
          <w:spacing w:val="-2"/>
        </w:rPr>
        <w:t xml:space="preserve"> </w:t>
      </w:r>
      <w:r>
        <w:t>who</w:t>
      </w:r>
      <w:r>
        <w:rPr>
          <w:spacing w:val="-2"/>
        </w:rPr>
        <w:t xml:space="preserve"> </w:t>
      </w:r>
      <w:r>
        <w:t>is</w:t>
      </w:r>
      <w:r>
        <w:rPr>
          <w:spacing w:val="-2"/>
        </w:rPr>
        <w:t xml:space="preserve"> </w:t>
      </w:r>
      <w:r>
        <w:t>honest</w:t>
      </w:r>
      <w:r>
        <w:rPr>
          <w:spacing w:val="-2"/>
        </w:rPr>
        <w:t xml:space="preserve"> </w:t>
      </w:r>
      <w:r>
        <w:t>and</w:t>
      </w:r>
      <w:r>
        <w:rPr>
          <w:spacing w:val="-2"/>
        </w:rPr>
        <w:t xml:space="preserve"> </w:t>
      </w:r>
      <w:r>
        <w:t>rewards</w:t>
      </w:r>
      <w:r>
        <w:rPr>
          <w:spacing w:val="-2"/>
        </w:rPr>
        <w:t xml:space="preserve"> </w:t>
      </w:r>
      <w:r>
        <w:t>good</w:t>
      </w:r>
      <w:r>
        <w:rPr>
          <w:spacing w:val="-2"/>
        </w:rPr>
        <w:t xml:space="preserve"> </w:t>
      </w:r>
      <w:r>
        <w:t>work, has just announced that he’s going to give a promotion to somebody (but he hasn’t said who). Further, you know all of these facts. You also know that Smith drives a Ford. On the basis of this information, you form the belief</w:t>
      </w:r>
      <w:r>
        <w:rPr>
          <w:spacing w:val="40"/>
        </w:rPr>
        <w:t xml:space="preserve"> </w:t>
      </w:r>
      <w:r>
        <w:rPr>
          <w:spacing w:val="-2"/>
        </w:rPr>
        <w:t>that:</w:t>
      </w:r>
    </w:p>
    <w:p w14:paraId="7E00165B" w14:textId="77777777" w:rsidR="009A58DB" w:rsidRDefault="00000000">
      <w:pPr>
        <w:pStyle w:val="BodyText"/>
        <w:spacing w:before="73" w:line="720" w:lineRule="exact"/>
        <w:ind w:right="549"/>
        <w:jc w:val="left"/>
      </w:pPr>
      <w:r>
        <w:t>(*) somebody who drives a Ford is about to be given a promotion. Obviously</w:t>
      </w:r>
      <w:r>
        <w:rPr>
          <w:spacing w:val="-3"/>
        </w:rPr>
        <w:t xml:space="preserve"> </w:t>
      </w:r>
      <w:r>
        <w:t>this</w:t>
      </w:r>
      <w:r>
        <w:rPr>
          <w:spacing w:val="-4"/>
        </w:rPr>
        <w:t xml:space="preserve"> </w:t>
      </w:r>
      <w:r>
        <w:t>belief</w:t>
      </w:r>
      <w:r>
        <w:rPr>
          <w:spacing w:val="-4"/>
        </w:rPr>
        <w:t xml:space="preserve"> </w:t>
      </w:r>
      <w:r>
        <w:t>is</w:t>
      </w:r>
      <w:r>
        <w:rPr>
          <w:spacing w:val="-4"/>
        </w:rPr>
        <w:t xml:space="preserve"> </w:t>
      </w:r>
      <w:r>
        <w:t>justified,</w:t>
      </w:r>
      <w:r>
        <w:rPr>
          <w:spacing w:val="-3"/>
        </w:rPr>
        <w:t xml:space="preserve"> </w:t>
      </w:r>
      <w:r>
        <w:t>since</w:t>
      </w:r>
      <w:r>
        <w:rPr>
          <w:spacing w:val="-4"/>
        </w:rPr>
        <w:t xml:space="preserve"> </w:t>
      </w:r>
      <w:r>
        <w:t>your</w:t>
      </w:r>
      <w:r>
        <w:rPr>
          <w:spacing w:val="-4"/>
        </w:rPr>
        <w:t xml:space="preserve"> </w:t>
      </w:r>
      <w:r>
        <w:t>reasons</w:t>
      </w:r>
      <w:r>
        <w:rPr>
          <w:spacing w:val="-4"/>
        </w:rPr>
        <w:t xml:space="preserve"> </w:t>
      </w:r>
      <w:r>
        <w:t>for</w:t>
      </w:r>
      <w:r>
        <w:rPr>
          <w:spacing w:val="-4"/>
        </w:rPr>
        <w:t xml:space="preserve"> </w:t>
      </w:r>
      <w:r>
        <w:t>holding</w:t>
      </w:r>
      <w:r>
        <w:rPr>
          <w:spacing w:val="-3"/>
        </w:rPr>
        <w:t xml:space="preserve"> </w:t>
      </w:r>
      <w:r>
        <w:t>it</w:t>
      </w:r>
      <w:r>
        <w:rPr>
          <w:spacing w:val="-4"/>
        </w:rPr>
        <w:t xml:space="preserve"> </w:t>
      </w:r>
      <w:r>
        <w:t>are</w:t>
      </w:r>
      <w:r>
        <w:rPr>
          <w:spacing w:val="-4"/>
        </w:rPr>
        <w:t xml:space="preserve"> </w:t>
      </w:r>
      <w:r>
        <w:t>solid.</w:t>
      </w:r>
    </w:p>
    <w:p w14:paraId="7E00165C" w14:textId="77777777" w:rsidR="009A58DB" w:rsidRDefault="00000000">
      <w:pPr>
        <w:pStyle w:val="BodyText"/>
        <w:spacing w:line="281" w:lineRule="exact"/>
        <w:ind w:left="720"/>
      </w:pPr>
      <w:r>
        <w:t>And</w:t>
      </w:r>
      <w:r>
        <w:rPr>
          <w:spacing w:val="19"/>
        </w:rPr>
        <w:t xml:space="preserve"> </w:t>
      </w:r>
      <w:r>
        <w:t>that</w:t>
      </w:r>
      <w:r>
        <w:rPr>
          <w:spacing w:val="20"/>
        </w:rPr>
        <w:t xml:space="preserve"> </w:t>
      </w:r>
      <w:r>
        <w:t>belief</w:t>
      </w:r>
      <w:r>
        <w:rPr>
          <w:spacing w:val="19"/>
        </w:rPr>
        <w:t xml:space="preserve"> </w:t>
      </w:r>
      <w:r>
        <w:t>turns</w:t>
      </w:r>
      <w:r>
        <w:rPr>
          <w:spacing w:val="20"/>
        </w:rPr>
        <w:t xml:space="preserve"> </w:t>
      </w:r>
      <w:r>
        <w:t>out</w:t>
      </w:r>
      <w:r>
        <w:rPr>
          <w:spacing w:val="19"/>
        </w:rPr>
        <w:t xml:space="preserve"> </w:t>
      </w:r>
      <w:r>
        <w:t>to</w:t>
      </w:r>
      <w:r>
        <w:rPr>
          <w:spacing w:val="20"/>
        </w:rPr>
        <w:t xml:space="preserve"> </w:t>
      </w:r>
      <w:r>
        <w:t>be</w:t>
      </w:r>
      <w:r>
        <w:rPr>
          <w:spacing w:val="19"/>
        </w:rPr>
        <w:t xml:space="preserve"> </w:t>
      </w:r>
      <w:r>
        <w:t>true—but</w:t>
      </w:r>
      <w:r>
        <w:rPr>
          <w:spacing w:val="20"/>
        </w:rPr>
        <w:t xml:space="preserve"> </w:t>
      </w:r>
      <w:r>
        <w:t>not</w:t>
      </w:r>
      <w:r>
        <w:rPr>
          <w:spacing w:val="19"/>
        </w:rPr>
        <w:t xml:space="preserve"> </w:t>
      </w:r>
      <w:r>
        <w:t>for</w:t>
      </w:r>
      <w:r>
        <w:rPr>
          <w:spacing w:val="20"/>
        </w:rPr>
        <w:t xml:space="preserve"> </w:t>
      </w:r>
      <w:r>
        <w:t>the</w:t>
      </w:r>
      <w:r>
        <w:rPr>
          <w:spacing w:val="19"/>
        </w:rPr>
        <w:t xml:space="preserve"> </w:t>
      </w:r>
      <w:r>
        <w:t>reason</w:t>
      </w:r>
      <w:r>
        <w:rPr>
          <w:spacing w:val="20"/>
        </w:rPr>
        <w:t xml:space="preserve"> </w:t>
      </w:r>
      <w:r>
        <w:t>that</w:t>
      </w:r>
      <w:r>
        <w:rPr>
          <w:spacing w:val="19"/>
        </w:rPr>
        <w:t xml:space="preserve"> </w:t>
      </w:r>
      <w:r>
        <w:t>you</w:t>
      </w:r>
      <w:r>
        <w:rPr>
          <w:spacing w:val="20"/>
        </w:rPr>
        <w:t xml:space="preserve"> </w:t>
      </w:r>
      <w:r>
        <w:rPr>
          <w:spacing w:val="-4"/>
        </w:rPr>
        <w:t>have</w:t>
      </w:r>
    </w:p>
    <w:p w14:paraId="7E00165D" w14:textId="77777777" w:rsidR="009A58DB" w:rsidRDefault="00000000">
      <w:pPr>
        <w:pStyle w:val="BodyText"/>
        <w:spacing w:before="15" w:line="249" w:lineRule="auto"/>
        <w:ind w:right="358"/>
      </w:pPr>
      <w:r>
        <w:t xml:space="preserve">in mind. Smith does </w:t>
      </w:r>
      <w:r>
        <w:rPr>
          <w:i/>
        </w:rPr>
        <w:t xml:space="preserve">not </w:t>
      </w:r>
      <w:r>
        <w:t xml:space="preserve">get the promotion. The boss gives the promotion to Jones. Jones is a terrible employee, as you know. But what you </w:t>
      </w:r>
      <w:r>
        <w:rPr>
          <w:i/>
        </w:rPr>
        <w:t xml:space="preserve">don’t </w:t>
      </w:r>
      <w:r>
        <w:t>know, and had no way of knowing is that the boss owes a huge favor to Jones’ dad, who is a local and exceptionally vindictive Mafia boss. So, acting with an uncharacteristic disregard for merit, the boss gives the promotion to Jones.</w:t>
      </w:r>
      <w:r>
        <w:rPr>
          <w:spacing w:val="40"/>
        </w:rPr>
        <w:t xml:space="preserve"> </w:t>
      </w:r>
      <w:r>
        <w:t>By sheer coincidence, Jones drives a Ford.</w:t>
      </w:r>
    </w:p>
    <w:p w14:paraId="7E00165E" w14:textId="77777777" w:rsidR="009A58DB" w:rsidRDefault="00000000">
      <w:pPr>
        <w:pStyle w:val="BodyText"/>
        <w:spacing w:before="7"/>
        <w:ind w:left="720"/>
      </w:pPr>
      <w:r>
        <w:t>In</w:t>
      </w:r>
      <w:r>
        <w:rPr>
          <w:spacing w:val="9"/>
        </w:rPr>
        <w:t xml:space="preserve"> </w:t>
      </w:r>
      <w:r>
        <w:t>light</w:t>
      </w:r>
      <w:r>
        <w:rPr>
          <w:spacing w:val="10"/>
        </w:rPr>
        <w:t xml:space="preserve"> </w:t>
      </w:r>
      <w:r>
        <w:t>of</w:t>
      </w:r>
      <w:r>
        <w:rPr>
          <w:spacing w:val="11"/>
        </w:rPr>
        <w:t xml:space="preserve"> </w:t>
      </w:r>
      <w:r>
        <w:t>this,</w:t>
      </w:r>
      <w:r>
        <w:rPr>
          <w:spacing w:val="11"/>
        </w:rPr>
        <w:t xml:space="preserve"> </w:t>
      </w:r>
      <w:r>
        <w:t>let’s</w:t>
      </w:r>
      <w:r>
        <w:rPr>
          <w:spacing w:val="11"/>
        </w:rPr>
        <w:t xml:space="preserve"> </w:t>
      </w:r>
      <w:r>
        <w:t>look</w:t>
      </w:r>
      <w:r>
        <w:rPr>
          <w:spacing w:val="12"/>
        </w:rPr>
        <w:t xml:space="preserve"> </w:t>
      </w:r>
      <w:r>
        <w:t>at</w:t>
      </w:r>
      <w:r>
        <w:rPr>
          <w:spacing w:val="11"/>
        </w:rPr>
        <w:t xml:space="preserve"> </w:t>
      </w:r>
      <w:r>
        <w:t>your</w:t>
      </w:r>
      <w:r>
        <w:rPr>
          <w:spacing w:val="11"/>
        </w:rPr>
        <w:t xml:space="preserve"> </w:t>
      </w:r>
      <w:r>
        <w:t>belief</w:t>
      </w:r>
      <w:r>
        <w:rPr>
          <w:spacing w:val="11"/>
        </w:rPr>
        <w:t xml:space="preserve"> </w:t>
      </w:r>
      <w:r>
        <w:t>in</w:t>
      </w:r>
      <w:r>
        <w:rPr>
          <w:spacing w:val="11"/>
        </w:rPr>
        <w:t xml:space="preserve"> </w:t>
      </w:r>
      <w:r>
        <w:t>*.</w:t>
      </w:r>
      <w:r>
        <w:rPr>
          <w:spacing w:val="11"/>
        </w:rPr>
        <w:t xml:space="preserve"> </w:t>
      </w:r>
      <w:r>
        <w:t>First</w:t>
      </w:r>
      <w:r>
        <w:rPr>
          <w:spacing w:val="11"/>
        </w:rPr>
        <w:t xml:space="preserve"> </w:t>
      </w:r>
      <w:r>
        <w:t>of</w:t>
      </w:r>
      <w:r>
        <w:rPr>
          <w:spacing w:val="11"/>
        </w:rPr>
        <w:t xml:space="preserve"> </w:t>
      </w:r>
      <w:r>
        <w:t>all,</w:t>
      </w:r>
      <w:r>
        <w:rPr>
          <w:spacing w:val="11"/>
        </w:rPr>
        <w:t xml:space="preserve"> </w:t>
      </w:r>
      <w:r>
        <w:t>that</w:t>
      </w:r>
      <w:r>
        <w:rPr>
          <w:spacing w:val="11"/>
        </w:rPr>
        <w:t xml:space="preserve"> </w:t>
      </w:r>
      <w:r>
        <w:t>belief</w:t>
      </w:r>
      <w:r>
        <w:rPr>
          <w:spacing w:val="11"/>
        </w:rPr>
        <w:t xml:space="preserve"> </w:t>
      </w:r>
      <w:r>
        <w:t>is</w:t>
      </w:r>
      <w:r>
        <w:rPr>
          <w:spacing w:val="12"/>
        </w:rPr>
        <w:t xml:space="preserve"> </w:t>
      </w:r>
      <w:r>
        <w:rPr>
          <w:spacing w:val="-4"/>
        </w:rPr>
        <w:t>true</w:t>
      </w:r>
    </w:p>
    <w:p w14:paraId="7E00165F" w14:textId="77777777" w:rsidR="009A58DB" w:rsidRDefault="00000000">
      <w:pPr>
        <w:pStyle w:val="BodyText"/>
        <w:spacing w:before="15" w:line="249" w:lineRule="auto"/>
        <w:ind w:right="364"/>
      </w:pPr>
      <w:r>
        <w:t>—a</w:t>
      </w:r>
      <w:r>
        <w:rPr>
          <w:spacing w:val="-5"/>
        </w:rPr>
        <w:t xml:space="preserve"> </w:t>
      </w:r>
      <w:r>
        <w:t>Ford</w:t>
      </w:r>
      <w:r>
        <w:rPr>
          <w:spacing w:val="-4"/>
        </w:rPr>
        <w:t xml:space="preserve"> </w:t>
      </w:r>
      <w:r>
        <w:t>driver</w:t>
      </w:r>
      <w:r>
        <w:rPr>
          <w:spacing w:val="-5"/>
        </w:rPr>
        <w:t xml:space="preserve"> </w:t>
      </w:r>
      <w:r>
        <w:t>(namely,</w:t>
      </w:r>
      <w:r>
        <w:rPr>
          <w:spacing w:val="-4"/>
        </w:rPr>
        <w:t xml:space="preserve"> </w:t>
      </w:r>
      <w:r>
        <w:t>Jones)</w:t>
      </w:r>
      <w:r>
        <w:rPr>
          <w:spacing w:val="-5"/>
        </w:rPr>
        <w:t xml:space="preserve"> </w:t>
      </w:r>
      <w:r>
        <w:rPr>
          <w:i/>
        </w:rPr>
        <w:t>was</w:t>
      </w:r>
      <w:r>
        <w:rPr>
          <w:i/>
          <w:spacing w:val="-5"/>
        </w:rPr>
        <w:t xml:space="preserve"> </w:t>
      </w:r>
      <w:r>
        <w:t>given</w:t>
      </w:r>
      <w:r>
        <w:rPr>
          <w:spacing w:val="-4"/>
        </w:rPr>
        <w:t xml:space="preserve"> </w:t>
      </w:r>
      <w:r>
        <w:t>a</w:t>
      </w:r>
      <w:r>
        <w:rPr>
          <w:spacing w:val="-5"/>
        </w:rPr>
        <w:t xml:space="preserve"> </w:t>
      </w:r>
      <w:r>
        <w:t>promotion.</w:t>
      </w:r>
      <w:r>
        <w:rPr>
          <w:spacing w:val="-4"/>
        </w:rPr>
        <w:t xml:space="preserve"> </w:t>
      </w:r>
      <w:r>
        <w:t>Second,</w:t>
      </w:r>
      <w:r>
        <w:rPr>
          <w:spacing w:val="-4"/>
        </w:rPr>
        <w:t xml:space="preserve"> </w:t>
      </w:r>
      <w:r>
        <w:t>it’s</w:t>
      </w:r>
      <w:r>
        <w:rPr>
          <w:spacing w:val="-5"/>
        </w:rPr>
        <w:t xml:space="preserve"> </w:t>
      </w:r>
      <w:r>
        <w:t>justified. We’ve already seen why. You were justified in believing that Smith, whom you knew to be a Ford driver, was going to be a given a promotion. That belief turned out to be wrong—but it was still justified.</w:t>
      </w:r>
    </w:p>
    <w:p w14:paraId="7E001660" w14:textId="77777777" w:rsidR="009A58DB" w:rsidRDefault="00000000">
      <w:pPr>
        <w:pStyle w:val="BodyText"/>
        <w:spacing w:before="5"/>
        <w:ind w:left="720"/>
      </w:pPr>
      <w:r>
        <w:t>So</w:t>
      </w:r>
      <w:r>
        <w:rPr>
          <w:spacing w:val="-4"/>
        </w:rPr>
        <w:t xml:space="preserve"> </w:t>
      </w:r>
      <w:r>
        <w:t>your</w:t>
      </w:r>
      <w:r>
        <w:rPr>
          <w:spacing w:val="-3"/>
        </w:rPr>
        <w:t xml:space="preserve"> </w:t>
      </w:r>
      <w:r>
        <w:t>belief</w:t>
      </w:r>
      <w:r>
        <w:rPr>
          <w:spacing w:val="-3"/>
        </w:rPr>
        <w:t xml:space="preserve"> </w:t>
      </w:r>
      <w:r>
        <w:t>in</w:t>
      </w:r>
      <w:r>
        <w:rPr>
          <w:spacing w:val="-2"/>
        </w:rPr>
        <w:t xml:space="preserve"> </w:t>
      </w:r>
      <w:r>
        <w:t>*</w:t>
      </w:r>
      <w:r>
        <w:rPr>
          <w:spacing w:val="-2"/>
        </w:rPr>
        <w:t xml:space="preserve"> </w:t>
      </w:r>
      <w:r>
        <w:t>is</w:t>
      </w:r>
      <w:r>
        <w:rPr>
          <w:spacing w:val="-3"/>
        </w:rPr>
        <w:t xml:space="preserve"> </w:t>
      </w:r>
      <w:r>
        <w:t>true</w:t>
      </w:r>
      <w:r>
        <w:rPr>
          <w:spacing w:val="-3"/>
        </w:rPr>
        <w:t xml:space="preserve"> </w:t>
      </w:r>
      <w:r>
        <w:t>and</w:t>
      </w:r>
      <w:r>
        <w:rPr>
          <w:spacing w:val="-2"/>
        </w:rPr>
        <w:t xml:space="preserve"> </w:t>
      </w:r>
      <w:r>
        <w:t>justified.</w:t>
      </w:r>
      <w:r>
        <w:rPr>
          <w:spacing w:val="-2"/>
        </w:rPr>
        <w:t xml:space="preserve"> </w:t>
      </w:r>
      <w:r>
        <w:t>It</w:t>
      </w:r>
      <w:r>
        <w:rPr>
          <w:spacing w:val="-3"/>
        </w:rPr>
        <w:t xml:space="preserve"> </w:t>
      </w:r>
      <w:r>
        <w:t>is</w:t>
      </w:r>
      <w:r>
        <w:rPr>
          <w:spacing w:val="-3"/>
        </w:rPr>
        <w:t xml:space="preserve"> </w:t>
      </w:r>
      <w:r>
        <w:t>thus</w:t>
      </w:r>
      <w:r>
        <w:rPr>
          <w:spacing w:val="-3"/>
        </w:rPr>
        <w:t xml:space="preserve"> </w:t>
      </w:r>
      <w:r>
        <w:t>a</w:t>
      </w:r>
      <w:r>
        <w:rPr>
          <w:spacing w:val="-3"/>
        </w:rPr>
        <w:t xml:space="preserve"> </w:t>
      </w:r>
      <w:r>
        <w:t>justified</w:t>
      </w:r>
      <w:r>
        <w:rPr>
          <w:spacing w:val="-2"/>
        </w:rPr>
        <w:t xml:space="preserve"> </w:t>
      </w:r>
      <w:r>
        <w:t>true</w:t>
      </w:r>
      <w:r>
        <w:rPr>
          <w:spacing w:val="-2"/>
        </w:rPr>
        <w:t xml:space="preserve"> belief.</w:t>
      </w:r>
    </w:p>
    <w:p w14:paraId="7E001661" w14:textId="77777777" w:rsidR="009A58DB" w:rsidRDefault="00000000">
      <w:pPr>
        <w:pStyle w:val="BodyText"/>
        <w:spacing w:before="15" w:line="249" w:lineRule="auto"/>
        <w:ind w:right="359" w:firstLine="360"/>
      </w:pPr>
      <w:r>
        <w:t>But is it knowledge? No. It’s pure coincidence that Jones, who you had no way of knowing would get the promotion, drives a Ford.</w:t>
      </w:r>
      <w:bookmarkStart w:id="287" w:name="_bookmark287"/>
      <w:bookmarkEnd w:id="287"/>
      <w:r>
        <w:rPr>
          <w:color w:val="0562C1"/>
          <w:position w:val="21"/>
          <w:u w:val="single" w:color="0562C1"/>
        </w:rPr>
        <w:t>[185]</w:t>
      </w:r>
      <w:r>
        <w:rPr>
          <w:color w:val="0562C1"/>
          <w:spacing w:val="-7"/>
          <w:position w:val="21"/>
        </w:rPr>
        <w:t xml:space="preserve"> </w:t>
      </w:r>
      <w:r>
        <w:t>You’re right a Ford</w:t>
      </w:r>
      <w:r>
        <w:rPr>
          <w:spacing w:val="-1"/>
        </w:rPr>
        <w:t xml:space="preserve"> </w:t>
      </w:r>
      <w:r>
        <w:t>driver</w:t>
      </w:r>
      <w:r>
        <w:rPr>
          <w:spacing w:val="-1"/>
        </w:rPr>
        <w:t xml:space="preserve"> </w:t>
      </w:r>
      <w:r>
        <w:t>would</w:t>
      </w:r>
      <w:r>
        <w:rPr>
          <w:spacing w:val="-1"/>
        </w:rPr>
        <w:t xml:space="preserve"> </w:t>
      </w:r>
      <w:r>
        <w:t>get</w:t>
      </w:r>
      <w:r>
        <w:rPr>
          <w:spacing w:val="-1"/>
        </w:rPr>
        <w:t xml:space="preserve"> </w:t>
      </w:r>
      <w:r>
        <w:t>the</w:t>
      </w:r>
      <w:r>
        <w:rPr>
          <w:spacing w:val="-1"/>
        </w:rPr>
        <w:t xml:space="preserve"> </w:t>
      </w:r>
      <w:r>
        <w:t>promotion,</w:t>
      </w:r>
      <w:r>
        <w:rPr>
          <w:spacing w:val="-1"/>
        </w:rPr>
        <w:t xml:space="preserve"> </w:t>
      </w:r>
      <w:r>
        <w:t>and</w:t>
      </w:r>
      <w:r>
        <w:rPr>
          <w:spacing w:val="-1"/>
        </w:rPr>
        <w:t xml:space="preserve"> </w:t>
      </w:r>
      <w:r>
        <w:t>your</w:t>
      </w:r>
      <w:r>
        <w:rPr>
          <w:spacing w:val="-1"/>
        </w:rPr>
        <w:t xml:space="preserve"> </w:t>
      </w:r>
      <w:r>
        <w:t>belief</w:t>
      </w:r>
      <w:r>
        <w:rPr>
          <w:spacing w:val="-1"/>
        </w:rPr>
        <w:t xml:space="preserve"> </w:t>
      </w:r>
      <w:r>
        <w:t>is</w:t>
      </w:r>
      <w:r>
        <w:rPr>
          <w:spacing w:val="-1"/>
        </w:rPr>
        <w:t xml:space="preserve"> </w:t>
      </w:r>
      <w:r>
        <w:t>justified.</w:t>
      </w:r>
      <w:r>
        <w:rPr>
          <w:spacing w:val="-1"/>
        </w:rPr>
        <w:t xml:space="preserve"> </w:t>
      </w:r>
      <w:r>
        <w:t>But</w:t>
      </w:r>
      <w:r>
        <w:rPr>
          <w:spacing w:val="-1"/>
        </w:rPr>
        <w:t xml:space="preserve"> </w:t>
      </w:r>
      <w:r>
        <w:t>you</w:t>
      </w:r>
      <w:r>
        <w:rPr>
          <w:spacing w:val="-1"/>
        </w:rPr>
        <w:t xml:space="preserve"> </w:t>
      </w:r>
      <w:r>
        <w:t>still believe</w:t>
      </w:r>
      <w:r>
        <w:rPr>
          <w:spacing w:val="32"/>
        </w:rPr>
        <w:t xml:space="preserve"> </w:t>
      </w:r>
      <w:r>
        <w:t>it</w:t>
      </w:r>
      <w:r>
        <w:rPr>
          <w:spacing w:val="32"/>
        </w:rPr>
        <w:t xml:space="preserve"> </w:t>
      </w:r>
      <w:r>
        <w:t>for</w:t>
      </w:r>
      <w:r>
        <w:rPr>
          <w:spacing w:val="32"/>
        </w:rPr>
        <w:t xml:space="preserve"> </w:t>
      </w:r>
      <w:r>
        <w:t>the</w:t>
      </w:r>
      <w:r>
        <w:rPr>
          <w:spacing w:val="32"/>
        </w:rPr>
        <w:t xml:space="preserve"> </w:t>
      </w:r>
      <w:r>
        <w:t>wrong</w:t>
      </w:r>
      <w:r>
        <w:rPr>
          <w:spacing w:val="32"/>
        </w:rPr>
        <w:t xml:space="preserve"> </w:t>
      </w:r>
      <w:r>
        <w:t>reasons.</w:t>
      </w:r>
      <w:r>
        <w:rPr>
          <w:spacing w:val="32"/>
        </w:rPr>
        <w:t xml:space="preserve"> </w:t>
      </w:r>
      <w:r>
        <w:t>(A</w:t>
      </w:r>
      <w:r>
        <w:rPr>
          <w:spacing w:val="32"/>
        </w:rPr>
        <w:t xml:space="preserve"> </w:t>
      </w:r>
      <w:r>
        <w:t>justified</w:t>
      </w:r>
      <w:r>
        <w:rPr>
          <w:spacing w:val="32"/>
        </w:rPr>
        <w:t xml:space="preserve"> </w:t>
      </w:r>
      <w:r>
        <w:t>belief</w:t>
      </w:r>
      <w:r>
        <w:rPr>
          <w:spacing w:val="32"/>
        </w:rPr>
        <w:t xml:space="preserve"> </w:t>
      </w:r>
      <w:r>
        <w:t>can</w:t>
      </w:r>
      <w:r>
        <w:rPr>
          <w:spacing w:val="32"/>
        </w:rPr>
        <w:t xml:space="preserve"> </w:t>
      </w:r>
      <w:r>
        <w:t>thus</w:t>
      </w:r>
      <w:r>
        <w:rPr>
          <w:spacing w:val="32"/>
        </w:rPr>
        <w:t xml:space="preserve"> </w:t>
      </w:r>
      <w:r>
        <w:t>be</w:t>
      </w:r>
      <w:r>
        <w:rPr>
          <w:spacing w:val="32"/>
        </w:rPr>
        <w:t xml:space="preserve"> </w:t>
      </w:r>
      <w:r>
        <w:t>had</w:t>
      </w:r>
      <w:r>
        <w:rPr>
          <w:spacing w:val="32"/>
        </w:rPr>
        <w:t xml:space="preserve"> </w:t>
      </w:r>
      <w:r>
        <w:t>for</w:t>
      </w:r>
      <w:r>
        <w:rPr>
          <w:spacing w:val="32"/>
        </w:rPr>
        <w:t xml:space="preserve"> </w:t>
      </w:r>
      <w:r>
        <w:t>the</w:t>
      </w:r>
    </w:p>
    <w:p w14:paraId="7E00166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63" w14:textId="77777777" w:rsidR="009A58DB" w:rsidRDefault="00000000">
      <w:pPr>
        <w:pStyle w:val="BodyText"/>
        <w:spacing w:before="65"/>
      </w:pPr>
      <w:r>
        <w:lastRenderedPageBreak/>
        <w:t>wrong</w:t>
      </w:r>
      <w:r>
        <w:rPr>
          <w:spacing w:val="-5"/>
        </w:rPr>
        <w:t xml:space="preserve"> </w:t>
      </w:r>
      <w:r>
        <w:t>reasons.)</w:t>
      </w:r>
      <w:r>
        <w:rPr>
          <w:spacing w:val="-3"/>
        </w:rPr>
        <w:t xml:space="preserve"> </w:t>
      </w:r>
      <w:r>
        <w:t>And</w:t>
      </w:r>
      <w:r>
        <w:rPr>
          <w:spacing w:val="-3"/>
        </w:rPr>
        <w:t xml:space="preserve"> </w:t>
      </w:r>
      <w:r>
        <w:t>that’s</w:t>
      </w:r>
      <w:r>
        <w:rPr>
          <w:spacing w:val="-3"/>
        </w:rPr>
        <w:t xml:space="preserve"> </w:t>
      </w:r>
      <w:r>
        <w:t>why</w:t>
      </w:r>
      <w:r>
        <w:rPr>
          <w:spacing w:val="-3"/>
        </w:rPr>
        <w:t xml:space="preserve"> </w:t>
      </w:r>
      <w:r>
        <w:t>it</w:t>
      </w:r>
      <w:r>
        <w:rPr>
          <w:spacing w:val="-3"/>
        </w:rPr>
        <w:t xml:space="preserve"> </w:t>
      </w:r>
      <w:r>
        <w:t>isn’t</w:t>
      </w:r>
      <w:r>
        <w:rPr>
          <w:spacing w:val="-3"/>
        </w:rPr>
        <w:t xml:space="preserve"> </w:t>
      </w:r>
      <w:r>
        <w:rPr>
          <w:spacing w:val="-2"/>
        </w:rPr>
        <w:t>knowledge.</w:t>
      </w:r>
    </w:p>
    <w:p w14:paraId="7E001664" w14:textId="77777777" w:rsidR="009A58DB" w:rsidRDefault="00000000">
      <w:pPr>
        <w:pStyle w:val="BodyText"/>
        <w:spacing w:before="15" w:line="249" w:lineRule="auto"/>
        <w:ind w:right="364" w:firstLine="360"/>
        <w:rPr>
          <w:i/>
        </w:rPr>
      </w:pPr>
      <w:r>
        <w:t>This shows that there can be justified true beliefs that are not knowledge.</w:t>
      </w:r>
      <w:r>
        <w:rPr>
          <w:spacing w:val="40"/>
        </w:rPr>
        <w:t xml:space="preserve"> </w:t>
      </w:r>
      <w:r>
        <w:t xml:space="preserve">It shows that, for something to be knowledge, it is not </w:t>
      </w:r>
      <w:r>
        <w:rPr>
          <w:i/>
        </w:rPr>
        <w:t>sufficient</w:t>
      </w:r>
      <w:r>
        <w:rPr>
          <w:i/>
          <w:spacing w:val="-3"/>
        </w:rPr>
        <w:t xml:space="preserve"> </w:t>
      </w:r>
      <w:r>
        <w:t xml:space="preserve">that it satisfy conditions (1)–(3), even though, for the reasons discussed earlier, it is </w:t>
      </w:r>
      <w:r>
        <w:rPr>
          <w:i/>
          <w:spacing w:val="-2"/>
        </w:rPr>
        <w:t>necessary.</w:t>
      </w:r>
    </w:p>
    <w:p w14:paraId="7E001665" w14:textId="77777777" w:rsidR="009A58DB" w:rsidRDefault="00000000">
      <w:pPr>
        <w:pStyle w:val="BodyText"/>
        <w:spacing w:before="5" w:line="249" w:lineRule="auto"/>
        <w:ind w:right="359" w:firstLine="360"/>
      </w:pPr>
      <w:r>
        <w:t>The argument just stated was given by Edmund Gettier (1963). Bertrand Russell (1912) gave a similar argument. You look at a clock that is in fact broken but that you believe, and have every reason to believe, is in good working</w:t>
      </w:r>
      <w:r>
        <w:rPr>
          <w:spacing w:val="-1"/>
        </w:rPr>
        <w:t xml:space="preserve"> </w:t>
      </w:r>
      <w:r>
        <w:t>order.</w:t>
      </w:r>
      <w:r>
        <w:rPr>
          <w:spacing w:val="-1"/>
        </w:rPr>
        <w:t xml:space="preserve"> </w:t>
      </w:r>
      <w:r>
        <w:t>According</w:t>
      </w:r>
      <w:r>
        <w:rPr>
          <w:spacing w:val="-1"/>
        </w:rPr>
        <w:t xml:space="preserve"> </w:t>
      </w:r>
      <w:r>
        <w:t>to</w:t>
      </w:r>
      <w:r>
        <w:rPr>
          <w:spacing w:val="-1"/>
        </w:rPr>
        <w:t xml:space="preserve"> </w:t>
      </w:r>
      <w:r>
        <w:t>the</w:t>
      </w:r>
      <w:r>
        <w:rPr>
          <w:spacing w:val="-1"/>
        </w:rPr>
        <w:t xml:space="preserve"> </w:t>
      </w:r>
      <w:r>
        <w:t>clock,</w:t>
      </w:r>
      <w:r>
        <w:rPr>
          <w:spacing w:val="-1"/>
        </w:rPr>
        <w:t xml:space="preserve"> </w:t>
      </w:r>
      <w:r>
        <w:t>the</w:t>
      </w:r>
      <w:r>
        <w:rPr>
          <w:spacing w:val="-1"/>
        </w:rPr>
        <w:t xml:space="preserve"> </w:t>
      </w:r>
      <w:r>
        <w:t>time</w:t>
      </w:r>
      <w:r>
        <w:rPr>
          <w:spacing w:val="-1"/>
        </w:rPr>
        <w:t xml:space="preserve"> </w:t>
      </w:r>
      <w:r>
        <w:t>is</w:t>
      </w:r>
      <w:r>
        <w:rPr>
          <w:spacing w:val="-1"/>
        </w:rPr>
        <w:t xml:space="preserve"> </w:t>
      </w:r>
      <w:r>
        <w:t>4:00</w:t>
      </w:r>
      <w:r>
        <w:rPr>
          <w:spacing w:val="-1"/>
        </w:rPr>
        <w:t xml:space="preserve"> </w:t>
      </w:r>
      <w:r>
        <w:rPr>
          <w:sz w:val="22"/>
        </w:rPr>
        <w:t>P</w:t>
      </w:r>
      <w:r>
        <w:t>.</w:t>
      </w:r>
      <w:r>
        <w:rPr>
          <w:sz w:val="22"/>
        </w:rPr>
        <w:t>M</w:t>
      </w:r>
      <w:r>
        <w:t xml:space="preserve">. In fact, that </w:t>
      </w:r>
      <w:r>
        <w:rPr>
          <w:i/>
        </w:rPr>
        <w:t>is</w:t>
      </w:r>
      <w:r>
        <w:rPr>
          <w:i/>
          <w:spacing w:val="-3"/>
        </w:rPr>
        <w:t xml:space="preserve"> </w:t>
      </w:r>
      <w:r>
        <w:t>the actual</w:t>
      </w:r>
      <w:r>
        <w:rPr>
          <w:spacing w:val="-2"/>
        </w:rPr>
        <w:t xml:space="preserve"> </w:t>
      </w:r>
      <w:r>
        <w:t>time.</w:t>
      </w:r>
      <w:r>
        <w:rPr>
          <w:spacing w:val="-2"/>
        </w:rPr>
        <w:t xml:space="preserve"> </w:t>
      </w:r>
      <w:r>
        <w:t>But</w:t>
      </w:r>
      <w:r>
        <w:rPr>
          <w:spacing w:val="-2"/>
        </w:rPr>
        <w:t xml:space="preserve"> </w:t>
      </w:r>
      <w:r>
        <w:t>the</w:t>
      </w:r>
      <w:r>
        <w:rPr>
          <w:spacing w:val="-2"/>
        </w:rPr>
        <w:t xml:space="preserve"> </w:t>
      </w:r>
      <w:r>
        <w:t>clock</w:t>
      </w:r>
      <w:r>
        <w:rPr>
          <w:spacing w:val="-2"/>
        </w:rPr>
        <w:t xml:space="preserve"> </w:t>
      </w:r>
      <w:r>
        <w:t>is</w:t>
      </w:r>
      <w:r>
        <w:rPr>
          <w:spacing w:val="-2"/>
        </w:rPr>
        <w:t xml:space="preserve"> </w:t>
      </w:r>
      <w:r>
        <w:t>broken,</w:t>
      </w:r>
      <w:r>
        <w:rPr>
          <w:spacing w:val="-2"/>
        </w:rPr>
        <w:t xml:space="preserve"> </w:t>
      </w:r>
      <w:r>
        <w:t>and</w:t>
      </w:r>
      <w:r>
        <w:rPr>
          <w:spacing w:val="-2"/>
        </w:rPr>
        <w:t xml:space="preserve"> </w:t>
      </w:r>
      <w:r>
        <w:t>it</w:t>
      </w:r>
      <w:r>
        <w:rPr>
          <w:spacing w:val="-2"/>
        </w:rPr>
        <w:t xml:space="preserve"> </w:t>
      </w:r>
      <w:r>
        <w:t>is</w:t>
      </w:r>
      <w:r>
        <w:rPr>
          <w:spacing w:val="-2"/>
        </w:rPr>
        <w:t xml:space="preserve"> </w:t>
      </w:r>
      <w:r>
        <w:t>therefore</w:t>
      </w:r>
      <w:r>
        <w:rPr>
          <w:spacing w:val="-2"/>
        </w:rPr>
        <w:t xml:space="preserve"> </w:t>
      </w:r>
      <w:r>
        <w:t>a</w:t>
      </w:r>
      <w:r>
        <w:rPr>
          <w:spacing w:val="-2"/>
        </w:rPr>
        <w:t xml:space="preserve"> </w:t>
      </w:r>
      <w:r>
        <w:t>fluke</w:t>
      </w:r>
      <w:r>
        <w:rPr>
          <w:spacing w:val="-2"/>
        </w:rPr>
        <w:t xml:space="preserve"> </w:t>
      </w:r>
      <w:r>
        <w:t>that</w:t>
      </w:r>
      <w:r>
        <w:rPr>
          <w:spacing w:val="-2"/>
        </w:rPr>
        <w:t xml:space="preserve"> </w:t>
      </w:r>
      <w:r>
        <w:t>it</w:t>
      </w:r>
      <w:r>
        <w:rPr>
          <w:spacing w:val="-2"/>
        </w:rPr>
        <w:t xml:space="preserve"> </w:t>
      </w:r>
      <w:r>
        <w:t>gave</w:t>
      </w:r>
      <w:r>
        <w:rPr>
          <w:spacing w:val="-2"/>
        </w:rPr>
        <w:t xml:space="preserve"> </w:t>
      </w:r>
      <w:r>
        <w:t xml:space="preserve">you the right time. Your belief that it is 4:00 </w:t>
      </w:r>
      <w:r>
        <w:rPr>
          <w:sz w:val="22"/>
        </w:rPr>
        <w:t>P</w:t>
      </w:r>
      <w:r>
        <w:t>.</w:t>
      </w:r>
      <w:r>
        <w:rPr>
          <w:sz w:val="22"/>
        </w:rPr>
        <w:t>M</w:t>
      </w:r>
      <w:r>
        <w:t>. is thus true and justified, but it isn’t knowledge.</w:t>
      </w:r>
    </w:p>
    <w:p w14:paraId="7E001666" w14:textId="77777777" w:rsidR="009A58DB" w:rsidRDefault="00000000">
      <w:pPr>
        <w:pStyle w:val="Heading1"/>
        <w:numPr>
          <w:ilvl w:val="1"/>
          <w:numId w:val="138"/>
        </w:numPr>
        <w:tabs>
          <w:tab w:val="left" w:pos="1140"/>
        </w:tabs>
        <w:spacing w:before="196" w:line="244" w:lineRule="auto"/>
        <w:ind w:left="360" w:right="362" w:firstLine="0"/>
        <w:jc w:val="both"/>
      </w:pPr>
      <w:r>
        <w:t xml:space="preserve">Knowledge as non-accidentally justified true </w:t>
      </w:r>
      <w:r>
        <w:rPr>
          <w:spacing w:val="-2"/>
        </w:rPr>
        <w:t>belief</w:t>
      </w:r>
    </w:p>
    <w:p w14:paraId="7E001667" w14:textId="77777777" w:rsidR="009A58DB" w:rsidRDefault="00000000">
      <w:pPr>
        <w:pStyle w:val="BodyText"/>
        <w:spacing w:before="132" w:line="249" w:lineRule="auto"/>
        <w:ind w:right="360"/>
      </w:pPr>
      <w:r>
        <w:t>We’ve seen that for something to be knowledge, it isn’t enough that it be a justified, true belief, and that it must therefore satisfy some fourth condition. There is considerable debate as to the precise nature of that fourth condition, but it is seems clear that, when stated very approximately, it must be this:</w:t>
      </w:r>
    </w:p>
    <w:p w14:paraId="7E001668" w14:textId="77777777" w:rsidR="009A58DB" w:rsidRDefault="009A58DB">
      <w:pPr>
        <w:pStyle w:val="BodyText"/>
        <w:spacing w:before="20"/>
        <w:ind w:left="0"/>
        <w:jc w:val="left"/>
      </w:pPr>
    </w:p>
    <w:p w14:paraId="7E001669" w14:textId="77777777" w:rsidR="009A58DB" w:rsidRDefault="00000000">
      <w:pPr>
        <w:pStyle w:val="ListParagraph"/>
        <w:numPr>
          <w:ilvl w:val="0"/>
          <w:numId w:val="139"/>
        </w:numPr>
        <w:tabs>
          <w:tab w:val="left" w:pos="850"/>
        </w:tabs>
        <w:spacing w:line="249" w:lineRule="auto"/>
        <w:ind w:left="360" w:right="368" w:firstLine="0"/>
        <w:jc w:val="both"/>
        <w:rPr>
          <w:sz w:val="30"/>
        </w:rPr>
      </w:pPr>
      <w:r>
        <w:rPr>
          <w:sz w:val="30"/>
        </w:rPr>
        <w:t>if a given belief is to be knowledge, there must be a non-accidental connection between one’s reason for having that belief, on the one hand, and the fact in virtue of which that belief is true, on the other: justification and truth must be non-accidentally connected.</w:t>
      </w:r>
    </w:p>
    <w:p w14:paraId="7E00166A" w14:textId="77777777" w:rsidR="009A58DB" w:rsidRDefault="009A58DB">
      <w:pPr>
        <w:pStyle w:val="BodyText"/>
        <w:spacing w:before="20"/>
        <w:ind w:left="0"/>
        <w:jc w:val="left"/>
      </w:pPr>
    </w:p>
    <w:p w14:paraId="7E00166B" w14:textId="77777777" w:rsidR="009A58DB" w:rsidRDefault="00000000">
      <w:pPr>
        <w:pStyle w:val="BodyText"/>
        <w:jc w:val="left"/>
        <w:rPr>
          <w:i/>
        </w:rPr>
      </w:pPr>
      <w:r>
        <w:t>So</w:t>
      </w:r>
      <w:r>
        <w:rPr>
          <w:spacing w:val="63"/>
        </w:rPr>
        <w:t xml:space="preserve"> </w:t>
      </w:r>
      <w:r>
        <w:t>for</w:t>
      </w:r>
      <w:r>
        <w:rPr>
          <w:spacing w:val="64"/>
        </w:rPr>
        <w:t xml:space="preserve"> </w:t>
      </w:r>
      <w:r>
        <w:t>something</w:t>
      </w:r>
      <w:r>
        <w:rPr>
          <w:spacing w:val="64"/>
        </w:rPr>
        <w:t xml:space="preserve"> </w:t>
      </w:r>
      <w:r>
        <w:t>to</w:t>
      </w:r>
      <w:r>
        <w:rPr>
          <w:spacing w:val="65"/>
        </w:rPr>
        <w:t xml:space="preserve"> </w:t>
      </w:r>
      <w:r>
        <w:t>be</w:t>
      </w:r>
      <w:r>
        <w:rPr>
          <w:spacing w:val="64"/>
        </w:rPr>
        <w:t xml:space="preserve"> </w:t>
      </w:r>
      <w:r>
        <w:t>knowledge</w:t>
      </w:r>
      <w:r>
        <w:rPr>
          <w:spacing w:val="65"/>
        </w:rPr>
        <w:t xml:space="preserve"> </w:t>
      </w:r>
      <w:r>
        <w:t>is</w:t>
      </w:r>
      <w:r>
        <w:rPr>
          <w:spacing w:val="64"/>
        </w:rPr>
        <w:t xml:space="preserve"> </w:t>
      </w:r>
      <w:r>
        <w:t>for</w:t>
      </w:r>
      <w:r>
        <w:rPr>
          <w:spacing w:val="64"/>
        </w:rPr>
        <w:t xml:space="preserve"> </w:t>
      </w:r>
      <w:r>
        <w:t>it</w:t>
      </w:r>
      <w:r>
        <w:rPr>
          <w:spacing w:val="64"/>
        </w:rPr>
        <w:t xml:space="preserve"> </w:t>
      </w:r>
      <w:r>
        <w:t>to</w:t>
      </w:r>
      <w:r>
        <w:rPr>
          <w:spacing w:val="65"/>
        </w:rPr>
        <w:t xml:space="preserve"> </w:t>
      </w:r>
      <w:r>
        <w:t>satisfy</w:t>
      </w:r>
      <w:r>
        <w:rPr>
          <w:spacing w:val="64"/>
        </w:rPr>
        <w:t xml:space="preserve"> </w:t>
      </w:r>
      <w:r>
        <w:t>the</w:t>
      </w:r>
      <w:r>
        <w:rPr>
          <w:spacing w:val="65"/>
        </w:rPr>
        <w:t xml:space="preserve"> </w:t>
      </w:r>
      <w:r>
        <w:t>following</w:t>
      </w:r>
      <w:r>
        <w:rPr>
          <w:spacing w:val="65"/>
        </w:rPr>
        <w:t xml:space="preserve"> </w:t>
      </w:r>
      <w:r>
        <w:rPr>
          <w:i/>
          <w:spacing w:val="-4"/>
        </w:rPr>
        <w:t>four</w:t>
      </w:r>
    </w:p>
    <w:p w14:paraId="7E00166C" w14:textId="77777777" w:rsidR="009A58DB" w:rsidRDefault="00000000">
      <w:pPr>
        <w:pStyle w:val="BodyText"/>
        <w:spacing w:before="15"/>
        <w:jc w:val="left"/>
      </w:pPr>
      <w:r>
        <w:rPr>
          <w:spacing w:val="-2"/>
        </w:rPr>
        <w:t>conditions:</w:t>
      </w:r>
    </w:p>
    <w:p w14:paraId="7E00166D" w14:textId="77777777" w:rsidR="009A58DB" w:rsidRDefault="009A58DB">
      <w:pPr>
        <w:pStyle w:val="BodyText"/>
        <w:spacing w:before="30"/>
        <w:ind w:left="0"/>
        <w:jc w:val="left"/>
      </w:pPr>
    </w:p>
    <w:p w14:paraId="7E00166E" w14:textId="77777777" w:rsidR="009A58DB" w:rsidRDefault="00000000">
      <w:pPr>
        <w:pStyle w:val="ListParagraph"/>
        <w:numPr>
          <w:ilvl w:val="0"/>
          <w:numId w:val="137"/>
        </w:numPr>
        <w:tabs>
          <w:tab w:val="left" w:pos="782"/>
        </w:tabs>
        <w:ind w:left="782" w:hanging="422"/>
        <w:rPr>
          <w:sz w:val="30"/>
        </w:rPr>
      </w:pPr>
      <w:r>
        <w:rPr>
          <w:sz w:val="30"/>
        </w:rPr>
        <w:t>it</w:t>
      </w:r>
      <w:r>
        <w:rPr>
          <w:spacing w:val="-2"/>
          <w:sz w:val="30"/>
        </w:rPr>
        <w:t xml:space="preserve"> </w:t>
      </w:r>
      <w:r>
        <w:rPr>
          <w:sz w:val="30"/>
        </w:rPr>
        <w:t>must</w:t>
      </w:r>
      <w:r>
        <w:rPr>
          <w:spacing w:val="-2"/>
          <w:sz w:val="30"/>
        </w:rPr>
        <w:t xml:space="preserve"> </w:t>
      </w:r>
      <w:r>
        <w:rPr>
          <w:sz w:val="30"/>
        </w:rPr>
        <w:t>be</w:t>
      </w:r>
      <w:r>
        <w:rPr>
          <w:spacing w:val="-2"/>
          <w:sz w:val="30"/>
        </w:rPr>
        <w:t xml:space="preserve"> </w:t>
      </w:r>
      <w:r>
        <w:rPr>
          <w:spacing w:val="-4"/>
          <w:sz w:val="30"/>
        </w:rPr>
        <w:t>true;</w:t>
      </w:r>
    </w:p>
    <w:p w14:paraId="7E00166F" w14:textId="77777777" w:rsidR="009A58DB" w:rsidRDefault="00000000">
      <w:pPr>
        <w:pStyle w:val="ListParagraph"/>
        <w:numPr>
          <w:ilvl w:val="0"/>
          <w:numId w:val="137"/>
        </w:numPr>
        <w:tabs>
          <w:tab w:val="left" w:pos="782"/>
        </w:tabs>
        <w:spacing w:before="15"/>
        <w:ind w:left="782" w:hanging="422"/>
        <w:rPr>
          <w:sz w:val="30"/>
        </w:rPr>
      </w:pPr>
      <w:r>
        <w:rPr>
          <w:sz w:val="30"/>
        </w:rPr>
        <w:t>it</w:t>
      </w:r>
      <w:r>
        <w:rPr>
          <w:spacing w:val="-2"/>
          <w:sz w:val="30"/>
        </w:rPr>
        <w:t xml:space="preserve"> </w:t>
      </w:r>
      <w:r>
        <w:rPr>
          <w:sz w:val="30"/>
        </w:rPr>
        <w:t>must</w:t>
      </w:r>
      <w:r>
        <w:rPr>
          <w:spacing w:val="-2"/>
          <w:sz w:val="30"/>
        </w:rPr>
        <w:t xml:space="preserve"> </w:t>
      </w:r>
      <w:r>
        <w:rPr>
          <w:sz w:val="30"/>
        </w:rPr>
        <w:t>be</w:t>
      </w:r>
      <w:r>
        <w:rPr>
          <w:spacing w:val="-2"/>
          <w:sz w:val="30"/>
        </w:rPr>
        <w:t xml:space="preserve"> </w:t>
      </w:r>
      <w:r>
        <w:rPr>
          <w:sz w:val="30"/>
        </w:rPr>
        <w:t>a</w:t>
      </w:r>
      <w:r>
        <w:rPr>
          <w:spacing w:val="-1"/>
          <w:sz w:val="30"/>
        </w:rPr>
        <w:t xml:space="preserve"> </w:t>
      </w:r>
      <w:r>
        <w:rPr>
          <w:spacing w:val="-2"/>
          <w:sz w:val="30"/>
        </w:rPr>
        <w:t>belief;</w:t>
      </w:r>
    </w:p>
    <w:p w14:paraId="7E001670" w14:textId="77777777" w:rsidR="009A58DB" w:rsidRDefault="00000000">
      <w:pPr>
        <w:pStyle w:val="ListParagraph"/>
        <w:numPr>
          <w:ilvl w:val="0"/>
          <w:numId w:val="137"/>
        </w:numPr>
        <w:tabs>
          <w:tab w:val="left" w:pos="782"/>
        </w:tabs>
        <w:spacing w:before="15"/>
        <w:ind w:left="782" w:hanging="422"/>
        <w:rPr>
          <w:sz w:val="30"/>
        </w:rPr>
      </w:pPr>
      <w:r>
        <w:rPr>
          <w:sz w:val="30"/>
        </w:rPr>
        <w:t>it</w:t>
      </w:r>
      <w:r>
        <w:rPr>
          <w:spacing w:val="-4"/>
          <w:sz w:val="30"/>
        </w:rPr>
        <w:t xml:space="preserve"> </w:t>
      </w:r>
      <w:r>
        <w:rPr>
          <w:sz w:val="30"/>
        </w:rPr>
        <w:t>must</w:t>
      </w:r>
      <w:r>
        <w:rPr>
          <w:spacing w:val="-3"/>
          <w:sz w:val="30"/>
        </w:rPr>
        <w:t xml:space="preserve"> </w:t>
      </w:r>
      <w:r>
        <w:rPr>
          <w:sz w:val="30"/>
        </w:rPr>
        <w:t>be</w:t>
      </w:r>
      <w:r>
        <w:rPr>
          <w:spacing w:val="-4"/>
          <w:sz w:val="30"/>
        </w:rPr>
        <w:t xml:space="preserve"> </w:t>
      </w:r>
      <w:r>
        <w:rPr>
          <w:sz w:val="30"/>
        </w:rPr>
        <w:t>justified;</w:t>
      </w:r>
      <w:r>
        <w:rPr>
          <w:spacing w:val="-3"/>
          <w:sz w:val="30"/>
        </w:rPr>
        <w:t xml:space="preserve"> </w:t>
      </w:r>
      <w:r>
        <w:rPr>
          <w:spacing w:val="-5"/>
          <w:sz w:val="30"/>
        </w:rPr>
        <w:t>and</w:t>
      </w:r>
    </w:p>
    <w:p w14:paraId="7E001671" w14:textId="77777777" w:rsidR="009A58DB" w:rsidRDefault="00000000">
      <w:pPr>
        <w:pStyle w:val="ListParagraph"/>
        <w:numPr>
          <w:ilvl w:val="0"/>
          <w:numId w:val="137"/>
        </w:numPr>
        <w:tabs>
          <w:tab w:val="left" w:pos="821"/>
        </w:tabs>
        <w:spacing w:before="15" w:line="249" w:lineRule="auto"/>
        <w:ind w:left="360" w:right="367" w:firstLine="0"/>
        <w:rPr>
          <w:sz w:val="30"/>
        </w:rPr>
      </w:pPr>
      <w:r>
        <w:rPr>
          <w:sz w:val="30"/>
        </w:rPr>
        <w:t xml:space="preserve">there must be a </w:t>
      </w:r>
      <w:r>
        <w:rPr>
          <w:i/>
          <w:sz w:val="30"/>
        </w:rPr>
        <w:t xml:space="preserve">non-accidental </w:t>
      </w:r>
      <w:r>
        <w:rPr>
          <w:sz w:val="30"/>
        </w:rPr>
        <w:t>connection</w:t>
      </w:r>
      <w:r>
        <w:rPr>
          <w:spacing w:val="37"/>
          <w:sz w:val="30"/>
        </w:rPr>
        <w:t xml:space="preserve"> </w:t>
      </w:r>
      <w:r>
        <w:rPr>
          <w:sz w:val="30"/>
        </w:rPr>
        <w:t>between</w:t>
      </w:r>
      <w:r>
        <w:rPr>
          <w:spacing w:val="37"/>
          <w:sz w:val="30"/>
        </w:rPr>
        <w:t xml:space="preserve"> </w:t>
      </w:r>
      <w:r>
        <w:rPr>
          <w:sz w:val="30"/>
        </w:rPr>
        <w:t>the</w:t>
      </w:r>
      <w:r>
        <w:rPr>
          <w:spacing w:val="37"/>
          <w:sz w:val="30"/>
        </w:rPr>
        <w:t xml:space="preserve"> </w:t>
      </w:r>
      <w:r>
        <w:rPr>
          <w:sz w:val="30"/>
        </w:rPr>
        <w:t>justification</w:t>
      </w:r>
      <w:r>
        <w:rPr>
          <w:spacing w:val="37"/>
          <w:sz w:val="30"/>
        </w:rPr>
        <w:t xml:space="preserve"> </w:t>
      </w:r>
      <w:r>
        <w:rPr>
          <w:sz w:val="30"/>
        </w:rPr>
        <w:t>for the belief and the fact which makes the belief true.</w:t>
      </w:r>
    </w:p>
    <w:p w14:paraId="7E001672" w14:textId="77777777" w:rsidR="009A58DB" w:rsidRDefault="009A58DB">
      <w:pPr>
        <w:pStyle w:val="BodyText"/>
        <w:spacing w:before="17"/>
        <w:ind w:left="0"/>
        <w:jc w:val="left"/>
      </w:pPr>
    </w:p>
    <w:p w14:paraId="7E001673" w14:textId="77777777" w:rsidR="009A58DB" w:rsidRDefault="00000000">
      <w:pPr>
        <w:pStyle w:val="BodyText"/>
        <w:spacing w:before="1"/>
        <w:ind w:left="720"/>
        <w:jc w:val="left"/>
      </w:pPr>
      <w:r>
        <w:rPr>
          <w:spacing w:val="-2"/>
        </w:rPr>
        <w:t>Thus:</w:t>
      </w:r>
    </w:p>
    <w:p w14:paraId="7E001674" w14:textId="77777777" w:rsidR="009A58DB" w:rsidRDefault="009A58DB">
      <w:pPr>
        <w:pStyle w:val="BodyText"/>
        <w:jc w:val="left"/>
        <w:sectPr w:rsidR="009A58DB">
          <w:pgSz w:w="12240" w:h="15840"/>
          <w:pgMar w:top="1380" w:right="1080" w:bottom="280" w:left="1080" w:header="720" w:footer="720" w:gutter="0"/>
          <w:cols w:space="720"/>
        </w:sectPr>
      </w:pPr>
    </w:p>
    <w:p w14:paraId="7E001675" w14:textId="77777777" w:rsidR="009A58DB" w:rsidRDefault="00000000">
      <w:pPr>
        <w:spacing w:before="65"/>
        <w:ind w:left="360"/>
        <w:rPr>
          <w:sz w:val="30"/>
        </w:rPr>
      </w:pPr>
      <w:r>
        <w:rPr>
          <w:sz w:val="30"/>
        </w:rPr>
        <w:lastRenderedPageBreak/>
        <w:t>(K)</w:t>
      </w:r>
      <w:r>
        <w:rPr>
          <w:spacing w:val="-7"/>
          <w:sz w:val="30"/>
        </w:rPr>
        <w:t xml:space="preserve"> </w:t>
      </w:r>
      <w:r>
        <w:rPr>
          <w:sz w:val="30"/>
        </w:rPr>
        <w:t>knowledge</w:t>
      </w:r>
      <w:r>
        <w:rPr>
          <w:spacing w:val="-4"/>
          <w:sz w:val="30"/>
        </w:rPr>
        <w:t xml:space="preserve"> </w:t>
      </w:r>
      <w:r>
        <w:rPr>
          <w:sz w:val="30"/>
        </w:rPr>
        <w:t>is</w:t>
      </w:r>
      <w:r>
        <w:rPr>
          <w:spacing w:val="-4"/>
          <w:sz w:val="30"/>
        </w:rPr>
        <w:t xml:space="preserve"> </w:t>
      </w:r>
      <w:r>
        <w:rPr>
          <w:sz w:val="30"/>
        </w:rPr>
        <w:t>a</w:t>
      </w:r>
      <w:r>
        <w:rPr>
          <w:spacing w:val="-5"/>
          <w:sz w:val="30"/>
        </w:rPr>
        <w:t xml:space="preserve"> </w:t>
      </w:r>
      <w:r>
        <w:rPr>
          <w:i/>
          <w:sz w:val="30"/>
        </w:rPr>
        <w:t>non-accidentally</w:t>
      </w:r>
      <w:r>
        <w:rPr>
          <w:i/>
          <w:spacing w:val="-4"/>
          <w:sz w:val="30"/>
        </w:rPr>
        <w:t xml:space="preserve"> </w:t>
      </w:r>
      <w:r>
        <w:rPr>
          <w:sz w:val="30"/>
        </w:rPr>
        <w:t>justified</w:t>
      </w:r>
      <w:r>
        <w:rPr>
          <w:spacing w:val="-3"/>
          <w:sz w:val="30"/>
        </w:rPr>
        <w:t xml:space="preserve"> </w:t>
      </w:r>
      <w:r>
        <w:rPr>
          <w:sz w:val="30"/>
        </w:rPr>
        <w:t>true</w:t>
      </w:r>
      <w:r>
        <w:rPr>
          <w:spacing w:val="-4"/>
          <w:sz w:val="30"/>
        </w:rPr>
        <w:t xml:space="preserve"> </w:t>
      </w:r>
      <w:r>
        <w:rPr>
          <w:spacing w:val="-2"/>
          <w:sz w:val="30"/>
        </w:rPr>
        <w:t>belief.</w:t>
      </w:r>
    </w:p>
    <w:p w14:paraId="7E001676" w14:textId="77777777" w:rsidR="009A58DB" w:rsidRDefault="009A58DB">
      <w:pPr>
        <w:pStyle w:val="BodyText"/>
        <w:spacing w:before="29"/>
        <w:ind w:left="0"/>
        <w:jc w:val="left"/>
      </w:pPr>
    </w:p>
    <w:p w14:paraId="7E001677" w14:textId="77777777" w:rsidR="009A58DB" w:rsidRDefault="00000000">
      <w:pPr>
        <w:pStyle w:val="BodyText"/>
        <w:spacing w:before="1" w:line="249" w:lineRule="auto"/>
        <w:ind w:right="370" w:firstLine="360"/>
      </w:pPr>
      <w:r>
        <w:t xml:space="preserve">There must, in other words, be some kind of </w:t>
      </w:r>
      <w:r>
        <w:rPr>
          <w:i/>
        </w:rPr>
        <w:t xml:space="preserve">principled, </w:t>
      </w:r>
      <w:r>
        <w:t>as opposed to a strictly fortuitous, relationship between the justification of the belief, on the one hand, and its being true, on the other.</w:t>
      </w:r>
    </w:p>
    <w:p w14:paraId="7E001678" w14:textId="77777777" w:rsidR="009A58DB" w:rsidRDefault="00000000">
      <w:pPr>
        <w:pStyle w:val="BodyText"/>
        <w:spacing w:before="3" w:line="249" w:lineRule="auto"/>
        <w:ind w:right="362" w:firstLine="360"/>
      </w:pPr>
      <w:r>
        <w:t>But K is much too vague to be considered a solution to the problem at hand. What does the word “non-accidentally” mean in this context? Until we know the answer to that, we don’t know what knowledge is. We’ll now try to supply that answer.</w:t>
      </w:r>
    </w:p>
    <w:p w14:paraId="7E001679" w14:textId="77777777" w:rsidR="009A58DB" w:rsidRDefault="00000000">
      <w:pPr>
        <w:pStyle w:val="Heading1"/>
        <w:numPr>
          <w:ilvl w:val="1"/>
          <w:numId w:val="138"/>
        </w:numPr>
        <w:tabs>
          <w:tab w:val="left" w:pos="990"/>
        </w:tabs>
        <w:spacing w:before="193"/>
      </w:pPr>
      <w:r>
        <w:t>This</w:t>
      </w:r>
      <w:r>
        <w:rPr>
          <w:spacing w:val="-5"/>
        </w:rPr>
        <w:t xml:space="preserve"> </w:t>
      </w:r>
      <w:r>
        <w:t>position</w:t>
      </w:r>
      <w:r>
        <w:rPr>
          <w:spacing w:val="-5"/>
        </w:rPr>
        <w:t xml:space="preserve"> </w:t>
      </w:r>
      <w:r>
        <w:rPr>
          <w:spacing w:val="-2"/>
        </w:rPr>
        <w:t>refined</w:t>
      </w:r>
    </w:p>
    <w:p w14:paraId="7E00167A" w14:textId="77777777" w:rsidR="009A58DB" w:rsidRDefault="00000000">
      <w:pPr>
        <w:pStyle w:val="BodyText"/>
        <w:spacing w:before="139" w:line="249" w:lineRule="auto"/>
        <w:ind w:right="362"/>
      </w:pPr>
      <w:r>
        <w:t xml:space="preserve">Let’s consider Russell’s clock story. You were right to believe that it’s 4:00 </w:t>
      </w:r>
      <w:r>
        <w:rPr>
          <w:sz w:val="22"/>
        </w:rPr>
        <w:t>P</w:t>
      </w:r>
      <w:r>
        <w:t>.</w:t>
      </w:r>
      <w:r>
        <w:rPr>
          <w:sz w:val="22"/>
        </w:rPr>
        <w:t>M</w:t>
      </w:r>
      <w:r>
        <w:t>., and you are also justified in having that belief. Your immediate justification consists in your belief that:</w:t>
      </w:r>
    </w:p>
    <w:p w14:paraId="7E00167B" w14:textId="77777777" w:rsidR="009A58DB" w:rsidRDefault="009A58DB">
      <w:pPr>
        <w:pStyle w:val="BodyText"/>
        <w:spacing w:before="19"/>
        <w:ind w:left="0"/>
        <w:jc w:val="left"/>
      </w:pPr>
    </w:p>
    <w:p w14:paraId="7E00167C" w14:textId="77777777" w:rsidR="009A58DB" w:rsidRDefault="00000000">
      <w:pPr>
        <w:pStyle w:val="BodyText"/>
      </w:pPr>
      <w:r>
        <w:t>(RT)</w:t>
      </w:r>
      <w:r>
        <w:rPr>
          <w:spacing w:val="-3"/>
        </w:rPr>
        <w:t xml:space="preserve"> </w:t>
      </w:r>
      <w:r>
        <w:t>The</w:t>
      </w:r>
      <w:r>
        <w:rPr>
          <w:spacing w:val="-3"/>
        </w:rPr>
        <w:t xml:space="preserve"> </w:t>
      </w:r>
      <w:r>
        <w:t>clock</w:t>
      </w:r>
      <w:r>
        <w:rPr>
          <w:spacing w:val="-2"/>
        </w:rPr>
        <w:t xml:space="preserve"> </w:t>
      </w:r>
      <w:r>
        <w:t>is</w:t>
      </w:r>
      <w:r>
        <w:rPr>
          <w:spacing w:val="-3"/>
        </w:rPr>
        <w:t xml:space="preserve"> </w:t>
      </w:r>
      <w:r>
        <w:t>now</w:t>
      </w:r>
      <w:r>
        <w:rPr>
          <w:spacing w:val="-3"/>
        </w:rPr>
        <w:t xml:space="preserve"> </w:t>
      </w:r>
      <w:r>
        <w:t>telling</w:t>
      </w:r>
      <w:r>
        <w:rPr>
          <w:spacing w:val="-2"/>
        </w:rPr>
        <w:t xml:space="preserve"> </w:t>
      </w:r>
      <w:r>
        <w:t>me</w:t>
      </w:r>
      <w:r>
        <w:rPr>
          <w:spacing w:val="-3"/>
        </w:rPr>
        <w:t xml:space="preserve"> </w:t>
      </w:r>
      <w:r>
        <w:t>that</w:t>
      </w:r>
      <w:r>
        <w:rPr>
          <w:spacing w:val="-3"/>
        </w:rPr>
        <w:t xml:space="preserve"> </w:t>
      </w:r>
      <w:r>
        <w:t>it’s</w:t>
      </w:r>
      <w:r>
        <w:rPr>
          <w:spacing w:val="-3"/>
        </w:rPr>
        <w:t xml:space="preserve"> </w:t>
      </w:r>
      <w:r>
        <w:t>4:00</w:t>
      </w:r>
      <w:r>
        <w:rPr>
          <w:spacing w:val="-2"/>
        </w:rPr>
        <w:t xml:space="preserve"> </w:t>
      </w:r>
      <w:r>
        <w:rPr>
          <w:spacing w:val="-4"/>
          <w:sz w:val="22"/>
        </w:rPr>
        <w:t>P</w:t>
      </w:r>
      <w:r>
        <w:rPr>
          <w:spacing w:val="-4"/>
        </w:rPr>
        <w:t>.</w:t>
      </w:r>
      <w:r>
        <w:rPr>
          <w:spacing w:val="-4"/>
          <w:sz w:val="22"/>
        </w:rPr>
        <w:t>M</w:t>
      </w:r>
      <w:r>
        <w:rPr>
          <w:spacing w:val="-4"/>
        </w:rPr>
        <w:t>.</w:t>
      </w:r>
    </w:p>
    <w:p w14:paraId="7E00167D" w14:textId="77777777" w:rsidR="009A58DB" w:rsidRDefault="009A58DB">
      <w:pPr>
        <w:pStyle w:val="BodyText"/>
        <w:spacing w:before="30"/>
        <w:ind w:left="0"/>
        <w:jc w:val="left"/>
      </w:pPr>
    </w:p>
    <w:p w14:paraId="7E00167E" w14:textId="77777777" w:rsidR="009A58DB" w:rsidRDefault="00000000">
      <w:pPr>
        <w:pStyle w:val="BodyText"/>
        <w:spacing w:line="249" w:lineRule="auto"/>
        <w:ind w:right="359"/>
      </w:pPr>
      <w:r>
        <w:t>But</w:t>
      </w:r>
      <w:r>
        <w:rPr>
          <w:spacing w:val="-3"/>
        </w:rPr>
        <w:t xml:space="preserve"> </w:t>
      </w:r>
      <w:r>
        <w:rPr>
          <w:i/>
        </w:rPr>
        <w:t>by</w:t>
      </w:r>
      <w:r>
        <w:rPr>
          <w:i/>
          <w:spacing w:val="-3"/>
        </w:rPr>
        <w:t xml:space="preserve"> </w:t>
      </w:r>
      <w:r>
        <w:rPr>
          <w:i/>
        </w:rPr>
        <w:t>itself</w:t>
      </w:r>
      <w:r>
        <w:rPr>
          <w:i/>
          <w:spacing w:val="-3"/>
        </w:rPr>
        <w:t xml:space="preserve"> </w:t>
      </w:r>
      <w:r>
        <w:t>a</w:t>
      </w:r>
      <w:r>
        <w:rPr>
          <w:spacing w:val="-3"/>
        </w:rPr>
        <w:t xml:space="preserve"> </w:t>
      </w:r>
      <w:r>
        <w:t>belief</w:t>
      </w:r>
      <w:r>
        <w:rPr>
          <w:spacing w:val="-3"/>
        </w:rPr>
        <w:t xml:space="preserve"> </w:t>
      </w:r>
      <w:r>
        <w:t>in</w:t>
      </w:r>
      <w:r>
        <w:rPr>
          <w:spacing w:val="-2"/>
        </w:rPr>
        <w:t xml:space="preserve"> </w:t>
      </w:r>
      <w:r>
        <w:t>RT</w:t>
      </w:r>
      <w:r>
        <w:rPr>
          <w:spacing w:val="-3"/>
        </w:rPr>
        <w:t xml:space="preserve"> </w:t>
      </w:r>
      <w:r>
        <w:t>wouldn’t</w:t>
      </w:r>
      <w:r>
        <w:rPr>
          <w:spacing w:val="-3"/>
        </w:rPr>
        <w:t xml:space="preserve"> </w:t>
      </w:r>
      <w:r>
        <w:t>be</w:t>
      </w:r>
      <w:r>
        <w:rPr>
          <w:spacing w:val="-3"/>
        </w:rPr>
        <w:t xml:space="preserve"> </w:t>
      </w:r>
      <w:r>
        <w:t>enough</w:t>
      </w:r>
      <w:r>
        <w:rPr>
          <w:spacing w:val="-2"/>
        </w:rPr>
        <w:t xml:space="preserve"> </w:t>
      </w:r>
      <w:r>
        <w:t>to</w:t>
      </w:r>
      <w:r>
        <w:rPr>
          <w:spacing w:val="-2"/>
        </w:rPr>
        <w:t xml:space="preserve"> </w:t>
      </w:r>
      <w:r>
        <w:t>justify</w:t>
      </w:r>
      <w:r>
        <w:rPr>
          <w:spacing w:val="-2"/>
        </w:rPr>
        <w:t xml:space="preserve"> </w:t>
      </w:r>
      <w:r>
        <w:t>you</w:t>
      </w:r>
      <w:r>
        <w:rPr>
          <w:spacing w:val="-2"/>
        </w:rPr>
        <w:t xml:space="preserve"> </w:t>
      </w:r>
      <w:r>
        <w:t>in</w:t>
      </w:r>
      <w:r>
        <w:rPr>
          <w:spacing w:val="-2"/>
        </w:rPr>
        <w:t xml:space="preserve"> </w:t>
      </w:r>
      <w:r>
        <w:t>believing</w:t>
      </w:r>
      <w:r>
        <w:rPr>
          <w:spacing w:val="-2"/>
        </w:rPr>
        <w:t xml:space="preserve"> </w:t>
      </w:r>
      <w:r>
        <w:t xml:space="preserve">that it’s 4:00 </w:t>
      </w:r>
      <w:r>
        <w:rPr>
          <w:sz w:val="22"/>
        </w:rPr>
        <w:t>P</w:t>
      </w:r>
      <w:r>
        <w:t>.</w:t>
      </w:r>
      <w:r>
        <w:rPr>
          <w:sz w:val="22"/>
        </w:rPr>
        <w:t>M</w:t>
      </w:r>
      <w:r>
        <w:t xml:space="preserve">. If you had no grounds for accepting RT, or only bad grounds, your acceptance of it would not provide you with any justification for believing the time to be 4:00 </w:t>
      </w:r>
      <w:r>
        <w:rPr>
          <w:sz w:val="22"/>
        </w:rPr>
        <w:t>P</w:t>
      </w:r>
      <w:r>
        <w:t>.</w:t>
      </w:r>
      <w:r>
        <w:rPr>
          <w:sz w:val="22"/>
        </w:rPr>
        <w:t>M</w:t>
      </w:r>
      <w:r>
        <w:t>. But you are justified in accepting RT; and here is that justification:</w:t>
      </w:r>
    </w:p>
    <w:p w14:paraId="7E00167F" w14:textId="77777777" w:rsidR="009A58DB" w:rsidRDefault="009A58DB">
      <w:pPr>
        <w:pStyle w:val="BodyText"/>
        <w:spacing w:before="21"/>
        <w:ind w:left="0"/>
        <w:jc w:val="left"/>
      </w:pPr>
    </w:p>
    <w:p w14:paraId="7E001680" w14:textId="77777777" w:rsidR="009A58DB" w:rsidRDefault="00000000">
      <w:pPr>
        <w:pStyle w:val="BodyText"/>
        <w:spacing w:line="249" w:lineRule="auto"/>
        <w:ind w:right="718"/>
      </w:pPr>
      <w:r>
        <w:t xml:space="preserve">(OB) In my extensive past experience, the clock has always been right. I also know that the building superintendent, who is in charge of making sure all the clocks are working, is very capable and diligent. These facts ensured that, if the clock says that it’s a certain time of day, that’s because it really is that time of day. That’s why </w:t>
      </w:r>
      <w:r>
        <w:rPr>
          <w:i/>
        </w:rPr>
        <w:t xml:space="preserve">the clock is now telling me that t it’s 4:00 </w:t>
      </w:r>
      <w:r>
        <w:rPr>
          <w:i/>
          <w:sz w:val="22"/>
        </w:rPr>
        <w:t>P</w:t>
      </w:r>
      <w:r>
        <w:rPr>
          <w:i/>
        </w:rPr>
        <w:t>.</w:t>
      </w:r>
      <w:r>
        <w:rPr>
          <w:i/>
          <w:sz w:val="22"/>
        </w:rPr>
        <w:t>M</w:t>
      </w:r>
      <w:r>
        <w:t>.</w:t>
      </w:r>
    </w:p>
    <w:p w14:paraId="7E001681" w14:textId="77777777" w:rsidR="009A58DB" w:rsidRDefault="009A58DB">
      <w:pPr>
        <w:pStyle w:val="BodyText"/>
        <w:spacing w:before="23"/>
        <w:ind w:left="0"/>
        <w:jc w:val="left"/>
      </w:pPr>
    </w:p>
    <w:p w14:paraId="7E001682" w14:textId="77777777" w:rsidR="009A58DB" w:rsidRDefault="00000000">
      <w:pPr>
        <w:pStyle w:val="BodyText"/>
        <w:ind w:left="720"/>
      </w:pPr>
      <w:r>
        <w:t>Of</w:t>
      </w:r>
      <w:r>
        <w:rPr>
          <w:spacing w:val="-6"/>
        </w:rPr>
        <w:t xml:space="preserve"> </w:t>
      </w:r>
      <w:r>
        <w:t>course,</w:t>
      </w:r>
      <w:r>
        <w:rPr>
          <w:spacing w:val="-3"/>
        </w:rPr>
        <w:t xml:space="preserve"> </w:t>
      </w:r>
      <w:r>
        <w:t>the</w:t>
      </w:r>
      <w:r>
        <w:rPr>
          <w:spacing w:val="-4"/>
        </w:rPr>
        <w:t xml:space="preserve"> </w:t>
      </w:r>
      <w:r>
        <w:t>italicized</w:t>
      </w:r>
      <w:r>
        <w:rPr>
          <w:spacing w:val="-3"/>
        </w:rPr>
        <w:t xml:space="preserve"> </w:t>
      </w:r>
      <w:r>
        <w:t>part</w:t>
      </w:r>
      <w:r>
        <w:rPr>
          <w:spacing w:val="-4"/>
        </w:rPr>
        <w:t xml:space="preserve"> </w:t>
      </w:r>
      <w:r>
        <w:t>of</w:t>
      </w:r>
      <w:r>
        <w:rPr>
          <w:spacing w:val="-3"/>
        </w:rPr>
        <w:t xml:space="preserve"> </w:t>
      </w:r>
      <w:r>
        <w:t>OB</w:t>
      </w:r>
      <w:r>
        <w:rPr>
          <w:spacing w:val="-4"/>
        </w:rPr>
        <w:t xml:space="preserve"> </w:t>
      </w:r>
      <w:r>
        <w:t>is</w:t>
      </w:r>
      <w:r>
        <w:rPr>
          <w:spacing w:val="-4"/>
        </w:rPr>
        <w:t xml:space="preserve"> </w:t>
      </w:r>
      <w:r>
        <w:t>identical</w:t>
      </w:r>
      <w:r>
        <w:rPr>
          <w:spacing w:val="-4"/>
        </w:rPr>
        <w:t xml:space="preserve"> </w:t>
      </w:r>
      <w:r>
        <w:t>with</w:t>
      </w:r>
      <w:r>
        <w:rPr>
          <w:spacing w:val="-2"/>
        </w:rPr>
        <w:t xml:space="preserve"> </w:t>
      </w:r>
      <w:r>
        <w:rPr>
          <w:spacing w:val="-5"/>
        </w:rPr>
        <w:t>rt.</w:t>
      </w:r>
    </w:p>
    <w:p w14:paraId="7E001683" w14:textId="77777777" w:rsidR="009A58DB" w:rsidRDefault="00000000">
      <w:pPr>
        <w:pStyle w:val="BodyText"/>
        <w:spacing w:before="15" w:line="249" w:lineRule="auto"/>
        <w:ind w:right="363" w:firstLine="360"/>
      </w:pPr>
      <w:r>
        <w:t xml:space="preserve">Notice that OB is an explanation of a fact—of the fact that the clock is now telling you that it’s 4:00 </w:t>
      </w:r>
      <w:r>
        <w:rPr>
          <w:sz w:val="22"/>
        </w:rPr>
        <w:t>P</w:t>
      </w:r>
      <w:r>
        <w:t>.</w:t>
      </w:r>
      <w:r>
        <w:rPr>
          <w:sz w:val="22"/>
        </w:rPr>
        <w:t>M</w:t>
      </w:r>
      <w:r>
        <w:t>. It is on the basis of your acceptance of RT that</w:t>
      </w:r>
      <w:r>
        <w:rPr>
          <w:spacing w:val="10"/>
        </w:rPr>
        <w:t xml:space="preserve"> </w:t>
      </w:r>
      <w:r>
        <w:t>you</w:t>
      </w:r>
      <w:r>
        <w:rPr>
          <w:spacing w:val="12"/>
        </w:rPr>
        <w:t xml:space="preserve"> </w:t>
      </w:r>
      <w:r>
        <w:t>believe</w:t>
      </w:r>
      <w:r>
        <w:rPr>
          <w:spacing w:val="12"/>
        </w:rPr>
        <w:t xml:space="preserve"> </w:t>
      </w:r>
      <w:r>
        <w:t>the</w:t>
      </w:r>
      <w:r>
        <w:rPr>
          <w:spacing w:val="11"/>
        </w:rPr>
        <w:t xml:space="preserve"> </w:t>
      </w:r>
      <w:r>
        <w:t>time</w:t>
      </w:r>
      <w:r>
        <w:rPr>
          <w:spacing w:val="12"/>
        </w:rPr>
        <w:t xml:space="preserve"> </w:t>
      </w:r>
      <w:r>
        <w:t>to</w:t>
      </w:r>
      <w:r>
        <w:rPr>
          <w:spacing w:val="12"/>
        </w:rPr>
        <w:t xml:space="preserve"> </w:t>
      </w:r>
      <w:r>
        <w:t>be</w:t>
      </w:r>
      <w:r>
        <w:rPr>
          <w:spacing w:val="11"/>
        </w:rPr>
        <w:t xml:space="preserve"> </w:t>
      </w:r>
      <w:r>
        <w:t>4:00</w:t>
      </w:r>
      <w:r>
        <w:rPr>
          <w:spacing w:val="12"/>
        </w:rPr>
        <w:t xml:space="preserve"> </w:t>
      </w:r>
      <w:r>
        <w:rPr>
          <w:sz w:val="22"/>
        </w:rPr>
        <w:t>P</w:t>
      </w:r>
      <w:r>
        <w:t>.</w:t>
      </w:r>
      <w:r>
        <w:rPr>
          <w:sz w:val="22"/>
        </w:rPr>
        <w:t>M</w:t>
      </w:r>
      <w:r>
        <w:t>.</w:t>
      </w:r>
      <w:r>
        <w:rPr>
          <w:spacing w:val="14"/>
        </w:rPr>
        <w:t xml:space="preserve"> </w:t>
      </w:r>
      <w:r>
        <w:t>But</w:t>
      </w:r>
      <w:r>
        <w:rPr>
          <w:spacing w:val="12"/>
        </w:rPr>
        <w:t xml:space="preserve"> </w:t>
      </w:r>
      <w:r>
        <w:t>OB</w:t>
      </w:r>
      <w:r>
        <w:rPr>
          <w:spacing w:val="13"/>
        </w:rPr>
        <w:t xml:space="preserve"> </w:t>
      </w:r>
      <w:r>
        <w:t>is</w:t>
      </w:r>
      <w:r>
        <w:rPr>
          <w:spacing w:val="13"/>
        </w:rPr>
        <w:t xml:space="preserve"> </w:t>
      </w:r>
      <w:r>
        <w:t>the</w:t>
      </w:r>
      <w:r>
        <w:rPr>
          <w:spacing w:val="13"/>
        </w:rPr>
        <w:t xml:space="preserve"> </w:t>
      </w:r>
      <w:r>
        <w:t>wrong</w:t>
      </w:r>
      <w:r>
        <w:rPr>
          <w:spacing w:val="13"/>
        </w:rPr>
        <w:t xml:space="preserve"> </w:t>
      </w:r>
      <w:r>
        <w:t>explanation</w:t>
      </w:r>
      <w:r>
        <w:rPr>
          <w:spacing w:val="14"/>
        </w:rPr>
        <w:t xml:space="preserve"> </w:t>
      </w:r>
      <w:r>
        <w:rPr>
          <w:spacing w:val="-5"/>
        </w:rPr>
        <w:t>of</w:t>
      </w:r>
    </w:p>
    <w:p w14:paraId="7E001684"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685" w14:textId="77777777" w:rsidR="009A58DB" w:rsidRDefault="00000000">
      <w:pPr>
        <w:pStyle w:val="BodyText"/>
        <w:spacing w:before="60" w:line="249" w:lineRule="auto"/>
        <w:ind w:right="360"/>
      </w:pPr>
      <w:r>
        <w:lastRenderedPageBreak/>
        <w:t xml:space="preserve">RT. The right explanation is that the clock is broken and, for that reason, always reads 4:00 </w:t>
      </w:r>
      <w:r>
        <w:rPr>
          <w:sz w:val="22"/>
        </w:rPr>
        <w:t>P</w:t>
      </w:r>
      <w:r>
        <w:t>.</w:t>
      </w:r>
      <w:r>
        <w:rPr>
          <w:sz w:val="22"/>
        </w:rPr>
        <w:t>M</w:t>
      </w:r>
      <w:r>
        <w:t>.</w:t>
      </w:r>
    </w:p>
    <w:p w14:paraId="7E001686" w14:textId="77777777" w:rsidR="009A58DB" w:rsidRDefault="00000000">
      <w:pPr>
        <w:pStyle w:val="BodyText"/>
        <w:spacing w:before="7" w:line="249" w:lineRule="auto"/>
        <w:ind w:right="360" w:firstLine="360"/>
      </w:pPr>
      <w:r>
        <w:t>A</w:t>
      </w:r>
      <w:r>
        <w:rPr>
          <w:spacing w:val="-1"/>
        </w:rPr>
        <w:t xml:space="preserve"> </w:t>
      </w:r>
      <w:r>
        <w:t>story</w:t>
      </w:r>
      <w:r>
        <w:rPr>
          <w:spacing w:val="-1"/>
        </w:rPr>
        <w:t xml:space="preserve"> </w:t>
      </w:r>
      <w:r>
        <w:t>will</w:t>
      </w:r>
      <w:r>
        <w:rPr>
          <w:spacing w:val="-2"/>
        </w:rPr>
        <w:t xml:space="preserve"> </w:t>
      </w:r>
      <w:r>
        <w:t>help</w:t>
      </w:r>
      <w:r>
        <w:rPr>
          <w:spacing w:val="-1"/>
        </w:rPr>
        <w:t xml:space="preserve"> </w:t>
      </w:r>
      <w:r>
        <w:t>us</w:t>
      </w:r>
      <w:r>
        <w:rPr>
          <w:spacing w:val="-1"/>
        </w:rPr>
        <w:t xml:space="preserve"> </w:t>
      </w:r>
      <w:r>
        <w:t>move</w:t>
      </w:r>
      <w:r>
        <w:rPr>
          <w:spacing w:val="-1"/>
        </w:rPr>
        <w:t xml:space="preserve"> </w:t>
      </w:r>
      <w:r>
        <w:t>forward.</w:t>
      </w:r>
      <w:r>
        <w:rPr>
          <w:spacing w:val="-1"/>
        </w:rPr>
        <w:t xml:space="preserve"> </w:t>
      </w:r>
      <w:r>
        <w:t>You</w:t>
      </w:r>
      <w:r>
        <w:rPr>
          <w:spacing w:val="-1"/>
        </w:rPr>
        <w:t xml:space="preserve"> </w:t>
      </w:r>
      <w:r>
        <w:t>believe</w:t>
      </w:r>
      <w:r>
        <w:rPr>
          <w:spacing w:val="-1"/>
        </w:rPr>
        <w:t xml:space="preserve"> </w:t>
      </w:r>
      <w:r>
        <w:t>that</w:t>
      </w:r>
      <w:r>
        <w:rPr>
          <w:spacing w:val="-2"/>
        </w:rPr>
        <w:t xml:space="preserve"> </w:t>
      </w:r>
      <w:r>
        <w:t>Larry</w:t>
      </w:r>
      <w:r>
        <w:rPr>
          <w:spacing w:val="-1"/>
        </w:rPr>
        <w:t xml:space="preserve"> </w:t>
      </w:r>
      <w:r>
        <w:t>is</w:t>
      </w:r>
      <w:r>
        <w:rPr>
          <w:spacing w:val="-1"/>
        </w:rPr>
        <w:t xml:space="preserve"> </w:t>
      </w:r>
      <w:r>
        <w:t>in</w:t>
      </w:r>
      <w:r>
        <w:rPr>
          <w:spacing w:val="-1"/>
        </w:rPr>
        <w:t xml:space="preserve"> </w:t>
      </w:r>
      <w:r>
        <w:t>Texas,</w:t>
      </w:r>
      <w:r>
        <w:rPr>
          <w:spacing w:val="-1"/>
        </w:rPr>
        <w:t xml:space="preserve"> </w:t>
      </w:r>
      <w:r>
        <w:t xml:space="preserve">and your belief is justified. Earlier today, you saw Larry get on a plane. By all indications, the plane was Texas-bound. (It’s flight 71 and, according to the overhead monitor, that flight is bound for Texas.) When Larry got to Texas, he called you on his cell phone/video phone. He was standing next to a well-known Texas landmark (or, at the very least, a perfect duplicate therefore). On that basis, you believe that, indeed, Larry is in Texas. And, in fact, he </w:t>
      </w:r>
      <w:r>
        <w:rPr>
          <w:i/>
        </w:rPr>
        <w:t>is</w:t>
      </w:r>
      <w:r>
        <w:rPr>
          <w:i/>
          <w:spacing w:val="40"/>
        </w:rPr>
        <w:t xml:space="preserve"> </w:t>
      </w:r>
      <w:r>
        <w:t>in Texas.</w:t>
      </w:r>
    </w:p>
    <w:p w14:paraId="7E001687" w14:textId="77777777" w:rsidR="009A58DB" w:rsidRDefault="00000000">
      <w:pPr>
        <w:pStyle w:val="BodyText"/>
        <w:spacing w:before="10" w:line="249" w:lineRule="auto"/>
        <w:ind w:right="361" w:firstLine="360"/>
      </w:pPr>
      <w:r>
        <w:t>Moreover, no off-the-wall, Gettier-type event infiltrated this sequence. In other words, what happened is nothing like the following:</w:t>
      </w:r>
    </w:p>
    <w:p w14:paraId="7E001688" w14:textId="77777777" w:rsidR="009A58DB" w:rsidRDefault="009A58DB">
      <w:pPr>
        <w:pStyle w:val="BodyText"/>
        <w:spacing w:before="17"/>
        <w:ind w:left="0"/>
        <w:jc w:val="left"/>
      </w:pPr>
    </w:p>
    <w:p w14:paraId="7E001689" w14:textId="77777777" w:rsidR="009A58DB" w:rsidRDefault="00000000">
      <w:pPr>
        <w:pStyle w:val="BodyText"/>
        <w:spacing w:line="249" w:lineRule="auto"/>
        <w:ind w:left="720" w:right="721"/>
      </w:pPr>
      <w:r>
        <w:t>Alternative Scenario (AS): Larry got on the plane. But Martians re-routed the plane to Barbados. For some reason, they then transported Larry to Texas. In Texas, somebody other than Larry, who looks and sounds just like him, calls you and tells you that “he” (which you take to mean “Larry”) safely arrived in Texas. On that basis, you believe</w:t>
      </w:r>
      <w:r>
        <w:rPr>
          <w:spacing w:val="40"/>
        </w:rPr>
        <w:t xml:space="preserve"> </w:t>
      </w:r>
      <w:r>
        <w:t>that Larry is in Texas. Which he is, and which you’re justified in believing, but which, clearly, you don’t know to be the case.</w:t>
      </w:r>
    </w:p>
    <w:p w14:paraId="7E00168A" w14:textId="77777777" w:rsidR="009A58DB" w:rsidRDefault="009A58DB">
      <w:pPr>
        <w:pStyle w:val="BodyText"/>
        <w:spacing w:before="24"/>
        <w:ind w:left="0"/>
        <w:jc w:val="left"/>
      </w:pPr>
    </w:p>
    <w:p w14:paraId="7E00168B" w14:textId="77777777" w:rsidR="009A58DB" w:rsidRDefault="00000000">
      <w:pPr>
        <w:pStyle w:val="BodyText"/>
        <w:spacing w:line="249" w:lineRule="auto"/>
        <w:ind w:right="364"/>
      </w:pPr>
      <w:r>
        <w:t>No—neither</w:t>
      </w:r>
      <w:r>
        <w:rPr>
          <w:spacing w:val="-4"/>
        </w:rPr>
        <w:t xml:space="preserve"> </w:t>
      </w:r>
      <w:r>
        <w:t>AS</w:t>
      </w:r>
      <w:r>
        <w:rPr>
          <w:spacing w:val="-4"/>
        </w:rPr>
        <w:t xml:space="preserve"> </w:t>
      </w:r>
      <w:r>
        <w:t>nor</w:t>
      </w:r>
      <w:r>
        <w:rPr>
          <w:spacing w:val="-4"/>
        </w:rPr>
        <w:t xml:space="preserve"> </w:t>
      </w:r>
      <w:r>
        <w:t>anything</w:t>
      </w:r>
      <w:r>
        <w:rPr>
          <w:spacing w:val="-3"/>
        </w:rPr>
        <w:t xml:space="preserve"> </w:t>
      </w:r>
      <w:r>
        <w:t>at</w:t>
      </w:r>
      <w:r>
        <w:rPr>
          <w:spacing w:val="-4"/>
        </w:rPr>
        <w:t xml:space="preserve"> </w:t>
      </w:r>
      <w:r>
        <w:t>all</w:t>
      </w:r>
      <w:r>
        <w:rPr>
          <w:spacing w:val="-4"/>
        </w:rPr>
        <w:t xml:space="preserve"> </w:t>
      </w:r>
      <w:r>
        <w:t>like</w:t>
      </w:r>
      <w:r>
        <w:rPr>
          <w:spacing w:val="-4"/>
        </w:rPr>
        <w:t xml:space="preserve"> </w:t>
      </w:r>
      <w:r>
        <w:t>it</w:t>
      </w:r>
      <w:r>
        <w:rPr>
          <w:spacing w:val="-4"/>
        </w:rPr>
        <w:t xml:space="preserve"> </w:t>
      </w:r>
      <w:r>
        <w:t>occurred.</w:t>
      </w:r>
      <w:r>
        <w:rPr>
          <w:spacing w:val="-3"/>
        </w:rPr>
        <w:t xml:space="preserve"> </w:t>
      </w:r>
      <w:r>
        <w:t>What</w:t>
      </w:r>
      <w:r>
        <w:rPr>
          <w:spacing w:val="-4"/>
        </w:rPr>
        <w:t xml:space="preserve"> </w:t>
      </w:r>
      <w:r>
        <w:t>happened</w:t>
      </w:r>
      <w:r>
        <w:rPr>
          <w:spacing w:val="-3"/>
        </w:rPr>
        <w:t xml:space="preserve"> </w:t>
      </w:r>
      <w:r>
        <w:t>is</w:t>
      </w:r>
      <w:r>
        <w:rPr>
          <w:spacing w:val="-4"/>
        </w:rPr>
        <w:t xml:space="preserve"> </w:t>
      </w:r>
      <w:r>
        <w:t xml:space="preserve">exactly what you thought happened. And you therefore know that Larry is in Texas. (Let’s say that this story—the one where you </w:t>
      </w:r>
      <w:r>
        <w:rPr>
          <w:i/>
        </w:rPr>
        <w:t xml:space="preserve">know </w:t>
      </w:r>
      <w:r>
        <w:t>that Larry is in Texas—takes place in the “real world,” even though, of course, it’s no less a hypothetical than AS.)</w:t>
      </w:r>
    </w:p>
    <w:p w14:paraId="7E00168C" w14:textId="77777777" w:rsidR="009A58DB" w:rsidRDefault="00000000">
      <w:pPr>
        <w:pStyle w:val="BodyText"/>
        <w:spacing w:before="6" w:line="249" w:lineRule="auto"/>
        <w:ind w:right="359" w:firstLine="360"/>
      </w:pPr>
      <w:r>
        <w:t>Why do you know it in the real world, but not in the world described by AS? Let’s look at the data on which, in the real world, your belief is based. Although</w:t>
      </w:r>
      <w:r>
        <w:rPr>
          <w:spacing w:val="-1"/>
        </w:rPr>
        <w:t xml:space="preserve"> </w:t>
      </w:r>
      <w:r>
        <w:t>you</w:t>
      </w:r>
      <w:r>
        <w:rPr>
          <w:spacing w:val="-1"/>
        </w:rPr>
        <w:t xml:space="preserve"> </w:t>
      </w:r>
      <w:r>
        <w:t>see</w:t>
      </w:r>
      <w:r>
        <w:rPr>
          <w:spacing w:val="-1"/>
        </w:rPr>
        <w:t xml:space="preserve"> </w:t>
      </w:r>
      <w:r>
        <w:t>Larry</w:t>
      </w:r>
      <w:r>
        <w:rPr>
          <w:spacing w:val="-1"/>
        </w:rPr>
        <w:t xml:space="preserve"> </w:t>
      </w:r>
      <w:r>
        <w:t>get</w:t>
      </w:r>
      <w:r>
        <w:rPr>
          <w:spacing w:val="-2"/>
        </w:rPr>
        <w:t xml:space="preserve"> </w:t>
      </w:r>
      <w:r>
        <w:t>on</w:t>
      </w:r>
      <w:r>
        <w:rPr>
          <w:spacing w:val="-1"/>
        </w:rPr>
        <w:t xml:space="preserve"> </w:t>
      </w:r>
      <w:r>
        <w:t>the</w:t>
      </w:r>
      <w:r>
        <w:rPr>
          <w:spacing w:val="-1"/>
        </w:rPr>
        <w:t xml:space="preserve"> </w:t>
      </w:r>
      <w:r>
        <w:t>plane,</w:t>
      </w:r>
      <w:r>
        <w:rPr>
          <w:spacing w:val="-1"/>
        </w:rPr>
        <w:t xml:space="preserve"> </w:t>
      </w:r>
      <w:r>
        <w:t>you</w:t>
      </w:r>
      <w:r>
        <w:rPr>
          <w:spacing w:val="-1"/>
        </w:rPr>
        <w:t xml:space="preserve"> </w:t>
      </w:r>
      <w:r>
        <w:t>don’t</w:t>
      </w:r>
      <w:r>
        <w:rPr>
          <w:spacing w:val="-2"/>
        </w:rPr>
        <w:t xml:space="preserve"> </w:t>
      </w:r>
      <w:r>
        <w:t>see</w:t>
      </w:r>
      <w:r>
        <w:rPr>
          <w:spacing w:val="-1"/>
        </w:rPr>
        <w:t xml:space="preserve"> </w:t>
      </w:r>
      <w:r>
        <w:t>him</w:t>
      </w:r>
      <w:r>
        <w:rPr>
          <w:spacing w:val="-2"/>
        </w:rPr>
        <w:t xml:space="preserve"> </w:t>
      </w:r>
      <w:r>
        <w:t>deplane</w:t>
      </w:r>
      <w:r>
        <w:rPr>
          <w:spacing w:val="-1"/>
        </w:rPr>
        <w:t xml:space="preserve"> </w:t>
      </w:r>
      <w:r>
        <w:t>in</w:t>
      </w:r>
      <w:r>
        <w:rPr>
          <w:spacing w:val="-1"/>
        </w:rPr>
        <w:t xml:space="preserve"> </w:t>
      </w:r>
      <w:r>
        <w:t xml:space="preserve">Texas. You </w:t>
      </w:r>
      <w:r>
        <w:rPr>
          <w:i/>
        </w:rPr>
        <w:t xml:space="preserve">do </w:t>
      </w:r>
      <w:r>
        <w:t>see various images (on your cell phone/video phone) that are consistent with his being in Texas; and you encounter a lot of other things that, were Larry not to be in Texas, would be very hard to explain. Your belief that Larry is in Texas (after sitting on a certain plane, etc.) is not only justified:</w:t>
      </w:r>
      <w:r>
        <w:rPr>
          <w:spacing w:val="-1"/>
        </w:rPr>
        <w:t xml:space="preserve"> </w:t>
      </w:r>
      <w:r>
        <w:t>it</w:t>
      </w:r>
      <w:r>
        <w:rPr>
          <w:spacing w:val="-1"/>
        </w:rPr>
        <w:t xml:space="preserve"> </w:t>
      </w:r>
      <w:r>
        <w:t>also</w:t>
      </w:r>
      <w:r>
        <w:rPr>
          <w:spacing w:val="-1"/>
        </w:rPr>
        <w:t xml:space="preserve"> </w:t>
      </w:r>
      <w:r>
        <w:t>constitutes</w:t>
      </w:r>
      <w:r>
        <w:rPr>
          <w:spacing w:val="-1"/>
        </w:rPr>
        <w:t xml:space="preserve"> </w:t>
      </w:r>
      <w:r>
        <w:t>a</w:t>
      </w:r>
      <w:r>
        <w:rPr>
          <w:spacing w:val="-1"/>
        </w:rPr>
        <w:t xml:space="preserve"> </w:t>
      </w:r>
      <w:r>
        <w:t>correct</w:t>
      </w:r>
      <w:r>
        <w:rPr>
          <w:spacing w:val="-1"/>
        </w:rPr>
        <w:t xml:space="preserve"> </w:t>
      </w:r>
      <w:r>
        <w:t>explanation</w:t>
      </w:r>
      <w:r>
        <w:rPr>
          <w:spacing w:val="-1"/>
        </w:rPr>
        <w:t xml:space="preserve"> </w:t>
      </w:r>
      <w:r>
        <w:t>of</w:t>
      </w:r>
      <w:r>
        <w:rPr>
          <w:spacing w:val="-1"/>
        </w:rPr>
        <w:t xml:space="preserve"> </w:t>
      </w:r>
      <w:r>
        <w:t>the</w:t>
      </w:r>
      <w:r>
        <w:rPr>
          <w:spacing w:val="-1"/>
        </w:rPr>
        <w:t xml:space="preserve"> </w:t>
      </w:r>
      <w:r>
        <w:t>data</w:t>
      </w:r>
      <w:r>
        <w:rPr>
          <w:spacing w:val="-1"/>
        </w:rPr>
        <w:t xml:space="preserve"> </w:t>
      </w:r>
      <w:r>
        <w:t>that</w:t>
      </w:r>
      <w:r>
        <w:rPr>
          <w:spacing w:val="-1"/>
        </w:rPr>
        <w:t xml:space="preserve"> </w:t>
      </w:r>
      <w:r>
        <w:t>justifies</w:t>
      </w:r>
      <w:r>
        <w:rPr>
          <w:spacing w:val="-1"/>
        </w:rPr>
        <w:t xml:space="preserve"> </w:t>
      </w:r>
      <w:r>
        <w:t xml:space="preserve">your belief that he is in Texas. Your belief that, after sitting on a certain plane (etc.), Larry is in Texas correctly explains </w:t>
      </w:r>
      <w:r>
        <w:rPr>
          <w:i/>
        </w:rPr>
        <w:t xml:space="preserve">why </w:t>
      </w:r>
      <w:r>
        <w:t>your cell phone is giving rise</w:t>
      </w:r>
    </w:p>
    <w:p w14:paraId="7E00168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8E" w14:textId="77777777" w:rsidR="009A58DB" w:rsidRDefault="00000000">
      <w:pPr>
        <w:pStyle w:val="BodyText"/>
        <w:spacing w:before="65"/>
      </w:pPr>
      <w:r>
        <w:lastRenderedPageBreak/>
        <w:t>to</w:t>
      </w:r>
      <w:r>
        <w:rPr>
          <w:spacing w:val="-5"/>
        </w:rPr>
        <w:t xml:space="preserve"> </w:t>
      </w:r>
      <w:r>
        <w:t>these</w:t>
      </w:r>
      <w:r>
        <w:rPr>
          <w:spacing w:val="-3"/>
        </w:rPr>
        <w:t xml:space="preserve"> </w:t>
      </w:r>
      <w:r>
        <w:t>various</w:t>
      </w:r>
      <w:r>
        <w:rPr>
          <w:spacing w:val="-4"/>
        </w:rPr>
        <w:t xml:space="preserve"> </w:t>
      </w:r>
      <w:r>
        <w:t>images</w:t>
      </w:r>
      <w:r>
        <w:rPr>
          <w:spacing w:val="-3"/>
        </w:rPr>
        <w:t xml:space="preserve"> </w:t>
      </w:r>
      <w:r>
        <w:t>and</w:t>
      </w:r>
      <w:r>
        <w:rPr>
          <w:spacing w:val="-2"/>
        </w:rPr>
        <w:t xml:space="preserve"> noises.</w:t>
      </w:r>
    </w:p>
    <w:p w14:paraId="7E00168F" w14:textId="77777777" w:rsidR="009A58DB" w:rsidRDefault="00000000">
      <w:pPr>
        <w:pStyle w:val="BodyText"/>
        <w:spacing w:before="15" w:line="249" w:lineRule="auto"/>
        <w:ind w:right="363" w:firstLine="360"/>
      </w:pPr>
      <w:r>
        <w:t xml:space="preserve">Thus, your belief is not only justified, but </w:t>
      </w:r>
      <w:r>
        <w:rPr>
          <w:i/>
        </w:rPr>
        <w:t>hyper</w:t>
      </w:r>
      <w:r>
        <w:t>-justified. A belief is hyper-justified if it’s justified and, moreover, embodies a correct explanation of the data that is doing the justifying.</w:t>
      </w:r>
    </w:p>
    <w:p w14:paraId="7E001690" w14:textId="77777777" w:rsidR="009A58DB" w:rsidRDefault="00000000">
      <w:pPr>
        <w:pStyle w:val="BodyText"/>
        <w:spacing w:before="3" w:line="249" w:lineRule="auto"/>
        <w:ind w:right="358" w:firstLine="360"/>
      </w:pPr>
      <w:r>
        <w:t>In AS, your belief is justified, but not hyper-justified. Your belief is based on the same images and, in general, the same data that it’s based on in the</w:t>
      </w:r>
      <w:r>
        <w:rPr>
          <w:spacing w:val="40"/>
        </w:rPr>
        <w:t xml:space="preserve"> </w:t>
      </w:r>
      <w:r>
        <w:t>real world. But, in AS, your beliefs as to what caused those images and</w:t>
      </w:r>
      <w:r>
        <w:rPr>
          <w:spacing w:val="40"/>
        </w:rPr>
        <w:t xml:space="preserve"> </w:t>
      </w:r>
      <w:r>
        <w:t>noises to occur are wrong. (You explained their occurrence by wrongly supposing that Larry produced them after being transported by non-Martians to Texas.) So, in AS, your justified belief isn’t knowledge because it isn’t hyper-justified. I propose, then, that:</w:t>
      </w:r>
    </w:p>
    <w:p w14:paraId="7E001691" w14:textId="77777777" w:rsidR="009A58DB" w:rsidRDefault="009A58DB">
      <w:pPr>
        <w:pStyle w:val="BodyText"/>
        <w:spacing w:before="24"/>
        <w:ind w:left="0"/>
        <w:jc w:val="left"/>
      </w:pPr>
    </w:p>
    <w:p w14:paraId="7E001692" w14:textId="77777777" w:rsidR="009A58DB" w:rsidRDefault="00000000">
      <w:pPr>
        <w:pStyle w:val="BodyText"/>
        <w:ind w:left="720"/>
      </w:pPr>
      <w:r>
        <w:t>(KN)</w:t>
      </w:r>
      <w:r>
        <w:rPr>
          <w:spacing w:val="-7"/>
        </w:rPr>
        <w:t xml:space="preserve"> </w:t>
      </w:r>
      <w:r>
        <w:t>Knowledge</w:t>
      </w:r>
      <w:r>
        <w:rPr>
          <w:spacing w:val="-5"/>
        </w:rPr>
        <w:t xml:space="preserve"> </w:t>
      </w:r>
      <w:r>
        <w:t>is</w:t>
      </w:r>
      <w:r>
        <w:rPr>
          <w:spacing w:val="-5"/>
        </w:rPr>
        <w:t xml:space="preserve"> </w:t>
      </w:r>
      <w:r>
        <w:t>hyper-justified</w:t>
      </w:r>
      <w:r>
        <w:rPr>
          <w:spacing w:val="-5"/>
        </w:rPr>
        <w:t xml:space="preserve"> </w:t>
      </w:r>
      <w:r>
        <w:t>true</w:t>
      </w:r>
      <w:r>
        <w:rPr>
          <w:spacing w:val="-4"/>
        </w:rPr>
        <w:t xml:space="preserve"> </w:t>
      </w:r>
      <w:r>
        <w:rPr>
          <w:spacing w:val="-2"/>
        </w:rPr>
        <w:t>belief.</w:t>
      </w:r>
    </w:p>
    <w:p w14:paraId="7E001693" w14:textId="77777777" w:rsidR="009A58DB" w:rsidRDefault="00000000">
      <w:pPr>
        <w:pStyle w:val="Heading1"/>
        <w:numPr>
          <w:ilvl w:val="1"/>
          <w:numId w:val="136"/>
        </w:numPr>
        <w:tabs>
          <w:tab w:val="left" w:pos="1443"/>
          <w:tab w:val="left" w:pos="4054"/>
          <w:tab w:val="left" w:pos="6315"/>
          <w:tab w:val="left" w:pos="8016"/>
        </w:tabs>
        <w:spacing w:line="244" w:lineRule="auto"/>
        <w:ind w:right="359" w:firstLine="0"/>
      </w:pPr>
      <w:r>
        <w:rPr>
          <w:spacing w:val="-2"/>
        </w:rPr>
        <w:t>Conceptual</w:t>
      </w:r>
      <w:r>
        <w:tab/>
      </w:r>
      <w:r>
        <w:rPr>
          <w:spacing w:val="-2"/>
        </w:rPr>
        <w:t>(analytic)</w:t>
      </w:r>
      <w:r>
        <w:tab/>
      </w:r>
      <w:r>
        <w:rPr>
          <w:spacing w:val="-2"/>
        </w:rPr>
        <w:t>versus</w:t>
      </w:r>
      <w:r>
        <w:tab/>
      </w:r>
      <w:r>
        <w:rPr>
          <w:spacing w:val="-2"/>
        </w:rPr>
        <w:t xml:space="preserve">empirical </w:t>
      </w:r>
      <w:r>
        <w:t>(synthetic) knowledge</w:t>
      </w:r>
    </w:p>
    <w:p w14:paraId="7E001694" w14:textId="77777777" w:rsidR="009A58DB" w:rsidRDefault="00000000">
      <w:pPr>
        <w:pStyle w:val="BodyText"/>
        <w:spacing w:before="132" w:line="249" w:lineRule="auto"/>
        <w:ind w:right="360"/>
      </w:pPr>
      <w:r>
        <w:t xml:space="preserve">Some knowledge is purely conceptual; and some knowledge has a non-conceptual component. Knowledge that is purely conceptual is described as “analytic.” Knowledge that has a non-conceptual component is described as </w:t>
      </w:r>
      <w:r>
        <w:rPr>
          <w:spacing w:val="-2"/>
        </w:rPr>
        <w:t>“synthetic.”</w:t>
      </w:r>
    </w:p>
    <w:p w14:paraId="7E001695" w14:textId="77777777" w:rsidR="009A58DB" w:rsidRDefault="00000000">
      <w:pPr>
        <w:pStyle w:val="BodyText"/>
        <w:spacing w:before="5"/>
        <w:ind w:left="720"/>
      </w:pPr>
      <w:r>
        <w:t>Consider</w:t>
      </w:r>
      <w:r>
        <w:rPr>
          <w:spacing w:val="-4"/>
        </w:rPr>
        <w:t xml:space="preserve"> </w:t>
      </w:r>
      <w:r>
        <w:t>the</w:t>
      </w:r>
      <w:r>
        <w:rPr>
          <w:spacing w:val="-3"/>
        </w:rPr>
        <w:t xml:space="preserve"> </w:t>
      </w:r>
      <w:r>
        <w:rPr>
          <w:spacing w:val="-2"/>
        </w:rPr>
        <w:t>statement:</w:t>
      </w:r>
    </w:p>
    <w:p w14:paraId="7E001696" w14:textId="77777777" w:rsidR="009A58DB" w:rsidRDefault="009A58DB">
      <w:pPr>
        <w:pStyle w:val="BodyText"/>
        <w:spacing w:before="30"/>
        <w:ind w:left="0"/>
        <w:jc w:val="left"/>
      </w:pPr>
    </w:p>
    <w:p w14:paraId="7E001697" w14:textId="77777777" w:rsidR="009A58DB" w:rsidRDefault="00000000">
      <w:pPr>
        <w:pStyle w:val="BodyText"/>
      </w:pPr>
      <w:r>
        <w:t>(#)</w:t>
      </w:r>
      <w:r>
        <w:rPr>
          <w:spacing w:val="-4"/>
        </w:rPr>
        <w:t xml:space="preserve"> </w:t>
      </w:r>
      <w:r>
        <w:t>Circles</w:t>
      </w:r>
      <w:r>
        <w:rPr>
          <w:spacing w:val="-4"/>
        </w:rPr>
        <w:t xml:space="preserve"> </w:t>
      </w:r>
      <w:r>
        <w:t>are</w:t>
      </w:r>
      <w:r>
        <w:rPr>
          <w:spacing w:val="-3"/>
        </w:rPr>
        <w:t xml:space="preserve"> </w:t>
      </w:r>
      <w:r>
        <w:t>figures</w:t>
      </w:r>
      <w:r>
        <w:rPr>
          <w:spacing w:val="-4"/>
        </w:rPr>
        <w:t xml:space="preserve"> </w:t>
      </w:r>
      <w:r>
        <w:t>of</w:t>
      </w:r>
      <w:r>
        <w:rPr>
          <w:spacing w:val="-4"/>
        </w:rPr>
        <w:t xml:space="preserve"> </w:t>
      </w:r>
      <w:r>
        <w:t>uniform</w:t>
      </w:r>
      <w:r>
        <w:rPr>
          <w:spacing w:val="-3"/>
        </w:rPr>
        <w:t xml:space="preserve"> </w:t>
      </w:r>
      <w:r>
        <w:rPr>
          <w:spacing w:val="-2"/>
        </w:rPr>
        <w:t>curvature.</w:t>
      </w:r>
    </w:p>
    <w:p w14:paraId="7E001698" w14:textId="77777777" w:rsidR="009A58DB" w:rsidRDefault="009A58DB">
      <w:pPr>
        <w:pStyle w:val="BodyText"/>
        <w:spacing w:before="30"/>
        <w:ind w:left="0"/>
        <w:jc w:val="left"/>
      </w:pPr>
    </w:p>
    <w:p w14:paraId="7E001699" w14:textId="77777777" w:rsidR="009A58DB" w:rsidRDefault="00000000">
      <w:pPr>
        <w:pStyle w:val="BodyText"/>
        <w:spacing w:line="249" w:lineRule="auto"/>
        <w:ind w:right="358"/>
      </w:pPr>
      <w:r>
        <w:t xml:space="preserve"># is true. And you know that it's true. You thus have knowledge of #. How does one become justified in believing #? Answer: by examining the statement itself. More specifically, by examining the components of that statement—the concepts </w:t>
      </w:r>
      <w:r>
        <w:rPr>
          <w:i/>
        </w:rPr>
        <w:t xml:space="preserve">circle, curvature, uniform, </w:t>
      </w:r>
      <w:r>
        <w:t>and so on. So your knowledge of # is purely conceptual. In other words, it is “analytic.”</w:t>
      </w:r>
    </w:p>
    <w:p w14:paraId="7E00169A" w14:textId="77777777" w:rsidR="009A58DB" w:rsidRDefault="00000000">
      <w:pPr>
        <w:pStyle w:val="BodyText"/>
        <w:spacing w:before="6" w:line="249" w:lineRule="auto"/>
        <w:ind w:right="361" w:firstLine="360"/>
      </w:pPr>
      <w:r>
        <w:t xml:space="preserve">Analytic knowledge is so-called because it is acquired by </w:t>
      </w:r>
      <w:r>
        <w:rPr>
          <w:i/>
        </w:rPr>
        <w:t xml:space="preserve">analyzing </w:t>
      </w:r>
      <w:r>
        <w:t>the object of belief. Whenever statement-analysis is sufficient, by itself, to yield knowledge, that knowledge is analytic.</w:t>
      </w:r>
    </w:p>
    <w:p w14:paraId="7E00169B" w14:textId="77777777" w:rsidR="009A58DB" w:rsidRDefault="00000000">
      <w:pPr>
        <w:pStyle w:val="BodyText"/>
        <w:spacing w:before="4" w:line="501" w:lineRule="auto"/>
        <w:ind w:right="2223" w:firstLine="360"/>
        <w:jc w:val="left"/>
      </w:pPr>
      <w:r>
        <w:t>Most</w:t>
      </w:r>
      <w:r>
        <w:rPr>
          <w:spacing w:val="-7"/>
        </w:rPr>
        <w:t xml:space="preserve"> </w:t>
      </w:r>
      <w:r>
        <w:t>knowledge</w:t>
      </w:r>
      <w:r>
        <w:rPr>
          <w:spacing w:val="-7"/>
        </w:rPr>
        <w:t xml:space="preserve"> </w:t>
      </w:r>
      <w:r>
        <w:t>is</w:t>
      </w:r>
      <w:r>
        <w:rPr>
          <w:spacing w:val="-7"/>
        </w:rPr>
        <w:t xml:space="preserve"> </w:t>
      </w:r>
      <w:r>
        <w:t>non-analytic.</w:t>
      </w:r>
      <w:r>
        <w:rPr>
          <w:spacing w:val="-6"/>
        </w:rPr>
        <w:t xml:space="preserve"> </w:t>
      </w:r>
      <w:r>
        <w:t>Consider</w:t>
      </w:r>
      <w:r>
        <w:rPr>
          <w:spacing w:val="-7"/>
        </w:rPr>
        <w:t xml:space="preserve"> </w:t>
      </w:r>
      <w:r>
        <w:t>the</w:t>
      </w:r>
      <w:r>
        <w:rPr>
          <w:spacing w:val="-7"/>
        </w:rPr>
        <w:t xml:space="preserve"> </w:t>
      </w:r>
      <w:r>
        <w:t>statement: (##) Donald Rumsfeld was born in the United States.</w:t>
      </w:r>
    </w:p>
    <w:p w14:paraId="7E00169C" w14:textId="77777777" w:rsidR="009A58DB" w:rsidRDefault="009A58DB">
      <w:pPr>
        <w:pStyle w:val="BodyText"/>
        <w:spacing w:line="501" w:lineRule="auto"/>
        <w:jc w:val="left"/>
        <w:sectPr w:rsidR="009A58DB">
          <w:pgSz w:w="12240" w:h="15840"/>
          <w:pgMar w:top="1380" w:right="1080" w:bottom="280" w:left="1080" w:header="720" w:footer="720" w:gutter="0"/>
          <w:cols w:space="720"/>
        </w:sectPr>
      </w:pPr>
    </w:p>
    <w:p w14:paraId="7E00169D" w14:textId="77777777" w:rsidR="009A58DB" w:rsidRDefault="00000000">
      <w:pPr>
        <w:pStyle w:val="BodyText"/>
        <w:spacing w:before="65" w:line="249" w:lineRule="auto"/>
        <w:ind w:right="359" w:firstLine="360"/>
      </w:pPr>
      <w:r>
        <w:lastRenderedPageBreak/>
        <w:t>An examination of that statement is not enough to know whether it is true or false. It doesn’t matter how much you dissect it and examine its components. In order to be justified in having a view, one way or the other,</w:t>
      </w:r>
      <w:r>
        <w:rPr>
          <w:spacing w:val="40"/>
        </w:rPr>
        <w:t xml:space="preserve"> </w:t>
      </w:r>
      <w:r>
        <w:t xml:space="preserve">as to whether it is true, and in order therefore to </w:t>
      </w:r>
      <w:r>
        <w:rPr>
          <w:i/>
        </w:rPr>
        <w:t xml:space="preserve">know </w:t>
      </w:r>
      <w:r>
        <w:t>whether it is true, it is necessary to consider matters of fact of which no amount of conceptual analysis will apprise you. It is necessary to look at birth records or to ask informed people, or some such.</w:t>
      </w:r>
    </w:p>
    <w:p w14:paraId="7E00169E" w14:textId="77777777" w:rsidR="009A58DB" w:rsidRDefault="00000000">
      <w:pPr>
        <w:pStyle w:val="BodyText"/>
        <w:spacing w:before="8" w:line="249" w:lineRule="auto"/>
        <w:ind w:right="364" w:firstLine="360"/>
        <w:rPr>
          <w:i/>
        </w:rPr>
      </w:pPr>
      <w:r>
        <w:t xml:space="preserve">Thus, if one knows that ## is true, that knowledge is </w:t>
      </w:r>
      <w:r>
        <w:rPr>
          <w:i/>
        </w:rPr>
        <w:t>non</w:t>
      </w:r>
      <w:r>
        <w:t xml:space="preserve">-conceptual. In other words, it is </w:t>
      </w:r>
      <w:r>
        <w:rPr>
          <w:i/>
        </w:rPr>
        <w:t>non</w:t>
      </w:r>
      <w:r>
        <w:t xml:space="preserve">-analytic or, as philosophers sometimes say, </w:t>
      </w:r>
      <w:r>
        <w:rPr>
          <w:i/>
        </w:rPr>
        <w:t>synthetic.</w:t>
      </w:r>
    </w:p>
    <w:p w14:paraId="7E00169F" w14:textId="77777777" w:rsidR="009A58DB" w:rsidRDefault="00000000">
      <w:pPr>
        <w:pStyle w:val="Heading1"/>
        <w:numPr>
          <w:ilvl w:val="1"/>
          <w:numId w:val="136"/>
        </w:numPr>
        <w:tabs>
          <w:tab w:val="left" w:pos="990"/>
        </w:tabs>
        <w:spacing w:before="191"/>
        <w:ind w:left="990" w:hanging="630"/>
        <w:jc w:val="both"/>
      </w:pPr>
      <w:r>
        <w:t>More</w:t>
      </w:r>
      <w:r>
        <w:rPr>
          <w:spacing w:val="-8"/>
        </w:rPr>
        <w:t xml:space="preserve"> </w:t>
      </w:r>
      <w:r>
        <w:t>on</w:t>
      </w:r>
      <w:r>
        <w:rPr>
          <w:spacing w:val="-5"/>
        </w:rPr>
        <w:t xml:space="preserve"> </w:t>
      </w:r>
      <w:r>
        <w:t>the</w:t>
      </w:r>
      <w:r>
        <w:rPr>
          <w:spacing w:val="-5"/>
        </w:rPr>
        <w:t xml:space="preserve"> </w:t>
      </w:r>
      <w:r>
        <w:t>analytic-synthetic</w:t>
      </w:r>
      <w:r>
        <w:rPr>
          <w:spacing w:val="-5"/>
        </w:rPr>
        <w:t xml:space="preserve"> </w:t>
      </w:r>
      <w:r>
        <w:rPr>
          <w:spacing w:val="-2"/>
        </w:rPr>
        <w:t>distinction</w:t>
      </w:r>
    </w:p>
    <w:p w14:paraId="7E0016A0" w14:textId="77777777" w:rsidR="009A58DB" w:rsidRDefault="00000000">
      <w:pPr>
        <w:pStyle w:val="BodyText"/>
        <w:spacing w:before="139" w:line="249" w:lineRule="auto"/>
        <w:ind w:right="359"/>
        <w:rPr>
          <w:position w:val="21"/>
        </w:rPr>
      </w:pPr>
      <w:r>
        <w:t>Although some philosophers have held otherwise, I think it is fair to say that synthetic knowledge is identical with knowledge of spatiotemporal facts, whereas analytic knowledge is knowledge of properties</w:t>
      </w:r>
      <w:bookmarkStart w:id="288" w:name="_bookmark288"/>
      <w:bookmarkEnd w:id="288"/>
      <w:r>
        <w:t>.</w:t>
      </w:r>
      <w:r>
        <w:rPr>
          <w:color w:val="0562C1"/>
          <w:position w:val="21"/>
          <w:u w:val="single" w:color="0562C1"/>
        </w:rPr>
        <w:t>[186]</w:t>
      </w:r>
    </w:p>
    <w:p w14:paraId="7E0016A1" w14:textId="77777777" w:rsidR="009A58DB" w:rsidRDefault="00000000">
      <w:pPr>
        <w:pStyle w:val="BodyText"/>
        <w:spacing w:before="3" w:line="249" w:lineRule="auto"/>
        <w:ind w:right="359" w:firstLine="360"/>
      </w:pPr>
      <w:r>
        <w:t>To know ##, for example, is to know something about the spatiotemporal world—the world of things that occupy space and time. By contrast, to know # is to know about unchanging, non-temporal (and therefore non-spatial) relations among properties.</w:t>
      </w:r>
    </w:p>
    <w:p w14:paraId="7E0016A2" w14:textId="77777777" w:rsidR="009A58DB" w:rsidRDefault="00000000">
      <w:pPr>
        <w:pStyle w:val="BodyText"/>
        <w:spacing w:before="5" w:line="249" w:lineRule="auto"/>
        <w:ind w:right="363" w:firstLine="360"/>
      </w:pPr>
      <w:r>
        <w:t>In this chapter, we will operate on the reasonable, though debatable, assumption that all synthetic knowledge is knowledge of some fact or other about the spatiotemporal realm. So, in this context, the terms “spa-tiotemporal knowledge” and “synthetic knowledge” may be used interchangeably. In Chapter 18, it is shown that, in fact, synthetic knowledge is identical with spatiotemporal knowledge.</w:t>
      </w:r>
    </w:p>
    <w:p w14:paraId="7E0016A3" w14:textId="77777777" w:rsidR="009A58DB" w:rsidRDefault="00000000">
      <w:pPr>
        <w:pStyle w:val="Heading1"/>
        <w:numPr>
          <w:ilvl w:val="0"/>
          <w:numId w:val="135"/>
        </w:numPr>
        <w:tabs>
          <w:tab w:val="left" w:pos="1013"/>
        </w:tabs>
        <w:spacing w:before="211" w:line="244" w:lineRule="auto"/>
        <w:ind w:right="364" w:firstLine="0"/>
        <w:jc w:val="both"/>
      </w:pPr>
      <w:r>
        <w:t>Knowledge of specific facts versus knowledge of dependence-relations among facts</w:t>
      </w:r>
    </w:p>
    <w:p w14:paraId="7E0016A4" w14:textId="77777777" w:rsidR="009A58DB" w:rsidRDefault="00000000">
      <w:pPr>
        <w:pStyle w:val="BodyText"/>
        <w:spacing w:before="131" w:line="249" w:lineRule="auto"/>
        <w:ind w:right="367"/>
      </w:pPr>
      <w:r>
        <w:t xml:space="preserve">There is an important division within the category of spatiotemporal, or synthetic, knowledge. There is knowledge of </w:t>
      </w:r>
      <w:r>
        <w:rPr>
          <w:i/>
        </w:rPr>
        <w:t xml:space="preserve">specific </w:t>
      </w:r>
      <w:r>
        <w:t xml:space="preserve">facts, and there is also knowledge of </w:t>
      </w:r>
      <w:r>
        <w:rPr>
          <w:i/>
        </w:rPr>
        <w:t xml:space="preserve">causal </w:t>
      </w:r>
      <w:r>
        <w:t xml:space="preserve">or </w:t>
      </w:r>
      <w:r>
        <w:rPr>
          <w:i/>
        </w:rPr>
        <w:t xml:space="preserve">nomic </w:t>
      </w:r>
      <w:r>
        <w:t>relations among facts.</w:t>
      </w:r>
    </w:p>
    <w:p w14:paraId="7E0016A5" w14:textId="77777777" w:rsidR="009A58DB" w:rsidRDefault="00000000">
      <w:pPr>
        <w:pStyle w:val="BodyText"/>
        <w:spacing w:before="4" w:line="249" w:lineRule="auto"/>
        <w:ind w:right="360" w:firstLine="360"/>
      </w:pPr>
      <w:r>
        <w:t>The term “nomic” means “having to do with natural law.” Consider the fact</w:t>
      </w:r>
      <w:r>
        <w:rPr>
          <w:spacing w:val="-2"/>
        </w:rPr>
        <w:t xml:space="preserve"> </w:t>
      </w:r>
      <w:r>
        <w:t>that</w:t>
      </w:r>
      <w:r>
        <w:rPr>
          <w:spacing w:val="-2"/>
        </w:rPr>
        <w:t xml:space="preserve"> </w:t>
      </w:r>
      <w:r>
        <w:t>there</w:t>
      </w:r>
      <w:r>
        <w:rPr>
          <w:spacing w:val="-1"/>
        </w:rPr>
        <w:t xml:space="preserve"> </w:t>
      </w:r>
      <w:r>
        <w:t>is</w:t>
      </w:r>
      <w:r>
        <w:rPr>
          <w:spacing w:val="-1"/>
        </w:rPr>
        <w:t xml:space="preserve"> </w:t>
      </w:r>
      <w:r>
        <w:t>a</w:t>
      </w:r>
      <w:r>
        <w:rPr>
          <w:spacing w:val="-1"/>
        </w:rPr>
        <w:t xml:space="preserve"> </w:t>
      </w:r>
      <w:r>
        <w:t>combustion</w:t>
      </w:r>
      <w:r>
        <w:rPr>
          <w:spacing w:val="-1"/>
        </w:rPr>
        <w:t xml:space="preserve"> </w:t>
      </w:r>
      <w:r>
        <w:t>whenever</w:t>
      </w:r>
      <w:r>
        <w:rPr>
          <w:spacing w:val="-1"/>
        </w:rPr>
        <w:t xml:space="preserve"> </w:t>
      </w:r>
      <w:r>
        <w:t>a</w:t>
      </w:r>
      <w:r>
        <w:rPr>
          <w:spacing w:val="-1"/>
        </w:rPr>
        <w:t xml:space="preserve"> </w:t>
      </w:r>
      <w:r>
        <w:t>lit</w:t>
      </w:r>
      <w:r>
        <w:rPr>
          <w:spacing w:val="-2"/>
        </w:rPr>
        <w:t xml:space="preserve"> </w:t>
      </w:r>
      <w:r>
        <w:t>match</w:t>
      </w:r>
      <w:r>
        <w:rPr>
          <w:spacing w:val="-1"/>
        </w:rPr>
        <w:t xml:space="preserve"> </w:t>
      </w:r>
      <w:r>
        <w:t>is</w:t>
      </w:r>
      <w:r>
        <w:rPr>
          <w:spacing w:val="-1"/>
        </w:rPr>
        <w:t xml:space="preserve"> </w:t>
      </w:r>
      <w:r>
        <w:t>brought</w:t>
      </w:r>
      <w:r>
        <w:rPr>
          <w:spacing w:val="-2"/>
        </w:rPr>
        <w:t xml:space="preserve"> </w:t>
      </w:r>
      <w:r>
        <w:t>in</w:t>
      </w:r>
      <w:r>
        <w:rPr>
          <w:spacing w:val="-1"/>
        </w:rPr>
        <w:t xml:space="preserve"> </w:t>
      </w:r>
      <w:r>
        <w:t>contact</w:t>
      </w:r>
      <w:r>
        <w:rPr>
          <w:spacing w:val="-1"/>
        </w:rPr>
        <w:t xml:space="preserve"> </w:t>
      </w:r>
      <w:r>
        <w:t>with gasoline.</w:t>
      </w:r>
      <w:r>
        <w:rPr>
          <w:spacing w:val="24"/>
        </w:rPr>
        <w:t xml:space="preserve"> </w:t>
      </w:r>
      <w:r>
        <w:t>Obviously</w:t>
      </w:r>
      <w:r>
        <w:rPr>
          <w:spacing w:val="24"/>
        </w:rPr>
        <w:t xml:space="preserve"> </w:t>
      </w:r>
      <w:r>
        <w:t>that</w:t>
      </w:r>
      <w:r>
        <w:rPr>
          <w:spacing w:val="25"/>
        </w:rPr>
        <w:t xml:space="preserve"> </w:t>
      </w:r>
      <w:r>
        <w:t>is</w:t>
      </w:r>
      <w:r>
        <w:rPr>
          <w:spacing w:val="24"/>
        </w:rPr>
        <w:t xml:space="preserve"> </w:t>
      </w:r>
      <w:r>
        <w:t>not</w:t>
      </w:r>
      <w:r>
        <w:rPr>
          <w:spacing w:val="24"/>
        </w:rPr>
        <w:t xml:space="preserve"> </w:t>
      </w:r>
      <w:r>
        <w:t>a</w:t>
      </w:r>
      <w:r>
        <w:rPr>
          <w:spacing w:val="25"/>
        </w:rPr>
        <w:t xml:space="preserve"> </w:t>
      </w:r>
      <w:r>
        <w:t>coincidence.</w:t>
      </w:r>
      <w:r>
        <w:rPr>
          <w:spacing w:val="24"/>
        </w:rPr>
        <w:t xml:space="preserve"> </w:t>
      </w:r>
      <w:r>
        <w:t>There</w:t>
      </w:r>
      <w:r>
        <w:rPr>
          <w:spacing w:val="24"/>
        </w:rPr>
        <w:t xml:space="preserve"> </w:t>
      </w:r>
      <w:r>
        <w:t>is</w:t>
      </w:r>
      <w:r>
        <w:rPr>
          <w:spacing w:val="25"/>
        </w:rPr>
        <w:t xml:space="preserve"> </w:t>
      </w:r>
      <w:r>
        <w:t>clearly</w:t>
      </w:r>
      <w:r>
        <w:rPr>
          <w:spacing w:val="24"/>
        </w:rPr>
        <w:t xml:space="preserve"> </w:t>
      </w:r>
      <w:r>
        <w:t>some</w:t>
      </w:r>
      <w:r>
        <w:rPr>
          <w:spacing w:val="24"/>
        </w:rPr>
        <w:t xml:space="preserve"> </w:t>
      </w:r>
      <w:r>
        <w:t>kind</w:t>
      </w:r>
      <w:r>
        <w:rPr>
          <w:spacing w:val="25"/>
        </w:rPr>
        <w:t xml:space="preserve"> </w:t>
      </w:r>
      <w:r>
        <w:rPr>
          <w:spacing w:val="-5"/>
        </w:rPr>
        <w:t>of</w:t>
      </w:r>
    </w:p>
    <w:p w14:paraId="7E0016A6"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6A7" w14:textId="77777777" w:rsidR="009A58DB" w:rsidRDefault="00000000">
      <w:pPr>
        <w:pStyle w:val="BodyText"/>
        <w:spacing w:before="70" w:line="249" w:lineRule="auto"/>
        <w:ind w:right="358"/>
      </w:pPr>
      <w:r>
        <w:lastRenderedPageBreak/>
        <w:t xml:space="preserve">principled relationship between, on the one hand, something’s being gasoline that is brought into contact with flame and, on the other hand, something’s combusting. Some kind of </w:t>
      </w:r>
      <w:r>
        <w:rPr>
          <w:i/>
        </w:rPr>
        <w:t xml:space="preserve">causal </w:t>
      </w:r>
      <w:r>
        <w:t>relationship is at work.</w:t>
      </w:r>
    </w:p>
    <w:p w14:paraId="7E0016A8" w14:textId="77777777" w:rsidR="009A58DB" w:rsidRDefault="00000000">
      <w:pPr>
        <w:pStyle w:val="BodyText"/>
        <w:spacing w:line="249" w:lineRule="auto"/>
        <w:ind w:right="360" w:firstLine="360"/>
      </w:pPr>
      <w:r>
        <w:t>Technically speaking, not all nomic relations are causal. But the</w:t>
      </w:r>
      <w:r>
        <w:rPr>
          <w:spacing w:val="40"/>
        </w:rPr>
        <w:t xml:space="preserve"> </w:t>
      </w:r>
      <w:r>
        <w:t>distinction between causal and nomic relationships is a rather subtle one, and in this chapter we will ignore it. (In Chapter 17, Sections 9.0–9.6, it is made clear why not all nomic dependencies are causal dependencies.)</w:t>
      </w:r>
    </w:p>
    <w:p w14:paraId="7E0016A9" w14:textId="77777777" w:rsidR="009A58DB" w:rsidRDefault="00000000">
      <w:pPr>
        <w:pStyle w:val="BodyText"/>
        <w:spacing w:before="3" w:line="249" w:lineRule="auto"/>
        <w:ind w:right="359" w:firstLine="360"/>
      </w:pPr>
      <w:r>
        <w:t xml:space="preserve">Causal relations are instances of </w:t>
      </w:r>
      <w:r>
        <w:rPr>
          <w:i/>
        </w:rPr>
        <w:t xml:space="preserve">natural laws. </w:t>
      </w:r>
      <w:r>
        <w:t>If x causes y, that is</w:t>
      </w:r>
      <w:r>
        <w:rPr>
          <w:spacing w:val="40"/>
        </w:rPr>
        <w:t xml:space="preserve"> </w:t>
      </w:r>
      <w:r>
        <w:t>because there is some law of nature to the effect that things that, in some relevant respect, resemble x always bring about things that, in some relevant respect, are like y.</w:t>
      </w:r>
    </w:p>
    <w:p w14:paraId="7E0016AA" w14:textId="77777777" w:rsidR="009A58DB" w:rsidRDefault="00000000">
      <w:pPr>
        <w:pStyle w:val="BodyText"/>
        <w:spacing w:before="5" w:line="249" w:lineRule="auto"/>
        <w:ind w:right="361" w:firstLine="360"/>
      </w:pPr>
      <w:r>
        <w:t xml:space="preserve">Causal relations typically involve </w:t>
      </w:r>
      <w:r>
        <w:rPr>
          <w:i/>
        </w:rPr>
        <w:t xml:space="preserve">sequences </w:t>
      </w:r>
      <w:r>
        <w:t>of events. But not all sequences of events are causal. When I bring my hands together quickly, a noise occurs—there is a clapping sound. That sequence of events is clearly causal in nature: the collision of my hands caused the sound to occur. But suppose that, just after</w:t>
      </w:r>
      <w:r>
        <w:rPr>
          <w:spacing w:val="-1"/>
        </w:rPr>
        <w:t xml:space="preserve"> </w:t>
      </w:r>
      <w:r>
        <w:t>I bring my hands together, one of</w:t>
      </w:r>
      <w:r>
        <w:rPr>
          <w:spacing w:val="-1"/>
        </w:rPr>
        <w:t xml:space="preserve"> </w:t>
      </w:r>
      <w:r>
        <w:t>you suddenly feels a tickle. That is not a causal sequence: it’s just a coincidence.</w:t>
      </w:r>
    </w:p>
    <w:p w14:paraId="7E0016AB" w14:textId="77777777" w:rsidR="009A58DB" w:rsidRDefault="00000000">
      <w:pPr>
        <w:pStyle w:val="BodyText"/>
        <w:spacing w:before="8" w:line="249" w:lineRule="auto"/>
        <w:ind w:right="358" w:firstLine="360"/>
      </w:pPr>
      <w:r>
        <w:t xml:space="preserve">The natural law of which a given causal sequence is an instance is known as the </w:t>
      </w:r>
      <w:r>
        <w:rPr>
          <w:i/>
        </w:rPr>
        <w:t xml:space="preserve">covering law </w:t>
      </w:r>
      <w:r>
        <w:t>for that sequence.</w:t>
      </w:r>
    </w:p>
    <w:p w14:paraId="7E0016AC" w14:textId="77777777" w:rsidR="009A58DB" w:rsidRDefault="00000000">
      <w:pPr>
        <w:pStyle w:val="BodyText"/>
        <w:spacing w:before="2" w:line="249" w:lineRule="auto"/>
        <w:ind w:right="359" w:firstLine="360"/>
      </w:pPr>
      <w:r>
        <w:t>To know a natural law is to know a fact about the spatiotemporal world. Natural laws are not in the same category as #: such laws are not of a strictly logical, philosophical, or mathematical nature. It is not possible to know of natural laws merely on the basis of conceptual analysis. Such knowledge can be acquired only through investigation of the spatiotemporal world. It is only through such investigation that one can know that the speed of light is 186,000 mph/second, that objects gain mass as they accelerate, that the force with which two bodies attract each other is proportional to their masses.</w:t>
      </w:r>
    </w:p>
    <w:p w14:paraId="7E0016AD" w14:textId="77777777" w:rsidR="009A58DB" w:rsidRDefault="00000000">
      <w:pPr>
        <w:pStyle w:val="BodyText"/>
        <w:spacing w:before="10" w:line="249" w:lineRule="auto"/>
        <w:ind w:right="361" w:firstLine="360"/>
      </w:pPr>
      <w:r>
        <w:t>Of course, some natural laws strike us as extremely obvious. We find it obvious</w:t>
      </w:r>
      <w:r>
        <w:rPr>
          <w:spacing w:val="-1"/>
        </w:rPr>
        <w:t xml:space="preserve"> </w:t>
      </w:r>
      <w:r>
        <w:t>that</w:t>
      </w:r>
      <w:r>
        <w:rPr>
          <w:spacing w:val="-1"/>
        </w:rPr>
        <w:t xml:space="preserve"> </w:t>
      </w:r>
      <w:r>
        <w:t>unsupported objects</w:t>
      </w:r>
      <w:r>
        <w:rPr>
          <w:spacing w:val="-1"/>
        </w:rPr>
        <w:t xml:space="preserve"> </w:t>
      </w:r>
      <w:r>
        <w:t>fall. But</w:t>
      </w:r>
      <w:r>
        <w:rPr>
          <w:spacing w:val="-1"/>
        </w:rPr>
        <w:t xml:space="preserve"> </w:t>
      </w:r>
      <w:r>
        <w:t>that is</w:t>
      </w:r>
      <w:r>
        <w:rPr>
          <w:spacing w:val="-1"/>
        </w:rPr>
        <w:t xml:space="preserve"> </w:t>
      </w:r>
      <w:r>
        <w:t>not because</w:t>
      </w:r>
      <w:r>
        <w:rPr>
          <w:spacing w:val="-1"/>
        </w:rPr>
        <w:t xml:space="preserve"> </w:t>
      </w:r>
      <w:r>
        <w:t>such knowledge is analytic; it is only because the relevant spatiotemporal knowledge constantly forces itself upon us.</w:t>
      </w:r>
    </w:p>
    <w:p w14:paraId="7E0016AE" w14:textId="77777777" w:rsidR="009A58DB" w:rsidRDefault="00000000">
      <w:pPr>
        <w:pStyle w:val="BodyText"/>
        <w:spacing w:before="5" w:line="249" w:lineRule="auto"/>
        <w:ind w:right="359" w:firstLine="360"/>
      </w:pPr>
      <w:r>
        <w:t xml:space="preserve">Even though knowledge of natural law is spatiotemporal knowledge, such knowledge tends to have a highly </w:t>
      </w:r>
      <w:r>
        <w:rPr>
          <w:i/>
        </w:rPr>
        <w:t xml:space="preserve">general </w:t>
      </w:r>
      <w:r>
        <w:t>character and is thus, in that respect, comparable to many cases of analytic knowledge (e.g., one’s knowledge of #). Knowledge of the laws of physics is very general knowledge.</w:t>
      </w:r>
      <w:r>
        <w:rPr>
          <w:spacing w:val="33"/>
        </w:rPr>
        <w:t xml:space="preserve"> </w:t>
      </w:r>
      <w:r>
        <w:t>To</w:t>
      </w:r>
      <w:r>
        <w:rPr>
          <w:spacing w:val="33"/>
        </w:rPr>
        <w:t xml:space="preserve"> </w:t>
      </w:r>
      <w:r>
        <w:t>know</w:t>
      </w:r>
      <w:r>
        <w:rPr>
          <w:spacing w:val="33"/>
        </w:rPr>
        <w:t xml:space="preserve"> </w:t>
      </w:r>
      <w:r>
        <w:t>such</w:t>
      </w:r>
      <w:r>
        <w:rPr>
          <w:spacing w:val="33"/>
        </w:rPr>
        <w:t xml:space="preserve"> </w:t>
      </w:r>
      <w:r>
        <w:t>laws</w:t>
      </w:r>
      <w:r>
        <w:rPr>
          <w:spacing w:val="33"/>
        </w:rPr>
        <w:t xml:space="preserve"> </w:t>
      </w:r>
      <w:r>
        <w:t>is</w:t>
      </w:r>
      <w:r>
        <w:rPr>
          <w:spacing w:val="33"/>
        </w:rPr>
        <w:t xml:space="preserve"> </w:t>
      </w:r>
      <w:r>
        <w:t>to</w:t>
      </w:r>
      <w:r>
        <w:rPr>
          <w:spacing w:val="33"/>
        </w:rPr>
        <w:t xml:space="preserve"> </w:t>
      </w:r>
      <w:r>
        <w:t>know</w:t>
      </w:r>
      <w:r>
        <w:rPr>
          <w:spacing w:val="33"/>
        </w:rPr>
        <w:t xml:space="preserve"> </w:t>
      </w:r>
      <w:r>
        <w:t>this</w:t>
      </w:r>
      <w:r>
        <w:rPr>
          <w:spacing w:val="33"/>
        </w:rPr>
        <w:t xml:space="preserve"> </w:t>
      </w:r>
      <w:r>
        <w:t>or</w:t>
      </w:r>
      <w:r>
        <w:rPr>
          <w:spacing w:val="33"/>
        </w:rPr>
        <w:t xml:space="preserve"> </w:t>
      </w:r>
      <w:r>
        <w:t>that</w:t>
      </w:r>
      <w:r>
        <w:rPr>
          <w:spacing w:val="33"/>
        </w:rPr>
        <w:t xml:space="preserve"> </w:t>
      </w:r>
      <w:r>
        <w:t>specific</w:t>
      </w:r>
      <w:r>
        <w:rPr>
          <w:spacing w:val="33"/>
        </w:rPr>
        <w:t xml:space="preserve"> </w:t>
      </w:r>
      <w:r>
        <w:t>fact,</w:t>
      </w:r>
      <w:r>
        <w:rPr>
          <w:spacing w:val="33"/>
        </w:rPr>
        <w:t xml:space="preserve"> </w:t>
      </w:r>
      <w:r>
        <w:t>and</w:t>
      </w:r>
      <w:r>
        <w:rPr>
          <w:spacing w:val="34"/>
        </w:rPr>
        <w:t xml:space="preserve"> </w:t>
      </w:r>
      <w:r>
        <w:rPr>
          <w:spacing w:val="-5"/>
        </w:rPr>
        <w:t>is</w:t>
      </w:r>
    </w:p>
    <w:p w14:paraId="7E0016A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B0" w14:textId="77777777" w:rsidR="009A58DB" w:rsidRDefault="00000000">
      <w:pPr>
        <w:pStyle w:val="BodyText"/>
        <w:spacing w:before="65"/>
      </w:pPr>
      <w:r>
        <w:lastRenderedPageBreak/>
        <w:t>instead</w:t>
      </w:r>
      <w:r>
        <w:rPr>
          <w:spacing w:val="-4"/>
        </w:rPr>
        <w:t xml:space="preserve"> </w:t>
      </w:r>
      <w:r>
        <w:t>to</w:t>
      </w:r>
      <w:r>
        <w:rPr>
          <w:spacing w:val="-2"/>
        </w:rPr>
        <w:t xml:space="preserve"> </w:t>
      </w:r>
      <w:r>
        <w:t>know</w:t>
      </w:r>
      <w:r>
        <w:rPr>
          <w:spacing w:val="-3"/>
        </w:rPr>
        <w:t xml:space="preserve"> </w:t>
      </w:r>
      <w:r>
        <w:t>a</w:t>
      </w:r>
      <w:r>
        <w:rPr>
          <w:spacing w:val="-2"/>
        </w:rPr>
        <w:t xml:space="preserve"> </w:t>
      </w:r>
      <w:r>
        <w:t>fact</w:t>
      </w:r>
      <w:r>
        <w:rPr>
          <w:spacing w:val="-3"/>
        </w:rPr>
        <w:t xml:space="preserve"> </w:t>
      </w:r>
      <w:r>
        <w:t>about</w:t>
      </w:r>
      <w:r>
        <w:rPr>
          <w:spacing w:val="-3"/>
        </w:rPr>
        <w:t xml:space="preserve"> </w:t>
      </w:r>
      <w:r>
        <w:t>how</w:t>
      </w:r>
      <w:r>
        <w:rPr>
          <w:spacing w:val="-3"/>
        </w:rPr>
        <w:t xml:space="preserve"> </w:t>
      </w:r>
      <w:r>
        <w:t>events</w:t>
      </w:r>
      <w:r>
        <w:rPr>
          <w:spacing w:val="-2"/>
        </w:rPr>
        <w:t xml:space="preserve"> </w:t>
      </w:r>
      <w:r>
        <w:rPr>
          <w:i/>
        </w:rPr>
        <w:t>in</w:t>
      </w:r>
      <w:r>
        <w:rPr>
          <w:i/>
          <w:spacing w:val="-2"/>
        </w:rPr>
        <w:t xml:space="preserve"> </w:t>
      </w:r>
      <w:r>
        <w:rPr>
          <w:i/>
        </w:rPr>
        <w:t>general</w:t>
      </w:r>
      <w:r>
        <w:rPr>
          <w:i/>
          <w:spacing w:val="-3"/>
        </w:rPr>
        <w:t xml:space="preserve"> </w:t>
      </w:r>
      <w:r>
        <w:t>are</w:t>
      </w:r>
      <w:r>
        <w:rPr>
          <w:spacing w:val="-2"/>
        </w:rPr>
        <w:t xml:space="preserve"> interrelated.</w:t>
      </w:r>
    </w:p>
    <w:p w14:paraId="7E0016B1" w14:textId="77777777" w:rsidR="009A58DB" w:rsidRDefault="00000000">
      <w:pPr>
        <w:pStyle w:val="BodyText"/>
        <w:spacing w:before="15" w:line="249" w:lineRule="auto"/>
        <w:ind w:right="364" w:firstLine="360"/>
      </w:pPr>
      <w:r>
        <w:t>But most spatiotemporal knowledge is highly specific. You know where you live; you know what toothpaste tastes like; you know where you parked your</w:t>
      </w:r>
      <w:r>
        <w:rPr>
          <w:spacing w:val="-4"/>
        </w:rPr>
        <w:t xml:space="preserve"> </w:t>
      </w:r>
      <w:r>
        <w:t>car;</w:t>
      </w:r>
      <w:r>
        <w:rPr>
          <w:spacing w:val="-4"/>
        </w:rPr>
        <w:t xml:space="preserve"> </w:t>
      </w:r>
      <w:r>
        <w:t>you</w:t>
      </w:r>
      <w:r>
        <w:rPr>
          <w:spacing w:val="-3"/>
        </w:rPr>
        <w:t xml:space="preserve"> </w:t>
      </w:r>
      <w:r>
        <w:t>know</w:t>
      </w:r>
      <w:r>
        <w:rPr>
          <w:spacing w:val="-4"/>
        </w:rPr>
        <w:t xml:space="preserve"> </w:t>
      </w:r>
      <w:r>
        <w:t>that</w:t>
      </w:r>
      <w:r>
        <w:rPr>
          <w:spacing w:val="-4"/>
        </w:rPr>
        <w:t xml:space="preserve"> </w:t>
      </w:r>
      <w:r>
        <w:t>Barack</w:t>
      </w:r>
      <w:r>
        <w:rPr>
          <w:spacing w:val="-3"/>
        </w:rPr>
        <w:t xml:space="preserve"> </w:t>
      </w:r>
      <w:r>
        <w:t>Obama</w:t>
      </w:r>
      <w:r>
        <w:rPr>
          <w:spacing w:val="-4"/>
        </w:rPr>
        <w:t xml:space="preserve"> </w:t>
      </w:r>
      <w:r>
        <w:t>is</w:t>
      </w:r>
      <w:r>
        <w:rPr>
          <w:spacing w:val="-4"/>
        </w:rPr>
        <w:t xml:space="preserve"> </w:t>
      </w:r>
      <w:r>
        <w:t>now</w:t>
      </w:r>
      <w:r>
        <w:rPr>
          <w:spacing w:val="-4"/>
        </w:rPr>
        <w:t xml:space="preserve"> </w:t>
      </w:r>
      <w:r>
        <w:t>the</w:t>
      </w:r>
      <w:r>
        <w:rPr>
          <w:spacing w:val="-4"/>
        </w:rPr>
        <w:t xml:space="preserve"> </w:t>
      </w:r>
      <w:r>
        <w:t>president.</w:t>
      </w:r>
      <w:r>
        <w:rPr>
          <w:spacing w:val="-3"/>
        </w:rPr>
        <w:t xml:space="preserve"> </w:t>
      </w:r>
      <w:r>
        <w:t>Such</w:t>
      </w:r>
      <w:r>
        <w:rPr>
          <w:spacing w:val="-3"/>
        </w:rPr>
        <w:t xml:space="preserve"> </w:t>
      </w:r>
      <w:r>
        <w:t>knowledge concerns</w:t>
      </w:r>
      <w:r>
        <w:rPr>
          <w:spacing w:val="-5"/>
        </w:rPr>
        <w:t xml:space="preserve"> </w:t>
      </w:r>
      <w:r>
        <w:t>matters</w:t>
      </w:r>
      <w:r>
        <w:rPr>
          <w:spacing w:val="-5"/>
        </w:rPr>
        <w:t xml:space="preserve"> </w:t>
      </w:r>
      <w:r>
        <w:t>of</w:t>
      </w:r>
      <w:r>
        <w:rPr>
          <w:spacing w:val="-5"/>
        </w:rPr>
        <w:t xml:space="preserve"> </w:t>
      </w:r>
      <w:r>
        <w:t>specific</w:t>
      </w:r>
      <w:r>
        <w:rPr>
          <w:spacing w:val="-5"/>
        </w:rPr>
        <w:t xml:space="preserve"> </w:t>
      </w:r>
      <w:r>
        <w:t>fact</w:t>
      </w:r>
      <w:r>
        <w:rPr>
          <w:spacing w:val="-5"/>
        </w:rPr>
        <w:t xml:space="preserve"> </w:t>
      </w:r>
      <w:r>
        <w:t>and</w:t>
      </w:r>
      <w:r>
        <w:rPr>
          <w:spacing w:val="-4"/>
        </w:rPr>
        <w:t xml:space="preserve"> </w:t>
      </w:r>
      <w:r>
        <w:t>not</w:t>
      </w:r>
      <w:r>
        <w:rPr>
          <w:spacing w:val="-5"/>
        </w:rPr>
        <w:t xml:space="preserve"> </w:t>
      </w:r>
      <w:r>
        <w:t>dependence-relations</w:t>
      </w:r>
      <w:r>
        <w:rPr>
          <w:spacing w:val="-5"/>
        </w:rPr>
        <w:t xml:space="preserve"> </w:t>
      </w:r>
      <w:r>
        <w:t>holding</w:t>
      </w:r>
      <w:r>
        <w:rPr>
          <w:spacing w:val="-4"/>
        </w:rPr>
        <w:t xml:space="preserve"> </w:t>
      </w:r>
      <w:r>
        <w:t>among facts in general.</w:t>
      </w:r>
    </w:p>
    <w:p w14:paraId="7E0016B2" w14:textId="77777777" w:rsidR="009A58DB" w:rsidRDefault="00000000">
      <w:pPr>
        <w:pStyle w:val="BodyText"/>
        <w:spacing w:before="6" w:line="249" w:lineRule="auto"/>
        <w:ind w:right="365" w:firstLine="360"/>
      </w:pPr>
      <w:r>
        <w:t>It must be emphasized, however, that even though knowledge of natural law is general and is, from that viewpoint, similar to knowledge of logical or philosophical principles, knowledge of natural law is synthetic, whereas knowledge of logico-philosophical truths is analytic.</w:t>
      </w:r>
    </w:p>
    <w:p w14:paraId="7E0016B3" w14:textId="77777777" w:rsidR="009A58DB" w:rsidRDefault="00000000">
      <w:pPr>
        <w:pStyle w:val="Heading1"/>
        <w:numPr>
          <w:ilvl w:val="0"/>
          <w:numId w:val="135"/>
        </w:numPr>
        <w:tabs>
          <w:tab w:val="left" w:pos="1140"/>
        </w:tabs>
        <w:spacing w:before="193" w:line="244" w:lineRule="auto"/>
        <w:ind w:right="366" w:firstLine="0"/>
      </w:pPr>
      <w:r>
        <w:t>Knowledge</w:t>
      </w:r>
      <w:r>
        <w:rPr>
          <w:spacing w:val="80"/>
          <w:w w:val="150"/>
        </w:rPr>
        <w:t xml:space="preserve"> </w:t>
      </w:r>
      <w:r>
        <w:t>of</w:t>
      </w:r>
      <w:r>
        <w:rPr>
          <w:spacing w:val="80"/>
          <w:w w:val="150"/>
        </w:rPr>
        <w:t xml:space="preserve"> </w:t>
      </w:r>
      <w:r>
        <w:t>the</w:t>
      </w:r>
      <w:r>
        <w:rPr>
          <w:spacing w:val="80"/>
          <w:w w:val="150"/>
        </w:rPr>
        <w:t xml:space="preserve"> </w:t>
      </w:r>
      <w:r>
        <w:t>future,</w:t>
      </w:r>
      <w:r>
        <w:rPr>
          <w:spacing w:val="80"/>
          <w:w w:val="150"/>
        </w:rPr>
        <w:t xml:space="preserve"> </w:t>
      </w:r>
      <w:r>
        <w:t>the</w:t>
      </w:r>
      <w:r>
        <w:rPr>
          <w:spacing w:val="80"/>
          <w:w w:val="150"/>
        </w:rPr>
        <w:t xml:space="preserve"> </w:t>
      </w:r>
      <w:r>
        <w:t>past,</w:t>
      </w:r>
      <w:r>
        <w:rPr>
          <w:spacing w:val="80"/>
          <w:w w:val="150"/>
        </w:rPr>
        <w:t xml:space="preserve"> </w:t>
      </w:r>
      <w:r>
        <w:t>and</w:t>
      </w:r>
      <w:r>
        <w:rPr>
          <w:spacing w:val="80"/>
          <w:w w:val="150"/>
        </w:rPr>
        <w:t xml:space="preserve"> </w:t>
      </w:r>
      <w:r>
        <w:t>the merely possible</w:t>
      </w:r>
    </w:p>
    <w:p w14:paraId="7E0016B4" w14:textId="77777777" w:rsidR="009A58DB" w:rsidRDefault="00000000">
      <w:pPr>
        <w:pStyle w:val="BodyText"/>
        <w:spacing w:before="131" w:line="249" w:lineRule="auto"/>
        <w:ind w:right="358"/>
      </w:pPr>
      <w:r>
        <w:t xml:space="preserve">Many future facts are not known and many future facts cannot </w:t>
      </w:r>
      <w:r>
        <w:rPr>
          <w:i/>
        </w:rPr>
        <w:t xml:space="preserve">possibly </w:t>
      </w:r>
      <w:r>
        <w:t xml:space="preserve">be known. But surely we are able to know at least </w:t>
      </w:r>
      <w:r>
        <w:rPr>
          <w:i/>
        </w:rPr>
        <w:t xml:space="preserve">some </w:t>
      </w:r>
      <w:r>
        <w:t>facts about the future.</w:t>
      </w:r>
    </w:p>
    <w:p w14:paraId="7E0016B5" w14:textId="77777777" w:rsidR="009A58DB" w:rsidRDefault="00000000">
      <w:pPr>
        <w:pStyle w:val="BodyText"/>
        <w:spacing w:before="3" w:line="249" w:lineRule="auto"/>
        <w:ind w:right="359" w:firstLine="360"/>
        <w:jc w:val="right"/>
      </w:pPr>
      <w:r>
        <w:t>One</w:t>
      </w:r>
      <w:r>
        <w:rPr>
          <w:spacing w:val="64"/>
          <w:w w:val="150"/>
        </w:rPr>
        <w:t xml:space="preserve"> </w:t>
      </w:r>
      <w:r>
        <w:t>can</w:t>
      </w:r>
      <w:r>
        <w:rPr>
          <w:spacing w:val="65"/>
          <w:w w:val="150"/>
        </w:rPr>
        <w:t xml:space="preserve"> </w:t>
      </w:r>
      <w:r>
        <w:t>know</w:t>
      </w:r>
      <w:r>
        <w:rPr>
          <w:spacing w:val="64"/>
          <w:w w:val="150"/>
        </w:rPr>
        <w:t xml:space="preserve"> </w:t>
      </w:r>
      <w:r>
        <w:t>about</w:t>
      </w:r>
      <w:r>
        <w:rPr>
          <w:spacing w:val="64"/>
          <w:w w:val="150"/>
        </w:rPr>
        <w:t xml:space="preserve"> </w:t>
      </w:r>
      <w:r>
        <w:t>the</w:t>
      </w:r>
      <w:r>
        <w:rPr>
          <w:spacing w:val="64"/>
          <w:w w:val="150"/>
        </w:rPr>
        <w:t xml:space="preserve"> </w:t>
      </w:r>
      <w:r>
        <w:t>future</w:t>
      </w:r>
      <w:r>
        <w:rPr>
          <w:spacing w:val="64"/>
          <w:w w:val="150"/>
        </w:rPr>
        <w:t xml:space="preserve"> </w:t>
      </w:r>
      <w:r>
        <w:t>because</w:t>
      </w:r>
      <w:r>
        <w:rPr>
          <w:spacing w:val="64"/>
          <w:w w:val="150"/>
        </w:rPr>
        <w:t xml:space="preserve"> </w:t>
      </w:r>
      <w:r>
        <w:t>(i)</w:t>
      </w:r>
      <w:r>
        <w:rPr>
          <w:spacing w:val="64"/>
          <w:w w:val="150"/>
        </w:rPr>
        <w:t xml:space="preserve"> </w:t>
      </w:r>
      <w:r>
        <w:t>on</w:t>
      </w:r>
      <w:r>
        <w:rPr>
          <w:spacing w:val="65"/>
          <w:w w:val="150"/>
        </w:rPr>
        <w:t xml:space="preserve"> </w:t>
      </w:r>
      <w:r>
        <w:t>the</w:t>
      </w:r>
      <w:r>
        <w:rPr>
          <w:spacing w:val="64"/>
          <w:w w:val="150"/>
        </w:rPr>
        <w:t xml:space="preserve"> </w:t>
      </w:r>
      <w:r>
        <w:t>basis</w:t>
      </w:r>
      <w:r>
        <w:rPr>
          <w:spacing w:val="64"/>
          <w:w w:val="150"/>
        </w:rPr>
        <w:t xml:space="preserve"> </w:t>
      </w:r>
      <w:r>
        <w:t>of</w:t>
      </w:r>
      <w:r>
        <w:rPr>
          <w:spacing w:val="64"/>
          <w:w w:val="150"/>
        </w:rPr>
        <w:t xml:space="preserve"> </w:t>
      </w:r>
      <w:r>
        <w:t>sense-perception,</w:t>
      </w:r>
      <w:r>
        <w:rPr>
          <w:spacing w:val="38"/>
        </w:rPr>
        <w:t xml:space="preserve"> </w:t>
      </w:r>
      <w:r>
        <w:t>one</w:t>
      </w:r>
      <w:r>
        <w:rPr>
          <w:spacing w:val="38"/>
        </w:rPr>
        <w:t xml:space="preserve"> </w:t>
      </w:r>
      <w:r>
        <w:t>can</w:t>
      </w:r>
      <w:r>
        <w:rPr>
          <w:spacing w:val="38"/>
        </w:rPr>
        <w:t xml:space="preserve"> </w:t>
      </w:r>
      <w:r>
        <w:t>know</w:t>
      </w:r>
      <w:r>
        <w:rPr>
          <w:spacing w:val="38"/>
        </w:rPr>
        <w:t xml:space="preserve"> </w:t>
      </w:r>
      <w:r>
        <w:t>about</w:t>
      </w:r>
      <w:r>
        <w:rPr>
          <w:spacing w:val="38"/>
        </w:rPr>
        <w:t xml:space="preserve"> </w:t>
      </w:r>
      <w:r>
        <w:t>the</w:t>
      </w:r>
      <w:r>
        <w:rPr>
          <w:spacing w:val="38"/>
        </w:rPr>
        <w:t xml:space="preserve"> </w:t>
      </w:r>
      <w:r>
        <w:t>present</w:t>
      </w:r>
      <w:r>
        <w:rPr>
          <w:spacing w:val="38"/>
        </w:rPr>
        <w:t xml:space="preserve"> </w:t>
      </w:r>
      <w:r>
        <w:t>and</w:t>
      </w:r>
      <w:r>
        <w:rPr>
          <w:spacing w:val="38"/>
        </w:rPr>
        <w:t xml:space="preserve"> </w:t>
      </w:r>
      <w:r>
        <w:t>(ii)</w:t>
      </w:r>
      <w:r>
        <w:rPr>
          <w:spacing w:val="38"/>
        </w:rPr>
        <w:t xml:space="preserve"> </w:t>
      </w:r>
      <w:r>
        <w:t>one</w:t>
      </w:r>
      <w:r>
        <w:rPr>
          <w:spacing w:val="38"/>
        </w:rPr>
        <w:t xml:space="preserve"> </w:t>
      </w:r>
      <w:r>
        <w:t>can</w:t>
      </w:r>
      <w:r>
        <w:rPr>
          <w:spacing w:val="38"/>
        </w:rPr>
        <w:t xml:space="preserve"> </w:t>
      </w:r>
      <w:r>
        <w:t>know</w:t>
      </w:r>
      <w:r>
        <w:rPr>
          <w:spacing w:val="38"/>
        </w:rPr>
        <w:t xml:space="preserve"> </w:t>
      </w:r>
      <w:r>
        <w:t>general principles, or causal laws, that link the present with the future. Right now I</w:t>
      </w:r>
      <w:r>
        <w:rPr>
          <w:spacing w:val="80"/>
          <w:w w:val="150"/>
        </w:rPr>
        <w:t xml:space="preserve"> </w:t>
      </w:r>
      <w:r>
        <w:t>know</w:t>
      </w:r>
      <w:r>
        <w:rPr>
          <w:spacing w:val="40"/>
        </w:rPr>
        <w:t xml:space="preserve"> </w:t>
      </w:r>
      <w:r>
        <w:t>that</w:t>
      </w:r>
      <w:r>
        <w:rPr>
          <w:spacing w:val="40"/>
        </w:rPr>
        <w:t xml:space="preserve"> </w:t>
      </w:r>
      <w:r>
        <w:t>there</w:t>
      </w:r>
      <w:r>
        <w:rPr>
          <w:spacing w:val="40"/>
        </w:rPr>
        <w:t xml:space="preserve"> </w:t>
      </w:r>
      <w:r>
        <w:t>is</w:t>
      </w:r>
      <w:r>
        <w:rPr>
          <w:spacing w:val="40"/>
        </w:rPr>
        <w:t xml:space="preserve"> </w:t>
      </w:r>
      <w:r>
        <w:t>water</w:t>
      </w:r>
      <w:r>
        <w:rPr>
          <w:spacing w:val="40"/>
        </w:rPr>
        <w:t xml:space="preserve"> </w:t>
      </w:r>
      <w:r>
        <w:t>in</w:t>
      </w:r>
      <w:r>
        <w:rPr>
          <w:spacing w:val="40"/>
        </w:rPr>
        <w:t xml:space="preserve"> </w:t>
      </w:r>
      <w:r>
        <w:t>the</w:t>
      </w:r>
      <w:r>
        <w:rPr>
          <w:spacing w:val="40"/>
        </w:rPr>
        <w:t xml:space="preserve"> </w:t>
      </w:r>
      <w:r>
        <w:t>pitcher</w:t>
      </w:r>
      <w:r>
        <w:rPr>
          <w:spacing w:val="40"/>
        </w:rPr>
        <w:t xml:space="preserve"> </w:t>
      </w:r>
      <w:r>
        <w:t>in</w:t>
      </w:r>
      <w:r>
        <w:rPr>
          <w:spacing w:val="40"/>
        </w:rPr>
        <w:t xml:space="preserve"> </w:t>
      </w:r>
      <w:r>
        <w:t>front</w:t>
      </w:r>
      <w:r>
        <w:rPr>
          <w:spacing w:val="40"/>
        </w:rPr>
        <w:t xml:space="preserve"> </w:t>
      </w:r>
      <w:r>
        <w:t>of</w:t>
      </w:r>
      <w:r>
        <w:rPr>
          <w:spacing w:val="40"/>
        </w:rPr>
        <w:t xml:space="preserve"> </w:t>
      </w:r>
      <w:r>
        <w:t>me.</w:t>
      </w:r>
      <w:r>
        <w:rPr>
          <w:spacing w:val="40"/>
        </w:rPr>
        <w:t xml:space="preserve"> </w:t>
      </w:r>
      <w:r>
        <w:t>I</w:t>
      </w:r>
      <w:r>
        <w:rPr>
          <w:spacing w:val="40"/>
        </w:rPr>
        <w:t xml:space="preserve"> </w:t>
      </w:r>
      <w:r>
        <w:t>also</w:t>
      </w:r>
      <w:r>
        <w:rPr>
          <w:spacing w:val="40"/>
        </w:rPr>
        <w:t xml:space="preserve"> </w:t>
      </w:r>
      <w:r>
        <w:t>know</w:t>
      </w:r>
      <w:r>
        <w:rPr>
          <w:spacing w:val="40"/>
        </w:rPr>
        <w:t xml:space="preserve"> </w:t>
      </w:r>
      <w:r>
        <w:t>of</w:t>
      </w:r>
      <w:r>
        <w:rPr>
          <w:spacing w:val="40"/>
        </w:rPr>
        <w:t xml:space="preserve"> </w:t>
      </w:r>
      <w:r>
        <w:t>the general</w:t>
      </w:r>
      <w:r>
        <w:rPr>
          <w:spacing w:val="40"/>
        </w:rPr>
        <w:t xml:space="preserve"> </w:t>
      </w:r>
      <w:r>
        <w:t>fact</w:t>
      </w:r>
      <w:r>
        <w:rPr>
          <w:spacing w:val="40"/>
        </w:rPr>
        <w:t xml:space="preserve"> </w:t>
      </w:r>
      <w:r>
        <w:t>that,</w:t>
      </w:r>
      <w:r>
        <w:rPr>
          <w:spacing w:val="40"/>
        </w:rPr>
        <w:t xml:space="preserve"> </w:t>
      </w:r>
      <w:r>
        <w:t>under</w:t>
      </w:r>
      <w:r>
        <w:rPr>
          <w:spacing w:val="40"/>
        </w:rPr>
        <w:t xml:space="preserve"> </w:t>
      </w:r>
      <w:r>
        <w:t>conditions</w:t>
      </w:r>
      <w:r>
        <w:rPr>
          <w:spacing w:val="40"/>
        </w:rPr>
        <w:t xml:space="preserve"> </w:t>
      </w:r>
      <w:r>
        <w:t>relevantly</w:t>
      </w:r>
      <w:r>
        <w:rPr>
          <w:spacing w:val="40"/>
        </w:rPr>
        <w:t xml:space="preserve"> </w:t>
      </w:r>
      <w:r>
        <w:t>like</w:t>
      </w:r>
      <w:r>
        <w:rPr>
          <w:spacing w:val="40"/>
        </w:rPr>
        <w:t xml:space="preserve"> </w:t>
      </w:r>
      <w:r>
        <w:t>those</w:t>
      </w:r>
      <w:r>
        <w:rPr>
          <w:spacing w:val="40"/>
        </w:rPr>
        <w:t xml:space="preserve"> </w:t>
      </w:r>
      <w:r>
        <w:t>that</w:t>
      </w:r>
      <w:r>
        <w:rPr>
          <w:spacing w:val="40"/>
        </w:rPr>
        <w:t xml:space="preserve"> </w:t>
      </w:r>
      <w:r>
        <w:t>obtain</w:t>
      </w:r>
      <w:r>
        <w:rPr>
          <w:spacing w:val="40"/>
        </w:rPr>
        <w:t xml:space="preserve"> </w:t>
      </w:r>
      <w:r>
        <w:t>in</w:t>
      </w:r>
      <w:r>
        <w:rPr>
          <w:spacing w:val="40"/>
        </w:rPr>
        <w:t xml:space="preserve"> </w:t>
      </w:r>
      <w:r>
        <w:t>my kitchen,</w:t>
      </w:r>
      <w:r>
        <w:rPr>
          <w:spacing w:val="80"/>
        </w:rPr>
        <w:t xml:space="preserve"> </w:t>
      </w:r>
      <w:r>
        <w:t>an</w:t>
      </w:r>
      <w:r>
        <w:rPr>
          <w:spacing w:val="80"/>
        </w:rPr>
        <w:t xml:space="preserve"> </w:t>
      </w:r>
      <w:r>
        <w:t>open,</w:t>
      </w:r>
      <w:r>
        <w:rPr>
          <w:spacing w:val="80"/>
        </w:rPr>
        <w:t xml:space="preserve"> </w:t>
      </w:r>
      <w:r>
        <w:t>overturned</w:t>
      </w:r>
      <w:r>
        <w:rPr>
          <w:spacing w:val="80"/>
        </w:rPr>
        <w:t xml:space="preserve"> </w:t>
      </w:r>
      <w:r>
        <w:t>pitcher</w:t>
      </w:r>
      <w:r>
        <w:rPr>
          <w:spacing w:val="80"/>
        </w:rPr>
        <w:t xml:space="preserve"> </w:t>
      </w:r>
      <w:r>
        <w:t>containing</w:t>
      </w:r>
      <w:r>
        <w:rPr>
          <w:spacing w:val="80"/>
        </w:rPr>
        <w:t xml:space="preserve"> </w:t>
      </w:r>
      <w:r>
        <w:t>non-viscous</w:t>
      </w:r>
      <w:r>
        <w:rPr>
          <w:spacing w:val="80"/>
        </w:rPr>
        <w:t xml:space="preserve"> </w:t>
      </w:r>
      <w:r>
        <w:t>liquid</w:t>
      </w:r>
      <w:r>
        <w:rPr>
          <w:spacing w:val="80"/>
        </w:rPr>
        <w:t xml:space="preserve"> </w:t>
      </w:r>
      <w:r>
        <w:t>will release that liquid. Further, I know that I have an intention to tip the pitcher, so as to fill the glass of water in front of me. On the basis of these pieces of</w:t>
      </w:r>
      <w:r>
        <w:rPr>
          <w:spacing w:val="80"/>
        </w:rPr>
        <w:t xml:space="preserve"> </w:t>
      </w:r>
      <w:r>
        <w:t>knowledge,</w:t>
      </w:r>
      <w:r>
        <w:rPr>
          <w:spacing w:val="-3"/>
        </w:rPr>
        <w:t xml:space="preserve"> </w:t>
      </w:r>
      <w:r>
        <w:t>I</w:t>
      </w:r>
      <w:r>
        <w:rPr>
          <w:spacing w:val="-3"/>
        </w:rPr>
        <w:t xml:space="preserve"> </w:t>
      </w:r>
      <w:r>
        <w:t>can</w:t>
      </w:r>
      <w:r>
        <w:rPr>
          <w:spacing w:val="-3"/>
        </w:rPr>
        <w:t xml:space="preserve"> </w:t>
      </w:r>
      <w:r>
        <w:t>obviously</w:t>
      </w:r>
      <w:r>
        <w:rPr>
          <w:spacing w:val="-3"/>
        </w:rPr>
        <w:t xml:space="preserve"> </w:t>
      </w:r>
      <w:r>
        <w:t>have</w:t>
      </w:r>
      <w:r>
        <w:rPr>
          <w:spacing w:val="-3"/>
        </w:rPr>
        <w:t xml:space="preserve"> </w:t>
      </w:r>
      <w:r>
        <w:t>a</w:t>
      </w:r>
      <w:r>
        <w:rPr>
          <w:spacing w:val="-3"/>
        </w:rPr>
        <w:t xml:space="preserve"> </w:t>
      </w:r>
      <w:r>
        <w:t>non-accidentally</w:t>
      </w:r>
      <w:r>
        <w:rPr>
          <w:spacing w:val="-3"/>
        </w:rPr>
        <w:t xml:space="preserve"> </w:t>
      </w:r>
      <w:r>
        <w:t>justified</w:t>
      </w:r>
      <w:r>
        <w:rPr>
          <w:spacing w:val="-3"/>
        </w:rPr>
        <w:t xml:space="preserve"> </w:t>
      </w:r>
      <w:r>
        <w:t>true</w:t>
      </w:r>
      <w:r>
        <w:rPr>
          <w:spacing w:val="-3"/>
        </w:rPr>
        <w:t xml:space="preserve"> </w:t>
      </w:r>
      <w:r>
        <w:t>belief</w:t>
      </w:r>
      <w:r>
        <w:rPr>
          <w:spacing w:val="-3"/>
        </w:rPr>
        <w:t xml:space="preserve"> </w:t>
      </w:r>
      <w:r>
        <w:t>to</w:t>
      </w:r>
      <w:r>
        <w:rPr>
          <w:spacing w:val="-3"/>
        </w:rPr>
        <w:t xml:space="preserve"> </w:t>
      </w:r>
      <w:r>
        <w:t>the effect</w:t>
      </w:r>
      <w:r>
        <w:rPr>
          <w:spacing w:val="-1"/>
        </w:rPr>
        <w:t xml:space="preserve"> </w:t>
      </w:r>
      <w:r>
        <w:t>that, in a</w:t>
      </w:r>
      <w:r>
        <w:rPr>
          <w:spacing w:val="-1"/>
        </w:rPr>
        <w:t xml:space="preserve"> </w:t>
      </w:r>
      <w:r>
        <w:t>moment, water</w:t>
      </w:r>
      <w:r>
        <w:rPr>
          <w:spacing w:val="-1"/>
        </w:rPr>
        <w:t xml:space="preserve"> </w:t>
      </w:r>
      <w:r>
        <w:t>will</w:t>
      </w:r>
      <w:r>
        <w:rPr>
          <w:spacing w:val="-1"/>
        </w:rPr>
        <w:t xml:space="preserve"> </w:t>
      </w:r>
      <w:r>
        <w:t>be</w:t>
      </w:r>
      <w:r>
        <w:rPr>
          <w:spacing w:val="-1"/>
        </w:rPr>
        <w:t xml:space="preserve"> </w:t>
      </w:r>
      <w:r>
        <w:t>flowing from</w:t>
      </w:r>
      <w:r>
        <w:rPr>
          <w:spacing w:val="-1"/>
        </w:rPr>
        <w:t xml:space="preserve"> </w:t>
      </w:r>
      <w:r>
        <w:t>the</w:t>
      </w:r>
      <w:r>
        <w:rPr>
          <w:spacing w:val="-1"/>
        </w:rPr>
        <w:t xml:space="preserve"> </w:t>
      </w:r>
      <w:r>
        <w:t>pitcher</w:t>
      </w:r>
      <w:r>
        <w:rPr>
          <w:spacing w:val="-1"/>
        </w:rPr>
        <w:t xml:space="preserve"> </w:t>
      </w:r>
      <w:r>
        <w:t>into the</w:t>
      </w:r>
      <w:r>
        <w:rPr>
          <w:spacing w:val="-1"/>
        </w:rPr>
        <w:t xml:space="preserve"> </w:t>
      </w:r>
      <w:r>
        <w:t>glass. Knowledge of the future always has two ingredients: first, knowledge of</w:t>
      </w:r>
      <w:r>
        <w:rPr>
          <w:spacing w:val="40"/>
        </w:rPr>
        <w:t xml:space="preserve"> </w:t>
      </w:r>
      <w:r>
        <w:t>present</w:t>
      </w:r>
      <w:r>
        <w:rPr>
          <w:spacing w:val="80"/>
        </w:rPr>
        <w:t xml:space="preserve"> </w:t>
      </w:r>
      <w:r>
        <w:t>conditions</w:t>
      </w:r>
      <w:r>
        <w:rPr>
          <w:spacing w:val="80"/>
        </w:rPr>
        <w:t xml:space="preserve"> </w:t>
      </w:r>
      <w:r>
        <w:t>and,</w:t>
      </w:r>
      <w:r>
        <w:rPr>
          <w:spacing w:val="80"/>
        </w:rPr>
        <w:t xml:space="preserve"> </w:t>
      </w:r>
      <w:r>
        <w:t>second,</w:t>
      </w:r>
      <w:r>
        <w:rPr>
          <w:spacing w:val="80"/>
        </w:rPr>
        <w:t xml:space="preserve"> </w:t>
      </w:r>
      <w:r>
        <w:t>knowledge</w:t>
      </w:r>
      <w:r>
        <w:rPr>
          <w:spacing w:val="80"/>
        </w:rPr>
        <w:t xml:space="preserve"> </w:t>
      </w:r>
      <w:r>
        <w:t>of</w:t>
      </w:r>
      <w:r>
        <w:rPr>
          <w:spacing w:val="80"/>
        </w:rPr>
        <w:t xml:space="preserve"> </w:t>
      </w:r>
      <w:r>
        <w:t>causal</w:t>
      </w:r>
      <w:r>
        <w:rPr>
          <w:spacing w:val="80"/>
        </w:rPr>
        <w:t xml:space="preserve"> </w:t>
      </w:r>
      <w:r>
        <w:t>laws</w:t>
      </w:r>
      <w:r>
        <w:rPr>
          <w:spacing w:val="80"/>
        </w:rPr>
        <w:t xml:space="preserve"> </w:t>
      </w:r>
      <w:r>
        <w:t>that,</w:t>
      </w:r>
      <w:r>
        <w:rPr>
          <w:spacing w:val="80"/>
        </w:rPr>
        <w:t xml:space="preserve"> </w:t>
      </w:r>
      <w:r>
        <w:t>given</w:t>
      </w:r>
      <w:r>
        <w:rPr>
          <w:spacing w:val="80"/>
          <w:w w:val="150"/>
        </w:rPr>
        <w:t xml:space="preserve"> </w:t>
      </w:r>
      <w:r>
        <w:t>circumstances</w:t>
      </w:r>
      <w:r>
        <w:rPr>
          <w:spacing w:val="40"/>
        </w:rPr>
        <w:t xml:space="preserve"> </w:t>
      </w:r>
      <w:r>
        <w:t>similar</w:t>
      </w:r>
      <w:r>
        <w:rPr>
          <w:spacing w:val="40"/>
        </w:rPr>
        <w:t xml:space="preserve"> </w:t>
      </w:r>
      <w:r>
        <w:t>to</w:t>
      </w:r>
      <w:r>
        <w:rPr>
          <w:spacing w:val="40"/>
        </w:rPr>
        <w:t xml:space="preserve"> </w:t>
      </w:r>
      <w:r>
        <w:t>those</w:t>
      </w:r>
      <w:r>
        <w:rPr>
          <w:spacing w:val="40"/>
        </w:rPr>
        <w:t xml:space="preserve"> </w:t>
      </w:r>
      <w:r>
        <w:t>known</w:t>
      </w:r>
      <w:r>
        <w:rPr>
          <w:spacing w:val="40"/>
        </w:rPr>
        <w:t xml:space="preserve"> </w:t>
      </w:r>
      <w:r>
        <w:t>to</w:t>
      </w:r>
      <w:r>
        <w:rPr>
          <w:spacing w:val="40"/>
        </w:rPr>
        <w:t xml:space="preserve"> </w:t>
      </w:r>
      <w:r>
        <w:t>obtain,</w:t>
      </w:r>
      <w:r>
        <w:rPr>
          <w:spacing w:val="40"/>
        </w:rPr>
        <w:t xml:space="preserve"> </w:t>
      </w:r>
      <w:r>
        <w:t>yield</w:t>
      </w:r>
      <w:r>
        <w:rPr>
          <w:spacing w:val="40"/>
        </w:rPr>
        <w:t xml:space="preserve"> </w:t>
      </w:r>
      <w:r>
        <w:t>certain</w:t>
      </w:r>
      <w:r>
        <w:rPr>
          <w:spacing w:val="40"/>
        </w:rPr>
        <w:t xml:space="preserve"> </w:t>
      </w:r>
      <w:r>
        <w:t>outcomes.</w:t>
      </w:r>
      <w:r>
        <w:rPr>
          <w:spacing w:val="40"/>
        </w:rPr>
        <w:t xml:space="preserve"> </w:t>
      </w:r>
      <w:r>
        <w:t>In some</w:t>
      </w:r>
      <w:r>
        <w:rPr>
          <w:spacing w:val="40"/>
        </w:rPr>
        <w:t xml:space="preserve"> </w:t>
      </w:r>
      <w:r>
        <w:t>cases,</w:t>
      </w:r>
      <w:r>
        <w:rPr>
          <w:spacing w:val="40"/>
        </w:rPr>
        <w:t xml:space="preserve"> </w:t>
      </w:r>
      <w:r>
        <w:t>the</w:t>
      </w:r>
      <w:r>
        <w:rPr>
          <w:spacing w:val="40"/>
        </w:rPr>
        <w:t xml:space="preserve"> </w:t>
      </w:r>
      <w:r>
        <w:t>causal</w:t>
      </w:r>
      <w:r>
        <w:rPr>
          <w:spacing w:val="40"/>
        </w:rPr>
        <w:t xml:space="preserve"> </w:t>
      </w:r>
      <w:r>
        <w:t>laws</w:t>
      </w:r>
      <w:r>
        <w:rPr>
          <w:spacing w:val="40"/>
        </w:rPr>
        <w:t xml:space="preserve"> </w:t>
      </w:r>
      <w:r>
        <w:t>in</w:t>
      </w:r>
      <w:r>
        <w:rPr>
          <w:spacing w:val="40"/>
        </w:rPr>
        <w:t xml:space="preserve"> </w:t>
      </w:r>
      <w:r>
        <w:t>question</w:t>
      </w:r>
      <w:r>
        <w:rPr>
          <w:spacing w:val="40"/>
        </w:rPr>
        <w:t xml:space="preserve"> </w:t>
      </w:r>
      <w:r>
        <w:t>are</w:t>
      </w:r>
      <w:r>
        <w:rPr>
          <w:spacing w:val="40"/>
        </w:rPr>
        <w:t xml:space="preserve"> </w:t>
      </w:r>
      <w:r>
        <w:t>of</w:t>
      </w:r>
      <w:r>
        <w:rPr>
          <w:spacing w:val="40"/>
        </w:rPr>
        <w:t xml:space="preserve"> </w:t>
      </w:r>
      <w:r>
        <w:t>a</w:t>
      </w:r>
      <w:r>
        <w:rPr>
          <w:spacing w:val="40"/>
        </w:rPr>
        <w:t xml:space="preserve"> </w:t>
      </w:r>
      <w:r>
        <w:t>relatively</w:t>
      </w:r>
      <w:r>
        <w:rPr>
          <w:spacing w:val="40"/>
        </w:rPr>
        <w:t xml:space="preserve"> </w:t>
      </w:r>
      <w:r>
        <w:t>non-theoretical character. This was the case in the example, given a moment ago, concerning the water in the pitcher. In other cases, knowledge of the future may have an extremely theoretical character. This would be the case when, on the basis of relativity</w:t>
      </w:r>
      <w:r>
        <w:rPr>
          <w:spacing w:val="40"/>
        </w:rPr>
        <w:t xml:space="preserve"> </w:t>
      </w:r>
      <w:r>
        <w:t>theory,</w:t>
      </w:r>
      <w:r>
        <w:rPr>
          <w:spacing w:val="40"/>
        </w:rPr>
        <w:t xml:space="preserve"> </w:t>
      </w:r>
      <w:r>
        <w:t>a</w:t>
      </w:r>
      <w:r>
        <w:rPr>
          <w:spacing w:val="40"/>
        </w:rPr>
        <w:t xml:space="preserve"> </w:t>
      </w:r>
      <w:r>
        <w:t>physicist</w:t>
      </w:r>
      <w:r>
        <w:rPr>
          <w:spacing w:val="40"/>
        </w:rPr>
        <w:t xml:space="preserve"> </w:t>
      </w:r>
      <w:r>
        <w:t>predicts</w:t>
      </w:r>
      <w:r>
        <w:rPr>
          <w:spacing w:val="40"/>
        </w:rPr>
        <w:t xml:space="preserve"> </w:t>
      </w:r>
      <w:r>
        <w:t>that</w:t>
      </w:r>
      <w:r>
        <w:rPr>
          <w:spacing w:val="40"/>
        </w:rPr>
        <w:t xml:space="preserve"> </w:t>
      </w:r>
      <w:r>
        <w:t>the</w:t>
      </w:r>
      <w:r>
        <w:rPr>
          <w:spacing w:val="40"/>
        </w:rPr>
        <w:t xml:space="preserve"> </w:t>
      </w:r>
      <w:r>
        <w:t>mass</w:t>
      </w:r>
      <w:r>
        <w:rPr>
          <w:spacing w:val="40"/>
        </w:rPr>
        <w:t xml:space="preserve"> </w:t>
      </w:r>
      <w:r>
        <w:t>of</w:t>
      </w:r>
      <w:r>
        <w:rPr>
          <w:spacing w:val="40"/>
        </w:rPr>
        <w:t xml:space="preserve"> </w:t>
      </w:r>
      <w:r>
        <w:t>a</w:t>
      </w:r>
      <w:r>
        <w:rPr>
          <w:spacing w:val="40"/>
        </w:rPr>
        <w:t xml:space="preserve"> </w:t>
      </w:r>
      <w:r>
        <w:t>certain</w:t>
      </w:r>
      <w:r>
        <w:rPr>
          <w:spacing w:val="40"/>
        </w:rPr>
        <w:t xml:space="preserve"> </w:t>
      </w:r>
      <w:r>
        <w:t>body</w:t>
      </w:r>
      <w:r>
        <w:rPr>
          <w:spacing w:val="40"/>
        </w:rPr>
        <w:t xml:space="preserve"> </w:t>
      </w:r>
      <w:r>
        <w:t>will increase</w:t>
      </w:r>
      <w:r>
        <w:rPr>
          <w:spacing w:val="14"/>
        </w:rPr>
        <w:t xml:space="preserve"> </w:t>
      </w:r>
      <w:r>
        <w:t>by</w:t>
      </w:r>
      <w:r>
        <w:rPr>
          <w:spacing w:val="16"/>
        </w:rPr>
        <w:t xml:space="preserve"> </w:t>
      </w:r>
      <w:r>
        <w:t>a</w:t>
      </w:r>
      <w:r>
        <w:rPr>
          <w:spacing w:val="16"/>
        </w:rPr>
        <w:t xml:space="preserve"> </w:t>
      </w:r>
      <w:r>
        <w:t>certain</w:t>
      </w:r>
      <w:r>
        <w:rPr>
          <w:spacing w:val="17"/>
        </w:rPr>
        <w:t xml:space="preserve"> </w:t>
      </w:r>
      <w:r>
        <w:t>amount,</w:t>
      </w:r>
      <w:r>
        <w:rPr>
          <w:spacing w:val="16"/>
        </w:rPr>
        <w:t xml:space="preserve"> </w:t>
      </w:r>
      <w:r>
        <w:t>by</w:t>
      </w:r>
      <w:r>
        <w:rPr>
          <w:spacing w:val="16"/>
        </w:rPr>
        <w:t xml:space="preserve"> </w:t>
      </w:r>
      <w:r>
        <w:t>a</w:t>
      </w:r>
      <w:r>
        <w:rPr>
          <w:spacing w:val="17"/>
        </w:rPr>
        <w:t xml:space="preserve"> </w:t>
      </w:r>
      <w:r>
        <w:t>certain</w:t>
      </w:r>
      <w:r>
        <w:rPr>
          <w:spacing w:val="16"/>
        </w:rPr>
        <w:t xml:space="preserve"> </w:t>
      </w:r>
      <w:r>
        <w:t>time.</w:t>
      </w:r>
      <w:r>
        <w:rPr>
          <w:spacing w:val="16"/>
        </w:rPr>
        <w:t xml:space="preserve"> </w:t>
      </w:r>
      <w:r>
        <w:t>But,</w:t>
      </w:r>
      <w:r>
        <w:rPr>
          <w:spacing w:val="17"/>
        </w:rPr>
        <w:t xml:space="preserve"> </w:t>
      </w:r>
      <w:r>
        <w:t>in</w:t>
      </w:r>
      <w:r>
        <w:rPr>
          <w:spacing w:val="16"/>
        </w:rPr>
        <w:t xml:space="preserve"> </w:t>
      </w:r>
      <w:r>
        <w:t>all</w:t>
      </w:r>
      <w:r>
        <w:rPr>
          <w:spacing w:val="16"/>
        </w:rPr>
        <w:t xml:space="preserve"> </w:t>
      </w:r>
      <w:r>
        <w:t>cases,</w:t>
      </w:r>
      <w:r>
        <w:rPr>
          <w:spacing w:val="17"/>
        </w:rPr>
        <w:t xml:space="preserve"> </w:t>
      </w:r>
      <w:r>
        <w:rPr>
          <w:spacing w:val="-2"/>
        </w:rPr>
        <w:t>knowledge</w:t>
      </w:r>
    </w:p>
    <w:p w14:paraId="7E0016B6" w14:textId="77777777" w:rsidR="009A58DB" w:rsidRDefault="009A58DB">
      <w:pPr>
        <w:pStyle w:val="BodyText"/>
        <w:spacing w:line="249" w:lineRule="auto"/>
        <w:jc w:val="right"/>
        <w:sectPr w:rsidR="009A58DB">
          <w:pgSz w:w="12240" w:h="15840"/>
          <w:pgMar w:top="1380" w:right="1080" w:bottom="280" w:left="1080" w:header="720" w:footer="720" w:gutter="0"/>
          <w:cols w:space="720"/>
        </w:sectPr>
      </w:pPr>
    </w:p>
    <w:p w14:paraId="7E0016B7" w14:textId="77777777" w:rsidR="009A58DB" w:rsidRDefault="00000000">
      <w:pPr>
        <w:pStyle w:val="BodyText"/>
        <w:spacing w:before="60" w:line="249" w:lineRule="auto"/>
        <w:ind w:right="366"/>
      </w:pPr>
      <w:r>
        <w:lastRenderedPageBreak/>
        <w:t>of the future is constituted by knowledge of causal law</w:t>
      </w:r>
      <w:bookmarkStart w:id="289" w:name="_bookmark289"/>
      <w:bookmarkEnd w:id="289"/>
      <w:r>
        <w:t>s</w:t>
      </w:r>
      <w:r>
        <w:rPr>
          <w:color w:val="0562C1"/>
          <w:position w:val="21"/>
          <w:u w:val="single" w:color="0562C1"/>
        </w:rPr>
        <w:t>[187]</w:t>
      </w:r>
      <w:r>
        <w:rPr>
          <w:color w:val="0562C1"/>
          <w:spacing w:val="-19"/>
          <w:position w:val="21"/>
        </w:rPr>
        <w:t xml:space="preserve"> </w:t>
      </w:r>
      <w:r>
        <w:t>that link known current states of affairs to future states of affairs.</w:t>
      </w:r>
    </w:p>
    <w:p w14:paraId="7E0016B8" w14:textId="77777777" w:rsidR="009A58DB" w:rsidRDefault="00000000">
      <w:pPr>
        <w:pStyle w:val="Heading1"/>
        <w:numPr>
          <w:ilvl w:val="1"/>
          <w:numId w:val="135"/>
        </w:numPr>
        <w:tabs>
          <w:tab w:val="left" w:pos="990"/>
        </w:tabs>
        <w:spacing w:before="195"/>
      </w:pPr>
      <w:r>
        <w:t>Knowledge</w:t>
      </w:r>
      <w:r>
        <w:rPr>
          <w:spacing w:val="-4"/>
        </w:rPr>
        <w:t xml:space="preserve"> </w:t>
      </w:r>
      <w:r>
        <w:t>of</w:t>
      </w:r>
      <w:r>
        <w:rPr>
          <w:spacing w:val="-4"/>
        </w:rPr>
        <w:t xml:space="preserve"> </w:t>
      </w:r>
      <w:r>
        <w:t>the</w:t>
      </w:r>
      <w:r>
        <w:rPr>
          <w:spacing w:val="-3"/>
        </w:rPr>
        <w:t xml:space="preserve"> </w:t>
      </w:r>
      <w:r>
        <w:rPr>
          <w:spacing w:val="-4"/>
        </w:rPr>
        <w:t>past</w:t>
      </w:r>
    </w:p>
    <w:p w14:paraId="7E0016B9" w14:textId="77777777" w:rsidR="009A58DB" w:rsidRDefault="00000000">
      <w:pPr>
        <w:pStyle w:val="BodyText"/>
        <w:spacing w:before="139" w:line="249" w:lineRule="auto"/>
        <w:ind w:right="358"/>
      </w:pPr>
      <w:r>
        <w:t xml:space="preserve">We can obviously have knowledge of the past. There are two forms that such knowledge takes. In some cases, knowledge of the past is </w:t>
      </w:r>
      <w:r>
        <w:rPr>
          <w:i/>
        </w:rPr>
        <w:t>direct:</w:t>
      </w:r>
      <w:r>
        <w:rPr>
          <w:i/>
          <w:spacing w:val="-4"/>
        </w:rPr>
        <w:t xml:space="preserve"> </w:t>
      </w:r>
      <w:r>
        <w:t xml:space="preserve">one actually </w:t>
      </w:r>
      <w:r>
        <w:rPr>
          <w:i/>
        </w:rPr>
        <w:t xml:space="preserve">remembers </w:t>
      </w:r>
      <w:r>
        <w:t xml:space="preserve">the fact in question. I remember driving to work yesterday. My knowledge of this fact doesn’t involve inferences made on the basis of causal </w:t>
      </w:r>
      <w:r>
        <w:rPr>
          <w:spacing w:val="-2"/>
        </w:rPr>
        <w:t>laws.</w:t>
      </w:r>
    </w:p>
    <w:p w14:paraId="7E0016BA" w14:textId="77777777" w:rsidR="009A58DB" w:rsidRDefault="00000000">
      <w:pPr>
        <w:pStyle w:val="BodyText"/>
        <w:spacing w:before="6" w:line="249" w:lineRule="auto"/>
        <w:ind w:right="359" w:firstLine="360"/>
      </w:pPr>
      <w:r>
        <w:t xml:space="preserve">But in other cases one’s knowledge of the past </w:t>
      </w:r>
      <w:r>
        <w:rPr>
          <w:i/>
        </w:rPr>
        <w:t xml:space="preserve">is </w:t>
      </w:r>
      <w:r>
        <w:t xml:space="preserve">indirect, and all such knowledge </w:t>
      </w:r>
      <w:r>
        <w:rPr>
          <w:i/>
        </w:rPr>
        <w:t xml:space="preserve">does </w:t>
      </w:r>
      <w:r>
        <w:t xml:space="preserve">involve some knowledge of some kind of causal law. We know facts about the political institutions of ancient Rome. We obviously don’t remember such facts, since we didn’t personally experience them. So how do we know them? We have knowledge of certain current facts (e.g., certain currently existing records and ruins); and we </w:t>
      </w:r>
      <w:r>
        <w:rPr>
          <w:i/>
        </w:rPr>
        <w:t xml:space="preserve">also </w:t>
      </w:r>
      <w:r>
        <w:t>have knowledge of causal principles on the basis of which, given our knowledge of those current facts, inferences concerning the past—specifically, concerning what went on in Rome thousands of years ago—can be made.</w:t>
      </w:r>
    </w:p>
    <w:p w14:paraId="7E0016BB" w14:textId="77777777" w:rsidR="009A58DB" w:rsidRDefault="00000000">
      <w:pPr>
        <w:pStyle w:val="BodyText"/>
        <w:spacing w:before="11" w:line="249" w:lineRule="auto"/>
        <w:ind w:right="358" w:firstLine="360"/>
      </w:pPr>
      <w:r>
        <w:t>Here’s</w:t>
      </w:r>
      <w:r>
        <w:rPr>
          <w:spacing w:val="-3"/>
        </w:rPr>
        <w:t xml:space="preserve"> </w:t>
      </w:r>
      <w:r>
        <w:t>a</w:t>
      </w:r>
      <w:r>
        <w:rPr>
          <w:spacing w:val="-3"/>
        </w:rPr>
        <w:t xml:space="preserve"> </w:t>
      </w:r>
      <w:r>
        <w:t>simple</w:t>
      </w:r>
      <w:r>
        <w:rPr>
          <w:spacing w:val="-3"/>
        </w:rPr>
        <w:t xml:space="preserve"> </w:t>
      </w:r>
      <w:r>
        <w:t>example</w:t>
      </w:r>
      <w:r>
        <w:rPr>
          <w:spacing w:val="-3"/>
        </w:rPr>
        <w:t xml:space="preserve"> </w:t>
      </w:r>
      <w:r>
        <w:t>of</w:t>
      </w:r>
      <w:r>
        <w:rPr>
          <w:spacing w:val="-3"/>
        </w:rPr>
        <w:t xml:space="preserve"> </w:t>
      </w:r>
      <w:r>
        <w:t>the</w:t>
      </w:r>
      <w:r>
        <w:rPr>
          <w:spacing w:val="-3"/>
        </w:rPr>
        <w:t xml:space="preserve"> </w:t>
      </w:r>
      <w:r>
        <w:t>principle</w:t>
      </w:r>
      <w:r>
        <w:rPr>
          <w:spacing w:val="-3"/>
        </w:rPr>
        <w:t xml:space="preserve"> </w:t>
      </w:r>
      <w:r>
        <w:t>in</w:t>
      </w:r>
      <w:r>
        <w:rPr>
          <w:spacing w:val="-3"/>
        </w:rPr>
        <w:t xml:space="preserve"> </w:t>
      </w:r>
      <w:r>
        <w:t>question.</w:t>
      </w:r>
      <w:r>
        <w:rPr>
          <w:spacing w:val="-3"/>
        </w:rPr>
        <w:t xml:space="preserve"> </w:t>
      </w:r>
      <w:r>
        <w:t>You</w:t>
      </w:r>
      <w:r>
        <w:rPr>
          <w:spacing w:val="-3"/>
        </w:rPr>
        <w:t xml:space="preserve"> </w:t>
      </w:r>
      <w:r>
        <w:t>know</w:t>
      </w:r>
      <w:r>
        <w:rPr>
          <w:spacing w:val="-3"/>
        </w:rPr>
        <w:t xml:space="preserve"> </w:t>
      </w:r>
      <w:r>
        <w:t>that</w:t>
      </w:r>
      <w:r>
        <w:rPr>
          <w:spacing w:val="-3"/>
        </w:rPr>
        <w:t xml:space="preserve"> </w:t>
      </w:r>
      <w:r>
        <w:t>if</w:t>
      </w:r>
      <w:r>
        <w:rPr>
          <w:spacing w:val="-3"/>
        </w:rPr>
        <w:t xml:space="preserve"> </w:t>
      </w:r>
      <w:r>
        <w:t>you press an ink-filled pen against paper, inky lines will be deposited on the paper. (You also know, so let us suppose, that such lines are not likely to be deposited on paper in any other way.) This is knowledge of a causal</w:t>
      </w:r>
      <w:r>
        <w:rPr>
          <w:spacing w:val="40"/>
        </w:rPr>
        <w:t xml:space="preserve"> </w:t>
      </w:r>
      <w:r>
        <w:t xml:space="preserve">principle. On the basis of your knowledge of this principle, plus your knowledge of current conditions, you can acquire </w:t>
      </w:r>
      <w:r>
        <w:rPr>
          <w:i/>
        </w:rPr>
        <w:t xml:space="preserve">either </w:t>
      </w:r>
      <w:r>
        <w:t xml:space="preserve">knowledge of the future </w:t>
      </w:r>
      <w:r>
        <w:rPr>
          <w:i/>
        </w:rPr>
        <w:t xml:space="preserve">or </w:t>
      </w:r>
      <w:r>
        <w:t>knowledge of the past. If you see that Smith is about to press his</w:t>
      </w:r>
      <w:r>
        <w:rPr>
          <w:spacing w:val="40"/>
        </w:rPr>
        <w:t xml:space="preserve"> </w:t>
      </w:r>
      <w:r>
        <w:t>pen against the paper in his notebook, you know a fact about the future—you know that inky lines will soon result. On the other hand, if you see inky lines that were clearly made by a person, you know a fact about the past—you know that somebody dragged a pen across a certain piece of paper. Our knowledge of past events that we don’t personally remember (e.g., facts</w:t>
      </w:r>
      <w:r>
        <w:rPr>
          <w:spacing w:val="40"/>
        </w:rPr>
        <w:t xml:space="preserve"> </w:t>
      </w:r>
      <w:r>
        <w:t>about ancient Rome) falls into this second category.</w:t>
      </w:r>
    </w:p>
    <w:p w14:paraId="7E0016BC" w14:textId="77777777" w:rsidR="009A58DB" w:rsidRDefault="00000000">
      <w:pPr>
        <w:pStyle w:val="BodyText"/>
        <w:spacing w:before="16" w:line="249" w:lineRule="auto"/>
        <w:ind w:right="357" w:firstLine="360"/>
      </w:pPr>
      <w:r>
        <w:t>When it is indirect, knowledge of the past has a structure that is similar to knowledge of the future. More specifically, past knowledge can be thought of as</w:t>
      </w:r>
      <w:r>
        <w:rPr>
          <w:spacing w:val="-4"/>
        </w:rPr>
        <w:t xml:space="preserve"> </w:t>
      </w:r>
      <w:r>
        <w:rPr>
          <w:i/>
        </w:rPr>
        <w:t>inverted</w:t>
      </w:r>
      <w:r>
        <w:rPr>
          <w:i/>
          <w:spacing w:val="-3"/>
        </w:rPr>
        <w:t xml:space="preserve"> </w:t>
      </w:r>
      <w:r>
        <w:t>future knowledge. We know the future when, using known causal laws,</w:t>
      </w:r>
      <w:r>
        <w:rPr>
          <w:spacing w:val="19"/>
        </w:rPr>
        <w:t xml:space="preserve"> </w:t>
      </w:r>
      <w:r>
        <w:t>we</w:t>
      </w:r>
      <w:r>
        <w:rPr>
          <w:spacing w:val="21"/>
        </w:rPr>
        <w:t xml:space="preserve"> </w:t>
      </w:r>
      <w:r>
        <w:t>project</w:t>
      </w:r>
      <w:r>
        <w:rPr>
          <w:spacing w:val="22"/>
        </w:rPr>
        <w:t xml:space="preserve"> </w:t>
      </w:r>
      <w:r>
        <w:t>forward</w:t>
      </w:r>
      <w:r>
        <w:rPr>
          <w:spacing w:val="21"/>
        </w:rPr>
        <w:t xml:space="preserve"> </w:t>
      </w:r>
      <w:r>
        <w:t>from</w:t>
      </w:r>
      <w:r>
        <w:rPr>
          <w:spacing w:val="22"/>
        </w:rPr>
        <w:t xml:space="preserve"> </w:t>
      </w:r>
      <w:r>
        <w:t>known</w:t>
      </w:r>
      <w:r>
        <w:rPr>
          <w:spacing w:val="21"/>
        </w:rPr>
        <w:t xml:space="preserve"> </w:t>
      </w:r>
      <w:r>
        <w:t>current</w:t>
      </w:r>
      <w:r>
        <w:rPr>
          <w:spacing w:val="22"/>
        </w:rPr>
        <w:t xml:space="preserve"> </w:t>
      </w:r>
      <w:r>
        <w:t>conditions.</w:t>
      </w:r>
      <w:r>
        <w:rPr>
          <w:spacing w:val="21"/>
        </w:rPr>
        <w:t xml:space="preserve"> </w:t>
      </w:r>
      <w:r>
        <w:t>We</w:t>
      </w:r>
      <w:r>
        <w:rPr>
          <w:spacing w:val="22"/>
        </w:rPr>
        <w:t xml:space="preserve"> </w:t>
      </w:r>
      <w:r>
        <w:t>know</w:t>
      </w:r>
      <w:r>
        <w:rPr>
          <w:spacing w:val="21"/>
        </w:rPr>
        <w:t xml:space="preserve"> </w:t>
      </w:r>
      <w:r>
        <w:t>the</w:t>
      </w:r>
      <w:r>
        <w:rPr>
          <w:spacing w:val="22"/>
        </w:rPr>
        <w:t xml:space="preserve"> </w:t>
      </w:r>
      <w:r>
        <w:rPr>
          <w:spacing w:val="-4"/>
        </w:rPr>
        <w:t>past</w:t>
      </w:r>
    </w:p>
    <w:p w14:paraId="7E0016B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BE" w14:textId="77777777" w:rsidR="009A58DB" w:rsidRDefault="00000000">
      <w:pPr>
        <w:pStyle w:val="BodyText"/>
        <w:spacing w:before="60"/>
        <w:jc w:val="left"/>
      </w:pPr>
      <w:r>
        <w:lastRenderedPageBreak/>
        <w:t>when,</w:t>
      </w:r>
      <w:r>
        <w:rPr>
          <w:spacing w:val="-5"/>
        </w:rPr>
        <w:t xml:space="preserve"> </w:t>
      </w:r>
      <w:r>
        <w:t>using</w:t>
      </w:r>
      <w:r>
        <w:rPr>
          <w:spacing w:val="-3"/>
        </w:rPr>
        <w:t xml:space="preserve"> </w:t>
      </w:r>
      <w:r>
        <w:t>known</w:t>
      </w:r>
      <w:r>
        <w:rPr>
          <w:spacing w:val="-3"/>
        </w:rPr>
        <w:t xml:space="preserve"> </w:t>
      </w:r>
      <w:r>
        <w:t>causal</w:t>
      </w:r>
      <w:r>
        <w:rPr>
          <w:spacing w:val="-3"/>
        </w:rPr>
        <w:t xml:space="preserve"> </w:t>
      </w:r>
      <w:r>
        <w:t>laws,</w:t>
      </w:r>
      <w:r>
        <w:rPr>
          <w:spacing w:val="-3"/>
        </w:rPr>
        <w:t xml:space="preserve"> </w:t>
      </w:r>
      <w:r>
        <w:t>we</w:t>
      </w:r>
      <w:r>
        <w:rPr>
          <w:spacing w:val="-4"/>
        </w:rPr>
        <w:t xml:space="preserve"> </w:t>
      </w:r>
      <w:r>
        <w:t>project</w:t>
      </w:r>
      <w:r>
        <w:rPr>
          <w:spacing w:val="-3"/>
        </w:rPr>
        <w:t xml:space="preserve"> </w:t>
      </w:r>
      <w:r>
        <w:t>backwards</w:t>
      </w:r>
      <w:r>
        <w:rPr>
          <w:spacing w:val="-4"/>
        </w:rPr>
        <w:t xml:space="preserve"> </w:t>
      </w:r>
      <w:r>
        <w:t>from</w:t>
      </w:r>
      <w:r>
        <w:rPr>
          <w:spacing w:val="-4"/>
        </w:rPr>
        <w:t xml:space="preserve"> </w:t>
      </w:r>
      <w:r>
        <w:t>such</w:t>
      </w:r>
      <w:r>
        <w:rPr>
          <w:spacing w:val="-2"/>
        </w:rPr>
        <w:t xml:space="preserve"> conditions.</w:t>
      </w:r>
    </w:p>
    <w:p w14:paraId="7E0016BF" w14:textId="77777777" w:rsidR="009A58DB" w:rsidRDefault="00000000">
      <w:pPr>
        <w:pStyle w:val="Heading1"/>
        <w:numPr>
          <w:ilvl w:val="1"/>
          <w:numId w:val="135"/>
        </w:numPr>
        <w:tabs>
          <w:tab w:val="left" w:pos="990"/>
        </w:tabs>
        <w:spacing w:before="208"/>
      </w:pPr>
      <w:r>
        <w:t>Counterfactual</w:t>
      </w:r>
      <w:r>
        <w:rPr>
          <w:spacing w:val="-11"/>
        </w:rPr>
        <w:t xml:space="preserve"> </w:t>
      </w:r>
      <w:r>
        <w:rPr>
          <w:spacing w:val="-2"/>
        </w:rPr>
        <w:t>knowledge</w:t>
      </w:r>
    </w:p>
    <w:p w14:paraId="7E0016C0" w14:textId="77777777" w:rsidR="009A58DB" w:rsidRDefault="00000000">
      <w:pPr>
        <w:pStyle w:val="BodyText"/>
        <w:spacing w:before="139" w:line="249" w:lineRule="auto"/>
        <w:ind w:right="361"/>
      </w:pPr>
      <w:r>
        <w:t xml:space="preserve">We can have knowledge of what </w:t>
      </w:r>
      <w:r>
        <w:rPr>
          <w:i/>
        </w:rPr>
        <w:t xml:space="preserve">would have been. </w:t>
      </w:r>
      <w:r>
        <w:t>Even though Smith did</w:t>
      </w:r>
      <w:r>
        <w:rPr>
          <w:spacing w:val="40"/>
        </w:rPr>
        <w:t xml:space="preserve"> </w:t>
      </w:r>
      <w:r>
        <w:t>not in fact fall off the ledge, I know that:</w:t>
      </w:r>
    </w:p>
    <w:p w14:paraId="7E0016C1" w14:textId="77777777" w:rsidR="009A58DB" w:rsidRDefault="009A58DB">
      <w:pPr>
        <w:pStyle w:val="BodyText"/>
        <w:spacing w:before="17"/>
        <w:ind w:left="0"/>
        <w:jc w:val="left"/>
      </w:pPr>
    </w:p>
    <w:p w14:paraId="7E0016C2" w14:textId="77777777" w:rsidR="009A58DB" w:rsidRDefault="00000000">
      <w:pPr>
        <w:pStyle w:val="BodyText"/>
        <w:spacing w:line="249" w:lineRule="auto"/>
        <w:jc w:val="left"/>
      </w:pPr>
      <w:r>
        <w:t>(S)</w:t>
      </w:r>
      <w:r>
        <w:rPr>
          <w:spacing w:val="40"/>
        </w:rPr>
        <w:t xml:space="preserve"> </w:t>
      </w:r>
      <w:r>
        <w:rPr>
          <w:i/>
        </w:rPr>
        <w:t>if</w:t>
      </w:r>
      <w:r>
        <w:rPr>
          <w:i/>
          <w:spacing w:val="40"/>
        </w:rPr>
        <w:t xml:space="preserve"> </w:t>
      </w:r>
      <w:r>
        <w:t>Smith</w:t>
      </w:r>
      <w:r>
        <w:rPr>
          <w:spacing w:val="40"/>
        </w:rPr>
        <w:t xml:space="preserve"> </w:t>
      </w:r>
      <w:r>
        <w:t>had</w:t>
      </w:r>
      <w:r>
        <w:rPr>
          <w:spacing w:val="40"/>
        </w:rPr>
        <w:t xml:space="preserve"> </w:t>
      </w:r>
      <w:r>
        <w:t>fallen</w:t>
      </w:r>
      <w:r>
        <w:rPr>
          <w:spacing w:val="40"/>
        </w:rPr>
        <w:t xml:space="preserve"> </w:t>
      </w:r>
      <w:r>
        <w:t>off</w:t>
      </w:r>
      <w:r>
        <w:rPr>
          <w:spacing w:val="40"/>
        </w:rPr>
        <w:t xml:space="preserve"> </w:t>
      </w:r>
      <w:r>
        <w:t>the</w:t>
      </w:r>
      <w:r>
        <w:rPr>
          <w:spacing w:val="40"/>
        </w:rPr>
        <w:t xml:space="preserve"> </w:t>
      </w:r>
      <w:r>
        <w:t>ledge,</w:t>
      </w:r>
      <w:r>
        <w:rPr>
          <w:spacing w:val="40"/>
        </w:rPr>
        <w:t xml:space="preserve"> </w:t>
      </w:r>
      <w:r>
        <w:t>he</w:t>
      </w:r>
      <w:r>
        <w:rPr>
          <w:spacing w:val="40"/>
        </w:rPr>
        <w:t xml:space="preserve"> </w:t>
      </w:r>
      <w:r>
        <w:t>would</w:t>
      </w:r>
      <w:r>
        <w:rPr>
          <w:spacing w:val="40"/>
        </w:rPr>
        <w:t xml:space="preserve"> </w:t>
      </w:r>
      <w:r>
        <w:t>now</w:t>
      </w:r>
      <w:r>
        <w:rPr>
          <w:spacing w:val="40"/>
        </w:rPr>
        <w:t xml:space="preserve"> </w:t>
      </w:r>
      <w:r>
        <w:t>be</w:t>
      </w:r>
      <w:r>
        <w:rPr>
          <w:spacing w:val="40"/>
        </w:rPr>
        <w:t xml:space="preserve"> </w:t>
      </w:r>
      <w:r>
        <w:t>dead</w:t>
      </w:r>
      <w:r>
        <w:rPr>
          <w:spacing w:val="40"/>
        </w:rPr>
        <w:t xml:space="preserve"> </w:t>
      </w:r>
      <w:r>
        <w:t>or</w:t>
      </w:r>
      <w:r>
        <w:rPr>
          <w:spacing w:val="40"/>
        </w:rPr>
        <w:t xml:space="preserve"> </w:t>
      </w:r>
      <w:r>
        <w:t>severely</w:t>
      </w:r>
      <w:r>
        <w:rPr>
          <w:spacing w:val="40"/>
        </w:rPr>
        <w:t xml:space="preserve"> </w:t>
      </w:r>
      <w:r>
        <w:rPr>
          <w:spacing w:val="-2"/>
        </w:rPr>
        <w:t>injured.</w:t>
      </w:r>
    </w:p>
    <w:p w14:paraId="7E0016C3" w14:textId="77777777" w:rsidR="009A58DB" w:rsidRDefault="009A58DB">
      <w:pPr>
        <w:pStyle w:val="BodyText"/>
        <w:spacing w:before="17"/>
        <w:ind w:left="0"/>
        <w:jc w:val="left"/>
      </w:pPr>
    </w:p>
    <w:p w14:paraId="7E0016C4" w14:textId="77777777" w:rsidR="009A58DB" w:rsidRDefault="00000000">
      <w:pPr>
        <w:spacing w:before="1" w:line="249" w:lineRule="auto"/>
        <w:ind w:left="360" w:right="369" w:firstLine="360"/>
        <w:jc w:val="both"/>
        <w:rPr>
          <w:sz w:val="30"/>
        </w:rPr>
      </w:pPr>
      <w:r>
        <w:rPr>
          <w:sz w:val="30"/>
        </w:rPr>
        <w:t>Propositions</w:t>
      </w:r>
      <w:r>
        <w:rPr>
          <w:spacing w:val="-2"/>
          <w:sz w:val="30"/>
        </w:rPr>
        <w:t xml:space="preserve"> </w:t>
      </w:r>
      <w:r>
        <w:rPr>
          <w:sz w:val="30"/>
        </w:rPr>
        <w:t>like</w:t>
      </w:r>
      <w:r>
        <w:rPr>
          <w:spacing w:val="-1"/>
          <w:sz w:val="30"/>
        </w:rPr>
        <w:t xml:space="preserve"> </w:t>
      </w:r>
      <w:r>
        <w:rPr>
          <w:sz w:val="30"/>
        </w:rPr>
        <w:t>S</w:t>
      </w:r>
      <w:r>
        <w:rPr>
          <w:spacing w:val="-2"/>
          <w:sz w:val="30"/>
        </w:rPr>
        <w:t xml:space="preserve"> </w:t>
      </w:r>
      <w:r>
        <w:rPr>
          <w:sz w:val="30"/>
        </w:rPr>
        <w:t>are</w:t>
      </w:r>
      <w:r>
        <w:rPr>
          <w:spacing w:val="-1"/>
          <w:sz w:val="30"/>
        </w:rPr>
        <w:t xml:space="preserve"> </w:t>
      </w:r>
      <w:r>
        <w:rPr>
          <w:sz w:val="30"/>
        </w:rPr>
        <w:t>called</w:t>
      </w:r>
      <w:r>
        <w:rPr>
          <w:spacing w:val="-1"/>
          <w:sz w:val="30"/>
        </w:rPr>
        <w:t xml:space="preserve"> </w:t>
      </w:r>
      <w:r>
        <w:rPr>
          <w:i/>
          <w:sz w:val="30"/>
        </w:rPr>
        <w:t xml:space="preserve">counterfactuals . </w:t>
      </w:r>
      <w:r>
        <w:rPr>
          <w:sz w:val="30"/>
        </w:rPr>
        <w:t xml:space="preserve">In general, a counterfactual statement is one of the form </w:t>
      </w:r>
      <w:r>
        <w:rPr>
          <w:i/>
          <w:sz w:val="30"/>
        </w:rPr>
        <w:t xml:space="preserve">if P, then Q, </w:t>
      </w:r>
      <w:r>
        <w:rPr>
          <w:sz w:val="30"/>
        </w:rPr>
        <w:t>where it is assumed that P is false.</w:t>
      </w:r>
    </w:p>
    <w:p w14:paraId="7E0016C5" w14:textId="77777777" w:rsidR="009A58DB" w:rsidRDefault="00000000">
      <w:pPr>
        <w:pStyle w:val="BodyText"/>
        <w:spacing w:before="2" w:line="249" w:lineRule="auto"/>
        <w:ind w:right="361" w:firstLine="360"/>
      </w:pPr>
      <w:r>
        <w:t>Knowledge of counterfactuals is identical with knowledge of relations of either logical or causal dependence. To know S is to know of some causal</w:t>
      </w:r>
      <w:r>
        <w:rPr>
          <w:spacing w:val="40"/>
        </w:rPr>
        <w:t xml:space="preserve"> </w:t>
      </w:r>
      <w:r>
        <w:t>law that, given a case of somebody’s falling from a great height, leads to that person’s breaking his or her leg. To know that “if x were a square, x would have</w:t>
      </w:r>
      <w:r>
        <w:rPr>
          <w:spacing w:val="-1"/>
        </w:rPr>
        <w:t xml:space="preserve"> </w:t>
      </w:r>
      <w:r>
        <w:t>four sides”</w:t>
      </w:r>
      <w:r>
        <w:rPr>
          <w:spacing w:val="-1"/>
        </w:rPr>
        <w:t xml:space="preserve"> </w:t>
      </w:r>
      <w:r>
        <w:t>is to</w:t>
      </w:r>
      <w:r>
        <w:rPr>
          <w:spacing w:val="-1"/>
        </w:rPr>
        <w:t xml:space="preserve"> </w:t>
      </w:r>
      <w:r>
        <w:t>know that</w:t>
      </w:r>
      <w:r>
        <w:rPr>
          <w:spacing w:val="-1"/>
        </w:rPr>
        <w:t xml:space="preserve"> </w:t>
      </w:r>
      <w:r>
        <w:t>“x has</w:t>
      </w:r>
      <w:r>
        <w:rPr>
          <w:spacing w:val="-1"/>
        </w:rPr>
        <w:t xml:space="preserve"> </w:t>
      </w:r>
      <w:r>
        <w:t>four sides”</w:t>
      </w:r>
      <w:r>
        <w:rPr>
          <w:spacing w:val="-1"/>
        </w:rPr>
        <w:t xml:space="preserve"> </w:t>
      </w:r>
      <w:r>
        <w:t>is a</w:t>
      </w:r>
      <w:r>
        <w:rPr>
          <w:spacing w:val="-1"/>
        </w:rPr>
        <w:t xml:space="preserve"> </w:t>
      </w:r>
      <w:r>
        <w:t>logical</w:t>
      </w:r>
      <w:r>
        <w:rPr>
          <w:spacing w:val="-1"/>
        </w:rPr>
        <w:t xml:space="preserve"> </w:t>
      </w:r>
      <w:r>
        <w:t>consequence of “x is a square.”</w:t>
      </w:r>
    </w:p>
    <w:p w14:paraId="7E0016C6" w14:textId="77777777" w:rsidR="009A58DB" w:rsidRDefault="00000000">
      <w:pPr>
        <w:pStyle w:val="BodyText"/>
        <w:spacing w:before="8" w:line="249" w:lineRule="auto"/>
        <w:ind w:right="368" w:firstLine="360"/>
      </w:pPr>
      <w:r>
        <w:t xml:space="preserve">Many contemporary philosophers take counterfactual statements to be statements about events in </w:t>
      </w:r>
      <w:r>
        <w:rPr>
          <w:i/>
        </w:rPr>
        <w:t>other universes</w:t>
      </w:r>
      <w:bookmarkStart w:id="290" w:name="_bookmark290"/>
      <w:bookmarkEnd w:id="290"/>
      <w:r>
        <w:rPr>
          <w:i/>
        </w:rPr>
        <w:t>.</w:t>
      </w:r>
      <w:r>
        <w:rPr>
          <w:b/>
          <w:i/>
          <w:color w:val="0562C1"/>
          <w:position w:val="21"/>
          <w:u w:val="single" w:color="0562C1"/>
        </w:rPr>
        <w:t>[188]</w:t>
      </w:r>
      <w:r>
        <w:rPr>
          <w:b/>
          <w:i/>
          <w:color w:val="0562C1"/>
          <w:spacing w:val="-7"/>
          <w:position w:val="21"/>
        </w:rPr>
        <w:t xml:space="preserve"> </w:t>
      </w:r>
      <w:r>
        <w:t>So they take:</w:t>
      </w:r>
    </w:p>
    <w:p w14:paraId="7E0016C7" w14:textId="77777777" w:rsidR="009A58DB" w:rsidRDefault="009A58DB">
      <w:pPr>
        <w:pStyle w:val="BodyText"/>
        <w:spacing w:before="17"/>
        <w:ind w:left="0"/>
        <w:jc w:val="left"/>
      </w:pPr>
    </w:p>
    <w:p w14:paraId="7E0016C8" w14:textId="77777777" w:rsidR="009A58DB" w:rsidRDefault="00000000">
      <w:pPr>
        <w:pStyle w:val="BodyText"/>
        <w:spacing w:line="249" w:lineRule="auto"/>
        <w:ind w:right="365"/>
        <w:jc w:val="left"/>
      </w:pPr>
      <w:r>
        <w:t>(K) “If Kennedy hadn’t been assassinated on Nov. 22, 1963, he would have</w:t>
      </w:r>
      <w:r>
        <w:rPr>
          <w:spacing w:val="40"/>
        </w:rPr>
        <w:t xml:space="preserve"> </w:t>
      </w:r>
      <w:r>
        <w:t>been reelected in 1964”</w:t>
      </w:r>
    </w:p>
    <w:p w14:paraId="7E0016C9" w14:textId="77777777" w:rsidR="009A58DB" w:rsidRDefault="009A58DB">
      <w:pPr>
        <w:pStyle w:val="BodyText"/>
        <w:spacing w:before="17"/>
        <w:ind w:left="0"/>
        <w:jc w:val="left"/>
      </w:pPr>
    </w:p>
    <w:p w14:paraId="7E0016CA" w14:textId="77777777" w:rsidR="009A58DB" w:rsidRDefault="00000000">
      <w:pPr>
        <w:pStyle w:val="BodyText"/>
        <w:jc w:val="left"/>
      </w:pPr>
      <w:r>
        <w:t>to</w:t>
      </w:r>
      <w:r>
        <w:rPr>
          <w:spacing w:val="-2"/>
        </w:rPr>
        <w:t xml:space="preserve"> </w:t>
      </w:r>
      <w:r>
        <w:t>mean</w:t>
      </w:r>
      <w:r>
        <w:rPr>
          <w:spacing w:val="-2"/>
        </w:rPr>
        <w:t xml:space="preserve"> that:</w:t>
      </w:r>
    </w:p>
    <w:p w14:paraId="7E0016CB" w14:textId="77777777" w:rsidR="009A58DB" w:rsidRDefault="009A58DB">
      <w:pPr>
        <w:pStyle w:val="BodyText"/>
        <w:spacing w:before="30"/>
        <w:ind w:left="0"/>
        <w:jc w:val="left"/>
      </w:pPr>
    </w:p>
    <w:p w14:paraId="7E0016CC" w14:textId="77777777" w:rsidR="009A58DB" w:rsidRDefault="00000000">
      <w:pPr>
        <w:pStyle w:val="BodyText"/>
        <w:spacing w:before="1" w:line="249" w:lineRule="auto"/>
        <w:ind w:right="370"/>
      </w:pPr>
      <w:r>
        <w:t xml:space="preserve">(K#) There is some other universe where Kennedy was </w:t>
      </w:r>
      <w:r>
        <w:rPr>
          <w:i/>
        </w:rPr>
        <w:t xml:space="preserve">not </w:t>
      </w:r>
      <w:r>
        <w:t>assassinated on Nov. 22, 1963, but, up until that time, was as much like our world as that fact allows it to be. In that universe Kennedy was reelected in 1964.</w:t>
      </w:r>
    </w:p>
    <w:p w14:paraId="7E0016CD" w14:textId="77777777" w:rsidR="009A58DB" w:rsidRDefault="009A58DB">
      <w:pPr>
        <w:pStyle w:val="BodyText"/>
        <w:spacing w:before="18"/>
        <w:ind w:left="0"/>
        <w:jc w:val="left"/>
      </w:pPr>
    </w:p>
    <w:p w14:paraId="7E0016CE" w14:textId="77777777" w:rsidR="009A58DB" w:rsidRDefault="00000000">
      <w:pPr>
        <w:pStyle w:val="BodyText"/>
        <w:jc w:val="left"/>
      </w:pPr>
      <w:r>
        <w:t>And</w:t>
      </w:r>
      <w:r>
        <w:rPr>
          <w:spacing w:val="-4"/>
        </w:rPr>
        <w:t xml:space="preserve"> </w:t>
      </w:r>
      <w:r>
        <w:t>they</w:t>
      </w:r>
      <w:r>
        <w:rPr>
          <w:spacing w:val="-2"/>
        </w:rPr>
        <w:t xml:space="preserve"> </w:t>
      </w:r>
      <w:r>
        <w:t>argue</w:t>
      </w:r>
      <w:r>
        <w:rPr>
          <w:spacing w:val="-2"/>
        </w:rPr>
        <w:t xml:space="preserve"> </w:t>
      </w:r>
      <w:r>
        <w:rPr>
          <w:spacing w:val="-4"/>
        </w:rPr>
        <w:t>that:</w:t>
      </w:r>
    </w:p>
    <w:p w14:paraId="7E0016CF" w14:textId="77777777" w:rsidR="009A58DB" w:rsidRDefault="009A58DB">
      <w:pPr>
        <w:pStyle w:val="BodyText"/>
        <w:spacing w:before="30"/>
        <w:ind w:left="0"/>
        <w:jc w:val="left"/>
      </w:pPr>
    </w:p>
    <w:p w14:paraId="7E0016D0" w14:textId="77777777" w:rsidR="009A58DB" w:rsidRDefault="00000000">
      <w:pPr>
        <w:pStyle w:val="BodyText"/>
        <w:spacing w:line="249" w:lineRule="auto"/>
        <w:jc w:val="left"/>
      </w:pPr>
      <w:r>
        <w:t xml:space="preserve">(S) “If Smith, who is 6-feet tall, were half his current height, he’d been 3-feet </w:t>
      </w:r>
      <w:r>
        <w:rPr>
          <w:spacing w:val="-2"/>
        </w:rPr>
        <w:t>tall”</w:t>
      </w:r>
    </w:p>
    <w:p w14:paraId="7E0016D1" w14:textId="77777777" w:rsidR="009A58DB" w:rsidRDefault="009A58DB">
      <w:pPr>
        <w:pStyle w:val="BodyText"/>
        <w:spacing w:before="18"/>
        <w:ind w:left="0"/>
        <w:jc w:val="left"/>
      </w:pPr>
    </w:p>
    <w:p w14:paraId="7E0016D2" w14:textId="77777777" w:rsidR="009A58DB" w:rsidRDefault="00000000">
      <w:pPr>
        <w:pStyle w:val="BodyText"/>
        <w:jc w:val="left"/>
      </w:pPr>
      <w:r>
        <w:t>means</w:t>
      </w:r>
      <w:r>
        <w:rPr>
          <w:spacing w:val="-4"/>
        </w:rPr>
        <w:t xml:space="preserve"> </w:t>
      </w:r>
      <w:r>
        <w:rPr>
          <w:spacing w:val="-2"/>
        </w:rPr>
        <w:t>that:</w:t>
      </w:r>
    </w:p>
    <w:p w14:paraId="7E0016D3" w14:textId="77777777" w:rsidR="009A58DB" w:rsidRDefault="009A58DB">
      <w:pPr>
        <w:pStyle w:val="BodyText"/>
        <w:jc w:val="left"/>
        <w:sectPr w:rsidR="009A58DB">
          <w:pgSz w:w="12240" w:h="15840"/>
          <w:pgMar w:top="1380" w:right="1080" w:bottom="280" w:left="1080" w:header="720" w:footer="720" w:gutter="0"/>
          <w:cols w:space="720"/>
        </w:sectPr>
      </w:pPr>
    </w:p>
    <w:p w14:paraId="7E0016D4" w14:textId="77777777" w:rsidR="009A58DB" w:rsidRDefault="00000000">
      <w:pPr>
        <w:pStyle w:val="BodyText"/>
        <w:spacing w:before="65" w:line="249" w:lineRule="auto"/>
        <w:ind w:right="364"/>
        <w:jc w:val="left"/>
      </w:pPr>
      <w:r>
        <w:lastRenderedPageBreak/>
        <w:t>(S#)</w:t>
      </w:r>
      <w:r>
        <w:rPr>
          <w:spacing w:val="76"/>
        </w:rPr>
        <w:t xml:space="preserve"> </w:t>
      </w:r>
      <w:r>
        <w:t>There</w:t>
      </w:r>
      <w:r>
        <w:rPr>
          <w:spacing w:val="76"/>
        </w:rPr>
        <w:t xml:space="preserve"> </w:t>
      </w:r>
      <w:r>
        <w:t>is</w:t>
      </w:r>
      <w:r>
        <w:rPr>
          <w:spacing w:val="76"/>
        </w:rPr>
        <w:t xml:space="preserve"> </w:t>
      </w:r>
      <w:r>
        <w:t>some</w:t>
      </w:r>
      <w:r>
        <w:rPr>
          <w:spacing w:val="76"/>
        </w:rPr>
        <w:t xml:space="preserve"> </w:t>
      </w:r>
      <w:r>
        <w:t>alternative</w:t>
      </w:r>
      <w:r>
        <w:rPr>
          <w:spacing w:val="76"/>
        </w:rPr>
        <w:t xml:space="preserve"> </w:t>
      </w:r>
      <w:r>
        <w:t>universe</w:t>
      </w:r>
      <w:r>
        <w:rPr>
          <w:spacing w:val="76"/>
        </w:rPr>
        <w:t xml:space="preserve"> </w:t>
      </w:r>
      <w:r>
        <w:t>where</w:t>
      </w:r>
      <w:r>
        <w:rPr>
          <w:spacing w:val="76"/>
        </w:rPr>
        <w:t xml:space="preserve"> </w:t>
      </w:r>
      <w:r>
        <w:t>Smith</w:t>
      </w:r>
      <w:r>
        <w:rPr>
          <w:spacing w:val="76"/>
        </w:rPr>
        <w:t xml:space="preserve"> </w:t>
      </w:r>
      <w:r>
        <w:t>is</w:t>
      </w:r>
      <w:r>
        <w:rPr>
          <w:spacing w:val="76"/>
        </w:rPr>
        <w:t xml:space="preserve"> </w:t>
      </w:r>
      <w:r>
        <w:t>half</w:t>
      </w:r>
      <w:r>
        <w:rPr>
          <w:spacing w:val="76"/>
        </w:rPr>
        <w:t xml:space="preserve"> </w:t>
      </w:r>
      <w:r>
        <w:t>his</w:t>
      </w:r>
      <w:r>
        <w:rPr>
          <w:spacing w:val="76"/>
        </w:rPr>
        <w:t xml:space="preserve"> </w:t>
      </w:r>
      <w:r>
        <w:t>current height. In that universe, Smith is 3-feet tall.</w:t>
      </w:r>
    </w:p>
    <w:p w14:paraId="7E0016D5" w14:textId="77777777" w:rsidR="009A58DB" w:rsidRDefault="009A58DB">
      <w:pPr>
        <w:pStyle w:val="BodyText"/>
        <w:spacing w:before="17"/>
        <w:ind w:left="0"/>
        <w:jc w:val="left"/>
      </w:pPr>
    </w:p>
    <w:p w14:paraId="7E0016D6" w14:textId="77777777" w:rsidR="009A58DB" w:rsidRDefault="00000000">
      <w:pPr>
        <w:pStyle w:val="BodyText"/>
        <w:spacing w:line="249" w:lineRule="auto"/>
        <w:ind w:right="360" w:firstLine="360"/>
      </w:pPr>
      <w:r>
        <w:t>This</w:t>
      </w:r>
      <w:r>
        <w:rPr>
          <w:spacing w:val="-2"/>
        </w:rPr>
        <w:t xml:space="preserve"> </w:t>
      </w:r>
      <w:r>
        <w:t>is</w:t>
      </w:r>
      <w:r>
        <w:rPr>
          <w:spacing w:val="-2"/>
        </w:rPr>
        <w:t xml:space="preserve"> </w:t>
      </w:r>
      <w:r>
        <w:t>preposterous.</w:t>
      </w:r>
      <w:r>
        <w:rPr>
          <w:spacing w:val="-2"/>
        </w:rPr>
        <w:t xml:space="preserve"> </w:t>
      </w:r>
      <w:r>
        <w:t>Any</w:t>
      </w:r>
      <w:r>
        <w:rPr>
          <w:spacing w:val="-2"/>
        </w:rPr>
        <w:t xml:space="preserve"> </w:t>
      </w:r>
      <w:r>
        <w:t>knowledge</w:t>
      </w:r>
      <w:r>
        <w:rPr>
          <w:spacing w:val="-2"/>
        </w:rPr>
        <w:t xml:space="preserve"> </w:t>
      </w:r>
      <w:r>
        <w:t>that</w:t>
      </w:r>
      <w:r>
        <w:rPr>
          <w:spacing w:val="-2"/>
        </w:rPr>
        <w:t xml:space="preserve"> </w:t>
      </w:r>
      <w:r>
        <w:t>we</w:t>
      </w:r>
      <w:r>
        <w:rPr>
          <w:spacing w:val="-2"/>
        </w:rPr>
        <w:t xml:space="preserve"> </w:t>
      </w:r>
      <w:r>
        <w:t>have</w:t>
      </w:r>
      <w:r>
        <w:rPr>
          <w:spacing w:val="-2"/>
        </w:rPr>
        <w:t xml:space="preserve"> </w:t>
      </w:r>
      <w:r>
        <w:t>about</w:t>
      </w:r>
      <w:r>
        <w:rPr>
          <w:spacing w:val="-2"/>
        </w:rPr>
        <w:t xml:space="preserve"> </w:t>
      </w:r>
      <w:r>
        <w:t>other</w:t>
      </w:r>
      <w:r>
        <w:rPr>
          <w:spacing w:val="-2"/>
        </w:rPr>
        <w:t xml:space="preserve"> </w:t>
      </w:r>
      <w:r>
        <w:t>universes</w:t>
      </w:r>
      <w:r>
        <w:rPr>
          <w:spacing w:val="-2"/>
        </w:rPr>
        <w:t xml:space="preserve"> </w:t>
      </w:r>
      <w:r>
        <w:t>is parasitic on our knowledge of modal truths. First, we know the counterfactuals. Only then do we know what’s going on in other worlds. It’s only thanks to our knowledge that 6 divided by 2 is 3, along with out knowledge</w:t>
      </w:r>
      <w:r>
        <w:rPr>
          <w:spacing w:val="-2"/>
        </w:rPr>
        <w:t xml:space="preserve"> </w:t>
      </w:r>
      <w:r>
        <w:t>that</w:t>
      </w:r>
      <w:r>
        <w:rPr>
          <w:spacing w:val="-2"/>
        </w:rPr>
        <w:t xml:space="preserve"> </w:t>
      </w:r>
      <w:r>
        <w:t>Smith</w:t>
      </w:r>
      <w:r>
        <w:rPr>
          <w:spacing w:val="-2"/>
        </w:rPr>
        <w:t xml:space="preserve"> </w:t>
      </w:r>
      <w:r>
        <w:t>is</w:t>
      </w:r>
      <w:r>
        <w:rPr>
          <w:spacing w:val="-1"/>
        </w:rPr>
        <w:t xml:space="preserve"> </w:t>
      </w:r>
      <w:r>
        <w:t>six</w:t>
      </w:r>
      <w:r>
        <w:rPr>
          <w:spacing w:val="-2"/>
        </w:rPr>
        <w:t xml:space="preserve"> </w:t>
      </w:r>
      <w:r>
        <w:t>feet</w:t>
      </w:r>
      <w:r>
        <w:rPr>
          <w:spacing w:val="-2"/>
        </w:rPr>
        <w:t xml:space="preserve"> </w:t>
      </w:r>
      <w:r>
        <w:t>tall,</w:t>
      </w:r>
      <w:r>
        <w:rPr>
          <w:spacing w:val="-2"/>
        </w:rPr>
        <w:t xml:space="preserve"> </w:t>
      </w:r>
      <w:r>
        <w:t>that</w:t>
      </w:r>
      <w:r>
        <w:rPr>
          <w:spacing w:val="-2"/>
        </w:rPr>
        <w:t xml:space="preserve"> </w:t>
      </w:r>
      <w:r>
        <w:t>we</w:t>
      </w:r>
      <w:r>
        <w:rPr>
          <w:spacing w:val="-2"/>
        </w:rPr>
        <w:t xml:space="preserve"> </w:t>
      </w:r>
      <w:r>
        <w:t>know</w:t>
      </w:r>
      <w:r>
        <w:rPr>
          <w:spacing w:val="-1"/>
        </w:rPr>
        <w:t xml:space="preserve"> </w:t>
      </w:r>
      <w:r>
        <w:t>that</w:t>
      </w:r>
      <w:r>
        <w:rPr>
          <w:spacing w:val="-2"/>
        </w:rPr>
        <w:t xml:space="preserve"> </w:t>
      </w:r>
      <w:r>
        <w:t>Smith</w:t>
      </w:r>
      <w:r>
        <w:rPr>
          <w:spacing w:val="-1"/>
        </w:rPr>
        <w:t xml:space="preserve"> </w:t>
      </w:r>
      <w:r>
        <w:t>would</w:t>
      </w:r>
      <w:r>
        <w:rPr>
          <w:spacing w:val="-2"/>
        </w:rPr>
        <w:t xml:space="preserve"> </w:t>
      </w:r>
      <w:r>
        <w:t>be</w:t>
      </w:r>
      <w:r>
        <w:rPr>
          <w:spacing w:val="-1"/>
        </w:rPr>
        <w:t xml:space="preserve"> </w:t>
      </w:r>
      <w:r>
        <w:t>3</w:t>
      </w:r>
      <w:r>
        <w:rPr>
          <w:spacing w:val="-1"/>
        </w:rPr>
        <w:t xml:space="preserve"> </w:t>
      </w:r>
      <w:r>
        <w:t xml:space="preserve">feet tall in a world where he were half his actual height. It’s only thanks to our knowledge that Kennedy was an enormously popular first-term President, along with our knowledge that popular incumbent Presidents win re-election, that we know that Kennedy would have won in 1964 had his life not been cut </w:t>
      </w:r>
      <w:r>
        <w:rPr>
          <w:spacing w:val="-2"/>
        </w:rPr>
        <w:t>short.</w:t>
      </w:r>
    </w:p>
    <w:p w14:paraId="7E0016D7" w14:textId="77777777" w:rsidR="009A58DB" w:rsidRDefault="00000000">
      <w:pPr>
        <w:pStyle w:val="BodyText"/>
        <w:spacing w:before="12" w:line="249" w:lineRule="auto"/>
        <w:ind w:right="361" w:firstLine="360"/>
      </w:pPr>
      <w:r>
        <w:t>These pedestrian points show that other worlds are useless in the way of giving us modal knowledge. It also shows that modal truths don’t hold in virtue of what goes on in other worlds. S is obviously correct. Whatever it is that makes it correct, we don’t have to leave this world to have access to it. It follows that, given any true counterfactual statement S, it is in virtue of what happens in this world, and this world alone, that S is true.</w:t>
      </w:r>
    </w:p>
    <w:p w14:paraId="7E0016D8" w14:textId="77777777" w:rsidR="009A58DB" w:rsidRDefault="00000000">
      <w:pPr>
        <w:pStyle w:val="BodyText"/>
        <w:spacing w:before="8"/>
        <w:ind w:left="720"/>
      </w:pPr>
      <w:r>
        <w:t>The</w:t>
      </w:r>
      <w:r>
        <w:rPr>
          <w:spacing w:val="-3"/>
        </w:rPr>
        <w:t xml:space="preserve"> </w:t>
      </w:r>
      <w:r>
        <w:t>real</w:t>
      </w:r>
      <w:r>
        <w:rPr>
          <w:spacing w:val="-2"/>
        </w:rPr>
        <w:t xml:space="preserve"> </w:t>
      </w:r>
      <w:r>
        <w:t>meanings</w:t>
      </w:r>
      <w:r>
        <w:rPr>
          <w:spacing w:val="-2"/>
        </w:rPr>
        <w:t xml:space="preserve"> </w:t>
      </w:r>
      <w:r>
        <w:t>of</w:t>
      </w:r>
      <w:r>
        <w:rPr>
          <w:spacing w:val="-3"/>
        </w:rPr>
        <w:t xml:space="preserve"> </w:t>
      </w:r>
      <w:r>
        <w:t>S</w:t>
      </w:r>
      <w:r>
        <w:rPr>
          <w:spacing w:val="-2"/>
        </w:rPr>
        <w:t xml:space="preserve"> </w:t>
      </w:r>
      <w:r>
        <w:t>and</w:t>
      </w:r>
      <w:r>
        <w:rPr>
          <w:spacing w:val="-1"/>
        </w:rPr>
        <w:t xml:space="preserve"> </w:t>
      </w:r>
      <w:r>
        <w:t>K</w:t>
      </w:r>
      <w:r>
        <w:rPr>
          <w:spacing w:val="-2"/>
        </w:rPr>
        <w:t xml:space="preserve"> </w:t>
      </w:r>
      <w:r>
        <w:rPr>
          <w:spacing w:val="-4"/>
        </w:rPr>
        <w:t>are:</w:t>
      </w:r>
    </w:p>
    <w:p w14:paraId="7E0016D9" w14:textId="77777777" w:rsidR="009A58DB" w:rsidRDefault="009A58DB">
      <w:pPr>
        <w:pStyle w:val="BodyText"/>
        <w:spacing w:before="30"/>
        <w:ind w:left="0"/>
        <w:jc w:val="left"/>
      </w:pPr>
    </w:p>
    <w:p w14:paraId="7E0016DA" w14:textId="77777777" w:rsidR="009A58DB" w:rsidRDefault="00000000">
      <w:pPr>
        <w:pStyle w:val="BodyText"/>
        <w:spacing w:line="249" w:lineRule="auto"/>
        <w:jc w:val="left"/>
      </w:pPr>
      <w:r>
        <w:t>(S*)</w:t>
      </w:r>
      <w:r>
        <w:rPr>
          <w:spacing w:val="29"/>
        </w:rPr>
        <w:t xml:space="preserve"> </w:t>
      </w:r>
      <w:r>
        <w:t>the</w:t>
      </w:r>
      <w:r>
        <w:rPr>
          <w:spacing w:val="29"/>
        </w:rPr>
        <w:t xml:space="preserve"> </w:t>
      </w:r>
      <w:r>
        <w:t>statement</w:t>
      </w:r>
      <w:r>
        <w:rPr>
          <w:spacing w:val="29"/>
        </w:rPr>
        <w:t xml:space="preserve"> </w:t>
      </w:r>
      <w:r>
        <w:t>that</w:t>
      </w:r>
      <w:r>
        <w:rPr>
          <w:spacing w:val="29"/>
        </w:rPr>
        <w:t xml:space="preserve"> </w:t>
      </w:r>
      <w:r>
        <w:t>Smith</w:t>
      </w:r>
      <w:r>
        <w:rPr>
          <w:spacing w:val="29"/>
        </w:rPr>
        <w:t xml:space="preserve"> </w:t>
      </w:r>
      <w:r>
        <w:t>is</w:t>
      </w:r>
      <w:r>
        <w:rPr>
          <w:spacing w:val="29"/>
        </w:rPr>
        <w:t xml:space="preserve"> </w:t>
      </w:r>
      <w:r>
        <w:t>6-feet</w:t>
      </w:r>
      <w:r>
        <w:rPr>
          <w:spacing w:val="28"/>
        </w:rPr>
        <w:t xml:space="preserve"> </w:t>
      </w:r>
      <w:r>
        <w:t>tall</w:t>
      </w:r>
      <w:r>
        <w:rPr>
          <w:spacing w:val="29"/>
        </w:rPr>
        <w:t xml:space="preserve"> </w:t>
      </w:r>
      <w:r>
        <w:t>entails</w:t>
      </w:r>
      <w:r>
        <w:rPr>
          <w:spacing w:val="29"/>
        </w:rPr>
        <w:t xml:space="preserve"> </w:t>
      </w:r>
      <w:r>
        <w:t>that</w:t>
      </w:r>
      <w:r>
        <w:rPr>
          <w:spacing w:val="29"/>
        </w:rPr>
        <w:t xml:space="preserve"> </w:t>
      </w:r>
      <w:r>
        <w:t>the</w:t>
      </w:r>
      <w:r>
        <w:rPr>
          <w:spacing w:val="29"/>
        </w:rPr>
        <w:t xml:space="preserve"> </w:t>
      </w:r>
      <w:r>
        <w:t>statement,</w:t>
      </w:r>
      <w:r>
        <w:rPr>
          <w:spacing w:val="29"/>
        </w:rPr>
        <w:t xml:space="preserve"> </w:t>
      </w:r>
      <w:r>
        <w:t>for</w:t>
      </w:r>
      <w:r>
        <w:rPr>
          <w:spacing w:val="29"/>
        </w:rPr>
        <w:t xml:space="preserve"> </w:t>
      </w:r>
      <w:r>
        <w:t>all values of x, ‹x is half Smith’s height› entails ‹x is 3-feet tall.›</w:t>
      </w:r>
    </w:p>
    <w:p w14:paraId="7E0016DB" w14:textId="77777777" w:rsidR="009A58DB" w:rsidRDefault="00000000">
      <w:pPr>
        <w:pStyle w:val="BodyText"/>
        <w:spacing w:before="2"/>
        <w:jc w:val="left"/>
      </w:pPr>
      <w:r>
        <w:rPr>
          <w:spacing w:val="-5"/>
        </w:rPr>
        <w:t>and</w:t>
      </w:r>
    </w:p>
    <w:p w14:paraId="7E0016DC" w14:textId="77777777" w:rsidR="009A58DB" w:rsidRDefault="009A58DB">
      <w:pPr>
        <w:pStyle w:val="BodyText"/>
        <w:spacing w:before="30"/>
        <w:ind w:left="0"/>
        <w:jc w:val="left"/>
      </w:pPr>
    </w:p>
    <w:p w14:paraId="7E0016DD" w14:textId="77777777" w:rsidR="009A58DB" w:rsidRDefault="00000000">
      <w:pPr>
        <w:pStyle w:val="BodyText"/>
        <w:spacing w:line="249" w:lineRule="auto"/>
        <w:ind w:right="365"/>
        <w:jc w:val="left"/>
      </w:pPr>
      <w:r>
        <w:t>(K*)</w:t>
      </w:r>
      <w:r>
        <w:rPr>
          <w:spacing w:val="40"/>
        </w:rPr>
        <w:t xml:space="preserve"> </w:t>
      </w:r>
      <w:r>
        <w:t>“Kennedy’s</w:t>
      </w:r>
      <w:r>
        <w:rPr>
          <w:spacing w:val="40"/>
        </w:rPr>
        <w:t xml:space="preserve"> </w:t>
      </w:r>
      <w:r>
        <w:t>assassination</w:t>
      </w:r>
      <w:r>
        <w:rPr>
          <w:spacing w:val="40"/>
        </w:rPr>
        <w:t xml:space="preserve"> </w:t>
      </w:r>
      <w:r>
        <w:t>caused</w:t>
      </w:r>
      <w:r>
        <w:rPr>
          <w:spacing w:val="40"/>
        </w:rPr>
        <w:t xml:space="preserve"> </w:t>
      </w:r>
      <w:r>
        <w:t>an</w:t>
      </w:r>
      <w:r>
        <w:rPr>
          <w:spacing w:val="40"/>
        </w:rPr>
        <w:t xml:space="preserve"> </w:t>
      </w:r>
      <w:r>
        <w:t>otherwise</w:t>
      </w:r>
      <w:r>
        <w:rPr>
          <w:spacing w:val="40"/>
        </w:rPr>
        <w:t xml:space="preserve"> </w:t>
      </w:r>
      <w:r>
        <w:t>unthreatened</w:t>
      </w:r>
      <w:r>
        <w:rPr>
          <w:spacing w:val="40"/>
        </w:rPr>
        <w:t xml:space="preserve"> </w:t>
      </w:r>
      <w:r>
        <w:t>Kennedy not to be reelected.”</w:t>
      </w:r>
    </w:p>
    <w:p w14:paraId="7E0016DE" w14:textId="77777777" w:rsidR="009A58DB" w:rsidRDefault="009A58DB">
      <w:pPr>
        <w:pStyle w:val="BodyText"/>
        <w:spacing w:before="18"/>
        <w:ind w:left="0"/>
        <w:jc w:val="left"/>
      </w:pPr>
    </w:p>
    <w:p w14:paraId="7E0016DF" w14:textId="77777777" w:rsidR="009A58DB" w:rsidRDefault="00000000">
      <w:pPr>
        <w:pStyle w:val="BodyText"/>
        <w:jc w:val="left"/>
      </w:pPr>
      <w:r>
        <w:t>For</w:t>
      </w:r>
      <w:r>
        <w:rPr>
          <w:spacing w:val="-6"/>
        </w:rPr>
        <w:t xml:space="preserve"> </w:t>
      </w:r>
      <w:r>
        <w:t>further</w:t>
      </w:r>
      <w:r>
        <w:rPr>
          <w:spacing w:val="-4"/>
        </w:rPr>
        <w:t xml:space="preserve"> </w:t>
      </w:r>
      <w:r>
        <w:t>discussion</w:t>
      </w:r>
      <w:r>
        <w:rPr>
          <w:spacing w:val="-4"/>
        </w:rPr>
        <w:t xml:space="preserve"> </w:t>
      </w:r>
      <w:r>
        <w:t>of</w:t>
      </w:r>
      <w:r>
        <w:rPr>
          <w:spacing w:val="-4"/>
        </w:rPr>
        <w:t xml:space="preserve"> </w:t>
      </w:r>
      <w:r>
        <w:t>the</w:t>
      </w:r>
      <w:r>
        <w:rPr>
          <w:spacing w:val="-3"/>
        </w:rPr>
        <w:t xml:space="preserve"> </w:t>
      </w:r>
      <w:r>
        <w:t>nature</w:t>
      </w:r>
      <w:r>
        <w:rPr>
          <w:spacing w:val="-4"/>
        </w:rPr>
        <w:t xml:space="preserve"> </w:t>
      </w:r>
      <w:r>
        <w:t>of</w:t>
      </w:r>
      <w:r>
        <w:rPr>
          <w:spacing w:val="-4"/>
        </w:rPr>
        <w:t xml:space="preserve"> </w:t>
      </w:r>
      <w:r>
        <w:t>counterfactual</w:t>
      </w:r>
      <w:r>
        <w:rPr>
          <w:spacing w:val="-4"/>
        </w:rPr>
        <w:t xml:space="preserve"> </w:t>
      </w:r>
      <w:r>
        <w:t>truth,</w:t>
      </w:r>
      <w:r>
        <w:rPr>
          <w:spacing w:val="-4"/>
        </w:rPr>
        <w:t xml:space="preserve"> </w:t>
      </w:r>
      <w:r>
        <w:t>see</w:t>
      </w:r>
      <w:r>
        <w:rPr>
          <w:spacing w:val="-3"/>
        </w:rPr>
        <w:t xml:space="preserve"> </w:t>
      </w:r>
      <w:r>
        <w:t>Chapter</w:t>
      </w:r>
      <w:r>
        <w:rPr>
          <w:spacing w:val="-4"/>
        </w:rPr>
        <w:t xml:space="preserve"> </w:t>
      </w:r>
      <w:r>
        <w:rPr>
          <w:spacing w:val="-5"/>
        </w:rPr>
        <w:t>17.</w:t>
      </w:r>
    </w:p>
    <w:p w14:paraId="7E0016E0" w14:textId="77777777" w:rsidR="009A58DB" w:rsidRDefault="00000000">
      <w:pPr>
        <w:pStyle w:val="Heading1"/>
        <w:numPr>
          <w:ilvl w:val="1"/>
          <w:numId w:val="134"/>
        </w:numPr>
        <w:tabs>
          <w:tab w:val="left" w:pos="990"/>
        </w:tabs>
      </w:pPr>
      <w:r>
        <w:t>Theoretical</w:t>
      </w:r>
      <w:r>
        <w:rPr>
          <w:spacing w:val="-8"/>
        </w:rPr>
        <w:t xml:space="preserve"> </w:t>
      </w:r>
      <w:r>
        <w:t>versus</w:t>
      </w:r>
      <w:r>
        <w:rPr>
          <w:spacing w:val="-7"/>
        </w:rPr>
        <w:t xml:space="preserve"> </w:t>
      </w:r>
      <w:r>
        <w:t>observational</w:t>
      </w:r>
      <w:r>
        <w:rPr>
          <w:spacing w:val="-7"/>
        </w:rPr>
        <w:t xml:space="preserve"> </w:t>
      </w:r>
      <w:r>
        <w:rPr>
          <w:spacing w:val="-2"/>
        </w:rPr>
        <w:t>knowledge</w:t>
      </w:r>
    </w:p>
    <w:p w14:paraId="7E0016E1" w14:textId="77777777" w:rsidR="009A58DB" w:rsidRDefault="00000000">
      <w:pPr>
        <w:pStyle w:val="BodyText"/>
        <w:spacing w:before="139" w:line="249" w:lineRule="auto"/>
        <w:ind w:right="366"/>
      </w:pPr>
      <w:r>
        <w:t xml:space="preserve">It seems that much of what we can know comes </w:t>
      </w:r>
      <w:r>
        <w:rPr>
          <w:i/>
        </w:rPr>
        <w:t xml:space="preserve">directly </w:t>
      </w:r>
      <w:r>
        <w:t xml:space="preserve">from sense-perception. I open my eyes in a well-lit room, and I can just </w:t>
      </w:r>
      <w:r>
        <w:rPr>
          <w:i/>
        </w:rPr>
        <w:t>see</w:t>
      </w:r>
      <w:r>
        <w:rPr>
          <w:i/>
          <w:spacing w:val="-3"/>
        </w:rPr>
        <w:t xml:space="preserve"> </w:t>
      </w:r>
      <w:r>
        <w:t>that there are chairs and people there.</w:t>
      </w:r>
    </w:p>
    <w:p w14:paraId="7E0016E2"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6E3" w14:textId="77777777" w:rsidR="009A58DB" w:rsidRDefault="00000000">
      <w:pPr>
        <w:pStyle w:val="BodyText"/>
        <w:spacing w:before="65" w:line="249" w:lineRule="auto"/>
        <w:ind w:right="358" w:firstLine="360"/>
      </w:pPr>
      <w:r>
        <w:lastRenderedPageBreak/>
        <w:t xml:space="preserve">But much knowledge is theoretical. We don’t have direct knowledge of electrons or even of gravitational fields. We have direct knowledge of the </w:t>
      </w:r>
      <w:r>
        <w:rPr>
          <w:i/>
        </w:rPr>
        <w:t>effects</w:t>
      </w:r>
      <w:r>
        <w:rPr>
          <w:i/>
          <w:spacing w:val="-3"/>
        </w:rPr>
        <w:t xml:space="preserve"> </w:t>
      </w:r>
      <w:r>
        <w:t xml:space="preserve">of these things. (More accurately, we have </w:t>
      </w:r>
      <w:r>
        <w:rPr>
          <w:i/>
        </w:rPr>
        <w:t>relatively</w:t>
      </w:r>
      <w:r>
        <w:rPr>
          <w:i/>
          <w:spacing w:val="-4"/>
        </w:rPr>
        <w:t xml:space="preserve"> </w:t>
      </w:r>
      <w:r>
        <w:t>direct knowledge of such effects. We’ll see in a moment that our knowledge of these effects is itself indirect, even though it’s obviously less so than our knowledge of electrons, etc.) But in characterizing something directly perceived as the effect of “gravitation” or of the activity of “electrons,” we are going well beyond</w:t>
      </w:r>
      <w:r>
        <w:rPr>
          <w:spacing w:val="-2"/>
        </w:rPr>
        <w:t xml:space="preserve"> </w:t>
      </w:r>
      <w:r>
        <w:t>what</w:t>
      </w:r>
      <w:r>
        <w:rPr>
          <w:spacing w:val="-1"/>
        </w:rPr>
        <w:t xml:space="preserve"> </w:t>
      </w:r>
      <w:r>
        <w:t>we</w:t>
      </w:r>
      <w:r>
        <w:rPr>
          <w:spacing w:val="-2"/>
        </w:rPr>
        <w:t xml:space="preserve"> </w:t>
      </w:r>
      <w:r>
        <w:t>can</w:t>
      </w:r>
      <w:r>
        <w:rPr>
          <w:spacing w:val="-1"/>
        </w:rPr>
        <w:t xml:space="preserve"> </w:t>
      </w:r>
      <w:r>
        <w:t>literally</w:t>
      </w:r>
      <w:r>
        <w:rPr>
          <w:spacing w:val="-2"/>
        </w:rPr>
        <w:t xml:space="preserve"> </w:t>
      </w:r>
      <w:r>
        <w:t>see</w:t>
      </w:r>
      <w:r>
        <w:rPr>
          <w:spacing w:val="-1"/>
        </w:rPr>
        <w:t xml:space="preserve"> </w:t>
      </w:r>
      <w:r>
        <w:t>(or</w:t>
      </w:r>
      <w:r>
        <w:rPr>
          <w:spacing w:val="-1"/>
        </w:rPr>
        <w:t xml:space="preserve"> </w:t>
      </w:r>
      <w:r>
        <w:t>hear</w:t>
      </w:r>
      <w:r>
        <w:rPr>
          <w:spacing w:val="-2"/>
        </w:rPr>
        <w:t xml:space="preserve"> </w:t>
      </w:r>
      <w:r>
        <w:t>or</w:t>
      </w:r>
      <w:r>
        <w:rPr>
          <w:spacing w:val="-1"/>
        </w:rPr>
        <w:t xml:space="preserve"> </w:t>
      </w:r>
      <w:r>
        <w:t>touch,</w:t>
      </w:r>
      <w:r>
        <w:rPr>
          <w:spacing w:val="-2"/>
        </w:rPr>
        <w:t xml:space="preserve"> </w:t>
      </w:r>
      <w:r>
        <w:t>etc.),</w:t>
      </w:r>
      <w:r>
        <w:rPr>
          <w:spacing w:val="-1"/>
        </w:rPr>
        <w:t xml:space="preserve"> </w:t>
      </w:r>
      <w:r>
        <w:t>and</w:t>
      </w:r>
      <w:r>
        <w:rPr>
          <w:spacing w:val="-2"/>
        </w:rPr>
        <w:t xml:space="preserve"> </w:t>
      </w:r>
      <w:r>
        <w:t>we</w:t>
      </w:r>
      <w:r>
        <w:rPr>
          <w:spacing w:val="-1"/>
        </w:rPr>
        <w:t xml:space="preserve"> </w:t>
      </w:r>
      <w:r>
        <w:t>are</w:t>
      </w:r>
      <w:r>
        <w:rPr>
          <w:spacing w:val="-1"/>
        </w:rPr>
        <w:t xml:space="preserve"> </w:t>
      </w:r>
      <w:r>
        <w:t xml:space="preserve">assuming the existence of things whose existence can be justified only by </w:t>
      </w:r>
      <w:r>
        <w:rPr>
          <w:i/>
        </w:rPr>
        <w:t xml:space="preserve">theories </w:t>
      </w:r>
      <w:r>
        <w:t>of some</w:t>
      </w:r>
      <w:r>
        <w:rPr>
          <w:spacing w:val="-3"/>
        </w:rPr>
        <w:t xml:space="preserve"> </w:t>
      </w:r>
      <w:r>
        <w:t>kind</w:t>
      </w:r>
      <w:r>
        <w:rPr>
          <w:spacing w:val="-2"/>
        </w:rPr>
        <w:t xml:space="preserve"> </w:t>
      </w:r>
      <w:r>
        <w:t>or</w:t>
      </w:r>
      <w:r>
        <w:rPr>
          <w:spacing w:val="-2"/>
        </w:rPr>
        <w:t xml:space="preserve"> </w:t>
      </w:r>
      <w:r>
        <w:t>other.</w:t>
      </w:r>
      <w:r>
        <w:rPr>
          <w:spacing w:val="-2"/>
        </w:rPr>
        <w:t xml:space="preserve"> </w:t>
      </w:r>
      <w:r>
        <w:t>A</w:t>
      </w:r>
      <w:r>
        <w:rPr>
          <w:spacing w:val="-2"/>
        </w:rPr>
        <w:t xml:space="preserve"> </w:t>
      </w:r>
      <w:r>
        <w:t>theory</w:t>
      </w:r>
      <w:r>
        <w:rPr>
          <w:spacing w:val="-2"/>
        </w:rPr>
        <w:t xml:space="preserve"> </w:t>
      </w:r>
      <w:r>
        <w:t>is</w:t>
      </w:r>
      <w:r>
        <w:rPr>
          <w:spacing w:val="-2"/>
        </w:rPr>
        <w:t xml:space="preserve"> </w:t>
      </w:r>
      <w:r>
        <w:t>an</w:t>
      </w:r>
      <w:r>
        <w:rPr>
          <w:spacing w:val="-2"/>
        </w:rPr>
        <w:t xml:space="preserve"> </w:t>
      </w:r>
      <w:r>
        <w:t>explanation</w:t>
      </w:r>
      <w:r>
        <w:rPr>
          <w:spacing w:val="-2"/>
        </w:rPr>
        <w:t xml:space="preserve"> </w:t>
      </w:r>
      <w:r>
        <w:t>of</w:t>
      </w:r>
      <w:r>
        <w:rPr>
          <w:spacing w:val="-2"/>
        </w:rPr>
        <w:t xml:space="preserve"> </w:t>
      </w:r>
      <w:r>
        <w:t>what</w:t>
      </w:r>
      <w:r>
        <w:rPr>
          <w:spacing w:val="-2"/>
        </w:rPr>
        <w:t xml:space="preserve"> </w:t>
      </w:r>
      <w:r>
        <w:t>is</w:t>
      </w:r>
      <w:r>
        <w:rPr>
          <w:spacing w:val="-2"/>
        </w:rPr>
        <w:t xml:space="preserve"> </w:t>
      </w:r>
      <w:r>
        <w:t>directly</w:t>
      </w:r>
      <w:r>
        <w:rPr>
          <w:spacing w:val="-2"/>
        </w:rPr>
        <w:t xml:space="preserve"> </w:t>
      </w:r>
      <w:r>
        <w:t>experienced in terms of what is not directly experienced and whose existence is therefore not directly known.</w:t>
      </w:r>
    </w:p>
    <w:p w14:paraId="7E0016E4" w14:textId="77777777" w:rsidR="009A58DB" w:rsidRDefault="00000000">
      <w:pPr>
        <w:pStyle w:val="BodyText"/>
        <w:spacing w:before="14" w:line="249" w:lineRule="auto"/>
        <w:ind w:right="366" w:firstLine="360"/>
      </w:pPr>
      <w:r>
        <w:t xml:space="preserve">Freud and others have posited the existence of mental activity that we are not directly aware of and of which we are therefore “unconscious.” One obviously can’t be directly aware of unconscious mental activity. (Any mental activity that one is directly aware of is </w:t>
      </w:r>
      <w:r>
        <w:rPr>
          <w:i/>
        </w:rPr>
        <w:t>ipso facto</w:t>
      </w:r>
      <w:r>
        <w:rPr>
          <w:i/>
          <w:spacing w:val="40"/>
        </w:rPr>
        <w:t xml:space="preserve"> </w:t>
      </w:r>
      <w:r>
        <w:t xml:space="preserve">conscious.) Thus, any knowledge that we have of the unconscious is inferential. In addition, such knowledge is also </w:t>
      </w:r>
      <w:r>
        <w:rPr>
          <w:i/>
        </w:rPr>
        <w:t xml:space="preserve">theoretical. </w:t>
      </w:r>
      <w:r>
        <w:t>But here we must take a moment to clarify the distinction between inferential and theoretical knowledge.</w:t>
      </w:r>
    </w:p>
    <w:p w14:paraId="7E0016E5" w14:textId="77777777" w:rsidR="009A58DB" w:rsidRDefault="00000000">
      <w:pPr>
        <w:pStyle w:val="BodyText"/>
        <w:spacing w:before="9" w:line="249" w:lineRule="auto"/>
        <w:ind w:right="357" w:firstLine="360"/>
      </w:pPr>
      <w:r>
        <w:t>A theory is an integrated set of statements that, if correct, describe some sector of reality that cannot be known strictly through sense-perception or introspection. All theoretical knowledge is inferential, but not all inferential knowledge is theoretical. If I see smoke, and I infer on that basis that there is fire,</w:t>
      </w:r>
      <w:r>
        <w:rPr>
          <w:spacing w:val="-2"/>
        </w:rPr>
        <w:t xml:space="preserve"> </w:t>
      </w:r>
      <w:r>
        <w:t>my</w:t>
      </w:r>
      <w:r>
        <w:rPr>
          <w:spacing w:val="-2"/>
        </w:rPr>
        <w:t xml:space="preserve"> </w:t>
      </w:r>
      <w:r>
        <w:t>inference</w:t>
      </w:r>
      <w:r>
        <w:rPr>
          <w:spacing w:val="-2"/>
        </w:rPr>
        <w:t xml:space="preserve"> </w:t>
      </w:r>
      <w:r>
        <w:t>isn’t</w:t>
      </w:r>
      <w:r>
        <w:rPr>
          <w:spacing w:val="-2"/>
        </w:rPr>
        <w:t xml:space="preserve"> </w:t>
      </w:r>
      <w:r>
        <w:t>theoretical.</w:t>
      </w:r>
      <w:r>
        <w:rPr>
          <w:spacing w:val="-2"/>
        </w:rPr>
        <w:t xml:space="preserve"> </w:t>
      </w:r>
      <w:r>
        <w:t>It</w:t>
      </w:r>
      <w:r>
        <w:rPr>
          <w:spacing w:val="-2"/>
        </w:rPr>
        <w:t xml:space="preserve"> </w:t>
      </w:r>
      <w:r>
        <w:t>doesn’t</w:t>
      </w:r>
      <w:r>
        <w:rPr>
          <w:spacing w:val="-2"/>
        </w:rPr>
        <w:t xml:space="preserve"> </w:t>
      </w:r>
      <w:r>
        <w:t>presuppose</w:t>
      </w:r>
      <w:r>
        <w:rPr>
          <w:spacing w:val="-2"/>
        </w:rPr>
        <w:t xml:space="preserve"> </w:t>
      </w:r>
      <w:r>
        <w:t>the</w:t>
      </w:r>
      <w:r>
        <w:rPr>
          <w:spacing w:val="-2"/>
        </w:rPr>
        <w:t xml:space="preserve"> </w:t>
      </w:r>
      <w:r>
        <w:t>truth</w:t>
      </w:r>
      <w:r>
        <w:rPr>
          <w:spacing w:val="-2"/>
        </w:rPr>
        <w:t xml:space="preserve"> </w:t>
      </w:r>
      <w:r>
        <w:t>of</w:t>
      </w:r>
      <w:r>
        <w:rPr>
          <w:spacing w:val="-2"/>
        </w:rPr>
        <w:t xml:space="preserve"> </w:t>
      </w:r>
      <w:r>
        <w:t>a</w:t>
      </w:r>
      <w:r>
        <w:rPr>
          <w:spacing w:val="-2"/>
        </w:rPr>
        <w:t xml:space="preserve"> </w:t>
      </w:r>
      <w:r>
        <w:t>theory. It assumes the truth of the statement “where there’s smoke, there’s fire,” which merely describes an observable concomitance, and therefore doesn’t qualify as a theory. But, supposing for argument’s sake that there is unconscious mental activity and that we can have knowledge of it, the inferences</w:t>
      </w:r>
      <w:r>
        <w:rPr>
          <w:spacing w:val="-2"/>
        </w:rPr>
        <w:t xml:space="preserve"> </w:t>
      </w:r>
      <w:r>
        <w:t>that</w:t>
      </w:r>
      <w:r>
        <w:rPr>
          <w:spacing w:val="-2"/>
        </w:rPr>
        <w:t xml:space="preserve"> </w:t>
      </w:r>
      <w:r>
        <w:t>yield</w:t>
      </w:r>
      <w:r>
        <w:rPr>
          <w:spacing w:val="-1"/>
        </w:rPr>
        <w:t xml:space="preserve"> </w:t>
      </w:r>
      <w:r>
        <w:t>such</w:t>
      </w:r>
      <w:r>
        <w:rPr>
          <w:spacing w:val="-1"/>
        </w:rPr>
        <w:t xml:space="preserve"> </w:t>
      </w:r>
      <w:r>
        <w:t>knowledge</w:t>
      </w:r>
      <w:r>
        <w:rPr>
          <w:spacing w:val="-1"/>
        </w:rPr>
        <w:t xml:space="preserve"> </w:t>
      </w:r>
      <w:r>
        <w:rPr>
          <w:i/>
        </w:rPr>
        <w:t>do</w:t>
      </w:r>
      <w:r>
        <w:rPr>
          <w:i/>
          <w:spacing w:val="-4"/>
        </w:rPr>
        <w:t xml:space="preserve"> </w:t>
      </w:r>
      <w:r>
        <w:t>presuppose theoretical knowledge. If I infer from the fact that you are accident-prone that you have hostility towards yourself, I am obviously making several assumptions as to the nature of the psyche. Further, those assumptions don’t merely register observable concomitances, and they aren’t independent of one another. Thus, those assumptions jointly constitute a theory. It follows that any knowledge that we have of the unconscious is of a theoretical character. In sections 7.0–7.1 we’ll say more about the distinction between theoretical and inferential knowledge.</w:t>
      </w:r>
    </w:p>
    <w:p w14:paraId="7E0016E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E7" w14:textId="77777777" w:rsidR="009A58DB" w:rsidRDefault="00000000">
      <w:pPr>
        <w:pStyle w:val="Heading1"/>
        <w:numPr>
          <w:ilvl w:val="1"/>
          <w:numId w:val="134"/>
        </w:numPr>
        <w:tabs>
          <w:tab w:val="left" w:pos="990"/>
        </w:tabs>
        <w:spacing w:before="53"/>
      </w:pPr>
      <w:r>
        <w:lastRenderedPageBreak/>
        <w:t>Is</w:t>
      </w:r>
      <w:r>
        <w:rPr>
          <w:spacing w:val="-4"/>
        </w:rPr>
        <w:t xml:space="preserve"> </w:t>
      </w:r>
      <w:r>
        <w:t>all</w:t>
      </w:r>
      <w:r>
        <w:rPr>
          <w:spacing w:val="-4"/>
        </w:rPr>
        <w:t xml:space="preserve"> </w:t>
      </w:r>
      <w:r>
        <w:t>knowledge</w:t>
      </w:r>
      <w:r>
        <w:rPr>
          <w:spacing w:val="-3"/>
        </w:rPr>
        <w:t xml:space="preserve"> </w:t>
      </w:r>
      <w:r>
        <w:rPr>
          <w:spacing w:val="-2"/>
        </w:rPr>
        <w:t>theoretical?</w:t>
      </w:r>
    </w:p>
    <w:p w14:paraId="7E0016E8" w14:textId="77777777" w:rsidR="009A58DB" w:rsidRDefault="00000000">
      <w:pPr>
        <w:pStyle w:val="BodyText"/>
        <w:spacing w:before="139" w:line="249" w:lineRule="auto"/>
        <w:ind w:right="367"/>
      </w:pPr>
      <w:r>
        <w:t>Some epistemologists and cognitive scientists maintain that even perceptual knowledge is theoretical. This position may seem strange at first, but there is at least one reason to think that it may be true.</w:t>
      </w:r>
    </w:p>
    <w:p w14:paraId="7E0016E9" w14:textId="77777777" w:rsidR="009A58DB" w:rsidRDefault="00000000">
      <w:pPr>
        <w:pStyle w:val="BodyText"/>
        <w:spacing w:before="3" w:line="249" w:lineRule="auto"/>
        <w:ind w:right="359" w:firstLine="360"/>
        <w:rPr>
          <w:position w:val="21"/>
        </w:rPr>
      </w:pPr>
      <w:r>
        <w:t xml:space="preserve">Even though </w:t>
      </w:r>
      <w:r>
        <w:rPr>
          <w:i/>
        </w:rPr>
        <w:t xml:space="preserve">you </w:t>
      </w:r>
      <w:r>
        <w:t xml:space="preserve">don’t have to do any work to generate your own sense-perceptions, your mind and nervous system certainly have to do a great deal of work. Consider the disturbances of your sensory surfaces that lead to your sense-perceptions. If the surface of a rock or a piece of wood were similarly disturbed, no sense-perception would result. What is the difference between you and a rock? Your mind can, whereas a rock cannot, </w:t>
      </w:r>
      <w:r>
        <w:rPr>
          <w:i/>
        </w:rPr>
        <w:t xml:space="preserve">process </w:t>
      </w:r>
      <w:r>
        <w:t>the relevant disturbances in the right way. It’s quite extraordinary that your mind is able</w:t>
      </w:r>
      <w:r>
        <w:rPr>
          <w:spacing w:val="40"/>
        </w:rPr>
        <w:t xml:space="preserve"> </w:t>
      </w:r>
      <w:r>
        <w:t>to do this; for all it is given are various disturbances that, in and of themselves, bear no resemblance, or only an extremely abstract resemblance, to the things off of which the relevant photons (or whatnot) are bouncing. Nonetheless, on the basis of this meager information, your mind is able to generate perceptual representations that accurately depict those objects. The gulf between input and output—between, on the one hand, the surface-stimulations on the basis of which your mind generates its perceptions and,</w:t>
      </w:r>
      <w:r>
        <w:rPr>
          <w:spacing w:val="40"/>
        </w:rPr>
        <w:t xml:space="preserve"> </w:t>
      </w:r>
      <w:r>
        <w:t>on the other hand, those perceptions themselves—bears a striking resemblance to the gulf between, on the one hand, the data on the basis of which a theoretical physicist posits the existence of a swarm of a certain kind of sub-atomic particle and, on the other hand, that particle-swarm itself. In</w:t>
      </w:r>
      <w:r>
        <w:rPr>
          <w:spacing w:val="40"/>
        </w:rPr>
        <w:t xml:space="preserve"> </w:t>
      </w:r>
      <w:r>
        <w:t>the case of the theoretical physicist, that gulf</w:t>
      </w:r>
      <w:r>
        <w:rPr>
          <w:spacing w:val="-1"/>
        </w:rPr>
        <w:t xml:space="preserve"> </w:t>
      </w:r>
      <w:r>
        <w:t>can be bridged only by a theory. This suggests that the same is true of the gulf between disturbances of your eyes and the perceptions in which those disturbances eventuate.</w:t>
      </w:r>
      <w:bookmarkStart w:id="291" w:name="_bookmark291"/>
      <w:bookmarkEnd w:id="291"/>
      <w:r>
        <w:rPr>
          <w:color w:val="0562C1"/>
          <w:position w:val="21"/>
          <w:u w:val="single" w:color="0562C1"/>
        </w:rPr>
        <w:t>[189]</w:t>
      </w:r>
    </w:p>
    <w:p w14:paraId="7E0016EA" w14:textId="77777777" w:rsidR="009A58DB" w:rsidRDefault="00000000">
      <w:pPr>
        <w:pStyle w:val="Heading1"/>
        <w:numPr>
          <w:ilvl w:val="1"/>
          <w:numId w:val="134"/>
        </w:numPr>
        <w:tabs>
          <w:tab w:val="left" w:pos="990"/>
        </w:tabs>
        <w:spacing w:before="229"/>
      </w:pPr>
      <w:r>
        <w:t>A</w:t>
      </w:r>
      <w:r>
        <w:rPr>
          <w:spacing w:val="-6"/>
        </w:rPr>
        <w:t xml:space="preserve"> </w:t>
      </w:r>
      <w:r>
        <w:t>priori</w:t>
      </w:r>
      <w:r>
        <w:rPr>
          <w:spacing w:val="-4"/>
        </w:rPr>
        <w:t xml:space="preserve"> </w:t>
      </w:r>
      <w:r>
        <w:t>versus</w:t>
      </w:r>
      <w:r>
        <w:rPr>
          <w:spacing w:val="-4"/>
        </w:rPr>
        <w:t xml:space="preserve"> </w:t>
      </w:r>
      <w:r>
        <w:t>a</w:t>
      </w:r>
      <w:r>
        <w:rPr>
          <w:spacing w:val="-3"/>
        </w:rPr>
        <w:t xml:space="preserve"> </w:t>
      </w:r>
      <w:r>
        <w:t>posteriori</w:t>
      </w:r>
      <w:r>
        <w:rPr>
          <w:spacing w:val="-4"/>
        </w:rPr>
        <w:t xml:space="preserve"> </w:t>
      </w:r>
      <w:r>
        <w:rPr>
          <w:spacing w:val="-2"/>
        </w:rPr>
        <w:t>knowledge</w:t>
      </w:r>
    </w:p>
    <w:p w14:paraId="7E0016EB" w14:textId="77777777" w:rsidR="009A58DB" w:rsidRDefault="00000000">
      <w:pPr>
        <w:pStyle w:val="BodyText"/>
        <w:spacing w:before="139" w:line="249" w:lineRule="auto"/>
        <w:ind w:right="364"/>
      </w:pPr>
      <w:r>
        <w:t xml:space="preserve">Thus, one must have knowledge </w:t>
      </w:r>
      <w:r>
        <w:rPr>
          <w:i/>
        </w:rPr>
        <w:t xml:space="preserve">in order </w:t>
      </w:r>
      <w:r>
        <w:t>to acquire perceptual knowledge. Given that even a newborn can have sense-perceptions, it follows that knowledge of some kind is coded into the innate structures of our minds.</w:t>
      </w:r>
    </w:p>
    <w:p w14:paraId="7E0016EC" w14:textId="77777777" w:rsidR="009A58DB" w:rsidRDefault="00000000">
      <w:pPr>
        <w:pStyle w:val="BodyText"/>
        <w:spacing w:before="4" w:line="249" w:lineRule="auto"/>
        <w:ind w:right="358" w:firstLine="360"/>
      </w:pPr>
      <w:r>
        <w:t>Such</w:t>
      </w:r>
      <w:r>
        <w:rPr>
          <w:spacing w:val="-1"/>
        </w:rPr>
        <w:t xml:space="preserve"> </w:t>
      </w:r>
      <w:r>
        <w:t>knowledge</w:t>
      </w:r>
      <w:r>
        <w:rPr>
          <w:spacing w:val="-1"/>
        </w:rPr>
        <w:t xml:space="preserve"> </w:t>
      </w:r>
      <w:r>
        <w:t>is</w:t>
      </w:r>
      <w:r>
        <w:rPr>
          <w:spacing w:val="-1"/>
        </w:rPr>
        <w:t xml:space="preserve"> </w:t>
      </w:r>
      <w:r>
        <w:t>referred</w:t>
      </w:r>
      <w:r>
        <w:rPr>
          <w:spacing w:val="-1"/>
        </w:rPr>
        <w:t xml:space="preserve"> </w:t>
      </w:r>
      <w:r>
        <w:t>to</w:t>
      </w:r>
      <w:r>
        <w:rPr>
          <w:spacing w:val="-1"/>
        </w:rPr>
        <w:t xml:space="preserve"> </w:t>
      </w:r>
      <w:r>
        <w:t>as</w:t>
      </w:r>
      <w:r>
        <w:rPr>
          <w:spacing w:val="-1"/>
        </w:rPr>
        <w:t xml:space="preserve"> </w:t>
      </w:r>
      <w:r>
        <w:t>a</w:t>
      </w:r>
      <w:r>
        <w:rPr>
          <w:spacing w:val="-1"/>
        </w:rPr>
        <w:t xml:space="preserve"> </w:t>
      </w:r>
      <w:r>
        <w:t>priori</w:t>
      </w:r>
      <w:r>
        <w:rPr>
          <w:spacing w:val="-1"/>
        </w:rPr>
        <w:t xml:space="preserve"> </w:t>
      </w:r>
      <w:r>
        <w:t>knowledge.</w:t>
      </w:r>
      <w:r>
        <w:rPr>
          <w:spacing w:val="-1"/>
        </w:rPr>
        <w:t xml:space="preserve"> </w:t>
      </w:r>
      <w:r>
        <w:t>Thus,</w:t>
      </w:r>
      <w:r>
        <w:rPr>
          <w:spacing w:val="-1"/>
        </w:rPr>
        <w:t xml:space="preserve"> </w:t>
      </w:r>
      <w:r>
        <w:t>knowledge</w:t>
      </w:r>
      <w:r>
        <w:rPr>
          <w:spacing w:val="-1"/>
        </w:rPr>
        <w:t xml:space="preserve"> </w:t>
      </w:r>
      <w:r>
        <w:t>is</w:t>
      </w:r>
      <w:r>
        <w:rPr>
          <w:spacing w:val="-1"/>
        </w:rPr>
        <w:t xml:space="preserve"> </w:t>
      </w:r>
      <w:r>
        <w:t>a priori if it is coded into the very structures of our minds and therefore pre-exists any perceptions that we have.</w:t>
      </w:r>
    </w:p>
    <w:p w14:paraId="7E0016ED" w14:textId="77777777" w:rsidR="009A58DB" w:rsidRDefault="009A58DB">
      <w:pPr>
        <w:pStyle w:val="BodyText"/>
        <w:spacing w:line="249" w:lineRule="auto"/>
        <w:sectPr w:rsidR="009A58DB">
          <w:pgSz w:w="12240" w:h="15840"/>
          <w:pgMar w:top="1580" w:right="1080" w:bottom="280" w:left="1080" w:header="720" w:footer="720" w:gutter="0"/>
          <w:cols w:space="720"/>
        </w:sectPr>
      </w:pPr>
    </w:p>
    <w:p w14:paraId="7E0016EE" w14:textId="77777777" w:rsidR="009A58DB" w:rsidRDefault="00000000">
      <w:pPr>
        <w:pStyle w:val="BodyText"/>
        <w:spacing w:before="65" w:line="249" w:lineRule="auto"/>
        <w:ind w:right="360" w:firstLine="360"/>
      </w:pPr>
      <w:r>
        <w:lastRenderedPageBreak/>
        <w:t xml:space="preserve">If knowledge is </w:t>
      </w:r>
      <w:r>
        <w:rPr>
          <w:i/>
        </w:rPr>
        <w:t xml:space="preserve">not </w:t>
      </w:r>
      <w:r>
        <w:t xml:space="preserve">a priori, then it is referred to as a posteriori. Thus, a posteriori knowledge is </w:t>
      </w:r>
      <w:r>
        <w:rPr>
          <w:i/>
        </w:rPr>
        <w:t xml:space="preserve">acquired </w:t>
      </w:r>
      <w:r>
        <w:t>knowledge, and a priori knowledge that is within us, in some form, from the outset.</w:t>
      </w:r>
    </w:p>
    <w:p w14:paraId="7E0016EF" w14:textId="77777777" w:rsidR="009A58DB" w:rsidRDefault="00000000">
      <w:pPr>
        <w:pStyle w:val="BodyText"/>
        <w:spacing w:before="3" w:line="249" w:lineRule="auto"/>
        <w:ind w:right="358" w:firstLine="360"/>
      </w:pPr>
      <w:r>
        <w:t>It is a matter of considerable debate whether there is a priori knowledge and, if so, precisely what it is that known a priori. (My own strongly held view is that there is a priori knowledge.) Among those who believe that we have a priori knowledge are Plato, Leibniz, Kant, and Chomsky. Among those who deny it are Aristotle, Locke, and Quine.</w:t>
      </w:r>
    </w:p>
    <w:p w14:paraId="7E0016F0" w14:textId="77777777" w:rsidR="009A58DB" w:rsidRDefault="00000000">
      <w:pPr>
        <w:pStyle w:val="Heading1"/>
        <w:numPr>
          <w:ilvl w:val="1"/>
          <w:numId w:val="134"/>
        </w:numPr>
        <w:tabs>
          <w:tab w:val="left" w:pos="1195"/>
        </w:tabs>
        <w:spacing w:before="194" w:line="244" w:lineRule="auto"/>
        <w:ind w:left="360" w:right="371" w:firstLine="0"/>
        <w:jc w:val="both"/>
      </w:pPr>
      <w:r>
        <w:t>A second reason to think that perceptual knowledge is theoretical</w:t>
      </w:r>
    </w:p>
    <w:p w14:paraId="7E0016F1" w14:textId="77777777" w:rsidR="009A58DB" w:rsidRDefault="00000000">
      <w:pPr>
        <w:pStyle w:val="BodyText"/>
        <w:spacing w:before="132" w:line="249" w:lineRule="auto"/>
        <w:ind w:right="358"/>
      </w:pPr>
      <w:r>
        <w:t xml:space="preserve">Suppose that X is some stop sign. If you look at X from a certain distance—from, say, a hundred feet away—it will appear a certain way to you. Given only how X appears to you from that distance, you cannot tell whether you are looking at an object that is around 8-feet tall and a hundred feet away </w:t>
      </w:r>
      <w:r>
        <w:rPr>
          <w:i/>
        </w:rPr>
        <w:t xml:space="preserve">or </w:t>
      </w:r>
      <w:r>
        <w:t xml:space="preserve">an object that is 1,000-feet tall and much further away </w:t>
      </w:r>
      <w:r>
        <w:rPr>
          <w:i/>
        </w:rPr>
        <w:t xml:space="preserve">or </w:t>
      </w:r>
      <w:r>
        <w:t xml:space="preserve">an object that is 6 inches tall and very nearby. Nonetheless, you know, when you are looking at X, that it is not 1,000-feet tall and far away or 6-inches tall and very close, and that it </w:t>
      </w:r>
      <w:r>
        <w:rPr>
          <w:i/>
        </w:rPr>
        <w:t>is</w:t>
      </w:r>
      <w:r>
        <w:rPr>
          <w:i/>
          <w:spacing w:val="-2"/>
        </w:rPr>
        <w:t xml:space="preserve"> </w:t>
      </w:r>
      <w:r>
        <w:t>around 8-feet tall and about a hundred feet away. Given that X’s appearance, by itself, does not reveal this to you, how do you know it? It is your background knowledge that, in conjunction with how X appears to you under</w:t>
      </w:r>
      <w:r>
        <w:rPr>
          <w:spacing w:val="23"/>
        </w:rPr>
        <w:t xml:space="preserve"> </w:t>
      </w:r>
      <w:r>
        <w:t>the</w:t>
      </w:r>
      <w:r>
        <w:rPr>
          <w:spacing w:val="25"/>
        </w:rPr>
        <w:t xml:space="preserve"> </w:t>
      </w:r>
      <w:r>
        <w:t>circumstances</w:t>
      </w:r>
      <w:r>
        <w:rPr>
          <w:spacing w:val="25"/>
        </w:rPr>
        <w:t xml:space="preserve"> </w:t>
      </w:r>
      <w:r>
        <w:t>described,</w:t>
      </w:r>
      <w:r>
        <w:rPr>
          <w:spacing w:val="25"/>
        </w:rPr>
        <w:t xml:space="preserve"> </w:t>
      </w:r>
      <w:r>
        <w:t>enables</w:t>
      </w:r>
      <w:r>
        <w:rPr>
          <w:spacing w:val="25"/>
        </w:rPr>
        <w:t xml:space="preserve"> </w:t>
      </w:r>
      <w:r>
        <w:t>you</w:t>
      </w:r>
      <w:r>
        <w:rPr>
          <w:spacing w:val="25"/>
        </w:rPr>
        <w:t xml:space="preserve"> </w:t>
      </w:r>
      <w:r>
        <w:t>to</w:t>
      </w:r>
      <w:r>
        <w:rPr>
          <w:spacing w:val="25"/>
        </w:rPr>
        <w:t xml:space="preserve"> </w:t>
      </w:r>
      <w:r>
        <w:t>assign</w:t>
      </w:r>
      <w:r>
        <w:rPr>
          <w:spacing w:val="25"/>
        </w:rPr>
        <w:t xml:space="preserve"> </w:t>
      </w:r>
      <w:r>
        <w:t>the</w:t>
      </w:r>
      <w:r>
        <w:rPr>
          <w:spacing w:val="25"/>
        </w:rPr>
        <w:t xml:space="preserve"> </w:t>
      </w:r>
      <w:r>
        <w:t>right</w:t>
      </w:r>
      <w:r>
        <w:rPr>
          <w:spacing w:val="25"/>
        </w:rPr>
        <w:t xml:space="preserve"> </w:t>
      </w:r>
      <w:r>
        <w:t>height</w:t>
      </w:r>
      <w:r>
        <w:rPr>
          <w:spacing w:val="26"/>
        </w:rPr>
        <w:t xml:space="preserve"> </w:t>
      </w:r>
      <w:r>
        <w:rPr>
          <w:spacing w:val="-5"/>
        </w:rPr>
        <w:t>to</w:t>
      </w:r>
    </w:p>
    <w:p w14:paraId="7E0016F2" w14:textId="77777777" w:rsidR="009A58DB" w:rsidRDefault="00000000">
      <w:pPr>
        <w:pStyle w:val="BodyText"/>
        <w:spacing w:before="14" w:line="249" w:lineRule="auto"/>
        <w:ind w:right="359"/>
      </w:pPr>
      <w:r>
        <w:t>X. A continuation of our story may clarify this. Your friend Larry is right</w:t>
      </w:r>
      <w:r>
        <w:rPr>
          <w:spacing w:val="40"/>
        </w:rPr>
        <w:t xml:space="preserve"> </w:t>
      </w:r>
      <w:r>
        <w:t xml:space="preserve">next to X. You can see the </w:t>
      </w:r>
      <w:r>
        <w:rPr>
          <w:i/>
        </w:rPr>
        <w:t xml:space="preserve">comparative </w:t>
      </w:r>
      <w:r>
        <w:t xml:space="preserve">heights of X and Larry; you can see that Larry is around three-fourths the height of X. So it is because of X’s appearance </w:t>
      </w:r>
      <w:r>
        <w:rPr>
          <w:i/>
        </w:rPr>
        <w:t xml:space="preserve">plus </w:t>
      </w:r>
      <w:r>
        <w:t>this background knowledge that you are able to determine X’s height.</w:t>
      </w:r>
    </w:p>
    <w:p w14:paraId="7E0016F3" w14:textId="77777777" w:rsidR="009A58DB" w:rsidRDefault="00000000">
      <w:pPr>
        <w:pStyle w:val="BodyText"/>
        <w:spacing w:before="6" w:line="249" w:lineRule="auto"/>
        <w:ind w:right="362" w:firstLine="360"/>
      </w:pPr>
      <w:r>
        <w:t xml:space="preserve">This must be understood correctly. You can just </w:t>
      </w:r>
      <w:r>
        <w:rPr>
          <w:i/>
        </w:rPr>
        <w:t xml:space="preserve">see </w:t>
      </w:r>
      <w:r>
        <w:t>how tall, approximately, X is. But, for the reasons just given, it seems that background knowledge of the kind just described seems to be involved in, and to some degree to constitute, your seeing this.</w:t>
      </w:r>
    </w:p>
    <w:p w14:paraId="7E0016F4" w14:textId="77777777" w:rsidR="009A58DB" w:rsidRDefault="00000000">
      <w:pPr>
        <w:pStyle w:val="BodyText"/>
        <w:spacing w:before="5" w:line="249" w:lineRule="auto"/>
        <w:ind w:right="370" w:firstLine="360"/>
      </w:pPr>
      <w:r>
        <w:t>An argument similar to that just given in connection with seeing X’s size can be given in connection with seeing any object’s size. Indeed, similar arguments</w:t>
      </w:r>
      <w:r>
        <w:rPr>
          <w:spacing w:val="19"/>
        </w:rPr>
        <w:t xml:space="preserve"> </w:t>
      </w:r>
      <w:r>
        <w:t>can</w:t>
      </w:r>
      <w:r>
        <w:rPr>
          <w:spacing w:val="20"/>
        </w:rPr>
        <w:t xml:space="preserve"> </w:t>
      </w:r>
      <w:r>
        <w:t>be</w:t>
      </w:r>
      <w:r>
        <w:rPr>
          <w:spacing w:val="20"/>
        </w:rPr>
        <w:t xml:space="preserve"> </w:t>
      </w:r>
      <w:r>
        <w:t>given</w:t>
      </w:r>
      <w:r>
        <w:rPr>
          <w:spacing w:val="19"/>
        </w:rPr>
        <w:t xml:space="preserve"> </w:t>
      </w:r>
      <w:r>
        <w:t>in</w:t>
      </w:r>
      <w:r>
        <w:rPr>
          <w:spacing w:val="20"/>
        </w:rPr>
        <w:t xml:space="preserve"> </w:t>
      </w:r>
      <w:r>
        <w:t>connection</w:t>
      </w:r>
      <w:r>
        <w:rPr>
          <w:spacing w:val="20"/>
        </w:rPr>
        <w:t xml:space="preserve"> </w:t>
      </w:r>
      <w:r>
        <w:t>with</w:t>
      </w:r>
      <w:r>
        <w:rPr>
          <w:spacing w:val="19"/>
        </w:rPr>
        <w:t xml:space="preserve"> </w:t>
      </w:r>
      <w:r>
        <w:t>seeing</w:t>
      </w:r>
      <w:r>
        <w:rPr>
          <w:spacing w:val="20"/>
        </w:rPr>
        <w:t xml:space="preserve"> </w:t>
      </w:r>
      <w:r>
        <w:t>any</w:t>
      </w:r>
      <w:r>
        <w:rPr>
          <w:spacing w:val="20"/>
        </w:rPr>
        <w:t xml:space="preserve"> </w:t>
      </w:r>
      <w:r>
        <w:t>fact</w:t>
      </w:r>
      <w:r>
        <w:rPr>
          <w:spacing w:val="19"/>
        </w:rPr>
        <w:t xml:space="preserve"> </w:t>
      </w:r>
      <w:r>
        <w:t>about</w:t>
      </w:r>
      <w:r>
        <w:rPr>
          <w:spacing w:val="20"/>
        </w:rPr>
        <w:t xml:space="preserve"> </w:t>
      </w:r>
      <w:r>
        <w:t>any</w:t>
      </w:r>
      <w:r>
        <w:rPr>
          <w:spacing w:val="20"/>
        </w:rPr>
        <w:t xml:space="preserve"> </w:t>
      </w:r>
      <w:r>
        <w:rPr>
          <w:spacing w:val="-2"/>
        </w:rPr>
        <w:t>object</w:t>
      </w:r>
    </w:p>
    <w:p w14:paraId="7E0016F5" w14:textId="77777777" w:rsidR="009A58DB" w:rsidRDefault="00000000">
      <w:pPr>
        <w:pStyle w:val="BodyText"/>
        <w:spacing w:before="4"/>
      </w:pPr>
      <w:r>
        <w:t>—in</w:t>
      </w:r>
      <w:r>
        <w:rPr>
          <w:spacing w:val="9"/>
        </w:rPr>
        <w:t xml:space="preserve"> </w:t>
      </w:r>
      <w:r>
        <w:t>connection</w:t>
      </w:r>
      <w:r>
        <w:rPr>
          <w:spacing w:val="10"/>
        </w:rPr>
        <w:t xml:space="preserve"> </w:t>
      </w:r>
      <w:r>
        <w:t>with</w:t>
      </w:r>
      <w:r>
        <w:rPr>
          <w:spacing w:val="10"/>
        </w:rPr>
        <w:t xml:space="preserve"> </w:t>
      </w:r>
      <w:r>
        <w:t>seeing</w:t>
      </w:r>
      <w:r>
        <w:rPr>
          <w:spacing w:val="10"/>
        </w:rPr>
        <w:t xml:space="preserve"> </w:t>
      </w:r>
      <w:r>
        <w:t>how</w:t>
      </w:r>
      <w:r>
        <w:rPr>
          <w:spacing w:val="10"/>
        </w:rPr>
        <w:t xml:space="preserve"> </w:t>
      </w:r>
      <w:r>
        <w:t>fast</w:t>
      </w:r>
      <w:r>
        <w:rPr>
          <w:spacing w:val="10"/>
        </w:rPr>
        <w:t xml:space="preserve"> </w:t>
      </w:r>
      <w:r>
        <w:t>an</w:t>
      </w:r>
      <w:r>
        <w:rPr>
          <w:spacing w:val="9"/>
        </w:rPr>
        <w:t xml:space="preserve"> </w:t>
      </w:r>
      <w:r>
        <w:t>object</w:t>
      </w:r>
      <w:r>
        <w:rPr>
          <w:spacing w:val="10"/>
        </w:rPr>
        <w:t xml:space="preserve"> </w:t>
      </w:r>
      <w:r>
        <w:t>is</w:t>
      </w:r>
      <w:r>
        <w:rPr>
          <w:spacing w:val="10"/>
        </w:rPr>
        <w:t xml:space="preserve"> </w:t>
      </w:r>
      <w:r>
        <w:t>moving,</w:t>
      </w:r>
      <w:r>
        <w:rPr>
          <w:spacing w:val="10"/>
        </w:rPr>
        <w:t xml:space="preserve"> </w:t>
      </w:r>
      <w:r>
        <w:t>what</w:t>
      </w:r>
      <w:r>
        <w:rPr>
          <w:spacing w:val="10"/>
        </w:rPr>
        <w:t xml:space="preserve"> </w:t>
      </w:r>
      <w:r>
        <w:t>shape</w:t>
      </w:r>
      <w:r>
        <w:rPr>
          <w:spacing w:val="10"/>
        </w:rPr>
        <w:t xml:space="preserve"> </w:t>
      </w:r>
      <w:r>
        <w:t>it</w:t>
      </w:r>
      <w:r>
        <w:rPr>
          <w:spacing w:val="10"/>
        </w:rPr>
        <w:t xml:space="preserve"> </w:t>
      </w:r>
      <w:r>
        <w:rPr>
          <w:spacing w:val="-4"/>
        </w:rPr>
        <w:t>has,</w:t>
      </w:r>
    </w:p>
    <w:p w14:paraId="7E0016F6" w14:textId="77777777" w:rsidR="009A58DB" w:rsidRDefault="009A58DB">
      <w:pPr>
        <w:pStyle w:val="BodyText"/>
        <w:sectPr w:rsidR="009A58DB">
          <w:pgSz w:w="12240" w:h="15840"/>
          <w:pgMar w:top="1380" w:right="1080" w:bottom="280" w:left="1080" w:header="720" w:footer="720" w:gutter="0"/>
          <w:cols w:space="720"/>
        </w:sectPr>
      </w:pPr>
    </w:p>
    <w:p w14:paraId="7E0016F7" w14:textId="77777777" w:rsidR="009A58DB" w:rsidRDefault="00000000">
      <w:pPr>
        <w:pStyle w:val="BodyText"/>
        <w:spacing w:before="60" w:line="249" w:lineRule="auto"/>
        <w:ind w:right="364"/>
      </w:pPr>
      <w:r>
        <w:lastRenderedPageBreak/>
        <w:t xml:space="preserve">how far it is from one, and so on. And extensions of those arguments suggest what is true of seeing facts about physical objects is true of </w:t>
      </w:r>
      <w:r>
        <w:rPr>
          <w:i/>
        </w:rPr>
        <w:t xml:space="preserve">any </w:t>
      </w:r>
      <w:r>
        <w:t xml:space="preserve">kind of perceptual awareness of </w:t>
      </w:r>
      <w:r>
        <w:rPr>
          <w:i/>
        </w:rPr>
        <w:t xml:space="preserve">any </w:t>
      </w:r>
      <w:r>
        <w:t>fact about them.</w:t>
      </w:r>
    </w:p>
    <w:p w14:paraId="7E0016F8" w14:textId="77777777" w:rsidR="009A58DB" w:rsidRDefault="00000000">
      <w:pPr>
        <w:pStyle w:val="Heading1"/>
        <w:numPr>
          <w:ilvl w:val="1"/>
          <w:numId w:val="133"/>
        </w:numPr>
        <w:tabs>
          <w:tab w:val="left" w:pos="1095"/>
        </w:tabs>
        <w:spacing w:before="196"/>
      </w:pPr>
      <w:r>
        <w:t>Inferential</w:t>
      </w:r>
      <w:r>
        <w:rPr>
          <w:spacing w:val="-7"/>
        </w:rPr>
        <w:t xml:space="preserve"> </w:t>
      </w:r>
      <w:r>
        <w:t>vs.</w:t>
      </w:r>
      <w:r>
        <w:rPr>
          <w:spacing w:val="-7"/>
        </w:rPr>
        <w:t xml:space="preserve"> </w:t>
      </w:r>
      <w:r>
        <w:t>theoretical</w:t>
      </w:r>
      <w:r>
        <w:rPr>
          <w:spacing w:val="-6"/>
        </w:rPr>
        <w:t xml:space="preserve"> </w:t>
      </w:r>
      <w:r>
        <w:rPr>
          <w:spacing w:val="-2"/>
        </w:rPr>
        <w:t>knowledge</w:t>
      </w:r>
    </w:p>
    <w:p w14:paraId="7E0016F9" w14:textId="77777777" w:rsidR="009A58DB" w:rsidRDefault="00000000">
      <w:pPr>
        <w:pStyle w:val="BodyText"/>
        <w:spacing w:before="139" w:line="249" w:lineRule="auto"/>
        <w:ind w:right="360"/>
      </w:pPr>
      <w:r>
        <w:t xml:space="preserve">There is a reason to hold that not all knowledge is theoretical, namely that </w:t>
      </w:r>
      <w:r>
        <w:rPr>
          <w:i/>
        </w:rPr>
        <w:t xml:space="preserve">many </w:t>
      </w:r>
      <w:r>
        <w:t xml:space="preserve">inferences are involved in knowing a theory and, consequently, inferential knowledge is a precondition for theoretical knowledge. Some background points are needed to make it clear why, at least arguably, this </w:t>
      </w:r>
      <w:r>
        <w:rPr>
          <w:spacing w:val="-2"/>
        </w:rPr>
        <w:t>holds.</w:t>
      </w:r>
    </w:p>
    <w:p w14:paraId="7E0016FA" w14:textId="77777777" w:rsidR="009A58DB" w:rsidRDefault="00000000">
      <w:pPr>
        <w:pStyle w:val="BodyText"/>
        <w:spacing w:before="7" w:line="249" w:lineRule="auto"/>
        <w:ind w:right="359" w:firstLine="360"/>
      </w:pPr>
      <w:r>
        <w:t>First of all, not all inferences—not even all inferences that lead to correct conclusions—yield knowledge. If I infer that Bob has cancer on the grounds that he has red hair, my inference doesn’t yield knowledge, even if, by coincidence, Bob does have cancer. The reason my inference doesn’t yield knowledge is that the “inference rule” implicit in it—in other words, the principle</w:t>
      </w:r>
      <w:r>
        <w:rPr>
          <w:spacing w:val="-3"/>
        </w:rPr>
        <w:t xml:space="preserve"> </w:t>
      </w:r>
      <w:r>
        <w:t>that</w:t>
      </w:r>
      <w:r>
        <w:rPr>
          <w:spacing w:val="-2"/>
        </w:rPr>
        <w:t xml:space="preserve"> </w:t>
      </w:r>
      <w:r>
        <w:t>licenses</w:t>
      </w:r>
      <w:r>
        <w:rPr>
          <w:spacing w:val="-2"/>
        </w:rPr>
        <w:t xml:space="preserve"> </w:t>
      </w:r>
      <w:r>
        <w:t>it—isn’t</w:t>
      </w:r>
      <w:r>
        <w:rPr>
          <w:spacing w:val="-2"/>
        </w:rPr>
        <w:t xml:space="preserve"> </w:t>
      </w:r>
      <w:r>
        <w:t>a</w:t>
      </w:r>
      <w:r>
        <w:rPr>
          <w:spacing w:val="-2"/>
        </w:rPr>
        <w:t xml:space="preserve"> </w:t>
      </w:r>
      <w:r>
        <w:t>good</w:t>
      </w:r>
      <w:r>
        <w:rPr>
          <w:spacing w:val="-2"/>
        </w:rPr>
        <w:t xml:space="preserve"> </w:t>
      </w:r>
      <w:r>
        <w:t>one.</w:t>
      </w:r>
      <w:r>
        <w:rPr>
          <w:spacing w:val="-2"/>
        </w:rPr>
        <w:t xml:space="preserve"> </w:t>
      </w:r>
      <w:r>
        <w:t>That</w:t>
      </w:r>
      <w:r>
        <w:rPr>
          <w:spacing w:val="-2"/>
        </w:rPr>
        <w:t xml:space="preserve"> </w:t>
      </w:r>
      <w:r>
        <w:t>inference</w:t>
      </w:r>
      <w:r>
        <w:rPr>
          <w:spacing w:val="-2"/>
        </w:rPr>
        <w:t xml:space="preserve"> </w:t>
      </w:r>
      <w:r>
        <w:t>rule</w:t>
      </w:r>
      <w:r>
        <w:rPr>
          <w:spacing w:val="-2"/>
        </w:rPr>
        <w:t xml:space="preserve"> </w:t>
      </w:r>
      <w:r>
        <w:t>is:</w:t>
      </w:r>
      <w:r>
        <w:rPr>
          <w:spacing w:val="-2"/>
        </w:rPr>
        <w:t xml:space="preserve"> </w:t>
      </w:r>
      <w:r>
        <w:t>“if</w:t>
      </w:r>
      <w:r>
        <w:rPr>
          <w:spacing w:val="-2"/>
        </w:rPr>
        <w:t xml:space="preserve"> </w:t>
      </w:r>
      <w:r>
        <w:t>a</w:t>
      </w:r>
      <w:r>
        <w:rPr>
          <w:spacing w:val="-2"/>
        </w:rPr>
        <w:t xml:space="preserve"> </w:t>
      </w:r>
      <w:r>
        <w:t xml:space="preserve">person has red hair, he or she has cancer.” Since that rule obviously isn’t “truth-conducive”—since, in other words, that rule isn’t likely to yield correct conclusions, given correct premises—no inference made on the basis of it is legitimate. So for an inference that yields a correct conclusion to yield </w:t>
      </w:r>
      <w:r>
        <w:rPr>
          <w:i/>
        </w:rPr>
        <w:t xml:space="preserve">knowledge, </w:t>
      </w:r>
      <w:r>
        <w:t>one must make that inference on the basis of a legitimate inference rule.</w:t>
      </w:r>
    </w:p>
    <w:p w14:paraId="7E0016FB" w14:textId="77777777" w:rsidR="009A58DB" w:rsidRDefault="00000000">
      <w:pPr>
        <w:pStyle w:val="BodyText"/>
        <w:spacing w:before="14" w:line="249" w:lineRule="auto"/>
        <w:ind w:right="358" w:firstLine="360"/>
      </w:pPr>
      <w:r>
        <w:t xml:space="preserve">Theories are </w:t>
      </w:r>
      <w:r>
        <w:rPr>
          <w:i/>
        </w:rPr>
        <w:t xml:space="preserve">systems </w:t>
      </w:r>
      <w:r>
        <w:t xml:space="preserve">of statements standing in various </w:t>
      </w:r>
      <w:r>
        <w:rPr>
          <w:i/>
        </w:rPr>
        <w:t xml:space="preserve">dependence-relations </w:t>
      </w:r>
      <w:r>
        <w:t xml:space="preserve">with respect to one another. (The word “statement” here is not meant to have any linguistic overtones and should be taken as shorthand for “truth or falsehood.”) A dependence-relation holds between two statements if one of them supports the other—if, in other words, one of them provides some basis for inferring the other. Knowing that a dependence-relation holds between two statements involves either inferring the one from the other or, failing that, recognizing that such an inference could be legitimately made. For example, my recognizing that there is a dependence-relation between “there is fire at time t in place p” and “there is smoke at t* in p*,” where t* and p* are neighbors of t and p,” involves </w:t>
      </w:r>
      <w:r>
        <w:rPr>
          <w:i/>
        </w:rPr>
        <w:t>either</w:t>
      </w:r>
      <w:r>
        <w:rPr>
          <w:i/>
          <w:spacing w:val="-2"/>
        </w:rPr>
        <w:t xml:space="preserve"> </w:t>
      </w:r>
      <w:r>
        <w:t xml:space="preserve">my knowing one of them on the basis of the other </w:t>
      </w:r>
      <w:r>
        <w:rPr>
          <w:i/>
        </w:rPr>
        <w:t xml:space="preserve">or </w:t>
      </w:r>
      <w:r>
        <w:t>it involves my seeing that such inference would be legitimate.</w:t>
      </w:r>
      <w:r>
        <w:rPr>
          <w:spacing w:val="23"/>
        </w:rPr>
        <w:t xml:space="preserve"> </w:t>
      </w:r>
      <w:r>
        <w:t>In</w:t>
      </w:r>
      <w:r>
        <w:rPr>
          <w:spacing w:val="23"/>
        </w:rPr>
        <w:t xml:space="preserve"> </w:t>
      </w:r>
      <w:r>
        <w:t>either</w:t>
      </w:r>
      <w:r>
        <w:rPr>
          <w:spacing w:val="23"/>
        </w:rPr>
        <w:t xml:space="preserve"> </w:t>
      </w:r>
      <w:r>
        <w:t>case,</w:t>
      </w:r>
      <w:r>
        <w:rPr>
          <w:spacing w:val="23"/>
        </w:rPr>
        <w:t xml:space="preserve"> </w:t>
      </w:r>
      <w:r>
        <w:t>I</w:t>
      </w:r>
      <w:r>
        <w:rPr>
          <w:spacing w:val="23"/>
        </w:rPr>
        <w:t xml:space="preserve"> </w:t>
      </w:r>
      <w:r>
        <w:t>have</w:t>
      </w:r>
      <w:r>
        <w:rPr>
          <w:spacing w:val="23"/>
        </w:rPr>
        <w:t xml:space="preserve"> </w:t>
      </w:r>
      <w:r>
        <w:t>inferential</w:t>
      </w:r>
      <w:r>
        <w:rPr>
          <w:spacing w:val="23"/>
        </w:rPr>
        <w:t xml:space="preserve"> </w:t>
      </w:r>
      <w:r>
        <w:t>knowledge.</w:t>
      </w:r>
      <w:r>
        <w:rPr>
          <w:spacing w:val="23"/>
        </w:rPr>
        <w:t xml:space="preserve"> </w:t>
      </w:r>
      <w:r>
        <w:t>(Even</w:t>
      </w:r>
      <w:r>
        <w:rPr>
          <w:spacing w:val="23"/>
        </w:rPr>
        <w:t xml:space="preserve"> </w:t>
      </w:r>
      <w:r>
        <w:t>if</w:t>
      </w:r>
      <w:r>
        <w:rPr>
          <w:spacing w:val="23"/>
        </w:rPr>
        <w:t xml:space="preserve"> </w:t>
      </w:r>
      <w:r>
        <w:t>I</w:t>
      </w:r>
      <w:r>
        <w:rPr>
          <w:spacing w:val="23"/>
        </w:rPr>
        <w:t xml:space="preserve"> </w:t>
      </w:r>
      <w:r>
        <w:t>happened</w:t>
      </w:r>
    </w:p>
    <w:p w14:paraId="7E0016F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6FD" w14:textId="77777777" w:rsidR="009A58DB" w:rsidRDefault="00000000">
      <w:pPr>
        <w:pStyle w:val="BodyText"/>
        <w:spacing w:before="60" w:line="249" w:lineRule="auto"/>
        <w:ind w:right="359"/>
      </w:pPr>
      <w:r>
        <w:lastRenderedPageBreak/>
        <w:t>to see the fire and the smoke, and thus didn’t have to infer “fire at t in p”</w:t>
      </w:r>
      <w:r>
        <w:rPr>
          <w:spacing w:val="40"/>
        </w:rPr>
        <w:t xml:space="preserve"> </w:t>
      </w:r>
      <w:r>
        <w:t xml:space="preserve">from “smoke at t* in p*” or </w:t>
      </w:r>
      <w:r>
        <w:rPr>
          <w:i/>
        </w:rPr>
        <w:t xml:space="preserve">vice versa, </w:t>
      </w:r>
      <w:r>
        <w:t xml:space="preserve">my knowing that a dependence-relation holds between them involves my knowing that the one could be legitimately inferred from the other. And </w:t>
      </w:r>
      <w:r>
        <w:rPr>
          <w:i/>
        </w:rPr>
        <w:t xml:space="preserve">that </w:t>
      </w:r>
      <w:r>
        <w:t>knowledge, surely, deserves to be characterized as inferential.) Since, as we noted a moment ago, knowledge of dependence-relations precedes knowledge of theories, and since knowledge of such relations is inferential, it follows that inferential knowledge precedes theoretical knowledge.</w:t>
      </w:r>
    </w:p>
    <w:p w14:paraId="7E0016FE" w14:textId="77777777" w:rsidR="009A58DB" w:rsidRDefault="00000000">
      <w:pPr>
        <w:pStyle w:val="BodyText"/>
        <w:spacing w:before="14" w:line="249" w:lineRule="auto"/>
        <w:ind w:right="358" w:firstLine="360"/>
      </w:pPr>
      <w:r>
        <w:t>Of</w:t>
      </w:r>
      <w:r>
        <w:rPr>
          <w:spacing w:val="-1"/>
        </w:rPr>
        <w:t xml:space="preserve"> </w:t>
      </w:r>
      <w:r>
        <w:t>course,</w:t>
      </w:r>
      <w:r>
        <w:rPr>
          <w:spacing w:val="-1"/>
        </w:rPr>
        <w:t xml:space="preserve"> </w:t>
      </w:r>
      <w:r>
        <w:t>those</w:t>
      </w:r>
      <w:r>
        <w:rPr>
          <w:spacing w:val="-1"/>
        </w:rPr>
        <w:t xml:space="preserve"> </w:t>
      </w:r>
      <w:r>
        <w:t>who</w:t>
      </w:r>
      <w:r>
        <w:rPr>
          <w:spacing w:val="-1"/>
        </w:rPr>
        <w:t xml:space="preserve"> </w:t>
      </w:r>
      <w:r>
        <w:t>deny</w:t>
      </w:r>
      <w:r>
        <w:rPr>
          <w:spacing w:val="-1"/>
        </w:rPr>
        <w:t xml:space="preserve"> </w:t>
      </w:r>
      <w:r>
        <w:t>that</w:t>
      </w:r>
      <w:r>
        <w:rPr>
          <w:spacing w:val="-1"/>
        </w:rPr>
        <w:t xml:space="preserve"> </w:t>
      </w:r>
      <w:r>
        <w:t>all</w:t>
      </w:r>
      <w:r>
        <w:rPr>
          <w:spacing w:val="-1"/>
        </w:rPr>
        <w:t xml:space="preserve"> </w:t>
      </w:r>
      <w:r>
        <w:t>knowledge</w:t>
      </w:r>
      <w:r>
        <w:rPr>
          <w:spacing w:val="-1"/>
        </w:rPr>
        <w:t xml:space="preserve"> </w:t>
      </w:r>
      <w:r>
        <w:t>is</w:t>
      </w:r>
      <w:r>
        <w:rPr>
          <w:spacing w:val="-1"/>
        </w:rPr>
        <w:t xml:space="preserve"> </w:t>
      </w:r>
      <w:r>
        <w:t>theoretical</w:t>
      </w:r>
      <w:r>
        <w:rPr>
          <w:spacing w:val="-1"/>
        </w:rPr>
        <w:t xml:space="preserve"> </w:t>
      </w:r>
      <w:r>
        <w:t>don’t</w:t>
      </w:r>
      <w:r>
        <w:rPr>
          <w:spacing w:val="-1"/>
        </w:rPr>
        <w:t xml:space="preserve"> </w:t>
      </w:r>
      <w:r>
        <w:t>have</w:t>
      </w:r>
      <w:r>
        <w:rPr>
          <w:spacing w:val="-1"/>
        </w:rPr>
        <w:t xml:space="preserve"> </w:t>
      </w:r>
      <w:r>
        <w:t xml:space="preserve">this in mind. Usually those who hold that there is “direct” knowledge mean that there is no </w:t>
      </w:r>
      <w:r>
        <w:rPr>
          <w:i/>
        </w:rPr>
        <w:t xml:space="preserve">inferential </w:t>
      </w:r>
      <w:r>
        <w:t>knowledge—they use the terms “inferential” and “theoretically” interchangeably and therefore, since they’re not interchangeable, loosely.</w:t>
      </w:r>
    </w:p>
    <w:p w14:paraId="7E0016FF" w14:textId="77777777" w:rsidR="009A58DB" w:rsidRDefault="00000000">
      <w:pPr>
        <w:pStyle w:val="Heading3"/>
        <w:numPr>
          <w:ilvl w:val="2"/>
          <w:numId w:val="133"/>
        </w:numPr>
        <w:tabs>
          <w:tab w:val="left" w:pos="1136"/>
        </w:tabs>
        <w:spacing w:before="104"/>
        <w:ind w:hanging="776"/>
        <w:jc w:val="both"/>
      </w:pPr>
      <w:r>
        <w:t>Inferential</w:t>
      </w:r>
      <w:r>
        <w:rPr>
          <w:spacing w:val="7"/>
        </w:rPr>
        <w:t xml:space="preserve"> </w:t>
      </w:r>
      <w:r>
        <w:t>vs.</w:t>
      </w:r>
      <w:r>
        <w:rPr>
          <w:spacing w:val="8"/>
        </w:rPr>
        <w:t xml:space="preserve"> </w:t>
      </w:r>
      <w:r>
        <w:t>theoretical</w:t>
      </w:r>
      <w:r>
        <w:rPr>
          <w:spacing w:val="8"/>
        </w:rPr>
        <w:t xml:space="preserve"> </w:t>
      </w:r>
      <w:r>
        <w:t>knowledge</w:t>
      </w:r>
      <w:r>
        <w:rPr>
          <w:spacing w:val="8"/>
        </w:rPr>
        <w:t xml:space="preserve"> </w:t>
      </w:r>
      <w:r>
        <w:rPr>
          <w:spacing w:val="-2"/>
        </w:rPr>
        <w:t>(continued)</w:t>
      </w:r>
    </w:p>
    <w:p w14:paraId="7E001700" w14:textId="77777777" w:rsidR="009A58DB" w:rsidRDefault="00000000">
      <w:pPr>
        <w:pStyle w:val="BodyText"/>
        <w:spacing w:before="82" w:line="249" w:lineRule="auto"/>
        <w:ind w:right="365"/>
      </w:pPr>
      <w:r>
        <w:t>To be made cogent, the foregoing discussion must be qualified in a couple of ways. These qualifications will bring out some principles whose importance extends far beyond the points just made.</w:t>
      </w:r>
    </w:p>
    <w:p w14:paraId="7E001701" w14:textId="77777777" w:rsidR="009A58DB" w:rsidRDefault="00000000">
      <w:pPr>
        <w:pStyle w:val="BodyText"/>
        <w:spacing w:before="3" w:line="249" w:lineRule="auto"/>
        <w:ind w:right="359" w:firstLine="360"/>
      </w:pPr>
      <w:r>
        <w:t>I</w:t>
      </w:r>
      <w:r>
        <w:rPr>
          <w:spacing w:val="-2"/>
        </w:rPr>
        <w:t xml:space="preserve"> </w:t>
      </w:r>
      <w:r>
        <w:t>said</w:t>
      </w:r>
      <w:r>
        <w:rPr>
          <w:spacing w:val="-2"/>
        </w:rPr>
        <w:t xml:space="preserve"> </w:t>
      </w:r>
      <w:r>
        <w:t>that</w:t>
      </w:r>
      <w:r>
        <w:rPr>
          <w:spacing w:val="-2"/>
        </w:rPr>
        <w:t xml:space="preserve"> </w:t>
      </w:r>
      <w:r>
        <w:t>a</w:t>
      </w:r>
      <w:r>
        <w:rPr>
          <w:spacing w:val="-2"/>
        </w:rPr>
        <w:t xml:space="preserve"> </w:t>
      </w:r>
      <w:r>
        <w:t>dependence-relation</w:t>
      </w:r>
      <w:r>
        <w:rPr>
          <w:spacing w:val="-2"/>
        </w:rPr>
        <w:t xml:space="preserve"> </w:t>
      </w:r>
      <w:r>
        <w:t>holds</w:t>
      </w:r>
      <w:r>
        <w:rPr>
          <w:spacing w:val="-2"/>
        </w:rPr>
        <w:t xml:space="preserve"> </w:t>
      </w:r>
      <w:r>
        <w:t>between</w:t>
      </w:r>
      <w:r>
        <w:rPr>
          <w:spacing w:val="-2"/>
        </w:rPr>
        <w:t xml:space="preserve"> </w:t>
      </w:r>
      <w:r>
        <w:t>two</w:t>
      </w:r>
      <w:r>
        <w:rPr>
          <w:spacing w:val="-2"/>
        </w:rPr>
        <w:t xml:space="preserve"> </w:t>
      </w:r>
      <w:r>
        <w:t>statements</w:t>
      </w:r>
      <w:r>
        <w:rPr>
          <w:spacing w:val="-2"/>
        </w:rPr>
        <w:t xml:space="preserve"> </w:t>
      </w:r>
      <w:r>
        <w:t>just</w:t>
      </w:r>
      <w:r>
        <w:rPr>
          <w:spacing w:val="-2"/>
        </w:rPr>
        <w:t xml:space="preserve"> </w:t>
      </w:r>
      <w:r>
        <w:t>in</w:t>
      </w:r>
      <w:r>
        <w:rPr>
          <w:spacing w:val="-2"/>
        </w:rPr>
        <w:t xml:space="preserve"> </w:t>
      </w:r>
      <w:r>
        <w:t>case one</w:t>
      </w:r>
      <w:r>
        <w:rPr>
          <w:spacing w:val="-1"/>
        </w:rPr>
        <w:t xml:space="preserve"> </w:t>
      </w:r>
      <w:r>
        <w:t>of</w:t>
      </w:r>
      <w:r>
        <w:rPr>
          <w:spacing w:val="-1"/>
        </w:rPr>
        <w:t xml:space="preserve"> </w:t>
      </w:r>
      <w:r>
        <w:t>them</w:t>
      </w:r>
      <w:r>
        <w:rPr>
          <w:spacing w:val="-1"/>
        </w:rPr>
        <w:t xml:space="preserve"> </w:t>
      </w:r>
      <w:r>
        <w:t>can</w:t>
      </w:r>
      <w:r>
        <w:rPr>
          <w:spacing w:val="-1"/>
        </w:rPr>
        <w:t xml:space="preserve"> </w:t>
      </w:r>
      <w:r>
        <w:t>be</w:t>
      </w:r>
      <w:r>
        <w:rPr>
          <w:spacing w:val="-1"/>
        </w:rPr>
        <w:t xml:space="preserve"> </w:t>
      </w:r>
      <w:r>
        <w:t>legitimately</w:t>
      </w:r>
      <w:r>
        <w:rPr>
          <w:spacing w:val="-1"/>
        </w:rPr>
        <w:t xml:space="preserve"> </w:t>
      </w:r>
      <w:r>
        <w:t>inferred</w:t>
      </w:r>
      <w:r>
        <w:rPr>
          <w:spacing w:val="-1"/>
        </w:rPr>
        <w:t xml:space="preserve"> </w:t>
      </w:r>
      <w:r>
        <w:t>from</w:t>
      </w:r>
      <w:r>
        <w:rPr>
          <w:spacing w:val="-1"/>
        </w:rPr>
        <w:t xml:space="preserve"> </w:t>
      </w:r>
      <w:r>
        <w:t>the</w:t>
      </w:r>
      <w:r>
        <w:rPr>
          <w:spacing w:val="-1"/>
        </w:rPr>
        <w:t xml:space="preserve"> </w:t>
      </w:r>
      <w:r>
        <w:t>other.</w:t>
      </w:r>
      <w:r>
        <w:rPr>
          <w:spacing w:val="-1"/>
        </w:rPr>
        <w:t xml:space="preserve"> </w:t>
      </w:r>
      <w:r>
        <w:t>Some</w:t>
      </w:r>
      <w:r>
        <w:rPr>
          <w:spacing w:val="-1"/>
        </w:rPr>
        <w:t xml:space="preserve"> </w:t>
      </w:r>
      <w:r>
        <w:t>might</w:t>
      </w:r>
      <w:r>
        <w:rPr>
          <w:spacing w:val="-1"/>
        </w:rPr>
        <w:t xml:space="preserve"> </w:t>
      </w:r>
      <w:r>
        <w:t>object</w:t>
      </w:r>
      <w:r>
        <w:rPr>
          <w:spacing w:val="-1"/>
        </w:rPr>
        <w:t xml:space="preserve"> </w:t>
      </w:r>
      <w:r>
        <w:t>to this on grounds like the following:</w:t>
      </w:r>
    </w:p>
    <w:p w14:paraId="7E001702" w14:textId="77777777" w:rsidR="009A58DB" w:rsidRDefault="009A58DB">
      <w:pPr>
        <w:pStyle w:val="BodyText"/>
        <w:spacing w:before="19"/>
        <w:ind w:left="0"/>
        <w:jc w:val="left"/>
      </w:pPr>
    </w:p>
    <w:p w14:paraId="7E001703" w14:textId="77777777" w:rsidR="009A58DB" w:rsidRDefault="00000000">
      <w:pPr>
        <w:pStyle w:val="BodyText"/>
        <w:spacing w:line="249" w:lineRule="auto"/>
        <w:ind w:left="720" w:right="720"/>
      </w:pPr>
      <w:r>
        <w:t>Smith’s crashing the car might have resulted from his being drunk. So the statements “Smith was drunk at t” and “Smith crashed the car at</w:t>
      </w:r>
      <w:r>
        <w:rPr>
          <w:spacing w:val="40"/>
        </w:rPr>
        <w:t xml:space="preserve"> </w:t>
      </w:r>
      <w:r>
        <w:t>t*.” But surely I cannot legitimately infer the second from the first. Given only that Smith is drunk, I can’t infer that he’ll crash his car. So, contrary to what you say, dependence-relations aren’t always backed</w:t>
      </w:r>
      <w:r>
        <w:rPr>
          <w:spacing w:val="40"/>
        </w:rPr>
        <w:t xml:space="preserve"> </w:t>
      </w:r>
      <w:r>
        <w:t>by legitimate inference rules.</w:t>
      </w:r>
    </w:p>
    <w:p w14:paraId="7E001704" w14:textId="77777777" w:rsidR="009A58DB" w:rsidRDefault="009A58DB">
      <w:pPr>
        <w:pStyle w:val="BodyText"/>
        <w:spacing w:before="22"/>
        <w:ind w:left="0"/>
        <w:jc w:val="left"/>
      </w:pPr>
    </w:p>
    <w:p w14:paraId="7E001705" w14:textId="77777777" w:rsidR="009A58DB" w:rsidRDefault="00000000">
      <w:pPr>
        <w:pStyle w:val="BodyText"/>
        <w:spacing w:line="249" w:lineRule="auto"/>
        <w:ind w:right="358" w:firstLine="360"/>
      </w:pPr>
      <w:r>
        <w:t xml:space="preserve">First of all, it wasn’t </w:t>
      </w:r>
      <w:r>
        <w:rPr>
          <w:i/>
        </w:rPr>
        <w:t xml:space="preserve">merely </w:t>
      </w:r>
      <w:r>
        <w:t>Smith’s being drunk that led to his crash. It was his being drunk while being behind the wheel. (In fact, more than this is involved. He wouldn’t have crashed had the car in front of him not slowed down or if he hadn’t been talking on his cell phone when this happened. It was a confluence of factors—his drunkenness, the behavior of the driver in front of him, his own distractedness—that led to the crash. Total causes are always</w:t>
      </w:r>
      <w:r>
        <w:rPr>
          <w:spacing w:val="76"/>
          <w:w w:val="150"/>
        </w:rPr>
        <w:t xml:space="preserve"> </w:t>
      </w:r>
      <w:r>
        <w:t>confluences</w:t>
      </w:r>
      <w:r>
        <w:rPr>
          <w:spacing w:val="76"/>
          <w:w w:val="150"/>
        </w:rPr>
        <w:t xml:space="preserve"> </w:t>
      </w:r>
      <w:r>
        <w:t>of</w:t>
      </w:r>
      <w:r>
        <w:rPr>
          <w:spacing w:val="76"/>
          <w:w w:val="150"/>
        </w:rPr>
        <w:t xml:space="preserve"> </w:t>
      </w:r>
      <w:r>
        <w:t>circumstances.</w:t>
      </w:r>
      <w:r>
        <w:rPr>
          <w:spacing w:val="77"/>
          <w:w w:val="150"/>
        </w:rPr>
        <w:t xml:space="preserve"> </w:t>
      </w:r>
      <w:r>
        <w:t>Thus,</w:t>
      </w:r>
      <w:r>
        <w:rPr>
          <w:spacing w:val="77"/>
          <w:w w:val="150"/>
        </w:rPr>
        <w:t xml:space="preserve"> </w:t>
      </w:r>
      <w:r>
        <w:t>the</w:t>
      </w:r>
      <w:r>
        <w:rPr>
          <w:spacing w:val="76"/>
          <w:w w:val="150"/>
        </w:rPr>
        <w:t xml:space="preserve"> </w:t>
      </w:r>
      <w:r>
        <w:t>dependence-relation</w:t>
      </w:r>
      <w:r>
        <w:rPr>
          <w:spacing w:val="77"/>
          <w:w w:val="150"/>
        </w:rPr>
        <w:t xml:space="preserve"> </w:t>
      </w:r>
      <w:r>
        <w:t>in</w:t>
      </w:r>
    </w:p>
    <w:p w14:paraId="7E0017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07" w14:textId="77777777" w:rsidR="009A58DB" w:rsidRDefault="00000000">
      <w:pPr>
        <w:pStyle w:val="BodyText"/>
        <w:spacing w:before="70" w:line="249" w:lineRule="auto"/>
        <w:ind w:right="359"/>
      </w:pPr>
      <w:r>
        <w:lastRenderedPageBreak/>
        <w:t xml:space="preserve">question holds, not between the two statements cited by the objector, but between “at t, Smith crashed” and “at immediately preceding time t*, Smith was driving while drunk and talking on his cell phone, when the car in front of him suddenly slowed down.” The second statement </w:t>
      </w:r>
      <w:r>
        <w:rPr>
          <w:i/>
        </w:rPr>
        <w:t xml:space="preserve">does </w:t>
      </w:r>
      <w:r>
        <w:t>make it reasonable to infer that, at or around t, Smith crashed.</w:t>
      </w:r>
    </w:p>
    <w:p w14:paraId="7E001708" w14:textId="77777777" w:rsidR="009A58DB" w:rsidRDefault="00000000">
      <w:pPr>
        <w:pStyle w:val="BodyText"/>
        <w:spacing w:before="1" w:line="249" w:lineRule="auto"/>
        <w:ind w:right="358" w:firstLine="360"/>
      </w:pPr>
      <w:r>
        <w:t xml:space="preserve">Admittedly, the second statement doesn’t make it </w:t>
      </w:r>
      <w:r>
        <w:rPr>
          <w:i/>
        </w:rPr>
        <w:t xml:space="preserve">certain </w:t>
      </w:r>
      <w:r>
        <w:t xml:space="preserve">that he crashed. This is because the presumption that, given the various factors at play (his drunkenness and distractedness, the sudden deceleration of the car in front of him, etc.) the imminent crash could still be headed off. Maybe the person in the passenger-seat of Smith’s car wrenched the steering wheel to the right, just in time to avoid the crash. Not likely, but possible. Maybe Smith is somebody whose driving is enhanced by drunkenness. Not likely, but possible. But even though, given the operative conditions, Smith’s crashing cannot be known with certainty to occur, it doesn’t follow that the inference from “Smith was drunk and chatting on his cell phone [etc.]” to “Smith crashed” isn’t legitimate or, therefore, isn’t licensed by a truth-conducive inference rule. What follows is that the inference rule in question is </w:t>
      </w:r>
      <w:r>
        <w:rPr>
          <w:i/>
        </w:rPr>
        <w:t xml:space="preserve">defeasible. </w:t>
      </w:r>
      <w:r>
        <w:t xml:space="preserve">An inference rule is defeasible if (i) it provides a reasonable </w:t>
      </w:r>
      <w:r>
        <w:rPr>
          <w:i/>
        </w:rPr>
        <w:t xml:space="preserve">presumption </w:t>
      </w:r>
      <w:r>
        <w:t>that, given certain premises, a certain conclusion holds, but (ii) that presumption may turn out to be false if other facts, not in evidence, happen to intercede.</w:t>
      </w:r>
    </w:p>
    <w:p w14:paraId="7E001709" w14:textId="77777777" w:rsidR="009A58DB" w:rsidRDefault="00000000">
      <w:pPr>
        <w:pStyle w:val="BodyText"/>
        <w:spacing w:before="19" w:line="249" w:lineRule="auto"/>
        <w:ind w:right="358" w:firstLine="360"/>
      </w:pPr>
      <w:r>
        <w:t xml:space="preserve">There is a big difference between an inference rule that is defeasible, on the one hand, and one that is simply bad (i.e., not truth-conducive), on the other. A bad inference rule provides </w:t>
      </w:r>
      <w:r>
        <w:rPr>
          <w:i/>
        </w:rPr>
        <w:t xml:space="preserve">no </w:t>
      </w:r>
      <w:r>
        <w:t>reason for inferring one thing from another. A defeasible inference rule (when good) does provide such a reason. It doesn’t provide as good a reason as a non-defeasible inference rule. But that doesn’t mean that it’s not good at all; goodness (truth-conduciveness) comes in degrees.</w:t>
      </w:r>
    </w:p>
    <w:p w14:paraId="7E00170A" w14:textId="77777777" w:rsidR="009A58DB" w:rsidRDefault="00000000">
      <w:pPr>
        <w:pStyle w:val="Heading3"/>
        <w:numPr>
          <w:ilvl w:val="2"/>
          <w:numId w:val="133"/>
        </w:numPr>
        <w:tabs>
          <w:tab w:val="left" w:pos="1136"/>
        </w:tabs>
        <w:spacing w:before="107"/>
        <w:ind w:hanging="776"/>
        <w:jc w:val="both"/>
      </w:pPr>
      <w:r>
        <w:t>Rules</w:t>
      </w:r>
      <w:r>
        <w:rPr>
          <w:spacing w:val="3"/>
        </w:rPr>
        <w:t xml:space="preserve"> </w:t>
      </w:r>
      <w:r>
        <w:t>vs.</w:t>
      </w:r>
      <w:r>
        <w:rPr>
          <w:spacing w:val="5"/>
        </w:rPr>
        <w:t xml:space="preserve"> </w:t>
      </w:r>
      <w:r>
        <w:rPr>
          <w:spacing w:val="-2"/>
        </w:rPr>
        <w:t>principles</w:t>
      </w:r>
    </w:p>
    <w:p w14:paraId="7E00170B" w14:textId="77777777" w:rsidR="009A58DB" w:rsidRDefault="00000000">
      <w:pPr>
        <w:pStyle w:val="BodyText"/>
        <w:spacing w:before="81" w:line="249" w:lineRule="auto"/>
        <w:ind w:right="358"/>
      </w:pPr>
      <w:r>
        <w:t>There’s also a big difference between a principle and a rule.</w:t>
      </w:r>
      <w:bookmarkStart w:id="292" w:name="_bookmark292"/>
      <w:bookmarkEnd w:id="292"/>
      <w:r>
        <w:rPr>
          <w:color w:val="0562C1"/>
          <w:position w:val="21"/>
          <w:u w:val="single" w:color="0562C1"/>
        </w:rPr>
        <w:t>[190]</w:t>
      </w:r>
      <w:r>
        <w:rPr>
          <w:color w:val="0562C1"/>
          <w:spacing w:val="-6"/>
          <w:position w:val="21"/>
        </w:rPr>
        <w:t xml:space="preserve"> </w:t>
      </w:r>
      <w:r>
        <w:t>Rules are about outcomes. Principles are about tendencies. Rules have the form: “if</w:t>
      </w:r>
      <w:r>
        <w:rPr>
          <w:spacing w:val="40"/>
        </w:rPr>
        <w:t xml:space="preserve"> </w:t>
      </w:r>
      <w:r>
        <w:t xml:space="preserve">this, then that.” (If it’s a raven, then it’s black.) They’re categorical. (All members of the category </w:t>
      </w:r>
      <w:r>
        <w:rPr>
          <w:i/>
        </w:rPr>
        <w:t xml:space="preserve">raven </w:t>
      </w:r>
      <w:r>
        <w:t xml:space="preserve">are members of the category </w:t>
      </w:r>
      <w:r>
        <w:rPr>
          <w:i/>
        </w:rPr>
        <w:t>black.</w:t>
      </w:r>
      <w:r>
        <w:t>) A rule that</w:t>
      </w:r>
      <w:r>
        <w:rPr>
          <w:spacing w:val="40"/>
        </w:rPr>
        <w:t xml:space="preserve"> </w:t>
      </w:r>
      <w:r>
        <w:t>admits</w:t>
      </w:r>
      <w:r>
        <w:rPr>
          <w:spacing w:val="40"/>
        </w:rPr>
        <w:t xml:space="preserve"> </w:t>
      </w:r>
      <w:r>
        <w:t>exceptions</w:t>
      </w:r>
      <w:r>
        <w:rPr>
          <w:spacing w:val="40"/>
        </w:rPr>
        <w:t xml:space="preserve"> </w:t>
      </w:r>
      <w:r>
        <w:t>is</w:t>
      </w:r>
      <w:r>
        <w:rPr>
          <w:spacing w:val="40"/>
        </w:rPr>
        <w:t xml:space="preserve"> </w:t>
      </w:r>
      <w:r>
        <w:t>false.</w:t>
      </w:r>
      <w:r>
        <w:rPr>
          <w:spacing w:val="40"/>
        </w:rPr>
        <w:t xml:space="preserve"> </w:t>
      </w:r>
      <w:r>
        <w:t>(A</w:t>
      </w:r>
      <w:r>
        <w:rPr>
          <w:spacing w:val="40"/>
        </w:rPr>
        <w:t xml:space="preserve"> </w:t>
      </w:r>
      <w:r>
        <w:t>single</w:t>
      </w:r>
      <w:r>
        <w:rPr>
          <w:spacing w:val="40"/>
        </w:rPr>
        <w:t xml:space="preserve"> </w:t>
      </w:r>
      <w:r>
        <w:t>non-black</w:t>
      </w:r>
      <w:r>
        <w:rPr>
          <w:spacing w:val="40"/>
        </w:rPr>
        <w:t xml:space="preserve"> </w:t>
      </w:r>
      <w:r>
        <w:t>raven</w:t>
      </w:r>
      <w:r>
        <w:rPr>
          <w:spacing w:val="40"/>
        </w:rPr>
        <w:t xml:space="preserve"> </w:t>
      </w:r>
      <w:r>
        <w:t>falsifies</w:t>
      </w:r>
      <w:r>
        <w:rPr>
          <w:spacing w:val="40"/>
        </w:rPr>
        <w:t xml:space="preserve"> </w:t>
      </w:r>
      <w:r>
        <w:t>the</w:t>
      </w:r>
      <w:r>
        <w:rPr>
          <w:spacing w:val="40"/>
        </w:rPr>
        <w:t xml:space="preserve"> </w:t>
      </w:r>
      <w:r>
        <w:t>rule</w:t>
      </w:r>
    </w:p>
    <w:p w14:paraId="7E00170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0D" w14:textId="77777777" w:rsidR="009A58DB" w:rsidRDefault="00000000">
      <w:pPr>
        <w:pStyle w:val="BodyText"/>
        <w:spacing w:before="70" w:line="249" w:lineRule="auto"/>
        <w:ind w:right="367"/>
      </w:pPr>
      <w:r>
        <w:lastRenderedPageBreak/>
        <w:t>that all ravens are black.) A correct rule can be obtained by replacing a counter-exampled rule with one that is duly hedged with exception clauses. (So, supposing that Smith is the one non-black raven, then “all ravens other than Smith are black” is indeed a correct rule.)</w:t>
      </w:r>
    </w:p>
    <w:p w14:paraId="7E00170E" w14:textId="77777777" w:rsidR="009A58DB" w:rsidRDefault="00000000">
      <w:pPr>
        <w:pStyle w:val="BodyText"/>
        <w:spacing w:line="249" w:lineRule="auto"/>
        <w:ind w:right="359" w:firstLine="360"/>
      </w:pPr>
      <w:r>
        <w:t>But a duly hedged rule is not a principle. Principles are not watered down rules.</w:t>
      </w:r>
      <w:r>
        <w:rPr>
          <w:spacing w:val="-2"/>
        </w:rPr>
        <w:t xml:space="preserve"> </w:t>
      </w:r>
      <w:r>
        <w:t>It</w:t>
      </w:r>
      <w:r>
        <w:rPr>
          <w:spacing w:val="-1"/>
        </w:rPr>
        <w:t xml:space="preserve"> </w:t>
      </w:r>
      <w:r>
        <w:t>is</w:t>
      </w:r>
      <w:r>
        <w:rPr>
          <w:spacing w:val="-2"/>
        </w:rPr>
        <w:t xml:space="preserve"> </w:t>
      </w:r>
      <w:r>
        <w:t>no</w:t>
      </w:r>
      <w:r>
        <w:rPr>
          <w:spacing w:val="-1"/>
        </w:rPr>
        <w:t xml:space="preserve"> </w:t>
      </w:r>
      <w:r>
        <w:t>accident</w:t>
      </w:r>
      <w:r>
        <w:rPr>
          <w:spacing w:val="-2"/>
        </w:rPr>
        <w:t xml:space="preserve"> </w:t>
      </w:r>
      <w:r>
        <w:t>that</w:t>
      </w:r>
      <w:r>
        <w:rPr>
          <w:spacing w:val="-1"/>
        </w:rPr>
        <w:t xml:space="preserve"> </w:t>
      </w:r>
      <w:r>
        <w:t>so</w:t>
      </w:r>
      <w:r>
        <w:rPr>
          <w:spacing w:val="-2"/>
        </w:rPr>
        <w:t xml:space="preserve"> </w:t>
      </w:r>
      <w:r>
        <w:t>many</w:t>
      </w:r>
      <w:r>
        <w:rPr>
          <w:spacing w:val="-2"/>
        </w:rPr>
        <w:t xml:space="preserve"> </w:t>
      </w:r>
      <w:r>
        <w:t>drunk</w:t>
      </w:r>
      <w:r>
        <w:rPr>
          <w:spacing w:val="-1"/>
        </w:rPr>
        <w:t xml:space="preserve"> </w:t>
      </w:r>
      <w:r>
        <w:t>drivers</w:t>
      </w:r>
      <w:r>
        <w:rPr>
          <w:spacing w:val="-2"/>
        </w:rPr>
        <w:t xml:space="preserve"> </w:t>
      </w:r>
      <w:r>
        <w:t>crashed;</w:t>
      </w:r>
      <w:r>
        <w:rPr>
          <w:spacing w:val="-1"/>
        </w:rPr>
        <w:t xml:space="preserve"> </w:t>
      </w:r>
      <w:r>
        <w:t>it’s</w:t>
      </w:r>
      <w:r>
        <w:rPr>
          <w:spacing w:val="-2"/>
        </w:rPr>
        <w:t xml:space="preserve"> </w:t>
      </w:r>
      <w:r>
        <w:t>not</w:t>
      </w:r>
      <w:r>
        <w:rPr>
          <w:spacing w:val="-1"/>
        </w:rPr>
        <w:t xml:space="preserve"> </w:t>
      </w:r>
      <w:r>
        <w:t>a</w:t>
      </w:r>
      <w:r>
        <w:rPr>
          <w:spacing w:val="-1"/>
        </w:rPr>
        <w:t xml:space="preserve"> </w:t>
      </w:r>
      <w:r>
        <w:t>statistical fluke. Nor is it parasitic on some other, more robust connection. In a society where the government forced blond people to live near nuclear waste, there would be a connection. Drunk driving is to crashing what being exposed to radiation (as opposed to being blonde in the society just described) is to getting cancer.</w:t>
      </w:r>
    </w:p>
    <w:p w14:paraId="7E00170F" w14:textId="77777777" w:rsidR="009A58DB" w:rsidRDefault="00000000">
      <w:pPr>
        <w:pStyle w:val="BodyText"/>
        <w:spacing w:before="8" w:line="249" w:lineRule="auto"/>
        <w:ind w:right="358" w:firstLine="360"/>
        <w:rPr>
          <w:position w:val="21"/>
        </w:rPr>
      </w:pPr>
      <w:r>
        <w:t>As we’ll see in Chapter 17, empiricists think of principles as being watered-down rules—as being expressed by categorical statements to which there are exceptions. This isn’t the right way to think about them. Principles are better thought of as registering the existence of defeasible forces. Being drunk can be thought as a car-crash-conducive force (or, more likely, confluence of forces) that, like most forces, can be overridden. Note that, whereas</w:t>
      </w:r>
      <w:r>
        <w:rPr>
          <w:spacing w:val="-2"/>
        </w:rPr>
        <w:t xml:space="preserve"> </w:t>
      </w:r>
      <w:r>
        <w:t>inference-rules</w:t>
      </w:r>
      <w:r>
        <w:rPr>
          <w:spacing w:val="-2"/>
        </w:rPr>
        <w:t xml:space="preserve"> </w:t>
      </w:r>
      <w:r>
        <w:t>are</w:t>
      </w:r>
      <w:r>
        <w:rPr>
          <w:spacing w:val="-2"/>
        </w:rPr>
        <w:t xml:space="preserve"> </w:t>
      </w:r>
      <w:r>
        <w:t>defeasible</w:t>
      </w:r>
      <w:r>
        <w:rPr>
          <w:spacing w:val="-2"/>
        </w:rPr>
        <w:t xml:space="preserve"> </w:t>
      </w:r>
      <w:r>
        <w:t>in</w:t>
      </w:r>
      <w:r>
        <w:rPr>
          <w:spacing w:val="-2"/>
        </w:rPr>
        <w:t xml:space="preserve"> </w:t>
      </w:r>
      <w:r>
        <w:t>a</w:t>
      </w:r>
      <w:r>
        <w:rPr>
          <w:spacing w:val="-2"/>
        </w:rPr>
        <w:t xml:space="preserve"> </w:t>
      </w:r>
      <w:r>
        <w:t>logical</w:t>
      </w:r>
      <w:r>
        <w:rPr>
          <w:spacing w:val="-2"/>
        </w:rPr>
        <w:t xml:space="preserve"> </w:t>
      </w:r>
      <w:r>
        <w:t>sense,</w:t>
      </w:r>
      <w:r>
        <w:rPr>
          <w:spacing w:val="-2"/>
        </w:rPr>
        <w:t xml:space="preserve"> </w:t>
      </w:r>
      <w:r>
        <w:t>forces</w:t>
      </w:r>
      <w:r>
        <w:rPr>
          <w:spacing w:val="-2"/>
        </w:rPr>
        <w:t xml:space="preserve"> </w:t>
      </w:r>
      <w:r>
        <w:t>are</w:t>
      </w:r>
      <w:r>
        <w:rPr>
          <w:spacing w:val="-2"/>
        </w:rPr>
        <w:t xml:space="preserve"> </w:t>
      </w:r>
      <w:r>
        <w:t>defeasible in a causal sense</w:t>
      </w:r>
      <w:bookmarkStart w:id="293" w:name="_bookmark293"/>
      <w:bookmarkEnd w:id="293"/>
      <w:r>
        <w:t>.</w:t>
      </w:r>
      <w:r>
        <w:rPr>
          <w:color w:val="0562C1"/>
          <w:position w:val="21"/>
          <w:u w:val="single" w:color="0562C1"/>
        </w:rPr>
        <w:t>[191]</w:t>
      </w:r>
    </w:p>
    <w:p w14:paraId="7E001710" w14:textId="77777777" w:rsidR="009A58DB" w:rsidRDefault="00000000">
      <w:pPr>
        <w:pStyle w:val="Heading1"/>
        <w:numPr>
          <w:ilvl w:val="1"/>
          <w:numId w:val="132"/>
        </w:numPr>
        <w:tabs>
          <w:tab w:val="left" w:pos="990"/>
        </w:tabs>
        <w:spacing w:before="198"/>
      </w:pPr>
      <w:r>
        <w:t>Knowledge</w:t>
      </w:r>
      <w:r>
        <w:rPr>
          <w:spacing w:val="-7"/>
        </w:rPr>
        <w:t xml:space="preserve"> </w:t>
      </w:r>
      <w:r>
        <w:t>of</w:t>
      </w:r>
      <w:r>
        <w:rPr>
          <w:spacing w:val="-4"/>
        </w:rPr>
        <w:t xml:space="preserve"> </w:t>
      </w:r>
      <w:r>
        <w:t>ourselves</w:t>
      </w:r>
      <w:r>
        <w:rPr>
          <w:spacing w:val="-4"/>
        </w:rPr>
        <w:t xml:space="preserve"> </w:t>
      </w:r>
      <w:r>
        <w:t>and</w:t>
      </w:r>
      <w:r>
        <w:rPr>
          <w:spacing w:val="-4"/>
        </w:rPr>
        <w:t xml:space="preserve"> </w:t>
      </w:r>
      <w:r>
        <w:rPr>
          <w:spacing w:val="-2"/>
        </w:rPr>
        <w:t>others</w:t>
      </w:r>
    </w:p>
    <w:p w14:paraId="7E001711" w14:textId="77777777" w:rsidR="009A58DB" w:rsidRDefault="00000000">
      <w:pPr>
        <w:pStyle w:val="BodyText"/>
        <w:spacing w:before="139" w:line="249" w:lineRule="auto"/>
        <w:ind w:right="360"/>
      </w:pPr>
      <w:r>
        <w:t xml:space="preserve">A person’s knowledge of himself is obviously much better than his knowledge of others. You obviously have a much more accurate understanding of your own mind than you do of the other people’s minds. Nonetheless, we can, within limits, have some knowledge of what others are </w:t>
      </w:r>
      <w:r>
        <w:rPr>
          <w:spacing w:val="-2"/>
        </w:rPr>
        <w:t>thinking.</w:t>
      </w:r>
    </w:p>
    <w:p w14:paraId="7E001712" w14:textId="77777777" w:rsidR="009A58DB" w:rsidRDefault="00000000">
      <w:pPr>
        <w:pStyle w:val="BodyText"/>
        <w:spacing w:before="6" w:line="249" w:lineRule="auto"/>
        <w:ind w:right="364" w:firstLine="360"/>
      </w:pPr>
      <w:r>
        <w:t>It is a matter of considerable dispute how we can acquire such knowledge. But here is a hypothesis that, I think, must surely be correct—at least for some, though perhaps not all, instances of knowledge of others.</w:t>
      </w:r>
    </w:p>
    <w:p w14:paraId="7E001713" w14:textId="77777777" w:rsidR="009A58DB" w:rsidRDefault="00000000">
      <w:pPr>
        <w:pStyle w:val="BodyText"/>
        <w:spacing w:before="4" w:line="249" w:lineRule="auto"/>
        <w:ind w:right="359" w:firstLine="360"/>
      </w:pPr>
      <w:r>
        <w:t>We can, at least within limits, have direct knowledge of what is going on within our own minds. And we often know how we are likely to behave in response to an experience of a given kind. When others behave in a given way, I tend to ascribe to them the kind of mental state that accompanies instances</w:t>
      </w:r>
      <w:r>
        <w:rPr>
          <w:spacing w:val="-3"/>
        </w:rPr>
        <w:t xml:space="preserve"> </w:t>
      </w:r>
      <w:r>
        <w:t>of</w:t>
      </w:r>
      <w:r>
        <w:rPr>
          <w:spacing w:val="-3"/>
        </w:rPr>
        <w:t xml:space="preserve"> </w:t>
      </w:r>
      <w:r>
        <w:rPr>
          <w:i/>
        </w:rPr>
        <w:t>my</w:t>
      </w:r>
      <w:r>
        <w:rPr>
          <w:i/>
          <w:spacing w:val="-3"/>
        </w:rPr>
        <w:t xml:space="preserve"> </w:t>
      </w:r>
      <w:r>
        <w:t>behaving</w:t>
      </w:r>
      <w:r>
        <w:rPr>
          <w:spacing w:val="-2"/>
        </w:rPr>
        <w:t xml:space="preserve"> </w:t>
      </w:r>
      <w:r>
        <w:t>in</w:t>
      </w:r>
      <w:r>
        <w:rPr>
          <w:spacing w:val="-1"/>
        </w:rPr>
        <w:t xml:space="preserve"> </w:t>
      </w:r>
      <w:r>
        <w:t>that</w:t>
      </w:r>
      <w:r>
        <w:rPr>
          <w:spacing w:val="-2"/>
        </w:rPr>
        <w:t xml:space="preserve"> </w:t>
      </w:r>
      <w:r>
        <w:t>way.</w:t>
      </w:r>
      <w:r>
        <w:rPr>
          <w:spacing w:val="-1"/>
        </w:rPr>
        <w:t xml:space="preserve"> </w:t>
      </w:r>
      <w:r>
        <w:t>I</w:t>
      </w:r>
      <w:r>
        <w:rPr>
          <w:spacing w:val="-2"/>
        </w:rPr>
        <w:t xml:space="preserve"> </w:t>
      </w:r>
      <w:r>
        <w:t>know</w:t>
      </w:r>
      <w:r>
        <w:rPr>
          <w:spacing w:val="-1"/>
        </w:rPr>
        <w:t xml:space="preserve"> </w:t>
      </w:r>
      <w:r>
        <w:t>that</w:t>
      </w:r>
      <w:r>
        <w:rPr>
          <w:spacing w:val="-1"/>
        </w:rPr>
        <w:t xml:space="preserve"> </w:t>
      </w:r>
      <w:r>
        <w:t>when</w:t>
      </w:r>
      <w:r>
        <w:rPr>
          <w:spacing w:val="-2"/>
        </w:rPr>
        <w:t xml:space="preserve"> </w:t>
      </w:r>
      <w:r>
        <w:t>I</w:t>
      </w:r>
      <w:r>
        <w:rPr>
          <w:spacing w:val="-1"/>
        </w:rPr>
        <w:t xml:space="preserve"> </w:t>
      </w:r>
      <w:r>
        <w:t>am</w:t>
      </w:r>
      <w:r>
        <w:rPr>
          <w:spacing w:val="-2"/>
        </w:rPr>
        <w:t xml:space="preserve"> </w:t>
      </w:r>
      <w:r>
        <w:t>in</w:t>
      </w:r>
      <w:r>
        <w:rPr>
          <w:spacing w:val="-1"/>
        </w:rPr>
        <w:t xml:space="preserve"> </w:t>
      </w:r>
      <w:r>
        <w:t>pain,</w:t>
      </w:r>
      <w:r>
        <w:rPr>
          <w:spacing w:val="-2"/>
        </w:rPr>
        <w:t xml:space="preserve"> </w:t>
      </w:r>
      <w:r>
        <w:t>I</w:t>
      </w:r>
      <w:r>
        <w:rPr>
          <w:spacing w:val="-1"/>
        </w:rPr>
        <w:t xml:space="preserve"> </w:t>
      </w:r>
      <w:r>
        <w:t>tend</w:t>
      </w:r>
      <w:r>
        <w:rPr>
          <w:spacing w:val="-1"/>
        </w:rPr>
        <w:t xml:space="preserve"> </w:t>
      </w:r>
      <w:r>
        <w:t>to wince</w:t>
      </w:r>
      <w:r>
        <w:rPr>
          <w:spacing w:val="20"/>
        </w:rPr>
        <w:t xml:space="preserve"> </w:t>
      </w:r>
      <w:r>
        <w:t>or</w:t>
      </w:r>
      <w:r>
        <w:rPr>
          <w:spacing w:val="23"/>
        </w:rPr>
        <w:t xml:space="preserve"> </w:t>
      </w:r>
      <w:r>
        <w:t>clutch</w:t>
      </w:r>
      <w:r>
        <w:rPr>
          <w:spacing w:val="24"/>
        </w:rPr>
        <w:t xml:space="preserve"> </w:t>
      </w:r>
      <w:r>
        <w:t>at</w:t>
      </w:r>
      <w:r>
        <w:rPr>
          <w:spacing w:val="22"/>
        </w:rPr>
        <w:t xml:space="preserve"> </w:t>
      </w:r>
      <w:r>
        <w:t>the</w:t>
      </w:r>
      <w:r>
        <w:rPr>
          <w:spacing w:val="24"/>
        </w:rPr>
        <w:t xml:space="preserve"> </w:t>
      </w:r>
      <w:r>
        <w:t>wounded</w:t>
      </w:r>
      <w:r>
        <w:rPr>
          <w:spacing w:val="23"/>
        </w:rPr>
        <w:t xml:space="preserve"> </w:t>
      </w:r>
      <w:r>
        <w:t>part</w:t>
      </w:r>
      <w:r>
        <w:rPr>
          <w:spacing w:val="23"/>
        </w:rPr>
        <w:t xml:space="preserve"> </w:t>
      </w:r>
      <w:r>
        <w:t>of</w:t>
      </w:r>
      <w:r>
        <w:rPr>
          <w:spacing w:val="23"/>
        </w:rPr>
        <w:t xml:space="preserve"> </w:t>
      </w:r>
      <w:r>
        <w:t>my</w:t>
      </w:r>
      <w:r>
        <w:rPr>
          <w:spacing w:val="23"/>
        </w:rPr>
        <w:t xml:space="preserve"> </w:t>
      </w:r>
      <w:r>
        <w:t>body</w:t>
      </w:r>
      <w:r>
        <w:rPr>
          <w:spacing w:val="23"/>
        </w:rPr>
        <w:t xml:space="preserve"> </w:t>
      </w:r>
      <w:r>
        <w:t>(or</w:t>
      </w:r>
      <w:r>
        <w:rPr>
          <w:spacing w:val="24"/>
        </w:rPr>
        <w:t xml:space="preserve"> </w:t>
      </w:r>
      <w:r>
        <w:t>some</w:t>
      </w:r>
      <w:r>
        <w:rPr>
          <w:spacing w:val="22"/>
        </w:rPr>
        <w:t xml:space="preserve"> </w:t>
      </w:r>
      <w:r>
        <w:t>such).</w:t>
      </w:r>
      <w:r>
        <w:rPr>
          <w:spacing w:val="24"/>
        </w:rPr>
        <w:t xml:space="preserve"> </w:t>
      </w:r>
      <w:r>
        <w:t>So</w:t>
      </w:r>
      <w:r>
        <w:rPr>
          <w:spacing w:val="23"/>
        </w:rPr>
        <w:t xml:space="preserve"> </w:t>
      </w:r>
      <w:r>
        <w:t>when</w:t>
      </w:r>
      <w:r>
        <w:rPr>
          <w:spacing w:val="24"/>
        </w:rPr>
        <w:t xml:space="preserve"> </w:t>
      </w:r>
      <w:r>
        <w:rPr>
          <w:spacing w:val="-10"/>
        </w:rPr>
        <w:t>I</w:t>
      </w:r>
    </w:p>
    <w:p w14:paraId="7E00171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15" w14:textId="77777777" w:rsidR="009A58DB" w:rsidRDefault="00000000">
      <w:pPr>
        <w:pStyle w:val="BodyText"/>
        <w:spacing w:before="60" w:line="249" w:lineRule="auto"/>
        <w:ind w:right="366"/>
        <w:rPr>
          <w:position w:val="21"/>
        </w:rPr>
      </w:pPr>
      <w:r>
        <w:lastRenderedPageBreak/>
        <w:t>see somebody else behaving in that way, I tend to assume that he or she is in pain. Comparable points hold with respect to our ascriptions of other kinds of mental states to others</w:t>
      </w:r>
      <w:bookmarkStart w:id="294" w:name="_bookmark294"/>
      <w:bookmarkEnd w:id="294"/>
      <w:r>
        <w:t>.</w:t>
      </w:r>
      <w:r>
        <w:rPr>
          <w:color w:val="0562C1"/>
          <w:position w:val="21"/>
          <w:u w:val="single" w:color="0562C1"/>
        </w:rPr>
        <w:t>[192]</w:t>
      </w:r>
    </w:p>
    <w:p w14:paraId="7E001716" w14:textId="77777777" w:rsidR="009A58DB" w:rsidRDefault="00000000">
      <w:pPr>
        <w:pStyle w:val="Heading1"/>
        <w:numPr>
          <w:ilvl w:val="1"/>
          <w:numId w:val="132"/>
        </w:numPr>
        <w:tabs>
          <w:tab w:val="left" w:pos="990"/>
        </w:tabs>
        <w:spacing w:before="196"/>
        <w:jc w:val="both"/>
      </w:pPr>
      <w:r>
        <w:rPr>
          <w:spacing w:val="-2"/>
        </w:rPr>
        <w:t>Self-knowledge</w:t>
      </w:r>
    </w:p>
    <w:p w14:paraId="7E001717" w14:textId="77777777" w:rsidR="009A58DB" w:rsidRDefault="00000000">
      <w:pPr>
        <w:pStyle w:val="BodyText"/>
        <w:spacing w:before="139" w:line="249" w:lineRule="auto"/>
        <w:ind w:right="361"/>
      </w:pPr>
      <w:r>
        <w:t>People know much about themselves. I know that, right now, I have the intention of producing a helpful essay on the theory of knowledge. I know that, right now, I’m in a pretty good mood. I know that I enjoy playing the piano. I know that I wish that I could play as well as Arthur Rubenstein; I</w:t>
      </w:r>
      <w:r>
        <w:rPr>
          <w:spacing w:val="40"/>
        </w:rPr>
        <w:t xml:space="preserve"> </w:t>
      </w:r>
      <w:r>
        <w:t>also know that I’m sad that I cannot play as well he could. All of you have comparable knowledge about yourselves.</w:t>
      </w:r>
    </w:p>
    <w:p w14:paraId="7E001718" w14:textId="77777777" w:rsidR="009A58DB" w:rsidRDefault="00000000">
      <w:pPr>
        <w:pStyle w:val="BodyText"/>
        <w:spacing w:before="8" w:line="249" w:lineRule="auto"/>
        <w:ind w:right="363" w:firstLine="360"/>
      </w:pPr>
      <w:r>
        <w:t>A</w:t>
      </w:r>
      <w:r>
        <w:rPr>
          <w:spacing w:val="-3"/>
        </w:rPr>
        <w:t xml:space="preserve"> </w:t>
      </w:r>
      <w:r>
        <w:t>striking</w:t>
      </w:r>
      <w:r>
        <w:rPr>
          <w:spacing w:val="-2"/>
        </w:rPr>
        <w:t xml:space="preserve"> </w:t>
      </w:r>
      <w:r>
        <w:t>feature</w:t>
      </w:r>
      <w:r>
        <w:rPr>
          <w:spacing w:val="-3"/>
        </w:rPr>
        <w:t xml:space="preserve"> </w:t>
      </w:r>
      <w:r>
        <w:t>of</w:t>
      </w:r>
      <w:r>
        <w:rPr>
          <w:spacing w:val="-3"/>
        </w:rPr>
        <w:t xml:space="preserve"> </w:t>
      </w:r>
      <w:r>
        <w:t>at</w:t>
      </w:r>
      <w:r>
        <w:rPr>
          <w:spacing w:val="-3"/>
        </w:rPr>
        <w:t xml:space="preserve"> </w:t>
      </w:r>
      <w:r>
        <w:t>least</w:t>
      </w:r>
      <w:r>
        <w:rPr>
          <w:spacing w:val="-3"/>
        </w:rPr>
        <w:t xml:space="preserve"> </w:t>
      </w:r>
      <w:r>
        <w:rPr>
          <w:i/>
        </w:rPr>
        <w:t>some</w:t>
      </w:r>
      <w:r>
        <w:rPr>
          <w:i/>
          <w:spacing w:val="-2"/>
        </w:rPr>
        <w:t xml:space="preserve"> </w:t>
      </w:r>
      <w:r>
        <w:t>of</w:t>
      </w:r>
      <w:r>
        <w:rPr>
          <w:spacing w:val="-3"/>
        </w:rPr>
        <w:t xml:space="preserve"> </w:t>
      </w:r>
      <w:r>
        <w:t>our</w:t>
      </w:r>
      <w:r>
        <w:rPr>
          <w:spacing w:val="-3"/>
        </w:rPr>
        <w:t xml:space="preserve"> </w:t>
      </w:r>
      <w:r>
        <w:t>self-knowledge</w:t>
      </w:r>
      <w:r>
        <w:rPr>
          <w:spacing w:val="-3"/>
        </w:rPr>
        <w:t xml:space="preserve"> </w:t>
      </w:r>
      <w:r>
        <w:t>is</w:t>
      </w:r>
      <w:r>
        <w:rPr>
          <w:spacing w:val="-3"/>
        </w:rPr>
        <w:t xml:space="preserve"> </w:t>
      </w:r>
      <w:r>
        <w:t>how</w:t>
      </w:r>
      <w:r>
        <w:rPr>
          <w:spacing w:val="-3"/>
        </w:rPr>
        <w:t xml:space="preserve"> </w:t>
      </w:r>
      <w:r>
        <w:t>direct</w:t>
      </w:r>
      <w:r>
        <w:rPr>
          <w:spacing w:val="-3"/>
        </w:rPr>
        <w:t xml:space="preserve"> </w:t>
      </w:r>
      <w:r>
        <w:t>it</w:t>
      </w:r>
      <w:r>
        <w:rPr>
          <w:spacing w:val="-3"/>
        </w:rPr>
        <w:t xml:space="preserve"> </w:t>
      </w:r>
      <w:r>
        <w:t xml:space="preserve">is. My knowledge that I’m in a pretty good mood is even more </w:t>
      </w:r>
      <w:r>
        <w:rPr>
          <w:i/>
        </w:rPr>
        <w:t xml:space="preserve">direct </w:t>
      </w:r>
      <w:r>
        <w:t>than knowledge that I am now typing on a computer. But how is this possible? Isn’t my knowledge that I’m now typing on a keyboard as direct as knowledge can be?</w:t>
      </w:r>
    </w:p>
    <w:p w14:paraId="7E001719" w14:textId="77777777" w:rsidR="009A58DB" w:rsidRDefault="00000000">
      <w:pPr>
        <w:pStyle w:val="BodyText"/>
        <w:spacing w:before="6" w:line="249" w:lineRule="auto"/>
        <w:ind w:right="358" w:firstLine="360"/>
      </w:pPr>
      <w:r>
        <w:t>No. My knowledge that I’m typing on a keyboard is based on the sensory experiences I’m having. These experiences are both visual and tactile. (“Tactile” means “having to do with the sense of touch.”) But, given only the nature of those experiences, it is a possibility, if only a theoretical one, that I’m dreaming or hallucinating.</w:t>
      </w:r>
    </w:p>
    <w:p w14:paraId="7E00171A" w14:textId="77777777" w:rsidR="009A58DB" w:rsidRDefault="00000000">
      <w:pPr>
        <w:pStyle w:val="BodyText"/>
        <w:spacing w:before="6" w:line="249" w:lineRule="auto"/>
        <w:ind w:right="357" w:firstLine="360"/>
      </w:pPr>
      <w:r>
        <w:t>My having accurate perceptions of, for example, the computer screen in front of me involves my body’s being stimulated in very specific ways by causal processes that originate with that computer screen. (Light waves must bounce off of that computer screen and disturb my retinas.) Further, those light waves mustn’t be distorted or altogether cut-off by intervening influences. If there were an uneven, thick piece of glass between me and the screen, those light waves would be distorted, and my perception of the screen would be inaccurate. If there were a piece of thick wood between me and the glass, those light-waves would be cut off, and I wouldn’t see the screen at all. So my having an accurate perception of the screen involves more than just</w:t>
      </w:r>
      <w:r>
        <w:rPr>
          <w:spacing w:val="40"/>
        </w:rPr>
        <w:t xml:space="preserve"> </w:t>
      </w:r>
      <w:r>
        <w:t>my having a certain visual experience: that experience must be caused in a very</w:t>
      </w:r>
      <w:r>
        <w:rPr>
          <w:spacing w:val="-3"/>
        </w:rPr>
        <w:t xml:space="preserve"> </w:t>
      </w:r>
      <w:r>
        <w:t>specific</w:t>
      </w:r>
      <w:r>
        <w:rPr>
          <w:spacing w:val="-2"/>
        </w:rPr>
        <w:t xml:space="preserve"> </w:t>
      </w:r>
      <w:r>
        <w:t>way</w:t>
      </w:r>
      <w:r>
        <w:rPr>
          <w:spacing w:val="-2"/>
        </w:rPr>
        <w:t xml:space="preserve"> </w:t>
      </w:r>
      <w:r>
        <w:t>by</w:t>
      </w:r>
      <w:r>
        <w:rPr>
          <w:spacing w:val="-2"/>
        </w:rPr>
        <w:t xml:space="preserve"> </w:t>
      </w:r>
      <w:r>
        <w:t>very</w:t>
      </w:r>
      <w:r>
        <w:rPr>
          <w:spacing w:val="-2"/>
        </w:rPr>
        <w:t xml:space="preserve"> </w:t>
      </w:r>
      <w:r>
        <w:t>specific</w:t>
      </w:r>
      <w:r>
        <w:rPr>
          <w:spacing w:val="-2"/>
        </w:rPr>
        <w:t xml:space="preserve"> </w:t>
      </w:r>
      <w:r>
        <w:t>events</w:t>
      </w:r>
      <w:r>
        <w:rPr>
          <w:spacing w:val="-2"/>
        </w:rPr>
        <w:t xml:space="preserve"> </w:t>
      </w:r>
      <w:r>
        <w:t>in</w:t>
      </w:r>
      <w:r>
        <w:rPr>
          <w:spacing w:val="-2"/>
        </w:rPr>
        <w:t xml:space="preserve"> </w:t>
      </w:r>
      <w:r>
        <w:t>the</w:t>
      </w:r>
      <w:r>
        <w:rPr>
          <w:spacing w:val="-2"/>
        </w:rPr>
        <w:t xml:space="preserve"> </w:t>
      </w:r>
      <w:r>
        <w:t>external</w:t>
      </w:r>
      <w:r>
        <w:rPr>
          <w:spacing w:val="-2"/>
        </w:rPr>
        <w:t xml:space="preserve"> </w:t>
      </w:r>
      <w:r>
        <w:t>world</w:t>
      </w:r>
      <w:r>
        <w:rPr>
          <w:spacing w:val="-2"/>
        </w:rPr>
        <w:t xml:space="preserve"> </w:t>
      </w:r>
      <w:r>
        <w:t>(i.e.,</w:t>
      </w:r>
      <w:r>
        <w:rPr>
          <w:spacing w:val="-2"/>
        </w:rPr>
        <w:t xml:space="preserve"> </w:t>
      </w:r>
      <w:r>
        <w:t>the</w:t>
      </w:r>
      <w:r>
        <w:rPr>
          <w:spacing w:val="-2"/>
        </w:rPr>
        <w:t xml:space="preserve"> </w:t>
      </w:r>
      <w:r>
        <w:t xml:space="preserve">world </w:t>
      </w:r>
      <w:r>
        <w:rPr>
          <w:i/>
        </w:rPr>
        <w:t xml:space="preserve">outside </w:t>
      </w:r>
      <w:r>
        <w:t>of my body).</w:t>
      </w:r>
    </w:p>
    <w:p w14:paraId="7E00171B" w14:textId="77777777" w:rsidR="009A58DB" w:rsidRDefault="00000000">
      <w:pPr>
        <w:pStyle w:val="BodyText"/>
        <w:spacing w:before="16"/>
        <w:ind w:left="720"/>
      </w:pPr>
      <w:r>
        <w:t>A</w:t>
      </w:r>
      <w:r>
        <w:rPr>
          <w:spacing w:val="24"/>
        </w:rPr>
        <w:t xml:space="preserve"> </w:t>
      </w:r>
      <w:r>
        <w:t>corollary</w:t>
      </w:r>
      <w:r>
        <w:rPr>
          <w:spacing w:val="24"/>
        </w:rPr>
        <w:t xml:space="preserve"> </w:t>
      </w:r>
      <w:r>
        <w:t>is</w:t>
      </w:r>
      <w:r>
        <w:rPr>
          <w:spacing w:val="24"/>
        </w:rPr>
        <w:t xml:space="preserve"> </w:t>
      </w:r>
      <w:r>
        <w:t>that</w:t>
      </w:r>
      <w:r>
        <w:rPr>
          <w:spacing w:val="24"/>
        </w:rPr>
        <w:t xml:space="preserve"> </w:t>
      </w:r>
      <w:r>
        <w:t>an</w:t>
      </w:r>
      <w:r>
        <w:rPr>
          <w:spacing w:val="24"/>
        </w:rPr>
        <w:t xml:space="preserve"> </w:t>
      </w:r>
      <w:r>
        <w:t>experience</w:t>
      </w:r>
      <w:r>
        <w:rPr>
          <w:spacing w:val="24"/>
        </w:rPr>
        <w:t xml:space="preserve"> </w:t>
      </w:r>
      <w:r>
        <w:t>that</w:t>
      </w:r>
      <w:r>
        <w:rPr>
          <w:spacing w:val="24"/>
        </w:rPr>
        <w:t xml:space="preserve"> </w:t>
      </w:r>
      <w:r>
        <w:t>is</w:t>
      </w:r>
      <w:r>
        <w:rPr>
          <w:spacing w:val="24"/>
        </w:rPr>
        <w:t xml:space="preserve"> </w:t>
      </w:r>
      <w:r>
        <w:t>just</w:t>
      </w:r>
      <w:r>
        <w:rPr>
          <w:spacing w:val="24"/>
        </w:rPr>
        <w:t xml:space="preserve"> </w:t>
      </w:r>
      <w:r>
        <w:t>like</w:t>
      </w:r>
      <w:r>
        <w:rPr>
          <w:spacing w:val="24"/>
        </w:rPr>
        <w:t xml:space="preserve"> </w:t>
      </w:r>
      <w:r>
        <w:t>the</w:t>
      </w:r>
      <w:r>
        <w:rPr>
          <w:spacing w:val="24"/>
        </w:rPr>
        <w:t xml:space="preserve"> </w:t>
      </w:r>
      <w:r>
        <w:t>one</w:t>
      </w:r>
      <w:r>
        <w:rPr>
          <w:spacing w:val="24"/>
        </w:rPr>
        <w:t xml:space="preserve"> </w:t>
      </w:r>
      <w:r>
        <w:t>I’m</w:t>
      </w:r>
      <w:r>
        <w:rPr>
          <w:spacing w:val="24"/>
        </w:rPr>
        <w:t xml:space="preserve"> </w:t>
      </w:r>
      <w:r>
        <w:t>having,</w:t>
      </w:r>
      <w:r>
        <w:rPr>
          <w:spacing w:val="24"/>
        </w:rPr>
        <w:t xml:space="preserve"> </w:t>
      </w:r>
      <w:r>
        <w:rPr>
          <w:spacing w:val="-5"/>
        </w:rPr>
        <w:t>but</w:t>
      </w:r>
    </w:p>
    <w:p w14:paraId="7E00171C" w14:textId="77777777" w:rsidR="009A58DB" w:rsidRDefault="009A58DB">
      <w:pPr>
        <w:pStyle w:val="BodyText"/>
        <w:sectPr w:rsidR="009A58DB">
          <w:pgSz w:w="12240" w:h="15840"/>
          <w:pgMar w:top="1380" w:right="1080" w:bottom="280" w:left="1080" w:header="720" w:footer="720" w:gutter="0"/>
          <w:cols w:space="720"/>
        </w:sectPr>
      </w:pPr>
    </w:p>
    <w:p w14:paraId="7E00171D" w14:textId="77777777" w:rsidR="009A58DB" w:rsidRDefault="00000000">
      <w:pPr>
        <w:pStyle w:val="BodyText"/>
        <w:spacing w:before="60" w:line="249" w:lineRule="auto"/>
        <w:ind w:right="358"/>
      </w:pPr>
      <w:r>
        <w:lastRenderedPageBreak/>
        <w:t xml:space="preserve">that is caused in the wrong way; it isn’t a perception of the screen. Suppose that, using precision instruments, an extremely skillful surgeon is creating disturbances of my retinas that are exactly like the disturbances that </w:t>
      </w:r>
      <w:r>
        <w:rPr>
          <w:i/>
        </w:rPr>
        <w:t xml:space="preserve">would </w:t>
      </w:r>
      <w:r>
        <w:t>ordinarily be created by light bouncing off of a nearby computer screen. In that case, I will have an experience just like that of seeing a computer screen, even though I’m not seeing a computer screen.</w:t>
      </w:r>
    </w:p>
    <w:p w14:paraId="7E00171E" w14:textId="77777777" w:rsidR="009A58DB" w:rsidRDefault="00000000">
      <w:pPr>
        <w:pStyle w:val="BodyText"/>
        <w:spacing w:before="12" w:line="249" w:lineRule="auto"/>
        <w:ind w:right="361" w:firstLine="360"/>
      </w:pPr>
      <w:r>
        <w:t xml:space="preserve">There are typically many different ways of creating a given effect. If you want to hang a painting on the wall, there are a lot of different ways to do it. If you want to make it look as though Smith killed Jones, there are a lot of different ways to do </w:t>
      </w:r>
      <w:r>
        <w:rPr>
          <w:i/>
        </w:rPr>
        <w:t>that</w:t>
      </w:r>
      <w:r>
        <w:t xml:space="preserve">. One way, of course, would be to get Smith to kill Jones (by, for example, paying him to do so). Another would be to frame Smith. Thus, even if Smith is innocent, he can be made to </w:t>
      </w:r>
      <w:r>
        <w:rPr>
          <w:i/>
        </w:rPr>
        <w:t xml:space="preserve">look </w:t>
      </w:r>
      <w:r>
        <w:t>guilty. Similarly, even if there’s no computer screen nearby, my retinas and, consequently, my nervous system, can be made to undergo the kinds of disturbances that would ordinarily be caused by light-rays that had bounced off of a computer screen.</w:t>
      </w:r>
    </w:p>
    <w:p w14:paraId="7E00171F" w14:textId="77777777" w:rsidR="009A58DB" w:rsidRDefault="00000000">
      <w:pPr>
        <w:pStyle w:val="BodyText"/>
        <w:spacing w:before="12" w:line="249" w:lineRule="auto"/>
        <w:ind w:right="360" w:firstLine="360"/>
      </w:pPr>
      <w:r>
        <w:t>Of course, remarks similar to those just made about visual experiences hold with respect to all other kinds of sensory experience. (I’ll leave it to you to think of examples of this.)</w:t>
      </w:r>
    </w:p>
    <w:p w14:paraId="7E001720" w14:textId="77777777" w:rsidR="009A58DB" w:rsidRDefault="00000000">
      <w:pPr>
        <w:pStyle w:val="BodyText"/>
        <w:spacing w:before="4" w:line="249" w:lineRule="auto"/>
        <w:ind w:right="373" w:firstLine="360"/>
      </w:pPr>
      <w:r>
        <w:t>Basically, sensory experiences, like forensic data, can be “forged”; they can be “fakes.”</w:t>
      </w:r>
    </w:p>
    <w:p w14:paraId="7E001721" w14:textId="77777777" w:rsidR="009A58DB" w:rsidRDefault="00000000">
      <w:pPr>
        <w:pStyle w:val="BodyText"/>
        <w:spacing w:before="2" w:line="249" w:lineRule="auto"/>
        <w:ind w:right="357" w:firstLine="360"/>
      </w:pPr>
      <w:r>
        <w:t>But such fakery seems impossible when it comes to at least certain kinds of self-knowledge. I can have an experience</w:t>
      </w:r>
      <w:r>
        <w:rPr>
          <w:spacing w:val="80"/>
        </w:rPr>
        <w:t xml:space="preserve"> </w:t>
      </w:r>
      <w:r>
        <w:rPr>
          <w:i/>
        </w:rPr>
        <w:t xml:space="preserve">just like </w:t>
      </w:r>
      <w:r>
        <w:t xml:space="preserve">that of seeing a computer screen even if I’m not seeing a computer screen. But could I have an experience </w:t>
      </w:r>
      <w:r>
        <w:rPr>
          <w:i/>
        </w:rPr>
        <w:t xml:space="preserve">just like </w:t>
      </w:r>
      <w:r>
        <w:t>that of experiencing intense pain if I weren’t experiencing</w:t>
      </w:r>
      <w:r>
        <w:rPr>
          <w:spacing w:val="-3"/>
        </w:rPr>
        <w:t xml:space="preserve"> </w:t>
      </w:r>
      <w:r>
        <w:t>intense</w:t>
      </w:r>
      <w:r>
        <w:rPr>
          <w:spacing w:val="-4"/>
        </w:rPr>
        <w:t xml:space="preserve"> </w:t>
      </w:r>
      <w:r>
        <w:t>pain?</w:t>
      </w:r>
      <w:r>
        <w:rPr>
          <w:spacing w:val="-4"/>
        </w:rPr>
        <w:t xml:space="preserve"> </w:t>
      </w:r>
      <w:r>
        <w:t>Surely</w:t>
      </w:r>
      <w:r>
        <w:rPr>
          <w:spacing w:val="-3"/>
        </w:rPr>
        <w:t xml:space="preserve"> </w:t>
      </w:r>
      <w:r>
        <w:t>not.</w:t>
      </w:r>
      <w:r>
        <w:rPr>
          <w:spacing w:val="-3"/>
        </w:rPr>
        <w:t xml:space="preserve"> </w:t>
      </w:r>
      <w:r>
        <w:t>After</w:t>
      </w:r>
      <w:r>
        <w:rPr>
          <w:spacing w:val="-4"/>
        </w:rPr>
        <w:t xml:space="preserve"> </w:t>
      </w:r>
      <w:r>
        <w:t>all,</w:t>
      </w:r>
      <w:r>
        <w:rPr>
          <w:spacing w:val="-3"/>
        </w:rPr>
        <w:t xml:space="preserve"> </w:t>
      </w:r>
      <w:r>
        <w:t>an</w:t>
      </w:r>
      <w:r>
        <w:rPr>
          <w:spacing w:val="-3"/>
        </w:rPr>
        <w:t xml:space="preserve"> </w:t>
      </w:r>
      <w:r>
        <w:t>experience</w:t>
      </w:r>
      <w:r>
        <w:rPr>
          <w:spacing w:val="-4"/>
        </w:rPr>
        <w:t xml:space="preserve"> </w:t>
      </w:r>
      <w:r>
        <w:t>just</w:t>
      </w:r>
      <w:r>
        <w:rPr>
          <w:spacing w:val="-4"/>
        </w:rPr>
        <w:t xml:space="preserve"> </w:t>
      </w:r>
      <w:r>
        <w:t>like</w:t>
      </w:r>
      <w:r>
        <w:rPr>
          <w:spacing w:val="-4"/>
        </w:rPr>
        <w:t xml:space="preserve"> </w:t>
      </w:r>
      <w:r>
        <w:t>that</w:t>
      </w:r>
      <w:r>
        <w:rPr>
          <w:spacing w:val="-4"/>
        </w:rPr>
        <w:t xml:space="preserve"> </w:t>
      </w:r>
      <w:r>
        <w:t>of intense</w:t>
      </w:r>
      <w:r>
        <w:rPr>
          <w:spacing w:val="-3"/>
        </w:rPr>
        <w:t xml:space="preserve"> </w:t>
      </w:r>
      <w:r>
        <w:t>pain</w:t>
      </w:r>
      <w:r>
        <w:rPr>
          <w:spacing w:val="-2"/>
        </w:rPr>
        <w:t xml:space="preserve"> </w:t>
      </w:r>
      <w:r>
        <w:rPr>
          <w:i/>
        </w:rPr>
        <w:t>is</w:t>
      </w:r>
      <w:r>
        <w:rPr>
          <w:i/>
          <w:spacing w:val="-2"/>
        </w:rPr>
        <w:t xml:space="preserve"> </w:t>
      </w:r>
      <w:r>
        <w:t>an intense pain. Of course, what we just said about pain is true of many other psychological conditions.</w:t>
      </w:r>
    </w:p>
    <w:p w14:paraId="7E001722" w14:textId="77777777" w:rsidR="009A58DB" w:rsidRDefault="00000000">
      <w:pPr>
        <w:pStyle w:val="BodyText"/>
        <w:spacing w:before="9" w:line="249" w:lineRule="auto"/>
        <w:ind w:right="363" w:firstLine="360"/>
      </w:pPr>
      <w:r>
        <w:t xml:space="preserve">Thus, where some psychological occurrences are concerned, the appearance and the reality merge. By contrast, where knowledge of the </w:t>
      </w:r>
      <w:r>
        <w:rPr>
          <w:i/>
        </w:rPr>
        <w:t xml:space="preserve">external world </w:t>
      </w:r>
      <w:r>
        <w:t>is concerned, the appearance and the reality are always</w:t>
      </w:r>
      <w:r>
        <w:rPr>
          <w:spacing w:val="40"/>
        </w:rPr>
        <w:t xml:space="preserve"> </w:t>
      </w:r>
      <w:r>
        <w:t>distinct and are often (in fact, usually) separated by a large tract of space. (Even</w:t>
      </w:r>
      <w:r>
        <w:rPr>
          <w:spacing w:val="-1"/>
        </w:rPr>
        <w:t xml:space="preserve"> </w:t>
      </w:r>
      <w:r>
        <w:t>where</w:t>
      </w:r>
      <w:r>
        <w:rPr>
          <w:spacing w:val="-1"/>
        </w:rPr>
        <w:t xml:space="preserve"> </w:t>
      </w:r>
      <w:r>
        <w:t>touch</w:t>
      </w:r>
      <w:r>
        <w:rPr>
          <w:spacing w:val="-1"/>
        </w:rPr>
        <w:t xml:space="preserve"> </w:t>
      </w:r>
      <w:r>
        <w:t>is</w:t>
      </w:r>
      <w:r>
        <w:rPr>
          <w:spacing w:val="-1"/>
        </w:rPr>
        <w:t xml:space="preserve"> </w:t>
      </w:r>
      <w:r>
        <w:t>concerned,</w:t>
      </w:r>
      <w:r>
        <w:rPr>
          <w:spacing w:val="-1"/>
        </w:rPr>
        <w:t xml:space="preserve"> </w:t>
      </w:r>
      <w:r>
        <w:t>the</w:t>
      </w:r>
      <w:r>
        <w:rPr>
          <w:spacing w:val="-1"/>
        </w:rPr>
        <w:t xml:space="preserve"> </w:t>
      </w:r>
      <w:r>
        <w:t>object</w:t>
      </w:r>
      <w:r>
        <w:rPr>
          <w:spacing w:val="-1"/>
        </w:rPr>
        <w:t xml:space="preserve"> </w:t>
      </w:r>
      <w:r>
        <w:t>touched</w:t>
      </w:r>
      <w:r>
        <w:rPr>
          <w:spacing w:val="-1"/>
        </w:rPr>
        <w:t xml:space="preserve"> </w:t>
      </w:r>
      <w:r>
        <w:t>is</w:t>
      </w:r>
      <w:r>
        <w:rPr>
          <w:spacing w:val="-1"/>
        </w:rPr>
        <w:t xml:space="preserve"> </w:t>
      </w:r>
      <w:r>
        <w:t>remote</w:t>
      </w:r>
      <w:r>
        <w:rPr>
          <w:spacing w:val="-1"/>
        </w:rPr>
        <w:t xml:space="preserve"> </w:t>
      </w:r>
      <w:r>
        <w:t>from</w:t>
      </w:r>
      <w:r>
        <w:rPr>
          <w:spacing w:val="-1"/>
        </w:rPr>
        <w:t xml:space="preserve"> </w:t>
      </w:r>
      <w:r>
        <w:t>the</w:t>
      </w:r>
      <w:r>
        <w:rPr>
          <w:spacing w:val="-1"/>
        </w:rPr>
        <w:t xml:space="preserve"> </w:t>
      </w:r>
      <w:r>
        <w:t xml:space="preserve">events in your central nervous system that mediate your </w:t>
      </w:r>
      <w:r>
        <w:rPr>
          <w:i/>
        </w:rPr>
        <w:t xml:space="preserve">experience </w:t>
      </w:r>
      <w:r>
        <w:t>of the object.) Thus, from an evidential, and in fact a spatial, point of view, knowledge of at least</w:t>
      </w:r>
      <w:r>
        <w:rPr>
          <w:spacing w:val="40"/>
        </w:rPr>
        <w:t xml:space="preserve"> </w:t>
      </w:r>
      <w:r>
        <w:t>some</w:t>
      </w:r>
      <w:r>
        <w:rPr>
          <w:spacing w:val="40"/>
        </w:rPr>
        <w:t xml:space="preserve"> </w:t>
      </w:r>
      <w:r>
        <w:t>facts</w:t>
      </w:r>
      <w:r>
        <w:rPr>
          <w:spacing w:val="40"/>
        </w:rPr>
        <w:t xml:space="preserve"> </w:t>
      </w:r>
      <w:r>
        <w:t>about</w:t>
      </w:r>
      <w:r>
        <w:rPr>
          <w:spacing w:val="40"/>
        </w:rPr>
        <w:t xml:space="preserve"> </w:t>
      </w:r>
      <w:r>
        <w:t>one’s</w:t>
      </w:r>
      <w:r>
        <w:rPr>
          <w:spacing w:val="40"/>
        </w:rPr>
        <w:t xml:space="preserve"> </w:t>
      </w:r>
      <w:r>
        <w:t>psychological</w:t>
      </w:r>
      <w:r>
        <w:rPr>
          <w:spacing w:val="40"/>
        </w:rPr>
        <w:t xml:space="preserve"> </w:t>
      </w:r>
      <w:r>
        <w:t>condition</w:t>
      </w:r>
      <w:r>
        <w:rPr>
          <w:spacing w:val="40"/>
        </w:rPr>
        <w:t xml:space="preserve"> </w:t>
      </w:r>
      <w:r>
        <w:t>is</w:t>
      </w:r>
      <w:r>
        <w:rPr>
          <w:spacing w:val="40"/>
        </w:rPr>
        <w:t xml:space="preserve"> </w:t>
      </w:r>
      <w:r>
        <w:t>considerably</w:t>
      </w:r>
      <w:r>
        <w:rPr>
          <w:spacing w:val="40"/>
        </w:rPr>
        <w:t xml:space="preserve"> </w:t>
      </w:r>
      <w:r>
        <w:t>more</w:t>
      </w:r>
    </w:p>
    <w:p w14:paraId="7E00172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24" w14:textId="77777777" w:rsidR="009A58DB" w:rsidRDefault="00000000">
      <w:pPr>
        <w:pStyle w:val="BodyText"/>
        <w:spacing w:before="65" w:line="249" w:lineRule="auto"/>
        <w:ind w:right="367"/>
      </w:pPr>
      <w:r>
        <w:lastRenderedPageBreak/>
        <w:t xml:space="preserve">direct than knowledge of facts about the external world—even when the externalities in question are literally being </w:t>
      </w:r>
      <w:r>
        <w:rPr>
          <w:i/>
        </w:rPr>
        <w:t xml:space="preserve">seen </w:t>
      </w:r>
      <w:r>
        <w:t>(or touched or heard, etc.).</w:t>
      </w:r>
    </w:p>
    <w:p w14:paraId="7E001725" w14:textId="77777777" w:rsidR="009A58DB" w:rsidRDefault="00000000">
      <w:pPr>
        <w:pStyle w:val="Heading1"/>
        <w:numPr>
          <w:ilvl w:val="1"/>
          <w:numId w:val="132"/>
        </w:numPr>
        <w:tabs>
          <w:tab w:val="left" w:pos="990"/>
        </w:tabs>
        <w:spacing w:before="190"/>
      </w:pPr>
      <w:r>
        <w:t>Some</w:t>
      </w:r>
      <w:r>
        <w:rPr>
          <w:spacing w:val="-6"/>
        </w:rPr>
        <w:t xml:space="preserve"> </w:t>
      </w:r>
      <w:r>
        <w:t>limits</w:t>
      </w:r>
      <w:r>
        <w:rPr>
          <w:spacing w:val="-5"/>
        </w:rPr>
        <w:t xml:space="preserve"> </w:t>
      </w:r>
      <w:r>
        <w:t>to</w:t>
      </w:r>
      <w:r>
        <w:rPr>
          <w:spacing w:val="-4"/>
        </w:rPr>
        <w:t xml:space="preserve"> </w:t>
      </w:r>
      <w:r>
        <w:t>self-</w:t>
      </w:r>
      <w:r>
        <w:rPr>
          <w:spacing w:val="-2"/>
        </w:rPr>
        <w:t>knowledge</w:t>
      </w:r>
    </w:p>
    <w:p w14:paraId="7E001726" w14:textId="77777777" w:rsidR="009A58DB" w:rsidRDefault="00000000">
      <w:pPr>
        <w:pStyle w:val="BodyText"/>
        <w:spacing w:before="139" w:line="249" w:lineRule="auto"/>
        <w:ind w:right="360"/>
      </w:pPr>
      <w:r>
        <w:t>Notwithstanding</w:t>
      </w:r>
      <w:r>
        <w:rPr>
          <w:spacing w:val="-1"/>
        </w:rPr>
        <w:t xml:space="preserve"> </w:t>
      </w:r>
      <w:r>
        <w:t>what</w:t>
      </w:r>
      <w:r>
        <w:rPr>
          <w:spacing w:val="-1"/>
        </w:rPr>
        <w:t xml:space="preserve"> </w:t>
      </w:r>
      <w:r>
        <w:t>was</w:t>
      </w:r>
      <w:r>
        <w:rPr>
          <w:spacing w:val="-1"/>
        </w:rPr>
        <w:t xml:space="preserve"> </w:t>
      </w:r>
      <w:r>
        <w:t>just</w:t>
      </w:r>
      <w:r>
        <w:rPr>
          <w:spacing w:val="-1"/>
        </w:rPr>
        <w:t xml:space="preserve"> </w:t>
      </w:r>
      <w:r>
        <w:t>said,</w:t>
      </w:r>
      <w:r>
        <w:rPr>
          <w:spacing w:val="-1"/>
        </w:rPr>
        <w:t xml:space="preserve"> </w:t>
      </w:r>
      <w:r>
        <w:t>there</w:t>
      </w:r>
      <w:r>
        <w:rPr>
          <w:spacing w:val="-1"/>
        </w:rPr>
        <w:t xml:space="preserve"> </w:t>
      </w:r>
      <w:r>
        <w:t>are</w:t>
      </w:r>
      <w:r>
        <w:rPr>
          <w:spacing w:val="-1"/>
        </w:rPr>
        <w:t xml:space="preserve"> </w:t>
      </w:r>
      <w:r>
        <w:t>reasons</w:t>
      </w:r>
      <w:r>
        <w:rPr>
          <w:spacing w:val="-1"/>
        </w:rPr>
        <w:t xml:space="preserve"> </w:t>
      </w:r>
      <w:r>
        <w:t>to</w:t>
      </w:r>
      <w:r>
        <w:rPr>
          <w:spacing w:val="-1"/>
        </w:rPr>
        <w:t xml:space="preserve"> </w:t>
      </w:r>
      <w:r>
        <w:t>believe</w:t>
      </w:r>
      <w:r>
        <w:rPr>
          <w:spacing w:val="-1"/>
        </w:rPr>
        <w:t xml:space="preserve"> </w:t>
      </w:r>
      <w:r>
        <w:t>that,</w:t>
      </w:r>
      <w:r>
        <w:rPr>
          <w:spacing w:val="-1"/>
        </w:rPr>
        <w:t xml:space="preserve"> </w:t>
      </w:r>
      <w:r>
        <w:t>in</w:t>
      </w:r>
      <w:r>
        <w:rPr>
          <w:spacing w:val="-1"/>
        </w:rPr>
        <w:t xml:space="preserve"> </w:t>
      </w:r>
      <w:r>
        <w:t>many cases, self-knowledge is as difficult to obtain as knowledge of the external world—that, in fact, knowledge of some facts about our own minds is as theoretical and indirect as our knowledge of sub-atomic events.</w:t>
      </w:r>
    </w:p>
    <w:p w14:paraId="7E001727" w14:textId="77777777" w:rsidR="009A58DB" w:rsidRDefault="00000000">
      <w:pPr>
        <w:pStyle w:val="BodyText"/>
        <w:spacing w:before="5" w:line="249" w:lineRule="auto"/>
        <w:ind w:right="358" w:firstLine="360"/>
      </w:pPr>
      <w:r>
        <w:t>Before we can discuss these reasons, we must define a term and we must also make a distinction. The term to be defined is “consciousness.” In everyday speech, that word is ambiguous. Sometimes, it simply means “knowledge” or “awareness.” For example, in the sentence, “Smith’s consciousness of the complexities involved in running a municipality is extremely limited,” the word “consciousness” seems to have more or less the same meaning as the term “knowledge” or “awareness.”</w:t>
      </w:r>
    </w:p>
    <w:p w14:paraId="7E001728" w14:textId="77777777" w:rsidR="009A58DB" w:rsidRDefault="00000000">
      <w:pPr>
        <w:pStyle w:val="BodyText"/>
        <w:spacing w:before="9" w:line="249" w:lineRule="auto"/>
        <w:ind w:right="361" w:firstLine="360"/>
      </w:pPr>
      <w:r>
        <w:t xml:space="preserve">In philosophical contexts, the word “consciousness” has a different and narrower meaning. In such contexts, it refers to one’s immediate experience. (Henceforth, we will use the term “consciousness” </w:t>
      </w:r>
      <w:r>
        <w:rPr>
          <w:i/>
        </w:rPr>
        <w:t xml:space="preserve">only </w:t>
      </w:r>
      <w:r>
        <w:t>in its narrow, philosophical sense.)</w:t>
      </w:r>
    </w:p>
    <w:p w14:paraId="7E001729" w14:textId="77777777" w:rsidR="009A58DB" w:rsidRDefault="00000000">
      <w:pPr>
        <w:pStyle w:val="BodyText"/>
        <w:spacing w:before="5" w:line="249" w:lineRule="auto"/>
        <w:ind w:right="359" w:firstLine="360"/>
      </w:pPr>
      <w:r>
        <w:t xml:space="preserve">This must be understood aright. The term “consciousness” does </w:t>
      </w:r>
      <w:r>
        <w:rPr>
          <w:i/>
        </w:rPr>
        <w:t xml:space="preserve">not </w:t>
      </w:r>
      <w:r>
        <w:t>refer to</w:t>
      </w:r>
      <w:r>
        <w:rPr>
          <w:spacing w:val="-2"/>
        </w:rPr>
        <w:t xml:space="preserve"> </w:t>
      </w:r>
      <w:r>
        <w:t>the</w:t>
      </w:r>
      <w:r>
        <w:rPr>
          <w:spacing w:val="-3"/>
        </w:rPr>
        <w:t xml:space="preserve"> </w:t>
      </w:r>
      <w:r>
        <w:rPr>
          <w:i/>
        </w:rPr>
        <w:t>objects</w:t>
      </w:r>
      <w:r>
        <w:rPr>
          <w:i/>
          <w:spacing w:val="-3"/>
        </w:rPr>
        <w:t xml:space="preserve"> </w:t>
      </w:r>
      <w:r>
        <w:t xml:space="preserve">of your experience. Right now, let us suppose, you are feeling a cool breeze. The cool breeze is something that you are conscious </w:t>
      </w:r>
      <w:r>
        <w:rPr>
          <w:i/>
        </w:rPr>
        <w:t xml:space="preserve">of. </w:t>
      </w:r>
      <w:r>
        <w:t xml:space="preserve">In other words, it is an </w:t>
      </w:r>
      <w:r>
        <w:rPr>
          <w:i/>
        </w:rPr>
        <w:t xml:space="preserve">object </w:t>
      </w:r>
      <w:r>
        <w:t xml:space="preserve">of consciousness. But that cool breeze isn’t identical with your consciousness or with any part of your consciousness. What </w:t>
      </w:r>
      <w:r>
        <w:rPr>
          <w:i/>
        </w:rPr>
        <w:t xml:space="preserve">is </w:t>
      </w:r>
      <w:r>
        <w:t>a part of your consciousness is the sensation that the cool breeze causes you to have. What is also a part of your consciousness is your visual perception of the piece of paper</w:t>
      </w:r>
      <w:r>
        <w:rPr>
          <w:spacing w:val="-1"/>
        </w:rPr>
        <w:t xml:space="preserve"> </w:t>
      </w:r>
      <w:r>
        <w:t>that the cool</w:t>
      </w:r>
      <w:r>
        <w:rPr>
          <w:spacing w:val="-1"/>
        </w:rPr>
        <w:t xml:space="preserve"> </w:t>
      </w:r>
      <w:r>
        <w:t xml:space="preserve">breeze is blowing across your front lawn. But, to echo what we said a moment ago, the piece of paper itself is not identical with your consciousness or even with a part of it, even though it is something that you are conscious </w:t>
      </w:r>
      <w:r>
        <w:rPr>
          <w:i/>
        </w:rPr>
        <w:t xml:space="preserve">of </w:t>
      </w:r>
      <w:r>
        <w:t xml:space="preserve">(i.e., it is an </w:t>
      </w:r>
      <w:r>
        <w:rPr>
          <w:i/>
        </w:rPr>
        <w:t xml:space="preserve">object </w:t>
      </w:r>
      <w:r>
        <w:t>of your consciousness).</w:t>
      </w:r>
    </w:p>
    <w:p w14:paraId="7E00172A" w14:textId="77777777" w:rsidR="009A58DB" w:rsidRDefault="00000000">
      <w:pPr>
        <w:pStyle w:val="BodyText"/>
        <w:spacing w:before="13" w:line="249" w:lineRule="auto"/>
        <w:ind w:right="358" w:firstLine="360"/>
      </w:pPr>
      <w:r>
        <w:t>Here we must make a delicate point. Many constituents of our minds exist even when we are sleeping and even when, more generally, they are not occupying our consciousness in any way. You believe that 1 + 1 = 2. But it is only very rare occasions that this belief of yours is occupying your consciousness.</w:t>
      </w:r>
      <w:r>
        <w:rPr>
          <w:spacing w:val="40"/>
        </w:rPr>
        <w:t xml:space="preserve"> </w:t>
      </w:r>
      <w:r>
        <w:t>Nonetheless,</w:t>
      </w:r>
      <w:r>
        <w:rPr>
          <w:spacing w:val="40"/>
        </w:rPr>
        <w:t xml:space="preserve"> </w:t>
      </w:r>
      <w:r>
        <w:t>you</w:t>
      </w:r>
      <w:r>
        <w:rPr>
          <w:spacing w:val="40"/>
        </w:rPr>
        <w:t xml:space="preserve"> </w:t>
      </w:r>
      <w:r>
        <w:t>obviously</w:t>
      </w:r>
      <w:r>
        <w:rPr>
          <w:spacing w:val="40"/>
        </w:rPr>
        <w:t xml:space="preserve"> </w:t>
      </w:r>
      <w:r>
        <w:t>don’t</w:t>
      </w:r>
      <w:r>
        <w:rPr>
          <w:spacing w:val="40"/>
        </w:rPr>
        <w:t xml:space="preserve"> </w:t>
      </w:r>
      <w:r>
        <w:rPr>
          <w:i/>
        </w:rPr>
        <w:t>lose</w:t>
      </w:r>
      <w:r>
        <w:rPr>
          <w:i/>
          <w:spacing w:val="40"/>
        </w:rPr>
        <w:t xml:space="preserve"> </w:t>
      </w:r>
      <w:r>
        <w:t>that</w:t>
      </w:r>
      <w:r>
        <w:rPr>
          <w:spacing w:val="40"/>
        </w:rPr>
        <w:t xml:space="preserve"> </w:t>
      </w:r>
      <w:r>
        <w:t>belief</w:t>
      </w:r>
      <w:r>
        <w:rPr>
          <w:spacing w:val="40"/>
        </w:rPr>
        <w:t xml:space="preserve"> </w:t>
      </w:r>
      <w:r>
        <w:t>when</w:t>
      </w:r>
      <w:r>
        <w:rPr>
          <w:spacing w:val="40"/>
        </w:rPr>
        <w:t xml:space="preserve"> </w:t>
      </w:r>
      <w:r>
        <w:t>it’s</w:t>
      </w:r>
    </w:p>
    <w:p w14:paraId="7E00172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2C" w14:textId="77777777" w:rsidR="009A58DB" w:rsidRDefault="00000000">
      <w:pPr>
        <w:pStyle w:val="BodyText"/>
        <w:spacing w:before="60" w:line="249" w:lineRule="auto"/>
        <w:ind w:right="360"/>
      </w:pPr>
      <w:r>
        <w:lastRenderedPageBreak/>
        <w:t>not occupying your consciousness. You still have that belief. This is made clear by the fact that it can readily make an appearance in your</w:t>
      </w:r>
      <w:r>
        <w:rPr>
          <w:spacing w:val="40"/>
        </w:rPr>
        <w:t xml:space="preserve"> </w:t>
      </w:r>
      <w:r>
        <w:t xml:space="preserve">consciousness. For example, if I tell you that I’ll give you an A in the class if you answer the question “what is 1 + 1?”, you will without any difficulty be able to draw on your belief that 1 + 1 = 2, even though, in all likelihood, that belief was remote from your consciousness prior to my asking you that </w:t>
      </w:r>
      <w:r>
        <w:rPr>
          <w:spacing w:val="-2"/>
        </w:rPr>
        <w:t>question.</w:t>
      </w:r>
    </w:p>
    <w:p w14:paraId="7E00172D" w14:textId="77777777" w:rsidR="009A58DB" w:rsidRDefault="00000000">
      <w:pPr>
        <w:pStyle w:val="BodyText"/>
        <w:spacing w:before="13" w:line="249" w:lineRule="auto"/>
        <w:ind w:right="363" w:firstLine="360"/>
      </w:pPr>
      <w:r>
        <w:t>So</w:t>
      </w:r>
      <w:r>
        <w:rPr>
          <w:spacing w:val="-3"/>
        </w:rPr>
        <w:t xml:space="preserve"> </w:t>
      </w:r>
      <w:r>
        <w:t>that</w:t>
      </w:r>
      <w:r>
        <w:rPr>
          <w:spacing w:val="-2"/>
        </w:rPr>
        <w:t xml:space="preserve"> </w:t>
      </w:r>
      <w:r>
        <w:t>belief,</w:t>
      </w:r>
      <w:r>
        <w:rPr>
          <w:spacing w:val="-3"/>
        </w:rPr>
        <w:t xml:space="preserve"> </w:t>
      </w:r>
      <w:r>
        <w:t>existing</w:t>
      </w:r>
      <w:r>
        <w:rPr>
          <w:spacing w:val="-2"/>
        </w:rPr>
        <w:t xml:space="preserve"> </w:t>
      </w:r>
      <w:r>
        <w:t>as</w:t>
      </w:r>
      <w:r>
        <w:rPr>
          <w:spacing w:val="-3"/>
        </w:rPr>
        <w:t xml:space="preserve"> </w:t>
      </w:r>
      <w:r>
        <w:t>it</w:t>
      </w:r>
      <w:r>
        <w:rPr>
          <w:spacing w:val="-2"/>
        </w:rPr>
        <w:t xml:space="preserve"> </w:t>
      </w:r>
      <w:r>
        <w:t>does</w:t>
      </w:r>
      <w:r>
        <w:rPr>
          <w:spacing w:val="-2"/>
        </w:rPr>
        <w:t xml:space="preserve"> </w:t>
      </w:r>
      <w:r>
        <w:t>when</w:t>
      </w:r>
      <w:r>
        <w:rPr>
          <w:spacing w:val="-3"/>
        </w:rPr>
        <w:t xml:space="preserve"> </w:t>
      </w:r>
      <w:r>
        <w:t>it</w:t>
      </w:r>
      <w:r>
        <w:rPr>
          <w:spacing w:val="-2"/>
        </w:rPr>
        <w:t xml:space="preserve"> </w:t>
      </w:r>
      <w:r>
        <w:t>is</w:t>
      </w:r>
      <w:r>
        <w:rPr>
          <w:spacing w:val="-3"/>
        </w:rPr>
        <w:t xml:space="preserve"> </w:t>
      </w:r>
      <w:r>
        <w:t>outside</w:t>
      </w:r>
      <w:r>
        <w:rPr>
          <w:spacing w:val="-2"/>
        </w:rPr>
        <w:t xml:space="preserve"> </w:t>
      </w:r>
      <w:r>
        <w:t>of</w:t>
      </w:r>
      <w:r>
        <w:rPr>
          <w:spacing w:val="-3"/>
        </w:rPr>
        <w:t xml:space="preserve"> </w:t>
      </w:r>
      <w:r>
        <w:t>consciousness,</w:t>
      </w:r>
      <w:r>
        <w:rPr>
          <w:spacing w:val="-2"/>
        </w:rPr>
        <w:t xml:space="preserve"> </w:t>
      </w:r>
      <w:r>
        <w:t>is</w:t>
      </w:r>
      <w:r>
        <w:rPr>
          <w:spacing w:val="-2"/>
        </w:rPr>
        <w:t xml:space="preserve"> </w:t>
      </w:r>
      <w:r>
        <w:t>not a</w:t>
      </w:r>
      <w:r>
        <w:rPr>
          <w:spacing w:val="-2"/>
        </w:rPr>
        <w:t xml:space="preserve"> </w:t>
      </w:r>
      <w:r>
        <w:rPr>
          <w:i/>
        </w:rPr>
        <w:t>part</w:t>
      </w:r>
      <w:r>
        <w:rPr>
          <w:i/>
          <w:spacing w:val="-3"/>
        </w:rPr>
        <w:t xml:space="preserve"> </w:t>
      </w:r>
      <w:r>
        <w:t xml:space="preserve">of consciousness. It is not, as we will henceforth put it, a </w:t>
      </w:r>
      <w:r>
        <w:rPr>
          <w:i/>
        </w:rPr>
        <w:t>constituent</w:t>
      </w:r>
      <w:r>
        <w:rPr>
          <w:i/>
          <w:spacing w:val="-3"/>
        </w:rPr>
        <w:t xml:space="preserve"> </w:t>
      </w:r>
      <w:r>
        <w:t>of your consciousness.</w:t>
      </w:r>
    </w:p>
    <w:p w14:paraId="7E00172E" w14:textId="77777777" w:rsidR="009A58DB" w:rsidRDefault="00000000">
      <w:pPr>
        <w:pStyle w:val="BodyText"/>
        <w:spacing w:before="4" w:line="249" w:lineRule="auto"/>
        <w:ind w:right="360" w:firstLine="360"/>
      </w:pPr>
      <w:r>
        <w:t xml:space="preserve">Thus, there are instances of knowledge that are not consciousness. And there are instances of consciousness that are not knowledge. The euphoria induced by a drug is an instance of consciousness; it is a component of somebody’s immediate experience. But it isn’t an instance of knowledge. (This is consistent with the fact that somebody experiencing such a euphoria could, and probably would, have knowledge </w:t>
      </w:r>
      <w:r>
        <w:rPr>
          <w:i/>
        </w:rPr>
        <w:t xml:space="preserve">of </w:t>
      </w:r>
      <w:r>
        <w:t xml:space="preserve">that experience, just as you have knowledge </w:t>
      </w:r>
      <w:r>
        <w:rPr>
          <w:i/>
        </w:rPr>
        <w:t xml:space="preserve">of </w:t>
      </w:r>
      <w:r>
        <w:t>the piece of paper blowing across your lawn).</w:t>
      </w:r>
    </w:p>
    <w:p w14:paraId="7E00172F" w14:textId="77777777" w:rsidR="009A58DB" w:rsidRDefault="00000000">
      <w:pPr>
        <w:pStyle w:val="Heading3"/>
        <w:numPr>
          <w:ilvl w:val="2"/>
          <w:numId w:val="132"/>
        </w:numPr>
        <w:tabs>
          <w:tab w:val="left" w:pos="1136"/>
        </w:tabs>
        <w:ind w:hanging="776"/>
        <w:jc w:val="both"/>
      </w:pPr>
      <w:r>
        <w:t>An</w:t>
      </w:r>
      <w:r>
        <w:rPr>
          <w:spacing w:val="6"/>
        </w:rPr>
        <w:t xml:space="preserve"> </w:t>
      </w:r>
      <w:r>
        <w:t>important</w:t>
      </w:r>
      <w:r>
        <w:rPr>
          <w:spacing w:val="7"/>
        </w:rPr>
        <w:t xml:space="preserve"> </w:t>
      </w:r>
      <w:r>
        <w:t>fact</w:t>
      </w:r>
      <w:r>
        <w:rPr>
          <w:spacing w:val="7"/>
        </w:rPr>
        <w:t xml:space="preserve"> </w:t>
      </w:r>
      <w:r>
        <w:t>about</w:t>
      </w:r>
      <w:r>
        <w:rPr>
          <w:spacing w:val="6"/>
        </w:rPr>
        <w:t xml:space="preserve"> </w:t>
      </w:r>
      <w:r>
        <w:rPr>
          <w:spacing w:val="-2"/>
        </w:rPr>
        <w:t>consciousness</w:t>
      </w:r>
    </w:p>
    <w:p w14:paraId="7E001730" w14:textId="77777777" w:rsidR="009A58DB" w:rsidRDefault="00000000">
      <w:pPr>
        <w:pStyle w:val="BodyText"/>
        <w:spacing w:before="82" w:line="249" w:lineRule="auto"/>
        <w:ind w:right="360"/>
      </w:pPr>
      <w:r>
        <w:t xml:space="preserve">One feature of consciousness (as philosophers use that term) is that, if something has consciousness, then there is “something it is like” to be that thing. If you are in pain, then there is “something it is like” to be you. So the presence of consciousness in something is sufficient for there to be “something it is like” to be that thing. Further, the presence of consciousness in something is </w:t>
      </w:r>
      <w:r>
        <w:rPr>
          <w:i/>
        </w:rPr>
        <w:t xml:space="preserve">necessary </w:t>
      </w:r>
      <w:r>
        <w:t xml:space="preserve">for there to be “something it is like” to be that </w:t>
      </w:r>
      <w:r>
        <w:rPr>
          <w:spacing w:val="-2"/>
        </w:rPr>
        <w:t>thing.</w:t>
      </w:r>
    </w:p>
    <w:p w14:paraId="7E001731" w14:textId="77777777" w:rsidR="009A58DB" w:rsidRDefault="00000000">
      <w:pPr>
        <w:pStyle w:val="BodyText"/>
        <w:spacing w:before="8" w:line="249" w:lineRule="auto"/>
        <w:ind w:right="357" w:firstLine="360"/>
      </w:pPr>
      <w:r>
        <w:t xml:space="preserve">There is nothing it is like to be pinecone, since pinecones are not conscious. But if, by some miracle, a pinecone were to become conscious, then there </w:t>
      </w:r>
      <w:r>
        <w:rPr>
          <w:i/>
        </w:rPr>
        <w:t xml:space="preserve">would </w:t>
      </w:r>
      <w:r>
        <w:t xml:space="preserve">be something it was like to be that pinecone. The presence of consciousness in something is thus both </w:t>
      </w:r>
      <w:r>
        <w:rPr>
          <w:i/>
        </w:rPr>
        <w:t xml:space="preserve">necessary </w:t>
      </w:r>
      <w:r>
        <w:t xml:space="preserve">and </w:t>
      </w:r>
      <w:r>
        <w:rPr>
          <w:i/>
        </w:rPr>
        <w:t xml:space="preserve">sufficient </w:t>
      </w:r>
      <w:r>
        <w:t xml:space="preserve">for there to be something it is like to be that thing. In fact, consciousness may be </w:t>
      </w:r>
      <w:r>
        <w:rPr>
          <w:i/>
        </w:rPr>
        <w:t xml:space="preserve">identified </w:t>
      </w:r>
      <w:r>
        <w:t>with a thing’s having the property there being something it is like</w:t>
      </w:r>
      <w:r>
        <w:rPr>
          <w:spacing w:val="40"/>
        </w:rPr>
        <w:t xml:space="preserve"> </w:t>
      </w:r>
      <w:r>
        <w:t>to be that thing.</w:t>
      </w:r>
    </w:p>
    <w:p w14:paraId="7E001732" w14:textId="77777777" w:rsidR="009A58DB" w:rsidRDefault="00000000">
      <w:pPr>
        <w:pStyle w:val="ListParagraph"/>
        <w:numPr>
          <w:ilvl w:val="2"/>
          <w:numId w:val="132"/>
        </w:numPr>
        <w:tabs>
          <w:tab w:val="left" w:pos="1136"/>
        </w:tabs>
        <w:spacing w:before="91"/>
        <w:ind w:hanging="776"/>
        <w:jc w:val="both"/>
        <w:rPr>
          <w:b/>
          <w:sz w:val="34"/>
        </w:rPr>
      </w:pPr>
      <w:r>
        <w:rPr>
          <w:b/>
          <w:sz w:val="34"/>
        </w:rPr>
        <w:t>An</w:t>
      </w:r>
      <w:r>
        <w:rPr>
          <w:b/>
          <w:spacing w:val="4"/>
          <w:sz w:val="34"/>
        </w:rPr>
        <w:t xml:space="preserve"> </w:t>
      </w:r>
      <w:r>
        <w:rPr>
          <w:b/>
          <w:sz w:val="34"/>
        </w:rPr>
        <w:t>important</w:t>
      </w:r>
      <w:r>
        <w:rPr>
          <w:b/>
          <w:spacing w:val="5"/>
          <w:sz w:val="34"/>
        </w:rPr>
        <w:t xml:space="preserve"> </w:t>
      </w:r>
      <w:r>
        <w:rPr>
          <w:b/>
          <w:sz w:val="34"/>
        </w:rPr>
        <w:t>fact</w:t>
      </w:r>
      <w:r>
        <w:rPr>
          <w:b/>
          <w:spacing w:val="5"/>
          <w:sz w:val="34"/>
        </w:rPr>
        <w:t xml:space="preserve"> </w:t>
      </w:r>
      <w:r>
        <w:rPr>
          <w:b/>
          <w:sz w:val="34"/>
        </w:rPr>
        <w:t>about</w:t>
      </w:r>
      <w:r>
        <w:rPr>
          <w:b/>
          <w:spacing w:val="5"/>
          <w:sz w:val="34"/>
        </w:rPr>
        <w:t xml:space="preserve"> </w:t>
      </w:r>
      <w:r>
        <w:rPr>
          <w:b/>
          <w:sz w:val="34"/>
        </w:rPr>
        <w:t>your</w:t>
      </w:r>
      <w:r>
        <w:rPr>
          <w:b/>
          <w:spacing w:val="5"/>
          <w:sz w:val="34"/>
        </w:rPr>
        <w:t xml:space="preserve"> </w:t>
      </w:r>
      <w:r>
        <w:rPr>
          <w:b/>
          <w:sz w:val="34"/>
        </w:rPr>
        <w:t>belief</w:t>
      </w:r>
      <w:r>
        <w:rPr>
          <w:b/>
          <w:spacing w:val="5"/>
          <w:sz w:val="34"/>
        </w:rPr>
        <w:t xml:space="preserve"> </w:t>
      </w:r>
      <w:r>
        <w:rPr>
          <w:b/>
          <w:sz w:val="34"/>
        </w:rPr>
        <w:t>that</w:t>
      </w:r>
      <w:r>
        <w:rPr>
          <w:b/>
          <w:spacing w:val="5"/>
          <w:sz w:val="34"/>
        </w:rPr>
        <w:t xml:space="preserve"> </w:t>
      </w:r>
      <w:r>
        <w:rPr>
          <w:b/>
          <w:sz w:val="34"/>
        </w:rPr>
        <w:t>1</w:t>
      </w:r>
      <w:r>
        <w:rPr>
          <w:b/>
          <w:spacing w:val="5"/>
          <w:sz w:val="34"/>
        </w:rPr>
        <w:t xml:space="preserve"> </w:t>
      </w:r>
      <w:r>
        <w:rPr>
          <w:b/>
          <w:sz w:val="34"/>
        </w:rPr>
        <w:t>+</w:t>
      </w:r>
      <w:r>
        <w:rPr>
          <w:b/>
          <w:spacing w:val="4"/>
          <w:sz w:val="34"/>
        </w:rPr>
        <w:t xml:space="preserve"> </w:t>
      </w:r>
      <w:r>
        <w:rPr>
          <w:b/>
          <w:sz w:val="34"/>
        </w:rPr>
        <w:t>1</w:t>
      </w:r>
      <w:r>
        <w:rPr>
          <w:b/>
          <w:spacing w:val="5"/>
          <w:sz w:val="34"/>
        </w:rPr>
        <w:t xml:space="preserve"> </w:t>
      </w:r>
      <w:r>
        <w:rPr>
          <w:b/>
          <w:sz w:val="34"/>
        </w:rPr>
        <w:t>=</w:t>
      </w:r>
      <w:r>
        <w:rPr>
          <w:b/>
          <w:spacing w:val="5"/>
          <w:sz w:val="34"/>
        </w:rPr>
        <w:t xml:space="preserve"> </w:t>
      </w:r>
      <w:r>
        <w:rPr>
          <w:b/>
          <w:spacing w:val="-10"/>
          <w:sz w:val="34"/>
        </w:rPr>
        <w:t>2</w:t>
      </w:r>
    </w:p>
    <w:p w14:paraId="7E001733" w14:textId="77777777" w:rsidR="009A58DB" w:rsidRDefault="00000000">
      <w:pPr>
        <w:pStyle w:val="BodyText"/>
        <w:spacing w:before="82"/>
      </w:pPr>
      <w:r>
        <w:t>These points help clarify</w:t>
      </w:r>
      <w:r>
        <w:rPr>
          <w:spacing w:val="1"/>
        </w:rPr>
        <w:t xml:space="preserve"> </w:t>
      </w:r>
      <w:r>
        <w:t>our earlier point</w:t>
      </w:r>
      <w:r>
        <w:rPr>
          <w:spacing w:val="1"/>
        </w:rPr>
        <w:t xml:space="preserve"> </w:t>
      </w:r>
      <w:r>
        <w:t>that your belief that</w:t>
      </w:r>
      <w:r>
        <w:rPr>
          <w:spacing w:val="1"/>
        </w:rPr>
        <w:t xml:space="preserve"> </w:t>
      </w:r>
      <w:r>
        <w:t>1 + 1</w:t>
      </w:r>
      <w:r>
        <w:rPr>
          <w:spacing w:val="1"/>
        </w:rPr>
        <w:t xml:space="preserve"> </w:t>
      </w:r>
      <w:r>
        <w:t>= 2 is</w:t>
      </w:r>
      <w:r>
        <w:rPr>
          <w:spacing w:val="1"/>
        </w:rPr>
        <w:t xml:space="preserve"> </w:t>
      </w:r>
      <w:r>
        <w:rPr>
          <w:spacing w:val="-5"/>
        </w:rPr>
        <w:t>not</w:t>
      </w:r>
    </w:p>
    <w:p w14:paraId="7E001734" w14:textId="77777777" w:rsidR="009A58DB" w:rsidRDefault="009A58DB">
      <w:pPr>
        <w:pStyle w:val="BodyText"/>
        <w:sectPr w:rsidR="009A58DB">
          <w:pgSz w:w="12240" w:h="15840"/>
          <w:pgMar w:top="1380" w:right="1080" w:bottom="280" w:left="1080" w:header="720" w:footer="720" w:gutter="0"/>
          <w:cols w:space="720"/>
        </w:sectPr>
      </w:pPr>
    </w:p>
    <w:p w14:paraId="7E001735" w14:textId="77777777" w:rsidR="009A58DB" w:rsidRDefault="00000000">
      <w:pPr>
        <w:pStyle w:val="BodyText"/>
        <w:spacing w:before="60" w:line="249" w:lineRule="auto"/>
        <w:ind w:right="358"/>
      </w:pPr>
      <w:r>
        <w:lastRenderedPageBreak/>
        <w:t xml:space="preserve">a </w:t>
      </w:r>
      <w:r>
        <w:rPr>
          <w:i/>
        </w:rPr>
        <w:t xml:space="preserve">constituent </w:t>
      </w:r>
      <w:r>
        <w:t xml:space="preserve">of your consciousness (even though it may occupy your consciousness, just as the spectacle of litter blowing across a street may occupy your consciousness without, of course, being a veritable </w:t>
      </w:r>
      <w:r>
        <w:rPr>
          <w:i/>
        </w:rPr>
        <w:t xml:space="preserve">ingredient </w:t>
      </w:r>
      <w:r>
        <w:t>of that consciousness). Although there is something it is like to have a pain or a tickle, or to experience a sense-perception, there isn’t anything it is like to believe that 1 + 1 = 2.</w:t>
      </w:r>
    </w:p>
    <w:p w14:paraId="7E001736" w14:textId="77777777" w:rsidR="009A58DB" w:rsidRDefault="00000000">
      <w:pPr>
        <w:pStyle w:val="BodyText"/>
        <w:spacing w:before="12" w:line="249" w:lineRule="auto"/>
        <w:ind w:right="360" w:firstLine="360"/>
      </w:pPr>
      <w:r>
        <w:t xml:space="preserve">Of course, that belief may have </w:t>
      </w:r>
      <w:r>
        <w:rPr>
          <w:i/>
        </w:rPr>
        <w:t xml:space="preserve">effects </w:t>
      </w:r>
      <w:r>
        <w:t>on your consciousness—in other words, it may generate constituents of consciousness (without itself being such a constituent)—and there is something it is like to experience those constituents.</w:t>
      </w:r>
      <w:r>
        <w:rPr>
          <w:spacing w:val="-1"/>
        </w:rPr>
        <w:t xml:space="preserve"> </w:t>
      </w:r>
      <w:r>
        <w:t>For</w:t>
      </w:r>
      <w:r>
        <w:rPr>
          <w:spacing w:val="-1"/>
        </w:rPr>
        <w:t xml:space="preserve"> </w:t>
      </w:r>
      <w:r>
        <w:t>example,</w:t>
      </w:r>
      <w:r>
        <w:rPr>
          <w:spacing w:val="-1"/>
        </w:rPr>
        <w:t xml:space="preserve"> </w:t>
      </w:r>
      <w:r>
        <w:t>your</w:t>
      </w:r>
      <w:r>
        <w:rPr>
          <w:spacing w:val="-1"/>
        </w:rPr>
        <w:t xml:space="preserve"> </w:t>
      </w:r>
      <w:r>
        <w:t>having</w:t>
      </w:r>
      <w:r>
        <w:rPr>
          <w:spacing w:val="-1"/>
        </w:rPr>
        <w:t xml:space="preserve"> </w:t>
      </w:r>
      <w:r>
        <w:t>that</w:t>
      </w:r>
      <w:r>
        <w:rPr>
          <w:spacing w:val="-1"/>
        </w:rPr>
        <w:t xml:space="preserve"> </w:t>
      </w:r>
      <w:r>
        <w:t>belief</w:t>
      </w:r>
      <w:r>
        <w:rPr>
          <w:spacing w:val="-1"/>
        </w:rPr>
        <w:t xml:space="preserve"> </w:t>
      </w:r>
      <w:r>
        <w:t>may</w:t>
      </w:r>
      <w:r>
        <w:rPr>
          <w:spacing w:val="-1"/>
        </w:rPr>
        <w:t xml:space="preserve"> </w:t>
      </w:r>
      <w:r>
        <w:t>lead</w:t>
      </w:r>
      <w:r>
        <w:rPr>
          <w:spacing w:val="-1"/>
        </w:rPr>
        <w:t xml:space="preserve"> </w:t>
      </w:r>
      <w:r>
        <w:t>to</w:t>
      </w:r>
      <w:r>
        <w:rPr>
          <w:spacing w:val="-1"/>
        </w:rPr>
        <w:t xml:space="preserve"> </w:t>
      </w:r>
      <w:r>
        <w:t>your</w:t>
      </w:r>
      <w:r>
        <w:rPr>
          <w:spacing w:val="-1"/>
        </w:rPr>
        <w:t xml:space="preserve"> </w:t>
      </w:r>
      <w:r>
        <w:t>getting</w:t>
      </w:r>
      <w:r>
        <w:rPr>
          <w:spacing w:val="-1"/>
        </w:rPr>
        <w:t xml:space="preserve"> </w:t>
      </w:r>
      <w:r>
        <w:t>an A on a test, which in turn may fill you with joy.</w:t>
      </w:r>
    </w:p>
    <w:p w14:paraId="7E001737" w14:textId="77777777" w:rsidR="009A58DB" w:rsidRDefault="00000000">
      <w:pPr>
        <w:pStyle w:val="Heading3"/>
        <w:numPr>
          <w:ilvl w:val="2"/>
          <w:numId w:val="132"/>
        </w:numPr>
        <w:tabs>
          <w:tab w:val="left" w:pos="1155"/>
        </w:tabs>
        <w:spacing w:before="104" w:line="249" w:lineRule="auto"/>
        <w:ind w:left="360" w:right="367" w:firstLine="0"/>
        <w:jc w:val="both"/>
      </w:pPr>
      <w:r>
        <w:t xml:space="preserve">A consequence of this important fact: the existence of the </w:t>
      </w:r>
      <w:r>
        <w:rPr>
          <w:spacing w:val="-2"/>
        </w:rPr>
        <w:t>unconscious</w:t>
      </w:r>
    </w:p>
    <w:p w14:paraId="7E001738" w14:textId="77777777" w:rsidR="009A58DB" w:rsidRDefault="00000000">
      <w:pPr>
        <w:pStyle w:val="BodyText"/>
        <w:spacing w:before="64" w:line="249" w:lineRule="auto"/>
        <w:ind w:right="359"/>
      </w:pPr>
      <w:r>
        <w:t xml:space="preserve">Thus, your belief that 1 + 1 = 2 is not a </w:t>
      </w:r>
      <w:r>
        <w:rPr>
          <w:i/>
        </w:rPr>
        <w:t xml:space="preserve">constituent </w:t>
      </w:r>
      <w:r>
        <w:t>of your consciousness. It is not like a pain or a tickle or a perception. But it is clearly “conscious” in some</w:t>
      </w:r>
      <w:r>
        <w:rPr>
          <w:spacing w:val="-1"/>
        </w:rPr>
        <w:t xml:space="preserve"> </w:t>
      </w:r>
      <w:r>
        <w:t>sense</w:t>
      </w:r>
      <w:r>
        <w:rPr>
          <w:spacing w:val="-1"/>
        </w:rPr>
        <w:t xml:space="preserve"> </w:t>
      </w:r>
      <w:r>
        <w:t>of</w:t>
      </w:r>
      <w:r>
        <w:rPr>
          <w:spacing w:val="-1"/>
        </w:rPr>
        <w:t xml:space="preserve"> </w:t>
      </w:r>
      <w:r>
        <w:t>the</w:t>
      </w:r>
      <w:r>
        <w:rPr>
          <w:spacing w:val="-1"/>
        </w:rPr>
        <w:t xml:space="preserve"> </w:t>
      </w:r>
      <w:r>
        <w:t>word.</w:t>
      </w:r>
      <w:r>
        <w:rPr>
          <w:spacing w:val="-1"/>
        </w:rPr>
        <w:t xml:space="preserve"> </w:t>
      </w:r>
      <w:r>
        <w:t>(It</w:t>
      </w:r>
      <w:r>
        <w:rPr>
          <w:spacing w:val="-1"/>
        </w:rPr>
        <w:t xml:space="preserve"> </w:t>
      </w:r>
      <w:r>
        <w:t>is</w:t>
      </w:r>
      <w:r>
        <w:rPr>
          <w:spacing w:val="-1"/>
        </w:rPr>
        <w:t xml:space="preserve"> </w:t>
      </w:r>
      <w:r>
        <w:t>not</w:t>
      </w:r>
      <w:r>
        <w:rPr>
          <w:spacing w:val="-1"/>
        </w:rPr>
        <w:t xml:space="preserve"> </w:t>
      </w:r>
      <w:r>
        <w:t>buried</w:t>
      </w:r>
      <w:r>
        <w:rPr>
          <w:spacing w:val="-1"/>
        </w:rPr>
        <w:t xml:space="preserve"> </w:t>
      </w:r>
      <w:r>
        <w:t>in</w:t>
      </w:r>
      <w:r>
        <w:rPr>
          <w:spacing w:val="-1"/>
        </w:rPr>
        <w:t xml:space="preserve"> </w:t>
      </w:r>
      <w:r>
        <w:t>your</w:t>
      </w:r>
      <w:r>
        <w:rPr>
          <w:spacing w:val="-1"/>
        </w:rPr>
        <w:t xml:space="preserve"> </w:t>
      </w:r>
      <w:r>
        <w:t>subconscious;</w:t>
      </w:r>
      <w:r>
        <w:rPr>
          <w:spacing w:val="-1"/>
        </w:rPr>
        <w:t xml:space="preserve"> </w:t>
      </w:r>
      <w:r>
        <w:t>it</w:t>
      </w:r>
      <w:r>
        <w:rPr>
          <w:spacing w:val="-1"/>
        </w:rPr>
        <w:t xml:space="preserve"> </w:t>
      </w:r>
      <w:r>
        <w:t>isn’t</w:t>
      </w:r>
      <w:r>
        <w:rPr>
          <w:spacing w:val="-1"/>
        </w:rPr>
        <w:t xml:space="preserve"> </w:t>
      </w:r>
      <w:r>
        <w:t>like</w:t>
      </w:r>
      <w:r>
        <w:rPr>
          <w:spacing w:val="-1"/>
        </w:rPr>
        <w:t xml:space="preserve"> </w:t>
      </w:r>
      <w:r>
        <w:t>the previously discussed processes by which your mind converts disturbances of your</w:t>
      </w:r>
      <w:r>
        <w:rPr>
          <w:spacing w:val="-3"/>
        </w:rPr>
        <w:t xml:space="preserve"> </w:t>
      </w:r>
      <w:r>
        <w:t>sensory</w:t>
      </w:r>
      <w:r>
        <w:rPr>
          <w:spacing w:val="-2"/>
        </w:rPr>
        <w:t xml:space="preserve"> </w:t>
      </w:r>
      <w:r>
        <w:t>surfaces</w:t>
      </w:r>
      <w:r>
        <w:rPr>
          <w:spacing w:val="-3"/>
        </w:rPr>
        <w:t xml:space="preserve"> </w:t>
      </w:r>
      <w:r>
        <w:t>into</w:t>
      </w:r>
      <w:r>
        <w:rPr>
          <w:spacing w:val="-2"/>
        </w:rPr>
        <w:t xml:space="preserve"> </w:t>
      </w:r>
      <w:r>
        <w:t>perceptions.)</w:t>
      </w:r>
      <w:r>
        <w:rPr>
          <w:spacing w:val="-3"/>
        </w:rPr>
        <w:t xml:space="preserve"> </w:t>
      </w:r>
      <w:r>
        <w:t>It</w:t>
      </w:r>
      <w:r>
        <w:rPr>
          <w:spacing w:val="-3"/>
        </w:rPr>
        <w:t xml:space="preserve"> </w:t>
      </w:r>
      <w:r>
        <w:t>is</w:t>
      </w:r>
      <w:r>
        <w:rPr>
          <w:spacing w:val="-3"/>
        </w:rPr>
        <w:t xml:space="preserve"> </w:t>
      </w:r>
      <w:r>
        <w:t>not</w:t>
      </w:r>
      <w:r>
        <w:rPr>
          <w:spacing w:val="-3"/>
        </w:rPr>
        <w:t xml:space="preserve"> </w:t>
      </w:r>
      <w:r>
        <w:t>a</w:t>
      </w:r>
      <w:r>
        <w:rPr>
          <w:spacing w:val="-3"/>
        </w:rPr>
        <w:t xml:space="preserve"> </w:t>
      </w:r>
      <w:r>
        <w:rPr>
          <w:i/>
        </w:rPr>
        <w:t>part</w:t>
      </w:r>
      <w:r>
        <w:rPr>
          <w:i/>
          <w:spacing w:val="-3"/>
        </w:rPr>
        <w:t xml:space="preserve"> </w:t>
      </w:r>
      <w:r>
        <w:t>of</w:t>
      </w:r>
      <w:r>
        <w:rPr>
          <w:spacing w:val="-3"/>
        </w:rPr>
        <w:t xml:space="preserve"> </w:t>
      </w:r>
      <w:r>
        <w:t>your</w:t>
      </w:r>
      <w:r>
        <w:rPr>
          <w:spacing w:val="-3"/>
        </w:rPr>
        <w:t xml:space="preserve"> </w:t>
      </w:r>
      <w:r>
        <w:t xml:space="preserve">consciousness. So in </w:t>
      </w:r>
      <w:r>
        <w:rPr>
          <w:i/>
        </w:rPr>
        <w:t>that</w:t>
      </w:r>
      <w:r>
        <w:rPr>
          <w:i/>
          <w:spacing w:val="-3"/>
        </w:rPr>
        <w:t xml:space="preserve"> </w:t>
      </w:r>
      <w:r>
        <w:t xml:space="preserve">sense it is </w:t>
      </w:r>
      <w:r>
        <w:rPr>
          <w:i/>
        </w:rPr>
        <w:t>un</w:t>
      </w:r>
      <w:r>
        <w:t xml:space="preserve">conscious. So to the extent that it is “conscious,” it is in the sense that you are conscious </w:t>
      </w:r>
      <w:r>
        <w:rPr>
          <w:i/>
        </w:rPr>
        <w:t xml:space="preserve">of </w:t>
      </w:r>
      <w:r>
        <w:t>it.</w:t>
      </w:r>
    </w:p>
    <w:p w14:paraId="7E001739" w14:textId="77777777" w:rsidR="009A58DB" w:rsidRDefault="00000000">
      <w:pPr>
        <w:pStyle w:val="BodyText"/>
        <w:spacing w:before="9" w:line="249" w:lineRule="auto"/>
        <w:ind w:right="357" w:firstLine="360"/>
      </w:pPr>
      <w:r>
        <w:t xml:space="preserve">What we just said about that particular belief is true of many, if not all, beliefs and, indeed, of many desires, aspirations, regrets, intentions, and emotions. Consider your intention to receive a degree from an institution of higher learning. That intention obviously has effects on what you do. (You choose to show up to class, take exams, and so on.) And it therefore obviously has effects on what is occupying your consciousness. (Because of that intention, you are now reading a handout and are therefore having various perceptions and feelings that are constituents of your consciousness.) But that intention cannot be identified with any </w:t>
      </w:r>
      <w:r>
        <w:rPr>
          <w:i/>
        </w:rPr>
        <w:t xml:space="preserve">constituent </w:t>
      </w:r>
      <w:r>
        <w:t xml:space="preserve">of your consciousness. (That intention continues to exist even when you are asleep.) That intention is better thought of a structural fact about your mind that </w:t>
      </w:r>
      <w:r>
        <w:rPr>
          <w:i/>
        </w:rPr>
        <w:t xml:space="preserve">underlies </w:t>
      </w:r>
      <w:r>
        <w:t xml:space="preserve">and </w:t>
      </w:r>
      <w:r>
        <w:rPr>
          <w:i/>
        </w:rPr>
        <w:t xml:space="preserve">regulates </w:t>
      </w:r>
      <w:r>
        <w:t>the events that populate your consciousness, without itself being such an event. Similar remarks hold with respect to (for example) your affection for certain people, your dislike of other people, your confidence</w:t>
      </w:r>
      <w:r>
        <w:rPr>
          <w:spacing w:val="40"/>
        </w:rPr>
        <w:t xml:space="preserve"> </w:t>
      </w:r>
      <w:r>
        <w:t>in</w:t>
      </w:r>
      <w:r>
        <w:rPr>
          <w:spacing w:val="40"/>
        </w:rPr>
        <w:t xml:space="preserve"> </w:t>
      </w:r>
      <w:r>
        <w:t>your</w:t>
      </w:r>
      <w:r>
        <w:rPr>
          <w:spacing w:val="40"/>
        </w:rPr>
        <w:t xml:space="preserve"> </w:t>
      </w:r>
      <w:r>
        <w:t>ability</w:t>
      </w:r>
      <w:r>
        <w:rPr>
          <w:spacing w:val="40"/>
        </w:rPr>
        <w:t xml:space="preserve"> </w:t>
      </w:r>
      <w:r>
        <w:t>to</w:t>
      </w:r>
      <w:r>
        <w:rPr>
          <w:spacing w:val="40"/>
        </w:rPr>
        <w:t xml:space="preserve"> </w:t>
      </w:r>
      <w:r>
        <w:t>(for</w:t>
      </w:r>
      <w:r>
        <w:rPr>
          <w:spacing w:val="40"/>
        </w:rPr>
        <w:t xml:space="preserve"> </w:t>
      </w:r>
      <w:r>
        <w:t>example)</w:t>
      </w:r>
      <w:r>
        <w:rPr>
          <w:spacing w:val="40"/>
        </w:rPr>
        <w:t xml:space="preserve"> </w:t>
      </w:r>
      <w:r>
        <w:t>play</w:t>
      </w:r>
      <w:r>
        <w:rPr>
          <w:spacing w:val="40"/>
        </w:rPr>
        <w:t xml:space="preserve"> </w:t>
      </w:r>
      <w:r>
        <w:t>tennis,</w:t>
      </w:r>
      <w:r>
        <w:rPr>
          <w:spacing w:val="40"/>
        </w:rPr>
        <w:t xml:space="preserve"> </w:t>
      </w:r>
      <w:r>
        <w:t>your</w:t>
      </w:r>
      <w:r>
        <w:rPr>
          <w:spacing w:val="40"/>
        </w:rPr>
        <w:t xml:space="preserve"> </w:t>
      </w:r>
      <w:r>
        <w:t>doubts</w:t>
      </w:r>
      <w:r>
        <w:rPr>
          <w:spacing w:val="40"/>
        </w:rPr>
        <w:t xml:space="preserve"> </w:t>
      </w:r>
      <w:r>
        <w:t>about</w:t>
      </w:r>
    </w:p>
    <w:p w14:paraId="7E00173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3B" w14:textId="77777777" w:rsidR="009A58DB" w:rsidRDefault="00000000">
      <w:pPr>
        <w:pStyle w:val="BodyText"/>
        <w:spacing w:before="70"/>
      </w:pPr>
      <w:r>
        <w:lastRenderedPageBreak/>
        <w:t>your</w:t>
      </w:r>
      <w:r>
        <w:rPr>
          <w:spacing w:val="-4"/>
        </w:rPr>
        <w:t xml:space="preserve"> </w:t>
      </w:r>
      <w:r>
        <w:t>ability</w:t>
      </w:r>
      <w:r>
        <w:rPr>
          <w:spacing w:val="-2"/>
        </w:rPr>
        <w:t xml:space="preserve"> </w:t>
      </w:r>
      <w:r>
        <w:t>to</w:t>
      </w:r>
      <w:r>
        <w:rPr>
          <w:spacing w:val="-3"/>
        </w:rPr>
        <w:t xml:space="preserve"> </w:t>
      </w:r>
      <w:r>
        <w:t>(for</w:t>
      </w:r>
      <w:r>
        <w:rPr>
          <w:spacing w:val="-3"/>
        </w:rPr>
        <w:t xml:space="preserve"> </w:t>
      </w:r>
      <w:r>
        <w:t>example)</w:t>
      </w:r>
      <w:r>
        <w:rPr>
          <w:spacing w:val="-3"/>
        </w:rPr>
        <w:t xml:space="preserve"> </w:t>
      </w:r>
      <w:r>
        <w:t>play</w:t>
      </w:r>
      <w:r>
        <w:rPr>
          <w:spacing w:val="-3"/>
        </w:rPr>
        <w:t xml:space="preserve"> </w:t>
      </w:r>
      <w:r>
        <w:t>the</w:t>
      </w:r>
      <w:r>
        <w:rPr>
          <w:spacing w:val="-3"/>
        </w:rPr>
        <w:t xml:space="preserve"> </w:t>
      </w:r>
      <w:r>
        <w:t>harmonica,</w:t>
      </w:r>
      <w:r>
        <w:rPr>
          <w:spacing w:val="-3"/>
        </w:rPr>
        <w:t xml:space="preserve"> </w:t>
      </w:r>
      <w:r>
        <w:t>and</w:t>
      </w:r>
      <w:r>
        <w:rPr>
          <w:spacing w:val="-2"/>
        </w:rPr>
        <w:t xml:space="preserve"> </w:t>
      </w:r>
      <w:r>
        <w:t>so</w:t>
      </w:r>
      <w:r>
        <w:rPr>
          <w:spacing w:val="-2"/>
        </w:rPr>
        <w:t xml:space="preserve"> </w:t>
      </w:r>
      <w:r>
        <w:rPr>
          <w:spacing w:val="-5"/>
        </w:rPr>
        <w:t>on.</w:t>
      </w:r>
    </w:p>
    <w:p w14:paraId="7E00173C" w14:textId="77777777" w:rsidR="009A58DB" w:rsidRDefault="00000000">
      <w:pPr>
        <w:pStyle w:val="BodyText"/>
        <w:spacing w:before="10" w:line="249" w:lineRule="auto"/>
        <w:ind w:right="360" w:firstLine="360"/>
      </w:pPr>
      <w:r>
        <w:t xml:space="preserve">These points give us insight into an issue of great importance. You don’t </w:t>
      </w:r>
      <w:r>
        <w:rPr>
          <w:i/>
        </w:rPr>
        <w:t xml:space="preserve">have </w:t>
      </w:r>
      <w:r>
        <w:t xml:space="preserve">to be conscious of anything that you </w:t>
      </w:r>
      <w:r>
        <w:rPr>
          <w:i/>
        </w:rPr>
        <w:t xml:space="preserve">are </w:t>
      </w:r>
      <w:r>
        <w:t xml:space="preserve">in fact conscious of. You are now conscious of a piece of paper (or computer screen) in front of you. But you don’t have to be, and in a few minutes you won’t be. You may, at a certain moment, be conscious </w:t>
      </w:r>
      <w:r>
        <w:rPr>
          <w:i/>
        </w:rPr>
        <w:t xml:space="preserve">of </w:t>
      </w:r>
      <w:r>
        <w:t>the fact that you believe that 1 + 1 = 2. But you obviously don’t have to be conscious of the fact. In fact, most of the</w:t>
      </w:r>
      <w:r>
        <w:rPr>
          <w:spacing w:val="40"/>
        </w:rPr>
        <w:t xml:space="preserve"> </w:t>
      </w:r>
      <w:r>
        <w:t>time, you are not thinking about that fact and therefore aren’t conscious of it (though you readily become so). So the truth is that we don’t have to be, and in fact are usually not, conscious of much of what is in our own minds. This shows that, contrary to what a number of authors have alleged,</w:t>
      </w:r>
      <w:bookmarkStart w:id="295" w:name="_bookmark295"/>
      <w:bookmarkEnd w:id="295"/>
      <w:r>
        <w:rPr>
          <w:color w:val="0562C1"/>
          <w:position w:val="21"/>
          <w:u w:val="single" w:color="0562C1"/>
        </w:rPr>
        <w:t>[193]</w:t>
      </w:r>
      <w:r>
        <w:rPr>
          <w:color w:val="0562C1"/>
          <w:spacing w:val="-6"/>
          <w:position w:val="21"/>
        </w:rPr>
        <w:t xml:space="preserve"> </w:t>
      </w:r>
      <w:r>
        <w:t>there is at least some reason to accept the thesis, which is urged by thinkers in the psychoanalytic tradition, that we are not conscious of much of what is in our own minds.</w:t>
      </w:r>
    </w:p>
    <w:p w14:paraId="7E00173D" w14:textId="77777777" w:rsidR="009A58DB" w:rsidRDefault="00000000">
      <w:pPr>
        <w:pStyle w:val="BodyText"/>
        <w:spacing w:before="16" w:line="249" w:lineRule="auto"/>
        <w:ind w:right="359" w:firstLine="360"/>
        <w:rPr>
          <w:position w:val="21"/>
        </w:rPr>
      </w:pPr>
      <w:r>
        <w:t xml:space="preserve">Of course, thinkers in that tradition hold not only that we </w:t>
      </w:r>
      <w:r>
        <w:rPr>
          <w:i/>
        </w:rPr>
        <w:t xml:space="preserve">aren’t </w:t>
      </w:r>
      <w:r>
        <w:t>conscious of</w:t>
      </w:r>
      <w:r>
        <w:rPr>
          <w:spacing w:val="-3"/>
        </w:rPr>
        <w:t xml:space="preserve"> </w:t>
      </w:r>
      <w:r>
        <w:t>much</w:t>
      </w:r>
      <w:r>
        <w:rPr>
          <w:spacing w:val="-2"/>
        </w:rPr>
        <w:t xml:space="preserve"> </w:t>
      </w:r>
      <w:r>
        <w:t>of</w:t>
      </w:r>
      <w:r>
        <w:rPr>
          <w:spacing w:val="-3"/>
        </w:rPr>
        <w:t xml:space="preserve"> </w:t>
      </w:r>
      <w:r>
        <w:t>what</w:t>
      </w:r>
      <w:r>
        <w:rPr>
          <w:spacing w:val="-3"/>
        </w:rPr>
        <w:t xml:space="preserve"> </w:t>
      </w:r>
      <w:r>
        <w:t>occurs</w:t>
      </w:r>
      <w:r>
        <w:rPr>
          <w:spacing w:val="-3"/>
        </w:rPr>
        <w:t xml:space="preserve"> </w:t>
      </w:r>
      <w:r>
        <w:t>in</w:t>
      </w:r>
      <w:r>
        <w:rPr>
          <w:spacing w:val="-2"/>
        </w:rPr>
        <w:t xml:space="preserve"> </w:t>
      </w:r>
      <w:r>
        <w:t>our</w:t>
      </w:r>
      <w:r>
        <w:rPr>
          <w:spacing w:val="-3"/>
        </w:rPr>
        <w:t xml:space="preserve"> </w:t>
      </w:r>
      <w:r>
        <w:t>own</w:t>
      </w:r>
      <w:r>
        <w:rPr>
          <w:spacing w:val="-2"/>
        </w:rPr>
        <w:t xml:space="preserve"> </w:t>
      </w:r>
      <w:r>
        <w:t>minds,</w:t>
      </w:r>
      <w:r>
        <w:rPr>
          <w:spacing w:val="-2"/>
        </w:rPr>
        <w:t xml:space="preserve"> </w:t>
      </w:r>
      <w:r>
        <w:t>but</w:t>
      </w:r>
      <w:r>
        <w:rPr>
          <w:spacing w:val="-3"/>
        </w:rPr>
        <w:t xml:space="preserve"> </w:t>
      </w:r>
      <w:r>
        <w:t>also</w:t>
      </w:r>
      <w:r>
        <w:rPr>
          <w:spacing w:val="-2"/>
        </w:rPr>
        <w:t xml:space="preserve"> </w:t>
      </w:r>
      <w:r>
        <w:t>that</w:t>
      </w:r>
      <w:r>
        <w:rPr>
          <w:spacing w:val="-3"/>
        </w:rPr>
        <w:t xml:space="preserve"> </w:t>
      </w:r>
      <w:r>
        <w:t>emotional</w:t>
      </w:r>
      <w:r>
        <w:rPr>
          <w:spacing w:val="-3"/>
        </w:rPr>
        <w:t xml:space="preserve"> </w:t>
      </w:r>
      <w:r>
        <w:t>blocks</w:t>
      </w:r>
      <w:r>
        <w:rPr>
          <w:spacing w:val="-3"/>
        </w:rPr>
        <w:t xml:space="preserve"> </w:t>
      </w:r>
      <w:r>
        <w:t xml:space="preserve">may lead to our having very wrong and distorted and impoverished beliefs about our own minds. Whether that thesis is correct lies outside the scope of this book. But what seems reasonably clear is that there are good grounds for at least </w:t>
      </w:r>
      <w:r>
        <w:rPr>
          <w:i/>
        </w:rPr>
        <w:t xml:space="preserve">one </w:t>
      </w:r>
      <w:r>
        <w:t>contention of that school of thought—namely, that we are, at any given time, unaware of many of the events that constitute our very own mental lives. And, once this is granted, it becomes a garden-variety empirical question whether, unless we take special measures to learn about ourselves, we have more than a superficial understanding of our own minds</w:t>
      </w:r>
      <w:bookmarkStart w:id="296" w:name="_bookmark296"/>
      <w:bookmarkEnd w:id="296"/>
      <w:r>
        <w:t>.</w:t>
      </w:r>
      <w:r>
        <w:rPr>
          <w:color w:val="0562C1"/>
          <w:position w:val="21"/>
          <w:u w:val="single" w:color="0562C1"/>
        </w:rPr>
        <w:t>[194]</w:t>
      </w:r>
    </w:p>
    <w:p w14:paraId="7E00173E" w14:textId="77777777" w:rsidR="009A58DB" w:rsidRDefault="00000000">
      <w:pPr>
        <w:pStyle w:val="Heading1"/>
        <w:numPr>
          <w:ilvl w:val="1"/>
          <w:numId w:val="131"/>
        </w:numPr>
        <w:tabs>
          <w:tab w:val="left" w:pos="1073"/>
        </w:tabs>
        <w:spacing w:before="200" w:line="244" w:lineRule="auto"/>
        <w:ind w:right="364" w:firstLine="0"/>
        <w:rPr>
          <w:position w:val="30"/>
        </w:rPr>
      </w:pPr>
      <w:r>
        <w:rPr>
          <w:noProof/>
          <w:position w:val="30"/>
        </w:rPr>
        <mc:AlternateContent>
          <mc:Choice Requires="wps">
            <w:drawing>
              <wp:anchor distT="0" distB="0" distL="0" distR="0" simplePos="0" relativeHeight="480338432" behindDoc="1" locked="0" layoutInCell="1" allowOverlap="1" wp14:anchorId="7E003284" wp14:editId="7E003285">
                <wp:simplePos x="0" y="0"/>
                <wp:positionH relativeFrom="page">
                  <wp:posOffset>2533650</wp:posOffset>
                </wp:positionH>
                <wp:positionV relativeFrom="paragraph">
                  <wp:posOffset>704742</wp:posOffset>
                </wp:positionV>
                <wp:extent cx="57150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0B7678B4" id="Graphic 27" o:spid="_x0000_s1026" style="position:absolute;margin-left:199.5pt;margin-top:55.5pt;width:45pt;height:.1pt;z-index:-22978048;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" path="m,l571500,e" filled="f" strokecolor="#0562c1">
                <v:path arrowok="t"/>
                <w10:wrap anchorx="page"/>
              </v:shape>
            </w:pict>
          </mc:Fallback>
        </mc:AlternateContent>
      </w:r>
      <w:r>
        <w:t>Knowledge</w:t>
      </w:r>
      <w:r>
        <w:rPr>
          <w:spacing w:val="40"/>
        </w:rPr>
        <w:t xml:space="preserve"> </w:t>
      </w:r>
      <w:r>
        <w:t>by</w:t>
      </w:r>
      <w:r>
        <w:rPr>
          <w:spacing w:val="40"/>
        </w:rPr>
        <w:t xml:space="preserve"> </w:t>
      </w:r>
      <w:r>
        <w:t>acquaintance</w:t>
      </w:r>
      <w:r>
        <w:rPr>
          <w:spacing w:val="40"/>
        </w:rPr>
        <w:t xml:space="preserve"> </w:t>
      </w:r>
      <w:r>
        <w:t>versus</w:t>
      </w:r>
      <w:r>
        <w:rPr>
          <w:spacing w:val="40"/>
        </w:rPr>
        <w:t xml:space="preserve"> </w:t>
      </w:r>
      <w:r>
        <w:t>knowledge by descriptio</w:t>
      </w:r>
      <w:bookmarkStart w:id="297" w:name="_bookmark297"/>
      <w:bookmarkEnd w:id="297"/>
      <w:r>
        <w:t>n</w:t>
      </w:r>
      <w:r>
        <w:rPr>
          <w:color w:val="0562C1"/>
          <w:position w:val="30"/>
        </w:rPr>
        <w:t>[195]</w:t>
      </w:r>
    </w:p>
    <w:p w14:paraId="7E00173F" w14:textId="77777777" w:rsidR="009A58DB" w:rsidRDefault="00000000">
      <w:pPr>
        <w:pStyle w:val="BodyText"/>
        <w:spacing w:before="132" w:line="249" w:lineRule="auto"/>
        <w:ind w:right="365"/>
      </w:pPr>
      <w:r>
        <w:t>At the beginning of this chapter, we distinguished between two kinds of knowledge. The one consists of awareness of people (or, more generally, objects); the other consists of awareness of truths. There is reason to think that up to a point, but probably not entirely, the first kind of knowledge collapses into the second. The reason for this is that, with certain very</w:t>
      </w:r>
      <w:r>
        <w:rPr>
          <w:spacing w:val="40"/>
        </w:rPr>
        <w:t xml:space="preserve"> </w:t>
      </w:r>
      <w:r>
        <w:t>specific</w:t>
      </w:r>
      <w:r>
        <w:rPr>
          <w:spacing w:val="75"/>
        </w:rPr>
        <w:t xml:space="preserve"> </w:t>
      </w:r>
      <w:r>
        <w:t>exceptions,</w:t>
      </w:r>
      <w:r>
        <w:rPr>
          <w:spacing w:val="75"/>
        </w:rPr>
        <w:t xml:space="preserve"> </w:t>
      </w:r>
      <w:r>
        <w:t>awareness</w:t>
      </w:r>
      <w:r>
        <w:rPr>
          <w:spacing w:val="76"/>
        </w:rPr>
        <w:t xml:space="preserve"> </w:t>
      </w:r>
      <w:r>
        <w:t>of</w:t>
      </w:r>
      <w:r>
        <w:rPr>
          <w:spacing w:val="75"/>
        </w:rPr>
        <w:t xml:space="preserve"> </w:t>
      </w:r>
      <w:r>
        <w:t>objects</w:t>
      </w:r>
      <w:r>
        <w:rPr>
          <w:spacing w:val="75"/>
        </w:rPr>
        <w:t xml:space="preserve"> </w:t>
      </w:r>
      <w:r>
        <w:t>is</w:t>
      </w:r>
      <w:r>
        <w:rPr>
          <w:spacing w:val="76"/>
        </w:rPr>
        <w:t xml:space="preserve"> </w:t>
      </w:r>
      <w:r>
        <w:t>identical</w:t>
      </w:r>
      <w:r>
        <w:rPr>
          <w:spacing w:val="75"/>
        </w:rPr>
        <w:t xml:space="preserve"> </w:t>
      </w:r>
      <w:r>
        <w:t>with</w:t>
      </w:r>
      <w:r>
        <w:rPr>
          <w:spacing w:val="75"/>
        </w:rPr>
        <w:t xml:space="preserve"> </w:t>
      </w:r>
      <w:r>
        <w:t>knowledge</w:t>
      </w:r>
      <w:r>
        <w:rPr>
          <w:spacing w:val="76"/>
        </w:rPr>
        <w:t xml:space="preserve"> </w:t>
      </w:r>
      <w:r>
        <w:t>of</w:t>
      </w:r>
    </w:p>
    <w:p w14:paraId="7E00174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41" w14:textId="77777777" w:rsidR="009A58DB" w:rsidRDefault="00000000">
      <w:pPr>
        <w:pStyle w:val="BodyText"/>
        <w:tabs>
          <w:tab w:val="left" w:pos="1254"/>
          <w:tab w:val="left" w:pos="1715"/>
          <w:tab w:val="left" w:pos="2060"/>
          <w:tab w:val="left" w:pos="3087"/>
          <w:tab w:val="left" w:pos="4656"/>
          <w:tab w:val="left" w:pos="5484"/>
          <w:tab w:val="left" w:pos="7152"/>
          <w:tab w:val="left" w:pos="7530"/>
          <w:tab w:val="left" w:pos="7941"/>
          <w:tab w:val="left" w:pos="9185"/>
        </w:tabs>
        <w:spacing w:before="60" w:line="249" w:lineRule="auto"/>
        <w:ind w:right="358"/>
        <w:jc w:val="right"/>
      </w:pPr>
      <w:r>
        <w:rPr>
          <w:spacing w:val="-2"/>
        </w:rPr>
        <w:lastRenderedPageBreak/>
        <w:t>truths</w:t>
      </w:r>
      <w:r>
        <w:tab/>
      </w:r>
      <w:r>
        <w:rPr>
          <w:spacing w:val="-6"/>
        </w:rPr>
        <w:t>of</w:t>
      </w:r>
      <w:r>
        <w:tab/>
      </w:r>
      <w:r>
        <w:rPr>
          <w:spacing w:val="-10"/>
        </w:rPr>
        <w:t>a</w:t>
      </w:r>
      <w:r>
        <w:tab/>
      </w:r>
      <w:r>
        <w:rPr>
          <w:spacing w:val="-2"/>
        </w:rPr>
        <w:t>certain</w:t>
      </w:r>
      <w:r>
        <w:tab/>
      </w:r>
      <w:r>
        <w:rPr>
          <w:spacing w:val="-2"/>
        </w:rPr>
        <w:t>kind—that,</w:t>
      </w:r>
      <w:r>
        <w:tab/>
      </w:r>
      <w:r>
        <w:rPr>
          <w:spacing w:val="-4"/>
        </w:rPr>
        <w:t>more</w:t>
      </w:r>
      <w:r>
        <w:tab/>
      </w:r>
      <w:r>
        <w:rPr>
          <w:spacing w:val="-2"/>
        </w:rPr>
        <w:t>specifically,</w:t>
      </w:r>
      <w:r>
        <w:tab/>
      </w:r>
      <w:r>
        <w:rPr>
          <w:spacing w:val="-6"/>
        </w:rPr>
        <w:t>it</w:t>
      </w:r>
      <w:r>
        <w:tab/>
      </w:r>
      <w:r>
        <w:rPr>
          <w:spacing w:val="-6"/>
        </w:rPr>
        <w:t>is</w:t>
      </w:r>
      <w:r>
        <w:tab/>
      </w:r>
      <w:r>
        <w:rPr>
          <w:spacing w:val="-2"/>
        </w:rPr>
        <w:t>identical</w:t>
      </w:r>
      <w:r>
        <w:tab/>
      </w:r>
      <w:r>
        <w:rPr>
          <w:spacing w:val="-4"/>
        </w:rPr>
        <w:t xml:space="preserve">with </w:t>
      </w:r>
      <w:r>
        <w:t xml:space="preserve">knowledge of truths to the effect that certain </w:t>
      </w:r>
      <w:r>
        <w:rPr>
          <w:i/>
        </w:rPr>
        <w:t xml:space="preserve">descriptions </w:t>
      </w:r>
      <w:r>
        <w:t>are in fact satisfied. A</w:t>
      </w:r>
      <w:r>
        <w:rPr>
          <w:spacing w:val="80"/>
        </w:rPr>
        <w:t xml:space="preserve"> </w:t>
      </w:r>
      <w:r>
        <w:t>story</w:t>
      </w:r>
      <w:r>
        <w:rPr>
          <w:spacing w:val="80"/>
        </w:rPr>
        <w:t xml:space="preserve"> </w:t>
      </w:r>
      <w:r>
        <w:t>will</w:t>
      </w:r>
      <w:r>
        <w:rPr>
          <w:spacing w:val="80"/>
        </w:rPr>
        <w:t xml:space="preserve"> </w:t>
      </w:r>
      <w:r>
        <w:t>help</w:t>
      </w:r>
      <w:r>
        <w:rPr>
          <w:spacing w:val="80"/>
        </w:rPr>
        <w:t xml:space="preserve"> </w:t>
      </w:r>
      <w:r>
        <w:t>clarify</w:t>
      </w:r>
      <w:r>
        <w:rPr>
          <w:spacing w:val="80"/>
        </w:rPr>
        <w:t xml:space="preserve"> </w:t>
      </w:r>
      <w:r>
        <w:t>what</w:t>
      </w:r>
      <w:r>
        <w:rPr>
          <w:spacing w:val="80"/>
        </w:rPr>
        <w:t xml:space="preserve"> </w:t>
      </w:r>
      <w:r>
        <w:t>it</w:t>
      </w:r>
      <w:r>
        <w:rPr>
          <w:spacing w:val="80"/>
        </w:rPr>
        <w:t xml:space="preserve"> </w:t>
      </w:r>
      <w:r>
        <w:t>means</w:t>
      </w:r>
      <w:r>
        <w:rPr>
          <w:spacing w:val="80"/>
        </w:rPr>
        <w:t xml:space="preserve"> </w:t>
      </w:r>
      <w:r>
        <w:t>to</w:t>
      </w:r>
      <w:r>
        <w:rPr>
          <w:spacing w:val="80"/>
        </w:rPr>
        <w:t xml:space="preserve"> </w:t>
      </w:r>
      <w:r>
        <w:t>say</w:t>
      </w:r>
      <w:r>
        <w:rPr>
          <w:spacing w:val="80"/>
        </w:rPr>
        <w:t xml:space="preserve"> </w:t>
      </w:r>
      <w:r>
        <w:t>that</w:t>
      </w:r>
      <w:r>
        <w:rPr>
          <w:spacing w:val="80"/>
        </w:rPr>
        <w:t xml:space="preserve"> </w:t>
      </w:r>
      <w:r>
        <w:t>a</w:t>
      </w:r>
      <w:r>
        <w:rPr>
          <w:spacing w:val="80"/>
        </w:rPr>
        <w:t xml:space="preserve"> </w:t>
      </w:r>
      <w:r>
        <w:t>description</w:t>
      </w:r>
      <w:r>
        <w:rPr>
          <w:spacing w:val="80"/>
        </w:rPr>
        <w:t xml:space="preserve"> </w:t>
      </w:r>
      <w:r>
        <w:t>is “satisfied.” In order to collect insurance money, an unscrupulous store owner falsely</w:t>
      </w:r>
      <w:r>
        <w:rPr>
          <w:spacing w:val="29"/>
        </w:rPr>
        <w:t xml:space="preserve"> </w:t>
      </w:r>
      <w:r>
        <w:t>claims</w:t>
      </w:r>
      <w:r>
        <w:rPr>
          <w:spacing w:val="29"/>
        </w:rPr>
        <w:t xml:space="preserve"> </w:t>
      </w:r>
      <w:r>
        <w:t>that</w:t>
      </w:r>
      <w:r>
        <w:rPr>
          <w:spacing w:val="29"/>
        </w:rPr>
        <w:t xml:space="preserve"> </w:t>
      </w:r>
      <w:r>
        <w:t>he</w:t>
      </w:r>
      <w:r>
        <w:rPr>
          <w:spacing w:val="29"/>
        </w:rPr>
        <w:t xml:space="preserve"> </w:t>
      </w:r>
      <w:r>
        <w:t>is</w:t>
      </w:r>
      <w:r>
        <w:rPr>
          <w:spacing w:val="29"/>
        </w:rPr>
        <w:t xml:space="preserve"> </w:t>
      </w:r>
      <w:r>
        <w:t>robbed.</w:t>
      </w:r>
      <w:r>
        <w:rPr>
          <w:spacing w:val="29"/>
        </w:rPr>
        <w:t xml:space="preserve"> </w:t>
      </w:r>
      <w:r>
        <w:t>He</w:t>
      </w:r>
      <w:r>
        <w:rPr>
          <w:spacing w:val="29"/>
        </w:rPr>
        <w:t xml:space="preserve"> </w:t>
      </w:r>
      <w:r>
        <w:t>gives</w:t>
      </w:r>
      <w:r>
        <w:rPr>
          <w:spacing w:val="29"/>
        </w:rPr>
        <w:t xml:space="preserve"> </w:t>
      </w:r>
      <w:r>
        <w:t>a</w:t>
      </w:r>
      <w:r>
        <w:rPr>
          <w:spacing w:val="29"/>
        </w:rPr>
        <w:t xml:space="preserve"> </w:t>
      </w:r>
      <w:r>
        <w:t>description</w:t>
      </w:r>
      <w:r>
        <w:rPr>
          <w:spacing w:val="29"/>
        </w:rPr>
        <w:t xml:space="preserve"> </w:t>
      </w:r>
      <w:r>
        <w:t>of</w:t>
      </w:r>
      <w:r>
        <w:rPr>
          <w:spacing w:val="29"/>
        </w:rPr>
        <w:t xml:space="preserve"> </w:t>
      </w:r>
      <w:r>
        <w:t>the</w:t>
      </w:r>
      <w:r>
        <w:rPr>
          <w:spacing w:val="29"/>
        </w:rPr>
        <w:t xml:space="preserve"> </w:t>
      </w:r>
      <w:r>
        <w:t>(nonexistent) perpetrator of the (non-existent) crime. He goes to the police station and tells the</w:t>
      </w:r>
      <w:r>
        <w:rPr>
          <w:spacing w:val="24"/>
        </w:rPr>
        <w:t xml:space="preserve"> </w:t>
      </w:r>
      <w:r>
        <w:t>police:</w:t>
      </w:r>
      <w:r>
        <w:rPr>
          <w:spacing w:val="24"/>
        </w:rPr>
        <w:t xml:space="preserve"> </w:t>
      </w:r>
      <w:r>
        <w:t>“the</w:t>
      </w:r>
      <w:r>
        <w:rPr>
          <w:spacing w:val="24"/>
        </w:rPr>
        <w:t xml:space="preserve"> </w:t>
      </w:r>
      <w:r>
        <w:t>person</w:t>
      </w:r>
      <w:r>
        <w:rPr>
          <w:spacing w:val="24"/>
        </w:rPr>
        <w:t xml:space="preserve"> </w:t>
      </w:r>
      <w:r>
        <w:t>who</w:t>
      </w:r>
      <w:r>
        <w:rPr>
          <w:spacing w:val="25"/>
        </w:rPr>
        <w:t xml:space="preserve"> </w:t>
      </w:r>
      <w:r>
        <w:t>robbed</w:t>
      </w:r>
      <w:r>
        <w:rPr>
          <w:spacing w:val="24"/>
        </w:rPr>
        <w:t xml:space="preserve"> </w:t>
      </w:r>
      <w:r>
        <w:t>me</w:t>
      </w:r>
      <w:r>
        <w:rPr>
          <w:spacing w:val="24"/>
        </w:rPr>
        <w:t xml:space="preserve"> </w:t>
      </w:r>
      <w:r>
        <w:t>was</w:t>
      </w:r>
      <w:r>
        <w:rPr>
          <w:spacing w:val="24"/>
        </w:rPr>
        <w:t xml:space="preserve"> </w:t>
      </w:r>
      <w:r>
        <w:t>a</w:t>
      </w:r>
      <w:r>
        <w:rPr>
          <w:spacing w:val="24"/>
        </w:rPr>
        <w:t xml:space="preserve"> </w:t>
      </w:r>
      <w:r>
        <w:t>tall</w:t>
      </w:r>
      <w:r>
        <w:rPr>
          <w:spacing w:val="24"/>
        </w:rPr>
        <w:t xml:space="preserve"> </w:t>
      </w:r>
      <w:r>
        <w:t>male;</w:t>
      </w:r>
      <w:r>
        <w:rPr>
          <w:spacing w:val="25"/>
        </w:rPr>
        <w:t xml:space="preserve"> </w:t>
      </w:r>
      <w:r>
        <w:t>he</w:t>
      </w:r>
      <w:r>
        <w:rPr>
          <w:spacing w:val="24"/>
        </w:rPr>
        <w:t xml:space="preserve"> </w:t>
      </w:r>
      <w:r>
        <w:t>had</w:t>
      </w:r>
      <w:r>
        <w:rPr>
          <w:spacing w:val="24"/>
        </w:rPr>
        <w:t xml:space="preserve"> </w:t>
      </w:r>
      <w:r>
        <w:t>a</w:t>
      </w:r>
      <w:r>
        <w:rPr>
          <w:spacing w:val="24"/>
        </w:rPr>
        <w:t xml:space="preserve"> </w:t>
      </w:r>
      <w:r>
        <w:t>tattoo</w:t>
      </w:r>
      <w:r>
        <w:rPr>
          <w:spacing w:val="24"/>
        </w:rPr>
        <w:t xml:space="preserve"> </w:t>
      </w:r>
      <w:r>
        <w:t>that said</w:t>
      </w:r>
      <w:r>
        <w:rPr>
          <w:spacing w:val="28"/>
        </w:rPr>
        <w:t xml:space="preserve"> </w:t>
      </w:r>
      <w:r>
        <w:t>“I</w:t>
      </w:r>
      <w:r>
        <w:rPr>
          <w:spacing w:val="27"/>
        </w:rPr>
        <w:t xml:space="preserve"> </w:t>
      </w:r>
      <w:r>
        <w:t>love</w:t>
      </w:r>
      <w:r>
        <w:rPr>
          <w:spacing w:val="27"/>
        </w:rPr>
        <w:t xml:space="preserve"> </w:t>
      </w:r>
      <w:r>
        <w:t>mom”</w:t>
      </w:r>
      <w:r>
        <w:rPr>
          <w:spacing w:val="27"/>
        </w:rPr>
        <w:t xml:space="preserve"> </w:t>
      </w:r>
      <w:r>
        <w:t>on</w:t>
      </w:r>
      <w:r>
        <w:rPr>
          <w:spacing w:val="28"/>
        </w:rPr>
        <w:t xml:space="preserve"> </w:t>
      </w:r>
      <w:r>
        <w:t>his</w:t>
      </w:r>
      <w:r>
        <w:rPr>
          <w:spacing w:val="27"/>
        </w:rPr>
        <w:t xml:space="preserve"> </w:t>
      </w:r>
      <w:r>
        <w:t>forehead;</w:t>
      </w:r>
      <w:r>
        <w:rPr>
          <w:spacing w:val="27"/>
        </w:rPr>
        <w:t xml:space="preserve"> </w:t>
      </w:r>
      <w:r>
        <w:t>he</w:t>
      </w:r>
      <w:r>
        <w:rPr>
          <w:spacing w:val="27"/>
        </w:rPr>
        <w:t xml:space="preserve"> </w:t>
      </w:r>
      <w:r>
        <w:t>had</w:t>
      </w:r>
      <w:r>
        <w:rPr>
          <w:spacing w:val="28"/>
        </w:rPr>
        <w:t xml:space="preserve"> </w:t>
      </w:r>
      <w:r>
        <w:t>pointy</w:t>
      </w:r>
      <w:r>
        <w:rPr>
          <w:spacing w:val="28"/>
        </w:rPr>
        <w:t xml:space="preserve"> </w:t>
      </w:r>
      <w:r>
        <w:t>gold</w:t>
      </w:r>
      <w:r>
        <w:rPr>
          <w:spacing w:val="28"/>
        </w:rPr>
        <w:t xml:space="preserve"> </w:t>
      </w:r>
      <w:r>
        <w:t>teeth</w:t>
      </w:r>
      <w:r>
        <w:rPr>
          <w:spacing w:val="28"/>
        </w:rPr>
        <w:t xml:space="preserve"> </w:t>
      </w:r>
      <w:r>
        <w:t>.</w:t>
      </w:r>
      <w:r>
        <w:rPr>
          <w:spacing w:val="28"/>
        </w:rPr>
        <w:t xml:space="preserve"> </w:t>
      </w:r>
      <w:r>
        <w:t>.</w:t>
      </w:r>
      <w:r>
        <w:rPr>
          <w:spacing w:val="28"/>
        </w:rPr>
        <w:t xml:space="preserve"> </w:t>
      </w:r>
      <w:r>
        <w:t>.”</w:t>
      </w:r>
      <w:r>
        <w:rPr>
          <w:spacing w:val="27"/>
        </w:rPr>
        <w:t xml:space="preserve"> </w:t>
      </w:r>
      <w:r>
        <w:t>Here</w:t>
      </w:r>
      <w:r>
        <w:rPr>
          <w:spacing w:val="27"/>
        </w:rPr>
        <w:t xml:space="preserve"> </w:t>
      </w:r>
      <w:r>
        <w:t>the store</w:t>
      </w:r>
      <w:r>
        <w:rPr>
          <w:spacing w:val="40"/>
        </w:rPr>
        <w:t xml:space="preserve"> </w:t>
      </w:r>
      <w:r>
        <w:t>owner</w:t>
      </w:r>
      <w:r>
        <w:rPr>
          <w:spacing w:val="40"/>
        </w:rPr>
        <w:t xml:space="preserve"> </w:t>
      </w:r>
      <w:r>
        <w:t>is</w:t>
      </w:r>
      <w:r>
        <w:rPr>
          <w:spacing w:val="40"/>
        </w:rPr>
        <w:t xml:space="preserve"> </w:t>
      </w:r>
      <w:r>
        <w:t>really</w:t>
      </w:r>
      <w:r>
        <w:rPr>
          <w:spacing w:val="40"/>
        </w:rPr>
        <w:t xml:space="preserve"> </w:t>
      </w:r>
      <w:r>
        <w:t>saying</w:t>
      </w:r>
      <w:r>
        <w:rPr>
          <w:spacing w:val="40"/>
        </w:rPr>
        <w:t xml:space="preserve"> </w:t>
      </w:r>
      <w:r>
        <w:t>that</w:t>
      </w:r>
      <w:r>
        <w:rPr>
          <w:spacing w:val="40"/>
        </w:rPr>
        <w:t xml:space="preserve"> </w:t>
      </w:r>
      <w:r>
        <w:t>there</w:t>
      </w:r>
      <w:r>
        <w:rPr>
          <w:spacing w:val="40"/>
        </w:rPr>
        <w:t xml:space="preserve"> </w:t>
      </w:r>
      <w:r>
        <w:t>exists</w:t>
      </w:r>
      <w:r>
        <w:rPr>
          <w:spacing w:val="40"/>
        </w:rPr>
        <w:t xml:space="preserve"> </w:t>
      </w:r>
      <w:r>
        <w:t>an</w:t>
      </w:r>
      <w:r>
        <w:rPr>
          <w:spacing w:val="40"/>
        </w:rPr>
        <w:t xml:space="preserve"> </w:t>
      </w:r>
      <w:r>
        <w:t>object</w:t>
      </w:r>
      <w:r>
        <w:rPr>
          <w:spacing w:val="40"/>
        </w:rPr>
        <w:t xml:space="preserve"> </w:t>
      </w:r>
      <w:r>
        <w:t>(a</w:t>
      </w:r>
      <w:r>
        <w:rPr>
          <w:spacing w:val="40"/>
        </w:rPr>
        <w:t xml:space="preserve"> </w:t>
      </w:r>
      <w:r>
        <w:t>person)</w:t>
      </w:r>
      <w:r>
        <w:rPr>
          <w:spacing w:val="40"/>
        </w:rPr>
        <w:t xml:space="preserve"> </w:t>
      </w:r>
      <w:r>
        <w:t>that</w:t>
      </w:r>
      <w:r>
        <w:rPr>
          <w:spacing w:val="40"/>
        </w:rPr>
        <w:t xml:space="preserve"> </w:t>
      </w:r>
      <w:r>
        <w:t>has certain</w:t>
      </w:r>
      <w:r>
        <w:rPr>
          <w:spacing w:val="40"/>
        </w:rPr>
        <w:t xml:space="preserve"> </w:t>
      </w:r>
      <w:r>
        <w:t>characteristics.</w:t>
      </w:r>
      <w:r>
        <w:rPr>
          <w:spacing w:val="40"/>
        </w:rPr>
        <w:t xml:space="preserve"> </w:t>
      </w:r>
      <w:r>
        <w:t>To</w:t>
      </w:r>
      <w:r>
        <w:rPr>
          <w:spacing w:val="40"/>
        </w:rPr>
        <w:t xml:space="preserve"> </w:t>
      </w:r>
      <w:r>
        <w:t>put</w:t>
      </w:r>
      <w:r>
        <w:rPr>
          <w:spacing w:val="40"/>
        </w:rPr>
        <w:t xml:space="preserve"> </w:t>
      </w:r>
      <w:r>
        <w:t>it</w:t>
      </w:r>
      <w:r>
        <w:rPr>
          <w:spacing w:val="40"/>
        </w:rPr>
        <w:t xml:space="preserve"> </w:t>
      </w:r>
      <w:r>
        <w:t>another</w:t>
      </w:r>
      <w:r>
        <w:rPr>
          <w:spacing w:val="40"/>
        </w:rPr>
        <w:t xml:space="preserve"> </w:t>
      </w:r>
      <w:r>
        <w:t>way,</w:t>
      </w:r>
      <w:r>
        <w:rPr>
          <w:spacing w:val="40"/>
        </w:rPr>
        <w:t xml:space="preserve"> </w:t>
      </w:r>
      <w:r>
        <w:t>he</w:t>
      </w:r>
      <w:r>
        <w:rPr>
          <w:spacing w:val="40"/>
        </w:rPr>
        <w:t xml:space="preserve"> </w:t>
      </w:r>
      <w:r>
        <w:t>is</w:t>
      </w:r>
      <w:r>
        <w:rPr>
          <w:spacing w:val="40"/>
        </w:rPr>
        <w:t xml:space="preserve"> </w:t>
      </w:r>
      <w:r>
        <w:t>saying</w:t>
      </w:r>
      <w:r>
        <w:rPr>
          <w:spacing w:val="40"/>
        </w:rPr>
        <w:t xml:space="preserve"> </w:t>
      </w:r>
      <w:r>
        <w:t>that</w:t>
      </w:r>
      <w:r>
        <w:rPr>
          <w:spacing w:val="40"/>
        </w:rPr>
        <w:t xml:space="preserve"> </w:t>
      </w:r>
      <w:r>
        <w:t>a</w:t>
      </w:r>
      <w:r>
        <w:rPr>
          <w:spacing w:val="40"/>
        </w:rPr>
        <w:t xml:space="preserve"> </w:t>
      </w:r>
      <w:r>
        <w:t>certain</w:t>
      </w:r>
      <w:r>
        <w:rPr>
          <w:spacing w:val="80"/>
        </w:rPr>
        <w:t xml:space="preserve"> </w:t>
      </w:r>
      <w:r>
        <w:t>description is satisfied, that description being “entity that is a human being</w:t>
      </w:r>
      <w:r>
        <w:rPr>
          <w:spacing w:val="80"/>
          <w:w w:val="150"/>
        </w:rPr>
        <w:t xml:space="preserve"> </w:t>
      </w:r>
      <w:r>
        <w:t>who robbed me and has pointy gold teeth and is male and . . .” Any statement to</w:t>
      </w:r>
      <w:r>
        <w:rPr>
          <w:spacing w:val="7"/>
        </w:rPr>
        <w:t xml:space="preserve"> </w:t>
      </w:r>
      <w:r>
        <w:t>the</w:t>
      </w:r>
      <w:r>
        <w:rPr>
          <w:spacing w:val="10"/>
        </w:rPr>
        <w:t xml:space="preserve"> </w:t>
      </w:r>
      <w:r>
        <w:t>effect</w:t>
      </w:r>
      <w:r>
        <w:rPr>
          <w:spacing w:val="10"/>
        </w:rPr>
        <w:t xml:space="preserve"> </w:t>
      </w:r>
      <w:r>
        <w:t>that</w:t>
      </w:r>
      <w:r>
        <w:rPr>
          <w:spacing w:val="10"/>
        </w:rPr>
        <w:t xml:space="preserve"> </w:t>
      </w:r>
      <w:r>
        <w:t>a</w:t>
      </w:r>
      <w:r>
        <w:rPr>
          <w:spacing w:val="9"/>
        </w:rPr>
        <w:t xml:space="preserve"> </w:t>
      </w:r>
      <w:r>
        <w:t>description</w:t>
      </w:r>
      <w:r>
        <w:rPr>
          <w:spacing w:val="10"/>
        </w:rPr>
        <w:t xml:space="preserve"> </w:t>
      </w:r>
      <w:r>
        <w:t>is</w:t>
      </w:r>
      <w:r>
        <w:rPr>
          <w:spacing w:val="10"/>
        </w:rPr>
        <w:t xml:space="preserve"> </w:t>
      </w:r>
      <w:r>
        <w:t>satisfied</w:t>
      </w:r>
      <w:r>
        <w:rPr>
          <w:spacing w:val="10"/>
        </w:rPr>
        <w:t xml:space="preserve"> </w:t>
      </w:r>
      <w:r>
        <w:t>is</w:t>
      </w:r>
      <w:r>
        <w:rPr>
          <w:spacing w:val="9"/>
        </w:rPr>
        <w:t xml:space="preserve"> </w:t>
      </w:r>
      <w:r>
        <w:t>known</w:t>
      </w:r>
      <w:r>
        <w:rPr>
          <w:spacing w:val="10"/>
        </w:rPr>
        <w:t xml:space="preserve"> </w:t>
      </w:r>
      <w:r>
        <w:t>as</w:t>
      </w:r>
      <w:r>
        <w:rPr>
          <w:spacing w:val="10"/>
        </w:rPr>
        <w:t xml:space="preserve"> </w:t>
      </w:r>
      <w:r>
        <w:t>an</w:t>
      </w:r>
      <w:r>
        <w:rPr>
          <w:spacing w:val="10"/>
        </w:rPr>
        <w:t xml:space="preserve"> </w:t>
      </w:r>
      <w:r>
        <w:rPr>
          <w:i/>
        </w:rPr>
        <w:t>existence-claim.</w:t>
      </w:r>
      <w:r>
        <w:rPr>
          <w:i/>
          <w:spacing w:val="11"/>
        </w:rPr>
        <w:t xml:space="preserve"> </w:t>
      </w:r>
      <w:r>
        <w:rPr>
          <w:spacing w:val="-7"/>
        </w:rPr>
        <w:t>So</w:t>
      </w:r>
    </w:p>
    <w:p w14:paraId="7E001742" w14:textId="77777777" w:rsidR="009A58DB" w:rsidRDefault="00000000">
      <w:pPr>
        <w:pStyle w:val="BodyText"/>
        <w:spacing w:before="21"/>
      </w:pPr>
      <w:r>
        <w:t>the</w:t>
      </w:r>
      <w:r>
        <w:rPr>
          <w:spacing w:val="-7"/>
        </w:rPr>
        <w:t xml:space="preserve"> </w:t>
      </w:r>
      <w:r>
        <w:t>store</w:t>
      </w:r>
      <w:r>
        <w:rPr>
          <w:spacing w:val="-5"/>
        </w:rPr>
        <w:t xml:space="preserve"> </w:t>
      </w:r>
      <w:r>
        <w:t>owner</w:t>
      </w:r>
      <w:r>
        <w:rPr>
          <w:spacing w:val="-5"/>
        </w:rPr>
        <w:t xml:space="preserve"> </w:t>
      </w:r>
      <w:r>
        <w:t>is</w:t>
      </w:r>
      <w:r>
        <w:rPr>
          <w:spacing w:val="-5"/>
        </w:rPr>
        <w:t xml:space="preserve"> </w:t>
      </w:r>
      <w:r>
        <w:t>affirming</w:t>
      </w:r>
      <w:r>
        <w:rPr>
          <w:spacing w:val="-4"/>
        </w:rPr>
        <w:t xml:space="preserve"> </w:t>
      </w:r>
      <w:r>
        <w:t>the</w:t>
      </w:r>
      <w:r>
        <w:rPr>
          <w:spacing w:val="-5"/>
        </w:rPr>
        <w:t xml:space="preserve"> </w:t>
      </w:r>
      <w:r>
        <w:t>following</w:t>
      </w:r>
      <w:r>
        <w:rPr>
          <w:spacing w:val="-4"/>
        </w:rPr>
        <w:t xml:space="preserve"> </w:t>
      </w:r>
      <w:r>
        <w:t>existence-</w:t>
      </w:r>
      <w:r>
        <w:rPr>
          <w:spacing w:val="-2"/>
        </w:rPr>
        <w:t>claim:</w:t>
      </w:r>
    </w:p>
    <w:p w14:paraId="7E001743" w14:textId="77777777" w:rsidR="009A58DB" w:rsidRDefault="009A58DB">
      <w:pPr>
        <w:pStyle w:val="BodyText"/>
        <w:spacing w:before="29"/>
        <w:ind w:left="0"/>
        <w:jc w:val="left"/>
      </w:pPr>
    </w:p>
    <w:p w14:paraId="7E001744" w14:textId="77777777" w:rsidR="009A58DB" w:rsidRDefault="00000000">
      <w:pPr>
        <w:pStyle w:val="ListParagraph"/>
        <w:numPr>
          <w:ilvl w:val="0"/>
          <w:numId w:val="130"/>
        </w:numPr>
        <w:tabs>
          <w:tab w:val="left" w:pos="784"/>
        </w:tabs>
        <w:spacing w:before="1" w:line="249" w:lineRule="auto"/>
        <w:ind w:right="364" w:firstLine="0"/>
        <w:jc w:val="both"/>
        <w:rPr>
          <w:i/>
          <w:sz w:val="30"/>
        </w:rPr>
      </w:pPr>
      <w:r>
        <w:rPr>
          <w:sz w:val="30"/>
        </w:rPr>
        <w:t>There</w:t>
      </w:r>
      <w:r>
        <w:rPr>
          <w:spacing w:val="-1"/>
          <w:sz w:val="30"/>
        </w:rPr>
        <w:t xml:space="preserve"> </w:t>
      </w:r>
      <w:r>
        <w:rPr>
          <w:sz w:val="30"/>
        </w:rPr>
        <w:t>exists</w:t>
      </w:r>
      <w:r>
        <w:rPr>
          <w:spacing w:val="-1"/>
          <w:sz w:val="30"/>
        </w:rPr>
        <w:t xml:space="preserve"> </w:t>
      </w:r>
      <w:r>
        <w:rPr>
          <w:sz w:val="30"/>
        </w:rPr>
        <w:t>an</w:t>
      </w:r>
      <w:r>
        <w:rPr>
          <w:spacing w:val="-1"/>
          <w:sz w:val="30"/>
        </w:rPr>
        <w:t xml:space="preserve"> </w:t>
      </w:r>
      <w:r>
        <w:rPr>
          <w:sz w:val="30"/>
        </w:rPr>
        <w:t>object</w:t>
      </w:r>
      <w:r>
        <w:rPr>
          <w:spacing w:val="-1"/>
          <w:sz w:val="30"/>
        </w:rPr>
        <w:t xml:space="preserve"> </w:t>
      </w:r>
      <w:r>
        <w:rPr>
          <w:sz w:val="30"/>
        </w:rPr>
        <w:t>that</w:t>
      </w:r>
      <w:r>
        <w:rPr>
          <w:spacing w:val="-1"/>
          <w:sz w:val="30"/>
        </w:rPr>
        <w:t xml:space="preserve"> </w:t>
      </w:r>
      <w:r>
        <w:rPr>
          <w:sz w:val="30"/>
        </w:rPr>
        <w:t>is</w:t>
      </w:r>
      <w:r>
        <w:rPr>
          <w:spacing w:val="-1"/>
          <w:sz w:val="30"/>
        </w:rPr>
        <w:t xml:space="preserve"> </w:t>
      </w:r>
      <w:r>
        <w:rPr>
          <w:sz w:val="30"/>
        </w:rPr>
        <w:t>a</w:t>
      </w:r>
      <w:r>
        <w:rPr>
          <w:spacing w:val="-1"/>
          <w:sz w:val="30"/>
        </w:rPr>
        <w:t xml:space="preserve"> </w:t>
      </w:r>
      <w:r>
        <w:rPr>
          <w:i/>
          <w:sz w:val="30"/>
        </w:rPr>
        <w:t>person, that robbed me, that is a male, that has pointy gold teeth, that has a tattoo that says “I love mom” on his forehead . . .</w:t>
      </w:r>
    </w:p>
    <w:p w14:paraId="7E001745" w14:textId="77777777" w:rsidR="009A58DB" w:rsidRDefault="009A58DB">
      <w:pPr>
        <w:pStyle w:val="BodyText"/>
        <w:spacing w:before="18"/>
        <w:ind w:left="0"/>
        <w:jc w:val="left"/>
        <w:rPr>
          <w:i/>
        </w:rPr>
      </w:pPr>
    </w:p>
    <w:p w14:paraId="7E001746" w14:textId="77777777" w:rsidR="009A58DB" w:rsidRDefault="00000000">
      <w:pPr>
        <w:pStyle w:val="BodyText"/>
        <w:spacing w:line="249" w:lineRule="auto"/>
        <w:ind w:right="361"/>
      </w:pPr>
      <w:r>
        <w:t>That existence-claim is false, of course, the reason being that the relevant description (the underlined part of 2) is not satisfied.</w:t>
      </w:r>
    </w:p>
    <w:p w14:paraId="7E001747" w14:textId="77777777" w:rsidR="009A58DB" w:rsidRDefault="00000000">
      <w:pPr>
        <w:pStyle w:val="BodyText"/>
        <w:spacing w:before="3" w:line="249" w:lineRule="auto"/>
        <w:ind w:firstLine="360"/>
        <w:jc w:val="left"/>
      </w:pPr>
      <w:r>
        <w:t>But,</w:t>
      </w:r>
      <w:r>
        <w:rPr>
          <w:spacing w:val="-4"/>
        </w:rPr>
        <w:t xml:space="preserve"> </w:t>
      </w:r>
      <w:r>
        <w:t>of</w:t>
      </w:r>
      <w:r>
        <w:rPr>
          <w:spacing w:val="-5"/>
        </w:rPr>
        <w:t xml:space="preserve"> </w:t>
      </w:r>
      <w:r>
        <w:t>course,</w:t>
      </w:r>
      <w:r>
        <w:rPr>
          <w:spacing w:val="-4"/>
        </w:rPr>
        <w:t xml:space="preserve"> </w:t>
      </w:r>
      <w:r>
        <w:t>many</w:t>
      </w:r>
      <w:r>
        <w:rPr>
          <w:spacing w:val="-4"/>
        </w:rPr>
        <w:t xml:space="preserve"> </w:t>
      </w:r>
      <w:r>
        <w:t>existence-claims</w:t>
      </w:r>
      <w:r>
        <w:rPr>
          <w:spacing w:val="-5"/>
        </w:rPr>
        <w:t xml:space="preserve"> </w:t>
      </w:r>
      <w:r>
        <w:rPr>
          <w:i/>
        </w:rPr>
        <w:t>are</w:t>
      </w:r>
      <w:r>
        <w:rPr>
          <w:i/>
          <w:spacing w:val="-4"/>
        </w:rPr>
        <w:t xml:space="preserve"> </w:t>
      </w:r>
      <w:r>
        <w:t>true,</w:t>
      </w:r>
      <w:r>
        <w:rPr>
          <w:spacing w:val="-2"/>
        </w:rPr>
        <w:t xml:space="preserve"> </w:t>
      </w:r>
      <w:r>
        <w:t>the</w:t>
      </w:r>
      <w:r>
        <w:rPr>
          <w:spacing w:val="-1"/>
        </w:rPr>
        <w:t xml:space="preserve"> </w:t>
      </w:r>
      <w:r>
        <w:t>reason</w:t>
      </w:r>
      <w:r>
        <w:rPr>
          <w:spacing w:val="-1"/>
        </w:rPr>
        <w:t xml:space="preserve"> </w:t>
      </w:r>
      <w:r>
        <w:t>being</w:t>
      </w:r>
      <w:r>
        <w:rPr>
          <w:spacing w:val="-1"/>
        </w:rPr>
        <w:t xml:space="preserve"> </w:t>
      </w:r>
      <w:r>
        <w:t>that</w:t>
      </w:r>
      <w:r>
        <w:rPr>
          <w:spacing w:val="-2"/>
        </w:rPr>
        <w:t xml:space="preserve"> </w:t>
      </w:r>
      <w:r>
        <w:t xml:space="preserve">many descriptions </w:t>
      </w:r>
      <w:r>
        <w:rPr>
          <w:i/>
        </w:rPr>
        <w:t xml:space="preserve">are </w:t>
      </w:r>
      <w:r>
        <w:t>satisfied. For example, the following existence-claim is true:</w:t>
      </w:r>
    </w:p>
    <w:p w14:paraId="7E001748" w14:textId="77777777" w:rsidR="009A58DB" w:rsidRDefault="009A58DB">
      <w:pPr>
        <w:pStyle w:val="BodyText"/>
        <w:spacing w:before="17"/>
        <w:ind w:left="0"/>
        <w:jc w:val="left"/>
      </w:pPr>
    </w:p>
    <w:p w14:paraId="7E001749" w14:textId="77777777" w:rsidR="009A58DB" w:rsidRDefault="00000000">
      <w:pPr>
        <w:pStyle w:val="ListParagraph"/>
        <w:numPr>
          <w:ilvl w:val="0"/>
          <w:numId w:val="130"/>
        </w:numPr>
        <w:tabs>
          <w:tab w:val="left" w:pos="782"/>
        </w:tabs>
        <w:ind w:left="782" w:hanging="422"/>
        <w:jc w:val="both"/>
        <w:rPr>
          <w:i/>
          <w:sz w:val="30"/>
        </w:rPr>
      </w:pPr>
      <w:r>
        <w:rPr>
          <w:sz w:val="30"/>
        </w:rPr>
        <w:t>There</w:t>
      </w:r>
      <w:r>
        <w:rPr>
          <w:spacing w:val="-5"/>
          <w:sz w:val="30"/>
        </w:rPr>
        <w:t xml:space="preserve"> </w:t>
      </w:r>
      <w:r>
        <w:rPr>
          <w:sz w:val="30"/>
        </w:rPr>
        <w:t>exists</w:t>
      </w:r>
      <w:r>
        <w:rPr>
          <w:spacing w:val="-3"/>
          <w:sz w:val="30"/>
        </w:rPr>
        <w:t xml:space="preserve"> </w:t>
      </w:r>
      <w:r>
        <w:rPr>
          <w:sz w:val="30"/>
        </w:rPr>
        <w:t>a</w:t>
      </w:r>
      <w:r>
        <w:rPr>
          <w:spacing w:val="-2"/>
          <w:sz w:val="30"/>
        </w:rPr>
        <w:t xml:space="preserve"> </w:t>
      </w:r>
      <w:r>
        <w:rPr>
          <w:i/>
          <w:sz w:val="30"/>
        </w:rPr>
        <w:t>person</w:t>
      </w:r>
      <w:r>
        <w:rPr>
          <w:i/>
          <w:spacing w:val="-2"/>
          <w:sz w:val="30"/>
        </w:rPr>
        <w:t xml:space="preserve"> </w:t>
      </w:r>
      <w:r>
        <w:rPr>
          <w:i/>
          <w:sz w:val="30"/>
        </w:rPr>
        <w:t>who</w:t>
      </w:r>
      <w:r>
        <w:rPr>
          <w:i/>
          <w:spacing w:val="-3"/>
          <w:sz w:val="30"/>
        </w:rPr>
        <w:t xml:space="preserve"> </w:t>
      </w:r>
      <w:r>
        <w:rPr>
          <w:i/>
          <w:sz w:val="30"/>
        </w:rPr>
        <w:t>is</w:t>
      </w:r>
      <w:r>
        <w:rPr>
          <w:i/>
          <w:spacing w:val="-2"/>
          <w:sz w:val="30"/>
        </w:rPr>
        <w:t xml:space="preserve"> </w:t>
      </w:r>
      <w:r>
        <w:rPr>
          <w:i/>
          <w:sz w:val="30"/>
        </w:rPr>
        <w:t>currently</w:t>
      </w:r>
      <w:r>
        <w:rPr>
          <w:i/>
          <w:spacing w:val="-3"/>
          <w:sz w:val="30"/>
        </w:rPr>
        <w:t xml:space="preserve"> </w:t>
      </w:r>
      <w:r>
        <w:rPr>
          <w:i/>
          <w:sz w:val="30"/>
        </w:rPr>
        <w:t>(in</w:t>
      </w:r>
      <w:r>
        <w:rPr>
          <w:i/>
          <w:spacing w:val="-2"/>
          <w:sz w:val="30"/>
        </w:rPr>
        <w:t xml:space="preserve"> </w:t>
      </w:r>
      <w:r>
        <w:rPr>
          <w:i/>
          <w:sz w:val="30"/>
        </w:rPr>
        <w:t>Feb.</w:t>
      </w:r>
      <w:r>
        <w:rPr>
          <w:i/>
          <w:spacing w:val="-3"/>
          <w:sz w:val="30"/>
        </w:rPr>
        <w:t xml:space="preserve"> </w:t>
      </w:r>
      <w:r>
        <w:rPr>
          <w:i/>
          <w:sz w:val="30"/>
        </w:rPr>
        <w:t>2008)</w:t>
      </w:r>
      <w:r>
        <w:rPr>
          <w:i/>
          <w:spacing w:val="-2"/>
          <w:sz w:val="30"/>
        </w:rPr>
        <w:t xml:space="preserve"> </w:t>
      </w:r>
      <w:r>
        <w:rPr>
          <w:i/>
          <w:sz w:val="30"/>
        </w:rPr>
        <w:t>the</w:t>
      </w:r>
      <w:r>
        <w:rPr>
          <w:i/>
          <w:spacing w:val="-3"/>
          <w:sz w:val="30"/>
        </w:rPr>
        <w:t xml:space="preserve"> </w:t>
      </w:r>
      <w:r>
        <w:rPr>
          <w:i/>
          <w:sz w:val="30"/>
        </w:rPr>
        <w:t>U.S.</w:t>
      </w:r>
      <w:r>
        <w:rPr>
          <w:i/>
          <w:spacing w:val="-2"/>
          <w:sz w:val="30"/>
        </w:rPr>
        <w:t xml:space="preserve"> president.</w:t>
      </w:r>
    </w:p>
    <w:p w14:paraId="7E00174A" w14:textId="77777777" w:rsidR="009A58DB" w:rsidRDefault="009A58DB">
      <w:pPr>
        <w:pStyle w:val="BodyText"/>
        <w:spacing w:before="30"/>
        <w:ind w:left="0"/>
        <w:jc w:val="left"/>
        <w:rPr>
          <w:i/>
        </w:rPr>
      </w:pPr>
    </w:p>
    <w:p w14:paraId="7E00174B" w14:textId="77777777" w:rsidR="009A58DB" w:rsidRDefault="00000000">
      <w:pPr>
        <w:pStyle w:val="BodyText"/>
        <w:spacing w:line="249" w:lineRule="auto"/>
        <w:ind w:right="369"/>
      </w:pPr>
      <w:r>
        <w:t xml:space="preserve">And the reason that 2 is true is, of course, that the relevant description (the underlined part of 2) </w:t>
      </w:r>
      <w:r>
        <w:rPr>
          <w:i/>
        </w:rPr>
        <w:t xml:space="preserve">is </w:t>
      </w:r>
      <w:r>
        <w:t>satisfied. (It is satisfied by George W. Bush.)</w:t>
      </w:r>
    </w:p>
    <w:p w14:paraId="7E00174C" w14:textId="77777777" w:rsidR="009A58DB" w:rsidRDefault="00000000">
      <w:pPr>
        <w:pStyle w:val="Heading1"/>
        <w:numPr>
          <w:ilvl w:val="1"/>
          <w:numId w:val="131"/>
        </w:numPr>
        <w:tabs>
          <w:tab w:val="left" w:pos="990"/>
        </w:tabs>
        <w:spacing w:before="191"/>
        <w:ind w:left="990" w:hanging="630"/>
        <w:jc w:val="both"/>
      </w:pPr>
      <w:r>
        <w:t>Theoretical</w:t>
      </w:r>
      <w:r>
        <w:rPr>
          <w:spacing w:val="-9"/>
        </w:rPr>
        <w:t xml:space="preserve"> </w:t>
      </w:r>
      <w:r>
        <w:t>knowledge</w:t>
      </w:r>
      <w:r>
        <w:rPr>
          <w:spacing w:val="-7"/>
        </w:rPr>
        <w:t xml:space="preserve"> </w:t>
      </w:r>
      <w:r>
        <w:t>as</w:t>
      </w:r>
      <w:r>
        <w:rPr>
          <w:spacing w:val="-7"/>
        </w:rPr>
        <w:t xml:space="preserve"> </w:t>
      </w:r>
      <w:r>
        <w:t>descriptive</w:t>
      </w:r>
      <w:r>
        <w:rPr>
          <w:spacing w:val="-6"/>
        </w:rPr>
        <w:t xml:space="preserve"> </w:t>
      </w:r>
      <w:r>
        <w:rPr>
          <w:spacing w:val="-2"/>
        </w:rPr>
        <w:t>knowledge</w:t>
      </w:r>
    </w:p>
    <w:p w14:paraId="7E00174D" w14:textId="77777777" w:rsidR="009A58DB" w:rsidRDefault="00000000">
      <w:pPr>
        <w:pStyle w:val="BodyText"/>
        <w:spacing w:before="139" w:line="249" w:lineRule="auto"/>
        <w:ind w:right="365"/>
      </w:pPr>
      <w:r>
        <w:t>Whenever knowledge is theoretical or otherwise indirect, it is descriptive (i.e., it consists of knowledge of the truth of an existence-claim). We are aware of the existence of electrons. But we don’t see them or otherwise sense-perceive them; and we certainly don’t have the kind of direct experience</w:t>
      </w:r>
      <w:r>
        <w:rPr>
          <w:spacing w:val="44"/>
        </w:rPr>
        <w:t xml:space="preserve"> </w:t>
      </w:r>
      <w:r>
        <w:t>of</w:t>
      </w:r>
      <w:r>
        <w:rPr>
          <w:spacing w:val="44"/>
        </w:rPr>
        <w:t xml:space="preserve"> </w:t>
      </w:r>
      <w:r>
        <w:t>them</w:t>
      </w:r>
      <w:r>
        <w:rPr>
          <w:spacing w:val="44"/>
        </w:rPr>
        <w:t xml:space="preserve"> </w:t>
      </w:r>
      <w:r>
        <w:t>that</w:t>
      </w:r>
      <w:r>
        <w:rPr>
          <w:spacing w:val="45"/>
        </w:rPr>
        <w:t xml:space="preserve"> </w:t>
      </w:r>
      <w:r>
        <w:t>we</w:t>
      </w:r>
      <w:r>
        <w:rPr>
          <w:spacing w:val="44"/>
        </w:rPr>
        <w:t xml:space="preserve"> </w:t>
      </w:r>
      <w:r>
        <w:t>have</w:t>
      </w:r>
      <w:r>
        <w:rPr>
          <w:spacing w:val="44"/>
        </w:rPr>
        <w:t xml:space="preserve"> </w:t>
      </w:r>
      <w:r>
        <w:t>of</w:t>
      </w:r>
      <w:r>
        <w:rPr>
          <w:spacing w:val="44"/>
        </w:rPr>
        <w:t xml:space="preserve"> </w:t>
      </w:r>
      <w:r>
        <w:t>some</w:t>
      </w:r>
      <w:r>
        <w:rPr>
          <w:spacing w:val="45"/>
        </w:rPr>
        <w:t xml:space="preserve"> </w:t>
      </w:r>
      <w:r>
        <w:t>of</w:t>
      </w:r>
      <w:r>
        <w:rPr>
          <w:spacing w:val="44"/>
        </w:rPr>
        <w:t xml:space="preserve"> </w:t>
      </w:r>
      <w:r>
        <w:t>our</w:t>
      </w:r>
      <w:r>
        <w:rPr>
          <w:spacing w:val="44"/>
        </w:rPr>
        <w:t xml:space="preserve"> </w:t>
      </w:r>
      <w:r>
        <w:t>own</w:t>
      </w:r>
      <w:r>
        <w:rPr>
          <w:spacing w:val="44"/>
        </w:rPr>
        <w:t xml:space="preserve"> </w:t>
      </w:r>
      <w:r>
        <w:t>psychological</w:t>
      </w:r>
      <w:r>
        <w:rPr>
          <w:spacing w:val="45"/>
        </w:rPr>
        <w:t xml:space="preserve"> </w:t>
      </w:r>
      <w:r>
        <w:rPr>
          <w:spacing w:val="-2"/>
        </w:rPr>
        <w:t>states</w:t>
      </w:r>
    </w:p>
    <w:p w14:paraId="7E00174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4F" w14:textId="77777777" w:rsidR="009A58DB" w:rsidRDefault="00000000">
      <w:pPr>
        <w:pStyle w:val="BodyText"/>
        <w:spacing w:before="60" w:line="249" w:lineRule="auto"/>
        <w:ind w:right="362"/>
      </w:pPr>
      <w:r>
        <w:lastRenderedPageBreak/>
        <w:t xml:space="preserve">(e.g., our joys and sorrows). So in what sense are we are of electrons? The answer: we know the truth of various existence-claims that they satisfy, for </w:t>
      </w:r>
      <w:r>
        <w:rPr>
          <w:spacing w:val="-2"/>
        </w:rPr>
        <w:t>example:</w:t>
      </w:r>
    </w:p>
    <w:p w14:paraId="7E001750" w14:textId="77777777" w:rsidR="009A58DB" w:rsidRDefault="009A58DB">
      <w:pPr>
        <w:pStyle w:val="BodyText"/>
        <w:spacing w:before="23"/>
        <w:ind w:left="0"/>
        <w:jc w:val="left"/>
      </w:pPr>
    </w:p>
    <w:p w14:paraId="7E001751" w14:textId="77777777" w:rsidR="009A58DB" w:rsidRDefault="00000000">
      <w:pPr>
        <w:pStyle w:val="BodyText"/>
        <w:spacing w:line="249" w:lineRule="auto"/>
        <w:ind w:right="358"/>
      </w:pPr>
      <w:r>
        <w:t>(e) there exist various macroscopic, and therefore perceptible, phenomena that, given known physical laws, are most plausibly explained in terms of theories</w:t>
      </w:r>
      <w:r>
        <w:rPr>
          <w:spacing w:val="-1"/>
        </w:rPr>
        <w:t xml:space="preserve"> </w:t>
      </w:r>
      <w:r>
        <w:t>positing</w:t>
      </w:r>
      <w:r>
        <w:rPr>
          <w:spacing w:val="-1"/>
        </w:rPr>
        <w:t xml:space="preserve"> </w:t>
      </w:r>
      <w:r>
        <w:t>the</w:t>
      </w:r>
      <w:r>
        <w:rPr>
          <w:spacing w:val="-1"/>
        </w:rPr>
        <w:t xml:space="preserve"> </w:t>
      </w:r>
      <w:r>
        <w:t>existence</w:t>
      </w:r>
      <w:r>
        <w:rPr>
          <w:spacing w:val="-1"/>
        </w:rPr>
        <w:t xml:space="preserve"> </w:t>
      </w:r>
      <w:r>
        <w:t>of</w:t>
      </w:r>
      <w:r>
        <w:rPr>
          <w:spacing w:val="-1"/>
        </w:rPr>
        <w:t xml:space="preserve"> </w:t>
      </w:r>
      <w:r>
        <w:t>negatively</w:t>
      </w:r>
      <w:r>
        <w:rPr>
          <w:spacing w:val="-1"/>
        </w:rPr>
        <w:t xml:space="preserve"> </w:t>
      </w:r>
      <w:r>
        <w:t>charged</w:t>
      </w:r>
      <w:r>
        <w:rPr>
          <w:spacing w:val="-1"/>
        </w:rPr>
        <w:t xml:space="preserve"> </w:t>
      </w:r>
      <w:r>
        <w:t>particles</w:t>
      </w:r>
      <w:r>
        <w:rPr>
          <w:spacing w:val="-1"/>
        </w:rPr>
        <w:t xml:space="preserve"> </w:t>
      </w:r>
      <w:r>
        <w:t>orbiting</w:t>
      </w:r>
      <w:r>
        <w:rPr>
          <w:spacing w:val="-1"/>
        </w:rPr>
        <w:t xml:space="preserve"> </w:t>
      </w:r>
      <w:r>
        <w:t>around the nuclei of atoms . . .</w:t>
      </w:r>
    </w:p>
    <w:p w14:paraId="7E001752" w14:textId="77777777" w:rsidR="009A58DB" w:rsidRDefault="009A58DB">
      <w:pPr>
        <w:pStyle w:val="BodyText"/>
        <w:spacing w:before="20"/>
        <w:ind w:left="0"/>
        <w:jc w:val="left"/>
      </w:pPr>
    </w:p>
    <w:p w14:paraId="7E001753" w14:textId="77777777" w:rsidR="009A58DB" w:rsidRDefault="00000000">
      <w:pPr>
        <w:pStyle w:val="BodyText"/>
        <w:spacing w:line="249" w:lineRule="auto"/>
        <w:ind w:right="364"/>
      </w:pPr>
      <w:r>
        <w:t>We are aware of electrons in the sense that we know the truth of existence-claims that they satisfy. Since, as we discussed, an existence-claim is a statement to the effect that a description is satisfied, our awareness of electrons is entirely descriptive in nature.</w:t>
      </w:r>
    </w:p>
    <w:p w14:paraId="7E001754" w14:textId="77777777" w:rsidR="009A58DB" w:rsidRDefault="00000000">
      <w:pPr>
        <w:pStyle w:val="BodyText"/>
        <w:spacing w:before="5" w:line="249" w:lineRule="auto"/>
        <w:ind w:right="358" w:firstLine="360"/>
      </w:pPr>
      <w:r>
        <w:t>Remarks similar to those just made about our knowledge of electrons hold with respect to our knowledge of anything theoretical or, indeed, anything whose existence is inferred, as opposed to known directly.</w:t>
      </w:r>
    </w:p>
    <w:p w14:paraId="7E001755" w14:textId="77777777" w:rsidR="009A58DB" w:rsidRDefault="00000000">
      <w:pPr>
        <w:pStyle w:val="Heading1"/>
        <w:numPr>
          <w:ilvl w:val="1"/>
          <w:numId w:val="131"/>
        </w:numPr>
        <w:tabs>
          <w:tab w:val="left" w:pos="990"/>
        </w:tabs>
        <w:spacing w:before="192"/>
        <w:ind w:left="990" w:hanging="630"/>
        <w:jc w:val="both"/>
      </w:pPr>
      <w:r>
        <w:t>Perceptual</w:t>
      </w:r>
      <w:r>
        <w:rPr>
          <w:spacing w:val="-9"/>
        </w:rPr>
        <w:t xml:space="preserve"> </w:t>
      </w:r>
      <w:r>
        <w:t>knowledge</w:t>
      </w:r>
      <w:r>
        <w:rPr>
          <w:spacing w:val="-7"/>
        </w:rPr>
        <w:t xml:space="preserve"> </w:t>
      </w:r>
      <w:r>
        <w:t>as</w:t>
      </w:r>
      <w:r>
        <w:rPr>
          <w:spacing w:val="-7"/>
        </w:rPr>
        <w:t xml:space="preserve"> </w:t>
      </w:r>
      <w:r>
        <w:t>descriptive</w:t>
      </w:r>
      <w:r>
        <w:rPr>
          <w:spacing w:val="-6"/>
        </w:rPr>
        <w:t xml:space="preserve"> </w:t>
      </w:r>
      <w:r>
        <w:rPr>
          <w:spacing w:val="-2"/>
        </w:rPr>
        <w:t>knowledge</w:t>
      </w:r>
    </w:p>
    <w:p w14:paraId="7E001756" w14:textId="77777777" w:rsidR="009A58DB" w:rsidRDefault="00000000">
      <w:pPr>
        <w:pStyle w:val="BodyText"/>
        <w:spacing w:before="139" w:line="249" w:lineRule="auto"/>
        <w:ind w:right="363"/>
      </w:pPr>
      <w:r>
        <w:t xml:space="preserve">Our knowledge of </w:t>
      </w:r>
      <w:r>
        <w:rPr>
          <w:i/>
        </w:rPr>
        <w:t xml:space="preserve">directly perceived </w:t>
      </w:r>
      <w:r>
        <w:t>objects is strictly descriptive. Consider your current visual perception. What it tells you is that a certain existence-claim is true, that existence-claim being along the following lines:</w:t>
      </w:r>
    </w:p>
    <w:p w14:paraId="7E001757" w14:textId="77777777" w:rsidR="009A58DB" w:rsidRDefault="009A58DB">
      <w:pPr>
        <w:pStyle w:val="BodyText"/>
        <w:spacing w:before="18"/>
        <w:ind w:left="0"/>
        <w:jc w:val="left"/>
      </w:pPr>
    </w:p>
    <w:p w14:paraId="7E001758" w14:textId="77777777" w:rsidR="009A58DB" w:rsidRDefault="00000000">
      <w:pPr>
        <w:pStyle w:val="BodyText"/>
        <w:spacing w:before="1" w:line="249" w:lineRule="auto"/>
        <w:ind w:left="720" w:right="719"/>
      </w:pPr>
      <w:r>
        <w:t>(sp) There exists a piece of paper that is in such and such a location with respect to me, that has such and such a shape and color, that has such and such discolorations on it . . .</w:t>
      </w:r>
    </w:p>
    <w:p w14:paraId="7E001759" w14:textId="77777777" w:rsidR="009A58DB" w:rsidRDefault="009A58DB">
      <w:pPr>
        <w:pStyle w:val="BodyText"/>
        <w:spacing w:before="18"/>
        <w:ind w:left="0"/>
        <w:jc w:val="left"/>
      </w:pPr>
    </w:p>
    <w:p w14:paraId="7E00175A" w14:textId="77777777" w:rsidR="009A58DB" w:rsidRDefault="00000000">
      <w:pPr>
        <w:pStyle w:val="BodyText"/>
        <w:spacing w:line="249" w:lineRule="auto"/>
        <w:ind w:right="358" w:firstLine="360"/>
      </w:pPr>
      <w:r>
        <w:t xml:space="preserve">Perception is description. It is inconceivable that one should have a perception that didn’t describe the world in a certain way and that did not, therefore, say of the world that it contained an object of having certain characteristics. (Even if you are looking into empty space, your perception is to the effect that the description </w:t>
      </w:r>
      <w:r>
        <w:rPr>
          <w:i/>
        </w:rPr>
        <w:t xml:space="preserve">stretch of empty space </w:t>
      </w:r>
      <w:r>
        <w:t>is satisfied by at least one entity in the world.) Thus, a given perception tells you that some existence-claim is satisfied, and perceptual awareness is therefore descriptive in nature.</w:t>
      </w:r>
    </w:p>
    <w:p w14:paraId="7E00175B" w14:textId="77777777" w:rsidR="009A58DB" w:rsidRDefault="00000000">
      <w:pPr>
        <w:pStyle w:val="BodyText"/>
        <w:spacing w:before="10"/>
        <w:ind w:left="720"/>
      </w:pPr>
      <w:r>
        <w:t>This</w:t>
      </w:r>
      <w:r>
        <w:rPr>
          <w:spacing w:val="48"/>
        </w:rPr>
        <w:t xml:space="preserve"> </w:t>
      </w:r>
      <w:r>
        <w:t>shows</w:t>
      </w:r>
      <w:r>
        <w:rPr>
          <w:spacing w:val="51"/>
        </w:rPr>
        <w:t xml:space="preserve"> </w:t>
      </w:r>
      <w:r>
        <w:t>that</w:t>
      </w:r>
      <w:r>
        <w:rPr>
          <w:spacing w:val="50"/>
        </w:rPr>
        <w:t xml:space="preserve"> </w:t>
      </w:r>
      <w:r>
        <w:t>awareness</w:t>
      </w:r>
      <w:r>
        <w:rPr>
          <w:spacing w:val="50"/>
        </w:rPr>
        <w:t xml:space="preserve"> </w:t>
      </w:r>
      <w:r>
        <w:t>of</w:t>
      </w:r>
      <w:r>
        <w:rPr>
          <w:spacing w:val="51"/>
        </w:rPr>
        <w:t xml:space="preserve"> </w:t>
      </w:r>
      <w:r>
        <w:t>sense-perceived</w:t>
      </w:r>
      <w:r>
        <w:rPr>
          <w:spacing w:val="51"/>
        </w:rPr>
        <w:t xml:space="preserve"> </w:t>
      </w:r>
      <w:r>
        <w:t>objects,</w:t>
      </w:r>
      <w:r>
        <w:rPr>
          <w:spacing w:val="50"/>
        </w:rPr>
        <w:t xml:space="preserve"> </w:t>
      </w:r>
      <w:r>
        <w:t>and</w:t>
      </w:r>
      <w:r>
        <w:rPr>
          <w:spacing w:val="51"/>
        </w:rPr>
        <w:t xml:space="preserve"> </w:t>
      </w:r>
      <w:r>
        <w:t>therefore</w:t>
      </w:r>
      <w:r>
        <w:rPr>
          <w:spacing w:val="51"/>
        </w:rPr>
        <w:t xml:space="preserve"> </w:t>
      </w:r>
      <w:r>
        <w:rPr>
          <w:spacing w:val="-5"/>
        </w:rPr>
        <w:t>of</w:t>
      </w:r>
    </w:p>
    <w:p w14:paraId="7E00175C" w14:textId="77777777" w:rsidR="009A58DB" w:rsidRDefault="009A58DB">
      <w:pPr>
        <w:pStyle w:val="BodyText"/>
        <w:sectPr w:rsidR="009A58DB">
          <w:pgSz w:w="12240" w:h="15840"/>
          <w:pgMar w:top="1380" w:right="1080" w:bottom="280" w:left="1080" w:header="720" w:footer="720" w:gutter="0"/>
          <w:cols w:space="720"/>
        </w:sectPr>
      </w:pPr>
    </w:p>
    <w:p w14:paraId="7E00175D" w14:textId="77777777" w:rsidR="009A58DB" w:rsidRDefault="00000000">
      <w:pPr>
        <w:pStyle w:val="BodyText"/>
        <w:spacing w:before="60" w:line="249" w:lineRule="auto"/>
        <w:ind w:right="366"/>
      </w:pPr>
      <w:r>
        <w:lastRenderedPageBreak/>
        <w:t>other people, is identical with knowledge of truths of a certain kind (existence-claims), vindicating our earlier suggestion that knowledge of objects at least sometimes collapses into knowledge of truths.</w:t>
      </w:r>
    </w:p>
    <w:p w14:paraId="7E00175E" w14:textId="77777777" w:rsidR="009A58DB" w:rsidRDefault="00000000">
      <w:pPr>
        <w:pStyle w:val="BodyText"/>
        <w:spacing w:before="8" w:line="249" w:lineRule="auto"/>
        <w:ind w:right="361" w:firstLine="360"/>
      </w:pPr>
      <w:r>
        <w:t xml:space="preserve">Are there any cases where knowledge is </w:t>
      </w:r>
      <w:r>
        <w:rPr>
          <w:i/>
        </w:rPr>
        <w:t xml:space="preserve">not </w:t>
      </w:r>
      <w:r>
        <w:t>descriptive? The answer seems to be “yes.” If you have an intense pain, it seems that your awareness of that pain is utterly direct and doesn’t involve your knowing that some existence-claim is satisfied. The pain is right there, so to speak, in the theatre of your consciousness, and it needn’t be represented to you through the intermediary of some description. So we have non-descriptive knowledge of at least some of our psychological states. But, for the most part, it seems that our knowledge is descriptive.</w:t>
      </w:r>
    </w:p>
    <w:p w14:paraId="7E00175F" w14:textId="77777777" w:rsidR="009A58DB" w:rsidRDefault="00000000">
      <w:pPr>
        <w:pStyle w:val="Heading1"/>
        <w:numPr>
          <w:ilvl w:val="1"/>
          <w:numId w:val="131"/>
        </w:numPr>
        <w:tabs>
          <w:tab w:val="left" w:pos="990"/>
        </w:tabs>
        <w:spacing w:before="198"/>
        <w:ind w:left="990" w:hanging="630"/>
      </w:pPr>
      <w:r>
        <w:t>Procedural</w:t>
      </w:r>
      <w:r>
        <w:rPr>
          <w:spacing w:val="-7"/>
        </w:rPr>
        <w:t xml:space="preserve"> </w:t>
      </w:r>
      <w:r>
        <w:t>versus</w:t>
      </w:r>
      <w:r>
        <w:rPr>
          <w:spacing w:val="-7"/>
        </w:rPr>
        <w:t xml:space="preserve"> </w:t>
      </w:r>
      <w:r>
        <w:t>declarative</w:t>
      </w:r>
      <w:r>
        <w:rPr>
          <w:spacing w:val="-7"/>
        </w:rPr>
        <w:t xml:space="preserve"> </w:t>
      </w:r>
      <w:r>
        <w:rPr>
          <w:spacing w:val="-2"/>
        </w:rPr>
        <w:t>knowledge</w:t>
      </w:r>
    </w:p>
    <w:p w14:paraId="7E001760" w14:textId="77777777" w:rsidR="009A58DB" w:rsidRDefault="00000000">
      <w:pPr>
        <w:pStyle w:val="BodyText"/>
        <w:spacing w:before="139" w:line="249" w:lineRule="auto"/>
        <w:ind w:right="363"/>
      </w:pPr>
      <w:r>
        <w:t xml:space="preserve">We have found that, at least arguably, there are </w:t>
      </w:r>
      <w:r>
        <w:rPr>
          <w:i/>
        </w:rPr>
        <w:t>some</w:t>
      </w:r>
      <w:r>
        <w:rPr>
          <w:i/>
          <w:spacing w:val="-3"/>
        </w:rPr>
        <w:t xml:space="preserve"> </w:t>
      </w:r>
      <w:r>
        <w:t xml:space="preserve">cases of awareness that are not awareness of truths. At least arguably, we can be </w:t>
      </w:r>
      <w:r>
        <w:rPr>
          <w:i/>
        </w:rPr>
        <w:t xml:space="preserve">directly </w:t>
      </w:r>
      <w:r>
        <w:t xml:space="preserve">aware of some of our own psychological states and can therefore be aware of them without being aware of truths that describe or otherwise implicate them. Are there other kinds of awareness or of knowledge that are </w:t>
      </w:r>
      <w:r>
        <w:rPr>
          <w:i/>
        </w:rPr>
        <w:t xml:space="preserve">not </w:t>
      </w:r>
      <w:r>
        <w:t xml:space="preserve">awarenesses of </w:t>
      </w:r>
      <w:r>
        <w:rPr>
          <w:spacing w:val="-2"/>
        </w:rPr>
        <w:t>truth?</w:t>
      </w:r>
    </w:p>
    <w:p w14:paraId="7E001761" w14:textId="77777777" w:rsidR="009A58DB" w:rsidRDefault="00000000">
      <w:pPr>
        <w:pStyle w:val="BodyText"/>
        <w:spacing w:before="8" w:line="249" w:lineRule="auto"/>
        <w:ind w:left="720" w:right="361"/>
      </w:pPr>
      <w:r>
        <w:t xml:space="preserve">Some philosophers and psychologists say “yes,” the reasoning being as </w:t>
      </w:r>
      <w:r>
        <w:rPr>
          <w:spacing w:val="-2"/>
        </w:rPr>
        <w:t>follows:</w:t>
      </w:r>
    </w:p>
    <w:p w14:paraId="7E001762" w14:textId="77777777" w:rsidR="009A58DB" w:rsidRDefault="009A58DB">
      <w:pPr>
        <w:pStyle w:val="BodyText"/>
        <w:spacing w:before="17"/>
        <w:ind w:left="0"/>
        <w:jc w:val="left"/>
      </w:pPr>
    </w:p>
    <w:p w14:paraId="7E001763" w14:textId="77777777" w:rsidR="009A58DB" w:rsidRDefault="00000000">
      <w:pPr>
        <w:pStyle w:val="BodyText"/>
        <w:spacing w:line="249" w:lineRule="auto"/>
        <w:ind w:left="720" w:right="719"/>
      </w:pPr>
      <w:r>
        <w:t>(K</w:t>
      </w:r>
      <w:bookmarkStart w:id="298" w:name="_bookmark298"/>
      <w:bookmarkEnd w:id="298"/>
      <w:r>
        <w:t>H</w:t>
      </w:r>
      <w:r>
        <w:rPr>
          <w:color w:val="0562C1"/>
          <w:position w:val="21"/>
          <w:u w:val="single" w:color="0562C1"/>
        </w:rPr>
        <w:t>[196]</w:t>
      </w:r>
      <w:r>
        <w:t xml:space="preserve">) We must distinguish knowledge-that from knowledge-how. I know </w:t>
      </w:r>
      <w:r>
        <w:rPr>
          <w:i/>
        </w:rPr>
        <w:t>that</w:t>
      </w:r>
      <w:r>
        <w:rPr>
          <w:i/>
          <w:spacing w:val="-3"/>
        </w:rPr>
        <w:t xml:space="preserve"> </w:t>
      </w:r>
      <w:r>
        <w:t>Paris is the capital of France. This is knowledge of a truth. It is knowledge-</w:t>
      </w:r>
      <w:r>
        <w:rPr>
          <w:i/>
        </w:rPr>
        <w:t>that.</w:t>
      </w:r>
      <w:r>
        <w:rPr>
          <w:i/>
          <w:spacing w:val="-2"/>
        </w:rPr>
        <w:t xml:space="preserve"> </w:t>
      </w:r>
      <w:r>
        <w:t xml:space="preserve">I know </w:t>
      </w:r>
      <w:r>
        <w:rPr>
          <w:i/>
        </w:rPr>
        <w:t>how</w:t>
      </w:r>
      <w:r>
        <w:rPr>
          <w:i/>
          <w:spacing w:val="-3"/>
        </w:rPr>
        <w:t xml:space="preserve"> </w:t>
      </w:r>
      <w:r>
        <w:t>to ride a bike. This is knowledge, but it isn’t knowledge of a truth. It is knowledge-</w:t>
      </w:r>
      <w:r>
        <w:rPr>
          <w:i/>
        </w:rPr>
        <w:t xml:space="preserve">how, </w:t>
      </w:r>
      <w:r>
        <w:t>not knowledge-that.</w:t>
      </w:r>
    </w:p>
    <w:p w14:paraId="7E001764" w14:textId="77777777" w:rsidR="009A58DB" w:rsidRDefault="00000000">
      <w:pPr>
        <w:pStyle w:val="BodyText"/>
        <w:spacing w:before="5" w:line="249" w:lineRule="auto"/>
        <w:ind w:left="720" w:right="719" w:firstLine="360"/>
      </w:pPr>
      <w:r>
        <w:t xml:space="preserve">Any </w:t>
      </w:r>
      <w:r>
        <w:rPr>
          <w:i/>
        </w:rPr>
        <w:t xml:space="preserve">skill </w:t>
      </w:r>
      <w:r>
        <w:t>is a case of knowledge-how. It’s easily shown that knowledge-how</w:t>
      </w:r>
      <w:r>
        <w:rPr>
          <w:spacing w:val="-4"/>
        </w:rPr>
        <w:t xml:space="preserve"> </w:t>
      </w:r>
      <w:r>
        <w:t>and</w:t>
      </w:r>
      <w:r>
        <w:rPr>
          <w:spacing w:val="-4"/>
        </w:rPr>
        <w:t xml:space="preserve"> </w:t>
      </w:r>
      <w:r>
        <w:t>knowledge-that</w:t>
      </w:r>
      <w:r>
        <w:rPr>
          <w:spacing w:val="-4"/>
        </w:rPr>
        <w:t xml:space="preserve"> </w:t>
      </w:r>
      <w:r>
        <w:t>are</w:t>
      </w:r>
      <w:r>
        <w:rPr>
          <w:spacing w:val="-4"/>
        </w:rPr>
        <w:t xml:space="preserve"> </w:t>
      </w:r>
      <w:r>
        <w:t>fundamentally</w:t>
      </w:r>
      <w:r>
        <w:rPr>
          <w:spacing w:val="-4"/>
        </w:rPr>
        <w:t xml:space="preserve"> </w:t>
      </w:r>
      <w:r>
        <w:t>different</w:t>
      </w:r>
      <w:r>
        <w:rPr>
          <w:spacing w:val="-4"/>
        </w:rPr>
        <w:t xml:space="preserve"> </w:t>
      </w:r>
      <w:r>
        <w:t>things. No matter how much I know about the physics and geometry of bike-riding, I may not be able to ride a bike at all; and no matter how good I am at riding a bike, I may not be able to tell you the first thing about</w:t>
      </w:r>
      <w:r>
        <w:rPr>
          <w:spacing w:val="40"/>
        </w:rPr>
        <w:t xml:space="preserve"> </w:t>
      </w:r>
      <w:r>
        <w:t>the geometry or physics involved.</w:t>
      </w:r>
    </w:p>
    <w:p w14:paraId="7E001765" w14:textId="77777777" w:rsidR="009A58DB" w:rsidRDefault="00000000">
      <w:pPr>
        <w:pStyle w:val="BodyText"/>
        <w:spacing w:before="7" w:line="249" w:lineRule="auto"/>
        <w:ind w:left="720" w:right="726" w:firstLine="360"/>
      </w:pPr>
      <w:r>
        <w:t>No amount of knowledge-that adds up to a skill, and no amount of skill adds up to knowledge-that. So knowledge-how is not knowledge-that, but it is, of course, knowledge of some kind or other.</w:t>
      </w:r>
    </w:p>
    <w:p w14:paraId="7E00176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67" w14:textId="77777777" w:rsidR="009A58DB" w:rsidRDefault="00000000">
      <w:pPr>
        <w:pStyle w:val="BodyText"/>
        <w:spacing w:before="65" w:line="249" w:lineRule="auto"/>
        <w:ind w:right="358" w:firstLine="360"/>
      </w:pPr>
      <w:r>
        <w:lastRenderedPageBreak/>
        <w:t xml:space="preserve">But it’s a spurious argument for a false conclusion. Knowledge of a language is knowledge-how. To be able to speak English is to have a skill. But that skill involves having knowledge-that, for you must know various syntactic and semantic truths (e.g., the truth that “snow” picks out snow) to speak English. Knowledge of a language is operationalized semantic and syntactic knowledge. In general, procedural knowledge is operationalized declarative knowledge. (By “declarative knowledge,” I mean knowledge of </w:t>
      </w:r>
      <w:r>
        <w:rPr>
          <w:spacing w:val="-2"/>
        </w:rPr>
        <w:t>truths.)</w:t>
      </w:r>
    </w:p>
    <w:p w14:paraId="7E001768" w14:textId="77777777" w:rsidR="009A58DB" w:rsidRDefault="00000000">
      <w:pPr>
        <w:pStyle w:val="BodyText"/>
        <w:spacing w:before="9" w:line="249" w:lineRule="auto"/>
        <w:ind w:right="358" w:firstLine="360"/>
      </w:pPr>
      <w:r>
        <w:t xml:space="preserve">Of course, not all procedural knowledge starts out as declarative knowledge. (Your ability to ride a bike didn’t start out as non-procedural knowledge. It was procedural all along.) Moreover, one has no conscious access to the declarative knowledge internal to one’s procedural knowledge. (One has conscious access only to analogues of that knowledge. A given piece of knowledge may be stored at many different cognitive levels. Knowledge is oftentimes “over-represented.” A baseball player who is also a physicist may have two distinct pieces of knowledge of some one fact.) Contrary to what Ludwig Wittgenstein (1889–1951) and John McDowell (1942– ) hold, the conclusion to be drawn from these facts is </w:t>
      </w:r>
      <w:r>
        <w:rPr>
          <w:i/>
        </w:rPr>
        <w:t xml:space="preserve">not </w:t>
      </w:r>
      <w:r>
        <w:t xml:space="preserve">that knowledge-that is no part of knowledge-how, and is instead that the mind is compartmentalized, and the right hand doesn’t always know what the left is </w:t>
      </w:r>
      <w:r>
        <w:rPr>
          <w:spacing w:val="-2"/>
        </w:rPr>
        <w:t>doing.</w:t>
      </w:r>
    </w:p>
    <w:p w14:paraId="7E001769" w14:textId="77777777" w:rsidR="009A58DB" w:rsidRDefault="00000000">
      <w:pPr>
        <w:pStyle w:val="Heading1"/>
        <w:numPr>
          <w:ilvl w:val="1"/>
          <w:numId w:val="129"/>
        </w:numPr>
        <w:tabs>
          <w:tab w:val="left" w:pos="1200"/>
        </w:tabs>
        <w:spacing w:before="204"/>
      </w:pPr>
      <w:r>
        <w:t>Intuitive</w:t>
      </w:r>
      <w:r>
        <w:rPr>
          <w:spacing w:val="-8"/>
        </w:rPr>
        <w:t xml:space="preserve"> </w:t>
      </w:r>
      <w:r>
        <w:t>versus</w:t>
      </w:r>
      <w:r>
        <w:rPr>
          <w:spacing w:val="-7"/>
        </w:rPr>
        <w:t xml:space="preserve"> </w:t>
      </w:r>
      <w:r>
        <w:t>discursive</w:t>
      </w:r>
      <w:r>
        <w:rPr>
          <w:spacing w:val="-7"/>
        </w:rPr>
        <w:t xml:space="preserve"> </w:t>
      </w:r>
      <w:r>
        <w:rPr>
          <w:spacing w:val="-2"/>
        </w:rPr>
        <w:t>knowledge</w:t>
      </w:r>
    </w:p>
    <w:p w14:paraId="7E00176A" w14:textId="77777777" w:rsidR="009A58DB" w:rsidRDefault="00000000">
      <w:pPr>
        <w:pStyle w:val="BodyText"/>
        <w:spacing w:before="140" w:line="249" w:lineRule="auto"/>
        <w:ind w:right="361"/>
      </w:pPr>
      <w:r>
        <w:t xml:space="preserve">Whenever we know something without knowing </w:t>
      </w:r>
      <w:r>
        <w:rPr>
          <w:i/>
        </w:rPr>
        <w:t xml:space="preserve">how </w:t>
      </w:r>
      <w:r>
        <w:t xml:space="preserve">we know it, we have </w:t>
      </w:r>
      <w:r>
        <w:rPr>
          <w:i/>
        </w:rPr>
        <w:t>intuitive</w:t>
      </w:r>
      <w:r>
        <w:rPr>
          <w:i/>
          <w:spacing w:val="-5"/>
        </w:rPr>
        <w:t xml:space="preserve"> </w:t>
      </w:r>
      <w:r>
        <w:t xml:space="preserve">knowledge. Whenever we know something and we </w:t>
      </w:r>
      <w:r>
        <w:rPr>
          <w:i/>
        </w:rPr>
        <w:t>do</w:t>
      </w:r>
      <w:r>
        <w:rPr>
          <w:i/>
          <w:spacing w:val="-4"/>
        </w:rPr>
        <w:t xml:space="preserve"> </w:t>
      </w:r>
      <w:r>
        <w:t xml:space="preserve">know how we know, we have </w:t>
      </w:r>
      <w:r>
        <w:rPr>
          <w:i/>
        </w:rPr>
        <w:t>discursive</w:t>
      </w:r>
      <w:r>
        <w:rPr>
          <w:i/>
          <w:spacing w:val="-4"/>
        </w:rPr>
        <w:t xml:space="preserve"> </w:t>
      </w:r>
      <w:r>
        <w:t xml:space="preserve">knowledge. So to know something intuitively is to “just know it,” whereas to know something discursively is to know it </w:t>
      </w:r>
      <w:r>
        <w:rPr>
          <w:i/>
        </w:rPr>
        <w:t xml:space="preserve">while also </w:t>
      </w:r>
      <w:r>
        <w:t>knowing the grounds on the basis of which one knows it.</w:t>
      </w:r>
    </w:p>
    <w:p w14:paraId="7E00176B" w14:textId="77777777" w:rsidR="009A58DB" w:rsidRDefault="00000000">
      <w:pPr>
        <w:pStyle w:val="BodyText"/>
        <w:spacing w:before="6"/>
        <w:ind w:left="720"/>
      </w:pPr>
      <w:r>
        <w:t>Some</w:t>
      </w:r>
      <w:r>
        <w:rPr>
          <w:spacing w:val="-7"/>
        </w:rPr>
        <w:t xml:space="preserve"> </w:t>
      </w:r>
      <w:r>
        <w:t>short</w:t>
      </w:r>
      <w:r>
        <w:rPr>
          <w:spacing w:val="-4"/>
        </w:rPr>
        <w:t xml:space="preserve"> </w:t>
      </w:r>
      <w:r>
        <w:t>stories</w:t>
      </w:r>
      <w:r>
        <w:rPr>
          <w:spacing w:val="-5"/>
        </w:rPr>
        <w:t xml:space="preserve"> </w:t>
      </w:r>
      <w:r>
        <w:t>will</w:t>
      </w:r>
      <w:r>
        <w:rPr>
          <w:spacing w:val="-4"/>
        </w:rPr>
        <w:t xml:space="preserve"> </w:t>
      </w:r>
      <w:r>
        <w:t>clarify</w:t>
      </w:r>
      <w:r>
        <w:rPr>
          <w:spacing w:val="-4"/>
        </w:rPr>
        <w:t xml:space="preserve"> </w:t>
      </w:r>
      <w:r>
        <w:t>these</w:t>
      </w:r>
      <w:r>
        <w:rPr>
          <w:spacing w:val="-4"/>
        </w:rPr>
        <w:t xml:space="preserve"> </w:t>
      </w:r>
      <w:r>
        <w:rPr>
          <w:spacing w:val="-2"/>
        </w:rPr>
        <w:t>points.</w:t>
      </w:r>
    </w:p>
    <w:p w14:paraId="7E00176C" w14:textId="77777777" w:rsidR="009A58DB" w:rsidRDefault="00000000">
      <w:pPr>
        <w:pStyle w:val="BodyText"/>
        <w:spacing w:before="15" w:line="249" w:lineRule="auto"/>
        <w:ind w:right="358" w:firstLine="360"/>
      </w:pPr>
      <w:r>
        <w:t>Story #1. Timmy, who is 10 years old, is in a classroom and he is looking at a figure on the blackboard. The teacher points to the figure and asks Timmy “what shape does that have?” Timmy correctly says “it’s a circle.” The teacher asks: “how do you know? Why is it a circle as opposed to oval?” Timmy says: “I just know. It’s just obvious that it’s a circle.”</w:t>
      </w:r>
    </w:p>
    <w:p w14:paraId="7E00176D"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76E" w14:textId="77777777" w:rsidR="009A58DB" w:rsidRDefault="00000000">
      <w:pPr>
        <w:pStyle w:val="BodyText"/>
        <w:spacing w:before="65" w:line="249" w:lineRule="auto"/>
        <w:ind w:right="358" w:firstLine="360"/>
      </w:pPr>
      <w:r>
        <w:lastRenderedPageBreak/>
        <w:t>Story #2. Jones, who is a math major, is in a classroom and he is looking</w:t>
      </w:r>
      <w:r>
        <w:rPr>
          <w:spacing w:val="40"/>
        </w:rPr>
        <w:t xml:space="preserve"> </w:t>
      </w:r>
      <w:r>
        <w:t>at a figure on the blackboard. The professor points to the figure and asks Jones “what shape does that have?” Jones says “it’s a circle.” The professor asks: “how do you know? Why is it a circle as opposed to oval?” Jones says: “because, if x and y are any two arbitrarily short segments of that shape’s periphery, x’s degree of curvature equals y’s.”</w:t>
      </w:r>
    </w:p>
    <w:p w14:paraId="7E00176F" w14:textId="77777777" w:rsidR="009A58DB" w:rsidRDefault="00000000">
      <w:pPr>
        <w:pStyle w:val="BodyText"/>
        <w:spacing w:before="7" w:line="249" w:lineRule="auto"/>
        <w:ind w:right="358" w:firstLine="360"/>
      </w:pPr>
      <w:r>
        <w:t>Commentary: Obviously both Jones and Timmy know that the figure on the board is a circle. But Jones knows something that Timmy does not know. But what, exactly? A possible answer is this: “Timmy doesn’t know why the figure is a circle, whereas Jones does have that knowledge.” But surely Timmy’s belief is based on the very fact about the figure’s shape that Jones has described. It seems to me that—in some way, at some level—Timmy is aware of the fact about that figure that Jones is describing. He doesn’t know</w:t>
      </w:r>
      <w:r>
        <w:rPr>
          <w:spacing w:val="40"/>
        </w:rPr>
        <w:t xml:space="preserve"> </w:t>
      </w:r>
      <w:r>
        <w:t>it in the same way as Jones—but he still knows it. So it is wrong, or at least very misleading, to say that Timmy doesn’t know what it is about that figure that makes it a circle.</w:t>
      </w:r>
    </w:p>
    <w:p w14:paraId="7E001770" w14:textId="77777777" w:rsidR="009A58DB" w:rsidRDefault="00000000">
      <w:pPr>
        <w:pStyle w:val="Heading1"/>
        <w:numPr>
          <w:ilvl w:val="1"/>
          <w:numId w:val="129"/>
        </w:numPr>
        <w:tabs>
          <w:tab w:val="left" w:pos="1200"/>
        </w:tabs>
        <w:spacing w:before="200"/>
      </w:pPr>
      <w:r>
        <w:t>How</w:t>
      </w:r>
      <w:r>
        <w:rPr>
          <w:spacing w:val="-8"/>
        </w:rPr>
        <w:t xml:space="preserve"> </w:t>
      </w:r>
      <w:r>
        <w:t>intuitive</w:t>
      </w:r>
      <w:r>
        <w:rPr>
          <w:spacing w:val="-6"/>
        </w:rPr>
        <w:t xml:space="preserve"> </w:t>
      </w:r>
      <w:r>
        <w:t>and</w:t>
      </w:r>
      <w:r>
        <w:rPr>
          <w:spacing w:val="-5"/>
        </w:rPr>
        <w:t xml:space="preserve"> </w:t>
      </w:r>
      <w:r>
        <w:t>discursive</w:t>
      </w:r>
      <w:r>
        <w:rPr>
          <w:spacing w:val="-6"/>
        </w:rPr>
        <w:t xml:space="preserve"> </w:t>
      </w:r>
      <w:r>
        <w:t>knowledge</w:t>
      </w:r>
      <w:r>
        <w:rPr>
          <w:spacing w:val="-5"/>
        </w:rPr>
        <w:t xml:space="preserve"> </w:t>
      </w:r>
      <w:r>
        <w:rPr>
          <w:spacing w:val="-2"/>
        </w:rPr>
        <w:t>differ</w:t>
      </w:r>
    </w:p>
    <w:p w14:paraId="7E001771" w14:textId="77777777" w:rsidR="009A58DB" w:rsidRDefault="00000000">
      <w:pPr>
        <w:pStyle w:val="BodyText"/>
        <w:spacing w:before="139" w:line="249" w:lineRule="auto"/>
        <w:ind w:right="358"/>
      </w:pPr>
      <w:r>
        <w:t xml:space="preserve">Here’s what I think. Jones does, whereas Timmy does not, know </w:t>
      </w:r>
      <w:r>
        <w:rPr>
          <w:i/>
        </w:rPr>
        <w:t xml:space="preserve">on what grounds he himself is judging the figure to be a circle. </w:t>
      </w:r>
      <w:r>
        <w:t>Timmy</w:t>
      </w:r>
      <w:r>
        <w:rPr>
          <w:spacing w:val="-2"/>
        </w:rPr>
        <w:t xml:space="preserve"> </w:t>
      </w:r>
      <w:r>
        <w:t>and</w:t>
      </w:r>
      <w:r>
        <w:rPr>
          <w:spacing w:val="-2"/>
        </w:rPr>
        <w:t xml:space="preserve"> </w:t>
      </w:r>
      <w:r>
        <w:t>Jones</w:t>
      </w:r>
      <w:r>
        <w:rPr>
          <w:spacing w:val="-3"/>
        </w:rPr>
        <w:t xml:space="preserve"> </w:t>
      </w:r>
      <w:r>
        <w:t>both believe that the drawing is a circle, and (so we may assume) each believes it for the right reasons. But Jones knows, whereas Timmy does not know, what the considerations are that are moving him to make that judgment. The difference between Timmy and Jones is that Jones has a kind of self-knowledge that Timmy lacks.</w:t>
      </w:r>
    </w:p>
    <w:p w14:paraId="7E001772" w14:textId="77777777" w:rsidR="009A58DB" w:rsidRDefault="00000000">
      <w:pPr>
        <w:pStyle w:val="Heading1"/>
        <w:numPr>
          <w:ilvl w:val="1"/>
          <w:numId w:val="129"/>
        </w:numPr>
        <w:tabs>
          <w:tab w:val="left" w:pos="1245"/>
        </w:tabs>
        <w:spacing w:before="212" w:line="244" w:lineRule="auto"/>
        <w:ind w:left="360" w:right="364" w:firstLine="0"/>
      </w:pPr>
      <w:r>
        <w:t xml:space="preserve">How intuitive and discursive knowledge differ </w:t>
      </w:r>
      <w:r>
        <w:rPr>
          <w:spacing w:val="-2"/>
        </w:rPr>
        <w:t>(continued)</w:t>
      </w:r>
    </w:p>
    <w:p w14:paraId="7E001773" w14:textId="77777777" w:rsidR="009A58DB" w:rsidRDefault="00000000">
      <w:pPr>
        <w:pStyle w:val="BodyText"/>
        <w:spacing w:before="132" w:line="249" w:lineRule="auto"/>
        <w:ind w:right="359"/>
      </w:pPr>
      <w:r>
        <w:t>Here’s another hypothesis (which, I think, is compatible with the one just given).</w:t>
      </w:r>
      <w:r>
        <w:rPr>
          <w:spacing w:val="-1"/>
        </w:rPr>
        <w:t xml:space="preserve"> </w:t>
      </w:r>
      <w:r>
        <w:t>Even</w:t>
      </w:r>
      <w:r>
        <w:rPr>
          <w:spacing w:val="-1"/>
        </w:rPr>
        <w:t xml:space="preserve"> </w:t>
      </w:r>
      <w:r>
        <w:t>though</w:t>
      </w:r>
      <w:r>
        <w:rPr>
          <w:spacing w:val="-1"/>
        </w:rPr>
        <w:t xml:space="preserve"> </w:t>
      </w:r>
      <w:r>
        <w:t>both</w:t>
      </w:r>
      <w:r>
        <w:rPr>
          <w:spacing w:val="-1"/>
        </w:rPr>
        <w:t xml:space="preserve"> </w:t>
      </w:r>
      <w:r>
        <w:t>Jones</w:t>
      </w:r>
      <w:r>
        <w:rPr>
          <w:spacing w:val="-1"/>
        </w:rPr>
        <w:t xml:space="preserve"> </w:t>
      </w:r>
      <w:r>
        <w:t>and</w:t>
      </w:r>
      <w:r>
        <w:rPr>
          <w:spacing w:val="-1"/>
        </w:rPr>
        <w:t xml:space="preserve"> </w:t>
      </w:r>
      <w:r>
        <w:t>Timmy</w:t>
      </w:r>
      <w:r>
        <w:rPr>
          <w:spacing w:val="-1"/>
        </w:rPr>
        <w:t xml:space="preserve"> </w:t>
      </w:r>
      <w:r>
        <w:t>know</w:t>
      </w:r>
      <w:r>
        <w:rPr>
          <w:spacing w:val="-1"/>
        </w:rPr>
        <w:t xml:space="preserve"> </w:t>
      </w:r>
      <w:r>
        <w:t>that</w:t>
      </w:r>
      <w:r>
        <w:rPr>
          <w:spacing w:val="-1"/>
        </w:rPr>
        <w:t xml:space="preserve"> </w:t>
      </w:r>
      <w:r>
        <w:t>the</w:t>
      </w:r>
      <w:r>
        <w:rPr>
          <w:spacing w:val="-1"/>
        </w:rPr>
        <w:t xml:space="preserve"> </w:t>
      </w:r>
      <w:r>
        <w:t>drawing</w:t>
      </w:r>
      <w:r>
        <w:rPr>
          <w:spacing w:val="-1"/>
        </w:rPr>
        <w:t xml:space="preserve"> </w:t>
      </w:r>
      <w:r>
        <w:t>is</w:t>
      </w:r>
      <w:r>
        <w:rPr>
          <w:spacing w:val="-1"/>
        </w:rPr>
        <w:t xml:space="preserve"> </w:t>
      </w:r>
      <w:r>
        <w:t>a</w:t>
      </w:r>
      <w:r>
        <w:rPr>
          <w:spacing w:val="-1"/>
        </w:rPr>
        <w:t xml:space="preserve"> </w:t>
      </w:r>
      <w:r>
        <w:t xml:space="preserve">circle, Jones knows this in </w:t>
      </w:r>
      <w:r>
        <w:rPr>
          <w:i/>
        </w:rPr>
        <w:t xml:space="preserve">two distinct ways, </w:t>
      </w:r>
      <w:r>
        <w:t xml:space="preserve">whereas Timmy knows it in only one way. Timmy has a strictly visual (or, in any case, sensory) knowledge of this fact, whereas Jones has what might be described as </w:t>
      </w:r>
      <w:r>
        <w:rPr>
          <w:i/>
        </w:rPr>
        <w:t xml:space="preserve">propositional </w:t>
      </w:r>
      <w:r>
        <w:t>knowledge of this same fact. Let us now develop this point.</w:t>
      </w:r>
    </w:p>
    <w:p w14:paraId="7E001774" w14:textId="77777777" w:rsidR="009A58DB" w:rsidRDefault="00000000">
      <w:pPr>
        <w:pStyle w:val="BodyText"/>
        <w:spacing w:before="7"/>
        <w:ind w:left="720"/>
      </w:pPr>
      <w:r>
        <w:t>First</w:t>
      </w:r>
      <w:r>
        <w:rPr>
          <w:spacing w:val="46"/>
          <w:w w:val="150"/>
        </w:rPr>
        <w:t xml:space="preserve"> </w:t>
      </w:r>
      <w:r>
        <w:t>of</w:t>
      </w:r>
      <w:r>
        <w:rPr>
          <w:spacing w:val="46"/>
          <w:w w:val="150"/>
        </w:rPr>
        <w:t xml:space="preserve"> </w:t>
      </w:r>
      <w:r>
        <w:t>all,</w:t>
      </w:r>
      <w:r>
        <w:rPr>
          <w:spacing w:val="47"/>
          <w:w w:val="150"/>
        </w:rPr>
        <w:t xml:space="preserve"> </w:t>
      </w:r>
      <w:r>
        <w:t>a</w:t>
      </w:r>
      <w:r>
        <w:rPr>
          <w:spacing w:val="46"/>
          <w:w w:val="150"/>
        </w:rPr>
        <w:t xml:space="preserve"> </w:t>
      </w:r>
      <w:r>
        <w:t>proposition</w:t>
      </w:r>
      <w:r>
        <w:rPr>
          <w:spacing w:val="47"/>
          <w:w w:val="150"/>
        </w:rPr>
        <w:t xml:space="preserve"> </w:t>
      </w:r>
      <w:r>
        <w:t>is</w:t>
      </w:r>
      <w:r>
        <w:rPr>
          <w:spacing w:val="46"/>
          <w:w w:val="150"/>
        </w:rPr>
        <w:t xml:space="preserve"> </w:t>
      </w:r>
      <w:r>
        <w:t>what</w:t>
      </w:r>
      <w:r>
        <w:rPr>
          <w:spacing w:val="46"/>
          <w:w w:val="150"/>
        </w:rPr>
        <w:t xml:space="preserve"> </w:t>
      </w:r>
      <w:r>
        <w:t>is</w:t>
      </w:r>
      <w:r>
        <w:rPr>
          <w:spacing w:val="47"/>
          <w:w w:val="150"/>
        </w:rPr>
        <w:t xml:space="preserve"> </w:t>
      </w:r>
      <w:r>
        <w:t>meant</w:t>
      </w:r>
      <w:r>
        <w:rPr>
          <w:spacing w:val="46"/>
          <w:w w:val="150"/>
        </w:rPr>
        <w:t xml:space="preserve"> </w:t>
      </w:r>
      <w:r>
        <w:t>by</w:t>
      </w:r>
      <w:r>
        <w:rPr>
          <w:spacing w:val="47"/>
          <w:w w:val="150"/>
        </w:rPr>
        <w:t xml:space="preserve"> </w:t>
      </w:r>
      <w:r>
        <w:t>a</w:t>
      </w:r>
      <w:r>
        <w:rPr>
          <w:spacing w:val="46"/>
          <w:w w:val="150"/>
        </w:rPr>
        <w:t xml:space="preserve"> </w:t>
      </w:r>
      <w:r>
        <w:t>sentence—it</w:t>
      </w:r>
      <w:r>
        <w:rPr>
          <w:spacing w:val="47"/>
          <w:w w:val="150"/>
        </w:rPr>
        <w:t xml:space="preserve"> </w:t>
      </w:r>
      <w:r>
        <w:t>is</w:t>
      </w:r>
      <w:r>
        <w:rPr>
          <w:spacing w:val="46"/>
          <w:w w:val="150"/>
        </w:rPr>
        <w:t xml:space="preserve"> </w:t>
      </w:r>
      <w:r>
        <w:rPr>
          <w:spacing w:val="-5"/>
        </w:rPr>
        <w:t>the</w:t>
      </w:r>
    </w:p>
    <w:p w14:paraId="7E001775" w14:textId="77777777" w:rsidR="009A58DB" w:rsidRDefault="009A58DB">
      <w:pPr>
        <w:pStyle w:val="BodyText"/>
        <w:sectPr w:rsidR="009A58DB">
          <w:pgSz w:w="12240" w:h="15840"/>
          <w:pgMar w:top="1380" w:right="1080" w:bottom="280" w:left="1080" w:header="720" w:footer="720" w:gutter="0"/>
          <w:cols w:space="720"/>
        </w:sectPr>
      </w:pPr>
    </w:p>
    <w:p w14:paraId="7E001776" w14:textId="77777777" w:rsidR="009A58DB" w:rsidRDefault="00000000">
      <w:pPr>
        <w:pStyle w:val="BodyText"/>
        <w:spacing w:before="70" w:line="249" w:lineRule="auto"/>
        <w:ind w:right="362"/>
      </w:pPr>
      <w:r>
        <w:lastRenderedPageBreak/>
        <w:t xml:space="preserve">information encoded in a sentence. The information provided by sentences has two striking features: first, it is very schematic; second, it is the kind of information that can be grasped only through an act of </w:t>
      </w:r>
      <w:r>
        <w:rPr>
          <w:i/>
        </w:rPr>
        <w:t xml:space="preserve">judgment, </w:t>
      </w:r>
      <w:r>
        <w:t>as opposed to perception. (These two facts are related.)</w:t>
      </w:r>
    </w:p>
    <w:p w14:paraId="7E001777" w14:textId="77777777" w:rsidR="009A58DB" w:rsidRDefault="00000000">
      <w:pPr>
        <w:pStyle w:val="BodyText"/>
        <w:spacing w:line="249" w:lineRule="auto"/>
        <w:ind w:right="367" w:firstLine="360"/>
      </w:pPr>
      <w:r>
        <w:t>Suppose you see a certain man, whom you know to be Smith, next to a certain telephone pole, and you report that fact by saying:</w:t>
      </w:r>
    </w:p>
    <w:p w14:paraId="7E001778" w14:textId="77777777" w:rsidR="009A58DB" w:rsidRDefault="009A58DB">
      <w:pPr>
        <w:pStyle w:val="BodyText"/>
        <w:spacing w:before="17"/>
        <w:ind w:left="0"/>
        <w:jc w:val="left"/>
      </w:pPr>
    </w:p>
    <w:p w14:paraId="7E001779" w14:textId="77777777" w:rsidR="009A58DB" w:rsidRDefault="00000000">
      <w:pPr>
        <w:pStyle w:val="BodyText"/>
      </w:pPr>
      <w:r>
        <w:t>(SP)</w:t>
      </w:r>
      <w:r>
        <w:rPr>
          <w:spacing w:val="-4"/>
        </w:rPr>
        <w:t xml:space="preserve"> </w:t>
      </w:r>
      <w:r>
        <w:t>“Smith</w:t>
      </w:r>
      <w:r>
        <w:rPr>
          <w:spacing w:val="-2"/>
        </w:rPr>
        <w:t xml:space="preserve"> </w:t>
      </w:r>
      <w:r>
        <w:t>is</w:t>
      </w:r>
      <w:r>
        <w:rPr>
          <w:spacing w:val="-4"/>
        </w:rPr>
        <w:t xml:space="preserve"> </w:t>
      </w:r>
      <w:r>
        <w:t>next</w:t>
      </w:r>
      <w:r>
        <w:rPr>
          <w:spacing w:val="-3"/>
        </w:rPr>
        <w:t xml:space="preserve"> </w:t>
      </w:r>
      <w:r>
        <w:t>to</w:t>
      </w:r>
      <w:r>
        <w:rPr>
          <w:spacing w:val="-3"/>
        </w:rPr>
        <w:t xml:space="preserve"> </w:t>
      </w:r>
      <w:r>
        <w:t>that</w:t>
      </w:r>
      <w:r>
        <w:rPr>
          <w:spacing w:val="-3"/>
        </w:rPr>
        <w:t xml:space="preserve"> </w:t>
      </w:r>
      <w:r>
        <w:t>telephone</w:t>
      </w:r>
      <w:r>
        <w:rPr>
          <w:spacing w:val="-3"/>
        </w:rPr>
        <w:t xml:space="preserve"> </w:t>
      </w:r>
      <w:r>
        <w:rPr>
          <w:spacing w:val="-2"/>
        </w:rPr>
        <w:t>pole.”</w:t>
      </w:r>
    </w:p>
    <w:p w14:paraId="7E00177A" w14:textId="77777777" w:rsidR="009A58DB" w:rsidRDefault="009A58DB">
      <w:pPr>
        <w:pStyle w:val="BodyText"/>
        <w:spacing w:before="30"/>
        <w:ind w:left="0"/>
        <w:jc w:val="left"/>
      </w:pPr>
    </w:p>
    <w:p w14:paraId="7E00177B" w14:textId="77777777" w:rsidR="009A58DB" w:rsidRDefault="00000000">
      <w:pPr>
        <w:pStyle w:val="BodyText"/>
        <w:spacing w:line="249" w:lineRule="auto"/>
        <w:ind w:right="359" w:firstLine="360"/>
      </w:pPr>
      <w:r>
        <w:t xml:space="preserve">Compare what you actually </w:t>
      </w:r>
      <w:r>
        <w:rPr>
          <w:i/>
        </w:rPr>
        <w:t xml:space="preserve">see </w:t>
      </w:r>
      <w:r>
        <w:t xml:space="preserve">to SP. You don’t just see </w:t>
      </w:r>
      <w:r>
        <w:rPr>
          <w:i/>
        </w:rPr>
        <w:t xml:space="preserve">Smith. </w:t>
      </w:r>
      <w:r>
        <w:t xml:space="preserve">You see an individual with very specific characteristics (a specific shape, a specific posture or series of specific postures, wearing specific clothes, having hair of a specific color, and so on). And you don’t just see a </w:t>
      </w:r>
      <w:r>
        <w:rPr>
          <w:i/>
        </w:rPr>
        <w:t xml:space="preserve">telephone pole. </w:t>
      </w:r>
      <w:r>
        <w:t>You</w:t>
      </w:r>
      <w:r>
        <w:rPr>
          <w:spacing w:val="-2"/>
        </w:rPr>
        <w:t xml:space="preserve"> </w:t>
      </w:r>
      <w:r>
        <w:t xml:space="preserve">see an object having a specific shape, in a specific location, with a specific color (and with specific discolorations on it), with wires of a certain kind attached to certain parts of it, and so on. Thus, the sentence provides a very schematic and abstract representation of the information provided to you by your visual perception. So, from one viewpoint, the sentence </w:t>
      </w:r>
      <w:r>
        <w:rPr>
          <w:i/>
        </w:rPr>
        <w:t>under</w:t>
      </w:r>
      <w:r>
        <w:t>-represents the</w:t>
      </w:r>
      <w:r>
        <w:rPr>
          <w:spacing w:val="40"/>
        </w:rPr>
        <w:t xml:space="preserve"> </w:t>
      </w:r>
      <w:r>
        <w:t>content of your visual perception.</w:t>
      </w:r>
    </w:p>
    <w:p w14:paraId="7E00177C" w14:textId="77777777" w:rsidR="009A58DB" w:rsidRDefault="00000000">
      <w:pPr>
        <w:pStyle w:val="BodyText"/>
        <w:spacing w:before="12" w:line="249" w:lineRule="auto"/>
        <w:ind w:right="357" w:firstLine="360"/>
      </w:pPr>
      <w:r>
        <w:t xml:space="preserve">But, from another viewpoint, the sentence </w:t>
      </w:r>
      <w:r>
        <w:rPr>
          <w:i/>
        </w:rPr>
        <w:t>over</w:t>
      </w:r>
      <w:r>
        <w:t>-represents the content of your perception. Given only what you see—given only what your eyes are telling you—it could be that you are seeing somebody other than Smith; it could</w:t>
      </w:r>
      <w:r>
        <w:rPr>
          <w:spacing w:val="9"/>
        </w:rPr>
        <w:t xml:space="preserve"> </w:t>
      </w:r>
      <w:r>
        <w:t>be</w:t>
      </w:r>
      <w:r>
        <w:rPr>
          <w:spacing w:val="11"/>
        </w:rPr>
        <w:t xml:space="preserve"> </w:t>
      </w:r>
      <w:r>
        <w:t>that</w:t>
      </w:r>
      <w:r>
        <w:rPr>
          <w:spacing w:val="12"/>
        </w:rPr>
        <w:t xml:space="preserve"> </w:t>
      </w:r>
      <w:r>
        <w:t>you</w:t>
      </w:r>
      <w:r>
        <w:rPr>
          <w:spacing w:val="11"/>
        </w:rPr>
        <w:t xml:space="preserve"> </w:t>
      </w:r>
      <w:r>
        <w:t>are</w:t>
      </w:r>
      <w:r>
        <w:rPr>
          <w:spacing w:val="12"/>
        </w:rPr>
        <w:t xml:space="preserve"> </w:t>
      </w:r>
      <w:r>
        <w:t>seeing</w:t>
      </w:r>
      <w:r>
        <w:rPr>
          <w:spacing w:val="12"/>
        </w:rPr>
        <w:t xml:space="preserve"> </w:t>
      </w:r>
      <w:r>
        <w:t>somebody</w:t>
      </w:r>
      <w:r>
        <w:rPr>
          <w:spacing w:val="12"/>
        </w:rPr>
        <w:t xml:space="preserve"> </w:t>
      </w:r>
      <w:r>
        <w:t>who</w:t>
      </w:r>
      <w:r>
        <w:rPr>
          <w:spacing w:val="11"/>
        </w:rPr>
        <w:t xml:space="preserve"> </w:t>
      </w:r>
      <w:r>
        <w:t>looks</w:t>
      </w:r>
      <w:r>
        <w:rPr>
          <w:spacing w:val="12"/>
        </w:rPr>
        <w:t xml:space="preserve"> </w:t>
      </w:r>
      <w:r>
        <w:t>just</w:t>
      </w:r>
      <w:r>
        <w:rPr>
          <w:spacing w:val="11"/>
        </w:rPr>
        <w:t xml:space="preserve"> </w:t>
      </w:r>
      <w:r>
        <w:t>like</w:t>
      </w:r>
      <w:r>
        <w:rPr>
          <w:spacing w:val="11"/>
        </w:rPr>
        <w:t xml:space="preserve"> </w:t>
      </w:r>
      <w:r>
        <w:t>him</w:t>
      </w:r>
      <w:r>
        <w:rPr>
          <w:spacing w:val="12"/>
        </w:rPr>
        <w:t xml:space="preserve"> </w:t>
      </w:r>
      <w:r>
        <w:t>but</w:t>
      </w:r>
      <w:r>
        <w:rPr>
          <w:spacing w:val="11"/>
        </w:rPr>
        <w:t xml:space="preserve"> </w:t>
      </w:r>
      <w:r>
        <w:t>isn’t</w:t>
      </w:r>
      <w:r>
        <w:rPr>
          <w:spacing w:val="12"/>
        </w:rPr>
        <w:t xml:space="preserve"> </w:t>
      </w:r>
      <w:r>
        <w:rPr>
          <w:spacing w:val="-5"/>
        </w:rPr>
        <w:t>him</w:t>
      </w:r>
    </w:p>
    <w:p w14:paraId="7E00177D" w14:textId="77777777" w:rsidR="009A58DB" w:rsidRDefault="00000000">
      <w:pPr>
        <w:pStyle w:val="BodyText"/>
        <w:spacing w:before="5" w:line="249" w:lineRule="auto"/>
        <w:ind w:right="358"/>
      </w:pPr>
      <w:r>
        <w:t xml:space="preserve">—or even that you aren’t seeing a person at all and are in fact seeing a robot. When you characterize that thing as “Smith,” you are making a judgment as to who and what that thing is; you are making a judgment as to the biological species and as to the specific identity of that individual. Though </w:t>
      </w:r>
      <w:r>
        <w:rPr>
          <w:i/>
        </w:rPr>
        <w:t xml:space="preserve">partially </w:t>
      </w:r>
      <w:r>
        <w:t>based on what your eyes are now telling you, that judgment incorporates information that is not derived from that specific perception—information that is derived from past meetings with various individuals and from inferences drawn therefrom.</w:t>
      </w:r>
    </w:p>
    <w:p w14:paraId="7E00177E" w14:textId="77777777" w:rsidR="009A58DB" w:rsidRDefault="00000000">
      <w:pPr>
        <w:pStyle w:val="BodyText"/>
        <w:spacing w:before="10" w:line="249" w:lineRule="auto"/>
        <w:ind w:right="362" w:firstLine="360"/>
      </w:pPr>
      <w:r>
        <w:t xml:space="preserve">And given only what your eyes are telling you, you don’t know that you are seeing a </w:t>
      </w:r>
      <w:r>
        <w:rPr>
          <w:i/>
        </w:rPr>
        <w:t xml:space="preserve">telephone </w:t>
      </w:r>
      <w:r>
        <w:t xml:space="preserve">pole. A telephone pole is something that serves a specific function within a complicated network of social and physical relations. When you are staring at the telephone pole, you cannot literally </w:t>
      </w:r>
      <w:r>
        <w:rPr>
          <w:i/>
        </w:rPr>
        <w:t xml:space="preserve">see </w:t>
      </w:r>
      <w:r>
        <w:t>it</w:t>
      </w:r>
      <w:r>
        <w:rPr>
          <w:spacing w:val="23"/>
        </w:rPr>
        <w:t xml:space="preserve"> </w:t>
      </w:r>
      <w:r>
        <w:t>performing</w:t>
      </w:r>
      <w:r>
        <w:rPr>
          <w:spacing w:val="23"/>
        </w:rPr>
        <w:t xml:space="preserve"> </w:t>
      </w:r>
      <w:r>
        <w:t>these</w:t>
      </w:r>
      <w:r>
        <w:rPr>
          <w:spacing w:val="23"/>
        </w:rPr>
        <w:t xml:space="preserve"> </w:t>
      </w:r>
      <w:r>
        <w:t>functions.</w:t>
      </w:r>
      <w:r>
        <w:rPr>
          <w:spacing w:val="23"/>
        </w:rPr>
        <w:t xml:space="preserve"> </w:t>
      </w:r>
      <w:r>
        <w:t>Thus,</w:t>
      </w:r>
      <w:r>
        <w:rPr>
          <w:spacing w:val="24"/>
        </w:rPr>
        <w:t xml:space="preserve"> </w:t>
      </w:r>
      <w:r>
        <w:t>implicit</w:t>
      </w:r>
      <w:r>
        <w:rPr>
          <w:spacing w:val="23"/>
        </w:rPr>
        <w:t xml:space="preserve"> </w:t>
      </w:r>
      <w:r>
        <w:t>in</w:t>
      </w:r>
      <w:r>
        <w:rPr>
          <w:spacing w:val="23"/>
        </w:rPr>
        <w:t xml:space="preserve"> </w:t>
      </w:r>
      <w:r>
        <w:t>your</w:t>
      </w:r>
      <w:r>
        <w:rPr>
          <w:spacing w:val="23"/>
        </w:rPr>
        <w:t xml:space="preserve"> </w:t>
      </w:r>
      <w:r>
        <w:t>characterization</w:t>
      </w:r>
      <w:r>
        <w:rPr>
          <w:spacing w:val="23"/>
        </w:rPr>
        <w:t xml:space="preserve"> </w:t>
      </w:r>
      <w:r>
        <w:t>of</w:t>
      </w:r>
      <w:r>
        <w:rPr>
          <w:spacing w:val="23"/>
        </w:rPr>
        <w:t xml:space="preserve"> </w:t>
      </w:r>
      <w:r>
        <w:t>that</w:t>
      </w:r>
    </w:p>
    <w:p w14:paraId="7E00177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80" w14:textId="77777777" w:rsidR="009A58DB" w:rsidRDefault="00000000">
      <w:pPr>
        <w:pStyle w:val="BodyText"/>
        <w:spacing w:before="65" w:line="249" w:lineRule="auto"/>
        <w:ind w:right="358"/>
      </w:pPr>
      <w:r>
        <w:lastRenderedPageBreak/>
        <w:t>thing as a “telephone” pole is a judgment as to its social function. And, though partially derived from your sense-perception, the grounds for that judgment have roots in past experiences of yours and also in inferences</w:t>
      </w:r>
      <w:r>
        <w:rPr>
          <w:spacing w:val="40"/>
        </w:rPr>
        <w:t xml:space="preserve"> </w:t>
      </w:r>
      <w:r>
        <w:t>drawn therefrom. So, from that viewpoint, SP over-represents what your eyes are telling you on this occasion.</w:t>
      </w:r>
    </w:p>
    <w:p w14:paraId="7E001781" w14:textId="77777777" w:rsidR="009A58DB" w:rsidRDefault="00000000">
      <w:pPr>
        <w:pStyle w:val="BodyText"/>
        <w:spacing w:before="6" w:line="249" w:lineRule="auto"/>
        <w:ind w:right="358" w:firstLine="360"/>
      </w:pPr>
      <w:r>
        <w:t>Similar points hold with respect to the differences between Timmy and Jones. Jones isn’t simply seeing a certain object’s shape; he isn’t simply uploading perceptual information. He is making a judgment about that information. (So Jones is generating “meta-information.”) By contrast, Timmy is just uploading the information.</w:t>
      </w:r>
    </w:p>
    <w:p w14:paraId="7E001782" w14:textId="77777777" w:rsidR="009A58DB" w:rsidRDefault="00000000">
      <w:pPr>
        <w:pStyle w:val="BodyText"/>
        <w:spacing w:before="6" w:line="249" w:lineRule="auto"/>
        <w:ind w:right="359" w:firstLine="360"/>
      </w:pPr>
      <w:r>
        <w:t>A related point is that, although both Timmy and Jones know that the drawing</w:t>
      </w:r>
      <w:r>
        <w:rPr>
          <w:spacing w:val="-3"/>
        </w:rPr>
        <w:t xml:space="preserve"> </w:t>
      </w:r>
      <w:r>
        <w:t>is</w:t>
      </w:r>
      <w:r>
        <w:rPr>
          <w:spacing w:val="-2"/>
        </w:rPr>
        <w:t xml:space="preserve"> </w:t>
      </w:r>
      <w:r>
        <w:t>a</w:t>
      </w:r>
      <w:r>
        <w:rPr>
          <w:spacing w:val="-3"/>
        </w:rPr>
        <w:t xml:space="preserve"> </w:t>
      </w:r>
      <w:r>
        <w:t>shape,</w:t>
      </w:r>
      <w:r>
        <w:rPr>
          <w:spacing w:val="-2"/>
        </w:rPr>
        <w:t xml:space="preserve"> </w:t>
      </w:r>
      <w:r>
        <w:t>Jones</w:t>
      </w:r>
      <w:r>
        <w:rPr>
          <w:spacing w:val="-3"/>
        </w:rPr>
        <w:t xml:space="preserve"> </w:t>
      </w:r>
      <w:r>
        <w:t>knows</w:t>
      </w:r>
      <w:r>
        <w:rPr>
          <w:spacing w:val="-2"/>
        </w:rPr>
        <w:t xml:space="preserve"> </w:t>
      </w:r>
      <w:r>
        <w:t>this</w:t>
      </w:r>
      <w:r>
        <w:rPr>
          <w:spacing w:val="-2"/>
        </w:rPr>
        <w:t xml:space="preserve"> </w:t>
      </w:r>
      <w:r>
        <w:t>fact</w:t>
      </w:r>
      <w:r>
        <w:rPr>
          <w:spacing w:val="-3"/>
        </w:rPr>
        <w:t xml:space="preserve"> </w:t>
      </w:r>
      <w:r>
        <w:t>in</w:t>
      </w:r>
      <w:r>
        <w:rPr>
          <w:spacing w:val="-2"/>
        </w:rPr>
        <w:t xml:space="preserve"> </w:t>
      </w:r>
      <w:r>
        <w:t>more</w:t>
      </w:r>
      <w:r>
        <w:rPr>
          <w:spacing w:val="-3"/>
        </w:rPr>
        <w:t xml:space="preserve"> </w:t>
      </w:r>
      <w:r>
        <w:t>ways</w:t>
      </w:r>
      <w:r>
        <w:rPr>
          <w:spacing w:val="-2"/>
        </w:rPr>
        <w:t xml:space="preserve"> </w:t>
      </w:r>
      <w:r>
        <w:t>than</w:t>
      </w:r>
      <w:r>
        <w:rPr>
          <w:spacing w:val="-3"/>
        </w:rPr>
        <w:t xml:space="preserve"> </w:t>
      </w:r>
      <w:r>
        <w:t>Timmy.</w:t>
      </w:r>
      <w:r>
        <w:rPr>
          <w:spacing w:val="-2"/>
        </w:rPr>
        <w:t xml:space="preserve"> </w:t>
      </w:r>
      <w:r>
        <w:t>This</w:t>
      </w:r>
      <w:r>
        <w:rPr>
          <w:spacing w:val="-2"/>
        </w:rPr>
        <w:t xml:space="preserve"> </w:t>
      </w:r>
      <w:r>
        <w:t>can be understood in terms of our earlier point that knowledge is descriptive.</w:t>
      </w:r>
      <w:r>
        <w:rPr>
          <w:spacing w:val="40"/>
        </w:rPr>
        <w:t xml:space="preserve"> </w:t>
      </w:r>
      <w:r>
        <w:t xml:space="preserve">Here the fact known is that the drawing is a circle. Timmy knows one description of that fact—he knows a visual or graphic description of that fact. But Jones knows </w:t>
      </w:r>
      <w:r>
        <w:rPr>
          <w:i/>
        </w:rPr>
        <w:t xml:space="preserve">both </w:t>
      </w:r>
      <w:r>
        <w:t xml:space="preserve">this graphic description </w:t>
      </w:r>
      <w:r>
        <w:rPr>
          <w:i/>
        </w:rPr>
        <w:t xml:space="preserve">and </w:t>
      </w:r>
      <w:r>
        <w:t>a conceptual or propositional representation of it.</w:t>
      </w:r>
    </w:p>
    <w:p w14:paraId="7E001783" w14:textId="77777777" w:rsidR="009A58DB" w:rsidRDefault="00000000">
      <w:pPr>
        <w:pStyle w:val="BodyText"/>
        <w:spacing w:before="9" w:line="249" w:lineRule="auto"/>
        <w:ind w:right="360" w:firstLine="360"/>
      </w:pPr>
      <w:r>
        <w:t>We thus seem to have two answers to the question “what does Jones know that Timmy doesn’t?” First, Jones has a certain kind of self-knowledge that Timmy lacks: Jones does, whereas Timmy does not, know what the considerations</w:t>
      </w:r>
      <w:r>
        <w:rPr>
          <w:spacing w:val="-1"/>
        </w:rPr>
        <w:t xml:space="preserve"> </w:t>
      </w:r>
      <w:r>
        <w:t>are</w:t>
      </w:r>
      <w:r>
        <w:rPr>
          <w:spacing w:val="-1"/>
        </w:rPr>
        <w:t xml:space="preserve"> </w:t>
      </w:r>
      <w:r>
        <w:t>that</w:t>
      </w:r>
      <w:r>
        <w:rPr>
          <w:spacing w:val="-1"/>
        </w:rPr>
        <w:t xml:space="preserve"> </w:t>
      </w:r>
      <w:r>
        <w:t>led</w:t>
      </w:r>
      <w:r>
        <w:rPr>
          <w:spacing w:val="-1"/>
        </w:rPr>
        <w:t xml:space="preserve"> </w:t>
      </w:r>
      <w:r>
        <w:t>him</w:t>
      </w:r>
      <w:r>
        <w:rPr>
          <w:spacing w:val="-1"/>
        </w:rPr>
        <w:t xml:space="preserve"> </w:t>
      </w:r>
      <w:r>
        <w:t>to</w:t>
      </w:r>
      <w:r>
        <w:rPr>
          <w:spacing w:val="-1"/>
        </w:rPr>
        <w:t xml:space="preserve"> </w:t>
      </w:r>
      <w:r>
        <w:t>believe</w:t>
      </w:r>
      <w:r>
        <w:rPr>
          <w:spacing w:val="-1"/>
        </w:rPr>
        <w:t xml:space="preserve"> </w:t>
      </w:r>
      <w:r>
        <w:t>(rightly)</w:t>
      </w:r>
      <w:r>
        <w:rPr>
          <w:spacing w:val="-1"/>
        </w:rPr>
        <w:t xml:space="preserve"> </w:t>
      </w:r>
      <w:r>
        <w:t>that</w:t>
      </w:r>
      <w:r>
        <w:rPr>
          <w:spacing w:val="-1"/>
        </w:rPr>
        <w:t xml:space="preserve"> </w:t>
      </w:r>
      <w:r>
        <w:t>the</w:t>
      </w:r>
      <w:r>
        <w:rPr>
          <w:spacing w:val="-1"/>
        </w:rPr>
        <w:t xml:space="preserve"> </w:t>
      </w:r>
      <w:r>
        <w:t>drawing</w:t>
      </w:r>
      <w:r>
        <w:rPr>
          <w:spacing w:val="-1"/>
        </w:rPr>
        <w:t xml:space="preserve"> </w:t>
      </w:r>
      <w:r>
        <w:t>is</w:t>
      </w:r>
      <w:r>
        <w:rPr>
          <w:spacing w:val="-1"/>
        </w:rPr>
        <w:t xml:space="preserve"> </w:t>
      </w:r>
      <w:r>
        <w:t>a</w:t>
      </w:r>
      <w:r>
        <w:rPr>
          <w:spacing w:val="-1"/>
        </w:rPr>
        <w:t xml:space="preserve"> </w:t>
      </w:r>
      <w:r>
        <w:t>circle. Second, Jones knows the fact in question under two different descriptions (one</w:t>
      </w:r>
      <w:r>
        <w:rPr>
          <w:spacing w:val="-4"/>
        </w:rPr>
        <w:t xml:space="preserve"> </w:t>
      </w:r>
      <w:r>
        <w:t>pictorial,</w:t>
      </w:r>
      <w:r>
        <w:rPr>
          <w:spacing w:val="-3"/>
        </w:rPr>
        <w:t xml:space="preserve"> </w:t>
      </w:r>
      <w:r>
        <w:t>the</w:t>
      </w:r>
      <w:r>
        <w:rPr>
          <w:spacing w:val="-4"/>
        </w:rPr>
        <w:t xml:space="preserve"> </w:t>
      </w:r>
      <w:r>
        <w:t>other</w:t>
      </w:r>
      <w:r>
        <w:rPr>
          <w:spacing w:val="-4"/>
        </w:rPr>
        <w:t xml:space="preserve"> </w:t>
      </w:r>
      <w:r>
        <w:t>conceptual),</w:t>
      </w:r>
      <w:r>
        <w:rPr>
          <w:spacing w:val="-3"/>
        </w:rPr>
        <w:t xml:space="preserve"> </w:t>
      </w:r>
      <w:r>
        <w:t>whereas</w:t>
      </w:r>
      <w:r>
        <w:rPr>
          <w:spacing w:val="-4"/>
        </w:rPr>
        <w:t xml:space="preserve"> </w:t>
      </w:r>
      <w:r>
        <w:t>Timmy</w:t>
      </w:r>
      <w:r>
        <w:rPr>
          <w:spacing w:val="-3"/>
        </w:rPr>
        <w:t xml:space="preserve"> </w:t>
      </w:r>
      <w:r>
        <w:t>knows</w:t>
      </w:r>
      <w:r>
        <w:rPr>
          <w:spacing w:val="-4"/>
        </w:rPr>
        <w:t xml:space="preserve"> </w:t>
      </w:r>
      <w:r>
        <w:t>it</w:t>
      </w:r>
      <w:r>
        <w:rPr>
          <w:spacing w:val="-4"/>
        </w:rPr>
        <w:t xml:space="preserve"> </w:t>
      </w:r>
      <w:r>
        <w:t>only</w:t>
      </w:r>
      <w:r>
        <w:rPr>
          <w:spacing w:val="-3"/>
        </w:rPr>
        <w:t xml:space="preserve"> </w:t>
      </w:r>
      <w:r>
        <w:t>under</w:t>
      </w:r>
      <w:r>
        <w:rPr>
          <w:spacing w:val="-4"/>
        </w:rPr>
        <w:t xml:space="preserve"> </w:t>
      </w:r>
      <w:r>
        <w:t xml:space="preserve">one </w:t>
      </w:r>
      <w:r>
        <w:rPr>
          <w:spacing w:val="-2"/>
        </w:rPr>
        <w:t>description.</w:t>
      </w:r>
    </w:p>
    <w:p w14:paraId="7E001784" w14:textId="77777777" w:rsidR="009A58DB" w:rsidRDefault="00000000">
      <w:pPr>
        <w:pStyle w:val="Heading1"/>
        <w:numPr>
          <w:ilvl w:val="1"/>
          <w:numId w:val="129"/>
        </w:numPr>
        <w:tabs>
          <w:tab w:val="left" w:pos="1200"/>
        </w:tabs>
        <w:spacing w:before="196"/>
      </w:pPr>
      <w:r>
        <w:t>The</w:t>
      </w:r>
      <w:r>
        <w:rPr>
          <w:spacing w:val="-3"/>
        </w:rPr>
        <w:t xml:space="preserve"> </w:t>
      </w:r>
      <w:r>
        <w:t>paradox</w:t>
      </w:r>
      <w:r>
        <w:rPr>
          <w:spacing w:val="-2"/>
        </w:rPr>
        <w:t xml:space="preserve"> </w:t>
      </w:r>
      <w:r>
        <w:t>of</w:t>
      </w:r>
      <w:r>
        <w:rPr>
          <w:spacing w:val="-2"/>
        </w:rPr>
        <w:t xml:space="preserve"> analysis</w:t>
      </w:r>
    </w:p>
    <w:p w14:paraId="7E001785" w14:textId="77777777" w:rsidR="009A58DB" w:rsidRDefault="00000000">
      <w:pPr>
        <w:pStyle w:val="BodyText"/>
        <w:spacing w:before="139" w:line="249" w:lineRule="auto"/>
        <w:ind w:right="360"/>
      </w:pPr>
      <w:r>
        <w:t>These points may give us some insight into an old philosophical dispute. Consider the statement:</w:t>
      </w:r>
    </w:p>
    <w:p w14:paraId="7E001786" w14:textId="77777777" w:rsidR="009A58DB" w:rsidRDefault="009A58DB">
      <w:pPr>
        <w:pStyle w:val="BodyText"/>
        <w:spacing w:before="17"/>
        <w:ind w:left="0"/>
        <w:jc w:val="left"/>
      </w:pPr>
    </w:p>
    <w:p w14:paraId="7E001787" w14:textId="77777777" w:rsidR="009A58DB" w:rsidRDefault="00000000">
      <w:pPr>
        <w:pStyle w:val="BodyText"/>
        <w:spacing w:before="1" w:line="249" w:lineRule="auto"/>
        <w:ind w:right="361"/>
      </w:pPr>
      <w:r>
        <w:t xml:space="preserve">(CR) x is a circle if and only if x is a two-dimensional figure of uniform </w:t>
      </w:r>
      <w:r>
        <w:rPr>
          <w:spacing w:val="-2"/>
        </w:rPr>
        <w:t>curvature.</w:t>
      </w:r>
    </w:p>
    <w:p w14:paraId="7E001788" w14:textId="77777777" w:rsidR="009A58DB" w:rsidRDefault="009A58DB">
      <w:pPr>
        <w:pStyle w:val="BodyText"/>
        <w:spacing w:before="17"/>
        <w:ind w:left="0"/>
        <w:jc w:val="left"/>
      </w:pPr>
    </w:p>
    <w:p w14:paraId="7E001789" w14:textId="77777777" w:rsidR="009A58DB" w:rsidRDefault="00000000">
      <w:pPr>
        <w:pStyle w:val="BodyText"/>
        <w:spacing w:line="501" w:lineRule="auto"/>
        <w:ind w:right="2634"/>
        <w:jc w:val="left"/>
      </w:pPr>
      <w:r>
        <w:t>Obviously</w:t>
      </w:r>
      <w:r>
        <w:rPr>
          <w:spacing w:val="-5"/>
        </w:rPr>
        <w:t xml:space="preserve"> </w:t>
      </w:r>
      <w:r>
        <w:t>CR</w:t>
      </w:r>
      <w:r>
        <w:rPr>
          <w:spacing w:val="-6"/>
        </w:rPr>
        <w:t xml:space="preserve"> </w:t>
      </w:r>
      <w:r>
        <w:t>is</w:t>
      </w:r>
      <w:r>
        <w:rPr>
          <w:spacing w:val="-6"/>
        </w:rPr>
        <w:t xml:space="preserve"> </w:t>
      </w:r>
      <w:r>
        <w:t>informative.</w:t>
      </w:r>
      <w:r>
        <w:rPr>
          <w:spacing w:val="-5"/>
        </w:rPr>
        <w:t xml:space="preserve"> </w:t>
      </w:r>
      <w:r>
        <w:t>It</w:t>
      </w:r>
      <w:r>
        <w:rPr>
          <w:spacing w:val="-6"/>
        </w:rPr>
        <w:t xml:space="preserve"> </w:t>
      </w:r>
      <w:r>
        <w:t>isn’t</w:t>
      </w:r>
      <w:r>
        <w:rPr>
          <w:spacing w:val="-6"/>
        </w:rPr>
        <w:t xml:space="preserve"> </w:t>
      </w:r>
      <w:r>
        <w:t>like</w:t>
      </w:r>
      <w:r>
        <w:rPr>
          <w:spacing w:val="-6"/>
        </w:rPr>
        <w:t xml:space="preserve"> </w:t>
      </w:r>
      <w:r>
        <w:t>the</w:t>
      </w:r>
      <w:r>
        <w:rPr>
          <w:spacing w:val="-6"/>
        </w:rPr>
        <w:t xml:space="preserve"> </w:t>
      </w:r>
      <w:r>
        <w:t>statement: (CC) x is a circle if, and only if x is a circle.</w:t>
      </w:r>
    </w:p>
    <w:p w14:paraId="7E00178A" w14:textId="77777777" w:rsidR="009A58DB" w:rsidRDefault="009A58DB">
      <w:pPr>
        <w:pStyle w:val="BodyText"/>
        <w:spacing w:line="501" w:lineRule="auto"/>
        <w:jc w:val="left"/>
        <w:sectPr w:rsidR="009A58DB">
          <w:pgSz w:w="12240" w:h="15840"/>
          <w:pgMar w:top="1380" w:right="1080" w:bottom="280" w:left="1080" w:header="720" w:footer="720" w:gutter="0"/>
          <w:cols w:space="720"/>
        </w:sectPr>
      </w:pPr>
    </w:p>
    <w:p w14:paraId="7E00178B" w14:textId="77777777" w:rsidR="009A58DB" w:rsidRDefault="00000000">
      <w:pPr>
        <w:pStyle w:val="BodyText"/>
        <w:spacing w:before="65" w:line="249" w:lineRule="auto"/>
        <w:ind w:right="357"/>
      </w:pPr>
      <w:r>
        <w:lastRenderedPageBreak/>
        <w:t xml:space="preserve">CR is an example of a </w:t>
      </w:r>
      <w:r>
        <w:rPr>
          <w:i/>
        </w:rPr>
        <w:t xml:space="preserve">conceptual analysis. </w:t>
      </w:r>
      <w:r>
        <w:t>A conceptual analysis is a statement that lays bare the structure of a concept.</w:t>
      </w:r>
    </w:p>
    <w:p w14:paraId="7E00178C" w14:textId="77777777" w:rsidR="009A58DB" w:rsidRDefault="00000000">
      <w:pPr>
        <w:pStyle w:val="BodyText"/>
        <w:spacing w:before="2" w:line="252" w:lineRule="auto"/>
        <w:ind w:right="358" w:firstLine="360"/>
      </w:pPr>
      <w:r>
        <w:t>According to G.E. Moore, it is paradoxical to suppose that conceptual analyses can be informative. There is, he says, a “paradox of analysis.” Moore’s</w:t>
      </w:r>
      <w:r>
        <w:rPr>
          <w:spacing w:val="-2"/>
        </w:rPr>
        <w:t xml:space="preserve"> </w:t>
      </w:r>
      <w:r>
        <w:t>reasoning</w:t>
      </w:r>
      <w:r>
        <w:rPr>
          <w:spacing w:val="-1"/>
        </w:rPr>
        <w:t xml:space="preserve"> </w:t>
      </w:r>
      <w:r>
        <w:t>seems</w:t>
      </w:r>
      <w:r>
        <w:rPr>
          <w:spacing w:val="-2"/>
        </w:rPr>
        <w:t xml:space="preserve"> </w:t>
      </w:r>
      <w:r>
        <w:t>to</w:t>
      </w:r>
      <w:r>
        <w:rPr>
          <w:spacing w:val="-1"/>
        </w:rPr>
        <w:t xml:space="preserve"> </w:t>
      </w:r>
      <w:r>
        <w:t>be</w:t>
      </w:r>
      <w:r>
        <w:rPr>
          <w:spacing w:val="-2"/>
        </w:rPr>
        <w:t xml:space="preserve"> </w:t>
      </w:r>
      <w:r>
        <w:t>this.</w:t>
      </w:r>
      <w:r>
        <w:rPr>
          <w:spacing w:val="-1"/>
        </w:rPr>
        <w:t xml:space="preserve"> </w:t>
      </w:r>
      <w:r>
        <w:t>The</w:t>
      </w:r>
      <w:r>
        <w:rPr>
          <w:spacing w:val="-2"/>
        </w:rPr>
        <w:t xml:space="preserve"> </w:t>
      </w:r>
      <w:r>
        <w:t>sentence</w:t>
      </w:r>
      <w:r>
        <w:rPr>
          <w:spacing w:val="-2"/>
        </w:rPr>
        <w:t xml:space="preserve"> </w:t>
      </w:r>
      <w:r>
        <w:t>“water</w:t>
      </w:r>
      <w:r>
        <w:rPr>
          <w:spacing w:val="-2"/>
        </w:rPr>
        <w:t xml:space="preserve"> </w:t>
      </w:r>
      <w:r>
        <w:t>is</w:t>
      </w:r>
      <w:r>
        <w:rPr>
          <w:spacing w:val="-2"/>
        </w:rPr>
        <w:t xml:space="preserve"> </w:t>
      </w:r>
      <w:r>
        <w:rPr>
          <w:sz w:val="34"/>
        </w:rPr>
        <w:t>H</w:t>
      </w:r>
      <w:r>
        <w:rPr>
          <w:sz w:val="34"/>
          <w:vertAlign w:val="subscript"/>
        </w:rPr>
        <w:t>2</w:t>
      </w:r>
      <w:r>
        <w:rPr>
          <w:sz w:val="34"/>
        </w:rPr>
        <w:t>O” expresses an analysis of water. In that sentence, the words flanking the “is” refer to the same substance. If th</w:t>
      </w:r>
      <w:r>
        <w:t>ey didn’t, that sentence wouldn’t</w:t>
      </w:r>
      <w:r>
        <w:rPr>
          <w:spacing w:val="80"/>
        </w:rPr>
        <w:t xml:space="preserve"> </w:t>
      </w:r>
      <w:r>
        <w:t>express a correct analysis. For the same reason, the expressions flanking the “iff” in a sentence express a conceptual analysis must refer to the same concept. But if they did, then CR would be trivial, like CC, and thus fail to be an analysis.</w:t>
      </w:r>
    </w:p>
    <w:p w14:paraId="7E00178D" w14:textId="77777777" w:rsidR="009A58DB" w:rsidRDefault="00000000">
      <w:pPr>
        <w:spacing w:before="8" w:line="254" w:lineRule="auto"/>
        <w:ind w:left="360" w:right="358" w:firstLine="360"/>
        <w:jc w:val="both"/>
        <w:rPr>
          <w:sz w:val="30"/>
        </w:rPr>
      </w:pPr>
      <w:r>
        <w:rPr>
          <w:sz w:val="34"/>
        </w:rPr>
        <w:t>This is not good reasoning. True—“water is H</w:t>
      </w:r>
      <w:r>
        <w:rPr>
          <w:sz w:val="34"/>
          <w:vertAlign w:val="subscript"/>
        </w:rPr>
        <w:t>2</w:t>
      </w:r>
      <w:r>
        <w:rPr>
          <w:sz w:val="34"/>
        </w:rPr>
        <w:t>O” expresses a “chemical analysis”; and, in it, the two words flan</w:t>
      </w:r>
      <w:r>
        <w:rPr>
          <w:sz w:val="30"/>
        </w:rPr>
        <w:t>king the “is” co-refer.</w:t>
      </w:r>
      <w:r>
        <w:rPr>
          <w:spacing w:val="-2"/>
          <w:sz w:val="30"/>
        </w:rPr>
        <w:t xml:space="preserve"> </w:t>
      </w:r>
      <w:r>
        <w:rPr>
          <w:sz w:val="30"/>
        </w:rPr>
        <w:t>True—CR</w:t>
      </w:r>
      <w:r>
        <w:rPr>
          <w:spacing w:val="-2"/>
          <w:sz w:val="30"/>
        </w:rPr>
        <w:t xml:space="preserve"> </w:t>
      </w:r>
      <w:r>
        <w:rPr>
          <w:sz w:val="30"/>
        </w:rPr>
        <w:t>expresses</w:t>
      </w:r>
      <w:r>
        <w:rPr>
          <w:spacing w:val="-2"/>
          <w:sz w:val="30"/>
        </w:rPr>
        <w:t xml:space="preserve"> </w:t>
      </w:r>
      <w:r>
        <w:rPr>
          <w:sz w:val="30"/>
        </w:rPr>
        <w:t>a</w:t>
      </w:r>
      <w:r>
        <w:rPr>
          <w:spacing w:val="-2"/>
          <w:sz w:val="30"/>
        </w:rPr>
        <w:t xml:space="preserve"> </w:t>
      </w:r>
      <w:r>
        <w:rPr>
          <w:sz w:val="30"/>
        </w:rPr>
        <w:t>“conceptual</w:t>
      </w:r>
      <w:r>
        <w:rPr>
          <w:spacing w:val="-2"/>
          <w:sz w:val="30"/>
        </w:rPr>
        <w:t xml:space="preserve"> </w:t>
      </w:r>
      <w:r>
        <w:rPr>
          <w:sz w:val="30"/>
        </w:rPr>
        <w:t>analysis.”</w:t>
      </w:r>
      <w:r>
        <w:rPr>
          <w:spacing w:val="-2"/>
          <w:sz w:val="30"/>
        </w:rPr>
        <w:t xml:space="preserve"> </w:t>
      </w:r>
      <w:r>
        <w:rPr>
          <w:sz w:val="30"/>
        </w:rPr>
        <w:t>But</w:t>
      </w:r>
      <w:r>
        <w:rPr>
          <w:spacing w:val="-2"/>
          <w:sz w:val="30"/>
        </w:rPr>
        <w:t xml:space="preserve"> </w:t>
      </w:r>
      <w:r>
        <w:rPr>
          <w:sz w:val="30"/>
        </w:rPr>
        <w:t>it</w:t>
      </w:r>
      <w:r>
        <w:rPr>
          <w:spacing w:val="-2"/>
          <w:sz w:val="30"/>
        </w:rPr>
        <w:t xml:space="preserve"> </w:t>
      </w:r>
      <w:r>
        <w:rPr>
          <w:sz w:val="30"/>
        </w:rPr>
        <w:t>doesn’t</w:t>
      </w:r>
      <w:r>
        <w:rPr>
          <w:spacing w:val="-2"/>
          <w:sz w:val="30"/>
        </w:rPr>
        <w:t xml:space="preserve"> </w:t>
      </w:r>
      <w:r>
        <w:rPr>
          <w:sz w:val="30"/>
        </w:rPr>
        <w:t>follow</w:t>
      </w:r>
      <w:r>
        <w:rPr>
          <w:spacing w:val="-2"/>
          <w:sz w:val="30"/>
        </w:rPr>
        <w:t xml:space="preserve"> </w:t>
      </w:r>
      <w:r>
        <w:rPr>
          <w:sz w:val="30"/>
        </w:rPr>
        <w:t>that, in it, the expressions flanking the “iff” must co-refer. Moore’s reasoning is comparable to that of somebody who thinks that, since so and so isn’t interested in having “legal” (law-related) discussions, so and so has no wish to have “legal” (law-permitted) discussions.</w:t>
      </w:r>
    </w:p>
    <w:p w14:paraId="7E00178E" w14:textId="77777777" w:rsidR="009A58DB" w:rsidRDefault="00000000">
      <w:pPr>
        <w:pStyle w:val="BodyText"/>
        <w:spacing w:before="5" w:line="249" w:lineRule="auto"/>
        <w:ind w:right="369" w:firstLine="360"/>
      </w:pPr>
      <w:r>
        <w:t>In any case, Moore’s paradox is easily enough dissolved. The truth that one grasps in virtue of knowing that:</w:t>
      </w:r>
    </w:p>
    <w:p w14:paraId="7E00178F" w14:textId="77777777" w:rsidR="009A58DB" w:rsidRDefault="009A58DB">
      <w:pPr>
        <w:pStyle w:val="BodyText"/>
        <w:spacing w:before="17"/>
        <w:ind w:left="0"/>
        <w:jc w:val="left"/>
      </w:pPr>
    </w:p>
    <w:p w14:paraId="7E001790" w14:textId="77777777" w:rsidR="009A58DB" w:rsidRDefault="00000000">
      <w:pPr>
        <w:pStyle w:val="ListParagraph"/>
        <w:numPr>
          <w:ilvl w:val="0"/>
          <w:numId w:val="128"/>
        </w:numPr>
        <w:tabs>
          <w:tab w:val="left" w:pos="715"/>
        </w:tabs>
        <w:spacing w:before="1"/>
        <w:ind w:left="715" w:hanging="355"/>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2"/>
          <w:sz w:val="30"/>
        </w:rPr>
        <w:t>circle</w:t>
      </w:r>
    </w:p>
    <w:p w14:paraId="7E001791" w14:textId="77777777" w:rsidR="009A58DB" w:rsidRDefault="009A58DB">
      <w:pPr>
        <w:pStyle w:val="BodyText"/>
        <w:spacing w:before="29"/>
        <w:ind w:left="0"/>
        <w:jc w:val="left"/>
      </w:pPr>
    </w:p>
    <w:p w14:paraId="7E001792" w14:textId="77777777" w:rsidR="009A58DB" w:rsidRDefault="00000000">
      <w:pPr>
        <w:pStyle w:val="BodyText"/>
        <w:spacing w:before="1"/>
      </w:pPr>
      <w:r>
        <w:t>is</w:t>
      </w:r>
      <w:r>
        <w:rPr>
          <w:spacing w:val="-5"/>
        </w:rPr>
        <w:t xml:space="preserve"> </w:t>
      </w:r>
      <w:r>
        <w:t>different</w:t>
      </w:r>
      <w:r>
        <w:rPr>
          <w:spacing w:val="-3"/>
        </w:rPr>
        <w:t xml:space="preserve"> </w:t>
      </w:r>
      <w:r>
        <w:t>from</w:t>
      </w:r>
      <w:r>
        <w:rPr>
          <w:spacing w:val="-3"/>
        </w:rPr>
        <w:t xml:space="preserve"> </w:t>
      </w:r>
      <w:r>
        <w:t>the</w:t>
      </w:r>
      <w:r>
        <w:rPr>
          <w:spacing w:val="-3"/>
        </w:rPr>
        <w:t xml:space="preserve"> </w:t>
      </w:r>
      <w:r>
        <w:t>truth</w:t>
      </w:r>
      <w:r>
        <w:rPr>
          <w:spacing w:val="-2"/>
        </w:rPr>
        <w:t xml:space="preserve"> </w:t>
      </w:r>
      <w:r>
        <w:t>that</w:t>
      </w:r>
      <w:r>
        <w:rPr>
          <w:spacing w:val="-3"/>
        </w:rPr>
        <w:t xml:space="preserve"> </w:t>
      </w:r>
      <w:r>
        <w:t>one</w:t>
      </w:r>
      <w:r>
        <w:rPr>
          <w:spacing w:val="-3"/>
        </w:rPr>
        <w:t xml:space="preserve"> </w:t>
      </w:r>
      <w:r>
        <w:t>grasps</w:t>
      </w:r>
      <w:r>
        <w:rPr>
          <w:spacing w:val="-3"/>
        </w:rPr>
        <w:t xml:space="preserve"> </w:t>
      </w:r>
      <w:r>
        <w:t>in</w:t>
      </w:r>
      <w:r>
        <w:rPr>
          <w:spacing w:val="-2"/>
        </w:rPr>
        <w:t xml:space="preserve"> </w:t>
      </w:r>
      <w:r>
        <w:t>virtue</w:t>
      </w:r>
      <w:r>
        <w:rPr>
          <w:spacing w:val="-3"/>
        </w:rPr>
        <w:t xml:space="preserve"> </w:t>
      </w:r>
      <w:r>
        <w:t>of</w:t>
      </w:r>
      <w:r>
        <w:rPr>
          <w:spacing w:val="-3"/>
        </w:rPr>
        <w:t xml:space="preserve"> </w:t>
      </w:r>
      <w:r>
        <w:t>knowing</w:t>
      </w:r>
      <w:r>
        <w:rPr>
          <w:spacing w:val="-2"/>
        </w:rPr>
        <w:t xml:space="preserve"> that:</w:t>
      </w:r>
    </w:p>
    <w:p w14:paraId="7E001793" w14:textId="77777777" w:rsidR="009A58DB" w:rsidRDefault="009A58DB">
      <w:pPr>
        <w:pStyle w:val="BodyText"/>
        <w:spacing w:before="29"/>
        <w:ind w:left="0"/>
        <w:jc w:val="left"/>
      </w:pPr>
    </w:p>
    <w:p w14:paraId="7E001794" w14:textId="77777777" w:rsidR="009A58DB" w:rsidRDefault="00000000">
      <w:pPr>
        <w:pStyle w:val="ListParagraph"/>
        <w:numPr>
          <w:ilvl w:val="0"/>
          <w:numId w:val="128"/>
        </w:numPr>
        <w:tabs>
          <w:tab w:val="left" w:pos="797"/>
        </w:tabs>
        <w:spacing w:before="1"/>
        <w:ind w:left="797" w:hanging="437"/>
        <w:rPr>
          <w:sz w:val="30"/>
        </w:rPr>
      </w:pPr>
      <w:r>
        <w:rPr>
          <w:sz w:val="30"/>
        </w:rPr>
        <w:t>x</w:t>
      </w:r>
      <w:r>
        <w:rPr>
          <w:spacing w:val="-5"/>
          <w:sz w:val="30"/>
        </w:rPr>
        <w:t xml:space="preserve"> </w:t>
      </w:r>
      <w:r>
        <w:rPr>
          <w:sz w:val="30"/>
        </w:rPr>
        <w:t>is</w:t>
      </w:r>
      <w:r>
        <w:rPr>
          <w:spacing w:val="-3"/>
          <w:sz w:val="30"/>
        </w:rPr>
        <w:t xml:space="preserve"> </w:t>
      </w:r>
      <w:r>
        <w:rPr>
          <w:sz w:val="30"/>
        </w:rPr>
        <w:t>a</w:t>
      </w:r>
      <w:r>
        <w:rPr>
          <w:spacing w:val="-3"/>
          <w:sz w:val="30"/>
        </w:rPr>
        <w:t xml:space="preserve"> </w:t>
      </w:r>
      <w:r>
        <w:rPr>
          <w:sz w:val="30"/>
        </w:rPr>
        <w:t>two-dimensional</w:t>
      </w:r>
      <w:r>
        <w:rPr>
          <w:spacing w:val="-4"/>
          <w:sz w:val="30"/>
        </w:rPr>
        <w:t xml:space="preserve"> </w:t>
      </w:r>
      <w:r>
        <w:rPr>
          <w:sz w:val="30"/>
        </w:rPr>
        <w:t>figure</w:t>
      </w:r>
      <w:r>
        <w:rPr>
          <w:spacing w:val="-3"/>
          <w:sz w:val="30"/>
        </w:rPr>
        <w:t xml:space="preserve"> </w:t>
      </w:r>
      <w:r>
        <w:rPr>
          <w:sz w:val="30"/>
        </w:rPr>
        <w:t>of</w:t>
      </w:r>
      <w:r>
        <w:rPr>
          <w:spacing w:val="-3"/>
          <w:sz w:val="30"/>
        </w:rPr>
        <w:t xml:space="preserve"> </w:t>
      </w:r>
      <w:r>
        <w:rPr>
          <w:sz w:val="30"/>
        </w:rPr>
        <w:t>uniform</w:t>
      </w:r>
      <w:r>
        <w:rPr>
          <w:spacing w:val="-3"/>
          <w:sz w:val="30"/>
        </w:rPr>
        <w:t xml:space="preserve"> </w:t>
      </w:r>
      <w:r>
        <w:rPr>
          <w:spacing w:val="-2"/>
          <w:sz w:val="30"/>
        </w:rPr>
        <w:t>curvature.</w:t>
      </w:r>
    </w:p>
    <w:p w14:paraId="7E001795" w14:textId="77777777" w:rsidR="009A58DB" w:rsidRDefault="009A58DB">
      <w:pPr>
        <w:pStyle w:val="BodyText"/>
        <w:spacing w:before="30"/>
        <w:ind w:left="0"/>
        <w:jc w:val="left"/>
      </w:pPr>
    </w:p>
    <w:p w14:paraId="7E001796" w14:textId="77777777" w:rsidR="009A58DB" w:rsidRDefault="00000000">
      <w:pPr>
        <w:pStyle w:val="BodyText"/>
        <w:spacing w:line="249" w:lineRule="auto"/>
        <w:ind w:right="359" w:firstLine="360"/>
      </w:pPr>
      <w:r>
        <w:t xml:space="preserve">Both of those truths describe the same </w:t>
      </w:r>
      <w:r>
        <w:rPr>
          <w:i/>
        </w:rPr>
        <w:t>fact</w:t>
      </w:r>
      <w:r>
        <w:t>—the fact that a certain object has a certain shape. But a given fact can obviously be described in different, but equally correct ways. The fact that x is a triangle can be described by saying that x is the area bounded by three straight edges, any two of which intersect, but not all of three of which do so. And that same fact can be described by saying that x is a three-sided, straight-edged, closed, planar figure. And:</w:t>
      </w:r>
    </w:p>
    <w:p w14:paraId="7E00179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798" w14:textId="77777777" w:rsidR="009A58DB" w:rsidRDefault="00000000">
      <w:pPr>
        <w:pStyle w:val="ListParagraph"/>
        <w:numPr>
          <w:ilvl w:val="0"/>
          <w:numId w:val="128"/>
        </w:numPr>
        <w:tabs>
          <w:tab w:val="left" w:pos="880"/>
        </w:tabs>
        <w:spacing w:before="65" w:line="249" w:lineRule="auto"/>
        <w:ind w:left="360" w:right="359" w:firstLine="0"/>
        <w:jc w:val="both"/>
        <w:rPr>
          <w:sz w:val="30"/>
        </w:rPr>
      </w:pPr>
      <w:r>
        <w:rPr>
          <w:sz w:val="30"/>
        </w:rPr>
        <w:lastRenderedPageBreak/>
        <w:t>x</w:t>
      </w:r>
      <w:r>
        <w:rPr>
          <w:spacing w:val="-2"/>
          <w:sz w:val="30"/>
        </w:rPr>
        <w:t xml:space="preserve"> </w:t>
      </w:r>
      <w:r>
        <w:rPr>
          <w:sz w:val="30"/>
        </w:rPr>
        <w:t>is</w:t>
      </w:r>
      <w:r>
        <w:rPr>
          <w:spacing w:val="-2"/>
          <w:sz w:val="30"/>
        </w:rPr>
        <w:t xml:space="preserve"> </w:t>
      </w:r>
      <w:r>
        <w:rPr>
          <w:sz w:val="30"/>
        </w:rPr>
        <w:t>a</w:t>
      </w:r>
      <w:r>
        <w:rPr>
          <w:spacing w:val="-2"/>
          <w:sz w:val="30"/>
        </w:rPr>
        <w:t xml:space="preserve"> </w:t>
      </w:r>
      <w:r>
        <w:rPr>
          <w:sz w:val="30"/>
        </w:rPr>
        <w:t>triangle</w:t>
      </w:r>
      <w:r>
        <w:rPr>
          <w:spacing w:val="-2"/>
          <w:sz w:val="30"/>
        </w:rPr>
        <w:t xml:space="preserve"> </w:t>
      </w:r>
      <w:r>
        <w:rPr>
          <w:sz w:val="30"/>
        </w:rPr>
        <w:t>iff</w:t>
      </w:r>
      <w:r>
        <w:rPr>
          <w:spacing w:val="-2"/>
          <w:sz w:val="30"/>
        </w:rPr>
        <w:t xml:space="preserve"> </w:t>
      </w:r>
      <w:r>
        <w:rPr>
          <w:sz w:val="30"/>
        </w:rPr>
        <w:t>x</w:t>
      </w:r>
      <w:r>
        <w:rPr>
          <w:spacing w:val="-2"/>
          <w:sz w:val="30"/>
        </w:rPr>
        <w:t xml:space="preserve"> </w:t>
      </w:r>
      <w:r>
        <w:rPr>
          <w:sz w:val="30"/>
        </w:rPr>
        <w:t>is</w:t>
      </w:r>
      <w:r>
        <w:rPr>
          <w:spacing w:val="-2"/>
          <w:sz w:val="30"/>
        </w:rPr>
        <w:t xml:space="preserve"> </w:t>
      </w:r>
      <w:r>
        <w:rPr>
          <w:sz w:val="30"/>
        </w:rPr>
        <w:t>the</w:t>
      </w:r>
      <w:r>
        <w:rPr>
          <w:spacing w:val="-2"/>
          <w:sz w:val="30"/>
        </w:rPr>
        <w:t xml:space="preserve"> </w:t>
      </w:r>
      <w:r>
        <w:rPr>
          <w:sz w:val="30"/>
        </w:rPr>
        <w:t>area</w:t>
      </w:r>
      <w:r>
        <w:rPr>
          <w:spacing w:val="-2"/>
          <w:sz w:val="30"/>
        </w:rPr>
        <w:t xml:space="preserve"> </w:t>
      </w:r>
      <w:r>
        <w:rPr>
          <w:sz w:val="30"/>
        </w:rPr>
        <w:t>bounded</w:t>
      </w:r>
      <w:r>
        <w:rPr>
          <w:spacing w:val="-2"/>
          <w:sz w:val="30"/>
        </w:rPr>
        <w:t xml:space="preserve"> </w:t>
      </w:r>
      <w:r>
        <w:rPr>
          <w:sz w:val="30"/>
        </w:rPr>
        <w:t>by</w:t>
      </w:r>
      <w:r>
        <w:rPr>
          <w:spacing w:val="-2"/>
          <w:sz w:val="30"/>
        </w:rPr>
        <w:t xml:space="preserve"> </w:t>
      </w:r>
      <w:r>
        <w:rPr>
          <w:sz w:val="30"/>
        </w:rPr>
        <w:t>three</w:t>
      </w:r>
      <w:r>
        <w:rPr>
          <w:spacing w:val="-2"/>
          <w:sz w:val="30"/>
        </w:rPr>
        <w:t xml:space="preserve"> </w:t>
      </w:r>
      <w:r>
        <w:rPr>
          <w:sz w:val="30"/>
        </w:rPr>
        <w:t>straight</w:t>
      </w:r>
      <w:r>
        <w:rPr>
          <w:spacing w:val="-2"/>
          <w:sz w:val="30"/>
        </w:rPr>
        <w:t xml:space="preserve"> </w:t>
      </w:r>
      <w:r>
        <w:rPr>
          <w:sz w:val="30"/>
        </w:rPr>
        <w:t>edges,</w:t>
      </w:r>
      <w:r>
        <w:rPr>
          <w:spacing w:val="-2"/>
          <w:sz w:val="30"/>
        </w:rPr>
        <w:t xml:space="preserve"> </w:t>
      </w:r>
      <w:r>
        <w:rPr>
          <w:sz w:val="30"/>
        </w:rPr>
        <w:t>any</w:t>
      </w:r>
      <w:r>
        <w:rPr>
          <w:spacing w:val="-2"/>
          <w:sz w:val="30"/>
        </w:rPr>
        <w:t xml:space="preserve"> </w:t>
      </w:r>
      <w:r>
        <w:rPr>
          <w:sz w:val="30"/>
        </w:rPr>
        <w:t>two</w:t>
      </w:r>
      <w:r>
        <w:rPr>
          <w:spacing w:val="-2"/>
          <w:sz w:val="30"/>
        </w:rPr>
        <w:t xml:space="preserve"> </w:t>
      </w:r>
      <w:r>
        <w:rPr>
          <w:sz w:val="30"/>
        </w:rPr>
        <w:t>of which intersect, but not all of three of which do so iff x is a three-sided, straight-edged, closed, planar figure</w:t>
      </w:r>
    </w:p>
    <w:p w14:paraId="7E001799" w14:textId="77777777" w:rsidR="009A58DB" w:rsidRDefault="009A58DB">
      <w:pPr>
        <w:pStyle w:val="BodyText"/>
        <w:spacing w:before="18"/>
        <w:ind w:left="0"/>
        <w:jc w:val="left"/>
      </w:pPr>
    </w:p>
    <w:p w14:paraId="7E00179A" w14:textId="77777777" w:rsidR="009A58DB" w:rsidRDefault="00000000">
      <w:pPr>
        <w:pStyle w:val="BodyText"/>
        <w:spacing w:line="249" w:lineRule="auto"/>
        <w:ind w:right="366"/>
      </w:pPr>
      <w:r>
        <w:t>is just another way of saying that there are three different ways of describing x’s shape.</w:t>
      </w:r>
    </w:p>
    <w:p w14:paraId="7E00179B" w14:textId="77777777" w:rsidR="009A58DB" w:rsidRDefault="00000000">
      <w:pPr>
        <w:pStyle w:val="Heading1"/>
        <w:numPr>
          <w:ilvl w:val="1"/>
          <w:numId w:val="127"/>
        </w:numPr>
        <w:tabs>
          <w:tab w:val="left" w:pos="1200"/>
        </w:tabs>
        <w:spacing w:before="191"/>
        <w:jc w:val="both"/>
      </w:pPr>
      <w:r>
        <w:t>Justification</w:t>
      </w:r>
      <w:r>
        <w:rPr>
          <w:spacing w:val="-6"/>
        </w:rPr>
        <w:t xml:space="preserve"> </w:t>
      </w:r>
      <w:r>
        <w:t>vs.</w:t>
      </w:r>
      <w:r>
        <w:rPr>
          <w:spacing w:val="-5"/>
        </w:rPr>
        <w:t xml:space="preserve"> </w:t>
      </w:r>
      <w:r>
        <w:rPr>
          <w:spacing w:val="-2"/>
        </w:rPr>
        <w:t>discovery</w:t>
      </w:r>
    </w:p>
    <w:p w14:paraId="7E00179C" w14:textId="77777777" w:rsidR="009A58DB" w:rsidRDefault="00000000">
      <w:pPr>
        <w:pStyle w:val="BodyText"/>
        <w:spacing w:before="139"/>
      </w:pPr>
      <w:r>
        <w:t>The</w:t>
      </w:r>
      <w:r>
        <w:rPr>
          <w:spacing w:val="-2"/>
        </w:rPr>
        <w:t xml:space="preserve"> question:</w:t>
      </w:r>
    </w:p>
    <w:p w14:paraId="7E00179D" w14:textId="77777777" w:rsidR="009A58DB" w:rsidRDefault="009A58DB">
      <w:pPr>
        <w:pStyle w:val="BodyText"/>
        <w:spacing w:before="30"/>
        <w:ind w:left="0"/>
        <w:jc w:val="left"/>
      </w:pPr>
    </w:p>
    <w:p w14:paraId="7E00179E" w14:textId="77777777" w:rsidR="009A58DB" w:rsidRDefault="00000000">
      <w:pPr>
        <w:pStyle w:val="ListParagraph"/>
        <w:numPr>
          <w:ilvl w:val="0"/>
          <w:numId w:val="125"/>
        </w:numPr>
        <w:tabs>
          <w:tab w:val="left" w:pos="1201"/>
        </w:tabs>
        <w:spacing w:line="249" w:lineRule="auto"/>
        <w:ind w:right="940" w:firstLine="360"/>
        <w:rPr>
          <w:sz w:val="30"/>
        </w:rPr>
      </w:pPr>
      <w:r>
        <w:rPr>
          <w:sz w:val="30"/>
        </w:rPr>
        <w:t>What</w:t>
      </w:r>
      <w:r>
        <w:rPr>
          <w:spacing w:val="40"/>
          <w:sz w:val="30"/>
        </w:rPr>
        <w:t xml:space="preserve"> </w:t>
      </w:r>
      <w:r>
        <w:rPr>
          <w:sz w:val="30"/>
        </w:rPr>
        <w:t>events</w:t>
      </w:r>
      <w:r>
        <w:rPr>
          <w:spacing w:val="40"/>
          <w:sz w:val="30"/>
        </w:rPr>
        <w:t xml:space="preserve"> </w:t>
      </w:r>
      <w:r>
        <w:rPr>
          <w:sz w:val="30"/>
        </w:rPr>
        <w:t>in</w:t>
      </w:r>
      <w:r>
        <w:rPr>
          <w:spacing w:val="40"/>
          <w:sz w:val="30"/>
        </w:rPr>
        <w:t xml:space="preserve"> </w:t>
      </w:r>
      <w:r>
        <w:rPr>
          <w:sz w:val="30"/>
        </w:rPr>
        <w:t>Newton’s</w:t>
      </w:r>
      <w:r>
        <w:rPr>
          <w:spacing w:val="40"/>
          <w:sz w:val="30"/>
        </w:rPr>
        <w:t xml:space="preserve"> </w:t>
      </w:r>
      <w:r>
        <w:rPr>
          <w:sz w:val="30"/>
        </w:rPr>
        <w:t>mind</w:t>
      </w:r>
      <w:r>
        <w:rPr>
          <w:spacing w:val="40"/>
          <w:sz w:val="30"/>
        </w:rPr>
        <w:t xml:space="preserve"> </w:t>
      </w:r>
      <w:r>
        <w:rPr>
          <w:sz w:val="30"/>
        </w:rPr>
        <w:t>led</w:t>
      </w:r>
      <w:r>
        <w:rPr>
          <w:spacing w:val="40"/>
          <w:sz w:val="30"/>
        </w:rPr>
        <w:t xml:space="preserve"> </w:t>
      </w:r>
      <w:r>
        <w:rPr>
          <w:sz w:val="30"/>
        </w:rPr>
        <w:t>to</w:t>
      </w:r>
      <w:r>
        <w:rPr>
          <w:spacing w:val="40"/>
          <w:sz w:val="30"/>
        </w:rPr>
        <w:t xml:space="preserve"> </w:t>
      </w:r>
      <w:r>
        <w:rPr>
          <w:sz w:val="30"/>
        </w:rPr>
        <w:t>his</w:t>
      </w:r>
      <w:r>
        <w:rPr>
          <w:spacing w:val="40"/>
          <w:sz w:val="30"/>
        </w:rPr>
        <w:t xml:space="preserve"> </w:t>
      </w:r>
      <w:r>
        <w:rPr>
          <w:sz w:val="30"/>
        </w:rPr>
        <w:t>coming</w:t>
      </w:r>
      <w:r>
        <w:rPr>
          <w:spacing w:val="40"/>
          <w:sz w:val="30"/>
        </w:rPr>
        <w:t xml:space="preserve"> </w:t>
      </w:r>
      <w:r>
        <w:rPr>
          <w:sz w:val="30"/>
        </w:rPr>
        <w:t>up</w:t>
      </w:r>
      <w:r>
        <w:rPr>
          <w:spacing w:val="40"/>
          <w:sz w:val="30"/>
        </w:rPr>
        <w:t xml:space="preserve"> </w:t>
      </w:r>
      <w:r>
        <w:rPr>
          <w:sz w:val="30"/>
        </w:rPr>
        <w:t>with</w:t>
      </w:r>
      <w:r>
        <w:rPr>
          <w:spacing w:val="40"/>
          <w:sz w:val="30"/>
        </w:rPr>
        <w:t xml:space="preserve"> </w:t>
      </w:r>
      <w:r>
        <w:rPr>
          <w:sz w:val="30"/>
        </w:rPr>
        <w:t>his theory of gravitation?</w:t>
      </w:r>
    </w:p>
    <w:p w14:paraId="7E00179F" w14:textId="77777777" w:rsidR="009A58DB" w:rsidRDefault="009A58DB">
      <w:pPr>
        <w:pStyle w:val="BodyText"/>
        <w:spacing w:before="17"/>
        <w:ind w:left="0"/>
        <w:jc w:val="left"/>
      </w:pPr>
    </w:p>
    <w:p w14:paraId="7E0017A0" w14:textId="77777777" w:rsidR="009A58DB" w:rsidRDefault="00000000">
      <w:pPr>
        <w:pStyle w:val="BodyText"/>
      </w:pPr>
      <w:r>
        <w:t>must</w:t>
      </w:r>
      <w:r>
        <w:rPr>
          <w:spacing w:val="-4"/>
        </w:rPr>
        <w:t xml:space="preserve"> </w:t>
      </w:r>
      <w:r>
        <w:t>be</w:t>
      </w:r>
      <w:r>
        <w:rPr>
          <w:spacing w:val="-3"/>
        </w:rPr>
        <w:t xml:space="preserve"> </w:t>
      </w:r>
      <w:r>
        <w:t>distinguished</w:t>
      </w:r>
      <w:r>
        <w:rPr>
          <w:spacing w:val="-3"/>
        </w:rPr>
        <w:t xml:space="preserve"> </w:t>
      </w:r>
      <w:r>
        <w:t>from</w:t>
      </w:r>
      <w:r>
        <w:rPr>
          <w:spacing w:val="-3"/>
        </w:rPr>
        <w:t xml:space="preserve"> </w:t>
      </w:r>
      <w:r>
        <w:t>the</w:t>
      </w:r>
      <w:r>
        <w:rPr>
          <w:spacing w:val="-3"/>
        </w:rPr>
        <w:t xml:space="preserve"> </w:t>
      </w:r>
      <w:r>
        <w:rPr>
          <w:spacing w:val="-2"/>
        </w:rPr>
        <w:t>question:</w:t>
      </w:r>
    </w:p>
    <w:p w14:paraId="7E0017A1" w14:textId="77777777" w:rsidR="009A58DB" w:rsidRDefault="009A58DB">
      <w:pPr>
        <w:pStyle w:val="BodyText"/>
        <w:spacing w:before="30"/>
        <w:ind w:left="0"/>
        <w:jc w:val="left"/>
      </w:pPr>
    </w:p>
    <w:p w14:paraId="7E0017A2" w14:textId="77777777" w:rsidR="009A58DB" w:rsidRDefault="00000000">
      <w:pPr>
        <w:pStyle w:val="ListParagraph"/>
        <w:numPr>
          <w:ilvl w:val="0"/>
          <w:numId w:val="125"/>
        </w:numPr>
        <w:tabs>
          <w:tab w:val="left" w:pos="1142"/>
        </w:tabs>
        <w:ind w:left="1142" w:hanging="422"/>
        <w:rPr>
          <w:sz w:val="30"/>
        </w:rPr>
      </w:pPr>
      <w:r>
        <w:rPr>
          <w:sz w:val="30"/>
        </w:rPr>
        <w:t>What</w:t>
      </w:r>
      <w:r>
        <w:rPr>
          <w:spacing w:val="-4"/>
          <w:sz w:val="30"/>
        </w:rPr>
        <w:t xml:space="preserve"> </w:t>
      </w:r>
      <w:r>
        <w:rPr>
          <w:sz w:val="30"/>
        </w:rPr>
        <w:t>merit</w:t>
      </w:r>
      <w:r>
        <w:rPr>
          <w:spacing w:val="-3"/>
          <w:sz w:val="30"/>
        </w:rPr>
        <w:t xml:space="preserve"> </w:t>
      </w:r>
      <w:r>
        <w:rPr>
          <w:sz w:val="30"/>
        </w:rPr>
        <w:t>does</w:t>
      </w:r>
      <w:r>
        <w:rPr>
          <w:spacing w:val="-4"/>
          <w:sz w:val="30"/>
        </w:rPr>
        <w:t xml:space="preserve"> </w:t>
      </w:r>
      <w:r>
        <w:rPr>
          <w:sz w:val="30"/>
        </w:rPr>
        <w:t>that</w:t>
      </w:r>
      <w:r>
        <w:rPr>
          <w:spacing w:val="-3"/>
          <w:sz w:val="30"/>
        </w:rPr>
        <w:t xml:space="preserve"> </w:t>
      </w:r>
      <w:r>
        <w:rPr>
          <w:sz w:val="30"/>
        </w:rPr>
        <w:t>theory</w:t>
      </w:r>
      <w:r>
        <w:rPr>
          <w:spacing w:val="-2"/>
          <w:sz w:val="30"/>
        </w:rPr>
        <w:t xml:space="preserve"> </w:t>
      </w:r>
      <w:r>
        <w:rPr>
          <w:spacing w:val="-4"/>
          <w:sz w:val="30"/>
        </w:rPr>
        <w:t>have?</w:t>
      </w:r>
    </w:p>
    <w:p w14:paraId="7E0017A3" w14:textId="77777777" w:rsidR="009A58DB" w:rsidRDefault="009A58DB">
      <w:pPr>
        <w:pStyle w:val="BodyText"/>
        <w:spacing w:before="30"/>
        <w:ind w:left="0"/>
        <w:jc w:val="left"/>
      </w:pPr>
    </w:p>
    <w:p w14:paraId="7E0017A4" w14:textId="77777777" w:rsidR="009A58DB" w:rsidRDefault="00000000">
      <w:pPr>
        <w:pStyle w:val="BodyText"/>
        <w:spacing w:before="1" w:line="249" w:lineRule="auto"/>
        <w:ind w:right="359" w:firstLine="360"/>
      </w:pPr>
      <w:r>
        <w:t>One can know the answer to the one question without knowing the answer to the other. To know why Newton had such and such beliefs, I don’t need to know whether those beliefs are correct or otherwise meritorious, and to know whether those beliefs are correct or otherwise meritorious, I don’t need to know why Newton had them.</w:t>
      </w:r>
    </w:p>
    <w:p w14:paraId="7E0017A5" w14:textId="77777777" w:rsidR="009A58DB" w:rsidRDefault="00000000">
      <w:pPr>
        <w:pStyle w:val="BodyText"/>
        <w:spacing w:before="6" w:line="249" w:lineRule="auto"/>
        <w:ind w:right="364" w:firstLine="360"/>
      </w:pPr>
      <w:r>
        <w:t>Given a belief, the question “is it correct?” is to be distinguished from the question</w:t>
      </w:r>
      <w:r>
        <w:rPr>
          <w:spacing w:val="-3"/>
        </w:rPr>
        <w:t xml:space="preserve"> </w:t>
      </w:r>
      <w:r>
        <w:t>“how</w:t>
      </w:r>
      <w:r>
        <w:rPr>
          <w:spacing w:val="-4"/>
        </w:rPr>
        <w:t xml:space="preserve"> </w:t>
      </w:r>
      <w:r>
        <w:t>was</w:t>
      </w:r>
      <w:r>
        <w:rPr>
          <w:spacing w:val="-4"/>
        </w:rPr>
        <w:t xml:space="preserve"> </w:t>
      </w:r>
      <w:r>
        <w:t>it</w:t>
      </w:r>
      <w:r>
        <w:rPr>
          <w:spacing w:val="-4"/>
        </w:rPr>
        <w:t xml:space="preserve"> </w:t>
      </w:r>
      <w:r>
        <w:t>arrived</w:t>
      </w:r>
      <w:r>
        <w:rPr>
          <w:spacing w:val="-3"/>
        </w:rPr>
        <w:t xml:space="preserve"> </w:t>
      </w:r>
      <w:r>
        <w:t>at?”</w:t>
      </w:r>
      <w:r>
        <w:rPr>
          <w:spacing w:val="-4"/>
        </w:rPr>
        <w:t xml:space="preserve"> </w:t>
      </w:r>
      <w:r>
        <w:t>and</w:t>
      </w:r>
      <w:r>
        <w:rPr>
          <w:spacing w:val="-3"/>
        </w:rPr>
        <w:t xml:space="preserve"> </w:t>
      </w:r>
      <w:r>
        <w:t>knowing</w:t>
      </w:r>
      <w:r>
        <w:rPr>
          <w:spacing w:val="-3"/>
        </w:rPr>
        <w:t xml:space="preserve"> </w:t>
      </w:r>
      <w:r>
        <w:t>the</w:t>
      </w:r>
      <w:r>
        <w:rPr>
          <w:spacing w:val="-4"/>
        </w:rPr>
        <w:t xml:space="preserve"> </w:t>
      </w:r>
      <w:r>
        <w:t>answer</w:t>
      </w:r>
      <w:r>
        <w:rPr>
          <w:spacing w:val="-4"/>
        </w:rPr>
        <w:t xml:space="preserve"> </w:t>
      </w:r>
      <w:r>
        <w:t>to</w:t>
      </w:r>
      <w:r>
        <w:rPr>
          <w:spacing w:val="-3"/>
        </w:rPr>
        <w:t xml:space="preserve"> </w:t>
      </w:r>
      <w:r>
        <w:t>the</w:t>
      </w:r>
      <w:r>
        <w:rPr>
          <w:spacing w:val="-4"/>
        </w:rPr>
        <w:t xml:space="preserve"> </w:t>
      </w:r>
      <w:r>
        <w:t>one</w:t>
      </w:r>
      <w:r>
        <w:rPr>
          <w:spacing w:val="-4"/>
        </w:rPr>
        <w:t xml:space="preserve"> </w:t>
      </w:r>
      <w:r>
        <w:t>question doesn’t necessarily involve knowing the answer to the other.</w:t>
      </w:r>
    </w:p>
    <w:p w14:paraId="7E0017A6" w14:textId="77777777" w:rsidR="009A58DB" w:rsidRDefault="00000000">
      <w:pPr>
        <w:pStyle w:val="BodyText"/>
        <w:spacing w:before="3" w:line="249" w:lineRule="auto"/>
        <w:ind w:right="364" w:firstLine="360"/>
        <w:rPr>
          <w:position w:val="21"/>
        </w:rPr>
      </w:pPr>
      <w:r>
        <w:t>“Justification</w:t>
      </w:r>
      <w:r>
        <w:rPr>
          <w:spacing w:val="-3"/>
        </w:rPr>
        <w:t xml:space="preserve"> </w:t>
      </w:r>
      <w:r>
        <w:t>isn’t</w:t>
      </w:r>
      <w:r>
        <w:rPr>
          <w:spacing w:val="-3"/>
        </w:rPr>
        <w:t xml:space="preserve"> </w:t>
      </w:r>
      <w:r>
        <w:t>discovery.”</w:t>
      </w:r>
      <w:r>
        <w:rPr>
          <w:spacing w:val="-3"/>
        </w:rPr>
        <w:t xml:space="preserve"> </w:t>
      </w:r>
      <w:r>
        <w:t>Philosophers</w:t>
      </w:r>
      <w:r>
        <w:rPr>
          <w:spacing w:val="-3"/>
        </w:rPr>
        <w:t xml:space="preserve"> </w:t>
      </w:r>
      <w:r>
        <w:t>of</w:t>
      </w:r>
      <w:r>
        <w:rPr>
          <w:spacing w:val="-3"/>
        </w:rPr>
        <w:t xml:space="preserve"> </w:t>
      </w:r>
      <w:r>
        <w:t>science</w:t>
      </w:r>
      <w:r>
        <w:rPr>
          <w:spacing w:val="-3"/>
        </w:rPr>
        <w:t xml:space="preserve"> </w:t>
      </w:r>
      <w:r>
        <w:t>often</w:t>
      </w:r>
      <w:r>
        <w:rPr>
          <w:spacing w:val="-3"/>
        </w:rPr>
        <w:t xml:space="preserve"> </w:t>
      </w:r>
      <w:r>
        <w:t>say</w:t>
      </w:r>
      <w:r>
        <w:rPr>
          <w:spacing w:val="-3"/>
        </w:rPr>
        <w:t xml:space="preserve"> </w:t>
      </w:r>
      <w:r>
        <w:t>this.</w:t>
      </w:r>
      <w:r>
        <w:rPr>
          <w:spacing w:val="-3"/>
        </w:rPr>
        <w:t xml:space="preserve"> </w:t>
      </w:r>
      <w:r>
        <w:t>In</w:t>
      </w:r>
      <w:r>
        <w:rPr>
          <w:spacing w:val="-3"/>
        </w:rPr>
        <w:t xml:space="preserve"> </w:t>
      </w:r>
      <w:r>
        <w:t>so doing, they’re affirming the points just made</w:t>
      </w:r>
      <w:bookmarkStart w:id="299" w:name="_bookmark299"/>
      <w:bookmarkEnd w:id="299"/>
      <w:r>
        <w:t>.</w:t>
      </w:r>
      <w:r>
        <w:rPr>
          <w:color w:val="0562C1"/>
          <w:position w:val="21"/>
          <w:u w:val="single" w:color="0562C1"/>
        </w:rPr>
        <w:t>[197]</w:t>
      </w:r>
    </w:p>
    <w:p w14:paraId="7E0017A7" w14:textId="77777777" w:rsidR="009A58DB" w:rsidRDefault="00000000">
      <w:pPr>
        <w:pStyle w:val="Heading1"/>
        <w:numPr>
          <w:ilvl w:val="1"/>
          <w:numId w:val="127"/>
        </w:numPr>
        <w:tabs>
          <w:tab w:val="left" w:pos="1433"/>
        </w:tabs>
        <w:spacing w:before="206" w:line="244" w:lineRule="auto"/>
        <w:ind w:left="360" w:right="362" w:firstLine="0"/>
        <w:jc w:val="both"/>
      </w:pPr>
      <w:r>
        <w:t xml:space="preserve">The connection between justification and </w:t>
      </w:r>
      <w:r>
        <w:rPr>
          <w:spacing w:val="-2"/>
        </w:rPr>
        <w:t>discovery</w:t>
      </w:r>
    </w:p>
    <w:p w14:paraId="7E0017A8" w14:textId="77777777" w:rsidR="009A58DB" w:rsidRDefault="00000000">
      <w:pPr>
        <w:pStyle w:val="BodyText"/>
        <w:spacing w:before="132" w:line="249" w:lineRule="auto"/>
        <w:ind w:right="369"/>
      </w:pPr>
      <w:r>
        <w:t>Granting that an idea’s pedigree is to be distinguished from its merits, it’s misleading to say that justification isn’t discovery. To discover something is to</w:t>
      </w:r>
      <w:r>
        <w:rPr>
          <w:spacing w:val="13"/>
        </w:rPr>
        <w:t xml:space="preserve"> </w:t>
      </w:r>
      <w:r>
        <w:t>come</w:t>
      </w:r>
      <w:r>
        <w:rPr>
          <w:spacing w:val="14"/>
        </w:rPr>
        <w:t xml:space="preserve"> </w:t>
      </w:r>
      <w:r>
        <w:t>to</w:t>
      </w:r>
      <w:r>
        <w:rPr>
          <w:spacing w:val="13"/>
        </w:rPr>
        <w:t xml:space="preserve"> </w:t>
      </w:r>
      <w:r>
        <w:t>know</w:t>
      </w:r>
      <w:r>
        <w:rPr>
          <w:spacing w:val="14"/>
        </w:rPr>
        <w:t xml:space="preserve"> </w:t>
      </w:r>
      <w:r>
        <w:t>it.</w:t>
      </w:r>
      <w:r>
        <w:rPr>
          <w:spacing w:val="13"/>
        </w:rPr>
        <w:t xml:space="preserve"> </w:t>
      </w:r>
      <w:r>
        <w:t>Knowing</w:t>
      </w:r>
      <w:r>
        <w:rPr>
          <w:spacing w:val="14"/>
        </w:rPr>
        <w:t xml:space="preserve"> </w:t>
      </w:r>
      <w:r>
        <w:t>something</w:t>
      </w:r>
      <w:r>
        <w:rPr>
          <w:spacing w:val="13"/>
        </w:rPr>
        <w:t xml:space="preserve"> </w:t>
      </w:r>
      <w:r>
        <w:t>involves</w:t>
      </w:r>
      <w:r>
        <w:rPr>
          <w:spacing w:val="14"/>
        </w:rPr>
        <w:t xml:space="preserve"> </w:t>
      </w:r>
      <w:r>
        <w:t>having</w:t>
      </w:r>
      <w:r>
        <w:rPr>
          <w:spacing w:val="13"/>
        </w:rPr>
        <w:t xml:space="preserve"> </w:t>
      </w:r>
      <w:r>
        <w:t>a</w:t>
      </w:r>
      <w:r>
        <w:rPr>
          <w:spacing w:val="14"/>
        </w:rPr>
        <w:t xml:space="preserve"> </w:t>
      </w:r>
      <w:r>
        <w:t>justified</w:t>
      </w:r>
      <w:r>
        <w:rPr>
          <w:spacing w:val="13"/>
        </w:rPr>
        <w:t xml:space="preserve"> </w:t>
      </w:r>
      <w:r>
        <w:t>belief</w:t>
      </w:r>
      <w:r>
        <w:rPr>
          <w:spacing w:val="14"/>
        </w:rPr>
        <w:t xml:space="preserve"> </w:t>
      </w:r>
      <w:r>
        <w:rPr>
          <w:spacing w:val="-7"/>
        </w:rPr>
        <w:t>in</w:t>
      </w:r>
    </w:p>
    <w:p w14:paraId="7E0017A9"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7AA" w14:textId="77777777" w:rsidR="009A58DB" w:rsidRDefault="00000000">
      <w:pPr>
        <w:pStyle w:val="BodyText"/>
        <w:spacing w:before="70" w:line="249" w:lineRule="auto"/>
        <w:ind w:right="361"/>
      </w:pPr>
      <w:r>
        <w:lastRenderedPageBreak/>
        <w:t xml:space="preserve">it. The justification for that belief will be encoded in the thoughts that led to that belief. No justification, no knowledge. No knowledge, no discovery. Thus, justification </w:t>
      </w:r>
      <w:r>
        <w:rPr>
          <w:i/>
        </w:rPr>
        <w:t xml:space="preserve">is </w:t>
      </w:r>
      <w:r>
        <w:t>discovery—or at least a good part of it.</w:t>
      </w:r>
    </w:p>
    <w:p w14:paraId="7E0017AB" w14:textId="77777777" w:rsidR="009A58DB" w:rsidRDefault="00000000">
      <w:pPr>
        <w:pStyle w:val="BodyText"/>
        <w:spacing w:line="249" w:lineRule="auto"/>
        <w:ind w:right="362" w:firstLine="360"/>
      </w:pPr>
      <w:r>
        <w:t xml:space="preserve">We must distinguish </w:t>
      </w:r>
      <w:r>
        <w:rPr>
          <w:i/>
        </w:rPr>
        <w:t xml:space="preserve">discovering </w:t>
      </w:r>
      <w:r>
        <w:t xml:space="preserve">something from merely </w:t>
      </w:r>
      <w:r>
        <w:rPr>
          <w:i/>
        </w:rPr>
        <w:t>coming to</w:t>
      </w:r>
      <w:r>
        <w:rPr>
          <w:i/>
          <w:spacing w:val="40"/>
        </w:rPr>
        <w:t xml:space="preserve"> </w:t>
      </w:r>
      <w:r>
        <w:rPr>
          <w:i/>
        </w:rPr>
        <w:t xml:space="preserve">believe it. </w:t>
      </w:r>
      <w:r>
        <w:t>One cannot discover something without coming to believe it, but one can come to believe something without discovering it. Coming to believe something doesn’t necessarily involve being justified in believing it or, therefore, in knowing it or, therefore, in discovering it.</w:t>
      </w:r>
    </w:p>
    <w:p w14:paraId="7E0017AC" w14:textId="77777777" w:rsidR="009A58DB" w:rsidRDefault="00000000">
      <w:pPr>
        <w:pStyle w:val="BodyText"/>
        <w:spacing w:before="4" w:line="249" w:lineRule="auto"/>
        <w:ind w:right="360" w:firstLine="360"/>
      </w:pPr>
      <w:r>
        <w:t>But to the extent that a person’s thought-processes are expressions of intellectual ability, and not of prejudice or some other discovery-thwarting factor, that person’s beliefs are likely to be justified and, consequently, that person won’t come to believe something without being justified in doing so. Given</w:t>
      </w:r>
      <w:r>
        <w:rPr>
          <w:spacing w:val="-3"/>
        </w:rPr>
        <w:t xml:space="preserve"> </w:t>
      </w:r>
      <w:r>
        <w:t>that</w:t>
      </w:r>
      <w:r>
        <w:rPr>
          <w:spacing w:val="-4"/>
        </w:rPr>
        <w:t xml:space="preserve"> </w:t>
      </w:r>
      <w:r>
        <w:t>the</w:t>
      </w:r>
      <w:r>
        <w:rPr>
          <w:spacing w:val="-4"/>
        </w:rPr>
        <w:t xml:space="preserve"> </w:t>
      </w:r>
      <w:r>
        <w:t>conjectures</w:t>
      </w:r>
      <w:r>
        <w:rPr>
          <w:spacing w:val="-4"/>
        </w:rPr>
        <w:t xml:space="preserve"> </w:t>
      </w:r>
      <w:r>
        <w:t>that</w:t>
      </w:r>
      <w:r>
        <w:rPr>
          <w:spacing w:val="-4"/>
        </w:rPr>
        <w:t xml:space="preserve"> </w:t>
      </w:r>
      <w:r>
        <w:t>led</w:t>
      </w:r>
      <w:r>
        <w:rPr>
          <w:spacing w:val="-3"/>
        </w:rPr>
        <w:t xml:space="preserve"> </w:t>
      </w:r>
      <w:r>
        <w:t>to</w:t>
      </w:r>
      <w:r>
        <w:rPr>
          <w:spacing w:val="-3"/>
        </w:rPr>
        <w:t xml:space="preserve"> </w:t>
      </w:r>
      <w:r>
        <w:t>great</w:t>
      </w:r>
      <w:r>
        <w:rPr>
          <w:spacing w:val="-4"/>
        </w:rPr>
        <w:t xml:space="preserve"> </w:t>
      </w:r>
      <w:r>
        <w:t>scientific</w:t>
      </w:r>
      <w:r>
        <w:rPr>
          <w:spacing w:val="-4"/>
        </w:rPr>
        <w:t xml:space="preserve"> </w:t>
      </w:r>
      <w:r>
        <w:t>and</w:t>
      </w:r>
      <w:r>
        <w:rPr>
          <w:spacing w:val="-3"/>
        </w:rPr>
        <w:t xml:space="preserve"> </w:t>
      </w:r>
      <w:r>
        <w:t>intellectual</w:t>
      </w:r>
      <w:r>
        <w:rPr>
          <w:spacing w:val="-4"/>
        </w:rPr>
        <w:t xml:space="preserve"> </w:t>
      </w:r>
      <w:r>
        <w:t>advances are obviously reflections of intellectual ability, as opposed to blind luck, it follows</w:t>
      </w:r>
      <w:r>
        <w:rPr>
          <w:spacing w:val="-1"/>
        </w:rPr>
        <w:t xml:space="preserve"> </w:t>
      </w:r>
      <w:r>
        <w:t>that</w:t>
      </w:r>
      <w:r>
        <w:rPr>
          <w:spacing w:val="-1"/>
        </w:rPr>
        <w:t xml:space="preserve"> </w:t>
      </w:r>
      <w:r>
        <w:t>oftentimes</w:t>
      </w:r>
      <w:r>
        <w:rPr>
          <w:spacing w:val="-1"/>
        </w:rPr>
        <w:t xml:space="preserve"> </w:t>
      </w:r>
      <w:r>
        <w:t>the</w:t>
      </w:r>
      <w:r>
        <w:rPr>
          <w:spacing w:val="-1"/>
        </w:rPr>
        <w:t xml:space="preserve"> </w:t>
      </w:r>
      <w:r>
        <w:t>justification</w:t>
      </w:r>
      <w:r>
        <w:rPr>
          <w:spacing w:val="-1"/>
        </w:rPr>
        <w:t xml:space="preserve"> </w:t>
      </w:r>
      <w:r>
        <w:t>for</w:t>
      </w:r>
      <w:r>
        <w:rPr>
          <w:spacing w:val="-1"/>
        </w:rPr>
        <w:t xml:space="preserve"> </w:t>
      </w:r>
      <w:r>
        <w:t>such</w:t>
      </w:r>
      <w:r>
        <w:rPr>
          <w:spacing w:val="-1"/>
        </w:rPr>
        <w:t xml:space="preserve"> </w:t>
      </w:r>
      <w:r>
        <w:t>a</w:t>
      </w:r>
      <w:r>
        <w:rPr>
          <w:spacing w:val="-1"/>
        </w:rPr>
        <w:t xml:space="preserve"> </w:t>
      </w:r>
      <w:r>
        <w:t>conjecture</w:t>
      </w:r>
      <w:r>
        <w:rPr>
          <w:spacing w:val="-2"/>
        </w:rPr>
        <w:t xml:space="preserve"> </w:t>
      </w:r>
      <w:r>
        <w:rPr>
          <w:i/>
        </w:rPr>
        <w:t>is</w:t>
      </w:r>
      <w:r>
        <w:rPr>
          <w:i/>
          <w:spacing w:val="-3"/>
        </w:rPr>
        <w:t xml:space="preserve"> </w:t>
      </w:r>
      <w:r>
        <w:t xml:space="preserve">to be found in its psychological antecedents. It follows that justification is inherent, not just in scientific discovery, but also in scientific </w:t>
      </w:r>
      <w:r>
        <w:rPr>
          <w:i/>
        </w:rPr>
        <w:t>proto</w:t>
      </w:r>
      <w:r>
        <w:t>-discovery. In other words, it’s inherent not only in the processes that lead to advances, but in the processes that lead to the conjectures that lead to such advances.</w:t>
      </w:r>
    </w:p>
    <w:p w14:paraId="7E0017AD" w14:textId="77777777" w:rsidR="009A58DB" w:rsidRDefault="00000000">
      <w:pPr>
        <w:spacing w:before="14" w:line="249" w:lineRule="auto"/>
        <w:ind w:left="360" w:right="358" w:firstLine="360"/>
        <w:jc w:val="both"/>
        <w:rPr>
          <w:sz w:val="30"/>
        </w:rPr>
      </w:pPr>
      <w:r>
        <w:rPr>
          <w:sz w:val="30"/>
        </w:rPr>
        <w:t>Great ideas often consist of many intricately interconnected subsidiary ideas. The odds of accidentally stumbling upon those ideas, as opposed to arriving at them on the basis of knowledge and insight, are exceedingly slim. Unless Newton and Keynes were just lucky, which is unlikely, the thoughts they had along the way to making their discoveries were driven by an understanding of how the evidence at their disposal ought to be interpreted. Those</w:t>
      </w:r>
      <w:r>
        <w:rPr>
          <w:spacing w:val="-4"/>
          <w:sz w:val="30"/>
        </w:rPr>
        <w:t xml:space="preserve"> </w:t>
      </w:r>
      <w:r>
        <w:rPr>
          <w:sz w:val="30"/>
        </w:rPr>
        <w:t>thoughts</w:t>
      </w:r>
      <w:r>
        <w:rPr>
          <w:spacing w:val="-4"/>
          <w:sz w:val="30"/>
        </w:rPr>
        <w:t xml:space="preserve"> </w:t>
      </w:r>
      <w:r>
        <w:rPr>
          <w:sz w:val="30"/>
        </w:rPr>
        <w:t>were</w:t>
      </w:r>
      <w:r>
        <w:rPr>
          <w:spacing w:val="-4"/>
          <w:sz w:val="30"/>
        </w:rPr>
        <w:t xml:space="preserve"> </w:t>
      </w:r>
      <w:r>
        <w:rPr>
          <w:sz w:val="30"/>
        </w:rPr>
        <w:t>therefore</w:t>
      </w:r>
      <w:r>
        <w:rPr>
          <w:spacing w:val="-4"/>
          <w:sz w:val="30"/>
        </w:rPr>
        <w:t xml:space="preserve"> </w:t>
      </w:r>
      <w:r>
        <w:rPr>
          <w:sz w:val="30"/>
        </w:rPr>
        <w:t>to</w:t>
      </w:r>
      <w:r>
        <w:rPr>
          <w:spacing w:val="-3"/>
          <w:sz w:val="30"/>
        </w:rPr>
        <w:t xml:space="preserve"> </w:t>
      </w:r>
      <w:r>
        <w:rPr>
          <w:sz w:val="30"/>
        </w:rPr>
        <w:t>the</w:t>
      </w:r>
      <w:r>
        <w:rPr>
          <w:spacing w:val="-4"/>
          <w:sz w:val="30"/>
        </w:rPr>
        <w:t xml:space="preserve"> </w:t>
      </w:r>
      <w:r>
        <w:rPr>
          <w:sz w:val="30"/>
        </w:rPr>
        <w:t>effect</w:t>
      </w:r>
      <w:r>
        <w:rPr>
          <w:spacing w:val="-4"/>
          <w:sz w:val="30"/>
        </w:rPr>
        <w:t xml:space="preserve"> </w:t>
      </w:r>
      <w:r>
        <w:rPr>
          <w:sz w:val="30"/>
        </w:rPr>
        <w:t>that,</w:t>
      </w:r>
      <w:r>
        <w:rPr>
          <w:spacing w:val="-3"/>
          <w:sz w:val="30"/>
        </w:rPr>
        <w:t xml:space="preserve"> </w:t>
      </w:r>
      <w:r>
        <w:rPr>
          <w:i/>
          <w:sz w:val="30"/>
        </w:rPr>
        <w:t>since</w:t>
      </w:r>
      <w:r>
        <w:rPr>
          <w:i/>
          <w:spacing w:val="-4"/>
          <w:sz w:val="30"/>
        </w:rPr>
        <w:t xml:space="preserve"> </w:t>
      </w:r>
      <w:r>
        <w:rPr>
          <w:i/>
          <w:sz w:val="30"/>
        </w:rPr>
        <w:t>such</w:t>
      </w:r>
      <w:r>
        <w:rPr>
          <w:i/>
          <w:spacing w:val="-3"/>
          <w:sz w:val="30"/>
        </w:rPr>
        <w:t xml:space="preserve"> </w:t>
      </w:r>
      <w:r>
        <w:rPr>
          <w:i/>
          <w:sz w:val="30"/>
        </w:rPr>
        <w:t>and</w:t>
      </w:r>
      <w:r>
        <w:rPr>
          <w:i/>
          <w:spacing w:val="-3"/>
          <w:sz w:val="30"/>
        </w:rPr>
        <w:t xml:space="preserve"> </w:t>
      </w:r>
      <w:r>
        <w:rPr>
          <w:i/>
          <w:sz w:val="30"/>
        </w:rPr>
        <w:t>such</w:t>
      </w:r>
      <w:r>
        <w:rPr>
          <w:i/>
          <w:spacing w:val="-3"/>
          <w:sz w:val="30"/>
        </w:rPr>
        <w:t xml:space="preserve"> </w:t>
      </w:r>
      <w:r>
        <w:rPr>
          <w:i/>
          <w:sz w:val="30"/>
        </w:rPr>
        <w:t xml:space="preserve">evidence justifies thus and such contentions, thus and such contentions ought to be accepted; therefore, thus and such contentions are true. </w:t>
      </w:r>
      <w:r>
        <w:rPr>
          <w:sz w:val="30"/>
        </w:rPr>
        <w:t>So, setting aside cases where the discoverer was simply lucky, the psychology and the logic of discovery mirror each other.</w:t>
      </w:r>
    </w:p>
    <w:p w14:paraId="7E0017AE" w14:textId="77777777" w:rsidR="009A58DB" w:rsidRDefault="00000000">
      <w:pPr>
        <w:pStyle w:val="BodyText"/>
        <w:spacing w:before="14" w:line="249" w:lineRule="auto"/>
        <w:ind w:right="361" w:firstLine="360"/>
      </w:pPr>
      <w:r>
        <w:t>Pascal said “it is through intuition that we discover; it is through logic that we prove.</w:t>
      </w:r>
      <w:bookmarkStart w:id="300" w:name="_bookmark300"/>
      <w:bookmarkEnd w:id="300"/>
      <w:r>
        <w:t>”</w:t>
      </w:r>
      <w:r>
        <w:rPr>
          <w:color w:val="0562C1"/>
          <w:position w:val="21"/>
          <w:u w:val="single" w:color="0562C1"/>
        </w:rPr>
        <w:t>[198]</w:t>
      </w:r>
      <w:r>
        <w:rPr>
          <w:color w:val="0562C1"/>
          <w:spacing w:val="-6"/>
          <w:position w:val="21"/>
        </w:rPr>
        <w:t xml:space="preserve"> </w:t>
      </w:r>
      <w:r>
        <w:t>This is wrong. It is through logic that we discover and it is through logic that we prove. For there is no discovery without justification. An unjustified intuition isn’t a discovery at all. And if an unjustified</w:t>
      </w:r>
      <w:r>
        <w:rPr>
          <w:spacing w:val="40"/>
        </w:rPr>
        <w:t xml:space="preserve"> </w:t>
      </w:r>
      <w:r>
        <w:t>intuitions</w:t>
      </w:r>
      <w:r>
        <w:rPr>
          <w:spacing w:val="31"/>
        </w:rPr>
        <w:t xml:space="preserve"> </w:t>
      </w:r>
      <w:r>
        <w:t>happens</w:t>
      </w:r>
      <w:r>
        <w:rPr>
          <w:spacing w:val="31"/>
        </w:rPr>
        <w:t xml:space="preserve"> </w:t>
      </w:r>
      <w:r>
        <w:t>to</w:t>
      </w:r>
      <w:r>
        <w:rPr>
          <w:spacing w:val="32"/>
        </w:rPr>
        <w:t xml:space="preserve"> </w:t>
      </w:r>
      <w:r>
        <w:t>be</w:t>
      </w:r>
      <w:r>
        <w:rPr>
          <w:spacing w:val="31"/>
        </w:rPr>
        <w:t xml:space="preserve"> </w:t>
      </w:r>
      <w:r>
        <w:t>right,</w:t>
      </w:r>
      <w:r>
        <w:rPr>
          <w:spacing w:val="31"/>
        </w:rPr>
        <w:t xml:space="preserve"> </w:t>
      </w:r>
      <w:r>
        <w:t>it’s</w:t>
      </w:r>
      <w:r>
        <w:rPr>
          <w:spacing w:val="32"/>
        </w:rPr>
        <w:t xml:space="preserve"> </w:t>
      </w:r>
      <w:r>
        <w:t>a</w:t>
      </w:r>
      <w:r>
        <w:rPr>
          <w:spacing w:val="31"/>
        </w:rPr>
        <w:t xml:space="preserve"> </w:t>
      </w:r>
      <w:r>
        <w:t>matter</w:t>
      </w:r>
      <w:r>
        <w:rPr>
          <w:spacing w:val="31"/>
        </w:rPr>
        <w:t xml:space="preserve"> </w:t>
      </w:r>
      <w:r>
        <w:t>of</w:t>
      </w:r>
      <w:r>
        <w:rPr>
          <w:spacing w:val="32"/>
        </w:rPr>
        <w:t xml:space="preserve"> </w:t>
      </w:r>
      <w:r>
        <w:t>luck.</w:t>
      </w:r>
      <w:r>
        <w:rPr>
          <w:spacing w:val="31"/>
        </w:rPr>
        <w:t xml:space="preserve"> </w:t>
      </w:r>
      <w:r>
        <w:t>While</w:t>
      </w:r>
      <w:r>
        <w:rPr>
          <w:spacing w:val="31"/>
        </w:rPr>
        <w:t xml:space="preserve"> </w:t>
      </w:r>
      <w:r>
        <w:t>some</w:t>
      </w:r>
      <w:r>
        <w:rPr>
          <w:spacing w:val="32"/>
        </w:rPr>
        <w:t xml:space="preserve"> </w:t>
      </w:r>
      <w:r>
        <w:t>non-trivial</w:t>
      </w:r>
    </w:p>
    <w:p w14:paraId="7E0017A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B0" w14:textId="77777777" w:rsidR="009A58DB" w:rsidRDefault="00000000">
      <w:pPr>
        <w:pStyle w:val="BodyText"/>
        <w:spacing w:before="65" w:line="249" w:lineRule="auto"/>
        <w:ind w:right="363"/>
      </w:pPr>
      <w:r>
        <w:lastRenderedPageBreak/>
        <w:t xml:space="preserve">theoretical innovations may be made through luck, most of them are not. (I doubt that any of them are.) And a correct belief arrived at through intuition, as opposed to luck, is </w:t>
      </w:r>
      <w:r>
        <w:rPr>
          <w:i/>
        </w:rPr>
        <w:t>ipso facto</w:t>
      </w:r>
      <w:r>
        <w:rPr>
          <w:i/>
          <w:spacing w:val="40"/>
        </w:rPr>
        <w:t xml:space="preserve"> </w:t>
      </w:r>
      <w:r>
        <w:t>justified. Proof is the identification of the logic embodied in discovery.</w:t>
      </w:r>
    </w:p>
    <w:p w14:paraId="7E0017B1" w14:textId="77777777" w:rsidR="009A58DB" w:rsidRDefault="00000000">
      <w:pPr>
        <w:pStyle w:val="Heading1"/>
        <w:numPr>
          <w:ilvl w:val="1"/>
          <w:numId w:val="127"/>
        </w:numPr>
        <w:tabs>
          <w:tab w:val="left" w:pos="1200"/>
        </w:tabs>
        <w:spacing w:before="193"/>
      </w:pPr>
      <w:r>
        <w:t>Discovery</w:t>
      </w:r>
      <w:r>
        <w:rPr>
          <w:spacing w:val="-4"/>
        </w:rPr>
        <w:t xml:space="preserve"> </w:t>
      </w:r>
      <w:r>
        <w:t>vs.</w:t>
      </w:r>
      <w:r>
        <w:rPr>
          <w:spacing w:val="-3"/>
        </w:rPr>
        <w:t xml:space="preserve"> </w:t>
      </w:r>
      <w:r>
        <w:rPr>
          <w:spacing w:val="-2"/>
        </w:rPr>
        <w:t>prediscovery</w:t>
      </w:r>
    </w:p>
    <w:p w14:paraId="7E0017B2" w14:textId="77777777" w:rsidR="009A58DB" w:rsidRDefault="00000000">
      <w:pPr>
        <w:pStyle w:val="BodyText"/>
        <w:spacing w:before="139" w:line="249" w:lineRule="auto"/>
        <w:ind w:right="359"/>
      </w:pPr>
      <w:r>
        <w:t>“For all we know,” many a philosopher of science says, “it was Newton’s being hit on the head by an apple that led him to posit the inverse-square law. So we can’t expect to find much of relevance to the justification of a conjecture in the processes that led to it. While it may be of interest to psychoanalysts,</w:t>
      </w:r>
      <w:r>
        <w:rPr>
          <w:spacing w:val="-2"/>
        </w:rPr>
        <w:t xml:space="preserve"> </w:t>
      </w:r>
      <w:r>
        <w:t>the</w:t>
      </w:r>
      <w:r>
        <w:rPr>
          <w:spacing w:val="-2"/>
        </w:rPr>
        <w:t xml:space="preserve"> </w:t>
      </w:r>
      <w:r>
        <w:t>psychological</w:t>
      </w:r>
      <w:r>
        <w:rPr>
          <w:spacing w:val="-2"/>
        </w:rPr>
        <w:t xml:space="preserve"> </w:t>
      </w:r>
      <w:r>
        <w:t>back</w:t>
      </w:r>
      <w:r>
        <w:rPr>
          <w:spacing w:val="-2"/>
        </w:rPr>
        <w:t xml:space="preserve"> </w:t>
      </w:r>
      <w:r>
        <w:t>story</w:t>
      </w:r>
      <w:r>
        <w:rPr>
          <w:spacing w:val="-2"/>
        </w:rPr>
        <w:t xml:space="preserve"> </w:t>
      </w:r>
      <w:r>
        <w:t>is</w:t>
      </w:r>
      <w:r>
        <w:rPr>
          <w:spacing w:val="-2"/>
        </w:rPr>
        <w:t xml:space="preserve"> </w:t>
      </w:r>
      <w:r>
        <w:t>no</w:t>
      </w:r>
      <w:r>
        <w:rPr>
          <w:spacing w:val="-2"/>
        </w:rPr>
        <w:t xml:space="preserve"> </w:t>
      </w:r>
      <w:r>
        <w:t>concern</w:t>
      </w:r>
      <w:r>
        <w:rPr>
          <w:spacing w:val="-2"/>
        </w:rPr>
        <w:t xml:space="preserve"> </w:t>
      </w:r>
      <w:r>
        <w:t>of</w:t>
      </w:r>
      <w:r>
        <w:rPr>
          <w:spacing w:val="-2"/>
        </w:rPr>
        <w:t xml:space="preserve"> </w:t>
      </w:r>
      <w:r>
        <w:t>those</w:t>
      </w:r>
      <w:r>
        <w:rPr>
          <w:spacing w:val="-2"/>
        </w:rPr>
        <w:t xml:space="preserve"> </w:t>
      </w:r>
      <w:r>
        <w:t>interested in the logical structure of science.”</w:t>
      </w:r>
    </w:p>
    <w:p w14:paraId="7E0017B3" w14:textId="77777777" w:rsidR="009A58DB" w:rsidRDefault="00000000">
      <w:pPr>
        <w:pStyle w:val="BodyText"/>
        <w:spacing w:before="7" w:line="249" w:lineRule="auto"/>
        <w:ind w:right="357" w:firstLine="360"/>
      </w:pPr>
      <w:r>
        <w:t>Not</w:t>
      </w:r>
      <w:r>
        <w:rPr>
          <w:spacing w:val="-2"/>
        </w:rPr>
        <w:t xml:space="preserve"> </w:t>
      </w:r>
      <w:r>
        <w:t>everybody</w:t>
      </w:r>
      <w:r>
        <w:rPr>
          <w:spacing w:val="-1"/>
        </w:rPr>
        <w:t xml:space="preserve"> </w:t>
      </w:r>
      <w:r>
        <w:t>who</w:t>
      </w:r>
      <w:r>
        <w:rPr>
          <w:spacing w:val="-1"/>
        </w:rPr>
        <w:t xml:space="preserve"> </w:t>
      </w:r>
      <w:r>
        <w:t>is</w:t>
      </w:r>
      <w:r>
        <w:rPr>
          <w:spacing w:val="-1"/>
        </w:rPr>
        <w:t xml:space="preserve"> </w:t>
      </w:r>
      <w:r>
        <w:t>hit</w:t>
      </w:r>
      <w:r>
        <w:rPr>
          <w:spacing w:val="-1"/>
        </w:rPr>
        <w:t xml:space="preserve"> </w:t>
      </w:r>
      <w:r>
        <w:t>on</w:t>
      </w:r>
      <w:r>
        <w:rPr>
          <w:spacing w:val="-1"/>
        </w:rPr>
        <w:t xml:space="preserve"> </w:t>
      </w:r>
      <w:r>
        <w:t>the</w:t>
      </w:r>
      <w:r>
        <w:rPr>
          <w:spacing w:val="-1"/>
        </w:rPr>
        <w:t xml:space="preserve"> </w:t>
      </w:r>
      <w:r>
        <w:t>head</w:t>
      </w:r>
      <w:r>
        <w:rPr>
          <w:spacing w:val="-1"/>
        </w:rPr>
        <w:t xml:space="preserve"> </w:t>
      </w:r>
      <w:r>
        <w:t>becomes</w:t>
      </w:r>
      <w:r>
        <w:rPr>
          <w:spacing w:val="-1"/>
        </w:rPr>
        <w:t xml:space="preserve"> </w:t>
      </w:r>
      <w:r>
        <w:t>an</w:t>
      </w:r>
      <w:r>
        <w:rPr>
          <w:spacing w:val="-1"/>
        </w:rPr>
        <w:t xml:space="preserve"> </w:t>
      </w:r>
      <w:r>
        <w:t>innovator</w:t>
      </w:r>
      <w:r>
        <w:rPr>
          <w:spacing w:val="-1"/>
        </w:rPr>
        <w:t xml:space="preserve"> </w:t>
      </w:r>
      <w:r>
        <w:t>in</w:t>
      </w:r>
      <w:r>
        <w:rPr>
          <w:spacing w:val="-1"/>
        </w:rPr>
        <w:t xml:space="preserve"> </w:t>
      </w:r>
      <w:r>
        <w:t>physics.</w:t>
      </w:r>
      <w:r>
        <w:rPr>
          <w:spacing w:val="-1"/>
        </w:rPr>
        <w:t xml:space="preserve"> </w:t>
      </w:r>
      <w:r>
        <w:t>So far as a blow to the head had anything to do with Newton’s discoveries, it</w:t>
      </w:r>
      <w:r>
        <w:rPr>
          <w:spacing w:val="40"/>
        </w:rPr>
        <w:t xml:space="preserve"> </w:t>
      </w:r>
      <w:r>
        <w:t>was only by way of its triggering an intricate train of thought. We must distinguish the instigators of a thought process from the thought process</w:t>
      </w:r>
      <w:r>
        <w:rPr>
          <w:spacing w:val="40"/>
        </w:rPr>
        <w:t xml:space="preserve"> </w:t>
      </w:r>
      <w:r>
        <w:t xml:space="preserve">itself. Being hit on the head was no part of Newton’s discovery process. It was, at most, a part of his discovery </w:t>
      </w:r>
      <w:r>
        <w:rPr>
          <w:i/>
        </w:rPr>
        <w:t>pre</w:t>
      </w:r>
      <w:r>
        <w:t>-process. The blow, supposing that it happened,</w:t>
      </w:r>
      <w:r>
        <w:rPr>
          <w:spacing w:val="80"/>
        </w:rPr>
        <w:t xml:space="preserve"> </w:t>
      </w:r>
      <w:r>
        <w:t>merely</w:t>
      </w:r>
      <w:r>
        <w:rPr>
          <w:spacing w:val="80"/>
        </w:rPr>
        <w:t xml:space="preserve"> </w:t>
      </w:r>
      <w:r>
        <w:t>activated</w:t>
      </w:r>
      <w:r>
        <w:rPr>
          <w:spacing w:val="80"/>
        </w:rPr>
        <w:t xml:space="preserve"> </w:t>
      </w:r>
      <w:r>
        <w:t>the</w:t>
      </w:r>
      <w:r>
        <w:rPr>
          <w:spacing w:val="80"/>
        </w:rPr>
        <w:t xml:space="preserve"> </w:t>
      </w:r>
      <w:r>
        <w:t>relevant</w:t>
      </w:r>
      <w:r>
        <w:rPr>
          <w:spacing w:val="80"/>
        </w:rPr>
        <w:t xml:space="preserve"> </w:t>
      </w:r>
      <w:r>
        <w:t>processes</w:t>
      </w:r>
      <w:r>
        <w:rPr>
          <w:spacing w:val="80"/>
        </w:rPr>
        <w:t xml:space="preserve"> </w:t>
      </w:r>
      <w:r>
        <w:t>and</w:t>
      </w:r>
      <w:r>
        <w:rPr>
          <w:spacing w:val="80"/>
        </w:rPr>
        <w:t xml:space="preserve"> </w:t>
      </w:r>
      <w:r>
        <w:t>therefore</w:t>
      </w:r>
      <w:r>
        <w:rPr>
          <w:spacing w:val="80"/>
        </w:rPr>
        <w:t xml:space="preserve"> </w:t>
      </w:r>
      <w:r>
        <w:t>wasn’t</w:t>
      </w:r>
    </w:p>
    <w:p w14:paraId="7E0017B4" w14:textId="77777777" w:rsidR="009A58DB" w:rsidRDefault="00000000">
      <w:pPr>
        <w:pStyle w:val="BodyText"/>
        <w:spacing w:before="9" w:line="277" w:lineRule="exact"/>
        <w:ind w:left="2833"/>
        <w:jc w:val="left"/>
      </w:pPr>
      <w:bookmarkStart w:id="301" w:name="_bookmark301"/>
      <w:bookmarkEnd w:id="301"/>
      <w:r>
        <w:rPr>
          <w:color w:val="0562C1"/>
          <w:spacing w:val="-2"/>
          <w:u w:val="single" w:color="0562C1"/>
        </w:rPr>
        <w:t>[199]</w:t>
      </w:r>
    </w:p>
    <w:p w14:paraId="7E0017B5" w14:textId="77777777" w:rsidR="009A58DB" w:rsidRDefault="00000000">
      <w:pPr>
        <w:pStyle w:val="BodyText"/>
        <w:spacing w:line="277" w:lineRule="exact"/>
        <w:jc w:val="left"/>
      </w:pPr>
      <w:r>
        <w:t>constitutive</w:t>
      </w:r>
      <w:r>
        <w:rPr>
          <w:spacing w:val="-5"/>
        </w:rPr>
        <w:t xml:space="preserve"> </w:t>
      </w:r>
      <w:r>
        <w:t>of</w:t>
      </w:r>
      <w:r>
        <w:rPr>
          <w:spacing w:val="-4"/>
        </w:rPr>
        <w:t xml:space="preserve"> them.</w:t>
      </w:r>
    </w:p>
    <w:p w14:paraId="7E0017B6" w14:textId="77777777" w:rsidR="009A58DB" w:rsidRDefault="00000000">
      <w:pPr>
        <w:pStyle w:val="Heading1"/>
        <w:numPr>
          <w:ilvl w:val="1"/>
          <w:numId w:val="127"/>
        </w:numPr>
        <w:tabs>
          <w:tab w:val="left" w:pos="1200"/>
        </w:tabs>
        <w:spacing w:before="218"/>
      </w:pPr>
      <w:r>
        <w:t>The</w:t>
      </w:r>
      <w:r>
        <w:rPr>
          <w:spacing w:val="-3"/>
        </w:rPr>
        <w:t xml:space="preserve"> </w:t>
      </w:r>
      <w:r>
        <w:t>roots</w:t>
      </w:r>
      <w:r>
        <w:rPr>
          <w:spacing w:val="-2"/>
        </w:rPr>
        <w:t xml:space="preserve"> </w:t>
      </w:r>
      <w:r>
        <w:t>of</w:t>
      </w:r>
      <w:r>
        <w:rPr>
          <w:spacing w:val="-3"/>
        </w:rPr>
        <w:t xml:space="preserve"> </w:t>
      </w:r>
      <w:r>
        <w:t>the</w:t>
      </w:r>
      <w:r>
        <w:rPr>
          <w:spacing w:val="-2"/>
        </w:rPr>
        <w:t xml:space="preserve"> problem</w:t>
      </w:r>
    </w:p>
    <w:p w14:paraId="7E0017B7" w14:textId="77777777" w:rsidR="009A58DB" w:rsidRDefault="00000000">
      <w:pPr>
        <w:pStyle w:val="BodyText"/>
        <w:spacing w:before="139" w:line="249" w:lineRule="auto"/>
        <w:ind w:right="372"/>
      </w:pPr>
      <w:r>
        <w:t>The connection between discovery and justification is easy to overlook if one doesn’t bear in mind the following three points:</w:t>
      </w:r>
    </w:p>
    <w:p w14:paraId="7E0017B8" w14:textId="77777777" w:rsidR="009A58DB" w:rsidRDefault="009A58DB">
      <w:pPr>
        <w:pStyle w:val="BodyText"/>
        <w:spacing w:before="17"/>
        <w:ind w:left="0"/>
        <w:jc w:val="left"/>
      </w:pPr>
    </w:p>
    <w:p w14:paraId="7E0017B9" w14:textId="77777777" w:rsidR="009A58DB" w:rsidRDefault="00000000">
      <w:pPr>
        <w:pStyle w:val="ListParagraph"/>
        <w:numPr>
          <w:ilvl w:val="0"/>
          <w:numId w:val="126"/>
        </w:numPr>
        <w:tabs>
          <w:tab w:val="left" w:pos="797"/>
        </w:tabs>
        <w:spacing w:line="249" w:lineRule="auto"/>
        <w:ind w:right="368" w:firstLine="0"/>
        <w:jc w:val="left"/>
        <w:rPr>
          <w:sz w:val="30"/>
        </w:rPr>
      </w:pPr>
      <w:r>
        <w:rPr>
          <w:sz w:val="30"/>
        </w:rPr>
        <w:t>Having a justification for a belief doesn’t always involved knowing what that justification is.</w:t>
      </w:r>
    </w:p>
    <w:p w14:paraId="7E0017BA" w14:textId="77777777" w:rsidR="009A58DB" w:rsidRDefault="00000000">
      <w:pPr>
        <w:pStyle w:val="ListParagraph"/>
        <w:numPr>
          <w:ilvl w:val="0"/>
          <w:numId w:val="126"/>
        </w:numPr>
        <w:tabs>
          <w:tab w:val="left" w:pos="799"/>
        </w:tabs>
        <w:spacing w:before="3" w:line="249" w:lineRule="auto"/>
        <w:ind w:right="368" w:firstLine="0"/>
        <w:jc w:val="left"/>
        <w:rPr>
          <w:sz w:val="30"/>
        </w:rPr>
      </w:pPr>
      <w:r>
        <w:rPr>
          <w:sz w:val="30"/>
        </w:rPr>
        <w:t>Knowing that justification doesn’t always involve being able to say what it is. (One can’t always articulate what one knows.)</w:t>
      </w:r>
    </w:p>
    <w:p w14:paraId="7E0017BB" w14:textId="77777777" w:rsidR="009A58DB" w:rsidRDefault="00000000">
      <w:pPr>
        <w:pStyle w:val="ListParagraph"/>
        <w:numPr>
          <w:ilvl w:val="0"/>
          <w:numId w:val="126"/>
        </w:numPr>
        <w:tabs>
          <w:tab w:val="left" w:pos="808"/>
        </w:tabs>
        <w:spacing w:before="2" w:line="249" w:lineRule="auto"/>
        <w:ind w:right="365" w:firstLine="0"/>
        <w:jc w:val="left"/>
        <w:rPr>
          <w:sz w:val="30"/>
        </w:rPr>
      </w:pPr>
      <w:r>
        <w:rPr>
          <w:sz w:val="30"/>
        </w:rPr>
        <w:t>Being able to articulate that justification is different from actually doing so and, therefore, from transmitting that justification to others.</w:t>
      </w:r>
    </w:p>
    <w:p w14:paraId="7E0017BC" w14:textId="77777777" w:rsidR="009A58DB" w:rsidRDefault="00000000">
      <w:pPr>
        <w:pStyle w:val="Heading3"/>
        <w:numPr>
          <w:ilvl w:val="2"/>
          <w:numId w:val="127"/>
        </w:numPr>
        <w:tabs>
          <w:tab w:val="left" w:pos="1308"/>
        </w:tabs>
        <w:spacing w:before="85"/>
        <w:ind w:hanging="948"/>
      </w:pPr>
      <w:r>
        <w:t>(1)</w:t>
      </w:r>
      <w:r>
        <w:rPr>
          <w:spacing w:val="3"/>
        </w:rPr>
        <w:t xml:space="preserve"> </w:t>
      </w:r>
      <w:r>
        <w:rPr>
          <w:spacing w:val="-2"/>
        </w:rPr>
        <w:t>explained</w:t>
      </w:r>
    </w:p>
    <w:p w14:paraId="7E0017BD" w14:textId="77777777" w:rsidR="009A58DB" w:rsidRDefault="00000000">
      <w:pPr>
        <w:pStyle w:val="BodyText"/>
        <w:spacing w:before="82" w:line="249" w:lineRule="auto"/>
        <w:ind w:right="364"/>
        <w:jc w:val="left"/>
      </w:pPr>
      <w:r>
        <w:t>There is often a delay between having a justification for a belief and knowing what</w:t>
      </w:r>
      <w:r>
        <w:rPr>
          <w:spacing w:val="64"/>
          <w:w w:val="150"/>
        </w:rPr>
        <w:t xml:space="preserve"> </w:t>
      </w:r>
      <w:r>
        <w:t>that</w:t>
      </w:r>
      <w:r>
        <w:rPr>
          <w:spacing w:val="66"/>
          <w:w w:val="150"/>
        </w:rPr>
        <w:t xml:space="preserve"> </w:t>
      </w:r>
      <w:r>
        <w:t>justification</w:t>
      </w:r>
      <w:r>
        <w:rPr>
          <w:spacing w:val="66"/>
          <w:w w:val="150"/>
        </w:rPr>
        <w:t xml:space="preserve"> </w:t>
      </w:r>
      <w:r>
        <w:t>is.</w:t>
      </w:r>
      <w:r>
        <w:rPr>
          <w:spacing w:val="66"/>
          <w:w w:val="150"/>
        </w:rPr>
        <w:t xml:space="preserve"> </w:t>
      </w:r>
      <w:r>
        <w:t>My</w:t>
      </w:r>
      <w:r>
        <w:rPr>
          <w:spacing w:val="66"/>
          <w:w w:val="150"/>
        </w:rPr>
        <w:t xml:space="preserve"> </w:t>
      </w:r>
      <w:r>
        <w:t>intuition</w:t>
      </w:r>
      <w:r>
        <w:rPr>
          <w:spacing w:val="66"/>
          <w:w w:val="150"/>
        </w:rPr>
        <w:t xml:space="preserve"> </w:t>
      </w:r>
      <w:r>
        <w:t>tells</w:t>
      </w:r>
      <w:r>
        <w:rPr>
          <w:spacing w:val="66"/>
          <w:w w:val="150"/>
        </w:rPr>
        <w:t xml:space="preserve"> </w:t>
      </w:r>
      <w:r>
        <w:t>me</w:t>
      </w:r>
      <w:r>
        <w:rPr>
          <w:spacing w:val="66"/>
          <w:w w:val="150"/>
        </w:rPr>
        <w:t xml:space="preserve"> </w:t>
      </w:r>
      <w:r>
        <w:t>that</w:t>
      </w:r>
      <w:r>
        <w:rPr>
          <w:spacing w:val="66"/>
          <w:w w:val="150"/>
        </w:rPr>
        <w:t xml:space="preserve"> </w:t>
      </w:r>
      <w:r>
        <w:t>so</w:t>
      </w:r>
      <w:r>
        <w:rPr>
          <w:spacing w:val="66"/>
          <w:w w:val="150"/>
        </w:rPr>
        <w:t xml:space="preserve"> </w:t>
      </w:r>
      <w:r>
        <w:t>and</w:t>
      </w:r>
      <w:r>
        <w:rPr>
          <w:spacing w:val="66"/>
          <w:w w:val="150"/>
        </w:rPr>
        <w:t xml:space="preserve"> </w:t>
      </w:r>
      <w:r>
        <w:t>so</w:t>
      </w:r>
      <w:r>
        <w:rPr>
          <w:spacing w:val="66"/>
          <w:w w:val="150"/>
        </w:rPr>
        <w:t xml:space="preserve"> </w:t>
      </w:r>
      <w:r>
        <w:t>is</w:t>
      </w:r>
      <w:r>
        <w:rPr>
          <w:spacing w:val="66"/>
          <w:w w:val="150"/>
        </w:rPr>
        <w:t xml:space="preserve"> </w:t>
      </w:r>
      <w:r>
        <w:rPr>
          <w:spacing w:val="-4"/>
        </w:rPr>
        <w:t>ill-</w:t>
      </w:r>
    </w:p>
    <w:p w14:paraId="7E0017BE"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17BF" w14:textId="77777777" w:rsidR="009A58DB" w:rsidRDefault="00000000">
      <w:pPr>
        <w:pStyle w:val="BodyText"/>
        <w:spacing w:before="60" w:line="249" w:lineRule="auto"/>
        <w:ind w:right="365"/>
      </w:pPr>
      <w:r>
        <w:lastRenderedPageBreak/>
        <w:t>intentioned, even though, on the surface, he is behaving amicably; that a given sentence is grammatical, even though my grammar book classifies it as ungrammatical; that a given animal is about to attack, even though it isn’t giving off any of the obvious signs.</w:t>
      </w:r>
    </w:p>
    <w:p w14:paraId="7E0017C0" w14:textId="77777777" w:rsidR="009A58DB" w:rsidRDefault="00000000">
      <w:pPr>
        <w:pStyle w:val="BodyText"/>
        <w:spacing w:before="10" w:line="249" w:lineRule="auto"/>
        <w:ind w:right="359" w:firstLine="360"/>
      </w:pPr>
      <w:r>
        <w:t xml:space="preserve">We trust our intuitions, and our confidence in them is usually vindicated. (Speaking personally, I always regret second-guessing my intuitions.) But when we have them, we don’t know </w:t>
      </w:r>
      <w:r>
        <w:rPr>
          <w:i/>
        </w:rPr>
        <w:t xml:space="preserve">why </w:t>
      </w:r>
      <w:r>
        <w:t>they are to be trusted. If we did,</w:t>
      </w:r>
      <w:r>
        <w:rPr>
          <w:spacing w:val="40"/>
        </w:rPr>
        <w:t xml:space="preserve"> </w:t>
      </w:r>
      <w:r>
        <w:t>they wouldn’t be intuitions, since an intuition is, by definition, a belief whose justification, if it exists, is unknown to the person having the belief.</w:t>
      </w:r>
    </w:p>
    <w:p w14:paraId="7E0017C1" w14:textId="77777777" w:rsidR="009A58DB" w:rsidRDefault="00000000">
      <w:pPr>
        <w:pStyle w:val="BodyText"/>
        <w:spacing w:before="6" w:line="249" w:lineRule="auto"/>
        <w:ind w:right="365" w:firstLine="360"/>
      </w:pPr>
      <w:r>
        <w:t>Some have said that, for this very reason, intuitions are never knowledge. “If one has grounds for believing something,” it is said, “one knows what those grounds are.”</w:t>
      </w:r>
    </w:p>
    <w:p w14:paraId="7E0017C2" w14:textId="77777777" w:rsidR="009A58DB" w:rsidRDefault="00000000">
      <w:pPr>
        <w:pStyle w:val="BodyText"/>
        <w:spacing w:before="3" w:line="249" w:lineRule="auto"/>
        <w:ind w:right="359" w:firstLine="360"/>
      </w:pPr>
      <w:r>
        <w:t xml:space="preserve">This reasoning couldn’t possibly be more off the mark. It is only to the extent that one hasn’t fully internalized the relevant principles that one’s thought </w:t>
      </w:r>
      <w:r>
        <w:rPr>
          <w:i/>
        </w:rPr>
        <w:t xml:space="preserve">fails </w:t>
      </w:r>
      <w:r>
        <w:t xml:space="preserve">to be intuitive. It is only pedants and neophytes who rely on discursive thought. Good pianists don’t have to </w:t>
      </w:r>
      <w:r>
        <w:rPr>
          <w:i/>
        </w:rPr>
        <w:t xml:space="preserve">think </w:t>
      </w:r>
      <w:r>
        <w:t>before they hit every note. Bad pianists do. Good pianists, unlike their bad counterparts, have internalized the relevant rules and, for that reason, don’t need crutch of conscious, discursive mentation. Relying no consciously executed operations to apply rules is like relying on an instruction manual.</w:t>
      </w:r>
    </w:p>
    <w:p w14:paraId="7E0017C3" w14:textId="77777777" w:rsidR="009A58DB" w:rsidRDefault="00000000">
      <w:pPr>
        <w:pStyle w:val="BodyText"/>
        <w:spacing w:before="10" w:line="249" w:lineRule="auto"/>
        <w:ind w:right="362" w:firstLine="360"/>
      </w:pPr>
      <w:r>
        <w:t>Discursive thought is remedial thought, and thought is non-remedial only insofar</w:t>
      </w:r>
      <w:r>
        <w:rPr>
          <w:spacing w:val="-4"/>
        </w:rPr>
        <w:t xml:space="preserve"> </w:t>
      </w:r>
      <w:r>
        <w:t>as</w:t>
      </w:r>
      <w:r>
        <w:rPr>
          <w:spacing w:val="-4"/>
        </w:rPr>
        <w:t xml:space="preserve"> </w:t>
      </w:r>
      <w:r>
        <w:t>it’s</w:t>
      </w:r>
      <w:r>
        <w:rPr>
          <w:spacing w:val="-4"/>
        </w:rPr>
        <w:t xml:space="preserve"> </w:t>
      </w:r>
      <w:r>
        <w:t>intuitive.</w:t>
      </w:r>
      <w:r>
        <w:rPr>
          <w:spacing w:val="-3"/>
        </w:rPr>
        <w:t xml:space="preserve"> </w:t>
      </w:r>
      <w:r>
        <w:t>It</w:t>
      </w:r>
      <w:r>
        <w:rPr>
          <w:spacing w:val="-4"/>
        </w:rPr>
        <w:t xml:space="preserve"> </w:t>
      </w:r>
      <w:r>
        <w:t>doesn’t</w:t>
      </w:r>
      <w:r>
        <w:rPr>
          <w:spacing w:val="-4"/>
        </w:rPr>
        <w:t xml:space="preserve"> </w:t>
      </w:r>
      <w:r>
        <w:t>follow</w:t>
      </w:r>
      <w:r>
        <w:rPr>
          <w:spacing w:val="-4"/>
        </w:rPr>
        <w:t xml:space="preserve"> </w:t>
      </w:r>
      <w:r>
        <w:t>that</w:t>
      </w:r>
      <w:r>
        <w:rPr>
          <w:spacing w:val="-4"/>
        </w:rPr>
        <w:t xml:space="preserve"> </w:t>
      </w:r>
      <w:r>
        <w:t>all</w:t>
      </w:r>
      <w:r>
        <w:rPr>
          <w:spacing w:val="-4"/>
        </w:rPr>
        <w:t xml:space="preserve"> </w:t>
      </w:r>
      <w:r>
        <w:t>non-discursive</w:t>
      </w:r>
      <w:r>
        <w:rPr>
          <w:spacing w:val="-4"/>
        </w:rPr>
        <w:t xml:space="preserve"> </w:t>
      </w:r>
      <w:r>
        <w:t>is</w:t>
      </w:r>
      <w:r>
        <w:rPr>
          <w:spacing w:val="-4"/>
        </w:rPr>
        <w:t xml:space="preserve"> </w:t>
      </w:r>
      <w:r>
        <w:t>good.</w:t>
      </w:r>
      <w:r>
        <w:rPr>
          <w:spacing w:val="-3"/>
        </w:rPr>
        <w:t xml:space="preserve"> </w:t>
      </w:r>
      <w:r>
        <w:t>But</w:t>
      </w:r>
      <w:r>
        <w:rPr>
          <w:spacing w:val="-4"/>
        </w:rPr>
        <w:t xml:space="preserve"> </w:t>
      </w:r>
      <w:r>
        <w:t>it does follow that not all intuitive thought is bad. Given that knowledge is intuitive only in so far as its possessor doesn’t know the justification for it, it follows that one can be justified in having a certain belief without knowing what that justification is.</w:t>
      </w:r>
    </w:p>
    <w:p w14:paraId="7E0017C4" w14:textId="77777777" w:rsidR="009A58DB" w:rsidRDefault="00000000">
      <w:pPr>
        <w:pStyle w:val="BodyText"/>
        <w:spacing w:before="8" w:line="249" w:lineRule="auto"/>
        <w:ind w:right="360" w:firstLine="360"/>
      </w:pPr>
      <w:r>
        <w:t>Nonetheless, philosophers of science tend to hold that one has a justification only when one states, or at least can readily state, one’s justification.</w:t>
      </w:r>
      <w:bookmarkStart w:id="302" w:name="_bookmark302"/>
      <w:bookmarkEnd w:id="302"/>
      <w:r>
        <w:rPr>
          <w:color w:val="0562C1"/>
          <w:position w:val="21"/>
          <w:u w:val="single" w:color="0562C1"/>
        </w:rPr>
        <w:t>[200]</w:t>
      </w:r>
      <w:r>
        <w:rPr>
          <w:color w:val="0562C1"/>
          <w:position w:val="21"/>
        </w:rPr>
        <w:t xml:space="preserve"> </w:t>
      </w:r>
      <w:r>
        <w:t xml:space="preserve">For this reason, they’re forced to say intuitions are never justified. Given that scientific breakthroughs result largely from intuitive thought and often themselves take the form of intuitions, philosophers of science have no choice but to see the generation of discoveries as having no connection, or only a fortuitous connection, to the eventual justification of </w:t>
      </w:r>
      <w:r>
        <w:rPr>
          <w:spacing w:val="-2"/>
        </w:rPr>
        <w:t>them.</w:t>
      </w:r>
    </w:p>
    <w:p w14:paraId="7E0017C5" w14:textId="77777777" w:rsidR="009A58DB" w:rsidRDefault="00000000">
      <w:pPr>
        <w:pStyle w:val="Heading3"/>
        <w:numPr>
          <w:ilvl w:val="2"/>
          <w:numId w:val="127"/>
        </w:numPr>
        <w:tabs>
          <w:tab w:val="left" w:pos="1308"/>
        </w:tabs>
        <w:spacing w:before="107"/>
        <w:ind w:hanging="948"/>
        <w:jc w:val="both"/>
      </w:pPr>
      <w:r>
        <w:t>(2)</w:t>
      </w:r>
      <w:r>
        <w:rPr>
          <w:spacing w:val="3"/>
        </w:rPr>
        <w:t xml:space="preserve"> </w:t>
      </w:r>
      <w:r>
        <w:rPr>
          <w:spacing w:val="-2"/>
        </w:rPr>
        <w:t>explained</w:t>
      </w:r>
    </w:p>
    <w:p w14:paraId="7E0017C6" w14:textId="77777777" w:rsidR="009A58DB" w:rsidRDefault="009A58DB">
      <w:pPr>
        <w:pStyle w:val="Heading3"/>
        <w:sectPr w:rsidR="009A58DB">
          <w:pgSz w:w="12240" w:h="15840"/>
          <w:pgMar w:top="1380" w:right="1080" w:bottom="280" w:left="1080" w:header="720" w:footer="720" w:gutter="0"/>
          <w:cols w:space="720"/>
        </w:sectPr>
      </w:pPr>
    </w:p>
    <w:p w14:paraId="7E0017C7" w14:textId="77777777" w:rsidR="009A58DB" w:rsidRDefault="00000000">
      <w:pPr>
        <w:pStyle w:val="BodyText"/>
        <w:spacing w:before="65" w:line="249" w:lineRule="auto"/>
        <w:ind w:right="358"/>
      </w:pPr>
      <w:r>
        <w:lastRenderedPageBreak/>
        <w:t>One can know one’s reason for having a given belief without being able to state them. A skillful interrogator may know why he believes that the suspect his lying but not able to say why he thinks this. His judgments are made on the basis of subtle cues that he might have a hard time articulating. Articulating one’s knowledge may involve translating it from one medium into another. This is the case with the interrogator. His judgments are responses to visual information. Articulating those judgments would involve translating that information into a non-visual medium.</w:t>
      </w:r>
    </w:p>
    <w:p w14:paraId="7E0017C8" w14:textId="77777777" w:rsidR="009A58DB" w:rsidRDefault="00000000">
      <w:pPr>
        <w:pStyle w:val="BodyText"/>
        <w:spacing w:before="9" w:line="249" w:lineRule="auto"/>
        <w:ind w:right="360" w:firstLine="360"/>
      </w:pPr>
      <w:r>
        <w:t xml:space="preserve">Imagine the following. Max believes that metal usually expands when heated, and this belief of his is thoroughly justified. (He’s done numerous experiments, absorbed copious amounts of theory, and so on.) But for some reason Max refuses to </w:t>
      </w:r>
      <w:r>
        <w:rPr>
          <w:i/>
        </w:rPr>
        <w:t>state</w:t>
      </w:r>
      <w:r>
        <w:rPr>
          <w:i/>
          <w:spacing w:val="-3"/>
        </w:rPr>
        <w:t xml:space="preserve"> </w:t>
      </w:r>
      <w:r>
        <w:t>his reasons for having that belief. Max’s situation is very different from the interrogator’s. Unlike the interrogator, Max knows what the justification for his belief is. In any case, even though Max’s belief is thoroughly justified, it could be said that Max has “failed to justify” it. Thus, the expression “unjustified belief” is ambiguous. On the one hand, it can</w:t>
      </w:r>
      <w:r>
        <w:rPr>
          <w:spacing w:val="-1"/>
        </w:rPr>
        <w:t xml:space="preserve"> </w:t>
      </w:r>
      <w:r>
        <w:t>refer to</w:t>
      </w:r>
      <w:r>
        <w:rPr>
          <w:spacing w:val="-1"/>
        </w:rPr>
        <w:t xml:space="preserve"> </w:t>
      </w:r>
      <w:r>
        <w:t>beliefs that</w:t>
      </w:r>
      <w:r>
        <w:rPr>
          <w:spacing w:val="-1"/>
        </w:rPr>
        <w:t xml:space="preserve"> </w:t>
      </w:r>
      <w:r>
        <w:t>aren’t</w:t>
      </w:r>
      <w:r>
        <w:rPr>
          <w:spacing w:val="-1"/>
        </w:rPr>
        <w:t xml:space="preserve"> </w:t>
      </w:r>
      <w:r>
        <w:t>justified.</w:t>
      </w:r>
      <w:r>
        <w:rPr>
          <w:spacing w:val="-1"/>
        </w:rPr>
        <w:t xml:space="preserve"> </w:t>
      </w:r>
      <w:r>
        <w:t>On the</w:t>
      </w:r>
      <w:r>
        <w:rPr>
          <w:spacing w:val="-1"/>
        </w:rPr>
        <w:t xml:space="preserve"> </w:t>
      </w:r>
      <w:r>
        <w:t>other, it</w:t>
      </w:r>
      <w:r>
        <w:rPr>
          <w:spacing w:val="-1"/>
        </w:rPr>
        <w:t xml:space="preserve"> </w:t>
      </w:r>
      <w:r>
        <w:t>can refer</w:t>
      </w:r>
      <w:r>
        <w:rPr>
          <w:spacing w:val="-1"/>
        </w:rPr>
        <w:t xml:space="preserve"> </w:t>
      </w:r>
      <w:r>
        <w:t>to beliefs the justifications of for which, if they exist, haven’t been stated.</w:t>
      </w:r>
    </w:p>
    <w:p w14:paraId="7E0017C9" w14:textId="77777777" w:rsidR="009A58DB" w:rsidRDefault="00000000">
      <w:pPr>
        <w:pStyle w:val="Heading3"/>
        <w:numPr>
          <w:ilvl w:val="2"/>
          <w:numId w:val="127"/>
        </w:numPr>
        <w:tabs>
          <w:tab w:val="left" w:pos="1308"/>
        </w:tabs>
        <w:spacing w:before="110"/>
        <w:ind w:hanging="948"/>
        <w:jc w:val="both"/>
      </w:pPr>
      <w:r>
        <w:t>(3)</w:t>
      </w:r>
      <w:r>
        <w:rPr>
          <w:spacing w:val="3"/>
        </w:rPr>
        <w:t xml:space="preserve"> </w:t>
      </w:r>
      <w:r>
        <w:rPr>
          <w:spacing w:val="-2"/>
        </w:rPr>
        <w:t>explained</w:t>
      </w:r>
    </w:p>
    <w:p w14:paraId="7E0017CA" w14:textId="77777777" w:rsidR="009A58DB" w:rsidRDefault="00000000">
      <w:pPr>
        <w:pStyle w:val="BodyText"/>
        <w:spacing w:before="82" w:line="249" w:lineRule="auto"/>
        <w:ind w:right="359"/>
      </w:pPr>
      <w:r>
        <w:t xml:space="preserve">Even though a given scientist has cogent reasons for accepting a given hypothesis, and makes every effort to communicate them to others, it doesn’t follow that others know what those reasons are. Others may not understand what that scientist is saying—maybe his theories are too advanced for them. Maybe they do understand what he’s saying but haven’t yet a chance to authenticate his results. Until they have good reason to accept the scientist’s testimony, </w:t>
      </w:r>
      <w:r>
        <w:rPr>
          <w:i/>
        </w:rPr>
        <w:t xml:space="preserve">his </w:t>
      </w:r>
      <w:r>
        <w:t>justification for accepting the theory in question isn’t yet</w:t>
      </w:r>
      <w:r>
        <w:rPr>
          <w:spacing w:val="40"/>
        </w:rPr>
        <w:t xml:space="preserve"> </w:t>
      </w:r>
      <w:r>
        <w:rPr>
          <w:spacing w:val="-2"/>
        </w:rPr>
        <w:t>theirs.</w:t>
      </w:r>
    </w:p>
    <w:p w14:paraId="7E0017CB" w14:textId="77777777" w:rsidR="009A58DB" w:rsidRDefault="00000000">
      <w:pPr>
        <w:pStyle w:val="BodyText"/>
        <w:spacing w:before="10" w:line="249" w:lineRule="auto"/>
        <w:ind w:right="362" w:firstLine="360"/>
      </w:pPr>
      <w:r>
        <w:t xml:space="preserve">When epistemologists say that a belief is justified, they mean that </w:t>
      </w:r>
      <w:r>
        <w:rPr>
          <w:i/>
        </w:rPr>
        <w:t xml:space="preserve">the person who has it </w:t>
      </w:r>
      <w:r>
        <w:t>is justified in having it. When philosophers of science say that</w:t>
      </w:r>
      <w:r>
        <w:rPr>
          <w:spacing w:val="-2"/>
        </w:rPr>
        <w:t xml:space="preserve"> </w:t>
      </w:r>
      <w:r>
        <w:t>a</w:t>
      </w:r>
      <w:r>
        <w:rPr>
          <w:spacing w:val="-1"/>
        </w:rPr>
        <w:t xml:space="preserve"> </w:t>
      </w:r>
      <w:r>
        <w:t>belief</w:t>
      </w:r>
      <w:r>
        <w:rPr>
          <w:spacing w:val="-2"/>
        </w:rPr>
        <w:t xml:space="preserve"> </w:t>
      </w:r>
      <w:r>
        <w:t>is</w:t>
      </w:r>
      <w:r>
        <w:rPr>
          <w:spacing w:val="-1"/>
        </w:rPr>
        <w:t xml:space="preserve"> </w:t>
      </w:r>
      <w:r>
        <w:t>justified,</w:t>
      </w:r>
      <w:r>
        <w:rPr>
          <w:spacing w:val="-2"/>
        </w:rPr>
        <w:t xml:space="preserve"> </w:t>
      </w:r>
      <w:r>
        <w:t>they</w:t>
      </w:r>
      <w:r>
        <w:rPr>
          <w:spacing w:val="-1"/>
        </w:rPr>
        <w:t xml:space="preserve"> </w:t>
      </w:r>
      <w:r>
        <w:t>mean</w:t>
      </w:r>
      <w:r>
        <w:rPr>
          <w:spacing w:val="-2"/>
        </w:rPr>
        <w:t xml:space="preserve"> </w:t>
      </w:r>
      <w:r>
        <w:rPr>
          <w:i/>
        </w:rPr>
        <w:t>either</w:t>
      </w:r>
      <w:r>
        <w:rPr>
          <w:i/>
          <w:spacing w:val="-3"/>
        </w:rPr>
        <w:t xml:space="preserve"> </w:t>
      </w:r>
      <w:r>
        <w:t xml:space="preserve">what epistemologists mean </w:t>
      </w:r>
      <w:r>
        <w:rPr>
          <w:i/>
        </w:rPr>
        <w:t xml:space="preserve">or, </w:t>
      </w:r>
      <w:r>
        <w:t xml:space="preserve">what is more likely, they mean that people </w:t>
      </w:r>
      <w:r>
        <w:rPr>
          <w:i/>
        </w:rPr>
        <w:t xml:space="preserve">in general </w:t>
      </w:r>
      <w:r>
        <w:t>are justified in having it.</w:t>
      </w:r>
    </w:p>
    <w:p w14:paraId="7E0017CC" w14:textId="77777777" w:rsidR="009A58DB" w:rsidRDefault="00000000">
      <w:pPr>
        <w:pStyle w:val="BodyText"/>
        <w:spacing w:before="5" w:line="249" w:lineRule="auto"/>
        <w:ind w:right="363" w:firstLine="360"/>
      </w:pPr>
      <w:r>
        <w:t>There was a time when many people believed that smoking causes lung cancer, but when only a few researchers actually knew it, since those researchers alone knew the relevant clinical data. During that time, it would have</w:t>
      </w:r>
      <w:r>
        <w:rPr>
          <w:spacing w:val="40"/>
        </w:rPr>
        <w:t xml:space="preserve"> </w:t>
      </w:r>
      <w:r>
        <w:t>been</w:t>
      </w:r>
      <w:r>
        <w:rPr>
          <w:spacing w:val="40"/>
        </w:rPr>
        <w:t xml:space="preserve"> </w:t>
      </w:r>
      <w:r>
        <w:t>correct</w:t>
      </w:r>
      <w:r>
        <w:rPr>
          <w:spacing w:val="40"/>
        </w:rPr>
        <w:t xml:space="preserve"> </w:t>
      </w:r>
      <w:r>
        <w:t>to</w:t>
      </w:r>
      <w:r>
        <w:rPr>
          <w:spacing w:val="40"/>
        </w:rPr>
        <w:t xml:space="preserve"> </w:t>
      </w:r>
      <w:r>
        <w:t>describe</w:t>
      </w:r>
      <w:r>
        <w:rPr>
          <w:spacing w:val="40"/>
        </w:rPr>
        <w:t xml:space="preserve"> </w:t>
      </w:r>
      <w:r>
        <w:t>“</w:t>
      </w:r>
      <w:r>
        <w:rPr>
          <w:i/>
        </w:rPr>
        <w:t>the</w:t>
      </w:r>
      <w:r>
        <w:rPr>
          <w:i/>
          <w:spacing w:val="40"/>
        </w:rPr>
        <w:t xml:space="preserve"> </w:t>
      </w:r>
      <w:r>
        <w:t>widespread</w:t>
      </w:r>
      <w:r>
        <w:rPr>
          <w:spacing w:val="40"/>
        </w:rPr>
        <w:t xml:space="preserve"> </w:t>
      </w:r>
      <w:r>
        <w:t>belief</w:t>
      </w:r>
      <w:r>
        <w:rPr>
          <w:spacing w:val="40"/>
        </w:rPr>
        <w:t xml:space="preserve"> </w:t>
      </w:r>
      <w:r>
        <w:t>that</w:t>
      </w:r>
      <w:r>
        <w:rPr>
          <w:spacing w:val="40"/>
        </w:rPr>
        <w:t xml:space="preserve"> </w:t>
      </w:r>
      <w:r>
        <w:t>smoking</w:t>
      </w:r>
      <w:r>
        <w:rPr>
          <w:spacing w:val="40"/>
        </w:rPr>
        <w:t xml:space="preserve"> </w:t>
      </w:r>
      <w:r>
        <w:t>causes</w:t>
      </w:r>
    </w:p>
    <w:p w14:paraId="7E0017C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CE" w14:textId="77777777" w:rsidR="009A58DB" w:rsidRDefault="00000000">
      <w:pPr>
        <w:pStyle w:val="BodyText"/>
        <w:spacing w:before="70"/>
      </w:pPr>
      <w:r>
        <w:lastRenderedPageBreak/>
        <w:t>cancer”</w:t>
      </w:r>
      <w:r>
        <w:rPr>
          <w:spacing w:val="-4"/>
        </w:rPr>
        <w:t xml:space="preserve"> </w:t>
      </w:r>
      <w:r>
        <w:t>as</w:t>
      </w:r>
      <w:r>
        <w:rPr>
          <w:spacing w:val="-4"/>
        </w:rPr>
        <w:t xml:space="preserve"> </w:t>
      </w:r>
      <w:r>
        <w:rPr>
          <w:spacing w:val="-2"/>
        </w:rPr>
        <w:t>unjustified.</w:t>
      </w:r>
    </w:p>
    <w:p w14:paraId="7E0017CF" w14:textId="77777777" w:rsidR="009A58DB" w:rsidRDefault="00000000">
      <w:pPr>
        <w:pStyle w:val="BodyText"/>
        <w:spacing w:before="10" w:line="249" w:lineRule="auto"/>
        <w:ind w:right="359" w:firstLine="360"/>
      </w:pPr>
      <w:r>
        <w:t xml:space="preserve">In general, there are many cases where </w:t>
      </w:r>
      <w:r>
        <w:rPr>
          <w:i/>
        </w:rPr>
        <w:t xml:space="preserve">the </w:t>
      </w:r>
      <w:r>
        <w:t>belief in such and such is unjustified and therefore isn’t knowledge, even though specific scientists had already discovered such and such and, therefore, knew it and, therefore, were justified in believing it. It thus happens that such and such is discovered before</w:t>
      </w:r>
      <w:r>
        <w:rPr>
          <w:spacing w:val="-3"/>
        </w:rPr>
        <w:t xml:space="preserve"> </w:t>
      </w:r>
      <w:r>
        <w:rPr>
          <w:i/>
        </w:rPr>
        <w:t>the</w:t>
      </w:r>
      <w:r>
        <w:rPr>
          <w:i/>
          <w:spacing w:val="-3"/>
        </w:rPr>
        <w:t xml:space="preserve"> </w:t>
      </w:r>
      <w:r>
        <w:t>belief in it is justified. It’s obvious why this might lead one to hold that discovering might precede justification and thus have nothing to do with it, and this is exactly what philosophers of science were led to hold. But it’s the wrong conclusion to draw. No one person can discover something</w:t>
      </w:r>
      <w:r>
        <w:rPr>
          <w:spacing w:val="40"/>
        </w:rPr>
        <w:t xml:space="preserve"> </w:t>
      </w:r>
      <w:r>
        <w:t xml:space="preserve">without knowing it or, therefore, be justified in believing it. The scientists who discovered that smoking causes cancer were justified in believing it. Their non-scientific contemporaries were </w:t>
      </w:r>
      <w:r>
        <w:rPr>
          <w:i/>
        </w:rPr>
        <w:t xml:space="preserve">not </w:t>
      </w:r>
      <w:r>
        <w:t>justified in believing it—but they didn’t know it either. And when in due course they did know it, it was only because they were justified in believing it. Nowhere in all this do justification and discovery pull apart.</w:t>
      </w:r>
    </w:p>
    <w:p w14:paraId="7E0017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D1" w14:textId="77777777" w:rsidR="009A58DB" w:rsidRDefault="00000000">
      <w:pPr>
        <w:spacing w:line="503" w:lineRule="exact"/>
        <w:ind w:left="326" w:right="332"/>
        <w:jc w:val="center"/>
        <w:rPr>
          <w:rFonts w:ascii="Calibri Light"/>
          <w:sz w:val="42"/>
        </w:rPr>
      </w:pPr>
      <w:bookmarkStart w:id="303" w:name="_bookmark303"/>
      <w:bookmarkEnd w:id="303"/>
      <w:r>
        <w:rPr>
          <w:rFonts w:ascii="Calibri Light"/>
          <w:sz w:val="42"/>
        </w:rPr>
        <w:lastRenderedPageBreak/>
        <w:t>Chapter</w:t>
      </w:r>
      <w:r>
        <w:rPr>
          <w:rFonts w:ascii="Calibri Light"/>
          <w:spacing w:val="56"/>
          <w:sz w:val="42"/>
        </w:rPr>
        <w:t xml:space="preserve"> </w:t>
      </w:r>
      <w:r>
        <w:rPr>
          <w:rFonts w:ascii="Calibri Light"/>
          <w:spacing w:val="-5"/>
          <w:sz w:val="42"/>
        </w:rPr>
        <w:t>11</w:t>
      </w:r>
    </w:p>
    <w:p w14:paraId="7E0017D2" w14:textId="77777777" w:rsidR="009A58DB" w:rsidRDefault="00000000">
      <w:pPr>
        <w:spacing w:before="222"/>
        <w:ind w:left="326" w:right="332"/>
        <w:jc w:val="center"/>
        <w:rPr>
          <w:rFonts w:ascii="Calibri Light"/>
          <w:sz w:val="42"/>
        </w:rPr>
      </w:pPr>
      <w:bookmarkStart w:id="304" w:name="_bookmark304"/>
      <w:bookmarkEnd w:id="304"/>
      <w:r>
        <w:rPr>
          <w:rFonts w:ascii="Calibri Light"/>
          <w:sz w:val="42"/>
        </w:rPr>
        <w:t>Cartesian</w:t>
      </w:r>
      <w:r>
        <w:rPr>
          <w:rFonts w:ascii="Calibri Light"/>
          <w:spacing w:val="42"/>
          <w:sz w:val="42"/>
        </w:rPr>
        <w:t xml:space="preserve"> </w:t>
      </w:r>
      <w:r>
        <w:rPr>
          <w:rFonts w:ascii="Calibri Light"/>
          <w:sz w:val="42"/>
        </w:rPr>
        <w:t>Skepticism</w:t>
      </w:r>
      <w:r>
        <w:rPr>
          <w:rFonts w:ascii="Calibri Light"/>
          <w:spacing w:val="43"/>
          <w:sz w:val="42"/>
        </w:rPr>
        <w:t xml:space="preserve"> </w:t>
      </w:r>
      <w:r>
        <w:rPr>
          <w:rFonts w:ascii="Calibri Light"/>
          <w:sz w:val="42"/>
        </w:rPr>
        <w:t>and</w:t>
      </w:r>
      <w:r>
        <w:rPr>
          <w:rFonts w:ascii="Calibri Light"/>
          <w:spacing w:val="43"/>
          <w:sz w:val="42"/>
        </w:rPr>
        <w:t xml:space="preserve"> </w:t>
      </w:r>
      <w:r>
        <w:rPr>
          <w:rFonts w:ascii="Calibri Light"/>
          <w:sz w:val="42"/>
        </w:rPr>
        <w:t>the</w:t>
      </w:r>
      <w:r>
        <w:rPr>
          <w:rFonts w:ascii="Calibri Light"/>
          <w:spacing w:val="42"/>
          <w:sz w:val="42"/>
        </w:rPr>
        <w:t xml:space="preserve"> </w:t>
      </w:r>
      <w:r>
        <w:rPr>
          <w:rFonts w:ascii="Calibri Light"/>
          <w:sz w:val="42"/>
        </w:rPr>
        <w:t>Birth</w:t>
      </w:r>
      <w:r>
        <w:rPr>
          <w:rFonts w:ascii="Calibri Light"/>
          <w:spacing w:val="43"/>
          <w:sz w:val="42"/>
        </w:rPr>
        <w:t xml:space="preserve"> </w:t>
      </w:r>
      <w:r>
        <w:rPr>
          <w:rFonts w:ascii="Calibri Light"/>
          <w:sz w:val="42"/>
        </w:rPr>
        <w:t>of</w:t>
      </w:r>
      <w:r>
        <w:rPr>
          <w:rFonts w:ascii="Calibri Light"/>
          <w:spacing w:val="43"/>
          <w:sz w:val="42"/>
        </w:rPr>
        <w:t xml:space="preserve"> </w:t>
      </w:r>
      <w:r>
        <w:rPr>
          <w:rFonts w:ascii="Calibri Light"/>
          <w:spacing w:val="-2"/>
          <w:sz w:val="42"/>
        </w:rPr>
        <w:t>Epistemology</w:t>
      </w:r>
    </w:p>
    <w:p w14:paraId="7E0017D3" w14:textId="77777777" w:rsidR="009A58DB" w:rsidRDefault="00000000">
      <w:pPr>
        <w:pStyle w:val="Heading1"/>
        <w:numPr>
          <w:ilvl w:val="0"/>
          <w:numId w:val="124"/>
        </w:numPr>
        <w:tabs>
          <w:tab w:val="left" w:pos="990"/>
        </w:tabs>
        <w:spacing w:before="185"/>
        <w:jc w:val="both"/>
      </w:pPr>
      <w:r>
        <w:t>Descartes’</w:t>
      </w:r>
      <w:r>
        <w:rPr>
          <w:spacing w:val="-9"/>
        </w:rPr>
        <w:t xml:space="preserve"> </w:t>
      </w:r>
      <w:r>
        <w:t>importance</w:t>
      </w:r>
      <w:r>
        <w:rPr>
          <w:spacing w:val="-6"/>
        </w:rPr>
        <w:t xml:space="preserve"> </w:t>
      </w:r>
      <w:r>
        <w:t>to</w:t>
      </w:r>
      <w:r>
        <w:rPr>
          <w:spacing w:val="-5"/>
        </w:rPr>
        <w:t xml:space="preserve"> </w:t>
      </w:r>
      <w:r>
        <w:rPr>
          <w:spacing w:val="-2"/>
        </w:rPr>
        <w:t>philosophy</w:t>
      </w:r>
    </w:p>
    <w:p w14:paraId="7E0017D4" w14:textId="77777777" w:rsidR="009A58DB" w:rsidRDefault="00000000">
      <w:pPr>
        <w:pStyle w:val="BodyText"/>
        <w:spacing w:before="139"/>
      </w:pPr>
      <w:r>
        <w:t>Pre-modern</w:t>
      </w:r>
      <w:r>
        <w:rPr>
          <w:spacing w:val="-2"/>
        </w:rPr>
        <w:t xml:space="preserve"> </w:t>
      </w:r>
      <w:r>
        <w:t>philosophy</w:t>
      </w:r>
      <w:r>
        <w:rPr>
          <w:spacing w:val="-2"/>
        </w:rPr>
        <w:t xml:space="preserve"> </w:t>
      </w:r>
      <w:r>
        <w:t>tended</w:t>
      </w:r>
      <w:r>
        <w:rPr>
          <w:spacing w:val="-1"/>
        </w:rPr>
        <w:t xml:space="preserve"> </w:t>
      </w:r>
      <w:r>
        <w:t>to</w:t>
      </w:r>
      <w:r>
        <w:rPr>
          <w:spacing w:val="-2"/>
        </w:rPr>
        <w:t xml:space="preserve"> </w:t>
      </w:r>
      <w:r>
        <w:t>focus</w:t>
      </w:r>
      <w:r>
        <w:rPr>
          <w:spacing w:val="-1"/>
        </w:rPr>
        <w:t xml:space="preserve"> </w:t>
      </w:r>
      <w:r>
        <w:t>on</w:t>
      </w:r>
      <w:r>
        <w:rPr>
          <w:spacing w:val="-2"/>
        </w:rPr>
        <w:t xml:space="preserve"> </w:t>
      </w:r>
      <w:r>
        <w:t>two</w:t>
      </w:r>
      <w:r>
        <w:rPr>
          <w:spacing w:val="-1"/>
        </w:rPr>
        <w:t xml:space="preserve"> </w:t>
      </w:r>
      <w:r>
        <w:t>questions:</w:t>
      </w:r>
      <w:r>
        <w:rPr>
          <w:spacing w:val="-2"/>
        </w:rPr>
        <w:t xml:space="preserve"> </w:t>
      </w:r>
      <w:r>
        <w:t>(i)</w:t>
      </w:r>
      <w:r>
        <w:rPr>
          <w:spacing w:val="-1"/>
        </w:rPr>
        <w:t xml:space="preserve"> </w:t>
      </w:r>
      <w:r>
        <w:t>Does</w:t>
      </w:r>
      <w:r>
        <w:rPr>
          <w:spacing w:val="-2"/>
        </w:rPr>
        <w:t xml:space="preserve"> </w:t>
      </w:r>
      <w:r>
        <w:t>God</w:t>
      </w:r>
      <w:r>
        <w:rPr>
          <w:spacing w:val="-1"/>
        </w:rPr>
        <w:t xml:space="preserve"> </w:t>
      </w:r>
      <w:r>
        <w:rPr>
          <w:spacing w:val="-2"/>
        </w:rPr>
        <w:t>exist?</w:t>
      </w:r>
    </w:p>
    <w:p w14:paraId="7E0017D5" w14:textId="77777777" w:rsidR="009A58DB" w:rsidRDefault="00000000">
      <w:pPr>
        <w:pStyle w:val="BodyText"/>
        <w:spacing w:before="15" w:line="249" w:lineRule="auto"/>
        <w:ind w:right="360"/>
      </w:pPr>
      <w:r>
        <w:t>(ii)</w:t>
      </w:r>
      <w:r>
        <w:rPr>
          <w:spacing w:val="-1"/>
        </w:rPr>
        <w:t xml:space="preserve"> </w:t>
      </w:r>
      <w:r>
        <w:t>Do</w:t>
      </w:r>
      <w:r>
        <w:rPr>
          <w:spacing w:val="-1"/>
        </w:rPr>
        <w:t xml:space="preserve"> </w:t>
      </w:r>
      <w:r>
        <w:t>universals</w:t>
      </w:r>
      <w:r>
        <w:rPr>
          <w:spacing w:val="-1"/>
        </w:rPr>
        <w:t xml:space="preserve"> </w:t>
      </w:r>
      <w:r>
        <w:t>exist</w:t>
      </w:r>
      <w:r>
        <w:rPr>
          <w:spacing w:val="-1"/>
        </w:rPr>
        <w:t xml:space="preserve"> </w:t>
      </w:r>
      <w:r>
        <w:t>independently</w:t>
      </w:r>
      <w:r>
        <w:rPr>
          <w:spacing w:val="-1"/>
        </w:rPr>
        <w:t xml:space="preserve"> </w:t>
      </w:r>
      <w:r>
        <w:t>of</w:t>
      </w:r>
      <w:r>
        <w:rPr>
          <w:spacing w:val="-1"/>
        </w:rPr>
        <w:t xml:space="preserve"> </w:t>
      </w:r>
      <w:r>
        <w:t>thought?</w:t>
      </w:r>
      <w:r>
        <w:rPr>
          <w:spacing w:val="-1"/>
        </w:rPr>
        <w:t xml:space="preserve"> </w:t>
      </w:r>
      <w:r>
        <w:t>A</w:t>
      </w:r>
      <w:r>
        <w:rPr>
          <w:spacing w:val="-1"/>
        </w:rPr>
        <w:t xml:space="preserve"> </w:t>
      </w:r>
      <w:r>
        <w:t>universal</w:t>
      </w:r>
      <w:r>
        <w:rPr>
          <w:spacing w:val="-1"/>
        </w:rPr>
        <w:t xml:space="preserve"> </w:t>
      </w:r>
      <w:r>
        <w:t>is</w:t>
      </w:r>
      <w:r>
        <w:rPr>
          <w:spacing w:val="-1"/>
        </w:rPr>
        <w:t xml:space="preserve"> </w:t>
      </w:r>
      <w:r>
        <w:t>a</w:t>
      </w:r>
      <w:r>
        <w:rPr>
          <w:spacing w:val="-1"/>
        </w:rPr>
        <w:t xml:space="preserve"> </w:t>
      </w:r>
      <w:r>
        <w:t>property</w:t>
      </w:r>
      <w:r>
        <w:rPr>
          <w:spacing w:val="-1"/>
        </w:rPr>
        <w:t xml:space="preserve"> </w:t>
      </w:r>
      <w:r>
        <w:t xml:space="preserve">or </w:t>
      </w:r>
      <w:r>
        <w:rPr>
          <w:spacing w:val="-2"/>
        </w:rPr>
        <w:t>characteristic.</w:t>
      </w:r>
    </w:p>
    <w:p w14:paraId="7E0017D6" w14:textId="77777777" w:rsidR="009A58DB" w:rsidRDefault="00000000">
      <w:pPr>
        <w:pStyle w:val="BodyText"/>
        <w:spacing w:before="3" w:line="249" w:lineRule="auto"/>
        <w:ind w:right="362" w:firstLine="360"/>
      </w:pPr>
      <w:r>
        <w:t>Modern philosophy is generally held to have begun with the work of Rene Descartes (1596–1650). Descartes believed in God’s existence, and he also believed that he knew exactly how God’s existence was to be proved. He therefore considered the case to be closed on question (i). Descartes wasn’t interested in question (ii) and said little about it.</w:t>
      </w:r>
    </w:p>
    <w:p w14:paraId="7E0017D7" w14:textId="77777777" w:rsidR="009A58DB" w:rsidRDefault="00000000">
      <w:pPr>
        <w:pStyle w:val="BodyText"/>
        <w:spacing w:before="6" w:line="249" w:lineRule="auto"/>
        <w:ind w:right="358" w:firstLine="360"/>
      </w:pPr>
      <w:r>
        <w:t>Descartes’ single-handedly invented the discipline of analytic epistemology. But Descartes’ specific epistemological views aren’t what make</w:t>
      </w:r>
      <w:r>
        <w:rPr>
          <w:spacing w:val="-3"/>
        </w:rPr>
        <w:t xml:space="preserve"> </w:t>
      </w:r>
      <w:r>
        <w:t>him</w:t>
      </w:r>
      <w:r>
        <w:rPr>
          <w:spacing w:val="-3"/>
        </w:rPr>
        <w:t xml:space="preserve"> </w:t>
      </w:r>
      <w:r>
        <w:t>so</w:t>
      </w:r>
      <w:r>
        <w:rPr>
          <w:spacing w:val="-2"/>
        </w:rPr>
        <w:t xml:space="preserve"> </w:t>
      </w:r>
      <w:r>
        <w:t>important</w:t>
      </w:r>
      <w:r>
        <w:rPr>
          <w:spacing w:val="-3"/>
        </w:rPr>
        <w:t xml:space="preserve"> </w:t>
      </w:r>
      <w:r>
        <w:t>to</w:t>
      </w:r>
      <w:r>
        <w:rPr>
          <w:spacing w:val="-2"/>
        </w:rPr>
        <w:t xml:space="preserve"> </w:t>
      </w:r>
      <w:r>
        <w:t>philosophy.</w:t>
      </w:r>
      <w:r>
        <w:rPr>
          <w:spacing w:val="-2"/>
        </w:rPr>
        <w:t xml:space="preserve"> </w:t>
      </w:r>
      <w:r>
        <w:t>What</w:t>
      </w:r>
      <w:r>
        <w:rPr>
          <w:spacing w:val="-3"/>
        </w:rPr>
        <w:t xml:space="preserve"> </w:t>
      </w:r>
      <w:r>
        <w:t>did</w:t>
      </w:r>
      <w:r>
        <w:rPr>
          <w:spacing w:val="-2"/>
        </w:rPr>
        <w:t xml:space="preserve"> </w:t>
      </w:r>
      <w:r>
        <w:t>so</w:t>
      </w:r>
      <w:r>
        <w:rPr>
          <w:spacing w:val="-2"/>
        </w:rPr>
        <w:t xml:space="preserve"> </w:t>
      </w:r>
      <w:r>
        <w:t>was</w:t>
      </w:r>
      <w:r>
        <w:rPr>
          <w:spacing w:val="-3"/>
        </w:rPr>
        <w:t xml:space="preserve"> </w:t>
      </w:r>
      <w:r>
        <w:t>his</w:t>
      </w:r>
      <w:r>
        <w:rPr>
          <w:spacing w:val="-3"/>
        </w:rPr>
        <w:t xml:space="preserve"> </w:t>
      </w:r>
      <w:r>
        <w:t>conviction</w:t>
      </w:r>
      <w:r>
        <w:rPr>
          <w:spacing w:val="-2"/>
        </w:rPr>
        <w:t xml:space="preserve"> </w:t>
      </w:r>
      <w:r>
        <w:t>that</w:t>
      </w:r>
      <w:r>
        <w:rPr>
          <w:spacing w:val="-3"/>
        </w:rPr>
        <w:t xml:space="preserve"> </w:t>
      </w:r>
      <w:r>
        <w:t xml:space="preserve">we shouldn’t believe anything that cannot be rigorously established. For Descartes, </w:t>
      </w:r>
      <w:r>
        <w:rPr>
          <w:i/>
        </w:rPr>
        <w:t xml:space="preserve">nothing </w:t>
      </w:r>
      <w:r>
        <w:t xml:space="preserve">ought to be taken on faith. Everything, including God’s existence and the legitimacy of scripture, had to be established. Even though he himself believed in God, he felt it necessary to </w:t>
      </w:r>
      <w:r>
        <w:rPr>
          <w:i/>
        </w:rPr>
        <w:t xml:space="preserve">justify </w:t>
      </w:r>
      <w:r>
        <w:t xml:space="preserve">his belief in God. And did he justify it, or at least tried to, by providing two carefully constructed argument’s for God’s existence, which we’ll consider in a few </w:t>
      </w:r>
      <w:r>
        <w:rPr>
          <w:spacing w:val="-2"/>
        </w:rPr>
        <w:t>pages.</w:t>
      </w:r>
    </w:p>
    <w:p w14:paraId="7E0017D8" w14:textId="77777777" w:rsidR="009A58DB" w:rsidRDefault="00000000">
      <w:pPr>
        <w:pStyle w:val="BodyText"/>
        <w:spacing w:before="12" w:line="249" w:lineRule="auto"/>
        <w:ind w:right="368" w:firstLine="360"/>
      </w:pPr>
      <w:r>
        <w:t xml:space="preserve">Thus, the central tenet of Descartes’ work is that nothing ought to be accepted unless there is a logical, as opposed to faith-based, reason for doing so. So far as this was even </w:t>
      </w:r>
      <w:r>
        <w:rPr>
          <w:i/>
        </w:rPr>
        <w:t xml:space="preserve">a </w:t>
      </w:r>
      <w:r>
        <w:t xml:space="preserve">tenet or pre-Cartesian philosophy, it wasn’t the main tenet of it. But it </w:t>
      </w:r>
      <w:r>
        <w:rPr>
          <w:i/>
        </w:rPr>
        <w:t>is</w:t>
      </w:r>
      <w:r>
        <w:rPr>
          <w:i/>
          <w:spacing w:val="-4"/>
        </w:rPr>
        <w:t xml:space="preserve"> </w:t>
      </w:r>
      <w:r>
        <w:t>the main tenet of modern philosophy, which is why Descartes is generally seen as the founder of it.</w:t>
      </w:r>
    </w:p>
    <w:p w14:paraId="7E0017D9" w14:textId="77777777" w:rsidR="009A58DB" w:rsidRDefault="00000000">
      <w:pPr>
        <w:pStyle w:val="BodyText"/>
        <w:spacing w:before="6" w:line="249" w:lineRule="auto"/>
        <w:ind w:right="357" w:firstLine="360"/>
      </w:pPr>
      <w:r>
        <w:t xml:space="preserve">In addition to being a great philosopher, Descartes was a great mathematician. He invented the discipline of analytic geometry. This fact about him is deeply relevant to his philosophical work. Descartes believed that </w:t>
      </w:r>
      <w:r>
        <w:rPr>
          <w:i/>
        </w:rPr>
        <w:t xml:space="preserve">all </w:t>
      </w:r>
      <w:r>
        <w:t xml:space="preserve">knowledge ought to be modeled on geometrical knowledge—more specifically, on Euclid’s </w:t>
      </w:r>
      <w:r>
        <w:rPr>
          <w:b/>
          <w:i/>
        </w:rPr>
        <w:t xml:space="preserve">axiomatization </w:t>
      </w:r>
      <w:r>
        <w:t>of geometry.</w:t>
      </w:r>
    </w:p>
    <w:p w14:paraId="7E0017DA" w14:textId="77777777" w:rsidR="009A58DB" w:rsidRDefault="00000000">
      <w:pPr>
        <w:pStyle w:val="BodyText"/>
        <w:spacing w:before="6"/>
        <w:ind w:left="720"/>
        <w:jc w:val="left"/>
      </w:pPr>
      <w:r>
        <w:t>Euclid</w:t>
      </w:r>
      <w:r>
        <w:rPr>
          <w:spacing w:val="42"/>
        </w:rPr>
        <w:t xml:space="preserve"> </w:t>
      </w:r>
      <w:r>
        <w:t>attempted,</w:t>
      </w:r>
      <w:r>
        <w:rPr>
          <w:spacing w:val="45"/>
        </w:rPr>
        <w:t xml:space="preserve"> </w:t>
      </w:r>
      <w:r>
        <w:t>with</w:t>
      </w:r>
      <w:r>
        <w:rPr>
          <w:spacing w:val="44"/>
        </w:rPr>
        <w:t xml:space="preserve"> </w:t>
      </w:r>
      <w:r>
        <w:t>some</w:t>
      </w:r>
      <w:r>
        <w:rPr>
          <w:spacing w:val="45"/>
        </w:rPr>
        <w:t xml:space="preserve"> </w:t>
      </w:r>
      <w:r>
        <w:t>succes</w:t>
      </w:r>
      <w:bookmarkStart w:id="305" w:name="_bookmark305"/>
      <w:bookmarkEnd w:id="305"/>
      <w:r>
        <w:t>s</w:t>
      </w:r>
      <w:r>
        <w:rPr>
          <w:color w:val="0562C1"/>
          <w:position w:val="21"/>
          <w:u w:val="single" w:color="0562C1"/>
        </w:rPr>
        <w:t>[201]</w:t>
      </w:r>
      <w:r>
        <w:t>,</w:t>
      </w:r>
      <w:r>
        <w:rPr>
          <w:spacing w:val="46"/>
        </w:rPr>
        <w:t xml:space="preserve"> </w:t>
      </w:r>
      <w:r>
        <w:t>to</w:t>
      </w:r>
      <w:r>
        <w:rPr>
          <w:spacing w:val="48"/>
        </w:rPr>
        <w:t xml:space="preserve"> </w:t>
      </w:r>
      <w:r>
        <w:t>show</w:t>
      </w:r>
      <w:r>
        <w:rPr>
          <w:spacing w:val="46"/>
        </w:rPr>
        <w:t xml:space="preserve"> </w:t>
      </w:r>
      <w:r>
        <w:t>that</w:t>
      </w:r>
      <w:r>
        <w:rPr>
          <w:spacing w:val="47"/>
        </w:rPr>
        <w:t xml:space="preserve"> </w:t>
      </w:r>
      <w:r>
        <w:t>every</w:t>
      </w:r>
      <w:r>
        <w:rPr>
          <w:spacing w:val="48"/>
        </w:rPr>
        <w:t xml:space="preserve"> </w:t>
      </w:r>
      <w:r>
        <w:rPr>
          <w:spacing w:val="-2"/>
        </w:rPr>
        <w:t>accepted</w:t>
      </w:r>
    </w:p>
    <w:p w14:paraId="7E0017DB" w14:textId="77777777" w:rsidR="009A58DB" w:rsidRDefault="009A58DB">
      <w:pPr>
        <w:pStyle w:val="BodyText"/>
        <w:jc w:val="left"/>
        <w:sectPr w:rsidR="009A58DB">
          <w:pgSz w:w="12240" w:h="15840"/>
          <w:pgMar w:top="1680" w:right="1080" w:bottom="280" w:left="1080" w:header="720" w:footer="720" w:gutter="0"/>
          <w:cols w:space="720"/>
        </w:sectPr>
      </w:pPr>
    </w:p>
    <w:p w14:paraId="7E0017DC" w14:textId="77777777" w:rsidR="009A58DB" w:rsidRDefault="00000000">
      <w:pPr>
        <w:pStyle w:val="BodyText"/>
        <w:spacing w:before="60" w:line="249" w:lineRule="auto"/>
        <w:ind w:right="359"/>
      </w:pPr>
      <w:r>
        <w:lastRenderedPageBreak/>
        <w:t>principle of geometry could be derived from a small number of assumptions that he referred to as “axioms” or “postulates.” (The distinction between axioms and postulates isn’t important, and these days only the term “axiom” is used.) As contemporary logicians and mathematicians use it, the word “axiom” refers to any statement that, in a given argumentative context, is simply assumed to be true and therefore isn’t argued for. But Euclid used this word (or its Ancient Greek counterpart, rather) to refer to what he believed to be self-evident truths—truths that could not be grasped without being seen to be true and that neither required nor admitted of justification. (Among Euclid’s</w:t>
      </w:r>
      <w:r>
        <w:rPr>
          <w:spacing w:val="-3"/>
        </w:rPr>
        <w:t xml:space="preserve"> </w:t>
      </w:r>
      <w:r>
        <w:t>axioms</w:t>
      </w:r>
      <w:r>
        <w:rPr>
          <w:spacing w:val="-2"/>
        </w:rPr>
        <w:t xml:space="preserve"> </w:t>
      </w:r>
      <w:r>
        <w:t>are</w:t>
      </w:r>
      <w:r>
        <w:rPr>
          <w:spacing w:val="-2"/>
        </w:rPr>
        <w:t xml:space="preserve"> </w:t>
      </w:r>
      <w:r>
        <w:t>“all</w:t>
      </w:r>
      <w:r>
        <w:rPr>
          <w:spacing w:val="-2"/>
        </w:rPr>
        <w:t xml:space="preserve"> </w:t>
      </w:r>
      <w:r>
        <w:t>right</w:t>
      </w:r>
      <w:r>
        <w:rPr>
          <w:spacing w:val="-2"/>
        </w:rPr>
        <w:t xml:space="preserve"> </w:t>
      </w:r>
      <w:r>
        <w:t>angles</w:t>
      </w:r>
      <w:r>
        <w:rPr>
          <w:spacing w:val="-2"/>
        </w:rPr>
        <w:t xml:space="preserve"> </w:t>
      </w:r>
      <w:r>
        <w:t>are</w:t>
      </w:r>
      <w:r>
        <w:rPr>
          <w:spacing w:val="-2"/>
        </w:rPr>
        <w:t xml:space="preserve"> </w:t>
      </w:r>
      <w:r>
        <w:t>equal</w:t>
      </w:r>
      <w:r>
        <w:rPr>
          <w:spacing w:val="-2"/>
        </w:rPr>
        <w:t xml:space="preserve"> </w:t>
      </w:r>
      <w:r>
        <w:t>to</w:t>
      </w:r>
      <w:r>
        <w:rPr>
          <w:spacing w:val="-2"/>
        </w:rPr>
        <w:t xml:space="preserve"> </w:t>
      </w:r>
      <w:r>
        <w:t>each</w:t>
      </w:r>
      <w:r>
        <w:rPr>
          <w:spacing w:val="-2"/>
        </w:rPr>
        <w:t xml:space="preserve"> </w:t>
      </w:r>
      <w:r>
        <w:t>other,”</w:t>
      </w:r>
      <w:r>
        <w:rPr>
          <w:spacing w:val="-2"/>
        </w:rPr>
        <w:t xml:space="preserve"> </w:t>
      </w:r>
      <w:r>
        <w:t>“any</w:t>
      </w:r>
      <w:r>
        <w:rPr>
          <w:spacing w:val="-2"/>
        </w:rPr>
        <w:t xml:space="preserve"> </w:t>
      </w:r>
      <w:r>
        <w:t>two</w:t>
      </w:r>
      <w:r>
        <w:rPr>
          <w:spacing w:val="-2"/>
        </w:rPr>
        <w:t xml:space="preserve"> </w:t>
      </w:r>
      <w:r>
        <w:t xml:space="preserve">points are connected by some straight line,” and “a given line segment can be extended </w:t>
      </w:r>
      <w:r>
        <w:rPr>
          <w:i/>
        </w:rPr>
        <w:t>ad infinitum.</w:t>
      </w:r>
      <w:r>
        <w:t>”)</w:t>
      </w:r>
    </w:p>
    <w:p w14:paraId="7E0017DD" w14:textId="77777777" w:rsidR="009A58DB" w:rsidRDefault="00000000">
      <w:pPr>
        <w:pStyle w:val="BodyText"/>
        <w:spacing w:before="19" w:line="249" w:lineRule="auto"/>
        <w:ind w:right="359" w:firstLine="360"/>
      </w:pPr>
      <w:r>
        <w:t xml:space="preserve">Descartes tried to show that what Euclid did for geometrical knowledge could be done for </w:t>
      </w:r>
      <w:r>
        <w:rPr>
          <w:i/>
        </w:rPr>
        <w:t xml:space="preserve">all </w:t>
      </w:r>
      <w:r>
        <w:t xml:space="preserve">knowledge. That is, he tried to show that human knowledge could be derived from a few self-evident truths. This was one of the objectives of his most famous work, the </w:t>
      </w:r>
      <w:r>
        <w:rPr>
          <w:i/>
        </w:rPr>
        <w:t xml:space="preserve">Meditations on First Philosophy </w:t>
      </w:r>
      <w:r>
        <w:t>(or simply “the Meditations”).</w:t>
      </w:r>
    </w:p>
    <w:p w14:paraId="7E0017DE" w14:textId="77777777" w:rsidR="009A58DB" w:rsidRDefault="00000000">
      <w:pPr>
        <w:pStyle w:val="BodyText"/>
        <w:spacing w:before="7" w:line="249" w:lineRule="auto"/>
        <w:ind w:right="361" w:firstLine="360"/>
      </w:pPr>
      <w:r>
        <w:t xml:space="preserve">The other objective of that work is to refute </w:t>
      </w:r>
      <w:r>
        <w:rPr>
          <w:i/>
        </w:rPr>
        <w:t xml:space="preserve">skepticism. </w:t>
      </w:r>
      <w:r>
        <w:t>Skepticism is the doctrine that we can’t establish that any of our sense-perceptions represent</w:t>
      </w:r>
      <w:r>
        <w:rPr>
          <w:spacing w:val="40"/>
        </w:rPr>
        <w:t xml:space="preserve"> </w:t>
      </w:r>
      <w:r>
        <w:t>the world as it really is—that we can’t know that our experiences aren’t just one big hallucination or dream.</w:t>
      </w:r>
    </w:p>
    <w:p w14:paraId="7E0017DF" w14:textId="77777777" w:rsidR="009A58DB" w:rsidRDefault="00000000">
      <w:pPr>
        <w:pStyle w:val="BodyText"/>
        <w:spacing w:before="4" w:line="249" w:lineRule="auto"/>
        <w:ind w:right="361" w:firstLine="360"/>
      </w:pPr>
      <w:r>
        <w:t xml:space="preserve">I believe that I am now typing on a keyboard. But how do I know this? This question might seem trivial. But it turns out not to be so easy to answer. Descartes tried to answer it. He failed. He also failed to axiomatize human knowledge. But he made some good points along the way. Plus, many a correct and important epistemological view is to be understood </w:t>
      </w:r>
      <w:r>
        <w:rPr>
          <w:i/>
        </w:rPr>
        <w:t xml:space="preserve">in terms of </w:t>
      </w:r>
      <w:r>
        <w:t>Descartes’ views, which is why, even though the latter are often wrong, they deserve careful consideration.</w:t>
      </w:r>
    </w:p>
    <w:p w14:paraId="7E0017E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E1" w14:textId="77777777" w:rsidR="009A58DB" w:rsidRDefault="00000000">
      <w:pPr>
        <w:pStyle w:val="BodyText"/>
        <w:spacing w:before="65" w:line="249" w:lineRule="auto"/>
        <w:ind w:right="359" w:firstLine="360"/>
      </w:pPr>
      <w:r>
        <w:lastRenderedPageBreak/>
        <w:t>Even</w:t>
      </w:r>
      <w:r>
        <w:rPr>
          <w:spacing w:val="-4"/>
        </w:rPr>
        <w:t xml:space="preserve"> </w:t>
      </w:r>
      <w:r>
        <w:t>though</w:t>
      </w:r>
      <w:r>
        <w:rPr>
          <w:spacing w:val="-4"/>
        </w:rPr>
        <w:t xml:space="preserve"> </w:t>
      </w:r>
      <w:r>
        <w:t>the</w:t>
      </w:r>
      <w:r>
        <w:rPr>
          <w:spacing w:val="-5"/>
        </w:rPr>
        <w:t xml:space="preserve"> </w:t>
      </w:r>
      <w:r>
        <w:rPr>
          <w:i/>
        </w:rPr>
        <w:t>Meditations</w:t>
      </w:r>
      <w:r>
        <w:rPr>
          <w:i/>
          <w:spacing w:val="-5"/>
        </w:rPr>
        <w:t xml:space="preserve"> </w:t>
      </w:r>
      <w:r>
        <w:t>are concerned primarily with the justification of our beliefs, they also concern the existence and nature of God, the roles played by reason and sense-perception in the acquisition of knowledge, and the relation of mind to body. Descartes felt it necessary, with some justice, to deal with these topics in order to deal with the epistemological problem with which the work is primarily concerned. Below are summaries and critical evaluations of the meditations.</w:t>
      </w:r>
    </w:p>
    <w:p w14:paraId="7E0017E2" w14:textId="77777777" w:rsidR="009A58DB" w:rsidRDefault="00000000">
      <w:pPr>
        <w:pStyle w:val="Heading1"/>
        <w:numPr>
          <w:ilvl w:val="0"/>
          <w:numId w:val="124"/>
        </w:numPr>
        <w:tabs>
          <w:tab w:val="left" w:pos="1050"/>
        </w:tabs>
        <w:spacing w:before="196" w:line="244" w:lineRule="auto"/>
        <w:ind w:left="360" w:right="362" w:firstLine="0"/>
      </w:pPr>
      <w:r>
        <w:t>Meditation</w:t>
      </w:r>
      <w:r>
        <w:rPr>
          <w:spacing w:val="40"/>
        </w:rPr>
        <w:t xml:space="preserve"> </w:t>
      </w:r>
      <w:r>
        <w:t>1:</w:t>
      </w:r>
      <w:r>
        <w:rPr>
          <w:spacing w:val="40"/>
        </w:rPr>
        <w:t xml:space="preserve"> </w:t>
      </w:r>
      <w:r>
        <w:t>“Of</w:t>
      </w:r>
      <w:r>
        <w:rPr>
          <w:spacing w:val="40"/>
        </w:rPr>
        <w:t xml:space="preserve"> </w:t>
      </w:r>
      <w:r>
        <w:t>the</w:t>
      </w:r>
      <w:r>
        <w:rPr>
          <w:spacing w:val="40"/>
        </w:rPr>
        <w:t xml:space="preserve"> </w:t>
      </w:r>
      <w:r>
        <w:t>things</w:t>
      </w:r>
      <w:r>
        <w:rPr>
          <w:spacing w:val="40"/>
        </w:rPr>
        <w:t xml:space="preserve"> </w:t>
      </w:r>
      <w:r>
        <w:t>of</w:t>
      </w:r>
      <w:r>
        <w:rPr>
          <w:spacing w:val="40"/>
        </w:rPr>
        <w:t xml:space="preserve"> </w:t>
      </w:r>
      <w:r>
        <w:t>which</w:t>
      </w:r>
      <w:r>
        <w:rPr>
          <w:spacing w:val="40"/>
        </w:rPr>
        <w:t xml:space="preserve"> </w:t>
      </w:r>
      <w:r>
        <w:t>we</w:t>
      </w:r>
      <w:r>
        <w:rPr>
          <w:spacing w:val="40"/>
        </w:rPr>
        <w:t xml:space="preserve"> </w:t>
      </w:r>
      <w:r>
        <w:t xml:space="preserve">may </w:t>
      </w:r>
      <w:r>
        <w:rPr>
          <w:spacing w:val="-2"/>
        </w:rPr>
        <w:t>doubt”</w:t>
      </w:r>
    </w:p>
    <w:p w14:paraId="7E0017E3" w14:textId="77777777" w:rsidR="009A58DB" w:rsidRDefault="00000000">
      <w:pPr>
        <w:pStyle w:val="BodyText"/>
        <w:spacing w:before="132" w:line="249" w:lineRule="auto"/>
        <w:ind w:right="364"/>
      </w:pPr>
      <w:r>
        <w:t xml:space="preserve">How do I know that I have two hands? The obvious answer is: I can just </w:t>
      </w:r>
      <w:r>
        <w:rPr>
          <w:i/>
        </w:rPr>
        <w:t xml:space="preserve">see </w:t>
      </w:r>
      <w:r>
        <w:t>that I do. But how do I know I am not hallucinating or dreaming? This question is not so easy to answer.</w:t>
      </w:r>
    </w:p>
    <w:p w14:paraId="7E0017E4" w14:textId="77777777" w:rsidR="009A58DB" w:rsidRDefault="00000000">
      <w:pPr>
        <w:pStyle w:val="BodyText"/>
        <w:spacing w:before="4" w:line="249" w:lineRule="auto"/>
        <w:ind w:right="361" w:firstLine="360"/>
      </w:pPr>
      <w:r>
        <w:t xml:space="preserve">Historically, there have been two ways of answering this question: the </w:t>
      </w:r>
      <w:r>
        <w:rPr>
          <w:i/>
        </w:rPr>
        <w:t xml:space="preserve">foundationalist </w:t>
      </w:r>
      <w:r>
        <w:t xml:space="preserve">way and the </w:t>
      </w:r>
      <w:r>
        <w:rPr>
          <w:i/>
        </w:rPr>
        <w:t xml:space="preserve">coherentist </w:t>
      </w:r>
      <w:r>
        <w:t>way. Aristotle was a foundationalist, and so was Descartes</w:t>
      </w:r>
      <w:bookmarkStart w:id="306" w:name="_bookmark306"/>
      <w:bookmarkEnd w:id="306"/>
      <w:r>
        <w:t>.</w:t>
      </w:r>
      <w:r>
        <w:rPr>
          <w:color w:val="0562C1"/>
          <w:position w:val="21"/>
          <w:u w:val="single" w:color="0562C1"/>
        </w:rPr>
        <w:t>[202]</w:t>
      </w:r>
      <w:r>
        <w:rPr>
          <w:color w:val="0562C1"/>
          <w:position w:val="21"/>
        </w:rPr>
        <w:t xml:space="preserve"> </w:t>
      </w:r>
      <w:r>
        <w:t>According to foundationalism, all knowledge coincides with, or rests on top of, knowledge of certain self-evident principles. So the structure of a person’s knowledge is like that of a building. There is a ground floor, or foundation, on which everything else rests. Different foundationalists have different views as to which principles are foundational. We’ll discuss Descartes’ views on this in a moment.</w:t>
      </w:r>
    </w:p>
    <w:p w14:paraId="7E0017E5" w14:textId="77777777" w:rsidR="009A58DB" w:rsidRDefault="00000000">
      <w:pPr>
        <w:pStyle w:val="BodyText"/>
        <w:spacing w:before="10" w:line="249" w:lineRule="auto"/>
        <w:ind w:right="359" w:firstLine="360"/>
      </w:pPr>
      <w:r>
        <w:rPr>
          <w:i/>
        </w:rPr>
        <w:t>Coherentists</w:t>
      </w:r>
      <w:r>
        <w:rPr>
          <w:i/>
          <w:spacing w:val="-4"/>
        </w:rPr>
        <w:t xml:space="preserve"> </w:t>
      </w:r>
      <w:r>
        <w:t>say that there are no foundational pieces of knowledge; there is no ground floor, so to speak— no self-evidently correct beliefs with which either</w:t>
      </w:r>
      <w:r>
        <w:rPr>
          <w:spacing w:val="-2"/>
        </w:rPr>
        <w:t xml:space="preserve"> </w:t>
      </w:r>
      <w:r>
        <w:t>all</w:t>
      </w:r>
      <w:r>
        <w:rPr>
          <w:spacing w:val="-2"/>
        </w:rPr>
        <w:t xml:space="preserve"> </w:t>
      </w:r>
      <w:r>
        <w:t>knowledge</w:t>
      </w:r>
      <w:r>
        <w:rPr>
          <w:spacing w:val="-2"/>
        </w:rPr>
        <w:t xml:space="preserve"> </w:t>
      </w:r>
      <w:r>
        <w:t>coincides</w:t>
      </w:r>
      <w:r>
        <w:rPr>
          <w:spacing w:val="-2"/>
        </w:rPr>
        <w:t xml:space="preserve"> </w:t>
      </w:r>
      <w:r>
        <w:t>or</w:t>
      </w:r>
      <w:r>
        <w:rPr>
          <w:spacing w:val="-2"/>
        </w:rPr>
        <w:t xml:space="preserve"> </w:t>
      </w:r>
      <w:r>
        <w:t>on</w:t>
      </w:r>
      <w:r>
        <w:rPr>
          <w:spacing w:val="-2"/>
        </w:rPr>
        <w:t xml:space="preserve"> </w:t>
      </w:r>
      <w:r>
        <w:t>which</w:t>
      </w:r>
      <w:r>
        <w:rPr>
          <w:spacing w:val="-2"/>
        </w:rPr>
        <w:t xml:space="preserve"> </w:t>
      </w:r>
      <w:r>
        <w:t>it</w:t>
      </w:r>
      <w:r>
        <w:rPr>
          <w:spacing w:val="-2"/>
        </w:rPr>
        <w:t xml:space="preserve"> </w:t>
      </w:r>
      <w:r>
        <w:t>rests</w:t>
      </w:r>
      <w:bookmarkStart w:id="307" w:name="_bookmark307"/>
      <w:bookmarkEnd w:id="307"/>
      <w:r>
        <w:t>.</w:t>
      </w:r>
      <w:r>
        <w:rPr>
          <w:color w:val="0562C1"/>
          <w:position w:val="21"/>
          <w:u w:val="single" w:color="0562C1"/>
        </w:rPr>
        <w:t>[203]</w:t>
      </w:r>
      <w:r>
        <w:rPr>
          <w:color w:val="0562C1"/>
          <w:position w:val="21"/>
        </w:rPr>
        <w:t xml:space="preserve"> </w:t>
      </w:r>
      <w:r>
        <w:t>Coherentists say that knowledge</w:t>
      </w:r>
      <w:r>
        <w:rPr>
          <w:spacing w:val="-2"/>
        </w:rPr>
        <w:t xml:space="preserve"> </w:t>
      </w:r>
      <w:r>
        <w:t>is</w:t>
      </w:r>
      <w:r>
        <w:rPr>
          <w:spacing w:val="-2"/>
        </w:rPr>
        <w:t xml:space="preserve"> </w:t>
      </w:r>
      <w:r>
        <w:t>what</w:t>
      </w:r>
      <w:r>
        <w:rPr>
          <w:spacing w:val="-3"/>
        </w:rPr>
        <w:t xml:space="preserve"> </w:t>
      </w:r>
      <w:r>
        <w:t>results</w:t>
      </w:r>
      <w:r>
        <w:rPr>
          <w:spacing w:val="-2"/>
        </w:rPr>
        <w:t xml:space="preserve"> </w:t>
      </w:r>
      <w:r>
        <w:t>when,</w:t>
      </w:r>
      <w:r>
        <w:rPr>
          <w:spacing w:val="-2"/>
        </w:rPr>
        <w:t xml:space="preserve"> </w:t>
      </w:r>
      <w:r>
        <w:t>given</w:t>
      </w:r>
      <w:r>
        <w:rPr>
          <w:spacing w:val="-2"/>
        </w:rPr>
        <w:t xml:space="preserve"> </w:t>
      </w:r>
      <w:r>
        <w:t>various</w:t>
      </w:r>
      <w:r>
        <w:rPr>
          <w:spacing w:val="-2"/>
        </w:rPr>
        <w:t xml:space="preserve"> </w:t>
      </w:r>
      <w:r>
        <w:rPr>
          <w:i/>
        </w:rPr>
        <w:t>data</w:t>
      </w:r>
      <w:r>
        <w:rPr>
          <w:i/>
          <w:spacing w:val="-4"/>
        </w:rPr>
        <w:t xml:space="preserve"> </w:t>
      </w:r>
      <w:r>
        <w:t>that</w:t>
      </w:r>
      <w:r>
        <w:rPr>
          <w:spacing w:val="-5"/>
        </w:rPr>
        <w:t xml:space="preserve"> </w:t>
      </w:r>
      <w:r>
        <w:t>are</w:t>
      </w:r>
      <w:r>
        <w:rPr>
          <w:spacing w:val="-5"/>
        </w:rPr>
        <w:t xml:space="preserve"> </w:t>
      </w:r>
      <w:r>
        <w:rPr>
          <w:i/>
        </w:rPr>
        <w:t xml:space="preserve">not </w:t>
      </w:r>
      <w:r>
        <w:t>knowledge—for example, various sensations or perceptions—</w:t>
      </w:r>
      <w:r>
        <w:rPr>
          <w:i/>
        </w:rPr>
        <w:t xml:space="preserve">if </w:t>
      </w:r>
      <w:r>
        <w:t>those data support one another in certain ways, then certain reasonable inferences can be made on their basis, those inferences leading, in favorable cases, to knowledge. For example, right now, I am having various sense-perceptions (or, in any case, various experiences that I take to be sense-perceptions). I see (or think I see)</w:t>
      </w:r>
      <w:r>
        <w:rPr>
          <w:spacing w:val="40"/>
        </w:rPr>
        <w:t xml:space="preserve"> </w:t>
      </w:r>
      <w:r>
        <w:t>a table and computer in front of me, etc. I also have various other perceptions (e.g., I feel a certain resistance every time I push one of the buttons on the keyboard</w:t>
      </w:r>
      <w:r>
        <w:rPr>
          <w:spacing w:val="33"/>
        </w:rPr>
        <w:t xml:space="preserve"> </w:t>
      </w:r>
      <w:r>
        <w:t>that,</w:t>
      </w:r>
      <w:r>
        <w:rPr>
          <w:spacing w:val="33"/>
        </w:rPr>
        <w:t xml:space="preserve"> </w:t>
      </w:r>
      <w:r>
        <w:t>so</w:t>
      </w:r>
      <w:r>
        <w:rPr>
          <w:spacing w:val="33"/>
        </w:rPr>
        <w:t xml:space="preserve"> </w:t>
      </w:r>
      <w:r>
        <w:t>I</w:t>
      </w:r>
      <w:r>
        <w:rPr>
          <w:spacing w:val="33"/>
        </w:rPr>
        <w:t xml:space="preserve"> </w:t>
      </w:r>
      <w:r>
        <w:t>believe,</w:t>
      </w:r>
      <w:r>
        <w:rPr>
          <w:spacing w:val="33"/>
        </w:rPr>
        <w:t xml:space="preserve"> </w:t>
      </w:r>
      <w:r>
        <w:t>I</w:t>
      </w:r>
      <w:r>
        <w:rPr>
          <w:spacing w:val="33"/>
        </w:rPr>
        <w:t xml:space="preserve"> </w:t>
      </w:r>
      <w:r>
        <w:t>am</w:t>
      </w:r>
      <w:r>
        <w:rPr>
          <w:spacing w:val="33"/>
        </w:rPr>
        <w:t xml:space="preserve"> </w:t>
      </w:r>
      <w:r>
        <w:t>using</w:t>
      </w:r>
      <w:r>
        <w:rPr>
          <w:spacing w:val="33"/>
        </w:rPr>
        <w:t xml:space="preserve"> </w:t>
      </w:r>
      <w:r>
        <w:t>to</w:t>
      </w:r>
      <w:r>
        <w:rPr>
          <w:spacing w:val="33"/>
        </w:rPr>
        <w:t xml:space="preserve"> </w:t>
      </w:r>
      <w:r>
        <w:t>write</w:t>
      </w:r>
      <w:r>
        <w:rPr>
          <w:spacing w:val="33"/>
        </w:rPr>
        <w:t xml:space="preserve"> </w:t>
      </w:r>
      <w:r>
        <w:t>this</w:t>
      </w:r>
      <w:r>
        <w:rPr>
          <w:spacing w:val="33"/>
        </w:rPr>
        <w:t xml:space="preserve"> </w:t>
      </w:r>
      <w:r>
        <w:t>document).</w:t>
      </w:r>
      <w:r>
        <w:rPr>
          <w:spacing w:val="33"/>
        </w:rPr>
        <w:t xml:space="preserve"> </w:t>
      </w:r>
      <w:r>
        <w:t>I</w:t>
      </w:r>
      <w:r>
        <w:rPr>
          <w:spacing w:val="33"/>
        </w:rPr>
        <w:t xml:space="preserve"> </w:t>
      </w:r>
      <w:r>
        <w:t>have</w:t>
      </w:r>
      <w:r>
        <w:rPr>
          <w:spacing w:val="33"/>
        </w:rPr>
        <w:t xml:space="preserve"> </w:t>
      </w:r>
      <w:r>
        <w:t>had</w:t>
      </w:r>
    </w:p>
    <w:p w14:paraId="7E0017E6"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7E7" w14:textId="77777777" w:rsidR="009A58DB" w:rsidRDefault="00000000">
      <w:pPr>
        <w:pStyle w:val="BodyText"/>
        <w:spacing w:before="60" w:line="249" w:lineRule="auto"/>
        <w:ind w:right="358"/>
      </w:pPr>
      <w:r>
        <w:lastRenderedPageBreak/>
        <w:t xml:space="preserve">various similar experiences in the past. For example, visual experiences of a certain kind (e.g., experiences as of seeing keyboards) have been accompanied by tactile experiences of a certain kind (e.g., experiences as of touching keyboards); and I’ve noticed that experiences of the one kind are connected, in regular and predictable ways, with the experiences of the other kind. This point </w:t>
      </w:r>
      <w:r>
        <w:rPr>
          <w:i/>
        </w:rPr>
        <w:t xml:space="preserve">mutatis mutandis </w:t>
      </w:r>
      <w:r>
        <w:t>holds of our sensory experiences in</w:t>
      </w:r>
      <w:r>
        <w:rPr>
          <w:spacing w:val="40"/>
        </w:rPr>
        <w:t xml:space="preserve"> </w:t>
      </w:r>
      <w:r>
        <w:t>general. So my various experiences, taken jointly, form a coherent and consistent</w:t>
      </w:r>
      <w:r>
        <w:rPr>
          <w:spacing w:val="-2"/>
        </w:rPr>
        <w:t xml:space="preserve"> </w:t>
      </w:r>
      <w:r>
        <w:t>picture</w:t>
      </w:r>
      <w:r>
        <w:rPr>
          <w:spacing w:val="-1"/>
        </w:rPr>
        <w:t xml:space="preserve"> </w:t>
      </w:r>
      <w:r>
        <w:t>of</w:t>
      </w:r>
      <w:r>
        <w:rPr>
          <w:spacing w:val="-1"/>
        </w:rPr>
        <w:t xml:space="preserve"> </w:t>
      </w:r>
      <w:r>
        <w:t>the</w:t>
      </w:r>
      <w:r>
        <w:rPr>
          <w:spacing w:val="-1"/>
        </w:rPr>
        <w:t xml:space="preserve"> </w:t>
      </w:r>
      <w:r>
        <w:t>world;</w:t>
      </w:r>
      <w:r>
        <w:rPr>
          <w:spacing w:val="-1"/>
        </w:rPr>
        <w:t xml:space="preserve"> </w:t>
      </w:r>
      <w:r>
        <w:t>and</w:t>
      </w:r>
      <w:r>
        <w:rPr>
          <w:spacing w:val="-1"/>
        </w:rPr>
        <w:t xml:space="preserve"> </w:t>
      </w:r>
      <w:r>
        <w:t>for</w:t>
      </w:r>
      <w:r>
        <w:rPr>
          <w:spacing w:val="-1"/>
        </w:rPr>
        <w:t xml:space="preserve"> </w:t>
      </w:r>
      <w:r>
        <w:t>that</w:t>
      </w:r>
      <w:r>
        <w:rPr>
          <w:spacing w:val="-1"/>
        </w:rPr>
        <w:t xml:space="preserve"> </w:t>
      </w:r>
      <w:r>
        <w:t>reason,</w:t>
      </w:r>
      <w:r>
        <w:rPr>
          <w:spacing w:val="-1"/>
        </w:rPr>
        <w:t xml:space="preserve"> </w:t>
      </w:r>
      <w:r>
        <w:t>I</w:t>
      </w:r>
      <w:r>
        <w:rPr>
          <w:spacing w:val="-1"/>
        </w:rPr>
        <w:t xml:space="preserve"> </w:t>
      </w:r>
      <w:r>
        <w:t>can</w:t>
      </w:r>
      <w:r>
        <w:rPr>
          <w:spacing w:val="-1"/>
        </w:rPr>
        <w:t xml:space="preserve"> </w:t>
      </w:r>
      <w:r>
        <w:t>reasonably</w:t>
      </w:r>
      <w:r>
        <w:rPr>
          <w:spacing w:val="-1"/>
        </w:rPr>
        <w:t xml:space="preserve"> </w:t>
      </w:r>
      <w:r>
        <w:t>infer</w:t>
      </w:r>
      <w:r>
        <w:rPr>
          <w:spacing w:val="-1"/>
        </w:rPr>
        <w:t xml:space="preserve"> </w:t>
      </w:r>
      <w:r>
        <w:t>that there is an external world of which those experiences are a more or less faithful picture, albeit a very incomplete one.</w:t>
      </w:r>
    </w:p>
    <w:p w14:paraId="7E0017E8" w14:textId="77777777" w:rsidR="009A58DB" w:rsidRDefault="00000000">
      <w:pPr>
        <w:pStyle w:val="BodyText"/>
        <w:spacing w:before="17" w:line="249" w:lineRule="auto"/>
        <w:ind w:right="358" w:firstLine="360"/>
      </w:pPr>
      <w:r>
        <w:t xml:space="preserve">For the coherentist, no perception by </w:t>
      </w:r>
      <w:r>
        <w:rPr>
          <w:i/>
        </w:rPr>
        <w:t xml:space="preserve">itself </w:t>
      </w:r>
      <w:r>
        <w:t xml:space="preserve">constitutes knowledge. Only vast collections of experiences, supplemented by inferences, do so. For the foundationalist, on the other hand, there are some self-evidently correct beliefs—some beliefs that cannot be had without </w:t>
      </w:r>
      <w:r>
        <w:rPr>
          <w:i/>
        </w:rPr>
        <w:t>ipso facto</w:t>
      </w:r>
      <w:r>
        <w:rPr>
          <w:i/>
          <w:spacing w:val="40"/>
        </w:rPr>
        <w:t xml:space="preserve"> </w:t>
      </w:r>
      <w:r>
        <w:t xml:space="preserve">having </w:t>
      </w:r>
      <w:r>
        <w:rPr>
          <w:spacing w:val="-2"/>
        </w:rPr>
        <w:t>knowledge.</w:t>
      </w:r>
    </w:p>
    <w:p w14:paraId="7E0017E9" w14:textId="77777777" w:rsidR="009A58DB" w:rsidRDefault="00000000">
      <w:pPr>
        <w:pStyle w:val="BodyText"/>
        <w:spacing w:before="6" w:line="249" w:lineRule="auto"/>
        <w:ind w:right="358" w:firstLine="360"/>
      </w:pPr>
      <w:r>
        <w:t xml:space="preserve">Descartes is, ultimately, a foundationalist, although towards the end of the </w:t>
      </w:r>
      <w:r>
        <w:rPr>
          <w:i/>
        </w:rPr>
        <w:t xml:space="preserve">Meditations </w:t>
      </w:r>
      <w:r>
        <w:t xml:space="preserve">he makes some coherentist points. Aristotle is a hard-core foundationalist. (See the first five pages of the </w:t>
      </w:r>
      <w:r>
        <w:rPr>
          <w:i/>
        </w:rPr>
        <w:t xml:space="preserve">Posterior Analytics.) </w:t>
      </w:r>
      <w:r>
        <w:t>Since around 1950, coherentism has been more popular than foundationalism, even though there are some contemporary foundationalists (e.g., Roderick Chisholm, who died in 1998, advocated a very compelling form of foundationalism—one which, incidentally, is not unlike Descartes’).</w:t>
      </w:r>
    </w:p>
    <w:p w14:paraId="7E0017EA" w14:textId="77777777" w:rsidR="009A58DB" w:rsidRDefault="00000000">
      <w:pPr>
        <w:pStyle w:val="BodyText"/>
        <w:spacing w:before="9" w:line="249" w:lineRule="auto"/>
        <w:ind w:right="360" w:firstLine="360"/>
      </w:pPr>
      <w:r>
        <w:t xml:space="preserve">In any case, when trying to answer the question “how do I know that my perceptions are not hallucinations?” Descartes does not, at least not in </w:t>
      </w:r>
      <w:r>
        <w:rPr>
          <w:i/>
        </w:rPr>
        <w:t xml:space="preserve">Meditation 1, </w:t>
      </w:r>
      <w:r>
        <w:t>consider the possibility that a coherentist answer might be correct. He says that what he must do to answer that question is to find “indubitable” principles on which all knowledge rests. This brings us to:</w:t>
      </w:r>
    </w:p>
    <w:p w14:paraId="7E0017EB" w14:textId="77777777" w:rsidR="009A58DB" w:rsidRDefault="00000000">
      <w:pPr>
        <w:pStyle w:val="Heading1"/>
        <w:numPr>
          <w:ilvl w:val="0"/>
          <w:numId w:val="124"/>
        </w:numPr>
        <w:tabs>
          <w:tab w:val="left" w:pos="1123"/>
        </w:tabs>
        <w:spacing w:before="194" w:line="244" w:lineRule="auto"/>
        <w:ind w:left="360" w:right="362" w:firstLine="0"/>
        <w:jc w:val="both"/>
      </w:pPr>
      <w:r>
        <w:t xml:space="preserve">Meditation 2: “Of the nature of the human mind; and that it is more easily known than the </w:t>
      </w:r>
      <w:r>
        <w:rPr>
          <w:spacing w:val="-2"/>
        </w:rPr>
        <w:t>body”</w:t>
      </w:r>
    </w:p>
    <w:p w14:paraId="7E0017EC" w14:textId="77777777" w:rsidR="009A58DB" w:rsidRDefault="00000000">
      <w:pPr>
        <w:pStyle w:val="BodyText"/>
        <w:spacing w:before="134" w:line="249" w:lineRule="auto"/>
        <w:ind w:right="363"/>
      </w:pPr>
      <w:r>
        <w:t>Descartes says that certain beliefs about our own minds are self-evidently correct, but that the same can never be said of our beliefs about external objects.</w:t>
      </w:r>
      <w:r>
        <w:rPr>
          <w:spacing w:val="59"/>
        </w:rPr>
        <w:t xml:space="preserve"> </w:t>
      </w:r>
      <w:r>
        <w:t>First</w:t>
      </w:r>
      <w:r>
        <w:rPr>
          <w:spacing w:val="59"/>
        </w:rPr>
        <w:t xml:space="preserve"> </w:t>
      </w:r>
      <w:r>
        <w:t>of</w:t>
      </w:r>
      <w:r>
        <w:rPr>
          <w:spacing w:val="59"/>
        </w:rPr>
        <w:t xml:space="preserve"> </w:t>
      </w:r>
      <w:r>
        <w:t>all,</w:t>
      </w:r>
      <w:r>
        <w:rPr>
          <w:spacing w:val="59"/>
        </w:rPr>
        <w:t xml:space="preserve"> </w:t>
      </w:r>
      <w:r>
        <w:t>Descartes</w:t>
      </w:r>
      <w:r>
        <w:rPr>
          <w:spacing w:val="59"/>
        </w:rPr>
        <w:t xml:space="preserve"> </w:t>
      </w:r>
      <w:r>
        <w:t>says,</w:t>
      </w:r>
      <w:r>
        <w:rPr>
          <w:spacing w:val="59"/>
        </w:rPr>
        <w:t xml:space="preserve"> </w:t>
      </w:r>
      <w:r>
        <w:t>whereas</w:t>
      </w:r>
      <w:r>
        <w:rPr>
          <w:spacing w:val="59"/>
        </w:rPr>
        <w:t xml:space="preserve"> </w:t>
      </w:r>
      <w:r>
        <w:t>I</w:t>
      </w:r>
      <w:r>
        <w:rPr>
          <w:spacing w:val="59"/>
        </w:rPr>
        <w:t xml:space="preserve"> </w:t>
      </w:r>
      <w:r>
        <w:t>can</w:t>
      </w:r>
      <w:r>
        <w:rPr>
          <w:spacing w:val="59"/>
        </w:rPr>
        <w:t xml:space="preserve"> </w:t>
      </w:r>
      <w:r>
        <w:t>doubt</w:t>
      </w:r>
      <w:r>
        <w:rPr>
          <w:spacing w:val="59"/>
        </w:rPr>
        <w:t xml:space="preserve"> </w:t>
      </w:r>
      <w:r>
        <w:t>that</w:t>
      </w:r>
      <w:r>
        <w:rPr>
          <w:spacing w:val="59"/>
        </w:rPr>
        <w:t xml:space="preserve"> </w:t>
      </w:r>
      <w:r>
        <w:t>there</w:t>
      </w:r>
      <w:r>
        <w:rPr>
          <w:spacing w:val="59"/>
        </w:rPr>
        <w:t xml:space="preserve"> </w:t>
      </w:r>
      <w:r>
        <w:t>is</w:t>
      </w:r>
      <w:r>
        <w:rPr>
          <w:spacing w:val="59"/>
        </w:rPr>
        <w:t xml:space="preserve"> </w:t>
      </w:r>
      <w:r>
        <w:t>an</w:t>
      </w:r>
    </w:p>
    <w:p w14:paraId="7E0017E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EE" w14:textId="77777777" w:rsidR="009A58DB" w:rsidRDefault="00000000">
      <w:pPr>
        <w:pStyle w:val="BodyText"/>
        <w:spacing w:before="60" w:line="249" w:lineRule="auto"/>
        <w:ind w:right="357"/>
      </w:pPr>
      <w:r>
        <w:lastRenderedPageBreak/>
        <w:t>external world, the reason being that I might be perpetually hallucinating or dreaming, I cannot doubt that my mind exists. After all, I can doubt the existence of my own mind only if I have a mind: there is doubt only where there are minds, since doubting is a form of mental activity. (Author’s commentary: This point seems spot on.) So any doubt as to the existence of mental processes is self-undermining. But doubt as to the existence of the external</w:t>
      </w:r>
      <w:r>
        <w:rPr>
          <w:spacing w:val="-3"/>
        </w:rPr>
        <w:t xml:space="preserve"> </w:t>
      </w:r>
      <w:r>
        <w:t>world</w:t>
      </w:r>
      <w:r>
        <w:rPr>
          <w:spacing w:val="-2"/>
        </w:rPr>
        <w:t xml:space="preserve"> </w:t>
      </w:r>
      <w:r>
        <w:t>is</w:t>
      </w:r>
      <w:r>
        <w:rPr>
          <w:spacing w:val="-3"/>
        </w:rPr>
        <w:t xml:space="preserve"> </w:t>
      </w:r>
      <w:r>
        <w:t>not</w:t>
      </w:r>
      <w:r>
        <w:rPr>
          <w:spacing w:val="-3"/>
        </w:rPr>
        <w:t xml:space="preserve"> </w:t>
      </w:r>
      <w:r>
        <w:t>self-undermining:</w:t>
      </w:r>
      <w:r>
        <w:rPr>
          <w:spacing w:val="-3"/>
        </w:rPr>
        <w:t xml:space="preserve"> </w:t>
      </w:r>
      <w:r>
        <w:t>given</w:t>
      </w:r>
      <w:r>
        <w:rPr>
          <w:spacing w:val="-2"/>
        </w:rPr>
        <w:t xml:space="preserve"> </w:t>
      </w:r>
      <w:r>
        <w:t>only</w:t>
      </w:r>
      <w:r>
        <w:rPr>
          <w:spacing w:val="-2"/>
        </w:rPr>
        <w:t xml:space="preserve"> </w:t>
      </w:r>
      <w:r>
        <w:t>that</w:t>
      </w:r>
      <w:r>
        <w:rPr>
          <w:spacing w:val="-3"/>
        </w:rPr>
        <w:t xml:space="preserve"> </w:t>
      </w:r>
      <w:r>
        <w:t>I</w:t>
      </w:r>
      <w:r>
        <w:rPr>
          <w:spacing w:val="-3"/>
        </w:rPr>
        <w:t xml:space="preserve"> </w:t>
      </w:r>
      <w:r>
        <w:rPr>
          <w:i/>
        </w:rPr>
        <w:t>seem</w:t>
      </w:r>
      <w:r>
        <w:rPr>
          <w:i/>
          <w:spacing w:val="-3"/>
        </w:rPr>
        <w:t xml:space="preserve"> </w:t>
      </w:r>
      <w:r>
        <w:t>to</w:t>
      </w:r>
      <w:r>
        <w:rPr>
          <w:spacing w:val="-2"/>
        </w:rPr>
        <w:t xml:space="preserve"> </w:t>
      </w:r>
      <w:r>
        <w:t>see</w:t>
      </w:r>
      <w:r>
        <w:rPr>
          <w:spacing w:val="-3"/>
        </w:rPr>
        <w:t xml:space="preserve"> </w:t>
      </w:r>
      <w:r>
        <w:t>a</w:t>
      </w:r>
      <w:r>
        <w:rPr>
          <w:spacing w:val="-3"/>
        </w:rPr>
        <w:t xml:space="preserve"> </w:t>
      </w:r>
      <w:r>
        <w:t>stick,</w:t>
      </w:r>
      <w:r>
        <w:rPr>
          <w:spacing w:val="-2"/>
        </w:rPr>
        <w:t xml:space="preserve"> </w:t>
      </w:r>
      <w:r>
        <w:t>it doesn’t follow that there really is a stick there (for, as we said before, I could be hallucinating or dreaming).</w:t>
      </w:r>
    </w:p>
    <w:p w14:paraId="7E0017EF" w14:textId="77777777" w:rsidR="009A58DB" w:rsidRDefault="00000000">
      <w:pPr>
        <w:pStyle w:val="BodyText"/>
        <w:spacing w:before="16" w:line="249" w:lineRule="auto"/>
        <w:ind w:right="359" w:firstLine="360"/>
      </w:pPr>
      <w:r>
        <w:t xml:space="preserve">In another work (not in the </w:t>
      </w:r>
      <w:r>
        <w:rPr>
          <w:i/>
        </w:rPr>
        <w:t>Meditations</w:t>
      </w:r>
      <w:r>
        <w:t>), Descartes famously says “I</w:t>
      </w:r>
      <w:r>
        <w:rPr>
          <w:spacing w:val="40"/>
        </w:rPr>
        <w:t xml:space="preserve"> </w:t>
      </w:r>
      <w:r>
        <w:t>think; therefore I am.” We have just seen the meaning of this. One cannot think without existing. Since doubting is a form of thinking, and since thinking</w:t>
      </w:r>
      <w:r>
        <w:rPr>
          <w:spacing w:val="-3"/>
        </w:rPr>
        <w:t xml:space="preserve"> </w:t>
      </w:r>
      <w:r>
        <w:t>involves</w:t>
      </w:r>
      <w:r>
        <w:rPr>
          <w:spacing w:val="-3"/>
        </w:rPr>
        <w:t xml:space="preserve"> </w:t>
      </w:r>
      <w:r>
        <w:t>existing,</w:t>
      </w:r>
      <w:r>
        <w:rPr>
          <w:spacing w:val="-3"/>
        </w:rPr>
        <w:t xml:space="preserve"> </w:t>
      </w:r>
      <w:r>
        <w:t>one</w:t>
      </w:r>
      <w:r>
        <w:rPr>
          <w:spacing w:val="-3"/>
        </w:rPr>
        <w:t xml:space="preserve"> </w:t>
      </w:r>
      <w:r>
        <w:t>cannot</w:t>
      </w:r>
      <w:r>
        <w:rPr>
          <w:spacing w:val="-3"/>
        </w:rPr>
        <w:t xml:space="preserve"> </w:t>
      </w:r>
      <w:r>
        <w:t>doubt</w:t>
      </w:r>
      <w:r>
        <w:rPr>
          <w:spacing w:val="-3"/>
        </w:rPr>
        <w:t xml:space="preserve"> </w:t>
      </w:r>
      <w:r>
        <w:t>one’s</w:t>
      </w:r>
      <w:r>
        <w:rPr>
          <w:spacing w:val="-3"/>
        </w:rPr>
        <w:t xml:space="preserve"> </w:t>
      </w:r>
      <w:r>
        <w:t>existence</w:t>
      </w:r>
      <w:r>
        <w:rPr>
          <w:spacing w:val="-3"/>
        </w:rPr>
        <w:t xml:space="preserve"> </w:t>
      </w:r>
      <w:r>
        <w:t>without</w:t>
      </w:r>
      <w:r>
        <w:rPr>
          <w:spacing w:val="-3"/>
        </w:rPr>
        <w:t xml:space="preserve"> </w:t>
      </w:r>
      <w:r>
        <w:t>existing. Therefore, doubt as to one’s own existence is incoherent. This gives Descartes an Archimedean point on which to build the structure of human knowledge: he knows that he exists; and, so he believes, he can on that basis justify all of the beliefs that we pretheoretically regard as true (e.g., that there is an external world with people and rocks and dogs in it).</w:t>
      </w:r>
    </w:p>
    <w:p w14:paraId="7E0017F0" w14:textId="77777777" w:rsidR="009A58DB" w:rsidRDefault="00000000">
      <w:pPr>
        <w:pStyle w:val="BodyText"/>
        <w:spacing w:before="11" w:line="249" w:lineRule="auto"/>
        <w:ind w:right="359" w:firstLine="360"/>
      </w:pPr>
      <w:r>
        <w:t xml:space="preserve">Descartes makes another good point about the difference between knowledge of self and knowledge of the world. As just noted, given only that you have an experience </w:t>
      </w:r>
      <w:r>
        <w:rPr>
          <w:i/>
        </w:rPr>
        <w:t>like</w:t>
      </w:r>
      <w:r>
        <w:rPr>
          <w:i/>
          <w:spacing w:val="-3"/>
        </w:rPr>
        <w:t xml:space="preserve"> </w:t>
      </w:r>
      <w:r>
        <w:t xml:space="preserve">that of seeing a stick, it doesn’t follow that there really is a stick there. But given only that you have an experience </w:t>
      </w:r>
      <w:r>
        <w:rPr>
          <w:i/>
        </w:rPr>
        <w:t xml:space="preserve">like </w:t>
      </w:r>
      <w:r>
        <w:t xml:space="preserve">that of being in pain, it </w:t>
      </w:r>
      <w:r>
        <w:rPr>
          <w:i/>
        </w:rPr>
        <w:t xml:space="preserve">does </w:t>
      </w:r>
      <w:r>
        <w:t>follow that you really are in pain. After all, an experience</w:t>
      </w:r>
      <w:r>
        <w:rPr>
          <w:spacing w:val="-3"/>
        </w:rPr>
        <w:t xml:space="preserve"> </w:t>
      </w:r>
      <w:r>
        <w:rPr>
          <w:i/>
        </w:rPr>
        <w:t xml:space="preserve">like </w:t>
      </w:r>
      <w:r>
        <w:t xml:space="preserve">pain </w:t>
      </w:r>
      <w:r>
        <w:rPr>
          <w:i/>
        </w:rPr>
        <w:t xml:space="preserve">is </w:t>
      </w:r>
      <w:r>
        <w:t xml:space="preserve">pain, whereas an experience </w:t>
      </w:r>
      <w:r>
        <w:rPr>
          <w:i/>
        </w:rPr>
        <w:t xml:space="preserve">like </w:t>
      </w:r>
      <w:r>
        <w:t>that of seeing a stick isn’t necessarily an experience of seeing a stick. Descartes seems to hold that what we just said about knowledge of pain is true of all cases of self-knowledge. This is, in my view, a gross over-statement. But we don’t need to pursue this, since it isn’t central to Descartes’ main project; and Descartes’ core point (that at least certain kinds of self-awareness couldn’t be</w:t>
      </w:r>
      <w:r>
        <w:rPr>
          <w:spacing w:val="40"/>
        </w:rPr>
        <w:t xml:space="preserve"> </w:t>
      </w:r>
      <w:r>
        <w:t>delusional) seems correct.</w:t>
      </w:r>
    </w:p>
    <w:p w14:paraId="7E0017F1" w14:textId="77777777" w:rsidR="009A58DB" w:rsidRDefault="00000000">
      <w:pPr>
        <w:pStyle w:val="BodyText"/>
        <w:spacing w:before="15" w:line="249" w:lineRule="auto"/>
        <w:ind w:right="358" w:firstLine="360"/>
      </w:pPr>
      <w:r>
        <w:t>Descartes makes another, extremely clever point. He says that, although we</w:t>
      </w:r>
      <w:r>
        <w:rPr>
          <w:spacing w:val="-3"/>
        </w:rPr>
        <w:t xml:space="preserve"> </w:t>
      </w:r>
      <w:r>
        <w:rPr>
          <w:i/>
        </w:rPr>
        <w:t>think</w:t>
      </w:r>
      <w:r>
        <w:rPr>
          <w:i/>
          <w:spacing w:val="-3"/>
        </w:rPr>
        <w:t xml:space="preserve"> </w:t>
      </w:r>
      <w:r>
        <w:t>that our basic beliefs about the physical world are purely perceptual, those beliefs are actually replete with inferential, even theoretical, content. Imagine the following. There is a piece of wax in front of you. It is solid and has a definite shape. You put it on a warm pan. It slowly loses its shape. You are watching it the whole time. After 10 minutes, the wax doesn’t really have</w:t>
      </w:r>
    </w:p>
    <w:p w14:paraId="7E0017F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F3" w14:textId="77777777" w:rsidR="009A58DB" w:rsidRDefault="00000000">
      <w:pPr>
        <w:pStyle w:val="BodyText"/>
        <w:spacing w:before="65" w:line="249" w:lineRule="auto"/>
        <w:ind w:right="358"/>
      </w:pPr>
      <w:r>
        <w:lastRenderedPageBreak/>
        <w:t>a shape, and is just an amorphous puddle. Nonetheless, you know, after the</w:t>
      </w:r>
      <w:r>
        <w:rPr>
          <w:spacing w:val="40"/>
        </w:rPr>
        <w:t xml:space="preserve"> </w:t>
      </w:r>
      <w:r>
        <w:t xml:space="preserve">10 minutes have passed, that the puddle you are looking at is identical with the hexagonal solid object that you were looking at 10 minutes earlier. This knowledge, Descartes says, cannot be </w:t>
      </w:r>
      <w:r>
        <w:rPr>
          <w:i/>
        </w:rPr>
        <w:t xml:space="preserve">purely </w:t>
      </w:r>
      <w:r>
        <w:t>perception-based. For, if you stick strictly to what your senses are telling you, you would hold that the waxy puddle now in front of you is not identical with the previously seen solid</w:t>
      </w:r>
      <w:r>
        <w:rPr>
          <w:spacing w:val="-2"/>
        </w:rPr>
        <w:t xml:space="preserve"> </w:t>
      </w:r>
      <w:r>
        <w:t>object,</w:t>
      </w:r>
      <w:r>
        <w:rPr>
          <w:spacing w:val="-2"/>
        </w:rPr>
        <w:t xml:space="preserve"> </w:t>
      </w:r>
      <w:r>
        <w:t>your</w:t>
      </w:r>
      <w:r>
        <w:rPr>
          <w:spacing w:val="-2"/>
        </w:rPr>
        <w:t xml:space="preserve"> </w:t>
      </w:r>
      <w:r>
        <w:t>reason</w:t>
      </w:r>
      <w:r>
        <w:rPr>
          <w:spacing w:val="-2"/>
        </w:rPr>
        <w:t xml:space="preserve"> </w:t>
      </w:r>
      <w:r>
        <w:t>being</w:t>
      </w:r>
      <w:r>
        <w:rPr>
          <w:spacing w:val="-2"/>
        </w:rPr>
        <w:t xml:space="preserve"> </w:t>
      </w:r>
      <w:r>
        <w:t>that</w:t>
      </w:r>
      <w:r>
        <w:rPr>
          <w:spacing w:val="-2"/>
        </w:rPr>
        <w:t xml:space="preserve"> </w:t>
      </w:r>
      <w:r>
        <w:t>the</w:t>
      </w:r>
      <w:r>
        <w:rPr>
          <w:spacing w:val="-2"/>
        </w:rPr>
        <w:t xml:space="preserve"> </w:t>
      </w:r>
      <w:r>
        <w:t>puddle</w:t>
      </w:r>
      <w:r>
        <w:rPr>
          <w:spacing w:val="-2"/>
        </w:rPr>
        <w:t xml:space="preserve"> </w:t>
      </w:r>
      <w:r>
        <w:t>and</w:t>
      </w:r>
      <w:r>
        <w:rPr>
          <w:spacing w:val="-2"/>
        </w:rPr>
        <w:t xml:space="preserve"> </w:t>
      </w:r>
      <w:r>
        <w:t>the</w:t>
      </w:r>
      <w:r>
        <w:rPr>
          <w:spacing w:val="-2"/>
        </w:rPr>
        <w:t xml:space="preserve"> </w:t>
      </w:r>
      <w:r>
        <w:t>hexagon</w:t>
      </w:r>
      <w:r>
        <w:rPr>
          <w:spacing w:val="-2"/>
        </w:rPr>
        <w:t xml:space="preserve"> </w:t>
      </w:r>
      <w:r>
        <w:t>have</w:t>
      </w:r>
      <w:r>
        <w:rPr>
          <w:spacing w:val="-2"/>
        </w:rPr>
        <w:t xml:space="preserve"> </w:t>
      </w:r>
      <w:r>
        <w:t>different shapes.</w:t>
      </w:r>
      <w:r>
        <w:rPr>
          <w:spacing w:val="-2"/>
        </w:rPr>
        <w:t xml:space="preserve"> </w:t>
      </w:r>
      <w:r>
        <w:t>Therefore,</w:t>
      </w:r>
      <w:r>
        <w:rPr>
          <w:spacing w:val="-2"/>
        </w:rPr>
        <w:t xml:space="preserve"> </w:t>
      </w:r>
      <w:r>
        <w:t>your</w:t>
      </w:r>
      <w:r>
        <w:rPr>
          <w:spacing w:val="-2"/>
        </w:rPr>
        <w:t xml:space="preserve"> </w:t>
      </w:r>
      <w:r>
        <w:t>identification</w:t>
      </w:r>
      <w:r>
        <w:rPr>
          <w:spacing w:val="-2"/>
        </w:rPr>
        <w:t xml:space="preserve"> </w:t>
      </w:r>
      <w:r>
        <w:t>of</w:t>
      </w:r>
      <w:r>
        <w:rPr>
          <w:spacing w:val="-2"/>
        </w:rPr>
        <w:t xml:space="preserve"> </w:t>
      </w:r>
      <w:r>
        <w:t>the</w:t>
      </w:r>
      <w:r>
        <w:rPr>
          <w:spacing w:val="-2"/>
        </w:rPr>
        <w:t xml:space="preserve"> </w:t>
      </w:r>
      <w:r>
        <w:t>puddle</w:t>
      </w:r>
      <w:r>
        <w:rPr>
          <w:spacing w:val="-2"/>
        </w:rPr>
        <w:t xml:space="preserve"> </w:t>
      </w:r>
      <w:r>
        <w:t>with</w:t>
      </w:r>
      <w:r>
        <w:rPr>
          <w:spacing w:val="-2"/>
        </w:rPr>
        <w:t xml:space="preserve"> </w:t>
      </w:r>
      <w:r>
        <w:t>the</w:t>
      </w:r>
      <w:r>
        <w:rPr>
          <w:spacing w:val="-2"/>
        </w:rPr>
        <w:t xml:space="preserve"> </w:t>
      </w:r>
      <w:r>
        <w:t>solid</w:t>
      </w:r>
      <w:r>
        <w:rPr>
          <w:spacing w:val="-2"/>
        </w:rPr>
        <w:t xml:space="preserve"> </w:t>
      </w:r>
      <w:r>
        <w:t>object</w:t>
      </w:r>
      <w:r>
        <w:rPr>
          <w:spacing w:val="-2"/>
        </w:rPr>
        <w:t xml:space="preserve"> </w:t>
      </w:r>
      <w:r>
        <w:t>must involve a certain theoretical or inferential component: it involves your having the</w:t>
      </w:r>
      <w:r>
        <w:rPr>
          <w:spacing w:val="-3"/>
        </w:rPr>
        <w:t xml:space="preserve"> </w:t>
      </w:r>
      <w:r>
        <w:t>belief</w:t>
      </w:r>
      <w:r>
        <w:rPr>
          <w:spacing w:val="-2"/>
        </w:rPr>
        <w:t xml:space="preserve"> </w:t>
      </w:r>
      <w:r>
        <w:t>that</w:t>
      </w:r>
      <w:r>
        <w:rPr>
          <w:spacing w:val="-3"/>
        </w:rPr>
        <w:t xml:space="preserve"> </w:t>
      </w:r>
      <w:r>
        <w:t>an</w:t>
      </w:r>
      <w:r>
        <w:rPr>
          <w:spacing w:val="-2"/>
        </w:rPr>
        <w:t xml:space="preserve"> </w:t>
      </w:r>
      <w:r>
        <w:t>object</w:t>
      </w:r>
      <w:r>
        <w:rPr>
          <w:spacing w:val="-3"/>
        </w:rPr>
        <w:t xml:space="preserve"> </w:t>
      </w:r>
      <w:r>
        <w:t>does</w:t>
      </w:r>
      <w:r>
        <w:rPr>
          <w:spacing w:val="-2"/>
        </w:rPr>
        <w:t xml:space="preserve"> </w:t>
      </w:r>
      <w:r>
        <w:t>not</w:t>
      </w:r>
      <w:r>
        <w:rPr>
          <w:spacing w:val="-2"/>
        </w:rPr>
        <w:t xml:space="preserve"> </w:t>
      </w:r>
      <w:r>
        <w:t>lose</w:t>
      </w:r>
      <w:r>
        <w:rPr>
          <w:spacing w:val="-3"/>
        </w:rPr>
        <w:t xml:space="preserve"> </w:t>
      </w:r>
      <w:r>
        <w:t>its</w:t>
      </w:r>
      <w:r>
        <w:rPr>
          <w:spacing w:val="-2"/>
        </w:rPr>
        <w:t xml:space="preserve"> </w:t>
      </w:r>
      <w:r>
        <w:t>identity</w:t>
      </w:r>
      <w:r>
        <w:rPr>
          <w:spacing w:val="-3"/>
        </w:rPr>
        <w:t xml:space="preserve"> </w:t>
      </w:r>
      <w:r>
        <w:t>solely</w:t>
      </w:r>
      <w:r>
        <w:rPr>
          <w:spacing w:val="-2"/>
        </w:rPr>
        <w:t xml:space="preserve"> </w:t>
      </w:r>
      <w:r>
        <w:t>on</w:t>
      </w:r>
      <w:r>
        <w:rPr>
          <w:spacing w:val="-3"/>
        </w:rPr>
        <w:t xml:space="preserve"> </w:t>
      </w:r>
      <w:r>
        <w:t>account</w:t>
      </w:r>
      <w:r>
        <w:rPr>
          <w:spacing w:val="-2"/>
        </w:rPr>
        <w:t xml:space="preserve"> </w:t>
      </w:r>
      <w:r>
        <w:t>of</w:t>
      </w:r>
      <w:r>
        <w:rPr>
          <w:spacing w:val="-2"/>
        </w:rPr>
        <w:t xml:space="preserve"> </w:t>
      </w:r>
      <w:r>
        <w:t xml:space="preserve">changes in its shape—that is, that certain kinds of transformations undergone by objects (e.g., changes in temperature, shape, or fragrance) are consistent with the continued existence of those objects. </w:t>
      </w:r>
      <w:r>
        <w:rPr>
          <w:i/>
        </w:rPr>
        <w:t xml:space="preserve">That </w:t>
      </w:r>
      <w:r>
        <w:t xml:space="preserve">piece of knowledge is not perceptual and is better characterized as </w:t>
      </w:r>
      <w:r>
        <w:rPr>
          <w:i/>
        </w:rPr>
        <w:t>meta</w:t>
      </w:r>
      <w:r>
        <w:t xml:space="preserve">perceptual or as </w:t>
      </w:r>
      <w:r>
        <w:rPr>
          <w:i/>
        </w:rPr>
        <w:t>pre</w:t>
      </w:r>
      <w:r>
        <w:t xml:space="preserve">perceptual, since it is a </w:t>
      </w:r>
      <w:r>
        <w:rPr>
          <w:i/>
        </w:rPr>
        <w:t>pre</w:t>
      </w:r>
      <w:r>
        <w:t>condition for your acquiring knowledge from your senses. For if you didn’t have it, then every time you saw an object change, you would falsely believe that it had been obliterated and then replaced by an other, similar object. But that isn’t how it works: you believe that you are seeing some</w:t>
      </w:r>
      <w:r>
        <w:rPr>
          <w:spacing w:val="-3"/>
        </w:rPr>
        <w:t xml:space="preserve"> </w:t>
      </w:r>
      <w:r>
        <w:rPr>
          <w:i/>
        </w:rPr>
        <w:t>one</w:t>
      </w:r>
      <w:r>
        <w:rPr>
          <w:i/>
          <w:spacing w:val="-3"/>
        </w:rPr>
        <w:t xml:space="preserve"> </w:t>
      </w:r>
      <w:r>
        <w:t>object undergo change; and that is why you form the correct belief that the world consists of objects that, although constantly changing, do so more or less continuously, as opposed to the false belief that, at every moment, everything is obliterated and immediately thereafter replaced with new objects. (Author’s commentary: I am touching up Descartes’ argument a bit, so as to make it continuous with our discussion of rationalism. But the touch-up is more or less consistent with Descartes’ original argument.)</w:t>
      </w:r>
    </w:p>
    <w:p w14:paraId="7E0017F4" w14:textId="77777777" w:rsidR="009A58DB" w:rsidRDefault="00000000">
      <w:pPr>
        <w:pStyle w:val="BodyText"/>
        <w:spacing w:before="30" w:line="249" w:lineRule="auto"/>
        <w:ind w:right="361" w:firstLine="360"/>
      </w:pPr>
      <w:r>
        <w:t>Thus, any belief about the external world involves an element of</w:t>
      </w:r>
      <w:r>
        <w:rPr>
          <w:spacing w:val="40"/>
        </w:rPr>
        <w:t xml:space="preserve"> </w:t>
      </w:r>
      <w:r>
        <w:t>inference, an element of theoretical extrapolation, and is to that extent precarious:</w:t>
      </w:r>
      <w:r>
        <w:rPr>
          <w:spacing w:val="-3"/>
        </w:rPr>
        <w:t xml:space="preserve"> </w:t>
      </w:r>
      <w:r>
        <w:t>after</w:t>
      </w:r>
      <w:r>
        <w:rPr>
          <w:spacing w:val="-2"/>
        </w:rPr>
        <w:t xml:space="preserve"> </w:t>
      </w:r>
      <w:r>
        <w:t>all,</w:t>
      </w:r>
      <w:r>
        <w:rPr>
          <w:spacing w:val="-2"/>
        </w:rPr>
        <w:t xml:space="preserve"> </w:t>
      </w:r>
      <w:r>
        <w:t>the</w:t>
      </w:r>
      <w:r>
        <w:rPr>
          <w:spacing w:val="-2"/>
        </w:rPr>
        <w:t xml:space="preserve"> </w:t>
      </w:r>
      <w:r>
        <w:t>more</w:t>
      </w:r>
      <w:r>
        <w:rPr>
          <w:spacing w:val="-2"/>
        </w:rPr>
        <w:t xml:space="preserve"> </w:t>
      </w:r>
      <w:r>
        <w:t>inferences</w:t>
      </w:r>
      <w:r>
        <w:rPr>
          <w:spacing w:val="-2"/>
        </w:rPr>
        <w:t xml:space="preserve"> </w:t>
      </w:r>
      <w:r>
        <w:t>you</w:t>
      </w:r>
      <w:r>
        <w:rPr>
          <w:spacing w:val="-2"/>
        </w:rPr>
        <w:t xml:space="preserve"> </w:t>
      </w:r>
      <w:r>
        <w:t>make,</w:t>
      </w:r>
      <w:r>
        <w:rPr>
          <w:spacing w:val="-2"/>
        </w:rPr>
        <w:t xml:space="preserve"> </w:t>
      </w:r>
      <w:r>
        <w:t>the</w:t>
      </w:r>
      <w:r>
        <w:rPr>
          <w:spacing w:val="-2"/>
        </w:rPr>
        <w:t xml:space="preserve"> </w:t>
      </w:r>
      <w:r>
        <w:t>more</w:t>
      </w:r>
      <w:r>
        <w:rPr>
          <w:spacing w:val="-2"/>
        </w:rPr>
        <w:t xml:space="preserve"> </w:t>
      </w:r>
      <w:r>
        <w:t>likely</w:t>
      </w:r>
      <w:r>
        <w:rPr>
          <w:spacing w:val="-2"/>
        </w:rPr>
        <w:t xml:space="preserve"> </w:t>
      </w:r>
      <w:r>
        <w:t>you</w:t>
      </w:r>
      <w:r>
        <w:rPr>
          <w:spacing w:val="-2"/>
        </w:rPr>
        <w:t xml:space="preserve"> </w:t>
      </w:r>
      <w:r>
        <w:t>are</w:t>
      </w:r>
      <w:r>
        <w:rPr>
          <w:spacing w:val="-2"/>
        </w:rPr>
        <w:t xml:space="preserve"> </w:t>
      </w:r>
      <w:r>
        <w:t>to be wrong. By contrast, one’s knowledge that one is sad doesn’t involve any inference</w:t>
      </w:r>
      <w:r>
        <w:rPr>
          <w:spacing w:val="-4"/>
        </w:rPr>
        <w:t xml:space="preserve"> </w:t>
      </w:r>
      <w:r>
        <w:t>and</w:t>
      </w:r>
      <w:r>
        <w:rPr>
          <w:spacing w:val="-3"/>
        </w:rPr>
        <w:t xml:space="preserve"> </w:t>
      </w:r>
      <w:r>
        <w:t>is</w:t>
      </w:r>
      <w:r>
        <w:rPr>
          <w:spacing w:val="-4"/>
        </w:rPr>
        <w:t xml:space="preserve"> </w:t>
      </w:r>
      <w:r>
        <w:t>thus</w:t>
      </w:r>
      <w:r>
        <w:rPr>
          <w:spacing w:val="-4"/>
        </w:rPr>
        <w:t xml:space="preserve"> </w:t>
      </w:r>
      <w:r>
        <w:rPr>
          <w:i/>
        </w:rPr>
        <w:t>not</w:t>
      </w:r>
      <w:r>
        <w:rPr>
          <w:i/>
          <w:spacing w:val="-4"/>
        </w:rPr>
        <w:t xml:space="preserve"> </w:t>
      </w:r>
      <w:r>
        <w:t>precarious.</w:t>
      </w:r>
      <w:r>
        <w:rPr>
          <w:spacing w:val="-3"/>
        </w:rPr>
        <w:t xml:space="preserve"> </w:t>
      </w:r>
      <w:r>
        <w:t>So</w:t>
      </w:r>
      <w:r>
        <w:rPr>
          <w:spacing w:val="-3"/>
        </w:rPr>
        <w:t xml:space="preserve"> </w:t>
      </w:r>
      <w:r>
        <w:t>our</w:t>
      </w:r>
      <w:r>
        <w:rPr>
          <w:spacing w:val="-4"/>
        </w:rPr>
        <w:t xml:space="preserve"> </w:t>
      </w:r>
      <w:r>
        <w:t>beliefs</w:t>
      </w:r>
      <w:r>
        <w:rPr>
          <w:spacing w:val="-4"/>
        </w:rPr>
        <w:t xml:space="preserve"> </w:t>
      </w:r>
      <w:r>
        <w:t>concerning</w:t>
      </w:r>
      <w:r>
        <w:rPr>
          <w:spacing w:val="-3"/>
        </w:rPr>
        <w:t xml:space="preserve"> </w:t>
      </w:r>
      <w:r>
        <w:t>our</w:t>
      </w:r>
      <w:r>
        <w:rPr>
          <w:spacing w:val="-4"/>
        </w:rPr>
        <w:t xml:space="preserve"> </w:t>
      </w:r>
      <w:r>
        <w:t>own</w:t>
      </w:r>
      <w:r>
        <w:rPr>
          <w:spacing w:val="-3"/>
        </w:rPr>
        <w:t xml:space="preserve"> </w:t>
      </w:r>
      <w:r>
        <w:t>minds</w:t>
      </w:r>
    </w:p>
    <w:p w14:paraId="7E0017F5" w14:textId="77777777" w:rsidR="009A58DB" w:rsidRDefault="00000000">
      <w:pPr>
        <w:pStyle w:val="BodyText"/>
        <w:spacing w:before="7" w:line="249" w:lineRule="auto"/>
        <w:ind w:right="360"/>
      </w:pPr>
      <w:r>
        <w:t>—concerning their existence and natures—are considerably more solid and reliable</w:t>
      </w:r>
      <w:r>
        <w:rPr>
          <w:spacing w:val="-4"/>
        </w:rPr>
        <w:t xml:space="preserve"> </w:t>
      </w:r>
      <w:r>
        <w:t>than</w:t>
      </w:r>
      <w:r>
        <w:rPr>
          <w:spacing w:val="-3"/>
        </w:rPr>
        <w:t xml:space="preserve"> </w:t>
      </w:r>
      <w:r>
        <w:t>those</w:t>
      </w:r>
      <w:r>
        <w:rPr>
          <w:spacing w:val="-4"/>
        </w:rPr>
        <w:t xml:space="preserve"> </w:t>
      </w:r>
      <w:r>
        <w:t>concerning</w:t>
      </w:r>
      <w:r>
        <w:rPr>
          <w:spacing w:val="-3"/>
        </w:rPr>
        <w:t xml:space="preserve"> </w:t>
      </w:r>
      <w:r>
        <w:t>the</w:t>
      </w:r>
      <w:r>
        <w:rPr>
          <w:spacing w:val="-4"/>
        </w:rPr>
        <w:t xml:space="preserve"> </w:t>
      </w:r>
      <w:r>
        <w:t>external</w:t>
      </w:r>
      <w:r>
        <w:rPr>
          <w:spacing w:val="-4"/>
        </w:rPr>
        <w:t xml:space="preserve"> </w:t>
      </w:r>
      <w:r>
        <w:t>world.</w:t>
      </w:r>
      <w:r>
        <w:rPr>
          <w:spacing w:val="-3"/>
        </w:rPr>
        <w:t xml:space="preserve"> </w:t>
      </w:r>
      <w:r>
        <w:t>And</w:t>
      </w:r>
      <w:r>
        <w:rPr>
          <w:spacing w:val="-3"/>
        </w:rPr>
        <w:t xml:space="preserve"> </w:t>
      </w:r>
      <w:r>
        <w:t>those</w:t>
      </w:r>
      <w:r>
        <w:rPr>
          <w:spacing w:val="-4"/>
        </w:rPr>
        <w:t xml:space="preserve"> </w:t>
      </w:r>
      <w:r>
        <w:t>beliefs</w:t>
      </w:r>
      <w:r>
        <w:rPr>
          <w:spacing w:val="-4"/>
        </w:rPr>
        <w:t xml:space="preserve"> </w:t>
      </w:r>
      <w:r>
        <w:t>constitute the core of self-evident truths on which, in Descartes’ view, our knowledge</w:t>
      </w:r>
      <w:r>
        <w:rPr>
          <w:spacing w:val="40"/>
        </w:rPr>
        <w:t xml:space="preserve"> </w:t>
      </w:r>
      <w:r>
        <w:t xml:space="preserve">of everything else (apart from purely conceptual truths; e.g., </w:t>
      </w:r>
      <w:r>
        <w:rPr>
          <w:i/>
        </w:rPr>
        <w:t>1 + 1 = 2</w:t>
      </w:r>
      <w:r>
        <w:t>) rests. To clarify the parenthetical remark: Descartes is a hard-core rationalist and thus believes that not all knowledge is derived from the senses. Indeed, as we</w:t>
      </w:r>
    </w:p>
    <w:p w14:paraId="7E0017F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F7" w14:textId="77777777" w:rsidR="009A58DB" w:rsidRDefault="00000000">
      <w:pPr>
        <w:pStyle w:val="BodyText"/>
        <w:spacing w:before="65" w:line="249" w:lineRule="auto"/>
        <w:ind w:right="358"/>
      </w:pPr>
      <w:r>
        <w:lastRenderedPageBreak/>
        <w:t>just saw, he thinks that some knowledge is a precondition for perceptual knowledge. He also thinks that it can be known, without having to any empirical work, that triangles have three sides, that causes precede their effects, etc. Descartes’ foundationalism</w:t>
      </w:r>
    </w:p>
    <w:p w14:paraId="7E0017F8" w14:textId="77777777" w:rsidR="009A58DB" w:rsidRDefault="00000000">
      <w:pPr>
        <w:pStyle w:val="BodyText"/>
        <w:spacing w:before="5" w:line="249" w:lineRule="auto"/>
        <w:ind w:right="364"/>
      </w:pPr>
      <w:r>
        <w:t>is strikingly modern and resembles Chisholm’s quite a lot. (I happen to</w:t>
      </w:r>
      <w:r>
        <w:rPr>
          <w:spacing w:val="40"/>
        </w:rPr>
        <w:t xml:space="preserve"> </w:t>
      </w:r>
      <w:r>
        <w:t>accept Chisholm’s foundationalism, at least with some reservations.)</w:t>
      </w:r>
    </w:p>
    <w:p w14:paraId="7E0017F9" w14:textId="77777777" w:rsidR="009A58DB" w:rsidRDefault="00000000">
      <w:pPr>
        <w:pStyle w:val="Heading1"/>
        <w:spacing w:before="190"/>
        <w:ind w:left="360" w:firstLine="0"/>
      </w:pPr>
      <w:r>
        <w:t>4.0</w:t>
      </w:r>
      <w:r>
        <w:rPr>
          <w:spacing w:val="-4"/>
        </w:rPr>
        <w:t xml:space="preserve"> </w:t>
      </w:r>
      <w:r>
        <w:t>Meditation</w:t>
      </w:r>
      <w:r>
        <w:rPr>
          <w:spacing w:val="-3"/>
        </w:rPr>
        <w:t xml:space="preserve"> </w:t>
      </w:r>
      <w:r>
        <w:t>3:</w:t>
      </w:r>
      <w:r>
        <w:rPr>
          <w:spacing w:val="-3"/>
        </w:rPr>
        <w:t xml:space="preserve"> </w:t>
      </w:r>
      <w:r>
        <w:t>“Of</w:t>
      </w:r>
      <w:r>
        <w:rPr>
          <w:spacing w:val="-3"/>
        </w:rPr>
        <w:t xml:space="preserve"> </w:t>
      </w:r>
      <w:r>
        <w:t>God,</w:t>
      </w:r>
      <w:r>
        <w:rPr>
          <w:spacing w:val="-2"/>
        </w:rPr>
        <w:t xml:space="preserve"> </w:t>
      </w:r>
      <w:r>
        <w:t>that</w:t>
      </w:r>
      <w:r>
        <w:rPr>
          <w:spacing w:val="-3"/>
        </w:rPr>
        <w:t xml:space="preserve"> </w:t>
      </w:r>
      <w:r>
        <w:t>He</w:t>
      </w:r>
      <w:r>
        <w:rPr>
          <w:spacing w:val="-2"/>
        </w:rPr>
        <w:t xml:space="preserve"> exists”</w:t>
      </w:r>
    </w:p>
    <w:p w14:paraId="7E0017FA" w14:textId="77777777" w:rsidR="009A58DB" w:rsidRDefault="00000000">
      <w:pPr>
        <w:pStyle w:val="BodyText"/>
        <w:spacing w:before="139" w:line="249" w:lineRule="auto"/>
        <w:ind w:right="358"/>
      </w:pPr>
      <w:r>
        <w:t>Although Descartes believes that some beliefs about oneself are self-evidently true, he doesn’t think that our common-sense beliefs about the external world, which he believes to be true and which he wishes to justify, can be justified solely on the basis of our self-knowledge. Descartes thinks that, in order to justify our beliefs about the external world, it must be supposed that God exists and that, moreover, God is all-good (and would, for that reason, guarantee that our beliefs are more or less on the right track, at least most of the time).</w:t>
      </w:r>
    </w:p>
    <w:p w14:paraId="7E0017FB" w14:textId="77777777" w:rsidR="009A58DB" w:rsidRDefault="00000000">
      <w:pPr>
        <w:pStyle w:val="BodyText"/>
        <w:spacing w:before="10" w:line="249" w:lineRule="auto"/>
        <w:ind w:right="361" w:firstLine="360"/>
      </w:pPr>
      <w:r>
        <w:t>In this Meditation, Descartes provides an argument for God’s existence. (In Meditation 5, he provides a different argument.) The argument given in Meditation 3 is much better than the one given in Meditation 5.) Here it is.</w:t>
      </w:r>
    </w:p>
    <w:p w14:paraId="7E0017FC" w14:textId="77777777" w:rsidR="009A58DB" w:rsidRDefault="00000000">
      <w:pPr>
        <w:pStyle w:val="BodyText"/>
        <w:spacing w:before="4" w:line="249" w:lineRule="auto"/>
        <w:ind w:right="359" w:firstLine="360"/>
      </w:pPr>
      <w:r>
        <w:t>The cause of an event must have “at least as much reality as the effect.” The idea seems to be that something cannot come from nothing. If you make a</w:t>
      </w:r>
      <w:r>
        <w:rPr>
          <w:spacing w:val="-1"/>
        </w:rPr>
        <w:t xml:space="preserve"> </w:t>
      </w:r>
      <w:r>
        <w:t>statue,</w:t>
      </w:r>
      <w:r>
        <w:rPr>
          <w:spacing w:val="-1"/>
        </w:rPr>
        <w:t xml:space="preserve"> </w:t>
      </w:r>
      <w:r>
        <w:t>you’re</w:t>
      </w:r>
      <w:r>
        <w:rPr>
          <w:spacing w:val="-1"/>
        </w:rPr>
        <w:t xml:space="preserve"> </w:t>
      </w:r>
      <w:r>
        <w:t>not</w:t>
      </w:r>
      <w:r>
        <w:rPr>
          <w:spacing w:val="-1"/>
        </w:rPr>
        <w:t xml:space="preserve"> </w:t>
      </w:r>
      <w:r>
        <w:t>going</w:t>
      </w:r>
      <w:r>
        <w:rPr>
          <w:spacing w:val="-1"/>
        </w:rPr>
        <w:t xml:space="preserve"> </w:t>
      </w:r>
      <w:r>
        <w:t>to</w:t>
      </w:r>
      <w:r>
        <w:rPr>
          <w:spacing w:val="-1"/>
        </w:rPr>
        <w:t xml:space="preserve"> </w:t>
      </w:r>
      <w:r>
        <w:t>create</w:t>
      </w:r>
      <w:r>
        <w:rPr>
          <w:spacing w:val="-1"/>
        </w:rPr>
        <w:t xml:space="preserve"> </w:t>
      </w:r>
      <w:r>
        <w:t>new</w:t>
      </w:r>
      <w:r>
        <w:rPr>
          <w:spacing w:val="-1"/>
        </w:rPr>
        <w:t xml:space="preserve"> </w:t>
      </w:r>
      <w:r>
        <w:t>clay</w:t>
      </w:r>
      <w:r>
        <w:rPr>
          <w:spacing w:val="-1"/>
        </w:rPr>
        <w:t xml:space="preserve"> </w:t>
      </w:r>
      <w:r>
        <w:t>(or</w:t>
      </w:r>
      <w:r>
        <w:rPr>
          <w:spacing w:val="-1"/>
        </w:rPr>
        <w:t xml:space="preserve"> </w:t>
      </w:r>
      <w:r>
        <w:t>marble);</w:t>
      </w:r>
      <w:r>
        <w:rPr>
          <w:spacing w:val="-1"/>
        </w:rPr>
        <w:t xml:space="preserve"> </w:t>
      </w:r>
      <w:r>
        <w:t>you’re</w:t>
      </w:r>
      <w:r>
        <w:rPr>
          <w:spacing w:val="-1"/>
        </w:rPr>
        <w:t xml:space="preserve"> </w:t>
      </w:r>
      <w:r>
        <w:t>simply</w:t>
      </w:r>
      <w:r>
        <w:rPr>
          <w:spacing w:val="-1"/>
        </w:rPr>
        <w:t xml:space="preserve"> </w:t>
      </w:r>
      <w:r>
        <w:t xml:space="preserve">going to redistribute the clay that was there to begin with. (Everything comes from pre-existing materials: the quantity of matter in the universe is preserved, and all changes involve redistribution in that matter, as opposed to creation </w:t>
      </w:r>
      <w:r>
        <w:rPr>
          <w:i/>
        </w:rPr>
        <w:t xml:space="preserve">ex nihilo </w:t>
      </w:r>
      <w:r>
        <w:t>of new matter. “</w:t>
      </w:r>
      <w:r>
        <w:rPr>
          <w:i/>
        </w:rPr>
        <w:t>Ex nihilo</w:t>
      </w:r>
      <w:r>
        <w:t xml:space="preserve">” means “out of nothing.”) Similarly, events consist in redistributions of objects, not in creation </w:t>
      </w:r>
      <w:r>
        <w:rPr>
          <w:i/>
        </w:rPr>
        <w:t xml:space="preserve">ex nihilo. </w:t>
      </w:r>
      <w:r>
        <w:t>(Author’s commentay: This point has been denied, and perhaps it is false; but it is obviously reasonable enough.)</w:t>
      </w:r>
    </w:p>
    <w:p w14:paraId="7E0017FD" w14:textId="77777777" w:rsidR="009A58DB" w:rsidRDefault="00000000">
      <w:pPr>
        <w:pStyle w:val="BodyText"/>
        <w:spacing w:before="12" w:line="249" w:lineRule="auto"/>
        <w:ind w:right="359" w:firstLine="360"/>
      </w:pPr>
      <w:r>
        <w:t xml:space="preserve">Descartes actually goes on to affirm a very strong version of the principle that something never comes from nothing. He says that effects must not only consist of the same material as their causes but must actually </w:t>
      </w:r>
      <w:r>
        <w:rPr>
          <w:i/>
        </w:rPr>
        <w:t xml:space="preserve">resemble </w:t>
      </w:r>
      <w:r>
        <w:t>their causes.</w:t>
      </w:r>
      <w:r>
        <w:rPr>
          <w:spacing w:val="-2"/>
        </w:rPr>
        <w:t xml:space="preserve"> </w:t>
      </w:r>
      <w:r>
        <w:t>The</w:t>
      </w:r>
      <w:r>
        <w:rPr>
          <w:spacing w:val="-3"/>
        </w:rPr>
        <w:t xml:space="preserve"> </w:t>
      </w:r>
      <w:r>
        <w:t>idea</w:t>
      </w:r>
      <w:r>
        <w:rPr>
          <w:spacing w:val="-3"/>
        </w:rPr>
        <w:t xml:space="preserve"> </w:t>
      </w:r>
      <w:r>
        <w:t>seems</w:t>
      </w:r>
      <w:r>
        <w:rPr>
          <w:spacing w:val="-3"/>
        </w:rPr>
        <w:t xml:space="preserve"> </w:t>
      </w:r>
      <w:r>
        <w:t>to</w:t>
      </w:r>
      <w:r>
        <w:rPr>
          <w:spacing w:val="-2"/>
        </w:rPr>
        <w:t xml:space="preserve"> </w:t>
      </w:r>
      <w:r>
        <w:t>be</w:t>
      </w:r>
      <w:r>
        <w:rPr>
          <w:spacing w:val="-3"/>
        </w:rPr>
        <w:t xml:space="preserve"> </w:t>
      </w:r>
      <w:r>
        <w:t>that</w:t>
      </w:r>
      <w:r>
        <w:rPr>
          <w:spacing w:val="-3"/>
        </w:rPr>
        <w:t xml:space="preserve"> </w:t>
      </w:r>
      <w:r>
        <w:t>the</w:t>
      </w:r>
      <w:r>
        <w:rPr>
          <w:spacing w:val="-3"/>
        </w:rPr>
        <w:t xml:space="preserve"> </w:t>
      </w:r>
      <w:r>
        <w:t>hotness</w:t>
      </w:r>
      <w:r>
        <w:rPr>
          <w:spacing w:val="-3"/>
        </w:rPr>
        <w:t xml:space="preserve"> </w:t>
      </w:r>
      <w:r>
        <w:t>of</w:t>
      </w:r>
      <w:r>
        <w:rPr>
          <w:spacing w:val="-3"/>
        </w:rPr>
        <w:t xml:space="preserve"> </w:t>
      </w:r>
      <w:r>
        <w:t>the</w:t>
      </w:r>
      <w:r>
        <w:rPr>
          <w:spacing w:val="-3"/>
        </w:rPr>
        <w:t xml:space="preserve"> </w:t>
      </w:r>
      <w:r>
        <w:t>pan</w:t>
      </w:r>
      <w:r>
        <w:rPr>
          <w:spacing w:val="-2"/>
        </w:rPr>
        <w:t xml:space="preserve"> </w:t>
      </w:r>
      <w:r>
        <w:t>resembles</w:t>
      </w:r>
      <w:r>
        <w:rPr>
          <w:spacing w:val="-3"/>
        </w:rPr>
        <w:t xml:space="preserve"> </w:t>
      </w:r>
      <w:r>
        <w:t>the</w:t>
      </w:r>
      <w:r>
        <w:rPr>
          <w:spacing w:val="-3"/>
        </w:rPr>
        <w:t xml:space="preserve"> </w:t>
      </w:r>
      <w:r>
        <w:t xml:space="preserve">hotness of the flame which made the pan hot and, further, that </w:t>
      </w:r>
      <w:r>
        <w:rPr>
          <w:i/>
        </w:rPr>
        <w:t xml:space="preserve">all </w:t>
      </w:r>
      <w:r>
        <w:t>cause-effect relations</w:t>
      </w:r>
      <w:r>
        <w:rPr>
          <w:spacing w:val="45"/>
          <w:w w:val="150"/>
        </w:rPr>
        <w:t xml:space="preserve"> </w:t>
      </w:r>
      <w:r>
        <w:t>can</w:t>
      </w:r>
      <w:r>
        <w:rPr>
          <w:spacing w:val="45"/>
          <w:w w:val="150"/>
        </w:rPr>
        <w:t xml:space="preserve"> </w:t>
      </w:r>
      <w:r>
        <w:t>be</w:t>
      </w:r>
      <w:r>
        <w:rPr>
          <w:spacing w:val="45"/>
          <w:w w:val="150"/>
        </w:rPr>
        <w:t xml:space="preserve"> </w:t>
      </w:r>
      <w:r>
        <w:t>understood</w:t>
      </w:r>
      <w:r>
        <w:rPr>
          <w:spacing w:val="46"/>
          <w:w w:val="150"/>
        </w:rPr>
        <w:t xml:space="preserve"> </w:t>
      </w:r>
      <w:r>
        <w:t>on</w:t>
      </w:r>
      <w:r>
        <w:rPr>
          <w:spacing w:val="45"/>
          <w:w w:val="150"/>
        </w:rPr>
        <w:t xml:space="preserve"> </w:t>
      </w:r>
      <w:r>
        <w:t>this</w:t>
      </w:r>
      <w:r>
        <w:rPr>
          <w:spacing w:val="45"/>
          <w:w w:val="150"/>
        </w:rPr>
        <w:t xml:space="preserve"> </w:t>
      </w:r>
      <w:r>
        <w:t>model.</w:t>
      </w:r>
      <w:r>
        <w:rPr>
          <w:spacing w:val="45"/>
          <w:w w:val="150"/>
        </w:rPr>
        <w:t xml:space="preserve"> </w:t>
      </w:r>
      <w:r>
        <w:t>(Author’s</w:t>
      </w:r>
      <w:r>
        <w:rPr>
          <w:spacing w:val="46"/>
          <w:w w:val="150"/>
        </w:rPr>
        <w:t xml:space="preserve"> </w:t>
      </w:r>
      <w:r>
        <w:t>commentary:</w:t>
      </w:r>
      <w:r>
        <w:rPr>
          <w:spacing w:val="45"/>
          <w:w w:val="150"/>
        </w:rPr>
        <w:t xml:space="preserve"> </w:t>
      </w:r>
      <w:r>
        <w:rPr>
          <w:spacing w:val="-4"/>
        </w:rPr>
        <w:t>This</w:t>
      </w:r>
    </w:p>
    <w:p w14:paraId="7E0017F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7FF" w14:textId="77777777" w:rsidR="009A58DB" w:rsidRDefault="00000000">
      <w:pPr>
        <w:pStyle w:val="BodyText"/>
        <w:spacing w:before="60" w:line="249" w:lineRule="auto"/>
        <w:ind w:right="358"/>
      </w:pPr>
      <w:r>
        <w:lastRenderedPageBreak/>
        <w:t>doesn’t seem right. Redistributions in mass-energy often lead to states of affairs that have little or no resemblance to their predecessors. Mozart’s 40th symphony resulted from various mental and neural events, but it doesn’t resemble those events very much, except perhaps in some extremely abstract sense. Effects are often wildly different from their causes.)</w:t>
      </w:r>
    </w:p>
    <w:p w14:paraId="7E001800" w14:textId="77777777" w:rsidR="009A58DB" w:rsidRDefault="00000000">
      <w:pPr>
        <w:pStyle w:val="BodyText"/>
        <w:spacing w:before="11" w:line="249" w:lineRule="auto"/>
        <w:ind w:right="361" w:firstLine="360"/>
      </w:pPr>
      <w:r>
        <w:t xml:space="preserve">Here is the next step in Descartes’ argument. Each of us has concepts of various forms of infinity—of infinite goodness, infinite intelligence, etc. That means, says Descartes, that infinite goodness, intelligence, etc., must </w:t>
      </w:r>
      <w:r>
        <w:rPr>
          <w:i/>
        </w:rPr>
        <w:t xml:space="preserve">in some sense </w:t>
      </w:r>
      <w:r>
        <w:t>be in each of us. (Author’s commentary: This is where I think</w:t>
      </w:r>
      <w:r>
        <w:rPr>
          <w:spacing w:val="40"/>
        </w:rPr>
        <w:t xml:space="preserve"> </w:t>
      </w:r>
      <w:r>
        <w:t>Descartes goes totally wrong. I can have an idea of a trillion dollars without a trillion dollars being “in” me, in any significance sense. Similarly, I can have an idea of infinite intelligence without being infinitely intelligent myself.)</w:t>
      </w:r>
    </w:p>
    <w:p w14:paraId="7E001801" w14:textId="77777777" w:rsidR="009A58DB" w:rsidRDefault="00000000">
      <w:pPr>
        <w:pStyle w:val="BodyText"/>
        <w:spacing w:before="8"/>
        <w:ind w:left="720"/>
      </w:pPr>
      <w:r>
        <w:t>Descartes</w:t>
      </w:r>
      <w:r>
        <w:rPr>
          <w:spacing w:val="-6"/>
        </w:rPr>
        <w:t xml:space="preserve"> </w:t>
      </w:r>
      <w:r>
        <w:t>then</w:t>
      </w:r>
      <w:r>
        <w:rPr>
          <w:spacing w:val="-3"/>
        </w:rPr>
        <w:t xml:space="preserve"> </w:t>
      </w:r>
      <w:r>
        <w:t>combines</w:t>
      </w:r>
      <w:r>
        <w:rPr>
          <w:spacing w:val="-4"/>
        </w:rPr>
        <w:t xml:space="preserve"> </w:t>
      </w:r>
      <w:r>
        <w:t>the</w:t>
      </w:r>
      <w:r>
        <w:rPr>
          <w:spacing w:val="-3"/>
        </w:rPr>
        <w:t xml:space="preserve"> </w:t>
      </w:r>
      <w:r>
        <w:t>points</w:t>
      </w:r>
      <w:r>
        <w:rPr>
          <w:spacing w:val="-4"/>
        </w:rPr>
        <w:t xml:space="preserve"> </w:t>
      </w:r>
      <w:r>
        <w:t>just</w:t>
      </w:r>
      <w:r>
        <w:rPr>
          <w:spacing w:val="-4"/>
        </w:rPr>
        <w:t xml:space="preserve"> </w:t>
      </w:r>
      <w:r>
        <w:t>made.</w:t>
      </w:r>
      <w:r>
        <w:rPr>
          <w:spacing w:val="-2"/>
        </w:rPr>
        <w:t xml:space="preserve"> </w:t>
      </w:r>
      <w:r>
        <w:t>He</w:t>
      </w:r>
      <w:r>
        <w:rPr>
          <w:spacing w:val="-4"/>
        </w:rPr>
        <w:t xml:space="preserve"> </w:t>
      </w:r>
      <w:r>
        <w:t>says</w:t>
      </w:r>
      <w:r>
        <w:rPr>
          <w:spacing w:val="-4"/>
        </w:rPr>
        <w:t xml:space="preserve"> </w:t>
      </w:r>
      <w:r>
        <w:t>that</w:t>
      </w:r>
      <w:r>
        <w:rPr>
          <w:spacing w:val="-3"/>
        </w:rPr>
        <w:t xml:space="preserve"> </w:t>
      </w:r>
      <w:r>
        <w:rPr>
          <w:spacing w:val="-2"/>
        </w:rPr>
        <w:t>since</w:t>
      </w:r>
    </w:p>
    <w:p w14:paraId="7E001802" w14:textId="77777777" w:rsidR="009A58DB" w:rsidRDefault="00000000">
      <w:pPr>
        <w:pStyle w:val="ListParagraph"/>
        <w:numPr>
          <w:ilvl w:val="0"/>
          <w:numId w:val="123"/>
        </w:numPr>
        <w:tabs>
          <w:tab w:val="left" w:pos="715"/>
        </w:tabs>
        <w:spacing w:before="120"/>
        <w:ind w:left="715" w:hanging="355"/>
        <w:rPr>
          <w:sz w:val="30"/>
        </w:rPr>
      </w:pPr>
      <w:r>
        <w:rPr>
          <w:sz w:val="30"/>
        </w:rPr>
        <w:t>something</w:t>
      </w:r>
      <w:r>
        <w:rPr>
          <w:spacing w:val="-4"/>
          <w:sz w:val="30"/>
        </w:rPr>
        <w:t xml:space="preserve"> </w:t>
      </w:r>
      <w:r>
        <w:rPr>
          <w:sz w:val="30"/>
        </w:rPr>
        <w:t>never</w:t>
      </w:r>
      <w:r>
        <w:rPr>
          <w:spacing w:val="-4"/>
          <w:sz w:val="30"/>
        </w:rPr>
        <w:t xml:space="preserve"> </w:t>
      </w:r>
      <w:r>
        <w:rPr>
          <w:sz w:val="30"/>
        </w:rPr>
        <w:t>comes</w:t>
      </w:r>
      <w:r>
        <w:rPr>
          <w:spacing w:val="-4"/>
          <w:sz w:val="30"/>
        </w:rPr>
        <w:t xml:space="preserve"> </w:t>
      </w:r>
      <w:r>
        <w:rPr>
          <w:sz w:val="30"/>
        </w:rPr>
        <w:t>from</w:t>
      </w:r>
      <w:r>
        <w:rPr>
          <w:spacing w:val="-3"/>
          <w:sz w:val="30"/>
        </w:rPr>
        <w:t xml:space="preserve"> </w:t>
      </w:r>
      <w:r>
        <w:rPr>
          <w:spacing w:val="-2"/>
          <w:sz w:val="30"/>
        </w:rPr>
        <w:t>nothing,</w:t>
      </w:r>
    </w:p>
    <w:p w14:paraId="7E001803" w14:textId="77777777" w:rsidR="009A58DB" w:rsidRDefault="00000000">
      <w:pPr>
        <w:pStyle w:val="ListParagraph"/>
        <w:numPr>
          <w:ilvl w:val="0"/>
          <w:numId w:val="123"/>
        </w:numPr>
        <w:tabs>
          <w:tab w:val="left" w:pos="797"/>
        </w:tabs>
        <w:spacing w:before="15"/>
        <w:ind w:left="797" w:hanging="437"/>
        <w:rPr>
          <w:sz w:val="30"/>
        </w:rPr>
      </w:pPr>
      <w:r>
        <w:rPr>
          <w:sz w:val="30"/>
        </w:rPr>
        <w:t>that</w:t>
      </w:r>
      <w:r>
        <w:rPr>
          <w:spacing w:val="-8"/>
          <w:sz w:val="30"/>
        </w:rPr>
        <w:t xml:space="preserve"> </w:t>
      </w:r>
      <w:r>
        <w:rPr>
          <w:sz w:val="30"/>
        </w:rPr>
        <w:t>effects</w:t>
      </w:r>
      <w:r>
        <w:rPr>
          <w:spacing w:val="-5"/>
          <w:sz w:val="30"/>
        </w:rPr>
        <w:t xml:space="preserve"> </w:t>
      </w:r>
      <w:r>
        <w:rPr>
          <w:sz w:val="30"/>
        </w:rPr>
        <w:t>resemble</w:t>
      </w:r>
      <w:r>
        <w:rPr>
          <w:spacing w:val="-6"/>
          <w:sz w:val="30"/>
        </w:rPr>
        <w:t xml:space="preserve"> </w:t>
      </w:r>
      <w:r>
        <w:rPr>
          <w:sz w:val="30"/>
        </w:rPr>
        <w:t>their</w:t>
      </w:r>
      <w:r>
        <w:rPr>
          <w:spacing w:val="-5"/>
          <w:sz w:val="30"/>
        </w:rPr>
        <w:t xml:space="preserve"> </w:t>
      </w:r>
      <w:r>
        <w:rPr>
          <w:sz w:val="30"/>
        </w:rPr>
        <w:t>causes,</w:t>
      </w:r>
      <w:r>
        <w:rPr>
          <w:spacing w:val="-4"/>
          <w:sz w:val="30"/>
        </w:rPr>
        <w:t xml:space="preserve"> </w:t>
      </w:r>
      <w:r>
        <w:rPr>
          <w:spacing w:val="-5"/>
          <w:sz w:val="30"/>
        </w:rPr>
        <w:t>and</w:t>
      </w:r>
    </w:p>
    <w:p w14:paraId="7E001804" w14:textId="77777777" w:rsidR="009A58DB" w:rsidRDefault="00000000">
      <w:pPr>
        <w:pStyle w:val="ListParagraph"/>
        <w:numPr>
          <w:ilvl w:val="0"/>
          <w:numId w:val="123"/>
        </w:numPr>
        <w:tabs>
          <w:tab w:val="left" w:pos="882"/>
        </w:tabs>
        <w:spacing w:before="15" w:line="249" w:lineRule="auto"/>
        <w:ind w:left="360" w:right="369" w:firstLine="0"/>
        <w:rPr>
          <w:sz w:val="30"/>
        </w:rPr>
      </w:pPr>
      <w:r>
        <w:rPr>
          <w:sz w:val="30"/>
        </w:rPr>
        <w:t>that</w:t>
      </w:r>
      <w:r>
        <w:rPr>
          <w:spacing w:val="-1"/>
          <w:sz w:val="30"/>
        </w:rPr>
        <w:t xml:space="preserve"> </w:t>
      </w:r>
      <w:r>
        <w:rPr>
          <w:sz w:val="30"/>
        </w:rPr>
        <w:t>there</w:t>
      </w:r>
      <w:r>
        <w:rPr>
          <w:spacing w:val="-1"/>
          <w:sz w:val="30"/>
        </w:rPr>
        <w:t xml:space="preserve"> </w:t>
      </w:r>
      <w:r>
        <w:rPr>
          <w:sz w:val="30"/>
        </w:rPr>
        <w:t>is,</w:t>
      </w:r>
      <w:r>
        <w:rPr>
          <w:spacing w:val="-1"/>
          <w:sz w:val="30"/>
        </w:rPr>
        <w:t xml:space="preserve"> </w:t>
      </w:r>
      <w:r>
        <w:rPr>
          <w:sz w:val="30"/>
        </w:rPr>
        <w:t>in</w:t>
      </w:r>
      <w:r>
        <w:rPr>
          <w:spacing w:val="-1"/>
          <w:sz w:val="30"/>
        </w:rPr>
        <w:t xml:space="preserve"> </w:t>
      </w:r>
      <w:r>
        <w:rPr>
          <w:sz w:val="30"/>
        </w:rPr>
        <w:t>some</w:t>
      </w:r>
      <w:r>
        <w:rPr>
          <w:spacing w:val="-1"/>
          <w:sz w:val="30"/>
        </w:rPr>
        <w:t xml:space="preserve"> </w:t>
      </w:r>
      <w:r>
        <w:rPr>
          <w:sz w:val="30"/>
        </w:rPr>
        <w:t>way</w:t>
      </w:r>
      <w:r>
        <w:rPr>
          <w:spacing w:val="-1"/>
          <w:sz w:val="30"/>
        </w:rPr>
        <w:t xml:space="preserve"> </w:t>
      </w:r>
      <w:r>
        <w:rPr>
          <w:sz w:val="30"/>
        </w:rPr>
        <w:t>or</w:t>
      </w:r>
      <w:r>
        <w:rPr>
          <w:spacing w:val="-1"/>
          <w:sz w:val="30"/>
        </w:rPr>
        <w:t xml:space="preserve"> </w:t>
      </w:r>
      <w:r>
        <w:rPr>
          <w:sz w:val="30"/>
        </w:rPr>
        <w:t>other,</w:t>
      </w:r>
      <w:r>
        <w:rPr>
          <w:spacing w:val="-1"/>
          <w:sz w:val="30"/>
        </w:rPr>
        <w:t xml:space="preserve"> </w:t>
      </w:r>
      <w:r>
        <w:rPr>
          <w:sz w:val="30"/>
        </w:rPr>
        <w:t>infinite</w:t>
      </w:r>
      <w:r>
        <w:rPr>
          <w:spacing w:val="-1"/>
          <w:sz w:val="30"/>
        </w:rPr>
        <w:t xml:space="preserve"> </w:t>
      </w:r>
      <w:r>
        <w:rPr>
          <w:sz w:val="30"/>
        </w:rPr>
        <w:t>goodness,</w:t>
      </w:r>
      <w:r>
        <w:rPr>
          <w:spacing w:val="-1"/>
          <w:sz w:val="30"/>
        </w:rPr>
        <w:t xml:space="preserve"> </w:t>
      </w:r>
      <w:r>
        <w:rPr>
          <w:sz w:val="30"/>
        </w:rPr>
        <w:t>intelligence,</w:t>
      </w:r>
      <w:r>
        <w:rPr>
          <w:spacing w:val="-1"/>
          <w:sz w:val="30"/>
        </w:rPr>
        <w:t xml:space="preserve"> </w:t>
      </w:r>
      <w:r>
        <w:rPr>
          <w:sz w:val="30"/>
        </w:rPr>
        <w:t>etc.,</w:t>
      </w:r>
      <w:r>
        <w:rPr>
          <w:spacing w:val="-1"/>
          <w:sz w:val="30"/>
        </w:rPr>
        <w:t xml:space="preserve"> </w:t>
      </w:r>
      <w:r>
        <w:rPr>
          <w:sz w:val="30"/>
        </w:rPr>
        <w:t>in each of us,</w:t>
      </w:r>
    </w:p>
    <w:p w14:paraId="7E001805" w14:textId="77777777" w:rsidR="009A58DB" w:rsidRDefault="00000000">
      <w:pPr>
        <w:pStyle w:val="BodyText"/>
        <w:spacing w:before="93"/>
        <w:jc w:val="left"/>
      </w:pPr>
      <w:r>
        <w:t>it</w:t>
      </w:r>
      <w:r>
        <w:rPr>
          <w:spacing w:val="-4"/>
        </w:rPr>
        <w:t xml:space="preserve"> </w:t>
      </w:r>
      <w:r>
        <w:t>follows</w:t>
      </w:r>
      <w:r>
        <w:rPr>
          <w:spacing w:val="-3"/>
        </w:rPr>
        <w:t xml:space="preserve"> </w:t>
      </w:r>
      <w:r>
        <w:rPr>
          <w:spacing w:val="-4"/>
        </w:rPr>
        <w:t>that</w:t>
      </w:r>
    </w:p>
    <w:p w14:paraId="7E001806" w14:textId="77777777" w:rsidR="009A58DB" w:rsidRDefault="00000000">
      <w:pPr>
        <w:pStyle w:val="ListParagraph"/>
        <w:numPr>
          <w:ilvl w:val="0"/>
          <w:numId w:val="123"/>
        </w:numPr>
        <w:tabs>
          <w:tab w:val="left" w:pos="929"/>
        </w:tabs>
        <w:spacing w:before="120" w:line="249" w:lineRule="auto"/>
        <w:ind w:left="360" w:right="359" w:firstLine="0"/>
        <w:rPr>
          <w:sz w:val="30"/>
        </w:rPr>
      </w:pPr>
      <w:r>
        <w:rPr>
          <w:sz w:val="30"/>
        </w:rPr>
        <w:t>there</w:t>
      </w:r>
      <w:r>
        <w:rPr>
          <w:spacing w:val="40"/>
          <w:sz w:val="30"/>
        </w:rPr>
        <w:t xml:space="preserve"> </w:t>
      </w:r>
      <w:r>
        <w:rPr>
          <w:sz w:val="30"/>
        </w:rPr>
        <w:t>really</w:t>
      </w:r>
      <w:r>
        <w:rPr>
          <w:spacing w:val="40"/>
          <w:sz w:val="30"/>
        </w:rPr>
        <w:t xml:space="preserve"> </w:t>
      </w:r>
      <w:r>
        <w:rPr>
          <w:sz w:val="30"/>
        </w:rPr>
        <w:t>must</w:t>
      </w:r>
      <w:r>
        <w:rPr>
          <w:spacing w:val="40"/>
          <w:sz w:val="30"/>
        </w:rPr>
        <w:t xml:space="preserve"> </w:t>
      </w:r>
      <w:r>
        <w:rPr>
          <w:sz w:val="30"/>
        </w:rPr>
        <w:t>be</w:t>
      </w:r>
      <w:r>
        <w:rPr>
          <w:spacing w:val="40"/>
          <w:sz w:val="30"/>
        </w:rPr>
        <w:t xml:space="preserve"> </w:t>
      </w:r>
      <w:r>
        <w:rPr>
          <w:sz w:val="30"/>
        </w:rPr>
        <w:t>an</w:t>
      </w:r>
      <w:r>
        <w:rPr>
          <w:spacing w:val="40"/>
          <w:sz w:val="30"/>
        </w:rPr>
        <w:t xml:space="preserve"> </w:t>
      </w:r>
      <w:r>
        <w:rPr>
          <w:sz w:val="30"/>
        </w:rPr>
        <w:t>infinitely</w:t>
      </w:r>
      <w:r>
        <w:rPr>
          <w:spacing w:val="40"/>
          <w:sz w:val="30"/>
        </w:rPr>
        <w:t xml:space="preserve"> </w:t>
      </w:r>
      <w:r>
        <w:rPr>
          <w:sz w:val="30"/>
        </w:rPr>
        <w:t>intelligent,</w:t>
      </w:r>
      <w:r>
        <w:rPr>
          <w:spacing w:val="40"/>
          <w:sz w:val="30"/>
        </w:rPr>
        <w:t xml:space="preserve"> </w:t>
      </w:r>
      <w:r>
        <w:rPr>
          <w:sz w:val="30"/>
        </w:rPr>
        <w:t>good,</w:t>
      </w:r>
      <w:r>
        <w:rPr>
          <w:spacing w:val="40"/>
          <w:sz w:val="30"/>
        </w:rPr>
        <w:t xml:space="preserve"> </w:t>
      </w:r>
      <w:r>
        <w:rPr>
          <w:sz w:val="30"/>
        </w:rPr>
        <w:t>etc.,</w:t>
      </w:r>
      <w:r>
        <w:rPr>
          <w:spacing w:val="40"/>
          <w:sz w:val="30"/>
        </w:rPr>
        <w:t xml:space="preserve"> </w:t>
      </w:r>
      <w:r>
        <w:rPr>
          <w:sz w:val="30"/>
        </w:rPr>
        <w:t>being</w:t>
      </w:r>
      <w:r>
        <w:rPr>
          <w:spacing w:val="40"/>
          <w:sz w:val="30"/>
        </w:rPr>
        <w:t xml:space="preserve"> </w:t>
      </w:r>
      <w:r>
        <w:rPr>
          <w:sz w:val="30"/>
        </w:rPr>
        <w:t>in</w:t>
      </w:r>
      <w:r>
        <w:rPr>
          <w:spacing w:val="40"/>
          <w:sz w:val="30"/>
        </w:rPr>
        <w:t xml:space="preserve"> </w:t>
      </w:r>
      <w:r>
        <w:rPr>
          <w:sz w:val="30"/>
        </w:rPr>
        <w:t>the world—that, in other words, there must really be a God.</w:t>
      </w:r>
    </w:p>
    <w:p w14:paraId="7E001807" w14:textId="77777777" w:rsidR="009A58DB" w:rsidRDefault="00000000">
      <w:pPr>
        <w:pStyle w:val="Heading1"/>
        <w:spacing w:before="190"/>
        <w:ind w:left="360" w:firstLine="0"/>
      </w:pPr>
      <w:r>
        <w:t>5.0</w:t>
      </w:r>
      <w:r>
        <w:rPr>
          <w:spacing w:val="-5"/>
        </w:rPr>
        <w:t xml:space="preserve"> </w:t>
      </w:r>
      <w:r>
        <w:t>Meditation</w:t>
      </w:r>
      <w:r>
        <w:rPr>
          <w:spacing w:val="-3"/>
        </w:rPr>
        <w:t xml:space="preserve"> </w:t>
      </w:r>
      <w:r>
        <w:t>4:</w:t>
      </w:r>
      <w:r>
        <w:rPr>
          <w:spacing w:val="-3"/>
        </w:rPr>
        <w:t xml:space="preserve"> </w:t>
      </w:r>
      <w:r>
        <w:t>“Of</w:t>
      </w:r>
      <w:r>
        <w:rPr>
          <w:spacing w:val="-2"/>
        </w:rPr>
        <w:t xml:space="preserve"> </w:t>
      </w:r>
      <w:r>
        <w:t>the</w:t>
      </w:r>
      <w:r>
        <w:rPr>
          <w:spacing w:val="-3"/>
        </w:rPr>
        <w:t xml:space="preserve"> </w:t>
      </w:r>
      <w:r>
        <w:t>true</w:t>
      </w:r>
      <w:r>
        <w:rPr>
          <w:spacing w:val="-3"/>
        </w:rPr>
        <w:t xml:space="preserve"> </w:t>
      </w:r>
      <w:r>
        <w:t>and</w:t>
      </w:r>
      <w:r>
        <w:rPr>
          <w:spacing w:val="-3"/>
        </w:rPr>
        <w:t xml:space="preserve"> </w:t>
      </w:r>
      <w:r>
        <w:t>the</w:t>
      </w:r>
      <w:r>
        <w:rPr>
          <w:spacing w:val="-3"/>
        </w:rPr>
        <w:t xml:space="preserve"> </w:t>
      </w:r>
      <w:r>
        <w:rPr>
          <w:spacing w:val="-2"/>
        </w:rPr>
        <w:t>false”</w:t>
      </w:r>
    </w:p>
    <w:p w14:paraId="7E001808" w14:textId="77777777" w:rsidR="009A58DB" w:rsidRDefault="00000000">
      <w:pPr>
        <w:pStyle w:val="BodyText"/>
        <w:spacing w:before="139" w:line="249" w:lineRule="auto"/>
        <w:ind w:right="361"/>
      </w:pPr>
      <w:r>
        <w:t>Having, so he believes, established that a good God exists, Descartes has, so he believes, made it possible to establish that most of our beliefs are correct. The argument here is straightforward. Since God is good, he wouldn’t want us to be wrong all the time. So God has given us the power to generate</w:t>
      </w:r>
      <w:r>
        <w:rPr>
          <w:spacing w:val="40"/>
        </w:rPr>
        <w:t xml:space="preserve"> </w:t>
      </w:r>
      <w:r>
        <w:t>correct beliefs and he has set up the world in such a way that our belief-forming mechanisms (our senses and our methods of inference) tend to generate a correct picture of the world.</w:t>
      </w:r>
    </w:p>
    <w:p w14:paraId="7E001809" w14:textId="77777777" w:rsidR="009A58DB" w:rsidRDefault="00000000">
      <w:pPr>
        <w:pStyle w:val="BodyText"/>
        <w:spacing w:before="9" w:line="249" w:lineRule="auto"/>
        <w:ind w:right="361" w:firstLine="360"/>
      </w:pPr>
      <w:r>
        <w:t>But here, as Descartes points out, we run into a problem. Even though we seem to have some correct beliefs, we’re also disastrously wrong a great deal of the time. If God is so well-disposed towards us, why would he let us have so many wrong beliefs?</w:t>
      </w:r>
    </w:p>
    <w:p w14:paraId="7E00180A" w14:textId="77777777" w:rsidR="009A58DB" w:rsidRDefault="00000000">
      <w:pPr>
        <w:pStyle w:val="BodyText"/>
        <w:spacing w:before="5"/>
        <w:ind w:left="720"/>
      </w:pPr>
      <w:r>
        <w:t>Here</w:t>
      </w:r>
      <w:r>
        <w:rPr>
          <w:spacing w:val="77"/>
        </w:rPr>
        <w:t xml:space="preserve"> </w:t>
      </w:r>
      <w:r>
        <w:t>Descartes</w:t>
      </w:r>
      <w:r>
        <w:rPr>
          <w:spacing w:val="79"/>
        </w:rPr>
        <w:t xml:space="preserve"> </w:t>
      </w:r>
      <w:r>
        <w:t>provides</w:t>
      </w:r>
      <w:r>
        <w:rPr>
          <w:spacing w:val="80"/>
        </w:rPr>
        <w:t xml:space="preserve"> </w:t>
      </w:r>
      <w:r>
        <w:t>a</w:t>
      </w:r>
      <w:r>
        <w:rPr>
          <w:spacing w:val="79"/>
        </w:rPr>
        <w:t xml:space="preserve"> </w:t>
      </w:r>
      <w:r>
        <w:t>rather</w:t>
      </w:r>
      <w:r>
        <w:rPr>
          <w:spacing w:val="79"/>
        </w:rPr>
        <w:t xml:space="preserve"> </w:t>
      </w:r>
      <w:r>
        <w:t>Byzantine</w:t>
      </w:r>
      <w:r>
        <w:rPr>
          <w:spacing w:val="80"/>
        </w:rPr>
        <w:t xml:space="preserve"> </w:t>
      </w:r>
      <w:r>
        <w:t>argument,</w:t>
      </w:r>
      <w:r>
        <w:rPr>
          <w:spacing w:val="79"/>
        </w:rPr>
        <w:t xml:space="preserve"> </w:t>
      </w:r>
      <w:r>
        <w:t>which</w:t>
      </w:r>
      <w:r>
        <w:rPr>
          <w:spacing w:val="79"/>
        </w:rPr>
        <w:t xml:space="preserve"> </w:t>
      </w:r>
      <w:r>
        <w:t>may</w:t>
      </w:r>
      <w:r>
        <w:rPr>
          <w:spacing w:val="80"/>
        </w:rPr>
        <w:t xml:space="preserve"> </w:t>
      </w:r>
      <w:r>
        <w:rPr>
          <w:spacing w:val="-5"/>
        </w:rPr>
        <w:t>be</w:t>
      </w:r>
    </w:p>
    <w:p w14:paraId="7E00180B" w14:textId="77777777" w:rsidR="009A58DB" w:rsidRDefault="009A58DB">
      <w:pPr>
        <w:pStyle w:val="BodyText"/>
        <w:sectPr w:rsidR="009A58DB">
          <w:pgSz w:w="12240" w:h="15840"/>
          <w:pgMar w:top="1380" w:right="1080" w:bottom="280" w:left="1080" w:header="720" w:footer="720" w:gutter="0"/>
          <w:cols w:space="720"/>
        </w:sectPr>
      </w:pPr>
    </w:p>
    <w:p w14:paraId="7E00180C" w14:textId="77777777" w:rsidR="009A58DB" w:rsidRDefault="00000000">
      <w:pPr>
        <w:pStyle w:val="BodyText"/>
        <w:tabs>
          <w:tab w:val="left" w:pos="4324"/>
          <w:tab w:val="left" w:pos="7181"/>
          <w:tab w:val="left" w:pos="9113"/>
        </w:tabs>
        <w:spacing w:before="60" w:line="249" w:lineRule="auto"/>
        <w:ind w:right="358"/>
        <w:jc w:val="right"/>
      </w:pPr>
      <w:r>
        <w:lastRenderedPageBreak/>
        <w:t>summarized as follows. God has given us free will. That was good of him to do, of course, since we’d rather be free than be robots. Next step: We arrive</w:t>
      </w:r>
      <w:r>
        <w:rPr>
          <w:spacing w:val="40"/>
        </w:rPr>
        <w:t xml:space="preserve"> </w:t>
      </w:r>
      <w:r>
        <w:t>at</w:t>
      </w:r>
      <w:r>
        <w:rPr>
          <w:spacing w:val="40"/>
        </w:rPr>
        <w:t xml:space="preserve"> </w:t>
      </w:r>
      <w:r>
        <w:t>wrong</w:t>
      </w:r>
      <w:r>
        <w:rPr>
          <w:spacing w:val="40"/>
        </w:rPr>
        <w:t xml:space="preserve"> </w:t>
      </w:r>
      <w:r>
        <w:t>beliefs</w:t>
      </w:r>
      <w:r>
        <w:rPr>
          <w:spacing w:val="40"/>
        </w:rPr>
        <w:t xml:space="preserve"> </w:t>
      </w:r>
      <w:r>
        <w:t>only</w:t>
      </w:r>
      <w:r>
        <w:rPr>
          <w:spacing w:val="40"/>
        </w:rPr>
        <w:t xml:space="preserve"> </w:t>
      </w:r>
      <w:r>
        <w:t>when</w:t>
      </w:r>
      <w:r>
        <w:rPr>
          <w:spacing w:val="40"/>
        </w:rPr>
        <w:t xml:space="preserve"> </w:t>
      </w:r>
      <w:r>
        <w:t>we</w:t>
      </w:r>
      <w:r>
        <w:rPr>
          <w:spacing w:val="40"/>
        </w:rPr>
        <w:t xml:space="preserve"> </w:t>
      </w:r>
      <w:r>
        <w:t>abuse</w:t>
      </w:r>
      <w:r>
        <w:rPr>
          <w:spacing w:val="40"/>
        </w:rPr>
        <w:t xml:space="preserve"> </w:t>
      </w:r>
      <w:r>
        <w:t>our</w:t>
      </w:r>
      <w:r>
        <w:rPr>
          <w:spacing w:val="40"/>
        </w:rPr>
        <w:t xml:space="preserve"> </w:t>
      </w:r>
      <w:r>
        <w:t>free</w:t>
      </w:r>
      <w:r>
        <w:rPr>
          <w:spacing w:val="40"/>
        </w:rPr>
        <w:t xml:space="preserve"> </w:t>
      </w:r>
      <w:r>
        <w:t>will.</w:t>
      </w:r>
      <w:r>
        <w:rPr>
          <w:spacing w:val="40"/>
        </w:rPr>
        <w:t xml:space="preserve"> </w:t>
      </w:r>
      <w:r>
        <w:t>Just</w:t>
      </w:r>
      <w:r>
        <w:rPr>
          <w:spacing w:val="40"/>
        </w:rPr>
        <w:t xml:space="preserve"> </w:t>
      </w:r>
      <w:r>
        <w:t>as</w:t>
      </w:r>
      <w:r>
        <w:rPr>
          <w:spacing w:val="40"/>
        </w:rPr>
        <w:t xml:space="preserve"> </w:t>
      </w:r>
      <w:r>
        <w:t>a</w:t>
      </w:r>
      <w:r>
        <w:rPr>
          <w:spacing w:val="40"/>
        </w:rPr>
        <w:t xml:space="preserve"> </w:t>
      </w:r>
      <w:r>
        <w:t>person</w:t>
      </w:r>
      <w:r>
        <w:rPr>
          <w:spacing w:val="40"/>
        </w:rPr>
        <w:t xml:space="preserve"> </w:t>
      </w:r>
      <w:r>
        <w:t>may abuse</w:t>
      </w:r>
      <w:r>
        <w:rPr>
          <w:spacing w:val="39"/>
        </w:rPr>
        <w:t xml:space="preserve"> </w:t>
      </w:r>
      <w:r>
        <w:t>his/her</w:t>
      </w:r>
      <w:r>
        <w:rPr>
          <w:spacing w:val="39"/>
        </w:rPr>
        <w:t xml:space="preserve"> </w:t>
      </w:r>
      <w:r>
        <w:t>free</w:t>
      </w:r>
      <w:r>
        <w:rPr>
          <w:spacing w:val="38"/>
        </w:rPr>
        <w:t xml:space="preserve"> </w:t>
      </w:r>
      <w:r>
        <w:t>will</w:t>
      </w:r>
      <w:r>
        <w:rPr>
          <w:spacing w:val="39"/>
        </w:rPr>
        <w:t xml:space="preserve"> </w:t>
      </w:r>
      <w:r>
        <w:t>by</w:t>
      </w:r>
      <w:r>
        <w:rPr>
          <w:spacing w:val="39"/>
        </w:rPr>
        <w:t xml:space="preserve"> </w:t>
      </w:r>
      <w:r>
        <w:t>doing</w:t>
      </w:r>
      <w:r>
        <w:rPr>
          <w:spacing w:val="38"/>
        </w:rPr>
        <w:t xml:space="preserve"> </w:t>
      </w:r>
      <w:r>
        <w:t>drugs,</w:t>
      </w:r>
      <w:r>
        <w:rPr>
          <w:spacing w:val="39"/>
        </w:rPr>
        <w:t xml:space="preserve"> </w:t>
      </w:r>
      <w:r>
        <w:t>so</w:t>
      </w:r>
      <w:r>
        <w:rPr>
          <w:spacing w:val="39"/>
        </w:rPr>
        <w:t xml:space="preserve"> </w:t>
      </w:r>
      <w:r>
        <w:t>he/she</w:t>
      </w:r>
      <w:r>
        <w:rPr>
          <w:spacing w:val="38"/>
        </w:rPr>
        <w:t xml:space="preserve"> </w:t>
      </w:r>
      <w:r>
        <w:t>may</w:t>
      </w:r>
      <w:r>
        <w:rPr>
          <w:spacing w:val="39"/>
        </w:rPr>
        <w:t xml:space="preserve"> </w:t>
      </w:r>
      <w:r>
        <w:t>abuse</w:t>
      </w:r>
      <w:r>
        <w:rPr>
          <w:spacing w:val="39"/>
        </w:rPr>
        <w:t xml:space="preserve"> </w:t>
      </w:r>
      <w:r>
        <w:t>it</w:t>
      </w:r>
      <w:r>
        <w:rPr>
          <w:spacing w:val="38"/>
        </w:rPr>
        <w:t xml:space="preserve"> </w:t>
      </w:r>
      <w:r>
        <w:t>by</w:t>
      </w:r>
      <w:r>
        <w:rPr>
          <w:spacing w:val="39"/>
        </w:rPr>
        <w:t xml:space="preserve"> </w:t>
      </w:r>
      <w:r>
        <w:t>drawing inferences</w:t>
      </w:r>
      <w:r>
        <w:rPr>
          <w:spacing w:val="38"/>
        </w:rPr>
        <w:t xml:space="preserve"> </w:t>
      </w:r>
      <w:r>
        <w:t>without</w:t>
      </w:r>
      <w:r>
        <w:rPr>
          <w:spacing w:val="38"/>
        </w:rPr>
        <w:t xml:space="preserve"> </w:t>
      </w:r>
      <w:r>
        <w:t>sufficient</w:t>
      </w:r>
      <w:r>
        <w:rPr>
          <w:spacing w:val="38"/>
        </w:rPr>
        <w:t xml:space="preserve"> </w:t>
      </w:r>
      <w:r>
        <w:t>evidence.</w:t>
      </w:r>
      <w:r>
        <w:rPr>
          <w:spacing w:val="38"/>
        </w:rPr>
        <w:t xml:space="preserve"> </w:t>
      </w:r>
      <w:r>
        <w:t>So,</w:t>
      </w:r>
      <w:r>
        <w:rPr>
          <w:spacing w:val="39"/>
        </w:rPr>
        <w:t xml:space="preserve"> </w:t>
      </w:r>
      <w:r>
        <w:t>being</w:t>
      </w:r>
      <w:r>
        <w:rPr>
          <w:spacing w:val="38"/>
        </w:rPr>
        <w:t xml:space="preserve"> </w:t>
      </w:r>
      <w:r>
        <w:t>good,</w:t>
      </w:r>
      <w:r>
        <w:rPr>
          <w:spacing w:val="38"/>
        </w:rPr>
        <w:t xml:space="preserve"> </w:t>
      </w:r>
      <w:r>
        <w:t>God</w:t>
      </w:r>
      <w:r>
        <w:rPr>
          <w:spacing w:val="38"/>
        </w:rPr>
        <w:t xml:space="preserve"> </w:t>
      </w:r>
      <w:r>
        <w:t>had</w:t>
      </w:r>
      <w:r>
        <w:rPr>
          <w:spacing w:val="38"/>
        </w:rPr>
        <w:t xml:space="preserve"> </w:t>
      </w:r>
      <w:r>
        <w:t>no</w:t>
      </w:r>
      <w:r>
        <w:rPr>
          <w:spacing w:val="38"/>
        </w:rPr>
        <w:t xml:space="preserve"> </w:t>
      </w:r>
      <w:r>
        <w:t>choice but</w:t>
      </w:r>
      <w:r>
        <w:rPr>
          <w:spacing w:val="79"/>
        </w:rPr>
        <w:t xml:space="preserve"> </w:t>
      </w:r>
      <w:r>
        <w:t>to</w:t>
      </w:r>
      <w:r>
        <w:rPr>
          <w:spacing w:val="80"/>
        </w:rPr>
        <w:t xml:space="preserve"> </w:t>
      </w:r>
      <w:r>
        <w:t>give</w:t>
      </w:r>
      <w:r>
        <w:rPr>
          <w:spacing w:val="80"/>
        </w:rPr>
        <w:t xml:space="preserve"> </w:t>
      </w:r>
      <w:r>
        <w:t>us</w:t>
      </w:r>
      <w:r>
        <w:rPr>
          <w:spacing w:val="80"/>
        </w:rPr>
        <w:t xml:space="preserve"> </w:t>
      </w:r>
      <w:r>
        <w:t>free</w:t>
      </w:r>
      <w:r>
        <w:rPr>
          <w:spacing w:val="80"/>
        </w:rPr>
        <w:t xml:space="preserve"> </w:t>
      </w:r>
      <w:r>
        <w:t>will.</w:t>
      </w:r>
      <w:r>
        <w:rPr>
          <w:spacing w:val="80"/>
        </w:rPr>
        <w:t xml:space="preserve"> </w:t>
      </w:r>
      <w:r>
        <w:t>But</w:t>
      </w:r>
      <w:r>
        <w:rPr>
          <w:spacing w:val="79"/>
        </w:rPr>
        <w:t xml:space="preserve"> </w:t>
      </w:r>
      <w:r>
        <w:t>since</w:t>
      </w:r>
      <w:r>
        <w:rPr>
          <w:spacing w:val="79"/>
        </w:rPr>
        <w:t xml:space="preserve"> </w:t>
      </w:r>
      <w:r>
        <w:t>we</w:t>
      </w:r>
      <w:r>
        <w:rPr>
          <w:spacing w:val="80"/>
        </w:rPr>
        <w:t xml:space="preserve"> </w:t>
      </w:r>
      <w:r>
        <w:t>have</w:t>
      </w:r>
      <w:r>
        <w:rPr>
          <w:spacing w:val="80"/>
        </w:rPr>
        <w:t xml:space="preserve"> </w:t>
      </w:r>
      <w:r>
        <w:t>free</w:t>
      </w:r>
      <w:r>
        <w:rPr>
          <w:spacing w:val="80"/>
        </w:rPr>
        <w:t xml:space="preserve"> </w:t>
      </w:r>
      <w:r>
        <w:t>will,</w:t>
      </w:r>
      <w:r>
        <w:rPr>
          <w:spacing w:val="80"/>
        </w:rPr>
        <w:t xml:space="preserve"> </w:t>
      </w:r>
      <w:r>
        <w:t>some</w:t>
      </w:r>
      <w:r>
        <w:rPr>
          <w:spacing w:val="80"/>
        </w:rPr>
        <w:t xml:space="preserve"> </w:t>
      </w:r>
      <w:r>
        <w:t>of</w:t>
      </w:r>
      <w:r>
        <w:rPr>
          <w:spacing w:val="79"/>
        </w:rPr>
        <w:t xml:space="preserve"> </w:t>
      </w:r>
      <w:r>
        <w:t>us</w:t>
      </w:r>
      <w:r>
        <w:rPr>
          <w:spacing w:val="80"/>
        </w:rPr>
        <w:t xml:space="preserve"> </w:t>
      </w:r>
      <w:r>
        <w:t>will inevitably abuse it and make wrong inferences (and also do other bad things). But,</w:t>
      </w:r>
      <w:r>
        <w:rPr>
          <w:spacing w:val="39"/>
        </w:rPr>
        <w:t xml:space="preserve"> </w:t>
      </w:r>
      <w:r>
        <w:t>says</w:t>
      </w:r>
      <w:r>
        <w:rPr>
          <w:spacing w:val="38"/>
        </w:rPr>
        <w:t xml:space="preserve"> </w:t>
      </w:r>
      <w:r>
        <w:t>Descartes,</w:t>
      </w:r>
      <w:r>
        <w:rPr>
          <w:spacing w:val="39"/>
        </w:rPr>
        <w:t xml:space="preserve"> </w:t>
      </w:r>
      <w:r>
        <w:t>there</w:t>
      </w:r>
      <w:r>
        <w:rPr>
          <w:spacing w:val="38"/>
        </w:rPr>
        <w:t xml:space="preserve"> </w:t>
      </w:r>
      <w:r>
        <w:t>is</w:t>
      </w:r>
      <w:r>
        <w:rPr>
          <w:spacing w:val="38"/>
        </w:rPr>
        <w:t xml:space="preserve"> </w:t>
      </w:r>
      <w:r>
        <w:t>a</w:t>
      </w:r>
      <w:r>
        <w:rPr>
          <w:spacing w:val="38"/>
        </w:rPr>
        <w:t xml:space="preserve"> </w:t>
      </w:r>
      <w:r>
        <w:t>bright</w:t>
      </w:r>
      <w:r>
        <w:rPr>
          <w:spacing w:val="38"/>
        </w:rPr>
        <w:t xml:space="preserve"> </w:t>
      </w:r>
      <w:r>
        <w:t>side</w:t>
      </w:r>
      <w:r>
        <w:rPr>
          <w:spacing w:val="38"/>
        </w:rPr>
        <w:t xml:space="preserve"> </w:t>
      </w:r>
      <w:r>
        <w:t>to</w:t>
      </w:r>
      <w:r>
        <w:rPr>
          <w:spacing w:val="39"/>
        </w:rPr>
        <w:t xml:space="preserve"> </w:t>
      </w:r>
      <w:r>
        <w:t>this</w:t>
      </w:r>
      <w:r>
        <w:rPr>
          <w:spacing w:val="38"/>
        </w:rPr>
        <w:t xml:space="preserve"> </w:t>
      </w:r>
      <w:r>
        <w:t>story.</w:t>
      </w:r>
      <w:r>
        <w:rPr>
          <w:spacing w:val="39"/>
        </w:rPr>
        <w:t xml:space="preserve"> </w:t>
      </w:r>
      <w:r>
        <w:t>If</w:t>
      </w:r>
      <w:r>
        <w:rPr>
          <w:spacing w:val="38"/>
        </w:rPr>
        <w:t xml:space="preserve"> </w:t>
      </w:r>
      <w:r>
        <w:t>we</w:t>
      </w:r>
      <w:r>
        <w:rPr>
          <w:spacing w:val="38"/>
        </w:rPr>
        <w:t xml:space="preserve"> </w:t>
      </w:r>
      <w:r>
        <w:t>don’t</w:t>
      </w:r>
      <w:r>
        <w:rPr>
          <w:spacing w:val="38"/>
        </w:rPr>
        <w:t xml:space="preserve"> </w:t>
      </w:r>
      <w:r>
        <w:t>draw conclusions that are not warranted by the evidence, we’ll have only correct</w:t>
      </w:r>
      <w:r>
        <w:rPr>
          <w:spacing w:val="80"/>
          <w:w w:val="150"/>
        </w:rPr>
        <w:t xml:space="preserve"> </w:t>
      </w:r>
      <w:r>
        <w:t>beliefs.</w:t>
      </w:r>
      <w:r>
        <w:rPr>
          <w:spacing w:val="30"/>
        </w:rPr>
        <w:t xml:space="preserve"> </w:t>
      </w:r>
      <w:r>
        <w:t>Here</w:t>
      </w:r>
      <w:r>
        <w:rPr>
          <w:spacing w:val="30"/>
        </w:rPr>
        <w:t xml:space="preserve"> </w:t>
      </w:r>
      <w:r>
        <w:t>Descartes</w:t>
      </w:r>
      <w:r>
        <w:rPr>
          <w:spacing w:val="30"/>
        </w:rPr>
        <w:t xml:space="preserve"> </w:t>
      </w:r>
      <w:r>
        <w:t>ends</w:t>
      </w:r>
      <w:r>
        <w:rPr>
          <w:spacing w:val="30"/>
        </w:rPr>
        <w:t xml:space="preserve"> </w:t>
      </w:r>
      <w:r>
        <w:t>up</w:t>
      </w:r>
      <w:r>
        <w:rPr>
          <w:spacing w:val="30"/>
        </w:rPr>
        <w:t xml:space="preserve"> </w:t>
      </w:r>
      <w:r>
        <w:t>putting</w:t>
      </w:r>
      <w:r>
        <w:rPr>
          <w:spacing w:val="30"/>
        </w:rPr>
        <w:t xml:space="preserve"> </w:t>
      </w:r>
      <w:r>
        <w:t>forth</w:t>
      </w:r>
      <w:r>
        <w:rPr>
          <w:spacing w:val="30"/>
        </w:rPr>
        <w:t xml:space="preserve"> </w:t>
      </w:r>
      <w:r>
        <w:t>an</w:t>
      </w:r>
      <w:r>
        <w:rPr>
          <w:spacing w:val="30"/>
        </w:rPr>
        <w:t xml:space="preserve"> </w:t>
      </w:r>
      <w:r>
        <w:t>argument</w:t>
      </w:r>
      <w:r>
        <w:rPr>
          <w:spacing w:val="30"/>
        </w:rPr>
        <w:t xml:space="preserve"> </w:t>
      </w:r>
      <w:r>
        <w:t>to</w:t>
      </w:r>
      <w:r>
        <w:rPr>
          <w:spacing w:val="30"/>
        </w:rPr>
        <w:t xml:space="preserve"> </w:t>
      </w:r>
      <w:r>
        <w:t>the</w:t>
      </w:r>
      <w:r>
        <w:rPr>
          <w:spacing w:val="30"/>
        </w:rPr>
        <w:t xml:space="preserve"> </w:t>
      </w:r>
      <w:r>
        <w:t>effect</w:t>
      </w:r>
      <w:r>
        <w:rPr>
          <w:spacing w:val="30"/>
        </w:rPr>
        <w:t xml:space="preserve"> </w:t>
      </w:r>
      <w:r>
        <w:t>that most</w:t>
      </w:r>
      <w:r>
        <w:rPr>
          <w:spacing w:val="32"/>
        </w:rPr>
        <w:t xml:space="preserve"> </w:t>
      </w:r>
      <w:r>
        <w:t>of</w:t>
      </w:r>
      <w:r>
        <w:rPr>
          <w:spacing w:val="33"/>
        </w:rPr>
        <w:t xml:space="preserve"> </w:t>
      </w:r>
      <w:r>
        <w:t>our</w:t>
      </w:r>
      <w:r>
        <w:rPr>
          <w:spacing w:val="33"/>
        </w:rPr>
        <w:t xml:space="preserve"> </w:t>
      </w:r>
      <w:r>
        <w:t>beliefs</w:t>
      </w:r>
      <w:r>
        <w:rPr>
          <w:spacing w:val="33"/>
        </w:rPr>
        <w:t xml:space="preserve"> </w:t>
      </w:r>
      <w:r>
        <w:t>about</w:t>
      </w:r>
      <w:r>
        <w:rPr>
          <w:spacing w:val="33"/>
        </w:rPr>
        <w:t xml:space="preserve"> </w:t>
      </w:r>
      <w:r>
        <w:t>the</w:t>
      </w:r>
      <w:r>
        <w:rPr>
          <w:spacing w:val="33"/>
        </w:rPr>
        <w:t xml:space="preserve"> </w:t>
      </w:r>
      <w:r>
        <w:t>external</w:t>
      </w:r>
      <w:r>
        <w:rPr>
          <w:spacing w:val="32"/>
        </w:rPr>
        <w:t xml:space="preserve"> </w:t>
      </w:r>
      <w:r>
        <w:t>world</w:t>
      </w:r>
      <w:r>
        <w:rPr>
          <w:spacing w:val="33"/>
        </w:rPr>
        <w:t xml:space="preserve"> </w:t>
      </w:r>
      <w:r>
        <w:t>are</w:t>
      </w:r>
      <w:r>
        <w:rPr>
          <w:spacing w:val="33"/>
        </w:rPr>
        <w:t xml:space="preserve"> </w:t>
      </w:r>
      <w:r>
        <w:t>correct,</w:t>
      </w:r>
      <w:r>
        <w:rPr>
          <w:spacing w:val="33"/>
        </w:rPr>
        <w:t xml:space="preserve"> </w:t>
      </w:r>
      <w:r>
        <w:t>and</w:t>
      </w:r>
      <w:r>
        <w:rPr>
          <w:spacing w:val="33"/>
        </w:rPr>
        <w:t xml:space="preserve"> </w:t>
      </w:r>
      <w:r>
        <w:t>that</w:t>
      </w:r>
      <w:r>
        <w:rPr>
          <w:spacing w:val="32"/>
        </w:rPr>
        <w:t xml:space="preserve"> </w:t>
      </w:r>
      <w:r>
        <w:t>argument has</w:t>
      </w:r>
      <w:r>
        <w:rPr>
          <w:spacing w:val="80"/>
        </w:rPr>
        <w:t xml:space="preserve"> </w:t>
      </w:r>
      <w:r>
        <w:t>both</w:t>
      </w:r>
      <w:r>
        <w:rPr>
          <w:spacing w:val="80"/>
        </w:rPr>
        <w:t xml:space="preserve"> </w:t>
      </w:r>
      <w:r>
        <w:t>foundationalist</w:t>
      </w:r>
      <w:r>
        <w:rPr>
          <w:spacing w:val="80"/>
        </w:rPr>
        <w:t xml:space="preserve"> </w:t>
      </w:r>
      <w:r>
        <w:t>and</w:t>
      </w:r>
      <w:r>
        <w:tab/>
        <w:t>coherentist</w:t>
      </w:r>
      <w:r>
        <w:rPr>
          <w:spacing w:val="80"/>
        </w:rPr>
        <w:t xml:space="preserve"> </w:t>
      </w:r>
      <w:r>
        <w:t>elements.</w:t>
      </w:r>
      <w:r>
        <w:tab/>
        <w:t>(It’s</w:t>
      </w:r>
      <w:r>
        <w:rPr>
          <w:spacing w:val="80"/>
        </w:rPr>
        <w:t xml:space="preserve"> </w:t>
      </w:r>
      <w:r>
        <w:t>a</w:t>
      </w:r>
      <w:r>
        <w:rPr>
          <w:spacing w:val="80"/>
        </w:rPr>
        <w:t xml:space="preserve"> </w:t>
      </w:r>
      <w:r>
        <w:t>pretty</w:t>
      </w:r>
      <w:r>
        <w:tab/>
      </w:r>
      <w:r>
        <w:rPr>
          <w:spacing w:val="-4"/>
        </w:rPr>
        <w:t xml:space="preserve">good </w:t>
      </w:r>
      <w:r>
        <w:t>argument, I think, even though two of the premises are clearly false.) First of all,</w:t>
      </w:r>
      <w:r>
        <w:rPr>
          <w:spacing w:val="40"/>
        </w:rPr>
        <w:t xml:space="preserve"> </w:t>
      </w:r>
      <w:r>
        <w:t>we</w:t>
      </w:r>
      <w:r>
        <w:rPr>
          <w:spacing w:val="40"/>
        </w:rPr>
        <w:t xml:space="preserve"> </w:t>
      </w:r>
      <w:r>
        <w:t>have</w:t>
      </w:r>
      <w:r>
        <w:rPr>
          <w:spacing w:val="40"/>
        </w:rPr>
        <w:t xml:space="preserve"> </w:t>
      </w:r>
      <w:r>
        <w:t>self-evidently</w:t>
      </w:r>
      <w:r>
        <w:rPr>
          <w:spacing w:val="40"/>
        </w:rPr>
        <w:t xml:space="preserve"> </w:t>
      </w:r>
      <w:r>
        <w:t>correct</w:t>
      </w:r>
      <w:r>
        <w:rPr>
          <w:spacing w:val="40"/>
        </w:rPr>
        <w:t xml:space="preserve"> </w:t>
      </w:r>
      <w:r>
        <w:t>beliefs</w:t>
      </w:r>
      <w:r>
        <w:rPr>
          <w:spacing w:val="40"/>
        </w:rPr>
        <w:t xml:space="preserve"> </w:t>
      </w:r>
      <w:r>
        <w:t>about</w:t>
      </w:r>
      <w:r>
        <w:rPr>
          <w:spacing w:val="40"/>
        </w:rPr>
        <w:t xml:space="preserve"> </w:t>
      </w:r>
      <w:r>
        <w:t>our</w:t>
      </w:r>
      <w:r>
        <w:rPr>
          <w:spacing w:val="40"/>
        </w:rPr>
        <w:t xml:space="preserve"> </w:t>
      </w:r>
      <w:r>
        <w:t>mental</w:t>
      </w:r>
      <w:r>
        <w:rPr>
          <w:spacing w:val="40"/>
        </w:rPr>
        <w:t xml:space="preserve"> </w:t>
      </w:r>
      <w:r>
        <w:t>states</w:t>
      </w:r>
      <w:r>
        <w:rPr>
          <w:spacing w:val="40"/>
        </w:rPr>
        <w:t xml:space="preserve"> </w:t>
      </w:r>
      <w:r>
        <w:t>(as</w:t>
      </w:r>
      <w:r>
        <w:rPr>
          <w:spacing w:val="40"/>
        </w:rPr>
        <w:t xml:space="preserve"> </w:t>
      </w:r>
      <w:r>
        <w:t>we discussed</w:t>
      </w:r>
      <w:r>
        <w:rPr>
          <w:spacing w:val="36"/>
        </w:rPr>
        <w:t xml:space="preserve"> </w:t>
      </w:r>
      <w:r>
        <w:t>a</w:t>
      </w:r>
      <w:r>
        <w:rPr>
          <w:spacing w:val="36"/>
        </w:rPr>
        <w:t xml:space="preserve"> </w:t>
      </w:r>
      <w:r>
        <w:t>while</w:t>
      </w:r>
      <w:r>
        <w:rPr>
          <w:spacing w:val="36"/>
        </w:rPr>
        <w:t xml:space="preserve"> </w:t>
      </w:r>
      <w:r>
        <w:t>ago).</w:t>
      </w:r>
      <w:r>
        <w:rPr>
          <w:spacing w:val="36"/>
        </w:rPr>
        <w:t xml:space="preserve"> </w:t>
      </w:r>
      <w:r>
        <w:t>Second,</w:t>
      </w:r>
      <w:r>
        <w:rPr>
          <w:spacing w:val="36"/>
        </w:rPr>
        <w:t xml:space="preserve"> </w:t>
      </w:r>
      <w:r>
        <w:t>something</w:t>
      </w:r>
      <w:r>
        <w:rPr>
          <w:spacing w:val="36"/>
        </w:rPr>
        <w:t xml:space="preserve"> </w:t>
      </w:r>
      <w:r>
        <w:t>never</w:t>
      </w:r>
      <w:r>
        <w:rPr>
          <w:spacing w:val="36"/>
        </w:rPr>
        <w:t xml:space="preserve"> </w:t>
      </w:r>
      <w:r>
        <w:t>comes</w:t>
      </w:r>
      <w:r>
        <w:rPr>
          <w:spacing w:val="36"/>
        </w:rPr>
        <w:t xml:space="preserve"> </w:t>
      </w:r>
      <w:r>
        <w:t>from</w:t>
      </w:r>
      <w:r>
        <w:rPr>
          <w:spacing w:val="36"/>
        </w:rPr>
        <w:t xml:space="preserve"> </w:t>
      </w:r>
      <w:r>
        <w:t>nothing</w:t>
      </w:r>
      <w:r>
        <w:rPr>
          <w:spacing w:val="36"/>
        </w:rPr>
        <w:t xml:space="preserve"> </w:t>
      </w:r>
      <w:r>
        <w:t>and, moreover,</w:t>
      </w:r>
      <w:r>
        <w:rPr>
          <w:spacing w:val="-3"/>
        </w:rPr>
        <w:t xml:space="preserve"> </w:t>
      </w:r>
      <w:r>
        <w:t>effects</w:t>
      </w:r>
      <w:r>
        <w:rPr>
          <w:spacing w:val="-4"/>
        </w:rPr>
        <w:t xml:space="preserve"> </w:t>
      </w:r>
      <w:r>
        <w:t>resemble</w:t>
      </w:r>
      <w:r>
        <w:rPr>
          <w:spacing w:val="-4"/>
        </w:rPr>
        <w:t xml:space="preserve"> </w:t>
      </w:r>
      <w:r>
        <w:t>their</w:t>
      </w:r>
      <w:r>
        <w:rPr>
          <w:spacing w:val="-4"/>
        </w:rPr>
        <w:t xml:space="preserve"> </w:t>
      </w:r>
      <w:r>
        <w:t>causes.</w:t>
      </w:r>
      <w:r>
        <w:rPr>
          <w:spacing w:val="-3"/>
        </w:rPr>
        <w:t xml:space="preserve"> </w:t>
      </w:r>
      <w:r>
        <w:t>So</w:t>
      </w:r>
      <w:r>
        <w:rPr>
          <w:spacing w:val="-3"/>
        </w:rPr>
        <w:t xml:space="preserve"> </w:t>
      </w:r>
      <w:r>
        <w:t>the</w:t>
      </w:r>
      <w:r>
        <w:rPr>
          <w:spacing w:val="-4"/>
        </w:rPr>
        <w:t xml:space="preserve"> </w:t>
      </w:r>
      <w:r>
        <w:t>perceptions</w:t>
      </w:r>
      <w:r>
        <w:rPr>
          <w:spacing w:val="-4"/>
        </w:rPr>
        <w:t xml:space="preserve"> </w:t>
      </w:r>
      <w:r>
        <w:t>that</w:t>
      </w:r>
      <w:r>
        <w:rPr>
          <w:spacing w:val="-4"/>
        </w:rPr>
        <w:t xml:space="preserve"> </w:t>
      </w:r>
      <w:r>
        <w:t>we</w:t>
      </w:r>
      <w:r>
        <w:rPr>
          <w:spacing w:val="-4"/>
        </w:rPr>
        <w:t xml:space="preserve"> </w:t>
      </w:r>
      <w:r>
        <w:t>have</w:t>
      </w:r>
      <w:r>
        <w:rPr>
          <w:spacing w:val="-4"/>
        </w:rPr>
        <w:t xml:space="preserve"> </w:t>
      </w:r>
      <w:r>
        <w:t>must have</w:t>
      </w:r>
      <w:r>
        <w:rPr>
          <w:spacing w:val="80"/>
        </w:rPr>
        <w:t xml:space="preserve"> </w:t>
      </w:r>
      <w:r>
        <w:t>causes</w:t>
      </w:r>
      <w:r>
        <w:rPr>
          <w:spacing w:val="80"/>
        </w:rPr>
        <w:t xml:space="preserve"> </w:t>
      </w:r>
      <w:r>
        <w:t>and,</w:t>
      </w:r>
      <w:r>
        <w:rPr>
          <w:spacing w:val="80"/>
        </w:rPr>
        <w:t xml:space="preserve"> </w:t>
      </w:r>
      <w:r>
        <w:t>moreover,</w:t>
      </w:r>
      <w:r>
        <w:rPr>
          <w:spacing w:val="80"/>
        </w:rPr>
        <w:t xml:space="preserve"> </w:t>
      </w:r>
      <w:r>
        <w:t>they</w:t>
      </w:r>
      <w:r>
        <w:rPr>
          <w:spacing w:val="80"/>
        </w:rPr>
        <w:t xml:space="preserve"> </w:t>
      </w:r>
      <w:r>
        <w:t>must</w:t>
      </w:r>
      <w:r>
        <w:rPr>
          <w:spacing w:val="80"/>
        </w:rPr>
        <w:t xml:space="preserve"> </w:t>
      </w:r>
      <w:r>
        <w:t>resemble</w:t>
      </w:r>
      <w:r>
        <w:rPr>
          <w:spacing w:val="80"/>
        </w:rPr>
        <w:t xml:space="preserve"> </w:t>
      </w:r>
      <w:r>
        <w:t>those</w:t>
      </w:r>
      <w:r>
        <w:rPr>
          <w:spacing w:val="80"/>
        </w:rPr>
        <w:t xml:space="preserve"> </w:t>
      </w:r>
      <w:r>
        <w:t>causes.</w:t>
      </w:r>
      <w:r>
        <w:rPr>
          <w:spacing w:val="80"/>
        </w:rPr>
        <w:t xml:space="preserve"> </w:t>
      </w:r>
      <w:r>
        <w:t>Further, Descartes</w:t>
      </w:r>
      <w:r>
        <w:rPr>
          <w:spacing w:val="40"/>
        </w:rPr>
        <w:t xml:space="preserve"> </w:t>
      </w:r>
      <w:r>
        <w:t>says,</w:t>
      </w:r>
      <w:r>
        <w:rPr>
          <w:spacing w:val="40"/>
        </w:rPr>
        <w:t xml:space="preserve"> </w:t>
      </w:r>
      <w:r>
        <w:t>those</w:t>
      </w:r>
      <w:r>
        <w:rPr>
          <w:spacing w:val="40"/>
        </w:rPr>
        <w:t xml:space="preserve"> </w:t>
      </w:r>
      <w:r>
        <w:t>causes</w:t>
      </w:r>
      <w:r>
        <w:rPr>
          <w:spacing w:val="40"/>
        </w:rPr>
        <w:t xml:space="preserve"> </w:t>
      </w:r>
      <w:r>
        <w:t>don’t</w:t>
      </w:r>
      <w:r>
        <w:rPr>
          <w:spacing w:val="40"/>
        </w:rPr>
        <w:t xml:space="preserve"> </w:t>
      </w:r>
      <w:r>
        <w:t>lie</w:t>
      </w:r>
      <w:r>
        <w:rPr>
          <w:spacing w:val="40"/>
        </w:rPr>
        <w:t xml:space="preserve"> </w:t>
      </w:r>
      <w:r>
        <w:t>within</w:t>
      </w:r>
      <w:r>
        <w:rPr>
          <w:spacing w:val="40"/>
        </w:rPr>
        <w:t xml:space="preserve"> </w:t>
      </w:r>
      <w:r>
        <w:t>us.</w:t>
      </w:r>
      <w:r>
        <w:rPr>
          <w:spacing w:val="40"/>
        </w:rPr>
        <w:t xml:space="preserve"> </w:t>
      </w:r>
      <w:r>
        <w:t>How</w:t>
      </w:r>
      <w:r>
        <w:rPr>
          <w:spacing w:val="40"/>
        </w:rPr>
        <w:t xml:space="preserve"> </w:t>
      </w:r>
      <w:r>
        <w:t>do</w:t>
      </w:r>
      <w:r>
        <w:rPr>
          <w:spacing w:val="40"/>
        </w:rPr>
        <w:t xml:space="preserve"> </w:t>
      </w:r>
      <w:r>
        <w:t>we</w:t>
      </w:r>
      <w:r>
        <w:rPr>
          <w:spacing w:val="40"/>
        </w:rPr>
        <w:t xml:space="preserve"> </w:t>
      </w:r>
      <w:r>
        <w:t>know</w:t>
      </w:r>
      <w:r>
        <w:rPr>
          <w:spacing w:val="40"/>
        </w:rPr>
        <w:t xml:space="preserve"> </w:t>
      </w:r>
      <w:r>
        <w:t>this?</w:t>
      </w:r>
      <w:r>
        <w:rPr>
          <w:spacing w:val="40"/>
        </w:rPr>
        <w:t xml:space="preserve"> </w:t>
      </w:r>
      <w:r>
        <w:t>Because, Descartes says, one’s mind is completely transparent to its owner;</w:t>
      </w:r>
      <w:r>
        <w:rPr>
          <w:spacing w:val="40"/>
        </w:rPr>
        <w:t xml:space="preserve"> </w:t>
      </w:r>
      <w:r>
        <w:t>and when a given person looks inside himself, he doesn’t encounter anything that</w:t>
      </w:r>
      <w:r>
        <w:rPr>
          <w:spacing w:val="-3"/>
        </w:rPr>
        <w:t xml:space="preserve"> </w:t>
      </w:r>
      <w:r>
        <w:rPr>
          <w:i/>
        </w:rPr>
        <w:t>resembles</w:t>
      </w:r>
      <w:r>
        <w:rPr>
          <w:i/>
          <w:spacing w:val="-3"/>
        </w:rPr>
        <w:t xml:space="preserve"> </w:t>
      </w:r>
      <w:r>
        <w:t>the perception he is having of (say) the table in front of him—he just encounters the perception. So the causes of our perceptions must lie in the</w:t>
      </w:r>
      <w:r>
        <w:rPr>
          <w:spacing w:val="34"/>
        </w:rPr>
        <w:t xml:space="preserve"> </w:t>
      </w:r>
      <w:r>
        <w:t>external</w:t>
      </w:r>
      <w:r>
        <w:rPr>
          <w:spacing w:val="36"/>
        </w:rPr>
        <w:t xml:space="preserve"> </w:t>
      </w:r>
      <w:r>
        <w:t>world.</w:t>
      </w:r>
      <w:r>
        <w:rPr>
          <w:spacing w:val="37"/>
        </w:rPr>
        <w:t xml:space="preserve"> </w:t>
      </w:r>
      <w:r>
        <w:t>Thus,</w:t>
      </w:r>
      <w:r>
        <w:rPr>
          <w:spacing w:val="37"/>
        </w:rPr>
        <w:t xml:space="preserve"> </w:t>
      </w:r>
      <w:r>
        <w:t>our</w:t>
      </w:r>
      <w:r>
        <w:rPr>
          <w:spacing w:val="37"/>
        </w:rPr>
        <w:t xml:space="preserve"> </w:t>
      </w:r>
      <w:r>
        <w:t>perceptions</w:t>
      </w:r>
      <w:r>
        <w:rPr>
          <w:spacing w:val="37"/>
        </w:rPr>
        <w:t xml:space="preserve"> </w:t>
      </w:r>
      <w:r>
        <w:t>are</w:t>
      </w:r>
      <w:r>
        <w:rPr>
          <w:spacing w:val="36"/>
        </w:rPr>
        <w:t xml:space="preserve"> </w:t>
      </w:r>
      <w:r>
        <w:t>accurate,</w:t>
      </w:r>
      <w:r>
        <w:rPr>
          <w:spacing w:val="37"/>
        </w:rPr>
        <w:t xml:space="preserve"> </w:t>
      </w:r>
      <w:r>
        <w:t>at</w:t>
      </w:r>
      <w:r>
        <w:rPr>
          <w:spacing w:val="37"/>
        </w:rPr>
        <w:t xml:space="preserve"> </w:t>
      </w:r>
      <w:r>
        <w:t>least</w:t>
      </w:r>
      <w:r>
        <w:rPr>
          <w:spacing w:val="36"/>
        </w:rPr>
        <w:t xml:space="preserve"> </w:t>
      </w:r>
      <w:r>
        <w:t>most</w:t>
      </w:r>
      <w:r>
        <w:rPr>
          <w:spacing w:val="36"/>
        </w:rPr>
        <w:t xml:space="preserve"> </w:t>
      </w:r>
      <w:r>
        <w:t>of</w:t>
      </w:r>
      <w:r>
        <w:rPr>
          <w:spacing w:val="38"/>
        </w:rPr>
        <w:t xml:space="preserve"> </w:t>
      </w:r>
      <w:r>
        <w:rPr>
          <w:spacing w:val="-5"/>
        </w:rPr>
        <w:t>the</w:t>
      </w:r>
    </w:p>
    <w:p w14:paraId="7E00180D" w14:textId="77777777" w:rsidR="009A58DB" w:rsidRDefault="00000000">
      <w:pPr>
        <w:pStyle w:val="BodyText"/>
        <w:spacing w:before="33"/>
      </w:pPr>
      <w:r>
        <w:t>time,</w:t>
      </w:r>
      <w:r>
        <w:rPr>
          <w:spacing w:val="-5"/>
        </w:rPr>
        <w:t xml:space="preserve"> </w:t>
      </w:r>
      <w:r>
        <w:t>the</w:t>
      </w:r>
      <w:r>
        <w:rPr>
          <w:spacing w:val="-3"/>
        </w:rPr>
        <w:t xml:space="preserve"> </w:t>
      </w:r>
      <w:r>
        <w:t>same</w:t>
      </w:r>
      <w:r>
        <w:rPr>
          <w:spacing w:val="-3"/>
        </w:rPr>
        <w:t xml:space="preserve"> </w:t>
      </w:r>
      <w:r>
        <w:t>being</w:t>
      </w:r>
      <w:r>
        <w:rPr>
          <w:spacing w:val="-3"/>
        </w:rPr>
        <w:t xml:space="preserve"> </w:t>
      </w:r>
      <w:r>
        <w:t>true</w:t>
      </w:r>
      <w:r>
        <w:rPr>
          <w:spacing w:val="-3"/>
        </w:rPr>
        <w:t xml:space="preserve"> </w:t>
      </w:r>
      <w:r>
        <w:t>of</w:t>
      </w:r>
      <w:r>
        <w:rPr>
          <w:spacing w:val="-3"/>
        </w:rPr>
        <w:t xml:space="preserve"> </w:t>
      </w:r>
      <w:r>
        <w:t>the</w:t>
      </w:r>
      <w:r>
        <w:rPr>
          <w:spacing w:val="-4"/>
        </w:rPr>
        <w:t xml:space="preserve"> </w:t>
      </w:r>
      <w:r>
        <w:t>beliefs</w:t>
      </w:r>
      <w:r>
        <w:rPr>
          <w:spacing w:val="-3"/>
        </w:rPr>
        <w:t xml:space="preserve"> </w:t>
      </w:r>
      <w:r>
        <w:t>based</w:t>
      </w:r>
      <w:r>
        <w:rPr>
          <w:spacing w:val="-2"/>
        </w:rPr>
        <w:t xml:space="preserve"> thereupon.</w:t>
      </w:r>
    </w:p>
    <w:p w14:paraId="7E00180E" w14:textId="77777777" w:rsidR="009A58DB" w:rsidRDefault="00000000">
      <w:pPr>
        <w:pStyle w:val="BodyText"/>
        <w:spacing w:before="15" w:line="249" w:lineRule="auto"/>
        <w:ind w:right="360" w:firstLine="360"/>
      </w:pPr>
      <w:r>
        <w:t>Why</w:t>
      </w:r>
      <w:r>
        <w:rPr>
          <w:spacing w:val="-1"/>
        </w:rPr>
        <w:t xml:space="preserve"> </w:t>
      </w:r>
      <w:r>
        <w:t>do</w:t>
      </w:r>
      <w:r>
        <w:rPr>
          <w:spacing w:val="-1"/>
        </w:rPr>
        <w:t xml:space="preserve"> </w:t>
      </w:r>
      <w:r>
        <w:t>some</w:t>
      </w:r>
      <w:r>
        <w:rPr>
          <w:spacing w:val="-1"/>
        </w:rPr>
        <w:t xml:space="preserve"> </w:t>
      </w:r>
      <w:r>
        <w:t>unfortunates</w:t>
      </w:r>
      <w:r>
        <w:rPr>
          <w:spacing w:val="-1"/>
        </w:rPr>
        <w:t xml:space="preserve"> </w:t>
      </w:r>
      <w:r>
        <w:t>have</w:t>
      </w:r>
      <w:r>
        <w:rPr>
          <w:spacing w:val="-1"/>
        </w:rPr>
        <w:t xml:space="preserve"> </w:t>
      </w:r>
      <w:r>
        <w:t>hallucinations,</w:t>
      </w:r>
      <w:r>
        <w:rPr>
          <w:spacing w:val="-1"/>
        </w:rPr>
        <w:t xml:space="preserve"> </w:t>
      </w:r>
      <w:r>
        <w:t>etc.,</w:t>
      </w:r>
      <w:r>
        <w:rPr>
          <w:spacing w:val="-1"/>
        </w:rPr>
        <w:t xml:space="preserve"> </w:t>
      </w:r>
      <w:r>
        <w:t>despite</w:t>
      </w:r>
      <w:r>
        <w:rPr>
          <w:spacing w:val="-1"/>
        </w:rPr>
        <w:t xml:space="preserve"> </w:t>
      </w:r>
      <w:r>
        <w:t>God’s</w:t>
      </w:r>
      <w:r>
        <w:rPr>
          <w:spacing w:val="-1"/>
        </w:rPr>
        <w:t xml:space="preserve"> </w:t>
      </w:r>
      <w:r>
        <w:t>infinite goodness and his desire for our perceptions to be correct? As Descartes realizes, this question cannot be answered by saying “because those people have abused their free wills,” since hallucinations are involuntary. Descartes’ way</w:t>
      </w:r>
      <w:r>
        <w:rPr>
          <w:spacing w:val="-4"/>
        </w:rPr>
        <w:t xml:space="preserve"> </w:t>
      </w:r>
      <w:r>
        <w:t>of</w:t>
      </w:r>
      <w:r>
        <w:rPr>
          <w:spacing w:val="-3"/>
        </w:rPr>
        <w:t xml:space="preserve"> </w:t>
      </w:r>
      <w:r>
        <w:t>dealing</w:t>
      </w:r>
      <w:r>
        <w:rPr>
          <w:spacing w:val="-2"/>
        </w:rPr>
        <w:t xml:space="preserve"> </w:t>
      </w:r>
      <w:r>
        <w:t>with</w:t>
      </w:r>
      <w:r>
        <w:rPr>
          <w:spacing w:val="-2"/>
        </w:rPr>
        <w:t xml:space="preserve"> </w:t>
      </w:r>
      <w:r>
        <w:t>this</w:t>
      </w:r>
      <w:r>
        <w:rPr>
          <w:spacing w:val="-3"/>
        </w:rPr>
        <w:t xml:space="preserve"> </w:t>
      </w:r>
      <w:r>
        <w:t>problem</w:t>
      </w:r>
      <w:r>
        <w:rPr>
          <w:spacing w:val="-3"/>
        </w:rPr>
        <w:t xml:space="preserve"> </w:t>
      </w:r>
      <w:r>
        <w:t>is</w:t>
      </w:r>
      <w:r>
        <w:rPr>
          <w:spacing w:val="-3"/>
        </w:rPr>
        <w:t xml:space="preserve"> </w:t>
      </w:r>
      <w:r>
        <w:rPr>
          <w:i/>
        </w:rPr>
        <w:t>ad</w:t>
      </w:r>
      <w:r>
        <w:rPr>
          <w:i/>
          <w:spacing w:val="-2"/>
        </w:rPr>
        <w:t xml:space="preserve"> </w:t>
      </w:r>
      <w:r>
        <w:rPr>
          <w:i/>
        </w:rPr>
        <w:t>hoc</w:t>
      </w:r>
      <w:r>
        <w:rPr>
          <w:i/>
          <w:spacing w:val="-3"/>
        </w:rPr>
        <w:t xml:space="preserve"> </w:t>
      </w:r>
      <w:r>
        <w:t>and</w:t>
      </w:r>
      <w:r>
        <w:rPr>
          <w:spacing w:val="-2"/>
        </w:rPr>
        <w:t xml:space="preserve"> </w:t>
      </w:r>
      <w:r>
        <w:t>unconvincing;</w:t>
      </w:r>
      <w:r>
        <w:rPr>
          <w:spacing w:val="-3"/>
        </w:rPr>
        <w:t xml:space="preserve"> </w:t>
      </w:r>
      <w:r>
        <w:t>so</w:t>
      </w:r>
      <w:r>
        <w:rPr>
          <w:spacing w:val="-2"/>
        </w:rPr>
        <w:t xml:space="preserve"> </w:t>
      </w:r>
      <w:r>
        <w:t>we’ll</w:t>
      </w:r>
      <w:r>
        <w:rPr>
          <w:spacing w:val="-3"/>
        </w:rPr>
        <w:t xml:space="preserve"> </w:t>
      </w:r>
      <w:r>
        <w:t>skip</w:t>
      </w:r>
      <w:r>
        <w:rPr>
          <w:spacing w:val="-1"/>
        </w:rPr>
        <w:t xml:space="preserve"> </w:t>
      </w:r>
      <w:r>
        <w:rPr>
          <w:spacing w:val="-5"/>
        </w:rPr>
        <w:t>it.</w:t>
      </w:r>
    </w:p>
    <w:p w14:paraId="7E00180F" w14:textId="77777777" w:rsidR="009A58DB" w:rsidRDefault="00000000">
      <w:pPr>
        <w:pStyle w:val="Heading1"/>
        <w:spacing w:before="194"/>
        <w:ind w:left="360" w:firstLine="0"/>
      </w:pPr>
      <w:r>
        <w:t>5.1</w:t>
      </w:r>
      <w:r>
        <w:rPr>
          <w:spacing w:val="-7"/>
        </w:rPr>
        <w:t xml:space="preserve"> </w:t>
      </w:r>
      <w:r>
        <w:t>Evaluating</w:t>
      </w:r>
      <w:r>
        <w:rPr>
          <w:spacing w:val="-5"/>
        </w:rPr>
        <w:t xml:space="preserve"> </w:t>
      </w:r>
      <w:r>
        <w:t>Descartes’</w:t>
      </w:r>
      <w:r>
        <w:rPr>
          <w:spacing w:val="-5"/>
        </w:rPr>
        <w:t xml:space="preserve"> </w:t>
      </w:r>
      <w:r>
        <w:rPr>
          <w:spacing w:val="-2"/>
        </w:rPr>
        <w:t>argument</w:t>
      </w:r>
    </w:p>
    <w:p w14:paraId="7E001810" w14:textId="77777777" w:rsidR="009A58DB" w:rsidRDefault="00000000">
      <w:pPr>
        <w:spacing w:before="139" w:line="249" w:lineRule="auto"/>
        <w:ind w:left="360" w:right="364"/>
        <w:rPr>
          <w:sz w:val="30"/>
        </w:rPr>
      </w:pPr>
      <w:r>
        <w:rPr>
          <w:sz w:val="30"/>
        </w:rPr>
        <w:t>Descartes’ first premise (</w:t>
      </w:r>
      <w:r>
        <w:rPr>
          <w:i/>
          <w:sz w:val="30"/>
        </w:rPr>
        <w:t>minds are completely transparent to themselves</w:t>
      </w:r>
      <w:r>
        <w:rPr>
          <w:sz w:val="30"/>
        </w:rPr>
        <w:t>) is unqualifiedly false. (See Chapter 10 for a discussion of why this is so.)</w:t>
      </w:r>
    </w:p>
    <w:p w14:paraId="7E001811" w14:textId="77777777" w:rsidR="009A58DB" w:rsidRDefault="00000000">
      <w:pPr>
        <w:spacing w:before="3"/>
        <w:ind w:left="720"/>
        <w:rPr>
          <w:sz w:val="30"/>
        </w:rPr>
      </w:pPr>
      <w:r>
        <w:rPr>
          <w:sz w:val="30"/>
        </w:rPr>
        <w:t>The</w:t>
      </w:r>
      <w:r>
        <w:rPr>
          <w:spacing w:val="35"/>
          <w:sz w:val="30"/>
        </w:rPr>
        <w:t xml:space="preserve"> </w:t>
      </w:r>
      <w:r>
        <w:rPr>
          <w:sz w:val="30"/>
        </w:rPr>
        <w:t>second</w:t>
      </w:r>
      <w:r>
        <w:rPr>
          <w:spacing w:val="36"/>
          <w:sz w:val="30"/>
        </w:rPr>
        <w:t xml:space="preserve"> </w:t>
      </w:r>
      <w:r>
        <w:rPr>
          <w:sz w:val="30"/>
        </w:rPr>
        <w:t>premise</w:t>
      </w:r>
      <w:r>
        <w:rPr>
          <w:spacing w:val="37"/>
          <w:sz w:val="30"/>
        </w:rPr>
        <w:t xml:space="preserve"> </w:t>
      </w:r>
      <w:r>
        <w:rPr>
          <w:sz w:val="30"/>
        </w:rPr>
        <w:t>(</w:t>
      </w:r>
      <w:r>
        <w:rPr>
          <w:i/>
          <w:sz w:val="30"/>
        </w:rPr>
        <w:t>effects</w:t>
      </w:r>
      <w:r>
        <w:rPr>
          <w:i/>
          <w:spacing w:val="37"/>
          <w:sz w:val="30"/>
        </w:rPr>
        <w:t xml:space="preserve"> </w:t>
      </w:r>
      <w:r>
        <w:rPr>
          <w:i/>
          <w:sz w:val="30"/>
        </w:rPr>
        <w:t>always</w:t>
      </w:r>
      <w:r>
        <w:rPr>
          <w:i/>
          <w:spacing w:val="38"/>
          <w:sz w:val="30"/>
        </w:rPr>
        <w:t xml:space="preserve"> </w:t>
      </w:r>
      <w:r>
        <w:rPr>
          <w:i/>
          <w:sz w:val="30"/>
        </w:rPr>
        <w:t>resemble</w:t>
      </w:r>
      <w:r>
        <w:rPr>
          <w:i/>
          <w:spacing w:val="37"/>
          <w:sz w:val="30"/>
        </w:rPr>
        <w:t xml:space="preserve"> </w:t>
      </w:r>
      <w:r>
        <w:rPr>
          <w:i/>
          <w:sz w:val="30"/>
        </w:rPr>
        <w:t>their</w:t>
      </w:r>
      <w:r>
        <w:rPr>
          <w:i/>
          <w:spacing w:val="38"/>
          <w:sz w:val="30"/>
        </w:rPr>
        <w:t xml:space="preserve"> </w:t>
      </w:r>
      <w:r>
        <w:rPr>
          <w:i/>
          <w:sz w:val="30"/>
        </w:rPr>
        <w:t>causes</w:t>
      </w:r>
      <w:r>
        <w:rPr>
          <w:sz w:val="30"/>
        </w:rPr>
        <w:t>)</w:t>
      </w:r>
      <w:r>
        <w:rPr>
          <w:spacing w:val="40"/>
          <w:sz w:val="30"/>
        </w:rPr>
        <w:t xml:space="preserve"> </w:t>
      </w:r>
      <w:r>
        <w:rPr>
          <w:sz w:val="30"/>
        </w:rPr>
        <w:t>is</w:t>
      </w:r>
      <w:r>
        <w:rPr>
          <w:spacing w:val="40"/>
          <w:sz w:val="30"/>
        </w:rPr>
        <w:t xml:space="preserve"> </w:t>
      </w:r>
      <w:r>
        <w:rPr>
          <w:sz w:val="30"/>
        </w:rPr>
        <w:t>also</w:t>
      </w:r>
      <w:r>
        <w:rPr>
          <w:spacing w:val="42"/>
          <w:sz w:val="30"/>
        </w:rPr>
        <w:t xml:space="preserve"> </w:t>
      </w:r>
      <w:r>
        <w:rPr>
          <w:spacing w:val="-2"/>
          <w:sz w:val="30"/>
        </w:rPr>
        <w:t>false.</w:t>
      </w:r>
    </w:p>
    <w:p w14:paraId="7E001812" w14:textId="77777777" w:rsidR="009A58DB" w:rsidRDefault="00000000">
      <w:pPr>
        <w:pStyle w:val="BodyText"/>
        <w:spacing w:before="15"/>
        <w:jc w:val="left"/>
      </w:pPr>
      <w:r>
        <w:t>How</w:t>
      </w:r>
      <w:r>
        <w:rPr>
          <w:spacing w:val="-6"/>
        </w:rPr>
        <w:t xml:space="preserve"> </w:t>
      </w:r>
      <w:r>
        <w:t>does</w:t>
      </w:r>
      <w:r>
        <w:rPr>
          <w:spacing w:val="-3"/>
        </w:rPr>
        <w:t xml:space="preserve"> </w:t>
      </w:r>
      <w:r>
        <w:t>your</w:t>
      </w:r>
      <w:r>
        <w:rPr>
          <w:spacing w:val="-3"/>
        </w:rPr>
        <w:t xml:space="preserve"> </w:t>
      </w:r>
      <w:r>
        <w:t>pushing</w:t>
      </w:r>
      <w:r>
        <w:rPr>
          <w:spacing w:val="-2"/>
        </w:rPr>
        <w:t xml:space="preserve"> </w:t>
      </w:r>
      <w:r>
        <w:t>the</w:t>
      </w:r>
      <w:r>
        <w:rPr>
          <w:spacing w:val="-3"/>
        </w:rPr>
        <w:t xml:space="preserve"> </w:t>
      </w:r>
      <w:r>
        <w:t>alarm</w:t>
      </w:r>
      <w:r>
        <w:rPr>
          <w:spacing w:val="-3"/>
        </w:rPr>
        <w:t xml:space="preserve"> </w:t>
      </w:r>
      <w:r>
        <w:t>button</w:t>
      </w:r>
      <w:r>
        <w:rPr>
          <w:spacing w:val="-2"/>
        </w:rPr>
        <w:t xml:space="preserve"> </w:t>
      </w:r>
      <w:r>
        <w:t>resemble</w:t>
      </w:r>
      <w:r>
        <w:rPr>
          <w:spacing w:val="-3"/>
        </w:rPr>
        <w:t xml:space="preserve"> </w:t>
      </w:r>
      <w:r>
        <w:t>the</w:t>
      </w:r>
      <w:r>
        <w:rPr>
          <w:spacing w:val="-3"/>
        </w:rPr>
        <w:t xml:space="preserve"> </w:t>
      </w:r>
      <w:r>
        <w:t>ensuing</w:t>
      </w:r>
      <w:r>
        <w:rPr>
          <w:spacing w:val="-2"/>
        </w:rPr>
        <w:t xml:space="preserve"> noise?</w:t>
      </w:r>
    </w:p>
    <w:p w14:paraId="7E001813" w14:textId="77777777" w:rsidR="009A58DB" w:rsidRDefault="009A58DB">
      <w:pPr>
        <w:pStyle w:val="BodyText"/>
        <w:jc w:val="left"/>
        <w:sectPr w:rsidR="009A58DB">
          <w:pgSz w:w="12240" w:h="15840"/>
          <w:pgMar w:top="1380" w:right="1080" w:bottom="280" w:left="1080" w:header="720" w:footer="720" w:gutter="0"/>
          <w:cols w:space="720"/>
        </w:sectPr>
      </w:pPr>
    </w:p>
    <w:p w14:paraId="7E001814" w14:textId="77777777" w:rsidR="009A58DB" w:rsidRDefault="00000000">
      <w:pPr>
        <w:pStyle w:val="BodyText"/>
        <w:spacing w:before="65" w:line="249" w:lineRule="auto"/>
        <w:ind w:right="358" w:firstLine="360"/>
      </w:pPr>
      <w:r>
        <w:lastRenderedPageBreak/>
        <w:t>But it might be possible to fix up this premise. My pushing the button is a highly indirect cause of the bell’s ringing. The shorter the series of events linking (distal) cause and effect, the more likely cause and effect are to resemble each other. It may even be (though this is a very strong claim) that, for any degree of resemblance R, short of 100%, there is some length L such that,</w:t>
      </w:r>
      <w:r>
        <w:rPr>
          <w:spacing w:val="-2"/>
        </w:rPr>
        <w:t xml:space="preserve"> </w:t>
      </w:r>
      <w:r>
        <w:t>if</w:t>
      </w:r>
      <w:r>
        <w:rPr>
          <w:spacing w:val="-2"/>
        </w:rPr>
        <w:t xml:space="preserve"> </w:t>
      </w:r>
      <w:r>
        <w:t>the</w:t>
      </w:r>
      <w:r>
        <w:rPr>
          <w:spacing w:val="-2"/>
        </w:rPr>
        <w:t xml:space="preserve"> </w:t>
      </w:r>
      <w:r>
        <w:t>series</w:t>
      </w:r>
      <w:r>
        <w:rPr>
          <w:spacing w:val="-2"/>
        </w:rPr>
        <w:t xml:space="preserve"> </w:t>
      </w:r>
      <w:r>
        <w:t>is</w:t>
      </w:r>
      <w:r>
        <w:rPr>
          <w:spacing w:val="-2"/>
        </w:rPr>
        <w:t xml:space="preserve"> </w:t>
      </w:r>
      <w:r>
        <w:t>cut</w:t>
      </w:r>
      <w:r>
        <w:rPr>
          <w:spacing w:val="-2"/>
        </w:rPr>
        <w:t xml:space="preserve"> </w:t>
      </w:r>
      <w:r>
        <w:t>down</w:t>
      </w:r>
      <w:r>
        <w:rPr>
          <w:spacing w:val="-2"/>
        </w:rPr>
        <w:t xml:space="preserve"> </w:t>
      </w:r>
      <w:r>
        <w:t>to</w:t>
      </w:r>
      <w:r>
        <w:rPr>
          <w:spacing w:val="-1"/>
        </w:rPr>
        <w:t xml:space="preserve"> </w:t>
      </w:r>
      <w:r>
        <w:t>L</w:t>
      </w:r>
      <w:r>
        <w:rPr>
          <w:spacing w:val="-2"/>
        </w:rPr>
        <w:t xml:space="preserve"> </w:t>
      </w:r>
      <w:r>
        <w:t>or</w:t>
      </w:r>
      <w:r>
        <w:rPr>
          <w:spacing w:val="-2"/>
        </w:rPr>
        <w:t xml:space="preserve"> </w:t>
      </w:r>
      <w:r>
        <w:t>less,</w:t>
      </w:r>
      <w:r>
        <w:rPr>
          <w:spacing w:val="-2"/>
        </w:rPr>
        <w:t xml:space="preserve"> </w:t>
      </w:r>
      <w:r>
        <w:t>output</w:t>
      </w:r>
      <w:r>
        <w:rPr>
          <w:spacing w:val="-2"/>
        </w:rPr>
        <w:t xml:space="preserve"> </w:t>
      </w:r>
      <w:r>
        <w:t>will</w:t>
      </w:r>
      <w:r>
        <w:rPr>
          <w:spacing w:val="-2"/>
        </w:rPr>
        <w:t xml:space="preserve"> </w:t>
      </w:r>
      <w:r>
        <w:t>resemble</w:t>
      </w:r>
      <w:r>
        <w:rPr>
          <w:spacing w:val="-2"/>
        </w:rPr>
        <w:t xml:space="preserve"> </w:t>
      </w:r>
      <w:r>
        <w:t>input</w:t>
      </w:r>
      <w:r>
        <w:rPr>
          <w:spacing w:val="-2"/>
        </w:rPr>
        <w:t xml:space="preserve"> </w:t>
      </w:r>
      <w:r>
        <w:t>to</w:t>
      </w:r>
      <w:r>
        <w:rPr>
          <w:spacing w:val="-1"/>
        </w:rPr>
        <w:t xml:space="preserve"> </w:t>
      </w:r>
      <w:r>
        <w:rPr>
          <w:spacing w:val="-2"/>
        </w:rPr>
        <w:t>degree</w:t>
      </w:r>
    </w:p>
    <w:p w14:paraId="7E001815" w14:textId="77777777" w:rsidR="009A58DB" w:rsidRDefault="00000000">
      <w:pPr>
        <w:pStyle w:val="BodyText"/>
        <w:spacing w:before="7" w:line="249" w:lineRule="auto"/>
        <w:ind w:right="367"/>
      </w:pPr>
      <w:r>
        <w:t xml:space="preserve">R. So even though Descartes is not right to say, without qualification, that effects resemble their causes, a closely related point may be correct, namely: effects </w:t>
      </w:r>
      <w:r>
        <w:rPr>
          <w:i/>
        </w:rPr>
        <w:t xml:space="preserve">tend </w:t>
      </w:r>
      <w:r>
        <w:t>to resemble their causes.</w:t>
      </w:r>
    </w:p>
    <w:p w14:paraId="7E001816" w14:textId="77777777" w:rsidR="009A58DB" w:rsidRDefault="00000000">
      <w:pPr>
        <w:pStyle w:val="BodyText"/>
        <w:spacing w:before="4" w:line="249" w:lineRule="auto"/>
        <w:ind w:right="359" w:firstLine="360"/>
      </w:pPr>
      <w:r>
        <w:t>Twentieth- and twenty-first-century philosophers ridicule Descartes for assuming that effects resemble their causes. I myself think it is in this point that an adequate refutation of skepticism lies. This cryptic assertion is clarified and defended in Chapter 12.</w:t>
      </w:r>
    </w:p>
    <w:p w14:paraId="7E001817" w14:textId="77777777" w:rsidR="009A58DB" w:rsidRDefault="00000000">
      <w:pPr>
        <w:pStyle w:val="Heading1"/>
        <w:spacing w:before="193" w:line="244" w:lineRule="auto"/>
        <w:ind w:left="360" w:right="364" w:firstLine="0"/>
        <w:jc w:val="both"/>
      </w:pPr>
      <w:r>
        <w:t>6.0</w:t>
      </w:r>
      <w:r>
        <w:rPr>
          <w:spacing w:val="-4"/>
        </w:rPr>
        <w:t xml:space="preserve"> </w:t>
      </w:r>
      <w:r>
        <w:t>Meditation</w:t>
      </w:r>
      <w:r>
        <w:rPr>
          <w:spacing w:val="-4"/>
        </w:rPr>
        <w:t xml:space="preserve"> </w:t>
      </w:r>
      <w:r>
        <w:t>5:</w:t>
      </w:r>
      <w:r>
        <w:rPr>
          <w:spacing w:val="-4"/>
        </w:rPr>
        <w:t xml:space="preserve"> </w:t>
      </w:r>
      <w:r>
        <w:t>“Of</w:t>
      </w:r>
      <w:r>
        <w:rPr>
          <w:spacing w:val="-4"/>
        </w:rPr>
        <w:t xml:space="preserve"> </w:t>
      </w:r>
      <w:r>
        <w:t>the</w:t>
      </w:r>
      <w:r>
        <w:rPr>
          <w:spacing w:val="-4"/>
        </w:rPr>
        <w:t xml:space="preserve"> </w:t>
      </w:r>
      <w:r>
        <w:t>essence</w:t>
      </w:r>
      <w:r>
        <w:rPr>
          <w:spacing w:val="-4"/>
        </w:rPr>
        <w:t xml:space="preserve"> </w:t>
      </w:r>
      <w:r>
        <w:t>of</w:t>
      </w:r>
      <w:r>
        <w:rPr>
          <w:spacing w:val="-4"/>
        </w:rPr>
        <w:t xml:space="preserve"> </w:t>
      </w:r>
      <w:r>
        <w:t>material</w:t>
      </w:r>
      <w:r>
        <w:rPr>
          <w:spacing w:val="-4"/>
        </w:rPr>
        <w:t xml:space="preserve"> </w:t>
      </w:r>
      <w:r>
        <w:t>things; and, again, of God: that he exists”</w:t>
      </w:r>
    </w:p>
    <w:p w14:paraId="7E001818" w14:textId="77777777" w:rsidR="009A58DB" w:rsidRDefault="00000000">
      <w:pPr>
        <w:pStyle w:val="BodyText"/>
        <w:spacing w:before="131" w:line="249" w:lineRule="auto"/>
        <w:ind w:right="358"/>
      </w:pPr>
      <w:r>
        <w:t>The main point of this Meditation is that there is a second proof of God’s existence. This second argument coincides, nearly enough, with Anselm’s “ontological argument.” Here it is. God is maximally excellent, by definition. Anything</w:t>
      </w:r>
      <w:r>
        <w:rPr>
          <w:spacing w:val="-1"/>
        </w:rPr>
        <w:t xml:space="preserve"> </w:t>
      </w:r>
      <w:r>
        <w:t>bad</w:t>
      </w:r>
      <w:r>
        <w:rPr>
          <w:spacing w:val="-1"/>
        </w:rPr>
        <w:t xml:space="preserve"> </w:t>
      </w:r>
      <w:r>
        <w:t>or</w:t>
      </w:r>
      <w:r>
        <w:rPr>
          <w:spacing w:val="-1"/>
        </w:rPr>
        <w:t xml:space="preserve"> </w:t>
      </w:r>
      <w:r>
        <w:t>ugly</w:t>
      </w:r>
      <w:r>
        <w:rPr>
          <w:spacing w:val="-1"/>
        </w:rPr>
        <w:t xml:space="preserve"> </w:t>
      </w:r>
      <w:r>
        <w:t>or</w:t>
      </w:r>
      <w:r>
        <w:rPr>
          <w:spacing w:val="-1"/>
        </w:rPr>
        <w:t xml:space="preserve"> </w:t>
      </w:r>
      <w:r>
        <w:t>stupid</w:t>
      </w:r>
      <w:r>
        <w:rPr>
          <w:spacing w:val="-1"/>
        </w:rPr>
        <w:t xml:space="preserve"> </w:t>
      </w:r>
      <w:r>
        <w:t>would,</w:t>
      </w:r>
      <w:r>
        <w:rPr>
          <w:spacing w:val="-1"/>
        </w:rPr>
        <w:t xml:space="preserve"> </w:t>
      </w:r>
      <w:r>
        <w:t>for</w:t>
      </w:r>
      <w:r>
        <w:rPr>
          <w:spacing w:val="-1"/>
        </w:rPr>
        <w:t xml:space="preserve"> </w:t>
      </w:r>
      <w:r>
        <w:t>that</w:t>
      </w:r>
      <w:r>
        <w:rPr>
          <w:spacing w:val="-2"/>
        </w:rPr>
        <w:t xml:space="preserve"> </w:t>
      </w:r>
      <w:r>
        <w:t>reason,</w:t>
      </w:r>
      <w:r>
        <w:rPr>
          <w:spacing w:val="-1"/>
        </w:rPr>
        <w:t xml:space="preserve"> </w:t>
      </w:r>
      <w:r>
        <w:t>not</w:t>
      </w:r>
      <w:r>
        <w:rPr>
          <w:spacing w:val="-2"/>
        </w:rPr>
        <w:t xml:space="preserve"> </w:t>
      </w:r>
      <w:r>
        <w:t>be</w:t>
      </w:r>
      <w:r>
        <w:rPr>
          <w:spacing w:val="-1"/>
        </w:rPr>
        <w:t xml:space="preserve"> </w:t>
      </w:r>
      <w:r>
        <w:t>God.</w:t>
      </w:r>
      <w:r>
        <w:rPr>
          <w:spacing w:val="-1"/>
        </w:rPr>
        <w:t xml:space="preserve"> </w:t>
      </w:r>
      <w:r>
        <w:t>In</w:t>
      </w:r>
      <w:r>
        <w:rPr>
          <w:spacing w:val="-1"/>
        </w:rPr>
        <w:t xml:space="preserve"> </w:t>
      </w:r>
      <w:r>
        <w:t>general, anything that is deficient in any way cannot be God. Not existing is a way of being deficient. So God exists.</w:t>
      </w:r>
    </w:p>
    <w:p w14:paraId="7E001819" w14:textId="77777777" w:rsidR="009A58DB" w:rsidRDefault="00000000">
      <w:pPr>
        <w:pStyle w:val="BodyText"/>
        <w:spacing w:before="8"/>
        <w:ind w:left="720"/>
      </w:pPr>
      <w:r>
        <w:t>In</w:t>
      </w:r>
      <w:r>
        <w:rPr>
          <w:spacing w:val="-5"/>
        </w:rPr>
        <w:t xml:space="preserve"> </w:t>
      </w:r>
      <w:r>
        <w:t>Chapter</w:t>
      </w:r>
      <w:r>
        <w:rPr>
          <w:spacing w:val="-3"/>
        </w:rPr>
        <w:t xml:space="preserve"> </w:t>
      </w:r>
      <w:r>
        <w:t>25,</w:t>
      </w:r>
      <w:r>
        <w:rPr>
          <w:spacing w:val="-2"/>
        </w:rPr>
        <w:t xml:space="preserve"> </w:t>
      </w:r>
      <w:r>
        <w:t>it</w:t>
      </w:r>
      <w:r>
        <w:rPr>
          <w:spacing w:val="-3"/>
        </w:rPr>
        <w:t xml:space="preserve"> </w:t>
      </w:r>
      <w:r>
        <w:t>is</w:t>
      </w:r>
      <w:r>
        <w:rPr>
          <w:spacing w:val="-3"/>
        </w:rPr>
        <w:t xml:space="preserve"> </w:t>
      </w:r>
      <w:r>
        <w:t>explained</w:t>
      </w:r>
      <w:r>
        <w:rPr>
          <w:spacing w:val="-2"/>
        </w:rPr>
        <w:t xml:space="preserve"> </w:t>
      </w:r>
      <w:r>
        <w:t>why</w:t>
      </w:r>
      <w:r>
        <w:rPr>
          <w:spacing w:val="-2"/>
        </w:rPr>
        <w:t xml:space="preserve"> </w:t>
      </w:r>
      <w:r>
        <w:t>this</w:t>
      </w:r>
      <w:r>
        <w:rPr>
          <w:spacing w:val="-3"/>
        </w:rPr>
        <w:t xml:space="preserve"> </w:t>
      </w:r>
      <w:r>
        <w:t>argument</w:t>
      </w:r>
      <w:r>
        <w:rPr>
          <w:spacing w:val="-3"/>
        </w:rPr>
        <w:t xml:space="preserve"> </w:t>
      </w:r>
      <w:r>
        <w:rPr>
          <w:spacing w:val="-2"/>
        </w:rPr>
        <w:t>fails.</w:t>
      </w:r>
    </w:p>
    <w:p w14:paraId="7E00181A" w14:textId="77777777" w:rsidR="009A58DB" w:rsidRDefault="00000000">
      <w:pPr>
        <w:pStyle w:val="Heading1"/>
        <w:numPr>
          <w:ilvl w:val="0"/>
          <w:numId w:val="122"/>
        </w:numPr>
        <w:tabs>
          <w:tab w:val="left" w:pos="1140"/>
        </w:tabs>
        <w:spacing w:before="218" w:line="244" w:lineRule="auto"/>
        <w:ind w:right="367" w:firstLine="0"/>
        <w:jc w:val="both"/>
      </w:pPr>
      <w:r>
        <w:t>Meditation 6: “Of the existence of material things, and of the distinction between the mind and body of man”</w:t>
      </w:r>
    </w:p>
    <w:p w14:paraId="7E00181B" w14:textId="77777777" w:rsidR="009A58DB" w:rsidRDefault="00000000">
      <w:pPr>
        <w:pStyle w:val="BodyText"/>
        <w:spacing w:before="134" w:line="249" w:lineRule="auto"/>
        <w:ind w:right="366"/>
      </w:pPr>
      <w:r>
        <w:t xml:space="preserve">Here Descartes puts forth his (in)famous argument for </w:t>
      </w:r>
      <w:r>
        <w:rPr>
          <w:i/>
        </w:rPr>
        <w:t xml:space="preserve">mind-body dualism, </w:t>
      </w:r>
      <w:r>
        <w:t>the doctrine that mental entities (e.g., beliefs) are not identical with physical entities (e.g., patterns of neural stimulation). Here is that argument.</w:t>
      </w:r>
    </w:p>
    <w:p w14:paraId="7E00181C" w14:textId="77777777" w:rsidR="009A58DB" w:rsidRDefault="00000000">
      <w:pPr>
        <w:pStyle w:val="BodyText"/>
        <w:spacing w:before="4" w:line="249" w:lineRule="auto"/>
        <w:ind w:right="360" w:firstLine="360"/>
      </w:pPr>
      <w:r>
        <w:t>Let x be a belief. Suppose that I rightly believe x to be a belief. In other words, suppose that x has the property of being believed by me to be a belief. For any pattern of neural stimulation y, it doesn’t follow that I believe that y is a belief. That is, it doesn’t follow that y has the property of being believed</w:t>
      </w:r>
    </w:p>
    <w:p w14:paraId="7E00181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1E" w14:textId="77777777" w:rsidR="009A58DB" w:rsidRDefault="00000000">
      <w:pPr>
        <w:pStyle w:val="BodyText"/>
        <w:spacing w:before="70" w:line="249" w:lineRule="auto"/>
        <w:ind w:right="363"/>
      </w:pPr>
      <w:r>
        <w:lastRenderedPageBreak/>
        <w:t>by me to be a belief. So x and y don’t have the same properties and therefore cannot be identical.</w:t>
      </w:r>
    </w:p>
    <w:p w14:paraId="7E00181F" w14:textId="77777777" w:rsidR="009A58DB" w:rsidRDefault="00000000">
      <w:pPr>
        <w:pStyle w:val="BodyText"/>
        <w:spacing w:line="249" w:lineRule="auto"/>
        <w:ind w:right="357" w:firstLine="360"/>
      </w:pPr>
      <w:r>
        <w:t>The customary response to this argument is to say that it involves an “intensional fallacy.” Benjamin Franklin was the first postmaster general and he was also the inventor of bifocals. So the first postmaster general = the inventor of bifocals. But one can believe that the first postmaster</w:t>
      </w:r>
    </w:p>
    <w:p w14:paraId="7E001820" w14:textId="77777777" w:rsidR="009A58DB" w:rsidRDefault="00000000">
      <w:pPr>
        <w:pStyle w:val="BodyText"/>
        <w:spacing w:before="2" w:line="249" w:lineRule="auto"/>
        <w:ind w:right="358"/>
      </w:pPr>
      <w:r>
        <w:t>general = the first postmaster general without believing that the first postmaster general = the inventor of bifocals. And from the fact that one can have the first belief without having the second, it obviously doesn’t follow, and it isn’t the case, that the first postmaster general ≠ the inventor of bifocals. For the same reason, from the fact that believing that belief x = belief</w:t>
      </w:r>
      <w:r>
        <w:rPr>
          <w:spacing w:val="-1"/>
        </w:rPr>
        <w:t xml:space="preserve"> </w:t>
      </w:r>
      <w:r>
        <w:t>x</w:t>
      </w:r>
      <w:r>
        <w:rPr>
          <w:spacing w:val="-1"/>
        </w:rPr>
        <w:t xml:space="preserve"> </w:t>
      </w:r>
      <w:r>
        <w:t>doesn’t</w:t>
      </w:r>
      <w:r>
        <w:rPr>
          <w:spacing w:val="-1"/>
        </w:rPr>
        <w:t xml:space="preserve"> </w:t>
      </w:r>
      <w:r>
        <w:t>entail</w:t>
      </w:r>
      <w:r>
        <w:rPr>
          <w:spacing w:val="-1"/>
        </w:rPr>
        <w:t xml:space="preserve"> </w:t>
      </w:r>
      <w:r>
        <w:t>believing</w:t>
      </w:r>
      <w:r>
        <w:rPr>
          <w:spacing w:val="-1"/>
        </w:rPr>
        <w:t xml:space="preserve"> </w:t>
      </w:r>
      <w:r>
        <w:t>that</w:t>
      </w:r>
      <w:r>
        <w:rPr>
          <w:spacing w:val="-1"/>
        </w:rPr>
        <w:t xml:space="preserve"> </w:t>
      </w:r>
      <w:r>
        <w:t>belief</w:t>
      </w:r>
      <w:r>
        <w:rPr>
          <w:spacing w:val="-1"/>
        </w:rPr>
        <w:t xml:space="preserve"> </w:t>
      </w:r>
      <w:r>
        <w:t>x</w:t>
      </w:r>
      <w:r>
        <w:rPr>
          <w:spacing w:val="-1"/>
        </w:rPr>
        <w:t xml:space="preserve"> </w:t>
      </w:r>
      <w:r>
        <w:t>=</w:t>
      </w:r>
      <w:r>
        <w:rPr>
          <w:spacing w:val="-1"/>
        </w:rPr>
        <w:t xml:space="preserve"> </w:t>
      </w:r>
      <w:r>
        <w:t>pattern</w:t>
      </w:r>
      <w:r>
        <w:rPr>
          <w:spacing w:val="-1"/>
        </w:rPr>
        <w:t xml:space="preserve"> </w:t>
      </w:r>
      <w:r>
        <w:t>of</w:t>
      </w:r>
      <w:r>
        <w:rPr>
          <w:spacing w:val="-1"/>
        </w:rPr>
        <w:t xml:space="preserve"> </w:t>
      </w:r>
      <w:r>
        <w:t>neural</w:t>
      </w:r>
      <w:r>
        <w:rPr>
          <w:spacing w:val="-1"/>
        </w:rPr>
        <w:t xml:space="preserve"> </w:t>
      </w:r>
      <w:r>
        <w:t>stimulation</w:t>
      </w:r>
      <w:r>
        <w:rPr>
          <w:spacing w:val="-1"/>
        </w:rPr>
        <w:t xml:space="preserve"> </w:t>
      </w:r>
      <w:r>
        <w:t>y, it doesn’t follow that x ≠ y.</w:t>
      </w:r>
    </w:p>
    <w:p w14:paraId="7E001821" w14:textId="77777777" w:rsidR="009A58DB" w:rsidRDefault="00000000">
      <w:pPr>
        <w:pStyle w:val="BodyText"/>
        <w:spacing w:before="9" w:line="249" w:lineRule="auto"/>
        <w:ind w:right="359" w:firstLine="360"/>
      </w:pPr>
      <w:r>
        <w:t>The idea is that, in certain sentential contexts, Leibniz’s Law breaks down (or, rather, appears to breakdown), and that verbs such as “believe,” “know,” and “doubt” create such contexts. Such contexts are referred to as “intensional”</w:t>
      </w:r>
      <w:r>
        <w:rPr>
          <w:spacing w:val="-3"/>
        </w:rPr>
        <w:t xml:space="preserve"> </w:t>
      </w:r>
      <w:r>
        <w:t>contexts.</w:t>
      </w:r>
      <w:r>
        <w:rPr>
          <w:spacing w:val="-3"/>
        </w:rPr>
        <w:t xml:space="preserve"> </w:t>
      </w:r>
      <w:r>
        <w:t>A</w:t>
      </w:r>
      <w:r>
        <w:rPr>
          <w:spacing w:val="-3"/>
        </w:rPr>
        <w:t xml:space="preserve"> </w:t>
      </w:r>
      <w:r>
        <w:t>context</w:t>
      </w:r>
      <w:r>
        <w:rPr>
          <w:spacing w:val="-3"/>
        </w:rPr>
        <w:t xml:space="preserve"> </w:t>
      </w:r>
      <w:r>
        <w:t>that</w:t>
      </w:r>
      <w:r>
        <w:rPr>
          <w:spacing w:val="-3"/>
        </w:rPr>
        <w:t xml:space="preserve"> </w:t>
      </w:r>
      <w:r>
        <w:t>is</w:t>
      </w:r>
      <w:r>
        <w:rPr>
          <w:spacing w:val="-3"/>
        </w:rPr>
        <w:t xml:space="preserve"> </w:t>
      </w:r>
      <w:r>
        <w:t>not</w:t>
      </w:r>
      <w:r>
        <w:rPr>
          <w:spacing w:val="-3"/>
        </w:rPr>
        <w:t xml:space="preserve"> </w:t>
      </w:r>
      <w:r>
        <w:t>“intensional”</w:t>
      </w:r>
      <w:r>
        <w:rPr>
          <w:spacing w:val="-3"/>
        </w:rPr>
        <w:t xml:space="preserve"> </w:t>
      </w:r>
      <w:r>
        <w:t>is</w:t>
      </w:r>
      <w:r>
        <w:rPr>
          <w:spacing w:val="-3"/>
        </w:rPr>
        <w:t xml:space="preserve"> </w:t>
      </w:r>
      <w:r>
        <w:t>“extensional.”</w:t>
      </w:r>
      <w:r>
        <w:rPr>
          <w:spacing w:val="-3"/>
        </w:rPr>
        <w:t xml:space="preserve"> </w:t>
      </w:r>
      <w:r>
        <w:t>So a context is “intensional” if it is one where there can be an apparent violation of Leibniz’s Law, and a context is otherwise “extensional.” Why, exactly, intensional contexts are created by certain expressions is an extremely delicate question, as is the related question of how these apparent</w:t>
      </w:r>
      <w:r>
        <w:rPr>
          <w:spacing w:val="40"/>
        </w:rPr>
        <w:t xml:space="preserve"> </w:t>
      </w:r>
      <w:r>
        <w:t>breakdowns are to be reconciled with the fact that there are surely no actual exceptions to Leibniz’s Law, since Leibniz’s Law is identical, ultimately, with the obviously correct principle that nothing can fail to have a property that it has. But in this context we may set these subtleties aside. (They are thoroughly discussed in Chapter 6.)</w:t>
      </w:r>
    </w:p>
    <w:p w14:paraId="7E001822" w14:textId="77777777" w:rsidR="009A58DB" w:rsidRDefault="00000000">
      <w:pPr>
        <w:pStyle w:val="BodyText"/>
        <w:spacing w:before="16" w:line="249" w:lineRule="auto"/>
        <w:ind w:right="358" w:firstLine="360"/>
      </w:pPr>
      <w:r>
        <w:t xml:space="preserve">Given only that Descartes’ argument fails, it doesn’t follow that mind is body. But it does mean that Descartes’ argument must either be augmented, or replaced with a different argument, </w:t>
      </w:r>
      <w:r>
        <w:rPr>
          <w:i/>
        </w:rPr>
        <w:t xml:space="preserve">if </w:t>
      </w:r>
      <w:r>
        <w:t xml:space="preserve">it is to be established that mind and body are distinct. Efforts in this direction have been made in recent years, some by yours truly (although I now believe that beliefs </w:t>
      </w:r>
      <w:r>
        <w:rPr>
          <w:i/>
        </w:rPr>
        <w:t xml:space="preserve">are </w:t>
      </w:r>
      <w:r>
        <w:t>patterns of</w:t>
      </w:r>
      <w:r>
        <w:rPr>
          <w:spacing w:val="40"/>
        </w:rPr>
        <w:t xml:space="preserve"> </w:t>
      </w:r>
      <w:r>
        <w:t>neural stimulation). The relationship between mind and body is the topic of the rest of the present chapter.</w:t>
      </w:r>
    </w:p>
    <w:p w14:paraId="7E001823" w14:textId="77777777" w:rsidR="009A58DB" w:rsidRDefault="00000000">
      <w:pPr>
        <w:pStyle w:val="Heading1"/>
        <w:numPr>
          <w:ilvl w:val="0"/>
          <w:numId w:val="122"/>
        </w:numPr>
        <w:tabs>
          <w:tab w:val="left" w:pos="1027"/>
        </w:tabs>
        <w:spacing w:before="196"/>
        <w:ind w:left="1027" w:hanging="667"/>
      </w:pPr>
      <w:r>
        <w:t>Different</w:t>
      </w:r>
      <w:r>
        <w:rPr>
          <w:spacing w:val="33"/>
        </w:rPr>
        <w:t xml:space="preserve"> </w:t>
      </w:r>
      <w:r>
        <w:t>views</w:t>
      </w:r>
      <w:r>
        <w:rPr>
          <w:spacing w:val="33"/>
        </w:rPr>
        <w:t xml:space="preserve"> </w:t>
      </w:r>
      <w:r>
        <w:t>as</w:t>
      </w:r>
      <w:r>
        <w:rPr>
          <w:spacing w:val="34"/>
        </w:rPr>
        <w:t xml:space="preserve"> </w:t>
      </w:r>
      <w:r>
        <w:t>to</w:t>
      </w:r>
      <w:r>
        <w:rPr>
          <w:spacing w:val="33"/>
        </w:rPr>
        <w:t xml:space="preserve"> </w:t>
      </w:r>
      <w:r>
        <w:t>the</w:t>
      </w:r>
      <w:r>
        <w:rPr>
          <w:spacing w:val="34"/>
        </w:rPr>
        <w:t xml:space="preserve"> </w:t>
      </w:r>
      <w:r>
        <w:t>relation</w:t>
      </w:r>
      <w:r>
        <w:rPr>
          <w:spacing w:val="33"/>
        </w:rPr>
        <w:t xml:space="preserve"> </w:t>
      </w:r>
      <w:r>
        <w:t>between</w:t>
      </w:r>
      <w:r>
        <w:rPr>
          <w:spacing w:val="34"/>
        </w:rPr>
        <w:t xml:space="preserve"> </w:t>
      </w:r>
      <w:r>
        <w:rPr>
          <w:spacing w:val="-4"/>
        </w:rPr>
        <w:t>mind</w:t>
      </w:r>
    </w:p>
    <w:p w14:paraId="7E001824" w14:textId="77777777" w:rsidR="009A58DB" w:rsidRDefault="009A58DB">
      <w:pPr>
        <w:pStyle w:val="Heading1"/>
        <w:sectPr w:rsidR="009A58DB">
          <w:pgSz w:w="12240" w:h="15840"/>
          <w:pgMar w:top="1380" w:right="1080" w:bottom="280" w:left="1080" w:header="720" w:footer="720" w:gutter="0"/>
          <w:cols w:space="720"/>
        </w:sectPr>
      </w:pPr>
    </w:p>
    <w:p w14:paraId="7E001825" w14:textId="77777777" w:rsidR="009A58DB" w:rsidRDefault="00000000">
      <w:pPr>
        <w:spacing w:before="53"/>
        <w:ind w:left="360"/>
        <w:jc w:val="both"/>
        <w:rPr>
          <w:b/>
          <w:sz w:val="42"/>
        </w:rPr>
      </w:pPr>
      <w:r>
        <w:rPr>
          <w:b/>
          <w:sz w:val="42"/>
        </w:rPr>
        <w:lastRenderedPageBreak/>
        <w:t>and</w:t>
      </w:r>
      <w:r>
        <w:rPr>
          <w:b/>
          <w:spacing w:val="-2"/>
          <w:sz w:val="42"/>
        </w:rPr>
        <w:t xml:space="preserve"> </w:t>
      </w:r>
      <w:r>
        <w:rPr>
          <w:b/>
          <w:spacing w:val="-4"/>
          <w:sz w:val="42"/>
        </w:rPr>
        <w:t>body</w:t>
      </w:r>
    </w:p>
    <w:p w14:paraId="7E001826" w14:textId="77777777" w:rsidR="009A58DB" w:rsidRDefault="00000000">
      <w:pPr>
        <w:pStyle w:val="BodyText"/>
        <w:spacing w:before="144" w:line="249" w:lineRule="auto"/>
        <w:ind w:right="370"/>
      </w:pPr>
      <w:r>
        <w:t xml:space="preserve">Beliefs, hopes, tickles, pains, aspirations, dreads, intentions, fantasies, and longings are </w:t>
      </w:r>
      <w:r>
        <w:rPr>
          <w:i/>
        </w:rPr>
        <w:t xml:space="preserve">mental </w:t>
      </w:r>
      <w:r>
        <w:t xml:space="preserve">entities. Chairs, explosions, rocks, gusts of air, and quagmires are </w:t>
      </w:r>
      <w:r>
        <w:rPr>
          <w:i/>
        </w:rPr>
        <w:t xml:space="preserve">physical </w:t>
      </w:r>
      <w:r>
        <w:t>entities.</w:t>
      </w:r>
    </w:p>
    <w:p w14:paraId="7E001827" w14:textId="77777777" w:rsidR="009A58DB" w:rsidRDefault="00000000">
      <w:pPr>
        <w:pStyle w:val="BodyText"/>
        <w:spacing w:before="3"/>
        <w:ind w:left="720"/>
      </w:pPr>
      <w:r>
        <w:t>How</w:t>
      </w:r>
      <w:r>
        <w:rPr>
          <w:spacing w:val="-6"/>
        </w:rPr>
        <w:t xml:space="preserve"> </w:t>
      </w:r>
      <w:r>
        <w:t>is</w:t>
      </w:r>
      <w:r>
        <w:rPr>
          <w:spacing w:val="-4"/>
        </w:rPr>
        <w:t xml:space="preserve"> </w:t>
      </w:r>
      <w:r>
        <w:t>the</w:t>
      </w:r>
      <w:r>
        <w:rPr>
          <w:spacing w:val="-3"/>
        </w:rPr>
        <w:t xml:space="preserve"> </w:t>
      </w:r>
      <w:r>
        <w:t>mental</w:t>
      </w:r>
      <w:r>
        <w:rPr>
          <w:spacing w:val="-4"/>
        </w:rPr>
        <w:t xml:space="preserve"> </w:t>
      </w:r>
      <w:r>
        <w:t>related</w:t>
      </w:r>
      <w:r>
        <w:rPr>
          <w:spacing w:val="-3"/>
        </w:rPr>
        <w:t xml:space="preserve"> </w:t>
      </w:r>
      <w:r>
        <w:t>to</w:t>
      </w:r>
      <w:r>
        <w:rPr>
          <w:spacing w:val="-3"/>
        </w:rPr>
        <w:t xml:space="preserve"> </w:t>
      </w:r>
      <w:r>
        <w:t>the</w:t>
      </w:r>
      <w:r>
        <w:rPr>
          <w:spacing w:val="-3"/>
        </w:rPr>
        <w:t xml:space="preserve"> </w:t>
      </w:r>
      <w:r>
        <w:t>physical?</w:t>
      </w:r>
      <w:r>
        <w:rPr>
          <w:spacing w:val="-4"/>
        </w:rPr>
        <w:t xml:space="preserve"> </w:t>
      </w:r>
      <w:r>
        <w:t>Here</w:t>
      </w:r>
      <w:r>
        <w:rPr>
          <w:spacing w:val="-4"/>
        </w:rPr>
        <w:t xml:space="preserve"> </w:t>
      </w:r>
      <w:r>
        <w:t>are</w:t>
      </w:r>
      <w:r>
        <w:rPr>
          <w:spacing w:val="-3"/>
        </w:rPr>
        <w:t xml:space="preserve"> </w:t>
      </w:r>
      <w:r>
        <w:t>the</w:t>
      </w:r>
      <w:r>
        <w:rPr>
          <w:spacing w:val="-4"/>
        </w:rPr>
        <w:t xml:space="preserve"> </w:t>
      </w:r>
      <w:r>
        <w:t>different</w:t>
      </w:r>
      <w:r>
        <w:rPr>
          <w:spacing w:val="-3"/>
        </w:rPr>
        <w:t xml:space="preserve"> </w:t>
      </w:r>
      <w:r>
        <w:rPr>
          <w:spacing w:val="-2"/>
        </w:rPr>
        <w:t>views:</w:t>
      </w:r>
    </w:p>
    <w:p w14:paraId="7E001828" w14:textId="77777777" w:rsidR="009A58DB" w:rsidRDefault="009A58DB">
      <w:pPr>
        <w:pStyle w:val="BodyText"/>
        <w:spacing w:before="30"/>
        <w:ind w:left="0"/>
        <w:jc w:val="left"/>
      </w:pPr>
    </w:p>
    <w:p w14:paraId="7E001829" w14:textId="77777777" w:rsidR="009A58DB" w:rsidRDefault="00000000">
      <w:pPr>
        <w:pStyle w:val="ListParagraph"/>
        <w:numPr>
          <w:ilvl w:val="0"/>
          <w:numId w:val="121"/>
        </w:numPr>
        <w:tabs>
          <w:tab w:val="left" w:pos="782"/>
        </w:tabs>
        <w:ind w:left="782" w:hanging="422"/>
        <w:rPr>
          <w:position w:val="21"/>
          <w:sz w:val="30"/>
        </w:rPr>
      </w:pPr>
      <w:r>
        <w:rPr>
          <w:sz w:val="30"/>
        </w:rPr>
        <w:t>Dualism:</w:t>
      </w:r>
      <w:r>
        <w:rPr>
          <w:spacing w:val="-7"/>
          <w:sz w:val="30"/>
        </w:rPr>
        <w:t xml:space="preserve"> </w:t>
      </w:r>
      <w:r>
        <w:rPr>
          <w:sz w:val="30"/>
        </w:rPr>
        <w:t>mental</w:t>
      </w:r>
      <w:r>
        <w:rPr>
          <w:spacing w:val="-5"/>
          <w:sz w:val="30"/>
        </w:rPr>
        <w:t xml:space="preserve"> </w:t>
      </w:r>
      <w:r>
        <w:rPr>
          <w:sz w:val="30"/>
        </w:rPr>
        <w:t>entities</w:t>
      </w:r>
      <w:r>
        <w:rPr>
          <w:spacing w:val="-4"/>
          <w:sz w:val="30"/>
        </w:rPr>
        <w:t xml:space="preserve"> </w:t>
      </w:r>
      <w:r>
        <w:rPr>
          <w:sz w:val="30"/>
        </w:rPr>
        <w:t>are</w:t>
      </w:r>
      <w:r>
        <w:rPr>
          <w:spacing w:val="-5"/>
          <w:sz w:val="30"/>
        </w:rPr>
        <w:t xml:space="preserve"> </w:t>
      </w:r>
      <w:r>
        <w:rPr>
          <w:i/>
          <w:sz w:val="30"/>
        </w:rPr>
        <w:t>not</w:t>
      </w:r>
      <w:r>
        <w:rPr>
          <w:i/>
          <w:spacing w:val="-5"/>
          <w:sz w:val="30"/>
        </w:rPr>
        <w:t xml:space="preserve"> </w:t>
      </w:r>
      <w:r>
        <w:rPr>
          <w:sz w:val="30"/>
        </w:rPr>
        <w:t>physical</w:t>
      </w:r>
      <w:r>
        <w:rPr>
          <w:spacing w:val="-4"/>
          <w:sz w:val="30"/>
        </w:rPr>
        <w:t xml:space="preserve"> </w:t>
      </w:r>
      <w:r>
        <w:rPr>
          <w:spacing w:val="-2"/>
          <w:sz w:val="30"/>
        </w:rPr>
        <w:t>entities</w:t>
      </w:r>
      <w:bookmarkStart w:id="308" w:name="_bookmark308"/>
      <w:bookmarkEnd w:id="308"/>
      <w:r>
        <w:rPr>
          <w:spacing w:val="-2"/>
          <w:sz w:val="30"/>
        </w:rPr>
        <w:t>.</w:t>
      </w:r>
      <w:r>
        <w:rPr>
          <w:color w:val="0562C1"/>
          <w:spacing w:val="-2"/>
          <w:position w:val="21"/>
          <w:sz w:val="30"/>
          <w:u w:val="single" w:color="0562C1"/>
        </w:rPr>
        <w:t>[204]</w:t>
      </w:r>
    </w:p>
    <w:p w14:paraId="7E00182A" w14:textId="77777777" w:rsidR="009A58DB" w:rsidRDefault="00000000">
      <w:pPr>
        <w:pStyle w:val="ListParagraph"/>
        <w:numPr>
          <w:ilvl w:val="0"/>
          <w:numId w:val="121"/>
        </w:numPr>
        <w:tabs>
          <w:tab w:val="left" w:pos="782"/>
        </w:tabs>
        <w:spacing w:before="15"/>
        <w:ind w:left="782" w:hanging="422"/>
        <w:rPr>
          <w:position w:val="21"/>
          <w:sz w:val="30"/>
        </w:rPr>
      </w:pPr>
      <w:r>
        <w:rPr>
          <w:sz w:val="30"/>
        </w:rPr>
        <w:t>Materialism:</w:t>
      </w:r>
      <w:r>
        <w:rPr>
          <w:spacing w:val="-7"/>
          <w:sz w:val="30"/>
        </w:rPr>
        <w:t xml:space="preserve"> </w:t>
      </w:r>
      <w:r>
        <w:rPr>
          <w:sz w:val="30"/>
        </w:rPr>
        <w:t>mental</w:t>
      </w:r>
      <w:r>
        <w:rPr>
          <w:spacing w:val="-6"/>
          <w:sz w:val="30"/>
        </w:rPr>
        <w:t xml:space="preserve"> </w:t>
      </w:r>
      <w:r>
        <w:rPr>
          <w:sz w:val="30"/>
        </w:rPr>
        <w:t>entities</w:t>
      </w:r>
      <w:r>
        <w:rPr>
          <w:spacing w:val="-6"/>
          <w:sz w:val="30"/>
        </w:rPr>
        <w:t xml:space="preserve"> </w:t>
      </w:r>
      <w:r>
        <w:rPr>
          <w:i/>
          <w:sz w:val="30"/>
        </w:rPr>
        <w:t>are</w:t>
      </w:r>
      <w:r>
        <w:rPr>
          <w:i/>
          <w:spacing w:val="-6"/>
          <w:sz w:val="30"/>
        </w:rPr>
        <w:t xml:space="preserve"> </w:t>
      </w:r>
      <w:r>
        <w:rPr>
          <w:sz w:val="30"/>
        </w:rPr>
        <w:t>physical</w:t>
      </w:r>
      <w:r>
        <w:rPr>
          <w:spacing w:val="-6"/>
          <w:sz w:val="30"/>
        </w:rPr>
        <w:t xml:space="preserve"> </w:t>
      </w:r>
      <w:r>
        <w:rPr>
          <w:spacing w:val="-2"/>
          <w:sz w:val="30"/>
        </w:rPr>
        <w:t>entities.</w:t>
      </w:r>
      <w:bookmarkStart w:id="309" w:name="_bookmark309"/>
      <w:bookmarkEnd w:id="309"/>
      <w:r>
        <w:rPr>
          <w:color w:val="0562C1"/>
          <w:spacing w:val="-2"/>
          <w:position w:val="21"/>
          <w:sz w:val="30"/>
          <w:u w:val="single" w:color="0562C1"/>
        </w:rPr>
        <w:t>[205]</w:t>
      </w:r>
    </w:p>
    <w:p w14:paraId="7E00182B" w14:textId="77777777" w:rsidR="009A58DB" w:rsidRDefault="00000000">
      <w:pPr>
        <w:pStyle w:val="ListParagraph"/>
        <w:numPr>
          <w:ilvl w:val="0"/>
          <w:numId w:val="121"/>
        </w:numPr>
        <w:tabs>
          <w:tab w:val="left" w:pos="817"/>
        </w:tabs>
        <w:spacing w:before="15" w:line="249" w:lineRule="auto"/>
        <w:ind w:left="360" w:right="371" w:firstLine="0"/>
        <w:rPr>
          <w:position w:val="21"/>
          <w:sz w:val="30"/>
        </w:rPr>
      </w:pPr>
      <w:r>
        <w:rPr>
          <w:sz w:val="30"/>
        </w:rPr>
        <w:t>Dual aspect theory: the mental and the physical are different aspects of</w:t>
      </w:r>
      <w:r>
        <w:rPr>
          <w:spacing w:val="80"/>
          <w:w w:val="150"/>
          <w:sz w:val="30"/>
        </w:rPr>
        <w:t xml:space="preserve"> </w:t>
      </w:r>
      <w:r>
        <w:rPr>
          <w:sz w:val="30"/>
        </w:rPr>
        <w:t>the same thing</w:t>
      </w:r>
      <w:bookmarkStart w:id="310" w:name="_bookmark310"/>
      <w:bookmarkEnd w:id="310"/>
      <w:r>
        <w:rPr>
          <w:sz w:val="30"/>
        </w:rPr>
        <w:t>.</w:t>
      </w:r>
      <w:r>
        <w:rPr>
          <w:color w:val="0562C1"/>
          <w:position w:val="21"/>
          <w:sz w:val="30"/>
          <w:u w:val="single" w:color="0562C1"/>
        </w:rPr>
        <w:t>[206]</w:t>
      </w:r>
    </w:p>
    <w:p w14:paraId="7E00182C" w14:textId="77777777" w:rsidR="009A58DB" w:rsidRDefault="00000000">
      <w:pPr>
        <w:pStyle w:val="ListParagraph"/>
        <w:numPr>
          <w:ilvl w:val="0"/>
          <w:numId w:val="121"/>
        </w:numPr>
        <w:tabs>
          <w:tab w:val="left" w:pos="840"/>
        </w:tabs>
        <w:spacing w:before="3" w:line="249" w:lineRule="auto"/>
        <w:ind w:left="360" w:right="359" w:firstLine="0"/>
        <w:rPr>
          <w:position w:val="21"/>
          <w:sz w:val="30"/>
        </w:rPr>
      </w:pPr>
      <w:r>
        <w:rPr>
          <w:sz w:val="30"/>
        </w:rPr>
        <w:t>Mental</w:t>
      </w:r>
      <w:r>
        <w:rPr>
          <w:spacing w:val="40"/>
          <w:sz w:val="30"/>
        </w:rPr>
        <w:t xml:space="preserve"> </w:t>
      </w:r>
      <w:r>
        <w:rPr>
          <w:sz w:val="30"/>
        </w:rPr>
        <w:t>eliminativism:</w:t>
      </w:r>
      <w:r>
        <w:rPr>
          <w:spacing w:val="40"/>
          <w:sz w:val="30"/>
        </w:rPr>
        <w:t xml:space="preserve"> </w:t>
      </w:r>
      <w:r>
        <w:rPr>
          <w:sz w:val="30"/>
        </w:rPr>
        <w:t>there</w:t>
      </w:r>
      <w:r>
        <w:rPr>
          <w:spacing w:val="40"/>
          <w:sz w:val="30"/>
        </w:rPr>
        <w:t xml:space="preserve"> </w:t>
      </w:r>
      <w:r>
        <w:rPr>
          <w:sz w:val="30"/>
        </w:rPr>
        <w:t>is</w:t>
      </w:r>
      <w:r>
        <w:rPr>
          <w:spacing w:val="40"/>
          <w:sz w:val="30"/>
        </w:rPr>
        <w:t xml:space="preserve"> </w:t>
      </w:r>
      <w:r>
        <w:rPr>
          <w:sz w:val="30"/>
        </w:rPr>
        <w:t>no</w:t>
      </w:r>
      <w:r>
        <w:rPr>
          <w:spacing w:val="40"/>
          <w:sz w:val="30"/>
        </w:rPr>
        <w:t xml:space="preserve"> </w:t>
      </w:r>
      <w:r>
        <w:rPr>
          <w:sz w:val="30"/>
        </w:rPr>
        <w:t>such</w:t>
      </w:r>
      <w:r>
        <w:rPr>
          <w:spacing w:val="40"/>
          <w:sz w:val="30"/>
        </w:rPr>
        <w:t xml:space="preserve"> </w:t>
      </w:r>
      <w:r>
        <w:rPr>
          <w:sz w:val="30"/>
        </w:rPr>
        <w:t>thing</w:t>
      </w:r>
      <w:r>
        <w:rPr>
          <w:spacing w:val="40"/>
          <w:sz w:val="30"/>
        </w:rPr>
        <w:t xml:space="preserve"> </w:t>
      </w:r>
      <w:r>
        <w:rPr>
          <w:sz w:val="30"/>
        </w:rPr>
        <w:t>as</w:t>
      </w:r>
      <w:r>
        <w:rPr>
          <w:spacing w:val="40"/>
          <w:sz w:val="30"/>
        </w:rPr>
        <w:t xml:space="preserve"> </w:t>
      </w:r>
      <w:r>
        <w:rPr>
          <w:sz w:val="30"/>
        </w:rPr>
        <w:t>the</w:t>
      </w:r>
      <w:r>
        <w:rPr>
          <w:spacing w:val="40"/>
          <w:sz w:val="30"/>
        </w:rPr>
        <w:t xml:space="preserve"> </w:t>
      </w:r>
      <w:r>
        <w:rPr>
          <w:sz w:val="30"/>
        </w:rPr>
        <w:t>mental.</w:t>
      </w:r>
      <w:r>
        <w:rPr>
          <w:spacing w:val="40"/>
          <w:sz w:val="30"/>
        </w:rPr>
        <w:t xml:space="preserve"> </w:t>
      </w:r>
      <w:r>
        <w:rPr>
          <w:sz w:val="30"/>
        </w:rPr>
        <w:t>There</w:t>
      </w:r>
      <w:r>
        <w:rPr>
          <w:spacing w:val="40"/>
          <w:sz w:val="30"/>
        </w:rPr>
        <w:t xml:space="preserve"> </w:t>
      </w:r>
      <w:r>
        <w:rPr>
          <w:sz w:val="30"/>
        </w:rPr>
        <w:t>are brain-states—but no beliefs, tickles, etc</w:t>
      </w:r>
      <w:bookmarkStart w:id="311" w:name="_bookmark311"/>
      <w:bookmarkEnd w:id="311"/>
      <w:r>
        <w:rPr>
          <w:sz w:val="30"/>
        </w:rPr>
        <w:t>.</w:t>
      </w:r>
      <w:r>
        <w:rPr>
          <w:color w:val="0562C1"/>
          <w:position w:val="21"/>
          <w:sz w:val="30"/>
          <w:u w:val="single" w:color="0562C1"/>
        </w:rPr>
        <w:t>[207]</w:t>
      </w:r>
    </w:p>
    <w:p w14:paraId="7E00182D" w14:textId="77777777" w:rsidR="009A58DB" w:rsidRDefault="00000000">
      <w:pPr>
        <w:pStyle w:val="ListParagraph"/>
        <w:numPr>
          <w:ilvl w:val="0"/>
          <w:numId w:val="121"/>
        </w:numPr>
        <w:tabs>
          <w:tab w:val="left" w:pos="822"/>
        </w:tabs>
        <w:spacing w:before="2" w:line="249" w:lineRule="auto"/>
        <w:ind w:left="360" w:right="361" w:firstLine="0"/>
        <w:rPr>
          <w:position w:val="21"/>
          <w:sz w:val="30"/>
        </w:rPr>
      </w:pPr>
      <w:r>
        <w:rPr>
          <w:sz w:val="30"/>
        </w:rPr>
        <w:t>Idealism:</w:t>
      </w:r>
      <w:r>
        <w:rPr>
          <w:spacing w:val="35"/>
          <w:sz w:val="30"/>
        </w:rPr>
        <w:t xml:space="preserve"> </w:t>
      </w:r>
      <w:r>
        <w:rPr>
          <w:sz w:val="30"/>
        </w:rPr>
        <w:t>there</w:t>
      </w:r>
      <w:r>
        <w:rPr>
          <w:spacing w:val="36"/>
          <w:sz w:val="30"/>
        </w:rPr>
        <w:t xml:space="preserve"> </w:t>
      </w:r>
      <w:r>
        <w:rPr>
          <w:sz w:val="30"/>
        </w:rPr>
        <w:t>is</w:t>
      </w:r>
      <w:r>
        <w:rPr>
          <w:spacing w:val="35"/>
          <w:sz w:val="30"/>
        </w:rPr>
        <w:t xml:space="preserve"> </w:t>
      </w:r>
      <w:r>
        <w:rPr>
          <w:sz w:val="30"/>
        </w:rPr>
        <w:t>no</w:t>
      </w:r>
      <w:r>
        <w:rPr>
          <w:spacing w:val="36"/>
          <w:sz w:val="30"/>
        </w:rPr>
        <w:t xml:space="preserve"> </w:t>
      </w:r>
      <w:r>
        <w:rPr>
          <w:sz w:val="30"/>
        </w:rPr>
        <w:t>such</w:t>
      </w:r>
      <w:r>
        <w:rPr>
          <w:spacing w:val="36"/>
          <w:sz w:val="30"/>
        </w:rPr>
        <w:t xml:space="preserve"> </w:t>
      </w:r>
      <w:r>
        <w:rPr>
          <w:sz w:val="30"/>
        </w:rPr>
        <w:t>thing</w:t>
      </w:r>
      <w:r>
        <w:rPr>
          <w:spacing w:val="35"/>
          <w:sz w:val="30"/>
        </w:rPr>
        <w:t xml:space="preserve"> </w:t>
      </w:r>
      <w:r>
        <w:rPr>
          <w:sz w:val="30"/>
        </w:rPr>
        <w:t>as</w:t>
      </w:r>
      <w:r>
        <w:rPr>
          <w:spacing w:val="36"/>
          <w:sz w:val="30"/>
        </w:rPr>
        <w:t xml:space="preserve"> </w:t>
      </w:r>
      <w:r>
        <w:rPr>
          <w:sz w:val="30"/>
        </w:rPr>
        <w:t>the</w:t>
      </w:r>
      <w:r>
        <w:rPr>
          <w:spacing w:val="36"/>
          <w:sz w:val="30"/>
        </w:rPr>
        <w:t xml:space="preserve"> </w:t>
      </w:r>
      <w:r>
        <w:rPr>
          <w:sz w:val="30"/>
        </w:rPr>
        <w:t>physical.</w:t>
      </w:r>
      <w:r>
        <w:rPr>
          <w:spacing w:val="35"/>
          <w:sz w:val="30"/>
        </w:rPr>
        <w:t xml:space="preserve"> </w:t>
      </w:r>
      <w:r>
        <w:rPr>
          <w:sz w:val="30"/>
        </w:rPr>
        <w:t>There</w:t>
      </w:r>
      <w:r>
        <w:rPr>
          <w:spacing w:val="36"/>
          <w:sz w:val="30"/>
        </w:rPr>
        <w:t xml:space="preserve"> </w:t>
      </w:r>
      <w:r>
        <w:rPr>
          <w:sz w:val="30"/>
        </w:rPr>
        <w:t>are</w:t>
      </w:r>
      <w:r>
        <w:rPr>
          <w:spacing w:val="36"/>
          <w:sz w:val="30"/>
        </w:rPr>
        <w:t xml:space="preserve"> </w:t>
      </w:r>
      <w:r>
        <w:rPr>
          <w:sz w:val="30"/>
        </w:rPr>
        <w:t>experiences, hopes, etc. but no chairs, rocks, etc.</w:t>
      </w:r>
      <w:bookmarkStart w:id="312" w:name="_bookmark312"/>
      <w:bookmarkEnd w:id="312"/>
      <w:r>
        <w:rPr>
          <w:sz w:val="30"/>
        </w:rPr>
        <w:t>,</w:t>
      </w:r>
      <w:r>
        <w:rPr>
          <w:color w:val="0562C1"/>
          <w:position w:val="21"/>
          <w:sz w:val="30"/>
          <w:u w:val="single" w:color="0562C1"/>
        </w:rPr>
        <w:t>[208]</w:t>
      </w:r>
    </w:p>
    <w:p w14:paraId="7E00182E" w14:textId="77777777" w:rsidR="009A58DB" w:rsidRDefault="009A58DB">
      <w:pPr>
        <w:pStyle w:val="BodyText"/>
        <w:spacing w:before="18"/>
        <w:ind w:left="0"/>
        <w:jc w:val="left"/>
      </w:pPr>
    </w:p>
    <w:p w14:paraId="7E00182F" w14:textId="77777777" w:rsidR="009A58DB" w:rsidRDefault="00000000">
      <w:pPr>
        <w:pStyle w:val="BodyText"/>
        <w:spacing w:line="249" w:lineRule="auto"/>
        <w:ind w:right="361" w:firstLine="360"/>
      </w:pPr>
      <w:r>
        <w:t>Right now, let us focus on (1) and (2), since they are, pretty obviously, the only two of these five views that have any real chance of being correct. Later we’ll discuss why, despite their obvious falseness, people have held (3)–(5).</w:t>
      </w:r>
    </w:p>
    <w:p w14:paraId="7E001830" w14:textId="77777777" w:rsidR="009A58DB" w:rsidRDefault="00000000">
      <w:pPr>
        <w:pStyle w:val="BodyText"/>
        <w:spacing w:before="4" w:line="249" w:lineRule="auto"/>
        <w:ind w:right="360" w:firstLine="360"/>
      </w:pPr>
      <w:r>
        <w:t xml:space="preserve">First of all, (2) is </w:t>
      </w:r>
      <w:r>
        <w:rPr>
          <w:i/>
        </w:rPr>
        <w:t>not</w:t>
      </w:r>
      <w:r>
        <w:rPr>
          <w:i/>
          <w:spacing w:val="-3"/>
        </w:rPr>
        <w:t xml:space="preserve"> </w:t>
      </w:r>
      <w:r>
        <w:t>the view that mental entities don’t exist. (2) must be distinguished at all costs from (4). According to (2), perceptions, beliefs, doubts, and so on, all exist—but they are identical with brain-states. The materialist</w:t>
      </w:r>
      <w:r>
        <w:rPr>
          <w:spacing w:val="37"/>
        </w:rPr>
        <w:t xml:space="preserve"> </w:t>
      </w:r>
      <w:r>
        <w:t>says</w:t>
      </w:r>
      <w:r>
        <w:rPr>
          <w:spacing w:val="37"/>
        </w:rPr>
        <w:t xml:space="preserve"> </w:t>
      </w:r>
      <w:r>
        <w:t>that,</w:t>
      </w:r>
      <w:r>
        <w:rPr>
          <w:spacing w:val="37"/>
        </w:rPr>
        <w:t xml:space="preserve"> </w:t>
      </w:r>
      <w:r>
        <w:t>just</w:t>
      </w:r>
      <w:r>
        <w:rPr>
          <w:spacing w:val="37"/>
        </w:rPr>
        <w:t xml:space="preserve"> </w:t>
      </w:r>
      <w:r>
        <w:t>as</w:t>
      </w:r>
      <w:r>
        <w:rPr>
          <w:spacing w:val="37"/>
        </w:rPr>
        <w:t xml:space="preserve"> </w:t>
      </w:r>
      <w:r>
        <w:t>water</w:t>
      </w:r>
      <w:r>
        <w:rPr>
          <w:spacing w:val="37"/>
        </w:rPr>
        <w:t xml:space="preserve"> </w:t>
      </w:r>
      <w:r>
        <w:t>is</w:t>
      </w:r>
      <w:r>
        <w:rPr>
          <w:spacing w:val="37"/>
        </w:rPr>
        <w:t xml:space="preserve"> </w:t>
      </w:r>
      <w:r>
        <w:t>H</w:t>
      </w:r>
      <w:r>
        <w:rPr>
          <w:vertAlign w:val="subscript"/>
        </w:rPr>
        <w:t>2</w:t>
      </w:r>
      <w:r>
        <w:t>O,</w:t>
      </w:r>
      <w:r>
        <w:rPr>
          <w:spacing w:val="37"/>
        </w:rPr>
        <w:t xml:space="preserve"> </w:t>
      </w:r>
      <w:r>
        <w:t>so</w:t>
      </w:r>
      <w:r>
        <w:rPr>
          <w:spacing w:val="37"/>
        </w:rPr>
        <w:t xml:space="preserve"> </w:t>
      </w:r>
      <w:r>
        <w:t>your</w:t>
      </w:r>
      <w:r>
        <w:rPr>
          <w:spacing w:val="38"/>
        </w:rPr>
        <w:t xml:space="preserve"> </w:t>
      </w:r>
      <w:r>
        <w:t>belief</w:t>
      </w:r>
      <w:r>
        <w:rPr>
          <w:spacing w:val="37"/>
        </w:rPr>
        <w:t xml:space="preserve"> </w:t>
      </w:r>
      <w:r>
        <w:t>that</w:t>
      </w:r>
      <w:r>
        <w:rPr>
          <w:spacing w:val="38"/>
        </w:rPr>
        <w:t xml:space="preserve"> </w:t>
      </w:r>
      <w:r>
        <w:t>1</w:t>
      </w:r>
      <w:r>
        <w:rPr>
          <w:spacing w:val="37"/>
        </w:rPr>
        <w:t xml:space="preserve"> </w:t>
      </w:r>
      <w:r>
        <w:t>+</w:t>
      </w:r>
      <w:r>
        <w:rPr>
          <w:spacing w:val="37"/>
        </w:rPr>
        <w:t xml:space="preserve"> </w:t>
      </w:r>
      <w:r>
        <w:t>1</w:t>
      </w:r>
      <w:r>
        <w:rPr>
          <w:spacing w:val="38"/>
        </w:rPr>
        <w:t xml:space="preserve"> </w:t>
      </w:r>
      <w:r>
        <w:t>=</w:t>
      </w:r>
      <w:r>
        <w:rPr>
          <w:spacing w:val="37"/>
        </w:rPr>
        <w:t xml:space="preserve"> </w:t>
      </w:r>
      <w:r>
        <w:t>2</w:t>
      </w:r>
      <w:r>
        <w:rPr>
          <w:spacing w:val="38"/>
        </w:rPr>
        <w:t xml:space="preserve"> </w:t>
      </w:r>
      <w:r>
        <w:t>is</w:t>
      </w:r>
    </w:p>
    <w:p w14:paraId="7E001831" w14:textId="77777777" w:rsidR="009A58DB" w:rsidRDefault="00000000">
      <w:pPr>
        <w:pStyle w:val="BodyText"/>
        <w:spacing w:before="64" w:line="249" w:lineRule="auto"/>
        <w:ind w:right="364"/>
      </w:pPr>
      <w:r>
        <w:t xml:space="preserve">identical with some pattern of neural stimulation (or some such). Just as the physical chemist isn’t </w:t>
      </w:r>
      <w:r>
        <w:rPr>
          <w:i/>
        </w:rPr>
        <w:t xml:space="preserve">denying </w:t>
      </w:r>
      <w:r>
        <w:t>the existence of water in identifying it with H</w:t>
      </w:r>
      <w:r>
        <w:rPr>
          <w:vertAlign w:val="subscript"/>
        </w:rPr>
        <w:t>2</w:t>
      </w:r>
      <w:r>
        <w:t>O,</w:t>
      </w:r>
      <w:r>
        <w:rPr>
          <w:spacing w:val="24"/>
        </w:rPr>
        <w:t xml:space="preserve">  </w:t>
      </w:r>
      <w:r>
        <w:t>so</w:t>
      </w:r>
      <w:r>
        <w:rPr>
          <w:spacing w:val="25"/>
        </w:rPr>
        <w:t xml:space="preserve">  </w:t>
      </w:r>
      <w:r>
        <w:t>the</w:t>
      </w:r>
      <w:r>
        <w:rPr>
          <w:spacing w:val="24"/>
        </w:rPr>
        <w:t xml:space="preserve">  </w:t>
      </w:r>
      <w:r>
        <w:t>materialist</w:t>
      </w:r>
      <w:r>
        <w:rPr>
          <w:spacing w:val="25"/>
        </w:rPr>
        <w:t xml:space="preserve">  </w:t>
      </w:r>
      <w:r>
        <w:t>isn’t</w:t>
      </w:r>
      <w:r>
        <w:rPr>
          <w:spacing w:val="24"/>
        </w:rPr>
        <w:t xml:space="preserve">  </w:t>
      </w:r>
      <w:r>
        <w:rPr>
          <w:i/>
        </w:rPr>
        <w:t>denying</w:t>
      </w:r>
      <w:r>
        <w:rPr>
          <w:i/>
          <w:spacing w:val="22"/>
        </w:rPr>
        <w:t xml:space="preserve">  </w:t>
      </w:r>
      <w:r>
        <w:t>the</w:t>
      </w:r>
      <w:r>
        <w:rPr>
          <w:spacing w:val="25"/>
        </w:rPr>
        <w:t xml:space="preserve">  </w:t>
      </w:r>
      <w:r>
        <w:t>existence</w:t>
      </w:r>
      <w:r>
        <w:rPr>
          <w:spacing w:val="25"/>
        </w:rPr>
        <w:t xml:space="preserve">  </w:t>
      </w:r>
      <w:r>
        <w:t>of</w:t>
      </w:r>
      <w:r>
        <w:rPr>
          <w:spacing w:val="24"/>
        </w:rPr>
        <w:t xml:space="preserve">  </w:t>
      </w:r>
      <w:r>
        <w:t>the</w:t>
      </w:r>
      <w:r>
        <w:rPr>
          <w:spacing w:val="25"/>
        </w:rPr>
        <w:t xml:space="preserve">  </w:t>
      </w:r>
      <w:r>
        <w:t>mental</w:t>
      </w:r>
      <w:r>
        <w:rPr>
          <w:spacing w:val="24"/>
        </w:rPr>
        <w:t xml:space="preserve">  </w:t>
      </w:r>
      <w:r>
        <w:rPr>
          <w:spacing w:val="-5"/>
        </w:rPr>
        <w:t>in</w:t>
      </w:r>
    </w:p>
    <w:p w14:paraId="7E001832" w14:textId="77777777" w:rsidR="009A58DB" w:rsidRDefault="00000000">
      <w:pPr>
        <w:pStyle w:val="BodyText"/>
        <w:spacing w:before="64" w:line="249" w:lineRule="auto"/>
        <w:ind w:right="363"/>
      </w:pPr>
      <w:r>
        <w:t>identifying</w:t>
      </w:r>
      <w:r>
        <w:rPr>
          <w:spacing w:val="-1"/>
        </w:rPr>
        <w:t xml:space="preserve"> </w:t>
      </w:r>
      <w:r>
        <w:t>it</w:t>
      </w:r>
      <w:r>
        <w:rPr>
          <w:spacing w:val="-1"/>
        </w:rPr>
        <w:t xml:space="preserve"> </w:t>
      </w:r>
      <w:r>
        <w:t>with</w:t>
      </w:r>
      <w:r>
        <w:rPr>
          <w:spacing w:val="-1"/>
        </w:rPr>
        <w:t xml:space="preserve"> </w:t>
      </w:r>
      <w:r>
        <w:t>physical</w:t>
      </w:r>
      <w:r>
        <w:rPr>
          <w:spacing w:val="-1"/>
        </w:rPr>
        <w:t xml:space="preserve"> </w:t>
      </w:r>
      <w:r>
        <w:t>entities.</w:t>
      </w:r>
      <w:r>
        <w:rPr>
          <w:spacing w:val="-1"/>
        </w:rPr>
        <w:t xml:space="preserve"> </w:t>
      </w:r>
      <w:r>
        <w:t>Although</w:t>
      </w:r>
      <w:r>
        <w:rPr>
          <w:spacing w:val="-1"/>
        </w:rPr>
        <w:t xml:space="preserve"> </w:t>
      </w:r>
      <w:r>
        <w:t>there</w:t>
      </w:r>
      <w:r>
        <w:rPr>
          <w:spacing w:val="-1"/>
        </w:rPr>
        <w:t xml:space="preserve"> </w:t>
      </w:r>
      <w:r>
        <w:t>may</w:t>
      </w:r>
      <w:r>
        <w:rPr>
          <w:spacing w:val="-1"/>
        </w:rPr>
        <w:t xml:space="preserve"> </w:t>
      </w:r>
      <w:r>
        <w:t>be</w:t>
      </w:r>
      <w:r>
        <w:rPr>
          <w:spacing w:val="-1"/>
        </w:rPr>
        <w:t xml:space="preserve"> </w:t>
      </w:r>
      <w:r>
        <w:rPr>
          <w:i/>
        </w:rPr>
        <w:t>some</w:t>
      </w:r>
      <w:r>
        <w:rPr>
          <w:i/>
          <w:spacing w:val="-5"/>
        </w:rPr>
        <w:t xml:space="preserve"> </w:t>
      </w:r>
      <w:r>
        <w:t xml:space="preserve">tendency on the part of materialists to be dismissive of certain features of the psychological realm, they don’t </w:t>
      </w:r>
      <w:r>
        <w:rPr>
          <w:i/>
        </w:rPr>
        <w:t xml:space="preserve">have </w:t>
      </w:r>
      <w:r>
        <w:t>to be thus dismissive: Chomsky is a materialist, as was Freud—and those two were nothing if not great believers in the psyche.</w:t>
      </w:r>
    </w:p>
    <w:p w14:paraId="7E001833" w14:textId="77777777" w:rsidR="009A58DB" w:rsidRDefault="00000000">
      <w:pPr>
        <w:pStyle w:val="BodyText"/>
        <w:spacing w:before="6" w:line="249" w:lineRule="auto"/>
        <w:ind w:right="367" w:firstLine="360"/>
      </w:pPr>
      <w:r>
        <w:t>Advocates of (2) typically (but not universally) hold that mental entities are</w:t>
      </w:r>
      <w:r>
        <w:rPr>
          <w:spacing w:val="-3"/>
        </w:rPr>
        <w:t xml:space="preserve"> </w:t>
      </w:r>
      <w:r>
        <w:t>identical</w:t>
      </w:r>
      <w:r>
        <w:rPr>
          <w:spacing w:val="-3"/>
        </w:rPr>
        <w:t xml:space="preserve"> </w:t>
      </w:r>
      <w:r>
        <w:t>with</w:t>
      </w:r>
      <w:r>
        <w:rPr>
          <w:spacing w:val="-3"/>
        </w:rPr>
        <w:t xml:space="preserve"> </w:t>
      </w:r>
      <w:r>
        <w:t>brain-events</w:t>
      </w:r>
      <w:r>
        <w:rPr>
          <w:spacing w:val="-3"/>
        </w:rPr>
        <w:t xml:space="preserve"> </w:t>
      </w:r>
      <w:r>
        <w:t>and</w:t>
      </w:r>
      <w:r>
        <w:rPr>
          <w:spacing w:val="-3"/>
        </w:rPr>
        <w:t xml:space="preserve"> </w:t>
      </w:r>
      <w:r>
        <w:t>brain-structures.</w:t>
      </w:r>
      <w:r>
        <w:rPr>
          <w:spacing w:val="-3"/>
        </w:rPr>
        <w:t xml:space="preserve"> </w:t>
      </w:r>
      <w:r>
        <w:t>For</w:t>
      </w:r>
      <w:r>
        <w:rPr>
          <w:spacing w:val="-3"/>
        </w:rPr>
        <w:t xml:space="preserve"> </w:t>
      </w:r>
      <w:r>
        <w:t>obvious</w:t>
      </w:r>
      <w:r>
        <w:rPr>
          <w:spacing w:val="-3"/>
        </w:rPr>
        <w:t xml:space="preserve"> </w:t>
      </w:r>
      <w:r>
        <w:t>reasons,</w:t>
      </w:r>
      <w:r>
        <w:rPr>
          <w:spacing w:val="-3"/>
        </w:rPr>
        <w:t xml:space="preserve"> </w:t>
      </w:r>
      <w:r>
        <w:t>they</w:t>
      </w:r>
    </w:p>
    <w:p w14:paraId="7E00183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35" w14:textId="77777777" w:rsidR="009A58DB" w:rsidRDefault="00000000">
      <w:pPr>
        <w:pStyle w:val="BodyText"/>
        <w:spacing w:before="65" w:line="249" w:lineRule="auto"/>
        <w:ind w:right="362"/>
      </w:pPr>
      <w:r>
        <w:lastRenderedPageBreak/>
        <w:t>don’t usually hold that mental entities are identical with trees or rocks or anything else that is not a part of one’s body (or, more specifically, one’s central nervous system).</w:t>
      </w:r>
    </w:p>
    <w:p w14:paraId="7E001836" w14:textId="77777777" w:rsidR="009A58DB" w:rsidRDefault="00000000">
      <w:pPr>
        <w:pStyle w:val="BodyText"/>
        <w:spacing w:before="3"/>
        <w:ind w:left="720"/>
      </w:pPr>
      <w:r>
        <w:t>I</w:t>
      </w:r>
      <w:r>
        <w:rPr>
          <w:spacing w:val="4"/>
        </w:rPr>
        <w:t xml:space="preserve"> </w:t>
      </w:r>
      <w:r>
        <w:t>have</w:t>
      </w:r>
      <w:r>
        <w:rPr>
          <w:spacing w:val="6"/>
        </w:rPr>
        <w:t xml:space="preserve"> </w:t>
      </w:r>
      <w:r>
        <w:t>published</w:t>
      </w:r>
      <w:r>
        <w:rPr>
          <w:spacing w:val="7"/>
        </w:rPr>
        <w:t xml:space="preserve"> </w:t>
      </w:r>
      <w:r>
        <w:t>some</w:t>
      </w:r>
      <w:r>
        <w:rPr>
          <w:spacing w:val="6"/>
        </w:rPr>
        <w:t xml:space="preserve"> </w:t>
      </w:r>
      <w:r>
        <w:t>papers</w:t>
      </w:r>
      <w:r>
        <w:rPr>
          <w:spacing w:val="6"/>
        </w:rPr>
        <w:t xml:space="preserve"> </w:t>
      </w:r>
      <w:r>
        <w:t>arguing</w:t>
      </w:r>
      <w:r>
        <w:rPr>
          <w:spacing w:val="7"/>
        </w:rPr>
        <w:t xml:space="preserve"> </w:t>
      </w:r>
      <w:r>
        <w:t>for</w:t>
      </w:r>
      <w:r>
        <w:rPr>
          <w:spacing w:val="6"/>
        </w:rPr>
        <w:t xml:space="preserve"> </w:t>
      </w:r>
      <w:r>
        <w:t>dualism.</w:t>
      </w:r>
      <w:r>
        <w:rPr>
          <w:spacing w:val="6"/>
        </w:rPr>
        <w:t xml:space="preserve"> </w:t>
      </w:r>
      <w:r>
        <w:t>I</w:t>
      </w:r>
      <w:r>
        <w:rPr>
          <w:spacing w:val="7"/>
        </w:rPr>
        <w:t xml:space="preserve"> </w:t>
      </w:r>
      <w:r>
        <w:t>am</w:t>
      </w:r>
      <w:r>
        <w:rPr>
          <w:spacing w:val="6"/>
        </w:rPr>
        <w:t xml:space="preserve"> </w:t>
      </w:r>
      <w:r>
        <w:t>now</w:t>
      </w:r>
      <w:r>
        <w:rPr>
          <w:spacing w:val="6"/>
        </w:rPr>
        <w:t xml:space="preserve"> </w:t>
      </w:r>
      <w:r>
        <w:t>a</w:t>
      </w:r>
      <w:r>
        <w:rPr>
          <w:spacing w:val="7"/>
        </w:rPr>
        <w:t xml:space="preserve"> </w:t>
      </w:r>
      <w:r>
        <w:rPr>
          <w:spacing w:val="-2"/>
        </w:rPr>
        <w:t>materialist.</w:t>
      </w:r>
    </w:p>
    <w:p w14:paraId="7E001837" w14:textId="77777777" w:rsidR="009A58DB" w:rsidRDefault="00000000">
      <w:pPr>
        <w:pStyle w:val="BodyText"/>
        <w:spacing w:before="15"/>
      </w:pPr>
      <w:r>
        <w:t>But</w:t>
      </w:r>
      <w:r>
        <w:rPr>
          <w:spacing w:val="-6"/>
        </w:rPr>
        <w:t xml:space="preserve"> </w:t>
      </w:r>
      <w:r>
        <w:t>I</w:t>
      </w:r>
      <w:r>
        <w:rPr>
          <w:spacing w:val="-3"/>
        </w:rPr>
        <w:t xml:space="preserve"> </w:t>
      </w:r>
      <w:r>
        <w:t>am</w:t>
      </w:r>
      <w:r>
        <w:rPr>
          <w:spacing w:val="-3"/>
        </w:rPr>
        <w:t xml:space="preserve"> </w:t>
      </w:r>
      <w:r>
        <w:t>still</w:t>
      </w:r>
      <w:r>
        <w:rPr>
          <w:spacing w:val="-3"/>
        </w:rPr>
        <w:t xml:space="preserve"> </w:t>
      </w:r>
      <w:r>
        <w:t>fundamentally</w:t>
      </w:r>
      <w:r>
        <w:rPr>
          <w:spacing w:val="-2"/>
        </w:rPr>
        <w:t xml:space="preserve"> </w:t>
      </w:r>
      <w:r>
        <w:t>open</w:t>
      </w:r>
      <w:r>
        <w:rPr>
          <w:spacing w:val="-2"/>
        </w:rPr>
        <w:t xml:space="preserve"> </w:t>
      </w:r>
      <w:r>
        <w:t>on</w:t>
      </w:r>
      <w:r>
        <w:rPr>
          <w:spacing w:val="-2"/>
        </w:rPr>
        <w:t xml:space="preserve"> </w:t>
      </w:r>
      <w:r>
        <w:t>this</w:t>
      </w:r>
      <w:r>
        <w:rPr>
          <w:spacing w:val="-3"/>
        </w:rPr>
        <w:t xml:space="preserve"> </w:t>
      </w:r>
      <w:r>
        <w:rPr>
          <w:spacing w:val="-2"/>
        </w:rPr>
        <w:t>issue.</w:t>
      </w:r>
    </w:p>
    <w:p w14:paraId="7E001838" w14:textId="77777777" w:rsidR="009A58DB" w:rsidRDefault="00000000">
      <w:pPr>
        <w:pStyle w:val="BodyText"/>
        <w:spacing w:before="15" w:line="249" w:lineRule="auto"/>
        <w:ind w:right="360" w:firstLine="360"/>
      </w:pPr>
      <w:r>
        <w:t xml:space="preserve">Here are my own views. I believe (as I just said) that materialism is correct. Second, I believe (very strongly) that </w:t>
      </w:r>
      <w:r>
        <w:rPr>
          <w:i/>
        </w:rPr>
        <w:t xml:space="preserve">functionalism </w:t>
      </w:r>
      <w:r>
        <w:t xml:space="preserve">(a very popular form of materialism: to be defined later) is wrong. Third, although I believe that materialism is correct, I don’t think (paradoxical though it may sound initially) that it can ever be explained </w:t>
      </w:r>
      <w:r>
        <w:rPr>
          <w:i/>
        </w:rPr>
        <w:t xml:space="preserve">why </w:t>
      </w:r>
      <w:r>
        <w:t>the mental is identical with (some aspects of) the physical.</w:t>
      </w:r>
    </w:p>
    <w:p w14:paraId="7E001839" w14:textId="77777777" w:rsidR="009A58DB" w:rsidRDefault="00000000">
      <w:pPr>
        <w:pStyle w:val="BodyText"/>
        <w:spacing w:before="8" w:line="249" w:lineRule="auto"/>
        <w:ind w:right="358" w:firstLine="360"/>
      </w:pPr>
      <w:r>
        <w:t>Right</w:t>
      </w:r>
      <w:r>
        <w:rPr>
          <w:spacing w:val="-3"/>
        </w:rPr>
        <w:t xml:space="preserve"> </w:t>
      </w:r>
      <w:r>
        <w:t>now,</w:t>
      </w:r>
      <w:r>
        <w:rPr>
          <w:spacing w:val="-2"/>
        </w:rPr>
        <w:t xml:space="preserve"> </w:t>
      </w:r>
      <w:r>
        <w:t>let</w:t>
      </w:r>
      <w:r>
        <w:rPr>
          <w:spacing w:val="-3"/>
        </w:rPr>
        <w:t xml:space="preserve"> </w:t>
      </w:r>
      <w:r>
        <w:t>us</w:t>
      </w:r>
      <w:r>
        <w:rPr>
          <w:spacing w:val="-3"/>
        </w:rPr>
        <w:t xml:space="preserve"> </w:t>
      </w:r>
      <w:r>
        <w:t>focus</w:t>
      </w:r>
      <w:r>
        <w:rPr>
          <w:spacing w:val="-3"/>
        </w:rPr>
        <w:t xml:space="preserve"> </w:t>
      </w:r>
      <w:r>
        <w:t>on</w:t>
      </w:r>
      <w:r>
        <w:rPr>
          <w:spacing w:val="-2"/>
        </w:rPr>
        <w:t xml:space="preserve"> </w:t>
      </w:r>
      <w:r>
        <w:t>some</w:t>
      </w:r>
      <w:r>
        <w:rPr>
          <w:spacing w:val="-3"/>
        </w:rPr>
        <w:t xml:space="preserve"> </w:t>
      </w:r>
      <w:r>
        <w:t>of</w:t>
      </w:r>
      <w:r>
        <w:rPr>
          <w:spacing w:val="-3"/>
        </w:rPr>
        <w:t xml:space="preserve"> </w:t>
      </w:r>
      <w:r>
        <w:t>the</w:t>
      </w:r>
      <w:r>
        <w:rPr>
          <w:spacing w:val="-3"/>
        </w:rPr>
        <w:t xml:space="preserve"> </w:t>
      </w:r>
      <w:r>
        <w:t>basic</w:t>
      </w:r>
      <w:r>
        <w:rPr>
          <w:spacing w:val="-3"/>
        </w:rPr>
        <w:t xml:space="preserve"> </w:t>
      </w:r>
      <w:r>
        <w:t>arguments</w:t>
      </w:r>
      <w:r>
        <w:rPr>
          <w:spacing w:val="-3"/>
        </w:rPr>
        <w:t xml:space="preserve"> </w:t>
      </w:r>
      <w:r>
        <w:t>for</w:t>
      </w:r>
      <w:r>
        <w:rPr>
          <w:spacing w:val="-3"/>
        </w:rPr>
        <w:t xml:space="preserve"> </w:t>
      </w:r>
      <w:r>
        <w:t>and</w:t>
      </w:r>
      <w:r>
        <w:rPr>
          <w:spacing w:val="-2"/>
        </w:rPr>
        <w:t xml:space="preserve"> </w:t>
      </w:r>
      <w:r>
        <w:t>against</w:t>
      </w:r>
      <w:r>
        <w:rPr>
          <w:spacing w:val="-3"/>
        </w:rPr>
        <w:t xml:space="preserve"> </w:t>
      </w:r>
      <w:r>
        <w:t>(1). (In the process of discussing these arguments, we will find that there are different versions of both materialism and dualism.) Of course, since (1) is</w:t>
      </w:r>
      <w:r>
        <w:rPr>
          <w:spacing w:val="40"/>
        </w:rPr>
        <w:t xml:space="preserve"> </w:t>
      </w:r>
      <w:r>
        <w:t>the negation of (2), any argument for (1) is an argument against (2), and any argument for (2) is an argument against (1).</w:t>
      </w:r>
    </w:p>
    <w:p w14:paraId="7E00183A" w14:textId="77777777" w:rsidR="009A58DB" w:rsidRDefault="00000000">
      <w:pPr>
        <w:pStyle w:val="Heading1"/>
        <w:numPr>
          <w:ilvl w:val="0"/>
          <w:numId w:val="122"/>
        </w:numPr>
        <w:tabs>
          <w:tab w:val="left" w:pos="990"/>
        </w:tabs>
        <w:spacing w:before="194"/>
        <w:ind w:left="990" w:hanging="630"/>
      </w:pPr>
      <w:r>
        <w:t>Arguments</w:t>
      </w:r>
      <w:r>
        <w:rPr>
          <w:spacing w:val="-5"/>
        </w:rPr>
        <w:t xml:space="preserve"> </w:t>
      </w:r>
      <w:r>
        <w:t>for</w:t>
      </w:r>
      <w:r>
        <w:rPr>
          <w:spacing w:val="-5"/>
        </w:rPr>
        <w:t xml:space="preserve"> </w:t>
      </w:r>
      <w:r>
        <w:rPr>
          <w:spacing w:val="-2"/>
        </w:rPr>
        <w:t>dualism</w:t>
      </w:r>
    </w:p>
    <w:p w14:paraId="7E00183B" w14:textId="77777777" w:rsidR="009A58DB" w:rsidRDefault="00000000">
      <w:pPr>
        <w:pStyle w:val="Heading6"/>
        <w:spacing w:before="139"/>
      </w:pPr>
      <w:r>
        <w:t>First</w:t>
      </w:r>
      <w:r>
        <w:rPr>
          <w:spacing w:val="-5"/>
        </w:rPr>
        <w:t xml:space="preserve"> </w:t>
      </w:r>
      <w:r>
        <w:rPr>
          <w:spacing w:val="-2"/>
        </w:rPr>
        <w:t>argument</w:t>
      </w:r>
    </w:p>
    <w:p w14:paraId="7E00183C" w14:textId="77777777" w:rsidR="009A58DB" w:rsidRDefault="009A58DB">
      <w:pPr>
        <w:pStyle w:val="BodyText"/>
        <w:spacing w:before="30"/>
        <w:ind w:left="0"/>
        <w:jc w:val="left"/>
        <w:rPr>
          <w:b/>
          <w:i/>
        </w:rPr>
      </w:pPr>
    </w:p>
    <w:p w14:paraId="7E00183D" w14:textId="77777777" w:rsidR="009A58DB" w:rsidRDefault="00000000">
      <w:pPr>
        <w:pStyle w:val="BodyText"/>
        <w:spacing w:line="249" w:lineRule="auto"/>
        <w:ind w:right="358"/>
      </w:pPr>
      <w:r>
        <w:t xml:space="preserve">The mental obviously has properties not had by the physical. For example: mental entities are representational; they are purposive; they have “phenomenology” (i.e., there is something it is like to have them). Since physical events obviously don’t have those properties, physical events aren’t mental. (This argument was given by Franz Brentano in </w:t>
      </w:r>
      <w:r>
        <w:rPr>
          <w:i/>
        </w:rPr>
        <w:t>Psychology from an Empirical Standpoint.</w:t>
      </w:r>
      <w:r>
        <w:t>)</w:t>
      </w:r>
    </w:p>
    <w:p w14:paraId="7E00183E" w14:textId="77777777" w:rsidR="009A58DB" w:rsidRDefault="00000000">
      <w:pPr>
        <w:pStyle w:val="Heading6"/>
        <w:spacing w:before="112"/>
      </w:pPr>
      <w:r>
        <w:t>This</w:t>
      </w:r>
      <w:r>
        <w:rPr>
          <w:spacing w:val="-5"/>
        </w:rPr>
        <w:t xml:space="preserve"> </w:t>
      </w:r>
      <w:r>
        <w:t>argument</w:t>
      </w:r>
      <w:r>
        <w:rPr>
          <w:spacing w:val="-5"/>
        </w:rPr>
        <w:t xml:space="preserve"> </w:t>
      </w:r>
      <w:r>
        <w:rPr>
          <w:spacing w:val="-2"/>
        </w:rPr>
        <w:t>evaluated</w:t>
      </w:r>
    </w:p>
    <w:p w14:paraId="7E00183F" w14:textId="77777777" w:rsidR="009A58DB" w:rsidRDefault="00000000">
      <w:pPr>
        <w:pStyle w:val="BodyText"/>
        <w:spacing w:before="75" w:line="249" w:lineRule="auto"/>
        <w:ind w:right="358"/>
      </w:pPr>
      <w:r>
        <w:t xml:space="preserve">Though it has force, there is a problem with this argument. The materialist can say that physical events </w:t>
      </w:r>
      <w:r>
        <w:rPr>
          <w:i/>
        </w:rPr>
        <w:t xml:space="preserve">do </w:t>
      </w:r>
      <w:r>
        <w:t>have these properties, but that this simply</w:t>
      </w:r>
      <w:r>
        <w:rPr>
          <w:spacing w:val="40"/>
        </w:rPr>
        <w:t xml:space="preserve"> </w:t>
      </w:r>
      <w:r>
        <w:t xml:space="preserve">isn’t obvious to introspection. For example, physical events have lots of properties that aren’t obvious. When you look at a chair or a rock or a pool of water, your perception doesn’t tell you anything about the microstructural properties of what you are seeing—but it would obviously be absurd to conclude that what you were seeing </w:t>
      </w:r>
      <w:r>
        <w:rPr>
          <w:i/>
        </w:rPr>
        <w:t xml:space="preserve">didn’t </w:t>
      </w:r>
      <w:r>
        <w:t>have invisible (to the naked eye) microstructural</w:t>
      </w:r>
      <w:r>
        <w:rPr>
          <w:spacing w:val="40"/>
        </w:rPr>
        <w:t xml:space="preserve">  </w:t>
      </w:r>
      <w:r>
        <w:t>properties.</w:t>
      </w:r>
      <w:r>
        <w:rPr>
          <w:spacing w:val="40"/>
        </w:rPr>
        <w:t xml:space="preserve">  </w:t>
      </w:r>
      <w:r>
        <w:t>Similarly,</w:t>
      </w:r>
      <w:r>
        <w:rPr>
          <w:spacing w:val="40"/>
        </w:rPr>
        <w:t xml:space="preserve">  </w:t>
      </w:r>
      <w:r>
        <w:t>says</w:t>
      </w:r>
      <w:r>
        <w:rPr>
          <w:spacing w:val="40"/>
        </w:rPr>
        <w:t xml:space="preserve">  </w:t>
      </w:r>
      <w:r>
        <w:t>the</w:t>
      </w:r>
      <w:r>
        <w:rPr>
          <w:spacing w:val="40"/>
        </w:rPr>
        <w:t xml:space="preserve">  </w:t>
      </w:r>
      <w:r>
        <w:t>materialist,</w:t>
      </w:r>
      <w:r>
        <w:rPr>
          <w:spacing w:val="40"/>
        </w:rPr>
        <w:t xml:space="preserve">  </w:t>
      </w:r>
      <w:r>
        <w:t>when</w:t>
      </w:r>
      <w:r>
        <w:rPr>
          <w:spacing w:val="40"/>
        </w:rPr>
        <w:t xml:space="preserve">  </w:t>
      </w:r>
      <w:r>
        <w:t>you</w:t>
      </w:r>
    </w:p>
    <w:p w14:paraId="7E00184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41" w14:textId="77777777" w:rsidR="009A58DB" w:rsidRDefault="00000000">
      <w:pPr>
        <w:pStyle w:val="BodyText"/>
        <w:spacing w:before="65" w:line="249" w:lineRule="auto"/>
        <w:ind w:right="360"/>
      </w:pPr>
      <w:r>
        <w:lastRenderedPageBreak/>
        <w:t xml:space="preserve">introspect a pain or a tickle or a belief, your introspection doesn’t tell you anything about the neural properties of what you are introspecting—but it would be absurd to conclude, on that basis alone, that what you were introspecting </w:t>
      </w:r>
      <w:r>
        <w:rPr>
          <w:i/>
        </w:rPr>
        <w:t xml:space="preserve">didn’t </w:t>
      </w:r>
      <w:r>
        <w:t>have neural properties.</w:t>
      </w:r>
    </w:p>
    <w:p w14:paraId="7E001842" w14:textId="77777777" w:rsidR="009A58DB" w:rsidRDefault="00000000">
      <w:pPr>
        <w:pStyle w:val="Heading6"/>
        <w:spacing w:before="110"/>
      </w:pPr>
      <w:r>
        <w:t>A</w:t>
      </w:r>
      <w:r>
        <w:rPr>
          <w:spacing w:val="-8"/>
        </w:rPr>
        <w:t xml:space="preserve"> </w:t>
      </w:r>
      <w:r>
        <w:t>counter-</w:t>
      </w:r>
      <w:r>
        <w:rPr>
          <w:spacing w:val="-2"/>
        </w:rPr>
        <w:t>argument</w:t>
      </w:r>
    </w:p>
    <w:p w14:paraId="7E001843" w14:textId="77777777" w:rsidR="009A58DB" w:rsidRDefault="00000000">
      <w:pPr>
        <w:pStyle w:val="BodyText"/>
        <w:spacing w:before="75" w:line="249" w:lineRule="auto"/>
        <w:ind w:right="357"/>
      </w:pPr>
      <w:r>
        <w:t xml:space="preserve">Some mental entities seem to be </w:t>
      </w:r>
      <w:r>
        <w:rPr>
          <w:i/>
        </w:rPr>
        <w:t xml:space="preserve">appearances. </w:t>
      </w:r>
      <w:r>
        <w:t xml:space="preserve">Consider your perception of (e.g.) some nearby table. Your perception is just the event of something’s </w:t>
      </w:r>
      <w:r>
        <w:rPr>
          <w:i/>
        </w:rPr>
        <w:t xml:space="preserve">appearing </w:t>
      </w:r>
      <w:r>
        <w:t xml:space="preserve">to you. It doesn’t make sense to say that there is more to an appearance than meets the eye. After all, what doesn’t meet the eye is </w:t>
      </w:r>
      <w:r>
        <w:rPr>
          <w:i/>
        </w:rPr>
        <w:t>ipso facto</w:t>
      </w:r>
      <w:r>
        <w:rPr>
          <w:i/>
          <w:spacing w:val="40"/>
        </w:rPr>
        <w:t xml:space="preserve"> </w:t>
      </w:r>
      <w:r>
        <w:t>not</w:t>
      </w:r>
      <w:r>
        <w:rPr>
          <w:spacing w:val="-2"/>
        </w:rPr>
        <w:t xml:space="preserve"> </w:t>
      </w:r>
      <w:r>
        <w:t>an</w:t>
      </w:r>
      <w:r>
        <w:rPr>
          <w:spacing w:val="-2"/>
        </w:rPr>
        <w:t xml:space="preserve"> </w:t>
      </w:r>
      <w:r>
        <w:t>appearance.</w:t>
      </w:r>
      <w:r>
        <w:rPr>
          <w:spacing w:val="-2"/>
        </w:rPr>
        <w:t xml:space="preserve"> </w:t>
      </w:r>
      <w:r>
        <w:t>Your</w:t>
      </w:r>
      <w:r>
        <w:rPr>
          <w:spacing w:val="-2"/>
        </w:rPr>
        <w:t xml:space="preserve"> </w:t>
      </w:r>
      <w:r>
        <w:t>perception</w:t>
      </w:r>
      <w:r>
        <w:rPr>
          <w:spacing w:val="-2"/>
        </w:rPr>
        <w:t xml:space="preserve"> </w:t>
      </w:r>
      <w:r>
        <w:t>of</w:t>
      </w:r>
      <w:r>
        <w:rPr>
          <w:spacing w:val="-2"/>
        </w:rPr>
        <w:t xml:space="preserve"> </w:t>
      </w:r>
      <w:r>
        <w:t>the</w:t>
      </w:r>
      <w:r>
        <w:rPr>
          <w:spacing w:val="-2"/>
        </w:rPr>
        <w:t xml:space="preserve"> </w:t>
      </w:r>
      <w:r>
        <w:t>table</w:t>
      </w:r>
      <w:r>
        <w:rPr>
          <w:spacing w:val="-2"/>
        </w:rPr>
        <w:t xml:space="preserve"> </w:t>
      </w:r>
      <w:r>
        <w:t>obviously</w:t>
      </w:r>
      <w:r>
        <w:rPr>
          <w:spacing w:val="-2"/>
        </w:rPr>
        <w:t xml:space="preserve"> </w:t>
      </w:r>
      <w:r>
        <w:t>doesn’t</w:t>
      </w:r>
      <w:r>
        <w:rPr>
          <w:spacing w:val="-2"/>
        </w:rPr>
        <w:t xml:space="preserve"> </w:t>
      </w:r>
      <w:r>
        <w:rPr>
          <w:i/>
        </w:rPr>
        <w:t xml:space="preserve">seem </w:t>
      </w:r>
      <w:r>
        <w:t xml:space="preserve">to consist of lots of neural events. So if it </w:t>
      </w:r>
      <w:r>
        <w:rPr>
          <w:i/>
        </w:rPr>
        <w:t>did</w:t>
      </w:r>
      <w:r>
        <w:rPr>
          <w:i/>
          <w:spacing w:val="-2"/>
        </w:rPr>
        <w:t xml:space="preserve"> </w:t>
      </w:r>
      <w:r>
        <w:t xml:space="preserve">consist of such events, they are beneath the surface—they don’t “meet the eye” of introspection. But given what we said a moment ago, this would mean that such events </w:t>
      </w:r>
      <w:r>
        <w:rPr>
          <w:i/>
        </w:rPr>
        <w:t xml:space="preserve">aren’t </w:t>
      </w:r>
      <w:r>
        <w:t>part of that perception.</w:t>
      </w:r>
    </w:p>
    <w:p w14:paraId="7E00184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45" w14:textId="77777777" w:rsidR="009A58DB" w:rsidRDefault="00000000">
      <w:pPr>
        <w:pStyle w:val="Heading6"/>
        <w:spacing w:before="65"/>
      </w:pPr>
      <w:r>
        <w:lastRenderedPageBreak/>
        <w:t>This</w:t>
      </w:r>
      <w:r>
        <w:rPr>
          <w:spacing w:val="-8"/>
        </w:rPr>
        <w:t xml:space="preserve"> </w:t>
      </w:r>
      <w:r>
        <w:t>counterargument</w:t>
      </w:r>
      <w:r>
        <w:rPr>
          <w:spacing w:val="-8"/>
        </w:rPr>
        <w:t xml:space="preserve"> </w:t>
      </w:r>
      <w:r>
        <w:rPr>
          <w:spacing w:val="-2"/>
        </w:rPr>
        <w:t>evaluated</w:t>
      </w:r>
    </w:p>
    <w:p w14:paraId="7E001846" w14:textId="77777777" w:rsidR="009A58DB" w:rsidRDefault="00000000">
      <w:pPr>
        <w:pStyle w:val="BodyText"/>
        <w:spacing w:before="120" w:line="249" w:lineRule="auto"/>
        <w:ind w:right="358"/>
      </w:pPr>
      <w:r>
        <w:t>I’m genuinely open as to whether this argument is a good one. I believe (for reasons that I will follow) that materialism is correct. But I cannot find any errors in the just-stated counter-response (though others claim to be able to</w:t>
      </w:r>
      <w:r>
        <w:rPr>
          <w:spacing w:val="40"/>
        </w:rPr>
        <w:t xml:space="preserve"> </w:t>
      </w:r>
      <w:r>
        <w:t>do so). If you can identify some consideration that resolves the matter, or that gives some weight to a certain (attempted) way of resolving the matter, I would be extremely interested in what you have to say.</w:t>
      </w:r>
    </w:p>
    <w:p w14:paraId="7E001847" w14:textId="77777777" w:rsidR="009A58DB" w:rsidRDefault="00000000">
      <w:pPr>
        <w:pStyle w:val="Heading2"/>
        <w:spacing w:before="195"/>
      </w:pPr>
      <w:r>
        <w:t>Second</w:t>
      </w:r>
      <w:r>
        <w:rPr>
          <w:spacing w:val="-7"/>
        </w:rPr>
        <w:t xml:space="preserve"> </w:t>
      </w:r>
      <w:r>
        <w:t>argument</w:t>
      </w:r>
      <w:r>
        <w:rPr>
          <w:spacing w:val="-5"/>
        </w:rPr>
        <w:t xml:space="preserve"> </w:t>
      </w:r>
      <w:r>
        <w:t>for</w:t>
      </w:r>
      <w:r>
        <w:rPr>
          <w:spacing w:val="-6"/>
        </w:rPr>
        <w:t xml:space="preserve"> </w:t>
      </w:r>
      <w:r>
        <w:t>dualism—the</w:t>
      </w:r>
      <w:r>
        <w:rPr>
          <w:spacing w:val="-5"/>
        </w:rPr>
        <w:t xml:space="preserve"> </w:t>
      </w:r>
      <w:r>
        <w:t>explanatory</w:t>
      </w:r>
      <w:r>
        <w:rPr>
          <w:spacing w:val="-5"/>
        </w:rPr>
        <w:t xml:space="preserve"> gap</w:t>
      </w:r>
    </w:p>
    <w:p w14:paraId="7E001848" w14:textId="77777777" w:rsidR="009A58DB" w:rsidRDefault="00000000">
      <w:pPr>
        <w:pStyle w:val="BodyText"/>
        <w:spacing w:before="139"/>
      </w:pPr>
      <w:r>
        <w:t>Consider</w:t>
      </w:r>
      <w:r>
        <w:rPr>
          <w:spacing w:val="-8"/>
        </w:rPr>
        <w:t xml:space="preserve"> </w:t>
      </w:r>
      <w:r>
        <w:t>some</w:t>
      </w:r>
      <w:r>
        <w:rPr>
          <w:spacing w:val="-5"/>
        </w:rPr>
        <w:t xml:space="preserve"> </w:t>
      </w:r>
      <w:r>
        <w:t>psychological</w:t>
      </w:r>
      <w:r>
        <w:rPr>
          <w:spacing w:val="-5"/>
        </w:rPr>
        <w:t xml:space="preserve"> </w:t>
      </w:r>
      <w:r>
        <w:t>statement;</w:t>
      </w:r>
      <w:r>
        <w:rPr>
          <w:spacing w:val="-5"/>
        </w:rPr>
        <w:t xml:space="preserve"> </w:t>
      </w:r>
      <w:r>
        <w:t>for</w:t>
      </w:r>
      <w:r>
        <w:rPr>
          <w:spacing w:val="-5"/>
        </w:rPr>
        <w:t xml:space="preserve"> </w:t>
      </w:r>
      <w:r>
        <w:rPr>
          <w:spacing w:val="-2"/>
        </w:rPr>
        <w:t>example,</w:t>
      </w:r>
    </w:p>
    <w:p w14:paraId="7E001849" w14:textId="77777777" w:rsidR="009A58DB" w:rsidRDefault="009A58DB">
      <w:pPr>
        <w:pStyle w:val="BodyText"/>
        <w:spacing w:before="30"/>
        <w:ind w:left="0"/>
        <w:jc w:val="left"/>
      </w:pPr>
    </w:p>
    <w:p w14:paraId="7E00184A" w14:textId="77777777" w:rsidR="009A58DB" w:rsidRDefault="00000000">
      <w:pPr>
        <w:pStyle w:val="BodyText"/>
        <w:spacing w:line="249" w:lineRule="auto"/>
        <w:ind w:right="369"/>
      </w:pPr>
      <w:r>
        <w:t>(P) Last year I was very sad, because I completely failed in my efforts to write a best-selling novel.</w:t>
      </w:r>
    </w:p>
    <w:p w14:paraId="7E00184B" w14:textId="77777777" w:rsidR="009A58DB" w:rsidRDefault="009A58DB">
      <w:pPr>
        <w:pStyle w:val="BodyText"/>
        <w:spacing w:before="17"/>
        <w:ind w:left="0"/>
        <w:jc w:val="left"/>
      </w:pPr>
    </w:p>
    <w:p w14:paraId="7E00184C" w14:textId="77777777" w:rsidR="009A58DB" w:rsidRDefault="00000000">
      <w:pPr>
        <w:pStyle w:val="BodyText"/>
        <w:spacing w:before="1"/>
      </w:pPr>
      <w:r>
        <w:t>(P)</w:t>
      </w:r>
      <w:r>
        <w:rPr>
          <w:spacing w:val="9"/>
        </w:rPr>
        <w:t xml:space="preserve"> </w:t>
      </w:r>
      <w:r>
        <w:t>is</w:t>
      </w:r>
      <w:r>
        <w:rPr>
          <w:spacing w:val="12"/>
        </w:rPr>
        <w:t xml:space="preserve"> </w:t>
      </w:r>
      <w:r>
        <w:t>obviously</w:t>
      </w:r>
      <w:r>
        <w:rPr>
          <w:spacing w:val="12"/>
        </w:rPr>
        <w:t xml:space="preserve"> </w:t>
      </w:r>
      <w:r>
        <w:t>the</w:t>
      </w:r>
      <w:r>
        <w:rPr>
          <w:spacing w:val="11"/>
        </w:rPr>
        <w:t xml:space="preserve"> </w:t>
      </w:r>
      <w:r>
        <w:t>kind</w:t>
      </w:r>
      <w:r>
        <w:rPr>
          <w:spacing w:val="12"/>
        </w:rPr>
        <w:t xml:space="preserve"> </w:t>
      </w:r>
      <w:r>
        <w:t>of</w:t>
      </w:r>
      <w:r>
        <w:rPr>
          <w:spacing w:val="12"/>
        </w:rPr>
        <w:t xml:space="preserve"> </w:t>
      </w:r>
      <w:r>
        <w:t>statement</w:t>
      </w:r>
      <w:r>
        <w:rPr>
          <w:spacing w:val="11"/>
        </w:rPr>
        <w:t xml:space="preserve"> </w:t>
      </w:r>
      <w:r>
        <w:t>that</w:t>
      </w:r>
      <w:r>
        <w:rPr>
          <w:spacing w:val="11"/>
        </w:rPr>
        <w:t xml:space="preserve"> </w:t>
      </w:r>
      <w:r>
        <w:t>could</w:t>
      </w:r>
      <w:r>
        <w:rPr>
          <w:spacing w:val="12"/>
        </w:rPr>
        <w:t xml:space="preserve"> </w:t>
      </w:r>
      <w:r>
        <w:t>be</w:t>
      </w:r>
      <w:r>
        <w:rPr>
          <w:spacing w:val="12"/>
        </w:rPr>
        <w:t xml:space="preserve"> </w:t>
      </w:r>
      <w:r>
        <w:t>true.</w:t>
      </w:r>
      <w:r>
        <w:rPr>
          <w:spacing w:val="12"/>
        </w:rPr>
        <w:t xml:space="preserve"> </w:t>
      </w:r>
      <w:r>
        <w:t>But</w:t>
      </w:r>
      <w:r>
        <w:rPr>
          <w:spacing w:val="11"/>
        </w:rPr>
        <w:t xml:space="preserve"> </w:t>
      </w:r>
      <w:r>
        <w:t>can</w:t>
      </w:r>
      <w:r>
        <w:rPr>
          <w:spacing w:val="12"/>
        </w:rPr>
        <w:t xml:space="preserve"> </w:t>
      </w:r>
      <w:r>
        <w:t>the</w:t>
      </w:r>
      <w:r>
        <w:rPr>
          <w:spacing w:val="12"/>
        </w:rPr>
        <w:t xml:space="preserve"> </w:t>
      </w:r>
      <w:r>
        <w:t>truth</w:t>
      </w:r>
      <w:r>
        <w:rPr>
          <w:spacing w:val="13"/>
        </w:rPr>
        <w:t xml:space="preserve"> </w:t>
      </w:r>
      <w:r>
        <w:rPr>
          <w:spacing w:val="-5"/>
        </w:rPr>
        <w:t>of</w:t>
      </w:r>
    </w:p>
    <w:p w14:paraId="7E00184D" w14:textId="77777777" w:rsidR="009A58DB" w:rsidRDefault="00000000">
      <w:pPr>
        <w:pStyle w:val="BodyText"/>
        <w:spacing w:before="15" w:line="249" w:lineRule="auto"/>
        <w:ind w:right="358"/>
      </w:pPr>
      <w:r>
        <w:t>(P) be understood in terms of facts about neural-firings? Can we conceive of some</w:t>
      </w:r>
      <w:r>
        <w:rPr>
          <w:spacing w:val="-3"/>
        </w:rPr>
        <w:t xml:space="preserve"> </w:t>
      </w:r>
      <w:r>
        <w:t>statement</w:t>
      </w:r>
      <w:r>
        <w:rPr>
          <w:spacing w:val="-3"/>
        </w:rPr>
        <w:t xml:space="preserve"> </w:t>
      </w:r>
      <w:r>
        <w:t>about</w:t>
      </w:r>
      <w:r>
        <w:rPr>
          <w:spacing w:val="-3"/>
        </w:rPr>
        <w:t xml:space="preserve"> </w:t>
      </w:r>
      <w:r>
        <w:t>a</w:t>
      </w:r>
      <w:r>
        <w:rPr>
          <w:spacing w:val="-3"/>
        </w:rPr>
        <w:t xml:space="preserve"> </w:t>
      </w:r>
      <w:r>
        <w:t>person’s</w:t>
      </w:r>
      <w:r>
        <w:rPr>
          <w:spacing w:val="-3"/>
        </w:rPr>
        <w:t xml:space="preserve"> </w:t>
      </w:r>
      <w:r>
        <w:rPr>
          <w:i/>
        </w:rPr>
        <w:t>body</w:t>
      </w:r>
      <w:r>
        <w:rPr>
          <w:i/>
          <w:spacing w:val="-3"/>
        </w:rPr>
        <w:t xml:space="preserve"> </w:t>
      </w:r>
      <w:r>
        <w:t>that</w:t>
      </w:r>
      <w:r>
        <w:rPr>
          <w:spacing w:val="-1"/>
        </w:rPr>
        <w:t xml:space="preserve"> </w:t>
      </w:r>
      <w:r>
        <w:t>made</w:t>
      </w:r>
      <w:r>
        <w:rPr>
          <w:spacing w:val="-1"/>
        </w:rPr>
        <w:t xml:space="preserve"> </w:t>
      </w:r>
      <w:r>
        <w:t>it</w:t>
      </w:r>
      <w:r>
        <w:rPr>
          <w:spacing w:val="-1"/>
        </w:rPr>
        <w:t xml:space="preserve"> </w:t>
      </w:r>
      <w:r>
        <w:t>clear</w:t>
      </w:r>
      <w:r>
        <w:rPr>
          <w:spacing w:val="-1"/>
        </w:rPr>
        <w:t xml:space="preserve"> </w:t>
      </w:r>
      <w:r>
        <w:t>why</w:t>
      </w:r>
      <w:r>
        <w:rPr>
          <w:spacing w:val="-1"/>
        </w:rPr>
        <w:t xml:space="preserve"> </w:t>
      </w:r>
      <w:r>
        <w:t>(P)</w:t>
      </w:r>
      <w:r>
        <w:rPr>
          <w:spacing w:val="-1"/>
        </w:rPr>
        <w:t xml:space="preserve"> </w:t>
      </w:r>
      <w:r>
        <w:t>was</w:t>
      </w:r>
      <w:r>
        <w:rPr>
          <w:spacing w:val="-1"/>
        </w:rPr>
        <w:t xml:space="preserve"> </w:t>
      </w:r>
      <w:r>
        <w:t>true?</w:t>
      </w:r>
      <w:r>
        <w:rPr>
          <w:spacing w:val="-1"/>
        </w:rPr>
        <w:t xml:space="preserve"> </w:t>
      </w:r>
      <w:r>
        <w:t>Of course, we can imagine discovering that people feel sad when, and only when, certain neurons in their brains are firing. But would such a discovery really give us any insight into the nature of the dependence (if any there be) of that psychological fact on the existence of those neural states of affairs?</w:t>
      </w:r>
    </w:p>
    <w:p w14:paraId="7E00184E" w14:textId="77777777" w:rsidR="009A58DB" w:rsidRDefault="00000000">
      <w:pPr>
        <w:spacing w:before="7" w:line="249" w:lineRule="auto"/>
        <w:ind w:left="360" w:right="363" w:firstLine="360"/>
        <w:jc w:val="both"/>
        <w:rPr>
          <w:sz w:val="30"/>
        </w:rPr>
      </w:pPr>
      <w:r>
        <w:rPr>
          <w:sz w:val="30"/>
        </w:rPr>
        <w:t xml:space="preserve">Let us generalize this point. There is no denying that we can discover psycho-physical </w:t>
      </w:r>
      <w:r>
        <w:rPr>
          <w:i/>
          <w:sz w:val="30"/>
        </w:rPr>
        <w:t xml:space="preserve">concomitances; </w:t>
      </w:r>
      <w:r>
        <w:rPr>
          <w:sz w:val="30"/>
        </w:rPr>
        <w:t xml:space="preserve">that is, that we can discover truths of the form </w:t>
      </w:r>
      <w:r>
        <w:rPr>
          <w:i/>
          <w:sz w:val="30"/>
        </w:rPr>
        <w:t xml:space="preserve">mental phenomenon m occurs when, and only when, physical phenomenon p occurs. </w:t>
      </w:r>
      <w:r>
        <w:rPr>
          <w:sz w:val="30"/>
        </w:rPr>
        <w:t>But there always seems to be a “gap” between the neural event and the associated psychological event. Permit me to clarify this last point.</w:t>
      </w:r>
    </w:p>
    <w:p w14:paraId="7E00184F" w14:textId="77777777" w:rsidR="009A58DB" w:rsidRDefault="00000000">
      <w:pPr>
        <w:pStyle w:val="BodyText"/>
        <w:spacing w:before="7" w:line="292" w:lineRule="auto"/>
        <w:ind w:right="362" w:firstLine="360"/>
      </w:pPr>
      <w:r>
        <w:t>Water is H</w:t>
      </w:r>
      <w:r>
        <w:rPr>
          <w:vertAlign w:val="subscript"/>
        </w:rPr>
        <w:t>2</w:t>
      </w:r>
      <w:r>
        <w:t xml:space="preserve">O. Of course, when you look at a glass of water, you cannot </w:t>
      </w:r>
      <w:r>
        <w:rPr>
          <w:i/>
        </w:rPr>
        <w:t xml:space="preserve">see </w:t>
      </w:r>
      <w:r>
        <w:t>that it consists of H</w:t>
      </w:r>
      <w:r>
        <w:rPr>
          <w:vertAlign w:val="subscript"/>
        </w:rPr>
        <w:t>2</w:t>
      </w:r>
      <w:r>
        <w:t>O molecules. But suppose that you could shrink yourself down to the size of such a molecule. In that case, you could literally</w:t>
      </w:r>
    </w:p>
    <w:p w14:paraId="7E001850" w14:textId="77777777" w:rsidR="009A58DB" w:rsidRDefault="00000000">
      <w:pPr>
        <w:pStyle w:val="BodyText"/>
        <w:spacing w:line="282" w:lineRule="exact"/>
      </w:pPr>
      <w:r>
        <w:rPr>
          <w:i/>
        </w:rPr>
        <w:t>see</w:t>
      </w:r>
      <w:r>
        <w:rPr>
          <w:i/>
          <w:spacing w:val="-7"/>
        </w:rPr>
        <w:t xml:space="preserve"> </w:t>
      </w:r>
      <w:r>
        <w:t>the</w:t>
      </w:r>
      <w:r>
        <w:rPr>
          <w:spacing w:val="-5"/>
        </w:rPr>
        <w:t xml:space="preserve"> </w:t>
      </w:r>
      <w:r>
        <w:t>molecules</w:t>
      </w:r>
      <w:r>
        <w:rPr>
          <w:spacing w:val="-5"/>
        </w:rPr>
        <w:t xml:space="preserve"> </w:t>
      </w:r>
      <w:r>
        <w:t>with</w:t>
      </w:r>
      <w:r>
        <w:rPr>
          <w:spacing w:val="-3"/>
        </w:rPr>
        <w:t xml:space="preserve"> </w:t>
      </w:r>
      <w:r>
        <w:t>which</w:t>
      </w:r>
      <w:r>
        <w:rPr>
          <w:spacing w:val="-4"/>
        </w:rPr>
        <w:t xml:space="preserve"> </w:t>
      </w:r>
      <w:r>
        <w:t>physical</w:t>
      </w:r>
      <w:r>
        <w:rPr>
          <w:spacing w:val="-5"/>
        </w:rPr>
        <w:t xml:space="preserve"> </w:t>
      </w:r>
      <w:r>
        <w:t>chemists</w:t>
      </w:r>
      <w:r>
        <w:rPr>
          <w:spacing w:val="-5"/>
        </w:rPr>
        <w:t xml:space="preserve"> </w:t>
      </w:r>
      <w:r>
        <w:t>identify</w:t>
      </w:r>
      <w:r>
        <w:rPr>
          <w:spacing w:val="-3"/>
        </w:rPr>
        <w:t xml:space="preserve"> </w:t>
      </w:r>
      <w:r>
        <w:rPr>
          <w:spacing w:val="-2"/>
        </w:rPr>
        <w:t>water.</w:t>
      </w:r>
    </w:p>
    <w:p w14:paraId="7E001851" w14:textId="77777777" w:rsidR="009A58DB" w:rsidRDefault="00000000">
      <w:pPr>
        <w:pStyle w:val="BodyText"/>
        <w:spacing w:before="15" w:line="249" w:lineRule="auto"/>
        <w:ind w:right="360" w:firstLine="360"/>
      </w:pPr>
      <w:r>
        <w:t xml:space="preserve">When you look at a brain, you see beige tissue—you don’t see emotions, beliefs, etc. If you were to shrink yourself down the size of a molecule, you </w:t>
      </w:r>
      <w:r>
        <w:rPr>
          <w:i/>
        </w:rPr>
        <w:t>still</w:t>
      </w:r>
      <w:r>
        <w:rPr>
          <w:i/>
          <w:spacing w:val="-4"/>
        </w:rPr>
        <w:t xml:space="preserve"> </w:t>
      </w:r>
      <w:r>
        <w:t>wouldn’t</w:t>
      </w:r>
      <w:r>
        <w:rPr>
          <w:spacing w:val="-2"/>
        </w:rPr>
        <w:t xml:space="preserve"> </w:t>
      </w:r>
      <w:r>
        <w:t>see</w:t>
      </w:r>
      <w:r>
        <w:rPr>
          <w:spacing w:val="-2"/>
        </w:rPr>
        <w:t xml:space="preserve"> </w:t>
      </w:r>
      <w:r>
        <w:t>emotions,</w:t>
      </w:r>
      <w:r>
        <w:rPr>
          <w:spacing w:val="-2"/>
        </w:rPr>
        <w:t xml:space="preserve"> </w:t>
      </w:r>
      <w:r>
        <w:t>beliefs,</w:t>
      </w:r>
      <w:r>
        <w:rPr>
          <w:spacing w:val="-2"/>
        </w:rPr>
        <w:t xml:space="preserve"> </w:t>
      </w:r>
      <w:r>
        <w:t>etc.</w:t>
      </w:r>
      <w:r>
        <w:rPr>
          <w:spacing w:val="-2"/>
        </w:rPr>
        <w:t xml:space="preserve"> </w:t>
      </w:r>
      <w:r>
        <w:t>In</w:t>
      </w:r>
      <w:r>
        <w:rPr>
          <w:spacing w:val="-2"/>
        </w:rPr>
        <w:t xml:space="preserve"> </w:t>
      </w:r>
      <w:r>
        <w:t>other</w:t>
      </w:r>
      <w:r>
        <w:rPr>
          <w:spacing w:val="-2"/>
        </w:rPr>
        <w:t xml:space="preserve"> </w:t>
      </w:r>
      <w:r>
        <w:t>words,</w:t>
      </w:r>
      <w:r>
        <w:rPr>
          <w:spacing w:val="-2"/>
        </w:rPr>
        <w:t xml:space="preserve"> </w:t>
      </w:r>
      <w:r>
        <w:t>you</w:t>
      </w:r>
      <w:r>
        <w:rPr>
          <w:spacing w:val="-2"/>
        </w:rPr>
        <w:t xml:space="preserve"> </w:t>
      </w:r>
      <w:r>
        <w:rPr>
          <w:i/>
        </w:rPr>
        <w:t>still</w:t>
      </w:r>
      <w:r>
        <w:rPr>
          <w:i/>
          <w:spacing w:val="-4"/>
        </w:rPr>
        <w:t xml:space="preserve"> </w:t>
      </w:r>
      <w:r>
        <w:t>wouldn’t see</w:t>
      </w:r>
    </w:p>
    <w:p w14:paraId="7E001852"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853" w14:textId="77777777" w:rsidR="009A58DB" w:rsidRDefault="00000000">
      <w:pPr>
        <w:pStyle w:val="BodyText"/>
        <w:spacing w:before="65" w:line="249" w:lineRule="auto"/>
        <w:ind w:right="358"/>
      </w:pPr>
      <w:r>
        <w:lastRenderedPageBreak/>
        <w:t>the entities that the materialist identifies with brain-states</w:t>
      </w:r>
      <w:bookmarkStart w:id="313" w:name="_bookmark313"/>
      <w:bookmarkEnd w:id="313"/>
      <w:r>
        <w:t>.</w:t>
      </w:r>
      <w:r>
        <w:rPr>
          <w:color w:val="0562C1"/>
          <w:position w:val="21"/>
          <w:u w:val="single" w:color="0562C1"/>
        </w:rPr>
        <w:t>[209]</w:t>
      </w:r>
      <w:r>
        <w:rPr>
          <w:color w:val="0562C1"/>
          <w:position w:val="21"/>
        </w:rPr>
        <w:t xml:space="preserve"> </w:t>
      </w:r>
      <w:r>
        <w:t xml:space="preserve">You would see the entities with which the </w:t>
      </w:r>
      <w:r>
        <w:rPr>
          <w:i/>
        </w:rPr>
        <w:t>physical</w:t>
      </w:r>
      <w:r>
        <w:rPr>
          <w:i/>
          <w:spacing w:val="-4"/>
        </w:rPr>
        <w:t xml:space="preserve"> </w:t>
      </w:r>
      <w:r>
        <w:rPr>
          <w:i/>
        </w:rPr>
        <w:t>chemist</w:t>
      </w:r>
      <w:r>
        <w:rPr>
          <w:i/>
          <w:spacing w:val="-4"/>
        </w:rPr>
        <w:t xml:space="preserve"> </w:t>
      </w:r>
      <w:r>
        <w:t xml:space="preserve">identifies brain-states (atoms, molecules of various kinds) but </w:t>
      </w:r>
      <w:r>
        <w:rPr>
          <w:i/>
        </w:rPr>
        <w:t xml:space="preserve">not, </w:t>
      </w:r>
      <w:r>
        <w:t xml:space="preserve">as we just said, those with which the </w:t>
      </w:r>
      <w:r>
        <w:rPr>
          <w:i/>
        </w:rPr>
        <w:t xml:space="preserve">materialist </w:t>
      </w:r>
      <w:r>
        <w:t>identifies such states. This suggests that psychophysical identifications (e.g., “pain is c-fiber stimulation”) are not comparable to typical</w:t>
      </w:r>
      <w:r>
        <w:rPr>
          <w:spacing w:val="67"/>
        </w:rPr>
        <w:t xml:space="preserve"> </w:t>
      </w:r>
      <w:r>
        <w:t>scientific</w:t>
      </w:r>
      <w:r>
        <w:rPr>
          <w:spacing w:val="68"/>
        </w:rPr>
        <w:t xml:space="preserve"> </w:t>
      </w:r>
      <w:r>
        <w:t>identifications</w:t>
      </w:r>
      <w:r>
        <w:rPr>
          <w:spacing w:val="67"/>
        </w:rPr>
        <w:t xml:space="preserve"> </w:t>
      </w:r>
      <w:r>
        <w:t>(e.g.,</w:t>
      </w:r>
      <w:r>
        <w:rPr>
          <w:spacing w:val="68"/>
        </w:rPr>
        <w:t xml:space="preserve"> </w:t>
      </w:r>
      <w:r>
        <w:t>“water</w:t>
      </w:r>
      <w:r>
        <w:rPr>
          <w:spacing w:val="68"/>
        </w:rPr>
        <w:t xml:space="preserve"> </w:t>
      </w:r>
      <w:r>
        <w:t>is</w:t>
      </w:r>
      <w:r>
        <w:rPr>
          <w:spacing w:val="67"/>
        </w:rPr>
        <w:t xml:space="preserve"> </w:t>
      </w:r>
      <w:r>
        <w:t>H</w:t>
      </w:r>
      <w:r>
        <w:rPr>
          <w:vertAlign w:val="subscript"/>
        </w:rPr>
        <w:t>2</w:t>
      </w:r>
      <w:r>
        <w:t>O”);</w:t>
      </w:r>
      <w:r>
        <w:rPr>
          <w:spacing w:val="69"/>
        </w:rPr>
        <w:t xml:space="preserve"> </w:t>
      </w:r>
      <w:r>
        <w:t>and</w:t>
      </w:r>
      <w:r>
        <w:rPr>
          <w:spacing w:val="69"/>
        </w:rPr>
        <w:t xml:space="preserve"> </w:t>
      </w:r>
      <w:r>
        <w:t>this</w:t>
      </w:r>
      <w:r>
        <w:rPr>
          <w:spacing w:val="69"/>
        </w:rPr>
        <w:t xml:space="preserve"> </w:t>
      </w:r>
      <w:r>
        <w:t>makes</w:t>
      </w:r>
      <w:r>
        <w:rPr>
          <w:spacing w:val="69"/>
        </w:rPr>
        <w:t xml:space="preserve"> </w:t>
      </w:r>
      <w:r>
        <w:t>it</w:t>
      </w:r>
    </w:p>
    <w:p w14:paraId="7E001854" w14:textId="77777777" w:rsidR="009A58DB" w:rsidRDefault="00000000">
      <w:pPr>
        <w:pStyle w:val="BodyText"/>
        <w:spacing w:before="67"/>
      </w:pPr>
      <w:r>
        <w:t>questionable</w:t>
      </w:r>
      <w:r>
        <w:rPr>
          <w:spacing w:val="-9"/>
        </w:rPr>
        <w:t xml:space="preserve"> </w:t>
      </w:r>
      <w:r>
        <w:t>whether</w:t>
      </w:r>
      <w:r>
        <w:rPr>
          <w:spacing w:val="-7"/>
        </w:rPr>
        <w:t xml:space="preserve"> </w:t>
      </w:r>
      <w:r>
        <w:t>psychophysical</w:t>
      </w:r>
      <w:r>
        <w:rPr>
          <w:spacing w:val="-6"/>
        </w:rPr>
        <w:t xml:space="preserve"> </w:t>
      </w:r>
      <w:r>
        <w:t>identifications</w:t>
      </w:r>
      <w:r>
        <w:rPr>
          <w:spacing w:val="-7"/>
        </w:rPr>
        <w:t xml:space="preserve"> </w:t>
      </w:r>
      <w:r>
        <w:t>are</w:t>
      </w:r>
      <w:r>
        <w:rPr>
          <w:spacing w:val="-6"/>
        </w:rPr>
        <w:t xml:space="preserve"> </w:t>
      </w:r>
      <w:r>
        <w:rPr>
          <w:spacing w:val="-2"/>
        </w:rPr>
        <w:t>correct.</w:t>
      </w:r>
    </w:p>
    <w:p w14:paraId="7E001855" w14:textId="77777777" w:rsidR="009A58DB" w:rsidRDefault="00000000">
      <w:pPr>
        <w:pStyle w:val="BodyText"/>
        <w:spacing w:before="15" w:line="249" w:lineRule="auto"/>
        <w:ind w:right="360" w:firstLine="360"/>
      </w:pPr>
      <w:r>
        <w:t>Also, the fact that you could coherently imagine seeing water molecules (even though, for many reasons, our ability to see such things is limited) seems to be bound up (in a way that isn’t easy to articulate) with the fact that identifications such as “water is H</w:t>
      </w:r>
      <w:r>
        <w:rPr>
          <w:vertAlign w:val="subscript"/>
        </w:rPr>
        <w:t>2</w:t>
      </w:r>
      <w:r>
        <w:t>O”</w:t>
      </w:r>
      <w:r>
        <w:rPr>
          <w:spacing w:val="20"/>
        </w:rPr>
        <w:t xml:space="preserve"> </w:t>
      </w:r>
      <w:r>
        <w:t>are</w:t>
      </w:r>
      <w:r>
        <w:rPr>
          <w:spacing w:val="20"/>
        </w:rPr>
        <w:t xml:space="preserve"> </w:t>
      </w:r>
      <w:r>
        <w:rPr>
          <w:i/>
        </w:rPr>
        <w:t xml:space="preserve">explanatory. </w:t>
      </w:r>
      <w:r>
        <w:t>The</w:t>
      </w:r>
      <w:r>
        <w:rPr>
          <w:spacing w:val="27"/>
        </w:rPr>
        <w:t xml:space="preserve"> </w:t>
      </w:r>
      <w:r>
        <w:t>identification</w:t>
      </w:r>
      <w:r>
        <w:rPr>
          <w:spacing w:val="28"/>
        </w:rPr>
        <w:t xml:space="preserve"> </w:t>
      </w:r>
      <w:r>
        <w:t>of</w:t>
      </w:r>
    </w:p>
    <w:p w14:paraId="7E001856" w14:textId="77777777" w:rsidR="009A58DB" w:rsidRDefault="00000000">
      <w:pPr>
        <w:pStyle w:val="BodyText"/>
        <w:spacing w:before="65" w:line="271" w:lineRule="auto"/>
        <w:ind w:right="359"/>
      </w:pPr>
      <w:r>
        <w:t>water with H</w:t>
      </w:r>
      <w:r>
        <w:rPr>
          <w:vertAlign w:val="subscript"/>
        </w:rPr>
        <w:t>2</w:t>
      </w:r>
      <w:r>
        <w:t>O renders explicable otherwise inexplicable facts about water (e.g., that the amount of space occupied by a frozen gram of water is larger than</w:t>
      </w:r>
      <w:r>
        <w:rPr>
          <w:spacing w:val="38"/>
        </w:rPr>
        <w:t xml:space="preserve"> </w:t>
      </w:r>
      <w:r>
        <w:t>that</w:t>
      </w:r>
      <w:r>
        <w:rPr>
          <w:spacing w:val="41"/>
        </w:rPr>
        <w:t xml:space="preserve"> </w:t>
      </w:r>
      <w:r>
        <w:t>occupied</w:t>
      </w:r>
      <w:r>
        <w:rPr>
          <w:spacing w:val="42"/>
        </w:rPr>
        <w:t xml:space="preserve"> </w:t>
      </w:r>
      <w:r>
        <w:t>by</w:t>
      </w:r>
      <w:r>
        <w:rPr>
          <w:spacing w:val="41"/>
        </w:rPr>
        <w:t xml:space="preserve"> </w:t>
      </w:r>
      <w:r>
        <w:t>a</w:t>
      </w:r>
      <w:r>
        <w:rPr>
          <w:spacing w:val="41"/>
        </w:rPr>
        <w:t xml:space="preserve"> </w:t>
      </w:r>
      <w:r>
        <w:t>liquid</w:t>
      </w:r>
      <w:r>
        <w:rPr>
          <w:spacing w:val="41"/>
        </w:rPr>
        <w:t xml:space="preserve"> </w:t>
      </w:r>
      <w:r>
        <w:t>gram</w:t>
      </w:r>
      <w:r>
        <w:rPr>
          <w:spacing w:val="41"/>
        </w:rPr>
        <w:t xml:space="preserve"> </w:t>
      </w:r>
      <w:r>
        <w:t>of</w:t>
      </w:r>
      <w:r>
        <w:rPr>
          <w:spacing w:val="41"/>
        </w:rPr>
        <w:t xml:space="preserve"> </w:t>
      </w:r>
      <w:r>
        <w:t>water).</w:t>
      </w:r>
      <w:r>
        <w:rPr>
          <w:spacing w:val="41"/>
        </w:rPr>
        <w:t xml:space="preserve"> </w:t>
      </w:r>
      <w:r>
        <w:t>But,</w:t>
      </w:r>
      <w:r>
        <w:rPr>
          <w:spacing w:val="41"/>
        </w:rPr>
        <w:t xml:space="preserve"> </w:t>
      </w:r>
      <w:r>
        <w:t>at</w:t>
      </w:r>
      <w:r>
        <w:rPr>
          <w:spacing w:val="41"/>
        </w:rPr>
        <w:t xml:space="preserve"> </w:t>
      </w:r>
      <w:r>
        <w:t>an</w:t>
      </w:r>
      <w:r>
        <w:rPr>
          <w:spacing w:val="42"/>
        </w:rPr>
        <w:t xml:space="preserve"> </w:t>
      </w:r>
      <w:r>
        <w:t>intuitive</w:t>
      </w:r>
      <w:r>
        <w:rPr>
          <w:spacing w:val="41"/>
        </w:rPr>
        <w:t xml:space="preserve"> </w:t>
      </w:r>
      <w:r>
        <w:t>level</w:t>
      </w:r>
      <w:r>
        <w:rPr>
          <w:spacing w:val="41"/>
        </w:rPr>
        <w:t xml:space="preserve"> </w:t>
      </w:r>
      <w:r>
        <w:rPr>
          <w:spacing w:val="-5"/>
        </w:rPr>
        <w:t>at</w:t>
      </w:r>
    </w:p>
    <w:p w14:paraId="7E001857" w14:textId="77777777" w:rsidR="009A58DB" w:rsidRDefault="00000000">
      <w:pPr>
        <w:pStyle w:val="BodyText"/>
        <w:spacing w:line="316" w:lineRule="exact"/>
      </w:pPr>
      <w:r>
        <w:t>least,</w:t>
      </w:r>
      <w:r>
        <w:rPr>
          <w:spacing w:val="4"/>
        </w:rPr>
        <w:t xml:space="preserve"> </w:t>
      </w:r>
      <w:r>
        <w:t>it</w:t>
      </w:r>
      <w:r>
        <w:rPr>
          <w:spacing w:val="5"/>
        </w:rPr>
        <w:t xml:space="preserve"> </w:t>
      </w:r>
      <w:r>
        <w:t>doesn’t</w:t>
      </w:r>
      <w:r>
        <w:rPr>
          <w:spacing w:val="5"/>
        </w:rPr>
        <w:t xml:space="preserve"> </w:t>
      </w:r>
      <w:r>
        <w:t>seem</w:t>
      </w:r>
      <w:r>
        <w:rPr>
          <w:spacing w:val="5"/>
        </w:rPr>
        <w:t xml:space="preserve"> </w:t>
      </w:r>
      <w:r>
        <w:t>that</w:t>
      </w:r>
      <w:r>
        <w:rPr>
          <w:spacing w:val="4"/>
        </w:rPr>
        <w:t xml:space="preserve"> </w:t>
      </w:r>
      <w:r>
        <w:t>a</w:t>
      </w:r>
      <w:r>
        <w:rPr>
          <w:spacing w:val="5"/>
        </w:rPr>
        <w:t xml:space="preserve"> </w:t>
      </w:r>
      <w:r>
        <w:t>comparable</w:t>
      </w:r>
      <w:r>
        <w:rPr>
          <w:spacing w:val="5"/>
        </w:rPr>
        <w:t xml:space="preserve"> </w:t>
      </w:r>
      <w:r>
        <w:t>gain</w:t>
      </w:r>
      <w:r>
        <w:rPr>
          <w:spacing w:val="5"/>
        </w:rPr>
        <w:t xml:space="preserve"> </w:t>
      </w:r>
      <w:r>
        <w:t>of</w:t>
      </w:r>
      <w:r>
        <w:rPr>
          <w:spacing w:val="5"/>
        </w:rPr>
        <w:t xml:space="preserve"> </w:t>
      </w:r>
      <w:r>
        <w:t>insight</w:t>
      </w:r>
      <w:r>
        <w:rPr>
          <w:spacing w:val="4"/>
        </w:rPr>
        <w:t xml:space="preserve"> </w:t>
      </w:r>
      <w:r>
        <w:t>into</w:t>
      </w:r>
      <w:r>
        <w:rPr>
          <w:spacing w:val="5"/>
        </w:rPr>
        <w:t xml:space="preserve"> </w:t>
      </w:r>
      <w:r>
        <w:t>the</w:t>
      </w:r>
      <w:r>
        <w:rPr>
          <w:spacing w:val="5"/>
        </w:rPr>
        <w:t xml:space="preserve"> </w:t>
      </w:r>
      <w:r>
        <w:t>nature</w:t>
      </w:r>
      <w:r>
        <w:rPr>
          <w:spacing w:val="5"/>
        </w:rPr>
        <w:t xml:space="preserve"> </w:t>
      </w:r>
      <w:r>
        <w:t>of</w:t>
      </w:r>
      <w:r>
        <w:rPr>
          <w:spacing w:val="5"/>
        </w:rPr>
        <w:t xml:space="preserve"> </w:t>
      </w:r>
      <w:r>
        <w:rPr>
          <w:spacing w:val="-4"/>
        </w:rPr>
        <w:t>pain</w:t>
      </w:r>
    </w:p>
    <w:p w14:paraId="7E001858" w14:textId="77777777" w:rsidR="009A58DB" w:rsidRDefault="00000000">
      <w:pPr>
        <w:pStyle w:val="BodyText"/>
        <w:spacing w:before="15" w:line="249" w:lineRule="auto"/>
        <w:ind w:right="363"/>
        <w:rPr>
          <w:i/>
        </w:rPr>
      </w:pPr>
      <w:r>
        <w:t>is gained as a result of the identification of pain with c-fiber stimulation. Imagine somebody who, because of some defect, didn’t feel pain. If that person were to learn everything there was to know about structure of the neural</w:t>
      </w:r>
      <w:r>
        <w:rPr>
          <w:spacing w:val="29"/>
        </w:rPr>
        <w:t xml:space="preserve"> </w:t>
      </w:r>
      <w:r>
        <w:t>events</w:t>
      </w:r>
      <w:r>
        <w:rPr>
          <w:spacing w:val="29"/>
        </w:rPr>
        <w:t xml:space="preserve"> </w:t>
      </w:r>
      <w:r>
        <w:t>underlying</w:t>
      </w:r>
      <w:r>
        <w:rPr>
          <w:spacing w:val="29"/>
        </w:rPr>
        <w:t xml:space="preserve"> </w:t>
      </w:r>
      <w:r>
        <w:t>pain,</w:t>
      </w:r>
      <w:r>
        <w:rPr>
          <w:spacing w:val="29"/>
        </w:rPr>
        <w:t xml:space="preserve"> </w:t>
      </w:r>
      <w:r>
        <w:t>he</w:t>
      </w:r>
      <w:r>
        <w:rPr>
          <w:spacing w:val="29"/>
        </w:rPr>
        <w:t xml:space="preserve"> </w:t>
      </w:r>
      <w:r>
        <w:t>would</w:t>
      </w:r>
      <w:r>
        <w:rPr>
          <w:spacing w:val="29"/>
        </w:rPr>
        <w:t xml:space="preserve"> </w:t>
      </w:r>
      <w:r>
        <w:t>still</w:t>
      </w:r>
      <w:r>
        <w:rPr>
          <w:spacing w:val="29"/>
        </w:rPr>
        <w:t xml:space="preserve"> </w:t>
      </w:r>
      <w:r>
        <w:t>be</w:t>
      </w:r>
      <w:r>
        <w:rPr>
          <w:spacing w:val="29"/>
        </w:rPr>
        <w:t xml:space="preserve"> </w:t>
      </w:r>
      <w:r>
        <w:t>ignorant</w:t>
      </w:r>
      <w:r>
        <w:rPr>
          <w:spacing w:val="29"/>
        </w:rPr>
        <w:t xml:space="preserve"> </w:t>
      </w:r>
      <w:r>
        <w:t>of</w:t>
      </w:r>
      <w:r>
        <w:rPr>
          <w:spacing w:val="29"/>
        </w:rPr>
        <w:t xml:space="preserve"> </w:t>
      </w:r>
      <w:r>
        <w:rPr>
          <w:i/>
        </w:rPr>
        <w:t>what</w:t>
      </w:r>
      <w:r>
        <w:rPr>
          <w:i/>
          <w:spacing w:val="27"/>
        </w:rPr>
        <w:t xml:space="preserve"> </w:t>
      </w:r>
      <w:r>
        <w:rPr>
          <w:i/>
        </w:rPr>
        <w:t>pain</w:t>
      </w:r>
      <w:r>
        <w:rPr>
          <w:i/>
          <w:spacing w:val="29"/>
        </w:rPr>
        <w:t xml:space="preserve"> </w:t>
      </w:r>
      <w:r>
        <w:rPr>
          <w:i/>
          <w:spacing w:val="-4"/>
        </w:rPr>
        <w:t>was.</w:t>
      </w:r>
    </w:p>
    <w:p w14:paraId="7E001859" w14:textId="77777777" w:rsidR="009A58DB" w:rsidRDefault="00000000">
      <w:pPr>
        <w:pStyle w:val="BodyText"/>
        <w:spacing w:before="5" w:line="249" w:lineRule="auto"/>
        <w:jc w:val="left"/>
      </w:pPr>
      <w:bookmarkStart w:id="314" w:name="_bookmark314"/>
      <w:bookmarkEnd w:id="314"/>
      <w:r>
        <w:rPr>
          <w:color w:val="0562C1"/>
          <w:position w:val="21"/>
          <w:u w:val="single" w:color="0562C1"/>
        </w:rPr>
        <w:t>[210]</w:t>
      </w:r>
      <w:r>
        <w:rPr>
          <w:color w:val="0562C1"/>
          <w:spacing w:val="29"/>
          <w:position w:val="21"/>
        </w:rPr>
        <w:t xml:space="preserve"> </w:t>
      </w:r>
      <w:r>
        <w:t>By</w:t>
      </w:r>
      <w:r>
        <w:rPr>
          <w:spacing w:val="30"/>
        </w:rPr>
        <w:t xml:space="preserve"> </w:t>
      </w:r>
      <w:r>
        <w:t>the</w:t>
      </w:r>
      <w:r>
        <w:rPr>
          <w:spacing w:val="30"/>
        </w:rPr>
        <w:t xml:space="preserve"> </w:t>
      </w:r>
      <w:r>
        <w:t>same</w:t>
      </w:r>
      <w:r>
        <w:rPr>
          <w:spacing w:val="30"/>
        </w:rPr>
        <w:t xml:space="preserve"> </w:t>
      </w:r>
      <w:r>
        <w:t>token,</w:t>
      </w:r>
      <w:r>
        <w:rPr>
          <w:spacing w:val="30"/>
        </w:rPr>
        <w:t xml:space="preserve"> </w:t>
      </w:r>
      <w:r>
        <w:t>somebody</w:t>
      </w:r>
      <w:r>
        <w:rPr>
          <w:spacing w:val="30"/>
        </w:rPr>
        <w:t xml:space="preserve"> </w:t>
      </w:r>
      <w:r>
        <w:t>who</w:t>
      </w:r>
      <w:r>
        <w:rPr>
          <w:spacing w:val="30"/>
        </w:rPr>
        <w:t xml:space="preserve"> </w:t>
      </w:r>
      <w:r>
        <w:t>has</w:t>
      </w:r>
      <w:r>
        <w:rPr>
          <w:spacing w:val="30"/>
        </w:rPr>
        <w:t xml:space="preserve"> </w:t>
      </w:r>
      <w:r>
        <w:t>no</w:t>
      </w:r>
      <w:r>
        <w:rPr>
          <w:spacing w:val="30"/>
        </w:rPr>
        <w:t xml:space="preserve"> </w:t>
      </w:r>
      <w:r>
        <w:t>idea</w:t>
      </w:r>
      <w:r>
        <w:rPr>
          <w:spacing w:val="30"/>
        </w:rPr>
        <w:t xml:space="preserve"> </w:t>
      </w:r>
      <w:r>
        <w:t>what</w:t>
      </w:r>
      <w:r>
        <w:rPr>
          <w:spacing w:val="29"/>
        </w:rPr>
        <w:t xml:space="preserve"> </w:t>
      </w:r>
      <w:r>
        <w:t>a</w:t>
      </w:r>
      <w:r>
        <w:rPr>
          <w:spacing w:val="30"/>
        </w:rPr>
        <w:t xml:space="preserve"> </w:t>
      </w:r>
      <w:r>
        <w:t>neuron</w:t>
      </w:r>
      <w:r>
        <w:rPr>
          <w:spacing w:val="30"/>
        </w:rPr>
        <w:t xml:space="preserve"> </w:t>
      </w:r>
      <w:r>
        <w:t>is</w:t>
      </w:r>
      <w:r>
        <w:rPr>
          <w:spacing w:val="30"/>
        </w:rPr>
        <w:t xml:space="preserve"> </w:t>
      </w:r>
      <w:r>
        <w:t>can know exactly what pain is.</w:t>
      </w:r>
    </w:p>
    <w:p w14:paraId="7E00185A" w14:textId="77777777" w:rsidR="009A58DB" w:rsidRDefault="00000000">
      <w:pPr>
        <w:pStyle w:val="BodyText"/>
        <w:spacing w:before="2" w:line="249" w:lineRule="auto"/>
        <w:ind w:right="358" w:firstLine="360"/>
      </w:pPr>
      <w:r>
        <w:t>This suggests that psychophysical identifications are, in a fundamental way, not comparable to garden-variety scientific identifications. Somebody who knows what water tastes like, looks like, etc., doesn’t necessarily know what</w:t>
      </w:r>
      <w:r>
        <w:rPr>
          <w:spacing w:val="66"/>
          <w:w w:val="150"/>
        </w:rPr>
        <w:t xml:space="preserve"> </w:t>
      </w:r>
      <w:r>
        <w:t>water</w:t>
      </w:r>
      <w:r>
        <w:rPr>
          <w:spacing w:val="66"/>
          <w:w w:val="150"/>
        </w:rPr>
        <w:t xml:space="preserve"> </w:t>
      </w:r>
      <w:r>
        <w:t>is.</w:t>
      </w:r>
      <w:r>
        <w:rPr>
          <w:spacing w:val="66"/>
          <w:w w:val="150"/>
        </w:rPr>
        <w:t xml:space="preserve"> </w:t>
      </w:r>
      <w:r>
        <w:t>But</w:t>
      </w:r>
      <w:r>
        <w:rPr>
          <w:spacing w:val="66"/>
          <w:w w:val="150"/>
        </w:rPr>
        <w:t xml:space="preserve"> </w:t>
      </w:r>
      <w:r>
        <w:t>somebody</w:t>
      </w:r>
      <w:r>
        <w:rPr>
          <w:spacing w:val="67"/>
          <w:w w:val="150"/>
        </w:rPr>
        <w:t xml:space="preserve"> </w:t>
      </w:r>
      <w:r>
        <w:t>who</w:t>
      </w:r>
      <w:r>
        <w:rPr>
          <w:spacing w:val="66"/>
          <w:w w:val="150"/>
        </w:rPr>
        <w:t xml:space="preserve"> </w:t>
      </w:r>
      <w:r>
        <w:t>knows</w:t>
      </w:r>
      <w:r>
        <w:rPr>
          <w:spacing w:val="66"/>
          <w:w w:val="150"/>
        </w:rPr>
        <w:t xml:space="preserve"> </w:t>
      </w:r>
      <w:r>
        <w:t>that</w:t>
      </w:r>
      <w:r>
        <w:rPr>
          <w:spacing w:val="66"/>
          <w:w w:val="150"/>
        </w:rPr>
        <w:t xml:space="preserve"> </w:t>
      </w:r>
      <w:r>
        <w:t>water</w:t>
      </w:r>
      <w:r>
        <w:rPr>
          <w:spacing w:val="67"/>
          <w:w w:val="150"/>
        </w:rPr>
        <w:t xml:space="preserve"> </w:t>
      </w:r>
      <w:r>
        <w:t>consists</w:t>
      </w:r>
      <w:r>
        <w:rPr>
          <w:spacing w:val="66"/>
          <w:w w:val="150"/>
        </w:rPr>
        <w:t xml:space="preserve"> </w:t>
      </w:r>
      <w:r>
        <w:t>of</w:t>
      </w:r>
      <w:r>
        <w:rPr>
          <w:spacing w:val="66"/>
          <w:w w:val="150"/>
        </w:rPr>
        <w:t xml:space="preserve"> </w:t>
      </w:r>
      <w:r>
        <w:rPr>
          <w:spacing w:val="-5"/>
        </w:rPr>
        <w:t>H</w:t>
      </w:r>
      <w:r>
        <w:rPr>
          <w:spacing w:val="-5"/>
          <w:vertAlign w:val="subscript"/>
        </w:rPr>
        <w:t>2</w:t>
      </w:r>
      <w:r>
        <w:rPr>
          <w:spacing w:val="-5"/>
        </w:rPr>
        <w:t>O</w:t>
      </w:r>
    </w:p>
    <w:p w14:paraId="7E00185B" w14:textId="77777777" w:rsidR="009A58DB" w:rsidRDefault="00000000">
      <w:pPr>
        <w:pStyle w:val="BodyText"/>
        <w:spacing w:before="65" w:line="249" w:lineRule="auto"/>
        <w:ind w:right="364"/>
      </w:pPr>
      <w:r>
        <w:t>molecules really does know what water is—it doesn’t really matter what</w:t>
      </w:r>
      <w:r>
        <w:rPr>
          <w:spacing w:val="40"/>
        </w:rPr>
        <w:t xml:space="preserve"> </w:t>
      </w:r>
      <w:r>
        <w:t>other</w:t>
      </w:r>
      <w:r>
        <w:rPr>
          <w:spacing w:val="-3"/>
        </w:rPr>
        <w:t xml:space="preserve"> </w:t>
      </w:r>
      <w:r>
        <w:t>knowledge</w:t>
      </w:r>
      <w:r>
        <w:rPr>
          <w:spacing w:val="-2"/>
        </w:rPr>
        <w:t xml:space="preserve"> </w:t>
      </w:r>
      <w:r>
        <w:t>he</w:t>
      </w:r>
      <w:r>
        <w:rPr>
          <w:spacing w:val="-3"/>
        </w:rPr>
        <w:t xml:space="preserve"> </w:t>
      </w:r>
      <w:r>
        <w:t>has</w:t>
      </w:r>
      <w:r>
        <w:rPr>
          <w:spacing w:val="-2"/>
        </w:rPr>
        <w:t xml:space="preserve"> </w:t>
      </w:r>
      <w:r>
        <w:t>or</w:t>
      </w:r>
      <w:r>
        <w:rPr>
          <w:spacing w:val="-3"/>
        </w:rPr>
        <w:t xml:space="preserve"> </w:t>
      </w:r>
      <w:r>
        <w:t>lacks.</w:t>
      </w:r>
      <w:r>
        <w:rPr>
          <w:spacing w:val="-2"/>
        </w:rPr>
        <w:t xml:space="preserve"> </w:t>
      </w:r>
      <w:r>
        <w:t>It</w:t>
      </w:r>
      <w:r>
        <w:rPr>
          <w:spacing w:val="-2"/>
        </w:rPr>
        <w:t xml:space="preserve"> </w:t>
      </w:r>
      <w:r>
        <w:t>thus</w:t>
      </w:r>
      <w:r>
        <w:rPr>
          <w:spacing w:val="-3"/>
        </w:rPr>
        <w:t xml:space="preserve"> </w:t>
      </w:r>
      <w:r>
        <w:t>becomes</w:t>
      </w:r>
      <w:r>
        <w:rPr>
          <w:spacing w:val="-2"/>
        </w:rPr>
        <w:t xml:space="preserve"> </w:t>
      </w:r>
      <w:r>
        <w:t>very</w:t>
      </w:r>
      <w:r>
        <w:rPr>
          <w:spacing w:val="-3"/>
        </w:rPr>
        <w:t xml:space="preserve"> </w:t>
      </w:r>
      <w:r>
        <w:t>hard</w:t>
      </w:r>
      <w:r>
        <w:rPr>
          <w:spacing w:val="-2"/>
        </w:rPr>
        <w:t xml:space="preserve"> </w:t>
      </w:r>
      <w:r>
        <w:t>to</w:t>
      </w:r>
      <w:r>
        <w:rPr>
          <w:spacing w:val="-3"/>
        </w:rPr>
        <w:t xml:space="preserve"> </w:t>
      </w:r>
      <w:r>
        <w:t>sustain</w:t>
      </w:r>
      <w:r>
        <w:rPr>
          <w:spacing w:val="-2"/>
        </w:rPr>
        <w:t xml:space="preserve"> </w:t>
      </w:r>
      <w:r>
        <w:t>the</w:t>
      </w:r>
      <w:r>
        <w:rPr>
          <w:spacing w:val="-2"/>
        </w:rPr>
        <w:t xml:space="preserve"> </w:t>
      </w:r>
      <w:r>
        <w:t>idea that (A) “pain is c-fibre stimulation” is in the same category as (B) “water is H</w:t>
      </w:r>
      <w:r>
        <w:rPr>
          <w:vertAlign w:val="subscript"/>
        </w:rPr>
        <w:t>2</w:t>
      </w:r>
      <w:r>
        <w:t>O.”</w:t>
      </w:r>
      <w:r>
        <w:rPr>
          <w:spacing w:val="40"/>
        </w:rPr>
        <w:t xml:space="preserve"> </w:t>
      </w:r>
      <w:r>
        <w:t>There</w:t>
      </w:r>
      <w:r>
        <w:rPr>
          <w:spacing w:val="41"/>
        </w:rPr>
        <w:t xml:space="preserve"> </w:t>
      </w:r>
      <w:r>
        <w:t>is</w:t>
      </w:r>
      <w:r>
        <w:rPr>
          <w:spacing w:val="40"/>
        </w:rPr>
        <w:t xml:space="preserve"> </w:t>
      </w:r>
      <w:r>
        <w:t>a</w:t>
      </w:r>
      <w:r>
        <w:rPr>
          <w:spacing w:val="41"/>
        </w:rPr>
        <w:t xml:space="preserve"> </w:t>
      </w:r>
      <w:r>
        <w:t>clear</w:t>
      </w:r>
      <w:r>
        <w:rPr>
          <w:spacing w:val="40"/>
        </w:rPr>
        <w:t xml:space="preserve"> </w:t>
      </w:r>
      <w:r>
        <w:t>sense</w:t>
      </w:r>
      <w:r>
        <w:rPr>
          <w:spacing w:val="41"/>
        </w:rPr>
        <w:t xml:space="preserve"> </w:t>
      </w:r>
      <w:r>
        <w:t>in</w:t>
      </w:r>
      <w:r>
        <w:rPr>
          <w:spacing w:val="40"/>
        </w:rPr>
        <w:t xml:space="preserve"> </w:t>
      </w:r>
      <w:r>
        <w:t>which</w:t>
      </w:r>
      <w:r>
        <w:rPr>
          <w:spacing w:val="41"/>
        </w:rPr>
        <w:t xml:space="preserve"> </w:t>
      </w:r>
      <w:r>
        <w:t>somebody</w:t>
      </w:r>
      <w:r>
        <w:rPr>
          <w:spacing w:val="40"/>
        </w:rPr>
        <w:t xml:space="preserve"> </w:t>
      </w:r>
      <w:r>
        <w:t>who</w:t>
      </w:r>
      <w:r>
        <w:rPr>
          <w:spacing w:val="41"/>
        </w:rPr>
        <w:t xml:space="preserve"> </w:t>
      </w:r>
      <w:r>
        <w:t>knows</w:t>
      </w:r>
      <w:r>
        <w:rPr>
          <w:spacing w:val="40"/>
        </w:rPr>
        <w:t xml:space="preserve"> </w:t>
      </w:r>
      <w:r>
        <w:t>(A)</w:t>
      </w:r>
      <w:r>
        <w:rPr>
          <w:spacing w:val="41"/>
        </w:rPr>
        <w:t xml:space="preserve"> </w:t>
      </w:r>
      <w:r>
        <w:t>may</w:t>
      </w:r>
      <w:r>
        <w:rPr>
          <w:spacing w:val="40"/>
        </w:rPr>
        <w:t xml:space="preserve"> </w:t>
      </w:r>
      <w:r>
        <w:rPr>
          <w:spacing w:val="-5"/>
        </w:rPr>
        <w:t>not</w:t>
      </w:r>
    </w:p>
    <w:p w14:paraId="7E00185C" w14:textId="77777777" w:rsidR="009A58DB" w:rsidRDefault="00000000">
      <w:pPr>
        <w:pStyle w:val="BodyText"/>
        <w:spacing w:before="65" w:line="249" w:lineRule="auto"/>
        <w:ind w:right="360"/>
      </w:pPr>
      <w:r>
        <w:t xml:space="preserve">know what pain is but in which somebody who knows (B) cannot possibly </w:t>
      </w:r>
      <w:r>
        <w:rPr>
          <w:i/>
        </w:rPr>
        <w:t xml:space="preserve">fail </w:t>
      </w:r>
      <w:r>
        <w:t xml:space="preserve">to know what water is. In connection with this, there is reason to think that there is an </w:t>
      </w:r>
      <w:r>
        <w:rPr>
          <w:i/>
        </w:rPr>
        <w:t xml:space="preserve">explanatory gap </w:t>
      </w:r>
      <w:r>
        <w:t>between the mental and the physical—to believe,</w:t>
      </w:r>
      <w:r>
        <w:rPr>
          <w:spacing w:val="-1"/>
        </w:rPr>
        <w:t xml:space="preserve"> </w:t>
      </w:r>
      <w:r>
        <w:t>in</w:t>
      </w:r>
      <w:r>
        <w:rPr>
          <w:spacing w:val="-1"/>
        </w:rPr>
        <w:t xml:space="preserve"> </w:t>
      </w:r>
      <w:r>
        <w:t>other</w:t>
      </w:r>
      <w:r>
        <w:rPr>
          <w:spacing w:val="-1"/>
        </w:rPr>
        <w:t xml:space="preserve"> </w:t>
      </w:r>
      <w:r>
        <w:t>words,</w:t>
      </w:r>
      <w:r>
        <w:rPr>
          <w:spacing w:val="-1"/>
        </w:rPr>
        <w:t xml:space="preserve"> </w:t>
      </w:r>
      <w:r>
        <w:t>that</w:t>
      </w:r>
      <w:r>
        <w:rPr>
          <w:spacing w:val="-2"/>
        </w:rPr>
        <w:t xml:space="preserve"> </w:t>
      </w:r>
      <w:r>
        <w:t>there</w:t>
      </w:r>
      <w:r>
        <w:rPr>
          <w:spacing w:val="-1"/>
        </w:rPr>
        <w:t xml:space="preserve"> </w:t>
      </w:r>
      <w:r>
        <w:t>is</w:t>
      </w:r>
      <w:r>
        <w:rPr>
          <w:spacing w:val="-1"/>
        </w:rPr>
        <w:t xml:space="preserve"> </w:t>
      </w:r>
      <w:r>
        <w:t>no</w:t>
      </w:r>
      <w:r>
        <w:rPr>
          <w:spacing w:val="-1"/>
        </w:rPr>
        <w:t xml:space="preserve"> </w:t>
      </w:r>
      <w:r>
        <w:t>way</w:t>
      </w:r>
      <w:r>
        <w:rPr>
          <w:spacing w:val="-1"/>
        </w:rPr>
        <w:t xml:space="preserve"> </w:t>
      </w:r>
      <w:r>
        <w:t>to</w:t>
      </w:r>
      <w:r>
        <w:rPr>
          <w:spacing w:val="-1"/>
        </w:rPr>
        <w:t xml:space="preserve"> </w:t>
      </w:r>
      <w:r>
        <w:t>understand</w:t>
      </w:r>
      <w:r>
        <w:rPr>
          <w:spacing w:val="-1"/>
        </w:rPr>
        <w:t xml:space="preserve"> </w:t>
      </w:r>
      <w:r>
        <w:t>the</w:t>
      </w:r>
      <w:r>
        <w:rPr>
          <w:spacing w:val="-1"/>
        </w:rPr>
        <w:t xml:space="preserve"> </w:t>
      </w:r>
      <w:r>
        <w:t>mental</w:t>
      </w:r>
      <w:r>
        <w:rPr>
          <w:spacing w:val="-2"/>
        </w:rPr>
        <w:t xml:space="preserve"> </w:t>
      </w:r>
      <w:r>
        <w:t>in</w:t>
      </w:r>
      <w:r>
        <w:rPr>
          <w:spacing w:val="-1"/>
        </w:rPr>
        <w:t xml:space="preserve"> </w:t>
      </w:r>
      <w:r>
        <w:t>terms of</w:t>
      </w:r>
      <w:r>
        <w:rPr>
          <w:spacing w:val="15"/>
        </w:rPr>
        <w:t xml:space="preserve"> </w:t>
      </w:r>
      <w:r>
        <w:t>the</w:t>
      </w:r>
      <w:r>
        <w:rPr>
          <w:spacing w:val="15"/>
        </w:rPr>
        <w:t xml:space="preserve"> </w:t>
      </w:r>
      <w:r>
        <w:t>physical.</w:t>
      </w:r>
      <w:r>
        <w:rPr>
          <w:spacing w:val="15"/>
        </w:rPr>
        <w:t xml:space="preserve"> </w:t>
      </w:r>
      <w:r>
        <w:t>And</w:t>
      </w:r>
      <w:r>
        <w:rPr>
          <w:spacing w:val="15"/>
        </w:rPr>
        <w:t xml:space="preserve"> </w:t>
      </w:r>
      <w:r>
        <w:t>if</w:t>
      </w:r>
      <w:r>
        <w:rPr>
          <w:spacing w:val="15"/>
        </w:rPr>
        <w:t xml:space="preserve"> </w:t>
      </w:r>
      <w:r>
        <w:t>this</w:t>
      </w:r>
      <w:r>
        <w:rPr>
          <w:spacing w:val="15"/>
        </w:rPr>
        <w:t xml:space="preserve"> </w:t>
      </w:r>
      <w:r>
        <w:t>is</w:t>
      </w:r>
      <w:r>
        <w:rPr>
          <w:spacing w:val="15"/>
        </w:rPr>
        <w:t xml:space="preserve"> </w:t>
      </w:r>
      <w:r>
        <w:t>the</w:t>
      </w:r>
      <w:r>
        <w:rPr>
          <w:spacing w:val="15"/>
        </w:rPr>
        <w:t xml:space="preserve"> </w:t>
      </w:r>
      <w:r>
        <w:t>case,</w:t>
      </w:r>
      <w:r>
        <w:rPr>
          <w:spacing w:val="15"/>
        </w:rPr>
        <w:t xml:space="preserve"> </w:t>
      </w:r>
      <w:r>
        <w:t>then</w:t>
      </w:r>
      <w:r>
        <w:rPr>
          <w:spacing w:val="15"/>
        </w:rPr>
        <w:t xml:space="preserve"> </w:t>
      </w:r>
      <w:r>
        <w:t>it</w:t>
      </w:r>
      <w:r>
        <w:rPr>
          <w:spacing w:val="15"/>
        </w:rPr>
        <w:t xml:space="preserve"> </w:t>
      </w:r>
      <w:r>
        <w:t>would</w:t>
      </w:r>
      <w:r>
        <w:rPr>
          <w:spacing w:val="15"/>
        </w:rPr>
        <w:t xml:space="preserve"> </w:t>
      </w:r>
      <w:r>
        <w:t>seem</w:t>
      </w:r>
      <w:r>
        <w:rPr>
          <w:spacing w:val="15"/>
        </w:rPr>
        <w:t xml:space="preserve"> </w:t>
      </w:r>
      <w:r>
        <w:t>to</w:t>
      </w:r>
      <w:r>
        <w:rPr>
          <w:spacing w:val="15"/>
        </w:rPr>
        <w:t xml:space="preserve"> </w:t>
      </w:r>
      <w:r>
        <w:t>follow</w:t>
      </w:r>
      <w:r>
        <w:rPr>
          <w:spacing w:val="15"/>
        </w:rPr>
        <w:t xml:space="preserve"> </w:t>
      </w:r>
      <w:r>
        <w:t>that</w:t>
      </w:r>
      <w:r>
        <w:rPr>
          <w:spacing w:val="15"/>
        </w:rPr>
        <w:t xml:space="preserve"> </w:t>
      </w:r>
      <w:r>
        <w:t>the</w:t>
      </w:r>
    </w:p>
    <w:p w14:paraId="7E00185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5E" w14:textId="77777777" w:rsidR="009A58DB" w:rsidRDefault="00000000">
      <w:pPr>
        <w:pStyle w:val="BodyText"/>
        <w:spacing w:before="65"/>
      </w:pPr>
      <w:r>
        <w:lastRenderedPageBreak/>
        <w:t>mental</w:t>
      </w:r>
      <w:r>
        <w:rPr>
          <w:spacing w:val="-3"/>
        </w:rPr>
        <w:t xml:space="preserve"> </w:t>
      </w:r>
      <w:r>
        <w:t>is</w:t>
      </w:r>
      <w:r>
        <w:rPr>
          <w:spacing w:val="-2"/>
        </w:rPr>
        <w:t xml:space="preserve"> </w:t>
      </w:r>
      <w:r>
        <w:rPr>
          <w:i/>
        </w:rPr>
        <w:t>not</w:t>
      </w:r>
      <w:r>
        <w:rPr>
          <w:i/>
          <w:spacing w:val="-3"/>
        </w:rPr>
        <w:t xml:space="preserve"> </w:t>
      </w:r>
      <w:r>
        <w:t>the</w:t>
      </w:r>
      <w:r>
        <w:rPr>
          <w:spacing w:val="-2"/>
        </w:rPr>
        <w:t xml:space="preserve"> physical.</w:t>
      </w:r>
    </w:p>
    <w:p w14:paraId="7E00185F" w14:textId="77777777" w:rsidR="009A58DB" w:rsidRDefault="00000000">
      <w:pPr>
        <w:pStyle w:val="Heading2"/>
        <w:spacing w:before="113"/>
        <w:jc w:val="left"/>
      </w:pPr>
      <w:r>
        <w:t>This</w:t>
      </w:r>
      <w:r>
        <w:rPr>
          <w:spacing w:val="-5"/>
        </w:rPr>
        <w:t xml:space="preserve"> </w:t>
      </w:r>
      <w:r>
        <w:t>argument</w:t>
      </w:r>
      <w:r>
        <w:rPr>
          <w:spacing w:val="-5"/>
        </w:rPr>
        <w:t xml:space="preserve"> </w:t>
      </w:r>
      <w:r>
        <w:rPr>
          <w:spacing w:val="-2"/>
        </w:rPr>
        <w:t>evaluated</w:t>
      </w:r>
    </w:p>
    <w:p w14:paraId="7E001860" w14:textId="77777777" w:rsidR="009A58DB" w:rsidRDefault="00000000">
      <w:pPr>
        <w:pStyle w:val="BodyText"/>
        <w:spacing w:before="79" w:line="249" w:lineRule="auto"/>
        <w:ind w:right="362"/>
      </w:pPr>
      <w:r>
        <w:t xml:space="preserve">Even if the mental cannot be understood in terms of the physical, it doesn’t follow that the mental isn’t </w:t>
      </w:r>
      <w:r>
        <w:rPr>
          <w:i/>
        </w:rPr>
        <w:t xml:space="preserve">identical </w:t>
      </w:r>
      <w:r>
        <w:t>with the physical. Even if the fact that Jerry is sad cannot be understood in terms of the fact that Jerry’s brain is in such</w:t>
      </w:r>
      <w:r>
        <w:rPr>
          <w:spacing w:val="-3"/>
        </w:rPr>
        <w:t xml:space="preserve"> </w:t>
      </w:r>
      <w:r>
        <w:t>and</w:t>
      </w:r>
      <w:r>
        <w:rPr>
          <w:spacing w:val="-3"/>
        </w:rPr>
        <w:t xml:space="preserve"> </w:t>
      </w:r>
      <w:r>
        <w:t>such</w:t>
      </w:r>
      <w:r>
        <w:rPr>
          <w:spacing w:val="-3"/>
        </w:rPr>
        <w:t xml:space="preserve"> </w:t>
      </w:r>
      <w:r>
        <w:t>a</w:t>
      </w:r>
      <w:r>
        <w:rPr>
          <w:spacing w:val="-4"/>
        </w:rPr>
        <w:t xml:space="preserve"> </w:t>
      </w:r>
      <w:r>
        <w:t>condition,</w:t>
      </w:r>
      <w:r>
        <w:rPr>
          <w:spacing w:val="-3"/>
        </w:rPr>
        <w:t xml:space="preserve"> </w:t>
      </w:r>
      <w:r>
        <w:t>it</w:t>
      </w:r>
      <w:r>
        <w:rPr>
          <w:spacing w:val="-4"/>
        </w:rPr>
        <w:t xml:space="preserve"> </w:t>
      </w:r>
      <w:r>
        <w:t>doesn’t</w:t>
      </w:r>
      <w:r>
        <w:rPr>
          <w:spacing w:val="-4"/>
        </w:rPr>
        <w:t xml:space="preserve"> </w:t>
      </w:r>
      <w:r>
        <w:t>follow</w:t>
      </w:r>
      <w:r>
        <w:rPr>
          <w:spacing w:val="-4"/>
        </w:rPr>
        <w:t xml:space="preserve"> </w:t>
      </w:r>
      <w:r>
        <w:t>that</w:t>
      </w:r>
      <w:r>
        <w:rPr>
          <w:spacing w:val="-4"/>
        </w:rPr>
        <w:t xml:space="preserve"> </w:t>
      </w:r>
      <w:r>
        <w:t>Jerry’s</w:t>
      </w:r>
      <w:r>
        <w:rPr>
          <w:spacing w:val="-4"/>
        </w:rPr>
        <w:t xml:space="preserve"> </w:t>
      </w:r>
      <w:r>
        <w:t>sadness</w:t>
      </w:r>
      <w:r>
        <w:rPr>
          <w:spacing w:val="-4"/>
        </w:rPr>
        <w:t xml:space="preserve"> </w:t>
      </w:r>
      <w:r>
        <w:t>isn’t</w:t>
      </w:r>
      <w:r>
        <w:rPr>
          <w:spacing w:val="-4"/>
        </w:rPr>
        <w:t xml:space="preserve"> </w:t>
      </w:r>
      <w:r>
        <w:t>identical with his brain’s being in that condition.</w:t>
      </w:r>
    </w:p>
    <w:p w14:paraId="7E001861" w14:textId="77777777" w:rsidR="009A58DB" w:rsidRDefault="00000000">
      <w:pPr>
        <w:pStyle w:val="BodyText"/>
        <w:spacing w:before="6" w:line="249" w:lineRule="auto"/>
        <w:ind w:right="358" w:firstLine="360"/>
        <w:rPr>
          <w:position w:val="21"/>
        </w:rPr>
      </w:pPr>
      <w:r>
        <w:t>We know that biological phenomena (e.g., digestion, respiration) are identical</w:t>
      </w:r>
      <w:r>
        <w:rPr>
          <w:spacing w:val="-3"/>
        </w:rPr>
        <w:t xml:space="preserve"> </w:t>
      </w:r>
      <w:r>
        <w:t>with</w:t>
      </w:r>
      <w:r>
        <w:rPr>
          <w:spacing w:val="-3"/>
        </w:rPr>
        <w:t xml:space="preserve"> </w:t>
      </w:r>
      <w:r>
        <w:t>interactions</w:t>
      </w:r>
      <w:r>
        <w:rPr>
          <w:spacing w:val="-3"/>
        </w:rPr>
        <w:t xml:space="preserve"> </w:t>
      </w:r>
      <w:r>
        <w:t>of</w:t>
      </w:r>
      <w:r>
        <w:rPr>
          <w:spacing w:val="-3"/>
        </w:rPr>
        <w:t xml:space="preserve"> </w:t>
      </w:r>
      <w:r>
        <w:t>atomic</w:t>
      </w:r>
      <w:r>
        <w:rPr>
          <w:spacing w:val="-3"/>
        </w:rPr>
        <w:t xml:space="preserve"> </w:t>
      </w:r>
      <w:r>
        <w:t>and</w:t>
      </w:r>
      <w:r>
        <w:rPr>
          <w:spacing w:val="-3"/>
        </w:rPr>
        <w:t xml:space="preserve"> </w:t>
      </w:r>
      <w:r>
        <w:t>sub-atomic</w:t>
      </w:r>
      <w:r>
        <w:rPr>
          <w:spacing w:val="-3"/>
        </w:rPr>
        <w:t xml:space="preserve"> </w:t>
      </w:r>
      <w:r>
        <w:t>parts.</w:t>
      </w:r>
      <w:r>
        <w:rPr>
          <w:spacing w:val="-3"/>
        </w:rPr>
        <w:t xml:space="preserve"> </w:t>
      </w:r>
      <w:r>
        <w:t>But</w:t>
      </w:r>
      <w:r>
        <w:rPr>
          <w:spacing w:val="-3"/>
        </w:rPr>
        <w:t xml:space="preserve"> </w:t>
      </w:r>
      <w:r>
        <w:t>there</w:t>
      </w:r>
      <w:r>
        <w:rPr>
          <w:spacing w:val="-3"/>
        </w:rPr>
        <w:t xml:space="preserve"> </w:t>
      </w:r>
      <w:r>
        <w:t>would</w:t>
      </w:r>
      <w:r>
        <w:rPr>
          <w:spacing w:val="-3"/>
        </w:rPr>
        <w:t xml:space="preserve"> </w:t>
      </w:r>
      <w:r>
        <w:t>be no way to translate a biological statement (e.g. “Smith is now breathing”)</w:t>
      </w:r>
      <w:r>
        <w:rPr>
          <w:spacing w:val="40"/>
        </w:rPr>
        <w:t xml:space="preserve"> </w:t>
      </w:r>
      <w:r>
        <w:t>into</w:t>
      </w:r>
      <w:r>
        <w:rPr>
          <w:spacing w:val="-3"/>
        </w:rPr>
        <w:t xml:space="preserve"> </w:t>
      </w:r>
      <w:r>
        <w:t>a</w:t>
      </w:r>
      <w:r>
        <w:rPr>
          <w:spacing w:val="-3"/>
        </w:rPr>
        <w:t xml:space="preserve"> </w:t>
      </w:r>
      <w:r>
        <w:t>statement</w:t>
      </w:r>
      <w:r>
        <w:rPr>
          <w:spacing w:val="-3"/>
        </w:rPr>
        <w:t xml:space="preserve"> </w:t>
      </w:r>
      <w:r>
        <w:t>about</w:t>
      </w:r>
      <w:r>
        <w:rPr>
          <w:spacing w:val="-3"/>
        </w:rPr>
        <w:t xml:space="preserve"> </w:t>
      </w:r>
      <w:r>
        <w:t>atoms</w:t>
      </w:r>
      <w:r>
        <w:rPr>
          <w:spacing w:val="-3"/>
        </w:rPr>
        <w:t xml:space="preserve"> </w:t>
      </w:r>
      <w:r>
        <w:t>bouncing</w:t>
      </w:r>
      <w:r>
        <w:rPr>
          <w:spacing w:val="-3"/>
        </w:rPr>
        <w:t xml:space="preserve"> </w:t>
      </w:r>
      <w:r>
        <w:t>off</w:t>
      </w:r>
      <w:r>
        <w:rPr>
          <w:spacing w:val="-3"/>
        </w:rPr>
        <w:t xml:space="preserve"> </w:t>
      </w:r>
      <w:r>
        <w:t>of</w:t>
      </w:r>
      <w:r>
        <w:rPr>
          <w:spacing w:val="-3"/>
        </w:rPr>
        <w:t xml:space="preserve"> </w:t>
      </w:r>
      <w:r>
        <w:t>one</w:t>
      </w:r>
      <w:r>
        <w:rPr>
          <w:spacing w:val="-3"/>
        </w:rPr>
        <w:t xml:space="preserve"> </w:t>
      </w:r>
      <w:r>
        <w:t>another.</w:t>
      </w:r>
      <w:r>
        <w:rPr>
          <w:spacing w:val="-3"/>
        </w:rPr>
        <w:t xml:space="preserve"> </w:t>
      </w:r>
      <w:r>
        <w:t>Because</w:t>
      </w:r>
      <w:r>
        <w:rPr>
          <w:spacing w:val="-3"/>
        </w:rPr>
        <w:t xml:space="preserve"> </w:t>
      </w:r>
      <w:r>
        <w:t xml:space="preserve">statements belonging to biology involve concepts (e.g., respiration) that aren’t found in physics, it is to be expected that the former are not going to be capable of being translated into, or otherwise understood in terms of, the latter. Biology talk isn’t physics talk, even though all biological </w:t>
      </w:r>
      <w:r>
        <w:rPr>
          <w:i/>
        </w:rPr>
        <w:t xml:space="preserve">events </w:t>
      </w:r>
      <w:r>
        <w:t xml:space="preserve">are physical events. Similarly, psychology talk isn’t physics talk (or chemistry talk or biology talk), even though psychological </w:t>
      </w:r>
      <w:r>
        <w:rPr>
          <w:i/>
        </w:rPr>
        <w:t xml:space="preserve">events </w:t>
      </w:r>
      <w:r>
        <w:t>are physical events. Because psychology uses concepts not found in any physical science (e.g., chemistry or physics), it is to be expected that statements belonging to the former are not going to be capable of being translated into, or otherwise understood in terms of, statements belonging to the former to the latter</w:t>
      </w:r>
      <w:bookmarkStart w:id="315" w:name="_bookmark315"/>
      <w:bookmarkEnd w:id="315"/>
      <w:r>
        <w:t>.</w:t>
      </w:r>
      <w:r>
        <w:rPr>
          <w:color w:val="0562C1"/>
          <w:position w:val="21"/>
          <w:u w:val="single" w:color="0562C1"/>
        </w:rPr>
        <w:t>[211]</w:t>
      </w:r>
    </w:p>
    <w:p w14:paraId="7E001862" w14:textId="77777777" w:rsidR="009A58DB" w:rsidRDefault="00000000">
      <w:pPr>
        <w:pStyle w:val="Heading2"/>
        <w:spacing w:before="205"/>
        <w:jc w:val="left"/>
      </w:pPr>
      <w:r>
        <w:rPr>
          <w:spacing w:val="-2"/>
        </w:rPr>
        <w:t>Counter-response</w:t>
      </w:r>
    </w:p>
    <w:p w14:paraId="7E001863" w14:textId="77777777" w:rsidR="009A58DB" w:rsidRDefault="00000000">
      <w:pPr>
        <w:pStyle w:val="BodyText"/>
        <w:spacing w:before="139" w:line="249" w:lineRule="auto"/>
        <w:ind w:right="361"/>
        <w:rPr>
          <w:position w:val="21"/>
        </w:rPr>
      </w:pPr>
      <w:r>
        <w:t>Although this argument obviously has merit, and is widely accepted, I am not convinced by it. (But it is an argument that must be thoroughly understood.) There seems to me to be a significant difference between the relationship that holds between statements belonging to physics and statements belonging to biology, on the one hand, and the relationship holding between statements belonging to psychology and statements belonging to physics (or chemistry</w:t>
      </w:r>
      <w:r>
        <w:rPr>
          <w:spacing w:val="40"/>
        </w:rPr>
        <w:t xml:space="preserve"> </w:t>
      </w:r>
      <w:r>
        <w:t>or</w:t>
      </w:r>
      <w:r>
        <w:rPr>
          <w:spacing w:val="-1"/>
        </w:rPr>
        <w:t xml:space="preserve"> </w:t>
      </w:r>
      <w:r>
        <w:t>biology . . .) on the other. This viewpoint is defended in Sections 9.1–9.2.1 of the present chapter.</w:t>
      </w:r>
      <w:bookmarkStart w:id="316" w:name="_bookmark316"/>
      <w:bookmarkEnd w:id="316"/>
      <w:r>
        <w:rPr>
          <w:color w:val="0562C1"/>
          <w:position w:val="21"/>
          <w:u w:val="single" w:color="0562C1"/>
        </w:rPr>
        <w:t>[212]</w:t>
      </w:r>
    </w:p>
    <w:p w14:paraId="7E001864" w14:textId="77777777" w:rsidR="009A58DB" w:rsidRDefault="00000000">
      <w:pPr>
        <w:pStyle w:val="Heading2"/>
        <w:spacing w:before="198"/>
        <w:jc w:val="left"/>
      </w:pPr>
      <w:r>
        <w:t>A</w:t>
      </w:r>
      <w:r>
        <w:rPr>
          <w:spacing w:val="-9"/>
        </w:rPr>
        <w:t xml:space="preserve"> </w:t>
      </w:r>
      <w:r>
        <w:t>counter-response</w:t>
      </w:r>
      <w:r>
        <w:rPr>
          <w:spacing w:val="-6"/>
        </w:rPr>
        <w:t xml:space="preserve"> </w:t>
      </w:r>
      <w:r>
        <w:t>to</w:t>
      </w:r>
      <w:r>
        <w:rPr>
          <w:spacing w:val="-6"/>
        </w:rPr>
        <w:t xml:space="preserve"> </w:t>
      </w:r>
      <w:r>
        <w:t>the</w:t>
      </w:r>
      <w:r>
        <w:rPr>
          <w:spacing w:val="-6"/>
        </w:rPr>
        <w:t xml:space="preserve"> </w:t>
      </w:r>
      <w:r>
        <w:t>counter-</w:t>
      </w:r>
      <w:r>
        <w:rPr>
          <w:spacing w:val="-2"/>
        </w:rPr>
        <w:t>response</w:t>
      </w:r>
    </w:p>
    <w:p w14:paraId="7E001865" w14:textId="77777777" w:rsidR="009A58DB" w:rsidRDefault="009A58DB">
      <w:pPr>
        <w:pStyle w:val="Heading2"/>
        <w:jc w:val="left"/>
        <w:sectPr w:rsidR="009A58DB">
          <w:pgSz w:w="12240" w:h="15840"/>
          <w:pgMar w:top="1380" w:right="1080" w:bottom="280" w:left="1080" w:header="720" w:footer="720" w:gutter="0"/>
          <w:cols w:space="720"/>
        </w:sectPr>
      </w:pPr>
    </w:p>
    <w:p w14:paraId="7E001866" w14:textId="77777777" w:rsidR="009A58DB" w:rsidRDefault="00000000">
      <w:pPr>
        <w:pStyle w:val="BodyText"/>
        <w:spacing w:before="65" w:line="249" w:lineRule="auto"/>
        <w:ind w:right="359"/>
      </w:pPr>
      <w:r>
        <w:lastRenderedPageBreak/>
        <w:t xml:space="preserve">The mental </w:t>
      </w:r>
      <w:r>
        <w:rPr>
          <w:i/>
        </w:rPr>
        <w:t xml:space="preserve">can </w:t>
      </w:r>
      <w:r>
        <w:t>be understood in terms of the physical. There is no more of</w:t>
      </w:r>
      <w:r>
        <w:rPr>
          <w:spacing w:val="40"/>
        </w:rPr>
        <w:t xml:space="preserve"> </w:t>
      </w:r>
      <w:r>
        <w:t>an explanatory gap between the mental and the physical than between the biological and the chemical. In other words, there is no explanatory gap. Right now we’ll discuss why, according to many, there is no such gap.</w:t>
      </w:r>
    </w:p>
    <w:p w14:paraId="7E001867" w14:textId="77777777" w:rsidR="009A58DB" w:rsidRDefault="00000000">
      <w:pPr>
        <w:pStyle w:val="Heading1"/>
        <w:numPr>
          <w:ilvl w:val="1"/>
          <w:numId w:val="122"/>
        </w:numPr>
        <w:tabs>
          <w:tab w:val="left" w:pos="990"/>
        </w:tabs>
        <w:spacing w:before="193"/>
      </w:pPr>
      <w:r>
        <w:t>Is</w:t>
      </w:r>
      <w:r>
        <w:rPr>
          <w:spacing w:val="-6"/>
        </w:rPr>
        <w:t xml:space="preserve"> </w:t>
      </w:r>
      <w:r>
        <w:t>there</w:t>
      </w:r>
      <w:r>
        <w:rPr>
          <w:spacing w:val="-4"/>
        </w:rPr>
        <w:t xml:space="preserve"> </w:t>
      </w:r>
      <w:r>
        <w:t>an</w:t>
      </w:r>
      <w:r>
        <w:rPr>
          <w:spacing w:val="-4"/>
        </w:rPr>
        <w:t xml:space="preserve"> </w:t>
      </w:r>
      <w:r>
        <w:t>explanatory</w:t>
      </w:r>
      <w:r>
        <w:rPr>
          <w:spacing w:val="-2"/>
        </w:rPr>
        <w:t xml:space="preserve"> </w:t>
      </w:r>
      <w:r>
        <w:rPr>
          <w:spacing w:val="-4"/>
        </w:rPr>
        <w:t>gap?</w:t>
      </w:r>
    </w:p>
    <w:p w14:paraId="7E001868" w14:textId="77777777" w:rsidR="009A58DB" w:rsidRDefault="00000000">
      <w:pPr>
        <w:pStyle w:val="BodyText"/>
        <w:spacing w:before="139" w:line="249" w:lineRule="auto"/>
        <w:ind w:right="358"/>
      </w:pPr>
      <w:r>
        <w:t>So far as advocates of the view just described provide clear grounds for it, those grounds lie in two doctrines. Right now, we will discuss just one of them. (In a moment, we’ll discuss the other.)</w:t>
      </w:r>
    </w:p>
    <w:p w14:paraId="7E001869" w14:textId="77777777" w:rsidR="009A58DB" w:rsidRDefault="00000000">
      <w:pPr>
        <w:pStyle w:val="BodyText"/>
        <w:spacing w:before="3" w:line="249" w:lineRule="auto"/>
        <w:ind w:right="359" w:firstLine="360"/>
      </w:pPr>
      <w:r>
        <w:t>Some—for example, Carl Hempel (1905–1997)—hold that to explain why one state of affairs accompanies or follows another simply to show that , taken together, they instantiate a general regularity</w:t>
      </w:r>
      <w:bookmarkStart w:id="317" w:name="_bookmark317"/>
      <w:bookmarkEnd w:id="317"/>
      <w:r>
        <w:t>.</w:t>
      </w:r>
      <w:r>
        <w:rPr>
          <w:color w:val="0562C1"/>
          <w:position w:val="21"/>
          <w:u w:val="single" w:color="0562C1"/>
        </w:rPr>
        <w:t>[213]</w:t>
      </w:r>
      <w:r>
        <w:rPr>
          <w:color w:val="0562C1"/>
          <w:position w:val="21"/>
        </w:rPr>
        <w:t xml:space="preserve"> </w:t>
      </w:r>
      <w:r>
        <w:t>To explain why, in this one instance, smoke follows fire is simply to identify some comprehensive regularity of which this particular sequence of events is an instance.</w:t>
      </w:r>
      <w:r>
        <w:rPr>
          <w:spacing w:val="-1"/>
        </w:rPr>
        <w:t xml:space="preserve"> </w:t>
      </w:r>
      <w:r>
        <w:t>If</w:t>
      </w:r>
      <w:r>
        <w:rPr>
          <w:spacing w:val="-1"/>
        </w:rPr>
        <w:t xml:space="preserve"> </w:t>
      </w:r>
      <w:r>
        <w:t>it</w:t>
      </w:r>
      <w:r>
        <w:rPr>
          <w:spacing w:val="-1"/>
        </w:rPr>
        <w:t xml:space="preserve"> </w:t>
      </w:r>
      <w:r>
        <w:t>is</w:t>
      </w:r>
      <w:r>
        <w:rPr>
          <w:spacing w:val="-1"/>
        </w:rPr>
        <w:t xml:space="preserve"> </w:t>
      </w:r>
      <w:r>
        <w:t>shown</w:t>
      </w:r>
      <w:r>
        <w:rPr>
          <w:spacing w:val="-1"/>
        </w:rPr>
        <w:t xml:space="preserve"> </w:t>
      </w:r>
      <w:r>
        <w:t>that</w:t>
      </w:r>
      <w:r>
        <w:rPr>
          <w:spacing w:val="-1"/>
        </w:rPr>
        <w:t xml:space="preserve"> </w:t>
      </w:r>
      <w:r>
        <w:t>fire</w:t>
      </w:r>
      <w:r>
        <w:rPr>
          <w:spacing w:val="-1"/>
        </w:rPr>
        <w:t xml:space="preserve"> </w:t>
      </w:r>
      <w:r>
        <w:t>is</w:t>
      </w:r>
      <w:r>
        <w:rPr>
          <w:spacing w:val="-1"/>
        </w:rPr>
        <w:t xml:space="preserve"> </w:t>
      </w:r>
      <w:r>
        <w:rPr>
          <w:i/>
        </w:rPr>
        <w:t>always</w:t>
      </w:r>
      <w:r>
        <w:rPr>
          <w:i/>
          <w:spacing w:val="-3"/>
        </w:rPr>
        <w:t xml:space="preserve"> </w:t>
      </w:r>
      <w:r>
        <w:t xml:space="preserve">followed by smoke, it has </w:t>
      </w:r>
      <w:r>
        <w:rPr>
          <w:i/>
        </w:rPr>
        <w:t>ipso</w:t>
      </w:r>
      <w:r>
        <w:rPr>
          <w:i/>
          <w:spacing w:val="-2"/>
        </w:rPr>
        <w:t xml:space="preserve"> </w:t>
      </w:r>
      <w:r>
        <w:rPr>
          <w:i/>
        </w:rPr>
        <w:t xml:space="preserve">facto </w:t>
      </w:r>
      <w:r>
        <w:t xml:space="preserve">been explained why, in </w:t>
      </w:r>
      <w:r>
        <w:rPr>
          <w:i/>
        </w:rPr>
        <w:t xml:space="preserve">this </w:t>
      </w:r>
      <w:r>
        <w:t>case, fire was followed by smoke. Similarly,</w:t>
      </w:r>
      <w:r>
        <w:rPr>
          <w:spacing w:val="40"/>
        </w:rPr>
        <w:t xml:space="preserve"> </w:t>
      </w:r>
      <w:r>
        <w:t xml:space="preserve">were we to establish perfect </w:t>
      </w:r>
      <w:r>
        <w:rPr>
          <w:i/>
        </w:rPr>
        <w:t xml:space="preserve">concomitances </w:t>
      </w:r>
      <w:r>
        <w:t xml:space="preserve">between mental events and physical events, we would </w:t>
      </w:r>
      <w:r>
        <w:rPr>
          <w:i/>
        </w:rPr>
        <w:t>ipso facto</w:t>
      </w:r>
      <w:r>
        <w:rPr>
          <w:i/>
          <w:spacing w:val="80"/>
        </w:rPr>
        <w:t xml:space="preserve"> </w:t>
      </w:r>
      <w:r>
        <w:t>have explained the mental in terms of the physical.</w:t>
      </w:r>
    </w:p>
    <w:p w14:paraId="7E00186A" w14:textId="77777777" w:rsidR="009A58DB" w:rsidRDefault="00000000">
      <w:pPr>
        <w:pStyle w:val="Heading6"/>
        <w:spacing w:before="118"/>
      </w:pPr>
      <w:r>
        <w:t>A</w:t>
      </w:r>
      <w:r>
        <w:rPr>
          <w:spacing w:val="-7"/>
        </w:rPr>
        <w:t xml:space="preserve"> </w:t>
      </w:r>
      <w:r>
        <w:t>counter-response</w:t>
      </w:r>
      <w:r>
        <w:rPr>
          <w:spacing w:val="-5"/>
        </w:rPr>
        <w:t xml:space="preserve"> </w:t>
      </w:r>
      <w:r>
        <w:t>to</w:t>
      </w:r>
      <w:r>
        <w:rPr>
          <w:spacing w:val="-5"/>
        </w:rPr>
        <w:t xml:space="preserve"> </w:t>
      </w:r>
      <w:r>
        <w:t>the</w:t>
      </w:r>
      <w:r>
        <w:rPr>
          <w:spacing w:val="-5"/>
        </w:rPr>
        <w:t xml:space="preserve"> </w:t>
      </w:r>
      <w:r>
        <w:t>argument</w:t>
      </w:r>
      <w:r>
        <w:rPr>
          <w:spacing w:val="-4"/>
        </w:rPr>
        <w:t xml:space="preserve"> </w:t>
      </w:r>
      <w:r>
        <w:rPr>
          <w:spacing w:val="-2"/>
        </w:rPr>
        <w:t>given</w:t>
      </w:r>
    </w:p>
    <w:p w14:paraId="7E00186B" w14:textId="77777777" w:rsidR="009A58DB" w:rsidRDefault="00000000">
      <w:pPr>
        <w:pStyle w:val="BodyText"/>
        <w:spacing w:before="75" w:line="249" w:lineRule="auto"/>
        <w:ind w:right="367"/>
      </w:pPr>
      <w:r>
        <w:t>Hempel’s conception of explanation is wrong. The basic problem is that it’s too</w:t>
      </w:r>
      <w:r>
        <w:rPr>
          <w:spacing w:val="-3"/>
        </w:rPr>
        <w:t xml:space="preserve"> </w:t>
      </w:r>
      <w:r>
        <w:t>liberal:</w:t>
      </w:r>
      <w:r>
        <w:rPr>
          <w:spacing w:val="-3"/>
        </w:rPr>
        <w:t xml:space="preserve"> </w:t>
      </w:r>
      <w:r>
        <w:t>if</w:t>
      </w:r>
      <w:r>
        <w:rPr>
          <w:spacing w:val="-3"/>
        </w:rPr>
        <w:t xml:space="preserve"> </w:t>
      </w:r>
      <w:r>
        <w:t>it</w:t>
      </w:r>
      <w:r>
        <w:rPr>
          <w:spacing w:val="-2"/>
        </w:rPr>
        <w:t xml:space="preserve"> </w:t>
      </w:r>
      <w:r>
        <w:t>were</w:t>
      </w:r>
      <w:r>
        <w:rPr>
          <w:spacing w:val="-3"/>
        </w:rPr>
        <w:t xml:space="preserve"> </w:t>
      </w:r>
      <w:r>
        <w:t>right,</w:t>
      </w:r>
      <w:r>
        <w:rPr>
          <w:spacing w:val="-3"/>
        </w:rPr>
        <w:t xml:space="preserve"> </w:t>
      </w:r>
      <w:r>
        <w:t>anything</w:t>
      </w:r>
      <w:r>
        <w:rPr>
          <w:spacing w:val="-3"/>
        </w:rPr>
        <w:t xml:space="preserve"> </w:t>
      </w:r>
      <w:r>
        <w:t>could</w:t>
      </w:r>
      <w:r>
        <w:rPr>
          <w:spacing w:val="-2"/>
        </w:rPr>
        <w:t xml:space="preserve"> </w:t>
      </w:r>
      <w:r>
        <w:t>be</w:t>
      </w:r>
      <w:r>
        <w:rPr>
          <w:spacing w:val="-3"/>
        </w:rPr>
        <w:t xml:space="preserve"> </w:t>
      </w:r>
      <w:r>
        <w:t>said</w:t>
      </w:r>
      <w:r>
        <w:rPr>
          <w:spacing w:val="-3"/>
        </w:rPr>
        <w:t xml:space="preserve"> </w:t>
      </w:r>
      <w:r>
        <w:t>to</w:t>
      </w:r>
      <w:r>
        <w:rPr>
          <w:spacing w:val="-3"/>
        </w:rPr>
        <w:t xml:space="preserve"> </w:t>
      </w:r>
      <w:r>
        <w:t>be</w:t>
      </w:r>
      <w:r>
        <w:rPr>
          <w:spacing w:val="-2"/>
        </w:rPr>
        <w:t xml:space="preserve"> </w:t>
      </w:r>
      <w:r>
        <w:t>the</w:t>
      </w:r>
      <w:r>
        <w:rPr>
          <w:spacing w:val="-3"/>
        </w:rPr>
        <w:t xml:space="preserve"> </w:t>
      </w:r>
      <w:r>
        <w:t>cause</w:t>
      </w:r>
      <w:r>
        <w:rPr>
          <w:spacing w:val="-3"/>
        </w:rPr>
        <w:t xml:space="preserve"> </w:t>
      </w:r>
      <w:r>
        <w:t>of</w:t>
      </w:r>
      <w:r>
        <w:rPr>
          <w:spacing w:val="-2"/>
        </w:rPr>
        <w:t xml:space="preserve"> </w:t>
      </w:r>
      <w:r>
        <w:t>anything. The reasons for this are given in Chapter 17. But here’s the basic idea.</w:t>
      </w:r>
    </w:p>
    <w:p w14:paraId="7E00186C" w14:textId="77777777" w:rsidR="009A58DB" w:rsidRDefault="00000000">
      <w:pPr>
        <w:pStyle w:val="BodyText"/>
        <w:spacing w:before="3" w:line="249" w:lineRule="auto"/>
        <w:ind w:right="360" w:firstLine="360"/>
      </w:pPr>
      <w:r>
        <w:t>I grab my phone, so as to pick it up and make a call; just after I do so, it rings. By coincidence, I’m getting a call at that exact moment. Hempel’s theory has the obviously false consequence that my grabbing the phone is what</w:t>
      </w:r>
      <w:r>
        <w:rPr>
          <w:spacing w:val="46"/>
        </w:rPr>
        <w:t xml:space="preserve"> </w:t>
      </w:r>
      <w:r>
        <w:t>caused</w:t>
      </w:r>
      <w:r>
        <w:rPr>
          <w:spacing w:val="47"/>
        </w:rPr>
        <w:t xml:space="preserve"> </w:t>
      </w:r>
      <w:r>
        <w:t>it</w:t>
      </w:r>
      <w:r>
        <w:rPr>
          <w:spacing w:val="46"/>
        </w:rPr>
        <w:t xml:space="preserve"> </w:t>
      </w:r>
      <w:r>
        <w:t>to</w:t>
      </w:r>
      <w:r>
        <w:rPr>
          <w:spacing w:val="47"/>
        </w:rPr>
        <w:t xml:space="preserve"> </w:t>
      </w:r>
      <w:r>
        <w:t>ring.</w:t>
      </w:r>
      <w:r>
        <w:rPr>
          <w:spacing w:val="46"/>
        </w:rPr>
        <w:t xml:space="preserve"> </w:t>
      </w:r>
      <w:r>
        <w:t>Let</w:t>
      </w:r>
      <w:r>
        <w:rPr>
          <w:spacing w:val="47"/>
        </w:rPr>
        <w:t xml:space="preserve"> </w:t>
      </w:r>
      <w:r>
        <w:t>E</w:t>
      </w:r>
      <w:r>
        <w:rPr>
          <w:vertAlign w:val="subscript"/>
        </w:rPr>
        <w:t>1</w:t>
      </w:r>
      <w:r>
        <w:rPr>
          <w:spacing w:val="47"/>
        </w:rPr>
        <w:t xml:space="preserve"> </w:t>
      </w:r>
      <w:r>
        <w:t>be</w:t>
      </w:r>
      <w:r>
        <w:rPr>
          <w:spacing w:val="48"/>
        </w:rPr>
        <w:t xml:space="preserve"> </w:t>
      </w:r>
      <w:r>
        <w:t>the</w:t>
      </w:r>
      <w:r>
        <w:rPr>
          <w:spacing w:val="48"/>
        </w:rPr>
        <w:t xml:space="preserve"> </w:t>
      </w:r>
      <w:r>
        <w:t>event</w:t>
      </w:r>
      <w:r>
        <w:rPr>
          <w:spacing w:val="47"/>
        </w:rPr>
        <w:t xml:space="preserve"> </w:t>
      </w:r>
      <w:r>
        <w:t>consisting</w:t>
      </w:r>
      <w:r>
        <w:rPr>
          <w:spacing w:val="48"/>
        </w:rPr>
        <w:t xml:space="preserve"> </w:t>
      </w:r>
      <w:r>
        <w:t>of</w:t>
      </w:r>
      <w:r>
        <w:rPr>
          <w:spacing w:val="47"/>
        </w:rPr>
        <w:t xml:space="preserve"> </w:t>
      </w:r>
      <w:r>
        <w:t>my</w:t>
      </w:r>
      <w:r>
        <w:rPr>
          <w:spacing w:val="48"/>
        </w:rPr>
        <w:t xml:space="preserve"> </w:t>
      </w:r>
      <w:r>
        <w:t>grabbing</w:t>
      </w:r>
      <w:r>
        <w:rPr>
          <w:spacing w:val="47"/>
        </w:rPr>
        <w:t xml:space="preserve"> </w:t>
      </w:r>
      <w:r>
        <w:rPr>
          <w:spacing w:val="-5"/>
        </w:rPr>
        <w:t>the</w:t>
      </w:r>
    </w:p>
    <w:p w14:paraId="7E00186D" w14:textId="77777777" w:rsidR="009A58DB" w:rsidRDefault="00000000">
      <w:pPr>
        <w:pStyle w:val="BodyText"/>
        <w:spacing w:before="9" w:line="420" w:lineRule="exact"/>
        <w:ind w:right="359"/>
      </w:pPr>
      <w:r>
        <w:t>phone, and let E</w:t>
      </w:r>
      <w:r>
        <w:rPr>
          <w:vertAlign w:val="subscript"/>
        </w:rPr>
        <w:t>2</w:t>
      </w:r>
      <w:r>
        <w:t xml:space="preserve"> be the event consisting of the phone’s ringing. Obviously</w:t>
      </w:r>
      <w:r>
        <w:rPr>
          <w:spacing w:val="80"/>
        </w:rPr>
        <w:t xml:space="preserve"> </w:t>
      </w:r>
      <w:r>
        <w:t>E</w:t>
      </w:r>
      <w:r>
        <w:rPr>
          <w:vertAlign w:val="subscript"/>
        </w:rPr>
        <w:t>1</w:t>
      </w:r>
      <w:r>
        <w:t xml:space="preserve"> will be unique in many respects—no other event will involve </w:t>
      </w:r>
      <w:r>
        <w:rPr>
          <w:i/>
        </w:rPr>
        <w:t xml:space="preserve">exactly </w:t>
      </w:r>
      <w:r>
        <w:t>the same mass-energy distributions that it does. It follows that E</w:t>
      </w:r>
      <w:r>
        <w:rPr>
          <w:vertAlign w:val="subscript"/>
        </w:rPr>
        <w:t>1</w:t>
      </w:r>
      <w:r>
        <w:t xml:space="preserve"> uniquely has some property P</w:t>
      </w:r>
      <w:r>
        <w:rPr>
          <w:position w:val="-7"/>
          <w:sz w:val="22"/>
        </w:rPr>
        <w:t>1</w:t>
      </w:r>
      <w:r>
        <w:t xml:space="preserve">. The same thing </w:t>
      </w:r>
      <w:r>
        <w:rPr>
          <w:i/>
        </w:rPr>
        <w:t xml:space="preserve">mutatis mutandis </w:t>
      </w:r>
      <w:r>
        <w:t>is true of E</w:t>
      </w:r>
      <w:r>
        <w:rPr>
          <w:position w:val="-7"/>
          <w:sz w:val="22"/>
        </w:rPr>
        <w:t>2</w:t>
      </w:r>
      <w:r>
        <w:t>; and E</w:t>
      </w:r>
      <w:r>
        <w:rPr>
          <w:position w:val="-7"/>
          <w:sz w:val="22"/>
        </w:rPr>
        <w:t xml:space="preserve">2 </w:t>
      </w:r>
      <w:r>
        <w:t>therefore uniquely has some property P</w:t>
      </w:r>
      <w:r>
        <w:rPr>
          <w:vertAlign w:val="subscript"/>
        </w:rPr>
        <w:t>2</w:t>
      </w:r>
      <w:r>
        <w:t>. Thus, the sequence of events consisting</w:t>
      </w:r>
      <w:r>
        <w:rPr>
          <w:spacing w:val="30"/>
        </w:rPr>
        <w:t xml:space="preserve">  </w:t>
      </w:r>
      <w:r>
        <w:t>of</w:t>
      </w:r>
      <w:r>
        <w:rPr>
          <w:spacing w:val="31"/>
        </w:rPr>
        <w:t xml:space="preserve">  </w:t>
      </w:r>
      <w:r>
        <w:t>E</w:t>
      </w:r>
      <w:r>
        <w:rPr>
          <w:vertAlign w:val="subscript"/>
        </w:rPr>
        <w:t>1</w:t>
      </w:r>
      <w:r>
        <w:rPr>
          <w:spacing w:val="31"/>
        </w:rPr>
        <w:t xml:space="preserve">  </w:t>
      </w:r>
      <w:r>
        <w:t>and</w:t>
      </w:r>
      <w:r>
        <w:rPr>
          <w:spacing w:val="30"/>
        </w:rPr>
        <w:t xml:space="preserve">  </w:t>
      </w:r>
      <w:r>
        <w:t>E</w:t>
      </w:r>
      <w:r>
        <w:rPr>
          <w:vertAlign w:val="subscript"/>
        </w:rPr>
        <w:t>1</w:t>
      </w:r>
      <w:r>
        <w:rPr>
          <w:spacing w:val="33"/>
        </w:rPr>
        <w:t xml:space="preserve">  </w:t>
      </w:r>
      <w:r>
        <w:t>is</w:t>
      </w:r>
      <w:r>
        <w:rPr>
          <w:spacing w:val="32"/>
        </w:rPr>
        <w:t xml:space="preserve">  </w:t>
      </w:r>
      <w:r>
        <w:t>a</w:t>
      </w:r>
      <w:r>
        <w:rPr>
          <w:spacing w:val="33"/>
        </w:rPr>
        <w:t xml:space="preserve">  </w:t>
      </w:r>
      <w:r>
        <w:t>unique</w:t>
      </w:r>
      <w:r>
        <w:rPr>
          <w:spacing w:val="32"/>
        </w:rPr>
        <w:t xml:space="preserve">  </w:t>
      </w:r>
      <w:r>
        <w:t>instance</w:t>
      </w:r>
      <w:r>
        <w:rPr>
          <w:spacing w:val="32"/>
        </w:rPr>
        <w:t xml:space="preserve">  </w:t>
      </w:r>
      <w:r>
        <w:t>of</w:t>
      </w:r>
      <w:r>
        <w:rPr>
          <w:spacing w:val="33"/>
        </w:rPr>
        <w:t xml:space="preserve">  </w:t>
      </w:r>
      <w:r>
        <w:t>the</w:t>
      </w:r>
      <w:r>
        <w:rPr>
          <w:spacing w:val="32"/>
        </w:rPr>
        <w:t xml:space="preserve">  </w:t>
      </w:r>
      <w:r>
        <w:t>true</w:t>
      </w:r>
      <w:r>
        <w:rPr>
          <w:spacing w:val="32"/>
        </w:rPr>
        <w:t xml:space="preserve">  </w:t>
      </w:r>
      <w:r>
        <w:rPr>
          <w:spacing w:val="-2"/>
        </w:rPr>
        <w:t>universal</w:t>
      </w:r>
    </w:p>
    <w:p w14:paraId="7E00186E" w14:textId="77777777" w:rsidR="009A58DB" w:rsidRDefault="009A58DB">
      <w:pPr>
        <w:pStyle w:val="BodyText"/>
        <w:spacing w:line="420" w:lineRule="exact"/>
        <w:sectPr w:rsidR="009A58DB">
          <w:pgSz w:w="12240" w:h="15840"/>
          <w:pgMar w:top="1380" w:right="1080" w:bottom="280" w:left="1080" w:header="720" w:footer="720" w:gutter="0"/>
          <w:cols w:space="720"/>
        </w:sectPr>
      </w:pPr>
    </w:p>
    <w:p w14:paraId="7E00186F" w14:textId="77777777" w:rsidR="009A58DB" w:rsidRDefault="00000000">
      <w:pPr>
        <w:pStyle w:val="BodyText"/>
        <w:spacing w:before="65" w:line="292" w:lineRule="auto"/>
        <w:ind w:right="358"/>
      </w:pPr>
      <w:r>
        <w:lastRenderedPageBreak/>
        <w:t>generalization that any instance of P</w:t>
      </w:r>
      <w:r>
        <w:rPr>
          <w:vertAlign w:val="subscript"/>
        </w:rPr>
        <w:t>1</w:t>
      </w:r>
      <w:r>
        <w:t xml:space="preserve"> is immediately followed by, and adjacent</w:t>
      </w:r>
      <w:r>
        <w:rPr>
          <w:spacing w:val="66"/>
        </w:rPr>
        <w:t xml:space="preserve"> </w:t>
      </w:r>
      <w:r>
        <w:t>to,</w:t>
      </w:r>
      <w:r>
        <w:rPr>
          <w:spacing w:val="67"/>
        </w:rPr>
        <w:t xml:space="preserve"> </w:t>
      </w:r>
      <w:r>
        <w:t>an</w:t>
      </w:r>
      <w:r>
        <w:rPr>
          <w:spacing w:val="68"/>
        </w:rPr>
        <w:t xml:space="preserve"> </w:t>
      </w:r>
      <w:r>
        <w:t>instance</w:t>
      </w:r>
      <w:r>
        <w:rPr>
          <w:spacing w:val="67"/>
        </w:rPr>
        <w:t xml:space="preserve"> </w:t>
      </w:r>
      <w:r>
        <w:t>of</w:t>
      </w:r>
      <w:r>
        <w:rPr>
          <w:spacing w:val="68"/>
        </w:rPr>
        <w:t xml:space="preserve"> </w:t>
      </w:r>
      <w:r>
        <w:t>P</w:t>
      </w:r>
      <w:r>
        <w:rPr>
          <w:vertAlign w:val="subscript"/>
        </w:rPr>
        <w:t>2</w:t>
      </w:r>
      <w:r>
        <w:t>.</w:t>
      </w:r>
      <w:r>
        <w:rPr>
          <w:spacing w:val="67"/>
        </w:rPr>
        <w:t xml:space="preserve"> </w:t>
      </w:r>
      <w:r>
        <w:t>If</w:t>
      </w:r>
      <w:r>
        <w:rPr>
          <w:spacing w:val="67"/>
        </w:rPr>
        <w:t xml:space="preserve"> </w:t>
      </w:r>
      <w:r>
        <w:t>Hempel’s</w:t>
      </w:r>
      <w:r>
        <w:rPr>
          <w:spacing w:val="67"/>
        </w:rPr>
        <w:t xml:space="preserve"> </w:t>
      </w:r>
      <w:r>
        <w:t>analysis</w:t>
      </w:r>
      <w:r>
        <w:rPr>
          <w:spacing w:val="67"/>
        </w:rPr>
        <w:t xml:space="preserve"> </w:t>
      </w:r>
      <w:r>
        <w:t>were</w:t>
      </w:r>
      <w:r>
        <w:rPr>
          <w:spacing w:val="67"/>
        </w:rPr>
        <w:t xml:space="preserve"> </w:t>
      </w:r>
      <w:r>
        <w:t>right,</w:t>
      </w:r>
      <w:r>
        <w:rPr>
          <w:spacing w:val="67"/>
        </w:rPr>
        <w:t xml:space="preserve"> </w:t>
      </w:r>
      <w:r>
        <w:t>then</w:t>
      </w:r>
      <w:r>
        <w:rPr>
          <w:spacing w:val="66"/>
        </w:rPr>
        <w:t xml:space="preserve"> </w:t>
      </w:r>
      <w:r>
        <w:rPr>
          <w:spacing w:val="-5"/>
        </w:rPr>
        <w:t>my</w:t>
      </w:r>
    </w:p>
    <w:p w14:paraId="7E001870" w14:textId="77777777" w:rsidR="009A58DB" w:rsidRDefault="00000000">
      <w:pPr>
        <w:pStyle w:val="BodyText"/>
        <w:spacing w:line="249" w:lineRule="auto"/>
        <w:ind w:right="369"/>
      </w:pPr>
      <w:r>
        <w:t xml:space="preserve">grabbing the phone </w:t>
      </w:r>
      <w:r>
        <w:rPr>
          <w:i/>
        </w:rPr>
        <w:t xml:space="preserve">would </w:t>
      </w:r>
      <w:r>
        <w:t>have caused it to ring. Since it didn’t, Hempel’s analysis is wrong.</w:t>
      </w:r>
    </w:p>
    <w:p w14:paraId="7E001871" w14:textId="77777777" w:rsidR="009A58DB" w:rsidRDefault="00000000">
      <w:pPr>
        <w:pStyle w:val="Heading6"/>
        <w:spacing w:before="105"/>
      </w:pPr>
      <w:r>
        <w:t>Another</w:t>
      </w:r>
      <w:r>
        <w:rPr>
          <w:spacing w:val="-13"/>
        </w:rPr>
        <w:t xml:space="preserve"> </w:t>
      </w:r>
      <w:r>
        <w:t>counter-</w:t>
      </w:r>
      <w:r>
        <w:rPr>
          <w:spacing w:val="-2"/>
        </w:rPr>
        <w:t>response</w:t>
      </w:r>
    </w:p>
    <w:p w14:paraId="7E001872" w14:textId="77777777" w:rsidR="009A58DB" w:rsidRDefault="00000000">
      <w:pPr>
        <w:pStyle w:val="BodyText"/>
        <w:spacing w:before="75" w:line="249" w:lineRule="auto"/>
        <w:ind w:right="362"/>
      </w:pPr>
      <w:r>
        <w:t>Setting this aside, it isn’t widely held that mind-brain concomitances (other than obviously contrived, explanatorily irrelevant ones similar to the one just described</w:t>
      </w:r>
      <w:r>
        <w:rPr>
          <w:spacing w:val="41"/>
        </w:rPr>
        <w:t xml:space="preserve"> </w:t>
      </w:r>
      <w:r>
        <w:t>in</w:t>
      </w:r>
      <w:r>
        <w:rPr>
          <w:spacing w:val="42"/>
        </w:rPr>
        <w:t xml:space="preserve"> </w:t>
      </w:r>
      <w:r>
        <w:t>connection</w:t>
      </w:r>
      <w:r>
        <w:rPr>
          <w:spacing w:val="42"/>
        </w:rPr>
        <w:t xml:space="preserve"> </w:t>
      </w:r>
      <w:r>
        <w:t>with</w:t>
      </w:r>
      <w:r>
        <w:rPr>
          <w:spacing w:val="42"/>
        </w:rPr>
        <w:t xml:space="preserve"> </w:t>
      </w:r>
      <w:r>
        <w:t>E</w:t>
      </w:r>
      <w:r>
        <w:rPr>
          <w:vertAlign w:val="subscript"/>
        </w:rPr>
        <w:t>1</w:t>
      </w:r>
      <w:r>
        <w:rPr>
          <w:spacing w:val="38"/>
        </w:rPr>
        <w:t xml:space="preserve"> </w:t>
      </w:r>
      <w:r>
        <w:t>and</w:t>
      </w:r>
      <w:r>
        <w:rPr>
          <w:spacing w:val="38"/>
        </w:rPr>
        <w:t xml:space="preserve"> </w:t>
      </w:r>
      <w:r>
        <w:t>E</w:t>
      </w:r>
      <w:r>
        <w:rPr>
          <w:vertAlign w:val="subscript"/>
        </w:rPr>
        <w:t>1</w:t>
      </w:r>
      <w:r>
        <w:t>)</w:t>
      </w:r>
      <w:r>
        <w:rPr>
          <w:spacing w:val="43"/>
        </w:rPr>
        <w:t xml:space="preserve"> </w:t>
      </w:r>
      <w:r>
        <w:t>are</w:t>
      </w:r>
      <w:r>
        <w:rPr>
          <w:spacing w:val="44"/>
        </w:rPr>
        <w:t xml:space="preserve"> </w:t>
      </w:r>
      <w:r>
        <w:t>to</w:t>
      </w:r>
      <w:r>
        <w:rPr>
          <w:spacing w:val="44"/>
        </w:rPr>
        <w:t xml:space="preserve"> </w:t>
      </w:r>
      <w:r>
        <w:t>be</w:t>
      </w:r>
      <w:r>
        <w:rPr>
          <w:spacing w:val="44"/>
        </w:rPr>
        <w:t xml:space="preserve"> </w:t>
      </w:r>
      <w:r>
        <w:t>found.</w:t>
      </w:r>
      <w:r>
        <w:rPr>
          <w:spacing w:val="44"/>
        </w:rPr>
        <w:t xml:space="preserve"> </w:t>
      </w:r>
      <w:r>
        <w:t>The</w:t>
      </w:r>
      <w:r>
        <w:rPr>
          <w:spacing w:val="44"/>
        </w:rPr>
        <w:t xml:space="preserve"> </w:t>
      </w:r>
      <w:r>
        <w:t>reason:</w:t>
      </w:r>
      <w:r>
        <w:rPr>
          <w:spacing w:val="43"/>
        </w:rPr>
        <w:t xml:space="preserve"> </w:t>
      </w:r>
      <w:r>
        <w:t>it</w:t>
      </w:r>
      <w:r>
        <w:rPr>
          <w:spacing w:val="42"/>
        </w:rPr>
        <w:t xml:space="preserve"> </w:t>
      </w:r>
      <w:r>
        <w:rPr>
          <w:spacing w:val="-5"/>
        </w:rPr>
        <w:t>is</w:t>
      </w:r>
    </w:p>
    <w:p w14:paraId="7E001873" w14:textId="77777777" w:rsidR="009A58DB" w:rsidRDefault="00000000">
      <w:pPr>
        <w:pStyle w:val="BodyText"/>
        <w:spacing w:before="64" w:line="249" w:lineRule="auto"/>
        <w:ind w:right="358"/>
      </w:pPr>
      <w:r>
        <w:t>widely</w:t>
      </w:r>
      <w:r>
        <w:rPr>
          <w:spacing w:val="-3"/>
        </w:rPr>
        <w:t xml:space="preserve"> </w:t>
      </w:r>
      <w:r>
        <w:t>believed</w:t>
      </w:r>
      <w:r>
        <w:rPr>
          <w:spacing w:val="-3"/>
        </w:rPr>
        <w:t xml:space="preserve"> </w:t>
      </w:r>
      <w:r>
        <w:t>that</w:t>
      </w:r>
      <w:r>
        <w:rPr>
          <w:spacing w:val="-3"/>
        </w:rPr>
        <w:t xml:space="preserve"> </w:t>
      </w:r>
      <w:r>
        <w:t>the</w:t>
      </w:r>
      <w:r>
        <w:rPr>
          <w:spacing w:val="-3"/>
        </w:rPr>
        <w:t xml:space="preserve"> </w:t>
      </w:r>
      <w:r>
        <w:t>mental</w:t>
      </w:r>
      <w:r>
        <w:rPr>
          <w:spacing w:val="-3"/>
        </w:rPr>
        <w:t xml:space="preserve"> </w:t>
      </w:r>
      <w:r>
        <w:t>is</w:t>
      </w:r>
      <w:r>
        <w:rPr>
          <w:spacing w:val="-3"/>
        </w:rPr>
        <w:t xml:space="preserve"> </w:t>
      </w:r>
      <w:r>
        <w:t>“multiply</w:t>
      </w:r>
      <w:r>
        <w:rPr>
          <w:spacing w:val="-3"/>
        </w:rPr>
        <w:t xml:space="preserve"> </w:t>
      </w:r>
      <w:r>
        <w:t>realizable.”</w:t>
      </w:r>
      <w:r>
        <w:rPr>
          <w:spacing w:val="-3"/>
        </w:rPr>
        <w:t xml:space="preserve"> </w:t>
      </w:r>
      <w:r>
        <w:t>Instances</w:t>
      </w:r>
      <w:r>
        <w:rPr>
          <w:spacing w:val="-3"/>
        </w:rPr>
        <w:t xml:space="preserve"> </w:t>
      </w:r>
      <w:r>
        <w:t>of</w:t>
      </w:r>
      <w:r>
        <w:rPr>
          <w:spacing w:val="-3"/>
        </w:rPr>
        <w:t xml:space="preserve"> </w:t>
      </w:r>
      <w:r>
        <w:t>any</w:t>
      </w:r>
      <w:r>
        <w:rPr>
          <w:spacing w:val="-3"/>
        </w:rPr>
        <w:t xml:space="preserve"> </w:t>
      </w:r>
      <w:r>
        <w:t>kind of</w:t>
      </w:r>
      <w:r>
        <w:rPr>
          <w:spacing w:val="-1"/>
        </w:rPr>
        <w:t xml:space="preserve"> </w:t>
      </w:r>
      <w:r>
        <w:t>mental</w:t>
      </w:r>
      <w:r>
        <w:rPr>
          <w:spacing w:val="-1"/>
        </w:rPr>
        <w:t xml:space="preserve"> </w:t>
      </w:r>
      <w:r>
        <w:t>category</w:t>
      </w:r>
      <w:r>
        <w:rPr>
          <w:spacing w:val="-1"/>
        </w:rPr>
        <w:t xml:space="preserve"> </w:t>
      </w:r>
      <w:r>
        <w:t>can,</w:t>
      </w:r>
      <w:r>
        <w:rPr>
          <w:spacing w:val="-1"/>
        </w:rPr>
        <w:t xml:space="preserve"> </w:t>
      </w:r>
      <w:r>
        <w:t>it</w:t>
      </w:r>
      <w:r>
        <w:rPr>
          <w:spacing w:val="-1"/>
        </w:rPr>
        <w:t xml:space="preserve"> </w:t>
      </w:r>
      <w:r>
        <w:t>is</w:t>
      </w:r>
      <w:r>
        <w:rPr>
          <w:spacing w:val="-1"/>
        </w:rPr>
        <w:t xml:space="preserve"> </w:t>
      </w:r>
      <w:r>
        <w:t>alleged,</w:t>
      </w:r>
      <w:r>
        <w:rPr>
          <w:spacing w:val="-1"/>
        </w:rPr>
        <w:t xml:space="preserve"> </w:t>
      </w:r>
      <w:r>
        <w:t>be</w:t>
      </w:r>
      <w:r>
        <w:rPr>
          <w:spacing w:val="-1"/>
        </w:rPr>
        <w:t xml:space="preserve"> </w:t>
      </w:r>
      <w:r>
        <w:t>constituted</w:t>
      </w:r>
      <w:r>
        <w:rPr>
          <w:spacing w:val="-1"/>
        </w:rPr>
        <w:t xml:space="preserve"> </w:t>
      </w:r>
      <w:r>
        <w:t>by</w:t>
      </w:r>
      <w:r>
        <w:rPr>
          <w:spacing w:val="-1"/>
        </w:rPr>
        <w:t xml:space="preserve"> </w:t>
      </w:r>
      <w:r>
        <w:t>physical</w:t>
      </w:r>
      <w:r>
        <w:rPr>
          <w:spacing w:val="-1"/>
        </w:rPr>
        <w:t xml:space="preserve"> </w:t>
      </w:r>
      <w:r>
        <w:t>events</w:t>
      </w:r>
      <w:r>
        <w:rPr>
          <w:spacing w:val="-1"/>
        </w:rPr>
        <w:t xml:space="preserve"> </w:t>
      </w:r>
      <w:r>
        <w:t>of</w:t>
      </w:r>
      <w:r>
        <w:rPr>
          <w:spacing w:val="-1"/>
        </w:rPr>
        <w:t xml:space="preserve"> </w:t>
      </w:r>
      <w:r>
        <w:t>very different kinds; and for this reason, there are no true statements of the form “events having such and such biochemical properties occur iff events having thus and such psychological properties occur.”</w:t>
      </w:r>
    </w:p>
    <w:p w14:paraId="7E001874" w14:textId="77777777" w:rsidR="009A58DB" w:rsidRDefault="00000000">
      <w:pPr>
        <w:pStyle w:val="Heading1"/>
        <w:numPr>
          <w:ilvl w:val="2"/>
          <w:numId w:val="122"/>
        </w:numPr>
        <w:tabs>
          <w:tab w:val="left" w:pos="1416"/>
        </w:tabs>
        <w:spacing w:before="194" w:line="244" w:lineRule="auto"/>
        <w:ind w:right="368" w:firstLine="0"/>
      </w:pPr>
      <w:r>
        <w:t>How</w:t>
      </w:r>
      <w:r>
        <w:rPr>
          <w:spacing w:val="40"/>
        </w:rPr>
        <w:t xml:space="preserve"> </w:t>
      </w:r>
      <w:r>
        <w:t>the</w:t>
      </w:r>
      <w:r>
        <w:rPr>
          <w:spacing w:val="40"/>
        </w:rPr>
        <w:t xml:space="preserve"> </w:t>
      </w:r>
      <w:r>
        <w:t>functionalist</w:t>
      </w:r>
      <w:r>
        <w:rPr>
          <w:spacing w:val="40"/>
        </w:rPr>
        <w:t xml:space="preserve"> </w:t>
      </w:r>
      <w:r>
        <w:t>tries</w:t>
      </w:r>
      <w:r>
        <w:rPr>
          <w:spacing w:val="40"/>
        </w:rPr>
        <w:t xml:space="preserve"> </w:t>
      </w:r>
      <w:r>
        <w:t>to</w:t>
      </w:r>
      <w:r>
        <w:rPr>
          <w:spacing w:val="40"/>
        </w:rPr>
        <w:t xml:space="preserve"> </w:t>
      </w:r>
      <w:r>
        <w:t>eliminate</w:t>
      </w:r>
      <w:r>
        <w:rPr>
          <w:spacing w:val="40"/>
        </w:rPr>
        <w:t xml:space="preserve"> </w:t>
      </w:r>
      <w:r>
        <w:t>the</w:t>
      </w:r>
      <w:r>
        <w:rPr>
          <w:spacing w:val="40"/>
        </w:rPr>
        <w:t xml:space="preserve">  </w:t>
      </w:r>
      <w:r>
        <w:t>explanatory gap</w:t>
      </w:r>
    </w:p>
    <w:p w14:paraId="7E001875" w14:textId="77777777" w:rsidR="009A58DB" w:rsidRDefault="00000000">
      <w:pPr>
        <w:pStyle w:val="BodyText"/>
        <w:spacing w:before="132" w:line="249" w:lineRule="auto"/>
        <w:ind w:right="360"/>
      </w:pPr>
      <w:r>
        <w:t xml:space="preserve">But, even though, for the reason just given, the alleged multiple realizability of mental states seems to eliminate one way of closing the explanatory gap between mind and matter, it actually opens what many (myself not included) claim to be a promising way of closing that gap. As previously noted, almost all contemporary materialists hold that mental entities </w:t>
      </w:r>
      <w:r>
        <w:rPr>
          <w:i/>
        </w:rPr>
        <w:t xml:space="preserve">are </w:t>
      </w:r>
      <w:r>
        <w:t>multiply realizable</w:t>
      </w:r>
    </w:p>
    <w:p w14:paraId="7E001876" w14:textId="77777777" w:rsidR="009A58DB" w:rsidRDefault="00000000">
      <w:pPr>
        <w:pStyle w:val="BodyText"/>
        <w:spacing w:before="6" w:line="249" w:lineRule="auto"/>
        <w:ind w:right="364"/>
        <w:rPr>
          <w:b/>
          <w:i/>
        </w:rPr>
      </w:pPr>
      <w:r>
        <w:t xml:space="preserve">—that, for example, a belief that snow is white could be composed of virtual material. For X to be such a belief, it is said, is not for it to be composed of this or that material, but is for it to have certain </w:t>
      </w:r>
      <w:r>
        <w:rPr>
          <w:i/>
        </w:rPr>
        <w:t xml:space="preserve">cause and effects. </w:t>
      </w:r>
      <w:r>
        <w:t>They</w:t>
      </w:r>
      <w:r>
        <w:rPr>
          <w:spacing w:val="-2"/>
        </w:rPr>
        <w:t xml:space="preserve"> </w:t>
      </w:r>
      <w:r>
        <w:t xml:space="preserve">hold, in general, that given any mental category M, for a given physical entity P to fall into M simply </w:t>
      </w:r>
      <w:r>
        <w:rPr>
          <w:i/>
        </w:rPr>
        <w:t xml:space="preserve">is </w:t>
      </w:r>
      <w:r>
        <w:t xml:space="preserve">for P to have certain causes and certain effects. This doctrine is known as </w:t>
      </w:r>
      <w:r>
        <w:rPr>
          <w:b/>
          <w:i/>
        </w:rPr>
        <w:t>functionalism.</w:t>
      </w:r>
    </w:p>
    <w:p w14:paraId="7E001877" w14:textId="77777777" w:rsidR="009A58DB" w:rsidRDefault="00000000">
      <w:pPr>
        <w:pStyle w:val="BodyText"/>
        <w:spacing w:before="8" w:line="249" w:lineRule="auto"/>
        <w:ind w:right="359" w:firstLine="360"/>
      </w:pPr>
      <w:r>
        <w:t xml:space="preserve">In Sections 12.0–12.1.3 of the present chapter, it will be argued that functionalism is false, the reason being that it collapses into the obviously false view that there are </w:t>
      </w:r>
      <w:r>
        <w:rPr>
          <w:i/>
        </w:rPr>
        <w:t>no</w:t>
      </w:r>
      <w:r>
        <w:rPr>
          <w:i/>
          <w:spacing w:val="-3"/>
        </w:rPr>
        <w:t xml:space="preserve"> </w:t>
      </w:r>
      <w:r>
        <w:t>mental entities. It goes without saying that, if it’s false, functionalism does nothing to close the explanatory gap. In any case, I’d now like to put forth a positive reason to believe that there is no way to close the explanatory gap.</w:t>
      </w:r>
    </w:p>
    <w:p w14:paraId="7E00187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79" w14:textId="77777777" w:rsidR="009A58DB" w:rsidRDefault="00000000">
      <w:pPr>
        <w:pStyle w:val="Heading1"/>
        <w:numPr>
          <w:ilvl w:val="1"/>
          <w:numId w:val="122"/>
        </w:numPr>
        <w:tabs>
          <w:tab w:val="left" w:pos="990"/>
        </w:tabs>
        <w:spacing w:before="58"/>
      </w:pPr>
      <w:r>
        <w:lastRenderedPageBreak/>
        <w:t>The</w:t>
      </w:r>
      <w:r>
        <w:rPr>
          <w:spacing w:val="-6"/>
        </w:rPr>
        <w:t xml:space="preserve"> </w:t>
      </w:r>
      <w:r>
        <w:t>reason</w:t>
      </w:r>
      <w:r>
        <w:rPr>
          <w:spacing w:val="-4"/>
        </w:rPr>
        <w:t xml:space="preserve"> </w:t>
      </w:r>
      <w:r>
        <w:t>there</w:t>
      </w:r>
      <w:r>
        <w:rPr>
          <w:spacing w:val="-3"/>
        </w:rPr>
        <w:t xml:space="preserve"> </w:t>
      </w:r>
      <w:r>
        <w:t>is</w:t>
      </w:r>
      <w:r>
        <w:rPr>
          <w:spacing w:val="-4"/>
        </w:rPr>
        <w:t xml:space="preserve"> </w:t>
      </w:r>
      <w:r>
        <w:t>an</w:t>
      </w:r>
      <w:r>
        <w:rPr>
          <w:spacing w:val="-4"/>
        </w:rPr>
        <w:t xml:space="preserve"> </w:t>
      </w:r>
      <w:r>
        <w:t>explanatory</w:t>
      </w:r>
      <w:r>
        <w:rPr>
          <w:spacing w:val="-2"/>
        </w:rPr>
        <w:t xml:space="preserve"> </w:t>
      </w:r>
      <w:r>
        <w:rPr>
          <w:spacing w:val="-5"/>
        </w:rPr>
        <w:t>gap</w:t>
      </w:r>
    </w:p>
    <w:p w14:paraId="7E00187A" w14:textId="77777777" w:rsidR="009A58DB" w:rsidRDefault="00000000">
      <w:pPr>
        <w:pStyle w:val="BodyText"/>
        <w:spacing w:before="139" w:line="249" w:lineRule="auto"/>
        <w:ind w:right="361"/>
      </w:pPr>
      <w:r>
        <w:t xml:space="preserve">For argument’s sake, suppose that every mental event is identical with (or realized by) some physical event. In that case, my feeling remorseful that I stole my sister’s cookie is identical with some brain-event of mine. Let M be my feeling of remorse, and let B be the corresponding brain-event. Suppose that I sincerely and accurately express my remorse—taking care to discuss its origins, its exact content, etc. Let SM be this statement. And suppose that I see an accurate image of B on a giant monitor, and I thoroughly and accurately describe what I see. Let SB be </w:t>
      </w:r>
      <w:r>
        <w:rPr>
          <w:i/>
        </w:rPr>
        <w:t xml:space="preserve">this </w:t>
      </w:r>
      <w:r>
        <w:t>statement.</w:t>
      </w:r>
    </w:p>
    <w:p w14:paraId="7E00187B" w14:textId="77777777" w:rsidR="009A58DB" w:rsidRDefault="00000000">
      <w:pPr>
        <w:pStyle w:val="BodyText"/>
        <w:spacing w:before="10" w:line="249" w:lineRule="auto"/>
        <w:ind w:right="358" w:firstLine="360"/>
      </w:pPr>
      <w:r>
        <w:t xml:space="preserve">SM describes the very same </w:t>
      </w:r>
      <w:r>
        <w:rPr>
          <w:i/>
        </w:rPr>
        <w:t xml:space="preserve">event </w:t>
      </w:r>
      <w:r>
        <w:t xml:space="preserve">as SB. But the </w:t>
      </w:r>
      <w:r>
        <w:rPr>
          <w:i/>
        </w:rPr>
        <w:t xml:space="preserve">data </w:t>
      </w:r>
      <w:r>
        <w:t xml:space="preserve">of which SM is a synthesis doesn’t even overlap with the data of which SB is a synthesis. Even if mental </w:t>
      </w:r>
      <w:r>
        <w:rPr>
          <w:i/>
        </w:rPr>
        <w:t xml:space="preserve">events </w:t>
      </w:r>
      <w:r>
        <w:t xml:space="preserve">are identical with physical </w:t>
      </w:r>
      <w:r>
        <w:rPr>
          <w:i/>
        </w:rPr>
        <w:t xml:space="preserve">events, </w:t>
      </w:r>
      <w:r>
        <w:t xml:space="preserve">the </w:t>
      </w:r>
      <w:r>
        <w:rPr>
          <w:i/>
        </w:rPr>
        <w:t xml:space="preserve">data </w:t>
      </w:r>
      <w:r>
        <w:t xml:space="preserve">of which mentalistic </w:t>
      </w:r>
      <w:r>
        <w:rPr>
          <w:i/>
        </w:rPr>
        <w:t xml:space="preserve">statements </w:t>
      </w:r>
      <w:r>
        <w:t xml:space="preserve">are syntheses doesn’t even overlap with the </w:t>
      </w:r>
      <w:r>
        <w:rPr>
          <w:i/>
        </w:rPr>
        <w:t xml:space="preserve">data </w:t>
      </w:r>
      <w:r>
        <w:t xml:space="preserve">of which physicalistic statements are syntheses. This means that, given the data of which any mentalistic statement is a correct synthesis, it is epistemically possible that none of the data of which any given physicalistic statement is a correct synthesis even exists. Mentalistic statements don’t model the same data as physicalistic statements, or </w:t>
      </w:r>
      <w:r>
        <w:rPr>
          <w:i/>
        </w:rPr>
        <w:t xml:space="preserve">vice versa. </w:t>
      </w:r>
      <w:r>
        <w:t xml:space="preserve">So even though the </w:t>
      </w:r>
      <w:r>
        <w:rPr>
          <w:i/>
        </w:rPr>
        <w:t xml:space="preserve">facts </w:t>
      </w:r>
      <w:r>
        <w:t xml:space="preserve">described by the former probably are identical with (a subset of) the </w:t>
      </w:r>
      <w:r>
        <w:rPr>
          <w:i/>
        </w:rPr>
        <w:t xml:space="preserve">facts </w:t>
      </w:r>
      <w:r>
        <w:t>described by the latter, any statement belonging to the one category leaves it completely open whether any given statement belonging to the other is correct or not.</w:t>
      </w:r>
    </w:p>
    <w:p w14:paraId="7E00187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7D" w14:textId="77777777" w:rsidR="009A58DB" w:rsidRDefault="00000000">
      <w:pPr>
        <w:pStyle w:val="Heading1"/>
        <w:numPr>
          <w:ilvl w:val="2"/>
          <w:numId w:val="122"/>
        </w:numPr>
        <w:tabs>
          <w:tab w:val="left" w:pos="1305"/>
        </w:tabs>
        <w:spacing w:before="173"/>
        <w:ind w:left="1305" w:hanging="945"/>
      </w:pPr>
      <w:r>
        <w:lastRenderedPageBreak/>
        <w:t>Davidson’s</w:t>
      </w:r>
      <w:r>
        <w:rPr>
          <w:spacing w:val="-7"/>
        </w:rPr>
        <w:t xml:space="preserve"> </w:t>
      </w:r>
      <w:r>
        <w:t>argument</w:t>
      </w:r>
      <w:r>
        <w:rPr>
          <w:spacing w:val="-5"/>
        </w:rPr>
        <w:t xml:space="preserve"> </w:t>
      </w:r>
      <w:r>
        <w:t>for</w:t>
      </w:r>
      <w:r>
        <w:rPr>
          <w:spacing w:val="-5"/>
        </w:rPr>
        <w:t xml:space="preserve"> </w:t>
      </w:r>
      <w:r>
        <w:t>the</w:t>
      </w:r>
      <w:r>
        <w:rPr>
          <w:spacing w:val="-5"/>
        </w:rPr>
        <w:t xml:space="preserve"> </w:t>
      </w:r>
      <w:r>
        <w:t>explanatory</w:t>
      </w:r>
      <w:r>
        <w:rPr>
          <w:spacing w:val="-4"/>
        </w:rPr>
        <w:t xml:space="preserve"> </w:t>
      </w:r>
      <w:r>
        <w:rPr>
          <w:spacing w:val="-5"/>
        </w:rPr>
        <w:t>gap</w:t>
      </w:r>
    </w:p>
    <w:p w14:paraId="7E00187E" w14:textId="77777777" w:rsidR="009A58DB" w:rsidRDefault="00000000">
      <w:pPr>
        <w:pStyle w:val="BodyText"/>
        <w:spacing w:before="139" w:line="249" w:lineRule="auto"/>
        <w:jc w:val="left"/>
      </w:pPr>
      <w:r>
        <w:t>In his paper “Mental Events,</w:t>
      </w:r>
      <w:bookmarkStart w:id="318" w:name="_bookmark318"/>
      <w:bookmarkEnd w:id="318"/>
      <w:r>
        <w:t>”</w:t>
      </w:r>
      <w:r>
        <w:rPr>
          <w:color w:val="0562C1"/>
          <w:position w:val="21"/>
          <w:u w:val="single" w:color="0562C1"/>
        </w:rPr>
        <w:t>[214]</w:t>
      </w:r>
      <w:r>
        <w:rPr>
          <w:color w:val="0562C1"/>
          <w:position w:val="21"/>
        </w:rPr>
        <w:t xml:space="preserve"> </w:t>
      </w:r>
      <w:r>
        <w:t>Donald Davidson argues that there is an explanatory gap. Here is his argument:</w:t>
      </w:r>
    </w:p>
    <w:p w14:paraId="7E00187F" w14:textId="77777777" w:rsidR="009A58DB" w:rsidRDefault="009A58DB">
      <w:pPr>
        <w:pStyle w:val="BodyText"/>
        <w:spacing w:before="17"/>
        <w:ind w:left="0"/>
        <w:jc w:val="left"/>
      </w:pPr>
    </w:p>
    <w:p w14:paraId="7E001880" w14:textId="77777777" w:rsidR="009A58DB" w:rsidRDefault="00000000">
      <w:pPr>
        <w:pStyle w:val="BodyText"/>
        <w:spacing w:line="249" w:lineRule="auto"/>
        <w:ind w:left="720" w:right="732" w:firstLine="360"/>
      </w:pPr>
      <w:r>
        <w:t>(D</w:t>
      </w:r>
      <w:bookmarkStart w:id="319" w:name="_bookmark319"/>
      <w:bookmarkEnd w:id="319"/>
      <w:r>
        <w:t>A</w:t>
      </w:r>
      <w:r>
        <w:rPr>
          <w:color w:val="0562C1"/>
          <w:position w:val="21"/>
          <w:u w:val="single" w:color="0562C1"/>
        </w:rPr>
        <w:t>[215]</w:t>
      </w:r>
      <w:r>
        <w:t>) Suppose the following. x is some event in Smith’s brain. x also constitutes a desire on Smith’s part to become a lawyer.</w:t>
      </w:r>
    </w:p>
    <w:p w14:paraId="7E001881" w14:textId="77777777" w:rsidR="009A58DB" w:rsidRDefault="00000000">
      <w:pPr>
        <w:pStyle w:val="BodyText"/>
        <w:spacing w:before="3" w:line="249" w:lineRule="auto"/>
        <w:ind w:left="720" w:right="718" w:firstLine="360"/>
      </w:pPr>
      <w:r>
        <w:t>Question: why does x constitute such a desire? Answer: because, given the thoughts and deeds on Smith’s part that x follows and given the</w:t>
      </w:r>
      <w:r>
        <w:rPr>
          <w:spacing w:val="-1"/>
        </w:rPr>
        <w:t xml:space="preserve"> </w:t>
      </w:r>
      <w:r>
        <w:t>thoughts</w:t>
      </w:r>
      <w:r>
        <w:rPr>
          <w:spacing w:val="-1"/>
        </w:rPr>
        <w:t xml:space="preserve"> </w:t>
      </w:r>
      <w:r>
        <w:t>and</w:t>
      </w:r>
      <w:r>
        <w:rPr>
          <w:spacing w:val="-1"/>
        </w:rPr>
        <w:t xml:space="preserve"> </w:t>
      </w:r>
      <w:r>
        <w:t>Smith’s</w:t>
      </w:r>
      <w:r>
        <w:rPr>
          <w:spacing w:val="-1"/>
        </w:rPr>
        <w:t xml:space="preserve"> </w:t>
      </w:r>
      <w:r>
        <w:t>part</w:t>
      </w:r>
      <w:r>
        <w:rPr>
          <w:spacing w:val="-1"/>
        </w:rPr>
        <w:t xml:space="preserve"> </w:t>
      </w:r>
      <w:r>
        <w:t>that</w:t>
      </w:r>
      <w:r>
        <w:rPr>
          <w:spacing w:val="-1"/>
        </w:rPr>
        <w:t xml:space="preserve"> </w:t>
      </w:r>
      <w:r>
        <w:t>x</w:t>
      </w:r>
      <w:r>
        <w:rPr>
          <w:spacing w:val="-1"/>
        </w:rPr>
        <w:t xml:space="preserve"> </w:t>
      </w:r>
      <w:r>
        <w:t>precedes,</w:t>
      </w:r>
      <w:r>
        <w:rPr>
          <w:spacing w:val="-1"/>
        </w:rPr>
        <w:t xml:space="preserve"> </w:t>
      </w:r>
      <w:r>
        <w:t>it</w:t>
      </w:r>
      <w:r>
        <w:rPr>
          <w:spacing w:val="-1"/>
        </w:rPr>
        <w:t xml:space="preserve"> </w:t>
      </w:r>
      <w:r>
        <w:t>makes</w:t>
      </w:r>
      <w:r>
        <w:rPr>
          <w:spacing w:val="-1"/>
        </w:rPr>
        <w:t xml:space="preserve"> </w:t>
      </w:r>
      <w:r>
        <w:rPr>
          <w:i/>
        </w:rPr>
        <w:t>sense</w:t>
      </w:r>
      <w:r>
        <w:rPr>
          <w:i/>
          <w:spacing w:val="-3"/>
        </w:rPr>
        <w:t xml:space="preserve"> </w:t>
      </w:r>
      <w:r>
        <w:t>to see x as a desire on Smith’s part to become a lawyer. It is analytic that a desire on somebody’s part to become a lawyer have certain causes and also certain effects. It is analytic that, given certain circumstances, a desire to become a lawyer lead one to study for the LSAT, apply to law school, and so on. And it’s analytic that, given certain circumstances, a desire to become a lawyer result from one’s belief that the lawyering is the best way to promote the interests of justice (or whatnot).</w:t>
      </w:r>
    </w:p>
    <w:p w14:paraId="7E001882" w14:textId="77777777" w:rsidR="009A58DB" w:rsidRDefault="00000000">
      <w:pPr>
        <w:spacing w:before="12" w:line="249" w:lineRule="auto"/>
        <w:ind w:left="720" w:right="721" w:firstLine="360"/>
        <w:jc w:val="both"/>
        <w:rPr>
          <w:sz w:val="30"/>
        </w:rPr>
      </w:pPr>
      <w:r>
        <w:rPr>
          <w:sz w:val="30"/>
        </w:rPr>
        <w:t xml:space="preserve">Before we take the next step in our argument, we must generalize these points. Let P be an arbitrary physical event and let M be an arbitrary mental category. (An example of a mental category would be </w:t>
      </w:r>
      <w:r>
        <w:rPr>
          <w:i/>
          <w:sz w:val="30"/>
        </w:rPr>
        <w:t xml:space="preserve">belief that snow is white, desire to become a senator, regret at never having learned to play a musical instrument. </w:t>
      </w:r>
      <w:r>
        <w:rPr>
          <w:sz w:val="30"/>
        </w:rPr>
        <w:t>So for x to fall into the category</w:t>
      </w:r>
      <w:r>
        <w:rPr>
          <w:spacing w:val="-2"/>
          <w:sz w:val="30"/>
        </w:rPr>
        <w:t xml:space="preserve"> </w:t>
      </w:r>
      <w:r>
        <w:rPr>
          <w:i/>
          <w:sz w:val="30"/>
        </w:rPr>
        <w:t xml:space="preserve">desire to become a senator </w:t>
      </w:r>
      <w:r>
        <w:rPr>
          <w:sz w:val="30"/>
        </w:rPr>
        <w:t xml:space="preserve">is for x to be a desire to become a senator.) If P is to fall into M, it is necessary and sufficient that, given what P’s owner thought and did prior to P’s occurrence, and given also what P’s owner thought and did </w:t>
      </w:r>
      <w:r>
        <w:rPr>
          <w:i/>
          <w:sz w:val="30"/>
        </w:rPr>
        <w:t xml:space="preserve">after </w:t>
      </w:r>
      <w:r>
        <w:rPr>
          <w:sz w:val="30"/>
        </w:rPr>
        <w:t xml:space="preserve">its occurrence, it </w:t>
      </w:r>
      <w:r>
        <w:rPr>
          <w:i/>
          <w:sz w:val="30"/>
        </w:rPr>
        <w:t xml:space="preserve">makes sense </w:t>
      </w:r>
      <w:r>
        <w:rPr>
          <w:sz w:val="30"/>
        </w:rPr>
        <w:t>to suppose that P is an instance of M. In other words, for P to fall into M</w:t>
      </w:r>
      <w:r>
        <w:rPr>
          <w:spacing w:val="40"/>
          <w:sz w:val="30"/>
        </w:rPr>
        <w:t xml:space="preserve"> </w:t>
      </w:r>
      <w:r>
        <w:rPr>
          <w:sz w:val="30"/>
        </w:rPr>
        <w:t>is</w:t>
      </w:r>
      <w:r>
        <w:rPr>
          <w:spacing w:val="20"/>
          <w:sz w:val="30"/>
        </w:rPr>
        <w:t xml:space="preserve"> </w:t>
      </w:r>
      <w:r>
        <w:rPr>
          <w:sz w:val="30"/>
        </w:rPr>
        <w:t>for</w:t>
      </w:r>
      <w:r>
        <w:rPr>
          <w:spacing w:val="20"/>
          <w:sz w:val="30"/>
        </w:rPr>
        <w:t xml:space="preserve"> </w:t>
      </w:r>
      <w:r>
        <w:rPr>
          <w:sz w:val="30"/>
        </w:rPr>
        <w:t>P</w:t>
      </w:r>
      <w:r>
        <w:rPr>
          <w:spacing w:val="20"/>
          <w:sz w:val="30"/>
        </w:rPr>
        <w:t xml:space="preserve"> </w:t>
      </w:r>
      <w:r>
        <w:rPr>
          <w:sz w:val="30"/>
        </w:rPr>
        <w:t>to</w:t>
      </w:r>
      <w:r>
        <w:rPr>
          <w:spacing w:val="20"/>
          <w:sz w:val="30"/>
        </w:rPr>
        <w:t xml:space="preserve"> </w:t>
      </w:r>
      <w:r>
        <w:rPr>
          <w:sz w:val="30"/>
        </w:rPr>
        <w:t>be</w:t>
      </w:r>
      <w:r>
        <w:rPr>
          <w:spacing w:val="20"/>
          <w:sz w:val="30"/>
        </w:rPr>
        <w:t xml:space="preserve"> </w:t>
      </w:r>
      <w:r>
        <w:rPr>
          <w:sz w:val="30"/>
        </w:rPr>
        <w:t>such</w:t>
      </w:r>
      <w:r>
        <w:rPr>
          <w:spacing w:val="20"/>
          <w:sz w:val="30"/>
        </w:rPr>
        <w:t xml:space="preserve"> </w:t>
      </w:r>
      <w:r>
        <w:rPr>
          <w:sz w:val="30"/>
        </w:rPr>
        <w:t>that</w:t>
      </w:r>
      <w:r>
        <w:rPr>
          <w:spacing w:val="20"/>
          <w:sz w:val="30"/>
        </w:rPr>
        <w:t xml:space="preserve"> </w:t>
      </w:r>
      <w:r>
        <w:rPr>
          <w:sz w:val="30"/>
        </w:rPr>
        <w:t>it</w:t>
      </w:r>
      <w:r>
        <w:rPr>
          <w:spacing w:val="20"/>
          <w:sz w:val="30"/>
        </w:rPr>
        <w:t xml:space="preserve"> </w:t>
      </w:r>
      <w:r>
        <w:rPr>
          <w:sz w:val="30"/>
        </w:rPr>
        <w:t>can</w:t>
      </w:r>
      <w:r>
        <w:rPr>
          <w:spacing w:val="20"/>
          <w:sz w:val="30"/>
        </w:rPr>
        <w:t xml:space="preserve"> </w:t>
      </w:r>
      <w:r>
        <w:rPr>
          <w:sz w:val="30"/>
        </w:rPr>
        <w:t>be</w:t>
      </w:r>
      <w:r>
        <w:rPr>
          <w:spacing w:val="20"/>
          <w:sz w:val="30"/>
        </w:rPr>
        <w:t xml:space="preserve"> </w:t>
      </w:r>
      <w:r>
        <w:rPr>
          <w:i/>
          <w:sz w:val="30"/>
        </w:rPr>
        <w:t>reasonably</w:t>
      </w:r>
      <w:r>
        <w:rPr>
          <w:i/>
          <w:spacing w:val="20"/>
          <w:sz w:val="30"/>
        </w:rPr>
        <w:t xml:space="preserve"> </w:t>
      </w:r>
      <w:r>
        <w:rPr>
          <w:i/>
          <w:sz w:val="30"/>
        </w:rPr>
        <w:t>interpreted</w:t>
      </w:r>
      <w:r>
        <w:rPr>
          <w:i/>
          <w:spacing w:val="20"/>
          <w:sz w:val="30"/>
        </w:rPr>
        <w:t xml:space="preserve"> </w:t>
      </w:r>
      <w:r>
        <w:rPr>
          <w:sz w:val="30"/>
        </w:rPr>
        <w:t>as</w:t>
      </w:r>
      <w:r>
        <w:rPr>
          <w:spacing w:val="20"/>
          <w:sz w:val="30"/>
        </w:rPr>
        <w:t xml:space="preserve"> </w:t>
      </w:r>
      <w:r>
        <w:rPr>
          <w:sz w:val="30"/>
        </w:rPr>
        <w:t>falling</w:t>
      </w:r>
      <w:r>
        <w:rPr>
          <w:spacing w:val="20"/>
          <w:sz w:val="30"/>
        </w:rPr>
        <w:t xml:space="preserve"> </w:t>
      </w:r>
      <w:r>
        <w:rPr>
          <w:spacing w:val="-4"/>
          <w:sz w:val="30"/>
        </w:rPr>
        <w:t>into</w:t>
      </w:r>
    </w:p>
    <w:p w14:paraId="7E001883" w14:textId="77777777" w:rsidR="009A58DB" w:rsidRDefault="00000000">
      <w:pPr>
        <w:pStyle w:val="BodyText"/>
        <w:spacing w:before="13" w:line="249" w:lineRule="auto"/>
        <w:ind w:left="720" w:right="731"/>
      </w:pPr>
      <w:r>
        <w:t xml:space="preserve">M. To be a belief that 1 + 1 = 2 is to be interpretable as being such a </w:t>
      </w:r>
      <w:r>
        <w:rPr>
          <w:spacing w:val="-2"/>
        </w:rPr>
        <w:t>belief.</w:t>
      </w:r>
    </w:p>
    <w:p w14:paraId="7E001884" w14:textId="77777777" w:rsidR="009A58DB" w:rsidRDefault="00000000">
      <w:pPr>
        <w:pStyle w:val="BodyText"/>
        <w:spacing w:before="3" w:line="249" w:lineRule="auto"/>
        <w:ind w:left="720" w:right="725" w:firstLine="360"/>
      </w:pPr>
      <w:r>
        <w:t xml:space="preserve">This must be understood aright. Supposing that P is a belief that 1 + 1 = 2, there isn’t anything </w:t>
      </w:r>
      <w:r>
        <w:rPr>
          <w:i/>
        </w:rPr>
        <w:t xml:space="preserve">other </w:t>
      </w:r>
      <w:r>
        <w:t>than P’s being interpretable as being such a belief that makes it be such a belief. It’s being thus interpretable</w:t>
      </w:r>
    </w:p>
    <w:p w14:paraId="7E001885" w14:textId="77777777" w:rsidR="009A58DB" w:rsidRDefault="009A58DB">
      <w:pPr>
        <w:pStyle w:val="BodyText"/>
        <w:spacing w:line="249" w:lineRule="auto"/>
        <w:sectPr w:rsidR="009A58DB">
          <w:pgSz w:w="12240" w:h="15840"/>
          <w:pgMar w:top="1820" w:right="1080" w:bottom="280" w:left="1080" w:header="720" w:footer="720" w:gutter="0"/>
          <w:cols w:space="720"/>
        </w:sectPr>
      </w:pPr>
    </w:p>
    <w:p w14:paraId="7E001886" w14:textId="77777777" w:rsidR="009A58DB" w:rsidRDefault="00000000">
      <w:pPr>
        <w:pStyle w:val="BodyText"/>
        <w:spacing w:before="60" w:line="249" w:lineRule="auto"/>
        <w:ind w:left="720" w:right="717"/>
      </w:pPr>
      <w:r>
        <w:lastRenderedPageBreak/>
        <w:t xml:space="preserve">isn’t a </w:t>
      </w:r>
      <w:r>
        <w:rPr>
          <w:i/>
        </w:rPr>
        <w:t xml:space="preserve">consequence </w:t>
      </w:r>
      <w:r>
        <w:t xml:space="preserve">of it’s being such a belief: it </w:t>
      </w:r>
      <w:r>
        <w:rPr>
          <w:i/>
        </w:rPr>
        <w:t xml:space="preserve">is </w:t>
      </w:r>
      <w:r>
        <w:t>its being such a belief. In general, there isn’t anything to anything’s being an instance</w:t>
      </w:r>
      <w:r>
        <w:rPr>
          <w:spacing w:val="40"/>
        </w:rPr>
        <w:t xml:space="preserve"> </w:t>
      </w:r>
      <w:r>
        <w:t>of mental category M other than it’s being such that it can reasonably be seen as being such an instance.</w:t>
      </w:r>
    </w:p>
    <w:p w14:paraId="7E001887" w14:textId="77777777" w:rsidR="009A58DB" w:rsidRDefault="00000000">
      <w:pPr>
        <w:pStyle w:val="BodyText"/>
        <w:spacing w:before="10"/>
        <w:ind w:left="1080"/>
      </w:pPr>
      <w:r>
        <w:t>To</w:t>
      </w:r>
      <w:r>
        <w:rPr>
          <w:spacing w:val="9"/>
        </w:rPr>
        <w:t xml:space="preserve"> </w:t>
      </w:r>
      <w:r>
        <w:t>move</w:t>
      </w:r>
      <w:r>
        <w:rPr>
          <w:spacing w:val="9"/>
        </w:rPr>
        <w:t xml:space="preserve"> </w:t>
      </w:r>
      <w:r>
        <w:t>forward,</w:t>
      </w:r>
      <w:r>
        <w:rPr>
          <w:spacing w:val="9"/>
        </w:rPr>
        <w:t xml:space="preserve"> </w:t>
      </w:r>
      <w:r>
        <w:t>let</w:t>
      </w:r>
      <w:r>
        <w:rPr>
          <w:spacing w:val="10"/>
        </w:rPr>
        <w:t xml:space="preserve"> </w:t>
      </w:r>
      <w:r>
        <w:t>us</w:t>
      </w:r>
      <w:r>
        <w:rPr>
          <w:spacing w:val="9"/>
        </w:rPr>
        <w:t xml:space="preserve"> </w:t>
      </w:r>
      <w:r>
        <w:t>continue</w:t>
      </w:r>
      <w:r>
        <w:rPr>
          <w:spacing w:val="9"/>
        </w:rPr>
        <w:t xml:space="preserve"> </w:t>
      </w:r>
      <w:r>
        <w:t>to</w:t>
      </w:r>
      <w:r>
        <w:rPr>
          <w:spacing w:val="10"/>
        </w:rPr>
        <w:t xml:space="preserve"> </w:t>
      </w:r>
      <w:r>
        <w:t>suppose</w:t>
      </w:r>
      <w:r>
        <w:rPr>
          <w:spacing w:val="9"/>
        </w:rPr>
        <w:t xml:space="preserve"> </w:t>
      </w:r>
      <w:r>
        <w:t>that</w:t>
      </w:r>
      <w:r>
        <w:rPr>
          <w:spacing w:val="9"/>
        </w:rPr>
        <w:t xml:space="preserve"> </w:t>
      </w:r>
      <w:r>
        <w:t>P</w:t>
      </w:r>
      <w:r>
        <w:rPr>
          <w:spacing w:val="9"/>
        </w:rPr>
        <w:t xml:space="preserve"> </w:t>
      </w:r>
      <w:r>
        <w:t>is</w:t>
      </w:r>
      <w:r>
        <w:rPr>
          <w:spacing w:val="10"/>
        </w:rPr>
        <w:t xml:space="preserve"> </w:t>
      </w:r>
      <w:r>
        <w:t>a</w:t>
      </w:r>
      <w:r>
        <w:rPr>
          <w:spacing w:val="9"/>
        </w:rPr>
        <w:t xml:space="preserve"> </w:t>
      </w:r>
      <w:r>
        <w:t>belief</w:t>
      </w:r>
      <w:r>
        <w:rPr>
          <w:spacing w:val="9"/>
        </w:rPr>
        <w:t xml:space="preserve"> </w:t>
      </w:r>
      <w:r>
        <w:t>that</w:t>
      </w:r>
      <w:r>
        <w:rPr>
          <w:spacing w:val="10"/>
        </w:rPr>
        <w:t xml:space="preserve"> </w:t>
      </w:r>
      <w:r>
        <w:rPr>
          <w:spacing w:val="-10"/>
        </w:rPr>
        <w:t>1</w:t>
      </w:r>
    </w:p>
    <w:p w14:paraId="7E001888" w14:textId="77777777" w:rsidR="009A58DB" w:rsidRDefault="00000000">
      <w:pPr>
        <w:pStyle w:val="BodyText"/>
        <w:spacing w:before="15" w:line="249" w:lineRule="auto"/>
        <w:ind w:left="720" w:right="720"/>
      </w:pPr>
      <w:r>
        <w:t xml:space="preserve">+ 1 = 2. Let us also suppose that P is a brain-event and, in addition, that P falls into </w:t>
      </w:r>
      <w:r>
        <w:rPr>
          <w:i/>
        </w:rPr>
        <w:t xml:space="preserve">physical </w:t>
      </w:r>
      <w:r>
        <w:t>category C.</w:t>
      </w:r>
    </w:p>
    <w:p w14:paraId="7E001889" w14:textId="77777777" w:rsidR="009A58DB" w:rsidRDefault="00000000">
      <w:pPr>
        <w:pStyle w:val="BodyText"/>
        <w:spacing w:before="2" w:line="249" w:lineRule="auto"/>
        <w:ind w:left="720" w:right="720" w:firstLine="360"/>
      </w:pPr>
      <w:r>
        <w:t>For P to fall into C isn’t for P to be such that it can reasonably be interpreted as falling into C. It isn’t in virtue of what P’s owner does or thinks before or after P’s occurrence that P falls into this as opposed to that physical category. If P falls into a given physical category, it is in virtue of its chemical structure, or some such, it being irrelevant whether so categorizing P has the consequence that P’s owner is rational or not.</w:t>
      </w:r>
    </w:p>
    <w:p w14:paraId="7E00188A" w14:textId="77777777" w:rsidR="009A58DB" w:rsidRDefault="00000000">
      <w:pPr>
        <w:pStyle w:val="BodyText"/>
        <w:spacing w:before="9" w:line="249" w:lineRule="auto"/>
        <w:ind w:left="720" w:right="722" w:firstLine="360"/>
      </w:pPr>
      <w:r>
        <w:t>It follows that, even though mental events are identical with brain-events, the reasons for which a given event is mental are different from those in virtue of which it’s physical. Moreover, the former reasons cannot be understood in terms of the latter. Thus, there is an explanatory gap.</w:t>
      </w:r>
    </w:p>
    <w:p w14:paraId="7E00188B" w14:textId="77777777" w:rsidR="009A58DB" w:rsidRDefault="009A58DB">
      <w:pPr>
        <w:pStyle w:val="BodyText"/>
        <w:spacing w:before="21"/>
        <w:ind w:left="0"/>
        <w:jc w:val="left"/>
      </w:pPr>
    </w:p>
    <w:p w14:paraId="7E00188C" w14:textId="77777777" w:rsidR="009A58DB" w:rsidRDefault="00000000">
      <w:pPr>
        <w:pStyle w:val="BodyText"/>
        <w:spacing w:line="249" w:lineRule="auto"/>
        <w:ind w:right="366" w:firstLine="360"/>
      </w:pPr>
      <w:r>
        <w:t xml:space="preserve">Although I personally agree with Davidson that there is an explanatory gap, DA utterly fails to establish this. This is because it depends on two false </w:t>
      </w:r>
      <w:r>
        <w:rPr>
          <w:spacing w:val="-2"/>
        </w:rPr>
        <w:t>assumptions.</w:t>
      </w:r>
    </w:p>
    <w:p w14:paraId="7E00188D" w14:textId="77777777" w:rsidR="009A58DB" w:rsidRDefault="00000000">
      <w:pPr>
        <w:pStyle w:val="BodyText"/>
        <w:spacing w:before="4" w:line="249" w:lineRule="auto"/>
        <w:ind w:right="357" w:firstLine="360"/>
      </w:pPr>
      <w:r>
        <w:t xml:space="preserve">The first is the assumption that to be a belief that 1 + 1 = 2 (or a desire to lose weight or an intention to buy a car, etc.) is to be interpretable as being such a belief (or desire or wish, etc.). In addition to being deeply counterintuitive, Davidson’s “interpretivist” view of the mental is demonstrably false. According to Davidson’s interpretivism, for brain-event x, had by person A, to fall into mental category M is for it to be the case that, if x is assumed to fall into M, then A is, to that that extent, rational. If this were right, nobody could possibly make any erroneous inferences; nobody could ever think or act irrationally. For, by Davidson’s lights, if x doesn’t have the consequences that a belief that 1 + 1 = 2 </w:t>
      </w:r>
      <w:r>
        <w:rPr>
          <w:i/>
        </w:rPr>
        <w:t xml:space="preserve">should </w:t>
      </w:r>
      <w:r>
        <w:t xml:space="preserve">have, it </w:t>
      </w:r>
      <w:r>
        <w:rPr>
          <w:i/>
        </w:rPr>
        <w:t xml:space="preserve">ipso facto </w:t>
      </w:r>
      <w:r>
        <w:t>isn’t a belief that 1 + 1 = 2. But people make erroneous inferences from their beliefs; people aren’t always rational. Therefore, Davidson is wrong.</w:t>
      </w:r>
    </w:p>
    <w:p w14:paraId="7E00188E" w14:textId="77777777" w:rsidR="009A58DB" w:rsidRDefault="00000000">
      <w:pPr>
        <w:pStyle w:val="BodyText"/>
        <w:spacing w:before="14"/>
        <w:ind w:left="720"/>
      </w:pPr>
      <w:r>
        <w:t>Also,</w:t>
      </w:r>
      <w:r>
        <w:rPr>
          <w:spacing w:val="27"/>
        </w:rPr>
        <w:t xml:space="preserve"> </w:t>
      </w:r>
      <w:r>
        <w:t>Davidson’s</w:t>
      </w:r>
      <w:r>
        <w:rPr>
          <w:spacing w:val="27"/>
        </w:rPr>
        <w:t xml:space="preserve"> </w:t>
      </w:r>
      <w:r>
        <w:t>argument</w:t>
      </w:r>
      <w:r>
        <w:rPr>
          <w:spacing w:val="28"/>
        </w:rPr>
        <w:t xml:space="preserve"> </w:t>
      </w:r>
      <w:r>
        <w:t>assumes</w:t>
      </w:r>
      <w:r>
        <w:rPr>
          <w:spacing w:val="27"/>
        </w:rPr>
        <w:t xml:space="preserve"> </w:t>
      </w:r>
      <w:r>
        <w:t>the</w:t>
      </w:r>
      <w:r>
        <w:rPr>
          <w:spacing w:val="28"/>
        </w:rPr>
        <w:t xml:space="preserve"> </w:t>
      </w:r>
      <w:r>
        <w:t>truth</w:t>
      </w:r>
      <w:r>
        <w:rPr>
          <w:spacing w:val="27"/>
        </w:rPr>
        <w:t xml:space="preserve"> </w:t>
      </w:r>
      <w:r>
        <w:t>of</w:t>
      </w:r>
      <w:r>
        <w:rPr>
          <w:spacing w:val="28"/>
        </w:rPr>
        <w:t xml:space="preserve"> </w:t>
      </w:r>
      <w:r>
        <w:t>functionalism</w:t>
      </w:r>
      <w:r>
        <w:rPr>
          <w:spacing w:val="27"/>
        </w:rPr>
        <w:t xml:space="preserve"> </w:t>
      </w:r>
      <w:r>
        <w:t>which,</w:t>
      </w:r>
      <w:r>
        <w:rPr>
          <w:spacing w:val="28"/>
        </w:rPr>
        <w:t xml:space="preserve"> </w:t>
      </w:r>
      <w:r>
        <w:rPr>
          <w:spacing w:val="-5"/>
        </w:rPr>
        <w:t>as</w:t>
      </w:r>
    </w:p>
    <w:p w14:paraId="7E00188F" w14:textId="77777777" w:rsidR="009A58DB" w:rsidRDefault="009A58DB">
      <w:pPr>
        <w:pStyle w:val="BodyText"/>
        <w:sectPr w:rsidR="009A58DB">
          <w:pgSz w:w="12240" w:h="15840"/>
          <w:pgMar w:top="1380" w:right="1080" w:bottom="280" w:left="1080" w:header="720" w:footer="720" w:gutter="0"/>
          <w:cols w:space="720"/>
        </w:sectPr>
      </w:pPr>
    </w:p>
    <w:p w14:paraId="7E001890" w14:textId="77777777" w:rsidR="009A58DB" w:rsidRDefault="00000000">
      <w:pPr>
        <w:pStyle w:val="BodyText"/>
        <w:spacing w:before="65"/>
      </w:pPr>
      <w:r>
        <w:lastRenderedPageBreak/>
        <w:t>previously</w:t>
      </w:r>
      <w:r>
        <w:rPr>
          <w:spacing w:val="-5"/>
        </w:rPr>
        <w:t xml:space="preserve"> </w:t>
      </w:r>
      <w:r>
        <w:t>stated,</w:t>
      </w:r>
      <w:r>
        <w:rPr>
          <w:spacing w:val="-3"/>
        </w:rPr>
        <w:t xml:space="preserve"> </w:t>
      </w:r>
      <w:r>
        <w:t>we</w:t>
      </w:r>
      <w:r>
        <w:rPr>
          <w:spacing w:val="-4"/>
        </w:rPr>
        <w:t xml:space="preserve"> </w:t>
      </w:r>
      <w:r>
        <w:t>will</w:t>
      </w:r>
      <w:r>
        <w:rPr>
          <w:spacing w:val="-3"/>
        </w:rPr>
        <w:t xml:space="preserve"> </w:t>
      </w:r>
      <w:r>
        <w:t>find</w:t>
      </w:r>
      <w:r>
        <w:rPr>
          <w:spacing w:val="-3"/>
        </w:rPr>
        <w:t xml:space="preserve"> </w:t>
      </w:r>
      <w:r>
        <w:t>to</w:t>
      </w:r>
      <w:r>
        <w:rPr>
          <w:spacing w:val="-3"/>
        </w:rPr>
        <w:t xml:space="preserve"> </w:t>
      </w:r>
      <w:r>
        <w:t>be</w:t>
      </w:r>
      <w:r>
        <w:rPr>
          <w:spacing w:val="-3"/>
        </w:rPr>
        <w:t xml:space="preserve"> </w:t>
      </w:r>
      <w:r>
        <w:t>false</w:t>
      </w:r>
      <w:r>
        <w:rPr>
          <w:spacing w:val="-4"/>
        </w:rPr>
        <w:t xml:space="preserve"> </w:t>
      </w:r>
      <w:r>
        <w:t>in</w:t>
      </w:r>
      <w:r>
        <w:rPr>
          <w:spacing w:val="-3"/>
        </w:rPr>
        <w:t xml:space="preserve"> </w:t>
      </w:r>
      <w:r>
        <w:t>Sections</w:t>
      </w:r>
      <w:r>
        <w:rPr>
          <w:spacing w:val="-3"/>
        </w:rPr>
        <w:t xml:space="preserve"> </w:t>
      </w:r>
      <w:r>
        <w:t>12.0–</w:t>
      </w:r>
      <w:r>
        <w:rPr>
          <w:spacing w:val="-2"/>
        </w:rPr>
        <w:t>12.1.3.</w:t>
      </w:r>
    </w:p>
    <w:p w14:paraId="7E001891" w14:textId="77777777" w:rsidR="009A58DB" w:rsidRDefault="00000000">
      <w:pPr>
        <w:pStyle w:val="Heading1"/>
        <w:numPr>
          <w:ilvl w:val="1"/>
          <w:numId w:val="122"/>
        </w:numPr>
        <w:tabs>
          <w:tab w:val="left" w:pos="990"/>
        </w:tabs>
      </w:pPr>
      <w:r>
        <w:t>Descartes’</w:t>
      </w:r>
      <w:r>
        <w:rPr>
          <w:spacing w:val="-8"/>
        </w:rPr>
        <w:t xml:space="preserve"> </w:t>
      </w:r>
      <w:r>
        <w:t>arguments</w:t>
      </w:r>
      <w:r>
        <w:rPr>
          <w:spacing w:val="-6"/>
        </w:rPr>
        <w:t xml:space="preserve"> </w:t>
      </w:r>
      <w:r>
        <w:t>for</w:t>
      </w:r>
      <w:r>
        <w:rPr>
          <w:spacing w:val="-6"/>
        </w:rPr>
        <w:t xml:space="preserve"> </w:t>
      </w:r>
      <w:r>
        <w:rPr>
          <w:spacing w:val="-2"/>
        </w:rPr>
        <w:t>dualism</w:t>
      </w:r>
    </w:p>
    <w:p w14:paraId="7E001892" w14:textId="77777777" w:rsidR="009A58DB" w:rsidRDefault="00000000">
      <w:pPr>
        <w:pStyle w:val="BodyText"/>
        <w:spacing w:before="139" w:line="249" w:lineRule="auto"/>
        <w:ind w:right="363"/>
      </w:pPr>
      <w:r>
        <w:t>Descartes provided a straightforward and, at an intuitive level, compelling argument for (1). Here it is. I can believe that x is a feeling (or belief or intention) without believing that x is a brain-state. Therefore, x cannot be a brain-state if x is a feeling (or belief or intention).</w:t>
      </w:r>
    </w:p>
    <w:p w14:paraId="7E001893" w14:textId="77777777" w:rsidR="009A58DB" w:rsidRDefault="00000000">
      <w:pPr>
        <w:pStyle w:val="Heading6"/>
        <w:spacing w:before="110"/>
      </w:pPr>
      <w:r>
        <w:t>This</w:t>
      </w:r>
      <w:r>
        <w:rPr>
          <w:spacing w:val="-5"/>
        </w:rPr>
        <w:t xml:space="preserve"> </w:t>
      </w:r>
      <w:r>
        <w:t>argument</w:t>
      </w:r>
      <w:r>
        <w:rPr>
          <w:spacing w:val="-5"/>
        </w:rPr>
        <w:t xml:space="preserve"> </w:t>
      </w:r>
      <w:r>
        <w:rPr>
          <w:spacing w:val="-2"/>
        </w:rPr>
        <w:t>evaluated</w:t>
      </w:r>
    </w:p>
    <w:p w14:paraId="7E001894" w14:textId="77777777" w:rsidR="009A58DB" w:rsidRDefault="00000000">
      <w:pPr>
        <w:pStyle w:val="BodyText"/>
        <w:spacing w:before="75" w:line="249" w:lineRule="auto"/>
        <w:ind w:right="361"/>
      </w:pPr>
      <w:r>
        <w:t>This argument is guilty of the so-called “intensional” fallacy. Remember</w:t>
      </w:r>
      <w:r>
        <w:rPr>
          <w:spacing w:val="40"/>
        </w:rPr>
        <w:t xml:space="preserve"> </w:t>
      </w:r>
      <w:r>
        <w:t xml:space="preserve">what we said about intensional contexts: given only that “Smith thinks that the inventor of bifocals invented bifocals” is true, it doesn’t follow that “Smith thinks that the first postmaster general invented bifocals” is true, </w:t>
      </w:r>
      <w:r>
        <w:rPr>
          <w:i/>
        </w:rPr>
        <w:t xml:space="preserve">even though </w:t>
      </w:r>
      <w:r>
        <w:t xml:space="preserve">the first postmaster general is identical with the inventor of bifocals. Similarly, given only that “Smith thinks that x is a belief” is true, it doesn’t follow that “Smith thinks that x is a brain-state” is true, </w:t>
      </w:r>
      <w:r>
        <w:rPr>
          <w:i/>
        </w:rPr>
        <w:t xml:space="preserve">even if </w:t>
      </w:r>
      <w:r>
        <w:t xml:space="preserve">beliefs </w:t>
      </w:r>
      <w:r>
        <w:rPr>
          <w:i/>
        </w:rPr>
        <w:t xml:space="preserve">are </w:t>
      </w:r>
      <w:r>
        <w:t>in fact brain-states.</w:t>
      </w:r>
    </w:p>
    <w:p w14:paraId="7E001895" w14:textId="77777777" w:rsidR="009A58DB" w:rsidRDefault="00000000">
      <w:pPr>
        <w:pStyle w:val="BodyText"/>
        <w:spacing w:before="9" w:line="249" w:lineRule="auto"/>
        <w:ind w:right="358" w:firstLine="360"/>
      </w:pPr>
      <w:r>
        <w:t>Let us put this more explicitly. The objects of doubt, belief, and all other propositional attitudes are (as you might guess) propositions. So when Descartes says:</w:t>
      </w:r>
    </w:p>
    <w:p w14:paraId="7E001896" w14:textId="77777777" w:rsidR="009A58DB" w:rsidRDefault="00000000">
      <w:pPr>
        <w:pStyle w:val="BodyText"/>
        <w:spacing w:before="109" w:line="312" w:lineRule="auto"/>
        <w:ind w:right="1840"/>
        <w:jc w:val="left"/>
      </w:pPr>
      <w:r>
        <w:t>(i)</w:t>
      </w:r>
      <w:r>
        <w:rPr>
          <w:spacing w:val="-4"/>
        </w:rPr>
        <w:t xml:space="preserve"> </w:t>
      </w:r>
      <w:r>
        <w:t>I</w:t>
      </w:r>
      <w:r>
        <w:rPr>
          <w:spacing w:val="-4"/>
        </w:rPr>
        <w:t xml:space="preserve"> </w:t>
      </w:r>
      <w:r>
        <w:t>can</w:t>
      </w:r>
      <w:r>
        <w:rPr>
          <w:spacing w:val="-3"/>
        </w:rPr>
        <w:t xml:space="preserve"> </w:t>
      </w:r>
      <w:r>
        <w:t>doubt</w:t>
      </w:r>
      <w:r>
        <w:rPr>
          <w:spacing w:val="-4"/>
        </w:rPr>
        <w:t xml:space="preserve"> </w:t>
      </w:r>
      <w:r>
        <w:t>the</w:t>
      </w:r>
      <w:r>
        <w:rPr>
          <w:spacing w:val="-4"/>
        </w:rPr>
        <w:t xml:space="preserve"> </w:t>
      </w:r>
      <w:r>
        <w:t>existence</w:t>
      </w:r>
      <w:r>
        <w:rPr>
          <w:spacing w:val="-4"/>
        </w:rPr>
        <w:t xml:space="preserve"> </w:t>
      </w:r>
      <w:r>
        <w:t>of</w:t>
      </w:r>
      <w:r>
        <w:rPr>
          <w:spacing w:val="-4"/>
        </w:rPr>
        <w:t xml:space="preserve"> </w:t>
      </w:r>
      <w:r>
        <w:t>a</w:t>
      </w:r>
      <w:r>
        <w:rPr>
          <w:spacing w:val="-4"/>
        </w:rPr>
        <w:t xml:space="preserve"> </w:t>
      </w:r>
      <w:r>
        <w:t>world</w:t>
      </w:r>
      <w:r>
        <w:rPr>
          <w:spacing w:val="-3"/>
        </w:rPr>
        <w:t xml:space="preserve"> </w:t>
      </w:r>
      <w:r>
        <w:t>that</w:t>
      </w:r>
      <w:r>
        <w:rPr>
          <w:spacing w:val="-4"/>
        </w:rPr>
        <w:t xml:space="preserve"> </w:t>
      </w:r>
      <w:r>
        <w:t>is</w:t>
      </w:r>
      <w:r>
        <w:rPr>
          <w:spacing w:val="-4"/>
        </w:rPr>
        <w:t xml:space="preserve"> </w:t>
      </w:r>
      <w:r>
        <w:t>not</w:t>
      </w:r>
      <w:r>
        <w:rPr>
          <w:spacing w:val="-4"/>
        </w:rPr>
        <w:t xml:space="preserve"> </w:t>
      </w:r>
      <w:r>
        <w:t>made</w:t>
      </w:r>
      <w:r>
        <w:rPr>
          <w:spacing w:val="-4"/>
        </w:rPr>
        <w:t xml:space="preserve"> </w:t>
      </w:r>
      <w:r>
        <w:t>of</w:t>
      </w:r>
      <w:r>
        <w:rPr>
          <w:spacing w:val="-4"/>
        </w:rPr>
        <w:t xml:space="preserve"> </w:t>
      </w:r>
      <w:r>
        <w:t>matter, what he is really saying is:</w:t>
      </w:r>
    </w:p>
    <w:p w14:paraId="7E001897" w14:textId="77777777" w:rsidR="009A58DB" w:rsidRDefault="00000000">
      <w:pPr>
        <w:spacing w:before="18"/>
        <w:ind w:left="360"/>
        <w:rPr>
          <w:i/>
          <w:sz w:val="30"/>
        </w:rPr>
      </w:pPr>
      <w:r>
        <w:rPr>
          <w:sz w:val="30"/>
        </w:rPr>
        <w:t>(i*)</w:t>
      </w:r>
      <w:r>
        <w:rPr>
          <w:spacing w:val="-5"/>
          <w:sz w:val="30"/>
        </w:rPr>
        <w:t xml:space="preserve"> </w:t>
      </w:r>
      <w:r>
        <w:rPr>
          <w:sz w:val="30"/>
        </w:rPr>
        <w:t>I</w:t>
      </w:r>
      <w:r>
        <w:rPr>
          <w:spacing w:val="-2"/>
          <w:sz w:val="30"/>
        </w:rPr>
        <w:t xml:space="preserve"> </w:t>
      </w:r>
      <w:r>
        <w:rPr>
          <w:sz w:val="30"/>
        </w:rPr>
        <w:t>can</w:t>
      </w:r>
      <w:r>
        <w:rPr>
          <w:spacing w:val="-2"/>
          <w:sz w:val="30"/>
        </w:rPr>
        <w:t xml:space="preserve"> </w:t>
      </w:r>
      <w:r>
        <w:rPr>
          <w:sz w:val="30"/>
        </w:rPr>
        <w:t>doubt</w:t>
      </w:r>
      <w:r>
        <w:rPr>
          <w:spacing w:val="-2"/>
          <w:sz w:val="30"/>
        </w:rPr>
        <w:t xml:space="preserve"> </w:t>
      </w:r>
      <w:r>
        <w:rPr>
          <w:i/>
          <w:sz w:val="30"/>
        </w:rPr>
        <w:t>that</w:t>
      </w:r>
      <w:r>
        <w:rPr>
          <w:i/>
          <w:spacing w:val="-3"/>
          <w:sz w:val="30"/>
        </w:rPr>
        <w:t xml:space="preserve"> </w:t>
      </w:r>
      <w:r>
        <w:rPr>
          <w:i/>
          <w:sz w:val="30"/>
        </w:rPr>
        <w:t>there</w:t>
      </w:r>
      <w:r>
        <w:rPr>
          <w:i/>
          <w:spacing w:val="-2"/>
          <w:sz w:val="30"/>
        </w:rPr>
        <w:t xml:space="preserve"> </w:t>
      </w:r>
      <w:r>
        <w:rPr>
          <w:i/>
          <w:sz w:val="30"/>
        </w:rPr>
        <w:t>exists</w:t>
      </w:r>
      <w:r>
        <w:rPr>
          <w:i/>
          <w:spacing w:val="-3"/>
          <w:sz w:val="30"/>
        </w:rPr>
        <w:t xml:space="preserve"> </w:t>
      </w:r>
      <w:r>
        <w:rPr>
          <w:i/>
          <w:sz w:val="30"/>
        </w:rPr>
        <w:t>a</w:t>
      </w:r>
      <w:r>
        <w:rPr>
          <w:i/>
          <w:spacing w:val="-1"/>
          <w:sz w:val="30"/>
        </w:rPr>
        <w:t xml:space="preserve"> </w:t>
      </w:r>
      <w:r>
        <w:rPr>
          <w:i/>
          <w:sz w:val="30"/>
        </w:rPr>
        <w:t>world</w:t>
      </w:r>
      <w:r>
        <w:rPr>
          <w:i/>
          <w:spacing w:val="-2"/>
          <w:sz w:val="30"/>
        </w:rPr>
        <w:t xml:space="preserve"> </w:t>
      </w:r>
      <w:r>
        <w:rPr>
          <w:i/>
          <w:sz w:val="30"/>
        </w:rPr>
        <w:t>that</w:t>
      </w:r>
      <w:r>
        <w:rPr>
          <w:i/>
          <w:spacing w:val="-2"/>
          <w:sz w:val="30"/>
        </w:rPr>
        <w:t xml:space="preserve"> </w:t>
      </w:r>
      <w:r>
        <w:rPr>
          <w:i/>
          <w:sz w:val="30"/>
        </w:rPr>
        <w:t>is</w:t>
      </w:r>
      <w:r>
        <w:rPr>
          <w:i/>
          <w:spacing w:val="-3"/>
          <w:sz w:val="30"/>
        </w:rPr>
        <w:t xml:space="preserve"> </w:t>
      </w:r>
      <w:r>
        <w:rPr>
          <w:i/>
          <w:sz w:val="30"/>
        </w:rPr>
        <w:t>made</w:t>
      </w:r>
      <w:r>
        <w:rPr>
          <w:i/>
          <w:spacing w:val="-2"/>
          <w:sz w:val="30"/>
        </w:rPr>
        <w:t xml:space="preserve"> </w:t>
      </w:r>
      <w:r>
        <w:rPr>
          <w:i/>
          <w:sz w:val="30"/>
        </w:rPr>
        <w:t>of</w:t>
      </w:r>
      <w:r>
        <w:rPr>
          <w:i/>
          <w:spacing w:val="-2"/>
          <w:sz w:val="30"/>
        </w:rPr>
        <w:t xml:space="preserve"> matter.</w:t>
      </w:r>
    </w:p>
    <w:p w14:paraId="7E001898" w14:textId="77777777" w:rsidR="009A58DB" w:rsidRDefault="00000000">
      <w:pPr>
        <w:pStyle w:val="BodyText"/>
        <w:spacing w:before="120"/>
        <w:jc w:val="left"/>
      </w:pPr>
      <w:r>
        <w:t>And</w:t>
      </w:r>
      <w:r>
        <w:rPr>
          <w:spacing w:val="-4"/>
        </w:rPr>
        <w:t xml:space="preserve"> </w:t>
      </w:r>
      <w:r>
        <w:t>when</w:t>
      </w:r>
      <w:r>
        <w:rPr>
          <w:spacing w:val="-4"/>
        </w:rPr>
        <w:t xml:space="preserve"> </w:t>
      </w:r>
      <w:r>
        <w:t>Descartes</w:t>
      </w:r>
      <w:r>
        <w:rPr>
          <w:spacing w:val="-4"/>
        </w:rPr>
        <w:t xml:space="preserve"> says:</w:t>
      </w:r>
    </w:p>
    <w:p w14:paraId="7E001899" w14:textId="77777777" w:rsidR="009A58DB" w:rsidRDefault="00000000">
      <w:pPr>
        <w:pStyle w:val="BodyText"/>
        <w:spacing w:before="105" w:line="324" w:lineRule="auto"/>
        <w:ind w:right="3829"/>
        <w:jc w:val="left"/>
      </w:pPr>
      <w:r>
        <w:t>(i)</w:t>
      </w:r>
      <w:r>
        <w:rPr>
          <w:spacing w:val="-5"/>
        </w:rPr>
        <w:t xml:space="preserve"> </w:t>
      </w:r>
      <w:r>
        <w:t>I</w:t>
      </w:r>
      <w:r>
        <w:rPr>
          <w:spacing w:val="-5"/>
        </w:rPr>
        <w:t xml:space="preserve"> </w:t>
      </w:r>
      <w:r>
        <w:t>cannot</w:t>
      </w:r>
      <w:r>
        <w:rPr>
          <w:spacing w:val="-5"/>
        </w:rPr>
        <w:t xml:space="preserve"> </w:t>
      </w:r>
      <w:r>
        <w:t>doubt</w:t>
      </w:r>
      <w:r>
        <w:rPr>
          <w:spacing w:val="-5"/>
        </w:rPr>
        <w:t xml:space="preserve"> </w:t>
      </w:r>
      <w:r>
        <w:t>the</w:t>
      </w:r>
      <w:r>
        <w:rPr>
          <w:spacing w:val="-5"/>
        </w:rPr>
        <w:t xml:space="preserve"> </w:t>
      </w:r>
      <w:r>
        <w:t>existence</w:t>
      </w:r>
      <w:r>
        <w:rPr>
          <w:spacing w:val="-5"/>
        </w:rPr>
        <w:t xml:space="preserve"> </w:t>
      </w:r>
      <w:r>
        <w:t>of</w:t>
      </w:r>
      <w:r>
        <w:rPr>
          <w:spacing w:val="-5"/>
        </w:rPr>
        <w:t xml:space="preserve"> </w:t>
      </w:r>
      <w:r>
        <w:t>my</w:t>
      </w:r>
      <w:r>
        <w:rPr>
          <w:spacing w:val="-4"/>
        </w:rPr>
        <w:t xml:space="preserve"> </w:t>
      </w:r>
      <w:r>
        <w:t>own</w:t>
      </w:r>
      <w:r>
        <w:rPr>
          <w:spacing w:val="-4"/>
        </w:rPr>
        <w:t xml:space="preserve"> </w:t>
      </w:r>
      <w:r>
        <w:t>mind, he is really saying.</w:t>
      </w:r>
    </w:p>
    <w:p w14:paraId="7E00189A" w14:textId="77777777" w:rsidR="009A58DB" w:rsidRDefault="00000000">
      <w:pPr>
        <w:spacing w:line="344" w:lineRule="exact"/>
        <w:ind w:left="360"/>
        <w:jc w:val="both"/>
        <w:rPr>
          <w:i/>
          <w:sz w:val="30"/>
        </w:rPr>
      </w:pPr>
      <w:r>
        <w:rPr>
          <w:sz w:val="30"/>
        </w:rPr>
        <w:t>(i*)</w:t>
      </w:r>
      <w:r>
        <w:rPr>
          <w:spacing w:val="-5"/>
          <w:sz w:val="30"/>
        </w:rPr>
        <w:t xml:space="preserve"> </w:t>
      </w:r>
      <w:r>
        <w:rPr>
          <w:sz w:val="30"/>
        </w:rPr>
        <w:t>I</w:t>
      </w:r>
      <w:r>
        <w:rPr>
          <w:spacing w:val="-2"/>
          <w:sz w:val="30"/>
        </w:rPr>
        <w:t xml:space="preserve"> </w:t>
      </w:r>
      <w:r>
        <w:rPr>
          <w:sz w:val="30"/>
        </w:rPr>
        <w:t>cannot</w:t>
      </w:r>
      <w:r>
        <w:rPr>
          <w:spacing w:val="-2"/>
          <w:sz w:val="30"/>
        </w:rPr>
        <w:t xml:space="preserve"> </w:t>
      </w:r>
      <w:r>
        <w:rPr>
          <w:sz w:val="30"/>
        </w:rPr>
        <w:t>doubt</w:t>
      </w:r>
      <w:r>
        <w:rPr>
          <w:spacing w:val="-2"/>
          <w:sz w:val="30"/>
        </w:rPr>
        <w:t xml:space="preserve"> </w:t>
      </w:r>
      <w:r>
        <w:rPr>
          <w:i/>
          <w:sz w:val="30"/>
        </w:rPr>
        <w:t>that</w:t>
      </w:r>
      <w:r>
        <w:rPr>
          <w:i/>
          <w:spacing w:val="-2"/>
          <w:sz w:val="30"/>
        </w:rPr>
        <w:t xml:space="preserve"> </w:t>
      </w:r>
      <w:r>
        <w:rPr>
          <w:i/>
          <w:sz w:val="30"/>
        </w:rPr>
        <w:t>my</w:t>
      </w:r>
      <w:r>
        <w:rPr>
          <w:i/>
          <w:spacing w:val="-2"/>
          <w:sz w:val="30"/>
        </w:rPr>
        <w:t xml:space="preserve"> </w:t>
      </w:r>
      <w:r>
        <w:rPr>
          <w:i/>
          <w:sz w:val="30"/>
        </w:rPr>
        <w:t>mind</w:t>
      </w:r>
      <w:r>
        <w:rPr>
          <w:i/>
          <w:spacing w:val="-1"/>
          <w:sz w:val="30"/>
        </w:rPr>
        <w:t xml:space="preserve"> </w:t>
      </w:r>
      <w:r>
        <w:rPr>
          <w:i/>
          <w:spacing w:val="-2"/>
          <w:sz w:val="30"/>
        </w:rPr>
        <w:t>exists.</w:t>
      </w:r>
    </w:p>
    <w:p w14:paraId="7E00189B" w14:textId="77777777" w:rsidR="009A58DB" w:rsidRDefault="00000000">
      <w:pPr>
        <w:pStyle w:val="BodyText"/>
        <w:spacing w:before="105" w:line="249" w:lineRule="auto"/>
        <w:ind w:right="358"/>
      </w:pPr>
      <w:r>
        <w:t>The italicized propositions are distinct. So while it is true that they differ in their properties, since only one of them has the property of being capable of being</w:t>
      </w:r>
      <w:r>
        <w:rPr>
          <w:spacing w:val="-1"/>
        </w:rPr>
        <w:t xml:space="preserve"> </w:t>
      </w:r>
      <w:r>
        <w:t>doubted</w:t>
      </w:r>
      <w:r>
        <w:rPr>
          <w:spacing w:val="-1"/>
        </w:rPr>
        <w:t xml:space="preserve"> </w:t>
      </w:r>
      <w:r>
        <w:t>by</w:t>
      </w:r>
      <w:r>
        <w:rPr>
          <w:spacing w:val="-1"/>
        </w:rPr>
        <w:t xml:space="preserve"> </w:t>
      </w:r>
      <w:r>
        <w:t>Descartes,</w:t>
      </w:r>
      <w:r>
        <w:rPr>
          <w:spacing w:val="-1"/>
        </w:rPr>
        <w:t xml:space="preserve"> </w:t>
      </w:r>
      <w:r>
        <w:t>it</w:t>
      </w:r>
      <w:r>
        <w:rPr>
          <w:spacing w:val="-1"/>
        </w:rPr>
        <w:t xml:space="preserve"> </w:t>
      </w:r>
      <w:r>
        <w:t>doesn’t</w:t>
      </w:r>
      <w:r>
        <w:rPr>
          <w:spacing w:val="-1"/>
        </w:rPr>
        <w:t xml:space="preserve"> </w:t>
      </w:r>
      <w:r>
        <w:t>follow</w:t>
      </w:r>
      <w:r>
        <w:rPr>
          <w:spacing w:val="-1"/>
        </w:rPr>
        <w:t xml:space="preserve"> </w:t>
      </w:r>
      <w:r>
        <w:t>that</w:t>
      </w:r>
      <w:r>
        <w:rPr>
          <w:spacing w:val="-1"/>
        </w:rPr>
        <w:t xml:space="preserve"> </w:t>
      </w:r>
      <w:r>
        <w:t>mind</w:t>
      </w:r>
      <w:r>
        <w:rPr>
          <w:spacing w:val="-1"/>
        </w:rPr>
        <w:t xml:space="preserve"> </w:t>
      </w:r>
      <w:r>
        <w:t>isn’t</w:t>
      </w:r>
      <w:r>
        <w:rPr>
          <w:spacing w:val="-1"/>
        </w:rPr>
        <w:t xml:space="preserve"> </w:t>
      </w:r>
      <w:r>
        <w:t>matter,</w:t>
      </w:r>
      <w:r>
        <w:rPr>
          <w:spacing w:val="-1"/>
        </w:rPr>
        <w:t xml:space="preserve"> </w:t>
      </w:r>
      <w:r>
        <w:t>since</w:t>
      </w:r>
      <w:r>
        <w:rPr>
          <w:spacing w:val="-1"/>
        </w:rPr>
        <w:t xml:space="preserve"> </w:t>
      </w:r>
      <w:r>
        <w:t>the entities that, in this case, differ in their properties are not mind and matter,</w:t>
      </w:r>
      <w:r>
        <w:rPr>
          <w:spacing w:val="40"/>
        </w:rPr>
        <w:t xml:space="preserve"> </w:t>
      </w:r>
      <w:r>
        <w:t>but are instead the two underlined propositions.</w:t>
      </w:r>
    </w:p>
    <w:p w14:paraId="7E00189C" w14:textId="77777777" w:rsidR="009A58DB" w:rsidRDefault="00000000">
      <w:pPr>
        <w:pStyle w:val="BodyText"/>
        <w:spacing w:before="6" w:line="249" w:lineRule="auto"/>
        <w:ind w:right="361" w:firstLine="360"/>
        <w:rPr>
          <w:i/>
        </w:rPr>
      </w:pPr>
      <w:r>
        <w:t>An aside: these reflections show that intensional fallacies arise, at least sometimes,</w:t>
      </w:r>
      <w:r>
        <w:rPr>
          <w:spacing w:val="48"/>
          <w:w w:val="150"/>
        </w:rPr>
        <w:t xml:space="preserve"> </w:t>
      </w:r>
      <w:r>
        <w:t>when</w:t>
      </w:r>
      <w:r>
        <w:rPr>
          <w:spacing w:val="48"/>
          <w:w w:val="150"/>
        </w:rPr>
        <w:t xml:space="preserve"> </w:t>
      </w:r>
      <w:r>
        <w:rPr>
          <w:i/>
        </w:rPr>
        <w:t>grammatical</w:t>
      </w:r>
      <w:r>
        <w:rPr>
          <w:i/>
          <w:spacing w:val="47"/>
          <w:w w:val="150"/>
        </w:rPr>
        <w:t xml:space="preserve"> </w:t>
      </w:r>
      <w:r>
        <w:t>complements</w:t>
      </w:r>
      <w:r>
        <w:rPr>
          <w:spacing w:val="59"/>
          <w:w w:val="150"/>
        </w:rPr>
        <w:t xml:space="preserve"> </w:t>
      </w:r>
      <w:r>
        <w:t>don’t</w:t>
      </w:r>
      <w:r>
        <w:rPr>
          <w:spacing w:val="59"/>
          <w:w w:val="150"/>
        </w:rPr>
        <w:t xml:space="preserve"> </w:t>
      </w:r>
      <w:r>
        <w:t>coincide</w:t>
      </w:r>
      <w:r>
        <w:rPr>
          <w:spacing w:val="59"/>
          <w:w w:val="150"/>
        </w:rPr>
        <w:t xml:space="preserve"> </w:t>
      </w:r>
      <w:r>
        <w:t>with</w:t>
      </w:r>
      <w:r>
        <w:rPr>
          <w:spacing w:val="59"/>
          <w:w w:val="150"/>
        </w:rPr>
        <w:t xml:space="preserve"> </w:t>
      </w:r>
      <w:r>
        <w:rPr>
          <w:i/>
          <w:spacing w:val="-2"/>
        </w:rPr>
        <w:t>logical</w:t>
      </w:r>
    </w:p>
    <w:p w14:paraId="7E00189D"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189E" w14:textId="77777777" w:rsidR="009A58DB" w:rsidRDefault="00000000">
      <w:pPr>
        <w:pStyle w:val="BodyText"/>
        <w:spacing w:before="61"/>
      </w:pPr>
      <w:r>
        <w:lastRenderedPageBreak/>
        <w:t>complements.</w:t>
      </w:r>
      <w:r>
        <w:rPr>
          <w:spacing w:val="9"/>
        </w:rPr>
        <w:t xml:space="preserve"> </w:t>
      </w:r>
      <w:r>
        <w:t>The</w:t>
      </w:r>
      <w:r>
        <w:rPr>
          <w:spacing w:val="11"/>
        </w:rPr>
        <w:t xml:space="preserve"> </w:t>
      </w:r>
      <w:r>
        <w:rPr>
          <w:i/>
        </w:rPr>
        <w:t>grammatical</w:t>
      </w:r>
      <w:r>
        <w:rPr>
          <w:i/>
          <w:spacing w:val="11"/>
        </w:rPr>
        <w:t xml:space="preserve"> </w:t>
      </w:r>
      <w:r>
        <w:t>complement</w:t>
      </w:r>
      <w:r>
        <w:rPr>
          <w:spacing w:val="15"/>
        </w:rPr>
        <w:t xml:space="preserve"> </w:t>
      </w:r>
      <w:r>
        <w:t>of</w:t>
      </w:r>
      <w:r>
        <w:rPr>
          <w:spacing w:val="16"/>
        </w:rPr>
        <w:t xml:space="preserve"> </w:t>
      </w:r>
      <w:r>
        <w:t>the</w:t>
      </w:r>
      <w:r>
        <w:rPr>
          <w:spacing w:val="17"/>
        </w:rPr>
        <w:t xml:space="preserve"> </w:t>
      </w:r>
      <w:r>
        <w:t>occurrence</w:t>
      </w:r>
      <w:r>
        <w:rPr>
          <w:spacing w:val="15"/>
        </w:rPr>
        <w:t xml:space="preserve"> </w:t>
      </w:r>
      <w:r>
        <w:t>of</w:t>
      </w:r>
      <w:r>
        <w:rPr>
          <w:spacing w:val="16"/>
        </w:rPr>
        <w:t xml:space="preserve"> </w:t>
      </w:r>
      <w:r>
        <w:t>“doubt”</w:t>
      </w:r>
      <w:r>
        <w:rPr>
          <w:spacing w:val="17"/>
        </w:rPr>
        <w:t xml:space="preserve"> </w:t>
      </w:r>
      <w:r>
        <w:rPr>
          <w:spacing w:val="-5"/>
        </w:rPr>
        <w:t>in</w:t>
      </w:r>
    </w:p>
    <w:p w14:paraId="7E00189F" w14:textId="77777777" w:rsidR="009A58DB" w:rsidRDefault="00000000">
      <w:pPr>
        <w:pStyle w:val="BodyText"/>
        <w:spacing w:before="15" w:line="249" w:lineRule="auto"/>
        <w:ind w:right="359"/>
      </w:pPr>
      <w:r>
        <w:t xml:space="preserve">(i) is “the existence of a world that is not made of matter,” but its </w:t>
      </w:r>
      <w:r>
        <w:rPr>
          <w:i/>
        </w:rPr>
        <w:t xml:space="preserve">logical </w:t>
      </w:r>
      <w:r>
        <w:t xml:space="preserve">complement is “that there exists a world that is made of matter.” The second expression denotes a </w:t>
      </w:r>
      <w:r>
        <w:rPr>
          <w:i/>
        </w:rPr>
        <w:t>proposition;</w:t>
      </w:r>
      <w:r>
        <w:rPr>
          <w:i/>
          <w:spacing w:val="-4"/>
        </w:rPr>
        <w:t xml:space="preserve"> </w:t>
      </w:r>
      <w:r>
        <w:t xml:space="preserve">the former does not. In general, intensional fallacies arise when it is assumed that, since the grammatical object of some expression doesn’t denote a proposition, the </w:t>
      </w:r>
      <w:r>
        <w:rPr>
          <w:i/>
        </w:rPr>
        <w:t xml:space="preserve">actual </w:t>
      </w:r>
      <w:r>
        <w:t>object of that expression</w:t>
      </w:r>
      <w:r>
        <w:rPr>
          <w:spacing w:val="40"/>
        </w:rPr>
        <w:t xml:space="preserve"> </w:t>
      </w:r>
      <w:r>
        <w:t>is also non-propositional.</w:t>
      </w:r>
    </w:p>
    <w:p w14:paraId="7E0018A0" w14:textId="77777777" w:rsidR="009A58DB" w:rsidRDefault="00000000">
      <w:pPr>
        <w:pStyle w:val="Heading6"/>
        <w:spacing w:before="116"/>
      </w:pPr>
      <w:r>
        <w:t>A</w:t>
      </w:r>
      <w:r>
        <w:rPr>
          <w:spacing w:val="-7"/>
        </w:rPr>
        <w:t xml:space="preserve"> </w:t>
      </w:r>
      <w:r>
        <w:t>refinement</w:t>
      </w:r>
      <w:r>
        <w:rPr>
          <w:spacing w:val="-5"/>
        </w:rPr>
        <w:t xml:space="preserve"> </w:t>
      </w:r>
      <w:r>
        <w:t>of</w:t>
      </w:r>
      <w:r>
        <w:rPr>
          <w:spacing w:val="-5"/>
        </w:rPr>
        <w:t xml:space="preserve"> </w:t>
      </w:r>
      <w:r>
        <w:t>Descartes’</w:t>
      </w:r>
      <w:r>
        <w:rPr>
          <w:spacing w:val="-5"/>
        </w:rPr>
        <w:t xml:space="preserve"> </w:t>
      </w:r>
      <w:r>
        <w:t>arguments</w:t>
      </w:r>
      <w:r>
        <w:rPr>
          <w:spacing w:val="-5"/>
        </w:rPr>
        <w:t xml:space="preserve"> </w:t>
      </w:r>
      <w:r>
        <w:t>for</w:t>
      </w:r>
      <w:r>
        <w:rPr>
          <w:spacing w:val="-5"/>
        </w:rPr>
        <w:t xml:space="preserve"> </w:t>
      </w:r>
      <w:r>
        <w:rPr>
          <w:spacing w:val="-2"/>
        </w:rPr>
        <w:t>dualism</w:t>
      </w:r>
    </w:p>
    <w:p w14:paraId="7E0018A1" w14:textId="77777777" w:rsidR="009A58DB" w:rsidRDefault="00000000">
      <w:pPr>
        <w:pStyle w:val="BodyText"/>
        <w:spacing w:before="75" w:line="249" w:lineRule="auto"/>
        <w:ind w:right="365"/>
      </w:pPr>
      <w:r>
        <w:t>Here is an improved version of Descartes’ argument that, so its proponents believe, isn’t vulnerable to the points just made.</w:t>
      </w:r>
    </w:p>
    <w:p w14:paraId="7E0018A2" w14:textId="77777777" w:rsidR="009A58DB" w:rsidRDefault="00000000">
      <w:pPr>
        <w:spacing w:before="93"/>
        <w:ind w:left="720"/>
        <w:jc w:val="both"/>
        <w:rPr>
          <w:sz w:val="30"/>
        </w:rPr>
      </w:pPr>
      <w:r>
        <w:rPr>
          <w:sz w:val="30"/>
        </w:rPr>
        <w:t>I</w:t>
      </w:r>
      <w:r>
        <w:rPr>
          <w:spacing w:val="-4"/>
          <w:sz w:val="30"/>
        </w:rPr>
        <w:t xml:space="preserve"> </w:t>
      </w:r>
      <w:r>
        <w:rPr>
          <w:sz w:val="30"/>
        </w:rPr>
        <w:t>can</w:t>
      </w:r>
      <w:r>
        <w:rPr>
          <w:spacing w:val="-3"/>
          <w:sz w:val="30"/>
        </w:rPr>
        <w:t xml:space="preserve"> </w:t>
      </w:r>
      <w:r>
        <w:rPr>
          <w:i/>
          <w:sz w:val="30"/>
        </w:rPr>
        <w:t>coherently</w:t>
      </w:r>
      <w:r>
        <w:rPr>
          <w:i/>
          <w:spacing w:val="-3"/>
          <w:sz w:val="30"/>
        </w:rPr>
        <w:t xml:space="preserve"> </w:t>
      </w:r>
      <w:r>
        <w:rPr>
          <w:spacing w:val="-2"/>
          <w:sz w:val="30"/>
        </w:rPr>
        <w:t>think:</w:t>
      </w:r>
    </w:p>
    <w:p w14:paraId="7E0018A3" w14:textId="77777777" w:rsidR="009A58DB" w:rsidRDefault="00000000">
      <w:pPr>
        <w:spacing w:before="120" w:line="324" w:lineRule="auto"/>
        <w:ind w:left="360" w:right="4321"/>
        <w:jc w:val="both"/>
        <w:rPr>
          <w:sz w:val="30"/>
        </w:rPr>
      </w:pPr>
      <w:r>
        <w:rPr>
          <w:sz w:val="30"/>
        </w:rPr>
        <w:t>(*)</w:t>
      </w:r>
      <w:r>
        <w:rPr>
          <w:spacing w:val="-5"/>
          <w:sz w:val="30"/>
        </w:rPr>
        <w:t xml:space="preserve"> </w:t>
      </w:r>
      <w:r>
        <w:rPr>
          <w:sz w:val="30"/>
        </w:rPr>
        <w:t>“x</w:t>
      </w:r>
      <w:r>
        <w:rPr>
          <w:spacing w:val="-4"/>
          <w:sz w:val="30"/>
        </w:rPr>
        <w:t xml:space="preserve"> </w:t>
      </w:r>
      <w:r>
        <w:rPr>
          <w:sz w:val="30"/>
        </w:rPr>
        <w:t>is</w:t>
      </w:r>
      <w:r>
        <w:rPr>
          <w:spacing w:val="-5"/>
          <w:sz w:val="30"/>
        </w:rPr>
        <w:t xml:space="preserve"> </w:t>
      </w:r>
      <w:r>
        <w:rPr>
          <w:sz w:val="30"/>
        </w:rPr>
        <w:t>a</w:t>
      </w:r>
      <w:r>
        <w:rPr>
          <w:spacing w:val="-5"/>
          <w:sz w:val="30"/>
        </w:rPr>
        <w:t xml:space="preserve"> </w:t>
      </w:r>
      <w:r>
        <w:rPr>
          <w:sz w:val="30"/>
        </w:rPr>
        <w:t>feeling,</w:t>
      </w:r>
      <w:r>
        <w:rPr>
          <w:spacing w:val="-4"/>
          <w:sz w:val="30"/>
        </w:rPr>
        <w:t xml:space="preserve"> </w:t>
      </w:r>
      <w:r>
        <w:rPr>
          <w:i/>
          <w:sz w:val="30"/>
        </w:rPr>
        <w:t>but</w:t>
      </w:r>
      <w:r>
        <w:rPr>
          <w:i/>
          <w:spacing w:val="-5"/>
          <w:sz w:val="30"/>
        </w:rPr>
        <w:t xml:space="preserve"> </w:t>
      </w:r>
      <w:r>
        <w:rPr>
          <w:i/>
          <w:sz w:val="30"/>
        </w:rPr>
        <w:t>x</w:t>
      </w:r>
      <w:r>
        <w:rPr>
          <w:i/>
          <w:spacing w:val="-5"/>
          <w:sz w:val="30"/>
        </w:rPr>
        <w:t xml:space="preserve"> </w:t>
      </w:r>
      <w:r>
        <w:rPr>
          <w:i/>
          <w:sz w:val="30"/>
        </w:rPr>
        <w:t>is</w:t>
      </w:r>
      <w:r>
        <w:rPr>
          <w:i/>
          <w:spacing w:val="-5"/>
          <w:sz w:val="30"/>
        </w:rPr>
        <w:t xml:space="preserve"> </w:t>
      </w:r>
      <w:r>
        <w:rPr>
          <w:i/>
          <w:sz w:val="30"/>
        </w:rPr>
        <w:t>not</w:t>
      </w:r>
      <w:r>
        <w:rPr>
          <w:i/>
          <w:spacing w:val="-5"/>
          <w:sz w:val="30"/>
        </w:rPr>
        <w:t xml:space="preserve"> </w:t>
      </w:r>
      <w:r>
        <w:rPr>
          <w:i/>
          <w:sz w:val="30"/>
        </w:rPr>
        <w:t>a</w:t>
      </w:r>
      <w:r>
        <w:rPr>
          <w:i/>
          <w:spacing w:val="-4"/>
          <w:sz w:val="30"/>
        </w:rPr>
        <w:t xml:space="preserve"> </w:t>
      </w:r>
      <w:r>
        <w:rPr>
          <w:i/>
          <w:sz w:val="30"/>
        </w:rPr>
        <w:t>brain-state</w:t>
      </w:r>
      <w:r>
        <w:rPr>
          <w:sz w:val="30"/>
        </w:rPr>
        <w:t>.” In other words, (*) is not analytically false.</w:t>
      </w:r>
    </w:p>
    <w:p w14:paraId="7E0018A4" w14:textId="77777777" w:rsidR="009A58DB" w:rsidRDefault="00000000">
      <w:pPr>
        <w:pStyle w:val="BodyText"/>
        <w:spacing w:line="329" w:lineRule="exact"/>
        <w:ind w:left="720"/>
      </w:pPr>
      <w:r>
        <w:t>All</w:t>
      </w:r>
      <w:r>
        <w:rPr>
          <w:spacing w:val="68"/>
        </w:rPr>
        <w:t xml:space="preserve"> </w:t>
      </w:r>
      <w:r>
        <w:t>necessary</w:t>
      </w:r>
      <w:r>
        <w:rPr>
          <w:spacing w:val="68"/>
        </w:rPr>
        <w:t xml:space="preserve"> </w:t>
      </w:r>
      <w:r>
        <w:t>truth</w:t>
      </w:r>
      <w:r>
        <w:rPr>
          <w:spacing w:val="68"/>
        </w:rPr>
        <w:t xml:space="preserve"> </w:t>
      </w:r>
      <w:r>
        <w:t>is</w:t>
      </w:r>
      <w:r>
        <w:rPr>
          <w:spacing w:val="68"/>
        </w:rPr>
        <w:t xml:space="preserve"> </w:t>
      </w:r>
      <w:r>
        <w:t>analytic</w:t>
      </w:r>
      <w:r>
        <w:rPr>
          <w:spacing w:val="68"/>
        </w:rPr>
        <w:t xml:space="preserve"> </w:t>
      </w:r>
      <w:r>
        <w:t>truth.</w:t>
      </w:r>
      <w:r>
        <w:rPr>
          <w:spacing w:val="68"/>
        </w:rPr>
        <w:t xml:space="preserve"> </w:t>
      </w:r>
      <w:r>
        <w:t>In</w:t>
      </w:r>
      <w:r>
        <w:rPr>
          <w:spacing w:val="68"/>
        </w:rPr>
        <w:t xml:space="preserve"> </w:t>
      </w:r>
      <w:r>
        <w:t>other</w:t>
      </w:r>
      <w:r>
        <w:rPr>
          <w:spacing w:val="68"/>
        </w:rPr>
        <w:t xml:space="preserve"> </w:t>
      </w:r>
      <w:r>
        <w:t>words,</w:t>
      </w:r>
      <w:r>
        <w:rPr>
          <w:spacing w:val="68"/>
        </w:rPr>
        <w:t xml:space="preserve"> </w:t>
      </w:r>
      <w:r>
        <w:t>if</w:t>
      </w:r>
      <w:r>
        <w:rPr>
          <w:spacing w:val="68"/>
        </w:rPr>
        <w:t xml:space="preserve"> </w:t>
      </w:r>
      <w:r>
        <w:t>a</w:t>
      </w:r>
      <w:r>
        <w:rPr>
          <w:spacing w:val="68"/>
        </w:rPr>
        <w:t xml:space="preserve"> </w:t>
      </w:r>
      <w:r>
        <w:t>statement</w:t>
      </w:r>
      <w:r>
        <w:rPr>
          <w:spacing w:val="69"/>
        </w:rPr>
        <w:t xml:space="preserve"> </w:t>
      </w:r>
      <w:r>
        <w:rPr>
          <w:spacing w:val="-5"/>
        </w:rPr>
        <w:t>is</w:t>
      </w:r>
    </w:p>
    <w:p w14:paraId="7E0018A5" w14:textId="77777777" w:rsidR="009A58DB" w:rsidRDefault="00000000">
      <w:pPr>
        <w:pStyle w:val="BodyText"/>
        <w:spacing w:before="15" w:line="249" w:lineRule="auto"/>
        <w:ind w:right="368"/>
      </w:pPr>
      <w:r>
        <w:t>necessarily true, that is because it holds entirely in virtue of the concepts composing its meaning (i.e., it is analytic). Therefore, given that (*) is not analytically</w:t>
      </w:r>
      <w:r>
        <w:rPr>
          <w:spacing w:val="-3"/>
        </w:rPr>
        <w:t xml:space="preserve"> </w:t>
      </w:r>
      <w:r>
        <w:t>false,</w:t>
      </w:r>
      <w:r>
        <w:rPr>
          <w:spacing w:val="-3"/>
        </w:rPr>
        <w:t xml:space="preserve"> </w:t>
      </w:r>
      <w:r>
        <w:t>it</w:t>
      </w:r>
      <w:r>
        <w:rPr>
          <w:spacing w:val="-3"/>
        </w:rPr>
        <w:t xml:space="preserve"> </w:t>
      </w:r>
      <w:r>
        <w:t>follows</w:t>
      </w:r>
      <w:r>
        <w:rPr>
          <w:spacing w:val="-3"/>
        </w:rPr>
        <w:t xml:space="preserve"> </w:t>
      </w:r>
      <w:r>
        <w:t>that</w:t>
      </w:r>
      <w:r>
        <w:rPr>
          <w:spacing w:val="-3"/>
        </w:rPr>
        <w:t xml:space="preserve"> </w:t>
      </w:r>
      <w:r>
        <w:t>it</w:t>
      </w:r>
      <w:r>
        <w:rPr>
          <w:spacing w:val="-3"/>
        </w:rPr>
        <w:t xml:space="preserve"> </w:t>
      </w:r>
      <w:r>
        <w:t>isn’t</w:t>
      </w:r>
      <w:r>
        <w:rPr>
          <w:spacing w:val="-3"/>
        </w:rPr>
        <w:t xml:space="preserve"> </w:t>
      </w:r>
      <w:r>
        <w:t>necessarily</w:t>
      </w:r>
      <w:r>
        <w:rPr>
          <w:spacing w:val="-3"/>
        </w:rPr>
        <w:t xml:space="preserve"> </w:t>
      </w:r>
      <w:r>
        <w:t>false</w:t>
      </w:r>
      <w:r>
        <w:rPr>
          <w:spacing w:val="-3"/>
        </w:rPr>
        <w:t xml:space="preserve"> </w:t>
      </w:r>
      <w:r>
        <w:t>and,</w:t>
      </w:r>
      <w:r>
        <w:rPr>
          <w:spacing w:val="-3"/>
        </w:rPr>
        <w:t xml:space="preserve"> </w:t>
      </w:r>
      <w:r>
        <w:t>therefore,</w:t>
      </w:r>
      <w:r>
        <w:rPr>
          <w:spacing w:val="-3"/>
        </w:rPr>
        <w:t xml:space="preserve"> </w:t>
      </w:r>
      <w:r>
        <w:t>that</w:t>
      </w:r>
      <w:r>
        <w:rPr>
          <w:spacing w:val="-3"/>
        </w:rPr>
        <w:t xml:space="preserve"> </w:t>
      </w:r>
      <w:r>
        <w:t xml:space="preserve">it </w:t>
      </w:r>
      <w:r>
        <w:rPr>
          <w:i/>
        </w:rPr>
        <w:t xml:space="preserve">could </w:t>
      </w:r>
      <w:r>
        <w:t xml:space="preserve">be true. So feelings </w:t>
      </w:r>
      <w:r>
        <w:rPr>
          <w:i/>
        </w:rPr>
        <w:t xml:space="preserve">could </w:t>
      </w:r>
      <w:r>
        <w:t>be distinct from brain-states.</w:t>
      </w:r>
    </w:p>
    <w:p w14:paraId="7E0018A6" w14:textId="77777777" w:rsidR="009A58DB" w:rsidRDefault="00000000">
      <w:pPr>
        <w:pStyle w:val="BodyText"/>
        <w:spacing w:before="5" w:line="249" w:lineRule="auto"/>
        <w:ind w:right="358" w:firstLine="360"/>
      </w:pPr>
      <w:r>
        <w:t xml:space="preserve">Next-step: identity holds </w:t>
      </w:r>
      <w:r>
        <w:rPr>
          <w:i/>
        </w:rPr>
        <w:t xml:space="preserve">necessarily </w:t>
      </w:r>
      <w:r>
        <w:t>if it holds at all. If x and y are identical, then they are necessarily so. Proo</w:t>
      </w:r>
      <w:bookmarkStart w:id="320" w:name="_bookmark320"/>
      <w:bookmarkEnd w:id="320"/>
      <w:r>
        <w:t>f</w:t>
      </w:r>
      <w:r>
        <w:rPr>
          <w:color w:val="0562C1"/>
          <w:position w:val="21"/>
          <w:u w:val="single" w:color="0562C1"/>
        </w:rPr>
        <w:t>[216]</w:t>
      </w:r>
      <w:r>
        <w:t xml:space="preserve">: suppose that x and y are identical, but only contingently so. Obviously x cannot be contingently identical with itself. So if x and y are contingently identical, then y has a property that x lacks: y has the property of being contingently identical with x, whereas x does not have the property. Thus, contrary to our supposition, x is </w:t>
      </w:r>
      <w:r>
        <w:rPr>
          <w:i/>
        </w:rPr>
        <w:t xml:space="preserve">not </w:t>
      </w:r>
      <w:r>
        <w:t>identical with y, showing that it is incoherent to suppose that there is such a thing as “contingent” identity.</w:t>
      </w:r>
    </w:p>
    <w:p w14:paraId="7E0018A7" w14:textId="77777777" w:rsidR="009A58DB" w:rsidRDefault="00000000">
      <w:pPr>
        <w:pStyle w:val="BodyText"/>
        <w:spacing w:before="9" w:line="249" w:lineRule="auto"/>
        <w:ind w:right="365" w:firstLine="360"/>
      </w:pPr>
      <w:r>
        <w:t>Thus,</w:t>
      </w:r>
      <w:r>
        <w:rPr>
          <w:spacing w:val="-3"/>
        </w:rPr>
        <w:t xml:space="preserve"> </w:t>
      </w:r>
      <w:r>
        <w:t>given</w:t>
      </w:r>
      <w:r>
        <w:rPr>
          <w:spacing w:val="-3"/>
        </w:rPr>
        <w:t xml:space="preserve"> </w:t>
      </w:r>
      <w:r>
        <w:t>that</w:t>
      </w:r>
      <w:r>
        <w:rPr>
          <w:spacing w:val="-4"/>
        </w:rPr>
        <w:t xml:space="preserve"> </w:t>
      </w:r>
      <w:r>
        <w:t>(*)</w:t>
      </w:r>
      <w:r>
        <w:rPr>
          <w:spacing w:val="-4"/>
        </w:rPr>
        <w:t xml:space="preserve"> </w:t>
      </w:r>
      <w:r>
        <w:rPr>
          <w:i/>
        </w:rPr>
        <w:t>could</w:t>
      </w:r>
      <w:r>
        <w:rPr>
          <w:i/>
          <w:spacing w:val="-4"/>
        </w:rPr>
        <w:t xml:space="preserve"> </w:t>
      </w:r>
      <w:r>
        <w:t>be</w:t>
      </w:r>
      <w:r>
        <w:rPr>
          <w:spacing w:val="-2"/>
        </w:rPr>
        <w:t xml:space="preserve"> </w:t>
      </w:r>
      <w:r>
        <w:t>true,</w:t>
      </w:r>
      <w:r>
        <w:rPr>
          <w:spacing w:val="-2"/>
        </w:rPr>
        <w:t xml:space="preserve"> </w:t>
      </w:r>
      <w:r>
        <w:t>and</w:t>
      </w:r>
      <w:r>
        <w:rPr>
          <w:spacing w:val="-2"/>
        </w:rPr>
        <w:t xml:space="preserve"> </w:t>
      </w:r>
      <w:r>
        <w:t>given</w:t>
      </w:r>
      <w:r>
        <w:rPr>
          <w:spacing w:val="-2"/>
        </w:rPr>
        <w:t xml:space="preserve"> </w:t>
      </w:r>
      <w:r>
        <w:t>that</w:t>
      </w:r>
      <w:r>
        <w:rPr>
          <w:spacing w:val="-3"/>
        </w:rPr>
        <w:t xml:space="preserve"> </w:t>
      </w:r>
      <w:r>
        <w:t>identity</w:t>
      </w:r>
      <w:r>
        <w:rPr>
          <w:spacing w:val="-2"/>
        </w:rPr>
        <w:t xml:space="preserve"> </w:t>
      </w:r>
      <w:r>
        <w:t>holds</w:t>
      </w:r>
      <w:r>
        <w:rPr>
          <w:spacing w:val="-2"/>
        </w:rPr>
        <w:t xml:space="preserve"> </w:t>
      </w:r>
      <w:r>
        <w:t xml:space="preserve">necessarily if it holds at all, it follows that feelings (and, for exactly similar reasons, beliefs and pains) are </w:t>
      </w:r>
      <w:r>
        <w:rPr>
          <w:i/>
        </w:rPr>
        <w:t xml:space="preserve">not </w:t>
      </w:r>
      <w:r>
        <w:t>brain-states.</w:t>
      </w:r>
    </w:p>
    <w:p w14:paraId="7E0018A8" w14:textId="77777777" w:rsidR="009A58DB" w:rsidRDefault="00000000">
      <w:pPr>
        <w:pStyle w:val="Heading6"/>
        <w:spacing w:before="109"/>
      </w:pPr>
      <w:r>
        <w:t>This</w:t>
      </w:r>
      <w:r>
        <w:rPr>
          <w:spacing w:val="-5"/>
        </w:rPr>
        <w:t xml:space="preserve"> </w:t>
      </w:r>
      <w:r>
        <w:t>argument</w:t>
      </w:r>
      <w:r>
        <w:rPr>
          <w:spacing w:val="-5"/>
        </w:rPr>
        <w:t xml:space="preserve"> </w:t>
      </w:r>
      <w:r>
        <w:rPr>
          <w:spacing w:val="-2"/>
        </w:rPr>
        <w:t>evaluated</w:t>
      </w:r>
    </w:p>
    <w:p w14:paraId="7E0018A9" w14:textId="77777777" w:rsidR="009A58DB" w:rsidRDefault="00000000">
      <w:pPr>
        <w:pStyle w:val="BodyText"/>
        <w:spacing w:before="120" w:line="249" w:lineRule="auto"/>
        <w:ind w:right="359"/>
      </w:pPr>
      <w:r>
        <w:t>First of all, it is easy to adapt what we said about (i) and (ii) to this argument. So this refinement of Descartes’ argument is, like the first, guilty of the intensional fallacy.</w:t>
      </w:r>
    </w:p>
    <w:p w14:paraId="7E0018A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AB" w14:textId="77777777" w:rsidR="009A58DB" w:rsidRDefault="00000000">
      <w:pPr>
        <w:pStyle w:val="BodyText"/>
        <w:spacing w:before="65" w:line="249" w:lineRule="auto"/>
        <w:ind w:right="361" w:firstLine="360"/>
      </w:pPr>
      <w:r>
        <w:lastRenderedPageBreak/>
        <w:t>But there’s another reason to question that argument. According to many contemporary philosophers, not all necessity is analytic. The sentence “water is</w:t>
      </w:r>
      <w:r>
        <w:rPr>
          <w:spacing w:val="17"/>
        </w:rPr>
        <w:t xml:space="preserve"> </w:t>
      </w:r>
      <w:r>
        <w:t>identical</w:t>
      </w:r>
      <w:r>
        <w:rPr>
          <w:spacing w:val="18"/>
        </w:rPr>
        <w:t xml:space="preserve"> </w:t>
      </w:r>
      <w:r>
        <w:t>with</w:t>
      </w:r>
      <w:r>
        <w:rPr>
          <w:spacing w:val="19"/>
        </w:rPr>
        <w:t xml:space="preserve"> </w:t>
      </w:r>
      <w:r>
        <w:t>H</w:t>
      </w:r>
      <w:r>
        <w:rPr>
          <w:vertAlign w:val="subscript"/>
        </w:rPr>
        <w:t>2</w:t>
      </w:r>
      <w:r>
        <w:t>O,”</w:t>
      </w:r>
      <w:r>
        <w:rPr>
          <w:spacing w:val="18"/>
        </w:rPr>
        <w:t xml:space="preserve"> </w:t>
      </w:r>
      <w:r>
        <w:t>it</w:t>
      </w:r>
      <w:r>
        <w:rPr>
          <w:spacing w:val="18"/>
        </w:rPr>
        <w:t xml:space="preserve"> </w:t>
      </w:r>
      <w:r>
        <w:t>is</w:t>
      </w:r>
      <w:r>
        <w:rPr>
          <w:spacing w:val="18"/>
        </w:rPr>
        <w:t xml:space="preserve"> </w:t>
      </w:r>
      <w:r>
        <w:t>said,</w:t>
      </w:r>
      <w:r>
        <w:rPr>
          <w:spacing w:val="18"/>
        </w:rPr>
        <w:t xml:space="preserve"> </w:t>
      </w:r>
      <w:r>
        <w:t>expresses</w:t>
      </w:r>
      <w:r>
        <w:rPr>
          <w:spacing w:val="18"/>
        </w:rPr>
        <w:t xml:space="preserve"> </w:t>
      </w:r>
      <w:r>
        <w:t>a</w:t>
      </w:r>
      <w:r>
        <w:rPr>
          <w:spacing w:val="19"/>
        </w:rPr>
        <w:t xml:space="preserve"> </w:t>
      </w:r>
      <w:r>
        <w:t>proposition</w:t>
      </w:r>
      <w:r>
        <w:rPr>
          <w:spacing w:val="18"/>
        </w:rPr>
        <w:t xml:space="preserve"> </w:t>
      </w:r>
      <w:r>
        <w:t>that,</w:t>
      </w:r>
      <w:r>
        <w:rPr>
          <w:spacing w:val="18"/>
        </w:rPr>
        <w:t xml:space="preserve"> </w:t>
      </w:r>
      <w:r>
        <w:t>although</w:t>
      </w:r>
      <w:r>
        <w:rPr>
          <w:spacing w:val="18"/>
        </w:rPr>
        <w:t xml:space="preserve"> </w:t>
      </w:r>
      <w:r>
        <w:rPr>
          <w:spacing w:val="-4"/>
        </w:rPr>
        <w:t>non-</w:t>
      </w:r>
    </w:p>
    <w:p w14:paraId="7E0018AC" w14:textId="77777777" w:rsidR="009A58DB" w:rsidRDefault="00000000">
      <w:pPr>
        <w:pStyle w:val="BodyText"/>
        <w:spacing w:before="63" w:line="271" w:lineRule="auto"/>
        <w:ind w:right="358"/>
      </w:pPr>
      <w:r>
        <w:t>analytic, is necessarily true. There is no possible circumstance where water is anything other than H</w:t>
      </w:r>
      <w:r>
        <w:rPr>
          <w:vertAlign w:val="subscript"/>
        </w:rPr>
        <w:t>2</w:t>
      </w:r>
      <w:r>
        <w:t>O. There are circumstances where liquids that, in</w:t>
      </w:r>
      <w:r>
        <w:rPr>
          <w:spacing w:val="80"/>
        </w:rPr>
        <w:t xml:space="preserve"> </w:t>
      </w:r>
      <w:r>
        <w:t xml:space="preserve">terms of their macroscopic properties, </w:t>
      </w:r>
      <w:r>
        <w:rPr>
          <w:i/>
        </w:rPr>
        <w:t>resemble</w:t>
      </w:r>
      <w:r>
        <w:rPr>
          <w:i/>
          <w:spacing w:val="-2"/>
        </w:rPr>
        <w:t xml:space="preserve"> </w:t>
      </w:r>
      <w:r>
        <w:t>water are not H</w:t>
      </w:r>
      <w:r>
        <w:rPr>
          <w:vertAlign w:val="subscript"/>
        </w:rPr>
        <w:t>2</w:t>
      </w:r>
      <w:r>
        <w:t>O. But there</w:t>
      </w:r>
    </w:p>
    <w:p w14:paraId="7E0018AD" w14:textId="77777777" w:rsidR="009A58DB" w:rsidRDefault="00000000">
      <w:pPr>
        <w:pStyle w:val="BodyText"/>
        <w:spacing w:before="31"/>
      </w:pPr>
      <w:r>
        <w:t>are</w:t>
      </w:r>
      <w:r>
        <w:rPr>
          <w:spacing w:val="-6"/>
        </w:rPr>
        <w:t xml:space="preserve"> </w:t>
      </w:r>
      <w:r>
        <w:t>no</w:t>
      </w:r>
      <w:r>
        <w:rPr>
          <w:spacing w:val="-3"/>
        </w:rPr>
        <w:t xml:space="preserve"> </w:t>
      </w:r>
      <w:r>
        <w:t>circumstances</w:t>
      </w:r>
      <w:r>
        <w:rPr>
          <w:spacing w:val="-4"/>
        </w:rPr>
        <w:t xml:space="preserve"> </w:t>
      </w:r>
      <w:r>
        <w:t>where</w:t>
      </w:r>
      <w:r>
        <w:rPr>
          <w:spacing w:val="-3"/>
        </w:rPr>
        <w:t xml:space="preserve"> </w:t>
      </w:r>
      <w:r>
        <w:rPr>
          <w:i/>
        </w:rPr>
        <w:t>water</w:t>
      </w:r>
      <w:r>
        <w:rPr>
          <w:i/>
          <w:spacing w:val="-4"/>
        </w:rPr>
        <w:t xml:space="preserve"> </w:t>
      </w:r>
      <w:r>
        <w:t>is</w:t>
      </w:r>
      <w:r>
        <w:rPr>
          <w:spacing w:val="-4"/>
        </w:rPr>
        <w:t xml:space="preserve"> </w:t>
      </w:r>
      <w:r>
        <w:t>not</w:t>
      </w:r>
      <w:r>
        <w:rPr>
          <w:spacing w:val="-3"/>
        </w:rPr>
        <w:t xml:space="preserve"> </w:t>
      </w:r>
      <w:r>
        <w:rPr>
          <w:spacing w:val="-4"/>
        </w:rPr>
        <w:t>H</w:t>
      </w:r>
      <w:r>
        <w:rPr>
          <w:spacing w:val="-4"/>
          <w:vertAlign w:val="subscript"/>
        </w:rPr>
        <w:t>2</w:t>
      </w:r>
      <w:r>
        <w:rPr>
          <w:spacing w:val="-4"/>
        </w:rPr>
        <w:t>O.</w:t>
      </w:r>
    </w:p>
    <w:p w14:paraId="7E0018AE" w14:textId="77777777" w:rsidR="009A58DB" w:rsidRDefault="00000000">
      <w:pPr>
        <w:pStyle w:val="BodyText"/>
        <w:spacing w:before="75" w:line="249" w:lineRule="auto"/>
        <w:ind w:right="358" w:firstLine="360"/>
      </w:pPr>
      <w:r>
        <w:t xml:space="preserve">Why is this? The categories in terms of which science explains the world are known as “natural kinds.” Examples of natural kinds are </w:t>
      </w:r>
      <w:r>
        <w:rPr>
          <w:i/>
        </w:rPr>
        <w:t xml:space="preserve">zebra, metal, proton, water, emotion, human being, acid, base, star </w:t>
      </w:r>
      <w:r>
        <w:t xml:space="preserve">and </w:t>
      </w:r>
      <w:r>
        <w:rPr>
          <w:i/>
        </w:rPr>
        <w:t xml:space="preserve">penguin. </w:t>
      </w:r>
      <w:r>
        <w:t>Natural kinds are generated by properties that are predictively and explanatorily fecund. Properties that don’t have those virtues (e.g., person who drives a green car, edible substance on Larry’s table) don’t generate natural kinds.</w:t>
      </w:r>
      <w:r>
        <w:rPr>
          <w:spacing w:val="40"/>
        </w:rPr>
        <w:t xml:space="preserve"> </w:t>
      </w:r>
      <w:r>
        <w:t>The</w:t>
      </w:r>
      <w:r>
        <w:rPr>
          <w:spacing w:val="55"/>
        </w:rPr>
        <w:t xml:space="preserve"> </w:t>
      </w:r>
      <w:r>
        <w:t>property</w:t>
      </w:r>
      <w:r>
        <w:rPr>
          <w:spacing w:val="56"/>
        </w:rPr>
        <w:t xml:space="preserve"> </w:t>
      </w:r>
      <w:r>
        <w:t>of</w:t>
      </w:r>
      <w:r>
        <w:rPr>
          <w:spacing w:val="55"/>
        </w:rPr>
        <w:t xml:space="preserve"> </w:t>
      </w:r>
      <w:r>
        <w:t>being</w:t>
      </w:r>
      <w:r>
        <w:rPr>
          <w:spacing w:val="56"/>
        </w:rPr>
        <w:t xml:space="preserve"> </w:t>
      </w:r>
      <w:r>
        <w:t>H</w:t>
      </w:r>
      <w:r>
        <w:rPr>
          <w:vertAlign w:val="subscript"/>
        </w:rPr>
        <w:t>2</w:t>
      </w:r>
      <w:r>
        <w:t>O</w:t>
      </w:r>
      <w:r>
        <w:rPr>
          <w:spacing w:val="58"/>
        </w:rPr>
        <w:t xml:space="preserve"> </w:t>
      </w:r>
      <w:r>
        <w:t>generates</w:t>
      </w:r>
      <w:r>
        <w:rPr>
          <w:spacing w:val="59"/>
        </w:rPr>
        <w:t xml:space="preserve"> </w:t>
      </w:r>
      <w:r>
        <w:t>a</w:t>
      </w:r>
      <w:r>
        <w:rPr>
          <w:spacing w:val="59"/>
        </w:rPr>
        <w:t xml:space="preserve"> </w:t>
      </w:r>
      <w:r>
        <w:t>natural</w:t>
      </w:r>
      <w:r>
        <w:rPr>
          <w:spacing w:val="58"/>
        </w:rPr>
        <w:t xml:space="preserve"> </w:t>
      </w:r>
      <w:r>
        <w:t>kind.</w:t>
      </w:r>
      <w:r>
        <w:rPr>
          <w:spacing w:val="60"/>
        </w:rPr>
        <w:t xml:space="preserve"> </w:t>
      </w:r>
      <w:r>
        <w:t>Two</w:t>
      </w:r>
      <w:r>
        <w:rPr>
          <w:spacing w:val="59"/>
        </w:rPr>
        <w:t xml:space="preserve"> </w:t>
      </w:r>
      <w:r>
        <w:t>things</w:t>
      </w:r>
      <w:r>
        <w:rPr>
          <w:spacing w:val="59"/>
        </w:rPr>
        <w:t xml:space="preserve"> </w:t>
      </w:r>
      <w:r>
        <w:t>that</w:t>
      </w:r>
      <w:r>
        <w:rPr>
          <w:spacing w:val="58"/>
        </w:rPr>
        <w:t xml:space="preserve"> </w:t>
      </w:r>
      <w:r>
        <w:rPr>
          <w:spacing w:val="-5"/>
        </w:rPr>
        <w:t>are</w:t>
      </w:r>
    </w:p>
    <w:p w14:paraId="7E0018AF" w14:textId="77777777" w:rsidR="009A58DB" w:rsidRDefault="00000000">
      <w:pPr>
        <w:pStyle w:val="BodyText"/>
        <w:spacing w:before="69" w:line="249" w:lineRule="auto"/>
        <w:ind w:right="361"/>
      </w:pPr>
      <w:r>
        <w:t>explanatorily and predictively very different can, at least within the narrow horizons within which non-experimentalists typically operate, be indistinguishable in respect of their macro-characteristics. Given that two things that are explanatorily and predictively very different can, for all practical intents and purposes, be indistinguishable in respect of their macro-characteristics it follows that the property of having such and such macro-characteristics does not determine a natural kind.</w:t>
      </w:r>
    </w:p>
    <w:p w14:paraId="7E0018B0" w14:textId="77777777" w:rsidR="009A58DB" w:rsidRDefault="00000000">
      <w:pPr>
        <w:pStyle w:val="BodyText"/>
        <w:spacing w:before="8" w:line="249" w:lineRule="auto"/>
        <w:ind w:right="358" w:firstLine="360"/>
      </w:pPr>
      <w:r>
        <w:t xml:space="preserve">But two things that are indistinguishable in respect of their micro-characteristics (e.g., their chemical compositions) </w:t>
      </w:r>
      <w:r>
        <w:rPr>
          <w:i/>
        </w:rPr>
        <w:t xml:space="preserve">cannot </w:t>
      </w:r>
      <w:r>
        <w:t>be explanatorily</w:t>
      </w:r>
      <w:r>
        <w:rPr>
          <w:spacing w:val="40"/>
        </w:rPr>
        <w:t xml:space="preserve"> </w:t>
      </w:r>
      <w:r>
        <w:t>and predictively different. Thus, the property of having such and such micro-characteristics generates a natural kind.</w:t>
      </w:r>
      <w:bookmarkStart w:id="321" w:name="_bookmark321"/>
      <w:bookmarkEnd w:id="321"/>
      <w:r>
        <w:rPr>
          <w:color w:val="0562C1"/>
          <w:position w:val="21"/>
          <w:u w:val="single" w:color="0562C1"/>
        </w:rPr>
        <w:t>[217]</w:t>
      </w:r>
      <w:r>
        <w:rPr>
          <w:color w:val="0562C1"/>
          <w:position w:val="21"/>
        </w:rPr>
        <w:t xml:space="preserve"> </w:t>
      </w:r>
      <w:r>
        <w:t>It can’t be known a priori what chemical composition water has. But, for the reasons just given, its having that composition, whatever it turns out to be, is essential to it. Supposing that x is some body of water, x’s being water is identical with x’s having that composition. Since, therefore, water necessarily has that composition—and, therefore,</w:t>
      </w:r>
      <w:r>
        <w:rPr>
          <w:spacing w:val="29"/>
        </w:rPr>
        <w:t xml:space="preserve"> </w:t>
      </w:r>
      <w:r>
        <w:t>is</w:t>
      </w:r>
      <w:r>
        <w:rPr>
          <w:spacing w:val="28"/>
        </w:rPr>
        <w:t xml:space="preserve"> </w:t>
      </w:r>
      <w:r>
        <w:t>necessarily</w:t>
      </w:r>
      <w:r>
        <w:rPr>
          <w:spacing w:val="29"/>
        </w:rPr>
        <w:t xml:space="preserve"> </w:t>
      </w:r>
      <w:r>
        <w:t>H</w:t>
      </w:r>
      <w:r>
        <w:rPr>
          <w:vertAlign w:val="subscript"/>
        </w:rPr>
        <w:t>2</w:t>
      </w:r>
      <w:r>
        <w:t>O—and</w:t>
      </w:r>
      <w:r>
        <w:rPr>
          <w:spacing w:val="32"/>
        </w:rPr>
        <w:t xml:space="preserve"> </w:t>
      </w:r>
      <w:r>
        <w:t>since</w:t>
      </w:r>
      <w:r>
        <w:rPr>
          <w:spacing w:val="32"/>
        </w:rPr>
        <w:t xml:space="preserve"> </w:t>
      </w:r>
      <w:r>
        <w:t>it</w:t>
      </w:r>
      <w:r>
        <w:rPr>
          <w:spacing w:val="32"/>
        </w:rPr>
        <w:t xml:space="preserve"> </w:t>
      </w:r>
      <w:r>
        <w:t>cannot</w:t>
      </w:r>
      <w:r>
        <w:rPr>
          <w:spacing w:val="32"/>
        </w:rPr>
        <w:t xml:space="preserve"> </w:t>
      </w:r>
      <w:r>
        <w:t>be</w:t>
      </w:r>
      <w:r>
        <w:rPr>
          <w:spacing w:val="32"/>
        </w:rPr>
        <w:t xml:space="preserve"> </w:t>
      </w:r>
      <w:r>
        <w:t>known</w:t>
      </w:r>
      <w:r>
        <w:rPr>
          <w:spacing w:val="31"/>
        </w:rPr>
        <w:t xml:space="preserve"> </w:t>
      </w:r>
      <w:r>
        <w:t>a</w:t>
      </w:r>
      <w:r>
        <w:rPr>
          <w:spacing w:val="32"/>
        </w:rPr>
        <w:t xml:space="preserve"> </w:t>
      </w:r>
      <w:r>
        <w:t>priori</w:t>
      </w:r>
      <w:r>
        <w:rPr>
          <w:spacing w:val="32"/>
        </w:rPr>
        <w:t xml:space="preserve"> </w:t>
      </w:r>
      <w:r>
        <w:t>that</w:t>
      </w:r>
      <w:r>
        <w:rPr>
          <w:spacing w:val="32"/>
        </w:rPr>
        <w:t xml:space="preserve"> </w:t>
      </w:r>
      <w:r>
        <w:rPr>
          <w:spacing w:val="-5"/>
        </w:rPr>
        <w:t>it</w:t>
      </w:r>
    </w:p>
    <w:p w14:paraId="7E0018B1" w14:textId="77777777" w:rsidR="009A58DB" w:rsidRDefault="00000000">
      <w:pPr>
        <w:pStyle w:val="BodyText"/>
        <w:spacing w:before="71" w:line="292" w:lineRule="auto"/>
        <w:ind w:right="357"/>
      </w:pPr>
      <w:r>
        <w:t>has that composition, “water is H</w:t>
      </w:r>
      <w:r>
        <w:rPr>
          <w:vertAlign w:val="subscript"/>
        </w:rPr>
        <w:t>2</w:t>
      </w:r>
      <w:r>
        <w:t xml:space="preserve">O” expresses a necessary, but non-analytic </w:t>
      </w:r>
      <w:r>
        <w:rPr>
          <w:spacing w:val="-2"/>
        </w:rPr>
        <w:t>truth.</w:t>
      </w:r>
    </w:p>
    <w:p w14:paraId="7E0018B2" w14:textId="77777777" w:rsidR="009A58DB" w:rsidRDefault="00000000">
      <w:pPr>
        <w:pStyle w:val="Heading6"/>
        <w:spacing w:before="43"/>
      </w:pPr>
      <w:r>
        <w:t>Evaluating</w:t>
      </w:r>
      <w:r>
        <w:rPr>
          <w:spacing w:val="-9"/>
        </w:rPr>
        <w:t xml:space="preserve"> </w:t>
      </w:r>
      <w:r>
        <w:t>this</w:t>
      </w:r>
      <w:r>
        <w:rPr>
          <w:spacing w:val="-9"/>
        </w:rPr>
        <w:t xml:space="preserve"> </w:t>
      </w:r>
      <w:r>
        <w:t>counter-</w:t>
      </w:r>
      <w:r>
        <w:rPr>
          <w:spacing w:val="-2"/>
        </w:rPr>
        <w:t>response</w:t>
      </w:r>
    </w:p>
    <w:p w14:paraId="7E0018B3" w14:textId="77777777" w:rsidR="009A58DB" w:rsidRDefault="009A58DB">
      <w:pPr>
        <w:pStyle w:val="Heading6"/>
        <w:sectPr w:rsidR="009A58DB">
          <w:pgSz w:w="12240" w:h="15840"/>
          <w:pgMar w:top="1380" w:right="1080" w:bottom="280" w:left="1080" w:header="720" w:footer="720" w:gutter="0"/>
          <w:cols w:space="720"/>
        </w:sectPr>
      </w:pPr>
    </w:p>
    <w:p w14:paraId="7E0018B4" w14:textId="77777777" w:rsidR="009A58DB" w:rsidRDefault="00000000">
      <w:pPr>
        <w:pStyle w:val="BodyText"/>
        <w:spacing w:before="65" w:line="249" w:lineRule="auto"/>
        <w:ind w:right="358"/>
      </w:pPr>
      <w:r>
        <w:lastRenderedPageBreak/>
        <w:t>This is a prima facie very compelling line of thought, and it is almost universally</w:t>
      </w:r>
      <w:r>
        <w:rPr>
          <w:spacing w:val="-2"/>
        </w:rPr>
        <w:t xml:space="preserve"> </w:t>
      </w:r>
      <w:r>
        <w:t>accepted.</w:t>
      </w:r>
      <w:r>
        <w:rPr>
          <w:spacing w:val="-2"/>
        </w:rPr>
        <w:t xml:space="preserve"> </w:t>
      </w:r>
      <w:r>
        <w:t>For</w:t>
      </w:r>
      <w:r>
        <w:rPr>
          <w:spacing w:val="-2"/>
        </w:rPr>
        <w:t xml:space="preserve"> </w:t>
      </w:r>
      <w:r>
        <w:t>reasons</w:t>
      </w:r>
      <w:r>
        <w:rPr>
          <w:spacing w:val="-1"/>
        </w:rPr>
        <w:t xml:space="preserve"> </w:t>
      </w:r>
      <w:r>
        <w:t>that</w:t>
      </w:r>
      <w:r>
        <w:rPr>
          <w:spacing w:val="-2"/>
        </w:rPr>
        <w:t xml:space="preserve"> </w:t>
      </w:r>
      <w:r>
        <w:t>I</w:t>
      </w:r>
      <w:r>
        <w:rPr>
          <w:spacing w:val="-2"/>
        </w:rPr>
        <w:t xml:space="preserve"> </w:t>
      </w:r>
      <w:r>
        <w:t>state</w:t>
      </w:r>
      <w:r>
        <w:rPr>
          <w:spacing w:val="-2"/>
        </w:rPr>
        <w:t xml:space="preserve"> </w:t>
      </w:r>
      <w:r>
        <w:t>in</w:t>
      </w:r>
      <w:r>
        <w:rPr>
          <w:spacing w:val="-1"/>
        </w:rPr>
        <w:t xml:space="preserve"> </w:t>
      </w:r>
      <w:r>
        <w:t>Chapters</w:t>
      </w:r>
      <w:r>
        <w:rPr>
          <w:spacing w:val="-2"/>
        </w:rPr>
        <w:t xml:space="preserve"> </w:t>
      </w:r>
      <w:r>
        <w:t>8,</w:t>
      </w:r>
      <w:r>
        <w:rPr>
          <w:spacing w:val="-2"/>
        </w:rPr>
        <w:t xml:space="preserve"> </w:t>
      </w:r>
      <w:r>
        <w:t>9,</w:t>
      </w:r>
      <w:r>
        <w:rPr>
          <w:spacing w:val="-2"/>
        </w:rPr>
        <w:t xml:space="preserve"> </w:t>
      </w:r>
      <w:r>
        <w:t>and</w:t>
      </w:r>
      <w:r>
        <w:rPr>
          <w:spacing w:val="-1"/>
        </w:rPr>
        <w:t xml:space="preserve"> </w:t>
      </w:r>
      <w:r>
        <w:t>18,</w:t>
      </w:r>
      <w:r>
        <w:rPr>
          <w:spacing w:val="-2"/>
        </w:rPr>
        <w:t xml:space="preserve"> </w:t>
      </w:r>
      <w:r>
        <w:t>I</w:t>
      </w:r>
      <w:r>
        <w:rPr>
          <w:spacing w:val="-2"/>
        </w:rPr>
        <w:t xml:space="preserve"> </w:t>
      </w:r>
      <w:r>
        <w:t>do</w:t>
      </w:r>
      <w:r>
        <w:rPr>
          <w:spacing w:val="-1"/>
        </w:rPr>
        <w:t xml:space="preserve"> </w:t>
      </w:r>
      <w:r>
        <w:t xml:space="preserve">not accept it (even though I accept some parts of it; e.g., the part about how natural kinds are individuated by their microstructures or by whatever it is about them that makes them explanatorily and predictively useful). In any case, these reflections naturally bring us to Kripke’s compelling argument for </w:t>
      </w:r>
      <w:r>
        <w:rPr>
          <w:spacing w:val="-2"/>
        </w:rPr>
        <w:t>dualism.</w:t>
      </w:r>
    </w:p>
    <w:p w14:paraId="7E0018B5" w14:textId="77777777" w:rsidR="009A58DB" w:rsidRDefault="00000000">
      <w:pPr>
        <w:pStyle w:val="Heading1"/>
        <w:spacing w:before="196"/>
        <w:ind w:left="360" w:firstLine="0"/>
      </w:pPr>
      <w:r>
        <w:t>2.4</w:t>
      </w:r>
      <w:r>
        <w:rPr>
          <w:spacing w:val="-6"/>
        </w:rPr>
        <w:t xml:space="preserve"> </w:t>
      </w:r>
      <w:r>
        <w:t>Kripke’s</w:t>
      </w:r>
      <w:r>
        <w:rPr>
          <w:spacing w:val="-4"/>
        </w:rPr>
        <w:t xml:space="preserve"> </w:t>
      </w:r>
      <w:r>
        <w:t>argument</w:t>
      </w:r>
      <w:r>
        <w:rPr>
          <w:spacing w:val="-4"/>
        </w:rPr>
        <w:t xml:space="preserve"> </w:t>
      </w:r>
      <w:r>
        <w:t>for</w:t>
      </w:r>
      <w:r>
        <w:rPr>
          <w:spacing w:val="-4"/>
        </w:rPr>
        <w:t xml:space="preserve"> </w:t>
      </w:r>
      <w:r>
        <w:rPr>
          <w:spacing w:val="-2"/>
        </w:rPr>
        <w:t>dualism</w:t>
      </w:r>
    </w:p>
    <w:p w14:paraId="7E0018B6" w14:textId="77777777" w:rsidR="009A58DB" w:rsidRDefault="00000000">
      <w:pPr>
        <w:pStyle w:val="BodyText"/>
        <w:spacing w:before="139" w:line="249" w:lineRule="auto"/>
        <w:ind w:right="361"/>
      </w:pPr>
      <w:r>
        <w:t>All identities hold necessarily, and some identities are indeed a posteriori. Nonetheless, dualism can be established by means of an argument not</w:t>
      </w:r>
      <w:r>
        <w:rPr>
          <w:spacing w:val="40"/>
        </w:rPr>
        <w:t xml:space="preserve"> </w:t>
      </w:r>
      <w:r>
        <w:t>entirely unlike Descartes’. Consider some (alleged) necessary, nonanalytic truth; for example:</w:t>
      </w:r>
    </w:p>
    <w:p w14:paraId="7E0018B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B8" w14:textId="77777777" w:rsidR="009A58DB" w:rsidRDefault="009A58DB">
      <w:pPr>
        <w:pStyle w:val="BodyText"/>
        <w:spacing w:before="104"/>
        <w:ind w:left="0"/>
        <w:jc w:val="left"/>
      </w:pPr>
    </w:p>
    <w:p w14:paraId="7E0018B9" w14:textId="77777777" w:rsidR="009A58DB" w:rsidRDefault="00000000">
      <w:pPr>
        <w:pStyle w:val="BodyText"/>
        <w:spacing w:before="1"/>
      </w:pPr>
      <w:r>
        <w:t>(WH)</w:t>
      </w:r>
      <w:r>
        <w:rPr>
          <w:spacing w:val="-4"/>
        </w:rPr>
        <w:t xml:space="preserve"> </w:t>
      </w:r>
      <w:r>
        <w:t>water</w:t>
      </w:r>
      <w:r>
        <w:rPr>
          <w:spacing w:val="-4"/>
        </w:rPr>
        <w:t xml:space="preserve"> </w:t>
      </w:r>
      <w:r>
        <w:t>is</w:t>
      </w:r>
      <w:r>
        <w:rPr>
          <w:spacing w:val="-3"/>
        </w:rPr>
        <w:t xml:space="preserve"> </w:t>
      </w:r>
      <w:r>
        <w:rPr>
          <w:spacing w:val="-4"/>
        </w:rPr>
        <w:t>H</w:t>
      </w:r>
      <w:r>
        <w:rPr>
          <w:spacing w:val="-4"/>
          <w:vertAlign w:val="subscript"/>
        </w:rPr>
        <w:t>2</w:t>
      </w:r>
      <w:r>
        <w:rPr>
          <w:spacing w:val="-4"/>
        </w:rPr>
        <w:t>O.</w:t>
      </w:r>
    </w:p>
    <w:p w14:paraId="7E0018BA" w14:textId="77777777" w:rsidR="009A58DB" w:rsidRDefault="00000000">
      <w:pPr>
        <w:pStyle w:val="BodyText"/>
        <w:spacing w:before="165" w:line="249" w:lineRule="auto"/>
        <w:ind w:right="359"/>
      </w:pPr>
      <w:r>
        <w:t xml:space="preserve">(In this context, we’ll assume for argument’s sake that WH is non-analytic.) The reason that WH is non-analytic is that something that appeared, visually and otherwise, to be just like water might not </w:t>
      </w:r>
      <w:r>
        <w:rPr>
          <w:i/>
        </w:rPr>
        <w:t xml:space="preserve">be </w:t>
      </w:r>
      <w:r>
        <w:t xml:space="preserve">water, as it might have the wrong micro-structure. In general, whenever a statement of the form </w:t>
      </w:r>
      <w:r>
        <w:rPr>
          <w:i/>
        </w:rPr>
        <w:t xml:space="preserve">x = y </w:t>
      </w:r>
      <w:r>
        <w:t xml:space="preserve">is non-analytic, it is because objects that aren’t x can </w:t>
      </w:r>
      <w:r>
        <w:rPr>
          <w:i/>
        </w:rPr>
        <w:t xml:space="preserve">appear </w:t>
      </w:r>
      <w:r>
        <w:t xml:space="preserve">just like x. But it makes no sense to say that something that </w:t>
      </w:r>
      <w:r>
        <w:rPr>
          <w:i/>
        </w:rPr>
        <w:t xml:space="preserve">appeared </w:t>
      </w:r>
      <w:r>
        <w:t xml:space="preserve">(felt) just like a pain wasn’t </w:t>
      </w:r>
      <w:r>
        <w:rPr>
          <w:i/>
        </w:rPr>
        <w:t xml:space="preserve">actually </w:t>
      </w:r>
      <w:r>
        <w:t xml:space="preserve">a pain. Anything that feels just like a pain </w:t>
      </w:r>
      <w:r>
        <w:rPr>
          <w:i/>
        </w:rPr>
        <w:t xml:space="preserve">is </w:t>
      </w:r>
      <w:r>
        <w:t>a pain. “Pain is identical with brain state X” would be non-analytic, if it were true. Thus, since</w:t>
      </w:r>
      <w:r>
        <w:rPr>
          <w:spacing w:val="3"/>
        </w:rPr>
        <w:t xml:space="preserve"> </w:t>
      </w:r>
      <w:r>
        <w:t>what</w:t>
      </w:r>
      <w:r>
        <w:rPr>
          <w:spacing w:val="3"/>
        </w:rPr>
        <w:t xml:space="preserve"> </w:t>
      </w:r>
      <w:r>
        <w:t>makes</w:t>
      </w:r>
      <w:r>
        <w:rPr>
          <w:spacing w:val="4"/>
        </w:rPr>
        <w:t xml:space="preserve"> </w:t>
      </w:r>
      <w:r>
        <w:t>it</w:t>
      </w:r>
      <w:r>
        <w:rPr>
          <w:spacing w:val="3"/>
        </w:rPr>
        <w:t xml:space="preserve"> </w:t>
      </w:r>
      <w:r>
        <w:t>possible</w:t>
      </w:r>
      <w:r>
        <w:rPr>
          <w:spacing w:val="3"/>
        </w:rPr>
        <w:t xml:space="preserve"> </w:t>
      </w:r>
      <w:r>
        <w:t>for</w:t>
      </w:r>
      <w:r>
        <w:rPr>
          <w:spacing w:val="4"/>
        </w:rPr>
        <w:t xml:space="preserve"> </w:t>
      </w:r>
      <w:r>
        <w:t>it</w:t>
      </w:r>
      <w:r>
        <w:rPr>
          <w:spacing w:val="3"/>
        </w:rPr>
        <w:t xml:space="preserve"> </w:t>
      </w:r>
      <w:r>
        <w:t>to</w:t>
      </w:r>
      <w:r>
        <w:rPr>
          <w:spacing w:val="3"/>
        </w:rPr>
        <w:t xml:space="preserve"> </w:t>
      </w:r>
      <w:r>
        <w:t>be</w:t>
      </w:r>
      <w:r>
        <w:rPr>
          <w:spacing w:val="4"/>
        </w:rPr>
        <w:t xml:space="preserve"> </w:t>
      </w:r>
      <w:r>
        <w:t>non-analytic</w:t>
      </w:r>
      <w:r>
        <w:rPr>
          <w:spacing w:val="3"/>
        </w:rPr>
        <w:t xml:space="preserve"> </w:t>
      </w:r>
      <w:r>
        <w:t>that</w:t>
      </w:r>
      <w:r>
        <w:rPr>
          <w:spacing w:val="3"/>
        </w:rPr>
        <w:t xml:space="preserve"> </w:t>
      </w:r>
      <w:r>
        <w:t>water</w:t>
      </w:r>
      <w:r>
        <w:rPr>
          <w:spacing w:val="4"/>
        </w:rPr>
        <w:t xml:space="preserve"> </w:t>
      </w:r>
      <w:r>
        <w:t>is</w:t>
      </w:r>
      <w:r>
        <w:rPr>
          <w:spacing w:val="3"/>
        </w:rPr>
        <w:t xml:space="preserve"> </w:t>
      </w:r>
      <w:r>
        <w:t>H</w:t>
      </w:r>
      <w:r>
        <w:rPr>
          <w:vertAlign w:val="subscript"/>
        </w:rPr>
        <w:t>2</w:t>
      </w:r>
      <w:r>
        <w:t>O</w:t>
      </w:r>
      <w:r>
        <w:rPr>
          <w:spacing w:val="6"/>
        </w:rPr>
        <w:t xml:space="preserve"> </w:t>
      </w:r>
      <w:r>
        <w:t>is</w:t>
      </w:r>
      <w:r>
        <w:rPr>
          <w:spacing w:val="6"/>
        </w:rPr>
        <w:t xml:space="preserve"> </w:t>
      </w:r>
      <w:r>
        <w:rPr>
          <w:spacing w:val="-4"/>
        </w:rPr>
        <w:t>that</w:t>
      </w:r>
    </w:p>
    <w:p w14:paraId="7E0018BB" w14:textId="77777777" w:rsidR="009A58DB" w:rsidRDefault="00000000">
      <w:pPr>
        <w:pStyle w:val="BodyText"/>
        <w:spacing w:before="71" w:line="249" w:lineRule="auto"/>
        <w:ind w:right="360"/>
      </w:pPr>
      <w:r>
        <w:rPr>
          <w:i/>
        </w:rPr>
        <w:t xml:space="preserve">appearing </w:t>
      </w:r>
      <w:r>
        <w:t xml:space="preserve">like water is different from </w:t>
      </w:r>
      <w:r>
        <w:rPr>
          <w:i/>
        </w:rPr>
        <w:t xml:space="preserve">being </w:t>
      </w:r>
      <w:r>
        <w:t>water, and the same thing</w:t>
      </w:r>
      <w:r>
        <w:rPr>
          <w:spacing w:val="40"/>
        </w:rPr>
        <w:t xml:space="preserve"> </w:t>
      </w:r>
      <w:r>
        <w:rPr>
          <w:i/>
        </w:rPr>
        <w:t xml:space="preserve">mutatis mutandis </w:t>
      </w:r>
      <w:r>
        <w:t>being true of all non-analytic necessities, it follows that “pain is identical with brain state X” is not true.</w:t>
      </w:r>
    </w:p>
    <w:p w14:paraId="7E0018BC" w14:textId="77777777" w:rsidR="009A58DB" w:rsidRDefault="00000000">
      <w:pPr>
        <w:pStyle w:val="Heading1"/>
        <w:spacing w:before="206"/>
        <w:ind w:left="360" w:firstLine="0"/>
      </w:pPr>
      <w:r>
        <w:t>10.0</w:t>
      </w:r>
      <w:r>
        <w:rPr>
          <w:spacing w:val="-3"/>
        </w:rPr>
        <w:t xml:space="preserve"> </w:t>
      </w:r>
      <w:r>
        <w:t>Arguments</w:t>
      </w:r>
      <w:r>
        <w:rPr>
          <w:spacing w:val="-4"/>
        </w:rPr>
        <w:t xml:space="preserve"> </w:t>
      </w:r>
      <w:r>
        <w:t>for</w:t>
      </w:r>
      <w:r>
        <w:rPr>
          <w:spacing w:val="-3"/>
        </w:rPr>
        <w:t xml:space="preserve"> </w:t>
      </w:r>
      <w:r>
        <w:rPr>
          <w:spacing w:val="-2"/>
        </w:rPr>
        <w:t>materialism</w:t>
      </w:r>
    </w:p>
    <w:p w14:paraId="7E0018BD" w14:textId="77777777" w:rsidR="009A58DB" w:rsidRDefault="00000000">
      <w:pPr>
        <w:pStyle w:val="BodyText"/>
        <w:spacing w:before="139" w:line="249" w:lineRule="auto"/>
        <w:ind w:right="360"/>
      </w:pPr>
      <w:r>
        <w:t>First argument for materialism: It is obvious the mental events create, and otherwise</w:t>
      </w:r>
      <w:r>
        <w:rPr>
          <w:spacing w:val="-4"/>
        </w:rPr>
        <w:t xml:space="preserve"> </w:t>
      </w:r>
      <w:r>
        <w:t>affect,</w:t>
      </w:r>
      <w:r>
        <w:rPr>
          <w:spacing w:val="-3"/>
        </w:rPr>
        <w:t xml:space="preserve"> </w:t>
      </w:r>
      <w:r>
        <w:t>physical</w:t>
      </w:r>
      <w:r>
        <w:rPr>
          <w:spacing w:val="-4"/>
        </w:rPr>
        <w:t xml:space="preserve"> </w:t>
      </w:r>
      <w:r>
        <w:t>events;</w:t>
      </w:r>
      <w:r>
        <w:rPr>
          <w:spacing w:val="-4"/>
        </w:rPr>
        <w:t xml:space="preserve"> </w:t>
      </w:r>
      <w:r>
        <w:t>and</w:t>
      </w:r>
      <w:r>
        <w:rPr>
          <w:spacing w:val="-3"/>
        </w:rPr>
        <w:t xml:space="preserve"> </w:t>
      </w:r>
      <w:r>
        <w:t>it</w:t>
      </w:r>
      <w:r>
        <w:rPr>
          <w:spacing w:val="-4"/>
        </w:rPr>
        <w:t xml:space="preserve"> </w:t>
      </w:r>
      <w:r>
        <w:t>is</w:t>
      </w:r>
      <w:r>
        <w:rPr>
          <w:spacing w:val="-4"/>
        </w:rPr>
        <w:t xml:space="preserve"> </w:t>
      </w:r>
      <w:r>
        <w:t>obvious</w:t>
      </w:r>
      <w:r>
        <w:rPr>
          <w:spacing w:val="-4"/>
        </w:rPr>
        <w:t xml:space="preserve"> </w:t>
      </w:r>
      <w:r>
        <w:t>that</w:t>
      </w:r>
      <w:r>
        <w:rPr>
          <w:spacing w:val="-4"/>
        </w:rPr>
        <w:t xml:space="preserve"> </w:t>
      </w:r>
      <w:r>
        <w:t>physical</w:t>
      </w:r>
      <w:r>
        <w:rPr>
          <w:spacing w:val="-4"/>
        </w:rPr>
        <w:t xml:space="preserve"> </w:t>
      </w:r>
      <w:r>
        <w:t>events</w:t>
      </w:r>
      <w:r>
        <w:rPr>
          <w:spacing w:val="-4"/>
        </w:rPr>
        <w:t xml:space="preserve"> </w:t>
      </w:r>
      <w:r>
        <w:t>create, and otherwise affect, mental events. A hot iron is pressed to your skin (physical event); as a result, you feel pain (mental event). You intend to go to the store (mental event); as a result, you end up going to the store (physical event). You feel nervous (mental event); as a result, your heart races</w:t>
      </w:r>
      <w:r>
        <w:rPr>
          <w:spacing w:val="40"/>
        </w:rPr>
        <w:t xml:space="preserve"> </w:t>
      </w:r>
      <w:r>
        <w:t>(physical event).</w:t>
      </w:r>
    </w:p>
    <w:p w14:paraId="7E0018BE" w14:textId="77777777" w:rsidR="009A58DB" w:rsidRDefault="00000000">
      <w:pPr>
        <w:pStyle w:val="BodyText"/>
        <w:spacing w:before="9" w:line="249" w:lineRule="auto"/>
        <w:ind w:right="360" w:firstLine="360"/>
      </w:pPr>
      <w:r>
        <w:t xml:space="preserve">There is extremely strong evidence to the effect that any physical event is the result </w:t>
      </w:r>
      <w:r>
        <w:rPr>
          <w:i/>
        </w:rPr>
        <w:t xml:space="preserve">only </w:t>
      </w:r>
      <w:r>
        <w:t xml:space="preserve">of other physical events. To explain why a person’s body moves a certain way, it is necessary </w:t>
      </w:r>
      <w:r>
        <w:rPr>
          <w:i/>
        </w:rPr>
        <w:t xml:space="preserve">only </w:t>
      </w:r>
      <w:r>
        <w:t xml:space="preserve">to know what the strictly physical (neural, muscular, . . .) antecedents of that event are, and it is </w:t>
      </w:r>
      <w:r>
        <w:rPr>
          <w:i/>
        </w:rPr>
        <w:t>not</w:t>
      </w:r>
      <w:r>
        <w:rPr>
          <w:i/>
          <w:spacing w:val="-3"/>
        </w:rPr>
        <w:t xml:space="preserve"> </w:t>
      </w:r>
      <w:r>
        <w:t>necessary</w:t>
      </w:r>
      <w:r>
        <w:rPr>
          <w:spacing w:val="-2"/>
        </w:rPr>
        <w:t xml:space="preserve"> </w:t>
      </w:r>
      <w:r>
        <w:t>to know what its psychological antecedents are. The behavior of a person’s</w:t>
      </w:r>
      <w:r>
        <w:rPr>
          <w:spacing w:val="40"/>
        </w:rPr>
        <w:t xml:space="preserve"> </w:t>
      </w:r>
      <w:r>
        <w:t>body is no more in need of</w:t>
      </w:r>
      <w:r>
        <w:rPr>
          <w:spacing w:val="-1"/>
        </w:rPr>
        <w:t xml:space="preserve"> </w:t>
      </w:r>
      <w:r>
        <w:t>“mentalistic” explanation than is the behavior of a brick. (Of course, a knowledge of a person’s psychological condition is often sufficient, given knowledge of easy-to-ascertain facts about the external world, for a knowledge of what that person is going to do next. But such knowledge</w:t>
      </w:r>
      <w:r>
        <w:rPr>
          <w:spacing w:val="66"/>
        </w:rPr>
        <w:t xml:space="preserve"> </w:t>
      </w:r>
      <w:r>
        <w:t>is</w:t>
      </w:r>
      <w:r>
        <w:rPr>
          <w:spacing w:val="67"/>
        </w:rPr>
        <w:t xml:space="preserve"> </w:t>
      </w:r>
      <w:r>
        <w:t>not</w:t>
      </w:r>
      <w:r>
        <w:rPr>
          <w:spacing w:val="66"/>
        </w:rPr>
        <w:t xml:space="preserve"> </w:t>
      </w:r>
      <w:r>
        <w:rPr>
          <w:i/>
        </w:rPr>
        <w:t>necessary:</w:t>
      </w:r>
      <w:r>
        <w:rPr>
          <w:i/>
          <w:spacing w:val="71"/>
        </w:rPr>
        <w:t xml:space="preserve"> </w:t>
      </w:r>
      <w:r>
        <w:t>such</w:t>
      </w:r>
      <w:r>
        <w:rPr>
          <w:spacing w:val="72"/>
        </w:rPr>
        <w:t xml:space="preserve"> </w:t>
      </w:r>
      <w:r>
        <w:t>predictions</w:t>
      </w:r>
      <w:r>
        <w:rPr>
          <w:spacing w:val="71"/>
        </w:rPr>
        <w:t xml:space="preserve"> </w:t>
      </w:r>
      <w:r>
        <w:t>can,</w:t>
      </w:r>
      <w:r>
        <w:rPr>
          <w:spacing w:val="72"/>
        </w:rPr>
        <w:t xml:space="preserve"> </w:t>
      </w:r>
      <w:r>
        <w:t>in</w:t>
      </w:r>
      <w:r>
        <w:rPr>
          <w:spacing w:val="72"/>
        </w:rPr>
        <w:t xml:space="preserve"> </w:t>
      </w:r>
      <w:r>
        <w:t>principle,</w:t>
      </w:r>
      <w:r>
        <w:rPr>
          <w:spacing w:val="72"/>
        </w:rPr>
        <w:t xml:space="preserve"> </w:t>
      </w:r>
      <w:r>
        <w:t>be</w:t>
      </w:r>
      <w:r>
        <w:rPr>
          <w:spacing w:val="71"/>
        </w:rPr>
        <w:t xml:space="preserve"> </w:t>
      </w:r>
      <w:r>
        <w:t>made</w:t>
      </w:r>
    </w:p>
    <w:p w14:paraId="7E0018BF" w14:textId="77777777" w:rsidR="009A58DB" w:rsidRDefault="009A58DB">
      <w:pPr>
        <w:pStyle w:val="BodyText"/>
        <w:spacing w:line="249" w:lineRule="auto"/>
        <w:sectPr w:rsidR="009A58DB">
          <w:pgSz w:w="12240" w:h="15840"/>
          <w:pgMar w:top="1820" w:right="1080" w:bottom="280" w:left="1080" w:header="720" w:footer="720" w:gutter="0"/>
          <w:cols w:space="720"/>
        </w:sectPr>
      </w:pPr>
    </w:p>
    <w:p w14:paraId="7E0018C0" w14:textId="77777777" w:rsidR="009A58DB" w:rsidRDefault="00000000">
      <w:pPr>
        <w:pStyle w:val="BodyText"/>
        <w:spacing w:before="70"/>
        <w:jc w:val="left"/>
      </w:pPr>
      <w:r>
        <w:lastRenderedPageBreak/>
        <w:t>without</w:t>
      </w:r>
      <w:r>
        <w:rPr>
          <w:spacing w:val="-6"/>
        </w:rPr>
        <w:t xml:space="preserve"> </w:t>
      </w:r>
      <w:r>
        <w:t>having</w:t>
      </w:r>
      <w:r>
        <w:rPr>
          <w:spacing w:val="-2"/>
        </w:rPr>
        <w:t xml:space="preserve"> </w:t>
      </w:r>
      <w:r>
        <w:t>any</w:t>
      </w:r>
      <w:r>
        <w:rPr>
          <w:spacing w:val="-3"/>
        </w:rPr>
        <w:t xml:space="preserve"> </w:t>
      </w:r>
      <w:r>
        <w:t>knowledge</w:t>
      </w:r>
      <w:r>
        <w:rPr>
          <w:spacing w:val="-3"/>
        </w:rPr>
        <w:t xml:space="preserve"> </w:t>
      </w:r>
      <w:r>
        <w:t>as</w:t>
      </w:r>
      <w:r>
        <w:rPr>
          <w:spacing w:val="-3"/>
        </w:rPr>
        <w:t xml:space="preserve"> </w:t>
      </w:r>
      <w:r>
        <w:t>to</w:t>
      </w:r>
      <w:r>
        <w:rPr>
          <w:spacing w:val="-3"/>
        </w:rPr>
        <w:t xml:space="preserve"> </w:t>
      </w:r>
      <w:r>
        <w:t>the</w:t>
      </w:r>
      <w:r>
        <w:rPr>
          <w:spacing w:val="-3"/>
        </w:rPr>
        <w:t xml:space="preserve"> </w:t>
      </w:r>
      <w:r>
        <w:t>relevant</w:t>
      </w:r>
      <w:r>
        <w:rPr>
          <w:spacing w:val="-3"/>
        </w:rPr>
        <w:t xml:space="preserve"> </w:t>
      </w:r>
      <w:r>
        <w:t>person’s</w:t>
      </w:r>
      <w:r>
        <w:rPr>
          <w:spacing w:val="-3"/>
        </w:rPr>
        <w:t xml:space="preserve"> </w:t>
      </w:r>
      <w:r>
        <w:rPr>
          <w:spacing w:val="-2"/>
        </w:rPr>
        <w:t>psychology.)</w:t>
      </w:r>
    </w:p>
    <w:p w14:paraId="7E0018C1" w14:textId="77777777" w:rsidR="009A58DB" w:rsidRDefault="00000000">
      <w:pPr>
        <w:pStyle w:val="BodyText"/>
        <w:spacing w:before="10" w:line="249" w:lineRule="auto"/>
        <w:ind w:right="370" w:firstLine="360"/>
      </w:pPr>
      <w:r>
        <w:t>Given that every fact about a person’s bodily behavior can be explained in strictly physical terms, we can take one of two positions. We can say either:</w:t>
      </w:r>
    </w:p>
    <w:p w14:paraId="7E0018C2" w14:textId="77777777" w:rsidR="009A58DB" w:rsidRDefault="009A58DB">
      <w:pPr>
        <w:pStyle w:val="BodyText"/>
        <w:spacing w:before="17"/>
        <w:ind w:left="0"/>
        <w:jc w:val="left"/>
      </w:pPr>
    </w:p>
    <w:p w14:paraId="7E0018C3" w14:textId="77777777" w:rsidR="009A58DB" w:rsidRDefault="00000000">
      <w:pPr>
        <w:pStyle w:val="ListParagraph"/>
        <w:numPr>
          <w:ilvl w:val="0"/>
          <w:numId w:val="120"/>
        </w:numPr>
        <w:tabs>
          <w:tab w:val="left" w:pos="777"/>
        </w:tabs>
        <w:spacing w:line="249" w:lineRule="auto"/>
        <w:ind w:right="372" w:firstLine="0"/>
        <w:rPr>
          <w:sz w:val="30"/>
        </w:rPr>
      </w:pPr>
      <w:r>
        <w:rPr>
          <w:sz w:val="30"/>
        </w:rPr>
        <w:t>the</w:t>
      </w:r>
      <w:r>
        <w:rPr>
          <w:spacing w:val="40"/>
          <w:sz w:val="30"/>
        </w:rPr>
        <w:t xml:space="preserve"> </w:t>
      </w:r>
      <w:r>
        <w:rPr>
          <w:sz w:val="30"/>
        </w:rPr>
        <w:t>mental</w:t>
      </w:r>
      <w:r>
        <w:rPr>
          <w:spacing w:val="40"/>
          <w:sz w:val="30"/>
        </w:rPr>
        <w:t xml:space="preserve"> </w:t>
      </w:r>
      <w:r>
        <w:rPr>
          <w:sz w:val="30"/>
        </w:rPr>
        <w:t>does</w:t>
      </w:r>
      <w:r>
        <w:rPr>
          <w:spacing w:val="40"/>
          <w:sz w:val="30"/>
        </w:rPr>
        <w:t xml:space="preserve"> </w:t>
      </w:r>
      <w:r>
        <w:rPr>
          <w:sz w:val="30"/>
        </w:rPr>
        <w:t>not,</w:t>
      </w:r>
      <w:r>
        <w:rPr>
          <w:spacing w:val="40"/>
          <w:sz w:val="30"/>
        </w:rPr>
        <w:t xml:space="preserve"> </w:t>
      </w:r>
      <w:r>
        <w:rPr>
          <w:sz w:val="30"/>
        </w:rPr>
        <w:t>contrary</w:t>
      </w:r>
      <w:r>
        <w:rPr>
          <w:spacing w:val="40"/>
          <w:sz w:val="30"/>
        </w:rPr>
        <w:t xml:space="preserve"> </w:t>
      </w:r>
      <w:r>
        <w:rPr>
          <w:sz w:val="30"/>
        </w:rPr>
        <w:t>to</w:t>
      </w:r>
      <w:r>
        <w:rPr>
          <w:spacing w:val="40"/>
          <w:sz w:val="30"/>
        </w:rPr>
        <w:t xml:space="preserve"> </w:t>
      </w:r>
      <w:r>
        <w:rPr>
          <w:sz w:val="30"/>
        </w:rPr>
        <w:t>appearances,</w:t>
      </w:r>
      <w:r>
        <w:rPr>
          <w:spacing w:val="40"/>
          <w:sz w:val="30"/>
        </w:rPr>
        <w:t xml:space="preserve"> </w:t>
      </w:r>
      <w:r>
        <w:rPr>
          <w:sz w:val="30"/>
        </w:rPr>
        <w:t>have</w:t>
      </w:r>
      <w:r>
        <w:rPr>
          <w:spacing w:val="40"/>
          <w:sz w:val="30"/>
        </w:rPr>
        <w:t xml:space="preserve"> </w:t>
      </w:r>
      <w:r>
        <w:rPr>
          <w:sz w:val="30"/>
        </w:rPr>
        <w:t>any</w:t>
      </w:r>
      <w:r>
        <w:rPr>
          <w:spacing w:val="40"/>
          <w:sz w:val="30"/>
        </w:rPr>
        <w:t xml:space="preserve"> </w:t>
      </w:r>
      <w:r>
        <w:rPr>
          <w:sz w:val="30"/>
        </w:rPr>
        <w:t>effects</w:t>
      </w:r>
      <w:r>
        <w:rPr>
          <w:spacing w:val="40"/>
          <w:sz w:val="30"/>
        </w:rPr>
        <w:t xml:space="preserve"> </w:t>
      </w:r>
      <w:r>
        <w:rPr>
          <w:sz w:val="30"/>
        </w:rPr>
        <w:t>on</w:t>
      </w:r>
      <w:r>
        <w:rPr>
          <w:spacing w:val="40"/>
          <w:sz w:val="30"/>
        </w:rPr>
        <w:t xml:space="preserve"> </w:t>
      </w:r>
      <w:r>
        <w:rPr>
          <w:sz w:val="30"/>
        </w:rPr>
        <w:t xml:space="preserve">the </w:t>
      </w:r>
      <w:r>
        <w:rPr>
          <w:spacing w:val="-2"/>
          <w:sz w:val="30"/>
        </w:rPr>
        <w:t>body,</w:t>
      </w:r>
    </w:p>
    <w:p w14:paraId="7E0018C4" w14:textId="77777777" w:rsidR="009A58DB" w:rsidRDefault="009A58DB">
      <w:pPr>
        <w:pStyle w:val="BodyText"/>
        <w:spacing w:before="17"/>
        <w:ind w:left="0"/>
        <w:jc w:val="left"/>
      </w:pPr>
    </w:p>
    <w:p w14:paraId="7E0018C5" w14:textId="77777777" w:rsidR="009A58DB" w:rsidRDefault="00000000">
      <w:pPr>
        <w:pStyle w:val="BodyText"/>
        <w:spacing w:before="1"/>
        <w:jc w:val="left"/>
      </w:pPr>
      <w:r>
        <w:rPr>
          <w:spacing w:val="-5"/>
        </w:rPr>
        <w:t>or</w:t>
      </w:r>
    </w:p>
    <w:p w14:paraId="7E0018C6" w14:textId="77777777" w:rsidR="009A58DB" w:rsidRDefault="009A58DB">
      <w:pPr>
        <w:pStyle w:val="BodyText"/>
        <w:spacing w:before="30"/>
        <w:ind w:left="0"/>
        <w:jc w:val="left"/>
      </w:pPr>
    </w:p>
    <w:p w14:paraId="7E0018C7" w14:textId="77777777" w:rsidR="009A58DB" w:rsidRDefault="00000000">
      <w:pPr>
        <w:pStyle w:val="ListParagraph"/>
        <w:numPr>
          <w:ilvl w:val="0"/>
          <w:numId w:val="120"/>
        </w:numPr>
        <w:tabs>
          <w:tab w:val="left" w:pos="827"/>
        </w:tabs>
        <w:ind w:left="827" w:hanging="467"/>
        <w:rPr>
          <w:sz w:val="30"/>
        </w:rPr>
      </w:pPr>
      <w:r>
        <w:rPr>
          <w:sz w:val="30"/>
        </w:rPr>
        <w:t>the</w:t>
      </w:r>
      <w:r>
        <w:rPr>
          <w:spacing w:val="26"/>
          <w:sz w:val="30"/>
        </w:rPr>
        <w:t xml:space="preserve"> </w:t>
      </w:r>
      <w:r>
        <w:rPr>
          <w:sz w:val="30"/>
        </w:rPr>
        <w:t>mental</w:t>
      </w:r>
      <w:r>
        <w:rPr>
          <w:spacing w:val="26"/>
          <w:sz w:val="30"/>
        </w:rPr>
        <w:t xml:space="preserve"> </w:t>
      </w:r>
      <w:r>
        <w:rPr>
          <w:i/>
          <w:sz w:val="30"/>
        </w:rPr>
        <w:t>does</w:t>
      </w:r>
      <w:r>
        <w:rPr>
          <w:i/>
          <w:spacing w:val="26"/>
          <w:sz w:val="30"/>
        </w:rPr>
        <w:t xml:space="preserve"> </w:t>
      </w:r>
      <w:r>
        <w:rPr>
          <w:sz w:val="30"/>
        </w:rPr>
        <w:t>have</w:t>
      </w:r>
      <w:r>
        <w:rPr>
          <w:spacing w:val="29"/>
          <w:sz w:val="30"/>
        </w:rPr>
        <w:t xml:space="preserve"> </w:t>
      </w:r>
      <w:r>
        <w:rPr>
          <w:sz w:val="30"/>
        </w:rPr>
        <w:t>such</w:t>
      </w:r>
      <w:r>
        <w:rPr>
          <w:spacing w:val="29"/>
          <w:sz w:val="30"/>
        </w:rPr>
        <w:t xml:space="preserve"> </w:t>
      </w:r>
      <w:r>
        <w:rPr>
          <w:sz w:val="30"/>
        </w:rPr>
        <w:t>effects—and</w:t>
      </w:r>
      <w:r>
        <w:rPr>
          <w:spacing w:val="30"/>
          <w:sz w:val="30"/>
        </w:rPr>
        <w:t xml:space="preserve"> </w:t>
      </w:r>
      <w:r>
        <w:rPr>
          <w:sz w:val="30"/>
        </w:rPr>
        <w:t>the</w:t>
      </w:r>
      <w:r>
        <w:rPr>
          <w:spacing w:val="29"/>
          <w:sz w:val="30"/>
        </w:rPr>
        <w:t xml:space="preserve"> </w:t>
      </w:r>
      <w:r>
        <w:rPr>
          <w:sz w:val="30"/>
        </w:rPr>
        <w:t>mental</w:t>
      </w:r>
      <w:r>
        <w:rPr>
          <w:spacing w:val="29"/>
          <w:sz w:val="30"/>
        </w:rPr>
        <w:t xml:space="preserve"> </w:t>
      </w:r>
      <w:r>
        <w:rPr>
          <w:sz w:val="30"/>
        </w:rPr>
        <w:t>is</w:t>
      </w:r>
      <w:r>
        <w:rPr>
          <w:spacing w:val="29"/>
          <w:sz w:val="30"/>
        </w:rPr>
        <w:t xml:space="preserve"> </w:t>
      </w:r>
      <w:r>
        <w:rPr>
          <w:i/>
          <w:sz w:val="30"/>
        </w:rPr>
        <w:t>identical</w:t>
      </w:r>
      <w:r>
        <w:rPr>
          <w:i/>
          <w:spacing w:val="26"/>
          <w:sz w:val="30"/>
        </w:rPr>
        <w:t xml:space="preserve"> </w:t>
      </w:r>
      <w:r>
        <w:rPr>
          <w:sz w:val="30"/>
        </w:rPr>
        <w:t>with</w:t>
      </w:r>
      <w:r>
        <w:rPr>
          <w:spacing w:val="28"/>
          <w:sz w:val="30"/>
        </w:rPr>
        <w:t xml:space="preserve"> </w:t>
      </w:r>
      <w:r>
        <w:rPr>
          <w:spacing w:val="-5"/>
          <w:sz w:val="30"/>
        </w:rPr>
        <w:t>the</w:t>
      </w:r>
    </w:p>
    <w:p w14:paraId="7E0018C8" w14:textId="77777777" w:rsidR="009A58DB" w:rsidRDefault="00000000">
      <w:pPr>
        <w:pStyle w:val="BodyText"/>
        <w:spacing w:before="15"/>
        <w:ind w:left="720"/>
        <w:jc w:val="left"/>
      </w:pPr>
      <w:r>
        <w:rPr>
          <w:i/>
        </w:rPr>
        <w:t>physical</w:t>
      </w:r>
      <w:r>
        <w:rPr>
          <w:i/>
          <w:spacing w:val="-3"/>
        </w:rPr>
        <w:t xml:space="preserve"> </w:t>
      </w:r>
      <w:r>
        <w:t>events</w:t>
      </w:r>
      <w:r>
        <w:rPr>
          <w:spacing w:val="-3"/>
        </w:rPr>
        <w:t xml:space="preserve"> </w:t>
      </w:r>
      <w:r>
        <w:t>that</w:t>
      </w:r>
      <w:r>
        <w:rPr>
          <w:spacing w:val="-3"/>
        </w:rPr>
        <w:t xml:space="preserve"> </w:t>
      </w:r>
      <w:r>
        <w:t>we</w:t>
      </w:r>
      <w:r>
        <w:rPr>
          <w:spacing w:val="-2"/>
        </w:rPr>
        <w:t xml:space="preserve"> </w:t>
      </w:r>
      <w:r>
        <w:t>know</w:t>
      </w:r>
      <w:r>
        <w:rPr>
          <w:spacing w:val="-3"/>
        </w:rPr>
        <w:t xml:space="preserve"> </w:t>
      </w:r>
      <w:r>
        <w:t>to</w:t>
      </w:r>
      <w:r>
        <w:rPr>
          <w:spacing w:val="-2"/>
        </w:rPr>
        <w:t xml:space="preserve"> </w:t>
      </w:r>
      <w:r>
        <w:t>have</w:t>
      </w:r>
      <w:r>
        <w:rPr>
          <w:spacing w:val="-3"/>
        </w:rPr>
        <w:t xml:space="preserve"> </w:t>
      </w:r>
      <w:r>
        <w:t>those</w:t>
      </w:r>
      <w:r>
        <w:rPr>
          <w:spacing w:val="-2"/>
        </w:rPr>
        <w:t xml:space="preserve"> effects.</w:t>
      </w:r>
    </w:p>
    <w:p w14:paraId="7E0018C9" w14:textId="77777777" w:rsidR="009A58DB" w:rsidRDefault="009A58DB">
      <w:pPr>
        <w:pStyle w:val="BodyText"/>
        <w:spacing w:before="30"/>
        <w:ind w:left="0"/>
        <w:jc w:val="left"/>
      </w:pPr>
    </w:p>
    <w:p w14:paraId="7E0018CA" w14:textId="77777777" w:rsidR="009A58DB" w:rsidRDefault="00000000">
      <w:pPr>
        <w:pStyle w:val="BodyText"/>
        <w:spacing w:line="249" w:lineRule="auto"/>
        <w:ind w:right="369" w:firstLine="360"/>
        <w:rPr>
          <w:position w:val="21"/>
        </w:rPr>
      </w:pPr>
      <w:r>
        <w:t>Since it is very hard to believe that the mental is without effect on the physical, (i) is almost certainly false. Hence (ii) is the right view</w:t>
      </w:r>
      <w:bookmarkStart w:id="322" w:name="_bookmark322"/>
      <w:bookmarkEnd w:id="322"/>
      <w:r>
        <w:t>.</w:t>
      </w:r>
      <w:r>
        <w:rPr>
          <w:color w:val="0562C1"/>
          <w:position w:val="21"/>
          <w:u w:val="single" w:color="0562C1"/>
        </w:rPr>
        <w:t>[218]</w:t>
      </w:r>
    </w:p>
    <w:p w14:paraId="7E0018CB" w14:textId="77777777" w:rsidR="009A58DB" w:rsidRDefault="00000000">
      <w:pPr>
        <w:pStyle w:val="BodyText"/>
        <w:spacing w:before="2" w:line="249" w:lineRule="auto"/>
        <w:ind w:right="368" w:firstLine="360"/>
      </w:pPr>
      <w:r>
        <w:t>Evaluating this argument: My own personal view is that this argument is pretty solid, that being why I am a materialist. Others have responded (or, given their positions, would respond) differently to this argument.</w:t>
      </w:r>
    </w:p>
    <w:p w14:paraId="7E0018CC" w14:textId="77777777" w:rsidR="009A58DB" w:rsidRDefault="00000000">
      <w:pPr>
        <w:pStyle w:val="BodyText"/>
        <w:spacing w:before="4" w:line="249" w:lineRule="auto"/>
        <w:ind w:right="371" w:firstLine="360"/>
      </w:pPr>
      <w:r>
        <w:t xml:space="preserve">For example, according to </w:t>
      </w:r>
      <w:r>
        <w:rPr>
          <w:i/>
        </w:rPr>
        <w:t xml:space="preserve">epiphenomenalism, </w:t>
      </w:r>
      <w:r>
        <w:t xml:space="preserve">even though the physical affects the mental, the mental does </w:t>
      </w:r>
      <w:r>
        <w:rPr>
          <w:i/>
        </w:rPr>
        <w:t xml:space="preserve">not </w:t>
      </w:r>
      <w:r>
        <w:t>affect the physical.</w:t>
      </w:r>
    </w:p>
    <w:p w14:paraId="7E0018CD" w14:textId="77777777" w:rsidR="009A58DB" w:rsidRDefault="00000000">
      <w:pPr>
        <w:pStyle w:val="BodyText"/>
        <w:spacing w:before="2" w:line="249" w:lineRule="auto"/>
        <w:ind w:right="357" w:firstLine="360"/>
      </w:pPr>
      <w:r>
        <w:t xml:space="preserve">But epiphenomenalism is clearly wrong. It’s an empirical datum that the mental affects the physical and </w:t>
      </w:r>
      <w:r>
        <w:rPr>
          <w:i/>
        </w:rPr>
        <w:t xml:space="preserve">vice versa. </w:t>
      </w:r>
      <w:r>
        <w:t>Should it be denied that this is a datum, or even that it’s true, I would respond by showing that epiphenomenalism is at odds with a fundamental fact about the nature of causation. Causation is bidirectional. If my hand affects the table (e.g., if my hand pushes the table), then the table affects my hand. So if, as the epiphenomenalist believes, the physical affected the mental, then the mental would affect the physical. But in that case, epiphenomenalism is false.</w:t>
      </w:r>
    </w:p>
    <w:p w14:paraId="7E0018C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CF" w14:textId="77777777" w:rsidR="009A58DB" w:rsidRDefault="00000000">
      <w:pPr>
        <w:pStyle w:val="BodyText"/>
        <w:spacing w:before="65" w:line="249" w:lineRule="auto"/>
        <w:ind w:right="359"/>
      </w:pPr>
      <w:r>
        <w:lastRenderedPageBreak/>
        <w:t>The epiphenomenalist might counter-respond by saying that there are exceptions to the principle of bidirectionality that I’ve been advocating: physical situations create, and have effects on, shadows; but shadows don’t have effects on anything.</w:t>
      </w:r>
    </w:p>
    <w:p w14:paraId="7E0018D0" w14:textId="77777777" w:rsidR="009A58DB" w:rsidRDefault="00000000">
      <w:pPr>
        <w:pStyle w:val="BodyText"/>
        <w:spacing w:before="5" w:line="249" w:lineRule="auto"/>
        <w:ind w:right="358" w:firstLine="360"/>
      </w:pPr>
      <w:r>
        <w:t xml:space="preserve">But this move is a non-starter. Mental entities, unlike shadows, really do have causal powers. Even the epiphenomenalist doesn’t deny that they affect one another. Given this fact, along with the fact mental events result from physical events, it follows that some of the energy associated with physical states of affairs is transferred to them. So unless energy is implausibly assumed to vanish from the physical world, never to return, we must assume that the mental can, so to speak, spit it back into the physical world and, therefore, that the mental </w:t>
      </w:r>
      <w:r>
        <w:rPr>
          <w:i/>
        </w:rPr>
        <w:t xml:space="preserve">can </w:t>
      </w:r>
      <w:r>
        <w:t>affect the physical</w:t>
      </w:r>
      <w:bookmarkStart w:id="323" w:name="_bookmark323"/>
      <w:bookmarkEnd w:id="323"/>
      <w:r>
        <w:t>.</w:t>
      </w:r>
      <w:r>
        <w:rPr>
          <w:color w:val="0562C1"/>
          <w:position w:val="21"/>
          <w:u w:val="single" w:color="0562C1"/>
        </w:rPr>
        <w:t>[219]</w:t>
      </w:r>
      <w:r>
        <w:rPr>
          <w:color w:val="0562C1"/>
          <w:position w:val="21"/>
        </w:rPr>
        <w:t xml:space="preserve"> </w:t>
      </w:r>
      <w:r>
        <w:t xml:space="preserve">And, as we’ve seen, once it is granted the mental can affect the physical, it must be granted that the mental </w:t>
      </w:r>
      <w:r>
        <w:rPr>
          <w:i/>
        </w:rPr>
        <w:t xml:space="preserve">is </w:t>
      </w:r>
      <w:r>
        <w:t>physical.</w:t>
      </w:r>
    </w:p>
    <w:p w14:paraId="7E0018D1" w14:textId="77777777" w:rsidR="009A58DB" w:rsidRDefault="00000000">
      <w:pPr>
        <w:pStyle w:val="Heading6"/>
        <w:spacing w:before="117"/>
      </w:pPr>
      <w:r>
        <w:t>Another</w:t>
      </w:r>
      <w:r>
        <w:rPr>
          <w:spacing w:val="-5"/>
        </w:rPr>
        <w:t xml:space="preserve"> </w:t>
      </w:r>
      <w:r>
        <w:t>argument</w:t>
      </w:r>
      <w:r>
        <w:rPr>
          <w:spacing w:val="-5"/>
        </w:rPr>
        <w:t xml:space="preserve"> </w:t>
      </w:r>
      <w:r>
        <w:t>for</w:t>
      </w:r>
      <w:r>
        <w:rPr>
          <w:spacing w:val="-4"/>
        </w:rPr>
        <w:t xml:space="preserve"> </w:t>
      </w:r>
      <w:r>
        <w:rPr>
          <w:spacing w:val="-2"/>
        </w:rPr>
        <w:t>materialism</w:t>
      </w:r>
    </w:p>
    <w:p w14:paraId="7E0018D2" w14:textId="77777777" w:rsidR="009A58DB" w:rsidRDefault="00000000">
      <w:pPr>
        <w:pStyle w:val="BodyText"/>
        <w:spacing w:before="75" w:line="249" w:lineRule="auto"/>
        <w:ind w:right="359"/>
      </w:pPr>
      <w:r>
        <w:t xml:space="preserve">As we’ve seen, the mental clearly affects the physical. If mental entities are subject to physical laws, they are </w:t>
      </w:r>
      <w:r>
        <w:rPr>
          <w:i/>
        </w:rPr>
        <w:t>ipso facto</w:t>
      </w:r>
      <w:r>
        <w:rPr>
          <w:i/>
          <w:spacing w:val="80"/>
        </w:rPr>
        <w:t xml:space="preserve"> </w:t>
      </w:r>
      <w:r>
        <w:t xml:space="preserve">physical. (After all, what would it </w:t>
      </w:r>
      <w:r>
        <w:rPr>
          <w:i/>
        </w:rPr>
        <w:t xml:space="preserve">be </w:t>
      </w:r>
      <w:r>
        <w:t xml:space="preserve">to be physical, if not to obey physical laws?) And if something obeys physical laws, it is </w:t>
      </w:r>
      <w:r>
        <w:rPr>
          <w:i/>
        </w:rPr>
        <w:t>ipso facto</w:t>
      </w:r>
      <w:r>
        <w:rPr>
          <w:i/>
          <w:spacing w:val="40"/>
        </w:rPr>
        <w:t xml:space="preserve"> </w:t>
      </w:r>
      <w:r>
        <w:t>physical. What would it mean to say “X obeys the laws of physics —but it isn’t physical”? X is physical iff X obeys</w:t>
      </w:r>
      <w:r>
        <w:rPr>
          <w:spacing w:val="40"/>
        </w:rPr>
        <w:t xml:space="preserve"> </w:t>
      </w:r>
      <w:r>
        <w:t>physical laws.</w:t>
      </w:r>
    </w:p>
    <w:p w14:paraId="7E0018D3" w14:textId="77777777" w:rsidR="009A58DB" w:rsidRDefault="00000000">
      <w:pPr>
        <w:pStyle w:val="BodyText"/>
        <w:spacing w:before="7" w:line="249" w:lineRule="auto"/>
        <w:ind w:right="359" w:firstLine="360"/>
        <w:rPr>
          <w:position w:val="21"/>
        </w:rPr>
      </w:pPr>
      <w:r>
        <w:t>Thus, if mental entities are not physical, they are not subject to physical laws.</w:t>
      </w:r>
      <w:r>
        <w:rPr>
          <w:spacing w:val="-3"/>
        </w:rPr>
        <w:t xml:space="preserve"> </w:t>
      </w:r>
      <w:r>
        <w:t>So</w:t>
      </w:r>
      <w:r>
        <w:rPr>
          <w:spacing w:val="-3"/>
        </w:rPr>
        <w:t xml:space="preserve"> </w:t>
      </w:r>
      <w:r>
        <w:t>if</w:t>
      </w:r>
      <w:r>
        <w:rPr>
          <w:spacing w:val="-4"/>
        </w:rPr>
        <w:t xml:space="preserve"> </w:t>
      </w:r>
      <w:r>
        <w:t>mental</w:t>
      </w:r>
      <w:r>
        <w:rPr>
          <w:spacing w:val="-4"/>
        </w:rPr>
        <w:t xml:space="preserve"> </w:t>
      </w:r>
      <w:r>
        <w:t>entities</w:t>
      </w:r>
      <w:r>
        <w:rPr>
          <w:spacing w:val="-4"/>
        </w:rPr>
        <w:t xml:space="preserve"> </w:t>
      </w:r>
      <w:r>
        <w:t>were</w:t>
      </w:r>
      <w:r>
        <w:rPr>
          <w:spacing w:val="-4"/>
        </w:rPr>
        <w:t xml:space="preserve"> </w:t>
      </w:r>
      <w:r>
        <w:t>non-physical,</w:t>
      </w:r>
      <w:r>
        <w:rPr>
          <w:spacing w:val="-3"/>
        </w:rPr>
        <w:t xml:space="preserve"> </w:t>
      </w:r>
      <w:r>
        <w:t>things</w:t>
      </w:r>
      <w:r>
        <w:rPr>
          <w:spacing w:val="-4"/>
        </w:rPr>
        <w:t xml:space="preserve"> </w:t>
      </w:r>
      <w:r>
        <w:t>that</w:t>
      </w:r>
      <w:r>
        <w:rPr>
          <w:spacing w:val="-4"/>
        </w:rPr>
        <w:t xml:space="preserve"> </w:t>
      </w:r>
      <w:r>
        <w:rPr>
          <w:i/>
        </w:rPr>
        <w:t>didn’t</w:t>
      </w:r>
      <w:r>
        <w:rPr>
          <w:i/>
          <w:spacing w:val="-4"/>
        </w:rPr>
        <w:t xml:space="preserve"> </w:t>
      </w:r>
      <w:r>
        <w:t xml:space="preserve">fall within the scope of physical law would constantly have effects on the physical world, resulting in physical events that couldn’t be explained in terms of physical laws—in physical events that were, in fact, </w:t>
      </w:r>
      <w:r>
        <w:rPr>
          <w:i/>
        </w:rPr>
        <w:t xml:space="preserve">violations </w:t>
      </w:r>
      <w:r>
        <w:t>of physical law. But such</w:t>
      </w:r>
      <w:r>
        <w:rPr>
          <w:spacing w:val="-3"/>
        </w:rPr>
        <w:t xml:space="preserve"> </w:t>
      </w:r>
      <w:r>
        <w:t>violations</w:t>
      </w:r>
      <w:r>
        <w:rPr>
          <w:spacing w:val="-4"/>
        </w:rPr>
        <w:t xml:space="preserve"> </w:t>
      </w:r>
      <w:r>
        <w:t>do</w:t>
      </w:r>
      <w:r>
        <w:rPr>
          <w:spacing w:val="-3"/>
        </w:rPr>
        <w:t xml:space="preserve"> </w:t>
      </w:r>
      <w:r>
        <w:t>not</w:t>
      </w:r>
      <w:r>
        <w:rPr>
          <w:spacing w:val="-4"/>
        </w:rPr>
        <w:t xml:space="preserve"> </w:t>
      </w:r>
      <w:r>
        <w:t>occur.</w:t>
      </w:r>
      <w:r>
        <w:rPr>
          <w:spacing w:val="-3"/>
        </w:rPr>
        <w:t xml:space="preserve"> </w:t>
      </w:r>
      <w:r>
        <w:t>In</w:t>
      </w:r>
      <w:r>
        <w:rPr>
          <w:spacing w:val="-3"/>
        </w:rPr>
        <w:t xml:space="preserve"> </w:t>
      </w:r>
      <w:r>
        <w:t>any</w:t>
      </w:r>
      <w:r>
        <w:rPr>
          <w:spacing w:val="-3"/>
        </w:rPr>
        <w:t xml:space="preserve"> </w:t>
      </w:r>
      <w:r>
        <w:t>case,</w:t>
      </w:r>
      <w:r>
        <w:rPr>
          <w:spacing w:val="-3"/>
        </w:rPr>
        <w:t xml:space="preserve"> </w:t>
      </w:r>
      <w:r>
        <w:t>there</w:t>
      </w:r>
      <w:r>
        <w:rPr>
          <w:spacing w:val="-4"/>
        </w:rPr>
        <w:t xml:space="preserve"> </w:t>
      </w:r>
      <w:r>
        <w:t>is</w:t>
      </w:r>
      <w:r>
        <w:rPr>
          <w:spacing w:val="-4"/>
        </w:rPr>
        <w:t xml:space="preserve"> </w:t>
      </w:r>
      <w:r>
        <w:t>no</w:t>
      </w:r>
      <w:r>
        <w:rPr>
          <w:spacing w:val="-3"/>
        </w:rPr>
        <w:t xml:space="preserve"> </w:t>
      </w:r>
      <w:r>
        <w:t>evidence</w:t>
      </w:r>
      <w:r>
        <w:rPr>
          <w:spacing w:val="-4"/>
        </w:rPr>
        <w:t xml:space="preserve"> </w:t>
      </w:r>
      <w:r>
        <w:t>that</w:t>
      </w:r>
      <w:r>
        <w:rPr>
          <w:spacing w:val="-4"/>
        </w:rPr>
        <w:t xml:space="preserve"> </w:t>
      </w:r>
      <w:r>
        <w:t>they</w:t>
      </w:r>
      <w:r>
        <w:rPr>
          <w:spacing w:val="-3"/>
        </w:rPr>
        <w:t xml:space="preserve"> </w:t>
      </w:r>
      <w:r>
        <w:t>occur, and certainly no evidence that they occur with anything even approaching the frequency with which, if dualism were correct, they would occur.</w:t>
      </w:r>
      <w:bookmarkStart w:id="324" w:name="_bookmark324"/>
      <w:bookmarkEnd w:id="324"/>
      <w:r>
        <w:rPr>
          <w:color w:val="0562C1"/>
          <w:position w:val="21"/>
          <w:u w:val="single" w:color="0562C1"/>
        </w:rPr>
        <w:t>[220]</w:t>
      </w:r>
    </w:p>
    <w:p w14:paraId="7E0018D4" w14:textId="77777777" w:rsidR="009A58DB" w:rsidRDefault="00000000">
      <w:pPr>
        <w:pStyle w:val="Heading6"/>
        <w:spacing w:before="100"/>
      </w:pPr>
      <w:r>
        <w:t>A</w:t>
      </w:r>
      <w:r>
        <w:rPr>
          <w:spacing w:val="-8"/>
        </w:rPr>
        <w:t xml:space="preserve"> </w:t>
      </w:r>
      <w:r>
        <w:t>counter-</w:t>
      </w:r>
      <w:r>
        <w:rPr>
          <w:spacing w:val="-2"/>
        </w:rPr>
        <w:t>response</w:t>
      </w:r>
    </w:p>
    <w:p w14:paraId="7E0018D5" w14:textId="77777777" w:rsidR="009A58DB" w:rsidRDefault="00000000">
      <w:pPr>
        <w:pStyle w:val="BodyText"/>
        <w:spacing w:before="75" w:line="249" w:lineRule="auto"/>
        <w:ind w:right="361"/>
      </w:pPr>
      <w:r>
        <w:t>Surely we could imagine physical objects breaking physical laws. We can imagine</w:t>
      </w:r>
      <w:r>
        <w:rPr>
          <w:spacing w:val="35"/>
        </w:rPr>
        <w:t xml:space="preserve">  </w:t>
      </w:r>
      <w:r>
        <w:t>people</w:t>
      </w:r>
      <w:r>
        <w:rPr>
          <w:spacing w:val="35"/>
        </w:rPr>
        <w:t xml:space="preserve">  </w:t>
      </w:r>
      <w:r>
        <w:t>sprouting</w:t>
      </w:r>
      <w:r>
        <w:rPr>
          <w:spacing w:val="35"/>
        </w:rPr>
        <w:t xml:space="preserve">  </w:t>
      </w:r>
      <w:r>
        <w:t>wings</w:t>
      </w:r>
      <w:r>
        <w:rPr>
          <w:spacing w:val="35"/>
        </w:rPr>
        <w:t xml:space="preserve">  </w:t>
      </w:r>
      <w:r>
        <w:t>and</w:t>
      </w:r>
      <w:r>
        <w:rPr>
          <w:spacing w:val="35"/>
        </w:rPr>
        <w:t xml:space="preserve">  </w:t>
      </w:r>
      <w:r>
        <w:t>flying—even</w:t>
      </w:r>
      <w:r>
        <w:rPr>
          <w:spacing w:val="36"/>
        </w:rPr>
        <w:t xml:space="preserve">  </w:t>
      </w:r>
      <w:r>
        <w:t>though,</w:t>
      </w:r>
      <w:r>
        <w:rPr>
          <w:spacing w:val="35"/>
        </w:rPr>
        <w:t xml:space="preserve">  </w:t>
      </w:r>
      <w:r>
        <w:t>given</w:t>
      </w:r>
      <w:r>
        <w:rPr>
          <w:spacing w:val="35"/>
        </w:rPr>
        <w:t xml:space="preserve">  </w:t>
      </w:r>
      <w:r>
        <w:rPr>
          <w:spacing w:val="-5"/>
        </w:rPr>
        <w:t>the</w:t>
      </w:r>
    </w:p>
    <w:p w14:paraId="7E0018D6"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8D7" w14:textId="77777777" w:rsidR="009A58DB" w:rsidRDefault="00000000">
      <w:pPr>
        <w:pStyle w:val="BodyText"/>
        <w:spacing w:before="60"/>
      </w:pPr>
      <w:r>
        <w:lastRenderedPageBreak/>
        <w:t>structures</w:t>
      </w:r>
      <w:r>
        <w:rPr>
          <w:spacing w:val="-6"/>
        </w:rPr>
        <w:t xml:space="preserve"> </w:t>
      </w:r>
      <w:r>
        <w:t>of</w:t>
      </w:r>
      <w:r>
        <w:rPr>
          <w:spacing w:val="-3"/>
        </w:rPr>
        <w:t xml:space="preserve"> </w:t>
      </w:r>
      <w:r>
        <w:t>our</w:t>
      </w:r>
      <w:r>
        <w:rPr>
          <w:spacing w:val="-4"/>
        </w:rPr>
        <w:t xml:space="preserve"> </w:t>
      </w:r>
      <w:r>
        <w:t>bodies,</w:t>
      </w:r>
      <w:r>
        <w:rPr>
          <w:spacing w:val="-2"/>
        </w:rPr>
        <w:t xml:space="preserve"> </w:t>
      </w:r>
      <w:r>
        <w:t>such</w:t>
      </w:r>
      <w:r>
        <w:rPr>
          <w:spacing w:val="-2"/>
        </w:rPr>
        <w:t xml:space="preserve"> </w:t>
      </w:r>
      <w:r>
        <w:t>events</w:t>
      </w:r>
      <w:r>
        <w:rPr>
          <w:spacing w:val="-4"/>
        </w:rPr>
        <w:t xml:space="preserve"> </w:t>
      </w:r>
      <w:r>
        <w:t>would</w:t>
      </w:r>
      <w:r>
        <w:rPr>
          <w:spacing w:val="-2"/>
        </w:rPr>
        <w:t xml:space="preserve"> </w:t>
      </w:r>
      <w:r>
        <w:t>be</w:t>
      </w:r>
      <w:r>
        <w:rPr>
          <w:spacing w:val="-3"/>
        </w:rPr>
        <w:t xml:space="preserve"> </w:t>
      </w:r>
      <w:r>
        <w:t>violations</w:t>
      </w:r>
      <w:r>
        <w:rPr>
          <w:spacing w:val="-4"/>
        </w:rPr>
        <w:t xml:space="preserve"> </w:t>
      </w:r>
      <w:r>
        <w:t>of</w:t>
      </w:r>
      <w:r>
        <w:rPr>
          <w:spacing w:val="-3"/>
        </w:rPr>
        <w:t xml:space="preserve"> </w:t>
      </w:r>
      <w:r>
        <w:t>physical</w:t>
      </w:r>
      <w:r>
        <w:rPr>
          <w:spacing w:val="-3"/>
        </w:rPr>
        <w:t xml:space="preserve"> </w:t>
      </w:r>
      <w:r>
        <w:rPr>
          <w:spacing w:val="-4"/>
        </w:rPr>
        <w:t>law.</w:t>
      </w:r>
    </w:p>
    <w:p w14:paraId="7E0018D8" w14:textId="77777777" w:rsidR="009A58DB" w:rsidRDefault="00000000">
      <w:pPr>
        <w:pStyle w:val="Heading6"/>
        <w:spacing w:before="125"/>
      </w:pPr>
      <w:r>
        <w:t>A</w:t>
      </w:r>
      <w:r>
        <w:rPr>
          <w:spacing w:val="-9"/>
        </w:rPr>
        <w:t xml:space="preserve"> </w:t>
      </w:r>
      <w:r>
        <w:t>counter-response</w:t>
      </w:r>
      <w:r>
        <w:rPr>
          <w:spacing w:val="-6"/>
        </w:rPr>
        <w:t xml:space="preserve"> </w:t>
      </w:r>
      <w:r>
        <w:t>to</w:t>
      </w:r>
      <w:r>
        <w:rPr>
          <w:spacing w:val="-6"/>
        </w:rPr>
        <w:t xml:space="preserve"> </w:t>
      </w:r>
      <w:r>
        <w:t>the</w:t>
      </w:r>
      <w:r>
        <w:rPr>
          <w:spacing w:val="-6"/>
        </w:rPr>
        <w:t xml:space="preserve"> </w:t>
      </w:r>
      <w:r>
        <w:t>counter-</w:t>
      </w:r>
      <w:r>
        <w:rPr>
          <w:spacing w:val="-2"/>
        </w:rPr>
        <w:t>response</w:t>
      </w:r>
    </w:p>
    <w:p w14:paraId="7E0018D9" w14:textId="77777777" w:rsidR="009A58DB" w:rsidRDefault="00000000">
      <w:pPr>
        <w:pStyle w:val="BodyText"/>
        <w:spacing w:before="75" w:line="249" w:lineRule="auto"/>
        <w:ind w:right="360"/>
      </w:pPr>
      <w:r>
        <w:t xml:space="preserve">Bertrand Russell said that objects </w:t>
      </w:r>
      <w:r>
        <w:rPr>
          <w:i/>
        </w:rPr>
        <w:t xml:space="preserve">are </w:t>
      </w:r>
      <w:r>
        <w:t>sequences of events that are governed by physical law. I agree with him.</w:t>
      </w:r>
      <w:bookmarkStart w:id="325" w:name="_bookmark325"/>
      <w:bookmarkEnd w:id="325"/>
      <w:r>
        <w:rPr>
          <w:color w:val="0562C1"/>
          <w:position w:val="21"/>
          <w:u w:val="single" w:color="0562C1"/>
        </w:rPr>
        <w:t>[221]</w:t>
      </w:r>
      <w:r>
        <w:rPr>
          <w:color w:val="0562C1"/>
          <w:position w:val="21"/>
        </w:rPr>
        <w:t xml:space="preserve"> </w:t>
      </w:r>
      <w:r>
        <w:t xml:space="preserve">If Russell is right, it makes no sense to speak of a physical object that is in violation of all physical laws. So when we imagine a person sprouting wings we </w:t>
      </w:r>
      <w:r>
        <w:rPr>
          <w:i/>
        </w:rPr>
        <w:t xml:space="preserve">are </w:t>
      </w:r>
      <w:r>
        <w:t xml:space="preserve">imagining something that is subject to physical laws (albeit laws that are different from those that are actually operative). Second, so far as the objects of one’s thoughts </w:t>
      </w:r>
      <w:r>
        <w:rPr>
          <w:i/>
        </w:rPr>
        <w:t>aren’t</w:t>
      </w:r>
      <w:r>
        <w:rPr>
          <w:i/>
          <w:spacing w:val="40"/>
        </w:rPr>
        <w:t xml:space="preserve"> </w:t>
      </w:r>
      <w:r>
        <w:t>law-governed, those thoughts involve incoherent or otherwise impoverished views</w:t>
      </w:r>
      <w:r>
        <w:rPr>
          <w:spacing w:val="-3"/>
        </w:rPr>
        <w:t xml:space="preserve"> </w:t>
      </w:r>
      <w:r>
        <w:t>as</w:t>
      </w:r>
      <w:r>
        <w:rPr>
          <w:spacing w:val="-3"/>
        </w:rPr>
        <w:t xml:space="preserve"> </w:t>
      </w:r>
      <w:r>
        <w:t>to</w:t>
      </w:r>
      <w:r>
        <w:rPr>
          <w:spacing w:val="-2"/>
        </w:rPr>
        <w:t xml:space="preserve"> </w:t>
      </w:r>
      <w:r>
        <w:t>the</w:t>
      </w:r>
      <w:r>
        <w:rPr>
          <w:spacing w:val="-3"/>
        </w:rPr>
        <w:t xml:space="preserve"> </w:t>
      </w:r>
      <w:r>
        <w:t>nature</w:t>
      </w:r>
      <w:r>
        <w:rPr>
          <w:spacing w:val="-3"/>
        </w:rPr>
        <w:t xml:space="preserve"> </w:t>
      </w:r>
      <w:r>
        <w:t>of</w:t>
      </w:r>
      <w:r>
        <w:rPr>
          <w:spacing w:val="-3"/>
        </w:rPr>
        <w:t xml:space="preserve"> </w:t>
      </w:r>
      <w:r>
        <w:t>physical</w:t>
      </w:r>
      <w:r>
        <w:rPr>
          <w:spacing w:val="-3"/>
        </w:rPr>
        <w:t xml:space="preserve"> </w:t>
      </w:r>
      <w:r>
        <w:t>law.</w:t>
      </w:r>
      <w:r>
        <w:rPr>
          <w:spacing w:val="-2"/>
        </w:rPr>
        <w:t xml:space="preserve"> </w:t>
      </w:r>
      <w:r>
        <w:t>A</w:t>
      </w:r>
      <w:r>
        <w:rPr>
          <w:spacing w:val="-3"/>
        </w:rPr>
        <w:t xml:space="preserve"> </w:t>
      </w:r>
      <w:r>
        <w:t>defense</w:t>
      </w:r>
      <w:r>
        <w:rPr>
          <w:spacing w:val="-3"/>
        </w:rPr>
        <w:t xml:space="preserve"> </w:t>
      </w:r>
      <w:r>
        <w:t>of</w:t>
      </w:r>
      <w:r>
        <w:rPr>
          <w:spacing w:val="-3"/>
        </w:rPr>
        <w:t xml:space="preserve"> </w:t>
      </w:r>
      <w:r>
        <w:t>this</w:t>
      </w:r>
      <w:r>
        <w:rPr>
          <w:spacing w:val="-3"/>
        </w:rPr>
        <w:t xml:space="preserve"> </w:t>
      </w:r>
      <w:r>
        <w:t>controversial</w:t>
      </w:r>
      <w:r>
        <w:rPr>
          <w:spacing w:val="-3"/>
        </w:rPr>
        <w:t xml:space="preserve"> </w:t>
      </w:r>
      <w:r>
        <w:t>point</w:t>
      </w:r>
      <w:r>
        <w:rPr>
          <w:spacing w:val="-3"/>
        </w:rPr>
        <w:t xml:space="preserve"> </w:t>
      </w:r>
      <w:r>
        <w:t>of view lies outside the scope of the present book.</w:t>
      </w:r>
    </w:p>
    <w:p w14:paraId="7E0018DA" w14:textId="77777777" w:rsidR="009A58DB" w:rsidRDefault="00000000">
      <w:pPr>
        <w:pStyle w:val="Heading6"/>
        <w:spacing w:before="101"/>
        <w:rPr>
          <w:position w:val="21"/>
        </w:rPr>
      </w:pPr>
      <w:r>
        <w:t>Third</w:t>
      </w:r>
      <w:r>
        <w:rPr>
          <w:spacing w:val="-8"/>
        </w:rPr>
        <w:t xml:space="preserve"> </w:t>
      </w:r>
      <w:r>
        <w:t>argument</w:t>
      </w:r>
      <w:r>
        <w:rPr>
          <w:spacing w:val="-7"/>
        </w:rPr>
        <w:t xml:space="preserve"> </w:t>
      </w:r>
      <w:r>
        <w:t>for</w:t>
      </w:r>
      <w:r>
        <w:rPr>
          <w:spacing w:val="-6"/>
        </w:rPr>
        <w:t xml:space="preserve"> </w:t>
      </w:r>
      <w:r>
        <w:t>materialism—Fodor’s</w:t>
      </w:r>
      <w:r>
        <w:rPr>
          <w:spacing w:val="-6"/>
        </w:rPr>
        <w:t xml:space="preserve"> </w:t>
      </w:r>
      <w:r>
        <w:rPr>
          <w:spacing w:val="-2"/>
        </w:rPr>
        <w:t>argumen</w:t>
      </w:r>
      <w:bookmarkStart w:id="326" w:name="_bookmark326"/>
      <w:bookmarkEnd w:id="326"/>
      <w:r>
        <w:rPr>
          <w:spacing w:val="-2"/>
        </w:rPr>
        <w:t>t</w:t>
      </w:r>
      <w:r>
        <w:rPr>
          <w:color w:val="0562C1"/>
          <w:spacing w:val="-2"/>
          <w:position w:val="21"/>
          <w:u w:val="single" w:color="0562C1"/>
        </w:rPr>
        <w:t>[222]</w:t>
      </w:r>
    </w:p>
    <w:p w14:paraId="7E0018DB" w14:textId="77777777" w:rsidR="009A58DB" w:rsidRDefault="00000000">
      <w:pPr>
        <w:pStyle w:val="BodyText"/>
        <w:spacing w:before="75" w:line="249" w:lineRule="auto"/>
        <w:ind w:right="361"/>
      </w:pPr>
      <w:r>
        <w:t xml:space="preserve">The mental obviously affects the physical. Anything that affects the physical is </w:t>
      </w:r>
      <w:r>
        <w:rPr>
          <w:i/>
        </w:rPr>
        <w:t>ipso facto</w:t>
      </w:r>
      <w:r>
        <w:rPr>
          <w:i/>
          <w:spacing w:val="80"/>
        </w:rPr>
        <w:t xml:space="preserve"> </w:t>
      </w:r>
      <w:r>
        <w:t>physical itself. What is there to be physical other than being</w:t>
      </w:r>
      <w:r>
        <w:rPr>
          <w:spacing w:val="40"/>
        </w:rPr>
        <w:t xml:space="preserve"> </w:t>
      </w:r>
      <w:r>
        <w:t>able to displace mass-energy (or whatever it is that events consist of)?</w:t>
      </w:r>
    </w:p>
    <w:p w14:paraId="7E0018DC" w14:textId="77777777" w:rsidR="009A58DB" w:rsidRDefault="00000000">
      <w:pPr>
        <w:pStyle w:val="Heading6"/>
        <w:spacing w:before="108"/>
      </w:pPr>
      <w:r>
        <w:t>Evaluating</w:t>
      </w:r>
      <w:r>
        <w:rPr>
          <w:spacing w:val="-6"/>
        </w:rPr>
        <w:t xml:space="preserve"> </w:t>
      </w:r>
      <w:r>
        <w:t>this</w:t>
      </w:r>
      <w:r>
        <w:rPr>
          <w:spacing w:val="-5"/>
        </w:rPr>
        <w:t xml:space="preserve"> </w:t>
      </w:r>
      <w:r>
        <w:rPr>
          <w:spacing w:val="-2"/>
        </w:rPr>
        <w:t>argument</w:t>
      </w:r>
    </w:p>
    <w:p w14:paraId="7E0018DD" w14:textId="77777777" w:rsidR="009A58DB" w:rsidRDefault="00000000">
      <w:pPr>
        <w:pStyle w:val="BodyText"/>
        <w:spacing w:before="76" w:line="249" w:lineRule="auto"/>
        <w:ind w:right="366"/>
      </w:pPr>
      <w:r>
        <w:t>I personally find this argument compelling, and I don’t know of any cogent responses to it in the literature.</w:t>
      </w:r>
    </w:p>
    <w:p w14:paraId="7E0018DE" w14:textId="77777777" w:rsidR="009A58DB" w:rsidRDefault="00000000">
      <w:pPr>
        <w:pStyle w:val="Heading1"/>
        <w:tabs>
          <w:tab w:val="left" w:pos="1404"/>
          <w:tab w:val="left" w:pos="3533"/>
          <w:tab w:val="left" w:pos="4402"/>
          <w:tab w:val="left" w:pos="6391"/>
          <w:tab w:val="left" w:pos="7494"/>
          <w:tab w:val="left" w:pos="8598"/>
        </w:tabs>
        <w:spacing w:before="190" w:line="244" w:lineRule="auto"/>
        <w:ind w:left="360" w:right="360" w:firstLine="0"/>
      </w:pPr>
      <w:r>
        <w:rPr>
          <w:spacing w:val="-4"/>
        </w:rPr>
        <w:t>11.0</w:t>
      </w:r>
      <w:r>
        <w:tab/>
      </w:r>
      <w:r>
        <w:rPr>
          <w:spacing w:val="-2"/>
        </w:rPr>
        <w:t>Interlude:</w:t>
      </w:r>
      <w:r>
        <w:tab/>
      </w:r>
      <w:r>
        <w:rPr>
          <w:spacing w:val="-4"/>
        </w:rPr>
        <w:t>the</w:t>
      </w:r>
      <w:r>
        <w:tab/>
      </w:r>
      <w:r>
        <w:rPr>
          <w:spacing w:val="-2"/>
        </w:rPr>
        <w:t>problems</w:t>
      </w:r>
      <w:r>
        <w:tab/>
      </w:r>
      <w:r>
        <w:rPr>
          <w:spacing w:val="-4"/>
        </w:rPr>
        <w:t>with</w:t>
      </w:r>
      <w:r>
        <w:tab/>
      </w:r>
      <w:r>
        <w:rPr>
          <w:spacing w:val="-4"/>
        </w:rPr>
        <w:t>dual</w:t>
      </w:r>
      <w:r>
        <w:tab/>
      </w:r>
      <w:r>
        <w:rPr>
          <w:spacing w:val="-2"/>
        </w:rPr>
        <w:t xml:space="preserve">aspect </w:t>
      </w:r>
      <w:r>
        <w:t>theory, eliminativism, and idealism</w:t>
      </w:r>
    </w:p>
    <w:p w14:paraId="7E0018DF" w14:textId="77777777" w:rsidR="009A58DB" w:rsidRDefault="00000000">
      <w:pPr>
        <w:pStyle w:val="BodyText"/>
        <w:spacing w:before="132" w:line="249" w:lineRule="auto"/>
        <w:ind w:right="358"/>
      </w:pPr>
      <w:r>
        <w:t>Supposing that the mental and the physical are two aspects of the same thing, we</w:t>
      </w:r>
      <w:r>
        <w:rPr>
          <w:spacing w:val="-3"/>
        </w:rPr>
        <w:t xml:space="preserve"> </w:t>
      </w:r>
      <w:r>
        <w:t>must</w:t>
      </w:r>
      <w:r>
        <w:rPr>
          <w:spacing w:val="-3"/>
        </w:rPr>
        <w:t xml:space="preserve"> </w:t>
      </w:r>
      <w:r>
        <w:t>ask:</w:t>
      </w:r>
      <w:r>
        <w:rPr>
          <w:spacing w:val="-3"/>
        </w:rPr>
        <w:t xml:space="preserve"> </w:t>
      </w:r>
      <w:r>
        <w:t>what</w:t>
      </w:r>
      <w:r>
        <w:rPr>
          <w:spacing w:val="-3"/>
        </w:rPr>
        <w:t xml:space="preserve"> </w:t>
      </w:r>
      <w:r>
        <w:t>is</w:t>
      </w:r>
      <w:r>
        <w:rPr>
          <w:spacing w:val="-3"/>
        </w:rPr>
        <w:t xml:space="preserve"> </w:t>
      </w:r>
      <w:r>
        <w:t>that</w:t>
      </w:r>
      <w:r>
        <w:rPr>
          <w:spacing w:val="-3"/>
        </w:rPr>
        <w:t xml:space="preserve"> </w:t>
      </w:r>
      <w:r>
        <w:t>thing</w:t>
      </w:r>
      <w:bookmarkStart w:id="327" w:name="_bookmark327"/>
      <w:bookmarkEnd w:id="327"/>
      <w:r>
        <w:t>?</w:t>
      </w:r>
      <w:r>
        <w:rPr>
          <w:color w:val="0562C1"/>
          <w:position w:val="21"/>
          <w:u w:val="single" w:color="0562C1"/>
        </w:rPr>
        <w:t>[223]</w:t>
      </w:r>
      <w:r>
        <w:rPr>
          <w:color w:val="0562C1"/>
          <w:position w:val="21"/>
        </w:rPr>
        <w:t xml:space="preserve"> </w:t>
      </w:r>
      <w:r>
        <w:t xml:space="preserve">It can’t be mental; for surely the mental is not an </w:t>
      </w:r>
      <w:r>
        <w:rPr>
          <w:i/>
        </w:rPr>
        <w:t xml:space="preserve">aspect </w:t>
      </w:r>
      <w:r>
        <w:t xml:space="preserve">of the mental. (My belief that snow is white is not an </w:t>
      </w:r>
      <w:r>
        <w:rPr>
          <w:i/>
        </w:rPr>
        <w:t xml:space="preserve">aspect </w:t>
      </w:r>
      <w:r>
        <w:t xml:space="preserve">of itself or of any other mental thing.) And it can’t be physical; for surely the physical is not an </w:t>
      </w:r>
      <w:r>
        <w:rPr>
          <w:i/>
        </w:rPr>
        <w:t>aspect</w:t>
      </w:r>
      <w:r>
        <w:rPr>
          <w:i/>
          <w:spacing w:val="-3"/>
        </w:rPr>
        <w:t xml:space="preserve"> </w:t>
      </w:r>
      <w:r>
        <w:t xml:space="preserve">of the mental. (The chair is not an </w:t>
      </w:r>
      <w:r>
        <w:rPr>
          <w:i/>
        </w:rPr>
        <w:t>aspect</w:t>
      </w:r>
      <w:r>
        <w:rPr>
          <w:i/>
          <w:spacing w:val="-3"/>
        </w:rPr>
        <w:t xml:space="preserve"> </w:t>
      </w:r>
      <w:r>
        <w:t xml:space="preserve">of itself or of any other physical thing.) So (3) is either incoherent </w:t>
      </w:r>
      <w:r>
        <w:rPr>
          <w:i/>
        </w:rPr>
        <w:t>or</w:t>
      </w:r>
      <w:r>
        <w:rPr>
          <w:i/>
          <w:spacing w:val="-3"/>
        </w:rPr>
        <w:t xml:space="preserve"> </w:t>
      </w:r>
      <w:r>
        <w:t>it presupposes that there is something spatiotemporal that is not either physical or mental. But it is incoherent to suppose that there is anything spatiotemporal that is not</w:t>
      </w:r>
      <w:r>
        <w:rPr>
          <w:spacing w:val="40"/>
        </w:rPr>
        <w:t xml:space="preserve"> </w:t>
      </w:r>
      <w:r>
        <w:rPr>
          <w:i/>
        </w:rPr>
        <w:t xml:space="preserve">either </w:t>
      </w:r>
      <w:r>
        <w:t xml:space="preserve">mental </w:t>
      </w:r>
      <w:r>
        <w:rPr>
          <w:i/>
        </w:rPr>
        <w:t xml:space="preserve">or </w:t>
      </w:r>
      <w:r>
        <w:t>physical. It follows that (3) is simply incoherent.</w:t>
      </w:r>
    </w:p>
    <w:p w14:paraId="7E0018E0" w14:textId="77777777" w:rsidR="009A58DB" w:rsidRDefault="00000000">
      <w:pPr>
        <w:pStyle w:val="BodyText"/>
        <w:spacing w:before="11" w:line="249" w:lineRule="auto"/>
        <w:ind w:right="361" w:firstLine="360"/>
      </w:pPr>
      <w:r>
        <w:t>It seems to me that so-called “dual aspect” theorists are really just materialists</w:t>
      </w:r>
      <w:r>
        <w:rPr>
          <w:spacing w:val="30"/>
        </w:rPr>
        <w:t xml:space="preserve"> </w:t>
      </w:r>
      <w:r>
        <w:t>who</w:t>
      </w:r>
      <w:r>
        <w:rPr>
          <w:spacing w:val="30"/>
        </w:rPr>
        <w:t xml:space="preserve"> </w:t>
      </w:r>
      <w:r>
        <w:t>have</w:t>
      </w:r>
      <w:r>
        <w:rPr>
          <w:spacing w:val="30"/>
        </w:rPr>
        <w:t xml:space="preserve"> </w:t>
      </w:r>
      <w:r>
        <w:t>misstated</w:t>
      </w:r>
      <w:r>
        <w:rPr>
          <w:spacing w:val="30"/>
        </w:rPr>
        <w:t xml:space="preserve"> </w:t>
      </w:r>
      <w:r>
        <w:t>their</w:t>
      </w:r>
      <w:r>
        <w:rPr>
          <w:spacing w:val="30"/>
        </w:rPr>
        <w:t xml:space="preserve"> </w:t>
      </w:r>
      <w:r>
        <w:t>view.</w:t>
      </w:r>
      <w:r>
        <w:rPr>
          <w:spacing w:val="30"/>
        </w:rPr>
        <w:t xml:space="preserve"> </w:t>
      </w:r>
      <w:r>
        <w:t>So</w:t>
      </w:r>
      <w:r>
        <w:rPr>
          <w:spacing w:val="30"/>
        </w:rPr>
        <w:t xml:space="preserve"> </w:t>
      </w:r>
      <w:r>
        <w:t>far</w:t>
      </w:r>
      <w:r>
        <w:rPr>
          <w:spacing w:val="30"/>
        </w:rPr>
        <w:t xml:space="preserve"> </w:t>
      </w:r>
      <w:r>
        <w:t>as</w:t>
      </w:r>
      <w:r>
        <w:rPr>
          <w:spacing w:val="30"/>
        </w:rPr>
        <w:t xml:space="preserve"> </w:t>
      </w:r>
      <w:r>
        <w:t>that’s</w:t>
      </w:r>
      <w:r>
        <w:rPr>
          <w:spacing w:val="30"/>
        </w:rPr>
        <w:t xml:space="preserve"> </w:t>
      </w:r>
      <w:r>
        <w:t>correct,</w:t>
      </w:r>
      <w:r>
        <w:rPr>
          <w:spacing w:val="30"/>
        </w:rPr>
        <w:t xml:space="preserve"> </w:t>
      </w:r>
      <w:r>
        <w:t>we</w:t>
      </w:r>
      <w:r>
        <w:rPr>
          <w:spacing w:val="30"/>
        </w:rPr>
        <w:t xml:space="preserve"> </w:t>
      </w:r>
      <w:r>
        <w:t>can</w:t>
      </w:r>
    </w:p>
    <w:p w14:paraId="7E0018E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E2" w14:textId="77777777" w:rsidR="009A58DB" w:rsidRDefault="00000000">
      <w:pPr>
        <w:pStyle w:val="BodyText"/>
        <w:spacing w:before="60" w:line="249" w:lineRule="auto"/>
        <w:ind w:right="366"/>
      </w:pPr>
      <w:r>
        <w:lastRenderedPageBreak/>
        <w:t>forget about (3), and focus on (2). And since we’ve already discussed (2), we can move on to (4).</w:t>
      </w:r>
    </w:p>
    <w:p w14:paraId="7E0018E3" w14:textId="77777777" w:rsidR="009A58DB" w:rsidRDefault="00000000">
      <w:pPr>
        <w:pStyle w:val="ListParagraph"/>
        <w:numPr>
          <w:ilvl w:val="0"/>
          <w:numId w:val="126"/>
        </w:numPr>
        <w:tabs>
          <w:tab w:val="left" w:pos="1195"/>
        </w:tabs>
        <w:spacing w:before="7" w:line="249" w:lineRule="auto"/>
        <w:ind w:right="359" w:firstLine="360"/>
        <w:jc w:val="both"/>
        <w:rPr>
          <w:sz w:val="30"/>
        </w:rPr>
      </w:pPr>
      <w:r>
        <w:rPr>
          <w:sz w:val="30"/>
        </w:rPr>
        <w:t>is obviously a non-starter. But, for what extremely little it’s worth, here’s</w:t>
      </w:r>
      <w:r>
        <w:rPr>
          <w:spacing w:val="-3"/>
          <w:sz w:val="30"/>
        </w:rPr>
        <w:t xml:space="preserve"> </w:t>
      </w:r>
      <w:r>
        <w:rPr>
          <w:sz w:val="30"/>
        </w:rPr>
        <w:t>the</w:t>
      </w:r>
      <w:r>
        <w:rPr>
          <w:spacing w:val="-3"/>
          <w:sz w:val="30"/>
        </w:rPr>
        <w:t xml:space="preserve"> </w:t>
      </w:r>
      <w:r>
        <w:rPr>
          <w:sz w:val="30"/>
        </w:rPr>
        <w:t>argument</w:t>
      </w:r>
      <w:r>
        <w:rPr>
          <w:spacing w:val="-3"/>
          <w:sz w:val="30"/>
        </w:rPr>
        <w:t xml:space="preserve"> </w:t>
      </w:r>
      <w:r>
        <w:rPr>
          <w:sz w:val="30"/>
        </w:rPr>
        <w:t>behind</w:t>
      </w:r>
      <w:r>
        <w:rPr>
          <w:spacing w:val="-3"/>
          <w:sz w:val="30"/>
        </w:rPr>
        <w:t xml:space="preserve"> </w:t>
      </w:r>
      <w:r>
        <w:rPr>
          <w:sz w:val="30"/>
        </w:rPr>
        <w:t>it.</w:t>
      </w:r>
      <w:r>
        <w:rPr>
          <w:spacing w:val="-3"/>
          <w:sz w:val="30"/>
        </w:rPr>
        <w:t xml:space="preserve"> </w:t>
      </w:r>
      <w:r>
        <w:rPr>
          <w:sz w:val="30"/>
        </w:rPr>
        <w:t>Scientific</w:t>
      </w:r>
      <w:r>
        <w:rPr>
          <w:spacing w:val="-3"/>
          <w:sz w:val="30"/>
        </w:rPr>
        <w:t xml:space="preserve"> </w:t>
      </w:r>
      <w:r>
        <w:rPr>
          <w:sz w:val="30"/>
        </w:rPr>
        <w:t>hypotheses</w:t>
      </w:r>
      <w:r>
        <w:rPr>
          <w:spacing w:val="-3"/>
          <w:sz w:val="30"/>
        </w:rPr>
        <w:t xml:space="preserve"> </w:t>
      </w:r>
      <w:r>
        <w:rPr>
          <w:sz w:val="30"/>
        </w:rPr>
        <w:t>are</w:t>
      </w:r>
      <w:r>
        <w:rPr>
          <w:spacing w:val="-3"/>
          <w:sz w:val="30"/>
        </w:rPr>
        <w:t xml:space="preserve"> </w:t>
      </w:r>
      <w:r>
        <w:rPr>
          <w:sz w:val="30"/>
        </w:rPr>
        <w:t>supposed</w:t>
      </w:r>
      <w:r>
        <w:rPr>
          <w:spacing w:val="-3"/>
          <w:sz w:val="30"/>
        </w:rPr>
        <w:t xml:space="preserve"> </w:t>
      </w:r>
      <w:r>
        <w:rPr>
          <w:sz w:val="30"/>
        </w:rPr>
        <w:t>to</w:t>
      </w:r>
      <w:r>
        <w:rPr>
          <w:spacing w:val="-3"/>
          <w:sz w:val="30"/>
        </w:rPr>
        <w:t xml:space="preserve"> </w:t>
      </w:r>
      <w:r>
        <w:rPr>
          <w:sz w:val="30"/>
        </w:rPr>
        <w:t>deal</w:t>
      </w:r>
      <w:r>
        <w:rPr>
          <w:spacing w:val="-3"/>
          <w:sz w:val="30"/>
        </w:rPr>
        <w:t xml:space="preserve"> </w:t>
      </w:r>
      <w:r>
        <w:rPr>
          <w:sz w:val="30"/>
        </w:rPr>
        <w:t xml:space="preserve">with things that can be </w:t>
      </w:r>
      <w:r>
        <w:rPr>
          <w:i/>
          <w:sz w:val="30"/>
        </w:rPr>
        <w:t>publicly</w:t>
      </w:r>
      <w:r>
        <w:rPr>
          <w:i/>
          <w:spacing w:val="-3"/>
          <w:sz w:val="30"/>
        </w:rPr>
        <w:t xml:space="preserve"> </w:t>
      </w:r>
      <w:r>
        <w:rPr>
          <w:sz w:val="30"/>
        </w:rPr>
        <w:t>verified. Suppose that scientist Smith insisted that he, and he alone, were able to see (or otherwise sense-perceive) the data that confirmed some hypothesis of his. Obviously Smith wouldn’t be taken seriously. My pains, tickles, etc., cannot be witnessed by anyone other than myself. For this reason, some psychologists who were attempting to scientize their discipline said that such things had no place within science and, therefore, that they had no place in a scientific world-view. Given this position, it is a short step to saying that pains, tickles, etc., don’t exist at all.</w:t>
      </w:r>
      <w:r>
        <w:rPr>
          <w:spacing w:val="40"/>
          <w:sz w:val="30"/>
        </w:rPr>
        <w:t xml:space="preserve"> </w:t>
      </w:r>
      <w:r>
        <w:rPr>
          <w:sz w:val="30"/>
        </w:rPr>
        <w:t>In a word, science deals with what is objective; mental states are subjective; therefore, mental states don’t exist.</w:t>
      </w:r>
    </w:p>
    <w:p w14:paraId="7E0018E4" w14:textId="77777777" w:rsidR="009A58DB" w:rsidRDefault="00000000">
      <w:pPr>
        <w:pStyle w:val="BodyText"/>
        <w:spacing w:before="15" w:line="249" w:lineRule="auto"/>
        <w:ind w:right="362" w:firstLine="360"/>
      </w:pPr>
      <w:r>
        <w:t>There</w:t>
      </w:r>
      <w:r>
        <w:rPr>
          <w:spacing w:val="-4"/>
        </w:rPr>
        <w:t xml:space="preserve"> </w:t>
      </w:r>
      <w:r>
        <w:t>are</w:t>
      </w:r>
      <w:r>
        <w:rPr>
          <w:spacing w:val="-4"/>
        </w:rPr>
        <w:t xml:space="preserve"> </w:t>
      </w:r>
      <w:r>
        <w:t>many</w:t>
      </w:r>
      <w:r>
        <w:rPr>
          <w:spacing w:val="-3"/>
        </w:rPr>
        <w:t xml:space="preserve"> </w:t>
      </w:r>
      <w:r>
        <w:t>fallacies</w:t>
      </w:r>
      <w:r>
        <w:rPr>
          <w:spacing w:val="-4"/>
        </w:rPr>
        <w:t xml:space="preserve"> </w:t>
      </w:r>
      <w:r>
        <w:t>in</w:t>
      </w:r>
      <w:r>
        <w:rPr>
          <w:spacing w:val="-3"/>
        </w:rPr>
        <w:t xml:space="preserve"> </w:t>
      </w:r>
      <w:r>
        <w:t>this</w:t>
      </w:r>
      <w:r>
        <w:rPr>
          <w:spacing w:val="-4"/>
        </w:rPr>
        <w:t xml:space="preserve"> </w:t>
      </w:r>
      <w:r>
        <w:t>argument.</w:t>
      </w:r>
      <w:r>
        <w:rPr>
          <w:spacing w:val="-3"/>
        </w:rPr>
        <w:t xml:space="preserve"> </w:t>
      </w:r>
      <w:r>
        <w:t>One</w:t>
      </w:r>
      <w:r>
        <w:rPr>
          <w:spacing w:val="-4"/>
        </w:rPr>
        <w:t xml:space="preserve"> </w:t>
      </w:r>
      <w:r>
        <w:t>of</w:t>
      </w:r>
      <w:r>
        <w:rPr>
          <w:spacing w:val="-4"/>
        </w:rPr>
        <w:t xml:space="preserve"> </w:t>
      </w:r>
      <w:r>
        <w:t>them</w:t>
      </w:r>
      <w:r>
        <w:rPr>
          <w:spacing w:val="-4"/>
        </w:rPr>
        <w:t xml:space="preserve"> </w:t>
      </w:r>
      <w:r>
        <w:t>is</w:t>
      </w:r>
      <w:r>
        <w:rPr>
          <w:spacing w:val="-4"/>
        </w:rPr>
        <w:t xml:space="preserve"> </w:t>
      </w:r>
      <w:r>
        <w:t>that,</w:t>
      </w:r>
      <w:r>
        <w:rPr>
          <w:spacing w:val="-3"/>
        </w:rPr>
        <w:t xml:space="preserve"> </w:t>
      </w:r>
      <w:r>
        <w:t>in</w:t>
      </w:r>
      <w:r>
        <w:rPr>
          <w:spacing w:val="-3"/>
        </w:rPr>
        <w:t xml:space="preserve"> </w:t>
      </w:r>
      <w:r>
        <w:t xml:space="preserve">actuality, the existence of pains, tickles, etc., </w:t>
      </w:r>
      <w:r>
        <w:rPr>
          <w:i/>
        </w:rPr>
        <w:t xml:space="preserve">is </w:t>
      </w:r>
      <w:r>
        <w:t xml:space="preserve">easily verified. Of course, </w:t>
      </w:r>
      <w:r>
        <w:rPr>
          <w:i/>
        </w:rPr>
        <w:t xml:space="preserve">you </w:t>
      </w:r>
      <w:r>
        <w:t xml:space="preserve">cannot have </w:t>
      </w:r>
      <w:r>
        <w:rPr>
          <w:i/>
        </w:rPr>
        <w:t xml:space="preserve">my </w:t>
      </w:r>
      <w:r>
        <w:t>pains. But you can have your pains, and you can therefore confirm that pains exist.</w:t>
      </w:r>
    </w:p>
    <w:p w14:paraId="7E0018E5" w14:textId="77777777" w:rsidR="009A58DB" w:rsidRDefault="00000000">
      <w:pPr>
        <w:pStyle w:val="BodyText"/>
        <w:spacing w:before="5" w:line="249" w:lineRule="auto"/>
        <w:ind w:right="357" w:firstLine="360"/>
      </w:pPr>
      <w:r>
        <w:t>Also, that argument involves a failure to distinguish two meanings of the term “subjective.</w:t>
      </w:r>
      <w:bookmarkStart w:id="328" w:name="_bookmark328"/>
      <w:bookmarkEnd w:id="328"/>
      <w:r>
        <w:t>”</w:t>
      </w:r>
      <w:r>
        <w:rPr>
          <w:color w:val="0562C1"/>
          <w:position w:val="21"/>
          <w:u w:val="single" w:color="0562C1"/>
        </w:rPr>
        <w:t>[224]</w:t>
      </w:r>
      <w:r>
        <w:rPr>
          <w:color w:val="0562C1"/>
          <w:position w:val="21"/>
        </w:rPr>
        <w:t xml:space="preserve"> </w:t>
      </w:r>
      <w:r>
        <w:t>Sometimes when we describe something as subjective,” we mean that it is influenced by personal biases. (</w:t>
      </w:r>
      <w:r>
        <w:rPr>
          <w:i/>
        </w:rPr>
        <w:t>So and so’s reaction to the incident was extremely subjective—it wasn’t impartial and logical.</w:t>
      </w:r>
      <w:r>
        <w:t xml:space="preserve">) But when we say that mental entities are “subjective,” we mean—not that they are biased—but that they must be </w:t>
      </w:r>
      <w:r>
        <w:rPr>
          <w:i/>
        </w:rPr>
        <w:t xml:space="preserve">had </w:t>
      </w:r>
      <w:r>
        <w:t xml:space="preserve">in order to exist. There can’t be orphan pains and beliefs floating around: a belief must be </w:t>
      </w:r>
      <w:r>
        <w:rPr>
          <w:i/>
        </w:rPr>
        <w:t xml:space="preserve">somebody’s </w:t>
      </w:r>
      <w:r>
        <w:t>belief. Mental states thus have, as John Searle puts it, a “first-person ontology.” Obviously science mustn’t be “subjective” (i.e., it mustn’t be biased); but it doesn’t follow that it mustn’t deal with the subjective (i.e., with things having a first-person ontology). In any case, it’s a plain fact that mental entities exist, and eliminativism is a hideous monstrosity to which we shall give no further thought.</w:t>
      </w:r>
    </w:p>
    <w:p w14:paraId="7E0018E6" w14:textId="77777777" w:rsidR="009A58DB" w:rsidRDefault="00000000">
      <w:pPr>
        <w:pStyle w:val="ListParagraph"/>
        <w:numPr>
          <w:ilvl w:val="0"/>
          <w:numId w:val="126"/>
        </w:numPr>
        <w:tabs>
          <w:tab w:val="left" w:pos="1217"/>
        </w:tabs>
        <w:spacing w:before="16" w:line="249" w:lineRule="auto"/>
        <w:ind w:right="370" w:firstLine="360"/>
        <w:jc w:val="both"/>
        <w:rPr>
          <w:sz w:val="30"/>
        </w:rPr>
      </w:pPr>
      <w:r>
        <w:rPr>
          <w:sz w:val="30"/>
        </w:rPr>
        <w:t>is not a view that anyone really holds (even though a few—e.g., George Berkeley, William James, Bertrand Russell—have claimed to do so).</w:t>
      </w:r>
    </w:p>
    <w:p w14:paraId="7E0018E7" w14:textId="77777777" w:rsidR="009A58DB" w:rsidRDefault="00000000">
      <w:pPr>
        <w:pStyle w:val="BodyText"/>
        <w:spacing w:before="2" w:line="249" w:lineRule="auto"/>
        <w:ind w:right="364"/>
      </w:pPr>
      <w:r>
        <w:t>(5) is really more of an epistemological view than it is a view about the relation between body and mind: so far philosophers advocate (5), it is on the</w:t>
      </w:r>
    </w:p>
    <w:p w14:paraId="7E0018E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E9" w14:textId="77777777" w:rsidR="009A58DB" w:rsidRDefault="00000000">
      <w:pPr>
        <w:spacing w:before="65" w:line="249" w:lineRule="auto"/>
        <w:ind w:left="360" w:right="359"/>
        <w:jc w:val="both"/>
        <w:rPr>
          <w:sz w:val="30"/>
        </w:rPr>
      </w:pPr>
      <w:r>
        <w:rPr>
          <w:sz w:val="30"/>
        </w:rPr>
        <w:lastRenderedPageBreak/>
        <w:t xml:space="preserve">grounds that it is the only viable response to </w:t>
      </w:r>
      <w:r>
        <w:rPr>
          <w:i/>
          <w:sz w:val="30"/>
        </w:rPr>
        <w:t xml:space="preserve">skepticism about the external world. </w:t>
      </w:r>
      <w:r>
        <w:rPr>
          <w:sz w:val="30"/>
        </w:rPr>
        <w:t>(Skepticism is the focus of Chapter 12 in its entirety and of Sections 6.0–8.0 of Chapter 13.)</w:t>
      </w:r>
    </w:p>
    <w:p w14:paraId="7E0018EA" w14:textId="77777777" w:rsidR="009A58DB" w:rsidRDefault="00000000">
      <w:pPr>
        <w:pStyle w:val="Heading1"/>
        <w:numPr>
          <w:ilvl w:val="1"/>
          <w:numId w:val="119"/>
        </w:numPr>
        <w:tabs>
          <w:tab w:val="left" w:pos="1544"/>
          <w:tab w:val="left" w:pos="2694"/>
          <w:tab w:val="left" w:pos="4706"/>
          <w:tab w:val="left" w:pos="6625"/>
          <w:tab w:val="left" w:pos="7425"/>
        </w:tabs>
        <w:spacing w:before="191" w:line="244" w:lineRule="auto"/>
        <w:ind w:right="368" w:firstLine="0"/>
      </w:pPr>
      <w:r>
        <w:rPr>
          <w:spacing w:val="-4"/>
        </w:rPr>
        <w:t>The</w:t>
      </w:r>
      <w:r>
        <w:tab/>
      </w:r>
      <w:r>
        <w:rPr>
          <w:spacing w:val="-2"/>
        </w:rPr>
        <w:t>different</w:t>
      </w:r>
      <w:r>
        <w:tab/>
      </w:r>
      <w:r>
        <w:rPr>
          <w:spacing w:val="-2"/>
        </w:rPr>
        <w:t>versions</w:t>
      </w:r>
      <w:r>
        <w:tab/>
      </w:r>
      <w:r>
        <w:rPr>
          <w:spacing w:val="-6"/>
        </w:rPr>
        <w:t>of</w:t>
      </w:r>
      <w:r>
        <w:tab/>
      </w:r>
      <w:r>
        <w:rPr>
          <w:spacing w:val="-2"/>
        </w:rPr>
        <w:t>materialism-behaviorism</w:t>
      </w:r>
    </w:p>
    <w:p w14:paraId="7E0018EB" w14:textId="77777777" w:rsidR="009A58DB" w:rsidRDefault="00000000">
      <w:pPr>
        <w:pStyle w:val="BodyText"/>
        <w:spacing w:before="132" w:line="249" w:lineRule="auto"/>
        <w:ind w:right="372"/>
        <w:rPr>
          <w:b/>
          <w:i/>
        </w:rPr>
      </w:pPr>
      <w:r>
        <w:t xml:space="preserve">There are different versions of materialism. Let us now consider them, starting with </w:t>
      </w:r>
      <w:r>
        <w:rPr>
          <w:b/>
          <w:i/>
        </w:rPr>
        <w:t>behaviorism.</w:t>
      </w:r>
    </w:p>
    <w:p w14:paraId="7E0018EC" w14:textId="77777777" w:rsidR="009A58DB" w:rsidRDefault="00000000">
      <w:pPr>
        <w:pStyle w:val="BodyText"/>
        <w:spacing w:before="3" w:line="249" w:lineRule="auto"/>
        <w:ind w:right="357" w:firstLine="360"/>
      </w:pPr>
      <w:r>
        <w:t>According to the behaviorist, to believe that 1 + 1 = 2 is only to have a disposition</w:t>
      </w:r>
      <w:r>
        <w:rPr>
          <w:spacing w:val="-2"/>
        </w:rPr>
        <w:t xml:space="preserve"> </w:t>
      </w:r>
      <w:r>
        <w:t>to</w:t>
      </w:r>
      <w:r>
        <w:rPr>
          <w:spacing w:val="-2"/>
        </w:rPr>
        <w:t xml:space="preserve"> </w:t>
      </w:r>
      <w:r>
        <w:t>respond</w:t>
      </w:r>
      <w:r>
        <w:rPr>
          <w:spacing w:val="-2"/>
        </w:rPr>
        <w:t xml:space="preserve"> </w:t>
      </w:r>
      <w:r>
        <w:t>with</w:t>
      </w:r>
      <w:r>
        <w:rPr>
          <w:spacing w:val="-2"/>
        </w:rPr>
        <w:t xml:space="preserve"> </w:t>
      </w:r>
      <w:r>
        <w:t>certain</w:t>
      </w:r>
      <w:r>
        <w:rPr>
          <w:spacing w:val="-2"/>
        </w:rPr>
        <w:t xml:space="preserve"> </w:t>
      </w:r>
      <w:r>
        <w:t>overt</w:t>
      </w:r>
      <w:r>
        <w:rPr>
          <w:spacing w:val="-2"/>
        </w:rPr>
        <w:t xml:space="preserve"> </w:t>
      </w:r>
      <w:r>
        <w:t>behaviors</w:t>
      </w:r>
      <w:r>
        <w:rPr>
          <w:spacing w:val="-2"/>
        </w:rPr>
        <w:t xml:space="preserve"> </w:t>
      </w:r>
      <w:r>
        <w:t>to</w:t>
      </w:r>
      <w:r>
        <w:rPr>
          <w:spacing w:val="-2"/>
        </w:rPr>
        <w:t xml:space="preserve"> </w:t>
      </w:r>
      <w:r>
        <w:t>certain</w:t>
      </w:r>
      <w:r>
        <w:rPr>
          <w:spacing w:val="-2"/>
        </w:rPr>
        <w:t xml:space="preserve"> </w:t>
      </w:r>
      <w:r>
        <w:t>physical</w:t>
      </w:r>
      <w:r>
        <w:rPr>
          <w:spacing w:val="-2"/>
        </w:rPr>
        <w:t xml:space="preserve"> </w:t>
      </w:r>
      <w:r>
        <w:t xml:space="preserve">stimuli. If when asked “what is 1 + 1?,” you say “2”—if, in general, you respond to sensory inputs in ways that are characteristic of a belief that 1 + 1 = 2—then </w:t>
      </w:r>
      <w:r>
        <w:rPr>
          <w:i/>
        </w:rPr>
        <w:t xml:space="preserve">in virtue of that very fact, </w:t>
      </w:r>
      <w:r>
        <w:t>you believe that 1 + 1 = 2. In other words, according</w:t>
      </w:r>
      <w:r>
        <w:rPr>
          <w:spacing w:val="3"/>
        </w:rPr>
        <w:t xml:space="preserve"> </w:t>
      </w:r>
      <w:r>
        <w:t>to</w:t>
      </w:r>
      <w:r>
        <w:rPr>
          <w:spacing w:val="6"/>
        </w:rPr>
        <w:t xml:space="preserve"> </w:t>
      </w:r>
      <w:r>
        <w:t>the</w:t>
      </w:r>
      <w:r>
        <w:rPr>
          <w:spacing w:val="6"/>
        </w:rPr>
        <w:t xml:space="preserve"> </w:t>
      </w:r>
      <w:r>
        <w:t>behaviorist,</w:t>
      </w:r>
      <w:r>
        <w:rPr>
          <w:spacing w:val="6"/>
        </w:rPr>
        <w:t xml:space="preserve"> </w:t>
      </w:r>
      <w:r>
        <w:t>behaving</w:t>
      </w:r>
      <w:r>
        <w:rPr>
          <w:spacing w:val="5"/>
        </w:rPr>
        <w:t xml:space="preserve"> </w:t>
      </w:r>
      <w:r>
        <w:t>in</w:t>
      </w:r>
      <w:r>
        <w:rPr>
          <w:spacing w:val="6"/>
        </w:rPr>
        <w:t xml:space="preserve"> </w:t>
      </w:r>
      <w:r>
        <w:t>the</w:t>
      </w:r>
      <w:r>
        <w:rPr>
          <w:spacing w:val="6"/>
        </w:rPr>
        <w:t xml:space="preserve"> </w:t>
      </w:r>
      <w:r>
        <w:t>right</w:t>
      </w:r>
      <w:r>
        <w:rPr>
          <w:spacing w:val="6"/>
        </w:rPr>
        <w:t xml:space="preserve"> </w:t>
      </w:r>
      <w:r>
        <w:t>way</w:t>
      </w:r>
      <w:r>
        <w:rPr>
          <w:spacing w:val="6"/>
        </w:rPr>
        <w:t xml:space="preserve"> </w:t>
      </w:r>
      <w:r>
        <w:rPr>
          <w:i/>
        </w:rPr>
        <w:t>is</w:t>
      </w:r>
      <w:r>
        <w:rPr>
          <w:i/>
          <w:spacing w:val="-3"/>
        </w:rPr>
        <w:t xml:space="preserve"> </w:t>
      </w:r>
      <w:r>
        <w:t>believing</w:t>
      </w:r>
      <w:r>
        <w:rPr>
          <w:spacing w:val="8"/>
        </w:rPr>
        <w:t xml:space="preserve"> </w:t>
      </w:r>
      <w:r>
        <w:t>that</w:t>
      </w:r>
      <w:r>
        <w:rPr>
          <w:spacing w:val="9"/>
        </w:rPr>
        <w:t xml:space="preserve"> </w:t>
      </w:r>
      <w:r>
        <w:t>1</w:t>
      </w:r>
      <w:r>
        <w:rPr>
          <w:spacing w:val="9"/>
        </w:rPr>
        <w:t xml:space="preserve"> </w:t>
      </w:r>
      <w:r>
        <w:t>+</w:t>
      </w:r>
      <w:r>
        <w:rPr>
          <w:spacing w:val="9"/>
        </w:rPr>
        <w:t xml:space="preserve"> </w:t>
      </w:r>
      <w:r>
        <w:rPr>
          <w:spacing w:val="-10"/>
        </w:rPr>
        <w:t>1</w:t>
      </w:r>
    </w:p>
    <w:p w14:paraId="7E0018ED" w14:textId="77777777" w:rsidR="009A58DB" w:rsidRDefault="00000000">
      <w:pPr>
        <w:pStyle w:val="BodyText"/>
        <w:spacing w:before="7" w:line="249" w:lineRule="auto"/>
        <w:ind w:left="720" w:right="391" w:hanging="360"/>
        <w:jc w:val="left"/>
      </w:pPr>
      <w:r>
        <w:t xml:space="preserve">= 2. It isn’t a </w:t>
      </w:r>
      <w:r>
        <w:rPr>
          <w:i/>
        </w:rPr>
        <w:t xml:space="preserve">consequence </w:t>
      </w:r>
      <w:r>
        <w:t xml:space="preserve">of such knowledge. It </w:t>
      </w:r>
      <w:r>
        <w:rPr>
          <w:i/>
        </w:rPr>
        <w:t xml:space="preserve">is </w:t>
      </w:r>
      <w:r>
        <w:t>such knowledge.</w:t>
      </w:r>
      <w:bookmarkStart w:id="329" w:name="_bookmark329"/>
      <w:bookmarkEnd w:id="329"/>
      <w:r>
        <w:rPr>
          <w:color w:val="0562C1"/>
          <w:position w:val="21"/>
          <w:u w:val="single" w:color="0562C1"/>
        </w:rPr>
        <w:t>[225]</w:t>
      </w:r>
      <w:r>
        <w:rPr>
          <w:color w:val="0562C1"/>
          <w:spacing w:val="40"/>
          <w:position w:val="21"/>
        </w:rPr>
        <w:t xml:space="preserve"> </w:t>
      </w:r>
      <w:r>
        <w:t>The</w:t>
      </w:r>
      <w:r>
        <w:rPr>
          <w:spacing w:val="4"/>
        </w:rPr>
        <w:t xml:space="preserve"> </w:t>
      </w:r>
      <w:r>
        <w:t>general</w:t>
      </w:r>
      <w:r>
        <w:rPr>
          <w:spacing w:val="7"/>
        </w:rPr>
        <w:t xml:space="preserve"> </w:t>
      </w:r>
      <w:r>
        <w:t>definition</w:t>
      </w:r>
      <w:r>
        <w:rPr>
          <w:spacing w:val="8"/>
        </w:rPr>
        <w:t xml:space="preserve"> </w:t>
      </w:r>
      <w:r>
        <w:t>of</w:t>
      </w:r>
      <w:r>
        <w:rPr>
          <w:spacing w:val="6"/>
        </w:rPr>
        <w:t xml:space="preserve"> </w:t>
      </w:r>
      <w:r>
        <w:t>behaviorism</w:t>
      </w:r>
      <w:r>
        <w:rPr>
          <w:spacing w:val="7"/>
        </w:rPr>
        <w:t xml:space="preserve"> </w:t>
      </w:r>
      <w:r>
        <w:t>is</w:t>
      </w:r>
      <w:r>
        <w:rPr>
          <w:spacing w:val="8"/>
        </w:rPr>
        <w:t xml:space="preserve"> </w:t>
      </w:r>
      <w:r>
        <w:t>this.</w:t>
      </w:r>
      <w:r>
        <w:rPr>
          <w:spacing w:val="6"/>
        </w:rPr>
        <w:t xml:space="preserve"> </w:t>
      </w:r>
      <w:r>
        <w:t>If</w:t>
      </w:r>
      <w:r>
        <w:rPr>
          <w:spacing w:val="8"/>
        </w:rPr>
        <w:t xml:space="preserve"> </w:t>
      </w:r>
      <w:r>
        <w:t>M</w:t>
      </w:r>
      <w:r>
        <w:rPr>
          <w:spacing w:val="7"/>
        </w:rPr>
        <w:t xml:space="preserve"> </w:t>
      </w:r>
      <w:r>
        <w:t>is</w:t>
      </w:r>
      <w:r>
        <w:rPr>
          <w:spacing w:val="7"/>
        </w:rPr>
        <w:t xml:space="preserve"> </w:t>
      </w:r>
      <w:r>
        <w:t>any</w:t>
      </w:r>
      <w:r>
        <w:rPr>
          <w:spacing w:val="8"/>
        </w:rPr>
        <w:t xml:space="preserve"> </w:t>
      </w:r>
      <w:r>
        <w:t>mental</w:t>
      </w:r>
      <w:r>
        <w:rPr>
          <w:spacing w:val="7"/>
        </w:rPr>
        <w:t xml:space="preserve"> </w:t>
      </w:r>
      <w:r>
        <w:rPr>
          <w:spacing w:val="-2"/>
        </w:rPr>
        <w:t>category,</w:t>
      </w:r>
    </w:p>
    <w:p w14:paraId="7E0018EE" w14:textId="77777777" w:rsidR="009A58DB" w:rsidRDefault="00000000">
      <w:pPr>
        <w:pStyle w:val="BodyText"/>
        <w:spacing w:before="2" w:line="249" w:lineRule="auto"/>
        <w:ind w:right="365"/>
      </w:pPr>
      <w:r>
        <w:t>P is an instance of M just in case P is a disposition on the part of some individual to respond with certain overt behaviors to certain sensory inputs.</w:t>
      </w:r>
    </w:p>
    <w:p w14:paraId="7E0018EF" w14:textId="77777777" w:rsidR="009A58DB" w:rsidRDefault="00000000">
      <w:pPr>
        <w:pStyle w:val="BodyText"/>
        <w:spacing w:before="3" w:line="249" w:lineRule="auto"/>
        <w:ind w:right="359" w:firstLine="360"/>
      </w:pPr>
      <w:r>
        <w:t>Behaviorism is false. How a person reacts to a given sensory input is a function,</w:t>
      </w:r>
      <w:r>
        <w:rPr>
          <w:spacing w:val="-1"/>
        </w:rPr>
        <w:t xml:space="preserve"> </w:t>
      </w:r>
      <w:r>
        <w:t>not</w:t>
      </w:r>
      <w:r>
        <w:rPr>
          <w:spacing w:val="-2"/>
        </w:rPr>
        <w:t xml:space="preserve"> </w:t>
      </w:r>
      <w:r>
        <w:t>only</w:t>
      </w:r>
      <w:r>
        <w:rPr>
          <w:spacing w:val="-1"/>
        </w:rPr>
        <w:t xml:space="preserve"> </w:t>
      </w:r>
      <w:r>
        <w:t>of</w:t>
      </w:r>
      <w:r>
        <w:rPr>
          <w:spacing w:val="-1"/>
        </w:rPr>
        <w:t xml:space="preserve"> </w:t>
      </w:r>
      <w:r>
        <w:t>what</w:t>
      </w:r>
      <w:r>
        <w:rPr>
          <w:spacing w:val="-2"/>
        </w:rPr>
        <w:t xml:space="preserve"> </w:t>
      </w:r>
      <w:r>
        <w:t>that</w:t>
      </w:r>
      <w:r>
        <w:rPr>
          <w:spacing w:val="-2"/>
        </w:rPr>
        <w:t xml:space="preserve"> </w:t>
      </w:r>
      <w:r>
        <w:t>input</w:t>
      </w:r>
      <w:r>
        <w:rPr>
          <w:spacing w:val="-2"/>
        </w:rPr>
        <w:t xml:space="preserve"> </w:t>
      </w:r>
      <w:r>
        <w:t>is,</w:t>
      </w:r>
      <w:r>
        <w:rPr>
          <w:spacing w:val="-1"/>
        </w:rPr>
        <w:t xml:space="preserve"> </w:t>
      </w:r>
      <w:r>
        <w:t>but</w:t>
      </w:r>
      <w:r>
        <w:rPr>
          <w:spacing w:val="-2"/>
        </w:rPr>
        <w:t xml:space="preserve"> </w:t>
      </w:r>
      <w:r>
        <w:t>also</w:t>
      </w:r>
      <w:r>
        <w:rPr>
          <w:spacing w:val="-1"/>
        </w:rPr>
        <w:t xml:space="preserve"> </w:t>
      </w:r>
      <w:r>
        <w:t>of</w:t>
      </w:r>
      <w:r>
        <w:rPr>
          <w:spacing w:val="-1"/>
        </w:rPr>
        <w:t xml:space="preserve"> </w:t>
      </w:r>
      <w:r>
        <w:t>what</w:t>
      </w:r>
      <w:r>
        <w:rPr>
          <w:spacing w:val="-2"/>
        </w:rPr>
        <w:t xml:space="preserve"> </w:t>
      </w:r>
      <w:r>
        <w:t>that</w:t>
      </w:r>
      <w:r>
        <w:rPr>
          <w:spacing w:val="-2"/>
        </w:rPr>
        <w:t xml:space="preserve"> </w:t>
      </w:r>
      <w:r>
        <w:t>person’s</w:t>
      </w:r>
      <w:r>
        <w:rPr>
          <w:spacing w:val="-1"/>
        </w:rPr>
        <w:t xml:space="preserve"> </w:t>
      </w:r>
      <w:r>
        <w:t>existing mental states are. If you don’t speak English, an utterance of “what is 1 + 1?” will</w:t>
      </w:r>
      <w:r>
        <w:rPr>
          <w:spacing w:val="-3"/>
        </w:rPr>
        <w:t xml:space="preserve"> </w:t>
      </w:r>
      <w:r>
        <w:rPr>
          <w:i/>
        </w:rPr>
        <w:t>not</w:t>
      </w:r>
      <w:r>
        <w:rPr>
          <w:i/>
          <w:spacing w:val="-3"/>
        </w:rPr>
        <w:t xml:space="preserve"> </w:t>
      </w:r>
      <w:r>
        <w:t>cause you to say “2.” It is only in people who have various pieces of background knowledge (e.g., knowledge of linguistic conventions) that such</w:t>
      </w:r>
      <w:r>
        <w:rPr>
          <w:spacing w:val="40"/>
        </w:rPr>
        <w:t xml:space="preserve"> </w:t>
      </w:r>
      <w:r>
        <w:t>a disposition corresponds to a knowledge that 1 + 1 = 2. What we said about that particular disposition is true (</w:t>
      </w:r>
      <w:r>
        <w:rPr>
          <w:i/>
        </w:rPr>
        <w:t>mutatis mutandis</w:t>
      </w:r>
      <w:r>
        <w:t>) of any other. By itself,</w:t>
      </w:r>
      <w:r>
        <w:rPr>
          <w:spacing w:val="40"/>
        </w:rPr>
        <w:t xml:space="preserve"> </w:t>
      </w:r>
      <w:r>
        <w:t xml:space="preserve">no disposition to engage in a certain kind of overt behavior, given certain stimuli, corresponds to any mental state: what does so is such a disposition </w:t>
      </w:r>
      <w:r>
        <w:rPr>
          <w:i/>
        </w:rPr>
        <w:t>plus</w:t>
      </w:r>
      <w:r>
        <w:rPr>
          <w:i/>
          <w:spacing w:val="-4"/>
        </w:rPr>
        <w:t xml:space="preserve"> </w:t>
      </w:r>
      <w:r>
        <w:t xml:space="preserve">various pre-existing mental states. So mental states cannot be reduced to behavioral dispositions. At most, they can be reduced to behavioral dispositions </w:t>
      </w:r>
      <w:r>
        <w:rPr>
          <w:i/>
        </w:rPr>
        <w:t xml:space="preserve">plus </w:t>
      </w:r>
      <w:r>
        <w:t xml:space="preserve">various mental states. But this means that they </w:t>
      </w:r>
      <w:r>
        <w:rPr>
          <w:i/>
        </w:rPr>
        <w:t xml:space="preserve">can’t </w:t>
      </w:r>
      <w:r>
        <w:t>be reduced to behavioral dispositions.</w:t>
      </w:r>
    </w:p>
    <w:p w14:paraId="7E0018F0" w14:textId="77777777" w:rsidR="009A58DB" w:rsidRDefault="00000000">
      <w:pPr>
        <w:pStyle w:val="BodyText"/>
        <w:spacing w:before="16" w:line="249" w:lineRule="auto"/>
        <w:ind w:right="359" w:firstLine="360"/>
      </w:pPr>
      <w:r>
        <w:t>Aware of these problems with behaviorism, but still wanting to holding onto the idea that mental entities could be dispositionalized (identified with tendencies</w:t>
      </w:r>
      <w:r>
        <w:rPr>
          <w:spacing w:val="36"/>
        </w:rPr>
        <w:t xml:space="preserve"> </w:t>
      </w:r>
      <w:r>
        <w:t>to</w:t>
      </w:r>
      <w:r>
        <w:rPr>
          <w:spacing w:val="36"/>
        </w:rPr>
        <w:t xml:space="preserve"> </w:t>
      </w:r>
      <w:r>
        <w:t>respond</w:t>
      </w:r>
      <w:r>
        <w:rPr>
          <w:spacing w:val="36"/>
        </w:rPr>
        <w:t xml:space="preserve"> </w:t>
      </w:r>
      <w:r>
        <w:t>with</w:t>
      </w:r>
      <w:r>
        <w:rPr>
          <w:spacing w:val="36"/>
        </w:rPr>
        <w:t xml:space="preserve"> </w:t>
      </w:r>
      <w:r>
        <w:t>certain</w:t>
      </w:r>
      <w:r>
        <w:rPr>
          <w:spacing w:val="36"/>
        </w:rPr>
        <w:t xml:space="preserve"> </w:t>
      </w:r>
      <w:r>
        <w:t>overt</w:t>
      </w:r>
      <w:r>
        <w:rPr>
          <w:spacing w:val="36"/>
        </w:rPr>
        <w:t xml:space="preserve"> </w:t>
      </w:r>
      <w:r>
        <w:t>behaviors</w:t>
      </w:r>
      <w:r>
        <w:rPr>
          <w:spacing w:val="36"/>
        </w:rPr>
        <w:t xml:space="preserve"> </w:t>
      </w:r>
      <w:r>
        <w:t>to</w:t>
      </w:r>
      <w:r>
        <w:rPr>
          <w:spacing w:val="36"/>
        </w:rPr>
        <w:t xml:space="preserve"> </w:t>
      </w:r>
      <w:r>
        <w:t>certain</w:t>
      </w:r>
      <w:r>
        <w:rPr>
          <w:spacing w:val="36"/>
        </w:rPr>
        <w:t xml:space="preserve"> </w:t>
      </w:r>
      <w:r>
        <w:t>inputs),</w:t>
      </w:r>
      <w:r>
        <w:rPr>
          <w:spacing w:val="36"/>
        </w:rPr>
        <w:t xml:space="preserve"> </w:t>
      </w:r>
      <w:r>
        <w:t>many</w:t>
      </w:r>
    </w:p>
    <w:p w14:paraId="7E0018F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8F2" w14:textId="77777777" w:rsidR="009A58DB" w:rsidRDefault="00000000">
      <w:pPr>
        <w:pStyle w:val="BodyText"/>
        <w:spacing w:before="60" w:line="249" w:lineRule="auto"/>
        <w:ind w:right="369"/>
      </w:pPr>
      <w:r>
        <w:lastRenderedPageBreak/>
        <w:t xml:space="preserve">philosophers of mind responded to this by adopting </w:t>
      </w:r>
      <w:r>
        <w:rPr>
          <w:i/>
        </w:rPr>
        <w:t xml:space="preserve">functionalism, </w:t>
      </w:r>
      <w:r>
        <w:t>which we’ve already discussed and will now discuss further.</w:t>
      </w:r>
    </w:p>
    <w:p w14:paraId="7E0018F3" w14:textId="77777777" w:rsidR="009A58DB" w:rsidRDefault="00000000">
      <w:pPr>
        <w:pStyle w:val="Heading1"/>
        <w:numPr>
          <w:ilvl w:val="1"/>
          <w:numId w:val="119"/>
        </w:numPr>
        <w:tabs>
          <w:tab w:val="left" w:pos="1200"/>
        </w:tabs>
        <w:spacing w:before="195"/>
        <w:ind w:left="1200" w:hanging="840"/>
      </w:pPr>
      <w:r>
        <w:t>Functionalism</w:t>
      </w:r>
      <w:r>
        <w:rPr>
          <w:spacing w:val="-11"/>
        </w:rPr>
        <w:t xml:space="preserve"> </w:t>
      </w:r>
      <w:r>
        <w:rPr>
          <w:spacing w:val="-2"/>
        </w:rPr>
        <w:t>(revisited)</w:t>
      </w:r>
    </w:p>
    <w:p w14:paraId="7E0018F4" w14:textId="77777777" w:rsidR="009A58DB" w:rsidRDefault="00000000">
      <w:pPr>
        <w:pStyle w:val="BodyText"/>
        <w:spacing w:before="139" w:line="249" w:lineRule="auto"/>
        <w:ind w:right="358"/>
      </w:pPr>
      <w:r>
        <w:t>Consider</w:t>
      </w:r>
      <w:r>
        <w:rPr>
          <w:spacing w:val="-3"/>
        </w:rPr>
        <w:t xml:space="preserve"> </w:t>
      </w:r>
      <w:r>
        <w:t>the</w:t>
      </w:r>
      <w:r>
        <w:rPr>
          <w:spacing w:val="-3"/>
        </w:rPr>
        <w:t xml:space="preserve"> </w:t>
      </w:r>
      <w:r>
        <w:t>kinds</w:t>
      </w:r>
      <w:r>
        <w:rPr>
          <w:spacing w:val="-3"/>
        </w:rPr>
        <w:t xml:space="preserve"> </w:t>
      </w:r>
      <w:r>
        <w:t>of</w:t>
      </w:r>
      <w:r>
        <w:rPr>
          <w:spacing w:val="-3"/>
        </w:rPr>
        <w:t xml:space="preserve"> </w:t>
      </w:r>
      <w:r>
        <w:t>situations</w:t>
      </w:r>
      <w:r>
        <w:rPr>
          <w:spacing w:val="-3"/>
        </w:rPr>
        <w:t xml:space="preserve"> </w:t>
      </w:r>
      <w:r>
        <w:t>that</w:t>
      </w:r>
      <w:r>
        <w:rPr>
          <w:spacing w:val="-3"/>
        </w:rPr>
        <w:t xml:space="preserve"> </w:t>
      </w:r>
      <w:r>
        <w:t>characteristically</w:t>
      </w:r>
      <w:r>
        <w:rPr>
          <w:spacing w:val="-3"/>
        </w:rPr>
        <w:t xml:space="preserve"> </w:t>
      </w:r>
      <w:r>
        <w:t>give</w:t>
      </w:r>
      <w:r>
        <w:rPr>
          <w:spacing w:val="-3"/>
        </w:rPr>
        <w:t xml:space="preserve"> </w:t>
      </w:r>
      <w:r>
        <w:t>rise</w:t>
      </w:r>
      <w:r>
        <w:rPr>
          <w:spacing w:val="-3"/>
        </w:rPr>
        <w:t xml:space="preserve"> </w:t>
      </w:r>
      <w:r>
        <w:t>to</w:t>
      </w:r>
      <w:r>
        <w:rPr>
          <w:spacing w:val="-3"/>
        </w:rPr>
        <w:t xml:space="preserve"> </w:t>
      </w:r>
      <w:r>
        <w:t>a</w:t>
      </w:r>
      <w:r>
        <w:rPr>
          <w:spacing w:val="-3"/>
        </w:rPr>
        <w:t xml:space="preserve"> </w:t>
      </w:r>
      <w:r>
        <w:t>belief</w:t>
      </w:r>
      <w:r>
        <w:rPr>
          <w:spacing w:val="-3"/>
        </w:rPr>
        <w:t xml:space="preserve"> </w:t>
      </w:r>
      <w:r>
        <w:t xml:space="preserve">that snow is white (e.g., visual perceptions of white snow), and consider all the thoughts and behaviors that characteristically result from such a belief (e.g., one’s forming the belief that snow is not green). According to the functionalist, for a brain-state to be a belief that snow is white just </w:t>
      </w:r>
      <w:r>
        <w:rPr>
          <w:i/>
        </w:rPr>
        <w:t>is</w:t>
      </w:r>
      <w:r>
        <w:rPr>
          <w:i/>
          <w:spacing w:val="-3"/>
        </w:rPr>
        <w:t xml:space="preserve"> </w:t>
      </w:r>
      <w:r>
        <w:t xml:space="preserve">for it to have the right causes and effects. So if brain-state B has the right causes and effects, B is </w:t>
      </w:r>
      <w:r>
        <w:rPr>
          <w:i/>
        </w:rPr>
        <w:t>ipso facto</w:t>
      </w:r>
      <w:r>
        <w:rPr>
          <w:i/>
          <w:spacing w:val="40"/>
        </w:rPr>
        <w:t xml:space="preserve"> </w:t>
      </w:r>
      <w:r>
        <w:t xml:space="preserve">a belief that snow is white (or a desire to become president or a pain or a feeling of euphoria). B’s having those causes and effects isn’t </w:t>
      </w:r>
      <w:r>
        <w:rPr>
          <w:i/>
        </w:rPr>
        <w:t xml:space="preserve">evidence </w:t>
      </w:r>
      <w:r>
        <w:t xml:space="preserve">of its being such a belief; nor is it a </w:t>
      </w:r>
      <w:r>
        <w:rPr>
          <w:i/>
        </w:rPr>
        <w:t xml:space="preserve">consequence </w:t>
      </w:r>
      <w:r>
        <w:t xml:space="preserve">of its being such a belief. It </w:t>
      </w:r>
      <w:r>
        <w:rPr>
          <w:i/>
        </w:rPr>
        <w:t xml:space="preserve">is </w:t>
      </w:r>
      <w:r>
        <w:t>its being such a belief.</w:t>
      </w:r>
    </w:p>
    <w:p w14:paraId="7E0018F5" w14:textId="77777777" w:rsidR="009A58DB" w:rsidRDefault="00000000">
      <w:pPr>
        <w:spacing w:before="12" w:line="249" w:lineRule="auto"/>
        <w:ind w:left="360" w:right="361" w:firstLine="360"/>
        <w:jc w:val="both"/>
        <w:rPr>
          <w:sz w:val="30"/>
        </w:rPr>
      </w:pPr>
      <w:r>
        <w:rPr>
          <w:sz w:val="30"/>
        </w:rPr>
        <w:t xml:space="preserve">The functionalist says that, for any mental type M, mental entities are </w:t>
      </w:r>
      <w:r>
        <w:rPr>
          <w:i/>
          <w:sz w:val="30"/>
        </w:rPr>
        <w:t xml:space="preserve">among the characteristic causes and effects of instances of that type. </w:t>
      </w:r>
      <w:r>
        <w:rPr>
          <w:sz w:val="30"/>
        </w:rPr>
        <w:t>So the functionalist—unlike the behaviorist—allows that among the causes of (e.g.) a</w:t>
      </w:r>
      <w:r>
        <w:rPr>
          <w:spacing w:val="-1"/>
          <w:sz w:val="30"/>
        </w:rPr>
        <w:t xml:space="preserve"> </w:t>
      </w:r>
      <w:r>
        <w:rPr>
          <w:sz w:val="30"/>
        </w:rPr>
        <w:t>belief</w:t>
      </w:r>
      <w:r>
        <w:rPr>
          <w:spacing w:val="-1"/>
          <w:sz w:val="30"/>
        </w:rPr>
        <w:t xml:space="preserve"> </w:t>
      </w:r>
      <w:r>
        <w:rPr>
          <w:sz w:val="30"/>
        </w:rPr>
        <w:t>that</w:t>
      </w:r>
      <w:r>
        <w:rPr>
          <w:spacing w:val="-2"/>
          <w:sz w:val="30"/>
        </w:rPr>
        <w:t xml:space="preserve"> </w:t>
      </w:r>
      <w:r>
        <w:rPr>
          <w:sz w:val="30"/>
        </w:rPr>
        <w:t>snow</w:t>
      </w:r>
      <w:r>
        <w:rPr>
          <w:spacing w:val="-1"/>
          <w:sz w:val="30"/>
        </w:rPr>
        <w:t xml:space="preserve"> </w:t>
      </w:r>
      <w:r>
        <w:rPr>
          <w:sz w:val="30"/>
        </w:rPr>
        <w:t>is</w:t>
      </w:r>
      <w:r>
        <w:rPr>
          <w:spacing w:val="-1"/>
          <w:sz w:val="30"/>
        </w:rPr>
        <w:t xml:space="preserve"> </w:t>
      </w:r>
      <w:r>
        <w:rPr>
          <w:sz w:val="30"/>
        </w:rPr>
        <w:t>white</w:t>
      </w:r>
      <w:r>
        <w:rPr>
          <w:spacing w:val="-1"/>
          <w:sz w:val="30"/>
        </w:rPr>
        <w:t xml:space="preserve"> </w:t>
      </w:r>
      <w:r>
        <w:rPr>
          <w:sz w:val="30"/>
        </w:rPr>
        <w:t>are</w:t>
      </w:r>
      <w:r>
        <w:rPr>
          <w:spacing w:val="-1"/>
          <w:sz w:val="30"/>
        </w:rPr>
        <w:t xml:space="preserve"> </w:t>
      </w:r>
      <w:r>
        <w:rPr>
          <w:i/>
          <w:sz w:val="30"/>
        </w:rPr>
        <w:t>other</w:t>
      </w:r>
      <w:r>
        <w:rPr>
          <w:i/>
          <w:spacing w:val="-4"/>
          <w:sz w:val="30"/>
        </w:rPr>
        <w:t xml:space="preserve"> </w:t>
      </w:r>
      <w:r>
        <w:rPr>
          <w:i/>
          <w:sz w:val="30"/>
        </w:rPr>
        <w:t>mental</w:t>
      </w:r>
      <w:r>
        <w:rPr>
          <w:i/>
          <w:spacing w:val="-4"/>
          <w:sz w:val="30"/>
        </w:rPr>
        <w:t xml:space="preserve"> </w:t>
      </w:r>
      <w:r>
        <w:rPr>
          <w:i/>
          <w:sz w:val="30"/>
        </w:rPr>
        <w:t>entities</w:t>
      </w:r>
      <w:r>
        <w:rPr>
          <w:i/>
          <w:spacing w:val="-4"/>
          <w:sz w:val="30"/>
        </w:rPr>
        <w:t xml:space="preserve"> </w:t>
      </w:r>
      <w:r>
        <w:rPr>
          <w:sz w:val="30"/>
        </w:rPr>
        <w:t>(e.g., perceptions of white snow), and that among the effects of such a belief are other mental entities (e.g., a belief that snow is not green).</w:t>
      </w:r>
    </w:p>
    <w:p w14:paraId="7E0018F6" w14:textId="77777777" w:rsidR="009A58DB" w:rsidRDefault="00000000">
      <w:pPr>
        <w:pStyle w:val="BodyText"/>
        <w:spacing w:before="8" w:line="249" w:lineRule="auto"/>
        <w:ind w:right="365" w:firstLine="360"/>
      </w:pPr>
      <w:r>
        <w:t>Remember that behaviorism falsely supposes that a person who had no linguistic knowledge would react by saying “2” to an utterance of “what is 1</w:t>
      </w:r>
    </w:p>
    <w:p w14:paraId="7E0018F7" w14:textId="77777777" w:rsidR="009A58DB" w:rsidRDefault="00000000">
      <w:pPr>
        <w:pStyle w:val="BodyText"/>
        <w:spacing w:before="2" w:line="249" w:lineRule="auto"/>
        <w:ind w:right="360"/>
      </w:pPr>
      <w:r>
        <w:t xml:space="preserve">+ 1?” and, in general, that behaviorism identifies mental states with dispositions that can be understood in </w:t>
      </w:r>
      <w:r>
        <w:rPr>
          <w:i/>
        </w:rPr>
        <w:t xml:space="preserve">strictly </w:t>
      </w:r>
      <w:r>
        <w:t>behavioral terms.</w:t>
      </w:r>
      <w:r>
        <w:rPr>
          <w:spacing w:val="40"/>
        </w:rPr>
        <w:t xml:space="preserve"> </w:t>
      </w:r>
      <w:r>
        <w:t>Functionalism doesn’t run into this problem. Unlike behaviorism, functionalism can (supposedly) accommodate the fact that among the causes and effects of a mental entity are other mental entities. (Why “supposedly”? Keep reading.)</w:t>
      </w:r>
    </w:p>
    <w:p w14:paraId="7E0018F8" w14:textId="77777777" w:rsidR="009A58DB" w:rsidRDefault="00000000">
      <w:pPr>
        <w:spacing w:before="8" w:line="249" w:lineRule="auto"/>
        <w:ind w:left="360" w:right="359" w:firstLine="360"/>
        <w:jc w:val="both"/>
        <w:rPr>
          <w:sz w:val="30"/>
        </w:rPr>
      </w:pPr>
      <w:r>
        <w:rPr>
          <w:sz w:val="30"/>
        </w:rPr>
        <w:t xml:space="preserve">For something is (e.g.) a belief that snow is white wholly in virtue of its causal role. </w:t>
      </w:r>
      <w:r>
        <w:rPr>
          <w:i/>
          <w:sz w:val="30"/>
        </w:rPr>
        <w:t xml:space="preserve">In general, for any mental category M, there is some causal role C such that x falls into M if and only if x has C. </w:t>
      </w:r>
      <w:r>
        <w:rPr>
          <w:sz w:val="30"/>
        </w:rPr>
        <w:t>(This statement may not be easy to follow, but there is simpler ways of saying what functionalism is.)</w:t>
      </w:r>
    </w:p>
    <w:p w14:paraId="7E0018F9" w14:textId="77777777" w:rsidR="009A58DB" w:rsidRDefault="00000000">
      <w:pPr>
        <w:pStyle w:val="Heading1"/>
        <w:numPr>
          <w:ilvl w:val="2"/>
          <w:numId w:val="119"/>
        </w:numPr>
        <w:tabs>
          <w:tab w:val="left" w:pos="1515"/>
        </w:tabs>
        <w:spacing w:before="208"/>
      </w:pPr>
      <w:r>
        <w:t>Problems</w:t>
      </w:r>
      <w:r>
        <w:rPr>
          <w:spacing w:val="-6"/>
        </w:rPr>
        <w:t xml:space="preserve"> </w:t>
      </w:r>
      <w:r>
        <w:t>with</w:t>
      </w:r>
      <w:r>
        <w:rPr>
          <w:spacing w:val="-5"/>
        </w:rPr>
        <w:t xml:space="preserve"> </w:t>
      </w:r>
      <w:r>
        <w:rPr>
          <w:spacing w:val="-2"/>
        </w:rPr>
        <w:t>functionalism</w:t>
      </w:r>
    </w:p>
    <w:p w14:paraId="7E0018FA" w14:textId="77777777" w:rsidR="009A58DB" w:rsidRDefault="00000000">
      <w:pPr>
        <w:pStyle w:val="BodyText"/>
        <w:spacing w:before="139"/>
      </w:pPr>
      <w:r>
        <w:t>For</w:t>
      </w:r>
      <w:r>
        <w:rPr>
          <w:spacing w:val="25"/>
        </w:rPr>
        <w:t xml:space="preserve"> </w:t>
      </w:r>
      <w:r>
        <w:t>something</w:t>
      </w:r>
      <w:r>
        <w:rPr>
          <w:spacing w:val="28"/>
        </w:rPr>
        <w:t xml:space="preserve"> </w:t>
      </w:r>
      <w:r>
        <w:t>to</w:t>
      </w:r>
      <w:r>
        <w:rPr>
          <w:spacing w:val="28"/>
        </w:rPr>
        <w:t xml:space="preserve"> </w:t>
      </w:r>
      <w:r>
        <w:t>be</w:t>
      </w:r>
      <w:r>
        <w:rPr>
          <w:spacing w:val="27"/>
        </w:rPr>
        <w:t xml:space="preserve"> </w:t>
      </w:r>
      <w:r>
        <w:t>a</w:t>
      </w:r>
      <w:r>
        <w:rPr>
          <w:spacing w:val="27"/>
        </w:rPr>
        <w:t xml:space="preserve"> </w:t>
      </w:r>
      <w:r>
        <w:t>pain</w:t>
      </w:r>
      <w:r>
        <w:rPr>
          <w:spacing w:val="28"/>
        </w:rPr>
        <w:t xml:space="preserve"> </w:t>
      </w:r>
      <w:r>
        <w:t>is</w:t>
      </w:r>
      <w:r>
        <w:rPr>
          <w:spacing w:val="27"/>
        </w:rPr>
        <w:t xml:space="preserve"> </w:t>
      </w:r>
      <w:r>
        <w:t>for</w:t>
      </w:r>
      <w:r>
        <w:rPr>
          <w:spacing w:val="27"/>
        </w:rPr>
        <w:t xml:space="preserve"> </w:t>
      </w:r>
      <w:r>
        <w:t>it</w:t>
      </w:r>
      <w:r>
        <w:rPr>
          <w:spacing w:val="27"/>
        </w:rPr>
        <w:t xml:space="preserve"> </w:t>
      </w:r>
      <w:r>
        <w:t>to</w:t>
      </w:r>
      <w:r>
        <w:rPr>
          <w:spacing w:val="28"/>
        </w:rPr>
        <w:t xml:space="preserve"> </w:t>
      </w:r>
      <w:r>
        <w:rPr>
          <w:i/>
        </w:rPr>
        <w:t>feel</w:t>
      </w:r>
      <w:r>
        <w:rPr>
          <w:i/>
          <w:spacing w:val="27"/>
        </w:rPr>
        <w:t xml:space="preserve"> </w:t>
      </w:r>
      <w:r>
        <w:t>a</w:t>
      </w:r>
      <w:r>
        <w:rPr>
          <w:spacing w:val="30"/>
        </w:rPr>
        <w:t xml:space="preserve"> </w:t>
      </w:r>
      <w:r>
        <w:t>certain</w:t>
      </w:r>
      <w:r>
        <w:rPr>
          <w:spacing w:val="31"/>
        </w:rPr>
        <w:t xml:space="preserve"> </w:t>
      </w:r>
      <w:r>
        <w:t>way—its</w:t>
      </w:r>
      <w:r>
        <w:rPr>
          <w:spacing w:val="31"/>
        </w:rPr>
        <w:t xml:space="preserve"> </w:t>
      </w:r>
      <w:r>
        <w:t>causal</w:t>
      </w:r>
      <w:r>
        <w:rPr>
          <w:spacing w:val="30"/>
        </w:rPr>
        <w:t xml:space="preserve"> </w:t>
      </w:r>
      <w:r>
        <w:t>role</w:t>
      </w:r>
      <w:r>
        <w:rPr>
          <w:spacing w:val="30"/>
        </w:rPr>
        <w:t xml:space="preserve"> </w:t>
      </w:r>
      <w:r>
        <w:rPr>
          <w:spacing w:val="-5"/>
        </w:rPr>
        <w:t>is</w:t>
      </w:r>
    </w:p>
    <w:p w14:paraId="7E0018FB" w14:textId="77777777" w:rsidR="009A58DB" w:rsidRDefault="009A58DB">
      <w:pPr>
        <w:pStyle w:val="BodyText"/>
        <w:sectPr w:rsidR="009A58DB">
          <w:pgSz w:w="12240" w:h="15840"/>
          <w:pgMar w:top="1380" w:right="1080" w:bottom="280" w:left="1080" w:header="720" w:footer="720" w:gutter="0"/>
          <w:cols w:space="720"/>
        </w:sectPr>
      </w:pPr>
    </w:p>
    <w:p w14:paraId="7E0018FC" w14:textId="77777777" w:rsidR="009A58DB" w:rsidRDefault="00000000">
      <w:pPr>
        <w:pStyle w:val="BodyText"/>
        <w:spacing w:before="70" w:line="249" w:lineRule="auto"/>
        <w:ind w:right="362"/>
      </w:pPr>
      <w:r>
        <w:lastRenderedPageBreak/>
        <w:t>secondary. It is true, of course, that pains are likely to have certain causes (kicks to the shins) and certain effects (screaming loudly). But for something to be a pain isn’t for it to have a certain causal role; for something to be a</w:t>
      </w:r>
      <w:r>
        <w:rPr>
          <w:spacing w:val="40"/>
        </w:rPr>
        <w:t xml:space="preserve"> </w:t>
      </w:r>
      <w:r>
        <w:t>pain is for it to feel a certain way.</w:t>
      </w:r>
    </w:p>
    <w:p w14:paraId="7E0018FD" w14:textId="77777777" w:rsidR="009A58DB" w:rsidRDefault="00000000">
      <w:pPr>
        <w:pStyle w:val="BodyText"/>
        <w:spacing w:line="345" w:lineRule="exact"/>
        <w:ind w:left="720"/>
      </w:pPr>
      <w:r>
        <w:t>Since</w:t>
      </w:r>
      <w:r>
        <w:rPr>
          <w:spacing w:val="-7"/>
        </w:rPr>
        <w:t xml:space="preserve"> </w:t>
      </w:r>
      <w:r>
        <w:t>it</w:t>
      </w:r>
      <w:r>
        <w:rPr>
          <w:spacing w:val="-5"/>
        </w:rPr>
        <w:t xml:space="preserve"> </w:t>
      </w:r>
      <w:r>
        <w:t>says</w:t>
      </w:r>
      <w:r>
        <w:rPr>
          <w:spacing w:val="-4"/>
        </w:rPr>
        <w:t xml:space="preserve"> </w:t>
      </w:r>
      <w:r>
        <w:t>otherwise,</w:t>
      </w:r>
      <w:r>
        <w:rPr>
          <w:spacing w:val="-4"/>
        </w:rPr>
        <w:t xml:space="preserve"> </w:t>
      </w:r>
      <w:r>
        <w:t>functionalism</w:t>
      </w:r>
      <w:r>
        <w:rPr>
          <w:spacing w:val="-5"/>
        </w:rPr>
        <w:t xml:space="preserve"> </w:t>
      </w:r>
      <w:r>
        <w:t>is</w:t>
      </w:r>
      <w:r>
        <w:rPr>
          <w:spacing w:val="-4"/>
        </w:rPr>
        <w:t xml:space="preserve"> </w:t>
      </w:r>
      <w:r>
        <w:rPr>
          <w:spacing w:val="-2"/>
        </w:rPr>
        <w:t>wrong.</w:t>
      </w:r>
    </w:p>
    <w:p w14:paraId="7E0018FE" w14:textId="77777777" w:rsidR="009A58DB" w:rsidRDefault="00000000">
      <w:pPr>
        <w:pStyle w:val="BodyText"/>
        <w:spacing w:before="15" w:line="249" w:lineRule="auto"/>
        <w:ind w:right="365" w:firstLine="360"/>
      </w:pPr>
      <w:r>
        <w:t xml:space="preserve">There is a related point. Supposing that P is some pain, P’s having a given causal role is a </w:t>
      </w:r>
      <w:r>
        <w:rPr>
          <w:i/>
        </w:rPr>
        <w:t xml:space="preserve">consequence </w:t>
      </w:r>
      <w:r>
        <w:t xml:space="preserve">of its being a pain; its being a pain is not a consequence of its having that causal role. Supposing that P is some pain of yours, your writhing and screaming is an </w:t>
      </w:r>
      <w:r>
        <w:rPr>
          <w:i/>
        </w:rPr>
        <w:t xml:space="preserve">effect </w:t>
      </w:r>
      <w:r>
        <w:t>of P’s being a pain and, contrary to what the functionalist alleges, it thus cannot be constitutive of its being a pain.</w:t>
      </w:r>
    </w:p>
    <w:p w14:paraId="7E0018FF" w14:textId="77777777" w:rsidR="009A58DB" w:rsidRDefault="00000000">
      <w:pPr>
        <w:pStyle w:val="BodyText"/>
        <w:spacing w:before="7" w:line="249" w:lineRule="auto"/>
        <w:ind w:right="361" w:firstLine="360"/>
        <w:jc w:val="right"/>
      </w:pPr>
      <w:r>
        <w:t>Let’s move on. Functionalism says that x is a belief that snow is white iff</w:t>
      </w:r>
      <w:r>
        <w:rPr>
          <w:spacing w:val="40"/>
        </w:rPr>
        <w:t xml:space="preserve"> </w:t>
      </w:r>
      <w:r>
        <w:t>x has the right causal role. But that causal role, we have seen, involves other mental</w:t>
      </w:r>
      <w:r>
        <w:rPr>
          <w:spacing w:val="-1"/>
        </w:rPr>
        <w:t xml:space="preserve"> </w:t>
      </w:r>
      <w:r>
        <w:t>entities.</w:t>
      </w:r>
      <w:r>
        <w:rPr>
          <w:spacing w:val="-1"/>
        </w:rPr>
        <w:t xml:space="preserve"> </w:t>
      </w:r>
      <w:r>
        <w:t>So it</w:t>
      </w:r>
      <w:r>
        <w:rPr>
          <w:spacing w:val="-1"/>
        </w:rPr>
        <w:t xml:space="preserve"> </w:t>
      </w:r>
      <w:r>
        <w:t>sounds as</w:t>
      </w:r>
      <w:r>
        <w:rPr>
          <w:spacing w:val="-1"/>
        </w:rPr>
        <w:t xml:space="preserve"> </w:t>
      </w:r>
      <w:r>
        <w:t>though functionalism</w:t>
      </w:r>
      <w:r>
        <w:rPr>
          <w:spacing w:val="-1"/>
        </w:rPr>
        <w:t xml:space="preserve"> </w:t>
      </w:r>
      <w:r>
        <w:t>analyzes the</w:t>
      </w:r>
      <w:r>
        <w:rPr>
          <w:spacing w:val="-1"/>
        </w:rPr>
        <w:t xml:space="preserve"> </w:t>
      </w:r>
      <w:r>
        <w:t xml:space="preserve">mental into causal role </w:t>
      </w:r>
      <w:r>
        <w:rPr>
          <w:i/>
        </w:rPr>
        <w:t>plus</w:t>
      </w:r>
      <w:r>
        <w:rPr>
          <w:i/>
          <w:spacing w:val="-4"/>
        </w:rPr>
        <w:t xml:space="preserve"> </w:t>
      </w:r>
      <w:r>
        <w:t>the mental: the mental is thus not eliminated—it’s still there, making it questionable whether functionalism really is a form of materialism. If</w:t>
      </w:r>
      <w:r>
        <w:rPr>
          <w:spacing w:val="40"/>
        </w:rPr>
        <w:t xml:space="preserve"> </w:t>
      </w:r>
      <w:r>
        <w:t>cogent,</w:t>
      </w:r>
      <w:r>
        <w:rPr>
          <w:spacing w:val="40"/>
        </w:rPr>
        <w:t xml:space="preserve"> </w:t>
      </w:r>
      <w:r>
        <w:t>this</w:t>
      </w:r>
      <w:r>
        <w:rPr>
          <w:spacing w:val="40"/>
        </w:rPr>
        <w:t xml:space="preserve"> </w:t>
      </w:r>
      <w:r>
        <w:t>criticism</w:t>
      </w:r>
      <w:r>
        <w:rPr>
          <w:spacing w:val="40"/>
        </w:rPr>
        <w:t xml:space="preserve"> </w:t>
      </w:r>
      <w:r>
        <w:t>of</w:t>
      </w:r>
      <w:r>
        <w:rPr>
          <w:spacing w:val="40"/>
        </w:rPr>
        <w:t xml:space="preserve"> </w:t>
      </w:r>
      <w:r>
        <w:t>functionalism</w:t>
      </w:r>
      <w:r>
        <w:rPr>
          <w:spacing w:val="40"/>
        </w:rPr>
        <w:t xml:space="preserve"> </w:t>
      </w:r>
      <w:r>
        <w:t>is</w:t>
      </w:r>
      <w:r>
        <w:rPr>
          <w:spacing w:val="40"/>
        </w:rPr>
        <w:t xml:space="preserve"> </w:t>
      </w:r>
      <w:r>
        <w:t>devastating,</w:t>
      </w:r>
      <w:r>
        <w:rPr>
          <w:spacing w:val="40"/>
        </w:rPr>
        <w:t xml:space="preserve"> </w:t>
      </w:r>
      <w:r>
        <w:t>given</w:t>
      </w:r>
      <w:r>
        <w:rPr>
          <w:spacing w:val="40"/>
        </w:rPr>
        <w:t xml:space="preserve"> </w:t>
      </w:r>
      <w:r>
        <w:t>that</w:t>
      </w:r>
      <w:r>
        <w:rPr>
          <w:spacing w:val="40"/>
        </w:rPr>
        <w:t xml:space="preserve"> </w:t>
      </w:r>
      <w:r>
        <w:t>the whole</w:t>
      </w:r>
      <w:r>
        <w:rPr>
          <w:spacing w:val="80"/>
        </w:rPr>
        <w:t xml:space="preserve"> </w:t>
      </w:r>
      <w:r>
        <w:t>raison</w:t>
      </w:r>
      <w:r>
        <w:rPr>
          <w:spacing w:val="80"/>
        </w:rPr>
        <w:t xml:space="preserve"> </w:t>
      </w:r>
      <w:r>
        <w:t>d’être</w:t>
      </w:r>
      <w:r>
        <w:rPr>
          <w:spacing w:val="80"/>
        </w:rPr>
        <w:t xml:space="preserve"> </w:t>
      </w:r>
      <w:r>
        <w:t>for</w:t>
      </w:r>
      <w:r>
        <w:rPr>
          <w:spacing w:val="80"/>
        </w:rPr>
        <w:t xml:space="preserve"> </w:t>
      </w:r>
      <w:r>
        <w:t>that</w:t>
      </w:r>
      <w:r>
        <w:rPr>
          <w:spacing w:val="80"/>
        </w:rPr>
        <w:t xml:space="preserve"> </w:t>
      </w:r>
      <w:r>
        <w:t>doctrine</w:t>
      </w:r>
      <w:r>
        <w:rPr>
          <w:spacing w:val="80"/>
        </w:rPr>
        <w:t xml:space="preserve"> </w:t>
      </w:r>
      <w:r>
        <w:t>is</w:t>
      </w:r>
      <w:r>
        <w:rPr>
          <w:spacing w:val="80"/>
        </w:rPr>
        <w:t xml:space="preserve"> </w:t>
      </w:r>
      <w:r>
        <w:t>that</w:t>
      </w:r>
      <w:r>
        <w:rPr>
          <w:spacing w:val="80"/>
        </w:rPr>
        <w:t xml:space="preserve"> </w:t>
      </w:r>
      <w:r>
        <w:t>it</w:t>
      </w:r>
      <w:r>
        <w:rPr>
          <w:spacing w:val="80"/>
        </w:rPr>
        <w:t xml:space="preserve"> </w:t>
      </w:r>
      <w:r>
        <w:t>supposedly</w:t>
      </w:r>
      <w:r>
        <w:rPr>
          <w:spacing w:val="80"/>
        </w:rPr>
        <w:t xml:space="preserve"> </w:t>
      </w:r>
      <w:r>
        <w:t>explains</w:t>
      </w:r>
      <w:r>
        <w:rPr>
          <w:spacing w:val="80"/>
        </w:rPr>
        <w:t xml:space="preserve"> </w:t>
      </w:r>
      <w:r>
        <w:t>the relationship between mind and body. Functionalists respond by saying that,</w:t>
      </w:r>
      <w:r>
        <w:rPr>
          <w:spacing w:val="40"/>
        </w:rPr>
        <w:t xml:space="preserve"> </w:t>
      </w:r>
      <w:r>
        <w:t>through judicious use of a technical device known as the “Ramsey sentence,” it</w:t>
      </w:r>
      <w:r>
        <w:rPr>
          <w:spacing w:val="37"/>
        </w:rPr>
        <w:t xml:space="preserve"> </w:t>
      </w:r>
      <w:r>
        <w:t>can</w:t>
      </w:r>
      <w:r>
        <w:rPr>
          <w:spacing w:val="38"/>
        </w:rPr>
        <w:t xml:space="preserve"> </w:t>
      </w:r>
      <w:r>
        <w:t>be</w:t>
      </w:r>
      <w:r>
        <w:rPr>
          <w:spacing w:val="38"/>
        </w:rPr>
        <w:t xml:space="preserve"> </w:t>
      </w:r>
      <w:r>
        <w:t>shown</w:t>
      </w:r>
      <w:r>
        <w:rPr>
          <w:spacing w:val="37"/>
        </w:rPr>
        <w:t xml:space="preserve"> </w:t>
      </w:r>
      <w:r>
        <w:t>that</w:t>
      </w:r>
      <w:r>
        <w:rPr>
          <w:spacing w:val="37"/>
        </w:rPr>
        <w:t xml:space="preserve"> </w:t>
      </w:r>
      <w:r>
        <w:t>functionalism</w:t>
      </w:r>
      <w:r>
        <w:rPr>
          <w:spacing w:val="37"/>
        </w:rPr>
        <w:t xml:space="preserve"> </w:t>
      </w:r>
      <w:r>
        <w:rPr>
          <w:i/>
        </w:rPr>
        <w:t>does</w:t>
      </w:r>
      <w:r>
        <w:rPr>
          <w:i/>
          <w:spacing w:val="27"/>
        </w:rPr>
        <w:t xml:space="preserve"> </w:t>
      </w:r>
      <w:r>
        <w:t>reduce</w:t>
      </w:r>
      <w:r>
        <w:rPr>
          <w:spacing w:val="40"/>
        </w:rPr>
        <w:t xml:space="preserve"> </w:t>
      </w:r>
      <w:r>
        <w:t>the</w:t>
      </w:r>
      <w:r>
        <w:rPr>
          <w:spacing w:val="40"/>
        </w:rPr>
        <w:t xml:space="preserve"> </w:t>
      </w:r>
      <w:r>
        <w:t>mental</w:t>
      </w:r>
      <w:r>
        <w:rPr>
          <w:spacing w:val="40"/>
        </w:rPr>
        <w:t xml:space="preserve"> </w:t>
      </w:r>
      <w:r>
        <w:t>to</w:t>
      </w:r>
      <w:r>
        <w:rPr>
          <w:spacing w:val="40"/>
        </w:rPr>
        <w:t xml:space="preserve"> </w:t>
      </w:r>
      <w:r>
        <w:t>the</w:t>
      </w:r>
      <w:r>
        <w:rPr>
          <w:spacing w:val="40"/>
        </w:rPr>
        <w:t xml:space="preserve"> </w:t>
      </w:r>
      <w:r>
        <w:t>physical, while</w:t>
      </w:r>
      <w:r>
        <w:rPr>
          <w:spacing w:val="40"/>
        </w:rPr>
        <w:t xml:space="preserve"> </w:t>
      </w:r>
      <w:r>
        <w:t>at</w:t>
      </w:r>
      <w:r>
        <w:rPr>
          <w:spacing w:val="40"/>
        </w:rPr>
        <w:t xml:space="preserve"> </w:t>
      </w:r>
      <w:r>
        <w:t>the</w:t>
      </w:r>
      <w:r>
        <w:rPr>
          <w:spacing w:val="40"/>
        </w:rPr>
        <w:t xml:space="preserve"> </w:t>
      </w:r>
      <w:r>
        <w:t>same</w:t>
      </w:r>
      <w:r>
        <w:rPr>
          <w:spacing w:val="40"/>
        </w:rPr>
        <w:t xml:space="preserve"> </w:t>
      </w:r>
      <w:r>
        <w:t>time</w:t>
      </w:r>
      <w:r>
        <w:rPr>
          <w:spacing w:val="40"/>
        </w:rPr>
        <w:t xml:space="preserve"> </w:t>
      </w:r>
      <w:r>
        <w:t>doing</w:t>
      </w:r>
      <w:r>
        <w:rPr>
          <w:spacing w:val="40"/>
        </w:rPr>
        <w:t xml:space="preserve"> </w:t>
      </w:r>
      <w:r>
        <w:t>justice</w:t>
      </w:r>
      <w:r>
        <w:rPr>
          <w:spacing w:val="40"/>
        </w:rPr>
        <w:t xml:space="preserve"> </w:t>
      </w:r>
      <w:r>
        <w:t>to</w:t>
      </w:r>
      <w:r>
        <w:rPr>
          <w:spacing w:val="40"/>
        </w:rPr>
        <w:t xml:space="preserve"> </w:t>
      </w:r>
      <w:r>
        <w:t>the</w:t>
      </w:r>
      <w:r>
        <w:rPr>
          <w:spacing w:val="40"/>
        </w:rPr>
        <w:t xml:space="preserve"> </w:t>
      </w:r>
      <w:r>
        <w:t>fact</w:t>
      </w:r>
      <w:r>
        <w:rPr>
          <w:spacing w:val="40"/>
        </w:rPr>
        <w:t xml:space="preserve"> </w:t>
      </w:r>
      <w:r>
        <w:t>that,</w:t>
      </w:r>
      <w:r>
        <w:rPr>
          <w:spacing w:val="40"/>
        </w:rPr>
        <w:t xml:space="preserve"> </w:t>
      </w:r>
      <w:r>
        <w:t>given</w:t>
      </w:r>
      <w:r>
        <w:rPr>
          <w:spacing w:val="40"/>
        </w:rPr>
        <w:t xml:space="preserve"> </w:t>
      </w:r>
      <w:r>
        <w:t>any</w:t>
      </w:r>
      <w:r>
        <w:rPr>
          <w:spacing w:val="40"/>
        </w:rPr>
        <w:t xml:space="preserve"> </w:t>
      </w:r>
      <w:r>
        <w:t>arbitrary</w:t>
      </w:r>
      <w:r>
        <w:rPr>
          <w:spacing w:val="40"/>
        </w:rPr>
        <w:t xml:space="preserve"> </w:t>
      </w:r>
      <w:r>
        <w:t>mental</w:t>
      </w:r>
      <w:r>
        <w:rPr>
          <w:spacing w:val="-2"/>
        </w:rPr>
        <w:t xml:space="preserve"> </w:t>
      </w:r>
      <w:r>
        <w:t>type M,</w:t>
      </w:r>
      <w:r>
        <w:rPr>
          <w:spacing w:val="-1"/>
        </w:rPr>
        <w:t xml:space="preserve"> </w:t>
      </w:r>
      <w:r>
        <w:t>instances of M</w:t>
      </w:r>
      <w:r>
        <w:rPr>
          <w:spacing w:val="-1"/>
        </w:rPr>
        <w:t xml:space="preserve"> </w:t>
      </w:r>
      <w:r>
        <w:t>may have</w:t>
      </w:r>
      <w:r>
        <w:rPr>
          <w:spacing w:val="-1"/>
        </w:rPr>
        <w:t xml:space="preserve"> </w:t>
      </w:r>
      <w:r>
        <w:t>other mental entities</w:t>
      </w:r>
      <w:r>
        <w:rPr>
          <w:spacing w:val="-1"/>
        </w:rPr>
        <w:t xml:space="preserve"> </w:t>
      </w:r>
      <w:r>
        <w:t xml:space="preserve">for their </w:t>
      </w:r>
      <w:r>
        <w:rPr>
          <w:spacing w:val="-2"/>
        </w:rPr>
        <w:t>causes</w:t>
      </w:r>
    </w:p>
    <w:p w14:paraId="7E001900" w14:textId="77777777" w:rsidR="009A58DB" w:rsidRDefault="00000000">
      <w:pPr>
        <w:pStyle w:val="BodyText"/>
        <w:spacing w:before="15"/>
      </w:pPr>
      <w:r>
        <w:t>and</w:t>
      </w:r>
      <w:r>
        <w:rPr>
          <w:spacing w:val="-4"/>
        </w:rPr>
        <w:t xml:space="preserve"> </w:t>
      </w:r>
      <w:r>
        <w:t>effects.</w:t>
      </w:r>
      <w:r>
        <w:rPr>
          <w:spacing w:val="-3"/>
        </w:rPr>
        <w:t xml:space="preserve"> </w:t>
      </w:r>
      <w:r>
        <w:t>Here</w:t>
      </w:r>
      <w:r>
        <w:rPr>
          <w:spacing w:val="-4"/>
        </w:rPr>
        <w:t xml:space="preserve"> </w:t>
      </w:r>
      <w:r>
        <w:t>is</w:t>
      </w:r>
      <w:r>
        <w:rPr>
          <w:spacing w:val="-4"/>
        </w:rPr>
        <w:t xml:space="preserve"> </w:t>
      </w:r>
      <w:r>
        <w:t>their</w:t>
      </w:r>
      <w:r>
        <w:rPr>
          <w:spacing w:val="-3"/>
        </w:rPr>
        <w:t xml:space="preserve"> </w:t>
      </w:r>
      <w:r>
        <w:rPr>
          <w:spacing w:val="-2"/>
        </w:rPr>
        <w:t>reasoning:</w:t>
      </w:r>
    </w:p>
    <w:p w14:paraId="7E001901" w14:textId="77777777" w:rsidR="009A58DB" w:rsidRDefault="009A58DB">
      <w:pPr>
        <w:pStyle w:val="BodyText"/>
        <w:spacing w:before="30"/>
        <w:ind w:left="0"/>
        <w:jc w:val="left"/>
      </w:pPr>
    </w:p>
    <w:p w14:paraId="7E001902" w14:textId="77777777" w:rsidR="009A58DB" w:rsidRDefault="00000000">
      <w:pPr>
        <w:pStyle w:val="BodyText"/>
        <w:spacing w:line="249" w:lineRule="auto"/>
        <w:ind w:left="795" w:right="792"/>
        <w:rPr>
          <w:i/>
        </w:rPr>
      </w:pPr>
      <w:r>
        <w:t>(R</w:t>
      </w:r>
      <w:bookmarkStart w:id="330" w:name="_bookmark330"/>
      <w:bookmarkEnd w:id="330"/>
      <w:r>
        <w:t>S</w:t>
      </w:r>
      <w:r>
        <w:rPr>
          <w:color w:val="0562C1"/>
          <w:position w:val="21"/>
          <w:u w:val="single" w:color="0562C1"/>
        </w:rPr>
        <w:t>[226]</w:t>
      </w:r>
      <w:r>
        <w:t xml:space="preserve">) We must distinguish the concept of </w:t>
      </w:r>
      <w:r>
        <w:rPr>
          <w:i/>
        </w:rPr>
        <w:t xml:space="preserve">all </w:t>
      </w:r>
      <w:r>
        <w:t xml:space="preserve">from the concept of </w:t>
      </w:r>
      <w:r>
        <w:rPr>
          <w:i/>
        </w:rPr>
        <w:t xml:space="preserve">any. </w:t>
      </w:r>
      <w:r>
        <w:t xml:space="preserve">Among the causes and/or effects of practically every given mental entity are (a) other mental entities and (b) strictly physical inputs (e.g., photons striking one’s retinas) and strictly behavioral outputs (e.g., one’s reaching for the glass). But even though </w:t>
      </w:r>
      <w:r>
        <w:rPr>
          <w:i/>
        </w:rPr>
        <w:t>any</w:t>
      </w:r>
      <w:r>
        <w:rPr>
          <w:i/>
          <w:spacing w:val="-3"/>
        </w:rPr>
        <w:t xml:space="preserve"> </w:t>
      </w:r>
      <w:r>
        <w:rPr>
          <w:i/>
        </w:rPr>
        <w:t xml:space="preserve">given </w:t>
      </w:r>
      <w:r>
        <w:t>mental entity is to be understood in terms of other mental entities, nonetheless</w:t>
      </w:r>
      <w:r>
        <w:rPr>
          <w:spacing w:val="-3"/>
        </w:rPr>
        <w:t xml:space="preserve"> </w:t>
      </w:r>
      <w:r>
        <w:t>the</w:t>
      </w:r>
      <w:r>
        <w:rPr>
          <w:spacing w:val="-3"/>
        </w:rPr>
        <w:t xml:space="preserve"> </w:t>
      </w:r>
      <w:r>
        <w:rPr>
          <w:i/>
        </w:rPr>
        <w:t>totality</w:t>
      </w:r>
      <w:r>
        <w:rPr>
          <w:i/>
          <w:spacing w:val="-3"/>
        </w:rPr>
        <w:t xml:space="preserve"> </w:t>
      </w:r>
      <w:r>
        <w:t>of</w:t>
      </w:r>
      <w:r>
        <w:rPr>
          <w:spacing w:val="-3"/>
        </w:rPr>
        <w:t xml:space="preserve"> </w:t>
      </w:r>
      <w:r>
        <w:t>a</w:t>
      </w:r>
      <w:r>
        <w:rPr>
          <w:spacing w:val="-3"/>
        </w:rPr>
        <w:t xml:space="preserve"> </w:t>
      </w:r>
      <w:r>
        <w:t>person’s</w:t>
      </w:r>
      <w:r>
        <w:rPr>
          <w:spacing w:val="-3"/>
        </w:rPr>
        <w:t xml:space="preserve"> </w:t>
      </w:r>
      <w:r>
        <w:t>mental</w:t>
      </w:r>
      <w:r>
        <w:rPr>
          <w:spacing w:val="-3"/>
        </w:rPr>
        <w:t xml:space="preserve"> </w:t>
      </w:r>
      <w:r>
        <w:t>entities</w:t>
      </w:r>
      <w:r>
        <w:rPr>
          <w:spacing w:val="-3"/>
        </w:rPr>
        <w:t xml:space="preserve"> </w:t>
      </w:r>
      <w:r>
        <w:t>can</w:t>
      </w:r>
      <w:r>
        <w:rPr>
          <w:spacing w:val="-2"/>
        </w:rPr>
        <w:t xml:space="preserve"> </w:t>
      </w:r>
      <w:r>
        <w:t>be</w:t>
      </w:r>
      <w:r>
        <w:rPr>
          <w:spacing w:val="-3"/>
        </w:rPr>
        <w:t xml:space="preserve"> </w:t>
      </w:r>
      <w:r>
        <w:t xml:space="preserve">understood entirely in terms of strictly physical inputs and strictly behavioral outputs. Let MS (short for “mental sentence”) be a single, very large sentence that says, for any given mental kind (e.g., </w:t>
      </w:r>
      <w:r>
        <w:rPr>
          <w:i/>
        </w:rPr>
        <w:t>belief that snow is</w:t>
      </w:r>
    </w:p>
    <w:p w14:paraId="7E001903"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1904" w14:textId="77777777" w:rsidR="009A58DB" w:rsidRDefault="00000000">
      <w:pPr>
        <w:pStyle w:val="BodyText"/>
        <w:spacing w:before="65" w:line="249" w:lineRule="auto"/>
        <w:ind w:left="795" w:right="793"/>
      </w:pPr>
      <w:r>
        <w:rPr>
          <w:i/>
        </w:rPr>
        <w:lastRenderedPageBreak/>
        <w:t>white,</w:t>
      </w:r>
      <w:r>
        <w:rPr>
          <w:i/>
          <w:spacing w:val="-1"/>
        </w:rPr>
        <w:t xml:space="preserve"> </w:t>
      </w:r>
      <w:r>
        <w:rPr>
          <w:i/>
        </w:rPr>
        <w:t>dread</w:t>
      </w:r>
      <w:r>
        <w:rPr>
          <w:i/>
          <w:spacing w:val="-1"/>
        </w:rPr>
        <w:t xml:space="preserve"> </w:t>
      </w:r>
      <w:r>
        <w:rPr>
          <w:i/>
        </w:rPr>
        <w:t>of</w:t>
      </w:r>
      <w:r>
        <w:rPr>
          <w:i/>
          <w:spacing w:val="-1"/>
        </w:rPr>
        <w:t xml:space="preserve"> </w:t>
      </w:r>
      <w:r>
        <w:rPr>
          <w:i/>
        </w:rPr>
        <w:t>visiting</w:t>
      </w:r>
      <w:r>
        <w:rPr>
          <w:i/>
          <w:spacing w:val="-1"/>
        </w:rPr>
        <w:t xml:space="preserve"> </w:t>
      </w:r>
      <w:r>
        <w:rPr>
          <w:i/>
        </w:rPr>
        <w:t>one’s</w:t>
      </w:r>
      <w:r>
        <w:rPr>
          <w:i/>
          <w:spacing w:val="-1"/>
        </w:rPr>
        <w:t xml:space="preserve"> </w:t>
      </w:r>
      <w:r>
        <w:rPr>
          <w:i/>
        </w:rPr>
        <w:t>mother</w:t>
      </w:r>
      <w:r>
        <w:rPr>
          <w:i/>
          <w:spacing w:val="-1"/>
        </w:rPr>
        <w:t xml:space="preserve"> </w:t>
      </w:r>
      <w:r>
        <w:rPr>
          <w:i/>
        </w:rPr>
        <w:t>in</w:t>
      </w:r>
      <w:r>
        <w:rPr>
          <w:i/>
          <w:spacing w:val="-1"/>
        </w:rPr>
        <w:t xml:space="preserve"> </w:t>
      </w:r>
      <w:r>
        <w:rPr>
          <w:i/>
        </w:rPr>
        <w:t>law,</w:t>
      </w:r>
      <w:r>
        <w:rPr>
          <w:i/>
          <w:spacing w:val="-1"/>
        </w:rPr>
        <w:t xml:space="preserve"> </w:t>
      </w:r>
      <w:r>
        <w:t xml:space="preserve">etc.), what the causes and effects of instances of that kind are. MS is going to contain “constants”: it will contain expressions, such as “dread of going jogging in the morning,” that refer to kinds of mental entities. Given any such expression, replace it with a variable. The result will be an </w:t>
      </w:r>
      <w:r>
        <w:rPr>
          <w:i/>
        </w:rPr>
        <w:t xml:space="preserve">open sentence </w:t>
      </w:r>
      <w:r>
        <w:t xml:space="preserve">(an expression that contains a </w:t>
      </w:r>
      <w:r>
        <w:rPr>
          <w:i/>
        </w:rPr>
        <w:t>free variable but is otherwise</w:t>
      </w:r>
      <w:r>
        <w:rPr>
          <w:i/>
          <w:spacing w:val="-3"/>
        </w:rPr>
        <w:t xml:space="preserve"> </w:t>
      </w:r>
      <w:r>
        <w:rPr>
          <w:i/>
        </w:rPr>
        <w:t>just</w:t>
      </w:r>
      <w:r>
        <w:rPr>
          <w:i/>
          <w:spacing w:val="-3"/>
        </w:rPr>
        <w:t xml:space="preserve"> </w:t>
      </w:r>
      <w:r>
        <w:rPr>
          <w:i/>
        </w:rPr>
        <w:t>like</w:t>
      </w:r>
      <w:r>
        <w:rPr>
          <w:i/>
          <w:spacing w:val="-3"/>
        </w:rPr>
        <w:t xml:space="preserve"> </w:t>
      </w:r>
      <w:r>
        <w:rPr>
          <w:i/>
        </w:rPr>
        <w:t>a</w:t>
      </w:r>
      <w:r>
        <w:rPr>
          <w:i/>
          <w:spacing w:val="-2"/>
        </w:rPr>
        <w:t xml:space="preserve"> </w:t>
      </w:r>
      <w:r>
        <w:rPr>
          <w:i/>
        </w:rPr>
        <w:t>sentence</w:t>
      </w:r>
      <w:r>
        <w:t>).</w:t>
      </w:r>
      <w:r>
        <w:rPr>
          <w:spacing w:val="-2"/>
        </w:rPr>
        <w:t xml:space="preserve"> </w:t>
      </w:r>
      <w:r>
        <w:rPr>
          <w:i/>
        </w:rPr>
        <w:t>Bind</w:t>
      </w:r>
      <w:r>
        <w:rPr>
          <w:i/>
          <w:spacing w:val="-2"/>
        </w:rPr>
        <w:t xml:space="preserve"> </w:t>
      </w:r>
      <w:r>
        <w:t>the</w:t>
      </w:r>
      <w:r>
        <w:rPr>
          <w:spacing w:val="-3"/>
        </w:rPr>
        <w:t xml:space="preserve"> </w:t>
      </w:r>
      <w:r>
        <w:t>occurrences</w:t>
      </w:r>
      <w:r>
        <w:rPr>
          <w:spacing w:val="-3"/>
        </w:rPr>
        <w:t xml:space="preserve"> </w:t>
      </w:r>
      <w:r>
        <w:t>of</w:t>
      </w:r>
      <w:r>
        <w:rPr>
          <w:spacing w:val="-3"/>
        </w:rPr>
        <w:t xml:space="preserve"> </w:t>
      </w:r>
      <w:r>
        <w:t>that</w:t>
      </w:r>
      <w:r>
        <w:rPr>
          <w:spacing w:val="-3"/>
        </w:rPr>
        <w:t xml:space="preserve"> </w:t>
      </w:r>
      <w:r>
        <w:t>variable</w:t>
      </w:r>
      <w:r>
        <w:rPr>
          <w:spacing w:val="-3"/>
        </w:rPr>
        <w:t xml:space="preserve"> </w:t>
      </w:r>
      <w:r>
        <w:t xml:space="preserve">in that open sentence with an existential quantifier. Do the same thing </w:t>
      </w:r>
      <w:r>
        <w:rPr>
          <w:i/>
        </w:rPr>
        <w:t>mutatis</w:t>
      </w:r>
      <w:r>
        <w:rPr>
          <w:i/>
          <w:spacing w:val="-4"/>
        </w:rPr>
        <w:t xml:space="preserve"> </w:t>
      </w:r>
      <w:r>
        <w:rPr>
          <w:i/>
        </w:rPr>
        <w:t>mutandis</w:t>
      </w:r>
      <w:r>
        <w:rPr>
          <w:i/>
          <w:spacing w:val="-4"/>
        </w:rPr>
        <w:t xml:space="preserve"> </w:t>
      </w:r>
      <w:r>
        <w:t>for</w:t>
      </w:r>
      <w:r>
        <w:rPr>
          <w:spacing w:val="-4"/>
        </w:rPr>
        <w:t xml:space="preserve"> </w:t>
      </w:r>
      <w:r>
        <w:t>each</w:t>
      </w:r>
      <w:r>
        <w:rPr>
          <w:spacing w:val="-3"/>
        </w:rPr>
        <w:t xml:space="preserve"> </w:t>
      </w:r>
      <w:r>
        <w:t>occurrence</w:t>
      </w:r>
      <w:r>
        <w:rPr>
          <w:spacing w:val="-4"/>
        </w:rPr>
        <w:t xml:space="preserve"> </w:t>
      </w:r>
      <w:r>
        <w:t>of</w:t>
      </w:r>
      <w:r>
        <w:rPr>
          <w:spacing w:val="-4"/>
        </w:rPr>
        <w:t xml:space="preserve"> </w:t>
      </w:r>
      <w:r>
        <w:t>any</w:t>
      </w:r>
      <w:r>
        <w:rPr>
          <w:spacing w:val="-3"/>
        </w:rPr>
        <w:t xml:space="preserve"> </w:t>
      </w:r>
      <w:r>
        <w:t>expression</w:t>
      </w:r>
      <w:r>
        <w:rPr>
          <w:spacing w:val="-3"/>
        </w:rPr>
        <w:t xml:space="preserve"> </w:t>
      </w:r>
      <w:r>
        <w:t>that</w:t>
      </w:r>
      <w:r>
        <w:rPr>
          <w:spacing w:val="-4"/>
        </w:rPr>
        <w:t xml:space="preserve"> </w:t>
      </w:r>
      <w:r>
        <w:t>refers</w:t>
      </w:r>
      <w:r>
        <w:rPr>
          <w:spacing w:val="-4"/>
        </w:rPr>
        <w:t xml:space="preserve"> </w:t>
      </w:r>
      <w:r>
        <w:t>to</w:t>
      </w:r>
      <w:r>
        <w:rPr>
          <w:spacing w:val="-3"/>
        </w:rPr>
        <w:t xml:space="preserve"> </w:t>
      </w:r>
      <w:r>
        <w:t xml:space="preserve">a mental kind. But don’t do it for any of the expressions that refer to physical kinds. The result will be a sentence that completely describes the causes and effects of instances of each mental kind, but that does so without using any expressions that refer to anything mental. The mental will thus be completely </w:t>
      </w:r>
      <w:r>
        <w:rPr>
          <w:i/>
        </w:rPr>
        <w:t>described</w:t>
      </w:r>
      <w:r>
        <w:rPr>
          <w:i/>
          <w:spacing w:val="-3"/>
        </w:rPr>
        <w:t xml:space="preserve"> </w:t>
      </w:r>
      <w:r>
        <w:t>in terms of the physical. But that sentence will do justice to the fact that mental events cause other mental events to occur, and it will do justice to the precise way in which they do so.</w:t>
      </w:r>
    </w:p>
    <w:p w14:paraId="7E001905" w14:textId="77777777" w:rsidR="009A58DB" w:rsidRDefault="009A58DB">
      <w:pPr>
        <w:pStyle w:val="BodyText"/>
        <w:spacing w:before="35"/>
        <w:ind w:left="0"/>
        <w:jc w:val="left"/>
      </w:pPr>
    </w:p>
    <w:p w14:paraId="7E001906" w14:textId="77777777" w:rsidR="009A58DB" w:rsidRDefault="00000000">
      <w:pPr>
        <w:pStyle w:val="BodyText"/>
        <w:spacing w:before="1" w:line="249" w:lineRule="auto"/>
        <w:ind w:right="360" w:firstLine="360"/>
      </w:pPr>
      <w:r>
        <w:t xml:space="preserve">By saying that causal role fixes content, RS makes content too brittle: </w:t>
      </w:r>
      <w:r>
        <w:rPr>
          <w:i/>
        </w:rPr>
        <w:t xml:space="preserve">any </w:t>
      </w:r>
      <w:r>
        <w:t xml:space="preserve">deviations of </w:t>
      </w:r>
      <w:r>
        <w:rPr>
          <w:i/>
        </w:rPr>
        <w:t xml:space="preserve">any </w:t>
      </w:r>
      <w:r>
        <w:t xml:space="preserve">kind between </w:t>
      </w:r>
      <w:r>
        <w:rPr>
          <w:i/>
        </w:rPr>
        <w:t xml:space="preserve">any </w:t>
      </w:r>
      <w:r>
        <w:t xml:space="preserve">two mental states </w:t>
      </w:r>
      <w:r>
        <w:rPr>
          <w:i/>
        </w:rPr>
        <w:t>ipso facto</w:t>
      </w:r>
      <w:r>
        <w:rPr>
          <w:i/>
          <w:spacing w:val="40"/>
        </w:rPr>
        <w:t xml:space="preserve"> </w:t>
      </w:r>
      <w:r>
        <w:t xml:space="preserve">amount to differences in content. No two mental entities have </w:t>
      </w:r>
      <w:r>
        <w:rPr>
          <w:i/>
        </w:rPr>
        <w:t xml:space="preserve">exactly </w:t>
      </w:r>
      <w:r>
        <w:t xml:space="preserve">the same causal roles. (There isn’t anything in your mind that has </w:t>
      </w:r>
      <w:r>
        <w:rPr>
          <w:i/>
        </w:rPr>
        <w:t>exactly</w:t>
      </w:r>
      <w:r>
        <w:rPr>
          <w:i/>
          <w:spacing w:val="-4"/>
        </w:rPr>
        <w:t xml:space="preserve"> </w:t>
      </w:r>
      <w:r>
        <w:t>the same causal role as my belief that 2 is an even prime. There isn’t anything in any person’s mind that has exactly the same causal role as anything in anyone else’s</w:t>
      </w:r>
      <w:r>
        <w:rPr>
          <w:spacing w:val="40"/>
        </w:rPr>
        <w:t xml:space="preserve"> </w:t>
      </w:r>
      <w:r>
        <w:t>mind.) It follows that, if RS is right, no two people can believe that 1 + 1 = 2 or that Mongolia is in Asia, etc. Since that is obviously false, so is RS.</w:t>
      </w:r>
    </w:p>
    <w:p w14:paraId="7E001907" w14:textId="77777777" w:rsidR="009A58DB" w:rsidRDefault="00000000">
      <w:pPr>
        <w:pStyle w:val="BodyText"/>
        <w:spacing w:before="9" w:line="249" w:lineRule="auto"/>
        <w:ind w:right="359" w:firstLine="360"/>
      </w:pPr>
      <w:r>
        <w:t>A story may clarify this point. Both Smith and Jones believe that snow is white. Smith is a physicist who focuses on the reflective properties of white surfaces. Jones doesn’t know anything about physics. Obviously the functional role of Smith’s belief that snow is white will be very different</w:t>
      </w:r>
      <w:r>
        <w:rPr>
          <w:spacing w:val="40"/>
        </w:rPr>
        <w:t xml:space="preserve"> </w:t>
      </w:r>
      <w:r>
        <w:t xml:space="preserve">from that of Jones’ corresponding belief. But if, as functionalism holds, a brain-state’s being a belief that snow is white just </w:t>
      </w:r>
      <w:r>
        <w:rPr>
          <w:i/>
        </w:rPr>
        <w:t xml:space="preserve">is </w:t>
      </w:r>
      <w:r>
        <w:t xml:space="preserve">its having a certain functional role, then presumably one person’s belief that snow is white shouldn’t be able to differ, at least not </w:t>
      </w:r>
      <w:r>
        <w:rPr>
          <w:i/>
        </w:rPr>
        <w:t xml:space="preserve">too </w:t>
      </w:r>
      <w:r>
        <w:t>drastically, from another person’s belief that snow is white.</w:t>
      </w:r>
    </w:p>
    <w:p w14:paraId="7E00190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09" w14:textId="77777777" w:rsidR="009A58DB" w:rsidRDefault="00000000">
      <w:pPr>
        <w:pStyle w:val="Heading1"/>
        <w:spacing w:before="58"/>
        <w:ind w:left="360" w:firstLine="0"/>
      </w:pPr>
      <w:r>
        <w:lastRenderedPageBreak/>
        <w:t>12.1.3</w:t>
      </w:r>
      <w:r>
        <w:rPr>
          <w:spacing w:val="-5"/>
        </w:rPr>
        <w:t xml:space="preserve"> </w:t>
      </w:r>
      <w:r>
        <w:t>The</w:t>
      </w:r>
      <w:r>
        <w:rPr>
          <w:spacing w:val="-3"/>
        </w:rPr>
        <w:t xml:space="preserve"> </w:t>
      </w:r>
      <w:r>
        <w:t>real</w:t>
      </w:r>
      <w:r>
        <w:rPr>
          <w:spacing w:val="-4"/>
        </w:rPr>
        <w:t xml:space="preserve"> </w:t>
      </w:r>
      <w:r>
        <w:t>problem</w:t>
      </w:r>
      <w:r>
        <w:rPr>
          <w:spacing w:val="-3"/>
        </w:rPr>
        <w:t xml:space="preserve"> </w:t>
      </w:r>
      <w:r>
        <w:t>with</w:t>
      </w:r>
      <w:r>
        <w:rPr>
          <w:spacing w:val="-3"/>
        </w:rPr>
        <w:t xml:space="preserve"> </w:t>
      </w:r>
      <w:r>
        <w:rPr>
          <w:spacing w:val="-2"/>
        </w:rPr>
        <w:t>functionalism</w:t>
      </w:r>
    </w:p>
    <w:p w14:paraId="7E00190A" w14:textId="77777777" w:rsidR="009A58DB" w:rsidRDefault="00000000">
      <w:pPr>
        <w:pStyle w:val="BodyText"/>
        <w:spacing w:before="139" w:line="249" w:lineRule="auto"/>
        <w:ind w:right="358"/>
      </w:pPr>
      <w:r>
        <w:t xml:space="preserve">It is not objects, but </w:t>
      </w:r>
      <w:r>
        <w:rPr>
          <w:i/>
        </w:rPr>
        <w:t xml:space="preserve">states </w:t>
      </w:r>
      <w:r>
        <w:t xml:space="preserve">of affairs, that have causal properties. What shatters the window is not </w:t>
      </w:r>
      <w:r>
        <w:rPr>
          <w:i/>
        </w:rPr>
        <w:t>the rock</w:t>
      </w:r>
      <w:r>
        <w:t xml:space="preserve">—it is rather </w:t>
      </w:r>
      <w:r>
        <w:rPr>
          <w:i/>
        </w:rPr>
        <w:t xml:space="preserve">the rock’s moving with a certain velocity, in a certain direction, </w:t>
      </w:r>
      <w:r>
        <w:t xml:space="preserve">etc. Similarly, if B is the brain-state that realizes your belief that (e.g.) water quenches thirst, it isn’t </w:t>
      </w:r>
      <w:r>
        <w:rPr>
          <w:i/>
        </w:rPr>
        <w:t>B</w:t>
      </w:r>
      <w:r>
        <w:rPr>
          <w:i/>
          <w:spacing w:val="-3"/>
        </w:rPr>
        <w:t xml:space="preserve"> </w:t>
      </w:r>
      <w:r>
        <w:t xml:space="preserve">that causes things to happen—it is B’s having these or those properties. According to functionalism, B’s being identical with a belief that water quenches thirst is </w:t>
      </w:r>
      <w:r>
        <w:rPr>
          <w:i/>
        </w:rPr>
        <w:t>identical</w:t>
      </w:r>
      <w:r>
        <w:rPr>
          <w:i/>
          <w:spacing w:val="-4"/>
        </w:rPr>
        <w:t xml:space="preserve"> </w:t>
      </w:r>
      <w:r>
        <w:t>with</w:t>
      </w:r>
      <w:r>
        <w:rPr>
          <w:spacing w:val="-2"/>
        </w:rPr>
        <w:t xml:space="preserve"> </w:t>
      </w:r>
      <w:r>
        <w:t>B’s</w:t>
      </w:r>
      <w:r>
        <w:rPr>
          <w:spacing w:val="-2"/>
        </w:rPr>
        <w:t xml:space="preserve"> </w:t>
      </w:r>
      <w:r>
        <w:t>having</w:t>
      </w:r>
      <w:r>
        <w:rPr>
          <w:spacing w:val="-2"/>
        </w:rPr>
        <w:t xml:space="preserve"> </w:t>
      </w:r>
      <w:r>
        <w:t>certain</w:t>
      </w:r>
      <w:r>
        <w:rPr>
          <w:spacing w:val="-2"/>
        </w:rPr>
        <w:t xml:space="preserve"> </w:t>
      </w:r>
      <w:r>
        <w:t>causes</w:t>
      </w:r>
      <w:r>
        <w:rPr>
          <w:spacing w:val="-2"/>
        </w:rPr>
        <w:t xml:space="preserve"> </w:t>
      </w:r>
      <w:r>
        <w:t>and</w:t>
      </w:r>
      <w:r>
        <w:rPr>
          <w:spacing w:val="-2"/>
        </w:rPr>
        <w:t xml:space="preserve"> </w:t>
      </w:r>
      <w:r>
        <w:t>effects—it</w:t>
      </w:r>
      <w:r>
        <w:rPr>
          <w:spacing w:val="-2"/>
        </w:rPr>
        <w:t xml:space="preserve"> </w:t>
      </w:r>
      <w:r>
        <w:t>is</w:t>
      </w:r>
      <w:r>
        <w:rPr>
          <w:spacing w:val="-2"/>
        </w:rPr>
        <w:t xml:space="preserve"> </w:t>
      </w:r>
      <w:r>
        <w:t>identical</w:t>
      </w:r>
      <w:r>
        <w:rPr>
          <w:spacing w:val="-2"/>
        </w:rPr>
        <w:t xml:space="preserve"> </w:t>
      </w:r>
      <w:r>
        <w:t>with</w:t>
      </w:r>
      <w:r>
        <w:rPr>
          <w:spacing w:val="-2"/>
        </w:rPr>
        <w:t xml:space="preserve"> </w:t>
      </w:r>
      <w:r>
        <w:t xml:space="preserve">(e.g.) its causing you to drink water when thirsty. But if B’s being identical with that belief is </w:t>
      </w:r>
      <w:r>
        <w:rPr>
          <w:i/>
        </w:rPr>
        <w:t xml:space="preserve">identical </w:t>
      </w:r>
      <w:r>
        <w:t xml:space="preserve">with B’s causing you to drink water (when thirsty), then B’s being such a belief cannot </w:t>
      </w:r>
      <w:r>
        <w:rPr>
          <w:i/>
        </w:rPr>
        <w:t xml:space="preserve">cause </w:t>
      </w:r>
      <w:r>
        <w:t xml:space="preserve">such behavior. Cause and effect must be distinct: if x causes y, then x is not identical with y (and neither is a part of the other). So if functionalism is correct, then </w:t>
      </w:r>
      <w:r>
        <w:rPr>
          <w:i/>
        </w:rPr>
        <w:t xml:space="preserve">the fact that you believe that water quenches thirst </w:t>
      </w:r>
      <w:r>
        <w:t xml:space="preserve">cannot cause you to do things like drink water when thirsty. Thus, if functionalism is right, then your </w:t>
      </w:r>
      <w:r>
        <w:rPr>
          <w:i/>
        </w:rPr>
        <w:t xml:space="preserve">belief </w:t>
      </w:r>
      <w:r>
        <w:t>that water quenches thirst does nothing.</w:t>
      </w:r>
    </w:p>
    <w:p w14:paraId="7E00190B" w14:textId="77777777" w:rsidR="009A58DB" w:rsidRDefault="00000000">
      <w:pPr>
        <w:pStyle w:val="BodyText"/>
        <w:spacing w:before="18" w:line="249" w:lineRule="auto"/>
        <w:ind w:right="361" w:firstLine="360"/>
      </w:pPr>
      <w:r>
        <w:t>Given any other behavior that we know to be caused by the existence of a certain kind of mental entity, an analogous argument shows that, if functionalism is right, such an entity cannot possibly cause that behavior. If a speaker of English who wishes to be sincere says “I believe that water quenches thirst,” his uttering those words is caused by (among other things) his</w:t>
      </w:r>
      <w:r>
        <w:rPr>
          <w:spacing w:val="-2"/>
        </w:rPr>
        <w:t xml:space="preserve"> </w:t>
      </w:r>
      <w:r>
        <w:t>belief</w:t>
      </w:r>
      <w:r>
        <w:rPr>
          <w:spacing w:val="-2"/>
        </w:rPr>
        <w:t xml:space="preserve"> </w:t>
      </w:r>
      <w:r>
        <w:t>that</w:t>
      </w:r>
      <w:r>
        <w:rPr>
          <w:spacing w:val="-2"/>
        </w:rPr>
        <w:t xml:space="preserve"> </w:t>
      </w:r>
      <w:r>
        <w:t>snow</w:t>
      </w:r>
      <w:r>
        <w:rPr>
          <w:spacing w:val="-2"/>
        </w:rPr>
        <w:t xml:space="preserve"> </w:t>
      </w:r>
      <w:r>
        <w:t>is</w:t>
      </w:r>
      <w:r>
        <w:rPr>
          <w:spacing w:val="-2"/>
        </w:rPr>
        <w:t xml:space="preserve"> </w:t>
      </w:r>
      <w:r>
        <w:t>white.</w:t>
      </w:r>
      <w:r>
        <w:rPr>
          <w:spacing w:val="-2"/>
        </w:rPr>
        <w:t xml:space="preserve"> </w:t>
      </w:r>
      <w:r>
        <w:t>Functionalism</w:t>
      </w:r>
      <w:r>
        <w:rPr>
          <w:spacing w:val="-2"/>
        </w:rPr>
        <w:t xml:space="preserve"> </w:t>
      </w:r>
      <w:r>
        <w:t>says</w:t>
      </w:r>
      <w:r>
        <w:rPr>
          <w:spacing w:val="-2"/>
        </w:rPr>
        <w:t xml:space="preserve"> </w:t>
      </w:r>
      <w:r>
        <w:t>that</w:t>
      </w:r>
      <w:r>
        <w:rPr>
          <w:spacing w:val="-2"/>
        </w:rPr>
        <w:t xml:space="preserve"> </w:t>
      </w:r>
      <w:r>
        <w:t>there</w:t>
      </w:r>
      <w:r>
        <w:rPr>
          <w:spacing w:val="-2"/>
        </w:rPr>
        <w:t xml:space="preserve"> </w:t>
      </w:r>
      <w:r>
        <w:t>is</w:t>
      </w:r>
      <w:r>
        <w:rPr>
          <w:spacing w:val="-2"/>
        </w:rPr>
        <w:t xml:space="preserve"> </w:t>
      </w:r>
      <w:r>
        <w:t>some</w:t>
      </w:r>
      <w:r>
        <w:rPr>
          <w:spacing w:val="-2"/>
        </w:rPr>
        <w:t xml:space="preserve"> </w:t>
      </w:r>
      <w:r>
        <w:t>brain-state B</w:t>
      </w:r>
      <w:r>
        <w:rPr>
          <w:spacing w:val="-1"/>
        </w:rPr>
        <w:t xml:space="preserve"> </w:t>
      </w:r>
      <w:r>
        <w:t xml:space="preserve">such that that B’s being a belief that snow is white is </w:t>
      </w:r>
      <w:r>
        <w:rPr>
          <w:i/>
        </w:rPr>
        <w:t>identical</w:t>
      </w:r>
      <w:r>
        <w:rPr>
          <w:i/>
          <w:spacing w:val="-3"/>
        </w:rPr>
        <w:t xml:space="preserve"> </w:t>
      </w:r>
      <w:r>
        <w:t>with</w:t>
      </w:r>
      <w:r>
        <w:rPr>
          <w:spacing w:val="-2"/>
        </w:rPr>
        <w:t xml:space="preserve"> </w:t>
      </w:r>
      <w:r>
        <w:t xml:space="preserve">(among other things) B’s causing that person to utter those words. But if B’s being such a belief is </w:t>
      </w:r>
      <w:r>
        <w:rPr>
          <w:i/>
        </w:rPr>
        <w:t>identical</w:t>
      </w:r>
      <w:r>
        <w:rPr>
          <w:i/>
          <w:spacing w:val="-3"/>
        </w:rPr>
        <w:t xml:space="preserve"> </w:t>
      </w:r>
      <w:r>
        <w:t>with its causing that utterance, then B’s being such a belief</w:t>
      </w:r>
      <w:r>
        <w:rPr>
          <w:spacing w:val="-4"/>
        </w:rPr>
        <w:t xml:space="preserve"> </w:t>
      </w:r>
      <w:r>
        <w:t>cannot</w:t>
      </w:r>
      <w:r>
        <w:rPr>
          <w:spacing w:val="-4"/>
        </w:rPr>
        <w:t xml:space="preserve"> </w:t>
      </w:r>
      <w:r>
        <w:rPr>
          <w:i/>
        </w:rPr>
        <w:t>cause</w:t>
      </w:r>
      <w:r>
        <w:rPr>
          <w:i/>
          <w:spacing w:val="-4"/>
        </w:rPr>
        <w:t xml:space="preserve"> </w:t>
      </w:r>
      <w:r>
        <w:t>that</w:t>
      </w:r>
      <w:r>
        <w:rPr>
          <w:spacing w:val="-2"/>
        </w:rPr>
        <w:t xml:space="preserve"> </w:t>
      </w:r>
      <w:r>
        <w:t>utterance</w:t>
      </w:r>
      <w:r>
        <w:rPr>
          <w:spacing w:val="-2"/>
        </w:rPr>
        <w:t xml:space="preserve"> </w:t>
      </w:r>
      <w:r>
        <w:t>to</w:t>
      </w:r>
      <w:r>
        <w:rPr>
          <w:spacing w:val="-2"/>
        </w:rPr>
        <w:t xml:space="preserve"> </w:t>
      </w:r>
      <w:r>
        <w:t>occur.</w:t>
      </w:r>
      <w:r>
        <w:rPr>
          <w:spacing w:val="-2"/>
        </w:rPr>
        <w:t xml:space="preserve"> </w:t>
      </w:r>
      <w:r>
        <w:t>So</w:t>
      </w:r>
      <w:r>
        <w:rPr>
          <w:spacing w:val="-2"/>
        </w:rPr>
        <w:t xml:space="preserve"> </w:t>
      </w:r>
      <w:r>
        <w:t>functionalism</w:t>
      </w:r>
      <w:r>
        <w:rPr>
          <w:spacing w:val="-2"/>
        </w:rPr>
        <w:t xml:space="preserve"> </w:t>
      </w:r>
      <w:r>
        <w:rPr>
          <w:i/>
        </w:rPr>
        <w:t>strips</w:t>
      </w:r>
      <w:r>
        <w:rPr>
          <w:i/>
          <w:spacing w:val="-4"/>
        </w:rPr>
        <w:t xml:space="preserve"> </w:t>
      </w:r>
      <w:r>
        <w:t xml:space="preserve">the mental of any causal powers. Given that the mental </w:t>
      </w:r>
      <w:r>
        <w:rPr>
          <w:i/>
        </w:rPr>
        <w:t xml:space="preserve">does </w:t>
      </w:r>
      <w:r>
        <w:t>have causal powers, it follows that functionalism is wrong.</w:t>
      </w:r>
    </w:p>
    <w:p w14:paraId="7E00190C" w14:textId="77777777" w:rsidR="009A58DB" w:rsidRDefault="00000000">
      <w:pPr>
        <w:pStyle w:val="Heading1"/>
        <w:spacing w:before="113"/>
        <w:ind w:left="360" w:firstLine="0"/>
      </w:pPr>
      <w:r>
        <w:t xml:space="preserve">13.0 </w:t>
      </w:r>
      <w:r>
        <w:rPr>
          <w:spacing w:val="-2"/>
        </w:rPr>
        <w:t>Conclusion</w:t>
      </w:r>
    </w:p>
    <w:p w14:paraId="7E00190D" w14:textId="77777777" w:rsidR="009A58DB" w:rsidRDefault="00000000">
      <w:pPr>
        <w:pStyle w:val="BodyText"/>
        <w:spacing w:before="79" w:line="249" w:lineRule="auto"/>
        <w:ind w:right="361"/>
      </w:pPr>
      <w:r>
        <w:t>Given the fact that mind and body interact, along with the fact that such interactions seem not to involve violations of physical law, it seems that materialism is probably correct. But there are two facts that, when taken together, pose a serious threat to materialism:</w:t>
      </w:r>
    </w:p>
    <w:p w14:paraId="7E00190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0F" w14:textId="77777777" w:rsidR="009A58DB" w:rsidRDefault="00000000">
      <w:pPr>
        <w:pStyle w:val="ListParagraph"/>
        <w:numPr>
          <w:ilvl w:val="0"/>
          <w:numId w:val="118"/>
        </w:numPr>
        <w:tabs>
          <w:tab w:val="left" w:pos="660"/>
        </w:tabs>
        <w:spacing w:before="65"/>
        <w:jc w:val="both"/>
        <w:rPr>
          <w:sz w:val="30"/>
        </w:rPr>
      </w:pPr>
      <w:r>
        <w:rPr>
          <w:sz w:val="30"/>
        </w:rPr>
        <w:lastRenderedPageBreak/>
        <w:t>The</w:t>
      </w:r>
      <w:r>
        <w:rPr>
          <w:spacing w:val="-6"/>
          <w:sz w:val="30"/>
        </w:rPr>
        <w:t xml:space="preserve"> </w:t>
      </w:r>
      <w:r>
        <w:rPr>
          <w:sz w:val="30"/>
        </w:rPr>
        <w:t>mental</w:t>
      </w:r>
      <w:r>
        <w:rPr>
          <w:spacing w:val="-3"/>
          <w:sz w:val="30"/>
        </w:rPr>
        <w:t xml:space="preserve"> </w:t>
      </w:r>
      <w:r>
        <w:rPr>
          <w:i/>
          <w:sz w:val="30"/>
        </w:rPr>
        <w:t>seems</w:t>
      </w:r>
      <w:r>
        <w:rPr>
          <w:i/>
          <w:spacing w:val="-4"/>
          <w:sz w:val="30"/>
        </w:rPr>
        <w:t xml:space="preserve"> </w:t>
      </w:r>
      <w:r>
        <w:rPr>
          <w:sz w:val="30"/>
        </w:rPr>
        <w:t>to</w:t>
      </w:r>
      <w:r>
        <w:rPr>
          <w:spacing w:val="-2"/>
          <w:sz w:val="30"/>
        </w:rPr>
        <w:t xml:space="preserve"> </w:t>
      </w:r>
      <w:r>
        <w:rPr>
          <w:sz w:val="30"/>
        </w:rPr>
        <w:t>be</w:t>
      </w:r>
      <w:r>
        <w:rPr>
          <w:spacing w:val="-3"/>
          <w:sz w:val="30"/>
        </w:rPr>
        <w:t xml:space="preserve"> </w:t>
      </w:r>
      <w:r>
        <w:rPr>
          <w:sz w:val="30"/>
        </w:rPr>
        <w:t>different</w:t>
      </w:r>
      <w:r>
        <w:rPr>
          <w:spacing w:val="-4"/>
          <w:sz w:val="30"/>
        </w:rPr>
        <w:t xml:space="preserve"> </w:t>
      </w:r>
      <w:r>
        <w:rPr>
          <w:sz w:val="30"/>
        </w:rPr>
        <w:t>from</w:t>
      </w:r>
      <w:r>
        <w:rPr>
          <w:spacing w:val="-3"/>
          <w:sz w:val="30"/>
        </w:rPr>
        <w:t xml:space="preserve"> </w:t>
      </w:r>
      <w:r>
        <w:rPr>
          <w:sz w:val="30"/>
        </w:rPr>
        <w:t>the</w:t>
      </w:r>
      <w:r>
        <w:rPr>
          <w:spacing w:val="-3"/>
          <w:sz w:val="30"/>
        </w:rPr>
        <w:t xml:space="preserve"> </w:t>
      </w:r>
      <w:r>
        <w:rPr>
          <w:spacing w:val="-2"/>
          <w:sz w:val="30"/>
        </w:rPr>
        <w:t>physical.</w:t>
      </w:r>
    </w:p>
    <w:p w14:paraId="7E001910" w14:textId="77777777" w:rsidR="009A58DB" w:rsidRDefault="00000000">
      <w:pPr>
        <w:pStyle w:val="ListParagraph"/>
        <w:numPr>
          <w:ilvl w:val="0"/>
          <w:numId w:val="118"/>
        </w:numPr>
        <w:tabs>
          <w:tab w:val="left" w:pos="733"/>
        </w:tabs>
        <w:spacing w:before="15" w:line="249" w:lineRule="auto"/>
        <w:ind w:left="360" w:right="359" w:firstLine="0"/>
        <w:jc w:val="both"/>
        <w:rPr>
          <w:sz w:val="30"/>
        </w:rPr>
      </w:pPr>
      <w:r>
        <w:rPr>
          <w:sz w:val="30"/>
        </w:rPr>
        <w:t xml:space="preserve">The appearance-reality dichotomy seems inapplicable to at least some mental entities (e.g., mental images), the reason being that some mental entities </w:t>
      </w:r>
      <w:r>
        <w:rPr>
          <w:i/>
          <w:sz w:val="30"/>
        </w:rPr>
        <w:t xml:space="preserve">are </w:t>
      </w:r>
      <w:r>
        <w:rPr>
          <w:sz w:val="30"/>
        </w:rPr>
        <w:t>appearances.</w:t>
      </w:r>
    </w:p>
    <w:p w14:paraId="7E001911" w14:textId="77777777" w:rsidR="009A58DB" w:rsidRDefault="009A58DB">
      <w:pPr>
        <w:pStyle w:val="BodyText"/>
        <w:spacing w:before="18"/>
        <w:ind w:left="0"/>
        <w:jc w:val="left"/>
      </w:pPr>
    </w:p>
    <w:p w14:paraId="7E001912" w14:textId="77777777" w:rsidR="009A58DB" w:rsidRDefault="00000000">
      <w:pPr>
        <w:pStyle w:val="BodyText"/>
        <w:spacing w:line="249" w:lineRule="auto"/>
        <w:jc w:val="left"/>
      </w:pPr>
      <w:r>
        <w:t>Taken</w:t>
      </w:r>
      <w:r>
        <w:rPr>
          <w:spacing w:val="40"/>
        </w:rPr>
        <w:t xml:space="preserve"> </w:t>
      </w:r>
      <w:r>
        <w:t>together,</w:t>
      </w:r>
      <w:r>
        <w:rPr>
          <w:spacing w:val="40"/>
        </w:rPr>
        <w:t xml:space="preserve"> </w:t>
      </w:r>
      <w:r>
        <w:t>1</w:t>
      </w:r>
      <w:r>
        <w:rPr>
          <w:spacing w:val="40"/>
        </w:rPr>
        <w:t xml:space="preserve"> </w:t>
      </w:r>
      <w:r>
        <w:t>and</w:t>
      </w:r>
      <w:r>
        <w:rPr>
          <w:spacing w:val="40"/>
        </w:rPr>
        <w:t xml:space="preserve"> </w:t>
      </w:r>
      <w:r>
        <w:t>2</w:t>
      </w:r>
      <w:r>
        <w:rPr>
          <w:spacing w:val="40"/>
        </w:rPr>
        <w:t xml:space="preserve"> </w:t>
      </w:r>
      <w:r>
        <w:t>suggest</w:t>
      </w:r>
      <w:r>
        <w:rPr>
          <w:spacing w:val="40"/>
        </w:rPr>
        <w:t xml:space="preserve"> </w:t>
      </w:r>
      <w:r>
        <w:t>that</w:t>
      </w:r>
      <w:r>
        <w:rPr>
          <w:spacing w:val="40"/>
        </w:rPr>
        <w:t xml:space="preserve"> </w:t>
      </w:r>
      <w:r>
        <w:t>the</w:t>
      </w:r>
      <w:r>
        <w:rPr>
          <w:spacing w:val="40"/>
        </w:rPr>
        <w:t xml:space="preserve"> </w:t>
      </w:r>
      <w:r>
        <w:t>apparent</w:t>
      </w:r>
      <w:r>
        <w:rPr>
          <w:spacing w:val="40"/>
        </w:rPr>
        <w:t xml:space="preserve"> </w:t>
      </w:r>
      <w:r>
        <w:t>differences</w:t>
      </w:r>
      <w:r>
        <w:rPr>
          <w:spacing w:val="40"/>
        </w:rPr>
        <w:t xml:space="preserve"> </w:t>
      </w:r>
      <w:r>
        <w:t>between</w:t>
      </w:r>
      <w:r>
        <w:rPr>
          <w:spacing w:val="40"/>
        </w:rPr>
        <w:t xml:space="preserve"> </w:t>
      </w:r>
      <w:r>
        <w:t>the mental and the physical are at least sometimes actual differences.</w:t>
      </w:r>
    </w:p>
    <w:p w14:paraId="7E001913"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1914" w14:textId="77777777" w:rsidR="009A58DB" w:rsidRDefault="009A58DB">
      <w:pPr>
        <w:pStyle w:val="BodyText"/>
        <w:spacing w:before="4"/>
        <w:ind w:left="0"/>
        <w:jc w:val="left"/>
        <w:rPr>
          <w:sz w:val="17"/>
        </w:rPr>
      </w:pPr>
    </w:p>
    <w:p w14:paraId="7E001915"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1916" w14:textId="77777777" w:rsidR="009A58DB" w:rsidRDefault="00000000">
      <w:pPr>
        <w:spacing w:line="503" w:lineRule="exact"/>
        <w:ind w:left="326" w:right="332"/>
        <w:jc w:val="center"/>
        <w:rPr>
          <w:rFonts w:ascii="Calibri Light"/>
          <w:sz w:val="42"/>
        </w:rPr>
      </w:pPr>
      <w:bookmarkStart w:id="331" w:name="_bookmark331"/>
      <w:bookmarkEnd w:id="331"/>
      <w:r>
        <w:rPr>
          <w:rFonts w:ascii="Calibri Light"/>
          <w:sz w:val="42"/>
        </w:rPr>
        <w:lastRenderedPageBreak/>
        <w:t>Chapter</w:t>
      </w:r>
      <w:r>
        <w:rPr>
          <w:rFonts w:ascii="Calibri Light"/>
          <w:spacing w:val="56"/>
          <w:sz w:val="42"/>
        </w:rPr>
        <w:t xml:space="preserve"> </w:t>
      </w:r>
      <w:r>
        <w:rPr>
          <w:rFonts w:ascii="Calibri Light"/>
          <w:spacing w:val="-5"/>
          <w:sz w:val="42"/>
        </w:rPr>
        <w:t>12</w:t>
      </w:r>
    </w:p>
    <w:p w14:paraId="7E001917" w14:textId="77777777" w:rsidR="009A58DB" w:rsidRDefault="00000000">
      <w:pPr>
        <w:spacing w:before="234" w:line="232" w:lineRule="auto"/>
        <w:ind w:left="675" w:right="681"/>
        <w:jc w:val="center"/>
        <w:rPr>
          <w:rFonts w:ascii="Calibri Light"/>
          <w:sz w:val="42"/>
        </w:rPr>
      </w:pPr>
      <w:bookmarkStart w:id="332" w:name="_bookmark332"/>
      <w:bookmarkEnd w:id="332"/>
      <w:r>
        <w:rPr>
          <w:rFonts w:ascii="Calibri Light"/>
          <w:sz w:val="42"/>
        </w:rPr>
        <w:t>Skepticism and the Justification of Inductive</w:t>
      </w:r>
      <w:r>
        <w:rPr>
          <w:rFonts w:ascii="Calibri Light"/>
          <w:spacing w:val="80"/>
          <w:sz w:val="42"/>
        </w:rPr>
        <w:t xml:space="preserve"> </w:t>
      </w:r>
      <w:r>
        <w:rPr>
          <w:rFonts w:ascii="Calibri Light"/>
          <w:spacing w:val="-2"/>
          <w:sz w:val="42"/>
        </w:rPr>
        <w:t>Inference</w:t>
      </w:r>
    </w:p>
    <w:p w14:paraId="7E001918" w14:textId="77777777" w:rsidR="009A58DB" w:rsidRDefault="00000000">
      <w:pPr>
        <w:pStyle w:val="Heading1"/>
        <w:numPr>
          <w:ilvl w:val="0"/>
          <w:numId w:val="117"/>
        </w:numPr>
        <w:tabs>
          <w:tab w:val="left" w:pos="990"/>
        </w:tabs>
        <w:spacing w:before="186"/>
      </w:pPr>
      <w:r>
        <w:t>What</w:t>
      </w:r>
      <w:r>
        <w:rPr>
          <w:spacing w:val="-2"/>
        </w:rPr>
        <w:t xml:space="preserve"> </w:t>
      </w:r>
      <w:r>
        <w:t>is</w:t>
      </w:r>
      <w:r>
        <w:rPr>
          <w:spacing w:val="-2"/>
        </w:rPr>
        <w:t xml:space="preserve"> skepticism?</w:t>
      </w:r>
    </w:p>
    <w:p w14:paraId="7E001919" w14:textId="77777777" w:rsidR="009A58DB" w:rsidRDefault="00000000">
      <w:pPr>
        <w:pStyle w:val="BodyText"/>
        <w:spacing w:before="139" w:line="249" w:lineRule="auto"/>
        <w:ind w:right="361"/>
      </w:pPr>
      <w:r>
        <w:t>A</w:t>
      </w:r>
      <w:r>
        <w:rPr>
          <w:spacing w:val="-1"/>
        </w:rPr>
        <w:t xml:space="preserve"> </w:t>
      </w:r>
      <w:r>
        <w:t xml:space="preserve">skeptic is a doubter, not a disbeliever. For me to be skeptical about Smith’s assertion that he’s an astronaut is for me to doubt that he’s an astronaut. It isn’t for me to be to </w:t>
      </w:r>
      <w:r>
        <w:rPr>
          <w:i/>
        </w:rPr>
        <w:t>dis</w:t>
      </w:r>
      <w:r>
        <w:t xml:space="preserve">believe that assertion—only to question it. If I’m convinced that Smith is not an astronaut, I’m not </w:t>
      </w:r>
      <w:r>
        <w:rPr>
          <w:i/>
        </w:rPr>
        <w:t xml:space="preserve">skeptical </w:t>
      </w:r>
      <w:r>
        <w:t>about his claim. Skepticism is doubt, not disbelief.</w:t>
      </w:r>
    </w:p>
    <w:p w14:paraId="7E00191A" w14:textId="77777777" w:rsidR="009A58DB" w:rsidRDefault="00000000">
      <w:pPr>
        <w:pStyle w:val="BodyText"/>
        <w:spacing w:before="6" w:line="249" w:lineRule="auto"/>
        <w:ind w:right="362" w:firstLine="360"/>
      </w:pPr>
      <w:r>
        <w:t xml:space="preserve">But there is some tendency for skepticism to give way to disbelief. Even if I never definitively learn that Smith is </w:t>
      </w:r>
      <w:r>
        <w:rPr>
          <w:i/>
        </w:rPr>
        <w:t xml:space="preserve">not </w:t>
      </w:r>
      <w:r>
        <w:t>an astronaut, if I continue to find no good reason to believe that he is one, I’m more likely than not to disbelieve</w:t>
      </w:r>
      <w:r>
        <w:rPr>
          <w:spacing w:val="-2"/>
        </w:rPr>
        <w:t xml:space="preserve"> </w:t>
      </w:r>
      <w:r>
        <w:t>it.</w:t>
      </w:r>
      <w:r>
        <w:rPr>
          <w:spacing w:val="-1"/>
        </w:rPr>
        <w:t xml:space="preserve"> </w:t>
      </w:r>
      <w:r>
        <w:t>We</w:t>
      </w:r>
      <w:r>
        <w:rPr>
          <w:spacing w:val="-2"/>
        </w:rPr>
        <w:t xml:space="preserve"> </w:t>
      </w:r>
      <w:r>
        <w:t>feel</w:t>
      </w:r>
      <w:r>
        <w:rPr>
          <w:spacing w:val="-2"/>
        </w:rPr>
        <w:t xml:space="preserve"> </w:t>
      </w:r>
      <w:r>
        <w:t>that,</w:t>
      </w:r>
      <w:r>
        <w:rPr>
          <w:spacing w:val="-2"/>
        </w:rPr>
        <w:t xml:space="preserve"> </w:t>
      </w:r>
      <w:r>
        <w:t>if</w:t>
      </w:r>
      <w:r>
        <w:rPr>
          <w:spacing w:val="-1"/>
        </w:rPr>
        <w:t xml:space="preserve"> </w:t>
      </w:r>
      <w:r>
        <w:t>a</w:t>
      </w:r>
      <w:r>
        <w:rPr>
          <w:spacing w:val="-2"/>
        </w:rPr>
        <w:t xml:space="preserve"> </w:t>
      </w:r>
      <w:r>
        <w:t>claim</w:t>
      </w:r>
      <w:r>
        <w:rPr>
          <w:spacing w:val="-2"/>
        </w:rPr>
        <w:t xml:space="preserve"> </w:t>
      </w:r>
      <w:r>
        <w:t>is</w:t>
      </w:r>
      <w:r>
        <w:rPr>
          <w:spacing w:val="-2"/>
        </w:rPr>
        <w:t xml:space="preserve"> </w:t>
      </w:r>
      <w:r>
        <w:t>true,</w:t>
      </w:r>
      <w:r>
        <w:rPr>
          <w:spacing w:val="-1"/>
        </w:rPr>
        <w:t xml:space="preserve"> </w:t>
      </w:r>
      <w:r>
        <w:t>some</w:t>
      </w:r>
      <w:r>
        <w:rPr>
          <w:spacing w:val="-2"/>
        </w:rPr>
        <w:t xml:space="preserve"> </w:t>
      </w:r>
      <w:r>
        <w:t>positive</w:t>
      </w:r>
      <w:r>
        <w:rPr>
          <w:spacing w:val="-1"/>
        </w:rPr>
        <w:t xml:space="preserve"> </w:t>
      </w:r>
      <w:r>
        <w:t>evidence</w:t>
      </w:r>
      <w:r>
        <w:rPr>
          <w:spacing w:val="-2"/>
        </w:rPr>
        <w:t xml:space="preserve"> </w:t>
      </w:r>
      <w:r>
        <w:t>for</w:t>
      </w:r>
      <w:r>
        <w:rPr>
          <w:spacing w:val="-1"/>
        </w:rPr>
        <w:t xml:space="preserve"> </w:t>
      </w:r>
      <w:r>
        <w:t>it</w:t>
      </w:r>
      <w:r>
        <w:rPr>
          <w:spacing w:val="-2"/>
        </w:rPr>
        <w:t xml:space="preserve"> </w:t>
      </w:r>
      <w:r>
        <w:t>will turn up: the mere absence of counterevidence isn’t enough for us.</w:t>
      </w:r>
    </w:p>
    <w:p w14:paraId="7E00191B" w14:textId="77777777" w:rsidR="009A58DB" w:rsidRDefault="00000000">
      <w:pPr>
        <w:pStyle w:val="BodyText"/>
        <w:spacing w:before="7" w:line="249" w:lineRule="auto"/>
        <w:ind w:right="361" w:firstLine="360"/>
      </w:pPr>
      <w:r>
        <w:t>Does our human tendency to transition from doubt to disbelief have any logical basis? Or is it just another case of emotion and instinct corrupting rationality? It depends on the case. In some cases, but not all, failure to find positive evidence is itself counterevidence; and, in such cases, our tendency to slide form doubt to disbelief does have a logical basis. But, as we’ll see in this very chapter, unless some highly defensible forms of skepticism can be refuted, this claim of mine is simply wrong.</w:t>
      </w:r>
    </w:p>
    <w:p w14:paraId="7E00191C" w14:textId="77777777" w:rsidR="009A58DB" w:rsidRDefault="00000000">
      <w:pPr>
        <w:pStyle w:val="BodyText"/>
        <w:spacing w:before="8" w:line="249" w:lineRule="auto"/>
        <w:ind w:right="361" w:firstLine="360"/>
      </w:pPr>
      <w:r>
        <w:t>Many important debates in philosophy concern the merits of some form of skepticism.</w:t>
      </w:r>
      <w:r>
        <w:rPr>
          <w:spacing w:val="-2"/>
        </w:rPr>
        <w:t xml:space="preserve"> </w:t>
      </w:r>
      <w:r>
        <w:t>Are</w:t>
      </w:r>
      <w:r>
        <w:rPr>
          <w:spacing w:val="-2"/>
        </w:rPr>
        <w:t xml:space="preserve"> </w:t>
      </w:r>
      <w:r>
        <w:t>there</w:t>
      </w:r>
      <w:r>
        <w:rPr>
          <w:spacing w:val="-2"/>
        </w:rPr>
        <w:t xml:space="preserve"> </w:t>
      </w:r>
      <w:r>
        <w:t>non-spatiotemporal</w:t>
      </w:r>
      <w:r>
        <w:rPr>
          <w:spacing w:val="-2"/>
        </w:rPr>
        <w:t xml:space="preserve"> </w:t>
      </w:r>
      <w:r>
        <w:t>entities?</w:t>
      </w:r>
      <w:r>
        <w:rPr>
          <w:spacing w:val="-2"/>
        </w:rPr>
        <w:t xml:space="preserve"> </w:t>
      </w:r>
      <w:r>
        <w:t>(Skepticism</w:t>
      </w:r>
      <w:r>
        <w:rPr>
          <w:spacing w:val="-2"/>
        </w:rPr>
        <w:t xml:space="preserve"> </w:t>
      </w:r>
      <w:r>
        <w:t>about</w:t>
      </w:r>
      <w:r>
        <w:rPr>
          <w:spacing w:val="-2"/>
        </w:rPr>
        <w:t xml:space="preserve"> </w:t>
      </w:r>
      <w:r>
        <w:t>platonic entities.) Do we have beliefs, feelings, etc., that we aren’t aware of having? (Skepticism about unconscious ideation.) Could observation ever provide adequate grounds for believing in unobservables (e.g., electrons) or should</w:t>
      </w:r>
      <w:r>
        <w:rPr>
          <w:spacing w:val="40"/>
        </w:rPr>
        <w:t xml:space="preserve"> </w:t>
      </w:r>
      <w:r>
        <w:t>we regard terms like “electron” as referring to fictions of some kind or as not referring to anything at all? (Skepticism about theoretical entities.)</w:t>
      </w:r>
    </w:p>
    <w:p w14:paraId="7E00191D" w14:textId="77777777" w:rsidR="009A58DB" w:rsidRDefault="00000000">
      <w:pPr>
        <w:pStyle w:val="BodyText"/>
        <w:spacing w:before="9" w:line="249" w:lineRule="auto"/>
        <w:ind w:right="358" w:firstLine="360"/>
      </w:pPr>
      <w:r>
        <w:t xml:space="preserve">As these examples indicate, philosophical skepticisms involve whole </w:t>
      </w:r>
      <w:r>
        <w:rPr>
          <w:i/>
        </w:rPr>
        <w:t xml:space="preserve">categories </w:t>
      </w:r>
      <w:r>
        <w:t xml:space="preserve">of truths. One doubts </w:t>
      </w:r>
      <w:r>
        <w:rPr>
          <w:i/>
        </w:rPr>
        <w:t xml:space="preserve">all </w:t>
      </w:r>
      <w:r>
        <w:t>truths affirming, or presupposing, the existence of non-spatiotemporal entities, unconscious emotions, theoretical entities, etc.</w:t>
      </w:r>
    </w:p>
    <w:p w14:paraId="7E00191E"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91F" w14:textId="77777777" w:rsidR="009A58DB" w:rsidRDefault="00000000">
      <w:pPr>
        <w:pStyle w:val="BodyText"/>
        <w:spacing w:before="65" w:line="249" w:lineRule="auto"/>
        <w:ind w:right="364" w:firstLine="360"/>
        <w:jc w:val="right"/>
      </w:pPr>
      <w:r>
        <w:lastRenderedPageBreak/>
        <w:t xml:space="preserve">In this chapter, we’ll discuss the two most important forms of skepticism: </w:t>
      </w:r>
      <w:r>
        <w:rPr>
          <w:i/>
        </w:rPr>
        <w:t>skepticism</w:t>
      </w:r>
      <w:r>
        <w:rPr>
          <w:i/>
          <w:spacing w:val="-1"/>
        </w:rPr>
        <w:t xml:space="preserve"> </w:t>
      </w:r>
      <w:r>
        <w:rPr>
          <w:i/>
        </w:rPr>
        <w:t>about</w:t>
      </w:r>
      <w:r>
        <w:rPr>
          <w:i/>
          <w:spacing w:val="-1"/>
        </w:rPr>
        <w:t xml:space="preserve"> </w:t>
      </w:r>
      <w:r>
        <w:rPr>
          <w:i/>
        </w:rPr>
        <w:t>the</w:t>
      </w:r>
      <w:r>
        <w:rPr>
          <w:i/>
          <w:spacing w:val="-1"/>
        </w:rPr>
        <w:t xml:space="preserve"> </w:t>
      </w:r>
      <w:r>
        <w:rPr>
          <w:i/>
        </w:rPr>
        <w:t>external</w:t>
      </w:r>
      <w:r>
        <w:rPr>
          <w:i/>
          <w:spacing w:val="-1"/>
        </w:rPr>
        <w:t xml:space="preserve"> </w:t>
      </w:r>
      <w:r>
        <w:rPr>
          <w:i/>
        </w:rPr>
        <w:t xml:space="preserve">world </w:t>
      </w:r>
      <w:r>
        <w:t xml:space="preserve">and </w:t>
      </w:r>
      <w:r>
        <w:rPr>
          <w:i/>
        </w:rPr>
        <w:t>skepticism</w:t>
      </w:r>
      <w:r>
        <w:rPr>
          <w:i/>
          <w:spacing w:val="-1"/>
        </w:rPr>
        <w:t xml:space="preserve"> </w:t>
      </w:r>
      <w:r>
        <w:rPr>
          <w:i/>
        </w:rPr>
        <w:t>about</w:t>
      </w:r>
      <w:r>
        <w:rPr>
          <w:i/>
          <w:spacing w:val="-1"/>
        </w:rPr>
        <w:t xml:space="preserve"> </w:t>
      </w:r>
      <w:r>
        <w:rPr>
          <w:i/>
        </w:rPr>
        <w:t>inductive</w:t>
      </w:r>
      <w:r>
        <w:rPr>
          <w:i/>
          <w:spacing w:val="-1"/>
        </w:rPr>
        <w:t xml:space="preserve"> </w:t>
      </w:r>
      <w:r>
        <w:rPr>
          <w:i/>
        </w:rPr>
        <w:t xml:space="preserve">inference. </w:t>
      </w:r>
      <w:r>
        <w:t>To</w:t>
      </w:r>
      <w:r>
        <w:rPr>
          <w:spacing w:val="32"/>
        </w:rPr>
        <w:t xml:space="preserve"> </w:t>
      </w:r>
      <w:r>
        <w:t>be</w:t>
      </w:r>
      <w:r>
        <w:rPr>
          <w:spacing w:val="32"/>
        </w:rPr>
        <w:t xml:space="preserve"> </w:t>
      </w:r>
      <w:r>
        <w:t>a</w:t>
      </w:r>
      <w:r>
        <w:rPr>
          <w:spacing w:val="32"/>
        </w:rPr>
        <w:t xml:space="preserve"> </w:t>
      </w:r>
      <w:r>
        <w:t>skeptic</w:t>
      </w:r>
      <w:r>
        <w:rPr>
          <w:spacing w:val="32"/>
        </w:rPr>
        <w:t xml:space="preserve"> </w:t>
      </w:r>
      <w:r>
        <w:t>about</w:t>
      </w:r>
      <w:r>
        <w:rPr>
          <w:spacing w:val="32"/>
        </w:rPr>
        <w:t xml:space="preserve"> </w:t>
      </w:r>
      <w:r>
        <w:t>the</w:t>
      </w:r>
      <w:r>
        <w:rPr>
          <w:spacing w:val="32"/>
        </w:rPr>
        <w:t xml:space="preserve"> </w:t>
      </w:r>
      <w:r>
        <w:t>external</w:t>
      </w:r>
      <w:r>
        <w:rPr>
          <w:spacing w:val="32"/>
        </w:rPr>
        <w:t xml:space="preserve"> </w:t>
      </w:r>
      <w:r>
        <w:t>world</w:t>
      </w:r>
      <w:r>
        <w:rPr>
          <w:spacing w:val="32"/>
        </w:rPr>
        <w:t xml:space="preserve"> </w:t>
      </w:r>
      <w:r>
        <w:t>is</w:t>
      </w:r>
      <w:r>
        <w:rPr>
          <w:spacing w:val="32"/>
        </w:rPr>
        <w:t xml:space="preserve"> </w:t>
      </w:r>
      <w:r>
        <w:t>to</w:t>
      </w:r>
      <w:r>
        <w:rPr>
          <w:spacing w:val="32"/>
        </w:rPr>
        <w:t xml:space="preserve"> </w:t>
      </w:r>
      <w:r>
        <w:t>doubt</w:t>
      </w:r>
      <w:r>
        <w:rPr>
          <w:spacing w:val="32"/>
        </w:rPr>
        <w:t xml:space="preserve"> </w:t>
      </w:r>
      <w:r>
        <w:t>that</w:t>
      </w:r>
      <w:r>
        <w:rPr>
          <w:spacing w:val="32"/>
        </w:rPr>
        <w:t xml:space="preserve"> </w:t>
      </w:r>
      <w:r>
        <w:t>what</w:t>
      </w:r>
      <w:r>
        <w:rPr>
          <w:spacing w:val="32"/>
        </w:rPr>
        <w:t xml:space="preserve"> </w:t>
      </w:r>
      <w:r>
        <w:t>our</w:t>
      </w:r>
      <w:r>
        <w:rPr>
          <w:spacing w:val="32"/>
        </w:rPr>
        <w:t xml:space="preserve"> </w:t>
      </w:r>
      <w:r>
        <w:t>senses are telling us is accurate. One is a skeptic of this kind if one believes there to be</w:t>
      </w:r>
      <w:r>
        <w:rPr>
          <w:spacing w:val="12"/>
        </w:rPr>
        <w:t xml:space="preserve"> </w:t>
      </w:r>
      <w:r>
        <w:t>no</w:t>
      </w:r>
      <w:r>
        <w:rPr>
          <w:spacing w:val="14"/>
        </w:rPr>
        <w:t xml:space="preserve"> </w:t>
      </w:r>
      <w:r>
        <w:t>good</w:t>
      </w:r>
      <w:r>
        <w:rPr>
          <w:spacing w:val="15"/>
        </w:rPr>
        <w:t xml:space="preserve"> </w:t>
      </w:r>
      <w:r>
        <w:t>reason</w:t>
      </w:r>
      <w:r>
        <w:rPr>
          <w:spacing w:val="14"/>
        </w:rPr>
        <w:t xml:space="preserve"> </w:t>
      </w:r>
      <w:r>
        <w:t>to</w:t>
      </w:r>
      <w:r>
        <w:rPr>
          <w:spacing w:val="14"/>
        </w:rPr>
        <w:t xml:space="preserve"> </w:t>
      </w:r>
      <w:r>
        <w:t>believe</w:t>
      </w:r>
      <w:r>
        <w:rPr>
          <w:spacing w:val="15"/>
        </w:rPr>
        <w:t xml:space="preserve"> </w:t>
      </w:r>
      <w:r>
        <w:t>that</w:t>
      </w:r>
      <w:r>
        <w:rPr>
          <w:spacing w:val="14"/>
        </w:rPr>
        <w:t xml:space="preserve"> </w:t>
      </w:r>
      <w:r>
        <w:t>one’s</w:t>
      </w:r>
      <w:r>
        <w:rPr>
          <w:spacing w:val="14"/>
        </w:rPr>
        <w:t xml:space="preserve"> </w:t>
      </w:r>
      <w:r>
        <w:t>sense-perceptions</w:t>
      </w:r>
      <w:r>
        <w:rPr>
          <w:spacing w:val="15"/>
        </w:rPr>
        <w:t xml:space="preserve"> </w:t>
      </w:r>
      <w:r>
        <w:t>are</w:t>
      </w:r>
      <w:r>
        <w:rPr>
          <w:spacing w:val="14"/>
        </w:rPr>
        <w:t xml:space="preserve"> </w:t>
      </w:r>
      <w:r>
        <w:t>anything</w:t>
      </w:r>
      <w:r>
        <w:rPr>
          <w:spacing w:val="15"/>
        </w:rPr>
        <w:t xml:space="preserve"> </w:t>
      </w:r>
      <w:r>
        <w:rPr>
          <w:spacing w:val="-2"/>
        </w:rPr>
        <w:t>other</w:t>
      </w:r>
    </w:p>
    <w:p w14:paraId="7E001920" w14:textId="77777777" w:rsidR="009A58DB" w:rsidRDefault="00000000">
      <w:pPr>
        <w:pStyle w:val="BodyText"/>
        <w:spacing w:before="6"/>
      </w:pPr>
      <w:r>
        <w:t>than</w:t>
      </w:r>
      <w:r>
        <w:rPr>
          <w:spacing w:val="-2"/>
        </w:rPr>
        <w:t xml:space="preserve"> hallucinations.</w:t>
      </w:r>
    </w:p>
    <w:p w14:paraId="7E001921" w14:textId="77777777" w:rsidR="009A58DB" w:rsidRDefault="00000000">
      <w:pPr>
        <w:pStyle w:val="BodyText"/>
        <w:spacing w:before="15" w:line="249" w:lineRule="auto"/>
        <w:ind w:right="358" w:firstLine="360"/>
      </w:pPr>
      <w:r>
        <w:t xml:space="preserve">A bit of background is needed to say what it is for one to be a skeptic about inductive inference. Some knowledge is direct. One doesn’t have to figure it out—one just knows it. Somebody who is experiencing a searing pain knows it, and he didn’t have to figure it out. But much knowledge is indirect. Einstein didn’t “just know” that a body’s mass increases as its speed increases; he had to figure it out. In other words, he had to </w:t>
      </w:r>
      <w:r>
        <w:rPr>
          <w:i/>
        </w:rPr>
        <w:t xml:space="preserve">infer </w:t>
      </w:r>
      <w:r>
        <w:t>it. So for knowledge to be indirect is for it to be acquired through inference.</w:t>
      </w:r>
    </w:p>
    <w:p w14:paraId="7E001922" w14:textId="77777777" w:rsidR="009A58DB" w:rsidRDefault="00000000">
      <w:pPr>
        <w:pStyle w:val="BodyText"/>
        <w:spacing w:before="8" w:line="249" w:lineRule="auto"/>
        <w:ind w:right="361" w:firstLine="360"/>
      </w:pPr>
      <w:r>
        <w:t>There are two parts to any inference: the premises and the conclusion. The conclusion is the belief arrived at—the thing that, when the inference leads from the right premises to the right conclusion in the right way, is “figured out.” The premises are the pre-existing beliefs or assumptions on the basis of which one arrives at the conclusion.</w:t>
      </w:r>
    </w:p>
    <w:p w14:paraId="7E001923" w14:textId="77777777" w:rsidR="009A58DB" w:rsidRDefault="00000000">
      <w:pPr>
        <w:pStyle w:val="BodyText"/>
        <w:spacing w:before="7" w:line="249" w:lineRule="auto"/>
        <w:ind w:right="361" w:firstLine="360"/>
      </w:pPr>
      <w:r>
        <w:t>There are two kinds of inferences: deductive and inductive. An inference</w:t>
      </w:r>
      <w:r>
        <w:rPr>
          <w:spacing w:val="40"/>
        </w:rPr>
        <w:t xml:space="preserve"> </w:t>
      </w:r>
      <w:r>
        <w:t>is deductive if, supposing that one’s premises are true and one’s reasoning non-faulty, it is impossible for one’s conclusion to be false. If my premise is that x is a square and my conclusion is that x has four sides, it’s logically impossible for my conclusion to be false if my premise is true. So this would be a case of a deductive inference. An inference is inductive if, supposing</w:t>
      </w:r>
      <w:r>
        <w:rPr>
          <w:spacing w:val="40"/>
        </w:rPr>
        <w:t xml:space="preserve"> </w:t>
      </w:r>
      <w:r>
        <w:t xml:space="preserve">that one’s premises are true and one’s reasoning non-faulty, it </w:t>
      </w:r>
      <w:r>
        <w:rPr>
          <w:i/>
        </w:rPr>
        <w:t xml:space="preserve">is </w:t>
      </w:r>
      <w:r>
        <w:t xml:space="preserve">possible for one’s conclusion to be false. If my premise is that, in the 35 years I’ve been drinking tap water, I have never become sick as a result of doing so, and my conclusion is that I won’t become sick as a result of drinking the glass of tap water in front of me, my conclusion </w:t>
      </w:r>
      <w:r>
        <w:rPr>
          <w:i/>
        </w:rPr>
        <w:t>may</w:t>
      </w:r>
      <w:r>
        <w:rPr>
          <w:i/>
          <w:spacing w:val="-3"/>
        </w:rPr>
        <w:t xml:space="preserve"> </w:t>
      </w:r>
      <w:r>
        <w:t>be false. So this would be a case of an inductive inference.</w:t>
      </w:r>
    </w:p>
    <w:p w14:paraId="7E001924" w14:textId="77777777" w:rsidR="009A58DB" w:rsidRDefault="00000000">
      <w:pPr>
        <w:pStyle w:val="BodyText"/>
        <w:spacing w:before="14" w:line="249" w:lineRule="auto"/>
        <w:ind w:right="363" w:firstLine="360"/>
      </w:pPr>
      <w:r>
        <w:t>A skeptic about inductive inference holds that it is impossible, as a matter of principle, to learn anything through non-deductive inference. He holds, in other words, that one cannot acquire knowledge through inductive inference. All knowledge is either direct or is arrived at through deductive inference.</w:t>
      </w:r>
    </w:p>
    <w:p w14:paraId="7E001925" w14:textId="77777777" w:rsidR="009A58DB" w:rsidRDefault="00000000">
      <w:pPr>
        <w:pStyle w:val="BodyText"/>
        <w:spacing w:before="5" w:line="249" w:lineRule="auto"/>
        <w:ind w:right="365" w:firstLine="360"/>
      </w:pPr>
      <w:r>
        <w:t>If</w:t>
      </w:r>
      <w:r>
        <w:rPr>
          <w:spacing w:val="-1"/>
        </w:rPr>
        <w:t xml:space="preserve"> </w:t>
      </w:r>
      <w:r>
        <w:t>this</w:t>
      </w:r>
      <w:r>
        <w:rPr>
          <w:spacing w:val="-1"/>
        </w:rPr>
        <w:t xml:space="preserve"> </w:t>
      </w:r>
      <w:r>
        <w:t>is</w:t>
      </w:r>
      <w:r>
        <w:rPr>
          <w:spacing w:val="-1"/>
        </w:rPr>
        <w:t xml:space="preserve"> </w:t>
      </w:r>
      <w:r>
        <w:t>right,</w:t>
      </w:r>
      <w:r>
        <w:rPr>
          <w:spacing w:val="-1"/>
        </w:rPr>
        <w:t xml:space="preserve"> </w:t>
      </w:r>
      <w:r>
        <w:t>then</w:t>
      </w:r>
      <w:r>
        <w:rPr>
          <w:spacing w:val="-1"/>
        </w:rPr>
        <w:t xml:space="preserve"> </w:t>
      </w:r>
      <w:r>
        <w:t>we</w:t>
      </w:r>
      <w:r>
        <w:rPr>
          <w:spacing w:val="-1"/>
        </w:rPr>
        <w:t xml:space="preserve"> </w:t>
      </w:r>
      <w:r>
        <w:t>know</w:t>
      </w:r>
      <w:r>
        <w:rPr>
          <w:spacing w:val="-1"/>
        </w:rPr>
        <w:t xml:space="preserve"> </w:t>
      </w:r>
      <w:r>
        <w:t>only</w:t>
      </w:r>
      <w:r>
        <w:rPr>
          <w:spacing w:val="-1"/>
        </w:rPr>
        <w:t xml:space="preserve"> </w:t>
      </w:r>
      <w:r>
        <w:t>an</w:t>
      </w:r>
      <w:r>
        <w:rPr>
          <w:spacing w:val="-1"/>
        </w:rPr>
        <w:t xml:space="preserve"> </w:t>
      </w:r>
      <w:r>
        <w:t>infinitesimally</w:t>
      </w:r>
      <w:r>
        <w:rPr>
          <w:spacing w:val="-1"/>
        </w:rPr>
        <w:t xml:space="preserve"> </w:t>
      </w:r>
      <w:r>
        <w:t>small</w:t>
      </w:r>
      <w:r>
        <w:rPr>
          <w:spacing w:val="-1"/>
        </w:rPr>
        <w:t xml:space="preserve"> </w:t>
      </w:r>
      <w:r>
        <w:t>fraction</w:t>
      </w:r>
      <w:r>
        <w:rPr>
          <w:spacing w:val="-1"/>
        </w:rPr>
        <w:t xml:space="preserve"> </w:t>
      </w:r>
      <w:r>
        <w:t>of</w:t>
      </w:r>
      <w:r>
        <w:rPr>
          <w:spacing w:val="-1"/>
        </w:rPr>
        <w:t xml:space="preserve"> </w:t>
      </w:r>
      <w:r>
        <w:t>what we</w:t>
      </w:r>
      <w:r>
        <w:rPr>
          <w:spacing w:val="64"/>
        </w:rPr>
        <w:t xml:space="preserve"> </w:t>
      </w:r>
      <w:r>
        <w:t>think</w:t>
      </w:r>
      <w:r>
        <w:rPr>
          <w:spacing w:val="67"/>
        </w:rPr>
        <w:t xml:space="preserve"> </w:t>
      </w:r>
      <w:r>
        <w:t>we</w:t>
      </w:r>
      <w:r>
        <w:rPr>
          <w:spacing w:val="66"/>
        </w:rPr>
        <w:t xml:space="preserve"> </w:t>
      </w:r>
      <w:r>
        <w:t>know.</w:t>
      </w:r>
      <w:r>
        <w:rPr>
          <w:spacing w:val="67"/>
        </w:rPr>
        <w:t xml:space="preserve"> </w:t>
      </w:r>
      <w:r>
        <w:t>This</w:t>
      </w:r>
      <w:r>
        <w:rPr>
          <w:spacing w:val="66"/>
        </w:rPr>
        <w:t xml:space="preserve"> </w:t>
      </w:r>
      <w:r>
        <w:t>is</w:t>
      </w:r>
      <w:r>
        <w:rPr>
          <w:spacing w:val="67"/>
        </w:rPr>
        <w:t xml:space="preserve"> </w:t>
      </w:r>
      <w:r>
        <w:t>because,</w:t>
      </w:r>
      <w:r>
        <w:rPr>
          <w:spacing w:val="66"/>
        </w:rPr>
        <w:t xml:space="preserve"> </w:t>
      </w:r>
      <w:r>
        <w:t>for</w:t>
      </w:r>
      <w:r>
        <w:rPr>
          <w:spacing w:val="67"/>
        </w:rPr>
        <w:t xml:space="preserve"> </w:t>
      </w:r>
      <w:r>
        <w:t>reasons</w:t>
      </w:r>
      <w:r>
        <w:rPr>
          <w:spacing w:val="66"/>
        </w:rPr>
        <w:t xml:space="preserve"> </w:t>
      </w:r>
      <w:r>
        <w:t>thoroughly</w:t>
      </w:r>
      <w:r>
        <w:rPr>
          <w:spacing w:val="67"/>
        </w:rPr>
        <w:t xml:space="preserve"> </w:t>
      </w:r>
      <w:r>
        <w:t>discussed</w:t>
      </w:r>
      <w:r>
        <w:rPr>
          <w:spacing w:val="67"/>
        </w:rPr>
        <w:t xml:space="preserve"> </w:t>
      </w:r>
      <w:r>
        <w:rPr>
          <w:spacing w:val="-5"/>
        </w:rPr>
        <w:t>in</w:t>
      </w:r>
    </w:p>
    <w:p w14:paraId="7E00192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27" w14:textId="77777777" w:rsidR="009A58DB" w:rsidRDefault="00000000">
      <w:pPr>
        <w:pStyle w:val="BodyText"/>
        <w:spacing w:before="65" w:line="249" w:lineRule="auto"/>
        <w:jc w:val="left"/>
      </w:pPr>
      <w:r>
        <w:lastRenderedPageBreak/>
        <w:t>Chapter 10, no knowledge about the external world is direct, and only some knowledge of ourselves is direct.</w:t>
      </w:r>
    </w:p>
    <w:p w14:paraId="7E001928" w14:textId="77777777" w:rsidR="009A58DB" w:rsidRDefault="00000000">
      <w:pPr>
        <w:pStyle w:val="BodyText"/>
        <w:spacing w:before="2"/>
        <w:ind w:left="720"/>
        <w:jc w:val="left"/>
      </w:pPr>
      <w:r>
        <w:t>We</w:t>
      </w:r>
      <w:r>
        <w:rPr>
          <w:spacing w:val="-7"/>
        </w:rPr>
        <w:t xml:space="preserve"> </w:t>
      </w:r>
      <w:r>
        <w:t>will</w:t>
      </w:r>
      <w:r>
        <w:rPr>
          <w:spacing w:val="-4"/>
        </w:rPr>
        <w:t xml:space="preserve"> </w:t>
      </w:r>
      <w:r>
        <w:t>start</w:t>
      </w:r>
      <w:r>
        <w:rPr>
          <w:spacing w:val="-4"/>
        </w:rPr>
        <w:t xml:space="preserve"> </w:t>
      </w:r>
      <w:r>
        <w:t>by</w:t>
      </w:r>
      <w:r>
        <w:rPr>
          <w:spacing w:val="-3"/>
        </w:rPr>
        <w:t xml:space="preserve"> </w:t>
      </w:r>
      <w:r>
        <w:t>discussing</w:t>
      </w:r>
      <w:r>
        <w:rPr>
          <w:spacing w:val="-3"/>
        </w:rPr>
        <w:t xml:space="preserve"> </w:t>
      </w:r>
      <w:r>
        <w:t>skepticism</w:t>
      </w:r>
      <w:r>
        <w:rPr>
          <w:spacing w:val="-4"/>
        </w:rPr>
        <w:t xml:space="preserve"> </w:t>
      </w:r>
      <w:r>
        <w:t>about</w:t>
      </w:r>
      <w:r>
        <w:rPr>
          <w:spacing w:val="-4"/>
        </w:rPr>
        <w:t xml:space="preserve"> </w:t>
      </w:r>
      <w:r>
        <w:rPr>
          <w:spacing w:val="-2"/>
        </w:rPr>
        <w:t>induction.</w:t>
      </w:r>
    </w:p>
    <w:p w14:paraId="7E001929" w14:textId="77777777" w:rsidR="009A58DB" w:rsidRDefault="00000000">
      <w:pPr>
        <w:pStyle w:val="Heading1"/>
        <w:numPr>
          <w:ilvl w:val="0"/>
          <w:numId w:val="117"/>
        </w:numPr>
        <w:tabs>
          <w:tab w:val="left" w:pos="990"/>
        </w:tabs>
      </w:pPr>
      <w:r>
        <w:t>Skepticism</w:t>
      </w:r>
      <w:r>
        <w:rPr>
          <w:spacing w:val="-7"/>
        </w:rPr>
        <w:t xml:space="preserve"> </w:t>
      </w:r>
      <w:r>
        <w:t>about</w:t>
      </w:r>
      <w:r>
        <w:rPr>
          <w:spacing w:val="-6"/>
        </w:rPr>
        <w:t xml:space="preserve"> </w:t>
      </w:r>
      <w:r>
        <w:rPr>
          <w:spacing w:val="-2"/>
        </w:rPr>
        <w:t>induction</w:t>
      </w:r>
    </w:p>
    <w:p w14:paraId="7E00192A" w14:textId="77777777" w:rsidR="009A58DB" w:rsidRDefault="00000000">
      <w:pPr>
        <w:pStyle w:val="BodyText"/>
        <w:spacing w:before="139" w:line="249" w:lineRule="auto"/>
        <w:jc w:val="left"/>
      </w:pPr>
      <w:r>
        <w:t>David</w:t>
      </w:r>
      <w:r>
        <w:rPr>
          <w:spacing w:val="80"/>
        </w:rPr>
        <w:t xml:space="preserve"> </w:t>
      </w:r>
      <w:r>
        <w:t>Hume</w:t>
      </w:r>
      <w:r>
        <w:rPr>
          <w:spacing w:val="80"/>
        </w:rPr>
        <w:t xml:space="preserve"> </w:t>
      </w:r>
      <w:r>
        <w:t>made</w:t>
      </w:r>
      <w:r>
        <w:rPr>
          <w:spacing w:val="80"/>
        </w:rPr>
        <w:t xml:space="preserve"> </w:t>
      </w:r>
      <w:r>
        <w:t>it</w:t>
      </w:r>
      <w:r>
        <w:rPr>
          <w:spacing w:val="80"/>
        </w:rPr>
        <w:t xml:space="preserve"> </w:t>
      </w:r>
      <w:r>
        <w:t>clear</w:t>
      </w:r>
      <w:r>
        <w:rPr>
          <w:spacing w:val="80"/>
        </w:rPr>
        <w:t xml:space="preserve"> </w:t>
      </w:r>
      <w:r>
        <w:t>why</w:t>
      </w:r>
      <w:r>
        <w:rPr>
          <w:spacing w:val="80"/>
        </w:rPr>
        <w:t xml:space="preserve"> </w:t>
      </w:r>
      <w:r>
        <w:t>it</w:t>
      </w:r>
      <w:r>
        <w:rPr>
          <w:spacing w:val="80"/>
        </w:rPr>
        <w:t xml:space="preserve"> </w:t>
      </w:r>
      <w:r>
        <w:t>may</w:t>
      </w:r>
      <w:r>
        <w:rPr>
          <w:spacing w:val="80"/>
        </w:rPr>
        <w:t xml:space="preserve"> </w:t>
      </w:r>
      <w:r>
        <w:t>be</w:t>
      </w:r>
      <w:r>
        <w:rPr>
          <w:spacing w:val="80"/>
        </w:rPr>
        <w:t xml:space="preserve"> </w:t>
      </w:r>
      <w:r>
        <w:t>doubted</w:t>
      </w:r>
      <w:r>
        <w:rPr>
          <w:spacing w:val="80"/>
        </w:rPr>
        <w:t xml:space="preserve"> </w:t>
      </w:r>
      <w:r>
        <w:t>whether</w:t>
      </w:r>
      <w:r>
        <w:rPr>
          <w:spacing w:val="80"/>
        </w:rPr>
        <w:t xml:space="preserve"> </w:t>
      </w:r>
      <w:r>
        <w:t>inductive inference ever leads to knowledge. Here is Hume’s argument:</w:t>
      </w:r>
    </w:p>
    <w:p w14:paraId="7E00192B" w14:textId="77777777" w:rsidR="009A58DB" w:rsidRDefault="009A58DB">
      <w:pPr>
        <w:pStyle w:val="BodyText"/>
        <w:spacing w:before="17"/>
        <w:ind w:left="0"/>
        <w:jc w:val="left"/>
      </w:pPr>
    </w:p>
    <w:p w14:paraId="7E00192C" w14:textId="77777777" w:rsidR="009A58DB" w:rsidRDefault="00000000">
      <w:pPr>
        <w:pStyle w:val="BodyText"/>
        <w:spacing w:before="1" w:line="249" w:lineRule="auto"/>
        <w:ind w:left="720" w:right="718" w:firstLine="360"/>
      </w:pPr>
      <w:r>
        <w:t>(H</w:t>
      </w:r>
      <w:bookmarkStart w:id="333" w:name="_bookmark333"/>
      <w:bookmarkEnd w:id="333"/>
      <w:r>
        <w:t>A</w:t>
      </w:r>
      <w:r>
        <w:rPr>
          <w:color w:val="0562C1"/>
          <w:position w:val="21"/>
          <w:u w:val="single" w:color="0562C1"/>
        </w:rPr>
        <w:t>[227]</w:t>
      </w:r>
      <w:r>
        <w:t xml:space="preserve">) Consider some inductive inference—for example, “the sun has always risen in the past; therefore, it will rise tomorrow.” First of all, this argument is not </w:t>
      </w:r>
      <w:r>
        <w:rPr>
          <w:i/>
        </w:rPr>
        <w:t xml:space="preserve">deductive, </w:t>
      </w:r>
      <w:r>
        <w:t>since, even if the premise is granted, it isn’t a theoretical impossibility that the conclusion will be false. The sun might explode, after all. So the conclusion is, at best, probable. That’s step 1.</w:t>
      </w:r>
    </w:p>
    <w:p w14:paraId="7E00192D" w14:textId="77777777" w:rsidR="009A58DB" w:rsidRDefault="00000000">
      <w:pPr>
        <w:pStyle w:val="BodyText"/>
        <w:spacing w:before="7" w:line="249" w:lineRule="auto"/>
        <w:ind w:left="720" w:right="717" w:firstLine="360"/>
      </w:pPr>
      <w:r>
        <w:t xml:space="preserve">Here’s step 2. Given that the connection between premise and conclusion isn’t deductive, we must ask: </w:t>
      </w:r>
      <w:r>
        <w:rPr>
          <w:i/>
        </w:rPr>
        <w:t xml:space="preserve">how </w:t>
      </w:r>
      <w:r>
        <w:t>does the premise warrant the conclusion? In other words, what reason does the (supposed) truth of the premise give us for accepting the conclusion?</w:t>
      </w:r>
    </w:p>
    <w:p w14:paraId="7E00192E" w14:textId="77777777" w:rsidR="009A58DB" w:rsidRDefault="00000000">
      <w:pPr>
        <w:pStyle w:val="BodyText"/>
        <w:spacing w:before="5" w:line="249" w:lineRule="auto"/>
        <w:ind w:left="720" w:right="719" w:firstLine="360"/>
      </w:pPr>
      <w:r>
        <w:t>Here’s an answer that seems tempting at first: “The past resembles the future; the known resembles the unknown. Nature is uniform. So given that such and such has been the case until now, we may infer that such and such will continue to be the case. Given that, until now, pinewood has floated, metal has expanded when heated, water has quenched thirst, etc., it’s reasonable to conclude that pinewood will continue to float, and so on. It is thus the principle that nature is uniform—or,</w:t>
      </w:r>
      <w:r>
        <w:rPr>
          <w:spacing w:val="-4"/>
        </w:rPr>
        <w:t xml:space="preserve"> </w:t>
      </w:r>
      <w:r>
        <w:t>as</w:t>
      </w:r>
      <w:r>
        <w:rPr>
          <w:spacing w:val="-5"/>
        </w:rPr>
        <w:t xml:space="preserve"> </w:t>
      </w:r>
      <w:r>
        <w:t>we’ll</w:t>
      </w:r>
      <w:r>
        <w:rPr>
          <w:spacing w:val="-5"/>
        </w:rPr>
        <w:t xml:space="preserve"> </w:t>
      </w:r>
      <w:r>
        <w:t>call</w:t>
      </w:r>
      <w:r>
        <w:rPr>
          <w:spacing w:val="-5"/>
        </w:rPr>
        <w:t xml:space="preserve"> </w:t>
      </w:r>
      <w:r>
        <w:t>it,</w:t>
      </w:r>
      <w:r>
        <w:rPr>
          <w:spacing w:val="-4"/>
        </w:rPr>
        <w:t xml:space="preserve"> </w:t>
      </w:r>
      <w:r>
        <w:t>the</w:t>
      </w:r>
      <w:r>
        <w:rPr>
          <w:spacing w:val="-5"/>
        </w:rPr>
        <w:t xml:space="preserve"> </w:t>
      </w:r>
      <w:r>
        <w:rPr>
          <w:i/>
        </w:rPr>
        <w:t>uniformity</w:t>
      </w:r>
      <w:r>
        <w:rPr>
          <w:i/>
          <w:spacing w:val="-5"/>
        </w:rPr>
        <w:t xml:space="preserve"> </w:t>
      </w:r>
      <w:r>
        <w:rPr>
          <w:i/>
        </w:rPr>
        <w:t>principle</w:t>
      </w:r>
      <w:r>
        <w:rPr>
          <w:i/>
          <w:spacing w:val="-5"/>
        </w:rPr>
        <w:t xml:space="preserve"> </w:t>
      </w:r>
      <w:r>
        <w:t>(UP)—that allows us to make rational, non-deductive inferences about the unknown on</w:t>
      </w:r>
      <w:r>
        <w:rPr>
          <w:spacing w:val="40"/>
        </w:rPr>
        <w:t xml:space="preserve"> </w:t>
      </w:r>
      <w:r>
        <w:t>the basis of the known.”</w:t>
      </w:r>
    </w:p>
    <w:p w14:paraId="7E00192F" w14:textId="77777777" w:rsidR="009A58DB" w:rsidRDefault="00000000">
      <w:pPr>
        <w:pStyle w:val="BodyText"/>
        <w:spacing w:before="12" w:line="249" w:lineRule="auto"/>
        <w:ind w:left="720" w:right="717" w:firstLine="360"/>
      </w:pPr>
      <w:r>
        <w:t xml:space="preserve">But this argument is no good. No one directly knows that UP holds for all places and times. At most, one knows that it </w:t>
      </w:r>
      <w:r>
        <w:rPr>
          <w:i/>
        </w:rPr>
        <w:t xml:space="preserve">has </w:t>
      </w:r>
      <w:r>
        <w:t>held for the fragments of nature that one has personally known of. One doesn’t directly know that it held of past objects that one didn’t know of; and one doesn’t directly know that it will hold of future objects that one</w:t>
      </w:r>
      <w:r>
        <w:rPr>
          <w:spacing w:val="40"/>
        </w:rPr>
        <w:t xml:space="preserve"> </w:t>
      </w:r>
      <w:r>
        <w:t>will know or of future objects that one won’t know of. Any such knowledge must be indirect (i.e., must be inferential). The inference in</w:t>
      </w:r>
    </w:p>
    <w:p w14:paraId="7E00193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31" w14:textId="77777777" w:rsidR="009A58DB" w:rsidRDefault="00000000">
      <w:pPr>
        <w:pStyle w:val="BodyText"/>
        <w:spacing w:before="60" w:line="249" w:lineRule="auto"/>
        <w:ind w:left="720" w:right="719"/>
        <w:rPr>
          <w:position w:val="21"/>
        </w:rPr>
      </w:pPr>
      <w:r>
        <w:lastRenderedPageBreak/>
        <w:t xml:space="preserve">question can’t be deductive. Given only that the ravens thus far known to one have been black, it doesn’t follow </w:t>
      </w:r>
      <w:r>
        <w:rPr>
          <w:i/>
        </w:rPr>
        <w:t xml:space="preserve">deductively </w:t>
      </w:r>
      <w:r>
        <w:t xml:space="preserve">that ravens not (yet) known to one are also black. In general, given only that such and such has held of the things I’ve known of, it obviously doesn’t </w:t>
      </w:r>
      <w:r>
        <w:rPr>
          <w:i/>
        </w:rPr>
        <w:t>deductively</w:t>
      </w:r>
      <w:r>
        <w:rPr>
          <w:i/>
          <w:spacing w:val="-4"/>
        </w:rPr>
        <w:t xml:space="preserve"> </w:t>
      </w:r>
      <w:r>
        <w:t xml:space="preserve">follow that it holds of the things that I haven’t (yet) known of. The inference must be inductive. But if it’s inductive, then it goes through only on the condition that UP is granted. But since that very inference must go through </w:t>
      </w:r>
      <w:r>
        <w:rPr>
          <w:i/>
        </w:rPr>
        <w:t xml:space="preserve">in order </w:t>
      </w:r>
      <w:r>
        <w:t>for UP to be granted, it doesn’t go through and, what is more, UP cannot be granted and, finally, there’s</w:t>
      </w:r>
      <w:r>
        <w:rPr>
          <w:spacing w:val="40"/>
        </w:rPr>
        <w:t xml:space="preserve"> </w:t>
      </w:r>
      <w:r>
        <w:t>no way to justify inductive inference</w:t>
      </w:r>
      <w:bookmarkStart w:id="334" w:name="_bookmark334"/>
      <w:bookmarkEnd w:id="334"/>
      <w:r>
        <w:t>.</w:t>
      </w:r>
      <w:r>
        <w:rPr>
          <w:color w:val="0562C1"/>
          <w:position w:val="21"/>
          <w:u w:val="single" w:color="0562C1"/>
        </w:rPr>
        <w:t>[228]</w:t>
      </w:r>
    </w:p>
    <w:p w14:paraId="7E001932" w14:textId="77777777" w:rsidR="009A58DB" w:rsidRDefault="00000000">
      <w:pPr>
        <w:pStyle w:val="Heading1"/>
        <w:numPr>
          <w:ilvl w:val="0"/>
          <w:numId w:val="117"/>
        </w:numPr>
        <w:tabs>
          <w:tab w:val="left" w:pos="990"/>
        </w:tabs>
        <w:spacing w:before="205"/>
      </w:pPr>
      <w:r>
        <w:t>Problems</w:t>
      </w:r>
      <w:r>
        <w:rPr>
          <w:spacing w:val="-6"/>
        </w:rPr>
        <w:t xml:space="preserve"> </w:t>
      </w:r>
      <w:r>
        <w:t>with</w:t>
      </w:r>
      <w:r>
        <w:rPr>
          <w:spacing w:val="-6"/>
        </w:rPr>
        <w:t xml:space="preserve"> </w:t>
      </w:r>
      <w:r>
        <w:t>Hume’s</w:t>
      </w:r>
      <w:r>
        <w:rPr>
          <w:spacing w:val="-5"/>
        </w:rPr>
        <w:t xml:space="preserve"> </w:t>
      </w:r>
      <w:r>
        <w:rPr>
          <w:spacing w:val="-2"/>
        </w:rPr>
        <w:t>argument</w:t>
      </w:r>
    </w:p>
    <w:p w14:paraId="7E001933" w14:textId="77777777" w:rsidR="009A58DB" w:rsidRDefault="00000000">
      <w:pPr>
        <w:pStyle w:val="BodyText"/>
        <w:spacing w:before="139" w:line="249" w:lineRule="auto"/>
        <w:ind w:right="359"/>
      </w:pPr>
      <w:r>
        <w:t>Nobody denies that inductive inferences are knowledge-conducive and, therefore, that the conclusion of Hume’s argument is false. Even Hume said that, in his bones, he couldn’t accept it. But there’s no accepted response to Hume’s extremely clever argument. Nonetheless, Hume’s argument is refutable and a refutation of it must lie in some argument not totally unlike the following.</w:t>
      </w:r>
    </w:p>
    <w:p w14:paraId="7E001934" w14:textId="77777777" w:rsidR="009A58DB" w:rsidRDefault="009A58DB">
      <w:pPr>
        <w:pStyle w:val="BodyText"/>
        <w:spacing w:before="22"/>
        <w:ind w:left="0"/>
        <w:jc w:val="left"/>
      </w:pPr>
    </w:p>
    <w:p w14:paraId="7E001935" w14:textId="77777777" w:rsidR="009A58DB" w:rsidRDefault="00000000">
      <w:pPr>
        <w:pStyle w:val="BodyText"/>
        <w:spacing w:line="249" w:lineRule="auto"/>
        <w:ind w:right="358" w:firstLine="360"/>
      </w:pPr>
      <w:r>
        <w:t>There</w:t>
      </w:r>
      <w:r>
        <w:rPr>
          <w:spacing w:val="-1"/>
        </w:rPr>
        <w:t xml:space="preserve"> </w:t>
      </w:r>
      <w:r>
        <w:t>are</w:t>
      </w:r>
      <w:r>
        <w:rPr>
          <w:spacing w:val="-1"/>
        </w:rPr>
        <w:t xml:space="preserve"> </w:t>
      </w:r>
      <w:r>
        <w:t>two</w:t>
      </w:r>
      <w:r>
        <w:rPr>
          <w:spacing w:val="-1"/>
        </w:rPr>
        <w:t xml:space="preserve"> </w:t>
      </w:r>
      <w:r>
        <w:t>serious</w:t>
      </w:r>
      <w:r>
        <w:rPr>
          <w:spacing w:val="-1"/>
        </w:rPr>
        <w:t xml:space="preserve"> </w:t>
      </w:r>
      <w:r>
        <w:t>errors</w:t>
      </w:r>
      <w:r>
        <w:rPr>
          <w:spacing w:val="-1"/>
        </w:rPr>
        <w:t xml:space="preserve"> </w:t>
      </w:r>
      <w:r>
        <w:t>in</w:t>
      </w:r>
      <w:r>
        <w:rPr>
          <w:spacing w:val="-1"/>
        </w:rPr>
        <w:t xml:space="preserve"> </w:t>
      </w:r>
      <w:r>
        <w:t>Hume’s</w:t>
      </w:r>
      <w:r>
        <w:rPr>
          <w:spacing w:val="-1"/>
        </w:rPr>
        <w:t xml:space="preserve"> </w:t>
      </w:r>
      <w:r>
        <w:t>argument.</w:t>
      </w:r>
      <w:r>
        <w:rPr>
          <w:spacing w:val="-1"/>
        </w:rPr>
        <w:t xml:space="preserve"> </w:t>
      </w:r>
      <w:r>
        <w:t>First,</w:t>
      </w:r>
      <w:r>
        <w:rPr>
          <w:spacing w:val="-1"/>
        </w:rPr>
        <w:t xml:space="preserve"> </w:t>
      </w:r>
      <w:r>
        <w:t>it</w:t>
      </w:r>
      <w:r>
        <w:rPr>
          <w:spacing w:val="-1"/>
        </w:rPr>
        <w:t xml:space="preserve"> </w:t>
      </w:r>
      <w:r>
        <w:t>assumes</w:t>
      </w:r>
      <w:r>
        <w:rPr>
          <w:spacing w:val="-1"/>
        </w:rPr>
        <w:t xml:space="preserve"> </w:t>
      </w:r>
      <w:r>
        <w:t>that</w:t>
      </w:r>
      <w:r>
        <w:rPr>
          <w:spacing w:val="-1"/>
        </w:rPr>
        <w:t xml:space="preserve"> </w:t>
      </w:r>
      <w:r>
        <w:t xml:space="preserve">the primary form of non-deductive inference is </w:t>
      </w:r>
      <w:r>
        <w:rPr>
          <w:i/>
        </w:rPr>
        <w:t xml:space="preserve">induction by enumeration. </w:t>
      </w:r>
      <w:r>
        <w:t>In actuality,</w:t>
      </w:r>
      <w:r>
        <w:rPr>
          <w:spacing w:val="-2"/>
        </w:rPr>
        <w:t xml:space="preserve"> </w:t>
      </w:r>
      <w:r>
        <w:t>induction</w:t>
      </w:r>
      <w:r>
        <w:rPr>
          <w:spacing w:val="-2"/>
        </w:rPr>
        <w:t xml:space="preserve"> </w:t>
      </w:r>
      <w:r>
        <w:t>by</w:t>
      </w:r>
      <w:r>
        <w:rPr>
          <w:spacing w:val="-2"/>
        </w:rPr>
        <w:t xml:space="preserve"> </w:t>
      </w:r>
      <w:r>
        <w:t>enumeration</w:t>
      </w:r>
      <w:r>
        <w:rPr>
          <w:spacing w:val="-2"/>
        </w:rPr>
        <w:t xml:space="preserve"> </w:t>
      </w:r>
      <w:r>
        <w:t>is</w:t>
      </w:r>
      <w:r>
        <w:rPr>
          <w:spacing w:val="-2"/>
        </w:rPr>
        <w:t xml:space="preserve"> </w:t>
      </w:r>
      <w:r>
        <w:t>less</w:t>
      </w:r>
      <w:r>
        <w:rPr>
          <w:spacing w:val="-2"/>
        </w:rPr>
        <w:t xml:space="preserve"> </w:t>
      </w:r>
      <w:r>
        <w:t>important</w:t>
      </w:r>
      <w:r>
        <w:rPr>
          <w:spacing w:val="-2"/>
        </w:rPr>
        <w:t xml:space="preserve"> </w:t>
      </w:r>
      <w:r>
        <w:t>than,</w:t>
      </w:r>
      <w:r>
        <w:rPr>
          <w:spacing w:val="-2"/>
        </w:rPr>
        <w:t xml:space="preserve"> </w:t>
      </w:r>
      <w:r>
        <w:t>and</w:t>
      </w:r>
      <w:r>
        <w:rPr>
          <w:spacing w:val="-2"/>
        </w:rPr>
        <w:t xml:space="preserve"> </w:t>
      </w:r>
      <w:r>
        <w:t>subordinate</w:t>
      </w:r>
      <w:r>
        <w:rPr>
          <w:spacing w:val="-2"/>
        </w:rPr>
        <w:t xml:space="preserve"> </w:t>
      </w:r>
      <w:r>
        <w:t xml:space="preserve">to, a very different form of non-deductive inference known as </w:t>
      </w:r>
      <w:r>
        <w:rPr>
          <w:i/>
        </w:rPr>
        <w:t xml:space="preserve">inference to the best explanation. </w:t>
      </w:r>
      <w:r>
        <w:t>(The italicized terms will be defined shortly.) Second, Hume assumes that non-deductive inferences go through only if UP is</w:t>
      </w:r>
      <w:r>
        <w:rPr>
          <w:spacing w:val="40"/>
        </w:rPr>
        <w:t xml:space="preserve"> </w:t>
      </w:r>
      <w:r>
        <w:t>granted (i.e. only if it’s granted that nature is uniform.) But UP is not the relevant principle. What must be granted, I propose, is that good explanations minimize causal anomalies. What must be granted, in other words, is that, other things being equal, theory T</w:t>
      </w:r>
      <w:r>
        <w:rPr>
          <w:vertAlign w:val="subscript"/>
        </w:rPr>
        <w:t>1</w:t>
      </w:r>
      <w:r>
        <w:t xml:space="preserve"> is better than theory</w:t>
      </w:r>
      <w:r>
        <w:rPr>
          <w:spacing w:val="14"/>
        </w:rPr>
        <w:t xml:space="preserve"> </w:t>
      </w:r>
      <w:r>
        <w:t>T</w:t>
      </w:r>
      <w:r>
        <w:rPr>
          <w:vertAlign w:val="subscript"/>
        </w:rPr>
        <w:t>1</w:t>
      </w:r>
      <w:r>
        <w:t xml:space="preserve"> if the world as</w:t>
      </w:r>
      <w:r>
        <w:rPr>
          <w:spacing w:val="14"/>
        </w:rPr>
        <w:t xml:space="preserve"> </w:t>
      </w:r>
      <w:r>
        <w:t>T</w:t>
      </w:r>
      <w:r>
        <w:rPr>
          <w:vertAlign w:val="subscript"/>
        </w:rPr>
        <w:t>1</w:t>
      </w:r>
    </w:p>
    <w:p w14:paraId="7E001936" w14:textId="77777777" w:rsidR="009A58DB" w:rsidRDefault="00000000">
      <w:pPr>
        <w:pStyle w:val="BodyText"/>
        <w:spacing w:before="73" w:line="249" w:lineRule="auto"/>
        <w:ind w:right="360"/>
      </w:pPr>
      <w:r>
        <w:t>describes it contains fewer unexplained causal connections—fewer causal links that must be taken for granted and left unexplained—than T</w:t>
      </w:r>
      <w:r>
        <w:rPr>
          <w:position w:val="-7"/>
          <w:sz w:val="22"/>
        </w:rPr>
        <w:t>1</w:t>
      </w:r>
      <w:bookmarkStart w:id="335" w:name="_bookmark335"/>
      <w:bookmarkEnd w:id="335"/>
      <w:r>
        <w:t>.</w:t>
      </w:r>
      <w:r>
        <w:rPr>
          <w:color w:val="0562C1"/>
          <w:position w:val="21"/>
          <w:u w:val="single" w:color="0562C1"/>
        </w:rPr>
        <w:t>[229]</w:t>
      </w:r>
      <w:r>
        <w:rPr>
          <w:color w:val="0562C1"/>
          <w:spacing w:val="40"/>
          <w:position w:val="21"/>
        </w:rPr>
        <w:t xml:space="preserve"> </w:t>
      </w:r>
      <w:r>
        <w:t xml:space="preserve">Let’s refer to this principle as “MC” (short for “minimization of causal </w:t>
      </w:r>
      <w:r>
        <w:rPr>
          <w:spacing w:val="-2"/>
        </w:rPr>
        <w:t>anomalies”).</w:t>
      </w:r>
    </w:p>
    <w:p w14:paraId="7E001937" w14:textId="77777777" w:rsidR="009A58DB" w:rsidRDefault="00000000">
      <w:pPr>
        <w:pStyle w:val="BodyText"/>
        <w:spacing w:before="2"/>
        <w:ind w:left="720"/>
        <w:jc w:val="left"/>
      </w:pPr>
      <w:r>
        <w:t>Unlike</w:t>
      </w:r>
      <w:r>
        <w:rPr>
          <w:spacing w:val="7"/>
        </w:rPr>
        <w:t xml:space="preserve"> </w:t>
      </w:r>
      <w:r>
        <w:t>UP,</w:t>
      </w:r>
      <w:r>
        <w:rPr>
          <w:spacing w:val="10"/>
        </w:rPr>
        <w:t xml:space="preserve"> </w:t>
      </w:r>
      <w:r>
        <w:t>MC</w:t>
      </w:r>
      <w:r>
        <w:rPr>
          <w:spacing w:val="10"/>
        </w:rPr>
        <w:t xml:space="preserve"> </w:t>
      </w:r>
      <w:r>
        <w:t>is,</w:t>
      </w:r>
      <w:r>
        <w:rPr>
          <w:spacing w:val="9"/>
        </w:rPr>
        <w:t xml:space="preserve"> </w:t>
      </w:r>
      <w:r>
        <w:t>I</w:t>
      </w:r>
      <w:r>
        <w:rPr>
          <w:spacing w:val="10"/>
        </w:rPr>
        <w:t xml:space="preserve"> </w:t>
      </w:r>
      <w:r>
        <w:t>submit,</w:t>
      </w:r>
      <w:r>
        <w:rPr>
          <w:spacing w:val="10"/>
        </w:rPr>
        <w:t xml:space="preserve"> </w:t>
      </w:r>
      <w:r>
        <w:rPr>
          <w:i/>
        </w:rPr>
        <w:t>analytically</w:t>
      </w:r>
      <w:r>
        <w:rPr>
          <w:i/>
          <w:spacing w:val="-3"/>
        </w:rPr>
        <w:t xml:space="preserve"> </w:t>
      </w:r>
      <w:r>
        <w:t>true:</w:t>
      </w:r>
      <w:r>
        <w:rPr>
          <w:spacing w:val="11"/>
        </w:rPr>
        <w:t xml:space="preserve"> </w:t>
      </w:r>
      <w:r>
        <w:t>it</w:t>
      </w:r>
      <w:r>
        <w:rPr>
          <w:spacing w:val="12"/>
        </w:rPr>
        <w:t xml:space="preserve"> </w:t>
      </w:r>
      <w:r>
        <w:t>is</w:t>
      </w:r>
      <w:r>
        <w:rPr>
          <w:spacing w:val="12"/>
        </w:rPr>
        <w:t xml:space="preserve"> </w:t>
      </w:r>
      <w:r>
        <w:t>inherent</w:t>
      </w:r>
      <w:r>
        <w:rPr>
          <w:spacing w:val="11"/>
        </w:rPr>
        <w:t xml:space="preserve"> </w:t>
      </w:r>
      <w:r>
        <w:t>in</w:t>
      </w:r>
      <w:r>
        <w:rPr>
          <w:spacing w:val="13"/>
        </w:rPr>
        <w:t xml:space="preserve"> </w:t>
      </w:r>
      <w:r>
        <w:t>the</w:t>
      </w:r>
      <w:r>
        <w:rPr>
          <w:spacing w:val="12"/>
        </w:rPr>
        <w:t xml:space="preserve"> </w:t>
      </w:r>
      <w:r>
        <w:rPr>
          <w:spacing w:val="-2"/>
        </w:rPr>
        <w:t>concept</w:t>
      </w:r>
    </w:p>
    <w:p w14:paraId="7E001938" w14:textId="77777777" w:rsidR="009A58DB" w:rsidRDefault="009A58DB">
      <w:pPr>
        <w:pStyle w:val="BodyText"/>
        <w:jc w:val="left"/>
        <w:sectPr w:rsidR="009A58DB">
          <w:pgSz w:w="12240" w:h="15840"/>
          <w:pgMar w:top="1380" w:right="1080" w:bottom="280" w:left="1080" w:header="720" w:footer="720" w:gutter="0"/>
          <w:cols w:space="720"/>
        </w:sectPr>
      </w:pPr>
    </w:p>
    <w:p w14:paraId="7E001939" w14:textId="77777777" w:rsidR="009A58DB" w:rsidRDefault="00000000">
      <w:pPr>
        <w:pStyle w:val="BodyText"/>
        <w:spacing w:before="60" w:line="249" w:lineRule="auto"/>
        <w:ind w:right="359"/>
      </w:pPr>
      <w:r>
        <w:lastRenderedPageBreak/>
        <w:t xml:space="preserve">of what an explanation is that, other things being equal, the theory that eliminates the greater number of unexplained explainers—and, in particular, the greater number of unexplained causal connections—is the one to be preferred. Because this principle, unlike UP, is analytically true, it doesn’t have to be validated on inductive grounds. This makes it possible to validate inductive inference in a way that, unlike the way that </w:t>
      </w:r>
      <w:r>
        <w:rPr>
          <w:i/>
        </w:rPr>
        <w:t xml:space="preserve">Hume </w:t>
      </w:r>
      <w:r>
        <w:t>considers, is not viciously circular.</w:t>
      </w:r>
    </w:p>
    <w:p w14:paraId="7E00193A" w14:textId="77777777" w:rsidR="009A58DB" w:rsidRDefault="00000000">
      <w:pPr>
        <w:pStyle w:val="Heading1"/>
        <w:numPr>
          <w:ilvl w:val="1"/>
          <w:numId w:val="117"/>
        </w:numPr>
        <w:tabs>
          <w:tab w:val="left" w:pos="1445"/>
          <w:tab w:val="left" w:pos="3708"/>
          <w:tab w:val="left" w:pos="4618"/>
          <w:tab w:val="left" w:pos="5902"/>
          <w:tab w:val="left" w:pos="8563"/>
        </w:tabs>
        <w:spacing w:before="201" w:line="244" w:lineRule="auto"/>
        <w:ind w:right="371" w:firstLine="0"/>
      </w:pPr>
      <w:r>
        <w:rPr>
          <w:spacing w:val="-2"/>
        </w:rPr>
        <w:t>Inference</w:t>
      </w:r>
      <w:r>
        <w:tab/>
      </w:r>
      <w:r>
        <w:rPr>
          <w:spacing w:val="-6"/>
        </w:rPr>
        <w:t>to</w:t>
      </w:r>
      <w:r>
        <w:tab/>
      </w:r>
      <w:r>
        <w:rPr>
          <w:spacing w:val="-4"/>
        </w:rPr>
        <w:t>best</w:t>
      </w:r>
      <w:r>
        <w:tab/>
      </w:r>
      <w:r>
        <w:rPr>
          <w:spacing w:val="-2"/>
        </w:rPr>
        <w:t>explanation</w:t>
      </w:r>
      <w:r>
        <w:tab/>
      </w:r>
      <w:r>
        <w:rPr>
          <w:spacing w:val="-2"/>
        </w:rPr>
        <w:t xml:space="preserve">versus </w:t>
      </w:r>
      <w:r>
        <w:t>enumerative induction</w:t>
      </w:r>
    </w:p>
    <w:p w14:paraId="7E00193B" w14:textId="77777777" w:rsidR="009A58DB" w:rsidRDefault="00000000">
      <w:pPr>
        <w:pStyle w:val="BodyText"/>
        <w:spacing w:before="132" w:line="249" w:lineRule="auto"/>
        <w:ind w:right="359"/>
      </w:pPr>
      <w:r>
        <w:t>There are two forms of inductive inference: induction by enumeration and inference to the best explanation. (See Chapter 12.) An induction by enumeration has the form: every F that I’ve ever known of was also a G; therefore all F’s are G’s. Example: All the balls that I’ve thus far removed from the urn have been white; therefore, all the balls in (or removed by me) the urn are white.</w:t>
      </w:r>
    </w:p>
    <w:p w14:paraId="7E00193C" w14:textId="77777777" w:rsidR="009A58DB" w:rsidRDefault="00000000">
      <w:pPr>
        <w:pStyle w:val="BodyText"/>
        <w:spacing w:before="7" w:line="249" w:lineRule="auto"/>
        <w:ind w:right="358" w:firstLine="360"/>
      </w:pPr>
      <w:r>
        <w:t>An inference to the best explanation has the form: it is known that S; it isn’t yet known that S*; but if S* were true, it would, without doing</w:t>
      </w:r>
      <w:r>
        <w:rPr>
          <w:spacing w:val="40"/>
        </w:rPr>
        <w:t xml:space="preserve"> </w:t>
      </w:r>
      <w:r>
        <w:t>excessive violence to what we (think we) know about the world, explain why S is true; moreover, if S* weren’t true, it would be hard to find a viable alternative explanation of S. For example: I’m very careful with my credit cards (I never use them to make online purchases, I never let anyone besides reliable merchants see them, etc); and, before my friend Larry moved in with me, no unauthorized purchases were ever made with any card of mine. But after he moved in, my cards were used to make a series of unauthorized purchases. Moreover, the items bought were ones that, for work-related reasons, Larry desperately needs and that nobody outside of Larry’s rather unusual profession would have slightest use for. Knowing all of this, and not knowing any other way to account for the unauthorized purchases, I conclude that Larry made those purchases.</w:t>
      </w:r>
    </w:p>
    <w:p w14:paraId="7E00193D" w14:textId="77777777" w:rsidR="009A58DB" w:rsidRDefault="00000000">
      <w:pPr>
        <w:pStyle w:val="BodyText"/>
        <w:spacing w:before="18" w:line="249" w:lineRule="auto"/>
        <w:ind w:right="358" w:firstLine="360"/>
      </w:pPr>
      <w:r>
        <w:t xml:space="preserve">It’s widely assumed among philosophers that induction by enumeration is the more fundamental form of inference. This is a mistake. All cases of induction by inference, when legitimate, are parasitic on cases of inference to the best explanation. There are, of course, many cases where </w:t>
      </w:r>
      <w:r>
        <w:rPr>
          <w:i/>
        </w:rPr>
        <w:t xml:space="preserve">one </w:t>
      </w:r>
      <w:r>
        <w:t>of my reasons</w:t>
      </w:r>
      <w:r>
        <w:rPr>
          <w:spacing w:val="30"/>
        </w:rPr>
        <w:t xml:space="preserve"> </w:t>
      </w:r>
      <w:r>
        <w:t>for</w:t>
      </w:r>
      <w:r>
        <w:rPr>
          <w:spacing w:val="30"/>
        </w:rPr>
        <w:t xml:space="preserve"> </w:t>
      </w:r>
      <w:r>
        <w:t>thinking</w:t>
      </w:r>
      <w:r>
        <w:rPr>
          <w:spacing w:val="31"/>
        </w:rPr>
        <w:t xml:space="preserve"> </w:t>
      </w:r>
      <w:r>
        <w:t>that</w:t>
      </w:r>
      <w:r>
        <w:rPr>
          <w:spacing w:val="30"/>
        </w:rPr>
        <w:t xml:space="preserve"> </w:t>
      </w:r>
      <w:r>
        <w:t>all</w:t>
      </w:r>
      <w:r>
        <w:rPr>
          <w:spacing w:val="30"/>
        </w:rPr>
        <w:t xml:space="preserve"> </w:t>
      </w:r>
      <w:r>
        <w:t>F’s</w:t>
      </w:r>
      <w:r>
        <w:rPr>
          <w:spacing w:val="31"/>
        </w:rPr>
        <w:t xml:space="preserve"> </w:t>
      </w:r>
      <w:r>
        <w:t>are</w:t>
      </w:r>
      <w:r>
        <w:rPr>
          <w:spacing w:val="31"/>
        </w:rPr>
        <w:t xml:space="preserve"> </w:t>
      </w:r>
      <w:r>
        <w:t>G’s</w:t>
      </w:r>
      <w:r>
        <w:rPr>
          <w:spacing w:val="31"/>
        </w:rPr>
        <w:t xml:space="preserve"> </w:t>
      </w:r>
      <w:r>
        <w:t>is</w:t>
      </w:r>
      <w:r>
        <w:rPr>
          <w:spacing w:val="31"/>
        </w:rPr>
        <w:t xml:space="preserve"> </w:t>
      </w:r>
      <w:r>
        <w:t>that</w:t>
      </w:r>
      <w:r>
        <w:rPr>
          <w:spacing w:val="30"/>
        </w:rPr>
        <w:t xml:space="preserve"> </w:t>
      </w:r>
      <w:r>
        <w:t>every</w:t>
      </w:r>
      <w:r>
        <w:rPr>
          <w:spacing w:val="30"/>
        </w:rPr>
        <w:t xml:space="preserve"> </w:t>
      </w:r>
      <w:r>
        <w:t>F</w:t>
      </w:r>
      <w:r>
        <w:rPr>
          <w:spacing w:val="30"/>
        </w:rPr>
        <w:t xml:space="preserve"> </w:t>
      </w:r>
      <w:r>
        <w:t>I’ve</w:t>
      </w:r>
      <w:r>
        <w:rPr>
          <w:spacing w:val="31"/>
        </w:rPr>
        <w:t xml:space="preserve"> </w:t>
      </w:r>
      <w:r>
        <w:t>ever</w:t>
      </w:r>
      <w:r>
        <w:rPr>
          <w:spacing w:val="30"/>
        </w:rPr>
        <w:t xml:space="preserve"> </w:t>
      </w:r>
      <w:r>
        <w:t>known</w:t>
      </w:r>
      <w:r>
        <w:rPr>
          <w:spacing w:val="31"/>
        </w:rPr>
        <w:t xml:space="preserve"> </w:t>
      </w:r>
      <w:r>
        <w:t>of</w:t>
      </w:r>
    </w:p>
    <w:p w14:paraId="7E00193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3F" w14:textId="77777777" w:rsidR="009A58DB" w:rsidRDefault="00000000">
      <w:pPr>
        <w:pStyle w:val="BodyText"/>
        <w:spacing w:before="60" w:line="249" w:lineRule="auto"/>
        <w:ind w:right="358"/>
      </w:pPr>
      <w:r>
        <w:lastRenderedPageBreak/>
        <w:t>was also a G. But, setting aside beliefs arrived at through spurious reasoning, there</w:t>
      </w:r>
      <w:r>
        <w:rPr>
          <w:spacing w:val="-1"/>
        </w:rPr>
        <w:t xml:space="preserve"> </w:t>
      </w:r>
      <w:r>
        <w:t>are</w:t>
      </w:r>
      <w:r>
        <w:rPr>
          <w:spacing w:val="-1"/>
        </w:rPr>
        <w:t xml:space="preserve"> </w:t>
      </w:r>
      <w:r>
        <w:t>no</w:t>
      </w:r>
      <w:r>
        <w:rPr>
          <w:spacing w:val="-1"/>
        </w:rPr>
        <w:t xml:space="preserve"> </w:t>
      </w:r>
      <w:r>
        <w:t>cases</w:t>
      </w:r>
      <w:r>
        <w:rPr>
          <w:spacing w:val="-1"/>
        </w:rPr>
        <w:t xml:space="preserve"> </w:t>
      </w:r>
      <w:r>
        <w:t>where</w:t>
      </w:r>
      <w:r>
        <w:rPr>
          <w:spacing w:val="-1"/>
        </w:rPr>
        <w:t xml:space="preserve"> </w:t>
      </w:r>
      <w:r>
        <w:t>that</w:t>
      </w:r>
      <w:r>
        <w:rPr>
          <w:spacing w:val="-1"/>
        </w:rPr>
        <w:t xml:space="preserve"> </w:t>
      </w:r>
      <w:r>
        <w:t>was</w:t>
      </w:r>
      <w:r>
        <w:rPr>
          <w:spacing w:val="-1"/>
        </w:rPr>
        <w:t xml:space="preserve"> </w:t>
      </w:r>
      <w:r>
        <w:t>my</w:t>
      </w:r>
      <w:r>
        <w:rPr>
          <w:spacing w:val="-1"/>
        </w:rPr>
        <w:t xml:space="preserve"> </w:t>
      </w:r>
      <w:r>
        <w:rPr>
          <w:i/>
        </w:rPr>
        <w:t>only</w:t>
      </w:r>
      <w:r>
        <w:rPr>
          <w:i/>
          <w:spacing w:val="-3"/>
        </w:rPr>
        <w:t xml:space="preserve"> </w:t>
      </w:r>
      <w:r>
        <w:t>reason for believing that all F’s are G’s. Hume’s argument focuses entirely on induction by enumeration. Hume</w:t>
      </w:r>
      <w:r>
        <w:rPr>
          <w:spacing w:val="40"/>
        </w:rPr>
        <w:t xml:space="preserve"> </w:t>
      </w:r>
      <w:r>
        <w:t>is</w:t>
      </w:r>
      <w:r>
        <w:rPr>
          <w:spacing w:val="-3"/>
        </w:rPr>
        <w:t xml:space="preserve"> </w:t>
      </w:r>
      <w:r>
        <w:t>right,</w:t>
      </w:r>
      <w:r>
        <w:rPr>
          <w:spacing w:val="-2"/>
        </w:rPr>
        <w:t xml:space="preserve"> </w:t>
      </w:r>
      <w:r>
        <w:t>I</w:t>
      </w:r>
      <w:r>
        <w:rPr>
          <w:spacing w:val="-3"/>
        </w:rPr>
        <w:t xml:space="preserve"> </w:t>
      </w:r>
      <w:r>
        <w:t>believe,</w:t>
      </w:r>
      <w:r>
        <w:rPr>
          <w:spacing w:val="-2"/>
        </w:rPr>
        <w:t xml:space="preserve"> </w:t>
      </w:r>
      <w:r>
        <w:t>that</w:t>
      </w:r>
      <w:r>
        <w:rPr>
          <w:spacing w:val="-3"/>
        </w:rPr>
        <w:t xml:space="preserve"> </w:t>
      </w:r>
      <w:r>
        <w:rPr>
          <w:i/>
        </w:rPr>
        <w:t>this</w:t>
      </w:r>
      <w:r>
        <w:rPr>
          <w:i/>
          <w:spacing w:val="-3"/>
        </w:rPr>
        <w:t xml:space="preserve"> </w:t>
      </w:r>
      <w:r>
        <w:t>form</w:t>
      </w:r>
      <w:r>
        <w:rPr>
          <w:spacing w:val="-3"/>
        </w:rPr>
        <w:t xml:space="preserve"> </w:t>
      </w:r>
      <w:r>
        <w:t>of</w:t>
      </w:r>
      <w:r>
        <w:rPr>
          <w:spacing w:val="-3"/>
        </w:rPr>
        <w:t xml:space="preserve"> </w:t>
      </w:r>
      <w:r>
        <w:t>inference</w:t>
      </w:r>
      <w:r>
        <w:rPr>
          <w:spacing w:val="-3"/>
        </w:rPr>
        <w:t xml:space="preserve"> </w:t>
      </w:r>
      <w:r>
        <w:t>is</w:t>
      </w:r>
      <w:r>
        <w:rPr>
          <w:spacing w:val="-3"/>
        </w:rPr>
        <w:t xml:space="preserve"> </w:t>
      </w:r>
      <w:r>
        <w:t>unjustifiable.</w:t>
      </w:r>
      <w:r>
        <w:rPr>
          <w:spacing w:val="-2"/>
        </w:rPr>
        <w:t xml:space="preserve"> </w:t>
      </w:r>
      <w:r>
        <w:t>But</w:t>
      </w:r>
      <w:r>
        <w:rPr>
          <w:spacing w:val="-3"/>
        </w:rPr>
        <w:t xml:space="preserve"> </w:t>
      </w:r>
      <w:r>
        <w:t>we</w:t>
      </w:r>
      <w:r>
        <w:rPr>
          <w:spacing w:val="-3"/>
        </w:rPr>
        <w:t xml:space="preserve"> </w:t>
      </w:r>
      <w:r>
        <w:t>don’t</w:t>
      </w:r>
      <w:r>
        <w:rPr>
          <w:spacing w:val="-3"/>
        </w:rPr>
        <w:t xml:space="preserve"> </w:t>
      </w:r>
      <w:r>
        <w:t xml:space="preserve">use this form of inference. In any case, we don’t use it in the way that Hume thinks. Moreover, we shouldn’t use it, and we needn’t use it. In some cases we may </w:t>
      </w:r>
      <w:r>
        <w:rPr>
          <w:i/>
        </w:rPr>
        <w:t xml:space="preserve">think </w:t>
      </w:r>
      <w:r>
        <w:t xml:space="preserve">that we’re doing straight induction by enumeration. But, in almost all such cases, a little probing always shows that many interconnected background assumptions are at work and that, when these are made explicit, what we’re really trying to do is to produce an inference to the best explanation. And, although there are cases of straight induction by enumeration, they tend to occur in rather artificial contexts and that, when they do occur, they’re </w:t>
      </w:r>
      <w:r>
        <w:rPr>
          <w:i/>
        </w:rPr>
        <w:t xml:space="preserve">clearly </w:t>
      </w:r>
      <w:r>
        <w:t>spurious.</w:t>
      </w:r>
    </w:p>
    <w:p w14:paraId="7E001940" w14:textId="77777777" w:rsidR="009A58DB" w:rsidRDefault="00000000">
      <w:pPr>
        <w:pStyle w:val="BodyText"/>
        <w:spacing w:before="21" w:line="249" w:lineRule="auto"/>
        <w:ind w:right="358" w:firstLine="360"/>
      </w:pPr>
      <w:r>
        <w:t>There is a well-known inductive error known as the “gambler’s fallacy.” (Sometimes it’s referred to as the “Monte Carlo” fallacy.) You are playing a game of roulette. (This game involves rolling two dice into a spinning wheel, which</w:t>
      </w:r>
      <w:r>
        <w:rPr>
          <w:spacing w:val="-3"/>
        </w:rPr>
        <w:t xml:space="preserve"> </w:t>
      </w:r>
      <w:r>
        <w:t>is</w:t>
      </w:r>
      <w:r>
        <w:rPr>
          <w:spacing w:val="-4"/>
        </w:rPr>
        <w:t xml:space="preserve"> </w:t>
      </w:r>
      <w:r>
        <w:t>divided</w:t>
      </w:r>
      <w:r>
        <w:rPr>
          <w:spacing w:val="-3"/>
        </w:rPr>
        <w:t xml:space="preserve"> </w:t>
      </w:r>
      <w:r>
        <w:t>into</w:t>
      </w:r>
      <w:r>
        <w:rPr>
          <w:spacing w:val="-3"/>
        </w:rPr>
        <w:t xml:space="preserve"> </w:t>
      </w:r>
      <w:r>
        <w:t>numbered</w:t>
      </w:r>
      <w:r>
        <w:rPr>
          <w:spacing w:val="-3"/>
        </w:rPr>
        <w:t xml:space="preserve"> </w:t>
      </w:r>
      <w:r>
        <w:t>slots.)</w:t>
      </w:r>
      <w:r>
        <w:rPr>
          <w:spacing w:val="-4"/>
        </w:rPr>
        <w:t xml:space="preserve"> </w:t>
      </w:r>
      <w:r>
        <w:t>You</w:t>
      </w:r>
      <w:r>
        <w:rPr>
          <w:spacing w:val="-3"/>
        </w:rPr>
        <w:t xml:space="preserve"> </w:t>
      </w:r>
      <w:r>
        <w:t>know</w:t>
      </w:r>
      <w:r>
        <w:rPr>
          <w:spacing w:val="-4"/>
        </w:rPr>
        <w:t xml:space="preserve"> </w:t>
      </w:r>
      <w:r>
        <w:t>that</w:t>
      </w:r>
      <w:r>
        <w:rPr>
          <w:spacing w:val="-4"/>
        </w:rPr>
        <w:t xml:space="preserve"> </w:t>
      </w:r>
      <w:r>
        <w:t>nothing</w:t>
      </w:r>
      <w:r>
        <w:rPr>
          <w:spacing w:val="-3"/>
        </w:rPr>
        <w:t xml:space="preserve"> </w:t>
      </w:r>
      <w:r>
        <w:t>about</w:t>
      </w:r>
      <w:r>
        <w:rPr>
          <w:spacing w:val="-4"/>
        </w:rPr>
        <w:t xml:space="preserve"> </w:t>
      </w:r>
      <w:r>
        <w:t>the</w:t>
      </w:r>
      <w:r>
        <w:rPr>
          <w:spacing w:val="-4"/>
        </w:rPr>
        <w:t xml:space="preserve"> </w:t>
      </w:r>
      <w:r>
        <w:t>game is in any way rigged—that the dice aren’t loaded, and that neither the wheel nor</w:t>
      </w:r>
      <w:r>
        <w:rPr>
          <w:spacing w:val="-3"/>
        </w:rPr>
        <w:t xml:space="preserve"> </w:t>
      </w:r>
      <w:r>
        <w:t>the</w:t>
      </w:r>
      <w:r>
        <w:rPr>
          <w:spacing w:val="-3"/>
        </w:rPr>
        <w:t xml:space="preserve"> </w:t>
      </w:r>
      <w:r>
        <w:t>underlying</w:t>
      </w:r>
      <w:r>
        <w:rPr>
          <w:spacing w:val="-3"/>
        </w:rPr>
        <w:t xml:space="preserve"> </w:t>
      </w:r>
      <w:r>
        <w:t>apparatus</w:t>
      </w:r>
      <w:r>
        <w:rPr>
          <w:spacing w:val="-3"/>
        </w:rPr>
        <w:t xml:space="preserve"> </w:t>
      </w:r>
      <w:r>
        <w:t>were</w:t>
      </w:r>
      <w:r>
        <w:rPr>
          <w:spacing w:val="-3"/>
        </w:rPr>
        <w:t xml:space="preserve"> </w:t>
      </w:r>
      <w:r>
        <w:t>built</w:t>
      </w:r>
      <w:r>
        <w:rPr>
          <w:spacing w:val="-3"/>
        </w:rPr>
        <w:t xml:space="preserve"> </w:t>
      </w:r>
      <w:r>
        <w:t>or</w:t>
      </w:r>
      <w:r>
        <w:rPr>
          <w:spacing w:val="-3"/>
        </w:rPr>
        <w:t xml:space="preserve"> </w:t>
      </w:r>
      <w:r>
        <w:t>modified</w:t>
      </w:r>
      <w:r>
        <w:rPr>
          <w:spacing w:val="-3"/>
        </w:rPr>
        <w:t xml:space="preserve"> </w:t>
      </w:r>
      <w:r>
        <w:t>to</w:t>
      </w:r>
      <w:r>
        <w:rPr>
          <w:spacing w:val="-3"/>
        </w:rPr>
        <w:t xml:space="preserve"> </w:t>
      </w:r>
      <w:r>
        <w:t>favor</w:t>
      </w:r>
      <w:r>
        <w:rPr>
          <w:spacing w:val="-3"/>
        </w:rPr>
        <w:t xml:space="preserve"> </w:t>
      </w:r>
      <w:r>
        <w:t>any</w:t>
      </w:r>
      <w:r>
        <w:rPr>
          <w:spacing w:val="-3"/>
        </w:rPr>
        <w:t xml:space="preserve"> </w:t>
      </w:r>
      <w:r>
        <w:t>one</w:t>
      </w:r>
      <w:r>
        <w:rPr>
          <w:spacing w:val="-3"/>
        </w:rPr>
        <w:t xml:space="preserve"> </w:t>
      </w:r>
      <w:r>
        <w:t xml:space="preserve">outcome more than any other. And you thus know that, given only the physical properties of the game, a die, once thrown, is no more likely to land in this as opposed to that slot. (How you know this is irrelevant; we’ll just assume that you do.) You </w:t>
      </w:r>
      <w:r>
        <w:rPr>
          <w:i/>
        </w:rPr>
        <w:t xml:space="preserve">also </w:t>
      </w:r>
      <w:r>
        <w:t>know that, given any slot on the wheel, there is nothing about you that makes a die you’ve thrown more likely to land in that spot</w:t>
      </w:r>
      <w:r>
        <w:rPr>
          <w:spacing w:val="40"/>
        </w:rPr>
        <w:t xml:space="preserve"> </w:t>
      </w:r>
      <w:r>
        <w:t>than</w:t>
      </w:r>
      <w:r>
        <w:rPr>
          <w:spacing w:val="-3"/>
        </w:rPr>
        <w:t xml:space="preserve"> </w:t>
      </w:r>
      <w:r>
        <w:t>in</w:t>
      </w:r>
      <w:r>
        <w:rPr>
          <w:spacing w:val="-3"/>
        </w:rPr>
        <w:t xml:space="preserve"> </w:t>
      </w:r>
      <w:r>
        <w:t>any</w:t>
      </w:r>
      <w:r>
        <w:rPr>
          <w:spacing w:val="-3"/>
        </w:rPr>
        <w:t xml:space="preserve"> </w:t>
      </w:r>
      <w:r>
        <w:t>other—nothing</w:t>
      </w:r>
      <w:r>
        <w:rPr>
          <w:spacing w:val="-3"/>
        </w:rPr>
        <w:t xml:space="preserve"> </w:t>
      </w:r>
      <w:r>
        <w:t>about</w:t>
      </w:r>
      <w:r>
        <w:rPr>
          <w:spacing w:val="-4"/>
        </w:rPr>
        <w:t xml:space="preserve"> </w:t>
      </w:r>
      <w:r>
        <w:t>your</w:t>
      </w:r>
      <w:r>
        <w:rPr>
          <w:spacing w:val="-4"/>
        </w:rPr>
        <w:t xml:space="preserve"> </w:t>
      </w:r>
      <w:r>
        <w:t>body,</w:t>
      </w:r>
      <w:r>
        <w:rPr>
          <w:spacing w:val="-3"/>
        </w:rPr>
        <w:t xml:space="preserve"> </w:t>
      </w:r>
      <w:r>
        <w:t>mind,</w:t>
      </w:r>
      <w:r>
        <w:rPr>
          <w:spacing w:val="-3"/>
        </w:rPr>
        <w:t xml:space="preserve"> </w:t>
      </w:r>
      <w:r>
        <w:t>or</w:t>
      </w:r>
      <w:r>
        <w:rPr>
          <w:spacing w:val="-4"/>
        </w:rPr>
        <w:t xml:space="preserve"> </w:t>
      </w:r>
      <w:r>
        <w:t>dice-throwing</w:t>
      </w:r>
      <w:r>
        <w:rPr>
          <w:spacing w:val="-3"/>
        </w:rPr>
        <w:t xml:space="preserve"> </w:t>
      </w:r>
      <w:r>
        <w:t xml:space="preserve">practices that favors this as opposed to that outcome. (Again, </w:t>
      </w:r>
      <w:r>
        <w:rPr>
          <w:i/>
        </w:rPr>
        <w:t xml:space="preserve">how </w:t>
      </w:r>
      <w:r>
        <w:t>you know this is irrelevant; we’ll just assume that you do.) You’ve rolled the dice seven times. Each time, at least one of the die has landed in slot #27. It must be stressed that you know there to be nothing about the game or about you that predisposed this to happen—that you know this to be entirely a matter of</w:t>
      </w:r>
      <w:r>
        <w:rPr>
          <w:spacing w:val="40"/>
        </w:rPr>
        <w:t xml:space="preserve"> </w:t>
      </w:r>
      <w:r>
        <w:rPr>
          <w:spacing w:val="-4"/>
        </w:rPr>
        <w:t>luck.</w:t>
      </w:r>
    </w:p>
    <w:p w14:paraId="7E001941" w14:textId="77777777" w:rsidR="009A58DB" w:rsidRDefault="00000000">
      <w:pPr>
        <w:pStyle w:val="BodyText"/>
        <w:spacing w:before="22" w:line="249" w:lineRule="auto"/>
        <w:ind w:right="358" w:firstLine="360"/>
      </w:pPr>
      <w:r>
        <w:t xml:space="preserve">Under these circumstances, it would be natural to predict that you’ll roll a 27 next time. But that prediction would be irrational: you have no more reason to believe that you’ll roll a 27 than you will any other number. And if, by chance, you </w:t>
      </w:r>
      <w:r>
        <w:rPr>
          <w:i/>
        </w:rPr>
        <w:t xml:space="preserve">do </w:t>
      </w:r>
      <w:r>
        <w:t>roll a 27 next time, it will be natural to predict that you’ll roll</w:t>
      </w:r>
      <w:r>
        <w:rPr>
          <w:spacing w:val="19"/>
        </w:rPr>
        <w:t xml:space="preserve"> </w:t>
      </w:r>
      <w:r>
        <w:t>a</w:t>
      </w:r>
      <w:r>
        <w:rPr>
          <w:spacing w:val="19"/>
        </w:rPr>
        <w:t xml:space="preserve"> </w:t>
      </w:r>
      <w:r>
        <w:t>27</w:t>
      </w:r>
      <w:r>
        <w:rPr>
          <w:spacing w:val="19"/>
        </w:rPr>
        <w:t xml:space="preserve"> </w:t>
      </w:r>
      <w:r>
        <w:t>the</w:t>
      </w:r>
      <w:r>
        <w:rPr>
          <w:spacing w:val="19"/>
        </w:rPr>
        <w:t xml:space="preserve"> </w:t>
      </w:r>
      <w:r>
        <w:rPr>
          <w:i/>
        </w:rPr>
        <w:t xml:space="preserve">following </w:t>
      </w:r>
      <w:r>
        <w:t>time.</w:t>
      </w:r>
      <w:r>
        <w:rPr>
          <w:spacing w:val="23"/>
        </w:rPr>
        <w:t xml:space="preserve"> </w:t>
      </w:r>
      <w:r>
        <w:t>But</w:t>
      </w:r>
      <w:r>
        <w:rPr>
          <w:spacing w:val="23"/>
        </w:rPr>
        <w:t xml:space="preserve"> </w:t>
      </w:r>
      <w:r>
        <w:t>this</w:t>
      </w:r>
      <w:r>
        <w:rPr>
          <w:spacing w:val="23"/>
        </w:rPr>
        <w:t xml:space="preserve"> </w:t>
      </w:r>
      <w:r>
        <w:t>too</w:t>
      </w:r>
      <w:r>
        <w:rPr>
          <w:spacing w:val="23"/>
        </w:rPr>
        <w:t xml:space="preserve"> </w:t>
      </w:r>
      <w:r>
        <w:t>would</w:t>
      </w:r>
      <w:r>
        <w:rPr>
          <w:spacing w:val="23"/>
        </w:rPr>
        <w:t xml:space="preserve"> </w:t>
      </w:r>
      <w:r>
        <w:t>be</w:t>
      </w:r>
      <w:r>
        <w:rPr>
          <w:spacing w:val="23"/>
        </w:rPr>
        <w:t xml:space="preserve"> </w:t>
      </w:r>
      <w:r>
        <w:t>completely</w:t>
      </w:r>
      <w:r>
        <w:rPr>
          <w:spacing w:val="23"/>
        </w:rPr>
        <w:t xml:space="preserve"> </w:t>
      </w:r>
      <w:r>
        <w:t>irrational.</w:t>
      </w:r>
      <w:r>
        <w:rPr>
          <w:spacing w:val="23"/>
        </w:rPr>
        <w:t xml:space="preserve"> </w:t>
      </w:r>
      <w:r>
        <w:t>So</w:t>
      </w:r>
    </w:p>
    <w:p w14:paraId="7E00194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43" w14:textId="77777777" w:rsidR="009A58DB" w:rsidRDefault="00000000">
      <w:pPr>
        <w:pStyle w:val="BodyText"/>
        <w:spacing w:before="65" w:line="249" w:lineRule="auto"/>
        <w:ind w:right="364"/>
      </w:pPr>
      <w:r>
        <w:lastRenderedPageBreak/>
        <w:t>long as you know that there’s nothing inherent in the game or in yourself that favors this as opposed to that outcome, you are never any more entitled to bet that, with the next throw, you’ll roll a 27 than you are to bet that you’ll throw any other available number. It doesn’t matter how many consecutive 27s you rolled prior to that throw: it could have been ten, a thousand, or a million.</w:t>
      </w:r>
    </w:p>
    <w:p w14:paraId="7E001944" w14:textId="77777777" w:rsidR="009A58DB" w:rsidRDefault="00000000">
      <w:pPr>
        <w:pStyle w:val="BodyText"/>
        <w:spacing w:before="6" w:line="249" w:lineRule="auto"/>
        <w:ind w:right="360" w:firstLine="360"/>
      </w:pPr>
      <w:r>
        <w:t xml:space="preserve">By the same token, no matter how many consecutive 27s you roll, you are never any more entitled to bet that, next time, you </w:t>
      </w:r>
      <w:r>
        <w:rPr>
          <w:i/>
        </w:rPr>
        <w:t xml:space="preserve">won’t </w:t>
      </w:r>
      <w:r>
        <w:t>roll a 27 than you</w:t>
      </w:r>
      <w:r>
        <w:rPr>
          <w:spacing w:val="40"/>
        </w:rPr>
        <w:t xml:space="preserve"> </w:t>
      </w:r>
      <w:r>
        <w:t>are</w:t>
      </w:r>
      <w:r>
        <w:rPr>
          <w:spacing w:val="-2"/>
        </w:rPr>
        <w:t xml:space="preserve"> </w:t>
      </w:r>
      <w:r>
        <w:t>to</w:t>
      </w:r>
      <w:r>
        <w:rPr>
          <w:spacing w:val="-1"/>
        </w:rPr>
        <w:t xml:space="preserve"> </w:t>
      </w:r>
      <w:r>
        <w:t>bet</w:t>
      </w:r>
      <w:r>
        <w:rPr>
          <w:spacing w:val="-2"/>
        </w:rPr>
        <w:t xml:space="preserve"> </w:t>
      </w:r>
      <w:r>
        <w:t>that</w:t>
      </w:r>
      <w:r>
        <w:rPr>
          <w:spacing w:val="-2"/>
        </w:rPr>
        <w:t xml:space="preserve"> </w:t>
      </w:r>
      <w:r>
        <w:t>you</w:t>
      </w:r>
      <w:r>
        <w:rPr>
          <w:spacing w:val="-2"/>
        </w:rPr>
        <w:t xml:space="preserve"> </w:t>
      </w:r>
      <w:r>
        <w:t>won’t</w:t>
      </w:r>
      <w:r>
        <w:rPr>
          <w:spacing w:val="-2"/>
        </w:rPr>
        <w:t xml:space="preserve"> </w:t>
      </w:r>
      <w:r>
        <w:t>roll</w:t>
      </w:r>
      <w:r>
        <w:rPr>
          <w:spacing w:val="-2"/>
        </w:rPr>
        <w:t xml:space="preserve"> </w:t>
      </w:r>
      <w:r>
        <w:t>any</w:t>
      </w:r>
      <w:r>
        <w:rPr>
          <w:spacing w:val="-1"/>
        </w:rPr>
        <w:t xml:space="preserve"> </w:t>
      </w:r>
      <w:r>
        <w:t>one</w:t>
      </w:r>
      <w:r>
        <w:rPr>
          <w:spacing w:val="-2"/>
        </w:rPr>
        <w:t xml:space="preserve"> </w:t>
      </w:r>
      <w:r>
        <w:t>of</w:t>
      </w:r>
      <w:r>
        <w:rPr>
          <w:spacing w:val="-1"/>
        </w:rPr>
        <w:t xml:space="preserve"> </w:t>
      </w:r>
      <w:r>
        <w:t>the</w:t>
      </w:r>
      <w:r>
        <w:rPr>
          <w:spacing w:val="-2"/>
        </w:rPr>
        <w:t xml:space="preserve"> </w:t>
      </w:r>
      <w:r>
        <w:t>other</w:t>
      </w:r>
      <w:r>
        <w:rPr>
          <w:spacing w:val="-1"/>
        </w:rPr>
        <w:t xml:space="preserve"> </w:t>
      </w:r>
      <w:r>
        <w:t>available</w:t>
      </w:r>
      <w:r>
        <w:rPr>
          <w:spacing w:val="-2"/>
        </w:rPr>
        <w:t xml:space="preserve"> </w:t>
      </w:r>
      <w:r>
        <w:t>numbers.</w:t>
      </w:r>
      <w:r>
        <w:rPr>
          <w:spacing w:val="-1"/>
        </w:rPr>
        <w:t xml:space="preserve"> </w:t>
      </w:r>
      <w:r>
        <w:t>It</w:t>
      </w:r>
      <w:r>
        <w:rPr>
          <w:spacing w:val="-2"/>
        </w:rPr>
        <w:t xml:space="preserve"> </w:t>
      </w:r>
      <w:r>
        <w:t>would be natural to think otherwise, of course. Given how improbable it is that you will roll five consecutive 27s, let alone 50, you may have an urge, when rolling for the 51st time, to think: “</w:t>
      </w:r>
      <w:r>
        <w:rPr>
          <w:i/>
        </w:rPr>
        <w:t xml:space="preserve">this time, </w:t>
      </w:r>
      <w:r>
        <w:t xml:space="preserve">surely, I’m even </w:t>
      </w:r>
      <w:r>
        <w:rPr>
          <w:i/>
        </w:rPr>
        <w:t xml:space="preserve">more </w:t>
      </w:r>
      <w:r>
        <w:t xml:space="preserve">unlikely to roll a 27 than I am to roll any other available number. The game isn’t rigged. The likelihood of my rolling 51 consecutive 27s is infinitesimal and, therefore, is much smaller than 1/n (where n is the number of available slots). So a 27-roll is </w:t>
      </w:r>
      <w:r>
        <w:rPr>
          <w:i/>
        </w:rPr>
        <w:t xml:space="preserve">especially </w:t>
      </w:r>
      <w:r>
        <w:t>unlikely—more unlikely than a 5-roll or a 13-roll.” But</w:t>
      </w:r>
      <w:r>
        <w:rPr>
          <w:spacing w:val="-3"/>
        </w:rPr>
        <w:t xml:space="preserve"> </w:t>
      </w:r>
      <w:r>
        <w:t>this</w:t>
      </w:r>
      <w:r>
        <w:rPr>
          <w:spacing w:val="-3"/>
        </w:rPr>
        <w:t xml:space="preserve"> </w:t>
      </w:r>
      <w:r>
        <w:t>is</w:t>
      </w:r>
      <w:r>
        <w:rPr>
          <w:spacing w:val="-3"/>
        </w:rPr>
        <w:t xml:space="preserve"> </w:t>
      </w:r>
      <w:r>
        <w:t>spurious</w:t>
      </w:r>
      <w:r>
        <w:rPr>
          <w:spacing w:val="-3"/>
        </w:rPr>
        <w:t xml:space="preserve"> </w:t>
      </w:r>
      <w:r>
        <w:t>reasoning.</w:t>
      </w:r>
      <w:r>
        <w:rPr>
          <w:spacing w:val="-2"/>
        </w:rPr>
        <w:t xml:space="preserve"> </w:t>
      </w:r>
      <w:r>
        <w:t>You</w:t>
      </w:r>
      <w:r>
        <w:rPr>
          <w:spacing w:val="-2"/>
        </w:rPr>
        <w:t xml:space="preserve"> </w:t>
      </w:r>
      <w:r>
        <w:t>are</w:t>
      </w:r>
      <w:r>
        <w:rPr>
          <w:spacing w:val="-3"/>
        </w:rPr>
        <w:t xml:space="preserve"> </w:t>
      </w:r>
      <w:r>
        <w:t>no</w:t>
      </w:r>
      <w:r>
        <w:rPr>
          <w:spacing w:val="-2"/>
        </w:rPr>
        <w:t xml:space="preserve"> </w:t>
      </w:r>
      <w:r>
        <w:t>more,</w:t>
      </w:r>
      <w:r>
        <w:rPr>
          <w:spacing w:val="-2"/>
        </w:rPr>
        <w:t xml:space="preserve"> </w:t>
      </w:r>
      <w:r>
        <w:t>and</w:t>
      </w:r>
      <w:r>
        <w:rPr>
          <w:spacing w:val="-2"/>
        </w:rPr>
        <w:t xml:space="preserve"> </w:t>
      </w:r>
      <w:r>
        <w:t>no</w:t>
      </w:r>
      <w:r>
        <w:rPr>
          <w:spacing w:val="-2"/>
        </w:rPr>
        <w:t xml:space="preserve"> </w:t>
      </w:r>
      <w:r>
        <w:t>less,</w:t>
      </w:r>
      <w:r>
        <w:rPr>
          <w:spacing w:val="-2"/>
        </w:rPr>
        <w:t xml:space="preserve"> </w:t>
      </w:r>
      <w:r>
        <w:rPr>
          <w:i/>
        </w:rPr>
        <w:t>un</w:t>
      </w:r>
      <w:r>
        <w:t>likely</w:t>
      </w:r>
      <w:r>
        <w:rPr>
          <w:spacing w:val="-2"/>
        </w:rPr>
        <w:t xml:space="preserve"> </w:t>
      </w:r>
      <w:r>
        <w:t>to</w:t>
      </w:r>
      <w:r>
        <w:rPr>
          <w:spacing w:val="-2"/>
        </w:rPr>
        <w:t xml:space="preserve"> </w:t>
      </w:r>
      <w:r>
        <w:t>roll</w:t>
      </w:r>
      <w:r>
        <w:rPr>
          <w:spacing w:val="-3"/>
        </w:rPr>
        <w:t xml:space="preserve"> </w:t>
      </w:r>
      <w:r>
        <w:t>a 27 than you are to roll any other number. With every throw, the chances of rolling any one of the available numbers are identical with the chances of throwing any one of the others. Since, by hypothesis, the conditions that obtain on any two occasions are identical, it would be irrational on any given occasion</w:t>
      </w:r>
      <w:r>
        <w:rPr>
          <w:spacing w:val="-3"/>
        </w:rPr>
        <w:t xml:space="preserve"> </w:t>
      </w:r>
      <w:r>
        <w:t>to</w:t>
      </w:r>
      <w:r>
        <w:rPr>
          <w:spacing w:val="-3"/>
        </w:rPr>
        <w:t xml:space="preserve"> </w:t>
      </w:r>
      <w:r>
        <w:t>think</w:t>
      </w:r>
      <w:r>
        <w:rPr>
          <w:spacing w:val="-3"/>
        </w:rPr>
        <w:t xml:space="preserve"> </w:t>
      </w:r>
      <w:r>
        <w:t>any</w:t>
      </w:r>
      <w:r>
        <w:rPr>
          <w:spacing w:val="-3"/>
        </w:rPr>
        <w:t xml:space="preserve"> </w:t>
      </w:r>
      <w:r>
        <w:t>one</w:t>
      </w:r>
      <w:r>
        <w:rPr>
          <w:spacing w:val="-4"/>
        </w:rPr>
        <w:t xml:space="preserve"> </w:t>
      </w:r>
      <w:r>
        <w:t>outcome</w:t>
      </w:r>
      <w:r>
        <w:rPr>
          <w:spacing w:val="-4"/>
        </w:rPr>
        <w:t xml:space="preserve"> </w:t>
      </w:r>
      <w:r>
        <w:t>any</w:t>
      </w:r>
      <w:r>
        <w:rPr>
          <w:spacing w:val="-3"/>
        </w:rPr>
        <w:t xml:space="preserve"> </w:t>
      </w:r>
      <w:r>
        <w:t>more</w:t>
      </w:r>
      <w:r>
        <w:rPr>
          <w:spacing w:val="-4"/>
        </w:rPr>
        <w:t xml:space="preserve"> </w:t>
      </w:r>
      <w:r>
        <w:t>or</w:t>
      </w:r>
      <w:r>
        <w:rPr>
          <w:spacing w:val="-4"/>
        </w:rPr>
        <w:t xml:space="preserve"> </w:t>
      </w:r>
      <w:r>
        <w:t>any</w:t>
      </w:r>
      <w:r>
        <w:rPr>
          <w:spacing w:val="-3"/>
        </w:rPr>
        <w:t xml:space="preserve"> </w:t>
      </w:r>
      <w:r>
        <w:t>less</w:t>
      </w:r>
      <w:r>
        <w:rPr>
          <w:spacing w:val="-4"/>
        </w:rPr>
        <w:t xml:space="preserve"> </w:t>
      </w:r>
      <w:r>
        <w:t>likely</w:t>
      </w:r>
      <w:r>
        <w:rPr>
          <w:spacing w:val="-3"/>
        </w:rPr>
        <w:t xml:space="preserve"> </w:t>
      </w:r>
      <w:r>
        <w:t>than</w:t>
      </w:r>
      <w:r>
        <w:rPr>
          <w:spacing w:val="-3"/>
        </w:rPr>
        <w:t xml:space="preserve"> </w:t>
      </w:r>
      <w:r>
        <w:t>any</w:t>
      </w:r>
      <w:r>
        <w:rPr>
          <w:spacing w:val="-3"/>
        </w:rPr>
        <w:t xml:space="preserve"> </w:t>
      </w:r>
      <w:r>
        <w:t>other. It would, in fact, be the ultimate absurdity—like the belief that, although doughnut x is an atom-for-atom duplicate of doughnut y, x is far more fattening than y.</w:t>
      </w:r>
    </w:p>
    <w:p w14:paraId="7E001945" w14:textId="77777777" w:rsidR="009A58DB" w:rsidRDefault="00000000">
      <w:pPr>
        <w:pStyle w:val="Heading3"/>
        <w:numPr>
          <w:ilvl w:val="2"/>
          <w:numId w:val="117"/>
        </w:numPr>
        <w:tabs>
          <w:tab w:val="left" w:pos="1136"/>
        </w:tabs>
        <w:spacing w:before="121"/>
        <w:ind w:hanging="776"/>
        <w:jc w:val="both"/>
      </w:pPr>
      <w:r>
        <w:t>When</w:t>
      </w:r>
      <w:r>
        <w:rPr>
          <w:spacing w:val="7"/>
        </w:rPr>
        <w:t xml:space="preserve"> </w:t>
      </w:r>
      <w:r>
        <w:t>is</w:t>
      </w:r>
      <w:r>
        <w:rPr>
          <w:spacing w:val="7"/>
        </w:rPr>
        <w:t xml:space="preserve"> </w:t>
      </w:r>
      <w:r>
        <w:t>enumerative</w:t>
      </w:r>
      <w:r>
        <w:rPr>
          <w:spacing w:val="7"/>
        </w:rPr>
        <w:t xml:space="preserve"> </w:t>
      </w:r>
      <w:r>
        <w:t>induction</w:t>
      </w:r>
      <w:r>
        <w:rPr>
          <w:spacing w:val="7"/>
        </w:rPr>
        <w:t xml:space="preserve"> </w:t>
      </w:r>
      <w:r>
        <w:rPr>
          <w:spacing w:val="-2"/>
        </w:rPr>
        <w:t>rational?</w:t>
      </w:r>
    </w:p>
    <w:p w14:paraId="7E001946" w14:textId="77777777" w:rsidR="009A58DB" w:rsidRDefault="00000000">
      <w:pPr>
        <w:pStyle w:val="BodyText"/>
        <w:spacing w:before="81" w:line="249" w:lineRule="auto"/>
        <w:ind w:right="359"/>
      </w:pPr>
      <w:r>
        <w:t>When</w:t>
      </w:r>
      <w:r>
        <w:rPr>
          <w:spacing w:val="-3"/>
        </w:rPr>
        <w:t xml:space="preserve"> </w:t>
      </w:r>
      <w:r>
        <w:rPr>
          <w:i/>
        </w:rPr>
        <w:t xml:space="preserve">would </w:t>
      </w:r>
      <w:r>
        <w:t xml:space="preserve">it become rational to believe that, next time, you’re more likely than not to roll this as opposed to that number—that, for example, you’re especially likely to roll a 27? This belief becomes rational when, and </w:t>
      </w:r>
      <w:r>
        <w:rPr>
          <w:i/>
        </w:rPr>
        <w:t xml:space="preserve">only </w:t>
      </w:r>
      <w:r>
        <w:t>when, you have reason to believe that a 27-roll is favored by the structures involved in the game. And that belief, in its turn, is rational if you know that circumstances at all like the following obtain:</w:t>
      </w:r>
    </w:p>
    <w:p w14:paraId="7E001947" w14:textId="77777777" w:rsidR="009A58DB" w:rsidRDefault="009A58DB">
      <w:pPr>
        <w:pStyle w:val="BodyText"/>
        <w:spacing w:before="22"/>
        <w:ind w:left="0"/>
        <w:jc w:val="left"/>
      </w:pPr>
    </w:p>
    <w:p w14:paraId="7E001948" w14:textId="77777777" w:rsidR="009A58DB" w:rsidRDefault="00000000">
      <w:pPr>
        <w:pStyle w:val="BodyText"/>
        <w:spacing w:before="1"/>
      </w:pPr>
      <w:r>
        <w:t>*The</w:t>
      </w:r>
      <w:r>
        <w:rPr>
          <w:spacing w:val="-7"/>
        </w:rPr>
        <w:t xml:space="preserve"> </w:t>
      </w:r>
      <w:r>
        <w:t>dice</w:t>
      </w:r>
      <w:r>
        <w:rPr>
          <w:spacing w:val="-5"/>
        </w:rPr>
        <w:t xml:space="preserve"> </w:t>
      </w:r>
      <w:r>
        <w:t>are</w:t>
      </w:r>
      <w:r>
        <w:rPr>
          <w:spacing w:val="-4"/>
        </w:rPr>
        <w:t xml:space="preserve"> </w:t>
      </w:r>
      <w:r>
        <w:t>magnetically</w:t>
      </w:r>
      <w:r>
        <w:rPr>
          <w:spacing w:val="-4"/>
        </w:rPr>
        <w:t xml:space="preserve"> </w:t>
      </w:r>
      <w:r>
        <w:t>attracted</w:t>
      </w:r>
      <w:r>
        <w:rPr>
          <w:spacing w:val="-3"/>
        </w:rPr>
        <w:t xml:space="preserve"> </w:t>
      </w:r>
      <w:r>
        <w:t>to</w:t>
      </w:r>
      <w:r>
        <w:rPr>
          <w:spacing w:val="-4"/>
        </w:rPr>
        <w:t xml:space="preserve"> </w:t>
      </w:r>
      <w:r>
        <w:t>the</w:t>
      </w:r>
      <w:r>
        <w:rPr>
          <w:spacing w:val="-4"/>
        </w:rPr>
        <w:t xml:space="preserve"> </w:t>
      </w:r>
      <w:r>
        <w:t>27-</w:t>
      </w:r>
      <w:r>
        <w:rPr>
          <w:spacing w:val="-2"/>
        </w:rPr>
        <w:t>slot.</w:t>
      </w:r>
    </w:p>
    <w:p w14:paraId="7E001949" w14:textId="77777777" w:rsidR="009A58DB" w:rsidRDefault="009A58DB">
      <w:pPr>
        <w:pStyle w:val="BodyText"/>
        <w:spacing w:before="29"/>
        <w:ind w:left="0"/>
        <w:jc w:val="left"/>
      </w:pPr>
    </w:p>
    <w:p w14:paraId="7E00194A" w14:textId="77777777" w:rsidR="009A58DB" w:rsidRDefault="00000000">
      <w:pPr>
        <w:pStyle w:val="BodyText"/>
        <w:spacing w:before="1"/>
      </w:pPr>
      <w:r>
        <w:t>*On</w:t>
      </w:r>
      <w:r>
        <w:rPr>
          <w:spacing w:val="-1"/>
        </w:rPr>
        <w:t xml:space="preserve"> </w:t>
      </w:r>
      <w:r>
        <w:t>any</w:t>
      </w:r>
      <w:r>
        <w:rPr>
          <w:spacing w:val="1"/>
        </w:rPr>
        <w:t xml:space="preserve"> </w:t>
      </w:r>
      <w:r>
        <w:t>given</w:t>
      </w:r>
      <w:r>
        <w:rPr>
          <w:spacing w:val="1"/>
        </w:rPr>
        <w:t xml:space="preserve"> </w:t>
      </w:r>
      <w:r>
        <w:t>occasion,</w:t>
      </w:r>
      <w:r>
        <w:rPr>
          <w:spacing w:val="1"/>
        </w:rPr>
        <w:t xml:space="preserve"> </w:t>
      </w:r>
      <w:r>
        <w:t>you</w:t>
      </w:r>
      <w:r>
        <w:rPr>
          <w:spacing w:val="2"/>
        </w:rPr>
        <w:t xml:space="preserve"> </w:t>
      </w:r>
      <w:r>
        <w:t>have</w:t>
      </w:r>
      <w:r>
        <w:rPr>
          <w:spacing w:val="1"/>
        </w:rPr>
        <w:t xml:space="preserve"> </w:t>
      </w:r>
      <w:r>
        <w:t>an</w:t>
      </w:r>
      <w:r>
        <w:rPr>
          <w:spacing w:val="1"/>
        </w:rPr>
        <w:t xml:space="preserve"> </w:t>
      </w:r>
      <w:r>
        <w:t>unconscious</w:t>
      </w:r>
      <w:r>
        <w:rPr>
          <w:spacing w:val="1"/>
        </w:rPr>
        <w:t xml:space="preserve"> </w:t>
      </w:r>
      <w:r>
        <w:t>intention</w:t>
      </w:r>
      <w:r>
        <w:rPr>
          <w:spacing w:val="2"/>
        </w:rPr>
        <w:t xml:space="preserve"> </w:t>
      </w:r>
      <w:r>
        <w:t>to</w:t>
      </w:r>
      <w:r>
        <w:rPr>
          <w:spacing w:val="1"/>
        </w:rPr>
        <w:t xml:space="preserve"> </w:t>
      </w:r>
      <w:r>
        <w:t>roll</w:t>
      </w:r>
      <w:r>
        <w:rPr>
          <w:spacing w:val="1"/>
        </w:rPr>
        <w:t xml:space="preserve"> </w:t>
      </w:r>
      <w:r>
        <w:t>a</w:t>
      </w:r>
      <w:r>
        <w:rPr>
          <w:spacing w:val="1"/>
        </w:rPr>
        <w:t xml:space="preserve"> </w:t>
      </w:r>
      <w:r>
        <w:t>27</w:t>
      </w:r>
      <w:r>
        <w:rPr>
          <w:spacing w:val="2"/>
        </w:rPr>
        <w:t xml:space="preserve"> </w:t>
      </w:r>
      <w:r>
        <w:rPr>
          <w:spacing w:val="-2"/>
        </w:rPr>
        <w:t>(even</w:t>
      </w:r>
    </w:p>
    <w:p w14:paraId="7E00194B" w14:textId="77777777" w:rsidR="009A58DB" w:rsidRDefault="009A58DB">
      <w:pPr>
        <w:pStyle w:val="BodyText"/>
        <w:sectPr w:rsidR="009A58DB">
          <w:pgSz w:w="12240" w:h="15840"/>
          <w:pgMar w:top="1380" w:right="1080" w:bottom="280" w:left="1080" w:header="720" w:footer="720" w:gutter="0"/>
          <w:cols w:space="720"/>
        </w:sectPr>
      </w:pPr>
    </w:p>
    <w:p w14:paraId="7E00194C" w14:textId="77777777" w:rsidR="009A58DB" w:rsidRDefault="00000000">
      <w:pPr>
        <w:pStyle w:val="BodyText"/>
        <w:spacing w:before="70" w:line="249" w:lineRule="auto"/>
        <w:ind w:right="364"/>
      </w:pPr>
      <w:r>
        <w:lastRenderedPageBreak/>
        <w:t>though you have no conscious intention of doing this), and you’re such a talented dice-thrower that, if you can roll a 27 if it is your (subconscious) intention to do so.</w:t>
      </w:r>
    </w:p>
    <w:p w14:paraId="7E00194D" w14:textId="77777777" w:rsidR="009A58DB" w:rsidRDefault="009A58DB">
      <w:pPr>
        <w:pStyle w:val="BodyText"/>
        <w:spacing w:before="13"/>
        <w:ind w:left="0"/>
        <w:jc w:val="left"/>
      </w:pPr>
    </w:p>
    <w:p w14:paraId="7E00194E" w14:textId="77777777" w:rsidR="009A58DB" w:rsidRDefault="00000000">
      <w:pPr>
        <w:pStyle w:val="BodyText"/>
        <w:spacing w:line="249" w:lineRule="auto"/>
        <w:ind w:right="369"/>
      </w:pPr>
      <w:r>
        <w:t>*The 27-slot is much bigger than any of the other slots. In fact, it takes up so much space on the roulette wheel that the remaining spaces are too small for the ball to fit into them.</w:t>
      </w:r>
    </w:p>
    <w:p w14:paraId="7E00194F" w14:textId="77777777" w:rsidR="009A58DB" w:rsidRDefault="009A58DB">
      <w:pPr>
        <w:pStyle w:val="BodyText"/>
        <w:spacing w:before="19"/>
        <w:ind w:left="0"/>
        <w:jc w:val="left"/>
      </w:pPr>
    </w:p>
    <w:p w14:paraId="7E001950" w14:textId="77777777" w:rsidR="009A58DB" w:rsidRDefault="00000000">
      <w:pPr>
        <w:pStyle w:val="BodyText"/>
        <w:spacing w:line="249" w:lineRule="auto"/>
        <w:ind w:right="358" w:firstLine="360"/>
      </w:pPr>
      <w:r>
        <w:t>You</w:t>
      </w:r>
      <w:r>
        <w:rPr>
          <w:spacing w:val="-2"/>
        </w:rPr>
        <w:t xml:space="preserve"> </w:t>
      </w:r>
      <w:r>
        <w:t>are</w:t>
      </w:r>
      <w:r>
        <w:rPr>
          <w:spacing w:val="-3"/>
        </w:rPr>
        <w:t xml:space="preserve"> </w:t>
      </w:r>
      <w:r>
        <w:t>rational</w:t>
      </w:r>
      <w:r>
        <w:rPr>
          <w:spacing w:val="-3"/>
        </w:rPr>
        <w:t xml:space="preserve"> </w:t>
      </w:r>
      <w:r>
        <w:t>to</w:t>
      </w:r>
      <w:r>
        <w:rPr>
          <w:spacing w:val="-2"/>
        </w:rPr>
        <w:t xml:space="preserve"> </w:t>
      </w:r>
      <w:r>
        <w:t>believe</w:t>
      </w:r>
      <w:r>
        <w:rPr>
          <w:spacing w:val="-3"/>
        </w:rPr>
        <w:t xml:space="preserve"> </w:t>
      </w:r>
      <w:r>
        <w:t>that</w:t>
      </w:r>
      <w:r>
        <w:rPr>
          <w:spacing w:val="-3"/>
        </w:rPr>
        <w:t xml:space="preserve"> </w:t>
      </w:r>
      <w:r>
        <w:t>you’ll</w:t>
      </w:r>
      <w:r>
        <w:rPr>
          <w:spacing w:val="-3"/>
        </w:rPr>
        <w:t xml:space="preserve"> </w:t>
      </w:r>
      <w:r>
        <w:t>continue</w:t>
      </w:r>
      <w:r>
        <w:rPr>
          <w:spacing w:val="-3"/>
        </w:rPr>
        <w:t xml:space="preserve"> </w:t>
      </w:r>
      <w:r>
        <w:t>to</w:t>
      </w:r>
      <w:r>
        <w:rPr>
          <w:spacing w:val="-2"/>
        </w:rPr>
        <w:t xml:space="preserve"> </w:t>
      </w:r>
      <w:r>
        <w:t>roll</w:t>
      </w:r>
      <w:r>
        <w:rPr>
          <w:spacing w:val="-3"/>
        </w:rPr>
        <w:t xml:space="preserve"> </w:t>
      </w:r>
      <w:r>
        <w:t>27s</w:t>
      </w:r>
      <w:r>
        <w:rPr>
          <w:spacing w:val="-3"/>
        </w:rPr>
        <w:t xml:space="preserve"> </w:t>
      </w:r>
      <w:r>
        <w:t>to</w:t>
      </w:r>
      <w:r>
        <w:rPr>
          <w:spacing w:val="-2"/>
        </w:rPr>
        <w:t xml:space="preserve"> </w:t>
      </w:r>
      <w:r>
        <w:t>the</w:t>
      </w:r>
      <w:r>
        <w:rPr>
          <w:spacing w:val="-3"/>
        </w:rPr>
        <w:t xml:space="preserve"> </w:t>
      </w:r>
      <w:r>
        <w:t>extent</w:t>
      </w:r>
      <w:r>
        <w:rPr>
          <w:spacing w:val="-3"/>
        </w:rPr>
        <w:t xml:space="preserve"> </w:t>
      </w:r>
      <w:r>
        <w:t xml:space="preserve">that your having thus far rolled multiple 27s in a row gives you reason to believe there to be some underlying structure favoring that outcome. And to the extent that a long run of 27-rolls </w:t>
      </w:r>
      <w:r>
        <w:rPr>
          <w:i/>
        </w:rPr>
        <w:t xml:space="preserve">doesn’t </w:t>
      </w:r>
      <w:r>
        <w:t xml:space="preserve">give you such a reason, you are </w:t>
      </w:r>
      <w:r>
        <w:rPr>
          <w:i/>
        </w:rPr>
        <w:t>irrational</w:t>
      </w:r>
      <w:r>
        <w:rPr>
          <w:i/>
          <w:spacing w:val="-3"/>
        </w:rPr>
        <w:t xml:space="preserve"> </w:t>
      </w:r>
      <w:r>
        <w:t>to believe that you’re any more (or any less) likely to roll a 27 than you are any other number. So, no matter how many consecutive 27s you roll, if you know with complete certainty that nothing about either yourself or the set-up of the game favors that</w:t>
      </w:r>
      <w:r>
        <w:rPr>
          <w:spacing w:val="-1"/>
        </w:rPr>
        <w:t xml:space="preserve"> </w:t>
      </w:r>
      <w:r>
        <w:t>outcome, it is irrational</w:t>
      </w:r>
      <w:r>
        <w:rPr>
          <w:spacing w:val="-1"/>
        </w:rPr>
        <w:t xml:space="preserve"> </w:t>
      </w:r>
      <w:r>
        <w:t>to think that, next time, you’re any more (or less) likely to roll a 27 than you are a 5 or a 32. Put pedantically, it is only insofar as you have reason to believe in such a structure that you have reason to expect something that has the property of being a die thrown by you to have the property of landing in the 27-slot.</w:t>
      </w:r>
    </w:p>
    <w:p w14:paraId="7E001951" w14:textId="77777777" w:rsidR="009A58DB" w:rsidRDefault="00000000">
      <w:pPr>
        <w:pStyle w:val="Heading3"/>
        <w:numPr>
          <w:ilvl w:val="2"/>
          <w:numId w:val="117"/>
        </w:numPr>
        <w:tabs>
          <w:tab w:val="left" w:pos="1136"/>
        </w:tabs>
        <w:spacing w:before="112"/>
        <w:ind w:hanging="776"/>
        <w:jc w:val="both"/>
      </w:pPr>
      <w:r>
        <w:t>Generalizing</w:t>
      </w:r>
      <w:r>
        <w:rPr>
          <w:spacing w:val="7"/>
        </w:rPr>
        <w:t xml:space="preserve"> </w:t>
      </w:r>
      <w:r>
        <w:t>these</w:t>
      </w:r>
      <w:r>
        <w:rPr>
          <w:spacing w:val="7"/>
        </w:rPr>
        <w:t xml:space="preserve"> </w:t>
      </w:r>
      <w:r>
        <w:rPr>
          <w:spacing w:val="-2"/>
        </w:rPr>
        <w:t>points</w:t>
      </w:r>
    </w:p>
    <w:p w14:paraId="7E001952" w14:textId="77777777" w:rsidR="009A58DB" w:rsidRDefault="00000000">
      <w:pPr>
        <w:pStyle w:val="BodyText"/>
        <w:spacing w:before="82" w:line="249" w:lineRule="auto"/>
        <w:ind w:right="359"/>
      </w:pPr>
      <w:r>
        <w:t xml:space="preserve">Your knowing of many phi’s that are psi’s and of none that are not doesn’t </w:t>
      </w:r>
      <w:r>
        <w:rPr>
          <w:i/>
        </w:rPr>
        <w:t xml:space="preserve">necessarily </w:t>
      </w:r>
      <w:r>
        <w:t xml:space="preserve">give you any reason to believe that the next phi you encounter will be a psi; it gives you such a reason </w:t>
      </w:r>
      <w:r>
        <w:rPr>
          <w:i/>
        </w:rPr>
        <w:t xml:space="preserve">only </w:t>
      </w:r>
      <w:r>
        <w:t>insofar as it gives you a reason</w:t>
      </w:r>
      <w:r>
        <w:rPr>
          <w:spacing w:val="40"/>
        </w:rPr>
        <w:t xml:space="preserve"> </w:t>
      </w:r>
      <w:r>
        <w:t xml:space="preserve">to believe in some structure or mechanism that disposes phi’s to be psi’s. If you know on independent grounds that there is no such mechanism, no run of phi’s that are psi’s, no matter how long, gives you a reason to think that the next phi will be a psi; and you are guilty of the gambler’s fallacy—and thus, as we saw, of the most rank absurdity—so far as you think otherwise. Thus, </w:t>
      </w:r>
      <w:r>
        <w:rPr>
          <w:i/>
        </w:rPr>
        <w:t>in</w:t>
      </w:r>
      <w:r>
        <w:rPr>
          <w:i/>
          <w:spacing w:val="-3"/>
        </w:rPr>
        <w:t xml:space="preserve"> </w:t>
      </w:r>
      <w:r>
        <w:rPr>
          <w:i/>
        </w:rPr>
        <w:t>and</w:t>
      </w:r>
      <w:r>
        <w:rPr>
          <w:i/>
          <w:spacing w:val="-3"/>
        </w:rPr>
        <w:t xml:space="preserve"> </w:t>
      </w:r>
      <w:r>
        <w:rPr>
          <w:i/>
        </w:rPr>
        <w:t>of</w:t>
      </w:r>
      <w:r>
        <w:rPr>
          <w:i/>
          <w:spacing w:val="-4"/>
        </w:rPr>
        <w:t xml:space="preserve"> </w:t>
      </w:r>
      <w:r>
        <w:rPr>
          <w:i/>
        </w:rPr>
        <w:t>itself</w:t>
      </w:r>
      <w:r>
        <w:rPr>
          <w:i/>
          <w:spacing w:val="-4"/>
        </w:rPr>
        <w:t xml:space="preserve"> </w:t>
      </w:r>
      <w:r>
        <w:t>induction</w:t>
      </w:r>
      <w:r>
        <w:rPr>
          <w:spacing w:val="-3"/>
        </w:rPr>
        <w:t xml:space="preserve"> </w:t>
      </w:r>
      <w:r>
        <w:t>by</w:t>
      </w:r>
      <w:r>
        <w:rPr>
          <w:spacing w:val="-3"/>
        </w:rPr>
        <w:t xml:space="preserve"> </w:t>
      </w:r>
      <w:r>
        <w:t>enumeration</w:t>
      </w:r>
      <w:r>
        <w:rPr>
          <w:spacing w:val="-3"/>
        </w:rPr>
        <w:t xml:space="preserve"> </w:t>
      </w:r>
      <w:r>
        <w:t>is</w:t>
      </w:r>
      <w:r>
        <w:rPr>
          <w:spacing w:val="-4"/>
        </w:rPr>
        <w:t xml:space="preserve"> </w:t>
      </w:r>
      <w:r>
        <w:t>worthless;</w:t>
      </w:r>
      <w:r>
        <w:rPr>
          <w:spacing w:val="-4"/>
        </w:rPr>
        <w:t xml:space="preserve"> </w:t>
      </w:r>
      <w:r>
        <w:t>it’s</w:t>
      </w:r>
      <w:r>
        <w:rPr>
          <w:spacing w:val="-4"/>
        </w:rPr>
        <w:t xml:space="preserve"> </w:t>
      </w:r>
      <w:r>
        <w:t>a</w:t>
      </w:r>
      <w:r>
        <w:rPr>
          <w:spacing w:val="-4"/>
        </w:rPr>
        <w:t xml:space="preserve"> </w:t>
      </w:r>
      <w:r>
        <w:t>fallacious</w:t>
      </w:r>
      <w:r>
        <w:rPr>
          <w:spacing w:val="-4"/>
        </w:rPr>
        <w:t xml:space="preserve"> </w:t>
      </w:r>
      <w:r>
        <w:t>form</w:t>
      </w:r>
      <w:r>
        <w:rPr>
          <w:spacing w:val="-4"/>
        </w:rPr>
        <w:t xml:space="preserve"> </w:t>
      </w:r>
      <w:r>
        <w:t>of reasoning</w:t>
      </w:r>
      <w:r>
        <w:rPr>
          <w:spacing w:val="-1"/>
        </w:rPr>
        <w:t xml:space="preserve"> </w:t>
      </w:r>
      <w:r>
        <w:t>and</w:t>
      </w:r>
      <w:r>
        <w:rPr>
          <w:spacing w:val="-1"/>
        </w:rPr>
        <w:t xml:space="preserve"> </w:t>
      </w:r>
      <w:r>
        <w:t>falls</w:t>
      </w:r>
      <w:r>
        <w:rPr>
          <w:spacing w:val="-1"/>
        </w:rPr>
        <w:t xml:space="preserve"> </w:t>
      </w:r>
      <w:r>
        <w:t>in</w:t>
      </w:r>
      <w:r>
        <w:rPr>
          <w:spacing w:val="-1"/>
        </w:rPr>
        <w:t xml:space="preserve"> </w:t>
      </w:r>
      <w:r>
        <w:t>the</w:t>
      </w:r>
      <w:r>
        <w:rPr>
          <w:spacing w:val="-1"/>
        </w:rPr>
        <w:t xml:space="preserve"> </w:t>
      </w:r>
      <w:r>
        <w:t>same</w:t>
      </w:r>
      <w:r>
        <w:rPr>
          <w:spacing w:val="-1"/>
        </w:rPr>
        <w:t xml:space="preserve"> </w:t>
      </w:r>
      <w:r>
        <w:t>category</w:t>
      </w:r>
      <w:r>
        <w:rPr>
          <w:spacing w:val="-1"/>
        </w:rPr>
        <w:t xml:space="preserve"> </w:t>
      </w:r>
      <w:r>
        <w:t>as</w:t>
      </w:r>
      <w:r>
        <w:rPr>
          <w:spacing w:val="-1"/>
        </w:rPr>
        <w:t xml:space="preserve"> </w:t>
      </w:r>
      <w:r>
        <w:t>every</w:t>
      </w:r>
      <w:r>
        <w:rPr>
          <w:spacing w:val="-1"/>
        </w:rPr>
        <w:t xml:space="preserve"> </w:t>
      </w:r>
      <w:r>
        <w:t>other</w:t>
      </w:r>
      <w:r>
        <w:rPr>
          <w:spacing w:val="-1"/>
        </w:rPr>
        <w:t xml:space="preserve"> </w:t>
      </w:r>
      <w:r>
        <w:t>argumentative</w:t>
      </w:r>
      <w:r>
        <w:rPr>
          <w:spacing w:val="-1"/>
        </w:rPr>
        <w:t xml:space="preserve"> </w:t>
      </w:r>
      <w:r>
        <w:t xml:space="preserve">fallacy. Of course, if you know of many phi’s that are psi’s and of none that are not, you </w:t>
      </w:r>
      <w:r>
        <w:rPr>
          <w:i/>
        </w:rPr>
        <w:t xml:space="preserve">do </w:t>
      </w:r>
      <w:r>
        <w:t>have good reason to hold that, other things being equal, the next phi you encounter will be a psi. But this is because you’re having this knowledge gives</w:t>
      </w:r>
      <w:r>
        <w:rPr>
          <w:spacing w:val="40"/>
        </w:rPr>
        <w:t xml:space="preserve"> </w:t>
      </w:r>
      <w:r>
        <w:t>you</w:t>
      </w:r>
      <w:r>
        <w:rPr>
          <w:spacing w:val="40"/>
        </w:rPr>
        <w:t xml:space="preserve"> </w:t>
      </w:r>
      <w:r>
        <w:t>reason</w:t>
      </w:r>
      <w:r>
        <w:rPr>
          <w:spacing w:val="40"/>
        </w:rPr>
        <w:t xml:space="preserve"> </w:t>
      </w:r>
      <w:r>
        <w:t>to</w:t>
      </w:r>
      <w:r>
        <w:rPr>
          <w:spacing w:val="40"/>
        </w:rPr>
        <w:t xml:space="preserve"> </w:t>
      </w:r>
      <w:r>
        <w:t>believe</w:t>
      </w:r>
      <w:r>
        <w:rPr>
          <w:spacing w:val="40"/>
        </w:rPr>
        <w:t xml:space="preserve"> </w:t>
      </w:r>
      <w:r>
        <w:t>there</w:t>
      </w:r>
      <w:r>
        <w:rPr>
          <w:spacing w:val="40"/>
        </w:rPr>
        <w:t xml:space="preserve"> </w:t>
      </w:r>
      <w:r>
        <w:t>to</w:t>
      </w:r>
      <w:r>
        <w:rPr>
          <w:spacing w:val="40"/>
        </w:rPr>
        <w:t xml:space="preserve"> </w:t>
      </w:r>
      <w:r>
        <w:t>be</w:t>
      </w:r>
      <w:r>
        <w:rPr>
          <w:spacing w:val="40"/>
        </w:rPr>
        <w:t xml:space="preserve"> </w:t>
      </w:r>
      <w:r>
        <w:t>a</w:t>
      </w:r>
      <w:r>
        <w:rPr>
          <w:spacing w:val="40"/>
        </w:rPr>
        <w:t xml:space="preserve"> </w:t>
      </w:r>
      <w:r>
        <w:t>principled</w:t>
      </w:r>
      <w:r>
        <w:rPr>
          <w:spacing w:val="40"/>
        </w:rPr>
        <w:t xml:space="preserve"> </w:t>
      </w:r>
      <w:r>
        <w:t>or</w:t>
      </w:r>
      <w:r>
        <w:rPr>
          <w:spacing w:val="40"/>
        </w:rPr>
        <w:t xml:space="preserve"> </w:t>
      </w:r>
      <w:r>
        <w:t>lawful</w:t>
      </w:r>
      <w:r>
        <w:rPr>
          <w:spacing w:val="40"/>
        </w:rPr>
        <w:t xml:space="preserve"> </w:t>
      </w:r>
      <w:r>
        <w:t>connection</w:t>
      </w:r>
    </w:p>
    <w:p w14:paraId="7E00195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54" w14:textId="77777777" w:rsidR="009A58DB" w:rsidRDefault="00000000">
      <w:pPr>
        <w:pStyle w:val="BodyText"/>
        <w:spacing w:before="70" w:line="249" w:lineRule="auto"/>
        <w:ind w:right="359"/>
      </w:pPr>
      <w:r>
        <w:lastRenderedPageBreak/>
        <w:t xml:space="preserve">between a thing’s being a phi, on the one hand, and its being a psi, on the other. Here, then, is the </w:t>
      </w:r>
      <w:r>
        <w:rPr>
          <w:i/>
        </w:rPr>
        <w:t xml:space="preserve">real </w:t>
      </w:r>
      <w:r>
        <w:t xml:space="preserve">structure of inferences that are wrongly thought of as cases if induction by enumeration: (i) you know of many phi’s that are psi’s and of no phi’s that are non-psi’s; (ii) on the basis of step (i), you believe there to be some principled connection between a thing’s being a phi and its being a psi; (iii) if you know of a given thing that is a phi, but don’t yet know whether or not it’s a psi, you know, given (ii), that it’s likely to be a psi; therefore, (iv) you conclude (if only tentatively) that it </w:t>
      </w:r>
      <w:r>
        <w:rPr>
          <w:i/>
        </w:rPr>
        <w:t xml:space="preserve">is </w:t>
      </w:r>
      <w:r>
        <w:t>a psi.</w:t>
      </w:r>
    </w:p>
    <w:p w14:paraId="7E001955" w14:textId="77777777" w:rsidR="009A58DB" w:rsidRDefault="00000000">
      <w:pPr>
        <w:pStyle w:val="BodyText"/>
        <w:spacing w:before="4" w:line="249" w:lineRule="auto"/>
        <w:ind w:right="359" w:firstLine="360"/>
      </w:pPr>
      <w:r>
        <w:t>Thus, any case of induction by enumeration that isn’t an instance of the gambler’s fallacy involves the positing some mechanism or law that, were it to exist, would explain a certain concomitance—it involves, in other words, a case</w:t>
      </w:r>
      <w:r>
        <w:rPr>
          <w:spacing w:val="-3"/>
        </w:rPr>
        <w:t xml:space="preserve"> </w:t>
      </w:r>
      <w:r>
        <w:t>of</w:t>
      </w:r>
      <w:r>
        <w:rPr>
          <w:spacing w:val="-3"/>
        </w:rPr>
        <w:t xml:space="preserve"> </w:t>
      </w:r>
      <w:r>
        <w:rPr>
          <w:i/>
        </w:rPr>
        <w:t xml:space="preserve">inference to the best explanation. </w:t>
      </w:r>
      <w:r>
        <w:t xml:space="preserve">The best explanation of the fact that all known phi’s are psi’s is that, thanks to some mechanism or, in any case, principled connection of </w:t>
      </w:r>
      <w:r>
        <w:rPr>
          <w:i/>
        </w:rPr>
        <w:t xml:space="preserve">some </w:t>
      </w:r>
      <w:r>
        <w:t>kind or other, a thing’s being a phi disposes it to be a psi; and as soon as such a mechanism has been posited, but not one second sooner, your knowing of a given thing that it’s a phi is a reason for you to hold that it’s a psi. So any non-fallacious “induction by enumeration” is nothing other than a case of inference to the best explanation (or, more precisely, is a case of applying some theory that embodies an inference to the best explanation).</w:t>
      </w:r>
    </w:p>
    <w:p w14:paraId="7E001956" w14:textId="77777777" w:rsidR="009A58DB" w:rsidRDefault="00000000">
      <w:pPr>
        <w:pStyle w:val="BodyText"/>
        <w:spacing w:before="15" w:line="249" w:lineRule="auto"/>
        <w:ind w:right="359" w:firstLine="360"/>
      </w:pPr>
      <w:r>
        <w:t>Hume’s argument assumes that it is only through induction by enumeration that the past is any guide to the future. It assumes that, so far as we have any reason to believe that future phi’s will be psi’s, it is that past phi’s have been psi’s. But this assumption is dead wrong. The fact that past phi’s</w:t>
      </w:r>
      <w:r>
        <w:rPr>
          <w:spacing w:val="-2"/>
        </w:rPr>
        <w:t xml:space="preserve"> </w:t>
      </w:r>
      <w:r>
        <w:t>were</w:t>
      </w:r>
      <w:r>
        <w:rPr>
          <w:spacing w:val="-2"/>
        </w:rPr>
        <w:t xml:space="preserve"> </w:t>
      </w:r>
      <w:r>
        <w:t>psi’s,</w:t>
      </w:r>
      <w:r>
        <w:rPr>
          <w:spacing w:val="-2"/>
        </w:rPr>
        <w:t xml:space="preserve"> </w:t>
      </w:r>
      <w:r>
        <w:t>is</w:t>
      </w:r>
      <w:r>
        <w:rPr>
          <w:spacing w:val="-2"/>
        </w:rPr>
        <w:t xml:space="preserve"> </w:t>
      </w:r>
      <w:r>
        <w:t>not,</w:t>
      </w:r>
      <w:r>
        <w:rPr>
          <w:spacing w:val="-2"/>
        </w:rPr>
        <w:t xml:space="preserve"> </w:t>
      </w:r>
      <w:r>
        <w:t>in</w:t>
      </w:r>
      <w:r>
        <w:rPr>
          <w:spacing w:val="-2"/>
        </w:rPr>
        <w:t xml:space="preserve"> </w:t>
      </w:r>
      <w:r>
        <w:t>and</w:t>
      </w:r>
      <w:r>
        <w:rPr>
          <w:spacing w:val="-2"/>
        </w:rPr>
        <w:t xml:space="preserve"> </w:t>
      </w:r>
      <w:r>
        <w:t>of</w:t>
      </w:r>
      <w:r>
        <w:rPr>
          <w:spacing w:val="-2"/>
        </w:rPr>
        <w:t xml:space="preserve"> </w:t>
      </w:r>
      <w:r>
        <w:t>itself,</w:t>
      </w:r>
      <w:r>
        <w:rPr>
          <w:spacing w:val="-2"/>
        </w:rPr>
        <w:t xml:space="preserve"> </w:t>
      </w:r>
      <w:r>
        <w:t>reason</w:t>
      </w:r>
      <w:r>
        <w:rPr>
          <w:spacing w:val="-2"/>
        </w:rPr>
        <w:t xml:space="preserve"> </w:t>
      </w:r>
      <w:r>
        <w:t>to</w:t>
      </w:r>
      <w:r>
        <w:rPr>
          <w:spacing w:val="-2"/>
        </w:rPr>
        <w:t xml:space="preserve"> </w:t>
      </w:r>
      <w:r>
        <w:t>hold</w:t>
      </w:r>
      <w:r>
        <w:rPr>
          <w:spacing w:val="-2"/>
        </w:rPr>
        <w:t xml:space="preserve"> </w:t>
      </w:r>
      <w:r>
        <w:t>that</w:t>
      </w:r>
      <w:r>
        <w:rPr>
          <w:spacing w:val="-2"/>
        </w:rPr>
        <w:t xml:space="preserve"> </w:t>
      </w:r>
      <w:r>
        <w:t>future</w:t>
      </w:r>
      <w:r>
        <w:rPr>
          <w:spacing w:val="-2"/>
        </w:rPr>
        <w:t xml:space="preserve"> </w:t>
      </w:r>
      <w:r>
        <w:t>phi’s</w:t>
      </w:r>
      <w:r>
        <w:rPr>
          <w:spacing w:val="-2"/>
        </w:rPr>
        <w:t xml:space="preserve"> </w:t>
      </w:r>
      <w:r>
        <w:t>will</w:t>
      </w:r>
      <w:r>
        <w:rPr>
          <w:spacing w:val="-2"/>
        </w:rPr>
        <w:t xml:space="preserve"> </w:t>
      </w:r>
      <w:r>
        <w:t xml:space="preserve">be psi’s; it is such a reason </w:t>
      </w:r>
      <w:r>
        <w:rPr>
          <w:i/>
        </w:rPr>
        <w:t xml:space="preserve">only </w:t>
      </w:r>
      <w:r>
        <w:t>to the extent that it suggests some mechanism that disposes phi’s to be psi’s. Hume’s argument assumes otherwise and is thus guilty of assuming the legitimacy of the spurious form of inference involved in cases of the gambler’s fallacy. And, if it is to have a chance of going through, Hume’s argument must be so reconstructed that it no longer embodies that assumption.</w:t>
      </w:r>
    </w:p>
    <w:p w14:paraId="7E001957" w14:textId="77777777" w:rsidR="009A58DB" w:rsidRDefault="00000000">
      <w:pPr>
        <w:pStyle w:val="Heading1"/>
        <w:numPr>
          <w:ilvl w:val="0"/>
          <w:numId w:val="117"/>
        </w:numPr>
        <w:tabs>
          <w:tab w:val="left" w:pos="990"/>
        </w:tabs>
        <w:spacing w:before="202"/>
      </w:pPr>
      <w:r>
        <w:t>The</w:t>
      </w:r>
      <w:r>
        <w:rPr>
          <w:spacing w:val="-7"/>
        </w:rPr>
        <w:t xml:space="preserve"> </w:t>
      </w:r>
      <w:r>
        <w:t>minimization</w:t>
      </w:r>
      <w:r>
        <w:rPr>
          <w:spacing w:val="-4"/>
        </w:rPr>
        <w:t xml:space="preserve"> </w:t>
      </w:r>
      <w:r>
        <w:t>of</w:t>
      </w:r>
      <w:r>
        <w:rPr>
          <w:spacing w:val="-5"/>
        </w:rPr>
        <w:t xml:space="preserve"> </w:t>
      </w:r>
      <w:r>
        <w:t>causal</w:t>
      </w:r>
      <w:r>
        <w:rPr>
          <w:spacing w:val="-4"/>
        </w:rPr>
        <w:t xml:space="preserve"> </w:t>
      </w:r>
      <w:r>
        <w:rPr>
          <w:spacing w:val="-2"/>
        </w:rPr>
        <w:t>anomalies</w:t>
      </w:r>
    </w:p>
    <w:p w14:paraId="7E001958" w14:textId="77777777" w:rsidR="009A58DB" w:rsidRDefault="00000000">
      <w:pPr>
        <w:pStyle w:val="BodyText"/>
        <w:spacing w:before="139" w:line="249" w:lineRule="auto"/>
        <w:ind w:right="367"/>
      </w:pPr>
      <w:r>
        <w:t>We haven’t yet refuted Hume’s argument—we’ve only taken the first step towards</w:t>
      </w:r>
      <w:r>
        <w:rPr>
          <w:spacing w:val="9"/>
        </w:rPr>
        <w:t xml:space="preserve"> </w:t>
      </w:r>
      <w:r>
        <w:t>doing</w:t>
      </w:r>
      <w:r>
        <w:rPr>
          <w:spacing w:val="13"/>
        </w:rPr>
        <w:t xml:space="preserve"> </w:t>
      </w:r>
      <w:r>
        <w:t>so.</w:t>
      </w:r>
      <w:r>
        <w:rPr>
          <w:spacing w:val="12"/>
        </w:rPr>
        <w:t xml:space="preserve"> </w:t>
      </w:r>
      <w:r>
        <w:t>Hume</w:t>
      </w:r>
      <w:r>
        <w:rPr>
          <w:spacing w:val="12"/>
        </w:rPr>
        <w:t xml:space="preserve"> </w:t>
      </w:r>
      <w:r>
        <w:t>could</w:t>
      </w:r>
      <w:r>
        <w:rPr>
          <w:spacing w:val="13"/>
        </w:rPr>
        <w:t xml:space="preserve"> </w:t>
      </w:r>
      <w:r>
        <w:t>defend</w:t>
      </w:r>
      <w:r>
        <w:rPr>
          <w:spacing w:val="12"/>
        </w:rPr>
        <w:t xml:space="preserve"> </w:t>
      </w:r>
      <w:r>
        <w:t>his</w:t>
      </w:r>
      <w:r>
        <w:rPr>
          <w:spacing w:val="12"/>
        </w:rPr>
        <w:t xml:space="preserve"> </w:t>
      </w:r>
      <w:r>
        <w:t>view</w:t>
      </w:r>
      <w:r>
        <w:rPr>
          <w:spacing w:val="12"/>
        </w:rPr>
        <w:t xml:space="preserve"> </w:t>
      </w:r>
      <w:r>
        <w:t>against</w:t>
      </w:r>
      <w:r>
        <w:rPr>
          <w:spacing w:val="12"/>
        </w:rPr>
        <w:t xml:space="preserve"> </w:t>
      </w:r>
      <w:r>
        <w:t>what</w:t>
      </w:r>
      <w:r>
        <w:rPr>
          <w:spacing w:val="11"/>
        </w:rPr>
        <w:t xml:space="preserve"> </w:t>
      </w:r>
      <w:r>
        <w:t>we’ve</w:t>
      </w:r>
      <w:r>
        <w:rPr>
          <w:spacing w:val="12"/>
        </w:rPr>
        <w:t xml:space="preserve"> </w:t>
      </w:r>
      <w:r>
        <w:t>said</w:t>
      </w:r>
      <w:r>
        <w:rPr>
          <w:spacing w:val="13"/>
        </w:rPr>
        <w:t xml:space="preserve"> </w:t>
      </w:r>
      <w:r>
        <w:rPr>
          <w:spacing w:val="-4"/>
        </w:rPr>
        <w:t>thus</w:t>
      </w:r>
    </w:p>
    <w:p w14:paraId="7E00195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5A" w14:textId="77777777" w:rsidR="009A58DB" w:rsidRDefault="00000000">
      <w:pPr>
        <w:pStyle w:val="BodyText"/>
        <w:spacing w:before="60"/>
      </w:pPr>
      <w:r>
        <w:lastRenderedPageBreak/>
        <w:t>by</w:t>
      </w:r>
      <w:r>
        <w:rPr>
          <w:spacing w:val="-2"/>
        </w:rPr>
        <w:t xml:space="preserve"> </w:t>
      </w:r>
      <w:r>
        <w:t>far</w:t>
      </w:r>
      <w:r>
        <w:rPr>
          <w:spacing w:val="-2"/>
        </w:rPr>
        <w:t xml:space="preserve"> </w:t>
      </w:r>
      <w:r>
        <w:t>by</w:t>
      </w:r>
      <w:r>
        <w:rPr>
          <w:spacing w:val="-1"/>
        </w:rPr>
        <w:t xml:space="preserve"> </w:t>
      </w:r>
      <w:r>
        <w:t>saying</w:t>
      </w:r>
      <w:r>
        <w:rPr>
          <w:spacing w:val="-1"/>
        </w:rPr>
        <w:t xml:space="preserve"> </w:t>
      </w:r>
      <w:r>
        <w:t>the</w:t>
      </w:r>
      <w:r>
        <w:rPr>
          <w:spacing w:val="-2"/>
        </w:rPr>
        <w:t xml:space="preserve"> following:</w:t>
      </w:r>
    </w:p>
    <w:p w14:paraId="7E00195B" w14:textId="77777777" w:rsidR="009A58DB" w:rsidRDefault="009A58DB">
      <w:pPr>
        <w:pStyle w:val="BodyText"/>
        <w:spacing w:before="34"/>
        <w:ind w:left="0"/>
        <w:jc w:val="left"/>
      </w:pPr>
    </w:p>
    <w:p w14:paraId="7E00195C" w14:textId="77777777" w:rsidR="009A58DB" w:rsidRDefault="00000000">
      <w:pPr>
        <w:pStyle w:val="BodyText"/>
        <w:spacing w:before="1" w:line="277" w:lineRule="exact"/>
        <w:ind w:left="1236"/>
        <w:jc w:val="left"/>
      </w:pPr>
      <w:bookmarkStart w:id="336" w:name="_bookmark336"/>
      <w:bookmarkEnd w:id="336"/>
      <w:r>
        <w:rPr>
          <w:color w:val="0562C1"/>
          <w:spacing w:val="-2"/>
          <w:u w:val="single" w:color="0562C1"/>
        </w:rPr>
        <w:t>[230]</w:t>
      </w:r>
    </w:p>
    <w:p w14:paraId="7E00195D" w14:textId="77777777" w:rsidR="009A58DB" w:rsidRDefault="00000000">
      <w:pPr>
        <w:pStyle w:val="BodyText"/>
        <w:spacing w:line="277" w:lineRule="exact"/>
        <w:ind w:left="720"/>
      </w:pPr>
      <w:r>
        <w:t>(HR</w:t>
      </w:r>
      <w:r>
        <w:rPr>
          <w:spacing w:val="47"/>
          <w:w w:val="150"/>
        </w:rPr>
        <w:t xml:space="preserve">    </w:t>
      </w:r>
      <w:r>
        <w:t>)</w:t>
      </w:r>
      <w:r>
        <w:rPr>
          <w:spacing w:val="42"/>
        </w:rPr>
        <w:t xml:space="preserve"> </w:t>
      </w:r>
      <w:r>
        <w:t>Suppose</w:t>
      </w:r>
      <w:r>
        <w:rPr>
          <w:spacing w:val="39"/>
        </w:rPr>
        <w:t xml:space="preserve"> </w:t>
      </w:r>
      <w:r>
        <w:t>that,</w:t>
      </w:r>
      <w:r>
        <w:rPr>
          <w:spacing w:val="39"/>
        </w:rPr>
        <w:t xml:space="preserve"> </w:t>
      </w:r>
      <w:r>
        <w:t>to</w:t>
      </w:r>
      <w:r>
        <w:rPr>
          <w:spacing w:val="39"/>
        </w:rPr>
        <w:t xml:space="preserve"> </w:t>
      </w:r>
      <w:r>
        <w:t>explain</w:t>
      </w:r>
      <w:r>
        <w:rPr>
          <w:spacing w:val="39"/>
        </w:rPr>
        <w:t xml:space="preserve"> </w:t>
      </w:r>
      <w:r>
        <w:t>why</w:t>
      </w:r>
      <w:r>
        <w:rPr>
          <w:spacing w:val="40"/>
        </w:rPr>
        <w:t xml:space="preserve"> </w:t>
      </w:r>
      <w:r>
        <w:t>all</w:t>
      </w:r>
      <w:r>
        <w:rPr>
          <w:spacing w:val="39"/>
        </w:rPr>
        <w:t xml:space="preserve"> </w:t>
      </w:r>
      <w:r>
        <w:t>phi’s</w:t>
      </w:r>
      <w:r>
        <w:rPr>
          <w:spacing w:val="38"/>
        </w:rPr>
        <w:t xml:space="preserve"> </w:t>
      </w:r>
      <w:r>
        <w:t>thus</w:t>
      </w:r>
      <w:r>
        <w:rPr>
          <w:spacing w:val="39"/>
        </w:rPr>
        <w:t xml:space="preserve"> </w:t>
      </w:r>
      <w:r>
        <w:t>far</w:t>
      </w:r>
      <w:r>
        <w:rPr>
          <w:spacing w:val="39"/>
        </w:rPr>
        <w:t xml:space="preserve"> </w:t>
      </w:r>
      <w:r>
        <w:t>known</w:t>
      </w:r>
      <w:r>
        <w:rPr>
          <w:spacing w:val="39"/>
        </w:rPr>
        <w:t xml:space="preserve"> </w:t>
      </w:r>
      <w:r>
        <w:rPr>
          <w:spacing w:val="-5"/>
        </w:rPr>
        <w:t>are</w:t>
      </w:r>
    </w:p>
    <w:p w14:paraId="7E00195E" w14:textId="77777777" w:rsidR="009A58DB" w:rsidRDefault="00000000">
      <w:pPr>
        <w:pStyle w:val="BodyText"/>
        <w:spacing w:before="15" w:line="249" w:lineRule="auto"/>
        <w:ind w:left="720" w:right="720"/>
      </w:pPr>
      <w:r>
        <w:t xml:space="preserve">psi’s, you posit some underlying structure or law that disposes phi’s to be psi’s. Unless you think that nature is uniform, you have no right to expect that connection to </w:t>
      </w:r>
      <w:r>
        <w:rPr>
          <w:i/>
        </w:rPr>
        <w:t xml:space="preserve">continue </w:t>
      </w:r>
      <w:r>
        <w:t>to hold. But if, in order to deal with this, you suppose that nature is uniform, then you’re caught in the vicious circle that I described.</w:t>
      </w:r>
    </w:p>
    <w:p w14:paraId="7E00195F" w14:textId="77777777" w:rsidR="009A58DB" w:rsidRDefault="009A58DB">
      <w:pPr>
        <w:pStyle w:val="BodyText"/>
        <w:spacing w:before="21"/>
        <w:ind w:left="0"/>
        <w:jc w:val="left"/>
      </w:pPr>
    </w:p>
    <w:p w14:paraId="7E001960" w14:textId="77777777" w:rsidR="009A58DB" w:rsidRDefault="00000000">
      <w:pPr>
        <w:pStyle w:val="BodyText"/>
        <w:spacing w:line="249" w:lineRule="auto"/>
        <w:ind w:right="364" w:firstLine="360"/>
      </w:pPr>
      <w:r>
        <w:t>HR is correct. One is indeed caught in a vicious circle if, in order to show the legitimacy of inductive inference, one assumes UP; and the reason is that, just as Hume says, UP can be known, if at all, only on inductive grounds.</w:t>
      </w:r>
    </w:p>
    <w:p w14:paraId="7E001961" w14:textId="77777777" w:rsidR="009A58DB" w:rsidRDefault="00000000">
      <w:pPr>
        <w:pStyle w:val="Heading1"/>
        <w:spacing w:before="192" w:line="244" w:lineRule="auto"/>
        <w:ind w:left="360" w:firstLine="0"/>
      </w:pPr>
      <w:r>
        <w:t>4.1. Why inductive inferences don’t presuppose the truth of the uniformity principle</w:t>
      </w:r>
    </w:p>
    <w:p w14:paraId="7E001962" w14:textId="77777777" w:rsidR="009A58DB" w:rsidRDefault="00000000">
      <w:pPr>
        <w:pStyle w:val="BodyText"/>
        <w:spacing w:before="131" w:line="249" w:lineRule="auto"/>
        <w:ind w:right="360"/>
      </w:pPr>
      <w:r>
        <w:t xml:space="preserve">But in making an inductive inference, one doesn’t assume UP and, moreover, one doesn’t assume </w:t>
      </w:r>
      <w:r>
        <w:rPr>
          <w:i/>
        </w:rPr>
        <w:t xml:space="preserve">anything </w:t>
      </w:r>
      <w:r>
        <w:t>that, like UP, can be known only on inductive grounds. What one assumes is that explanations are supposed to eliminate causal anomalies—that they are supposed to reduce the number of them and to limit the scope of those that aren’t eliminated. What one assumes, then, is that it is inherent in the very concept of explanation that, other things being equal,</w:t>
      </w:r>
      <w:r>
        <w:rPr>
          <w:spacing w:val="2"/>
        </w:rPr>
        <w:t xml:space="preserve"> </w:t>
      </w:r>
      <w:r>
        <w:t>T</w:t>
      </w:r>
      <w:r>
        <w:rPr>
          <w:vertAlign w:val="subscript"/>
        </w:rPr>
        <w:t>1</w:t>
      </w:r>
      <w:r>
        <w:rPr>
          <w:spacing w:val="11"/>
        </w:rPr>
        <w:t xml:space="preserve"> </w:t>
      </w:r>
      <w:r>
        <w:t>is</w:t>
      </w:r>
      <w:r>
        <w:rPr>
          <w:spacing w:val="12"/>
        </w:rPr>
        <w:t xml:space="preserve"> </w:t>
      </w:r>
      <w:r>
        <w:t>a</w:t>
      </w:r>
      <w:r>
        <w:rPr>
          <w:spacing w:val="12"/>
        </w:rPr>
        <w:t xml:space="preserve"> </w:t>
      </w:r>
      <w:r>
        <w:t>better</w:t>
      </w:r>
      <w:r>
        <w:rPr>
          <w:spacing w:val="12"/>
        </w:rPr>
        <w:t xml:space="preserve"> </w:t>
      </w:r>
      <w:r>
        <w:t>explanation</w:t>
      </w:r>
      <w:r>
        <w:rPr>
          <w:spacing w:val="12"/>
        </w:rPr>
        <w:t xml:space="preserve"> </w:t>
      </w:r>
      <w:r>
        <w:t>than</w:t>
      </w:r>
      <w:r>
        <w:rPr>
          <w:spacing w:val="12"/>
        </w:rPr>
        <w:t xml:space="preserve"> </w:t>
      </w:r>
      <w:r>
        <w:t>T</w:t>
      </w:r>
      <w:r>
        <w:rPr>
          <w:vertAlign w:val="subscript"/>
        </w:rPr>
        <w:t>2</w:t>
      </w:r>
      <w:r>
        <w:rPr>
          <w:spacing w:val="9"/>
        </w:rPr>
        <w:t xml:space="preserve"> </w:t>
      </w:r>
      <w:r>
        <w:t>if</w:t>
      </w:r>
      <w:r>
        <w:rPr>
          <w:spacing w:val="10"/>
        </w:rPr>
        <w:t xml:space="preserve"> </w:t>
      </w:r>
      <w:r>
        <w:t>T</w:t>
      </w:r>
      <w:r>
        <w:rPr>
          <w:vertAlign w:val="subscript"/>
        </w:rPr>
        <w:t>1</w:t>
      </w:r>
      <w:r>
        <w:rPr>
          <w:spacing w:val="11"/>
        </w:rPr>
        <w:t xml:space="preserve"> </w:t>
      </w:r>
      <w:r>
        <w:t>does</w:t>
      </w:r>
      <w:r>
        <w:rPr>
          <w:spacing w:val="12"/>
        </w:rPr>
        <w:t xml:space="preserve"> </w:t>
      </w:r>
      <w:r>
        <w:t>a</w:t>
      </w:r>
      <w:r>
        <w:rPr>
          <w:spacing w:val="13"/>
        </w:rPr>
        <w:t xml:space="preserve"> </w:t>
      </w:r>
      <w:r>
        <w:t>better</w:t>
      </w:r>
      <w:r>
        <w:rPr>
          <w:spacing w:val="11"/>
        </w:rPr>
        <w:t xml:space="preserve"> </w:t>
      </w:r>
      <w:r>
        <w:t>job</w:t>
      </w:r>
      <w:r>
        <w:rPr>
          <w:spacing w:val="12"/>
        </w:rPr>
        <w:t xml:space="preserve"> </w:t>
      </w:r>
      <w:r>
        <w:t>of</w:t>
      </w:r>
      <w:r>
        <w:rPr>
          <w:spacing w:val="12"/>
        </w:rPr>
        <w:t xml:space="preserve"> </w:t>
      </w:r>
      <w:r>
        <w:rPr>
          <w:spacing w:val="-2"/>
        </w:rPr>
        <w:t>eliminating</w:t>
      </w:r>
    </w:p>
    <w:p w14:paraId="7E001963" w14:textId="77777777" w:rsidR="009A58DB" w:rsidRDefault="00000000">
      <w:pPr>
        <w:pStyle w:val="BodyText"/>
        <w:spacing w:before="69"/>
      </w:pPr>
      <w:r>
        <w:t>causal</w:t>
      </w:r>
      <w:r>
        <w:rPr>
          <w:spacing w:val="-5"/>
        </w:rPr>
        <w:t xml:space="preserve"> </w:t>
      </w:r>
      <w:r>
        <w:t>anomalies</w:t>
      </w:r>
      <w:r>
        <w:rPr>
          <w:spacing w:val="-5"/>
        </w:rPr>
        <w:t xml:space="preserve"> </w:t>
      </w:r>
      <w:r>
        <w:t>than</w:t>
      </w:r>
      <w:r>
        <w:rPr>
          <w:spacing w:val="-4"/>
        </w:rPr>
        <w:t xml:space="preserve"> </w:t>
      </w:r>
      <w:r>
        <w:rPr>
          <w:spacing w:val="-5"/>
        </w:rPr>
        <w:t>T</w:t>
      </w:r>
      <w:r>
        <w:rPr>
          <w:spacing w:val="-5"/>
          <w:vertAlign w:val="subscript"/>
        </w:rPr>
        <w:t>2</w:t>
      </w:r>
      <w:r>
        <w:rPr>
          <w:spacing w:val="-5"/>
        </w:rPr>
        <w:t>.</w:t>
      </w:r>
    </w:p>
    <w:p w14:paraId="7E001964" w14:textId="77777777" w:rsidR="009A58DB" w:rsidRDefault="00000000">
      <w:pPr>
        <w:pStyle w:val="BodyText"/>
        <w:spacing w:before="75" w:line="249" w:lineRule="auto"/>
        <w:ind w:right="359" w:firstLine="360"/>
      </w:pPr>
      <w:r>
        <w:t>The purpose of explanation is to minimize the breadth and depth of what must be taken for granted. The more a proposed theory requires you to say: “things just happen that way; there’s no explaining it,” the less successful an explanation it is.</w:t>
      </w:r>
    </w:p>
    <w:p w14:paraId="7E001965" w14:textId="77777777" w:rsidR="009A58DB" w:rsidRDefault="00000000">
      <w:pPr>
        <w:pStyle w:val="BodyText"/>
        <w:spacing w:before="5" w:line="249" w:lineRule="auto"/>
        <w:ind w:right="359" w:firstLine="360"/>
      </w:pPr>
      <w:r>
        <w:t>Here’s an illustration. On Monday night, you park your car in the usual place, viz. right in front of your house, which is in a quiet residential neighborhood. As usual, you make sure that you lock the car and turn the car alarm on. You also put an almost, but not quite, indestructible device (popularly known as “The Club”) on the steering-wheel that locks it into place, making the car undriveable. Given where your home is in relation to where</w:t>
      </w:r>
      <w:r>
        <w:rPr>
          <w:spacing w:val="40"/>
        </w:rPr>
        <w:t xml:space="preserve"> </w:t>
      </w:r>
      <w:r>
        <w:t>the</w:t>
      </w:r>
      <w:r>
        <w:rPr>
          <w:spacing w:val="40"/>
        </w:rPr>
        <w:t xml:space="preserve"> </w:t>
      </w:r>
      <w:r>
        <w:t>car</w:t>
      </w:r>
      <w:r>
        <w:rPr>
          <w:spacing w:val="40"/>
        </w:rPr>
        <w:t xml:space="preserve"> </w:t>
      </w:r>
      <w:r>
        <w:t>is</w:t>
      </w:r>
      <w:r>
        <w:rPr>
          <w:spacing w:val="40"/>
        </w:rPr>
        <w:t xml:space="preserve"> </w:t>
      </w:r>
      <w:r>
        <w:t>parked,</w:t>
      </w:r>
      <w:r>
        <w:rPr>
          <w:spacing w:val="40"/>
        </w:rPr>
        <w:t xml:space="preserve"> </w:t>
      </w:r>
      <w:r>
        <w:t>you’d</w:t>
      </w:r>
      <w:r>
        <w:rPr>
          <w:spacing w:val="40"/>
        </w:rPr>
        <w:t xml:space="preserve"> </w:t>
      </w:r>
      <w:r>
        <w:t>almost</w:t>
      </w:r>
      <w:r>
        <w:rPr>
          <w:spacing w:val="40"/>
        </w:rPr>
        <w:t xml:space="preserve"> </w:t>
      </w:r>
      <w:r>
        <w:t>certainly</w:t>
      </w:r>
      <w:r>
        <w:rPr>
          <w:spacing w:val="40"/>
        </w:rPr>
        <w:t xml:space="preserve"> </w:t>
      </w:r>
      <w:r>
        <w:t>hear</w:t>
      </w:r>
      <w:r>
        <w:rPr>
          <w:spacing w:val="40"/>
        </w:rPr>
        <w:t xml:space="preserve"> </w:t>
      </w:r>
      <w:r>
        <w:t>the</w:t>
      </w:r>
      <w:r>
        <w:rPr>
          <w:spacing w:val="40"/>
        </w:rPr>
        <w:t xml:space="preserve"> </w:t>
      </w:r>
      <w:r>
        <w:t>car</w:t>
      </w:r>
      <w:r>
        <w:rPr>
          <w:spacing w:val="40"/>
        </w:rPr>
        <w:t xml:space="preserve"> </w:t>
      </w:r>
      <w:r>
        <w:t>alarm</w:t>
      </w:r>
      <w:r>
        <w:rPr>
          <w:spacing w:val="40"/>
        </w:rPr>
        <w:t xml:space="preserve"> </w:t>
      </w:r>
      <w:r>
        <w:t>go</w:t>
      </w:r>
      <w:r>
        <w:rPr>
          <w:spacing w:val="40"/>
        </w:rPr>
        <w:t xml:space="preserve"> </w:t>
      </w:r>
      <w:r>
        <w:t>off,</w:t>
      </w:r>
    </w:p>
    <w:p w14:paraId="7E00196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67" w14:textId="77777777" w:rsidR="009A58DB" w:rsidRDefault="00000000">
      <w:pPr>
        <w:pStyle w:val="BodyText"/>
        <w:spacing w:before="60" w:line="249" w:lineRule="auto"/>
        <w:ind w:right="360"/>
      </w:pPr>
      <w:r>
        <w:lastRenderedPageBreak/>
        <w:t>were it to do so. In fact, unless you were fast asleep, you’d even hear the footsteps of someone approaching the car. So even if the car alarm weren’t on, you might well hear the approach of a would-be thief and you’d certainly hear the noises made by somebody who, not having the keys needed to open the car or to unlock the steering wheel or to start the car, would have to jimmy the door lock, saw through the wheel lock, etc.</w:t>
      </w:r>
    </w:p>
    <w:p w14:paraId="7E001968" w14:textId="77777777" w:rsidR="009A58DB" w:rsidRDefault="00000000">
      <w:pPr>
        <w:pStyle w:val="BodyText"/>
        <w:spacing w:before="12" w:line="249" w:lineRule="auto"/>
        <w:ind w:right="358" w:firstLine="360"/>
      </w:pPr>
      <w:r>
        <w:t>As it happens, you hear nothing all night. And you know that you didn’t sleep any more deeply than usual—that, for example, you weren’t in a particularly deep drug-induced slumber—and, in general, that you weren’t made less sensitive to noise than you usually are. (For argumentative purposes,</w:t>
      </w:r>
      <w:r>
        <w:rPr>
          <w:spacing w:val="-1"/>
        </w:rPr>
        <w:t xml:space="preserve"> </w:t>
      </w:r>
      <w:r>
        <w:t>we’ll</w:t>
      </w:r>
      <w:r>
        <w:rPr>
          <w:spacing w:val="-1"/>
        </w:rPr>
        <w:t xml:space="preserve"> </w:t>
      </w:r>
      <w:r>
        <w:t>set</w:t>
      </w:r>
      <w:r>
        <w:rPr>
          <w:spacing w:val="-1"/>
        </w:rPr>
        <w:t xml:space="preserve"> </w:t>
      </w:r>
      <w:r>
        <w:t>aside</w:t>
      </w:r>
      <w:r>
        <w:rPr>
          <w:spacing w:val="-1"/>
        </w:rPr>
        <w:t xml:space="preserve"> </w:t>
      </w:r>
      <w:r>
        <w:t>the</w:t>
      </w:r>
      <w:r>
        <w:rPr>
          <w:spacing w:val="-1"/>
        </w:rPr>
        <w:t xml:space="preserve"> </w:t>
      </w:r>
      <w:r>
        <w:t>question</w:t>
      </w:r>
      <w:r>
        <w:rPr>
          <w:spacing w:val="-1"/>
        </w:rPr>
        <w:t xml:space="preserve"> </w:t>
      </w:r>
      <w:r>
        <w:t>of</w:t>
      </w:r>
      <w:r>
        <w:rPr>
          <w:spacing w:val="-1"/>
        </w:rPr>
        <w:t xml:space="preserve"> </w:t>
      </w:r>
      <w:r>
        <w:t>how</w:t>
      </w:r>
      <w:r>
        <w:rPr>
          <w:spacing w:val="-1"/>
        </w:rPr>
        <w:t xml:space="preserve"> </w:t>
      </w:r>
      <w:r>
        <w:t>you</w:t>
      </w:r>
      <w:r>
        <w:rPr>
          <w:spacing w:val="-1"/>
        </w:rPr>
        <w:t xml:space="preserve"> </w:t>
      </w:r>
      <w:r>
        <w:t>know</w:t>
      </w:r>
      <w:r>
        <w:rPr>
          <w:spacing w:val="-1"/>
        </w:rPr>
        <w:t xml:space="preserve"> </w:t>
      </w:r>
      <w:r>
        <w:t>this.)</w:t>
      </w:r>
      <w:r>
        <w:rPr>
          <w:spacing w:val="-1"/>
        </w:rPr>
        <w:t xml:space="preserve"> </w:t>
      </w:r>
      <w:r>
        <w:t>Nonetheless,</w:t>
      </w:r>
      <w:r>
        <w:rPr>
          <w:spacing w:val="-1"/>
        </w:rPr>
        <w:t xml:space="preserve"> </w:t>
      </w:r>
      <w:r>
        <w:t>on Tuesday morning, the car is gone.</w:t>
      </w:r>
    </w:p>
    <w:p w14:paraId="7E001969" w14:textId="77777777" w:rsidR="009A58DB" w:rsidRDefault="00000000">
      <w:pPr>
        <w:pStyle w:val="BodyText"/>
        <w:spacing w:before="7" w:line="249" w:lineRule="auto"/>
        <w:ind w:right="365" w:firstLine="360"/>
      </w:pPr>
      <w:r>
        <w:t>What are the various possible explanations of this? (By “possible,” I don’t necessarily mean “worthy of consideration,” only “not ruled out by the laws of logic.”) There are infinitely many; but here are three.</w:t>
      </w:r>
    </w:p>
    <w:p w14:paraId="7E00196A" w14:textId="77777777" w:rsidR="009A58DB" w:rsidRDefault="009A58DB">
      <w:pPr>
        <w:pStyle w:val="BodyText"/>
        <w:spacing w:before="19"/>
        <w:ind w:left="0"/>
        <w:jc w:val="left"/>
      </w:pPr>
    </w:p>
    <w:p w14:paraId="7E00196B" w14:textId="77777777" w:rsidR="009A58DB" w:rsidRDefault="00000000">
      <w:pPr>
        <w:pStyle w:val="BodyText"/>
        <w:spacing w:line="271" w:lineRule="auto"/>
        <w:ind w:left="720" w:right="726"/>
      </w:pPr>
      <w:r>
        <w:t>(E</w:t>
      </w:r>
      <w:r>
        <w:rPr>
          <w:vertAlign w:val="subscript"/>
        </w:rPr>
        <w:t>1</w:t>
      </w:r>
      <w:r>
        <w:t>) Using his or her super powers to bypass the security measures you took, some superhero-like creature made off with the car, making little or no noise and leaving few or no clues.</w:t>
      </w:r>
    </w:p>
    <w:p w14:paraId="7E00196C" w14:textId="77777777" w:rsidR="009A58DB" w:rsidRDefault="00000000">
      <w:pPr>
        <w:pStyle w:val="BodyText"/>
        <w:spacing w:before="331" w:line="271" w:lineRule="auto"/>
        <w:ind w:left="720" w:right="726"/>
      </w:pPr>
      <w:r>
        <w:t>(E</w:t>
      </w:r>
      <w:r>
        <w:rPr>
          <w:vertAlign w:val="subscript"/>
        </w:rPr>
        <w:t>2</w:t>
      </w:r>
      <w:r>
        <w:t>) As you were sleeping, the laws of physics changed in such a way that hitherto noisy processes (e.g., those that occur when car alarms go off) are no longer noisy.</w:t>
      </w:r>
    </w:p>
    <w:p w14:paraId="7E00196D" w14:textId="77777777" w:rsidR="009A58DB" w:rsidRDefault="00000000">
      <w:pPr>
        <w:pStyle w:val="BodyText"/>
        <w:spacing w:before="330" w:line="271" w:lineRule="auto"/>
        <w:ind w:left="720" w:right="723"/>
      </w:pPr>
      <w:r>
        <w:t>(E</w:t>
      </w:r>
      <w:r>
        <w:rPr>
          <w:vertAlign w:val="subscript"/>
        </w:rPr>
        <w:t>3</w:t>
      </w:r>
      <w:r>
        <w:t>) Your good friend Larry—who, despite his numerous convictions for auto-theft, simply radiates trustworthiness and decency, and to whom,</w:t>
      </w:r>
      <w:r>
        <w:rPr>
          <w:spacing w:val="68"/>
        </w:rPr>
        <w:t xml:space="preserve"> </w:t>
      </w:r>
      <w:r>
        <w:t>without</w:t>
      </w:r>
      <w:r>
        <w:rPr>
          <w:spacing w:val="68"/>
        </w:rPr>
        <w:t xml:space="preserve"> </w:t>
      </w:r>
      <w:r>
        <w:t>so</w:t>
      </w:r>
      <w:r>
        <w:rPr>
          <w:spacing w:val="68"/>
        </w:rPr>
        <w:t xml:space="preserve"> </w:t>
      </w:r>
      <w:r>
        <w:t>much</w:t>
      </w:r>
      <w:r>
        <w:rPr>
          <w:spacing w:val="69"/>
        </w:rPr>
        <w:t xml:space="preserve"> </w:t>
      </w:r>
      <w:r>
        <w:t>as</w:t>
      </w:r>
      <w:r>
        <w:rPr>
          <w:spacing w:val="68"/>
        </w:rPr>
        <w:t xml:space="preserve"> </w:t>
      </w:r>
      <w:r>
        <w:t>a</w:t>
      </w:r>
      <w:r>
        <w:rPr>
          <w:spacing w:val="68"/>
        </w:rPr>
        <w:t xml:space="preserve"> </w:t>
      </w:r>
      <w:r>
        <w:t>touch</w:t>
      </w:r>
      <w:r>
        <w:rPr>
          <w:spacing w:val="68"/>
        </w:rPr>
        <w:t xml:space="preserve"> </w:t>
      </w:r>
      <w:r>
        <w:t>of</w:t>
      </w:r>
      <w:r>
        <w:rPr>
          <w:spacing w:val="68"/>
        </w:rPr>
        <w:t xml:space="preserve"> </w:t>
      </w:r>
      <w:r>
        <w:t>anxiety,</w:t>
      </w:r>
      <w:r>
        <w:rPr>
          <w:spacing w:val="68"/>
        </w:rPr>
        <w:t xml:space="preserve"> </w:t>
      </w:r>
      <w:r>
        <w:t>you</w:t>
      </w:r>
      <w:r>
        <w:rPr>
          <w:spacing w:val="69"/>
        </w:rPr>
        <w:t xml:space="preserve"> </w:t>
      </w:r>
      <w:r>
        <w:t>therefore</w:t>
      </w:r>
      <w:r>
        <w:rPr>
          <w:spacing w:val="69"/>
        </w:rPr>
        <w:t xml:space="preserve"> </w:t>
      </w:r>
      <w:r>
        <w:rPr>
          <w:spacing w:val="-4"/>
        </w:rPr>
        <w:t>gave</w:t>
      </w:r>
    </w:p>
    <w:p w14:paraId="7E00196E" w14:textId="77777777" w:rsidR="009A58DB" w:rsidRDefault="00000000">
      <w:pPr>
        <w:pStyle w:val="BodyText"/>
        <w:spacing w:line="316" w:lineRule="exact"/>
        <w:ind w:left="720"/>
      </w:pPr>
      <w:r>
        <w:t>copies</w:t>
      </w:r>
      <w:r>
        <w:rPr>
          <w:spacing w:val="57"/>
        </w:rPr>
        <w:t xml:space="preserve"> </w:t>
      </w:r>
      <w:r>
        <w:t>of</w:t>
      </w:r>
      <w:r>
        <w:rPr>
          <w:spacing w:val="57"/>
        </w:rPr>
        <w:t xml:space="preserve"> </w:t>
      </w:r>
      <w:r>
        <w:t>all</w:t>
      </w:r>
      <w:r>
        <w:rPr>
          <w:spacing w:val="57"/>
        </w:rPr>
        <w:t xml:space="preserve"> </w:t>
      </w:r>
      <w:r>
        <w:t>your</w:t>
      </w:r>
      <w:r>
        <w:rPr>
          <w:spacing w:val="57"/>
        </w:rPr>
        <w:t xml:space="preserve"> </w:t>
      </w:r>
      <w:r>
        <w:t>keys—made</w:t>
      </w:r>
      <w:r>
        <w:rPr>
          <w:spacing w:val="57"/>
        </w:rPr>
        <w:t xml:space="preserve"> </w:t>
      </w:r>
      <w:r>
        <w:t>off</w:t>
      </w:r>
      <w:r>
        <w:rPr>
          <w:spacing w:val="57"/>
        </w:rPr>
        <w:t xml:space="preserve"> </w:t>
      </w:r>
      <w:r>
        <w:t>with</w:t>
      </w:r>
      <w:r>
        <w:rPr>
          <w:spacing w:val="58"/>
        </w:rPr>
        <w:t xml:space="preserve"> </w:t>
      </w:r>
      <w:r>
        <w:t>the</w:t>
      </w:r>
      <w:r>
        <w:rPr>
          <w:spacing w:val="57"/>
        </w:rPr>
        <w:t xml:space="preserve"> </w:t>
      </w:r>
      <w:r>
        <w:t>car.</w:t>
      </w:r>
      <w:r>
        <w:rPr>
          <w:spacing w:val="58"/>
        </w:rPr>
        <w:t xml:space="preserve"> </w:t>
      </w:r>
      <w:r>
        <w:t>(For</w:t>
      </w:r>
      <w:r>
        <w:rPr>
          <w:spacing w:val="58"/>
        </w:rPr>
        <w:t xml:space="preserve"> </w:t>
      </w:r>
      <w:r>
        <w:rPr>
          <w:spacing w:val="-2"/>
        </w:rPr>
        <w:t>argumentative</w:t>
      </w:r>
    </w:p>
    <w:p w14:paraId="7E00196F" w14:textId="77777777" w:rsidR="009A58DB" w:rsidRDefault="00000000">
      <w:pPr>
        <w:pStyle w:val="BodyText"/>
        <w:spacing w:before="15" w:line="249" w:lineRule="auto"/>
        <w:ind w:left="720" w:right="727"/>
      </w:pPr>
      <w:r>
        <w:t xml:space="preserve">purposes, let’s assume that, given that the car is gone, it had to have been stolen; it could not, we will suppose, have been towed or simply </w:t>
      </w:r>
      <w:r>
        <w:rPr>
          <w:spacing w:val="-2"/>
        </w:rPr>
        <w:t>borrowed.)</w:t>
      </w:r>
    </w:p>
    <w:p w14:paraId="7E001970" w14:textId="77777777" w:rsidR="009A58DB" w:rsidRDefault="009A58DB">
      <w:pPr>
        <w:pStyle w:val="BodyText"/>
        <w:spacing w:before="19"/>
        <w:ind w:left="0"/>
        <w:jc w:val="left"/>
      </w:pPr>
    </w:p>
    <w:p w14:paraId="7E001971" w14:textId="77777777" w:rsidR="009A58DB" w:rsidRDefault="00000000">
      <w:pPr>
        <w:pStyle w:val="BodyText"/>
        <w:spacing w:line="271" w:lineRule="auto"/>
        <w:ind w:right="363" w:firstLine="360"/>
      </w:pPr>
      <w:r>
        <w:t>Each of E</w:t>
      </w:r>
      <w:r>
        <w:rPr>
          <w:vertAlign w:val="subscript"/>
        </w:rPr>
        <w:t>1</w:t>
      </w:r>
      <w:r>
        <w:t xml:space="preserve"> and E</w:t>
      </w:r>
      <w:r>
        <w:rPr>
          <w:vertAlign w:val="subscript"/>
        </w:rPr>
        <w:t>2</w:t>
      </w:r>
      <w:r>
        <w:t xml:space="preserve"> replaces the mystery of how your car could be noiselessly stolen with a far greater mystery. In fact, each creates a whole network</w:t>
      </w:r>
      <w:r>
        <w:rPr>
          <w:spacing w:val="6"/>
        </w:rPr>
        <w:t xml:space="preserve"> </w:t>
      </w:r>
      <w:r>
        <w:t>of</w:t>
      </w:r>
      <w:r>
        <w:rPr>
          <w:spacing w:val="6"/>
        </w:rPr>
        <w:t xml:space="preserve"> </w:t>
      </w:r>
      <w:r>
        <w:t>deep</w:t>
      </w:r>
      <w:r>
        <w:rPr>
          <w:spacing w:val="6"/>
        </w:rPr>
        <w:t xml:space="preserve"> </w:t>
      </w:r>
      <w:r>
        <w:t>mysteries.</w:t>
      </w:r>
      <w:r>
        <w:rPr>
          <w:spacing w:val="6"/>
        </w:rPr>
        <w:t xml:space="preserve"> </w:t>
      </w:r>
      <w:r>
        <w:t>E</w:t>
      </w:r>
      <w:r>
        <w:rPr>
          <w:vertAlign w:val="subscript"/>
        </w:rPr>
        <w:t>1</w:t>
      </w:r>
      <w:r>
        <w:t>,</w:t>
      </w:r>
      <w:r>
        <w:rPr>
          <w:spacing w:val="10"/>
        </w:rPr>
        <w:t xml:space="preserve"> </w:t>
      </w:r>
      <w:r>
        <w:t>if</w:t>
      </w:r>
      <w:r>
        <w:rPr>
          <w:spacing w:val="10"/>
        </w:rPr>
        <w:t xml:space="preserve"> </w:t>
      </w:r>
      <w:r>
        <w:t>correct,</w:t>
      </w:r>
      <w:r>
        <w:rPr>
          <w:spacing w:val="10"/>
        </w:rPr>
        <w:t xml:space="preserve"> </w:t>
      </w:r>
      <w:r>
        <w:t>would</w:t>
      </w:r>
      <w:r>
        <w:rPr>
          <w:spacing w:val="10"/>
        </w:rPr>
        <w:t xml:space="preserve"> </w:t>
      </w:r>
      <w:r>
        <w:t>generate</w:t>
      </w:r>
      <w:r>
        <w:rPr>
          <w:spacing w:val="10"/>
        </w:rPr>
        <w:t xml:space="preserve"> </w:t>
      </w:r>
      <w:r>
        <w:t>a</w:t>
      </w:r>
      <w:r>
        <w:rPr>
          <w:spacing w:val="10"/>
        </w:rPr>
        <w:t xml:space="preserve"> </w:t>
      </w:r>
      <w:r>
        <w:t>number</w:t>
      </w:r>
      <w:r>
        <w:rPr>
          <w:spacing w:val="10"/>
        </w:rPr>
        <w:t xml:space="preserve"> </w:t>
      </w:r>
      <w:r>
        <w:t>of</w:t>
      </w:r>
      <w:r>
        <w:rPr>
          <w:spacing w:val="10"/>
        </w:rPr>
        <w:t xml:space="preserve"> </w:t>
      </w:r>
      <w:r>
        <w:rPr>
          <w:spacing w:val="-2"/>
        </w:rPr>
        <w:t>thorny</w:t>
      </w:r>
    </w:p>
    <w:p w14:paraId="7E001972"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1973" w14:textId="77777777" w:rsidR="009A58DB" w:rsidRDefault="00000000">
      <w:pPr>
        <w:pStyle w:val="BodyText"/>
        <w:spacing w:before="65" w:line="249" w:lineRule="auto"/>
        <w:ind w:right="359"/>
      </w:pPr>
      <w:r>
        <w:lastRenderedPageBreak/>
        <w:t>questions concerning specific matters of fact and also concerning our knowledge of biological and physical law. (The features that we’d have to ascribe to the superhero in question would be ones that, unless modern biology</w:t>
      </w:r>
      <w:r>
        <w:rPr>
          <w:spacing w:val="62"/>
        </w:rPr>
        <w:t xml:space="preserve"> </w:t>
      </w:r>
      <w:r>
        <w:t>is</w:t>
      </w:r>
      <w:r>
        <w:rPr>
          <w:spacing w:val="63"/>
        </w:rPr>
        <w:t xml:space="preserve"> </w:t>
      </w:r>
      <w:r>
        <w:t>very</w:t>
      </w:r>
      <w:r>
        <w:rPr>
          <w:spacing w:val="63"/>
        </w:rPr>
        <w:t xml:space="preserve"> </w:t>
      </w:r>
      <w:r>
        <w:t>wrong,</w:t>
      </w:r>
      <w:r>
        <w:rPr>
          <w:spacing w:val="62"/>
        </w:rPr>
        <w:t xml:space="preserve"> </w:t>
      </w:r>
      <w:r>
        <w:t>a</w:t>
      </w:r>
      <w:r>
        <w:rPr>
          <w:spacing w:val="63"/>
        </w:rPr>
        <w:t xml:space="preserve"> </w:t>
      </w:r>
      <w:r>
        <w:t>life</w:t>
      </w:r>
      <w:r>
        <w:rPr>
          <w:spacing w:val="63"/>
        </w:rPr>
        <w:t xml:space="preserve"> </w:t>
      </w:r>
      <w:r>
        <w:t>form</w:t>
      </w:r>
      <w:r>
        <w:rPr>
          <w:spacing w:val="62"/>
        </w:rPr>
        <w:t xml:space="preserve"> </w:t>
      </w:r>
      <w:r>
        <w:t>is</w:t>
      </w:r>
      <w:r>
        <w:rPr>
          <w:spacing w:val="63"/>
        </w:rPr>
        <w:t xml:space="preserve"> </w:t>
      </w:r>
      <w:r>
        <w:t>most</w:t>
      </w:r>
      <w:r>
        <w:rPr>
          <w:spacing w:val="63"/>
        </w:rPr>
        <w:t xml:space="preserve"> </w:t>
      </w:r>
      <w:r>
        <w:t>unlikely</w:t>
      </w:r>
      <w:r>
        <w:rPr>
          <w:spacing w:val="63"/>
        </w:rPr>
        <w:t xml:space="preserve"> </w:t>
      </w:r>
      <w:r>
        <w:t>to</w:t>
      </w:r>
      <w:r>
        <w:rPr>
          <w:spacing w:val="62"/>
        </w:rPr>
        <w:t xml:space="preserve"> </w:t>
      </w:r>
      <w:r>
        <w:t>have.)</w:t>
      </w:r>
      <w:r>
        <w:rPr>
          <w:spacing w:val="63"/>
        </w:rPr>
        <w:t xml:space="preserve"> </w:t>
      </w:r>
      <w:r>
        <w:t>And</w:t>
      </w:r>
      <w:r>
        <w:rPr>
          <w:spacing w:val="63"/>
        </w:rPr>
        <w:t xml:space="preserve"> </w:t>
      </w:r>
      <w:r>
        <w:t>E</w:t>
      </w:r>
      <w:r>
        <w:rPr>
          <w:vertAlign w:val="subscript"/>
        </w:rPr>
        <w:t>2</w:t>
      </w:r>
      <w:r>
        <w:t>,</w:t>
      </w:r>
      <w:r>
        <w:rPr>
          <w:spacing w:val="59"/>
        </w:rPr>
        <w:t xml:space="preserve"> </w:t>
      </w:r>
      <w:r>
        <w:rPr>
          <w:spacing w:val="-5"/>
        </w:rPr>
        <w:t>if</w:t>
      </w:r>
    </w:p>
    <w:p w14:paraId="7E001974" w14:textId="77777777" w:rsidR="009A58DB" w:rsidRDefault="00000000">
      <w:pPr>
        <w:pStyle w:val="BodyText"/>
        <w:spacing w:before="65" w:line="249" w:lineRule="auto"/>
        <w:ind w:right="364"/>
      </w:pPr>
      <w:r>
        <w:t>correct, would do nothing less than create the greatest scientific mystery of</w:t>
      </w:r>
      <w:r>
        <w:rPr>
          <w:spacing w:val="40"/>
        </w:rPr>
        <w:t xml:space="preserve"> </w:t>
      </w:r>
      <w:r>
        <w:t>all time.</w:t>
      </w:r>
    </w:p>
    <w:p w14:paraId="7E001975" w14:textId="77777777" w:rsidR="009A58DB" w:rsidRDefault="00000000">
      <w:pPr>
        <w:pStyle w:val="BodyText"/>
        <w:spacing w:before="2" w:line="271" w:lineRule="auto"/>
        <w:ind w:right="365" w:firstLine="360"/>
      </w:pPr>
      <w:r>
        <w:t>E</w:t>
      </w:r>
      <w:r>
        <w:rPr>
          <w:vertAlign w:val="subscript"/>
        </w:rPr>
        <w:t>3</w:t>
      </w:r>
      <w:r>
        <w:t xml:space="preserve"> is not free from sin either. In general, you are a good judge of</w:t>
      </w:r>
      <w:r>
        <w:rPr>
          <w:spacing w:val="80"/>
        </w:rPr>
        <w:t xml:space="preserve"> </w:t>
      </w:r>
      <w:r>
        <w:t>character.</w:t>
      </w:r>
      <w:r>
        <w:rPr>
          <w:spacing w:val="-1"/>
        </w:rPr>
        <w:t xml:space="preserve"> </w:t>
      </w:r>
      <w:r>
        <w:t>In</w:t>
      </w:r>
      <w:r>
        <w:rPr>
          <w:spacing w:val="-1"/>
        </w:rPr>
        <w:t xml:space="preserve"> </w:t>
      </w:r>
      <w:r>
        <w:t>any</w:t>
      </w:r>
      <w:r>
        <w:rPr>
          <w:spacing w:val="-1"/>
        </w:rPr>
        <w:t xml:space="preserve"> </w:t>
      </w:r>
      <w:r>
        <w:t>case,</w:t>
      </w:r>
      <w:r>
        <w:rPr>
          <w:spacing w:val="-1"/>
        </w:rPr>
        <w:t xml:space="preserve"> </w:t>
      </w:r>
      <w:r>
        <w:t>that’s</w:t>
      </w:r>
      <w:r>
        <w:rPr>
          <w:spacing w:val="-1"/>
        </w:rPr>
        <w:t xml:space="preserve"> </w:t>
      </w:r>
      <w:r>
        <w:t>what</w:t>
      </w:r>
      <w:r>
        <w:rPr>
          <w:spacing w:val="-1"/>
        </w:rPr>
        <w:t xml:space="preserve"> </w:t>
      </w:r>
      <w:r>
        <w:t>you</w:t>
      </w:r>
      <w:r>
        <w:rPr>
          <w:spacing w:val="-1"/>
        </w:rPr>
        <w:t xml:space="preserve"> </w:t>
      </w:r>
      <w:r>
        <w:t>believe</w:t>
      </w:r>
      <w:r>
        <w:rPr>
          <w:spacing w:val="-1"/>
        </w:rPr>
        <w:t xml:space="preserve"> </w:t>
      </w:r>
      <w:r>
        <w:t>and</w:t>
      </w:r>
      <w:r>
        <w:rPr>
          <w:spacing w:val="-1"/>
        </w:rPr>
        <w:t xml:space="preserve"> </w:t>
      </w:r>
      <w:r>
        <w:t>that’s</w:t>
      </w:r>
      <w:r>
        <w:rPr>
          <w:spacing w:val="-1"/>
        </w:rPr>
        <w:t xml:space="preserve"> </w:t>
      </w:r>
      <w:r>
        <w:t>what</w:t>
      </w:r>
      <w:r>
        <w:rPr>
          <w:spacing w:val="-1"/>
        </w:rPr>
        <w:t xml:space="preserve"> </w:t>
      </w:r>
      <w:r>
        <w:t>others</w:t>
      </w:r>
      <w:r>
        <w:rPr>
          <w:spacing w:val="-1"/>
        </w:rPr>
        <w:t xml:space="preserve"> </w:t>
      </w:r>
      <w:r>
        <w:t>tell</w:t>
      </w:r>
      <w:r>
        <w:rPr>
          <w:spacing w:val="-1"/>
        </w:rPr>
        <w:t xml:space="preserve"> </w:t>
      </w:r>
      <w:r>
        <w:t>you; and</w:t>
      </w:r>
      <w:r>
        <w:rPr>
          <w:spacing w:val="23"/>
        </w:rPr>
        <w:t xml:space="preserve">  </w:t>
      </w:r>
      <w:r>
        <w:t>your</w:t>
      </w:r>
      <w:r>
        <w:rPr>
          <w:spacing w:val="26"/>
        </w:rPr>
        <w:t xml:space="preserve">  </w:t>
      </w:r>
      <w:r>
        <w:t>judgments</w:t>
      </w:r>
      <w:r>
        <w:rPr>
          <w:spacing w:val="26"/>
        </w:rPr>
        <w:t xml:space="preserve">  </w:t>
      </w:r>
      <w:r>
        <w:t>about</w:t>
      </w:r>
      <w:r>
        <w:rPr>
          <w:spacing w:val="25"/>
        </w:rPr>
        <w:t xml:space="preserve">  </w:t>
      </w:r>
      <w:r>
        <w:t>people</w:t>
      </w:r>
      <w:r>
        <w:rPr>
          <w:spacing w:val="27"/>
        </w:rPr>
        <w:t xml:space="preserve">  </w:t>
      </w:r>
      <w:r>
        <w:t>have</w:t>
      </w:r>
      <w:r>
        <w:rPr>
          <w:spacing w:val="25"/>
        </w:rPr>
        <w:t xml:space="preserve">  </w:t>
      </w:r>
      <w:r>
        <w:t>generally</w:t>
      </w:r>
      <w:r>
        <w:rPr>
          <w:spacing w:val="26"/>
        </w:rPr>
        <w:t xml:space="preserve">  </w:t>
      </w:r>
      <w:r>
        <w:t>been</w:t>
      </w:r>
      <w:r>
        <w:rPr>
          <w:spacing w:val="26"/>
        </w:rPr>
        <w:t xml:space="preserve">  </w:t>
      </w:r>
      <w:r>
        <w:t>borne</w:t>
      </w:r>
      <w:r>
        <w:rPr>
          <w:spacing w:val="25"/>
        </w:rPr>
        <w:t xml:space="preserve">  </w:t>
      </w:r>
      <w:r>
        <w:t>out</w:t>
      </w:r>
      <w:r>
        <w:rPr>
          <w:spacing w:val="27"/>
        </w:rPr>
        <w:t xml:space="preserve">  </w:t>
      </w:r>
      <w:r>
        <w:rPr>
          <w:spacing w:val="-5"/>
        </w:rPr>
        <w:t>by</w:t>
      </w:r>
    </w:p>
    <w:p w14:paraId="7E001976" w14:textId="77777777" w:rsidR="009A58DB" w:rsidRDefault="00000000">
      <w:pPr>
        <w:pStyle w:val="BodyText"/>
        <w:spacing w:line="316" w:lineRule="exact"/>
      </w:pPr>
      <w:r>
        <w:t>subsequent</w:t>
      </w:r>
      <w:r>
        <w:rPr>
          <w:spacing w:val="17"/>
        </w:rPr>
        <w:t xml:space="preserve"> </w:t>
      </w:r>
      <w:r>
        <w:t>events.</w:t>
      </w:r>
      <w:r>
        <w:rPr>
          <w:spacing w:val="18"/>
        </w:rPr>
        <w:t xml:space="preserve"> </w:t>
      </w:r>
      <w:r>
        <w:t>You’ve</w:t>
      </w:r>
      <w:r>
        <w:rPr>
          <w:spacing w:val="17"/>
        </w:rPr>
        <w:t xml:space="preserve"> </w:t>
      </w:r>
      <w:r>
        <w:t>never</w:t>
      </w:r>
      <w:r>
        <w:rPr>
          <w:spacing w:val="18"/>
        </w:rPr>
        <w:t xml:space="preserve"> </w:t>
      </w:r>
      <w:r>
        <w:t>been</w:t>
      </w:r>
      <w:r>
        <w:rPr>
          <w:spacing w:val="18"/>
        </w:rPr>
        <w:t xml:space="preserve"> </w:t>
      </w:r>
      <w:r>
        <w:t>as</w:t>
      </w:r>
      <w:r>
        <w:rPr>
          <w:spacing w:val="18"/>
        </w:rPr>
        <w:t xml:space="preserve"> </w:t>
      </w:r>
      <w:r>
        <w:t>convinced</w:t>
      </w:r>
      <w:r>
        <w:rPr>
          <w:spacing w:val="18"/>
        </w:rPr>
        <w:t xml:space="preserve"> </w:t>
      </w:r>
      <w:r>
        <w:t>of</w:t>
      </w:r>
      <w:r>
        <w:rPr>
          <w:spacing w:val="17"/>
        </w:rPr>
        <w:t xml:space="preserve"> </w:t>
      </w:r>
      <w:r>
        <w:t>anyone’s</w:t>
      </w:r>
      <w:r>
        <w:rPr>
          <w:spacing w:val="18"/>
        </w:rPr>
        <w:t xml:space="preserve"> </w:t>
      </w:r>
      <w:r>
        <w:t>integrity</w:t>
      </w:r>
      <w:r>
        <w:rPr>
          <w:spacing w:val="19"/>
        </w:rPr>
        <w:t xml:space="preserve"> </w:t>
      </w:r>
      <w:r>
        <w:rPr>
          <w:spacing w:val="-5"/>
        </w:rPr>
        <w:t>as</w:t>
      </w:r>
    </w:p>
    <w:p w14:paraId="7E001977" w14:textId="77777777" w:rsidR="009A58DB" w:rsidRDefault="00000000">
      <w:pPr>
        <w:pStyle w:val="BodyText"/>
        <w:spacing w:before="15" w:line="249" w:lineRule="auto"/>
        <w:ind w:right="361"/>
      </w:pPr>
      <w:r>
        <w:t>you are of Larry’s. Without being morose or censorious, he exudes a decency and centeredness that you’ve never even seen in a head of state, let alone a</w:t>
      </w:r>
      <w:r>
        <w:rPr>
          <w:spacing w:val="40"/>
        </w:rPr>
        <w:t xml:space="preserve"> </w:t>
      </w:r>
      <w:r>
        <w:t xml:space="preserve">car thief. And although Larry’s extensive criminal background is consistent with his stealing your car, it is not, you are convinced, </w:t>
      </w:r>
      <w:r>
        <w:rPr>
          <w:i/>
        </w:rPr>
        <w:t>as</w:t>
      </w:r>
      <w:r>
        <w:rPr>
          <w:i/>
          <w:spacing w:val="-3"/>
        </w:rPr>
        <w:t xml:space="preserve"> </w:t>
      </w:r>
      <w:r>
        <w:t xml:space="preserve">consistent with it as his current excellence of character is </w:t>
      </w:r>
      <w:r>
        <w:rPr>
          <w:i/>
        </w:rPr>
        <w:t>in</w:t>
      </w:r>
      <w:r>
        <w:t>consistent with it.</w:t>
      </w:r>
    </w:p>
    <w:p w14:paraId="7E001978" w14:textId="77777777" w:rsidR="009A58DB" w:rsidRDefault="00000000">
      <w:pPr>
        <w:pStyle w:val="BodyText"/>
        <w:spacing w:before="6" w:line="271" w:lineRule="auto"/>
        <w:ind w:right="357" w:firstLine="360"/>
      </w:pPr>
      <w:r>
        <w:t>But, of course, E</w:t>
      </w:r>
      <w:r>
        <w:rPr>
          <w:vertAlign w:val="subscript"/>
        </w:rPr>
        <w:t>3</w:t>
      </w:r>
      <w:r>
        <w:t xml:space="preserve"> is hands down the best explanation. You may think you’re a good judge of character; but that doesn’t mean you </w:t>
      </w:r>
      <w:r>
        <w:rPr>
          <w:i/>
        </w:rPr>
        <w:t xml:space="preserve">are </w:t>
      </w:r>
      <w:r>
        <w:t>one. People proverbially</w:t>
      </w:r>
      <w:r>
        <w:rPr>
          <w:spacing w:val="27"/>
        </w:rPr>
        <w:t xml:space="preserve"> </w:t>
      </w:r>
      <w:r>
        <w:t>overestimate</w:t>
      </w:r>
      <w:r>
        <w:rPr>
          <w:spacing w:val="28"/>
        </w:rPr>
        <w:t xml:space="preserve"> </w:t>
      </w:r>
      <w:r>
        <w:t>their</w:t>
      </w:r>
      <w:r>
        <w:rPr>
          <w:spacing w:val="28"/>
        </w:rPr>
        <w:t xml:space="preserve"> </w:t>
      </w:r>
      <w:r>
        <w:t>ability</w:t>
      </w:r>
      <w:r>
        <w:rPr>
          <w:spacing w:val="28"/>
        </w:rPr>
        <w:t xml:space="preserve"> </w:t>
      </w:r>
      <w:r>
        <w:t>to</w:t>
      </w:r>
      <w:r>
        <w:rPr>
          <w:spacing w:val="28"/>
        </w:rPr>
        <w:t xml:space="preserve"> </w:t>
      </w:r>
      <w:r>
        <w:t>read</w:t>
      </w:r>
      <w:r>
        <w:rPr>
          <w:spacing w:val="28"/>
        </w:rPr>
        <w:t xml:space="preserve"> </w:t>
      </w:r>
      <w:r>
        <w:t>others.</w:t>
      </w:r>
      <w:r>
        <w:rPr>
          <w:spacing w:val="27"/>
        </w:rPr>
        <w:t xml:space="preserve"> </w:t>
      </w:r>
      <w:r>
        <w:t>And</w:t>
      </w:r>
      <w:r>
        <w:rPr>
          <w:spacing w:val="28"/>
        </w:rPr>
        <w:t xml:space="preserve"> </w:t>
      </w:r>
      <w:r>
        <w:t>even</w:t>
      </w:r>
      <w:r>
        <w:rPr>
          <w:spacing w:val="28"/>
        </w:rPr>
        <w:t xml:space="preserve"> </w:t>
      </w:r>
      <w:r>
        <w:t>if</w:t>
      </w:r>
      <w:r>
        <w:rPr>
          <w:spacing w:val="28"/>
        </w:rPr>
        <w:t xml:space="preserve"> </w:t>
      </w:r>
      <w:r>
        <w:t>you</w:t>
      </w:r>
      <w:r>
        <w:rPr>
          <w:spacing w:val="28"/>
        </w:rPr>
        <w:t xml:space="preserve"> </w:t>
      </w:r>
      <w:r>
        <w:t>are</w:t>
      </w:r>
      <w:r>
        <w:rPr>
          <w:spacing w:val="28"/>
        </w:rPr>
        <w:t xml:space="preserve"> </w:t>
      </w:r>
      <w:r>
        <w:rPr>
          <w:spacing w:val="-10"/>
        </w:rPr>
        <w:t>a</w:t>
      </w:r>
    </w:p>
    <w:p w14:paraId="7E001979" w14:textId="77777777" w:rsidR="009A58DB" w:rsidRDefault="00000000">
      <w:pPr>
        <w:pStyle w:val="BodyText"/>
        <w:spacing w:line="316" w:lineRule="exact"/>
        <w:rPr>
          <w:i/>
        </w:rPr>
      </w:pPr>
      <w:r>
        <w:t>good</w:t>
      </w:r>
      <w:r>
        <w:rPr>
          <w:spacing w:val="61"/>
        </w:rPr>
        <w:t xml:space="preserve"> </w:t>
      </w:r>
      <w:r>
        <w:t>judge</w:t>
      </w:r>
      <w:r>
        <w:rPr>
          <w:spacing w:val="63"/>
        </w:rPr>
        <w:t xml:space="preserve"> </w:t>
      </w:r>
      <w:r>
        <w:t>of</w:t>
      </w:r>
      <w:r>
        <w:rPr>
          <w:spacing w:val="63"/>
        </w:rPr>
        <w:t xml:space="preserve"> </w:t>
      </w:r>
      <w:r>
        <w:t>character,</w:t>
      </w:r>
      <w:r>
        <w:rPr>
          <w:spacing w:val="63"/>
        </w:rPr>
        <w:t xml:space="preserve"> </w:t>
      </w:r>
      <w:r>
        <w:t>so</w:t>
      </w:r>
      <w:r>
        <w:rPr>
          <w:spacing w:val="63"/>
        </w:rPr>
        <w:t xml:space="preserve"> </w:t>
      </w:r>
      <w:r>
        <w:t>what?</w:t>
      </w:r>
      <w:r>
        <w:rPr>
          <w:spacing w:val="63"/>
        </w:rPr>
        <w:t xml:space="preserve"> </w:t>
      </w:r>
      <w:r>
        <w:t>Anybody</w:t>
      </w:r>
      <w:r>
        <w:rPr>
          <w:spacing w:val="63"/>
        </w:rPr>
        <w:t xml:space="preserve"> </w:t>
      </w:r>
      <w:r>
        <w:t>can</w:t>
      </w:r>
      <w:r>
        <w:rPr>
          <w:spacing w:val="63"/>
        </w:rPr>
        <w:t xml:space="preserve"> </w:t>
      </w:r>
      <w:r>
        <w:t>be</w:t>
      </w:r>
      <w:r>
        <w:rPr>
          <w:spacing w:val="63"/>
        </w:rPr>
        <w:t xml:space="preserve"> </w:t>
      </w:r>
      <w:r>
        <w:t>fooled;</w:t>
      </w:r>
      <w:r>
        <w:rPr>
          <w:spacing w:val="63"/>
        </w:rPr>
        <w:t xml:space="preserve"> </w:t>
      </w:r>
      <w:r>
        <w:t>everybody</w:t>
      </w:r>
      <w:r>
        <w:rPr>
          <w:spacing w:val="63"/>
        </w:rPr>
        <w:t xml:space="preserve"> </w:t>
      </w:r>
      <w:r>
        <w:rPr>
          <w:i/>
          <w:spacing w:val="-5"/>
        </w:rPr>
        <w:t>is</w:t>
      </w:r>
    </w:p>
    <w:p w14:paraId="7E00197A" w14:textId="77777777" w:rsidR="009A58DB" w:rsidRDefault="00000000">
      <w:pPr>
        <w:pStyle w:val="BodyText"/>
        <w:spacing w:before="15" w:line="249" w:lineRule="auto"/>
        <w:ind w:right="362"/>
      </w:pPr>
      <w:r>
        <w:t>fooled, at some point or other. And if Larry is a career criminal—which, given his rap-sheet, he may well be—then he has probably honed his skills as a con-man.</w:t>
      </w:r>
    </w:p>
    <w:p w14:paraId="7E00197B" w14:textId="77777777" w:rsidR="009A58DB" w:rsidRDefault="00000000">
      <w:pPr>
        <w:pStyle w:val="BodyText"/>
        <w:spacing w:before="4" w:line="271" w:lineRule="auto"/>
        <w:ind w:right="363" w:firstLine="360"/>
      </w:pPr>
      <w:r>
        <w:t>This doesn’t mean that E</w:t>
      </w:r>
      <w:r>
        <w:rPr>
          <w:vertAlign w:val="subscript"/>
        </w:rPr>
        <w:t>3</w:t>
      </w:r>
      <w:r>
        <w:t xml:space="preserve"> is completely innocuous. If correct, it raises the question of how somebody could seem so different from how they are. It also raises</w:t>
      </w:r>
      <w:r>
        <w:rPr>
          <w:spacing w:val="-1"/>
        </w:rPr>
        <w:t xml:space="preserve"> </w:t>
      </w:r>
      <w:r>
        <w:t>the</w:t>
      </w:r>
      <w:r>
        <w:rPr>
          <w:spacing w:val="2"/>
        </w:rPr>
        <w:t xml:space="preserve"> </w:t>
      </w:r>
      <w:r>
        <w:t>question</w:t>
      </w:r>
      <w:r>
        <w:rPr>
          <w:spacing w:val="2"/>
        </w:rPr>
        <w:t xml:space="preserve"> </w:t>
      </w:r>
      <w:r>
        <w:t>of</w:t>
      </w:r>
      <w:r>
        <w:rPr>
          <w:spacing w:val="2"/>
        </w:rPr>
        <w:t xml:space="preserve"> </w:t>
      </w:r>
      <w:r>
        <w:t>how,</w:t>
      </w:r>
      <w:r>
        <w:rPr>
          <w:spacing w:val="2"/>
        </w:rPr>
        <w:t xml:space="preserve"> </w:t>
      </w:r>
      <w:r>
        <w:t>despite</w:t>
      </w:r>
      <w:r>
        <w:rPr>
          <w:spacing w:val="2"/>
        </w:rPr>
        <w:t xml:space="preserve"> </w:t>
      </w:r>
      <w:r>
        <w:t>being</w:t>
      </w:r>
      <w:r>
        <w:rPr>
          <w:spacing w:val="1"/>
        </w:rPr>
        <w:t xml:space="preserve"> </w:t>
      </w:r>
      <w:r>
        <w:t>a</w:t>
      </w:r>
      <w:r>
        <w:rPr>
          <w:spacing w:val="2"/>
        </w:rPr>
        <w:t xml:space="preserve"> </w:t>
      </w:r>
      <w:r>
        <w:t>crime</w:t>
      </w:r>
      <w:r>
        <w:rPr>
          <w:spacing w:val="2"/>
        </w:rPr>
        <w:t xml:space="preserve"> </w:t>
      </w:r>
      <w:r>
        <w:t>expert,</w:t>
      </w:r>
      <w:r>
        <w:rPr>
          <w:spacing w:val="2"/>
        </w:rPr>
        <w:t xml:space="preserve"> </w:t>
      </w:r>
      <w:r>
        <w:t>you</w:t>
      </w:r>
      <w:r>
        <w:rPr>
          <w:spacing w:val="2"/>
        </w:rPr>
        <w:t xml:space="preserve"> </w:t>
      </w:r>
      <w:r>
        <w:t>could</w:t>
      </w:r>
      <w:r>
        <w:rPr>
          <w:spacing w:val="2"/>
        </w:rPr>
        <w:t xml:space="preserve"> </w:t>
      </w:r>
      <w:r>
        <w:t>have</w:t>
      </w:r>
      <w:r>
        <w:rPr>
          <w:spacing w:val="2"/>
        </w:rPr>
        <w:t xml:space="preserve"> </w:t>
      </w:r>
      <w:r>
        <w:rPr>
          <w:spacing w:val="-4"/>
        </w:rPr>
        <w:t>been</w:t>
      </w:r>
    </w:p>
    <w:p w14:paraId="7E00197C" w14:textId="77777777" w:rsidR="009A58DB" w:rsidRDefault="00000000">
      <w:pPr>
        <w:pStyle w:val="BodyText"/>
        <w:spacing w:line="316" w:lineRule="exact"/>
      </w:pPr>
      <w:r>
        <w:t>unwary</w:t>
      </w:r>
      <w:r>
        <w:rPr>
          <w:spacing w:val="4"/>
        </w:rPr>
        <w:t xml:space="preserve"> </w:t>
      </w:r>
      <w:r>
        <w:t>enough</w:t>
      </w:r>
      <w:r>
        <w:rPr>
          <w:spacing w:val="7"/>
        </w:rPr>
        <w:t xml:space="preserve"> </w:t>
      </w:r>
      <w:r>
        <w:t>to</w:t>
      </w:r>
      <w:r>
        <w:rPr>
          <w:spacing w:val="6"/>
        </w:rPr>
        <w:t xml:space="preserve"> </w:t>
      </w:r>
      <w:r>
        <w:t>let</w:t>
      </w:r>
      <w:r>
        <w:rPr>
          <w:spacing w:val="7"/>
        </w:rPr>
        <w:t xml:space="preserve"> </w:t>
      </w:r>
      <w:r>
        <w:t>yourself</w:t>
      </w:r>
      <w:r>
        <w:rPr>
          <w:spacing w:val="7"/>
        </w:rPr>
        <w:t xml:space="preserve"> </w:t>
      </w:r>
      <w:r>
        <w:t>be</w:t>
      </w:r>
      <w:r>
        <w:rPr>
          <w:spacing w:val="6"/>
        </w:rPr>
        <w:t xml:space="preserve"> </w:t>
      </w:r>
      <w:r>
        <w:t>seduced</w:t>
      </w:r>
      <w:r>
        <w:rPr>
          <w:spacing w:val="7"/>
        </w:rPr>
        <w:t xml:space="preserve"> </w:t>
      </w:r>
      <w:r>
        <w:t>into</w:t>
      </w:r>
      <w:r>
        <w:rPr>
          <w:spacing w:val="7"/>
        </w:rPr>
        <w:t xml:space="preserve"> </w:t>
      </w:r>
      <w:r>
        <w:t>trusting</w:t>
      </w:r>
      <w:r>
        <w:rPr>
          <w:spacing w:val="6"/>
        </w:rPr>
        <w:t xml:space="preserve"> </w:t>
      </w:r>
      <w:r>
        <w:t>somebody</w:t>
      </w:r>
      <w:r>
        <w:rPr>
          <w:spacing w:val="7"/>
        </w:rPr>
        <w:t xml:space="preserve"> </w:t>
      </w:r>
      <w:r>
        <w:t>who,</w:t>
      </w:r>
      <w:r>
        <w:rPr>
          <w:spacing w:val="7"/>
        </w:rPr>
        <w:t xml:space="preserve"> </w:t>
      </w:r>
      <w:r>
        <w:rPr>
          <w:spacing w:val="-2"/>
        </w:rPr>
        <w:t>given</w:t>
      </w:r>
    </w:p>
    <w:p w14:paraId="7E00197D" w14:textId="77777777" w:rsidR="009A58DB" w:rsidRDefault="00000000">
      <w:pPr>
        <w:pStyle w:val="BodyText"/>
        <w:spacing w:before="15" w:line="249" w:lineRule="auto"/>
        <w:ind w:right="363"/>
      </w:pPr>
      <w:r>
        <w:t>his background, was so obviously unworthy of trust. But these mysteries can be dealt with more easily than the mysteries created by E</w:t>
      </w:r>
      <w:r>
        <w:rPr>
          <w:vertAlign w:val="subscript"/>
        </w:rPr>
        <w:t>1</w:t>
      </w:r>
      <w:r>
        <w:t>–E</w:t>
      </w:r>
      <w:r>
        <w:rPr>
          <w:vertAlign w:val="subscript"/>
        </w:rPr>
        <w:t>2</w:t>
      </w:r>
      <w:r>
        <w:t>.</w:t>
      </w:r>
    </w:p>
    <w:p w14:paraId="7E00197E" w14:textId="77777777" w:rsidR="009A58DB" w:rsidRDefault="00000000">
      <w:pPr>
        <w:pStyle w:val="BodyText"/>
        <w:spacing w:before="62" w:line="249" w:lineRule="auto"/>
        <w:ind w:right="367" w:firstLine="360"/>
      </w:pPr>
      <w:r>
        <w:t>All</w:t>
      </w:r>
      <w:r>
        <w:rPr>
          <w:spacing w:val="-2"/>
        </w:rPr>
        <w:t xml:space="preserve"> </w:t>
      </w:r>
      <w:r>
        <w:t>of</w:t>
      </w:r>
      <w:r>
        <w:rPr>
          <w:spacing w:val="-1"/>
        </w:rPr>
        <w:t xml:space="preserve"> </w:t>
      </w:r>
      <w:r>
        <w:t>this</w:t>
      </w:r>
      <w:r>
        <w:rPr>
          <w:spacing w:val="-1"/>
        </w:rPr>
        <w:t xml:space="preserve"> </w:t>
      </w:r>
      <w:r>
        <w:t>goes</w:t>
      </w:r>
      <w:r>
        <w:rPr>
          <w:spacing w:val="-1"/>
        </w:rPr>
        <w:t xml:space="preserve"> </w:t>
      </w:r>
      <w:r>
        <w:t>to</w:t>
      </w:r>
      <w:r>
        <w:rPr>
          <w:spacing w:val="-1"/>
        </w:rPr>
        <w:t xml:space="preserve"> </w:t>
      </w:r>
      <w:r>
        <w:t>show</w:t>
      </w:r>
      <w:r>
        <w:rPr>
          <w:spacing w:val="-1"/>
        </w:rPr>
        <w:t xml:space="preserve"> </w:t>
      </w:r>
      <w:r>
        <w:t>that</w:t>
      </w:r>
      <w:r>
        <w:rPr>
          <w:spacing w:val="-1"/>
        </w:rPr>
        <w:t xml:space="preserve"> </w:t>
      </w:r>
      <w:r>
        <w:rPr>
          <w:i/>
        </w:rPr>
        <w:t>ceteris</w:t>
      </w:r>
      <w:r>
        <w:rPr>
          <w:i/>
          <w:spacing w:val="-4"/>
        </w:rPr>
        <w:t xml:space="preserve"> </w:t>
      </w:r>
      <w:r>
        <w:rPr>
          <w:i/>
        </w:rPr>
        <w:t>paribus</w:t>
      </w:r>
      <w:r>
        <w:rPr>
          <w:i/>
          <w:spacing w:val="-4"/>
        </w:rPr>
        <w:t xml:space="preserve"> </w:t>
      </w:r>
      <w:r>
        <w:t>the best explanation is the one that leaves us with the fewest unexplained explainers.</w:t>
      </w:r>
    </w:p>
    <w:p w14:paraId="7E00197F" w14:textId="77777777" w:rsidR="009A58DB" w:rsidRDefault="00000000">
      <w:pPr>
        <w:pStyle w:val="BodyText"/>
        <w:spacing w:before="3" w:line="249" w:lineRule="auto"/>
        <w:ind w:right="359" w:firstLine="360"/>
      </w:pPr>
      <w:r>
        <w:t xml:space="preserve">Of course, new theories raise questions of their own. This is almost a tautology. A new theory </w:t>
      </w:r>
      <w:r>
        <w:rPr>
          <w:i/>
        </w:rPr>
        <w:t xml:space="preserve">is, </w:t>
      </w:r>
      <w:r>
        <w:t>tautologously, a new way of looking at things; and a new way of looking things is, very obviously if not tautologously, one that raises new questions. But good new theories tend to facilitate the answering of the questions they raise. Relativity Theory raises questions that</w:t>
      </w:r>
    </w:p>
    <w:p w14:paraId="7E00198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81" w14:textId="77777777" w:rsidR="009A58DB" w:rsidRDefault="00000000">
      <w:pPr>
        <w:pStyle w:val="BodyText"/>
        <w:spacing w:before="65" w:line="249" w:lineRule="auto"/>
        <w:ind w:right="361"/>
      </w:pPr>
      <w:r>
        <w:lastRenderedPageBreak/>
        <w:t>don’t arise for its predecessor, Newtonian mechanics</w:t>
      </w:r>
      <w:bookmarkStart w:id="337" w:name="_bookmark337"/>
      <w:bookmarkEnd w:id="337"/>
      <w:r>
        <w:t>.</w:t>
      </w:r>
      <w:r>
        <w:rPr>
          <w:color w:val="0562C1"/>
          <w:position w:val="21"/>
          <w:u w:val="single" w:color="0562C1"/>
        </w:rPr>
        <w:t>[231]</w:t>
      </w:r>
      <w:r>
        <w:rPr>
          <w:color w:val="0562C1"/>
          <w:position w:val="21"/>
        </w:rPr>
        <w:t xml:space="preserve"> </w:t>
      </w:r>
      <w:r>
        <w:t xml:space="preserve">But Relativity Theory itself tends to contain hints as to how those questions are to be answered. The development of a good theory tends to consist largely in making explicit what is already present in that theory. The development of a bad theory consists in </w:t>
      </w:r>
      <w:r>
        <w:rPr>
          <w:i/>
        </w:rPr>
        <w:t>adding</w:t>
      </w:r>
      <w:r>
        <w:rPr>
          <w:i/>
          <w:spacing w:val="-2"/>
        </w:rPr>
        <w:t xml:space="preserve"> </w:t>
      </w:r>
      <w:r>
        <w:t>new material to it to help it deal with each new onslaught of counterevidence</w:t>
      </w:r>
      <w:bookmarkStart w:id="338" w:name="_bookmark338"/>
      <w:bookmarkEnd w:id="338"/>
      <w:r>
        <w:t>.</w:t>
      </w:r>
      <w:r>
        <w:rPr>
          <w:color w:val="0562C1"/>
          <w:position w:val="21"/>
          <w:u w:val="single" w:color="0562C1"/>
        </w:rPr>
        <w:t>[232]</w:t>
      </w:r>
      <w:r>
        <w:rPr>
          <w:color w:val="0562C1"/>
          <w:position w:val="21"/>
        </w:rPr>
        <w:t xml:space="preserve"> </w:t>
      </w:r>
      <w:r>
        <w:t>In any case, what’s important in this context is that good theories get rid of causal gaps and they shrink the ones they can’t get rid of.</w:t>
      </w:r>
    </w:p>
    <w:p w14:paraId="7E001982" w14:textId="77777777" w:rsidR="009A58DB" w:rsidRDefault="00000000">
      <w:pPr>
        <w:pStyle w:val="BodyText"/>
        <w:spacing w:before="9" w:line="249" w:lineRule="auto"/>
        <w:ind w:right="360" w:firstLine="360"/>
      </w:pPr>
      <w:r>
        <w:t xml:space="preserve">Before proceeding, we must make a certain distinction very clear. Little or nothing about the </w:t>
      </w:r>
      <w:r>
        <w:rPr>
          <w:i/>
        </w:rPr>
        <w:t xml:space="preserve">actual </w:t>
      </w:r>
      <w:r>
        <w:t>causal structure of the world is analytic. It isn’t analytic that there aren’t giant causal gaps in the causal structure of the</w:t>
      </w:r>
      <w:r>
        <w:rPr>
          <w:spacing w:val="40"/>
        </w:rPr>
        <w:t xml:space="preserve"> </w:t>
      </w:r>
      <w:r>
        <w:t xml:space="preserve">world; that reality doesn’t consist of one </w:t>
      </w:r>
      <w:r>
        <w:rPr>
          <w:i/>
        </w:rPr>
        <w:t xml:space="preserve">ex nihilo </w:t>
      </w:r>
      <w:r>
        <w:t xml:space="preserve">event after another, that superheroes don’t suddenly pop into existence, steal cars, and then, without leaving a trace, vanish never to be heard from again. These things, if known, are known only on the basis of sense-experience. But it </w:t>
      </w:r>
      <w:r>
        <w:rPr>
          <w:i/>
        </w:rPr>
        <w:t>is</w:t>
      </w:r>
      <w:r>
        <w:rPr>
          <w:i/>
          <w:spacing w:val="-4"/>
        </w:rPr>
        <w:t xml:space="preserve"> </w:t>
      </w:r>
      <w:r>
        <w:t>analytic that, other things equal, good explanations are less dependent for their truth than bad ones</w:t>
      </w:r>
      <w:r>
        <w:rPr>
          <w:spacing w:val="22"/>
        </w:rPr>
        <w:t xml:space="preserve"> </w:t>
      </w:r>
      <w:r>
        <w:t>on</w:t>
      </w:r>
      <w:r>
        <w:rPr>
          <w:spacing w:val="22"/>
        </w:rPr>
        <w:t xml:space="preserve"> </w:t>
      </w:r>
      <w:r>
        <w:t>the</w:t>
      </w:r>
      <w:r>
        <w:rPr>
          <w:spacing w:val="23"/>
        </w:rPr>
        <w:t xml:space="preserve"> </w:t>
      </w:r>
      <w:r>
        <w:t>existence</w:t>
      </w:r>
      <w:r>
        <w:rPr>
          <w:spacing w:val="22"/>
        </w:rPr>
        <w:t xml:space="preserve"> </w:t>
      </w:r>
      <w:r>
        <w:t>of</w:t>
      </w:r>
      <w:r>
        <w:rPr>
          <w:spacing w:val="22"/>
        </w:rPr>
        <w:t xml:space="preserve"> </w:t>
      </w:r>
      <w:r>
        <w:t>unexplained</w:t>
      </w:r>
      <w:r>
        <w:rPr>
          <w:spacing w:val="23"/>
        </w:rPr>
        <w:t xml:space="preserve"> </w:t>
      </w:r>
      <w:r>
        <w:t>explainers.</w:t>
      </w:r>
      <w:r>
        <w:rPr>
          <w:spacing w:val="22"/>
        </w:rPr>
        <w:t xml:space="preserve"> </w:t>
      </w:r>
      <w:r>
        <w:t>Given</w:t>
      </w:r>
      <w:r>
        <w:rPr>
          <w:spacing w:val="22"/>
        </w:rPr>
        <w:t xml:space="preserve"> </w:t>
      </w:r>
      <w:r>
        <w:t>that</w:t>
      </w:r>
      <w:r>
        <w:rPr>
          <w:spacing w:val="23"/>
        </w:rPr>
        <w:t xml:space="preserve"> </w:t>
      </w:r>
      <w:r>
        <w:t>E</w:t>
      </w:r>
      <w:r>
        <w:rPr>
          <w:vertAlign w:val="subscript"/>
        </w:rPr>
        <w:t>3</w:t>
      </w:r>
      <w:r>
        <w:rPr>
          <w:spacing w:val="21"/>
        </w:rPr>
        <w:t xml:space="preserve"> </w:t>
      </w:r>
      <w:r>
        <w:t>depends</w:t>
      </w:r>
      <w:r>
        <w:rPr>
          <w:spacing w:val="21"/>
        </w:rPr>
        <w:t xml:space="preserve"> </w:t>
      </w:r>
      <w:r>
        <w:rPr>
          <w:spacing w:val="-4"/>
        </w:rPr>
        <w:t>less</w:t>
      </w:r>
    </w:p>
    <w:p w14:paraId="7E001983" w14:textId="77777777" w:rsidR="009A58DB" w:rsidRDefault="00000000">
      <w:pPr>
        <w:pStyle w:val="BodyText"/>
        <w:spacing w:before="72"/>
      </w:pPr>
      <w:r>
        <w:t>for</w:t>
      </w:r>
      <w:r>
        <w:rPr>
          <w:spacing w:val="63"/>
        </w:rPr>
        <w:t xml:space="preserve"> </w:t>
      </w:r>
      <w:r>
        <w:t>its</w:t>
      </w:r>
      <w:r>
        <w:rPr>
          <w:spacing w:val="63"/>
        </w:rPr>
        <w:t xml:space="preserve"> </w:t>
      </w:r>
      <w:r>
        <w:t>truth</w:t>
      </w:r>
      <w:r>
        <w:rPr>
          <w:spacing w:val="63"/>
        </w:rPr>
        <w:t xml:space="preserve"> </w:t>
      </w:r>
      <w:r>
        <w:t>on</w:t>
      </w:r>
      <w:r>
        <w:rPr>
          <w:spacing w:val="63"/>
        </w:rPr>
        <w:t xml:space="preserve"> </w:t>
      </w:r>
      <w:r>
        <w:t>unexplained</w:t>
      </w:r>
      <w:r>
        <w:rPr>
          <w:spacing w:val="64"/>
        </w:rPr>
        <w:t xml:space="preserve"> </w:t>
      </w:r>
      <w:r>
        <w:t>explainers</w:t>
      </w:r>
      <w:r>
        <w:rPr>
          <w:spacing w:val="63"/>
        </w:rPr>
        <w:t xml:space="preserve"> </w:t>
      </w:r>
      <w:r>
        <w:t>than</w:t>
      </w:r>
      <w:r>
        <w:rPr>
          <w:spacing w:val="63"/>
        </w:rPr>
        <w:t xml:space="preserve"> </w:t>
      </w:r>
      <w:r>
        <w:t>does</w:t>
      </w:r>
      <w:r>
        <w:rPr>
          <w:spacing w:val="63"/>
        </w:rPr>
        <w:t xml:space="preserve"> </w:t>
      </w:r>
      <w:r>
        <w:t>any</w:t>
      </w:r>
      <w:r>
        <w:rPr>
          <w:spacing w:val="64"/>
        </w:rPr>
        <w:t xml:space="preserve"> </w:t>
      </w:r>
      <w:r>
        <w:t>one</w:t>
      </w:r>
      <w:r>
        <w:rPr>
          <w:spacing w:val="63"/>
        </w:rPr>
        <w:t xml:space="preserve"> </w:t>
      </w:r>
      <w:r>
        <w:t>of</w:t>
      </w:r>
      <w:r>
        <w:rPr>
          <w:spacing w:val="63"/>
        </w:rPr>
        <w:t xml:space="preserve"> </w:t>
      </w:r>
      <w:r>
        <w:t>E</w:t>
      </w:r>
      <w:r>
        <w:rPr>
          <w:vertAlign w:val="subscript"/>
        </w:rPr>
        <w:t>1</w:t>
      </w:r>
      <w:r>
        <w:t>–E</w:t>
      </w:r>
      <w:r>
        <w:rPr>
          <w:vertAlign w:val="subscript"/>
        </w:rPr>
        <w:t>2</w:t>
      </w:r>
      <w:r>
        <w:t>,</w:t>
      </w:r>
      <w:r>
        <w:rPr>
          <w:spacing w:val="61"/>
        </w:rPr>
        <w:t xml:space="preserve"> </w:t>
      </w:r>
      <w:r>
        <w:t>it</w:t>
      </w:r>
      <w:r>
        <w:rPr>
          <w:spacing w:val="60"/>
        </w:rPr>
        <w:t xml:space="preserve"> </w:t>
      </w:r>
      <w:r>
        <w:rPr>
          <w:spacing w:val="-5"/>
        </w:rPr>
        <w:t>is</w:t>
      </w:r>
    </w:p>
    <w:p w14:paraId="7E001984" w14:textId="77777777" w:rsidR="009A58DB" w:rsidRDefault="00000000">
      <w:pPr>
        <w:spacing w:before="75"/>
        <w:ind w:left="360"/>
        <w:jc w:val="both"/>
        <w:rPr>
          <w:sz w:val="30"/>
        </w:rPr>
      </w:pPr>
      <w:r>
        <w:rPr>
          <w:i/>
          <w:sz w:val="30"/>
        </w:rPr>
        <w:t>analytic</w:t>
      </w:r>
      <w:r>
        <w:rPr>
          <w:i/>
          <w:spacing w:val="-2"/>
          <w:sz w:val="30"/>
        </w:rPr>
        <w:t xml:space="preserve"> </w:t>
      </w:r>
      <w:r>
        <w:rPr>
          <w:sz w:val="30"/>
        </w:rPr>
        <w:t>that</w:t>
      </w:r>
      <w:r>
        <w:rPr>
          <w:spacing w:val="-1"/>
          <w:sz w:val="30"/>
        </w:rPr>
        <w:t xml:space="preserve"> </w:t>
      </w:r>
      <w:r>
        <w:rPr>
          <w:sz w:val="30"/>
        </w:rPr>
        <w:t>E</w:t>
      </w:r>
      <w:r>
        <w:rPr>
          <w:sz w:val="30"/>
          <w:vertAlign w:val="subscript"/>
        </w:rPr>
        <w:t>3</w:t>
      </w:r>
      <w:r>
        <w:rPr>
          <w:sz w:val="30"/>
        </w:rPr>
        <w:t xml:space="preserve"> is</w:t>
      </w:r>
      <w:r>
        <w:rPr>
          <w:spacing w:val="-1"/>
          <w:sz w:val="30"/>
        </w:rPr>
        <w:t xml:space="preserve"> </w:t>
      </w:r>
      <w:r>
        <w:rPr>
          <w:i/>
          <w:sz w:val="30"/>
        </w:rPr>
        <w:t>ceteris</w:t>
      </w:r>
      <w:r>
        <w:rPr>
          <w:i/>
          <w:spacing w:val="-1"/>
          <w:sz w:val="30"/>
        </w:rPr>
        <w:t xml:space="preserve"> </w:t>
      </w:r>
      <w:r>
        <w:rPr>
          <w:i/>
          <w:sz w:val="30"/>
        </w:rPr>
        <w:t>paribus</w:t>
      </w:r>
      <w:r>
        <w:rPr>
          <w:i/>
          <w:spacing w:val="-1"/>
          <w:sz w:val="30"/>
        </w:rPr>
        <w:t xml:space="preserve"> </w:t>
      </w:r>
      <w:r>
        <w:rPr>
          <w:sz w:val="30"/>
        </w:rPr>
        <w:t>the</w:t>
      </w:r>
      <w:r>
        <w:rPr>
          <w:spacing w:val="-1"/>
          <w:sz w:val="30"/>
        </w:rPr>
        <w:t xml:space="preserve"> </w:t>
      </w:r>
      <w:r>
        <w:rPr>
          <w:sz w:val="30"/>
        </w:rPr>
        <w:t>better</w:t>
      </w:r>
      <w:r>
        <w:rPr>
          <w:spacing w:val="-2"/>
          <w:sz w:val="30"/>
        </w:rPr>
        <w:t xml:space="preserve"> explanation.</w:t>
      </w:r>
    </w:p>
    <w:p w14:paraId="7E001985" w14:textId="77777777" w:rsidR="009A58DB" w:rsidRDefault="00000000">
      <w:pPr>
        <w:pStyle w:val="BodyText"/>
        <w:spacing w:before="75" w:line="271" w:lineRule="auto"/>
        <w:ind w:right="363" w:firstLine="360"/>
      </w:pPr>
      <w:r>
        <w:t>But it isn’t analytic that E</w:t>
      </w:r>
      <w:r>
        <w:rPr>
          <w:vertAlign w:val="subscript"/>
        </w:rPr>
        <w:t>3</w:t>
      </w:r>
      <w:r>
        <w:t xml:space="preserve"> is </w:t>
      </w:r>
      <w:r>
        <w:rPr>
          <w:i/>
        </w:rPr>
        <w:t xml:space="preserve">correct. </w:t>
      </w:r>
      <w:r>
        <w:t>It’s a possibility—maybe only a</w:t>
      </w:r>
      <w:r>
        <w:rPr>
          <w:spacing w:val="80"/>
        </w:rPr>
        <w:t xml:space="preserve"> </w:t>
      </w:r>
      <w:r>
        <w:t>bare theoretical possibility, but a possibility no less—that the laws of physics changed</w:t>
      </w:r>
      <w:r>
        <w:rPr>
          <w:spacing w:val="62"/>
        </w:rPr>
        <w:t xml:space="preserve"> </w:t>
      </w:r>
      <w:r>
        <w:t>over</w:t>
      </w:r>
      <w:r>
        <w:rPr>
          <w:spacing w:val="63"/>
        </w:rPr>
        <w:t xml:space="preserve"> </w:t>
      </w:r>
      <w:r>
        <w:t>night,</w:t>
      </w:r>
      <w:r>
        <w:rPr>
          <w:spacing w:val="63"/>
        </w:rPr>
        <w:t xml:space="preserve"> </w:t>
      </w:r>
      <w:r>
        <w:t>that</w:t>
      </w:r>
      <w:r>
        <w:rPr>
          <w:spacing w:val="62"/>
        </w:rPr>
        <w:t xml:space="preserve"> </w:t>
      </w:r>
      <w:r>
        <w:t>CIA</w:t>
      </w:r>
      <w:r>
        <w:rPr>
          <w:spacing w:val="64"/>
        </w:rPr>
        <w:t xml:space="preserve"> </w:t>
      </w:r>
      <w:r>
        <w:t>super-agents</w:t>
      </w:r>
      <w:r>
        <w:rPr>
          <w:spacing w:val="62"/>
        </w:rPr>
        <w:t xml:space="preserve"> </w:t>
      </w:r>
      <w:r>
        <w:t>have</w:t>
      </w:r>
      <w:r>
        <w:rPr>
          <w:spacing w:val="63"/>
        </w:rPr>
        <w:t xml:space="preserve"> </w:t>
      </w:r>
      <w:r>
        <w:t>targeted</w:t>
      </w:r>
      <w:r>
        <w:rPr>
          <w:spacing w:val="63"/>
        </w:rPr>
        <w:t xml:space="preserve"> </w:t>
      </w:r>
      <w:r>
        <w:t>you,</w:t>
      </w:r>
      <w:r>
        <w:rPr>
          <w:spacing w:val="63"/>
        </w:rPr>
        <w:t xml:space="preserve"> </w:t>
      </w:r>
      <w:r>
        <w:t>that</w:t>
      </w:r>
      <w:r>
        <w:rPr>
          <w:spacing w:val="63"/>
        </w:rPr>
        <w:t xml:space="preserve"> </w:t>
      </w:r>
      <w:r>
        <w:rPr>
          <w:spacing w:val="-2"/>
        </w:rPr>
        <w:t>comic</w:t>
      </w:r>
    </w:p>
    <w:p w14:paraId="7E001986" w14:textId="77777777" w:rsidR="009A58DB" w:rsidRDefault="00000000">
      <w:pPr>
        <w:pStyle w:val="BodyText"/>
        <w:spacing w:line="316" w:lineRule="exact"/>
        <w:jc w:val="left"/>
      </w:pPr>
      <w:r>
        <w:t>book</w:t>
      </w:r>
      <w:r>
        <w:rPr>
          <w:spacing w:val="18"/>
        </w:rPr>
        <w:t xml:space="preserve"> </w:t>
      </w:r>
      <w:r>
        <w:t>characters</w:t>
      </w:r>
      <w:r>
        <w:rPr>
          <w:spacing w:val="18"/>
        </w:rPr>
        <w:t xml:space="preserve"> </w:t>
      </w:r>
      <w:r>
        <w:t>now</w:t>
      </w:r>
      <w:r>
        <w:rPr>
          <w:spacing w:val="19"/>
        </w:rPr>
        <w:t xml:space="preserve"> </w:t>
      </w:r>
      <w:r>
        <w:t>walk</w:t>
      </w:r>
      <w:r>
        <w:rPr>
          <w:spacing w:val="18"/>
        </w:rPr>
        <w:t xml:space="preserve"> </w:t>
      </w:r>
      <w:r>
        <w:t>the</w:t>
      </w:r>
      <w:r>
        <w:rPr>
          <w:spacing w:val="18"/>
        </w:rPr>
        <w:t xml:space="preserve"> </w:t>
      </w:r>
      <w:r>
        <w:t>Earth,</w:t>
      </w:r>
      <w:r>
        <w:rPr>
          <w:spacing w:val="19"/>
        </w:rPr>
        <w:t xml:space="preserve"> </w:t>
      </w:r>
      <w:r>
        <w:t>etc.</w:t>
      </w:r>
      <w:r>
        <w:rPr>
          <w:spacing w:val="18"/>
        </w:rPr>
        <w:t xml:space="preserve"> </w:t>
      </w:r>
      <w:r>
        <w:t>Anything’s</w:t>
      </w:r>
      <w:r>
        <w:rPr>
          <w:spacing w:val="18"/>
        </w:rPr>
        <w:t xml:space="preserve"> </w:t>
      </w:r>
      <w:r>
        <w:t>possible.</w:t>
      </w:r>
      <w:r>
        <w:rPr>
          <w:spacing w:val="19"/>
        </w:rPr>
        <w:t xml:space="preserve"> </w:t>
      </w:r>
      <w:r>
        <w:t>And</w:t>
      </w:r>
      <w:r>
        <w:rPr>
          <w:spacing w:val="18"/>
        </w:rPr>
        <w:t xml:space="preserve"> </w:t>
      </w:r>
      <w:r>
        <w:t>so</w:t>
      </w:r>
      <w:r>
        <w:rPr>
          <w:spacing w:val="18"/>
        </w:rPr>
        <w:t xml:space="preserve"> </w:t>
      </w:r>
      <w:r>
        <w:t>far</w:t>
      </w:r>
      <w:r>
        <w:rPr>
          <w:spacing w:val="19"/>
        </w:rPr>
        <w:t xml:space="preserve"> </w:t>
      </w:r>
      <w:r>
        <w:rPr>
          <w:spacing w:val="-5"/>
        </w:rPr>
        <w:t>as</w:t>
      </w:r>
    </w:p>
    <w:p w14:paraId="7E001987" w14:textId="77777777" w:rsidR="009A58DB" w:rsidRDefault="00000000">
      <w:pPr>
        <w:pStyle w:val="BodyText"/>
        <w:spacing w:before="15" w:line="292" w:lineRule="auto"/>
        <w:ind w:right="365"/>
        <w:jc w:val="left"/>
      </w:pPr>
      <w:r>
        <w:t>we know that E</w:t>
      </w:r>
      <w:r>
        <w:rPr>
          <w:vertAlign w:val="subscript"/>
        </w:rPr>
        <w:t>1</w:t>
      </w:r>
      <w:r>
        <w:t>–E</w:t>
      </w:r>
      <w:r>
        <w:rPr>
          <w:vertAlign w:val="subscript"/>
        </w:rPr>
        <w:t>2</w:t>
      </w:r>
      <w:r>
        <w:t xml:space="preserve"> are wrong, it’s through sense-perception. So, I repeat, it isn’t</w:t>
      </w:r>
      <w:r>
        <w:rPr>
          <w:spacing w:val="12"/>
        </w:rPr>
        <w:t xml:space="preserve"> </w:t>
      </w:r>
      <w:r>
        <w:t>analytic</w:t>
      </w:r>
      <w:r>
        <w:rPr>
          <w:spacing w:val="13"/>
        </w:rPr>
        <w:t xml:space="preserve"> </w:t>
      </w:r>
      <w:r>
        <w:t>that</w:t>
      </w:r>
      <w:r>
        <w:rPr>
          <w:spacing w:val="13"/>
        </w:rPr>
        <w:t xml:space="preserve"> </w:t>
      </w:r>
      <w:r>
        <w:t>E</w:t>
      </w:r>
      <w:r>
        <w:rPr>
          <w:vertAlign w:val="subscript"/>
        </w:rPr>
        <w:t>3</w:t>
      </w:r>
      <w:r>
        <w:rPr>
          <w:spacing w:val="17"/>
        </w:rPr>
        <w:t xml:space="preserve"> </w:t>
      </w:r>
      <w:r>
        <w:t>is</w:t>
      </w:r>
      <w:r>
        <w:rPr>
          <w:spacing w:val="17"/>
        </w:rPr>
        <w:t xml:space="preserve"> </w:t>
      </w:r>
      <w:r>
        <w:t>correct.</w:t>
      </w:r>
      <w:r>
        <w:rPr>
          <w:spacing w:val="17"/>
        </w:rPr>
        <w:t xml:space="preserve"> </w:t>
      </w:r>
      <w:r>
        <w:t>But,</w:t>
      </w:r>
      <w:r>
        <w:rPr>
          <w:spacing w:val="16"/>
        </w:rPr>
        <w:t xml:space="preserve"> </w:t>
      </w:r>
      <w:r>
        <w:t>given</w:t>
      </w:r>
      <w:r>
        <w:rPr>
          <w:spacing w:val="17"/>
        </w:rPr>
        <w:t xml:space="preserve"> </w:t>
      </w:r>
      <w:r>
        <w:t>that</w:t>
      </w:r>
      <w:r>
        <w:rPr>
          <w:spacing w:val="17"/>
        </w:rPr>
        <w:t xml:space="preserve"> </w:t>
      </w:r>
      <w:r>
        <w:t>it</w:t>
      </w:r>
      <w:r>
        <w:rPr>
          <w:spacing w:val="17"/>
        </w:rPr>
        <w:t xml:space="preserve"> </w:t>
      </w:r>
      <w:r>
        <w:t>requires</w:t>
      </w:r>
      <w:r>
        <w:rPr>
          <w:spacing w:val="17"/>
        </w:rPr>
        <w:t xml:space="preserve"> </w:t>
      </w:r>
      <w:r>
        <w:t>fewer</w:t>
      </w:r>
      <w:r>
        <w:rPr>
          <w:spacing w:val="16"/>
        </w:rPr>
        <w:t xml:space="preserve"> </w:t>
      </w:r>
      <w:r>
        <w:rPr>
          <w:spacing w:val="-2"/>
        </w:rPr>
        <w:t>unexplained</w:t>
      </w:r>
    </w:p>
    <w:p w14:paraId="7E001988" w14:textId="77777777" w:rsidR="009A58DB" w:rsidRDefault="00000000">
      <w:pPr>
        <w:spacing w:line="249" w:lineRule="auto"/>
        <w:ind w:left="360"/>
        <w:rPr>
          <w:sz w:val="30"/>
        </w:rPr>
      </w:pPr>
      <w:r>
        <w:rPr>
          <w:sz w:val="30"/>
        </w:rPr>
        <w:t>explainers</w:t>
      </w:r>
      <w:r>
        <w:rPr>
          <w:spacing w:val="80"/>
          <w:sz w:val="30"/>
        </w:rPr>
        <w:t xml:space="preserve"> </w:t>
      </w:r>
      <w:r>
        <w:rPr>
          <w:sz w:val="30"/>
        </w:rPr>
        <w:t>than</w:t>
      </w:r>
      <w:r>
        <w:rPr>
          <w:spacing w:val="80"/>
          <w:sz w:val="30"/>
        </w:rPr>
        <w:t xml:space="preserve"> </w:t>
      </w:r>
      <w:r>
        <w:rPr>
          <w:sz w:val="30"/>
        </w:rPr>
        <w:t>others,</w:t>
      </w:r>
      <w:r>
        <w:rPr>
          <w:spacing w:val="80"/>
          <w:sz w:val="30"/>
        </w:rPr>
        <w:t xml:space="preserve"> </w:t>
      </w:r>
      <w:r>
        <w:rPr>
          <w:sz w:val="30"/>
        </w:rPr>
        <w:t>it</w:t>
      </w:r>
      <w:r>
        <w:rPr>
          <w:spacing w:val="80"/>
          <w:sz w:val="30"/>
        </w:rPr>
        <w:t xml:space="preserve"> </w:t>
      </w:r>
      <w:r>
        <w:rPr>
          <w:i/>
          <w:sz w:val="30"/>
        </w:rPr>
        <w:t>is</w:t>
      </w:r>
      <w:r>
        <w:rPr>
          <w:i/>
          <w:spacing w:val="80"/>
          <w:sz w:val="30"/>
        </w:rPr>
        <w:t xml:space="preserve"> </w:t>
      </w:r>
      <w:r>
        <w:rPr>
          <w:sz w:val="30"/>
        </w:rPr>
        <w:t>analytic</w:t>
      </w:r>
      <w:r>
        <w:rPr>
          <w:spacing w:val="80"/>
          <w:sz w:val="30"/>
        </w:rPr>
        <w:t xml:space="preserve"> </w:t>
      </w:r>
      <w:r>
        <w:rPr>
          <w:sz w:val="30"/>
        </w:rPr>
        <w:t>that</w:t>
      </w:r>
      <w:r>
        <w:rPr>
          <w:spacing w:val="80"/>
          <w:sz w:val="30"/>
        </w:rPr>
        <w:t xml:space="preserve"> </w:t>
      </w:r>
      <w:r>
        <w:rPr>
          <w:i/>
          <w:sz w:val="30"/>
        </w:rPr>
        <w:t>ceteris</w:t>
      </w:r>
      <w:r>
        <w:rPr>
          <w:i/>
          <w:spacing w:val="80"/>
          <w:sz w:val="30"/>
        </w:rPr>
        <w:t xml:space="preserve"> </w:t>
      </w:r>
      <w:r>
        <w:rPr>
          <w:i/>
          <w:sz w:val="30"/>
        </w:rPr>
        <w:t>paribus</w:t>
      </w:r>
      <w:r>
        <w:rPr>
          <w:i/>
          <w:spacing w:val="80"/>
          <w:sz w:val="30"/>
        </w:rPr>
        <w:t xml:space="preserve"> </w:t>
      </w:r>
      <w:r>
        <w:rPr>
          <w:sz w:val="30"/>
        </w:rPr>
        <w:t>it’s</w:t>
      </w:r>
      <w:r>
        <w:rPr>
          <w:spacing w:val="80"/>
          <w:sz w:val="30"/>
        </w:rPr>
        <w:t xml:space="preserve"> </w:t>
      </w:r>
      <w:r>
        <w:rPr>
          <w:sz w:val="30"/>
        </w:rPr>
        <w:t>the</w:t>
      </w:r>
      <w:r>
        <w:rPr>
          <w:spacing w:val="80"/>
          <w:sz w:val="30"/>
        </w:rPr>
        <w:t xml:space="preserve"> </w:t>
      </w:r>
      <w:r>
        <w:rPr>
          <w:sz w:val="30"/>
        </w:rPr>
        <w:t xml:space="preserve">better </w:t>
      </w:r>
      <w:r>
        <w:rPr>
          <w:spacing w:val="-2"/>
          <w:sz w:val="30"/>
        </w:rPr>
        <w:t>explanation.</w:t>
      </w:r>
    </w:p>
    <w:p w14:paraId="7E001989" w14:textId="77777777" w:rsidR="009A58DB" w:rsidRDefault="00000000">
      <w:pPr>
        <w:pStyle w:val="Heading1"/>
        <w:numPr>
          <w:ilvl w:val="1"/>
          <w:numId w:val="116"/>
        </w:numPr>
        <w:tabs>
          <w:tab w:val="left" w:pos="990"/>
        </w:tabs>
        <w:spacing w:before="188"/>
      </w:pPr>
      <w:r>
        <w:t>Correct</w:t>
      </w:r>
      <w:r>
        <w:rPr>
          <w:spacing w:val="-6"/>
        </w:rPr>
        <w:t xml:space="preserve"> </w:t>
      </w:r>
      <w:r>
        <w:t>explanations</w:t>
      </w:r>
      <w:r>
        <w:rPr>
          <w:spacing w:val="-4"/>
        </w:rPr>
        <w:t xml:space="preserve"> </w:t>
      </w:r>
      <w:r>
        <w:t>can</w:t>
      </w:r>
      <w:r>
        <w:rPr>
          <w:spacing w:val="-4"/>
        </w:rPr>
        <w:t xml:space="preserve"> </w:t>
      </w:r>
      <w:r>
        <w:t>be</w:t>
      </w:r>
      <w:r>
        <w:rPr>
          <w:spacing w:val="-4"/>
        </w:rPr>
        <w:t xml:space="preserve"> </w:t>
      </w:r>
      <w:r>
        <w:t>bad</w:t>
      </w:r>
      <w:r>
        <w:rPr>
          <w:spacing w:val="-4"/>
        </w:rPr>
        <w:t xml:space="preserve"> </w:t>
      </w:r>
      <w:r>
        <w:rPr>
          <w:spacing w:val="-2"/>
        </w:rPr>
        <w:t>explanations</w:t>
      </w:r>
    </w:p>
    <w:p w14:paraId="7E00198A" w14:textId="77777777" w:rsidR="009A58DB" w:rsidRDefault="00000000">
      <w:pPr>
        <w:pStyle w:val="BodyText"/>
        <w:spacing w:before="139" w:line="249" w:lineRule="auto"/>
        <w:ind w:right="358"/>
      </w:pPr>
      <w:r>
        <w:t xml:space="preserve">For an explanation to be </w:t>
      </w:r>
      <w:r>
        <w:rPr>
          <w:i/>
        </w:rPr>
        <w:t xml:space="preserve">good </w:t>
      </w:r>
      <w:r>
        <w:t>isn’t for it to be correct. Sometimes the right explanations</w:t>
      </w:r>
      <w:r>
        <w:rPr>
          <w:spacing w:val="-2"/>
        </w:rPr>
        <w:t xml:space="preserve"> </w:t>
      </w:r>
      <w:r>
        <w:t>are</w:t>
      </w:r>
      <w:r>
        <w:rPr>
          <w:spacing w:val="-1"/>
        </w:rPr>
        <w:t xml:space="preserve"> </w:t>
      </w:r>
      <w:r>
        <w:t>bad</w:t>
      </w:r>
      <w:r>
        <w:rPr>
          <w:spacing w:val="-2"/>
        </w:rPr>
        <w:t xml:space="preserve"> </w:t>
      </w:r>
      <w:r>
        <w:t>ones.</w:t>
      </w:r>
      <w:r>
        <w:rPr>
          <w:spacing w:val="-1"/>
        </w:rPr>
        <w:t xml:space="preserve"> </w:t>
      </w:r>
      <w:r>
        <w:t>A</w:t>
      </w:r>
      <w:r>
        <w:rPr>
          <w:spacing w:val="-2"/>
        </w:rPr>
        <w:t xml:space="preserve"> </w:t>
      </w:r>
      <w:r>
        <w:t>story</w:t>
      </w:r>
      <w:r>
        <w:rPr>
          <w:spacing w:val="-1"/>
        </w:rPr>
        <w:t xml:space="preserve"> </w:t>
      </w:r>
      <w:r>
        <w:t>will</w:t>
      </w:r>
      <w:r>
        <w:rPr>
          <w:spacing w:val="-2"/>
        </w:rPr>
        <w:t xml:space="preserve"> </w:t>
      </w:r>
      <w:r>
        <w:t>make</w:t>
      </w:r>
      <w:r>
        <w:rPr>
          <w:spacing w:val="-1"/>
        </w:rPr>
        <w:t xml:space="preserve"> </w:t>
      </w:r>
      <w:r>
        <w:t>this</w:t>
      </w:r>
      <w:r>
        <w:rPr>
          <w:spacing w:val="-2"/>
        </w:rPr>
        <w:t xml:space="preserve"> </w:t>
      </w:r>
      <w:r>
        <w:t>clear.</w:t>
      </w:r>
      <w:r>
        <w:rPr>
          <w:spacing w:val="-1"/>
        </w:rPr>
        <w:t xml:space="preserve"> </w:t>
      </w:r>
      <w:r>
        <w:t>I’m</w:t>
      </w:r>
      <w:r>
        <w:rPr>
          <w:spacing w:val="-2"/>
        </w:rPr>
        <w:t xml:space="preserve"> </w:t>
      </w:r>
      <w:r>
        <w:t>on</w:t>
      </w:r>
      <w:r>
        <w:rPr>
          <w:spacing w:val="-1"/>
        </w:rPr>
        <w:t xml:space="preserve"> </w:t>
      </w:r>
      <w:r>
        <w:t>a</w:t>
      </w:r>
      <w:r>
        <w:rPr>
          <w:spacing w:val="-2"/>
        </w:rPr>
        <w:t xml:space="preserve"> </w:t>
      </w:r>
      <w:r>
        <w:t>bus.</w:t>
      </w:r>
      <w:r>
        <w:rPr>
          <w:spacing w:val="-1"/>
        </w:rPr>
        <w:t xml:space="preserve"> </w:t>
      </w:r>
      <w:r>
        <w:t>The</w:t>
      </w:r>
      <w:r>
        <w:rPr>
          <w:spacing w:val="-1"/>
        </w:rPr>
        <w:t xml:space="preserve"> </w:t>
      </w:r>
      <w:r>
        <w:t>bus driver is smiling. A mystery! “What on Earth does he have to smile about?” I ask</w:t>
      </w:r>
      <w:r>
        <w:rPr>
          <w:spacing w:val="-2"/>
        </w:rPr>
        <w:t xml:space="preserve"> </w:t>
      </w:r>
      <w:r>
        <w:t>myself.</w:t>
      </w:r>
      <w:r>
        <w:rPr>
          <w:spacing w:val="1"/>
        </w:rPr>
        <w:t xml:space="preserve"> </w:t>
      </w:r>
      <w:r>
        <w:t>His</w:t>
      </w:r>
      <w:r>
        <w:rPr>
          <w:spacing w:val="1"/>
        </w:rPr>
        <w:t xml:space="preserve"> </w:t>
      </w:r>
      <w:r>
        <w:t>job</w:t>
      </w:r>
      <w:r>
        <w:rPr>
          <w:spacing w:val="1"/>
        </w:rPr>
        <w:t xml:space="preserve"> </w:t>
      </w:r>
      <w:r>
        <w:t>is so</w:t>
      </w:r>
      <w:r>
        <w:rPr>
          <w:spacing w:val="1"/>
        </w:rPr>
        <w:t xml:space="preserve"> </w:t>
      </w:r>
      <w:r>
        <w:t>boring,</w:t>
      </w:r>
      <w:r>
        <w:rPr>
          <w:spacing w:val="1"/>
        </w:rPr>
        <w:t xml:space="preserve"> </w:t>
      </w:r>
      <w:r>
        <w:t>and</w:t>
      </w:r>
      <w:r>
        <w:rPr>
          <w:spacing w:val="1"/>
        </w:rPr>
        <w:t xml:space="preserve"> </w:t>
      </w:r>
      <w:r>
        <w:t>his</w:t>
      </w:r>
      <w:r>
        <w:rPr>
          <w:spacing w:val="1"/>
        </w:rPr>
        <w:t xml:space="preserve"> </w:t>
      </w:r>
      <w:r>
        <w:t>life</w:t>
      </w:r>
      <w:r>
        <w:rPr>
          <w:spacing w:val="1"/>
        </w:rPr>
        <w:t xml:space="preserve"> </w:t>
      </w:r>
      <w:r>
        <w:t>must therefore</w:t>
      </w:r>
      <w:r>
        <w:rPr>
          <w:spacing w:val="1"/>
        </w:rPr>
        <w:t xml:space="preserve"> </w:t>
      </w:r>
      <w:r>
        <w:t>be</w:t>
      </w:r>
      <w:r>
        <w:rPr>
          <w:spacing w:val="1"/>
        </w:rPr>
        <w:t xml:space="preserve"> </w:t>
      </w:r>
      <w:r>
        <w:t>such</w:t>
      </w:r>
      <w:r>
        <w:rPr>
          <w:spacing w:val="1"/>
        </w:rPr>
        <w:t xml:space="preserve"> </w:t>
      </w:r>
      <w:r>
        <w:t>a</w:t>
      </w:r>
      <w:r>
        <w:rPr>
          <w:spacing w:val="2"/>
        </w:rPr>
        <w:t xml:space="preserve"> </w:t>
      </w:r>
      <w:r>
        <w:rPr>
          <w:spacing w:val="-2"/>
        </w:rPr>
        <w:t>horror.”</w:t>
      </w:r>
    </w:p>
    <w:p w14:paraId="7E00198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8C" w14:textId="77777777" w:rsidR="009A58DB" w:rsidRDefault="00000000">
      <w:pPr>
        <w:pStyle w:val="BodyText"/>
        <w:spacing w:before="60" w:line="249" w:lineRule="auto"/>
        <w:ind w:right="367"/>
      </w:pPr>
      <w:r>
        <w:lastRenderedPageBreak/>
        <w:t>But then I remember that, just a minute ago, a disembarking passenger gave him fifty $100 bills as a tip. So I have my explanation: “he just came into a lot of money.”</w:t>
      </w:r>
    </w:p>
    <w:p w14:paraId="7E00198D" w14:textId="77777777" w:rsidR="009A58DB" w:rsidRDefault="00000000">
      <w:pPr>
        <w:pStyle w:val="BodyText"/>
        <w:spacing w:before="8" w:line="249" w:lineRule="auto"/>
        <w:ind w:right="358" w:firstLine="360"/>
      </w:pPr>
      <w:r>
        <w:t xml:space="preserve">But here is the very different explanation tendered by my seatmate Gus, who, in addition to being unintelligent, is also completely insane. “The bus-driver is a CIA assassin. This morning he killed somebody who, by coincidence, had the name ‘Benjamin Franklin.’ Benjamin Franklin (the statesman, not the murder victim) is on the $100 bill. So when the bus driver saw those bills, he immediately thought of that morning’s murder. The murder was a particularly enjoyable one; the bus driver had a chance to try out some innovative techniques. So, on being given the fifty $100 bills, the bus driver was reminded of that happy experience.” </w:t>
      </w:r>
      <w:r>
        <w:rPr>
          <w:i/>
        </w:rPr>
        <w:t xml:space="preserve">That, </w:t>
      </w:r>
      <w:r>
        <w:t xml:space="preserve">my seat-mate believes, is why the bus driver is smiling. The bus driver is indifferent to the fact that he is now richer by $5,000 than he was before. (He’s not a materialistic man. Plus, the CIA pays him a huge salary. $5,000 is nothing to </w:t>
      </w:r>
      <w:r>
        <w:rPr>
          <w:spacing w:val="-4"/>
        </w:rPr>
        <w:t>him.)</w:t>
      </w:r>
    </w:p>
    <w:p w14:paraId="7E00198E" w14:textId="77777777" w:rsidR="009A58DB" w:rsidRDefault="00000000">
      <w:pPr>
        <w:pStyle w:val="BodyText"/>
        <w:spacing w:before="16" w:line="249" w:lineRule="auto"/>
        <w:ind w:right="358" w:firstLine="360"/>
      </w:pPr>
      <w:r>
        <w:t>Gus and I have access to the same empirical data. (Gus hasn’t read the bus driver’s diary; he doesn’t know the bus driver any more intimately than I do; and so on.) And Gus doesn’t have some sort of psychic gift that would give him access to otherwise unknowable facts about the bus driver’s mind that would legitimize his explanation. Indeed, a belief that he has such a gift isn’t even</w:t>
      </w:r>
      <w:r>
        <w:rPr>
          <w:spacing w:val="-1"/>
        </w:rPr>
        <w:t xml:space="preserve"> </w:t>
      </w:r>
      <w:r>
        <w:t>among</w:t>
      </w:r>
      <w:r>
        <w:rPr>
          <w:spacing w:val="-1"/>
        </w:rPr>
        <w:t xml:space="preserve"> </w:t>
      </w:r>
      <w:r>
        <w:t>Gus’s</w:t>
      </w:r>
      <w:r>
        <w:rPr>
          <w:spacing w:val="-1"/>
        </w:rPr>
        <w:t xml:space="preserve"> </w:t>
      </w:r>
      <w:r>
        <w:t>many</w:t>
      </w:r>
      <w:r>
        <w:rPr>
          <w:spacing w:val="-1"/>
        </w:rPr>
        <w:t xml:space="preserve"> </w:t>
      </w:r>
      <w:r>
        <w:t>delusions.</w:t>
      </w:r>
      <w:r>
        <w:rPr>
          <w:spacing w:val="-1"/>
        </w:rPr>
        <w:t xml:space="preserve"> </w:t>
      </w:r>
      <w:r>
        <w:t>Nor</w:t>
      </w:r>
      <w:r>
        <w:rPr>
          <w:spacing w:val="-1"/>
        </w:rPr>
        <w:t xml:space="preserve"> </w:t>
      </w:r>
      <w:r>
        <w:t>does</w:t>
      </w:r>
      <w:r>
        <w:rPr>
          <w:spacing w:val="-1"/>
        </w:rPr>
        <w:t xml:space="preserve"> </w:t>
      </w:r>
      <w:r>
        <w:t>he</w:t>
      </w:r>
      <w:r>
        <w:rPr>
          <w:spacing w:val="-1"/>
        </w:rPr>
        <w:t xml:space="preserve"> </w:t>
      </w:r>
      <w:r>
        <w:t>have</w:t>
      </w:r>
      <w:r>
        <w:rPr>
          <w:spacing w:val="-1"/>
        </w:rPr>
        <w:t xml:space="preserve"> </w:t>
      </w:r>
      <w:r>
        <w:t>any</w:t>
      </w:r>
      <w:r>
        <w:rPr>
          <w:spacing w:val="-1"/>
        </w:rPr>
        <w:t xml:space="preserve"> </w:t>
      </w:r>
      <w:r>
        <w:t>good</w:t>
      </w:r>
      <w:r>
        <w:rPr>
          <w:spacing w:val="-1"/>
        </w:rPr>
        <w:t xml:space="preserve"> </w:t>
      </w:r>
      <w:r>
        <w:t xml:space="preserve">reason—even if, for argument’s sake, one allows his delusions and hallucinations to count as good reasons—to believe that he has such a gift. So given the entirety of the data at our disposal, Gus’s explanation is a bad one. The </w:t>
      </w:r>
      <w:r>
        <w:rPr>
          <w:i/>
        </w:rPr>
        <w:t>only</w:t>
      </w:r>
      <w:r>
        <w:rPr>
          <w:i/>
          <w:spacing w:val="-3"/>
        </w:rPr>
        <w:t xml:space="preserve"> </w:t>
      </w:r>
      <w:r>
        <w:t>evidence in favor of Gus’s theory is that the bus driver started smiling upon being given the money.</w:t>
      </w:r>
    </w:p>
    <w:p w14:paraId="7E00198F" w14:textId="77777777" w:rsidR="009A58DB" w:rsidRDefault="00000000">
      <w:pPr>
        <w:pStyle w:val="BodyText"/>
        <w:spacing w:before="14"/>
        <w:ind w:left="720"/>
      </w:pPr>
      <w:r>
        <w:t>But</w:t>
      </w:r>
      <w:r>
        <w:rPr>
          <w:spacing w:val="-6"/>
        </w:rPr>
        <w:t xml:space="preserve"> </w:t>
      </w:r>
      <w:r>
        <w:t>Gus</w:t>
      </w:r>
      <w:r>
        <w:rPr>
          <w:spacing w:val="-3"/>
        </w:rPr>
        <w:t xml:space="preserve"> </w:t>
      </w:r>
      <w:r>
        <w:t>is</w:t>
      </w:r>
      <w:r>
        <w:rPr>
          <w:spacing w:val="-3"/>
        </w:rPr>
        <w:t xml:space="preserve"> </w:t>
      </w:r>
      <w:r>
        <w:t>right.</w:t>
      </w:r>
      <w:r>
        <w:rPr>
          <w:spacing w:val="-2"/>
        </w:rPr>
        <w:t xml:space="preserve"> </w:t>
      </w:r>
      <w:r>
        <w:t>His</w:t>
      </w:r>
      <w:r>
        <w:rPr>
          <w:spacing w:val="-3"/>
        </w:rPr>
        <w:t xml:space="preserve"> </w:t>
      </w:r>
      <w:r>
        <w:t>explanation</w:t>
      </w:r>
      <w:r>
        <w:rPr>
          <w:spacing w:val="-2"/>
        </w:rPr>
        <w:t xml:space="preserve"> </w:t>
      </w:r>
      <w:r>
        <w:t>is</w:t>
      </w:r>
      <w:r>
        <w:rPr>
          <w:spacing w:val="-4"/>
        </w:rPr>
        <w:t xml:space="preserve"> </w:t>
      </w:r>
      <w:r>
        <w:t>correct</w:t>
      </w:r>
      <w:r>
        <w:rPr>
          <w:spacing w:val="-3"/>
        </w:rPr>
        <w:t xml:space="preserve"> </w:t>
      </w:r>
      <w:r>
        <w:t>down</w:t>
      </w:r>
      <w:r>
        <w:rPr>
          <w:spacing w:val="-2"/>
        </w:rPr>
        <w:t xml:space="preserve"> </w:t>
      </w:r>
      <w:r>
        <w:t>to</w:t>
      </w:r>
      <w:r>
        <w:rPr>
          <w:spacing w:val="-2"/>
        </w:rPr>
        <w:t xml:space="preserve"> </w:t>
      </w:r>
      <w:r>
        <w:t>the</w:t>
      </w:r>
      <w:r>
        <w:rPr>
          <w:spacing w:val="-3"/>
        </w:rPr>
        <w:t xml:space="preserve"> </w:t>
      </w:r>
      <w:r>
        <w:t>last</w:t>
      </w:r>
      <w:r>
        <w:rPr>
          <w:spacing w:val="-3"/>
        </w:rPr>
        <w:t xml:space="preserve"> </w:t>
      </w:r>
      <w:r>
        <w:rPr>
          <w:spacing w:val="-2"/>
        </w:rPr>
        <w:t>detail.</w:t>
      </w:r>
    </w:p>
    <w:p w14:paraId="7E001990" w14:textId="77777777" w:rsidR="009A58DB" w:rsidRDefault="00000000">
      <w:pPr>
        <w:pStyle w:val="BodyText"/>
        <w:spacing w:before="15" w:line="249" w:lineRule="auto"/>
        <w:ind w:right="364" w:firstLine="360"/>
      </w:pPr>
      <w:r>
        <w:t>Given that it turned out to be correct, should we say that, despite first appearances, Gus’s explanation is not a bad one? No! It’s a datum that it’s bad. It’s a bad explanation that turned out to be correct. Thus, for an explanation to be a good one isn’t for it to be correct.</w:t>
      </w:r>
    </w:p>
    <w:p w14:paraId="7E001991" w14:textId="77777777" w:rsidR="009A58DB" w:rsidRDefault="00000000">
      <w:pPr>
        <w:pStyle w:val="BodyText"/>
        <w:spacing w:before="5" w:line="249" w:lineRule="auto"/>
        <w:ind w:right="358" w:firstLine="360"/>
      </w:pPr>
      <w:r>
        <w:t xml:space="preserve">But a short extension of our story illustrates the even stronger principle that for an explanation to be a good one isn’t even for it to be </w:t>
      </w:r>
      <w:r>
        <w:rPr>
          <w:i/>
        </w:rPr>
        <w:t xml:space="preserve">likely </w:t>
      </w:r>
      <w:r>
        <w:t>to be correct.</w:t>
      </w:r>
      <w:r>
        <w:rPr>
          <w:spacing w:val="-3"/>
        </w:rPr>
        <w:t xml:space="preserve"> </w:t>
      </w:r>
      <w:r>
        <w:t>Let</w:t>
      </w:r>
      <w:r>
        <w:rPr>
          <w:spacing w:val="-4"/>
        </w:rPr>
        <w:t xml:space="preserve"> </w:t>
      </w:r>
      <w:r>
        <w:t>W</w:t>
      </w:r>
      <w:r>
        <w:rPr>
          <w:spacing w:val="-4"/>
        </w:rPr>
        <w:t xml:space="preserve"> </w:t>
      </w:r>
      <w:r>
        <w:t>be</w:t>
      </w:r>
      <w:r>
        <w:rPr>
          <w:spacing w:val="-4"/>
        </w:rPr>
        <w:t xml:space="preserve"> </w:t>
      </w:r>
      <w:r>
        <w:t>the</w:t>
      </w:r>
      <w:r>
        <w:rPr>
          <w:spacing w:val="-4"/>
        </w:rPr>
        <w:t xml:space="preserve"> </w:t>
      </w:r>
      <w:r>
        <w:t>real</w:t>
      </w:r>
      <w:r>
        <w:rPr>
          <w:spacing w:val="-4"/>
        </w:rPr>
        <w:t xml:space="preserve"> </w:t>
      </w:r>
      <w:r>
        <w:t>world</w:t>
      </w:r>
      <w:r>
        <w:rPr>
          <w:spacing w:val="-3"/>
        </w:rPr>
        <w:t xml:space="preserve"> </w:t>
      </w:r>
      <w:r>
        <w:t>and</w:t>
      </w:r>
      <w:r>
        <w:rPr>
          <w:spacing w:val="-3"/>
        </w:rPr>
        <w:t xml:space="preserve"> </w:t>
      </w:r>
      <w:r>
        <w:t>let</w:t>
      </w:r>
      <w:r>
        <w:rPr>
          <w:spacing w:val="-4"/>
        </w:rPr>
        <w:t xml:space="preserve"> </w:t>
      </w:r>
      <w:r>
        <w:t>W*</w:t>
      </w:r>
      <w:r>
        <w:rPr>
          <w:spacing w:val="-3"/>
        </w:rPr>
        <w:t xml:space="preserve"> </w:t>
      </w:r>
      <w:r>
        <w:t>be</w:t>
      </w:r>
      <w:r>
        <w:rPr>
          <w:spacing w:val="-4"/>
        </w:rPr>
        <w:t xml:space="preserve"> </w:t>
      </w:r>
      <w:r>
        <w:t>a</w:t>
      </w:r>
      <w:r>
        <w:rPr>
          <w:spacing w:val="-4"/>
        </w:rPr>
        <w:t xml:space="preserve"> </w:t>
      </w:r>
      <w:r>
        <w:t>hypothetical</w:t>
      </w:r>
      <w:r>
        <w:rPr>
          <w:spacing w:val="-4"/>
        </w:rPr>
        <w:t xml:space="preserve"> </w:t>
      </w:r>
      <w:r>
        <w:t>world</w:t>
      </w:r>
      <w:r>
        <w:rPr>
          <w:spacing w:val="-3"/>
        </w:rPr>
        <w:t xml:space="preserve"> </w:t>
      </w:r>
      <w:r>
        <w:t>where</w:t>
      </w:r>
      <w:r>
        <w:rPr>
          <w:spacing w:val="-4"/>
        </w:rPr>
        <w:t xml:space="preserve"> </w:t>
      </w:r>
      <w:r>
        <w:t>we have</w:t>
      </w:r>
      <w:r>
        <w:rPr>
          <w:spacing w:val="-2"/>
        </w:rPr>
        <w:t xml:space="preserve"> </w:t>
      </w:r>
      <w:r>
        <w:t>the</w:t>
      </w:r>
      <w:r>
        <w:rPr>
          <w:spacing w:val="-2"/>
        </w:rPr>
        <w:t xml:space="preserve"> </w:t>
      </w:r>
      <w:r>
        <w:t>exact</w:t>
      </w:r>
      <w:r>
        <w:rPr>
          <w:spacing w:val="-2"/>
        </w:rPr>
        <w:t xml:space="preserve"> </w:t>
      </w:r>
      <w:r>
        <w:t>same</w:t>
      </w:r>
      <w:r>
        <w:rPr>
          <w:spacing w:val="-1"/>
        </w:rPr>
        <w:t xml:space="preserve"> </w:t>
      </w:r>
      <w:r>
        <w:t>experiences</w:t>
      </w:r>
      <w:r>
        <w:rPr>
          <w:spacing w:val="-2"/>
        </w:rPr>
        <w:t xml:space="preserve"> </w:t>
      </w:r>
      <w:r>
        <w:t>that</w:t>
      </w:r>
      <w:r>
        <w:rPr>
          <w:spacing w:val="-2"/>
        </w:rPr>
        <w:t xml:space="preserve"> </w:t>
      </w:r>
      <w:r>
        <w:t>we</w:t>
      </w:r>
      <w:r>
        <w:rPr>
          <w:spacing w:val="-2"/>
        </w:rPr>
        <w:t xml:space="preserve"> </w:t>
      </w:r>
      <w:r>
        <w:t>have</w:t>
      </w:r>
      <w:r>
        <w:rPr>
          <w:spacing w:val="-1"/>
        </w:rPr>
        <w:t xml:space="preserve"> </w:t>
      </w:r>
      <w:r>
        <w:t>in</w:t>
      </w:r>
      <w:r>
        <w:rPr>
          <w:spacing w:val="-2"/>
        </w:rPr>
        <w:t xml:space="preserve"> </w:t>
      </w:r>
      <w:r>
        <w:t>W,</w:t>
      </w:r>
      <w:r>
        <w:rPr>
          <w:spacing w:val="-2"/>
        </w:rPr>
        <w:t xml:space="preserve"> </w:t>
      </w:r>
      <w:r>
        <w:t>but</w:t>
      </w:r>
      <w:r>
        <w:rPr>
          <w:spacing w:val="-2"/>
        </w:rPr>
        <w:t xml:space="preserve"> </w:t>
      </w:r>
      <w:r>
        <w:t>in</w:t>
      </w:r>
      <w:r>
        <w:rPr>
          <w:spacing w:val="-1"/>
        </w:rPr>
        <w:t xml:space="preserve"> </w:t>
      </w:r>
      <w:r>
        <w:t>which</w:t>
      </w:r>
      <w:r>
        <w:rPr>
          <w:spacing w:val="-2"/>
        </w:rPr>
        <w:t xml:space="preserve"> </w:t>
      </w:r>
      <w:r>
        <w:t>the</w:t>
      </w:r>
      <w:r>
        <w:rPr>
          <w:spacing w:val="-2"/>
        </w:rPr>
        <w:t xml:space="preserve"> </w:t>
      </w:r>
      <w:r>
        <w:t>Gus’s</w:t>
      </w:r>
      <w:r>
        <w:rPr>
          <w:spacing w:val="-1"/>
        </w:rPr>
        <w:t xml:space="preserve"> </w:t>
      </w:r>
      <w:r>
        <w:t>of</w:t>
      </w:r>
    </w:p>
    <w:p w14:paraId="7E00199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93" w14:textId="77777777" w:rsidR="009A58DB" w:rsidRDefault="00000000">
      <w:pPr>
        <w:pStyle w:val="BodyText"/>
        <w:spacing w:before="65" w:line="249" w:lineRule="auto"/>
        <w:ind w:right="358"/>
        <w:rPr>
          <w:position w:val="21"/>
        </w:rPr>
      </w:pPr>
      <w:r>
        <w:lastRenderedPageBreak/>
        <w:t>the</w:t>
      </w:r>
      <w:r>
        <w:rPr>
          <w:spacing w:val="-4"/>
        </w:rPr>
        <w:t xml:space="preserve"> </w:t>
      </w:r>
      <w:r>
        <w:t>world</w:t>
      </w:r>
      <w:r>
        <w:rPr>
          <w:spacing w:val="-3"/>
        </w:rPr>
        <w:t xml:space="preserve"> </w:t>
      </w:r>
      <w:r>
        <w:t>are</w:t>
      </w:r>
      <w:r>
        <w:rPr>
          <w:spacing w:val="-4"/>
        </w:rPr>
        <w:t xml:space="preserve"> </w:t>
      </w:r>
      <w:r>
        <w:t>always</w:t>
      </w:r>
      <w:r>
        <w:rPr>
          <w:spacing w:val="-4"/>
        </w:rPr>
        <w:t xml:space="preserve"> </w:t>
      </w:r>
      <w:r>
        <w:t>right.</w:t>
      </w:r>
      <w:bookmarkStart w:id="339" w:name="_bookmark339"/>
      <w:bookmarkEnd w:id="339"/>
      <w:r>
        <w:rPr>
          <w:color w:val="0562C1"/>
          <w:position w:val="21"/>
          <w:u w:val="single" w:color="0562C1"/>
        </w:rPr>
        <w:t>[233]</w:t>
      </w:r>
      <w:r>
        <w:rPr>
          <w:color w:val="0562C1"/>
          <w:spacing w:val="-2"/>
          <w:position w:val="21"/>
        </w:rPr>
        <w:t xml:space="preserve"> </w:t>
      </w:r>
      <w:r>
        <w:t>In</w:t>
      </w:r>
      <w:r>
        <w:rPr>
          <w:spacing w:val="-2"/>
        </w:rPr>
        <w:t xml:space="preserve"> </w:t>
      </w:r>
      <w:r>
        <w:t>W*,</w:t>
      </w:r>
      <w:r>
        <w:rPr>
          <w:spacing w:val="-2"/>
        </w:rPr>
        <w:t xml:space="preserve"> </w:t>
      </w:r>
      <w:r>
        <w:t>it’s</w:t>
      </w:r>
      <w:r>
        <w:rPr>
          <w:spacing w:val="-2"/>
        </w:rPr>
        <w:t xml:space="preserve"> </w:t>
      </w:r>
      <w:r>
        <w:t>because</w:t>
      </w:r>
      <w:r>
        <w:rPr>
          <w:spacing w:val="-2"/>
        </w:rPr>
        <w:t xml:space="preserve"> </w:t>
      </w:r>
      <w:r>
        <w:t>Santa</w:t>
      </w:r>
      <w:r>
        <w:rPr>
          <w:spacing w:val="-2"/>
        </w:rPr>
        <w:t xml:space="preserve"> </w:t>
      </w:r>
      <w:r>
        <w:t>Claus</w:t>
      </w:r>
      <w:r>
        <w:rPr>
          <w:spacing w:val="-2"/>
        </w:rPr>
        <w:t xml:space="preserve"> </w:t>
      </w:r>
      <w:r>
        <w:t>is</w:t>
      </w:r>
      <w:r>
        <w:rPr>
          <w:spacing w:val="-2"/>
        </w:rPr>
        <w:t xml:space="preserve"> </w:t>
      </w:r>
      <w:r>
        <w:t>personally delivering gifts to millions of people that they suddenly appear in living rooms</w:t>
      </w:r>
      <w:r>
        <w:rPr>
          <w:spacing w:val="-4"/>
        </w:rPr>
        <w:t xml:space="preserve"> </w:t>
      </w:r>
      <w:r>
        <w:t>round</w:t>
      </w:r>
      <w:r>
        <w:rPr>
          <w:spacing w:val="-3"/>
        </w:rPr>
        <w:t xml:space="preserve"> </w:t>
      </w:r>
      <w:r>
        <w:t>the</w:t>
      </w:r>
      <w:r>
        <w:rPr>
          <w:spacing w:val="-4"/>
        </w:rPr>
        <w:t xml:space="preserve"> </w:t>
      </w:r>
      <w:r>
        <w:t>globe;</w:t>
      </w:r>
      <w:r>
        <w:rPr>
          <w:spacing w:val="-4"/>
        </w:rPr>
        <w:t xml:space="preserve"> </w:t>
      </w:r>
      <w:r>
        <w:t>it</w:t>
      </w:r>
      <w:r>
        <w:rPr>
          <w:spacing w:val="-4"/>
        </w:rPr>
        <w:t xml:space="preserve"> </w:t>
      </w:r>
      <w:r>
        <w:t>isn’t</w:t>
      </w:r>
      <w:r>
        <w:rPr>
          <w:spacing w:val="-4"/>
        </w:rPr>
        <w:t xml:space="preserve"> </w:t>
      </w:r>
      <w:r>
        <w:t>because</w:t>
      </w:r>
      <w:r>
        <w:rPr>
          <w:spacing w:val="-4"/>
        </w:rPr>
        <w:t xml:space="preserve"> </w:t>
      </w:r>
      <w:r>
        <w:t>hard-working</w:t>
      </w:r>
      <w:r>
        <w:rPr>
          <w:spacing w:val="-3"/>
        </w:rPr>
        <w:t xml:space="preserve"> </w:t>
      </w:r>
      <w:r>
        <w:t>parents</w:t>
      </w:r>
      <w:r>
        <w:rPr>
          <w:spacing w:val="-4"/>
        </w:rPr>
        <w:t xml:space="preserve"> </w:t>
      </w:r>
      <w:r>
        <w:t>purchased</w:t>
      </w:r>
      <w:r>
        <w:rPr>
          <w:spacing w:val="-3"/>
        </w:rPr>
        <w:t xml:space="preserve"> </w:t>
      </w:r>
      <w:r>
        <w:t>them. In W*, your keys are missing because stealthy gnomes took them; it isn’t because you drunkenly threw them in the incinerator. And so on. In W*, the right explanations are the ones that, in our world, are extremely bad ones.</w:t>
      </w:r>
      <w:r>
        <w:rPr>
          <w:spacing w:val="40"/>
        </w:rPr>
        <w:t xml:space="preserve"> </w:t>
      </w:r>
      <w:r>
        <w:t xml:space="preserve">The data on the basis of which those hypotheses are held in W* (so far as those hypotheses are held) is identical with the data on the basis of which they’re held here (same qualification). But in W*, they’re right, and the good explanations—the logical, sane, well-supported explanations—that they compete with are always wrong. So, in W*, good explanations aren’t even </w:t>
      </w:r>
      <w:r>
        <w:rPr>
          <w:i/>
        </w:rPr>
        <w:t xml:space="preserve">likely </w:t>
      </w:r>
      <w:r>
        <w:t>to lead to the truth. So there’s no inherent connection between an explanation’s being good and its being true: goodness (in the explanatory sense) cannot be identified with, or even understood in terms of, truth-</w:t>
      </w:r>
      <w:r>
        <w:rPr>
          <w:spacing w:val="-2"/>
        </w:rPr>
        <w:t>conduciveness</w:t>
      </w:r>
      <w:bookmarkStart w:id="340" w:name="_bookmark340"/>
      <w:bookmarkEnd w:id="340"/>
      <w:r>
        <w:rPr>
          <w:spacing w:val="-2"/>
        </w:rPr>
        <w:t>.</w:t>
      </w:r>
      <w:r>
        <w:rPr>
          <w:color w:val="0562C1"/>
          <w:spacing w:val="-2"/>
          <w:position w:val="21"/>
          <w:u w:val="single" w:color="0562C1"/>
        </w:rPr>
        <w:t>[234]</w:t>
      </w:r>
    </w:p>
    <w:p w14:paraId="7E001994" w14:textId="77777777" w:rsidR="009A58DB" w:rsidRDefault="00000000">
      <w:pPr>
        <w:pStyle w:val="BodyText"/>
        <w:spacing w:before="18" w:line="249" w:lineRule="auto"/>
        <w:ind w:right="361" w:firstLine="360"/>
      </w:pPr>
      <w:r>
        <w:t>Explanatory goodness is a relationship, not between explanations and reality, but between explanation and data. The relations that hold in W* between theory and data coincide with those holding in W. That’s why the ones</w:t>
      </w:r>
      <w:r>
        <w:rPr>
          <w:spacing w:val="-1"/>
        </w:rPr>
        <w:t xml:space="preserve"> </w:t>
      </w:r>
      <w:r>
        <w:t>that</w:t>
      </w:r>
      <w:r>
        <w:rPr>
          <w:spacing w:val="-1"/>
        </w:rPr>
        <w:t xml:space="preserve"> </w:t>
      </w:r>
      <w:r>
        <w:t>are</w:t>
      </w:r>
      <w:r>
        <w:rPr>
          <w:spacing w:val="-1"/>
        </w:rPr>
        <w:t xml:space="preserve"> </w:t>
      </w:r>
      <w:r>
        <w:t>wrong</w:t>
      </w:r>
      <w:r>
        <w:rPr>
          <w:spacing w:val="-1"/>
        </w:rPr>
        <w:t xml:space="preserve"> </w:t>
      </w:r>
      <w:r>
        <w:t>in</w:t>
      </w:r>
      <w:r>
        <w:rPr>
          <w:spacing w:val="-1"/>
        </w:rPr>
        <w:t xml:space="preserve"> </w:t>
      </w:r>
      <w:r>
        <w:t>W*</w:t>
      </w:r>
      <w:r>
        <w:rPr>
          <w:spacing w:val="-1"/>
        </w:rPr>
        <w:t xml:space="preserve"> </w:t>
      </w:r>
      <w:r>
        <w:t>are</w:t>
      </w:r>
      <w:r>
        <w:rPr>
          <w:spacing w:val="-1"/>
        </w:rPr>
        <w:t xml:space="preserve"> </w:t>
      </w:r>
      <w:r>
        <w:t>no</w:t>
      </w:r>
      <w:r>
        <w:rPr>
          <w:spacing w:val="-1"/>
        </w:rPr>
        <w:t xml:space="preserve"> </w:t>
      </w:r>
      <w:r>
        <w:t>less</w:t>
      </w:r>
      <w:r>
        <w:rPr>
          <w:spacing w:val="-1"/>
        </w:rPr>
        <w:t xml:space="preserve"> </w:t>
      </w:r>
      <w:r>
        <w:t>good</w:t>
      </w:r>
      <w:r>
        <w:rPr>
          <w:spacing w:val="-1"/>
        </w:rPr>
        <w:t xml:space="preserve"> </w:t>
      </w:r>
      <w:r>
        <w:t>on</w:t>
      </w:r>
      <w:r>
        <w:rPr>
          <w:spacing w:val="-1"/>
        </w:rPr>
        <w:t xml:space="preserve"> </w:t>
      </w:r>
      <w:r>
        <w:t>that</w:t>
      </w:r>
      <w:r>
        <w:rPr>
          <w:spacing w:val="-1"/>
        </w:rPr>
        <w:t xml:space="preserve"> </w:t>
      </w:r>
      <w:r>
        <w:t>account.</w:t>
      </w:r>
      <w:r>
        <w:rPr>
          <w:spacing w:val="-1"/>
        </w:rPr>
        <w:t xml:space="preserve"> </w:t>
      </w:r>
      <w:r>
        <w:t>What</w:t>
      </w:r>
      <w:r>
        <w:rPr>
          <w:spacing w:val="-1"/>
        </w:rPr>
        <w:t xml:space="preserve"> </w:t>
      </w:r>
      <w:r>
        <w:t>is</w:t>
      </w:r>
      <w:r>
        <w:rPr>
          <w:spacing w:val="-1"/>
        </w:rPr>
        <w:t xml:space="preserve"> </w:t>
      </w:r>
      <w:r>
        <w:t>it</w:t>
      </w:r>
      <w:r>
        <w:rPr>
          <w:spacing w:val="-1"/>
        </w:rPr>
        <w:t xml:space="preserve"> </w:t>
      </w:r>
      <w:r>
        <w:t>that,</w:t>
      </w:r>
      <w:r>
        <w:rPr>
          <w:spacing w:val="-1"/>
        </w:rPr>
        <w:t xml:space="preserve"> </w:t>
      </w:r>
      <w:r>
        <w:t>in W*, makes wrong explanations be good? In general, what is the relationship that good theories bear with respect to the data?</w:t>
      </w:r>
    </w:p>
    <w:p w14:paraId="7E001995" w14:textId="77777777" w:rsidR="009A58DB" w:rsidRDefault="00000000">
      <w:pPr>
        <w:pStyle w:val="BodyText"/>
        <w:spacing w:before="7" w:line="249" w:lineRule="auto"/>
        <w:ind w:right="358" w:firstLine="360"/>
      </w:pPr>
      <w:r>
        <w:t xml:space="preserve">First of all, “good” is a relative to term. An explanation is good </w:t>
      </w:r>
      <w:r>
        <w:rPr>
          <w:i/>
        </w:rPr>
        <w:t xml:space="preserve">relative </w:t>
      </w:r>
      <w:r>
        <w:t>to some body of data. No good explanation is inconsistent with the relevant</w:t>
      </w:r>
      <w:r>
        <w:rPr>
          <w:spacing w:val="40"/>
        </w:rPr>
        <w:t xml:space="preserve"> </w:t>
      </w:r>
      <w:r>
        <w:t>data. And, of the various explanations consistent with a given body of data, the best one is the one that depends the least on unexplained explainers.</w:t>
      </w:r>
    </w:p>
    <w:p w14:paraId="7E001996" w14:textId="77777777" w:rsidR="009A58DB" w:rsidRDefault="00000000">
      <w:pPr>
        <w:pStyle w:val="BodyText"/>
        <w:spacing w:before="5" w:line="249" w:lineRule="auto"/>
        <w:ind w:right="359" w:firstLine="360"/>
      </w:pPr>
      <w:r>
        <w:t>Here’s an illustration. I put an opaque plate on a table. I thus can’t see the part of the table covered by the plate. “Given only this data,” says my sophist friend Smith, “it’s a theoretical possibility that the moment you put the plate on the table, there suddenly came into existence a hole in the table the exact size of the plate.” Supposing that you’re right, I ask Smith, why didn’t the plate</w:t>
      </w:r>
      <w:r>
        <w:rPr>
          <w:spacing w:val="-1"/>
        </w:rPr>
        <w:t xml:space="preserve"> </w:t>
      </w:r>
      <w:r>
        <w:t>fall</w:t>
      </w:r>
      <w:r>
        <w:rPr>
          <w:spacing w:val="-1"/>
        </w:rPr>
        <w:t xml:space="preserve"> </w:t>
      </w:r>
      <w:r>
        <w:t>through</w:t>
      </w:r>
      <w:r>
        <w:rPr>
          <w:spacing w:val="-1"/>
        </w:rPr>
        <w:t xml:space="preserve"> </w:t>
      </w:r>
      <w:r>
        <w:t>the</w:t>
      </w:r>
      <w:r>
        <w:rPr>
          <w:spacing w:val="-1"/>
        </w:rPr>
        <w:t xml:space="preserve"> </w:t>
      </w:r>
      <w:r>
        <w:t>table?</w:t>
      </w:r>
      <w:r>
        <w:rPr>
          <w:spacing w:val="-1"/>
        </w:rPr>
        <w:t xml:space="preserve"> </w:t>
      </w:r>
      <w:r>
        <w:t>“Because,”</w:t>
      </w:r>
      <w:r>
        <w:rPr>
          <w:spacing w:val="-1"/>
        </w:rPr>
        <w:t xml:space="preserve"> </w:t>
      </w:r>
      <w:r>
        <w:t>Smith</w:t>
      </w:r>
      <w:r>
        <w:rPr>
          <w:spacing w:val="-1"/>
        </w:rPr>
        <w:t xml:space="preserve"> </w:t>
      </w:r>
      <w:r>
        <w:t>responds</w:t>
      </w:r>
      <w:r>
        <w:rPr>
          <w:spacing w:val="-1"/>
        </w:rPr>
        <w:t xml:space="preserve"> </w:t>
      </w:r>
      <w:r>
        <w:t>“when</w:t>
      </w:r>
      <w:r>
        <w:rPr>
          <w:spacing w:val="-1"/>
        </w:rPr>
        <w:t xml:space="preserve"> </w:t>
      </w:r>
      <w:r>
        <w:t>that</w:t>
      </w:r>
      <w:r>
        <w:rPr>
          <w:spacing w:val="-1"/>
        </w:rPr>
        <w:t xml:space="preserve"> </w:t>
      </w:r>
      <w:r>
        <w:t>hole</w:t>
      </w:r>
      <w:r>
        <w:rPr>
          <w:spacing w:val="-1"/>
        </w:rPr>
        <w:t xml:space="preserve"> </w:t>
      </w:r>
      <w:r>
        <w:t>came into existence, a special force was created that kept the plate in exactly the place that it would have occupied if there were no hole.” Why, I ask in response, did that force come into existence? “I don’t know,” says Smith. “It</w:t>
      </w:r>
    </w:p>
    <w:p w14:paraId="7E00199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98" w14:textId="77777777" w:rsidR="009A58DB" w:rsidRDefault="00000000">
      <w:pPr>
        <w:pStyle w:val="BodyText"/>
        <w:spacing w:before="65"/>
      </w:pPr>
      <w:r>
        <w:lastRenderedPageBreak/>
        <w:t>just</w:t>
      </w:r>
      <w:r>
        <w:rPr>
          <w:spacing w:val="-5"/>
        </w:rPr>
        <w:t xml:space="preserve"> </w:t>
      </w:r>
      <w:r>
        <w:rPr>
          <w:spacing w:val="-2"/>
        </w:rPr>
        <w:t>did.”</w:t>
      </w:r>
    </w:p>
    <w:p w14:paraId="7E001999" w14:textId="77777777" w:rsidR="009A58DB" w:rsidRDefault="00000000">
      <w:pPr>
        <w:pStyle w:val="BodyText"/>
        <w:spacing w:before="15" w:line="249" w:lineRule="auto"/>
        <w:ind w:right="364" w:firstLine="360"/>
      </w:pPr>
      <w:r>
        <w:t xml:space="preserve">Maybe this explanation is correct. We’ll never know for certain that it isn’t—at least not without presupposing the falsehood of various other, comparably </w:t>
      </w:r>
      <w:r>
        <w:rPr>
          <w:i/>
        </w:rPr>
        <w:t xml:space="preserve">ad hoc </w:t>
      </w:r>
      <w:r>
        <w:t>explanations.</w:t>
      </w:r>
    </w:p>
    <w:p w14:paraId="7E00199A" w14:textId="77777777" w:rsidR="009A58DB" w:rsidRDefault="00000000">
      <w:pPr>
        <w:pStyle w:val="BodyText"/>
        <w:spacing w:before="3" w:line="249" w:lineRule="auto"/>
        <w:ind w:right="358" w:firstLine="360"/>
      </w:pPr>
      <w:r>
        <w:t xml:space="preserve">Be that as it may, it’s a bad explanation. Why is it bad? Because it leaves us with more questions than answers. Why did the hole appear? Why did it happen to have </w:t>
      </w:r>
      <w:r>
        <w:rPr>
          <w:i/>
        </w:rPr>
        <w:t xml:space="preserve">just </w:t>
      </w:r>
      <w:r>
        <w:t>the right shape and size? Is it because the plate has</w:t>
      </w:r>
      <w:r>
        <w:rPr>
          <w:spacing w:val="40"/>
        </w:rPr>
        <w:t xml:space="preserve"> </w:t>
      </w:r>
      <w:r>
        <w:t>special chemical properties? If so, why is it that, the moment the plate is whisked away from the table, the effects of any chemical interaction between the two are undone? Supposing that these questions can be answered, why</w:t>
      </w:r>
      <w:r>
        <w:rPr>
          <w:spacing w:val="40"/>
        </w:rPr>
        <w:t xml:space="preserve"> </w:t>
      </w:r>
      <w:r>
        <w:t>did some force suddenly step into the breach left by the momentarily absent table</w:t>
      </w:r>
      <w:r>
        <w:rPr>
          <w:spacing w:val="-3"/>
        </w:rPr>
        <w:t xml:space="preserve"> </w:t>
      </w:r>
      <w:r>
        <w:t>surface?</w:t>
      </w:r>
      <w:r>
        <w:rPr>
          <w:spacing w:val="-3"/>
        </w:rPr>
        <w:t xml:space="preserve"> </w:t>
      </w:r>
      <w:r>
        <w:t>Why</w:t>
      </w:r>
      <w:r>
        <w:rPr>
          <w:spacing w:val="-2"/>
        </w:rPr>
        <w:t xml:space="preserve"> </w:t>
      </w:r>
      <w:r>
        <w:t>was</w:t>
      </w:r>
      <w:r>
        <w:rPr>
          <w:spacing w:val="-3"/>
        </w:rPr>
        <w:t xml:space="preserve"> </w:t>
      </w:r>
      <w:r>
        <w:t>that</w:t>
      </w:r>
      <w:r>
        <w:rPr>
          <w:spacing w:val="-3"/>
        </w:rPr>
        <w:t xml:space="preserve"> </w:t>
      </w:r>
      <w:r>
        <w:t>force</w:t>
      </w:r>
      <w:r>
        <w:rPr>
          <w:spacing w:val="-3"/>
        </w:rPr>
        <w:t xml:space="preserve"> </w:t>
      </w:r>
      <w:r>
        <w:rPr>
          <w:i/>
        </w:rPr>
        <w:t>just</w:t>
      </w:r>
      <w:r>
        <w:rPr>
          <w:i/>
          <w:spacing w:val="-3"/>
        </w:rPr>
        <w:t xml:space="preserve"> </w:t>
      </w:r>
      <w:r>
        <w:t>right—</w:t>
      </w:r>
      <w:r>
        <w:rPr>
          <w:i/>
        </w:rPr>
        <w:t>just</w:t>
      </w:r>
      <w:r>
        <w:rPr>
          <w:i/>
          <w:spacing w:val="-3"/>
        </w:rPr>
        <w:t xml:space="preserve"> </w:t>
      </w:r>
      <w:r>
        <w:t xml:space="preserve">enough to keep the plate on the table, but not so much that the plate rose above the table or trembled or did anything else inconsistent with its being on an ordinary table? And supposing that we have an answer to </w:t>
      </w:r>
      <w:r>
        <w:rPr>
          <w:i/>
        </w:rPr>
        <w:t xml:space="preserve">that </w:t>
      </w:r>
      <w:r>
        <w:t xml:space="preserve">question, why was there no independent evidence of the existence of that force? Why was its </w:t>
      </w:r>
      <w:r>
        <w:rPr>
          <w:i/>
        </w:rPr>
        <w:t xml:space="preserve">only </w:t>
      </w:r>
      <w:r>
        <w:t>effect to keep the plate in that very location, for that exact amount of time? Supposing that, for some reason or other, we have highly sensitive instruments of measurement underneath the table, why didn’t any of them detect anything?</w:t>
      </w:r>
    </w:p>
    <w:p w14:paraId="7E00199B" w14:textId="77777777" w:rsidR="009A58DB" w:rsidRDefault="00000000">
      <w:pPr>
        <w:pStyle w:val="BodyText"/>
        <w:spacing w:before="20" w:line="249" w:lineRule="auto"/>
        <w:ind w:right="359" w:firstLine="360"/>
        <w:rPr>
          <w:position w:val="21"/>
        </w:rPr>
      </w:pPr>
      <w:r>
        <w:t xml:space="preserve">With every answer, a new hole arises. It may be that, for each hole that pops up, there is a way to plug it up that is not only consistent with the laws of logic but is </w:t>
      </w:r>
      <w:r>
        <w:rPr>
          <w:i/>
        </w:rPr>
        <w:t xml:space="preserve">also </w:t>
      </w:r>
      <w:r>
        <w:t xml:space="preserve">consistent with our other empirical beliefs. Or, if there arises a case where the hole cannot be plugged up without jettisoning some, or even all, of our remaining beliefs, maybe there is a way to revise those other beliefs in such a way that they remain consistent with the raw data </w:t>
      </w:r>
      <w:r>
        <w:rPr>
          <w:i/>
        </w:rPr>
        <w:t xml:space="preserve">and </w:t>
      </w:r>
      <w:r>
        <w:t>with the stopgap in question. It is generally said that a given body of data can be modeled by many different, mutually inconsistent hypotheses</w:t>
      </w:r>
      <w:bookmarkStart w:id="341" w:name="_bookmark341"/>
      <w:bookmarkEnd w:id="341"/>
      <w:r>
        <w:t>.</w:t>
      </w:r>
      <w:r>
        <w:rPr>
          <w:color w:val="0562C1"/>
          <w:position w:val="21"/>
          <w:u w:val="single" w:color="0562C1"/>
        </w:rPr>
        <w:t>[235]</w:t>
      </w:r>
    </w:p>
    <w:p w14:paraId="7E00199C" w14:textId="77777777" w:rsidR="009A58DB" w:rsidRDefault="00000000">
      <w:pPr>
        <w:pStyle w:val="BodyText"/>
        <w:spacing w:before="10" w:line="249" w:lineRule="auto"/>
        <w:ind w:right="363" w:firstLine="360"/>
      </w:pPr>
      <w:r>
        <w:t>But even if this is true, it doesn’t follow that, for each hypothesis that models</w:t>
      </w:r>
      <w:r>
        <w:rPr>
          <w:spacing w:val="-3"/>
        </w:rPr>
        <w:t xml:space="preserve"> </w:t>
      </w:r>
      <w:r>
        <w:t>a</w:t>
      </w:r>
      <w:r>
        <w:rPr>
          <w:spacing w:val="-3"/>
        </w:rPr>
        <w:t xml:space="preserve"> </w:t>
      </w:r>
      <w:r>
        <w:t>given</w:t>
      </w:r>
      <w:r>
        <w:rPr>
          <w:spacing w:val="-2"/>
        </w:rPr>
        <w:t xml:space="preserve"> </w:t>
      </w:r>
      <w:r>
        <w:t>body</w:t>
      </w:r>
      <w:r>
        <w:rPr>
          <w:spacing w:val="-2"/>
        </w:rPr>
        <w:t xml:space="preserve"> </w:t>
      </w:r>
      <w:r>
        <w:t>of</w:t>
      </w:r>
      <w:r>
        <w:rPr>
          <w:spacing w:val="-3"/>
        </w:rPr>
        <w:t xml:space="preserve"> </w:t>
      </w:r>
      <w:r>
        <w:t>data</w:t>
      </w:r>
      <w:r>
        <w:rPr>
          <w:spacing w:val="-3"/>
        </w:rPr>
        <w:t xml:space="preserve"> </w:t>
      </w:r>
      <w:r>
        <w:t>in</w:t>
      </w:r>
      <w:r>
        <w:rPr>
          <w:spacing w:val="-2"/>
        </w:rPr>
        <w:t xml:space="preserve"> </w:t>
      </w:r>
      <w:r>
        <w:t>a</w:t>
      </w:r>
      <w:r>
        <w:rPr>
          <w:spacing w:val="-3"/>
        </w:rPr>
        <w:t xml:space="preserve"> </w:t>
      </w:r>
      <w:r>
        <w:t>way</w:t>
      </w:r>
      <w:r>
        <w:rPr>
          <w:spacing w:val="-2"/>
        </w:rPr>
        <w:t xml:space="preserve"> </w:t>
      </w:r>
      <w:r>
        <w:t>that</w:t>
      </w:r>
      <w:r>
        <w:rPr>
          <w:spacing w:val="-3"/>
        </w:rPr>
        <w:t xml:space="preserve"> </w:t>
      </w:r>
      <w:r>
        <w:t>has</w:t>
      </w:r>
      <w:r>
        <w:rPr>
          <w:spacing w:val="-3"/>
        </w:rPr>
        <w:t xml:space="preserve"> </w:t>
      </w:r>
      <w:r>
        <w:t>a</w:t>
      </w:r>
      <w:r>
        <w:rPr>
          <w:spacing w:val="-3"/>
        </w:rPr>
        <w:t xml:space="preserve"> </w:t>
      </w:r>
      <w:r>
        <w:t>given</w:t>
      </w:r>
      <w:r>
        <w:rPr>
          <w:spacing w:val="-2"/>
        </w:rPr>
        <w:t xml:space="preserve"> </w:t>
      </w:r>
      <w:r>
        <w:t>degree</w:t>
      </w:r>
      <w:r>
        <w:rPr>
          <w:spacing w:val="-3"/>
        </w:rPr>
        <w:t xml:space="preserve"> </w:t>
      </w:r>
      <w:r>
        <w:t>of</w:t>
      </w:r>
      <w:r>
        <w:rPr>
          <w:spacing w:val="-3"/>
        </w:rPr>
        <w:t xml:space="preserve"> </w:t>
      </w:r>
      <w:r>
        <w:t>success</w:t>
      </w:r>
      <w:r>
        <w:rPr>
          <w:spacing w:val="-3"/>
        </w:rPr>
        <w:t xml:space="preserve"> </w:t>
      </w:r>
      <w:r>
        <w:t>in</w:t>
      </w:r>
      <w:r>
        <w:rPr>
          <w:spacing w:val="-2"/>
        </w:rPr>
        <w:t xml:space="preserve"> </w:t>
      </w:r>
      <w:r>
        <w:t>the way of eliminating unexplained explainers, there is a logically incompatible way of modeling the data that also has that degree of success in that respect.</w:t>
      </w:r>
    </w:p>
    <w:p w14:paraId="7E00199D" w14:textId="77777777" w:rsidR="009A58DB" w:rsidRDefault="00000000">
      <w:pPr>
        <w:pStyle w:val="Heading3"/>
        <w:numPr>
          <w:ilvl w:val="2"/>
          <w:numId w:val="116"/>
        </w:numPr>
        <w:tabs>
          <w:tab w:val="left" w:pos="1136"/>
        </w:tabs>
        <w:spacing w:before="102"/>
        <w:ind w:hanging="776"/>
        <w:jc w:val="both"/>
      </w:pPr>
      <w:r>
        <w:t>Correct</w:t>
      </w:r>
      <w:r>
        <w:rPr>
          <w:spacing w:val="7"/>
        </w:rPr>
        <w:t xml:space="preserve"> </w:t>
      </w:r>
      <w:r>
        <w:t>explanations</w:t>
      </w:r>
      <w:r>
        <w:rPr>
          <w:spacing w:val="8"/>
        </w:rPr>
        <w:t xml:space="preserve"> </w:t>
      </w:r>
      <w:r>
        <w:t>can</w:t>
      </w:r>
      <w:r>
        <w:rPr>
          <w:spacing w:val="8"/>
        </w:rPr>
        <w:t xml:space="preserve"> </w:t>
      </w:r>
      <w:r>
        <w:t>be</w:t>
      </w:r>
      <w:r>
        <w:rPr>
          <w:spacing w:val="8"/>
        </w:rPr>
        <w:t xml:space="preserve"> </w:t>
      </w:r>
      <w:r>
        <w:t>bad</w:t>
      </w:r>
      <w:r>
        <w:rPr>
          <w:spacing w:val="8"/>
        </w:rPr>
        <w:t xml:space="preserve"> </w:t>
      </w:r>
      <w:r>
        <w:t>explanations</w:t>
      </w:r>
      <w:r>
        <w:rPr>
          <w:spacing w:val="7"/>
        </w:rPr>
        <w:t xml:space="preserve"> </w:t>
      </w:r>
      <w:r>
        <w:rPr>
          <w:spacing w:val="-2"/>
        </w:rPr>
        <w:t>(continued)</w:t>
      </w:r>
    </w:p>
    <w:p w14:paraId="7E00199E" w14:textId="77777777" w:rsidR="009A58DB" w:rsidRDefault="00000000">
      <w:pPr>
        <w:pStyle w:val="BodyText"/>
        <w:spacing w:before="82"/>
      </w:pPr>
      <w:r>
        <w:t>A</w:t>
      </w:r>
      <w:r>
        <w:rPr>
          <w:spacing w:val="8"/>
        </w:rPr>
        <w:t xml:space="preserve"> </w:t>
      </w:r>
      <w:r>
        <w:t>continuation</w:t>
      </w:r>
      <w:r>
        <w:rPr>
          <w:spacing w:val="9"/>
        </w:rPr>
        <w:t xml:space="preserve"> </w:t>
      </w:r>
      <w:r>
        <w:t>of</w:t>
      </w:r>
      <w:r>
        <w:rPr>
          <w:spacing w:val="9"/>
        </w:rPr>
        <w:t xml:space="preserve"> </w:t>
      </w:r>
      <w:r>
        <w:t>our</w:t>
      </w:r>
      <w:r>
        <w:rPr>
          <w:spacing w:val="9"/>
        </w:rPr>
        <w:t xml:space="preserve"> </w:t>
      </w:r>
      <w:r>
        <w:t>plate</w:t>
      </w:r>
      <w:r>
        <w:rPr>
          <w:spacing w:val="9"/>
        </w:rPr>
        <w:t xml:space="preserve"> </w:t>
      </w:r>
      <w:r>
        <w:t>story</w:t>
      </w:r>
      <w:r>
        <w:rPr>
          <w:spacing w:val="9"/>
        </w:rPr>
        <w:t xml:space="preserve"> </w:t>
      </w:r>
      <w:r>
        <w:t>will</w:t>
      </w:r>
      <w:r>
        <w:rPr>
          <w:spacing w:val="9"/>
        </w:rPr>
        <w:t xml:space="preserve"> </w:t>
      </w:r>
      <w:r>
        <w:t>make</w:t>
      </w:r>
      <w:r>
        <w:rPr>
          <w:spacing w:val="8"/>
        </w:rPr>
        <w:t xml:space="preserve"> </w:t>
      </w:r>
      <w:r>
        <w:t>it</w:t>
      </w:r>
      <w:r>
        <w:rPr>
          <w:spacing w:val="9"/>
        </w:rPr>
        <w:t xml:space="preserve"> </w:t>
      </w:r>
      <w:r>
        <w:t>clear</w:t>
      </w:r>
      <w:r>
        <w:rPr>
          <w:spacing w:val="9"/>
        </w:rPr>
        <w:t xml:space="preserve"> </w:t>
      </w:r>
      <w:r>
        <w:t>what</w:t>
      </w:r>
      <w:r>
        <w:rPr>
          <w:spacing w:val="9"/>
        </w:rPr>
        <w:t xml:space="preserve"> </w:t>
      </w:r>
      <w:r>
        <w:t>this</w:t>
      </w:r>
      <w:r>
        <w:rPr>
          <w:spacing w:val="9"/>
        </w:rPr>
        <w:t xml:space="preserve"> </w:t>
      </w:r>
      <w:r>
        <w:t>means</w:t>
      </w:r>
      <w:r>
        <w:rPr>
          <w:spacing w:val="9"/>
        </w:rPr>
        <w:t xml:space="preserve"> </w:t>
      </w:r>
      <w:r>
        <w:t>and</w:t>
      </w:r>
      <w:r>
        <w:rPr>
          <w:spacing w:val="9"/>
        </w:rPr>
        <w:t xml:space="preserve"> </w:t>
      </w:r>
      <w:r>
        <w:rPr>
          <w:spacing w:val="-5"/>
        </w:rPr>
        <w:t>why</w:t>
      </w:r>
    </w:p>
    <w:p w14:paraId="7E00199F" w14:textId="77777777" w:rsidR="009A58DB" w:rsidRDefault="009A58DB">
      <w:pPr>
        <w:pStyle w:val="BodyText"/>
        <w:sectPr w:rsidR="009A58DB">
          <w:pgSz w:w="12240" w:h="15840"/>
          <w:pgMar w:top="1380" w:right="1080" w:bottom="280" w:left="1080" w:header="720" w:footer="720" w:gutter="0"/>
          <w:cols w:space="720"/>
        </w:sectPr>
      </w:pPr>
    </w:p>
    <w:p w14:paraId="7E0019A0" w14:textId="77777777" w:rsidR="009A58DB" w:rsidRDefault="00000000">
      <w:pPr>
        <w:pStyle w:val="BodyText"/>
        <w:spacing w:before="70" w:line="249" w:lineRule="auto"/>
        <w:ind w:right="359"/>
      </w:pPr>
      <w:r>
        <w:lastRenderedPageBreak/>
        <w:t>it is true. Why doesn’t the plate fall through the table? Because, says the conventional wisdom, the table didn’t vanish. But, the skeptic will retort, maybe we can jettison that explanation; maybe there’s an alternative to it that is equally compatible with the perceptual data.</w:t>
      </w:r>
    </w:p>
    <w:p w14:paraId="7E0019A1" w14:textId="77777777" w:rsidR="009A58DB" w:rsidRDefault="00000000">
      <w:pPr>
        <w:pStyle w:val="BodyText"/>
        <w:spacing w:line="249" w:lineRule="auto"/>
        <w:ind w:right="364" w:firstLine="360"/>
      </w:pPr>
      <w:r>
        <w:t xml:space="preserve">But, I would respond, supposing for argument’s sake that there is such an alternative, it doesn’t follow that it will create fewer holes to plug up than its predecessor did. It doesn’t follow that it’s comparable from a cost-benefit standpoint to the old one—that, in other words, it creates as few </w:t>
      </w:r>
      <w:r>
        <w:rPr>
          <w:i/>
        </w:rPr>
        <w:t xml:space="preserve">new </w:t>
      </w:r>
      <w:r>
        <w:t>mysteries as the old hypothesis while also eliminating as many existing ones.</w:t>
      </w:r>
    </w:p>
    <w:p w14:paraId="7E0019A2" w14:textId="77777777" w:rsidR="009A58DB" w:rsidRDefault="00000000">
      <w:pPr>
        <w:pStyle w:val="BodyText"/>
        <w:spacing w:before="6" w:line="249" w:lineRule="auto"/>
        <w:ind w:right="360" w:firstLine="360"/>
      </w:pPr>
      <w:r>
        <w:t xml:space="preserve">But not only does this not follow: the exact opposite holds. Consider the alternative explanation that we considered a moment ago (viz. </w:t>
      </w:r>
      <w:r>
        <w:rPr>
          <w:i/>
        </w:rPr>
        <w:t xml:space="preserve">when the plate is placed on the table, a hole opens up, </w:t>
      </w:r>
      <w:r>
        <w:t>etc.) The explanatory cost of that hypothesis (in other words, what it leaves us having to explain that we didn’t have to explain before) was a thousand times greater than its explanatory value (in other words, what no longer has to be explained that did have to be explained before).</w:t>
      </w:r>
    </w:p>
    <w:p w14:paraId="7E0019A3" w14:textId="77777777" w:rsidR="009A58DB" w:rsidRDefault="00000000">
      <w:pPr>
        <w:pStyle w:val="BodyText"/>
        <w:spacing w:before="8" w:line="249" w:lineRule="auto"/>
        <w:ind w:right="358" w:firstLine="360"/>
      </w:pPr>
      <w:r>
        <w:t xml:space="preserve">It would be very hard to produce an explanation that was incompatible with the conventional one and, while remaining consistent with the relevant data, was as inexpensive from an explanatory viewpoint as the conventional one. I invite you to verify this for yourself. If there is </w:t>
      </w:r>
      <w:r>
        <w:rPr>
          <w:i/>
        </w:rPr>
        <w:t xml:space="preserve">any </w:t>
      </w:r>
      <w:r>
        <w:t>reason to believe that there exists so much as a single such hypothesis, it isn’t that such a hypothesis has ever been produced or ever will be. That reason, if it exists, must be purely a priori. And, for reasons that will presently become clear, there can be no a priori reason to accept such a hypothesis.</w:t>
      </w:r>
    </w:p>
    <w:p w14:paraId="7E0019A4" w14:textId="77777777" w:rsidR="009A58DB" w:rsidRDefault="00000000">
      <w:pPr>
        <w:pStyle w:val="ListParagraph"/>
        <w:numPr>
          <w:ilvl w:val="2"/>
          <w:numId w:val="116"/>
        </w:numPr>
        <w:tabs>
          <w:tab w:val="left" w:pos="1136"/>
        </w:tabs>
        <w:spacing w:before="108" w:line="271" w:lineRule="auto"/>
        <w:ind w:left="360" w:right="358" w:firstLine="0"/>
        <w:rPr>
          <w:sz w:val="30"/>
        </w:rPr>
      </w:pPr>
      <w:r>
        <w:rPr>
          <w:b/>
          <w:sz w:val="34"/>
        </w:rPr>
        <w:t xml:space="preserve">Correct explanations can be bad explanations (continued) </w:t>
      </w:r>
      <w:r>
        <w:rPr>
          <w:sz w:val="30"/>
        </w:rPr>
        <w:t>But</w:t>
      </w:r>
      <w:r>
        <w:rPr>
          <w:spacing w:val="27"/>
          <w:sz w:val="30"/>
        </w:rPr>
        <w:t xml:space="preserve"> </w:t>
      </w:r>
      <w:r>
        <w:rPr>
          <w:sz w:val="30"/>
        </w:rPr>
        <w:t>there</w:t>
      </w:r>
      <w:r>
        <w:rPr>
          <w:spacing w:val="28"/>
          <w:sz w:val="30"/>
        </w:rPr>
        <w:t xml:space="preserve"> </w:t>
      </w:r>
      <w:r>
        <w:rPr>
          <w:sz w:val="30"/>
        </w:rPr>
        <w:t>is</w:t>
      </w:r>
      <w:r>
        <w:rPr>
          <w:spacing w:val="28"/>
          <w:sz w:val="30"/>
        </w:rPr>
        <w:t xml:space="preserve"> </w:t>
      </w:r>
      <w:r>
        <w:rPr>
          <w:sz w:val="30"/>
        </w:rPr>
        <w:t>an</w:t>
      </w:r>
      <w:r>
        <w:rPr>
          <w:spacing w:val="28"/>
          <w:sz w:val="30"/>
        </w:rPr>
        <w:t xml:space="preserve"> </w:t>
      </w:r>
      <w:r>
        <w:rPr>
          <w:sz w:val="30"/>
        </w:rPr>
        <w:t>even</w:t>
      </w:r>
      <w:r>
        <w:rPr>
          <w:spacing w:val="28"/>
          <w:sz w:val="30"/>
        </w:rPr>
        <w:t xml:space="preserve"> </w:t>
      </w:r>
      <w:r>
        <w:rPr>
          <w:sz w:val="30"/>
        </w:rPr>
        <w:t>more</w:t>
      </w:r>
      <w:r>
        <w:rPr>
          <w:spacing w:val="28"/>
          <w:sz w:val="30"/>
        </w:rPr>
        <w:t xml:space="preserve"> </w:t>
      </w:r>
      <w:r>
        <w:rPr>
          <w:sz w:val="30"/>
        </w:rPr>
        <w:t>immediate</w:t>
      </w:r>
      <w:r>
        <w:rPr>
          <w:spacing w:val="28"/>
          <w:sz w:val="30"/>
        </w:rPr>
        <w:t xml:space="preserve"> </w:t>
      </w:r>
      <w:r>
        <w:rPr>
          <w:sz w:val="30"/>
        </w:rPr>
        <w:t>problem</w:t>
      </w:r>
      <w:r>
        <w:rPr>
          <w:spacing w:val="28"/>
          <w:sz w:val="30"/>
        </w:rPr>
        <w:t xml:space="preserve"> </w:t>
      </w:r>
      <w:r>
        <w:rPr>
          <w:sz w:val="30"/>
        </w:rPr>
        <w:t>for</w:t>
      </w:r>
      <w:r>
        <w:rPr>
          <w:spacing w:val="28"/>
          <w:sz w:val="30"/>
        </w:rPr>
        <w:t xml:space="preserve"> </w:t>
      </w:r>
      <w:r>
        <w:rPr>
          <w:sz w:val="30"/>
        </w:rPr>
        <w:t>this</w:t>
      </w:r>
      <w:r>
        <w:rPr>
          <w:spacing w:val="28"/>
          <w:sz w:val="30"/>
        </w:rPr>
        <w:t xml:space="preserve"> </w:t>
      </w:r>
      <w:r>
        <w:rPr>
          <w:sz w:val="30"/>
        </w:rPr>
        <w:t>(or,</w:t>
      </w:r>
      <w:r>
        <w:rPr>
          <w:spacing w:val="28"/>
          <w:sz w:val="30"/>
        </w:rPr>
        <w:t xml:space="preserve"> </w:t>
      </w:r>
      <w:r>
        <w:rPr>
          <w:sz w:val="30"/>
        </w:rPr>
        <w:t>by</w:t>
      </w:r>
      <w:r>
        <w:rPr>
          <w:spacing w:val="28"/>
          <w:sz w:val="30"/>
        </w:rPr>
        <w:t xml:space="preserve"> </w:t>
      </w:r>
      <w:r>
        <w:rPr>
          <w:sz w:val="30"/>
        </w:rPr>
        <w:t>an</w:t>
      </w:r>
      <w:r>
        <w:rPr>
          <w:spacing w:val="28"/>
          <w:sz w:val="30"/>
        </w:rPr>
        <w:t xml:space="preserve"> </w:t>
      </w:r>
      <w:r>
        <w:rPr>
          <w:sz w:val="30"/>
        </w:rPr>
        <w:t>analogous argument,</w:t>
      </w:r>
      <w:r>
        <w:rPr>
          <w:spacing w:val="28"/>
          <w:sz w:val="30"/>
        </w:rPr>
        <w:t xml:space="preserve"> </w:t>
      </w:r>
      <w:r>
        <w:rPr>
          <w:sz w:val="30"/>
        </w:rPr>
        <w:t>any</w:t>
      </w:r>
      <w:r>
        <w:rPr>
          <w:spacing w:val="31"/>
          <w:sz w:val="30"/>
        </w:rPr>
        <w:t xml:space="preserve"> </w:t>
      </w:r>
      <w:r>
        <w:rPr>
          <w:sz w:val="30"/>
        </w:rPr>
        <w:t>other</w:t>
      </w:r>
      <w:r>
        <w:rPr>
          <w:spacing w:val="32"/>
          <w:sz w:val="30"/>
        </w:rPr>
        <w:t xml:space="preserve"> </w:t>
      </w:r>
      <w:r>
        <w:rPr>
          <w:sz w:val="30"/>
        </w:rPr>
        <w:t>non-standard)</w:t>
      </w:r>
      <w:r>
        <w:rPr>
          <w:spacing w:val="31"/>
          <w:sz w:val="30"/>
        </w:rPr>
        <w:t xml:space="preserve"> </w:t>
      </w:r>
      <w:r>
        <w:rPr>
          <w:sz w:val="30"/>
        </w:rPr>
        <w:t>substitute</w:t>
      </w:r>
      <w:r>
        <w:rPr>
          <w:spacing w:val="30"/>
          <w:sz w:val="30"/>
        </w:rPr>
        <w:t xml:space="preserve"> </w:t>
      </w:r>
      <w:r>
        <w:rPr>
          <w:sz w:val="30"/>
        </w:rPr>
        <w:t>for</w:t>
      </w:r>
      <w:r>
        <w:rPr>
          <w:spacing w:val="32"/>
          <w:sz w:val="30"/>
        </w:rPr>
        <w:t xml:space="preserve"> </w:t>
      </w:r>
      <w:r>
        <w:rPr>
          <w:sz w:val="30"/>
        </w:rPr>
        <w:t>the</w:t>
      </w:r>
      <w:r>
        <w:rPr>
          <w:spacing w:val="31"/>
          <w:sz w:val="30"/>
        </w:rPr>
        <w:t xml:space="preserve"> </w:t>
      </w:r>
      <w:r>
        <w:rPr>
          <w:sz w:val="30"/>
        </w:rPr>
        <w:t>conventional</w:t>
      </w:r>
      <w:r>
        <w:rPr>
          <w:spacing w:val="31"/>
          <w:sz w:val="30"/>
        </w:rPr>
        <w:t xml:space="preserve"> </w:t>
      </w:r>
      <w:r>
        <w:rPr>
          <w:sz w:val="30"/>
        </w:rPr>
        <w:t>view</w:t>
      </w:r>
      <w:r>
        <w:rPr>
          <w:spacing w:val="32"/>
          <w:sz w:val="30"/>
        </w:rPr>
        <w:t xml:space="preserve"> </w:t>
      </w:r>
      <w:r>
        <w:rPr>
          <w:spacing w:val="-4"/>
          <w:sz w:val="30"/>
        </w:rPr>
        <w:t>that</w:t>
      </w:r>
    </w:p>
    <w:p w14:paraId="7E0019A5" w14:textId="77777777" w:rsidR="009A58DB" w:rsidRDefault="00000000">
      <w:pPr>
        <w:pStyle w:val="BodyText"/>
        <w:spacing w:line="316" w:lineRule="exact"/>
        <w:jc w:val="left"/>
      </w:pPr>
      <w:r>
        <w:t>the</w:t>
      </w:r>
      <w:r>
        <w:rPr>
          <w:spacing w:val="33"/>
        </w:rPr>
        <w:t xml:space="preserve"> </w:t>
      </w:r>
      <w:r>
        <w:t>table,</w:t>
      </w:r>
      <w:r>
        <w:rPr>
          <w:spacing w:val="35"/>
        </w:rPr>
        <w:t xml:space="preserve"> </w:t>
      </w:r>
      <w:r>
        <w:t>even</w:t>
      </w:r>
      <w:r>
        <w:rPr>
          <w:spacing w:val="34"/>
        </w:rPr>
        <w:t xml:space="preserve"> </w:t>
      </w:r>
      <w:r>
        <w:t>when</w:t>
      </w:r>
      <w:r>
        <w:rPr>
          <w:spacing w:val="34"/>
        </w:rPr>
        <w:t xml:space="preserve"> </w:t>
      </w:r>
      <w:r>
        <w:t>obscured</w:t>
      </w:r>
      <w:r>
        <w:rPr>
          <w:spacing w:val="34"/>
        </w:rPr>
        <w:t xml:space="preserve"> </w:t>
      </w:r>
      <w:r>
        <w:t>by</w:t>
      </w:r>
      <w:r>
        <w:rPr>
          <w:spacing w:val="35"/>
        </w:rPr>
        <w:t xml:space="preserve"> </w:t>
      </w:r>
      <w:r>
        <w:t>the</w:t>
      </w:r>
      <w:r>
        <w:rPr>
          <w:spacing w:val="33"/>
        </w:rPr>
        <w:t xml:space="preserve"> </w:t>
      </w:r>
      <w:r>
        <w:t>plate,</w:t>
      </w:r>
      <w:r>
        <w:rPr>
          <w:spacing w:val="35"/>
        </w:rPr>
        <w:t xml:space="preserve"> </w:t>
      </w:r>
      <w:r>
        <w:t>continues</w:t>
      </w:r>
      <w:r>
        <w:rPr>
          <w:spacing w:val="34"/>
        </w:rPr>
        <w:t xml:space="preserve"> </w:t>
      </w:r>
      <w:r>
        <w:t>to</w:t>
      </w:r>
      <w:r>
        <w:rPr>
          <w:spacing w:val="34"/>
        </w:rPr>
        <w:t xml:space="preserve"> </w:t>
      </w:r>
      <w:r>
        <w:t>support</w:t>
      </w:r>
      <w:r>
        <w:rPr>
          <w:spacing w:val="34"/>
        </w:rPr>
        <w:t xml:space="preserve"> </w:t>
      </w:r>
      <w:r>
        <w:t>it.</w:t>
      </w:r>
      <w:r>
        <w:rPr>
          <w:spacing w:val="35"/>
        </w:rPr>
        <w:t xml:space="preserve"> </w:t>
      </w:r>
      <w:r>
        <w:t>It’s</w:t>
      </w:r>
      <w:r>
        <w:rPr>
          <w:spacing w:val="35"/>
        </w:rPr>
        <w:t xml:space="preserve"> </w:t>
      </w:r>
      <w:r>
        <w:rPr>
          <w:spacing w:val="-5"/>
        </w:rPr>
        <w:t>far</w:t>
      </w:r>
    </w:p>
    <w:p w14:paraId="7E0019A6" w14:textId="77777777" w:rsidR="009A58DB" w:rsidRDefault="00000000">
      <w:pPr>
        <w:pStyle w:val="BodyText"/>
        <w:spacing w:before="15" w:line="249" w:lineRule="auto"/>
        <w:jc w:val="left"/>
      </w:pPr>
      <w:r>
        <w:t>from</w:t>
      </w:r>
      <w:r>
        <w:rPr>
          <w:spacing w:val="80"/>
        </w:rPr>
        <w:t xml:space="preserve"> </w:t>
      </w:r>
      <w:r>
        <w:t>clear</w:t>
      </w:r>
      <w:r>
        <w:rPr>
          <w:spacing w:val="80"/>
        </w:rPr>
        <w:t xml:space="preserve"> </w:t>
      </w:r>
      <w:r>
        <w:t>that,</w:t>
      </w:r>
      <w:r>
        <w:rPr>
          <w:spacing w:val="80"/>
        </w:rPr>
        <w:t xml:space="preserve"> </w:t>
      </w:r>
      <w:r>
        <w:t>once</w:t>
      </w:r>
      <w:r>
        <w:rPr>
          <w:spacing w:val="80"/>
        </w:rPr>
        <w:t xml:space="preserve"> </w:t>
      </w:r>
      <w:r>
        <w:rPr>
          <w:i/>
        </w:rPr>
        <w:t>all</w:t>
      </w:r>
      <w:r>
        <w:rPr>
          <w:i/>
          <w:spacing w:val="80"/>
        </w:rPr>
        <w:t xml:space="preserve"> </w:t>
      </w:r>
      <w:r>
        <w:t>the</w:t>
      </w:r>
      <w:r>
        <w:rPr>
          <w:spacing w:val="80"/>
        </w:rPr>
        <w:t xml:space="preserve"> </w:t>
      </w:r>
      <w:r>
        <w:t>relevant</w:t>
      </w:r>
      <w:r>
        <w:rPr>
          <w:spacing w:val="80"/>
        </w:rPr>
        <w:t xml:space="preserve"> </w:t>
      </w:r>
      <w:r>
        <w:t>data</w:t>
      </w:r>
      <w:r>
        <w:rPr>
          <w:spacing w:val="80"/>
        </w:rPr>
        <w:t xml:space="preserve"> </w:t>
      </w:r>
      <w:r>
        <w:t>is</w:t>
      </w:r>
      <w:r>
        <w:rPr>
          <w:spacing w:val="80"/>
        </w:rPr>
        <w:t xml:space="preserve"> </w:t>
      </w:r>
      <w:r>
        <w:t>taken</w:t>
      </w:r>
      <w:r>
        <w:rPr>
          <w:spacing w:val="80"/>
        </w:rPr>
        <w:t xml:space="preserve"> </w:t>
      </w:r>
      <w:r>
        <w:t>into</w:t>
      </w:r>
      <w:r>
        <w:rPr>
          <w:spacing w:val="80"/>
        </w:rPr>
        <w:t xml:space="preserve"> </w:t>
      </w:r>
      <w:r>
        <w:t>account,</w:t>
      </w:r>
      <w:r>
        <w:rPr>
          <w:spacing w:val="80"/>
        </w:rPr>
        <w:t xml:space="preserve"> </w:t>
      </w:r>
      <w:r>
        <w:t>that</w:t>
      </w:r>
      <w:r>
        <w:rPr>
          <w:spacing w:val="80"/>
        </w:rPr>
        <w:t xml:space="preserve"> </w:t>
      </w:r>
      <w:r>
        <w:t xml:space="preserve">hypothesis is even </w:t>
      </w:r>
      <w:r>
        <w:rPr>
          <w:i/>
        </w:rPr>
        <w:t xml:space="preserve">logically </w:t>
      </w:r>
      <w:r>
        <w:t>possible. Let’s look at the statement:</w:t>
      </w:r>
    </w:p>
    <w:p w14:paraId="7E0019A7" w14:textId="77777777" w:rsidR="009A58DB" w:rsidRDefault="009A58DB">
      <w:pPr>
        <w:pStyle w:val="BodyText"/>
        <w:spacing w:before="17"/>
        <w:ind w:left="0"/>
        <w:jc w:val="left"/>
      </w:pPr>
    </w:p>
    <w:p w14:paraId="7E0019A8" w14:textId="77777777" w:rsidR="009A58DB" w:rsidRDefault="00000000">
      <w:pPr>
        <w:pStyle w:val="BodyText"/>
        <w:spacing w:line="249" w:lineRule="auto"/>
        <w:ind w:right="361"/>
      </w:pPr>
      <w:r>
        <w:t>(*) “when the plate is placed on the table, a hole that coincides with the under-surface of the plate opens up. But a force field is suddenly created that keeps the plate exactly where it would have been if, other things being equal, that hole hadn’t opened up.”</w:t>
      </w:r>
    </w:p>
    <w:p w14:paraId="7E0019A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AA" w14:textId="77777777" w:rsidR="009A58DB" w:rsidRDefault="00000000">
      <w:pPr>
        <w:pStyle w:val="BodyText"/>
        <w:spacing w:before="65" w:line="249" w:lineRule="auto"/>
        <w:ind w:right="365" w:firstLine="360"/>
      </w:pPr>
      <w:r>
        <w:rPr>
          <w:i/>
        </w:rPr>
        <w:lastRenderedPageBreak/>
        <w:t xml:space="preserve">Taken by itself, </w:t>
      </w:r>
      <w:r>
        <w:t>(*) describes a situation that could hold. That statement is a coherent one. It’s not in the same category as “squares are round.”</w:t>
      </w:r>
    </w:p>
    <w:p w14:paraId="7E0019AB" w14:textId="77777777" w:rsidR="009A58DB" w:rsidRDefault="00000000">
      <w:pPr>
        <w:pStyle w:val="BodyText"/>
        <w:spacing w:before="2" w:line="249" w:lineRule="auto"/>
        <w:ind w:right="358" w:firstLine="360"/>
      </w:pPr>
      <w:r>
        <w:t xml:space="preserve">But, while that’s obviously </w:t>
      </w:r>
      <w:r>
        <w:rPr>
          <w:i/>
        </w:rPr>
        <w:t>necessary</w:t>
      </w:r>
      <w:r>
        <w:rPr>
          <w:i/>
          <w:spacing w:val="-3"/>
        </w:rPr>
        <w:t xml:space="preserve"> </w:t>
      </w:r>
      <w:r>
        <w:t>for its being a logically feasible way of modeling the relevant data, it’s far from sufficient. Think of the various physical</w:t>
      </w:r>
      <w:r>
        <w:rPr>
          <w:spacing w:val="-3"/>
        </w:rPr>
        <w:t xml:space="preserve"> </w:t>
      </w:r>
      <w:r>
        <w:t>laws</w:t>
      </w:r>
      <w:r>
        <w:rPr>
          <w:spacing w:val="-2"/>
        </w:rPr>
        <w:t xml:space="preserve"> </w:t>
      </w:r>
      <w:r>
        <w:t>that</w:t>
      </w:r>
      <w:r>
        <w:rPr>
          <w:spacing w:val="-2"/>
        </w:rPr>
        <w:t xml:space="preserve"> </w:t>
      </w:r>
      <w:r>
        <w:t>must</w:t>
      </w:r>
      <w:r>
        <w:rPr>
          <w:spacing w:val="-2"/>
        </w:rPr>
        <w:t xml:space="preserve"> </w:t>
      </w:r>
      <w:r>
        <w:t>be</w:t>
      </w:r>
      <w:r>
        <w:rPr>
          <w:spacing w:val="-2"/>
        </w:rPr>
        <w:t xml:space="preserve"> </w:t>
      </w:r>
      <w:r>
        <w:t>broken</w:t>
      </w:r>
      <w:r>
        <w:rPr>
          <w:spacing w:val="-2"/>
        </w:rPr>
        <w:t xml:space="preserve"> </w:t>
      </w:r>
      <w:r>
        <w:t>for</w:t>
      </w:r>
      <w:r>
        <w:rPr>
          <w:spacing w:val="-2"/>
        </w:rPr>
        <w:t xml:space="preserve"> </w:t>
      </w:r>
      <w:r>
        <w:t>the</w:t>
      </w:r>
      <w:r>
        <w:rPr>
          <w:spacing w:val="-2"/>
        </w:rPr>
        <w:t xml:space="preserve"> </w:t>
      </w:r>
      <w:r>
        <w:t>table</w:t>
      </w:r>
      <w:r>
        <w:rPr>
          <w:spacing w:val="-2"/>
        </w:rPr>
        <w:t xml:space="preserve"> </w:t>
      </w:r>
      <w:r>
        <w:t>section</w:t>
      </w:r>
      <w:r>
        <w:rPr>
          <w:spacing w:val="-2"/>
        </w:rPr>
        <w:t xml:space="preserve"> </w:t>
      </w:r>
      <w:r>
        <w:t>underneath</w:t>
      </w:r>
      <w:r>
        <w:rPr>
          <w:spacing w:val="-2"/>
        </w:rPr>
        <w:t xml:space="preserve"> </w:t>
      </w:r>
      <w:r>
        <w:t>the</w:t>
      </w:r>
      <w:r>
        <w:rPr>
          <w:spacing w:val="-2"/>
        </w:rPr>
        <w:t xml:space="preserve"> </w:t>
      </w:r>
      <w:r>
        <w:t>plate</w:t>
      </w:r>
      <w:r>
        <w:rPr>
          <w:spacing w:val="-2"/>
        </w:rPr>
        <w:t xml:space="preserve"> </w:t>
      </w:r>
      <w:r>
        <w:t xml:space="preserve">to vanish. Violations of natural laws, were they possible, would not be innocuous; there would be ripple effects. Think of the forces that (so we believe) </w:t>
      </w:r>
      <w:r>
        <w:rPr>
          <w:i/>
        </w:rPr>
        <w:t xml:space="preserve">actually </w:t>
      </w:r>
      <w:r>
        <w:t xml:space="preserve">prevent that plate-sized chunk of table from vanishing. Think of the various equilibriums that would be altered if those forces were immediately suspended. Think of the various energy transfers that would be changed or destroyed if, all of a sudden, those forces were put out of </w:t>
      </w:r>
      <w:r>
        <w:rPr>
          <w:spacing w:val="-2"/>
        </w:rPr>
        <w:t>commission.</w:t>
      </w:r>
    </w:p>
    <w:p w14:paraId="7E0019AC" w14:textId="77777777" w:rsidR="009A58DB" w:rsidRDefault="00000000">
      <w:pPr>
        <w:pStyle w:val="BodyText"/>
        <w:spacing w:before="12" w:line="249" w:lineRule="auto"/>
        <w:ind w:right="362" w:firstLine="360"/>
      </w:pPr>
      <w:r>
        <w:t xml:space="preserve">Those forces don’t </w:t>
      </w:r>
      <w:r>
        <w:rPr>
          <w:i/>
        </w:rPr>
        <w:t>only</w:t>
      </w:r>
      <w:r>
        <w:rPr>
          <w:i/>
          <w:spacing w:val="-3"/>
        </w:rPr>
        <w:t xml:space="preserve"> </w:t>
      </w:r>
      <w:r>
        <w:t xml:space="preserve">keep that chunk of table in place. Were they all to be suspended, there would be many consequences </w:t>
      </w:r>
      <w:r>
        <w:rPr>
          <w:i/>
        </w:rPr>
        <w:t xml:space="preserve">other </w:t>
      </w:r>
      <w:r>
        <w:t xml:space="preserve">than the disappearance of the requisite table chunk. In other words, there would be a lot of explanatory “collateral damage,” meaning that many events would occur </w:t>
      </w:r>
      <w:r>
        <w:rPr>
          <w:i/>
        </w:rPr>
        <w:t xml:space="preserve">other </w:t>
      </w:r>
      <w:r>
        <w:t>than the ones that, given that our objective is to validate (*), we want to occur. And there’s no guarantee that those other events would be consistent—even in the narrowest, most emptily logical sense—with the data that, supposedly, is modeled just as well by (*) as it is by the conventional explanation (viz. “the place doesn’t fall because the table chunk doesn’t disappear”) that it replaces.</w:t>
      </w:r>
    </w:p>
    <w:p w14:paraId="7E0019AD" w14:textId="77777777" w:rsidR="009A58DB" w:rsidRDefault="00000000">
      <w:pPr>
        <w:pStyle w:val="ListParagraph"/>
        <w:numPr>
          <w:ilvl w:val="2"/>
          <w:numId w:val="116"/>
        </w:numPr>
        <w:tabs>
          <w:tab w:val="left" w:pos="1136"/>
        </w:tabs>
        <w:spacing w:before="110" w:line="271" w:lineRule="auto"/>
        <w:ind w:left="360" w:right="369" w:firstLine="0"/>
        <w:jc w:val="both"/>
        <w:rPr>
          <w:sz w:val="30"/>
        </w:rPr>
      </w:pPr>
      <w:r>
        <w:rPr>
          <w:b/>
          <w:sz w:val="34"/>
        </w:rPr>
        <w:t xml:space="preserve">Correct explanations can be bad explanations (continued) </w:t>
      </w:r>
      <w:r>
        <w:rPr>
          <w:sz w:val="30"/>
        </w:rPr>
        <w:t xml:space="preserve">We might try to deal with this batch of problems by positing </w:t>
      </w:r>
      <w:r>
        <w:rPr>
          <w:i/>
          <w:sz w:val="30"/>
        </w:rPr>
        <w:t xml:space="preserve">second-order </w:t>
      </w:r>
      <w:r>
        <w:rPr>
          <w:sz w:val="30"/>
        </w:rPr>
        <w:t>suspensions</w:t>
      </w:r>
      <w:r>
        <w:rPr>
          <w:spacing w:val="8"/>
          <w:sz w:val="30"/>
        </w:rPr>
        <w:t xml:space="preserve"> </w:t>
      </w:r>
      <w:r>
        <w:rPr>
          <w:sz w:val="30"/>
        </w:rPr>
        <w:t>of</w:t>
      </w:r>
      <w:r>
        <w:rPr>
          <w:spacing w:val="10"/>
          <w:sz w:val="30"/>
        </w:rPr>
        <w:t xml:space="preserve"> </w:t>
      </w:r>
      <w:r>
        <w:rPr>
          <w:sz w:val="30"/>
        </w:rPr>
        <w:t>natural</w:t>
      </w:r>
      <w:r>
        <w:rPr>
          <w:spacing w:val="11"/>
          <w:sz w:val="30"/>
        </w:rPr>
        <w:t xml:space="preserve"> </w:t>
      </w:r>
      <w:r>
        <w:rPr>
          <w:sz w:val="30"/>
        </w:rPr>
        <w:t>law.</w:t>
      </w:r>
      <w:r>
        <w:rPr>
          <w:spacing w:val="10"/>
          <w:sz w:val="30"/>
        </w:rPr>
        <w:t xml:space="preserve"> </w:t>
      </w:r>
      <w:r>
        <w:rPr>
          <w:sz w:val="30"/>
        </w:rPr>
        <w:t>So</w:t>
      </w:r>
      <w:r>
        <w:rPr>
          <w:spacing w:val="11"/>
          <w:sz w:val="30"/>
        </w:rPr>
        <w:t xml:space="preserve"> </w:t>
      </w:r>
      <w:r>
        <w:rPr>
          <w:sz w:val="30"/>
        </w:rPr>
        <w:t>in</w:t>
      </w:r>
      <w:r>
        <w:rPr>
          <w:spacing w:val="10"/>
          <w:sz w:val="30"/>
        </w:rPr>
        <w:t xml:space="preserve"> </w:t>
      </w:r>
      <w:r>
        <w:rPr>
          <w:sz w:val="30"/>
        </w:rPr>
        <w:t>addition</w:t>
      </w:r>
      <w:r>
        <w:rPr>
          <w:spacing w:val="11"/>
          <w:sz w:val="30"/>
        </w:rPr>
        <w:t xml:space="preserve"> </w:t>
      </w:r>
      <w:r>
        <w:rPr>
          <w:sz w:val="30"/>
        </w:rPr>
        <w:t>to</w:t>
      </w:r>
      <w:r>
        <w:rPr>
          <w:spacing w:val="10"/>
          <w:sz w:val="30"/>
        </w:rPr>
        <w:t xml:space="preserve"> </w:t>
      </w:r>
      <w:r>
        <w:rPr>
          <w:sz w:val="30"/>
        </w:rPr>
        <w:t>suspending</w:t>
      </w:r>
      <w:r>
        <w:rPr>
          <w:spacing w:val="11"/>
          <w:sz w:val="30"/>
        </w:rPr>
        <w:t xml:space="preserve"> </w:t>
      </w:r>
      <w:r>
        <w:rPr>
          <w:sz w:val="30"/>
        </w:rPr>
        <w:t>those</w:t>
      </w:r>
      <w:r>
        <w:rPr>
          <w:spacing w:val="10"/>
          <w:sz w:val="30"/>
        </w:rPr>
        <w:t xml:space="preserve"> </w:t>
      </w:r>
      <w:r>
        <w:rPr>
          <w:sz w:val="30"/>
        </w:rPr>
        <w:t>laws</w:t>
      </w:r>
      <w:r>
        <w:rPr>
          <w:spacing w:val="11"/>
          <w:sz w:val="30"/>
        </w:rPr>
        <w:t xml:space="preserve"> </w:t>
      </w:r>
      <w:r>
        <w:rPr>
          <w:spacing w:val="-2"/>
          <w:sz w:val="30"/>
        </w:rPr>
        <w:t>involved</w:t>
      </w:r>
    </w:p>
    <w:p w14:paraId="7E0019AE" w14:textId="77777777" w:rsidR="009A58DB" w:rsidRDefault="00000000">
      <w:pPr>
        <w:pStyle w:val="BodyText"/>
        <w:spacing w:line="316" w:lineRule="exact"/>
      </w:pPr>
      <w:r>
        <w:t>in</w:t>
      </w:r>
      <w:r>
        <w:rPr>
          <w:spacing w:val="23"/>
        </w:rPr>
        <w:t xml:space="preserve"> </w:t>
      </w:r>
      <w:r>
        <w:t>keeping</w:t>
      </w:r>
      <w:r>
        <w:rPr>
          <w:spacing w:val="26"/>
        </w:rPr>
        <w:t xml:space="preserve"> </w:t>
      </w:r>
      <w:r>
        <w:t>the</w:t>
      </w:r>
      <w:r>
        <w:rPr>
          <w:spacing w:val="26"/>
        </w:rPr>
        <w:t xml:space="preserve"> </w:t>
      </w:r>
      <w:r>
        <w:t>table</w:t>
      </w:r>
      <w:r>
        <w:rPr>
          <w:spacing w:val="26"/>
        </w:rPr>
        <w:t xml:space="preserve"> </w:t>
      </w:r>
      <w:r>
        <w:t>chunk</w:t>
      </w:r>
      <w:r>
        <w:rPr>
          <w:spacing w:val="26"/>
        </w:rPr>
        <w:t xml:space="preserve"> </w:t>
      </w:r>
      <w:r>
        <w:t>in</w:t>
      </w:r>
      <w:r>
        <w:rPr>
          <w:spacing w:val="26"/>
        </w:rPr>
        <w:t xml:space="preserve"> </w:t>
      </w:r>
      <w:r>
        <w:t>place,</w:t>
      </w:r>
      <w:r>
        <w:rPr>
          <w:spacing w:val="26"/>
        </w:rPr>
        <w:t xml:space="preserve"> </w:t>
      </w:r>
      <w:r>
        <w:t>we</w:t>
      </w:r>
      <w:r>
        <w:rPr>
          <w:spacing w:val="25"/>
        </w:rPr>
        <w:t xml:space="preserve"> </w:t>
      </w:r>
      <w:r>
        <w:rPr>
          <w:i/>
        </w:rPr>
        <w:t>also</w:t>
      </w:r>
      <w:r>
        <w:rPr>
          <w:i/>
          <w:spacing w:val="27"/>
        </w:rPr>
        <w:t xml:space="preserve"> </w:t>
      </w:r>
      <w:r>
        <w:t>suspend</w:t>
      </w:r>
      <w:r>
        <w:rPr>
          <w:spacing w:val="28"/>
        </w:rPr>
        <w:t xml:space="preserve"> </w:t>
      </w:r>
      <w:r>
        <w:t>those</w:t>
      </w:r>
      <w:r>
        <w:rPr>
          <w:spacing w:val="27"/>
        </w:rPr>
        <w:t xml:space="preserve"> </w:t>
      </w:r>
      <w:r>
        <w:t>laws</w:t>
      </w:r>
      <w:r>
        <w:rPr>
          <w:spacing w:val="27"/>
        </w:rPr>
        <w:t xml:space="preserve"> </w:t>
      </w:r>
      <w:r>
        <w:t>that,</w:t>
      </w:r>
      <w:r>
        <w:rPr>
          <w:spacing w:val="28"/>
        </w:rPr>
        <w:t xml:space="preserve"> </w:t>
      </w:r>
      <w:r>
        <w:rPr>
          <w:spacing w:val="-2"/>
        </w:rPr>
        <w:t>given</w:t>
      </w:r>
    </w:p>
    <w:p w14:paraId="7E0019AF" w14:textId="77777777" w:rsidR="009A58DB" w:rsidRDefault="00000000">
      <w:pPr>
        <w:pStyle w:val="BodyText"/>
        <w:spacing w:before="15"/>
      </w:pPr>
      <w:r>
        <w:t>the</w:t>
      </w:r>
      <w:r>
        <w:rPr>
          <w:spacing w:val="-7"/>
        </w:rPr>
        <w:t xml:space="preserve"> </w:t>
      </w:r>
      <w:r>
        <w:t>first</w:t>
      </w:r>
      <w:r>
        <w:rPr>
          <w:spacing w:val="-5"/>
        </w:rPr>
        <w:t xml:space="preserve"> </w:t>
      </w:r>
      <w:r>
        <w:t>suspension,</w:t>
      </w:r>
      <w:r>
        <w:rPr>
          <w:spacing w:val="-4"/>
        </w:rPr>
        <w:t xml:space="preserve"> </w:t>
      </w:r>
      <w:r>
        <w:t>lead</w:t>
      </w:r>
      <w:r>
        <w:rPr>
          <w:spacing w:val="-4"/>
        </w:rPr>
        <w:t xml:space="preserve"> </w:t>
      </w:r>
      <w:r>
        <w:t>to</w:t>
      </w:r>
      <w:r>
        <w:rPr>
          <w:spacing w:val="-5"/>
        </w:rPr>
        <w:t xml:space="preserve"> </w:t>
      </w:r>
      <w:r>
        <w:t>the</w:t>
      </w:r>
      <w:r>
        <w:rPr>
          <w:spacing w:val="-4"/>
        </w:rPr>
        <w:t xml:space="preserve"> </w:t>
      </w:r>
      <w:r>
        <w:t>just-mentioned</w:t>
      </w:r>
      <w:r>
        <w:rPr>
          <w:spacing w:val="-4"/>
        </w:rPr>
        <w:t xml:space="preserve"> </w:t>
      </w:r>
      <w:r>
        <w:t>unwanted</w:t>
      </w:r>
      <w:r>
        <w:rPr>
          <w:spacing w:val="-5"/>
        </w:rPr>
        <w:t xml:space="preserve"> </w:t>
      </w:r>
      <w:r>
        <w:t>collateral</w:t>
      </w:r>
      <w:r>
        <w:rPr>
          <w:spacing w:val="-4"/>
        </w:rPr>
        <w:t xml:space="preserve"> </w:t>
      </w:r>
      <w:r>
        <w:rPr>
          <w:spacing w:val="-2"/>
        </w:rPr>
        <w:t>events.</w:t>
      </w:r>
    </w:p>
    <w:p w14:paraId="7E0019B0" w14:textId="77777777" w:rsidR="009A58DB" w:rsidRDefault="00000000">
      <w:pPr>
        <w:pStyle w:val="BodyText"/>
        <w:spacing w:before="15" w:line="249" w:lineRule="auto"/>
        <w:ind w:right="362" w:firstLine="360"/>
      </w:pPr>
      <w:r>
        <w:t>The</w:t>
      </w:r>
      <w:r>
        <w:rPr>
          <w:spacing w:val="-4"/>
        </w:rPr>
        <w:t xml:space="preserve"> </w:t>
      </w:r>
      <w:r>
        <w:t>problem</w:t>
      </w:r>
      <w:r>
        <w:rPr>
          <w:spacing w:val="-4"/>
        </w:rPr>
        <w:t xml:space="preserve"> </w:t>
      </w:r>
      <w:r>
        <w:t>is</w:t>
      </w:r>
      <w:r>
        <w:rPr>
          <w:spacing w:val="-4"/>
        </w:rPr>
        <w:t xml:space="preserve"> </w:t>
      </w:r>
      <w:r>
        <w:t>that</w:t>
      </w:r>
      <w:r>
        <w:rPr>
          <w:spacing w:val="-4"/>
        </w:rPr>
        <w:t xml:space="preserve"> </w:t>
      </w:r>
      <w:r>
        <w:t>those</w:t>
      </w:r>
      <w:r>
        <w:rPr>
          <w:spacing w:val="-4"/>
        </w:rPr>
        <w:t xml:space="preserve"> </w:t>
      </w:r>
      <w:r>
        <w:t>second-order</w:t>
      </w:r>
      <w:r>
        <w:rPr>
          <w:spacing w:val="-4"/>
        </w:rPr>
        <w:t xml:space="preserve"> </w:t>
      </w:r>
      <w:r>
        <w:t>suspensions</w:t>
      </w:r>
      <w:r>
        <w:rPr>
          <w:spacing w:val="-4"/>
        </w:rPr>
        <w:t xml:space="preserve"> </w:t>
      </w:r>
      <w:r>
        <w:t>of</w:t>
      </w:r>
      <w:r>
        <w:rPr>
          <w:spacing w:val="-4"/>
        </w:rPr>
        <w:t xml:space="preserve"> </w:t>
      </w:r>
      <w:r>
        <w:t>law</w:t>
      </w:r>
      <w:r>
        <w:rPr>
          <w:spacing w:val="-4"/>
        </w:rPr>
        <w:t xml:space="preserve"> </w:t>
      </w:r>
      <w:r>
        <w:t>will</w:t>
      </w:r>
      <w:r>
        <w:rPr>
          <w:spacing w:val="-4"/>
        </w:rPr>
        <w:t xml:space="preserve"> </w:t>
      </w:r>
      <w:r>
        <w:t>be</w:t>
      </w:r>
      <w:r>
        <w:rPr>
          <w:spacing w:val="-4"/>
        </w:rPr>
        <w:t xml:space="preserve"> </w:t>
      </w:r>
      <w:r>
        <w:t>no</w:t>
      </w:r>
      <w:r>
        <w:rPr>
          <w:spacing w:val="-3"/>
        </w:rPr>
        <w:t xml:space="preserve"> </w:t>
      </w:r>
      <w:r>
        <w:t>more innocuous than their first-order counterparts. To counteract the unwanted effects of suspending the first set of forces, we have to suspend another set of forces. But just as the original forces did a lot more than keep the table intact, so these new forces will do a lot more than suspend the unwanted effects of suspending the first set of forces. And it’s obviously of no use to try to deal with this problem by bringing in a third set of forces.</w:t>
      </w:r>
    </w:p>
    <w:p w14:paraId="7E0019B1"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9B2" w14:textId="77777777" w:rsidR="009A58DB" w:rsidRDefault="00000000">
      <w:pPr>
        <w:pStyle w:val="BodyText"/>
        <w:spacing w:before="65" w:line="249" w:lineRule="auto"/>
        <w:ind w:right="361" w:firstLine="360"/>
      </w:pPr>
      <w:r>
        <w:lastRenderedPageBreak/>
        <w:t xml:space="preserve">“You may be right,” it will be said, “that </w:t>
      </w:r>
      <w:r>
        <w:rPr>
          <w:i/>
        </w:rPr>
        <w:t xml:space="preserve">if </w:t>
      </w:r>
      <w:r>
        <w:t xml:space="preserve">we hold onto our existing beliefs about physical law, </w:t>
      </w:r>
      <w:r>
        <w:rPr>
          <w:i/>
        </w:rPr>
        <w:t xml:space="preserve">then </w:t>
      </w:r>
      <w:r>
        <w:t xml:space="preserve">the disappearance of the table chunk would have all of this unwanted fall-out. But surely we could adjust those beliefs in such a way as to prevent this. Whatever those beliefs are, just get rid of them and replace them with ones that </w:t>
      </w:r>
      <w:r>
        <w:rPr>
          <w:i/>
        </w:rPr>
        <w:t xml:space="preserve">don’t </w:t>
      </w:r>
      <w:r>
        <w:t>lead to all of this unwanted fall-out.”</w:t>
      </w:r>
    </w:p>
    <w:p w14:paraId="7E0019B3" w14:textId="77777777" w:rsidR="009A58DB" w:rsidRDefault="00000000">
      <w:pPr>
        <w:pStyle w:val="BodyText"/>
        <w:spacing w:before="6" w:line="249" w:lineRule="auto"/>
        <w:ind w:right="363" w:firstLine="360"/>
      </w:pPr>
      <w:r>
        <w:t xml:space="preserve">The very fact that this move must be made only proves my point, namely, that (*) is </w:t>
      </w:r>
      <w:r>
        <w:rPr>
          <w:i/>
        </w:rPr>
        <w:t xml:space="preserve">not </w:t>
      </w:r>
      <w:r>
        <w:t>consistent with what we know. In fact, it proves a stronger point,</w:t>
      </w:r>
      <w:r>
        <w:rPr>
          <w:spacing w:val="-1"/>
        </w:rPr>
        <w:t xml:space="preserve"> </w:t>
      </w:r>
      <w:r>
        <w:t>namely:</w:t>
      </w:r>
      <w:r>
        <w:rPr>
          <w:spacing w:val="-1"/>
        </w:rPr>
        <w:t xml:space="preserve"> </w:t>
      </w:r>
      <w:r>
        <w:t>(*)</w:t>
      </w:r>
      <w:r>
        <w:rPr>
          <w:spacing w:val="-1"/>
        </w:rPr>
        <w:t xml:space="preserve"> </w:t>
      </w:r>
      <w:r>
        <w:t>isn’t</w:t>
      </w:r>
      <w:r>
        <w:rPr>
          <w:spacing w:val="-1"/>
        </w:rPr>
        <w:t xml:space="preserve"> </w:t>
      </w:r>
      <w:r>
        <w:t>consistent</w:t>
      </w:r>
      <w:r>
        <w:rPr>
          <w:spacing w:val="-1"/>
        </w:rPr>
        <w:t xml:space="preserve"> </w:t>
      </w:r>
      <w:r>
        <w:t>with</w:t>
      </w:r>
      <w:r>
        <w:rPr>
          <w:spacing w:val="-1"/>
        </w:rPr>
        <w:t xml:space="preserve"> </w:t>
      </w:r>
      <w:r>
        <w:rPr>
          <w:i/>
        </w:rPr>
        <w:t>any</w:t>
      </w:r>
      <w:r>
        <w:rPr>
          <w:i/>
          <w:spacing w:val="-3"/>
        </w:rPr>
        <w:t xml:space="preserve"> </w:t>
      </w:r>
      <w:r>
        <w:t>body</w:t>
      </w:r>
      <w:r>
        <w:rPr>
          <w:spacing w:val="-3"/>
        </w:rPr>
        <w:t xml:space="preserve"> </w:t>
      </w:r>
      <w:r>
        <w:t>of</w:t>
      </w:r>
      <w:r>
        <w:rPr>
          <w:spacing w:val="-4"/>
        </w:rPr>
        <w:t xml:space="preserve"> </w:t>
      </w:r>
      <w:r>
        <w:t>beliefs</w:t>
      </w:r>
      <w:r>
        <w:rPr>
          <w:spacing w:val="-4"/>
        </w:rPr>
        <w:t xml:space="preserve"> </w:t>
      </w:r>
      <w:r>
        <w:rPr>
          <w:i/>
        </w:rPr>
        <w:t>at</w:t>
      </w:r>
      <w:r>
        <w:rPr>
          <w:i/>
          <w:spacing w:val="-4"/>
        </w:rPr>
        <w:t xml:space="preserve"> </w:t>
      </w:r>
      <w:r>
        <w:rPr>
          <w:i/>
        </w:rPr>
        <w:t>all</w:t>
      </w:r>
      <w:r>
        <w:rPr>
          <w:i/>
          <w:spacing w:val="-3"/>
        </w:rPr>
        <w:t xml:space="preserve"> </w:t>
      </w:r>
      <w:r>
        <w:t>like the ones we now have.</w:t>
      </w:r>
    </w:p>
    <w:p w14:paraId="7E0019B4" w14:textId="77777777" w:rsidR="009A58DB" w:rsidRDefault="00000000">
      <w:pPr>
        <w:pStyle w:val="BodyText"/>
        <w:spacing w:before="5" w:line="249" w:lineRule="auto"/>
        <w:ind w:right="358" w:firstLine="360"/>
      </w:pPr>
      <w:r>
        <w:t xml:space="preserve">The objector is saying, rightly, that there is </w:t>
      </w:r>
      <w:r>
        <w:rPr>
          <w:i/>
        </w:rPr>
        <w:t xml:space="preserve">no </w:t>
      </w:r>
      <w:r>
        <w:t xml:space="preserve">way to square (*) with our existing beliefs—that it is only what we believe </w:t>
      </w:r>
      <w:r>
        <w:rPr>
          <w:i/>
        </w:rPr>
        <w:t xml:space="preserve">minus many of our beliefs about natural law </w:t>
      </w:r>
      <w:r>
        <w:t>that can be so squared. But when our beliefs about natural law are subtracted, so to speak, from the totality of our beliefs, the resulting body of beliefs bears very little resemblance to our current beliefs. Our</w:t>
      </w:r>
      <w:r>
        <w:rPr>
          <w:spacing w:val="40"/>
        </w:rPr>
        <w:t xml:space="preserve"> </w:t>
      </w:r>
      <w:r>
        <w:t>beliefs about natural law are not in all cases neatly separable from our beliefs about specific matters of fact; and if we were to strip away enough of the former to compatibilize (*) with our belief system, we’d be biting off a lot more than we bargained for. This is because various beliefs about natural law are</w:t>
      </w:r>
      <w:r>
        <w:rPr>
          <w:spacing w:val="-2"/>
        </w:rPr>
        <w:t xml:space="preserve"> </w:t>
      </w:r>
      <w:r>
        <w:t>embedded</w:t>
      </w:r>
      <w:r>
        <w:rPr>
          <w:spacing w:val="-2"/>
        </w:rPr>
        <w:t xml:space="preserve"> </w:t>
      </w:r>
      <w:r>
        <w:t>in</w:t>
      </w:r>
      <w:r>
        <w:rPr>
          <w:spacing w:val="-2"/>
        </w:rPr>
        <w:t xml:space="preserve"> </w:t>
      </w:r>
      <w:r>
        <w:t>the</w:t>
      </w:r>
      <w:r>
        <w:rPr>
          <w:spacing w:val="-2"/>
        </w:rPr>
        <w:t xml:space="preserve"> </w:t>
      </w:r>
      <w:r>
        <w:t>concepts</w:t>
      </w:r>
      <w:r>
        <w:rPr>
          <w:spacing w:val="-2"/>
        </w:rPr>
        <w:t xml:space="preserve"> </w:t>
      </w:r>
      <w:r>
        <w:t>associated</w:t>
      </w:r>
      <w:r>
        <w:rPr>
          <w:spacing w:val="-2"/>
        </w:rPr>
        <w:t xml:space="preserve"> </w:t>
      </w:r>
      <w:r>
        <w:t>with</w:t>
      </w:r>
      <w:r>
        <w:rPr>
          <w:spacing w:val="-2"/>
        </w:rPr>
        <w:t xml:space="preserve"> </w:t>
      </w:r>
      <w:r>
        <w:t>expressions</w:t>
      </w:r>
      <w:r>
        <w:rPr>
          <w:spacing w:val="-2"/>
        </w:rPr>
        <w:t xml:space="preserve"> </w:t>
      </w:r>
      <w:r>
        <w:t>that,</w:t>
      </w:r>
      <w:r>
        <w:rPr>
          <w:spacing w:val="-2"/>
        </w:rPr>
        <w:t xml:space="preserve"> </w:t>
      </w:r>
      <w:r>
        <w:t>in</w:t>
      </w:r>
      <w:r>
        <w:rPr>
          <w:spacing w:val="-2"/>
        </w:rPr>
        <w:t xml:space="preserve"> </w:t>
      </w:r>
      <w:r>
        <w:t>order</w:t>
      </w:r>
      <w:r>
        <w:rPr>
          <w:spacing w:val="-2"/>
        </w:rPr>
        <w:t xml:space="preserve"> </w:t>
      </w:r>
      <w:r>
        <w:t>to</w:t>
      </w:r>
      <w:r>
        <w:rPr>
          <w:spacing w:val="-2"/>
        </w:rPr>
        <w:t xml:space="preserve"> </w:t>
      </w:r>
      <w:r>
        <w:t>say what’s on our minds, we must use every day (e.g., “microscope,” “telephone,” “radio,” “solar panel,” “cell phone,” “thermometer,” “thermostat”). Theory-laden though they are, we need those terms to describe facts of everyday, pre-theoretic experience. We therefore need them to state the pre-theoretic data that our theories are to model.</w:t>
      </w:r>
    </w:p>
    <w:p w14:paraId="7E0019B5" w14:textId="77777777" w:rsidR="009A58DB" w:rsidRDefault="00000000">
      <w:pPr>
        <w:pStyle w:val="BodyText"/>
        <w:spacing w:before="18" w:line="249" w:lineRule="auto"/>
        <w:ind w:right="363" w:firstLine="360"/>
      </w:pPr>
      <w:r>
        <w:t xml:space="preserve">“But,” it will be said, “anything that can be described </w:t>
      </w:r>
      <w:r>
        <w:rPr>
          <w:i/>
        </w:rPr>
        <w:t xml:space="preserve">only </w:t>
      </w:r>
      <w:r>
        <w:t xml:space="preserve">by taking for granted some theoretical belief is </w:t>
      </w:r>
      <w:r>
        <w:rPr>
          <w:i/>
        </w:rPr>
        <w:t>ipso facto</w:t>
      </w:r>
      <w:r>
        <w:rPr>
          <w:i/>
          <w:spacing w:val="40"/>
        </w:rPr>
        <w:t xml:space="preserve"> </w:t>
      </w:r>
      <w:r>
        <w:t xml:space="preserve">not a </w:t>
      </w:r>
      <w:r>
        <w:rPr>
          <w:i/>
        </w:rPr>
        <w:t>datum.</w:t>
      </w:r>
      <w:r>
        <w:rPr>
          <w:i/>
          <w:spacing w:val="-3"/>
        </w:rPr>
        <w:t xml:space="preserve"> </w:t>
      </w:r>
      <w:r>
        <w:t>A truth? Maybe. A datum? No.”</w:t>
      </w:r>
    </w:p>
    <w:p w14:paraId="7E0019B6" w14:textId="77777777" w:rsidR="009A58DB" w:rsidRDefault="00000000">
      <w:pPr>
        <w:pStyle w:val="BodyText"/>
        <w:spacing w:before="4" w:line="249" w:lineRule="auto"/>
        <w:ind w:right="358" w:firstLine="360"/>
      </w:pPr>
      <w:r>
        <w:t>That may well be true. But, if so, our belief-system is so overrun with theoretical beliefs that no belief system free of such beliefs would bear even the slightest resemblance to it. Also, it is incoherent to suppose that there could exist a belief-</w:t>
      </w:r>
      <w:r>
        <w:rPr>
          <w:i/>
        </w:rPr>
        <w:t xml:space="preserve">system </w:t>
      </w:r>
      <w:r>
        <w:t>that wasn’t replete with theoretical content. The difference</w:t>
      </w:r>
      <w:r>
        <w:rPr>
          <w:spacing w:val="-4"/>
        </w:rPr>
        <w:t xml:space="preserve"> </w:t>
      </w:r>
      <w:r>
        <w:t>between</w:t>
      </w:r>
      <w:r>
        <w:rPr>
          <w:spacing w:val="-3"/>
        </w:rPr>
        <w:t xml:space="preserve"> </w:t>
      </w:r>
      <w:r>
        <w:t>a</w:t>
      </w:r>
      <w:r>
        <w:rPr>
          <w:spacing w:val="-4"/>
        </w:rPr>
        <w:t xml:space="preserve"> </w:t>
      </w:r>
      <w:r>
        <w:t>mere</w:t>
      </w:r>
      <w:r>
        <w:rPr>
          <w:spacing w:val="-4"/>
        </w:rPr>
        <w:t xml:space="preserve"> </w:t>
      </w:r>
      <w:r>
        <w:t>belief,</w:t>
      </w:r>
      <w:r>
        <w:rPr>
          <w:spacing w:val="-3"/>
        </w:rPr>
        <w:t xml:space="preserve"> </w:t>
      </w:r>
      <w:r>
        <w:t>on</w:t>
      </w:r>
      <w:r>
        <w:rPr>
          <w:spacing w:val="-3"/>
        </w:rPr>
        <w:t xml:space="preserve"> </w:t>
      </w:r>
      <w:r>
        <w:t>the</w:t>
      </w:r>
      <w:r>
        <w:rPr>
          <w:spacing w:val="-4"/>
        </w:rPr>
        <w:t xml:space="preserve"> </w:t>
      </w:r>
      <w:r>
        <w:t>one</w:t>
      </w:r>
      <w:r>
        <w:rPr>
          <w:spacing w:val="-4"/>
        </w:rPr>
        <w:t xml:space="preserve"> </w:t>
      </w:r>
      <w:r>
        <w:t>hand,</w:t>
      </w:r>
      <w:r>
        <w:rPr>
          <w:spacing w:val="-3"/>
        </w:rPr>
        <w:t xml:space="preserve"> </w:t>
      </w:r>
      <w:r>
        <w:t>and</w:t>
      </w:r>
      <w:r>
        <w:rPr>
          <w:spacing w:val="-3"/>
        </w:rPr>
        <w:t xml:space="preserve"> </w:t>
      </w:r>
      <w:r>
        <w:t>a</w:t>
      </w:r>
      <w:r>
        <w:rPr>
          <w:spacing w:val="-4"/>
        </w:rPr>
        <w:t xml:space="preserve"> </w:t>
      </w:r>
      <w:r>
        <w:t>belief-system,</w:t>
      </w:r>
      <w:r>
        <w:rPr>
          <w:spacing w:val="-3"/>
        </w:rPr>
        <w:t xml:space="preserve"> </w:t>
      </w:r>
      <w:r>
        <w:t>on</w:t>
      </w:r>
      <w:r>
        <w:rPr>
          <w:spacing w:val="-3"/>
        </w:rPr>
        <w:t xml:space="preserve"> </w:t>
      </w:r>
      <w:r>
        <w:t>the other, is that belief-systems are intended to be explanatory, whereas mere beliefs needn’t have this property. I believe that it’s raining because I see that it’s raining—</w:t>
      </w:r>
      <w:r>
        <w:rPr>
          <w:i/>
        </w:rPr>
        <w:t xml:space="preserve">not </w:t>
      </w:r>
      <w:r>
        <w:t>because, in an effort to model various observational data, I</w:t>
      </w:r>
      <w:r>
        <w:rPr>
          <w:spacing w:val="40"/>
        </w:rPr>
        <w:t xml:space="preserve"> </w:t>
      </w:r>
      <w:r>
        <w:t>at</w:t>
      </w:r>
      <w:r>
        <w:rPr>
          <w:spacing w:val="40"/>
        </w:rPr>
        <w:t xml:space="preserve"> </w:t>
      </w:r>
      <w:r>
        <w:t>some</w:t>
      </w:r>
      <w:r>
        <w:rPr>
          <w:spacing w:val="40"/>
        </w:rPr>
        <w:t xml:space="preserve"> </w:t>
      </w:r>
      <w:r>
        <w:t>point</w:t>
      </w:r>
      <w:r>
        <w:rPr>
          <w:spacing w:val="40"/>
        </w:rPr>
        <w:t xml:space="preserve"> </w:t>
      </w:r>
      <w:r>
        <w:rPr>
          <w:i/>
        </w:rPr>
        <w:t>hypothesized</w:t>
      </w:r>
      <w:r>
        <w:rPr>
          <w:i/>
          <w:spacing w:val="40"/>
        </w:rPr>
        <w:t xml:space="preserve"> </w:t>
      </w:r>
      <w:r>
        <w:t>that</w:t>
      </w:r>
      <w:r>
        <w:rPr>
          <w:spacing w:val="40"/>
        </w:rPr>
        <w:t xml:space="preserve"> </w:t>
      </w:r>
      <w:r>
        <w:t>it</w:t>
      </w:r>
      <w:r>
        <w:rPr>
          <w:spacing w:val="40"/>
        </w:rPr>
        <w:t xml:space="preserve"> </w:t>
      </w:r>
      <w:r>
        <w:t>was</w:t>
      </w:r>
      <w:r>
        <w:rPr>
          <w:spacing w:val="40"/>
        </w:rPr>
        <w:t xml:space="preserve"> </w:t>
      </w:r>
      <w:r>
        <w:t>raining.</w:t>
      </w:r>
      <w:r>
        <w:rPr>
          <w:spacing w:val="40"/>
        </w:rPr>
        <w:t xml:space="preserve"> </w:t>
      </w:r>
      <w:r>
        <w:t>But</w:t>
      </w:r>
      <w:r>
        <w:rPr>
          <w:spacing w:val="40"/>
        </w:rPr>
        <w:t xml:space="preserve"> </w:t>
      </w:r>
      <w:r>
        <w:t>psychoanalytic</w:t>
      </w:r>
      <w:r>
        <w:rPr>
          <w:spacing w:val="40"/>
        </w:rPr>
        <w:t xml:space="preserve"> </w:t>
      </w:r>
      <w:r>
        <w:t>theory</w:t>
      </w:r>
    </w:p>
    <w:p w14:paraId="7E0019B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B8" w14:textId="77777777" w:rsidR="009A58DB" w:rsidRDefault="00000000">
      <w:pPr>
        <w:pStyle w:val="BodyText"/>
        <w:spacing w:before="65" w:line="249" w:lineRule="auto"/>
        <w:ind w:right="359"/>
      </w:pPr>
      <w:r>
        <w:lastRenderedPageBreak/>
        <w:t>constitutes</w:t>
      </w:r>
      <w:r>
        <w:rPr>
          <w:spacing w:val="-1"/>
        </w:rPr>
        <w:t xml:space="preserve"> </w:t>
      </w:r>
      <w:r>
        <w:t>a</w:t>
      </w:r>
      <w:r>
        <w:rPr>
          <w:spacing w:val="-1"/>
        </w:rPr>
        <w:t xml:space="preserve"> </w:t>
      </w:r>
      <w:r>
        <w:t>belief-system,</w:t>
      </w:r>
      <w:r>
        <w:rPr>
          <w:spacing w:val="-1"/>
        </w:rPr>
        <w:t xml:space="preserve"> </w:t>
      </w:r>
      <w:r>
        <w:t>as</w:t>
      </w:r>
      <w:r>
        <w:rPr>
          <w:spacing w:val="-1"/>
        </w:rPr>
        <w:t xml:space="preserve"> </w:t>
      </w:r>
      <w:r>
        <w:t>opposed</w:t>
      </w:r>
      <w:r>
        <w:rPr>
          <w:spacing w:val="-1"/>
        </w:rPr>
        <w:t xml:space="preserve"> </w:t>
      </w:r>
      <w:r>
        <w:t>to</w:t>
      </w:r>
      <w:r>
        <w:rPr>
          <w:spacing w:val="-1"/>
        </w:rPr>
        <w:t xml:space="preserve"> </w:t>
      </w:r>
      <w:r>
        <w:t>a</w:t>
      </w:r>
      <w:r>
        <w:rPr>
          <w:spacing w:val="-1"/>
        </w:rPr>
        <w:t xml:space="preserve"> </w:t>
      </w:r>
      <w:r>
        <w:t>mere</w:t>
      </w:r>
      <w:r>
        <w:rPr>
          <w:spacing w:val="-1"/>
        </w:rPr>
        <w:t xml:space="preserve"> </w:t>
      </w:r>
      <w:r>
        <w:t>belief,</w:t>
      </w:r>
      <w:r>
        <w:rPr>
          <w:spacing w:val="-1"/>
        </w:rPr>
        <w:t xml:space="preserve"> </w:t>
      </w:r>
      <w:r>
        <w:t>because</w:t>
      </w:r>
      <w:r>
        <w:rPr>
          <w:spacing w:val="-1"/>
        </w:rPr>
        <w:t xml:space="preserve"> </w:t>
      </w:r>
      <w:r>
        <w:t>it</w:t>
      </w:r>
      <w:r>
        <w:rPr>
          <w:spacing w:val="-1"/>
        </w:rPr>
        <w:t xml:space="preserve"> </w:t>
      </w:r>
      <w:r>
        <w:t>is</w:t>
      </w:r>
      <w:r>
        <w:rPr>
          <w:spacing w:val="-1"/>
        </w:rPr>
        <w:t xml:space="preserve"> </w:t>
      </w:r>
      <w:r>
        <w:t>intended to be explanatory. This suggests (though it doesn’t establish) that “belief-system” and “theory” are veritable synonyms. (Why the parenthetical hedge? “Because</w:t>
      </w:r>
      <w:r>
        <w:rPr>
          <w:spacing w:val="-4"/>
        </w:rPr>
        <w:t xml:space="preserve"> </w:t>
      </w:r>
      <w:r>
        <w:t>there</w:t>
      </w:r>
      <w:r>
        <w:rPr>
          <w:spacing w:val="-4"/>
        </w:rPr>
        <w:t xml:space="preserve"> </w:t>
      </w:r>
      <w:r>
        <w:t>are</w:t>
      </w:r>
      <w:r>
        <w:rPr>
          <w:spacing w:val="-4"/>
        </w:rPr>
        <w:t xml:space="preserve"> </w:t>
      </w:r>
      <w:r>
        <w:t>belief-systems</w:t>
      </w:r>
      <w:r>
        <w:rPr>
          <w:spacing w:val="-4"/>
        </w:rPr>
        <w:t xml:space="preserve"> </w:t>
      </w:r>
      <w:r>
        <w:t>that</w:t>
      </w:r>
      <w:r>
        <w:rPr>
          <w:spacing w:val="-4"/>
        </w:rPr>
        <w:t xml:space="preserve"> </w:t>
      </w:r>
      <w:r>
        <w:t>aren’t</w:t>
      </w:r>
      <w:r>
        <w:rPr>
          <w:spacing w:val="-4"/>
        </w:rPr>
        <w:t xml:space="preserve"> </w:t>
      </w:r>
      <w:r>
        <w:t>of</w:t>
      </w:r>
      <w:r>
        <w:rPr>
          <w:spacing w:val="-4"/>
        </w:rPr>
        <w:t xml:space="preserve"> </w:t>
      </w:r>
      <w:r>
        <w:t>a</w:t>
      </w:r>
      <w:r>
        <w:rPr>
          <w:spacing w:val="-4"/>
        </w:rPr>
        <w:t xml:space="preserve"> </w:t>
      </w:r>
      <w:r>
        <w:t>theoretical</w:t>
      </w:r>
      <w:r>
        <w:rPr>
          <w:spacing w:val="-4"/>
        </w:rPr>
        <w:t xml:space="preserve"> </w:t>
      </w:r>
      <w:r>
        <w:t>nature.</w:t>
      </w:r>
      <w:r>
        <w:rPr>
          <w:spacing w:val="-3"/>
        </w:rPr>
        <w:t xml:space="preserve"> </w:t>
      </w:r>
      <w:r>
        <w:t>Religious belief-systems aren’t theories.” But even this is arguable.</w:t>
      </w:r>
      <w:bookmarkStart w:id="342" w:name="_bookmark342"/>
      <w:bookmarkEnd w:id="342"/>
      <w:r>
        <w:rPr>
          <w:color w:val="0562C1"/>
          <w:position w:val="21"/>
          <w:u w:val="single" w:color="0562C1"/>
        </w:rPr>
        <w:t>[236]</w:t>
      </w:r>
      <w:r>
        <w:rPr>
          <w:color w:val="0562C1"/>
          <w:position w:val="21"/>
        </w:rPr>
        <w:t xml:space="preserve"> </w:t>
      </w:r>
      <w:r>
        <w:t>Some would say, and I agree with them, that religious systems are proto-theories or para-theories—structures that make heavy allowances to emotional factors and make insufficient allowances to considerations of logic and evidence, but are, within these parameters, as theory-like as they could possibly be.) If, indeed, belief-systems</w:t>
      </w:r>
      <w:r>
        <w:rPr>
          <w:spacing w:val="-3"/>
        </w:rPr>
        <w:t xml:space="preserve"> </w:t>
      </w:r>
      <w:r>
        <w:t>are</w:t>
      </w:r>
      <w:r>
        <w:rPr>
          <w:spacing w:val="-2"/>
        </w:rPr>
        <w:t xml:space="preserve"> </w:t>
      </w:r>
      <w:r>
        <w:rPr>
          <w:i/>
        </w:rPr>
        <w:t>ipso</w:t>
      </w:r>
      <w:r>
        <w:rPr>
          <w:i/>
          <w:spacing w:val="-2"/>
        </w:rPr>
        <w:t xml:space="preserve"> </w:t>
      </w:r>
      <w:r>
        <w:rPr>
          <w:i/>
        </w:rPr>
        <w:t>facto</w:t>
      </w:r>
      <w:r>
        <w:rPr>
          <w:i/>
          <w:spacing w:val="40"/>
        </w:rPr>
        <w:t xml:space="preserve"> </w:t>
      </w:r>
      <w:r>
        <w:t xml:space="preserve">theories, it makes no sense to speak of what our “belief-system” would be like if it were stripped of theoretical content. Long story short: although it’s obvious that, on its own, (*) is perfectly coherent, it’s far from obvious that (*) is compatible with our belief system as a whole or with any belief system that isn’t radically different from it. This was the very point we set out to establish. It goes without saying that what is true of (*) holds </w:t>
      </w:r>
      <w:r>
        <w:rPr>
          <w:i/>
        </w:rPr>
        <w:t xml:space="preserve">mutatis mutandis </w:t>
      </w:r>
      <w:r>
        <w:t>of each of many other “deviant” hypotheses.</w:t>
      </w:r>
    </w:p>
    <w:p w14:paraId="7E0019B9" w14:textId="77777777" w:rsidR="009A58DB" w:rsidRDefault="00000000">
      <w:pPr>
        <w:pStyle w:val="BodyText"/>
        <w:spacing w:before="19" w:line="249" w:lineRule="auto"/>
        <w:ind w:right="364" w:firstLine="360"/>
      </w:pPr>
      <w:r>
        <w:t>But even if, for some reason, this last point is denied, there is no way to deny our main point, to wit: even if (*) is logically consistent with our belief system, or at least with some not-too-mutilated version of it, the explanatory benefits of countenancing (*) in favor of the conventional explanation are grossly outweighed by the explanatory costs.</w:t>
      </w:r>
    </w:p>
    <w:p w14:paraId="7E0019BA" w14:textId="77777777" w:rsidR="009A58DB" w:rsidRDefault="00000000">
      <w:pPr>
        <w:pStyle w:val="Heading1"/>
        <w:numPr>
          <w:ilvl w:val="1"/>
          <w:numId w:val="116"/>
        </w:numPr>
        <w:tabs>
          <w:tab w:val="left" w:pos="990"/>
        </w:tabs>
        <w:spacing w:before="194"/>
      </w:pPr>
      <w:r>
        <w:t>Synthesizing</w:t>
      </w:r>
      <w:r>
        <w:rPr>
          <w:spacing w:val="-8"/>
        </w:rPr>
        <w:t xml:space="preserve"> </w:t>
      </w:r>
      <w:r>
        <w:t>these</w:t>
      </w:r>
      <w:r>
        <w:rPr>
          <w:spacing w:val="-7"/>
        </w:rPr>
        <w:t xml:space="preserve"> </w:t>
      </w:r>
      <w:r>
        <w:rPr>
          <w:spacing w:val="-2"/>
        </w:rPr>
        <w:t>points</w:t>
      </w:r>
    </w:p>
    <w:p w14:paraId="7E0019BB" w14:textId="77777777" w:rsidR="009A58DB" w:rsidRDefault="00000000">
      <w:pPr>
        <w:pStyle w:val="BodyText"/>
        <w:spacing w:before="140" w:line="249" w:lineRule="auto"/>
        <w:ind w:right="358"/>
      </w:pPr>
      <w:r>
        <w:t>It will help if, before moving forward, we take a moment to synthesize the points thus far made. There’s no difference between committing the Gambler’s fallacy and performing an induction by enumeration. At the same time, knowledge of invariable concomitances is obviously an extremely valuable source of knowledge. But it isn’t, or in any case shouldn’t be, through enumerative induction that one transitions from (1) “all phi’s that I’ve known of were psi’s” to (2) “the next phi I come across will be a psi.”</w:t>
      </w:r>
      <w:r>
        <w:rPr>
          <w:spacing w:val="40"/>
        </w:rPr>
        <w:t xml:space="preserve"> </w:t>
      </w:r>
      <w:r>
        <w:t>(In this context, it is to be assumed that that “x is a phi” doesn’t analytically entail “x is a psi.”)</w:t>
      </w:r>
    </w:p>
    <w:p w14:paraId="7E0019BC" w14:textId="77777777" w:rsidR="009A58DB" w:rsidRDefault="00000000">
      <w:pPr>
        <w:pStyle w:val="BodyText"/>
        <w:spacing w:before="11" w:line="249" w:lineRule="auto"/>
        <w:ind w:right="359" w:firstLine="360"/>
      </w:pPr>
      <w:r>
        <w:t xml:space="preserve">The </w:t>
      </w:r>
      <w:r>
        <w:rPr>
          <w:i/>
        </w:rPr>
        <w:t xml:space="preserve">actual </w:t>
      </w:r>
      <w:r>
        <w:t>bridge between (1) and (2), supposing that there is one, lies in the</w:t>
      </w:r>
      <w:r>
        <w:rPr>
          <w:spacing w:val="-3"/>
        </w:rPr>
        <w:t xml:space="preserve"> </w:t>
      </w:r>
      <w:r>
        <w:t>fact</w:t>
      </w:r>
      <w:r>
        <w:rPr>
          <w:spacing w:val="-2"/>
        </w:rPr>
        <w:t xml:space="preserve"> </w:t>
      </w:r>
      <w:r>
        <w:t>that,</w:t>
      </w:r>
      <w:r>
        <w:rPr>
          <w:spacing w:val="-3"/>
        </w:rPr>
        <w:t xml:space="preserve"> </w:t>
      </w:r>
      <w:r>
        <w:t>given</w:t>
      </w:r>
      <w:r>
        <w:rPr>
          <w:spacing w:val="-2"/>
        </w:rPr>
        <w:t xml:space="preserve"> </w:t>
      </w:r>
      <w:r>
        <w:t>(1),</w:t>
      </w:r>
      <w:r>
        <w:rPr>
          <w:spacing w:val="-3"/>
        </w:rPr>
        <w:t xml:space="preserve"> </w:t>
      </w:r>
      <w:r>
        <w:t>it</w:t>
      </w:r>
      <w:r>
        <w:rPr>
          <w:spacing w:val="-2"/>
        </w:rPr>
        <w:t xml:space="preserve"> </w:t>
      </w:r>
      <w:r>
        <w:t>is</w:t>
      </w:r>
      <w:r>
        <w:rPr>
          <w:spacing w:val="-3"/>
        </w:rPr>
        <w:t xml:space="preserve"> </w:t>
      </w:r>
      <w:r>
        <w:t>reasonable</w:t>
      </w:r>
      <w:r>
        <w:rPr>
          <w:spacing w:val="-3"/>
        </w:rPr>
        <w:t xml:space="preserve"> </w:t>
      </w:r>
      <w:r>
        <w:t>to</w:t>
      </w:r>
      <w:r>
        <w:rPr>
          <w:spacing w:val="-2"/>
        </w:rPr>
        <w:t xml:space="preserve"> </w:t>
      </w:r>
      <w:r>
        <w:t>believe</w:t>
      </w:r>
      <w:r>
        <w:rPr>
          <w:spacing w:val="-3"/>
        </w:rPr>
        <w:t xml:space="preserve"> </w:t>
      </w:r>
      <w:r>
        <w:t>there</w:t>
      </w:r>
      <w:r>
        <w:rPr>
          <w:spacing w:val="-2"/>
        </w:rPr>
        <w:t xml:space="preserve"> </w:t>
      </w:r>
      <w:r>
        <w:t>to</w:t>
      </w:r>
      <w:r>
        <w:rPr>
          <w:spacing w:val="-3"/>
        </w:rPr>
        <w:t xml:space="preserve"> </w:t>
      </w:r>
      <w:r>
        <w:t>be</w:t>
      </w:r>
      <w:r>
        <w:rPr>
          <w:spacing w:val="-2"/>
        </w:rPr>
        <w:t xml:space="preserve"> </w:t>
      </w:r>
      <w:r>
        <w:t>some</w:t>
      </w:r>
      <w:r>
        <w:rPr>
          <w:spacing w:val="-2"/>
        </w:rPr>
        <w:t xml:space="preserve"> </w:t>
      </w:r>
      <w:r>
        <w:t>mechanism or</w:t>
      </w:r>
      <w:r>
        <w:rPr>
          <w:spacing w:val="23"/>
        </w:rPr>
        <w:t xml:space="preserve"> </w:t>
      </w:r>
      <w:r>
        <w:t>natural</w:t>
      </w:r>
      <w:r>
        <w:rPr>
          <w:spacing w:val="23"/>
        </w:rPr>
        <w:t xml:space="preserve"> </w:t>
      </w:r>
      <w:r>
        <w:t>law</w:t>
      </w:r>
      <w:r>
        <w:rPr>
          <w:spacing w:val="23"/>
        </w:rPr>
        <w:t xml:space="preserve"> </w:t>
      </w:r>
      <w:r>
        <w:t>that</w:t>
      </w:r>
      <w:r>
        <w:rPr>
          <w:spacing w:val="23"/>
        </w:rPr>
        <w:t xml:space="preserve"> </w:t>
      </w:r>
      <w:r>
        <w:t>requires</w:t>
      </w:r>
      <w:r>
        <w:rPr>
          <w:spacing w:val="23"/>
        </w:rPr>
        <w:t xml:space="preserve"> </w:t>
      </w:r>
      <w:r>
        <w:t>(or</w:t>
      </w:r>
      <w:r>
        <w:rPr>
          <w:spacing w:val="23"/>
        </w:rPr>
        <w:t xml:space="preserve"> </w:t>
      </w:r>
      <w:r>
        <w:t>at</w:t>
      </w:r>
      <w:r>
        <w:rPr>
          <w:spacing w:val="23"/>
        </w:rPr>
        <w:t xml:space="preserve"> </w:t>
      </w:r>
      <w:r>
        <w:t>least</w:t>
      </w:r>
      <w:r>
        <w:rPr>
          <w:spacing w:val="23"/>
        </w:rPr>
        <w:t xml:space="preserve"> </w:t>
      </w:r>
      <w:r>
        <w:t>disposes)</w:t>
      </w:r>
      <w:r>
        <w:rPr>
          <w:spacing w:val="23"/>
        </w:rPr>
        <w:t xml:space="preserve"> </w:t>
      </w:r>
      <w:r>
        <w:t>phi’s</w:t>
      </w:r>
      <w:r>
        <w:rPr>
          <w:spacing w:val="23"/>
        </w:rPr>
        <w:t xml:space="preserve"> </w:t>
      </w:r>
      <w:r>
        <w:t>to</w:t>
      </w:r>
      <w:r>
        <w:rPr>
          <w:spacing w:val="23"/>
        </w:rPr>
        <w:t xml:space="preserve"> </w:t>
      </w:r>
      <w:r>
        <w:t>be</w:t>
      </w:r>
      <w:r>
        <w:rPr>
          <w:spacing w:val="23"/>
        </w:rPr>
        <w:t xml:space="preserve"> </w:t>
      </w:r>
      <w:r>
        <w:t>psi’s.</w:t>
      </w:r>
      <w:r>
        <w:rPr>
          <w:spacing w:val="23"/>
        </w:rPr>
        <w:t xml:space="preserve"> </w:t>
      </w:r>
      <w:r>
        <w:t>By</w:t>
      </w:r>
      <w:r>
        <w:rPr>
          <w:spacing w:val="23"/>
        </w:rPr>
        <w:t xml:space="preserve"> </w:t>
      </w:r>
      <w:r>
        <w:t>itself,</w:t>
      </w:r>
    </w:p>
    <w:p w14:paraId="7E0019B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BE" w14:textId="77777777" w:rsidR="009A58DB" w:rsidRDefault="00000000">
      <w:pPr>
        <w:pStyle w:val="BodyText"/>
        <w:spacing w:before="60" w:line="249" w:lineRule="auto"/>
        <w:ind w:right="360"/>
      </w:pPr>
      <w:r>
        <w:lastRenderedPageBreak/>
        <w:t xml:space="preserve">(1*) “all metal known to me has expanded when heated” provides no good reason to accept (2*) “all metal expands when heated.” (1*) provides a good reason for accepting (2) </w:t>
      </w:r>
      <w:r>
        <w:rPr>
          <w:i/>
        </w:rPr>
        <w:t xml:space="preserve">only </w:t>
      </w:r>
      <w:r>
        <w:t>to the extent that (1*) provides a good reason</w:t>
      </w:r>
      <w:r>
        <w:rPr>
          <w:spacing w:val="40"/>
        </w:rPr>
        <w:t xml:space="preserve"> </w:t>
      </w:r>
      <w:r>
        <w:t>for</w:t>
      </w:r>
      <w:r>
        <w:rPr>
          <w:spacing w:val="-1"/>
        </w:rPr>
        <w:t xml:space="preserve"> </w:t>
      </w:r>
      <w:r>
        <w:t>accepting</w:t>
      </w:r>
      <w:r>
        <w:rPr>
          <w:spacing w:val="-1"/>
        </w:rPr>
        <w:t xml:space="preserve"> </w:t>
      </w:r>
      <w:r>
        <w:t>(3*)</w:t>
      </w:r>
      <w:r>
        <w:rPr>
          <w:spacing w:val="-1"/>
        </w:rPr>
        <w:t xml:space="preserve"> </w:t>
      </w:r>
      <w:r>
        <w:t>“there</w:t>
      </w:r>
      <w:r>
        <w:rPr>
          <w:spacing w:val="-1"/>
        </w:rPr>
        <w:t xml:space="preserve"> </w:t>
      </w:r>
      <w:r>
        <w:t>is</w:t>
      </w:r>
      <w:r>
        <w:rPr>
          <w:spacing w:val="-1"/>
        </w:rPr>
        <w:t xml:space="preserve"> </w:t>
      </w:r>
      <w:r>
        <w:t>a</w:t>
      </w:r>
      <w:r>
        <w:rPr>
          <w:spacing w:val="-1"/>
        </w:rPr>
        <w:t xml:space="preserve"> </w:t>
      </w:r>
      <w:r>
        <w:t>lawful</w:t>
      </w:r>
      <w:r>
        <w:rPr>
          <w:spacing w:val="-1"/>
        </w:rPr>
        <w:t xml:space="preserve"> </w:t>
      </w:r>
      <w:r>
        <w:t>connection</w:t>
      </w:r>
      <w:r>
        <w:rPr>
          <w:spacing w:val="-1"/>
        </w:rPr>
        <w:t xml:space="preserve"> </w:t>
      </w:r>
      <w:r>
        <w:t>between</w:t>
      </w:r>
      <w:r>
        <w:rPr>
          <w:spacing w:val="-1"/>
        </w:rPr>
        <w:t xml:space="preserve"> </w:t>
      </w:r>
      <w:r>
        <w:t>a</w:t>
      </w:r>
      <w:r>
        <w:rPr>
          <w:spacing w:val="-1"/>
        </w:rPr>
        <w:t xml:space="preserve"> </w:t>
      </w:r>
      <w:r>
        <w:t>thing’s</w:t>
      </w:r>
      <w:r>
        <w:rPr>
          <w:spacing w:val="-1"/>
        </w:rPr>
        <w:t xml:space="preserve"> </w:t>
      </w:r>
      <w:r>
        <w:t>being</w:t>
      </w:r>
      <w:r>
        <w:rPr>
          <w:spacing w:val="-1"/>
        </w:rPr>
        <w:t xml:space="preserve"> </w:t>
      </w:r>
      <w:r>
        <w:t xml:space="preserve">made of metal, on the one hand, and it’s expanding when being heated, on the </w:t>
      </w:r>
      <w:r>
        <w:rPr>
          <w:spacing w:val="-2"/>
        </w:rPr>
        <w:t>other.”</w:t>
      </w:r>
    </w:p>
    <w:p w14:paraId="7E0019BF" w14:textId="77777777" w:rsidR="009A58DB" w:rsidRDefault="00000000">
      <w:pPr>
        <w:pStyle w:val="Heading3"/>
        <w:numPr>
          <w:ilvl w:val="2"/>
          <w:numId w:val="116"/>
        </w:numPr>
        <w:tabs>
          <w:tab w:val="left" w:pos="1136"/>
        </w:tabs>
        <w:spacing w:before="110"/>
        <w:ind w:hanging="776"/>
        <w:jc w:val="both"/>
      </w:pPr>
      <w:r>
        <w:t>Synthesizing</w:t>
      </w:r>
      <w:r>
        <w:rPr>
          <w:spacing w:val="6"/>
        </w:rPr>
        <w:t xml:space="preserve"> </w:t>
      </w:r>
      <w:r>
        <w:t>these</w:t>
      </w:r>
      <w:r>
        <w:rPr>
          <w:spacing w:val="7"/>
        </w:rPr>
        <w:t xml:space="preserve"> </w:t>
      </w:r>
      <w:r>
        <w:t>points</w:t>
      </w:r>
      <w:r>
        <w:rPr>
          <w:spacing w:val="6"/>
        </w:rPr>
        <w:t xml:space="preserve"> </w:t>
      </w:r>
      <w:r>
        <w:rPr>
          <w:spacing w:val="-2"/>
        </w:rPr>
        <w:t>(continued)</w:t>
      </w:r>
    </w:p>
    <w:p w14:paraId="7E0019C0" w14:textId="77777777" w:rsidR="009A58DB" w:rsidRDefault="00000000">
      <w:pPr>
        <w:pStyle w:val="BodyText"/>
        <w:spacing w:before="81" w:line="249" w:lineRule="auto"/>
        <w:ind w:right="359"/>
      </w:pPr>
      <w:r>
        <w:t>Before we continue, it’s crucial to note that none of this begs any questions against Hume. Hume is saying: “given only that every metal object that</w:t>
      </w:r>
      <w:r>
        <w:rPr>
          <w:spacing w:val="40"/>
        </w:rPr>
        <w:t xml:space="preserve"> </w:t>
      </w:r>
      <w:r>
        <w:t xml:space="preserve">Smith </w:t>
      </w:r>
      <w:r>
        <w:rPr>
          <w:i/>
        </w:rPr>
        <w:t xml:space="preserve">has </w:t>
      </w:r>
      <w:r>
        <w:t xml:space="preserve">known of has expanded when heated, it doesn’t follow that metal that Smith has </w:t>
      </w:r>
      <w:r>
        <w:rPr>
          <w:i/>
        </w:rPr>
        <w:t xml:space="preserve">yet </w:t>
      </w:r>
      <w:r>
        <w:t xml:space="preserve">to encounter will (or is even likely to) expand when heated.” We agree. Smith is guilty of the gambler’s fallacy so far as he thinks otherwise. All we’re saying is this: Smith’s experience thus far </w:t>
      </w:r>
      <w:r>
        <w:rPr>
          <w:i/>
        </w:rPr>
        <w:t xml:space="preserve">suggests </w:t>
      </w:r>
      <w:r>
        <w:t xml:space="preserve">that “x’s being heated metal provides some kind of nomic basis for x’s expanding” </w:t>
      </w:r>
      <w:r>
        <w:rPr>
          <w:i/>
        </w:rPr>
        <w:t xml:space="preserve">has </w:t>
      </w:r>
      <w:r>
        <w:t xml:space="preserve">held for objects falling within the scope of Smith’s </w:t>
      </w:r>
      <w:r>
        <w:rPr>
          <w:spacing w:val="-2"/>
        </w:rPr>
        <w:t>experience.</w:t>
      </w:r>
    </w:p>
    <w:p w14:paraId="7E0019C1" w14:textId="77777777" w:rsidR="009A58DB" w:rsidRDefault="00000000">
      <w:pPr>
        <w:pStyle w:val="BodyText"/>
        <w:spacing w:before="11" w:line="249" w:lineRule="auto"/>
        <w:ind w:right="358" w:firstLine="360"/>
      </w:pPr>
      <w:r>
        <w:t xml:space="preserve">We’re </w:t>
      </w:r>
      <w:r>
        <w:rPr>
          <w:i/>
        </w:rPr>
        <w:t xml:space="preserve">not </w:t>
      </w:r>
      <w:r>
        <w:t xml:space="preserve">making the claim Smith’s experience </w:t>
      </w:r>
      <w:r>
        <w:rPr>
          <w:i/>
        </w:rPr>
        <w:t xml:space="preserve">entails </w:t>
      </w:r>
      <w:r>
        <w:t xml:space="preserve">that some such connection has held. Such a claim would simply be false. And we’re </w:t>
      </w:r>
      <w:r>
        <w:rPr>
          <w:i/>
        </w:rPr>
        <w:t xml:space="preserve">not </w:t>
      </w:r>
      <w:r>
        <w:t xml:space="preserve">making the claim that Smith’s past experience gives him a good reason to think that metal objects not (yet) known to him will be more likely to expand or even that they’ll be more likely than not to expand. Such a claim would beg the question against Hume. Finally, we’re </w:t>
      </w:r>
      <w:r>
        <w:rPr>
          <w:i/>
        </w:rPr>
        <w:t xml:space="preserve">not </w:t>
      </w:r>
      <w:r>
        <w:t xml:space="preserve">making the claim that Smith’s past experience gives him a good reason to think that there </w:t>
      </w:r>
      <w:r>
        <w:rPr>
          <w:i/>
        </w:rPr>
        <w:t xml:space="preserve">continues </w:t>
      </w:r>
      <w:r>
        <w:t>to exist any nomic connection between a thing’s being heated metal and its expanding. Echoing what we just said, such a claim would beg the question against</w:t>
      </w:r>
      <w:r>
        <w:rPr>
          <w:spacing w:val="-1"/>
        </w:rPr>
        <w:t xml:space="preserve"> </w:t>
      </w:r>
      <w:r>
        <w:t>Hume: for Hume’s very point is that</w:t>
      </w:r>
      <w:r>
        <w:rPr>
          <w:spacing w:val="-1"/>
        </w:rPr>
        <w:t xml:space="preserve"> </w:t>
      </w:r>
      <w:r>
        <w:t>a thing’s happening in the past is no guarantee of its continuing to happening the future. And we cannot, without begging the question against Hume, assert that a law’s having held in the past is evidence of its holding in the future.</w:t>
      </w:r>
    </w:p>
    <w:p w14:paraId="7E0019C2" w14:textId="77777777" w:rsidR="009A58DB" w:rsidRDefault="00000000">
      <w:pPr>
        <w:pStyle w:val="BodyText"/>
        <w:spacing w:before="16" w:line="249" w:lineRule="auto"/>
        <w:ind w:right="360" w:firstLine="360"/>
      </w:pPr>
      <w:r>
        <w:t xml:space="preserve">So what </w:t>
      </w:r>
      <w:r>
        <w:rPr>
          <w:i/>
        </w:rPr>
        <w:t xml:space="preserve">are </w:t>
      </w:r>
      <w:r>
        <w:t xml:space="preserve">we saying? Only that Smith’s experience gives him a reason to believe that such a connection </w:t>
      </w:r>
      <w:r>
        <w:rPr>
          <w:i/>
        </w:rPr>
        <w:t xml:space="preserve">has </w:t>
      </w:r>
      <w:r>
        <w:t>held, at least as far as metal objects falling within the scope of experience are concerned. And in making this obviously plausible claim, no questions have been begged against Hume.</w:t>
      </w:r>
    </w:p>
    <w:p w14:paraId="7E0019C3" w14:textId="77777777" w:rsidR="009A58DB" w:rsidRDefault="00000000">
      <w:pPr>
        <w:pStyle w:val="Heading3"/>
        <w:numPr>
          <w:ilvl w:val="2"/>
          <w:numId w:val="116"/>
        </w:numPr>
        <w:tabs>
          <w:tab w:val="left" w:pos="1136"/>
        </w:tabs>
        <w:spacing w:before="88"/>
        <w:ind w:hanging="776"/>
        <w:jc w:val="both"/>
      </w:pPr>
      <w:r>
        <w:t>Synthesizing</w:t>
      </w:r>
      <w:r>
        <w:rPr>
          <w:spacing w:val="6"/>
        </w:rPr>
        <w:t xml:space="preserve"> </w:t>
      </w:r>
      <w:r>
        <w:t>these</w:t>
      </w:r>
      <w:r>
        <w:rPr>
          <w:spacing w:val="7"/>
        </w:rPr>
        <w:t xml:space="preserve"> </w:t>
      </w:r>
      <w:r>
        <w:t>points</w:t>
      </w:r>
      <w:r>
        <w:rPr>
          <w:spacing w:val="6"/>
        </w:rPr>
        <w:t xml:space="preserve"> </w:t>
      </w:r>
      <w:r>
        <w:rPr>
          <w:spacing w:val="-2"/>
        </w:rPr>
        <w:t>(continued)</w:t>
      </w:r>
    </w:p>
    <w:p w14:paraId="7E0019C4" w14:textId="77777777" w:rsidR="009A58DB" w:rsidRDefault="009A58DB">
      <w:pPr>
        <w:pStyle w:val="Heading3"/>
        <w:sectPr w:rsidR="009A58DB">
          <w:pgSz w:w="12240" w:h="15840"/>
          <w:pgMar w:top="1380" w:right="1080" w:bottom="280" w:left="1080" w:header="720" w:footer="720" w:gutter="0"/>
          <w:cols w:space="720"/>
        </w:sectPr>
      </w:pPr>
    </w:p>
    <w:p w14:paraId="7E0019C5" w14:textId="77777777" w:rsidR="009A58DB" w:rsidRDefault="00000000">
      <w:pPr>
        <w:pStyle w:val="BodyText"/>
        <w:spacing w:before="65" w:line="249" w:lineRule="auto"/>
        <w:ind w:right="365"/>
      </w:pPr>
      <w:r>
        <w:lastRenderedPageBreak/>
        <w:t xml:space="preserve">I propose that, armed only with this non-question-begging point along with the tautology that it is the purpose of explanations to eliminate unexplained explainers, we can show that Smith has reason to expect </w:t>
      </w:r>
      <w:r>
        <w:rPr>
          <w:i/>
        </w:rPr>
        <w:t xml:space="preserve">future </w:t>
      </w:r>
      <w:r>
        <w:t>metal objects to expand when heated.</w:t>
      </w:r>
    </w:p>
    <w:p w14:paraId="7E0019C6" w14:textId="77777777" w:rsidR="009A58DB" w:rsidRDefault="00000000">
      <w:pPr>
        <w:pStyle w:val="BodyText"/>
        <w:spacing w:before="5" w:line="249" w:lineRule="auto"/>
        <w:ind w:right="358" w:firstLine="360"/>
      </w:pPr>
      <w:r>
        <w:t xml:space="preserve">We’ve agreed that Smith’s experience does give him some reason to think that, at least as far as objects thus far known to him are concerned, a thing’s being metal provides some kind of causal or nomic basis for its expanding when heated. Let P be this causal principle. P is of doubly limited scope. It applies only to </w:t>
      </w:r>
      <w:r>
        <w:rPr>
          <w:i/>
        </w:rPr>
        <w:t xml:space="preserve">past </w:t>
      </w:r>
      <w:r>
        <w:t xml:space="preserve">objects </w:t>
      </w:r>
      <w:r>
        <w:rPr>
          <w:i/>
        </w:rPr>
        <w:t xml:space="preserve">and </w:t>
      </w:r>
      <w:r>
        <w:t>it applies only to past objects that Smith knows of. Let’s suppose that Smith accepts P.</w:t>
      </w:r>
    </w:p>
    <w:p w14:paraId="7E0019C7" w14:textId="77777777" w:rsidR="009A58DB" w:rsidRDefault="00000000">
      <w:pPr>
        <w:pStyle w:val="BodyText"/>
        <w:spacing w:before="7" w:line="249" w:lineRule="auto"/>
        <w:ind w:right="360" w:firstLine="360"/>
      </w:pPr>
      <w:r>
        <w:t>Smith</w:t>
      </w:r>
      <w:r>
        <w:rPr>
          <w:spacing w:val="-1"/>
        </w:rPr>
        <w:t xml:space="preserve"> </w:t>
      </w:r>
      <w:r>
        <w:t>has</w:t>
      </w:r>
      <w:r>
        <w:rPr>
          <w:spacing w:val="-1"/>
        </w:rPr>
        <w:t xml:space="preserve"> </w:t>
      </w:r>
      <w:r>
        <w:t>two</w:t>
      </w:r>
      <w:r>
        <w:rPr>
          <w:spacing w:val="-1"/>
        </w:rPr>
        <w:t xml:space="preserve"> </w:t>
      </w:r>
      <w:r>
        <w:t>options.</w:t>
      </w:r>
      <w:r>
        <w:rPr>
          <w:spacing w:val="-1"/>
        </w:rPr>
        <w:t xml:space="preserve"> </w:t>
      </w:r>
      <w:r>
        <w:t>(I</w:t>
      </w:r>
      <w:r>
        <w:rPr>
          <w:spacing w:val="-1"/>
        </w:rPr>
        <w:t xml:space="preserve"> </w:t>
      </w:r>
      <w:r>
        <w:t>am</w:t>
      </w:r>
      <w:r>
        <w:rPr>
          <w:spacing w:val="-1"/>
        </w:rPr>
        <w:t xml:space="preserve"> </w:t>
      </w:r>
      <w:r>
        <w:t>not</w:t>
      </w:r>
      <w:r>
        <w:rPr>
          <w:spacing w:val="-2"/>
        </w:rPr>
        <w:t xml:space="preserve"> </w:t>
      </w:r>
      <w:r>
        <w:t>counting</w:t>
      </w:r>
      <w:r>
        <w:rPr>
          <w:spacing w:val="-1"/>
        </w:rPr>
        <w:t xml:space="preserve"> </w:t>
      </w:r>
      <w:r>
        <w:t>a</w:t>
      </w:r>
      <w:r>
        <w:rPr>
          <w:spacing w:val="-1"/>
        </w:rPr>
        <w:t xml:space="preserve"> </w:t>
      </w:r>
      <w:r>
        <w:t>refusal</w:t>
      </w:r>
      <w:r>
        <w:rPr>
          <w:spacing w:val="-1"/>
        </w:rPr>
        <w:t xml:space="preserve"> </w:t>
      </w:r>
      <w:r>
        <w:t>draw</w:t>
      </w:r>
      <w:r>
        <w:rPr>
          <w:spacing w:val="-1"/>
        </w:rPr>
        <w:t xml:space="preserve"> </w:t>
      </w:r>
      <w:r>
        <w:t>any</w:t>
      </w:r>
      <w:r>
        <w:rPr>
          <w:spacing w:val="-1"/>
        </w:rPr>
        <w:t xml:space="preserve"> </w:t>
      </w:r>
      <w:r>
        <w:t>inferences</w:t>
      </w:r>
      <w:r>
        <w:rPr>
          <w:spacing w:val="-1"/>
        </w:rPr>
        <w:t xml:space="preserve"> </w:t>
      </w:r>
      <w:r>
        <w:t xml:space="preserve">as an option.) (i) Hold that provides no reason to believe that, outside Smith’s past, personal experience, a thing’s being a metal provides a basis of some kind for its expanding when heated. (ii) Hold that P does warrant some such generalization. One such generalization is: “that connection holds for all past objects, whether Smith knows of them or not; but it doesn’t hold of future objects.” Another is: “that connection holds for objects that Smith </w:t>
      </w:r>
      <w:r>
        <w:rPr>
          <w:i/>
        </w:rPr>
        <w:t xml:space="preserve">will </w:t>
      </w:r>
      <w:r>
        <w:t>know of, but not for those that he won’t know of.” But, of course, the most natural, not to say the most rational, generalization is this:</w:t>
      </w:r>
    </w:p>
    <w:p w14:paraId="7E0019C8" w14:textId="77777777" w:rsidR="009A58DB" w:rsidRDefault="009A58DB">
      <w:pPr>
        <w:pStyle w:val="BodyText"/>
        <w:spacing w:before="26"/>
        <w:ind w:left="0"/>
        <w:jc w:val="left"/>
      </w:pPr>
    </w:p>
    <w:p w14:paraId="7E0019C9" w14:textId="77777777" w:rsidR="009A58DB" w:rsidRDefault="00000000">
      <w:pPr>
        <w:pStyle w:val="BodyText"/>
        <w:spacing w:line="249" w:lineRule="auto"/>
        <w:ind w:right="361" w:firstLine="360"/>
      </w:pPr>
      <w:r>
        <w:t xml:space="preserve">(P*) “That connection holds </w:t>
      </w:r>
      <w:r>
        <w:rPr>
          <w:i/>
        </w:rPr>
        <w:t xml:space="preserve">generally. </w:t>
      </w:r>
      <w:r>
        <w:t>It holds no less for objects not known by Smith than for those known by him, no less for future objects than for past.”</w:t>
      </w:r>
    </w:p>
    <w:p w14:paraId="7E0019CA" w14:textId="77777777" w:rsidR="009A58DB" w:rsidRDefault="009A58DB">
      <w:pPr>
        <w:pStyle w:val="BodyText"/>
        <w:spacing w:before="19"/>
        <w:ind w:left="0"/>
        <w:jc w:val="left"/>
      </w:pPr>
    </w:p>
    <w:p w14:paraId="7E0019CB" w14:textId="77777777" w:rsidR="009A58DB" w:rsidRDefault="00000000">
      <w:pPr>
        <w:pStyle w:val="BodyText"/>
        <w:spacing w:line="249" w:lineRule="auto"/>
        <w:ind w:right="358" w:firstLine="360"/>
      </w:pPr>
      <w:r>
        <w:t xml:space="preserve">Let’s suppose that Smith chooses </w:t>
      </w:r>
      <w:r>
        <w:rPr>
          <w:i/>
        </w:rPr>
        <w:t xml:space="preserve">not </w:t>
      </w:r>
      <w:r>
        <w:t>to accept P* or any other generalization</w:t>
      </w:r>
      <w:r>
        <w:rPr>
          <w:spacing w:val="-3"/>
        </w:rPr>
        <w:t xml:space="preserve"> </w:t>
      </w:r>
      <w:r>
        <w:t>of</w:t>
      </w:r>
      <w:r>
        <w:rPr>
          <w:spacing w:val="-3"/>
        </w:rPr>
        <w:t xml:space="preserve"> </w:t>
      </w:r>
      <w:r>
        <w:t>P.</w:t>
      </w:r>
      <w:r>
        <w:rPr>
          <w:spacing w:val="-3"/>
        </w:rPr>
        <w:t xml:space="preserve"> </w:t>
      </w:r>
      <w:r>
        <w:t>How,</w:t>
      </w:r>
      <w:r>
        <w:rPr>
          <w:spacing w:val="-3"/>
        </w:rPr>
        <w:t xml:space="preserve"> </w:t>
      </w:r>
      <w:r>
        <w:t>in</w:t>
      </w:r>
      <w:r>
        <w:rPr>
          <w:spacing w:val="-3"/>
        </w:rPr>
        <w:t xml:space="preserve"> </w:t>
      </w:r>
      <w:r>
        <w:t>that</w:t>
      </w:r>
      <w:r>
        <w:rPr>
          <w:spacing w:val="-3"/>
        </w:rPr>
        <w:t xml:space="preserve"> </w:t>
      </w:r>
      <w:r>
        <w:t>case,</w:t>
      </w:r>
      <w:r>
        <w:rPr>
          <w:spacing w:val="-3"/>
        </w:rPr>
        <w:t xml:space="preserve"> </w:t>
      </w:r>
      <w:r>
        <w:t>would</w:t>
      </w:r>
      <w:r>
        <w:rPr>
          <w:spacing w:val="-3"/>
        </w:rPr>
        <w:t xml:space="preserve"> </w:t>
      </w:r>
      <w:r>
        <w:t>the</w:t>
      </w:r>
      <w:r>
        <w:rPr>
          <w:spacing w:val="-3"/>
        </w:rPr>
        <w:t xml:space="preserve"> </w:t>
      </w:r>
      <w:r>
        <w:t>world</w:t>
      </w:r>
      <w:r>
        <w:rPr>
          <w:spacing w:val="-3"/>
        </w:rPr>
        <w:t xml:space="preserve"> </w:t>
      </w:r>
      <w:r>
        <w:t>have</w:t>
      </w:r>
      <w:r>
        <w:rPr>
          <w:spacing w:val="-3"/>
        </w:rPr>
        <w:t xml:space="preserve"> </w:t>
      </w:r>
      <w:r>
        <w:t>to</w:t>
      </w:r>
      <w:r>
        <w:rPr>
          <w:spacing w:val="-3"/>
        </w:rPr>
        <w:t xml:space="preserve"> </w:t>
      </w:r>
      <w:r>
        <w:t>be</w:t>
      </w:r>
      <w:r>
        <w:rPr>
          <w:spacing w:val="-3"/>
        </w:rPr>
        <w:t xml:space="preserve"> </w:t>
      </w:r>
      <w:r>
        <w:t>for</w:t>
      </w:r>
      <w:r>
        <w:rPr>
          <w:spacing w:val="-4"/>
        </w:rPr>
        <w:t xml:space="preserve"> </w:t>
      </w:r>
      <w:r>
        <w:t>Smith’s belief system to hold? Metal objects that Smith became aware of would suddenly undergo a profound change: they would go from being things that, when heated, didn’t expand to being ones that did. And for this change to occur,</w:t>
      </w:r>
      <w:r>
        <w:rPr>
          <w:spacing w:val="-3"/>
        </w:rPr>
        <w:t xml:space="preserve"> </w:t>
      </w:r>
      <w:r>
        <w:t>each</w:t>
      </w:r>
      <w:r>
        <w:rPr>
          <w:spacing w:val="-2"/>
        </w:rPr>
        <w:t xml:space="preserve"> </w:t>
      </w:r>
      <w:r>
        <w:t>atom</w:t>
      </w:r>
      <w:r>
        <w:rPr>
          <w:spacing w:val="-2"/>
        </w:rPr>
        <w:t xml:space="preserve"> </w:t>
      </w:r>
      <w:r>
        <w:t>of</w:t>
      </w:r>
      <w:r>
        <w:rPr>
          <w:spacing w:val="-2"/>
        </w:rPr>
        <w:t xml:space="preserve"> </w:t>
      </w:r>
      <w:r>
        <w:t>every</w:t>
      </w:r>
      <w:r>
        <w:rPr>
          <w:spacing w:val="-2"/>
        </w:rPr>
        <w:t xml:space="preserve"> </w:t>
      </w:r>
      <w:r>
        <w:t>metal</w:t>
      </w:r>
      <w:r>
        <w:rPr>
          <w:spacing w:val="-2"/>
        </w:rPr>
        <w:t xml:space="preserve"> </w:t>
      </w:r>
      <w:r>
        <w:t>object</w:t>
      </w:r>
      <w:r>
        <w:rPr>
          <w:spacing w:val="-2"/>
        </w:rPr>
        <w:t xml:space="preserve"> </w:t>
      </w:r>
      <w:r>
        <w:t>known</w:t>
      </w:r>
      <w:r>
        <w:rPr>
          <w:spacing w:val="-2"/>
        </w:rPr>
        <w:t xml:space="preserve"> </w:t>
      </w:r>
      <w:r>
        <w:t>to</w:t>
      </w:r>
      <w:r>
        <w:rPr>
          <w:spacing w:val="-2"/>
        </w:rPr>
        <w:t xml:space="preserve"> </w:t>
      </w:r>
      <w:r>
        <w:t>Smith</w:t>
      </w:r>
      <w:r>
        <w:rPr>
          <w:spacing w:val="-2"/>
        </w:rPr>
        <w:t xml:space="preserve"> </w:t>
      </w:r>
      <w:r>
        <w:t>would</w:t>
      </w:r>
      <w:r>
        <w:rPr>
          <w:spacing w:val="-2"/>
        </w:rPr>
        <w:t xml:space="preserve"> </w:t>
      </w:r>
      <w:r>
        <w:t>have</w:t>
      </w:r>
      <w:r>
        <w:rPr>
          <w:spacing w:val="-2"/>
        </w:rPr>
        <w:t xml:space="preserve"> </w:t>
      </w:r>
      <w:r>
        <w:t>to</w:t>
      </w:r>
      <w:r>
        <w:rPr>
          <w:spacing w:val="-2"/>
        </w:rPr>
        <w:t xml:space="preserve"> </w:t>
      </w:r>
      <w:r>
        <w:t>change in</w:t>
      </w:r>
      <w:r>
        <w:rPr>
          <w:spacing w:val="-3"/>
        </w:rPr>
        <w:t xml:space="preserve"> </w:t>
      </w:r>
      <w:r>
        <w:t>fundamental</w:t>
      </w:r>
      <w:r>
        <w:rPr>
          <w:spacing w:val="-3"/>
        </w:rPr>
        <w:t xml:space="preserve"> </w:t>
      </w:r>
      <w:r>
        <w:t>ways.</w:t>
      </w:r>
      <w:r>
        <w:rPr>
          <w:spacing w:val="-3"/>
        </w:rPr>
        <w:t xml:space="preserve"> </w:t>
      </w:r>
      <w:r>
        <w:t>Given</w:t>
      </w:r>
      <w:r>
        <w:rPr>
          <w:spacing w:val="-3"/>
        </w:rPr>
        <w:t xml:space="preserve"> </w:t>
      </w:r>
      <w:r>
        <w:t>an</w:t>
      </w:r>
      <w:r>
        <w:rPr>
          <w:spacing w:val="-3"/>
        </w:rPr>
        <w:t xml:space="preserve"> </w:t>
      </w:r>
      <w:r>
        <w:t>acceptance</w:t>
      </w:r>
      <w:r>
        <w:rPr>
          <w:spacing w:val="-3"/>
        </w:rPr>
        <w:t xml:space="preserve"> </w:t>
      </w:r>
      <w:r>
        <w:t>of</w:t>
      </w:r>
      <w:r>
        <w:rPr>
          <w:spacing w:val="-3"/>
        </w:rPr>
        <w:t xml:space="preserve"> </w:t>
      </w:r>
      <w:r>
        <w:t>P,</w:t>
      </w:r>
      <w:r>
        <w:rPr>
          <w:spacing w:val="-3"/>
        </w:rPr>
        <w:t xml:space="preserve"> </w:t>
      </w:r>
      <w:r>
        <w:t>it</w:t>
      </w:r>
      <w:r>
        <w:rPr>
          <w:spacing w:val="-3"/>
        </w:rPr>
        <w:t xml:space="preserve"> </w:t>
      </w:r>
      <w:r>
        <w:t>may</w:t>
      </w:r>
      <w:r>
        <w:rPr>
          <w:spacing w:val="-3"/>
        </w:rPr>
        <w:t xml:space="preserve"> </w:t>
      </w:r>
      <w:r>
        <w:t>seem</w:t>
      </w:r>
      <w:r>
        <w:rPr>
          <w:spacing w:val="-3"/>
        </w:rPr>
        <w:t xml:space="preserve"> </w:t>
      </w:r>
      <w:r>
        <w:t>conservative</w:t>
      </w:r>
      <w:r>
        <w:rPr>
          <w:spacing w:val="-3"/>
        </w:rPr>
        <w:t xml:space="preserve"> </w:t>
      </w:r>
      <w:r>
        <w:t xml:space="preserve">not to accept any generalization of P. But it’s the very opposite. If you accept but reject any generalization thereof, you’re saying that objects miraculously undergo profound microstructural changes whenever you know of them and undergo equally profound changes when you stop being aware of them. And </w:t>
      </w:r>
      <w:r>
        <w:rPr>
          <w:i/>
        </w:rPr>
        <w:t xml:space="preserve">that </w:t>
      </w:r>
      <w:r>
        <w:t>hypothesis is not a conservative one.</w:t>
      </w:r>
    </w:p>
    <w:p w14:paraId="7E0019C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CD" w14:textId="77777777" w:rsidR="009A58DB" w:rsidRDefault="00000000">
      <w:pPr>
        <w:pStyle w:val="BodyText"/>
        <w:spacing w:before="65" w:line="249" w:lineRule="auto"/>
        <w:ind w:right="357" w:firstLine="360"/>
      </w:pPr>
      <w:r>
        <w:lastRenderedPageBreak/>
        <w:t>And, quite clearly, it’s a bad one. Why is it bad? Because it creates more unexplained explainers than it eliminates—because it creates more questions than it answers.</w:t>
      </w:r>
    </w:p>
    <w:p w14:paraId="7E0019CE" w14:textId="77777777" w:rsidR="009A58DB" w:rsidRDefault="00000000">
      <w:pPr>
        <w:pStyle w:val="Heading3"/>
        <w:numPr>
          <w:ilvl w:val="2"/>
          <w:numId w:val="116"/>
        </w:numPr>
        <w:tabs>
          <w:tab w:val="left" w:pos="1136"/>
        </w:tabs>
        <w:spacing w:before="101"/>
        <w:ind w:hanging="776"/>
        <w:jc w:val="both"/>
      </w:pPr>
      <w:r>
        <w:t>Synthesizing</w:t>
      </w:r>
      <w:r>
        <w:rPr>
          <w:spacing w:val="6"/>
        </w:rPr>
        <w:t xml:space="preserve"> </w:t>
      </w:r>
      <w:r>
        <w:t>these</w:t>
      </w:r>
      <w:r>
        <w:rPr>
          <w:spacing w:val="7"/>
        </w:rPr>
        <w:t xml:space="preserve"> </w:t>
      </w:r>
      <w:r>
        <w:t>points</w:t>
      </w:r>
      <w:r>
        <w:rPr>
          <w:spacing w:val="6"/>
        </w:rPr>
        <w:t xml:space="preserve"> </w:t>
      </w:r>
      <w:r>
        <w:rPr>
          <w:spacing w:val="-2"/>
        </w:rPr>
        <w:t>(continued)</w:t>
      </w:r>
    </w:p>
    <w:p w14:paraId="7E0019CF" w14:textId="77777777" w:rsidR="009A58DB" w:rsidRDefault="00000000">
      <w:pPr>
        <w:pStyle w:val="BodyText"/>
        <w:spacing w:before="81" w:line="249" w:lineRule="auto"/>
        <w:ind w:right="360"/>
      </w:pPr>
      <w:r>
        <w:t xml:space="preserve">Of course, </w:t>
      </w:r>
      <w:r>
        <w:rPr>
          <w:i/>
        </w:rPr>
        <w:t xml:space="preserve">not </w:t>
      </w:r>
      <w:r>
        <w:t xml:space="preserve">accepting a hypothesis isn’t the same as rejecting it. </w:t>
      </w:r>
      <w:r>
        <w:rPr>
          <w:i/>
        </w:rPr>
        <w:t xml:space="preserve">Not </w:t>
      </w:r>
      <w:r>
        <w:t>accepting some generalization of P isn’t the same as rejecting it. And it’s obviously a good idea in many cases to hedge—to wait for evidence. But that’s irrelevant. The question is: given that there is enough information to warrant an acceptance of P, is there enough information to warrant</w:t>
      </w:r>
      <w:r>
        <w:rPr>
          <w:spacing w:val="40"/>
        </w:rPr>
        <w:t xml:space="preserve"> </w:t>
      </w:r>
      <w:r>
        <w:t xml:space="preserve">acceptance of any generalization of P? If we answer by saying “no,” then we’re saying that, given only the evidence at our disposal, it’s no less likely than not that objects systematically undergo massive changes at the atomic level whenever they come or cease to be known by Smith. And </w:t>
      </w:r>
      <w:r>
        <w:rPr>
          <w:i/>
        </w:rPr>
        <w:t xml:space="preserve">that </w:t>
      </w:r>
      <w:r>
        <w:t>position, as we saw, creates more mysteries than it eliminates. So despite first appearances, there’s nothing conservative about refusing to countenance any generalization of P. And such refusal embodies acceptance of a principle that is straightforwardly, because tautologously, false, namely: “there’s no reason to prefer explanations that explain a lot and create little that has to be explained to those that explain a little and create a lot to be explained.”</w:t>
      </w:r>
    </w:p>
    <w:p w14:paraId="7E0019D0" w14:textId="77777777" w:rsidR="009A58DB" w:rsidRDefault="00000000">
      <w:pPr>
        <w:pStyle w:val="Heading3"/>
        <w:numPr>
          <w:ilvl w:val="2"/>
          <w:numId w:val="116"/>
        </w:numPr>
        <w:tabs>
          <w:tab w:val="left" w:pos="1136"/>
        </w:tabs>
        <w:spacing w:before="101"/>
        <w:ind w:hanging="776"/>
        <w:jc w:val="both"/>
      </w:pPr>
      <w:r>
        <w:t>Synthesizing</w:t>
      </w:r>
      <w:r>
        <w:rPr>
          <w:spacing w:val="6"/>
        </w:rPr>
        <w:t xml:space="preserve"> </w:t>
      </w:r>
      <w:r>
        <w:t>these</w:t>
      </w:r>
      <w:r>
        <w:rPr>
          <w:spacing w:val="7"/>
        </w:rPr>
        <w:t xml:space="preserve"> </w:t>
      </w:r>
      <w:r>
        <w:t>points</w:t>
      </w:r>
      <w:r>
        <w:rPr>
          <w:spacing w:val="6"/>
        </w:rPr>
        <w:t xml:space="preserve"> </w:t>
      </w:r>
      <w:r>
        <w:rPr>
          <w:spacing w:val="-2"/>
        </w:rPr>
        <w:t>(continued)</w:t>
      </w:r>
    </w:p>
    <w:p w14:paraId="7E0019D1" w14:textId="77777777" w:rsidR="009A58DB" w:rsidRDefault="00000000">
      <w:pPr>
        <w:pStyle w:val="BodyText"/>
        <w:spacing w:before="82" w:line="249" w:lineRule="auto"/>
        <w:ind w:right="361"/>
      </w:pPr>
      <w:r>
        <w:t xml:space="preserve">These points are easily generalized. It’s no less absurd to suppose that, in the last nanosecond, all metal objects have undergone profound microstructural changes than it is to suppose that all metal objects known by Smith are microstructurally very different from those not known by him. This point provides the non-circular justification for UP that Hume sought but couldn’t </w:t>
      </w:r>
      <w:r>
        <w:rPr>
          <w:spacing w:val="-2"/>
        </w:rPr>
        <w:t>find.</w:t>
      </w:r>
    </w:p>
    <w:p w14:paraId="7E0019D2" w14:textId="77777777" w:rsidR="009A58DB" w:rsidRDefault="00000000">
      <w:pPr>
        <w:pStyle w:val="BodyText"/>
        <w:spacing w:before="7" w:line="249" w:lineRule="auto"/>
        <w:ind w:right="359" w:firstLine="360"/>
      </w:pPr>
      <w:r>
        <w:t>Let’s</w:t>
      </w:r>
      <w:r>
        <w:rPr>
          <w:spacing w:val="-3"/>
        </w:rPr>
        <w:t xml:space="preserve"> </w:t>
      </w:r>
      <w:r>
        <w:t>suppose</w:t>
      </w:r>
      <w:r>
        <w:rPr>
          <w:spacing w:val="-3"/>
        </w:rPr>
        <w:t xml:space="preserve"> </w:t>
      </w:r>
      <w:r>
        <w:t>that</w:t>
      </w:r>
      <w:r>
        <w:rPr>
          <w:spacing w:val="-3"/>
        </w:rPr>
        <w:t xml:space="preserve"> </w:t>
      </w:r>
      <w:r>
        <w:t>Smith</w:t>
      </w:r>
      <w:r>
        <w:rPr>
          <w:spacing w:val="-2"/>
        </w:rPr>
        <w:t xml:space="preserve"> </w:t>
      </w:r>
      <w:r>
        <w:t>has</w:t>
      </w:r>
      <w:r>
        <w:rPr>
          <w:spacing w:val="-3"/>
        </w:rPr>
        <w:t xml:space="preserve"> </w:t>
      </w:r>
      <w:r>
        <w:t>reason</w:t>
      </w:r>
      <w:r>
        <w:rPr>
          <w:spacing w:val="-2"/>
        </w:rPr>
        <w:t xml:space="preserve"> </w:t>
      </w:r>
      <w:r>
        <w:t>to</w:t>
      </w:r>
      <w:r>
        <w:rPr>
          <w:spacing w:val="-2"/>
        </w:rPr>
        <w:t xml:space="preserve"> </w:t>
      </w:r>
      <w:r>
        <w:t>believe</w:t>
      </w:r>
      <w:r>
        <w:rPr>
          <w:spacing w:val="-3"/>
        </w:rPr>
        <w:t xml:space="preserve"> </w:t>
      </w:r>
      <w:r>
        <w:t>(i)</w:t>
      </w:r>
      <w:r>
        <w:rPr>
          <w:spacing w:val="-3"/>
        </w:rPr>
        <w:t xml:space="preserve"> </w:t>
      </w:r>
      <w:r>
        <w:t>that,</w:t>
      </w:r>
      <w:r>
        <w:rPr>
          <w:spacing w:val="-2"/>
        </w:rPr>
        <w:t xml:space="preserve"> </w:t>
      </w:r>
      <w:r>
        <w:t>where</w:t>
      </w:r>
      <w:r>
        <w:rPr>
          <w:spacing w:val="-3"/>
        </w:rPr>
        <w:t xml:space="preserve"> </w:t>
      </w:r>
      <w:r>
        <w:t>metal</w:t>
      </w:r>
      <w:r>
        <w:rPr>
          <w:spacing w:val="-3"/>
        </w:rPr>
        <w:t xml:space="preserve"> </w:t>
      </w:r>
      <w:r>
        <w:t xml:space="preserve">objects that he </w:t>
      </w:r>
      <w:r>
        <w:rPr>
          <w:i/>
        </w:rPr>
        <w:t xml:space="preserve">has </w:t>
      </w:r>
      <w:r>
        <w:t xml:space="preserve">known of are concerned, a thing’s being heated provides some kind of basis for its expanding. Let’s also suppose that Smith holds (ii) that this principle </w:t>
      </w:r>
      <w:r>
        <w:rPr>
          <w:i/>
        </w:rPr>
        <w:t xml:space="preserve">won’t </w:t>
      </w:r>
      <w:r>
        <w:t xml:space="preserve">hold for metal objects that he </w:t>
      </w:r>
      <w:r>
        <w:rPr>
          <w:i/>
        </w:rPr>
        <w:t xml:space="preserve">will </w:t>
      </w:r>
      <w:r>
        <w:t>encounter (i.e., for metal objects that he hasn’t encountered but will and for those that he has already</w:t>
      </w:r>
      <w:r>
        <w:rPr>
          <w:spacing w:val="-4"/>
        </w:rPr>
        <w:t xml:space="preserve"> </w:t>
      </w:r>
      <w:r>
        <w:t>encountered</w:t>
      </w:r>
      <w:r>
        <w:rPr>
          <w:spacing w:val="-4"/>
        </w:rPr>
        <w:t xml:space="preserve"> </w:t>
      </w:r>
      <w:r>
        <w:t>and</w:t>
      </w:r>
      <w:r>
        <w:rPr>
          <w:spacing w:val="-4"/>
        </w:rPr>
        <w:t xml:space="preserve"> </w:t>
      </w:r>
      <w:r>
        <w:t>will</w:t>
      </w:r>
      <w:r>
        <w:rPr>
          <w:spacing w:val="-5"/>
        </w:rPr>
        <w:t xml:space="preserve"> </w:t>
      </w:r>
      <w:r>
        <w:t>encounter</w:t>
      </w:r>
      <w:r>
        <w:rPr>
          <w:spacing w:val="-5"/>
        </w:rPr>
        <w:t xml:space="preserve"> </w:t>
      </w:r>
      <w:r>
        <w:t>again).</w:t>
      </w:r>
      <w:r>
        <w:rPr>
          <w:spacing w:val="-4"/>
        </w:rPr>
        <w:t xml:space="preserve"> </w:t>
      </w:r>
      <w:r>
        <w:t>In</w:t>
      </w:r>
      <w:r>
        <w:rPr>
          <w:spacing w:val="-4"/>
        </w:rPr>
        <w:t xml:space="preserve"> </w:t>
      </w:r>
      <w:r>
        <w:t>holding</w:t>
      </w:r>
      <w:r>
        <w:rPr>
          <w:spacing w:val="-4"/>
        </w:rPr>
        <w:t xml:space="preserve"> </w:t>
      </w:r>
      <w:r>
        <w:t>(ii),</w:t>
      </w:r>
      <w:r>
        <w:rPr>
          <w:spacing w:val="-4"/>
        </w:rPr>
        <w:t xml:space="preserve"> </w:t>
      </w:r>
      <w:r>
        <w:t>he</w:t>
      </w:r>
      <w:r>
        <w:rPr>
          <w:spacing w:val="-5"/>
        </w:rPr>
        <w:t xml:space="preserve"> </w:t>
      </w:r>
      <w:r>
        <w:t>is</w:t>
      </w:r>
      <w:r>
        <w:rPr>
          <w:spacing w:val="-5"/>
        </w:rPr>
        <w:t xml:space="preserve"> </w:t>
      </w:r>
      <w:r>
        <w:rPr>
          <w:i/>
        </w:rPr>
        <w:t xml:space="preserve">ipso facto </w:t>
      </w:r>
      <w:r>
        <w:t>supposing that the laws of nature will abruptly change. And in positing this one change, he is positing innumerably many others, as we will now see.</w:t>
      </w:r>
    </w:p>
    <w:p w14:paraId="7E0019D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D4" w14:textId="77777777" w:rsidR="009A58DB" w:rsidRDefault="00000000">
      <w:pPr>
        <w:pStyle w:val="BodyText"/>
        <w:spacing w:before="65" w:line="249" w:lineRule="auto"/>
        <w:ind w:right="361" w:firstLine="360"/>
      </w:pPr>
      <w:r>
        <w:lastRenderedPageBreak/>
        <w:t>A metal object’s being heated involves innumerable microstructural changes, and so does its expanding. The macroscopic supervenes on the microscopic. Given two objects that are microstructurally alike—that consist of the same particles interrelated in the same way—there is no possibility, even a purely logical one, that those two objects should differ at the macroscopic level. By the same token, given two objects that differ at the macroscopic level, there is no possibility, even a purely logical one, that</w:t>
      </w:r>
      <w:r>
        <w:rPr>
          <w:spacing w:val="40"/>
        </w:rPr>
        <w:t xml:space="preserve"> </w:t>
      </w:r>
      <w:r>
        <w:t xml:space="preserve">those two objects should </w:t>
      </w:r>
      <w:r>
        <w:rPr>
          <w:i/>
        </w:rPr>
        <w:t xml:space="preserve">fail </w:t>
      </w:r>
      <w:r>
        <w:t>to be microstructurally different. A metal object’s being heated thus consists in its undergoing many microstructural changes, and so does its expanding. And if a metal object’s being heated causes it to expand, it is in virtue of the fact that the first set of microstructural disturbances result in, or are themselves constitutive of, the second set.</w:t>
      </w:r>
    </w:p>
    <w:p w14:paraId="7E0019D5" w14:textId="77777777" w:rsidR="009A58DB" w:rsidRDefault="00000000">
      <w:pPr>
        <w:pStyle w:val="BodyText"/>
        <w:spacing w:before="16" w:line="249" w:lineRule="auto"/>
        <w:ind w:right="358" w:firstLine="360"/>
      </w:pPr>
      <w:r>
        <w:t>So given a law—even one that was confined to objects that Smith has encountered—to the effect that metal expands when heated, in order for that law</w:t>
      </w:r>
      <w:r>
        <w:rPr>
          <w:spacing w:val="-2"/>
        </w:rPr>
        <w:t xml:space="preserve"> </w:t>
      </w:r>
      <w:r>
        <w:t>to</w:t>
      </w:r>
      <w:r>
        <w:rPr>
          <w:spacing w:val="-2"/>
        </w:rPr>
        <w:t xml:space="preserve"> </w:t>
      </w:r>
      <w:r>
        <w:t>be</w:t>
      </w:r>
      <w:r>
        <w:rPr>
          <w:spacing w:val="-2"/>
        </w:rPr>
        <w:t xml:space="preserve"> </w:t>
      </w:r>
      <w:r>
        <w:t>annulled,</w:t>
      </w:r>
      <w:r>
        <w:rPr>
          <w:spacing w:val="-2"/>
        </w:rPr>
        <w:t xml:space="preserve"> </w:t>
      </w:r>
      <w:r>
        <w:t>each</w:t>
      </w:r>
      <w:r>
        <w:rPr>
          <w:spacing w:val="-2"/>
        </w:rPr>
        <w:t xml:space="preserve"> </w:t>
      </w:r>
      <w:r>
        <w:t>of</w:t>
      </w:r>
      <w:r>
        <w:rPr>
          <w:spacing w:val="-2"/>
        </w:rPr>
        <w:t xml:space="preserve"> </w:t>
      </w:r>
      <w:r>
        <w:t>innumerably</w:t>
      </w:r>
      <w:r>
        <w:rPr>
          <w:spacing w:val="-2"/>
        </w:rPr>
        <w:t xml:space="preserve"> </w:t>
      </w:r>
      <w:r>
        <w:t>many</w:t>
      </w:r>
      <w:r>
        <w:rPr>
          <w:spacing w:val="-2"/>
        </w:rPr>
        <w:t xml:space="preserve"> </w:t>
      </w:r>
      <w:r>
        <w:t>microparticles</w:t>
      </w:r>
      <w:r>
        <w:rPr>
          <w:spacing w:val="-2"/>
        </w:rPr>
        <w:t xml:space="preserve"> </w:t>
      </w:r>
      <w:r>
        <w:t>would</w:t>
      </w:r>
      <w:r>
        <w:rPr>
          <w:spacing w:val="-2"/>
        </w:rPr>
        <w:t xml:space="preserve"> </w:t>
      </w:r>
      <w:r>
        <w:t>suddenly have to undergo quite dramatic changes. So in assuming that, all of a sudden, a law that once held ceases to do so—or, what is the same thing, in assuming that the future,</w:t>
      </w:r>
      <w:r>
        <w:rPr>
          <w:spacing w:val="33"/>
        </w:rPr>
        <w:t xml:space="preserve"> </w:t>
      </w:r>
      <w:r>
        <w:t>starting now, is</w:t>
      </w:r>
      <w:r>
        <w:rPr>
          <w:spacing w:val="33"/>
        </w:rPr>
        <w:t xml:space="preserve"> </w:t>
      </w:r>
      <w:r>
        <w:t>governed by different</w:t>
      </w:r>
      <w:r>
        <w:rPr>
          <w:spacing w:val="33"/>
        </w:rPr>
        <w:t xml:space="preserve"> </w:t>
      </w:r>
      <w:r>
        <w:t>laws from the</w:t>
      </w:r>
      <w:r>
        <w:rPr>
          <w:spacing w:val="33"/>
        </w:rPr>
        <w:t xml:space="preserve"> </w:t>
      </w:r>
      <w:r>
        <w:t xml:space="preserve">past—one is positing not </w:t>
      </w:r>
      <w:r>
        <w:rPr>
          <w:i/>
        </w:rPr>
        <w:t xml:space="preserve">one </w:t>
      </w:r>
      <w:r>
        <w:t>change, but innumerably many. For, in making that assumption, one is (implicitly) supposing that each of the innumerably many microparticles will, all of a sudden, stop being governed by one set of laws and will start being governed by another. And one is thus creating what, for practical purposes, might as well be infinitely many unexplained explainers.</w:t>
      </w:r>
    </w:p>
    <w:p w14:paraId="7E0019D6" w14:textId="77777777" w:rsidR="009A58DB" w:rsidRDefault="00000000">
      <w:pPr>
        <w:pStyle w:val="BodyText"/>
        <w:spacing w:before="13" w:line="249" w:lineRule="auto"/>
        <w:ind w:right="358" w:firstLine="360"/>
      </w:pPr>
      <w:r>
        <w:t>But not a single one of these unexplained explainers is created by the hypothesis that metal objects that we will encounter are governed by the</w:t>
      </w:r>
      <w:r>
        <w:rPr>
          <w:spacing w:val="40"/>
        </w:rPr>
        <w:t xml:space="preserve"> </w:t>
      </w:r>
      <w:r>
        <w:t>same laws as those we have encountered. So given the truism that one explanation is better than another if, other things being equal, the first creates fewer unexplained explainers than the second, it follows that the rational move, at least until further evidence comes in, is to suppose that those microparticles will continue to be governed by the same laws that used to govern them.</w:t>
      </w:r>
    </w:p>
    <w:p w14:paraId="7E0019D7" w14:textId="77777777" w:rsidR="009A58DB" w:rsidRDefault="00000000">
      <w:pPr>
        <w:pStyle w:val="BodyText"/>
        <w:spacing w:before="10" w:line="249" w:lineRule="auto"/>
        <w:ind w:right="362" w:firstLine="360"/>
      </w:pPr>
      <w:r>
        <w:t>According to what is now the conventional wisdom, which coincides with the viewpoint that Hume bequeathed to us, the conservative move is the agnostic one: stick to the evidence; generalize as little as possible; don’t assume</w:t>
      </w:r>
      <w:r>
        <w:rPr>
          <w:spacing w:val="18"/>
        </w:rPr>
        <w:t xml:space="preserve"> </w:t>
      </w:r>
      <w:r>
        <w:t>that</w:t>
      </w:r>
      <w:r>
        <w:rPr>
          <w:spacing w:val="18"/>
        </w:rPr>
        <w:t xml:space="preserve"> </w:t>
      </w:r>
      <w:r>
        <w:t>what</w:t>
      </w:r>
      <w:r>
        <w:rPr>
          <w:spacing w:val="19"/>
        </w:rPr>
        <w:t xml:space="preserve"> </w:t>
      </w:r>
      <w:r>
        <w:t>you</w:t>
      </w:r>
      <w:r>
        <w:rPr>
          <w:spacing w:val="18"/>
        </w:rPr>
        <w:t xml:space="preserve"> </w:t>
      </w:r>
      <w:r>
        <w:t>don’t</w:t>
      </w:r>
      <w:r>
        <w:rPr>
          <w:spacing w:val="18"/>
        </w:rPr>
        <w:t xml:space="preserve"> </w:t>
      </w:r>
      <w:r>
        <w:t>know</w:t>
      </w:r>
      <w:r>
        <w:rPr>
          <w:spacing w:val="19"/>
        </w:rPr>
        <w:t xml:space="preserve"> </w:t>
      </w:r>
      <w:r>
        <w:t>resembles</w:t>
      </w:r>
      <w:r>
        <w:rPr>
          <w:spacing w:val="18"/>
        </w:rPr>
        <w:t xml:space="preserve"> </w:t>
      </w:r>
      <w:r>
        <w:t>what</w:t>
      </w:r>
      <w:r>
        <w:rPr>
          <w:spacing w:val="19"/>
        </w:rPr>
        <w:t xml:space="preserve"> </w:t>
      </w:r>
      <w:r>
        <w:t>you</w:t>
      </w:r>
      <w:r>
        <w:rPr>
          <w:spacing w:val="18"/>
        </w:rPr>
        <w:t xml:space="preserve"> </w:t>
      </w:r>
      <w:r>
        <w:t>do</w:t>
      </w:r>
      <w:r>
        <w:rPr>
          <w:spacing w:val="18"/>
        </w:rPr>
        <w:t xml:space="preserve"> </w:t>
      </w:r>
      <w:r>
        <w:t>know.</w:t>
      </w:r>
      <w:r>
        <w:rPr>
          <w:spacing w:val="19"/>
        </w:rPr>
        <w:t xml:space="preserve"> </w:t>
      </w:r>
      <w:r>
        <w:t>But</w:t>
      </w:r>
      <w:r>
        <w:rPr>
          <w:spacing w:val="18"/>
        </w:rPr>
        <w:t xml:space="preserve"> </w:t>
      </w:r>
      <w:r>
        <w:t>the</w:t>
      </w:r>
      <w:r>
        <w:rPr>
          <w:spacing w:val="19"/>
        </w:rPr>
        <w:t xml:space="preserve"> </w:t>
      </w:r>
      <w:r>
        <w:rPr>
          <w:spacing w:val="-5"/>
        </w:rPr>
        <w:t>so-</w:t>
      </w:r>
    </w:p>
    <w:p w14:paraId="7E0019D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D9" w14:textId="77777777" w:rsidR="009A58DB" w:rsidRDefault="00000000">
      <w:pPr>
        <w:pStyle w:val="BodyText"/>
        <w:spacing w:before="65" w:line="249" w:lineRule="auto"/>
        <w:ind w:right="357"/>
      </w:pPr>
      <w:r>
        <w:lastRenderedPageBreak/>
        <w:t xml:space="preserve">called conservative view is really </w:t>
      </w:r>
      <w:r>
        <w:rPr>
          <w:i/>
        </w:rPr>
        <w:t xml:space="preserve">less </w:t>
      </w:r>
      <w:r>
        <w:t xml:space="preserve">conservative than the alternative. (The alternative is: “assume that what you don’t know </w:t>
      </w:r>
      <w:r>
        <w:rPr>
          <w:i/>
        </w:rPr>
        <w:t>does</w:t>
      </w:r>
      <w:r>
        <w:rPr>
          <w:i/>
          <w:spacing w:val="-2"/>
        </w:rPr>
        <w:t xml:space="preserve"> </w:t>
      </w:r>
      <w:r>
        <w:t>resemble what you do know.”) The so-called conservative view posits giant schisms in the natural order and, therewith, masses of unexplained explainers. The alternative view does not.</w:t>
      </w:r>
    </w:p>
    <w:p w14:paraId="7E0019DA" w14:textId="77777777" w:rsidR="009A58DB" w:rsidRDefault="00000000">
      <w:pPr>
        <w:pStyle w:val="Heading1"/>
        <w:numPr>
          <w:ilvl w:val="0"/>
          <w:numId w:val="117"/>
        </w:numPr>
        <w:tabs>
          <w:tab w:val="left" w:pos="990"/>
        </w:tabs>
        <w:spacing w:before="194"/>
      </w:pPr>
      <w:r>
        <w:t>Closing</w:t>
      </w:r>
      <w:r>
        <w:rPr>
          <w:spacing w:val="-4"/>
        </w:rPr>
        <w:t xml:space="preserve"> </w:t>
      </w:r>
      <w:r>
        <w:t>the</w:t>
      </w:r>
      <w:r>
        <w:rPr>
          <w:spacing w:val="-4"/>
        </w:rPr>
        <w:t xml:space="preserve"> </w:t>
      </w:r>
      <w:r>
        <w:rPr>
          <w:spacing w:val="-2"/>
        </w:rPr>
        <w:t>argument</w:t>
      </w:r>
    </w:p>
    <w:p w14:paraId="7E0019DB" w14:textId="77777777" w:rsidR="009A58DB" w:rsidRDefault="00000000">
      <w:pPr>
        <w:pStyle w:val="BodyText"/>
        <w:spacing w:before="139"/>
      </w:pPr>
      <w:r>
        <w:t>We</w:t>
      </w:r>
      <w:r>
        <w:rPr>
          <w:spacing w:val="-6"/>
        </w:rPr>
        <w:t xml:space="preserve"> </w:t>
      </w:r>
      <w:r>
        <w:t>can</w:t>
      </w:r>
      <w:r>
        <w:rPr>
          <w:spacing w:val="-3"/>
        </w:rPr>
        <w:t xml:space="preserve"> </w:t>
      </w:r>
      <w:r>
        <w:t>now</w:t>
      </w:r>
      <w:r>
        <w:rPr>
          <w:spacing w:val="-3"/>
        </w:rPr>
        <w:t xml:space="preserve"> </w:t>
      </w:r>
      <w:r>
        <w:t>succinctly</w:t>
      </w:r>
      <w:r>
        <w:rPr>
          <w:spacing w:val="-3"/>
        </w:rPr>
        <w:t xml:space="preserve"> </w:t>
      </w:r>
      <w:r>
        <w:t>say</w:t>
      </w:r>
      <w:r>
        <w:rPr>
          <w:spacing w:val="-3"/>
        </w:rPr>
        <w:t xml:space="preserve"> </w:t>
      </w:r>
      <w:r>
        <w:t>why</w:t>
      </w:r>
      <w:r>
        <w:rPr>
          <w:spacing w:val="-2"/>
        </w:rPr>
        <w:t xml:space="preserve"> </w:t>
      </w:r>
      <w:r>
        <w:t>Hume’s</w:t>
      </w:r>
      <w:r>
        <w:rPr>
          <w:spacing w:val="-4"/>
        </w:rPr>
        <w:t xml:space="preserve"> </w:t>
      </w:r>
      <w:r>
        <w:t>argument</w:t>
      </w:r>
      <w:r>
        <w:rPr>
          <w:spacing w:val="-3"/>
        </w:rPr>
        <w:t xml:space="preserve"> </w:t>
      </w:r>
      <w:r>
        <w:rPr>
          <w:spacing w:val="-2"/>
        </w:rPr>
        <w:t>fails.</w:t>
      </w:r>
    </w:p>
    <w:p w14:paraId="7E0019DC" w14:textId="77777777" w:rsidR="009A58DB" w:rsidRDefault="00000000">
      <w:pPr>
        <w:pStyle w:val="BodyText"/>
        <w:spacing w:before="15" w:line="249" w:lineRule="auto"/>
        <w:ind w:right="359" w:firstLine="360"/>
      </w:pPr>
      <w:r>
        <w:t xml:space="preserve">Step 1: It’s an </w:t>
      </w:r>
      <w:r>
        <w:rPr>
          <w:i/>
        </w:rPr>
        <w:t xml:space="preserve">analytic </w:t>
      </w:r>
      <w:r>
        <w:t xml:space="preserve">truth that </w:t>
      </w:r>
      <w:r>
        <w:rPr>
          <w:i/>
        </w:rPr>
        <w:t xml:space="preserve">ceteris paribus </w:t>
      </w:r>
      <w:r>
        <w:t>the better explanation is the one that creates fewer unexplained explainers. Let’s refer to this principle as “MC” (short for “minimization of causal anomalies”). Whereas UP, if it can be known at all, can be known only on inductive grounds, MC is analytic and, unlike UP, is therefore not to be known on empirical or, consequently, inductive</w:t>
      </w:r>
      <w:r>
        <w:rPr>
          <w:spacing w:val="-2"/>
        </w:rPr>
        <w:t xml:space="preserve"> </w:t>
      </w:r>
      <w:r>
        <w:t>grounds.</w:t>
      </w:r>
      <w:r>
        <w:rPr>
          <w:spacing w:val="-2"/>
        </w:rPr>
        <w:t xml:space="preserve"> </w:t>
      </w:r>
      <w:r>
        <w:t>Thus,</w:t>
      </w:r>
      <w:r>
        <w:rPr>
          <w:spacing w:val="-2"/>
        </w:rPr>
        <w:t xml:space="preserve"> </w:t>
      </w:r>
      <w:r>
        <w:t>MC,</w:t>
      </w:r>
      <w:r>
        <w:rPr>
          <w:spacing w:val="-2"/>
        </w:rPr>
        <w:t xml:space="preserve"> </w:t>
      </w:r>
      <w:r>
        <w:t>unlike</w:t>
      </w:r>
      <w:r>
        <w:rPr>
          <w:spacing w:val="-2"/>
        </w:rPr>
        <w:t xml:space="preserve"> </w:t>
      </w:r>
      <w:r>
        <w:t>UP,</w:t>
      </w:r>
      <w:r>
        <w:rPr>
          <w:spacing w:val="-2"/>
        </w:rPr>
        <w:t xml:space="preserve"> </w:t>
      </w:r>
      <w:r>
        <w:t>can</w:t>
      </w:r>
      <w:r>
        <w:rPr>
          <w:spacing w:val="-2"/>
        </w:rPr>
        <w:t xml:space="preserve"> </w:t>
      </w:r>
      <w:r>
        <w:t>be</w:t>
      </w:r>
      <w:r>
        <w:rPr>
          <w:spacing w:val="-2"/>
        </w:rPr>
        <w:t xml:space="preserve"> </w:t>
      </w:r>
      <w:r>
        <w:t>noncircularly</w:t>
      </w:r>
      <w:r>
        <w:rPr>
          <w:spacing w:val="-2"/>
        </w:rPr>
        <w:t xml:space="preserve"> </w:t>
      </w:r>
      <w:r>
        <w:t>assumed</w:t>
      </w:r>
      <w:r>
        <w:rPr>
          <w:spacing w:val="-2"/>
        </w:rPr>
        <w:t xml:space="preserve"> </w:t>
      </w:r>
      <w:r>
        <w:t>in</w:t>
      </w:r>
      <w:r>
        <w:rPr>
          <w:spacing w:val="-2"/>
        </w:rPr>
        <w:t xml:space="preserve"> </w:t>
      </w:r>
      <w:r>
        <w:t>the context of a defense of inductive inference.</w:t>
      </w:r>
    </w:p>
    <w:p w14:paraId="7E0019DD" w14:textId="77777777" w:rsidR="009A58DB" w:rsidRDefault="00000000">
      <w:pPr>
        <w:pStyle w:val="BodyText"/>
        <w:spacing w:before="8" w:line="249" w:lineRule="auto"/>
        <w:ind w:right="358" w:firstLine="360"/>
      </w:pPr>
      <w:r>
        <w:t xml:space="preserve">Step 2: It’s a datum that various concomitances are to be found </w:t>
      </w:r>
      <w:r>
        <w:rPr>
          <w:i/>
        </w:rPr>
        <w:t xml:space="preserve">among the objects known to one. </w:t>
      </w:r>
      <w:r>
        <w:t xml:space="preserve">It’s a datum that, so far as the object’s known to (say) </w:t>
      </w:r>
      <w:r>
        <w:rPr>
          <w:i/>
        </w:rPr>
        <w:t xml:space="preserve">Smith </w:t>
      </w:r>
      <w:r>
        <w:t>are concerned, putting a hand in boiling water causes intense pain, whereas putting that same hand in cool water causes intense relief.</w:t>
      </w:r>
    </w:p>
    <w:p w14:paraId="7E0019DE" w14:textId="77777777" w:rsidR="009A58DB" w:rsidRDefault="00000000">
      <w:pPr>
        <w:pStyle w:val="BodyText"/>
        <w:spacing w:before="5" w:line="249" w:lineRule="auto"/>
        <w:ind w:right="361" w:firstLine="360"/>
      </w:pPr>
      <w:r>
        <w:t>Step 3: One creates more unexplained explainers by assuming that the unknown differs from the known than by assuming that it does not.</w:t>
      </w:r>
    </w:p>
    <w:p w14:paraId="7E0019DF" w14:textId="77777777" w:rsidR="009A58DB" w:rsidRDefault="00000000">
      <w:pPr>
        <w:pStyle w:val="BodyText"/>
        <w:spacing w:before="3" w:line="249" w:lineRule="auto"/>
        <w:ind w:right="358" w:firstLine="360"/>
      </w:pPr>
      <w:r>
        <w:t xml:space="preserve">Step 4: If one remains agnostic—if one refuses to say, one way or the other, whether the unknown resembles the known—one is committed to the incoherent position that there’s no reason to prefer a hypothesis that creates few unexplained explainers to an otherwise comparable one that creates many. (The reason this view is incoherent is that for one explanation to be preferable to another just </w:t>
      </w:r>
      <w:r>
        <w:rPr>
          <w:i/>
        </w:rPr>
        <w:t xml:space="preserve">is </w:t>
      </w:r>
      <w:r>
        <w:t>for it to do more in the way of explaining, and thus less in the way of creating unexplained explainers, than the other.)</w:t>
      </w:r>
    </w:p>
    <w:p w14:paraId="7E0019E0" w14:textId="77777777" w:rsidR="009A58DB" w:rsidRDefault="00000000">
      <w:pPr>
        <w:pStyle w:val="BodyText"/>
        <w:spacing w:before="8" w:line="249" w:lineRule="auto"/>
        <w:ind w:right="366" w:firstLine="360"/>
      </w:pPr>
      <w:r>
        <w:t xml:space="preserve">Step 5: Given MC, and given Steps 1–4, it follows that there is an analytic and therefore </w:t>
      </w:r>
      <w:r>
        <w:rPr>
          <w:i/>
        </w:rPr>
        <w:t>non</w:t>
      </w:r>
      <w:r>
        <w:t>-inductive reason to hold that, other things being equal, the unknown resembles the known.</w:t>
      </w:r>
    </w:p>
    <w:p w14:paraId="7E0019E1" w14:textId="77777777" w:rsidR="009A58DB" w:rsidRDefault="00000000">
      <w:pPr>
        <w:pStyle w:val="BodyText"/>
        <w:spacing w:before="4" w:line="249" w:lineRule="auto"/>
        <w:ind w:right="359" w:firstLine="360"/>
      </w:pPr>
      <w:r>
        <w:t>Conclusion: Hume is wrong; Hume’s argument fails. This is a direct consequence</w:t>
      </w:r>
      <w:r>
        <w:rPr>
          <w:spacing w:val="-4"/>
        </w:rPr>
        <w:t xml:space="preserve"> </w:t>
      </w:r>
      <w:r>
        <w:t>of</w:t>
      </w:r>
      <w:r>
        <w:rPr>
          <w:spacing w:val="-4"/>
        </w:rPr>
        <w:t xml:space="preserve"> </w:t>
      </w:r>
      <w:r>
        <w:t>Step</w:t>
      </w:r>
      <w:r>
        <w:rPr>
          <w:spacing w:val="-3"/>
        </w:rPr>
        <w:t xml:space="preserve"> </w:t>
      </w:r>
      <w:r>
        <w:t>5.</w:t>
      </w:r>
      <w:r>
        <w:rPr>
          <w:spacing w:val="-3"/>
        </w:rPr>
        <w:t xml:space="preserve"> </w:t>
      </w:r>
      <w:r>
        <w:t>Given</w:t>
      </w:r>
      <w:r>
        <w:rPr>
          <w:spacing w:val="-3"/>
        </w:rPr>
        <w:t xml:space="preserve"> </w:t>
      </w:r>
      <w:r>
        <w:t>the</w:t>
      </w:r>
      <w:r>
        <w:rPr>
          <w:spacing w:val="-4"/>
        </w:rPr>
        <w:t xml:space="preserve"> </w:t>
      </w:r>
      <w:r>
        <w:t>legitimacy</w:t>
      </w:r>
      <w:r>
        <w:rPr>
          <w:spacing w:val="-3"/>
        </w:rPr>
        <w:t xml:space="preserve"> </w:t>
      </w:r>
      <w:r>
        <w:t>of</w:t>
      </w:r>
      <w:r>
        <w:rPr>
          <w:spacing w:val="-4"/>
        </w:rPr>
        <w:t xml:space="preserve"> </w:t>
      </w:r>
      <w:r>
        <w:t>MC,</w:t>
      </w:r>
      <w:r>
        <w:rPr>
          <w:spacing w:val="-3"/>
        </w:rPr>
        <w:t xml:space="preserve"> </w:t>
      </w:r>
      <w:r>
        <w:t>it’s</w:t>
      </w:r>
      <w:r>
        <w:rPr>
          <w:spacing w:val="-4"/>
        </w:rPr>
        <w:t xml:space="preserve"> </w:t>
      </w:r>
      <w:r>
        <w:t>obvious</w:t>
      </w:r>
      <w:r>
        <w:rPr>
          <w:spacing w:val="-4"/>
        </w:rPr>
        <w:t xml:space="preserve"> </w:t>
      </w:r>
      <w:r>
        <w:t>why,</w:t>
      </w:r>
      <w:r>
        <w:rPr>
          <w:spacing w:val="-3"/>
        </w:rPr>
        <w:t xml:space="preserve"> </w:t>
      </w:r>
      <w:r>
        <w:t>though it may initially appear cautious and conservative, skepticism about the external</w:t>
      </w:r>
      <w:r>
        <w:rPr>
          <w:spacing w:val="80"/>
        </w:rPr>
        <w:t xml:space="preserve"> </w:t>
      </w:r>
      <w:r>
        <w:t>world</w:t>
      </w:r>
      <w:r>
        <w:rPr>
          <w:spacing w:val="80"/>
        </w:rPr>
        <w:t xml:space="preserve"> </w:t>
      </w:r>
      <w:r>
        <w:t>is</w:t>
      </w:r>
      <w:r>
        <w:rPr>
          <w:spacing w:val="80"/>
        </w:rPr>
        <w:t xml:space="preserve"> </w:t>
      </w:r>
      <w:r>
        <w:t>actually</w:t>
      </w:r>
      <w:r>
        <w:rPr>
          <w:spacing w:val="80"/>
        </w:rPr>
        <w:t xml:space="preserve"> </w:t>
      </w:r>
      <w:r>
        <w:t>an</w:t>
      </w:r>
      <w:r>
        <w:rPr>
          <w:spacing w:val="80"/>
        </w:rPr>
        <w:t xml:space="preserve"> </w:t>
      </w:r>
      <w:r>
        <w:t>extravagant</w:t>
      </w:r>
      <w:r>
        <w:rPr>
          <w:spacing w:val="80"/>
        </w:rPr>
        <w:t xml:space="preserve"> </w:t>
      </w:r>
      <w:r>
        <w:t>and</w:t>
      </w:r>
      <w:r>
        <w:rPr>
          <w:spacing w:val="80"/>
        </w:rPr>
        <w:t xml:space="preserve"> </w:t>
      </w:r>
      <w:r>
        <w:t>irrational</w:t>
      </w:r>
      <w:r>
        <w:rPr>
          <w:spacing w:val="80"/>
        </w:rPr>
        <w:t xml:space="preserve"> </w:t>
      </w:r>
      <w:r>
        <w:t>position.</w:t>
      </w:r>
      <w:r>
        <w:rPr>
          <w:spacing w:val="80"/>
        </w:rPr>
        <w:t xml:space="preserve"> </w:t>
      </w:r>
      <w:r>
        <w:t>One’s</w:t>
      </w:r>
    </w:p>
    <w:p w14:paraId="7E0019E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E3" w14:textId="77777777" w:rsidR="009A58DB" w:rsidRDefault="00000000">
      <w:pPr>
        <w:pStyle w:val="BodyText"/>
        <w:spacing w:before="60" w:line="249" w:lineRule="auto"/>
        <w:ind w:right="358"/>
      </w:pPr>
      <w:r>
        <w:lastRenderedPageBreak/>
        <w:t xml:space="preserve">sensory experience is replete with discontinuities. Every time you open your eyes or turn your head, you are flooded with sensory experiences that are totally unlike those that you were experiencing a moment earlier. According to the non-skeptic, these new experiences don’t come into existence </w:t>
      </w:r>
      <w:r>
        <w:rPr>
          <w:i/>
        </w:rPr>
        <w:t>ex</w:t>
      </w:r>
      <w:r>
        <w:rPr>
          <w:i/>
          <w:spacing w:val="40"/>
        </w:rPr>
        <w:t xml:space="preserve"> </w:t>
      </w:r>
      <w:r>
        <w:rPr>
          <w:i/>
        </w:rPr>
        <w:t xml:space="preserve">nihilo; </w:t>
      </w:r>
      <w:r>
        <w:t>they are merely links in chains of events whose other links you don’t perceive. The skeptic says that it’s no more rational to believe this about our sensory experiences than it is to believe that those experiences come into existence</w:t>
      </w:r>
      <w:r>
        <w:rPr>
          <w:spacing w:val="-2"/>
        </w:rPr>
        <w:t xml:space="preserve"> </w:t>
      </w:r>
      <w:r>
        <w:rPr>
          <w:i/>
        </w:rPr>
        <w:t>ex</w:t>
      </w:r>
      <w:r>
        <w:rPr>
          <w:i/>
          <w:spacing w:val="-3"/>
        </w:rPr>
        <w:t xml:space="preserve"> </w:t>
      </w:r>
      <w:r>
        <w:rPr>
          <w:i/>
        </w:rPr>
        <w:t>nihilo.</w:t>
      </w:r>
      <w:r>
        <w:rPr>
          <w:i/>
          <w:spacing w:val="-2"/>
        </w:rPr>
        <w:t xml:space="preserve"> </w:t>
      </w:r>
      <w:r>
        <w:t>In saying this, the skeptic is saying, in effect, that it’s just as rational to accept a theory that creates more anomalies than it gets rid of than it is to accept an otherwise comparable theory that gets rid of more anomalies</w:t>
      </w:r>
      <w:r>
        <w:rPr>
          <w:spacing w:val="-5"/>
        </w:rPr>
        <w:t xml:space="preserve"> </w:t>
      </w:r>
      <w:r>
        <w:t>than</w:t>
      </w:r>
      <w:r>
        <w:rPr>
          <w:spacing w:val="-4"/>
        </w:rPr>
        <w:t xml:space="preserve"> </w:t>
      </w:r>
      <w:r>
        <w:t>it</w:t>
      </w:r>
      <w:r>
        <w:rPr>
          <w:spacing w:val="-5"/>
        </w:rPr>
        <w:t xml:space="preserve"> </w:t>
      </w:r>
      <w:r>
        <w:t>creates.</w:t>
      </w:r>
      <w:r>
        <w:rPr>
          <w:spacing w:val="-4"/>
        </w:rPr>
        <w:t xml:space="preserve"> </w:t>
      </w:r>
      <w:r>
        <w:t>Since</w:t>
      </w:r>
      <w:r>
        <w:rPr>
          <w:spacing w:val="-5"/>
        </w:rPr>
        <w:t xml:space="preserve"> </w:t>
      </w:r>
      <w:r>
        <w:t>it’s</w:t>
      </w:r>
      <w:r>
        <w:rPr>
          <w:spacing w:val="-5"/>
        </w:rPr>
        <w:t xml:space="preserve"> </w:t>
      </w:r>
      <w:r>
        <w:t>an</w:t>
      </w:r>
      <w:r>
        <w:rPr>
          <w:spacing w:val="-4"/>
        </w:rPr>
        <w:t xml:space="preserve"> </w:t>
      </w:r>
      <w:r>
        <w:t>analytic</w:t>
      </w:r>
      <w:r>
        <w:rPr>
          <w:spacing w:val="-5"/>
        </w:rPr>
        <w:t xml:space="preserve"> </w:t>
      </w:r>
      <w:r>
        <w:t>truth</w:t>
      </w:r>
      <w:r>
        <w:rPr>
          <w:spacing w:val="-4"/>
        </w:rPr>
        <w:t xml:space="preserve"> </w:t>
      </w:r>
      <w:r>
        <w:t>that,</w:t>
      </w:r>
      <w:r>
        <w:rPr>
          <w:spacing w:val="-4"/>
        </w:rPr>
        <w:t xml:space="preserve"> </w:t>
      </w:r>
      <w:r>
        <w:t>given</w:t>
      </w:r>
      <w:r>
        <w:rPr>
          <w:spacing w:val="-4"/>
        </w:rPr>
        <w:t xml:space="preserve"> </w:t>
      </w:r>
      <w:r>
        <w:t>two</w:t>
      </w:r>
      <w:r>
        <w:rPr>
          <w:spacing w:val="-4"/>
        </w:rPr>
        <w:t xml:space="preserve"> </w:t>
      </w:r>
      <w:r>
        <w:t xml:space="preserve">otherwise comparable theories, the one that leaves us with fewer anomalies is the one that ought to be preferred, it follows that the skeptic’s position is analytically false. Of course, it isn’t analytic that our sensory experiences are correct. But it </w:t>
      </w:r>
      <w:r>
        <w:rPr>
          <w:i/>
        </w:rPr>
        <w:t xml:space="preserve">is </w:t>
      </w:r>
      <w:r>
        <w:t xml:space="preserve">analytic that it’s rational to suppose our sensory experiences veridical </w:t>
      </w:r>
      <w:r>
        <w:rPr>
          <w:i/>
        </w:rPr>
        <w:t xml:space="preserve">to the extent that doing so </w:t>
      </w:r>
      <w:r>
        <w:t>leaves us with fewer causal anomalies than we’re otherwise</w:t>
      </w:r>
      <w:r>
        <w:rPr>
          <w:spacing w:val="-3"/>
        </w:rPr>
        <w:t xml:space="preserve"> </w:t>
      </w:r>
      <w:r>
        <w:t>left</w:t>
      </w:r>
      <w:r>
        <w:rPr>
          <w:spacing w:val="-3"/>
        </w:rPr>
        <w:t xml:space="preserve"> </w:t>
      </w:r>
      <w:r>
        <w:t>with.</w:t>
      </w:r>
      <w:r>
        <w:rPr>
          <w:spacing w:val="-3"/>
        </w:rPr>
        <w:t xml:space="preserve"> </w:t>
      </w:r>
      <w:r>
        <w:t>The</w:t>
      </w:r>
      <w:r>
        <w:rPr>
          <w:spacing w:val="-3"/>
        </w:rPr>
        <w:t xml:space="preserve"> </w:t>
      </w:r>
      <w:r>
        <w:t>skeptic’s</w:t>
      </w:r>
      <w:r>
        <w:rPr>
          <w:spacing w:val="-3"/>
        </w:rPr>
        <w:t xml:space="preserve"> </w:t>
      </w:r>
      <w:r>
        <w:t>denial</w:t>
      </w:r>
      <w:r>
        <w:rPr>
          <w:spacing w:val="-3"/>
        </w:rPr>
        <w:t xml:space="preserve"> </w:t>
      </w:r>
      <w:r>
        <w:t>of</w:t>
      </w:r>
      <w:r>
        <w:rPr>
          <w:spacing w:val="-3"/>
        </w:rPr>
        <w:t xml:space="preserve"> </w:t>
      </w:r>
      <w:r>
        <w:t>this</w:t>
      </w:r>
      <w:r>
        <w:rPr>
          <w:spacing w:val="-3"/>
        </w:rPr>
        <w:t xml:space="preserve"> </w:t>
      </w:r>
      <w:r>
        <w:t>embodies</w:t>
      </w:r>
      <w:r>
        <w:rPr>
          <w:spacing w:val="-3"/>
        </w:rPr>
        <w:t xml:space="preserve"> </w:t>
      </w:r>
      <w:r>
        <w:t>an</w:t>
      </w:r>
      <w:r>
        <w:rPr>
          <w:spacing w:val="-3"/>
        </w:rPr>
        <w:t xml:space="preserve"> </w:t>
      </w:r>
      <w:r>
        <w:t>analytically</w:t>
      </w:r>
      <w:r>
        <w:rPr>
          <w:spacing w:val="-3"/>
        </w:rPr>
        <w:t xml:space="preserve"> </w:t>
      </w:r>
      <w:r>
        <w:t>false conception of explanation.</w:t>
      </w:r>
    </w:p>
    <w:p w14:paraId="7E0019E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E5" w14:textId="77777777" w:rsidR="009A58DB" w:rsidRDefault="009A58DB">
      <w:pPr>
        <w:pStyle w:val="BodyText"/>
        <w:spacing w:before="4"/>
        <w:ind w:left="0"/>
        <w:jc w:val="left"/>
        <w:rPr>
          <w:sz w:val="17"/>
        </w:rPr>
      </w:pPr>
    </w:p>
    <w:p w14:paraId="7E0019E6"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19E7" w14:textId="77777777" w:rsidR="009A58DB" w:rsidRDefault="00000000">
      <w:pPr>
        <w:spacing w:line="503" w:lineRule="exact"/>
        <w:ind w:left="326" w:right="332"/>
        <w:jc w:val="center"/>
        <w:rPr>
          <w:rFonts w:ascii="Calibri Light"/>
          <w:sz w:val="42"/>
        </w:rPr>
      </w:pPr>
      <w:bookmarkStart w:id="343" w:name="_bookmark343"/>
      <w:bookmarkEnd w:id="343"/>
      <w:r>
        <w:rPr>
          <w:rFonts w:ascii="Calibri Light"/>
          <w:sz w:val="42"/>
        </w:rPr>
        <w:lastRenderedPageBreak/>
        <w:t>Chapter</w:t>
      </w:r>
      <w:r>
        <w:rPr>
          <w:rFonts w:ascii="Calibri Light"/>
          <w:spacing w:val="56"/>
          <w:sz w:val="42"/>
        </w:rPr>
        <w:t xml:space="preserve"> </w:t>
      </w:r>
      <w:r>
        <w:rPr>
          <w:rFonts w:ascii="Calibri Light"/>
          <w:spacing w:val="-5"/>
          <w:sz w:val="42"/>
        </w:rPr>
        <w:t>13</w:t>
      </w:r>
    </w:p>
    <w:p w14:paraId="7E0019E8" w14:textId="77777777" w:rsidR="009A58DB" w:rsidRDefault="00000000">
      <w:pPr>
        <w:spacing w:before="222"/>
        <w:ind w:left="326" w:right="332"/>
        <w:jc w:val="center"/>
        <w:rPr>
          <w:rFonts w:ascii="Calibri Light"/>
          <w:sz w:val="42"/>
        </w:rPr>
      </w:pPr>
      <w:bookmarkStart w:id="344" w:name="_bookmark344"/>
      <w:bookmarkEnd w:id="344"/>
      <w:r>
        <w:rPr>
          <w:rFonts w:ascii="Calibri Light"/>
          <w:sz w:val="42"/>
        </w:rPr>
        <w:t>Empiricism</w:t>
      </w:r>
      <w:r>
        <w:rPr>
          <w:rFonts w:ascii="Calibri Light"/>
          <w:spacing w:val="42"/>
          <w:sz w:val="42"/>
        </w:rPr>
        <w:t xml:space="preserve"> </w:t>
      </w:r>
      <w:r>
        <w:rPr>
          <w:rFonts w:ascii="Calibri Light"/>
          <w:sz w:val="42"/>
        </w:rPr>
        <w:t>and</w:t>
      </w:r>
      <w:r>
        <w:rPr>
          <w:rFonts w:ascii="Calibri Light"/>
          <w:spacing w:val="43"/>
          <w:sz w:val="42"/>
        </w:rPr>
        <w:t xml:space="preserve"> </w:t>
      </w:r>
      <w:r>
        <w:rPr>
          <w:rFonts w:ascii="Calibri Light"/>
          <w:sz w:val="42"/>
        </w:rPr>
        <w:t>Its</w:t>
      </w:r>
      <w:r>
        <w:rPr>
          <w:rFonts w:ascii="Calibri Light"/>
          <w:spacing w:val="43"/>
          <w:sz w:val="42"/>
        </w:rPr>
        <w:t xml:space="preserve"> </w:t>
      </w:r>
      <w:r>
        <w:rPr>
          <w:rFonts w:ascii="Calibri Light"/>
          <w:spacing w:val="-2"/>
          <w:sz w:val="42"/>
        </w:rPr>
        <w:t>Limits</w:t>
      </w:r>
    </w:p>
    <w:p w14:paraId="7E0019E9" w14:textId="77777777" w:rsidR="009A58DB" w:rsidRDefault="00000000">
      <w:pPr>
        <w:pStyle w:val="Heading1"/>
        <w:numPr>
          <w:ilvl w:val="0"/>
          <w:numId w:val="115"/>
        </w:numPr>
        <w:tabs>
          <w:tab w:val="left" w:pos="990"/>
        </w:tabs>
        <w:spacing w:before="185"/>
      </w:pPr>
      <w:r>
        <w:t>Empiricism</w:t>
      </w:r>
      <w:r>
        <w:rPr>
          <w:spacing w:val="-6"/>
        </w:rPr>
        <w:t xml:space="preserve"> </w:t>
      </w:r>
      <w:r>
        <w:t>vs.</w:t>
      </w:r>
      <w:r>
        <w:rPr>
          <w:spacing w:val="-5"/>
        </w:rPr>
        <w:t xml:space="preserve"> </w:t>
      </w:r>
      <w:r>
        <w:rPr>
          <w:spacing w:val="-2"/>
        </w:rPr>
        <w:t>rationalism</w:t>
      </w:r>
    </w:p>
    <w:p w14:paraId="7E0019EA" w14:textId="77777777" w:rsidR="009A58DB" w:rsidRDefault="00000000">
      <w:pPr>
        <w:pStyle w:val="BodyText"/>
        <w:spacing w:before="139" w:line="249" w:lineRule="auto"/>
        <w:ind w:right="368"/>
      </w:pPr>
      <w:r>
        <w:t xml:space="preserve">We obviously acquire a great deal of knowledge through “sense-perception” (i.e., through sight, hearing, touch, and so forth). According to a doctrine known as “empiricism,” </w:t>
      </w:r>
      <w:r>
        <w:rPr>
          <w:i/>
        </w:rPr>
        <w:t xml:space="preserve">all </w:t>
      </w:r>
      <w:r>
        <w:t>knowledge is derived from sense-perception.</w:t>
      </w:r>
    </w:p>
    <w:p w14:paraId="7E0019EB" w14:textId="77777777" w:rsidR="009A58DB" w:rsidRDefault="00000000">
      <w:pPr>
        <w:pStyle w:val="BodyText"/>
        <w:spacing w:before="4" w:line="249" w:lineRule="auto"/>
        <w:ind w:right="365" w:firstLine="360"/>
        <w:rPr>
          <w:i/>
        </w:rPr>
      </w:pPr>
      <w:r>
        <w:t xml:space="preserve">According to a view known as “rationalism,” some knowledge is acquired entirely through the use of one’s ability to </w:t>
      </w:r>
      <w:r>
        <w:rPr>
          <w:i/>
        </w:rPr>
        <w:t>reason.</w:t>
      </w:r>
    </w:p>
    <w:p w14:paraId="7E0019EC" w14:textId="77777777" w:rsidR="009A58DB" w:rsidRDefault="00000000">
      <w:pPr>
        <w:pStyle w:val="BodyText"/>
        <w:spacing w:before="2" w:line="249" w:lineRule="auto"/>
        <w:ind w:right="359" w:firstLine="360"/>
      </w:pPr>
      <w:r>
        <w:t xml:space="preserve">Rationalists almost never hold that </w:t>
      </w:r>
      <w:r>
        <w:rPr>
          <w:i/>
        </w:rPr>
        <w:t xml:space="preserve">no </w:t>
      </w:r>
      <w:r>
        <w:t>knowledge is acquired through sense-perception.</w:t>
      </w:r>
      <w:r>
        <w:rPr>
          <w:spacing w:val="-2"/>
        </w:rPr>
        <w:t xml:space="preserve"> </w:t>
      </w:r>
      <w:r>
        <w:t>They</w:t>
      </w:r>
      <w:r>
        <w:rPr>
          <w:spacing w:val="-2"/>
        </w:rPr>
        <w:t xml:space="preserve"> </w:t>
      </w:r>
      <w:r>
        <w:t>hold</w:t>
      </w:r>
      <w:r>
        <w:rPr>
          <w:spacing w:val="-2"/>
        </w:rPr>
        <w:t xml:space="preserve"> </w:t>
      </w:r>
      <w:r>
        <w:t>only</w:t>
      </w:r>
      <w:r>
        <w:rPr>
          <w:spacing w:val="-2"/>
        </w:rPr>
        <w:t xml:space="preserve"> </w:t>
      </w:r>
      <w:r>
        <w:t>that</w:t>
      </w:r>
      <w:r>
        <w:rPr>
          <w:spacing w:val="-2"/>
        </w:rPr>
        <w:t xml:space="preserve"> </w:t>
      </w:r>
      <w:r>
        <w:t>reason,</w:t>
      </w:r>
      <w:r>
        <w:rPr>
          <w:spacing w:val="-2"/>
        </w:rPr>
        <w:t xml:space="preserve"> </w:t>
      </w:r>
      <w:r>
        <w:t>as</w:t>
      </w:r>
      <w:r>
        <w:rPr>
          <w:spacing w:val="-2"/>
        </w:rPr>
        <w:t xml:space="preserve"> </w:t>
      </w:r>
      <w:r>
        <w:t>opposed</w:t>
      </w:r>
      <w:r>
        <w:rPr>
          <w:spacing w:val="-2"/>
        </w:rPr>
        <w:t xml:space="preserve"> </w:t>
      </w:r>
      <w:r>
        <w:t>to</w:t>
      </w:r>
      <w:r>
        <w:rPr>
          <w:spacing w:val="-2"/>
        </w:rPr>
        <w:t xml:space="preserve"> </w:t>
      </w:r>
      <w:r>
        <w:t xml:space="preserve">sense-perception, is the vehicle through which </w:t>
      </w:r>
      <w:r>
        <w:rPr>
          <w:i/>
        </w:rPr>
        <w:t xml:space="preserve">some </w:t>
      </w:r>
      <w:r>
        <w:t>knowledge is acquired.</w:t>
      </w:r>
    </w:p>
    <w:p w14:paraId="7E0019ED" w14:textId="77777777" w:rsidR="009A58DB" w:rsidRDefault="00000000">
      <w:pPr>
        <w:pStyle w:val="BodyText"/>
        <w:spacing w:before="4" w:line="249" w:lineRule="auto"/>
        <w:ind w:right="358" w:firstLine="360"/>
      </w:pPr>
      <w:r>
        <w:t>Rationalists typically hold that knowledge acquired in this way is very important—it isn’t trivial.</w:t>
      </w:r>
    </w:p>
    <w:p w14:paraId="7E0019EE" w14:textId="77777777" w:rsidR="009A58DB" w:rsidRDefault="00000000">
      <w:pPr>
        <w:pStyle w:val="BodyText"/>
        <w:spacing w:before="2" w:line="249" w:lineRule="auto"/>
        <w:ind w:right="358" w:firstLine="360"/>
      </w:pPr>
      <w:r>
        <w:t xml:space="preserve">Some hold the view that there is knowledge that is acquired neither through the senses nor through reason. I don’t wish to dismiss this view. Maybe it’s correct. But there is an apparent problem with it. Any case of knowledge is a case of </w:t>
      </w:r>
      <w:r>
        <w:rPr>
          <w:i/>
        </w:rPr>
        <w:t xml:space="preserve">justified </w:t>
      </w:r>
      <w:r>
        <w:t xml:space="preserve">true belief. Given a belief that isn’t acquired through the senses </w:t>
      </w:r>
      <w:r>
        <w:rPr>
          <w:i/>
        </w:rPr>
        <w:t xml:space="preserve">or </w:t>
      </w:r>
      <w:r>
        <w:t>through reasoning, the question arises: what could possibly justify it? And there’s no obvious answer.</w:t>
      </w:r>
    </w:p>
    <w:p w14:paraId="7E0019EF" w14:textId="77777777" w:rsidR="009A58DB" w:rsidRDefault="00000000">
      <w:pPr>
        <w:pStyle w:val="BodyText"/>
        <w:spacing w:before="8" w:line="249" w:lineRule="auto"/>
        <w:ind w:right="360" w:firstLine="360"/>
      </w:pPr>
      <w:r>
        <w:t>In any case, in this chapter, it will be assumed, if only to simplify exposition, that the only viable sources of knowledge are reason and the senses and, therefore, that the only viable options for epistemologists are rationalism and empiricism. But I wish to stress that I am genuinely open on the</w:t>
      </w:r>
      <w:r>
        <w:rPr>
          <w:spacing w:val="-3"/>
        </w:rPr>
        <w:t xml:space="preserve"> </w:t>
      </w:r>
      <w:r>
        <w:t>question</w:t>
      </w:r>
      <w:r>
        <w:rPr>
          <w:spacing w:val="-3"/>
        </w:rPr>
        <w:t xml:space="preserve"> </w:t>
      </w:r>
      <w:r>
        <w:t>of</w:t>
      </w:r>
      <w:r>
        <w:rPr>
          <w:spacing w:val="-3"/>
        </w:rPr>
        <w:t xml:space="preserve"> </w:t>
      </w:r>
      <w:r>
        <w:t>whether</w:t>
      </w:r>
      <w:r>
        <w:rPr>
          <w:spacing w:val="-3"/>
        </w:rPr>
        <w:t xml:space="preserve"> </w:t>
      </w:r>
      <w:r>
        <w:t>there</w:t>
      </w:r>
      <w:r>
        <w:rPr>
          <w:spacing w:val="-3"/>
        </w:rPr>
        <w:t xml:space="preserve"> </w:t>
      </w:r>
      <w:r>
        <w:t>is</w:t>
      </w:r>
      <w:r>
        <w:rPr>
          <w:spacing w:val="-3"/>
        </w:rPr>
        <w:t xml:space="preserve"> </w:t>
      </w:r>
      <w:r>
        <w:t>non-perceptual,</w:t>
      </w:r>
      <w:r>
        <w:rPr>
          <w:spacing w:val="-3"/>
        </w:rPr>
        <w:t xml:space="preserve"> </w:t>
      </w:r>
      <w:r>
        <w:t>non-rational</w:t>
      </w:r>
      <w:r>
        <w:rPr>
          <w:spacing w:val="-3"/>
        </w:rPr>
        <w:t xml:space="preserve"> </w:t>
      </w:r>
      <w:r>
        <w:t>knowledge.</w:t>
      </w:r>
      <w:r>
        <w:rPr>
          <w:spacing w:val="-3"/>
        </w:rPr>
        <w:t xml:space="preserve"> </w:t>
      </w:r>
      <w:r>
        <w:t>(I’m inclined to think that there is.)</w:t>
      </w:r>
    </w:p>
    <w:p w14:paraId="7E0019F0" w14:textId="77777777" w:rsidR="009A58DB" w:rsidRDefault="00000000">
      <w:pPr>
        <w:pStyle w:val="BodyText"/>
        <w:spacing w:before="7" w:line="249" w:lineRule="auto"/>
        <w:ind w:right="361" w:firstLine="360"/>
      </w:pPr>
      <w:r>
        <w:t>Those who believe that there exist non-spatiotemporal entities are necessarily rationalists. Give or take a few nuances, empiricism is the view that you don’t know it if you don’t see it. We see property-instances, but not properties themselves. Therefore, empiricists either deny the existence of properties</w:t>
      </w:r>
      <w:r>
        <w:rPr>
          <w:spacing w:val="-3"/>
        </w:rPr>
        <w:t xml:space="preserve"> </w:t>
      </w:r>
      <w:r>
        <w:t>themselves</w:t>
      </w:r>
      <w:r>
        <w:rPr>
          <w:spacing w:val="-3"/>
        </w:rPr>
        <w:t xml:space="preserve"> </w:t>
      </w:r>
      <w:r>
        <w:t>or</w:t>
      </w:r>
      <w:r>
        <w:rPr>
          <w:spacing w:val="-3"/>
        </w:rPr>
        <w:t xml:space="preserve"> </w:t>
      </w:r>
      <w:r>
        <w:t>they</w:t>
      </w:r>
      <w:r>
        <w:rPr>
          <w:spacing w:val="-3"/>
        </w:rPr>
        <w:t xml:space="preserve"> </w:t>
      </w:r>
      <w:r>
        <w:t>hold</w:t>
      </w:r>
      <w:r>
        <w:rPr>
          <w:spacing w:val="-3"/>
        </w:rPr>
        <w:t xml:space="preserve"> </w:t>
      </w:r>
      <w:r>
        <w:t>that</w:t>
      </w:r>
      <w:r>
        <w:rPr>
          <w:spacing w:val="-3"/>
        </w:rPr>
        <w:t xml:space="preserve"> </w:t>
      </w:r>
      <w:r>
        <w:t>properties</w:t>
      </w:r>
      <w:r>
        <w:rPr>
          <w:spacing w:val="-3"/>
        </w:rPr>
        <w:t xml:space="preserve"> </w:t>
      </w:r>
      <w:r>
        <w:t>are</w:t>
      </w:r>
      <w:r>
        <w:rPr>
          <w:spacing w:val="-3"/>
        </w:rPr>
        <w:t xml:space="preserve"> </w:t>
      </w:r>
      <w:r>
        <w:t>identical</w:t>
      </w:r>
      <w:r>
        <w:rPr>
          <w:spacing w:val="-3"/>
        </w:rPr>
        <w:t xml:space="preserve"> </w:t>
      </w:r>
      <w:r>
        <w:t>spatiotemporal entities. Those who take the latter view are forced to view properties as being composed</w:t>
      </w:r>
      <w:r>
        <w:rPr>
          <w:spacing w:val="37"/>
        </w:rPr>
        <w:t xml:space="preserve"> </w:t>
      </w:r>
      <w:r>
        <w:t>of</w:t>
      </w:r>
      <w:r>
        <w:rPr>
          <w:spacing w:val="40"/>
        </w:rPr>
        <w:t xml:space="preserve"> </w:t>
      </w:r>
      <w:r>
        <w:t>their</w:t>
      </w:r>
      <w:r>
        <w:rPr>
          <w:spacing w:val="40"/>
        </w:rPr>
        <w:t xml:space="preserve"> </w:t>
      </w:r>
      <w:r>
        <w:t>own</w:t>
      </w:r>
      <w:r>
        <w:rPr>
          <w:spacing w:val="40"/>
        </w:rPr>
        <w:t xml:space="preserve"> </w:t>
      </w:r>
      <w:r>
        <w:t>instances;</w:t>
      </w:r>
      <w:r>
        <w:rPr>
          <w:spacing w:val="40"/>
        </w:rPr>
        <w:t xml:space="preserve"> </w:t>
      </w:r>
      <w:r>
        <w:t>so</w:t>
      </w:r>
      <w:r>
        <w:rPr>
          <w:spacing w:val="40"/>
        </w:rPr>
        <w:t xml:space="preserve"> </w:t>
      </w:r>
      <w:r>
        <w:t>the</w:t>
      </w:r>
      <w:r>
        <w:rPr>
          <w:spacing w:val="39"/>
        </w:rPr>
        <w:t xml:space="preserve"> </w:t>
      </w:r>
      <w:r>
        <w:t>property</w:t>
      </w:r>
      <w:r>
        <w:rPr>
          <w:spacing w:val="40"/>
        </w:rPr>
        <w:t xml:space="preserve"> </w:t>
      </w:r>
      <w:r>
        <w:t>of</w:t>
      </w:r>
      <w:r>
        <w:rPr>
          <w:spacing w:val="40"/>
        </w:rPr>
        <w:t xml:space="preserve"> </w:t>
      </w:r>
      <w:r>
        <w:t>being</w:t>
      </w:r>
      <w:r>
        <w:rPr>
          <w:spacing w:val="40"/>
        </w:rPr>
        <w:t xml:space="preserve"> </w:t>
      </w:r>
      <w:r>
        <w:t>wet</w:t>
      </w:r>
      <w:r>
        <w:rPr>
          <w:spacing w:val="40"/>
        </w:rPr>
        <w:t xml:space="preserve"> </w:t>
      </w:r>
      <w:r>
        <w:t>is</w:t>
      </w:r>
      <w:r>
        <w:rPr>
          <w:spacing w:val="40"/>
        </w:rPr>
        <w:t xml:space="preserve"> </w:t>
      </w:r>
      <w:r>
        <w:rPr>
          <w:spacing w:val="-2"/>
        </w:rPr>
        <w:t>identical</w:t>
      </w:r>
    </w:p>
    <w:p w14:paraId="7E0019F1"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9F2" w14:textId="77777777" w:rsidR="009A58DB" w:rsidRDefault="00000000">
      <w:pPr>
        <w:pStyle w:val="BodyText"/>
        <w:spacing w:before="60" w:line="249" w:lineRule="auto"/>
        <w:ind w:right="358"/>
      </w:pPr>
      <w:r>
        <w:lastRenderedPageBreak/>
        <w:t xml:space="preserve">with some object composed of all wet things, or some such. Therefore, empiricists don’t believe in </w:t>
      </w:r>
      <w:r>
        <w:rPr>
          <w:i/>
        </w:rPr>
        <w:t>uninstantiated</w:t>
      </w:r>
      <w:r>
        <w:rPr>
          <w:i/>
          <w:spacing w:val="-4"/>
        </w:rPr>
        <w:t xml:space="preserve"> </w:t>
      </w:r>
      <w:r>
        <w:t>properties. Therefore, anyone who does believe in such properties, or who believes that properties are not spatiotemporal entities, is a rationalist.</w:t>
      </w:r>
    </w:p>
    <w:p w14:paraId="7E0019F3" w14:textId="77777777" w:rsidR="009A58DB" w:rsidRDefault="00000000">
      <w:pPr>
        <w:pStyle w:val="BodyText"/>
        <w:spacing w:before="10" w:line="249" w:lineRule="auto"/>
        <w:ind w:right="359" w:firstLine="360"/>
      </w:pPr>
      <w:r>
        <w:t xml:space="preserve">Those who believe that properties are non-spatiotemporal are </w:t>
      </w:r>
      <w:r>
        <w:rPr>
          <w:i/>
        </w:rPr>
        <w:t xml:space="preserve">Platonists. </w:t>
      </w:r>
      <w:r>
        <w:t xml:space="preserve">Therefore Platonists are rationalists. A Platonic metaphysics requires a rationalist epistemology. Plato himself accepted a very extreme form of </w:t>
      </w:r>
      <w:r>
        <w:rPr>
          <w:spacing w:val="-2"/>
        </w:rPr>
        <w:t>rationalism.</w:t>
      </w:r>
    </w:p>
    <w:p w14:paraId="7E0019F4" w14:textId="77777777" w:rsidR="009A58DB" w:rsidRDefault="00000000">
      <w:pPr>
        <w:pStyle w:val="BodyText"/>
        <w:spacing w:before="4" w:line="249" w:lineRule="auto"/>
        <w:ind w:right="362" w:firstLine="360"/>
      </w:pPr>
      <w:r>
        <w:t>Being one that has deep roots in common sense, empiricism is a very old doctrine. But empiricism was first rigorously developed by John Locke (1632–1704), George Berkeley (1685–1753), and David Hume (1711–1776). The</w:t>
      </w:r>
      <w:r>
        <w:rPr>
          <w:spacing w:val="-4"/>
        </w:rPr>
        <w:t xml:space="preserve"> </w:t>
      </w:r>
      <w:r>
        <w:t>doctrines</w:t>
      </w:r>
      <w:r>
        <w:rPr>
          <w:spacing w:val="-4"/>
        </w:rPr>
        <w:t xml:space="preserve"> </w:t>
      </w:r>
      <w:r>
        <w:t>put</w:t>
      </w:r>
      <w:r>
        <w:rPr>
          <w:spacing w:val="-4"/>
        </w:rPr>
        <w:t xml:space="preserve"> </w:t>
      </w:r>
      <w:r>
        <w:t>forth</w:t>
      </w:r>
      <w:r>
        <w:rPr>
          <w:spacing w:val="-3"/>
        </w:rPr>
        <w:t xml:space="preserve"> </w:t>
      </w:r>
      <w:r>
        <w:t>by</w:t>
      </w:r>
      <w:r>
        <w:rPr>
          <w:spacing w:val="-3"/>
        </w:rPr>
        <w:t xml:space="preserve"> </w:t>
      </w:r>
      <w:r>
        <w:t>these</w:t>
      </w:r>
      <w:r>
        <w:rPr>
          <w:spacing w:val="-4"/>
        </w:rPr>
        <w:t xml:space="preserve"> </w:t>
      </w:r>
      <w:r>
        <w:t>authors</w:t>
      </w:r>
      <w:r>
        <w:rPr>
          <w:spacing w:val="-4"/>
        </w:rPr>
        <w:t xml:space="preserve"> </w:t>
      </w:r>
      <w:r>
        <w:t>form</w:t>
      </w:r>
      <w:r>
        <w:rPr>
          <w:spacing w:val="-4"/>
        </w:rPr>
        <w:t xml:space="preserve"> </w:t>
      </w:r>
      <w:r>
        <w:t>the</w:t>
      </w:r>
      <w:r>
        <w:rPr>
          <w:spacing w:val="-4"/>
        </w:rPr>
        <w:t xml:space="preserve"> </w:t>
      </w:r>
      <w:r>
        <w:t>basis</w:t>
      </w:r>
      <w:r>
        <w:rPr>
          <w:spacing w:val="-4"/>
        </w:rPr>
        <w:t xml:space="preserve"> </w:t>
      </w:r>
      <w:r>
        <w:t>of</w:t>
      </w:r>
      <w:r>
        <w:rPr>
          <w:spacing w:val="-4"/>
        </w:rPr>
        <w:t xml:space="preserve"> </w:t>
      </w:r>
      <w:r>
        <w:t>modern</w:t>
      </w:r>
      <w:r>
        <w:rPr>
          <w:spacing w:val="-3"/>
        </w:rPr>
        <w:t xml:space="preserve"> </w:t>
      </w:r>
      <w:r>
        <w:t xml:space="preserve">philosophy. Hume’s beliefs about </w:t>
      </w:r>
      <w:r>
        <w:rPr>
          <w:i/>
        </w:rPr>
        <w:t xml:space="preserve">causality </w:t>
      </w:r>
      <w:r>
        <w:t xml:space="preserve">and </w:t>
      </w:r>
      <w:r>
        <w:rPr>
          <w:i/>
        </w:rPr>
        <w:t xml:space="preserve">inductive inference </w:t>
      </w:r>
      <w:r>
        <w:t>are outgrowths of his empiricism. These views are thoroughly examined in Chapters 12 and 17.</w:t>
      </w:r>
    </w:p>
    <w:p w14:paraId="7E0019F5" w14:textId="77777777" w:rsidR="009A58DB" w:rsidRDefault="00000000">
      <w:pPr>
        <w:pStyle w:val="BodyText"/>
        <w:spacing w:before="8" w:line="249" w:lineRule="auto"/>
        <w:ind w:right="361" w:firstLine="360"/>
      </w:pPr>
      <w:r>
        <w:t>Berkeley’s belief that objects are identical with our perceptions of them is an outgrowth of his empiricism. Berkeley’s ingenious arguments for this outrageous doctrine are examined later in this chapter.</w:t>
      </w:r>
    </w:p>
    <w:p w14:paraId="7E0019F6" w14:textId="77777777" w:rsidR="009A58DB" w:rsidRDefault="00000000">
      <w:pPr>
        <w:pStyle w:val="BodyText"/>
        <w:spacing w:before="4" w:line="249" w:lineRule="auto"/>
        <w:ind w:right="357" w:firstLine="360"/>
      </w:pPr>
      <w:r>
        <w:t xml:space="preserve">John Locke’s plausible position that universals are “the workmanship of the understanding”—that </w:t>
      </w:r>
      <w:r>
        <w:rPr>
          <w:i/>
        </w:rPr>
        <w:t>we</w:t>
      </w:r>
      <w:r>
        <w:rPr>
          <w:i/>
          <w:spacing w:val="-4"/>
        </w:rPr>
        <w:t xml:space="preserve"> </w:t>
      </w:r>
      <w:r>
        <w:t>create them, so as to make sense of the world—is a derivative of his empiricism. That doctrine is examined in the present chapter. (It is also examined in Chapter 2.)</w:t>
      </w:r>
    </w:p>
    <w:p w14:paraId="7E0019F7" w14:textId="77777777" w:rsidR="009A58DB" w:rsidRDefault="00000000">
      <w:pPr>
        <w:pStyle w:val="BodyText"/>
        <w:spacing w:before="4" w:line="249" w:lineRule="auto"/>
        <w:ind w:right="360" w:firstLine="360"/>
      </w:pPr>
      <w:r>
        <w:t xml:space="preserve">The first great rationalist was Plato (428 </w:t>
      </w:r>
      <w:r>
        <w:rPr>
          <w:sz w:val="22"/>
        </w:rPr>
        <w:t>B</w:t>
      </w:r>
      <w:r>
        <w:t>.</w:t>
      </w:r>
      <w:r>
        <w:rPr>
          <w:sz w:val="22"/>
        </w:rPr>
        <w:t>C</w:t>
      </w:r>
      <w:r>
        <w:t>.–348</w:t>
      </w:r>
      <w:r>
        <w:rPr>
          <w:spacing w:val="-2"/>
        </w:rPr>
        <w:t xml:space="preserve"> </w:t>
      </w:r>
      <w:r>
        <w:rPr>
          <w:sz w:val="22"/>
        </w:rPr>
        <w:t>B</w:t>
      </w:r>
      <w:r>
        <w:t>.</w:t>
      </w:r>
      <w:r>
        <w:rPr>
          <w:sz w:val="22"/>
        </w:rPr>
        <w:t>C</w:t>
      </w:r>
      <w:r>
        <w:t>.). (Plato’s views are defended in Chapter 2.) Other rationalists are: Augustine (354–430), Descartes</w:t>
      </w:r>
      <w:r>
        <w:rPr>
          <w:spacing w:val="46"/>
          <w:w w:val="150"/>
        </w:rPr>
        <w:t xml:space="preserve"> </w:t>
      </w:r>
      <w:r>
        <w:t>(1596–1650),</w:t>
      </w:r>
      <w:r>
        <w:rPr>
          <w:spacing w:val="46"/>
          <w:w w:val="150"/>
        </w:rPr>
        <w:t xml:space="preserve"> </w:t>
      </w:r>
      <w:r>
        <w:t>Leibniz</w:t>
      </w:r>
      <w:r>
        <w:rPr>
          <w:spacing w:val="46"/>
          <w:w w:val="150"/>
        </w:rPr>
        <w:t xml:space="preserve"> </w:t>
      </w:r>
      <w:r>
        <w:t>(1646–1716),</w:t>
      </w:r>
      <w:r>
        <w:rPr>
          <w:spacing w:val="46"/>
          <w:w w:val="150"/>
        </w:rPr>
        <w:t xml:space="preserve"> </w:t>
      </w:r>
      <w:r>
        <w:t>and</w:t>
      </w:r>
      <w:r>
        <w:rPr>
          <w:spacing w:val="46"/>
          <w:w w:val="150"/>
        </w:rPr>
        <w:t xml:space="preserve"> </w:t>
      </w:r>
      <w:r>
        <w:t>Gottlob</w:t>
      </w:r>
      <w:r>
        <w:rPr>
          <w:spacing w:val="46"/>
          <w:w w:val="150"/>
        </w:rPr>
        <w:t xml:space="preserve"> </w:t>
      </w:r>
      <w:r>
        <w:t>Frege</w:t>
      </w:r>
      <w:r>
        <w:rPr>
          <w:spacing w:val="46"/>
          <w:w w:val="150"/>
        </w:rPr>
        <w:t xml:space="preserve"> </w:t>
      </w:r>
      <w:r>
        <w:rPr>
          <w:spacing w:val="-2"/>
        </w:rPr>
        <w:t>(1848–</w:t>
      </w:r>
    </w:p>
    <w:p w14:paraId="7E0019F8" w14:textId="77777777" w:rsidR="009A58DB" w:rsidRDefault="00000000">
      <w:pPr>
        <w:pStyle w:val="BodyText"/>
        <w:spacing w:before="4"/>
        <w:jc w:val="left"/>
      </w:pPr>
      <w:r>
        <w:rPr>
          <w:spacing w:val="-2"/>
        </w:rPr>
        <w:t>1925).</w:t>
      </w:r>
    </w:p>
    <w:p w14:paraId="7E0019F9" w14:textId="77777777" w:rsidR="009A58DB" w:rsidRDefault="00000000">
      <w:pPr>
        <w:pStyle w:val="BodyText"/>
        <w:spacing w:before="15" w:line="249" w:lineRule="auto"/>
        <w:ind w:right="369" w:firstLine="360"/>
      </w:pPr>
      <w:r>
        <w:t xml:space="preserve">The first great empiricist was Aristotle (384 </w:t>
      </w:r>
      <w:r>
        <w:rPr>
          <w:sz w:val="22"/>
        </w:rPr>
        <w:t>B</w:t>
      </w:r>
      <w:r>
        <w:t>.</w:t>
      </w:r>
      <w:r>
        <w:rPr>
          <w:sz w:val="22"/>
        </w:rPr>
        <w:t>C</w:t>
      </w:r>
      <w:r>
        <w:t xml:space="preserve">.–322 </w:t>
      </w:r>
      <w:r>
        <w:rPr>
          <w:sz w:val="22"/>
        </w:rPr>
        <w:t>B</w:t>
      </w:r>
      <w:r>
        <w:t>.</w:t>
      </w:r>
      <w:r>
        <w:rPr>
          <w:sz w:val="22"/>
        </w:rPr>
        <w:t>C</w:t>
      </w:r>
      <w:r>
        <w:t>.), whose views, along</w:t>
      </w:r>
      <w:r>
        <w:rPr>
          <w:spacing w:val="40"/>
        </w:rPr>
        <w:t xml:space="preserve"> </w:t>
      </w:r>
      <w:r>
        <w:t>with</w:t>
      </w:r>
      <w:r>
        <w:rPr>
          <w:spacing w:val="40"/>
        </w:rPr>
        <w:t xml:space="preserve"> </w:t>
      </w:r>
      <w:r>
        <w:t>Plato’s,</w:t>
      </w:r>
      <w:r>
        <w:rPr>
          <w:spacing w:val="40"/>
        </w:rPr>
        <w:t xml:space="preserve"> </w:t>
      </w:r>
      <w:r>
        <w:t>are</w:t>
      </w:r>
      <w:r>
        <w:rPr>
          <w:spacing w:val="40"/>
        </w:rPr>
        <w:t xml:space="preserve"> </w:t>
      </w:r>
      <w:r>
        <w:t>also</w:t>
      </w:r>
      <w:r>
        <w:rPr>
          <w:spacing w:val="40"/>
        </w:rPr>
        <w:t xml:space="preserve"> </w:t>
      </w:r>
      <w:r>
        <w:t>considered</w:t>
      </w:r>
      <w:r>
        <w:rPr>
          <w:spacing w:val="40"/>
        </w:rPr>
        <w:t xml:space="preserve"> </w:t>
      </w:r>
      <w:r>
        <w:t>in</w:t>
      </w:r>
      <w:r>
        <w:rPr>
          <w:spacing w:val="40"/>
        </w:rPr>
        <w:t xml:space="preserve"> </w:t>
      </w:r>
      <w:r>
        <w:t>Chapter</w:t>
      </w:r>
      <w:r>
        <w:rPr>
          <w:spacing w:val="40"/>
        </w:rPr>
        <w:t xml:space="preserve"> </w:t>
      </w:r>
      <w:r>
        <w:t>2.</w:t>
      </w:r>
      <w:r>
        <w:rPr>
          <w:spacing w:val="40"/>
        </w:rPr>
        <w:t xml:space="preserve"> </w:t>
      </w:r>
      <w:r>
        <w:t>Other</w:t>
      </w:r>
      <w:r>
        <w:rPr>
          <w:spacing w:val="40"/>
        </w:rPr>
        <w:t xml:space="preserve"> </w:t>
      </w:r>
      <w:r>
        <w:t>empiricists</w:t>
      </w:r>
      <w:r>
        <w:rPr>
          <w:spacing w:val="40"/>
        </w:rPr>
        <w:t xml:space="preserve"> </w:t>
      </w:r>
      <w:r>
        <w:t>are</w:t>
      </w:r>
    </w:p>
    <w:p w14:paraId="7E0019FA" w14:textId="77777777" w:rsidR="009A58DB" w:rsidRDefault="00000000">
      <w:pPr>
        <w:pStyle w:val="BodyText"/>
        <w:spacing w:before="3" w:line="249" w:lineRule="auto"/>
        <w:ind w:right="372"/>
      </w:pPr>
      <w:r>
        <w:t xml:space="preserve">J.S. Mill (1806–1873), Rudolph Carnap (1891–1970), and W.V.O. Quine </w:t>
      </w:r>
      <w:r>
        <w:rPr>
          <w:spacing w:val="-2"/>
        </w:rPr>
        <w:t>(1908–2000).</w:t>
      </w:r>
    </w:p>
    <w:p w14:paraId="7E0019FB" w14:textId="77777777" w:rsidR="009A58DB" w:rsidRDefault="00000000">
      <w:pPr>
        <w:pStyle w:val="BodyText"/>
        <w:spacing w:before="2" w:line="249" w:lineRule="auto"/>
        <w:ind w:right="365" w:firstLine="360"/>
      </w:pPr>
      <w:r>
        <w:t>In this chapter, we will find that empiricism is not in its strictest form a defensible doctrine and that, consequently, at least some knowledge has a non-perceptual basis.</w:t>
      </w:r>
    </w:p>
    <w:p w14:paraId="7E0019FC" w14:textId="77777777" w:rsidR="009A58DB" w:rsidRDefault="00000000">
      <w:pPr>
        <w:pStyle w:val="BodyText"/>
        <w:spacing w:before="4" w:line="249" w:lineRule="auto"/>
        <w:ind w:right="361" w:firstLine="360"/>
      </w:pPr>
      <w:r>
        <w:t>There are, as we will see, two important corollaries. First, many commonsense-based views about the internal (psychological) and external (physical) worlds must be jettisoned. Second, sober scientific methodology actually</w:t>
      </w:r>
      <w:r>
        <w:rPr>
          <w:spacing w:val="75"/>
        </w:rPr>
        <w:t xml:space="preserve"> </w:t>
      </w:r>
      <w:r>
        <w:t>demands</w:t>
      </w:r>
      <w:r>
        <w:rPr>
          <w:spacing w:val="75"/>
        </w:rPr>
        <w:t xml:space="preserve"> </w:t>
      </w:r>
      <w:r>
        <w:t>an</w:t>
      </w:r>
      <w:r>
        <w:rPr>
          <w:spacing w:val="76"/>
        </w:rPr>
        <w:t xml:space="preserve"> </w:t>
      </w:r>
      <w:r>
        <w:t>acceptance</w:t>
      </w:r>
      <w:r>
        <w:rPr>
          <w:spacing w:val="75"/>
        </w:rPr>
        <w:t xml:space="preserve"> </w:t>
      </w:r>
      <w:r>
        <w:t>of</w:t>
      </w:r>
      <w:r>
        <w:rPr>
          <w:spacing w:val="75"/>
        </w:rPr>
        <w:t xml:space="preserve"> </w:t>
      </w:r>
      <w:r>
        <w:t>principles</w:t>
      </w:r>
      <w:r>
        <w:rPr>
          <w:spacing w:val="76"/>
        </w:rPr>
        <w:t xml:space="preserve"> </w:t>
      </w:r>
      <w:r>
        <w:t>that</w:t>
      </w:r>
      <w:r>
        <w:rPr>
          <w:spacing w:val="75"/>
        </w:rPr>
        <w:t xml:space="preserve"> </w:t>
      </w:r>
      <w:r>
        <w:t>would</w:t>
      </w:r>
      <w:r>
        <w:rPr>
          <w:spacing w:val="75"/>
        </w:rPr>
        <w:t xml:space="preserve"> </w:t>
      </w:r>
      <w:r>
        <w:t>strike</w:t>
      </w:r>
      <w:r>
        <w:rPr>
          <w:spacing w:val="76"/>
        </w:rPr>
        <w:t xml:space="preserve"> </w:t>
      </w:r>
      <w:r>
        <w:t>common</w:t>
      </w:r>
    </w:p>
    <w:p w14:paraId="7E0019F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9FE" w14:textId="77777777" w:rsidR="009A58DB" w:rsidRDefault="00000000">
      <w:pPr>
        <w:pStyle w:val="BodyText"/>
        <w:spacing w:before="65" w:line="249" w:lineRule="auto"/>
        <w:ind w:right="359"/>
      </w:pPr>
      <w:r>
        <w:lastRenderedPageBreak/>
        <w:t xml:space="preserve">sense as decidedly unscientific. We will see that many concepts that cannot be adequately understood along strictly empiricist lines can nonetheless be correctly understood only </w:t>
      </w:r>
      <w:r>
        <w:rPr>
          <w:i/>
        </w:rPr>
        <w:t xml:space="preserve">interms of </w:t>
      </w:r>
      <w:r>
        <w:t>what empiricism has to say about them.</w:t>
      </w:r>
    </w:p>
    <w:p w14:paraId="7E0019FF" w14:textId="77777777" w:rsidR="009A58DB" w:rsidRDefault="00000000">
      <w:pPr>
        <w:pStyle w:val="Heading1"/>
        <w:numPr>
          <w:ilvl w:val="0"/>
          <w:numId w:val="115"/>
        </w:numPr>
        <w:tabs>
          <w:tab w:val="left" w:pos="825"/>
          <w:tab w:val="left" w:pos="990"/>
        </w:tabs>
        <w:spacing w:before="191" w:line="244" w:lineRule="auto"/>
        <w:ind w:left="825" w:right="424" w:hanging="465"/>
      </w:pPr>
      <w:r>
        <w:t>The</w:t>
      </w:r>
      <w:r>
        <w:rPr>
          <w:spacing w:val="-9"/>
        </w:rPr>
        <w:t xml:space="preserve"> </w:t>
      </w:r>
      <w:r>
        <w:t>particularist</w:t>
      </w:r>
      <w:r>
        <w:rPr>
          <w:spacing w:val="-9"/>
        </w:rPr>
        <w:t xml:space="preserve"> </w:t>
      </w:r>
      <w:r>
        <w:t>nature</w:t>
      </w:r>
      <w:r>
        <w:rPr>
          <w:spacing w:val="-9"/>
        </w:rPr>
        <w:t xml:space="preserve"> </w:t>
      </w:r>
      <w:r>
        <w:t>of</w:t>
      </w:r>
      <w:r>
        <w:rPr>
          <w:spacing w:val="-9"/>
        </w:rPr>
        <w:t xml:space="preserve"> </w:t>
      </w:r>
      <w:r>
        <w:t>sense-perception</w:t>
      </w:r>
      <w:r>
        <w:rPr>
          <w:spacing w:val="-9"/>
        </w:rPr>
        <w:t xml:space="preserve"> </w:t>
      </w:r>
      <w:r>
        <w:t>and the need for universals</w:t>
      </w:r>
    </w:p>
    <w:p w14:paraId="7E001A00" w14:textId="77777777" w:rsidR="009A58DB" w:rsidRDefault="00000000">
      <w:pPr>
        <w:pStyle w:val="BodyText"/>
        <w:spacing w:before="132" w:line="249" w:lineRule="auto"/>
        <w:ind w:right="359"/>
      </w:pPr>
      <w:r>
        <w:t xml:space="preserve">Sense-perception discloses only </w:t>
      </w:r>
      <w:r>
        <w:rPr>
          <w:i/>
        </w:rPr>
        <w:t xml:space="preserve">particulars </w:t>
      </w:r>
      <w:r>
        <w:t xml:space="preserve">to us—particular objects having particular property-instances. But we understand and describe the world in terms of categories or, as they are sometimes called, “universals.” These can be thought of as natures, essences, or “ways of being,” that, although </w:t>
      </w:r>
      <w:r>
        <w:rPr>
          <w:i/>
        </w:rPr>
        <w:t xml:space="preserve">exemplified </w:t>
      </w:r>
      <w:r>
        <w:t>by the particulars that we encounter in sense-perception, are not themselves to be sense-perceived, and, though they presumably exist, do not exist in space-time.</w:t>
      </w:r>
    </w:p>
    <w:p w14:paraId="7E001A01" w14:textId="77777777" w:rsidR="009A58DB" w:rsidRDefault="00000000">
      <w:pPr>
        <w:pStyle w:val="BodyText"/>
        <w:spacing w:before="9" w:line="249" w:lineRule="auto"/>
        <w:ind w:right="360" w:firstLine="360"/>
      </w:pPr>
      <w:r>
        <w:t>Because they are non-spatiotemporal, those of an empiricist mindset regard universals with extreme suspicion. In fact, empiricism is, nearly enough, the denial that such things exist. Why? The empiricists say: what we can legitimately believe is what we can sense-perceive or know on the basis of extremely conservative inferences on the basis of what we can sense-</w:t>
      </w:r>
      <w:r>
        <w:rPr>
          <w:spacing w:val="-2"/>
        </w:rPr>
        <w:t>perceive.</w:t>
      </w:r>
    </w:p>
    <w:p w14:paraId="7E001A02" w14:textId="77777777" w:rsidR="009A58DB" w:rsidRDefault="00000000">
      <w:pPr>
        <w:pStyle w:val="BodyText"/>
        <w:spacing w:before="7" w:line="249" w:lineRule="auto"/>
        <w:ind w:right="359" w:firstLine="360"/>
      </w:pPr>
      <w:r>
        <w:t xml:space="preserve">The problem is that there is no way to understand the world except in terms of universals. To understand things </w:t>
      </w:r>
      <w:r>
        <w:rPr>
          <w:i/>
        </w:rPr>
        <w:t>is</w:t>
      </w:r>
      <w:r>
        <w:rPr>
          <w:i/>
          <w:spacing w:val="-4"/>
        </w:rPr>
        <w:t xml:space="preserve"> </w:t>
      </w:r>
      <w:r>
        <w:t xml:space="preserve">to know how, in virtue of having such and such characteristics (i.e., in virtue of falling under such and such universals), they are subject to thus and such principles or laws. “Why did Max steal the money? Because Max is greedy and amoral and he believed it to be to his strategic advantage to steal the money.” Max’s behavior is explained by showing how, given the operative conditions, his having those characteristics makes it inevitable that he will act in that way. This explanation presupposes the existence of many different universals. (Among them are those denoted by the terms “greed,” “amorality,” “money,” and “theft.”) This explanation is not unique in this respect: </w:t>
      </w:r>
      <w:r>
        <w:rPr>
          <w:i/>
        </w:rPr>
        <w:t xml:space="preserve">all </w:t>
      </w:r>
      <w:r>
        <w:t>explanations presuppose the existence of universals. The very idea of an explanation that didn’t do so is an incoherent one.</w:t>
      </w:r>
    </w:p>
    <w:p w14:paraId="7E001A03" w14:textId="77777777" w:rsidR="009A58DB" w:rsidRDefault="00000000">
      <w:pPr>
        <w:pStyle w:val="BodyText"/>
        <w:spacing w:before="16" w:line="249" w:lineRule="auto"/>
        <w:ind w:right="366" w:firstLine="360"/>
      </w:pPr>
      <w:r>
        <w:t>Universals are outside of space-time. For this reason, they cannot have effects on anything. (Causal relations hold only among spatiotemporal entities.)</w:t>
      </w:r>
      <w:r>
        <w:rPr>
          <w:spacing w:val="-1"/>
        </w:rPr>
        <w:t xml:space="preserve"> </w:t>
      </w:r>
      <w:r>
        <w:t>One</w:t>
      </w:r>
      <w:r>
        <w:rPr>
          <w:spacing w:val="-1"/>
        </w:rPr>
        <w:t xml:space="preserve"> </w:t>
      </w:r>
      <w:r>
        <w:t>cannot</w:t>
      </w:r>
      <w:r>
        <w:rPr>
          <w:spacing w:val="-1"/>
        </w:rPr>
        <w:t xml:space="preserve"> </w:t>
      </w:r>
      <w:r>
        <w:t>sense-perceive</w:t>
      </w:r>
      <w:r>
        <w:rPr>
          <w:spacing w:val="-1"/>
        </w:rPr>
        <w:t xml:space="preserve"> </w:t>
      </w:r>
      <w:r>
        <w:t>an</w:t>
      </w:r>
      <w:r>
        <w:rPr>
          <w:spacing w:val="-1"/>
        </w:rPr>
        <w:t xml:space="preserve"> </w:t>
      </w:r>
      <w:r>
        <w:t>object</w:t>
      </w:r>
      <w:r>
        <w:rPr>
          <w:spacing w:val="-1"/>
        </w:rPr>
        <w:t xml:space="preserve"> </w:t>
      </w:r>
      <w:r>
        <w:t>without</w:t>
      </w:r>
      <w:r>
        <w:rPr>
          <w:spacing w:val="-1"/>
        </w:rPr>
        <w:t xml:space="preserve"> </w:t>
      </w:r>
      <w:r>
        <w:t>being</w:t>
      </w:r>
      <w:r>
        <w:rPr>
          <w:spacing w:val="-1"/>
        </w:rPr>
        <w:t xml:space="preserve"> </w:t>
      </w:r>
      <w:r>
        <w:t>affected</w:t>
      </w:r>
      <w:r>
        <w:rPr>
          <w:spacing w:val="-1"/>
        </w:rPr>
        <w:t xml:space="preserve"> </w:t>
      </w:r>
      <w:r>
        <w:t>by</w:t>
      </w:r>
      <w:r>
        <w:rPr>
          <w:spacing w:val="-1"/>
        </w:rPr>
        <w:t xml:space="preserve"> </w:t>
      </w:r>
      <w:r>
        <w:t>it.</w:t>
      </w:r>
      <w:r>
        <w:rPr>
          <w:spacing w:val="-1"/>
        </w:rPr>
        <w:t xml:space="preserve"> </w:t>
      </w:r>
      <w:r>
        <w:t>(It</w:t>
      </w:r>
    </w:p>
    <w:p w14:paraId="7E001A0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05" w14:textId="77777777" w:rsidR="009A58DB" w:rsidRDefault="00000000">
      <w:pPr>
        <w:pStyle w:val="BodyText"/>
        <w:spacing w:before="60" w:line="249" w:lineRule="auto"/>
        <w:ind w:right="359"/>
      </w:pPr>
      <w:r>
        <w:lastRenderedPageBreak/>
        <w:t xml:space="preserve">is only because your ocular surfaces are disturbed by light-rays bouncing off of the page in front of you that you can see it.) It follows that universals cannot be sense-perceived. It also follows that no </w:t>
      </w:r>
      <w:r>
        <w:rPr>
          <w:i/>
        </w:rPr>
        <w:t xml:space="preserve">evidence </w:t>
      </w:r>
      <w:r>
        <w:t xml:space="preserve">of them can be sense-perceived. This is because x is evidence of y only if x and y are </w:t>
      </w:r>
      <w:r>
        <w:rPr>
          <w:i/>
        </w:rPr>
        <w:t xml:space="preserve">causally interconnected </w:t>
      </w:r>
      <w:r>
        <w:t xml:space="preserve">in such a way that, given x’s existence, y’s may reasonably be assumed. (Smoke is evidence of fire because smoke and fire are causally connected in such a way that, given the presence of smoke, the presence of fire may be inferred.) It is therefore impossible as a matter of logic to find any </w:t>
      </w:r>
      <w:r>
        <w:rPr>
          <w:i/>
        </w:rPr>
        <w:t xml:space="preserve">observational </w:t>
      </w:r>
      <w:r>
        <w:t>basis for the existence of universals. This means that, if empiricism is correct, we cannot possibly have any good</w:t>
      </w:r>
      <w:r>
        <w:rPr>
          <w:spacing w:val="40"/>
        </w:rPr>
        <w:t xml:space="preserve"> </w:t>
      </w:r>
      <w:r>
        <w:t>reason to posit the existence of universals. Given how endemic universals are to thought, language, and explanation, the right move is to reject empiricism.</w:t>
      </w:r>
    </w:p>
    <w:p w14:paraId="7E001A06" w14:textId="77777777" w:rsidR="009A58DB" w:rsidRDefault="00000000">
      <w:pPr>
        <w:pStyle w:val="Heading1"/>
        <w:numPr>
          <w:ilvl w:val="1"/>
          <w:numId w:val="115"/>
        </w:numPr>
        <w:tabs>
          <w:tab w:val="left" w:pos="990"/>
        </w:tabs>
        <w:spacing w:before="207"/>
      </w:pPr>
      <w:r>
        <w:t>The</w:t>
      </w:r>
      <w:r>
        <w:rPr>
          <w:spacing w:val="-8"/>
        </w:rPr>
        <w:t xml:space="preserve"> </w:t>
      </w:r>
      <w:r>
        <w:t>empiricist</w:t>
      </w:r>
      <w:r>
        <w:rPr>
          <w:spacing w:val="-5"/>
        </w:rPr>
        <w:t xml:space="preserve"> </w:t>
      </w:r>
      <w:r>
        <w:t>response</w:t>
      </w:r>
      <w:r>
        <w:rPr>
          <w:spacing w:val="-6"/>
        </w:rPr>
        <w:t xml:space="preserve"> </w:t>
      </w:r>
      <w:r>
        <w:t>to</w:t>
      </w:r>
      <w:r>
        <w:rPr>
          <w:spacing w:val="-4"/>
        </w:rPr>
        <w:t xml:space="preserve"> </w:t>
      </w:r>
      <w:r>
        <w:t>these</w:t>
      </w:r>
      <w:r>
        <w:rPr>
          <w:spacing w:val="-5"/>
        </w:rPr>
        <w:t xml:space="preserve"> </w:t>
      </w:r>
      <w:r>
        <w:rPr>
          <w:spacing w:val="-2"/>
        </w:rPr>
        <w:t>problems</w:t>
      </w:r>
    </w:p>
    <w:p w14:paraId="7E001A07" w14:textId="77777777" w:rsidR="009A58DB" w:rsidRDefault="00000000">
      <w:pPr>
        <w:pStyle w:val="BodyText"/>
        <w:spacing w:before="139" w:line="249" w:lineRule="auto"/>
        <w:ind w:right="369"/>
      </w:pPr>
      <w:r>
        <w:t xml:space="preserve">Empiricists have responded by saying that, although </w:t>
      </w:r>
      <w:r>
        <w:rPr>
          <w:i/>
        </w:rPr>
        <w:t xml:space="preserve">instances </w:t>
      </w:r>
      <w:r>
        <w:t xml:space="preserve">of universals obviously exist, universals </w:t>
      </w:r>
      <w:r>
        <w:rPr>
          <w:i/>
        </w:rPr>
        <w:t xml:space="preserve">per se </w:t>
      </w:r>
      <w:r>
        <w:t>do not. (Remember that, in this context, “universal” is synonymous with “property.”)</w:t>
      </w:r>
    </w:p>
    <w:p w14:paraId="7E001A08" w14:textId="77777777" w:rsidR="009A58DB" w:rsidRDefault="00000000">
      <w:pPr>
        <w:pStyle w:val="BodyText"/>
        <w:spacing w:before="4" w:line="249" w:lineRule="auto"/>
        <w:ind w:right="358" w:firstLine="360"/>
      </w:pPr>
      <w:r>
        <w:t>The problem with this view is that, as previously noted, every sentence</w:t>
      </w:r>
      <w:r>
        <w:rPr>
          <w:spacing w:val="40"/>
        </w:rPr>
        <w:t xml:space="preserve"> </w:t>
      </w:r>
      <w:r>
        <w:t>and every thought demands the existence of at least one universal.</w:t>
      </w:r>
    </w:p>
    <w:p w14:paraId="7E001A09" w14:textId="77777777" w:rsidR="009A58DB" w:rsidRDefault="00000000">
      <w:pPr>
        <w:pStyle w:val="BodyText"/>
        <w:spacing w:before="3" w:line="249" w:lineRule="auto"/>
        <w:ind w:right="362" w:firstLine="360"/>
      </w:pPr>
      <w:r>
        <w:t>Also, some basic logic shows that universals exist. Consider the following inference: “Bob and Ted are both human; therefore, there is some characteristic that they have in common.” That is a valid inference; and the conclusion affirms the existence of a universal. (“Characteristic” is synonymous with “universal.”)</w:t>
      </w:r>
    </w:p>
    <w:p w14:paraId="7E001A0A" w14:textId="77777777" w:rsidR="009A58DB" w:rsidRDefault="00000000">
      <w:pPr>
        <w:pStyle w:val="BodyText"/>
        <w:spacing w:before="6" w:line="249" w:lineRule="auto"/>
        <w:ind w:right="370" w:firstLine="360"/>
      </w:pPr>
      <w:r>
        <w:t>Finally, many statements straightforwardly presuppose or affirm the existence of universals; and were it not for statements of this kind, many obvious truths couldn’t be expressed. Consider the following statements:</w:t>
      </w:r>
    </w:p>
    <w:p w14:paraId="7E001A0B" w14:textId="77777777" w:rsidR="009A58DB" w:rsidRDefault="009A58DB">
      <w:pPr>
        <w:pStyle w:val="BodyText"/>
        <w:spacing w:before="18"/>
        <w:ind w:left="0"/>
        <w:jc w:val="left"/>
      </w:pPr>
    </w:p>
    <w:p w14:paraId="7E001A0C" w14:textId="77777777" w:rsidR="009A58DB" w:rsidRDefault="00000000">
      <w:pPr>
        <w:pStyle w:val="ListParagraph"/>
        <w:numPr>
          <w:ilvl w:val="0"/>
          <w:numId w:val="114"/>
        </w:numPr>
        <w:tabs>
          <w:tab w:val="left" w:pos="715"/>
        </w:tabs>
        <w:ind w:left="715" w:hanging="355"/>
        <w:rPr>
          <w:sz w:val="30"/>
        </w:rPr>
      </w:pPr>
      <w:r>
        <w:rPr>
          <w:sz w:val="30"/>
        </w:rPr>
        <w:t>Hitler</w:t>
      </w:r>
      <w:r>
        <w:rPr>
          <w:spacing w:val="-5"/>
          <w:sz w:val="30"/>
        </w:rPr>
        <w:t xml:space="preserve"> </w:t>
      </w:r>
      <w:r>
        <w:rPr>
          <w:sz w:val="30"/>
        </w:rPr>
        <w:t>and</w:t>
      </w:r>
      <w:r>
        <w:rPr>
          <w:spacing w:val="-2"/>
          <w:sz w:val="30"/>
        </w:rPr>
        <w:t xml:space="preserve"> </w:t>
      </w:r>
      <w:r>
        <w:rPr>
          <w:sz w:val="30"/>
        </w:rPr>
        <w:t>Stalin</w:t>
      </w:r>
      <w:r>
        <w:rPr>
          <w:spacing w:val="-2"/>
          <w:sz w:val="30"/>
        </w:rPr>
        <w:t xml:space="preserve"> </w:t>
      </w:r>
      <w:r>
        <w:rPr>
          <w:sz w:val="30"/>
        </w:rPr>
        <w:t>had</w:t>
      </w:r>
      <w:r>
        <w:rPr>
          <w:spacing w:val="-3"/>
          <w:sz w:val="30"/>
        </w:rPr>
        <w:t xml:space="preserve"> </w:t>
      </w:r>
      <w:r>
        <w:rPr>
          <w:sz w:val="30"/>
        </w:rPr>
        <w:t>a</w:t>
      </w:r>
      <w:r>
        <w:rPr>
          <w:spacing w:val="-2"/>
          <w:sz w:val="30"/>
        </w:rPr>
        <w:t xml:space="preserve"> </w:t>
      </w:r>
      <w:r>
        <w:rPr>
          <w:sz w:val="30"/>
        </w:rPr>
        <w:t>lot</w:t>
      </w:r>
      <w:r>
        <w:rPr>
          <w:spacing w:val="-3"/>
          <w:sz w:val="30"/>
        </w:rPr>
        <w:t xml:space="preserve"> </w:t>
      </w:r>
      <w:r>
        <w:rPr>
          <w:sz w:val="30"/>
        </w:rPr>
        <w:t>in</w:t>
      </w:r>
      <w:r>
        <w:rPr>
          <w:spacing w:val="-2"/>
          <w:sz w:val="30"/>
        </w:rPr>
        <w:t xml:space="preserve"> common;</w:t>
      </w:r>
    </w:p>
    <w:p w14:paraId="7E001A0D" w14:textId="77777777" w:rsidR="009A58DB" w:rsidRDefault="00000000">
      <w:pPr>
        <w:pStyle w:val="ListParagraph"/>
        <w:numPr>
          <w:ilvl w:val="0"/>
          <w:numId w:val="114"/>
        </w:numPr>
        <w:tabs>
          <w:tab w:val="left" w:pos="720"/>
          <w:tab w:val="left" w:pos="817"/>
        </w:tabs>
        <w:spacing w:before="15" w:line="249" w:lineRule="auto"/>
        <w:ind w:left="720" w:right="367" w:hanging="360"/>
        <w:rPr>
          <w:sz w:val="30"/>
        </w:rPr>
      </w:pPr>
      <w:r>
        <w:rPr>
          <w:sz w:val="30"/>
        </w:rPr>
        <w:t>Smith has what it takes to be a great pianist, but he doesn’t have what it</w:t>
      </w:r>
      <w:r>
        <w:rPr>
          <w:spacing w:val="40"/>
          <w:sz w:val="30"/>
        </w:rPr>
        <w:t xml:space="preserve"> </w:t>
      </w:r>
      <w:r>
        <w:rPr>
          <w:sz w:val="30"/>
        </w:rPr>
        <w:t>takes to be a great composer;</w:t>
      </w:r>
    </w:p>
    <w:p w14:paraId="7E001A0E" w14:textId="77777777" w:rsidR="009A58DB" w:rsidRDefault="00000000">
      <w:pPr>
        <w:pStyle w:val="ListParagraph"/>
        <w:numPr>
          <w:ilvl w:val="0"/>
          <w:numId w:val="114"/>
        </w:numPr>
        <w:tabs>
          <w:tab w:val="left" w:pos="720"/>
          <w:tab w:val="left" w:pos="908"/>
        </w:tabs>
        <w:spacing w:before="3" w:line="249" w:lineRule="auto"/>
        <w:ind w:left="720" w:right="364" w:hanging="360"/>
        <w:rPr>
          <w:sz w:val="30"/>
        </w:rPr>
      </w:pPr>
      <w:r>
        <w:rPr>
          <w:sz w:val="30"/>
        </w:rPr>
        <w:t>Even though Smith is different from Jones, that has nothing to do with</w:t>
      </w:r>
      <w:r>
        <w:rPr>
          <w:spacing w:val="80"/>
          <w:sz w:val="30"/>
        </w:rPr>
        <w:t xml:space="preserve"> </w:t>
      </w:r>
      <w:r>
        <w:rPr>
          <w:sz w:val="30"/>
        </w:rPr>
        <w:t>the fact that they don’t like each other.</w:t>
      </w:r>
    </w:p>
    <w:p w14:paraId="7E001A0F" w14:textId="77777777" w:rsidR="009A58DB" w:rsidRDefault="009A58DB">
      <w:pPr>
        <w:pStyle w:val="BodyText"/>
        <w:spacing w:before="17"/>
        <w:ind w:left="0"/>
        <w:jc w:val="left"/>
      </w:pPr>
    </w:p>
    <w:p w14:paraId="7E001A10" w14:textId="77777777" w:rsidR="009A58DB" w:rsidRDefault="00000000">
      <w:pPr>
        <w:pStyle w:val="BodyText"/>
      </w:pPr>
      <w:r>
        <w:t>The</w:t>
      </w:r>
      <w:r>
        <w:rPr>
          <w:spacing w:val="-4"/>
        </w:rPr>
        <w:t xml:space="preserve"> </w:t>
      </w:r>
      <w:r>
        <w:t>meanings</w:t>
      </w:r>
      <w:r>
        <w:rPr>
          <w:spacing w:val="-4"/>
        </w:rPr>
        <w:t xml:space="preserve"> </w:t>
      </w:r>
      <w:r>
        <w:t>of</w:t>
      </w:r>
      <w:r>
        <w:rPr>
          <w:spacing w:val="-4"/>
        </w:rPr>
        <w:t xml:space="preserve"> </w:t>
      </w:r>
      <w:r>
        <w:t>these</w:t>
      </w:r>
      <w:r>
        <w:rPr>
          <w:spacing w:val="-4"/>
        </w:rPr>
        <w:t xml:space="preserve"> </w:t>
      </w:r>
      <w:r>
        <w:t>sentences</w:t>
      </w:r>
      <w:r>
        <w:rPr>
          <w:spacing w:val="-4"/>
        </w:rPr>
        <w:t xml:space="preserve"> </w:t>
      </w:r>
      <w:r>
        <w:t>are,</w:t>
      </w:r>
      <w:r>
        <w:rPr>
          <w:spacing w:val="-2"/>
        </w:rPr>
        <w:t xml:space="preserve"> respectively:</w:t>
      </w:r>
    </w:p>
    <w:p w14:paraId="7E001A11" w14:textId="77777777" w:rsidR="009A58DB" w:rsidRDefault="009A58DB">
      <w:pPr>
        <w:pStyle w:val="BodyText"/>
        <w:sectPr w:rsidR="009A58DB">
          <w:pgSz w:w="12240" w:h="15840"/>
          <w:pgMar w:top="1380" w:right="1080" w:bottom="280" w:left="1080" w:header="720" w:footer="720" w:gutter="0"/>
          <w:cols w:space="720"/>
        </w:sectPr>
      </w:pPr>
    </w:p>
    <w:p w14:paraId="7E001A12" w14:textId="77777777" w:rsidR="009A58DB" w:rsidRDefault="00000000">
      <w:pPr>
        <w:pStyle w:val="BodyText"/>
        <w:spacing w:before="65" w:line="249" w:lineRule="auto"/>
        <w:ind w:left="870" w:right="370" w:hanging="360"/>
      </w:pPr>
      <w:r>
        <w:lastRenderedPageBreak/>
        <w:t>(i*)</w:t>
      </w:r>
      <w:r>
        <w:rPr>
          <w:spacing w:val="80"/>
          <w:w w:val="150"/>
        </w:rPr>
        <w:t xml:space="preserve"> </w:t>
      </w:r>
      <w:r>
        <w:t>There are many</w:t>
      </w:r>
      <w:r>
        <w:rPr>
          <w:spacing w:val="-1"/>
        </w:rPr>
        <w:t xml:space="preserve"> </w:t>
      </w:r>
      <w:r>
        <w:t>properties such that, given any</w:t>
      </w:r>
      <w:r>
        <w:rPr>
          <w:spacing w:val="-1"/>
        </w:rPr>
        <w:t xml:space="preserve"> </w:t>
      </w:r>
      <w:r>
        <w:t>one of</w:t>
      </w:r>
      <w:r>
        <w:rPr>
          <w:spacing w:val="-1"/>
        </w:rPr>
        <w:t xml:space="preserve"> </w:t>
      </w:r>
      <w:r>
        <w:t>them, Hitler</w:t>
      </w:r>
      <w:r>
        <w:rPr>
          <w:spacing w:val="-1"/>
        </w:rPr>
        <w:t xml:space="preserve"> </w:t>
      </w:r>
      <w:r>
        <w:t>had it and so did Stalin;</w:t>
      </w:r>
    </w:p>
    <w:p w14:paraId="7E001A13" w14:textId="77777777" w:rsidR="009A58DB" w:rsidRDefault="00000000">
      <w:pPr>
        <w:pStyle w:val="BodyText"/>
        <w:spacing w:before="2" w:line="249" w:lineRule="auto"/>
        <w:ind w:left="930" w:right="375" w:hanging="510"/>
      </w:pPr>
      <w:r>
        <w:t>(ii*)</w:t>
      </w:r>
      <w:r>
        <w:rPr>
          <w:spacing w:val="80"/>
        </w:rPr>
        <w:t xml:space="preserve"> </w:t>
      </w:r>
      <w:r>
        <w:t>There are properties such that, if one has them, one is a great pianist and such that, moreover, Smith has them; and there are properties such that, if one lacks them, one isn’t a great composer and such that, moreover, Smith lacks them;</w:t>
      </w:r>
    </w:p>
    <w:p w14:paraId="7E001A14" w14:textId="77777777" w:rsidR="009A58DB" w:rsidRDefault="00000000">
      <w:pPr>
        <w:pStyle w:val="BodyText"/>
        <w:spacing w:before="5" w:line="249" w:lineRule="auto"/>
        <w:ind w:left="870" w:right="358" w:hanging="510"/>
      </w:pPr>
      <w:r>
        <w:t>(iii*)</w:t>
      </w:r>
      <w:r>
        <w:rPr>
          <w:spacing w:val="40"/>
        </w:rPr>
        <w:t xml:space="preserve"> </w:t>
      </w:r>
      <w:r>
        <w:t>There are properties such that Smith has them and Jones does not, but this fact isn’t responsible</w:t>
      </w:r>
    </w:p>
    <w:p w14:paraId="7E001A15" w14:textId="77777777" w:rsidR="009A58DB" w:rsidRDefault="00000000">
      <w:pPr>
        <w:pStyle w:val="BodyText"/>
        <w:spacing w:before="2"/>
        <w:ind w:left="945"/>
      </w:pPr>
      <w:r>
        <w:t>for</w:t>
      </w:r>
      <w:r>
        <w:rPr>
          <w:spacing w:val="-3"/>
        </w:rPr>
        <w:t xml:space="preserve"> </w:t>
      </w:r>
      <w:r>
        <w:t>the</w:t>
      </w:r>
      <w:r>
        <w:rPr>
          <w:spacing w:val="-3"/>
        </w:rPr>
        <w:t xml:space="preserve"> </w:t>
      </w:r>
      <w:r>
        <w:t>fact</w:t>
      </w:r>
      <w:r>
        <w:rPr>
          <w:spacing w:val="-3"/>
        </w:rPr>
        <w:t xml:space="preserve"> </w:t>
      </w:r>
      <w:r>
        <w:t>that</w:t>
      </w:r>
      <w:r>
        <w:rPr>
          <w:spacing w:val="-3"/>
        </w:rPr>
        <w:t xml:space="preserve"> </w:t>
      </w:r>
      <w:r>
        <w:t>they</w:t>
      </w:r>
      <w:r>
        <w:rPr>
          <w:spacing w:val="-2"/>
        </w:rPr>
        <w:t xml:space="preserve"> </w:t>
      </w:r>
      <w:r>
        <w:t>don’t</w:t>
      </w:r>
      <w:r>
        <w:rPr>
          <w:spacing w:val="-3"/>
        </w:rPr>
        <w:t xml:space="preserve"> </w:t>
      </w:r>
      <w:r>
        <w:t>like</w:t>
      </w:r>
      <w:r>
        <w:rPr>
          <w:spacing w:val="-3"/>
        </w:rPr>
        <w:t xml:space="preserve"> </w:t>
      </w:r>
      <w:r>
        <w:t>each</w:t>
      </w:r>
      <w:r>
        <w:rPr>
          <w:spacing w:val="-1"/>
        </w:rPr>
        <w:t xml:space="preserve"> </w:t>
      </w:r>
      <w:r>
        <w:rPr>
          <w:spacing w:val="-2"/>
        </w:rPr>
        <w:t>other.</w:t>
      </w:r>
    </w:p>
    <w:p w14:paraId="7E001A16" w14:textId="77777777" w:rsidR="009A58DB" w:rsidRDefault="009A58DB">
      <w:pPr>
        <w:pStyle w:val="BodyText"/>
        <w:spacing w:before="30"/>
        <w:ind w:left="0"/>
        <w:jc w:val="left"/>
      </w:pPr>
    </w:p>
    <w:p w14:paraId="7E001A17" w14:textId="77777777" w:rsidR="009A58DB" w:rsidRDefault="00000000">
      <w:pPr>
        <w:pStyle w:val="BodyText"/>
        <w:spacing w:before="1" w:line="249" w:lineRule="auto"/>
        <w:ind w:right="358" w:firstLine="360"/>
      </w:pPr>
      <w:r>
        <w:t>(i)–(iii) cannot be translated into statements that don’t presuppose or affirm the existence of properties. So it isn’t really an option to hold that properties don’t exist.</w:t>
      </w:r>
    </w:p>
    <w:p w14:paraId="7E001A18" w14:textId="77777777" w:rsidR="009A58DB" w:rsidRDefault="00000000">
      <w:pPr>
        <w:pStyle w:val="BodyText"/>
        <w:spacing w:before="3" w:line="249" w:lineRule="auto"/>
        <w:ind w:right="358" w:firstLine="360"/>
      </w:pPr>
      <w:r>
        <w:t>As soon as one grants that anything resembles anything, one must grant that universals exist independently of thought. For two objects to be similar</w:t>
      </w:r>
      <w:r>
        <w:rPr>
          <w:spacing w:val="40"/>
        </w:rPr>
        <w:t xml:space="preserve"> </w:t>
      </w:r>
      <w:r>
        <w:t>in some respect is for there to exist some property that they both have. For two objects to have the same shape is for there to exist some morphological property such that each object is an instance of that property. It’s obviously possible for two objects to have the same shape in a world devoid of sentient beings. Therefore, there exist properties in worlds where there are no sentient beings. Therefore, properties aren’t created by such beings and aren’t otherwise dependent on them.</w:t>
      </w:r>
    </w:p>
    <w:p w14:paraId="7E001A19" w14:textId="77777777" w:rsidR="009A58DB" w:rsidRDefault="00000000">
      <w:pPr>
        <w:pStyle w:val="BodyText"/>
        <w:spacing w:before="11" w:line="249" w:lineRule="auto"/>
        <w:ind w:right="358" w:firstLine="360"/>
      </w:pPr>
      <w:r>
        <w:t xml:space="preserve">Properties are identical with </w:t>
      </w:r>
      <w:r>
        <w:rPr>
          <w:i/>
        </w:rPr>
        <w:t>categories.</w:t>
      </w:r>
      <w:r>
        <w:rPr>
          <w:i/>
          <w:spacing w:val="-2"/>
        </w:rPr>
        <w:t xml:space="preserve"> </w:t>
      </w:r>
      <w:r>
        <w:t>For x to fall into a given category is for x to have a given property. (For x to fall into the category of round things is for x to have the property of being round.) Given that properties exist independently of thought, the same is true of categories. Thus, contrary to what some empiricists (e.g., Locke) say, categories are not devices that human beings created in order to expedite thought.</w:t>
      </w:r>
    </w:p>
    <w:p w14:paraId="7E001A1A" w14:textId="77777777" w:rsidR="009A58DB" w:rsidRDefault="00000000">
      <w:pPr>
        <w:pStyle w:val="BodyText"/>
        <w:spacing w:before="8" w:line="249" w:lineRule="auto"/>
        <w:ind w:right="358" w:firstLine="360"/>
      </w:pPr>
      <w:r>
        <w:t>It is easy to find independent corroboration for this view. Let each of x</w:t>
      </w:r>
      <w:r>
        <w:rPr>
          <w:spacing w:val="40"/>
        </w:rPr>
        <w:t xml:space="preserve"> </w:t>
      </w:r>
      <w:r>
        <w:t>and y be a pint of pure, clean glacial water, and let z be a pint of gasoline.</w:t>
      </w:r>
      <w:r>
        <w:rPr>
          <w:spacing w:val="40"/>
        </w:rPr>
        <w:t xml:space="preserve"> </w:t>
      </w:r>
      <w:r>
        <w:t>The chef or chemist or auto mechanic who chooses to co-categorize x and z, as opposed to x and y, is in for some very unpleasant surprises. Why? Because his categories don’t cut “nature at the joints,” to use Francis Bacon’s expression. In other words, there is some relevant property that x and y have in</w:t>
      </w:r>
      <w:r>
        <w:rPr>
          <w:spacing w:val="20"/>
        </w:rPr>
        <w:t xml:space="preserve"> </w:t>
      </w:r>
      <w:r>
        <w:t>common</w:t>
      </w:r>
      <w:r>
        <w:rPr>
          <w:spacing w:val="20"/>
        </w:rPr>
        <w:t xml:space="preserve"> </w:t>
      </w:r>
      <w:r>
        <w:t>that</w:t>
      </w:r>
      <w:r>
        <w:rPr>
          <w:spacing w:val="20"/>
        </w:rPr>
        <w:t xml:space="preserve"> </w:t>
      </w:r>
      <w:r>
        <w:t>x</w:t>
      </w:r>
      <w:r>
        <w:rPr>
          <w:spacing w:val="20"/>
        </w:rPr>
        <w:t xml:space="preserve"> </w:t>
      </w:r>
      <w:r>
        <w:t>and</w:t>
      </w:r>
      <w:r>
        <w:rPr>
          <w:spacing w:val="20"/>
        </w:rPr>
        <w:t xml:space="preserve"> </w:t>
      </w:r>
      <w:r>
        <w:t>z</w:t>
      </w:r>
      <w:r>
        <w:rPr>
          <w:spacing w:val="20"/>
        </w:rPr>
        <w:t xml:space="preserve"> </w:t>
      </w:r>
      <w:r>
        <w:rPr>
          <w:i/>
        </w:rPr>
        <w:t xml:space="preserve">don’t </w:t>
      </w:r>
      <w:r>
        <w:t>have</w:t>
      </w:r>
      <w:r>
        <w:rPr>
          <w:spacing w:val="23"/>
        </w:rPr>
        <w:t xml:space="preserve"> </w:t>
      </w:r>
      <w:r>
        <w:t>in</w:t>
      </w:r>
      <w:r>
        <w:rPr>
          <w:spacing w:val="23"/>
        </w:rPr>
        <w:t xml:space="preserve"> </w:t>
      </w:r>
      <w:r>
        <w:t>common,</w:t>
      </w:r>
      <w:r>
        <w:rPr>
          <w:spacing w:val="23"/>
        </w:rPr>
        <w:t xml:space="preserve"> </w:t>
      </w:r>
      <w:r>
        <w:t>and</w:t>
      </w:r>
      <w:r>
        <w:rPr>
          <w:spacing w:val="23"/>
        </w:rPr>
        <w:t xml:space="preserve"> </w:t>
      </w:r>
      <w:r>
        <w:t>this</w:t>
      </w:r>
      <w:r>
        <w:rPr>
          <w:spacing w:val="23"/>
        </w:rPr>
        <w:t xml:space="preserve"> </w:t>
      </w:r>
      <w:r>
        <w:t>person’s</w:t>
      </w:r>
      <w:r>
        <w:rPr>
          <w:spacing w:val="23"/>
        </w:rPr>
        <w:t xml:space="preserve"> </w:t>
      </w:r>
      <w:r>
        <w:t>system</w:t>
      </w:r>
      <w:r>
        <w:rPr>
          <w:spacing w:val="23"/>
        </w:rPr>
        <w:t xml:space="preserve"> </w:t>
      </w:r>
      <w:r>
        <w:t>of</w:t>
      </w:r>
    </w:p>
    <w:p w14:paraId="7E001A1B"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A1C" w14:textId="77777777" w:rsidR="009A58DB" w:rsidRDefault="00000000">
      <w:pPr>
        <w:pStyle w:val="BodyText"/>
        <w:spacing w:before="65"/>
      </w:pPr>
      <w:r>
        <w:lastRenderedPageBreak/>
        <w:t>categories</w:t>
      </w:r>
      <w:r>
        <w:rPr>
          <w:spacing w:val="-6"/>
        </w:rPr>
        <w:t xml:space="preserve"> </w:t>
      </w:r>
      <w:r>
        <w:t>embodies</w:t>
      </w:r>
      <w:r>
        <w:rPr>
          <w:spacing w:val="-4"/>
        </w:rPr>
        <w:t xml:space="preserve"> </w:t>
      </w:r>
      <w:r>
        <w:t>an</w:t>
      </w:r>
      <w:r>
        <w:rPr>
          <w:spacing w:val="-4"/>
        </w:rPr>
        <w:t xml:space="preserve"> </w:t>
      </w:r>
      <w:r>
        <w:t>ignorance</w:t>
      </w:r>
      <w:r>
        <w:rPr>
          <w:spacing w:val="-4"/>
        </w:rPr>
        <w:t xml:space="preserve"> </w:t>
      </w:r>
      <w:r>
        <w:t>of</w:t>
      </w:r>
      <w:r>
        <w:rPr>
          <w:spacing w:val="-3"/>
        </w:rPr>
        <w:t xml:space="preserve"> </w:t>
      </w:r>
      <w:r>
        <w:t>that</w:t>
      </w:r>
      <w:r>
        <w:rPr>
          <w:spacing w:val="-4"/>
        </w:rPr>
        <w:t xml:space="preserve"> </w:t>
      </w:r>
      <w:r>
        <w:rPr>
          <w:spacing w:val="-2"/>
        </w:rPr>
        <w:t>fact.</w:t>
      </w:r>
    </w:p>
    <w:p w14:paraId="7E001A1D" w14:textId="77777777" w:rsidR="009A58DB" w:rsidRDefault="00000000">
      <w:pPr>
        <w:pStyle w:val="Heading1"/>
        <w:numPr>
          <w:ilvl w:val="1"/>
          <w:numId w:val="113"/>
        </w:numPr>
        <w:tabs>
          <w:tab w:val="left" w:pos="1125"/>
        </w:tabs>
        <w:spacing w:line="244" w:lineRule="auto"/>
        <w:ind w:right="367" w:firstLine="0"/>
      </w:pPr>
      <w:r>
        <w:t>Non-perceptual</w:t>
      </w:r>
      <w:r>
        <w:rPr>
          <w:spacing w:val="80"/>
        </w:rPr>
        <w:t xml:space="preserve"> </w:t>
      </w:r>
      <w:r>
        <w:t>knowledge</w:t>
      </w:r>
      <w:r>
        <w:rPr>
          <w:spacing w:val="80"/>
        </w:rPr>
        <w:t xml:space="preserve"> </w:t>
      </w:r>
      <w:r>
        <w:t>a</w:t>
      </w:r>
      <w:r>
        <w:rPr>
          <w:spacing w:val="80"/>
        </w:rPr>
        <w:t xml:space="preserve"> </w:t>
      </w:r>
      <w:r>
        <w:t>prerequisite</w:t>
      </w:r>
      <w:r>
        <w:rPr>
          <w:spacing w:val="80"/>
        </w:rPr>
        <w:t xml:space="preserve"> </w:t>
      </w:r>
      <w:r>
        <w:t>for perceptual knowledge</w:t>
      </w:r>
    </w:p>
    <w:p w14:paraId="7E001A1E" w14:textId="77777777" w:rsidR="009A58DB" w:rsidRDefault="00000000">
      <w:pPr>
        <w:pStyle w:val="BodyText"/>
        <w:spacing w:before="131" w:line="249" w:lineRule="auto"/>
        <w:ind w:right="361"/>
      </w:pPr>
      <w:r>
        <w:t>It’s not as though tables, rocks, trees, etc., create little images of themselves that they deposit in our hitherto empty crania. Our minds have to supply the “paint,” so to speak, with which our mental representations of those objects are painted.</w:t>
      </w:r>
    </w:p>
    <w:p w14:paraId="7E001A1F" w14:textId="77777777" w:rsidR="009A58DB" w:rsidRDefault="00000000">
      <w:pPr>
        <w:pStyle w:val="BodyText"/>
        <w:spacing w:before="5" w:line="249" w:lineRule="auto"/>
        <w:ind w:right="360" w:firstLine="360"/>
      </w:pPr>
      <w:r>
        <w:t xml:space="preserve">In fact, our minds must supply </w:t>
      </w:r>
      <w:r>
        <w:rPr>
          <w:i/>
        </w:rPr>
        <w:t xml:space="preserve">everything. </w:t>
      </w:r>
      <w:r>
        <w:t xml:space="preserve">External objects don’t </w:t>
      </w:r>
      <w:r>
        <w:rPr>
          <w:i/>
        </w:rPr>
        <w:t xml:space="preserve">supply </w:t>
      </w:r>
      <w:r>
        <w:t>our</w:t>
      </w:r>
      <w:r>
        <w:rPr>
          <w:spacing w:val="-1"/>
        </w:rPr>
        <w:t xml:space="preserve"> </w:t>
      </w:r>
      <w:r>
        <w:t>minds with anything. All</w:t>
      </w:r>
      <w:r>
        <w:rPr>
          <w:spacing w:val="-1"/>
        </w:rPr>
        <w:t xml:space="preserve"> </w:t>
      </w:r>
      <w:r>
        <w:t>they</w:t>
      </w:r>
      <w:r>
        <w:rPr>
          <w:spacing w:val="-1"/>
        </w:rPr>
        <w:t xml:space="preserve"> </w:t>
      </w:r>
      <w:r>
        <w:t>do is tell</w:t>
      </w:r>
      <w:r>
        <w:rPr>
          <w:spacing w:val="-1"/>
        </w:rPr>
        <w:t xml:space="preserve"> </w:t>
      </w:r>
      <w:r>
        <w:t>our</w:t>
      </w:r>
      <w:r>
        <w:rPr>
          <w:spacing w:val="-1"/>
        </w:rPr>
        <w:t xml:space="preserve"> </w:t>
      </w:r>
      <w:r>
        <w:t>minds</w:t>
      </w:r>
      <w:r>
        <w:rPr>
          <w:spacing w:val="-1"/>
        </w:rPr>
        <w:t xml:space="preserve"> </w:t>
      </w:r>
      <w:r>
        <w:t>when to deploy what</w:t>
      </w:r>
      <w:r>
        <w:rPr>
          <w:spacing w:val="-1"/>
        </w:rPr>
        <w:t xml:space="preserve"> </w:t>
      </w:r>
      <w:r>
        <w:t xml:space="preserve">is already in them. External objects don’t stock our minds; they </w:t>
      </w:r>
      <w:r>
        <w:rPr>
          <w:i/>
        </w:rPr>
        <w:t>activate</w:t>
      </w:r>
      <w:r>
        <w:rPr>
          <w:i/>
          <w:spacing w:val="-3"/>
        </w:rPr>
        <w:t xml:space="preserve"> </w:t>
      </w:r>
      <w:r>
        <w:t>what’s already in them. A rock will never experience an image. It doesn’t matter</w:t>
      </w:r>
      <w:r>
        <w:rPr>
          <w:spacing w:val="40"/>
        </w:rPr>
        <w:t xml:space="preserve"> </w:t>
      </w:r>
      <w:r>
        <w:t>how many light beams you fire at it. There’s nothing in it to be brought forth; there are, so to speak, no images in there to begin with. For similar reasons, the acoustical disturbances that, in a human, would lead to knowledge of English or of philosophical principles will have no comparable effect on a rock. Thoughts are taught by being elicited, not by being deposited. This is the most fundamental problem with empiricism.</w:t>
      </w:r>
    </w:p>
    <w:p w14:paraId="7E001A20" w14:textId="77777777" w:rsidR="009A58DB" w:rsidRDefault="00000000">
      <w:pPr>
        <w:pStyle w:val="BodyText"/>
        <w:spacing w:before="13" w:line="249" w:lineRule="auto"/>
        <w:ind w:right="358" w:firstLine="360"/>
      </w:pPr>
      <w:r>
        <w:t xml:space="preserve">A precondition for sense-perceiving anything is that we be able to represent it as having a location (relative to us) in space and time, that we be able to represent it as having a certain shape, state of motion, color, etc. Although we learn a great deal through perception, what we </w:t>
      </w:r>
      <w:r>
        <w:rPr>
          <w:i/>
        </w:rPr>
        <w:t xml:space="preserve">don’t </w:t>
      </w:r>
      <w:r>
        <w:t xml:space="preserve">learn through it are the concepts—space, time, motion, shape, color, etc.—out of which sense-perceptions are constructed. So those things, and all that having them involves, must be in the mind </w:t>
      </w:r>
      <w:r>
        <w:rPr>
          <w:i/>
        </w:rPr>
        <w:t xml:space="preserve">prior </w:t>
      </w:r>
      <w:r>
        <w:t xml:space="preserve">to sense-perception, as a necessary </w:t>
      </w:r>
      <w:r>
        <w:rPr>
          <w:i/>
        </w:rPr>
        <w:t>pre</w:t>
      </w:r>
      <w:r>
        <w:t>condition for it.</w:t>
      </w:r>
    </w:p>
    <w:p w14:paraId="7E001A21" w14:textId="77777777" w:rsidR="009A58DB" w:rsidRDefault="00000000">
      <w:pPr>
        <w:pStyle w:val="BodyText"/>
        <w:spacing w:before="9" w:line="249" w:lineRule="auto"/>
        <w:ind w:right="360" w:firstLine="360"/>
      </w:pPr>
      <w:r>
        <w:t xml:space="preserve">These considerations expose what I believe to be the deepest confusion of which empiricism is guilty. Empiricists fail to distinguish between two very different roles that sense-perceptions can have: they can have a </w:t>
      </w:r>
      <w:r>
        <w:rPr>
          <w:i/>
        </w:rPr>
        <w:t xml:space="preserve">triggering </w:t>
      </w:r>
      <w:r>
        <w:t xml:space="preserve">role and they can also have an </w:t>
      </w:r>
      <w:r>
        <w:rPr>
          <w:i/>
        </w:rPr>
        <w:t xml:space="preserve">information-transmitting </w:t>
      </w:r>
      <w:r>
        <w:t>role.</w:t>
      </w:r>
    </w:p>
    <w:p w14:paraId="7E001A22" w14:textId="77777777" w:rsidR="009A58DB" w:rsidRDefault="00000000">
      <w:pPr>
        <w:pStyle w:val="Heading1"/>
        <w:numPr>
          <w:ilvl w:val="1"/>
          <w:numId w:val="113"/>
        </w:numPr>
        <w:tabs>
          <w:tab w:val="left" w:pos="1055"/>
        </w:tabs>
        <w:spacing w:before="0" w:line="244" w:lineRule="auto"/>
        <w:ind w:right="364" w:firstLine="0"/>
      </w:pPr>
      <w:r>
        <w:t>Sense-perception</w:t>
      </w:r>
      <w:r>
        <w:rPr>
          <w:spacing w:val="40"/>
        </w:rPr>
        <w:t xml:space="preserve"> </w:t>
      </w:r>
      <w:r>
        <w:t>as</w:t>
      </w:r>
      <w:r>
        <w:rPr>
          <w:spacing w:val="40"/>
        </w:rPr>
        <w:t xml:space="preserve"> </w:t>
      </w:r>
      <w:r>
        <w:t>transmitter</w:t>
      </w:r>
      <w:r>
        <w:rPr>
          <w:spacing w:val="40"/>
        </w:rPr>
        <w:t xml:space="preserve"> </w:t>
      </w:r>
      <w:r>
        <w:t>of</w:t>
      </w:r>
      <w:r>
        <w:rPr>
          <w:spacing w:val="40"/>
        </w:rPr>
        <w:t xml:space="preserve"> </w:t>
      </w:r>
      <w:r>
        <w:t>information about the external world</w:t>
      </w:r>
    </w:p>
    <w:p w14:paraId="7E001A23" w14:textId="77777777" w:rsidR="009A58DB" w:rsidRDefault="00000000">
      <w:pPr>
        <w:pStyle w:val="BodyText"/>
        <w:spacing w:before="370"/>
      </w:pPr>
      <w:r>
        <w:t>You</w:t>
      </w:r>
      <w:r>
        <w:rPr>
          <w:spacing w:val="20"/>
        </w:rPr>
        <w:t xml:space="preserve"> </w:t>
      </w:r>
      <w:r>
        <w:t>see</w:t>
      </w:r>
      <w:r>
        <w:rPr>
          <w:spacing w:val="23"/>
        </w:rPr>
        <w:t xml:space="preserve"> </w:t>
      </w:r>
      <w:r>
        <w:t>a</w:t>
      </w:r>
      <w:r>
        <w:rPr>
          <w:spacing w:val="22"/>
        </w:rPr>
        <w:t xml:space="preserve"> </w:t>
      </w:r>
      <w:r>
        <w:t>dog.</w:t>
      </w:r>
      <w:r>
        <w:rPr>
          <w:spacing w:val="23"/>
        </w:rPr>
        <w:t xml:space="preserve"> </w:t>
      </w:r>
      <w:r>
        <w:t>On</w:t>
      </w:r>
      <w:r>
        <w:rPr>
          <w:spacing w:val="22"/>
        </w:rPr>
        <w:t xml:space="preserve"> </w:t>
      </w:r>
      <w:r>
        <w:t>that</w:t>
      </w:r>
      <w:r>
        <w:rPr>
          <w:spacing w:val="23"/>
        </w:rPr>
        <w:t xml:space="preserve"> </w:t>
      </w:r>
      <w:r>
        <w:t>basis</w:t>
      </w:r>
      <w:r>
        <w:rPr>
          <w:spacing w:val="22"/>
        </w:rPr>
        <w:t xml:space="preserve"> </w:t>
      </w:r>
      <w:r>
        <w:t>you</w:t>
      </w:r>
      <w:r>
        <w:rPr>
          <w:spacing w:val="23"/>
        </w:rPr>
        <w:t xml:space="preserve"> </w:t>
      </w:r>
      <w:r>
        <w:t>have</w:t>
      </w:r>
      <w:r>
        <w:rPr>
          <w:spacing w:val="22"/>
        </w:rPr>
        <w:t xml:space="preserve"> </w:t>
      </w:r>
      <w:r>
        <w:t>the</w:t>
      </w:r>
      <w:r>
        <w:rPr>
          <w:spacing w:val="23"/>
        </w:rPr>
        <w:t xml:space="preserve"> </w:t>
      </w:r>
      <w:r>
        <w:t>belief</w:t>
      </w:r>
      <w:r>
        <w:rPr>
          <w:spacing w:val="22"/>
        </w:rPr>
        <w:t xml:space="preserve"> </w:t>
      </w:r>
      <w:r>
        <w:t>that</w:t>
      </w:r>
      <w:r>
        <w:rPr>
          <w:spacing w:val="23"/>
        </w:rPr>
        <w:t xml:space="preserve"> </w:t>
      </w:r>
      <w:r>
        <w:t>there</w:t>
      </w:r>
      <w:r>
        <w:rPr>
          <w:spacing w:val="22"/>
        </w:rPr>
        <w:t xml:space="preserve"> </w:t>
      </w:r>
      <w:r>
        <w:t>is</w:t>
      </w:r>
      <w:r>
        <w:rPr>
          <w:spacing w:val="23"/>
        </w:rPr>
        <w:t xml:space="preserve"> </w:t>
      </w:r>
      <w:r>
        <w:t>a</w:t>
      </w:r>
      <w:r>
        <w:rPr>
          <w:spacing w:val="22"/>
        </w:rPr>
        <w:t xml:space="preserve"> </w:t>
      </w:r>
      <w:r>
        <w:t>nearby</w:t>
      </w:r>
      <w:r>
        <w:rPr>
          <w:spacing w:val="23"/>
        </w:rPr>
        <w:t xml:space="preserve"> </w:t>
      </w:r>
      <w:r>
        <w:rPr>
          <w:spacing w:val="-4"/>
        </w:rPr>
        <w:t>dog.</w:t>
      </w:r>
    </w:p>
    <w:p w14:paraId="7E001A24" w14:textId="77777777" w:rsidR="009A58DB" w:rsidRDefault="009A58DB">
      <w:pPr>
        <w:pStyle w:val="BodyText"/>
        <w:sectPr w:rsidR="009A58DB">
          <w:pgSz w:w="12240" w:h="15840"/>
          <w:pgMar w:top="1380" w:right="1080" w:bottom="280" w:left="1080" w:header="720" w:footer="720" w:gutter="0"/>
          <w:cols w:space="720"/>
        </w:sectPr>
      </w:pPr>
    </w:p>
    <w:p w14:paraId="7E001A25" w14:textId="77777777" w:rsidR="009A58DB" w:rsidRDefault="00000000">
      <w:pPr>
        <w:pStyle w:val="BodyText"/>
        <w:spacing w:before="60" w:line="249" w:lineRule="auto"/>
        <w:ind w:right="360"/>
      </w:pPr>
      <w:r>
        <w:lastRenderedPageBreak/>
        <w:t>Here</w:t>
      </w:r>
      <w:r>
        <w:rPr>
          <w:spacing w:val="-1"/>
        </w:rPr>
        <w:t xml:space="preserve"> </w:t>
      </w:r>
      <w:r>
        <w:t>your</w:t>
      </w:r>
      <w:r>
        <w:rPr>
          <w:spacing w:val="-1"/>
        </w:rPr>
        <w:t xml:space="preserve"> </w:t>
      </w:r>
      <w:r>
        <w:t>eyes</w:t>
      </w:r>
      <w:r>
        <w:rPr>
          <w:spacing w:val="-1"/>
        </w:rPr>
        <w:t xml:space="preserve"> </w:t>
      </w:r>
      <w:r>
        <w:t>transmitted</w:t>
      </w:r>
      <w:r>
        <w:rPr>
          <w:spacing w:val="-1"/>
        </w:rPr>
        <w:t xml:space="preserve"> </w:t>
      </w:r>
      <w:r>
        <w:t>information</w:t>
      </w:r>
      <w:r>
        <w:rPr>
          <w:spacing w:val="-1"/>
        </w:rPr>
        <w:t xml:space="preserve"> </w:t>
      </w:r>
      <w:r>
        <w:t>to</w:t>
      </w:r>
      <w:r>
        <w:rPr>
          <w:spacing w:val="-1"/>
        </w:rPr>
        <w:t xml:space="preserve"> </w:t>
      </w:r>
      <w:r>
        <w:t>you</w:t>
      </w:r>
      <w:r>
        <w:rPr>
          <w:spacing w:val="-1"/>
        </w:rPr>
        <w:t xml:space="preserve"> </w:t>
      </w:r>
      <w:r>
        <w:t>about</w:t>
      </w:r>
      <w:r>
        <w:rPr>
          <w:spacing w:val="-1"/>
        </w:rPr>
        <w:t xml:space="preserve"> </w:t>
      </w:r>
      <w:r>
        <w:t>the</w:t>
      </w:r>
      <w:r>
        <w:rPr>
          <w:spacing w:val="-1"/>
        </w:rPr>
        <w:t xml:space="preserve"> </w:t>
      </w:r>
      <w:r>
        <w:t>external</w:t>
      </w:r>
      <w:r>
        <w:rPr>
          <w:spacing w:val="-1"/>
        </w:rPr>
        <w:t xml:space="preserve"> </w:t>
      </w:r>
      <w:r>
        <w:t>world.</w:t>
      </w:r>
      <w:r>
        <w:rPr>
          <w:spacing w:val="-1"/>
        </w:rPr>
        <w:t xml:space="preserve"> </w:t>
      </w:r>
      <w:r>
        <w:t>They “told” you, so to speak, that there was a dog in a certain place. Your could</w:t>
      </w:r>
      <w:r>
        <w:rPr>
          <w:spacing w:val="40"/>
        </w:rPr>
        <w:t xml:space="preserve"> </w:t>
      </w:r>
      <w:r>
        <w:t>not possibly have learned this fact through pure logic-chopping or conceptual analysis. You could learn it only through the senses (either by seeing the dog or by sense-perceiving some other sort of evidence of the dog). In this context, then, information about the external world is being transmitted to</w:t>
      </w:r>
      <w:r>
        <w:rPr>
          <w:spacing w:val="40"/>
        </w:rPr>
        <w:t xml:space="preserve"> </w:t>
      </w:r>
      <w:r>
        <w:t xml:space="preserve">you through your senses. Your senses (specifically, your sense of sight) is thus functioning in what we might call an “information transmitting” </w:t>
      </w:r>
      <w:r>
        <w:rPr>
          <w:spacing w:val="-2"/>
        </w:rPr>
        <w:t>capacity.</w:t>
      </w:r>
    </w:p>
    <w:p w14:paraId="7E001A26" w14:textId="77777777" w:rsidR="009A58DB" w:rsidRDefault="00000000">
      <w:pPr>
        <w:pStyle w:val="Heading1"/>
        <w:numPr>
          <w:ilvl w:val="1"/>
          <w:numId w:val="113"/>
        </w:numPr>
        <w:tabs>
          <w:tab w:val="left" w:pos="990"/>
        </w:tabs>
        <w:spacing w:before="204"/>
        <w:ind w:left="990" w:hanging="630"/>
      </w:pPr>
      <w:r>
        <w:t>Sense-perception</w:t>
      </w:r>
      <w:r>
        <w:rPr>
          <w:spacing w:val="-8"/>
        </w:rPr>
        <w:t xml:space="preserve"> </w:t>
      </w:r>
      <w:r>
        <w:t>as</w:t>
      </w:r>
      <w:r>
        <w:rPr>
          <w:spacing w:val="-8"/>
        </w:rPr>
        <w:t xml:space="preserve"> </w:t>
      </w:r>
      <w:r>
        <w:rPr>
          <w:spacing w:val="-2"/>
        </w:rPr>
        <w:t>trigger</w:t>
      </w:r>
    </w:p>
    <w:p w14:paraId="7E001A27" w14:textId="77777777" w:rsidR="009A58DB" w:rsidRDefault="00000000">
      <w:pPr>
        <w:pStyle w:val="BodyText"/>
        <w:spacing w:before="139" w:line="249" w:lineRule="auto"/>
        <w:ind w:right="359"/>
      </w:pPr>
      <w:r>
        <w:t>Sense-perceptions</w:t>
      </w:r>
      <w:r>
        <w:rPr>
          <w:spacing w:val="-5"/>
        </w:rPr>
        <w:t xml:space="preserve"> </w:t>
      </w:r>
      <w:r>
        <w:t>have</w:t>
      </w:r>
      <w:r>
        <w:rPr>
          <w:spacing w:val="-5"/>
        </w:rPr>
        <w:t xml:space="preserve"> </w:t>
      </w:r>
      <w:r>
        <w:t>a</w:t>
      </w:r>
      <w:r>
        <w:rPr>
          <w:spacing w:val="-5"/>
        </w:rPr>
        <w:t xml:space="preserve"> </w:t>
      </w:r>
      <w:r>
        <w:t>triggering</w:t>
      </w:r>
      <w:r>
        <w:rPr>
          <w:spacing w:val="-4"/>
        </w:rPr>
        <w:t xml:space="preserve"> </w:t>
      </w:r>
      <w:r>
        <w:t>role</w:t>
      </w:r>
      <w:r>
        <w:rPr>
          <w:spacing w:val="-5"/>
        </w:rPr>
        <w:t xml:space="preserve"> </w:t>
      </w:r>
      <w:r>
        <w:t>when</w:t>
      </w:r>
      <w:r>
        <w:rPr>
          <w:spacing w:val="-4"/>
        </w:rPr>
        <w:t xml:space="preserve"> </w:t>
      </w:r>
      <w:r>
        <w:t>they</w:t>
      </w:r>
      <w:r>
        <w:rPr>
          <w:spacing w:val="-4"/>
        </w:rPr>
        <w:t xml:space="preserve"> </w:t>
      </w:r>
      <w:r>
        <w:t>provide</w:t>
      </w:r>
      <w:r>
        <w:rPr>
          <w:spacing w:val="-5"/>
        </w:rPr>
        <w:t xml:space="preserve"> </w:t>
      </w:r>
      <w:r>
        <w:t>the</w:t>
      </w:r>
      <w:r>
        <w:rPr>
          <w:spacing w:val="-5"/>
        </w:rPr>
        <w:t xml:space="preserve"> </w:t>
      </w:r>
      <w:r>
        <w:t>recepient</w:t>
      </w:r>
      <w:r>
        <w:rPr>
          <w:spacing w:val="-5"/>
        </w:rPr>
        <w:t xml:space="preserve"> </w:t>
      </w:r>
      <w:r>
        <w:t xml:space="preserve">with new information </w:t>
      </w:r>
      <w:r>
        <w:rPr>
          <w:i/>
        </w:rPr>
        <w:t xml:space="preserve">not </w:t>
      </w:r>
      <w:r>
        <w:t>by telling him something about the external world, but by activating or “triggering” some already existing cognitive faculty.</w:t>
      </w:r>
    </w:p>
    <w:p w14:paraId="7E001A28" w14:textId="77777777" w:rsidR="009A58DB" w:rsidRDefault="00000000">
      <w:pPr>
        <w:pStyle w:val="BodyText"/>
        <w:spacing w:before="3" w:line="249" w:lineRule="auto"/>
        <w:ind w:right="361" w:firstLine="360"/>
      </w:pPr>
      <w:r>
        <w:t>You are in a geometry class. The teacher draws something that is</w:t>
      </w:r>
      <w:r>
        <w:rPr>
          <w:spacing w:val="40"/>
        </w:rPr>
        <w:t xml:space="preserve"> </w:t>
      </w:r>
      <w:r>
        <w:t>supposed to represent a triangle but only vaguely looks like one. He draws various lines through it, around it, etc. And from these diagrams you learn various facts about triangles.</w:t>
      </w:r>
    </w:p>
    <w:p w14:paraId="7E001A29" w14:textId="77777777" w:rsidR="009A58DB" w:rsidRDefault="00000000">
      <w:pPr>
        <w:pStyle w:val="BodyText"/>
        <w:spacing w:before="5"/>
        <w:ind w:left="720"/>
      </w:pPr>
      <w:r>
        <w:t>What</w:t>
      </w:r>
      <w:r>
        <w:rPr>
          <w:spacing w:val="-1"/>
        </w:rPr>
        <w:t xml:space="preserve"> </w:t>
      </w:r>
      <w:r>
        <w:t>did</w:t>
      </w:r>
      <w:r>
        <w:rPr>
          <w:spacing w:val="1"/>
        </w:rPr>
        <w:t xml:space="preserve"> </w:t>
      </w:r>
      <w:r>
        <w:t>you</w:t>
      </w:r>
      <w:r>
        <w:rPr>
          <w:spacing w:val="1"/>
        </w:rPr>
        <w:t xml:space="preserve"> </w:t>
      </w:r>
      <w:r>
        <w:t>actually</w:t>
      </w:r>
      <w:r>
        <w:rPr>
          <w:spacing w:val="1"/>
        </w:rPr>
        <w:t xml:space="preserve"> </w:t>
      </w:r>
      <w:r>
        <w:rPr>
          <w:i/>
        </w:rPr>
        <w:t>see?</w:t>
      </w:r>
      <w:r>
        <w:rPr>
          <w:i/>
          <w:spacing w:val="-1"/>
        </w:rPr>
        <w:t xml:space="preserve"> </w:t>
      </w:r>
      <w:r>
        <w:t>What</w:t>
      </w:r>
      <w:r>
        <w:rPr>
          <w:spacing w:val="7"/>
        </w:rPr>
        <w:t xml:space="preserve"> </w:t>
      </w:r>
      <w:r>
        <w:t>did</w:t>
      </w:r>
      <w:r>
        <w:rPr>
          <w:spacing w:val="7"/>
        </w:rPr>
        <w:t xml:space="preserve"> </w:t>
      </w:r>
      <w:r>
        <w:t>your</w:t>
      </w:r>
      <w:r>
        <w:rPr>
          <w:spacing w:val="7"/>
        </w:rPr>
        <w:t xml:space="preserve"> </w:t>
      </w:r>
      <w:r>
        <w:t>eyes</w:t>
      </w:r>
      <w:r>
        <w:rPr>
          <w:spacing w:val="7"/>
        </w:rPr>
        <w:t xml:space="preserve"> </w:t>
      </w:r>
      <w:r>
        <w:t>show</w:t>
      </w:r>
      <w:r>
        <w:rPr>
          <w:spacing w:val="7"/>
        </w:rPr>
        <w:t xml:space="preserve"> </w:t>
      </w:r>
      <w:r>
        <w:t>you?</w:t>
      </w:r>
      <w:r>
        <w:rPr>
          <w:spacing w:val="7"/>
        </w:rPr>
        <w:t xml:space="preserve"> </w:t>
      </w:r>
      <w:r>
        <w:t>A</w:t>
      </w:r>
      <w:r>
        <w:rPr>
          <w:spacing w:val="7"/>
        </w:rPr>
        <w:t xml:space="preserve"> </w:t>
      </w:r>
      <w:r>
        <w:t>triangle?</w:t>
      </w:r>
      <w:r>
        <w:rPr>
          <w:spacing w:val="8"/>
        </w:rPr>
        <w:t xml:space="preserve"> </w:t>
      </w:r>
      <w:r>
        <w:rPr>
          <w:spacing w:val="-5"/>
        </w:rPr>
        <w:t>No</w:t>
      </w:r>
    </w:p>
    <w:p w14:paraId="7E001A2A" w14:textId="77777777" w:rsidR="009A58DB" w:rsidRDefault="00000000">
      <w:pPr>
        <w:pStyle w:val="BodyText"/>
        <w:spacing w:before="15" w:line="249" w:lineRule="auto"/>
        <w:ind w:right="361"/>
      </w:pPr>
      <w:r>
        <w:t>—only a few uneven lines that formed something that vaguely looked like a triangle. How did your seeing this non-triangle get you to know that, for example, the area of a triangle is 1/2 base times height? Since you didn’t see any triangles, you didn’t see any triangles’ height, base, or area. The things you saw were symbols for things that had to be supplied to you by something other than your senses—that had to be supplied to you by your intellect.</w:t>
      </w:r>
    </w:p>
    <w:p w14:paraId="7E001A2B" w14:textId="77777777" w:rsidR="009A58DB" w:rsidRDefault="00000000">
      <w:pPr>
        <w:pStyle w:val="BodyText"/>
        <w:spacing w:before="8" w:line="249" w:lineRule="auto"/>
        <w:ind w:right="358" w:firstLine="360"/>
      </w:pPr>
      <w:r>
        <w:t xml:space="preserve">This is not to say that the diagram was useless. Plainly it was not. It may be that, but for seeing it, you wouldn’t have learned anything about triangles. But your seeing the diagram led to your knowing those truths about triangles </w:t>
      </w:r>
      <w:r>
        <w:rPr>
          <w:i/>
        </w:rPr>
        <w:t xml:space="preserve">not </w:t>
      </w:r>
      <w:r>
        <w:t xml:space="preserve">because any triangle, or any fact about triangles, was any part of the information imparted to you by your perception, but rather by </w:t>
      </w:r>
      <w:r>
        <w:rPr>
          <w:i/>
        </w:rPr>
        <w:t xml:space="preserve">triggering </w:t>
      </w:r>
      <w:r>
        <w:t xml:space="preserve">or </w:t>
      </w:r>
      <w:r>
        <w:rPr>
          <w:i/>
        </w:rPr>
        <w:t xml:space="preserve">activating </w:t>
      </w:r>
      <w:r>
        <w:t xml:space="preserve">certain conceptual faculties of yours. In this context, your senses are (to the extent that you are learning actual geometrical truths as opposed to mathematically irrelevant facts about the blackboard, chalk-marks, etc.) providing you with knowledge by getting you to acquire knowledge in some </w:t>
      </w:r>
      <w:r>
        <w:rPr>
          <w:i/>
        </w:rPr>
        <w:t>non</w:t>
      </w:r>
      <w:r>
        <w:t>-sensory way, viz. by getting you to grasp, and analyze relations among,</w:t>
      </w:r>
    </w:p>
    <w:p w14:paraId="7E001A2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2D" w14:textId="77777777" w:rsidR="009A58DB" w:rsidRDefault="00000000">
      <w:pPr>
        <w:pStyle w:val="BodyText"/>
        <w:spacing w:before="60"/>
        <w:jc w:val="left"/>
      </w:pPr>
      <w:r>
        <w:rPr>
          <w:spacing w:val="-2"/>
        </w:rPr>
        <w:lastRenderedPageBreak/>
        <w:t>concepts.</w:t>
      </w:r>
    </w:p>
    <w:p w14:paraId="7E001A2E" w14:textId="77777777" w:rsidR="009A58DB" w:rsidRDefault="00000000">
      <w:pPr>
        <w:pStyle w:val="BodyText"/>
        <w:spacing w:before="20" w:line="249" w:lineRule="auto"/>
        <w:ind w:right="358" w:firstLine="360"/>
      </w:pPr>
      <w:r>
        <w:t xml:space="preserve">The proof that your visual perception of the diagram had only a </w:t>
      </w:r>
      <w:r>
        <w:rPr>
          <w:i/>
        </w:rPr>
        <w:t xml:space="preserve">triggering </w:t>
      </w:r>
      <w:r>
        <w:t xml:space="preserve">role, and that it did not itself contain any information relating to what you learned, is that, if you were to forget ever having seen that diagram—were to forget what it looked like, who drew it, where you saw, or even </w:t>
      </w:r>
      <w:r>
        <w:rPr>
          <w:i/>
        </w:rPr>
        <w:t>that</w:t>
      </w:r>
      <w:r>
        <w:rPr>
          <w:i/>
          <w:spacing w:val="-3"/>
        </w:rPr>
        <w:t xml:space="preserve"> </w:t>
      </w:r>
      <w:r>
        <w:t xml:space="preserve">you saw it—it would have no effect on the geometrical truths that you learned that day. The reason is that those geometrical truths (e.g., area of a triangles = bh/2) were simply </w:t>
      </w:r>
      <w:r>
        <w:rPr>
          <w:i/>
        </w:rPr>
        <w:t xml:space="preserve">not </w:t>
      </w:r>
      <w:r>
        <w:t xml:space="preserve">part of the content of what your senses were telling </w:t>
      </w:r>
      <w:r>
        <w:rPr>
          <w:spacing w:val="-4"/>
        </w:rPr>
        <w:t>you.</w:t>
      </w:r>
    </w:p>
    <w:p w14:paraId="7E001A2F" w14:textId="77777777" w:rsidR="009A58DB" w:rsidRDefault="00000000">
      <w:pPr>
        <w:pStyle w:val="BodyText"/>
        <w:spacing w:before="9" w:line="249" w:lineRule="auto"/>
        <w:ind w:right="359" w:firstLine="360"/>
      </w:pPr>
      <w:r>
        <w:t xml:space="preserve">By contrast, if you forget ever seeing the dog (described in the last section), you </w:t>
      </w:r>
      <w:r>
        <w:rPr>
          <w:i/>
        </w:rPr>
        <w:t xml:space="preserve">will </w:t>
      </w:r>
      <w:r>
        <w:t xml:space="preserve">forget the information that, on that occasion, your senses led you to have. The reason is that, in that context, your senses weren’t serving the purpose of jogging your ability to acquire knowledge in some </w:t>
      </w:r>
      <w:r>
        <w:rPr>
          <w:i/>
        </w:rPr>
        <w:t>non</w:t>
      </w:r>
      <w:r>
        <w:t>-sensory way (viz. through rational insight) but were themselves the bearers of the information learned.</w:t>
      </w:r>
    </w:p>
    <w:p w14:paraId="7E001A30" w14:textId="77777777" w:rsidR="009A58DB" w:rsidRDefault="00000000">
      <w:pPr>
        <w:pStyle w:val="Heading1"/>
        <w:numPr>
          <w:ilvl w:val="1"/>
          <w:numId w:val="113"/>
        </w:numPr>
        <w:tabs>
          <w:tab w:val="left" w:pos="795"/>
          <w:tab w:val="left" w:pos="1385"/>
        </w:tabs>
        <w:spacing w:before="196" w:line="244" w:lineRule="auto"/>
        <w:ind w:left="795" w:right="363" w:hanging="435"/>
        <w:jc w:val="both"/>
      </w:pPr>
      <w:r>
        <w:t xml:space="preserve">An anti-empiricist consequence of the distinction between triggering and information </w:t>
      </w:r>
      <w:r>
        <w:rPr>
          <w:spacing w:val="-2"/>
        </w:rPr>
        <w:t>transmitting</w:t>
      </w:r>
    </w:p>
    <w:p w14:paraId="7E001A31" w14:textId="77777777" w:rsidR="009A58DB" w:rsidRDefault="00000000">
      <w:pPr>
        <w:pStyle w:val="BodyText"/>
        <w:spacing w:before="134" w:line="249" w:lineRule="auto"/>
        <w:ind w:right="362"/>
      </w:pPr>
      <w:r>
        <w:t xml:space="preserve">According to strict empiricists, </w:t>
      </w:r>
      <w:r>
        <w:rPr>
          <w:i/>
        </w:rPr>
        <w:t xml:space="preserve">everything </w:t>
      </w:r>
      <w:r>
        <w:t xml:space="preserve">that is learned, including purely logical principles, is learned through sense-perception. When this appears to happen, it’s because sense-perception is simply “turning on” some non-sensory mode of knowledge acquisition. “Truths of reason,” as Hume called them, aren’t learned through sense-perception, even though sense-perception may awaken the non-sensory faculty through which we do become aware of </w:t>
      </w:r>
      <w:r>
        <w:rPr>
          <w:spacing w:val="-2"/>
        </w:rPr>
        <w:t>them.</w:t>
      </w:r>
    </w:p>
    <w:p w14:paraId="7E001A32" w14:textId="77777777" w:rsidR="009A58DB" w:rsidRDefault="00000000">
      <w:pPr>
        <w:pStyle w:val="BodyText"/>
        <w:spacing w:before="9" w:line="249" w:lineRule="auto"/>
        <w:ind w:left="720" w:right="361"/>
      </w:pPr>
      <w:r>
        <w:t>Some empiricists are aware of this objection, and they generally deal with it by saying one of two things:</w:t>
      </w:r>
    </w:p>
    <w:p w14:paraId="7E001A33" w14:textId="77777777" w:rsidR="009A58DB" w:rsidRDefault="009A58DB">
      <w:pPr>
        <w:pStyle w:val="BodyText"/>
        <w:spacing w:before="17"/>
        <w:ind w:left="0"/>
        <w:jc w:val="left"/>
      </w:pPr>
    </w:p>
    <w:p w14:paraId="7E001A34" w14:textId="77777777" w:rsidR="009A58DB" w:rsidRDefault="00000000">
      <w:pPr>
        <w:pStyle w:val="ListParagraph"/>
        <w:numPr>
          <w:ilvl w:val="0"/>
          <w:numId w:val="112"/>
        </w:numPr>
        <w:tabs>
          <w:tab w:val="left" w:pos="1236"/>
        </w:tabs>
        <w:spacing w:line="249" w:lineRule="auto"/>
        <w:ind w:right="366" w:firstLine="0"/>
        <w:jc w:val="both"/>
        <w:rPr>
          <w:sz w:val="30"/>
        </w:rPr>
      </w:pPr>
      <w:r>
        <w:rPr>
          <w:sz w:val="30"/>
        </w:rPr>
        <w:t xml:space="preserve">Truths of reason </w:t>
      </w:r>
      <w:r>
        <w:rPr>
          <w:i/>
          <w:sz w:val="30"/>
        </w:rPr>
        <w:t xml:space="preserve">really </w:t>
      </w:r>
      <w:r>
        <w:rPr>
          <w:sz w:val="30"/>
        </w:rPr>
        <w:t xml:space="preserve">are truths about the irregular figures on blackboards, that truths of arithmetic </w:t>
      </w:r>
      <w:r>
        <w:rPr>
          <w:i/>
          <w:sz w:val="30"/>
        </w:rPr>
        <w:t xml:space="preserve">realyl are </w:t>
      </w:r>
      <w:r>
        <w:rPr>
          <w:sz w:val="30"/>
        </w:rPr>
        <w:t>truths about what happens when apples are put on top of other apples, etc.</w:t>
      </w:r>
    </w:p>
    <w:p w14:paraId="7E001A35" w14:textId="77777777" w:rsidR="009A58DB" w:rsidRDefault="009A58DB">
      <w:pPr>
        <w:pStyle w:val="BodyText"/>
        <w:spacing w:before="139"/>
        <w:ind w:left="0"/>
        <w:jc w:val="left"/>
      </w:pPr>
    </w:p>
    <w:p w14:paraId="7E001A36" w14:textId="77777777" w:rsidR="009A58DB" w:rsidRDefault="00000000">
      <w:pPr>
        <w:pStyle w:val="ListParagraph"/>
        <w:numPr>
          <w:ilvl w:val="0"/>
          <w:numId w:val="112"/>
        </w:numPr>
        <w:tabs>
          <w:tab w:val="left" w:pos="1162"/>
        </w:tabs>
        <w:ind w:left="1162" w:hanging="442"/>
        <w:jc w:val="both"/>
        <w:rPr>
          <w:sz w:val="30"/>
        </w:rPr>
      </w:pPr>
      <w:r>
        <w:rPr>
          <w:sz w:val="30"/>
        </w:rPr>
        <w:t>The</w:t>
      </w:r>
      <w:r>
        <w:rPr>
          <w:spacing w:val="14"/>
          <w:sz w:val="30"/>
        </w:rPr>
        <w:t xml:space="preserve"> </w:t>
      </w:r>
      <w:r>
        <w:rPr>
          <w:sz w:val="30"/>
        </w:rPr>
        <w:t>so-called</w:t>
      </w:r>
      <w:r>
        <w:rPr>
          <w:spacing w:val="16"/>
          <w:sz w:val="30"/>
        </w:rPr>
        <w:t xml:space="preserve"> </w:t>
      </w:r>
      <w:r>
        <w:rPr>
          <w:sz w:val="30"/>
        </w:rPr>
        <w:t>“truths</w:t>
      </w:r>
      <w:r>
        <w:rPr>
          <w:spacing w:val="16"/>
          <w:sz w:val="30"/>
        </w:rPr>
        <w:t xml:space="preserve"> </w:t>
      </w:r>
      <w:r>
        <w:rPr>
          <w:sz w:val="30"/>
        </w:rPr>
        <w:t>of</w:t>
      </w:r>
      <w:r>
        <w:rPr>
          <w:spacing w:val="16"/>
          <w:sz w:val="30"/>
        </w:rPr>
        <w:t xml:space="preserve"> </w:t>
      </w:r>
      <w:r>
        <w:rPr>
          <w:sz w:val="30"/>
        </w:rPr>
        <w:t>reason”</w:t>
      </w:r>
      <w:r>
        <w:rPr>
          <w:spacing w:val="16"/>
          <w:sz w:val="30"/>
        </w:rPr>
        <w:t xml:space="preserve"> </w:t>
      </w:r>
      <w:r>
        <w:rPr>
          <w:sz w:val="30"/>
        </w:rPr>
        <w:t>are</w:t>
      </w:r>
      <w:r>
        <w:rPr>
          <w:spacing w:val="16"/>
          <w:sz w:val="30"/>
        </w:rPr>
        <w:t xml:space="preserve"> </w:t>
      </w:r>
      <w:r>
        <w:rPr>
          <w:sz w:val="30"/>
        </w:rPr>
        <w:t>just</w:t>
      </w:r>
      <w:r>
        <w:rPr>
          <w:spacing w:val="16"/>
          <w:sz w:val="30"/>
        </w:rPr>
        <w:t xml:space="preserve"> </w:t>
      </w:r>
      <w:r>
        <w:rPr>
          <w:sz w:val="30"/>
        </w:rPr>
        <w:t>linguistic</w:t>
      </w:r>
      <w:r>
        <w:rPr>
          <w:spacing w:val="16"/>
          <w:sz w:val="30"/>
        </w:rPr>
        <w:t xml:space="preserve"> </w:t>
      </w:r>
      <w:r>
        <w:rPr>
          <w:sz w:val="30"/>
        </w:rPr>
        <w:t>or</w:t>
      </w:r>
      <w:r>
        <w:rPr>
          <w:spacing w:val="17"/>
          <w:sz w:val="30"/>
        </w:rPr>
        <w:t xml:space="preserve"> </w:t>
      </w:r>
      <w:r>
        <w:rPr>
          <w:spacing w:val="-2"/>
          <w:sz w:val="30"/>
        </w:rPr>
        <w:t>typographical</w:t>
      </w:r>
    </w:p>
    <w:p w14:paraId="7E001A37" w14:textId="77777777" w:rsidR="009A58DB" w:rsidRDefault="009A58DB">
      <w:pPr>
        <w:pStyle w:val="ListParagraph"/>
        <w:jc w:val="both"/>
        <w:rPr>
          <w:sz w:val="30"/>
        </w:rPr>
        <w:sectPr w:rsidR="009A58DB">
          <w:pgSz w:w="12240" w:h="15840"/>
          <w:pgMar w:top="1380" w:right="1080" w:bottom="280" w:left="1080" w:header="720" w:footer="720" w:gutter="0"/>
          <w:cols w:space="720"/>
        </w:sectPr>
      </w:pPr>
    </w:p>
    <w:p w14:paraId="7E001A38" w14:textId="77777777" w:rsidR="009A58DB" w:rsidRDefault="00000000">
      <w:pPr>
        <w:pStyle w:val="BodyText"/>
        <w:spacing w:before="60" w:line="249" w:lineRule="auto"/>
        <w:ind w:left="720" w:right="718"/>
      </w:pPr>
      <w:r>
        <w:lastRenderedPageBreak/>
        <w:t xml:space="preserve">conventions. “1+1=2” is an empty, purely definitional truth. “2” is </w:t>
      </w:r>
      <w:r>
        <w:rPr>
          <w:i/>
        </w:rPr>
        <w:t>defined</w:t>
      </w:r>
      <w:r>
        <w:rPr>
          <w:i/>
          <w:spacing w:val="-2"/>
        </w:rPr>
        <w:t xml:space="preserve"> </w:t>
      </w:r>
      <w:r>
        <w:t>as “1 +</w:t>
      </w:r>
      <w:r>
        <w:rPr>
          <w:spacing w:val="-1"/>
        </w:rPr>
        <w:t xml:space="preserve"> </w:t>
      </w:r>
      <w:r>
        <w:t xml:space="preserve">1,” and “3” is </w:t>
      </w:r>
      <w:r>
        <w:rPr>
          <w:i/>
        </w:rPr>
        <w:t>defined</w:t>
      </w:r>
      <w:r>
        <w:rPr>
          <w:i/>
          <w:spacing w:val="-3"/>
        </w:rPr>
        <w:t xml:space="preserve"> </w:t>
      </w:r>
      <w:r>
        <w:t>as “1 + 2.” Every other fact about mathematics can be reduced to definitions, linguistic conventions; and all of mathematics turns out to be typographical. (As a matter of typography, you can replace “1 + 1” with “2,” just as you can replace “five”</w:t>
      </w:r>
      <w:r>
        <w:rPr>
          <w:spacing w:val="-2"/>
        </w:rPr>
        <w:t xml:space="preserve"> </w:t>
      </w:r>
      <w:r>
        <w:t>with</w:t>
      </w:r>
      <w:r>
        <w:rPr>
          <w:spacing w:val="-2"/>
        </w:rPr>
        <w:t xml:space="preserve"> </w:t>
      </w:r>
      <w:r>
        <w:t>“5.”)</w:t>
      </w:r>
      <w:r>
        <w:rPr>
          <w:spacing w:val="-2"/>
        </w:rPr>
        <w:t xml:space="preserve"> </w:t>
      </w:r>
      <w:r>
        <w:t>And</w:t>
      </w:r>
      <w:r>
        <w:rPr>
          <w:spacing w:val="-2"/>
        </w:rPr>
        <w:t xml:space="preserve"> </w:t>
      </w:r>
      <w:r>
        <w:t>all</w:t>
      </w:r>
      <w:r>
        <w:rPr>
          <w:spacing w:val="-2"/>
        </w:rPr>
        <w:t xml:space="preserve"> </w:t>
      </w:r>
      <w:r>
        <w:t>the</w:t>
      </w:r>
      <w:r>
        <w:rPr>
          <w:spacing w:val="-2"/>
        </w:rPr>
        <w:t xml:space="preserve"> </w:t>
      </w:r>
      <w:r>
        <w:t>so-called</w:t>
      </w:r>
      <w:r>
        <w:rPr>
          <w:spacing w:val="-2"/>
        </w:rPr>
        <w:t xml:space="preserve"> </w:t>
      </w:r>
      <w:r>
        <w:t>“truths</w:t>
      </w:r>
      <w:r>
        <w:rPr>
          <w:spacing w:val="-2"/>
        </w:rPr>
        <w:t xml:space="preserve"> </w:t>
      </w:r>
      <w:r>
        <w:t>of</w:t>
      </w:r>
      <w:r>
        <w:rPr>
          <w:spacing w:val="-2"/>
        </w:rPr>
        <w:t xml:space="preserve"> </w:t>
      </w:r>
      <w:r>
        <w:t>reason”</w:t>
      </w:r>
      <w:r>
        <w:rPr>
          <w:spacing w:val="-2"/>
        </w:rPr>
        <w:t xml:space="preserve"> </w:t>
      </w:r>
      <w:r>
        <w:t>that</w:t>
      </w:r>
      <w:r>
        <w:rPr>
          <w:spacing w:val="-2"/>
        </w:rPr>
        <w:t xml:space="preserve"> </w:t>
      </w:r>
      <w:r>
        <w:t>lie</w:t>
      </w:r>
      <w:r>
        <w:rPr>
          <w:spacing w:val="-2"/>
        </w:rPr>
        <w:t xml:space="preserve"> </w:t>
      </w:r>
      <w:r>
        <w:t>outside of mathematics are thought to be explained in the same way.</w:t>
      </w:r>
    </w:p>
    <w:p w14:paraId="7E001A39" w14:textId="77777777" w:rsidR="009A58DB" w:rsidRDefault="00000000">
      <w:pPr>
        <w:pStyle w:val="Heading1"/>
        <w:numPr>
          <w:ilvl w:val="2"/>
          <w:numId w:val="113"/>
        </w:numPr>
        <w:tabs>
          <w:tab w:val="left" w:pos="1305"/>
        </w:tabs>
        <w:spacing w:before="201"/>
      </w:pPr>
      <w:r>
        <w:t>Why</w:t>
      </w:r>
      <w:r>
        <w:rPr>
          <w:spacing w:val="-1"/>
        </w:rPr>
        <w:t xml:space="preserve"> </w:t>
      </w:r>
      <w:r>
        <w:t>(1)</w:t>
      </w:r>
      <w:r>
        <w:rPr>
          <w:spacing w:val="-2"/>
        </w:rPr>
        <w:t xml:space="preserve"> </w:t>
      </w:r>
      <w:r>
        <w:t>is</w:t>
      </w:r>
      <w:r>
        <w:rPr>
          <w:spacing w:val="-2"/>
        </w:rPr>
        <w:t xml:space="preserve"> wrong</w:t>
      </w:r>
    </w:p>
    <w:p w14:paraId="7E001A3A" w14:textId="77777777" w:rsidR="009A58DB" w:rsidRDefault="00000000">
      <w:pPr>
        <w:pStyle w:val="BodyText"/>
        <w:spacing w:before="139" w:line="249" w:lineRule="auto"/>
        <w:ind w:right="359"/>
      </w:pPr>
      <w:r>
        <w:t>Your knowledge that 113 + 876 = 989 isn’t empirical; you didn’t see 113 pears being counted, then see 876 pineapples being counted, and then see the whole lot be counted. (And even if you did have such an experience in connection with those particular numbers, there are many other pairs of numbers</w:t>
      </w:r>
      <w:r>
        <w:rPr>
          <w:spacing w:val="-2"/>
        </w:rPr>
        <w:t xml:space="preserve"> </w:t>
      </w:r>
      <w:r>
        <w:t>whose</w:t>
      </w:r>
      <w:r>
        <w:rPr>
          <w:spacing w:val="-2"/>
        </w:rPr>
        <w:t xml:space="preserve"> </w:t>
      </w:r>
      <w:r>
        <w:t>sums—not</w:t>
      </w:r>
      <w:r>
        <w:rPr>
          <w:spacing w:val="-2"/>
        </w:rPr>
        <w:t xml:space="preserve"> </w:t>
      </w:r>
      <w:r>
        <w:t>to</w:t>
      </w:r>
      <w:r>
        <w:rPr>
          <w:spacing w:val="-2"/>
        </w:rPr>
        <w:t xml:space="preserve"> </w:t>
      </w:r>
      <w:r>
        <w:t>mention</w:t>
      </w:r>
      <w:r>
        <w:rPr>
          <w:spacing w:val="-2"/>
        </w:rPr>
        <w:t xml:space="preserve"> </w:t>
      </w:r>
      <w:r>
        <w:t>quotients,</w:t>
      </w:r>
      <w:r>
        <w:rPr>
          <w:spacing w:val="-2"/>
        </w:rPr>
        <w:t xml:space="preserve"> </w:t>
      </w:r>
      <w:r>
        <w:t>products,</w:t>
      </w:r>
      <w:r>
        <w:rPr>
          <w:spacing w:val="-2"/>
        </w:rPr>
        <w:t xml:space="preserve"> </w:t>
      </w:r>
      <w:r>
        <w:t>differences,</w:t>
      </w:r>
      <w:r>
        <w:rPr>
          <w:spacing w:val="-2"/>
        </w:rPr>
        <w:t xml:space="preserve"> </w:t>
      </w:r>
      <w:r>
        <w:t>etc.—you know, or could readily figure out, but in connection with which you’ve never seen anything like the situation just described.) Your knowledge of arithmetical truths is based on a grasp of non-empirical principles. Even if (what I think is necessarily false) you learned that 1 + 1 = 2 from watching one thing be put on top of another, you still would not, on that basis alone, have any way of generalizing that knowledge—of inferring the other mathematical truths you know. To make the needed inferences, you’d need access to rules of inference that you couldn’t possibly know about if your knowledge were strictly sense-based.</w:t>
      </w:r>
    </w:p>
    <w:p w14:paraId="7E001A3B" w14:textId="77777777" w:rsidR="009A58DB" w:rsidRDefault="00000000">
      <w:pPr>
        <w:pStyle w:val="BodyText"/>
        <w:spacing w:before="18" w:line="249" w:lineRule="auto"/>
        <w:ind w:right="357" w:firstLine="360"/>
      </w:pPr>
      <w:r>
        <w:rPr>
          <w:i/>
        </w:rPr>
        <w:t xml:space="preserve">Another reason why (1) is wrong: </w:t>
      </w:r>
      <w:r>
        <w:t>Even one’s knowledge that 1 + 1 = 2 isn’t known empirically. As David Hume made clear, observation tells you how things are, not how they should be. It reveals facts, not norms. But one’s knowledge that 1 + 1 = 2 has normative force. If two people enter what you thought was an empty house, and three people leave, you don’t reconsider your belief that 1 + 1 = 2. You take that belief as fixed and, in light of it, reconsider your belief that the house was in fact empty. If it turned out that, according to a certain scale, rocks R and R* had a collective weight of more than 2 pounds, even though you previously thought that each weight no more than 1 pound, you’d take your belief that 1 + 1 = 2 as fixed, and would revise some other belief of yours (e.g., your views concerning the rocks’ individual weights</w:t>
      </w:r>
      <w:r>
        <w:rPr>
          <w:spacing w:val="34"/>
        </w:rPr>
        <w:t xml:space="preserve"> </w:t>
      </w:r>
      <w:r>
        <w:t>or</w:t>
      </w:r>
      <w:r>
        <w:rPr>
          <w:spacing w:val="34"/>
        </w:rPr>
        <w:t xml:space="preserve"> </w:t>
      </w:r>
      <w:r>
        <w:t>the</w:t>
      </w:r>
      <w:r>
        <w:rPr>
          <w:spacing w:val="35"/>
        </w:rPr>
        <w:t xml:space="preserve"> </w:t>
      </w:r>
      <w:r>
        <w:t>accuracy</w:t>
      </w:r>
      <w:r>
        <w:rPr>
          <w:spacing w:val="34"/>
        </w:rPr>
        <w:t xml:space="preserve"> </w:t>
      </w:r>
      <w:r>
        <w:t>of</w:t>
      </w:r>
      <w:r>
        <w:rPr>
          <w:spacing w:val="35"/>
        </w:rPr>
        <w:t xml:space="preserve"> </w:t>
      </w:r>
      <w:r>
        <w:t>the</w:t>
      </w:r>
      <w:r>
        <w:rPr>
          <w:spacing w:val="34"/>
        </w:rPr>
        <w:t xml:space="preserve"> </w:t>
      </w:r>
      <w:r>
        <w:t>scale</w:t>
      </w:r>
      <w:r>
        <w:rPr>
          <w:spacing w:val="35"/>
        </w:rPr>
        <w:t xml:space="preserve"> </w:t>
      </w:r>
      <w:r>
        <w:t>or</w:t>
      </w:r>
      <w:r>
        <w:rPr>
          <w:spacing w:val="34"/>
        </w:rPr>
        <w:t xml:space="preserve"> </w:t>
      </w:r>
      <w:r>
        <w:t>possibly</w:t>
      </w:r>
      <w:r>
        <w:rPr>
          <w:spacing w:val="35"/>
        </w:rPr>
        <w:t xml:space="preserve"> </w:t>
      </w:r>
      <w:r>
        <w:t>even</w:t>
      </w:r>
      <w:r>
        <w:rPr>
          <w:spacing w:val="34"/>
        </w:rPr>
        <w:t xml:space="preserve"> </w:t>
      </w:r>
      <w:r>
        <w:t>the</w:t>
      </w:r>
      <w:r>
        <w:rPr>
          <w:spacing w:val="35"/>
        </w:rPr>
        <w:t xml:space="preserve"> </w:t>
      </w:r>
      <w:r>
        <w:t>laws</w:t>
      </w:r>
      <w:r>
        <w:rPr>
          <w:spacing w:val="34"/>
        </w:rPr>
        <w:t xml:space="preserve"> </w:t>
      </w:r>
      <w:r>
        <w:t>of</w:t>
      </w:r>
      <w:r>
        <w:rPr>
          <w:spacing w:val="34"/>
        </w:rPr>
        <w:t xml:space="preserve"> </w:t>
      </w:r>
      <w:r>
        <w:t>physics).</w:t>
      </w:r>
    </w:p>
    <w:p w14:paraId="7E001A3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3D" w14:textId="77777777" w:rsidR="009A58DB" w:rsidRDefault="00000000">
      <w:pPr>
        <w:pStyle w:val="BodyText"/>
        <w:spacing w:before="60"/>
        <w:jc w:val="left"/>
      </w:pPr>
      <w:bookmarkStart w:id="345" w:name="_bookmark345"/>
      <w:bookmarkEnd w:id="345"/>
      <w:r>
        <w:rPr>
          <w:color w:val="0562C1"/>
          <w:position w:val="21"/>
          <w:u w:val="single" w:color="0562C1"/>
        </w:rPr>
        <w:lastRenderedPageBreak/>
        <w:t>[237]</w:t>
      </w:r>
      <w:r>
        <w:rPr>
          <w:color w:val="0562C1"/>
          <w:spacing w:val="7"/>
          <w:position w:val="21"/>
        </w:rPr>
        <w:t xml:space="preserve"> </w:t>
      </w:r>
      <w:r>
        <w:t>We</w:t>
      </w:r>
      <w:r>
        <w:rPr>
          <w:spacing w:val="31"/>
        </w:rPr>
        <w:t xml:space="preserve"> </w:t>
      </w:r>
      <w:r>
        <w:t>interpret</w:t>
      </w:r>
      <w:r>
        <w:rPr>
          <w:spacing w:val="32"/>
        </w:rPr>
        <w:t xml:space="preserve"> </w:t>
      </w:r>
      <w:r>
        <w:t>observations</w:t>
      </w:r>
      <w:r>
        <w:rPr>
          <w:spacing w:val="31"/>
        </w:rPr>
        <w:t xml:space="preserve"> </w:t>
      </w:r>
      <w:r>
        <w:t>in</w:t>
      </w:r>
      <w:r>
        <w:rPr>
          <w:spacing w:val="31"/>
        </w:rPr>
        <w:t xml:space="preserve"> </w:t>
      </w:r>
      <w:r>
        <w:t>light</w:t>
      </w:r>
      <w:r>
        <w:rPr>
          <w:spacing w:val="32"/>
        </w:rPr>
        <w:t xml:space="preserve"> </w:t>
      </w:r>
      <w:r>
        <w:t>of</w:t>
      </w:r>
      <w:r>
        <w:rPr>
          <w:spacing w:val="31"/>
        </w:rPr>
        <w:t xml:space="preserve"> </w:t>
      </w:r>
      <w:r>
        <w:t>the</w:t>
      </w:r>
      <w:r>
        <w:rPr>
          <w:spacing w:val="31"/>
        </w:rPr>
        <w:t xml:space="preserve"> </w:t>
      </w:r>
      <w:r>
        <w:t>principle</w:t>
      </w:r>
      <w:r>
        <w:rPr>
          <w:spacing w:val="32"/>
        </w:rPr>
        <w:t xml:space="preserve"> </w:t>
      </w:r>
      <w:r>
        <w:t>that</w:t>
      </w:r>
      <w:r>
        <w:rPr>
          <w:spacing w:val="31"/>
        </w:rPr>
        <w:t xml:space="preserve"> </w:t>
      </w:r>
      <w:r>
        <w:t>1</w:t>
      </w:r>
      <w:r>
        <w:rPr>
          <w:spacing w:val="31"/>
        </w:rPr>
        <w:t xml:space="preserve"> </w:t>
      </w:r>
      <w:r>
        <w:t>+</w:t>
      </w:r>
      <w:r>
        <w:rPr>
          <w:spacing w:val="31"/>
        </w:rPr>
        <w:t xml:space="preserve"> </w:t>
      </w:r>
      <w:r>
        <w:t>1</w:t>
      </w:r>
      <w:r>
        <w:rPr>
          <w:spacing w:val="31"/>
        </w:rPr>
        <w:t xml:space="preserve"> </w:t>
      </w:r>
      <w:r>
        <w:t>=</w:t>
      </w:r>
      <w:r>
        <w:rPr>
          <w:spacing w:val="31"/>
        </w:rPr>
        <w:t xml:space="preserve"> </w:t>
      </w:r>
      <w:r>
        <w:t>2,</w:t>
      </w:r>
      <w:r>
        <w:rPr>
          <w:spacing w:val="32"/>
        </w:rPr>
        <w:t xml:space="preserve"> </w:t>
      </w:r>
      <w:r>
        <w:rPr>
          <w:spacing w:val="-5"/>
        </w:rPr>
        <w:t>not</w:t>
      </w:r>
    </w:p>
    <w:p w14:paraId="7E001A3E" w14:textId="77777777" w:rsidR="009A58DB" w:rsidRDefault="00000000">
      <w:pPr>
        <w:spacing w:before="15"/>
        <w:ind w:left="360"/>
        <w:jc w:val="both"/>
        <w:rPr>
          <w:i/>
          <w:sz w:val="30"/>
        </w:rPr>
      </w:pPr>
      <w:r>
        <w:rPr>
          <w:i/>
          <w:sz w:val="30"/>
        </w:rPr>
        <w:t>vice</w:t>
      </w:r>
      <w:r>
        <w:rPr>
          <w:i/>
          <w:spacing w:val="-4"/>
          <w:sz w:val="30"/>
        </w:rPr>
        <w:t xml:space="preserve"> </w:t>
      </w:r>
      <w:r>
        <w:rPr>
          <w:i/>
          <w:spacing w:val="-2"/>
          <w:sz w:val="30"/>
        </w:rPr>
        <w:t>versa.</w:t>
      </w:r>
    </w:p>
    <w:p w14:paraId="7E001A3F" w14:textId="77777777" w:rsidR="009A58DB" w:rsidRDefault="00000000">
      <w:pPr>
        <w:pStyle w:val="Heading1"/>
        <w:numPr>
          <w:ilvl w:val="2"/>
          <w:numId w:val="113"/>
        </w:numPr>
        <w:tabs>
          <w:tab w:val="left" w:pos="1305"/>
        </w:tabs>
        <w:spacing w:before="208"/>
      </w:pPr>
      <w:r>
        <w:t>Why</w:t>
      </w:r>
      <w:r>
        <w:rPr>
          <w:spacing w:val="-1"/>
        </w:rPr>
        <w:t xml:space="preserve"> </w:t>
      </w:r>
      <w:r>
        <w:t>(2)</w:t>
      </w:r>
      <w:r>
        <w:rPr>
          <w:spacing w:val="-2"/>
        </w:rPr>
        <w:t xml:space="preserve"> </w:t>
      </w:r>
      <w:r>
        <w:t>is</w:t>
      </w:r>
      <w:r>
        <w:rPr>
          <w:spacing w:val="-2"/>
        </w:rPr>
        <w:t xml:space="preserve"> wrong</w:t>
      </w:r>
    </w:p>
    <w:p w14:paraId="7E001A40" w14:textId="77777777" w:rsidR="009A58DB" w:rsidRDefault="00000000">
      <w:pPr>
        <w:pStyle w:val="BodyText"/>
        <w:spacing w:before="139" w:line="252" w:lineRule="auto"/>
        <w:ind w:right="358"/>
      </w:pPr>
      <w:r>
        <w:t>Conventions</w:t>
      </w:r>
      <w:r>
        <w:rPr>
          <w:spacing w:val="-2"/>
        </w:rPr>
        <w:t xml:space="preserve"> </w:t>
      </w:r>
      <w:r>
        <w:t>are</w:t>
      </w:r>
      <w:r>
        <w:rPr>
          <w:spacing w:val="-2"/>
        </w:rPr>
        <w:t xml:space="preserve"> </w:t>
      </w:r>
      <w:r>
        <w:t>indeed</w:t>
      </w:r>
      <w:r>
        <w:rPr>
          <w:spacing w:val="-2"/>
        </w:rPr>
        <w:t xml:space="preserve"> </w:t>
      </w:r>
      <w:r>
        <w:t>arbitrary.</w:t>
      </w:r>
      <w:r>
        <w:rPr>
          <w:spacing w:val="-2"/>
        </w:rPr>
        <w:t xml:space="preserve"> </w:t>
      </w:r>
      <w:r>
        <w:t>But</w:t>
      </w:r>
      <w:r>
        <w:rPr>
          <w:spacing w:val="-2"/>
        </w:rPr>
        <w:t xml:space="preserve"> </w:t>
      </w:r>
      <w:r>
        <w:t>whether</w:t>
      </w:r>
      <w:r>
        <w:rPr>
          <w:spacing w:val="-2"/>
        </w:rPr>
        <w:t xml:space="preserve"> </w:t>
      </w:r>
      <w:r>
        <w:t>the</w:t>
      </w:r>
      <w:r>
        <w:rPr>
          <w:spacing w:val="-2"/>
        </w:rPr>
        <w:t xml:space="preserve"> </w:t>
      </w:r>
      <w:r>
        <w:t>conventions</w:t>
      </w:r>
      <w:r>
        <w:rPr>
          <w:spacing w:val="-2"/>
        </w:rPr>
        <w:t xml:space="preserve"> </w:t>
      </w:r>
      <w:r>
        <w:t>one</w:t>
      </w:r>
      <w:r>
        <w:rPr>
          <w:spacing w:val="-2"/>
        </w:rPr>
        <w:t xml:space="preserve"> </w:t>
      </w:r>
      <w:r>
        <w:t>adopts</w:t>
      </w:r>
      <w:r>
        <w:rPr>
          <w:spacing w:val="-2"/>
        </w:rPr>
        <w:t xml:space="preserve"> </w:t>
      </w:r>
      <w:r>
        <w:t xml:space="preserve">are </w:t>
      </w:r>
      <w:r>
        <w:rPr>
          <w:i/>
        </w:rPr>
        <w:t xml:space="preserve">consistent </w:t>
      </w:r>
      <w:r>
        <w:t xml:space="preserve">with one another is not itself a matter of convention. It’s a matter of convention that “1” denotes 1, that “+” denotes addition, and it may even be strictly a matter of convention (though I think not: see below) that “2” refers to the same number as “1 + 1.” But once these conventions have been laid down—once convention has fixed what “1,” “+,” “=,” “3,” etc. mean—various facts that are </w:t>
      </w:r>
      <w:r>
        <w:rPr>
          <w:i/>
        </w:rPr>
        <w:t xml:space="preserve">not </w:t>
      </w:r>
      <w:r>
        <w:t>among those conventions follow. For example,</w:t>
      </w:r>
      <w:r>
        <w:rPr>
          <w:spacing w:val="40"/>
        </w:rPr>
        <w:t xml:space="preserve"> </w:t>
      </w:r>
      <w:r>
        <w:rPr>
          <w:i/>
        </w:rPr>
        <w:t xml:space="preserve">given </w:t>
      </w:r>
      <w:r>
        <w:t>our convention of referring to “1” as 1, to “+,” as plus, etc. it follows that there is no pair of whole numbers p and q such that (p/q)</w:t>
      </w:r>
      <w:bookmarkStart w:id="346" w:name="_bookmark346"/>
      <w:bookmarkEnd w:id="346"/>
      <w:r>
        <w:rPr>
          <w:color w:val="0562C1"/>
          <w:position w:val="21"/>
          <w:u w:val="single" w:color="0562C1"/>
        </w:rPr>
        <w:t>[238]</w:t>
      </w:r>
      <w:r>
        <w:rPr>
          <w:color w:val="0562C1"/>
          <w:position w:val="21"/>
        </w:rPr>
        <w:t xml:space="preserve"> </w:t>
      </w:r>
      <w:r>
        <w:t>= 2 (in other</w:t>
      </w:r>
      <w:r>
        <w:rPr>
          <w:spacing w:val="-3"/>
        </w:rPr>
        <w:t xml:space="preserve"> </w:t>
      </w:r>
      <w:r>
        <w:t>words,</w:t>
      </w:r>
      <w:r>
        <w:rPr>
          <w:spacing w:val="-2"/>
        </w:rPr>
        <w:t xml:space="preserve"> </w:t>
      </w:r>
      <w:r>
        <w:t>2</w:t>
      </w:r>
      <w:r>
        <w:rPr>
          <w:spacing w:val="-3"/>
        </w:rPr>
        <w:t xml:space="preserve"> </w:t>
      </w:r>
      <w:r>
        <w:t>has</w:t>
      </w:r>
      <w:r>
        <w:rPr>
          <w:spacing w:val="-2"/>
        </w:rPr>
        <w:t xml:space="preserve"> </w:t>
      </w:r>
      <w:r>
        <w:t>no</w:t>
      </w:r>
      <w:r>
        <w:rPr>
          <w:spacing w:val="-3"/>
        </w:rPr>
        <w:t xml:space="preserve"> </w:t>
      </w:r>
      <w:r>
        <w:t>rational</w:t>
      </w:r>
      <w:r>
        <w:rPr>
          <w:spacing w:val="-2"/>
        </w:rPr>
        <w:t xml:space="preserve"> </w:t>
      </w:r>
      <w:r>
        <w:t>square</w:t>
      </w:r>
      <w:r>
        <w:rPr>
          <w:spacing w:val="-2"/>
        </w:rPr>
        <w:t xml:space="preserve"> </w:t>
      </w:r>
      <w:r>
        <w:t>root).</w:t>
      </w:r>
      <w:r>
        <w:rPr>
          <w:spacing w:val="-3"/>
        </w:rPr>
        <w:t xml:space="preserve"> </w:t>
      </w:r>
      <w:r>
        <w:t>But</w:t>
      </w:r>
      <w:r>
        <w:rPr>
          <w:spacing w:val="-2"/>
        </w:rPr>
        <w:t xml:space="preserve"> </w:t>
      </w:r>
      <w:r>
        <w:t>it’s</w:t>
      </w:r>
      <w:r>
        <w:rPr>
          <w:spacing w:val="-3"/>
        </w:rPr>
        <w:t xml:space="preserve"> </w:t>
      </w:r>
      <w:r>
        <w:t>not</w:t>
      </w:r>
      <w:r>
        <w:rPr>
          <w:spacing w:val="-2"/>
        </w:rPr>
        <w:t xml:space="preserve"> </w:t>
      </w:r>
      <w:r>
        <w:t>a</w:t>
      </w:r>
      <w:r>
        <w:rPr>
          <w:spacing w:val="-3"/>
        </w:rPr>
        <w:t xml:space="preserve"> </w:t>
      </w:r>
      <w:r>
        <w:t>matter</w:t>
      </w:r>
      <w:r>
        <w:rPr>
          <w:spacing w:val="-2"/>
        </w:rPr>
        <w:t xml:space="preserve"> </w:t>
      </w:r>
      <w:r>
        <w:t>of</w:t>
      </w:r>
      <w:r>
        <w:rPr>
          <w:spacing w:val="-2"/>
        </w:rPr>
        <w:t xml:space="preserve"> </w:t>
      </w:r>
      <w:r>
        <w:rPr>
          <w:i/>
        </w:rPr>
        <w:t xml:space="preserve">convention </w:t>
      </w:r>
      <w:r>
        <w:t xml:space="preserve">that “2 has no rational square root” is true. It is a non-conventional consequence of our conventions. (Nor—to make a different point—is it a matter of convention that what is </w:t>
      </w:r>
      <w:r>
        <w:rPr>
          <w:i/>
        </w:rPr>
        <w:t>meant</w:t>
      </w:r>
      <w:r>
        <w:rPr>
          <w:i/>
          <w:spacing w:val="-3"/>
        </w:rPr>
        <w:t xml:space="preserve"> </w:t>
      </w:r>
      <w:r>
        <w:t xml:space="preserve">by that sentence is true. The </w:t>
      </w:r>
      <w:r>
        <w:rPr>
          <w:i/>
        </w:rPr>
        <w:t xml:space="preserve">fact </w:t>
      </w:r>
      <w:r>
        <w:t>that 2 has no rational square root isn’t a consequence of our conventions; it has nothing to do with conventions, as we’ll discuss in a moment.) So even though our conventions don’t directly say anything about the permissibility</w:t>
      </w:r>
      <w:r>
        <w:rPr>
          <w:spacing w:val="40"/>
        </w:rPr>
        <w:t xml:space="preserve"> </w:t>
      </w:r>
      <w:r>
        <w:t xml:space="preserve">of the following sentence—”there </w:t>
      </w:r>
      <w:r>
        <w:rPr>
          <w:i/>
        </w:rPr>
        <w:t xml:space="preserve">is </w:t>
      </w:r>
      <w:r>
        <w:t>a pair of whole numbers p/q such that (p/q)</w:t>
      </w:r>
      <w:r>
        <w:rPr>
          <w:vertAlign w:val="superscript"/>
        </w:rPr>
        <w:t>2</w:t>
      </w:r>
      <w:r>
        <w:t xml:space="preserve">”—those conventions </w:t>
      </w:r>
      <w:r>
        <w:rPr>
          <w:i/>
        </w:rPr>
        <w:t xml:space="preserve">prohibit us </w:t>
      </w:r>
      <w:r>
        <w:t xml:space="preserve">from adding that sentence to those same conventions. Were we to do so, our conventions would be </w:t>
      </w:r>
      <w:r>
        <w:rPr>
          <w:i/>
        </w:rPr>
        <w:t xml:space="preserve">inconsistent. </w:t>
      </w:r>
      <w:r>
        <w:t>In general, not all truths of reason (or any, actually, as well now see) can be conventionalized, since consistency among conventions is not itself a matter of convention.</w:t>
      </w:r>
    </w:p>
    <w:p w14:paraId="7E001A41" w14:textId="77777777" w:rsidR="009A58DB" w:rsidRDefault="00000000">
      <w:pPr>
        <w:pStyle w:val="Heading1"/>
        <w:numPr>
          <w:ilvl w:val="2"/>
          <w:numId w:val="113"/>
        </w:numPr>
        <w:tabs>
          <w:tab w:val="left" w:pos="1305"/>
        </w:tabs>
        <w:spacing w:before="169"/>
      </w:pPr>
      <w:r>
        <w:t>Another</w:t>
      </w:r>
      <w:r>
        <w:rPr>
          <w:spacing w:val="-6"/>
        </w:rPr>
        <w:t xml:space="preserve"> </w:t>
      </w:r>
      <w:r>
        <w:t>reason</w:t>
      </w:r>
      <w:r>
        <w:rPr>
          <w:spacing w:val="-3"/>
        </w:rPr>
        <w:t xml:space="preserve"> </w:t>
      </w:r>
      <w:r>
        <w:t>why</w:t>
      </w:r>
      <w:r>
        <w:rPr>
          <w:spacing w:val="-3"/>
        </w:rPr>
        <w:t xml:space="preserve"> </w:t>
      </w:r>
      <w:r>
        <w:t>(2)</w:t>
      </w:r>
      <w:r>
        <w:rPr>
          <w:spacing w:val="-3"/>
        </w:rPr>
        <w:t xml:space="preserve"> </w:t>
      </w:r>
      <w:r>
        <w:t>is</w:t>
      </w:r>
      <w:r>
        <w:rPr>
          <w:spacing w:val="-3"/>
        </w:rPr>
        <w:t xml:space="preserve"> </w:t>
      </w:r>
      <w:r>
        <w:rPr>
          <w:spacing w:val="-2"/>
        </w:rPr>
        <w:t>wrong</w:t>
      </w:r>
    </w:p>
    <w:p w14:paraId="7E001A42" w14:textId="77777777" w:rsidR="009A58DB" w:rsidRDefault="00000000">
      <w:pPr>
        <w:pStyle w:val="BodyText"/>
        <w:spacing w:before="139" w:line="249" w:lineRule="auto"/>
        <w:ind w:right="360"/>
      </w:pPr>
      <w:r>
        <w:t xml:space="preserve">Also, we have to distinguish sentences from the things they express. For argument’s sake, suppose that “2” is </w:t>
      </w:r>
      <w:r>
        <w:rPr>
          <w:i/>
        </w:rPr>
        <w:t>defined</w:t>
      </w:r>
      <w:r>
        <w:rPr>
          <w:i/>
          <w:spacing w:val="-3"/>
        </w:rPr>
        <w:t xml:space="preserve"> </w:t>
      </w:r>
      <w:r>
        <w:t xml:space="preserve">as “1 + 1,” and suppose that “=” is defined in the normal way. In that case, the </w:t>
      </w:r>
      <w:r>
        <w:rPr>
          <w:i/>
        </w:rPr>
        <w:t xml:space="preserve">sentence </w:t>
      </w:r>
      <w:r>
        <w:t xml:space="preserve">“1 + 1 = 2” will indeed be a matter of definition. But that leaves it completely open </w:t>
      </w:r>
      <w:r>
        <w:rPr>
          <w:i/>
        </w:rPr>
        <w:t xml:space="preserve">which </w:t>
      </w:r>
      <w:r>
        <w:t>truth that sentence expresses. For suppose that, as a matter of convention, “1” referred</w:t>
      </w:r>
      <w:r>
        <w:rPr>
          <w:spacing w:val="14"/>
        </w:rPr>
        <w:t xml:space="preserve"> </w:t>
      </w:r>
      <w:r>
        <w:t>to</w:t>
      </w:r>
      <w:r>
        <w:rPr>
          <w:spacing w:val="14"/>
        </w:rPr>
        <w:t xml:space="preserve"> </w:t>
      </w:r>
      <w:r>
        <w:t>8,</w:t>
      </w:r>
      <w:r>
        <w:rPr>
          <w:spacing w:val="14"/>
        </w:rPr>
        <w:t xml:space="preserve"> </w:t>
      </w:r>
      <w:r>
        <w:t>and</w:t>
      </w:r>
      <w:r>
        <w:rPr>
          <w:spacing w:val="14"/>
        </w:rPr>
        <w:t xml:space="preserve"> </w:t>
      </w:r>
      <w:r>
        <w:t>“1</w:t>
      </w:r>
      <w:r>
        <w:rPr>
          <w:spacing w:val="14"/>
        </w:rPr>
        <w:t xml:space="preserve"> </w:t>
      </w:r>
      <w:r>
        <w:t>+</w:t>
      </w:r>
      <w:r>
        <w:rPr>
          <w:spacing w:val="14"/>
        </w:rPr>
        <w:t xml:space="preserve"> </w:t>
      </w:r>
      <w:r>
        <w:t>1”</w:t>
      </w:r>
      <w:r>
        <w:rPr>
          <w:spacing w:val="14"/>
        </w:rPr>
        <w:t xml:space="preserve"> </w:t>
      </w:r>
      <w:r>
        <w:t>referred</w:t>
      </w:r>
      <w:r>
        <w:rPr>
          <w:spacing w:val="14"/>
        </w:rPr>
        <w:t xml:space="preserve"> </w:t>
      </w:r>
      <w:r>
        <w:t>to</w:t>
      </w:r>
      <w:r>
        <w:rPr>
          <w:spacing w:val="14"/>
        </w:rPr>
        <w:t xml:space="preserve"> </w:t>
      </w:r>
      <w:r>
        <w:t>“7</w:t>
      </w:r>
      <w:r>
        <w:rPr>
          <w:spacing w:val="14"/>
        </w:rPr>
        <w:t xml:space="preserve"> </w:t>
      </w:r>
      <w:r>
        <w:t>+</w:t>
      </w:r>
      <w:r>
        <w:rPr>
          <w:spacing w:val="14"/>
        </w:rPr>
        <w:t xml:space="preserve"> </w:t>
      </w:r>
      <w:r>
        <w:t>1.”</w:t>
      </w:r>
      <w:r>
        <w:rPr>
          <w:spacing w:val="14"/>
        </w:rPr>
        <w:t xml:space="preserve"> </w:t>
      </w:r>
      <w:r>
        <w:t>Or</w:t>
      </w:r>
      <w:r>
        <w:rPr>
          <w:spacing w:val="14"/>
        </w:rPr>
        <w:t xml:space="preserve"> </w:t>
      </w:r>
      <w:r>
        <w:t>suppose</w:t>
      </w:r>
      <w:r>
        <w:rPr>
          <w:spacing w:val="14"/>
        </w:rPr>
        <w:t xml:space="preserve"> </w:t>
      </w:r>
      <w:r>
        <w:t>that</w:t>
      </w:r>
      <w:r>
        <w:rPr>
          <w:spacing w:val="14"/>
        </w:rPr>
        <w:t xml:space="preserve"> </w:t>
      </w:r>
      <w:r>
        <w:t>as</w:t>
      </w:r>
      <w:r>
        <w:rPr>
          <w:spacing w:val="14"/>
        </w:rPr>
        <w:t xml:space="preserve"> </w:t>
      </w:r>
      <w:r>
        <w:t>a</w:t>
      </w:r>
      <w:r>
        <w:rPr>
          <w:spacing w:val="14"/>
        </w:rPr>
        <w:t xml:space="preserve"> </w:t>
      </w:r>
      <w:r>
        <w:t>matter</w:t>
      </w:r>
      <w:r>
        <w:rPr>
          <w:spacing w:val="14"/>
        </w:rPr>
        <w:t xml:space="preserve"> </w:t>
      </w:r>
      <w:r>
        <w:t>of</w:t>
      </w:r>
    </w:p>
    <w:p w14:paraId="7E001A4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44" w14:textId="77777777" w:rsidR="009A58DB" w:rsidRDefault="00000000">
      <w:pPr>
        <w:pStyle w:val="BodyText"/>
        <w:spacing w:before="70" w:line="249" w:lineRule="auto"/>
        <w:ind w:right="362"/>
      </w:pPr>
      <w:r>
        <w:lastRenderedPageBreak/>
        <w:t xml:space="preserve">convention, “1 + 1” referred to Superman and “2” also referred to Superman. In each of those cases, the </w:t>
      </w:r>
      <w:r>
        <w:rPr>
          <w:i/>
        </w:rPr>
        <w:t>sentence</w:t>
      </w:r>
      <w:r>
        <w:rPr>
          <w:i/>
          <w:spacing w:val="-3"/>
        </w:rPr>
        <w:t xml:space="preserve"> </w:t>
      </w:r>
      <w:r>
        <w:t xml:space="preserve">“1 + 1 = 2” would be true by convention, but each would express a truth very different from the one actually expressed by “1 + 1 = 2.” The truth </w:t>
      </w:r>
      <w:r>
        <w:rPr>
          <w:i/>
        </w:rPr>
        <w:t xml:space="preserve">actually </w:t>
      </w:r>
      <w:r>
        <w:t>expressed by that sentence concerns the number one—not Superman, not the number eight—and it says of it that, when added to itself, the result is two—not Superman, not eight.</w:t>
      </w:r>
    </w:p>
    <w:p w14:paraId="7E001A45" w14:textId="77777777" w:rsidR="009A58DB" w:rsidRDefault="00000000">
      <w:pPr>
        <w:pStyle w:val="BodyText"/>
        <w:spacing w:before="2" w:line="249" w:lineRule="auto"/>
        <w:ind w:right="363" w:firstLine="360"/>
      </w:pPr>
      <w:r>
        <w:t xml:space="preserve">Could “1 + 1 = 2” express </w:t>
      </w:r>
      <w:r>
        <w:rPr>
          <w:i/>
        </w:rPr>
        <w:t>that</w:t>
      </w:r>
      <w:r>
        <w:rPr>
          <w:i/>
          <w:spacing w:val="-3"/>
        </w:rPr>
        <w:t xml:space="preserve"> </w:t>
      </w:r>
      <w:r>
        <w:rPr>
          <w:i/>
        </w:rPr>
        <w:t>very</w:t>
      </w:r>
      <w:r>
        <w:rPr>
          <w:i/>
          <w:spacing w:val="-3"/>
        </w:rPr>
        <w:t xml:space="preserve"> </w:t>
      </w:r>
      <w:r>
        <w:rPr>
          <w:i/>
        </w:rPr>
        <w:t>truth</w:t>
      </w:r>
      <w:r>
        <w:t>—the one just described—and be false? No. If a sentence affirms that one and one make two, then—because of facts about one and two and addition and equality—it’s going to be true. So what makes “1 + 1 = 2” true isn’t convention, and is instead non-conventional facts about numbers. To be sure, conventions are involved: it is a matter of convention that “1” refers to one, “+” refers to addition, etc. And it follows from those conventions that “1 + 1 = 2” says that one, added to itself, yields two. But it’s a matter of mathematical, non-conventional fact that one plus one equals two.</w:t>
      </w:r>
    </w:p>
    <w:p w14:paraId="7E001A46" w14:textId="77777777" w:rsidR="009A58DB" w:rsidRDefault="00000000">
      <w:pPr>
        <w:pStyle w:val="Heading1"/>
        <w:numPr>
          <w:ilvl w:val="1"/>
          <w:numId w:val="111"/>
        </w:numPr>
        <w:tabs>
          <w:tab w:val="left" w:pos="870"/>
          <w:tab w:val="left" w:pos="1215"/>
        </w:tabs>
        <w:spacing w:before="199" w:line="244" w:lineRule="auto"/>
        <w:ind w:right="659" w:hanging="510"/>
        <w:jc w:val="both"/>
      </w:pPr>
      <w:r>
        <w:t>Why pre-perceptual and, therefore, non-empirical knowledge is a prerequisite for empirical knowledge</w:t>
      </w:r>
    </w:p>
    <w:p w14:paraId="7E001A47" w14:textId="77777777" w:rsidR="009A58DB" w:rsidRDefault="00000000">
      <w:pPr>
        <w:pStyle w:val="BodyText"/>
        <w:spacing w:before="134" w:line="249" w:lineRule="auto"/>
        <w:ind w:right="360"/>
      </w:pPr>
      <w:r>
        <w:t>Innate cognitive structures are needed to have sense-perceptions and also to learn from them. Having a sense-perception means having a certain kind of mental representation of an object. Not all mental representations of objects are</w:t>
      </w:r>
      <w:r>
        <w:rPr>
          <w:spacing w:val="-9"/>
        </w:rPr>
        <w:t xml:space="preserve"> </w:t>
      </w:r>
      <w:r>
        <w:t>sense-perceptions.</w:t>
      </w:r>
      <w:r>
        <w:rPr>
          <w:spacing w:val="-9"/>
        </w:rPr>
        <w:t xml:space="preserve"> </w:t>
      </w:r>
      <w:r>
        <w:t>Mental</w:t>
      </w:r>
      <w:r>
        <w:rPr>
          <w:spacing w:val="-9"/>
        </w:rPr>
        <w:t xml:space="preserve"> </w:t>
      </w:r>
      <w:r>
        <w:t>images</w:t>
      </w:r>
      <w:r>
        <w:rPr>
          <w:spacing w:val="-9"/>
        </w:rPr>
        <w:t xml:space="preserve"> </w:t>
      </w:r>
      <w:r>
        <w:t>aren’t,</w:t>
      </w:r>
      <w:r>
        <w:rPr>
          <w:spacing w:val="-9"/>
        </w:rPr>
        <w:t xml:space="preserve"> </w:t>
      </w:r>
      <w:r>
        <w:t>even</w:t>
      </w:r>
      <w:r>
        <w:rPr>
          <w:spacing w:val="-9"/>
        </w:rPr>
        <w:t xml:space="preserve"> </w:t>
      </w:r>
      <w:r>
        <w:t>though</w:t>
      </w:r>
      <w:r>
        <w:rPr>
          <w:spacing w:val="-9"/>
        </w:rPr>
        <w:t xml:space="preserve"> </w:t>
      </w:r>
      <w:r>
        <w:t>they</w:t>
      </w:r>
      <w:r>
        <w:rPr>
          <w:spacing w:val="-9"/>
        </w:rPr>
        <w:t xml:space="preserve"> </w:t>
      </w:r>
      <w:r>
        <w:t>resemble</w:t>
      </w:r>
      <w:r>
        <w:rPr>
          <w:spacing w:val="-9"/>
        </w:rPr>
        <w:t xml:space="preserve"> </w:t>
      </w:r>
      <w:r>
        <w:t>them. Concepts aren’t, and they don’t resemble them. It’s a delicate matter exactly what kinds of representations are perceptual: a necessary condition, certainly, is that they be caused by their objects—your perception of Smith must be caused by Smith (by light bouncing off of him). It also seems necessary that (with certain qualifications) your perception “co-vary,” or be capable of co-varying, in real time with the thing perceived. If you’re looking at Smith, and he moves, you see him move (provided certain conditions are met; e.g., the movement isn’t infinitesimally small). It’s unclear whether there are other conditions that have to be met. (There probably are.)</w:t>
      </w:r>
    </w:p>
    <w:p w14:paraId="7E001A48" w14:textId="77777777" w:rsidR="009A58DB" w:rsidRDefault="00000000">
      <w:pPr>
        <w:pStyle w:val="BodyText"/>
        <w:spacing w:before="16" w:line="249" w:lineRule="auto"/>
        <w:ind w:right="366" w:firstLine="360"/>
      </w:pPr>
      <w:r>
        <w:t>In</w:t>
      </w:r>
      <w:r>
        <w:rPr>
          <w:spacing w:val="-19"/>
        </w:rPr>
        <w:t xml:space="preserve"> </w:t>
      </w:r>
      <w:r>
        <w:t>any</w:t>
      </w:r>
      <w:r>
        <w:rPr>
          <w:spacing w:val="-19"/>
        </w:rPr>
        <w:t xml:space="preserve"> </w:t>
      </w:r>
      <w:r>
        <w:t>case,</w:t>
      </w:r>
      <w:r>
        <w:rPr>
          <w:spacing w:val="-19"/>
        </w:rPr>
        <w:t xml:space="preserve"> </w:t>
      </w:r>
      <w:r>
        <w:t>perceptions</w:t>
      </w:r>
      <w:r>
        <w:rPr>
          <w:spacing w:val="-18"/>
        </w:rPr>
        <w:t xml:space="preserve"> </w:t>
      </w:r>
      <w:r>
        <w:t>are</w:t>
      </w:r>
      <w:r>
        <w:rPr>
          <w:spacing w:val="-19"/>
        </w:rPr>
        <w:t xml:space="preserve"> </w:t>
      </w:r>
      <w:r>
        <w:t>mental</w:t>
      </w:r>
      <w:r>
        <w:rPr>
          <w:spacing w:val="-19"/>
        </w:rPr>
        <w:t xml:space="preserve"> </w:t>
      </w:r>
      <w:r>
        <w:t>representations.</w:t>
      </w:r>
      <w:r>
        <w:rPr>
          <w:spacing w:val="-19"/>
        </w:rPr>
        <w:t xml:space="preserve"> </w:t>
      </w:r>
      <w:r>
        <w:t>And</w:t>
      </w:r>
      <w:r>
        <w:rPr>
          <w:spacing w:val="-18"/>
        </w:rPr>
        <w:t xml:space="preserve"> </w:t>
      </w:r>
      <w:r>
        <w:t>they</w:t>
      </w:r>
      <w:r>
        <w:rPr>
          <w:spacing w:val="-19"/>
        </w:rPr>
        <w:t xml:space="preserve"> </w:t>
      </w:r>
      <w:r>
        <w:t>represent</w:t>
      </w:r>
      <w:r>
        <w:rPr>
          <w:spacing w:val="-19"/>
        </w:rPr>
        <w:t xml:space="preserve"> </w:t>
      </w:r>
      <w:r>
        <w:t>their objects</w:t>
      </w:r>
      <w:r>
        <w:rPr>
          <w:spacing w:val="24"/>
        </w:rPr>
        <w:t xml:space="preserve"> </w:t>
      </w:r>
      <w:r>
        <w:t>in</w:t>
      </w:r>
      <w:r>
        <w:rPr>
          <w:spacing w:val="24"/>
        </w:rPr>
        <w:t xml:space="preserve"> </w:t>
      </w:r>
      <w:r>
        <w:t>four</w:t>
      </w:r>
      <w:r>
        <w:rPr>
          <w:spacing w:val="24"/>
        </w:rPr>
        <w:t xml:space="preserve"> </w:t>
      </w:r>
      <w:r>
        <w:t>dimensions,</w:t>
      </w:r>
      <w:r>
        <w:rPr>
          <w:spacing w:val="24"/>
        </w:rPr>
        <w:t xml:space="preserve"> </w:t>
      </w:r>
      <w:r>
        <w:t>and</w:t>
      </w:r>
      <w:r>
        <w:rPr>
          <w:spacing w:val="24"/>
        </w:rPr>
        <w:t xml:space="preserve"> </w:t>
      </w:r>
      <w:r>
        <w:t>as</w:t>
      </w:r>
      <w:r>
        <w:rPr>
          <w:spacing w:val="24"/>
        </w:rPr>
        <w:t xml:space="preserve"> </w:t>
      </w:r>
      <w:r>
        <w:t>having</w:t>
      </w:r>
      <w:r>
        <w:rPr>
          <w:spacing w:val="24"/>
        </w:rPr>
        <w:t xml:space="preserve"> </w:t>
      </w:r>
      <w:r>
        <w:t>various</w:t>
      </w:r>
      <w:r>
        <w:rPr>
          <w:spacing w:val="24"/>
        </w:rPr>
        <w:t xml:space="preserve"> </w:t>
      </w:r>
      <w:r>
        <w:t>chromatic</w:t>
      </w:r>
      <w:r>
        <w:rPr>
          <w:spacing w:val="24"/>
        </w:rPr>
        <w:t xml:space="preserve"> </w:t>
      </w:r>
      <w:r>
        <w:t>(color-related),</w:t>
      </w:r>
    </w:p>
    <w:p w14:paraId="7E001A4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4A" w14:textId="77777777" w:rsidR="009A58DB" w:rsidRDefault="00000000">
      <w:pPr>
        <w:pStyle w:val="BodyText"/>
        <w:spacing w:before="60" w:line="249" w:lineRule="auto"/>
        <w:ind w:right="358"/>
      </w:pPr>
      <w:r>
        <w:lastRenderedPageBreak/>
        <w:t>kinematic (movement-related), dynamic (force-related, causal) properties. Unless we take the implausible view that no intelligence is involved in the processes mediating between the somatic disturbances that lead to sense-perceptions, on the one hand, and those sense-perceptions themselves, on the other,</w:t>
      </w:r>
      <w:r>
        <w:rPr>
          <w:spacing w:val="-19"/>
        </w:rPr>
        <w:t xml:space="preserve"> </w:t>
      </w:r>
      <w:r>
        <w:t>none</w:t>
      </w:r>
      <w:r>
        <w:rPr>
          <w:spacing w:val="-19"/>
        </w:rPr>
        <w:t xml:space="preserve"> </w:t>
      </w:r>
      <w:r>
        <w:t>of</w:t>
      </w:r>
      <w:r>
        <w:rPr>
          <w:spacing w:val="-19"/>
        </w:rPr>
        <w:t xml:space="preserve"> </w:t>
      </w:r>
      <w:r>
        <w:t>this</w:t>
      </w:r>
      <w:r>
        <w:rPr>
          <w:spacing w:val="-18"/>
        </w:rPr>
        <w:t xml:space="preserve"> </w:t>
      </w:r>
      <w:r>
        <w:t>would</w:t>
      </w:r>
      <w:r>
        <w:rPr>
          <w:spacing w:val="-19"/>
        </w:rPr>
        <w:t xml:space="preserve"> </w:t>
      </w:r>
      <w:r>
        <w:t>be</w:t>
      </w:r>
      <w:r>
        <w:rPr>
          <w:spacing w:val="-19"/>
        </w:rPr>
        <w:t xml:space="preserve"> </w:t>
      </w:r>
      <w:r>
        <w:t>possible</w:t>
      </w:r>
      <w:r>
        <w:rPr>
          <w:spacing w:val="-19"/>
        </w:rPr>
        <w:t xml:space="preserve"> </w:t>
      </w:r>
      <w:r>
        <w:t>unless</w:t>
      </w:r>
      <w:r>
        <w:rPr>
          <w:spacing w:val="-18"/>
        </w:rPr>
        <w:t xml:space="preserve"> </w:t>
      </w:r>
      <w:r>
        <w:t>your</w:t>
      </w:r>
      <w:r>
        <w:rPr>
          <w:spacing w:val="-19"/>
        </w:rPr>
        <w:t xml:space="preserve"> </w:t>
      </w:r>
      <w:r>
        <w:t>mind,</w:t>
      </w:r>
      <w:r>
        <w:rPr>
          <w:spacing w:val="-19"/>
        </w:rPr>
        <w:t xml:space="preserve"> </w:t>
      </w:r>
      <w:r>
        <w:t>at</w:t>
      </w:r>
      <w:r>
        <w:rPr>
          <w:spacing w:val="-19"/>
        </w:rPr>
        <w:t xml:space="preserve"> </w:t>
      </w:r>
      <w:r>
        <w:t>some</w:t>
      </w:r>
      <w:r>
        <w:rPr>
          <w:spacing w:val="-18"/>
        </w:rPr>
        <w:t xml:space="preserve"> </w:t>
      </w:r>
      <w:r>
        <w:t>level,</w:t>
      </w:r>
      <w:r>
        <w:rPr>
          <w:spacing w:val="-19"/>
        </w:rPr>
        <w:t xml:space="preserve"> </w:t>
      </w:r>
      <w:r>
        <w:t>had</w:t>
      </w:r>
      <w:r>
        <w:rPr>
          <w:spacing w:val="-19"/>
        </w:rPr>
        <w:t xml:space="preserve"> </w:t>
      </w:r>
      <w:r>
        <w:t>some kind</w:t>
      </w:r>
      <w:r>
        <w:rPr>
          <w:spacing w:val="-17"/>
        </w:rPr>
        <w:t xml:space="preserve"> </w:t>
      </w:r>
      <w:r>
        <w:t>of</w:t>
      </w:r>
      <w:r>
        <w:rPr>
          <w:spacing w:val="-17"/>
        </w:rPr>
        <w:t xml:space="preserve"> </w:t>
      </w:r>
      <w:r>
        <w:t>pre-perceptual</w:t>
      </w:r>
      <w:r>
        <w:rPr>
          <w:spacing w:val="-17"/>
        </w:rPr>
        <w:t xml:space="preserve"> </w:t>
      </w:r>
      <w:r>
        <w:t>understanding</w:t>
      </w:r>
      <w:r>
        <w:rPr>
          <w:spacing w:val="-17"/>
        </w:rPr>
        <w:t xml:space="preserve"> </w:t>
      </w:r>
      <w:r>
        <w:t>of</w:t>
      </w:r>
      <w:r>
        <w:rPr>
          <w:spacing w:val="-17"/>
        </w:rPr>
        <w:t xml:space="preserve"> </w:t>
      </w:r>
      <w:r>
        <w:t>what</w:t>
      </w:r>
      <w:r>
        <w:rPr>
          <w:spacing w:val="-17"/>
        </w:rPr>
        <w:t xml:space="preserve"> </w:t>
      </w:r>
      <w:r>
        <w:t>it</w:t>
      </w:r>
      <w:r>
        <w:rPr>
          <w:spacing w:val="-17"/>
        </w:rPr>
        <w:t xml:space="preserve"> </w:t>
      </w:r>
      <w:r>
        <w:t>is</w:t>
      </w:r>
      <w:r>
        <w:rPr>
          <w:spacing w:val="-17"/>
        </w:rPr>
        <w:t xml:space="preserve"> </w:t>
      </w:r>
      <w:r>
        <w:t>for</w:t>
      </w:r>
      <w:r>
        <w:rPr>
          <w:spacing w:val="-17"/>
        </w:rPr>
        <w:t xml:space="preserve"> </w:t>
      </w:r>
      <w:r>
        <w:t>two</w:t>
      </w:r>
      <w:r>
        <w:rPr>
          <w:spacing w:val="-17"/>
        </w:rPr>
        <w:t xml:space="preserve"> </w:t>
      </w:r>
      <w:r>
        <w:t>things</w:t>
      </w:r>
      <w:r>
        <w:rPr>
          <w:spacing w:val="-17"/>
        </w:rPr>
        <w:t xml:space="preserve"> </w:t>
      </w:r>
      <w:r>
        <w:t>to</w:t>
      </w:r>
      <w:r>
        <w:rPr>
          <w:spacing w:val="-17"/>
        </w:rPr>
        <w:t xml:space="preserve"> </w:t>
      </w:r>
      <w:r>
        <w:t>be</w:t>
      </w:r>
      <w:r>
        <w:rPr>
          <w:spacing w:val="-17"/>
        </w:rPr>
        <w:t xml:space="preserve"> </w:t>
      </w:r>
      <w:r>
        <w:t xml:space="preserve">spatially, dynamically, etc., interrelated. So, in all likelihood, sense-perception </w:t>
      </w:r>
      <w:r>
        <w:rPr>
          <w:i/>
        </w:rPr>
        <w:t xml:space="preserve">presupposes </w:t>
      </w:r>
      <w:r>
        <w:t>knowledge.</w:t>
      </w:r>
    </w:p>
    <w:p w14:paraId="7E001A4B" w14:textId="77777777" w:rsidR="009A58DB" w:rsidRDefault="00000000">
      <w:pPr>
        <w:pStyle w:val="Heading1"/>
        <w:numPr>
          <w:ilvl w:val="1"/>
          <w:numId w:val="111"/>
        </w:numPr>
        <w:tabs>
          <w:tab w:val="left" w:pos="870"/>
          <w:tab w:val="left" w:pos="1029"/>
        </w:tabs>
        <w:spacing w:before="202" w:line="244" w:lineRule="auto"/>
        <w:ind w:right="370" w:hanging="510"/>
      </w:pPr>
      <w:r>
        <w:t>Why non-empirical knowledge is a prerequisite for post-perceptual, inferential knowledge</w:t>
      </w:r>
    </w:p>
    <w:p w14:paraId="7E001A4C" w14:textId="77777777" w:rsidR="009A58DB" w:rsidRDefault="00000000">
      <w:pPr>
        <w:pStyle w:val="BodyText"/>
        <w:spacing w:before="132" w:line="249" w:lineRule="auto"/>
        <w:ind w:right="354"/>
      </w:pPr>
      <w:r>
        <w:t>We</w:t>
      </w:r>
      <w:r>
        <w:rPr>
          <w:spacing w:val="-3"/>
        </w:rPr>
        <w:t xml:space="preserve"> </w:t>
      </w:r>
      <w:r>
        <w:t>couldn’t</w:t>
      </w:r>
      <w:r>
        <w:rPr>
          <w:spacing w:val="-4"/>
        </w:rPr>
        <w:t xml:space="preserve"> </w:t>
      </w:r>
      <w:r>
        <w:t>do</w:t>
      </w:r>
      <w:r>
        <w:rPr>
          <w:spacing w:val="-3"/>
        </w:rPr>
        <w:t xml:space="preserve"> </w:t>
      </w:r>
      <w:r>
        <w:t>very</w:t>
      </w:r>
      <w:r>
        <w:rPr>
          <w:spacing w:val="-3"/>
        </w:rPr>
        <w:t xml:space="preserve"> </w:t>
      </w:r>
      <w:r>
        <w:t>much</w:t>
      </w:r>
      <w:r>
        <w:rPr>
          <w:spacing w:val="-3"/>
        </w:rPr>
        <w:t xml:space="preserve"> </w:t>
      </w:r>
      <w:r>
        <w:t>with</w:t>
      </w:r>
      <w:r>
        <w:rPr>
          <w:spacing w:val="-3"/>
        </w:rPr>
        <w:t xml:space="preserve"> </w:t>
      </w:r>
      <w:r>
        <w:t>the</w:t>
      </w:r>
      <w:r>
        <w:rPr>
          <w:spacing w:val="-3"/>
        </w:rPr>
        <w:t xml:space="preserve"> </w:t>
      </w:r>
      <w:r>
        <w:t>information</w:t>
      </w:r>
      <w:r>
        <w:rPr>
          <w:spacing w:val="-3"/>
        </w:rPr>
        <w:t xml:space="preserve"> </w:t>
      </w:r>
      <w:r>
        <w:t>that</w:t>
      </w:r>
      <w:r>
        <w:rPr>
          <w:spacing w:val="-4"/>
        </w:rPr>
        <w:t xml:space="preserve"> </w:t>
      </w:r>
      <w:r>
        <w:t>sense-perception</w:t>
      </w:r>
      <w:r>
        <w:rPr>
          <w:spacing w:val="-3"/>
        </w:rPr>
        <w:t xml:space="preserve"> </w:t>
      </w:r>
      <w:r>
        <w:t>gave</w:t>
      </w:r>
      <w:r>
        <w:rPr>
          <w:spacing w:val="-3"/>
        </w:rPr>
        <w:t xml:space="preserve"> </w:t>
      </w:r>
      <w:r>
        <w:t>us unless</w:t>
      </w:r>
      <w:r>
        <w:rPr>
          <w:spacing w:val="-13"/>
        </w:rPr>
        <w:t xml:space="preserve"> </w:t>
      </w:r>
      <w:r>
        <w:t>we</w:t>
      </w:r>
      <w:r>
        <w:rPr>
          <w:spacing w:val="-13"/>
        </w:rPr>
        <w:t xml:space="preserve"> </w:t>
      </w:r>
      <w:r>
        <w:t>had</w:t>
      </w:r>
      <w:r>
        <w:rPr>
          <w:spacing w:val="-13"/>
        </w:rPr>
        <w:t xml:space="preserve"> </w:t>
      </w:r>
      <w:r>
        <w:t>non-empirical</w:t>
      </w:r>
      <w:r>
        <w:rPr>
          <w:spacing w:val="-14"/>
        </w:rPr>
        <w:t xml:space="preserve"> </w:t>
      </w:r>
      <w:r>
        <w:t>knowledge.</w:t>
      </w:r>
      <w:r>
        <w:rPr>
          <w:spacing w:val="-13"/>
        </w:rPr>
        <w:t xml:space="preserve"> </w:t>
      </w:r>
      <w:r>
        <w:t>First</w:t>
      </w:r>
      <w:r>
        <w:rPr>
          <w:spacing w:val="-14"/>
        </w:rPr>
        <w:t xml:space="preserve"> </w:t>
      </w:r>
      <w:r>
        <w:t>of</w:t>
      </w:r>
      <w:r>
        <w:rPr>
          <w:spacing w:val="-14"/>
        </w:rPr>
        <w:t xml:space="preserve"> </w:t>
      </w:r>
      <w:r>
        <w:t>all,</w:t>
      </w:r>
      <w:r>
        <w:rPr>
          <w:spacing w:val="-13"/>
        </w:rPr>
        <w:t xml:space="preserve"> </w:t>
      </w:r>
      <w:r>
        <w:t>your</w:t>
      </w:r>
      <w:r>
        <w:rPr>
          <w:spacing w:val="-14"/>
        </w:rPr>
        <w:t xml:space="preserve"> </w:t>
      </w:r>
      <w:r>
        <w:t>senses</w:t>
      </w:r>
      <w:r>
        <w:rPr>
          <w:spacing w:val="-13"/>
        </w:rPr>
        <w:t xml:space="preserve"> </w:t>
      </w:r>
      <w:r>
        <w:t>operate</w:t>
      </w:r>
      <w:r>
        <w:rPr>
          <w:spacing w:val="-13"/>
        </w:rPr>
        <w:t xml:space="preserve"> </w:t>
      </w:r>
      <w:r>
        <w:t>in</w:t>
      </w:r>
      <w:r>
        <w:rPr>
          <w:spacing w:val="-13"/>
        </w:rPr>
        <w:t xml:space="preserve"> </w:t>
      </w:r>
      <w:r>
        <w:t>the present. You are not seeing, touching, etc., whatever you’re not</w:t>
      </w:r>
      <w:r>
        <w:rPr>
          <w:spacing w:val="-19"/>
        </w:rPr>
        <w:t xml:space="preserve"> </w:t>
      </w:r>
      <w:r>
        <w:rPr>
          <w:i/>
          <w:spacing w:val="17"/>
        </w:rPr>
        <w:t>now</w:t>
      </w:r>
      <w:r>
        <w:rPr>
          <w:i/>
          <w:spacing w:val="-19"/>
        </w:rPr>
        <w:t xml:space="preserve"> </w:t>
      </w:r>
      <w:r>
        <w:t xml:space="preserve">seeing, touching, etc. At most, you are remembering it. In order to apply what you </w:t>
      </w:r>
      <w:r>
        <w:rPr>
          <w:spacing w:val="-2"/>
        </w:rPr>
        <w:t>remember</w:t>
      </w:r>
      <w:r>
        <w:rPr>
          <w:spacing w:val="-17"/>
        </w:rPr>
        <w:t xml:space="preserve"> </w:t>
      </w:r>
      <w:r>
        <w:rPr>
          <w:spacing w:val="-2"/>
        </w:rPr>
        <w:t>to</w:t>
      </w:r>
      <w:r>
        <w:rPr>
          <w:spacing w:val="-17"/>
        </w:rPr>
        <w:t xml:space="preserve"> </w:t>
      </w:r>
      <w:r>
        <w:rPr>
          <w:spacing w:val="-2"/>
        </w:rPr>
        <w:t>a</w:t>
      </w:r>
      <w:r>
        <w:rPr>
          <w:spacing w:val="-16"/>
        </w:rPr>
        <w:t xml:space="preserve"> </w:t>
      </w:r>
      <w:r>
        <w:rPr>
          <w:spacing w:val="-2"/>
        </w:rPr>
        <w:t>current</w:t>
      </w:r>
      <w:r>
        <w:rPr>
          <w:spacing w:val="-17"/>
        </w:rPr>
        <w:t xml:space="preserve"> </w:t>
      </w:r>
      <w:r>
        <w:rPr>
          <w:spacing w:val="-2"/>
        </w:rPr>
        <w:t>situation,</w:t>
      </w:r>
      <w:r>
        <w:rPr>
          <w:spacing w:val="-16"/>
        </w:rPr>
        <w:t xml:space="preserve"> </w:t>
      </w:r>
      <w:r>
        <w:rPr>
          <w:spacing w:val="-2"/>
        </w:rPr>
        <w:t>you</w:t>
      </w:r>
      <w:r>
        <w:rPr>
          <w:spacing w:val="-16"/>
        </w:rPr>
        <w:t xml:space="preserve"> </w:t>
      </w:r>
      <w:r>
        <w:rPr>
          <w:spacing w:val="-2"/>
        </w:rPr>
        <w:t>must</w:t>
      </w:r>
      <w:r>
        <w:rPr>
          <w:spacing w:val="-17"/>
        </w:rPr>
        <w:t xml:space="preserve"> </w:t>
      </w:r>
      <w:r>
        <w:rPr>
          <w:spacing w:val="-2"/>
        </w:rPr>
        <w:t>see</w:t>
      </w:r>
      <w:r>
        <w:rPr>
          <w:spacing w:val="-16"/>
        </w:rPr>
        <w:t xml:space="preserve"> </w:t>
      </w:r>
      <w:r>
        <w:rPr>
          <w:spacing w:val="-2"/>
        </w:rPr>
        <w:t>how</w:t>
      </w:r>
      <w:r>
        <w:rPr>
          <w:spacing w:val="-17"/>
        </w:rPr>
        <w:t xml:space="preserve"> </w:t>
      </w:r>
      <w:r>
        <w:rPr>
          <w:spacing w:val="-2"/>
        </w:rPr>
        <w:t>what</w:t>
      </w:r>
      <w:r>
        <w:rPr>
          <w:spacing w:val="-17"/>
        </w:rPr>
        <w:t xml:space="preserve"> </w:t>
      </w:r>
      <w:r>
        <w:rPr>
          <w:spacing w:val="-2"/>
        </w:rPr>
        <w:t>you</w:t>
      </w:r>
      <w:r>
        <w:rPr>
          <w:spacing w:val="-16"/>
        </w:rPr>
        <w:t xml:space="preserve"> </w:t>
      </w:r>
      <w:r>
        <w:rPr>
          <w:spacing w:val="-2"/>
        </w:rPr>
        <w:t>remember</w:t>
      </w:r>
      <w:r>
        <w:rPr>
          <w:spacing w:val="-17"/>
        </w:rPr>
        <w:t xml:space="preserve"> </w:t>
      </w:r>
      <w:r>
        <w:rPr>
          <w:i/>
          <w:spacing w:val="-2"/>
        </w:rPr>
        <w:t>bears</w:t>
      </w:r>
      <w:r>
        <w:rPr>
          <w:i/>
          <w:spacing w:val="-16"/>
        </w:rPr>
        <w:t xml:space="preserve"> </w:t>
      </w:r>
      <w:r>
        <w:rPr>
          <w:spacing w:val="-2"/>
        </w:rPr>
        <w:t xml:space="preserve">on </w:t>
      </w:r>
      <w:r>
        <w:t>your current situation. Let’s take an example that, because it concerns such a pedestrian</w:t>
      </w:r>
      <w:r>
        <w:rPr>
          <w:spacing w:val="-19"/>
        </w:rPr>
        <w:t xml:space="preserve"> </w:t>
      </w:r>
      <w:r>
        <w:t>inference,</w:t>
      </w:r>
      <w:r>
        <w:rPr>
          <w:spacing w:val="-19"/>
        </w:rPr>
        <w:t xml:space="preserve"> </w:t>
      </w:r>
      <w:r>
        <w:t>shows</w:t>
      </w:r>
      <w:r>
        <w:rPr>
          <w:spacing w:val="-19"/>
        </w:rPr>
        <w:t xml:space="preserve"> </w:t>
      </w:r>
      <w:r>
        <w:t>how</w:t>
      </w:r>
      <w:r>
        <w:rPr>
          <w:spacing w:val="-18"/>
        </w:rPr>
        <w:t xml:space="preserve"> </w:t>
      </w:r>
      <w:r>
        <w:t>great</w:t>
      </w:r>
      <w:r>
        <w:rPr>
          <w:spacing w:val="-19"/>
        </w:rPr>
        <w:t xml:space="preserve"> </w:t>
      </w:r>
      <w:r>
        <w:t>the</w:t>
      </w:r>
      <w:r>
        <w:rPr>
          <w:spacing w:val="-19"/>
        </w:rPr>
        <w:t xml:space="preserve"> </w:t>
      </w:r>
      <w:r>
        <w:t>scope</w:t>
      </w:r>
      <w:r>
        <w:rPr>
          <w:spacing w:val="-19"/>
        </w:rPr>
        <w:t xml:space="preserve"> </w:t>
      </w:r>
      <w:r>
        <w:t>of</w:t>
      </w:r>
      <w:r>
        <w:rPr>
          <w:spacing w:val="-18"/>
        </w:rPr>
        <w:t xml:space="preserve"> </w:t>
      </w:r>
      <w:r>
        <w:t>this</w:t>
      </w:r>
      <w:r>
        <w:rPr>
          <w:spacing w:val="-18"/>
        </w:rPr>
        <w:t xml:space="preserve"> </w:t>
      </w:r>
      <w:r>
        <w:t>point</w:t>
      </w:r>
      <w:r>
        <w:rPr>
          <w:spacing w:val="-18"/>
        </w:rPr>
        <w:t xml:space="preserve"> </w:t>
      </w:r>
      <w:r>
        <w:t>is.</w:t>
      </w:r>
      <w:r>
        <w:rPr>
          <w:spacing w:val="-19"/>
        </w:rPr>
        <w:t xml:space="preserve"> </w:t>
      </w:r>
      <w:r>
        <w:t>You</w:t>
      </w:r>
      <w:r>
        <w:rPr>
          <w:spacing w:val="-18"/>
        </w:rPr>
        <w:t xml:space="preserve"> </w:t>
      </w:r>
      <w:r>
        <w:t xml:space="preserve">remember </w:t>
      </w:r>
      <w:r>
        <w:rPr>
          <w:spacing w:val="-2"/>
        </w:rPr>
        <w:t>seeing</w:t>
      </w:r>
      <w:r>
        <w:rPr>
          <w:spacing w:val="-17"/>
        </w:rPr>
        <w:t xml:space="preserve"> </w:t>
      </w:r>
      <w:r>
        <w:rPr>
          <w:spacing w:val="-2"/>
        </w:rPr>
        <w:t>somebody</w:t>
      </w:r>
      <w:r>
        <w:rPr>
          <w:spacing w:val="-17"/>
        </w:rPr>
        <w:t xml:space="preserve"> </w:t>
      </w:r>
      <w:r>
        <w:rPr>
          <w:spacing w:val="-2"/>
        </w:rPr>
        <w:t>turn</w:t>
      </w:r>
      <w:r>
        <w:rPr>
          <w:spacing w:val="-17"/>
        </w:rPr>
        <w:t xml:space="preserve"> </w:t>
      </w:r>
      <w:r>
        <w:rPr>
          <w:spacing w:val="-2"/>
        </w:rPr>
        <w:t>the</w:t>
      </w:r>
      <w:r>
        <w:rPr>
          <w:spacing w:val="-16"/>
        </w:rPr>
        <w:t xml:space="preserve"> </w:t>
      </w:r>
      <w:r>
        <w:rPr>
          <w:spacing w:val="-2"/>
        </w:rPr>
        <w:t>key</w:t>
      </w:r>
      <w:r>
        <w:rPr>
          <w:spacing w:val="-17"/>
        </w:rPr>
        <w:t xml:space="preserve"> </w:t>
      </w:r>
      <w:r>
        <w:rPr>
          <w:spacing w:val="-2"/>
        </w:rPr>
        <w:t>in</w:t>
      </w:r>
      <w:r>
        <w:rPr>
          <w:spacing w:val="-17"/>
        </w:rPr>
        <w:t xml:space="preserve"> </w:t>
      </w:r>
      <w:r>
        <w:rPr>
          <w:spacing w:val="-2"/>
        </w:rPr>
        <w:t>their</w:t>
      </w:r>
      <w:r>
        <w:rPr>
          <w:spacing w:val="-17"/>
        </w:rPr>
        <w:t xml:space="preserve"> </w:t>
      </w:r>
      <w:r>
        <w:rPr>
          <w:spacing w:val="-2"/>
        </w:rPr>
        <w:t>car</w:t>
      </w:r>
      <w:r>
        <w:rPr>
          <w:spacing w:val="-16"/>
        </w:rPr>
        <w:t xml:space="preserve"> </w:t>
      </w:r>
      <w:r>
        <w:rPr>
          <w:spacing w:val="-2"/>
        </w:rPr>
        <w:t>and</w:t>
      </w:r>
      <w:r>
        <w:rPr>
          <w:spacing w:val="-17"/>
        </w:rPr>
        <w:t xml:space="preserve"> </w:t>
      </w:r>
      <w:r>
        <w:rPr>
          <w:spacing w:val="-2"/>
        </w:rPr>
        <w:t>then</w:t>
      </w:r>
      <w:r>
        <w:rPr>
          <w:spacing w:val="-17"/>
        </w:rPr>
        <w:t xml:space="preserve"> </w:t>
      </w:r>
      <w:r>
        <w:rPr>
          <w:spacing w:val="-2"/>
        </w:rPr>
        <w:t>driving</w:t>
      </w:r>
      <w:r>
        <w:rPr>
          <w:spacing w:val="-17"/>
        </w:rPr>
        <w:t xml:space="preserve"> </w:t>
      </w:r>
      <w:r>
        <w:rPr>
          <w:spacing w:val="-2"/>
        </w:rPr>
        <w:t>away.</w:t>
      </w:r>
      <w:r>
        <w:rPr>
          <w:spacing w:val="-16"/>
        </w:rPr>
        <w:t xml:space="preserve"> </w:t>
      </w:r>
      <w:r>
        <w:rPr>
          <w:spacing w:val="-2"/>
        </w:rPr>
        <w:t>You</w:t>
      </w:r>
      <w:r>
        <w:rPr>
          <w:spacing w:val="-17"/>
        </w:rPr>
        <w:t xml:space="preserve"> </w:t>
      </w:r>
      <w:r>
        <w:rPr>
          <w:spacing w:val="-2"/>
        </w:rPr>
        <w:t>are</w:t>
      </w:r>
      <w:r>
        <w:rPr>
          <w:spacing w:val="-17"/>
        </w:rPr>
        <w:t xml:space="preserve"> </w:t>
      </w:r>
      <w:r>
        <w:rPr>
          <w:spacing w:val="-2"/>
        </w:rPr>
        <w:t>now</w:t>
      </w:r>
      <w:r>
        <w:rPr>
          <w:spacing w:val="-17"/>
        </w:rPr>
        <w:t xml:space="preserve"> </w:t>
      </w:r>
      <w:r>
        <w:rPr>
          <w:spacing w:val="-2"/>
        </w:rPr>
        <w:t xml:space="preserve">in </w:t>
      </w:r>
      <w:r>
        <w:t>front</w:t>
      </w:r>
      <w:r>
        <w:rPr>
          <w:spacing w:val="-16"/>
        </w:rPr>
        <w:t xml:space="preserve"> </w:t>
      </w:r>
      <w:r>
        <w:t>of</w:t>
      </w:r>
      <w:r>
        <w:rPr>
          <w:spacing w:val="-16"/>
        </w:rPr>
        <w:t xml:space="preserve"> </w:t>
      </w:r>
      <w:r>
        <w:t>a</w:t>
      </w:r>
      <w:r>
        <w:rPr>
          <w:spacing w:val="-16"/>
        </w:rPr>
        <w:t xml:space="preserve"> </w:t>
      </w:r>
      <w:r>
        <w:t>car</w:t>
      </w:r>
      <w:r>
        <w:rPr>
          <w:spacing w:val="-16"/>
        </w:rPr>
        <w:t xml:space="preserve"> </w:t>
      </w:r>
      <w:r>
        <w:t>with</w:t>
      </w:r>
      <w:r>
        <w:rPr>
          <w:spacing w:val="-15"/>
        </w:rPr>
        <w:t xml:space="preserve"> </w:t>
      </w:r>
      <w:r>
        <w:t>a</w:t>
      </w:r>
      <w:r>
        <w:rPr>
          <w:spacing w:val="-15"/>
        </w:rPr>
        <w:t xml:space="preserve"> </w:t>
      </w:r>
      <w:r>
        <w:t>key</w:t>
      </w:r>
      <w:r>
        <w:rPr>
          <w:spacing w:val="-15"/>
        </w:rPr>
        <w:t xml:space="preserve"> </w:t>
      </w:r>
      <w:r>
        <w:t>in</w:t>
      </w:r>
      <w:r>
        <w:rPr>
          <w:spacing w:val="-15"/>
        </w:rPr>
        <w:t xml:space="preserve"> </w:t>
      </w:r>
      <w:r>
        <w:t>it,</w:t>
      </w:r>
      <w:r>
        <w:rPr>
          <w:spacing w:val="-15"/>
        </w:rPr>
        <w:t xml:space="preserve"> </w:t>
      </w:r>
      <w:r>
        <w:t>and</w:t>
      </w:r>
      <w:r>
        <w:rPr>
          <w:spacing w:val="-15"/>
        </w:rPr>
        <w:t xml:space="preserve"> </w:t>
      </w:r>
      <w:r>
        <w:t>you</w:t>
      </w:r>
      <w:r>
        <w:rPr>
          <w:spacing w:val="-15"/>
        </w:rPr>
        <w:t xml:space="preserve"> </w:t>
      </w:r>
      <w:r>
        <w:t>want</w:t>
      </w:r>
      <w:r>
        <w:rPr>
          <w:spacing w:val="-15"/>
        </w:rPr>
        <w:t xml:space="preserve"> </w:t>
      </w:r>
      <w:r>
        <w:t>to</w:t>
      </w:r>
      <w:r>
        <w:rPr>
          <w:spacing w:val="-15"/>
        </w:rPr>
        <w:t xml:space="preserve"> </w:t>
      </w:r>
      <w:r>
        <w:t>drive</w:t>
      </w:r>
      <w:r>
        <w:rPr>
          <w:spacing w:val="-15"/>
        </w:rPr>
        <w:t xml:space="preserve"> </w:t>
      </w:r>
      <w:r>
        <w:t>it.</w:t>
      </w:r>
      <w:r>
        <w:rPr>
          <w:spacing w:val="-15"/>
        </w:rPr>
        <w:t xml:space="preserve"> </w:t>
      </w:r>
      <w:r>
        <w:t>Obviously</w:t>
      </w:r>
      <w:r>
        <w:rPr>
          <w:spacing w:val="-15"/>
        </w:rPr>
        <w:t xml:space="preserve"> </w:t>
      </w:r>
      <w:r>
        <w:t>you</w:t>
      </w:r>
      <w:r>
        <w:rPr>
          <w:spacing w:val="-15"/>
        </w:rPr>
        <w:t xml:space="preserve"> </w:t>
      </w:r>
      <w:r>
        <w:t>can</w:t>
      </w:r>
      <w:r>
        <w:rPr>
          <w:spacing w:val="-15"/>
        </w:rPr>
        <w:t xml:space="preserve"> </w:t>
      </w:r>
      <w:r>
        <w:t>apply what you remember to this situation. Let us suppose that you do so. So you think:</w:t>
      </w:r>
      <w:r>
        <w:rPr>
          <w:spacing w:val="-1"/>
        </w:rPr>
        <w:t xml:space="preserve"> </w:t>
      </w:r>
      <w:r>
        <w:t>“on</w:t>
      </w:r>
      <w:r>
        <w:rPr>
          <w:spacing w:val="-19"/>
        </w:rPr>
        <w:t xml:space="preserve"> </w:t>
      </w:r>
      <w:r>
        <w:rPr>
          <w:i/>
        </w:rPr>
        <w:t>that</w:t>
      </w:r>
      <w:r>
        <w:rPr>
          <w:i/>
          <w:spacing w:val="-19"/>
        </w:rPr>
        <w:t xml:space="preserve"> </w:t>
      </w:r>
      <w:r>
        <w:t>occasion</w:t>
      </w:r>
      <w:r>
        <w:rPr>
          <w:i/>
        </w:rPr>
        <w:t>,</w:t>
      </w:r>
      <w:r>
        <w:rPr>
          <w:i/>
          <w:spacing w:val="-8"/>
        </w:rPr>
        <w:t xml:space="preserve"> </w:t>
      </w:r>
      <w:r>
        <w:t>turning</w:t>
      </w:r>
      <w:r>
        <w:rPr>
          <w:spacing w:val="-2"/>
        </w:rPr>
        <w:t xml:space="preserve"> </w:t>
      </w:r>
      <w:r>
        <w:t>the</w:t>
      </w:r>
      <w:r>
        <w:rPr>
          <w:spacing w:val="-2"/>
        </w:rPr>
        <w:t xml:space="preserve"> </w:t>
      </w:r>
      <w:r>
        <w:t>key</w:t>
      </w:r>
      <w:r>
        <w:rPr>
          <w:spacing w:val="-2"/>
        </w:rPr>
        <w:t xml:space="preserve"> </w:t>
      </w:r>
      <w:r>
        <w:t>started</w:t>
      </w:r>
      <w:r>
        <w:rPr>
          <w:spacing w:val="-2"/>
        </w:rPr>
        <w:t xml:space="preserve"> </w:t>
      </w:r>
      <w:r>
        <w:t>the</w:t>
      </w:r>
      <w:r>
        <w:rPr>
          <w:spacing w:val="-2"/>
        </w:rPr>
        <w:t xml:space="preserve"> </w:t>
      </w:r>
      <w:r>
        <w:t>car;</w:t>
      </w:r>
      <w:r>
        <w:rPr>
          <w:spacing w:val="-2"/>
        </w:rPr>
        <w:t xml:space="preserve"> </w:t>
      </w:r>
      <w:r>
        <w:t>so</w:t>
      </w:r>
      <w:r>
        <w:rPr>
          <w:spacing w:val="-2"/>
        </w:rPr>
        <w:t xml:space="preserve"> </w:t>
      </w:r>
      <w:r>
        <w:t>the</w:t>
      </w:r>
      <w:r>
        <w:rPr>
          <w:spacing w:val="-2"/>
        </w:rPr>
        <w:t xml:space="preserve"> </w:t>
      </w:r>
      <w:r>
        <w:t>same</w:t>
      </w:r>
      <w:r>
        <w:rPr>
          <w:spacing w:val="-2"/>
        </w:rPr>
        <w:t xml:space="preserve"> </w:t>
      </w:r>
      <w:r>
        <w:t>thing</w:t>
      </w:r>
      <w:r>
        <w:rPr>
          <w:spacing w:val="-2"/>
        </w:rPr>
        <w:t xml:space="preserve"> </w:t>
      </w:r>
      <w:r>
        <w:t>will happen</w:t>
      </w:r>
      <w:r>
        <w:rPr>
          <w:spacing w:val="-16"/>
        </w:rPr>
        <w:t xml:space="preserve"> </w:t>
      </w:r>
      <w:r>
        <w:t>on</w:t>
      </w:r>
      <w:r>
        <w:rPr>
          <w:spacing w:val="-19"/>
        </w:rPr>
        <w:t xml:space="preserve"> </w:t>
      </w:r>
      <w:r>
        <w:rPr>
          <w:i/>
        </w:rPr>
        <w:t>this</w:t>
      </w:r>
      <w:r>
        <w:rPr>
          <w:i/>
          <w:spacing w:val="-19"/>
        </w:rPr>
        <w:t xml:space="preserve"> </w:t>
      </w:r>
      <w:r>
        <w:t>occasion.</w:t>
      </w:r>
      <w:r>
        <w:rPr>
          <w:spacing w:val="-11"/>
        </w:rPr>
        <w:t xml:space="preserve"> </w:t>
      </w:r>
      <w:r>
        <w:t>So,</w:t>
      </w:r>
      <w:r>
        <w:rPr>
          <w:spacing w:val="-12"/>
        </w:rPr>
        <w:t xml:space="preserve"> </w:t>
      </w:r>
      <w:r>
        <w:t>given</w:t>
      </w:r>
      <w:r>
        <w:rPr>
          <w:spacing w:val="-12"/>
        </w:rPr>
        <w:t xml:space="preserve"> </w:t>
      </w:r>
      <w:r>
        <w:t>that</w:t>
      </w:r>
      <w:r>
        <w:rPr>
          <w:spacing w:val="-12"/>
        </w:rPr>
        <w:t xml:space="preserve"> </w:t>
      </w:r>
      <w:r>
        <w:t>I</w:t>
      </w:r>
      <w:r>
        <w:rPr>
          <w:spacing w:val="-12"/>
        </w:rPr>
        <w:t xml:space="preserve"> </w:t>
      </w:r>
      <w:r>
        <w:t>want</w:t>
      </w:r>
      <w:r>
        <w:rPr>
          <w:spacing w:val="-12"/>
        </w:rPr>
        <w:t xml:space="preserve"> </w:t>
      </w:r>
      <w:r>
        <w:t>to</w:t>
      </w:r>
      <w:r>
        <w:rPr>
          <w:spacing w:val="-12"/>
        </w:rPr>
        <w:t xml:space="preserve"> </w:t>
      </w:r>
      <w:r>
        <w:t>start</w:t>
      </w:r>
      <w:r>
        <w:rPr>
          <w:spacing w:val="-12"/>
        </w:rPr>
        <w:t xml:space="preserve"> </w:t>
      </w:r>
      <w:r>
        <w:t>the</w:t>
      </w:r>
      <w:r>
        <w:rPr>
          <w:spacing w:val="-12"/>
        </w:rPr>
        <w:t xml:space="preserve"> </w:t>
      </w:r>
      <w:r>
        <w:t>car,</w:t>
      </w:r>
      <w:r>
        <w:rPr>
          <w:spacing w:val="-12"/>
        </w:rPr>
        <w:t xml:space="preserve"> </w:t>
      </w:r>
      <w:r>
        <w:t>I’ll</w:t>
      </w:r>
      <w:r>
        <w:rPr>
          <w:spacing w:val="-12"/>
        </w:rPr>
        <w:t xml:space="preserve"> </w:t>
      </w:r>
      <w:r>
        <w:t>turn</w:t>
      </w:r>
      <w:r>
        <w:rPr>
          <w:spacing w:val="-12"/>
        </w:rPr>
        <w:t xml:space="preserve"> </w:t>
      </w:r>
      <w:r>
        <w:t>the</w:t>
      </w:r>
      <w:r>
        <w:rPr>
          <w:spacing w:val="-12"/>
        </w:rPr>
        <w:t xml:space="preserve"> </w:t>
      </w:r>
      <w:r>
        <w:t>key.” Sense-perception (plus memory)</w:t>
      </w:r>
      <w:r>
        <w:rPr>
          <w:spacing w:val="-19"/>
        </w:rPr>
        <w:t xml:space="preserve"> </w:t>
      </w:r>
      <w:r>
        <w:rPr>
          <w:i/>
          <w:spacing w:val="12"/>
        </w:rPr>
        <w:t>has</w:t>
      </w:r>
      <w:r>
        <w:rPr>
          <w:i/>
          <w:spacing w:val="-19"/>
        </w:rPr>
        <w:t xml:space="preserve"> </w:t>
      </w:r>
      <w:r>
        <w:t>shown you that</w:t>
      </w:r>
      <w:r>
        <w:rPr>
          <w:spacing w:val="-19"/>
        </w:rPr>
        <w:t xml:space="preserve"> </w:t>
      </w:r>
      <w:r>
        <w:rPr>
          <w:i/>
        </w:rPr>
        <w:t>on the first occasion</w:t>
      </w:r>
      <w:r>
        <w:rPr>
          <w:i/>
          <w:spacing w:val="-19"/>
        </w:rPr>
        <w:t xml:space="preserve"> </w:t>
      </w:r>
      <w:r>
        <w:t>a certain car started after the key in it was turned.</w:t>
      </w:r>
      <w:r>
        <w:rPr>
          <w:spacing w:val="-10"/>
        </w:rPr>
        <w:t xml:space="preserve"> </w:t>
      </w:r>
      <w:r>
        <w:t>And, supposing that you turn the</w:t>
      </w:r>
      <w:r>
        <w:rPr>
          <w:spacing w:val="-17"/>
        </w:rPr>
        <w:t xml:space="preserve"> </w:t>
      </w:r>
      <w:r>
        <w:t>key</w:t>
      </w:r>
      <w:r>
        <w:rPr>
          <w:spacing w:val="-16"/>
        </w:rPr>
        <w:t xml:space="preserve"> </w:t>
      </w:r>
      <w:r>
        <w:t>in</w:t>
      </w:r>
      <w:r>
        <w:rPr>
          <w:spacing w:val="-16"/>
        </w:rPr>
        <w:t xml:space="preserve"> </w:t>
      </w:r>
      <w:r>
        <w:t>this</w:t>
      </w:r>
      <w:r>
        <w:rPr>
          <w:spacing w:val="-17"/>
        </w:rPr>
        <w:t xml:space="preserve"> </w:t>
      </w:r>
      <w:r>
        <w:t>car</w:t>
      </w:r>
      <w:r>
        <w:rPr>
          <w:spacing w:val="-17"/>
        </w:rPr>
        <w:t xml:space="preserve"> </w:t>
      </w:r>
      <w:r>
        <w:t>(the</w:t>
      </w:r>
      <w:r>
        <w:rPr>
          <w:spacing w:val="-17"/>
        </w:rPr>
        <w:t xml:space="preserve"> </w:t>
      </w:r>
      <w:r>
        <w:t>one</w:t>
      </w:r>
      <w:r>
        <w:rPr>
          <w:spacing w:val="-17"/>
        </w:rPr>
        <w:t xml:space="preserve"> </w:t>
      </w:r>
      <w:r>
        <w:t>in</w:t>
      </w:r>
      <w:r>
        <w:rPr>
          <w:spacing w:val="-16"/>
        </w:rPr>
        <w:t xml:space="preserve"> </w:t>
      </w:r>
      <w:r>
        <w:t>front</w:t>
      </w:r>
      <w:r>
        <w:rPr>
          <w:spacing w:val="-17"/>
        </w:rPr>
        <w:t xml:space="preserve"> </w:t>
      </w:r>
      <w:r>
        <w:t>of</w:t>
      </w:r>
      <w:r>
        <w:rPr>
          <w:spacing w:val="-17"/>
        </w:rPr>
        <w:t xml:space="preserve"> </w:t>
      </w:r>
      <w:r>
        <w:t>you),</w:t>
      </w:r>
      <w:r>
        <w:rPr>
          <w:spacing w:val="-16"/>
        </w:rPr>
        <w:t xml:space="preserve"> </w:t>
      </w:r>
      <w:r>
        <w:t>sense-perception</w:t>
      </w:r>
      <w:r>
        <w:rPr>
          <w:spacing w:val="-16"/>
        </w:rPr>
        <w:t xml:space="preserve"> </w:t>
      </w:r>
      <w:r>
        <w:t>will</w:t>
      </w:r>
      <w:r>
        <w:rPr>
          <w:spacing w:val="-17"/>
        </w:rPr>
        <w:t xml:space="preserve"> </w:t>
      </w:r>
      <w:r>
        <w:t>show</w:t>
      </w:r>
      <w:r>
        <w:rPr>
          <w:spacing w:val="-16"/>
        </w:rPr>
        <w:t xml:space="preserve"> </w:t>
      </w:r>
      <w:r>
        <w:t>you</w:t>
      </w:r>
      <w:r>
        <w:rPr>
          <w:spacing w:val="-16"/>
        </w:rPr>
        <w:t xml:space="preserve"> </w:t>
      </w:r>
      <w:r>
        <w:t>that another car started after the key in</w:t>
      </w:r>
      <w:r>
        <w:rPr>
          <w:spacing w:val="-19"/>
        </w:rPr>
        <w:t xml:space="preserve"> </w:t>
      </w:r>
      <w:r>
        <w:rPr>
          <w:i/>
        </w:rPr>
        <w:t>it</w:t>
      </w:r>
      <w:r>
        <w:rPr>
          <w:i/>
          <w:spacing w:val="-19"/>
        </w:rPr>
        <w:t xml:space="preserve"> </w:t>
      </w:r>
      <w:r>
        <w:t>was turned. But sense-perception did not show</w:t>
      </w:r>
      <w:r>
        <w:rPr>
          <w:spacing w:val="-19"/>
        </w:rPr>
        <w:t xml:space="preserve"> </w:t>
      </w:r>
      <w:r>
        <w:t>you,</w:t>
      </w:r>
      <w:r>
        <w:rPr>
          <w:spacing w:val="-19"/>
        </w:rPr>
        <w:t xml:space="preserve"> </w:t>
      </w:r>
      <w:r>
        <w:t>and</w:t>
      </w:r>
      <w:r>
        <w:rPr>
          <w:spacing w:val="-19"/>
        </w:rPr>
        <w:t xml:space="preserve"> </w:t>
      </w:r>
      <w:r>
        <w:t>could</w:t>
      </w:r>
      <w:r>
        <w:rPr>
          <w:spacing w:val="-18"/>
        </w:rPr>
        <w:t xml:space="preserve"> </w:t>
      </w:r>
      <w:r>
        <w:t>not</w:t>
      </w:r>
      <w:r>
        <w:rPr>
          <w:spacing w:val="-19"/>
        </w:rPr>
        <w:t xml:space="preserve"> </w:t>
      </w:r>
      <w:r>
        <w:t>possibly</w:t>
      </w:r>
      <w:r>
        <w:rPr>
          <w:spacing w:val="-19"/>
        </w:rPr>
        <w:t xml:space="preserve"> </w:t>
      </w:r>
      <w:r>
        <w:t>have</w:t>
      </w:r>
      <w:r>
        <w:rPr>
          <w:spacing w:val="-19"/>
        </w:rPr>
        <w:t xml:space="preserve"> </w:t>
      </w:r>
      <w:r>
        <w:t>shown</w:t>
      </w:r>
      <w:r>
        <w:rPr>
          <w:spacing w:val="-18"/>
        </w:rPr>
        <w:t xml:space="preserve"> </w:t>
      </w:r>
      <w:r>
        <w:t>you,</w:t>
      </w:r>
      <w:r>
        <w:rPr>
          <w:spacing w:val="-19"/>
        </w:rPr>
        <w:t xml:space="preserve"> </w:t>
      </w:r>
      <w:r>
        <w:t>that</w:t>
      </w:r>
      <w:r>
        <w:rPr>
          <w:spacing w:val="-19"/>
        </w:rPr>
        <w:t xml:space="preserve"> </w:t>
      </w:r>
      <w:r>
        <w:t>there</w:t>
      </w:r>
      <w:r>
        <w:rPr>
          <w:spacing w:val="-19"/>
        </w:rPr>
        <w:t xml:space="preserve"> </w:t>
      </w:r>
      <w:r>
        <w:t>was</w:t>
      </w:r>
      <w:r>
        <w:rPr>
          <w:spacing w:val="-18"/>
        </w:rPr>
        <w:t xml:space="preserve"> </w:t>
      </w:r>
      <w:r>
        <w:t>a</w:t>
      </w:r>
      <w:r>
        <w:rPr>
          <w:spacing w:val="-19"/>
        </w:rPr>
        <w:t xml:space="preserve"> </w:t>
      </w:r>
      <w:r>
        <w:rPr>
          <w:i/>
        </w:rPr>
        <w:t xml:space="preserve">relationship </w:t>
      </w:r>
      <w:r>
        <w:t>between</w:t>
      </w:r>
      <w:r>
        <w:rPr>
          <w:spacing w:val="-13"/>
        </w:rPr>
        <w:t xml:space="preserve"> </w:t>
      </w:r>
      <w:r>
        <w:t>these</w:t>
      </w:r>
      <w:r>
        <w:rPr>
          <w:spacing w:val="-9"/>
        </w:rPr>
        <w:t xml:space="preserve"> </w:t>
      </w:r>
      <w:r>
        <w:t>two</w:t>
      </w:r>
      <w:r>
        <w:rPr>
          <w:spacing w:val="-9"/>
        </w:rPr>
        <w:t xml:space="preserve"> </w:t>
      </w:r>
      <w:r>
        <w:t>situations;</w:t>
      </w:r>
      <w:r>
        <w:rPr>
          <w:spacing w:val="-10"/>
        </w:rPr>
        <w:t xml:space="preserve"> </w:t>
      </w:r>
      <w:r>
        <w:t>it</w:t>
      </w:r>
      <w:r>
        <w:rPr>
          <w:spacing w:val="-10"/>
        </w:rPr>
        <w:t xml:space="preserve"> </w:t>
      </w:r>
      <w:r>
        <w:t>could</w:t>
      </w:r>
      <w:r>
        <w:rPr>
          <w:spacing w:val="-9"/>
        </w:rPr>
        <w:t xml:space="preserve"> </w:t>
      </w:r>
      <w:r>
        <w:t>not</w:t>
      </w:r>
      <w:r>
        <w:rPr>
          <w:spacing w:val="-10"/>
        </w:rPr>
        <w:t xml:space="preserve"> </w:t>
      </w:r>
      <w:r>
        <w:t>show</w:t>
      </w:r>
      <w:r>
        <w:rPr>
          <w:spacing w:val="-10"/>
        </w:rPr>
        <w:t xml:space="preserve"> </w:t>
      </w:r>
      <w:r>
        <w:t>you</w:t>
      </w:r>
      <w:r>
        <w:rPr>
          <w:spacing w:val="-9"/>
        </w:rPr>
        <w:t xml:space="preserve"> </w:t>
      </w:r>
      <w:r>
        <w:t>that,</w:t>
      </w:r>
      <w:r>
        <w:rPr>
          <w:spacing w:val="-19"/>
        </w:rPr>
        <w:t xml:space="preserve"> </w:t>
      </w:r>
      <w:r>
        <w:rPr>
          <w:i/>
        </w:rPr>
        <w:t>because</w:t>
      </w:r>
      <w:r>
        <w:rPr>
          <w:i/>
          <w:spacing w:val="-19"/>
        </w:rPr>
        <w:t xml:space="preserve"> </w:t>
      </w:r>
      <w:r>
        <w:t>the</w:t>
      </w:r>
      <w:r>
        <w:rPr>
          <w:spacing w:val="-8"/>
        </w:rPr>
        <w:t xml:space="preserve"> </w:t>
      </w:r>
      <w:r>
        <w:t>car</w:t>
      </w:r>
      <w:r>
        <w:rPr>
          <w:spacing w:val="-10"/>
        </w:rPr>
        <w:t xml:space="preserve"> </w:t>
      </w:r>
      <w:r>
        <w:t>in</w:t>
      </w:r>
      <w:r>
        <w:rPr>
          <w:spacing w:val="-9"/>
        </w:rPr>
        <w:t xml:space="preserve"> </w:t>
      </w:r>
      <w:r>
        <w:t>the first</w:t>
      </w:r>
      <w:r>
        <w:rPr>
          <w:spacing w:val="-17"/>
        </w:rPr>
        <w:t xml:space="preserve"> </w:t>
      </w:r>
      <w:r>
        <w:t>situation</w:t>
      </w:r>
      <w:r>
        <w:rPr>
          <w:spacing w:val="-16"/>
        </w:rPr>
        <w:t xml:space="preserve"> </w:t>
      </w:r>
      <w:r>
        <w:t>started</w:t>
      </w:r>
      <w:r>
        <w:rPr>
          <w:spacing w:val="-16"/>
        </w:rPr>
        <w:t xml:space="preserve"> </w:t>
      </w:r>
      <w:r>
        <w:t>after</w:t>
      </w:r>
      <w:r>
        <w:rPr>
          <w:spacing w:val="-17"/>
        </w:rPr>
        <w:t xml:space="preserve"> </w:t>
      </w:r>
      <w:r>
        <w:t>the</w:t>
      </w:r>
      <w:r>
        <w:rPr>
          <w:spacing w:val="-17"/>
        </w:rPr>
        <w:t xml:space="preserve"> </w:t>
      </w:r>
      <w:r>
        <w:t>key</w:t>
      </w:r>
      <w:r>
        <w:rPr>
          <w:spacing w:val="-16"/>
        </w:rPr>
        <w:t xml:space="preserve"> </w:t>
      </w:r>
      <w:r>
        <w:t>was</w:t>
      </w:r>
      <w:r>
        <w:rPr>
          <w:spacing w:val="-17"/>
        </w:rPr>
        <w:t xml:space="preserve"> </w:t>
      </w:r>
      <w:r>
        <w:t>turned,</w:t>
      </w:r>
      <w:r>
        <w:rPr>
          <w:spacing w:val="-16"/>
        </w:rPr>
        <w:t xml:space="preserve"> </w:t>
      </w:r>
      <w:r>
        <w:t>the</w:t>
      </w:r>
      <w:r>
        <w:rPr>
          <w:spacing w:val="-17"/>
        </w:rPr>
        <w:t xml:space="preserve"> </w:t>
      </w:r>
      <w:r>
        <w:t>same</w:t>
      </w:r>
      <w:r>
        <w:rPr>
          <w:spacing w:val="-17"/>
        </w:rPr>
        <w:t xml:space="preserve"> </w:t>
      </w:r>
      <w:r>
        <w:t>would</w:t>
      </w:r>
      <w:r>
        <w:rPr>
          <w:spacing w:val="-16"/>
        </w:rPr>
        <w:t xml:space="preserve"> </w:t>
      </w:r>
      <w:r>
        <w:t>be</w:t>
      </w:r>
      <w:r>
        <w:rPr>
          <w:spacing w:val="-17"/>
        </w:rPr>
        <w:t xml:space="preserve"> </w:t>
      </w:r>
      <w:r>
        <w:t>true</w:t>
      </w:r>
      <w:r>
        <w:rPr>
          <w:spacing w:val="-17"/>
        </w:rPr>
        <w:t xml:space="preserve"> </w:t>
      </w:r>
      <w:r>
        <w:t>of</w:t>
      </w:r>
      <w:r>
        <w:rPr>
          <w:spacing w:val="-16"/>
        </w:rPr>
        <w:t xml:space="preserve"> </w:t>
      </w:r>
      <w:r>
        <w:t>the</w:t>
      </w:r>
      <w:r>
        <w:rPr>
          <w:spacing w:val="-16"/>
        </w:rPr>
        <w:t xml:space="preserve"> </w:t>
      </w:r>
      <w:r>
        <w:t>car in the second. Your senses apprise you of situations; they thus give you</w:t>
      </w:r>
      <w:r>
        <w:rPr>
          <w:spacing w:val="-19"/>
        </w:rPr>
        <w:t xml:space="preserve"> </w:t>
      </w:r>
      <w:r>
        <w:rPr>
          <w:i/>
        </w:rPr>
        <w:t xml:space="preserve">intra </w:t>
      </w:r>
      <w:r>
        <w:t>situational</w:t>
      </w:r>
      <w:r>
        <w:rPr>
          <w:spacing w:val="-19"/>
        </w:rPr>
        <w:t xml:space="preserve"> </w:t>
      </w:r>
      <w:r>
        <w:t>information.</w:t>
      </w:r>
      <w:r>
        <w:rPr>
          <w:spacing w:val="-19"/>
        </w:rPr>
        <w:t xml:space="preserve"> </w:t>
      </w:r>
      <w:r>
        <w:t>They</w:t>
      </w:r>
      <w:r>
        <w:rPr>
          <w:spacing w:val="-13"/>
        </w:rPr>
        <w:t xml:space="preserve"> </w:t>
      </w:r>
      <w:r>
        <w:t>don’t</w:t>
      </w:r>
      <w:r>
        <w:rPr>
          <w:spacing w:val="-8"/>
        </w:rPr>
        <w:t xml:space="preserve"> </w:t>
      </w:r>
      <w:r>
        <w:t>give</w:t>
      </w:r>
      <w:r>
        <w:rPr>
          <w:spacing w:val="-8"/>
        </w:rPr>
        <w:t xml:space="preserve"> </w:t>
      </w:r>
      <w:r>
        <w:t>you</w:t>
      </w:r>
      <w:r>
        <w:rPr>
          <w:spacing w:val="-19"/>
        </w:rPr>
        <w:t xml:space="preserve"> </w:t>
      </w:r>
      <w:r>
        <w:rPr>
          <w:i/>
        </w:rPr>
        <w:t>inter</w:t>
      </w:r>
      <w:r>
        <w:rPr>
          <w:i/>
          <w:spacing w:val="-19"/>
        </w:rPr>
        <w:t xml:space="preserve"> </w:t>
      </w:r>
      <w:r>
        <w:t>situational</w:t>
      </w:r>
      <w:r>
        <w:rPr>
          <w:spacing w:val="-10"/>
        </w:rPr>
        <w:t xml:space="preserve"> </w:t>
      </w:r>
      <w:r>
        <w:t>information.</w:t>
      </w:r>
      <w:r>
        <w:rPr>
          <w:spacing w:val="-18"/>
        </w:rPr>
        <w:t xml:space="preserve"> </w:t>
      </w:r>
      <w:r>
        <w:t xml:space="preserve">You </w:t>
      </w:r>
      <w:r>
        <w:rPr>
          <w:spacing w:val="-2"/>
        </w:rPr>
        <w:t>can’t</w:t>
      </w:r>
      <w:r>
        <w:rPr>
          <w:spacing w:val="-9"/>
        </w:rPr>
        <w:t xml:space="preserve"> </w:t>
      </w:r>
      <w:r>
        <w:rPr>
          <w:spacing w:val="-2"/>
        </w:rPr>
        <w:t>see</w:t>
      </w:r>
      <w:r>
        <w:rPr>
          <w:spacing w:val="-9"/>
        </w:rPr>
        <w:t xml:space="preserve"> </w:t>
      </w:r>
      <w:r>
        <w:rPr>
          <w:spacing w:val="-2"/>
        </w:rPr>
        <w:t>or</w:t>
      </w:r>
      <w:r>
        <w:rPr>
          <w:spacing w:val="-9"/>
        </w:rPr>
        <w:t xml:space="preserve"> </w:t>
      </w:r>
      <w:r>
        <w:rPr>
          <w:spacing w:val="-2"/>
        </w:rPr>
        <w:t>otherwise</w:t>
      </w:r>
      <w:r>
        <w:rPr>
          <w:spacing w:val="-9"/>
        </w:rPr>
        <w:t xml:space="preserve"> </w:t>
      </w:r>
      <w:r>
        <w:rPr>
          <w:spacing w:val="-2"/>
        </w:rPr>
        <w:t>sense-perceive</w:t>
      </w:r>
      <w:r>
        <w:rPr>
          <w:spacing w:val="-9"/>
        </w:rPr>
        <w:t xml:space="preserve"> </w:t>
      </w:r>
      <w:r>
        <w:rPr>
          <w:spacing w:val="-2"/>
        </w:rPr>
        <w:t>relations</w:t>
      </w:r>
      <w:r>
        <w:rPr>
          <w:spacing w:val="-9"/>
        </w:rPr>
        <w:t xml:space="preserve"> </w:t>
      </w:r>
      <w:r>
        <w:rPr>
          <w:spacing w:val="-2"/>
        </w:rPr>
        <w:t>between</w:t>
      </w:r>
      <w:r>
        <w:rPr>
          <w:spacing w:val="-9"/>
        </w:rPr>
        <w:t xml:space="preserve"> </w:t>
      </w:r>
      <w:r>
        <w:rPr>
          <w:spacing w:val="-2"/>
        </w:rPr>
        <w:t>situations—between</w:t>
      </w:r>
      <w:r>
        <w:rPr>
          <w:spacing w:val="-9"/>
        </w:rPr>
        <w:t xml:space="preserve"> </w:t>
      </w:r>
      <w:r>
        <w:rPr>
          <w:spacing w:val="-2"/>
        </w:rPr>
        <w:t xml:space="preserve">an </w:t>
      </w:r>
      <w:r>
        <w:t>event you saw a week ago and one you’re seeing right now. Thus, any knowledge that you have intersituational relations is partly (though obviously</w:t>
      </w:r>
    </w:p>
    <w:p w14:paraId="7E001A4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4E" w14:textId="77777777" w:rsidR="009A58DB" w:rsidRDefault="00000000">
      <w:pPr>
        <w:pStyle w:val="BodyText"/>
        <w:spacing w:before="60" w:line="249" w:lineRule="auto"/>
        <w:ind w:right="357"/>
      </w:pPr>
      <w:r>
        <w:lastRenderedPageBreak/>
        <w:t>not</w:t>
      </w:r>
      <w:r>
        <w:rPr>
          <w:spacing w:val="-19"/>
        </w:rPr>
        <w:t xml:space="preserve"> </w:t>
      </w:r>
      <w:r>
        <w:t>entirely)</w:t>
      </w:r>
      <w:r>
        <w:rPr>
          <w:spacing w:val="-15"/>
        </w:rPr>
        <w:t xml:space="preserve"> </w:t>
      </w:r>
      <w:r>
        <w:t>non-empirical.</w:t>
      </w:r>
      <w:r>
        <w:rPr>
          <w:spacing w:val="-12"/>
        </w:rPr>
        <w:t xml:space="preserve"> </w:t>
      </w:r>
      <w:r>
        <w:t>Therefore</w:t>
      </w:r>
      <w:r>
        <w:rPr>
          <w:spacing w:val="-9"/>
        </w:rPr>
        <w:t xml:space="preserve"> </w:t>
      </w:r>
      <w:r>
        <w:t>any</w:t>
      </w:r>
      <w:r>
        <w:rPr>
          <w:spacing w:val="-9"/>
        </w:rPr>
        <w:t xml:space="preserve"> </w:t>
      </w:r>
      <w:r>
        <w:t>knowledge</w:t>
      </w:r>
      <w:r>
        <w:rPr>
          <w:spacing w:val="-9"/>
        </w:rPr>
        <w:t xml:space="preserve"> </w:t>
      </w:r>
      <w:r>
        <w:t>of</w:t>
      </w:r>
      <w:r>
        <w:rPr>
          <w:spacing w:val="-19"/>
        </w:rPr>
        <w:t xml:space="preserve"> </w:t>
      </w:r>
      <w:r>
        <w:rPr>
          <w:i/>
        </w:rPr>
        <w:t>dependence</w:t>
      </w:r>
      <w:r>
        <w:t xml:space="preserve">-relations holding between distinct situations is, at least in part, not strictly sense-based. Since it is only by virtue of knowing of such relations that one can know anything other than what one’s senses are currently telling one, one can know </w:t>
      </w:r>
      <w:r>
        <w:rPr>
          <w:spacing w:val="-2"/>
        </w:rPr>
        <w:t>extremely</w:t>
      </w:r>
      <w:r>
        <w:rPr>
          <w:spacing w:val="-17"/>
        </w:rPr>
        <w:t xml:space="preserve"> </w:t>
      </w:r>
      <w:r>
        <w:rPr>
          <w:spacing w:val="-2"/>
        </w:rPr>
        <w:t>little</w:t>
      </w:r>
      <w:r>
        <w:rPr>
          <w:spacing w:val="-17"/>
        </w:rPr>
        <w:t xml:space="preserve"> </w:t>
      </w:r>
      <w:r>
        <w:rPr>
          <w:spacing w:val="-2"/>
        </w:rPr>
        <w:t>if</w:t>
      </w:r>
      <w:r>
        <w:rPr>
          <w:spacing w:val="-17"/>
        </w:rPr>
        <w:t xml:space="preserve"> </w:t>
      </w:r>
      <w:r>
        <w:rPr>
          <w:spacing w:val="-2"/>
        </w:rPr>
        <w:t>all</w:t>
      </w:r>
      <w:r>
        <w:rPr>
          <w:spacing w:val="-16"/>
        </w:rPr>
        <w:t xml:space="preserve"> </w:t>
      </w:r>
      <w:r>
        <w:rPr>
          <w:spacing w:val="-2"/>
        </w:rPr>
        <w:t>knowledge</w:t>
      </w:r>
      <w:r>
        <w:rPr>
          <w:spacing w:val="-17"/>
        </w:rPr>
        <w:t xml:space="preserve"> </w:t>
      </w:r>
      <w:r>
        <w:rPr>
          <w:spacing w:val="-2"/>
        </w:rPr>
        <w:t>is</w:t>
      </w:r>
      <w:r>
        <w:rPr>
          <w:spacing w:val="-17"/>
        </w:rPr>
        <w:t xml:space="preserve"> </w:t>
      </w:r>
      <w:r>
        <w:rPr>
          <w:spacing w:val="-2"/>
        </w:rPr>
        <w:t>sense-based,</w:t>
      </w:r>
      <w:r>
        <w:rPr>
          <w:spacing w:val="-17"/>
        </w:rPr>
        <w:t xml:space="preserve"> </w:t>
      </w:r>
      <w:r>
        <w:rPr>
          <w:spacing w:val="-2"/>
        </w:rPr>
        <w:t>and</w:t>
      </w:r>
      <w:r>
        <w:rPr>
          <w:spacing w:val="-16"/>
        </w:rPr>
        <w:t xml:space="preserve"> </w:t>
      </w:r>
      <w:r>
        <w:rPr>
          <w:spacing w:val="-2"/>
        </w:rPr>
        <w:t>what</w:t>
      </w:r>
      <w:r>
        <w:rPr>
          <w:spacing w:val="-17"/>
        </w:rPr>
        <w:t xml:space="preserve"> </w:t>
      </w:r>
      <w:r>
        <w:rPr>
          <w:spacing w:val="-2"/>
        </w:rPr>
        <w:t>one</w:t>
      </w:r>
      <w:r>
        <w:rPr>
          <w:spacing w:val="-17"/>
        </w:rPr>
        <w:t xml:space="preserve"> </w:t>
      </w:r>
      <w:r>
        <w:rPr>
          <w:spacing w:val="-2"/>
        </w:rPr>
        <w:t>can</w:t>
      </w:r>
      <w:r>
        <w:rPr>
          <w:spacing w:val="-17"/>
        </w:rPr>
        <w:t xml:space="preserve"> </w:t>
      </w:r>
      <w:r>
        <w:rPr>
          <w:spacing w:val="-2"/>
        </w:rPr>
        <w:t>know,</w:t>
      </w:r>
      <w:r>
        <w:rPr>
          <w:spacing w:val="-16"/>
        </w:rPr>
        <w:t xml:space="preserve"> </w:t>
      </w:r>
      <w:r>
        <w:rPr>
          <w:spacing w:val="-2"/>
        </w:rPr>
        <w:t>one</w:t>
      </w:r>
      <w:r>
        <w:rPr>
          <w:spacing w:val="-17"/>
        </w:rPr>
        <w:t xml:space="preserve"> </w:t>
      </w:r>
      <w:r>
        <w:rPr>
          <w:spacing w:val="-2"/>
        </w:rPr>
        <w:t xml:space="preserve">can </w:t>
      </w:r>
      <w:r>
        <w:t>know only for a fleeting instant.</w:t>
      </w:r>
    </w:p>
    <w:p w14:paraId="7E001A4F" w14:textId="77777777" w:rsidR="009A58DB" w:rsidRDefault="00000000">
      <w:pPr>
        <w:pStyle w:val="Heading1"/>
        <w:spacing w:before="200" w:line="244" w:lineRule="auto"/>
        <w:ind w:left="1080" w:right="363" w:hanging="720"/>
        <w:jc w:val="both"/>
      </w:pPr>
      <w:r>
        <w:t>4.1.2 Why non-empirical knowledge is a prerequisite for post-perceptual, inferential knowledge (continued)</w:t>
      </w:r>
    </w:p>
    <w:p w14:paraId="7E001A50" w14:textId="77777777" w:rsidR="009A58DB" w:rsidRDefault="00000000">
      <w:pPr>
        <w:pStyle w:val="BodyText"/>
        <w:spacing w:before="134" w:line="252" w:lineRule="auto"/>
        <w:ind w:right="360"/>
      </w:pPr>
      <w:r>
        <w:t>Hume said that there is</w:t>
      </w:r>
      <w:r>
        <w:rPr>
          <w:spacing w:val="-11"/>
        </w:rPr>
        <w:t xml:space="preserve"> </w:t>
      </w:r>
      <w:r>
        <w:rPr>
          <w:i/>
        </w:rPr>
        <w:t>no</w:t>
      </w:r>
      <w:r>
        <w:rPr>
          <w:i/>
          <w:spacing w:val="-10"/>
        </w:rPr>
        <w:t xml:space="preserve"> </w:t>
      </w:r>
      <w:r>
        <w:t>legitimate inference from “that car (the one I saw two days ago) started when the key was turned” to “this car (the one I’m looking at now) will start if the key is turned” and, in general, that there is no legitimate</w:t>
      </w:r>
      <w:r>
        <w:rPr>
          <w:spacing w:val="40"/>
        </w:rPr>
        <w:t xml:space="preserve"> </w:t>
      </w:r>
      <w:r>
        <w:t>inference</w:t>
      </w:r>
      <w:r>
        <w:rPr>
          <w:spacing w:val="40"/>
        </w:rPr>
        <w:t xml:space="preserve"> </w:t>
      </w:r>
      <w:r>
        <w:t>from</w:t>
      </w:r>
      <w:r>
        <w:rPr>
          <w:spacing w:val="-10"/>
        </w:rPr>
        <w:t xml:space="preserve"> </w:t>
      </w:r>
      <w:r>
        <w:rPr>
          <w:i/>
        </w:rPr>
        <w:t>a</w:t>
      </w:r>
      <w:r>
        <w:rPr>
          <w:i/>
          <w:spacing w:val="-15"/>
        </w:rPr>
        <w:t xml:space="preserve"> </w:t>
      </w:r>
      <w:r>
        <w:rPr>
          <w:i/>
        </w:rPr>
        <w:t>n</w:t>
      </w:r>
      <w:r>
        <w:rPr>
          <w:i/>
          <w:spacing w:val="-15"/>
        </w:rPr>
        <w:t xml:space="preserve"> </w:t>
      </w:r>
      <w:r>
        <w:rPr>
          <w:i/>
        </w:rPr>
        <w:t>y</w:t>
      </w:r>
      <w:r>
        <w:rPr>
          <w:i/>
          <w:spacing w:val="-9"/>
        </w:rPr>
        <w:t xml:space="preserve"> </w:t>
      </w:r>
      <w:r>
        <w:t>proposition</w:t>
      </w:r>
      <w:r>
        <w:rPr>
          <w:spacing w:val="40"/>
        </w:rPr>
        <w:t xml:space="preserve"> </w:t>
      </w:r>
      <w:r>
        <w:t>concerning</w:t>
      </w:r>
      <w:r>
        <w:rPr>
          <w:spacing w:val="40"/>
        </w:rPr>
        <w:t xml:space="preserve"> </w:t>
      </w:r>
      <w:r>
        <w:t>the</w:t>
      </w:r>
      <w:r>
        <w:rPr>
          <w:spacing w:val="40"/>
        </w:rPr>
        <w:t xml:space="preserve"> </w:t>
      </w:r>
      <w:r>
        <w:t>past</w:t>
      </w:r>
      <w:r>
        <w:rPr>
          <w:spacing w:val="40"/>
        </w:rPr>
        <w:t xml:space="preserve"> </w:t>
      </w:r>
      <w:r>
        <w:t>to</w:t>
      </w:r>
      <w:r>
        <w:rPr>
          <w:spacing w:val="-9"/>
        </w:rPr>
        <w:t xml:space="preserve"> </w:t>
      </w:r>
      <w:r>
        <w:rPr>
          <w:i/>
        </w:rPr>
        <w:t xml:space="preserve">any </w:t>
      </w:r>
      <w:r>
        <w:t>proposition concerning the present or future. Hume acknowledges, of course, that past experience</w:t>
      </w:r>
      <w:r>
        <w:rPr>
          <w:spacing w:val="-9"/>
        </w:rPr>
        <w:t xml:space="preserve"> </w:t>
      </w:r>
      <w:r>
        <w:rPr>
          <w:i/>
          <w:spacing w:val="12"/>
        </w:rPr>
        <w:t>makes</w:t>
      </w:r>
      <w:r>
        <w:rPr>
          <w:i/>
          <w:spacing w:val="-9"/>
        </w:rPr>
        <w:t xml:space="preserve"> </w:t>
      </w:r>
      <w:r>
        <w:t>people form certain beliefs.</w:t>
      </w:r>
      <w:r>
        <w:rPr>
          <w:vertAlign w:val="superscript"/>
        </w:rPr>
        <w:t>2</w:t>
      </w:r>
      <w:r>
        <w:t xml:space="preserve"> But his point is precisely that those beliefs, lacking as they do any legitimate basis, are not knowledge; they’re just compulsions (albeit ones that, as he grants, have thus far served us well for the most part).</w:t>
      </w:r>
    </w:p>
    <w:p w14:paraId="7E001A51" w14:textId="77777777" w:rsidR="009A58DB" w:rsidRDefault="00000000">
      <w:pPr>
        <w:pStyle w:val="BodyText"/>
        <w:spacing w:line="249" w:lineRule="auto"/>
        <w:ind w:right="358" w:firstLine="360"/>
      </w:pPr>
      <w:r>
        <w:t>Although I believe that knowledge of the past</w:t>
      </w:r>
      <w:r>
        <w:rPr>
          <w:spacing w:val="-11"/>
        </w:rPr>
        <w:t xml:space="preserve"> </w:t>
      </w:r>
      <w:r>
        <w:rPr>
          <w:i/>
        </w:rPr>
        <w:t>does</w:t>
      </w:r>
      <w:r>
        <w:rPr>
          <w:i/>
          <w:spacing w:val="-10"/>
        </w:rPr>
        <w:t xml:space="preserve"> </w:t>
      </w:r>
      <w:r>
        <w:t>warrant beliefs about the present and future, there is an important truth in what Hume is saying. Hume</w:t>
      </w:r>
      <w:r>
        <w:rPr>
          <w:spacing w:val="-12"/>
        </w:rPr>
        <w:t xml:space="preserve"> </w:t>
      </w:r>
      <w:r>
        <w:t>has</w:t>
      </w:r>
      <w:r>
        <w:rPr>
          <w:spacing w:val="-12"/>
        </w:rPr>
        <w:t xml:space="preserve"> </w:t>
      </w:r>
      <w:r>
        <w:t>made</w:t>
      </w:r>
      <w:r>
        <w:rPr>
          <w:spacing w:val="-12"/>
        </w:rPr>
        <w:t xml:space="preserve"> </w:t>
      </w:r>
      <w:r>
        <w:t>it</w:t>
      </w:r>
      <w:r>
        <w:rPr>
          <w:spacing w:val="-12"/>
        </w:rPr>
        <w:t xml:space="preserve"> </w:t>
      </w:r>
      <w:r>
        <w:t>clear</w:t>
      </w:r>
      <w:r>
        <w:rPr>
          <w:spacing w:val="-12"/>
        </w:rPr>
        <w:t xml:space="preserve"> </w:t>
      </w:r>
      <w:r>
        <w:t>that</w:t>
      </w:r>
      <w:r>
        <w:rPr>
          <w:spacing w:val="-13"/>
        </w:rPr>
        <w:t xml:space="preserve"> </w:t>
      </w:r>
      <w:r>
        <w:rPr>
          <w:i/>
        </w:rPr>
        <w:t>f</w:t>
      </w:r>
      <w:r>
        <w:rPr>
          <w:i/>
          <w:spacing w:val="-12"/>
        </w:rPr>
        <w:t xml:space="preserve"> </w:t>
      </w:r>
      <w:r>
        <w:rPr>
          <w:i/>
        </w:rPr>
        <w:t>i</w:t>
      </w:r>
      <w:r>
        <w:rPr>
          <w:i/>
          <w:spacing w:val="-13"/>
        </w:rPr>
        <w:t xml:space="preserve"> </w:t>
      </w:r>
      <w:r>
        <w:t>one</w:t>
      </w:r>
      <w:r>
        <w:rPr>
          <w:spacing w:val="-12"/>
        </w:rPr>
        <w:t xml:space="preserve"> </w:t>
      </w:r>
      <w:r>
        <w:t>permits</w:t>
      </w:r>
      <w:r>
        <w:rPr>
          <w:spacing w:val="-12"/>
        </w:rPr>
        <w:t xml:space="preserve"> </w:t>
      </w:r>
      <w:r>
        <w:t>oneself</w:t>
      </w:r>
      <w:r>
        <w:rPr>
          <w:spacing w:val="-12"/>
        </w:rPr>
        <w:t xml:space="preserve"> </w:t>
      </w:r>
      <w:r>
        <w:t>to</w:t>
      </w:r>
      <w:r>
        <w:rPr>
          <w:spacing w:val="-12"/>
        </w:rPr>
        <w:t xml:space="preserve"> </w:t>
      </w:r>
      <w:r>
        <w:t>use</w:t>
      </w:r>
      <w:r>
        <w:rPr>
          <w:spacing w:val="-12"/>
        </w:rPr>
        <w:t xml:space="preserve"> </w:t>
      </w:r>
      <w:r>
        <w:rPr>
          <w:i/>
        </w:rPr>
        <w:t>only</w:t>
      </w:r>
      <w:r>
        <w:rPr>
          <w:i/>
          <w:spacing w:val="-12"/>
        </w:rPr>
        <w:t xml:space="preserve"> </w:t>
      </w:r>
      <w:r>
        <w:t>such knowledge as one has acquired through the use of one’s senses, then one can’t infer anything</w:t>
      </w:r>
      <w:r>
        <w:rPr>
          <w:spacing w:val="-14"/>
        </w:rPr>
        <w:t xml:space="preserve"> </w:t>
      </w:r>
      <w:r>
        <w:t>about</w:t>
      </w:r>
      <w:r>
        <w:rPr>
          <w:spacing w:val="-14"/>
        </w:rPr>
        <w:t xml:space="preserve"> </w:t>
      </w:r>
      <w:r>
        <w:t>anything</w:t>
      </w:r>
      <w:r>
        <w:rPr>
          <w:spacing w:val="-14"/>
        </w:rPr>
        <w:t xml:space="preserve"> </w:t>
      </w:r>
      <w:r>
        <w:t>from</w:t>
      </w:r>
      <w:r>
        <w:rPr>
          <w:spacing w:val="-14"/>
        </w:rPr>
        <w:t xml:space="preserve"> </w:t>
      </w:r>
      <w:r>
        <w:t>anything.</w:t>
      </w:r>
      <w:r>
        <w:rPr>
          <w:spacing w:val="-14"/>
        </w:rPr>
        <w:t xml:space="preserve"> </w:t>
      </w:r>
      <w:r>
        <w:t>Inferences</w:t>
      </w:r>
      <w:r>
        <w:rPr>
          <w:spacing w:val="-13"/>
        </w:rPr>
        <w:t xml:space="preserve"> </w:t>
      </w:r>
      <w:r>
        <w:t>are</w:t>
      </w:r>
      <w:r>
        <w:rPr>
          <w:spacing w:val="-13"/>
        </w:rPr>
        <w:t xml:space="preserve"> </w:t>
      </w:r>
      <w:r>
        <w:t>about</w:t>
      </w:r>
      <w:r>
        <w:rPr>
          <w:spacing w:val="-14"/>
        </w:rPr>
        <w:t xml:space="preserve"> </w:t>
      </w:r>
      <w:r>
        <w:t>bearing</w:t>
      </w:r>
      <w:r>
        <w:rPr>
          <w:spacing w:val="-13"/>
        </w:rPr>
        <w:t xml:space="preserve"> </w:t>
      </w:r>
      <w:r>
        <w:t>relations. (More</w:t>
      </w:r>
      <w:r>
        <w:rPr>
          <w:spacing w:val="-3"/>
        </w:rPr>
        <w:t xml:space="preserve"> </w:t>
      </w:r>
      <w:r>
        <w:t>precisely,</w:t>
      </w:r>
      <w:r>
        <w:rPr>
          <w:spacing w:val="-3"/>
        </w:rPr>
        <w:t xml:space="preserve"> </w:t>
      </w:r>
      <w:r>
        <w:t>if</w:t>
      </w:r>
      <w:r>
        <w:rPr>
          <w:spacing w:val="-3"/>
        </w:rPr>
        <w:t xml:space="preserve"> </w:t>
      </w:r>
      <w:r>
        <w:t>one</w:t>
      </w:r>
      <w:r>
        <w:rPr>
          <w:spacing w:val="-3"/>
        </w:rPr>
        <w:t xml:space="preserve"> </w:t>
      </w:r>
      <w:r>
        <w:t>legitimately</w:t>
      </w:r>
      <w:r>
        <w:rPr>
          <w:spacing w:val="-3"/>
        </w:rPr>
        <w:t xml:space="preserve"> </w:t>
      </w:r>
      <w:r>
        <w:t>infers</w:t>
      </w:r>
      <w:r>
        <w:rPr>
          <w:spacing w:val="-3"/>
        </w:rPr>
        <w:t xml:space="preserve"> </w:t>
      </w:r>
      <w:r>
        <w:t>Q</w:t>
      </w:r>
      <w:r>
        <w:rPr>
          <w:spacing w:val="-3"/>
        </w:rPr>
        <w:t xml:space="preserve"> </w:t>
      </w:r>
      <w:r>
        <w:t>from</w:t>
      </w:r>
      <w:r>
        <w:rPr>
          <w:spacing w:val="-4"/>
        </w:rPr>
        <w:t xml:space="preserve"> </w:t>
      </w:r>
      <w:r>
        <w:t>P,</w:t>
      </w:r>
      <w:r>
        <w:rPr>
          <w:spacing w:val="-3"/>
        </w:rPr>
        <w:t xml:space="preserve"> </w:t>
      </w:r>
      <w:r>
        <w:t>then</w:t>
      </w:r>
      <w:r>
        <w:rPr>
          <w:spacing w:val="-3"/>
        </w:rPr>
        <w:t xml:space="preserve"> </w:t>
      </w:r>
      <w:r>
        <w:t>(i)</w:t>
      </w:r>
      <w:r>
        <w:rPr>
          <w:spacing w:val="-3"/>
        </w:rPr>
        <w:t xml:space="preserve"> </w:t>
      </w:r>
      <w:r>
        <w:t>P</w:t>
      </w:r>
      <w:r>
        <w:rPr>
          <w:spacing w:val="-13"/>
        </w:rPr>
        <w:t xml:space="preserve"> </w:t>
      </w:r>
      <w:r>
        <w:t>supports</w:t>
      </w:r>
      <w:r>
        <w:rPr>
          <w:spacing w:val="-3"/>
        </w:rPr>
        <w:t xml:space="preserve"> </w:t>
      </w:r>
      <w:r>
        <w:t>Q,</w:t>
      </w:r>
      <w:r>
        <w:rPr>
          <w:spacing w:val="-3"/>
        </w:rPr>
        <w:t xml:space="preserve"> </w:t>
      </w:r>
      <w:r>
        <w:t>(ii) one</w:t>
      </w:r>
      <w:r>
        <w:rPr>
          <w:spacing w:val="-18"/>
        </w:rPr>
        <w:t xml:space="preserve"> </w:t>
      </w:r>
      <w:r>
        <w:t>knows</w:t>
      </w:r>
      <w:r>
        <w:rPr>
          <w:spacing w:val="-14"/>
        </w:rPr>
        <w:t xml:space="preserve"> </w:t>
      </w:r>
      <w:r>
        <w:t>that</w:t>
      </w:r>
      <w:r>
        <w:rPr>
          <w:spacing w:val="-15"/>
        </w:rPr>
        <w:t xml:space="preserve"> </w:t>
      </w:r>
      <w:r>
        <w:t>P</w:t>
      </w:r>
      <w:r>
        <w:rPr>
          <w:spacing w:val="-19"/>
        </w:rPr>
        <w:t xml:space="preserve"> </w:t>
      </w:r>
      <w:r>
        <w:t>supports</w:t>
      </w:r>
      <w:r>
        <w:rPr>
          <w:spacing w:val="-13"/>
        </w:rPr>
        <w:t xml:space="preserve"> </w:t>
      </w:r>
      <w:r>
        <w:t>Q,</w:t>
      </w:r>
      <w:r>
        <w:rPr>
          <w:spacing w:val="-14"/>
        </w:rPr>
        <w:t xml:space="preserve"> </w:t>
      </w:r>
      <w:r>
        <w:t>and</w:t>
      </w:r>
      <w:r>
        <w:rPr>
          <w:spacing w:val="-14"/>
        </w:rPr>
        <w:t xml:space="preserve"> </w:t>
      </w:r>
      <w:r>
        <w:t>(iii)</w:t>
      </w:r>
      <w:r>
        <w:rPr>
          <w:spacing w:val="-14"/>
        </w:rPr>
        <w:t xml:space="preserve"> </w:t>
      </w:r>
      <w:r>
        <w:t>one’s</w:t>
      </w:r>
      <w:r>
        <w:rPr>
          <w:spacing w:val="-14"/>
        </w:rPr>
        <w:t xml:space="preserve"> </w:t>
      </w:r>
      <w:r>
        <w:t>acceptance</w:t>
      </w:r>
      <w:r>
        <w:rPr>
          <w:spacing w:val="-14"/>
        </w:rPr>
        <w:t xml:space="preserve"> </w:t>
      </w:r>
      <w:r>
        <w:t>of</w:t>
      </w:r>
      <w:r>
        <w:rPr>
          <w:spacing w:val="-14"/>
        </w:rPr>
        <w:t xml:space="preserve"> </w:t>
      </w:r>
      <w:r>
        <w:t>Q,</w:t>
      </w:r>
      <w:r>
        <w:rPr>
          <w:spacing w:val="-14"/>
        </w:rPr>
        <w:t xml:space="preserve"> </w:t>
      </w:r>
      <w:r>
        <w:t>given</w:t>
      </w:r>
      <w:r>
        <w:rPr>
          <w:spacing w:val="-14"/>
        </w:rPr>
        <w:t xml:space="preserve"> </w:t>
      </w:r>
      <w:r>
        <w:t>P,</w:t>
      </w:r>
      <w:r>
        <w:rPr>
          <w:spacing w:val="-14"/>
        </w:rPr>
        <w:t xml:space="preserve"> </w:t>
      </w:r>
      <w:r>
        <w:t>is</w:t>
      </w:r>
      <w:r>
        <w:rPr>
          <w:spacing w:val="-14"/>
        </w:rPr>
        <w:t xml:space="preserve"> </w:t>
      </w:r>
      <w:r>
        <w:t>driven by one’s knowledge that P supports Q.) If something about situation X is inferred from something about situation</w:t>
      </w:r>
      <w:r>
        <w:rPr>
          <w:spacing w:val="-11"/>
        </w:rPr>
        <w:t xml:space="preserve"> </w:t>
      </w:r>
      <w:r>
        <w:t xml:space="preserve">Y, that inference, if legitimate, must accord with some principle that is concerned with relations holding </w:t>
      </w:r>
      <w:r>
        <w:rPr>
          <w:i/>
        </w:rPr>
        <w:t xml:space="preserve">between </w:t>
      </w:r>
      <w:r>
        <w:t>distinct situations. And such relations, obviously, cannot, at least not as a</w:t>
      </w:r>
      <w:r>
        <w:rPr>
          <w:spacing w:val="40"/>
        </w:rPr>
        <w:t xml:space="preserve"> </w:t>
      </w:r>
      <w:r>
        <w:t xml:space="preserve">rule, be sense-perceived. To sum up, all knowledge that isn’t strictly sense-based—and this means all knowledge that involves any element of inference and, therefore, all theoretical knowledge (all theoretical knowledge is inferential, but not </w:t>
      </w:r>
      <w:r>
        <w:rPr>
          <w:i/>
        </w:rPr>
        <w:t>vice versa</w:t>
      </w:r>
      <w:r>
        <w:t>)—one must have knowledge of intersituational</w:t>
      </w:r>
    </w:p>
    <w:p w14:paraId="7E001A5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53" w14:textId="77777777" w:rsidR="009A58DB" w:rsidRDefault="00000000">
      <w:pPr>
        <w:pStyle w:val="BodyText"/>
        <w:spacing w:before="60" w:line="249" w:lineRule="auto"/>
        <w:ind w:right="360"/>
      </w:pPr>
      <w:r>
        <w:lastRenderedPageBreak/>
        <w:t>dependencies; and, since they can’t be sense-perceived, one’s knowledge of these dependences cannot be strictly sense-based.</w:t>
      </w:r>
    </w:p>
    <w:p w14:paraId="7E001A54" w14:textId="77777777" w:rsidR="009A58DB" w:rsidRDefault="00000000">
      <w:pPr>
        <w:pStyle w:val="Heading1"/>
        <w:numPr>
          <w:ilvl w:val="1"/>
          <w:numId w:val="110"/>
        </w:numPr>
        <w:tabs>
          <w:tab w:val="left" w:pos="1084"/>
        </w:tabs>
        <w:spacing w:before="195" w:line="244" w:lineRule="auto"/>
        <w:ind w:right="359" w:firstLine="0"/>
      </w:pPr>
      <w:r>
        <w:t>The</w:t>
      </w:r>
      <w:r>
        <w:rPr>
          <w:spacing w:val="40"/>
        </w:rPr>
        <w:t xml:space="preserve"> </w:t>
      </w:r>
      <w:r>
        <w:t>biggest</w:t>
      </w:r>
      <w:r>
        <w:rPr>
          <w:spacing w:val="40"/>
        </w:rPr>
        <w:t xml:space="preserve"> </w:t>
      </w:r>
      <w:r>
        <w:t>problem</w:t>
      </w:r>
      <w:r>
        <w:rPr>
          <w:spacing w:val="40"/>
        </w:rPr>
        <w:t xml:space="preserve"> </w:t>
      </w:r>
      <w:r>
        <w:t>with</w:t>
      </w:r>
      <w:r>
        <w:rPr>
          <w:spacing w:val="40"/>
        </w:rPr>
        <w:t xml:space="preserve"> </w:t>
      </w:r>
      <w:r>
        <w:t>empiricism:</w:t>
      </w:r>
      <w:r>
        <w:rPr>
          <w:spacing w:val="40"/>
        </w:rPr>
        <w:t xml:space="preserve"> </w:t>
      </w:r>
      <w:r>
        <w:t>not</w:t>
      </w:r>
      <w:r>
        <w:rPr>
          <w:spacing w:val="40"/>
        </w:rPr>
        <w:t xml:space="preserve"> </w:t>
      </w:r>
      <w:r>
        <w:t>all</w:t>
      </w:r>
      <w:r>
        <w:rPr>
          <w:spacing w:val="40"/>
        </w:rPr>
        <w:t xml:space="preserve"> </w:t>
      </w:r>
      <w:r>
        <w:t>thoughts are pictorial</w:t>
      </w:r>
    </w:p>
    <w:p w14:paraId="7E001A55" w14:textId="77777777" w:rsidR="009A58DB" w:rsidRDefault="00000000">
      <w:pPr>
        <w:pStyle w:val="BodyText"/>
        <w:spacing w:before="132" w:line="249" w:lineRule="auto"/>
        <w:ind w:right="358"/>
      </w:pPr>
      <w:r>
        <w:t>What does perception give you? Images. (Not just visual images, of course, but also acoustical images, tactile images, etc.) If empiricism is right, this means that any thought that is not itself an image, or that contains</w:t>
      </w:r>
      <w:r>
        <w:rPr>
          <w:spacing w:val="40"/>
        </w:rPr>
        <w:t xml:space="preserve"> </w:t>
      </w:r>
      <w:r>
        <w:t xml:space="preserve">information that cannot be encoded into an image, is unwarranted. But most thoughts, if not all of them, contain just such information. In other words, most thoughts, if not all of them, contain </w:t>
      </w:r>
      <w:r>
        <w:rPr>
          <w:i/>
        </w:rPr>
        <w:t xml:space="preserve">non-iconic </w:t>
      </w:r>
      <w:r>
        <w:t>information. For example, there is no image such that, in virtue of experiencing that image,</w:t>
      </w:r>
      <w:r>
        <w:rPr>
          <w:spacing w:val="40"/>
        </w:rPr>
        <w:t xml:space="preserve"> </w:t>
      </w:r>
      <w:r>
        <w:t>one is thinking:</w:t>
      </w:r>
    </w:p>
    <w:p w14:paraId="7E001A56" w14:textId="77777777" w:rsidR="009A58DB" w:rsidRDefault="009A58DB">
      <w:pPr>
        <w:pStyle w:val="BodyText"/>
        <w:spacing w:before="25"/>
        <w:ind w:left="0"/>
        <w:jc w:val="left"/>
      </w:pPr>
    </w:p>
    <w:p w14:paraId="7E001A57" w14:textId="77777777" w:rsidR="009A58DB" w:rsidRDefault="00000000">
      <w:pPr>
        <w:pStyle w:val="BodyText"/>
        <w:jc w:val="left"/>
      </w:pPr>
      <w:r>
        <w:t>(S)</w:t>
      </w:r>
      <w:r>
        <w:rPr>
          <w:spacing w:val="-5"/>
        </w:rPr>
        <w:t xml:space="preserve"> </w:t>
      </w:r>
      <w:r>
        <w:t>if</w:t>
      </w:r>
      <w:r>
        <w:rPr>
          <w:spacing w:val="-3"/>
        </w:rPr>
        <w:t xml:space="preserve"> </w:t>
      </w:r>
      <w:r>
        <w:t>Smith</w:t>
      </w:r>
      <w:r>
        <w:rPr>
          <w:spacing w:val="-2"/>
        </w:rPr>
        <w:t xml:space="preserve"> </w:t>
      </w:r>
      <w:r>
        <w:t>had</w:t>
      </w:r>
      <w:r>
        <w:rPr>
          <w:spacing w:val="-2"/>
        </w:rPr>
        <w:t xml:space="preserve"> </w:t>
      </w:r>
      <w:r>
        <w:t>fallen</w:t>
      </w:r>
      <w:r>
        <w:rPr>
          <w:spacing w:val="-2"/>
        </w:rPr>
        <w:t xml:space="preserve"> </w:t>
      </w:r>
      <w:r>
        <w:t>off</w:t>
      </w:r>
      <w:r>
        <w:rPr>
          <w:spacing w:val="-3"/>
        </w:rPr>
        <w:t xml:space="preserve"> </w:t>
      </w:r>
      <w:r>
        <w:t>the</w:t>
      </w:r>
      <w:r>
        <w:rPr>
          <w:spacing w:val="-3"/>
        </w:rPr>
        <w:t xml:space="preserve"> </w:t>
      </w:r>
      <w:r>
        <w:t>fence,</w:t>
      </w:r>
      <w:r>
        <w:rPr>
          <w:spacing w:val="-2"/>
        </w:rPr>
        <w:t xml:space="preserve"> </w:t>
      </w:r>
      <w:r>
        <w:t>he</w:t>
      </w:r>
      <w:r>
        <w:rPr>
          <w:spacing w:val="-3"/>
        </w:rPr>
        <w:t xml:space="preserve"> </w:t>
      </w:r>
      <w:r>
        <w:t>would</w:t>
      </w:r>
      <w:r>
        <w:rPr>
          <w:spacing w:val="-2"/>
        </w:rPr>
        <w:t xml:space="preserve"> </w:t>
      </w:r>
      <w:r>
        <w:t>have</w:t>
      </w:r>
      <w:r>
        <w:rPr>
          <w:spacing w:val="-3"/>
        </w:rPr>
        <w:t xml:space="preserve"> </w:t>
      </w:r>
      <w:r>
        <w:t>broken</w:t>
      </w:r>
      <w:r>
        <w:rPr>
          <w:spacing w:val="-2"/>
        </w:rPr>
        <w:t xml:space="preserve"> </w:t>
      </w:r>
      <w:r>
        <w:t>his</w:t>
      </w:r>
      <w:r>
        <w:rPr>
          <w:spacing w:val="-2"/>
        </w:rPr>
        <w:t xml:space="preserve"> </w:t>
      </w:r>
      <w:r>
        <w:rPr>
          <w:spacing w:val="-4"/>
        </w:rPr>
        <w:t>leg.</w:t>
      </w:r>
    </w:p>
    <w:p w14:paraId="7E001A58" w14:textId="77777777" w:rsidR="009A58DB" w:rsidRDefault="009A58DB">
      <w:pPr>
        <w:pStyle w:val="BodyText"/>
        <w:spacing w:before="30"/>
        <w:ind w:left="0"/>
        <w:jc w:val="left"/>
      </w:pPr>
    </w:p>
    <w:p w14:paraId="7E001A59" w14:textId="77777777" w:rsidR="009A58DB" w:rsidRDefault="00000000">
      <w:pPr>
        <w:pStyle w:val="BodyText"/>
        <w:spacing w:line="249" w:lineRule="auto"/>
        <w:ind w:right="360"/>
      </w:pPr>
      <w:r>
        <w:t xml:space="preserve">What sort of image would represent S? Obviously you could have an image of Smith falling from a fence, and you can have an image of Smith breaking his leg. But S is to the effect that Smith’s falling would </w:t>
      </w:r>
      <w:r>
        <w:rPr>
          <w:i/>
        </w:rPr>
        <w:t xml:space="preserve">involve </w:t>
      </w:r>
      <w:r>
        <w:t xml:space="preserve">his breaking his leg; it affirms the existence of a certain </w:t>
      </w:r>
      <w:r>
        <w:rPr>
          <w:i/>
        </w:rPr>
        <w:t xml:space="preserve">dependence relationship. </w:t>
      </w:r>
      <w:r>
        <w:t xml:space="preserve">And nothing could be an image of such a relationship. There can be images of rocks, trees, explosions, fallings, and waterfalls—but not of dependence </w:t>
      </w:r>
      <w:r>
        <w:rPr>
          <w:spacing w:val="-2"/>
        </w:rPr>
        <w:t>relationships.</w:t>
      </w:r>
    </w:p>
    <w:p w14:paraId="7E001A5A" w14:textId="77777777" w:rsidR="009A58DB" w:rsidRDefault="00000000">
      <w:pPr>
        <w:pStyle w:val="Heading1"/>
        <w:numPr>
          <w:ilvl w:val="1"/>
          <w:numId w:val="110"/>
        </w:numPr>
        <w:tabs>
          <w:tab w:val="left" w:pos="990"/>
        </w:tabs>
        <w:spacing w:before="211"/>
        <w:ind w:left="990" w:hanging="630"/>
      </w:pPr>
      <w:r>
        <w:t>No</w:t>
      </w:r>
      <w:r>
        <w:rPr>
          <w:spacing w:val="-8"/>
        </w:rPr>
        <w:t xml:space="preserve"> </w:t>
      </w:r>
      <w:r>
        <w:t>iconic</w:t>
      </w:r>
      <w:r>
        <w:rPr>
          <w:spacing w:val="-6"/>
        </w:rPr>
        <w:t xml:space="preserve"> </w:t>
      </w:r>
      <w:r>
        <w:t>representation</w:t>
      </w:r>
      <w:r>
        <w:rPr>
          <w:spacing w:val="-6"/>
        </w:rPr>
        <w:t xml:space="preserve"> </w:t>
      </w:r>
      <w:r>
        <w:t>of</w:t>
      </w:r>
      <w:r>
        <w:rPr>
          <w:spacing w:val="-5"/>
        </w:rPr>
        <w:t xml:space="preserve"> </w:t>
      </w:r>
      <w:r>
        <w:t>dependence</w:t>
      </w:r>
      <w:r>
        <w:rPr>
          <w:spacing w:val="-6"/>
        </w:rPr>
        <w:t xml:space="preserve"> </w:t>
      </w:r>
      <w:r>
        <w:rPr>
          <w:spacing w:val="-2"/>
        </w:rPr>
        <w:t>relations</w:t>
      </w:r>
    </w:p>
    <w:p w14:paraId="7E001A5B" w14:textId="77777777" w:rsidR="009A58DB" w:rsidRDefault="00000000">
      <w:pPr>
        <w:pStyle w:val="BodyText"/>
        <w:spacing w:before="139" w:line="249" w:lineRule="auto"/>
        <w:ind w:right="359"/>
      </w:pPr>
      <w:r>
        <w:t xml:space="preserve">Of course, you could create a system of symbolism </w:t>
      </w:r>
      <w:r>
        <w:rPr>
          <w:i/>
        </w:rPr>
        <w:t xml:space="preserve">involving </w:t>
      </w:r>
      <w:r>
        <w:t>images that represented that supposed truth (e.g., you could stipulate it would be representing by putting an image of Smith falling off the fence on top of an image</w:t>
      </w:r>
      <w:r>
        <w:rPr>
          <w:spacing w:val="-2"/>
        </w:rPr>
        <w:t xml:space="preserve"> </w:t>
      </w:r>
      <w:r>
        <w:t>of</w:t>
      </w:r>
      <w:r>
        <w:rPr>
          <w:spacing w:val="-2"/>
        </w:rPr>
        <w:t xml:space="preserve"> </w:t>
      </w:r>
      <w:r>
        <w:t>Smith</w:t>
      </w:r>
      <w:r>
        <w:rPr>
          <w:spacing w:val="-2"/>
        </w:rPr>
        <w:t xml:space="preserve"> </w:t>
      </w:r>
      <w:r>
        <w:t>with</w:t>
      </w:r>
      <w:r>
        <w:rPr>
          <w:spacing w:val="-2"/>
        </w:rPr>
        <w:t xml:space="preserve"> </w:t>
      </w:r>
      <w:r>
        <w:t>a</w:t>
      </w:r>
      <w:r>
        <w:rPr>
          <w:spacing w:val="-2"/>
        </w:rPr>
        <w:t xml:space="preserve"> </w:t>
      </w:r>
      <w:r>
        <w:t>broken</w:t>
      </w:r>
      <w:r>
        <w:rPr>
          <w:spacing w:val="-2"/>
        </w:rPr>
        <w:t xml:space="preserve"> </w:t>
      </w:r>
      <w:r>
        <w:t>leg).</w:t>
      </w:r>
      <w:r>
        <w:rPr>
          <w:spacing w:val="-2"/>
        </w:rPr>
        <w:t xml:space="preserve"> </w:t>
      </w:r>
      <w:r>
        <w:t>But</w:t>
      </w:r>
      <w:r>
        <w:rPr>
          <w:spacing w:val="-2"/>
        </w:rPr>
        <w:t xml:space="preserve"> </w:t>
      </w:r>
      <w:r>
        <w:t>that</w:t>
      </w:r>
      <w:r>
        <w:rPr>
          <w:spacing w:val="-2"/>
        </w:rPr>
        <w:t xml:space="preserve"> </w:t>
      </w:r>
      <w:r>
        <w:t>wouldn’t</w:t>
      </w:r>
      <w:r>
        <w:rPr>
          <w:spacing w:val="-2"/>
        </w:rPr>
        <w:t xml:space="preserve"> </w:t>
      </w:r>
      <w:r>
        <w:t>be</w:t>
      </w:r>
      <w:r>
        <w:rPr>
          <w:spacing w:val="-2"/>
        </w:rPr>
        <w:t xml:space="preserve"> </w:t>
      </w:r>
      <w:r>
        <w:t>an</w:t>
      </w:r>
      <w:r>
        <w:rPr>
          <w:spacing w:val="-2"/>
        </w:rPr>
        <w:t xml:space="preserve"> </w:t>
      </w:r>
      <w:r>
        <w:rPr>
          <w:i/>
        </w:rPr>
        <w:t>image</w:t>
      </w:r>
      <w:r>
        <w:rPr>
          <w:i/>
          <w:spacing w:val="-4"/>
        </w:rPr>
        <w:t xml:space="preserve"> </w:t>
      </w:r>
      <w:r>
        <w:t xml:space="preserve">of its being the case that Smith would have broken his leg if he’d fallen off the fence. It would be an image of Smith falling off the fence on top of an image of Smith having a broken leg. Relative to some convention, the one image’s being on top of the other would </w:t>
      </w:r>
      <w:r>
        <w:rPr>
          <w:i/>
        </w:rPr>
        <w:t>represent</w:t>
      </w:r>
      <w:r>
        <w:rPr>
          <w:i/>
          <w:spacing w:val="-3"/>
        </w:rPr>
        <w:t xml:space="preserve"> </w:t>
      </w:r>
      <w:r>
        <w:t xml:space="preserve">that dependence relation. But it wouldn’t be an </w:t>
      </w:r>
      <w:r>
        <w:rPr>
          <w:i/>
        </w:rPr>
        <w:t xml:space="preserve">image </w:t>
      </w:r>
      <w:r>
        <w:t>of it. Relative to certain conventions, the expression “Socrates” represents</w:t>
      </w:r>
      <w:r>
        <w:rPr>
          <w:spacing w:val="80"/>
          <w:w w:val="150"/>
        </w:rPr>
        <w:t xml:space="preserve"> </w:t>
      </w:r>
      <w:r>
        <w:t>Socrates,</w:t>
      </w:r>
      <w:r>
        <w:rPr>
          <w:spacing w:val="80"/>
          <w:w w:val="150"/>
        </w:rPr>
        <w:t xml:space="preserve"> </w:t>
      </w:r>
      <w:r>
        <w:t>but</w:t>
      </w:r>
      <w:r>
        <w:rPr>
          <w:spacing w:val="80"/>
          <w:w w:val="150"/>
        </w:rPr>
        <w:t xml:space="preserve"> </w:t>
      </w:r>
      <w:r>
        <w:t>it</w:t>
      </w:r>
      <w:r>
        <w:rPr>
          <w:spacing w:val="80"/>
          <w:w w:val="150"/>
        </w:rPr>
        <w:t xml:space="preserve"> </w:t>
      </w:r>
      <w:r>
        <w:t>isn’t</w:t>
      </w:r>
      <w:r>
        <w:rPr>
          <w:spacing w:val="80"/>
          <w:w w:val="150"/>
        </w:rPr>
        <w:t xml:space="preserve"> </w:t>
      </w:r>
      <w:r>
        <w:t>an</w:t>
      </w:r>
      <w:r>
        <w:rPr>
          <w:spacing w:val="80"/>
          <w:w w:val="150"/>
        </w:rPr>
        <w:t xml:space="preserve"> </w:t>
      </w:r>
      <w:r>
        <w:t>image</w:t>
      </w:r>
      <w:r>
        <w:rPr>
          <w:spacing w:val="80"/>
          <w:w w:val="150"/>
        </w:rPr>
        <w:t xml:space="preserve"> </w:t>
      </w:r>
      <w:r>
        <w:t>of</w:t>
      </w:r>
      <w:r>
        <w:rPr>
          <w:spacing w:val="80"/>
          <w:w w:val="150"/>
        </w:rPr>
        <w:t xml:space="preserve"> </w:t>
      </w:r>
      <w:r>
        <w:t>him.</w:t>
      </w:r>
      <w:r>
        <w:rPr>
          <w:spacing w:val="80"/>
          <w:w w:val="150"/>
        </w:rPr>
        <w:t xml:space="preserve"> </w:t>
      </w:r>
      <w:r>
        <w:t>It’s</w:t>
      </w:r>
      <w:r>
        <w:rPr>
          <w:spacing w:val="80"/>
          <w:w w:val="150"/>
        </w:rPr>
        <w:t xml:space="preserve"> </w:t>
      </w:r>
      <w:r>
        <w:t>a</w:t>
      </w:r>
      <w:r>
        <w:rPr>
          <w:spacing w:val="80"/>
          <w:w w:val="150"/>
        </w:rPr>
        <w:t xml:space="preserve"> </w:t>
      </w:r>
      <w:r>
        <w:t>non-iconic</w:t>
      </w:r>
    </w:p>
    <w:p w14:paraId="7E001A5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5D" w14:textId="77777777" w:rsidR="009A58DB" w:rsidRDefault="00000000">
      <w:pPr>
        <w:pStyle w:val="BodyText"/>
        <w:spacing w:before="70" w:line="249" w:lineRule="auto"/>
        <w:ind w:right="359"/>
      </w:pPr>
      <w:r>
        <w:lastRenderedPageBreak/>
        <w:t>representation of him. And putting one image on top of another is no more a case of producing an image of a dependence relation than saying “Socrates”</w:t>
      </w:r>
      <w:r>
        <w:rPr>
          <w:spacing w:val="40"/>
        </w:rPr>
        <w:t xml:space="preserve"> </w:t>
      </w:r>
      <w:r>
        <w:t>is producing an image of Socrates.</w:t>
      </w:r>
    </w:p>
    <w:p w14:paraId="7E001A5E" w14:textId="77777777" w:rsidR="009A58DB" w:rsidRDefault="00000000">
      <w:pPr>
        <w:pStyle w:val="BodyText"/>
        <w:spacing w:line="249" w:lineRule="auto"/>
        <w:ind w:right="365" w:firstLine="360"/>
      </w:pPr>
      <w:r>
        <w:t xml:space="preserve">But even if there could be some image of this dependence relation, there would </w:t>
      </w:r>
      <w:r>
        <w:rPr>
          <w:i/>
        </w:rPr>
        <w:t xml:space="preserve">still </w:t>
      </w:r>
      <w:r>
        <w:t>be no image that had S for its content. There is a difference between believing S, on the one hand, and:</w:t>
      </w:r>
    </w:p>
    <w:p w14:paraId="7E001A5F" w14:textId="77777777" w:rsidR="009A58DB" w:rsidRDefault="009A58DB">
      <w:pPr>
        <w:pStyle w:val="BodyText"/>
        <w:spacing w:before="17"/>
        <w:ind w:left="0"/>
        <w:jc w:val="left"/>
      </w:pPr>
    </w:p>
    <w:p w14:paraId="7E001A60" w14:textId="77777777" w:rsidR="009A58DB" w:rsidRDefault="00000000">
      <w:pPr>
        <w:pStyle w:val="BodyText"/>
      </w:pPr>
      <w:r>
        <w:t>(S*)</w:t>
      </w:r>
      <w:r>
        <w:rPr>
          <w:spacing w:val="-5"/>
        </w:rPr>
        <w:t xml:space="preserve"> </w:t>
      </w:r>
      <w:r>
        <w:t>Smith</w:t>
      </w:r>
      <w:r>
        <w:rPr>
          <w:spacing w:val="-2"/>
        </w:rPr>
        <w:t xml:space="preserve"> </w:t>
      </w:r>
      <w:r>
        <w:t>broke</w:t>
      </w:r>
      <w:r>
        <w:rPr>
          <w:spacing w:val="-3"/>
        </w:rPr>
        <w:t xml:space="preserve"> </w:t>
      </w:r>
      <w:r>
        <w:t>his</w:t>
      </w:r>
      <w:r>
        <w:rPr>
          <w:spacing w:val="-3"/>
        </w:rPr>
        <w:t xml:space="preserve"> </w:t>
      </w:r>
      <w:r>
        <w:t>leg</w:t>
      </w:r>
      <w:r>
        <w:rPr>
          <w:spacing w:val="-2"/>
        </w:rPr>
        <w:t xml:space="preserve"> </w:t>
      </w:r>
      <w:r>
        <w:rPr>
          <w:i/>
        </w:rPr>
        <w:t>because</w:t>
      </w:r>
      <w:r>
        <w:rPr>
          <w:i/>
          <w:spacing w:val="-3"/>
        </w:rPr>
        <w:t xml:space="preserve"> </w:t>
      </w:r>
      <w:r>
        <w:t>he</w:t>
      </w:r>
      <w:r>
        <w:rPr>
          <w:spacing w:val="-2"/>
        </w:rPr>
        <w:t xml:space="preserve"> </w:t>
      </w:r>
      <w:r>
        <w:rPr>
          <w:spacing w:val="-4"/>
        </w:rPr>
        <w:t>fell.</w:t>
      </w:r>
    </w:p>
    <w:p w14:paraId="7E001A61" w14:textId="77777777" w:rsidR="009A58DB" w:rsidRDefault="009A58DB">
      <w:pPr>
        <w:pStyle w:val="BodyText"/>
        <w:spacing w:before="30"/>
        <w:ind w:left="0"/>
        <w:jc w:val="left"/>
      </w:pPr>
    </w:p>
    <w:p w14:paraId="7E001A62" w14:textId="77777777" w:rsidR="009A58DB" w:rsidRDefault="00000000">
      <w:pPr>
        <w:pStyle w:val="BodyText"/>
        <w:spacing w:line="249" w:lineRule="auto"/>
        <w:ind w:right="359" w:firstLine="360"/>
      </w:pPr>
      <w:r>
        <w:t>S* presupposes that Smith fell off the fence and that he broke his leg. S presupposes neither. In fact, it presupposes that Smith did not fall off the fence. So an image of S* wouldn’t be an image of S, and an image of S</w:t>
      </w:r>
      <w:r>
        <w:rPr>
          <w:spacing w:val="40"/>
        </w:rPr>
        <w:t xml:space="preserve"> </w:t>
      </w:r>
      <w:r>
        <w:t xml:space="preserve">would have to be an image to the effect that </w:t>
      </w:r>
      <w:r>
        <w:rPr>
          <w:i/>
        </w:rPr>
        <w:t xml:space="preserve">interalia </w:t>
      </w:r>
      <w:r>
        <w:t xml:space="preserve">Smith did </w:t>
      </w:r>
      <w:r>
        <w:rPr>
          <w:i/>
        </w:rPr>
        <w:t xml:space="preserve">not </w:t>
      </w:r>
      <w:r>
        <w:t xml:space="preserve">fall off the fence. But there can’t be images of negative propositions. There is no image such that, by virtue of having it, you are thinking that Smith did </w:t>
      </w:r>
      <w:r>
        <w:rPr>
          <w:i/>
        </w:rPr>
        <w:t>not</w:t>
      </w:r>
      <w:r>
        <w:rPr>
          <w:i/>
          <w:spacing w:val="40"/>
        </w:rPr>
        <w:t xml:space="preserve"> </w:t>
      </w:r>
      <w:r>
        <w:t>fall off the fence. You could produce an image with a big X on it of Smith falling off the fence. But that wouldn’t be an image of Smith not falling off the fence. It would be an image with a big X on it of Smith falling off the fence; or maybe it would be an image of Smith falling off a fence in the vicinity of a big X.</w:t>
      </w:r>
    </w:p>
    <w:p w14:paraId="7E001A63" w14:textId="77777777" w:rsidR="009A58DB" w:rsidRDefault="00000000">
      <w:pPr>
        <w:spacing w:before="14" w:line="249" w:lineRule="auto"/>
        <w:ind w:left="360" w:right="367" w:firstLine="360"/>
        <w:jc w:val="both"/>
        <w:rPr>
          <w:sz w:val="30"/>
        </w:rPr>
      </w:pPr>
      <w:r>
        <w:rPr>
          <w:sz w:val="30"/>
        </w:rPr>
        <w:t xml:space="preserve">Disjunctive propositions are really conditional ones. </w:t>
      </w:r>
      <w:r>
        <w:rPr>
          <w:i/>
          <w:sz w:val="30"/>
        </w:rPr>
        <w:t xml:space="preserve">Either P or Q </w:t>
      </w:r>
      <w:r>
        <w:rPr>
          <w:sz w:val="30"/>
        </w:rPr>
        <w:t xml:space="preserve">is interchangeable with </w:t>
      </w:r>
      <w:r>
        <w:rPr>
          <w:i/>
          <w:sz w:val="30"/>
        </w:rPr>
        <w:t xml:space="preserve">if not P, then Q. </w:t>
      </w:r>
      <w:r>
        <w:rPr>
          <w:sz w:val="30"/>
        </w:rPr>
        <w:t xml:space="preserve">It follows that no disjunction can be </w:t>
      </w:r>
      <w:r>
        <w:rPr>
          <w:spacing w:val="-2"/>
          <w:sz w:val="30"/>
        </w:rPr>
        <w:t>imaged.</w:t>
      </w:r>
    </w:p>
    <w:p w14:paraId="7E001A64" w14:textId="77777777" w:rsidR="009A58DB" w:rsidRDefault="00000000">
      <w:pPr>
        <w:pStyle w:val="Heading1"/>
        <w:numPr>
          <w:ilvl w:val="1"/>
          <w:numId w:val="110"/>
        </w:numPr>
        <w:tabs>
          <w:tab w:val="left" w:pos="1026"/>
        </w:tabs>
        <w:spacing w:before="191" w:line="244" w:lineRule="auto"/>
        <w:ind w:right="369" w:firstLine="0"/>
      </w:pPr>
      <w:r>
        <w:t>Iconic information too specific in some respects and also too unspecific in others</w:t>
      </w:r>
    </w:p>
    <w:p w14:paraId="7E001A65" w14:textId="77777777" w:rsidR="009A58DB" w:rsidRDefault="00000000">
      <w:pPr>
        <w:spacing w:before="132" w:line="249" w:lineRule="auto"/>
        <w:ind w:left="360" w:right="357"/>
        <w:jc w:val="both"/>
        <w:rPr>
          <w:sz w:val="30"/>
        </w:rPr>
      </w:pPr>
      <w:r>
        <w:rPr>
          <w:sz w:val="30"/>
        </w:rPr>
        <w:t>First</w:t>
      </w:r>
      <w:r>
        <w:rPr>
          <w:spacing w:val="-3"/>
          <w:sz w:val="30"/>
        </w:rPr>
        <w:t xml:space="preserve"> </w:t>
      </w:r>
      <w:r>
        <w:rPr>
          <w:sz w:val="30"/>
        </w:rPr>
        <w:t>a</w:t>
      </w:r>
      <w:r>
        <w:rPr>
          <w:spacing w:val="-3"/>
          <w:sz w:val="30"/>
        </w:rPr>
        <w:t xml:space="preserve"> </w:t>
      </w:r>
      <w:r>
        <w:rPr>
          <w:sz w:val="30"/>
        </w:rPr>
        <w:t>terminological</w:t>
      </w:r>
      <w:r>
        <w:rPr>
          <w:spacing w:val="-3"/>
          <w:sz w:val="30"/>
        </w:rPr>
        <w:t xml:space="preserve"> </w:t>
      </w:r>
      <w:r>
        <w:rPr>
          <w:sz w:val="30"/>
        </w:rPr>
        <w:t>point:</w:t>
      </w:r>
      <w:r>
        <w:rPr>
          <w:spacing w:val="-3"/>
          <w:sz w:val="30"/>
        </w:rPr>
        <w:t xml:space="preserve"> </w:t>
      </w:r>
      <w:r>
        <w:rPr>
          <w:sz w:val="30"/>
        </w:rPr>
        <w:t>By</w:t>
      </w:r>
      <w:r>
        <w:rPr>
          <w:spacing w:val="-3"/>
          <w:sz w:val="30"/>
        </w:rPr>
        <w:t xml:space="preserve"> </w:t>
      </w:r>
      <w:r>
        <w:rPr>
          <w:sz w:val="30"/>
        </w:rPr>
        <w:t>a</w:t>
      </w:r>
      <w:r>
        <w:rPr>
          <w:spacing w:val="-3"/>
          <w:sz w:val="30"/>
        </w:rPr>
        <w:t xml:space="preserve"> </w:t>
      </w:r>
      <w:r>
        <w:rPr>
          <w:sz w:val="30"/>
        </w:rPr>
        <w:t>“general”</w:t>
      </w:r>
      <w:r>
        <w:rPr>
          <w:spacing w:val="-3"/>
          <w:sz w:val="30"/>
        </w:rPr>
        <w:t xml:space="preserve"> </w:t>
      </w:r>
      <w:r>
        <w:rPr>
          <w:sz w:val="30"/>
        </w:rPr>
        <w:t>thought,</w:t>
      </w:r>
      <w:r>
        <w:rPr>
          <w:spacing w:val="-3"/>
          <w:sz w:val="30"/>
        </w:rPr>
        <w:t xml:space="preserve"> </w:t>
      </w:r>
      <w:r>
        <w:rPr>
          <w:sz w:val="30"/>
        </w:rPr>
        <w:t>I</w:t>
      </w:r>
      <w:r>
        <w:rPr>
          <w:spacing w:val="-3"/>
          <w:sz w:val="30"/>
        </w:rPr>
        <w:t xml:space="preserve"> </w:t>
      </w:r>
      <w:r>
        <w:rPr>
          <w:sz w:val="30"/>
        </w:rPr>
        <w:t>mean</w:t>
      </w:r>
      <w:r>
        <w:rPr>
          <w:spacing w:val="-3"/>
          <w:sz w:val="30"/>
        </w:rPr>
        <w:t xml:space="preserve"> </w:t>
      </w:r>
      <w:r>
        <w:rPr>
          <w:sz w:val="30"/>
        </w:rPr>
        <w:t>one</w:t>
      </w:r>
      <w:r>
        <w:rPr>
          <w:spacing w:val="-3"/>
          <w:sz w:val="30"/>
        </w:rPr>
        <w:t xml:space="preserve"> </w:t>
      </w:r>
      <w:r>
        <w:rPr>
          <w:sz w:val="30"/>
        </w:rPr>
        <w:t>that</w:t>
      </w:r>
      <w:r>
        <w:rPr>
          <w:spacing w:val="-3"/>
          <w:sz w:val="30"/>
        </w:rPr>
        <w:t xml:space="preserve"> </w:t>
      </w:r>
      <w:r>
        <w:rPr>
          <w:sz w:val="30"/>
        </w:rPr>
        <w:t>concerns some</w:t>
      </w:r>
      <w:r>
        <w:rPr>
          <w:spacing w:val="-19"/>
          <w:sz w:val="30"/>
        </w:rPr>
        <w:t xml:space="preserve"> </w:t>
      </w:r>
      <w:r>
        <w:rPr>
          <w:sz w:val="30"/>
        </w:rPr>
        <w:t>unspecified</w:t>
      </w:r>
      <w:r>
        <w:rPr>
          <w:spacing w:val="-19"/>
          <w:sz w:val="30"/>
        </w:rPr>
        <w:t xml:space="preserve"> </w:t>
      </w:r>
      <w:r>
        <w:rPr>
          <w:sz w:val="30"/>
        </w:rPr>
        <w:t>thing</w:t>
      </w:r>
      <w:r>
        <w:rPr>
          <w:spacing w:val="-19"/>
          <w:sz w:val="30"/>
        </w:rPr>
        <w:t xml:space="preserve"> </w:t>
      </w:r>
      <w:r>
        <w:rPr>
          <w:sz w:val="30"/>
        </w:rPr>
        <w:t>(e.g.,</w:t>
      </w:r>
      <w:r>
        <w:rPr>
          <w:spacing w:val="-18"/>
          <w:sz w:val="30"/>
        </w:rPr>
        <w:t xml:space="preserve"> </w:t>
      </w:r>
      <w:r>
        <w:rPr>
          <w:i/>
          <w:sz w:val="30"/>
        </w:rPr>
        <w:t>somebody</w:t>
      </w:r>
      <w:r>
        <w:rPr>
          <w:i/>
          <w:spacing w:val="-19"/>
          <w:sz w:val="30"/>
        </w:rPr>
        <w:t xml:space="preserve"> </w:t>
      </w:r>
      <w:r>
        <w:rPr>
          <w:i/>
          <w:sz w:val="30"/>
        </w:rPr>
        <w:t>or</w:t>
      </w:r>
      <w:r>
        <w:rPr>
          <w:i/>
          <w:spacing w:val="-19"/>
          <w:sz w:val="30"/>
        </w:rPr>
        <w:t xml:space="preserve"> </w:t>
      </w:r>
      <w:r>
        <w:rPr>
          <w:i/>
          <w:sz w:val="30"/>
        </w:rPr>
        <w:t>other</w:t>
      </w:r>
      <w:r>
        <w:rPr>
          <w:i/>
          <w:spacing w:val="-19"/>
          <w:sz w:val="30"/>
        </w:rPr>
        <w:t xml:space="preserve"> </w:t>
      </w:r>
      <w:r>
        <w:rPr>
          <w:i/>
          <w:sz w:val="30"/>
        </w:rPr>
        <w:t>cured</w:t>
      </w:r>
      <w:r>
        <w:rPr>
          <w:i/>
          <w:spacing w:val="-18"/>
          <w:sz w:val="30"/>
        </w:rPr>
        <w:t xml:space="preserve"> </w:t>
      </w:r>
      <w:r>
        <w:rPr>
          <w:i/>
          <w:sz w:val="30"/>
        </w:rPr>
        <w:t>cancer</w:t>
      </w:r>
      <w:r>
        <w:rPr>
          <w:sz w:val="30"/>
        </w:rPr>
        <w:t>)</w:t>
      </w:r>
      <w:r>
        <w:rPr>
          <w:spacing w:val="-19"/>
          <w:sz w:val="30"/>
        </w:rPr>
        <w:t xml:space="preserve"> </w:t>
      </w:r>
      <w:r>
        <w:rPr>
          <w:sz w:val="30"/>
        </w:rPr>
        <w:t>or</w:t>
      </w:r>
      <w:r>
        <w:rPr>
          <w:spacing w:val="-19"/>
          <w:sz w:val="30"/>
        </w:rPr>
        <w:t xml:space="preserve"> </w:t>
      </w:r>
      <w:r>
        <w:rPr>
          <w:sz w:val="30"/>
        </w:rPr>
        <w:t>that</w:t>
      </w:r>
      <w:r>
        <w:rPr>
          <w:spacing w:val="-19"/>
          <w:sz w:val="30"/>
        </w:rPr>
        <w:t xml:space="preserve"> </w:t>
      </w:r>
      <w:r>
        <w:rPr>
          <w:sz w:val="30"/>
        </w:rPr>
        <w:t xml:space="preserve">concerns </w:t>
      </w:r>
      <w:r>
        <w:rPr>
          <w:spacing w:val="-2"/>
          <w:sz w:val="30"/>
        </w:rPr>
        <w:t>all</w:t>
      </w:r>
      <w:r>
        <w:rPr>
          <w:spacing w:val="-14"/>
          <w:sz w:val="30"/>
        </w:rPr>
        <w:t xml:space="preserve"> </w:t>
      </w:r>
      <w:r>
        <w:rPr>
          <w:spacing w:val="-2"/>
          <w:sz w:val="30"/>
        </w:rPr>
        <w:t>things</w:t>
      </w:r>
      <w:r>
        <w:rPr>
          <w:spacing w:val="-14"/>
          <w:sz w:val="30"/>
        </w:rPr>
        <w:t xml:space="preserve"> </w:t>
      </w:r>
      <w:r>
        <w:rPr>
          <w:spacing w:val="-2"/>
          <w:sz w:val="30"/>
        </w:rPr>
        <w:t>in</w:t>
      </w:r>
      <w:r>
        <w:rPr>
          <w:spacing w:val="-14"/>
          <w:sz w:val="30"/>
        </w:rPr>
        <w:t xml:space="preserve"> </w:t>
      </w:r>
      <w:r>
        <w:rPr>
          <w:spacing w:val="-2"/>
          <w:sz w:val="30"/>
        </w:rPr>
        <w:t>a</w:t>
      </w:r>
      <w:r>
        <w:rPr>
          <w:spacing w:val="-14"/>
          <w:sz w:val="30"/>
        </w:rPr>
        <w:t xml:space="preserve"> </w:t>
      </w:r>
      <w:r>
        <w:rPr>
          <w:spacing w:val="-2"/>
          <w:sz w:val="30"/>
        </w:rPr>
        <w:t>certain</w:t>
      </w:r>
      <w:r>
        <w:rPr>
          <w:spacing w:val="-14"/>
          <w:sz w:val="30"/>
        </w:rPr>
        <w:t xml:space="preserve"> </w:t>
      </w:r>
      <w:r>
        <w:rPr>
          <w:spacing w:val="-2"/>
          <w:sz w:val="30"/>
        </w:rPr>
        <w:t>category</w:t>
      </w:r>
      <w:r>
        <w:rPr>
          <w:spacing w:val="-14"/>
          <w:sz w:val="30"/>
        </w:rPr>
        <w:t xml:space="preserve"> </w:t>
      </w:r>
      <w:r>
        <w:rPr>
          <w:spacing w:val="-2"/>
          <w:sz w:val="30"/>
        </w:rPr>
        <w:t>without</w:t>
      </w:r>
      <w:r>
        <w:rPr>
          <w:spacing w:val="-14"/>
          <w:sz w:val="30"/>
        </w:rPr>
        <w:t xml:space="preserve"> </w:t>
      </w:r>
      <w:r>
        <w:rPr>
          <w:spacing w:val="-2"/>
          <w:sz w:val="30"/>
        </w:rPr>
        <w:t>considering</w:t>
      </w:r>
      <w:r>
        <w:rPr>
          <w:spacing w:val="-14"/>
          <w:sz w:val="30"/>
        </w:rPr>
        <w:t xml:space="preserve"> </w:t>
      </w:r>
      <w:r>
        <w:rPr>
          <w:spacing w:val="-2"/>
          <w:sz w:val="30"/>
        </w:rPr>
        <w:t>any</w:t>
      </w:r>
      <w:r>
        <w:rPr>
          <w:spacing w:val="-14"/>
          <w:sz w:val="30"/>
        </w:rPr>
        <w:t xml:space="preserve"> </w:t>
      </w:r>
      <w:r>
        <w:rPr>
          <w:spacing w:val="-2"/>
          <w:sz w:val="30"/>
        </w:rPr>
        <w:t>one</w:t>
      </w:r>
      <w:r>
        <w:rPr>
          <w:spacing w:val="-14"/>
          <w:sz w:val="30"/>
        </w:rPr>
        <w:t xml:space="preserve"> </w:t>
      </w:r>
      <w:r>
        <w:rPr>
          <w:spacing w:val="-2"/>
          <w:sz w:val="30"/>
        </w:rPr>
        <w:t>of</w:t>
      </w:r>
      <w:r>
        <w:rPr>
          <w:spacing w:val="-14"/>
          <w:sz w:val="30"/>
        </w:rPr>
        <w:t xml:space="preserve"> </w:t>
      </w:r>
      <w:r>
        <w:rPr>
          <w:spacing w:val="-2"/>
          <w:sz w:val="30"/>
        </w:rPr>
        <w:t>them</w:t>
      </w:r>
      <w:r>
        <w:rPr>
          <w:spacing w:val="-14"/>
          <w:sz w:val="30"/>
        </w:rPr>
        <w:t xml:space="preserve"> </w:t>
      </w:r>
      <w:r>
        <w:rPr>
          <w:spacing w:val="-2"/>
          <w:sz w:val="30"/>
        </w:rPr>
        <w:t>in</w:t>
      </w:r>
      <w:r>
        <w:rPr>
          <w:spacing w:val="-14"/>
          <w:sz w:val="30"/>
        </w:rPr>
        <w:t xml:space="preserve"> </w:t>
      </w:r>
      <w:r>
        <w:rPr>
          <w:spacing w:val="-2"/>
          <w:sz w:val="30"/>
        </w:rPr>
        <w:t xml:space="preserve">particular </w:t>
      </w:r>
      <w:r>
        <w:rPr>
          <w:sz w:val="30"/>
        </w:rPr>
        <w:t>(e.g.,</w:t>
      </w:r>
      <w:r>
        <w:rPr>
          <w:spacing w:val="-7"/>
          <w:sz w:val="30"/>
        </w:rPr>
        <w:t xml:space="preserve"> </w:t>
      </w:r>
      <w:r>
        <w:rPr>
          <w:i/>
          <w:sz w:val="30"/>
        </w:rPr>
        <w:t>most</w:t>
      </w:r>
      <w:r>
        <w:rPr>
          <w:i/>
          <w:spacing w:val="-7"/>
          <w:sz w:val="30"/>
        </w:rPr>
        <w:t xml:space="preserve"> </w:t>
      </w:r>
      <w:r>
        <w:rPr>
          <w:i/>
          <w:sz w:val="30"/>
        </w:rPr>
        <w:t>people</w:t>
      </w:r>
      <w:r>
        <w:rPr>
          <w:i/>
          <w:spacing w:val="-6"/>
          <w:sz w:val="30"/>
        </w:rPr>
        <w:t xml:space="preserve"> </w:t>
      </w:r>
      <w:r>
        <w:rPr>
          <w:i/>
          <w:sz w:val="30"/>
        </w:rPr>
        <w:t>have</w:t>
      </w:r>
      <w:r>
        <w:rPr>
          <w:i/>
          <w:spacing w:val="-6"/>
          <w:sz w:val="30"/>
        </w:rPr>
        <w:t xml:space="preserve"> </w:t>
      </w:r>
      <w:r>
        <w:rPr>
          <w:i/>
          <w:sz w:val="30"/>
        </w:rPr>
        <w:t>at</w:t>
      </w:r>
      <w:r>
        <w:rPr>
          <w:i/>
          <w:spacing w:val="-7"/>
          <w:sz w:val="30"/>
        </w:rPr>
        <w:t xml:space="preserve"> </w:t>
      </w:r>
      <w:r>
        <w:rPr>
          <w:i/>
          <w:sz w:val="30"/>
        </w:rPr>
        <w:t>least</w:t>
      </w:r>
      <w:r>
        <w:rPr>
          <w:i/>
          <w:spacing w:val="-7"/>
          <w:sz w:val="30"/>
        </w:rPr>
        <w:t xml:space="preserve"> </w:t>
      </w:r>
      <w:r>
        <w:rPr>
          <w:i/>
          <w:sz w:val="30"/>
        </w:rPr>
        <w:t>some</w:t>
      </w:r>
      <w:r>
        <w:rPr>
          <w:i/>
          <w:spacing w:val="-6"/>
          <w:sz w:val="30"/>
        </w:rPr>
        <w:t xml:space="preserve"> </w:t>
      </w:r>
      <w:r>
        <w:rPr>
          <w:i/>
          <w:sz w:val="30"/>
        </w:rPr>
        <w:t>decency</w:t>
      </w:r>
      <w:r>
        <w:rPr>
          <w:sz w:val="30"/>
        </w:rPr>
        <w:t>).</w:t>
      </w:r>
    </w:p>
    <w:p w14:paraId="7E001A66" w14:textId="77777777" w:rsidR="009A58DB" w:rsidRDefault="00000000">
      <w:pPr>
        <w:pStyle w:val="BodyText"/>
        <w:spacing w:before="5" w:line="249" w:lineRule="auto"/>
        <w:ind w:right="359" w:firstLine="360"/>
      </w:pPr>
      <w:r>
        <w:t>Suppose</w:t>
      </w:r>
      <w:r>
        <w:rPr>
          <w:spacing w:val="-19"/>
        </w:rPr>
        <w:t xml:space="preserve"> </w:t>
      </w:r>
      <w:r>
        <w:t>you</w:t>
      </w:r>
      <w:r>
        <w:rPr>
          <w:spacing w:val="-19"/>
        </w:rPr>
        <w:t xml:space="preserve"> </w:t>
      </w:r>
      <w:r>
        <w:t>believe</w:t>
      </w:r>
      <w:r>
        <w:rPr>
          <w:spacing w:val="-19"/>
        </w:rPr>
        <w:t xml:space="preserve"> </w:t>
      </w:r>
      <w:r>
        <w:t>that</w:t>
      </w:r>
      <w:r>
        <w:rPr>
          <w:spacing w:val="-18"/>
        </w:rPr>
        <w:t xml:space="preserve"> </w:t>
      </w:r>
      <w:r>
        <w:t>the</w:t>
      </w:r>
      <w:r>
        <w:rPr>
          <w:spacing w:val="-19"/>
        </w:rPr>
        <w:t xml:space="preserve"> </w:t>
      </w:r>
      <w:r>
        <w:t>cat</w:t>
      </w:r>
      <w:r>
        <w:rPr>
          <w:spacing w:val="-19"/>
        </w:rPr>
        <w:t xml:space="preserve"> </w:t>
      </w:r>
      <w:r>
        <w:t>is</w:t>
      </w:r>
      <w:r>
        <w:rPr>
          <w:spacing w:val="-18"/>
        </w:rPr>
        <w:t xml:space="preserve"> </w:t>
      </w:r>
      <w:r>
        <w:t>on</w:t>
      </w:r>
      <w:r>
        <w:rPr>
          <w:spacing w:val="-17"/>
        </w:rPr>
        <w:t xml:space="preserve"> </w:t>
      </w:r>
      <w:r>
        <w:t>the</w:t>
      </w:r>
      <w:r>
        <w:rPr>
          <w:spacing w:val="-17"/>
        </w:rPr>
        <w:t xml:space="preserve"> </w:t>
      </w:r>
      <w:r>
        <w:t>mat.</w:t>
      </w:r>
      <w:r>
        <w:rPr>
          <w:spacing w:val="-19"/>
        </w:rPr>
        <w:t xml:space="preserve"> </w:t>
      </w:r>
      <w:r>
        <w:t>Any</w:t>
      </w:r>
      <w:r>
        <w:rPr>
          <w:spacing w:val="-19"/>
        </w:rPr>
        <w:t xml:space="preserve"> </w:t>
      </w:r>
      <w:r>
        <w:rPr>
          <w:i/>
        </w:rPr>
        <w:t>image</w:t>
      </w:r>
      <w:r>
        <w:rPr>
          <w:i/>
          <w:spacing w:val="-19"/>
        </w:rPr>
        <w:t xml:space="preserve"> </w:t>
      </w:r>
      <w:r>
        <w:t>of</w:t>
      </w:r>
      <w:r>
        <w:rPr>
          <w:spacing w:val="-17"/>
        </w:rPr>
        <w:t xml:space="preserve"> </w:t>
      </w:r>
      <w:r>
        <w:t>a</w:t>
      </w:r>
      <w:r>
        <w:rPr>
          <w:spacing w:val="-17"/>
        </w:rPr>
        <w:t xml:space="preserve"> </w:t>
      </w:r>
      <w:r>
        <w:t>cat</w:t>
      </w:r>
      <w:r>
        <w:rPr>
          <w:spacing w:val="-18"/>
        </w:rPr>
        <w:t xml:space="preserve"> </w:t>
      </w:r>
      <w:r>
        <w:t>on</w:t>
      </w:r>
      <w:r>
        <w:rPr>
          <w:spacing w:val="-17"/>
        </w:rPr>
        <w:t xml:space="preserve"> </w:t>
      </w:r>
      <w:r>
        <w:t>the</w:t>
      </w:r>
      <w:r>
        <w:rPr>
          <w:spacing w:val="-17"/>
        </w:rPr>
        <w:t xml:space="preserve"> </w:t>
      </w:r>
      <w:r>
        <w:t>mat will include information not included in that thought (e.g., it will include information</w:t>
      </w:r>
      <w:r>
        <w:rPr>
          <w:spacing w:val="-10"/>
        </w:rPr>
        <w:t xml:space="preserve"> </w:t>
      </w:r>
      <w:r>
        <w:t>concerning</w:t>
      </w:r>
      <w:r>
        <w:rPr>
          <w:spacing w:val="-10"/>
        </w:rPr>
        <w:t xml:space="preserve"> </w:t>
      </w:r>
      <w:r>
        <w:t>the</w:t>
      </w:r>
      <w:r>
        <w:rPr>
          <w:spacing w:val="-10"/>
        </w:rPr>
        <w:t xml:space="preserve"> </w:t>
      </w:r>
      <w:r>
        <w:t>cat’s</w:t>
      </w:r>
      <w:r>
        <w:rPr>
          <w:spacing w:val="-10"/>
        </w:rPr>
        <w:t xml:space="preserve"> </w:t>
      </w:r>
      <w:r>
        <w:t>shape</w:t>
      </w:r>
      <w:r>
        <w:rPr>
          <w:spacing w:val="-10"/>
        </w:rPr>
        <w:t xml:space="preserve"> </w:t>
      </w:r>
      <w:r>
        <w:t>or</w:t>
      </w:r>
      <w:r>
        <w:rPr>
          <w:spacing w:val="-10"/>
        </w:rPr>
        <w:t xml:space="preserve"> </w:t>
      </w:r>
      <w:r>
        <w:t>color,</w:t>
      </w:r>
      <w:r>
        <w:rPr>
          <w:spacing w:val="-10"/>
        </w:rPr>
        <w:t xml:space="preserve"> </w:t>
      </w:r>
      <w:r>
        <w:t>or</w:t>
      </w:r>
      <w:r>
        <w:rPr>
          <w:spacing w:val="-10"/>
        </w:rPr>
        <w:t xml:space="preserve"> </w:t>
      </w:r>
      <w:r>
        <w:t>concerning</w:t>
      </w:r>
      <w:r>
        <w:rPr>
          <w:spacing w:val="-10"/>
        </w:rPr>
        <w:t xml:space="preserve"> </w:t>
      </w:r>
      <w:r>
        <w:t>the</w:t>
      </w:r>
      <w:r>
        <w:rPr>
          <w:spacing w:val="-10"/>
        </w:rPr>
        <w:t xml:space="preserve"> </w:t>
      </w:r>
      <w:r>
        <w:t>mat’s</w:t>
      </w:r>
      <w:r>
        <w:rPr>
          <w:spacing w:val="-10"/>
        </w:rPr>
        <w:t xml:space="preserve"> </w:t>
      </w:r>
      <w:r>
        <w:t>shape or size).</w:t>
      </w:r>
    </w:p>
    <w:p w14:paraId="7E001A67" w14:textId="77777777" w:rsidR="009A58DB" w:rsidRDefault="00000000">
      <w:pPr>
        <w:pStyle w:val="BodyText"/>
        <w:spacing w:before="5"/>
        <w:ind w:left="720"/>
      </w:pPr>
      <w:r>
        <w:t>By</w:t>
      </w:r>
      <w:r>
        <w:rPr>
          <w:spacing w:val="-18"/>
        </w:rPr>
        <w:t xml:space="preserve"> </w:t>
      </w:r>
      <w:r>
        <w:t>the</w:t>
      </w:r>
      <w:r>
        <w:rPr>
          <w:spacing w:val="-17"/>
        </w:rPr>
        <w:t xml:space="preserve"> </w:t>
      </w:r>
      <w:r>
        <w:t>same</w:t>
      </w:r>
      <w:r>
        <w:rPr>
          <w:spacing w:val="-17"/>
        </w:rPr>
        <w:t xml:space="preserve"> </w:t>
      </w:r>
      <w:r>
        <w:t>token,</w:t>
      </w:r>
      <w:r>
        <w:rPr>
          <w:spacing w:val="-17"/>
        </w:rPr>
        <w:t xml:space="preserve"> </w:t>
      </w:r>
      <w:r>
        <w:t>any</w:t>
      </w:r>
      <w:r>
        <w:rPr>
          <w:spacing w:val="-17"/>
        </w:rPr>
        <w:t xml:space="preserve"> </w:t>
      </w:r>
      <w:r>
        <w:t>thought</w:t>
      </w:r>
      <w:r>
        <w:rPr>
          <w:spacing w:val="-17"/>
        </w:rPr>
        <w:t xml:space="preserve"> </w:t>
      </w:r>
      <w:r>
        <w:t>will</w:t>
      </w:r>
      <w:r>
        <w:rPr>
          <w:spacing w:val="-17"/>
        </w:rPr>
        <w:t xml:space="preserve"> </w:t>
      </w:r>
      <w:r>
        <w:t>contain</w:t>
      </w:r>
      <w:r>
        <w:rPr>
          <w:spacing w:val="-17"/>
        </w:rPr>
        <w:t xml:space="preserve"> </w:t>
      </w:r>
      <w:r>
        <w:t>information</w:t>
      </w:r>
      <w:r>
        <w:rPr>
          <w:spacing w:val="-16"/>
        </w:rPr>
        <w:t xml:space="preserve"> </w:t>
      </w:r>
      <w:r>
        <w:t>not</w:t>
      </w:r>
      <w:r>
        <w:rPr>
          <w:spacing w:val="-18"/>
        </w:rPr>
        <w:t xml:space="preserve"> </w:t>
      </w:r>
      <w:r>
        <w:t>included</w:t>
      </w:r>
      <w:r>
        <w:rPr>
          <w:spacing w:val="-16"/>
        </w:rPr>
        <w:t xml:space="preserve"> </w:t>
      </w:r>
      <w:r>
        <w:t>in</w:t>
      </w:r>
      <w:r>
        <w:rPr>
          <w:spacing w:val="-16"/>
        </w:rPr>
        <w:t xml:space="preserve"> </w:t>
      </w:r>
      <w:r>
        <w:rPr>
          <w:spacing w:val="-5"/>
        </w:rPr>
        <w:t>any</w:t>
      </w:r>
    </w:p>
    <w:p w14:paraId="7E001A68" w14:textId="77777777" w:rsidR="009A58DB" w:rsidRDefault="009A58DB">
      <w:pPr>
        <w:pStyle w:val="BodyText"/>
        <w:sectPr w:rsidR="009A58DB">
          <w:pgSz w:w="12240" w:h="15840"/>
          <w:pgMar w:top="1380" w:right="1080" w:bottom="280" w:left="1080" w:header="720" w:footer="720" w:gutter="0"/>
          <w:cols w:space="720"/>
        </w:sectPr>
      </w:pPr>
    </w:p>
    <w:p w14:paraId="7E001A69" w14:textId="77777777" w:rsidR="009A58DB" w:rsidRDefault="00000000">
      <w:pPr>
        <w:pStyle w:val="BodyText"/>
        <w:spacing w:before="60" w:line="249" w:lineRule="auto"/>
        <w:ind w:right="357"/>
        <w:rPr>
          <w:position w:val="21"/>
        </w:rPr>
      </w:pPr>
      <w:r>
        <w:lastRenderedPageBreak/>
        <w:t>image. An image of a cat on the mat is indistinguishable from an image of a perfect</w:t>
      </w:r>
      <w:r>
        <w:rPr>
          <w:spacing w:val="-12"/>
        </w:rPr>
        <w:t xml:space="preserve"> </w:t>
      </w:r>
      <w:r>
        <w:t>cat-impostor</w:t>
      </w:r>
      <w:r>
        <w:rPr>
          <w:spacing w:val="-11"/>
        </w:rPr>
        <w:t xml:space="preserve"> </w:t>
      </w:r>
      <w:r>
        <w:t>that</w:t>
      </w:r>
      <w:r>
        <w:rPr>
          <w:spacing w:val="-11"/>
        </w:rPr>
        <w:t xml:space="preserve"> </w:t>
      </w:r>
      <w:r>
        <w:t>is</w:t>
      </w:r>
      <w:r>
        <w:rPr>
          <w:spacing w:val="-11"/>
        </w:rPr>
        <w:t xml:space="preserve"> </w:t>
      </w:r>
      <w:r>
        <w:t>on</w:t>
      </w:r>
      <w:r>
        <w:rPr>
          <w:spacing w:val="-11"/>
        </w:rPr>
        <w:t xml:space="preserve"> </w:t>
      </w:r>
      <w:r>
        <w:t>a</w:t>
      </w:r>
      <w:r>
        <w:rPr>
          <w:spacing w:val="-10"/>
        </w:rPr>
        <w:t xml:space="preserve"> </w:t>
      </w:r>
      <w:r>
        <w:t>mat.</w:t>
      </w:r>
      <w:r>
        <w:rPr>
          <w:spacing w:val="-10"/>
        </w:rPr>
        <w:t xml:space="preserve"> </w:t>
      </w:r>
      <w:r>
        <w:t>So</w:t>
      </w:r>
      <w:r>
        <w:rPr>
          <w:spacing w:val="-10"/>
        </w:rPr>
        <w:t xml:space="preserve"> </w:t>
      </w:r>
      <w:r>
        <w:t>if</w:t>
      </w:r>
      <w:r>
        <w:rPr>
          <w:spacing w:val="-11"/>
        </w:rPr>
        <w:t xml:space="preserve"> </w:t>
      </w:r>
      <w:r>
        <w:t>the</w:t>
      </w:r>
      <w:r>
        <w:rPr>
          <w:spacing w:val="-10"/>
        </w:rPr>
        <w:t xml:space="preserve"> </w:t>
      </w:r>
      <w:r>
        <w:t>thought</w:t>
      </w:r>
      <w:r>
        <w:rPr>
          <w:spacing w:val="-11"/>
        </w:rPr>
        <w:t xml:space="preserve"> </w:t>
      </w:r>
      <w:r>
        <w:t>that</w:t>
      </w:r>
      <w:r>
        <w:rPr>
          <w:spacing w:val="-19"/>
        </w:rPr>
        <w:t xml:space="preserve"> </w:t>
      </w:r>
      <w:r>
        <w:rPr>
          <w:i/>
        </w:rPr>
        <w:t>the</w:t>
      </w:r>
      <w:r>
        <w:rPr>
          <w:i/>
          <w:spacing w:val="-12"/>
        </w:rPr>
        <w:t xml:space="preserve"> </w:t>
      </w:r>
      <w:r>
        <w:rPr>
          <w:i/>
        </w:rPr>
        <w:t>cat</w:t>
      </w:r>
      <w:r>
        <w:rPr>
          <w:i/>
          <w:spacing w:val="-13"/>
        </w:rPr>
        <w:t xml:space="preserve"> </w:t>
      </w:r>
      <w:r>
        <w:rPr>
          <w:i/>
        </w:rPr>
        <w:t>is</w:t>
      </w:r>
      <w:r>
        <w:rPr>
          <w:i/>
          <w:spacing w:val="-13"/>
        </w:rPr>
        <w:t xml:space="preserve"> </w:t>
      </w:r>
      <w:r>
        <w:rPr>
          <w:i/>
        </w:rPr>
        <w:t>on</w:t>
      </w:r>
      <w:r>
        <w:rPr>
          <w:i/>
          <w:spacing w:val="-12"/>
        </w:rPr>
        <w:t xml:space="preserve"> </w:t>
      </w:r>
      <w:r>
        <w:rPr>
          <w:i/>
        </w:rPr>
        <w:t>the</w:t>
      </w:r>
      <w:r>
        <w:rPr>
          <w:i/>
          <w:spacing w:val="-12"/>
        </w:rPr>
        <w:t xml:space="preserve"> </w:t>
      </w:r>
      <w:r>
        <w:rPr>
          <w:i/>
        </w:rPr>
        <w:t xml:space="preserve">mat </w:t>
      </w:r>
      <w:r>
        <w:t>were identical with an image, it would be identical with the thought that</w:t>
      </w:r>
      <w:r>
        <w:rPr>
          <w:spacing w:val="-19"/>
        </w:rPr>
        <w:t xml:space="preserve"> </w:t>
      </w:r>
      <w:r>
        <w:rPr>
          <w:i/>
        </w:rPr>
        <w:t>a perfect</w:t>
      </w:r>
      <w:r>
        <w:rPr>
          <w:i/>
          <w:spacing w:val="-17"/>
        </w:rPr>
        <w:t xml:space="preserve"> </w:t>
      </w:r>
      <w:r>
        <w:rPr>
          <w:i/>
        </w:rPr>
        <w:t>cat</w:t>
      </w:r>
      <w:r>
        <w:rPr>
          <w:i/>
          <w:spacing w:val="-17"/>
        </w:rPr>
        <w:t xml:space="preserve"> </w:t>
      </w:r>
      <w:r>
        <w:rPr>
          <w:i/>
        </w:rPr>
        <w:t>impostor</w:t>
      </w:r>
      <w:r>
        <w:rPr>
          <w:i/>
          <w:spacing w:val="-16"/>
        </w:rPr>
        <w:t xml:space="preserve"> </w:t>
      </w:r>
      <w:r>
        <w:rPr>
          <w:i/>
        </w:rPr>
        <w:t>is</w:t>
      </w:r>
      <w:r>
        <w:rPr>
          <w:i/>
          <w:spacing w:val="-16"/>
        </w:rPr>
        <w:t xml:space="preserve"> </w:t>
      </w:r>
      <w:r>
        <w:rPr>
          <w:i/>
        </w:rPr>
        <w:t>on</w:t>
      </w:r>
      <w:r>
        <w:rPr>
          <w:i/>
          <w:spacing w:val="-16"/>
        </w:rPr>
        <w:t xml:space="preserve"> </w:t>
      </w:r>
      <w:r>
        <w:rPr>
          <w:i/>
        </w:rPr>
        <w:t>the</w:t>
      </w:r>
      <w:r>
        <w:rPr>
          <w:i/>
          <w:spacing w:val="-16"/>
        </w:rPr>
        <w:t xml:space="preserve"> </w:t>
      </w:r>
      <w:r>
        <w:rPr>
          <w:i/>
        </w:rPr>
        <w:t>mat.</w:t>
      </w:r>
      <w:r>
        <w:rPr>
          <w:i/>
          <w:spacing w:val="-17"/>
        </w:rPr>
        <w:t xml:space="preserve"> </w:t>
      </w:r>
      <w:r>
        <w:t>But</w:t>
      </w:r>
      <w:r>
        <w:rPr>
          <w:spacing w:val="-17"/>
        </w:rPr>
        <w:t xml:space="preserve"> </w:t>
      </w:r>
      <w:r>
        <w:t>those</w:t>
      </w:r>
      <w:r>
        <w:rPr>
          <w:spacing w:val="-16"/>
        </w:rPr>
        <w:t xml:space="preserve"> </w:t>
      </w:r>
      <w:r>
        <w:t>propositions</w:t>
      </w:r>
      <w:r>
        <w:rPr>
          <w:spacing w:val="-16"/>
        </w:rPr>
        <w:t xml:space="preserve"> </w:t>
      </w:r>
      <w:r>
        <w:t>are</w:t>
      </w:r>
      <w:r>
        <w:rPr>
          <w:spacing w:val="-16"/>
        </w:rPr>
        <w:t xml:space="preserve"> </w:t>
      </w:r>
      <w:r>
        <w:t>distinct.</w:t>
      </w:r>
      <w:bookmarkStart w:id="347" w:name="_bookmark347"/>
      <w:bookmarkEnd w:id="347"/>
      <w:r>
        <w:rPr>
          <w:color w:val="0562C1"/>
          <w:position w:val="21"/>
          <w:u w:val="single" w:color="0562C1"/>
        </w:rPr>
        <w:t>[239]</w:t>
      </w:r>
    </w:p>
    <w:p w14:paraId="7E001A6A" w14:textId="77777777" w:rsidR="009A58DB" w:rsidRDefault="00000000">
      <w:pPr>
        <w:pStyle w:val="BodyText"/>
        <w:spacing w:before="10" w:line="249" w:lineRule="auto"/>
        <w:ind w:right="359" w:firstLine="360"/>
      </w:pPr>
      <w:r>
        <w:t>Also,</w:t>
      </w:r>
      <w:r>
        <w:rPr>
          <w:spacing w:val="-7"/>
        </w:rPr>
        <w:t xml:space="preserve"> </w:t>
      </w:r>
      <w:r>
        <w:t>general</w:t>
      </w:r>
      <w:r>
        <w:rPr>
          <w:spacing w:val="-8"/>
        </w:rPr>
        <w:t xml:space="preserve"> </w:t>
      </w:r>
      <w:r>
        <w:t>thoughts</w:t>
      </w:r>
      <w:r>
        <w:rPr>
          <w:spacing w:val="-7"/>
        </w:rPr>
        <w:t xml:space="preserve"> </w:t>
      </w:r>
      <w:r>
        <w:t>couldn’t</w:t>
      </w:r>
      <w:r>
        <w:rPr>
          <w:spacing w:val="-8"/>
        </w:rPr>
        <w:t xml:space="preserve"> </w:t>
      </w:r>
      <w:r>
        <w:t>possibly</w:t>
      </w:r>
      <w:r>
        <w:rPr>
          <w:spacing w:val="-7"/>
        </w:rPr>
        <w:t xml:space="preserve"> </w:t>
      </w:r>
      <w:r>
        <w:t>be</w:t>
      </w:r>
      <w:r>
        <w:rPr>
          <w:spacing w:val="-7"/>
        </w:rPr>
        <w:t xml:space="preserve"> </w:t>
      </w:r>
      <w:r>
        <w:t>identical</w:t>
      </w:r>
      <w:r>
        <w:rPr>
          <w:spacing w:val="-8"/>
        </w:rPr>
        <w:t xml:space="preserve"> </w:t>
      </w:r>
      <w:r>
        <w:t>with</w:t>
      </w:r>
      <w:r>
        <w:rPr>
          <w:spacing w:val="-7"/>
        </w:rPr>
        <w:t xml:space="preserve"> </w:t>
      </w:r>
      <w:r>
        <w:t>images.</w:t>
      </w:r>
      <w:r>
        <w:rPr>
          <w:spacing w:val="-7"/>
        </w:rPr>
        <w:t xml:space="preserve"> </w:t>
      </w:r>
      <w:r>
        <w:t xml:space="preserve">Suppose </w:t>
      </w:r>
      <w:r>
        <w:rPr>
          <w:spacing w:val="-2"/>
        </w:rPr>
        <w:t>you</w:t>
      </w:r>
      <w:r>
        <w:rPr>
          <w:spacing w:val="-17"/>
        </w:rPr>
        <w:t xml:space="preserve"> </w:t>
      </w:r>
      <w:r>
        <w:rPr>
          <w:spacing w:val="-2"/>
        </w:rPr>
        <w:t>think</w:t>
      </w:r>
      <w:r>
        <w:rPr>
          <w:spacing w:val="-17"/>
        </w:rPr>
        <w:t xml:space="preserve"> </w:t>
      </w:r>
      <w:r>
        <w:rPr>
          <w:spacing w:val="-2"/>
        </w:rPr>
        <w:t>that</w:t>
      </w:r>
      <w:r>
        <w:rPr>
          <w:spacing w:val="-13"/>
        </w:rPr>
        <w:t xml:space="preserve"> </w:t>
      </w:r>
      <w:r>
        <w:rPr>
          <w:spacing w:val="-2"/>
        </w:rPr>
        <w:t>something</w:t>
      </w:r>
      <w:r>
        <w:rPr>
          <w:spacing w:val="-13"/>
        </w:rPr>
        <w:t xml:space="preserve"> </w:t>
      </w:r>
      <w:r>
        <w:rPr>
          <w:spacing w:val="-2"/>
        </w:rPr>
        <w:t>or</w:t>
      </w:r>
      <w:r>
        <w:rPr>
          <w:spacing w:val="-13"/>
        </w:rPr>
        <w:t xml:space="preserve"> </w:t>
      </w:r>
      <w:r>
        <w:rPr>
          <w:spacing w:val="-2"/>
        </w:rPr>
        <w:t>other</w:t>
      </w:r>
      <w:r>
        <w:rPr>
          <w:spacing w:val="-13"/>
        </w:rPr>
        <w:t xml:space="preserve"> </w:t>
      </w:r>
      <w:r>
        <w:rPr>
          <w:spacing w:val="-2"/>
        </w:rPr>
        <w:t>is</w:t>
      </w:r>
      <w:r>
        <w:rPr>
          <w:spacing w:val="-13"/>
        </w:rPr>
        <w:t xml:space="preserve"> </w:t>
      </w:r>
      <w:r>
        <w:rPr>
          <w:spacing w:val="-2"/>
        </w:rPr>
        <w:t>on</w:t>
      </w:r>
      <w:r>
        <w:rPr>
          <w:spacing w:val="-13"/>
        </w:rPr>
        <w:t xml:space="preserve"> </w:t>
      </w:r>
      <w:r>
        <w:rPr>
          <w:spacing w:val="-2"/>
        </w:rPr>
        <w:t>the</w:t>
      </w:r>
      <w:r>
        <w:rPr>
          <w:spacing w:val="-13"/>
        </w:rPr>
        <w:t xml:space="preserve"> </w:t>
      </w:r>
      <w:r>
        <w:rPr>
          <w:spacing w:val="-2"/>
        </w:rPr>
        <w:t>mat.</w:t>
      </w:r>
      <w:r>
        <w:rPr>
          <w:spacing w:val="-17"/>
        </w:rPr>
        <w:t xml:space="preserve"> </w:t>
      </w:r>
      <w:r>
        <w:rPr>
          <w:spacing w:val="-2"/>
        </w:rPr>
        <w:t>An</w:t>
      </w:r>
      <w:r>
        <w:rPr>
          <w:spacing w:val="-12"/>
        </w:rPr>
        <w:t xml:space="preserve"> </w:t>
      </w:r>
      <w:r>
        <w:rPr>
          <w:spacing w:val="-2"/>
        </w:rPr>
        <w:t>image</w:t>
      </w:r>
      <w:r>
        <w:rPr>
          <w:spacing w:val="-13"/>
        </w:rPr>
        <w:t xml:space="preserve"> </w:t>
      </w:r>
      <w:r>
        <w:rPr>
          <w:spacing w:val="-2"/>
        </w:rPr>
        <w:t>can’t</w:t>
      </w:r>
      <w:r>
        <w:rPr>
          <w:spacing w:val="-13"/>
        </w:rPr>
        <w:t xml:space="preserve"> </w:t>
      </w:r>
      <w:r>
        <w:rPr>
          <w:spacing w:val="-2"/>
        </w:rPr>
        <w:t>just</w:t>
      </w:r>
      <w:r>
        <w:rPr>
          <w:spacing w:val="-13"/>
        </w:rPr>
        <w:t xml:space="preserve"> </w:t>
      </w:r>
      <w:r>
        <w:rPr>
          <w:spacing w:val="-2"/>
        </w:rPr>
        <w:t>be</w:t>
      </w:r>
      <w:r>
        <w:rPr>
          <w:spacing w:val="-13"/>
        </w:rPr>
        <w:t xml:space="preserve"> </w:t>
      </w:r>
      <w:r>
        <w:rPr>
          <w:spacing w:val="-2"/>
        </w:rPr>
        <w:t>an</w:t>
      </w:r>
      <w:r>
        <w:rPr>
          <w:spacing w:val="-13"/>
        </w:rPr>
        <w:t xml:space="preserve"> </w:t>
      </w:r>
      <w:r>
        <w:rPr>
          <w:spacing w:val="-2"/>
        </w:rPr>
        <w:t xml:space="preserve">image </w:t>
      </w:r>
      <w:r>
        <w:t>of</w:t>
      </w:r>
      <w:r>
        <w:rPr>
          <w:spacing w:val="-6"/>
        </w:rPr>
        <w:t xml:space="preserve"> </w:t>
      </w:r>
      <w:r>
        <w:t>something</w:t>
      </w:r>
      <w:r>
        <w:rPr>
          <w:spacing w:val="-6"/>
        </w:rPr>
        <w:t xml:space="preserve"> </w:t>
      </w:r>
      <w:r>
        <w:t>or</w:t>
      </w:r>
      <w:r>
        <w:rPr>
          <w:spacing w:val="-6"/>
        </w:rPr>
        <w:t xml:space="preserve"> </w:t>
      </w:r>
      <w:r>
        <w:t>other</w:t>
      </w:r>
      <w:r>
        <w:rPr>
          <w:spacing w:val="-5"/>
        </w:rPr>
        <w:t xml:space="preserve"> </w:t>
      </w:r>
      <w:r>
        <w:t>on</w:t>
      </w:r>
      <w:r>
        <w:rPr>
          <w:spacing w:val="-5"/>
        </w:rPr>
        <w:t xml:space="preserve"> </w:t>
      </w:r>
      <w:r>
        <w:t>the</w:t>
      </w:r>
      <w:r>
        <w:rPr>
          <w:spacing w:val="-5"/>
        </w:rPr>
        <w:t xml:space="preserve"> </w:t>
      </w:r>
      <w:r>
        <w:t>mat;</w:t>
      </w:r>
      <w:r>
        <w:rPr>
          <w:spacing w:val="-6"/>
        </w:rPr>
        <w:t xml:space="preserve"> </w:t>
      </w:r>
      <w:r>
        <w:t>it</w:t>
      </w:r>
      <w:r>
        <w:rPr>
          <w:spacing w:val="-6"/>
        </w:rPr>
        <w:t xml:space="preserve"> </w:t>
      </w:r>
      <w:r>
        <w:t>must</w:t>
      </w:r>
      <w:r>
        <w:rPr>
          <w:spacing w:val="-6"/>
        </w:rPr>
        <w:t xml:space="preserve"> </w:t>
      </w:r>
      <w:r>
        <w:t>be</w:t>
      </w:r>
      <w:r>
        <w:rPr>
          <w:spacing w:val="-5"/>
        </w:rPr>
        <w:t xml:space="preserve"> </w:t>
      </w:r>
      <w:r>
        <w:t>an</w:t>
      </w:r>
      <w:r>
        <w:rPr>
          <w:spacing w:val="-5"/>
        </w:rPr>
        <w:t xml:space="preserve"> </w:t>
      </w:r>
      <w:r>
        <w:t>image</w:t>
      </w:r>
      <w:r>
        <w:rPr>
          <w:spacing w:val="-5"/>
        </w:rPr>
        <w:t xml:space="preserve"> </w:t>
      </w:r>
      <w:r>
        <w:t>of</w:t>
      </w:r>
      <w:r>
        <w:rPr>
          <w:spacing w:val="-5"/>
        </w:rPr>
        <w:t xml:space="preserve"> </w:t>
      </w:r>
      <w:r>
        <w:t>some</w:t>
      </w:r>
      <w:r>
        <w:rPr>
          <w:spacing w:val="-5"/>
        </w:rPr>
        <w:t xml:space="preserve"> </w:t>
      </w:r>
      <w:r>
        <w:t>particular</w:t>
      </w:r>
      <w:r>
        <w:rPr>
          <w:spacing w:val="-5"/>
        </w:rPr>
        <w:t xml:space="preserve"> </w:t>
      </w:r>
      <w:r>
        <w:t xml:space="preserve">thing </w:t>
      </w:r>
      <w:r>
        <w:rPr>
          <w:spacing w:val="-2"/>
        </w:rPr>
        <w:t>on</w:t>
      </w:r>
      <w:r>
        <w:rPr>
          <w:spacing w:val="-14"/>
        </w:rPr>
        <w:t xml:space="preserve"> </w:t>
      </w:r>
      <w:r>
        <w:rPr>
          <w:spacing w:val="-2"/>
        </w:rPr>
        <w:t>the</w:t>
      </w:r>
      <w:r>
        <w:rPr>
          <w:spacing w:val="-14"/>
        </w:rPr>
        <w:t xml:space="preserve"> </w:t>
      </w:r>
      <w:r>
        <w:rPr>
          <w:spacing w:val="-2"/>
        </w:rPr>
        <w:t>mat.</w:t>
      </w:r>
      <w:r>
        <w:rPr>
          <w:spacing w:val="-14"/>
        </w:rPr>
        <w:t xml:space="preserve"> </w:t>
      </w:r>
      <w:r>
        <w:rPr>
          <w:spacing w:val="-2"/>
        </w:rPr>
        <w:t>So</w:t>
      </w:r>
      <w:r>
        <w:rPr>
          <w:spacing w:val="-14"/>
        </w:rPr>
        <w:t xml:space="preserve"> </w:t>
      </w:r>
      <w:r>
        <w:rPr>
          <w:spacing w:val="-2"/>
        </w:rPr>
        <w:t>if</w:t>
      </w:r>
      <w:r>
        <w:rPr>
          <w:spacing w:val="-14"/>
        </w:rPr>
        <w:t xml:space="preserve"> </w:t>
      </w:r>
      <w:r>
        <w:rPr>
          <w:spacing w:val="-2"/>
        </w:rPr>
        <w:t>the</w:t>
      </w:r>
      <w:r>
        <w:rPr>
          <w:spacing w:val="-14"/>
        </w:rPr>
        <w:t xml:space="preserve"> </w:t>
      </w:r>
      <w:r>
        <w:rPr>
          <w:spacing w:val="-2"/>
        </w:rPr>
        <w:t>thought</w:t>
      </w:r>
      <w:r>
        <w:rPr>
          <w:spacing w:val="-14"/>
        </w:rPr>
        <w:t xml:space="preserve"> </w:t>
      </w:r>
      <w:r>
        <w:rPr>
          <w:spacing w:val="-2"/>
        </w:rPr>
        <w:t>that</w:t>
      </w:r>
      <w:r>
        <w:rPr>
          <w:spacing w:val="-13"/>
        </w:rPr>
        <w:t xml:space="preserve"> </w:t>
      </w:r>
      <w:r>
        <w:rPr>
          <w:spacing w:val="-2"/>
        </w:rPr>
        <w:t>something</w:t>
      </w:r>
      <w:r>
        <w:rPr>
          <w:spacing w:val="-13"/>
        </w:rPr>
        <w:t xml:space="preserve"> </w:t>
      </w:r>
      <w:r>
        <w:rPr>
          <w:spacing w:val="-2"/>
        </w:rPr>
        <w:t>were</w:t>
      </w:r>
      <w:r>
        <w:rPr>
          <w:spacing w:val="-13"/>
        </w:rPr>
        <w:t xml:space="preserve"> </w:t>
      </w:r>
      <w:r>
        <w:rPr>
          <w:spacing w:val="-2"/>
        </w:rPr>
        <w:t>on</w:t>
      </w:r>
      <w:r>
        <w:rPr>
          <w:spacing w:val="-13"/>
        </w:rPr>
        <w:t xml:space="preserve"> </w:t>
      </w:r>
      <w:r>
        <w:rPr>
          <w:spacing w:val="-2"/>
        </w:rPr>
        <w:t>the</w:t>
      </w:r>
      <w:r>
        <w:rPr>
          <w:spacing w:val="-13"/>
        </w:rPr>
        <w:t xml:space="preserve"> </w:t>
      </w:r>
      <w:r>
        <w:rPr>
          <w:spacing w:val="-2"/>
        </w:rPr>
        <w:t>mat</w:t>
      </w:r>
      <w:r>
        <w:rPr>
          <w:spacing w:val="-13"/>
        </w:rPr>
        <w:t xml:space="preserve"> </w:t>
      </w:r>
      <w:r>
        <w:rPr>
          <w:spacing w:val="-2"/>
        </w:rPr>
        <w:t>were</w:t>
      </w:r>
      <w:r>
        <w:rPr>
          <w:spacing w:val="-13"/>
        </w:rPr>
        <w:t xml:space="preserve"> </w:t>
      </w:r>
      <w:r>
        <w:rPr>
          <w:spacing w:val="-2"/>
        </w:rPr>
        <w:t>identical</w:t>
      </w:r>
      <w:r>
        <w:rPr>
          <w:spacing w:val="-13"/>
        </w:rPr>
        <w:t xml:space="preserve"> </w:t>
      </w:r>
      <w:r>
        <w:rPr>
          <w:spacing w:val="-2"/>
        </w:rPr>
        <w:t xml:space="preserve">with </w:t>
      </w:r>
      <w:r>
        <w:t>an image, it would be identical with the thought that (say) Snoopy was on the mat.</w:t>
      </w:r>
      <w:r>
        <w:rPr>
          <w:spacing w:val="-5"/>
        </w:rPr>
        <w:t xml:space="preserve"> </w:t>
      </w:r>
      <w:r>
        <w:t>But</w:t>
      </w:r>
      <w:r>
        <w:rPr>
          <w:spacing w:val="-6"/>
        </w:rPr>
        <w:t xml:space="preserve"> </w:t>
      </w:r>
      <w:r>
        <w:t>those</w:t>
      </w:r>
      <w:r>
        <w:rPr>
          <w:spacing w:val="-5"/>
        </w:rPr>
        <w:t xml:space="preserve"> </w:t>
      </w:r>
      <w:r>
        <w:t>thoughts</w:t>
      </w:r>
      <w:r>
        <w:rPr>
          <w:spacing w:val="-5"/>
        </w:rPr>
        <w:t xml:space="preserve"> </w:t>
      </w:r>
      <w:r>
        <w:t>aren’t</w:t>
      </w:r>
      <w:r>
        <w:rPr>
          <w:spacing w:val="-6"/>
        </w:rPr>
        <w:t xml:space="preserve"> </w:t>
      </w:r>
      <w:r>
        <w:t>identical.</w:t>
      </w:r>
    </w:p>
    <w:p w14:paraId="7E001A6B" w14:textId="77777777" w:rsidR="009A58DB" w:rsidRDefault="00000000">
      <w:pPr>
        <w:pStyle w:val="BodyText"/>
        <w:spacing w:before="7" w:line="249" w:lineRule="auto"/>
        <w:ind w:right="368" w:firstLine="360"/>
      </w:pPr>
      <w:r>
        <w:t>Similar arguments show that other general thoughts can’t be identical with images.</w:t>
      </w:r>
      <w:r>
        <w:rPr>
          <w:spacing w:val="-19"/>
        </w:rPr>
        <w:t xml:space="preserve"> </w:t>
      </w:r>
      <w:r>
        <w:t>Consider</w:t>
      </w:r>
      <w:r>
        <w:rPr>
          <w:spacing w:val="-8"/>
        </w:rPr>
        <w:t xml:space="preserve"> </w:t>
      </w:r>
      <w:r>
        <w:t>the</w:t>
      </w:r>
      <w:r>
        <w:rPr>
          <w:spacing w:val="-6"/>
        </w:rPr>
        <w:t xml:space="preserve"> </w:t>
      </w:r>
      <w:r>
        <w:t>thought</w:t>
      </w:r>
      <w:r>
        <w:rPr>
          <w:spacing w:val="-6"/>
        </w:rPr>
        <w:t xml:space="preserve"> </w:t>
      </w:r>
      <w:r>
        <w:t>that</w:t>
      </w:r>
      <w:r>
        <w:rPr>
          <w:spacing w:val="-19"/>
        </w:rPr>
        <w:t xml:space="preserve"> </w:t>
      </w:r>
      <w:r>
        <w:rPr>
          <w:i/>
        </w:rPr>
        <w:t>all</w:t>
      </w:r>
      <w:r>
        <w:rPr>
          <w:i/>
          <w:spacing w:val="-19"/>
        </w:rPr>
        <w:t xml:space="preserve"> </w:t>
      </w:r>
      <w:r>
        <w:t>birds</w:t>
      </w:r>
      <w:r>
        <w:rPr>
          <w:spacing w:val="-7"/>
        </w:rPr>
        <w:t xml:space="preserve"> </w:t>
      </w:r>
      <w:r>
        <w:t>have</w:t>
      </w:r>
      <w:r>
        <w:rPr>
          <w:spacing w:val="-6"/>
        </w:rPr>
        <w:t xml:space="preserve"> </w:t>
      </w:r>
      <w:r>
        <w:t>feathers.</w:t>
      </w:r>
      <w:r>
        <w:rPr>
          <w:spacing w:val="-19"/>
        </w:rPr>
        <w:t xml:space="preserve"> </w:t>
      </w:r>
      <w:r>
        <w:t>An</w:t>
      </w:r>
      <w:r>
        <w:rPr>
          <w:spacing w:val="-7"/>
        </w:rPr>
        <w:t xml:space="preserve"> </w:t>
      </w:r>
      <w:r>
        <w:t>image</w:t>
      </w:r>
      <w:r>
        <w:rPr>
          <w:spacing w:val="-6"/>
        </w:rPr>
        <w:t xml:space="preserve"> </w:t>
      </w:r>
      <w:r>
        <w:t>of</w:t>
      </w:r>
      <w:r>
        <w:rPr>
          <w:spacing w:val="-19"/>
        </w:rPr>
        <w:t xml:space="preserve"> </w:t>
      </w:r>
      <w:r>
        <w:rPr>
          <w:i/>
        </w:rPr>
        <w:t>all</w:t>
      </w:r>
      <w:r>
        <w:rPr>
          <w:i/>
          <w:spacing w:val="-18"/>
        </w:rPr>
        <w:t xml:space="preserve"> </w:t>
      </w:r>
      <w:r>
        <w:rPr>
          <w:spacing w:val="-2"/>
        </w:rPr>
        <w:t>birds</w:t>
      </w:r>
    </w:p>
    <w:p w14:paraId="7E001A6C" w14:textId="77777777" w:rsidR="009A58DB" w:rsidRDefault="00000000">
      <w:pPr>
        <w:pStyle w:val="BodyText"/>
        <w:spacing w:before="2" w:line="249" w:lineRule="auto"/>
        <w:ind w:right="355"/>
      </w:pPr>
      <w:r>
        <w:t>—an image that depicted every single bird in existence—would be indistinguishable from an image of (say) 84 billion birds. But the thought</w:t>
      </w:r>
      <w:r>
        <w:rPr>
          <w:spacing w:val="-19"/>
        </w:rPr>
        <w:t xml:space="preserve"> </w:t>
      </w:r>
      <w:r>
        <w:rPr>
          <w:i/>
        </w:rPr>
        <w:t>84 billion birds have feathers</w:t>
      </w:r>
      <w:r>
        <w:rPr>
          <w:i/>
          <w:spacing w:val="-19"/>
        </w:rPr>
        <w:t xml:space="preserve"> </w:t>
      </w:r>
      <w:r>
        <w:t>is different from the thought that all birds have feathers. So neither thought is image. Obvious adaptations of this argument show that no image can be identical with the thought that most birds/many birds/all</w:t>
      </w:r>
      <w:r>
        <w:rPr>
          <w:spacing w:val="-5"/>
        </w:rPr>
        <w:t xml:space="preserve"> </w:t>
      </w:r>
      <w:r>
        <w:t>possible</w:t>
      </w:r>
      <w:r>
        <w:rPr>
          <w:spacing w:val="-4"/>
        </w:rPr>
        <w:t xml:space="preserve"> </w:t>
      </w:r>
      <w:r>
        <w:t>birds</w:t>
      </w:r>
      <w:r>
        <w:rPr>
          <w:spacing w:val="-4"/>
        </w:rPr>
        <w:t xml:space="preserve"> </w:t>
      </w:r>
      <w:r>
        <w:t>have</w:t>
      </w:r>
      <w:r>
        <w:rPr>
          <w:spacing w:val="-4"/>
        </w:rPr>
        <w:t xml:space="preserve"> </w:t>
      </w:r>
      <w:r>
        <w:t>feathers.</w:t>
      </w:r>
    </w:p>
    <w:p w14:paraId="7E001A6D" w14:textId="77777777" w:rsidR="009A58DB" w:rsidRDefault="00000000">
      <w:pPr>
        <w:pStyle w:val="BodyText"/>
        <w:spacing w:before="8" w:line="249" w:lineRule="auto"/>
        <w:ind w:right="367" w:firstLine="360"/>
      </w:pPr>
      <w:r>
        <w:rPr>
          <w:spacing w:val="-2"/>
        </w:rPr>
        <w:t>So,</w:t>
      </w:r>
      <w:r>
        <w:rPr>
          <w:spacing w:val="-17"/>
        </w:rPr>
        <w:t xml:space="preserve"> </w:t>
      </w:r>
      <w:r>
        <w:rPr>
          <w:spacing w:val="-2"/>
        </w:rPr>
        <w:t>really,</w:t>
      </w:r>
      <w:r>
        <w:rPr>
          <w:spacing w:val="-17"/>
        </w:rPr>
        <w:t xml:space="preserve"> </w:t>
      </w:r>
      <w:r>
        <w:rPr>
          <w:i/>
          <w:spacing w:val="-2"/>
        </w:rPr>
        <w:t>no</w:t>
      </w:r>
      <w:r>
        <w:rPr>
          <w:i/>
          <w:spacing w:val="-16"/>
        </w:rPr>
        <w:t xml:space="preserve"> </w:t>
      </w:r>
      <w:r>
        <w:rPr>
          <w:spacing w:val="-2"/>
        </w:rPr>
        <w:t>thought</w:t>
      </w:r>
      <w:r>
        <w:rPr>
          <w:spacing w:val="-12"/>
        </w:rPr>
        <w:t xml:space="preserve"> </w:t>
      </w:r>
      <w:r>
        <w:rPr>
          <w:spacing w:val="-2"/>
        </w:rPr>
        <w:t>that</w:t>
      </w:r>
      <w:r>
        <w:rPr>
          <w:spacing w:val="-12"/>
        </w:rPr>
        <w:t xml:space="preserve"> </w:t>
      </w:r>
      <w:r>
        <w:rPr>
          <w:spacing w:val="-2"/>
        </w:rPr>
        <w:t>can</w:t>
      </w:r>
      <w:r>
        <w:rPr>
          <w:spacing w:val="-12"/>
        </w:rPr>
        <w:t xml:space="preserve"> </w:t>
      </w:r>
      <w:r>
        <w:rPr>
          <w:spacing w:val="-2"/>
        </w:rPr>
        <w:t>be</w:t>
      </w:r>
      <w:r>
        <w:rPr>
          <w:spacing w:val="-12"/>
        </w:rPr>
        <w:t xml:space="preserve"> </w:t>
      </w:r>
      <w:r>
        <w:rPr>
          <w:spacing w:val="-2"/>
        </w:rPr>
        <w:t>expressed</w:t>
      </w:r>
      <w:r>
        <w:rPr>
          <w:spacing w:val="-12"/>
        </w:rPr>
        <w:t xml:space="preserve"> </w:t>
      </w:r>
      <w:r>
        <w:rPr>
          <w:spacing w:val="-2"/>
        </w:rPr>
        <w:t>by</w:t>
      </w:r>
      <w:r>
        <w:rPr>
          <w:spacing w:val="-12"/>
        </w:rPr>
        <w:t xml:space="preserve"> </w:t>
      </w:r>
      <w:r>
        <w:rPr>
          <w:spacing w:val="-2"/>
        </w:rPr>
        <w:t>a</w:t>
      </w:r>
      <w:r>
        <w:rPr>
          <w:spacing w:val="-12"/>
        </w:rPr>
        <w:t xml:space="preserve"> </w:t>
      </w:r>
      <w:r>
        <w:rPr>
          <w:spacing w:val="-2"/>
        </w:rPr>
        <w:t>sentence</w:t>
      </w:r>
      <w:r>
        <w:rPr>
          <w:spacing w:val="-12"/>
        </w:rPr>
        <w:t xml:space="preserve"> </w:t>
      </w:r>
      <w:r>
        <w:rPr>
          <w:spacing w:val="-2"/>
        </w:rPr>
        <w:t>is</w:t>
      </w:r>
      <w:r>
        <w:rPr>
          <w:spacing w:val="-12"/>
        </w:rPr>
        <w:t xml:space="preserve"> </w:t>
      </w:r>
      <w:r>
        <w:rPr>
          <w:spacing w:val="-2"/>
        </w:rPr>
        <w:t>identical</w:t>
      </w:r>
      <w:r>
        <w:rPr>
          <w:spacing w:val="-12"/>
        </w:rPr>
        <w:t xml:space="preserve"> </w:t>
      </w:r>
      <w:r>
        <w:rPr>
          <w:spacing w:val="-2"/>
        </w:rPr>
        <w:t>with</w:t>
      </w:r>
      <w:r>
        <w:rPr>
          <w:spacing w:val="-12"/>
        </w:rPr>
        <w:t xml:space="preserve"> </w:t>
      </w:r>
      <w:r>
        <w:rPr>
          <w:spacing w:val="-2"/>
        </w:rPr>
        <w:t xml:space="preserve">an </w:t>
      </w:r>
      <w:r>
        <w:t>image. This shows that many thoughts aren’t images and, since sense-</w:t>
      </w:r>
      <w:r>
        <w:rPr>
          <w:spacing w:val="-2"/>
        </w:rPr>
        <w:t>perceptions</w:t>
      </w:r>
      <w:r>
        <w:rPr>
          <w:spacing w:val="-15"/>
        </w:rPr>
        <w:t xml:space="preserve"> </w:t>
      </w:r>
      <w:r>
        <w:rPr>
          <w:spacing w:val="-2"/>
        </w:rPr>
        <w:t>are</w:t>
      </w:r>
      <w:r>
        <w:rPr>
          <w:spacing w:val="-15"/>
        </w:rPr>
        <w:t xml:space="preserve"> </w:t>
      </w:r>
      <w:r>
        <w:rPr>
          <w:spacing w:val="-2"/>
        </w:rPr>
        <w:t>images,</w:t>
      </w:r>
      <w:r>
        <w:rPr>
          <w:spacing w:val="-15"/>
        </w:rPr>
        <w:t xml:space="preserve"> </w:t>
      </w:r>
      <w:r>
        <w:rPr>
          <w:spacing w:val="-2"/>
        </w:rPr>
        <w:t>therefore</w:t>
      </w:r>
      <w:r>
        <w:rPr>
          <w:spacing w:val="-15"/>
        </w:rPr>
        <w:t xml:space="preserve"> </w:t>
      </w:r>
      <w:r>
        <w:rPr>
          <w:spacing w:val="-2"/>
        </w:rPr>
        <w:t>have</w:t>
      </w:r>
      <w:r>
        <w:rPr>
          <w:spacing w:val="-15"/>
        </w:rPr>
        <w:t xml:space="preserve"> </w:t>
      </w:r>
      <w:r>
        <w:rPr>
          <w:spacing w:val="-2"/>
        </w:rPr>
        <w:t>contents</w:t>
      </w:r>
      <w:r>
        <w:rPr>
          <w:spacing w:val="-15"/>
        </w:rPr>
        <w:t xml:space="preserve"> </w:t>
      </w:r>
      <w:r>
        <w:rPr>
          <w:spacing w:val="-2"/>
        </w:rPr>
        <w:t>very</w:t>
      </w:r>
      <w:r>
        <w:rPr>
          <w:spacing w:val="-15"/>
        </w:rPr>
        <w:t xml:space="preserve"> </w:t>
      </w:r>
      <w:r>
        <w:rPr>
          <w:spacing w:val="-2"/>
        </w:rPr>
        <w:t>different</w:t>
      </w:r>
      <w:r>
        <w:rPr>
          <w:spacing w:val="-15"/>
        </w:rPr>
        <w:t xml:space="preserve"> </w:t>
      </w:r>
      <w:r>
        <w:rPr>
          <w:spacing w:val="-2"/>
        </w:rPr>
        <w:t>from</w:t>
      </w:r>
      <w:r>
        <w:rPr>
          <w:spacing w:val="-15"/>
        </w:rPr>
        <w:t xml:space="preserve"> </w:t>
      </w:r>
      <w:r>
        <w:rPr>
          <w:spacing w:val="-2"/>
        </w:rPr>
        <w:t>those</w:t>
      </w:r>
      <w:r>
        <w:rPr>
          <w:spacing w:val="-15"/>
        </w:rPr>
        <w:t xml:space="preserve"> </w:t>
      </w:r>
      <w:r>
        <w:rPr>
          <w:spacing w:val="-2"/>
        </w:rPr>
        <w:t>of</w:t>
      </w:r>
      <w:r>
        <w:rPr>
          <w:spacing w:val="-15"/>
        </w:rPr>
        <w:t xml:space="preserve"> </w:t>
      </w:r>
      <w:r>
        <w:rPr>
          <w:spacing w:val="-2"/>
        </w:rPr>
        <w:t>any sense-perception.</w:t>
      </w:r>
    </w:p>
    <w:p w14:paraId="7E001A6E" w14:textId="77777777" w:rsidR="009A58DB" w:rsidRDefault="00000000">
      <w:pPr>
        <w:pStyle w:val="Heading1"/>
        <w:numPr>
          <w:ilvl w:val="2"/>
          <w:numId w:val="110"/>
        </w:numPr>
        <w:tabs>
          <w:tab w:val="left" w:pos="1305"/>
        </w:tabs>
        <w:spacing w:before="193"/>
      </w:pPr>
      <w:r>
        <w:t>Berkeley’s</w:t>
      </w:r>
      <w:r>
        <w:rPr>
          <w:spacing w:val="-11"/>
        </w:rPr>
        <w:t xml:space="preserve"> </w:t>
      </w:r>
      <w:r>
        <w:t>unwitting</w:t>
      </w:r>
      <w:r>
        <w:rPr>
          <w:spacing w:val="-10"/>
        </w:rPr>
        <w:t xml:space="preserve"> </w:t>
      </w:r>
      <w:r>
        <w:t>anti-</w:t>
      </w:r>
      <w:r>
        <w:rPr>
          <w:spacing w:val="-2"/>
        </w:rPr>
        <w:t>empiricism</w:t>
      </w:r>
    </w:p>
    <w:p w14:paraId="7E001A6F" w14:textId="77777777" w:rsidR="009A58DB" w:rsidRDefault="00000000">
      <w:pPr>
        <w:pStyle w:val="BodyText"/>
        <w:spacing w:before="139" w:line="249" w:lineRule="auto"/>
        <w:ind w:right="361"/>
      </w:pPr>
      <w:r>
        <w:t>Ironically, it was that greatest of empiricists, George Berkeley, who made it clear</w:t>
      </w:r>
      <w:r>
        <w:rPr>
          <w:spacing w:val="-9"/>
        </w:rPr>
        <w:t xml:space="preserve"> </w:t>
      </w:r>
      <w:r>
        <w:t>that</w:t>
      </w:r>
      <w:r>
        <w:rPr>
          <w:spacing w:val="-9"/>
        </w:rPr>
        <w:t xml:space="preserve"> </w:t>
      </w:r>
      <w:r>
        <w:t>no</w:t>
      </w:r>
      <w:r>
        <w:rPr>
          <w:spacing w:val="-9"/>
        </w:rPr>
        <w:t xml:space="preserve"> </w:t>
      </w:r>
      <w:r>
        <w:t>general</w:t>
      </w:r>
      <w:r>
        <w:rPr>
          <w:spacing w:val="-9"/>
        </w:rPr>
        <w:t xml:space="preserve"> </w:t>
      </w:r>
      <w:r>
        <w:t>thought</w:t>
      </w:r>
      <w:r>
        <w:rPr>
          <w:spacing w:val="-9"/>
        </w:rPr>
        <w:t xml:space="preserve"> </w:t>
      </w:r>
      <w:r>
        <w:t>cannot</w:t>
      </w:r>
      <w:r>
        <w:rPr>
          <w:spacing w:val="-9"/>
        </w:rPr>
        <w:t xml:space="preserve"> </w:t>
      </w:r>
      <w:r>
        <w:t>be</w:t>
      </w:r>
      <w:r>
        <w:rPr>
          <w:spacing w:val="-9"/>
        </w:rPr>
        <w:t xml:space="preserve"> </w:t>
      </w:r>
      <w:r>
        <w:t>identical</w:t>
      </w:r>
      <w:r>
        <w:rPr>
          <w:spacing w:val="-9"/>
        </w:rPr>
        <w:t xml:space="preserve"> </w:t>
      </w:r>
      <w:r>
        <w:t>with</w:t>
      </w:r>
      <w:r>
        <w:rPr>
          <w:spacing w:val="-9"/>
        </w:rPr>
        <w:t xml:space="preserve"> </w:t>
      </w:r>
      <w:r>
        <w:t>images,</w:t>
      </w:r>
      <w:r>
        <w:rPr>
          <w:spacing w:val="-9"/>
        </w:rPr>
        <w:t xml:space="preserve"> </w:t>
      </w:r>
      <w:r>
        <w:t>the</w:t>
      </w:r>
      <w:r>
        <w:rPr>
          <w:spacing w:val="-9"/>
        </w:rPr>
        <w:t xml:space="preserve"> </w:t>
      </w:r>
      <w:r>
        <w:t>reason</w:t>
      </w:r>
      <w:r>
        <w:rPr>
          <w:spacing w:val="-9"/>
        </w:rPr>
        <w:t xml:space="preserve"> </w:t>
      </w:r>
      <w:r>
        <w:t>being that any image is specific in ways that any one of those thoughts won’t be. (Berkeley didn’t make the correlative point that thoughts are specific in ways that</w:t>
      </w:r>
      <w:r>
        <w:rPr>
          <w:spacing w:val="-19"/>
        </w:rPr>
        <w:t xml:space="preserve"> </w:t>
      </w:r>
      <w:r>
        <w:t>images</w:t>
      </w:r>
      <w:r>
        <w:rPr>
          <w:spacing w:val="-19"/>
        </w:rPr>
        <w:t xml:space="preserve"> </w:t>
      </w:r>
      <w:r>
        <w:t>are</w:t>
      </w:r>
      <w:r>
        <w:rPr>
          <w:spacing w:val="-19"/>
        </w:rPr>
        <w:t xml:space="preserve"> </w:t>
      </w:r>
      <w:r>
        <w:t>not.)</w:t>
      </w:r>
      <w:r>
        <w:rPr>
          <w:spacing w:val="-18"/>
        </w:rPr>
        <w:t xml:space="preserve"> </w:t>
      </w:r>
      <w:r>
        <w:t>Berkeley</w:t>
      </w:r>
      <w:r>
        <w:rPr>
          <w:spacing w:val="-16"/>
        </w:rPr>
        <w:t xml:space="preserve"> </w:t>
      </w:r>
      <w:r>
        <w:t>saw</w:t>
      </w:r>
      <w:r>
        <w:rPr>
          <w:spacing w:val="-16"/>
        </w:rPr>
        <w:t xml:space="preserve"> </w:t>
      </w:r>
      <w:r>
        <w:t>that</w:t>
      </w:r>
      <w:r>
        <w:rPr>
          <w:spacing w:val="-19"/>
        </w:rPr>
        <w:t xml:space="preserve"> </w:t>
      </w:r>
      <w:r>
        <w:rPr>
          <w:i/>
        </w:rPr>
        <w:t>if</w:t>
      </w:r>
      <w:r>
        <w:rPr>
          <w:i/>
          <w:spacing w:val="-19"/>
        </w:rPr>
        <w:t xml:space="preserve"> </w:t>
      </w:r>
      <w:r>
        <w:t>all</w:t>
      </w:r>
      <w:r>
        <w:rPr>
          <w:spacing w:val="-14"/>
        </w:rPr>
        <w:t xml:space="preserve"> </w:t>
      </w:r>
      <w:r>
        <w:t>thoughts</w:t>
      </w:r>
      <w:r>
        <w:rPr>
          <w:spacing w:val="-15"/>
        </w:rPr>
        <w:t xml:space="preserve"> </w:t>
      </w:r>
      <w:r>
        <w:t>are</w:t>
      </w:r>
      <w:r>
        <w:rPr>
          <w:spacing w:val="-15"/>
        </w:rPr>
        <w:t xml:space="preserve"> </w:t>
      </w:r>
      <w:r>
        <w:t>images,</w:t>
      </w:r>
      <w:r>
        <w:rPr>
          <w:spacing w:val="-15"/>
        </w:rPr>
        <w:t xml:space="preserve"> </w:t>
      </w:r>
      <w:r>
        <w:t>then</w:t>
      </w:r>
      <w:r>
        <w:rPr>
          <w:spacing w:val="-15"/>
        </w:rPr>
        <w:t xml:space="preserve"> </w:t>
      </w:r>
      <w:r>
        <w:t>there</w:t>
      </w:r>
      <w:r>
        <w:rPr>
          <w:spacing w:val="-15"/>
        </w:rPr>
        <w:t xml:space="preserve"> </w:t>
      </w:r>
      <w:r>
        <w:t>are certain</w:t>
      </w:r>
      <w:r>
        <w:rPr>
          <w:spacing w:val="-19"/>
        </w:rPr>
        <w:t xml:space="preserve"> </w:t>
      </w:r>
      <w:r>
        <w:t>thoughts</w:t>
      </w:r>
      <w:r>
        <w:rPr>
          <w:spacing w:val="-19"/>
        </w:rPr>
        <w:t xml:space="preserve"> </w:t>
      </w:r>
      <w:r>
        <w:t>we</w:t>
      </w:r>
      <w:r>
        <w:rPr>
          <w:spacing w:val="-18"/>
        </w:rPr>
        <w:t xml:space="preserve"> </w:t>
      </w:r>
      <w:r>
        <w:t>can’t</w:t>
      </w:r>
      <w:r>
        <w:rPr>
          <w:spacing w:val="-19"/>
        </w:rPr>
        <w:t xml:space="preserve"> </w:t>
      </w:r>
      <w:r>
        <w:t>have.</w:t>
      </w:r>
      <w:r>
        <w:rPr>
          <w:spacing w:val="-19"/>
        </w:rPr>
        <w:t xml:space="preserve"> </w:t>
      </w:r>
      <w:r>
        <w:t>Berkeley</w:t>
      </w:r>
      <w:r>
        <w:rPr>
          <w:spacing w:val="-18"/>
        </w:rPr>
        <w:t xml:space="preserve"> </w:t>
      </w:r>
      <w:r>
        <w:t>also</w:t>
      </w:r>
      <w:r>
        <w:rPr>
          <w:spacing w:val="-19"/>
        </w:rPr>
        <w:t xml:space="preserve"> </w:t>
      </w:r>
      <w:r>
        <w:t>saw</w:t>
      </w:r>
      <w:r>
        <w:rPr>
          <w:spacing w:val="-19"/>
        </w:rPr>
        <w:t xml:space="preserve"> </w:t>
      </w:r>
      <w:r>
        <w:t>that,</w:t>
      </w:r>
      <w:r>
        <w:rPr>
          <w:spacing w:val="-18"/>
        </w:rPr>
        <w:t xml:space="preserve"> </w:t>
      </w:r>
      <w:r>
        <w:t>if</w:t>
      </w:r>
      <w:r>
        <w:rPr>
          <w:spacing w:val="-19"/>
        </w:rPr>
        <w:t xml:space="preserve"> </w:t>
      </w:r>
      <w:r>
        <w:t>empiricism</w:t>
      </w:r>
      <w:r>
        <w:rPr>
          <w:spacing w:val="-19"/>
        </w:rPr>
        <w:t xml:space="preserve"> </w:t>
      </w:r>
      <w:r>
        <w:t>is</w:t>
      </w:r>
      <w:r>
        <w:rPr>
          <w:spacing w:val="-18"/>
        </w:rPr>
        <w:t xml:space="preserve"> </w:t>
      </w:r>
      <w:r>
        <w:t>correct, thoughts must be images. Finally, Berkeley saw that, given these two points, empiricism is inconsistent with the presumption that we can have general thoughts. But instead of rejecting empiricism because it has this absurd consequence,</w:t>
      </w:r>
      <w:r>
        <w:rPr>
          <w:spacing w:val="-8"/>
        </w:rPr>
        <w:t xml:space="preserve"> </w:t>
      </w:r>
      <w:r>
        <w:t>Berkeley</w:t>
      </w:r>
      <w:r>
        <w:rPr>
          <w:spacing w:val="-8"/>
        </w:rPr>
        <w:t xml:space="preserve"> </w:t>
      </w:r>
      <w:r>
        <w:t>held</w:t>
      </w:r>
      <w:r>
        <w:rPr>
          <w:spacing w:val="-8"/>
        </w:rPr>
        <w:t xml:space="preserve"> </w:t>
      </w:r>
      <w:r>
        <w:t>that,</w:t>
      </w:r>
      <w:r>
        <w:rPr>
          <w:spacing w:val="-8"/>
        </w:rPr>
        <w:t xml:space="preserve"> </w:t>
      </w:r>
      <w:r>
        <w:t>indeed,</w:t>
      </w:r>
      <w:r>
        <w:rPr>
          <w:spacing w:val="-8"/>
        </w:rPr>
        <w:t xml:space="preserve"> </w:t>
      </w:r>
      <w:r>
        <w:t>we</w:t>
      </w:r>
      <w:r>
        <w:rPr>
          <w:spacing w:val="-8"/>
        </w:rPr>
        <w:t xml:space="preserve"> </w:t>
      </w:r>
      <w:r>
        <w:t>can’t</w:t>
      </w:r>
      <w:r>
        <w:rPr>
          <w:spacing w:val="-8"/>
        </w:rPr>
        <w:t xml:space="preserve"> </w:t>
      </w:r>
      <w:r>
        <w:t>have</w:t>
      </w:r>
      <w:r>
        <w:rPr>
          <w:spacing w:val="-8"/>
        </w:rPr>
        <w:t xml:space="preserve"> </w:t>
      </w:r>
      <w:r>
        <w:t>general</w:t>
      </w:r>
      <w:r>
        <w:rPr>
          <w:spacing w:val="-7"/>
        </w:rPr>
        <w:t xml:space="preserve"> </w:t>
      </w:r>
      <w:r>
        <w:t>thoughts.</w:t>
      </w:r>
      <w:r>
        <w:rPr>
          <w:spacing w:val="-12"/>
        </w:rPr>
        <w:t xml:space="preserve"> </w:t>
      </w:r>
      <w:r>
        <w:t>This position,</w:t>
      </w:r>
      <w:r>
        <w:rPr>
          <w:spacing w:val="40"/>
        </w:rPr>
        <w:t xml:space="preserve"> </w:t>
      </w:r>
      <w:r>
        <w:t>in</w:t>
      </w:r>
      <w:r>
        <w:rPr>
          <w:spacing w:val="40"/>
        </w:rPr>
        <w:t xml:space="preserve"> </w:t>
      </w:r>
      <w:r>
        <w:t>addition</w:t>
      </w:r>
      <w:r>
        <w:rPr>
          <w:spacing w:val="40"/>
        </w:rPr>
        <w:t xml:space="preserve"> </w:t>
      </w:r>
      <w:r>
        <w:t>to</w:t>
      </w:r>
      <w:r>
        <w:rPr>
          <w:spacing w:val="40"/>
        </w:rPr>
        <w:t xml:space="preserve"> </w:t>
      </w:r>
      <w:r>
        <w:t>being</w:t>
      </w:r>
      <w:r>
        <w:rPr>
          <w:spacing w:val="40"/>
        </w:rPr>
        <w:t xml:space="preserve"> </w:t>
      </w:r>
      <w:r>
        <w:t>obviously</w:t>
      </w:r>
      <w:r>
        <w:rPr>
          <w:spacing w:val="40"/>
        </w:rPr>
        <w:t xml:space="preserve"> </w:t>
      </w:r>
      <w:r>
        <w:t>wrong,</w:t>
      </w:r>
      <w:r>
        <w:rPr>
          <w:spacing w:val="40"/>
        </w:rPr>
        <w:t xml:space="preserve"> </w:t>
      </w:r>
      <w:r>
        <w:t>is</w:t>
      </w:r>
      <w:r>
        <w:rPr>
          <w:spacing w:val="40"/>
        </w:rPr>
        <w:t xml:space="preserve"> </w:t>
      </w:r>
      <w:r>
        <w:t>self-defeating,</w:t>
      </w:r>
      <w:r>
        <w:rPr>
          <w:spacing w:val="40"/>
        </w:rPr>
        <w:t xml:space="preserve"> </w:t>
      </w:r>
      <w:r>
        <w:t>since</w:t>
      </w:r>
      <w:r>
        <w:rPr>
          <w:spacing w:val="40"/>
        </w:rPr>
        <w:t xml:space="preserve"> </w:t>
      </w:r>
      <w:r>
        <w:t>the</w:t>
      </w:r>
    </w:p>
    <w:p w14:paraId="7E001A7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71" w14:textId="77777777" w:rsidR="009A58DB" w:rsidRDefault="00000000">
      <w:pPr>
        <w:pStyle w:val="BodyText"/>
        <w:spacing w:before="60"/>
      </w:pPr>
      <w:r>
        <w:rPr>
          <w:spacing w:val="-2"/>
        </w:rPr>
        <w:lastRenderedPageBreak/>
        <w:t>thought</w:t>
      </w:r>
      <w:r>
        <w:rPr>
          <w:spacing w:val="-17"/>
        </w:rPr>
        <w:t xml:space="preserve"> </w:t>
      </w:r>
      <w:r>
        <w:rPr>
          <w:spacing w:val="-2"/>
        </w:rPr>
        <w:t>that</w:t>
      </w:r>
      <w:r>
        <w:rPr>
          <w:spacing w:val="-17"/>
        </w:rPr>
        <w:t xml:space="preserve"> </w:t>
      </w:r>
      <w:r>
        <w:rPr>
          <w:spacing w:val="-2"/>
        </w:rPr>
        <w:t>there</w:t>
      </w:r>
      <w:r>
        <w:rPr>
          <w:spacing w:val="-15"/>
        </w:rPr>
        <w:t xml:space="preserve"> </w:t>
      </w:r>
      <w:r>
        <w:rPr>
          <w:spacing w:val="-2"/>
        </w:rPr>
        <w:t>are</w:t>
      </w:r>
      <w:r>
        <w:rPr>
          <w:spacing w:val="-16"/>
        </w:rPr>
        <w:t xml:space="preserve"> </w:t>
      </w:r>
      <w:r>
        <w:rPr>
          <w:spacing w:val="-2"/>
        </w:rPr>
        <w:t>no</w:t>
      </w:r>
      <w:r>
        <w:rPr>
          <w:spacing w:val="-16"/>
        </w:rPr>
        <w:t xml:space="preserve"> </w:t>
      </w:r>
      <w:r>
        <w:rPr>
          <w:spacing w:val="-2"/>
        </w:rPr>
        <w:t>general</w:t>
      </w:r>
      <w:r>
        <w:rPr>
          <w:spacing w:val="-16"/>
        </w:rPr>
        <w:t xml:space="preserve"> </w:t>
      </w:r>
      <w:r>
        <w:rPr>
          <w:spacing w:val="-2"/>
        </w:rPr>
        <w:t>thoughts</w:t>
      </w:r>
      <w:r>
        <w:rPr>
          <w:spacing w:val="-16"/>
        </w:rPr>
        <w:t xml:space="preserve"> </w:t>
      </w:r>
      <w:r>
        <w:rPr>
          <w:spacing w:val="-2"/>
        </w:rPr>
        <w:t>is</w:t>
      </w:r>
      <w:r>
        <w:rPr>
          <w:spacing w:val="-16"/>
        </w:rPr>
        <w:t xml:space="preserve"> </w:t>
      </w:r>
      <w:r>
        <w:rPr>
          <w:spacing w:val="-2"/>
        </w:rPr>
        <w:t>itself</w:t>
      </w:r>
      <w:r>
        <w:rPr>
          <w:spacing w:val="-16"/>
        </w:rPr>
        <w:t xml:space="preserve"> </w:t>
      </w:r>
      <w:r>
        <w:rPr>
          <w:spacing w:val="-2"/>
        </w:rPr>
        <w:t>a</w:t>
      </w:r>
      <w:r>
        <w:rPr>
          <w:spacing w:val="-16"/>
        </w:rPr>
        <w:t xml:space="preserve"> </w:t>
      </w:r>
      <w:r>
        <w:rPr>
          <w:spacing w:val="-2"/>
        </w:rPr>
        <w:t>general</w:t>
      </w:r>
      <w:r>
        <w:rPr>
          <w:spacing w:val="-16"/>
        </w:rPr>
        <w:t xml:space="preserve"> </w:t>
      </w:r>
      <w:r>
        <w:rPr>
          <w:spacing w:val="-2"/>
        </w:rPr>
        <w:t>thought.</w:t>
      </w:r>
    </w:p>
    <w:p w14:paraId="7E001A72" w14:textId="77777777" w:rsidR="009A58DB" w:rsidRDefault="00000000">
      <w:pPr>
        <w:pStyle w:val="BodyText"/>
        <w:spacing w:before="20" w:line="249" w:lineRule="auto"/>
        <w:ind w:right="357" w:firstLine="360"/>
      </w:pPr>
      <w:r>
        <w:t>Berkeley</w:t>
      </w:r>
      <w:r>
        <w:rPr>
          <w:spacing w:val="-19"/>
        </w:rPr>
        <w:t xml:space="preserve"> </w:t>
      </w:r>
      <w:r>
        <w:t>qualified</w:t>
      </w:r>
      <w:r>
        <w:rPr>
          <w:spacing w:val="-19"/>
        </w:rPr>
        <w:t xml:space="preserve"> </w:t>
      </w:r>
      <w:r>
        <w:t>his</w:t>
      </w:r>
      <w:r>
        <w:rPr>
          <w:spacing w:val="-19"/>
        </w:rPr>
        <w:t xml:space="preserve"> </w:t>
      </w:r>
      <w:r>
        <w:t>position</w:t>
      </w:r>
      <w:r>
        <w:rPr>
          <w:spacing w:val="-18"/>
        </w:rPr>
        <w:t xml:space="preserve"> </w:t>
      </w:r>
      <w:r>
        <w:t>by</w:t>
      </w:r>
      <w:r>
        <w:rPr>
          <w:spacing w:val="-18"/>
        </w:rPr>
        <w:t xml:space="preserve"> </w:t>
      </w:r>
      <w:r>
        <w:t>saying</w:t>
      </w:r>
      <w:r>
        <w:rPr>
          <w:spacing w:val="-17"/>
        </w:rPr>
        <w:t xml:space="preserve"> </w:t>
      </w:r>
      <w:r>
        <w:t>that,</w:t>
      </w:r>
      <w:r>
        <w:rPr>
          <w:spacing w:val="-17"/>
        </w:rPr>
        <w:t xml:space="preserve"> </w:t>
      </w:r>
      <w:r>
        <w:t>although</w:t>
      </w:r>
      <w:r>
        <w:rPr>
          <w:spacing w:val="-17"/>
        </w:rPr>
        <w:t xml:space="preserve"> </w:t>
      </w:r>
      <w:r>
        <w:t>we</w:t>
      </w:r>
      <w:r>
        <w:rPr>
          <w:spacing w:val="-17"/>
        </w:rPr>
        <w:t xml:space="preserve"> </w:t>
      </w:r>
      <w:r>
        <w:t>couldn’t</w:t>
      </w:r>
      <w:r>
        <w:rPr>
          <w:spacing w:val="-19"/>
        </w:rPr>
        <w:t xml:space="preserve"> </w:t>
      </w:r>
      <w:r>
        <w:rPr>
          <w:i/>
        </w:rPr>
        <w:t xml:space="preserve">directly </w:t>
      </w:r>
      <w:r>
        <w:t xml:space="preserve">grasp general propositions, we could grasp non-general propositions that we </w:t>
      </w:r>
      <w:r>
        <w:rPr>
          <w:i/>
        </w:rPr>
        <w:t>took</w:t>
      </w:r>
      <w:r>
        <w:rPr>
          <w:i/>
          <w:spacing w:val="-19"/>
        </w:rPr>
        <w:t xml:space="preserve"> </w:t>
      </w:r>
      <w:r>
        <w:rPr>
          <w:i/>
        </w:rPr>
        <w:t>to</w:t>
      </w:r>
      <w:r>
        <w:rPr>
          <w:i/>
          <w:spacing w:val="-15"/>
        </w:rPr>
        <w:t xml:space="preserve"> </w:t>
      </w:r>
      <w:r>
        <w:rPr>
          <w:i/>
        </w:rPr>
        <w:t>stand</w:t>
      </w:r>
      <w:r>
        <w:rPr>
          <w:i/>
          <w:spacing w:val="-15"/>
        </w:rPr>
        <w:t xml:space="preserve"> </w:t>
      </w:r>
      <w:r>
        <w:rPr>
          <w:i/>
        </w:rPr>
        <w:t>for</w:t>
      </w:r>
      <w:r>
        <w:rPr>
          <w:i/>
          <w:spacing w:val="-14"/>
        </w:rPr>
        <w:t xml:space="preserve"> </w:t>
      </w:r>
      <w:r>
        <w:rPr>
          <w:i/>
        </w:rPr>
        <w:t>general</w:t>
      </w:r>
      <w:r>
        <w:rPr>
          <w:i/>
          <w:spacing w:val="-15"/>
        </w:rPr>
        <w:t xml:space="preserve"> </w:t>
      </w:r>
      <w:r>
        <w:rPr>
          <w:i/>
        </w:rPr>
        <w:t>ones.</w:t>
      </w:r>
      <w:r>
        <w:rPr>
          <w:i/>
          <w:spacing w:val="-19"/>
        </w:rPr>
        <w:t xml:space="preserve"> </w:t>
      </w:r>
      <w:r>
        <w:t>But</w:t>
      </w:r>
      <w:r>
        <w:rPr>
          <w:spacing w:val="-15"/>
        </w:rPr>
        <w:t xml:space="preserve"> </w:t>
      </w:r>
      <w:r>
        <w:t>one</w:t>
      </w:r>
      <w:r>
        <w:rPr>
          <w:spacing w:val="-16"/>
        </w:rPr>
        <w:t xml:space="preserve"> </w:t>
      </w:r>
      <w:r>
        <w:t>can’t</w:t>
      </w:r>
      <w:r>
        <w:rPr>
          <w:spacing w:val="-15"/>
        </w:rPr>
        <w:t xml:space="preserve"> </w:t>
      </w:r>
      <w:r>
        <w:t>take</w:t>
      </w:r>
      <w:r>
        <w:rPr>
          <w:spacing w:val="-15"/>
        </w:rPr>
        <w:t xml:space="preserve"> </w:t>
      </w:r>
      <w:r>
        <w:t>x</w:t>
      </w:r>
      <w:r>
        <w:rPr>
          <w:spacing w:val="-14"/>
        </w:rPr>
        <w:t xml:space="preserve"> </w:t>
      </w:r>
      <w:r>
        <w:t>to</w:t>
      </w:r>
      <w:r>
        <w:rPr>
          <w:spacing w:val="-15"/>
        </w:rPr>
        <w:t xml:space="preserve"> </w:t>
      </w:r>
      <w:r>
        <w:t>mean</w:t>
      </w:r>
      <w:r>
        <w:rPr>
          <w:spacing w:val="-14"/>
        </w:rPr>
        <w:t xml:space="preserve"> </w:t>
      </w:r>
      <w:r>
        <w:t>y</w:t>
      </w:r>
      <w:r>
        <w:rPr>
          <w:spacing w:val="-15"/>
        </w:rPr>
        <w:t xml:space="preserve"> </w:t>
      </w:r>
      <w:r>
        <w:t>unless</w:t>
      </w:r>
      <w:r>
        <w:rPr>
          <w:spacing w:val="-14"/>
        </w:rPr>
        <w:t xml:space="preserve"> </w:t>
      </w:r>
      <w:r>
        <w:t>one</w:t>
      </w:r>
      <w:r>
        <w:rPr>
          <w:spacing w:val="-14"/>
        </w:rPr>
        <w:t xml:space="preserve"> </w:t>
      </w:r>
      <w:r>
        <w:rPr>
          <w:spacing w:val="-2"/>
        </w:rPr>
        <w:t>grasps</w:t>
      </w:r>
    </w:p>
    <w:p w14:paraId="7E001A73" w14:textId="77777777" w:rsidR="009A58DB" w:rsidRDefault="00000000">
      <w:pPr>
        <w:pStyle w:val="BodyText"/>
        <w:spacing w:before="3" w:line="249" w:lineRule="auto"/>
        <w:ind w:right="363"/>
      </w:pPr>
      <w:r>
        <w:t>y.</w:t>
      </w:r>
      <w:r>
        <w:rPr>
          <w:spacing w:val="-19"/>
        </w:rPr>
        <w:t xml:space="preserve"> </w:t>
      </w:r>
      <w:r>
        <w:t>So</w:t>
      </w:r>
      <w:r>
        <w:rPr>
          <w:spacing w:val="-19"/>
        </w:rPr>
        <w:t xml:space="preserve"> </w:t>
      </w:r>
      <w:r>
        <w:t>one</w:t>
      </w:r>
      <w:r>
        <w:rPr>
          <w:spacing w:val="-19"/>
        </w:rPr>
        <w:t xml:space="preserve"> </w:t>
      </w:r>
      <w:r>
        <w:t>can’t</w:t>
      </w:r>
      <w:r>
        <w:rPr>
          <w:spacing w:val="-18"/>
        </w:rPr>
        <w:t xml:space="preserve"> </w:t>
      </w:r>
      <w:r>
        <w:t>take</w:t>
      </w:r>
      <w:r>
        <w:rPr>
          <w:spacing w:val="-19"/>
        </w:rPr>
        <w:t xml:space="preserve"> </w:t>
      </w:r>
      <w:r>
        <w:t>a</w:t>
      </w:r>
      <w:r>
        <w:rPr>
          <w:spacing w:val="-19"/>
        </w:rPr>
        <w:t xml:space="preserve"> </w:t>
      </w:r>
      <w:r>
        <w:t>non-general</w:t>
      </w:r>
      <w:r>
        <w:rPr>
          <w:spacing w:val="-19"/>
        </w:rPr>
        <w:t xml:space="preserve"> </w:t>
      </w:r>
      <w:r>
        <w:t>proposition</w:t>
      </w:r>
      <w:r>
        <w:rPr>
          <w:spacing w:val="-18"/>
        </w:rPr>
        <w:t xml:space="preserve"> </w:t>
      </w:r>
      <w:r>
        <w:t>to</w:t>
      </w:r>
      <w:r>
        <w:rPr>
          <w:spacing w:val="-19"/>
        </w:rPr>
        <w:t xml:space="preserve"> </w:t>
      </w:r>
      <w:r>
        <w:t>stand</w:t>
      </w:r>
      <w:r>
        <w:rPr>
          <w:spacing w:val="-19"/>
        </w:rPr>
        <w:t xml:space="preserve"> </w:t>
      </w:r>
      <w:r>
        <w:t>for</w:t>
      </w:r>
      <w:r>
        <w:rPr>
          <w:spacing w:val="-19"/>
        </w:rPr>
        <w:t xml:space="preserve"> </w:t>
      </w:r>
      <w:r>
        <w:t>a</w:t>
      </w:r>
      <w:r>
        <w:rPr>
          <w:spacing w:val="-18"/>
        </w:rPr>
        <w:t xml:space="preserve"> </w:t>
      </w:r>
      <w:r>
        <w:t>general</w:t>
      </w:r>
      <w:r>
        <w:rPr>
          <w:spacing w:val="-19"/>
        </w:rPr>
        <w:t xml:space="preserve"> </w:t>
      </w:r>
      <w:r>
        <w:t>proposition unless one grasps the latter. (See Sections 8–21 of Berkeley’s “Principles of Human Knowledge.”)</w:t>
      </w:r>
    </w:p>
    <w:p w14:paraId="7E001A74" w14:textId="77777777" w:rsidR="009A58DB" w:rsidRDefault="00000000">
      <w:pPr>
        <w:pStyle w:val="Heading1"/>
        <w:numPr>
          <w:ilvl w:val="1"/>
          <w:numId w:val="110"/>
        </w:numPr>
        <w:tabs>
          <w:tab w:val="left" w:pos="1062"/>
        </w:tabs>
        <w:spacing w:before="192" w:line="244" w:lineRule="auto"/>
        <w:ind w:right="362" w:firstLine="0"/>
        <w:jc w:val="both"/>
      </w:pPr>
      <w:r>
        <w:t xml:space="preserve">Knowledge never wholly identical with mental </w:t>
      </w:r>
      <w:r>
        <w:rPr>
          <w:spacing w:val="-2"/>
        </w:rPr>
        <w:t>imagery</w:t>
      </w:r>
    </w:p>
    <w:p w14:paraId="7E001A75" w14:textId="77777777" w:rsidR="009A58DB" w:rsidRDefault="00000000">
      <w:pPr>
        <w:pStyle w:val="BodyText"/>
        <w:spacing w:before="132" w:line="249" w:lineRule="auto"/>
        <w:ind w:right="361"/>
      </w:pPr>
      <w:r>
        <w:t>As we observed, if all knowledge is strictly sense-based, then any case of knowledge</w:t>
      </w:r>
      <w:r>
        <w:rPr>
          <w:spacing w:val="-4"/>
        </w:rPr>
        <w:t xml:space="preserve"> </w:t>
      </w:r>
      <w:r>
        <w:t>is</w:t>
      </w:r>
      <w:r>
        <w:rPr>
          <w:spacing w:val="-4"/>
        </w:rPr>
        <w:t xml:space="preserve"> </w:t>
      </w:r>
      <w:r>
        <w:t>a</w:t>
      </w:r>
      <w:r>
        <w:rPr>
          <w:spacing w:val="-4"/>
        </w:rPr>
        <w:t xml:space="preserve"> </w:t>
      </w:r>
      <w:r>
        <w:t>case</w:t>
      </w:r>
      <w:r>
        <w:rPr>
          <w:spacing w:val="-4"/>
        </w:rPr>
        <w:t xml:space="preserve"> </w:t>
      </w:r>
      <w:r>
        <w:t>of</w:t>
      </w:r>
      <w:r>
        <w:rPr>
          <w:spacing w:val="-4"/>
        </w:rPr>
        <w:t xml:space="preserve"> </w:t>
      </w:r>
      <w:r>
        <w:t>some</w:t>
      </w:r>
      <w:r>
        <w:rPr>
          <w:spacing w:val="-4"/>
        </w:rPr>
        <w:t xml:space="preserve"> </w:t>
      </w:r>
      <w:r>
        <w:t>sequence</w:t>
      </w:r>
      <w:r>
        <w:rPr>
          <w:spacing w:val="-4"/>
        </w:rPr>
        <w:t xml:space="preserve"> </w:t>
      </w:r>
      <w:r>
        <w:t>of</w:t>
      </w:r>
      <w:r>
        <w:rPr>
          <w:spacing w:val="-4"/>
        </w:rPr>
        <w:t xml:space="preserve"> </w:t>
      </w:r>
      <w:r>
        <w:t>images</w:t>
      </w:r>
      <w:r>
        <w:rPr>
          <w:spacing w:val="-4"/>
        </w:rPr>
        <w:t xml:space="preserve"> </w:t>
      </w:r>
      <w:r>
        <w:t>running</w:t>
      </w:r>
      <w:r>
        <w:rPr>
          <w:spacing w:val="-3"/>
        </w:rPr>
        <w:t xml:space="preserve"> </w:t>
      </w:r>
      <w:r>
        <w:t>through</w:t>
      </w:r>
      <w:r>
        <w:rPr>
          <w:spacing w:val="-3"/>
        </w:rPr>
        <w:t xml:space="preserve"> </w:t>
      </w:r>
      <w:r>
        <w:t>one’s</w:t>
      </w:r>
      <w:r>
        <w:rPr>
          <w:spacing w:val="-4"/>
        </w:rPr>
        <w:t xml:space="preserve"> </w:t>
      </w:r>
      <w:r>
        <w:t>mind. But</w:t>
      </w:r>
      <w:r>
        <w:rPr>
          <w:spacing w:val="-3"/>
        </w:rPr>
        <w:t xml:space="preserve"> </w:t>
      </w:r>
      <w:r>
        <w:rPr>
          <w:i/>
        </w:rPr>
        <w:t>no sequence of mental images</w:t>
      </w:r>
      <w:r>
        <w:rPr>
          <w:i/>
          <w:spacing w:val="40"/>
        </w:rPr>
        <w:t xml:space="preserve"> </w:t>
      </w:r>
      <w:r>
        <w:rPr>
          <w:i/>
        </w:rPr>
        <w:t xml:space="preserve">is knowledge. </w:t>
      </w:r>
      <w:r>
        <w:t xml:space="preserve">Such a sequence may serve as a partial </w:t>
      </w:r>
      <w:r>
        <w:rPr>
          <w:i/>
        </w:rPr>
        <w:t xml:space="preserve">basis </w:t>
      </w:r>
      <w:r>
        <w:t xml:space="preserve">for knowledge (e.g., if the image-sequence is a series of visual perceptions of a dog, then, partly on the basis of that sequence, you may know that there is a dog near you); and one can have knowledge </w:t>
      </w:r>
      <w:r>
        <w:rPr>
          <w:i/>
        </w:rPr>
        <w:t xml:space="preserve">about </w:t>
      </w:r>
      <w:r>
        <w:t xml:space="preserve">that sequence (e.g., you can know that ony a visually gifted person could experience such high-resolution mental images). Nevertheless, knowing something </w:t>
      </w:r>
      <w:r>
        <w:rPr>
          <w:i/>
        </w:rPr>
        <w:t xml:space="preserve">always </w:t>
      </w:r>
      <w:r>
        <w:t xml:space="preserve">involves grasping at least one thing in some way </w:t>
      </w:r>
      <w:r>
        <w:rPr>
          <w:i/>
        </w:rPr>
        <w:t>other</w:t>
      </w:r>
      <w:r>
        <w:rPr>
          <w:i/>
          <w:spacing w:val="40"/>
        </w:rPr>
        <w:t xml:space="preserve"> </w:t>
      </w:r>
      <w:r>
        <w:t>than through an image and, therefore, in some way that, because sense-perception gives one nothing but images, empiricism cannot account for.</w:t>
      </w:r>
    </w:p>
    <w:p w14:paraId="7E001A76" w14:textId="77777777" w:rsidR="009A58DB" w:rsidRDefault="00000000">
      <w:pPr>
        <w:pStyle w:val="BodyText"/>
        <w:spacing w:before="13" w:line="249" w:lineRule="auto"/>
        <w:ind w:right="360" w:firstLine="360"/>
      </w:pPr>
      <w:r>
        <w:t xml:space="preserve">There’s a difference between an image, on the one hand, and that image’s being represented as </w:t>
      </w:r>
      <w:r>
        <w:rPr>
          <w:i/>
        </w:rPr>
        <w:t xml:space="preserve">true, </w:t>
      </w:r>
      <w:r>
        <w:t>on the other. (Philosophers use the word</w:t>
      </w:r>
      <w:r>
        <w:rPr>
          <w:spacing w:val="40"/>
        </w:rPr>
        <w:t xml:space="preserve"> </w:t>
      </w:r>
      <w:r>
        <w:t>“veridical” to describe accurate perceptions, and they sometimes use the</w:t>
      </w:r>
      <w:r>
        <w:rPr>
          <w:spacing w:val="40"/>
        </w:rPr>
        <w:t xml:space="preserve"> </w:t>
      </w:r>
      <w:r>
        <w:t xml:space="preserve">word “falsidical” to describe inaccurate ones. But I’ll stick with “true” and “false.”) Consider some painting (e.g., a painting of a woman picking flowers). There is nothing in the image itself that says: </w:t>
      </w:r>
      <w:r>
        <w:rPr>
          <w:i/>
        </w:rPr>
        <w:t>this woman really exists, and she rea</w:t>
      </w:r>
      <w:r>
        <w:rPr>
          <w:b/>
          <w:i/>
        </w:rPr>
        <w:t>l</w:t>
      </w:r>
      <w:r>
        <w:rPr>
          <w:i/>
        </w:rPr>
        <w:t xml:space="preserve">y is picking flowers. </w:t>
      </w:r>
      <w:r>
        <w:t>Images are not self-referential; so</w:t>
      </w:r>
      <w:r>
        <w:rPr>
          <w:spacing w:val="40"/>
        </w:rPr>
        <w:t xml:space="preserve"> </w:t>
      </w:r>
      <w:r>
        <w:t xml:space="preserve">they don’t say “I am true” or “I am false.” Thus, the image itself leaves it open to how it is to be taken. It could be taken as something true, something false, or something that is not meant to be taken as true </w:t>
      </w:r>
      <w:r>
        <w:rPr>
          <w:i/>
        </w:rPr>
        <w:t xml:space="preserve">or </w:t>
      </w:r>
      <w:r>
        <w:t>as false.</w:t>
      </w:r>
    </w:p>
    <w:p w14:paraId="7E001A77" w14:textId="77777777" w:rsidR="009A58DB" w:rsidRDefault="00000000">
      <w:pPr>
        <w:pStyle w:val="BodyText"/>
        <w:spacing w:before="13" w:line="249" w:lineRule="auto"/>
        <w:ind w:right="361" w:firstLine="360"/>
      </w:pPr>
      <w:r>
        <w:t>A corollary is that there is no image such that, merely by virtue of experiencing it, one is grasping the concept of truth. To know something, one must believe it to be true. Believing something to be true thus involves grasping the concept of truth and, given what we just said, therefore involves</w:t>
      </w:r>
    </w:p>
    <w:p w14:paraId="7E001A7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79" w14:textId="77777777" w:rsidR="009A58DB" w:rsidRDefault="00000000">
      <w:pPr>
        <w:pStyle w:val="BodyText"/>
        <w:spacing w:before="60" w:line="249" w:lineRule="auto"/>
        <w:ind w:right="358"/>
      </w:pPr>
      <w:r>
        <w:lastRenderedPageBreak/>
        <w:t>grasping something that cannot possibly be grasped by experiencing an image. Since the senses provide us only with images, it follows that the concept of truth is one that is not be grasped through the senses. And since a grasp of that concept is a prerequisite to knowing anything, it follows that, contrary to what empiricism says, not all knowledge is strictly sense-based.</w:t>
      </w:r>
      <w:r>
        <w:rPr>
          <w:spacing w:val="40"/>
        </w:rPr>
        <w:t xml:space="preserve"> </w:t>
      </w:r>
      <w:r>
        <w:t xml:space="preserve">In fact, it follows that, although a great deal of knowledge is obviously </w:t>
      </w:r>
      <w:r>
        <w:rPr>
          <w:i/>
        </w:rPr>
        <w:t xml:space="preserve">largely </w:t>
      </w:r>
      <w:r>
        <w:t xml:space="preserve">sense-based, </w:t>
      </w:r>
      <w:r>
        <w:rPr>
          <w:i/>
        </w:rPr>
        <w:t xml:space="preserve">no </w:t>
      </w:r>
      <w:r>
        <w:t xml:space="preserve">knowledge is </w:t>
      </w:r>
      <w:r>
        <w:rPr>
          <w:i/>
        </w:rPr>
        <w:t xml:space="preserve">strictly </w:t>
      </w:r>
      <w:r>
        <w:t>sense-based.</w:t>
      </w:r>
    </w:p>
    <w:p w14:paraId="7E001A7A" w14:textId="77777777" w:rsidR="009A58DB" w:rsidRDefault="00000000">
      <w:pPr>
        <w:pStyle w:val="Heading1"/>
        <w:numPr>
          <w:ilvl w:val="1"/>
          <w:numId w:val="109"/>
        </w:numPr>
        <w:tabs>
          <w:tab w:val="left" w:pos="1017"/>
        </w:tabs>
        <w:spacing w:before="201" w:line="244" w:lineRule="auto"/>
        <w:ind w:right="360" w:firstLine="0"/>
      </w:pPr>
      <w:r>
        <w:t>George Berkeley and the collapse of empiricism into idealism</w:t>
      </w:r>
    </w:p>
    <w:p w14:paraId="7E001A7B" w14:textId="77777777" w:rsidR="009A58DB" w:rsidRDefault="00000000">
      <w:pPr>
        <w:pStyle w:val="BodyText"/>
        <w:spacing w:before="222" w:line="249" w:lineRule="auto"/>
        <w:ind w:right="358"/>
      </w:pPr>
      <w:r>
        <w:t>George Berkeley (1685–1753) argued that “to be is to be perceived” (</w:t>
      </w:r>
      <w:r>
        <w:rPr>
          <w:i/>
        </w:rPr>
        <w:t>esse percipi</w:t>
      </w:r>
      <w:r>
        <w:rPr>
          <w:i/>
          <w:spacing w:val="-19"/>
        </w:rPr>
        <w:t xml:space="preserve"> </w:t>
      </w:r>
      <w:r>
        <w:rPr>
          <w:i/>
        </w:rPr>
        <w:t>est</w:t>
      </w:r>
      <w:r>
        <w:t>).</w:t>
      </w:r>
      <w:r>
        <w:rPr>
          <w:spacing w:val="-19"/>
        </w:rPr>
        <w:t xml:space="preserve"> </w:t>
      </w:r>
      <w:r>
        <w:t>He</w:t>
      </w:r>
      <w:r>
        <w:rPr>
          <w:spacing w:val="-19"/>
        </w:rPr>
        <w:t xml:space="preserve"> </w:t>
      </w:r>
      <w:r>
        <w:t>held,</w:t>
      </w:r>
      <w:r>
        <w:rPr>
          <w:spacing w:val="-18"/>
        </w:rPr>
        <w:t xml:space="preserve"> </w:t>
      </w:r>
      <w:r>
        <w:t>in</w:t>
      </w:r>
      <w:r>
        <w:rPr>
          <w:spacing w:val="-19"/>
        </w:rPr>
        <w:t xml:space="preserve"> </w:t>
      </w:r>
      <w:r>
        <w:t>other</w:t>
      </w:r>
      <w:r>
        <w:rPr>
          <w:spacing w:val="-19"/>
        </w:rPr>
        <w:t xml:space="preserve"> </w:t>
      </w:r>
      <w:r>
        <w:t>words,</w:t>
      </w:r>
      <w:r>
        <w:rPr>
          <w:spacing w:val="-19"/>
        </w:rPr>
        <w:t xml:space="preserve"> </w:t>
      </w:r>
      <w:r>
        <w:t>that</w:t>
      </w:r>
      <w:r>
        <w:rPr>
          <w:spacing w:val="-18"/>
        </w:rPr>
        <w:t xml:space="preserve"> </w:t>
      </w:r>
      <w:r>
        <w:t>the</w:t>
      </w:r>
      <w:r>
        <w:rPr>
          <w:spacing w:val="-19"/>
        </w:rPr>
        <w:t xml:space="preserve"> </w:t>
      </w:r>
      <w:r>
        <w:t>things</w:t>
      </w:r>
      <w:r>
        <w:rPr>
          <w:spacing w:val="-19"/>
        </w:rPr>
        <w:t xml:space="preserve"> </w:t>
      </w:r>
      <w:r>
        <w:t>we</w:t>
      </w:r>
      <w:r>
        <w:rPr>
          <w:spacing w:val="-19"/>
        </w:rPr>
        <w:t xml:space="preserve"> </w:t>
      </w:r>
      <w:r>
        <w:t>believe</w:t>
      </w:r>
      <w:r>
        <w:rPr>
          <w:spacing w:val="-18"/>
        </w:rPr>
        <w:t xml:space="preserve"> </w:t>
      </w:r>
      <w:r>
        <w:t>to</w:t>
      </w:r>
      <w:r>
        <w:rPr>
          <w:spacing w:val="-19"/>
        </w:rPr>
        <w:t xml:space="preserve"> </w:t>
      </w:r>
      <w:r>
        <w:t>be</w:t>
      </w:r>
      <w:r>
        <w:rPr>
          <w:spacing w:val="-19"/>
        </w:rPr>
        <w:t xml:space="preserve"> </w:t>
      </w:r>
      <w:r>
        <w:t>revealed</w:t>
      </w:r>
      <w:r>
        <w:rPr>
          <w:spacing w:val="-19"/>
        </w:rPr>
        <w:t xml:space="preserve"> </w:t>
      </w:r>
      <w:r>
        <w:t xml:space="preserve">to </w:t>
      </w:r>
      <w:r>
        <w:rPr>
          <w:spacing w:val="-2"/>
        </w:rPr>
        <w:t>us</w:t>
      </w:r>
      <w:r>
        <w:rPr>
          <w:spacing w:val="-17"/>
        </w:rPr>
        <w:t xml:space="preserve"> </w:t>
      </w:r>
      <w:r>
        <w:rPr>
          <w:i/>
          <w:spacing w:val="-2"/>
        </w:rPr>
        <w:t>through</w:t>
      </w:r>
      <w:r>
        <w:rPr>
          <w:i/>
          <w:spacing w:val="-17"/>
        </w:rPr>
        <w:t xml:space="preserve"> </w:t>
      </w:r>
      <w:r>
        <w:rPr>
          <w:spacing w:val="-2"/>
        </w:rPr>
        <w:t>sense-perception</w:t>
      </w:r>
      <w:r>
        <w:rPr>
          <w:spacing w:val="-17"/>
        </w:rPr>
        <w:t xml:space="preserve"> </w:t>
      </w:r>
      <w:r>
        <w:rPr>
          <w:spacing w:val="-2"/>
        </w:rPr>
        <w:t>(e.g.,</w:t>
      </w:r>
      <w:r>
        <w:rPr>
          <w:spacing w:val="-16"/>
        </w:rPr>
        <w:t xml:space="preserve"> </w:t>
      </w:r>
      <w:r>
        <w:rPr>
          <w:spacing w:val="-2"/>
        </w:rPr>
        <w:t>rocks,</w:t>
      </w:r>
      <w:r>
        <w:rPr>
          <w:spacing w:val="-17"/>
        </w:rPr>
        <w:t xml:space="preserve"> </w:t>
      </w:r>
      <w:r>
        <w:rPr>
          <w:spacing w:val="-2"/>
        </w:rPr>
        <w:t>trees)</w:t>
      </w:r>
      <w:r>
        <w:rPr>
          <w:spacing w:val="-17"/>
        </w:rPr>
        <w:t xml:space="preserve"> </w:t>
      </w:r>
      <w:r>
        <w:rPr>
          <w:i/>
          <w:spacing w:val="-2"/>
        </w:rPr>
        <w:t>are</w:t>
      </w:r>
      <w:r>
        <w:rPr>
          <w:i/>
          <w:spacing w:val="-17"/>
        </w:rPr>
        <w:t xml:space="preserve"> </w:t>
      </w:r>
      <w:r>
        <w:rPr>
          <w:spacing w:val="-2"/>
        </w:rPr>
        <w:t>sense-perceptions—or,</w:t>
      </w:r>
      <w:r>
        <w:rPr>
          <w:spacing w:val="-16"/>
        </w:rPr>
        <w:t xml:space="preserve"> </w:t>
      </w:r>
      <w:r>
        <w:rPr>
          <w:spacing w:val="-2"/>
        </w:rPr>
        <w:t>more</w:t>
      </w:r>
    </w:p>
    <w:p w14:paraId="7E001A7C" w14:textId="77777777" w:rsidR="009A58DB" w:rsidRDefault="00000000">
      <w:pPr>
        <w:pStyle w:val="BodyText"/>
        <w:spacing w:before="4" w:line="223" w:lineRule="exact"/>
        <w:ind w:left="1893"/>
        <w:jc w:val="center"/>
      </w:pPr>
      <w:bookmarkStart w:id="348" w:name="_bookmark348"/>
      <w:bookmarkEnd w:id="348"/>
      <w:r>
        <w:rPr>
          <w:color w:val="0562C1"/>
          <w:spacing w:val="-2"/>
          <w:u w:val="single" w:color="0562C1"/>
        </w:rPr>
        <w:t>[240]</w:t>
      </w:r>
    </w:p>
    <w:p w14:paraId="7E001A7D" w14:textId="77777777" w:rsidR="009A58DB" w:rsidRDefault="00000000">
      <w:pPr>
        <w:pStyle w:val="BodyText"/>
        <w:tabs>
          <w:tab w:val="left" w:pos="6381"/>
        </w:tabs>
        <w:spacing w:line="332" w:lineRule="exact"/>
        <w:jc w:val="left"/>
      </w:pPr>
      <w:r>
        <w:t>exactly,</w:t>
      </w:r>
      <w:r>
        <w:rPr>
          <w:spacing w:val="-9"/>
        </w:rPr>
        <w:t xml:space="preserve"> </w:t>
      </w:r>
      <w:r>
        <w:t>are</w:t>
      </w:r>
      <w:r>
        <w:rPr>
          <w:spacing w:val="-7"/>
        </w:rPr>
        <w:t xml:space="preserve"> </w:t>
      </w:r>
      <w:r>
        <w:t>collections</w:t>
      </w:r>
      <w:r>
        <w:rPr>
          <w:spacing w:val="-7"/>
        </w:rPr>
        <w:t xml:space="preserve"> </w:t>
      </w:r>
      <w:r>
        <w:t>of</w:t>
      </w:r>
      <w:r>
        <w:rPr>
          <w:spacing w:val="-6"/>
        </w:rPr>
        <w:t xml:space="preserve"> </w:t>
      </w:r>
      <w:r>
        <w:t>sense-</w:t>
      </w:r>
      <w:r>
        <w:rPr>
          <w:spacing w:val="-2"/>
        </w:rPr>
        <w:t>perceptions.</w:t>
      </w:r>
      <w:r>
        <w:tab/>
        <w:t>So</w:t>
      </w:r>
      <w:r>
        <w:rPr>
          <w:spacing w:val="14"/>
        </w:rPr>
        <w:t xml:space="preserve"> </w:t>
      </w:r>
      <w:r>
        <w:t>Berkeley</w:t>
      </w:r>
      <w:r>
        <w:rPr>
          <w:spacing w:val="16"/>
        </w:rPr>
        <w:t xml:space="preserve"> </w:t>
      </w:r>
      <w:r>
        <w:t>held</w:t>
      </w:r>
      <w:r>
        <w:rPr>
          <w:spacing w:val="16"/>
        </w:rPr>
        <w:t xml:space="preserve"> </w:t>
      </w:r>
      <w:r>
        <w:t>that</w:t>
      </w:r>
      <w:r>
        <w:rPr>
          <w:spacing w:val="17"/>
        </w:rPr>
        <w:t xml:space="preserve"> </w:t>
      </w:r>
      <w:r>
        <w:rPr>
          <w:spacing w:val="-4"/>
        </w:rPr>
        <w:t>book</w:t>
      </w:r>
    </w:p>
    <w:p w14:paraId="7E001A7E" w14:textId="77777777" w:rsidR="009A58DB" w:rsidRDefault="00000000">
      <w:pPr>
        <w:pStyle w:val="BodyText"/>
        <w:spacing w:before="15" w:line="249" w:lineRule="auto"/>
        <w:ind w:right="359"/>
      </w:pPr>
      <w:r>
        <w:t>that</w:t>
      </w:r>
      <w:r>
        <w:rPr>
          <w:spacing w:val="-5"/>
        </w:rPr>
        <w:t xml:space="preserve"> </w:t>
      </w:r>
      <w:r>
        <w:t>you</w:t>
      </w:r>
      <w:r>
        <w:rPr>
          <w:spacing w:val="-4"/>
        </w:rPr>
        <w:t xml:space="preserve"> </w:t>
      </w:r>
      <w:r>
        <w:t>see</w:t>
      </w:r>
      <w:r>
        <w:rPr>
          <w:spacing w:val="-5"/>
        </w:rPr>
        <w:t xml:space="preserve"> </w:t>
      </w:r>
      <w:r>
        <w:t>before</w:t>
      </w:r>
      <w:r>
        <w:rPr>
          <w:spacing w:val="-5"/>
        </w:rPr>
        <w:t xml:space="preserve"> </w:t>
      </w:r>
      <w:r>
        <w:t>you</w:t>
      </w:r>
      <w:r>
        <w:rPr>
          <w:spacing w:val="-4"/>
        </w:rPr>
        <w:t xml:space="preserve"> </w:t>
      </w:r>
      <w:r>
        <w:t>is</w:t>
      </w:r>
      <w:r>
        <w:rPr>
          <w:spacing w:val="-5"/>
        </w:rPr>
        <w:t xml:space="preserve"> </w:t>
      </w:r>
      <w:r>
        <w:t>identical</w:t>
      </w:r>
      <w:r>
        <w:rPr>
          <w:spacing w:val="-5"/>
        </w:rPr>
        <w:t xml:space="preserve"> </w:t>
      </w:r>
      <w:r>
        <w:t>with</w:t>
      </w:r>
      <w:r>
        <w:rPr>
          <w:spacing w:val="-4"/>
        </w:rPr>
        <w:t xml:space="preserve"> </w:t>
      </w:r>
      <w:r>
        <w:t>the</w:t>
      </w:r>
      <w:r>
        <w:rPr>
          <w:spacing w:val="-4"/>
        </w:rPr>
        <w:t xml:space="preserve"> </w:t>
      </w:r>
      <w:r>
        <w:t>perceptions</w:t>
      </w:r>
      <w:r>
        <w:rPr>
          <w:spacing w:val="-4"/>
        </w:rPr>
        <w:t xml:space="preserve"> </w:t>
      </w:r>
      <w:r>
        <w:t>you</w:t>
      </w:r>
      <w:r>
        <w:rPr>
          <w:spacing w:val="-4"/>
        </w:rPr>
        <w:t xml:space="preserve"> </w:t>
      </w:r>
      <w:r>
        <w:t>(and</w:t>
      </w:r>
      <w:r>
        <w:rPr>
          <w:spacing w:val="-4"/>
        </w:rPr>
        <w:t xml:space="preserve"> </w:t>
      </w:r>
      <w:r>
        <w:t>others)</w:t>
      </w:r>
      <w:r>
        <w:rPr>
          <w:spacing w:val="-4"/>
        </w:rPr>
        <w:t xml:space="preserve"> </w:t>
      </w:r>
      <w:r>
        <w:t>have of it.</w:t>
      </w:r>
    </w:p>
    <w:p w14:paraId="7E001A7F" w14:textId="77777777" w:rsidR="009A58DB" w:rsidRDefault="00000000">
      <w:pPr>
        <w:pStyle w:val="BodyText"/>
        <w:spacing w:before="122" w:line="249" w:lineRule="auto"/>
        <w:ind w:right="366" w:firstLine="360"/>
      </w:pPr>
      <w:r>
        <w:rPr>
          <w:spacing w:val="-2"/>
        </w:rPr>
        <w:t>The</w:t>
      </w:r>
      <w:r>
        <w:rPr>
          <w:spacing w:val="-17"/>
        </w:rPr>
        <w:t xml:space="preserve"> </w:t>
      </w:r>
      <w:r>
        <w:rPr>
          <w:spacing w:val="-2"/>
        </w:rPr>
        <w:t>view</w:t>
      </w:r>
      <w:r>
        <w:rPr>
          <w:spacing w:val="-17"/>
        </w:rPr>
        <w:t xml:space="preserve"> </w:t>
      </w:r>
      <w:r>
        <w:rPr>
          <w:spacing w:val="-2"/>
        </w:rPr>
        <w:t>that</w:t>
      </w:r>
      <w:r>
        <w:rPr>
          <w:spacing w:val="-17"/>
        </w:rPr>
        <w:t xml:space="preserve"> </w:t>
      </w:r>
      <w:r>
        <w:rPr>
          <w:spacing w:val="-2"/>
        </w:rPr>
        <w:t>physical</w:t>
      </w:r>
      <w:r>
        <w:rPr>
          <w:spacing w:val="-16"/>
        </w:rPr>
        <w:t xml:space="preserve"> </w:t>
      </w:r>
      <w:r>
        <w:rPr>
          <w:spacing w:val="-2"/>
        </w:rPr>
        <w:t>objects</w:t>
      </w:r>
      <w:r>
        <w:rPr>
          <w:spacing w:val="-17"/>
        </w:rPr>
        <w:t xml:space="preserve"> </w:t>
      </w:r>
      <w:r>
        <w:rPr>
          <w:i/>
          <w:spacing w:val="-2"/>
        </w:rPr>
        <w:t>are</w:t>
      </w:r>
      <w:r>
        <w:rPr>
          <w:i/>
          <w:spacing w:val="-17"/>
        </w:rPr>
        <w:t xml:space="preserve"> </w:t>
      </w:r>
      <w:r>
        <w:rPr>
          <w:spacing w:val="-2"/>
        </w:rPr>
        <w:t>sense-perceptions</w:t>
      </w:r>
      <w:r>
        <w:rPr>
          <w:spacing w:val="-17"/>
        </w:rPr>
        <w:t xml:space="preserve"> </w:t>
      </w:r>
      <w:r>
        <w:rPr>
          <w:spacing w:val="-2"/>
        </w:rPr>
        <w:t>is</w:t>
      </w:r>
      <w:r>
        <w:rPr>
          <w:spacing w:val="-16"/>
        </w:rPr>
        <w:t xml:space="preserve"> </w:t>
      </w:r>
      <w:r>
        <w:rPr>
          <w:spacing w:val="-2"/>
        </w:rPr>
        <w:t>known</w:t>
      </w:r>
      <w:r>
        <w:rPr>
          <w:spacing w:val="-17"/>
        </w:rPr>
        <w:t xml:space="preserve"> </w:t>
      </w:r>
      <w:r>
        <w:rPr>
          <w:spacing w:val="-2"/>
        </w:rPr>
        <w:t>as</w:t>
      </w:r>
      <w:r>
        <w:rPr>
          <w:spacing w:val="-17"/>
        </w:rPr>
        <w:t xml:space="preserve"> </w:t>
      </w:r>
      <w:r>
        <w:rPr>
          <w:spacing w:val="-2"/>
        </w:rPr>
        <w:t xml:space="preserve">“idealism.” </w:t>
      </w:r>
      <w:r>
        <w:t>It is so named because it is the view that external objects are “ideas,” not because</w:t>
      </w:r>
      <w:r>
        <w:rPr>
          <w:spacing w:val="-4"/>
        </w:rPr>
        <w:t xml:space="preserve"> </w:t>
      </w:r>
      <w:r>
        <w:t>it</w:t>
      </w:r>
      <w:r>
        <w:rPr>
          <w:spacing w:val="-5"/>
        </w:rPr>
        <w:t xml:space="preserve"> </w:t>
      </w:r>
      <w:r>
        <w:t>embodies</w:t>
      </w:r>
      <w:r>
        <w:rPr>
          <w:spacing w:val="-4"/>
        </w:rPr>
        <w:t xml:space="preserve"> </w:t>
      </w:r>
      <w:r>
        <w:t>a</w:t>
      </w:r>
      <w:r>
        <w:rPr>
          <w:spacing w:val="-4"/>
        </w:rPr>
        <w:t xml:space="preserve"> </w:t>
      </w:r>
      <w:r>
        <w:t>spirit</w:t>
      </w:r>
      <w:r>
        <w:rPr>
          <w:spacing w:val="-5"/>
        </w:rPr>
        <w:t xml:space="preserve"> </w:t>
      </w:r>
      <w:r>
        <w:t>of</w:t>
      </w:r>
      <w:r>
        <w:rPr>
          <w:spacing w:val="-5"/>
        </w:rPr>
        <w:t xml:space="preserve"> </w:t>
      </w:r>
      <w:r>
        <w:t>optimism.</w:t>
      </w:r>
    </w:p>
    <w:p w14:paraId="7E001A80" w14:textId="77777777" w:rsidR="009A58DB" w:rsidRDefault="00000000">
      <w:pPr>
        <w:pStyle w:val="BodyText"/>
        <w:spacing w:before="4" w:line="249" w:lineRule="auto"/>
        <w:ind w:right="360" w:firstLine="360"/>
      </w:pPr>
      <w:r>
        <w:t>Even though, if our intuitions are to be given any credence, idealism is an abomination, Berkeley had a very good reason for accepting it. Given an acceptance</w:t>
      </w:r>
      <w:r>
        <w:rPr>
          <w:spacing w:val="-8"/>
        </w:rPr>
        <w:t xml:space="preserve"> </w:t>
      </w:r>
      <w:r>
        <w:t>of empiricism, one</w:t>
      </w:r>
      <w:r>
        <w:rPr>
          <w:spacing w:val="-19"/>
        </w:rPr>
        <w:t xml:space="preserve"> </w:t>
      </w:r>
      <w:r>
        <w:rPr>
          <w:i/>
        </w:rPr>
        <w:t>must</w:t>
      </w:r>
      <w:r>
        <w:rPr>
          <w:i/>
          <w:spacing w:val="-19"/>
        </w:rPr>
        <w:t xml:space="preserve"> </w:t>
      </w:r>
      <w:r>
        <w:t>be an idealist</w:t>
      </w:r>
      <w:r>
        <w:rPr>
          <w:spacing w:val="-19"/>
        </w:rPr>
        <w:t xml:space="preserve"> </w:t>
      </w:r>
      <w:r>
        <w:rPr>
          <w:i/>
        </w:rPr>
        <w:t>if</w:t>
      </w:r>
      <w:r>
        <w:rPr>
          <w:i/>
          <w:spacing w:val="-19"/>
        </w:rPr>
        <w:t xml:space="preserve"> </w:t>
      </w:r>
      <w:r>
        <w:t>one</w:t>
      </w:r>
      <w:r>
        <w:rPr>
          <w:spacing w:val="-3"/>
        </w:rPr>
        <w:t xml:space="preserve"> </w:t>
      </w:r>
      <w:r>
        <w:t>is</w:t>
      </w:r>
      <w:r>
        <w:rPr>
          <w:spacing w:val="-4"/>
        </w:rPr>
        <w:t xml:space="preserve"> </w:t>
      </w:r>
      <w:r>
        <w:t>to</w:t>
      </w:r>
      <w:r>
        <w:rPr>
          <w:spacing w:val="-3"/>
        </w:rPr>
        <w:t xml:space="preserve"> </w:t>
      </w:r>
      <w:r>
        <w:t>avoid</w:t>
      </w:r>
      <w:r>
        <w:rPr>
          <w:spacing w:val="-3"/>
        </w:rPr>
        <w:t xml:space="preserve"> </w:t>
      </w:r>
      <w:r>
        <w:t>saying</w:t>
      </w:r>
      <w:r>
        <w:rPr>
          <w:spacing w:val="-3"/>
        </w:rPr>
        <w:t xml:space="preserve"> </w:t>
      </w:r>
      <w:r>
        <w:t>that we have no knowledge of the external world at all. Berkeley saw this; and, being</w:t>
      </w:r>
      <w:r>
        <w:rPr>
          <w:spacing w:val="-16"/>
        </w:rPr>
        <w:t xml:space="preserve"> </w:t>
      </w:r>
      <w:r>
        <w:t>an</w:t>
      </w:r>
      <w:r>
        <w:rPr>
          <w:spacing w:val="-16"/>
        </w:rPr>
        <w:t xml:space="preserve"> </w:t>
      </w:r>
      <w:r>
        <w:t>empiricist</w:t>
      </w:r>
      <w:r>
        <w:rPr>
          <w:spacing w:val="-17"/>
        </w:rPr>
        <w:t xml:space="preserve"> </w:t>
      </w:r>
      <w:r>
        <w:t>who</w:t>
      </w:r>
      <w:r>
        <w:rPr>
          <w:spacing w:val="-16"/>
        </w:rPr>
        <w:t xml:space="preserve"> </w:t>
      </w:r>
      <w:r>
        <w:t>wasn’t</w:t>
      </w:r>
      <w:r>
        <w:rPr>
          <w:spacing w:val="-17"/>
        </w:rPr>
        <w:t xml:space="preserve"> </w:t>
      </w:r>
      <w:r>
        <w:t>also</w:t>
      </w:r>
      <w:r>
        <w:rPr>
          <w:spacing w:val="-16"/>
        </w:rPr>
        <w:t xml:space="preserve"> </w:t>
      </w:r>
      <w:r>
        <w:t>a</w:t>
      </w:r>
      <w:r>
        <w:rPr>
          <w:spacing w:val="-16"/>
        </w:rPr>
        <w:t xml:space="preserve"> </w:t>
      </w:r>
      <w:r>
        <w:t>skeptic,</w:t>
      </w:r>
      <w:r>
        <w:rPr>
          <w:spacing w:val="-16"/>
        </w:rPr>
        <w:t xml:space="preserve"> </w:t>
      </w:r>
      <w:r>
        <w:t>he</w:t>
      </w:r>
      <w:r>
        <w:rPr>
          <w:spacing w:val="-16"/>
        </w:rPr>
        <w:t xml:space="preserve"> </w:t>
      </w:r>
      <w:r>
        <w:t>duly</w:t>
      </w:r>
      <w:r>
        <w:rPr>
          <w:spacing w:val="-16"/>
        </w:rPr>
        <w:t xml:space="preserve"> </w:t>
      </w:r>
      <w:r>
        <w:t>accepted</w:t>
      </w:r>
      <w:r>
        <w:rPr>
          <w:spacing w:val="-16"/>
        </w:rPr>
        <w:t xml:space="preserve"> </w:t>
      </w:r>
      <w:r>
        <w:t>idealism.</w:t>
      </w:r>
    </w:p>
    <w:p w14:paraId="7E001A81" w14:textId="77777777" w:rsidR="009A58DB" w:rsidRDefault="00000000">
      <w:pPr>
        <w:pStyle w:val="BodyText"/>
        <w:spacing w:before="6" w:line="249" w:lineRule="auto"/>
        <w:ind w:right="359" w:firstLine="360"/>
      </w:pPr>
      <w:r>
        <w:rPr>
          <w:spacing w:val="-2"/>
        </w:rPr>
        <w:t>According</w:t>
      </w:r>
      <w:r>
        <w:rPr>
          <w:spacing w:val="-16"/>
        </w:rPr>
        <w:t xml:space="preserve"> </w:t>
      </w:r>
      <w:r>
        <w:rPr>
          <w:spacing w:val="-2"/>
        </w:rPr>
        <w:t>to</w:t>
      </w:r>
      <w:r>
        <w:rPr>
          <w:spacing w:val="-16"/>
        </w:rPr>
        <w:t xml:space="preserve"> </w:t>
      </w:r>
      <w:r>
        <w:rPr>
          <w:spacing w:val="-2"/>
        </w:rPr>
        <w:t>empiricism,</w:t>
      </w:r>
      <w:r>
        <w:rPr>
          <w:spacing w:val="-16"/>
        </w:rPr>
        <w:t xml:space="preserve"> </w:t>
      </w:r>
      <w:r>
        <w:rPr>
          <w:spacing w:val="-2"/>
        </w:rPr>
        <w:t>if</w:t>
      </w:r>
      <w:r>
        <w:rPr>
          <w:spacing w:val="-16"/>
        </w:rPr>
        <w:t xml:space="preserve"> </w:t>
      </w:r>
      <w:r>
        <w:rPr>
          <w:spacing w:val="-2"/>
        </w:rPr>
        <w:t>you</w:t>
      </w:r>
      <w:r>
        <w:rPr>
          <w:spacing w:val="-16"/>
        </w:rPr>
        <w:t xml:space="preserve"> </w:t>
      </w:r>
      <w:r>
        <w:rPr>
          <w:spacing w:val="-2"/>
        </w:rPr>
        <w:t>don’t</w:t>
      </w:r>
      <w:r>
        <w:rPr>
          <w:spacing w:val="-16"/>
        </w:rPr>
        <w:t xml:space="preserve"> </w:t>
      </w:r>
      <w:r>
        <w:rPr>
          <w:spacing w:val="-2"/>
        </w:rPr>
        <w:t>know</w:t>
      </w:r>
      <w:r>
        <w:rPr>
          <w:spacing w:val="-16"/>
        </w:rPr>
        <w:t xml:space="preserve"> </w:t>
      </w:r>
      <w:r>
        <w:rPr>
          <w:spacing w:val="-2"/>
        </w:rPr>
        <w:t>it</w:t>
      </w:r>
      <w:r>
        <w:rPr>
          <w:spacing w:val="-16"/>
        </w:rPr>
        <w:t xml:space="preserve"> </w:t>
      </w:r>
      <w:r>
        <w:rPr>
          <w:spacing w:val="-2"/>
        </w:rPr>
        <w:t>through</w:t>
      </w:r>
      <w:r>
        <w:rPr>
          <w:spacing w:val="-16"/>
        </w:rPr>
        <w:t xml:space="preserve"> </w:t>
      </w:r>
      <w:r>
        <w:rPr>
          <w:spacing w:val="-2"/>
        </w:rPr>
        <w:t>sense-perception,</w:t>
      </w:r>
      <w:r>
        <w:rPr>
          <w:spacing w:val="-16"/>
        </w:rPr>
        <w:t xml:space="preserve"> </w:t>
      </w:r>
      <w:r>
        <w:rPr>
          <w:spacing w:val="-2"/>
        </w:rPr>
        <w:t xml:space="preserve">you </w:t>
      </w:r>
      <w:r>
        <w:t xml:space="preserve">don’t know it. But what do know through sense-perception? “I know that I’m </w:t>
      </w:r>
      <w:r>
        <w:rPr>
          <w:spacing w:val="-4"/>
        </w:rPr>
        <w:t>reading</w:t>
      </w:r>
      <w:r>
        <w:rPr>
          <w:spacing w:val="-15"/>
        </w:rPr>
        <w:t xml:space="preserve"> </w:t>
      </w:r>
      <w:r>
        <w:rPr>
          <w:spacing w:val="-4"/>
        </w:rPr>
        <w:t>a</w:t>
      </w:r>
      <w:r>
        <w:rPr>
          <w:spacing w:val="-13"/>
        </w:rPr>
        <w:t xml:space="preserve"> </w:t>
      </w:r>
      <w:r>
        <w:rPr>
          <w:spacing w:val="-4"/>
        </w:rPr>
        <w:t>book</w:t>
      </w:r>
      <w:r>
        <w:rPr>
          <w:spacing w:val="-11"/>
        </w:rPr>
        <w:t xml:space="preserve"> </w:t>
      </w:r>
      <w:r>
        <w:rPr>
          <w:spacing w:val="-4"/>
        </w:rPr>
        <w:t>right</w:t>
      </w:r>
      <w:r>
        <w:rPr>
          <w:spacing w:val="-12"/>
        </w:rPr>
        <w:t xml:space="preserve"> </w:t>
      </w:r>
      <w:r>
        <w:rPr>
          <w:spacing w:val="-4"/>
        </w:rPr>
        <w:t>now.”</w:t>
      </w:r>
      <w:r>
        <w:rPr>
          <w:spacing w:val="-11"/>
        </w:rPr>
        <w:t xml:space="preserve"> </w:t>
      </w:r>
      <w:r>
        <w:rPr>
          <w:spacing w:val="-4"/>
        </w:rPr>
        <w:t>No</w:t>
      </w:r>
      <w:r>
        <w:rPr>
          <w:spacing w:val="-11"/>
        </w:rPr>
        <w:t xml:space="preserve"> </w:t>
      </w:r>
      <w:r>
        <w:rPr>
          <w:spacing w:val="-4"/>
        </w:rPr>
        <w:t>you</w:t>
      </w:r>
      <w:r>
        <w:rPr>
          <w:spacing w:val="-11"/>
        </w:rPr>
        <w:t xml:space="preserve"> </w:t>
      </w:r>
      <w:r>
        <w:rPr>
          <w:spacing w:val="-4"/>
        </w:rPr>
        <w:t>don’t.</w:t>
      </w:r>
      <w:r>
        <w:rPr>
          <w:spacing w:val="-15"/>
        </w:rPr>
        <w:t xml:space="preserve"> </w:t>
      </w:r>
      <w:r>
        <w:rPr>
          <w:spacing w:val="-4"/>
        </w:rPr>
        <w:t>You</w:t>
      </w:r>
      <w:r>
        <w:rPr>
          <w:spacing w:val="-11"/>
        </w:rPr>
        <w:t xml:space="preserve"> </w:t>
      </w:r>
      <w:r>
        <w:rPr>
          <w:spacing w:val="-4"/>
        </w:rPr>
        <w:t>know</w:t>
      </w:r>
      <w:r>
        <w:rPr>
          <w:spacing w:val="-12"/>
        </w:rPr>
        <w:t xml:space="preserve"> </w:t>
      </w:r>
      <w:r>
        <w:rPr>
          <w:spacing w:val="-4"/>
        </w:rPr>
        <w:t>that,</w:t>
      </w:r>
      <w:r>
        <w:rPr>
          <w:spacing w:val="-12"/>
        </w:rPr>
        <w:t xml:space="preserve"> </w:t>
      </w:r>
      <w:r>
        <w:rPr>
          <w:i/>
          <w:spacing w:val="-4"/>
        </w:rPr>
        <w:t>if</w:t>
      </w:r>
      <w:r>
        <w:rPr>
          <w:i/>
          <w:spacing w:val="-12"/>
        </w:rPr>
        <w:t xml:space="preserve"> </w:t>
      </w:r>
      <w:r>
        <w:rPr>
          <w:i/>
          <w:spacing w:val="-4"/>
        </w:rPr>
        <w:t>what</w:t>
      </w:r>
      <w:r>
        <w:rPr>
          <w:i/>
          <w:spacing w:val="-12"/>
        </w:rPr>
        <w:t xml:space="preserve"> </w:t>
      </w:r>
      <w:r>
        <w:rPr>
          <w:i/>
          <w:spacing w:val="-4"/>
        </w:rPr>
        <w:t>your</w:t>
      </w:r>
      <w:r>
        <w:rPr>
          <w:i/>
          <w:spacing w:val="-11"/>
        </w:rPr>
        <w:t xml:space="preserve"> </w:t>
      </w:r>
      <w:r>
        <w:rPr>
          <w:i/>
          <w:spacing w:val="-4"/>
        </w:rPr>
        <w:t>senses</w:t>
      </w:r>
      <w:r>
        <w:rPr>
          <w:i/>
          <w:spacing w:val="-11"/>
        </w:rPr>
        <w:t xml:space="preserve"> </w:t>
      </w:r>
      <w:r>
        <w:rPr>
          <w:i/>
          <w:spacing w:val="-4"/>
        </w:rPr>
        <w:t xml:space="preserve">are </w:t>
      </w:r>
      <w:r>
        <w:rPr>
          <w:i/>
        </w:rPr>
        <w:t>telling</w:t>
      </w:r>
      <w:r>
        <w:rPr>
          <w:i/>
          <w:spacing w:val="-6"/>
        </w:rPr>
        <w:t xml:space="preserve"> </w:t>
      </w:r>
      <w:r>
        <w:rPr>
          <w:i/>
        </w:rPr>
        <w:t>you</w:t>
      </w:r>
      <w:r>
        <w:rPr>
          <w:i/>
          <w:spacing w:val="-6"/>
        </w:rPr>
        <w:t xml:space="preserve"> </w:t>
      </w:r>
      <w:r>
        <w:rPr>
          <w:i/>
        </w:rPr>
        <w:t>is</w:t>
      </w:r>
      <w:r>
        <w:rPr>
          <w:i/>
          <w:spacing w:val="-6"/>
        </w:rPr>
        <w:t xml:space="preserve"> </w:t>
      </w:r>
      <w:r>
        <w:rPr>
          <w:i/>
        </w:rPr>
        <w:t>the</w:t>
      </w:r>
      <w:r>
        <w:rPr>
          <w:i/>
          <w:spacing w:val="-6"/>
        </w:rPr>
        <w:t xml:space="preserve"> </w:t>
      </w:r>
      <w:r>
        <w:rPr>
          <w:i/>
        </w:rPr>
        <w:t>truth,</w:t>
      </w:r>
      <w:r>
        <w:rPr>
          <w:i/>
          <w:spacing w:val="-7"/>
        </w:rPr>
        <w:t xml:space="preserve"> </w:t>
      </w:r>
      <w:r>
        <w:t>you’re</w:t>
      </w:r>
      <w:r>
        <w:rPr>
          <w:spacing w:val="-6"/>
        </w:rPr>
        <w:t xml:space="preserve"> </w:t>
      </w:r>
      <w:r>
        <w:t>reading</w:t>
      </w:r>
      <w:r>
        <w:rPr>
          <w:spacing w:val="-6"/>
        </w:rPr>
        <w:t xml:space="preserve"> </w:t>
      </w:r>
      <w:r>
        <w:t>a</w:t>
      </w:r>
      <w:r>
        <w:rPr>
          <w:spacing w:val="-6"/>
        </w:rPr>
        <w:t xml:space="preserve"> </w:t>
      </w:r>
      <w:r>
        <w:t>book.</w:t>
      </w:r>
    </w:p>
    <w:p w14:paraId="7E001A82" w14:textId="77777777" w:rsidR="009A58DB" w:rsidRDefault="00000000">
      <w:pPr>
        <w:pStyle w:val="BodyText"/>
        <w:spacing w:before="5" w:line="249" w:lineRule="auto"/>
        <w:ind w:right="359" w:firstLine="360"/>
      </w:pPr>
      <w:r>
        <w:t>Your senses cannot themselves give you any good reason to believe that they’re truthful. Unless you already have some assurance that your senses are truthful, no attempt on their part to</w:t>
      </w:r>
      <w:r>
        <w:rPr>
          <w:spacing w:val="-18"/>
        </w:rPr>
        <w:t xml:space="preserve"> </w:t>
      </w:r>
      <w:r>
        <w:rPr>
          <w:i/>
        </w:rPr>
        <w:t>tell</w:t>
      </w:r>
      <w:r>
        <w:rPr>
          <w:i/>
          <w:spacing w:val="-18"/>
        </w:rPr>
        <w:t xml:space="preserve"> </w:t>
      </w:r>
      <w:r>
        <w:t>you this deserves any credence. So, supposing</w:t>
      </w:r>
      <w:r>
        <w:rPr>
          <w:spacing w:val="40"/>
        </w:rPr>
        <w:t xml:space="preserve"> </w:t>
      </w:r>
      <w:r>
        <w:t>that</w:t>
      </w:r>
      <w:r>
        <w:rPr>
          <w:spacing w:val="40"/>
        </w:rPr>
        <w:t xml:space="preserve"> </w:t>
      </w:r>
      <w:r>
        <w:t>you</w:t>
      </w:r>
      <w:r>
        <w:rPr>
          <w:spacing w:val="-17"/>
        </w:rPr>
        <w:t xml:space="preserve"> </w:t>
      </w:r>
      <w:r>
        <w:rPr>
          <w:i/>
        </w:rPr>
        <w:t>d o</w:t>
      </w:r>
      <w:r>
        <w:rPr>
          <w:i/>
          <w:spacing w:val="-17"/>
        </w:rPr>
        <w:t xml:space="preserve"> </w:t>
      </w:r>
      <w:r>
        <w:t xml:space="preserve">know that you’re reading a book right now, this </w:t>
      </w:r>
      <w:r>
        <w:rPr>
          <w:spacing w:val="-2"/>
        </w:rPr>
        <w:t>knowledge,</w:t>
      </w:r>
      <w:r>
        <w:rPr>
          <w:spacing w:val="-8"/>
        </w:rPr>
        <w:t xml:space="preserve"> </w:t>
      </w:r>
      <w:r>
        <w:rPr>
          <w:spacing w:val="-2"/>
        </w:rPr>
        <w:t>although</w:t>
      </w:r>
      <w:r>
        <w:rPr>
          <w:spacing w:val="-9"/>
        </w:rPr>
        <w:t xml:space="preserve"> </w:t>
      </w:r>
      <w:r>
        <w:rPr>
          <w:i/>
          <w:spacing w:val="-2"/>
        </w:rPr>
        <w:t>largely</w:t>
      </w:r>
      <w:r>
        <w:rPr>
          <w:i/>
          <w:spacing w:val="-9"/>
        </w:rPr>
        <w:t xml:space="preserve"> </w:t>
      </w:r>
      <w:r>
        <w:rPr>
          <w:spacing w:val="-2"/>
        </w:rPr>
        <w:t>based</w:t>
      </w:r>
      <w:r>
        <w:rPr>
          <w:spacing w:val="-8"/>
        </w:rPr>
        <w:t xml:space="preserve"> </w:t>
      </w:r>
      <w:r>
        <w:rPr>
          <w:spacing w:val="-2"/>
        </w:rPr>
        <w:t>on</w:t>
      </w:r>
      <w:r>
        <w:rPr>
          <w:spacing w:val="-8"/>
        </w:rPr>
        <w:t xml:space="preserve"> </w:t>
      </w:r>
      <w:r>
        <w:rPr>
          <w:spacing w:val="-2"/>
        </w:rPr>
        <w:t>sense-perception,</w:t>
      </w:r>
      <w:r>
        <w:rPr>
          <w:spacing w:val="-8"/>
        </w:rPr>
        <w:t xml:space="preserve"> </w:t>
      </w:r>
      <w:r>
        <w:rPr>
          <w:spacing w:val="-2"/>
        </w:rPr>
        <w:t>isn’t</w:t>
      </w:r>
      <w:r>
        <w:rPr>
          <w:spacing w:val="-9"/>
        </w:rPr>
        <w:t xml:space="preserve"> </w:t>
      </w:r>
      <w:r>
        <w:rPr>
          <w:i/>
          <w:spacing w:val="-2"/>
        </w:rPr>
        <w:t>entirely</w:t>
      </w:r>
      <w:r>
        <w:rPr>
          <w:i/>
          <w:spacing w:val="-9"/>
        </w:rPr>
        <w:t xml:space="preserve"> </w:t>
      </w:r>
      <w:r>
        <w:rPr>
          <w:spacing w:val="-2"/>
        </w:rPr>
        <w:t>so.</w:t>
      </w:r>
    </w:p>
    <w:p w14:paraId="7E001A83" w14:textId="77777777" w:rsidR="009A58DB" w:rsidRDefault="00000000">
      <w:pPr>
        <w:pStyle w:val="BodyText"/>
        <w:spacing w:before="6"/>
        <w:ind w:left="720"/>
      </w:pPr>
      <w:r>
        <w:t>In</w:t>
      </w:r>
      <w:r>
        <w:rPr>
          <w:spacing w:val="33"/>
        </w:rPr>
        <w:t xml:space="preserve"> </w:t>
      </w:r>
      <w:r>
        <w:t>general,</w:t>
      </w:r>
      <w:r>
        <w:rPr>
          <w:spacing w:val="36"/>
        </w:rPr>
        <w:t xml:space="preserve"> </w:t>
      </w:r>
      <w:r>
        <w:t>even</w:t>
      </w:r>
      <w:r>
        <w:rPr>
          <w:spacing w:val="37"/>
        </w:rPr>
        <w:t xml:space="preserve"> </w:t>
      </w:r>
      <w:r>
        <w:t>if</w:t>
      </w:r>
      <w:r>
        <w:rPr>
          <w:spacing w:val="36"/>
        </w:rPr>
        <w:t xml:space="preserve"> </w:t>
      </w:r>
      <w:r>
        <w:t>our</w:t>
      </w:r>
      <w:r>
        <w:rPr>
          <w:spacing w:val="37"/>
        </w:rPr>
        <w:t xml:space="preserve"> </w:t>
      </w:r>
      <w:r>
        <w:t>senses</w:t>
      </w:r>
      <w:r>
        <w:rPr>
          <w:spacing w:val="36"/>
        </w:rPr>
        <w:t xml:space="preserve"> </w:t>
      </w:r>
      <w:r>
        <w:t>are</w:t>
      </w:r>
      <w:r>
        <w:rPr>
          <w:spacing w:val="36"/>
        </w:rPr>
        <w:t xml:space="preserve"> </w:t>
      </w:r>
      <w:r>
        <w:t>generally</w:t>
      </w:r>
      <w:r>
        <w:rPr>
          <w:spacing w:val="37"/>
        </w:rPr>
        <w:t xml:space="preserve"> </w:t>
      </w:r>
      <w:r>
        <w:t>telling</w:t>
      </w:r>
      <w:r>
        <w:rPr>
          <w:spacing w:val="36"/>
        </w:rPr>
        <w:t xml:space="preserve"> </w:t>
      </w:r>
      <w:r>
        <w:t>us</w:t>
      </w:r>
      <w:r>
        <w:rPr>
          <w:spacing w:val="36"/>
        </w:rPr>
        <w:t xml:space="preserve"> </w:t>
      </w:r>
      <w:r>
        <w:t>the</w:t>
      </w:r>
      <w:r>
        <w:rPr>
          <w:spacing w:val="37"/>
        </w:rPr>
        <w:t xml:space="preserve"> </w:t>
      </w:r>
      <w:r>
        <w:t>truth,</w:t>
      </w:r>
      <w:r>
        <w:rPr>
          <w:spacing w:val="36"/>
        </w:rPr>
        <w:t xml:space="preserve"> </w:t>
      </w:r>
      <w:r>
        <w:t>this</w:t>
      </w:r>
      <w:r>
        <w:rPr>
          <w:spacing w:val="37"/>
        </w:rPr>
        <w:t xml:space="preserve"> </w:t>
      </w:r>
      <w:r>
        <w:rPr>
          <w:spacing w:val="-4"/>
        </w:rPr>
        <w:t>fact</w:t>
      </w:r>
    </w:p>
    <w:p w14:paraId="7E001A84" w14:textId="77777777" w:rsidR="009A58DB" w:rsidRDefault="009A58DB">
      <w:pPr>
        <w:pStyle w:val="BodyText"/>
        <w:sectPr w:rsidR="009A58DB">
          <w:pgSz w:w="12240" w:h="15840"/>
          <w:pgMar w:top="1380" w:right="1080" w:bottom="280" w:left="1080" w:header="720" w:footer="720" w:gutter="0"/>
          <w:cols w:space="720"/>
        </w:sectPr>
      </w:pPr>
    </w:p>
    <w:p w14:paraId="7E001A85" w14:textId="77777777" w:rsidR="009A58DB" w:rsidRDefault="00000000">
      <w:pPr>
        <w:pStyle w:val="BodyText"/>
        <w:spacing w:before="70" w:line="249" w:lineRule="auto"/>
        <w:ind w:right="361"/>
      </w:pPr>
      <w:r>
        <w:lastRenderedPageBreak/>
        <w:t>cannot</w:t>
      </w:r>
      <w:r>
        <w:rPr>
          <w:spacing w:val="-16"/>
        </w:rPr>
        <w:t xml:space="preserve"> </w:t>
      </w:r>
      <w:r>
        <w:rPr>
          <w:i/>
        </w:rPr>
        <w:t>itself</w:t>
      </w:r>
      <w:r>
        <w:rPr>
          <w:i/>
          <w:spacing w:val="-16"/>
        </w:rPr>
        <w:t xml:space="preserve"> </w:t>
      </w:r>
      <w:r>
        <w:t>be known through sense-perception. This doesn’t mean that it cannot be known. (I believe it can be known that our senses are telling us the truth. See Chapter 11.) But it means that, if we are to come to know that our senses are telling us the truth, it cannot be entirely on the basis of what our senses themselves tell us.</w:t>
      </w:r>
    </w:p>
    <w:p w14:paraId="7E001A86" w14:textId="77777777" w:rsidR="009A58DB" w:rsidRDefault="00000000">
      <w:pPr>
        <w:pStyle w:val="BodyText"/>
        <w:spacing w:before="1" w:line="249" w:lineRule="auto"/>
        <w:ind w:right="358" w:firstLine="360"/>
      </w:pPr>
      <w:r>
        <w:rPr>
          <w:spacing w:val="-2"/>
        </w:rPr>
        <w:t>An</w:t>
      </w:r>
      <w:r>
        <w:rPr>
          <w:spacing w:val="-16"/>
        </w:rPr>
        <w:t xml:space="preserve"> </w:t>
      </w:r>
      <w:r>
        <w:rPr>
          <w:spacing w:val="-2"/>
        </w:rPr>
        <w:t>analogy</w:t>
      </w:r>
      <w:r>
        <w:rPr>
          <w:spacing w:val="-16"/>
        </w:rPr>
        <w:t xml:space="preserve"> </w:t>
      </w:r>
      <w:r>
        <w:rPr>
          <w:spacing w:val="-2"/>
        </w:rPr>
        <w:t>may</w:t>
      </w:r>
      <w:r>
        <w:rPr>
          <w:spacing w:val="-16"/>
        </w:rPr>
        <w:t xml:space="preserve"> </w:t>
      </w:r>
      <w:r>
        <w:rPr>
          <w:spacing w:val="-2"/>
        </w:rPr>
        <w:t>help.</w:t>
      </w:r>
      <w:r>
        <w:rPr>
          <w:spacing w:val="-16"/>
        </w:rPr>
        <w:t xml:space="preserve"> </w:t>
      </w:r>
      <w:r>
        <w:rPr>
          <w:spacing w:val="-2"/>
        </w:rPr>
        <w:t>Uncorroborated</w:t>
      </w:r>
      <w:r>
        <w:rPr>
          <w:spacing w:val="-16"/>
        </w:rPr>
        <w:t xml:space="preserve"> </w:t>
      </w:r>
      <w:r>
        <w:rPr>
          <w:spacing w:val="-2"/>
        </w:rPr>
        <w:t>testimony</w:t>
      </w:r>
      <w:r>
        <w:rPr>
          <w:spacing w:val="-16"/>
        </w:rPr>
        <w:t xml:space="preserve"> </w:t>
      </w:r>
      <w:r>
        <w:rPr>
          <w:spacing w:val="-2"/>
        </w:rPr>
        <w:t>is</w:t>
      </w:r>
      <w:r>
        <w:rPr>
          <w:spacing w:val="-16"/>
        </w:rPr>
        <w:t xml:space="preserve"> </w:t>
      </w:r>
      <w:r>
        <w:rPr>
          <w:spacing w:val="-2"/>
        </w:rPr>
        <w:t>close</w:t>
      </w:r>
      <w:r>
        <w:rPr>
          <w:spacing w:val="-16"/>
        </w:rPr>
        <w:t xml:space="preserve"> </w:t>
      </w:r>
      <w:r>
        <w:rPr>
          <w:spacing w:val="-2"/>
        </w:rPr>
        <w:t>to</w:t>
      </w:r>
      <w:r>
        <w:rPr>
          <w:spacing w:val="-16"/>
        </w:rPr>
        <w:t xml:space="preserve"> </w:t>
      </w:r>
      <w:r>
        <w:rPr>
          <w:spacing w:val="-2"/>
        </w:rPr>
        <w:t>worthless.</w:t>
      </w:r>
      <w:r>
        <w:rPr>
          <w:spacing w:val="-16"/>
        </w:rPr>
        <w:t xml:space="preserve"> </w:t>
      </w:r>
      <w:r>
        <w:rPr>
          <w:spacing w:val="-2"/>
        </w:rPr>
        <w:t xml:space="preserve">Smith </w:t>
      </w:r>
      <w:r>
        <w:t>is</w:t>
      </w:r>
      <w:r>
        <w:rPr>
          <w:spacing w:val="-10"/>
        </w:rPr>
        <w:t xml:space="preserve"> </w:t>
      </w:r>
      <w:r>
        <w:t>a</w:t>
      </w:r>
      <w:r>
        <w:rPr>
          <w:spacing w:val="-10"/>
        </w:rPr>
        <w:t xml:space="preserve"> </w:t>
      </w:r>
      <w:r>
        <w:t>suspect</w:t>
      </w:r>
      <w:r>
        <w:rPr>
          <w:spacing w:val="-10"/>
        </w:rPr>
        <w:t xml:space="preserve"> </w:t>
      </w:r>
      <w:r>
        <w:t>in</w:t>
      </w:r>
      <w:r>
        <w:rPr>
          <w:spacing w:val="-10"/>
        </w:rPr>
        <w:t xml:space="preserve"> </w:t>
      </w:r>
      <w:r>
        <w:t>a</w:t>
      </w:r>
      <w:r>
        <w:rPr>
          <w:spacing w:val="-10"/>
        </w:rPr>
        <w:t xml:space="preserve"> </w:t>
      </w:r>
      <w:r>
        <w:t>crime.</w:t>
      </w:r>
      <w:r>
        <w:rPr>
          <w:spacing w:val="-10"/>
        </w:rPr>
        <w:t xml:space="preserve"> </w:t>
      </w:r>
      <w:r>
        <w:t>He</w:t>
      </w:r>
      <w:r>
        <w:rPr>
          <w:spacing w:val="-10"/>
        </w:rPr>
        <w:t xml:space="preserve"> </w:t>
      </w:r>
      <w:r>
        <w:t>gives</w:t>
      </w:r>
      <w:r>
        <w:rPr>
          <w:spacing w:val="-9"/>
        </w:rPr>
        <w:t xml:space="preserve"> </w:t>
      </w:r>
      <w:r>
        <w:t>you</w:t>
      </w:r>
      <w:r>
        <w:rPr>
          <w:spacing w:val="-9"/>
        </w:rPr>
        <w:t xml:space="preserve"> </w:t>
      </w:r>
      <w:r>
        <w:t>an</w:t>
      </w:r>
      <w:r>
        <w:rPr>
          <w:spacing w:val="-9"/>
        </w:rPr>
        <w:t xml:space="preserve"> </w:t>
      </w:r>
      <w:r>
        <w:t>alibi.</w:t>
      </w:r>
      <w:r>
        <w:rPr>
          <w:spacing w:val="-9"/>
        </w:rPr>
        <w:t xml:space="preserve"> </w:t>
      </w:r>
      <w:r>
        <w:t>(You’re</w:t>
      </w:r>
      <w:r>
        <w:rPr>
          <w:spacing w:val="-9"/>
        </w:rPr>
        <w:t xml:space="preserve"> </w:t>
      </w:r>
      <w:r>
        <w:t>the</w:t>
      </w:r>
      <w:r>
        <w:rPr>
          <w:spacing w:val="-9"/>
        </w:rPr>
        <w:t xml:space="preserve"> </w:t>
      </w:r>
      <w:r>
        <w:t>detective</w:t>
      </w:r>
      <w:r>
        <w:rPr>
          <w:spacing w:val="-9"/>
        </w:rPr>
        <w:t xml:space="preserve"> </w:t>
      </w:r>
      <w:r>
        <w:t>assigned</w:t>
      </w:r>
      <w:r>
        <w:rPr>
          <w:spacing w:val="-9"/>
        </w:rPr>
        <w:t xml:space="preserve"> </w:t>
      </w:r>
      <w:r>
        <w:t>to the</w:t>
      </w:r>
      <w:r>
        <w:rPr>
          <w:spacing w:val="-7"/>
        </w:rPr>
        <w:t xml:space="preserve"> </w:t>
      </w:r>
      <w:r>
        <w:t>case.)</w:t>
      </w:r>
      <w:r>
        <w:rPr>
          <w:spacing w:val="-15"/>
        </w:rPr>
        <w:t xml:space="preserve"> </w:t>
      </w:r>
      <w:r>
        <w:t>You</w:t>
      </w:r>
      <w:r>
        <w:rPr>
          <w:spacing w:val="-7"/>
        </w:rPr>
        <w:t xml:space="preserve"> </w:t>
      </w:r>
      <w:r>
        <w:t>want</w:t>
      </w:r>
      <w:r>
        <w:rPr>
          <w:spacing w:val="-7"/>
        </w:rPr>
        <w:t xml:space="preserve"> </w:t>
      </w:r>
      <w:r>
        <w:t>to</w:t>
      </w:r>
      <w:r>
        <w:rPr>
          <w:spacing w:val="-7"/>
        </w:rPr>
        <w:t xml:space="preserve"> </w:t>
      </w:r>
      <w:r>
        <w:t>know</w:t>
      </w:r>
      <w:r>
        <w:rPr>
          <w:spacing w:val="-7"/>
        </w:rPr>
        <w:t xml:space="preserve"> </w:t>
      </w:r>
      <w:r>
        <w:t>whether</w:t>
      </w:r>
      <w:r>
        <w:rPr>
          <w:spacing w:val="-7"/>
        </w:rPr>
        <w:t xml:space="preserve"> </w:t>
      </w:r>
      <w:r>
        <w:t>Smith’s</w:t>
      </w:r>
      <w:r>
        <w:rPr>
          <w:spacing w:val="-7"/>
        </w:rPr>
        <w:t xml:space="preserve"> </w:t>
      </w:r>
      <w:r>
        <w:t>alibi</w:t>
      </w:r>
      <w:r>
        <w:rPr>
          <w:spacing w:val="-7"/>
        </w:rPr>
        <w:t xml:space="preserve"> </w:t>
      </w:r>
      <w:r>
        <w:t>is</w:t>
      </w:r>
      <w:r>
        <w:rPr>
          <w:spacing w:val="-7"/>
        </w:rPr>
        <w:t xml:space="preserve"> </w:t>
      </w:r>
      <w:r>
        <w:t>correct.</w:t>
      </w:r>
      <w:r>
        <w:rPr>
          <w:spacing w:val="-7"/>
        </w:rPr>
        <w:t xml:space="preserve"> </w:t>
      </w:r>
      <w:r>
        <w:t>If</w:t>
      </w:r>
      <w:r>
        <w:rPr>
          <w:spacing w:val="-7"/>
        </w:rPr>
        <w:t xml:space="preserve"> </w:t>
      </w:r>
      <w:r>
        <w:t>you</w:t>
      </w:r>
      <w:r>
        <w:rPr>
          <w:spacing w:val="-7"/>
        </w:rPr>
        <w:t xml:space="preserve"> </w:t>
      </w:r>
      <w:r>
        <w:t>ask</w:t>
      </w:r>
      <w:r>
        <w:rPr>
          <w:spacing w:val="-7"/>
        </w:rPr>
        <w:t xml:space="preserve"> </w:t>
      </w:r>
      <w:r>
        <w:t xml:space="preserve">Smith “are you telling me the truth?,” he’ll obviously say yes. What you want is </w:t>
      </w:r>
      <w:r>
        <w:rPr>
          <w:i/>
        </w:rPr>
        <w:t>independent</w:t>
      </w:r>
      <w:r>
        <w:rPr>
          <w:i/>
          <w:spacing w:val="40"/>
        </w:rPr>
        <w:t xml:space="preserve"> </w:t>
      </w:r>
      <w:r>
        <w:rPr>
          <w:i/>
        </w:rPr>
        <w:t>corroboration</w:t>
      </w:r>
      <w:r>
        <w:rPr>
          <w:i/>
          <w:spacing w:val="-19"/>
        </w:rPr>
        <w:t xml:space="preserve"> </w:t>
      </w:r>
      <w:r>
        <w:t>for Smith’s testimony. No person can self-</w:t>
      </w:r>
      <w:r>
        <w:rPr>
          <w:spacing w:val="-2"/>
        </w:rPr>
        <w:t>corroborate;</w:t>
      </w:r>
      <w:r>
        <w:rPr>
          <w:spacing w:val="-17"/>
        </w:rPr>
        <w:t xml:space="preserve"> </w:t>
      </w:r>
      <w:r>
        <w:rPr>
          <w:spacing w:val="-2"/>
        </w:rPr>
        <w:t>and</w:t>
      </w:r>
      <w:r>
        <w:rPr>
          <w:spacing w:val="-17"/>
        </w:rPr>
        <w:t xml:space="preserve"> </w:t>
      </w:r>
      <w:r>
        <w:rPr>
          <w:spacing w:val="-2"/>
        </w:rPr>
        <w:t>neither</w:t>
      </w:r>
      <w:r>
        <w:rPr>
          <w:spacing w:val="-17"/>
        </w:rPr>
        <w:t xml:space="preserve"> </w:t>
      </w:r>
      <w:r>
        <w:rPr>
          <w:spacing w:val="-2"/>
        </w:rPr>
        <w:t>can</w:t>
      </w:r>
      <w:r>
        <w:rPr>
          <w:spacing w:val="-16"/>
        </w:rPr>
        <w:t xml:space="preserve"> </w:t>
      </w:r>
      <w:r>
        <w:rPr>
          <w:spacing w:val="-2"/>
        </w:rPr>
        <w:t>anything</w:t>
      </w:r>
      <w:r>
        <w:rPr>
          <w:spacing w:val="-17"/>
        </w:rPr>
        <w:t xml:space="preserve"> </w:t>
      </w:r>
      <w:r>
        <w:rPr>
          <w:spacing w:val="-2"/>
        </w:rPr>
        <w:t>else,</w:t>
      </w:r>
      <w:r>
        <w:rPr>
          <w:spacing w:val="-17"/>
        </w:rPr>
        <w:t xml:space="preserve"> </w:t>
      </w:r>
      <w:r>
        <w:rPr>
          <w:spacing w:val="-2"/>
        </w:rPr>
        <w:t>including</w:t>
      </w:r>
      <w:r>
        <w:rPr>
          <w:spacing w:val="-17"/>
        </w:rPr>
        <w:t xml:space="preserve"> </w:t>
      </w:r>
      <w:r>
        <w:rPr>
          <w:spacing w:val="-2"/>
        </w:rPr>
        <w:t>sense-perception.</w:t>
      </w:r>
      <w:r>
        <w:rPr>
          <w:spacing w:val="-16"/>
        </w:rPr>
        <w:t xml:space="preserve"> </w:t>
      </w:r>
      <w:r>
        <w:rPr>
          <w:spacing w:val="-2"/>
        </w:rPr>
        <w:t>If</w:t>
      </w:r>
      <w:r>
        <w:rPr>
          <w:spacing w:val="-17"/>
        </w:rPr>
        <w:t xml:space="preserve"> </w:t>
      </w:r>
      <w:r>
        <w:rPr>
          <w:spacing w:val="-2"/>
        </w:rPr>
        <w:t>we</w:t>
      </w:r>
      <w:r>
        <w:rPr>
          <w:spacing w:val="-17"/>
        </w:rPr>
        <w:t xml:space="preserve"> </w:t>
      </w:r>
      <w:r>
        <w:rPr>
          <w:spacing w:val="-2"/>
        </w:rPr>
        <w:t>are to</w:t>
      </w:r>
      <w:r>
        <w:rPr>
          <w:spacing w:val="-16"/>
        </w:rPr>
        <w:t xml:space="preserve"> </w:t>
      </w:r>
      <w:r>
        <w:rPr>
          <w:spacing w:val="-2"/>
        </w:rPr>
        <w:t>have</w:t>
      </w:r>
      <w:r>
        <w:rPr>
          <w:spacing w:val="-16"/>
        </w:rPr>
        <w:t xml:space="preserve"> </w:t>
      </w:r>
      <w:r>
        <w:rPr>
          <w:spacing w:val="-2"/>
        </w:rPr>
        <w:t>any</w:t>
      </w:r>
      <w:r>
        <w:rPr>
          <w:spacing w:val="-16"/>
        </w:rPr>
        <w:t xml:space="preserve"> </w:t>
      </w:r>
      <w:r>
        <w:rPr>
          <w:spacing w:val="-2"/>
        </w:rPr>
        <w:t>assurance</w:t>
      </w:r>
      <w:r>
        <w:rPr>
          <w:spacing w:val="-16"/>
        </w:rPr>
        <w:t xml:space="preserve"> </w:t>
      </w:r>
      <w:r>
        <w:rPr>
          <w:spacing w:val="-2"/>
        </w:rPr>
        <w:t>that</w:t>
      </w:r>
      <w:r>
        <w:rPr>
          <w:spacing w:val="-16"/>
        </w:rPr>
        <w:t xml:space="preserve"> </w:t>
      </w:r>
      <w:r>
        <w:rPr>
          <w:spacing w:val="-2"/>
        </w:rPr>
        <w:t>our</w:t>
      </w:r>
      <w:r>
        <w:rPr>
          <w:spacing w:val="-16"/>
        </w:rPr>
        <w:t xml:space="preserve"> </w:t>
      </w:r>
      <w:r>
        <w:rPr>
          <w:spacing w:val="-2"/>
        </w:rPr>
        <w:t>senses</w:t>
      </w:r>
      <w:r>
        <w:rPr>
          <w:spacing w:val="-15"/>
        </w:rPr>
        <w:t xml:space="preserve"> </w:t>
      </w:r>
      <w:r>
        <w:rPr>
          <w:spacing w:val="-2"/>
        </w:rPr>
        <w:t>are</w:t>
      </w:r>
      <w:r>
        <w:rPr>
          <w:spacing w:val="-15"/>
        </w:rPr>
        <w:t xml:space="preserve"> </w:t>
      </w:r>
      <w:r>
        <w:rPr>
          <w:spacing w:val="-2"/>
        </w:rPr>
        <w:t>telling</w:t>
      </w:r>
      <w:r>
        <w:rPr>
          <w:spacing w:val="-15"/>
        </w:rPr>
        <w:t xml:space="preserve"> </w:t>
      </w:r>
      <w:r>
        <w:rPr>
          <w:spacing w:val="-2"/>
        </w:rPr>
        <w:t>us</w:t>
      </w:r>
      <w:r>
        <w:rPr>
          <w:spacing w:val="-15"/>
        </w:rPr>
        <w:t xml:space="preserve"> </w:t>
      </w:r>
      <w:r>
        <w:rPr>
          <w:spacing w:val="-2"/>
        </w:rPr>
        <w:t>the</w:t>
      </w:r>
      <w:r>
        <w:rPr>
          <w:spacing w:val="-15"/>
        </w:rPr>
        <w:t xml:space="preserve"> </w:t>
      </w:r>
      <w:r>
        <w:rPr>
          <w:spacing w:val="-2"/>
        </w:rPr>
        <w:t>truth,</w:t>
      </w:r>
      <w:r>
        <w:rPr>
          <w:spacing w:val="-15"/>
        </w:rPr>
        <w:t xml:space="preserve"> </w:t>
      </w:r>
      <w:r>
        <w:rPr>
          <w:spacing w:val="-2"/>
        </w:rPr>
        <w:t>that</w:t>
      </w:r>
      <w:r>
        <w:rPr>
          <w:spacing w:val="-15"/>
        </w:rPr>
        <w:t xml:space="preserve"> </w:t>
      </w:r>
      <w:r>
        <w:rPr>
          <w:spacing w:val="-2"/>
        </w:rPr>
        <w:t>assurance</w:t>
      </w:r>
      <w:r>
        <w:rPr>
          <w:spacing w:val="-15"/>
        </w:rPr>
        <w:t xml:space="preserve"> </w:t>
      </w:r>
      <w:r>
        <w:rPr>
          <w:spacing w:val="-2"/>
        </w:rPr>
        <w:t xml:space="preserve">must </w:t>
      </w:r>
      <w:r>
        <w:t>come</w:t>
      </w:r>
      <w:r>
        <w:rPr>
          <w:spacing w:val="-19"/>
        </w:rPr>
        <w:t xml:space="preserve"> </w:t>
      </w:r>
      <w:r>
        <w:t>from</w:t>
      </w:r>
      <w:r>
        <w:rPr>
          <w:spacing w:val="-19"/>
        </w:rPr>
        <w:t xml:space="preserve"> </w:t>
      </w:r>
      <w:r>
        <w:t>some</w:t>
      </w:r>
      <w:r>
        <w:rPr>
          <w:spacing w:val="-18"/>
        </w:rPr>
        <w:t xml:space="preserve"> </w:t>
      </w:r>
      <w:r>
        <w:t>non-sensory</w:t>
      </w:r>
      <w:r>
        <w:rPr>
          <w:spacing w:val="-19"/>
        </w:rPr>
        <w:t xml:space="preserve"> </w:t>
      </w:r>
      <w:r>
        <w:t>source.</w:t>
      </w:r>
      <w:r>
        <w:rPr>
          <w:spacing w:val="-19"/>
        </w:rPr>
        <w:t xml:space="preserve"> </w:t>
      </w:r>
      <w:r>
        <w:t>But</w:t>
      </w:r>
      <w:r>
        <w:rPr>
          <w:spacing w:val="-18"/>
        </w:rPr>
        <w:t xml:space="preserve"> </w:t>
      </w:r>
      <w:r>
        <w:t>empiricism</w:t>
      </w:r>
      <w:r>
        <w:rPr>
          <w:spacing w:val="-19"/>
        </w:rPr>
        <w:t xml:space="preserve"> </w:t>
      </w:r>
      <w:r>
        <w:t>says</w:t>
      </w:r>
      <w:r>
        <w:rPr>
          <w:spacing w:val="-19"/>
        </w:rPr>
        <w:t xml:space="preserve"> </w:t>
      </w:r>
      <w:r>
        <w:t>that</w:t>
      </w:r>
      <w:r>
        <w:rPr>
          <w:spacing w:val="-18"/>
        </w:rPr>
        <w:t xml:space="preserve"> </w:t>
      </w:r>
      <w:r>
        <w:t>nothing</w:t>
      </w:r>
      <w:r>
        <w:rPr>
          <w:spacing w:val="-19"/>
        </w:rPr>
        <w:t xml:space="preserve"> </w:t>
      </w:r>
      <w:r>
        <w:t>coming from</w:t>
      </w:r>
      <w:r>
        <w:rPr>
          <w:spacing w:val="-10"/>
        </w:rPr>
        <w:t xml:space="preserve"> </w:t>
      </w:r>
      <w:r>
        <w:t>any</w:t>
      </w:r>
      <w:r>
        <w:rPr>
          <w:spacing w:val="-9"/>
        </w:rPr>
        <w:t xml:space="preserve"> </w:t>
      </w:r>
      <w:r>
        <w:t>non-sensory</w:t>
      </w:r>
      <w:r>
        <w:rPr>
          <w:spacing w:val="-9"/>
        </w:rPr>
        <w:t xml:space="preserve"> </w:t>
      </w:r>
      <w:r>
        <w:t>source</w:t>
      </w:r>
      <w:r>
        <w:rPr>
          <w:spacing w:val="-9"/>
        </w:rPr>
        <w:t xml:space="preserve"> </w:t>
      </w:r>
      <w:r>
        <w:t>deserves</w:t>
      </w:r>
      <w:r>
        <w:rPr>
          <w:spacing w:val="-9"/>
        </w:rPr>
        <w:t xml:space="preserve"> </w:t>
      </w:r>
      <w:r>
        <w:t>any</w:t>
      </w:r>
      <w:r>
        <w:rPr>
          <w:spacing w:val="-9"/>
        </w:rPr>
        <w:t xml:space="preserve"> </w:t>
      </w:r>
      <w:r>
        <w:t>credit.</w:t>
      </w:r>
    </w:p>
    <w:p w14:paraId="7E001A87" w14:textId="77777777" w:rsidR="009A58DB" w:rsidRDefault="00000000">
      <w:pPr>
        <w:pStyle w:val="BodyText"/>
        <w:spacing w:before="11" w:line="249" w:lineRule="auto"/>
        <w:ind w:right="358" w:firstLine="360"/>
      </w:pPr>
      <w:r>
        <w:t xml:space="preserve">Given this fact, there are only two ways for empiricists, such as Berkeley, person to go. (i) Deny that we know anything about the external world. (ii) Redefine the concept of an external object in such a way as to validate </w:t>
      </w:r>
      <w:r>
        <w:rPr>
          <w:spacing w:val="-2"/>
        </w:rPr>
        <w:t>empiricism.</w:t>
      </w:r>
    </w:p>
    <w:p w14:paraId="7E001A88" w14:textId="77777777" w:rsidR="009A58DB" w:rsidRDefault="00000000">
      <w:pPr>
        <w:pStyle w:val="BodyText"/>
        <w:spacing w:before="5" w:line="249" w:lineRule="auto"/>
        <w:ind w:right="358" w:firstLine="360"/>
      </w:pPr>
      <w:r>
        <w:t>(i) is self-explanatory. It’s skepticism. Some philosophers accept skepticism</w:t>
      </w:r>
      <w:bookmarkStart w:id="349" w:name="_bookmark349"/>
      <w:bookmarkEnd w:id="349"/>
      <w:r>
        <w:t>.</w:t>
      </w:r>
      <w:r>
        <w:rPr>
          <w:color w:val="0562C1"/>
          <w:position w:val="21"/>
          <w:u w:val="single" w:color="0562C1"/>
        </w:rPr>
        <w:t>[241]</w:t>
      </w:r>
      <w:r>
        <w:rPr>
          <w:color w:val="0562C1"/>
          <w:position w:val="21"/>
        </w:rPr>
        <w:t xml:space="preserve"> </w:t>
      </w:r>
      <w:r>
        <w:t>But for Berkeley, skepticism is not alternative. He all but takes it for granted that it’s false. (We’ll say why in a moment.)</w:t>
      </w:r>
    </w:p>
    <w:p w14:paraId="7E001A89" w14:textId="77777777" w:rsidR="009A58DB" w:rsidRDefault="00000000">
      <w:pPr>
        <w:pStyle w:val="BodyText"/>
        <w:spacing w:before="3" w:line="249" w:lineRule="auto"/>
        <w:ind w:right="360" w:firstLine="360"/>
      </w:pPr>
      <w:r>
        <w:t>This puts Berkeley between a rock and a hard place. Berkeley refuses to stop being an empiricist. And he also refuses to accept skepticism.</w:t>
      </w:r>
    </w:p>
    <w:p w14:paraId="7E001A8A" w14:textId="77777777" w:rsidR="009A58DB" w:rsidRDefault="00000000">
      <w:pPr>
        <w:pStyle w:val="BodyText"/>
        <w:spacing w:before="3" w:line="249" w:lineRule="auto"/>
        <w:ind w:right="365" w:firstLine="360"/>
      </w:pPr>
      <w:r>
        <w:t>This leaves him with only one option. He must show that the presumption that our senses give us knowledge of the external world can be accommodated</w:t>
      </w:r>
      <w:r>
        <w:rPr>
          <w:spacing w:val="-3"/>
        </w:rPr>
        <w:t xml:space="preserve"> </w:t>
      </w:r>
      <w:r>
        <w:rPr>
          <w:i/>
        </w:rPr>
        <w:t>within</w:t>
      </w:r>
      <w:r>
        <w:rPr>
          <w:i/>
          <w:spacing w:val="-4"/>
        </w:rPr>
        <w:t xml:space="preserve"> </w:t>
      </w:r>
      <w:r>
        <w:t xml:space="preserve">the limits set by the belief that all knowledge is strictly </w:t>
      </w:r>
      <w:r>
        <w:rPr>
          <w:spacing w:val="-2"/>
        </w:rPr>
        <w:t>observational.</w:t>
      </w:r>
    </w:p>
    <w:p w14:paraId="7E001A8B" w14:textId="77777777" w:rsidR="009A58DB" w:rsidRDefault="00000000">
      <w:pPr>
        <w:pStyle w:val="BodyText"/>
        <w:spacing w:before="5" w:line="249" w:lineRule="auto"/>
        <w:ind w:right="365" w:firstLine="360"/>
      </w:pPr>
      <w:r>
        <w:t>There is only one way to do this. One must reinterpret statements about</w:t>
      </w:r>
      <w:r>
        <w:rPr>
          <w:spacing w:val="40"/>
        </w:rPr>
        <w:t xml:space="preserve"> </w:t>
      </w:r>
      <w:r>
        <w:t>the external objects as statements about one’s own perceptions. In other words, one must take the view that the statement “that rock weighs five lbs” has the same content as some statement about one’s own perceptions.</w:t>
      </w:r>
    </w:p>
    <w:p w14:paraId="7E001A8C" w14:textId="77777777" w:rsidR="009A58DB" w:rsidRDefault="00000000">
      <w:pPr>
        <w:pStyle w:val="BodyText"/>
        <w:spacing w:before="5" w:line="249" w:lineRule="auto"/>
        <w:ind w:right="362" w:firstLine="360"/>
        <w:rPr>
          <w:b/>
          <w:i/>
        </w:rPr>
      </w:pPr>
      <w:r>
        <w:t xml:space="preserve">The position that statements about external objects can be translated into statements about perceptions is known as </w:t>
      </w:r>
      <w:r>
        <w:rPr>
          <w:b/>
          <w:i/>
        </w:rPr>
        <w:t xml:space="preserve">phenomenalism. </w:t>
      </w:r>
      <w:r>
        <w:t xml:space="preserve">Any attempt to translate a sentence about the external world into one about one’s perceptions is known as a </w:t>
      </w:r>
      <w:r>
        <w:rPr>
          <w:b/>
          <w:i/>
        </w:rPr>
        <w:t>phenomenal reduction.</w:t>
      </w:r>
    </w:p>
    <w:p w14:paraId="7E001A8D" w14:textId="77777777" w:rsidR="009A58DB" w:rsidRDefault="009A58DB">
      <w:pPr>
        <w:pStyle w:val="BodyText"/>
        <w:spacing w:line="249" w:lineRule="auto"/>
        <w:rPr>
          <w:b/>
          <w:i/>
        </w:rPr>
        <w:sectPr w:rsidR="009A58DB">
          <w:pgSz w:w="12240" w:h="15840"/>
          <w:pgMar w:top="1380" w:right="1080" w:bottom="280" w:left="1080" w:header="720" w:footer="720" w:gutter="0"/>
          <w:cols w:space="720"/>
        </w:sectPr>
      </w:pPr>
    </w:p>
    <w:p w14:paraId="7E001A8E" w14:textId="77777777" w:rsidR="009A58DB" w:rsidRDefault="00000000">
      <w:pPr>
        <w:pStyle w:val="BodyText"/>
        <w:spacing w:before="65" w:line="249" w:lineRule="auto"/>
        <w:ind w:right="372" w:firstLine="360"/>
      </w:pPr>
      <w:r>
        <w:lastRenderedPageBreak/>
        <w:t>Phenomenalism entails idealism. If every truth about rocks, trees, etc., is a truth about perceptions, then rocks, trees, etc., are nothing if not perceptions.</w:t>
      </w:r>
    </w:p>
    <w:p w14:paraId="7E001A8F" w14:textId="77777777" w:rsidR="009A58DB" w:rsidRDefault="00000000">
      <w:pPr>
        <w:pStyle w:val="BodyText"/>
        <w:spacing w:before="2" w:line="249" w:lineRule="auto"/>
        <w:ind w:right="362" w:firstLine="360"/>
      </w:pPr>
      <w:r>
        <w:t>Phenomenalism is false. It simply isn’t possible to translate statements about rocks (etc.) into statements about one’s perceptions. We’ll see why in Section 8.0.</w:t>
      </w:r>
    </w:p>
    <w:p w14:paraId="7E001A90" w14:textId="77777777" w:rsidR="009A58DB" w:rsidRDefault="00000000">
      <w:pPr>
        <w:pStyle w:val="BodyText"/>
        <w:spacing w:before="4" w:line="249" w:lineRule="auto"/>
        <w:ind w:left="720" w:right="358"/>
      </w:pPr>
      <w:r>
        <w:t>But phenomenalism must be accepted by any true empiricist who isn’t</w:t>
      </w:r>
      <w:r>
        <w:rPr>
          <w:spacing w:val="40"/>
        </w:rPr>
        <w:t xml:space="preserve"> </w:t>
      </w:r>
      <w:r>
        <w:t>also a skeptic.</w:t>
      </w:r>
    </w:p>
    <w:p w14:paraId="7E001A91" w14:textId="77777777" w:rsidR="009A58DB" w:rsidRDefault="00000000">
      <w:pPr>
        <w:pStyle w:val="Heading1"/>
        <w:numPr>
          <w:ilvl w:val="1"/>
          <w:numId w:val="109"/>
        </w:numPr>
        <w:tabs>
          <w:tab w:val="left" w:pos="1216"/>
          <w:tab w:val="left" w:pos="3437"/>
          <w:tab w:val="left" w:pos="5517"/>
          <w:tab w:val="left" w:pos="6572"/>
          <w:tab w:val="left" w:pos="7254"/>
          <w:tab w:val="left" w:pos="8005"/>
          <w:tab w:val="left" w:pos="8617"/>
          <w:tab w:val="left" w:pos="9298"/>
        </w:tabs>
        <w:spacing w:before="190" w:line="244" w:lineRule="auto"/>
        <w:ind w:right="359" w:firstLine="0"/>
        <w:rPr>
          <w:position w:val="30"/>
        </w:rPr>
      </w:pPr>
      <w:r>
        <w:rPr>
          <w:noProof/>
          <w:position w:val="30"/>
        </w:rPr>
        <mc:AlternateContent>
          <mc:Choice Requires="wps">
            <w:drawing>
              <wp:anchor distT="0" distB="0" distL="0" distR="0" simplePos="0" relativeHeight="480338944" behindDoc="1" locked="0" layoutInCell="1" allowOverlap="1" wp14:anchorId="7E003286" wp14:editId="7E003287">
                <wp:simplePos x="0" y="0"/>
                <wp:positionH relativeFrom="page">
                  <wp:posOffset>2009775</wp:posOffset>
                </wp:positionH>
                <wp:positionV relativeFrom="paragraph">
                  <wp:posOffset>698571</wp:posOffset>
                </wp:positionV>
                <wp:extent cx="5715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4162D24D" id="Graphic 28" o:spid="_x0000_s1026" style="position:absolute;margin-left:158.25pt;margin-top:55pt;width:45pt;height:.1pt;z-index:-22977536;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" path="m,l571500,e" filled="f" strokecolor="#0562c1">
                <v:path arrowok="t"/>
                <w10:wrap anchorx="page"/>
              </v:shape>
            </w:pict>
          </mc:Fallback>
        </mc:AlternateContent>
      </w:r>
      <w:r>
        <w:rPr>
          <w:spacing w:val="-2"/>
        </w:rPr>
        <w:t>Berkeley’s</w:t>
      </w:r>
      <w:r>
        <w:tab/>
      </w:r>
      <w:r>
        <w:rPr>
          <w:spacing w:val="-2"/>
        </w:rPr>
        <w:t>argument</w:t>
      </w:r>
      <w:r>
        <w:tab/>
      </w:r>
      <w:r>
        <w:rPr>
          <w:spacing w:val="-4"/>
        </w:rPr>
        <w:t>that</w:t>
      </w:r>
      <w:r>
        <w:tab/>
      </w:r>
      <w:r>
        <w:rPr>
          <w:spacing w:val="-6"/>
        </w:rPr>
        <w:t>to</w:t>
      </w:r>
      <w:r>
        <w:tab/>
      </w:r>
      <w:r>
        <w:rPr>
          <w:spacing w:val="-6"/>
        </w:rPr>
        <w:t>be</w:t>
      </w:r>
      <w:r>
        <w:tab/>
      </w:r>
      <w:r>
        <w:rPr>
          <w:spacing w:val="-6"/>
        </w:rPr>
        <w:t>is</w:t>
      </w:r>
      <w:r>
        <w:tab/>
      </w:r>
      <w:r>
        <w:rPr>
          <w:spacing w:val="-6"/>
        </w:rPr>
        <w:t>to</w:t>
      </w:r>
      <w:r>
        <w:tab/>
      </w:r>
      <w:r>
        <w:rPr>
          <w:spacing w:val="-6"/>
        </w:rPr>
        <w:t xml:space="preserve">be </w:t>
      </w:r>
      <w:r>
        <w:rPr>
          <w:spacing w:val="-2"/>
        </w:rPr>
        <w:t>perceive</w:t>
      </w:r>
      <w:bookmarkStart w:id="350" w:name="_bookmark350"/>
      <w:bookmarkEnd w:id="350"/>
      <w:r>
        <w:rPr>
          <w:spacing w:val="-2"/>
        </w:rPr>
        <w:t>d</w:t>
      </w:r>
      <w:r>
        <w:rPr>
          <w:color w:val="0562C1"/>
          <w:spacing w:val="-2"/>
          <w:position w:val="30"/>
        </w:rPr>
        <w:t>[242]</w:t>
      </w:r>
    </w:p>
    <w:p w14:paraId="7E001A92" w14:textId="77777777" w:rsidR="009A58DB" w:rsidRDefault="00000000">
      <w:pPr>
        <w:pStyle w:val="BodyText"/>
        <w:spacing w:before="132" w:line="249" w:lineRule="auto"/>
        <w:ind w:right="359"/>
      </w:pPr>
      <w:r>
        <w:t>Our</w:t>
      </w:r>
      <w:r>
        <w:rPr>
          <w:spacing w:val="-1"/>
        </w:rPr>
        <w:t xml:space="preserve"> </w:t>
      </w:r>
      <w:r>
        <w:t>senses</w:t>
      </w:r>
      <w:r>
        <w:rPr>
          <w:spacing w:val="-1"/>
        </w:rPr>
        <w:t xml:space="preserve"> </w:t>
      </w:r>
      <w:r>
        <w:t>give</w:t>
      </w:r>
      <w:r>
        <w:rPr>
          <w:spacing w:val="-1"/>
        </w:rPr>
        <w:t xml:space="preserve"> </w:t>
      </w:r>
      <w:r>
        <w:t>us</w:t>
      </w:r>
      <w:r>
        <w:rPr>
          <w:spacing w:val="-1"/>
        </w:rPr>
        <w:t xml:space="preserve"> </w:t>
      </w:r>
      <w:r>
        <w:t>knowledge</w:t>
      </w:r>
      <w:r>
        <w:rPr>
          <w:spacing w:val="-1"/>
        </w:rPr>
        <w:t xml:space="preserve"> </w:t>
      </w:r>
      <w:r>
        <w:t>of</w:t>
      </w:r>
      <w:r>
        <w:rPr>
          <w:spacing w:val="-1"/>
        </w:rPr>
        <w:t xml:space="preserve"> </w:t>
      </w:r>
      <w:r>
        <w:t>the</w:t>
      </w:r>
      <w:r>
        <w:rPr>
          <w:spacing w:val="-1"/>
        </w:rPr>
        <w:t xml:space="preserve"> </w:t>
      </w:r>
      <w:r>
        <w:t>external</w:t>
      </w:r>
      <w:r>
        <w:rPr>
          <w:spacing w:val="-2"/>
        </w:rPr>
        <w:t xml:space="preserve"> </w:t>
      </w:r>
      <w:r>
        <w:t>world</w:t>
      </w:r>
      <w:r>
        <w:rPr>
          <w:spacing w:val="-1"/>
        </w:rPr>
        <w:t xml:space="preserve"> </w:t>
      </w:r>
      <w:r>
        <w:t>(or</w:t>
      </w:r>
      <w:r>
        <w:rPr>
          <w:spacing w:val="-1"/>
        </w:rPr>
        <w:t xml:space="preserve"> </w:t>
      </w:r>
      <w:r>
        <w:t>so</w:t>
      </w:r>
      <w:r>
        <w:rPr>
          <w:spacing w:val="-1"/>
        </w:rPr>
        <w:t xml:space="preserve"> </w:t>
      </w:r>
      <w:r>
        <w:t>we</w:t>
      </w:r>
      <w:r>
        <w:rPr>
          <w:spacing w:val="-1"/>
        </w:rPr>
        <w:t xml:space="preserve"> </w:t>
      </w:r>
      <w:r>
        <w:t>will</w:t>
      </w:r>
      <w:r>
        <w:rPr>
          <w:spacing w:val="-2"/>
        </w:rPr>
        <w:t xml:space="preserve"> </w:t>
      </w:r>
      <w:r>
        <w:t>assume</w:t>
      </w:r>
      <w:r>
        <w:rPr>
          <w:spacing w:val="-1"/>
        </w:rPr>
        <w:t xml:space="preserve"> </w:t>
      </w:r>
      <w:r>
        <w:t xml:space="preserve">for argument’s sake). There is no non-sensory source of knowledge (same </w:t>
      </w:r>
      <w:r>
        <w:rPr>
          <w:spacing w:val="-2"/>
        </w:rPr>
        <w:t>qualification).</w:t>
      </w:r>
    </w:p>
    <w:p w14:paraId="7E001A93" w14:textId="77777777" w:rsidR="009A58DB" w:rsidRDefault="00000000">
      <w:pPr>
        <w:pStyle w:val="BodyText"/>
        <w:spacing w:before="4" w:line="249" w:lineRule="auto"/>
        <w:ind w:right="359" w:firstLine="360"/>
      </w:pPr>
      <w:r>
        <w:t>Our</w:t>
      </w:r>
      <w:r>
        <w:rPr>
          <w:spacing w:val="-1"/>
        </w:rPr>
        <w:t xml:space="preserve"> </w:t>
      </w:r>
      <w:r>
        <w:t>senses</w:t>
      </w:r>
      <w:r>
        <w:rPr>
          <w:spacing w:val="-1"/>
        </w:rPr>
        <w:t xml:space="preserve"> </w:t>
      </w:r>
      <w:r>
        <w:t>give</w:t>
      </w:r>
      <w:r>
        <w:rPr>
          <w:spacing w:val="-1"/>
        </w:rPr>
        <w:t xml:space="preserve"> </w:t>
      </w:r>
      <w:r>
        <w:t>us</w:t>
      </w:r>
      <w:r>
        <w:rPr>
          <w:spacing w:val="-1"/>
        </w:rPr>
        <w:t xml:space="preserve"> </w:t>
      </w:r>
      <w:r>
        <w:t>conflicting</w:t>
      </w:r>
      <w:r>
        <w:rPr>
          <w:spacing w:val="-1"/>
        </w:rPr>
        <w:t xml:space="preserve"> </w:t>
      </w:r>
      <w:r>
        <w:t>reports.</w:t>
      </w:r>
      <w:r>
        <w:rPr>
          <w:spacing w:val="-1"/>
        </w:rPr>
        <w:t xml:space="preserve"> </w:t>
      </w:r>
      <w:r>
        <w:t>I’m</w:t>
      </w:r>
      <w:r>
        <w:rPr>
          <w:spacing w:val="-2"/>
        </w:rPr>
        <w:t xml:space="preserve"> </w:t>
      </w:r>
      <w:r>
        <w:t>near</w:t>
      </w:r>
      <w:r>
        <w:rPr>
          <w:spacing w:val="-1"/>
        </w:rPr>
        <w:t xml:space="preserve"> </w:t>
      </w:r>
      <w:r>
        <w:t>the</w:t>
      </w:r>
      <w:r>
        <w:rPr>
          <w:spacing w:val="-1"/>
        </w:rPr>
        <w:t xml:space="preserve"> </w:t>
      </w:r>
      <w:r>
        <w:t>house;</w:t>
      </w:r>
      <w:r>
        <w:rPr>
          <w:spacing w:val="-1"/>
        </w:rPr>
        <w:t xml:space="preserve"> </w:t>
      </w:r>
      <w:r>
        <w:t>my</w:t>
      </w:r>
      <w:r>
        <w:rPr>
          <w:spacing w:val="-1"/>
        </w:rPr>
        <w:t xml:space="preserve"> </w:t>
      </w:r>
      <w:r>
        <w:t>eyes</w:t>
      </w:r>
      <w:r>
        <w:rPr>
          <w:spacing w:val="-1"/>
        </w:rPr>
        <w:t xml:space="preserve"> </w:t>
      </w:r>
      <w:r>
        <w:t>tell</w:t>
      </w:r>
      <w:r>
        <w:rPr>
          <w:spacing w:val="-1"/>
        </w:rPr>
        <w:t xml:space="preserve"> </w:t>
      </w:r>
      <w:r>
        <w:t>me that it’s big. I’m far away from it; my eyes tell me that it’s small. The first report conflicts with the second. I leave a sauna: the room feels cool. I then</w:t>
      </w:r>
      <w:r>
        <w:rPr>
          <w:spacing w:val="40"/>
        </w:rPr>
        <w:t xml:space="preserve"> </w:t>
      </w:r>
      <w:r>
        <w:t>go outside (where it’s frigid, since it’s Northern Canada in the winter), and come back in: the same room feels hot (even though, as my housemates tell me, the room hasn’t changed temperature).</w:t>
      </w:r>
    </w:p>
    <w:p w14:paraId="7E001A94" w14:textId="77777777" w:rsidR="009A58DB" w:rsidRDefault="00000000">
      <w:pPr>
        <w:pStyle w:val="BodyText"/>
        <w:spacing w:before="7" w:line="249" w:lineRule="auto"/>
        <w:ind w:right="359" w:firstLine="360"/>
      </w:pPr>
      <w:r>
        <w:t xml:space="preserve">In </w:t>
      </w:r>
      <w:r>
        <w:rPr>
          <w:i/>
        </w:rPr>
        <w:t xml:space="preserve">some </w:t>
      </w:r>
      <w:r>
        <w:t>cases where sensory-reports conflict with one another, we can throw</w:t>
      </w:r>
      <w:r>
        <w:rPr>
          <w:spacing w:val="-1"/>
        </w:rPr>
        <w:t xml:space="preserve"> </w:t>
      </w:r>
      <w:r>
        <w:t>one</w:t>
      </w:r>
      <w:r>
        <w:rPr>
          <w:spacing w:val="-1"/>
        </w:rPr>
        <w:t xml:space="preserve"> </w:t>
      </w:r>
      <w:r>
        <w:t>of</w:t>
      </w:r>
      <w:r>
        <w:rPr>
          <w:spacing w:val="-1"/>
        </w:rPr>
        <w:t xml:space="preserve"> </w:t>
      </w:r>
      <w:r>
        <w:t>them</w:t>
      </w:r>
      <w:r>
        <w:rPr>
          <w:spacing w:val="-2"/>
        </w:rPr>
        <w:t xml:space="preserve"> </w:t>
      </w:r>
      <w:r>
        <w:t>out.</w:t>
      </w:r>
      <w:r>
        <w:rPr>
          <w:spacing w:val="-1"/>
        </w:rPr>
        <w:t xml:space="preserve"> </w:t>
      </w:r>
      <w:r>
        <w:t>Somebody</w:t>
      </w:r>
      <w:r>
        <w:rPr>
          <w:spacing w:val="-1"/>
        </w:rPr>
        <w:t xml:space="preserve"> </w:t>
      </w:r>
      <w:r>
        <w:t>puts</w:t>
      </w:r>
      <w:r>
        <w:rPr>
          <w:spacing w:val="-1"/>
        </w:rPr>
        <w:t xml:space="preserve"> </w:t>
      </w:r>
      <w:r>
        <w:t>LSD</w:t>
      </w:r>
      <w:r>
        <w:rPr>
          <w:spacing w:val="-1"/>
        </w:rPr>
        <w:t xml:space="preserve"> </w:t>
      </w:r>
      <w:r>
        <w:t>in</w:t>
      </w:r>
      <w:r>
        <w:rPr>
          <w:spacing w:val="-1"/>
        </w:rPr>
        <w:t xml:space="preserve"> </w:t>
      </w:r>
      <w:r>
        <w:t>my</w:t>
      </w:r>
      <w:r>
        <w:rPr>
          <w:spacing w:val="-1"/>
        </w:rPr>
        <w:t xml:space="preserve"> </w:t>
      </w:r>
      <w:r>
        <w:t>drink.</w:t>
      </w:r>
      <w:r>
        <w:rPr>
          <w:spacing w:val="-1"/>
        </w:rPr>
        <w:t xml:space="preserve"> </w:t>
      </w:r>
      <w:r>
        <w:t>I</w:t>
      </w:r>
      <w:r>
        <w:rPr>
          <w:spacing w:val="-1"/>
        </w:rPr>
        <w:t xml:space="preserve"> </w:t>
      </w:r>
      <w:r>
        <w:t>hallucinate</w:t>
      </w:r>
      <w:r>
        <w:rPr>
          <w:spacing w:val="-1"/>
        </w:rPr>
        <w:t xml:space="preserve"> </w:t>
      </w:r>
      <w:r>
        <w:t>a</w:t>
      </w:r>
      <w:r>
        <w:rPr>
          <w:spacing w:val="-1"/>
        </w:rPr>
        <w:t xml:space="preserve"> </w:t>
      </w:r>
      <w:r>
        <w:t>nine-headed goblin. My goblin-(mis)perception can be thrown out; I know that it’s wrong. Why? Because the message it gives me doesn’t fit in with the other messages my senses give me. It is on this basis that we throw out dream-images on this basis. Dream-images don’t fit into the narrative.</w:t>
      </w:r>
    </w:p>
    <w:p w14:paraId="7E001A95" w14:textId="77777777" w:rsidR="009A58DB" w:rsidRDefault="00000000">
      <w:pPr>
        <w:pStyle w:val="BodyText"/>
        <w:spacing w:before="7" w:line="249" w:lineRule="auto"/>
        <w:ind w:right="363" w:firstLine="360"/>
      </w:pPr>
      <w:r>
        <w:t>But I cannot throw out either of my house-perceptions. Neither is in the same category as my goblin-perception. Only a tiny fraction of the discrepancies within the reports given to us by our senses involve a (mis)perception that is in the same category as my goblin-perception. In most case, all of the mutually discrepant perceptions must be accepted. When, while I’m in an airplane, my eyes tell me that people on the ground are the size of ants, I cannot reject the testimony of senses. (I’m not dreaming or hallucinating.) Nor can I reject it when my eyes tell me that they’re the same size</w:t>
      </w:r>
      <w:r>
        <w:rPr>
          <w:spacing w:val="22"/>
        </w:rPr>
        <w:t xml:space="preserve">  </w:t>
      </w:r>
      <w:r>
        <w:t>as</w:t>
      </w:r>
      <w:r>
        <w:rPr>
          <w:spacing w:val="25"/>
        </w:rPr>
        <w:t xml:space="preserve">  </w:t>
      </w:r>
      <w:r>
        <w:t>myself.</w:t>
      </w:r>
      <w:r>
        <w:rPr>
          <w:spacing w:val="25"/>
        </w:rPr>
        <w:t xml:space="preserve">  </w:t>
      </w:r>
      <w:r>
        <w:t>During</w:t>
      </w:r>
      <w:r>
        <w:rPr>
          <w:spacing w:val="24"/>
        </w:rPr>
        <w:t xml:space="preserve">  </w:t>
      </w:r>
      <w:r>
        <w:t>what</w:t>
      </w:r>
      <w:r>
        <w:rPr>
          <w:spacing w:val="25"/>
        </w:rPr>
        <w:t xml:space="preserve">  </w:t>
      </w:r>
      <w:r>
        <w:t>follows,</w:t>
      </w:r>
      <w:r>
        <w:rPr>
          <w:spacing w:val="25"/>
        </w:rPr>
        <w:t xml:space="preserve">  </w:t>
      </w:r>
      <w:r>
        <w:t>when</w:t>
      </w:r>
      <w:r>
        <w:rPr>
          <w:spacing w:val="24"/>
        </w:rPr>
        <w:t xml:space="preserve">  </w:t>
      </w:r>
      <w:r>
        <w:t>we</w:t>
      </w:r>
      <w:r>
        <w:rPr>
          <w:spacing w:val="25"/>
        </w:rPr>
        <w:t xml:space="preserve">  </w:t>
      </w:r>
      <w:r>
        <w:t>talk</w:t>
      </w:r>
      <w:r>
        <w:rPr>
          <w:spacing w:val="25"/>
        </w:rPr>
        <w:t xml:space="preserve">  </w:t>
      </w:r>
      <w:r>
        <w:t>about</w:t>
      </w:r>
      <w:r>
        <w:rPr>
          <w:spacing w:val="25"/>
        </w:rPr>
        <w:t xml:space="preserve">  </w:t>
      </w:r>
      <w:r>
        <w:rPr>
          <w:spacing w:val="-2"/>
        </w:rPr>
        <w:t>“mutually</w:t>
      </w:r>
    </w:p>
    <w:p w14:paraId="7E001A9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97" w14:textId="77777777" w:rsidR="009A58DB" w:rsidRDefault="00000000">
      <w:pPr>
        <w:pStyle w:val="BodyText"/>
        <w:spacing w:before="60" w:line="249" w:lineRule="auto"/>
        <w:ind w:right="362"/>
      </w:pPr>
      <w:r>
        <w:lastRenderedPageBreak/>
        <w:t xml:space="preserve">discrepant perceptions,” we </w:t>
      </w:r>
      <w:r>
        <w:rPr>
          <w:i/>
        </w:rPr>
        <w:t xml:space="preserve">won’t </w:t>
      </w:r>
      <w:r>
        <w:t>be referring to discrepancies involving dream-images or hallucinations. This is a point that is likely to be forgotten and that, being crucial, will be repeated more than once.</w:t>
      </w:r>
    </w:p>
    <w:p w14:paraId="7E001A98" w14:textId="77777777" w:rsidR="009A58DB" w:rsidRDefault="00000000">
      <w:pPr>
        <w:pStyle w:val="BodyText"/>
        <w:spacing w:before="8" w:line="249" w:lineRule="auto"/>
        <w:ind w:right="364" w:firstLine="360"/>
      </w:pPr>
      <w:r>
        <w:t>Given the fact that we have mutually discrepant sense-perceptions, there are, as a matter of logic, only two paths we can take.</w:t>
      </w:r>
    </w:p>
    <w:p w14:paraId="7E001A99" w14:textId="77777777" w:rsidR="009A58DB" w:rsidRDefault="00000000">
      <w:pPr>
        <w:pStyle w:val="BodyText"/>
        <w:spacing w:before="3" w:line="249" w:lineRule="auto"/>
        <w:ind w:right="360" w:firstLine="360"/>
      </w:pPr>
      <w:r>
        <w:t xml:space="preserve">Path #1: We can say that </w:t>
      </w:r>
      <w:r>
        <w:rPr>
          <w:i/>
        </w:rPr>
        <w:t xml:space="preserve">some </w:t>
      </w:r>
      <w:r>
        <w:t>of those perceptions are veridical while others aren’t. (It must be kept firmly in mind that, in this context, we’re setting aside patently deviant perceptions, e.g., my goblin-perception.)</w:t>
      </w:r>
    </w:p>
    <w:p w14:paraId="7E001A9A" w14:textId="77777777" w:rsidR="009A58DB" w:rsidRDefault="00000000">
      <w:pPr>
        <w:pStyle w:val="BodyText"/>
        <w:spacing w:before="3" w:line="249" w:lineRule="auto"/>
        <w:ind w:right="360" w:firstLine="360"/>
      </w:pPr>
      <w:r>
        <w:t xml:space="preserve">Path #2: We can say that </w:t>
      </w:r>
      <w:r>
        <w:rPr>
          <w:i/>
        </w:rPr>
        <w:t xml:space="preserve">all </w:t>
      </w:r>
      <w:r>
        <w:t>our perceptions are correct. Let’s discuss these two paths.</w:t>
      </w:r>
    </w:p>
    <w:p w14:paraId="7E001A9B" w14:textId="77777777" w:rsidR="009A58DB" w:rsidRDefault="00000000">
      <w:pPr>
        <w:pStyle w:val="BodyText"/>
        <w:spacing w:before="3" w:line="249" w:lineRule="auto"/>
        <w:ind w:right="361" w:firstLine="360"/>
      </w:pPr>
      <w:r>
        <w:rPr>
          <w:i/>
        </w:rPr>
        <w:t>Path #1 evaluated:</w:t>
      </w:r>
      <w:r>
        <w:rPr>
          <w:i/>
          <w:spacing w:val="-19"/>
        </w:rPr>
        <w:t xml:space="preserve"> </w:t>
      </w:r>
      <w:r>
        <w:t>Supposing that we decide that some of our perceptions are</w:t>
      </w:r>
      <w:r>
        <w:rPr>
          <w:spacing w:val="-14"/>
        </w:rPr>
        <w:t xml:space="preserve"> </w:t>
      </w:r>
      <w:r>
        <w:t>wrong,</w:t>
      </w:r>
      <w:r>
        <w:rPr>
          <w:spacing w:val="-14"/>
        </w:rPr>
        <w:t xml:space="preserve"> </w:t>
      </w:r>
      <w:r>
        <w:t>it</w:t>
      </w:r>
      <w:r>
        <w:rPr>
          <w:spacing w:val="-15"/>
        </w:rPr>
        <w:t xml:space="preserve"> </w:t>
      </w:r>
      <w:r>
        <w:t>must</w:t>
      </w:r>
      <w:r>
        <w:rPr>
          <w:spacing w:val="-15"/>
        </w:rPr>
        <w:t xml:space="preserve"> </w:t>
      </w:r>
      <w:r>
        <w:t>be</w:t>
      </w:r>
      <w:r>
        <w:rPr>
          <w:spacing w:val="-14"/>
        </w:rPr>
        <w:t xml:space="preserve"> </w:t>
      </w:r>
      <w:r>
        <w:t>asked:</w:t>
      </w:r>
      <w:r>
        <w:rPr>
          <w:spacing w:val="-15"/>
        </w:rPr>
        <w:t xml:space="preserve"> </w:t>
      </w:r>
      <w:r>
        <w:t>on</w:t>
      </w:r>
      <w:r>
        <w:rPr>
          <w:spacing w:val="-14"/>
        </w:rPr>
        <w:t xml:space="preserve"> </w:t>
      </w:r>
      <w:r>
        <w:t>what</w:t>
      </w:r>
      <w:r>
        <w:rPr>
          <w:spacing w:val="-15"/>
        </w:rPr>
        <w:t xml:space="preserve"> </w:t>
      </w:r>
      <w:r>
        <w:t>basis</w:t>
      </w:r>
      <w:r>
        <w:rPr>
          <w:spacing w:val="-14"/>
        </w:rPr>
        <w:t xml:space="preserve"> </w:t>
      </w:r>
      <w:r>
        <w:t>are</w:t>
      </w:r>
      <w:r>
        <w:rPr>
          <w:spacing w:val="-14"/>
        </w:rPr>
        <w:t xml:space="preserve"> </w:t>
      </w:r>
      <w:r>
        <w:t>we</w:t>
      </w:r>
      <w:r>
        <w:rPr>
          <w:spacing w:val="-14"/>
        </w:rPr>
        <w:t xml:space="preserve"> </w:t>
      </w:r>
      <w:r>
        <w:t>making</w:t>
      </w:r>
      <w:r>
        <w:rPr>
          <w:spacing w:val="-14"/>
        </w:rPr>
        <w:t xml:space="preserve"> </w:t>
      </w:r>
      <w:r>
        <w:t>this</w:t>
      </w:r>
      <w:r>
        <w:rPr>
          <w:spacing w:val="-14"/>
        </w:rPr>
        <w:t xml:space="preserve"> </w:t>
      </w:r>
      <w:r>
        <w:t>determination?</w:t>
      </w:r>
    </w:p>
    <w:p w14:paraId="7E001A9C" w14:textId="77777777" w:rsidR="009A58DB" w:rsidRDefault="00000000">
      <w:pPr>
        <w:pStyle w:val="BodyText"/>
        <w:spacing w:before="2" w:line="249" w:lineRule="auto"/>
        <w:ind w:right="359" w:firstLine="360"/>
      </w:pPr>
      <w:r>
        <w:t>If</w:t>
      </w:r>
      <w:r>
        <w:rPr>
          <w:spacing w:val="-3"/>
        </w:rPr>
        <w:t xml:space="preserve"> </w:t>
      </w:r>
      <w:r>
        <w:t>we</w:t>
      </w:r>
      <w:r>
        <w:rPr>
          <w:spacing w:val="-2"/>
        </w:rPr>
        <w:t xml:space="preserve"> </w:t>
      </w:r>
      <w:r>
        <w:t>do</w:t>
      </w:r>
      <w:r>
        <w:rPr>
          <w:spacing w:val="-2"/>
        </w:rPr>
        <w:t xml:space="preserve"> </w:t>
      </w:r>
      <w:r>
        <w:t>it</w:t>
      </w:r>
      <w:r>
        <w:rPr>
          <w:spacing w:val="-2"/>
        </w:rPr>
        <w:t xml:space="preserve"> </w:t>
      </w:r>
      <w:r>
        <w:t>on</w:t>
      </w:r>
      <w:r>
        <w:rPr>
          <w:spacing w:val="-2"/>
        </w:rPr>
        <w:t xml:space="preserve"> </w:t>
      </w:r>
      <w:r>
        <w:t>the</w:t>
      </w:r>
      <w:r>
        <w:rPr>
          <w:spacing w:val="-2"/>
        </w:rPr>
        <w:t xml:space="preserve"> </w:t>
      </w:r>
      <w:r>
        <w:t>basis</w:t>
      </w:r>
      <w:r>
        <w:rPr>
          <w:spacing w:val="-2"/>
        </w:rPr>
        <w:t xml:space="preserve"> </w:t>
      </w:r>
      <w:r>
        <w:t>of</w:t>
      </w:r>
      <w:r>
        <w:rPr>
          <w:spacing w:val="-2"/>
        </w:rPr>
        <w:t xml:space="preserve"> </w:t>
      </w:r>
      <w:r>
        <w:t>some</w:t>
      </w:r>
      <w:r>
        <w:rPr>
          <w:spacing w:val="-2"/>
        </w:rPr>
        <w:t xml:space="preserve"> </w:t>
      </w:r>
      <w:r>
        <w:t>principle</w:t>
      </w:r>
      <w:r>
        <w:rPr>
          <w:spacing w:val="-2"/>
        </w:rPr>
        <w:t xml:space="preserve"> </w:t>
      </w:r>
      <w:r>
        <w:t>known</w:t>
      </w:r>
      <w:r>
        <w:rPr>
          <w:spacing w:val="-2"/>
        </w:rPr>
        <w:t xml:space="preserve"> </w:t>
      </w:r>
      <w:r>
        <w:t>to</w:t>
      </w:r>
      <w:r>
        <w:rPr>
          <w:spacing w:val="-2"/>
        </w:rPr>
        <w:t xml:space="preserve"> </w:t>
      </w:r>
      <w:r>
        <w:t>us</w:t>
      </w:r>
      <w:r>
        <w:rPr>
          <w:spacing w:val="-2"/>
        </w:rPr>
        <w:t xml:space="preserve"> </w:t>
      </w:r>
      <w:r>
        <w:t>in</w:t>
      </w:r>
      <w:r>
        <w:rPr>
          <w:spacing w:val="-2"/>
        </w:rPr>
        <w:t xml:space="preserve"> </w:t>
      </w:r>
      <w:r>
        <w:t>some</w:t>
      </w:r>
      <w:r>
        <w:rPr>
          <w:spacing w:val="-19"/>
        </w:rPr>
        <w:t xml:space="preserve"> </w:t>
      </w:r>
      <w:r>
        <w:rPr>
          <w:i/>
        </w:rPr>
        <w:t>non</w:t>
      </w:r>
      <w:r>
        <w:t>-sensory manner, we’re not empiricists any more. So, given that we’re empiricists, it cannot</w:t>
      </w:r>
      <w:r>
        <w:rPr>
          <w:spacing w:val="-4"/>
        </w:rPr>
        <w:t xml:space="preserve"> </w:t>
      </w:r>
      <w:r>
        <w:t>be</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4"/>
        </w:rPr>
        <w:t xml:space="preserve"> </w:t>
      </w:r>
      <w:r>
        <w:t>such</w:t>
      </w:r>
      <w:r>
        <w:rPr>
          <w:spacing w:val="-3"/>
        </w:rPr>
        <w:t xml:space="preserve"> </w:t>
      </w:r>
      <w:r>
        <w:t>a</w:t>
      </w:r>
      <w:r>
        <w:rPr>
          <w:spacing w:val="-3"/>
        </w:rPr>
        <w:t xml:space="preserve"> </w:t>
      </w:r>
      <w:r>
        <w:t>principle.</w:t>
      </w:r>
    </w:p>
    <w:p w14:paraId="7E001A9D" w14:textId="77777777" w:rsidR="009A58DB" w:rsidRDefault="00000000">
      <w:pPr>
        <w:pStyle w:val="BodyText"/>
        <w:spacing w:before="4"/>
        <w:ind w:left="720"/>
      </w:pPr>
      <w:r>
        <w:t>So</w:t>
      </w:r>
      <w:r>
        <w:rPr>
          <w:spacing w:val="-20"/>
        </w:rPr>
        <w:t xml:space="preserve"> </w:t>
      </w:r>
      <w:r>
        <w:t>it</w:t>
      </w:r>
      <w:r>
        <w:rPr>
          <w:spacing w:val="-18"/>
        </w:rPr>
        <w:t xml:space="preserve"> </w:t>
      </w:r>
      <w:r>
        <w:t>must</w:t>
      </w:r>
      <w:r>
        <w:rPr>
          <w:spacing w:val="-18"/>
        </w:rPr>
        <w:t xml:space="preserve"> </w:t>
      </w:r>
      <w:r>
        <w:t>be</w:t>
      </w:r>
      <w:r>
        <w:rPr>
          <w:spacing w:val="-18"/>
        </w:rPr>
        <w:t xml:space="preserve"> </w:t>
      </w:r>
      <w:r>
        <w:t>on</w:t>
      </w:r>
      <w:r>
        <w:rPr>
          <w:spacing w:val="-18"/>
        </w:rPr>
        <w:t xml:space="preserve"> </w:t>
      </w:r>
      <w:r>
        <w:t>the</w:t>
      </w:r>
      <w:r>
        <w:rPr>
          <w:spacing w:val="-18"/>
        </w:rPr>
        <w:t xml:space="preserve"> </w:t>
      </w:r>
      <w:r>
        <w:t>basis</w:t>
      </w:r>
      <w:r>
        <w:rPr>
          <w:spacing w:val="-18"/>
        </w:rPr>
        <w:t xml:space="preserve"> </w:t>
      </w:r>
      <w:r>
        <w:t>of</w:t>
      </w:r>
      <w:r>
        <w:rPr>
          <w:spacing w:val="-18"/>
        </w:rPr>
        <w:t xml:space="preserve"> </w:t>
      </w:r>
      <w:r>
        <w:t>some</w:t>
      </w:r>
      <w:r>
        <w:rPr>
          <w:spacing w:val="-18"/>
        </w:rPr>
        <w:t xml:space="preserve"> </w:t>
      </w:r>
      <w:r>
        <w:t>principle</w:t>
      </w:r>
      <w:r>
        <w:rPr>
          <w:spacing w:val="-18"/>
        </w:rPr>
        <w:t xml:space="preserve"> </w:t>
      </w:r>
      <w:r>
        <w:t>known</w:t>
      </w:r>
      <w:r>
        <w:rPr>
          <w:spacing w:val="-18"/>
        </w:rPr>
        <w:t xml:space="preserve"> </w:t>
      </w:r>
      <w:r>
        <w:t>to</w:t>
      </w:r>
      <w:r>
        <w:rPr>
          <w:spacing w:val="-18"/>
        </w:rPr>
        <w:t xml:space="preserve"> </w:t>
      </w:r>
      <w:r>
        <w:t>us</w:t>
      </w:r>
      <w:r>
        <w:rPr>
          <w:spacing w:val="-18"/>
        </w:rPr>
        <w:t xml:space="preserve"> </w:t>
      </w:r>
      <w:r>
        <w:t>through</w:t>
      </w:r>
      <w:r>
        <w:rPr>
          <w:spacing w:val="-17"/>
        </w:rPr>
        <w:t xml:space="preserve"> </w:t>
      </w:r>
      <w:r>
        <w:rPr>
          <w:spacing w:val="-2"/>
        </w:rPr>
        <w:t>observation</w:t>
      </w:r>
    </w:p>
    <w:p w14:paraId="7E001A9E" w14:textId="77777777" w:rsidR="009A58DB" w:rsidRDefault="00000000">
      <w:pPr>
        <w:pStyle w:val="BodyText"/>
        <w:spacing w:before="15" w:line="249" w:lineRule="auto"/>
        <w:ind w:right="363"/>
      </w:pPr>
      <w:r>
        <w:t xml:space="preserve">—supposing that it’s made on the basis of any principle at all. But all of the perceptions we’re talking about are equally credible. Remember that we’re </w:t>
      </w:r>
      <w:r>
        <w:rPr>
          <w:spacing w:val="-2"/>
        </w:rPr>
        <w:t>setting</w:t>
      </w:r>
      <w:r>
        <w:rPr>
          <w:spacing w:val="-17"/>
        </w:rPr>
        <w:t xml:space="preserve"> </w:t>
      </w:r>
      <w:r>
        <w:rPr>
          <w:spacing w:val="-2"/>
        </w:rPr>
        <w:t>aside</w:t>
      </w:r>
      <w:r>
        <w:rPr>
          <w:spacing w:val="-11"/>
        </w:rPr>
        <w:t xml:space="preserve"> </w:t>
      </w:r>
      <w:r>
        <w:rPr>
          <w:spacing w:val="-2"/>
        </w:rPr>
        <w:t>dream-images,</w:t>
      </w:r>
      <w:r>
        <w:rPr>
          <w:spacing w:val="-9"/>
        </w:rPr>
        <w:t xml:space="preserve"> </w:t>
      </w:r>
      <w:r>
        <w:rPr>
          <w:spacing w:val="-2"/>
        </w:rPr>
        <w:t>hallucinations,</w:t>
      </w:r>
      <w:r>
        <w:rPr>
          <w:spacing w:val="-9"/>
        </w:rPr>
        <w:t xml:space="preserve"> </w:t>
      </w:r>
      <w:r>
        <w:rPr>
          <w:spacing w:val="-2"/>
        </w:rPr>
        <w:t>etc.</w:t>
      </w:r>
      <w:r>
        <w:rPr>
          <w:spacing w:val="-12"/>
        </w:rPr>
        <w:t xml:space="preserve"> </w:t>
      </w:r>
      <w:r>
        <w:rPr>
          <w:spacing w:val="-2"/>
        </w:rPr>
        <w:t>We’re</w:t>
      </w:r>
      <w:r>
        <w:rPr>
          <w:spacing w:val="-9"/>
        </w:rPr>
        <w:t xml:space="preserve"> </w:t>
      </w:r>
      <w:r>
        <w:rPr>
          <w:spacing w:val="-2"/>
        </w:rPr>
        <w:t>focusing</w:t>
      </w:r>
      <w:r>
        <w:rPr>
          <w:spacing w:val="-17"/>
        </w:rPr>
        <w:t xml:space="preserve"> </w:t>
      </w:r>
      <w:r>
        <w:rPr>
          <w:i/>
          <w:spacing w:val="-2"/>
        </w:rPr>
        <w:t>only</w:t>
      </w:r>
      <w:r>
        <w:rPr>
          <w:i/>
          <w:spacing w:val="-17"/>
        </w:rPr>
        <w:t xml:space="preserve"> </w:t>
      </w:r>
      <w:r>
        <w:rPr>
          <w:spacing w:val="-2"/>
        </w:rPr>
        <w:t>on</w:t>
      </w:r>
      <w:r>
        <w:rPr>
          <w:spacing w:val="-10"/>
        </w:rPr>
        <w:t xml:space="preserve"> </w:t>
      </w:r>
      <w:r>
        <w:rPr>
          <w:spacing w:val="-2"/>
        </w:rPr>
        <w:t>garden-</w:t>
      </w:r>
      <w:r>
        <w:t>variety</w:t>
      </w:r>
      <w:r>
        <w:rPr>
          <w:spacing w:val="-7"/>
        </w:rPr>
        <w:t xml:space="preserve"> </w:t>
      </w:r>
      <w:r>
        <w:t>perceptions—those</w:t>
      </w:r>
      <w:r>
        <w:rPr>
          <w:spacing w:val="-7"/>
        </w:rPr>
        <w:t xml:space="preserve"> </w:t>
      </w:r>
      <w:r>
        <w:t>that,</w:t>
      </w:r>
      <w:r>
        <w:rPr>
          <w:spacing w:val="-7"/>
        </w:rPr>
        <w:t xml:space="preserve"> </w:t>
      </w:r>
      <w:r>
        <w:t>unless</w:t>
      </w:r>
      <w:r>
        <w:rPr>
          <w:spacing w:val="-7"/>
        </w:rPr>
        <w:t xml:space="preserve"> </w:t>
      </w:r>
      <w:r>
        <w:t>our</w:t>
      </w:r>
      <w:r>
        <w:rPr>
          <w:spacing w:val="-7"/>
        </w:rPr>
        <w:t xml:space="preserve"> </w:t>
      </w:r>
      <w:r>
        <w:t>senses</w:t>
      </w:r>
      <w:r>
        <w:rPr>
          <w:spacing w:val="-7"/>
        </w:rPr>
        <w:t xml:space="preserve"> </w:t>
      </w:r>
      <w:r>
        <w:t>are</w:t>
      </w:r>
      <w:r>
        <w:rPr>
          <w:spacing w:val="-7"/>
        </w:rPr>
        <w:t xml:space="preserve"> </w:t>
      </w:r>
      <w:r>
        <w:t>constantly</w:t>
      </w:r>
      <w:r>
        <w:rPr>
          <w:spacing w:val="-7"/>
        </w:rPr>
        <w:t xml:space="preserve"> </w:t>
      </w:r>
      <w:r>
        <w:t>deceiving</w:t>
      </w:r>
      <w:r>
        <w:rPr>
          <w:spacing w:val="-7"/>
        </w:rPr>
        <w:t xml:space="preserve"> </w:t>
      </w:r>
      <w:r>
        <w:t>us, must be correct.</w:t>
      </w:r>
    </w:p>
    <w:p w14:paraId="7E001A9F" w14:textId="77777777" w:rsidR="009A58DB" w:rsidRDefault="00000000">
      <w:pPr>
        <w:pStyle w:val="BodyText"/>
        <w:spacing w:before="6" w:line="249" w:lineRule="auto"/>
        <w:ind w:right="359" w:firstLine="360"/>
      </w:pPr>
      <w:r>
        <w:t>This</w:t>
      </w:r>
      <w:r>
        <w:rPr>
          <w:spacing w:val="-19"/>
        </w:rPr>
        <w:t xml:space="preserve"> </w:t>
      </w:r>
      <w:r>
        <w:t>entails,</w:t>
      </w:r>
      <w:r>
        <w:rPr>
          <w:spacing w:val="-14"/>
        </w:rPr>
        <w:t xml:space="preserve"> </w:t>
      </w:r>
      <w:r>
        <w:t>tautologically,</w:t>
      </w:r>
      <w:r>
        <w:rPr>
          <w:spacing w:val="-10"/>
        </w:rPr>
        <w:t xml:space="preserve"> </w:t>
      </w:r>
      <w:r>
        <w:t>that</w:t>
      </w:r>
      <w:r>
        <w:rPr>
          <w:spacing w:val="-10"/>
        </w:rPr>
        <w:t xml:space="preserve"> </w:t>
      </w:r>
      <w:r>
        <w:t>there</w:t>
      </w:r>
      <w:r>
        <w:rPr>
          <w:spacing w:val="-10"/>
        </w:rPr>
        <w:t xml:space="preserve"> </w:t>
      </w:r>
      <w:r>
        <w:t>is</w:t>
      </w:r>
      <w:r>
        <w:rPr>
          <w:spacing w:val="-10"/>
        </w:rPr>
        <w:t xml:space="preserve"> </w:t>
      </w:r>
      <w:r>
        <w:t>no</w:t>
      </w:r>
      <w:r>
        <w:rPr>
          <w:spacing w:val="-19"/>
        </w:rPr>
        <w:t xml:space="preserve"> </w:t>
      </w:r>
      <w:r>
        <w:rPr>
          <w:i/>
        </w:rPr>
        <w:t>observational</w:t>
      </w:r>
      <w:r>
        <w:t>-basis</w:t>
      </w:r>
      <w:r>
        <w:rPr>
          <w:spacing w:val="-11"/>
        </w:rPr>
        <w:t xml:space="preserve"> </w:t>
      </w:r>
      <w:r>
        <w:t>for</w:t>
      </w:r>
      <w:r>
        <w:rPr>
          <w:spacing w:val="-12"/>
        </w:rPr>
        <w:t xml:space="preserve"> </w:t>
      </w:r>
      <w:r>
        <w:t>deciding that</w:t>
      </w:r>
      <w:r>
        <w:rPr>
          <w:spacing w:val="-18"/>
        </w:rPr>
        <w:t xml:space="preserve"> </w:t>
      </w:r>
      <w:r>
        <w:t>some</w:t>
      </w:r>
      <w:r>
        <w:rPr>
          <w:spacing w:val="-18"/>
        </w:rPr>
        <w:t xml:space="preserve"> </w:t>
      </w:r>
      <w:r>
        <w:t>of</w:t>
      </w:r>
      <w:r>
        <w:rPr>
          <w:spacing w:val="-17"/>
        </w:rPr>
        <w:t xml:space="preserve"> </w:t>
      </w:r>
      <w:r>
        <w:t>the</w:t>
      </w:r>
      <w:r>
        <w:rPr>
          <w:spacing w:val="-17"/>
        </w:rPr>
        <w:t xml:space="preserve"> </w:t>
      </w:r>
      <w:r>
        <w:t>perceptions</w:t>
      </w:r>
      <w:r>
        <w:rPr>
          <w:spacing w:val="-17"/>
        </w:rPr>
        <w:t xml:space="preserve"> </w:t>
      </w:r>
      <w:r>
        <w:t>in</w:t>
      </w:r>
      <w:r>
        <w:rPr>
          <w:spacing w:val="-17"/>
        </w:rPr>
        <w:t xml:space="preserve"> </w:t>
      </w:r>
      <w:r>
        <w:t>question</w:t>
      </w:r>
      <w:r>
        <w:rPr>
          <w:spacing w:val="-17"/>
        </w:rPr>
        <w:t xml:space="preserve"> </w:t>
      </w:r>
      <w:r>
        <w:t>are</w:t>
      </w:r>
      <w:r>
        <w:rPr>
          <w:spacing w:val="-17"/>
        </w:rPr>
        <w:t xml:space="preserve"> </w:t>
      </w:r>
      <w:r>
        <w:t>to</w:t>
      </w:r>
      <w:r>
        <w:rPr>
          <w:spacing w:val="-17"/>
        </w:rPr>
        <w:t xml:space="preserve"> </w:t>
      </w:r>
      <w:r>
        <w:t>be</w:t>
      </w:r>
      <w:r>
        <w:rPr>
          <w:spacing w:val="-17"/>
        </w:rPr>
        <w:t xml:space="preserve"> </w:t>
      </w:r>
      <w:r>
        <w:t>thrown</w:t>
      </w:r>
      <w:r>
        <w:rPr>
          <w:spacing w:val="-17"/>
        </w:rPr>
        <w:t xml:space="preserve"> </w:t>
      </w:r>
      <w:r>
        <w:t>out</w:t>
      </w:r>
      <w:r>
        <w:rPr>
          <w:spacing w:val="-18"/>
        </w:rPr>
        <w:t xml:space="preserve"> </w:t>
      </w:r>
      <w:r>
        <w:t>while</w:t>
      </w:r>
      <w:r>
        <w:rPr>
          <w:spacing w:val="-17"/>
        </w:rPr>
        <w:t xml:space="preserve"> </w:t>
      </w:r>
      <w:r>
        <w:t>others</w:t>
      </w:r>
      <w:r>
        <w:rPr>
          <w:spacing w:val="-17"/>
        </w:rPr>
        <w:t xml:space="preserve"> </w:t>
      </w:r>
      <w:r>
        <w:t>are</w:t>
      </w:r>
      <w:r>
        <w:rPr>
          <w:spacing w:val="-17"/>
        </w:rPr>
        <w:t xml:space="preserve"> </w:t>
      </w:r>
      <w:r>
        <w:t>to be</w:t>
      </w:r>
      <w:r>
        <w:rPr>
          <w:spacing w:val="-10"/>
        </w:rPr>
        <w:t xml:space="preserve"> </w:t>
      </w:r>
      <w:r>
        <w:t>kept</w:t>
      </w:r>
      <w:r>
        <w:rPr>
          <w:spacing w:val="-10"/>
        </w:rPr>
        <w:t xml:space="preserve"> </w:t>
      </w:r>
      <w:r>
        <w:t>on.</w:t>
      </w:r>
      <w:r>
        <w:rPr>
          <w:spacing w:val="-10"/>
        </w:rPr>
        <w:t xml:space="preserve"> </w:t>
      </w:r>
      <w:r>
        <w:t>In</w:t>
      </w:r>
      <w:r>
        <w:rPr>
          <w:spacing w:val="-10"/>
        </w:rPr>
        <w:t xml:space="preserve"> </w:t>
      </w:r>
      <w:r>
        <w:t>other</w:t>
      </w:r>
      <w:r>
        <w:rPr>
          <w:spacing w:val="-10"/>
        </w:rPr>
        <w:t xml:space="preserve"> </w:t>
      </w:r>
      <w:r>
        <w:t>words,</w:t>
      </w:r>
      <w:r>
        <w:rPr>
          <w:spacing w:val="-10"/>
        </w:rPr>
        <w:t xml:space="preserve"> </w:t>
      </w:r>
      <w:r>
        <w:t>there</w:t>
      </w:r>
      <w:r>
        <w:rPr>
          <w:spacing w:val="-10"/>
        </w:rPr>
        <w:t xml:space="preserve"> </w:t>
      </w:r>
      <w:r>
        <w:t>is</w:t>
      </w:r>
      <w:r>
        <w:rPr>
          <w:spacing w:val="-10"/>
        </w:rPr>
        <w:t xml:space="preserve"> </w:t>
      </w:r>
      <w:r>
        <w:t>no</w:t>
      </w:r>
      <w:r>
        <w:rPr>
          <w:spacing w:val="-10"/>
        </w:rPr>
        <w:t xml:space="preserve"> </w:t>
      </w:r>
      <w:r>
        <w:t>observation-based</w:t>
      </w:r>
      <w:r>
        <w:rPr>
          <w:spacing w:val="-10"/>
        </w:rPr>
        <w:t xml:space="preserve"> </w:t>
      </w:r>
      <w:r>
        <w:t>principle</w:t>
      </w:r>
      <w:r>
        <w:rPr>
          <w:spacing w:val="-10"/>
        </w:rPr>
        <w:t xml:space="preserve"> </w:t>
      </w:r>
      <w:r>
        <w:t>on</w:t>
      </w:r>
      <w:r>
        <w:rPr>
          <w:spacing w:val="-10"/>
        </w:rPr>
        <w:t xml:space="preserve"> </w:t>
      </w:r>
      <w:r>
        <w:t>the</w:t>
      </w:r>
      <w:r>
        <w:rPr>
          <w:spacing w:val="-10"/>
        </w:rPr>
        <w:t xml:space="preserve"> </w:t>
      </w:r>
      <w:r>
        <w:t>basis of which we can decide which perceptions to keep on. And, since we’re empiricists,</w:t>
      </w:r>
      <w:r>
        <w:rPr>
          <w:spacing w:val="-15"/>
        </w:rPr>
        <w:t xml:space="preserve"> </w:t>
      </w:r>
      <w:r>
        <w:t>this</w:t>
      </w:r>
      <w:r>
        <w:rPr>
          <w:spacing w:val="-9"/>
        </w:rPr>
        <w:t xml:space="preserve"> </w:t>
      </w:r>
      <w:r>
        <w:t>means</w:t>
      </w:r>
      <w:r>
        <w:rPr>
          <w:spacing w:val="-9"/>
        </w:rPr>
        <w:t xml:space="preserve"> </w:t>
      </w:r>
      <w:r>
        <w:t>that</w:t>
      </w:r>
      <w:r>
        <w:rPr>
          <w:spacing w:val="-10"/>
        </w:rPr>
        <w:t xml:space="preserve"> </w:t>
      </w:r>
      <w:r>
        <w:t>there</w:t>
      </w:r>
      <w:r>
        <w:rPr>
          <w:spacing w:val="-9"/>
        </w:rPr>
        <w:t xml:space="preserve"> </w:t>
      </w:r>
      <w:r>
        <w:t>is</w:t>
      </w:r>
      <w:r>
        <w:rPr>
          <w:spacing w:val="-9"/>
        </w:rPr>
        <w:t xml:space="preserve"> </w:t>
      </w:r>
      <w:r>
        <w:t>no</w:t>
      </w:r>
      <w:r>
        <w:rPr>
          <w:spacing w:val="-9"/>
        </w:rPr>
        <w:t xml:space="preserve"> </w:t>
      </w:r>
      <w:r>
        <w:t>principle</w:t>
      </w:r>
      <w:r>
        <w:rPr>
          <w:spacing w:val="-19"/>
        </w:rPr>
        <w:t xml:space="preserve"> </w:t>
      </w:r>
      <w:r>
        <w:rPr>
          <w:i/>
        </w:rPr>
        <w:t>at</w:t>
      </w:r>
      <w:r>
        <w:rPr>
          <w:i/>
          <w:spacing w:val="-10"/>
        </w:rPr>
        <w:t xml:space="preserve"> </w:t>
      </w:r>
      <w:r>
        <w:rPr>
          <w:i/>
        </w:rPr>
        <w:t>all</w:t>
      </w:r>
      <w:r>
        <w:rPr>
          <w:i/>
          <w:spacing w:val="-19"/>
        </w:rPr>
        <w:t xml:space="preserve"> </w:t>
      </w:r>
      <w:r>
        <w:t>on</w:t>
      </w:r>
      <w:r>
        <w:rPr>
          <w:spacing w:val="-9"/>
        </w:rPr>
        <w:t xml:space="preserve"> </w:t>
      </w:r>
      <w:r>
        <w:t>the</w:t>
      </w:r>
      <w:r>
        <w:rPr>
          <w:spacing w:val="-9"/>
        </w:rPr>
        <w:t xml:space="preserve"> </w:t>
      </w:r>
      <w:r>
        <w:t>basis</w:t>
      </w:r>
      <w:r>
        <w:rPr>
          <w:spacing w:val="-9"/>
        </w:rPr>
        <w:t xml:space="preserve"> </w:t>
      </w:r>
      <w:r>
        <w:t>of</w:t>
      </w:r>
      <w:r>
        <w:rPr>
          <w:spacing w:val="-10"/>
        </w:rPr>
        <w:t xml:space="preserve"> </w:t>
      </w:r>
      <w:r>
        <w:t>which</w:t>
      </w:r>
      <w:r>
        <w:rPr>
          <w:spacing w:val="-9"/>
        </w:rPr>
        <w:t xml:space="preserve"> </w:t>
      </w:r>
      <w:r>
        <w:t>we decide which perceptions to keep on.</w:t>
      </w:r>
    </w:p>
    <w:p w14:paraId="7E001AA0" w14:textId="77777777" w:rsidR="009A58DB" w:rsidRDefault="00000000">
      <w:pPr>
        <w:pStyle w:val="BodyText"/>
        <w:spacing w:before="8" w:line="249" w:lineRule="auto"/>
        <w:ind w:right="358" w:firstLine="360"/>
      </w:pPr>
      <w:r>
        <w:t>So,</w:t>
      </w:r>
      <w:r>
        <w:rPr>
          <w:spacing w:val="-19"/>
        </w:rPr>
        <w:t xml:space="preserve"> </w:t>
      </w:r>
      <w:r>
        <w:t>given</w:t>
      </w:r>
      <w:r>
        <w:rPr>
          <w:spacing w:val="-16"/>
        </w:rPr>
        <w:t xml:space="preserve"> </w:t>
      </w:r>
      <w:r>
        <w:t>that</w:t>
      </w:r>
      <w:r>
        <w:rPr>
          <w:spacing w:val="-13"/>
        </w:rPr>
        <w:t xml:space="preserve"> </w:t>
      </w:r>
      <w:r>
        <w:t>we’re</w:t>
      </w:r>
      <w:r>
        <w:rPr>
          <w:spacing w:val="-13"/>
        </w:rPr>
        <w:t xml:space="preserve"> </w:t>
      </w:r>
      <w:r>
        <w:t>following</w:t>
      </w:r>
      <w:r>
        <w:rPr>
          <w:spacing w:val="-13"/>
        </w:rPr>
        <w:t xml:space="preserve"> </w:t>
      </w:r>
      <w:r>
        <w:t>Path</w:t>
      </w:r>
      <w:r>
        <w:rPr>
          <w:spacing w:val="-13"/>
        </w:rPr>
        <w:t xml:space="preserve"> </w:t>
      </w:r>
      <w:r>
        <w:t>#1,</w:t>
      </w:r>
      <w:r>
        <w:rPr>
          <w:spacing w:val="-13"/>
        </w:rPr>
        <w:t xml:space="preserve"> </w:t>
      </w:r>
      <w:r>
        <w:t>we</w:t>
      </w:r>
      <w:r>
        <w:rPr>
          <w:spacing w:val="-13"/>
        </w:rPr>
        <w:t xml:space="preserve"> </w:t>
      </w:r>
      <w:r>
        <w:t>must</w:t>
      </w:r>
      <w:r>
        <w:rPr>
          <w:spacing w:val="-19"/>
        </w:rPr>
        <w:t xml:space="preserve"> </w:t>
      </w:r>
      <w:r>
        <w:rPr>
          <w:i/>
        </w:rPr>
        <w:t>arbitrarily</w:t>
      </w:r>
      <w:r>
        <w:rPr>
          <w:i/>
          <w:spacing w:val="-19"/>
        </w:rPr>
        <w:t xml:space="preserve"> </w:t>
      </w:r>
      <w:r>
        <w:t>choose</w:t>
      </w:r>
      <w:r>
        <w:rPr>
          <w:spacing w:val="-12"/>
        </w:rPr>
        <w:t xml:space="preserve"> </w:t>
      </w:r>
      <w:r>
        <w:t>to</w:t>
      </w:r>
      <w:r>
        <w:rPr>
          <w:spacing w:val="-13"/>
        </w:rPr>
        <w:t xml:space="preserve"> </w:t>
      </w:r>
      <w:r>
        <w:t>throw out</w:t>
      </w:r>
      <w:r>
        <w:rPr>
          <w:spacing w:val="-13"/>
        </w:rPr>
        <w:t xml:space="preserve"> </w:t>
      </w:r>
      <w:r>
        <w:t>certain</w:t>
      </w:r>
      <w:r>
        <w:rPr>
          <w:spacing w:val="-13"/>
        </w:rPr>
        <w:t xml:space="preserve"> </w:t>
      </w:r>
      <w:r>
        <w:t>perceptions</w:t>
      </w:r>
      <w:r>
        <w:rPr>
          <w:spacing w:val="-13"/>
        </w:rPr>
        <w:t xml:space="preserve"> </w:t>
      </w:r>
      <w:r>
        <w:t>while</w:t>
      </w:r>
      <w:r>
        <w:rPr>
          <w:spacing w:val="-13"/>
        </w:rPr>
        <w:t xml:space="preserve"> </w:t>
      </w:r>
      <w:r>
        <w:t>keeping</w:t>
      </w:r>
      <w:r>
        <w:rPr>
          <w:spacing w:val="-13"/>
        </w:rPr>
        <w:t xml:space="preserve"> </w:t>
      </w:r>
      <w:r>
        <w:t>others.</w:t>
      </w:r>
      <w:r>
        <w:rPr>
          <w:spacing w:val="-18"/>
        </w:rPr>
        <w:t xml:space="preserve"> </w:t>
      </w:r>
      <w:r>
        <w:t>This</w:t>
      </w:r>
      <w:r>
        <w:rPr>
          <w:spacing w:val="-13"/>
        </w:rPr>
        <w:t xml:space="preserve"> </w:t>
      </w:r>
      <w:r>
        <w:t>means</w:t>
      </w:r>
      <w:r>
        <w:rPr>
          <w:spacing w:val="-13"/>
        </w:rPr>
        <w:t xml:space="preserve"> </w:t>
      </w:r>
      <w:r>
        <w:t>that,</w:t>
      </w:r>
      <w:r>
        <w:rPr>
          <w:spacing w:val="-13"/>
        </w:rPr>
        <w:t xml:space="preserve"> </w:t>
      </w:r>
      <w:r>
        <w:t>even</w:t>
      </w:r>
      <w:r>
        <w:rPr>
          <w:spacing w:val="-13"/>
        </w:rPr>
        <w:t xml:space="preserve"> </w:t>
      </w:r>
      <w:r>
        <w:t>if</w:t>
      </w:r>
      <w:r>
        <w:rPr>
          <w:spacing w:val="-13"/>
        </w:rPr>
        <w:t xml:space="preserve"> </w:t>
      </w:r>
      <w:r>
        <w:t>we</w:t>
      </w:r>
      <w:r>
        <w:rPr>
          <w:spacing w:val="-13"/>
        </w:rPr>
        <w:t xml:space="preserve"> </w:t>
      </w:r>
      <w:r>
        <w:t>made the right choices, we wouldn’t know it, since those choices weren’t justified. Which</w:t>
      </w:r>
      <w:r>
        <w:rPr>
          <w:spacing w:val="-11"/>
        </w:rPr>
        <w:t xml:space="preserve"> </w:t>
      </w:r>
      <w:r>
        <w:t>in</w:t>
      </w:r>
      <w:r>
        <w:rPr>
          <w:spacing w:val="-11"/>
        </w:rPr>
        <w:t xml:space="preserve"> </w:t>
      </w:r>
      <w:r>
        <w:t>turn</w:t>
      </w:r>
      <w:r>
        <w:rPr>
          <w:spacing w:val="-11"/>
        </w:rPr>
        <w:t xml:space="preserve"> </w:t>
      </w:r>
      <w:r>
        <w:t>means</w:t>
      </w:r>
      <w:r>
        <w:rPr>
          <w:spacing w:val="-11"/>
        </w:rPr>
        <w:t xml:space="preserve"> </w:t>
      </w:r>
      <w:r>
        <w:t>that</w:t>
      </w:r>
      <w:r>
        <w:rPr>
          <w:spacing w:val="-11"/>
        </w:rPr>
        <w:t xml:space="preserve"> </w:t>
      </w:r>
      <w:r>
        <w:t>nothing</w:t>
      </w:r>
      <w:r>
        <w:rPr>
          <w:spacing w:val="-11"/>
        </w:rPr>
        <w:t xml:space="preserve"> </w:t>
      </w:r>
      <w:r>
        <w:t>we</w:t>
      </w:r>
      <w:r>
        <w:rPr>
          <w:spacing w:val="-11"/>
        </w:rPr>
        <w:t xml:space="preserve"> </w:t>
      </w:r>
      <w:r>
        <w:t>believed</w:t>
      </w:r>
      <w:r>
        <w:rPr>
          <w:spacing w:val="-11"/>
        </w:rPr>
        <w:t xml:space="preserve"> </w:t>
      </w:r>
      <w:r>
        <w:t>on</w:t>
      </w:r>
      <w:r>
        <w:rPr>
          <w:spacing w:val="-11"/>
        </w:rPr>
        <w:t xml:space="preserve"> </w:t>
      </w:r>
      <w:r>
        <w:t>the</w:t>
      </w:r>
      <w:r>
        <w:rPr>
          <w:spacing w:val="-11"/>
        </w:rPr>
        <w:t xml:space="preserve"> </w:t>
      </w:r>
      <w:r>
        <w:t>basis</w:t>
      </w:r>
      <w:r>
        <w:rPr>
          <w:spacing w:val="-11"/>
        </w:rPr>
        <w:t xml:space="preserve"> </w:t>
      </w:r>
      <w:r>
        <w:t>of</w:t>
      </w:r>
      <w:r>
        <w:rPr>
          <w:spacing w:val="-11"/>
        </w:rPr>
        <w:t xml:space="preserve"> </w:t>
      </w:r>
      <w:r>
        <w:t xml:space="preserve">sense-perception </w:t>
      </w:r>
      <w:r>
        <w:rPr>
          <w:spacing w:val="-2"/>
        </w:rPr>
        <w:t>would</w:t>
      </w:r>
      <w:r>
        <w:rPr>
          <w:spacing w:val="-17"/>
        </w:rPr>
        <w:t xml:space="preserve"> </w:t>
      </w:r>
      <w:r>
        <w:rPr>
          <w:spacing w:val="-2"/>
        </w:rPr>
        <w:t>be</w:t>
      </w:r>
      <w:r>
        <w:rPr>
          <w:spacing w:val="-17"/>
        </w:rPr>
        <w:t xml:space="preserve"> </w:t>
      </w:r>
      <w:r>
        <w:rPr>
          <w:spacing w:val="-2"/>
        </w:rPr>
        <w:t>justified.</w:t>
      </w:r>
      <w:r>
        <w:rPr>
          <w:spacing w:val="-17"/>
        </w:rPr>
        <w:t xml:space="preserve"> </w:t>
      </w:r>
      <w:r>
        <w:rPr>
          <w:spacing w:val="-2"/>
        </w:rPr>
        <w:t>Which,</w:t>
      </w:r>
      <w:r>
        <w:rPr>
          <w:spacing w:val="-16"/>
        </w:rPr>
        <w:t xml:space="preserve"> </w:t>
      </w:r>
      <w:r>
        <w:rPr>
          <w:spacing w:val="-2"/>
        </w:rPr>
        <w:t>in</w:t>
      </w:r>
      <w:r>
        <w:rPr>
          <w:spacing w:val="-17"/>
        </w:rPr>
        <w:t xml:space="preserve"> </w:t>
      </w:r>
      <w:r>
        <w:rPr>
          <w:i/>
          <w:spacing w:val="-2"/>
        </w:rPr>
        <w:t>its</w:t>
      </w:r>
      <w:r>
        <w:rPr>
          <w:i/>
          <w:spacing w:val="-17"/>
        </w:rPr>
        <w:t xml:space="preserve"> </w:t>
      </w:r>
      <w:r>
        <w:rPr>
          <w:spacing w:val="-2"/>
        </w:rPr>
        <w:t>turn,</w:t>
      </w:r>
      <w:r>
        <w:rPr>
          <w:spacing w:val="-17"/>
        </w:rPr>
        <w:t xml:space="preserve"> </w:t>
      </w:r>
      <w:r>
        <w:rPr>
          <w:spacing w:val="-2"/>
        </w:rPr>
        <w:t>means</w:t>
      </w:r>
      <w:r>
        <w:rPr>
          <w:spacing w:val="-16"/>
        </w:rPr>
        <w:t xml:space="preserve"> </w:t>
      </w:r>
      <w:r>
        <w:rPr>
          <w:spacing w:val="-2"/>
        </w:rPr>
        <w:t>that</w:t>
      </w:r>
      <w:r>
        <w:rPr>
          <w:spacing w:val="-17"/>
        </w:rPr>
        <w:t xml:space="preserve"> </w:t>
      </w:r>
      <w:r>
        <w:rPr>
          <w:spacing w:val="-2"/>
        </w:rPr>
        <w:t>we</w:t>
      </w:r>
      <w:r>
        <w:rPr>
          <w:spacing w:val="-17"/>
        </w:rPr>
        <w:t xml:space="preserve"> </w:t>
      </w:r>
      <w:r>
        <w:rPr>
          <w:spacing w:val="-2"/>
        </w:rPr>
        <w:t>wouldn’t</w:t>
      </w:r>
      <w:r>
        <w:rPr>
          <w:spacing w:val="-17"/>
        </w:rPr>
        <w:t xml:space="preserve"> </w:t>
      </w:r>
      <w:r>
        <w:rPr>
          <w:spacing w:val="-2"/>
        </w:rPr>
        <w:t>know</w:t>
      </w:r>
      <w:r>
        <w:rPr>
          <w:spacing w:val="-16"/>
        </w:rPr>
        <w:t xml:space="preserve"> </w:t>
      </w:r>
      <w:r>
        <w:rPr>
          <w:i/>
          <w:spacing w:val="-2"/>
        </w:rPr>
        <w:t>anything</w:t>
      </w:r>
      <w:r>
        <w:rPr>
          <w:i/>
          <w:spacing w:val="-17"/>
        </w:rPr>
        <w:t xml:space="preserve"> </w:t>
      </w:r>
      <w:r>
        <w:rPr>
          <w:spacing w:val="-2"/>
        </w:rPr>
        <w:t xml:space="preserve">on </w:t>
      </w:r>
      <w:r>
        <w:t>the basis of observation.</w:t>
      </w:r>
    </w:p>
    <w:p w14:paraId="7E001AA1" w14:textId="77777777" w:rsidR="009A58DB" w:rsidRDefault="00000000">
      <w:pPr>
        <w:pStyle w:val="BodyText"/>
        <w:spacing w:before="7"/>
        <w:ind w:left="720"/>
        <w:rPr>
          <w:position w:val="21"/>
        </w:rPr>
      </w:pPr>
      <w:r>
        <w:rPr>
          <w:spacing w:val="-4"/>
        </w:rPr>
        <w:t>(And,</w:t>
      </w:r>
      <w:r>
        <w:rPr>
          <w:spacing w:val="-8"/>
        </w:rPr>
        <w:t xml:space="preserve"> </w:t>
      </w:r>
      <w:r>
        <w:rPr>
          <w:spacing w:val="-4"/>
        </w:rPr>
        <w:t>since,</w:t>
      </w:r>
      <w:r>
        <w:rPr>
          <w:spacing w:val="-8"/>
        </w:rPr>
        <w:t xml:space="preserve"> </w:t>
      </w:r>
      <w:r>
        <w:rPr>
          <w:spacing w:val="-4"/>
        </w:rPr>
        <w:t>by</w:t>
      </w:r>
      <w:r>
        <w:rPr>
          <w:spacing w:val="-7"/>
        </w:rPr>
        <w:t xml:space="preserve"> </w:t>
      </w:r>
      <w:r>
        <w:rPr>
          <w:spacing w:val="-4"/>
        </w:rPr>
        <w:t>assumption,</w:t>
      </w:r>
      <w:r>
        <w:rPr>
          <w:spacing w:val="-8"/>
        </w:rPr>
        <w:t xml:space="preserve"> </w:t>
      </w:r>
      <w:r>
        <w:rPr>
          <w:spacing w:val="-4"/>
        </w:rPr>
        <w:t>we’re</w:t>
      </w:r>
      <w:r>
        <w:rPr>
          <w:spacing w:val="-8"/>
        </w:rPr>
        <w:t xml:space="preserve"> </w:t>
      </w:r>
      <w:r>
        <w:rPr>
          <w:spacing w:val="-4"/>
        </w:rPr>
        <w:t>skeptics,</w:t>
      </w:r>
      <w:r>
        <w:rPr>
          <w:spacing w:val="-7"/>
        </w:rPr>
        <w:t xml:space="preserve"> </w:t>
      </w:r>
      <w:r>
        <w:rPr>
          <w:spacing w:val="-4"/>
        </w:rPr>
        <w:t>we</w:t>
      </w:r>
      <w:r>
        <w:rPr>
          <w:spacing w:val="-8"/>
        </w:rPr>
        <w:t xml:space="preserve"> </w:t>
      </w:r>
      <w:r>
        <w:rPr>
          <w:spacing w:val="-4"/>
        </w:rPr>
        <w:t>can’t</w:t>
      </w:r>
      <w:r>
        <w:rPr>
          <w:spacing w:val="-9"/>
        </w:rPr>
        <w:t xml:space="preserve"> </w:t>
      </w:r>
      <w:r>
        <w:rPr>
          <w:spacing w:val="-4"/>
        </w:rPr>
        <w:t>say</w:t>
      </w:r>
      <w:r>
        <w:rPr>
          <w:spacing w:val="-7"/>
        </w:rPr>
        <w:t xml:space="preserve"> </w:t>
      </w:r>
      <w:r>
        <w:rPr>
          <w:spacing w:val="-4"/>
        </w:rPr>
        <w:t>this.</w:t>
      </w:r>
      <w:bookmarkStart w:id="351" w:name="_bookmark351"/>
      <w:bookmarkEnd w:id="351"/>
      <w:r>
        <w:rPr>
          <w:spacing w:val="-4"/>
        </w:rPr>
        <w:t>)</w:t>
      </w:r>
      <w:r>
        <w:rPr>
          <w:color w:val="0562C1"/>
          <w:spacing w:val="-4"/>
          <w:position w:val="21"/>
          <w:u w:val="single" w:color="0562C1"/>
        </w:rPr>
        <w:t>[243]</w:t>
      </w:r>
    </w:p>
    <w:p w14:paraId="7E001AA2" w14:textId="77777777" w:rsidR="009A58DB" w:rsidRDefault="00000000">
      <w:pPr>
        <w:pStyle w:val="BodyText"/>
        <w:spacing w:before="15"/>
        <w:ind w:left="720"/>
      </w:pPr>
      <w:r>
        <w:t>Plus,</w:t>
      </w:r>
      <w:r>
        <w:rPr>
          <w:spacing w:val="-18"/>
        </w:rPr>
        <w:t xml:space="preserve"> </w:t>
      </w:r>
      <w:r>
        <w:t>that</w:t>
      </w:r>
      <w:r>
        <w:rPr>
          <w:spacing w:val="-18"/>
        </w:rPr>
        <w:t xml:space="preserve"> </w:t>
      </w:r>
      <w:r>
        <w:t>procedure,</w:t>
      </w:r>
      <w:r>
        <w:rPr>
          <w:spacing w:val="-17"/>
        </w:rPr>
        <w:t xml:space="preserve"> </w:t>
      </w:r>
      <w:r>
        <w:t>if</w:t>
      </w:r>
      <w:r>
        <w:rPr>
          <w:spacing w:val="-18"/>
        </w:rPr>
        <w:t xml:space="preserve"> </w:t>
      </w:r>
      <w:r>
        <w:t>adopted,</w:t>
      </w:r>
      <w:r>
        <w:rPr>
          <w:spacing w:val="-18"/>
        </w:rPr>
        <w:t xml:space="preserve"> </w:t>
      </w:r>
      <w:r>
        <w:t>would</w:t>
      </w:r>
      <w:r>
        <w:rPr>
          <w:spacing w:val="-17"/>
        </w:rPr>
        <w:t xml:space="preserve"> </w:t>
      </w:r>
      <w:r>
        <w:t>have</w:t>
      </w:r>
      <w:r>
        <w:rPr>
          <w:spacing w:val="-16"/>
        </w:rPr>
        <w:t xml:space="preserve"> </w:t>
      </w:r>
      <w:r>
        <w:t>the</w:t>
      </w:r>
      <w:r>
        <w:rPr>
          <w:spacing w:val="-17"/>
        </w:rPr>
        <w:t xml:space="preserve"> </w:t>
      </w:r>
      <w:r>
        <w:t>consequence</w:t>
      </w:r>
      <w:r>
        <w:rPr>
          <w:spacing w:val="-17"/>
        </w:rPr>
        <w:t xml:space="preserve"> </w:t>
      </w:r>
      <w:r>
        <w:t>that</w:t>
      </w:r>
      <w:r>
        <w:rPr>
          <w:spacing w:val="-18"/>
        </w:rPr>
        <w:t xml:space="preserve"> </w:t>
      </w:r>
      <w:r>
        <w:t>our</w:t>
      </w:r>
      <w:r>
        <w:rPr>
          <w:spacing w:val="-17"/>
        </w:rPr>
        <w:t xml:space="preserve"> </w:t>
      </w:r>
      <w:r>
        <w:rPr>
          <w:spacing w:val="-2"/>
        </w:rPr>
        <w:t>senses</w:t>
      </w:r>
    </w:p>
    <w:p w14:paraId="7E001AA3" w14:textId="77777777" w:rsidR="009A58DB" w:rsidRDefault="009A58DB">
      <w:pPr>
        <w:pStyle w:val="BodyText"/>
        <w:sectPr w:rsidR="009A58DB">
          <w:pgSz w:w="12240" w:h="15840"/>
          <w:pgMar w:top="1380" w:right="1080" w:bottom="280" w:left="1080" w:header="720" w:footer="720" w:gutter="0"/>
          <w:cols w:space="720"/>
        </w:sectPr>
      </w:pPr>
    </w:p>
    <w:p w14:paraId="7E001AA4" w14:textId="77777777" w:rsidR="009A58DB" w:rsidRDefault="00000000">
      <w:pPr>
        <w:pStyle w:val="BodyText"/>
        <w:spacing w:before="65" w:line="249" w:lineRule="auto"/>
        <w:ind w:right="357"/>
      </w:pPr>
      <w:r>
        <w:lastRenderedPageBreak/>
        <w:t>tell us little, if anything, about the external world</w:t>
      </w:r>
      <w:bookmarkStart w:id="352" w:name="_bookmark352"/>
      <w:bookmarkEnd w:id="352"/>
      <w:r>
        <w:t>.</w:t>
      </w:r>
      <w:r>
        <w:rPr>
          <w:color w:val="0562C1"/>
          <w:position w:val="21"/>
          <w:u w:val="single" w:color="0562C1"/>
        </w:rPr>
        <w:t>[244]</w:t>
      </w:r>
      <w:r>
        <w:rPr>
          <w:color w:val="0562C1"/>
          <w:position w:val="21"/>
        </w:rPr>
        <w:t xml:space="preserve"> </w:t>
      </w:r>
      <w:r>
        <w:t>Since any given perception</w:t>
      </w:r>
      <w:r>
        <w:rPr>
          <w:spacing w:val="-19"/>
        </w:rPr>
        <w:t xml:space="preserve"> </w:t>
      </w:r>
      <w:r>
        <w:t>is</w:t>
      </w:r>
      <w:r>
        <w:rPr>
          <w:spacing w:val="-19"/>
        </w:rPr>
        <w:t xml:space="preserve"> </w:t>
      </w:r>
      <w:r>
        <w:t>discrepant</w:t>
      </w:r>
      <w:r>
        <w:rPr>
          <w:spacing w:val="-19"/>
        </w:rPr>
        <w:t xml:space="preserve"> </w:t>
      </w:r>
      <w:r>
        <w:t>with</w:t>
      </w:r>
      <w:r>
        <w:rPr>
          <w:spacing w:val="-18"/>
        </w:rPr>
        <w:t xml:space="preserve"> </w:t>
      </w:r>
      <w:r>
        <w:t>many</w:t>
      </w:r>
      <w:r>
        <w:rPr>
          <w:spacing w:val="-19"/>
        </w:rPr>
        <w:t xml:space="preserve"> </w:t>
      </w:r>
      <w:r>
        <w:t>others,</w:t>
      </w:r>
      <w:r>
        <w:rPr>
          <w:spacing w:val="-19"/>
        </w:rPr>
        <w:t xml:space="preserve"> </w:t>
      </w:r>
      <w:r>
        <w:t>many</w:t>
      </w:r>
      <w:r>
        <w:rPr>
          <w:spacing w:val="-19"/>
        </w:rPr>
        <w:t xml:space="preserve"> </w:t>
      </w:r>
      <w:r>
        <w:t>of</w:t>
      </w:r>
      <w:r>
        <w:rPr>
          <w:spacing w:val="-18"/>
        </w:rPr>
        <w:t xml:space="preserve"> </w:t>
      </w:r>
      <w:r>
        <w:t>our</w:t>
      </w:r>
      <w:r>
        <w:rPr>
          <w:spacing w:val="-19"/>
        </w:rPr>
        <w:t xml:space="preserve"> </w:t>
      </w:r>
      <w:r>
        <w:t>perceptions,</w:t>
      </w:r>
      <w:r>
        <w:rPr>
          <w:spacing w:val="-19"/>
        </w:rPr>
        <w:t xml:space="preserve"> </w:t>
      </w:r>
      <w:r>
        <w:t>perhaps</w:t>
      </w:r>
      <w:r>
        <w:rPr>
          <w:spacing w:val="-19"/>
        </w:rPr>
        <w:t xml:space="preserve"> </w:t>
      </w:r>
      <w:r>
        <w:t>all of them, would get the axe.</w:t>
      </w:r>
    </w:p>
    <w:p w14:paraId="7E001AA5" w14:textId="77777777" w:rsidR="009A58DB" w:rsidRDefault="00000000">
      <w:pPr>
        <w:pStyle w:val="BodyText"/>
        <w:spacing w:before="3" w:line="249" w:lineRule="auto"/>
        <w:ind w:right="364" w:firstLine="360"/>
      </w:pPr>
      <w:r>
        <w:t>Thus,</w:t>
      </w:r>
      <w:r>
        <w:rPr>
          <w:spacing w:val="-19"/>
        </w:rPr>
        <w:t xml:space="preserve"> </w:t>
      </w:r>
      <w:r>
        <w:t>Path</w:t>
      </w:r>
      <w:r>
        <w:rPr>
          <w:spacing w:val="-19"/>
        </w:rPr>
        <w:t xml:space="preserve"> </w:t>
      </w:r>
      <w:r>
        <w:t>#1</w:t>
      </w:r>
      <w:r>
        <w:rPr>
          <w:spacing w:val="-19"/>
        </w:rPr>
        <w:t xml:space="preserve"> </w:t>
      </w:r>
      <w:r>
        <w:t>isn’t</w:t>
      </w:r>
      <w:r>
        <w:rPr>
          <w:spacing w:val="-18"/>
        </w:rPr>
        <w:t xml:space="preserve"> </w:t>
      </w:r>
      <w:r>
        <w:t>viable.</w:t>
      </w:r>
      <w:r>
        <w:rPr>
          <w:spacing w:val="-19"/>
        </w:rPr>
        <w:t xml:space="preserve"> </w:t>
      </w:r>
      <w:r>
        <w:t>So</w:t>
      </w:r>
      <w:r>
        <w:rPr>
          <w:spacing w:val="-19"/>
        </w:rPr>
        <w:t xml:space="preserve"> </w:t>
      </w:r>
      <w:r>
        <w:t>we</w:t>
      </w:r>
      <w:r>
        <w:rPr>
          <w:spacing w:val="-19"/>
        </w:rPr>
        <w:t xml:space="preserve"> </w:t>
      </w:r>
      <w:r>
        <w:t>must</w:t>
      </w:r>
      <w:r>
        <w:rPr>
          <w:spacing w:val="-18"/>
        </w:rPr>
        <w:t xml:space="preserve"> </w:t>
      </w:r>
      <w:r>
        <w:t>take</w:t>
      </w:r>
      <w:r>
        <w:rPr>
          <w:spacing w:val="-19"/>
        </w:rPr>
        <w:t xml:space="preserve"> </w:t>
      </w:r>
      <w:r>
        <w:t>Path</w:t>
      </w:r>
      <w:r>
        <w:rPr>
          <w:spacing w:val="-19"/>
        </w:rPr>
        <w:t xml:space="preserve"> </w:t>
      </w:r>
      <w:r>
        <w:t>#2.</w:t>
      </w:r>
      <w:r>
        <w:rPr>
          <w:spacing w:val="-19"/>
        </w:rPr>
        <w:t xml:space="preserve"> </w:t>
      </w:r>
      <w:r>
        <w:t>In</w:t>
      </w:r>
      <w:r>
        <w:rPr>
          <w:spacing w:val="-18"/>
        </w:rPr>
        <w:t xml:space="preserve"> </w:t>
      </w:r>
      <w:r>
        <w:t>other</w:t>
      </w:r>
      <w:r>
        <w:rPr>
          <w:spacing w:val="-19"/>
        </w:rPr>
        <w:t xml:space="preserve"> </w:t>
      </w:r>
      <w:r>
        <w:t>words,</w:t>
      </w:r>
      <w:r>
        <w:rPr>
          <w:spacing w:val="-19"/>
        </w:rPr>
        <w:t xml:space="preserve"> </w:t>
      </w:r>
      <w:r>
        <w:t>we</w:t>
      </w:r>
      <w:r>
        <w:rPr>
          <w:spacing w:val="-19"/>
        </w:rPr>
        <w:t xml:space="preserve"> </w:t>
      </w:r>
      <w:r>
        <w:t xml:space="preserve">must say that (setting aside patently deviate (mis)perceptions), our perceptions are </w:t>
      </w:r>
      <w:r>
        <w:rPr>
          <w:spacing w:val="-2"/>
        </w:rPr>
        <w:t>correct.</w:t>
      </w:r>
    </w:p>
    <w:p w14:paraId="7E001AA6" w14:textId="77777777" w:rsidR="009A58DB" w:rsidRDefault="00000000">
      <w:pPr>
        <w:pStyle w:val="BodyText"/>
        <w:spacing w:before="4" w:line="249" w:lineRule="auto"/>
        <w:ind w:right="359" w:firstLine="360"/>
      </w:pPr>
      <w:r>
        <w:rPr>
          <w:i/>
        </w:rPr>
        <w:t>Path 2 Evaluated:</w:t>
      </w:r>
      <w:r>
        <w:rPr>
          <w:i/>
          <w:spacing w:val="-17"/>
        </w:rPr>
        <w:t xml:space="preserve"> </w:t>
      </w:r>
      <w:r>
        <w:t>Assuming Path #2 the right one, we are stuck with a serious problem. When I look at it from one angle, the table appears square-shaped.</w:t>
      </w:r>
      <w:r>
        <w:rPr>
          <w:spacing w:val="8"/>
        </w:rPr>
        <w:t xml:space="preserve"> </w:t>
      </w:r>
      <w:r>
        <w:t>(Let</w:t>
      </w:r>
      <w:r>
        <w:rPr>
          <w:spacing w:val="8"/>
        </w:rPr>
        <w:t xml:space="preserve"> </w:t>
      </w:r>
      <w:r>
        <w:t>P</w:t>
      </w:r>
      <w:r>
        <w:rPr>
          <w:vertAlign w:val="subscript"/>
        </w:rPr>
        <w:t>1</w:t>
      </w:r>
      <w:r>
        <w:rPr>
          <w:spacing w:val="15"/>
        </w:rPr>
        <w:t xml:space="preserve"> </w:t>
      </w:r>
      <w:r>
        <w:t>be</w:t>
      </w:r>
      <w:r>
        <w:rPr>
          <w:spacing w:val="11"/>
        </w:rPr>
        <w:t xml:space="preserve"> </w:t>
      </w:r>
      <w:r>
        <w:t>this</w:t>
      </w:r>
      <w:r>
        <w:rPr>
          <w:spacing w:val="11"/>
        </w:rPr>
        <w:t xml:space="preserve"> </w:t>
      </w:r>
      <w:r>
        <w:t>perception.)</w:t>
      </w:r>
      <w:r>
        <w:rPr>
          <w:spacing w:val="7"/>
        </w:rPr>
        <w:t xml:space="preserve"> </w:t>
      </w:r>
      <w:r>
        <w:t>When</w:t>
      </w:r>
      <w:r>
        <w:rPr>
          <w:spacing w:val="11"/>
        </w:rPr>
        <w:t xml:space="preserve"> </w:t>
      </w:r>
      <w:r>
        <w:t>I</w:t>
      </w:r>
      <w:r>
        <w:rPr>
          <w:spacing w:val="11"/>
        </w:rPr>
        <w:t xml:space="preserve"> </w:t>
      </w:r>
      <w:r>
        <w:t>look</w:t>
      </w:r>
      <w:r>
        <w:rPr>
          <w:spacing w:val="11"/>
        </w:rPr>
        <w:t xml:space="preserve"> </w:t>
      </w:r>
      <w:r>
        <w:t>at</w:t>
      </w:r>
      <w:r>
        <w:rPr>
          <w:spacing w:val="12"/>
        </w:rPr>
        <w:t xml:space="preserve"> </w:t>
      </w:r>
      <w:r>
        <w:t>it</w:t>
      </w:r>
      <w:r>
        <w:rPr>
          <w:spacing w:val="11"/>
        </w:rPr>
        <w:t xml:space="preserve"> </w:t>
      </w:r>
      <w:r>
        <w:t>from</w:t>
      </w:r>
      <w:r>
        <w:rPr>
          <w:spacing w:val="11"/>
        </w:rPr>
        <w:t xml:space="preserve"> </w:t>
      </w:r>
      <w:r>
        <w:t>another</w:t>
      </w:r>
      <w:r>
        <w:rPr>
          <w:spacing w:val="11"/>
        </w:rPr>
        <w:t xml:space="preserve"> </w:t>
      </w:r>
      <w:r>
        <w:t>angle,</w:t>
      </w:r>
      <w:r>
        <w:rPr>
          <w:spacing w:val="11"/>
        </w:rPr>
        <w:t xml:space="preserve"> </w:t>
      </w:r>
      <w:r>
        <w:rPr>
          <w:spacing w:val="-5"/>
        </w:rPr>
        <w:t>the</w:t>
      </w:r>
    </w:p>
    <w:p w14:paraId="7E001AA7" w14:textId="77777777" w:rsidR="009A58DB" w:rsidRDefault="00000000">
      <w:pPr>
        <w:pStyle w:val="BodyText"/>
        <w:spacing w:before="64"/>
      </w:pPr>
      <w:r>
        <w:t>table</w:t>
      </w:r>
      <w:r>
        <w:rPr>
          <w:spacing w:val="24"/>
        </w:rPr>
        <w:t xml:space="preserve"> </w:t>
      </w:r>
      <w:r>
        <w:t>appears</w:t>
      </w:r>
      <w:r>
        <w:rPr>
          <w:spacing w:val="24"/>
        </w:rPr>
        <w:t xml:space="preserve"> </w:t>
      </w:r>
      <w:r>
        <w:t>diamond-shaped.</w:t>
      </w:r>
      <w:r>
        <w:rPr>
          <w:spacing w:val="24"/>
        </w:rPr>
        <w:t xml:space="preserve"> </w:t>
      </w:r>
      <w:r>
        <w:t>(Let</w:t>
      </w:r>
      <w:r>
        <w:rPr>
          <w:spacing w:val="23"/>
        </w:rPr>
        <w:t xml:space="preserve"> </w:t>
      </w:r>
      <w:r>
        <w:t>P</w:t>
      </w:r>
      <w:r>
        <w:rPr>
          <w:vertAlign w:val="subscript"/>
        </w:rPr>
        <w:t>2</w:t>
      </w:r>
      <w:r>
        <w:rPr>
          <w:spacing w:val="31"/>
        </w:rPr>
        <w:t xml:space="preserve"> </w:t>
      </w:r>
      <w:r>
        <w:t>be</w:t>
      </w:r>
      <w:r>
        <w:rPr>
          <w:spacing w:val="27"/>
        </w:rPr>
        <w:t xml:space="preserve"> </w:t>
      </w:r>
      <w:r>
        <w:t>this</w:t>
      </w:r>
      <w:r>
        <w:rPr>
          <w:spacing w:val="26"/>
        </w:rPr>
        <w:t xml:space="preserve"> </w:t>
      </w:r>
      <w:r>
        <w:t>perception.)</w:t>
      </w:r>
      <w:r>
        <w:rPr>
          <w:spacing w:val="27"/>
        </w:rPr>
        <w:t xml:space="preserve"> </w:t>
      </w:r>
      <w:r>
        <w:t>P</w:t>
      </w:r>
      <w:r>
        <w:rPr>
          <w:vertAlign w:val="subscript"/>
        </w:rPr>
        <w:t>1</w:t>
      </w:r>
      <w:r>
        <w:rPr>
          <w:spacing w:val="27"/>
        </w:rPr>
        <w:t xml:space="preserve"> </w:t>
      </w:r>
      <w:r>
        <w:t>and</w:t>
      </w:r>
      <w:r>
        <w:rPr>
          <w:spacing w:val="24"/>
        </w:rPr>
        <w:t xml:space="preserve"> </w:t>
      </w:r>
      <w:r>
        <w:t>P</w:t>
      </w:r>
      <w:r>
        <w:rPr>
          <w:vertAlign w:val="subscript"/>
        </w:rPr>
        <w:t>2</w:t>
      </w:r>
      <w:r>
        <w:rPr>
          <w:spacing w:val="41"/>
        </w:rPr>
        <w:t xml:space="preserve"> </w:t>
      </w:r>
      <w:r>
        <w:rPr>
          <w:spacing w:val="-2"/>
        </w:rPr>
        <w:t>cannot</w:t>
      </w:r>
    </w:p>
    <w:p w14:paraId="7E001AA8" w14:textId="77777777" w:rsidR="009A58DB" w:rsidRDefault="00000000">
      <w:pPr>
        <w:pStyle w:val="BodyText"/>
        <w:spacing w:before="90" w:line="249" w:lineRule="auto"/>
        <w:ind w:right="360"/>
      </w:pPr>
      <w:r>
        <w:rPr>
          <w:spacing w:val="-2"/>
        </w:rPr>
        <w:t>both</w:t>
      </w:r>
      <w:r>
        <w:rPr>
          <w:spacing w:val="-19"/>
        </w:rPr>
        <w:t xml:space="preserve"> </w:t>
      </w:r>
      <w:r>
        <w:rPr>
          <w:spacing w:val="-2"/>
        </w:rPr>
        <w:t>be</w:t>
      </w:r>
      <w:r>
        <w:rPr>
          <w:spacing w:val="-17"/>
        </w:rPr>
        <w:t xml:space="preserve"> </w:t>
      </w:r>
      <w:r>
        <w:rPr>
          <w:spacing w:val="-2"/>
        </w:rPr>
        <w:t>accurate</w:t>
      </w:r>
      <w:r>
        <w:rPr>
          <w:spacing w:val="-17"/>
        </w:rPr>
        <w:t xml:space="preserve"> </w:t>
      </w:r>
      <w:r>
        <w:rPr>
          <w:i/>
          <w:spacing w:val="-2"/>
        </w:rPr>
        <w:t>if</w:t>
      </w:r>
      <w:r>
        <w:rPr>
          <w:i/>
          <w:spacing w:val="-16"/>
        </w:rPr>
        <w:t xml:space="preserve"> </w:t>
      </w:r>
      <w:r>
        <w:rPr>
          <w:spacing w:val="-2"/>
        </w:rPr>
        <w:t>they’re</w:t>
      </w:r>
      <w:r>
        <w:rPr>
          <w:spacing w:val="-17"/>
        </w:rPr>
        <w:t xml:space="preserve"> </w:t>
      </w:r>
      <w:r>
        <w:rPr>
          <w:spacing w:val="-2"/>
        </w:rPr>
        <w:t>both</w:t>
      </w:r>
      <w:r>
        <w:rPr>
          <w:spacing w:val="-17"/>
        </w:rPr>
        <w:t xml:space="preserve"> </w:t>
      </w:r>
      <w:r>
        <w:rPr>
          <w:spacing w:val="-2"/>
        </w:rPr>
        <w:t>taken</w:t>
      </w:r>
      <w:r>
        <w:rPr>
          <w:spacing w:val="-17"/>
        </w:rPr>
        <w:t xml:space="preserve"> </w:t>
      </w:r>
      <w:r>
        <w:rPr>
          <w:spacing w:val="-2"/>
        </w:rPr>
        <w:t>to</w:t>
      </w:r>
      <w:r>
        <w:rPr>
          <w:spacing w:val="-16"/>
        </w:rPr>
        <w:t xml:space="preserve"> </w:t>
      </w:r>
      <w:r>
        <w:rPr>
          <w:spacing w:val="-2"/>
        </w:rPr>
        <w:t>concern</w:t>
      </w:r>
      <w:r>
        <w:rPr>
          <w:spacing w:val="-17"/>
        </w:rPr>
        <w:t xml:space="preserve"> </w:t>
      </w:r>
      <w:r>
        <w:rPr>
          <w:spacing w:val="-2"/>
        </w:rPr>
        <w:t>some</w:t>
      </w:r>
      <w:r>
        <w:rPr>
          <w:spacing w:val="-17"/>
        </w:rPr>
        <w:t xml:space="preserve"> </w:t>
      </w:r>
      <w:r>
        <w:rPr>
          <w:spacing w:val="-2"/>
        </w:rPr>
        <w:t>trans-perceptual</w:t>
      </w:r>
      <w:r>
        <w:rPr>
          <w:spacing w:val="-17"/>
        </w:rPr>
        <w:t xml:space="preserve"> </w:t>
      </w:r>
      <w:r>
        <w:rPr>
          <w:spacing w:val="-2"/>
        </w:rPr>
        <w:t>object.</w:t>
      </w:r>
      <w:r>
        <w:rPr>
          <w:spacing w:val="-16"/>
        </w:rPr>
        <w:t xml:space="preserve"> </w:t>
      </w:r>
      <w:r>
        <w:rPr>
          <w:spacing w:val="-2"/>
        </w:rPr>
        <w:t xml:space="preserve">A </w:t>
      </w:r>
      <w:r>
        <w:t>given</w:t>
      </w:r>
      <w:r>
        <w:rPr>
          <w:spacing w:val="-6"/>
        </w:rPr>
        <w:t xml:space="preserve"> </w:t>
      </w:r>
      <w:r>
        <w:t>object</w:t>
      </w:r>
      <w:r>
        <w:rPr>
          <w:spacing w:val="-6"/>
        </w:rPr>
        <w:t xml:space="preserve"> </w:t>
      </w:r>
      <w:r>
        <w:t>cannot</w:t>
      </w:r>
      <w:r>
        <w:rPr>
          <w:spacing w:val="-6"/>
        </w:rPr>
        <w:t xml:space="preserve"> </w:t>
      </w:r>
      <w:r>
        <w:t>simultaneously</w:t>
      </w:r>
      <w:r>
        <w:rPr>
          <w:spacing w:val="-6"/>
        </w:rPr>
        <w:t xml:space="preserve"> </w:t>
      </w:r>
      <w:r>
        <w:t>be,</w:t>
      </w:r>
      <w:r>
        <w:rPr>
          <w:spacing w:val="-6"/>
        </w:rPr>
        <w:t xml:space="preserve"> </w:t>
      </w:r>
      <w:r>
        <w:t>and</w:t>
      </w:r>
      <w:r>
        <w:rPr>
          <w:spacing w:val="-6"/>
        </w:rPr>
        <w:t xml:space="preserve"> </w:t>
      </w:r>
      <w:r>
        <w:t>fail</w:t>
      </w:r>
      <w:r>
        <w:rPr>
          <w:spacing w:val="-6"/>
        </w:rPr>
        <w:t xml:space="preserve"> </w:t>
      </w:r>
      <w:r>
        <w:t>to</w:t>
      </w:r>
      <w:r>
        <w:rPr>
          <w:spacing w:val="-6"/>
        </w:rPr>
        <w:t xml:space="preserve"> </w:t>
      </w:r>
      <w:r>
        <w:t>be,</w:t>
      </w:r>
      <w:r>
        <w:rPr>
          <w:spacing w:val="-6"/>
        </w:rPr>
        <w:t xml:space="preserve"> </w:t>
      </w:r>
      <w:r>
        <w:t>equiangular.</w:t>
      </w:r>
      <w:r>
        <w:rPr>
          <w:spacing w:val="-6"/>
        </w:rPr>
        <w:t xml:space="preserve"> </w:t>
      </w:r>
      <w:r>
        <w:t>(Given</w:t>
      </w:r>
      <w:r>
        <w:rPr>
          <w:spacing w:val="-6"/>
        </w:rPr>
        <w:t xml:space="preserve"> </w:t>
      </w:r>
      <w:r>
        <w:t>any property</w:t>
      </w:r>
      <w:r>
        <w:rPr>
          <w:spacing w:val="-8"/>
        </w:rPr>
        <w:t xml:space="preserve"> </w:t>
      </w:r>
      <w:r>
        <w:t>F,</w:t>
      </w:r>
      <w:r>
        <w:rPr>
          <w:spacing w:val="-8"/>
        </w:rPr>
        <w:t xml:space="preserve"> </w:t>
      </w:r>
      <w:r>
        <w:t>nothing</w:t>
      </w:r>
      <w:r>
        <w:rPr>
          <w:spacing w:val="-8"/>
        </w:rPr>
        <w:t xml:space="preserve"> </w:t>
      </w:r>
      <w:r>
        <w:t>x</w:t>
      </w:r>
      <w:r>
        <w:rPr>
          <w:spacing w:val="-8"/>
        </w:rPr>
        <w:t xml:space="preserve"> </w:t>
      </w:r>
      <w:r>
        <w:t>can,</w:t>
      </w:r>
      <w:r>
        <w:rPr>
          <w:spacing w:val="-8"/>
        </w:rPr>
        <w:t xml:space="preserve"> </w:t>
      </w:r>
      <w:r>
        <w:t>at</w:t>
      </w:r>
      <w:r>
        <w:rPr>
          <w:spacing w:val="-9"/>
        </w:rPr>
        <w:t xml:space="preserve"> </w:t>
      </w:r>
      <w:r>
        <w:t>a</w:t>
      </w:r>
      <w:r>
        <w:rPr>
          <w:spacing w:val="-8"/>
        </w:rPr>
        <w:t xml:space="preserve"> </w:t>
      </w:r>
      <w:r>
        <w:t>given</w:t>
      </w:r>
      <w:r>
        <w:rPr>
          <w:spacing w:val="-8"/>
        </w:rPr>
        <w:t xml:space="preserve"> </w:t>
      </w:r>
      <w:r>
        <w:t>time,</w:t>
      </w:r>
      <w:r>
        <w:rPr>
          <w:spacing w:val="-8"/>
        </w:rPr>
        <w:t xml:space="preserve"> </w:t>
      </w:r>
      <w:r>
        <w:t>both</w:t>
      </w:r>
      <w:r>
        <w:rPr>
          <w:spacing w:val="-8"/>
        </w:rPr>
        <w:t xml:space="preserve"> </w:t>
      </w:r>
      <w:r>
        <w:t>have</w:t>
      </w:r>
      <w:r>
        <w:rPr>
          <w:spacing w:val="-8"/>
        </w:rPr>
        <w:t xml:space="preserve"> </w:t>
      </w:r>
      <w:r>
        <w:t>and</w:t>
      </w:r>
      <w:r>
        <w:rPr>
          <w:spacing w:val="-8"/>
        </w:rPr>
        <w:t xml:space="preserve"> </w:t>
      </w:r>
      <w:r>
        <w:t>not</w:t>
      </w:r>
      <w:r>
        <w:rPr>
          <w:spacing w:val="-9"/>
        </w:rPr>
        <w:t xml:space="preserve"> </w:t>
      </w:r>
      <w:r>
        <w:t>have</w:t>
      </w:r>
      <w:r>
        <w:rPr>
          <w:spacing w:val="-8"/>
        </w:rPr>
        <w:t xml:space="preserve"> </w:t>
      </w:r>
      <w:r>
        <w:t>x.)</w:t>
      </w:r>
      <w:r>
        <w:rPr>
          <w:spacing w:val="-9"/>
        </w:rPr>
        <w:t xml:space="preserve"> </w:t>
      </w:r>
      <w:r>
        <w:t>But</w:t>
      </w:r>
      <w:r>
        <w:rPr>
          <w:spacing w:val="-9"/>
        </w:rPr>
        <w:t xml:space="preserve"> </w:t>
      </w:r>
      <w:r>
        <w:t>even though,</w:t>
      </w:r>
      <w:r>
        <w:rPr>
          <w:spacing w:val="47"/>
        </w:rPr>
        <w:t xml:space="preserve"> </w:t>
      </w:r>
      <w:r>
        <w:t>when</w:t>
      </w:r>
      <w:r>
        <w:rPr>
          <w:spacing w:val="48"/>
        </w:rPr>
        <w:t xml:space="preserve"> </w:t>
      </w:r>
      <w:r>
        <w:t>taken</w:t>
      </w:r>
      <w:r>
        <w:rPr>
          <w:spacing w:val="47"/>
        </w:rPr>
        <w:t xml:space="preserve"> </w:t>
      </w:r>
      <w:r>
        <w:t>to</w:t>
      </w:r>
      <w:r>
        <w:rPr>
          <w:spacing w:val="48"/>
        </w:rPr>
        <w:t xml:space="preserve"> </w:t>
      </w:r>
      <w:r>
        <w:t>concern</w:t>
      </w:r>
      <w:r>
        <w:rPr>
          <w:spacing w:val="47"/>
        </w:rPr>
        <w:t xml:space="preserve"> </w:t>
      </w:r>
      <w:r>
        <w:t>some</w:t>
      </w:r>
      <w:r>
        <w:rPr>
          <w:spacing w:val="48"/>
        </w:rPr>
        <w:t xml:space="preserve"> </w:t>
      </w:r>
      <w:r>
        <w:t>transperceptual</w:t>
      </w:r>
      <w:r>
        <w:rPr>
          <w:spacing w:val="47"/>
        </w:rPr>
        <w:t xml:space="preserve"> </w:t>
      </w:r>
      <w:r>
        <w:t>object,</w:t>
      </w:r>
      <w:r>
        <w:rPr>
          <w:spacing w:val="48"/>
        </w:rPr>
        <w:t xml:space="preserve"> </w:t>
      </w:r>
      <w:r>
        <w:t>P</w:t>
      </w:r>
      <w:r>
        <w:rPr>
          <w:vertAlign w:val="subscript"/>
        </w:rPr>
        <w:t>1</w:t>
      </w:r>
      <w:r>
        <w:rPr>
          <w:spacing w:val="48"/>
        </w:rPr>
        <w:t xml:space="preserve"> </w:t>
      </w:r>
      <w:r>
        <w:t>and</w:t>
      </w:r>
      <w:r>
        <w:rPr>
          <w:spacing w:val="44"/>
        </w:rPr>
        <w:t xml:space="preserve"> </w:t>
      </w:r>
      <w:r>
        <w:t>P</w:t>
      </w:r>
      <w:r>
        <w:rPr>
          <w:vertAlign w:val="subscript"/>
        </w:rPr>
        <w:t>2</w:t>
      </w:r>
      <w:r>
        <w:rPr>
          <w:spacing w:val="53"/>
        </w:rPr>
        <w:t xml:space="preserve"> </w:t>
      </w:r>
      <w:r>
        <w:rPr>
          <w:spacing w:val="-5"/>
        </w:rPr>
        <w:t>are</w:t>
      </w:r>
    </w:p>
    <w:p w14:paraId="7E001AA9" w14:textId="77777777" w:rsidR="009A58DB" w:rsidRDefault="00000000">
      <w:pPr>
        <w:pStyle w:val="BodyText"/>
        <w:spacing w:before="65" w:line="271" w:lineRule="auto"/>
        <w:ind w:right="357"/>
      </w:pPr>
      <w:r>
        <w:rPr>
          <w:spacing w:val="-2"/>
        </w:rPr>
        <w:t>inconsistent</w:t>
      </w:r>
      <w:r>
        <w:rPr>
          <w:spacing w:val="-17"/>
        </w:rPr>
        <w:t xml:space="preserve"> </w:t>
      </w:r>
      <w:r>
        <w:rPr>
          <w:spacing w:val="-2"/>
        </w:rPr>
        <w:t>with</w:t>
      </w:r>
      <w:r>
        <w:rPr>
          <w:spacing w:val="-17"/>
        </w:rPr>
        <w:t xml:space="preserve"> </w:t>
      </w:r>
      <w:r>
        <w:rPr>
          <w:spacing w:val="-2"/>
        </w:rPr>
        <w:t>each</w:t>
      </w:r>
      <w:r>
        <w:rPr>
          <w:spacing w:val="-17"/>
        </w:rPr>
        <w:t xml:space="preserve"> </w:t>
      </w:r>
      <w:r>
        <w:rPr>
          <w:spacing w:val="-2"/>
        </w:rPr>
        <w:t>other,</w:t>
      </w:r>
      <w:r>
        <w:rPr>
          <w:spacing w:val="-16"/>
        </w:rPr>
        <w:t xml:space="preserve"> </w:t>
      </w:r>
      <w:r>
        <w:rPr>
          <w:spacing w:val="-2"/>
        </w:rPr>
        <w:t>P</w:t>
      </w:r>
      <w:r>
        <w:rPr>
          <w:spacing w:val="-2"/>
          <w:vertAlign w:val="subscript"/>
        </w:rPr>
        <w:t>1</w:t>
      </w:r>
      <w:r>
        <w:rPr>
          <w:spacing w:val="-17"/>
        </w:rPr>
        <w:t xml:space="preserve"> </w:t>
      </w:r>
      <w:r>
        <w:rPr>
          <w:i/>
          <w:spacing w:val="-2"/>
        </w:rPr>
        <w:t>per</w:t>
      </w:r>
      <w:r>
        <w:rPr>
          <w:i/>
          <w:spacing w:val="-17"/>
        </w:rPr>
        <w:t xml:space="preserve"> </w:t>
      </w:r>
      <w:r>
        <w:rPr>
          <w:i/>
          <w:spacing w:val="-2"/>
        </w:rPr>
        <w:t>se</w:t>
      </w:r>
      <w:r>
        <w:rPr>
          <w:i/>
          <w:spacing w:val="-17"/>
        </w:rPr>
        <w:t xml:space="preserve"> </w:t>
      </w:r>
      <w:r>
        <w:rPr>
          <w:spacing w:val="-2"/>
        </w:rPr>
        <w:t>is</w:t>
      </w:r>
      <w:r>
        <w:rPr>
          <w:spacing w:val="-13"/>
        </w:rPr>
        <w:t xml:space="preserve"> </w:t>
      </w:r>
      <w:r>
        <w:rPr>
          <w:spacing w:val="-2"/>
        </w:rPr>
        <w:t>perfectly</w:t>
      </w:r>
      <w:r>
        <w:rPr>
          <w:spacing w:val="-13"/>
        </w:rPr>
        <w:t xml:space="preserve"> </w:t>
      </w:r>
      <w:r>
        <w:rPr>
          <w:spacing w:val="-2"/>
        </w:rPr>
        <w:t>capable</w:t>
      </w:r>
      <w:r>
        <w:rPr>
          <w:spacing w:val="-13"/>
        </w:rPr>
        <w:t xml:space="preserve"> </w:t>
      </w:r>
      <w:r>
        <w:rPr>
          <w:spacing w:val="-2"/>
        </w:rPr>
        <w:t>of</w:t>
      </w:r>
      <w:r>
        <w:rPr>
          <w:spacing w:val="-13"/>
        </w:rPr>
        <w:t xml:space="preserve"> </w:t>
      </w:r>
      <w:r>
        <w:rPr>
          <w:spacing w:val="-2"/>
        </w:rPr>
        <w:t>co-existing</w:t>
      </w:r>
      <w:r>
        <w:rPr>
          <w:spacing w:val="-13"/>
        </w:rPr>
        <w:t xml:space="preserve"> </w:t>
      </w:r>
      <w:r>
        <w:rPr>
          <w:spacing w:val="-2"/>
        </w:rPr>
        <w:t>with</w:t>
      </w:r>
      <w:r>
        <w:rPr>
          <w:spacing w:val="-13"/>
        </w:rPr>
        <w:t xml:space="preserve"> </w:t>
      </w:r>
      <w:r>
        <w:rPr>
          <w:spacing w:val="-2"/>
        </w:rPr>
        <w:t>P</w:t>
      </w:r>
      <w:r>
        <w:rPr>
          <w:spacing w:val="-2"/>
          <w:vertAlign w:val="subscript"/>
        </w:rPr>
        <w:t>2</w:t>
      </w:r>
      <w:r>
        <w:rPr>
          <w:spacing w:val="-2"/>
        </w:rPr>
        <w:t xml:space="preserve"> </w:t>
      </w:r>
      <w:r>
        <w:rPr>
          <w:i/>
        </w:rPr>
        <w:t>per</w:t>
      </w:r>
      <w:r>
        <w:rPr>
          <w:i/>
          <w:spacing w:val="-17"/>
        </w:rPr>
        <w:t xml:space="preserve"> </w:t>
      </w:r>
      <w:r>
        <w:rPr>
          <w:i/>
        </w:rPr>
        <w:t>se.</w:t>
      </w:r>
      <w:r>
        <w:rPr>
          <w:i/>
          <w:spacing w:val="-18"/>
        </w:rPr>
        <w:t xml:space="preserve"> </w:t>
      </w:r>
      <w:r>
        <w:t>They</w:t>
      </w:r>
      <w:r>
        <w:rPr>
          <w:spacing w:val="-19"/>
        </w:rPr>
        <w:t xml:space="preserve"> </w:t>
      </w:r>
      <w:r>
        <w:rPr>
          <w:i/>
        </w:rPr>
        <w:t>do</w:t>
      </w:r>
      <w:r>
        <w:rPr>
          <w:i/>
          <w:spacing w:val="-19"/>
        </w:rPr>
        <w:t xml:space="preserve"> </w:t>
      </w:r>
      <w:r>
        <w:t>co-exist.</w:t>
      </w:r>
      <w:r>
        <w:rPr>
          <w:spacing w:val="-10"/>
        </w:rPr>
        <w:t xml:space="preserve"> </w:t>
      </w:r>
      <w:r>
        <w:t>So</w:t>
      </w:r>
      <w:r>
        <w:rPr>
          <w:spacing w:val="-10"/>
        </w:rPr>
        <w:t xml:space="preserve"> </w:t>
      </w:r>
      <w:r>
        <w:t>they</w:t>
      </w:r>
      <w:r>
        <w:rPr>
          <w:spacing w:val="-10"/>
        </w:rPr>
        <w:t xml:space="preserve"> </w:t>
      </w:r>
      <w:r>
        <w:t>can</w:t>
      </w:r>
      <w:r>
        <w:rPr>
          <w:spacing w:val="-10"/>
        </w:rPr>
        <w:t xml:space="preserve"> </w:t>
      </w:r>
      <w:r>
        <w:t>co-exist.</w:t>
      </w:r>
      <w:r>
        <w:rPr>
          <w:spacing w:val="-10"/>
        </w:rPr>
        <w:t xml:space="preserve"> </w:t>
      </w:r>
      <w:r>
        <w:t>(Two</w:t>
      </w:r>
      <w:r>
        <w:rPr>
          <w:spacing w:val="-10"/>
        </w:rPr>
        <w:t xml:space="preserve"> </w:t>
      </w:r>
      <w:r>
        <w:t>conflicting</w:t>
      </w:r>
      <w:r>
        <w:rPr>
          <w:spacing w:val="-10"/>
        </w:rPr>
        <w:t xml:space="preserve"> </w:t>
      </w:r>
      <w:r>
        <w:t>statements</w:t>
      </w:r>
      <w:r>
        <w:rPr>
          <w:spacing w:val="-10"/>
        </w:rPr>
        <w:t xml:space="preserve"> </w:t>
      </w:r>
      <w:r>
        <w:t>can co-exist.)</w:t>
      </w:r>
      <w:r>
        <w:rPr>
          <w:spacing w:val="21"/>
        </w:rPr>
        <w:t xml:space="preserve"> </w:t>
      </w:r>
      <w:r>
        <w:t>So</w:t>
      </w:r>
      <w:r>
        <w:rPr>
          <w:spacing w:val="22"/>
        </w:rPr>
        <w:t xml:space="preserve"> </w:t>
      </w:r>
      <w:r>
        <w:t>instead</w:t>
      </w:r>
      <w:r>
        <w:rPr>
          <w:spacing w:val="22"/>
        </w:rPr>
        <w:t xml:space="preserve"> </w:t>
      </w:r>
      <w:r>
        <w:t>of</w:t>
      </w:r>
      <w:r>
        <w:rPr>
          <w:spacing w:val="21"/>
        </w:rPr>
        <w:t xml:space="preserve"> </w:t>
      </w:r>
      <w:r>
        <w:t>saying</w:t>
      </w:r>
      <w:r>
        <w:rPr>
          <w:spacing w:val="22"/>
        </w:rPr>
        <w:t xml:space="preserve"> </w:t>
      </w:r>
      <w:r>
        <w:t>that</w:t>
      </w:r>
      <w:r>
        <w:rPr>
          <w:spacing w:val="22"/>
        </w:rPr>
        <w:t xml:space="preserve"> </w:t>
      </w:r>
      <w:r>
        <w:t>P</w:t>
      </w:r>
      <w:r>
        <w:rPr>
          <w:vertAlign w:val="subscript"/>
        </w:rPr>
        <w:t>1</w:t>
      </w:r>
      <w:r>
        <w:rPr>
          <w:spacing w:val="24"/>
        </w:rPr>
        <w:t xml:space="preserve"> </w:t>
      </w:r>
      <w:r>
        <w:t>and</w:t>
      </w:r>
      <w:r>
        <w:rPr>
          <w:spacing w:val="23"/>
        </w:rPr>
        <w:t xml:space="preserve"> </w:t>
      </w:r>
      <w:r>
        <w:t>P</w:t>
      </w:r>
      <w:r>
        <w:rPr>
          <w:vertAlign w:val="subscript"/>
        </w:rPr>
        <w:t>2</w:t>
      </w:r>
      <w:r>
        <w:rPr>
          <w:spacing w:val="25"/>
        </w:rPr>
        <w:t xml:space="preserve"> </w:t>
      </w:r>
      <w:r>
        <w:t>describe</w:t>
      </w:r>
      <w:r>
        <w:rPr>
          <w:spacing w:val="22"/>
        </w:rPr>
        <w:t xml:space="preserve"> </w:t>
      </w:r>
      <w:r>
        <w:t>some</w:t>
      </w:r>
      <w:r>
        <w:rPr>
          <w:spacing w:val="22"/>
        </w:rPr>
        <w:t xml:space="preserve"> </w:t>
      </w:r>
      <w:r>
        <w:t>trans-</w:t>
      </w:r>
      <w:r>
        <w:rPr>
          <w:spacing w:val="-2"/>
        </w:rPr>
        <w:t>perceptual</w:t>
      </w:r>
    </w:p>
    <w:p w14:paraId="7E001AAA" w14:textId="77777777" w:rsidR="009A58DB" w:rsidRDefault="00000000">
      <w:pPr>
        <w:pStyle w:val="BodyText"/>
        <w:spacing w:before="30" w:line="249" w:lineRule="auto"/>
        <w:ind w:right="361"/>
      </w:pPr>
      <w:r>
        <w:t>object, let’s say that they</w:t>
      </w:r>
      <w:r>
        <w:rPr>
          <w:spacing w:val="-19"/>
        </w:rPr>
        <w:t xml:space="preserve"> </w:t>
      </w:r>
      <w:r>
        <w:rPr>
          <w:i/>
          <w:spacing w:val="13"/>
        </w:rPr>
        <w:t>are</w:t>
      </w:r>
      <w:r>
        <w:rPr>
          <w:i/>
          <w:spacing w:val="-18"/>
        </w:rPr>
        <w:t xml:space="preserve"> </w:t>
      </w:r>
      <w:r>
        <w:t>the object that, so we wrongly thought, they describe. (Let’s say, in other words, that they’re constituents of that object.) Let’s</w:t>
      </w:r>
      <w:r>
        <w:rPr>
          <w:spacing w:val="-12"/>
        </w:rPr>
        <w:t xml:space="preserve"> </w:t>
      </w:r>
      <w:r>
        <w:t>say,</w:t>
      </w:r>
      <w:r>
        <w:rPr>
          <w:spacing w:val="-1"/>
        </w:rPr>
        <w:t xml:space="preserve"> </w:t>
      </w:r>
      <w:r>
        <w:t>in</w:t>
      </w:r>
      <w:r>
        <w:rPr>
          <w:spacing w:val="-1"/>
        </w:rPr>
        <w:t xml:space="preserve"> </w:t>
      </w:r>
      <w:r>
        <w:t>general,</w:t>
      </w:r>
      <w:r>
        <w:rPr>
          <w:spacing w:val="-1"/>
        </w:rPr>
        <w:t xml:space="preserve"> </w:t>
      </w:r>
      <w:r>
        <w:t>that</w:t>
      </w:r>
      <w:r>
        <w:rPr>
          <w:spacing w:val="-2"/>
        </w:rPr>
        <w:t xml:space="preserve"> </w:t>
      </w:r>
      <w:r>
        <w:t>our</w:t>
      </w:r>
      <w:r>
        <w:rPr>
          <w:spacing w:val="-2"/>
        </w:rPr>
        <w:t xml:space="preserve"> </w:t>
      </w:r>
      <w:r>
        <w:t>perceptions</w:t>
      </w:r>
      <w:r>
        <w:rPr>
          <w:spacing w:val="-19"/>
        </w:rPr>
        <w:t xml:space="preserve"> </w:t>
      </w:r>
      <w:r>
        <w:rPr>
          <w:i/>
        </w:rPr>
        <w:t>are</w:t>
      </w:r>
      <w:r>
        <w:rPr>
          <w:i/>
          <w:spacing w:val="-19"/>
        </w:rPr>
        <w:t xml:space="preserve"> </w:t>
      </w:r>
      <w:r>
        <w:t>their</w:t>
      </w:r>
      <w:r>
        <w:rPr>
          <w:spacing w:val="-2"/>
        </w:rPr>
        <w:t xml:space="preserve"> </w:t>
      </w:r>
      <w:r>
        <w:t>objects</w:t>
      </w:r>
      <w:r>
        <w:rPr>
          <w:spacing w:val="-1"/>
        </w:rPr>
        <w:t xml:space="preserve"> </w:t>
      </w:r>
      <w:r>
        <w:t>(i.e.,</w:t>
      </w:r>
      <w:r>
        <w:rPr>
          <w:spacing w:val="-1"/>
        </w:rPr>
        <w:t xml:space="preserve"> </w:t>
      </w:r>
      <w:r>
        <w:t>that</w:t>
      </w:r>
      <w:r>
        <w:rPr>
          <w:spacing w:val="-2"/>
        </w:rPr>
        <w:t xml:space="preserve"> </w:t>
      </w:r>
      <w:r>
        <w:t>any</w:t>
      </w:r>
      <w:r>
        <w:rPr>
          <w:spacing w:val="-1"/>
        </w:rPr>
        <w:t xml:space="preserve"> </w:t>
      </w:r>
      <w:r>
        <w:t>given perception</w:t>
      </w:r>
      <w:r>
        <w:rPr>
          <w:spacing w:val="-10"/>
        </w:rPr>
        <w:t xml:space="preserve"> </w:t>
      </w:r>
      <w:r>
        <w:t>is</w:t>
      </w:r>
      <w:r>
        <w:rPr>
          <w:spacing w:val="-10"/>
        </w:rPr>
        <w:t xml:space="preserve"> </w:t>
      </w:r>
      <w:r>
        <w:t>a</w:t>
      </w:r>
      <w:r>
        <w:rPr>
          <w:spacing w:val="-10"/>
        </w:rPr>
        <w:t xml:space="preserve"> </w:t>
      </w:r>
      <w:r>
        <w:t>constituent</w:t>
      </w:r>
      <w:r>
        <w:rPr>
          <w:spacing w:val="-10"/>
        </w:rPr>
        <w:t xml:space="preserve"> </w:t>
      </w:r>
      <w:r>
        <w:t>of</w:t>
      </w:r>
      <w:r>
        <w:rPr>
          <w:spacing w:val="-10"/>
        </w:rPr>
        <w:t xml:space="preserve"> </w:t>
      </w:r>
      <w:r>
        <w:t>its</w:t>
      </w:r>
      <w:r>
        <w:rPr>
          <w:spacing w:val="-10"/>
        </w:rPr>
        <w:t xml:space="preserve"> </w:t>
      </w:r>
      <w:r>
        <w:t>object</w:t>
      </w:r>
      <w:r>
        <w:rPr>
          <w:spacing w:val="-10"/>
        </w:rPr>
        <w:t xml:space="preserve"> </w:t>
      </w:r>
      <w:r>
        <w:t>and</w:t>
      </w:r>
      <w:r>
        <w:rPr>
          <w:spacing w:val="-10"/>
        </w:rPr>
        <w:t xml:space="preserve"> </w:t>
      </w:r>
      <w:r>
        <w:t>that</w:t>
      </w:r>
      <w:r>
        <w:rPr>
          <w:spacing w:val="-10"/>
        </w:rPr>
        <w:t xml:space="preserve"> </w:t>
      </w:r>
      <w:r>
        <w:t>any</w:t>
      </w:r>
      <w:r>
        <w:rPr>
          <w:spacing w:val="-10"/>
        </w:rPr>
        <w:t xml:space="preserve"> </w:t>
      </w:r>
      <w:r>
        <w:t>given</w:t>
      </w:r>
      <w:r>
        <w:rPr>
          <w:spacing w:val="-10"/>
        </w:rPr>
        <w:t xml:space="preserve"> </w:t>
      </w:r>
      <w:r>
        <w:t>perception</w:t>
      </w:r>
      <w:r>
        <w:rPr>
          <w:spacing w:val="-10"/>
        </w:rPr>
        <w:t xml:space="preserve"> </w:t>
      </w:r>
      <w:r>
        <w:t>is</w:t>
      </w:r>
      <w:r>
        <w:rPr>
          <w:spacing w:val="-10"/>
        </w:rPr>
        <w:t xml:space="preserve"> </w:t>
      </w:r>
      <w:r>
        <w:t>wholly constituted</w:t>
      </w:r>
      <w:r>
        <w:rPr>
          <w:spacing w:val="-12"/>
        </w:rPr>
        <w:t xml:space="preserve"> </w:t>
      </w:r>
      <w:r>
        <w:t>by</w:t>
      </w:r>
      <w:r>
        <w:rPr>
          <w:spacing w:val="-12"/>
        </w:rPr>
        <w:t xml:space="preserve"> </w:t>
      </w:r>
      <w:r>
        <w:t>some</w:t>
      </w:r>
      <w:r>
        <w:rPr>
          <w:spacing w:val="-12"/>
        </w:rPr>
        <w:t xml:space="preserve"> </w:t>
      </w:r>
      <w:r>
        <w:t>multiplicity</w:t>
      </w:r>
      <w:r>
        <w:rPr>
          <w:spacing w:val="-12"/>
        </w:rPr>
        <w:t xml:space="preserve"> </w:t>
      </w:r>
      <w:r>
        <w:t>of</w:t>
      </w:r>
      <w:r>
        <w:rPr>
          <w:spacing w:val="-13"/>
        </w:rPr>
        <w:t xml:space="preserve"> </w:t>
      </w:r>
      <w:r>
        <w:t>perceptions).</w:t>
      </w:r>
    </w:p>
    <w:p w14:paraId="7E001AAB" w14:textId="77777777" w:rsidR="009A58DB" w:rsidRDefault="00000000">
      <w:pPr>
        <w:pStyle w:val="BodyText"/>
        <w:spacing w:before="6" w:line="249" w:lineRule="auto"/>
        <w:ind w:right="361" w:firstLine="360"/>
      </w:pPr>
      <w:r>
        <w:rPr>
          <w:spacing w:val="-2"/>
        </w:rPr>
        <w:t>By</w:t>
      </w:r>
      <w:r>
        <w:rPr>
          <w:spacing w:val="-14"/>
        </w:rPr>
        <w:t xml:space="preserve"> </w:t>
      </w:r>
      <w:r>
        <w:rPr>
          <w:spacing w:val="-2"/>
        </w:rPr>
        <w:t>taking</w:t>
      </w:r>
      <w:r>
        <w:rPr>
          <w:spacing w:val="-14"/>
        </w:rPr>
        <w:t xml:space="preserve"> </w:t>
      </w:r>
      <w:r>
        <w:rPr>
          <w:spacing w:val="-2"/>
        </w:rPr>
        <w:t>this</w:t>
      </w:r>
      <w:r>
        <w:rPr>
          <w:spacing w:val="-14"/>
        </w:rPr>
        <w:t xml:space="preserve"> </w:t>
      </w:r>
      <w:r>
        <w:rPr>
          <w:spacing w:val="-2"/>
        </w:rPr>
        <w:t>position,</w:t>
      </w:r>
      <w:r>
        <w:rPr>
          <w:spacing w:val="-14"/>
        </w:rPr>
        <w:t xml:space="preserve"> </w:t>
      </w:r>
      <w:r>
        <w:rPr>
          <w:spacing w:val="-2"/>
        </w:rPr>
        <w:t>we</w:t>
      </w:r>
      <w:r>
        <w:rPr>
          <w:spacing w:val="-14"/>
        </w:rPr>
        <w:t xml:space="preserve"> </w:t>
      </w:r>
      <w:r>
        <w:rPr>
          <w:spacing w:val="-2"/>
        </w:rPr>
        <w:t>accommodate</w:t>
      </w:r>
      <w:r>
        <w:rPr>
          <w:spacing w:val="-14"/>
        </w:rPr>
        <w:t xml:space="preserve"> </w:t>
      </w:r>
      <w:r>
        <w:rPr>
          <w:spacing w:val="-2"/>
        </w:rPr>
        <w:t>the</w:t>
      </w:r>
      <w:r>
        <w:rPr>
          <w:spacing w:val="-14"/>
        </w:rPr>
        <w:t xml:space="preserve"> </w:t>
      </w:r>
      <w:r>
        <w:rPr>
          <w:spacing w:val="-2"/>
        </w:rPr>
        <w:t>fact</w:t>
      </w:r>
      <w:r>
        <w:rPr>
          <w:spacing w:val="-14"/>
        </w:rPr>
        <w:t xml:space="preserve"> </w:t>
      </w:r>
      <w:r>
        <w:rPr>
          <w:spacing w:val="-2"/>
        </w:rPr>
        <w:t>that</w:t>
      </w:r>
      <w:r>
        <w:rPr>
          <w:spacing w:val="-14"/>
        </w:rPr>
        <w:t xml:space="preserve"> </w:t>
      </w:r>
      <w:r>
        <w:rPr>
          <w:spacing w:val="-2"/>
        </w:rPr>
        <w:t>we</w:t>
      </w:r>
      <w:r>
        <w:rPr>
          <w:spacing w:val="-14"/>
        </w:rPr>
        <w:t xml:space="preserve"> </w:t>
      </w:r>
      <w:r>
        <w:rPr>
          <w:spacing w:val="-2"/>
        </w:rPr>
        <w:t>acquire</w:t>
      </w:r>
      <w:r>
        <w:rPr>
          <w:spacing w:val="-14"/>
        </w:rPr>
        <w:t xml:space="preserve"> </w:t>
      </w:r>
      <w:r>
        <w:rPr>
          <w:spacing w:val="-2"/>
        </w:rPr>
        <w:t xml:space="preserve">knowledge </w:t>
      </w:r>
      <w:r>
        <w:t>through</w:t>
      </w:r>
      <w:r>
        <w:rPr>
          <w:spacing w:val="-8"/>
        </w:rPr>
        <w:t xml:space="preserve"> </w:t>
      </w:r>
      <w:r>
        <w:t>sense-perception.</w:t>
      </w:r>
      <w:r>
        <w:rPr>
          <w:spacing w:val="-11"/>
        </w:rPr>
        <w:t xml:space="preserve"> </w:t>
      </w:r>
      <w:r>
        <w:t>We</w:t>
      </w:r>
      <w:r>
        <w:rPr>
          <w:spacing w:val="-8"/>
        </w:rPr>
        <w:t xml:space="preserve"> </w:t>
      </w:r>
      <w:r>
        <w:t>know</w:t>
      </w:r>
      <w:r>
        <w:rPr>
          <w:spacing w:val="-8"/>
        </w:rPr>
        <w:t xml:space="preserve"> </w:t>
      </w:r>
      <w:r>
        <w:t>our</w:t>
      </w:r>
      <w:r>
        <w:rPr>
          <w:spacing w:val="-8"/>
        </w:rPr>
        <w:t xml:space="preserve"> </w:t>
      </w:r>
      <w:r>
        <w:t>perceptions.</w:t>
      </w:r>
      <w:r>
        <w:rPr>
          <w:spacing w:val="-8"/>
        </w:rPr>
        <w:t xml:space="preserve"> </w:t>
      </w:r>
      <w:r>
        <w:t>(Even</w:t>
      </w:r>
      <w:r>
        <w:rPr>
          <w:spacing w:val="-8"/>
        </w:rPr>
        <w:t xml:space="preserve"> </w:t>
      </w:r>
      <w:r>
        <w:t>Cartesian</w:t>
      </w:r>
      <w:r>
        <w:rPr>
          <w:spacing w:val="-8"/>
        </w:rPr>
        <w:t xml:space="preserve"> </w:t>
      </w:r>
      <w:r>
        <w:t xml:space="preserve">skeptics concede this.) If we identify our perceptions with their objects, then we know those objects—and we know them by virtue of having sense-perceptions. So </w:t>
      </w:r>
      <w:r>
        <w:rPr>
          <w:spacing w:val="-2"/>
        </w:rPr>
        <w:t>this</w:t>
      </w:r>
      <w:r>
        <w:rPr>
          <w:spacing w:val="-17"/>
        </w:rPr>
        <w:t xml:space="preserve"> </w:t>
      </w:r>
      <w:r>
        <w:rPr>
          <w:spacing w:val="-2"/>
        </w:rPr>
        <w:t>solution</w:t>
      </w:r>
      <w:r>
        <w:rPr>
          <w:spacing w:val="-17"/>
        </w:rPr>
        <w:t xml:space="preserve"> </w:t>
      </w:r>
      <w:r>
        <w:rPr>
          <w:spacing w:val="-2"/>
        </w:rPr>
        <w:t>accommodates</w:t>
      </w:r>
      <w:r>
        <w:rPr>
          <w:spacing w:val="-17"/>
        </w:rPr>
        <w:t xml:space="preserve"> </w:t>
      </w:r>
      <w:r>
        <w:rPr>
          <w:spacing w:val="-2"/>
        </w:rPr>
        <w:t>the</w:t>
      </w:r>
      <w:r>
        <w:rPr>
          <w:spacing w:val="-16"/>
        </w:rPr>
        <w:t xml:space="preserve"> </w:t>
      </w:r>
      <w:r>
        <w:rPr>
          <w:spacing w:val="-2"/>
        </w:rPr>
        <w:t>presumption</w:t>
      </w:r>
      <w:r>
        <w:rPr>
          <w:spacing w:val="-17"/>
        </w:rPr>
        <w:t xml:space="preserve"> </w:t>
      </w:r>
      <w:r>
        <w:rPr>
          <w:spacing w:val="-2"/>
        </w:rPr>
        <w:t>that</w:t>
      </w:r>
      <w:r>
        <w:rPr>
          <w:spacing w:val="-17"/>
        </w:rPr>
        <w:t xml:space="preserve"> </w:t>
      </w:r>
      <w:r>
        <w:rPr>
          <w:spacing w:val="-2"/>
        </w:rPr>
        <w:t>we</w:t>
      </w:r>
      <w:r>
        <w:rPr>
          <w:spacing w:val="-17"/>
        </w:rPr>
        <w:t xml:space="preserve"> </w:t>
      </w:r>
      <w:r>
        <w:rPr>
          <w:spacing w:val="-2"/>
        </w:rPr>
        <w:t>learn</w:t>
      </w:r>
      <w:r>
        <w:rPr>
          <w:spacing w:val="-16"/>
        </w:rPr>
        <w:t xml:space="preserve"> </w:t>
      </w:r>
      <w:r>
        <w:rPr>
          <w:spacing w:val="-2"/>
        </w:rPr>
        <w:t>about</w:t>
      </w:r>
      <w:r>
        <w:rPr>
          <w:spacing w:val="-17"/>
        </w:rPr>
        <w:t xml:space="preserve"> </w:t>
      </w:r>
      <w:r>
        <w:rPr>
          <w:spacing w:val="-2"/>
        </w:rPr>
        <w:t>objects</w:t>
      </w:r>
      <w:r>
        <w:rPr>
          <w:spacing w:val="-17"/>
        </w:rPr>
        <w:t xml:space="preserve"> </w:t>
      </w:r>
      <w:r>
        <w:rPr>
          <w:spacing w:val="-2"/>
        </w:rPr>
        <w:t xml:space="preserve">through </w:t>
      </w:r>
      <w:r>
        <w:t>sense-perception. And it also makes it unnecessary to posit</w:t>
      </w:r>
      <w:r>
        <w:rPr>
          <w:spacing w:val="-17"/>
        </w:rPr>
        <w:t xml:space="preserve"> </w:t>
      </w:r>
      <w:r>
        <w:rPr>
          <w:b/>
          <w:i/>
        </w:rPr>
        <w:t>surds,</w:t>
      </w:r>
      <w:r>
        <w:rPr>
          <w:b/>
          <w:i/>
          <w:spacing w:val="-16"/>
        </w:rPr>
        <w:t xml:space="preserve"> </w:t>
      </w:r>
      <w:r>
        <w:t>such as equiangular</w:t>
      </w:r>
      <w:r>
        <w:rPr>
          <w:spacing w:val="-15"/>
        </w:rPr>
        <w:t xml:space="preserve"> </w:t>
      </w:r>
      <w:r>
        <w:t>objects</w:t>
      </w:r>
      <w:r>
        <w:rPr>
          <w:spacing w:val="-14"/>
        </w:rPr>
        <w:t xml:space="preserve"> </w:t>
      </w:r>
      <w:r>
        <w:t>that</w:t>
      </w:r>
      <w:r>
        <w:rPr>
          <w:spacing w:val="-15"/>
        </w:rPr>
        <w:t xml:space="preserve"> </w:t>
      </w:r>
      <w:r>
        <w:t>aren’t</w:t>
      </w:r>
      <w:r>
        <w:rPr>
          <w:spacing w:val="-15"/>
        </w:rPr>
        <w:t xml:space="preserve"> </w:t>
      </w:r>
      <w:r>
        <w:t>equiangular.</w:t>
      </w:r>
    </w:p>
    <w:p w14:paraId="7E001AAC" w14:textId="77777777" w:rsidR="009A58DB" w:rsidRDefault="00000000">
      <w:pPr>
        <w:pStyle w:val="ListParagraph"/>
        <w:numPr>
          <w:ilvl w:val="2"/>
          <w:numId w:val="109"/>
        </w:numPr>
        <w:tabs>
          <w:tab w:val="left" w:pos="1586"/>
          <w:tab w:val="left" w:pos="2277"/>
          <w:tab w:val="left" w:pos="4528"/>
          <w:tab w:val="left" w:pos="7154"/>
          <w:tab w:val="left" w:pos="7891"/>
        </w:tabs>
        <w:spacing w:before="197" w:line="244" w:lineRule="auto"/>
        <w:ind w:right="368" w:firstLine="0"/>
        <w:rPr>
          <w:b/>
          <w:position w:val="30"/>
          <w:sz w:val="42"/>
        </w:rPr>
      </w:pPr>
      <w:r>
        <w:rPr>
          <w:b/>
          <w:spacing w:val="-10"/>
          <w:sz w:val="42"/>
        </w:rPr>
        <w:t>A</w:t>
      </w:r>
      <w:r>
        <w:rPr>
          <w:b/>
          <w:sz w:val="42"/>
        </w:rPr>
        <w:tab/>
      </w:r>
      <w:r>
        <w:rPr>
          <w:b/>
          <w:spacing w:val="-2"/>
          <w:sz w:val="42"/>
        </w:rPr>
        <w:t>systematic</w:t>
      </w:r>
      <w:r>
        <w:rPr>
          <w:b/>
          <w:sz w:val="42"/>
        </w:rPr>
        <w:tab/>
      </w:r>
      <w:r>
        <w:rPr>
          <w:b/>
          <w:spacing w:val="-2"/>
          <w:sz w:val="42"/>
        </w:rPr>
        <w:t>presentation</w:t>
      </w:r>
      <w:r>
        <w:rPr>
          <w:b/>
          <w:sz w:val="42"/>
        </w:rPr>
        <w:tab/>
      </w:r>
      <w:r>
        <w:rPr>
          <w:b/>
          <w:spacing w:val="-6"/>
          <w:sz w:val="42"/>
        </w:rPr>
        <w:t>of</w:t>
      </w:r>
      <w:r>
        <w:rPr>
          <w:b/>
          <w:sz w:val="42"/>
        </w:rPr>
        <w:tab/>
      </w:r>
      <w:r>
        <w:rPr>
          <w:b/>
          <w:i/>
          <w:spacing w:val="-2"/>
          <w:sz w:val="42"/>
        </w:rPr>
        <w:t xml:space="preserve">Berkeley’s </w:t>
      </w:r>
      <w:r>
        <w:rPr>
          <w:b/>
          <w:i/>
          <w:sz w:val="42"/>
        </w:rPr>
        <w:t xml:space="preserve">argument </w:t>
      </w:r>
      <w:bookmarkStart w:id="353" w:name="_bookmark353"/>
      <w:bookmarkEnd w:id="353"/>
      <w:r>
        <w:rPr>
          <w:b/>
          <w:color w:val="0562C1"/>
          <w:position w:val="30"/>
          <w:sz w:val="42"/>
          <w:u w:val="single" w:color="0562C1"/>
        </w:rPr>
        <w:t>[245]</w:t>
      </w:r>
    </w:p>
    <w:p w14:paraId="7E001AAD" w14:textId="77777777" w:rsidR="009A58DB" w:rsidRDefault="00000000">
      <w:pPr>
        <w:pStyle w:val="BodyText"/>
        <w:spacing w:before="132"/>
      </w:pPr>
      <w:r>
        <w:t>Step</w:t>
      </w:r>
      <w:r>
        <w:rPr>
          <w:spacing w:val="15"/>
        </w:rPr>
        <w:t xml:space="preserve"> </w:t>
      </w:r>
      <w:r>
        <w:t>1:</w:t>
      </w:r>
      <w:r>
        <w:rPr>
          <w:spacing w:val="18"/>
        </w:rPr>
        <w:t xml:space="preserve"> </w:t>
      </w:r>
      <w:r>
        <w:t>If</w:t>
      </w:r>
      <w:r>
        <w:rPr>
          <w:spacing w:val="17"/>
        </w:rPr>
        <w:t xml:space="preserve"> </w:t>
      </w:r>
      <w:r>
        <w:t>our</w:t>
      </w:r>
      <w:r>
        <w:rPr>
          <w:spacing w:val="18"/>
        </w:rPr>
        <w:t xml:space="preserve"> </w:t>
      </w:r>
      <w:r>
        <w:t>senses</w:t>
      </w:r>
      <w:r>
        <w:rPr>
          <w:spacing w:val="17"/>
        </w:rPr>
        <w:t xml:space="preserve"> </w:t>
      </w:r>
      <w:r>
        <w:t>are</w:t>
      </w:r>
      <w:r>
        <w:rPr>
          <w:spacing w:val="18"/>
        </w:rPr>
        <w:t xml:space="preserve"> </w:t>
      </w:r>
      <w:r>
        <w:t>to</w:t>
      </w:r>
      <w:r>
        <w:rPr>
          <w:spacing w:val="17"/>
        </w:rPr>
        <w:t xml:space="preserve"> </w:t>
      </w:r>
      <w:r>
        <w:t>be</w:t>
      </w:r>
      <w:r>
        <w:rPr>
          <w:spacing w:val="18"/>
        </w:rPr>
        <w:t xml:space="preserve"> </w:t>
      </w:r>
      <w:r>
        <w:t>trusted,</w:t>
      </w:r>
      <w:r>
        <w:rPr>
          <w:spacing w:val="17"/>
        </w:rPr>
        <w:t xml:space="preserve"> </w:t>
      </w:r>
      <w:r>
        <w:t>properties</w:t>
      </w:r>
      <w:r>
        <w:rPr>
          <w:spacing w:val="18"/>
        </w:rPr>
        <w:t xml:space="preserve"> </w:t>
      </w:r>
      <w:r>
        <w:t>are</w:t>
      </w:r>
      <w:r>
        <w:rPr>
          <w:spacing w:val="17"/>
        </w:rPr>
        <w:t xml:space="preserve"> </w:t>
      </w:r>
      <w:r>
        <w:t>observer</w:t>
      </w:r>
      <w:r>
        <w:rPr>
          <w:spacing w:val="18"/>
        </w:rPr>
        <w:t xml:space="preserve"> </w:t>
      </w:r>
      <w:r>
        <w:t>dependent.</w:t>
      </w:r>
      <w:r>
        <w:rPr>
          <w:spacing w:val="18"/>
        </w:rPr>
        <w:t xml:space="preserve"> </w:t>
      </w:r>
      <w:r>
        <w:rPr>
          <w:spacing w:val="-5"/>
        </w:rPr>
        <w:t>(If</w:t>
      </w:r>
    </w:p>
    <w:p w14:paraId="7E001AAE" w14:textId="77777777" w:rsidR="009A58DB" w:rsidRDefault="009A58DB">
      <w:pPr>
        <w:pStyle w:val="BodyText"/>
        <w:sectPr w:rsidR="009A58DB">
          <w:pgSz w:w="12240" w:h="15840"/>
          <w:pgMar w:top="1380" w:right="1080" w:bottom="280" w:left="1080" w:header="720" w:footer="720" w:gutter="0"/>
          <w:cols w:space="720"/>
        </w:sectPr>
      </w:pPr>
    </w:p>
    <w:p w14:paraId="7E001AAF" w14:textId="77777777" w:rsidR="009A58DB" w:rsidRDefault="00000000">
      <w:pPr>
        <w:pStyle w:val="BodyText"/>
        <w:spacing w:before="60" w:line="249" w:lineRule="auto"/>
        <w:ind w:right="359"/>
      </w:pPr>
      <w:r>
        <w:lastRenderedPageBreak/>
        <w:t>you’re an elephant, people appear small. If you’re an ant, they appear big. If you just came out of a sauna, room temp seems cold. If you just got out of an ice bath, it seems hot.)</w:t>
      </w:r>
    </w:p>
    <w:p w14:paraId="7E001AB0" w14:textId="77777777" w:rsidR="009A58DB" w:rsidRDefault="009A58DB">
      <w:pPr>
        <w:pStyle w:val="BodyText"/>
        <w:spacing w:before="23"/>
        <w:ind w:left="0"/>
        <w:jc w:val="left"/>
      </w:pPr>
    </w:p>
    <w:p w14:paraId="7E001AB1" w14:textId="77777777" w:rsidR="009A58DB" w:rsidRDefault="00000000">
      <w:pPr>
        <w:pStyle w:val="BodyText"/>
        <w:spacing w:line="249" w:lineRule="auto"/>
        <w:ind w:right="358"/>
      </w:pPr>
      <w:r>
        <w:t xml:space="preserve">Step 2: The external world is totally unknowable </w:t>
      </w:r>
      <w:r>
        <w:rPr>
          <w:i/>
        </w:rPr>
        <w:t xml:space="preserve">unless </w:t>
      </w:r>
      <w:r>
        <w:t>we suppose that, typically, things are as they appear.</w:t>
      </w:r>
    </w:p>
    <w:p w14:paraId="7E001AB2" w14:textId="77777777" w:rsidR="009A58DB" w:rsidRDefault="009A58DB">
      <w:pPr>
        <w:pStyle w:val="BodyText"/>
        <w:spacing w:before="18"/>
        <w:ind w:left="0"/>
        <w:jc w:val="left"/>
      </w:pPr>
    </w:p>
    <w:p w14:paraId="7E001AB3" w14:textId="77777777" w:rsidR="009A58DB" w:rsidRDefault="00000000">
      <w:pPr>
        <w:pStyle w:val="BodyText"/>
        <w:spacing w:line="249" w:lineRule="auto"/>
        <w:ind w:right="358"/>
      </w:pPr>
      <w:r>
        <w:t xml:space="preserve">Commentary on Step 2: This is a corollary of empiricism. Empiricism says: what we know, we know strictly on the basis of our senses. So if our senses tell us that x is big, then we’re entitled to believe x is big—period. One cannot, in general, legitimately second-guess what one’s senses are telling one (at least not if one is an empiricist). One </w:t>
      </w:r>
      <w:r>
        <w:rPr>
          <w:i/>
        </w:rPr>
        <w:t xml:space="preserve">can </w:t>
      </w:r>
      <w:r>
        <w:t>throw out patently deviant perceptions (e.g., perceptions of suddenly appearing pink elephants). But this covers only an infinitesimal minority of our sensory experience.</w:t>
      </w:r>
    </w:p>
    <w:p w14:paraId="7E001AB4" w14:textId="77777777" w:rsidR="009A58DB" w:rsidRDefault="009A58DB">
      <w:pPr>
        <w:pStyle w:val="BodyText"/>
        <w:spacing w:before="23"/>
        <w:ind w:left="0"/>
        <w:jc w:val="left"/>
      </w:pPr>
    </w:p>
    <w:p w14:paraId="7E001AB5" w14:textId="77777777" w:rsidR="009A58DB" w:rsidRDefault="00000000">
      <w:pPr>
        <w:pStyle w:val="BodyText"/>
        <w:spacing w:line="249" w:lineRule="auto"/>
        <w:ind w:right="365"/>
      </w:pPr>
      <w:r>
        <w:t xml:space="preserve">Step 3: Things </w:t>
      </w:r>
      <w:r>
        <w:rPr>
          <w:i/>
        </w:rPr>
        <w:t xml:space="preserve">are </w:t>
      </w:r>
      <w:r>
        <w:t>knowable. It would be absurd to say that we don’t know anything about rocks, trees, etc.</w:t>
      </w:r>
    </w:p>
    <w:p w14:paraId="7E001AB6" w14:textId="77777777" w:rsidR="009A58DB" w:rsidRDefault="009A58DB">
      <w:pPr>
        <w:pStyle w:val="BodyText"/>
        <w:spacing w:before="18"/>
        <w:ind w:left="0"/>
        <w:jc w:val="left"/>
      </w:pPr>
    </w:p>
    <w:p w14:paraId="7E001AB7" w14:textId="77777777" w:rsidR="009A58DB" w:rsidRDefault="00000000">
      <w:pPr>
        <w:pStyle w:val="BodyText"/>
        <w:spacing w:line="249" w:lineRule="auto"/>
        <w:ind w:right="360"/>
      </w:pPr>
      <w:r>
        <w:t>Step 4: Things can’t have incompatible properties. A number can’t be both even</w:t>
      </w:r>
      <w:r>
        <w:rPr>
          <w:spacing w:val="-2"/>
        </w:rPr>
        <w:t xml:space="preserve"> </w:t>
      </w:r>
      <w:r>
        <w:rPr>
          <w:i/>
        </w:rPr>
        <w:t>and</w:t>
      </w:r>
      <w:r>
        <w:rPr>
          <w:i/>
          <w:spacing w:val="-2"/>
        </w:rPr>
        <w:t xml:space="preserve"> </w:t>
      </w:r>
      <w:r>
        <w:t xml:space="preserve">odd. A thing can’t be both big </w:t>
      </w:r>
      <w:r>
        <w:rPr>
          <w:i/>
        </w:rPr>
        <w:t xml:space="preserve">and </w:t>
      </w:r>
      <w:r>
        <w:t>small. A body of water can’t be both hot and cold.</w:t>
      </w:r>
    </w:p>
    <w:p w14:paraId="7E001AB8" w14:textId="77777777" w:rsidR="009A58DB" w:rsidRDefault="009A58DB">
      <w:pPr>
        <w:pStyle w:val="BodyText"/>
        <w:spacing w:before="18"/>
        <w:ind w:left="0"/>
        <w:jc w:val="left"/>
      </w:pPr>
    </w:p>
    <w:p w14:paraId="7E001AB9" w14:textId="77777777" w:rsidR="009A58DB" w:rsidRDefault="00000000">
      <w:pPr>
        <w:pStyle w:val="BodyText"/>
        <w:spacing w:before="1" w:line="249" w:lineRule="auto"/>
        <w:ind w:right="369"/>
        <w:rPr>
          <w:i/>
        </w:rPr>
      </w:pPr>
      <w:r>
        <w:t xml:space="preserve">Step 5: Suppose, if only for argument’s sake, that things exist independently of our perceptions of them. Suppose that, whether or not somebody perceives it, the vase exists (the same being true of the rock, the tree, etc.). In that case, things will have </w:t>
      </w:r>
      <w:r>
        <w:rPr>
          <w:i/>
        </w:rPr>
        <w:t>incompatible properties.</w:t>
      </w:r>
    </w:p>
    <w:p w14:paraId="7E001ABA" w14:textId="77777777" w:rsidR="009A58DB" w:rsidRDefault="009A58DB">
      <w:pPr>
        <w:pStyle w:val="BodyText"/>
        <w:spacing w:before="19"/>
        <w:ind w:left="0"/>
        <w:jc w:val="left"/>
        <w:rPr>
          <w:i/>
        </w:rPr>
      </w:pPr>
    </w:p>
    <w:p w14:paraId="7E001ABB" w14:textId="77777777" w:rsidR="009A58DB" w:rsidRDefault="00000000">
      <w:pPr>
        <w:pStyle w:val="BodyText"/>
        <w:spacing w:before="1" w:line="249" w:lineRule="auto"/>
        <w:ind w:right="359"/>
      </w:pPr>
      <w:r>
        <w:t xml:space="preserve">Explanation of Step 5: Remember Step 3—we </w:t>
      </w:r>
      <w:r>
        <w:rPr>
          <w:i/>
        </w:rPr>
        <w:t xml:space="preserve">do </w:t>
      </w:r>
      <w:r>
        <w:t>know about external objects.</w:t>
      </w:r>
      <w:r>
        <w:rPr>
          <w:spacing w:val="-3"/>
        </w:rPr>
        <w:t xml:space="preserve"> </w:t>
      </w:r>
      <w:r>
        <w:t>They</w:t>
      </w:r>
      <w:r>
        <w:rPr>
          <w:spacing w:val="-3"/>
        </w:rPr>
        <w:t xml:space="preserve"> </w:t>
      </w:r>
      <w:r>
        <w:t>are</w:t>
      </w:r>
      <w:r>
        <w:rPr>
          <w:spacing w:val="-4"/>
        </w:rPr>
        <w:t xml:space="preserve"> </w:t>
      </w:r>
      <w:r>
        <w:rPr>
          <w:i/>
        </w:rPr>
        <w:t>not</w:t>
      </w:r>
      <w:r>
        <w:rPr>
          <w:i/>
          <w:spacing w:val="-4"/>
        </w:rPr>
        <w:t xml:space="preserve"> </w:t>
      </w:r>
      <w:r>
        <w:t>unknown.</w:t>
      </w:r>
      <w:r>
        <w:rPr>
          <w:spacing w:val="-3"/>
        </w:rPr>
        <w:t xml:space="preserve"> </w:t>
      </w:r>
      <w:r>
        <w:t>So</w:t>
      </w:r>
      <w:r>
        <w:rPr>
          <w:spacing w:val="-3"/>
        </w:rPr>
        <w:t xml:space="preserve"> </w:t>
      </w:r>
      <w:r>
        <w:t>they</w:t>
      </w:r>
      <w:r>
        <w:rPr>
          <w:spacing w:val="-4"/>
        </w:rPr>
        <w:t xml:space="preserve"> </w:t>
      </w:r>
      <w:r>
        <w:rPr>
          <w:i/>
        </w:rPr>
        <w:t>are</w:t>
      </w:r>
      <w:r>
        <w:rPr>
          <w:i/>
          <w:spacing w:val="-3"/>
        </w:rPr>
        <w:t xml:space="preserve"> </w:t>
      </w:r>
      <w:r>
        <w:t>as</w:t>
      </w:r>
      <w:r>
        <w:rPr>
          <w:spacing w:val="-4"/>
        </w:rPr>
        <w:t xml:space="preserve"> </w:t>
      </w:r>
      <w:r>
        <w:t>they</w:t>
      </w:r>
      <w:r>
        <w:rPr>
          <w:spacing w:val="-3"/>
        </w:rPr>
        <w:t xml:space="preserve"> </w:t>
      </w:r>
      <w:r>
        <w:t>appear.</w:t>
      </w:r>
      <w:r>
        <w:rPr>
          <w:spacing w:val="-3"/>
        </w:rPr>
        <w:t xml:space="preserve"> </w:t>
      </w:r>
      <w:r>
        <w:t>Well,</w:t>
      </w:r>
      <w:r>
        <w:rPr>
          <w:spacing w:val="-3"/>
        </w:rPr>
        <w:t xml:space="preserve"> </w:t>
      </w:r>
      <w:r>
        <w:t>they</w:t>
      </w:r>
      <w:r>
        <w:rPr>
          <w:spacing w:val="-3"/>
        </w:rPr>
        <w:t xml:space="preserve"> </w:t>
      </w:r>
      <w:r>
        <w:rPr>
          <w:i/>
        </w:rPr>
        <w:t xml:space="preserve">appear </w:t>
      </w:r>
      <w:r>
        <w:t xml:space="preserve">to have incompatible properties. One and the same thing </w:t>
      </w:r>
      <w:r>
        <w:rPr>
          <w:i/>
        </w:rPr>
        <w:t xml:space="preserve">appears </w:t>
      </w:r>
      <w:r>
        <w:t>both big</w:t>
      </w:r>
      <w:r>
        <w:rPr>
          <w:spacing w:val="40"/>
        </w:rPr>
        <w:t xml:space="preserve"> </w:t>
      </w:r>
      <w:r>
        <w:t>and small, hot and cold, fast and slow, etc.</w:t>
      </w:r>
    </w:p>
    <w:p w14:paraId="7E001ABC" w14:textId="77777777" w:rsidR="009A58DB" w:rsidRDefault="009A58DB">
      <w:pPr>
        <w:pStyle w:val="BodyText"/>
        <w:spacing w:before="19"/>
        <w:ind w:left="0"/>
        <w:jc w:val="left"/>
      </w:pPr>
    </w:p>
    <w:p w14:paraId="7E001ABD" w14:textId="77777777" w:rsidR="009A58DB" w:rsidRDefault="00000000">
      <w:pPr>
        <w:pStyle w:val="BodyText"/>
        <w:spacing w:before="1" w:line="249" w:lineRule="auto"/>
        <w:ind w:right="362"/>
      </w:pPr>
      <w:r>
        <w:t>Step 6 (this step is crucial to understanding Step 7, so bear with me): There’s nothing</w:t>
      </w:r>
      <w:r>
        <w:rPr>
          <w:spacing w:val="-3"/>
        </w:rPr>
        <w:t xml:space="preserve"> </w:t>
      </w:r>
      <w:r>
        <w:t>incoherent</w:t>
      </w:r>
      <w:r>
        <w:rPr>
          <w:spacing w:val="-4"/>
        </w:rPr>
        <w:t xml:space="preserve"> </w:t>
      </w:r>
      <w:r>
        <w:t>in</w:t>
      </w:r>
      <w:r>
        <w:rPr>
          <w:spacing w:val="-3"/>
        </w:rPr>
        <w:t xml:space="preserve"> </w:t>
      </w:r>
      <w:r>
        <w:t>the</w:t>
      </w:r>
      <w:r>
        <w:rPr>
          <w:spacing w:val="-4"/>
        </w:rPr>
        <w:t xml:space="preserve"> </w:t>
      </w:r>
      <w:r>
        <w:t>idea</w:t>
      </w:r>
      <w:r>
        <w:rPr>
          <w:spacing w:val="-4"/>
        </w:rPr>
        <w:t xml:space="preserve"> </w:t>
      </w:r>
      <w:r>
        <w:t>that</w:t>
      </w:r>
      <w:r>
        <w:rPr>
          <w:spacing w:val="-4"/>
        </w:rPr>
        <w:t xml:space="preserve"> </w:t>
      </w:r>
      <w:r>
        <w:t>one</w:t>
      </w:r>
      <w:r>
        <w:rPr>
          <w:spacing w:val="-4"/>
        </w:rPr>
        <w:t xml:space="preserve"> </w:t>
      </w:r>
      <w:r>
        <w:t>and</w:t>
      </w:r>
      <w:r>
        <w:rPr>
          <w:spacing w:val="-3"/>
        </w:rPr>
        <w:t xml:space="preserve"> </w:t>
      </w:r>
      <w:r>
        <w:t>the</w:t>
      </w:r>
      <w:r>
        <w:rPr>
          <w:spacing w:val="-4"/>
        </w:rPr>
        <w:t xml:space="preserve"> </w:t>
      </w:r>
      <w:r>
        <w:t>same</w:t>
      </w:r>
      <w:r>
        <w:rPr>
          <w:spacing w:val="-4"/>
        </w:rPr>
        <w:t xml:space="preserve"> </w:t>
      </w:r>
      <w:r>
        <w:t>thing</w:t>
      </w:r>
      <w:r>
        <w:rPr>
          <w:spacing w:val="-3"/>
        </w:rPr>
        <w:t xml:space="preserve"> </w:t>
      </w:r>
      <w:r>
        <w:t>should</w:t>
      </w:r>
      <w:r>
        <w:rPr>
          <w:spacing w:val="-3"/>
        </w:rPr>
        <w:t xml:space="preserve"> </w:t>
      </w:r>
      <w:r>
        <w:rPr>
          <w:i/>
        </w:rPr>
        <w:t>appear</w:t>
      </w:r>
      <w:r>
        <w:rPr>
          <w:i/>
          <w:spacing w:val="-4"/>
        </w:rPr>
        <w:t xml:space="preserve"> </w:t>
      </w:r>
      <w:r>
        <w:t>both big and small, hot and cold.</w:t>
      </w:r>
    </w:p>
    <w:p w14:paraId="7E001AB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BF" w14:textId="77777777" w:rsidR="009A58DB" w:rsidRDefault="00000000">
      <w:pPr>
        <w:pStyle w:val="BodyText"/>
        <w:spacing w:before="65" w:line="249" w:lineRule="auto"/>
        <w:ind w:right="361"/>
        <w:rPr>
          <w:i/>
        </w:rPr>
      </w:pPr>
      <w:r>
        <w:lastRenderedPageBreak/>
        <w:t xml:space="preserve">Clarification: Suppose I say “Bill is in Virginia right now” and I then say “Bill is not in Virginia right now.” Obviously there cannot be some one thing of which both statements are correct representations. But there’s nothing incoherent in the idea that both statements should be </w:t>
      </w:r>
      <w:r>
        <w:rPr>
          <w:i/>
        </w:rPr>
        <w:t xml:space="preserve">made. </w:t>
      </w:r>
      <w:r>
        <w:t>While it is incoherent</w:t>
      </w:r>
      <w:r>
        <w:rPr>
          <w:spacing w:val="-4"/>
        </w:rPr>
        <w:t xml:space="preserve"> </w:t>
      </w:r>
      <w:r>
        <w:t>to</w:t>
      </w:r>
      <w:r>
        <w:rPr>
          <w:spacing w:val="-3"/>
        </w:rPr>
        <w:t xml:space="preserve"> </w:t>
      </w:r>
      <w:r>
        <w:t>hold</w:t>
      </w:r>
      <w:r>
        <w:rPr>
          <w:spacing w:val="-3"/>
        </w:rPr>
        <w:t xml:space="preserve"> </w:t>
      </w:r>
      <w:r>
        <w:t>there</w:t>
      </w:r>
      <w:r>
        <w:rPr>
          <w:spacing w:val="-4"/>
        </w:rPr>
        <w:t xml:space="preserve"> </w:t>
      </w:r>
      <w:r>
        <w:t>is</w:t>
      </w:r>
      <w:r>
        <w:rPr>
          <w:spacing w:val="-4"/>
        </w:rPr>
        <w:t xml:space="preserve"> </w:t>
      </w:r>
      <w:r>
        <w:t>some</w:t>
      </w:r>
      <w:r>
        <w:rPr>
          <w:spacing w:val="-4"/>
        </w:rPr>
        <w:t xml:space="preserve"> </w:t>
      </w:r>
      <w:r>
        <w:t>one</w:t>
      </w:r>
      <w:r>
        <w:rPr>
          <w:spacing w:val="-4"/>
        </w:rPr>
        <w:t xml:space="preserve"> </w:t>
      </w:r>
      <w:r>
        <w:t>thing</w:t>
      </w:r>
      <w:r>
        <w:rPr>
          <w:spacing w:val="-3"/>
        </w:rPr>
        <w:t xml:space="preserve"> </w:t>
      </w:r>
      <w:r>
        <w:t>which</w:t>
      </w:r>
      <w:r>
        <w:rPr>
          <w:spacing w:val="-3"/>
        </w:rPr>
        <w:t xml:space="preserve"> </w:t>
      </w:r>
      <w:r>
        <w:t>they</w:t>
      </w:r>
      <w:r>
        <w:rPr>
          <w:spacing w:val="-3"/>
        </w:rPr>
        <w:t xml:space="preserve"> </w:t>
      </w:r>
      <w:r>
        <w:t>both</w:t>
      </w:r>
      <w:r>
        <w:rPr>
          <w:spacing w:val="-3"/>
        </w:rPr>
        <w:t xml:space="preserve"> </w:t>
      </w:r>
      <w:r>
        <w:t>correctly</w:t>
      </w:r>
      <w:r>
        <w:rPr>
          <w:spacing w:val="-4"/>
        </w:rPr>
        <w:t xml:space="preserve"> </w:t>
      </w:r>
      <w:r>
        <w:rPr>
          <w:i/>
        </w:rPr>
        <w:t xml:space="preserve">describe, </w:t>
      </w:r>
      <w:r>
        <w:t>it’s obviously perfectly ok to hold that both statements (however badly they may fit together) were affirmed. Similarly, there is nothing incoherent in the idea</w:t>
      </w:r>
      <w:r>
        <w:rPr>
          <w:spacing w:val="-1"/>
        </w:rPr>
        <w:t xml:space="preserve"> </w:t>
      </w:r>
      <w:r>
        <w:t>that,</w:t>
      </w:r>
      <w:r>
        <w:rPr>
          <w:spacing w:val="-1"/>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there</w:t>
      </w:r>
      <w:r>
        <w:rPr>
          <w:spacing w:val="-1"/>
        </w:rPr>
        <w:t xml:space="preserve"> </w:t>
      </w:r>
      <w:r>
        <w:t>should</w:t>
      </w:r>
      <w:r>
        <w:rPr>
          <w:spacing w:val="-1"/>
        </w:rPr>
        <w:t xml:space="preserve"> </w:t>
      </w:r>
      <w:r>
        <w:t>occur</w:t>
      </w:r>
      <w:r>
        <w:rPr>
          <w:spacing w:val="-1"/>
        </w:rPr>
        <w:t xml:space="preserve"> </w:t>
      </w:r>
      <w:r>
        <w:t>a</w:t>
      </w:r>
      <w:r>
        <w:rPr>
          <w:spacing w:val="-1"/>
        </w:rPr>
        <w:t xml:space="preserve"> </w:t>
      </w:r>
      <w:r>
        <w:rPr>
          <w:i/>
        </w:rPr>
        <w:t>perception</w:t>
      </w:r>
      <w:r>
        <w:rPr>
          <w:i/>
          <w:spacing w:val="-2"/>
        </w:rPr>
        <w:t xml:space="preserve"> </w:t>
      </w:r>
      <w:r>
        <w:t xml:space="preserve">to the effect that x has one temperature and also a perception to the effect that x has some other temperature. What is incoherent is the idea that there should be some thing of which both perceptions are correct </w:t>
      </w:r>
      <w:r>
        <w:rPr>
          <w:i/>
        </w:rPr>
        <w:t>representations.</w:t>
      </w:r>
    </w:p>
    <w:p w14:paraId="7E001AC0" w14:textId="77777777" w:rsidR="009A58DB" w:rsidRDefault="009A58DB">
      <w:pPr>
        <w:pStyle w:val="BodyText"/>
        <w:spacing w:before="28"/>
        <w:ind w:left="0"/>
        <w:jc w:val="left"/>
        <w:rPr>
          <w:i/>
        </w:rPr>
      </w:pPr>
    </w:p>
    <w:p w14:paraId="7E001AC1" w14:textId="77777777" w:rsidR="009A58DB" w:rsidRDefault="00000000">
      <w:pPr>
        <w:pStyle w:val="BodyText"/>
        <w:spacing w:line="249" w:lineRule="auto"/>
        <w:ind w:right="360"/>
      </w:pPr>
      <w:r>
        <w:t xml:space="preserve">Step 7: If we say that our perceptions are </w:t>
      </w:r>
      <w:r>
        <w:rPr>
          <w:i/>
        </w:rPr>
        <w:t xml:space="preserve">representations </w:t>
      </w:r>
      <w:r>
        <w:t>of objects that lie</w:t>
      </w:r>
      <w:r>
        <w:rPr>
          <w:spacing w:val="40"/>
        </w:rPr>
        <w:t xml:space="preserve"> </w:t>
      </w:r>
      <w:r>
        <w:t xml:space="preserve">on the other side of them, then (assuming, as we are, that our perceptions are accurate) things have incompatible properties. But if we say that our perceptions are </w:t>
      </w:r>
      <w:r>
        <w:rPr>
          <w:i/>
        </w:rPr>
        <w:t xml:space="preserve">not </w:t>
      </w:r>
      <w:r>
        <w:t xml:space="preserve">representations of such objects—if, instead, we say that perceptions </w:t>
      </w:r>
      <w:r>
        <w:rPr>
          <w:i/>
        </w:rPr>
        <w:t xml:space="preserve">are </w:t>
      </w:r>
      <w:r>
        <w:t xml:space="preserve">those objects—then things </w:t>
      </w:r>
      <w:r>
        <w:rPr>
          <w:i/>
        </w:rPr>
        <w:t xml:space="preserve">don’t </w:t>
      </w:r>
      <w:r>
        <w:t xml:space="preserve">have incompatible </w:t>
      </w:r>
      <w:r>
        <w:rPr>
          <w:spacing w:val="-2"/>
        </w:rPr>
        <w:t>properties.</w:t>
      </w:r>
    </w:p>
    <w:p w14:paraId="7E001AC2" w14:textId="77777777" w:rsidR="009A58DB" w:rsidRDefault="009A58DB">
      <w:pPr>
        <w:pStyle w:val="BodyText"/>
        <w:spacing w:before="22"/>
        <w:ind w:left="0"/>
        <w:jc w:val="left"/>
      </w:pPr>
    </w:p>
    <w:p w14:paraId="7E001AC3" w14:textId="77777777" w:rsidR="009A58DB" w:rsidRDefault="00000000">
      <w:pPr>
        <w:pStyle w:val="BodyText"/>
        <w:spacing w:before="1" w:line="249" w:lineRule="auto"/>
        <w:ind w:right="358"/>
      </w:pPr>
      <w:r>
        <w:t xml:space="preserve">Clarification: Remember Step 6. It isn’t possible for there to be two correct but incompatible </w:t>
      </w:r>
      <w:r>
        <w:rPr>
          <w:i/>
        </w:rPr>
        <w:t xml:space="preserve">representations </w:t>
      </w:r>
      <w:r>
        <w:t xml:space="preserve">of some one thing, even though it’s obviously possible for two such representations to </w:t>
      </w:r>
      <w:r>
        <w:rPr>
          <w:i/>
        </w:rPr>
        <w:t>exist.</w:t>
      </w:r>
      <w:r>
        <w:rPr>
          <w:i/>
          <w:spacing w:val="-3"/>
        </w:rPr>
        <w:t xml:space="preserve"> </w:t>
      </w:r>
      <w:r>
        <w:t xml:space="preserve">Our perceptions give us incompatible messages (they say that one and the same thing is both big and small, is moving both quickly and slowly, etc.). So it isn’t possible for our perceptions to be correct </w:t>
      </w:r>
      <w:r>
        <w:rPr>
          <w:i/>
        </w:rPr>
        <w:t xml:space="preserve">representations </w:t>
      </w:r>
      <w:r>
        <w:t xml:space="preserve">of things. But it </w:t>
      </w:r>
      <w:r>
        <w:rPr>
          <w:i/>
        </w:rPr>
        <w:t xml:space="preserve">is </w:t>
      </w:r>
      <w:r>
        <w:t>possible for our perceptions to exist. It is irrelevant that they are incoherent if taken to be representations of trans-perceptual entities.</w:t>
      </w:r>
    </w:p>
    <w:p w14:paraId="7E001AC4" w14:textId="77777777" w:rsidR="009A58DB" w:rsidRDefault="009A58DB">
      <w:pPr>
        <w:pStyle w:val="BodyText"/>
        <w:spacing w:before="24"/>
        <w:ind w:left="0"/>
        <w:jc w:val="left"/>
      </w:pPr>
    </w:p>
    <w:p w14:paraId="7E001AC5" w14:textId="77777777" w:rsidR="009A58DB" w:rsidRDefault="00000000">
      <w:pPr>
        <w:pStyle w:val="BodyText"/>
        <w:spacing w:line="249" w:lineRule="auto"/>
        <w:ind w:right="368"/>
      </w:pPr>
      <w:r>
        <w:t>Step</w:t>
      </w:r>
      <w:r>
        <w:rPr>
          <w:spacing w:val="-1"/>
        </w:rPr>
        <w:t xml:space="preserve"> </w:t>
      </w:r>
      <w:r>
        <w:t>8:</w:t>
      </w:r>
      <w:r>
        <w:rPr>
          <w:spacing w:val="-1"/>
        </w:rPr>
        <w:t xml:space="preserve"> </w:t>
      </w:r>
      <w:r>
        <w:t>It</w:t>
      </w:r>
      <w:r>
        <w:rPr>
          <w:spacing w:val="-1"/>
        </w:rPr>
        <w:t xml:space="preserve"> </w:t>
      </w:r>
      <w:r>
        <w:t>follows</w:t>
      </w:r>
      <w:r>
        <w:rPr>
          <w:spacing w:val="-1"/>
        </w:rPr>
        <w:t xml:space="preserve"> </w:t>
      </w:r>
      <w:r>
        <w:t>from</w:t>
      </w:r>
      <w:r>
        <w:rPr>
          <w:spacing w:val="-1"/>
        </w:rPr>
        <w:t xml:space="preserve"> </w:t>
      </w:r>
      <w:r>
        <w:t>Step</w:t>
      </w:r>
      <w:r>
        <w:rPr>
          <w:spacing w:val="-1"/>
        </w:rPr>
        <w:t xml:space="preserve"> </w:t>
      </w:r>
      <w:r>
        <w:t>7</w:t>
      </w:r>
      <w:r>
        <w:rPr>
          <w:spacing w:val="-1"/>
        </w:rPr>
        <w:t xml:space="preserve"> </w:t>
      </w:r>
      <w:r>
        <w:t>that</w:t>
      </w:r>
      <w:r>
        <w:rPr>
          <w:spacing w:val="-1"/>
        </w:rPr>
        <w:t xml:space="preserve"> </w:t>
      </w:r>
      <w:r>
        <w:t>our</w:t>
      </w:r>
      <w:r>
        <w:rPr>
          <w:spacing w:val="-1"/>
        </w:rPr>
        <w:t xml:space="preserve"> </w:t>
      </w:r>
      <w:r>
        <w:t>perceptions</w:t>
      </w:r>
      <w:r>
        <w:rPr>
          <w:spacing w:val="-1"/>
        </w:rPr>
        <w:t xml:space="preserve"> </w:t>
      </w:r>
      <w:r>
        <w:t>can’t</w:t>
      </w:r>
      <w:r>
        <w:rPr>
          <w:spacing w:val="-1"/>
        </w:rPr>
        <w:t xml:space="preserve"> </w:t>
      </w:r>
      <w:r>
        <w:t>be</w:t>
      </w:r>
      <w:r>
        <w:rPr>
          <w:spacing w:val="-1"/>
        </w:rPr>
        <w:t xml:space="preserve"> </w:t>
      </w:r>
      <w:r>
        <w:rPr>
          <w:i/>
        </w:rPr>
        <w:t>representations</w:t>
      </w:r>
      <w:r>
        <w:rPr>
          <w:i/>
          <w:spacing w:val="-4"/>
        </w:rPr>
        <w:t xml:space="preserve"> </w:t>
      </w:r>
      <w:r>
        <w:t xml:space="preserve">of </w:t>
      </w:r>
      <w:r>
        <w:rPr>
          <w:spacing w:val="-2"/>
        </w:rPr>
        <w:t>anything.</w:t>
      </w:r>
    </w:p>
    <w:p w14:paraId="7E001AC6" w14:textId="77777777" w:rsidR="009A58DB" w:rsidRDefault="009A58DB">
      <w:pPr>
        <w:pStyle w:val="BodyText"/>
        <w:spacing w:before="18"/>
        <w:ind w:left="0"/>
        <w:jc w:val="left"/>
      </w:pPr>
    </w:p>
    <w:p w14:paraId="7E001AC7" w14:textId="77777777" w:rsidR="009A58DB" w:rsidRDefault="00000000">
      <w:pPr>
        <w:pStyle w:val="BodyText"/>
        <w:spacing w:line="249" w:lineRule="auto"/>
        <w:ind w:right="363"/>
      </w:pPr>
      <w:r>
        <w:t xml:space="preserve">Step 9: But remember Step 2—we </w:t>
      </w:r>
      <w:r>
        <w:rPr>
          <w:i/>
        </w:rPr>
        <w:t xml:space="preserve">do </w:t>
      </w:r>
      <w:r>
        <w:t xml:space="preserve">know about things. We </w:t>
      </w:r>
      <w:r>
        <w:rPr>
          <w:i/>
        </w:rPr>
        <w:t xml:space="preserve">do </w:t>
      </w:r>
      <w:r>
        <w:t xml:space="preserve">know their sizes, temperatures, etc. The way to make this all work is to say: things </w:t>
      </w:r>
      <w:r>
        <w:rPr>
          <w:i/>
        </w:rPr>
        <w:t xml:space="preserve">are </w:t>
      </w:r>
      <w:r>
        <w:t xml:space="preserve">our perceptions of them. We know our perceptions obviously. (So if we say that rocks, trees, etc., </w:t>
      </w:r>
      <w:r>
        <w:rPr>
          <w:i/>
        </w:rPr>
        <w:t xml:space="preserve">are </w:t>
      </w:r>
      <w:r>
        <w:t>our perceptions, then we can explain how we can know</w:t>
      </w:r>
      <w:r>
        <w:rPr>
          <w:spacing w:val="19"/>
        </w:rPr>
        <w:t xml:space="preserve"> </w:t>
      </w:r>
      <w:r>
        <w:t>them.)</w:t>
      </w:r>
      <w:r>
        <w:rPr>
          <w:spacing w:val="20"/>
        </w:rPr>
        <w:t xml:space="preserve"> </w:t>
      </w:r>
      <w:r>
        <w:t>And</w:t>
      </w:r>
      <w:r>
        <w:rPr>
          <w:spacing w:val="19"/>
        </w:rPr>
        <w:t xml:space="preserve"> </w:t>
      </w:r>
      <w:r>
        <w:t>we</w:t>
      </w:r>
      <w:r>
        <w:rPr>
          <w:spacing w:val="20"/>
        </w:rPr>
        <w:t xml:space="preserve"> </w:t>
      </w:r>
      <w:r>
        <w:rPr>
          <w:i/>
        </w:rPr>
        <w:t>also</w:t>
      </w:r>
      <w:r>
        <w:rPr>
          <w:i/>
          <w:spacing w:val="12"/>
        </w:rPr>
        <w:t xml:space="preserve"> </w:t>
      </w:r>
      <w:r>
        <w:t>know</w:t>
      </w:r>
      <w:r>
        <w:rPr>
          <w:spacing w:val="25"/>
        </w:rPr>
        <w:t xml:space="preserve"> </w:t>
      </w:r>
      <w:r>
        <w:t>that</w:t>
      </w:r>
      <w:r>
        <w:rPr>
          <w:spacing w:val="24"/>
        </w:rPr>
        <w:t xml:space="preserve"> </w:t>
      </w:r>
      <w:r>
        <w:t>perceptions</w:t>
      </w:r>
      <w:r>
        <w:rPr>
          <w:spacing w:val="24"/>
        </w:rPr>
        <w:t xml:space="preserve"> </w:t>
      </w:r>
      <w:r>
        <w:t>can’t</w:t>
      </w:r>
      <w:r>
        <w:rPr>
          <w:spacing w:val="25"/>
        </w:rPr>
        <w:t xml:space="preserve"> </w:t>
      </w:r>
      <w:r>
        <w:t>be</w:t>
      </w:r>
      <w:r>
        <w:rPr>
          <w:spacing w:val="24"/>
        </w:rPr>
        <w:t xml:space="preserve"> </w:t>
      </w:r>
      <w:r>
        <w:t>representations</w:t>
      </w:r>
      <w:r>
        <w:rPr>
          <w:spacing w:val="25"/>
        </w:rPr>
        <w:t xml:space="preserve"> </w:t>
      </w:r>
      <w:r>
        <w:rPr>
          <w:spacing w:val="-5"/>
        </w:rPr>
        <w:t>of</w:t>
      </w:r>
    </w:p>
    <w:p w14:paraId="7E001AC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C9" w14:textId="77777777" w:rsidR="009A58DB" w:rsidRDefault="00000000">
      <w:pPr>
        <w:pStyle w:val="BodyText"/>
        <w:spacing w:before="65"/>
      </w:pPr>
      <w:r>
        <w:lastRenderedPageBreak/>
        <w:t>things.</w:t>
      </w:r>
      <w:r>
        <w:rPr>
          <w:spacing w:val="-5"/>
        </w:rPr>
        <w:t xml:space="preserve"> </w:t>
      </w:r>
      <w:r>
        <w:t>So</w:t>
      </w:r>
      <w:r>
        <w:rPr>
          <w:spacing w:val="-3"/>
        </w:rPr>
        <w:t xml:space="preserve"> </w:t>
      </w:r>
      <w:r>
        <w:t>we</w:t>
      </w:r>
      <w:r>
        <w:rPr>
          <w:spacing w:val="-4"/>
        </w:rPr>
        <w:t xml:space="preserve"> </w:t>
      </w:r>
      <w:r>
        <w:t>say</w:t>
      </w:r>
      <w:r>
        <w:rPr>
          <w:spacing w:val="-3"/>
        </w:rPr>
        <w:t xml:space="preserve"> </w:t>
      </w:r>
      <w:r>
        <w:t>that</w:t>
      </w:r>
      <w:r>
        <w:rPr>
          <w:spacing w:val="-4"/>
        </w:rPr>
        <w:t xml:space="preserve"> </w:t>
      </w:r>
      <w:r>
        <w:t>perceptions</w:t>
      </w:r>
      <w:r>
        <w:rPr>
          <w:spacing w:val="-3"/>
        </w:rPr>
        <w:t xml:space="preserve"> </w:t>
      </w:r>
      <w:r>
        <w:t>don’t</w:t>
      </w:r>
      <w:r>
        <w:rPr>
          <w:spacing w:val="-4"/>
        </w:rPr>
        <w:t xml:space="preserve"> </w:t>
      </w:r>
      <w:r>
        <w:rPr>
          <w:i/>
        </w:rPr>
        <w:t>represent</w:t>
      </w:r>
      <w:r>
        <w:rPr>
          <w:i/>
          <w:spacing w:val="-4"/>
        </w:rPr>
        <w:t xml:space="preserve"> </w:t>
      </w:r>
      <w:r>
        <w:t>reality:</w:t>
      </w:r>
      <w:r>
        <w:rPr>
          <w:spacing w:val="-4"/>
        </w:rPr>
        <w:t xml:space="preserve"> </w:t>
      </w:r>
      <w:r>
        <w:t>they</w:t>
      </w:r>
      <w:r>
        <w:rPr>
          <w:spacing w:val="-4"/>
        </w:rPr>
        <w:t xml:space="preserve"> </w:t>
      </w:r>
      <w:r>
        <w:rPr>
          <w:i/>
        </w:rPr>
        <w:t>are</w:t>
      </w:r>
      <w:r>
        <w:rPr>
          <w:i/>
          <w:spacing w:val="-2"/>
        </w:rPr>
        <w:t xml:space="preserve"> </w:t>
      </w:r>
      <w:r>
        <w:rPr>
          <w:spacing w:val="-2"/>
        </w:rPr>
        <w:t>reality.</w:t>
      </w:r>
    </w:p>
    <w:p w14:paraId="7E001ACA" w14:textId="77777777" w:rsidR="009A58DB" w:rsidRDefault="009A58DB">
      <w:pPr>
        <w:pStyle w:val="BodyText"/>
        <w:spacing w:before="29"/>
        <w:ind w:left="0"/>
        <w:jc w:val="left"/>
      </w:pPr>
    </w:p>
    <w:p w14:paraId="7E001ACB" w14:textId="77777777" w:rsidR="009A58DB" w:rsidRDefault="00000000">
      <w:pPr>
        <w:pStyle w:val="BodyText"/>
        <w:spacing w:before="1" w:line="249" w:lineRule="auto"/>
        <w:ind w:right="368"/>
      </w:pPr>
      <w:r>
        <w:t xml:space="preserve">Conclusion: For something to exist </w:t>
      </w:r>
      <w:r>
        <w:rPr>
          <w:i/>
        </w:rPr>
        <w:t xml:space="preserve">s i </w:t>
      </w:r>
      <w:r>
        <w:t xml:space="preserve">for it to be perceived. The perception doesn’t represent the thing. The perception </w:t>
      </w:r>
      <w:r>
        <w:rPr>
          <w:i/>
        </w:rPr>
        <w:t xml:space="preserve">constitutes </w:t>
      </w:r>
      <w:r>
        <w:t>the thing.</w:t>
      </w:r>
    </w:p>
    <w:p w14:paraId="7E001ACC" w14:textId="77777777" w:rsidR="009A58DB" w:rsidRDefault="00000000">
      <w:pPr>
        <w:pStyle w:val="Heading1"/>
        <w:numPr>
          <w:ilvl w:val="1"/>
          <w:numId w:val="109"/>
        </w:numPr>
        <w:tabs>
          <w:tab w:val="left" w:pos="1155"/>
        </w:tabs>
        <w:spacing w:before="190" w:line="244" w:lineRule="auto"/>
        <w:ind w:right="362" w:firstLine="0"/>
        <w:jc w:val="both"/>
      </w:pPr>
      <w:r>
        <w:t>The problem with Berkeley’s argument: its failure to take into account the relational nature of perceptual information</w:t>
      </w:r>
    </w:p>
    <w:p w14:paraId="7E001ACD" w14:textId="77777777" w:rsidR="009A58DB" w:rsidRDefault="00000000">
      <w:pPr>
        <w:pStyle w:val="BodyText"/>
        <w:spacing w:before="134" w:line="249" w:lineRule="auto"/>
        <w:ind w:right="369"/>
      </w:pPr>
      <w:r>
        <w:t>Berkeley’s argument fails. But the reason why it does must be understood in terms</w:t>
      </w:r>
      <w:r>
        <w:rPr>
          <w:spacing w:val="-17"/>
        </w:rPr>
        <w:t xml:space="preserve"> </w:t>
      </w:r>
      <w:r>
        <w:t>of</w:t>
      </w:r>
      <w:r>
        <w:rPr>
          <w:spacing w:val="-17"/>
        </w:rPr>
        <w:t xml:space="preserve"> </w:t>
      </w:r>
      <w:r>
        <w:t>a</w:t>
      </w:r>
      <w:r>
        <w:rPr>
          <w:spacing w:val="-17"/>
        </w:rPr>
        <w:t xml:space="preserve"> </w:t>
      </w:r>
      <w:r>
        <w:t>rather</w:t>
      </w:r>
      <w:r>
        <w:rPr>
          <w:spacing w:val="-17"/>
        </w:rPr>
        <w:t xml:space="preserve"> </w:t>
      </w:r>
      <w:r>
        <w:t>subtle</w:t>
      </w:r>
      <w:r>
        <w:rPr>
          <w:spacing w:val="-17"/>
        </w:rPr>
        <w:t xml:space="preserve"> </w:t>
      </w:r>
      <w:r>
        <w:t>point</w:t>
      </w:r>
      <w:r>
        <w:rPr>
          <w:spacing w:val="-17"/>
        </w:rPr>
        <w:t xml:space="preserve"> </w:t>
      </w:r>
      <w:r>
        <w:t>about</w:t>
      </w:r>
      <w:r>
        <w:rPr>
          <w:spacing w:val="-17"/>
        </w:rPr>
        <w:t xml:space="preserve"> </w:t>
      </w:r>
      <w:r>
        <w:t>sense-perception—a</w:t>
      </w:r>
      <w:r>
        <w:rPr>
          <w:spacing w:val="-17"/>
        </w:rPr>
        <w:t xml:space="preserve"> </w:t>
      </w:r>
      <w:r>
        <w:t>point</w:t>
      </w:r>
      <w:r>
        <w:rPr>
          <w:spacing w:val="-17"/>
        </w:rPr>
        <w:t xml:space="preserve"> </w:t>
      </w:r>
      <w:r>
        <w:t>that</w:t>
      </w:r>
      <w:r>
        <w:rPr>
          <w:spacing w:val="-17"/>
        </w:rPr>
        <w:t xml:space="preserve"> </w:t>
      </w:r>
      <w:r>
        <w:t>will</w:t>
      </w:r>
      <w:r>
        <w:rPr>
          <w:spacing w:val="-17"/>
        </w:rPr>
        <w:t xml:space="preserve"> </w:t>
      </w:r>
      <w:r>
        <w:t>initially be</w:t>
      </w:r>
      <w:r>
        <w:rPr>
          <w:spacing w:val="-7"/>
        </w:rPr>
        <w:t xml:space="preserve"> </w:t>
      </w:r>
      <w:r>
        <w:t>hard</w:t>
      </w:r>
      <w:r>
        <w:rPr>
          <w:spacing w:val="-6"/>
        </w:rPr>
        <w:t xml:space="preserve"> </w:t>
      </w:r>
      <w:r>
        <w:t>to</w:t>
      </w:r>
      <w:r>
        <w:rPr>
          <w:spacing w:val="-6"/>
        </w:rPr>
        <w:t xml:space="preserve"> </w:t>
      </w:r>
      <w:r>
        <w:t>understand</w:t>
      </w:r>
      <w:r>
        <w:rPr>
          <w:spacing w:val="-6"/>
        </w:rPr>
        <w:t xml:space="preserve"> </w:t>
      </w:r>
      <w:r>
        <w:t>but</w:t>
      </w:r>
      <w:r>
        <w:rPr>
          <w:spacing w:val="-7"/>
        </w:rPr>
        <w:t xml:space="preserve"> </w:t>
      </w:r>
      <w:r>
        <w:t>that,</w:t>
      </w:r>
      <w:r>
        <w:rPr>
          <w:spacing w:val="-6"/>
        </w:rPr>
        <w:t xml:space="preserve"> </w:t>
      </w:r>
      <w:r>
        <w:t>after</w:t>
      </w:r>
      <w:r>
        <w:rPr>
          <w:spacing w:val="-7"/>
        </w:rPr>
        <w:t xml:space="preserve"> </w:t>
      </w:r>
      <w:r>
        <w:t>being</w:t>
      </w:r>
      <w:r>
        <w:rPr>
          <w:spacing w:val="-6"/>
        </w:rPr>
        <w:t xml:space="preserve"> </w:t>
      </w:r>
      <w:r>
        <w:t>stated</w:t>
      </w:r>
      <w:r>
        <w:rPr>
          <w:spacing w:val="-6"/>
        </w:rPr>
        <w:t xml:space="preserve"> </w:t>
      </w:r>
      <w:r>
        <w:t>abstractly,</w:t>
      </w:r>
      <w:r>
        <w:rPr>
          <w:spacing w:val="-6"/>
        </w:rPr>
        <w:t xml:space="preserve"> </w:t>
      </w:r>
      <w:r>
        <w:t>will</w:t>
      </w:r>
      <w:r>
        <w:rPr>
          <w:spacing w:val="-6"/>
        </w:rPr>
        <w:t xml:space="preserve"> </w:t>
      </w:r>
      <w:r>
        <w:t>be</w:t>
      </w:r>
      <w:r>
        <w:rPr>
          <w:spacing w:val="-6"/>
        </w:rPr>
        <w:t xml:space="preserve"> </w:t>
      </w:r>
      <w:r>
        <w:t>made</w:t>
      </w:r>
      <w:r>
        <w:rPr>
          <w:spacing w:val="-6"/>
        </w:rPr>
        <w:t xml:space="preserve"> </w:t>
      </w:r>
      <w:r>
        <w:t>clear with some examples.</w:t>
      </w:r>
    </w:p>
    <w:p w14:paraId="7E001ACE" w14:textId="77777777" w:rsidR="009A58DB" w:rsidRDefault="00000000">
      <w:pPr>
        <w:pStyle w:val="BodyText"/>
        <w:spacing w:before="5" w:line="249" w:lineRule="auto"/>
        <w:ind w:right="358" w:firstLine="360"/>
      </w:pPr>
      <w:r>
        <w:t>Our senses give us</w:t>
      </w:r>
      <w:r>
        <w:rPr>
          <w:spacing w:val="-18"/>
        </w:rPr>
        <w:t xml:space="preserve"> </w:t>
      </w:r>
      <w:r>
        <w:rPr>
          <w:i/>
        </w:rPr>
        <w:t>relational</w:t>
      </w:r>
      <w:r>
        <w:rPr>
          <w:i/>
          <w:spacing w:val="-18"/>
        </w:rPr>
        <w:t xml:space="preserve"> </w:t>
      </w:r>
      <w:r>
        <w:t xml:space="preserve">information. They tell us how things are in relation to one another and in relation to ourselves. They apprise us, not of </w:t>
      </w:r>
      <w:r>
        <w:rPr>
          <w:spacing w:val="-2"/>
        </w:rPr>
        <w:t>absolute,</w:t>
      </w:r>
      <w:r>
        <w:rPr>
          <w:spacing w:val="-17"/>
        </w:rPr>
        <w:t xml:space="preserve"> </w:t>
      </w:r>
      <w:r>
        <w:rPr>
          <w:spacing w:val="-2"/>
        </w:rPr>
        <w:t>but</w:t>
      </w:r>
      <w:r>
        <w:rPr>
          <w:spacing w:val="-16"/>
        </w:rPr>
        <w:t xml:space="preserve"> </w:t>
      </w:r>
      <w:r>
        <w:rPr>
          <w:spacing w:val="-2"/>
        </w:rPr>
        <w:t>of</w:t>
      </w:r>
      <w:r>
        <w:rPr>
          <w:spacing w:val="-17"/>
        </w:rPr>
        <w:t xml:space="preserve"> </w:t>
      </w:r>
      <w:r>
        <w:rPr>
          <w:spacing w:val="-2"/>
        </w:rPr>
        <w:t>relative</w:t>
      </w:r>
      <w:r>
        <w:rPr>
          <w:spacing w:val="-16"/>
        </w:rPr>
        <w:t xml:space="preserve"> </w:t>
      </w:r>
      <w:r>
        <w:rPr>
          <w:spacing w:val="-2"/>
        </w:rPr>
        <w:t>heights,</w:t>
      </w:r>
      <w:r>
        <w:rPr>
          <w:spacing w:val="-17"/>
        </w:rPr>
        <w:t xml:space="preserve"> </w:t>
      </w:r>
      <w:r>
        <w:rPr>
          <w:spacing w:val="-2"/>
        </w:rPr>
        <w:t>distances,</w:t>
      </w:r>
      <w:r>
        <w:rPr>
          <w:spacing w:val="-16"/>
        </w:rPr>
        <w:t xml:space="preserve"> </w:t>
      </w:r>
      <w:r>
        <w:rPr>
          <w:spacing w:val="-2"/>
        </w:rPr>
        <w:t>velocities,</w:t>
      </w:r>
      <w:r>
        <w:rPr>
          <w:spacing w:val="-17"/>
        </w:rPr>
        <w:t xml:space="preserve"> </w:t>
      </w:r>
      <w:r>
        <w:rPr>
          <w:spacing w:val="-2"/>
        </w:rPr>
        <w:t>temperatures,</w:t>
      </w:r>
      <w:r>
        <w:rPr>
          <w:spacing w:val="-16"/>
        </w:rPr>
        <w:t xml:space="preserve"> </w:t>
      </w:r>
      <w:r>
        <w:rPr>
          <w:spacing w:val="-2"/>
        </w:rPr>
        <w:t>and</w:t>
      </w:r>
      <w:r>
        <w:rPr>
          <w:spacing w:val="-17"/>
        </w:rPr>
        <w:t xml:space="preserve"> </w:t>
      </w:r>
      <w:r>
        <w:rPr>
          <w:spacing w:val="-2"/>
        </w:rPr>
        <w:t xml:space="preserve">masses; </w:t>
      </w:r>
      <w:r>
        <w:t>our</w:t>
      </w:r>
      <w:r>
        <w:rPr>
          <w:spacing w:val="-6"/>
        </w:rPr>
        <w:t xml:space="preserve"> </w:t>
      </w:r>
      <w:r>
        <w:t>eyes</w:t>
      </w:r>
      <w:r>
        <w:rPr>
          <w:spacing w:val="-6"/>
        </w:rPr>
        <w:t xml:space="preserve"> </w:t>
      </w:r>
      <w:r>
        <w:t>tell</w:t>
      </w:r>
      <w:r>
        <w:rPr>
          <w:spacing w:val="-7"/>
        </w:rPr>
        <w:t xml:space="preserve"> </w:t>
      </w:r>
      <w:r>
        <w:t>us,</w:t>
      </w:r>
      <w:r>
        <w:rPr>
          <w:spacing w:val="-6"/>
        </w:rPr>
        <w:t xml:space="preserve"> </w:t>
      </w:r>
      <w:r>
        <w:t>not</w:t>
      </w:r>
      <w:r>
        <w:rPr>
          <w:spacing w:val="-7"/>
        </w:rPr>
        <w:t xml:space="preserve"> </w:t>
      </w:r>
      <w:r>
        <w:t>that</w:t>
      </w:r>
      <w:r>
        <w:rPr>
          <w:spacing w:val="-7"/>
        </w:rPr>
        <w:t xml:space="preserve"> </w:t>
      </w:r>
      <w:r>
        <w:t>the</w:t>
      </w:r>
      <w:r>
        <w:rPr>
          <w:spacing w:val="-6"/>
        </w:rPr>
        <w:t xml:space="preserve"> </w:t>
      </w:r>
      <w:r>
        <w:t>car</w:t>
      </w:r>
      <w:r>
        <w:rPr>
          <w:spacing w:val="-6"/>
        </w:rPr>
        <w:t xml:space="preserve"> </w:t>
      </w:r>
      <w:r>
        <w:t>is</w:t>
      </w:r>
      <w:r>
        <w:rPr>
          <w:spacing w:val="-6"/>
        </w:rPr>
        <w:t xml:space="preserve"> </w:t>
      </w:r>
      <w:r>
        <w:t>going</w:t>
      </w:r>
      <w:r>
        <w:rPr>
          <w:spacing w:val="-6"/>
        </w:rPr>
        <w:t xml:space="preserve"> </w:t>
      </w:r>
      <w:r>
        <w:t>35</w:t>
      </w:r>
      <w:r>
        <w:rPr>
          <w:spacing w:val="-6"/>
        </w:rPr>
        <w:t xml:space="preserve"> </w:t>
      </w:r>
      <w:r>
        <w:t>mph,</w:t>
      </w:r>
      <w:r>
        <w:rPr>
          <w:spacing w:val="-6"/>
        </w:rPr>
        <w:t xml:space="preserve"> </w:t>
      </w:r>
      <w:r>
        <w:t>but</w:t>
      </w:r>
      <w:r>
        <w:rPr>
          <w:spacing w:val="-6"/>
        </w:rPr>
        <w:t xml:space="preserve"> </w:t>
      </w:r>
      <w:r>
        <w:t>that</w:t>
      </w:r>
      <w:r>
        <w:rPr>
          <w:spacing w:val="-6"/>
        </w:rPr>
        <w:t xml:space="preserve"> </w:t>
      </w:r>
      <w:r>
        <w:t>it</w:t>
      </w:r>
      <w:r>
        <w:rPr>
          <w:spacing w:val="-6"/>
        </w:rPr>
        <w:t xml:space="preserve"> </w:t>
      </w:r>
      <w:r>
        <w:t>is</w:t>
      </w:r>
      <w:r>
        <w:rPr>
          <w:spacing w:val="-6"/>
        </w:rPr>
        <w:t xml:space="preserve"> </w:t>
      </w:r>
      <w:r>
        <w:t>going</w:t>
      </w:r>
      <w:r>
        <w:rPr>
          <w:spacing w:val="-6"/>
        </w:rPr>
        <w:t xml:space="preserve"> </w:t>
      </w:r>
      <w:r>
        <w:t>faster</w:t>
      </w:r>
      <w:r>
        <w:rPr>
          <w:spacing w:val="-6"/>
        </w:rPr>
        <w:t xml:space="preserve"> </w:t>
      </w:r>
      <w:r>
        <w:t>than that</w:t>
      </w:r>
      <w:r>
        <w:rPr>
          <w:spacing w:val="-13"/>
        </w:rPr>
        <w:t xml:space="preserve"> </w:t>
      </w:r>
      <w:r>
        <w:t>other</w:t>
      </w:r>
      <w:r>
        <w:rPr>
          <w:spacing w:val="-13"/>
        </w:rPr>
        <w:t xml:space="preserve"> </w:t>
      </w:r>
      <w:r>
        <w:t>car;</w:t>
      </w:r>
      <w:r>
        <w:rPr>
          <w:spacing w:val="-13"/>
        </w:rPr>
        <w:t xml:space="preserve"> </w:t>
      </w:r>
      <w:r>
        <w:t>our</w:t>
      </w:r>
      <w:r>
        <w:rPr>
          <w:spacing w:val="-13"/>
        </w:rPr>
        <w:t xml:space="preserve"> </w:t>
      </w:r>
      <w:r>
        <w:t>muscles,</w:t>
      </w:r>
      <w:r>
        <w:rPr>
          <w:spacing w:val="-13"/>
        </w:rPr>
        <w:t xml:space="preserve"> </w:t>
      </w:r>
      <w:r>
        <w:t>when</w:t>
      </w:r>
      <w:r>
        <w:rPr>
          <w:spacing w:val="-13"/>
        </w:rPr>
        <w:t xml:space="preserve"> </w:t>
      </w:r>
      <w:r>
        <w:t>we</w:t>
      </w:r>
      <w:r>
        <w:rPr>
          <w:spacing w:val="-13"/>
        </w:rPr>
        <w:t xml:space="preserve"> </w:t>
      </w:r>
      <w:r>
        <w:t>exert</w:t>
      </w:r>
      <w:r>
        <w:rPr>
          <w:spacing w:val="-13"/>
        </w:rPr>
        <w:t xml:space="preserve"> </w:t>
      </w:r>
      <w:r>
        <w:t>ourselves,</w:t>
      </w:r>
      <w:r>
        <w:rPr>
          <w:spacing w:val="-13"/>
        </w:rPr>
        <w:t xml:space="preserve"> </w:t>
      </w:r>
      <w:r>
        <w:t>tell</w:t>
      </w:r>
      <w:r>
        <w:rPr>
          <w:spacing w:val="-13"/>
        </w:rPr>
        <w:t xml:space="preserve"> </w:t>
      </w:r>
      <w:r>
        <w:t>us</w:t>
      </w:r>
      <w:r>
        <w:rPr>
          <w:spacing w:val="-13"/>
        </w:rPr>
        <w:t xml:space="preserve"> </w:t>
      </w:r>
      <w:r>
        <w:t>not</w:t>
      </w:r>
      <w:r>
        <w:rPr>
          <w:spacing w:val="-13"/>
        </w:rPr>
        <w:t xml:space="preserve"> </w:t>
      </w:r>
      <w:r>
        <w:t>that</w:t>
      </w:r>
      <w:r>
        <w:rPr>
          <w:spacing w:val="-13"/>
        </w:rPr>
        <w:t xml:space="preserve"> </w:t>
      </w:r>
      <w:r>
        <w:t>the</w:t>
      </w:r>
      <w:r>
        <w:rPr>
          <w:spacing w:val="-13"/>
        </w:rPr>
        <w:t xml:space="preserve"> </w:t>
      </w:r>
      <w:r>
        <w:t>barbell weighs</w:t>
      </w:r>
      <w:r>
        <w:rPr>
          <w:spacing w:val="-19"/>
        </w:rPr>
        <w:t xml:space="preserve"> </w:t>
      </w:r>
      <w:r>
        <w:t>215</w:t>
      </w:r>
      <w:r>
        <w:rPr>
          <w:spacing w:val="-19"/>
        </w:rPr>
        <w:t xml:space="preserve"> </w:t>
      </w:r>
      <w:r>
        <w:t>pounds,</w:t>
      </w:r>
      <w:r>
        <w:rPr>
          <w:spacing w:val="-19"/>
        </w:rPr>
        <w:t xml:space="preserve"> </w:t>
      </w:r>
      <w:r>
        <w:t>but</w:t>
      </w:r>
      <w:r>
        <w:rPr>
          <w:spacing w:val="-18"/>
        </w:rPr>
        <w:t xml:space="preserve"> </w:t>
      </w:r>
      <w:r>
        <w:t>that</w:t>
      </w:r>
      <w:r>
        <w:rPr>
          <w:spacing w:val="-19"/>
        </w:rPr>
        <w:t xml:space="preserve"> </w:t>
      </w:r>
      <w:r>
        <w:t>it</w:t>
      </w:r>
      <w:r>
        <w:rPr>
          <w:spacing w:val="-19"/>
        </w:rPr>
        <w:t xml:space="preserve"> </w:t>
      </w:r>
      <w:r>
        <w:t>weighs</w:t>
      </w:r>
      <w:r>
        <w:rPr>
          <w:spacing w:val="-19"/>
        </w:rPr>
        <w:t xml:space="preserve"> </w:t>
      </w:r>
      <w:r>
        <w:t>more</w:t>
      </w:r>
      <w:r>
        <w:rPr>
          <w:spacing w:val="-18"/>
        </w:rPr>
        <w:t xml:space="preserve"> </w:t>
      </w:r>
      <w:r>
        <w:t>than</w:t>
      </w:r>
      <w:r>
        <w:rPr>
          <w:spacing w:val="-19"/>
        </w:rPr>
        <w:t xml:space="preserve"> </w:t>
      </w:r>
      <w:r>
        <w:t>the</w:t>
      </w:r>
      <w:r>
        <w:rPr>
          <w:spacing w:val="-19"/>
        </w:rPr>
        <w:t xml:space="preserve"> </w:t>
      </w:r>
      <w:r>
        <w:t>barbells</w:t>
      </w:r>
      <w:r>
        <w:rPr>
          <w:spacing w:val="-18"/>
        </w:rPr>
        <w:t xml:space="preserve"> </w:t>
      </w:r>
      <w:r>
        <w:t>we</w:t>
      </w:r>
      <w:r>
        <w:rPr>
          <w:spacing w:val="-18"/>
        </w:rPr>
        <w:t xml:space="preserve"> </w:t>
      </w:r>
      <w:r>
        <w:t>tried</w:t>
      </w:r>
      <w:r>
        <w:rPr>
          <w:spacing w:val="-18"/>
        </w:rPr>
        <w:t xml:space="preserve"> </w:t>
      </w:r>
      <w:r>
        <w:t>to</w:t>
      </w:r>
      <w:r>
        <w:rPr>
          <w:spacing w:val="-18"/>
        </w:rPr>
        <w:t xml:space="preserve"> </w:t>
      </w:r>
      <w:r>
        <w:t>move</w:t>
      </w:r>
      <w:r>
        <w:rPr>
          <w:spacing w:val="-18"/>
        </w:rPr>
        <w:t xml:space="preserve"> </w:t>
      </w:r>
      <w:r>
        <w:t>a moment</w:t>
      </w:r>
      <w:r>
        <w:rPr>
          <w:spacing w:val="-14"/>
        </w:rPr>
        <w:t xml:space="preserve"> </w:t>
      </w:r>
      <w:r>
        <w:t>ago.</w:t>
      </w:r>
      <w:r>
        <w:rPr>
          <w:spacing w:val="-14"/>
        </w:rPr>
        <w:t xml:space="preserve"> </w:t>
      </w:r>
      <w:r>
        <w:t>Our</w:t>
      </w:r>
      <w:r>
        <w:rPr>
          <w:spacing w:val="-14"/>
        </w:rPr>
        <w:t xml:space="preserve"> </w:t>
      </w:r>
      <w:r>
        <w:t>senses</w:t>
      </w:r>
      <w:r>
        <w:rPr>
          <w:spacing w:val="-14"/>
        </w:rPr>
        <w:t xml:space="preserve"> </w:t>
      </w:r>
      <w:r>
        <w:t>tell</w:t>
      </w:r>
      <w:r>
        <w:rPr>
          <w:spacing w:val="-14"/>
        </w:rPr>
        <w:t xml:space="preserve"> </w:t>
      </w:r>
      <w:r>
        <w:t>us,</w:t>
      </w:r>
      <w:r>
        <w:rPr>
          <w:spacing w:val="-14"/>
        </w:rPr>
        <w:t xml:space="preserve"> </w:t>
      </w:r>
      <w:r>
        <w:t>not</w:t>
      </w:r>
      <w:r>
        <w:rPr>
          <w:spacing w:val="-14"/>
        </w:rPr>
        <w:t xml:space="preserve"> </w:t>
      </w:r>
      <w:r>
        <w:t>that</w:t>
      </w:r>
      <w:r>
        <w:rPr>
          <w:spacing w:val="-14"/>
        </w:rPr>
        <w:t xml:space="preserve"> </w:t>
      </w:r>
      <w:r>
        <w:t>Smith</w:t>
      </w:r>
      <w:r>
        <w:rPr>
          <w:spacing w:val="-14"/>
        </w:rPr>
        <w:t xml:space="preserve"> </w:t>
      </w:r>
      <w:r>
        <w:t>is</w:t>
      </w:r>
      <w:r>
        <w:rPr>
          <w:spacing w:val="-14"/>
        </w:rPr>
        <w:t xml:space="preserve"> </w:t>
      </w:r>
      <w:r>
        <w:t>7-feet</w:t>
      </w:r>
      <w:r>
        <w:rPr>
          <w:spacing w:val="-14"/>
        </w:rPr>
        <w:t xml:space="preserve"> </w:t>
      </w:r>
      <w:r>
        <w:t>tall,</w:t>
      </w:r>
      <w:r>
        <w:rPr>
          <w:spacing w:val="-14"/>
        </w:rPr>
        <w:t xml:space="preserve"> </w:t>
      </w:r>
      <w:r>
        <w:t>but</w:t>
      </w:r>
      <w:r>
        <w:rPr>
          <w:spacing w:val="-14"/>
        </w:rPr>
        <w:t xml:space="preserve"> </w:t>
      </w:r>
      <w:r>
        <w:t>that</w:t>
      </w:r>
      <w:r>
        <w:rPr>
          <w:spacing w:val="-14"/>
        </w:rPr>
        <w:t xml:space="preserve"> </w:t>
      </w:r>
      <w:r>
        <w:t>he</w:t>
      </w:r>
      <w:r>
        <w:rPr>
          <w:spacing w:val="-14"/>
        </w:rPr>
        <w:t xml:space="preserve"> </w:t>
      </w:r>
      <w:r>
        <w:t>is</w:t>
      </w:r>
      <w:r>
        <w:rPr>
          <w:spacing w:val="-14"/>
        </w:rPr>
        <w:t xml:space="preserve"> </w:t>
      </w:r>
      <w:r>
        <w:t xml:space="preserve">much </w:t>
      </w:r>
      <w:r>
        <w:rPr>
          <w:spacing w:val="-2"/>
        </w:rPr>
        <w:t>taller</w:t>
      </w:r>
      <w:r>
        <w:rPr>
          <w:spacing w:val="-17"/>
        </w:rPr>
        <w:t xml:space="preserve"> </w:t>
      </w:r>
      <w:r>
        <w:rPr>
          <w:spacing w:val="-2"/>
        </w:rPr>
        <w:t>than</w:t>
      </w:r>
      <w:r>
        <w:rPr>
          <w:spacing w:val="-15"/>
        </w:rPr>
        <w:t xml:space="preserve"> </w:t>
      </w:r>
      <w:r>
        <w:rPr>
          <w:spacing w:val="-2"/>
        </w:rPr>
        <w:t>Jones.</w:t>
      </w:r>
      <w:r>
        <w:rPr>
          <w:spacing w:val="-17"/>
        </w:rPr>
        <w:t xml:space="preserve"> </w:t>
      </w:r>
      <w:r>
        <w:rPr>
          <w:spacing w:val="-2"/>
        </w:rPr>
        <w:t>And</w:t>
      </w:r>
      <w:r>
        <w:rPr>
          <w:spacing w:val="-11"/>
        </w:rPr>
        <w:t xml:space="preserve"> </w:t>
      </w:r>
      <w:r>
        <w:rPr>
          <w:spacing w:val="-2"/>
        </w:rPr>
        <w:t>our</w:t>
      </w:r>
      <w:r>
        <w:rPr>
          <w:spacing w:val="-12"/>
        </w:rPr>
        <w:t xml:space="preserve"> </w:t>
      </w:r>
      <w:r>
        <w:rPr>
          <w:spacing w:val="-2"/>
        </w:rPr>
        <w:t>senses</w:t>
      </w:r>
      <w:r>
        <w:rPr>
          <w:spacing w:val="-12"/>
        </w:rPr>
        <w:t xml:space="preserve"> </w:t>
      </w:r>
      <w:r>
        <w:rPr>
          <w:spacing w:val="-2"/>
        </w:rPr>
        <w:t>tell</w:t>
      </w:r>
      <w:r>
        <w:rPr>
          <w:spacing w:val="-12"/>
        </w:rPr>
        <w:t xml:space="preserve"> </w:t>
      </w:r>
      <w:r>
        <w:rPr>
          <w:spacing w:val="-2"/>
        </w:rPr>
        <w:t>us</w:t>
      </w:r>
      <w:r>
        <w:rPr>
          <w:spacing w:val="-12"/>
        </w:rPr>
        <w:t xml:space="preserve"> </w:t>
      </w:r>
      <w:r>
        <w:rPr>
          <w:spacing w:val="-2"/>
        </w:rPr>
        <w:t>where</w:t>
      </w:r>
      <w:r>
        <w:rPr>
          <w:spacing w:val="-12"/>
        </w:rPr>
        <w:t xml:space="preserve"> </w:t>
      </w:r>
      <w:r>
        <w:rPr>
          <w:spacing w:val="-2"/>
        </w:rPr>
        <w:t>things</w:t>
      </w:r>
      <w:r>
        <w:rPr>
          <w:spacing w:val="-12"/>
        </w:rPr>
        <w:t xml:space="preserve"> </w:t>
      </w:r>
      <w:r>
        <w:rPr>
          <w:spacing w:val="-2"/>
        </w:rPr>
        <w:t>are,</w:t>
      </w:r>
      <w:r>
        <w:rPr>
          <w:spacing w:val="-11"/>
        </w:rPr>
        <w:t xml:space="preserve"> </w:t>
      </w:r>
      <w:r>
        <w:rPr>
          <w:spacing w:val="-2"/>
        </w:rPr>
        <w:t>not</w:t>
      </w:r>
      <w:r>
        <w:rPr>
          <w:spacing w:val="-12"/>
        </w:rPr>
        <w:t xml:space="preserve"> </w:t>
      </w:r>
      <w:r>
        <w:rPr>
          <w:spacing w:val="-2"/>
        </w:rPr>
        <w:t>in</w:t>
      </w:r>
      <w:r>
        <w:rPr>
          <w:spacing w:val="-11"/>
        </w:rPr>
        <w:t xml:space="preserve"> </w:t>
      </w:r>
      <w:r>
        <w:rPr>
          <w:spacing w:val="-2"/>
        </w:rPr>
        <w:t>relation</w:t>
      </w:r>
      <w:r>
        <w:rPr>
          <w:spacing w:val="-11"/>
        </w:rPr>
        <w:t xml:space="preserve"> </w:t>
      </w:r>
      <w:r>
        <w:rPr>
          <w:spacing w:val="-2"/>
        </w:rPr>
        <w:t>to</w:t>
      </w:r>
      <w:r>
        <w:rPr>
          <w:spacing w:val="-11"/>
        </w:rPr>
        <w:t xml:space="preserve"> </w:t>
      </w:r>
      <w:r>
        <w:rPr>
          <w:spacing w:val="-2"/>
        </w:rPr>
        <w:t xml:space="preserve">some </w:t>
      </w:r>
      <w:r>
        <w:t>absolute</w:t>
      </w:r>
      <w:r>
        <w:rPr>
          <w:spacing w:val="-16"/>
        </w:rPr>
        <w:t xml:space="preserve"> </w:t>
      </w:r>
      <w:r>
        <w:t>coordinate</w:t>
      </w:r>
      <w:r>
        <w:rPr>
          <w:spacing w:val="-16"/>
        </w:rPr>
        <w:t xml:space="preserve"> </w:t>
      </w:r>
      <w:r>
        <w:t>system,</w:t>
      </w:r>
      <w:r>
        <w:rPr>
          <w:spacing w:val="-16"/>
        </w:rPr>
        <w:t xml:space="preserve"> </w:t>
      </w:r>
      <w:r>
        <w:t>but</w:t>
      </w:r>
      <w:r>
        <w:rPr>
          <w:spacing w:val="-16"/>
        </w:rPr>
        <w:t xml:space="preserve"> </w:t>
      </w:r>
      <w:r>
        <w:t>in</w:t>
      </w:r>
      <w:r>
        <w:rPr>
          <w:spacing w:val="-16"/>
        </w:rPr>
        <w:t xml:space="preserve"> </w:t>
      </w:r>
      <w:r>
        <w:t>relation</w:t>
      </w:r>
      <w:r>
        <w:rPr>
          <w:spacing w:val="-16"/>
        </w:rPr>
        <w:t xml:space="preserve"> </w:t>
      </w:r>
      <w:r>
        <w:t>to</w:t>
      </w:r>
      <w:r>
        <w:rPr>
          <w:spacing w:val="-16"/>
        </w:rPr>
        <w:t xml:space="preserve"> </w:t>
      </w:r>
      <w:r>
        <w:t>us.</w:t>
      </w:r>
      <w:r>
        <w:rPr>
          <w:spacing w:val="-16"/>
        </w:rPr>
        <w:t xml:space="preserve"> </w:t>
      </w:r>
      <w:r>
        <w:t>So</w:t>
      </w:r>
      <w:r>
        <w:rPr>
          <w:spacing w:val="-16"/>
        </w:rPr>
        <w:t xml:space="preserve"> </w:t>
      </w:r>
      <w:r>
        <w:t>the</w:t>
      </w:r>
      <w:r>
        <w:rPr>
          <w:spacing w:val="-16"/>
        </w:rPr>
        <w:t xml:space="preserve"> </w:t>
      </w:r>
      <w:r>
        <w:t>information</w:t>
      </w:r>
      <w:r>
        <w:rPr>
          <w:spacing w:val="-16"/>
        </w:rPr>
        <w:t xml:space="preserve"> </w:t>
      </w:r>
      <w:r>
        <w:t>given</w:t>
      </w:r>
      <w:r>
        <w:rPr>
          <w:spacing w:val="-16"/>
        </w:rPr>
        <w:t xml:space="preserve"> </w:t>
      </w:r>
      <w:r>
        <w:t>to</w:t>
      </w:r>
      <w:r>
        <w:rPr>
          <w:spacing w:val="-16"/>
        </w:rPr>
        <w:t xml:space="preserve"> </w:t>
      </w:r>
      <w:r>
        <w:t>us by</w:t>
      </w:r>
      <w:r>
        <w:rPr>
          <w:spacing w:val="-13"/>
        </w:rPr>
        <w:t xml:space="preserve"> </w:t>
      </w:r>
      <w:r>
        <w:t>our</w:t>
      </w:r>
      <w:r>
        <w:rPr>
          <w:spacing w:val="-13"/>
        </w:rPr>
        <w:t xml:space="preserve"> </w:t>
      </w:r>
      <w:r>
        <w:t>senses</w:t>
      </w:r>
      <w:r>
        <w:rPr>
          <w:spacing w:val="-13"/>
        </w:rPr>
        <w:t xml:space="preserve"> </w:t>
      </w:r>
      <w:r>
        <w:t>is</w:t>
      </w:r>
      <w:r>
        <w:rPr>
          <w:spacing w:val="-13"/>
        </w:rPr>
        <w:t xml:space="preserve"> </w:t>
      </w:r>
      <w:r>
        <w:t>relational</w:t>
      </w:r>
      <w:r>
        <w:rPr>
          <w:spacing w:val="-13"/>
        </w:rPr>
        <w:t xml:space="preserve"> </w:t>
      </w:r>
      <w:r>
        <w:t>in</w:t>
      </w:r>
      <w:r>
        <w:rPr>
          <w:spacing w:val="-13"/>
        </w:rPr>
        <w:t xml:space="preserve"> </w:t>
      </w:r>
      <w:r>
        <w:t>two</w:t>
      </w:r>
      <w:r>
        <w:rPr>
          <w:spacing w:val="-13"/>
        </w:rPr>
        <w:t xml:space="preserve"> </w:t>
      </w:r>
      <w:r>
        <w:t>senses:</w:t>
      </w:r>
      <w:r>
        <w:rPr>
          <w:spacing w:val="-13"/>
        </w:rPr>
        <w:t xml:space="preserve"> </w:t>
      </w:r>
      <w:r>
        <w:t>objects</w:t>
      </w:r>
      <w:r>
        <w:rPr>
          <w:spacing w:val="-13"/>
        </w:rPr>
        <w:t xml:space="preserve"> </w:t>
      </w:r>
      <w:r>
        <w:t>are</w:t>
      </w:r>
      <w:r>
        <w:rPr>
          <w:spacing w:val="-13"/>
        </w:rPr>
        <w:t xml:space="preserve"> </w:t>
      </w:r>
      <w:r>
        <w:t>related</w:t>
      </w:r>
      <w:r>
        <w:rPr>
          <w:spacing w:val="-13"/>
        </w:rPr>
        <w:t xml:space="preserve"> </w:t>
      </w:r>
      <w:r>
        <w:t>to</w:t>
      </w:r>
      <w:r>
        <w:rPr>
          <w:spacing w:val="-13"/>
        </w:rPr>
        <w:t xml:space="preserve"> </w:t>
      </w:r>
      <w:r>
        <w:t>one</w:t>
      </w:r>
      <w:r>
        <w:rPr>
          <w:spacing w:val="-13"/>
        </w:rPr>
        <w:t xml:space="preserve"> </w:t>
      </w:r>
      <w:r>
        <w:t>another;</w:t>
      </w:r>
      <w:r>
        <w:rPr>
          <w:spacing w:val="-13"/>
        </w:rPr>
        <w:t xml:space="preserve"> </w:t>
      </w:r>
      <w:r>
        <w:t xml:space="preserve">and they are also related to an egocentric, as opposed to universal, coordinate </w:t>
      </w:r>
      <w:r>
        <w:rPr>
          <w:spacing w:val="-2"/>
        </w:rPr>
        <w:t>system.</w:t>
      </w:r>
    </w:p>
    <w:p w14:paraId="7E001ACF" w14:textId="77777777" w:rsidR="009A58DB" w:rsidRDefault="00000000">
      <w:pPr>
        <w:pStyle w:val="BodyText"/>
        <w:spacing w:before="15" w:line="249" w:lineRule="auto"/>
        <w:ind w:right="357" w:firstLine="360"/>
      </w:pPr>
      <w:r>
        <w:t>Once this is taken into account, it is clear why Berkeley’s argument crumbles. Consider a situation where X is walking at a rate of 1 mph, Y is sprinting at a rate of 30 mph, and Z is driving at a rate of 90 mph. (X, Y, and Z can see each other; they have good vision and normal cognitive capacities. So they know, at least approximately, what their relative velocities are.) According to Berkeley, X’s perception of Y is simply this: Y IS MOVING SLOWLY. And, according to Berkeley, Z’s perception of Y is simply: Y IS MOVING</w:t>
      </w:r>
      <w:r>
        <w:rPr>
          <w:spacing w:val="-3"/>
        </w:rPr>
        <w:t xml:space="preserve"> </w:t>
      </w:r>
      <w:r>
        <w:t>SLOWLY.</w:t>
      </w:r>
      <w:r>
        <w:rPr>
          <w:spacing w:val="-3"/>
        </w:rPr>
        <w:t xml:space="preserve"> </w:t>
      </w:r>
      <w:r>
        <w:t>And,</w:t>
      </w:r>
      <w:r>
        <w:rPr>
          <w:spacing w:val="-3"/>
        </w:rPr>
        <w:t xml:space="preserve"> </w:t>
      </w:r>
      <w:r>
        <w:t>on</w:t>
      </w:r>
      <w:r>
        <w:rPr>
          <w:spacing w:val="-3"/>
        </w:rPr>
        <w:t xml:space="preserve"> </w:t>
      </w:r>
      <w:r>
        <w:t>this</w:t>
      </w:r>
      <w:r>
        <w:rPr>
          <w:spacing w:val="-3"/>
        </w:rPr>
        <w:t xml:space="preserve"> </w:t>
      </w:r>
      <w:r>
        <w:t>basis,</w:t>
      </w:r>
      <w:r>
        <w:rPr>
          <w:spacing w:val="-3"/>
        </w:rPr>
        <w:t xml:space="preserve"> </w:t>
      </w:r>
      <w:r>
        <w:t>Berkeley</w:t>
      </w:r>
      <w:r>
        <w:rPr>
          <w:spacing w:val="-3"/>
        </w:rPr>
        <w:t xml:space="preserve"> </w:t>
      </w:r>
      <w:r>
        <w:t>concludes</w:t>
      </w:r>
      <w:r>
        <w:rPr>
          <w:spacing w:val="-3"/>
        </w:rPr>
        <w:t xml:space="preserve"> </w:t>
      </w:r>
      <w:r>
        <w:t>that</w:t>
      </w:r>
      <w:r>
        <w:rPr>
          <w:spacing w:val="-3"/>
        </w:rPr>
        <w:t xml:space="preserve"> </w:t>
      </w:r>
      <w:r>
        <w:t>Y’s</w:t>
      </w:r>
      <w:r>
        <w:rPr>
          <w:spacing w:val="-3"/>
        </w:rPr>
        <w:t xml:space="preserve"> </w:t>
      </w:r>
      <w:r>
        <w:t>state</w:t>
      </w:r>
      <w:r>
        <w:rPr>
          <w:spacing w:val="-3"/>
        </w:rPr>
        <w:t xml:space="preserve"> </w:t>
      </w:r>
      <w:r>
        <w:t>of motion (his velocity and, by similar arguments, his trajectory) exists only in the</w:t>
      </w:r>
      <w:r>
        <w:rPr>
          <w:spacing w:val="73"/>
        </w:rPr>
        <w:t xml:space="preserve"> </w:t>
      </w:r>
      <w:r>
        <w:t>mind</w:t>
      </w:r>
      <w:r>
        <w:rPr>
          <w:spacing w:val="75"/>
        </w:rPr>
        <w:t xml:space="preserve"> </w:t>
      </w:r>
      <w:r>
        <w:t>(or,</w:t>
      </w:r>
      <w:r>
        <w:rPr>
          <w:spacing w:val="76"/>
        </w:rPr>
        <w:t xml:space="preserve"> </w:t>
      </w:r>
      <w:r>
        <w:t>more</w:t>
      </w:r>
      <w:r>
        <w:rPr>
          <w:spacing w:val="75"/>
        </w:rPr>
        <w:t xml:space="preserve"> </w:t>
      </w:r>
      <w:r>
        <w:t>accurately,</w:t>
      </w:r>
      <w:r>
        <w:rPr>
          <w:spacing w:val="76"/>
        </w:rPr>
        <w:t xml:space="preserve"> </w:t>
      </w:r>
      <w:r>
        <w:t>in</w:t>
      </w:r>
      <w:r>
        <w:rPr>
          <w:spacing w:val="75"/>
        </w:rPr>
        <w:t xml:space="preserve"> </w:t>
      </w:r>
      <w:r>
        <w:t>the</w:t>
      </w:r>
      <w:r>
        <w:rPr>
          <w:spacing w:val="76"/>
        </w:rPr>
        <w:t xml:space="preserve"> </w:t>
      </w:r>
      <w:r>
        <w:t>minds</w:t>
      </w:r>
      <w:r>
        <w:rPr>
          <w:spacing w:val="75"/>
        </w:rPr>
        <w:t xml:space="preserve"> </w:t>
      </w:r>
      <w:r>
        <w:t>of</w:t>
      </w:r>
      <w:r>
        <w:rPr>
          <w:spacing w:val="75"/>
        </w:rPr>
        <w:t xml:space="preserve"> </w:t>
      </w:r>
      <w:r>
        <w:t>X</w:t>
      </w:r>
      <w:r>
        <w:rPr>
          <w:spacing w:val="76"/>
        </w:rPr>
        <w:t xml:space="preserve"> </w:t>
      </w:r>
      <w:r>
        <w:t>and</w:t>
      </w:r>
      <w:r>
        <w:rPr>
          <w:spacing w:val="75"/>
        </w:rPr>
        <w:t xml:space="preserve"> </w:t>
      </w:r>
      <w:r>
        <w:t>Z</w:t>
      </w:r>
      <w:r>
        <w:rPr>
          <w:spacing w:val="75"/>
        </w:rPr>
        <w:t xml:space="preserve"> </w:t>
      </w:r>
      <w:r>
        <w:t>and</w:t>
      </w:r>
      <w:r>
        <w:rPr>
          <w:spacing w:val="75"/>
        </w:rPr>
        <w:t xml:space="preserve"> </w:t>
      </w:r>
      <w:r>
        <w:t>any</w:t>
      </w:r>
      <w:r>
        <w:rPr>
          <w:spacing w:val="76"/>
        </w:rPr>
        <w:t xml:space="preserve"> </w:t>
      </w:r>
      <w:r>
        <w:rPr>
          <w:spacing w:val="-2"/>
        </w:rPr>
        <w:t>other</w:t>
      </w:r>
    </w:p>
    <w:p w14:paraId="7E001A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D1" w14:textId="77777777" w:rsidR="009A58DB" w:rsidRDefault="00000000">
      <w:pPr>
        <w:pStyle w:val="BodyText"/>
        <w:spacing w:before="60" w:line="249" w:lineRule="auto"/>
        <w:ind w:right="360"/>
      </w:pPr>
      <w:r>
        <w:lastRenderedPageBreak/>
        <w:t>observers of Y). But Berkeley has misreported what the relevant individuals are being told by their own eyes. X’s eyes don’t tell him: Y IS MOVING FAST. They tell him: Y IS MOVING FASTER THAN I AM. And Z’s eyes don’t tell him: Y IS MOVING SLOWLY. They tell him: Y IS MOVING MORE SLOWLY THAN I AM.</w:t>
      </w:r>
    </w:p>
    <w:p w14:paraId="7E001AD2" w14:textId="77777777" w:rsidR="009A58DB" w:rsidRDefault="00000000">
      <w:pPr>
        <w:pStyle w:val="BodyText"/>
        <w:spacing w:before="11" w:line="249" w:lineRule="auto"/>
        <w:ind w:right="368" w:firstLine="360"/>
      </w:pPr>
      <w:r>
        <w:t xml:space="preserve">So when we consider what Y’s eyes are telling him, and put it together with what Z’s are telling </w:t>
      </w:r>
      <w:r>
        <w:rPr>
          <w:i/>
        </w:rPr>
        <w:t xml:space="preserve">him </w:t>
      </w:r>
      <w:r>
        <w:t>(Z), what we get is this:</w:t>
      </w:r>
    </w:p>
    <w:p w14:paraId="7E001AD3" w14:textId="77777777" w:rsidR="009A58DB" w:rsidRDefault="009A58DB">
      <w:pPr>
        <w:pStyle w:val="BodyText"/>
        <w:spacing w:before="17"/>
        <w:ind w:left="0"/>
        <w:jc w:val="left"/>
      </w:pPr>
    </w:p>
    <w:p w14:paraId="7E001AD4" w14:textId="77777777" w:rsidR="009A58DB" w:rsidRDefault="00000000">
      <w:pPr>
        <w:pStyle w:val="ListParagraph"/>
        <w:numPr>
          <w:ilvl w:val="0"/>
          <w:numId w:val="108"/>
        </w:numPr>
        <w:tabs>
          <w:tab w:val="left" w:pos="715"/>
        </w:tabs>
        <w:ind w:left="715" w:hanging="355"/>
        <w:rPr>
          <w:sz w:val="30"/>
        </w:rPr>
      </w:pPr>
      <w:r>
        <w:rPr>
          <w:sz w:val="30"/>
        </w:rPr>
        <w:t>Z</w:t>
      </w:r>
      <w:r>
        <w:rPr>
          <w:spacing w:val="-5"/>
          <w:sz w:val="30"/>
        </w:rPr>
        <w:t xml:space="preserve"> </w:t>
      </w:r>
      <w:r>
        <w:rPr>
          <w:sz w:val="30"/>
        </w:rPr>
        <w:t>is</w:t>
      </w:r>
      <w:r>
        <w:rPr>
          <w:spacing w:val="-3"/>
          <w:sz w:val="30"/>
        </w:rPr>
        <w:t xml:space="preserve"> </w:t>
      </w:r>
      <w:r>
        <w:rPr>
          <w:sz w:val="30"/>
        </w:rPr>
        <w:t>moving</w:t>
      </w:r>
      <w:r>
        <w:rPr>
          <w:spacing w:val="-1"/>
          <w:sz w:val="30"/>
        </w:rPr>
        <w:t xml:space="preserve"> </w:t>
      </w:r>
      <w:r>
        <w:rPr>
          <w:sz w:val="30"/>
        </w:rPr>
        <w:t>fast</w:t>
      </w:r>
      <w:r>
        <w:rPr>
          <w:spacing w:val="-3"/>
          <w:sz w:val="30"/>
        </w:rPr>
        <w:t xml:space="preserve"> </w:t>
      </w:r>
      <w:r>
        <w:rPr>
          <w:sz w:val="30"/>
        </w:rPr>
        <w:t>then</w:t>
      </w:r>
      <w:r>
        <w:rPr>
          <w:spacing w:val="-2"/>
          <w:sz w:val="30"/>
        </w:rPr>
        <w:t xml:space="preserve"> </w:t>
      </w:r>
      <w:r>
        <w:rPr>
          <w:sz w:val="30"/>
        </w:rPr>
        <w:t>Y,</w:t>
      </w:r>
      <w:r>
        <w:rPr>
          <w:spacing w:val="-1"/>
          <w:sz w:val="30"/>
        </w:rPr>
        <w:t xml:space="preserve"> </w:t>
      </w:r>
      <w:r>
        <w:rPr>
          <w:sz w:val="30"/>
        </w:rPr>
        <w:t>and</w:t>
      </w:r>
      <w:r>
        <w:rPr>
          <w:spacing w:val="-2"/>
          <w:sz w:val="30"/>
        </w:rPr>
        <w:t xml:space="preserve"> </w:t>
      </w:r>
      <w:r>
        <w:rPr>
          <w:sz w:val="30"/>
        </w:rPr>
        <w:t>Y</w:t>
      </w:r>
      <w:r>
        <w:rPr>
          <w:spacing w:val="-3"/>
          <w:sz w:val="30"/>
        </w:rPr>
        <w:t xml:space="preserve"> </w:t>
      </w:r>
      <w:r>
        <w:rPr>
          <w:sz w:val="30"/>
        </w:rPr>
        <w:t>is</w:t>
      </w:r>
      <w:r>
        <w:rPr>
          <w:spacing w:val="-2"/>
          <w:sz w:val="30"/>
        </w:rPr>
        <w:t xml:space="preserve"> </w:t>
      </w:r>
      <w:r>
        <w:rPr>
          <w:sz w:val="30"/>
        </w:rPr>
        <w:t>moving</w:t>
      </w:r>
      <w:r>
        <w:rPr>
          <w:spacing w:val="-2"/>
          <w:sz w:val="30"/>
        </w:rPr>
        <w:t xml:space="preserve"> </w:t>
      </w:r>
      <w:r>
        <w:rPr>
          <w:sz w:val="30"/>
        </w:rPr>
        <w:t>faster</w:t>
      </w:r>
      <w:r>
        <w:rPr>
          <w:spacing w:val="-3"/>
          <w:sz w:val="30"/>
        </w:rPr>
        <w:t xml:space="preserve"> </w:t>
      </w:r>
      <w:r>
        <w:rPr>
          <w:sz w:val="30"/>
        </w:rPr>
        <w:t>than</w:t>
      </w:r>
      <w:r>
        <w:rPr>
          <w:spacing w:val="-1"/>
          <w:sz w:val="30"/>
        </w:rPr>
        <w:t xml:space="preserve"> </w:t>
      </w:r>
      <w:r>
        <w:rPr>
          <w:spacing w:val="-5"/>
          <w:sz w:val="30"/>
        </w:rPr>
        <w:t>X.</w:t>
      </w:r>
    </w:p>
    <w:p w14:paraId="7E001AD5" w14:textId="77777777" w:rsidR="009A58DB" w:rsidRDefault="009A58DB">
      <w:pPr>
        <w:pStyle w:val="BodyText"/>
        <w:spacing w:before="30"/>
        <w:ind w:left="0"/>
        <w:jc w:val="left"/>
      </w:pPr>
    </w:p>
    <w:p w14:paraId="7E001AD6" w14:textId="77777777" w:rsidR="009A58DB" w:rsidRDefault="00000000">
      <w:pPr>
        <w:pStyle w:val="BodyText"/>
        <w:spacing w:line="249" w:lineRule="auto"/>
        <w:ind w:right="363"/>
      </w:pPr>
      <w:r>
        <w:t>But there is nothing incoherent about (i). It does indeed attribute two properties to Y (namely, the property of moving slower than Z and the property of moving faster than X). But there is no reason why a thing can’t simultaneously have both properties; for those properties are not incompatible—they aren’t like the properties “square” and “circle.” (i) describes a state of affairs that can, without any incoherence or self-contradiction, be attributed to the external world.</w:t>
      </w:r>
    </w:p>
    <w:p w14:paraId="7E001AD7" w14:textId="77777777" w:rsidR="009A58DB" w:rsidRDefault="00000000">
      <w:pPr>
        <w:pStyle w:val="BodyText"/>
        <w:spacing w:before="9" w:line="249" w:lineRule="auto"/>
        <w:ind w:right="358" w:firstLine="360"/>
      </w:pPr>
      <w:r>
        <w:t>This reasoning is easily extended to undermine Berkeley’s argument in its entirety, as another story will help make clear. X is a tiny person—he’s 1-inch tall (but otherwise like us: good vision, good reasoning skills, etc.) Y is 1-foot</w:t>
      </w:r>
      <w:r>
        <w:rPr>
          <w:spacing w:val="-4"/>
        </w:rPr>
        <w:t xml:space="preserve"> </w:t>
      </w:r>
      <w:r>
        <w:t>tall</w:t>
      </w:r>
      <w:r>
        <w:rPr>
          <w:spacing w:val="-4"/>
        </w:rPr>
        <w:t xml:space="preserve"> </w:t>
      </w:r>
      <w:r>
        <w:t>(same</w:t>
      </w:r>
      <w:r>
        <w:rPr>
          <w:spacing w:val="-4"/>
        </w:rPr>
        <w:t xml:space="preserve"> </w:t>
      </w:r>
      <w:r>
        <w:t>qualification).</w:t>
      </w:r>
      <w:r>
        <w:rPr>
          <w:spacing w:val="-3"/>
        </w:rPr>
        <w:t xml:space="preserve"> </w:t>
      </w:r>
      <w:r>
        <w:t>And</w:t>
      </w:r>
      <w:r>
        <w:rPr>
          <w:spacing w:val="-3"/>
        </w:rPr>
        <w:t xml:space="preserve"> </w:t>
      </w:r>
      <w:r>
        <w:t>Z</w:t>
      </w:r>
      <w:r>
        <w:rPr>
          <w:spacing w:val="-4"/>
        </w:rPr>
        <w:t xml:space="preserve"> </w:t>
      </w:r>
      <w:r>
        <w:t>is</w:t>
      </w:r>
      <w:r>
        <w:rPr>
          <w:spacing w:val="-4"/>
        </w:rPr>
        <w:t xml:space="preserve"> </w:t>
      </w:r>
      <w:r>
        <w:t>6-feet</w:t>
      </w:r>
      <w:r>
        <w:rPr>
          <w:spacing w:val="-4"/>
        </w:rPr>
        <w:t xml:space="preserve"> </w:t>
      </w:r>
      <w:r>
        <w:t>tall</w:t>
      </w:r>
      <w:r>
        <w:rPr>
          <w:spacing w:val="-4"/>
        </w:rPr>
        <w:t xml:space="preserve"> </w:t>
      </w:r>
      <w:r>
        <w:t>(same</w:t>
      </w:r>
      <w:r>
        <w:rPr>
          <w:spacing w:val="-4"/>
        </w:rPr>
        <w:t xml:space="preserve"> </w:t>
      </w:r>
      <w:r>
        <w:t>qualification).</w:t>
      </w:r>
      <w:r>
        <w:rPr>
          <w:spacing w:val="-3"/>
        </w:rPr>
        <w:t xml:space="preserve"> </w:t>
      </w:r>
      <w:r>
        <w:t xml:space="preserve">They can all see one another. According to Berkeley, here’s what’s going on: Z’s eyes tell him: Y IS TINY. X’s eyes tell </w:t>
      </w:r>
      <w:r>
        <w:rPr>
          <w:i/>
        </w:rPr>
        <w:t xml:space="preserve">him </w:t>
      </w:r>
      <w:r>
        <w:t>(X): Y IS HUGE. Berkeley concludes Y is both tiny and huge and that, since nothing can be both tiny</w:t>
      </w:r>
      <w:r>
        <w:rPr>
          <w:spacing w:val="40"/>
        </w:rPr>
        <w:t xml:space="preserve"> </w:t>
      </w:r>
      <w:r>
        <w:t xml:space="preserve">and huge, size must be in the mind of the observer and not in the thing observed. But Berkeley is wrong about what X and Z are told by their senses. X’s eyes tell him: Y IS MUCH LARGER THAN I AM. Z’s senses tell </w:t>
      </w:r>
      <w:r>
        <w:rPr>
          <w:i/>
        </w:rPr>
        <w:t xml:space="preserve">him </w:t>
      </w:r>
      <w:r>
        <w:t>(Z): Y is much smaller than I am. So when we put together what X and Z are told by their senses, what we get is:</w:t>
      </w:r>
    </w:p>
    <w:p w14:paraId="7E001AD8" w14:textId="77777777" w:rsidR="009A58DB" w:rsidRDefault="009A58DB">
      <w:pPr>
        <w:pStyle w:val="BodyText"/>
        <w:spacing w:before="30"/>
        <w:ind w:left="0"/>
        <w:jc w:val="left"/>
      </w:pPr>
    </w:p>
    <w:p w14:paraId="7E001AD9" w14:textId="77777777" w:rsidR="009A58DB" w:rsidRDefault="00000000">
      <w:pPr>
        <w:pStyle w:val="ListParagraph"/>
        <w:numPr>
          <w:ilvl w:val="0"/>
          <w:numId w:val="108"/>
        </w:numPr>
        <w:tabs>
          <w:tab w:val="left" w:pos="797"/>
        </w:tabs>
        <w:ind w:left="797" w:hanging="437"/>
        <w:rPr>
          <w:sz w:val="30"/>
        </w:rPr>
      </w:pPr>
      <w:r>
        <w:rPr>
          <w:sz w:val="30"/>
        </w:rPr>
        <w:t>X</w:t>
      </w:r>
      <w:r>
        <w:rPr>
          <w:spacing w:val="-5"/>
          <w:sz w:val="30"/>
        </w:rPr>
        <w:t xml:space="preserve"> </w:t>
      </w:r>
      <w:r>
        <w:rPr>
          <w:sz w:val="30"/>
        </w:rPr>
        <w:t>is</w:t>
      </w:r>
      <w:r>
        <w:rPr>
          <w:spacing w:val="-3"/>
          <w:sz w:val="30"/>
        </w:rPr>
        <w:t xml:space="preserve"> </w:t>
      </w:r>
      <w:r>
        <w:rPr>
          <w:sz w:val="30"/>
        </w:rPr>
        <w:t>smaller</w:t>
      </w:r>
      <w:r>
        <w:rPr>
          <w:spacing w:val="-3"/>
          <w:sz w:val="30"/>
        </w:rPr>
        <w:t xml:space="preserve"> </w:t>
      </w:r>
      <w:r>
        <w:rPr>
          <w:sz w:val="30"/>
        </w:rPr>
        <w:t>than</w:t>
      </w:r>
      <w:r>
        <w:rPr>
          <w:spacing w:val="-2"/>
          <w:sz w:val="30"/>
        </w:rPr>
        <w:t xml:space="preserve"> </w:t>
      </w:r>
      <w:r>
        <w:rPr>
          <w:sz w:val="30"/>
        </w:rPr>
        <w:t>Y,</w:t>
      </w:r>
      <w:r>
        <w:rPr>
          <w:spacing w:val="-2"/>
          <w:sz w:val="30"/>
        </w:rPr>
        <w:t xml:space="preserve"> </w:t>
      </w:r>
      <w:r>
        <w:rPr>
          <w:sz w:val="30"/>
        </w:rPr>
        <w:t>and</w:t>
      </w:r>
      <w:r>
        <w:rPr>
          <w:spacing w:val="-3"/>
          <w:sz w:val="30"/>
        </w:rPr>
        <w:t xml:space="preserve"> </w:t>
      </w:r>
      <w:r>
        <w:rPr>
          <w:sz w:val="30"/>
        </w:rPr>
        <w:t>Y</w:t>
      </w:r>
      <w:r>
        <w:rPr>
          <w:spacing w:val="-2"/>
          <w:sz w:val="30"/>
        </w:rPr>
        <w:t xml:space="preserve"> </w:t>
      </w:r>
      <w:r>
        <w:rPr>
          <w:sz w:val="30"/>
        </w:rPr>
        <w:t>is</w:t>
      </w:r>
      <w:r>
        <w:rPr>
          <w:spacing w:val="-3"/>
          <w:sz w:val="30"/>
        </w:rPr>
        <w:t xml:space="preserve"> </w:t>
      </w:r>
      <w:r>
        <w:rPr>
          <w:sz w:val="30"/>
        </w:rPr>
        <w:t>smaller</w:t>
      </w:r>
      <w:r>
        <w:rPr>
          <w:spacing w:val="-3"/>
          <w:sz w:val="30"/>
        </w:rPr>
        <w:t xml:space="preserve"> </w:t>
      </w:r>
      <w:r>
        <w:rPr>
          <w:sz w:val="30"/>
        </w:rPr>
        <w:t>than</w:t>
      </w:r>
      <w:r>
        <w:rPr>
          <w:spacing w:val="-2"/>
          <w:sz w:val="30"/>
        </w:rPr>
        <w:t xml:space="preserve"> </w:t>
      </w:r>
      <w:r>
        <w:rPr>
          <w:spacing w:val="-5"/>
          <w:sz w:val="30"/>
        </w:rPr>
        <w:t>Z.</w:t>
      </w:r>
    </w:p>
    <w:p w14:paraId="7E001ADA" w14:textId="77777777" w:rsidR="009A58DB" w:rsidRDefault="009A58DB">
      <w:pPr>
        <w:pStyle w:val="BodyText"/>
        <w:spacing w:before="30"/>
        <w:ind w:left="0"/>
        <w:jc w:val="left"/>
      </w:pPr>
    </w:p>
    <w:p w14:paraId="7E001ADB" w14:textId="77777777" w:rsidR="009A58DB" w:rsidRDefault="00000000">
      <w:pPr>
        <w:pStyle w:val="BodyText"/>
        <w:spacing w:line="249" w:lineRule="auto"/>
        <w:ind w:right="361"/>
      </w:pPr>
      <w:r>
        <w:t>And there is nothing incoherent about (ii). It doesn’t ascribe incompatible properties</w:t>
      </w:r>
      <w:r>
        <w:rPr>
          <w:spacing w:val="-1"/>
        </w:rPr>
        <w:t xml:space="preserve"> </w:t>
      </w:r>
      <w:r>
        <w:t>to</w:t>
      </w:r>
      <w:r>
        <w:rPr>
          <w:spacing w:val="-1"/>
        </w:rPr>
        <w:t xml:space="preserve"> </w:t>
      </w:r>
      <w:r>
        <w:t>Y,</w:t>
      </w:r>
      <w:r>
        <w:rPr>
          <w:spacing w:val="-1"/>
        </w:rPr>
        <w:t xml:space="preserve"> </w:t>
      </w:r>
      <w:r>
        <w:t>and</w:t>
      </w:r>
      <w:r>
        <w:rPr>
          <w:spacing w:val="-1"/>
        </w:rPr>
        <w:t xml:space="preserve"> </w:t>
      </w:r>
      <w:r>
        <w:t>it</w:t>
      </w:r>
      <w:r>
        <w:rPr>
          <w:spacing w:val="-1"/>
        </w:rPr>
        <w:t xml:space="preserve"> </w:t>
      </w:r>
      <w:r>
        <w:t>doesn’t</w:t>
      </w:r>
      <w:r>
        <w:rPr>
          <w:spacing w:val="-1"/>
        </w:rPr>
        <w:t xml:space="preserve"> </w:t>
      </w:r>
      <w:r>
        <w:t>therefore</w:t>
      </w:r>
      <w:r>
        <w:rPr>
          <w:spacing w:val="-1"/>
        </w:rPr>
        <w:t xml:space="preserve"> </w:t>
      </w:r>
      <w:r>
        <w:t>require</w:t>
      </w:r>
      <w:r>
        <w:rPr>
          <w:spacing w:val="-1"/>
        </w:rPr>
        <w:t xml:space="preserve"> </w:t>
      </w:r>
      <w:r>
        <w:t>that</w:t>
      </w:r>
      <w:r>
        <w:rPr>
          <w:spacing w:val="-1"/>
        </w:rPr>
        <w:t xml:space="preserve"> </w:t>
      </w:r>
      <w:r>
        <w:t>we</w:t>
      </w:r>
      <w:r>
        <w:rPr>
          <w:spacing w:val="-1"/>
        </w:rPr>
        <w:t xml:space="preserve"> </w:t>
      </w:r>
      <w:r>
        <w:t>abandon</w:t>
      </w:r>
      <w:r>
        <w:rPr>
          <w:spacing w:val="-1"/>
        </w:rPr>
        <w:t xml:space="preserve"> </w:t>
      </w:r>
      <w:r>
        <w:t>the</w:t>
      </w:r>
      <w:r>
        <w:rPr>
          <w:spacing w:val="-1"/>
        </w:rPr>
        <w:t xml:space="preserve"> </w:t>
      </w:r>
      <w:r>
        <w:t>view</w:t>
      </w:r>
      <w:r>
        <w:rPr>
          <w:spacing w:val="-1"/>
        </w:rPr>
        <w:t xml:space="preserve"> </w:t>
      </w:r>
      <w:r>
        <w:t>that size is in things themselves, as opposed to the minds of their observers.</w:t>
      </w:r>
    </w:p>
    <w:p w14:paraId="7E001ADC" w14:textId="77777777" w:rsidR="009A58DB" w:rsidRDefault="00000000">
      <w:pPr>
        <w:pStyle w:val="BodyText"/>
        <w:spacing w:before="3"/>
        <w:ind w:left="720"/>
      </w:pPr>
      <w:r>
        <w:t>Some</w:t>
      </w:r>
      <w:r>
        <w:rPr>
          <w:spacing w:val="54"/>
        </w:rPr>
        <w:t xml:space="preserve"> </w:t>
      </w:r>
      <w:r>
        <w:t>additional</w:t>
      </w:r>
      <w:r>
        <w:rPr>
          <w:spacing w:val="56"/>
        </w:rPr>
        <w:t xml:space="preserve"> </w:t>
      </w:r>
      <w:r>
        <w:t>illustrations</w:t>
      </w:r>
      <w:r>
        <w:rPr>
          <w:spacing w:val="56"/>
        </w:rPr>
        <w:t xml:space="preserve"> </w:t>
      </w:r>
      <w:r>
        <w:t>of</w:t>
      </w:r>
      <w:r>
        <w:rPr>
          <w:spacing w:val="56"/>
        </w:rPr>
        <w:t xml:space="preserve"> </w:t>
      </w:r>
      <w:r>
        <w:t>these</w:t>
      </w:r>
      <w:r>
        <w:rPr>
          <w:spacing w:val="56"/>
        </w:rPr>
        <w:t xml:space="preserve"> </w:t>
      </w:r>
      <w:r>
        <w:t>principles</w:t>
      </w:r>
      <w:r>
        <w:rPr>
          <w:spacing w:val="57"/>
        </w:rPr>
        <w:t xml:space="preserve"> </w:t>
      </w:r>
      <w:r>
        <w:t>may</w:t>
      </w:r>
      <w:r>
        <w:rPr>
          <w:spacing w:val="57"/>
        </w:rPr>
        <w:t xml:space="preserve"> </w:t>
      </w:r>
      <w:r>
        <w:t>be</w:t>
      </w:r>
      <w:r>
        <w:rPr>
          <w:spacing w:val="56"/>
        </w:rPr>
        <w:t xml:space="preserve"> </w:t>
      </w:r>
      <w:r>
        <w:t>in</w:t>
      </w:r>
      <w:r>
        <w:rPr>
          <w:spacing w:val="57"/>
        </w:rPr>
        <w:t xml:space="preserve"> </w:t>
      </w:r>
      <w:r>
        <w:t>order.</w:t>
      </w:r>
      <w:r>
        <w:rPr>
          <w:spacing w:val="57"/>
        </w:rPr>
        <w:t xml:space="preserve"> </w:t>
      </w:r>
      <w:r>
        <w:t>X</w:t>
      </w:r>
      <w:r>
        <w:rPr>
          <w:spacing w:val="57"/>
        </w:rPr>
        <w:t xml:space="preserve"> </w:t>
      </w:r>
      <w:r>
        <w:rPr>
          <w:spacing w:val="-5"/>
        </w:rPr>
        <w:t>is</w:t>
      </w:r>
    </w:p>
    <w:p w14:paraId="7E001ADD" w14:textId="77777777" w:rsidR="009A58DB" w:rsidRDefault="009A58DB">
      <w:pPr>
        <w:pStyle w:val="BodyText"/>
        <w:sectPr w:rsidR="009A58DB">
          <w:pgSz w:w="12240" w:h="15840"/>
          <w:pgMar w:top="1380" w:right="1080" w:bottom="280" w:left="1080" w:header="720" w:footer="720" w:gutter="0"/>
          <w:cols w:space="720"/>
        </w:sectPr>
      </w:pPr>
    </w:p>
    <w:p w14:paraId="7E001ADE" w14:textId="77777777" w:rsidR="009A58DB" w:rsidRDefault="00000000">
      <w:pPr>
        <w:pStyle w:val="BodyText"/>
        <w:spacing w:before="65" w:line="249" w:lineRule="auto"/>
        <w:ind w:right="357"/>
      </w:pPr>
      <w:r>
        <w:lastRenderedPageBreak/>
        <w:t>super-strong</w:t>
      </w:r>
      <w:r>
        <w:rPr>
          <w:spacing w:val="-2"/>
        </w:rPr>
        <w:t xml:space="preserve"> </w:t>
      </w:r>
      <w:r>
        <w:t>and</w:t>
      </w:r>
      <w:r>
        <w:rPr>
          <w:spacing w:val="-2"/>
        </w:rPr>
        <w:t xml:space="preserve"> </w:t>
      </w:r>
      <w:r>
        <w:t>moves</w:t>
      </w:r>
      <w:r>
        <w:rPr>
          <w:spacing w:val="-3"/>
        </w:rPr>
        <w:t xml:space="preserve"> </w:t>
      </w:r>
      <w:r>
        <w:t>barbell</w:t>
      </w:r>
      <w:r>
        <w:rPr>
          <w:spacing w:val="-3"/>
        </w:rPr>
        <w:t xml:space="preserve"> </w:t>
      </w:r>
      <w:r>
        <w:t>B</w:t>
      </w:r>
      <w:r>
        <w:rPr>
          <w:spacing w:val="-3"/>
        </w:rPr>
        <w:t xml:space="preserve"> </w:t>
      </w:r>
      <w:r>
        <w:t>easily.</w:t>
      </w:r>
      <w:r>
        <w:rPr>
          <w:spacing w:val="-2"/>
        </w:rPr>
        <w:t xml:space="preserve"> </w:t>
      </w:r>
      <w:r>
        <w:t>Y</w:t>
      </w:r>
      <w:r>
        <w:rPr>
          <w:spacing w:val="-3"/>
        </w:rPr>
        <w:t xml:space="preserve"> </w:t>
      </w:r>
      <w:r>
        <w:t>is</w:t>
      </w:r>
      <w:r>
        <w:rPr>
          <w:spacing w:val="-3"/>
        </w:rPr>
        <w:t xml:space="preserve"> </w:t>
      </w:r>
      <w:r>
        <w:t>not</w:t>
      </w:r>
      <w:r>
        <w:rPr>
          <w:spacing w:val="-3"/>
        </w:rPr>
        <w:t xml:space="preserve"> </w:t>
      </w:r>
      <w:r>
        <w:t>so</w:t>
      </w:r>
      <w:r>
        <w:rPr>
          <w:spacing w:val="-2"/>
        </w:rPr>
        <w:t xml:space="preserve"> </w:t>
      </w:r>
      <w:r>
        <w:t>strong</w:t>
      </w:r>
      <w:r>
        <w:rPr>
          <w:spacing w:val="-2"/>
        </w:rPr>
        <w:t xml:space="preserve"> </w:t>
      </w:r>
      <w:r>
        <w:t>and</w:t>
      </w:r>
      <w:r>
        <w:rPr>
          <w:spacing w:val="-2"/>
        </w:rPr>
        <w:t xml:space="preserve"> </w:t>
      </w:r>
      <w:r>
        <w:t>can</w:t>
      </w:r>
      <w:r>
        <w:rPr>
          <w:spacing w:val="-2"/>
        </w:rPr>
        <w:t xml:space="preserve"> </w:t>
      </w:r>
      <w:r>
        <w:t>barely</w:t>
      </w:r>
      <w:r>
        <w:rPr>
          <w:spacing w:val="-2"/>
        </w:rPr>
        <w:t xml:space="preserve"> </w:t>
      </w:r>
      <w:r>
        <w:t>get B to budge. According to Berkeley, X’s kinesthetic sensations (i.e., the feelings of resistance that he has when moving B) tell him: B IS LIGHT.</w:t>
      </w:r>
      <w:r>
        <w:rPr>
          <w:spacing w:val="40"/>
        </w:rPr>
        <w:t xml:space="preserve"> </w:t>
      </w:r>
      <w:r>
        <w:t>And, according to Berkeley, Y’s kinesthetic sensations tell him: B IS HEAVY. But, contrary to what Berkeley holds, X’s sensations don’t give</w:t>
      </w:r>
      <w:r>
        <w:rPr>
          <w:spacing w:val="40"/>
        </w:rPr>
        <w:t xml:space="preserve"> </w:t>
      </w:r>
      <w:r>
        <w:t>him a message of the form: B’s MASS IS SUCH AND SUCH. They give</w:t>
      </w:r>
      <w:r>
        <w:rPr>
          <w:spacing w:val="40"/>
        </w:rPr>
        <w:t xml:space="preserve"> </w:t>
      </w:r>
      <w:r>
        <w:t xml:space="preserve">him </w:t>
      </w:r>
      <w:r>
        <w:rPr>
          <w:i/>
        </w:rPr>
        <w:t xml:space="preserve">relational </w:t>
      </w:r>
      <w:r>
        <w:t xml:space="preserve">message. They tell him what the </w:t>
      </w:r>
      <w:r>
        <w:rPr>
          <w:i/>
        </w:rPr>
        <w:t xml:space="preserve">relation </w:t>
      </w:r>
      <w:r>
        <w:t xml:space="preserve">is between (a) X’s making a certain degree of effort and (b) B’s moving by a certain amount. So X’s sensations tell him how B’s resistance to motion </w:t>
      </w:r>
      <w:r>
        <w:rPr>
          <w:i/>
        </w:rPr>
        <w:t xml:space="preserve">compares </w:t>
      </w:r>
      <w:r>
        <w:t xml:space="preserve">with his own ability to overcome such resistance. By similar reasoning, Y’s sensations tell him (Y) how B’s resistance to motion compares with </w:t>
      </w:r>
      <w:r>
        <w:rPr>
          <w:i/>
        </w:rPr>
        <w:t xml:space="preserve">his </w:t>
      </w:r>
      <w:r>
        <w:t xml:space="preserve">(B’s) ability to overcome such resistance. So when we put what X’s sensations are telling him together with what Y’s sensations are telling </w:t>
      </w:r>
      <w:r>
        <w:rPr>
          <w:i/>
        </w:rPr>
        <w:t xml:space="preserve">him, </w:t>
      </w:r>
      <w:r>
        <w:t>what we get is:</w:t>
      </w:r>
    </w:p>
    <w:p w14:paraId="7E001ADF" w14:textId="77777777" w:rsidR="009A58DB" w:rsidRDefault="009A58DB">
      <w:pPr>
        <w:pStyle w:val="BodyText"/>
        <w:spacing w:before="30"/>
        <w:ind w:left="0"/>
        <w:jc w:val="left"/>
      </w:pPr>
    </w:p>
    <w:p w14:paraId="7E001AE0" w14:textId="77777777" w:rsidR="009A58DB" w:rsidRDefault="00000000">
      <w:pPr>
        <w:pStyle w:val="ListParagraph"/>
        <w:numPr>
          <w:ilvl w:val="0"/>
          <w:numId w:val="108"/>
        </w:numPr>
        <w:tabs>
          <w:tab w:val="left" w:pos="894"/>
        </w:tabs>
        <w:spacing w:before="1" w:line="249" w:lineRule="auto"/>
        <w:ind w:left="360" w:right="363" w:firstLine="0"/>
        <w:jc w:val="both"/>
        <w:rPr>
          <w:sz w:val="30"/>
        </w:rPr>
      </w:pPr>
      <w:r>
        <w:rPr>
          <w:sz w:val="30"/>
        </w:rPr>
        <w:t>The ratio of X’s ability to move things to B’s resistance to being moved is</w:t>
      </w:r>
      <w:r>
        <w:rPr>
          <w:spacing w:val="-2"/>
          <w:sz w:val="30"/>
        </w:rPr>
        <w:t xml:space="preserve"> </w:t>
      </w:r>
      <w:r>
        <w:rPr>
          <w:sz w:val="30"/>
        </w:rPr>
        <w:t>higher</w:t>
      </w:r>
      <w:r>
        <w:rPr>
          <w:spacing w:val="-2"/>
          <w:sz w:val="30"/>
        </w:rPr>
        <w:t xml:space="preserve"> </w:t>
      </w:r>
      <w:r>
        <w:rPr>
          <w:sz w:val="30"/>
        </w:rPr>
        <w:t>than</w:t>
      </w:r>
      <w:r>
        <w:rPr>
          <w:spacing w:val="-2"/>
          <w:sz w:val="30"/>
        </w:rPr>
        <w:t xml:space="preserve"> </w:t>
      </w:r>
      <w:r>
        <w:rPr>
          <w:sz w:val="30"/>
        </w:rPr>
        <w:t>the</w:t>
      </w:r>
      <w:r>
        <w:rPr>
          <w:spacing w:val="-1"/>
          <w:sz w:val="30"/>
        </w:rPr>
        <w:t xml:space="preserve"> </w:t>
      </w:r>
      <w:r>
        <w:rPr>
          <w:sz w:val="30"/>
        </w:rPr>
        <w:t>ratio</w:t>
      </w:r>
      <w:r>
        <w:rPr>
          <w:spacing w:val="-2"/>
          <w:sz w:val="30"/>
        </w:rPr>
        <w:t xml:space="preserve"> </w:t>
      </w:r>
      <w:r>
        <w:rPr>
          <w:sz w:val="30"/>
        </w:rPr>
        <w:t>of</w:t>
      </w:r>
      <w:r>
        <w:rPr>
          <w:spacing w:val="-2"/>
          <w:sz w:val="30"/>
        </w:rPr>
        <w:t xml:space="preserve"> </w:t>
      </w:r>
      <w:r>
        <w:rPr>
          <w:sz w:val="30"/>
        </w:rPr>
        <w:t>Y’s</w:t>
      </w:r>
      <w:r>
        <w:rPr>
          <w:spacing w:val="-2"/>
          <w:sz w:val="30"/>
        </w:rPr>
        <w:t xml:space="preserve"> </w:t>
      </w:r>
      <w:r>
        <w:rPr>
          <w:sz w:val="30"/>
        </w:rPr>
        <w:t>ability</w:t>
      </w:r>
      <w:r>
        <w:rPr>
          <w:spacing w:val="-1"/>
          <w:sz w:val="30"/>
        </w:rPr>
        <w:t xml:space="preserve"> </w:t>
      </w:r>
      <w:r>
        <w:rPr>
          <w:sz w:val="30"/>
        </w:rPr>
        <w:t>to</w:t>
      </w:r>
      <w:r>
        <w:rPr>
          <w:spacing w:val="-2"/>
          <w:sz w:val="30"/>
        </w:rPr>
        <w:t xml:space="preserve"> </w:t>
      </w:r>
      <w:r>
        <w:rPr>
          <w:sz w:val="30"/>
        </w:rPr>
        <w:t>move</w:t>
      </w:r>
      <w:r>
        <w:rPr>
          <w:spacing w:val="-2"/>
          <w:sz w:val="30"/>
        </w:rPr>
        <w:t xml:space="preserve"> </w:t>
      </w:r>
      <w:r>
        <w:rPr>
          <w:sz w:val="30"/>
        </w:rPr>
        <w:t>things</w:t>
      </w:r>
      <w:r>
        <w:rPr>
          <w:spacing w:val="-2"/>
          <w:sz w:val="30"/>
        </w:rPr>
        <w:t xml:space="preserve"> </w:t>
      </w:r>
      <w:r>
        <w:rPr>
          <w:sz w:val="30"/>
        </w:rPr>
        <w:t>to</w:t>
      </w:r>
      <w:r>
        <w:rPr>
          <w:spacing w:val="-1"/>
          <w:sz w:val="30"/>
        </w:rPr>
        <w:t xml:space="preserve"> </w:t>
      </w:r>
      <w:r>
        <w:rPr>
          <w:sz w:val="30"/>
        </w:rPr>
        <w:t>B’s</w:t>
      </w:r>
      <w:r>
        <w:rPr>
          <w:spacing w:val="-2"/>
          <w:sz w:val="30"/>
        </w:rPr>
        <w:t xml:space="preserve"> </w:t>
      </w:r>
      <w:r>
        <w:rPr>
          <w:sz w:val="30"/>
        </w:rPr>
        <w:t>resistance</w:t>
      </w:r>
      <w:r>
        <w:rPr>
          <w:spacing w:val="-2"/>
          <w:sz w:val="30"/>
        </w:rPr>
        <w:t xml:space="preserve"> </w:t>
      </w:r>
      <w:r>
        <w:rPr>
          <w:sz w:val="30"/>
        </w:rPr>
        <w:t>to</w:t>
      </w:r>
      <w:r>
        <w:rPr>
          <w:spacing w:val="-1"/>
          <w:sz w:val="30"/>
        </w:rPr>
        <w:t xml:space="preserve"> </w:t>
      </w:r>
      <w:r>
        <w:rPr>
          <w:sz w:val="30"/>
        </w:rPr>
        <w:t xml:space="preserve">being </w:t>
      </w:r>
      <w:r>
        <w:rPr>
          <w:spacing w:val="-2"/>
          <w:sz w:val="30"/>
        </w:rPr>
        <w:t>moved.</w:t>
      </w:r>
    </w:p>
    <w:p w14:paraId="7E001AE1" w14:textId="77777777" w:rsidR="009A58DB" w:rsidRDefault="009A58DB">
      <w:pPr>
        <w:pStyle w:val="BodyText"/>
        <w:spacing w:before="18"/>
        <w:ind w:left="0"/>
        <w:jc w:val="left"/>
      </w:pPr>
    </w:p>
    <w:p w14:paraId="7E001AE2" w14:textId="77777777" w:rsidR="009A58DB" w:rsidRDefault="00000000">
      <w:pPr>
        <w:pStyle w:val="ListParagraph"/>
        <w:numPr>
          <w:ilvl w:val="0"/>
          <w:numId w:val="107"/>
        </w:numPr>
        <w:tabs>
          <w:tab w:val="left" w:pos="969"/>
        </w:tabs>
        <w:spacing w:line="249" w:lineRule="auto"/>
        <w:ind w:right="359" w:firstLine="0"/>
        <w:jc w:val="both"/>
        <w:rPr>
          <w:sz w:val="30"/>
        </w:rPr>
      </w:pPr>
      <w:r>
        <w:rPr>
          <w:sz w:val="30"/>
        </w:rPr>
        <w:t>is a perfectly consistent message. In fact, it’s consistent with, and confirms, what</w:t>
      </w:r>
      <w:r>
        <w:rPr>
          <w:spacing w:val="-1"/>
          <w:sz w:val="30"/>
        </w:rPr>
        <w:t xml:space="preserve"> </w:t>
      </w:r>
      <w:r>
        <w:rPr>
          <w:sz w:val="30"/>
        </w:rPr>
        <w:t>we already knew. We knew that X was strong, and that</w:t>
      </w:r>
      <w:r>
        <w:rPr>
          <w:spacing w:val="-1"/>
          <w:sz w:val="30"/>
        </w:rPr>
        <w:t xml:space="preserve"> </w:t>
      </w:r>
      <w:r>
        <w:rPr>
          <w:sz w:val="30"/>
        </w:rPr>
        <w:t xml:space="preserve">Y was not so strong; and, given that information, it was to be expected that X would have an easier time moving B than Y and, also, that this would be borne out by the kinesthetic sensations experienced by these individuals. To sum up, once it is made clear that our sensations and perceptions give us </w:t>
      </w:r>
      <w:r>
        <w:rPr>
          <w:i/>
          <w:sz w:val="30"/>
        </w:rPr>
        <w:t xml:space="preserve">relational </w:t>
      </w:r>
      <w:r>
        <w:rPr>
          <w:sz w:val="30"/>
        </w:rPr>
        <w:t xml:space="preserve">information, it turns out that, although our senses are obviously wrong some of the time, they </w:t>
      </w:r>
      <w:r>
        <w:rPr>
          <w:i/>
          <w:sz w:val="30"/>
        </w:rPr>
        <w:t xml:space="preserve">don’t, </w:t>
      </w:r>
      <w:r>
        <w:rPr>
          <w:sz w:val="30"/>
        </w:rPr>
        <w:t xml:space="preserve">contrary to Berkeley argued, </w:t>
      </w:r>
      <w:r>
        <w:rPr>
          <w:i/>
          <w:sz w:val="30"/>
        </w:rPr>
        <w:t xml:space="preserve">systematically </w:t>
      </w:r>
      <w:r>
        <w:rPr>
          <w:sz w:val="30"/>
        </w:rPr>
        <w:t>give us contradictory reports.</w:t>
      </w:r>
    </w:p>
    <w:p w14:paraId="7E001AE3" w14:textId="77777777" w:rsidR="009A58DB" w:rsidRDefault="00000000">
      <w:pPr>
        <w:pStyle w:val="BodyText"/>
        <w:spacing w:before="11" w:line="249" w:lineRule="auto"/>
        <w:ind w:right="359" w:firstLine="360"/>
      </w:pPr>
      <w:r>
        <w:t xml:space="preserve">Here is one example to drive these points home. X is a hand that has just been immersed in ice-cold water. Y is a hand that is been soaking in water that is very hot (but not so hot that it damages Y). B is a bucket of room-temperature water. Here is what Berkeley says (this is a paraphrase, not a </w:t>
      </w:r>
      <w:r>
        <w:rPr>
          <w:spacing w:val="-2"/>
        </w:rPr>
        <w:t>quotation):</w:t>
      </w:r>
    </w:p>
    <w:p w14:paraId="7E001AE4" w14:textId="77777777" w:rsidR="009A58DB" w:rsidRDefault="009A58DB">
      <w:pPr>
        <w:pStyle w:val="BodyText"/>
        <w:spacing w:before="21"/>
        <w:ind w:left="0"/>
        <w:jc w:val="left"/>
      </w:pPr>
    </w:p>
    <w:p w14:paraId="7E001AE5" w14:textId="77777777" w:rsidR="009A58DB" w:rsidRDefault="00000000">
      <w:pPr>
        <w:pStyle w:val="BodyText"/>
        <w:spacing w:before="1" w:line="249" w:lineRule="auto"/>
        <w:ind w:right="368"/>
      </w:pPr>
      <w:r>
        <w:t>“When X is immersed in B, his hand says: THIS WATER IS HOT. And when Y is immersed in B, his hand says: THIS WATER IS COLD. So X and Y</w:t>
      </w:r>
      <w:r>
        <w:rPr>
          <w:spacing w:val="18"/>
        </w:rPr>
        <w:t xml:space="preserve"> </w:t>
      </w:r>
      <w:r>
        <w:t>say</w:t>
      </w:r>
      <w:r>
        <w:rPr>
          <w:spacing w:val="19"/>
        </w:rPr>
        <w:t xml:space="preserve"> </w:t>
      </w:r>
      <w:r>
        <w:t>opposed</w:t>
      </w:r>
      <w:r>
        <w:rPr>
          <w:spacing w:val="18"/>
        </w:rPr>
        <w:t xml:space="preserve"> </w:t>
      </w:r>
      <w:r>
        <w:t>things</w:t>
      </w:r>
      <w:r>
        <w:rPr>
          <w:spacing w:val="19"/>
        </w:rPr>
        <w:t xml:space="preserve"> </w:t>
      </w:r>
      <w:r>
        <w:t>about</w:t>
      </w:r>
      <w:r>
        <w:rPr>
          <w:spacing w:val="18"/>
        </w:rPr>
        <w:t xml:space="preserve"> </w:t>
      </w:r>
      <w:r>
        <w:t>the</w:t>
      </w:r>
      <w:r>
        <w:rPr>
          <w:spacing w:val="19"/>
        </w:rPr>
        <w:t xml:space="preserve"> </w:t>
      </w:r>
      <w:r>
        <w:t>water</w:t>
      </w:r>
      <w:r>
        <w:rPr>
          <w:spacing w:val="18"/>
        </w:rPr>
        <w:t xml:space="preserve"> </w:t>
      </w:r>
      <w:r>
        <w:t>in</w:t>
      </w:r>
      <w:r>
        <w:rPr>
          <w:spacing w:val="19"/>
        </w:rPr>
        <w:t xml:space="preserve"> </w:t>
      </w:r>
      <w:r>
        <w:t>B.</w:t>
      </w:r>
      <w:r>
        <w:rPr>
          <w:spacing w:val="18"/>
        </w:rPr>
        <w:t xml:space="preserve"> </w:t>
      </w:r>
      <w:r>
        <w:t>Therefore,</w:t>
      </w:r>
      <w:r>
        <w:rPr>
          <w:spacing w:val="19"/>
        </w:rPr>
        <w:t xml:space="preserve"> </w:t>
      </w:r>
      <w:r>
        <w:t>B’s</w:t>
      </w:r>
      <w:r>
        <w:rPr>
          <w:spacing w:val="18"/>
        </w:rPr>
        <w:t xml:space="preserve"> </w:t>
      </w:r>
      <w:r>
        <w:t>temperature</w:t>
      </w:r>
      <w:r>
        <w:rPr>
          <w:spacing w:val="19"/>
        </w:rPr>
        <w:t xml:space="preserve"> </w:t>
      </w:r>
      <w:r>
        <w:rPr>
          <w:spacing w:val="-2"/>
        </w:rPr>
        <w:t>isn’t</w:t>
      </w:r>
    </w:p>
    <w:p w14:paraId="7E001AE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E7" w14:textId="77777777" w:rsidR="009A58DB" w:rsidRDefault="00000000">
      <w:pPr>
        <w:pStyle w:val="BodyText"/>
        <w:spacing w:before="65"/>
      </w:pPr>
      <w:r>
        <w:lastRenderedPageBreak/>
        <w:t>in</w:t>
      </w:r>
      <w:r>
        <w:rPr>
          <w:spacing w:val="-3"/>
        </w:rPr>
        <w:t xml:space="preserve"> </w:t>
      </w:r>
      <w:r>
        <w:t>B;</w:t>
      </w:r>
      <w:r>
        <w:rPr>
          <w:spacing w:val="-3"/>
        </w:rPr>
        <w:t xml:space="preserve"> </w:t>
      </w:r>
      <w:r>
        <w:t>it’s</w:t>
      </w:r>
      <w:r>
        <w:rPr>
          <w:spacing w:val="-3"/>
        </w:rPr>
        <w:t xml:space="preserve"> </w:t>
      </w:r>
      <w:r>
        <w:t>in</w:t>
      </w:r>
      <w:r>
        <w:rPr>
          <w:spacing w:val="-2"/>
        </w:rPr>
        <w:t xml:space="preserve"> </w:t>
      </w:r>
      <w:r>
        <w:t>the</w:t>
      </w:r>
      <w:r>
        <w:rPr>
          <w:spacing w:val="-3"/>
        </w:rPr>
        <w:t xml:space="preserve"> </w:t>
      </w:r>
      <w:r>
        <w:t>observer’s</w:t>
      </w:r>
      <w:r>
        <w:rPr>
          <w:spacing w:val="-3"/>
        </w:rPr>
        <w:t xml:space="preserve"> </w:t>
      </w:r>
      <w:r>
        <w:rPr>
          <w:spacing w:val="-2"/>
        </w:rPr>
        <w:t>mind.”</w:t>
      </w:r>
    </w:p>
    <w:p w14:paraId="7E001AE8" w14:textId="77777777" w:rsidR="009A58DB" w:rsidRDefault="009A58DB">
      <w:pPr>
        <w:pStyle w:val="BodyText"/>
        <w:spacing w:before="29"/>
        <w:ind w:left="0"/>
        <w:jc w:val="left"/>
      </w:pPr>
    </w:p>
    <w:p w14:paraId="7E001AE9" w14:textId="77777777" w:rsidR="009A58DB" w:rsidRDefault="00000000">
      <w:pPr>
        <w:pStyle w:val="BodyText"/>
        <w:spacing w:before="1" w:line="249" w:lineRule="auto"/>
        <w:ind w:right="364"/>
      </w:pPr>
      <w:r>
        <w:t>But Berkeley is wrong about what X and Y say. Remember that perceptual information is relational. When immersed in B, X doesn’t say: THIS</w:t>
      </w:r>
      <w:r>
        <w:rPr>
          <w:spacing w:val="40"/>
        </w:rPr>
        <w:t xml:space="preserve"> </w:t>
      </w:r>
      <w:r>
        <w:t>WATER</w:t>
      </w:r>
      <w:r>
        <w:rPr>
          <w:spacing w:val="21"/>
        </w:rPr>
        <w:t xml:space="preserve"> </w:t>
      </w:r>
      <w:r>
        <w:t>IS</w:t>
      </w:r>
      <w:r>
        <w:rPr>
          <w:spacing w:val="21"/>
        </w:rPr>
        <w:t xml:space="preserve"> </w:t>
      </w:r>
      <w:r>
        <w:t>HOT.</w:t>
      </w:r>
      <w:r>
        <w:rPr>
          <w:spacing w:val="22"/>
        </w:rPr>
        <w:t xml:space="preserve"> </w:t>
      </w:r>
      <w:r>
        <w:t>It</w:t>
      </w:r>
      <w:r>
        <w:rPr>
          <w:spacing w:val="21"/>
        </w:rPr>
        <w:t xml:space="preserve"> </w:t>
      </w:r>
      <w:r>
        <w:t>says:</w:t>
      </w:r>
      <w:r>
        <w:rPr>
          <w:spacing w:val="21"/>
        </w:rPr>
        <w:t xml:space="preserve"> </w:t>
      </w:r>
      <w:r>
        <w:t>THIS</w:t>
      </w:r>
      <w:r>
        <w:rPr>
          <w:spacing w:val="21"/>
        </w:rPr>
        <w:t xml:space="preserve"> </w:t>
      </w:r>
      <w:r>
        <w:t>WATER</w:t>
      </w:r>
      <w:r>
        <w:rPr>
          <w:spacing w:val="21"/>
        </w:rPr>
        <w:t xml:space="preserve"> </w:t>
      </w:r>
      <w:r>
        <w:t>IS</w:t>
      </w:r>
      <w:r>
        <w:rPr>
          <w:spacing w:val="21"/>
        </w:rPr>
        <w:t xml:space="preserve"> </w:t>
      </w:r>
      <w:r>
        <w:t>MUCH</w:t>
      </w:r>
      <w:r>
        <w:rPr>
          <w:spacing w:val="21"/>
        </w:rPr>
        <w:t xml:space="preserve"> </w:t>
      </w:r>
      <w:r>
        <w:rPr>
          <w:i/>
        </w:rPr>
        <w:t xml:space="preserve">HOTTER </w:t>
      </w:r>
      <w:r>
        <w:t>THAN</w:t>
      </w:r>
      <w:r>
        <w:rPr>
          <w:spacing w:val="26"/>
        </w:rPr>
        <w:t xml:space="preserve"> </w:t>
      </w:r>
      <w:r>
        <w:t>THE</w:t>
      </w:r>
    </w:p>
    <w:p w14:paraId="7E001AEA" w14:textId="77777777" w:rsidR="009A58DB" w:rsidRDefault="00000000">
      <w:pPr>
        <w:pStyle w:val="BodyText"/>
        <w:spacing w:before="3" w:line="249" w:lineRule="auto"/>
        <w:ind w:right="359"/>
      </w:pPr>
      <w:r>
        <w:t>WATER I WAS JUST IN. And, when immersed in B, Y doesn’t say: THIS WATER</w:t>
      </w:r>
      <w:r>
        <w:rPr>
          <w:spacing w:val="-3"/>
        </w:rPr>
        <w:t xml:space="preserve"> </w:t>
      </w:r>
      <w:r>
        <w:t>IS</w:t>
      </w:r>
      <w:r>
        <w:rPr>
          <w:spacing w:val="-3"/>
        </w:rPr>
        <w:t xml:space="preserve"> </w:t>
      </w:r>
      <w:r>
        <w:t>COLD.</w:t>
      </w:r>
      <w:r>
        <w:rPr>
          <w:spacing w:val="-3"/>
        </w:rPr>
        <w:t xml:space="preserve"> </w:t>
      </w:r>
      <w:r>
        <w:t>It</w:t>
      </w:r>
      <w:r>
        <w:rPr>
          <w:spacing w:val="-3"/>
        </w:rPr>
        <w:t xml:space="preserve"> </w:t>
      </w:r>
      <w:r>
        <w:t>says:</w:t>
      </w:r>
      <w:r>
        <w:rPr>
          <w:spacing w:val="-3"/>
        </w:rPr>
        <w:t xml:space="preserve"> </w:t>
      </w:r>
      <w:r>
        <w:t>THIS</w:t>
      </w:r>
      <w:r>
        <w:rPr>
          <w:spacing w:val="-4"/>
        </w:rPr>
        <w:t xml:space="preserve"> </w:t>
      </w:r>
      <w:r>
        <w:t>WATER</w:t>
      </w:r>
      <w:r>
        <w:rPr>
          <w:spacing w:val="-3"/>
        </w:rPr>
        <w:t xml:space="preserve"> </w:t>
      </w:r>
      <w:r>
        <w:t>IS</w:t>
      </w:r>
      <w:r>
        <w:rPr>
          <w:spacing w:val="-3"/>
        </w:rPr>
        <w:t xml:space="preserve"> </w:t>
      </w:r>
      <w:r>
        <w:t>MUCH</w:t>
      </w:r>
      <w:r>
        <w:rPr>
          <w:spacing w:val="-3"/>
        </w:rPr>
        <w:t xml:space="preserve"> </w:t>
      </w:r>
      <w:r>
        <w:t>COLDER</w:t>
      </w:r>
      <w:r>
        <w:rPr>
          <w:spacing w:val="-3"/>
        </w:rPr>
        <w:t xml:space="preserve"> </w:t>
      </w:r>
      <w:r>
        <w:t>THAN</w:t>
      </w:r>
      <w:r>
        <w:rPr>
          <w:spacing w:val="-3"/>
        </w:rPr>
        <w:t xml:space="preserve"> </w:t>
      </w:r>
      <w:r>
        <w:t>THE WATER I WAS JUST IN.</w:t>
      </w:r>
    </w:p>
    <w:p w14:paraId="7E001AEB" w14:textId="77777777" w:rsidR="009A58DB" w:rsidRDefault="00000000">
      <w:pPr>
        <w:pStyle w:val="BodyText"/>
        <w:spacing w:before="4" w:line="249" w:lineRule="auto"/>
        <w:ind w:left="720" w:right="365"/>
        <w:jc w:val="left"/>
      </w:pPr>
      <w:r>
        <w:t>So when we put together the messages that X and Y present to their own, we get:</w:t>
      </w:r>
    </w:p>
    <w:p w14:paraId="7E001AEC" w14:textId="77777777" w:rsidR="009A58DB" w:rsidRDefault="009A58DB">
      <w:pPr>
        <w:pStyle w:val="BodyText"/>
        <w:spacing w:before="17"/>
        <w:ind w:left="0"/>
        <w:jc w:val="left"/>
      </w:pPr>
    </w:p>
    <w:p w14:paraId="7E001AED" w14:textId="77777777" w:rsidR="009A58DB" w:rsidRDefault="00000000">
      <w:pPr>
        <w:pStyle w:val="ListParagraph"/>
        <w:numPr>
          <w:ilvl w:val="0"/>
          <w:numId w:val="107"/>
        </w:numPr>
        <w:tabs>
          <w:tab w:val="left" w:pos="866"/>
        </w:tabs>
        <w:spacing w:before="1" w:line="249" w:lineRule="auto"/>
        <w:ind w:right="360" w:firstLine="0"/>
        <w:jc w:val="both"/>
        <w:rPr>
          <w:sz w:val="30"/>
        </w:rPr>
      </w:pPr>
      <w:r>
        <w:rPr>
          <w:sz w:val="30"/>
        </w:rPr>
        <w:t>The</w:t>
      </w:r>
      <w:r>
        <w:rPr>
          <w:spacing w:val="-2"/>
          <w:sz w:val="30"/>
        </w:rPr>
        <w:t xml:space="preserve"> </w:t>
      </w:r>
      <w:r>
        <w:rPr>
          <w:sz w:val="30"/>
        </w:rPr>
        <w:t>water</w:t>
      </w:r>
      <w:r>
        <w:rPr>
          <w:spacing w:val="-2"/>
          <w:sz w:val="30"/>
        </w:rPr>
        <w:t xml:space="preserve"> </w:t>
      </w:r>
      <w:r>
        <w:rPr>
          <w:sz w:val="30"/>
        </w:rPr>
        <w:t>in</w:t>
      </w:r>
      <w:r>
        <w:rPr>
          <w:spacing w:val="-2"/>
          <w:sz w:val="30"/>
        </w:rPr>
        <w:t xml:space="preserve"> </w:t>
      </w:r>
      <w:r>
        <w:rPr>
          <w:sz w:val="30"/>
        </w:rPr>
        <w:t>the</w:t>
      </w:r>
      <w:r>
        <w:rPr>
          <w:spacing w:val="-2"/>
          <w:sz w:val="30"/>
        </w:rPr>
        <w:t xml:space="preserve"> </w:t>
      </w:r>
      <w:r>
        <w:rPr>
          <w:sz w:val="30"/>
        </w:rPr>
        <w:t>bucket</w:t>
      </w:r>
      <w:r>
        <w:rPr>
          <w:spacing w:val="-2"/>
          <w:sz w:val="30"/>
        </w:rPr>
        <w:t xml:space="preserve"> </w:t>
      </w:r>
      <w:r>
        <w:rPr>
          <w:sz w:val="30"/>
        </w:rPr>
        <w:t>is</w:t>
      </w:r>
      <w:r>
        <w:rPr>
          <w:spacing w:val="-2"/>
          <w:sz w:val="30"/>
        </w:rPr>
        <w:t xml:space="preserve"> </w:t>
      </w:r>
      <w:r>
        <w:rPr>
          <w:sz w:val="30"/>
        </w:rPr>
        <w:t>warmer</w:t>
      </w:r>
      <w:r>
        <w:rPr>
          <w:spacing w:val="-2"/>
          <w:sz w:val="30"/>
        </w:rPr>
        <w:t xml:space="preserve"> </w:t>
      </w:r>
      <w:r>
        <w:rPr>
          <w:sz w:val="30"/>
        </w:rPr>
        <w:t>than</w:t>
      </w:r>
      <w:r>
        <w:rPr>
          <w:spacing w:val="-2"/>
          <w:sz w:val="30"/>
        </w:rPr>
        <w:t xml:space="preserve"> </w:t>
      </w:r>
      <w:r>
        <w:rPr>
          <w:sz w:val="30"/>
        </w:rPr>
        <w:t>the</w:t>
      </w:r>
      <w:r>
        <w:rPr>
          <w:spacing w:val="-2"/>
          <w:sz w:val="30"/>
        </w:rPr>
        <w:t xml:space="preserve"> </w:t>
      </w:r>
      <w:r>
        <w:rPr>
          <w:sz w:val="30"/>
        </w:rPr>
        <w:t>water</w:t>
      </w:r>
      <w:r>
        <w:rPr>
          <w:spacing w:val="-2"/>
          <w:sz w:val="30"/>
        </w:rPr>
        <w:t xml:space="preserve"> </w:t>
      </w:r>
      <w:r>
        <w:rPr>
          <w:sz w:val="30"/>
        </w:rPr>
        <w:t>that</w:t>
      </w:r>
      <w:r>
        <w:rPr>
          <w:spacing w:val="-2"/>
          <w:sz w:val="30"/>
        </w:rPr>
        <w:t xml:space="preserve"> </w:t>
      </w:r>
      <w:r>
        <w:rPr>
          <w:sz w:val="30"/>
        </w:rPr>
        <w:t>my</w:t>
      </w:r>
      <w:r>
        <w:rPr>
          <w:spacing w:val="-2"/>
          <w:sz w:val="30"/>
        </w:rPr>
        <w:t xml:space="preserve"> </w:t>
      </w:r>
      <w:r>
        <w:rPr>
          <w:sz w:val="30"/>
        </w:rPr>
        <w:t>left</w:t>
      </w:r>
      <w:r>
        <w:rPr>
          <w:spacing w:val="-2"/>
          <w:sz w:val="30"/>
        </w:rPr>
        <w:t xml:space="preserve"> </w:t>
      </w:r>
      <w:r>
        <w:rPr>
          <w:sz w:val="30"/>
        </w:rPr>
        <w:t>hand</w:t>
      </w:r>
      <w:r>
        <w:rPr>
          <w:spacing w:val="-2"/>
          <w:sz w:val="30"/>
        </w:rPr>
        <w:t xml:space="preserve"> </w:t>
      </w:r>
      <w:r>
        <w:rPr>
          <w:sz w:val="30"/>
        </w:rPr>
        <w:t>was</w:t>
      </w:r>
      <w:r>
        <w:rPr>
          <w:spacing w:val="-2"/>
          <w:sz w:val="30"/>
        </w:rPr>
        <w:t xml:space="preserve"> </w:t>
      </w:r>
      <w:r>
        <w:rPr>
          <w:sz w:val="30"/>
        </w:rPr>
        <w:t>in prior to being in the bucket, and the water in the bucket is colder than the water that my right hand was in prior to being in the bucket.</w:t>
      </w:r>
    </w:p>
    <w:p w14:paraId="7E001AEE" w14:textId="77777777" w:rsidR="009A58DB" w:rsidRDefault="009A58DB">
      <w:pPr>
        <w:pStyle w:val="BodyText"/>
        <w:spacing w:before="18"/>
        <w:ind w:left="0"/>
        <w:jc w:val="left"/>
      </w:pPr>
    </w:p>
    <w:p w14:paraId="7E001AEF" w14:textId="77777777" w:rsidR="009A58DB" w:rsidRDefault="00000000">
      <w:pPr>
        <w:pStyle w:val="BodyText"/>
        <w:spacing w:line="249" w:lineRule="auto"/>
        <w:ind w:right="364"/>
      </w:pPr>
      <w:r>
        <w:t>There is nothing incoherent about (iv); it doesn’t attribute incompatible properties to anything; nor, therefore, does it require us to deny the mind-independence of any aspect of reality.</w:t>
      </w:r>
    </w:p>
    <w:p w14:paraId="7E001AF0" w14:textId="77777777" w:rsidR="009A58DB" w:rsidRDefault="00000000">
      <w:pPr>
        <w:pStyle w:val="Heading1"/>
        <w:numPr>
          <w:ilvl w:val="1"/>
          <w:numId w:val="109"/>
        </w:numPr>
        <w:tabs>
          <w:tab w:val="left" w:pos="1073"/>
        </w:tabs>
        <w:spacing w:before="192" w:line="244" w:lineRule="auto"/>
        <w:ind w:right="364" w:firstLine="0"/>
        <w:jc w:val="both"/>
      </w:pPr>
      <w:r>
        <w:t xml:space="preserve">How we actually learn what properties things </w:t>
      </w:r>
      <w:r>
        <w:rPr>
          <w:spacing w:val="-4"/>
        </w:rPr>
        <w:t>have</w:t>
      </w:r>
    </w:p>
    <w:p w14:paraId="7E001AF1" w14:textId="77777777" w:rsidR="009A58DB" w:rsidRDefault="00000000">
      <w:pPr>
        <w:pStyle w:val="BodyText"/>
        <w:spacing w:before="132" w:line="249" w:lineRule="auto"/>
        <w:ind w:right="361"/>
      </w:pPr>
      <w:r>
        <w:t xml:space="preserve">As we’ve noted, our senses give us only relational information; they tell us, not that the object x weighs 80 pounds, but that it weighs </w:t>
      </w:r>
      <w:r>
        <w:rPr>
          <w:i/>
        </w:rPr>
        <w:t>more</w:t>
      </w:r>
      <w:r>
        <w:rPr>
          <w:i/>
          <w:spacing w:val="-2"/>
        </w:rPr>
        <w:t xml:space="preserve"> </w:t>
      </w:r>
      <w:r>
        <w:t>than object y; not that object x is moving at a rate of 50 mph, but that it is moving fast</w:t>
      </w:r>
      <w:r>
        <w:rPr>
          <w:i/>
        </w:rPr>
        <w:t xml:space="preserve">er </w:t>
      </w:r>
      <w:r>
        <w:t>than</w:t>
      </w:r>
      <w:r>
        <w:rPr>
          <w:spacing w:val="-2"/>
        </w:rPr>
        <w:t xml:space="preserve"> </w:t>
      </w:r>
      <w:r>
        <w:t>y;</w:t>
      </w:r>
      <w:r>
        <w:rPr>
          <w:spacing w:val="-3"/>
        </w:rPr>
        <w:t xml:space="preserve"> </w:t>
      </w:r>
      <w:r>
        <w:t>not</w:t>
      </w:r>
      <w:r>
        <w:rPr>
          <w:spacing w:val="-3"/>
        </w:rPr>
        <w:t xml:space="preserve"> </w:t>
      </w:r>
      <w:r>
        <w:t>that</w:t>
      </w:r>
      <w:r>
        <w:rPr>
          <w:spacing w:val="-3"/>
        </w:rPr>
        <w:t xml:space="preserve"> </w:t>
      </w:r>
      <w:r>
        <w:t>x</w:t>
      </w:r>
      <w:r>
        <w:rPr>
          <w:spacing w:val="-2"/>
        </w:rPr>
        <w:t xml:space="preserve"> </w:t>
      </w:r>
      <w:r>
        <w:t>has</w:t>
      </w:r>
      <w:r>
        <w:rPr>
          <w:spacing w:val="-3"/>
        </w:rPr>
        <w:t xml:space="preserve"> </w:t>
      </w:r>
      <w:r>
        <w:t>a</w:t>
      </w:r>
      <w:r>
        <w:rPr>
          <w:spacing w:val="-3"/>
        </w:rPr>
        <w:t xml:space="preserve"> </w:t>
      </w:r>
      <w:r>
        <w:t>temperature</w:t>
      </w:r>
      <w:r>
        <w:rPr>
          <w:spacing w:val="-3"/>
        </w:rPr>
        <w:t xml:space="preserve"> </w:t>
      </w:r>
      <w:r>
        <w:t>of</w:t>
      </w:r>
      <w:r>
        <w:rPr>
          <w:spacing w:val="-3"/>
        </w:rPr>
        <w:t xml:space="preserve"> </w:t>
      </w:r>
      <w:r>
        <w:t>78°,</w:t>
      </w:r>
      <w:r>
        <w:rPr>
          <w:spacing w:val="-2"/>
        </w:rPr>
        <w:t xml:space="preserve"> </w:t>
      </w:r>
      <w:r>
        <w:t>but</w:t>
      </w:r>
      <w:r>
        <w:rPr>
          <w:spacing w:val="-3"/>
        </w:rPr>
        <w:t xml:space="preserve"> </w:t>
      </w:r>
      <w:r>
        <w:t>that</w:t>
      </w:r>
      <w:r>
        <w:rPr>
          <w:spacing w:val="-3"/>
        </w:rPr>
        <w:t xml:space="preserve"> </w:t>
      </w:r>
      <w:r>
        <w:t>x</w:t>
      </w:r>
      <w:r>
        <w:rPr>
          <w:spacing w:val="-2"/>
        </w:rPr>
        <w:t xml:space="preserve"> </w:t>
      </w:r>
      <w:r>
        <w:t>is</w:t>
      </w:r>
      <w:r>
        <w:rPr>
          <w:spacing w:val="-3"/>
        </w:rPr>
        <w:t xml:space="preserve"> </w:t>
      </w:r>
      <w:r>
        <w:t>warm</w:t>
      </w:r>
      <w:r>
        <w:rPr>
          <w:i/>
        </w:rPr>
        <w:t>er</w:t>
      </w:r>
      <w:r>
        <w:rPr>
          <w:i/>
          <w:spacing w:val="-3"/>
        </w:rPr>
        <w:t xml:space="preserve"> </w:t>
      </w:r>
      <w:r>
        <w:t>than</w:t>
      </w:r>
      <w:r>
        <w:rPr>
          <w:spacing w:val="-2"/>
        </w:rPr>
        <w:t xml:space="preserve"> </w:t>
      </w:r>
      <w:r>
        <w:t>y;</w:t>
      </w:r>
      <w:r>
        <w:rPr>
          <w:spacing w:val="-3"/>
        </w:rPr>
        <w:t xml:space="preserve"> </w:t>
      </w:r>
      <w:r>
        <w:t>and</w:t>
      </w:r>
      <w:r>
        <w:rPr>
          <w:spacing w:val="-2"/>
        </w:rPr>
        <w:t xml:space="preserve"> </w:t>
      </w:r>
      <w:r>
        <w:t>so on. At the same time, we’re obviously capable of learning objects’ actual masses, temperatures, and such. But how is this possible if our senses give us only relational information?</w:t>
      </w:r>
    </w:p>
    <w:p w14:paraId="7E001AF2" w14:textId="77777777" w:rsidR="009A58DB" w:rsidRDefault="00000000">
      <w:pPr>
        <w:pStyle w:val="BodyText"/>
        <w:spacing w:before="8" w:line="249" w:lineRule="auto"/>
        <w:ind w:right="359" w:firstLine="360"/>
      </w:pPr>
      <w:r>
        <w:t>To answer this question, we must take a brief detour through the philosophy of science. Suppose you decide to measure time in terms of your own</w:t>
      </w:r>
      <w:r>
        <w:rPr>
          <w:spacing w:val="-3"/>
        </w:rPr>
        <w:t xml:space="preserve"> </w:t>
      </w:r>
      <w:r>
        <w:t>heart</w:t>
      </w:r>
      <w:r>
        <w:rPr>
          <w:spacing w:val="-4"/>
        </w:rPr>
        <w:t xml:space="preserve"> </w:t>
      </w:r>
      <w:r>
        <w:t>rate.</w:t>
      </w:r>
      <w:r>
        <w:rPr>
          <w:spacing w:val="-3"/>
        </w:rPr>
        <w:t xml:space="preserve"> </w:t>
      </w:r>
      <w:r>
        <w:t>You’ll</w:t>
      </w:r>
      <w:r>
        <w:rPr>
          <w:spacing w:val="-4"/>
        </w:rPr>
        <w:t xml:space="preserve"> </w:t>
      </w:r>
      <w:r>
        <w:t>find</w:t>
      </w:r>
      <w:r>
        <w:rPr>
          <w:spacing w:val="-3"/>
        </w:rPr>
        <w:t xml:space="preserve"> </w:t>
      </w:r>
      <w:r>
        <w:t>that,</w:t>
      </w:r>
      <w:r>
        <w:rPr>
          <w:spacing w:val="-3"/>
        </w:rPr>
        <w:t xml:space="preserve"> </w:t>
      </w:r>
      <w:r>
        <w:t>when</w:t>
      </w:r>
      <w:r>
        <w:rPr>
          <w:spacing w:val="-3"/>
        </w:rPr>
        <w:t xml:space="preserve"> </w:t>
      </w:r>
      <w:r>
        <w:t>you</w:t>
      </w:r>
      <w:r>
        <w:rPr>
          <w:spacing w:val="-3"/>
        </w:rPr>
        <w:t xml:space="preserve"> </w:t>
      </w:r>
      <w:r>
        <w:t>do</w:t>
      </w:r>
      <w:r>
        <w:rPr>
          <w:spacing w:val="-3"/>
        </w:rPr>
        <w:t xml:space="preserve"> </w:t>
      </w:r>
      <w:r>
        <w:t>vigorous</w:t>
      </w:r>
      <w:r>
        <w:rPr>
          <w:spacing w:val="-4"/>
        </w:rPr>
        <w:t xml:space="preserve"> </w:t>
      </w:r>
      <w:r>
        <w:t>exercise,</w:t>
      </w:r>
      <w:r>
        <w:rPr>
          <w:spacing w:val="-3"/>
        </w:rPr>
        <w:t xml:space="preserve"> </w:t>
      </w:r>
      <w:r>
        <w:t>everything</w:t>
      </w:r>
      <w:r>
        <w:rPr>
          <w:spacing w:val="-3"/>
        </w:rPr>
        <w:t xml:space="preserve"> </w:t>
      </w:r>
      <w:r>
        <w:t>in the universe (other than your heart rate itself) slows down. (Your heart rate does</w:t>
      </w:r>
      <w:r>
        <w:rPr>
          <w:spacing w:val="-1"/>
        </w:rPr>
        <w:t xml:space="preserve"> </w:t>
      </w:r>
      <w:r>
        <w:t>not</w:t>
      </w:r>
      <w:r>
        <w:rPr>
          <w:spacing w:val="-2"/>
        </w:rPr>
        <w:t xml:space="preserve"> </w:t>
      </w:r>
      <w:r>
        <w:t>itself</w:t>
      </w:r>
      <w:r>
        <w:rPr>
          <w:spacing w:val="-1"/>
        </w:rPr>
        <w:t xml:space="preserve"> </w:t>
      </w:r>
      <w:r>
        <w:t>slow</w:t>
      </w:r>
      <w:r>
        <w:rPr>
          <w:spacing w:val="-1"/>
        </w:rPr>
        <w:t xml:space="preserve"> </w:t>
      </w:r>
      <w:r>
        <w:t>down;</w:t>
      </w:r>
      <w:r>
        <w:rPr>
          <w:spacing w:val="-2"/>
        </w:rPr>
        <w:t xml:space="preserve"> </w:t>
      </w:r>
      <w:r>
        <w:t>for,</w:t>
      </w:r>
      <w:r>
        <w:rPr>
          <w:spacing w:val="-1"/>
        </w:rPr>
        <w:t xml:space="preserve"> </w:t>
      </w:r>
      <w:r>
        <w:t>being</w:t>
      </w:r>
      <w:r>
        <w:rPr>
          <w:spacing w:val="-1"/>
        </w:rPr>
        <w:t xml:space="preserve"> </w:t>
      </w:r>
      <w:r>
        <w:t>the</w:t>
      </w:r>
      <w:r>
        <w:rPr>
          <w:spacing w:val="-1"/>
        </w:rPr>
        <w:t xml:space="preserve"> </w:t>
      </w:r>
      <w:r>
        <w:t>standard</w:t>
      </w:r>
      <w:r>
        <w:rPr>
          <w:spacing w:val="-1"/>
        </w:rPr>
        <w:t xml:space="preserve"> </w:t>
      </w:r>
      <w:r>
        <w:t>of</w:t>
      </w:r>
      <w:r>
        <w:rPr>
          <w:spacing w:val="-1"/>
        </w:rPr>
        <w:t xml:space="preserve"> </w:t>
      </w:r>
      <w:r>
        <w:t>comparison,</w:t>
      </w:r>
      <w:r>
        <w:rPr>
          <w:spacing w:val="-1"/>
        </w:rPr>
        <w:t xml:space="preserve"> </w:t>
      </w:r>
      <w:r>
        <w:t>its</w:t>
      </w:r>
      <w:r>
        <w:rPr>
          <w:spacing w:val="-1"/>
        </w:rPr>
        <w:t xml:space="preserve"> </w:t>
      </w:r>
      <w:r>
        <w:t>rate</w:t>
      </w:r>
      <w:r>
        <w:rPr>
          <w:spacing w:val="-1"/>
        </w:rPr>
        <w:t xml:space="preserve"> </w:t>
      </w:r>
      <w:r>
        <w:t>is</w:t>
      </w:r>
      <w:r>
        <w:rPr>
          <w:spacing w:val="-1"/>
        </w:rPr>
        <w:t xml:space="preserve"> </w:t>
      </w:r>
      <w:r>
        <w:t>by definition constant.) And you’ll find that, when you are calm and relaxed, everything in the universe speeds up.</w:t>
      </w:r>
    </w:p>
    <w:p w14:paraId="7E001AF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F4" w14:textId="77777777" w:rsidR="009A58DB" w:rsidRDefault="00000000">
      <w:pPr>
        <w:pStyle w:val="BodyText"/>
        <w:spacing w:before="65" w:line="249" w:lineRule="auto"/>
        <w:ind w:right="357" w:firstLine="360"/>
      </w:pPr>
      <w:r>
        <w:lastRenderedPageBreak/>
        <w:t>Here you can say one of two things. (i) Because of some strange law, your exercising causes the entire universe (except for your heart itself) to slow down (and your ceasing to exercise causes it to speed up). (ii) You shouldn’t measure</w:t>
      </w:r>
      <w:r>
        <w:rPr>
          <w:spacing w:val="-1"/>
        </w:rPr>
        <w:t xml:space="preserve"> </w:t>
      </w:r>
      <w:r>
        <w:t>rates</w:t>
      </w:r>
      <w:r>
        <w:rPr>
          <w:spacing w:val="-1"/>
        </w:rPr>
        <w:t xml:space="preserve"> </w:t>
      </w:r>
      <w:r>
        <w:t>of</w:t>
      </w:r>
      <w:r>
        <w:rPr>
          <w:spacing w:val="-1"/>
        </w:rPr>
        <w:t xml:space="preserve"> </w:t>
      </w:r>
      <w:r>
        <w:t>change</w:t>
      </w:r>
      <w:r>
        <w:rPr>
          <w:spacing w:val="-1"/>
        </w:rPr>
        <w:t xml:space="preserve"> </w:t>
      </w:r>
      <w:r>
        <w:t>with</w:t>
      </w:r>
      <w:r>
        <w:rPr>
          <w:spacing w:val="-1"/>
        </w:rPr>
        <w:t xml:space="preserve"> </w:t>
      </w:r>
      <w:r>
        <w:t>respect</w:t>
      </w:r>
      <w:r>
        <w:rPr>
          <w:spacing w:val="-1"/>
        </w:rPr>
        <w:t xml:space="preserve"> </w:t>
      </w:r>
      <w:r>
        <w:t>to</w:t>
      </w:r>
      <w:r>
        <w:rPr>
          <w:spacing w:val="-1"/>
        </w:rPr>
        <w:t xml:space="preserve"> </w:t>
      </w:r>
      <w:r>
        <w:t>your</w:t>
      </w:r>
      <w:r>
        <w:rPr>
          <w:spacing w:val="-1"/>
        </w:rPr>
        <w:t xml:space="preserve"> </w:t>
      </w:r>
      <w:r>
        <w:t>heart</w:t>
      </w:r>
      <w:r>
        <w:rPr>
          <w:spacing w:val="-1"/>
        </w:rPr>
        <w:t xml:space="preserve"> </w:t>
      </w:r>
      <w:r>
        <w:t>rate,</w:t>
      </w:r>
      <w:r>
        <w:rPr>
          <w:spacing w:val="-1"/>
        </w:rPr>
        <w:t xml:space="preserve"> </w:t>
      </w:r>
      <w:r>
        <w:t>since</w:t>
      </w:r>
      <w:r>
        <w:rPr>
          <w:spacing w:val="-1"/>
        </w:rPr>
        <w:t xml:space="preserve"> </w:t>
      </w:r>
      <w:r>
        <w:t>doing</w:t>
      </w:r>
      <w:r>
        <w:rPr>
          <w:spacing w:val="-1"/>
        </w:rPr>
        <w:t xml:space="preserve"> </w:t>
      </w:r>
      <w:r>
        <w:t>so</w:t>
      </w:r>
      <w:r>
        <w:rPr>
          <w:spacing w:val="-1"/>
        </w:rPr>
        <w:t xml:space="preserve"> </w:t>
      </w:r>
      <w:r>
        <w:t>creates otherwise absent causal anomalies and demands that relatively simple physical laws be replaced with exceedingly complicated ones.</w:t>
      </w:r>
    </w:p>
    <w:p w14:paraId="7E001AF5" w14:textId="77777777" w:rsidR="009A58DB" w:rsidRDefault="00000000">
      <w:pPr>
        <w:pStyle w:val="BodyText"/>
        <w:spacing w:before="7" w:line="249" w:lineRule="auto"/>
        <w:ind w:right="365" w:firstLine="360"/>
        <w:rPr>
          <w:position w:val="21"/>
        </w:rPr>
      </w:pPr>
      <w:r>
        <w:t>Obviously</w:t>
      </w:r>
      <w:r>
        <w:rPr>
          <w:spacing w:val="-3"/>
        </w:rPr>
        <w:t xml:space="preserve"> </w:t>
      </w:r>
      <w:r>
        <w:t>(ii)</w:t>
      </w:r>
      <w:r>
        <w:rPr>
          <w:spacing w:val="-2"/>
        </w:rPr>
        <w:t xml:space="preserve"> </w:t>
      </w:r>
      <w:r>
        <w:t>is</w:t>
      </w:r>
      <w:r>
        <w:rPr>
          <w:spacing w:val="-2"/>
        </w:rPr>
        <w:t xml:space="preserve"> </w:t>
      </w:r>
      <w:r>
        <w:t>the</w:t>
      </w:r>
      <w:r>
        <w:rPr>
          <w:spacing w:val="-2"/>
        </w:rPr>
        <w:t xml:space="preserve"> </w:t>
      </w:r>
      <w:r>
        <w:t>right</w:t>
      </w:r>
      <w:r>
        <w:rPr>
          <w:spacing w:val="-2"/>
        </w:rPr>
        <w:t xml:space="preserve"> </w:t>
      </w:r>
      <w:r>
        <w:t>choice.</w:t>
      </w:r>
      <w:r>
        <w:rPr>
          <w:spacing w:val="-2"/>
        </w:rPr>
        <w:t xml:space="preserve"> </w:t>
      </w:r>
      <w:r>
        <w:t>You</w:t>
      </w:r>
      <w:r>
        <w:rPr>
          <w:spacing w:val="-2"/>
        </w:rPr>
        <w:t xml:space="preserve"> </w:t>
      </w:r>
      <w:r>
        <w:t>shouldn’t</w:t>
      </w:r>
      <w:r>
        <w:rPr>
          <w:spacing w:val="-2"/>
        </w:rPr>
        <w:t xml:space="preserve"> </w:t>
      </w:r>
      <w:r>
        <w:t>regard</w:t>
      </w:r>
      <w:r>
        <w:rPr>
          <w:spacing w:val="-2"/>
        </w:rPr>
        <w:t xml:space="preserve"> </w:t>
      </w:r>
      <w:r>
        <w:t>your</w:t>
      </w:r>
      <w:r>
        <w:rPr>
          <w:spacing w:val="-2"/>
        </w:rPr>
        <w:t xml:space="preserve"> </w:t>
      </w:r>
      <w:r>
        <w:t>heart</w:t>
      </w:r>
      <w:r>
        <w:rPr>
          <w:spacing w:val="-2"/>
        </w:rPr>
        <w:t xml:space="preserve"> </w:t>
      </w:r>
      <w:r>
        <w:t>rate</w:t>
      </w:r>
      <w:r>
        <w:rPr>
          <w:spacing w:val="-2"/>
        </w:rPr>
        <w:t xml:space="preserve"> </w:t>
      </w:r>
      <w:r>
        <w:t>as</w:t>
      </w:r>
      <w:r>
        <w:rPr>
          <w:spacing w:val="-2"/>
        </w:rPr>
        <w:t xml:space="preserve"> </w:t>
      </w:r>
      <w:r>
        <w:t>a periodic process. You should say that it’s your heart rate that’s changing, not the entire universe.</w:t>
      </w:r>
      <w:bookmarkStart w:id="354" w:name="_bookmark354"/>
      <w:bookmarkEnd w:id="354"/>
      <w:r>
        <w:rPr>
          <w:color w:val="0562C1"/>
          <w:position w:val="21"/>
          <w:u w:val="single" w:color="0562C1"/>
        </w:rPr>
        <w:t>[246]</w:t>
      </w:r>
    </w:p>
    <w:p w14:paraId="7E001AF6" w14:textId="77777777" w:rsidR="009A58DB" w:rsidRDefault="00000000">
      <w:pPr>
        <w:pStyle w:val="BodyText"/>
        <w:spacing w:before="4" w:line="249" w:lineRule="auto"/>
        <w:ind w:right="358" w:firstLine="360"/>
      </w:pPr>
      <w:r>
        <w:t>Comparable points hold with respect to all degree properties. (By a “degree property,” I mean one that can be had to varying degrees. So</w:t>
      </w:r>
      <w:r>
        <w:rPr>
          <w:spacing w:val="40"/>
        </w:rPr>
        <w:t xml:space="preserve"> </w:t>
      </w:r>
      <w:r>
        <w:t>coldness is a degree property, since one thing can be cold</w:t>
      </w:r>
      <w:r>
        <w:rPr>
          <w:i/>
        </w:rPr>
        <w:t>er</w:t>
      </w:r>
      <w:r>
        <w:rPr>
          <w:i/>
          <w:spacing w:val="-2"/>
        </w:rPr>
        <w:t xml:space="preserve"> </w:t>
      </w:r>
      <w:r>
        <w:t xml:space="preserve">than another. But the property of being divisible by two is not, since a number either has that property or it doesn’t.) Suppose a consequence of taking object L to have a constant length is that, when L is put in a freezer, everything in the universe (except for L itself) expands and that, when x is put in boiling water, everything in the universe shrinks. In that case, obviously, you shouldn’t take L to have an unchanging length; you shouldn’t take it as your standard of comparison. The principle implicit in all this is that, if one learns that there has been a change in the difference between x and y in respect of how much they have degree property phi, one should regard the extent to which x has phi as having changed </w:t>
      </w:r>
      <w:r>
        <w:rPr>
          <w:i/>
        </w:rPr>
        <w:t xml:space="preserve">less </w:t>
      </w:r>
      <w:r>
        <w:t xml:space="preserve">than the degree to which y has phi </w:t>
      </w:r>
      <w:r>
        <w:rPr>
          <w:i/>
        </w:rPr>
        <w:t xml:space="preserve">if and only if </w:t>
      </w:r>
      <w:r>
        <w:t xml:space="preserve">doing so is less costly, from an explanatory viewpoint, than it would be to regard y as having undergone less change (in that respect) than y or to regard x and y as having undergone equal amounts of change (same qualification). So, if fewer causal anomalies are created by regarding y as having undergone less phi-change than x than are created by regarding x as having undergone more phi-change than y, then one should </w:t>
      </w:r>
      <w:r>
        <w:rPr>
          <w:i/>
        </w:rPr>
        <w:t xml:space="preserve">not </w:t>
      </w:r>
      <w:r>
        <w:t xml:space="preserve">regard x as approximating, to a higher degree than y, to a condition of phi-uniformity. And if fewer causal anomalies are created by regarding x and y as having undergone equal amounts of phi-change than are created by supposing one of them to have undergone more phi-change than the other, then one should regard </w:t>
      </w:r>
      <w:r>
        <w:rPr>
          <w:i/>
        </w:rPr>
        <w:t xml:space="preserve">neither </w:t>
      </w:r>
      <w:r>
        <w:t xml:space="preserve">x </w:t>
      </w:r>
      <w:r>
        <w:rPr>
          <w:i/>
        </w:rPr>
        <w:t>nor</w:t>
      </w:r>
      <w:r>
        <w:rPr>
          <w:i/>
          <w:spacing w:val="-4"/>
        </w:rPr>
        <w:t xml:space="preserve"> </w:t>
      </w:r>
      <w:r>
        <w:t xml:space="preserve">y as approximating a condition of phi-uniformity to a higher degree than the other. </w:t>
      </w:r>
      <w:r>
        <w:rPr>
          <w:i/>
        </w:rPr>
        <w:t xml:space="preserve">Otherwise </w:t>
      </w:r>
      <w:r>
        <w:t>one should regard x as approximating to a condition of phi-uniformity to a higher degree than x.</w:t>
      </w:r>
    </w:p>
    <w:p w14:paraId="7E001AF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AF8" w14:textId="77777777" w:rsidR="009A58DB" w:rsidRDefault="00000000">
      <w:pPr>
        <w:pStyle w:val="Heading1"/>
        <w:numPr>
          <w:ilvl w:val="2"/>
          <w:numId w:val="109"/>
        </w:numPr>
        <w:tabs>
          <w:tab w:val="left" w:pos="1305"/>
        </w:tabs>
        <w:spacing w:before="58"/>
        <w:ind w:left="1305" w:hanging="945"/>
        <w:jc w:val="both"/>
      </w:pPr>
      <w:r>
        <w:lastRenderedPageBreak/>
        <w:t>How</w:t>
      </w:r>
      <w:r>
        <w:rPr>
          <w:spacing w:val="-7"/>
        </w:rPr>
        <w:t xml:space="preserve"> </w:t>
      </w:r>
      <w:r>
        <w:t>this</w:t>
      </w:r>
      <w:r>
        <w:rPr>
          <w:spacing w:val="-4"/>
        </w:rPr>
        <w:t xml:space="preserve"> </w:t>
      </w:r>
      <w:r>
        <w:t>last</w:t>
      </w:r>
      <w:r>
        <w:rPr>
          <w:spacing w:val="-5"/>
        </w:rPr>
        <w:t xml:space="preserve"> </w:t>
      </w:r>
      <w:r>
        <w:t>point</w:t>
      </w:r>
      <w:r>
        <w:rPr>
          <w:spacing w:val="-4"/>
        </w:rPr>
        <w:t xml:space="preserve"> </w:t>
      </w:r>
      <w:r>
        <w:t>relates</w:t>
      </w:r>
      <w:r>
        <w:rPr>
          <w:spacing w:val="-5"/>
        </w:rPr>
        <w:t xml:space="preserve"> </w:t>
      </w:r>
      <w:r>
        <w:t>to</w:t>
      </w:r>
      <w:r>
        <w:rPr>
          <w:spacing w:val="-3"/>
        </w:rPr>
        <w:t xml:space="preserve"> </w:t>
      </w:r>
      <w:r>
        <w:t>sense-</w:t>
      </w:r>
      <w:r>
        <w:rPr>
          <w:spacing w:val="-2"/>
        </w:rPr>
        <w:t>perception</w:t>
      </w:r>
    </w:p>
    <w:p w14:paraId="7E001AF9" w14:textId="77777777" w:rsidR="009A58DB" w:rsidRDefault="00000000">
      <w:pPr>
        <w:pStyle w:val="BodyText"/>
        <w:spacing w:before="139" w:line="249" w:lineRule="auto"/>
        <w:ind w:right="361"/>
      </w:pPr>
      <w:r>
        <w:t>Our senses constantly give us information about comparative rates of change. One’s eyes might tell one, for example, that the apparent size of the man is changing faster than the apparent size of the tree. The man’s apparent size, so one’s eyes tell one, is shrinking faster than the tree’s apparent size, even though the apparent size of each one is shrinking. Given this raw, pre-inferential, visual information, one holds any one of the following:</w:t>
      </w:r>
    </w:p>
    <w:p w14:paraId="7E001AFA" w14:textId="77777777" w:rsidR="009A58DB" w:rsidRDefault="009A58DB">
      <w:pPr>
        <w:pStyle w:val="BodyText"/>
        <w:spacing w:before="22"/>
        <w:ind w:left="0"/>
        <w:jc w:val="left"/>
      </w:pPr>
    </w:p>
    <w:p w14:paraId="7E001AFB" w14:textId="77777777" w:rsidR="009A58DB" w:rsidRDefault="00000000">
      <w:pPr>
        <w:pStyle w:val="ListParagraph"/>
        <w:numPr>
          <w:ilvl w:val="0"/>
          <w:numId w:val="106"/>
        </w:numPr>
        <w:tabs>
          <w:tab w:val="left" w:pos="745"/>
        </w:tabs>
        <w:spacing w:line="249" w:lineRule="auto"/>
        <w:ind w:right="359" w:firstLine="0"/>
        <w:jc w:val="both"/>
        <w:rPr>
          <w:sz w:val="30"/>
        </w:rPr>
      </w:pPr>
      <w:r>
        <w:rPr>
          <w:sz w:val="30"/>
        </w:rPr>
        <w:t>One’s distance from the man and the tree remains constant; but the man and the tree are both shrinking, and the man is shrinking faster than the tree.</w:t>
      </w:r>
    </w:p>
    <w:p w14:paraId="7E001AFC" w14:textId="77777777" w:rsidR="009A58DB" w:rsidRDefault="00000000">
      <w:pPr>
        <w:pStyle w:val="ListParagraph"/>
        <w:numPr>
          <w:ilvl w:val="0"/>
          <w:numId w:val="106"/>
        </w:numPr>
        <w:tabs>
          <w:tab w:val="left" w:pos="797"/>
        </w:tabs>
        <w:spacing w:before="3" w:line="249" w:lineRule="auto"/>
        <w:ind w:right="360" w:firstLine="0"/>
        <w:jc w:val="both"/>
        <w:rPr>
          <w:sz w:val="30"/>
        </w:rPr>
      </w:pPr>
      <w:r>
        <w:rPr>
          <w:sz w:val="30"/>
        </w:rPr>
        <w:t>One</w:t>
      </w:r>
      <w:r>
        <w:rPr>
          <w:spacing w:val="-4"/>
          <w:sz w:val="30"/>
        </w:rPr>
        <w:t xml:space="preserve"> </w:t>
      </w:r>
      <w:r>
        <w:rPr>
          <w:sz w:val="30"/>
        </w:rPr>
        <w:t>is</w:t>
      </w:r>
      <w:r>
        <w:rPr>
          <w:spacing w:val="-4"/>
          <w:sz w:val="30"/>
        </w:rPr>
        <w:t xml:space="preserve"> </w:t>
      </w:r>
      <w:r>
        <w:rPr>
          <w:sz w:val="30"/>
        </w:rPr>
        <w:t>moving</w:t>
      </w:r>
      <w:r>
        <w:rPr>
          <w:spacing w:val="-3"/>
          <w:sz w:val="30"/>
        </w:rPr>
        <w:t xml:space="preserve"> </w:t>
      </w:r>
      <w:r>
        <w:rPr>
          <w:i/>
          <w:sz w:val="30"/>
        </w:rPr>
        <w:t>away</w:t>
      </w:r>
      <w:r>
        <w:rPr>
          <w:i/>
          <w:spacing w:val="-4"/>
          <w:sz w:val="30"/>
        </w:rPr>
        <w:t xml:space="preserve"> </w:t>
      </w:r>
      <w:r>
        <w:rPr>
          <w:sz w:val="30"/>
        </w:rPr>
        <w:t>from both the man and the tree (and, therefore, one’s distance from the man and the tree is not constant), but the distance between the man and the tree remains constant; and, whereas the man is shrinking, the tree’s size remains constant.</w:t>
      </w:r>
    </w:p>
    <w:p w14:paraId="7E001AFD" w14:textId="77777777" w:rsidR="009A58DB" w:rsidRDefault="00000000">
      <w:pPr>
        <w:pStyle w:val="ListParagraph"/>
        <w:numPr>
          <w:ilvl w:val="0"/>
          <w:numId w:val="106"/>
        </w:numPr>
        <w:tabs>
          <w:tab w:val="left" w:pos="919"/>
        </w:tabs>
        <w:spacing w:before="4" w:line="249" w:lineRule="auto"/>
        <w:ind w:right="360" w:firstLine="0"/>
        <w:jc w:val="both"/>
        <w:rPr>
          <w:sz w:val="30"/>
        </w:rPr>
      </w:pPr>
      <w:r>
        <w:rPr>
          <w:sz w:val="30"/>
        </w:rPr>
        <w:t xml:space="preserve">One is moving away from both the man and the tree, but the distance between the man and the tree remains constant; and, even though </w:t>
      </w:r>
      <w:r>
        <w:rPr>
          <w:i/>
          <w:sz w:val="30"/>
        </w:rPr>
        <w:t xml:space="preserve">both </w:t>
      </w:r>
      <w:r>
        <w:rPr>
          <w:sz w:val="30"/>
        </w:rPr>
        <w:t xml:space="preserve">the man and the tree are shrinking, the man is doing so at a faster rate than the </w:t>
      </w:r>
      <w:r>
        <w:rPr>
          <w:spacing w:val="-2"/>
          <w:sz w:val="30"/>
        </w:rPr>
        <w:t>tree.</w:t>
      </w:r>
    </w:p>
    <w:p w14:paraId="7E001AFE" w14:textId="77777777" w:rsidR="009A58DB" w:rsidRDefault="00000000">
      <w:pPr>
        <w:pStyle w:val="ListParagraph"/>
        <w:numPr>
          <w:ilvl w:val="0"/>
          <w:numId w:val="106"/>
        </w:numPr>
        <w:tabs>
          <w:tab w:val="left" w:pos="928"/>
        </w:tabs>
        <w:spacing w:before="5" w:line="249" w:lineRule="auto"/>
        <w:ind w:right="363" w:firstLine="0"/>
        <w:jc w:val="both"/>
        <w:rPr>
          <w:sz w:val="30"/>
        </w:rPr>
      </w:pPr>
      <w:r>
        <w:rPr>
          <w:sz w:val="30"/>
        </w:rPr>
        <w:t>The tree’s size remains constant, and so does the man’s; the man is moving away from the tree in one direction, and you are moving away from the tree in the opposite direction.</w:t>
      </w:r>
    </w:p>
    <w:p w14:paraId="7E001AFF" w14:textId="77777777" w:rsidR="009A58DB" w:rsidRDefault="009A58DB">
      <w:pPr>
        <w:pStyle w:val="BodyText"/>
        <w:spacing w:before="19"/>
        <w:ind w:left="0"/>
        <w:jc w:val="left"/>
      </w:pPr>
    </w:p>
    <w:p w14:paraId="7E001B00" w14:textId="77777777" w:rsidR="009A58DB" w:rsidRDefault="00000000">
      <w:pPr>
        <w:pStyle w:val="BodyText"/>
        <w:spacing w:line="249" w:lineRule="auto"/>
        <w:ind w:right="358"/>
      </w:pPr>
      <w:r>
        <w:t xml:space="preserve">Each of (i)–(iv) is consistent with the raw information contained in the previously described perception. But a world where any one of (i)–(iii) was correct would </w:t>
      </w:r>
      <w:r>
        <w:rPr>
          <w:i/>
        </w:rPr>
        <w:t xml:space="preserve">ceteris paribus </w:t>
      </w:r>
      <w:r>
        <w:t>be a world that was replete with causal anomalies</w:t>
      </w:r>
      <w:r>
        <w:rPr>
          <w:spacing w:val="-3"/>
        </w:rPr>
        <w:t xml:space="preserve"> </w:t>
      </w:r>
      <w:r>
        <w:t>absent</w:t>
      </w:r>
      <w:r>
        <w:rPr>
          <w:spacing w:val="-3"/>
        </w:rPr>
        <w:t xml:space="preserve"> </w:t>
      </w:r>
      <w:r>
        <w:t>from</w:t>
      </w:r>
      <w:r>
        <w:rPr>
          <w:spacing w:val="-3"/>
        </w:rPr>
        <w:t xml:space="preserve"> </w:t>
      </w:r>
      <w:r>
        <w:t>a</w:t>
      </w:r>
      <w:r>
        <w:rPr>
          <w:spacing w:val="-3"/>
        </w:rPr>
        <w:t xml:space="preserve"> </w:t>
      </w:r>
      <w:r>
        <w:t>world</w:t>
      </w:r>
      <w:r>
        <w:rPr>
          <w:spacing w:val="-2"/>
        </w:rPr>
        <w:t xml:space="preserve"> </w:t>
      </w:r>
      <w:r>
        <w:t>where</w:t>
      </w:r>
      <w:r>
        <w:rPr>
          <w:spacing w:val="-3"/>
        </w:rPr>
        <w:t xml:space="preserve"> </w:t>
      </w:r>
      <w:r>
        <w:t>(iv)</w:t>
      </w:r>
      <w:r>
        <w:rPr>
          <w:spacing w:val="-3"/>
        </w:rPr>
        <w:t xml:space="preserve"> </w:t>
      </w:r>
      <w:r>
        <w:t>was</w:t>
      </w:r>
      <w:r>
        <w:rPr>
          <w:spacing w:val="-3"/>
        </w:rPr>
        <w:t xml:space="preserve"> </w:t>
      </w:r>
      <w:r>
        <w:t>correct.</w:t>
      </w:r>
      <w:r>
        <w:rPr>
          <w:spacing w:val="-2"/>
        </w:rPr>
        <w:t xml:space="preserve"> </w:t>
      </w:r>
      <w:r>
        <w:t>This</w:t>
      </w:r>
      <w:r>
        <w:rPr>
          <w:spacing w:val="-3"/>
        </w:rPr>
        <w:t xml:space="preserve"> </w:t>
      </w:r>
      <w:r>
        <w:t>means</w:t>
      </w:r>
      <w:r>
        <w:rPr>
          <w:spacing w:val="-3"/>
        </w:rPr>
        <w:t xml:space="preserve"> </w:t>
      </w:r>
      <w:r>
        <w:t>that,</w:t>
      </w:r>
      <w:r>
        <w:rPr>
          <w:spacing w:val="-2"/>
        </w:rPr>
        <w:t xml:space="preserve"> </w:t>
      </w:r>
      <w:r>
        <w:t>if</w:t>
      </w:r>
      <w:r>
        <w:rPr>
          <w:spacing w:val="-3"/>
        </w:rPr>
        <w:t xml:space="preserve"> </w:t>
      </w:r>
      <w:r>
        <w:t>one were to countenance any one of (i)–(iii), one’s understanding of the world</w:t>
      </w:r>
      <w:r>
        <w:rPr>
          <w:spacing w:val="40"/>
        </w:rPr>
        <w:t xml:space="preserve"> </w:t>
      </w:r>
      <w:r>
        <w:t xml:space="preserve">and the forces that govern it would undergo a weakening that it would not undergo were one instead to countenance (iv). It is for this reason, then, that </w:t>
      </w:r>
      <w:r>
        <w:rPr>
          <w:i/>
        </w:rPr>
        <w:t xml:space="preserve">ceteris paribus </w:t>
      </w:r>
      <w:r>
        <w:t>one countenances (iv), and not any one of (i)–(iii). It is for</w:t>
      </w:r>
      <w:r>
        <w:rPr>
          <w:spacing w:val="40"/>
        </w:rPr>
        <w:t xml:space="preserve"> </w:t>
      </w:r>
      <w:r>
        <w:t>this</w:t>
      </w:r>
      <w:r>
        <w:rPr>
          <w:spacing w:val="-3"/>
        </w:rPr>
        <w:t xml:space="preserve"> </w:t>
      </w:r>
      <w:r>
        <w:t>reason,</w:t>
      </w:r>
      <w:r>
        <w:rPr>
          <w:spacing w:val="-3"/>
        </w:rPr>
        <w:t xml:space="preserve"> </w:t>
      </w:r>
      <w:r>
        <w:t>that,</w:t>
      </w:r>
      <w:r>
        <w:rPr>
          <w:spacing w:val="-3"/>
        </w:rPr>
        <w:t xml:space="preserve"> </w:t>
      </w:r>
      <w:r>
        <w:t>after</w:t>
      </w:r>
      <w:r>
        <w:rPr>
          <w:spacing w:val="-3"/>
        </w:rPr>
        <w:t xml:space="preserve"> </w:t>
      </w:r>
      <w:r>
        <w:t>exercising</w:t>
      </w:r>
      <w:r>
        <w:rPr>
          <w:spacing w:val="-3"/>
        </w:rPr>
        <w:t xml:space="preserve"> </w:t>
      </w:r>
      <w:r>
        <w:t>vigorously,</w:t>
      </w:r>
      <w:r>
        <w:rPr>
          <w:spacing w:val="-3"/>
        </w:rPr>
        <w:t xml:space="preserve"> </w:t>
      </w:r>
      <w:r>
        <w:t>one</w:t>
      </w:r>
      <w:r>
        <w:rPr>
          <w:spacing w:val="-3"/>
        </w:rPr>
        <w:t xml:space="preserve"> </w:t>
      </w:r>
      <w:r>
        <w:t>believes</w:t>
      </w:r>
      <w:r>
        <w:rPr>
          <w:spacing w:val="-3"/>
        </w:rPr>
        <w:t xml:space="preserve"> </w:t>
      </w:r>
      <w:r>
        <w:t>that</w:t>
      </w:r>
      <w:r>
        <w:rPr>
          <w:spacing w:val="-3"/>
        </w:rPr>
        <w:t xml:space="preserve"> </w:t>
      </w:r>
      <w:r>
        <w:t>one’s</w:t>
      </w:r>
      <w:r>
        <w:rPr>
          <w:spacing w:val="-3"/>
        </w:rPr>
        <w:t xml:space="preserve"> </w:t>
      </w:r>
      <w:r>
        <w:t>heart</w:t>
      </w:r>
      <w:r>
        <w:rPr>
          <w:spacing w:val="-3"/>
        </w:rPr>
        <w:t xml:space="preserve"> </w:t>
      </w:r>
      <w:r>
        <w:t>rate sped up and not that the rest of the world slowed down; that, after lifting weights for a year, one became stronger and not that everything became lighter; that, on leaving a steam room, one’s body that has become warmer and not that the world that has become colder; and so on.</w:t>
      </w:r>
    </w:p>
    <w:p w14:paraId="7E001B0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02" w14:textId="77777777" w:rsidR="009A58DB" w:rsidRDefault="00000000">
      <w:pPr>
        <w:pStyle w:val="BodyText"/>
        <w:spacing w:before="65" w:line="249" w:lineRule="auto"/>
        <w:ind w:right="358" w:firstLine="360"/>
      </w:pPr>
      <w:r>
        <w:lastRenderedPageBreak/>
        <w:t>So</w:t>
      </w:r>
      <w:r>
        <w:rPr>
          <w:spacing w:val="-3"/>
        </w:rPr>
        <w:t xml:space="preserve"> </w:t>
      </w:r>
      <w:r>
        <w:t>although</w:t>
      </w:r>
      <w:r>
        <w:rPr>
          <w:spacing w:val="-3"/>
        </w:rPr>
        <w:t xml:space="preserve"> </w:t>
      </w:r>
      <w:r>
        <w:t>it</w:t>
      </w:r>
      <w:r>
        <w:rPr>
          <w:spacing w:val="-4"/>
        </w:rPr>
        <w:t xml:space="preserve"> </w:t>
      </w:r>
      <w:r>
        <w:t>is</w:t>
      </w:r>
      <w:r>
        <w:rPr>
          <w:spacing w:val="-4"/>
        </w:rPr>
        <w:t xml:space="preserve"> </w:t>
      </w:r>
      <w:r>
        <w:t>obviously</w:t>
      </w:r>
      <w:r>
        <w:rPr>
          <w:spacing w:val="-3"/>
        </w:rPr>
        <w:t xml:space="preserve"> </w:t>
      </w:r>
      <w:r>
        <w:rPr>
          <w:i/>
        </w:rPr>
        <w:t>through</w:t>
      </w:r>
      <w:r>
        <w:rPr>
          <w:i/>
          <w:spacing w:val="-4"/>
        </w:rPr>
        <w:t xml:space="preserve"> </w:t>
      </w:r>
      <w:r>
        <w:t xml:space="preserve">sense-perception that we learn objects’ masses, speeds, temperatures, and so on, we don’t </w:t>
      </w:r>
      <w:r>
        <w:rPr>
          <w:i/>
        </w:rPr>
        <w:t xml:space="preserve">sense-perceive </w:t>
      </w:r>
      <w:r>
        <w:t xml:space="preserve">them, at least not directly. Although it is through sense-perception that one learns that the water is 78°, one doesn’t </w:t>
      </w:r>
      <w:r>
        <w:rPr>
          <w:i/>
        </w:rPr>
        <w:t xml:space="preserve">sense-perceive </w:t>
      </w:r>
      <w:r>
        <w:t>that the water has that temperature. What one sense-perceives is that the water is warm</w:t>
      </w:r>
      <w:r>
        <w:rPr>
          <w:i/>
        </w:rPr>
        <w:t>er</w:t>
      </w:r>
      <w:r>
        <w:rPr>
          <w:i/>
          <w:spacing w:val="-3"/>
        </w:rPr>
        <w:t xml:space="preserve"> </w:t>
      </w:r>
      <w:r>
        <w:t>than x and cold</w:t>
      </w:r>
      <w:r>
        <w:rPr>
          <w:i/>
        </w:rPr>
        <w:t xml:space="preserve">er </w:t>
      </w:r>
      <w:r>
        <w:t>than y. Given this information, one is justified in believing that the water’s temperature is 78° just in case, in doing so, one is undermining the integrity of one’s understanding of physical reality less than one would be in not doing so. Basically, objects’ actual properties are inferred from sense-perceptions and not directly sense-perceived; and the relevant rule of inference is: “of the various ways of accommodating the raw, sensory data that</w:t>
      </w:r>
      <w:r>
        <w:rPr>
          <w:spacing w:val="-2"/>
        </w:rPr>
        <w:t xml:space="preserve"> </w:t>
      </w:r>
      <w:r>
        <w:t>you’ve</w:t>
      </w:r>
      <w:r>
        <w:rPr>
          <w:spacing w:val="-1"/>
        </w:rPr>
        <w:t xml:space="preserve"> </w:t>
      </w:r>
      <w:r>
        <w:t>been</w:t>
      </w:r>
      <w:r>
        <w:rPr>
          <w:spacing w:val="-1"/>
        </w:rPr>
        <w:t xml:space="preserve"> </w:t>
      </w:r>
      <w:r>
        <w:t>given</w:t>
      </w:r>
      <w:r>
        <w:rPr>
          <w:spacing w:val="-1"/>
        </w:rPr>
        <w:t xml:space="preserve"> </w:t>
      </w:r>
      <w:r>
        <w:t>(and</w:t>
      </w:r>
      <w:r>
        <w:rPr>
          <w:spacing w:val="-1"/>
        </w:rPr>
        <w:t xml:space="preserve"> </w:t>
      </w:r>
      <w:r>
        <w:t>there</w:t>
      </w:r>
      <w:r>
        <w:rPr>
          <w:spacing w:val="-1"/>
        </w:rPr>
        <w:t xml:space="preserve"> </w:t>
      </w:r>
      <w:r>
        <w:t>will</w:t>
      </w:r>
      <w:r>
        <w:rPr>
          <w:spacing w:val="-2"/>
        </w:rPr>
        <w:t xml:space="preserve"> </w:t>
      </w:r>
      <w:r>
        <w:t>always</w:t>
      </w:r>
      <w:r>
        <w:rPr>
          <w:spacing w:val="-1"/>
        </w:rPr>
        <w:t xml:space="preserve"> </w:t>
      </w:r>
      <w:r>
        <w:t>be</w:t>
      </w:r>
      <w:r>
        <w:rPr>
          <w:spacing w:val="-1"/>
        </w:rPr>
        <w:t xml:space="preserve"> </w:t>
      </w:r>
      <w:r>
        <w:t>several</w:t>
      </w:r>
      <w:r>
        <w:rPr>
          <w:spacing w:val="-1"/>
        </w:rPr>
        <w:t xml:space="preserve"> </w:t>
      </w:r>
      <w:r>
        <w:t>such</w:t>
      </w:r>
      <w:r>
        <w:rPr>
          <w:spacing w:val="-1"/>
        </w:rPr>
        <w:t xml:space="preserve"> </w:t>
      </w:r>
      <w:r>
        <w:t>ways),</w:t>
      </w:r>
      <w:r>
        <w:rPr>
          <w:spacing w:val="-1"/>
        </w:rPr>
        <w:t xml:space="preserve"> </w:t>
      </w:r>
      <w:r>
        <w:t>the</w:t>
      </w:r>
      <w:r>
        <w:rPr>
          <w:spacing w:val="-1"/>
        </w:rPr>
        <w:t xml:space="preserve"> </w:t>
      </w:r>
      <w:r>
        <w:t xml:space="preserve">right one is the one that is the least </w:t>
      </w:r>
      <w:r>
        <w:rPr>
          <w:i/>
        </w:rPr>
        <w:t>ad</w:t>
      </w:r>
      <w:r>
        <w:rPr>
          <w:i/>
          <w:spacing w:val="-2"/>
        </w:rPr>
        <w:t xml:space="preserve"> </w:t>
      </w:r>
      <w:r>
        <w:rPr>
          <w:i/>
        </w:rPr>
        <w:t>hoc</w:t>
      </w:r>
      <w:r>
        <w:rPr>
          <w:i/>
          <w:spacing w:val="-2"/>
        </w:rPr>
        <w:t xml:space="preserve"> </w:t>
      </w:r>
      <w:r>
        <w:t>(that posits the fewest causal anomalies, that has the most explanatory fertility, etc.).”</w:t>
      </w:r>
    </w:p>
    <w:p w14:paraId="7E001B03" w14:textId="77777777" w:rsidR="009A58DB" w:rsidRDefault="00000000">
      <w:pPr>
        <w:pStyle w:val="Heading1"/>
        <w:numPr>
          <w:ilvl w:val="1"/>
          <w:numId w:val="109"/>
        </w:numPr>
        <w:tabs>
          <w:tab w:val="left" w:pos="990"/>
        </w:tabs>
        <w:spacing w:before="205"/>
        <w:ind w:left="990" w:hanging="630"/>
      </w:pPr>
      <w:r>
        <w:t>Primary</w:t>
      </w:r>
      <w:r>
        <w:rPr>
          <w:spacing w:val="-4"/>
        </w:rPr>
        <w:t xml:space="preserve"> </w:t>
      </w:r>
      <w:r>
        <w:t>vs.</w:t>
      </w:r>
      <w:r>
        <w:rPr>
          <w:spacing w:val="-4"/>
        </w:rPr>
        <w:t xml:space="preserve"> </w:t>
      </w:r>
      <w:r>
        <w:t>Secondary</w:t>
      </w:r>
      <w:r>
        <w:rPr>
          <w:spacing w:val="-4"/>
        </w:rPr>
        <w:t xml:space="preserve"> </w:t>
      </w:r>
      <w:r>
        <w:rPr>
          <w:spacing w:val="-2"/>
        </w:rPr>
        <w:t>properties</w:t>
      </w:r>
    </w:p>
    <w:p w14:paraId="7E001B04" w14:textId="77777777" w:rsidR="009A58DB" w:rsidRDefault="00000000">
      <w:pPr>
        <w:spacing w:before="139"/>
        <w:ind w:left="360"/>
        <w:rPr>
          <w:sz w:val="30"/>
        </w:rPr>
      </w:pPr>
      <w:r>
        <w:rPr>
          <w:sz w:val="30"/>
        </w:rPr>
        <w:t>Like</w:t>
      </w:r>
      <w:r>
        <w:rPr>
          <w:spacing w:val="57"/>
          <w:sz w:val="30"/>
        </w:rPr>
        <w:t xml:space="preserve"> </w:t>
      </w:r>
      <w:r>
        <w:rPr>
          <w:sz w:val="30"/>
        </w:rPr>
        <w:t>John</w:t>
      </w:r>
      <w:r>
        <w:rPr>
          <w:spacing w:val="60"/>
          <w:sz w:val="30"/>
        </w:rPr>
        <w:t xml:space="preserve"> </w:t>
      </w:r>
      <w:r>
        <w:rPr>
          <w:sz w:val="30"/>
        </w:rPr>
        <w:t>Locke,</w:t>
      </w:r>
      <w:r>
        <w:rPr>
          <w:spacing w:val="61"/>
          <w:sz w:val="30"/>
        </w:rPr>
        <w:t xml:space="preserve"> </w:t>
      </w:r>
      <w:r>
        <w:rPr>
          <w:sz w:val="30"/>
        </w:rPr>
        <w:t>Berkeley</w:t>
      </w:r>
      <w:r>
        <w:rPr>
          <w:spacing w:val="59"/>
          <w:sz w:val="30"/>
        </w:rPr>
        <w:t xml:space="preserve"> </w:t>
      </w:r>
      <w:r>
        <w:rPr>
          <w:sz w:val="30"/>
        </w:rPr>
        <w:t>distinguishes</w:t>
      </w:r>
      <w:r>
        <w:rPr>
          <w:spacing w:val="60"/>
          <w:sz w:val="30"/>
        </w:rPr>
        <w:t xml:space="preserve"> </w:t>
      </w:r>
      <w:r>
        <w:rPr>
          <w:sz w:val="30"/>
        </w:rPr>
        <w:t>between</w:t>
      </w:r>
      <w:r>
        <w:rPr>
          <w:spacing w:val="61"/>
          <w:sz w:val="30"/>
        </w:rPr>
        <w:t xml:space="preserve"> </w:t>
      </w:r>
      <w:r>
        <w:rPr>
          <w:b/>
          <w:i/>
          <w:sz w:val="30"/>
        </w:rPr>
        <w:t>primary</w:t>
      </w:r>
      <w:r>
        <w:rPr>
          <w:b/>
          <w:i/>
          <w:spacing w:val="55"/>
          <w:sz w:val="30"/>
        </w:rPr>
        <w:t xml:space="preserve"> </w:t>
      </w:r>
      <w:r>
        <w:rPr>
          <w:b/>
          <w:i/>
          <w:sz w:val="30"/>
        </w:rPr>
        <w:t>properties</w:t>
      </w:r>
      <w:r>
        <w:rPr>
          <w:b/>
          <w:i/>
          <w:spacing w:val="55"/>
          <w:sz w:val="30"/>
        </w:rPr>
        <w:t xml:space="preserve"> </w:t>
      </w:r>
      <w:r>
        <w:rPr>
          <w:spacing w:val="-5"/>
          <w:sz w:val="30"/>
        </w:rPr>
        <w:t>and</w:t>
      </w:r>
    </w:p>
    <w:p w14:paraId="7E001B05" w14:textId="77777777" w:rsidR="009A58DB" w:rsidRDefault="00000000">
      <w:pPr>
        <w:spacing w:before="15" w:line="277" w:lineRule="exact"/>
        <w:ind w:left="3022"/>
        <w:rPr>
          <w:b/>
          <w:i/>
          <w:sz w:val="30"/>
        </w:rPr>
      </w:pPr>
      <w:bookmarkStart w:id="355" w:name="_bookmark355"/>
      <w:bookmarkEnd w:id="355"/>
      <w:r>
        <w:rPr>
          <w:b/>
          <w:i/>
          <w:color w:val="0562C1"/>
          <w:spacing w:val="-2"/>
          <w:sz w:val="30"/>
          <w:u w:val="single" w:color="0562C1"/>
        </w:rPr>
        <w:t>[247]</w:t>
      </w:r>
    </w:p>
    <w:p w14:paraId="7E001B06" w14:textId="77777777" w:rsidR="009A58DB" w:rsidRDefault="00000000">
      <w:pPr>
        <w:tabs>
          <w:tab w:val="left" w:pos="3758"/>
        </w:tabs>
        <w:spacing w:line="277" w:lineRule="exact"/>
        <w:ind w:left="360"/>
        <w:rPr>
          <w:sz w:val="30"/>
        </w:rPr>
      </w:pPr>
      <w:r>
        <w:rPr>
          <w:b/>
          <w:i/>
          <w:sz w:val="30"/>
        </w:rPr>
        <w:t>secondary</w:t>
      </w:r>
      <w:r>
        <w:rPr>
          <w:b/>
          <w:i/>
          <w:spacing w:val="24"/>
          <w:sz w:val="30"/>
        </w:rPr>
        <w:t xml:space="preserve"> </w:t>
      </w:r>
      <w:r>
        <w:rPr>
          <w:b/>
          <w:i/>
          <w:spacing w:val="-2"/>
          <w:sz w:val="30"/>
        </w:rPr>
        <w:t>properties.</w:t>
      </w:r>
      <w:r>
        <w:rPr>
          <w:b/>
          <w:i/>
          <w:sz w:val="30"/>
        </w:rPr>
        <w:tab/>
      </w:r>
      <w:r>
        <w:rPr>
          <w:sz w:val="30"/>
        </w:rPr>
        <w:t>Examples</w:t>
      </w:r>
      <w:r>
        <w:rPr>
          <w:spacing w:val="38"/>
          <w:sz w:val="30"/>
        </w:rPr>
        <w:t xml:space="preserve"> </w:t>
      </w:r>
      <w:r>
        <w:rPr>
          <w:sz w:val="30"/>
        </w:rPr>
        <w:t>of</w:t>
      </w:r>
      <w:r>
        <w:rPr>
          <w:spacing w:val="39"/>
          <w:sz w:val="30"/>
        </w:rPr>
        <w:t xml:space="preserve"> </w:t>
      </w:r>
      <w:r>
        <w:rPr>
          <w:sz w:val="30"/>
        </w:rPr>
        <w:t>primary</w:t>
      </w:r>
      <w:r>
        <w:rPr>
          <w:spacing w:val="38"/>
          <w:sz w:val="30"/>
        </w:rPr>
        <w:t xml:space="preserve"> </w:t>
      </w:r>
      <w:r>
        <w:rPr>
          <w:sz w:val="30"/>
        </w:rPr>
        <w:t>properties</w:t>
      </w:r>
      <w:r>
        <w:rPr>
          <w:spacing w:val="39"/>
          <w:sz w:val="30"/>
        </w:rPr>
        <w:t xml:space="preserve"> </w:t>
      </w:r>
      <w:r>
        <w:rPr>
          <w:sz w:val="30"/>
        </w:rPr>
        <w:t>are</w:t>
      </w:r>
      <w:r>
        <w:rPr>
          <w:spacing w:val="38"/>
          <w:sz w:val="30"/>
        </w:rPr>
        <w:t xml:space="preserve"> </w:t>
      </w:r>
      <w:r>
        <w:rPr>
          <w:sz w:val="30"/>
        </w:rPr>
        <w:t>shape,</w:t>
      </w:r>
      <w:r>
        <w:rPr>
          <w:spacing w:val="39"/>
          <w:sz w:val="30"/>
        </w:rPr>
        <w:t xml:space="preserve"> </w:t>
      </w:r>
      <w:r>
        <w:rPr>
          <w:spacing w:val="-2"/>
          <w:sz w:val="30"/>
        </w:rPr>
        <w:t>size,</w:t>
      </w:r>
    </w:p>
    <w:p w14:paraId="7E001B07" w14:textId="77777777" w:rsidR="009A58DB" w:rsidRDefault="00000000">
      <w:pPr>
        <w:pStyle w:val="BodyText"/>
        <w:spacing w:before="15"/>
        <w:jc w:val="left"/>
      </w:pPr>
      <w:r>
        <w:t>density,</w:t>
      </w:r>
      <w:r>
        <w:rPr>
          <w:spacing w:val="54"/>
        </w:rPr>
        <w:t xml:space="preserve"> </w:t>
      </w:r>
      <w:r>
        <w:t>liquidity,</w:t>
      </w:r>
      <w:r>
        <w:rPr>
          <w:spacing w:val="56"/>
        </w:rPr>
        <w:t xml:space="preserve"> </w:t>
      </w:r>
      <w:r>
        <w:t>solidity,</w:t>
      </w:r>
      <w:r>
        <w:rPr>
          <w:spacing w:val="56"/>
        </w:rPr>
        <w:t xml:space="preserve"> </w:t>
      </w:r>
      <w:r>
        <w:t>gaseousness,</w:t>
      </w:r>
      <w:r>
        <w:rPr>
          <w:spacing w:val="56"/>
        </w:rPr>
        <w:t xml:space="preserve"> </w:t>
      </w:r>
      <w:r>
        <w:t>and</w:t>
      </w:r>
      <w:r>
        <w:rPr>
          <w:spacing w:val="57"/>
        </w:rPr>
        <w:t xml:space="preserve"> </w:t>
      </w:r>
      <w:r>
        <w:t>state</w:t>
      </w:r>
      <w:r>
        <w:rPr>
          <w:spacing w:val="55"/>
        </w:rPr>
        <w:t xml:space="preserve"> </w:t>
      </w:r>
      <w:r>
        <w:t>of</w:t>
      </w:r>
      <w:r>
        <w:rPr>
          <w:spacing w:val="55"/>
        </w:rPr>
        <w:t xml:space="preserve"> </w:t>
      </w:r>
      <w:r>
        <w:t>motion.</w:t>
      </w:r>
      <w:r>
        <w:rPr>
          <w:spacing w:val="56"/>
        </w:rPr>
        <w:t xml:space="preserve"> </w:t>
      </w:r>
      <w:r>
        <w:t>Examples</w:t>
      </w:r>
      <w:r>
        <w:rPr>
          <w:spacing w:val="56"/>
        </w:rPr>
        <w:t xml:space="preserve"> </w:t>
      </w:r>
      <w:r>
        <w:rPr>
          <w:spacing w:val="-5"/>
        </w:rPr>
        <w:t>of</w:t>
      </w:r>
    </w:p>
    <w:p w14:paraId="7E001B08" w14:textId="77777777" w:rsidR="009A58DB" w:rsidRDefault="00000000">
      <w:pPr>
        <w:pStyle w:val="BodyText"/>
        <w:spacing w:before="15" w:line="277" w:lineRule="exact"/>
        <w:ind w:left="7646"/>
        <w:jc w:val="left"/>
      </w:pPr>
      <w:bookmarkStart w:id="356" w:name="_bookmark356"/>
      <w:bookmarkEnd w:id="356"/>
      <w:r>
        <w:rPr>
          <w:color w:val="0562C1"/>
          <w:spacing w:val="-2"/>
          <w:u w:val="single" w:color="0562C1"/>
        </w:rPr>
        <w:t>[248]</w:t>
      </w:r>
    </w:p>
    <w:p w14:paraId="7E001B09" w14:textId="77777777" w:rsidR="009A58DB" w:rsidRDefault="00000000">
      <w:pPr>
        <w:pStyle w:val="BodyText"/>
        <w:spacing w:line="277" w:lineRule="exact"/>
        <w:jc w:val="left"/>
      </w:pPr>
      <w:r>
        <w:t>secondary</w:t>
      </w:r>
      <w:r>
        <w:rPr>
          <w:spacing w:val="-7"/>
        </w:rPr>
        <w:t xml:space="preserve"> </w:t>
      </w:r>
      <w:r>
        <w:t>properties</w:t>
      </w:r>
      <w:r>
        <w:rPr>
          <w:spacing w:val="-5"/>
        </w:rPr>
        <w:t xml:space="preserve"> </w:t>
      </w:r>
      <w:r>
        <w:t>are</w:t>
      </w:r>
      <w:r>
        <w:rPr>
          <w:spacing w:val="-5"/>
        </w:rPr>
        <w:t xml:space="preserve"> </w:t>
      </w:r>
      <w:r>
        <w:t>sweetness,</w:t>
      </w:r>
      <w:r>
        <w:rPr>
          <w:spacing w:val="-5"/>
        </w:rPr>
        <w:t xml:space="preserve"> </w:t>
      </w:r>
      <w:r>
        <w:t>smell,</w:t>
      </w:r>
      <w:r>
        <w:rPr>
          <w:spacing w:val="-4"/>
        </w:rPr>
        <w:t xml:space="preserve"> </w:t>
      </w:r>
      <w:r>
        <w:t>color,</w:t>
      </w:r>
      <w:r>
        <w:rPr>
          <w:spacing w:val="-4"/>
        </w:rPr>
        <w:t xml:space="preserve"> </w:t>
      </w:r>
      <w:r>
        <w:t>and</w:t>
      </w:r>
      <w:r>
        <w:rPr>
          <w:spacing w:val="-4"/>
        </w:rPr>
        <w:t xml:space="preserve"> </w:t>
      </w:r>
      <w:r>
        <w:rPr>
          <w:spacing w:val="-2"/>
        </w:rPr>
        <w:t>timbre.</w:t>
      </w:r>
    </w:p>
    <w:p w14:paraId="7E001B0A" w14:textId="77777777" w:rsidR="009A58DB" w:rsidRDefault="00000000">
      <w:pPr>
        <w:pStyle w:val="BodyText"/>
        <w:spacing w:before="15" w:line="249" w:lineRule="auto"/>
        <w:ind w:right="365" w:firstLine="360"/>
      </w:pPr>
      <w:r>
        <w:t>For a thing to have a given secondary property—e.g., for it to have the taste of Snicker’s bar—is for that thing to be prone to induce sensations of a certain kind in creatures of a given kind.</w:t>
      </w:r>
    </w:p>
    <w:p w14:paraId="7E001B0B" w14:textId="77777777" w:rsidR="009A58DB" w:rsidRDefault="00000000">
      <w:pPr>
        <w:pStyle w:val="BodyText"/>
        <w:spacing w:before="4" w:line="249" w:lineRule="auto"/>
        <w:ind w:right="359" w:firstLine="360"/>
      </w:pPr>
      <w:r>
        <w:t xml:space="preserve">For a thing to have a given </w:t>
      </w:r>
      <w:r>
        <w:rPr>
          <w:i/>
        </w:rPr>
        <w:t>primary</w:t>
      </w:r>
      <w:r>
        <w:rPr>
          <w:i/>
          <w:spacing w:val="-3"/>
        </w:rPr>
        <w:t xml:space="preserve"> </w:t>
      </w:r>
      <w:r>
        <w:t>property is for it to have an effect of a given kind on the conditions that objects must meet to occupy a certain</w:t>
      </w:r>
      <w:r>
        <w:rPr>
          <w:spacing w:val="40"/>
        </w:rPr>
        <w:t xml:space="preserve"> </w:t>
      </w:r>
      <w:r>
        <w:t>region of space-time. By virtue of being round (or gaseous), a thing has certain effects on would-be occupants of its current location that, other things being equal, it wouldn’t have were it square-shaped (or solid) instead.</w:t>
      </w:r>
    </w:p>
    <w:p w14:paraId="7E001B0C" w14:textId="77777777" w:rsidR="009A58DB" w:rsidRDefault="00000000">
      <w:pPr>
        <w:pStyle w:val="BodyText"/>
        <w:spacing w:before="6"/>
        <w:ind w:left="720"/>
      </w:pPr>
      <w:r>
        <w:t>According</w:t>
      </w:r>
      <w:r>
        <w:rPr>
          <w:spacing w:val="44"/>
        </w:rPr>
        <w:t xml:space="preserve"> </w:t>
      </w:r>
      <w:r>
        <w:t>to</w:t>
      </w:r>
      <w:r>
        <w:rPr>
          <w:spacing w:val="48"/>
        </w:rPr>
        <w:t xml:space="preserve"> </w:t>
      </w:r>
      <w:r>
        <w:t>some,</w:t>
      </w:r>
      <w:r>
        <w:rPr>
          <w:spacing w:val="47"/>
        </w:rPr>
        <w:t xml:space="preserve"> </w:t>
      </w:r>
      <w:r>
        <w:t>the</w:t>
      </w:r>
      <w:r>
        <w:rPr>
          <w:spacing w:val="47"/>
        </w:rPr>
        <w:t xml:space="preserve"> </w:t>
      </w:r>
      <w:r>
        <w:t>essence</w:t>
      </w:r>
      <w:r>
        <w:rPr>
          <w:spacing w:val="47"/>
        </w:rPr>
        <w:t xml:space="preserve"> </w:t>
      </w:r>
      <w:r>
        <w:t>of</w:t>
      </w:r>
      <w:r>
        <w:rPr>
          <w:spacing w:val="48"/>
        </w:rPr>
        <w:t xml:space="preserve"> </w:t>
      </w:r>
      <w:r>
        <w:t>Berkeley’s</w:t>
      </w:r>
      <w:r>
        <w:rPr>
          <w:spacing w:val="47"/>
        </w:rPr>
        <w:t xml:space="preserve"> </w:t>
      </w:r>
      <w:r>
        <w:t>argument</w:t>
      </w:r>
      <w:r>
        <w:rPr>
          <w:spacing w:val="47"/>
        </w:rPr>
        <w:t xml:space="preserve"> </w:t>
      </w:r>
      <w:r>
        <w:t>for</w:t>
      </w:r>
      <w:r>
        <w:rPr>
          <w:spacing w:val="48"/>
        </w:rPr>
        <w:t xml:space="preserve"> </w:t>
      </w:r>
      <w:r>
        <w:t>idealism</w:t>
      </w:r>
      <w:r>
        <w:rPr>
          <w:spacing w:val="47"/>
        </w:rPr>
        <w:t xml:space="preserve"> </w:t>
      </w:r>
      <w:r>
        <w:rPr>
          <w:spacing w:val="-7"/>
        </w:rPr>
        <w:t>is</w:t>
      </w:r>
    </w:p>
    <w:p w14:paraId="7E001B0D" w14:textId="77777777" w:rsidR="009A58DB" w:rsidRDefault="00000000">
      <w:pPr>
        <w:pStyle w:val="BodyText"/>
        <w:spacing w:before="15" w:line="277" w:lineRule="exact"/>
        <w:ind w:left="6946"/>
        <w:jc w:val="left"/>
      </w:pPr>
      <w:bookmarkStart w:id="357" w:name="_bookmark357"/>
      <w:bookmarkEnd w:id="357"/>
      <w:r>
        <w:rPr>
          <w:color w:val="0562C1"/>
          <w:spacing w:val="-2"/>
          <w:u w:val="single" w:color="0562C1"/>
        </w:rPr>
        <w:t>[249]</w:t>
      </w:r>
    </w:p>
    <w:p w14:paraId="7E001B0E" w14:textId="77777777" w:rsidR="009A58DB" w:rsidRDefault="00000000">
      <w:pPr>
        <w:pStyle w:val="BodyText"/>
        <w:tabs>
          <w:tab w:val="left" w:pos="7652"/>
        </w:tabs>
        <w:spacing w:line="277" w:lineRule="exact"/>
        <w:jc w:val="left"/>
      </w:pPr>
      <w:r>
        <w:t>that</w:t>
      </w:r>
      <w:r>
        <w:rPr>
          <w:spacing w:val="-8"/>
        </w:rPr>
        <w:t xml:space="preserve"> </w:t>
      </w:r>
      <w:r>
        <w:t>primary</w:t>
      </w:r>
      <w:r>
        <w:rPr>
          <w:spacing w:val="-4"/>
        </w:rPr>
        <w:t xml:space="preserve"> </w:t>
      </w:r>
      <w:r>
        <w:t>properties</w:t>
      </w:r>
      <w:r>
        <w:rPr>
          <w:spacing w:val="-5"/>
        </w:rPr>
        <w:t xml:space="preserve"> </w:t>
      </w:r>
      <w:r>
        <w:t>are</w:t>
      </w:r>
      <w:r>
        <w:rPr>
          <w:spacing w:val="-5"/>
        </w:rPr>
        <w:t xml:space="preserve"> </w:t>
      </w:r>
      <w:r>
        <w:t>really</w:t>
      </w:r>
      <w:r>
        <w:rPr>
          <w:spacing w:val="-4"/>
        </w:rPr>
        <w:t xml:space="preserve"> </w:t>
      </w:r>
      <w:r>
        <w:t>secondary</w:t>
      </w:r>
      <w:r>
        <w:rPr>
          <w:spacing w:val="-4"/>
        </w:rPr>
        <w:t xml:space="preserve"> </w:t>
      </w:r>
      <w:r>
        <w:rPr>
          <w:spacing w:val="-2"/>
        </w:rPr>
        <w:t>properties.</w:t>
      </w:r>
      <w:r>
        <w:tab/>
        <w:t>Thus</w:t>
      </w:r>
      <w:r>
        <w:rPr>
          <w:spacing w:val="11"/>
        </w:rPr>
        <w:t xml:space="preserve"> </w:t>
      </w:r>
      <w:r>
        <w:rPr>
          <w:spacing w:val="-2"/>
        </w:rPr>
        <w:t>interpreted,</w:t>
      </w:r>
    </w:p>
    <w:p w14:paraId="7E001B0F" w14:textId="77777777" w:rsidR="009A58DB" w:rsidRDefault="00000000">
      <w:pPr>
        <w:pStyle w:val="BodyText"/>
        <w:spacing w:before="15"/>
        <w:jc w:val="left"/>
      </w:pPr>
      <w:r>
        <w:t>Berkeley’s</w:t>
      </w:r>
      <w:r>
        <w:rPr>
          <w:spacing w:val="-7"/>
        </w:rPr>
        <w:t xml:space="preserve"> </w:t>
      </w:r>
      <w:r>
        <w:t>argument</w:t>
      </w:r>
      <w:r>
        <w:rPr>
          <w:spacing w:val="-4"/>
        </w:rPr>
        <w:t xml:space="preserve"> </w:t>
      </w:r>
      <w:r>
        <w:t>is</w:t>
      </w:r>
      <w:r>
        <w:rPr>
          <w:spacing w:val="-4"/>
        </w:rPr>
        <w:t xml:space="preserve"> </w:t>
      </w:r>
      <w:r>
        <w:t>as</w:t>
      </w:r>
      <w:r>
        <w:rPr>
          <w:spacing w:val="-4"/>
        </w:rPr>
        <w:t xml:space="preserve"> </w:t>
      </w:r>
      <w:r>
        <w:rPr>
          <w:spacing w:val="-2"/>
        </w:rPr>
        <w:t>follows:</w:t>
      </w:r>
    </w:p>
    <w:p w14:paraId="7E001B10" w14:textId="77777777" w:rsidR="009A58DB" w:rsidRDefault="009A58DB">
      <w:pPr>
        <w:pStyle w:val="BodyText"/>
        <w:spacing w:before="30"/>
        <w:ind w:left="0"/>
        <w:jc w:val="left"/>
      </w:pPr>
    </w:p>
    <w:p w14:paraId="7E001B11" w14:textId="77777777" w:rsidR="009A58DB" w:rsidRDefault="00000000">
      <w:pPr>
        <w:pStyle w:val="BodyText"/>
        <w:ind w:left="720"/>
      </w:pPr>
      <w:r>
        <w:t>Berkeley’s</w:t>
      </w:r>
      <w:r>
        <w:rPr>
          <w:spacing w:val="73"/>
        </w:rPr>
        <w:t xml:space="preserve"> </w:t>
      </w:r>
      <w:r>
        <w:t>argument</w:t>
      </w:r>
      <w:r>
        <w:rPr>
          <w:spacing w:val="74"/>
        </w:rPr>
        <w:t xml:space="preserve"> </w:t>
      </w:r>
      <w:r>
        <w:t>(BA):</w:t>
      </w:r>
      <w:r>
        <w:rPr>
          <w:spacing w:val="74"/>
        </w:rPr>
        <w:t xml:space="preserve"> </w:t>
      </w:r>
      <w:r>
        <w:t>For</w:t>
      </w:r>
      <w:r>
        <w:rPr>
          <w:spacing w:val="74"/>
        </w:rPr>
        <w:t xml:space="preserve"> </w:t>
      </w:r>
      <w:r>
        <w:t>a</w:t>
      </w:r>
      <w:r>
        <w:rPr>
          <w:spacing w:val="74"/>
        </w:rPr>
        <w:t xml:space="preserve"> </w:t>
      </w:r>
      <w:r>
        <w:t>thing</w:t>
      </w:r>
      <w:r>
        <w:rPr>
          <w:spacing w:val="73"/>
        </w:rPr>
        <w:t xml:space="preserve"> </w:t>
      </w:r>
      <w:r>
        <w:t>to</w:t>
      </w:r>
      <w:r>
        <w:rPr>
          <w:spacing w:val="74"/>
        </w:rPr>
        <w:t xml:space="preserve"> </w:t>
      </w:r>
      <w:r>
        <w:t>have</w:t>
      </w:r>
      <w:r>
        <w:rPr>
          <w:spacing w:val="74"/>
        </w:rPr>
        <w:t xml:space="preserve"> </w:t>
      </w:r>
      <w:r>
        <w:t>a</w:t>
      </w:r>
      <w:r>
        <w:rPr>
          <w:spacing w:val="74"/>
        </w:rPr>
        <w:t xml:space="preserve"> </w:t>
      </w:r>
      <w:r>
        <w:t>given</w:t>
      </w:r>
      <w:r>
        <w:rPr>
          <w:spacing w:val="74"/>
        </w:rPr>
        <w:t xml:space="preserve"> </w:t>
      </w:r>
      <w:r>
        <w:rPr>
          <w:spacing w:val="-2"/>
        </w:rPr>
        <w:t>secondary</w:t>
      </w:r>
    </w:p>
    <w:p w14:paraId="7E001B12" w14:textId="77777777" w:rsidR="009A58DB" w:rsidRDefault="009A58DB">
      <w:pPr>
        <w:pStyle w:val="BodyText"/>
        <w:sectPr w:rsidR="009A58DB">
          <w:pgSz w:w="12240" w:h="15840"/>
          <w:pgMar w:top="1380" w:right="1080" w:bottom="280" w:left="1080" w:header="720" w:footer="720" w:gutter="0"/>
          <w:cols w:space="720"/>
        </w:sectPr>
      </w:pPr>
    </w:p>
    <w:p w14:paraId="7E001B13" w14:textId="77777777" w:rsidR="009A58DB" w:rsidRDefault="00000000">
      <w:pPr>
        <w:pStyle w:val="BodyText"/>
        <w:spacing w:before="60" w:line="249" w:lineRule="auto"/>
        <w:ind w:left="720" w:right="720"/>
      </w:pPr>
      <w:r>
        <w:lastRenderedPageBreak/>
        <w:t>property is for it to taste, smell, feel, etc., a certain way. Some philosophers hold that, in this respect, shape, size, and other so-called primary properties are fundamentally different from secondary properties. But they’re wrong. Shape, size, etc., are quite as observer-dependent as taste, color, etc. When you’re near the house, it looks big (we’re assuming that your perception is accurate); and when you’re far from</w:t>
      </w:r>
      <w:r>
        <w:rPr>
          <w:spacing w:val="-2"/>
        </w:rPr>
        <w:t xml:space="preserve"> </w:t>
      </w:r>
      <w:r>
        <w:t>the</w:t>
      </w:r>
      <w:r>
        <w:rPr>
          <w:spacing w:val="-2"/>
        </w:rPr>
        <w:t xml:space="preserve"> </w:t>
      </w:r>
      <w:r>
        <w:t>house,</w:t>
      </w:r>
      <w:r>
        <w:rPr>
          <w:spacing w:val="-2"/>
        </w:rPr>
        <w:t xml:space="preserve"> </w:t>
      </w:r>
      <w:r>
        <w:t>it</w:t>
      </w:r>
      <w:r>
        <w:rPr>
          <w:spacing w:val="-2"/>
        </w:rPr>
        <w:t xml:space="preserve"> </w:t>
      </w:r>
      <w:r>
        <w:t>looks</w:t>
      </w:r>
      <w:r>
        <w:rPr>
          <w:spacing w:val="-2"/>
        </w:rPr>
        <w:t xml:space="preserve"> </w:t>
      </w:r>
      <w:r>
        <w:t>small</w:t>
      </w:r>
      <w:r>
        <w:rPr>
          <w:spacing w:val="-2"/>
        </w:rPr>
        <w:t xml:space="preserve"> </w:t>
      </w:r>
      <w:r>
        <w:t>(same</w:t>
      </w:r>
      <w:r>
        <w:rPr>
          <w:spacing w:val="-2"/>
        </w:rPr>
        <w:t xml:space="preserve"> </w:t>
      </w:r>
      <w:r>
        <w:t>qualification).</w:t>
      </w:r>
      <w:r>
        <w:rPr>
          <w:spacing w:val="-2"/>
        </w:rPr>
        <w:t xml:space="preserve"> </w:t>
      </w:r>
      <w:r>
        <w:t>Of</w:t>
      </w:r>
      <w:r>
        <w:rPr>
          <w:spacing w:val="-2"/>
        </w:rPr>
        <w:t xml:space="preserve"> </w:t>
      </w:r>
      <w:r>
        <w:t>course,</w:t>
      </w:r>
      <w:r>
        <w:rPr>
          <w:spacing w:val="-2"/>
        </w:rPr>
        <w:t xml:space="preserve"> </w:t>
      </w:r>
      <w:r>
        <w:t>we</w:t>
      </w:r>
      <w:r>
        <w:rPr>
          <w:spacing w:val="-2"/>
        </w:rPr>
        <w:t xml:space="preserve"> </w:t>
      </w:r>
      <w:r>
        <w:rPr>
          <w:i/>
        </w:rPr>
        <w:t xml:space="preserve">could </w:t>
      </w:r>
      <w:r>
        <w:t xml:space="preserve">say that the size an object </w:t>
      </w:r>
      <w:r>
        <w:rPr>
          <w:i/>
        </w:rPr>
        <w:t xml:space="preserve">seems </w:t>
      </w:r>
      <w:r>
        <w:t xml:space="preserve">to have is different from the size it </w:t>
      </w:r>
      <w:r>
        <w:rPr>
          <w:i/>
        </w:rPr>
        <w:t xml:space="preserve">actually </w:t>
      </w:r>
      <w:r>
        <w:t>has. But in that case, we’d be stuck saying that our senses tell us nothing, or next to nothing, about the external world, which is absurd. It follows (for the reasons given in 6.1) that the objects of sense-perception are identical with our perceptions of them.</w:t>
      </w:r>
    </w:p>
    <w:p w14:paraId="7E001B14" w14:textId="77777777" w:rsidR="009A58DB" w:rsidRDefault="009A58DB">
      <w:pPr>
        <w:pStyle w:val="BodyText"/>
        <w:spacing w:before="34"/>
        <w:ind w:left="0"/>
        <w:jc w:val="left"/>
      </w:pPr>
    </w:p>
    <w:p w14:paraId="7E001B15" w14:textId="77777777" w:rsidR="009A58DB" w:rsidRDefault="00000000">
      <w:pPr>
        <w:pStyle w:val="BodyText"/>
        <w:spacing w:line="249" w:lineRule="auto"/>
        <w:ind w:right="357" w:firstLine="360"/>
      </w:pPr>
      <w:r>
        <w:t xml:space="preserve">The problem with BA is that, contrary to what it says, your first house-perception </w:t>
      </w:r>
      <w:r>
        <w:rPr>
          <w:i/>
        </w:rPr>
        <w:t xml:space="preserve">is </w:t>
      </w:r>
      <w:r>
        <w:t>consistent with your second house-perception. The first perception doesn’t</w:t>
      </w:r>
      <w:r>
        <w:rPr>
          <w:spacing w:val="-1"/>
        </w:rPr>
        <w:t xml:space="preserve"> </w:t>
      </w:r>
      <w:r>
        <w:t>say that</w:t>
      </w:r>
      <w:r>
        <w:rPr>
          <w:spacing w:val="-1"/>
        </w:rPr>
        <w:t xml:space="preserve"> </w:t>
      </w:r>
      <w:r>
        <w:t xml:space="preserve">the house is </w:t>
      </w:r>
      <w:r>
        <w:rPr>
          <w:i/>
        </w:rPr>
        <w:t>big.</w:t>
      </w:r>
      <w:r>
        <w:rPr>
          <w:i/>
          <w:spacing w:val="-3"/>
        </w:rPr>
        <w:t xml:space="preserve"> </w:t>
      </w:r>
      <w:r>
        <w:t>It tells you how its size compares with those of various objects. It tells you that it’s shorter than the telephone pole next to it, but taller than the cactus in front of it, etc. The comparative information given to you by your second perception is consistent with it. The relative apparent sizes of the cactus, house, and telephone pole are the same.</w:t>
      </w:r>
    </w:p>
    <w:p w14:paraId="7E001B16" w14:textId="77777777" w:rsidR="009A58DB" w:rsidRDefault="00000000">
      <w:pPr>
        <w:pStyle w:val="BodyText"/>
        <w:spacing w:before="9" w:line="249" w:lineRule="auto"/>
        <w:ind w:right="357" w:firstLine="360"/>
      </w:pPr>
      <w:r>
        <w:t xml:space="preserve">In the second perception, the house appears the way that small things appear </w:t>
      </w:r>
      <w:r>
        <w:rPr>
          <w:i/>
        </w:rPr>
        <w:t xml:space="preserve">when looked at from up close. </w:t>
      </w:r>
      <w:r>
        <w:t xml:space="preserve">And </w:t>
      </w:r>
      <w:r>
        <w:rPr>
          <w:i/>
        </w:rPr>
        <w:t xml:space="preserve">that </w:t>
      </w:r>
      <w:r>
        <w:t>is the one and only sense in which the house “looks small.” But you’re not looking at the house from up close. You’re looking at it from far away. And your perception isn’t telling you that the house is close by and looks that way. It’s telling you that you’re far away from the house and it looks that way. So it isn’t telling you that the house</w:t>
      </w:r>
      <w:r>
        <w:rPr>
          <w:spacing w:val="-15"/>
        </w:rPr>
        <w:t xml:space="preserve"> </w:t>
      </w:r>
      <w:r>
        <w:t>is</w:t>
      </w:r>
      <w:r>
        <w:rPr>
          <w:spacing w:val="-15"/>
        </w:rPr>
        <w:t xml:space="preserve"> </w:t>
      </w:r>
      <w:r>
        <w:t>small.</w:t>
      </w:r>
      <w:r>
        <w:rPr>
          <w:spacing w:val="-15"/>
        </w:rPr>
        <w:t xml:space="preserve"> </w:t>
      </w:r>
      <w:r>
        <w:t>It’s</w:t>
      </w:r>
      <w:r>
        <w:rPr>
          <w:spacing w:val="-15"/>
        </w:rPr>
        <w:t xml:space="preserve"> </w:t>
      </w:r>
      <w:r>
        <w:t>actually</w:t>
      </w:r>
      <w:r>
        <w:rPr>
          <w:spacing w:val="-15"/>
        </w:rPr>
        <w:t xml:space="preserve"> </w:t>
      </w:r>
      <w:r>
        <w:t>telling</w:t>
      </w:r>
      <w:r>
        <w:rPr>
          <w:spacing w:val="-15"/>
        </w:rPr>
        <w:t xml:space="preserve"> </w:t>
      </w:r>
      <w:r>
        <w:t>you</w:t>
      </w:r>
      <w:r>
        <w:rPr>
          <w:spacing w:val="-15"/>
        </w:rPr>
        <w:t xml:space="preserve"> </w:t>
      </w:r>
      <w:r>
        <w:t>that</w:t>
      </w:r>
      <w:r>
        <w:rPr>
          <w:spacing w:val="-16"/>
        </w:rPr>
        <w:t xml:space="preserve"> </w:t>
      </w:r>
      <w:r>
        <w:t>it’s</w:t>
      </w:r>
      <w:r>
        <w:rPr>
          <w:spacing w:val="-15"/>
        </w:rPr>
        <w:t xml:space="preserve"> </w:t>
      </w:r>
      <w:r>
        <w:t>quite</w:t>
      </w:r>
      <w:r>
        <w:rPr>
          <w:spacing w:val="-15"/>
        </w:rPr>
        <w:t xml:space="preserve"> </w:t>
      </w:r>
      <w:r>
        <w:t>big.</w:t>
      </w:r>
    </w:p>
    <w:p w14:paraId="7E001B1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18" w14:textId="77777777" w:rsidR="009A58DB" w:rsidRDefault="00000000">
      <w:pPr>
        <w:pStyle w:val="BodyText"/>
        <w:spacing w:before="65" w:line="249" w:lineRule="auto"/>
        <w:ind w:right="353" w:firstLine="360"/>
        <w:rPr>
          <w:i/>
        </w:rPr>
      </w:pPr>
      <w:r>
        <w:lastRenderedPageBreak/>
        <w:t>When</w:t>
      </w:r>
      <w:r>
        <w:rPr>
          <w:spacing w:val="-7"/>
        </w:rPr>
        <w:t xml:space="preserve"> </w:t>
      </w:r>
      <w:r>
        <w:t>you’re</w:t>
      </w:r>
      <w:r>
        <w:rPr>
          <w:spacing w:val="-7"/>
        </w:rPr>
        <w:t xml:space="preserve"> </w:t>
      </w:r>
      <w:r>
        <w:t>near</w:t>
      </w:r>
      <w:r>
        <w:rPr>
          <w:spacing w:val="-7"/>
        </w:rPr>
        <w:t xml:space="preserve"> </w:t>
      </w:r>
      <w:r>
        <w:t>the</w:t>
      </w:r>
      <w:r>
        <w:rPr>
          <w:spacing w:val="-7"/>
        </w:rPr>
        <w:t xml:space="preserve"> </w:t>
      </w:r>
      <w:r>
        <w:t>house,</w:t>
      </w:r>
      <w:r>
        <w:rPr>
          <w:spacing w:val="-7"/>
        </w:rPr>
        <w:t xml:space="preserve"> </w:t>
      </w:r>
      <w:r>
        <w:t>your</w:t>
      </w:r>
      <w:r>
        <w:rPr>
          <w:spacing w:val="-7"/>
        </w:rPr>
        <w:t xml:space="preserve"> </w:t>
      </w:r>
      <w:r>
        <w:t>house-image</w:t>
      </w:r>
      <w:r>
        <w:rPr>
          <w:spacing w:val="-7"/>
        </w:rPr>
        <w:t xml:space="preserve"> </w:t>
      </w:r>
      <w:r>
        <w:t>hogs</w:t>
      </w:r>
      <w:r>
        <w:rPr>
          <w:spacing w:val="-7"/>
        </w:rPr>
        <w:t xml:space="preserve"> </w:t>
      </w:r>
      <w:r>
        <w:t>up</w:t>
      </w:r>
      <w:r>
        <w:rPr>
          <w:spacing w:val="-6"/>
        </w:rPr>
        <w:t xml:space="preserve"> </w:t>
      </w:r>
      <w:r>
        <w:t>your</w:t>
      </w:r>
      <w:r>
        <w:rPr>
          <w:spacing w:val="-6"/>
        </w:rPr>
        <w:t xml:space="preserve"> </w:t>
      </w:r>
      <w:r>
        <w:t>entire</w:t>
      </w:r>
      <w:r>
        <w:rPr>
          <w:spacing w:val="-6"/>
        </w:rPr>
        <w:t xml:space="preserve"> </w:t>
      </w:r>
      <w:r>
        <w:t>field</w:t>
      </w:r>
      <w:r>
        <w:rPr>
          <w:spacing w:val="-6"/>
        </w:rPr>
        <w:t xml:space="preserve"> </w:t>
      </w:r>
      <w:r>
        <w:t>of vision. It occupies more space on your visual map. When you’re far from the house, your field of vision has to include a great many objects</w:t>
      </w:r>
      <w:r>
        <w:rPr>
          <w:spacing w:val="-19"/>
        </w:rPr>
        <w:t xml:space="preserve"> </w:t>
      </w:r>
      <w:r>
        <w:rPr>
          <w:i/>
        </w:rPr>
        <w:t>other</w:t>
      </w:r>
      <w:r>
        <w:rPr>
          <w:i/>
          <w:spacing w:val="-18"/>
        </w:rPr>
        <w:t xml:space="preserve"> </w:t>
      </w:r>
      <w:r>
        <w:t>than the house. So it doesn’t eat up very much map-space.</w:t>
      </w:r>
      <w:r>
        <w:rPr>
          <w:spacing w:val="-2"/>
        </w:rPr>
        <w:t xml:space="preserve"> </w:t>
      </w:r>
      <w:r>
        <w:t xml:space="preserve">Thus, measured in terms of </w:t>
      </w:r>
      <w:r>
        <w:rPr>
          <w:spacing w:val="-2"/>
        </w:rPr>
        <w:t>how</w:t>
      </w:r>
      <w:r>
        <w:rPr>
          <w:spacing w:val="-17"/>
        </w:rPr>
        <w:t xml:space="preserve"> </w:t>
      </w:r>
      <w:r>
        <w:rPr>
          <w:spacing w:val="-2"/>
        </w:rPr>
        <w:t>much</w:t>
      </w:r>
      <w:r>
        <w:rPr>
          <w:spacing w:val="-17"/>
        </w:rPr>
        <w:t xml:space="preserve"> </w:t>
      </w:r>
      <w:r>
        <w:rPr>
          <w:spacing w:val="-2"/>
        </w:rPr>
        <w:t>map-space</w:t>
      </w:r>
      <w:r>
        <w:rPr>
          <w:spacing w:val="-17"/>
        </w:rPr>
        <w:t xml:space="preserve"> </w:t>
      </w:r>
      <w:r>
        <w:rPr>
          <w:spacing w:val="-2"/>
        </w:rPr>
        <w:t>they</w:t>
      </w:r>
      <w:r>
        <w:rPr>
          <w:spacing w:val="-16"/>
        </w:rPr>
        <w:t xml:space="preserve"> </w:t>
      </w:r>
      <w:r>
        <w:rPr>
          <w:spacing w:val="-2"/>
        </w:rPr>
        <w:t>eat</w:t>
      </w:r>
      <w:r>
        <w:rPr>
          <w:spacing w:val="-17"/>
        </w:rPr>
        <w:t xml:space="preserve"> </w:t>
      </w:r>
      <w:r>
        <w:rPr>
          <w:spacing w:val="-2"/>
        </w:rPr>
        <w:t>up,</w:t>
      </w:r>
      <w:r>
        <w:rPr>
          <w:spacing w:val="-17"/>
        </w:rPr>
        <w:t xml:space="preserve"> </w:t>
      </w:r>
      <w:r>
        <w:rPr>
          <w:spacing w:val="-2"/>
        </w:rPr>
        <w:t>the</w:t>
      </w:r>
      <w:r>
        <w:rPr>
          <w:spacing w:val="-17"/>
        </w:rPr>
        <w:t xml:space="preserve"> </w:t>
      </w:r>
      <w:r>
        <w:rPr>
          <w:spacing w:val="-2"/>
        </w:rPr>
        <w:t>first</w:t>
      </w:r>
      <w:r>
        <w:rPr>
          <w:spacing w:val="-16"/>
        </w:rPr>
        <w:t xml:space="preserve"> </w:t>
      </w:r>
      <w:r>
        <w:rPr>
          <w:spacing w:val="-2"/>
        </w:rPr>
        <w:t>house-</w:t>
      </w:r>
      <w:r>
        <w:rPr>
          <w:i/>
          <w:spacing w:val="-2"/>
        </w:rPr>
        <w:t>image</w:t>
      </w:r>
      <w:r>
        <w:rPr>
          <w:i/>
          <w:spacing w:val="-17"/>
        </w:rPr>
        <w:t xml:space="preserve"> </w:t>
      </w:r>
      <w:r>
        <w:rPr>
          <w:spacing w:val="-2"/>
        </w:rPr>
        <w:t>is</w:t>
      </w:r>
      <w:r>
        <w:rPr>
          <w:spacing w:val="-17"/>
        </w:rPr>
        <w:t xml:space="preserve"> </w:t>
      </w:r>
      <w:r>
        <w:rPr>
          <w:spacing w:val="-2"/>
        </w:rPr>
        <w:t>larger</w:t>
      </w:r>
      <w:r>
        <w:rPr>
          <w:spacing w:val="-17"/>
        </w:rPr>
        <w:t xml:space="preserve"> </w:t>
      </w:r>
      <w:r>
        <w:rPr>
          <w:spacing w:val="-2"/>
        </w:rPr>
        <w:t>than</w:t>
      </w:r>
      <w:r>
        <w:rPr>
          <w:spacing w:val="-16"/>
        </w:rPr>
        <w:t xml:space="preserve"> </w:t>
      </w:r>
      <w:r>
        <w:rPr>
          <w:spacing w:val="-2"/>
        </w:rPr>
        <w:t>the</w:t>
      </w:r>
      <w:r>
        <w:rPr>
          <w:spacing w:val="-17"/>
        </w:rPr>
        <w:t xml:space="preserve"> </w:t>
      </w:r>
      <w:r>
        <w:rPr>
          <w:spacing w:val="-2"/>
        </w:rPr>
        <w:t xml:space="preserve">second </w:t>
      </w:r>
      <w:r>
        <w:t xml:space="preserve">house- </w:t>
      </w:r>
      <w:r>
        <w:rPr>
          <w:i/>
        </w:rPr>
        <w:t>image.</w:t>
      </w:r>
    </w:p>
    <w:p w14:paraId="7E001B19" w14:textId="77777777" w:rsidR="009A58DB" w:rsidRDefault="00000000">
      <w:pPr>
        <w:pStyle w:val="BodyText"/>
        <w:spacing w:before="7" w:line="249" w:lineRule="auto"/>
        <w:ind w:right="359" w:firstLine="360"/>
      </w:pPr>
      <w:r>
        <w:t>But that doesn’t mean that those perceptions make different statements concerning the size of the house. On a map the size of a postage stamp, the discoloration</w:t>
      </w:r>
      <w:r>
        <w:rPr>
          <w:spacing w:val="-2"/>
        </w:rPr>
        <w:t xml:space="preserve"> </w:t>
      </w:r>
      <w:r>
        <w:t>that</w:t>
      </w:r>
      <w:r>
        <w:rPr>
          <w:spacing w:val="-2"/>
        </w:rPr>
        <w:t xml:space="preserve"> </w:t>
      </w:r>
      <w:r>
        <w:t>represents</w:t>
      </w:r>
      <w:r>
        <w:rPr>
          <w:spacing w:val="-2"/>
        </w:rPr>
        <w:t xml:space="preserve"> </w:t>
      </w:r>
      <w:r>
        <w:t>Denmark</w:t>
      </w:r>
      <w:r>
        <w:rPr>
          <w:spacing w:val="-2"/>
        </w:rPr>
        <w:t xml:space="preserve"> </w:t>
      </w:r>
      <w:r>
        <w:t>will</w:t>
      </w:r>
      <w:r>
        <w:rPr>
          <w:spacing w:val="-2"/>
        </w:rPr>
        <w:t xml:space="preserve"> </w:t>
      </w:r>
      <w:r>
        <w:t>be</w:t>
      </w:r>
      <w:r>
        <w:rPr>
          <w:spacing w:val="-2"/>
        </w:rPr>
        <w:t xml:space="preserve"> </w:t>
      </w:r>
      <w:r>
        <w:t>miniscule.</w:t>
      </w:r>
      <w:r>
        <w:rPr>
          <w:spacing w:val="-2"/>
        </w:rPr>
        <w:t xml:space="preserve"> </w:t>
      </w:r>
      <w:r>
        <w:t>On</w:t>
      </w:r>
      <w:r>
        <w:rPr>
          <w:spacing w:val="-2"/>
        </w:rPr>
        <w:t xml:space="preserve"> </w:t>
      </w:r>
      <w:r>
        <w:t>a</w:t>
      </w:r>
      <w:r>
        <w:rPr>
          <w:spacing w:val="-2"/>
        </w:rPr>
        <w:t xml:space="preserve"> </w:t>
      </w:r>
      <w:r>
        <w:t>map</w:t>
      </w:r>
      <w:r>
        <w:rPr>
          <w:spacing w:val="-2"/>
        </w:rPr>
        <w:t xml:space="preserve"> </w:t>
      </w:r>
      <w:r>
        <w:t>the</w:t>
      </w:r>
      <w:r>
        <w:rPr>
          <w:spacing w:val="-2"/>
        </w:rPr>
        <w:t xml:space="preserve"> </w:t>
      </w:r>
      <w:r>
        <w:t>size</w:t>
      </w:r>
      <w:r>
        <w:rPr>
          <w:spacing w:val="-2"/>
        </w:rPr>
        <w:t xml:space="preserve"> </w:t>
      </w:r>
      <w:r>
        <w:t xml:space="preserve">of the side of a big house, the corresponding discoloration will be much bigger. </w:t>
      </w:r>
      <w:r>
        <w:rPr>
          <w:spacing w:val="-2"/>
        </w:rPr>
        <w:t>But</w:t>
      </w:r>
      <w:r>
        <w:rPr>
          <w:spacing w:val="-15"/>
        </w:rPr>
        <w:t xml:space="preserve"> </w:t>
      </w:r>
      <w:r>
        <w:rPr>
          <w:spacing w:val="-2"/>
        </w:rPr>
        <w:t>that</w:t>
      </w:r>
      <w:r>
        <w:rPr>
          <w:spacing w:val="-15"/>
        </w:rPr>
        <w:t xml:space="preserve"> </w:t>
      </w:r>
      <w:r>
        <w:rPr>
          <w:spacing w:val="-2"/>
        </w:rPr>
        <w:t>doesn’t</w:t>
      </w:r>
      <w:r>
        <w:rPr>
          <w:spacing w:val="-15"/>
        </w:rPr>
        <w:t xml:space="preserve"> </w:t>
      </w:r>
      <w:r>
        <w:rPr>
          <w:spacing w:val="-2"/>
        </w:rPr>
        <w:t>mean</w:t>
      </w:r>
      <w:r>
        <w:rPr>
          <w:spacing w:val="-15"/>
        </w:rPr>
        <w:t xml:space="preserve"> </w:t>
      </w:r>
      <w:r>
        <w:rPr>
          <w:spacing w:val="-2"/>
        </w:rPr>
        <w:t>that</w:t>
      </w:r>
      <w:r>
        <w:rPr>
          <w:spacing w:val="-15"/>
        </w:rPr>
        <w:t xml:space="preserve"> </w:t>
      </w:r>
      <w:r>
        <w:rPr>
          <w:spacing w:val="-2"/>
        </w:rPr>
        <w:t>Denmark</w:t>
      </w:r>
      <w:r>
        <w:rPr>
          <w:spacing w:val="-15"/>
        </w:rPr>
        <w:t xml:space="preserve"> </w:t>
      </w:r>
      <w:r>
        <w:rPr>
          <w:spacing w:val="-2"/>
        </w:rPr>
        <w:t>is</w:t>
      </w:r>
      <w:r>
        <w:rPr>
          <w:spacing w:val="-14"/>
        </w:rPr>
        <w:t xml:space="preserve"> </w:t>
      </w:r>
      <w:r>
        <w:rPr>
          <w:spacing w:val="-2"/>
        </w:rPr>
        <w:t>small</w:t>
      </w:r>
      <w:r>
        <w:rPr>
          <w:spacing w:val="-14"/>
        </w:rPr>
        <w:t xml:space="preserve"> </w:t>
      </w:r>
      <w:r>
        <w:rPr>
          <w:spacing w:val="-2"/>
        </w:rPr>
        <w:t>according</w:t>
      </w:r>
      <w:r>
        <w:rPr>
          <w:spacing w:val="-14"/>
        </w:rPr>
        <w:t xml:space="preserve"> </w:t>
      </w:r>
      <w:r>
        <w:rPr>
          <w:spacing w:val="-2"/>
        </w:rPr>
        <w:t>to</w:t>
      </w:r>
      <w:r>
        <w:rPr>
          <w:spacing w:val="-14"/>
        </w:rPr>
        <w:t xml:space="preserve"> </w:t>
      </w:r>
      <w:r>
        <w:rPr>
          <w:spacing w:val="-2"/>
        </w:rPr>
        <w:t>the</w:t>
      </w:r>
      <w:r>
        <w:rPr>
          <w:spacing w:val="-14"/>
        </w:rPr>
        <w:t xml:space="preserve"> </w:t>
      </w:r>
      <w:r>
        <w:rPr>
          <w:spacing w:val="-2"/>
        </w:rPr>
        <w:t>small</w:t>
      </w:r>
      <w:r>
        <w:rPr>
          <w:spacing w:val="-14"/>
        </w:rPr>
        <w:t xml:space="preserve"> </w:t>
      </w:r>
      <w:r>
        <w:rPr>
          <w:spacing w:val="-2"/>
        </w:rPr>
        <w:t>map</w:t>
      </w:r>
      <w:r>
        <w:rPr>
          <w:spacing w:val="-14"/>
        </w:rPr>
        <w:t xml:space="preserve"> </w:t>
      </w:r>
      <w:r>
        <w:rPr>
          <w:spacing w:val="-2"/>
        </w:rPr>
        <w:t>and</w:t>
      </w:r>
      <w:r>
        <w:rPr>
          <w:spacing w:val="-14"/>
        </w:rPr>
        <w:t xml:space="preserve"> </w:t>
      </w:r>
      <w:r>
        <w:rPr>
          <w:spacing w:val="-2"/>
        </w:rPr>
        <w:t xml:space="preserve">big </w:t>
      </w:r>
      <w:r>
        <w:t xml:space="preserve">according to the big one. Each of those maps tells you that Denmark’s actual </w:t>
      </w:r>
      <w:r>
        <w:rPr>
          <w:spacing w:val="-2"/>
        </w:rPr>
        <w:t>size</w:t>
      </w:r>
      <w:r>
        <w:rPr>
          <w:spacing w:val="-15"/>
        </w:rPr>
        <w:t xml:space="preserve"> </w:t>
      </w:r>
      <w:r>
        <w:rPr>
          <w:spacing w:val="-2"/>
        </w:rPr>
        <w:t>corresponds</w:t>
      </w:r>
      <w:r>
        <w:rPr>
          <w:spacing w:val="-14"/>
        </w:rPr>
        <w:t xml:space="preserve"> </w:t>
      </w:r>
      <w:r>
        <w:rPr>
          <w:spacing w:val="-2"/>
        </w:rPr>
        <w:t>to</w:t>
      </w:r>
      <w:r>
        <w:rPr>
          <w:spacing w:val="-13"/>
        </w:rPr>
        <w:t xml:space="preserve"> </w:t>
      </w:r>
      <w:r>
        <w:rPr>
          <w:spacing w:val="-2"/>
        </w:rPr>
        <w:t>the</w:t>
      </w:r>
      <w:r>
        <w:rPr>
          <w:spacing w:val="-17"/>
        </w:rPr>
        <w:t xml:space="preserve"> </w:t>
      </w:r>
      <w:r>
        <w:rPr>
          <w:i/>
          <w:spacing w:val="-2"/>
        </w:rPr>
        <w:t>relative,</w:t>
      </w:r>
      <w:r>
        <w:rPr>
          <w:i/>
          <w:spacing w:val="-17"/>
        </w:rPr>
        <w:t xml:space="preserve"> </w:t>
      </w:r>
      <w:r>
        <w:rPr>
          <w:spacing w:val="-2"/>
        </w:rPr>
        <w:t>not</w:t>
      </w:r>
      <w:r>
        <w:rPr>
          <w:spacing w:val="-5"/>
        </w:rPr>
        <w:t xml:space="preserve"> </w:t>
      </w:r>
      <w:r>
        <w:rPr>
          <w:spacing w:val="-2"/>
        </w:rPr>
        <w:t>the</w:t>
      </w:r>
      <w:r>
        <w:rPr>
          <w:spacing w:val="-17"/>
        </w:rPr>
        <w:t xml:space="preserve"> </w:t>
      </w:r>
      <w:r>
        <w:rPr>
          <w:i/>
          <w:spacing w:val="-2"/>
        </w:rPr>
        <w:t>absolute,</w:t>
      </w:r>
      <w:r>
        <w:rPr>
          <w:i/>
          <w:spacing w:val="-17"/>
        </w:rPr>
        <w:t xml:space="preserve"> </w:t>
      </w:r>
      <w:r>
        <w:rPr>
          <w:spacing w:val="-2"/>
        </w:rPr>
        <w:t>size</w:t>
      </w:r>
      <w:r>
        <w:rPr>
          <w:spacing w:val="-7"/>
        </w:rPr>
        <w:t xml:space="preserve"> </w:t>
      </w:r>
      <w:r>
        <w:rPr>
          <w:spacing w:val="-2"/>
        </w:rPr>
        <w:t>of</w:t>
      </w:r>
      <w:r>
        <w:rPr>
          <w:spacing w:val="-8"/>
        </w:rPr>
        <w:t xml:space="preserve"> </w:t>
      </w:r>
      <w:r>
        <w:rPr>
          <w:spacing w:val="-2"/>
        </w:rPr>
        <w:t>the</w:t>
      </w:r>
      <w:r>
        <w:rPr>
          <w:spacing w:val="-8"/>
        </w:rPr>
        <w:t xml:space="preserve"> </w:t>
      </w:r>
      <w:r>
        <w:rPr>
          <w:spacing w:val="-2"/>
        </w:rPr>
        <w:t>picture</w:t>
      </w:r>
      <w:r>
        <w:rPr>
          <w:spacing w:val="-8"/>
        </w:rPr>
        <w:t xml:space="preserve"> </w:t>
      </w:r>
      <w:r>
        <w:rPr>
          <w:spacing w:val="-2"/>
        </w:rPr>
        <w:t>of</w:t>
      </w:r>
      <w:r>
        <w:rPr>
          <w:spacing w:val="-7"/>
        </w:rPr>
        <w:t xml:space="preserve"> </w:t>
      </w:r>
      <w:r>
        <w:rPr>
          <w:spacing w:val="-2"/>
        </w:rPr>
        <w:t xml:space="preserve">Denmark </w:t>
      </w:r>
      <w:r>
        <w:t>on that map. The bigger that discoloration is</w:t>
      </w:r>
      <w:r>
        <w:rPr>
          <w:spacing w:val="-19"/>
        </w:rPr>
        <w:t xml:space="preserve"> </w:t>
      </w:r>
      <w:r>
        <w:rPr>
          <w:i/>
        </w:rPr>
        <w:t>in</w:t>
      </w:r>
      <w:r>
        <w:rPr>
          <w:i/>
          <w:spacing w:val="40"/>
        </w:rPr>
        <w:t xml:space="preserve"> </w:t>
      </w:r>
      <w:r>
        <w:rPr>
          <w:i/>
        </w:rPr>
        <w:t>relation</w:t>
      </w:r>
      <w:r>
        <w:rPr>
          <w:i/>
          <w:spacing w:val="-19"/>
        </w:rPr>
        <w:t xml:space="preserve"> </w:t>
      </w:r>
      <w:r>
        <w:t>to the other nation-representations</w:t>
      </w:r>
      <w:r>
        <w:rPr>
          <w:spacing w:val="-10"/>
        </w:rPr>
        <w:t xml:space="preserve"> </w:t>
      </w:r>
      <w:r>
        <w:t>on</w:t>
      </w:r>
      <w:r>
        <w:rPr>
          <w:spacing w:val="-10"/>
        </w:rPr>
        <w:t xml:space="preserve"> </w:t>
      </w:r>
      <w:r>
        <w:t>that</w:t>
      </w:r>
      <w:r>
        <w:rPr>
          <w:spacing w:val="-10"/>
        </w:rPr>
        <w:t xml:space="preserve"> </w:t>
      </w:r>
      <w:r>
        <w:t>map,</w:t>
      </w:r>
      <w:r>
        <w:rPr>
          <w:spacing w:val="-10"/>
        </w:rPr>
        <w:t xml:space="preserve"> </w:t>
      </w:r>
      <w:r>
        <w:t>the</w:t>
      </w:r>
      <w:r>
        <w:rPr>
          <w:spacing w:val="-10"/>
        </w:rPr>
        <w:t xml:space="preserve"> </w:t>
      </w:r>
      <w:r>
        <w:t>bigger</w:t>
      </w:r>
      <w:r>
        <w:rPr>
          <w:spacing w:val="-10"/>
        </w:rPr>
        <w:t xml:space="preserve"> </w:t>
      </w:r>
      <w:r>
        <w:t>the</w:t>
      </w:r>
      <w:r>
        <w:rPr>
          <w:spacing w:val="-10"/>
        </w:rPr>
        <w:t xml:space="preserve"> </w:t>
      </w:r>
      <w:r>
        <w:t>size</w:t>
      </w:r>
      <w:r>
        <w:rPr>
          <w:spacing w:val="-10"/>
        </w:rPr>
        <w:t xml:space="preserve"> </w:t>
      </w:r>
      <w:r>
        <w:t>thereby</w:t>
      </w:r>
      <w:r>
        <w:rPr>
          <w:spacing w:val="-10"/>
        </w:rPr>
        <w:t xml:space="preserve"> </w:t>
      </w:r>
      <w:r>
        <w:t>attributed</w:t>
      </w:r>
      <w:r>
        <w:rPr>
          <w:spacing w:val="-10"/>
        </w:rPr>
        <w:t xml:space="preserve"> </w:t>
      </w:r>
      <w:r>
        <w:t>to</w:t>
      </w:r>
      <w:r>
        <w:rPr>
          <w:spacing w:val="-9"/>
        </w:rPr>
        <w:t xml:space="preserve"> </w:t>
      </w:r>
      <w:r>
        <w:t>Denmark. Thus, the size attributed to Denmark by the small map might be twice that attributed to it by the big map.</w:t>
      </w:r>
    </w:p>
    <w:p w14:paraId="7E001B1A" w14:textId="77777777" w:rsidR="009A58DB" w:rsidRDefault="00000000">
      <w:pPr>
        <w:pStyle w:val="BodyText"/>
        <w:spacing w:before="14" w:line="249" w:lineRule="auto"/>
        <w:ind w:right="358" w:firstLine="360"/>
      </w:pPr>
      <w:r>
        <w:t>The same thing</w:t>
      </w:r>
      <w:r>
        <w:rPr>
          <w:spacing w:val="-19"/>
        </w:rPr>
        <w:t xml:space="preserve"> </w:t>
      </w:r>
      <w:r>
        <w:rPr>
          <w:i/>
        </w:rPr>
        <w:t>mutatis</w:t>
      </w:r>
      <w:r>
        <w:rPr>
          <w:i/>
          <w:spacing w:val="40"/>
        </w:rPr>
        <w:t xml:space="preserve"> </w:t>
      </w:r>
      <w:r>
        <w:rPr>
          <w:i/>
        </w:rPr>
        <w:t>mutandis</w:t>
      </w:r>
      <w:r>
        <w:rPr>
          <w:i/>
          <w:spacing w:val="-19"/>
        </w:rPr>
        <w:t xml:space="preserve"> </w:t>
      </w:r>
      <w:r>
        <w:t>is true of visual images. A big house no more “looks small” when looked at from far away is identical than Denmark “looks</w:t>
      </w:r>
      <w:r>
        <w:rPr>
          <w:spacing w:val="-7"/>
        </w:rPr>
        <w:t xml:space="preserve"> </w:t>
      </w:r>
      <w:r>
        <w:t>small”</w:t>
      </w:r>
      <w:r>
        <w:rPr>
          <w:spacing w:val="-7"/>
        </w:rPr>
        <w:t xml:space="preserve"> </w:t>
      </w:r>
      <w:r>
        <w:t>on</w:t>
      </w:r>
      <w:r>
        <w:rPr>
          <w:spacing w:val="-7"/>
        </w:rPr>
        <w:t xml:space="preserve"> </w:t>
      </w:r>
      <w:r>
        <w:t>the</w:t>
      </w:r>
      <w:r>
        <w:rPr>
          <w:spacing w:val="-7"/>
        </w:rPr>
        <w:t xml:space="preserve"> </w:t>
      </w:r>
      <w:r>
        <w:t>tiny</w:t>
      </w:r>
      <w:r>
        <w:rPr>
          <w:spacing w:val="-7"/>
        </w:rPr>
        <w:t xml:space="preserve"> </w:t>
      </w:r>
      <w:r>
        <w:t>map.</w:t>
      </w:r>
      <w:r>
        <w:rPr>
          <w:spacing w:val="-11"/>
        </w:rPr>
        <w:t xml:space="preserve"> </w:t>
      </w:r>
      <w:r>
        <w:t>When</w:t>
      </w:r>
      <w:r>
        <w:rPr>
          <w:spacing w:val="-7"/>
        </w:rPr>
        <w:t xml:space="preserve"> </w:t>
      </w:r>
      <w:r>
        <w:t>the</w:t>
      </w:r>
      <w:r>
        <w:rPr>
          <w:spacing w:val="-7"/>
        </w:rPr>
        <w:t xml:space="preserve"> </w:t>
      </w:r>
      <w:r>
        <w:t>house</w:t>
      </w:r>
      <w:r>
        <w:rPr>
          <w:spacing w:val="-7"/>
        </w:rPr>
        <w:t xml:space="preserve"> </w:t>
      </w:r>
      <w:r>
        <w:t>is</w:t>
      </w:r>
      <w:r>
        <w:rPr>
          <w:spacing w:val="-7"/>
        </w:rPr>
        <w:t xml:space="preserve"> </w:t>
      </w:r>
      <w:r>
        <w:t>looked</w:t>
      </w:r>
      <w:r>
        <w:rPr>
          <w:spacing w:val="-7"/>
        </w:rPr>
        <w:t xml:space="preserve"> </w:t>
      </w:r>
      <w:r>
        <w:t>at</w:t>
      </w:r>
      <w:r>
        <w:rPr>
          <w:spacing w:val="-7"/>
        </w:rPr>
        <w:t xml:space="preserve"> </w:t>
      </w:r>
      <w:r>
        <w:t>from</w:t>
      </w:r>
      <w:r>
        <w:rPr>
          <w:spacing w:val="-7"/>
        </w:rPr>
        <w:t xml:space="preserve"> </w:t>
      </w:r>
      <w:r>
        <w:t>far</w:t>
      </w:r>
      <w:r>
        <w:rPr>
          <w:spacing w:val="-7"/>
        </w:rPr>
        <w:t xml:space="preserve"> </w:t>
      </w:r>
      <w:r>
        <w:t>away,</w:t>
      </w:r>
      <w:r>
        <w:rPr>
          <w:spacing w:val="-7"/>
        </w:rPr>
        <w:t xml:space="preserve"> </w:t>
      </w:r>
      <w:r>
        <w:t>the corresponding house-</w:t>
      </w:r>
      <w:r>
        <w:rPr>
          <w:i/>
          <w:spacing w:val="11"/>
        </w:rPr>
        <w:t>image</w:t>
      </w:r>
      <w:r>
        <w:rPr>
          <w:i/>
          <w:spacing w:val="-19"/>
        </w:rPr>
        <w:t xml:space="preserve"> </w:t>
      </w:r>
      <w:r>
        <w:t xml:space="preserve">is small (i.e., it eats up a comparatively small amount of visual space). But that’s consistent with that very perception’s </w:t>
      </w:r>
      <w:r>
        <w:rPr>
          <w:i/>
        </w:rPr>
        <w:t>representing</w:t>
      </w:r>
      <w:r>
        <w:rPr>
          <w:i/>
          <w:spacing w:val="-9"/>
        </w:rPr>
        <w:t xml:space="preserve"> </w:t>
      </w:r>
      <w:r>
        <w:t>that</w:t>
      </w:r>
      <w:r>
        <w:rPr>
          <w:spacing w:val="-9"/>
        </w:rPr>
        <w:t xml:space="preserve"> </w:t>
      </w:r>
      <w:r>
        <w:t>very</w:t>
      </w:r>
      <w:r>
        <w:rPr>
          <w:spacing w:val="-8"/>
        </w:rPr>
        <w:t xml:space="preserve"> </w:t>
      </w:r>
      <w:r>
        <w:t>house</w:t>
      </w:r>
      <w:r>
        <w:rPr>
          <w:spacing w:val="-8"/>
        </w:rPr>
        <w:t xml:space="preserve"> </w:t>
      </w:r>
      <w:r>
        <w:t>as</w:t>
      </w:r>
      <w:r>
        <w:rPr>
          <w:spacing w:val="-8"/>
        </w:rPr>
        <w:t xml:space="preserve"> </w:t>
      </w:r>
      <w:r>
        <w:t>being</w:t>
      </w:r>
      <w:r>
        <w:rPr>
          <w:spacing w:val="-8"/>
        </w:rPr>
        <w:t xml:space="preserve"> </w:t>
      </w:r>
      <w:r>
        <w:t>huge.</w:t>
      </w:r>
    </w:p>
    <w:p w14:paraId="7E001B1B" w14:textId="77777777" w:rsidR="009A58DB" w:rsidRDefault="00000000">
      <w:pPr>
        <w:pStyle w:val="Heading1"/>
        <w:numPr>
          <w:ilvl w:val="2"/>
          <w:numId w:val="109"/>
        </w:numPr>
        <w:tabs>
          <w:tab w:val="left" w:pos="1005"/>
          <w:tab w:val="left" w:pos="1455"/>
        </w:tabs>
        <w:spacing w:before="195" w:line="244" w:lineRule="auto"/>
        <w:ind w:left="1005" w:right="373" w:hanging="645"/>
      </w:pPr>
      <w:r>
        <w:t>BA</w:t>
      </w:r>
      <w:r>
        <w:rPr>
          <w:spacing w:val="80"/>
        </w:rPr>
        <w:t xml:space="preserve"> </w:t>
      </w:r>
      <w:r>
        <w:t>embodies</w:t>
      </w:r>
      <w:r>
        <w:rPr>
          <w:spacing w:val="80"/>
        </w:rPr>
        <w:t xml:space="preserve"> </w:t>
      </w:r>
      <w:r>
        <w:t>a</w:t>
      </w:r>
      <w:r>
        <w:rPr>
          <w:spacing w:val="80"/>
        </w:rPr>
        <w:t xml:space="preserve"> </w:t>
      </w:r>
      <w:r>
        <w:t>spurious</w:t>
      </w:r>
      <w:r>
        <w:rPr>
          <w:spacing w:val="80"/>
        </w:rPr>
        <w:t xml:space="preserve"> </w:t>
      </w:r>
      <w:r>
        <w:t>understanding</w:t>
      </w:r>
      <w:r>
        <w:rPr>
          <w:spacing w:val="80"/>
        </w:rPr>
        <w:t xml:space="preserve"> </w:t>
      </w:r>
      <w:r>
        <w:t>of</w:t>
      </w:r>
      <w:r>
        <w:rPr>
          <w:spacing w:val="80"/>
        </w:rPr>
        <w:t xml:space="preserve"> </w:t>
      </w:r>
      <w:r>
        <w:t>what secondary properties are</w:t>
      </w:r>
    </w:p>
    <w:p w14:paraId="7E001B1C" w14:textId="77777777" w:rsidR="009A58DB" w:rsidRDefault="00000000">
      <w:pPr>
        <w:pStyle w:val="BodyText"/>
        <w:spacing w:before="132" w:line="249" w:lineRule="auto"/>
        <w:ind w:right="361"/>
      </w:pPr>
      <w:r>
        <w:t>The health effects of eating a foul smelling cut of meat are very different</w:t>
      </w:r>
      <w:r>
        <w:rPr>
          <w:spacing w:val="40"/>
        </w:rPr>
        <w:t xml:space="preserve"> </w:t>
      </w:r>
      <w:r>
        <w:t>from the health-effects of eating a wholesome smelling cut of meat that is otherwise</w:t>
      </w:r>
      <w:r>
        <w:rPr>
          <w:spacing w:val="-1"/>
        </w:rPr>
        <w:t xml:space="preserve"> </w:t>
      </w:r>
      <w:r>
        <w:t>observationally</w:t>
      </w:r>
      <w:r>
        <w:rPr>
          <w:spacing w:val="-1"/>
        </w:rPr>
        <w:t xml:space="preserve"> </w:t>
      </w:r>
      <w:r>
        <w:t>just</w:t>
      </w:r>
      <w:r>
        <w:rPr>
          <w:spacing w:val="-1"/>
        </w:rPr>
        <w:t xml:space="preserve"> </w:t>
      </w:r>
      <w:r>
        <w:t>like</w:t>
      </w:r>
      <w:r>
        <w:rPr>
          <w:spacing w:val="-1"/>
        </w:rPr>
        <w:t xml:space="preserve"> </w:t>
      </w:r>
      <w:r>
        <w:t>the</w:t>
      </w:r>
      <w:r>
        <w:rPr>
          <w:spacing w:val="-1"/>
        </w:rPr>
        <w:t xml:space="preserve"> </w:t>
      </w:r>
      <w:r>
        <w:t>first.</w:t>
      </w:r>
      <w:r>
        <w:rPr>
          <w:spacing w:val="-1"/>
        </w:rPr>
        <w:t xml:space="preserve"> </w:t>
      </w:r>
      <w:r>
        <w:t>The</w:t>
      </w:r>
      <w:r>
        <w:rPr>
          <w:spacing w:val="-1"/>
        </w:rPr>
        <w:t xml:space="preserve"> </w:t>
      </w:r>
      <w:r>
        <w:t>way</w:t>
      </w:r>
      <w:r>
        <w:rPr>
          <w:spacing w:val="-1"/>
        </w:rPr>
        <w:t xml:space="preserve"> </w:t>
      </w:r>
      <w:r>
        <w:t>a</w:t>
      </w:r>
      <w:r>
        <w:rPr>
          <w:spacing w:val="-1"/>
        </w:rPr>
        <w:t xml:space="preserve"> </w:t>
      </w:r>
      <w:r>
        <w:t>piece</w:t>
      </w:r>
      <w:r>
        <w:rPr>
          <w:spacing w:val="-1"/>
        </w:rPr>
        <w:t xml:space="preserve"> </w:t>
      </w:r>
      <w:r>
        <w:t>of</w:t>
      </w:r>
      <w:r>
        <w:rPr>
          <w:spacing w:val="-1"/>
        </w:rPr>
        <w:t xml:space="preserve"> </w:t>
      </w:r>
      <w:r>
        <w:t>meat</w:t>
      </w:r>
      <w:r>
        <w:rPr>
          <w:spacing w:val="-1"/>
        </w:rPr>
        <w:t xml:space="preserve"> </w:t>
      </w:r>
      <w:r>
        <w:t>smells</w:t>
      </w:r>
      <w:r>
        <w:rPr>
          <w:spacing w:val="-1"/>
        </w:rPr>
        <w:t xml:space="preserve"> </w:t>
      </w:r>
      <w:r>
        <w:t>is an</w:t>
      </w:r>
      <w:r>
        <w:rPr>
          <w:spacing w:val="-3"/>
        </w:rPr>
        <w:t xml:space="preserve"> </w:t>
      </w:r>
      <w:r>
        <w:t>indication</w:t>
      </w:r>
      <w:r>
        <w:rPr>
          <w:spacing w:val="-3"/>
        </w:rPr>
        <w:t xml:space="preserve"> </w:t>
      </w:r>
      <w:r>
        <w:t>of</w:t>
      </w:r>
      <w:r>
        <w:rPr>
          <w:spacing w:val="-4"/>
        </w:rPr>
        <w:t xml:space="preserve"> </w:t>
      </w:r>
      <w:r>
        <w:t>its</w:t>
      </w:r>
      <w:r>
        <w:rPr>
          <w:spacing w:val="-4"/>
        </w:rPr>
        <w:t xml:space="preserve"> </w:t>
      </w:r>
      <w:r>
        <w:t>ability</w:t>
      </w:r>
      <w:r>
        <w:rPr>
          <w:spacing w:val="-3"/>
        </w:rPr>
        <w:t xml:space="preserve"> </w:t>
      </w:r>
      <w:r>
        <w:t>to</w:t>
      </w:r>
      <w:r>
        <w:rPr>
          <w:spacing w:val="-3"/>
        </w:rPr>
        <w:t xml:space="preserve"> </w:t>
      </w:r>
      <w:r>
        <w:t>nourish.</w:t>
      </w:r>
      <w:r>
        <w:rPr>
          <w:spacing w:val="-3"/>
        </w:rPr>
        <w:t xml:space="preserve"> </w:t>
      </w:r>
      <w:r>
        <w:t>For</w:t>
      </w:r>
      <w:r>
        <w:rPr>
          <w:spacing w:val="-4"/>
        </w:rPr>
        <w:t xml:space="preserve"> </w:t>
      </w:r>
      <w:r>
        <w:t>this</w:t>
      </w:r>
      <w:r>
        <w:rPr>
          <w:spacing w:val="-4"/>
        </w:rPr>
        <w:t xml:space="preserve"> </w:t>
      </w:r>
      <w:r>
        <w:t>reason,</w:t>
      </w:r>
      <w:r>
        <w:rPr>
          <w:spacing w:val="-3"/>
        </w:rPr>
        <w:t xml:space="preserve"> </w:t>
      </w:r>
      <w:r>
        <w:t>otherwise</w:t>
      </w:r>
      <w:r>
        <w:rPr>
          <w:spacing w:val="-4"/>
        </w:rPr>
        <w:t xml:space="preserve"> </w:t>
      </w:r>
      <w:r>
        <w:t>hard</w:t>
      </w:r>
      <w:r>
        <w:rPr>
          <w:spacing w:val="-3"/>
        </w:rPr>
        <w:t xml:space="preserve"> </w:t>
      </w:r>
      <w:r>
        <w:t>to</w:t>
      </w:r>
      <w:r>
        <w:rPr>
          <w:spacing w:val="-3"/>
        </w:rPr>
        <w:t xml:space="preserve"> </w:t>
      </w:r>
      <w:r>
        <w:t>obtain causal knowledge is easily obtained and otherwise hard to make predictions are easily made.</w:t>
      </w:r>
    </w:p>
    <w:p w14:paraId="7E001B1D" w14:textId="77777777" w:rsidR="009A58DB" w:rsidRDefault="00000000">
      <w:pPr>
        <w:pStyle w:val="BodyText"/>
        <w:spacing w:before="7" w:line="249" w:lineRule="auto"/>
        <w:ind w:right="358" w:firstLine="360"/>
      </w:pPr>
      <w:r>
        <w:t xml:space="preserve">Differences secondary properties </w:t>
      </w:r>
      <w:r>
        <w:rPr>
          <w:i/>
        </w:rPr>
        <w:t xml:space="preserve">always </w:t>
      </w:r>
      <w:r>
        <w:t>correlate with causal differences. In</w:t>
      </w:r>
      <w:r>
        <w:rPr>
          <w:spacing w:val="29"/>
        </w:rPr>
        <w:t xml:space="preserve"> </w:t>
      </w:r>
      <w:r>
        <w:t>many</w:t>
      </w:r>
      <w:r>
        <w:rPr>
          <w:spacing w:val="30"/>
        </w:rPr>
        <w:t xml:space="preserve"> </w:t>
      </w:r>
      <w:r>
        <w:t>cases,</w:t>
      </w:r>
      <w:r>
        <w:rPr>
          <w:spacing w:val="30"/>
        </w:rPr>
        <w:t xml:space="preserve"> </w:t>
      </w:r>
      <w:r>
        <w:t>day-to-day</w:t>
      </w:r>
      <w:r>
        <w:rPr>
          <w:spacing w:val="30"/>
        </w:rPr>
        <w:t xml:space="preserve"> </w:t>
      </w:r>
      <w:r>
        <w:t>experience</w:t>
      </w:r>
      <w:r>
        <w:rPr>
          <w:spacing w:val="30"/>
        </w:rPr>
        <w:t xml:space="preserve"> </w:t>
      </w:r>
      <w:r>
        <w:t>makes</w:t>
      </w:r>
      <w:r>
        <w:rPr>
          <w:spacing w:val="29"/>
        </w:rPr>
        <w:t xml:space="preserve"> </w:t>
      </w:r>
      <w:r>
        <w:t>it</w:t>
      </w:r>
      <w:r>
        <w:rPr>
          <w:spacing w:val="29"/>
        </w:rPr>
        <w:t xml:space="preserve"> </w:t>
      </w:r>
      <w:r>
        <w:t>clear</w:t>
      </w:r>
      <w:r>
        <w:rPr>
          <w:spacing w:val="29"/>
        </w:rPr>
        <w:t xml:space="preserve"> </w:t>
      </w:r>
      <w:r>
        <w:t>what</w:t>
      </w:r>
      <w:r>
        <w:rPr>
          <w:spacing w:val="29"/>
        </w:rPr>
        <w:t xml:space="preserve"> </w:t>
      </w:r>
      <w:r>
        <w:t>causal</w:t>
      </w:r>
      <w:r>
        <w:rPr>
          <w:spacing w:val="29"/>
        </w:rPr>
        <w:t xml:space="preserve"> </w:t>
      </w:r>
      <w:r>
        <w:t>properties</w:t>
      </w:r>
    </w:p>
    <w:p w14:paraId="7E001B1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B1F" w14:textId="77777777" w:rsidR="009A58DB" w:rsidRDefault="00000000">
      <w:pPr>
        <w:pStyle w:val="BodyText"/>
        <w:spacing w:before="60" w:line="249" w:lineRule="auto"/>
        <w:ind w:right="363"/>
      </w:pPr>
      <w:r>
        <w:lastRenderedPageBreak/>
        <w:t>are associated with possession of a given secondary property. (Day-to-day experience makes it clear that things with certain tastes and smells are not fit to drink.) In other case, day-to-day experience doesn’t do this. (Day-to-day experience doesn’t make it</w:t>
      </w:r>
      <w:r>
        <w:rPr>
          <w:spacing w:val="-1"/>
        </w:rPr>
        <w:t xml:space="preserve"> </w:t>
      </w:r>
      <w:r>
        <w:t>clear how an object</w:t>
      </w:r>
      <w:r>
        <w:rPr>
          <w:spacing w:val="-1"/>
        </w:rPr>
        <w:t xml:space="preserve"> </w:t>
      </w:r>
      <w:r>
        <w:t>that is red differs in respect of its</w:t>
      </w:r>
      <w:r>
        <w:rPr>
          <w:spacing w:val="-1"/>
        </w:rPr>
        <w:t xml:space="preserve"> </w:t>
      </w:r>
      <w:r>
        <w:t>causal</w:t>
      </w:r>
      <w:r>
        <w:rPr>
          <w:spacing w:val="-2"/>
        </w:rPr>
        <w:t xml:space="preserve"> </w:t>
      </w:r>
      <w:r>
        <w:t>properties</w:t>
      </w:r>
      <w:r>
        <w:rPr>
          <w:spacing w:val="-1"/>
        </w:rPr>
        <w:t xml:space="preserve"> </w:t>
      </w:r>
      <w:r>
        <w:t>from</w:t>
      </w:r>
      <w:r>
        <w:rPr>
          <w:spacing w:val="-2"/>
        </w:rPr>
        <w:t xml:space="preserve"> </w:t>
      </w:r>
      <w:r>
        <w:t>one</w:t>
      </w:r>
      <w:r>
        <w:rPr>
          <w:spacing w:val="-1"/>
        </w:rPr>
        <w:t xml:space="preserve"> </w:t>
      </w:r>
      <w:r>
        <w:t>that</w:t>
      </w:r>
      <w:r>
        <w:rPr>
          <w:spacing w:val="-2"/>
        </w:rPr>
        <w:t xml:space="preserve"> </w:t>
      </w:r>
      <w:r>
        <w:t>is</w:t>
      </w:r>
      <w:r>
        <w:rPr>
          <w:spacing w:val="-1"/>
        </w:rPr>
        <w:t xml:space="preserve"> </w:t>
      </w:r>
      <w:r>
        <w:t>green</w:t>
      </w:r>
      <w:r>
        <w:rPr>
          <w:spacing w:val="-1"/>
        </w:rPr>
        <w:t xml:space="preserve"> </w:t>
      </w:r>
      <w:r>
        <w:t>but</w:t>
      </w:r>
      <w:r>
        <w:rPr>
          <w:spacing w:val="-2"/>
        </w:rPr>
        <w:t xml:space="preserve"> </w:t>
      </w:r>
      <w:r>
        <w:t>is</w:t>
      </w:r>
      <w:r>
        <w:rPr>
          <w:spacing w:val="-1"/>
        </w:rPr>
        <w:t xml:space="preserve"> </w:t>
      </w:r>
      <w:r>
        <w:t>otherwise</w:t>
      </w:r>
      <w:r>
        <w:rPr>
          <w:spacing w:val="-1"/>
        </w:rPr>
        <w:t xml:space="preserve"> </w:t>
      </w:r>
      <w:r>
        <w:t>identical.)</w:t>
      </w:r>
      <w:r>
        <w:rPr>
          <w:spacing w:val="-1"/>
        </w:rPr>
        <w:t xml:space="preserve"> </w:t>
      </w:r>
      <w:r>
        <w:t>But</w:t>
      </w:r>
      <w:r>
        <w:rPr>
          <w:spacing w:val="-2"/>
        </w:rPr>
        <w:t xml:space="preserve"> </w:t>
      </w:r>
      <w:r>
        <w:t>if</w:t>
      </w:r>
      <w:r>
        <w:rPr>
          <w:spacing w:val="-1"/>
        </w:rPr>
        <w:t xml:space="preserve"> </w:t>
      </w:r>
      <w:r>
        <w:t xml:space="preserve">a given object has a given secondary property, it </w:t>
      </w:r>
      <w:r>
        <w:rPr>
          <w:i/>
        </w:rPr>
        <w:t>ipso facto</w:t>
      </w:r>
      <w:r>
        <w:rPr>
          <w:i/>
          <w:spacing w:val="40"/>
        </w:rPr>
        <w:t xml:space="preserve"> </w:t>
      </w:r>
      <w:r>
        <w:t>has some causal property that it wouldn’t otherwise have.</w:t>
      </w:r>
    </w:p>
    <w:p w14:paraId="7E001B20" w14:textId="77777777" w:rsidR="009A58DB" w:rsidRDefault="00000000">
      <w:pPr>
        <w:pStyle w:val="BodyText"/>
        <w:spacing w:before="13" w:line="249" w:lineRule="auto"/>
        <w:ind w:right="359" w:firstLine="360"/>
      </w:pPr>
      <w:r>
        <w:t>For this reason, secondary properties are not in any relevant sense “subjective.” The term “subjective,” as John Searle (1992) points out, has</w:t>
      </w:r>
      <w:r>
        <w:rPr>
          <w:spacing w:val="40"/>
        </w:rPr>
        <w:t xml:space="preserve"> </w:t>
      </w:r>
      <w:r>
        <w:t>two very different meanings. To say that such and such is “subjective” can mean that</w:t>
      </w:r>
    </w:p>
    <w:p w14:paraId="7E001B21" w14:textId="77777777" w:rsidR="009A58DB" w:rsidRDefault="009A58DB">
      <w:pPr>
        <w:pStyle w:val="BodyText"/>
        <w:spacing w:before="20"/>
        <w:ind w:left="0"/>
        <w:jc w:val="left"/>
      </w:pPr>
    </w:p>
    <w:p w14:paraId="7E001B22" w14:textId="77777777" w:rsidR="009A58DB" w:rsidRDefault="00000000">
      <w:pPr>
        <w:pStyle w:val="ListParagraph"/>
        <w:numPr>
          <w:ilvl w:val="0"/>
          <w:numId w:val="105"/>
        </w:numPr>
        <w:tabs>
          <w:tab w:val="left" w:pos="715"/>
        </w:tabs>
        <w:ind w:left="715" w:hanging="355"/>
        <w:jc w:val="both"/>
        <w:rPr>
          <w:sz w:val="30"/>
        </w:rPr>
      </w:pPr>
      <w:r>
        <w:rPr>
          <w:sz w:val="30"/>
        </w:rPr>
        <w:t>its</w:t>
      </w:r>
      <w:r>
        <w:rPr>
          <w:spacing w:val="-6"/>
          <w:sz w:val="30"/>
        </w:rPr>
        <w:t xml:space="preserve"> </w:t>
      </w:r>
      <w:r>
        <w:rPr>
          <w:sz w:val="30"/>
        </w:rPr>
        <w:t>existence</w:t>
      </w:r>
      <w:r>
        <w:rPr>
          <w:spacing w:val="-4"/>
          <w:sz w:val="30"/>
        </w:rPr>
        <w:t xml:space="preserve"> </w:t>
      </w:r>
      <w:r>
        <w:rPr>
          <w:sz w:val="30"/>
        </w:rPr>
        <w:t>presupposes</w:t>
      </w:r>
      <w:r>
        <w:rPr>
          <w:spacing w:val="-4"/>
          <w:sz w:val="30"/>
        </w:rPr>
        <w:t xml:space="preserve"> </w:t>
      </w:r>
      <w:r>
        <w:rPr>
          <w:sz w:val="30"/>
        </w:rPr>
        <w:t>that</w:t>
      </w:r>
      <w:r>
        <w:rPr>
          <w:spacing w:val="-4"/>
          <w:sz w:val="30"/>
        </w:rPr>
        <w:t xml:space="preserve"> </w:t>
      </w:r>
      <w:r>
        <w:rPr>
          <w:sz w:val="30"/>
        </w:rPr>
        <w:t>of</w:t>
      </w:r>
      <w:r>
        <w:rPr>
          <w:spacing w:val="-4"/>
          <w:sz w:val="30"/>
        </w:rPr>
        <w:t xml:space="preserve"> </w:t>
      </w:r>
      <w:r>
        <w:rPr>
          <w:sz w:val="30"/>
        </w:rPr>
        <w:t>some</w:t>
      </w:r>
      <w:r>
        <w:rPr>
          <w:spacing w:val="-3"/>
          <w:sz w:val="30"/>
        </w:rPr>
        <w:t xml:space="preserve"> </w:t>
      </w:r>
      <w:r>
        <w:rPr>
          <w:spacing w:val="-2"/>
          <w:sz w:val="30"/>
        </w:rPr>
        <w:t>subject,</w:t>
      </w:r>
    </w:p>
    <w:p w14:paraId="7E001B23" w14:textId="77777777" w:rsidR="009A58DB" w:rsidRDefault="009A58DB">
      <w:pPr>
        <w:pStyle w:val="BodyText"/>
        <w:spacing w:before="30"/>
        <w:ind w:left="0"/>
        <w:jc w:val="left"/>
      </w:pPr>
    </w:p>
    <w:p w14:paraId="7E001B24" w14:textId="77777777" w:rsidR="009A58DB" w:rsidRDefault="00000000">
      <w:pPr>
        <w:pStyle w:val="BodyText"/>
      </w:pPr>
      <w:r>
        <w:rPr>
          <w:i/>
        </w:rPr>
        <w:t>or</w:t>
      </w:r>
      <w:r>
        <w:rPr>
          <w:i/>
          <w:spacing w:val="-5"/>
        </w:rPr>
        <w:t xml:space="preserve"> </w:t>
      </w:r>
      <w:r>
        <w:t>it</w:t>
      </w:r>
      <w:r>
        <w:rPr>
          <w:spacing w:val="-2"/>
        </w:rPr>
        <w:t xml:space="preserve"> </w:t>
      </w:r>
      <w:r>
        <w:t>can</w:t>
      </w:r>
      <w:r>
        <w:rPr>
          <w:spacing w:val="-2"/>
        </w:rPr>
        <w:t xml:space="preserve"> </w:t>
      </w:r>
      <w:r>
        <w:t>mean</w:t>
      </w:r>
      <w:r>
        <w:rPr>
          <w:spacing w:val="-1"/>
        </w:rPr>
        <w:t xml:space="preserve"> </w:t>
      </w:r>
      <w:r>
        <w:rPr>
          <w:spacing w:val="-4"/>
        </w:rPr>
        <w:t>that</w:t>
      </w:r>
    </w:p>
    <w:p w14:paraId="7E001B25" w14:textId="77777777" w:rsidR="009A58DB" w:rsidRDefault="009A58DB">
      <w:pPr>
        <w:pStyle w:val="BodyText"/>
        <w:spacing w:before="30"/>
        <w:ind w:left="0"/>
        <w:jc w:val="left"/>
      </w:pPr>
    </w:p>
    <w:p w14:paraId="7E001B26" w14:textId="77777777" w:rsidR="009A58DB" w:rsidRDefault="00000000">
      <w:pPr>
        <w:pStyle w:val="ListParagraph"/>
        <w:numPr>
          <w:ilvl w:val="0"/>
          <w:numId w:val="105"/>
        </w:numPr>
        <w:tabs>
          <w:tab w:val="left" w:pos="815"/>
        </w:tabs>
        <w:spacing w:line="249" w:lineRule="auto"/>
        <w:ind w:left="360" w:right="361" w:firstLine="0"/>
        <w:jc w:val="both"/>
        <w:rPr>
          <w:sz w:val="30"/>
        </w:rPr>
      </w:pPr>
      <w:r>
        <w:rPr>
          <w:sz w:val="30"/>
        </w:rPr>
        <w:t>it embodies prejudices or other subject-specific idiosycracies that tend to inhibit the acquisition of knowledge.</w:t>
      </w:r>
    </w:p>
    <w:p w14:paraId="7E001B27" w14:textId="77777777" w:rsidR="009A58DB" w:rsidRDefault="009A58DB">
      <w:pPr>
        <w:pStyle w:val="BodyText"/>
        <w:spacing w:before="18"/>
        <w:ind w:left="0"/>
        <w:jc w:val="left"/>
      </w:pPr>
    </w:p>
    <w:p w14:paraId="7E001B28" w14:textId="77777777" w:rsidR="009A58DB" w:rsidRDefault="00000000">
      <w:pPr>
        <w:pStyle w:val="BodyText"/>
        <w:spacing w:line="249" w:lineRule="auto"/>
        <w:ind w:right="370"/>
      </w:pPr>
      <w:r>
        <w:t>My belief that 2 + 2 = 4 is subjective in sense (i). That belief presupposes the existence</w:t>
      </w:r>
      <w:r>
        <w:rPr>
          <w:spacing w:val="40"/>
        </w:rPr>
        <w:t xml:space="preserve"> </w:t>
      </w:r>
      <w:r>
        <w:t>of</w:t>
      </w:r>
      <w:r>
        <w:rPr>
          <w:spacing w:val="40"/>
        </w:rPr>
        <w:t xml:space="preserve"> </w:t>
      </w:r>
      <w:r>
        <w:t>a</w:t>
      </w:r>
      <w:r>
        <w:rPr>
          <w:spacing w:val="40"/>
        </w:rPr>
        <w:t xml:space="preserve"> </w:t>
      </w:r>
      <w:r>
        <w:t>subject.</w:t>
      </w:r>
      <w:r>
        <w:rPr>
          <w:spacing w:val="40"/>
        </w:rPr>
        <w:t xml:space="preserve"> </w:t>
      </w:r>
      <w:r>
        <w:t>There</w:t>
      </w:r>
      <w:r>
        <w:rPr>
          <w:spacing w:val="40"/>
        </w:rPr>
        <w:t xml:space="preserve"> </w:t>
      </w:r>
      <w:r>
        <w:t>can’t</w:t>
      </w:r>
      <w:r>
        <w:rPr>
          <w:spacing w:val="40"/>
        </w:rPr>
        <w:t xml:space="preserve"> </w:t>
      </w:r>
      <w:r>
        <w:t>be</w:t>
      </w:r>
      <w:r>
        <w:rPr>
          <w:spacing w:val="40"/>
        </w:rPr>
        <w:t xml:space="preserve"> </w:t>
      </w:r>
      <w:r>
        <w:t>disembodied</w:t>
      </w:r>
      <w:r>
        <w:rPr>
          <w:spacing w:val="40"/>
        </w:rPr>
        <w:t xml:space="preserve"> </w:t>
      </w:r>
      <w:r>
        <w:t>beliefs</w:t>
      </w:r>
      <w:r>
        <w:rPr>
          <w:spacing w:val="40"/>
        </w:rPr>
        <w:t xml:space="preserve"> </w:t>
      </w:r>
      <w:r>
        <w:t>floating</w:t>
      </w:r>
      <w:r>
        <w:rPr>
          <w:spacing w:val="40"/>
        </w:rPr>
        <w:t xml:space="preserve"> </w:t>
      </w:r>
      <w:r>
        <w:t>about.</w:t>
      </w:r>
    </w:p>
    <w:p w14:paraId="7E001B29" w14:textId="77777777" w:rsidR="009A58DB" w:rsidRDefault="00000000">
      <w:pPr>
        <w:pStyle w:val="BodyText"/>
        <w:spacing w:before="2" w:line="249" w:lineRule="auto"/>
        <w:ind w:right="361"/>
      </w:pPr>
      <w:bookmarkStart w:id="358" w:name="_bookmark358"/>
      <w:bookmarkEnd w:id="358"/>
      <w:r>
        <w:rPr>
          <w:color w:val="0562C1"/>
          <w:position w:val="21"/>
          <w:u w:val="single" w:color="0562C1"/>
        </w:rPr>
        <w:t>[250]</w:t>
      </w:r>
      <w:r>
        <w:rPr>
          <w:color w:val="0562C1"/>
          <w:position w:val="21"/>
        </w:rPr>
        <w:t xml:space="preserve"> </w:t>
      </w:r>
      <w:r>
        <w:t>But that belief isn’t subjective in sense (ii). It is (so we will assume) based on rational consideration of the relevant information. By contrast, my intense fear of people who wear plaid shirts (which is based, not on rational consideration of the relevant data, but on childhood traumas that we needn’t discuss) is subjective in sense (ii). In other words, it is rooted in peculiarities of my own person that make it harder for me than it would otherwise be to</w:t>
      </w:r>
      <w:r>
        <w:rPr>
          <w:spacing w:val="40"/>
        </w:rPr>
        <w:t xml:space="preserve"> </w:t>
      </w:r>
      <w:r>
        <w:t xml:space="preserve">see things as they are. My olfactory perception that the maggot-infested meat in front of me smells awful is subjective in sense (i) but not in sense (ii). It is subjective only in the trivial and irrelevant sense in which </w:t>
      </w:r>
      <w:r>
        <w:rPr>
          <w:i/>
        </w:rPr>
        <w:t xml:space="preserve">any </w:t>
      </w:r>
      <w:r>
        <w:t>mental entity, even</w:t>
      </w:r>
      <w:r>
        <w:rPr>
          <w:spacing w:val="-3"/>
        </w:rPr>
        <w:t xml:space="preserve"> </w:t>
      </w:r>
      <w:r>
        <w:t>a</w:t>
      </w:r>
      <w:r>
        <w:rPr>
          <w:spacing w:val="-3"/>
        </w:rPr>
        <w:t xml:space="preserve"> </w:t>
      </w:r>
      <w:r>
        <w:t>coolly</w:t>
      </w:r>
      <w:r>
        <w:rPr>
          <w:spacing w:val="-3"/>
        </w:rPr>
        <w:t xml:space="preserve"> </w:t>
      </w:r>
      <w:r>
        <w:t>made</w:t>
      </w:r>
      <w:r>
        <w:rPr>
          <w:spacing w:val="-3"/>
        </w:rPr>
        <w:t xml:space="preserve"> </w:t>
      </w:r>
      <w:r>
        <w:t>judgment,</w:t>
      </w:r>
      <w:r>
        <w:rPr>
          <w:spacing w:val="-3"/>
        </w:rPr>
        <w:t xml:space="preserve"> </w:t>
      </w:r>
      <w:r>
        <w:t>is</w:t>
      </w:r>
      <w:r>
        <w:rPr>
          <w:spacing w:val="-3"/>
        </w:rPr>
        <w:t xml:space="preserve"> </w:t>
      </w:r>
      <w:r>
        <w:t>subjective:</w:t>
      </w:r>
      <w:r>
        <w:rPr>
          <w:spacing w:val="-10"/>
        </w:rPr>
        <w:t xml:space="preserve"> </w:t>
      </w:r>
      <w:r>
        <w:t>it</w:t>
      </w:r>
      <w:r>
        <w:rPr>
          <w:spacing w:val="-10"/>
        </w:rPr>
        <w:t xml:space="preserve"> </w:t>
      </w:r>
      <w:r>
        <w:t>is</w:t>
      </w:r>
      <w:r>
        <w:rPr>
          <w:spacing w:val="-10"/>
        </w:rPr>
        <w:t xml:space="preserve"> </w:t>
      </w:r>
      <w:r>
        <w:t>subjective</w:t>
      </w:r>
      <w:r>
        <w:rPr>
          <w:spacing w:val="-10"/>
        </w:rPr>
        <w:t xml:space="preserve"> </w:t>
      </w:r>
      <w:r>
        <w:t>in</w:t>
      </w:r>
      <w:r>
        <w:rPr>
          <w:spacing w:val="-10"/>
        </w:rPr>
        <w:t xml:space="preserve"> </w:t>
      </w:r>
      <w:r>
        <w:t>the</w:t>
      </w:r>
      <w:r>
        <w:rPr>
          <w:spacing w:val="-10"/>
        </w:rPr>
        <w:t xml:space="preserve"> </w:t>
      </w:r>
      <w:r>
        <w:t>same</w:t>
      </w:r>
      <w:r>
        <w:rPr>
          <w:spacing w:val="-10"/>
        </w:rPr>
        <w:t xml:space="preserve"> </w:t>
      </w:r>
      <w:r>
        <w:t>way</w:t>
      </w:r>
      <w:r>
        <w:rPr>
          <w:spacing w:val="-10"/>
        </w:rPr>
        <w:t xml:space="preserve"> </w:t>
      </w:r>
      <w:r>
        <w:t>as my</w:t>
      </w:r>
      <w:r>
        <w:rPr>
          <w:spacing w:val="-15"/>
        </w:rPr>
        <w:t xml:space="preserve"> </w:t>
      </w:r>
      <w:r>
        <w:t>rational</w:t>
      </w:r>
      <w:r>
        <w:rPr>
          <w:spacing w:val="-16"/>
        </w:rPr>
        <w:t xml:space="preserve"> </w:t>
      </w:r>
      <w:r>
        <w:t>and</w:t>
      </w:r>
      <w:r>
        <w:rPr>
          <w:spacing w:val="-15"/>
        </w:rPr>
        <w:t xml:space="preserve"> </w:t>
      </w:r>
      <w:r>
        <w:t>informed</w:t>
      </w:r>
      <w:r>
        <w:rPr>
          <w:spacing w:val="-15"/>
        </w:rPr>
        <w:t xml:space="preserve"> </w:t>
      </w:r>
      <w:r>
        <w:t>belief</w:t>
      </w:r>
      <w:r>
        <w:rPr>
          <w:spacing w:val="-16"/>
        </w:rPr>
        <w:t xml:space="preserve"> </w:t>
      </w:r>
      <w:r>
        <w:t>that</w:t>
      </w:r>
      <w:r>
        <w:rPr>
          <w:spacing w:val="-16"/>
        </w:rPr>
        <w:t xml:space="preserve"> </w:t>
      </w:r>
      <w:r>
        <w:t>2+2=4</w:t>
      </w:r>
      <w:r>
        <w:rPr>
          <w:spacing w:val="-15"/>
        </w:rPr>
        <w:t xml:space="preserve"> </w:t>
      </w:r>
      <w:r>
        <w:t>is</w:t>
      </w:r>
      <w:r>
        <w:rPr>
          <w:spacing w:val="-15"/>
        </w:rPr>
        <w:t xml:space="preserve"> </w:t>
      </w:r>
      <w:r>
        <w:t>subjective.</w:t>
      </w:r>
      <w:r>
        <w:rPr>
          <w:spacing w:val="-15"/>
        </w:rPr>
        <w:t xml:space="preserve"> </w:t>
      </w:r>
      <w:r>
        <w:t>But</w:t>
      </w:r>
      <w:r>
        <w:rPr>
          <w:spacing w:val="-16"/>
        </w:rPr>
        <w:t xml:space="preserve"> </w:t>
      </w:r>
      <w:r>
        <w:t>it</w:t>
      </w:r>
      <w:r>
        <w:rPr>
          <w:spacing w:val="-16"/>
        </w:rPr>
        <w:t xml:space="preserve"> </w:t>
      </w:r>
      <w:r>
        <w:t>isn’t</w:t>
      </w:r>
      <w:r>
        <w:rPr>
          <w:spacing w:val="-16"/>
        </w:rPr>
        <w:t xml:space="preserve"> </w:t>
      </w:r>
      <w:r>
        <w:t>subjective in</w:t>
      </w:r>
      <w:r>
        <w:rPr>
          <w:spacing w:val="-14"/>
        </w:rPr>
        <w:t xml:space="preserve"> </w:t>
      </w:r>
      <w:r>
        <w:t>the</w:t>
      </w:r>
      <w:r>
        <w:rPr>
          <w:spacing w:val="-14"/>
        </w:rPr>
        <w:t xml:space="preserve"> </w:t>
      </w:r>
      <w:r>
        <w:t>same</w:t>
      </w:r>
      <w:r>
        <w:rPr>
          <w:spacing w:val="-14"/>
        </w:rPr>
        <w:t xml:space="preserve"> </w:t>
      </w:r>
      <w:r>
        <w:t>way</w:t>
      </w:r>
      <w:r>
        <w:rPr>
          <w:spacing w:val="-14"/>
        </w:rPr>
        <w:t xml:space="preserve"> </w:t>
      </w:r>
      <w:r>
        <w:t>as</w:t>
      </w:r>
      <w:r>
        <w:rPr>
          <w:spacing w:val="-14"/>
        </w:rPr>
        <w:t xml:space="preserve"> </w:t>
      </w:r>
      <w:r>
        <w:t>my</w:t>
      </w:r>
      <w:r>
        <w:rPr>
          <w:spacing w:val="-14"/>
        </w:rPr>
        <w:t xml:space="preserve"> </w:t>
      </w:r>
      <w:r>
        <w:t>prejudice-driven</w:t>
      </w:r>
      <w:r>
        <w:rPr>
          <w:spacing w:val="-14"/>
        </w:rPr>
        <w:t xml:space="preserve"> </w:t>
      </w:r>
      <w:r>
        <w:t>fear</w:t>
      </w:r>
      <w:r>
        <w:rPr>
          <w:spacing w:val="-15"/>
        </w:rPr>
        <w:t xml:space="preserve"> </w:t>
      </w:r>
      <w:r>
        <w:t>of</w:t>
      </w:r>
      <w:r>
        <w:rPr>
          <w:spacing w:val="-15"/>
        </w:rPr>
        <w:t xml:space="preserve"> </w:t>
      </w:r>
      <w:r>
        <w:t>people</w:t>
      </w:r>
      <w:r>
        <w:rPr>
          <w:spacing w:val="-14"/>
        </w:rPr>
        <w:t xml:space="preserve"> </w:t>
      </w:r>
      <w:r>
        <w:t>who</w:t>
      </w:r>
      <w:r>
        <w:rPr>
          <w:spacing w:val="-14"/>
        </w:rPr>
        <w:t xml:space="preserve"> </w:t>
      </w:r>
      <w:r>
        <w:t>wear</w:t>
      </w:r>
      <w:r>
        <w:rPr>
          <w:spacing w:val="-15"/>
        </w:rPr>
        <w:t xml:space="preserve"> </w:t>
      </w:r>
      <w:r>
        <w:t>plaid</w:t>
      </w:r>
      <w:r>
        <w:rPr>
          <w:spacing w:val="-14"/>
        </w:rPr>
        <w:t xml:space="preserve"> </w:t>
      </w:r>
      <w:r>
        <w:t>shirts.</w:t>
      </w:r>
    </w:p>
    <w:p w14:paraId="7E001B2A" w14:textId="77777777" w:rsidR="009A58DB" w:rsidRDefault="00000000">
      <w:pPr>
        <w:pStyle w:val="BodyText"/>
        <w:spacing w:before="15" w:line="249" w:lineRule="auto"/>
        <w:ind w:right="365" w:firstLine="360"/>
      </w:pPr>
      <w:r>
        <w:t>Bearing this in mind, suppose that, all of a sudden, the way things smelled was</w:t>
      </w:r>
      <w:r>
        <w:rPr>
          <w:spacing w:val="26"/>
        </w:rPr>
        <w:t xml:space="preserve"> </w:t>
      </w:r>
      <w:r>
        <w:t>no</w:t>
      </w:r>
      <w:r>
        <w:rPr>
          <w:spacing w:val="26"/>
        </w:rPr>
        <w:t xml:space="preserve"> </w:t>
      </w:r>
      <w:r>
        <w:t>indication</w:t>
      </w:r>
      <w:r>
        <w:rPr>
          <w:spacing w:val="26"/>
        </w:rPr>
        <w:t xml:space="preserve"> </w:t>
      </w:r>
      <w:r>
        <w:t>as</w:t>
      </w:r>
      <w:r>
        <w:rPr>
          <w:spacing w:val="26"/>
        </w:rPr>
        <w:t xml:space="preserve"> </w:t>
      </w:r>
      <w:r>
        <w:t>to</w:t>
      </w:r>
      <w:r>
        <w:rPr>
          <w:spacing w:val="26"/>
        </w:rPr>
        <w:t xml:space="preserve"> </w:t>
      </w:r>
      <w:r>
        <w:t>whether</w:t>
      </w:r>
      <w:r>
        <w:rPr>
          <w:spacing w:val="26"/>
        </w:rPr>
        <w:t xml:space="preserve"> </w:t>
      </w:r>
      <w:r>
        <w:t>they</w:t>
      </w:r>
      <w:r>
        <w:rPr>
          <w:spacing w:val="26"/>
        </w:rPr>
        <w:t xml:space="preserve"> </w:t>
      </w:r>
      <w:r>
        <w:t>were</w:t>
      </w:r>
      <w:r>
        <w:rPr>
          <w:spacing w:val="26"/>
        </w:rPr>
        <w:t xml:space="preserve"> </w:t>
      </w:r>
      <w:r>
        <w:t>rotten</w:t>
      </w:r>
      <w:r>
        <w:rPr>
          <w:spacing w:val="26"/>
        </w:rPr>
        <w:t xml:space="preserve"> </w:t>
      </w:r>
      <w:r>
        <w:t>or</w:t>
      </w:r>
      <w:r>
        <w:rPr>
          <w:spacing w:val="26"/>
        </w:rPr>
        <w:t xml:space="preserve"> </w:t>
      </w:r>
      <w:r>
        <w:t>not.</w:t>
      </w:r>
      <w:r>
        <w:rPr>
          <w:spacing w:val="26"/>
        </w:rPr>
        <w:t xml:space="preserve"> </w:t>
      </w:r>
      <w:r>
        <w:t>So,</w:t>
      </w:r>
      <w:r>
        <w:rPr>
          <w:spacing w:val="26"/>
        </w:rPr>
        <w:t xml:space="preserve"> </w:t>
      </w:r>
      <w:r>
        <w:t>for</w:t>
      </w:r>
      <w:r>
        <w:rPr>
          <w:spacing w:val="26"/>
        </w:rPr>
        <w:t xml:space="preserve"> </w:t>
      </w:r>
      <w:r>
        <w:t>example,</w:t>
      </w:r>
      <w:r>
        <w:rPr>
          <w:spacing w:val="26"/>
        </w:rPr>
        <w:t xml:space="preserve"> </w:t>
      </w:r>
      <w:r>
        <w:t>a</w:t>
      </w:r>
    </w:p>
    <w:p w14:paraId="7E001B2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2C" w14:textId="77777777" w:rsidR="009A58DB" w:rsidRDefault="00000000">
      <w:pPr>
        <w:pStyle w:val="BodyText"/>
        <w:spacing w:before="65" w:line="249" w:lineRule="auto"/>
        <w:ind w:right="361"/>
      </w:pPr>
      <w:r>
        <w:lastRenderedPageBreak/>
        <w:t>putrid-smelling</w:t>
      </w:r>
      <w:r>
        <w:rPr>
          <w:spacing w:val="-15"/>
        </w:rPr>
        <w:t xml:space="preserve"> </w:t>
      </w:r>
      <w:r>
        <w:t>cut</w:t>
      </w:r>
      <w:r>
        <w:rPr>
          <w:spacing w:val="-15"/>
        </w:rPr>
        <w:t xml:space="preserve"> </w:t>
      </w:r>
      <w:r>
        <w:t>of</w:t>
      </w:r>
      <w:r>
        <w:rPr>
          <w:spacing w:val="-15"/>
        </w:rPr>
        <w:t xml:space="preserve"> </w:t>
      </w:r>
      <w:r>
        <w:t>meat</w:t>
      </w:r>
      <w:r>
        <w:rPr>
          <w:spacing w:val="-15"/>
        </w:rPr>
        <w:t xml:space="preserve"> </w:t>
      </w:r>
      <w:r>
        <w:t>might</w:t>
      </w:r>
      <w:r>
        <w:rPr>
          <w:spacing w:val="-15"/>
        </w:rPr>
        <w:t xml:space="preserve"> </w:t>
      </w:r>
      <w:r>
        <w:t>or</w:t>
      </w:r>
      <w:r>
        <w:rPr>
          <w:spacing w:val="-15"/>
        </w:rPr>
        <w:t xml:space="preserve"> </w:t>
      </w:r>
      <w:r>
        <w:t>might</w:t>
      </w:r>
      <w:r>
        <w:rPr>
          <w:spacing w:val="-15"/>
        </w:rPr>
        <w:t xml:space="preserve"> </w:t>
      </w:r>
      <w:r>
        <w:t>not</w:t>
      </w:r>
      <w:r>
        <w:rPr>
          <w:spacing w:val="-15"/>
        </w:rPr>
        <w:t xml:space="preserve"> </w:t>
      </w:r>
      <w:r>
        <w:t>be</w:t>
      </w:r>
      <w:r>
        <w:rPr>
          <w:spacing w:val="-15"/>
        </w:rPr>
        <w:t xml:space="preserve"> </w:t>
      </w:r>
      <w:r>
        <w:t>good</w:t>
      </w:r>
      <w:r>
        <w:rPr>
          <w:spacing w:val="-15"/>
        </w:rPr>
        <w:t xml:space="preserve"> </w:t>
      </w:r>
      <w:r>
        <w:t>to</w:t>
      </w:r>
      <w:r>
        <w:rPr>
          <w:spacing w:val="-15"/>
        </w:rPr>
        <w:t xml:space="preserve"> </w:t>
      </w:r>
      <w:r>
        <w:t>eat—its</w:t>
      </w:r>
      <w:r>
        <w:rPr>
          <w:spacing w:val="-15"/>
        </w:rPr>
        <w:t xml:space="preserve"> </w:t>
      </w:r>
      <w:r>
        <w:t>smell</w:t>
      </w:r>
      <w:r>
        <w:rPr>
          <w:spacing w:val="-15"/>
        </w:rPr>
        <w:t xml:space="preserve"> </w:t>
      </w:r>
      <w:r>
        <w:t>would give</w:t>
      </w:r>
      <w:r>
        <w:rPr>
          <w:spacing w:val="-7"/>
        </w:rPr>
        <w:t xml:space="preserve"> </w:t>
      </w:r>
      <w:r>
        <w:t>you</w:t>
      </w:r>
      <w:r>
        <w:rPr>
          <w:spacing w:val="-7"/>
        </w:rPr>
        <w:t xml:space="preserve"> </w:t>
      </w:r>
      <w:r>
        <w:t>no</w:t>
      </w:r>
      <w:r>
        <w:rPr>
          <w:spacing w:val="-7"/>
        </w:rPr>
        <w:t xml:space="preserve"> </w:t>
      </w:r>
      <w:r>
        <w:t>information</w:t>
      </w:r>
      <w:r>
        <w:rPr>
          <w:spacing w:val="-7"/>
        </w:rPr>
        <w:t xml:space="preserve"> </w:t>
      </w:r>
      <w:r>
        <w:t>as</w:t>
      </w:r>
      <w:r>
        <w:rPr>
          <w:spacing w:val="-7"/>
        </w:rPr>
        <w:t xml:space="preserve"> </w:t>
      </w:r>
      <w:r>
        <w:t>to</w:t>
      </w:r>
      <w:r>
        <w:rPr>
          <w:spacing w:val="-7"/>
        </w:rPr>
        <w:t xml:space="preserve"> </w:t>
      </w:r>
      <w:r>
        <w:t>its</w:t>
      </w:r>
      <w:r>
        <w:rPr>
          <w:spacing w:val="-7"/>
        </w:rPr>
        <w:t xml:space="preserve"> </w:t>
      </w:r>
      <w:r>
        <w:t>fitness</w:t>
      </w:r>
      <w:r>
        <w:rPr>
          <w:spacing w:val="-7"/>
        </w:rPr>
        <w:t xml:space="preserve"> </w:t>
      </w:r>
      <w:r>
        <w:t>as</w:t>
      </w:r>
      <w:r>
        <w:rPr>
          <w:spacing w:val="-7"/>
        </w:rPr>
        <w:t xml:space="preserve"> </w:t>
      </w:r>
      <w:r>
        <w:t>a</w:t>
      </w:r>
      <w:r>
        <w:rPr>
          <w:spacing w:val="-7"/>
        </w:rPr>
        <w:t xml:space="preserve"> </w:t>
      </w:r>
      <w:r>
        <w:t>source</w:t>
      </w:r>
      <w:r>
        <w:rPr>
          <w:spacing w:val="-7"/>
        </w:rPr>
        <w:t xml:space="preserve"> </w:t>
      </w:r>
      <w:r>
        <w:t>of</w:t>
      </w:r>
      <w:r>
        <w:rPr>
          <w:spacing w:val="-7"/>
        </w:rPr>
        <w:t xml:space="preserve"> </w:t>
      </w:r>
      <w:r>
        <w:t>nourishment—the</w:t>
      </w:r>
      <w:r>
        <w:rPr>
          <w:spacing w:val="-7"/>
        </w:rPr>
        <w:t xml:space="preserve"> </w:t>
      </w:r>
      <w:r>
        <w:t>same being</w:t>
      </w:r>
      <w:r>
        <w:rPr>
          <w:spacing w:val="-15"/>
        </w:rPr>
        <w:t xml:space="preserve"> </w:t>
      </w:r>
      <w:r>
        <w:t>true</w:t>
      </w:r>
      <w:r>
        <w:rPr>
          <w:spacing w:val="-15"/>
        </w:rPr>
        <w:t xml:space="preserve"> </w:t>
      </w:r>
      <w:r>
        <w:t>of</w:t>
      </w:r>
      <w:r>
        <w:rPr>
          <w:spacing w:val="-15"/>
        </w:rPr>
        <w:t xml:space="preserve"> </w:t>
      </w:r>
      <w:r>
        <w:t>a</w:t>
      </w:r>
      <w:r>
        <w:rPr>
          <w:spacing w:val="-15"/>
        </w:rPr>
        <w:t xml:space="preserve"> </w:t>
      </w:r>
      <w:r>
        <w:t>wholesome-smelling</w:t>
      </w:r>
      <w:r>
        <w:rPr>
          <w:spacing w:val="-15"/>
        </w:rPr>
        <w:t xml:space="preserve"> </w:t>
      </w:r>
      <w:r>
        <w:t>cut</w:t>
      </w:r>
      <w:r>
        <w:rPr>
          <w:spacing w:val="-15"/>
        </w:rPr>
        <w:t xml:space="preserve"> </w:t>
      </w:r>
      <w:r>
        <w:t>of</w:t>
      </w:r>
      <w:r>
        <w:rPr>
          <w:spacing w:val="-15"/>
        </w:rPr>
        <w:t xml:space="preserve"> </w:t>
      </w:r>
      <w:r>
        <w:t>meat.</w:t>
      </w:r>
      <w:r>
        <w:rPr>
          <w:spacing w:val="-15"/>
        </w:rPr>
        <w:t xml:space="preserve"> </w:t>
      </w:r>
      <w:r>
        <w:t>In</w:t>
      </w:r>
      <w:r>
        <w:rPr>
          <w:spacing w:val="-15"/>
        </w:rPr>
        <w:t xml:space="preserve"> </w:t>
      </w:r>
      <w:r>
        <w:t>general,</w:t>
      </w:r>
      <w:r>
        <w:rPr>
          <w:spacing w:val="-15"/>
        </w:rPr>
        <w:t xml:space="preserve"> </w:t>
      </w:r>
      <w:r>
        <w:t>we</w:t>
      </w:r>
      <w:r>
        <w:rPr>
          <w:spacing w:val="-15"/>
        </w:rPr>
        <w:t xml:space="preserve"> </w:t>
      </w:r>
      <w:r>
        <w:t>wouldn’t</w:t>
      </w:r>
      <w:r>
        <w:rPr>
          <w:spacing w:val="-15"/>
        </w:rPr>
        <w:t xml:space="preserve"> </w:t>
      </w:r>
      <w:r>
        <w:t xml:space="preserve">know anything about an object’s causal properties from the way it smelled. But we </w:t>
      </w:r>
      <w:r>
        <w:rPr>
          <w:spacing w:val="-2"/>
        </w:rPr>
        <w:t>often</w:t>
      </w:r>
      <w:r>
        <w:rPr>
          <w:spacing w:val="-14"/>
        </w:rPr>
        <w:t xml:space="preserve"> </w:t>
      </w:r>
      <w:r>
        <w:rPr>
          <w:spacing w:val="-2"/>
        </w:rPr>
        <w:t>know</w:t>
      </w:r>
      <w:r>
        <w:rPr>
          <w:spacing w:val="-14"/>
        </w:rPr>
        <w:t xml:space="preserve"> </w:t>
      </w:r>
      <w:r>
        <w:rPr>
          <w:spacing w:val="-2"/>
        </w:rPr>
        <w:t>a</w:t>
      </w:r>
      <w:r>
        <w:rPr>
          <w:spacing w:val="-14"/>
        </w:rPr>
        <w:t xml:space="preserve"> </w:t>
      </w:r>
      <w:r>
        <w:rPr>
          <w:spacing w:val="-2"/>
        </w:rPr>
        <w:t>lot</w:t>
      </w:r>
      <w:r>
        <w:rPr>
          <w:spacing w:val="-15"/>
        </w:rPr>
        <w:t xml:space="preserve"> </w:t>
      </w:r>
      <w:r>
        <w:rPr>
          <w:spacing w:val="-2"/>
        </w:rPr>
        <w:t>about</w:t>
      </w:r>
      <w:r>
        <w:rPr>
          <w:spacing w:val="-14"/>
        </w:rPr>
        <w:t xml:space="preserve"> </w:t>
      </w:r>
      <w:r>
        <w:rPr>
          <w:spacing w:val="-2"/>
        </w:rPr>
        <w:t>a</w:t>
      </w:r>
      <w:r>
        <w:rPr>
          <w:spacing w:val="-14"/>
        </w:rPr>
        <w:t xml:space="preserve"> </w:t>
      </w:r>
      <w:r>
        <w:rPr>
          <w:spacing w:val="-2"/>
        </w:rPr>
        <w:t>thing’s</w:t>
      </w:r>
      <w:r>
        <w:rPr>
          <w:spacing w:val="-14"/>
        </w:rPr>
        <w:t xml:space="preserve"> </w:t>
      </w:r>
      <w:r>
        <w:rPr>
          <w:spacing w:val="-2"/>
        </w:rPr>
        <w:t>causal</w:t>
      </w:r>
      <w:r>
        <w:rPr>
          <w:spacing w:val="-14"/>
        </w:rPr>
        <w:t xml:space="preserve"> </w:t>
      </w:r>
      <w:r>
        <w:rPr>
          <w:spacing w:val="-2"/>
        </w:rPr>
        <w:t>properties</w:t>
      </w:r>
      <w:r>
        <w:rPr>
          <w:spacing w:val="-14"/>
        </w:rPr>
        <w:t xml:space="preserve"> </w:t>
      </w:r>
      <w:r>
        <w:rPr>
          <w:spacing w:val="-2"/>
        </w:rPr>
        <w:t>from</w:t>
      </w:r>
      <w:r>
        <w:rPr>
          <w:spacing w:val="-14"/>
        </w:rPr>
        <w:t xml:space="preserve"> </w:t>
      </w:r>
      <w:r>
        <w:rPr>
          <w:spacing w:val="-2"/>
        </w:rPr>
        <w:t>the</w:t>
      </w:r>
      <w:r>
        <w:rPr>
          <w:spacing w:val="-14"/>
        </w:rPr>
        <w:t xml:space="preserve"> </w:t>
      </w:r>
      <w:r>
        <w:rPr>
          <w:spacing w:val="-2"/>
        </w:rPr>
        <w:t>way</w:t>
      </w:r>
      <w:r>
        <w:rPr>
          <w:spacing w:val="-14"/>
        </w:rPr>
        <w:t xml:space="preserve"> </w:t>
      </w:r>
      <w:r>
        <w:rPr>
          <w:spacing w:val="-2"/>
        </w:rPr>
        <w:t>it</w:t>
      </w:r>
      <w:r>
        <w:rPr>
          <w:spacing w:val="-14"/>
        </w:rPr>
        <w:t xml:space="preserve"> </w:t>
      </w:r>
      <w:r>
        <w:rPr>
          <w:spacing w:val="-2"/>
        </w:rPr>
        <w:t>smells.</w:t>
      </w:r>
      <w:r>
        <w:rPr>
          <w:spacing w:val="-14"/>
        </w:rPr>
        <w:t xml:space="preserve"> </w:t>
      </w:r>
      <w:r>
        <w:rPr>
          <w:spacing w:val="-2"/>
        </w:rPr>
        <w:t xml:space="preserve">Smells </w:t>
      </w:r>
      <w:r>
        <w:t>correlate</w:t>
      </w:r>
      <w:r>
        <w:rPr>
          <w:spacing w:val="-19"/>
        </w:rPr>
        <w:t xml:space="preserve"> </w:t>
      </w:r>
      <w:r>
        <w:rPr>
          <w:i/>
        </w:rPr>
        <w:t>extremely</w:t>
      </w:r>
      <w:r>
        <w:rPr>
          <w:i/>
          <w:spacing w:val="-19"/>
        </w:rPr>
        <w:t xml:space="preserve"> </w:t>
      </w:r>
      <w:r>
        <w:t>reliably</w:t>
      </w:r>
      <w:r>
        <w:rPr>
          <w:spacing w:val="-19"/>
        </w:rPr>
        <w:t xml:space="preserve"> </w:t>
      </w:r>
      <w:r>
        <w:t>with</w:t>
      </w:r>
      <w:r>
        <w:rPr>
          <w:spacing w:val="-18"/>
        </w:rPr>
        <w:t xml:space="preserve"> </w:t>
      </w:r>
      <w:r>
        <w:t>certain</w:t>
      </w:r>
      <w:r>
        <w:rPr>
          <w:spacing w:val="-19"/>
        </w:rPr>
        <w:t xml:space="preserve"> </w:t>
      </w:r>
      <w:r>
        <w:t>causal</w:t>
      </w:r>
      <w:r>
        <w:rPr>
          <w:spacing w:val="-19"/>
        </w:rPr>
        <w:t xml:space="preserve"> </w:t>
      </w:r>
      <w:r>
        <w:t>features</w:t>
      </w:r>
      <w:r>
        <w:rPr>
          <w:spacing w:val="-18"/>
        </w:rPr>
        <w:t xml:space="preserve"> </w:t>
      </w:r>
      <w:r>
        <w:t>of</w:t>
      </w:r>
      <w:r>
        <w:rPr>
          <w:spacing w:val="-13"/>
        </w:rPr>
        <w:t xml:space="preserve"> </w:t>
      </w:r>
      <w:r>
        <w:t xml:space="preserve">objects—sometimes </w:t>
      </w:r>
      <w:r>
        <w:rPr>
          <w:spacing w:val="-2"/>
        </w:rPr>
        <w:t>much</w:t>
      </w:r>
      <w:r>
        <w:rPr>
          <w:spacing w:val="-17"/>
        </w:rPr>
        <w:t xml:space="preserve"> </w:t>
      </w:r>
      <w:r>
        <w:rPr>
          <w:spacing w:val="-2"/>
        </w:rPr>
        <w:t>more</w:t>
      </w:r>
      <w:r>
        <w:rPr>
          <w:spacing w:val="-17"/>
        </w:rPr>
        <w:t xml:space="preserve"> </w:t>
      </w:r>
      <w:r>
        <w:rPr>
          <w:spacing w:val="-2"/>
        </w:rPr>
        <w:t>reliably</w:t>
      </w:r>
      <w:r>
        <w:rPr>
          <w:spacing w:val="-17"/>
        </w:rPr>
        <w:t xml:space="preserve"> </w:t>
      </w:r>
      <w:r>
        <w:rPr>
          <w:spacing w:val="-2"/>
        </w:rPr>
        <w:t>than</w:t>
      </w:r>
      <w:r>
        <w:rPr>
          <w:spacing w:val="-16"/>
        </w:rPr>
        <w:t xml:space="preserve"> </w:t>
      </w:r>
      <w:r>
        <w:rPr>
          <w:spacing w:val="-2"/>
        </w:rPr>
        <w:t>other</w:t>
      </w:r>
      <w:r>
        <w:rPr>
          <w:spacing w:val="-17"/>
        </w:rPr>
        <w:t xml:space="preserve"> </w:t>
      </w:r>
      <w:r>
        <w:rPr>
          <w:spacing w:val="-2"/>
        </w:rPr>
        <w:t>properties.</w:t>
      </w:r>
      <w:r>
        <w:rPr>
          <w:spacing w:val="-17"/>
        </w:rPr>
        <w:t xml:space="preserve"> </w:t>
      </w:r>
      <w:r>
        <w:rPr>
          <w:spacing w:val="-2"/>
        </w:rPr>
        <w:t>Sometimes</w:t>
      </w:r>
      <w:r>
        <w:rPr>
          <w:spacing w:val="-17"/>
        </w:rPr>
        <w:t xml:space="preserve"> </w:t>
      </w:r>
      <w:r>
        <w:rPr>
          <w:spacing w:val="-2"/>
        </w:rPr>
        <w:t>the</w:t>
      </w:r>
      <w:r>
        <w:rPr>
          <w:spacing w:val="-16"/>
        </w:rPr>
        <w:t xml:space="preserve"> </w:t>
      </w:r>
      <w:r>
        <w:rPr>
          <w:spacing w:val="-2"/>
        </w:rPr>
        <w:t>way</w:t>
      </w:r>
      <w:r>
        <w:rPr>
          <w:spacing w:val="-17"/>
        </w:rPr>
        <w:t xml:space="preserve"> </w:t>
      </w:r>
      <w:r>
        <w:rPr>
          <w:spacing w:val="-2"/>
        </w:rPr>
        <w:t>thing</w:t>
      </w:r>
      <w:r>
        <w:rPr>
          <w:spacing w:val="-17"/>
        </w:rPr>
        <w:t xml:space="preserve"> </w:t>
      </w:r>
      <w:r>
        <w:rPr>
          <w:spacing w:val="-2"/>
        </w:rPr>
        <w:t>smells</w:t>
      </w:r>
      <w:r>
        <w:rPr>
          <w:spacing w:val="-17"/>
        </w:rPr>
        <w:t xml:space="preserve"> </w:t>
      </w:r>
      <w:r>
        <w:rPr>
          <w:spacing w:val="-2"/>
        </w:rPr>
        <w:t>is</w:t>
      </w:r>
      <w:r>
        <w:rPr>
          <w:spacing w:val="-16"/>
        </w:rPr>
        <w:t xml:space="preserve"> </w:t>
      </w:r>
      <w:r>
        <w:rPr>
          <w:spacing w:val="-2"/>
        </w:rPr>
        <w:t>the only</w:t>
      </w:r>
      <w:r>
        <w:rPr>
          <w:spacing w:val="-13"/>
        </w:rPr>
        <w:t xml:space="preserve"> </w:t>
      </w:r>
      <w:r>
        <w:rPr>
          <w:spacing w:val="-2"/>
        </w:rPr>
        <w:t>indication</w:t>
      </w:r>
      <w:r>
        <w:rPr>
          <w:spacing w:val="-13"/>
        </w:rPr>
        <w:t xml:space="preserve"> </w:t>
      </w:r>
      <w:r>
        <w:rPr>
          <w:spacing w:val="-2"/>
        </w:rPr>
        <w:t>(short</w:t>
      </w:r>
      <w:r>
        <w:rPr>
          <w:spacing w:val="-13"/>
        </w:rPr>
        <w:t xml:space="preserve"> </w:t>
      </w:r>
      <w:r>
        <w:rPr>
          <w:spacing w:val="-2"/>
        </w:rPr>
        <w:t>of</w:t>
      </w:r>
      <w:r>
        <w:rPr>
          <w:spacing w:val="-13"/>
        </w:rPr>
        <w:t xml:space="preserve"> </w:t>
      </w:r>
      <w:r>
        <w:rPr>
          <w:spacing w:val="-2"/>
        </w:rPr>
        <w:t>eating</w:t>
      </w:r>
      <w:r>
        <w:rPr>
          <w:spacing w:val="-13"/>
        </w:rPr>
        <w:t xml:space="preserve"> </w:t>
      </w:r>
      <w:r>
        <w:rPr>
          <w:spacing w:val="-2"/>
        </w:rPr>
        <w:t>it</w:t>
      </w:r>
      <w:r>
        <w:rPr>
          <w:spacing w:val="-13"/>
        </w:rPr>
        <w:t xml:space="preserve"> </w:t>
      </w:r>
      <w:r>
        <w:rPr>
          <w:spacing w:val="-2"/>
        </w:rPr>
        <w:t>or</w:t>
      </w:r>
      <w:r>
        <w:rPr>
          <w:spacing w:val="-13"/>
        </w:rPr>
        <w:t xml:space="preserve"> </w:t>
      </w:r>
      <w:r>
        <w:rPr>
          <w:spacing w:val="-2"/>
        </w:rPr>
        <w:t>sending</w:t>
      </w:r>
      <w:r>
        <w:rPr>
          <w:spacing w:val="-13"/>
        </w:rPr>
        <w:t xml:space="preserve"> </w:t>
      </w:r>
      <w:r>
        <w:rPr>
          <w:spacing w:val="-2"/>
        </w:rPr>
        <w:t>it</w:t>
      </w:r>
      <w:r>
        <w:rPr>
          <w:spacing w:val="-13"/>
        </w:rPr>
        <w:t xml:space="preserve"> </w:t>
      </w:r>
      <w:r>
        <w:rPr>
          <w:spacing w:val="-2"/>
        </w:rPr>
        <w:t>to</w:t>
      </w:r>
      <w:r>
        <w:rPr>
          <w:spacing w:val="-13"/>
        </w:rPr>
        <w:t xml:space="preserve"> </w:t>
      </w:r>
      <w:r>
        <w:rPr>
          <w:spacing w:val="-2"/>
        </w:rPr>
        <w:t>a</w:t>
      </w:r>
      <w:r>
        <w:rPr>
          <w:spacing w:val="-12"/>
        </w:rPr>
        <w:t xml:space="preserve"> </w:t>
      </w:r>
      <w:r>
        <w:rPr>
          <w:spacing w:val="-2"/>
        </w:rPr>
        <w:t>toxicology</w:t>
      </w:r>
      <w:r>
        <w:rPr>
          <w:spacing w:val="-12"/>
        </w:rPr>
        <w:t xml:space="preserve"> </w:t>
      </w:r>
      <w:r>
        <w:rPr>
          <w:spacing w:val="-2"/>
        </w:rPr>
        <w:t>lab)</w:t>
      </w:r>
      <w:r>
        <w:rPr>
          <w:spacing w:val="-12"/>
        </w:rPr>
        <w:t xml:space="preserve"> </w:t>
      </w:r>
      <w:r>
        <w:rPr>
          <w:spacing w:val="-2"/>
        </w:rPr>
        <w:t>that</w:t>
      </w:r>
      <w:r>
        <w:rPr>
          <w:spacing w:val="-12"/>
        </w:rPr>
        <w:t xml:space="preserve"> </w:t>
      </w:r>
      <w:r>
        <w:rPr>
          <w:spacing w:val="-2"/>
        </w:rPr>
        <w:t>it’s</w:t>
      </w:r>
      <w:r>
        <w:rPr>
          <w:spacing w:val="-12"/>
        </w:rPr>
        <w:t xml:space="preserve"> </w:t>
      </w:r>
      <w:r>
        <w:rPr>
          <w:spacing w:val="-2"/>
        </w:rPr>
        <w:t xml:space="preserve">laced </w:t>
      </w:r>
      <w:r>
        <w:t>with</w:t>
      </w:r>
      <w:r>
        <w:rPr>
          <w:spacing w:val="-8"/>
        </w:rPr>
        <w:t xml:space="preserve"> </w:t>
      </w:r>
      <w:r>
        <w:t>poison</w:t>
      </w:r>
      <w:r>
        <w:rPr>
          <w:spacing w:val="-8"/>
        </w:rPr>
        <w:t xml:space="preserve"> </w:t>
      </w:r>
      <w:r>
        <w:t>or</w:t>
      </w:r>
      <w:r>
        <w:rPr>
          <w:spacing w:val="-9"/>
        </w:rPr>
        <w:t xml:space="preserve"> </w:t>
      </w:r>
      <w:r>
        <w:t>that</w:t>
      </w:r>
      <w:r>
        <w:rPr>
          <w:spacing w:val="-9"/>
        </w:rPr>
        <w:t xml:space="preserve"> </w:t>
      </w:r>
      <w:r>
        <w:t>it’s</w:t>
      </w:r>
      <w:r>
        <w:rPr>
          <w:spacing w:val="-8"/>
        </w:rPr>
        <w:t xml:space="preserve"> </w:t>
      </w:r>
      <w:r>
        <w:t>completely</w:t>
      </w:r>
      <w:r>
        <w:rPr>
          <w:spacing w:val="-8"/>
        </w:rPr>
        <w:t xml:space="preserve"> </w:t>
      </w:r>
      <w:r>
        <w:t>rotten.</w:t>
      </w:r>
    </w:p>
    <w:p w14:paraId="7E001B2D" w14:textId="77777777" w:rsidR="009A58DB" w:rsidRDefault="00000000">
      <w:pPr>
        <w:pStyle w:val="BodyText"/>
        <w:spacing w:before="11" w:line="249" w:lineRule="auto"/>
        <w:ind w:right="364" w:firstLine="360"/>
      </w:pPr>
      <w:r>
        <w:t>Smells track primary properties; they track facts about microstructure that would</w:t>
      </w:r>
      <w:r>
        <w:rPr>
          <w:spacing w:val="-6"/>
        </w:rPr>
        <w:t xml:space="preserve"> </w:t>
      </w:r>
      <w:r>
        <w:t>otherwise</w:t>
      </w:r>
      <w:r>
        <w:rPr>
          <w:spacing w:val="-6"/>
        </w:rPr>
        <w:t xml:space="preserve"> </w:t>
      </w:r>
      <w:r>
        <w:t>be</w:t>
      </w:r>
      <w:r>
        <w:rPr>
          <w:spacing w:val="-6"/>
        </w:rPr>
        <w:t xml:space="preserve"> </w:t>
      </w:r>
      <w:r>
        <w:t>hard</w:t>
      </w:r>
      <w:r>
        <w:rPr>
          <w:spacing w:val="-6"/>
        </w:rPr>
        <w:t xml:space="preserve"> </w:t>
      </w:r>
      <w:r>
        <w:t>to</w:t>
      </w:r>
      <w:r>
        <w:rPr>
          <w:spacing w:val="-6"/>
        </w:rPr>
        <w:t xml:space="preserve"> </w:t>
      </w:r>
      <w:r>
        <w:t>detect.</w:t>
      </w:r>
      <w:r>
        <w:rPr>
          <w:spacing w:val="-6"/>
        </w:rPr>
        <w:t xml:space="preserve"> </w:t>
      </w:r>
      <w:r>
        <w:t>If</w:t>
      </w:r>
      <w:r>
        <w:rPr>
          <w:spacing w:val="-5"/>
        </w:rPr>
        <w:t xml:space="preserve"> </w:t>
      </w:r>
      <w:r>
        <w:t>a</w:t>
      </w:r>
      <w:r>
        <w:rPr>
          <w:spacing w:val="-5"/>
        </w:rPr>
        <w:t xml:space="preserve"> </w:t>
      </w:r>
      <w:r>
        <w:t>police-detective</w:t>
      </w:r>
      <w:r>
        <w:rPr>
          <w:spacing w:val="-5"/>
        </w:rPr>
        <w:t xml:space="preserve"> </w:t>
      </w:r>
      <w:r>
        <w:t>suspects</w:t>
      </w:r>
      <w:r>
        <w:rPr>
          <w:spacing w:val="-5"/>
        </w:rPr>
        <w:t xml:space="preserve"> </w:t>
      </w:r>
      <w:r>
        <w:t>that</w:t>
      </w:r>
      <w:r>
        <w:rPr>
          <w:spacing w:val="-6"/>
        </w:rPr>
        <w:t xml:space="preserve"> </w:t>
      </w:r>
      <w:r>
        <w:t>X</w:t>
      </w:r>
      <w:r>
        <w:rPr>
          <w:spacing w:val="-6"/>
        </w:rPr>
        <w:t xml:space="preserve"> </w:t>
      </w:r>
      <w:r>
        <w:t>is</w:t>
      </w:r>
      <w:r>
        <w:rPr>
          <w:spacing w:val="-5"/>
        </w:rPr>
        <w:t xml:space="preserve"> </w:t>
      </w:r>
      <w:r>
        <w:t>pure cocaine, he can verify his hypothesis by (i) snorting X, which would have various adverse consequences, (ii) sending X to a forensics laboratory, which would</w:t>
      </w:r>
      <w:r>
        <w:rPr>
          <w:spacing w:val="-17"/>
        </w:rPr>
        <w:t xml:space="preserve"> </w:t>
      </w:r>
      <w:r>
        <w:t>be</w:t>
      </w:r>
      <w:r>
        <w:rPr>
          <w:spacing w:val="-17"/>
        </w:rPr>
        <w:t xml:space="preserve"> </w:t>
      </w:r>
      <w:r>
        <w:t>extremely</w:t>
      </w:r>
      <w:r>
        <w:rPr>
          <w:spacing w:val="-17"/>
        </w:rPr>
        <w:t xml:space="preserve"> </w:t>
      </w:r>
      <w:r>
        <w:t>slow,</w:t>
      </w:r>
      <w:r>
        <w:rPr>
          <w:spacing w:val="-17"/>
        </w:rPr>
        <w:t xml:space="preserve"> </w:t>
      </w:r>
      <w:r>
        <w:t>or</w:t>
      </w:r>
      <w:r>
        <w:rPr>
          <w:spacing w:val="-18"/>
        </w:rPr>
        <w:t xml:space="preserve"> </w:t>
      </w:r>
      <w:r>
        <w:t>(iii)</w:t>
      </w:r>
      <w:r>
        <w:rPr>
          <w:spacing w:val="-18"/>
        </w:rPr>
        <w:t xml:space="preserve"> </w:t>
      </w:r>
      <w:r>
        <w:t>tasting</w:t>
      </w:r>
      <w:r>
        <w:rPr>
          <w:spacing w:val="-17"/>
        </w:rPr>
        <w:t xml:space="preserve"> </w:t>
      </w:r>
      <w:r>
        <w:t>it,</w:t>
      </w:r>
      <w:r>
        <w:rPr>
          <w:spacing w:val="-17"/>
        </w:rPr>
        <w:t xml:space="preserve"> </w:t>
      </w:r>
      <w:r>
        <w:t>which</w:t>
      </w:r>
      <w:r>
        <w:rPr>
          <w:spacing w:val="-17"/>
        </w:rPr>
        <w:t xml:space="preserve"> </w:t>
      </w:r>
      <w:r>
        <w:t>would</w:t>
      </w:r>
      <w:r>
        <w:rPr>
          <w:spacing w:val="-17"/>
        </w:rPr>
        <w:t xml:space="preserve"> </w:t>
      </w:r>
      <w:r>
        <w:t>be</w:t>
      </w:r>
      <w:r>
        <w:rPr>
          <w:spacing w:val="-17"/>
        </w:rPr>
        <w:t xml:space="preserve"> </w:t>
      </w:r>
      <w:r>
        <w:t>quick</w:t>
      </w:r>
      <w:r>
        <w:rPr>
          <w:spacing w:val="-17"/>
        </w:rPr>
        <w:t xml:space="preserve"> </w:t>
      </w:r>
      <w:r>
        <w:t>and</w:t>
      </w:r>
      <w:r>
        <w:rPr>
          <w:spacing w:val="-17"/>
        </w:rPr>
        <w:t xml:space="preserve"> </w:t>
      </w:r>
      <w:r>
        <w:t>easy.</w:t>
      </w:r>
    </w:p>
    <w:p w14:paraId="7E001B2E" w14:textId="77777777" w:rsidR="009A58DB" w:rsidRDefault="00000000">
      <w:pPr>
        <w:pStyle w:val="BodyText"/>
        <w:spacing w:before="6" w:line="249" w:lineRule="auto"/>
        <w:ind w:right="365" w:firstLine="360"/>
      </w:pPr>
      <w:r>
        <w:t>A</w:t>
      </w:r>
      <w:r>
        <w:rPr>
          <w:spacing w:val="-2"/>
        </w:rPr>
        <w:t xml:space="preserve"> </w:t>
      </w:r>
      <w:r>
        <w:t xml:space="preserve">relevant fact about method (ii) is that many scientific techniques would have been impossible to develop had there not been reliable correlations </w:t>
      </w:r>
      <w:r>
        <w:rPr>
          <w:spacing w:val="-2"/>
        </w:rPr>
        <w:t>between</w:t>
      </w:r>
      <w:r>
        <w:rPr>
          <w:spacing w:val="-17"/>
        </w:rPr>
        <w:t xml:space="preserve"> </w:t>
      </w:r>
      <w:r>
        <w:rPr>
          <w:spacing w:val="-2"/>
        </w:rPr>
        <w:t>microstructure</w:t>
      </w:r>
      <w:r>
        <w:rPr>
          <w:spacing w:val="-17"/>
        </w:rPr>
        <w:t xml:space="preserve"> </w:t>
      </w:r>
      <w:r>
        <w:rPr>
          <w:spacing w:val="-2"/>
        </w:rPr>
        <w:t>and</w:t>
      </w:r>
      <w:r>
        <w:rPr>
          <w:spacing w:val="-16"/>
        </w:rPr>
        <w:t xml:space="preserve"> </w:t>
      </w:r>
      <w:r>
        <w:rPr>
          <w:spacing w:val="-2"/>
        </w:rPr>
        <w:t>odor.</w:t>
      </w:r>
      <w:r>
        <w:rPr>
          <w:spacing w:val="-17"/>
        </w:rPr>
        <w:t xml:space="preserve"> </w:t>
      </w:r>
      <w:r>
        <w:rPr>
          <w:spacing w:val="-2"/>
        </w:rPr>
        <w:t>This</w:t>
      </w:r>
      <w:r>
        <w:rPr>
          <w:spacing w:val="-15"/>
        </w:rPr>
        <w:t xml:space="preserve"> </w:t>
      </w:r>
      <w:r>
        <w:rPr>
          <w:spacing w:val="-2"/>
        </w:rPr>
        <w:t>is</w:t>
      </w:r>
      <w:r>
        <w:rPr>
          <w:spacing w:val="-16"/>
        </w:rPr>
        <w:t xml:space="preserve"> </w:t>
      </w:r>
      <w:r>
        <w:rPr>
          <w:spacing w:val="-2"/>
        </w:rPr>
        <w:t>true</w:t>
      </w:r>
      <w:r>
        <w:rPr>
          <w:spacing w:val="-16"/>
        </w:rPr>
        <w:t xml:space="preserve"> </w:t>
      </w:r>
      <w:r>
        <w:rPr>
          <w:spacing w:val="-2"/>
        </w:rPr>
        <w:t>of</w:t>
      </w:r>
      <w:r>
        <w:rPr>
          <w:spacing w:val="-17"/>
        </w:rPr>
        <w:t xml:space="preserve"> </w:t>
      </w:r>
      <w:r>
        <w:rPr>
          <w:spacing w:val="-2"/>
        </w:rPr>
        <w:t>secondary</w:t>
      </w:r>
      <w:r>
        <w:rPr>
          <w:spacing w:val="-15"/>
        </w:rPr>
        <w:t xml:space="preserve"> </w:t>
      </w:r>
      <w:r>
        <w:rPr>
          <w:spacing w:val="-2"/>
        </w:rPr>
        <w:t>properties</w:t>
      </w:r>
      <w:r>
        <w:rPr>
          <w:spacing w:val="-16"/>
        </w:rPr>
        <w:t xml:space="preserve"> </w:t>
      </w:r>
      <w:r>
        <w:rPr>
          <w:spacing w:val="-2"/>
        </w:rPr>
        <w:t>generally.</w:t>
      </w:r>
    </w:p>
    <w:p w14:paraId="7E001B2F" w14:textId="77777777" w:rsidR="009A58DB" w:rsidRDefault="00000000">
      <w:pPr>
        <w:pStyle w:val="BodyText"/>
        <w:spacing w:before="4" w:line="249" w:lineRule="auto"/>
        <w:ind w:right="359" w:firstLine="360"/>
      </w:pPr>
      <w:r>
        <w:t>There</w:t>
      </w:r>
      <w:r>
        <w:rPr>
          <w:spacing w:val="-19"/>
        </w:rPr>
        <w:t xml:space="preserve"> </w:t>
      </w:r>
      <w:r>
        <w:t>are</w:t>
      </w:r>
      <w:r>
        <w:rPr>
          <w:spacing w:val="-4"/>
        </w:rPr>
        <w:t xml:space="preserve"> </w:t>
      </w:r>
      <w:r>
        <w:t>some</w:t>
      </w:r>
      <w:r>
        <w:rPr>
          <w:spacing w:val="-19"/>
        </w:rPr>
        <w:t xml:space="preserve"> </w:t>
      </w:r>
      <w:r>
        <w:rPr>
          <w:i/>
        </w:rPr>
        <w:t>apparent</w:t>
      </w:r>
      <w:r>
        <w:rPr>
          <w:i/>
          <w:spacing w:val="-19"/>
        </w:rPr>
        <w:t xml:space="preserve"> </w:t>
      </w:r>
      <w:r>
        <w:t>counterexamples</w:t>
      </w:r>
      <w:r>
        <w:rPr>
          <w:spacing w:val="-7"/>
        </w:rPr>
        <w:t xml:space="preserve"> </w:t>
      </w:r>
      <w:r>
        <w:t>to</w:t>
      </w:r>
      <w:r>
        <w:rPr>
          <w:spacing w:val="-7"/>
        </w:rPr>
        <w:t xml:space="preserve"> </w:t>
      </w:r>
      <w:r>
        <w:t>our</w:t>
      </w:r>
      <w:r>
        <w:rPr>
          <w:spacing w:val="-8"/>
        </w:rPr>
        <w:t xml:space="preserve"> </w:t>
      </w:r>
      <w:r>
        <w:t>contention</w:t>
      </w:r>
      <w:r>
        <w:rPr>
          <w:spacing w:val="-7"/>
        </w:rPr>
        <w:t xml:space="preserve"> </w:t>
      </w:r>
      <w:r>
        <w:t>that</w:t>
      </w:r>
      <w:r>
        <w:rPr>
          <w:spacing w:val="-8"/>
        </w:rPr>
        <w:t xml:space="preserve"> </w:t>
      </w:r>
      <w:r>
        <w:t>secondary properties</w:t>
      </w:r>
      <w:r>
        <w:rPr>
          <w:spacing w:val="-1"/>
        </w:rPr>
        <w:t xml:space="preserve"> </w:t>
      </w:r>
      <w:r>
        <w:t>track</w:t>
      </w:r>
      <w:r>
        <w:rPr>
          <w:spacing w:val="-1"/>
        </w:rPr>
        <w:t xml:space="preserve"> </w:t>
      </w:r>
      <w:r>
        <w:t>microstructure.</w:t>
      </w:r>
      <w:r>
        <w:rPr>
          <w:spacing w:val="-1"/>
        </w:rPr>
        <w:t xml:space="preserve"> </w:t>
      </w:r>
      <w:r>
        <w:t>For example, a thing’s color doesn’t</w:t>
      </w:r>
      <w:r>
        <w:rPr>
          <w:spacing w:val="-1"/>
        </w:rPr>
        <w:t xml:space="preserve"> </w:t>
      </w:r>
      <w:r>
        <w:t>correlate reliably with its microstructure. From far away, the ocean water looks black; from up close it’s transparent. Locke concluded from this that secondary properties are subjective.</w:t>
      </w:r>
    </w:p>
    <w:p w14:paraId="7E001B30" w14:textId="77777777" w:rsidR="009A58DB" w:rsidRDefault="00000000">
      <w:pPr>
        <w:pStyle w:val="BodyText"/>
        <w:spacing w:before="6" w:line="249" w:lineRule="auto"/>
        <w:ind w:right="358" w:firstLine="360"/>
      </w:pPr>
      <w:r>
        <w:t>But this is not the only conclusion to draw.</w:t>
      </w:r>
      <w:r>
        <w:rPr>
          <w:spacing w:val="-9"/>
        </w:rPr>
        <w:t xml:space="preserve"> </w:t>
      </w:r>
      <w:r>
        <w:t>An object’s apparent color is a function</w:t>
      </w:r>
      <w:r>
        <w:rPr>
          <w:spacing w:val="-19"/>
        </w:rPr>
        <w:t xml:space="preserve"> </w:t>
      </w:r>
      <w:r>
        <w:rPr>
          <w:i/>
          <w:spacing w:val="11"/>
        </w:rPr>
        <w:t>both</w:t>
      </w:r>
      <w:r>
        <w:rPr>
          <w:i/>
          <w:spacing w:val="-19"/>
        </w:rPr>
        <w:t xml:space="preserve"> </w:t>
      </w:r>
      <w:r>
        <w:t>of</w:t>
      </w:r>
      <w:r>
        <w:rPr>
          <w:spacing w:val="40"/>
        </w:rPr>
        <w:t xml:space="preserve"> </w:t>
      </w:r>
      <w:r>
        <w:t>that</w:t>
      </w:r>
      <w:r>
        <w:rPr>
          <w:spacing w:val="40"/>
        </w:rPr>
        <w:t xml:space="preserve"> </w:t>
      </w:r>
      <w:r>
        <w:t>object’s</w:t>
      </w:r>
      <w:r>
        <w:rPr>
          <w:spacing w:val="40"/>
        </w:rPr>
        <w:t xml:space="preserve"> </w:t>
      </w:r>
      <w:r>
        <w:t>microstructure</w:t>
      </w:r>
      <w:r>
        <w:rPr>
          <w:spacing w:val="-19"/>
        </w:rPr>
        <w:t xml:space="preserve"> </w:t>
      </w:r>
      <w:r>
        <w:rPr>
          <w:i/>
          <w:spacing w:val="22"/>
        </w:rPr>
        <w:t>and</w:t>
      </w:r>
      <w:r>
        <w:rPr>
          <w:i/>
          <w:spacing w:val="-19"/>
        </w:rPr>
        <w:t xml:space="preserve"> </w:t>
      </w:r>
      <w:r>
        <w:t xml:space="preserve">of the relevant observer’s </w:t>
      </w:r>
      <w:r>
        <w:rPr>
          <w:spacing w:val="-2"/>
        </w:rPr>
        <w:t>physical</w:t>
      </w:r>
      <w:r>
        <w:rPr>
          <w:spacing w:val="-14"/>
        </w:rPr>
        <w:t xml:space="preserve"> </w:t>
      </w:r>
      <w:r>
        <w:rPr>
          <w:spacing w:val="-2"/>
        </w:rPr>
        <w:t>relation</w:t>
      </w:r>
      <w:r>
        <w:rPr>
          <w:spacing w:val="-13"/>
        </w:rPr>
        <w:t xml:space="preserve"> </w:t>
      </w:r>
      <w:r>
        <w:rPr>
          <w:spacing w:val="-2"/>
        </w:rPr>
        <w:t>to</w:t>
      </w:r>
      <w:r>
        <w:rPr>
          <w:spacing w:val="-13"/>
        </w:rPr>
        <w:t xml:space="preserve"> </w:t>
      </w:r>
      <w:r>
        <w:rPr>
          <w:spacing w:val="-2"/>
        </w:rPr>
        <w:t>that</w:t>
      </w:r>
      <w:r>
        <w:rPr>
          <w:spacing w:val="-14"/>
        </w:rPr>
        <w:t xml:space="preserve"> </w:t>
      </w:r>
      <w:r>
        <w:rPr>
          <w:spacing w:val="-2"/>
        </w:rPr>
        <w:t>object.</w:t>
      </w:r>
      <w:r>
        <w:rPr>
          <w:spacing w:val="-13"/>
        </w:rPr>
        <w:t xml:space="preserve"> </w:t>
      </w:r>
      <w:r>
        <w:rPr>
          <w:spacing w:val="-2"/>
        </w:rPr>
        <w:t>But</w:t>
      </w:r>
      <w:r>
        <w:rPr>
          <w:spacing w:val="-13"/>
        </w:rPr>
        <w:t xml:space="preserve"> </w:t>
      </w:r>
      <w:r>
        <w:rPr>
          <w:spacing w:val="-2"/>
        </w:rPr>
        <w:t>so</w:t>
      </w:r>
      <w:r>
        <w:rPr>
          <w:spacing w:val="-13"/>
        </w:rPr>
        <w:t xml:space="preserve"> </w:t>
      </w:r>
      <w:r>
        <w:rPr>
          <w:spacing w:val="-2"/>
        </w:rPr>
        <w:t>does</w:t>
      </w:r>
      <w:r>
        <w:rPr>
          <w:spacing w:val="-13"/>
        </w:rPr>
        <w:t xml:space="preserve"> </w:t>
      </w:r>
      <w:r>
        <w:rPr>
          <w:spacing w:val="-2"/>
        </w:rPr>
        <w:t>an</w:t>
      </w:r>
      <w:r>
        <w:rPr>
          <w:spacing w:val="-13"/>
        </w:rPr>
        <w:t xml:space="preserve"> </w:t>
      </w:r>
      <w:r>
        <w:rPr>
          <w:spacing w:val="-2"/>
        </w:rPr>
        <w:t>object’s</w:t>
      </w:r>
      <w:r>
        <w:rPr>
          <w:spacing w:val="-13"/>
        </w:rPr>
        <w:t xml:space="preserve"> </w:t>
      </w:r>
      <w:r>
        <w:rPr>
          <w:spacing w:val="-2"/>
        </w:rPr>
        <w:t>apparent</w:t>
      </w:r>
      <w:r>
        <w:rPr>
          <w:spacing w:val="-13"/>
        </w:rPr>
        <w:t xml:space="preserve"> </w:t>
      </w:r>
      <w:r>
        <w:rPr>
          <w:spacing w:val="-2"/>
        </w:rPr>
        <w:t>shape,</w:t>
      </w:r>
      <w:r>
        <w:rPr>
          <w:spacing w:val="-13"/>
        </w:rPr>
        <w:t xml:space="preserve"> </w:t>
      </w:r>
      <w:r>
        <w:rPr>
          <w:spacing w:val="-2"/>
        </w:rPr>
        <w:t xml:space="preserve">apparent </w:t>
      </w:r>
      <w:r>
        <w:t>size, smell, etc. So the variability of apparent color no more entails the subjectivity</w:t>
      </w:r>
      <w:r>
        <w:rPr>
          <w:spacing w:val="-19"/>
        </w:rPr>
        <w:t xml:space="preserve"> </w:t>
      </w:r>
      <w:r>
        <w:t>of</w:t>
      </w:r>
      <w:r>
        <w:rPr>
          <w:spacing w:val="-17"/>
        </w:rPr>
        <w:t xml:space="preserve"> </w:t>
      </w:r>
      <w:r>
        <w:t>color</w:t>
      </w:r>
      <w:r>
        <w:rPr>
          <w:spacing w:val="-14"/>
        </w:rPr>
        <w:t xml:space="preserve"> </w:t>
      </w:r>
      <w:r>
        <w:t>than</w:t>
      </w:r>
      <w:r>
        <w:rPr>
          <w:spacing w:val="-14"/>
        </w:rPr>
        <w:t xml:space="preserve"> </w:t>
      </w:r>
      <w:r>
        <w:t>does</w:t>
      </w:r>
      <w:r>
        <w:rPr>
          <w:spacing w:val="-14"/>
        </w:rPr>
        <w:t xml:space="preserve"> </w:t>
      </w:r>
      <w:r>
        <w:t>the</w:t>
      </w:r>
      <w:r>
        <w:rPr>
          <w:spacing w:val="-14"/>
        </w:rPr>
        <w:t xml:space="preserve"> </w:t>
      </w:r>
      <w:r>
        <w:t>variability</w:t>
      </w:r>
      <w:r>
        <w:rPr>
          <w:spacing w:val="-14"/>
        </w:rPr>
        <w:t xml:space="preserve"> </w:t>
      </w:r>
      <w:r>
        <w:t>of</w:t>
      </w:r>
      <w:r>
        <w:rPr>
          <w:spacing w:val="-14"/>
        </w:rPr>
        <w:t xml:space="preserve"> </w:t>
      </w:r>
      <w:r>
        <w:t>apparent</w:t>
      </w:r>
      <w:r>
        <w:rPr>
          <w:spacing w:val="-14"/>
        </w:rPr>
        <w:t xml:space="preserve"> </w:t>
      </w:r>
      <w:r>
        <w:t>shape.</w:t>
      </w:r>
      <w:r>
        <w:rPr>
          <w:spacing w:val="-19"/>
        </w:rPr>
        <w:t xml:space="preserve"> </w:t>
      </w:r>
      <w:r>
        <w:t>And</w:t>
      </w:r>
      <w:r>
        <w:rPr>
          <w:spacing w:val="-14"/>
        </w:rPr>
        <w:t xml:space="preserve"> </w:t>
      </w:r>
      <w:r>
        <w:t>so</w:t>
      </w:r>
      <w:r>
        <w:rPr>
          <w:spacing w:val="-14"/>
        </w:rPr>
        <w:t xml:space="preserve"> </w:t>
      </w:r>
      <w:r>
        <w:t>long</w:t>
      </w:r>
      <w:r>
        <w:rPr>
          <w:spacing w:val="-14"/>
        </w:rPr>
        <w:t xml:space="preserve"> </w:t>
      </w:r>
      <w:r>
        <w:t>as the</w:t>
      </w:r>
      <w:r>
        <w:rPr>
          <w:spacing w:val="-15"/>
        </w:rPr>
        <w:t xml:space="preserve"> </w:t>
      </w:r>
      <w:r>
        <w:t>conditions</w:t>
      </w:r>
      <w:r>
        <w:rPr>
          <w:spacing w:val="-15"/>
        </w:rPr>
        <w:t xml:space="preserve"> </w:t>
      </w:r>
      <w:r>
        <w:t>of</w:t>
      </w:r>
      <w:r>
        <w:rPr>
          <w:spacing w:val="-15"/>
        </w:rPr>
        <w:t xml:space="preserve"> </w:t>
      </w:r>
      <w:r>
        <w:t>observation</w:t>
      </w:r>
      <w:r>
        <w:rPr>
          <w:spacing w:val="-15"/>
        </w:rPr>
        <w:t xml:space="preserve"> </w:t>
      </w:r>
      <w:r>
        <w:t>are</w:t>
      </w:r>
      <w:r>
        <w:rPr>
          <w:spacing w:val="-15"/>
        </w:rPr>
        <w:t xml:space="preserve"> </w:t>
      </w:r>
      <w:r>
        <w:t>held</w:t>
      </w:r>
      <w:r>
        <w:rPr>
          <w:spacing w:val="-15"/>
        </w:rPr>
        <w:t xml:space="preserve"> </w:t>
      </w:r>
      <w:r>
        <w:t>constant,</w:t>
      </w:r>
      <w:r>
        <w:rPr>
          <w:spacing w:val="-15"/>
        </w:rPr>
        <w:t xml:space="preserve"> </w:t>
      </w:r>
      <w:r>
        <w:t>an</w:t>
      </w:r>
      <w:r>
        <w:rPr>
          <w:spacing w:val="-15"/>
        </w:rPr>
        <w:t xml:space="preserve"> </w:t>
      </w:r>
      <w:r>
        <w:t>object’s</w:t>
      </w:r>
      <w:r>
        <w:rPr>
          <w:spacing w:val="-15"/>
        </w:rPr>
        <w:t xml:space="preserve"> </w:t>
      </w:r>
      <w:r>
        <w:t>apparent</w:t>
      </w:r>
      <w:r>
        <w:rPr>
          <w:spacing w:val="-15"/>
        </w:rPr>
        <w:t xml:space="preserve"> </w:t>
      </w:r>
      <w:r>
        <w:t>color</w:t>
      </w:r>
      <w:r>
        <w:rPr>
          <w:spacing w:val="-15"/>
        </w:rPr>
        <w:t xml:space="preserve"> </w:t>
      </w:r>
      <w:r>
        <w:t>does reliably correlate with its microstructure, just like its apparent shape (though not,</w:t>
      </w:r>
      <w:r>
        <w:rPr>
          <w:spacing w:val="-5"/>
        </w:rPr>
        <w:t xml:space="preserve"> </w:t>
      </w:r>
      <w:r>
        <w:t>it</w:t>
      </w:r>
      <w:r>
        <w:rPr>
          <w:spacing w:val="-6"/>
        </w:rPr>
        <w:t xml:space="preserve"> </w:t>
      </w:r>
      <w:r>
        <w:t>must</w:t>
      </w:r>
      <w:r>
        <w:rPr>
          <w:spacing w:val="-6"/>
        </w:rPr>
        <w:t xml:space="preserve"> </w:t>
      </w:r>
      <w:r>
        <w:t>be</w:t>
      </w:r>
      <w:r>
        <w:rPr>
          <w:spacing w:val="-5"/>
        </w:rPr>
        <w:t xml:space="preserve"> </w:t>
      </w:r>
      <w:r>
        <w:t>admitted,</w:t>
      </w:r>
      <w:r>
        <w:rPr>
          <w:spacing w:val="-5"/>
        </w:rPr>
        <w:t xml:space="preserve"> </w:t>
      </w:r>
      <w:r>
        <w:t>to</w:t>
      </w:r>
      <w:r>
        <w:rPr>
          <w:spacing w:val="-5"/>
        </w:rPr>
        <w:t xml:space="preserve"> </w:t>
      </w:r>
      <w:r>
        <w:t>as</w:t>
      </w:r>
      <w:r>
        <w:rPr>
          <w:spacing w:val="-5"/>
        </w:rPr>
        <w:t xml:space="preserve"> </w:t>
      </w:r>
      <w:r>
        <w:t>high</w:t>
      </w:r>
      <w:r>
        <w:rPr>
          <w:spacing w:val="-5"/>
        </w:rPr>
        <w:t xml:space="preserve"> </w:t>
      </w:r>
      <w:r>
        <w:t>a</w:t>
      </w:r>
      <w:r>
        <w:rPr>
          <w:spacing w:val="-5"/>
        </w:rPr>
        <w:t xml:space="preserve"> </w:t>
      </w:r>
      <w:r>
        <w:t>degree).</w:t>
      </w:r>
    </w:p>
    <w:p w14:paraId="7E001B31" w14:textId="77777777" w:rsidR="009A58DB" w:rsidRDefault="00000000">
      <w:pPr>
        <w:pStyle w:val="BodyText"/>
        <w:spacing w:before="10" w:line="249" w:lineRule="auto"/>
        <w:ind w:right="363" w:firstLine="360"/>
      </w:pPr>
      <w:r>
        <w:rPr>
          <w:spacing w:val="-4"/>
        </w:rPr>
        <w:t>Our</w:t>
      </w:r>
      <w:r>
        <w:rPr>
          <w:spacing w:val="-10"/>
        </w:rPr>
        <w:t xml:space="preserve"> </w:t>
      </w:r>
      <w:r>
        <w:rPr>
          <w:i/>
          <w:spacing w:val="-4"/>
        </w:rPr>
        <w:t>perceptions</w:t>
      </w:r>
      <w:r>
        <w:rPr>
          <w:i/>
          <w:spacing w:val="-9"/>
        </w:rPr>
        <w:t xml:space="preserve"> </w:t>
      </w:r>
      <w:r>
        <w:rPr>
          <w:spacing w:val="-4"/>
        </w:rPr>
        <w:t>of</w:t>
      </w:r>
      <w:r>
        <w:rPr>
          <w:spacing w:val="-10"/>
        </w:rPr>
        <w:t xml:space="preserve"> </w:t>
      </w:r>
      <w:r>
        <w:rPr>
          <w:spacing w:val="-4"/>
        </w:rPr>
        <w:t>primary</w:t>
      </w:r>
      <w:r>
        <w:rPr>
          <w:spacing w:val="-9"/>
        </w:rPr>
        <w:t xml:space="preserve"> </w:t>
      </w:r>
      <w:r>
        <w:rPr>
          <w:spacing w:val="-4"/>
        </w:rPr>
        <w:t>properties</w:t>
      </w:r>
      <w:r>
        <w:rPr>
          <w:spacing w:val="-9"/>
        </w:rPr>
        <w:t xml:space="preserve"> </w:t>
      </w:r>
      <w:r>
        <w:rPr>
          <w:spacing w:val="-4"/>
        </w:rPr>
        <w:t>are</w:t>
      </w:r>
      <w:r>
        <w:rPr>
          <w:spacing w:val="-9"/>
        </w:rPr>
        <w:t xml:space="preserve"> </w:t>
      </w:r>
      <w:r>
        <w:rPr>
          <w:spacing w:val="-4"/>
        </w:rPr>
        <w:t>very</w:t>
      </w:r>
      <w:r>
        <w:rPr>
          <w:spacing w:val="-9"/>
        </w:rPr>
        <w:t xml:space="preserve"> </w:t>
      </w:r>
      <w:r>
        <w:rPr>
          <w:spacing w:val="-4"/>
        </w:rPr>
        <w:t>different</w:t>
      </w:r>
      <w:r>
        <w:rPr>
          <w:spacing w:val="-10"/>
        </w:rPr>
        <w:t xml:space="preserve"> </w:t>
      </w:r>
      <w:r>
        <w:rPr>
          <w:spacing w:val="-4"/>
        </w:rPr>
        <w:t>from</w:t>
      </w:r>
      <w:r>
        <w:rPr>
          <w:spacing w:val="-10"/>
        </w:rPr>
        <w:t xml:space="preserve"> </w:t>
      </w:r>
      <w:r>
        <w:rPr>
          <w:spacing w:val="-4"/>
        </w:rPr>
        <w:t>our</w:t>
      </w:r>
      <w:r>
        <w:rPr>
          <w:spacing w:val="-10"/>
        </w:rPr>
        <w:t xml:space="preserve"> </w:t>
      </w:r>
      <w:r>
        <w:rPr>
          <w:spacing w:val="-4"/>
        </w:rPr>
        <w:t xml:space="preserve">perceptions </w:t>
      </w:r>
      <w:r>
        <w:t>of</w:t>
      </w:r>
      <w:r>
        <w:rPr>
          <w:spacing w:val="-1"/>
        </w:rPr>
        <w:t xml:space="preserve"> </w:t>
      </w:r>
      <w:r>
        <w:t>secondary</w:t>
      </w:r>
      <w:r>
        <w:rPr>
          <w:spacing w:val="-1"/>
        </w:rPr>
        <w:t xml:space="preserve"> </w:t>
      </w:r>
      <w:r>
        <w:t>properties.</w:t>
      </w:r>
      <w:r>
        <w:rPr>
          <w:spacing w:val="-5"/>
        </w:rPr>
        <w:t xml:space="preserve"> </w:t>
      </w:r>
      <w:r>
        <w:t>When</w:t>
      </w:r>
      <w:r>
        <w:rPr>
          <w:spacing w:val="-1"/>
        </w:rPr>
        <w:t xml:space="preserve"> </w:t>
      </w:r>
      <w:r>
        <w:t>one</w:t>
      </w:r>
      <w:r>
        <w:rPr>
          <w:spacing w:val="-1"/>
        </w:rPr>
        <w:t xml:space="preserve"> </w:t>
      </w:r>
      <w:r>
        <w:t>sees</w:t>
      </w:r>
      <w:r>
        <w:rPr>
          <w:spacing w:val="-1"/>
        </w:rPr>
        <w:t xml:space="preserve"> </w:t>
      </w:r>
      <w:r>
        <w:t>a</w:t>
      </w:r>
      <w:r>
        <w:rPr>
          <w:spacing w:val="-1"/>
        </w:rPr>
        <w:t xml:space="preserve"> </w:t>
      </w:r>
      <w:r>
        <w:t>porcupine,</w:t>
      </w:r>
      <w:r>
        <w:rPr>
          <w:spacing w:val="-1"/>
        </w:rPr>
        <w:t xml:space="preserve"> </w:t>
      </w:r>
      <w:r>
        <w:t>one’s</w:t>
      </w:r>
      <w:r>
        <w:rPr>
          <w:spacing w:val="-1"/>
        </w:rPr>
        <w:t xml:space="preserve"> </w:t>
      </w:r>
      <w:r>
        <w:t>visual</w:t>
      </w:r>
      <w:r>
        <w:rPr>
          <w:spacing w:val="-1"/>
        </w:rPr>
        <w:t xml:space="preserve"> </w:t>
      </w:r>
      <w:r>
        <w:t>image</w:t>
      </w:r>
      <w:r>
        <w:rPr>
          <w:spacing w:val="-1"/>
        </w:rPr>
        <w:t xml:space="preserve"> </w:t>
      </w:r>
      <w:r>
        <w:t>has</w:t>
      </w:r>
      <w:r>
        <w:rPr>
          <w:spacing w:val="-1"/>
        </w:rPr>
        <w:t xml:space="preserve"> </w:t>
      </w:r>
      <w:r>
        <w:t>a structural similarity to that of the porcupine; given any two features of the porcupine</w:t>
      </w:r>
      <w:r>
        <w:rPr>
          <w:spacing w:val="40"/>
        </w:rPr>
        <w:t xml:space="preserve"> </w:t>
      </w:r>
      <w:r>
        <w:t>that</w:t>
      </w:r>
      <w:r>
        <w:rPr>
          <w:spacing w:val="40"/>
        </w:rPr>
        <w:t xml:space="preserve"> </w:t>
      </w:r>
      <w:r>
        <w:t>are</w:t>
      </w:r>
      <w:r>
        <w:rPr>
          <w:spacing w:val="40"/>
        </w:rPr>
        <w:t xml:space="preserve"> </w:t>
      </w:r>
      <w:r>
        <w:t>distinguished</w:t>
      </w:r>
      <w:r>
        <w:rPr>
          <w:spacing w:val="-16"/>
        </w:rPr>
        <w:t xml:space="preserve"> </w:t>
      </w:r>
      <w:r>
        <w:rPr>
          <w:i/>
        </w:rPr>
        <w:t>b y</w:t>
      </w:r>
      <w:r>
        <w:rPr>
          <w:i/>
          <w:spacing w:val="-15"/>
        </w:rPr>
        <w:t xml:space="preserve"> </w:t>
      </w:r>
      <w:r>
        <w:t xml:space="preserve">image, there are corresponding </w:t>
      </w:r>
      <w:r>
        <w:rPr>
          <w:spacing w:val="-2"/>
        </w:rPr>
        <w:t>differentiations</w:t>
      </w:r>
      <w:r>
        <w:rPr>
          <w:spacing w:val="-17"/>
        </w:rPr>
        <w:t xml:space="preserve"> </w:t>
      </w:r>
      <w:r>
        <w:rPr>
          <w:i/>
          <w:spacing w:val="-2"/>
        </w:rPr>
        <w:t>in</w:t>
      </w:r>
      <w:r>
        <w:rPr>
          <w:i/>
          <w:spacing w:val="-17"/>
        </w:rPr>
        <w:t xml:space="preserve"> </w:t>
      </w:r>
      <w:r>
        <w:rPr>
          <w:spacing w:val="-2"/>
        </w:rPr>
        <w:t>that</w:t>
      </w:r>
      <w:r>
        <w:rPr>
          <w:spacing w:val="-17"/>
        </w:rPr>
        <w:t xml:space="preserve"> </w:t>
      </w:r>
      <w:r>
        <w:rPr>
          <w:spacing w:val="-2"/>
        </w:rPr>
        <w:t>image.</w:t>
      </w:r>
      <w:bookmarkStart w:id="359" w:name="_bookmark359"/>
      <w:bookmarkEnd w:id="359"/>
      <w:r>
        <w:rPr>
          <w:color w:val="0562C1"/>
          <w:spacing w:val="-2"/>
          <w:position w:val="21"/>
          <w:u w:val="single" w:color="0562C1"/>
        </w:rPr>
        <w:t>[251]</w:t>
      </w:r>
      <w:r>
        <w:rPr>
          <w:color w:val="0562C1"/>
          <w:spacing w:val="-27"/>
          <w:position w:val="21"/>
        </w:rPr>
        <w:t xml:space="preserve"> </w:t>
      </w:r>
      <w:r>
        <w:rPr>
          <w:spacing w:val="-2"/>
        </w:rPr>
        <w:t>Perceptions</w:t>
      </w:r>
      <w:r>
        <w:rPr>
          <w:spacing w:val="-16"/>
        </w:rPr>
        <w:t xml:space="preserve"> </w:t>
      </w:r>
      <w:r>
        <w:rPr>
          <w:spacing w:val="-2"/>
        </w:rPr>
        <w:t>of</w:t>
      </w:r>
      <w:r>
        <w:rPr>
          <w:spacing w:val="-17"/>
        </w:rPr>
        <w:t xml:space="preserve"> </w:t>
      </w:r>
      <w:r>
        <w:rPr>
          <w:spacing w:val="-2"/>
        </w:rPr>
        <w:t>secondary</w:t>
      </w:r>
      <w:r>
        <w:rPr>
          <w:spacing w:val="-17"/>
        </w:rPr>
        <w:t xml:space="preserve"> </w:t>
      </w:r>
      <w:r>
        <w:rPr>
          <w:spacing w:val="-2"/>
        </w:rPr>
        <w:t>properties</w:t>
      </w:r>
      <w:r>
        <w:rPr>
          <w:spacing w:val="-15"/>
        </w:rPr>
        <w:t xml:space="preserve"> </w:t>
      </w:r>
      <w:r>
        <w:rPr>
          <w:spacing w:val="-2"/>
        </w:rPr>
        <w:t>are</w:t>
      </w:r>
      <w:r>
        <w:rPr>
          <w:spacing w:val="-10"/>
        </w:rPr>
        <w:t xml:space="preserve"> </w:t>
      </w:r>
      <w:r>
        <w:rPr>
          <w:spacing w:val="-2"/>
        </w:rPr>
        <w:t>very</w:t>
      </w:r>
    </w:p>
    <w:p w14:paraId="7E001B3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33" w14:textId="77777777" w:rsidR="009A58DB" w:rsidRDefault="00000000">
      <w:pPr>
        <w:pStyle w:val="BodyText"/>
        <w:spacing w:before="65" w:line="249" w:lineRule="auto"/>
        <w:ind w:right="370"/>
      </w:pPr>
      <w:r>
        <w:lastRenderedPageBreak/>
        <w:t>different; they</w:t>
      </w:r>
      <w:r>
        <w:rPr>
          <w:spacing w:val="-19"/>
        </w:rPr>
        <w:t xml:space="preserve"> </w:t>
      </w:r>
      <w:r>
        <w:rPr>
          <w:i/>
        </w:rPr>
        <w:t>aren’t</w:t>
      </w:r>
      <w:r>
        <w:rPr>
          <w:i/>
          <w:spacing w:val="-19"/>
        </w:rPr>
        <w:t xml:space="preserve"> </w:t>
      </w:r>
      <w:r>
        <w:t>internally differentiated, at least not in a way that at all corresponds</w:t>
      </w:r>
      <w:r>
        <w:rPr>
          <w:spacing w:val="-12"/>
        </w:rPr>
        <w:t xml:space="preserve"> </w:t>
      </w:r>
      <w:r>
        <w:t>to</w:t>
      </w:r>
      <w:r>
        <w:rPr>
          <w:spacing w:val="-12"/>
        </w:rPr>
        <w:t xml:space="preserve"> </w:t>
      </w:r>
      <w:r>
        <w:t>the</w:t>
      </w:r>
      <w:r>
        <w:rPr>
          <w:spacing w:val="-12"/>
        </w:rPr>
        <w:t xml:space="preserve"> </w:t>
      </w:r>
      <w:r>
        <w:t>objective</w:t>
      </w:r>
      <w:r>
        <w:rPr>
          <w:spacing w:val="-12"/>
        </w:rPr>
        <w:t xml:space="preserve"> </w:t>
      </w:r>
      <w:r>
        <w:t>facts</w:t>
      </w:r>
      <w:r>
        <w:rPr>
          <w:spacing w:val="-12"/>
        </w:rPr>
        <w:t xml:space="preserve"> </w:t>
      </w:r>
      <w:r>
        <w:t>to</w:t>
      </w:r>
      <w:r>
        <w:rPr>
          <w:spacing w:val="-12"/>
        </w:rPr>
        <w:t xml:space="preserve"> </w:t>
      </w:r>
      <w:r>
        <w:t>which</w:t>
      </w:r>
      <w:r>
        <w:rPr>
          <w:spacing w:val="-12"/>
        </w:rPr>
        <w:t xml:space="preserve"> </w:t>
      </w:r>
      <w:r>
        <w:t>they</w:t>
      </w:r>
      <w:r>
        <w:rPr>
          <w:spacing w:val="-12"/>
        </w:rPr>
        <w:t xml:space="preserve"> </w:t>
      </w:r>
      <w:r>
        <w:t>are</w:t>
      </w:r>
      <w:r>
        <w:rPr>
          <w:spacing w:val="-12"/>
        </w:rPr>
        <w:t xml:space="preserve"> </w:t>
      </w:r>
      <w:r>
        <w:t>hewed.</w:t>
      </w:r>
    </w:p>
    <w:p w14:paraId="7E001B34" w14:textId="77777777" w:rsidR="009A58DB" w:rsidRDefault="00000000">
      <w:pPr>
        <w:pStyle w:val="BodyText"/>
        <w:spacing w:before="2" w:line="249" w:lineRule="auto"/>
        <w:ind w:right="358" w:firstLine="360"/>
      </w:pPr>
      <w:r>
        <w:t xml:space="preserve">This, presumably, is at least part of the reason why it’s widely held that an </w:t>
      </w:r>
      <w:r>
        <w:rPr>
          <w:spacing w:val="-4"/>
        </w:rPr>
        <w:t>object’s</w:t>
      </w:r>
      <w:r>
        <w:rPr>
          <w:spacing w:val="-10"/>
        </w:rPr>
        <w:t xml:space="preserve"> </w:t>
      </w:r>
      <w:r>
        <w:rPr>
          <w:spacing w:val="-4"/>
        </w:rPr>
        <w:t>secondary</w:t>
      </w:r>
      <w:r>
        <w:rPr>
          <w:spacing w:val="-10"/>
        </w:rPr>
        <w:t xml:space="preserve"> </w:t>
      </w:r>
      <w:r>
        <w:rPr>
          <w:spacing w:val="-4"/>
        </w:rPr>
        <w:t>properties</w:t>
      </w:r>
      <w:r>
        <w:rPr>
          <w:spacing w:val="-10"/>
        </w:rPr>
        <w:t xml:space="preserve"> </w:t>
      </w:r>
      <w:r>
        <w:rPr>
          <w:spacing w:val="-4"/>
        </w:rPr>
        <w:t>are</w:t>
      </w:r>
      <w:r>
        <w:rPr>
          <w:spacing w:val="-10"/>
        </w:rPr>
        <w:t xml:space="preserve"> </w:t>
      </w:r>
      <w:r>
        <w:rPr>
          <w:spacing w:val="-4"/>
        </w:rPr>
        <w:t>really</w:t>
      </w:r>
      <w:r>
        <w:rPr>
          <w:spacing w:val="-10"/>
        </w:rPr>
        <w:t xml:space="preserve"> </w:t>
      </w:r>
      <w:r>
        <w:rPr>
          <w:spacing w:val="-4"/>
        </w:rPr>
        <w:t>properties</w:t>
      </w:r>
      <w:r>
        <w:rPr>
          <w:spacing w:val="-10"/>
        </w:rPr>
        <w:t xml:space="preserve"> </w:t>
      </w:r>
      <w:r>
        <w:rPr>
          <w:spacing w:val="-4"/>
        </w:rPr>
        <w:t>of</w:t>
      </w:r>
      <w:r>
        <w:rPr>
          <w:spacing w:val="-11"/>
        </w:rPr>
        <w:t xml:space="preserve"> </w:t>
      </w:r>
      <w:r>
        <w:rPr>
          <w:spacing w:val="-4"/>
        </w:rPr>
        <w:t>the</w:t>
      </w:r>
      <w:r>
        <w:rPr>
          <w:spacing w:val="-10"/>
        </w:rPr>
        <w:t xml:space="preserve"> </w:t>
      </w:r>
      <w:r>
        <w:rPr>
          <w:spacing w:val="-4"/>
        </w:rPr>
        <w:t>subject’s</w:t>
      </w:r>
      <w:r>
        <w:rPr>
          <w:spacing w:val="-10"/>
        </w:rPr>
        <w:t xml:space="preserve"> </w:t>
      </w:r>
      <w:r>
        <w:rPr>
          <w:spacing w:val="-4"/>
        </w:rPr>
        <w:t>experiences</w:t>
      </w:r>
      <w:r>
        <w:rPr>
          <w:spacing w:val="-10"/>
        </w:rPr>
        <w:t xml:space="preserve"> </w:t>
      </w:r>
      <w:r>
        <w:rPr>
          <w:spacing w:val="-4"/>
        </w:rPr>
        <w:t xml:space="preserve">of </w:t>
      </w:r>
      <w:r>
        <w:t>that</w:t>
      </w:r>
      <w:r>
        <w:rPr>
          <w:spacing w:val="-5"/>
        </w:rPr>
        <w:t xml:space="preserve"> </w:t>
      </w:r>
      <w:r>
        <w:t>object,</w:t>
      </w:r>
      <w:r>
        <w:rPr>
          <w:spacing w:val="-5"/>
        </w:rPr>
        <w:t xml:space="preserve"> </w:t>
      </w:r>
      <w:r>
        <w:t>and</w:t>
      </w:r>
      <w:r>
        <w:rPr>
          <w:spacing w:val="-5"/>
        </w:rPr>
        <w:t xml:space="preserve"> </w:t>
      </w:r>
      <w:r>
        <w:t>not</w:t>
      </w:r>
      <w:r>
        <w:rPr>
          <w:spacing w:val="-5"/>
        </w:rPr>
        <w:t xml:space="preserve"> </w:t>
      </w:r>
      <w:r>
        <w:t>of</w:t>
      </w:r>
      <w:r>
        <w:rPr>
          <w:spacing w:val="-5"/>
        </w:rPr>
        <w:t xml:space="preserve"> </w:t>
      </w:r>
      <w:r>
        <w:t>that</w:t>
      </w:r>
      <w:r>
        <w:rPr>
          <w:spacing w:val="-5"/>
        </w:rPr>
        <w:t xml:space="preserve"> </w:t>
      </w:r>
      <w:r>
        <w:t>object</w:t>
      </w:r>
      <w:r>
        <w:rPr>
          <w:spacing w:val="-5"/>
        </w:rPr>
        <w:t xml:space="preserve"> </w:t>
      </w:r>
      <w:r>
        <w:t>itself.</w:t>
      </w:r>
      <w:r>
        <w:rPr>
          <w:spacing w:val="-4"/>
        </w:rPr>
        <w:t xml:space="preserve"> </w:t>
      </w:r>
      <w:r>
        <w:t>(It’s</w:t>
      </w:r>
      <w:r>
        <w:rPr>
          <w:spacing w:val="-5"/>
        </w:rPr>
        <w:t xml:space="preserve"> </w:t>
      </w:r>
      <w:r>
        <w:t>also</w:t>
      </w:r>
      <w:r>
        <w:rPr>
          <w:spacing w:val="-4"/>
        </w:rPr>
        <w:t xml:space="preserve"> </w:t>
      </w:r>
      <w:r>
        <w:t>why</w:t>
      </w:r>
      <w:r>
        <w:rPr>
          <w:spacing w:val="-5"/>
        </w:rPr>
        <w:t xml:space="preserve"> </w:t>
      </w:r>
      <w:r>
        <w:t>it</w:t>
      </w:r>
      <w:r>
        <w:rPr>
          <w:spacing w:val="-5"/>
        </w:rPr>
        <w:t xml:space="preserve"> </w:t>
      </w:r>
      <w:r>
        <w:t>seems</w:t>
      </w:r>
      <w:r>
        <w:rPr>
          <w:spacing w:val="-4"/>
        </w:rPr>
        <w:t xml:space="preserve"> </w:t>
      </w:r>
      <w:r>
        <w:t>more</w:t>
      </w:r>
      <w:r>
        <w:rPr>
          <w:spacing w:val="-5"/>
        </w:rPr>
        <w:t xml:space="preserve"> </w:t>
      </w:r>
      <w:r>
        <w:t>natural</w:t>
      </w:r>
      <w:r>
        <w:rPr>
          <w:spacing w:val="-5"/>
        </w:rPr>
        <w:t xml:space="preserve"> </w:t>
      </w:r>
      <w:r>
        <w:t>to speak</w:t>
      </w:r>
      <w:r>
        <w:rPr>
          <w:spacing w:val="-12"/>
        </w:rPr>
        <w:t xml:space="preserve"> </w:t>
      </w:r>
      <w:r>
        <w:t>of</w:t>
      </w:r>
      <w:r>
        <w:rPr>
          <w:spacing w:val="-13"/>
        </w:rPr>
        <w:t xml:space="preserve"> </w:t>
      </w:r>
      <w:r>
        <w:t>“sensations”</w:t>
      </w:r>
      <w:r>
        <w:rPr>
          <w:spacing w:val="-12"/>
        </w:rPr>
        <w:t xml:space="preserve"> </w:t>
      </w:r>
      <w:r>
        <w:t>of</w:t>
      </w:r>
      <w:r>
        <w:rPr>
          <w:spacing w:val="-13"/>
        </w:rPr>
        <w:t xml:space="preserve"> </w:t>
      </w:r>
      <w:r>
        <w:t>taste,</w:t>
      </w:r>
      <w:r>
        <w:rPr>
          <w:spacing w:val="-12"/>
        </w:rPr>
        <w:t xml:space="preserve"> </w:t>
      </w:r>
      <w:r>
        <w:t>smell,</w:t>
      </w:r>
      <w:r>
        <w:rPr>
          <w:spacing w:val="-12"/>
        </w:rPr>
        <w:t xml:space="preserve"> </w:t>
      </w:r>
      <w:r>
        <w:t>etc.</w:t>
      </w:r>
      <w:r>
        <w:rPr>
          <w:spacing w:val="-12"/>
        </w:rPr>
        <w:t xml:space="preserve"> </w:t>
      </w:r>
      <w:r>
        <w:t>than</w:t>
      </w:r>
      <w:r>
        <w:rPr>
          <w:spacing w:val="-12"/>
        </w:rPr>
        <w:t xml:space="preserve"> </w:t>
      </w:r>
      <w:r>
        <w:t>of</w:t>
      </w:r>
      <w:r>
        <w:rPr>
          <w:spacing w:val="-13"/>
        </w:rPr>
        <w:t xml:space="preserve"> </w:t>
      </w:r>
      <w:r>
        <w:t>“perceptions”</w:t>
      </w:r>
      <w:r>
        <w:rPr>
          <w:spacing w:val="-12"/>
        </w:rPr>
        <w:t xml:space="preserve"> </w:t>
      </w:r>
      <w:r>
        <w:t>of</w:t>
      </w:r>
      <w:r>
        <w:rPr>
          <w:spacing w:val="-13"/>
        </w:rPr>
        <w:t xml:space="preserve"> </w:t>
      </w:r>
      <w:r>
        <w:t>them.)</w:t>
      </w:r>
      <w:r>
        <w:rPr>
          <w:spacing w:val="-13"/>
        </w:rPr>
        <w:t xml:space="preserve"> </w:t>
      </w:r>
      <w:r>
        <w:t>But,</w:t>
      </w:r>
      <w:r>
        <w:rPr>
          <w:spacing w:val="-12"/>
        </w:rPr>
        <w:t xml:space="preserve"> </w:t>
      </w:r>
      <w:r>
        <w:t>I will now argue, an object’s secondary properties belong to it no less than its primary</w:t>
      </w:r>
      <w:r>
        <w:rPr>
          <w:spacing w:val="-19"/>
        </w:rPr>
        <w:t xml:space="preserve"> </w:t>
      </w:r>
      <w:r>
        <w:t>properties.</w:t>
      </w:r>
      <w:r>
        <w:rPr>
          <w:spacing w:val="-19"/>
        </w:rPr>
        <w:t xml:space="preserve"> </w:t>
      </w:r>
      <w:r>
        <w:t>I</w:t>
      </w:r>
      <w:r>
        <w:rPr>
          <w:spacing w:val="-19"/>
        </w:rPr>
        <w:t xml:space="preserve"> </w:t>
      </w:r>
      <w:r>
        <w:t>must</w:t>
      </w:r>
      <w:r>
        <w:rPr>
          <w:spacing w:val="-18"/>
        </w:rPr>
        <w:t xml:space="preserve"> </w:t>
      </w:r>
      <w:r>
        <w:t>warn</w:t>
      </w:r>
      <w:r>
        <w:rPr>
          <w:spacing w:val="-19"/>
        </w:rPr>
        <w:t xml:space="preserve"> </w:t>
      </w:r>
      <w:r>
        <w:t>that</w:t>
      </w:r>
      <w:r>
        <w:rPr>
          <w:spacing w:val="-19"/>
        </w:rPr>
        <w:t xml:space="preserve"> </w:t>
      </w:r>
      <w:r>
        <w:t>the</w:t>
      </w:r>
      <w:r>
        <w:rPr>
          <w:spacing w:val="-19"/>
        </w:rPr>
        <w:t xml:space="preserve"> </w:t>
      </w:r>
      <w:r>
        <w:t>forthcoming</w:t>
      </w:r>
      <w:r>
        <w:rPr>
          <w:spacing w:val="-18"/>
        </w:rPr>
        <w:t xml:space="preserve"> </w:t>
      </w:r>
      <w:r>
        <w:t>argument</w:t>
      </w:r>
      <w:r>
        <w:rPr>
          <w:spacing w:val="-19"/>
        </w:rPr>
        <w:t xml:space="preserve"> </w:t>
      </w:r>
      <w:r>
        <w:t>is</w:t>
      </w:r>
      <w:r>
        <w:rPr>
          <w:spacing w:val="-19"/>
        </w:rPr>
        <w:t xml:space="preserve"> </w:t>
      </w:r>
      <w:r>
        <w:t>quite</w:t>
      </w:r>
      <w:r>
        <w:rPr>
          <w:spacing w:val="-19"/>
        </w:rPr>
        <w:t xml:space="preserve"> </w:t>
      </w:r>
      <w:r>
        <w:t>intricate and</w:t>
      </w:r>
      <w:r>
        <w:rPr>
          <w:spacing w:val="-14"/>
        </w:rPr>
        <w:t xml:space="preserve"> </w:t>
      </w:r>
      <w:r>
        <w:t>that,</w:t>
      </w:r>
      <w:r>
        <w:rPr>
          <w:spacing w:val="-13"/>
        </w:rPr>
        <w:t xml:space="preserve"> </w:t>
      </w:r>
      <w:r>
        <w:t>for</w:t>
      </w:r>
      <w:r>
        <w:rPr>
          <w:spacing w:val="-14"/>
        </w:rPr>
        <w:t xml:space="preserve"> </w:t>
      </w:r>
      <w:r>
        <w:t>the</w:t>
      </w:r>
      <w:r>
        <w:rPr>
          <w:spacing w:val="-13"/>
        </w:rPr>
        <w:t xml:space="preserve"> </w:t>
      </w:r>
      <w:r>
        <w:t>first</w:t>
      </w:r>
      <w:r>
        <w:rPr>
          <w:spacing w:val="-14"/>
        </w:rPr>
        <w:t xml:space="preserve"> </w:t>
      </w:r>
      <w:r>
        <w:t>few</w:t>
      </w:r>
      <w:r>
        <w:rPr>
          <w:spacing w:val="-14"/>
        </w:rPr>
        <w:t xml:space="preserve"> </w:t>
      </w:r>
      <w:r>
        <w:t>paragraphs,</w:t>
      </w:r>
      <w:r>
        <w:rPr>
          <w:spacing w:val="-13"/>
        </w:rPr>
        <w:t xml:space="preserve"> </w:t>
      </w:r>
      <w:r>
        <w:t>it</w:t>
      </w:r>
      <w:r>
        <w:rPr>
          <w:spacing w:val="-14"/>
        </w:rPr>
        <w:t xml:space="preserve"> </w:t>
      </w:r>
      <w:r>
        <w:t>will</w:t>
      </w:r>
      <w:r>
        <w:rPr>
          <w:spacing w:val="-14"/>
        </w:rPr>
        <w:t xml:space="preserve"> </w:t>
      </w:r>
      <w:r>
        <w:t>seem</w:t>
      </w:r>
      <w:r>
        <w:rPr>
          <w:spacing w:val="-14"/>
        </w:rPr>
        <w:t xml:space="preserve"> </w:t>
      </w:r>
      <w:r>
        <w:t>as</w:t>
      </w:r>
      <w:r>
        <w:rPr>
          <w:spacing w:val="-13"/>
        </w:rPr>
        <w:t xml:space="preserve"> </w:t>
      </w:r>
      <w:r>
        <w:t>though</w:t>
      </w:r>
      <w:r>
        <w:rPr>
          <w:spacing w:val="-13"/>
        </w:rPr>
        <w:t xml:space="preserve"> </w:t>
      </w:r>
      <w:r>
        <w:t>I’m</w:t>
      </w:r>
      <w:r>
        <w:rPr>
          <w:spacing w:val="-14"/>
        </w:rPr>
        <w:t xml:space="preserve"> </w:t>
      </w:r>
      <w:r>
        <w:t>arguing</w:t>
      </w:r>
      <w:r>
        <w:rPr>
          <w:spacing w:val="-13"/>
        </w:rPr>
        <w:t xml:space="preserve"> </w:t>
      </w:r>
      <w:r>
        <w:t>for</w:t>
      </w:r>
      <w:r>
        <w:rPr>
          <w:spacing w:val="-14"/>
        </w:rPr>
        <w:t xml:space="preserve"> </w:t>
      </w:r>
      <w:r>
        <w:t>the contention</w:t>
      </w:r>
      <w:r>
        <w:rPr>
          <w:spacing w:val="-21"/>
        </w:rPr>
        <w:t xml:space="preserve"> </w:t>
      </w:r>
      <w:r>
        <w:t>that</w:t>
      </w:r>
      <w:r>
        <w:rPr>
          <w:spacing w:val="-19"/>
        </w:rPr>
        <w:t xml:space="preserve"> </w:t>
      </w:r>
      <w:r>
        <w:t>an</w:t>
      </w:r>
      <w:r>
        <w:rPr>
          <w:spacing w:val="-19"/>
        </w:rPr>
        <w:t xml:space="preserve"> </w:t>
      </w:r>
      <w:r>
        <w:t>object’s</w:t>
      </w:r>
      <w:r>
        <w:rPr>
          <w:spacing w:val="-18"/>
        </w:rPr>
        <w:t xml:space="preserve"> </w:t>
      </w:r>
      <w:r>
        <w:t>secondary</w:t>
      </w:r>
      <w:r>
        <w:rPr>
          <w:spacing w:val="-19"/>
        </w:rPr>
        <w:t xml:space="preserve"> </w:t>
      </w:r>
      <w:r>
        <w:t>properties</w:t>
      </w:r>
      <w:r>
        <w:rPr>
          <w:spacing w:val="-19"/>
        </w:rPr>
        <w:t xml:space="preserve"> </w:t>
      </w:r>
      <w:r>
        <w:rPr>
          <w:i/>
        </w:rPr>
        <w:t>don’t</w:t>
      </w:r>
      <w:r>
        <w:rPr>
          <w:i/>
          <w:spacing w:val="-19"/>
        </w:rPr>
        <w:t xml:space="preserve"> </w:t>
      </w:r>
      <w:r>
        <w:t>really</w:t>
      </w:r>
      <w:r>
        <w:rPr>
          <w:spacing w:val="-18"/>
        </w:rPr>
        <w:t xml:space="preserve"> </w:t>
      </w:r>
      <w:r>
        <w:t>belong</w:t>
      </w:r>
      <w:r>
        <w:rPr>
          <w:spacing w:val="-19"/>
        </w:rPr>
        <w:t xml:space="preserve"> </w:t>
      </w:r>
      <w:r>
        <w:t>to</w:t>
      </w:r>
      <w:r>
        <w:rPr>
          <w:spacing w:val="-19"/>
        </w:rPr>
        <w:t xml:space="preserve"> </w:t>
      </w:r>
      <w:r>
        <w:t>it.</w:t>
      </w:r>
      <w:r>
        <w:rPr>
          <w:spacing w:val="-19"/>
        </w:rPr>
        <w:t xml:space="preserve"> </w:t>
      </w:r>
      <w:r>
        <w:t>I</w:t>
      </w:r>
      <w:r>
        <w:rPr>
          <w:spacing w:val="-18"/>
        </w:rPr>
        <w:t xml:space="preserve"> </w:t>
      </w:r>
      <w:r>
        <w:t>must ask</w:t>
      </w:r>
      <w:r>
        <w:rPr>
          <w:spacing w:val="-10"/>
        </w:rPr>
        <w:t xml:space="preserve"> </w:t>
      </w:r>
      <w:r>
        <w:t>for</w:t>
      </w:r>
      <w:r>
        <w:rPr>
          <w:spacing w:val="-11"/>
        </w:rPr>
        <w:t xml:space="preserve"> </w:t>
      </w:r>
      <w:r>
        <w:t>a</w:t>
      </w:r>
      <w:r>
        <w:rPr>
          <w:spacing w:val="-10"/>
        </w:rPr>
        <w:t xml:space="preserve"> </w:t>
      </w:r>
      <w:r>
        <w:t>certain</w:t>
      </w:r>
      <w:r>
        <w:rPr>
          <w:spacing w:val="-10"/>
        </w:rPr>
        <w:t xml:space="preserve"> </w:t>
      </w:r>
      <w:r>
        <w:t>amount</w:t>
      </w:r>
      <w:r>
        <w:rPr>
          <w:spacing w:val="-11"/>
        </w:rPr>
        <w:t xml:space="preserve"> </w:t>
      </w:r>
      <w:r>
        <w:t>of</w:t>
      </w:r>
      <w:r>
        <w:rPr>
          <w:spacing w:val="-11"/>
        </w:rPr>
        <w:t xml:space="preserve"> </w:t>
      </w:r>
      <w:r>
        <w:t>patience</w:t>
      </w:r>
      <w:r>
        <w:rPr>
          <w:spacing w:val="-10"/>
        </w:rPr>
        <w:t xml:space="preserve"> </w:t>
      </w:r>
      <w:r>
        <w:t>on</w:t>
      </w:r>
      <w:r>
        <w:rPr>
          <w:spacing w:val="-10"/>
        </w:rPr>
        <w:t xml:space="preserve"> </w:t>
      </w:r>
      <w:r>
        <w:t>the</w:t>
      </w:r>
      <w:r>
        <w:rPr>
          <w:spacing w:val="-10"/>
        </w:rPr>
        <w:t xml:space="preserve"> </w:t>
      </w:r>
      <w:r>
        <w:t>reader’s</w:t>
      </w:r>
      <w:r>
        <w:rPr>
          <w:spacing w:val="-10"/>
        </w:rPr>
        <w:t xml:space="preserve"> </w:t>
      </w:r>
      <w:r>
        <w:t>part.</w:t>
      </w:r>
    </w:p>
    <w:p w14:paraId="7E001B35" w14:textId="77777777" w:rsidR="009A58DB" w:rsidRDefault="00000000">
      <w:pPr>
        <w:pStyle w:val="BodyText"/>
        <w:spacing w:before="11" w:line="249" w:lineRule="auto"/>
        <w:ind w:right="357" w:firstLine="360"/>
      </w:pPr>
      <w:r>
        <w:t>Let</w:t>
      </w:r>
      <w:r>
        <w:rPr>
          <w:spacing w:val="-11"/>
        </w:rPr>
        <w:t xml:space="preserve"> </w:t>
      </w:r>
      <w:r>
        <w:t>S</w:t>
      </w:r>
      <w:r>
        <w:rPr>
          <w:spacing w:val="-11"/>
        </w:rPr>
        <w:t xml:space="preserve"> </w:t>
      </w:r>
      <w:r>
        <w:t>be</w:t>
      </w:r>
      <w:r>
        <w:rPr>
          <w:spacing w:val="-10"/>
        </w:rPr>
        <w:t xml:space="preserve"> </w:t>
      </w:r>
      <w:r>
        <w:t>the</w:t>
      </w:r>
      <w:r>
        <w:rPr>
          <w:spacing w:val="-10"/>
        </w:rPr>
        <w:t xml:space="preserve"> </w:t>
      </w:r>
      <w:r>
        <w:t>smell</w:t>
      </w:r>
      <w:r>
        <w:rPr>
          <w:spacing w:val="-11"/>
        </w:rPr>
        <w:t xml:space="preserve"> </w:t>
      </w:r>
      <w:r>
        <w:t>that,</w:t>
      </w:r>
      <w:r>
        <w:rPr>
          <w:spacing w:val="-10"/>
        </w:rPr>
        <w:t xml:space="preserve"> </w:t>
      </w:r>
      <w:r>
        <w:t>in</w:t>
      </w:r>
      <w:r>
        <w:rPr>
          <w:spacing w:val="-10"/>
        </w:rPr>
        <w:t xml:space="preserve"> </w:t>
      </w:r>
      <w:r>
        <w:t>actuality,</w:t>
      </w:r>
      <w:r>
        <w:rPr>
          <w:spacing w:val="-10"/>
        </w:rPr>
        <w:t xml:space="preserve"> </w:t>
      </w:r>
      <w:r>
        <w:t>is</w:t>
      </w:r>
      <w:r>
        <w:rPr>
          <w:spacing w:val="-10"/>
        </w:rPr>
        <w:t xml:space="preserve"> </w:t>
      </w:r>
      <w:r>
        <w:t>had</w:t>
      </w:r>
      <w:r>
        <w:rPr>
          <w:spacing w:val="-10"/>
        </w:rPr>
        <w:t xml:space="preserve"> </w:t>
      </w:r>
      <w:r>
        <w:t>by</w:t>
      </w:r>
      <w:r>
        <w:rPr>
          <w:spacing w:val="-10"/>
        </w:rPr>
        <w:t xml:space="preserve"> </w:t>
      </w:r>
      <w:r>
        <w:t>extremely</w:t>
      </w:r>
      <w:r>
        <w:rPr>
          <w:spacing w:val="-10"/>
        </w:rPr>
        <w:t xml:space="preserve"> </w:t>
      </w:r>
      <w:r>
        <w:t>putrid</w:t>
      </w:r>
      <w:r>
        <w:rPr>
          <w:spacing w:val="-10"/>
        </w:rPr>
        <w:t xml:space="preserve"> </w:t>
      </w:r>
      <w:r>
        <w:t>meat;</w:t>
      </w:r>
      <w:r>
        <w:rPr>
          <w:spacing w:val="-11"/>
        </w:rPr>
        <w:t xml:space="preserve"> </w:t>
      </w:r>
      <w:r>
        <w:t>and</w:t>
      </w:r>
      <w:r>
        <w:rPr>
          <w:spacing w:val="-10"/>
        </w:rPr>
        <w:t xml:space="preserve"> </w:t>
      </w:r>
      <w:r>
        <w:t xml:space="preserve">let S* be the extremely pleasant fragrance that, in actuality, is given off by </w:t>
      </w:r>
      <w:r>
        <w:rPr>
          <w:spacing w:val="-2"/>
        </w:rPr>
        <w:t>eucalyptus</w:t>
      </w:r>
      <w:r>
        <w:rPr>
          <w:spacing w:val="-17"/>
        </w:rPr>
        <w:t xml:space="preserve"> </w:t>
      </w:r>
      <w:r>
        <w:rPr>
          <w:spacing w:val="-2"/>
        </w:rPr>
        <w:t>trees.</w:t>
      </w:r>
      <w:r>
        <w:rPr>
          <w:spacing w:val="-17"/>
        </w:rPr>
        <w:t xml:space="preserve"> </w:t>
      </w:r>
      <w:r>
        <w:rPr>
          <w:spacing w:val="-2"/>
        </w:rPr>
        <w:t>There</w:t>
      </w:r>
      <w:r>
        <w:rPr>
          <w:spacing w:val="-17"/>
        </w:rPr>
        <w:t xml:space="preserve"> </w:t>
      </w:r>
      <w:r>
        <w:rPr>
          <w:spacing w:val="-2"/>
        </w:rPr>
        <w:t>is</w:t>
      </w:r>
      <w:r>
        <w:rPr>
          <w:spacing w:val="-16"/>
        </w:rPr>
        <w:t xml:space="preserve"> </w:t>
      </w:r>
      <w:r>
        <w:rPr>
          <w:spacing w:val="-2"/>
        </w:rPr>
        <w:t>no</w:t>
      </w:r>
      <w:r>
        <w:rPr>
          <w:spacing w:val="-17"/>
        </w:rPr>
        <w:t xml:space="preserve"> </w:t>
      </w:r>
      <w:r>
        <w:rPr>
          <w:i/>
          <w:spacing w:val="-2"/>
        </w:rPr>
        <w:t>inherent</w:t>
      </w:r>
      <w:r>
        <w:rPr>
          <w:i/>
          <w:spacing w:val="-17"/>
        </w:rPr>
        <w:t xml:space="preserve"> </w:t>
      </w:r>
      <w:r>
        <w:rPr>
          <w:spacing w:val="-2"/>
        </w:rPr>
        <w:t>reason</w:t>
      </w:r>
      <w:r>
        <w:rPr>
          <w:spacing w:val="-17"/>
        </w:rPr>
        <w:t xml:space="preserve"> </w:t>
      </w:r>
      <w:r>
        <w:rPr>
          <w:spacing w:val="-2"/>
        </w:rPr>
        <w:t>why</w:t>
      </w:r>
      <w:r>
        <w:rPr>
          <w:spacing w:val="-16"/>
        </w:rPr>
        <w:t xml:space="preserve"> </w:t>
      </w:r>
      <w:r>
        <w:rPr>
          <w:spacing w:val="-2"/>
        </w:rPr>
        <w:t>eucalyptus</w:t>
      </w:r>
      <w:r>
        <w:rPr>
          <w:spacing w:val="-17"/>
        </w:rPr>
        <w:t xml:space="preserve"> </w:t>
      </w:r>
      <w:r>
        <w:rPr>
          <w:spacing w:val="-2"/>
        </w:rPr>
        <w:t>trees</w:t>
      </w:r>
      <w:r>
        <w:rPr>
          <w:spacing w:val="-17"/>
        </w:rPr>
        <w:t xml:space="preserve"> </w:t>
      </w:r>
      <w:r>
        <w:rPr>
          <w:spacing w:val="-2"/>
        </w:rPr>
        <w:t>couldn’t</w:t>
      </w:r>
      <w:r>
        <w:rPr>
          <w:spacing w:val="-17"/>
        </w:rPr>
        <w:t xml:space="preserve"> </w:t>
      </w:r>
      <w:r>
        <w:rPr>
          <w:spacing w:val="-2"/>
        </w:rPr>
        <w:t xml:space="preserve">have </w:t>
      </w:r>
      <w:r>
        <w:t>S and there is no inherent reason why rotten meat couldn’t have S*. In other words,</w:t>
      </w:r>
      <w:r>
        <w:rPr>
          <w:spacing w:val="-7"/>
        </w:rPr>
        <w:t xml:space="preserve"> </w:t>
      </w:r>
      <w:r>
        <w:t>if</w:t>
      </w:r>
      <w:r>
        <w:rPr>
          <w:spacing w:val="-7"/>
        </w:rPr>
        <w:t xml:space="preserve"> </w:t>
      </w:r>
      <w:r>
        <w:t>there</w:t>
      </w:r>
      <w:r>
        <w:rPr>
          <w:spacing w:val="-7"/>
        </w:rPr>
        <w:t xml:space="preserve"> </w:t>
      </w:r>
      <w:r>
        <w:t>occurred</w:t>
      </w:r>
      <w:r>
        <w:rPr>
          <w:spacing w:val="-7"/>
        </w:rPr>
        <w:t xml:space="preserve"> </w:t>
      </w:r>
      <w:r>
        <w:t>a</w:t>
      </w:r>
      <w:r>
        <w:rPr>
          <w:spacing w:val="-7"/>
        </w:rPr>
        <w:t xml:space="preserve"> </w:t>
      </w:r>
      <w:r>
        <w:t>smell-exchange</w:t>
      </w:r>
      <w:r>
        <w:rPr>
          <w:spacing w:val="-7"/>
        </w:rPr>
        <w:t xml:space="preserve"> </w:t>
      </w:r>
      <w:r>
        <w:t>between</w:t>
      </w:r>
      <w:r>
        <w:rPr>
          <w:spacing w:val="-7"/>
        </w:rPr>
        <w:t xml:space="preserve"> </w:t>
      </w:r>
      <w:r>
        <w:t>eucalyptus</w:t>
      </w:r>
      <w:r>
        <w:rPr>
          <w:spacing w:val="-7"/>
        </w:rPr>
        <w:t xml:space="preserve"> </w:t>
      </w:r>
      <w:r>
        <w:t>trees</w:t>
      </w:r>
      <w:r>
        <w:rPr>
          <w:spacing w:val="-6"/>
        </w:rPr>
        <w:t xml:space="preserve"> </w:t>
      </w:r>
      <w:r>
        <w:t>and</w:t>
      </w:r>
      <w:r>
        <w:rPr>
          <w:spacing w:val="-6"/>
        </w:rPr>
        <w:t xml:space="preserve"> </w:t>
      </w:r>
      <w:r>
        <w:t>rotten meat, we would not, at least not for that reason alone, forfeit the causal knowledge that we now have by virtue of knowing that a cut of meat has S or that a eucalyptus tree has S*.</w:t>
      </w:r>
    </w:p>
    <w:p w14:paraId="7E001B36" w14:textId="77777777" w:rsidR="009A58DB" w:rsidRDefault="00000000">
      <w:pPr>
        <w:pStyle w:val="BodyText"/>
        <w:spacing w:before="10" w:line="249" w:lineRule="auto"/>
        <w:ind w:right="362" w:firstLine="360"/>
        <w:rPr>
          <w:position w:val="21"/>
        </w:rPr>
      </w:pPr>
      <w:r>
        <w:t>Of course, there would</w:t>
      </w:r>
      <w:r>
        <w:rPr>
          <w:spacing w:val="-13"/>
        </w:rPr>
        <w:t xml:space="preserve"> </w:t>
      </w:r>
      <w:r>
        <w:rPr>
          <w:i/>
        </w:rPr>
        <w:t>initially</w:t>
      </w:r>
      <w:r>
        <w:rPr>
          <w:i/>
          <w:spacing w:val="-12"/>
        </w:rPr>
        <w:t xml:space="preserve"> </w:t>
      </w:r>
      <w:r>
        <w:t xml:space="preserve">be a loss of knowledge. One would </w:t>
      </w:r>
      <w:r>
        <w:rPr>
          <w:spacing w:val="-2"/>
        </w:rPr>
        <w:t>mistakenly</w:t>
      </w:r>
      <w:r>
        <w:rPr>
          <w:spacing w:val="-17"/>
        </w:rPr>
        <w:t xml:space="preserve"> </w:t>
      </w:r>
      <w:r>
        <w:rPr>
          <w:spacing w:val="-2"/>
        </w:rPr>
        <w:t>think</w:t>
      </w:r>
      <w:r>
        <w:rPr>
          <w:spacing w:val="-16"/>
        </w:rPr>
        <w:t xml:space="preserve"> </w:t>
      </w:r>
      <w:r>
        <w:rPr>
          <w:spacing w:val="-2"/>
        </w:rPr>
        <w:t>that</w:t>
      </w:r>
      <w:r>
        <w:rPr>
          <w:spacing w:val="-16"/>
        </w:rPr>
        <w:t xml:space="preserve"> </w:t>
      </w:r>
      <w:r>
        <w:rPr>
          <w:spacing w:val="-2"/>
        </w:rPr>
        <w:t>the</w:t>
      </w:r>
      <w:r>
        <w:rPr>
          <w:spacing w:val="-16"/>
        </w:rPr>
        <w:t xml:space="preserve"> </w:t>
      </w:r>
      <w:r>
        <w:rPr>
          <w:spacing w:val="-2"/>
        </w:rPr>
        <w:t>pleasant-smelling</w:t>
      </w:r>
      <w:r>
        <w:rPr>
          <w:spacing w:val="-16"/>
        </w:rPr>
        <w:t xml:space="preserve"> </w:t>
      </w:r>
      <w:r>
        <w:rPr>
          <w:spacing w:val="-2"/>
        </w:rPr>
        <w:t>cut</w:t>
      </w:r>
      <w:r>
        <w:rPr>
          <w:spacing w:val="-16"/>
        </w:rPr>
        <w:t xml:space="preserve"> </w:t>
      </w:r>
      <w:r>
        <w:rPr>
          <w:spacing w:val="-2"/>
        </w:rPr>
        <w:t>of</w:t>
      </w:r>
      <w:r>
        <w:rPr>
          <w:spacing w:val="-16"/>
        </w:rPr>
        <w:t xml:space="preserve"> </w:t>
      </w:r>
      <w:r>
        <w:rPr>
          <w:spacing w:val="-2"/>
        </w:rPr>
        <w:t>meat</w:t>
      </w:r>
      <w:r>
        <w:rPr>
          <w:spacing w:val="-16"/>
        </w:rPr>
        <w:t xml:space="preserve"> </w:t>
      </w:r>
      <w:r>
        <w:rPr>
          <w:spacing w:val="-2"/>
        </w:rPr>
        <w:t>one</w:t>
      </w:r>
      <w:r>
        <w:rPr>
          <w:spacing w:val="-16"/>
        </w:rPr>
        <w:t xml:space="preserve"> </w:t>
      </w:r>
      <w:r>
        <w:rPr>
          <w:spacing w:val="-2"/>
        </w:rPr>
        <w:t>was</w:t>
      </w:r>
      <w:r>
        <w:rPr>
          <w:spacing w:val="-16"/>
        </w:rPr>
        <w:t xml:space="preserve"> </w:t>
      </w:r>
      <w:r>
        <w:rPr>
          <w:spacing w:val="-2"/>
        </w:rPr>
        <w:t>about</w:t>
      </w:r>
      <w:r>
        <w:rPr>
          <w:spacing w:val="-16"/>
        </w:rPr>
        <w:t xml:space="preserve"> </w:t>
      </w:r>
      <w:r>
        <w:rPr>
          <w:spacing w:val="-2"/>
        </w:rPr>
        <w:t>to</w:t>
      </w:r>
      <w:r>
        <w:rPr>
          <w:spacing w:val="-16"/>
        </w:rPr>
        <w:t xml:space="preserve"> </w:t>
      </w:r>
      <w:r>
        <w:rPr>
          <w:spacing w:val="-2"/>
        </w:rPr>
        <w:t>eat</w:t>
      </w:r>
      <w:r>
        <w:rPr>
          <w:spacing w:val="-16"/>
        </w:rPr>
        <w:t xml:space="preserve"> </w:t>
      </w:r>
      <w:r>
        <w:rPr>
          <w:spacing w:val="-2"/>
        </w:rPr>
        <w:t xml:space="preserve">was </w:t>
      </w:r>
      <w:r>
        <w:t>not</w:t>
      </w:r>
      <w:r>
        <w:rPr>
          <w:spacing w:val="-14"/>
        </w:rPr>
        <w:t xml:space="preserve"> </w:t>
      </w:r>
      <w:r>
        <w:t>rotten.</w:t>
      </w:r>
      <w:r>
        <w:rPr>
          <w:spacing w:val="-14"/>
        </w:rPr>
        <w:t xml:space="preserve"> </w:t>
      </w:r>
      <w:r>
        <w:t>But</w:t>
      </w:r>
      <w:r>
        <w:rPr>
          <w:spacing w:val="-14"/>
        </w:rPr>
        <w:t xml:space="preserve"> </w:t>
      </w:r>
      <w:r>
        <w:t>given</w:t>
      </w:r>
      <w:r>
        <w:rPr>
          <w:spacing w:val="-14"/>
        </w:rPr>
        <w:t xml:space="preserve"> </w:t>
      </w:r>
      <w:r>
        <w:t>some</w:t>
      </w:r>
      <w:r>
        <w:rPr>
          <w:spacing w:val="-14"/>
        </w:rPr>
        <w:t xml:space="preserve"> </w:t>
      </w:r>
      <w:r>
        <w:t>time</w:t>
      </w:r>
      <w:r>
        <w:rPr>
          <w:spacing w:val="-14"/>
        </w:rPr>
        <w:t xml:space="preserve"> </w:t>
      </w:r>
      <w:r>
        <w:t>to</w:t>
      </w:r>
      <w:r>
        <w:rPr>
          <w:spacing w:val="-14"/>
        </w:rPr>
        <w:t xml:space="preserve"> </w:t>
      </w:r>
      <w:r>
        <w:t>adjust</w:t>
      </w:r>
      <w:r>
        <w:rPr>
          <w:spacing w:val="-14"/>
        </w:rPr>
        <w:t xml:space="preserve"> </w:t>
      </w:r>
      <w:r>
        <w:t>to</w:t>
      </w:r>
      <w:r>
        <w:rPr>
          <w:spacing w:val="-14"/>
        </w:rPr>
        <w:t xml:space="preserve"> </w:t>
      </w:r>
      <w:r>
        <w:t>the</w:t>
      </w:r>
      <w:r>
        <w:rPr>
          <w:spacing w:val="-14"/>
        </w:rPr>
        <w:t xml:space="preserve"> </w:t>
      </w:r>
      <w:r>
        <w:t>new</w:t>
      </w:r>
      <w:r>
        <w:rPr>
          <w:spacing w:val="-14"/>
        </w:rPr>
        <w:t xml:space="preserve"> </w:t>
      </w:r>
      <w:r>
        <w:t>smell-situation,</w:t>
      </w:r>
      <w:r>
        <w:rPr>
          <w:spacing w:val="-14"/>
        </w:rPr>
        <w:t xml:space="preserve"> </w:t>
      </w:r>
      <w:r>
        <w:t>one</w:t>
      </w:r>
      <w:r>
        <w:rPr>
          <w:spacing w:val="-13"/>
        </w:rPr>
        <w:t xml:space="preserve"> </w:t>
      </w:r>
      <w:r>
        <w:t>would cease to make such mistakes.</w:t>
      </w:r>
      <w:bookmarkStart w:id="360" w:name="_bookmark360"/>
      <w:bookmarkEnd w:id="360"/>
      <w:r>
        <w:rPr>
          <w:color w:val="0562C1"/>
          <w:position w:val="21"/>
          <w:u w:val="single" w:color="0562C1"/>
        </w:rPr>
        <w:t>[252]</w:t>
      </w:r>
    </w:p>
    <w:p w14:paraId="7E001B37" w14:textId="77777777" w:rsidR="009A58DB" w:rsidRDefault="00000000">
      <w:pPr>
        <w:pStyle w:val="BodyText"/>
        <w:spacing w:before="5" w:line="249" w:lineRule="auto"/>
        <w:ind w:right="363" w:firstLine="360"/>
      </w:pPr>
      <w:r>
        <w:t>There</w:t>
      </w:r>
      <w:r>
        <w:rPr>
          <w:spacing w:val="-21"/>
        </w:rPr>
        <w:t xml:space="preserve"> </w:t>
      </w:r>
      <w:r>
        <w:t>is</w:t>
      </w:r>
      <w:r>
        <w:rPr>
          <w:spacing w:val="-19"/>
        </w:rPr>
        <w:t xml:space="preserve"> </w:t>
      </w:r>
      <w:r>
        <w:t>another</w:t>
      </w:r>
      <w:r>
        <w:rPr>
          <w:spacing w:val="-19"/>
        </w:rPr>
        <w:t xml:space="preserve"> </w:t>
      </w:r>
      <w:r>
        <w:t>reason</w:t>
      </w:r>
      <w:r>
        <w:rPr>
          <w:spacing w:val="-18"/>
        </w:rPr>
        <w:t xml:space="preserve"> </w:t>
      </w:r>
      <w:r>
        <w:t>why,</w:t>
      </w:r>
      <w:r>
        <w:rPr>
          <w:spacing w:val="-19"/>
        </w:rPr>
        <w:t xml:space="preserve"> </w:t>
      </w:r>
      <w:r>
        <w:t>even</w:t>
      </w:r>
      <w:r>
        <w:rPr>
          <w:spacing w:val="-19"/>
        </w:rPr>
        <w:t xml:space="preserve"> </w:t>
      </w:r>
      <w:r>
        <w:t>though</w:t>
      </w:r>
      <w:r>
        <w:rPr>
          <w:spacing w:val="-19"/>
        </w:rPr>
        <w:t xml:space="preserve"> </w:t>
      </w:r>
      <w:r>
        <w:t>it</w:t>
      </w:r>
      <w:r>
        <w:rPr>
          <w:spacing w:val="-18"/>
        </w:rPr>
        <w:t xml:space="preserve"> </w:t>
      </w:r>
      <w:r>
        <w:t>wouldn’t</w:t>
      </w:r>
      <w:r>
        <w:rPr>
          <w:spacing w:val="-19"/>
        </w:rPr>
        <w:t xml:space="preserve"> </w:t>
      </w:r>
      <w:r>
        <w:t>have</w:t>
      </w:r>
      <w:r>
        <w:rPr>
          <w:spacing w:val="-19"/>
        </w:rPr>
        <w:t xml:space="preserve"> </w:t>
      </w:r>
      <w:r>
        <w:t>any</w:t>
      </w:r>
      <w:r>
        <w:rPr>
          <w:spacing w:val="-19"/>
        </w:rPr>
        <w:t xml:space="preserve"> </w:t>
      </w:r>
      <w:r>
        <w:t>lasting</w:t>
      </w:r>
      <w:r>
        <w:rPr>
          <w:spacing w:val="-18"/>
        </w:rPr>
        <w:t xml:space="preserve"> </w:t>
      </w:r>
      <w:r>
        <w:t>affect in our ability to acquire knowledge through olfaction, that smell-exchange would</w:t>
      </w:r>
      <w:r>
        <w:rPr>
          <w:spacing w:val="-19"/>
        </w:rPr>
        <w:t xml:space="preserve"> </w:t>
      </w:r>
      <w:r>
        <w:t>initially</w:t>
      </w:r>
      <w:r>
        <w:rPr>
          <w:spacing w:val="-18"/>
        </w:rPr>
        <w:t xml:space="preserve"> </w:t>
      </w:r>
      <w:r>
        <w:t>compromise</w:t>
      </w:r>
      <w:r>
        <w:rPr>
          <w:spacing w:val="-12"/>
        </w:rPr>
        <w:t xml:space="preserve"> </w:t>
      </w:r>
      <w:r>
        <w:t>our</w:t>
      </w:r>
      <w:r>
        <w:rPr>
          <w:spacing w:val="-12"/>
        </w:rPr>
        <w:t xml:space="preserve"> </w:t>
      </w:r>
      <w:r>
        <w:t>ability</w:t>
      </w:r>
      <w:r>
        <w:rPr>
          <w:spacing w:val="-12"/>
        </w:rPr>
        <w:t xml:space="preserve"> </w:t>
      </w:r>
      <w:r>
        <w:t>to</w:t>
      </w:r>
      <w:r>
        <w:rPr>
          <w:spacing w:val="-12"/>
        </w:rPr>
        <w:t xml:space="preserve"> </w:t>
      </w:r>
      <w:r>
        <w:t>do</w:t>
      </w:r>
      <w:r>
        <w:rPr>
          <w:spacing w:val="-12"/>
        </w:rPr>
        <w:t xml:space="preserve"> </w:t>
      </w:r>
      <w:r>
        <w:t>so.</w:t>
      </w:r>
      <w:r>
        <w:rPr>
          <w:spacing w:val="-16"/>
        </w:rPr>
        <w:t xml:space="preserve"> </w:t>
      </w:r>
      <w:r>
        <w:t>This</w:t>
      </w:r>
      <w:r>
        <w:rPr>
          <w:spacing w:val="-12"/>
        </w:rPr>
        <w:t xml:space="preserve"> </w:t>
      </w:r>
      <w:r>
        <w:t>fact</w:t>
      </w:r>
      <w:r>
        <w:rPr>
          <w:spacing w:val="-19"/>
        </w:rPr>
        <w:t xml:space="preserve"> </w:t>
      </w:r>
      <w:r>
        <w:rPr>
          <w:i/>
        </w:rPr>
        <w:t>initially</w:t>
      </w:r>
      <w:r>
        <w:rPr>
          <w:i/>
          <w:spacing w:val="-19"/>
        </w:rPr>
        <w:t xml:space="preserve"> </w:t>
      </w:r>
      <w:r>
        <w:t>suggests</w:t>
      </w:r>
      <w:r>
        <w:rPr>
          <w:spacing w:val="-14"/>
        </w:rPr>
        <w:t xml:space="preserve"> </w:t>
      </w:r>
      <w:r>
        <w:t>that olfaction doesn’t give us knowledge of the causal structure of the world. But, duly</w:t>
      </w:r>
      <w:r>
        <w:rPr>
          <w:spacing w:val="-8"/>
        </w:rPr>
        <w:t xml:space="preserve"> </w:t>
      </w:r>
      <w:r>
        <w:t>scrutinized,</w:t>
      </w:r>
      <w:r>
        <w:rPr>
          <w:spacing w:val="-8"/>
        </w:rPr>
        <w:t xml:space="preserve"> </w:t>
      </w:r>
      <w:r>
        <w:t>it</w:t>
      </w:r>
      <w:r>
        <w:rPr>
          <w:spacing w:val="-8"/>
        </w:rPr>
        <w:t xml:space="preserve"> </w:t>
      </w:r>
      <w:r>
        <w:t>turns</w:t>
      </w:r>
      <w:r>
        <w:rPr>
          <w:spacing w:val="-8"/>
        </w:rPr>
        <w:t xml:space="preserve"> </w:t>
      </w:r>
      <w:r>
        <w:t>out</w:t>
      </w:r>
      <w:r>
        <w:rPr>
          <w:spacing w:val="-8"/>
        </w:rPr>
        <w:t xml:space="preserve"> </w:t>
      </w:r>
      <w:r>
        <w:t>to</w:t>
      </w:r>
      <w:r>
        <w:rPr>
          <w:spacing w:val="-8"/>
        </w:rPr>
        <w:t xml:space="preserve"> </w:t>
      </w:r>
      <w:r>
        <w:t>entail</w:t>
      </w:r>
      <w:r>
        <w:rPr>
          <w:spacing w:val="-8"/>
        </w:rPr>
        <w:t xml:space="preserve"> </w:t>
      </w:r>
      <w:r>
        <w:t>that</w:t>
      </w:r>
      <w:r>
        <w:rPr>
          <w:spacing w:val="-8"/>
        </w:rPr>
        <w:t xml:space="preserve"> </w:t>
      </w:r>
      <w:r>
        <w:t>olfaction</w:t>
      </w:r>
      <w:r>
        <w:rPr>
          <w:spacing w:val="-8"/>
        </w:rPr>
        <w:t xml:space="preserve"> </w:t>
      </w:r>
      <w:r>
        <w:t>is,</w:t>
      </w:r>
      <w:r>
        <w:rPr>
          <w:spacing w:val="-8"/>
        </w:rPr>
        <w:t xml:space="preserve"> </w:t>
      </w:r>
      <w:r>
        <w:t>like</w:t>
      </w:r>
      <w:r>
        <w:rPr>
          <w:spacing w:val="-8"/>
        </w:rPr>
        <w:t xml:space="preserve"> </w:t>
      </w:r>
      <w:r>
        <w:t>vision</w:t>
      </w:r>
      <w:r>
        <w:rPr>
          <w:spacing w:val="-8"/>
        </w:rPr>
        <w:t xml:space="preserve"> </w:t>
      </w:r>
      <w:r>
        <w:t>and</w:t>
      </w:r>
      <w:r>
        <w:rPr>
          <w:spacing w:val="-8"/>
        </w:rPr>
        <w:t xml:space="preserve"> </w:t>
      </w:r>
      <w:r>
        <w:t xml:space="preserve">audition, </w:t>
      </w:r>
      <w:r>
        <w:rPr>
          <w:i/>
        </w:rPr>
        <w:t xml:space="preserve">does </w:t>
      </w:r>
      <w:r>
        <w:t>give us such knowledge.</w:t>
      </w:r>
    </w:p>
    <w:p w14:paraId="7E001B38" w14:textId="77777777" w:rsidR="009A58DB" w:rsidRDefault="00000000">
      <w:pPr>
        <w:pStyle w:val="BodyText"/>
        <w:spacing w:before="7" w:line="249" w:lineRule="auto"/>
        <w:ind w:right="362" w:firstLine="360"/>
      </w:pPr>
      <w:r>
        <w:t>Much</w:t>
      </w:r>
      <w:r>
        <w:rPr>
          <w:spacing w:val="-5"/>
        </w:rPr>
        <w:t xml:space="preserve"> </w:t>
      </w:r>
      <w:r>
        <w:t>of</w:t>
      </w:r>
      <w:r>
        <w:rPr>
          <w:spacing w:val="-5"/>
        </w:rPr>
        <w:t xml:space="preserve"> </w:t>
      </w:r>
      <w:r>
        <w:t>the</w:t>
      </w:r>
      <w:r>
        <w:rPr>
          <w:spacing w:val="-5"/>
        </w:rPr>
        <w:t xml:space="preserve"> </w:t>
      </w:r>
      <w:r>
        <w:t>knowledge</w:t>
      </w:r>
      <w:r>
        <w:rPr>
          <w:spacing w:val="-5"/>
        </w:rPr>
        <w:t xml:space="preserve"> </w:t>
      </w:r>
      <w:r>
        <w:t>that</w:t>
      </w:r>
      <w:r>
        <w:rPr>
          <w:spacing w:val="-5"/>
        </w:rPr>
        <w:t xml:space="preserve"> </w:t>
      </w:r>
      <w:r>
        <w:t>we</w:t>
      </w:r>
      <w:r>
        <w:rPr>
          <w:spacing w:val="-5"/>
        </w:rPr>
        <w:t xml:space="preserve"> </w:t>
      </w:r>
      <w:r>
        <w:t>acquire</w:t>
      </w:r>
      <w:r>
        <w:rPr>
          <w:spacing w:val="-5"/>
        </w:rPr>
        <w:t xml:space="preserve"> </w:t>
      </w:r>
      <w:r>
        <w:t>through</w:t>
      </w:r>
      <w:r>
        <w:rPr>
          <w:spacing w:val="-5"/>
        </w:rPr>
        <w:t xml:space="preserve"> </w:t>
      </w:r>
      <w:r>
        <w:t>the</w:t>
      </w:r>
      <w:r>
        <w:rPr>
          <w:spacing w:val="-5"/>
        </w:rPr>
        <w:t xml:space="preserve"> </w:t>
      </w:r>
      <w:r>
        <w:t>sense</w:t>
      </w:r>
      <w:r>
        <w:rPr>
          <w:spacing w:val="-5"/>
        </w:rPr>
        <w:t xml:space="preserve"> </w:t>
      </w:r>
      <w:r>
        <w:t>of</w:t>
      </w:r>
      <w:r>
        <w:rPr>
          <w:spacing w:val="-5"/>
        </w:rPr>
        <w:t xml:space="preserve"> </w:t>
      </w:r>
      <w:r>
        <w:t>smell</w:t>
      </w:r>
      <w:r>
        <w:rPr>
          <w:spacing w:val="-5"/>
        </w:rPr>
        <w:t xml:space="preserve"> </w:t>
      </w:r>
      <w:r>
        <w:t>is</w:t>
      </w:r>
      <w:r>
        <w:rPr>
          <w:spacing w:val="-5"/>
        </w:rPr>
        <w:t xml:space="preserve"> </w:t>
      </w:r>
      <w:r>
        <w:t>based on the comparative properties of our olfactory sensations. Other things being equal,</w:t>
      </w:r>
      <w:r>
        <w:rPr>
          <w:spacing w:val="-1"/>
        </w:rPr>
        <w:t xml:space="preserve"> </w:t>
      </w:r>
      <w:r>
        <w:t>the</w:t>
      </w:r>
      <w:r>
        <w:rPr>
          <w:spacing w:val="-1"/>
        </w:rPr>
        <w:t xml:space="preserve"> </w:t>
      </w:r>
      <w:r>
        <w:t>more</w:t>
      </w:r>
      <w:r>
        <w:rPr>
          <w:spacing w:val="-1"/>
        </w:rPr>
        <w:t xml:space="preserve"> </w:t>
      </w:r>
      <w:r>
        <w:t>rotten</w:t>
      </w:r>
      <w:r>
        <w:rPr>
          <w:spacing w:val="-1"/>
        </w:rPr>
        <w:t xml:space="preserve"> </w:t>
      </w:r>
      <w:r>
        <w:t>a</w:t>
      </w:r>
      <w:r>
        <w:rPr>
          <w:spacing w:val="-1"/>
        </w:rPr>
        <w:t xml:space="preserve"> </w:t>
      </w:r>
      <w:r>
        <w:t>cut</w:t>
      </w:r>
      <w:r>
        <w:rPr>
          <w:spacing w:val="-1"/>
        </w:rPr>
        <w:t xml:space="preserve"> </w:t>
      </w:r>
      <w:r>
        <w:t>of</w:t>
      </w:r>
      <w:r>
        <w:rPr>
          <w:spacing w:val="-1"/>
        </w:rPr>
        <w:t xml:space="preserve"> </w:t>
      </w:r>
      <w:r>
        <w:t>meat</w:t>
      </w:r>
      <w:r>
        <w:rPr>
          <w:spacing w:val="-1"/>
        </w:rPr>
        <w:t xml:space="preserve"> </w:t>
      </w:r>
      <w:r>
        <w:t>is,</w:t>
      </w:r>
      <w:r>
        <w:rPr>
          <w:spacing w:val="-1"/>
        </w:rPr>
        <w:t xml:space="preserve"> </w:t>
      </w:r>
      <w:r>
        <w:t>the worse it smells. Other things being equal,</w:t>
      </w:r>
      <w:r>
        <w:rPr>
          <w:spacing w:val="-19"/>
        </w:rPr>
        <w:t xml:space="preserve"> </w:t>
      </w:r>
      <w:r>
        <w:t>the</w:t>
      </w:r>
      <w:r>
        <w:rPr>
          <w:spacing w:val="-19"/>
        </w:rPr>
        <w:t xml:space="preserve"> </w:t>
      </w:r>
      <w:r>
        <w:t>more</w:t>
      </w:r>
      <w:r>
        <w:rPr>
          <w:spacing w:val="-19"/>
        </w:rPr>
        <w:t xml:space="preserve"> </w:t>
      </w:r>
      <w:r>
        <w:t>pungent</w:t>
      </w:r>
      <w:r>
        <w:rPr>
          <w:spacing w:val="-18"/>
        </w:rPr>
        <w:t xml:space="preserve"> </w:t>
      </w:r>
      <w:r>
        <w:t>the</w:t>
      </w:r>
      <w:r>
        <w:rPr>
          <w:spacing w:val="-19"/>
        </w:rPr>
        <w:t xml:space="preserve"> </w:t>
      </w:r>
      <w:r>
        <w:t>fragrance</w:t>
      </w:r>
      <w:r>
        <w:rPr>
          <w:spacing w:val="-19"/>
        </w:rPr>
        <w:t xml:space="preserve"> </w:t>
      </w:r>
      <w:r>
        <w:t>of</w:t>
      </w:r>
      <w:r>
        <w:rPr>
          <w:spacing w:val="-19"/>
        </w:rPr>
        <w:t xml:space="preserve"> </w:t>
      </w:r>
      <w:r>
        <w:t>a</w:t>
      </w:r>
      <w:r>
        <w:rPr>
          <w:spacing w:val="-18"/>
        </w:rPr>
        <w:t xml:space="preserve"> </w:t>
      </w:r>
      <w:r>
        <w:t>eucalyptus</w:t>
      </w:r>
      <w:r>
        <w:rPr>
          <w:spacing w:val="-19"/>
        </w:rPr>
        <w:t xml:space="preserve"> </w:t>
      </w:r>
      <w:r>
        <w:t>tree</w:t>
      </w:r>
      <w:r>
        <w:rPr>
          <w:spacing w:val="-19"/>
        </w:rPr>
        <w:t xml:space="preserve"> </w:t>
      </w:r>
      <w:r>
        <w:t>is,</w:t>
      </w:r>
      <w:r>
        <w:rPr>
          <w:spacing w:val="-19"/>
        </w:rPr>
        <w:t xml:space="preserve"> </w:t>
      </w:r>
      <w:r>
        <w:t>the</w:t>
      </w:r>
      <w:r>
        <w:rPr>
          <w:spacing w:val="-18"/>
        </w:rPr>
        <w:t xml:space="preserve"> </w:t>
      </w:r>
      <w:r>
        <w:t>richer</w:t>
      </w:r>
      <w:r>
        <w:rPr>
          <w:spacing w:val="-19"/>
        </w:rPr>
        <w:t xml:space="preserve"> </w:t>
      </w:r>
      <w:r>
        <w:t>that</w:t>
      </w:r>
      <w:r>
        <w:rPr>
          <w:spacing w:val="-19"/>
        </w:rPr>
        <w:t xml:space="preserve"> </w:t>
      </w:r>
      <w:r>
        <w:t>tree is</w:t>
      </w:r>
      <w:r>
        <w:rPr>
          <w:spacing w:val="-7"/>
        </w:rPr>
        <w:t xml:space="preserve"> </w:t>
      </w:r>
      <w:r>
        <w:t>in</w:t>
      </w:r>
      <w:r>
        <w:rPr>
          <w:spacing w:val="-7"/>
        </w:rPr>
        <w:t xml:space="preserve"> </w:t>
      </w:r>
      <w:r>
        <w:t>the</w:t>
      </w:r>
      <w:r>
        <w:rPr>
          <w:spacing w:val="-7"/>
        </w:rPr>
        <w:t xml:space="preserve"> </w:t>
      </w:r>
      <w:r>
        <w:t>chemical</w:t>
      </w:r>
      <w:r>
        <w:rPr>
          <w:spacing w:val="-8"/>
        </w:rPr>
        <w:t xml:space="preserve"> </w:t>
      </w:r>
      <w:r>
        <w:t>responsible</w:t>
      </w:r>
      <w:r>
        <w:rPr>
          <w:spacing w:val="-7"/>
        </w:rPr>
        <w:t xml:space="preserve"> </w:t>
      </w:r>
      <w:r>
        <w:t>for</w:t>
      </w:r>
      <w:r>
        <w:rPr>
          <w:spacing w:val="-8"/>
        </w:rPr>
        <w:t xml:space="preserve"> </w:t>
      </w:r>
      <w:r>
        <w:t>that</w:t>
      </w:r>
      <w:r>
        <w:rPr>
          <w:spacing w:val="-8"/>
        </w:rPr>
        <w:t xml:space="preserve"> </w:t>
      </w:r>
      <w:r>
        <w:t>smell.</w:t>
      </w:r>
    </w:p>
    <w:p w14:paraId="7E001B39" w14:textId="77777777" w:rsidR="009A58DB" w:rsidRDefault="00000000">
      <w:pPr>
        <w:pStyle w:val="BodyText"/>
        <w:spacing w:before="6"/>
        <w:ind w:left="720"/>
      </w:pPr>
      <w:r>
        <w:t>Bearing</w:t>
      </w:r>
      <w:r>
        <w:rPr>
          <w:spacing w:val="-17"/>
        </w:rPr>
        <w:t xml:space="preserve"> </w:t>
      </w:r>
      <w:r>
        <w:t>this</w:t>
      </w:r>
      <w:r>
        <w:rPr>
          <w:spacing w:val="-17"/>
        </w:rPr>
        <w:t xml:space="preserve"> </w:t>
      </w:r>
      <w:r>
        <w:t>in</w:t>
      </w:r>
      <w:r>
        <w:rPr>
          <w:spacing w:val="-17"/>
        </w:rPr>
        <w:t xml:space="preserve"> </w:t>
      </w:r>
      <w:r>
        <w:t>mind,</w:t>
      </w:r>
      <w:r>
        <w:rPr>
          <w:spacing w:val="-17"/>
        </w:rPr>
        <w:t xml:space="preserve"> </w:t>
      </w:r>
      <w:r>
        <w:t>suppose</w:t>
      </w:r>
      <w:r>
        <w:rPr>
          <w:spacing w:val="-16"/>
        </w:rPr>
        <w:t xml:space="preserve"> </w:t>
      </w:r>
      <w:r>
        <w:t>that</w:t>
      </w:r>
      <w:r>
        <w:rPr>
          <w:spacing w:val="-17"/>
        </w:rPr>
        <w:t xml:space="preserve"> </w:t>
      </w:r>
      <w:r>
        <w:t>S</w:t>
      </w:r>
      <w:r>
        <w:rPr>
          <w:spacing w:val="-17"/>
        </w:rPr>
        <w:t xml:space="preserve"> </w:t>
      </w:r>
      <w:r>
        <w:t>is</w:t>
      </w:r>
      <w:r>
        <w:rPr>
          <w:spacing w:val="-16"/>
        </w:rPr>
        <w:t xml:space="preserve"> </w:t>
      </w:r>
      <w:r>
        <w:t>the</w:t>
      </w:r>
      <w:r>
        <w:rPr>
          <w:spacing w:val="-16"/>
        </w:rPr>
        <w:t xml:space="preserve"> </w:t>
      </w:r>
      <w:r>
        <w:t>exact</w:t>
      </w:r>
      <w:r>
        <w:rPr>
          <w:spacing w:val="-17"/>
        </w:rPr>
        <w:t xml:space="preserve"> </w:t>
      </w:r>
      <w:r>
        <w:t>smell</w:t>
      </w:r>
      <w:r>
        <w:rPr>
          <w:spacing w:val="-17"/>
        </w:rPr>
        <w:t xml:space="preserve"> </w:t>
      </w:r>
      <w:r>
        <w:t>had</w:t>
      </w:r>
      <w:r>
        <w:rPr>
          <w:spacing w:val="-16"/>
        </w:rPr>
        <w:t xml:space="preserve"> </w:t>
      </w:r>
      <w:r>
        <w:t>(under</w:t>
      </w:r>
      <w:r>
        <w:rPr>
          <w:spacing w:val="-16"/>
        </w:rPr>
        <w:t xml:space="preserve"> </w:t>
      </w:r>
      <w:r>
        <w:t>a</w:t>
      </w:r>
      <w:r>
        <w:rPr>
          <w:spacing w:val="-16"/>
        </w:rPr>
        <w:t xml:space="preserve"> </w:t>
      </w:r>
      <w:r>
        <w:t>given</w:t>
      </w:r>
      <w:r>
        <w:rPr>
          <w:spacing w:val="-15"/>
        </w:rPr>
        <w:t xml:space="preserve"> </w:t>
      </w:r>
      <w:r>
        <w:rPr>
          <w:spacing w:val="-5"/>
        </w:rPr>
        <w:t>set</w:t>
      </w:r>
    </w:p>
    <w:p w14:paraId="7E001B3A" w14:textId="77777777" w:rsidR="009A58DB" w:rsidRDefault="009A58DB">
      <w:pPr>
        <w:pStyle w:val="BodyText"/>
        <w:sectPr w:rsidR="009A58DB">
          <w:pgSz w:w="12240" w:h="15840"/>
          <w:pgMar w:top="1380" w:right="1080" w:bottom="280" w:left="1080" w:header="720" w:footer="720" w:gutter="0"/>
          <w:cols w:space="720"/>
        </w:sectPr>
      </w:pPr>
    </w:p>
    <w:p w14:paraId="7E001B3B" w14:textId="77777777" w:rsidR="009A58DB" w:rsidRDefault="00000000">
      <w:pPr>
        <w:pStyle w:val="BodyText"/>
        <w:spacing w:before="65" w:line="249" w:lineRule="auto"/>
        <w:ind w:right="358"/>
      </w:pPr>
      <w:r>
        <w:lastRenderedPageBreak/>
        <w:t>of</w:t>
      </w:r>
      <w:r>
        <w:rPr>
          <w:spacing w:val="-17"/>
        </w:rPr>
        <w:t xml:space="preserve"> </w:t>
      </w:r>
      <w:r>
        <w:t>circumstances)</w:t>
      </w:r>
      <w:r>
        <w:rPr>
          <w:spacing w:val="-17"/>
        </w:rPr>
        <w:t xml:space="preserve"> </w:t>
      </w:r>
      <w:r>
        <w:t>by</w:t>
      </w:r>
      <w:r>
        <w:rPr>
          <w:spacing w:val="-17"/>
        </w:rPr>
        <w:t xml:space="preserve"> </w:t>
      </w:r>
      <w:r>
        <w:t>a</w:t>
      </w:r>
      <w:r>
        <w:rPr>
          <w:spacing w:val="-17"/>
        </w:rPr>
        <w:t xml:space="preserve"> </w:t>
      </w:r>
      <w:r>
        <w:t>cut</w:t>
      </w:r>
      <w:r>
        <w:rPr>
          <w:spacing w:val="-17"/>
        </w:rPr>
        <w:t xml:space="preserve"> </w:t>
      </w:r>
      <w:r>
        <w:t>of</w:t>
      </w:r>
      <w:r>
        <w:rPr>
          <w:spacing w:val="-17"/>
        </w:rPr>
        <w:t xml:space="preserve"> </w:t>
      </w:r>
      <w:r>
        <w:t>meet</w:t>
      </w:r>
      <w:r>
        <w:rPr>
          <w:spacing w:val="-17"/>
        </w:rPr>
        <w:t xml:space="preserve"> </w:t>
      </w:r>
      <w:r>
        <w:t>that</w:t>
      </w:r>
      <w:r>
        <w:rPr>
          <w:spacing w:val="-17"/>
        </w:rPr>
        <w:t xml:space="preserve"> </w:t>
      </w:r>
      <w:r>
        <w:t>was</w:t>
      </w:r>
      <w:r>
        <w:rPr>
          <w:spacing w:val="-17"/>
        </w:rPr>
        <w:t xml:space="preserve"> </w:t>
      </w:r>
      <w:r>
        <w:t>rotten</w:t>
      </w:r>
      <w:r>
        <w:rPr>
          <w:spacing w:val="-17"/>
        </w:rPr>
        <w:t xml:space="preserve"> </w:t>
      </w:r>
      <w:r>
        <w:t>to</w:t>
      </w:r>
      <w:r>
        <w:rPr>
          <w:spacing w:val="-17"/>
        </w:rPr>
        <w:t xml:space="preserve"> </w:t>
      </w:r>
      <w:r>
        <w:t>degree</w:t>
      </w:r>
      <w:r>
        <w:rPr>
          <w:spacing w:val="-17"/>
        </w:rPr>
        <w:t xml:space="preserve"> </w:t>
      </w:r>
      <w:r>
        <w:t>n,</w:t>
      </w:r>
      <w:r>
        <w:rPr>
          <w:spacing w:val="-17"/>
        </w:rPr>
        <w:t xml:space="preserve"> </w:t>
      </w:r>
      <w:r>
        <w:t>and</w:t>
      </w:r>
      <w:r>
        <w:rPr>
          <w:spacing w:val="-17"/>
        </w:rPr>
        <w:t xml:space="preserve"> </w:t>
      </w:r>
      <w:r>
        <w:t>that</w:t>
      </w:r>
      <w:r>
        <w:rPr>
          <w:spacing w:val="-17"/>
        </w:rPr>
        <w:t xml:space="preserve"> </w:t>
      </w:r>
      <w:r>
        <w:t>S*</w:t>
      </w:r>
      <w:r>
        <w:rPr>
          <w:spacing w:val="-17"/>
        </w:rPr>
        <w:t xml:space="preserve"> </w:t>
      </w:r>
      <w:r>
        <w:t>is</w:t>
      </w:r>
      <w:r>
        <w:rPr>
          <w:spacing w:val="-17"/>
        </w:rPr>
        <w:t xml:space="preserve"> </w:t>
      </w:r>
      <w:r>
        <w:t>the fragrance</w:t>
      </w:r>
      <w:r>
        <w:rPr>
          <w:spacing w:val="-16"/>
        </w:rPr>
        <w:t xml:space="preserve"> </w:t>
      </w:r>
      <w:r>
        <w:t>(same</w:t>
      </w:r>
      <w:r>
        <w:rPr>
          <w:spacing w:val="-16"/>
        </w:rPr>
        <w:t xml:space="preserve"> </w:t>
      </w:r>
      <w:r>
        <w:t>qualification)</w:t>
      </w:r>
      <w:r>
        <w:rPr>
          <w:spacing w:val="-16"/>
        </w:rPr>
        <w:t xml:space="preserve"> </w:t>
      </w:r>
      <w:r>
        <w:t>of</w:t>
      </w:r>
      <w:r>
        <w:rPr>
          <w:spacing w:val="-16"/>
        </w:rPr>
        <w:t xml:space="preserve"> </w:t>
      </w:r>
      <w:r>
        <w:t>a</w:t>
      </w:r>
      <w:r>
        <w:rPr>
          <w:spacing w:val="-16"/>
        </w:rPr>
        <w:t xml:space="preserve"> </w:t>
      </w:r>
      <w:r>
        <w:t>eucalyptus</w:t>
      </w:r>
      <w:r>
        <w:rPr>
          <w:spacing w:val="-16"/>
        </w:rPr>
        <w:t xml:space="preserve"> </w:t>
      </w:r>
      <w:r>
        <w:t>having</w:t>
      </w:r>
      <w:r>
        <w:rPr>
          <w:spacing w:val="-16"/>
        </w:rPr>
        <w:t xml:space="preserve"> </w:t>
      </w:r>
      <w:r>
        <w:t>amount</w:t>
      </w:r>
      <w:r>
        <w:rPr>
          <w:spacing w:val="-16"/>
        </w:rPr>
        <w:t xml:space="preserve"> </w:t>
      </w:r>
      <w:r>
        <w:t>m</w:t>
      </w:r>
      <w:r>
        <w:rPr>
          <w:spacing w:val="-16"/>
        </w:rPr>
        <w:t xml:space="preserve"> </w:t>
      </w:r>
      <w:r>
        <w:t>of</w:t>
      </w:r>
      <w:r>
        <w:rPr>
          <w:spacing w:val="-16"/>
        </w:rPr>
        <w:t xml:space="preserve"> </w:t>
      </w:r>
      <w:r>
        <w:t>the</w:t>
      </w:r>
      <w:r>
        <w:rPr>
          <w:spacing w:val="-16"/>
        </w:rPr>
        <w:t xml:space="preserve"> </w:t>
      </w:r>
      <w:r>
        <w:t>relevant chemical.</w:t>
      </w:r>
      <w:r>
        <w:rPr>
          <w:spacing w:val="-10"/>
        </w:rPr>
        <w:t xml:space="preserve"> </w:t>
      </w:r>
      <w:r>
        <w:t>Because</w:t>
      </w:r>
      <w:r>
        <w:rPr>
          <w:spacing w:val="-10"/>
        </w:rPr>
        <w:t xml:space="preserve"> </w:t>
      </w:r>
      <w:r>
        <w:t>the</w:t>
      </w:r>
      <w:r>
        <w:rPr>
          <w:spacing w:val="-10"/>
        </w:rPr>
        <w:t xml:space="preserve"> </w:t>
      </w:r>
      <w:r>
        <w:t>previously</w:t>
      </w:r>
      <w:r>
        <w:rPr>
          <w:spacing w:val="-10"/>
        </w:rPr>
        <w:t xml:space="preserve"> </w:t>
      </w:r>
      <w:r>
        <w:t>described</w:t>
      </w:r>
      <w:r>
        <w:rPr>
          <w:spacing w:val="-10"/>
        </w:rPr>
        <w:t xml:space="preserve"> </w:t>
      </w:r>
      <w:r>
        <w:t>exchange</w:t>
      </w:r>
      <w:r>
        <w:rPr>
          <w:spacing w:val="-10"/>
        </w:rPr>
        <w:t xml:space="preserve"> </w:t>
      </w:r>
      <w:r>
        <w:t>hasn’t</w:t>
      </w:r>
      <w:r>
        <w:rPr>
          <w:spacing w:val="-10"/>
        </w:rPr>
        <w:t xml:space="preserve"> </w:t>
      </w:r>
      <w:r>
        <w:t>occurred,</w:t>
      </w:r>
      <w:r>
        <w:rPr>
          <w:spacing w:val="-10"/>
        </w:rPr>
        <w:t xml:space="preserve"> </w:t>
      </w:r>
      <w:r>
        <w:t>given</w:t>
      </w:r>
      <w:r>
        <w:rPr>
          <w:spacing w:val="-10"/>
        </w:rPr>
        <w:t xml:space="preserve"> </w:t>
      </w:r>
      <w:r>
        <w:t>a cut</w:t>
      </w:r>
      <w:r>
        <w:rPr>
          <w:spacing w:val="-16"/>
        </w:rPr>
        <w:t xml:space="preserve"> </w:t>
      </w:r>
      <w:r>
        <w:t>of</w:t>
      </w:r>
      <w:r>
        <w:rPr>
          <w:spacing w:val="-16"/>
        </w:rPr>
        <w:t xml:space="preserve"> </w:t>
      </w:r>
      <w:r>
        <w:t>meat</w:t>
      </w:r>
      <w:r>
        <w:rPr>
          <w:spacing w:val="-16"/>
        </w:rPr>
        <w:t xml:space="preserve"> </w:t>
      </w:r>
      <w:r>
        <w:t>having</w:t>
      </w:r>
      <w:r>
        <w:rPr>
          <w:spacing w:val="-15"/>
        </w:rPr>
        <w:t xml:space="preserve"> </w:t>
      </w:r>
      <w:r>
        <w:t>S</w:t>
      </w:r>
      <w:r>
        <w:rPr>
          <w:spacing w:val="-16"/>
        </w:rPr>
        <w:t xml:space="preserve"> </w:t>
      </w:r>
      <w:r>
        <w:t>and</w:t>
      </w:r>
      <w:r>
        <w:rPr>
          <w:spacing w:val="-15"/>
        </w:rPr>
        <w:t xml:space="preserve"> </w:t>
      </w:r>
      <w:r>
        <w:t>some</w:t>
      </w:r>
      <w:r>
        <w:rPr>
          <w:spacing w:val="-15"/>
        </w:rPr>
        <w:t xml:space="preserve"> </w:t>
      </w:r>
      <w:r>
        <w:t>other,</w:t>
      </w:r>
      <w:r>
        <w:rPr>
          <w:spacing w:val="-15"/>
        </w:rPr>
        <w:t xml:space="preserve"> </w:t>
      </w:r>
      <w:r>
        <w:t>otherwise</w:t>
      </w:r>
      <w:r>
        <w:rPr>
          <w:spacing w:val="-15"/>
        </w:rPr>
        <w:t xml:space="preserve"> </w:t>
      </w:r>
      <w:r>
        <w:t>observationally</w:t>
      </w:r>
      <w:r>
        <w:rPr>
          <w:spacing w:val="-15"/>
        </w:rPr>
        <w:t xml:space="preserve"> </w:t>
      </w:r>
      <w:r>
        <w:t>identical</w:t>
      </w:r>
      <w:r>
        <w:rPr>
          <w:spacing w:val="-16"/>
        </w:rPr>
        <w:t xml:space="preserve"> </w:t>
      </w:r>
      <w:r>
        <w:t>cut</w:t>
      </w:r>
      <w:r>
        <w:rPr>
          <w:spacing w:val="-16"/>
        </w:rPr>
        <w:t xml:space="preserve"> </w:t>
      </w:r>
      <w:r>
        <w:t xml:space="preserve">of meat, with a much stronger (weaker) version of S, I know on that basis that </w:t>
      </w:r>
      <w:r>
        <w:rPr>
          <w:i/>
        </w:rPr>
        <w:t>ceteris paribus</w:t>
      </w:r>
      <w:r>
        <w:rPr>
          <w:i/>
          <w:spacing w:val="-19"/>
        </w:rPr>
        <w:t xml:space="preserve"> </w:t>
      </w:r>
      <w:r>
        <w:t>the latter cut of meat is more (less) rotten than the former. For this</w:t>
      </w:r>
      <w:r>
        <w:rPr>
          <w:spacing w:val="-19"/>
        </w:rPr>
        <w:t xml:space="preserve"> </w:t>
      </w:r>
      <w:r>
        <w:t>reason,</w:t>
      </w:r>
      <w:r>
        <w:rPr>
          <w:spacing w:val="-19"/>
        </w:rPr>
        <w:t xml:space="preserve"> </w:t>
      </w:r>
      <w:r>
        <w:t>if</w:t>
      </w:r>
      <w:r>
        <w:rPr>
          <w:spacing w:val="-13"/>
        </w:rPr>
        <w:t xml:space="preserve"> </w:t>
      </w:r>
      <w:r>
        <w:t>the</w:t>
      </w:r>
      <w:r>
        <w:rPr>
          <w:spacing w:val="-14"/>
        </w:rPr>
        <w:t xml:space="preserve"> </w:t>
      </w:r>
      <w:r>
        <w:t>exchanged</w:t>
      </w:r>
      <w:r>
        <w:rPr>
          <w:spacing w:val="-14"/>
        </w:rPr>
        <w:t xml:space="preserve"> </w:t>
      </w:r>
      <w:r>
        <w:t>in</w:t>
      </w:r>
      <w:r>
        <w:rPr>
          <w:spacing w:val="-14"/>
        </w:rPr>
        <w:t xml:space="preserve"> </w:t>
      </w:r>
      <w:r>
        <w:t>question</w:t>
      </w:r>
      <w:r>
        <w:rPr>
          <w:spacing w:val="-14"/>
        </w:rPr>
        <w:t xml:space="preserve"> </w:t>
      </w:r>
      <w:r>
        <w:t>occurred</w:t>
      </w:r>
      <w:r>
        <w:rPr>
          <w:spacing w:val="-19"/>
        </w:rPr>
        <w:t xml:space="preserve"> </w:t>
      </w:r>
      <w:r>
        <w:rPr>
          <w:i/>
        </w:rPr>
        <w:t>but</w:t>
      </w:r>
      <w:r>
        <w:rPr>
          <w:i/>
          <w:spacing w:val="-15"/>
        </w:rPr>
        <w:t xml:space="preserve"> </w:t>
      </w:r>
      <w:r>
        <w:rPr>
          <w:i/>
        </w:rPr>
        <w:t>that</w:t>
      </w:r>
      <w:r>
        <w:rPr>
          <w:i/>
          <w:spacing w:val="-15"/>
        </w:rPr>
        <w:t xml:space="preserve"> </w:t>
      </w:r>
      <w:r>
        <w:rPr>
          <w:i/>
        </w:rPr>
        <w:t>other,</w:t>
      </w:r>
      <w:r>
        <w:rPr>
          <w:i/>
          <w:spacing w:val="-15"/>
        </w:rPr>
        <w:t xml:space="preserve"> </w:t>
      </w:r>
      <w:r>
        <w:rPr>
          <w:i/>
        </w:rPr>
        <w:t>compensatory changes didn’t occur alongside t i ,</w:t>
      </w:r>
      <w:r>
        <w:rPr>
          <w:i/>
          <w:spacing w:val="-18"/>
        </w:rPr>
        <w:t xml:space="preserve"> </w:t>
      </w:r>
      <w:r>
        <w:t>our ability to acquire comparative knowledge</w:t>
      </w:r>
      <w:r>
        <w:rPr>
          <w:spacing w:val="-4"/>
        </w:rPr>
        <w:t xml:space="preserve"> </w:t>
      </w:r>
      <w:r>
        <w:t>of</w:t>
      </w:r>
      <w:r>
        <w:rPr>
          <w:spacing w:val="-5"/>
        </w:rPr>
        <w:t xml:space="preserve"> </w:t>
      </w:r>
      <w:r>
        <w:t>this</w:t>
      </w:r>
      <w:r>
        <w:rPr>
          <w:spacing w:val="-4"/>
        </w:rPr>
        <w:t xml:space="preserve"> </w:t>
      </w:r>
      <w:r>
        <w:t>kind</w:t>
      </w:r>
      <w:r>
        <w:rPr>
          <w:spacing w:val="-4"/>
        </w:rPr>
        <w:t xml:space="preserve"> </w:t>
      </w:r>
      <w:r>
        <w:t>would</w:t>
      </w:r>
      <w:r>
        <w:rPr>
          <w:spacing w:val="-4"/>
        </w:rPr>
        <w:t xml:space="preserve"> </w:t>
      </w:r>
      <w:r>
        <w:t>be</w:t>
      </w:r>
      <w:r>
        <w:rPr>
          <w:spacing w:val="-4"/>
        </w:rPr>
        <w:t xml:space="preserve"> </w:t>
      </w:r>
      <w:r>
        <w:t>diminished.</w:t>
      </w:r>
    </w:p>
    <w:p w14:paraId="7E001B3C" w14:textId="77777777" w:rsidR="009A58DB" w:rsidRDefault="00000000">
      <w:pPr>
        <w:pStyle w:val="BodyText"/>
        <w:spacing w:before="11" w:line="249" w:lineRule="auto"/>
        <w:ind w:right="362" w:firstLine="360"/>
      </w:pPr>
      <w:r>
        <w:t>But there’s no reason why any given set of causal properties should be associated</w:t>
      </w:r>
      <w:r>
        <w:rPr>
          <w:spacing w:val="-21"/>
        </w:rPr>
        <w:t xml:space="preserve"> </w:t>
      </w:r>
      <w:r>
        <w:t>with</w:t>
      </w:r>
      <w:r>
        <w:rPr>
          <w:spacing w:val="-19"/>
        </w:rPr>
        <w:t xml:space="preserve"> </w:t>
      </w:r>
      <w:r>
        <w:t>any</w:t>
      </w:r>
      <w:r>
        <w:rPr>
          <w:spacing w:val="-19"/>
        </w:rPr>
        <w:t xml:space="preserve"> </w:t>
      </w:r>
      <w:r>
        <w:t>given</w:t>
      </w:r>
      <w:r>
        <w:rPr>
          <w:spacing w:val="-18"/>
        </w:rPr>
        <w:t xml:space="preserve"> </w:t>
      </w:r>
      <w:r>
        <w:t>type</w:t>
      </w:r>
      <w:r>
        <w:rPr>
          <w:spacing w:val="-19"/>
        </w:rPr>
        <w:t xml:space="preserve"> </w:t>
      </w:r>
      <w:r>
        <w:t>of</w:t>
      </w:r>
      <w:r>
        <w:rPr>
          <w:spacing w:val="-19"/>
        </w:rPr>
        <w:t xml:space="preserve"> </w:t>
      </w:r>
      <w:r>
        <w:t>olfactory</w:t>
      </w:r>
      <w:r>
        <w:rPr>
          <w:spacing w:val="-19"/>
        </w:rPr>
        <w:t xml:space="preserve"> </w:t>
      </w:r>
      <w:r>
        <w:t>sensation.</w:t>
      </w:r>
      <w:r>
        <w:rPr>
          <w:spacing w:val="-18"/>
        </w:rPr>
        <w:t xml:space="preserve"> </w:t>
      </w:r>
      <w:r>
        <w:t>What</w:t>
      </w:r>
      <w:r>
        <w:rPr>
          <w:spacing w:val="-19"/>
        </w:rPr>
        <w:t xml:space="preserve"> </w:t>
      </w:r>
      <w:r>
        <w:rPr>
          <w:i/>
        </w:rPr>
        <w:t>is</w:t>
      </w:r>
      <w:r>
        <w:rPr>
          <w:i/>
          <w:spacing w:val="-19"/>
        </w:rPr>
        <w:t xml:space="preserve"> </w:t>
      </w:r>
      <w:r>
        <w:t>necessary</w:t>
      </w:r>
      <w:r>
        <w:rPr>
          <w:spacing w:val="-19"/>
        </w:rPr>
        <w:t xml:space="preserve"> </w:t>
      </w:r>
      <w:r>
        <w:t>is</w:t>
      </w:r>
      <w:r>
        <w:rPr>
          <w:spacing w:val="-18"/>
        </w:rPr>
        <w:t xml:space="preserve"> </w:t>
      </w:r>
      <w:r>
        <w:t>that, once the assignments are made, their mutual relations parallel the mutual relations of their objects.</w:t>
      </w:r>
    </w:p>
    <w:p w14:paraId="7E001B3D" w14:textId="77777777" w:rsidR="009A58DB" w:rsidRDefault="009A58DB">
      <w:pPr>
        <w:pStyle w:val="BodyText"/>
        <w:spacing w:before="19"/>
        <w:ind w:left="0"/>
        <w:jc w:val="left"/>
      </w:pPr>
    </w:p>
    <w:p w14:paraId="7E001B3E" w14:textId="77777777" w:rsidR="009A58DB" w:rsidRDefault="00000000">
      <w:pPr>
        <w:pStyle w:val="BodyText"/>
        <w:spacing w:before="1" w:line="223" w:lineRule="exact"/>
        <w:ind w:left="1191"/>
        <w:jc w:val="left"/>
      </w:pPr>
      <w:bookmarkStart w:id="361" w:name="_bookmark361"/>
      <w:bookmarkEnd w:id="361"/>
      <w:r>
        <w:rPr>
          <w:color w:val="0562C1"/>
          <w:spacing w:val="-2"/>
          <w:u w:val="single" w:color="0562C1"/>
        </w:rPr>
        <w:t>[253]</w:t>
      </w:r>
    </w:p>
    <w:p w14:paraId="7E001B3F" w14:textId="77777777" w:rsidR="009A58DB" w:rsidRDefault="00000000">
      <w:pPr>
        <w:pStyle w:val="BodyText"/>
        <w:tabs>
          <w:tab w:val="left" w:pos="1820"/>
        </w:tabs>
        <w:spacing w:line="332" w:lineRule="exact"/>
        <w:ind w:left="720"/>
        <w:jc w:val="left"/>
      </w:pPr>
      <w:r>
        <w:rPr>
          <w:spacing w:val="-5"/>
        </w:rPr>
        <w:t>(SA</w:t>
      </w:r>
      <w:r>
        <w:tab/>
        <w:t>)</w:t>
      </w:r>
      <w:r>
        <w:rPr>
          <w:spacing w:val="-2"/>
        </w:rPr>
        <w:t xml:space="preserve"> </w:t>
      </w:r>
      <w:r>
        <w:t>So</w:t>
      </w:r>
      <w:r>
        <w:rPr>
          <w:spacing w:val="-2"/>
        </w:rPr>
        <w:t xml:space="preserve"> </w:t>
      </w:r>
      <w:r>
        <w:t>you</w:t>
      </w:r>
      <w:r>
        <w:rPr>
          <w:spacing w:val="-2"/>
        </w:rPr>
        <w:t xml:space="preserve"> </w:t>
      </w:r>
      <w:r>
        <w:t>admit</w:t>
      </w:r>
      <w:r>
        <w:rPr>
          <w:spacing w:val="-2"/>
        </w:rPr>
        <w:t xml:space="preserve"> </w:t>
      </w:r>
      <w:r>
        <w:t>that</w:t>
      </w:r>
      <w:r>
        <w:rPr>
          <w:spacing w:val="-2"/>
        </w:rPr>
        <w:t xml:space="preserve"> </w:t>
      </w:r>
      <w:r>
        <w:t>its</w:t>
      </w:r>
      <w:r>
        <w:rPr>
          <w:spacing w:val="-2"/>
        </w:rPr>
        <w:t xml:space="preserve"> </w:t>
      </w:r>
      <w:r>
        <w:t>having</w:t>
      </w:r>
      <w:r>
        <w:rPr>
          <w:spacing w:val="-1"/>
        </w:rPr>
        <w:t xml:space="preserve"> </w:t>
      </w:r>
      <w:r>
        <w:t>this</w:t>
      </w:r>
      <w:r>
        <w:rPr>
          <w:spacing w:val="-2"/>
        </w:rPr>
        <w:t xml:space="preserve"> </w:t>
      </w:r>
      <w:r>
        <w:t>as</w:t>
      </w:r>
      <w:r>
        <w:rPr>
          <w:spacing w:val="-2"/>
        </w:rPr>
        <w:t xml:space="preserve"> </w:t>
      </w:r>
      <w:r>
        <w:t>opposed</w:t>
      </w:r>
      <w:r>
        <w:rPr>
          <w:spacing w:val="-2"/>
        </w:rPr>
        <w:t xml:space="preserve"> </w:t>
      </w:r>
      <w:r>
        <w:t>to</w:t>
      </w:r>
      <w:r>
        <w:rPr>
          <w:spacing w:val="-2"/>
        </w:rPr>
        <w:t xml:space="preserve"> </w:t>
      </w:r>
      <w:r>
        <w:t>that</w:t>
      </w:r>
      <w:r>
        <w:rPr>
          <w:spacing w:val="-2"/>
        </w:rPr>
        <w:t xml:space="preserve"> </w:t>
      </w:r>
      <w:r>
        <w:t>odor</w:t>
      </w:r>
      <w:r>
        <w:rPr>
          <w:spacing w:val="-1"/>
        </w:rPr>
        <w:t xml:space="preserve"> </w:t>
      </w:r>
      <w:r>
        <w:rPr>
          <w:spacing w:val="-4"/>
        </w:rPr>
        <w:t>does</w:t>
      </w:r>
    </w:p>
    <w:p w14:paraId="7E001B40" w14:textId="77777777" w:rsidR="009A58DB" w:rsidRDefault="00000000">
      <w:pPr>
        <w:pStyle w:val="BodyText"/>
        <w:spacing w:before="15" w:line="249" w:lineRule="auto"/>
        <w:ind w:left="720" w:right="721"/>
      </w:pPr>
      <w:r>
        <w:t>not,</w:t>
      </w:r>
      <w:r>
        <w:rPr>
          <w:spacing w:val="-11"/>
        </w:rPr>
        <w:t xml:space="preserve"> </w:t>
      </w:r>
      <w:r>
        <w:t>in</w:t>
      </w:r>
      <w:r>
        <w:rPr>
          <w:spacing w:val="-11"/>
        </w:rPr>
        <w:t xml:space="preserve"> </w:t>
      </w:r>
      <w:r>
        <w:t>and</w:t>
      </w:r>
      <w:r>
        <w:rPr>
          <w:spacing w:val="-11"/>
        </w:rPr>
        <w:t xml:space="preserve"> </w:t>
      </w:r>
      <w:r>
        <w:t>of</w:t>
      </w:r>
      <w:r>
        <w:rPr>
          <w:spacing w:val="-12"/>
        </w:rPr>
        <w:t xml:space="preserve"> </w:t>
      </w:r>
      <w:r>
        <w:t>itself,</w:t>
      </w:r>
      <w:r>
        <w:rPr>
          <w:spacing w:val="-11"/>
        </w:rPr>
        <w:t xml:space="preserve"> </w:t>
      </w:r>
      <w:r>
        <w:t>diminish</w:t>
      </w:r>
      <w:r>
        <w:rPr>
          <w:spacing w:val="-11"/>
        </w:rPr>
        <w:t xml:space="preserve"> </w:t>
      </w:r>
      <w:r>
        <w:t>our</w:t>
      </w:r>
      <w:r>
        <w:rPr>
          <w:spacing w:val="-12"/>
        </w:rPr>
        <w:t xml:space="preserve"> </w:t>
      </w:r>
      <w:r>
        <w:t>ability</w:t>
      </w:r>
      <w:r>
        <w:rPr>
          <w:spacing w:val="-11"/>
        </w:rPr>
        <w:t xml:space="preserve"> </w:t>
      </w:r>
      <w:r>
        <w:t>to</w:t>
      </w:r>
      <w:r>
        <w:rPr>
          <w:spacing w:val="-11"/>
        </w:rPr>
        <w:t xml:space="preserve"> </w:t>
      </w:r>
      <w:r>
        <w:t>learn</w:t>
      </w:r>
      <w:r>
        <w:rPr>
          <w:spacing w:val="-11"/>
        </w:rPr>
        <w:t xml:space="preserve"> </w:t>
      </w:r>
      <w:r>
        <w:t>about</w:t>
      </w:r>
      <w:r>
        <w:rPr>
          <w:spacing w:val="-12"/>
        </w:rPr>
        <w:t xml:space="preserve"> </w:t>
      </w:r>
      <w:r>
        <w:t>the</w:t>
      </w:r>
      <w:r>
        <w:rPr>
          <w:spacing w:val="-11"/>
        </w:rPr>
        <w:t xml:space="preserve"> </w:t>
      </w:r>
      <w:r>
        <w:t>world</w:t>
      </w:r>
      <w:r>
        <w:rPr>
          <w:spacing w:val="-11"/>
        </w:rPr>
        <w:t xml:space="preserve"> </w:t>
      </w:r>
      <w:r>
        <w:t xml:space="preserve">through the sense of smell. You admit, in other words, that rotten meat doesn’t </w:t>
      </w:r>
      <w:r>
        <w:rPr>
          <w:i/>
        </w:rPr>
        <w:t>have</w:t>
      </w:r>
      <w:r>
        <w:rPr>
          <w:i/>
          <w:spacing w:val="-19"/>
        </w:rPr>
        <w:t xml:space="preserve"> </w:t>
      </w:r>
      <w:r>
        <w:t>to</w:t>
      </w:r>
      <w:r>
        <w:rPr>
          <w:spacing w:val="-19"/>
        </w:rPr>
        <w:t xml:space="preserve"> </w:t>
      </w:r>
      <w:r>
        <w:t>have</w:t>
      </w:r>
      <w:r>
        <w:rPr>
          <w:spacing w:val="-19"/>
        </w:rPr>
        <w:t xml:space="preserve"> </w:t>
      </w:r>
      <w:r>
        <w:t>the</w:t>
      </w:r>
      <w:r>
        <w:rPr>
          <w:spacing w:val="-18"/>
        </w:rPr>
        <w:t xml:space="preserve"> </w:t>
      </w:r>
      <w:r>
        <w:t>smell</w:t>
      </w:r>
      <w:r>
        <w:rPr>
          <w:spacing w:val="-19"/>
        </w:rPr>
        <w:t xml:space="preserve"> </w:t>
      </w:r>
      <w:r>
        <w:t>it</w:t>
      </w:r>
      <w:r>
        <w:rPr>
          <w:spacing w:val="-19"/>
        </w:rPr>
        <w:t xml:space="preserve"> </w:t>
      </w:r>
      <w:r>
        <w:t>does.</w:t>
      </w:r>
      <w:r>
        <w:rPr>
          <w:spacing w:val="-19"/>
        </w:rPr>
        <w:t xml:space="preserve"> </w:t>
      </w:r>
      <w:r>
        <w:t>But</w:t>
      </w:r>
      <w:r>
        <w:rPr>
          <w:spacing w:val="-18"/>
        </w:rPr>
        <w:t xml:space="preserve"> </w:t>
      </w:r>
      <w:r>
        <w:t>in</w:t>
      </w:r>
      <w:r>
        <w:rPr>
          <w:spacing w:val="-19"/>
        </w:rPr>
        <w:t xml:space="preserve"> </w:t>
      </w:r>
      <w:r>
        <w:t>admitting</w:t>
      </w:r>
      <w:r>
        <w:rPr>
          <w:spacing w:val="-19"/>
        </w:rPr>
        <w:t xml:space="preserve"> </w:t>
      </w:r>
      <w:r>
        <w:t>this,</w:t>
      </w:r>
      <w:r>
        <w:rPr>
          <w:spacing w:val="-19"/>
        </w:rPr>
        <w:t xml:space="preserve"> </w:t>
      </w:r>
      <w:r>
        <w:t>you’re</w:t>
      </w:r>
      <w:r>
        <w:rPr>
          <w:spacing w:val="-18"/>
        </w:rPr>
        <w:t xml:space="preserve"> </w:t>
      </w:r>
      <w:r>
        <w:t>admitting</w:t>
      </w:r>
      <w:r>
        <w:rPr>
          <w:spacing w:val="-19"/>
        </w:rPr>
        <w:t xml:space="preserve"> </w:t>
      </w:r>
      <w:r>
        <w:t>that it</w:t>
      </w:r>
      <w:r>
        <w:rPr>
          <w:spacing w:val="-2"/>
        </w:rPr>
        <w:t xml:space="preserve"> </w:t>
      </w:r>
      <w:r>
        <w:t>doesn’t</w:t>
      </w:r>
      <w:r>
        <w:rPr>
          <w:spacing w:val="-2"/>
        </w:rPr>
        <w:t xml:space="preserve"> </w:t>
      </w:r>
      <w:r>
        <w:rPr>
          <w:i/>
        </w:rPr>
        <w:t>really</w:t>
      </w:r>
      <w:r>
        <w:rPr>
          <w:i/>
          <w:spacing w:val="-1"/>
        </w:rPr>
        <w:t xml:space="preserve"> </w:t>
      </w:r>
      <w:r>
        <w:t>have</w:t>
      </w:r>
      <w:r>
        <w:rPr>
          <w:spacing w:val="-1"/>
        </w:rPr>
        <w:t xml:space="preserve"> </w:t>
      </w:r>
      <w:r>
        <w:t>that</w:t>
      </w:r>
      <w:r>
        <w:rPr>
          <w:spacing w:val="-2"/>
        </w:rPr>
        <w:t xml:space="preserve"> </w:t>
      </w:r>
      <w:r>
        <w:t>smell.</w:t>
      </w:r>
    </w:p>
    <w:p w14:paraId="7E001B41" w14:textId="77777777" w:rsidR="009A58DB" w:rsidRDefault="009A58DB">
      <w:pPr>
        <w:pStyle w:val="BodyText"/>
        <w:spacing w:before="19"/>
        <w:ind w:left="0"/>
        <w:jc w:val="left"/>
      </w:pPr>
    </w:p>
    <w:p w14:paraId="7E001B42" w14:textId="77777777" w:rsidR="009A58DB" w:rsidRDefault="00000000">
      <w:pPr>
        <w:pStyle w:val="BodyText"/>
        <w:spacing w:before="1"/>
        <w:ind w:left="720"/>
      </w:pPr>
      <w:r>
        <w:rPr>
          <w:spacing w:val="-2"/>
        </w:rPr>
        <w:t>There</w:t>
      </w:r>
      <w:r>
        <w:rPr>
          <w:spacing w:val="-16"/>
        </w:rPr>
        <w:t xml:space="preserve"> </w:t>
      </w:r>
      <w:r>
        <w:rPr>
          <w:spacing w:val="-2"/>
        </w:rPr>
        <w:t>are</w:t>
      </w:r>
      <w:r>
        <w:rPr>
          <w:spacing w:val="-16"/>
        </w:rPr>
        <w:t xml:space="preserve"> </w:t>
      </w:r>
      <w:r>
        <w:rPr>
          <w:spacing w:val="-2"/>
        </w:rPr>
        <w:t>two</w:t>
      </w:r>
      <w:r>
        <w:rPr>
          <w:spacing w:val="-16"/>
        </w:rPr>
        <w:t xml:space="preserve"> </w:t>
      </w:r>
      <w:r>
        <w:rPr>
          <w:spacing w:val="-2"/>
        </w:rPr>
        <w:t>problems</w:t>
      </w:r>
      <w:r>
        <w:rPr>
          <w:spacing w:val="-16"/>
        </w:rPr>
        <w:t xml:space="preserve"> </w:t>
      </w:r>
      <w:r>
        <w:rPr>
          <w:spacing w:val="-2"/>
        </w:rPr>
        <w:t>with</w:t>
      </w:r>
      <w:r>
        <w:rPr>
          <w:spacing w:val="-16"/>
        </w:rPr>
        <w:t xml:space="preserve"> </w:t>
      </w:r>
      <w:r>
        <w:rPr>
          <w:spacing w:val="-5"/>
        </w:rPr>
        <w:t>SA.</w:t>
      </w:r>
    </w:p>
    <w:p w14:paraId="7E001B43" w14:textId="77777777" w:rsidR="009A58DB" w:rsidRDefault="00000000">
      <w:pPr>
        <w:pStyle w:val="BodyText"/>
        <w:spacing w:before="15" w:line="249" w:lineRule="auto"/>
        <w:ind w:right="358" w:firstLine="360"/>
      </w:pPr>
      <w:r>
        <w:t>Problem #1: When we say that a given cut of meat has a bad smell,</w:t>
      </w:r>
      <w:r>
        <w:rPr>
          <w:spacing w:val="-19"/>
        </w:rPr>
        <w:t xml:space="preserve"> </w:t>
      </w:r>
      <w:r>
        <w:rPr>
          <w:i/>
        </w:rPr>
        <w:t>we’re talking about the cut of meat.</w:t>
      </w:r>
      <w:r>
        <w:rPr>
          <w:i/>
          <w:spacing w:val="-19"/>
        </w:rPr>
        <w:t xml:space="preserve"> </w:t>
      </w:r>
      <w:r>
        <w:t>If the word “smell” referred to</w:t>
      </w:r>
      <w:r>
        <w:rPr>
          <w:spacing w:val="-19"/>
        </w:rPr>
        <w:t xml:space="preserve"> </w:t>
      </w:r>
      <w:r>
        <w:rPr>
          <w:i/>
        </w:rPr>
        <w:t>sensations,</w:t>
      </w:r>
      <w:r>
        <w:rPr>
          <w:i/>
          <w:spacing w:val="-19"/>
        </w:rPr>
        <w:t xml:space="preserve"> </w:t>
      </w:r>
      <w:r>
        <w:t>then sentences like “that meat has an awful smell” wouldn’t be about the meat. By the same token, so far as that sentence</w:t>
      </w:r>
      <w:r>
        <w:rPr>
          <w:spacing w:val="-16"/>
        </w:rPr>
        <w:t xml:space="preserve"> </w:t>
      </w:r>
      <w:r>
        <w:rPr>
          <w:i/>
        </w:rPr>
        <w:t>i s</w:t>
      </w:r>
      <w:r>
        <w:rPr>
          <w:i/>
          <w:spacing w:val="-15"/>
        </w:rPr>
        <w:t xml:space="preserve"> </w:t>
      </w:r>
      <w:r>
        <w:t xml:space="preserve">about the meat, it isn’t about </w:t>
      </w:r>
      <w:r>
        <w:rPr>
          <w:spacing w:val="-2"/>
        </w:rPr>
        <w:t>sensations.</w:t>
      </w:r>
      <w:r>
        <w:rPr>
          <w:spacing w:val="-17"/>
        </w:rPr>
        <w:t xml:space="preserve"> </w:t>
      </w:r>
      <w:r>
        <w:rPr>
          <w:spacing w:val="-2"/>
        </w:rPr>
        <w:t>Thus,</w:t>
      </w:r>
      <w:r>
        <w:rPr>
          <w:spacing w:val="-17"/>
        </w:rPr>
        <w:t xml:space="preserve"> </w:t>
      </w:r>
      <w:r>
        <w:rPr>
          <w:spacing w:val="-2"/>
        </w:rPr>
        <w:t>to</w:t>
      </w:r>
      <w:r>
        <w:rPr>
          <w:spacing w:val="-15"/>
        </w:rPr>
        <w:t xml:space="preserve"> </w:t>
      </w:r>
      <w:r>
        <w:rPr>
          <w:spacing w:val="-2"/>
        </w:rPr>
        <w:t>the</w:t>
      </w:r>
      <w:r>
        <w:rPr>
          <w:spacing w:val="-15"/>
        </w:rPr>
        <w:t xml:space="preserve"> </w:t>
      </w:r>
      <w:r>
        <w:rPr>
          <w:spacing w:val="-2"/>
        </w:rPr>
        <w:t>extent</w:t>
      </w:r>
      <w:r>
        <w:rPr>
          <w:spacing w:val="-15"/>
        </w:rPr>
        <w:t xml:space="preserve"> </w:t>
      </w:r>
      <w:r>
        <w:rPr>
          <w:spacing w:val="-2"/>
        </w:rPr>
        <w:t>that</w:t>
      </w:r>
      <w:r>
        <w:rPr>
          <w:spacing w:val="-15"/>
        </w:rPr>
        <w:t xml:space="preserve"> </w:t>
      </w:r>
      <w:r>
        <w:rPr>
          <w:spacing w:val="-2"/>
        </w:rPr>
        <w:t>it</w:t>
      </w:r>
      <w:r>
        <w:rPr>
          <w:spacing w:val="-15"/>
        </w:rPr>
        <w:t xml:space="preserve"> </w:t>
      </w:r>
      <w:r>
        <w:rPr>
          <w:spacing w:val="-2"/>
        </w:rPr>
        <w:t>really</w:t>
      </w:r>
      <w:r>
        <w:rPr>
          <w:spacing w:val="-15"/>
        </w:rPr>
        <w:t xml:space="preserve"> </w:t>
      </w:r>
      <w:r>
        <w:rPr>
          <w:spacing w:val="-2"/>
        </w:rPr>
        <w:t>is</w:t>
      </w:r>
      <w:r>
        <w:rPr>
          <w:spacing w:val="-15"/>
        </w:rPr>
        <w:t xml:space="preserve"> </w:t>
      </w:r>
      <w:r>
        <w:rPr>
          <w:spacing w:val="-2"/>
        </w:rPr>
        <w:t>about</w:t>
      </w:r>
      <w:r>
        <w:rPr>
          <w:spacing w:val="-15"/>
        </w:rPr>
        <w:t xml:space="preserve"> </w:t>
      </w:r>
      <w:r>
        <w:rPr>
          <w:spacing w:val="-2"/>
        </w:rPr>
        <w:t>the</w:t>
      </w:r>
      <w:r>
        <w:rPr>
          <w:spacing w:val="-15"/>
        </w:rPr>
        <w:t xml:space="preserve"> </w:t>
      </w:r>
      <w:r>
        <w:rPr>
          <w:spacing w:val="-2"/>
        </w:rPr>
        <w:t>meat,</w:t>
      </w:r>
      <w:r>
        <w:rPr>
          <w:spacing w:val="-14"/>
        </w:rPr>
        <w:t xml:space="preserve"> </w:t>
      </w:r>
      <w:r>
        <w:rPr>
          <w:spacing w:val="-2"/>
        </w:rPr>
        <w:t>whether</w:t>
      </w:r>
      <w:r>
        <w:rPr>
          <w:spacing w:val="-14"/>
        </w:rPr>
        <w:t xml:space="preserve"> </w:t>
      </w:r>
      <w:r>
        <w:rPr>
          <w:spacing w:val="-2"/>
        </w:rPr>
        <w:t>or</w:t>
      </w:r>
      <w:r>
        <w:rPr>
          <w:spacing w:val="-14"/>
        </w:rPr>
        <w:t xml:space="preserve"> </w:t>
      </w:r>
      <w:r>
        <w:rPr>
          <w:spacing w:val="-2"/>
        </w:rPr>
        <w:t>not</w:t>
      </w:r>
      <w:r>
        <w:rPr>
          <w:spacing w:val="-14"/>
        </w:rPr>
        <w:t xml:space="preserve"> </w:t>
      </w:r>
      <w:r>
        <w:rPr>
          <w:spacing w:val="-2"/>
        </w:rPr>
        <w:t xml:space="preserve">that </w:t>
      </w:r>
      <w:r>
        <w:t>sentence makes a true statement has nothing to do with anyone’s sensations. And to the extent that it isn’t about our sensations, “that meat has an awful smell”</w:t>
      </w:r>
      <w:r>
        <w:rPr>
          <w:spacing w:val="-14"/>
        </w:rPr>
        <w:t xml:space="preserve"> </w:t>
      </w:r>
      <w:r>
        <w:t>is</w:t>
      </w:r>
      <w:r>
        <w:rPr>
          <w:spacing w:val="-14"/>
        </w:rPr>
        <w:t xml:space="preserve"> </w:t>
      </w:r>
      <w:r>
        <w:t>about</w:t>
      </w:r>
      <w:r>
        <w:rPr>
          <w:spacing w:val="-14"/>
        </w:rPr>
        <w:t xml:space="preserve"> </w:t>
      </w:r>
      <w:r>
        <w:t>the</w:t>
      </w:r>
      <w:r>
        <w:rPr>
          <w:spacing w:val="-14"/>
        </w:rPr>
        <w:t xml:space="preserve"> </w:t>
      </w:r>
      <w:r>
        <w:t>meat’s</w:t>
      </w:r>
      <w:r>
        <w:rPr>
          <w:spacing w:val="-14"/>
        </w:rPr>
        <w:t xml:space="preserve"> </w:t>
      </w:r>
      <w:r>
        <w:t>causal</w:t>
      </w:r>
      <w:r>
        <w:rPr>
          <w:spacing w:val="-14"/>
        </w:rPr>
        <w:t xml:space="preserve"> </w:t>
      </w:r>
      <w:r>
        <w:t>properties</w:t>
      </w:r>
      <w:r>
        <w:rPr>
          <w:spacing w:val="-14"/>
        </w:rPr>
        <w:t xml:space="preserve"> </w:t>
      </w:r>
      <w:r>
        <w:t>or,</w:t>
      </w:r>
      <w:r>
        <w:rPr>
          <w:spacing w:val="-14"/>
        </w:rPr>
        <w:t xml:space="preserve"> </w:t>
      </w:r>
      <w:r>
        <w:t>in</w:t>
      </w:r>
      <w:r>
        <w:rPr>
          <w:spacing w:val="-14"/>
        </w:rPr>
        <w:t xml:space="preserve"> </w:t>
      </w:r>
      <w:r>
        <w:t>any</w:t>
      </w:r>
      <w:r>
        <w:rPr>
          <w:spacing w:val="-14"/>
        </w:rPr>
        <w:t xml:space="preserve"> </w:t>
      </w:r>
      <w:r>
        <w:t>case,</w:t>
      </w:r>
      <w:r>
        <w:rPr>
          <w:spacing w:val="-14"/>
        </w:rPr>
        <w:t xml:space="preserve"> </w:t>
      </w:r>
      <w:r>
        <w:t>is</w:t>
      </w:r>
      <w:r>
        <w:rPr>
          <w:spacing w:val="-14"/>
        </w:rPr>
        <w:t xml:space="preserve"> </w:t>
      </w:r>
      <w:r>
        <w:t>about</w:t>
      </w:r>
      <w:r>
        <w:rPr>
          <w:spacing w:val="-14"/>
        </w:rPr>
        <w:t xml:space="preserve"> </w:t>
      </w:r>
      <w:r>
        <w:t>some</w:t>
      </w:r>
      <w:r>
        <w:rPr>
          <w:spacing w:val="-14"/>
        </w:rPr>
        <w:t xml:space="preserve"> </w:t>
      </w:r>
      <w:r>
        <w:t>other (probably</w:t>
      </w:r>
      <w:r>
        <w:rPr>
          <w:spacing w:val="-8"/>
        </w:rPr>
        <w:t xml:space="preserve"> </w:t>
      </w:r>
      <w:r>
        <w:t>related)</w:t>
      </w:r>
      <w:r>
        <w:rPr>
          <w:spacing w:val="-9"/>
        </w:rPr>
        <w:t xml:space="preserve"> </w:t>
      </w:r>
      <w:r>
        <w:t>mind-independent</w:t>
      </w:r>
      <w:r>
        <w:rPr>
          <w:spacing w:val="-9"/>
        </w:rPr>
        <w:t xml:space="preserve"> </w:t>
      </w:r>
      <w:r>
        <w:t>fact.</w:t>
      </w:r>
    </w:p>
    <w:p w14:paraId="7E001B44" w14:textId="77777777" w:rsidR="009A58DB" w:rsidRDefault="00000000">
      <w:pPr>
        <w:pStyle w:val="BodyText"/>
        <w:spacing w:before="11" w:line="249" w:lineRule="auto"/>
        <w:ind w:right="362" w:firstLine="360"/>
      </w:pPr>
      <w:r>
        <w:t>Problem</w:t>
      </w:r>
      <w:r>
        <w:rPr>
          <w:spacing w:val="-8"/>
        </w:rPr>
        <w:t xml:space="preserve"> </w:t>
      </w:r>
      <w:r>
        <w:t>#2: SA</w:t>
      </w:r>
      <w:r>
        <w:rPr>
          <w:spacing w:val="-12"/>
        </w:rPr>
        <w:t xml:space="preserve"> </w:t>
      </w:r>
      <w:r>
        <w:t>establishes that smell is mind-dependent</w:t>
      </w:r>
      <w:r>
        <w:rPr>
          <w:spacing w:val="-19"/>
        </w:rPr>
        <w:t xml:space="preserve"> </w:t>
      </w:r>
      <w:r>
        <w:rPr>
          <w:i/>
        </w:rPr>
        <w:t>only</w:t>
      </w:r>
      <w:r>
        <w:rPr>
          <w:i/>
          <w:spacing w:val="-19"/>
        </w:rPr>
        <w:t xml:space="preserve"> </w:t>
      </w:r>
      <w:r>
        <w:t xml:space="preserve">to the extent </w:t>
      </w:r>
      <w:r>
        <w:rPr>
          <w:spacing w:val="-4"/>
        </w:rPr>
        <w:t>that</w:t>
      </w:r>
      <w:r>
        <w:rPr>
          <w:spacing w:val="-9"/>
        </w:rPr>
        <w:t xml:space="preserve"> </w:t>
      </w:r>
      <w:r>
        <w:rPr>
          <w:spacing w:val="-4"/>
        </w:rPr>
        <w:t>it</w:t>
      </w:r>
      <w:r>
        <w:rPr>
          <w:spacing w:val="-9"/>
        </w:rPr>
        <w:t xml:space="preserve"> </w:t>
      </w:r>
      <w:r>
        <w:rPr>
          <w:spacing w:val="-4"/>
        </w:rPr>
        <w:t>establishes</w:t>
      </w:r>
      <w:r>
        <w:rPr>
          <w:spacing w:val="-9"/>
        </w:rPr>
        <w:t xml:space="preserve"> </w:t>
      </w:r>
      <w:r>
        <w:rPr>
          <w:spacing w:val="-4"/>
        </w:rPr>
        <w:t>the</w:t>
      </w:r>
      <w:r>
        <w:rPr>
          <w:spacing w:val="-9"/>
        </w:rPr>
        <w:t xml:space="preserve"> </w:t>
      </w:r>
      <w:r>
        <w:rPr>
          <w:spacing w:val="-4"/>
        </w:rPr>
        <w:t>obviously,</w:t>
      </w:r>
      <w:r>
        <w:rPr>
          <w:spacing w:val="-9"/>
        </w:rPr>
        <w:t xml:space="preserve"> </w:t>
      </w:r>
      <w:r>
        <w:rPr>
          <w:spacing w:val="-4"/>
        </w:rPr>
        <w:t>or</w:t>
      </w:r>
      <w:r>
        <w:rPr>
          <w:spacing w:val="-9"/>
        </w:rPr>
        <w:t xml:space="preserve"> </w:t>
      </w:r>
      <w:r>
        <w:rPr>
          <w:spacing w:val="-4"/>
        </w:rPr>
        <w:t>at</w:t>
      </w:r>
      <w:r>
        <w:rPr>
          <w:spacing w:val="-9"/>
        </w:rPr>
        <w:t xml:space="preserve"> </w:t>
      </w:r>
      <w:r>
        <w:rPr>
          <w:spacing w:val="-4"/>
        </w:rPr>
        <w:t>least</w:t>
      </w:r>
      <w:r>
        <w:rPr>
          <w:spacing w:val="-9"/>
        </w:rPr>
        <w:t xml:space="preserve"> </w:t>
      </w:r>
      <w:r>
        <w:rPr>
          <w:spacing w:val="-4"/>
        </w:rPr>
        <w:t>presumably,</w:t>
      </w:r>
      <w:r>
        <w:rPr>
          <w:spacing w:val="-9"/>
        </w:rPr>
        <w:t xml:space="preserve"> </w:t>
      </w:r>
      <w:r>
        <w:rPr>
          <w:spacing w:val="-4"/>
        </w:rPr>
        <w:t>false</w:t>
      </w:r>
      <w:r>
        <w:rPr>
          <w:spacing w:val="-9"/>
        </w:rPr>
        <w:t xml:space="preserve"> </w:t>
      </w:r>
      <w:r>
        <w:rPr>
          <w:spacing w:val="-4"/>
        </w:rPr>
        <w:t>conclusion</w:t>
      </w:r>
      <w:r>
        <w:rPr>
          <w:spacing w:val="-9"/>
        </w:rPr>
        <w:t xml:space="preserve"> </w:t>
      </w:r>
      <w:r>
        <w:rPr>
          <w:spacing w:val="-4"/>
        </w:rPr>
        <w:t>that</w:t>
      </w:r>
      <w:r>
        <w:rPr>
          <w:spacing w:val="-9"/>
        </w:rPr>
        <w:t xml:space="preserve"> </w:t>
      </w:r>
      <w:r>
        <w:rPr>
          <w:spacing w:val="-4"/>
        </w:rPr>
        <w:t xml:space="preserve">size </w:t>
      </w:r>
      <w:r>
        <w:t>and shape are mind-dependent.</w:t>
      </w:r>
    </w:p>
    <w:p w14:paraId="7E001B45" w14:textId="77777777" w:rsidR="009A58DB" w:rsidRDefault="00000000">
      <w:pPr>
        <w:pStyle w:val="BodyText"/>
        <w:spacing w:before="3" w:line="249" w:lineRule="auto"/>
        <w:ind w:right="359" w:firstLine="360"/>
      </w:pPr>
      <w:r>
        <w:t>Look at the book in front of you. Let V be the visual sensation you are having.</w:t>
      </w:r>
      <w:r>
        <w:rPr>
          <w:spacing w:val="26"/>
        </w:rPr>
        <w:t xml:space="preserve"> </w:t>
      </w:r>
      <w:r>
        <w:t>Under</w:t>
      </w:r>
      <w:r>
        <w:rPr>
          <w:spacing w:val="29"/>
        </w:rPr>
        <w:t xml:space="preserve"> </w:t>
      </w:r>
      <w:r>
        <w:t>otherwise</w:t>
      </w:r>
      <w:r>
        <w:rPr>
          <w:spacing w:val="29"/>
        </w:rPr>
        <w:t xml:space="preserve"> </w:t>
      </w:r>
      <w:r>
        <w:t>unchanged</w:t>
      </w:r>
      <w:r>
        <w:rPr>
          <w:spacing w:val="28"/>
        </w:rPr>
        <w:t xml:space="preserve"> </w:t>
      </w:r>
      <w:r>
        <w:t>circumstances,</w:t>
      </w:r>
      <w:r>
        <w:rPr>
          <w:spacing w:val="29"/>
        </w:rPr>
        <w:t xml:space="preserve"> </w:t>
      </w:r>
      <w:r>
        <w:t>you</w:t>
      </w:r>
      <w:r>
        <w:rPr>
          <w:spacing w:val="29"/>
        </w:rPr>
        <w:t xml:space="preserve"> </w:t>
      </w:r>
      <w:r>
        <w:t>could</w:t>
      </w:r>
      <w:r>
        <w:rPr>
          <w:spacing w:val="28"/>
        </w:rPr>
        <w:t xml:space="preserve"> </w:t>
      </w:r>
      <w:r>
        <w:t>have</w:t>
      </w:r>
      <w:r>
        <w:rPr>
          <w:spacing w:val="29"/>
        </w:rPr>
        <w:t xml:space="preserve"> </w:t>
      </w:r>
      <w:r>
        <w:t>a</w:t>
      </w:r>
      <w:r>
        <w:rPr>
          <w:spacing w:val="29"/>
        </w:rPr>
        <w:t xml:space="preserve"> </w:t>
      </w:r>
      <w:r>
        <w:rPr>
          <w:spacing w:val="-2"/>
        </w:rPr>
        <w:t>visual</w:t>
      </w:r>
    </w:p>
    <w:p w14:paraId="7E001B4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47" w14:textId="77777777" w:rsidR="009A58DB" w:rsidRDefault="00000000">
      <w:pPr>
        <w:pStyle w:val="BodyText"/>
        <w:spacing w:before="65" w:line="249" w:lineRule="auto"/>
        <w:ind w:right="360"/>
      </w:pPr>
      <w:r>
        <w:lastRenderedPageBreak/>
        <w:t>sensation that, although very different from V, gave you either the very same information</w:t>
      </w:r>
      <w:r>
        <w:rPr>
          <w:spacing w:val="-10"/>
        </w:rPr>
        <w:t xml:space="preserve"> </w:t>
      </w:r>
      <w:r>
        <w:t>or</w:t>
      </w:r>
      <w:r>
        <w:rPr>
          <w:spacing w:val="-10"/>
        </w:rPr>
        <w:t xml:space="preserve"> </w:t>
      </w:r>
      <w:r>
        <w:t>that</w:t>
      </w:r>
      <w:r>
        <w:rPr>
          <w:spacing w:val="-10"/>
        </w:rPr>
        <w:t xml:space="preserve"> </w:t>
      </w:r>
      <w:r>
        <w:t>gave</w:t>
      </w:r>
      <w:r>
        <w:rPr>
          <w:spacing w:val="-10"/>
        </w:rPr>
        <w:t xml:space="preserve"> </w:t>
      </w:r>
      <w:r>
        <w:t>you</w:t>
      </w:r>
      <w:r>
        <w:rPr>
          <w:spacing w:val="-10"/>
        </w:rPr>
        <w:t xml:space="preserve"> </w:t>
      </w:r>
      <w:r>
        <w:t>much</w:t>
      </w:r>
      <w:r>
        <w:rPr>
          <w:spacing w:val="-10"/>
        </w:rPr>
        <w:t xml:space="preserve"> </w:t>
      </w:r>
      <w:r>
        <w:t>more</w:t>
      </w:r>
      <w:r>
        <w:rPr>
          <w:spacing w:val="-10"/>
        </w:rPr>
        <w:t xml:space="preserve"> </w:t>
      </w:r>
      <w:r>
        <w:t>information.</w:t>
      </w:r>
      <w:r>
        <w:rPr>
          <w:spacing w:val="-10"/>
        </w:rPr>
        <w:t xml:space="preserve"> </w:t>
      </w:r>
      <w:r>
        <w:t>In</w:t>
      </w:r>
      <w:r>
        <w:rPr>
          <w:spacing w:val="-10"/>
        </w:rPr>
        <w:t xml:space="preserve"> </w:t>
      </w:r>
      <w:r>
        <w:t>human</w:t>
      </w:r>
      <w:r>
        <w:rPr>
          <w:spacing w:val="-10"/>
        </w:rPr>
        <w:t xml:space="preserve"> </w:t>
      </w:r>
      <w:r>
        <w:t>beings,</w:t>
      </w:r>
      <w:r>
        <w:rPr>
          <w:spacing w:val="-10"/>
        </w:rPr>
        <w:t xml:space="preserve"> </w:t>
      </w:r>
      <w:r>
        <w:t>the</w:t>
      </w:r>
      <w:r>
        <w:rPr>
          <w:spacing w:val="-10"/>
        </w:rPr>
        <w:t xml:space="preserve"> </w:t>
      </w:r>
      <w:r>
        <w:t>set of</w:t>
      </w:r>
      <w:r>
        <w:rPr>
          <w:spacing w:val="-4"/>
        </w:rPr>
        <w:t xml:space="preserve"> </w:t>
      </w:r>
      <w:r>
        <w:t>sight</w:t>
      </w:r>
      <w:r>
        <w:rPr>
          <w:spacing w:val="-4"/>
        </w:rPr>
        <w:t xml:space="preserve"> </w:t>
      </w:r>
      <w:r>
        <w:t>isn’t</w:t>
      </w:r>
      <w:r>
        <w:rPr>
          <w:spacing w:val="-4"/>
        </w:rPr>
        <w:t xml:space="preserve"> </w:t>
      </w:r>
      <w:r>
        <w:t>nearly</w:t>
      </w:r>
      <w:r>
        <w:rPr>
          <w:spacing w:val="-4"/>
        </w:rPr>
        <w:t xml:space="preserve"> </w:t>
      </w:r>
      <w:r>
        <w:t>as</w:t>
      </w:r>
      <w:r>
        <w:rPr>
          <w:spacing w:val="-4"/>
        </w:rPr>
        <w:t xml:space="preserve"> </w:t>
      </w:r>
      <w:r>
        <w:t>acute</w:t>
      </w:r>
      <w:r>
        <w:rPr>
          <w:spacing w:val="-4"/>
        </w:rPr>
        <w:t xml:space="preserve"> </w:t>
      </w:r>
      <w:r>
        <w:t>as</w:t>
      </w:r>
      <w:r>
        <w:rPr>
          <w:spacing w:val="-4"/>
        </w:rPr>
        <w:t xml:space="preserve"> </w:t>
      </w:r>
      <w:r>
        <w:t>it</w:t>
      </w:r>
      <w:r>
        <w:rPr>
          <w:spacing w:val="-4"/>
        </w:rPr>
        <w:t xml:space="preserve"> </w:t>
      </w:r>
      <w:r>
        <w:t>is</w:t>
      </w:r>
      <w:r>
        <w:rPr>
          <w:spacing w:val="-4"/>
        </w:rPr>
        <w:t xml:space="preserve"> </w:t>
      </w:r>
      <w:r>
        <w:t>where</w:t>
      </w:r>
      <w:r>
        <w:rPr>
          <w:spacing w:val="-4"/>
        </w:rPr>
        <w:t xml:space="preserve"> </w:t>
      </w:r>
      <w:r>
        <w:t>certain</w:t>
      </w:r>
      <w:r>
        <w:rPr>
          <w:spacing w:val="-4"/>
        </w:rPr>
        <w:t xml:space="preserve"> </w:t>
      </w:r>
      <w:r>
        <w:t>other</w:t>
      </w:r>
      <w:r>
        <w:rPr>
          <w:spacing w:val="-4"/>
        </w:rPr>
        <w:t xml:space="preserve"> </w:t>
      </w:r>
      <w:r>
        <w:t>species</w:t>
      </w:r>
      <w:r>
        <w:rPr>
          <w:spacing w:val="-4"/>
        </w:rPr>
        <w:t xml:space="preserve"> </w:t>
      </w:r>
      <w:r>
        <w:t>are</w:t>
      </w:r>
      <w:r>
        <w:rPr>
          <w:spacing w:val="-4"/>
        </w:rPr>
        <w:t xml:space="preserve"> </w:t>
      </w:r>
      <w:r>
        <w:t>concerned. Were</w:t>
      </w:r>
      <w:r>
        <w:rPr>
          <w:spacing w:val="-21"/>
        </w:rPr>
        <w:t xml:space="preserve"> </w:t>
      </w:r>
      <w:r>
        <w:t>they</w:t>
      </w:r>
      <w:r>
        <w:rPr>
          <w:spacing w:val="-19"/>
        </w:rPr>
        <w:t xml:space="preserve"> </w:t>
      </w:r>
      <w:r>
        <w:t>to</w:t>
      </w:r>
      <w:r>
        <w:rPr>
          <w:spacing w:val="-19"/>
        </w:rPr>
        <w:t xml:space="preserve"> </w:t>
      </w:r>
      <w:r>
        <w:t>look</w:t>
      </w:r>
      <w:r>
        <w:rPr>
          <w:spacing w:val="-18"/>
        </w:rPr>
        <w:t xml:space="preserve"> </w:t>
      </w:r>
      <w:r>
        <w:t>at</w:t>
      </w:r>
      <w:r>
        <w:rPr>
          <w:spacing w:val="-19"/>
        </w:rPr>
        <w:t xml:space="preserve"> </w:t>
      </w:r>
      <w:r>
        <w:t>the</w:t>
      </w:r>
      <w:r>
        <w:rPr>
          <w:spacing w:val="-19"/>
        </w:rPr>
        <w:t xml:space="preserve"> </w:t>
      </w:r>
      <w:r>
        <w:t>book</w:t>
      </w:r>
      <w:r>
        <w:rPr>
          <w:spacing w:val="-19"/>
        </w:rPr>
        <w:t xml:space="preserve"> </w:t>
      </w:r>
      <w:r>
        <w:t>in</w:t>
      </w:r>
      <w:r>
        <w:rPr>
          <w:spacing w:val="-18"/>
        </w:rPr>
        <w:t xml:space="preserve"> </w:t>
      </w:r>
      <w:r>
        <w:t>front</w:t>
      </w:r>
      <w:r>
        <w:rPr>
          <w:spacing w:val="-19"/>
        </w:rPr>
        <w:t xml:space="preserve"> </w:t>
      </w:r>
      <w:r>
        <w:t>of</w:t>
      </w:r>
      <w:r>
        <w:rPr>
          <w:spacing w:val="-19"/>
        </w:rPr>
        <w:t xml:space="preserve"> </w:t>
      </w:r>
      <w:r>
        <w:t>you,</w:t>
      </w:r>
      <w:r>
        <w:rPr>
          <w:spacing w:val="-19"/>
        </w:rPr>
        <w:t xml:space="preserve"> </w:t>
      </w:r>
      <w:r>
        <w:t>under</w:t>
      </w:r>
      <w:r>
        <w:rPr>
          <w:spacing w:val="-18"/>
        </w:rPr>
        <w:t xml:space="preserve"> </w:t>
      </w:r>
      <w:r>
        <w:t>conditions</w:t>
      </w:r>
      <w:r>
        <w:rPr>
          <w:spacing w:val="-19"/>
        </w:rPr>
        <w:t xml:space="preserve"> </w:t>
      </w:r>
      <w:r>
        <w:t>just</w:t>
      </w:r>
      <w:r>
        <w:rPr>
          <w:spacing w:val="-19"/>
        </w:rPr>
        <w:t xml:space="preserve"> </w:t>
      </w:r>
      <w:r>
        <w:t>like</w:t>
      </w:r>
      <w:r>
        <w:rPr>
          <w:spacing w:val="-19"/>
        </w:rPr>
        <w:t xml:space="preserve"> </w:t>
      </w:r>
      <w:r>
        <w:t>the</w:t>
      </w:r>
      <w:r>
        <w:rPr>
          <w:spacing w:val="-18"/>
        </w:rPr>
        <w:t xml:space="preserve"> </w:t>
      </w:r>
      <w:r>
        <w:t xml:space="preserve">ones </w:t>
      </w:r>
      <w:r>
        <w:rPr>
          <w:spacing w:val="-2"/>
        </w:rPr>
        <w:t>that</w:t>
      </w:r>
      <w:r>
        <w:rPr>
          <w:spacing w:val="-13"/>
        </w:rPr>
        <w:t xml:space="preserve"> </w:t>
      </w:r>
      <w:r>
        <w:rPr>
          <w:spacing w:val="-2"/>
        </w:rPr>
        <w:t>actually</w:t>
      </w:r>
      <w:r>
        <w:rPr>
          <w:spacing w:val="-12"/>
        </w:rPr>
        <w:t xml:space="preserve"> </w:t>
      </w:r>
      <w:r>
        <w:rPr>
          <w:spacing w:val="-2"/>
        </w:rPr>
        <w:t>obtain,</w:t>
      </w:r>
      <w:r>
        <w:rPr>
          <w:spacing w:val="-12"/>
        </w:rPr>
        <w:t xml:space="preserve"> </w:t>
      </w:r>
      <w:r>
        <w:rPr>
          <w:spacing w:val="-2"/>
        </w:rPr>
        <w:t>they’d</w:t>
      </w:r>
      <w:r>
        <w:rPr>
          <w:spacing w:val="-12"/>
        </w:rPr>
        <w:t xml:space="preserve"> </w:t>
      </w:r>
      <w:r>
        <w:rPr>
          <w:spacing w:val="-2"/>
        </w:rPr>
        <w:t>have</w:t>
      </w:r>
      <w:r>
        <w:rPr>
          <w:spacing w:val="-12"/>
        </w:rPr>
        <w:t xml:space="preserve"> </w:t>
      </w:r>
      <w:r>
        <w:rPr>
          <w:spacing w:val="-2"/>
        </w:rPr>
        <w:t>sensations</w:t>
      </w:r>
      <w:r>
        <w:rPr>
          <w:spacing w:val="-12"/>
        </w:rPr>
        <w:t xml:space="preserve"> </w:t>
      </w:r>
      <w:r>
        <w:rPr>
          <w:spacing w:val="-2"/>
        </w:rPr>
        <w:t>very</w:t>
      </w:r>
      <w:r>
        <w:rPr>
          <w:spacing w:val="-12"/>
        </w:rPr>
        <w:t xml:space="preserve"> </w:t>
      </w:r>
      <w:r>
        <w:rPr>
          <w:spacing w:val="-2"/>
        </w:rPr>
        <w:t>different</w:t>
      </w:r>
      <w:r>
        <w:rPr>
          <w:spacing w:val="-12"/>
        </w:rPr>
        <w:t xml:space="preserve"> </w:t>
      </w:r>
      <w:r>
        <w:rPr>
          <w:spacing w:val="-2"/>
        </w:rPr>
        <w:t>from</w:t>
      </w:r>
      <w:r>
        <w:rPr>
          <w:spacing w:val="-17"/>
        </w:rPr>
        <w:t xml:space="preserve"> </w:t>
      </w:r>
      <w:r>
        <w:rPr>
          <w:spacing w:val="-2"/>
        </w:rPr>
        <w:t>V</w:t>
      </w:r>
      <w:r>
        <w:rPr>
          <w:spacing w:val="-17"/>
        </w:rPr>
        <w:t xml:space="preserve"> </w:t>
      </w:r>
      <w:r>
        <w:rPr>
          <w:spacing w:val="-2"/>
        </w:rPr>
        <w:t>that</w:t>
      </w:r>
      <w:r>
        <w:rPr>
          <w:spacing w:val="-11"/>
        </w:rPr>
        <w:t xml:space="preserve"> </w:t>
      </w:r>
      <w:r>
        <w:rPr>
          <w:spacing w:val="-2"/>
        </w:rPr>
        <w:t xml:space="preserve">contained </w:t>
      </w:r>
      <w:r>
        <w:t>all</w:t>
      </w:r>
      <w:r>
        <w:rPr>
          <w:spacing w:val="-19"/>
        </w:rPr>
        <w:t xml:space="preserve"> </w:t>
      </w:r>
      <w:r>
        <w:t>the</w:t>
      </w:r>
      <w:r>
        <w:rPr>
          <w:spacing w:val="-13"/>
        </w:rPr>
        <w:t xml:space="preserve"> </w:t>
      </w:r>
      <w:r>
        <w:t>information</w:t>
      </w:r>
      <w:r>
        <w:rPr>
          <w:spacing w:val="-10"/>
        </w:rPr>
        <w:t xml:space="preserve"> </w:t>
      </w:r>
      <w:r>
        <w:t>contained</w:t>
      </w:r>
      <w:r>
        <w:rPr>
          <w:spacing w:val="-10"/>
        </w:rPr>
        <w:t xml:space="preserve"> </w:t>
      </w:r>
      <w:r>
        <w:t>in</w:t>
      </w:r>
      <w:r>
        <w:rPr>
          <w:spacing w:val="-14"/>
        </w:rPr>
        <w:t xml:space="preserve"> </w:t>
      </w:r>
      <w:r>
        <w:t>V,</w:t>
      </w:r>
      <w:r>
        <w:rPr>
          <w:spacing w:val="-10"/>
        </w:rPr>
        <w:t xml:space="preserve"> </w:t>
      </w:r>
      <w:r>
        <w:t>and</w:t>
      </w:r>
      <w:r>
        <w:rPr>
          <w:spacing w:val="-10"/>
        </w:rPr>
        <w:t xml:space="preserve"> </w:t>
      </w:r>
      <w:r>
        <w:t>then</w:t>
      </w:r>
      <w:r>
        <w:rPr>
          <w:spacing w:val="-10"/>
        </w:rPr>
        <w:t xml:space="preserve"> </w:t>
      </w:r>
      <w:r>
        <w:t>some</w:t>
      </w:r>
      <w:bookmarkStart w:id="362" w:name="_bookmark362"/>
      <w:bookmarkEnd w:id="362"/>
      <w:r>
        <w:t>.</w:t>
      </w:r>
      <w:r>
        <w:rPr>
          <w:color w:val="0562C1"/>
          <w:position w:val="21"/>
          <w:u w:val="single" w:color="0562C1"/>
        </w:rPr>
        <w:t>[254]</w:t>
      </w:r>
      <w:r>
        <w:rPr>
          <w:color w:val="0562C1"/>
          <w:spacing w:val="-19"/>
          <w:position w:val="21"/>
        </w:rPr>
        <w:t xml:space="preserve"> </w:t>
      </w:r>
      <w:r>
        <w:t>You</w:t>
      </w:r>
      <w:r>
        <w:rPr>
          <w:spacing w:val="-6"/>
        </w:rPr>
        <w:t xml:space="preserve"> </w:t>
      </w:r>
      <w:r>
        <w:t>could</w:t>
      </w:r>
      <w:r>
        <w:rPr>
          <w:spacing w:val="-6"/>
        </w:rPr>
        <w:t xml:space="preserve"> </w:t>
      </w:r>
      <w:r>
        <w:t>have</w:t>
      </w:r>
      <w:r>
        <w:rPr>
          <w:spacing w:val="-6"/>
        </w:rPr>
        <w:t xml:space="preserve"> </w:t>
      </w:r>
      <w:r>
        <w:t>visual sensations very different from the ones you actually have without, for that reason,</w:t>
      </w:r>
      <w:r>
        <w:rPr>
          <w:spacing w:val="-9"/>
        </w:rPr>
        <w:t xml:space="preserve"> </w:t>
      </w:r>
      <w:r>
        <w:t>failing</w:t>
      </w:r>
      <w:r>
        <w:rPr>
          <w:spacing w:val="-9"/>
        </w:rPr>
        <w:t xml:space="preserve"> </w:t>
      </w:r>
      <w:r>
        <w:t>to</w:t>
      </w:r>
      <w:r>
        <w:rPr>
          <w:spacing w:val="-9"/>
        </w:rPr>
        <w:t xml:space="preserve"> </w:t>
      </w:r>
      <w:r>
        <w:t>know</w:t>
      </w:r>
      <w:r>
        <w:rPr>
          <w:spacing w:val="-10"/>
        </w:rPr>
        <w:t xml:space="preserve"> </w:t>
      </w:r>
      <w:r>
        <w:t>anything</w:t>
      </w:r>
      <w:r>
        <w:rPr>
          <w:spacing w:val="-9"/>
        </w:rPr>
        <w:t xml:space="preserve"> </w:t>
      </w:r>
      <w:r>
        <w:t>that</w:t>
      </w:r>
      <w:r>
        <w:rPr>
          <w:spacing w:val="-10"/>
        </w:rPr>
        <w:t xml:space="preserve"> </w:t>
      </w:r>
      <w:r>
        <w:t>you</w:t>
      </w:r>
      <w:r>
        <w:rPr>
          <w:spacing w:val="-9"/>
        </w:rPr>
        <w:t xml:space="preserve"> </w:t>
      </w:r>
      <w:r>
        <w:t>do</w:t>
      </w:r>
      <w:r>
        <w:rPr>
          <w:spacing w:val="-9"/>
        </w:rPr>
        <w:t xml:space="preserve"> </w:t>
      </w:r>
      <w:r>
        <w:t>know.</w:t>
      </w:r>
    </w:p>
    <w:p w14:paraId="7E001B48" w14:textId="77777777" w:rsidR="009A58DB" w:rsidRDefault="00000000">
      <w:pPr>
        <w:pStyle w:val="BodyText"/>
        <w:spacing w:before="9" w:line="249" w:lineRule="auto"/>
        <w:ind w:right="360" w:firstLine="360"/>
      </w:pPr>
      <w:r>
        <w:t>But this doesn’t entail that the facts of which vision apprises us are mind-</w:t>
      </w:r>
      <w:r>
        <w:rPr>
          <w:spacing w:val="-2"/>
        </w:rPr>
        <w:t>dependent.</w:t>
      </w:r>
      <w:r>
        <w:rPr>
          <w:spacing w:val="-17"/>
        </w:rPr>
        <w:t xml:space="preserve"> </w:t>
      </w:r>
      <w:r>
        <w:rPr>
          <w:spacing w:val="-2"/>
        </w:rPr>
        <w:t>V</w:t>
      </w:r>
      <w:r>
        <w:rPr>
          <w:spacing w:val="-17"/>
        </w:rPr>
        <w:t xml:space="preserve"> </w:t>
      </w:r>
      <w:r>
        <w:rPr>
          <w:spacing w:val="-2"/>
        </w:rPr>
        <w:t>gives</w:t>
      </w:r>
      <w:r>
        <w:rPr>
          <w:spacing w:val="-14"/>
        </w:rPr>
        <w:t xml:space="preserve"> </w:t>
      </w:r>
      <w:r>
        <w:rPr>
          <w:spacing w:val="-2"/>
        </w:rPr>
        <w:t>you</w:t>
      </w:r>
      <w:r>
        <w:rPr>
          <w:spacing w:val="-13"/>
        </w:rPr>
        <w:t xml:space="preserve"> </w:t>
      </w:r>
      <w:r>
        <w:rPr>
          <w:spacing w:val="-2"/>
        </w:rPr>
        <w:t>a</w:t>
      </w:r>
      <w:r>
        <w:rPr>
          <w:spacing w:val="-13"/>
        </w:rPr>
        <w:t xml:space="preserve"> </w:t>
      </w:r>
      <w:r>
        <w:rPr>
          <w:spacing w:val="-2"/>
        </w:rPr>
        <w:t>lot</w:t>
      </w:r>
      <w:r>
        <w:rPr>
          <w:spacing w:val="-13"/>
        </w:rPr>
        <w:t xml:space="preserve"> </w:t>
      </w:r>
      <w:r>
        <w:rPr>
          <w:spacing w:val="-2"/>
        </w:rPr>
        <w:t>of</w:t>
      </w:r>
      <w:r>
        <w:rPr>
          <w:spacing w:val="-13"/>
        </w:rPr>
        <w:t xml:space="preserve"> </w:t>
      </w:r>
      <w:r>
        <w:rPr>
          <w:spacing w:val="-2"/>
        </w:rPr>
        <w:t>information</w:t>
      </w:r>
      <w:r>
        <w:rPr>
          <w:spacing w:val="-13"/>
        </w:rPr>
        <w:t xml:space="preserve"> </w:t>
      </w:r>
      <w:r>
        <w:rPr>
          <w:spacing w:val="-2"/>
        </w:rPr>
        <w:t>about</w:t>
      </w:r>
      <w:r>
        <w:rPr>
          <w:spacing w:val="-13"/>
        </w:rPr>
        <w:t xml:space="preserve"> </w:t>
      </w:r>
      <w:r>
        <w:rPr>
          <w:spacing w:val="-2"/>
        </w:rPr>
        <w:t>the</w:t>
      </w:r>
      <w:r>
        <w:rPr>
          <w:spacing w:val="-13"/>
        </w:rPr>
        <w:t xml:space="preserve"> </w:t>
      </w:r>
      <w:r>
        <w:rPr>
          <w:spacing w:val="-2"/>
        </w:rPr>
        <w:t>book’s</w:t>
      </w:r>
      <w:r>
        <w:rPr>
          <w:spacing w:val="-13"/>
        </w:rPr>
        <w:t xml:space="preserve"> </w:t>
      </w:r>
      <w:r>
        <w:rPr>
          <w:spacing w:val="-2"/>
        </w:rPr>
        <w:t>location,</w:t>
      </w:r>
      <w:r>
        <w:rPr>
          <w:spacing w:val="-13"/>
        </w:rPr>
        <w:t xml:space="preserve"> </w:t>
      </w:r>
      <w:r>
        <w:rPr>
          <w:spacing w:val="-2"/>
        </w:rPr>
        <w:t>its</w:t>
      </w:r>
      <w:r>
        <w:rPr>
          <w:spacing w:val="-13"/>
        </w:rPr>
        <w:t xml:space="preserve"> </w:t>
      </w:r>
      <w:r>
        <w:rPr>
          <w:spacing w:val="-2"/>
        </w:rPr>
        <w:t xml:space="preserve">shape, </w:t>
      </w:r>
      <w:r>
        <w:t>and</w:t>
      </w:r>
      <w:r>
        <w:rPr>
          <w:spacing w:val="-19"/>
        </w:rPr>
        <w:t xml:space="preserve"> </w:t>
      </w:r>
      <w:r>
        <w:t>its</w:t>
      </w:r>
      <w:r>
        <w:rPr>
          <w:spacing w:val="-19"/>
        </w:rPr>
        <w:t xml:space="preserve"> </w:t>
      </w:r>
      <w:r>
        <w:t>size.</w:t>
      </w:r>
      <w:r>
        <w:rPr>
          <w:spacing w:val="-25"/>
        </w:rPr>
        <w:t xml:space="preserve"> </w:t>
      </w:r>
      <w:r>
        <w:t>And</w:t>
      </w:r>
      <w:r>
        <w:rPr>
          <w:spacing w:val="-19"/>
        </w:rPr>
        <w:t xml:space="preserve"> </w:t>
      </w:r>
      <w:r>
        <w:t>V’s</w:t>
      </w:r>
      <w:r>
        <w:rPr>
          <w:spacing w:val="-18"/>
        </w:rPr>
        <w:t xml:space="preserve"> </w:t>
      </w:r>
      <w:r>
        <w:t>shape,</w:t>
      </w:r>
      <w:r>
        <w:rPr>
          <w:spacing w:val="-19"/>
        </w:rPr>
        <w:t xml:space="preserve"> </w:t>
      </w:r>
      <w:r>
        <w:t>size,</w:t>
      </w:r>
      <w:r>
        <w:rPr>
          <w:spacing w:val="-19"/>
        </w:rPr>
        <w:t xml:space="preserve"> </w:t>
      </w:r>
      <w:r>
        <w:t>etc.,</w:t>
      </w:r>
      <w:r>
        <w:rPr>
          <w:spacing w:val="-19"/>
        </w:rPr>
        <w:t xml:space="preserve"> </w:t>
      </w:r>
      <w:r>
        <w:t>are</w:t>
      </w:r>
      <w:r>
        <w:rPr>
          <w:spacing w:val="-18"/>
        </w:rPr>
        <w:t xml:space="preserve"> </w:t>
      </w:r>
      <w:r>
        <w:t>quite</w:t>
      </w:r>
      <w:r>
        <w:rPr>
          <w:spacing w:val="-19"/>
        </w:rPr>
        <w:t xml:space="preserve"> </w:t>
      </w:r>
      <w:r>
        <w:t>definitely</w:t>
      </w:r>
      <w:r>
        <w:rPr>
          <w:spacing w:val="-19"/>
        </w:rPr>
        <w:t xml:space="preserve"> </w:t>
      </w:r>
      <w:r>
        <w:t>mind-</w:t>
      </w:r>
      <w:r>
        <w:rPr>
          <w:spacing w:val="-19"/>
        </w:rPr>
        <w:t xml:space="preserve"> </w:t>
      </w:r>
      <w:r>
        <w:rPr>
          <w:i/>
        </w:rPr>
        <w:t>in</w:t>
      </w:r>
      <w:r>
        <w:t>dependent.</w:t>
      </w:r>
    </w:p>
    <w:p w14:paraId="7E001B49" w14:textId="77777777" w:rsidR="009A58DB" w:rsidRDefault="00000000">
      <w:pPr>
        <w:pStyle w:val="BodyText"/>
        <w:spacing w:before="4" w:line="249" w:lineRule="auto"/>
        <w:ind w:right="354" w:firstLine="360"/>
      </w:pPr>
      <w:r>
        <w:rPr>
          <w:spacing w:val="-2"/>
        </w:rPr>
        <w:t>“But</w:t>
      </w:r>
      <w:r>
        <w:rPr>
          <w:spacing w:val="-19"/>
        </w:rPr>
        <w:t xml:space="preserve"> </w:t>
      </w:r>
      <w:r>
        <w:rPr>
          <w:spacing w:val="-2"/>
        </w:rPr>
        <w:t>aren’t</w:t>
      </w:r>
      <w:r>
        <w:rPr>
          <w:spacing w:val="-17"/>
        </w:rPr>
        <w:t xml:space="preserve"> </w:t>
      </w:r>
      <w:r>
        <w:rPr>
          <w:spacing w:val="-2"/>
        </w:rPr>
        <w:t>you</w:t>
      </w:r>
      <w:r>
        <w:rPr>
          <w:spacing w:val="-17"/>
        </w:rPr>
        <w:t xml:space="preserve"> </w:t>
      </w:r>
      <w:r>
        <w:rPr>
          <w:spacing w:val="-2"/>
        </w:rPr>
        <w:t>begging</w:t>
      </w:r>
      <w:r>
        <w:rPr>
          <w:spacing w:val="-16"/>
        </w:rPr>
        <w:t xml:space="preserve"> </w:t>
      </w:r>
      <w:r>
        <w:rPr>
          <w:spacing w:val="-2"/>
        </w:rPr>
        <w:t>the</w:t>
      </w:r>
      <w:r>
        <w:rPr>
          <w:spacing w:val="-17"/>
        </w:rPr>
        <w:t xml:space="preserve"> </w:t>
      </w:r>
      <w:r>
        <w:rPr>
          <w:spacing w:val="-2"/>
        </w:rPr>
        <w:t>question</w:t>
      </w:r>
      <w:r>
        <w:rPr>
          <w:spacing w:val="-17"/>
        </w:rPr>
        <w:t xml:space="preserve"> </w:t>
      </w:r>
      <w:r>
        <w:rPr>
          <w:spacing w:val="-2"/>
        </w:rPr>
        <w:t>against</w:t>
      </w:r>
      <w:r>
        <w:rPr>
          <w:spacing w:val="-17"/>
        </w:rPr>
        <w:t xml:space="preserve"> </w:t>
      </w:r>
      <w:r>
        <w:rPr>
          <w:spacing w:val="-2"/>
        </w:rPr>
        <w:t>Berkeley</w:t>
      </w:r>
      <w:r>
        <w:rPr>
          <w:spacing w:val="-16"/>
        </w:rPr>
        <w:t xml:space="preserve"> </w:t>
      </w:r>
      <w:r>
        <w:rPr>
          <w:spacing w:val="-2"/>
        </w:rPr>
        <w:t>in</w:t>
      </w:r>
      <w:r>
        <w:rPr>
          <w:spacing w:val="-17"/>
        </w:rPr>
        <w:t xml:space="preserve"> </w:t>
      </w:r>
      <w:r>
        <w:rPr>
          <w:spacing w:val="-2"/>
        </w:rPr>
        <w:t>saying</w:t>
      </w:r>
      <w:r>
        <w:rPr>
          <w:spacing w:val="-17"/>
        </w:rPr>
        <w:t xml:space="preserve"> </w:t>
      </w:r>
      <w:r>
        <w:rPr>
          <w:spacing w:val="-2"/>
        </w:rPr>
        <w:t>this?,”</w:t>
      </w:r>
      <w:r>
        <w:rPr>
          <w:spacing w:val="-17"/>
        </w:rPr>
        <w:t xml:space="preserve"> </w:t>
      </w:r>
      <w:r>
        <w:rPr>
          <w:spacing w:val="-2"/>
        </w:rPr>
        <w:t>it</w:t>
      </w:r>
      <w:r>
        <w:rPr>
          <w:spacing w:val="-16"/>
        </w:rPr>
        <w:t xml:space="preserve"> </w:t>
      </w:r>
      <w:r>
        <w:rPr>
          <w:spacing w:val="-2"/>
        </w:rPr>
        <w:t xml:space="preserve">will </w:t>
      </w:r>
      <w:r>
        <w:t xml:space="preserve">be asked. “Wasn’t Berkeley arguing that, since (as you just pointed out) secondary properties are relevantly similar primary properties, to be is to be </w:t>
      </w:r>
      <w:r>
        <w:rPr>
          <w:spacing w:val="-2"/>
        </w:rPr>
        <w:t>perceived?”</w:t>
      </w:r>
    </w:p>
    <w:p w14:paraId="7E001B4A" w14:textId="77777777" w:rsidR="009A58DB" w:rsidRDefault="00000000">
      <w:pPr>
        <w:pStyle w:val="BodyText"/>
        <w:spacing w:before="5" w:line="249" w:lineRule="auto"/>
        <w:ind w:right="356" w:firstLine="360"/>
      </w:pPr>
      <w:r>
        <w:t>Berkeley does indeed argue that. But he also takes it for granted that secondary</w:t>
      </w:r>
      <w:r>
        <w:rPr>
          <w:spacing w:val="-17"/>
        </w:rPr>
        <w:t xml:space="preserve"> </w:t>
      </w:r>
      <w:r>
        <w:t>properties</w:t>
      </w:r>
      <w:r>
        <w:rPr>
          <w:spacing w:val="-17"/>
        </w:rPr>
        <w:t xml:space="preserve"> </w:t>
      </w:r>
      <w:r>
        <w:t>are</w:t>
      </w:r>
      <w:r>
        <w:rPr>
          <w:spacing w:val="-16"/>
        </w:rPr>
        <w:t xml:space="preserve"> </w:t>
      </w:r>
      <w:r>
        <w:t>mind-dependent.</w:t>
      </w:r>
      <w:r>
        <w:rPr>
          <w:spacing w:val="-16"/>
        </w:rPr>
        <w:t xml:space="preserve"> </w:t>
      </w:r>
      <w:r>
        <w:t>In</w:t>
      </w:r>
      <w:r>
        <w:rPr>
          <w:spacing w:val="-16"/>
        </w:rPr>
        <w:t xml:space="preserve"> </w:t>
      </w:r>
      <w:r>
        <w:t>other</w:t>
      </w:r>
      <w:r>
        <w:rPr>
          <w:spacing w:val="-16"/>
        </w:rPr>
        <w:t xml:space="preserve"> </w:t>
      </w:r>
      <w:r>
        <w:t>words,</w:t>
      </w:r>
      <w:r>
        <w:rPr>
          <w:spacing w:val="-16"/>
        </w:rPr>
        <w:t xml:space="preserve"> </w:t>
      </w:r>
      <w:r>
        <w:t>his</w:t>
      </w:r>
      <w:r>
        <w:rPr>
          <w:spacing w:val="-16"/>
        </w:rPr>
        <w:t xml:space="preserve"> </w:t>
      </w:r>
      <w:r>
        <w:t>argument</w:t>
      </w:r>
      <w:r>
        <w:rPr>
          <w:spacing w:val="-17"/>
        </w:rPr>
        <w:t xml:space="preserve"> </w:t>
      </w:r>
      <w:r>
        <w:t>has</w:t>
      </w:r>
      <w:r>
        <w:rPr>
          <w:spacing w:val="-16"/>
        </w:rPr>
        <w:t xml:space="preserve"> </w:t>
      </w:r>
      <w:r>
        <w:t xml:space="preserve">the </w:t>
      </w:r>
      <w:r>
        <w:rPr>
          <w:spacing w:val="-2"/>
        </w:rPr>
        <w:t>form:</w:t>
      </w:r>
      <w:r>
        <w:rPr>
          <w:spacing w:val="-14"/>
        </w:rPr>
        <w:t xml:space="preserve"> </w:t>
      </w:r>
      <w:r>
        <w:rPr>
          <w:spacing w:val="-2"/>
        </w:rPr>
        <w:t>(i)</w:t>
      </w:r>
      <w:r>
        <w:rPr>
          <w:spacing w:val="-14"/>
        </w:rPr>
        <w:t xml:space="preserve"> </w:t>
      </w:r>
      <w:r>
        <w:rPr>
          <w:spacing w:val="-2"/>
        </w:rPr>
        <w:t>secondary</w:t>
      </w:r>
      <w:r>
        <w:rPr>
          <w:spacing w:val="-14"/>
        </w:rPr>
        <w:t xml:space="preserve"> </w:t>
      </w:r>
      <w:r>
        <w:rPr>
          <w:spacing w:val="-2"/>
        </w:rPr>
        <w:t>properties</w:t>
      </w:r>
      <w:r>
        <w:rPr>
          <w:spacing w:val="-14"/>
        </w:rPr>
        <w:t xml:space="preserve"> </w:t>
      </w:r>
      <w:r>
        <w:rPr>
          <w:spacing w:val="-2"/>
        </w:rPr>
        <w:t>are</w:t>
      </w:r>
      <w:r>
        <w:rPr>
          <w:spacing w:val="-14"/>
        </w:rPr>
        <w:t xml:space="preserve"> </w:t>
      </w:r>
      <w:r>
        <w:rPr>
          <w:spacing w:val="-2"/>
        </w:rPr>
        <w:t>mind-dependent;</w:t>
      </w:r>
      <w:r>
        <w:rPr>
          <w:spacing w:val="-14"/>
        </w:rPr>
        <w:t xml:space="preserve"> </w:t>
      </w:r>
      <w:r>
        <w:rPr>
          <w:spacing w:val="-2"/>
        </w:rPr>
        <w:t>(ii)</w:t>
      </w:r>
      <w:r>
        <w:rPr>
          <w:spacing w:val="-14"/>
        </w:rPr>
        <w:t xml:space="preserve"> </w:t>
      </w:r>
      <w:r>
        <w:rPr>
          <w:spacing w:val="-2"/>
        </w:rPr>
        <w:t>secondary</w:t>
      </w:r>
      <w:r>
        <w:rPr>
          <w:spacing w:val="-14"/>
        </w:rPr>
        <w:t xml:space="preserve"> </w:t>
      </w:r>
      <w:r>
        <w:rPr>
          <w:spacing w:val="-2"/>
        </w:rPr>
        <w:t>properties</w:t>
      </w:r>
      <w:r>
        <w:rPr>
          <w:spacing w:val="-14"/>
        </w:rPr>
        <w:t xml:space="preserve"> </w:t>
      </w:r>
      <w:r>
        <w:rPr>
          <w:spacing w:val="-2"/>
        </w:rPr>
        <w:t xml:space="preserve">are </w:t>
      </w:r>
      <w:r>
        <w:t>relevantly similar to primary properties; (iii) therefore, primary properties are mind-dependent;</w:t>
      </w:r>
      <w:r>
        <w:rPr>
          <w:spacing w:val="-19"/>
        </w:rPr>
        <w:t xml:space="preserve"> </w:t>
      </w:r>
      <w:r>
        <w:t>(iv)</w:t>
      </w:r>
      <w:r>
        <w:rPr>
          <w:spacing w:val="-19"/>
        </w:rPr>
        <w:t xml:space="preserve"> </w:t>
      </w:r>
      <w:r>
        <w:t>it</w:t>
      </w:r>
      <w:r>
        <w:rPr>
          <w:spacing w:val="-19"/>
        </w:rPr>
        <w:t xml:space="preserve"> </w:t>
      </w:r>
      <w:r>
        <w:t>follows</w:t>
      </w:r>
      <w:r>
        <w:rPr>
          <w:spacing w:val="-18"/>
        </w:rPr>
        <w:t xml:space="preserve"> </w:t>
      </w:r>
      <w:r>
        <w:t>from</w:t>
      </w:r>
      <w:r>
        <w:rPr>
          <w:spacing w:val="-19"/>
        </w:rPr>
        <w:t xml:space="preserve"> </w:t>
      </w:r>
      <w:r>
        <w:t>(iii)</w:t>
      </w:r>
      <w:r>
        <w:rPr>
          <w:spacing w:val="-19"/>
        </w:rPr>
        <w:t xml:space="preserve"> </w:t>
      </w:r>
      <w:r>
        <w:t>that</w:t>
      </w:r>
      <w:r>
        <w:rPr>
          <w:spacing w:val="-19"/>
        </w:rPr>
        <w:t xml:space="preserve"> </w:t>
      </w:r>
      <w:r>
        <w:t>objects</w:t>
      </w:r>
      <w:r>
        <w:rPr>
          <w:spacing w:val="-18"/>
        </w:rPr>
        <w:t xml:space="preserve"> </w:t>
      </w:r>
      <w:r>
        <w:t>are</w:t>
      </w:r>
      <w:r>
        <w:rPr>
          <w:spacing w:val="-19"/>
        </w:rPr>
        <w:t xml:space="preserve"> </w:t>
      </w:r>
      <w:r>
        <w:t>mind-dependent—are creatures of the mind.</w:t>
      </w:r>
    </w:p>
    <w:p w14:paraId="7E001B4B" w14:textId="77777777" w:rsidR="009A58DB" w:rsidRDefault="00000000">
      <w:pPr>
        <w:pStyle w:val="BodyText"/>
        <w:spacing w:before="7" w:line="249" w:lineRule="auto"/>
        <w:ind w:right="358" w:firstLine="360"/>
      </w:pPr>
      <w:r>
        <w:t>But</w:t>
      </w:r>
      <w:r>
        <w:rPr>
          <w:spacing w:val="-10"/>
        </w:rPr>
        <w:t xml:space="preserve"> </w:t>
      </w:r>
      <w:r>
        <w:t>I argued that secondary properties</w:t>
      </w:r>
      <w:r>
        <w:rPr>
          <w:spacing w:val="-19"/>
        </w:rPr>
        <w:t xml:space="preserve"> </w:t>
      </w:r>
      <w:r>
        <w:rPr>
          <w:i/>
        </w:rPr>
        <w:t>aren’t</w:t>
      </w:r>
      <w:r>
        <w:rPr>
          <w:i/>
          <w:spacing w:val="-19"/>
        </w:rPr>
        <w:t xml:space="preserve"> </w:t>
      </w:r>
      <w:r>
        <w:t>mind-dependent. I reject step (i), and provided an independently plausible reason for doing so. Therefore, what</w:t>
      </w:r>
      <w:r>
        <w:rPr>
          <w:spacing w:val="-16"/>
        </w:rPr>
        <w:t xml:space="preserve"> </w:t>
      </w:r>
      <w:r>
        <w:t>I’ve</w:t>
      </w:r>
      <w:r>
        <w:rPr>
          <w:spacing w:val="-15"/>
        </w:rPr>
        <w:t xml:space="preserve"> </w:t>
      </w:r>
      <w:r>
        <w:t>said</w:t>
      </w:r>
      <w:r>
        <w:rPr>
          <w:spacing w:val="-15"/>
        </w:rPr>
        <w:t xml:space="preserve"> </w:t>
      </w:r>
      <w:r>
        <w:t>doesn’t</w:t>
      </w:r>
      <w:r>
        <w:rPr>
          <w:spacing w:val="-16"/>
        </w:rPr>
        <w:t xml:space="preserve"> </w:t>
      </w:r>
      <w:r>
        <w:t>beg</w:t>
      </w:r>
      <w:r>
        <w:rPr>
          <w:spacing w:val="-15"/>
        </w:rPr>
        <w:t xml:space="preserve"> </w:t>
      </w:r>
      <w:r>
        <w:t>any</w:t>
      </w:r>
      <w:r>
        <w:rPr>
          <w:spacing w:val="-15"/>
        </w:rPr>
        <w:t xml:space="preserve"> </w:t>
      </w:r>
      <w:r>
        <w:t>questions</w:t>
      </w:r>
      <w:r>
        <w:rPr>
          <w:spacing w:val="-15"/>
        </w:rPr>
        <w:t xml:space="preserve"> </w:t>
      </w:r>
      <w:r>
        <w:t>against</w:t>
      </w:r>
      <w:r>
        <w:rPr>
          <w:spacing w:val="-16"/>
        </w:rPr>
        <w:t xml:space="preserve"> </w:t>
      </w:r>
      <w:r>
        <w:t>Berkeley.</w:t>
      </w:r>
    </w:p>
    <w:p w14:paraId="7E001B4C" w14:textId="77777777" w:rsidR="009A58DB" w:rsidRDefault="00000000">
      <w:pPr>
        <w:pStyle w:val="Heading1"/>
        <w:numPr>
          <w:ilvl w:val="2"/>
          <w:numId w:val="109"/>
        </w:numPr>
        <w:tabs>
          <w:tab w:val="left" w:pos="1459"/>
        </w:tabs>
        <w:spacing w:before="192" w:line="244" w:lineRule="auto"/>
        <w:ind w:right="371" w:firstLine="0"/>
      </w:pPr>
      <w:r>
        <w:t>Is</w:t>
      </w:r>
      <w:r>
        <w:rPr>
          <w:spacing w:val="80"/>
          <w:w w:val="150"/>
        </w:rPr>
        <w:t xml:space="preserve"> </w:t>
      </w:r>
      <w:r>
        <w:t>temperature</w:t>
      </w:r>
      <w:r>
        <w:rPr>
          <w:spacing w:val="80"/>
          <w:w w:val="150"/>
        </w:rPr>
        <w:t xml:space="preserve"> </w:t>
      </w:r>
      <w:r>
        <w:t>a</w:t>
      </w:r>
      <w:r>
        <w:rPr>
          <w:spacing w:val="80"/>
          <w:w w:val="150"/>
        </w:rPr>
        <w:t xml:space="preserve"> </w:t>
      </w:r>
      <w:r>
        <w:t>primary</w:t>
      </w:r>
      <w:r>
        <w:rPr>
          <w:spacing w:val="80"/>
          <w:w w:val="150"/>
        </w:rPr>
        <w:t xml:space="preserve"> </w:t>
      </w:r>
      <w:r>
        <w:t>or</w:t>
      </w:r>
      <w:r>
        <w:rPr>
          <w:spacing w:val="80"/>
          <w:w w:val="150"/>
        </w:rPr>
        <w:t xml:space="preserve"> </w:t>
      </w:r>
      <w:r>
        <w:t>a</w:t>
      </w:r>
      <w:r>
        <w:rPr>
          <w:spacing w:val="80"/>
          <w:w w:val="150"/>
        </w:rPr>
        <w:t xml:space="preserve"> </w:t>
      </w:r>
      <w:r>
        <w:t xml:space="preserve">secondary </w:t>
      </w:r>
      <w:r>
        <w:rPr>
          <w:spacing w:val="-2"/>
        </w:rPr>
        <w:t>property?</w:t>
      </w:r>
    </w:p>
    <w:p w14:paraId="7E001B4D" w14:textId="77777777" w:rsidR="009A58DB" w:rsidRDefault="00000000">
      <w:pPr>
        <w:pStyle w:val="BodyText"/>
        <w:spacing w:before="132" w:line="249" w:lineRule="auto"/>
        <w:ind w:right="372"/>
      </w:pPr>
      <w:r>
        <w:t>Some properties that seem to be secondary turn out to be primary. A brief examination</w:t>
      </w:r>
      <w:r>
        <w:rPr>
          <w:spacing w:val="-15"/>
        </w:rPr>
        <w:t xml:space="preserve"> </w:t>
      </w:r>
      <w:r>
        <w:t>of</w:t>
      </w:r>
      <w:r>
        <w:rPr>
          <w:spacing w:val="-15"/>
        </w:rPr>
        <w:t xml:space="preserve"> </w:t>
      </w:r>
      <w:r>
        <w:t>one</w:t>
      </w:r>
      <w:r>
        <w:rPr>
          <w:spacing w:val="-15"/>
        </w:rPr>
        <w:t xml:space="preserve"> </w:t>
      </w:r>
      <w:r>
        <w:t>such</w:t>
      </w:r>
      <w:r>
        <w:rPr>
          <w:spacing w:val="-15"/>
        </w:rPr>
        <w:t xml:space="preserve"> </w:t>
      </w:r>
      <w:r>
        <w:t>property</w:t>
      </w:r>
      <w:r>
        <w:rPr>
          <w:spacing w:val="-15"/>
        </w:rPr>
        <w:t xml:space="preserve"> </w:t>
      </w:r>
      <w:r>
        <w:t>will</w:t>
      </w:r>
      <w:r>
        <w:rPr>
          <w:spacing w:val="-15"/>
        </w:rPr>
        <w:t xml:space="preserve"> </w:t>
      </w:r>
      <w:r>
        <w:t>clarify</w:t>
      </w:r>
      <w:r>
        <w:rPr>
          <w:spacing w:val="-15"/>
        </w:rPr>
        <w:t xml:space="preserve"> </w:t>
      </w:r>
      <w:r>
        <w:t>some</w:t>
      </w:r>
      <w:r>
        <w:rPr>
          <w:spacing w:val="-15"/>
        </w:rPr>
        <w:t xml:space="preserve"> </w:t>
      </w:r>
      <w:r>
        <w:t>of</w:t>
      </w:r>
      <w:r>
        <w:rPr>
          <w:spacing w:val="-15"/>
        </w:rPr>
        <w:t xml:space="preserve"> </w:t>
      </w:r>
      <w:r>
        <w:t>the</w:t>
      </w:r>
      <w:r>
        <w:rPr>
          <w:spacing w:val="-15"/>
        </w:rPr>
        <w:t xml:space="preserve"> </w:t>
      </w:r>
      <w:r>
        <w:t>points</w:t>
      </w:r>
      <w:r>
        <w:rPr>
          <w:spacing w:val="-15"/>
        </w:rPr>
        <w:t xml:space="preserve"> </w:t>
      </w:r>
      <w:r>
        <w:t>just</w:t>
      </w:r>
      <w:r>
        <w:rPr>
          <w:spacing w:val="-15"/>
        </w:rPr>
        <w:t xml:space="preserve"> </w:t>
      </w:r>
      <w:r>
        <w:t>made.</w:t>
      </w:r>
    </w:p>
    <w:p w14:paraId="7E001B4E" w14:textId="77777777" w:rsidR="009A58DB" w:rsidRDefault="00000000">
      <w:pPr>
        <w:pStyle w:val="BodyText"/>
        <w:spacing w:before="2" w:line="249" w:lineRule="auto"/>
        <w:ind w:right="364" w:firstLine="360"/>
      </w:pPr>
      <w:r>
        <w:t>For</w:t>
      </w:r>
      <w:r>
        <w:rPr>
          <w:spacing w:val="-12"/>
        </w:rPr>
        <w:t xml:space="preserve"> </w:t>
      </w:r>
      <w:r>
        <w:t>an</w:t>
      </w:r>
      <w:r>
        <w:rPr>
          <w:spacing w:val="-4"/>
        </w:rPr>
        <w:t xml:space="preserve"> </w:t>
      </w:r>
      <w:r>
        <w:t>object</w:t>
      </w:r>
      <w:r>
        <w:rPr>
          <w:spacing w:val="-4"/>
        </w:rPr>
        <w:t xml:space="preserve"> </w:t>
      </w:r>
      <w:r>
        <w:t>to</w:t>
      </w:r>
      <w:r>
        <w:rPr>
          <w:spacing w:val="-5"/>
        </w:rPr>
        <w:t xml:space="preserve"> </w:t>
      </w:r>
      <w:r>
        <w:t>have</w:t>
      </w:r>
      <w:r>
        <w:rPr>
          <w:spacing w:val="-4"/>
        </w:rPr>
        <w:t xml:space="preserve"> </w:t>
      </w:r>
      <w:r>
        <w:t>a</w:t>
      </w:r>
      <w:r>
        <w:rPr>
          <w:spacing w:val="-4"/>
        </w:rPr>
        <w:t xml:space="preserve"> </w:t>
      </w:r>
      <w:r>
        <w:t>certain</w:t>
      </w:r>
      <w:r>
        <w:rPr>
          <w:spacing w:val="-19"/>
        </w:rPr>
        <w:t xml:space="preserve"> </w:t>
      </w:r>
      <w:r>
        <w:rPr>
          <w:i/>
        </w:rPr>
        <w:t>temperature</w:t>
      </w:r>
      <w:r>
        <w:rPr>
          <w:i/>
          <w:spacing w:val="-19"/>
        </w:rPr>
        <w:t xml:space="preserve"> </w:t>
      </w:r>
      <w:r>
        <w:t>is</w:t>
      </w:r>
      <w:r>
        <w:rPr>
          <w:spacing w:val="-3"/>
        </w:rPr>
        <w:t xml:space="preserve"> </w:t>
      </w:r>
      <w:r>
        <w:t>for</w:t>
      </w:r>
      <w:r>
        <w:rPr>
          <w:spacing w:val="-4"/>
        </w:rPr>
        <w:t xml:space="preserve"> </w:t>
      </w:r>
      <w:r>
        <w:t>the</w:t>
      </w:r>
      <w:r>
        <w:rPr>
          <w:spacing w:val="-4"/>
        </w:rPr>
        <w:t xml:space="preserve"> </w:t>
      </w:r>
      <w:r>
        <w:t>particles</w:t>
      </w:r>
      <w:r>
        <w:rPr>
          <w:spacing w:val="-3"/>
        </w:rPr>
        <w:t xml:space="preserve"> </w:t>
      </w:r>
      <w:r>
        <w:t>composing</w:t>
      </w:r>
      <w:r>
        <w:rPr>
          <w:spacing w:val="-3"/>
        </w:rPr>
        <w:t xml:space="preserve"> </w:t>
      </w:r>
      <w:r>
        <w:t xml:space="preserve">it </w:t>
      </w:r>
      <w:r>
        <w:rPr>
          <w:spacing w:val="-2"/>
        </w:rPr>
        <w:t>to</w:t>
      </w:r>
      <w:r>
        <w:rPr>
          <w:spacing w:val="-16"/>
        </w:rPr>
        <w:t xml:space="preserve"> </w:t>
      </w:r>
      <w:r>
        <w:rPr>
          <w:spacing w:val="-2"/>
        </w:rPr>
        <w:t>have</w:t>
      </w:r>
      <w:r>
        <w:rPr>
          <w:spacing w:val="-16"/>
        </w:rPr>
        <w:t xml:space="preserve"> </w:t>
      </w:r>
      <w:r>
        <w:rPr>
          <w:spacing w:val="-2"/>
        </w:rPr>
        <w:t>a</w:t>
      </w:r>
      <w:r>
        <w:rPr>
          <w:spacing w:val="-16"/>
        </w:rPr>
        <w:t xml:space="preserve"> </w:t>
      </w:r>
      <w:r>
        <w:rPr>
          <w:spacing w:val="-2"/>
        </w:rPr>
        <w:t>certain</w:t>
      </w:r>
      <w:r>
        <w:rPr>
          <w:spacing w:val="-16"/>
        </w:rPr>
        <w:t xml:space="preserve"> </w:t>
      </w:r>
      <w:r>
        <w:rPr>
          <w:spacing w:val="-2"/>
        </w:rPr>
        <w:t>mean</w:t>
      </w:r>
      <w:r>
        <w:rPr>
          <w:spacing w:val="-16"/>
        </w:rPr>
        <w:t xml:space="preserve"> </w:t>
      </w:r>
      <w:r>
        <w:rPr>
          <w:spacing w:val="-2"/>
        </w:rPr>
        <w:t>kinetic</w:t>
      </w:r>
      <w:r>
        <w:rPr>
          <w:spacing w:val="-16"/>
        </w:rPr>
        <w:t xml:space="preserve"> </w:t>
      </w:r>
      <w:r>
        <w:rPr>
          <w:spacing w:val="-2"/>
        </w:rPr>
        <w:t>energy.</w:t>
      </w:r>
      <w:r>
        <w:rPr>
          <w:spacing w:val="-15"/>
        </w:rPr>
        <w:t xml:space="preserve"> </w:t>
      </w:r>
      <w:r>
        <w:rPr>
          <w:spacing w:val="-2"/>
        </w:rPr>
        <w:t>(Basically,</w:t>
      </w:r>
      <w:r>
        <w:rPr>
          <w:spacing w:val="-15"/>
        </w:rPr>
        <w:t xml:space="preserve"> </w:t>
      </w:r>
      <w:r>
        <w:rPr>
          <w:spacing w:val="-2"/>
        </w:rPr>
        <w:t>it’s</w:t>
      </w:r>
      <w:r>
        <w:rPr>
          <w:spacing w:val="-15"/>
        </w:rPr>
        <w:t xml:space="preserve"> </w:t>
      </w:r>
      <w:r>
        <w:rPr>
          <w:spacing w:val="-2"/>
        </w:rPr>
        <w:t>for</w:t>
      </w:r>
      <w:r>
        <w:rPr>
          <w:spacing w:val="-15"/>
        </w:rPr>
        <w:t xml:space="preserve"> </w:t>
      </w:r>
      <w:r>
        <w:rPr>
          <w:spacing w:val="-2"/>
        </w:rPr>
        <w:t>those</w:t>
      </w:r>
      <w:r>
        <w:rPr>
          <w:spacing w:val="-15"/>
        </w:rPr>
        <w:t xml:space="preserve"> </w:t>
      </w:r>
      <w:r>
        <w:rPr>
          <w:spacing w:val="-2"/>
        </w:rPr>
        <w:t>particles</w:t>
      </w:r>
      <w:r>
        <w:rPr>
          <w:spacing w:val="-15"/>
        </w:rPr>
        <w:t xml:space="preserve"> </w:t>
      </w:r>
      <w:r>
        <w:rPr>
          <w:spacing w:val="-2"/>
        </w:rPr>
        <w:t>to</w:t>
      </w:r>
      <w:r>
        <w:rPr>
          <w:spacing w:val="-15"/>
        </w:rPr>
        <w:t xml:space="preserve"> </w:t>
      </w:r>
      <w:r>
        <w:rPr>
          <w:spacing w:val="-2"/>
        </w:rPr>
        <w:t xml:space="preserve">move </w:t>
      </w:r>
      <w:r>
        <w:t>around</w:t>
      </w:r>
      <w:r>
        <w:rPr>
          <w:spacing w:val="-19"/>
        </w:rPr>
        <w:t xml:space="preserve"> </w:t>
      </w:r>
      <w:r>
        <w:t>in</w:t>
      </w:r>
      <w:r>
        <w:rPr>
          <w:spacing w:val="-17"/>
        </w:rPr>
        <w:t xml:space="preserve"> </w:t>
      </w:r>
      <w:r>
        <w:t>a</w:t>
      </w:r>
      <w:r>
        <w:rPr>
          <w:spacing w:val="-17"/>
        </w:rPr>
        <w:t xml:space="preserve"> </w:t>
      </w:r>
      <w:r>
        <w:t>certain</w:t>
      </w:r>
      <w:r>
        <w:rPr>
          <w:spacing w:val="-17"/>
        </w:rPr>
        <w:t xml:space="preserve"> </w:t>
      </w:r>
      <w:r>
        <w:t>way.</w:t>
      </w:r>
      <w:r>
        <w:rPr>
          <w:spacing w:val="-19"/>
        </w:rPr>
        <w:t xml:space="preserve"> </w:t>
      </w:r>
      <w:r>
        <w:t>The</w:t>
      </w:r>
      <w:r>
        <w:rPr>
          <w:spacing w:val="-17"/>
        </w:rPr>
        <w:t xml:space="preserve"> </w:t>
      </w:r>
      <w:r>
        <w:t>faster</w:t>
      </w:r>
      <w:r>
        <w:rPr>
          <w:spacing w:val="-17"/>
        </w:rPr>
        <w:t xml:space="preserve"> </w:t>
      </w:r>
      <w:r>
        <w:t>the</w:t>
      </w:r>
      <w:r>
        <w:rPr>
          <w:spacing w:val="-17"/>
        </w:rPr>
        <w:t xml:space="preserve"> </w:t>
      </w:r>
      <w:r>
        <w:t>movements,</w:t>
      </w:r>
      <w:r>
        <w:rPr>
          <w:spacing w:val="-17"/>
        </w:rPr>
        <w:t xml:space="preserve"> </w:t>
      </w:r>
      <w:r>
        <w:t>the</w:t>
      </w:r>
      <w:r>
        <w:rPr>
          <w:spacing w:val="-17"/>
        </w:rPr>
        <w:t xml:space="preserve"> </w:t>
      </w:r>
      <w:r>
        <w:t>greater</w:t>
      </w:r>
      <w:r>
        <w:rPr>
          <w:spacing w:val="-17"/>
        </w:rPr>
        <w:t xml:space="preserve"> </w:t>
      </w:r>
      <w:r>
        <w:t>the</w:t>
      </w:r>
      <w:r>
        <w:rPr>
          <w:spacing w:val="-17"/>
        </w:rPr>
        <w:t xml:space="preserve"> </w:t>
      </w:r>
      <w:r>
        <w:t>temperature.</w:t>
      </w:r>
    </w:p>
    <w:p w14:paraId="7E001B4F" w14:textId="77777777" w:rsidR="009A58DB" w:rsidRDefault="00000000">
      <w:pPr>
        <w:pStyle w:val="BodyText"/>
        <w:spacing w:before="4" w:line="277" w:lineRule="exact"/>
        <w:jc w:val="left"/>
      </w:pPr>
      <w:bookmarkStart w:id="363" w:name="_bookmark363"/>
      <w:bookmarkEnd w:id="363"/>
      <w:r>
        <w:rPr>
          <w:color w:val="0562C1"/>
          <w:spacing w:val="-2"/>
          <w:u w:val="single" w:color="0562C1"/>
        </w:rPr>
        <w:t>[255]</w:t>
      </w:r>
    </w:p>
    <w:p w14:paraId="7E001B50" w14:textId="77777777" w:rsidR="009A58DB" w:rsidRDefault="00000000">
      <w:pPr>
        <w:pStyle w:val="BodyText"/>
        <w:spacing w:line="277" w:lineRule="exact"/>
        <w:ind w:left="989"/>
        <w:jc w:val="left"/>
      </w:pPr>
      <w:r>
        <w:t>)</w:t>
      </w:r>
      <w:r>
        <w:rPr>
          <w:spacing w:val="-12"/>
        </w:rPr>
        <w:t xml:space="preserve"> </w:t>
      </w:r>
      <w:r>
        <w:t>But</w:t>
      </w:r>
      <w:r>
        <w:rPr>
          <w:spacing w:val="-11"/>
        </w:rPr>
        <w:t xml:space="preserve"> </w:t>
      </w:r>
      <w:r>
        <w:t>it’s</w:t>
      </w:r>
      <w:r>
        <w:rPr>
          <w:spacing w:val="-11"/>
        </w:rPr>
        <w:t xml:space="preserve"> </w:t>
      </w:r>
      <w:r>
        <w:t>initially</w:t>
      </w:r>
      <w:r>
        <w:rPr>
          <w:spacing w:val="-11"/>
        </w:rPr>
        <w:t xml:space="preserve"> </w:t>
      </w:r>
      <w:r>
        <w:t>tempting</w:t>
      </w:r>
      <w:r>
        <w:rPr>
          <w:spacing w:val="-11"/>
        </w:rPr>
        <w:t xml:space="preserve"> </w:t>
      </w:r>
      <w:r>
        <w:t>to</w:t>
      </w:r>
      <w:r>
        <w:rPr>
          <w:spacing w:val="-11"/>
        </w:rPr>
        <w:t xml:space="preserve"> </w:t>
      </w:r>
      <w:r>
        <w:t>categorize</w:t>
      </w:r>
      <w:r>
        <w:rPr>
          <w:spacing w:val="-10"/>
        </w:rPr>
        <w:t xml:space="preserve"> </w:t>
      </w:r>
      <w:r>
        <w:t>temperature</w:t>
      </w:r>
      <w:r>
        <w:rPr>
          <w:spacing w:val="-11"/>
        </w:rPr>
        <w:t xml:space="preserve"> </w:t>
      </w:r>
      <w:r>
        <w:t>with</w:t>
      </w:r>
      <w:r>
        <w:rPr>
          <w:spacing w:val="-10"/>
        </w:rPr>
        <w:t xml:space="preserve"> </w:t>
      </w:r>
      <w:r>
        <w:t>sweetness</w:t>
      </w:r>
      <w:r>
        <w:rPr>
          <w:spacing w:val="-10"/>
        </w:rPr>
        <w:t xml:space="preserve"> </w:t>
      </w:r>
      <w:r>
        <w:rPr>
          <w:spacing w:val="-4"/>
        </w:rPr>
        <w:t>and,</w:t>
      </w:r>
    </w:p>
    <w:p w14:paraId="7E001B51" w14:textId="77777777" w:rsidR="009A58DB" w:rsidRDefault="00000000">
      <w:pPr>
        <w:pStyle w:val="BodyText"/>
        <w:spacing w:before="15"/>
        <w:jc w:val="left"/>
      </w:pPr>
      <w:r>
        <w:rPr>
          <w:spacing w:val="-2"/>
        </w:rPr>
        <w:t>thus,</w:t>
      </w:r>
      <w:r>
        <w:rPr>
          <w:spacing w:val="-14"/>
        </w:rPr>
        <w:t xml:space="preserve"> </w:t>
      </w:r>
      <w:r>
        <w:rPr>
          <w:spacing w:val="-2"/>
        </w:rPr>
        <w:t>to</w:t>
      </w:r>
      <w:r>
        <w:rPr>
          <w:spacing w:val="-14"/>
        </w:rPr>
        <w:t xml:space="preserve"> </w:t>
      </w:r>
      <w:r>
        <w:rPr>
          <w:spacing w:val="-2"/>
        </w:rPr>
        <w:t>see</w:t>
      </w:r>
      <w:r>
        <w:rPr>
          <w:spacing w:val="-14"/>
        </w:rPr>
        <w:t xml:space="preserve"> </w:t>
      </w:r>
      <w:r>
        <w:rPr>
          <w:spacing w:val="-2"/>
        </w:rPr>
        <w:t>it</w:t>
      </w:r>
      <w:r>
        <w:rPr>
          <w:spacing w:val="-14"/>
        </w:rPr>
        <w:t xml:space="preserve"> </w:t>
      </w:r>
      <w:r>
        <w:rPr>
          <w:spacing w:val="-2"/>
        </w:rPr>
        <w:t>as</w:t>
      </w:r>
      <w:r>
        <w:rPr>
          <w:spacing w:val="-14"/>
        </w:rPr>
        <w:t xml:space="preserve"> </w:t>
      </w:r>
      <w:r>
        <w:rPr>
          <w:spacing w:val="-2"/>
        </w:rPr>
        <w:t>secondary</w:t>
      </w:r>
      <w:r>
        <w:rPr>
          <w:spacing w:val="-13"/>
        </w:rPr>
        <w:t xml:space="preserve"> </w:t>
      </w:r>
      <w:r>
        <w:rPr>
          <w:spacing w:val="-2"/>
        </w:rPr>
        <w:t>property.</w:t>
      </w:r>
    </w:p>
    <w:p w14:paraId="7E001B52" w14:textId="77777777" w:rsidR="009A58DB" w:rsidRDefault="009A58DB">
      <w:pPr>
        <w:pStyle w:val="BodyText"/>
        <w:jc w:val="left"/>
        <w:sectPr w:rsidR="009A58DB">
          <w:pgSz w:w="12240" w:h="15840"/>
          <w:pgMar w:top="1380" w:right="1080" w:bottom="280" w:left="1080" w:header="720" w:footer="720" w:gutter="0"/>
          <w:cols w:space="720"/>
        </w:sectPr>
      </w:pPr>
    </w:p>
    <w:p w14:paraId="7E001B53" w14:textId="77777777" w:rsidR="009A58DB" w:rsidRDefault="00000000">
      <w:pPr>
        <w:pStyle w:val="BodyText"/>
        <w:spacing w:before="65" w:line="249" w:lineRule="auto"/>
        <w:ind w:right="366" w:firstLine="360"/>
      </w:pPr>
      <w:r>
        <w:lastRenderedPageBreak/>
        <w:t>There are a couple of reasons for this. First, secondary properties are modality-specific.</w:t>
      </w:r>
      <w:r>
        <w:rPr>
          <w:spacing w:val="-19"/>
        </w:rPr>
        <w:t xml:space="preserve"> </w:t>
      </w:r>
      <w:r>
        <w:t>Sweetness</w:t>
      </w:r>
      <w:r>
        <w:rPr>
          <w:spacing w:val="-19"/>
        </w:rPr>
        <w:t xml:space="preserve"> </w:t>
      </w:r>
      <w:r>
        <w:t>can</w:t>
      </w:r>
      <w:r>
        <w:rPr>
          <w:spacing w:val="-18"/>
        </w:rPr>
        <w:t xml:space="preserve"> </w:t>
      </w:r>
      <w:r>
        <w:t>be</w:t>
      </w:r>
      <w:r>
        <w:rPr>
          <w:spacing w:val="-19"/>
        </w:rPr>
        <w:t xml:space="preserve"> </w:t>
      </w:r>
      <w:r>
        <w:t>tasted,</w:t>
      </w:r>
      <w:r>
        <w:rPr>
          <w:spacing w:val="-18"/>
        </w:rPr>
        <w:t xml:space="preserve"> </w:t>
      </w:r>
      <w:r>
        <w:t>but</w:t>
      </w:r>
      <w:r>
        <w:rPr>
          <w:spacing w:val="-19"/>
        </w:rPr>
        <w:t xml:space="preserve"> </w:t>
      </w:r>
      <w:r>
        <w:t>not</w:t>
      </w:r>
      <w:r>
        <w:rPr>
          <w:spacing w:val="-19"/>
        </w:rPr>
        <w:t xml:space="preserve"> </w:t>
      </w:r>
      <w:r>
        <w:t>heard,</w:t>
      </w:r>
      <w:r>
        <w:rPr>
          <w:spacing w:val="-18"/>
        </w:rPr>
        <w:t xml:space="preserve"> </w:t>
      </w:r>
      <w:r>
        <w:t>seen,</w:t>
      </w:r>
      <w:r>
        <w:rPr>
          <w:spacing w:val="-19"/>
        </w:rPr>
        <w:t xml:space="preserve"> </w:t>
      </w:r>
      <w:r>
        <w:t>touched.</w:t>
      </w:r>
    </w:p>
    <w:p w14:paraId="7E001B54" w14:textId="77777777" w:rsidR="009A58DB" w:rsidRDefault="00000000">
      <w:pPr>
        <w:pStyle w:val="BodyText"/>
        <w:spacing w:before="2" w:line="249" w:lineRule="auto"/>
        <w:ind w:right="362" w:firstLine="360"/>
      </w:pPr>
      <w:r>
        <w:t>By contrast, primary properties are transmodal. Squareness can be seen or touched.</w:t>
      </w:r>
      <w:r>
        <w:rPr>
          <w:spacing w:val="-1"/>
        </w:rPr>
        <w:t xml:space="preserve"> </w:t>
      </w:r>
      <w:r>
        <w:t>In fact, creatures with very good hearing (e.g. bats) can</w:t>
      </w:r>
      <w:r>
        <w:rPr>
          <w:spacing w:val="-19"/>
        </w:rPr>
        <w:t xml:space="preserve"> </w:t>
      </w:r>
      <w:r>
        <w:rPr>
          <w:i/>
        </w:rPr>
        <w:t>hear</w:t>
      </w:r>
      <w:r>
        <w:rPr>
          <w:i/>
          <w:spacing w:val="-19"/>
        </w:rPr>
        <w:t xml:space="preserve"> </w:t>
      </w:r>
      <w:r>
        <w:t>shapes, just as we can see them; bats can detect an object’s shape through sonar.</w:t>
      </w:r>
      <w:r>
        <w:rPr>
          <w:spacing w:val="-10"/>
        </w:rPr>
        <w:t xml:space="preserve"> </w:t>
      </w:r>
      <w:r>
        <w:t>And creatures</w:t>
      </w:r>
      <w:r>
        <w:rPr>
          <w:spacing w:val="-15"/>
        </w:rPr>
        <w:t xml:space="preserve"> </w:t>
      </w:r>
      <w:r>
        <w:t>with</w:t>
      </w:r>
      <w:r>
        <w:rPr>
          <w:spacing w:val="-15"/>
        </w:rPr>
        <w:t xml:space="preserve"> </w:t>
      </w:r>
      <w:r>
        <w:t>a</w:t>
      </w:r>
      <w:r>
        <w:rPr>
          <w:spacing w:val="-15"/>
        </w:rPr>
        <w:t xml:space="preserve"> </w:t>
      </w:r>
      <w:r>
        <w:t>very</w:t>
      </w:r>
      <w:r>
        <w:rPr>
          <w:spacing w:val="-15"/>
        </w:rPr>
        <w:t xml:space="preserve"> </w:t>
      </w:r>
      <w:r>
        <w:t>olfactory</w:t>
      </w:r>
      <w:r>
        <w:rPr>
          <w:spacing w:val="-15"/>
        </w:rPr>
        <w:t xml:space="preserve"> </w:t>
      </w:r>
      <w:r>
        <w:t>sense</w:t>
      </w:r>
      <w:r>
        <w:rPr>
          <w:spacing w:val="-15"/>
        </w:rPr>
        <w:t xml:space="preserve"> </w:t>
      </w:r>
      <w:r>
        <w:t>(e.g.,</w:t>
      </w:r>
      <w:r>
        <w:rPr>
          <w:spacing w:val="-15"/>
        </w:rPr>
        <w:t xml:space="preserve"> </w:t>
      </w:r>
      <w:r>
        <w:t>moles)</w:t>
      </w:r>
      <w:r>
        <w:rPr>
          <w:spacing w:val="-16"/>
        </w:rPr>
        <w:t xml:space="preserve"> </w:t>
      </w:r>
      <w:r>
        <w:t>can</w:t>
      </w:r>
      <w:r>
        <w:rPr>
          <w:spacing w:val="-16"/>
        </w:rPr>
        <w:t xml:space="preserve"> </w:t>
      </w:r>
      <w:r>
        <w:rPr>
          <w:i/>
        </w:rPr>
        <w:t>smell</w:t>
      </w:r>
      <w:r>
        <w:rPr>
          <w:i/>
          <w:spacing w:val="-16"/>
        </w:rPr>
        <w:t xml:space="preserve"> </w:t>
      </w:r>
      <w:r>
        <w:t>shape.</w:t>
      </w:r>
    </w:p>
    <w:p w14:paraId="7E001B55" w14:textId="77777777" w:rsidR="009A58DB" w:rsidRDefault="00000000">
      <w:pPr>
        <w:pStyle w:val="BodyText"/>
        <w:spacing w:before="5" w:line="249" w:lineRule="auto"/>
        <w:ind w:right="359" w:firstLine="360"/>
      </w:pPr>
      <w:r>
        <w:t>According</w:t>
      </w:r>
      <w:r>
        <w:rPr>
          <w:spacing w:val="-17"/>
        </w:rPr>
        <w:t xml:space="preserve"> </w:t>
      </w:r>
      <w:r>
        <w:t>to</w:t>
      </w:r>
      <w:r>
        <w:rPr>
          <w:spacing w:val="-17"/>
        </w:rPr>
        <w:t xml:space="preserve"> </w:t>
      </w:r>
      <w:r>
        <w:t>some,</w:t>
      </w:r>
      <w:r>
        <w:rPr>
          <w:spacing w:val="-17"/>
        </w:rPr>
        <w:t xml:space="preserve"> </w:t>
      </w:r>
      <w:r>
        <w:t>including</w:t>
      </w:r>
      <w:r>
        <w:rPr>
          <w:spacing w:val="-17"/>
        </w:rPr>
        <w:t xml:space="preserve"> </w:t>
      </w:r>
      <w:r>
        <w:t>Locke</w:t>
      </w:r>
      <w:r>
        <w:rPr>
          <w:spacing w:val="-17"/>
        </w:rPr>
        <w:t xml:space="preserve"> </w:t>
      </w:r>
      <w:r>
        <w:t>and</w:t>
      </w:r>
      <w:r>
        <w:rPr>
          <w:spacing w:val="-17"/>
        </w:rPr>
        <w:t xml:space="preserve"> </w:t>
      </w:r>
      <w:r>
        <w:t>Berkeley</w:t>
      </w:r>
      <w:r>
        <w:rPr>
          <w:spacing w:val="-16"/>
        </w:rPr>
        <w:t xml:space="preserve"> </w:t>
      </w:r>
      <w:r>
        <w:t>himself,</w:t>
      </w:r>
      <w:r>
        <w:rPr>
          <w:spacing w:val="-16"/>
        </w:rPr>
        <w:t xml:space="preserve"> </w:t>
      </w:r>
      <w:r>
        <w:t>temperature</w:t>
      </w:r>
      <w:r>
        <w:rPr>
          <w:spacing w:val="-16"/>
        </w:rPr>
        <w:t xml:space="preserve"> </w:t>
      </w:r>
      <w:r>
        <w:t>can be known only through touch. But this isn’t true, of course. Given what temperature</w:t>
      </w:r>
      <w:r>
        <w:rPr>
          <w:spacing w:val="-16"/>
        </w:rPr>
        <w:t xml:space="preserve"> </w:t>
      </w:r>
      <w:r>
        <w:t>is</w:t>
      </w:r>
      <w:r>
        <w:rPr>
          <w:spacing w:val="-16"/>
        </w:rPr>
        <w:t xml:space="preserve"> </w:t>
      </w:r>
      <w:r>
        <w:t>(namely,</w:t>
      </w:r>
      <w:r>
        <w:rPr>
          <w:spacing w:val="-16"/>
        </w:rPr>
        <w:t xml:space="preserve"> </w:t>
      </w:r>
      <w:r>
        <w:t>molecular</w:t>
      </w:r>
      <w:r>
        <w:rPr>
          <w:spacing w:val="-17"/>
        </w:rPr>
        <w:t xml:space="preserve"> </w:t>
      </w:r>
      <w:r>
        <w:t>motion),</w:t>
      </w:r>
      <w:r>
        <w:rPr>
          <w:spacing w:val="-16"/>
        </w:rPr>
        <w:t xml:space="preserve"> </w:t>
      </w:r>
      <w:r>
        <w:t>it</w:t>
      </w:r>
      <w:r>
        <w:rPr>
          <w:spacing w:val="-17"/>
        </w:rPr>
        <w:t xml:space="preserve"> </w:t>
      </w:r>
      <w:r>
        <w:t>is</w:t>
      </w:r>
      <w:r>
        <w:rPr>
          <w:spacing w:val="-16"/>
        </w:rPr>
        <w:t xml:space="preserve"> </w:t>
      </w:r>
      <w:r>
        <w:t>just</w:t>
      </w:r>
      <w:r>
        <w:rPr>
          <w:spacing w:val="-17"/>
        </w:rPr>
        <w:t xml:space="preserve"> </w:t>
      </w:r>
      <w:r>
        <w:t>as</w:t>
      </w:r>
      <w:r>
        <w:rPr>
          <w:spacing w:val="-16"/>
        </w:rPr>
        <w:t xml:space="preserve"> </w:t>
      </w:r>
      <w:r>
        <w:t>capable</w:t>
      </w:r>
      <w:r>
        <w:rPr>
          <w:spacing w:val="-16"/>
        </w:rPr>
        <w:t xml:space="preserve"> </w:t>
      </w:r>
      <w:r>
        <w:t>of</w:t>
      </w:r>
      <w:r>
        <w:rPr>
          <w:spacing w:val="-17"/>
        </w:rPr>
        <w:t xml:space="preserve"> </w:t>
      </w:r>
      <w:r>
        <w:t>being</w:t>
      </w:r>
      <w:r>
        <w:rPr>
          <w:spacing w:val="-16"/>
        </w:rPr>
        <w:t xml:space="preserve"> </w:t>
      </w:r>
      <w:r>
        <w:t>known through</w:t>
      </w:r>
      <w:r>
        <w:rPr>
          <w:spacing w:val="-19"/>
        </w:rPr>
        <w:t xml:space="preserve"> </w:t>
      </w:r>
      <w:r>
        <w:t>sight</w:t>
      </w:r>
      <w:r>
        <w:rPr>
          <w:spacing w:val="-19"/>
        </w:rPr>
        <w:t xml:space="preserve"> </w:t>
      </w:r>
      <w:r>
        <w:t>or</w:t>
      </w:r>
      <w:r>
        <w:rPr>
          <w:spacing w:val="-19"/>
        </w:rPr>
        <w:t xml:space="preserve"> </w:t>
      </w:r>
      <w:r>
        <w:t>audition</w:t>
      </w:r>
      <w:r>
        <w:rPr>
          <w:spacing w:val="-18"/>
        </w:rPr>
        <w:t xml:space="preserve"> </w:t>
      </w:r>
      <w:r>
        <w:t>as</w:t>
      </w:r>
      <w:r>
        <w:rPr>
          <w:spacing w:val="-19"/>
        </w:rPr>
        <w:t xml:space="preserve"> </w:t>
      </w:r>
      <w:r>
        <w:t>it</w:t>
      </w:r>
      <w:r>
        <w:rPr>
          <w:spacing w:val="-19"/>
        </w:rPr>
        <w:t xml:space="preserve"> </w:t>
      </w:r>
      <w:r>
        <w:t>is</w:t>
      </w:r>
      <w:r>
        <w:rPr>
          <w:spacing w:val="-19"/>
        </w:rPr>
        <w:t xml:space="preserve"> </w:t>
      </w:r>
      <w:r>
        <w:t>of</w:t>
      </w:r>
      <w:r>
        <w:rPr>
          <w:spacing w:val="-18"/>
        </w:rPr>
        <w:t xml:space="preserve"> </w:t>
      </w:r>
      <w:r>
        <w:t>being</w:t>
      </w:r>
      <w:r>
        <w:rPr>
          <w:spacing w:val="-19"/>
        </w:rPr>
        <w:t xml:space="preserve"> </w:t>
      </w:r>
      <w:r>
        <w:t>known</w:t>
      </w:r>
      <w:r>
        <w:rPr>
          <w:spacing w:val="-19"/>
        </w:rPr>
        <w:t xml:space="preserve"> </w:t>
      </w:r>
      <w:r>
        <w:t>through</w:t>
      </w:r>
      <w:r>
        <w:rPr>
          <w:spacing w:val="-19"/>
        </w:rPr>
        <w:t xml:space="preserve"> </w:t>
      </w:r>
      <w:r>
        <w:t>touch.</w:t>
      </w:r>
      <w:r>
        <w:rPr>
          <w:spacing w:val="-18"/>
        </w:rPr>
        <w:t xml:space="preserve"> </w:t>
      </w:r>
      <w:r>
        <w:t>But</w:t>
      </w:r>
      <w:r>
        <w:rPr>
          <w:spacing w:val="-19"/>
        </w:rPr>
        <w:t xml:space="preserve"> </w:t>
      </w:r>
      <w:r>
        <w:t>it’s</w:t>
      </w:r>
      <w:r>
        <w:rPr>
          <w:spacing w:val="-19"/>
        </w:rPr>
        <w:t xml:space="preserve"> </w:t>
      </w:r>
      <w:r>
        <w:t>obvious why someone would think otherwise.</w:t>
      </w:r>
    </w:p>
    <w:p w14:paraId="7E001B56" w14:textId="77777777" w:rsidR="009A58DB" w:rsidRDefault="00000000">
      <w:pPr>
        <w:pStyle w:val="BodyText"/>
        <w:spacing w:before="6" w:line="249" w:lineRule="auto"/>
        <w:ind w:right="359" w:firstLine="360"/>
      </w:pPr>
      <w:r>
        <w:t xml:space="preserve">There’s another reason why temperature is often falsely regarded as a </w:t>
      </w:r>
      <w:r>
        <w:rPr>
          <w:spacing w:val="-4"/>
        </w:rPr>
        <w:t>secondary</w:t>
      </w:r>
      <w:r>
        <w:rPr>
          <w:spacing w:val="-6"/>
        </w:rPr>
        <w:t xml:space="preserve"> </w:t>
      </w:r>
      <w:r>
        <w:rPr>
          <w:spacing w:val="-4"/>
        </w:rPr>
        <w:t>property.</w:t>
      </w:r>
      <w:r>
        <w:rPr>
          <w:spacing w:val="-12"/>
        </w:rPr>
        <w:t xml:space="preserve"> </w:t>
      </w:r>
      <w:r>
        <w:rPr>
          <w:spacing w:val="-4"/>
        </w:rPr>
        <w:t>There</w:t>
      </w:r>
      <w:r>
        <w:rPr>
          <w:spacing w:val="-6"/>
        </w:rPr>
        <w:t xml:space="preserve"> </w:t>
      </w:r>
      <w:r>
        <w:rPr>
          <w:spacing w:val="-4"/>
        </w:rPr>
        <w:t>isn’t</w:t>
      </w:r>
      <w:r>
        <w:rPr>
          <w:spacing w:val="-6"/>
        </w:rPr>
        <w:t xml:space="preserve"> </w:t>
      </w:r>
      <w:r>
        <w:rPr>
          <w:spacing w:val="-4"/>
        </w:rPr>
        <w:t>anything</w:t>
      </w:r>
      <w:r>
        <w:rPr>
          <w:spacing w:val="-6"/>
        </w:rPr>
        <w:t xml:space="preserve"> </w:t>
      </w:r>
      <w:r>
        <w:rPr>
          <w:spacing w:val="-4"/>
        </w:rPr>
        <w:t>inherently</w:t>
      </w:r>
      <w:r>
        <w:rPr>
          <w:spacing w:val="-6"/>
        </w:rPr>
        <w:t xml:space="preserve"> </w:t>
      </w:r>
      <w:r>
        <w:rPr>
          <w:spacing w:val="-4"/>
        </w:rPr>
        <w:t>pleasant</w:t>
      </w:r>
      <w:r>
        <w:rPr>
          <w:spacing w:val="-6"/>
        </w:rPr>
        <w:t xml:space="preserve"> </w:t>
      </w:r>
      <w:r>
        <w:rPr>
          <w:spacing w:val="-4"/>
        </w:rPr>
        <w:t>or</w:t>
      </w:r>
      <w:r>
        <w:rPr>
          <w:spacing w:val="-6"/>
        </w:rPr>
        <w:t xml:space="preserve"> </w:t>
      </w:r>
      <w:r>
        <w:rPr>
          <w:spacing w:val="-4"/>
        </w:rPr>
        <w:t>unpleasant</w:t>
      </w:r>
      <w:r>
        <w:rPr>
          <w:spacing w:val="-6"/>
        </w:rPr>
        <w:t xml:space="preserve"> </w:t>
      </w:r>
      <w:r>
        <w:rPr>
          <w:spacing w:val="-4"/>
        </w:rPr>
        <w:t xml:space="preserve">about </w:t>
      </w:r>
      <w:r>
        <w:t>seeing a square-shaped object or a fast-moving object. Under certain circumstances,</w:t>
      </w:r>
      <w:r>
        <w:rPr>
          <w:spacing w:val="-13"/>
        </w:rPr>
        <w:t xml:space="preserve"> </w:t>
      </w:r>
      <w:r>
        <w:t>it</w:t>
      </w:r>
      <w:r>
        <w:rPr>
          <w:spacing w:val="-14"/>
        </w:rPr>
        <w:t xml:space="preserve"> </w:t>
      </w:r>
      <w:r>
        <w:t>may</w:t>
      </w:r>
      <w:r>
        <w:rPr>
          <w:spacing w:val="-13"/>
        </w:rPr>
        <w:t xml:space="preserve"> </w:t>
      </w:r>
      <w:r>
        <w:t>be</w:t>
      </w:r>
      <w:r>
        <w:rPr>
          <w:spacing w:val="-13"/>
        </w:rPr>
        <w:t xml:space="preserve"> </w:t>
      </w:r>
      <w:r>
        <w:t>very</w:t>
      </w:r>
      <w:r>
        <w:rPr>
          <w:spacing w:val="-13"/>
        </w:rPr>
        <w:t xml:space="preserve"> </w:t>
      </w:r>
      <w:r>
        <w:t>unpleasant</w:t>
      </w:r>
      <w:r>
        <w:rPr>
          <w:spacing w:val="-14"/>
        </w:rPr>
        <w:t xml:space="preserve"> </w:t>
      </w:r>
      <w:r>
        <w:t>to</w:t>
      </w:r>
      <w:r>
        <w:rPr>
          <w:spacing w:val="-13"/>
        </w:rPr>
        <w:t xml:space="preserve"> </w:t>
      </w:r>
      <w:r>
        <w:t>see</w:t>
      </w:r>
      <w:r>
        <w:rPr>
          <w:spacing w:val="-13"/>
        </w:rPr>
        <w:t xml:space="preserve"> </w:t>
      </w:r>
      <w:r>
        <w:t>something</w:t>
      </w:r>
      <w:r>
        <w:rPr>
          <w:spacing w:val="-13"/>
        </w:rPr>
        <w:t xml:space="preserve"> </w:t>
      </w:r>
      <w:r>
        <w:t>move</w:t>
      </w:r>
      <w:r>
        <w:rPr>
          <w:spacing w:val="-13"/>
        </w:rPr>
        <w:t xml:space="preserve"> </w:t>
      </w:r>
      <w:r>
        <w:t>with</w:t>
      </w:r>
      <w:r>
        <w:rPr>
          <w:spacing w:val="-13"/>
        </w:rPr>
        <w:t xml:space="preserve"> </w:t>
      </w:r>
      <w:r>
        <w:t>a</w:t>
      </w:r>
      <w:r>
        <w:rPr>
          <w:spacing w:val="-13"/>
        </w:rPr>
        <w:t xml:space="preserve"> </w:t>
      </w:r>
      <w:r>
        <w:t>certain speed. But the connection is circumstance-specific. There is, however, something inherently unpleasant about certain odors, tastes, and timbres. In general, primary properties are not inherently associated with aesthetic properties—any such association is circumstantial—whereas secondary properties</w:t>
      </w:r>
      <w:r>
        <w:rPr>
          <w:spacing w:val="-19"/>
        </w:rPr>
        <w:t xml:space="preserve"> </w:t>
      </w:r>
      <w:r>
        <w:rPr>
          <w:i/>
        </w:rPr>
        <w:t>are</w:t>
      </w:r>
      <w:r>
        <w:rPr>
          <w:i/>
          <w:spacing w:val="-19"/>
        </w:rPr>
        <w:t xml:space="preserve"> </w:t>
      </w:r>
      <w:r>
        <w:t>non-circumstantially</w:t>
      </w:r>
      <w:r>
        <w:rPr>
          <w:spacing w:val="-19"/>
        </w:rPr>
        <w:t xml:space="preserve"> </w:t>
      </w:r>
      <w:r>
        <w:t>associated</w:t>
      </w:r>
      <w:r>
        <w:rPr>
          <w:spacing w:val="-12"/>
        </w:rPr>
        <w:t xml:space="preserve"> </w:t>
      </w:r>
      <w:r>
        <w:t>with</w:t>
      </w:r>
      <w:r>
        <w:rPr>
          <w:spacing w:val="-4"/>
        </w:rPr>
        <w:t xml:space="preserve"> </w:t>
      </w:r>
      <w:r>
        <w:t>such</w:t>
      </w:r>
      <w:r>
        <w:rPr>
          <w:spacing w:val="-4"/>
        </w:rPr>
        <w:t xml:space="preserve"> </w:t>
      </w:r>
      <w:r>
        <w:t>properties.</w:t>
      </w:r>
      <w:r>
        <w:rPr>
          <w:spacing w:val="-8"/>
        </w:rPr>
        <w:t xml:space="preserve"> </w:t>
      </w:r>
      <w:r>
        <w:t>Very</w:t>
      </w:r>
      <w:r>
        <w:rPr>
          <w:spacing w:val="-4"/>
        </w:rPr>
        <w:t xml:space="preserve"> </w:t>
      </w:r>
      <w:r>
        <w:t>high and</w:t>
      </w:r>
      <w:r>
        <w:rPr>
          <w:spacing w:val="-18"/>
        </w:rPr>
        <w:t xml:space="preserve"> </w:t>
      </w:r>
      <w:r>
        <w:t>very</w:t>
      </w:r>
      <w:r>
        <w:rPr>
          <w:spacing w:val="-18"/>
        </w:rPr>
        <w:t xml:space="preserve"> </w:t>
      </w:r>
      <w:r>
        <w:t>low</w:t>
      </w:r>
      <w:r>
        <w:rPr>
          <w:spacing w:val="-18"/>
        </w:rPr>
        <w:t xml:space="preserve"> </w:t>
      </w:r>
      <w:r>
        <w:t>temperatures</w:t>
      </w:r>
      <w:r>
        <w:rPr>
          <w:spacing w:val="-18"/>
        </w:rPr>
        <w:t xml:space="preserve"> </w:t>
      </w:r>
      <w:r>
        <w:t>are</w:t>
      </w:r>
      <w:r>
        <w:rPr>
          <w:spacing w:val="-18"/>
        </w:rPr>
        <w:t xml:space="preserve"> </w:t>
      </w:r>
      <w:r>
        <w:t>non-circumstantially</w:t>
      </w:r>
      <w:r>
        <w:rPr>
          <w:spacing w:val="-18"/>
        </w:rPr>
        <w:t xml:space="preserve"> </w:t>
      </w:r>
      <w:r>
        <w:t>associated</w:t>
      </w:r>
      <w:r>
        <w:rPr>
          <w:spacing w:val="-18"/>
        </w:rPr>
        <w:t xml:space="preserve"> </w:t>
      </w:r>
      <w:r>
        <w:t>with</w:t>
      </w:r>
      <w:r>
        <w:rPr>
          <w:spacing w:val="-18"/>
        </w:rPr>
        <w:t xml:space="preserve"> </w:t>
      </w:r>
      <w:r>
        <w:t xml:space="preserve">unpleasant </w:t>
      </w:r>
      <w:r>
        <w:rPr>
          <w:spacing w:val="-2"/>
        </w:rPr>
        <w:t>sensations,</w:t>
      </w:r>
      <w:r>
        <w:rPr>
          <w:spacing w:val="-12"/>
        </w:rPr>
        <w:t xml:space="preserve"> </w:t>
      </w:r>
      <w:r>
        <w:rPr>
          <w:spacing w:val="-2"/>
        </w:rPr>
        <w:t>and</w:t>
      </w:r>
      <w:r>
        <w:rPr>
          <w:spacing w:val="-12"/>
        </w:rPr>
        <w:t xml:space="preserve"> </w:t>
      </w:r>
      <w:r>
        <w:rPr>
          <w:spacing w:val="-2"/>
        </w:rPr>
        <w:t>moderate</w:t>
      </w:r>
      <w:r>
        <w:rPr>
          <w:spacing w:val="-12"/>
        </w:rPr>
        <w:t xml:space="preserve"> </w:t>
      </w:r>
      <w:r>
        <w:rPr>
          <w:spacing w:val="-2"/>
        </w:rPr>
        <w:t>temperatures</w:t>
      </w:r>
      <w:r>
        <w:rPr>
          <w:spacing w:val="-12"/>
        </w:rPr>
        <w:t xml:space="preserve"> </w:t>
      </w:r>
      <w:r>
        <w:rPr>
          <w:spacing w:val="-2"/>
        </w:rPr>
        <w:t>are</w:t>
      </w:r>
      <w:r>
        <w:rPr>
          <w:spacing w:val="-12"/>
        </w:rPr>
        <w:t xml:space="preserve"> </w:t>
      </w:r>
      <w:r>
        <w:rPr>
          <w:spacing w:val="-2"/>
        </w:rPr>
        <w:t>non-circumstantially</w:t>
      </w:r>
      <w:r>
        <w:rPr>
          <w:spacing w:val="-12"/>
        </w:rPr>
        <w:t xml:space="preserve"> </w:t>
      </w:r>
      <w:r>
        <w:rPr>
          <w:spacing w:val="-2"/>
        </w:rPr>
        <w:t>associated</w:t>
      </w:r>
      <w:r>
        <w:rPr>
          <w:spacing w:val="-12"/>
        </w:rPr>
        <w:t xml:space="preserve"> </w:t>
      </w:r>
      <w:r>
        <w:rPr>
          <w:spacing w:val="-2"/>
        </w:rPr>
        <w:t xml:space="preserve">with </w:t>
      </w:r>
      <w:r>
        <w:t>pleasant ones.</w:t>
      </w:r>
    </w:p>
    <w:p w14:paraId="7E001B57" w14:textId="77777777" w:rsidR="009A58DB" w:rsidRDefault="00000000">
      <w:pPr>
        <w:pStyle w:val="BodyText"/>
        <w:spacing w:before="15" w:line="249" w:lineRule="auto"/>
        <w:ind w:right="366" w:firstLine="360"/>
      </w:pPr>
      <w:r>
        <w:t>Nonetheless, temperature is a primary property, since an instance of temperature</w:t>
      </w:r>
      <w:r>
        <w:rPr>
          <w:spacing w:val="-15"/>
        </w:rPr>
        <w:t xml:space="preserve"> </w:t>
      </w:r>
      <w:r>
        <w:t>is</w:t>
      </w:r>
      <w:r>
        <w:rPr>
          <w:spacing w:val="-15"/>
        </w:rPr>
        <w:t xml:space="preserve"> </w:t>
      </w:r>
      <w:r>
        <w:t>identical</w:t>
      </w:r>
      <w:r>
        <w:rPr>
          <w:spacing w:val="-15"/>
        </w:rPr>
        <w:t xml:space="preserve"> </w:t>
      </w:r>
      <w:r>
        <w:t>with</w:t>
      </w:r>
      <w:r>
        <w:rPr>
          <w:spacing w:val="-15"/>
        </w:rPr>
        <w:t xml:space="preserve"> </w:t>
      </w:r>
      <w:r>
        <w:t>various</w:t>
      </w:r>
      <w:r>
        <w:rPr>
          <w:spacing w:val="-15"/>
        </w:rPr>
        <w:t xml:space="preserve"> </w:t>
      </w:r>
      <w:r>
        <w:t>instances</w:t>
      </w:r>
      <w:r>
        <w:rPr>
          <w:spacing w:val="-15"/>
        </w:rPr>
        <w:t xml:space="preserve"> </w:t>
      </w:r>
      <w:r>
        <w:t>of</w:t>
      </w:r>
      <w:r>
        <w:rPr>
          <w:spacing w:val="-15"/>
        </w:rPr>
        <w:t xml:space="preserve"> </w:t>
      </w:r>
      <w:r>
        <w:t>motion.</w:t>
      </w:r>
    </w:p>
    <w:p w14:paraId="7E001B58" w14:textId="77777777" w:rsidR="009A58DB" w:rsidRDefault="00000000">
      <w:pPr>
        <w:pStyle w:val="Heading1"/>
        <w:numPr>
          <w:ilvl w:val="1"/>
          <w:numId w:val="109"/>
        </w:numPr>
        <w:tabs>
          <w:tab w:val="left" w:pos="1020"/>
        </w:tabs>
        <w:spacing w:before="190" w:line="244" w:lineRule="auto"/>
        <w:ind w:right="370" w:firstLine="0"/>
      </w:pPr>
      <w:r>
        <w:t xml:space="preserve">A second Berkeleyan argument—“to be is to be </w:t>
      </w:r>
      <w:r>
        <w:rPr>
          <w:spacing w:val="-2"/>
        </w:rPr>
        <w:t>conceived”</w:t>
      </w:r>
    </w:p>
    <w:p w14:paraId="7E001B59" w14:textId="77777777" w:rsidR="009A58DB" w:rsidRDefault="00000000">
      <w:pPr>
        <w:pStyle w:val="BodyText"/>
        <w:spacing w:before="132" w:line="249" w:lineRule="auto"/>
        <w:ind w:right="370"/>
      </w:pPr>
      <w:r>
        <w:t>At one point, Berkeley argues that to be is to be conceived (“esse concipi ist”). In other words, things are the awarenesses that we, or other thinking beings, have of them.</w:t>
      </w:r>
    </w:p>
    <w:p w14:paraId="7E001B5A" w14:textId="77777777" w:rsidR="009A58DB" w:rsidRDefault="00000000">
      <w:pPr>
        <w:pStyle w:val="BodyText"/>
        <w:spacing w:before="4" w:line="249" w:lineRule="auto"/>
        <w:ind w:right="366" w:firstLine="360"/>
      </w:pPr>
      <w:r>
        <w:t>Here’s his argument. Try to conceive of something that exists but isn’t conceived.</w:t>
      </w:r>
      <w:r>
        <w:rPr>
          <w:spacing w:val="-3"/>
        </w:rPr>
        <w:t xml:space="preserve"> </w:t>
      </w:r>
      <w:r>
        <w:t>You</w:t>
      </w:r>
      <w:r>
        <w:rPr>
          <w:spacing w:val="-2"/>
        </w:rPr>
        <w:t xml:space="preserve"> </w:t>
      </w:r>
      <w:r>
        <w:t>can’t</w:t>
      </w:r>
      <w:r>
        <w:rPr>
          <w:spacing w:val="-3"/>
        </w:rPr>
        <w:t xml:space="preserve"> </w:t>
      </w:r>
      <w:r>
        <w:t>do</w:t>
      </w:r>
      <w:r>
        <w:rPr>
          <w:spacing w:val="-2"/>
        </w:rPr>
        <w:t xml:space="preserve"> </w:t>
      </w:r>
      <w:r>
        <w:t>it.</w:t>
      </w:r>
      <w:r>
        <w:rPr>
          <w:spacing w:val="-3"/>
        </w:rPr>
        <w:t xml:space="preserve"> </w:t>
      </w:r>
      <w:r>
        <w:t>Why</w:t>
      </w:r>
      <w:r>
        <w:rPr>
          <w:spacing w:val="-2"/>
        </w:rPr>
        <w:t xml:space="preserve"> </w:t>
      </w:r>
      <w:r>
        <w:t>not?</w:t>
      </w:r>
      <w:r>
        <w:rPr>
          <w:spacing w:val="-2"/>
        </w:rPr>
        <w:t xml:space="preserve"> </w:t>
      </w:r>
      <w:r>
        <w:t>Because</w:t>
      </w:r>
      <w:r>
        <w:rPr>
          <w:spacing w:val="-3"/>
        </w:rPr>
        <w:t xml:space="preserve"> </w:t>
      </w:r>
      <w:r>
        <w:t>you</w:t>
      </w:r>
      <w:r>
        <w:rPr>
          <w:spacing w:val="-2"/>
        </w:rPr>
        <w:t xml:space="preserve"> </w:t>
      </w:r>
      <w:r>
        <w:t>just</w:t>
      </w:r>
      <w:r>
        <w:rPr>
          <w:spacing w:val="-3"/>
        </w:rPr>
        <w:t xml:space="preserve"> </w:t>
      </w:r>
      <w:r>
        <w:t>conceived</w:t>
      </w:r>
      <w:r>
        <w:rPr>
          <w:spacing w:val="-2"/>
        </w:rPr>
        <w:t xml:space="preserve"> </w:t>
      </w:r>
      <w:r>
        <w:t>of</w:t>
      </w:r>
      <w:r>
        <w:rPr>
          <w:spacing w:val="-3"/>
        </w:rPr>
        <w:t xml:space="preserve"> </w:t>
      </w:r>
      <w:r>
        <w:t>it.</w:t>
      </w:r>
      <w:r>
        <w:rPr>
          <w:spacing w:val="-2"/>
        </w:rPr>
        <w:t xml:space="preserve"> </w:t>
      </w:r>
      <w:r>
        <w:t>If</w:t>
      </w:r>
      <w:r>
        <w:rPr>
          <w:spacing w:val="-2"/>
        </w:rPr>
        <w:t xml:space="preserve"> </w:t>
      </w:r>
      <w:r>
        <w:t>you try to conceive of some chicken that isn’t conceived of, then you just conceived</w:t>
      </w:r>
      <w:r>
        <w:rPr>
          <w:spacing w:val="22"/>
        </w:rPr>
        <w:t xml:space="preserve"> </w:t>
      </w:r>
      <w:r>
        <w:t>of</w:t>
      </w:r>
      <w:r>
        <w:rPr>
          <w:spacing w:val="22"/>
        </w:rPr>
        <w:t xml:space="preserve"> </w:t>
      </w:r>
      <w:r>
        <w:t>it,</w:t>
      </w:r>
      <w:r>
        <w:rPr>
          <w:spacing w:val="23"/>
        </w:rPr>
        <w:t xml:space="preserve"> </w:t>
      </w:r>
      <w:r>
        <w:t>and</w:t>
      </w:r>
      <w:r>
        <w:rPr>
          <w:spacing w:val="23"/>
        </w:rPr>
        <w:t xml:space="preserve"> </w:t>
      </w:r>
      <w:r>
        <w:t>it</w:t>
      </w:r>
      <w:r>
        <w:rPr>
          <w:spacing w:val="23"/>
        </w:rPr>
        <w:t xml:space="preserve"> </w:t>
      </w:r>
      <w:r>
        <w:t>isn’t</w:t>
      </w:r>
      <w:r>
        <w:rPr>
          <w:spacing w:val="22"/>
        </w:rPr>
        <w:t xml:space="preserve"> </w:t>
      </w:r>
      <w:r>
        <w:t>unconceived.</w:t>
      </w:r>
      <w:r>
        <w:rPr>
          <w:spacing w:val="23"/>
        </w:rPr>
        <w:t xml:space="preserve"> </w:t>
      </w:r>
      <w:r>
        <w:t>Thus,</w:t>
      </w:r>
      <w:r>
        <w:rPr>
          <w:spacing w:val="23"/>
        </w:rPr>
        <w:t xml:space="preserve"> </w:t>
      </w:r>
      <w:r>
        <w:t>nothing</w:t>
      </w:r>
      <w:r>
        <w:rPr>
          <w:spacing w:val="23"/>
        </w:rPr>
        <w:t xml:space="preserve"> </w:t>
      </w:r>
      <w:r>
        <w:t>unconceived</w:t>
      </w:r>
      <w:r>
        <w:rPr>
          <w:spacing w:val="23"/>
        </w:rPr>
        <w:t xml:space="preserve"> </w:t>
      </w:r>
      <w:r>
        <w:t>can</w:t>
      </w:r>
      <w:r>
        <w:rPr>
          <w:spacing w:val="24"/>
        </w:rPr>
        <w:t xml:space="preserve"> </w:t>
      </w:r>
      <w:r>
        <w:rPr>
          <w:spacing w:val="-5"/>
        </w:rPr>
        <w:t>be</w:t>
      </w:r>
    </w:p>
    <w:p w14:paraId="7E001B5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5C" w14:textId="77777777" w:rsidR="009A58DB" w:rsidRDefault="00000000">
      <w:pPr>
        <w:pStyle w:val="BodyText"/>
        <w:spacing w:before="60"/>
      </w:pPr>
      <w:r>
        <w:lastRenderedPageBreak/>
        <w:t>conceived</w:t>
      </w:r>
      <w:r>
        <w:rPr>
          <w:spacing w:val="-5"/>
        </w:rPr>
        <w:t xml:space="preserve"> </w:t>
      </w:r>
      <w:r>
        <w:t>to</w:t>
      </w:r>
      <w:r>
        <w:rPr>
          <w:spacing w:val="-3"/>
        </w:rPr>
        <w:t xml:space="preserve"> </w:t>
      </w:r>
      <w:r>
        <w:t>exist.</w:t>
      </w:r>
      <w:r>
        <w:rPr>
          <w:spacing w:val="-2"/>
        </w:rPr>
        <w:t xml:space="preserve"> </w:t>
      </w:r>
      <w:r>
        <w:t>Therefore,</w:t>
      </w:r>
      <w:r>
        <w:rPr>
          <w:spacing w:val="-3"/>
        </w:rPr>
        <w:t xml:space="preserve"> </w:t>
      </w:r>
      <w:r>
        <w:t>to</w:t>
      </w:r>
      <w:r>
        <w:rPr>
          <w:spacing w:val="-2"/>
        </w:rPr>
        <w:t xml:space="preserve"> </w:t>
      </w:r>
      <w:r>
        <w:t>exist</w:t>
      </w:r>
      <w:r>
        <w:rPr>
          <w:spacing w:val="-4"/>
        </w:rPr>
        <w:t xml:space="preserve"> </w:t>
      </w:r>
      <w:r>
        <w:t>is</w:t>
      </w:r>
      <w:r>
        <w:rPr>
          <w:spacing w:val="-3"/>
        </w:rPr>
        <w:t xml:space="preserve"> </w:t>
      </w:r>
      <w:r>
        <w:t>to</w:t>
      </w:r>
      <w:r>
        <w:rPr>
          <w:spacing w:val="-3"/>
        </w:rPr>
        <w:t xml:space="preserve"> </w:t>
      </w:r>
      <w:r>
        <w:t>be</w:t>
      </w:r>
      <w:r>
        <w:rPr>
          <w:spacing w:val="-3"/>
        </w:rPr>
        <w:t xml:space="preserve"> </w:t>
      </w:r>
      <w:r>
        <w:rPr>
          <w:spacing w:val="-2"/>
        </w:rPr>
        <w:t>conceived.</w:t>
      </w:r>
    </w:p>
    <w:p w14:paraId="7E001B5D" w14:textId="77777777" w:rsidR="009A58DB" w:rsidRDefault="00000000">
      <w:pPr>
        <w:spacing w:before="20" w:line="249" w:lineRule="auto"/>
        <w:ind w:left="360" w:right="359" w:firstLine="360"/>
        <w:jc w:val="both"/>
        <w:rPr>
          <w:sz w:val="30"/>
        </w:rPr>
      </w:pPr>
      <w:r>
        <w:rPr>
          <w:sz w:val="30"/>
        </w:rPr>
        <w:t xml:space="preserve">The problem with this argument is that, contrary to what Berkeley assumes, </w:t>
      </w:r>
      <w:r>
        <w:rPr>
          <w:i/>
          <w:sz w:val="30"/>
        </w:rPr>
        <w:t xml:space="preserve">propositions, </w:t>
      </w:r>
      <w:r>
        <w:rPr>
          <w:sz w:val="30"/>
        </w:rPr>
        <w:t xml:space="preserve">not </w:t>
      </w:r>
      <w:r>
        <w:rPr>
          <w:i/>
          <w:sz w:val="30"/>
        </w:rPr>
        <w:t xml:space="preserve">objects, </w:t>
      </w:r>
      <w:r>
        <w:rPr>
          <w:sz w:val="30"/>
        </w:rPr>
        <w:t xml:space="preserve">are the objects of conception. When one “conceives of a 50-pound chicken,” what one is doing is considering a proposition, viz: </w:t>
      </w:r>
      <w:r>
        <w:rPr>
          <w:i/>
          <w:sz w:val="30"/>
        </w:rPr>
        <w:t xml:space="preserve">there exists a chicken that weighs 50 pounds, </w:t>
      </w:r>
      <w:r>
        <w:rPr>
          <w:sz w:val="30"/>
        </w:rPr>
        <w:t xml:space="preserve">which (see Chapter 1, Sections 2.0–2.4) is equivalent with </w:t>
      </w:r>
      <w:r>
        <w:rPr>
          <w:i/>
          <w:sz w:val="30"/>
        </w:rPr>
        <w:t xml:space="preserve">the property of being a 50-pound chicken </w:t>
      </w:r>
      <w:r>
        <w:rPr>
          <w:sz w:val="30"/>
        </w:rPr>
        <w:t>is instantiated. There isn’t some specific chicken x such that x weighs 50 pounds and one is thinking about x. When one conceives of an unconceived chicken, there isn’t some specific chicken x that one is thinking about but that, at the same time, no one is thinking about. What’s going is</w:t>
      </w:r>
      <w:r>
        <w:rPr>
          <w:spacing w:val="40"/>
          <w:sz w:val="30"/>
        </w:rPr>
        <w:t xml:space="preserve"> </w:t>
      </w:r>
      <w:r>
        <w:rPr>
          <w:sz w:val="30"/>
        </w:rPr>
        <w:t xml:space="preserve">that one is considering the proposition: </w:t>
      </w:r>
      <w:r>
        <w:rPr>
          <w:i/>
          <w:sz w:val="30"/>
        </w:rPr>
        <w:t>there exists some chicken or other</w:t>
      </w:r>
      <w:r>
        <w:rPr>
          <w:i/>
          <w:spacing w:val="40"/>
          <w:sz w:val="30"/>
        </w:rPr>
        <w:t xml:space="preserve"> </w:t>
      </w:r>
      <w:r>
        <w:rPr>
          <w:i/>
          <w:sz w:val="30"/>
        </w:rPr>
        <w:t xml:space="preserve">that nobody is thinking of, </w:t>
      </w:r>
      <w:r>
        <w:rPr>
          <w:sz w:val="30"/>
        </w:rPr>
        <w:t xml:space="preserve">which is equivalent with the proposition: </w:t>
      </w:r>
      <w:r>
        <w:rPr>
          <w:i/>
          <w:sz w:val="30"/>
        </w:rPr>
        <w:t>the property of being a 50-pound chicken that nobody is thinking of is instantiated.</w:t>
      </w:r>
      <w:r>
        <w:rPr>
          <w:i/>
          <w:spacing w:val="-3"/>
          <w:sz w:val="30"/>
        </w:rPr>
        <w:t xml:space="preserve"> </w:t>
      </w:r>
      <w:r>
        <w:rPr>
          <w:sz w:val="30"/>
        </w:rPr>
        <w:t>And that proposition is clearly not an absurd one. So Berkeley’s argument fails.</w:t>
      </w:r>
    </w:p>
    <w:p w14:paraId="7E001B5E" w14:textId="77777777" w:rsidR="009A58DB" w:rsidRDefault="00000000">
      <w:pPr>
        <w:pStyle w:val="Heading1"/>
        <w:numPr>
          <w:ilvl w:val="1"/>
          <w:numId w:val="104"/>
        </w:numPr>
        <w:tabs>
          <w:tab w:val="left" w:pos="990"/>
        </w:tabs>
        <w:spacing w:before="205"/>
      </w:pPr>
      <w:r>
        <w:t>The</w:t>
      </w:r>
      <w:r>
        <w:rPr>
          <w:spacing w:val="-10"/>
        </w:rPr>
        <w:t xml:space="preserve"> </w:t>
      </w:r>
      <w:r>
        <w:t>phenomenal</w:t>
      </w:r>
      <w:r>
        <w:rPr>
          <w:spacing w:val="-7"/>
        </w:rPr>
        <w:t xml:space="preserve"> </w:t>
      </w:r>
      <w:r>
        <w:t>reduction—some</w:t>
      </w:r>
      <w:r>
        <w:rPr>
          <w:spacing w:val="-7"/>
        </w:rPr>
        <w:t xml:space="preserve"> </w:t>
      </w:r>
      <w:r>
        <w:rPr>
          <w:spacing w:val="-2"/>
        </w:rPr>
        <w:t>preliminaries</w:t>
      </w:r>
    </w:p>
    <w:p w14:paraId="7E001B5F" w14:textId="77777777" w:rsidR="009A58DB" w:rsidRDefault="00000000">
      <w:pPr>
        <w:pStyle w:val="BodyText"/>
        <w:spacing w:before="139" w:line="249" w:lineRule="auto"/>
        <w:ind w:right="365"/>
      </w:pPr>
      <w:r>
        <w:t xml:space="preserve">First some terminological points. An </w:t>
      </w:r>
      <w:r>
        <w:rPr>
          <w:b/>
          <w:i/>
        </w:rPr>
        <w:t xml:space="preserve">object-statement </w:t>
      </w:r>
      <w:r>
        <w:t xml:space="preserve">is one that concerns mind-independent entities, e.g., “that statue is over ten feet tall” is an object statement. A </w:t>
      </w:r>
      <w:r>
        <w:rPr>
          <w:b/>
          <w:i/>
        </w:rPr>
        <w:t xml:space="preserve">perception-statement </w:t>
      </w:r>
      <w:r>
        <w:t xml:space="preserve">is one that concerns one’s own perceptions (e.g “I am having an experience that, if it were veridical, would be of a statue that is over ten feet tall”). Two statements are </w:t>
      </w:r>
      <w:r>
        <w:rPr>
          <w:b/>
          <w:i/>
        </w:rPr>
        <w:t>observationally equivalent</w:t>
      </w:r>
      <w:r>
        <w:rPr>
          <w:b/>
          <w:i/>
          <w:spacing w:val="-4"/>
        </w:rPr>
        <w:t xml:space="preserve"> </w:t>
      </w:r>
      <w:r>
        <w:t xml:space="preserve">if there is no observation that (dis)confirms the one either more or less than it (dis)confirms the other. (All analytically equivalent sentences are observationally equivalent—but not vice versa, as we’re about to see.) Finally, a property or relation is </w:t>
      </w:r>
      <w:r>
        <w:rPr>
          <w:b/>
          <w:i/>
        </w:rPr>
        <w:t xml:space="preserve">observationally inert </w:t>
      </w:r>
      <w:r>
        <w:t>if no instance of it could possibly affect what anyone observes.</w:t>
      </w:r>
    </w:p>
    <w:p w14:paraId="7E001B60" w14:textId="77777777" w:rsidR="009A58DB" w:rsidRDefault="00000000">
      <w:pPr>
        <w:pStyle w:val="Heading1"/>
        <w:numPr>
          <w:ilvl w:val="1"/>
          <w:numId w:val="104"/>
        </w:numPr>
        <w:tabs>
          <w:tab w:val="left" w:pos="990"/>
        </w:tabs>
        <w:spacing w:before="215"/>
      </w:pPr>
      <w:r>
        <w:t>The</w:t>
      </w:r>
      <w:r>
        <w:rPr>
          <w:spacing w:val="-6"/>
        </w:rPr>
        <w:t xml:space="preserve"> </w:t>
      </w:r>
      <w:r>
        <w:t>phenomenal</w:t>
      </w:r>
      <w:r>
        <w:rPr>
          <w:spacing w:val="-5"/>
        </w:rPr>
        <w:t xml:space="preserve"> </w:t>
      </w:r>
      <w:r>
        <w:rPr>
          <w:spacing w:val="-2"/>
        </w:rPr>
        <w:t>reduction</w:t>
      </w:r>
    </w:p>
    <w:p w14:paraId="7E001B61" w14:textId="77777777" w:rsidR="009A58DB" w:rsidRDefault="00000000">
      <w:pPr>
        <w:pStyle w:val="BodyText"/>
        <w:spacing w:before="139" w:line="249" w:lineRule="auto"/>
        <w:ind w:right="360"/>
      </w:pPr>
      <w:r>
        <w:t>For</w:t>
      </w:r>
      <w:r>
        <w:rPr>
          <w:spacing w:val="-2"/>
        </w:rPr>
        <w:t xml:space="preserve"> </w:t>
      </w:r>
      <w:r>
        <w:t>the</w:t>
      </w:r>
      <w:r>
        <w:rPr>
          <w:spacing w:val="-2"/>
        </w:rPr>
        <w:t xml:space="preserve"> </w:t>
      </w:r>
      <w:r>
        <w:t>reasons</w:t>
      </w:r>
      <w:r>
        <w:rPr>
          <w:spacing w:val="-2"/>
        </w:rPr>
        <w:t xml:space="preserve"> </w:t>
      </w:r>
      <w:r>
        <w:t>given</w:t>
      </w:r>
      <w:r>
        <w:rPr>
          <w:spacing w:val="-2"/>
        </w:rPr>
        <w:t xml:space="preserve"> </w:t>
      </w:r>
      <w:r>
        <w:t>earlier,</w:t>
      </w:r>
      <w:r>
        <w:rPr>
          <w:spacing w:val="-2"/>
        </w:rPr>
        <w:t xml:space="preserve"> </w:t>
      </w:r>
      <w:r>
        <w:t>strict</w:t>
      </w:r>
      <w:r>
        <w:rPr>
          <w:spacing w:val="-2"/>
        </w:rPr>
        <w:t xml:space="preserve"> </w:t>
      </w:r>
      <w:r>
        <w:t>empiricism</w:t>
      </w:r>
      <w:r>
        <w:rPr>
          <w:spacing w:val="-2"/>
        </w:rPr>
        <w:t xml:space="preserve"> </w:t>
      </w:r>
      <w:r>
        <w:t>leads</w:t>
      </w:r>
      <w:r>
        <w:rPr>
          <w:spacing w:val="-2"/>
        </w:rPr>
        <w:t xml:space="preserve"> </w:t>
      </w:r>
      <w:r>
        <w:t>to</w:t>
      </w:r>
      <w:r>
        <w:rPr>
          <w:spacing w:val="-2"/>
        </w:rPr>
        <w:t xml:space="preserve"> </w:t>
      </w:r>
      <w:r>
        <w:t>either</w:t>
      </w:r>
      <w:r>
        <w:rPr>
          <w:spacing w:val="-2"/>
        </w:rPr>
        <w:t xml:space="preserve"> </w:t>
      </w:r>
      <w:r>
        <w:t>skepticism</w:t>
      </w:r>
      <w:r>
        <w:rPr>
          <w:spacing w:val="-2"/>
        </w:rPr>
        <w:t xml:space="preserve"> </w:t>
      </w:r>
      <w:r>
        <w:t>or</w:t>
      </w:r>
      <w:r>
        <w:rPr>
          <w:spacing w:val="-2"/>
        </w:rPr>
        <w:t xml:space="preserve"> </w:t>
      </w:r>
      <w:r>
        <w:t xml:space="preserve">to idealism. Skepticism and idealism are both deeply at odds with commonsense. Berkeley agreed that skepticism was at odds with commonsense. But he denied that idealism had this defect. He held, in fact, that idealism </w:t>
      </w:r>
      <w:r>
        <w:rPr>
          <w:i/>
        </w:rPr>
        <w:t xml:space="preserve">is </w:t>
      </w:r>
      <w:r>
        <w:t>the commonsense view.</w:t>
      </w:r>
    </w:p>
    <w:p w14:paraId="7E001B62" w14:textId="77777777" w:rsidR="009A58DB" w:rsidRDefault="00000000">
      <w:pPr>
        <w:pStyle w:val="BodyText"/>
        <w:spacing w:before="6"/>
        <w:ind w:left="720"/>
      </w:pPr>
      <w:r>
        <w:t>In</w:t>
      </w:r>
      <w:r>
        <w:rPr>
          <w:spacing w:val="28"/>
        </w:rPr>
        <w:t xml:space="preserve"> </w:t>
      </w:r>
      <w:r>
        <w:t>an</w:t>
      </w:r>
      <w:r>
        <w:rPr>
          <w:spacing w:val="29"/>
        </w:rPr>
        <w:t xml:space="preserve"> </w:t>
      </w:r>
      <w:r>
        <w:t>effort</w:t>
      </w:r>
      <w:r>
        <w:rPr>
          <w:spacing w:val="29"/>
        </w:rPr>
        <w:t xml:space="preserve"> </w:t>
      </w:r>
      <w:r>
        <w:t>to</w:t>
      </w:r>
      <w:r>
        <w:rPr>
          <w:spacing w:val="29"/>
        </w:rPr>
        <w:t xml:space="preserve"> </w:t>
      </w:r>
      <w:r>
        <w:t>vindicate</w:t>
      </w:r>
      <w:r>
        <w:rPr>
          <w:spacing w:val="29"/>
        </w:rPr>
        <w:t xml:space="preserve"> </w:t>
      </w:r>
      <w:r>
        <w:t>this</w:t>
      </w:r>
      <w:r>
        <w:rPr>
          <w:spacing w:val="28"/>
        </w:rPr>
        <w:t xml:space="preserve"> </w:t>
      </w:r>
      <w:r>
        <w:t>obviously</w:t>
      </w:r>
      <w:r>
        <w:rPr>
          <w:spacing w:val="29"/>
        </w:rPr>
        <w:t xml:space="preserve"> </w:t>
      </w:r>
      <w:r>
        <w:t>false</w:t>
      </w:r>
      <w:r>
        <w:rPr>
          <w:spacing w:val="29"/>
        </w:rPr>
        <w:t xml:space="preserve"> </w:t>
      </w:r>
      <w:r>
        <w:t>claim,</w:t>
      </w:r>
      <w:r>
        <w:rPr>
          <w:spacing w:val="29"/>
        </w:rPr>
        <w:t xml:space="preserve"> </w:t>
      </w:r>
      <w:r>
        <w:t>Berkeley</w:t>
      </w:r>
      <w:r>
        <w:rPr>
          <w:spacing w:val="29"/>
        </w:rPr>
        <w:t xml:space="preserve"> </w:t>
      </w:r>
      <w:r>
        <w:t>argued</w:t>
      </w:r>
      <w:r>
        <w:rPr>
          <w:spacing w:val="29"/>
        </w:rPr>
        <w:t xml:space="preserve"> </w:t>
      </w:r>
      <w:r>
        <w:rPr>
          <w:spacing w:val="-4"/>
        </w:rPr>
        <w:t>that</w:t>
      </w:r>
    </w:p>
    <w:p w14:paraId="7E001B63" w14:textId="77777777" w:rsidR="009A58DB" w:rsidRDefault="009A58DB">
      <w:pPr>
        <w:pStyle w:val="BodyText"/>
        <w:sectPr w:rsidR="009A58DB">
          <w:pgSz w:w="12240" w:h="15840"/>
          <w:pgMar w:top="1380" w:right="1080" w:bottom="280" w:left="1080" w:header="720" w:footer="720" w:gutter="0"/>
          <w:cols w:space="720"/>
        </w:sectPr>
      </w:pPr>
    </w:p>
    <w:p w14:paraId="7E001B64" w14:textId="77777777" w:rsidR="009A58DB" w:rsidRDefault="00000000">
      <w:pPr>
        <w:pStyle w:val="BodyText"/>
        <w:spacing w:before="70" w:line="249" w:lineRule="auto"/>
        <w:ind w:right="364"/>
        <w:jc w:val="left"/>
      </w:pPr>
      <w:r>
        <w:lastRenderedPageBreak/>
        <w:t>any object-statement that we could have any good reason to believe correct</w:t>
      </w:r>
      <w:r>
        <w:rPr>
          <w:spacing w:val="80"/>
        </w:rPr>
        <w:t xml:space="preserve"> </w:t>
      </w:r>
      <w:r>
        <w:t>can be reinterpreted as a perception-statement.</w:t>
      </w:r>
    </w:p>
    <w:p w14:paraId="7E001B65" w14:textId="77777777" w:rsidR="009A58DB" w:rsidRDefault="00000000">
      <w:pPr>
        <w:pStyle w:val="BodyText"/>
        <w:spacing w:line="342" w:lineRule="exact"/>
        <w:ind w:left="720"/>
        <w:jc w:val="left"/>
      </w:pPr>
      <w:r>
        <w:t>Here</w:t>
      </w:r>
      <w:r>
        <w:rPr>
          <w:spacing w:val="-5"/>
        </w:rPr>
        <w:t xml:space="preserve"> </w:t>
      </w:r>
      <w:r>
        <w:t>is</w:t>
      </w:r>
      <w:r>
        <w:rPr>
          <w:spacing w:val="-5"/>
        </w:rPr>
        <w:t xml:space="preserve"> </w:t>
      </w:r>
      <w:r>
        <w:t>a</w:t>
      </w:r>
      <w:r>
        <w:rPr>
          <w:spacing w:val="-4"/>
        </w:rPr>
        <w:t xml:space="preserve"> </w:t>
      </w:r>
      <w:r>
        <w:t>modernized</w:t>
      </w:r>
      <w:r>
        <w:rPr>
          <w:spacing w:val="-4"/>
        </w:rPr>
        <w:t xml:space="preserve"> </w:t>
      </w:r>
      <w:r>
        <w:t>presentation</w:t>
      </w:r>
      <w:r>
        <w:rPr>
          <w:spacing w:val="-3"/>
        </w:rPr>
        <w:t xml:space="preserve"> </w:t>
      </w:r>
      <w:r>
        <w:t>of</w:t>
      </w:r>
      <w:r>
        <w:rPr>
          <w:spacing w:val="-5"/>
        </w:rPr>
        <w:t xml:space="preserve"> </w:t>
      </w:r>
      <w:r>
        <w:t>Berkeley’s</w:t>
      </w:r>
      <w:r>
        <w:rPr>
          <w:spacing w:val="-4"/>
        </w:rPr>
        <w:t xml:space="preserve"> </w:t>
      </w:r>
      <w:r>
        <w:rPr>
          <w:spacing w:val="-2"/>
        </w:rPr>
        <w:t>reasoning:</w:t>
      </w:r>
    </w:p>
    <w:p w14:paraId="7E001B66" w14:textId="77777777" w:rsidR="009A58DB" w:rsidRDefault="009A58DB">
      <w:pPr>
        <w:pStyle w:val="BodyText"/>
        <w:spacing w:before="30"/>
        <w:ind w:left="0"/>
        <w:jc w:val="left"/>
      </w:pPr>
    </w:p>
    <w:p w14:paraId="7E001B67" w14:textId="77777777" w:rsidR="009A58DB" w:rsidRDefault="00000000">
      <w:pPr>
        <w:pStyle w:val="BodyText"/>
        <w:spacing w:line="277" w:lineRule="exact"/>
        <w:ind w:left="1219"/>
        <w:jc w:val="left"/>
      </w:pPr>
      <w:bookmarkStart w:id="364" w:name="_bookmark364"/>
      <w:bookmarkEnd w:id="364"/>
      <w:r>
        <w:rPr>
          <w:color w:val="0562C1"/>
          <w:spacing w:val="-2"/>
          <w:u w:val="single" w:color="0562C1"/>
        </w:rPr>
        <w:t>[256]</w:t>
      </w:r>
    </w:p>
    <w:p w14:paraId="7E001B68" w14:textId="77777777" w:rsidR="009A58DB" w:rsidRDefault="00000000">
      <w:pPr>
        <w:pStyle w:val="BodyText"/>
        <w:tabs>
          <w:tab w:val="left" w:pos="1869"/>
        </w:tabs>
        <w:spacing w:line="277" w:lineRule="exact"/>
        <w:ind w:left="720"/>
        <w:jc w:val="left"/>
      </w:pPr>
      <w:r>
        <w:rPr>
          <w:spacing w:val="-5"/>
        </w:rPr>
        <w:t>(BR</w:t>
      </w:r>
      <w:r>
        <w:tab/>
        <w:t>)</w:t>
      </w:r>
      <w:r>
        <w:rPr>
          <w:spacing w:val="8"/>
        </w:rPr>
        <w:t xml:space="preserve"> </w:t>
      </w:r>
      <w:r>
        <w:t>A</w:t>
      </w:r>
      <w:r>
        <w:rPr>
          <w:spacing w:val="11"/>
        </w:rPr>
        <w:t xml:space="preserve"> </w:t>
      </w:r>
      <w:r>
        <w:t>statement</w:t>
      </w:r>
      <w:r>
        <w:rPr>
          <w:spacing w:val="11"/>
        </w:rPr>
        <w:t xml:space="preserve"> </w:t>
      </w:r>
      <w:r>
        <w:t>about</w:t>
      </w:r>
      <w:r>
        <w:rPr>
          <w:spacing w:val="10"/>
        </w:rPr>
        <w:t xml:space="preserve"> </w:t>
      </w:r>
      <w:r>
        <w:t>the</w:t>
      </w:r>
      <w:r>
        <w:rPr>
          <w:spacing w:val="11"/>
        </w:rPr>
        <w:t xml:space="preserve"> </w:t>
      </w:r>
      <w:r>
        <w:t>external</w:t>
      </w:r>
      <w:r>
        <w:rPr>
          <w:spacing w:val="11"/>
        </w:rPr>
        <w:t xml:space="preserve"> </w:t>
      </w:r>
      <w:r>
        <w:t>world</w:t>
      </w:r>
      <w:r>
        <w:rPr>
          <w:spacing w:val="11"/>
        </w:rPr>
        <w:t xml:space="preserve"> </w:t>
      </w:r>
      <w:r>
        <w:t>is</w:t>
      </w:r>
      <w:r>
        <w:rPr>
          <w:spacing w:val="10"/>
        </w:rPr>
        <w:t xml:space="preserve"> </w:t>
      </w:r>
      <w:r>
        <w:t>meaningful</w:t>
      </w:r>
      <w:r>
        <w:rPr>
          <w:spacing w:val="11"/>
        </w:rPr>
        <w:t xml:space="preserve"> </w:t>
      </w:r>
      <w:r>
        <w:t>only</w:t>
      </w:r>
      <w:r>
        <w:rPr>
          <w:spacing w:val="11"/>
        </w:rPr>
        <w:t xml:space="preserve"> </w:t>
      </w:r>
      <w:r>
        <w:t>to</w:t>
      </w:r>
      <w:r>
        <w:rPr>
          <w:spacing w:val="11"/>
        </w:rPr>
        <w:t xml:space="preserve"> </w:t>
      </w:r>
      <w:r>
        <w:rPr>
          <w:spacing w:val="-5"/>
        </w:rPr>
        <w:t>the</w:t>
      </w:r>
    </w:p>
    <w:p w14:paraId="7E001B69" w14:textId="77777777" w:rsidR="009A58DB" w:rsidRDefault="00000000">
      <w:pPr>
        <w:pStyle w:val="BodyText"/>
        <w:spacing w:before="15" w:line="249" w:lineRule="auto"/>
        <w:ind w:left="720"/>
        <w:jc w:val="left"/>
      </w:pPr>
      <w:r>
        <w:t>extent</w:t>
      </w:r>
      <w:r>
        <w:rPr>
          <w:spacing w:val="80"/>
        </w:rPr>
        <w:t xml:space="preserve"> </w:t>
      </w:r>
      <w:r>
        <w:t>that,</w:t>
      </w:r>
      <w:r>
        <w:rPr>
          <w:spacing w:val="80"/>
        </w:rPr>
        <w:t xml:space="preserve"> </w:t>
      </w:r>
      <w:r>
        <w:t>were</w:t>
      </w:r>
      <w:r>
        <w:rPr>
          <w:spacing w:val="80"/>
        </w:rPr>
        <w:t xml:space="preserve"> </w:t>
      </w:r>
      <w:r>
        <w:t>it</w:t>
      </w:r>
      <w:r>
        <w:rPr>
          <w:spacing w:val="80"/>
        </w:rPr>
        <w:t xml:space="preserve"> </w:t>
      </w:r>
      <w:r>
        <w:t>true,</w:t>
      </w:r>
      <w:r>
        <w:rPr>
          <w:spacing w:val="80"/>
        </w:rPr>
        <w:t xml:space="preserve"> </w:t>
      </w:r>
      <w:r>
        <w:t>we’d</w:t>
      </w:r>
      <w:r>
        <w:rPr>
          <w:spacing w:val="80"/>
        </w:rPr>
        <w:t xml:space="preserve"> </w:t>
      </w:r>
      <w:r>
        <w:t>have</w:t>
      </w:r>
      <w:r>
        <w:rPr>
          <w:spacing w:val="80"/>
        </w:rPr>
        <w:t xml:space="preserve"> </w:t>
      </w:r>
      <w:r>
        <w:t>observations</w:t>
      </w:r>
      <w:r>
        <w:rPr>
          <w:spacing w:val="80"/>
        </w:rPr>
        <w:t xml:space="preserve"> </w:t>
      </w:r>
      <w:r>
        <w:t>that</w:t>
      </w:r>
      <w:r>
        <w:rPr>
          <w:spacing w:val="80"/>
        </w:rPr>
        <w:t xml:space="preserve"> </w:t>
      </w:r>
      <w:r>
        <w:t>we</w:t>
      </w:r>
      <w:r>
        <w:rPr>
          <w:spacing w:val="80"/>
        </w:rPr>
        <w:t xml:space="preserve"> </w:t>
      </w:r>
      <w:r>
        <w:t>wouldn’t</w:t>
      </w:r>
      <w:r>
        <w:rPr>
          <w:spacing w:val="80"/>
        </w:rPr>
        <w:t xml:space="preserve"> </w:t>
      </w:r>
      <w:r>
        <w:t>otherwise have.</w:t>
      </w:r>
    </w:p>
    <w:p w14:paraId="7E001B6A" w14:textId="77777777" w:rsidR="009A58DB" w:rsidRDefault="00000000">
      <w:pPr>
        <w:pStyle w:val="BodyText"/>
        <w:spacing w:before="2" w:line="249" w:lineRule="auto"/>
        <w:ind w:left="720" w:right="361" w:firstLine="360"/>
      </w:pPr>
      <w:r>
        <w:t>This</w:t>
      </w:r>
      <w:r>
        <w:rPr>
          <w:spacing w:val="-2"/>
        </w:rPr>
        <w:t xml:space="preserve"> </w:t>
      </w:r>
      <w:r>
        <w:t>entails</w:t>
      </w:r>
      <w:r>
        <w:rPr>
          <w:spacing w:val="-2"/>
        </w:rPr>
        <w:t xml:space="preserve"> </w:t>
      </w:r>
      <w:r>
        <w:t>that</w:t>
      </w:r>
      <w:r>
        <w:rPr>
          <w:spacing w:val="-2"/>
        </w:rPr>
        <w:t xml:space="preserve"> </w:t>
      </w:r>
      <w:r>
        <w:t>such</w:t>
      </w:r>
      <w:r>
        <w:rPr>
          <w:spacing w:val="-2"/>
        </w:rPr>
        <w:t xml:space="preserve"> </w:t>
      </w:r>
      <w:r>
        <w:t>a</w:t>
      </w:r>
      <w:r>
        <w:rPr>
          <w:spacing w:val="-2"/>
        </w:rPr>
        <w:t xml:space="preserve"> </w:t>
      </w:r>
      <w:r>
        <w:t>statement</w:t>
      </w:r>
      <w:r>
        <w:rPr>
          <w:spacing w:val="-2"/>
        </w:rPr>
        <w:t xml:space="preserve"> </w:t>
      </w:r>
      <w:r>
        <w:t>is</w:t>
      </w:r>
      <w:r>
        <w:rPr>
          <w:spacing w:val="-2"/>
        </w:rPr>
        <w:t xml:space="preserve"> </w:t>
      </w:r>
      <w:r>
        <w:t>meaningful</w:t>
      </w:r>
      <w:r>
        <w:rPr>
          <w:spacing w:val="-2"/>
        </w:rPr>
        <w:t xml:space="preserve"> </w:t>
      </w:r>
      <w:r>
        <w:t>only</w:t>
      </w:r>
      <w:r>
        <w:rPr>
          <w:spacing w:val="-2"/>
        </w:rPr>
        <w:t xml:space="preserve"> </w:t>
      </w:r>
      <w:r>
        <w:rPr>
          <w:i/>
        </w:rPr>
        <w:t xml:space="preserve">to the extent </w:t>
      </w:r>
      <w:r>
        <w:t>that</w:t>
      </w:r>
      <w:r>
        <w:rPr>
          <w:spacing w:val="-4"/>
        </w:rPr>
        <w:t xml:space="preserve"> </w:t>
      </w:r>
      <w:r>
        <w:t>it concerns observations. When the possible observations run out, so does</w:t>
      </w:r>
      <w:r>
        <w:rPr>
          <w:spacing w:val="40"/>
        </w:rPr>
        <w:t xml:space="preserve"> </w:t>
      </w:r>
      <w:r>
        <w:t xml:space="preserve">the meaning. Thus, “Smith has a car” is without meaning to the extent Smith’s having a car is observationally inert, the same thing </w:t>
      </w:r>
      <w:r>
        <w:rPr>
          <w:i/>
        </w:rPr>
        <w:t xml:space="preserve">mutatis mutandis </w:t>
      </w:r>
      <w:r>
        <w:t>obviously being true of “Brown has a car.” And</w:t>
      </w:r>
    </w:p>
    <w:p w14:paraId="7E001B6B" w14:textId="77777777" w:rsidR="009A58DB" w:rsidRDefault="009A58DB">
      <w:pPr>
        <w:pStyle w:val="BodyText"/>
        <w:spacing w:before="21"/>
        <w:ind w:left="0"/>
        <w:jc w:val="left"/>
      </w:pPr>
    </w:p>
    <w:p w14:paraId="7E001B6C" w14:textId="77777777" w:rsidR="009A58DB" w:rsidRDefault="00000000">
      <w:pPr>
        <w:pStyle w:val="ListParagraph"/>
        <w:numPr>
          <w:ilvl w:val="2"/>
          <w:numId w:val="104"/>
        </w:numPr>
        <w:tabs>
          <w:tab w:val="left" w:pos="1142"/>
        </w:tabs>
        <w:spacing w:before="1"/>
        <w:ind w:left="1142" w:hanging="422"/>
        <w:rPr>
          <w:sz w:val="30"/>
        </w:rPr>
      </w:pPr>
      <w:r>
        <w:rPr>
          <w:sz w:val="30"/>
        </w:rPr>
        <w:t>“Smith’s</w:t>
      </w:r>
      <w:r>
        <w:rPr>
          <w:spacing w:val="-6"/>
          <w:sz w:val="30"/>
        </w:rPr>
        <w:t xml:space="preserve"> </w:t>
      </w:r>
      <w:r>
        <w:rPr>
          <w:sz w:val="30"/>
        </w:rPr>
        <w:t>car</w:t>
      </w:r>
      <w:r>
        <w:rPr>
          <w:spacing w:val="-4"/>
          <w:sz w:val="30"/>
        </w:rPr>
        <w:t xml:space="preserve"> </w:t>
      </w:r>
      <w:r>
        <w:rPr>
          <w:sz w:val="30"/>
        </w:rPr>
        <w:t>weighs</w:t>
      </w:r>
      <w:r>
        <w:rPr>
          <w:spacing w:val="-4"/>
          <w:sz w:val="30"/>
        </w:rPr>
        <w:t xml:space="preserve"> </w:t>
      </w:r>
      <w:r>
        <w:rPr>
          <w:sz w:val="30"/>
        </w:rPr>
        <w:t>twice</w:t>
      </w:r>
      <w:r>
        <w:rPr>
          <w:spacing w:val="-4"/>
          <w:sz w:val="30"/>
        </w:rPr>
        <w:t xml:space="preserve"> </w:t>
      </w:r>
      <w:r>
        <w:rPr>
          <w:sz w:val="30"/>
        </w:rPr>
        <w:t>as</w:t>
      </w:r>
      <w:r>
        <w:rPr>
          <w:spacing w:val="-4"/>
          <w:sz w:val="30"/>
        </w:rPr>
        <w:t xml:space="preserve"> </w:t>
      </w:r>
      <w:r>
        <w:rPr>
          <w:sz w:val="30"/>
        </w:rPr>
        <w:t>much</w:t>
      </w:r>
      <w:r>
        <w:rPr>
          <w:spacing w:val="-3"/>
          <w:sz w:val="30"/>
        </w:rPr>
        <w:t xml:space="preserve"> </w:t>
      </w:r>
      <w:r>
        <w:rPr>
          <w:sz w:val="30"/>
        </w:rPr>
        <w:t>as</w:t>
      </w:r>
      <w:r>
        <w:rPr>
          <w:spacing w:val="-4"/>
          <w:sz w:val="30"/>
        </w:rPr>
        <w:t xml:space="preserve"> </w:t>
      </w:r>
      <w:r>
        <w:rPr>
          <w:sz w:val="30"/>
        </w:rPr>
        <w:t>Brown’s</w:t>
      </w:r>
      <w:r>
        <w:rPr>
          <w:spacing w:val="-3"/>
          <w:sz w:val="30"/>
        </w:rPr>
        <w:t xml:space="preserve"> </w:t>
      </w:r>
      <w:r>
        <w:rPr>
          <w:spacing w:val="-4"/>
          <w:sz w:val="30"/>
        </w:rPr>
        <w:t>car”</w:t>
      </w:r>
    </w:p>
    <w:p w14:paraId="7E001B6D" w14:textId="77777777" w:rsidR="009A58DB" w:rsidRDefault="009A58DB">
      <w:pPr>
        <w:pStyle w:val="BodyText"/>
        <w:spacing w:before="29"/>
        <w:ind w:left="0"/>
        <w:jc w:val="left"/>
      </w:pPr>
    </w:p>
    <w:p w14:paraId="7E001B6E" w14:textId="77777777" w:rsidR="009A58DB" w:rsidRDefault="00000000">
      <w:pPr>
        <w:pStyle w:val="BodyText"/>
        <w:spacing w:before="1" w:line="249" w:lineRule="auto"/>
        <w:ind w:left="720" w:right="362"/>
      </w:pPr>
      <w:r>
        <w:t xml:space="preserve">is meaningful only to the extent that, for any objects x and y, if x weighs twice as much as y, there would </w:t>
      </w:r>
      <w:r>
        <w:rPr>
          <w:i/>
        </w:rPr>
        <w:t>ipso facto</w:t>
      </w:r>
      <w:r>
        <w:rPr>
          <w:i/>
          <w:spacing w:val="40"/>
        </w:rPr>
        <w:t xml:space="preserve"> </w:t>
      </w:r>
      <w:r>
        <w:t>occur observations that would not otherwise occur.</w:t>
      </w:r>
    </w:p>
    <w:p w14:paraId="7E001B6F" w14:textId="77777777" w:rsidR="009A58DB" w:rsidRDefault="00000000">
      <w:pPr>
        <w:pStyle w:val="BodyText"/>
        <w:spacing w:before="3" w:line="249" w:lineRule="auto"/>
        <w:ind w:left="1080" w:right="362"/>
      </w:pPr>
      <w:r>
        <w:t>If we replace all of the constants in (1) with variables, what results is the sentence-form:</w:t>
      </w:r>
    </w:p>
    <w:p w14:paraId="7E001B70" w14:textId="77777777" w:rsidR="009A58DB" w:rsidRDefault="009A58DB">
      <w:pPr>
        <w:pStyle w:val="BodyText"/>
        <w:spacing w:before="18"/>
        <w:ind w:left="0"/>
        <w:jc w:val="left"/>
      </w:pPr>
    </w:p>
    <w:p w14:paraId="7E001B71" w14:textId="77777777" w:rsidR="009A58DB" w:rsidRDefault="00000000">
      <w:pPr>
        <w:pStyle w:val="ListParagraph"/>
        <w:numPr>
          <w:ilvl w:val="2"/>
          <w:numId w:val="104"/>
        </w:numPr>
        <w:tabs>
          <w:tab w:val="left" w:pos="1142"/>
        </w:tabs>
        <w:ind w:left="1142" w:hanging="422"/>
        <w:rPr>
          <w:sz w:val="30"/>
        </w:rPr>
      </w:pPr>
      <w:r>
        <w:rPr>
          <w:sz w:val="30"/>
        </w:rPr>
        <w:t>A</w:t>
      </w:r>
      <w:r>
        <w:rPr>
          <w:spacing w:val="-2"/>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B.</w:t>
      </w:r>
    </w:p>
    <w:p w14:paraId="7E001B72" w14:textId="77777777" w:rsidR="009A58DB" w:rsidRDefault="009A58DB">
      <w:pPr>
        <w:pStyle w:val="BodyText"/>
        <w:spacing w:before="30"/>
        <w:ind w:left="0"/>
        <w:jc w:val="left"/>
      </w:pPr>
    </w:p>
    <w:p w14:paraId="7E001B73" w14:textId="77777777" w:rsidR="009A58DB" w:rsidRDefault="00000000">
      <w:pPr>
        <w:pStyle w:val="BodyText"/>
        <w:spacing w:line="271" w:lineRule="auto"/>
        <w:ind w:left="720" w:right="361"/>
      </w:pPr>
      <w:r>
        <w:t>A true sentence results if the variables in (2) are replaced with constants referring to classes of perceptions. Let K</w:t>
      </w:r>
      <w:r>
        <w:rPr>
          <w:vertAlign w:val="subscript"/>
        </w:rPr>
        <w:t>1</w:t>
      </w:r>
      <w:r>
        <w:t xml:space="preserve"> be the class of perceptions that one</w:t>
      </w:r>
      <w:r>
        <w:rPr>
          <w:spacing w:val="31"/>
        </w:rPr>
        <w:t xml:space="preserve"> </w:t>
      </w:r>
      <w:r>
        <w:t>has</w:t>
      </w:r>
      <w:r>
        <w:rPr>
          <w:spacing w:val="31"/>
        </w:rPr>
        <w:t xml:space="preserve"> </w:t>
      </w:r>
      <w:r>
        <w:t>in</w:t>
      </w:r>
      <w:r>
        <w:rPr>
          <w:spacing w:val="31"/>
        </w:rPr>
        <w:t xml:space="preserve"> </w:t>
      </w:r>
      <w:r>
        <w:t>virtue</w:t>
      </w:r>
      <w:r>
        <w:rPr>
          <w:spacing w:val="32"/>
        </w:rPr>
        <w:t xml:space="preserve"> </w:t>
      </w:r>
      <w:r>
        <w:t>of</w:t>
      </w:r>
      <w:r>
        <w:rPr>
          <w:spacing w:val="31"/>
        </w:rPr>
        <w:t xml:space="preserve"> </w:t>
      </w:r>
      <w:r>
        <w:t>the</w:t>
      </w:r>
      <w:r>
        <w:rPr>
          <w:spacing w:val="31"/>
        </w:rPr>
        <w:t xml:space="preserve"> </w:t>
      </w:r>
      <w:r>
        <w:t>fact</w:t>
      </w:r>
      <w:r>
        <w:rPr>
          <w:spacing w:val="32"/>
        </w:rPr>
        <w:t xml:space="preserve"> </w:t>
      </w:r>
      <w:r>
        <w:t>that</w:t>
      </w:r>
      <w:r>
        <w:rPr>
          <w:spacing w:val="31"/>
        </w:rPr>
        <w:t xml:space="preserve"> </w:t>
      </w:r>
      <w:r>
        <w:t>Smith’s</w:t>
      </w:r>
      <w:r>
        <w:rPr>
          <w:spacing w:val="31"/>
        </w:rPr>
        <w:t xml:space="preserve"> </w:t>
      </w:r>
      <w:r>
        <w:t>car</w:t>
      </w:r>
      <w:r>
        <w:rPr>
          <w:spacing w:val="31"/>
        </w:rPr>
        <w:t xml:space="preserve"> </w:t>
      </w:r>
      <w:r>
        <w:t>exists.</w:t>
      </w:r>
      <w:r>
        <w:rPr>
          <w:spacing w:val="32"/>
        </w:rPr>
        <w:t xml:space="preserve"> </w:t>
      </w:r>
      <w:r>
        <w:t>(K</w:t>
      </w:r>
      <w:r>
        <w:rPr>
          <w:vertAlign w:val="subscript"/>
        </w:rPr>
        <w:t>1</w:t>
      </w:r>
      <w:r>
        <w:rPr>
          <w:spacing w:val="33"/>
        </w:rPr>
        <w:t xml:space="preserve"> </w:t>
      </w:r>
      <w:r>
        <w:t>might</w:t>
      </w:r>
      <w:r>
        <w:rPr>
          <w:spacing w:val="33"/>
        </w:rPr>
        <w:t xml:space="preserve"> </w:t>
      </w:r>
      <w:r>
        <w:t>include</w:t>
      </w:r>
      <w:r>
        <w:rPr>
          <w:spacing w:val="34"/>
        </w:rPr>
        <w:t xml:space="preserve"> </w:t>
      </w:r>
      <w:r>
        <w:rPr>
          <w:spacing w:val="-10"/>
        </w:rPr>
        <w:t>a</w:t>
      </w:r>
    </w:p>
    <w:p w14:paraId="7E001B74" w14:textId="77777777" w:rsidR="009A58DB" w:rsidRDefault="00000000">
      <w:pPr>
        <w:pStyle w:val="BodyText"/>
        <w:spacing w:before="30" w:line="271" w:lineRule="auto"/>
        <w:ind w:left="720" w:right="364"/>
      </w:pPr>
      <w:r>
        <w:t>perception of Smith pulling out of his garage.) Let K</w:t>
      </w:r>
      <w:r>
        <w:rPr>
          <w:vertAlign w:val="subscript"/>
        </w:rPr>
        <w:t>2</w:t>
      </w:r>
      <w:r>
        <w:t xml:space="preserve"> be the class of perceptions that one has when, and only when, there are objects x and y such</w:t>
      </w:r>
      <w:r>
        <w:rPr>
          <w:spacing w:val="79"/>
        </w:rPr>
        <w:t xml:space="preserve"> </w:t>
      </w:r>
      <w:r>
        <w:t>that</w:t>
      </w:r>
      <w:r>
        <w:rPr>
          <w:spacing w:val="42"/>
          <w:w w:val="150"/>
        </w:rPr>
        <w:t xml:space="preserve"> </w:t>
      </w:r>
      <w:r>
        <w:t>x</w:t>
      </w:r>
      <w:r>
        <w:rPr>
          <w:spacing w:val="43"/>
          <w:w w:val="150"/>
        </w:rPr>
        <w:t xml:space="preserve"> </w:t>
      </w:r>
      <w:r>
        <w:t>weighs</w:t>
      </w:r>
      <w:r>
        <w:rPr>
          <w:spacing w:val="79"/>
        </w:rPr>
        <w:t xml:space="preserve"> </w:t>
      </w:r>
      <w:r>
        <w:t>twice</w:t>
      </w:r>
      <w:r>
        <w:rPr>
          <w:spacing w:val="43"/>
          <w:w w:val="150"/>
        </w:rPr>
        <w:t xml:space="preserve"> </w:t>
      </w:r>
      <w:r>
        <w:t>as</w:t>
      </w:r>
      <w:r>
        <w:rPr>
          <w:spacing w:val="79"/>
        </w:rPr>
        <w:t xml:space="preserve"> </w:t>
      </w:r>
      <w:r>
        <w:t>much</w:t>
      </w:r>
      <w:r>
        <w:rPr>
          <w:spacing w:val="43"/>
          <w:w w:val="150"/>
        </w:rPr>
        <w:t xml:space="preserve"> </w:t>
      </w:r>
      <w:r>
        <w:t>as</w:t>
      </w:r>
      <w:r>
        <w:rPr>
          <w:spacing w:val="79"/>
        </w:rPr>
        <w:t xml:space="preserve"> </w:t>
      </w:r>
      <w:r>
        <w:t>y.</w:t>
      </w:r>
      <w:r>
        <w:rPr>
          <w:spacing w:val="43"/>
          <w:w w:val="150"/>
        </w:rPr>
        <w:t xml:space="preserve"> </w:t>
      </w:r>
      <w:r>
        <w:t>And</w:t>
      </w:r>
      <w:r>
        <w:rPr>
          <w:spacing w:val="79"/>
        </w:rPr>
        <w:t xml:space="preserve"> </w:t>
      </w:r>
      <w:r>
        <w:t>let</w:t>
      </w:r>
      <w:r>
        <w:rPr>
          <w:spacing w:val="43"/>
          <w:w w:val="150"/>
        </w:rPr>
        <w:t xml:space="preserve"> </w:t>
      </w:r>
      <w:r>
        <w:t>K</w:t>
      </w:r>
      <w:r>
        <w:rPr>
          <w:vertAlign w:val="subscript"/>
        </w:rPr>
        <w:t>3</w:t>
      </w:r>
      <w:r>
        <w:rPr>
          <w:spacing w:val="77"/>
        </w:rPr>
        <w:t xml:space="preserve"> </w:t>
      </w:r>
      <w:r>
        <w:t>be</w:t>
      </w:r>
      <w:r>
        <w:rPr>
          <w:spacing w:val="78"/>
        </w:rPr>
        <w:t xml:space="preserve"> </w:t>
      </w:r>
      <w:r>
        <w:t>the</w:t>
      </w:r>
      <w:r>
        <w:rPr>
          <w:spacing w:val="78"/>
        </w:rPr>
        <w:t xml:space="preserve"> </w:t>
      </w:r>
      <w:r>
        <w:t>class</w:t>
      </w:r>
      <w:r>
        <w:rPr>
          <w:spacing w:val="77"/>
        </w:rPr>
        <w:t xml:space="preserve"> </w:t>
      </w:r>
      <w:r>
        <w:rPr>
          <w:spacing w:val="-5"/>
        </w:rPr>
        <w:t>of</w:t>
      </w:r>
    </w:p>
    <w:p w14:paraId="7E001B75" w14:textId="77777777" w:rsidR="009A58DB" w:rsidRDefault="00000000">
      <w:pPr>
        <w:pStyle w:val="BodyText"/>
        <w:spacing w:before="31"/>
        <w:ind w:left="720"/>
      </w:pPr>
      <w:r>
        <w:t>perceptions</w:t>
      </w:r>
      <w:r>
        <w:rPr>
          <w:spacing w:val="-6"/>
        </w:rPr>
        <w:t xml:space="preserve"> </w:t>
      </w:r>
      <w:r>
        <w:t>that</w:t>
      </w:r>
      <w:r>
        <w:rPr>
          <w:spacing w:val="-3"/>
        </w:rPr>
        <w:t xml:space="preserve"> </w:t>
      </w:r>
      <w:r>
        <w:t>one</w:t>
      </w:r>
      <w:r>
        <w:rPr>
          <w:spacing w:val="-3"/>
        </w:rPr>
        <w:t xml:space="preserve"> </w:t>
      </w:r>
      <w:r>
        <w:t>has</w:t>
      </w:r>
      <w:r>
        <w:rPr>
          <w:spacing w:val="-3"/>
        </w:rPr>
        <w:t xml:space="preserve"> </w:t>
      </w:r>
      <w:r>
        <w:t>in</w:t>
      </w:r>
      <w:r>
        <w:rPr>
          <w:spacing w:val="-2"/>
        </w:rPr>
        <w:t xml:space="preserve"> </w:t>
      </w:r>
      <w:r>
        <w:t>virtue</w:t>
      </w:r>
      <w:r>
        <w:rPr>
          <w:spacing w:val="-3"/>
        </w:rPr>
        <w:t xml:space="preserve"> </w:t>
      </w:r>
      <w:r>
        <w:t>of</w:t>
      </w:r>
      <w:r>
        <w:rPr>
          <w:spacing w:val="-3"/>
        </w:rPr>
        <w:t xml:space="preserve"> </w:t>
      </w:r>
      <w:r>
        <w:t>the</w:t>
      </w:r>
      <w:r>
        <w:rPr>
          <w:spacing w:val="-3"/>
        </w:rPr>
        <w:t xml:space="preserve"> </w:t>
      </w:r>
      <w:r>
        <w:t>fact</w:t>
      </w:r>
      <w:r>
        <w:rPr>
          <w:spacing w:val="-3"/>
        </w:rPr>
        <w:t xml:space="preserve"> </w:t>
      </w:r>
      <w:r>
        <w:t>that</w:t>
      </w:r>
      <w:r>
        <w:rPr>
          <w:spacing w:val="-3"/>
        </w:rPr>
        <w:t xml:space="preserve"> </w:t>
      </w:r>
      <w:r>
        <w:t>Brown’s</w:t>
      </w:r>
      <w:r>
        <w:rPr>
          <w:spacing w:val="-3"/>
        </w:rPr>
        <w:t xml:space="preserve"> </w:t>
      </w:r>
      <w:r>
        <w:t>car</w:t>
      </w:r>
      <w:r>
        <w:rPr>
          <w:spacing w:val="-3"/>
        </w:rPr>
        <w:t xml:space="preserve"> </w:t>
      </w:r>
      <w:r>
        <w:rPr>
          <w:spacing w:val="-2"/>
        </w:rPr>
        <w:t>exists.</w:t>
      </w:r>
    </w:p>
    <w:p w14:paraId="7E001B76" w14:textId="77777777" w:rsidR="009A58DB" w:rsidRDefault="00000000">
      <w:pPr>
        <w:pStyle w:val="BodyText"/>
        <w:spacing w:before="15"/>
        <w:ind w:left="1080"/>
      </w:pPr>
      <w:r>
        <w:t>If</w:t>
      </w:r>
      <w:r>
        <w:rPr>
          <w:spacing w:val="-3"/>
        </w:rPr>
        <w:t xml:space="preserve"> </w:t>
      </w:r>
      <w:r>
        <w:t>a</w:t>
      </w:r>
      <w:r>
        <w:rPr>
          <w:spacing w:val="-3"/>
        </w:rPr>
        <w:t xml:space="preserve"> </w:t>
      </w:r>
      <w:r>
        <w:t>given</w:t>
      </w:r>
      <w:r>
        <w:rPr>
          <w:spacing w:val="-2"/>
        </w:rPr>
        <w:t xml:space="preserve"> </w:t>
      </w:r>
      <w:r>
        <w:t>observation</w:t>
      </w:r>
      <w:r>
        <w:rPr>
          <w:spacing w:val="-2"/>
        </w:rPr>
        <w:t xml:space="preserve"> </w:t>
      </w:r>
      <w:r>
        <w:t>O</w:t>
      </w:r>
      <w:r>
        <w:rPr>
          <w:spacing w:val="-3"/>
        </w:rPr>
        <w:t xml:space="preserve"> </w:t>
      </w:r>
      <w:r>
        <w:t>confirms</w:t>
      </w:r>
      <w:r>
        <w:rPr>
          <w:spacing w:val="-3"/>
        </w:rPr>
        <w:t xml:space="preserve"> </w:t>
      </w:r>
      <w:r>
        <w:t>(1)</w:t>
      </w:r>
      <w:r>
        <w:rPr>
          <w:spacing w:val="-3"/>
        </w:rPr>
        <w:t xml:space="preserve"> </w:t>
      </w:r>
      <w:r>
        <w:t>to</w:t>
      </w:r>
      <w:r>
        <w:rPr>
          <w:spacing w:val="-2"/>
        </w:rPr>
        <w:t xml:space="preserve"> </w:t>
      </w:r>
      <w:r>
        <w:t>a</w:t>
      </w:r>
      <w:r>
        <w:rPr>
          <w:spacing w:val="-3"/>
        </w:rPr>
        <w:t xml:space="preserve"> </w:t>
      </w:r>
      <w:r>
        <w:t>degree,</w:t>
      </w:r>
      <w:r>
        <w:rPr>
          <w:spacing w:val="-2"/>
        </w:rPr>
        <w:t xml:space="preserve"> </w:t>
      </w:r>
      <w:r>
        <w:t>it</w:t>
      </w:r>
      <w:r>
        <w:rPr>
          <w:spacing w:val="-2"/>
        </w:rPr>
        <w:t xml:space="preserve"> confirms</w:t>
      </w:r>
    </w:p>
    <w:p w14:paraId="7E001B77" w14:textId="77777777" w:rsidR="009A58DB" w:rsidRDefault="009A58DB">
      <w:pPr>
        <w:pStyle w:val="BodyText"/>
        <w:spacing w:before="30"/>
        <w:ind w:left="0"/>
        <w:jc w:val="left"/>
      </w:pPr>
    </w:p>
    <w:p w14:paraId="7E001B78" w14:textId="77777777" w:rsidR="009A58DB" w:rsidRDefault="00000000">
      <w:pPr>
        <w:pStyle w:val="ListParagraph"/>
        <w:numPr>
          <w:ilvl w:val="2"/>
          <w:numId w:val="104"/>
        </w:numPr>
        <w:tabs>
          <w:tab w:val="left" w:pos="1142"/>
        </w:tabs>
        <w:ind w:left="1142" w:hanging="422"/>
        <w:rPr>
          <w:sz w:val="30"/>
        </w:rPr>
      </w:pPr>
      <w:r>
        <w:rPr>
          <w:w w:val="105"/>
          <w:sz w:val="30"/>
        </w:rPr>
        <w:t>K</w:t>
      </w:r>
      <w:r>
        <w:rPr>
          <w:w w:val="105"/>
          <w:sz w:val="30"/>
          <w:vertAlign w:val="subscript"/>
        </w:rPr>
        <w:t>1</w:t>
      </w:r>
      <w:r>
        <w:rPr>
          <w:spacing w:val="-14"/>
          <w:w w:val="105"/>
          <w:sz w:val="30"/>
        </w:rPr>
        <w:t xml:space="preserve"> </w:t>
      </w:r>
      <w:r>
        <w:rPr>
          <w:w w:val="105"/>
          <w:sz w:val="30"/>
        </w:rPr>
        <w:t>bears</w:t>
      </w:r>
      <w:r>
        <w:rPr>
          <w:spacing w:val="-15"/>
          <w:w w:val="105"/>
          <w:sz w:val="30"/>
        </w:rPr>
        <w:t xml:space="preserve"> </w:t>
      </w:r>
      <w:r>
        <w:rPr>
          <w:w w:val="105"/>
          <w:sz w:val="30"/>
        </w:rPr>
        <w:t>K</w:t>
      </w:r>
      <w:r>
        <w:rPr>
          <w:w w:val="105"/>
          <w:sz w:val="30"/>
          <w:vertAlign w:val="subscript"/>
        </w:rPr>
        <w:t>2</w:t>
      </w:r>
      <w:r>
        <w:rPr>
          <w:spacing w:val="-14"/>
          <w:w w:val="105"/>
          <w:sz w:val="30"/>
        </w:rPr>
        <w:t xml:space="preserve"> </w:t>
      </w:r>
      <w:r>
        <w:rPr>
          <w:w w:val="105"/>
          <w:sz w:val="30"/>
        </w:rPr>
        <w:t>to</w:t>
      </w:r>
      <w:r>
        <w:rPr>
          <w:spacing w:val="-14"/>
          <w:w w:val="105"/>
          <w:sz w:val="30"/>
        </w:rPr>
        <w:t xml:space="preserve"> </w:t>
      </w:r>
      <w:r>
        <w:rPr>
          <w:spacing w:val="-5"/>
          <w:w w:val="105"/>
          <w:sz w:val="30"/>
        </w:rPr>
        <w:t>K</w:t>
      </w:r>
      <w:r>
        <w:rPr>
          <w:spacing w:val="-5"/>
          <w:w w:val="105"/>
          <w:sz w:val="30"/>
          <w:vertAlign w:val="subscript"/>
        </w:rPr>
        <w:t>3</w:t>
      </w:r>
    </w:p>
    <w:p w14:paraId="7E001B79"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1B7A" w14:textId="77777777" w:rsidR="009A58DB" w:rsidRDefault="00000000">
      <w:pPr>
        <w:pStyle w:val="BodyText"/>
        <w:spacing w:before="65" w:line="249" w:lineRule="auto"/>
        <w:ind w:left="720" w:right="361"/>
      </w:pPr>
      <w:r>
        <w:lastRenderedPageBreak/>
        <w:t>to that same degree. (In this context, “confirms” is to be taken to refer to positive</w:t>
      </w:r>
      <w:r>
        <w:rPr>
          <w:spacing w:val="-5"/>
        </w:rPr>
        <w:t xml:space="preserve"> </w:t>
      </w:r>
      <w:r>
        <w:t>or</w:t>
      </w:r>
      <w:r>
        <w:rPr>
          <w:spacing w:val="-5"/>
        </w:rPr>
        <w:t xml:space="preserve"> </w:t>
      </w:r>
      <w:r>
        <w:t>negative</w:t>
      </w:r>
      <w:r>
        <w:rPr>
          <w:spacing w:val="-5"/>
        </w:rPr>
        <w:t xml:space="preserve"> </w:t>
      </w:r>
      <w:r>
        <w:t>confirmation.)</w:t>
      </w:r>
      <w:r>
        <w:rPr>
          <w:spacing w:val="-5"/>
        </w:rPr>
        <w:t xml:space="preserve"> </w:t>
      </w:r>
      <w:r>
        <w:t>If</w:t>
      </w:r>
      <w:r>
        <w:rPr>
          <w:spacing w:val="-5"/>
        </w:rPr>
        <w:t xml:space="preserve"> </w:t>
      </w:r>
      <w:r>
        <w:t>a</w:t>
      </w:r>
      <w:r>
        <w:rPr>
          <w:spacing w:val="-5"/>
        </w:rPr>
        <w:t xml:space="preserve"> </w:t>
      </w:r>
      <w:r>
        <w:t>given</w:t>
      </w:r>
      <w:r>
        <w:rPr>
          <w:spacing w:val="-4"/>
        </w:rPr>
        <w:t xml:space="preserve"> </w:t>
      </w:r>
      <w:r>
        <w:t>observation</w:t>
      </w:r>
      <w:r>
        <w:rPr>
          <w:spacing w:val="-4"/>
        </w:rPr>
        <w:t xml:space="preserve"> </w:t>
      </w:r>
      <w:r>
        <w:t>O*</w:t>
      </w:r>
      <w:r>
        <w:rPr>
          <w:spacing w:val="-4"/>
        </w:rPr>
        <w:t xml:space="preserve"> </w:t>
      </w:r>
      <w:r>
        <w:t xml:space="preserve">(dis)confirms any one of these three claims, it is </w:t>
      </w:r>
      <w:r>
        <w:rPr>
          <w:i/>
        </w:rPr>
        <w:t>ipso facto</w:t>
      </w:r>
      <w:r>
        <w:rPr>
          <w:i/>
          <w:spacing w:val="80"/>
        </w:rPr>
        <w:t xml:space="preserve"> </w:t>
      </w:r>
      <w:r>
        <w:t>(not) a member of one of</w:t>
      </w:r>
      <w:r>
        <w:rPr>
          <w:spacing w:val="40"/>
        </w:rPr>
        <w:t xml:space="preserve"> </w:t>
      </w:r>
      <w:r>
        <w:t>K</w:t>
      </w:r>
      <w:r>
        <w:rPr>
          <w:vertAlign w:val="subscript"/>
        </w:rPr>
        <w:t>1</w:t>
      </w:r>
      <w:r>
        <w:t>–K</w:t>
      </w:r>
      <w:r>
        <w:rPr>
          <w:vertAlign w:val="subscript"/>
        </w:rPr>
        <w:t>3</w:t>
      </w:r>
      <w:r>
        <w:t>. So</w:t>
      </w:r>
      <w:r>
        <w:rPr>
          <w:spacing w:val="1"/>
        </w:rPr>
        <w:t xml:space="preserve"> </w:t>
      </w:r>
      <w:r>
        <w:t>there can’t be an observation</w:t>
      </w:r>
      <w:r>
        <w:rPr>
          <w:spacing w:val="1"/>
        </w:rPr>
        <w:t xml:space="preserve"> </w:t>
      </w:r>
      <w:r>
        <w:t>that (dis)confirms (1) more or</w:t>
      </w:r>
      <w:r>
        <w:rPr>
          <w:spacing w:val="-1"/>
        </w:rPr>
        <w:t xml:space="preserve"> </w:t>
      </w:r>
      <w:r>
        <w:rPr>
          <w:spacing w:val="-4"/>
        </w:rPr>
        <w:t>less</w:t>
      </w:r>
    </w:p>
    <w:p w14:paraId="7E001B7B" w14:textId="77777777" w:rsidR="009A58DB" w:rsidRDefault="00000000">
      <w:pPr>
        <w:pStyle w:val="BodyText"/>
        <w:spacing w:before="65"/>
        <w:ind w:left="720"/>
      </w:pPr>
      <w:r>
        <w:t>than</w:t>
      </w:r>
      <w:r>
        <w:rPr>
          <w:spacing w:val="-5"/>
        </w:rPr>
        <w:t xml:space="preserve"> </w:t>
      </w:r>
      <w:r>
        <w:t>it</w:t>
      </w:r>
      <w:r>
        <w:rPr>
          <w:spacing w:val="-5"/>
        </w:rPr>
        <w:t xml:space="preserve"> </w:t>
      </w:r>
      <w:r>
        <w:t>(dis)confirms</w:t>
      </w:r>
      <w:r>
        <w:rPr>
          <w:spacing w:val="-4"/>
        </w:rPr>
        <w:t xml:space="preserve"> (3).</w:t>
      </w:r>
    </w:p>
    <w:p w14:paraId="7E001B7C" w14:textId="77777777" w:rsidR="009A58DB" w:rsidRDefault="00000000">
      <w:pPr>
        <w:pStyle w:val="BodyText"/>
        <w:spacing w:before="15" w:line="249" w:lineRule="auto"/>
        <w:ind w:left="720" w:right="367" w:firstLine="360"/>
      </w:pPr>
      <w:r>
        <w:t>There is therefore no observation-based reason to prefer (1) to (3). So assuming, as we are, that empiricism is correct, and that all good reasons are observation-based, it follows that there is no reason at all.</w:t>
      </w:r>
    </w:p>
    <w:p w14:paraId="7E001B7D" w14:textId="77777777" w:rsidR="009A58DB" w:rsidRDefault="00000000">
      <w:pPr>
        <w:spacing w:before="3"/>
        <w:ind w:left="1080"/>
        <w:jc w:val="both"/>
        <w:rPr>
          <w:sz w:val="30"/>
        </w:rPr>
      </w:pPr>
      <w:r>
        <w:rPr>
          <w:sz w:val="30"/>
        </w:rPr>
        <w:t>But</w:t>
      </w:r>
      <w:r>
        <w:rPr>
          <w:spacing w:val="-3"/>
          <w:sz w:val="30"/>
        </w:rPr>
        <w:t xml:space="preserve"> </w:t>
      </w:r>
      <w:r>
        <w:rPr>
          <w:i/>
          <w:sz w:val="30"/>
        </w:rPr>
        <w:t>the</w:t>
      </w:r>
      <w:r>
        <w:rPr>
          <w:i/>
          <w:spacing w:val="6"/>
          <w:sz w:val="30"/>
        </w:rPr>
        <w:t xml:space="preserve"> </w:t>
      </w:r>
      <w:r>
        <w:rPr>
          <w:i/>
          <w:sz w:val="30"/>
        </w:rPr>
        <w:t>very</w:t>
      </w:r>
      <w:r>
        <w:rPr>
          <w:i/>
          <w:spacing w:val="6"/>
          <w:sz w:val="30"/>
        </w:rPr>
        <w:t xml:space="preserve"> </w:t>
      </w:r>
      <w:r>
        <w:rPr>
          <w:i/>
          <w:sz w:val="30"/>
        </w:rPr>
        <w:t>fact</w:t>
      </w:r>
      <w:r>
        <w:rPr>
          <w:i/>
          <w:spacing w:val="6"/>
          <w:sz w:val="30"/>
        </w:rPr>
        <w:t xml:space="preserve"> </w:t>
      </w:r>
      <w:r>
        <w:rPr>
          <w:i/>
          <w:sz w:val="30"/>
        </w:rPr>
        <w:t>that</w:t>
      </w:r>
      <w:r>
        <w:rPr>
          <w:i/>
          <w:spacing w:val="6"/>
          <w:sz w:val="30"/>
        </w:rPr>
        <w:t xml:space="preserve"> </w:t>
      </w:r>
      <w:r>
        <w:rPr>
          <w:i/>
          <w:sz w:val="30"/>
        </w:rPr>
        <w:t>there</w:t>
      </w:r>
      <w:r>
        <w:rPr>
          <w:i/>
          <w:spacing w:val="7"/>
          <w:sz w:val="30"/>
        </w:rPr>
        <w:t xml:space="preserve"> </w:t>
      </w:r>
      <w:r>
        <w:rPr>
          <w:i/>
          <w:sz w:val="30"/>
        </w:rPr>
        <w:t>is</w:t>
      </w:r>
      <w:r>
        <w:rPr>
          <w:i/>
          <w:spacing w:val="6"/>
          <w:sz w:val="30"/>
        </w:rPr>
        <w:t xml:space="preserve"> </w:t>
      </w:r>
      <w:r>
        <w:rPr>
          <w:i/>
          <w:sz w:val="30"/>
        </w:rPr>
        <w:t>no</w:t>
      </w:r>
      <w:r>
        <w:rPr>
          <w:i/>
          <w:spacing w:val="6"/>
          <w:sz w:val="30"/>
        </w:rPr>
        <w:t xml:space="preserve"> </w:t>
      </w:r>
      <w:r>
        <w:rPr>
          <w:i/>
          <w:sz w:val="30"/>
        </w:rPr>
        <w:t>such</w:t>
      </w:r>
      <w:r>
        <w:rPr>
          <w:i/>
          <w:spacing w:val="6"/>
          <w:sz w:val="30"/>
        </w:rPr>
        <w:t xml:space="preserve"> </w:t>
      </w:r>
      <w:r>
        <w:rPr>
          <w:i/>
          <w:sz w:val="30"/>
        </w:rPr>
        <w:t>reason</w:t>
      </w:r>
      <w:r>
        <w:rPr>
          <w:i/>
          <w:spacing w:val="6"/>
          <w:sz w:val="30"/>
        </w:rPr>
        <w:t xml:space="preserve"> </w:t>
      </w:r>
      <w:r>
        <w:rPr>
          <w:sz w:val="30"/>
        </w:rPr>
        <w:t>is</w:t>
      </w:r>
      <w:r>
        <w:rPr>
          <w:spacing w:val="9"/>
          <w:sz w:val="30"/>
        </w:rPr>
        <w:t xml:space="preserve"> </w:t>
      </w:r>
      <w:r>
        <w:rPr>
          <w:sz w:val="30"/>
        </w:rPr>
        <w:t>itself</w:t>
      </w:r>
      <w:r>
        <w:rPr>
          <w:spacing w:val="9"/>
          <w:sz w:val="30"/>
        </w:rPr>
        <w:t xml:space="preserve"> </w:t>
      </w:r>
      <w:r>
        <w:rPr>
          <w:sz w:val="30"/>
        </w:rPr>
        <w:t>a</w:t>
      </w:r>
      <w:r>
        <w:rPr>
          <w:spacing w:val="9"/>
          <w:sz w:val="30"/>
        </w:rPr>
        <w:t xml:space="preserve"> </w:t>
      </w:r>
      <w:r>
        <w:rPr>
          <w:sz w:val="30"/>
        </w:rPr>
        <w:t>reason</w:t>
      </w:r>
      <w:r>
        <w:rPr>
          <w:spacing w:val="9"/>
          <w:sz w:val="30"/>
        </w:rPr>
        <w:t xml:space="preserve"> </w:t>
      </w:r>
      <w:r>
        <w:rPr>
          <w:sz w:val="30"/>
        </w:rPr>
        <w:t>to</w:t>
      </w:r>
      <w:r>
        <w:rPr>
          <w:spacing w:val="11"/>
          <w:sz w:val="30"/>
        </w:rPr>
        <w:t xml:space="preserve"> </w:t>
      </w:r>
      <w:r>
        <w:rPr>
          <w:spacing w:val="-2"/>
          <w:sz w:val="30"/>
        </w:rPr>
        <w:t>prefer</w:t>
      </w:r>
    </w:p>
    <w:p w14:paraId="7E001B7E" w14:textId="77777777" w:rsidR="009A58DB" w:rsidRDefault="00000000">
      <w:pPr>
        <w:pStyle w:val="BodyText"/>
        <w:spacing w:before="15" w:line="249" w:lineRule="auto"/>
        <w:ind w:left="720" w:right="358"/>
      </w:pPr>
      <w:r>
        <w:t>(3) to (1). (3) doesn’t posit anything for which there is no observational evidence.</w:t>
      </w:r>
      <w:r>
        <w:rPr>
          <w:spacing w:val="-4"/>
        </w:rPr>
        <w:t xml:space="preserve"> </w:t>
      </w:r>
      <w:r>
        <w:t>(We’ll</w:t>
      </w:r>
      <w:r>
        <w:rPr>
          <w:spacing w:val="-4"/>
        </w:rPr>
        <w:t xml:space="preserve"> </w:t>
      </w:r>
      <w:r>
        <w:t>henceforth</w:t>
      </w:r>
      <w:r>
        <w:rPr>
          <w:spacing w:val="-4"/>
        </w:rPr>
        <w:t xml:space="preserve"> </w:t>
      </w:r>
      <w:r>
        <w:t>use</w:t>
      </w:r>
      <w:r>
        <w:rPr>
          <w:spacing w:val="-4"/>
        </w:rPr>
        <w:t xml:space="preserve"> </w:t>
      </w:r>
      <w:r>
        <w:t>the</w:t>
      </w:r>
      <w:r>
        <w:rPr>
          <w:spacing w:val="-4"/>
        </w:rPr>
        <w:t xml:space="preserve"> </w:t>
      </w:r>
      <w:r>
        <w:t>word</w:t>
      </w:r>
      <w:r>
        <w:rPr>
          <w:spacing w:val="-4"/>
        </w:rPr>
        <w:t xml:space="preserve"> </w:t>
      </w:r>
      <w:r>
        <w:t>“trans-observational”</w:t>
      </w:r>
      <w:r>
        <w:rPr>
          <w:spacing w:val="-4"/>
        </w:rPr>
        <w:t xml:space="preserve"> </w:t>
      </w:r>
      <w:r>
        <w:t>to</w:t>
      </w:r>
      <w:r>
        <w:rPr>
          <w:spacing w:val="-4"/>
        </w:rPr>
        <w:t xml:space="preserve"> </w:t>
      </w:r>
      <w:r>
        <w:t xml:space="preserve">describe entities for whose existence there is no observational evidence.) But (1), at least as many philosophers interpret it, </w:t>
      </w:r>
      <w:r>
        <w:rPr>
          <w:i/>
        </w:rPr>
        <w:t xml:space="preserve">does </w:t>
      </w:r>
      <w:r>
        <w:t>posit trans-observational entities.</w:t>
      </w:r>
      <w:bookmarkStart w:id="365" w:name="_bookmark365"/>
      <w:bookmarkEnd w:id="365"/>
      <w:r>
        <w:rPr>
          <w:color w:val="0562C1"/>
          <w:position w:val="21"/>
          <w:u w:val="single" w:color="0562C1"/>
        </w:rPr>
        <w:t>[257]</w:t>
      </w:r>
      <w:r>
        <w:rPr>
          <w:color w:val="0562C1"/>
          <w:position w:val="21"/>
        </w:rPr>
        <w:t xml:space="preserve"> </w:t>
      </w:r>
      <w:r>
        <w:t>And to the extent that a sentence demands the existence of trans-observational</w:t>
      </w:r>
      <w:r>
        <w:rPr>
          <w:spacing w:val="-5"/>
        </w:rPr>
        <w:t xml:space="preserve"> </w:t>
      </w:r>
      <w:r>
        <w:t>entities,</w:t>
      </w:r>
      <w:r>
        <w:rPr>
          <w:spacing w:val="-4"/>
        </w:rPr>
        <w:t xml:space="preserve"> </w:t>
      </w:r>
      <w:r>
        <w:t>it</w:t>
      </w:r>
      <w:r>
        <w:rPr>
          <w:spacing w:val="-5"/>
        </w:rPr>
        <w:t xml:space="preserve"> </w:t>
      </w:r>
      <w:r>
        <w:t>is</w:t>
      </w:r>
      <w:r>
        <w:rPr>
          <w:spacing w:val="-5"/>
        </w:rPr>
        <w:t xml:space="preserve"> </w:t>
      </w:r>
      <w:r>
        <w:t>meaningless.</w:t>
      </w:r>
      <w:r>
        <w:rPr>
          <w:spacing w:val="-4"/>
        </w:rPr>
        <w:t xml:space="preserve"> </w:t>
      </w:r>
      <w:r>
        <w:t>Why?</w:t>
      </w:r>
      <w:r>
        <w:rPr>
          <w:spacing w:val="-5"/>
        </w:rPr>
        <w:t xml:space="preserve"> </w:t>
      </w:r>
      <w:r>
        <w:t>Because</w:t>
      </w:r>
      <w:r>
        <w:rPr>
          <w:spacing w:val="-5"/>
        </w:rPr>
        <w:t xml:space="preserve"> </w:t>
      </w:r>
      <w:r>
        <w:t>sentences</w:t>
      </w:r>
      <w:r>
        <w:rPr>
          <w:spacing w:val="-5"/>
        </w:rPr>
        <w:t xml:space="preserve"> </w:t>
      </w:r>
      <w:r>
        <w:t xml:space="preserve">are meaningful only to the extent that, if true, they make a difference; and, given the truth of empiricism, a sentence makes a difference only if it makes an </w:t>
      </w:r>
      <w:r>
        <w:rPr>
          <w:i/>
        </w:rPr>
        <w:t xml:space="preserve">observational </w:t>
      </w:r>
      <w:r>
        <w:t>difference.</w:t>
      </w:r>
    </w:p>
    <w:p w14:paraId="7E001B7F" w14:textId="77777777" w:rsidR="009A58DB" w:rsidRDefault="00000000">
      <w:pPr>
        <w:pStyle w:val="Heading1"/>
        <w:numPr>
          <w:ilvl w:val="1"/>
          <w:numId w:val="104"/>
        </w:numPr>
        <w:tabs>
          <w:tab w:val="left" w:pos="996"/>
        </w:tabs>
        <w:spacing w:before="199" w:line="244" w:lineRule="auto"/>
        <w:ind w:left="360" w:right="366" w:firstLine="0"/>
      </w:pPr>
      <w:r>
        <w:t>The</w:t>
      </w:r>
      <w:r>
        <w:rPr>
          <w:spacing w:val="-1"/>
        </w:rPr>
        <w:t xml:space="preserve"> </w:t>
      </w:r>
      <w:r>
        <w:t>viability</w:t>
      </w:r>
      <w:r>
        <w:rPr>
          <w:spacing w:val="-1"/>
        </w:rPr>
        <w:t xml:space="preserve"> </w:t>
      </w:r>
      <w:r>
        <w:t>and</w:t>
      </w:r>
      <w:r>
        <w:rPr>
          <w:spacing w:val="-1"/>
        </w:rPr>
        <w:t xml:space="preserve"> </w:t>
      </w:r>
      <w:r>
        <w:t>significance</w:t>
      </w:r>
      <w:r>
        <w:rPr>
          <w:spacing w:val="-1"/>
        </w:rPr>
        <w:t xml:space="preserve"> </w:t>
      </w:r>
      <w:r>
        <w:t>of</w:t>
      </w:r>
      <w:r>
        <w:rPr>
          <w:spacing w:val="-1"/>
        </w:rPr>
        <w:t xml:space="preserve"> </w:t>
      </w:r>
      <w:r>
        <w:t>the</w:t>
      </w:r>
      <w:r>
        <w:rPr>
          <w:spacing w:val="-1"/>
        </w:rPr>
        <w:t xml:space="preserve"> </w:t>
      </w:r>
      <w:r>
        <w:t xml:space="preserve">phenomenal </w:t>
      </w:r>
      <w:r>
        <w:rPr>
          <w:spacing w:val="-2"/>
        </w:rPr>
        <w:t>reduction</w:t>
      </w:r>
    </w:p>
    <w:p w14:paraId="7E001B80" w14:textId="77777777" w:rsidR="009A58DB" w:rsidRDefault="00000000">
      <w:pPr>
        <w:pStyle w:val="BodyText"/>
        <w:spacing w:before="132" w:line="249" w:lineRule="auto"/>
        <w:ind w:right="361"/>
      </w:pPr>
      <w:r>
        <w:t xml:space="preserve">In this context, I’ll use the word “perception” to denote any mental state that, </w:t>
      </w:r>
      <w:r>
        <w:rPr>
          <w:i/>
        </w:rPr>
        <w:t xml:space="preserve">if veridical, </w:t>
      </w:r>
      <w:r>
        <w:t>is an accurate sensory observation but that needn’t be veridical. Thus, hallucinations are perceptions, as we’ll be using that word, and so are veridical perceptions.</w:t>
      </w:r>
    </w:p>
    <w:p w14:paraId="7E001B81" w14:textId="77777777" w:rsidR="009A58DB" w:rsidRDefault="00000000">
      <w:pPr>
        <w:pStyle w:val="BodyText"/>
        <w:spacing w:before="5" w:line="249" w:lineRule="auto"/>
        <w:ind w:right="358" w:firstLine="360"/>
      </w:pPr>
      <w:r>
        <w:t>You have a perception of Smith driving a car. Let P be that perception. P</w:t>
      </w:r>
      <w:r>
        <w:rPr>
          <w:spacing w:val="40"/>
        </w:rPr>
        <w:t xml:space="preserve"> </w:t>
      </w:r>
      <w:r>
        <w:t>is</w:t>
      </w:r>
      <w:r>
        <w:rPr>
          <w:spacing w:val="-3"/>
        </w:rPr>
        <w:t xml:space="preserve"> </w:t>
      </w:r>
      <w:r>
        <w:t xml:space="preserve">obviously evidence, albeit </w:t>
      </w:r>
      <w:r>
        <w:rPr>
          <w:b/>
          <w:i/>
        </w:rPr>
        <w:t>defeasibl</w:t>
      </w:r>
      <w:bookmarkStart w:id="366" w:name="_bookmark366"/>
      <w:bookmarkEnd w:id="366"/>
      <w:r>
        <w:rPr>
          <w:b/>
          <w:i/>
        </w:rPr>
        <w:t>e</w:t>
      </w:r>
      <w:r>
        <w:rPr>
          <w:b/>
          <w:i/>
          <w:color w:val="0562C1"/>
          <w:position w:val="21"/>
          <w:u w:val="single" w:color="0562C1"/>
        </w:rPr>
        <w:t>[258]</w:t>
      </w:r>
      <w:r>
        <w:rPr>
          <w:b/>
          <w:i/>
          <w:color w:val="0562C1"/>
          <w:spacing w:val="-19"/>
          <w:position w:val="21"/>
        </w:rPr>
        <w:t xml:space="preserve"> </w:t>
      </w:r>
      <w:r>
        <w:t>evidence, that Smith is driving a car. Berkeley admits this. In other words, Berkeley admits—as he surely must—that, other things being equal, your having a perception of Smith driving a car gives some weight to the contention that Smith is driving a car.</w:t>
      </w:r>
    </w:p>
    <w:p w14:paraId="7E001B82" w14:textId="77777777" w:rsidR="009A58DB" w:rsidRDefault="00000000">
      <w:pPr>
        <w:pStyle w:val="BodyText"/>
        <w:spacing w:before="6" w:line="249" w:lineRule="auto"/>
        <w:ind w:right="361" w:firstLine="360"/>
      </w:pPr>
      <w:r>
        <w:t>But</w:t>
      </w:r>
      <w:r>
        <w:rPr>
          <w:spacing w:val="-3"/>
        </w:rPr>
        <w:t xml:space="preserve"> </w:t>
      </w:r>
      <w:r>
        <w:rPr>
          <w:i/>
        </w:rPr>
        <w:t>how</w:t>
      </w:r>
      <w:r>
        <w:rPr>
          <w:i/>
          <w:spacing w:val="-3"/>
        </w:rPr>
        <w:t xml:space="preserve"> </w:t>
      </w:r>
      <w:r>
        <w:t>is P evidence of Smith’s driving a car? It’s evidence of it because it</w:t>
      </w:r>
      <w:r>
        <w:rPr>
          <w:spacing w:val="-3"/>
        </w:rPr>
        <w:t xml:space="preserve"> </w:t>
      </w:r>
      <w:r>
        <w:rPr>
          <w:i/>
        </w:rPr>
        <w:t>says</w:t>
      </w:r>
      <w:r>
        <w:rPr>
          <w:i/>
          <w:spacing w:val="-3"/>
        </w:rPr>
        <w:t xml:space="preserve"> </w:t>
      </w:r>
      <w:r>
        <w:t>that Smith is driving a car. If your mother, who you trust, calls you up and says “Smith is driving a car (which he shouldn’t being doing, since he’s blind drunk),” you’re likely to believe that Smith is driving a car, even if you</w:t>
      </w:r>
    </w:p>
    <w:p w14:paraId="7E001B8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84" w14:textId="77777777" w:rsidR="009A58DB" w:rsidRDefault="00000000">
      <w:pPr>
        <w:pStyle w:val="BodyText"/>
        <w:spacing w:before="60" w:line="249" w:lineRule="auto"/>
        <w:ind w:right="358"/>
      </w:pPr>
      <w:r>
        <w:lastRenderedPageBreak/>
        <w:t>didn’t previously have any reason to believe it. The reason is that you regard your mother’s testimony as evidence to the effect. You also regard your visual perception of Smith driving as (extremely strong) evidence to that effect. You do this because your eyes are telling you—much as your mother might, but much more convincingly—that Smith (or, at any rate, somebody who looks a lot like him) is driving a car.</w:t>
      </w:r>
    </w:p>
    <w:p w14:paraId="7E001B85" w14:textId="77777777" w:rsidR="009A58DB" w:rsidRDefault="00000000">
      <w:pPr>
        <w:pStyle w:val="BodyText"/>
        <w:spacing w:before="12" w:line="249" w:lineRule="auto"/>
        <w:ind w:right="359" w:firstLine="360"/>
      </w:pPr>
      <w:r>
        <w:t>Part of what your eyes are telling you is that some spatially remote object (namely, Smith) bears a certain relation (namely, that of driving) with respect to some other spatially remote object (namely, the car Smith is driving). And in telling you that Smith and his car are spatially remote from you, your eyes are saying, or at least implying, that Smith isn’t a part of you or, therefore, of your mind.</w:t>
      </w:r>
    </w:p>
    <w:p w14:paraId="7E001B86" w14:textId="77777777" w:rsidR="009A58DB" w:rsidRDefault="00000000">
      <w:pPr>
        <w:pStyle w:val="BodyText"/>
        <w:spacing w:before="7" w:line="249" w:lineRule="auto"/>
        <w:ind w:right="360" w:firstLine="360"/>
      </w:pPr>
      <w:r>
        <w:t xml:space="preserve">It may be that P is wrong. It may be that you’re hallucinating and that, when you come down from your acid trip, it will turn out that Smith wasn’t driving at the time in question. But P still </w:t>
      </w:r>
      <w:r>
        <w:rPr>
          <w:i/>
        </w:rPr>
        <w:t>said</w:t>
      </w:r>
      <w:r>
        <w:rPr>
          <w:i/>
          <w:spacing w:val="-2"/>
        </w:rPr>
        <w:t xml:space="preserve"> </w:t>
      </w:r>
      <w:r>
        <w:t xml:space="preserve">that he was driving, and it still </w:t>
      </w:r>
      <w:r>
        <w:rPr>
          <w:i/>
        </w:rPr>
        <w:t>said</w:t>
      </w:r>
      <w:r>
        <w:rPr>
          <w:i/>
          <w:spacing w:val="-4"/>
        </w:rPr>
        <w:t xml:space="preserve"> </w:t>
      </w:r>
      <w:r>
        <w:t>that</w:t>
      </w:r>
      <w:r>
        <w:rPr>
          <w:spacing w:val="-3"/>
        </w:rPr>
        <w:t xml:space="preserve"> </w:t>
      </w:r>
      <w:r>
        <w:t>there</w:t>
      </w:r>
      <w:r>
        <w:rPr>
          <w:spacing w:val="-3"/>
        </w:rPr>
        <w:t xml:space="preserve"> </w:t>
      </w:r>
      <w:r>
        <w:t>exists</w:t>
      </w:r>
      <w:r>
        <w:rPr>
          <w:spacing w:val="-3"/>
        </w:rPr>
        <w:t xml:space="preserve"> </w:t>
      </w:r>
      <w:r>
        <w:t>some</w:t>
      </w:r>
      <w:r>
        <w:rPr>
          <w:spacing w:val="-3"/>
        </w:rPr>
        <w:t xml:space="preserve"> </w:t>
      </w:r>
      <w:r>
        <w:t>spatially</w:t>
      </w:r>
      <w:r>
        <w:rPr>
          <w:spacing w:val="-3"/>
        </w:rPr>
        <w:t xml:space="preserve"> </w:t>
      </w:r>
      <w:r>
        <w:t>remote</w:t>
      </w:r>
      <w:r>
        <w:rPr>
          <w:spacing w:val="-3"/>
        </w:rPr>
        <w:t xml:space="preserve"> </w:t>
      </w:r>
      <w:r>
        <w:t>object</w:t>
      </w:r>
      <w:r>
        <w:rPr>
          <w:spacing w:val="-3"/>
        </w:rPr>
        <w:t xml:space="preserve"> </w:t>
      </w:r>
      <w:r>
        <w:t>bearing</w:t>
      </w:r>
      <w:r>
        <w:rPr>
          <w:spacing w:val="-3"/>
        </w:rPr>
        <w:t xml:space="preserve"> </w:t>
      </w:r>
      <w:r>
        <w:t>a</w:t>
      </w:r>
      <w:r>
        <w:rPr>
          <w:spacing w:val="-3"/>
        </w:rPr>
        <w:t xml:space="preserve"> </w:t>
      </w:r>
      <w:r>
        <w:t>certain</w:t>
      </w:r>
      <w:r>
        <w:rPr>
          <w:spacing w:val="-3"/>
        </w:rPr>
        <w:t xml:space="preserve"> </w:t>
      </w:r>
      <w:r>
        <w:t>relation</w:t>
      </w:r>
      <w:r>
        <w:rPr>
          <w:spacing w:val="-3"/>
        </w:rPr>
        <w:t xml:space="preserve"> </w:t>
      </w:r>
      <w:r>
        <w:t>to some other such object.</w:t>
      </w:r>
    </w:p>
    <w:p w14:paraId="7E001B87" w14:textId="77777777" w:rsidR="009A58DB" w:rsidRDefault="00000000">
      <w:pPr>
        <w:pStyle w:val="BodyText"/>
        <w:spacing w:before="7" w:line="249" w:lineRule="auto"/>
        <w:ind w:right="361" w:firstLine="360"/>
        <w:rPr>
          <w:position w:val="21"/>
        </w:rPr>
      </w:pPr>
      <w:r>
        <w:rPr>
          <w:i/>
        </w:rPr>
        <w:t xml:space="preserve">Any </w:t>
      </w:r>
      <w:r>
        <w:t>given perception is to the effect that objects that aren’t a part of you bear certain relations to one another and/or individually have certain properties. So to the extent that our sense-perceptions are evidence of anything, they are evidence of trans-perceptual objects.</w:t>
      </w:r>
      <w:bookmarkStart w:id="367" w:name="_bookmark367"/>
      <w:bookmarkEnd w:id="367"/>
      <w:r>
        <w:rPr>
          <w:color w:val="0562C1"/>
          <w:position w:val="21"/>
          <w:u w:val="single" w:color="0562C1"/>
        </w:rPr>
        <w:t>[259]</w:t>
      </w:r>
    </w:p>
    <w:p w14:paraId="7E001B88" w14:textId="77777777" w:rsidR="009A58DB" w:rsidRDefault="00000000">
      <w:pPr>
        <w:pStyle w:val="BodyText"/>
        <w:spacing w:before="4" w:line="249" w:lineRule="auto"/>
        <w:ind w:right="358" w:firstLine="360"/>
      </w:pPr>
      <w:r>
        <w:t>And that is why statements about perceptions cannot possibly be equivalent with statements about perceptions.</w:t>
      </w:r>
    </w:p>
    <w:p w14:paraId="7E001B89" w14:textId="77777777" w:rsidR="009A58DB" w:rsidRDefault="00000000">
      <w:pPr>
        <w:pStyle w:val="Heading1"/>
        <w:spacing w:before="191"/>
        <w:ind w:left="360" w:firstLine="0"/>
      </w:pPr>
      <w:r>
        <w:t>8.0</w:t>
      </w:r>
      <w:r>
        <w:rPr>
          <w:spacing w:val="-2"/>
        </w:rPr>
        <w:t xml:space="preserve"> </w:t>
      </w:r>
      <w:r>
        <w:t>Two</w:t>
      </w:r>
      <w:r>
        <w:rPr>
          <w:spacing w:val="-3"/>
        </w:rPr>
        <w:t xml:space="preserve"> </w:t>
      </w:r>
      <w:r>
        <w:t>insights</w:t>
      </w:r>
      <w:r>
        <w:rPr>
          <w:spacing w:val="-2"/>
        </w:rPr>
        <w:t xml:space="preserve"> </w:t>
      </w:r>
      <w:r>
        <w:t>of</w:t>
      </w:r>
      <w:r>
        <w:rPr>
          <w:spacing w:val="-3"/>
        </w:rPr>
        <w:t xml:space="preserve"> </w:t>
      </w:r>
      <w:r>
        <w:rPr>
          <w:spacing w:val="-2"/>
        </w:rPr>
        <w:t>Berkeley’s</w:t>
      </w:r>
    </w:p>
    <w:p w14:paraId="7E001B8A" w14:textId="77777777" w:rsidR="009A58DB" w:rsidRDefault="00000000">
      <w:pPr>
        <w:pStyle w:val="BodyText"/>
        <w:spacing w:before="184" w:line="249" w:lineRule="auto"/>
        <w:ind w:right="359"/>
      </w:pPr>
      <w:r>
        <w:t>Berkeley’s argument for idealism does not go through, and neither does his attempt to reduce statements about objects to statements about perceptions. But, in the process of trying to establish idealism, Berkeley had two extremely profound and original insights, whose philosophical consequences are still being fathomed, to wit:</w:t>
      </w:r>
    </w:p>
    <w:p w14:paraId="7E001B8B" w14:textId="77777777" w:rsidR="009A58DB" w:rsidRDefault="009A58DB">
      <w:pPr>
        <w:pStyle w:val="BodyText"/>
        <w:spacing w:before="21"/>
        <w:ind w:left="0"/>
        <w:jc w:val="left"/>
      </w:pPr>
    </w:p>
    <w:p w14:paraId="7E001B8C" w14:textId="77777777" w:rsidR="009A58DB" w:rsidRDefault="00000000">
      <w:pPr>
        <w:pStyle w:val="ListParagraph"/>
        <w:numPr>
          <w:ilvl w:val="0"/>
          <w:numId w:val="103"/>
        </w:numPr>
        <w:tabs>
          <w:tab w:val="left" w:pos="856"/>
        </w:tabs>
        <w:spacing w:line="249" w:lineRule="auto"/>
        <w:ind w:right="371" w:firstLine="0"/>
        <w:rPr>
          <w:i/>
          <w:sz w:val="30"/>
        </w:rPr>
      </w:pPr>
      <w:r>
        <w:rPr>
          <w:sz w:val="30"/>
        </w:rPr>
        <w:t xml:space="preserve">many of the “statements” we make aren’t really statements at all, and are instead </w:t>
      </w:r>
      <w:r>
        <w:rPr>
          <w:i/>
          <w:sz w:val="30"/>
        </w:rPr>
        <w:t>statement-forms,</w:t>
      </w:r>
    </w:p>
    <w:p w14:paraId="7E001B8D" w14:textId="77777777" w:rsidR="009A58DB" w:rsidRDefault="009A58DB">
      <w:pPr>
        <w:pStyle w:val="BodyText"/>
        <w:spacing w:before="17"/>
        <w:ind w:left="0"/>
        <w:jc w:val="left"/>
        <w:rPr>
          <w:i/>
        </w:rPr>
      </w:pPr>
    </w:p>
    <w:p w14:paraId="7E001B8E" w14:textId="77777777" w:rsidR="009A58DB" w:rsidRDefault="00000000">
      <w:pPr>
        <w:pStyle w:val="BodyText"/>
        <w:spacing w:before="1"/>
        <w:jc w:val="left"/>
      </w:pPr>
      <w:r>
        <w:rPr>
          <w:spacing w:val="-5"/>
        </w:rPr>
        <w:t>and</w:t>
      </w:r>
    </w:p>
    <w:p w14:paraId="7E001B8F" w14:textId="77777777" w:rsidR="009A58DB" w:rsidRDefault="009A58DB">
      <w:pPr>
        <w:pStyle w:val="BodyText"/>
        <w:jc w:val="left"/>
        <w:sectPr w:rsidR="009A58DB">
          <w:pgSz w:w="12240" w:h="15840"/>
          <w:pgMar w:top="1380" w:right="1080" w:bottom="280" w:left="1080" w:header="720" w:footer="720" w:gutter="0"/>
          <w:cols w:space="720"/>
        </w:sectPr>
      </w:pPr>
    </w:p>
    <w:p w14:paraId="7E001B90" w14:textId="77777777" w:rsidR="009A58DB" w:rsidRDefault="00000000">
      <w:pPr>
        <w:pStyle w:val="ListParagraph"/>
        <w:numPr>
          <w:ilvl w:val="0"/>
          <w:numId w:val="103"/>
        </w:numPr>
        <w:tabs>
          <w:tab w:val="left" w:pos="842"/>
        </w:tabs>
        <w:spacing w:before="65" w:line="249" w:lineRule="auto"/>
        <w:ind w:right="363" w:firstLine="0"/>
        <w:rPr>
          <w:sz w:val="30"/>
        </w:rPr>
      </w:pPr>
      <w:r>
        <w:rPr>
          <w:sz w:val="30"/>
        </w:rPr>
        <w:lastRenderedPageBreak/>
        <w:t>a statement’s grammatical form may not coincide with its logical form—that,</w:t>
      </w:r>
      <w:r>
        <w:rPr>
          <w:spacing w:val="-2"/>
          <w:sz w:val="30"/>
        </w:rPr>
        <w:t xml:space="preserve"> </w:t>
      </w:r>
      <w:r>
        <w:rPr>
          <w:sz w:val="30"/>
        </w:rPr>
        <w:t>in</w:t>
      </w:r>
      <w:r>
        <w:rPr>
          <w:spacing w:val="-2"/>
          <w:sz w:val="30"/>
        </w:rPr>
        <w:t xml:space="preserve"> </w:t>
      </w:r>
      <w:r>
        <w:rPr>
          <w:sz w:val="30"/>
        </w:rPr>
        <w:t>other</w:t>
      </w:r>
      <w:r>
        <w:rPr>
          <w:spacing w:val="-2"/>
          <w:sz w:val="30"/>
        </w:rPr>
        <w:t xml:space="preserve"> </w:t>
      </w:r>
      <w:r>
        <w:rPr>
          <w:sz w:val="30"/>
        </w:rPr>
        <w:t>words,</w:t>
      </w:r>
      <w:r>
        <w:rPr>
          <w:spacing w:val="-1"/>
          <w:sz w:val="30"/>
        </w:rPr>
        <w:t xml:space="preserve"> </w:t>
      </w:r>
      <w:r>
        <w:rPr>
          <w:sz w:val="30"/>
        </w:rPr>
        <w:t>a</w:t>
      </w:r>
      <w:r>
        <w:rPr>
          <w:spacing w:val="-2"/>
          <w:sz w:val="30"/>
        </w:rPr>
        <w:t xml:space="preserve"> </w:t>
      </w:r>
      <w:r>
        <w:rPr>
          <w:sz w:val="30"/>
        </w:rPr>
        <w:t>statement</w:t>
      </w:r>
      <w:r>
        <w:rPr>
          <w:spacing w:val="-2"/>
          <w:sz w:val="30"/>
        </w:rPr>
        <w:t xml:space="preserve"> </w:t>
      </w:r>
      <w:r>
        <w:rPr>
          <w:sz w:val="30"/>
        </w:rPr>
        <w:t>must</w:t>
      </w:r>
      <w:r>
        <w:rPr>
          <w:spacing w:val="-2"/>
          <w:sz w:val="30"/>
        </w:rPr>
        <w:t xml:space="preserve"> </w:t>
      </w:r>
      <w:r>
        <w:rPr>
          <w:sz w:val="30"/>
        </w:rPr>
        <w:t>be</w:t>
      </w:r>
      <w:r>
        <w:rPr>
          <w:spacing w:val="-1"/>
          <w:sz w:val="30"/>
        </w:rPr>
        <w:t xml:space="preserve"> </w:t>
      </w:r>
      <w:r>
        <w:rPr>
          <w:sz w:val="30"/>
        </w:rPr>
        <w:t>reparsed</w:t>
      </w:r>
      <w:r>
        <w:rPr>
          <w:spacing w:val="-2"/>
          <w:sz w:val="30"/>
        </w:rPr>
        <w:t xml:space="preserve"> </w:t>
      </w:r>
      <w:r>
        <w:rPr>
          <w:sz w:val="30"/>
        </w:rPr>
        <w:t>if</w:t>
      </w:r>
      <w:r>
        <w:rPr>
          <w:spacing w:val="-2"/>
          <w:sz w:val="30"/>
        </w:rPr>
        <w:t xml:space="preserve"> </w:t>
      </w:r>
      <w:r>
        <w:rPr>
          <w:sz w:val="30"/>
        </w:rPr>
        <w:t>its</w:t>
      </w:r>
      <w:r>
        <w:rPr>
          <w:spacing w:val="-2"/>
          <w:sz w:val="30"/>
        </w:rPr>
        <w:t xml:space="preserve"> </w:t>
      </w:r>
      <w:r>
        <w:rPr>
          <w:sz w:val="30"/>
        </w:rPr>
        <w:t>meaning</w:t>
      </w:r>
      <w:r>
        <w:rPr>
          <w:spacing w:val="-1"/>
          <w:sz w:val="30"/>
        </w:rPr>
        <w:t xml:space="preserve"> </w:t>
      </w:r>
      <w:r>
        <w:rPr>
          <w:sz w:val="30"/>
        </w:rPr>
        <w:t>is</w:t>
      </w:r>
      <w:r>
        <w:rPr>
          <w:spacing w:val="-2"/>
          <w:sz w:val="30"/>
        </w:rPr>
        <w:t xml:space="preserve"> </w:t>
      </w:r>
      <w:r>
        <w:rPr>
          <w:sz w:val="30"/>
        </w:rPr>
        <w:t>to</w:t>
      </w:r>
      <w:r>
        <w:rPr>
          <w:spacing w:val="-2"/>
          <w:sz w:val="30"/>
        </w:rPr>
        <w:t xml:space="preserve"> </w:t>
      </w:r>
      <w:r>
        <w:rPr>
          <w:sz w:val="30"/>
        </w:rPr>
        <w:t>be</w:t>
      </w:r>
      <w:r>
        <w:rPr>
          <w:spacing w:val="-1"/>
          <w:sz w:val="30"/>
        </w:rPr>
        <w:t xml:space="preserve"> </w:t>
      </w:r>
      <w:r>
        <w:rPr>
          <w:sz w:val="30"/>
        </w:rPr>
        <w:t>made</w:t>
      </w:r>
    </w:p>
    <w:p w14:paraId="7E001B91" w14:textId="77777777" w:rsidR="009A58DB" w:rsidRDefault="00000000">
      <w:pPr>
        <w:pStyle w:val="BodyText"/>
        <w:spacing w:before="2" w:line="277" w:lineRule="exact"/>
        <w:ind w:left="1017"/>
        <w:jc w:val="left"/>
      </w:pPr>
      <w:bookmarkStart w:id="368" w:name="_bookmark368"/>
      <w:bookmarkEnd w:id="368"/>
      <w:r>
        <w:rPr>
          <w:color w:val="0562C1"/>
          <w:spacing w:val="-2"/>
          <w:u w:val="single" w:color="0562C1"/>
        </w:rPr>
        <w:t>[260]</w:t>
      </w:r>
    </w:p>
    <w:p w14:paraId="7E001B92" w14:textId="77777777" w:rsidR="009A58DB" w:rsidRDefault="00000000">
      <w:pPr>
        <w:pStyle w:val="BodyText"/>
        <w:spacing w:line="277" w:lineRule="exact"/>
        <w:jc w:val="left"/>
      </w:pPr>
      <w:r>
        <w:rPr>
          <w:spacing w:val="-2"/>
        </w:rPr>
        <w:t>clear.</w:t>
      </w:r>
    </w:p>
    <w:p w14:paraId="7E001B93" w14:textId="77777777" w:rsidR="009A58DB" w:rsidRDefault="009A58DB">
      <w:pPr>
        <w:pStyle w:val="BodyText"/>
        <w:spacing w:before="30"/>
        <w:ind w:left="0"/>
        <w:jc w:val="left"/>
      </w:pPr>
    </w:p>
    <w:p w14:paraId="7E001B94" w14:textId="77777777" w:rsidR="009A58DB" w:rsidRDefault="00000000">
      <w:pPr>
        <w:pStyle w:val="ListParagraph"/>
        <w:numPr>
          <w:ilvl w:val="0"/>
          <w:numId w:val="102"/>
        </w:numPr>
        <w:tabs>
          <w:tab w:val="left" w:pos="1261"/>
        </w:tabs>
        <w:spacing w:line="249" w:lineRule="auto"/>
        <w:ind w:right="358" w:firstLine="360"/>
        <w:jc w:val="both"/>
        <w:rPr>
          <w:sz w:val="30"/>
        </w:rPr>
      </w:pPr>
      <w:r>
        <w:rPr>
          <w:i/>
          <w:sz w:val="30"/>
        </w:rPr>
        <w:t xml:space="preserve">explained: </w:t>
      </w:r>
      <w:r>
        <w:rPr>
          <w:sz w:val="30"/>
        </w:rPr>
        <w:t xml:space="preserve">“The number five is odd” is a statement. It attributes a definite property to a definite object. The expression ‘x is odd’ isn’t a statement. It </w:t>
      </w:r>
      <w:r>
        <w:rPr>
          <w:i/>
          <w:sz w:val="30"/>
        </w:rPr>
        <w:t xml:space="preserve">would </w:t>
      </w:r>
      <w:r>
        <w:rPr>
          <w:sz w:val="30"/>
        </w:rPr>
        <w:t>be a statement if the variable were replaced with a constant. A given statement form may be true ‘under some interpretations of it’ and false under others. This means that replacing the variables with constants may yield truths or falsehoods.</w:t>
      </w:r>
    </w:p>
    <w:p w14:paraId="7E001B95" w14:textId="77777777" w:rsidR="009A58DB" w:rsidRDefault="00000000">
      <w:pPr>
        <w:pStyle w:val="BodyText"/>
        <w:spacing w:before="8" w:line="249" w:lineRule="auto"/>
        <w:ind w:right="367" w:firstLine="360"/>
      </w:pPr>
      <w:r>
        <w:rPr>
          <w:spacing w:val="-2"/>
        </w:rPr>
        <w:t>An</w:t>
      </w:r>
      <w:r>
        <w:rPr>
          <w:spacing w:val="-15"/>
        </w:rPr>
        <w:t xml:space="preserve"> </w:t>
      </w:r>
      <w:r>
        <w:rPr>
          <w:spacing w:val="-2"/>
        </w:rPr>
        <w:t>“interpretation”</w:t>
      </w:r>
      <w:r>
        <w:rPr>
          <w:spacing w:val="-15"/>
        </w:rPr>
        <w:t xml:space="preserve"> </w:t>
      </w:r>
      <w:r>
        <w:rPr>
          <w:spacing w:val="-2"/>
        </w:rPr>
        <w:t>of</w:t>
      </w:r>
      <w:r>
        <w:rPr>
          <w:spacing w:val="-15"/>
        </w:rPr>
        <w:t xml:space="preserve"> </w:t>
      </w:r>
      <w:r>
        <w:rPr>
          <w:spacing w:val="-2"/>
        </w:rPr>
        <w:t>a</w:t>
      </w:r>
      <w:r>
        <w:rPr>
          <w:spacing w:val="-15"/>
        </w:rPr>
        <w:t xml:space="preserve"> </w:t>
      </w:r>
      <w:r>
        <w:rPr>
          <w:spacing w:val="-2"/>
        </w:rPr>
        <w:t>statement-form</w:t>
      </w:r>
      <w:r>
        <w:rPr>
          <w:spacing w:val="-15"/>
        </w:rPr>
        <w:t xml:space="preserve"> </w:t>
      </w:r>
      <w:r>
        <w:rPr>
          <w:spacing w:val="-2"/>
        </w:rPr>
        <w:t>is</w:t>
      </w:r>
      <w:r>
        <w:rPr>
          <w:spacing w:val="-15"/>
        </w:rPr>
        <w:t xml:space="preserve"> </w:t>
      </w:r>
      <w:r>
        <w:rPr>
          <w:spacing w:val="-2"/>
        </w:rPr>
        <w:t>simply</w:t>
      </w:r>
      <w:r>
        <w:rPr>
          <w:spacing w:val="-15"/>
        </w:rPr>
        <w:t xml:space="preserve"> </w:t>
      </w:r>
      <w:r>
        <w:rPr>
          <w:spacing w:val="-2"/>
        </w:rPr>
        <w:t>an</w:t>
      </w:r>
      <w:r>
        <w:rPr>
          <w:spacing w:val="-15"/>
        </w:rPr>
        <w:t xml:space="preserve"> </w:t>
      </w:r>
      <w:r>
        <w:rPr>
          <w:spacing w:val="-2"/>
        </w:rPr>
        <w:t>assignment</w:t>
      </w:r>
      <w:r>
        <w:rPr>
          <w:spacing w:val="-15"/>
        </w:rPr>
        <w:t xml:space="preserve"> </w:t>
      </w:r>
      <w:r>
        <w:rPr>
          <w:spacing w:val="-2"/>
        </w:rPr>
        <w:t>of</w:t>
      </w:r>
      <w:r>
        <w:rPr>
          <w:spacing w:val="-15"/>
        </w:rPr>
        <w:t xml:space="preserve"> </w:t>
      </w:r>
      <w:r>
        <w:rPr>
          <w:spacing w:val="-2"/>
        </w:rPr>
        <w:t xml:space="preserve">constants </w:t>
      </w:r>
      <w:r>
        <w:t>to</w:t>
      </w:r>
      <w:r>
        <w:rPr>
          <w:spacing w:val="-18"/>
        </w:rPr>
        <w:t xml:space="preserve"> </w:t>
      </w:r>
      <w:r>
        <w:t>the</w:t>
      </w:r>
      <w:r>
        <w:rPr>
          <w:spacing w:val="-5"/>
        </w:rPr>
        <w:t xml:space="preserve"> </w:t>
      </w:r>
      <w:r>
        <w:t>variables.</w:t>
      </w:r>
      <w:r>
        <w:rPr>
          <w:spacing w:val="-10"/>
        </w:rPr>
        <w:t xml:space="preserve"> </w:t>
      </w:r>
      <w:r>
        <w:t>To</w:t>
      </w:r>
      <w:r>
        <w:rPr>
          <w:spacing w:val="-19"/>
        </w:rPr>
        <w:t xml:space="preserve"> </w:t>
      </w:r>
      <w:r>
        <w:rPr>
          <w:b/>
          <w:i/>
        </w:rPr>
        <w:t>model</w:t>
      </w:r>
      <w:r>
        <w:rPr>
          <w:b/>
          <w:i/>
          <w:spacing w:val="-19"/>
        </w:rPr>
        <w:t xml:space="preserve"> </w:t>
      </w:r>
      <w:r>
        <w:t>a</w:t>
      </w:r>
      <w:r>
        <w:rPr>
          <w:spacing w:val="-10"/>
        </w:rPr>
        <w:t xml:space="preserve"> </w:t>
      </w:r>
      <w:r>
        <w:t>statement-form</w:t>
      </w:r>
      <w:r>
        <w:rPr>
          <w:spacing w:val="-11"/>
        </w:rPr>
        <w:t xml:space="preserve"> </w:t>
      </w:r>
      <w:r>
        <w:t>is</w:t>
      </w:r>
      <w:r>
        <w:rPr>
          <w:spacing w:val="-11"/>
        </w:rPr>
        <w:t xml:space="preserve"> </w:t>
      </w:r>
      <w:r>
        <w:t>to</w:t>
      </w:r>
      <w:r>
        <w:rPr>
          <w:spacing w:val="-11"/>
        </w:rPr>
        <w:t xml:space="preserve"> </w:t>
      </w:r>
      <w:r>
        <w:t>identify</w:t>
      </w:r>
      <w:r>
        <w:rPr>
          <w:spacing w:val="-11"/>
        </w:rPr>
        <w:t xml:space="preserve"> </w:t>
      </w:r>
      <w:r>
        <w:t>an</w:t>
      </w:r>
      <w:r>
        <w:rPr>
          <w:spacing w:val="-11"/>
        </w:rPr>
        <w:t xml:space="preserve"> </w:t>
      </w:r>
      <w:r>
        <w:t>interpretation</w:t>
      </w:r>
      <w:r>
        <w:rPr>
          <w:spacing w:val="-11"/>
        </w:rPr>
        <w:t xml:space="preserve"> </w:t>
      </w:r>
      <w:r>
        <w:t>of</w:t>
      </w:r>
      <w:r>
        <w:rPr>
          <w:spacing w:val="-11"/>
        </w:rPr>
        <w:t xml:space="preserve"> </w:t>
      </w:r>
      <w:r>
        <w:t>it that</w:t>
      </w:r>
      <w:r>
        <w:rPr>
          <w:spacing w:val="-11"/>
        </w:rPr>
        <w:t xml:space="preserve"> </w:t>
      </w:r>
      <w:r>
        <w:t>yields</w:t>
      </w:r>
      <w:r>
        <w:rPr>
          <w:spacing w:val="-10"/>
        </w:rPr>
        <w:t xml:space="preserve"> </w:t>
      </w:r>
      <w:r>
        <w:t>a</w:t>
      </w:r>
      <w:r>
        <w:rPr>
          <w:spacing w:val="-10"/>
        </w:rPr>
        <w:t xml:space="preserve"> </w:t>
      </w:r>
      <w:r>
        <w:t>true</w:t>
      </w:r>
      <w:r>
        <w:rPr>
          <w:spacing w:val="-10"/>
        </w:rPr>
        <w:t xml:space="preserve"> </w:t>
      </w:r>
      <w:r>
        <w:t>statement.</w:t>
      </w:r>
      <w:r>
        <w:rPr>
          <w:spacing w:val="-10"/>
        </w:rPr>
        <w:t xml:space="preserve"> </w:t>
      </w:r>
      <w:r>
        <w:t>Here</w:t>
      </w:r>
      <w:r>
        <w:rPr>
          <w:spacing w:val="-10"/>
        </w:rPr>
        <w:t xml:space="preserve"> </w:t>
      </w:r>
      <w:r>
        <w:t>is</w:t>
      </w:r>
      <w:r>
        <w:rPr>
          <w:spacing w:val="-10"/>
        </w:rPr>
        <w:t xml:space="preserve"> </w:t>
      </w:r>
      <w:r>
        <w:t>a</w:t>
      </w:r>
      <w:r>
        <w:rPr>
          <w:spacing w:val="-10"/>
        </w:rPr>
        <w:t xml:space="preserve"> </w:t>
      </w:r>
      <w:r>
        <w:t>trivial</w:t>
      </w:r>
      <w:r>
        <w:rPr>
          <w:spacing w:val="-11"/>
        </w:rPr>
        <w:t xml:space="preserve"> </w:t>
      </w:r>
      <w:r>
        <w:t>example:</w:t>
      </w:r>
    </w:p>
    <w:p w14:paraId="7E001B96" w14:textId="77777777" w:rsidR="009A58DB" w:rsidRDefault="009A58DB">
      <w:pPr>
        <w:pStyle w:val="BodyText"/>
        <w:spacing w:before="18"/>
        <w:ind w:left="0"/>
        <w:jc w:val="left"/>
      </w:pPr>
    </w:p>
    <w:p w14:paraId="7E001B97" w14:textId="77777777" w:rsidR="009A58DB" w:rsidRDefault="00000000">
      <w:pPr>
        <w:pStyle w:val="ListParagraph"/>
        <w:numPr>
          <w:ilvl w:val="1"/>
          <w:numId w:val="103"/>
        </w:numPr>
        <w:tabs>
          <w:tab w:val="left" w:pos="750"/>
        </w:tabs>
        <w:ind w:left="750" w:hanging="390"/>
        <w:rPr>
          <w:sz w:val="30"/>
        </w:rPr>
      </w:pPr>
      <w:r>
        <w:rPr>
          <w:spacing w:val="-2"/>
          <w:sz w:val="30"/>
        </w:rPr>
        <w:t>A</w:t>
      </w:r>
      <w:r>
        <w:rPr>
          <w:spacing w:val="-27"/>
          <w:sz w:val="30"/>
        </w:rPr>
        <w:t xml:space="preserve"> </w:t>
      </w:r>
      <w:r>
        <w:rPr>
          <w:spacing w:val="-2"/>
          <w:sz w:val="30"/>
        </w:rPr>
        <w:t>bears</w:t>
      </w:r>
      <w:r>
        <w:rPr>
          <w:spacing w:val="-17"/>
          <w:sz w:val="30"/>
        </w:rPr>
        <w:t xml:space="preserve"> </w:t>
      </w:r>
      <w:r>
        <w:rPr>
          <w:spacing w:val="-2"/>
          <w:sz w:val="30"/>
        </w:rPr>
        <w:t>relationship</w:t>
      </w:r>
      <w:r>
        <w:rPr>
          <w:spacing w:val="-17"/>
          <w:sz w:val="30"/>
        </w:rPr>
        <w:t xml:space="preserve"> </w:t>
      </w:r>
      <w:r>
        <w:rPr>
          <w:spacing w:val="-2"/>
          <w:sz w:val="30"/>
        </w:rPr>
        <w:t>R</w:t>
      </w:r>
      <w:r>
        <w:rPr>
          <w:spacing w:val="-17"/>
          <w:sz w:val="30"/>
        </w:rPr>
        <w:t xml:space="preserve"> </w:t>
      </w:r>
      <w:r>
        <w:rPr>
          <w:spacing w:val="-2"/>
          <w:sz w:val="30"/>
        </w:rPr>
        <w:t>to</w:t>
      </w:r>
      <w:r>
        <w:rPr>
          <w:spacing w:val="-16"/>
          <w:sz w:val="30"/>
        </w:rPr>
        <w:t xml:space="preserve"> </w:t>
      </w:r>
      <w:r>
        <w:rPr>
          <w:spacing w:val="-5"/>
          <w:sz w:val="30"/>
        </w:rPr>
        <w:t>B.</w:t>
      </w:r>
    </w:p>
    <w:p w14:paraId="7E001B98" w14:textId="77777777" w:rsidR="009A58DB" w:rsidRDefault="00000000">
      <w:pPr>
        <w:pStyle w:val="ListParagraph"/>
        <w:numPr>
          <w:ilvl w:val="1"/>
          <w:numId w:val="103"/>
        </w:numPr>
        <w:tabs>
          <w:tab w:val="left" w:pos="766"/>
        </w:tabs>
        <w:spacing w:before="15"/>
        <w:ind w:left="766" w:hanging="406"/>
        <w:rPr>
          <w:sz w:val="30"/>
        </w:rPr>
      </w:pPr>
      <w:r>
        <w:rPr>
          <w:sz w:val="30"/>
        </w:rPr>
        <w:t>If</w:t>
      </w:r>
      <w:r>
        <w:rPr>
          <w:spacing w:val="-17"/>
          <w:sz w:val="30"/>
        </w:rPr>
        <w:t xml:space="preserve"> </w:t>
      </w:r>
      <w:r>
        <w:rPr>
          <w:sz w:val="30"/>
        </w:rPr>
        <w:t>x</w:t>
      </w:r>
      <w:r>
        <w:rPr>
          <w:spacing w:val="-16"/>
          <w:sz w:val="30"/>
        </w:rPr>
        <w:t xml:space="preserve"> </w:t>
      </w:r>
      <w:r>
        <w:rPr>
          <w:sz w:val="30"/>
        </w:rPr>
        <w:t>bears</w:t>
      </w:r>
      <w:r>
        <w:rPr>
          <w:spacing w:val="-16"/>
          <w:sz w:val="30"/>
        </w:rPr>
        <w:t xml:space="preserve"> </w:t>
      </w:r>
      <w:r>
        <w:rPr>
          <w:sz w:val="30"/>
        </w:rPr>
        <w:t>R</w:t>
      </w:r>
      <w:r>
        <w:rPr>
          <w:spacing w:val="-16"/>
          <w:sz w:val="30"/>
        </w:rPr>
        <w:t xml:space="preserve"> </w:t>
      </w:r>
      <w:r>
        <w:rPr>
          <w:sz w:val="30"/>
        </w:rPr>
        <w:t>to</w:t>
      </w:r>
      <w:r>
        <w:rPr>
          <w:spacing w:val="-16"/>
          <w:sz w:val="30"/>
        </w:rPr>
        <w:t xml:space="preserve"> </w:t>
      </w:r>
      <w:r>
        <w:rPr>
          <w:sz w:val="30"/>
        </w:rPr>
        <w:t>y,</w:t>
      </w:r>
      <w:r>
        <w:rPr>
          <w:spacing w:val="-16"/>
          <w:sz w:val="30"/>
        </w:rPr>
        <w:t xml:space="preserve"> </w:t>
      </w:r>
      <w:r>
        <w:rPr>
          <w:sz w:val="30"/>
        </w:rPr>
        <w:t>y</w:t>
      </w:r>
      <w:r>
        <w:rPr>
          <w:spacing w:val="-15"/>
          <w:sz w:val="30"/>
        </w:rPr>
        <w:t xml:space="preserve"> </w:t>
      </w:r>
      <w:r>
        <w:rPr>
          <w:sz w:val="30"/>
        </w:rPr>
        <w:t>bears</w:t>
      </w:r>
      <w:r>
        <w:rPr>
          <w:spacing w:val="-16"/>
          <w:sz w:val="30"/>
        </w:rPr>
        <w:t xml:space="preserve"> </w:t>
      </w:r>
      <w:r>
        <w:rPr>
          <w:sz w:val="30"/>
        </w:rPr>
        <w:t>R</w:t>
      </w:r>
      <w:r>
        <w:rPr>
          <w:spacing w:val="-17"/>
          <w:sz w:val="30"/>
        </w:rPr>
        <w:t xml:space="preserve"> </w:t>
      </w:r>
      <w:r>
        <w:rPr>
          <w:sz w:val="30"/>
        </w:rPr>
        <w:t>to</w:t>
      </w:r>
      <w:r>
        <w:rPr>
          <w:spacing w:val="-15"/>
          <w:sz w:val="30"/>
        </w:rPr>
        <w:t xml:space="preserve"> </w:t>
      </w:r>
      <w:r>
        <w:rPr>
          <w:spacing w:val="-5"/>
          <w:sz w:val="30"/>
        </w:rPr>
        <w:t>x.</w:t>
      </w:r>
    </w:p>
    <w:p w14:paraId="7E001B99" w14:textId="77777777" w:rsidR="009A58DB" w:rsidRDefault="00000000">
      <w:pPr>
        <w:pStyle w:val="ListParagraph"/>
        <w:numPr>
          <w:ilvl w:val="1"/>
          <w:numId w:val="103"/>
        </w:numPr>
        <w:tabs>
          <w:tab w:val="left" w:pos="802"/>
        </w:tabs>
        <w:spacing w:before="15" w:line="249" w:lineRule="auto"/>
        <w:ind w:left="360" w:right="358" w:firstLine="0"/>
        <w:rPr>
          <w:sz w:val="30"/>
        </w:rPr>
      </w:pPr>
      <w:r>
        <w:rPr>
          <w:sz w:val="30"/>
        </w:rPr>
        <w:t>Nothing bears R to itself. In other words, ‹x bears R to x› is false, for all objects x.</w:t>
      </w:r>
    </w:p>
    <w:p w14:paraId="7E001B9A" w14:textId="77777777" w:rsidR="009A58DB" w:rsidRDefault="009A58DB">
      <w:pPr>
        <w:pStyle w:val="BodyText"/>
        <w:spacing w:before="18"/>
        <w:ind w:left="0"/>
        <w:jc w:val="left"/>
      </w:pPr>
    </w:p>
    <w:p w14:paraId="7E001B9B" w14:textId="77777777" w:rsidR="009A58DB" w:rsidRDefault="00000000">
      <w:pPr>
        <w:pStyle w:val="BodyText"/>
        <w:spacing w:line="249" w:lineRule="auto"/>
        <w:ind w:right="360" w:firstLine="360"/>
      </w:pPr>
      <w:r>
        <w:t>Let</w:t>
      </w:r>
      <w:r>
        <w:rPr>
          <w:spacing w:val="-4"/>
        </w:rPr>
        <w:t xml:space="preserve"> </w:t>
      </w:r>
      <w:r>
        <w:t>R</w:t>
      </w:r>
      <w:r>
        <w:rPr>
          <w:spacing w:val="-4"/>
        </w:rPr>
        <w:t xml:space="preserve"> </w:t>
      </w:r>
      <w:r>
        <w:t>be</w:t>
      </w:r>
      <w:r>
        <w:rPr>
          <w:spacing w:val="-4"/>
        </w:rPr>
        <w:t xml:space="preserve"> </w:t>
      </w:r>
      <w:r>
        <w:t>the</w:t>
      </w:r>
      <w:r>
        <w:rPr>
          <w:spacing w:val="-4"/>
        </w:rPr>
        <w:t xml:space="preserve"> </w:t>
      </w:r>
      <w:r>
        <w:t>relationship</w:t>
      </w:r>
      <w:r>
        <w:rPr>
          <w:spacing w:val="-4"/>
        </w:rPr>
        <w:t xml:space="preserve"> </w:t>
      </w:r>
      <w:r>
        <w:t>that</w:t>
      </w:r>
      <w:r>
        <w:rPr>
          <w:spacing w:val="-4"/>
        </w:rPr>
        <w:t xml:space="preserve"> </w:t>
      </w:r>
      <w:r>
        <w:t>one</w:t>
      </w:r>
      <w:r>
        <w:rPr>
          <w:spacing w:val="-4"/>
        </w:rPr>
        <w:t xml:space="preserve"> </w:t>
      </w:r>
      <w:r>
        <w:t>bears</w:t>
      </w:r>
      <w:r>
        <w:rPr>
          <w:spacing w:val="-4"/>
        </w:rPr>
        <w:t xml:space="preserve"> </w:t>
      </w:r>
      <w:r>
        <w:t>to</w:t>
      </w:r>
      <w:r>
        <w:rPr>
          <w:spacing w:val="-4"/>
        </w:rPr>
        <w:t xml:space="preserve"> </w:t>
      </w:r>
      <w:r>
        <w:t>somebody</w:t>
      </w:r>
      <w:r>
        <w:rPr>
          <w:spacing w:val="-4"/>
        </w:rPr>
        <w:t xml:space="preserve"> </w:t>
      </w:r>
      <w:r>
        <w:t>else</w:t>
      </w:r>
      <w:r>
        <w:rPr>
          <w:spacing w:val="-4"/>
        </w:rPr>
        <w:t xml:space="preserve"> </w:t>
      </w:r>
      <w:r>
        <w:t>in</w:t>
      </w:r>
      <w:r>
        <w:rPr>
          <w:spacing w:val="-4"/>
        </w:rPr>
        <w:t xml:space="preserve"> </w:t>
      </w:r>
      <w:r>
        <w:t>virtue</w:t>
      </w:r>
      <w:r>
        <w:rPr>
          <w:spacing w:val="-4"/>
        </w:rPr>
        <w:t xml:space="preserve"> </w:t>
      </w:r>
      <w:r>
        <w:t>of</w:t>
      </w:r>
      <w:r>
        <w:rPr>
          <w:spacing w:val="-4"/>
        </w:rPr>
        <w:t xml:space="preserve"> </w:t>
      </w:r>
      <w:r>
        <w:t>being that</w:t>
      </w:r>
      <w:r>
        <w:rPr>
          <w:spacing w:val="-19"/>
        </w:rPr>
        <w:t xml:space="preserve"> </w:t>
      </w:r>
      <w:r>
        <w:t>person’s</w:t>
      </w:r>
      <w:r>
        <w:rPr>
          <w:spacing w:val="-19"/>
        </w:rPr>
        <w:t xml:space="preserve"> </w:t>
      </w:r>
      <w:r>
        <w:t>next-door</w:t>
      </w:r>
      <w:r>
        <w:rPr>
          <w:spacing w:val="-19"/>
        </w:rPr>
        <w:t xml:space="preserve"> </w:t>
      </w:r>
      <w:r>
        <w:t>neighbor.</w:t>
      </w:r>
      <w:r>
        <w:rPr>
          <w:spacing w:val="-18"/>
        </w:rPr>
        <w:t xml:space="preserve"> </w:t>
      </w:r>
      <w:r>
        <w:t>Since</w:t>
      </w:r>
      <w:r>
        <w:rPr>
          <w:spacing w:val="-19"/>
        </w:rPr>
        <w:t xml:space="preserve"> </w:t>
      </w:r>
      <w:r>
        <w:t>(setting</w:t>
      </w:r>
      <w:r>
        <w:rPr>
          <w:spacing w:val="-19"/>
        </w:rPr>
        <w:t xml:space="preserve"> </w:t>
      </w:r>
      <w:r>
        <w:t>aside</w:t>
      </w:r>
      <w:r>
        <w:rPr>
          <w:spacing w:val="-19"/>
        </w:rPr>
        <w:t xml:space="preserve"> </w:t>
      </w:r>
      <w:r>
        <w:t>the</w:t>
      </w:r>
      <w:r>
        <w:rPr>
          <w:spacing w:val="-18"/>
        </w:rPr>
        <w:t xml:space="preserve"> </w:t>
      </w:r>
      <w:r>
        <w:t>odd</w:t>
      </w:r>
      <w:r>
        <w:rPr>
          <w:spacing w:val="-19"/>
        </w:rPr>
        <w:t xml:space="preserve"> </w:t>
      </w:r>
      <w:r>
        <w:t>person</w:t>
      </w:r>
      <w:r>
        <w:rPr>
          <w:spacing w:val="-19"/>
        </w:rPr>
        <w:t xml:space="preserve"> </w:t>
      </w:r>
      <w:r>
        <w:t>who</w:t>
      </w:r>
      <w:r>
        <w:rPr>
          <w:spacing w:val="-19"/>
        </w:rPr>
        <w:t xml:space="preserve"> </w:t>
      </w:r>
      <w:r>
        <w:t>owns adjacent</w:t>
      </w:r>
      <w:r>
        <w:rPr>
          <w:spacing w:val="-4"/>
        </w:rPr>
        <w:t xml:space="preserve"> </w:t>
      </w:r>
      <w:r>
        <w:t>houses)</w:t>
      </w:r>
      <w:r>
        <w:rPr>
          <w:spacing w:val="-4"/>
        </w:rPr>
        <w:t xml:space="preserve"> </w:t>
      </w:r>
      <w:r>
        <w:t>nobody</w:t>
      </w:r>
      <w:r>
        <w:rPr>
          <w:spacing w:val="-3"/>
        </w:rPr>
        <w:t xml:space="preserve"> </w:t>
      </w:r>
      <w:r>
        <w:t>is</w:t>
      </w:r>
      <w:r>
        <w:rPr>
          <w:spacing w:val="-3"/>
        </w:rPr>
        <w:t xml:space="preserve"> </w:t>
      </w:r>
      <w:r>
        <w:t>one’s</w:t>
      </w:r>
      <w:r>
        <w:rPr>
          <w:spacing w:val="-3"/>
        </w:rPr>
        <w:t xml:space="preserve"> </w:t>
      </w:r>
      <w:r>
        <w:t>own</w:t>
      </w:r>
      <w:r>
        <w:rPr>
          <w:spacing w:val="-3"/>
        </w:rPr>
        <w:t xml:space="preserve"> </w:t>
      </w:r>
      <w:r>
        <w:t>next-door</w:t>
      </w:r>
      <w:r>
        <w:rPr>
          <w:spacing w:val="-4"/>
        </w:rPr>
        <w:t xml:space="preserve"> </w:t>
      </w:r>
      <w:r>
        <w:t>neighbor,</w:t>
      </w:r>
      <w:r>
        <w:rPr>
          <w:spacing w:val="-3"/>
        </w:rPr>
        <w:t xml:space="preserve"> </w:t>
      </w:r>
      <w:r>
        <w:t>(3)</w:t>
      </w:r>
      <w:r>
        <w:rPr>
          <w:spacing w:val="-4"/>
        </w:rPr>
        <w:t xml:space="preserve"> </w:t>
      </w:r>
      <w:r>
        <w:t>comes</w:t>
      </w:r>
      <w:r>
        <w:rPr>
          <w:spacing w:val="-3"/>
        </w:rPr>
        <w:t xml:space="preserve"> </w:t>
      </w:r>
      <w:r>
        <w:t>out</w:t>
      </w:r>
      <w:r>
        <w:rPr>
          <w:spacing w:val="-4"/>
        </w:rPr>
        <w:t xml:space="preserve"> </w:t>
      </w:r>
      <w:r>
        <w:t>true. So does (2), since x must be y’s next-door neighbor if y is x’s next-door neighbor.</w:t>
      </w:r>
      <w:r>
        <w:rPr>
          <w:spacing w:val="-6"/>
        </w:rPr>
        <w:t xml:space="preserve"> </w:t>
      </w:r>
      <w:r>
        <w:t>Thus,</w:t>
      </w:r>
      <w:r>
        <w:rPr>
          <w:spacing w:val="-2"/>
        </w:rPr>
        <w:t xml:space="preserve"> </w:t>
      </w:r>
      <w:r>
        <w:t>supposing</w:t>
      </w:r>
      <w:r>
        <w:rPr>
          <w:spacing w:val="-2"/>
        </w:rPr>
        <w:t xml:space="preserve"> </w:t>
      </w:r>
      <w:r>
        <w:t>for</w:t>
      </w:r>
      <w:r>
        <w:rPr>
          <w:spacing w:val="-2"/>
        </w:rPr>
        <w:t xml:space="preserve"> </w:t>
      </w:r>
      <w:r>
        <w:t>argument’s</w:t>
      </w:r>
      <w:r>
        <w:rPr>
          <w:spacing w:val="-2"/>
        </w:rPr>
        <w:t xml:space="preserve"> </w:t>
      </w:r>
      <w:r>
        <w:t>sake</w:t>
      </w:r>
      <w:r>
        <w:rPr>
          <w:spacing w:val="-2"/>
        </w:rPr>
        <w:t xml:space="preserve"> </w:t>
      </w:r>
      <w:r>
        <w:t>that</w:t>
      </w:r>
      <w:r>
        <w:rPr>
          <w:spacing w:val="-2"/>
        </w:rPr>
        <w:t xml:space="preserve"> </w:t>
      </w:r>
      <w:r>
        <w:t>Smith</w:t>
      </w:r>
      <w:r>
        <w:rPr>
          <w:spacing w:val="-2"/>
        </w:rPr>
        <w:t xml:space="preserve"> </w:t>
      </w:r>
      <w:r>
        <w:t>and</w:t>
      </w:r>
      <w:r>
        <w:rPr>
          <w:spacing w:val="-2"/>
        </w:rPr>
        <w:t xml:space="preserve"> </w:t>
      </w:r>
      <w:r>
        <w:t>Jones</w:t>
      </w:r>
      <w:r>
        <w:rPr>
          <w:spacing w:val="-2"/>
        </w:rPr>
        <w:t xml:space="preserve"> </w:t>
      </w:r>
      <w:r>
        <w:t>are</w:t>
      </w:r>
      <w:r>
        <w:rPr>
          <w:spacing w:val="-2"/>
        </w:rPr>
        <w:t xml:space="preserve"> </w:t>
      </w:r>
      <w:r>
        <w:t>next-door neighbors, (1) comes out true if “A” refers to Smith and “B” refers to Jones.</w:t>
      </w:r>
      <w:r>
        <w:rPr>
          <w:spacing w:val="-10"/>
        </w:rPr>
        <w:t xml:space="preserve"> </w:t>
      </w:r>
      <w:r>
        <w:t>We</w:t>
      </w:r>
      <w:r>
        <w:rPr>
          <w:spacing w:val="-4"/>
        </w:rPr>
        <w:t xml:space="preserve"> </w:t>
      </w:r>
      <w:r>
        <w:t>have</w:t>
      </w:r>
      <w:r>
        <w:rPr>
          <w:spacing w:val="-4"/>
        </w:rPr>
        <w:t xml:space="preserve"> </w:t>
      </w:r>
      <w:r>
        <w:t>thus</w:t>
      </w:r>
      <w:r>
        <w:rPr>
          <w:spacing w:val="-4"/>
        </w:rPr>
        <w:t xml:space="preserve"> </w:t>
      </w:r>
      <w:r>
        <w:t>modeled</w:t>
      </w:r>
      <w:r>
        <w:rPr>
          <w:spacing w:val="-4"/>
        </w:rPr>
        <w:t xml:space="preserve"> </w:t>
      </w:r>
      <w:r>
        <w:t>(1)–(3).</w:t>
      </w:r>
    </w:p>
    <w:p w14:paraId="7E001B9C" w14:textId="77777777" w:rsidR="009A58DB" w:rsidRDefault="00000000">
      <w:pPr>
        <w:pStyle w:val="BodyText"/>
        <w:spacing w:before="8" w:line="249" w:lineRule="auto"/>
        <w:ind w:right="359" w:firstLine="360"/>
      </w:pPr>
      <w:r>
        <w:rPr>
          <w:spacing w:val="-2"/>
        </w:rPr>
        <w:t>In</w:t>
      </w:r>
      <w:r>
        <w:rPr>
          <w:spacing w:val="-12"/>
        </w:rPr>
        <w:t xml:space="preserve"> </w:t>
      </w:r>
      <w:r>
        <w:rPr>
          <w:spacing w:val="-2"/>
        </w:rPr>
        <w:t>conjecturing</w:t>
      </w:r>
      <w:r>
        <w:rPr>
          <w:spacing w:val="-12"/>
        </w:rPr>
        <w:t xml:space="preserve"> </w:t>
      </w:r>
      <w:r>
        <w:rPr>
          <w:spacing w:val="-2"/>
        </w:rPr>
        <w:t>that</w:t>
      </w:r>
      <w:r>
        <w:rPr>
          <w:spacing w:val="-12"/>
        </w:rPr>
        <w:t xml:space="preserve"> </w:t>
      </w:r>
      <w:r>
        <w:rPr>
          <w:spacing w:val="-2"/>
        </w:rPr>
        <w:t>(so-called)</w:t>
      </w:r>
      <w:r>
        <w:rPr>
          <w:spacing w:val="-12"/>
        </w:rPr>
        <w:t xml:space="preserve"> </w:t>
      </w:r>
      <w:r>
        <w:rPr>
          <w:spacing w:val="-2"/>
        </w:rPr>
        <w:t>statements</w:t>
      </w:r>
      <w:r>
        <w:rPr>
          <w:spacing w:val="-12"/>
        </w:rPr>
        <w:t xml:space="preserve"> </w:t>
      </w:r>
      <w:r>
        <w:rPr>
          <w:spacing w:val="-2"/>
        </w:rPr>
        <w:t>such</w:t>
      </w:r>
      <w:r>
        <w:rPr>
          <w:spacing w:val="-12"/>
        </w:rPr>
        <w:t xml:space="preserve"> </w:t>
      </w:r>
      <w:r>
        <w:rPr>
          <w:spacing w:val="-2"/>
        </w:rPr>
        <w:t>as</w:t>
      </w:r>
      <w:r>
        <w:rPr>
          <w:spacing w:val="-12"/>
        </w:rPr>
        <w:t xml:space="preserve"> </w:t>
      </w:r>
      <w:r>
        <w:rPr>
          <w:spacing w:val="-2"/>
        </w:rPr>
        <w:t>‘that</w:t>
      </w:r>
      <w:r>
        <w:rPr>
          <w:spacing w:val="-12"/>
        </w:rPr>
        <w:t xml:space="preserve"> </w:t>
      </w:r>
      <w:r>
        <w:rPr>
          <w:spacing w:val="-2"/>
        </w:rPr>
        <w:t>rock</w:t>
      </w:r>
      <w:r>
        <w:rPr>
          <w:spacing w:val="-12"/>
        </w:rPr>
        <w:t xml:space="preserve"> </w:t>
      </w:r>
      <w:r>
        <w:rPr>
          <w:spacing w:val="-2"/>
        </w:rPr>
        <w:t>weighs</w:t>
      </w:r>
      <w:r>
        <w:rPr>
          <w:spacing w:val="-12"/>
        </w:rPr>
        <w:t xml:space="preserve"> </w:t>
      </w:r>
      <w:r>
        <w:rPr>
          <w:spacing w:val="-2"/>
        </w:rPr>
        <w:t>five</w:t>
      </w:r>
      <w:r>
        <w:rPr>
          <w:spacing w:val="-12"/>
        </w:rPr>
        <w:t xml:space="preserve"> </w:t>
      </w:r>
      <w:r>
        <w:rPr>
          <w:spacing w:val="-2"/>
        </w:rPr>
        <w:t xml:space="preserve">lbs’ </w:t>
      </w:r>
      <w:r>
        <w:t xml:space="preserve">can be reinterpreted as statements about perceptions, Berkeley was in effect saying that such statements aren’t statements at all—they’re statement forms. Though he didn’t himself put it this way, he was saying (i) that the terms in them (e.g., ‘rock,’ ‘weighs five lbs’) are really variables, and (ii) that true </w:t>
      </w:r>
      <w:r>
        <w:rPr>
          <w:spacing w:val="-2"/>
        </w:rPr>
        <w:t>statements</w:t>
      </w:r>
      <w:r>
        <w:rPr>
          <w:spacing w:val="-17"/>
        </w:rPr>
        <w:t xml:space="preserve"> </w:t>
      </w:r>
      <w:r>
        <w:rPr>
          <w:spacing w:val="-2"/>
        </w:rPr>
        <w:t>would</w:t>
      </w:r>
      <w:r>
        <w:rPr>
          <w:spacing w:val="-17"/>
        </w:rPr>
        <w:t xml:space="preserve"> </w:t>
      </w:r>
      <w:r>
        <w:rPr>
          <w:spacing w:val="-2"/>
        </w:rPr>
        <w:t>result</w:t>
      </w:r>
      <w:r>
        <w:rPr>
          <w:spacing w:val="-17"/>
        </w:rPr>
        <w:t xml:space="preserve"> </w:t>
      </w:r>
      <w:r>
        <w:rPr>
          <w:spacing w:val="-2"/>
        </w:rPr>
        <w:t>if</w:t>
      </w:r>
      <w:r>
        <w:rPr>
          <w:spacing w:val="-16"/>
        </w:rPr>
        <w:t xml:space="preserve"> </w:t>
      </w:r>
      <w:r>
        <w:rPr>
          <w:spacing w:val="-2"/>
        </w:rPr>
        <w:t>those</w:t>
      </w:r>
      <w:r>
        <w:rPr>
          <w:spacing w:val="-17"/>
        </w:rPr>
        <w:t xml:space="preserve"> </w:t>
      </w:r>
      <w:r>
        <w:rPr>
          <w:spacing w:val="-2"/>
        </w:rPr>
        <w:t>variables</w:t>
      </w:r>
      <w:r>
        <w:rPr>
          <w:spacing w:val="-17"/>
        </w:rPr>
        <w:t xml:space="preserve"> </w:t>
      </w:r>
      <w:r>
        <w:rPr>
          <w:spacing w:val="-2"/>
        </w:rPr>
        <w:t>were</w:t>
      </w:r>
      <w:r>
        <w:rPr>
          <w:spacing w:val="-17"/>
        </w:rPr>
        <w:t xml:space="preserve"> </w:t>
      </w:r>
      <w:r>
        <w:rPr>
          <w:spacing w:val="-2"/>
        </w:rPr>
        <w:t>replaced</w:t>
      </w:r>
      <w:r>
        <w:rPr>
          <w:spacing w:val="-16"/>
        </w:rPr>
        <w:t xml:space="preserve"> </w:t>
      </w:r>
      <w:r>
        <w:rPr>
          <w:spacing w:val="-2"/>
        </w:rPr>
        <w:t>with</w:t>
      </w:r>
      <w:r>
        <w:rPr>
          <w:spacing w:val="-17"/>
        </w:rPr>
        <w:t xml:space="preserve"> </w:t>
      </w:r>
      <w:r>
        <w:rPr>
          <w:spacing w:val="-2"/>
        </w:rPr>
        <w:t>constants</w:t>
      </w:r>
      <w:r>
        <w:rPr>
          <w:spacing w:val="-17"/>
        </w:rPr>
        <w:t xml:space="preserve"> </w:t>
      </w:r>
      <w:r>
        <w:rPr>
          <w:spacing w:val="-2"/>
        </w:rPr>
        <w:t xml:space="preserve">referring </w:t>
      </w:r>
      <w:r>
        <w:t>to perceptions.</w:t>
      </w:r>
    </w:p>
    <w:p w14:paraId="7E001B9D" w14:textId="77777777" w:rsidR="009A58DB" w:rsidRDefault="00000000">
      <w:pPr>
        <w:pStyle w:val="BodyText"/>
        <w:spacing w:before="9"/>
        <w:ind w:left="720"/>
      </w:pPr>
      <w:r>
        <w:t>He</w:t>
      </w:r>
      <w:r>
        <w:rPr>
          <w:spacing w:val="-10"/>
        </w:rPr>
        <w:t xml:space="preserve"> </w:t>
      </w:r>
      <w:r>
        <w:t>was</w:t>
      </w:r>
      <w:r>
        <w:rPr>
          <w:spacing w:val="-10"/>
        </w:rPr>
        <w:t xml:space="preserve"> </w:t>
      </w:r>
      <w:r>
        <w:t>wrong</w:t>
      </w:r>
      <w:r>
        <w:rPr>
          <w:spacing w:val="-10"/>
        </w:rPr>
        <w:t xml:space="preserve"> </w:t>
      </w:r>
      <w:r>
        <w:t>about</w:t>
      </w:r>
      <w:r>
        <w:rPr>
          <w:spacing w:val="-10"/>
        </w:rPr>
        <w:t xml:space="preserve"> </w:t>
      </w:r>
      <w:r>
        <w:t>(ii),</w:t>
      </w:r>
      <w:r>
        <w:rPr>
          <w:spacing w:val="-10"/>
        </w:rPr>
        <w:t xml:space="preserve"> </w:t>
      </w:r>
      <w:r>
        <w:t>as</w:t>
      </w:r>
      <w:r>
        <w:rPr>
          <w:spacing w:val="-9"/>
        </w:rPr>
        <w:t xml:space="preserve"> </w:t>
      </w:r>
      <w:r>
        <w:t>we</w:t>
      </w:r>
      <w:r>
        <w:rPr>
          <w:spacing w:val="-10"/>
        </w:rPr>
        <w:t xml:space="preserve"> </w:t>
      </w:r>
      <w:r>
        <w:t>saw</w:t>
      </w:r>
      <w:r>
        <w:rPr>
          <w:spacing w:val="-10"/>
        </w:rPr>
        <w:t xml:space="preserve"> </w:t>
      </w:r>
      <w:r>
        <w:t>a</w:t>
      </w:r>
      <w:r>
        <w:rPr>
          <w:spacing w:val="-10"/>
        </w:rPr>
        <w:t xml:space="preserve"> </w:t>
      </w:r>
      <w:r>
        <w:t>few</w:t>
      </w:r>
      <w:r>
        <w:rPr>
          <w:spacing w:val="-10"/>
        </w:rPr>
        <w:t xml:space="preserve"> </w:t>
      </w:r>
      <w:r>
        <w:t>pages</w:t>
      </w:r>
      <w:r>
        <w:rPr>
          <w:spacing w:val="-9"/>
        </w:rPr>
        <w:t xml:space="preserve"> </w:t>
      </w:r>
      <w:r>
        <w:t>ago.</w:t>
      </w:r>
      <w:r>
        <w:rPr>
          <w:spacing w:val="-10"/>
        </w:rPr>
        <w:t xml:space="preserve"> </w:t>
      </w:r>
      <w:r>
        <w:t>But</w:t>
      </w:r>
      <w:r>
        <w:rPr>
          <w:spacing w:val="-10"/>
        </w:rPr>
        <w:t xml:space="preserve"> </w:t>
      </w:r>
      <w:r>
        <w:t>he</w:t>
      </w:r>
      <w:r>
        <w:rPr>
          <w:spacing w:val="-18"/>
        </w:rPr>
        <w:t xml:space="preserve"> </w:t>
      </w:r>
      <w:r>
        <w:rPr>
          <w:i/>
        </w:rPr>
        <w:t>was</w:t>
      </w:r>
      <w:r>
        <w:rPr>
          <w:i/>
          <w:spacing w:val="-18"/>
        </w:rPr>
        <w:t xml:space="preserve"> </w:t>
      </w:r>
      <w:r>
        <w:t>right</w:t>
      </w:r>
      <w:r>
        <w:rPr>
          <w:spacing w:val="-5"/>
        </w:rPr>
        <w:t xml:space="preserve"> </w:t>
      </w:r>
      <w:r>
        <w:rPr>
          <w:spacing w:val="-2"/>
        </w:rPr>
        <w:t>about</w:t>
      </w:r>
    </w:p>
    <w:p w14:paraId="7E001B9E" w14:textId="77777777" w:rsidR="009A58DB" w:rsidRDefault="009A58DB">
      <w:pPr>
        <w:pStyle w:val="BodyText"/>
        <w:sectPr w:rsidR="009A58DB">
          <w:pgSz w:w="12240" w:h="15840"/>
          <w:pgMar w:top="1740" w:right="1080" w:bottom="280" w:left="1080" w:header="720" w:footer="720" w:gutter="0"/>
          <w:cols w:space="720"/>
        </w:sectPr>
      </w:pPr>
    </w:p>
    <w:p w14:paraId="7E001B9F" w14:textId="77777777" w:rsidR="009A58DB" w:rsidRDefault="00000000">
      <w:pPr>
        <w:pStyle w:val="BodyText"/>
        <w:spacing w:before="65" w:line="249" w:lineRule="auto"/>
        <w:ind w:right="367"/>
      </w:pPr>
      <w:r>
        <w:lastRenderedPageBreak/>
        <w:t>(i). There is no one microstructure that Rover must have if my current perception of him is to be accurate. There is, as we will now see, no one way anything</w:t>
      </w:r>
      <w:r>
        <w:rPr>
          <w:spacing w:val="-10"/>
        </w:rPr>
        <w:t xml:space="preserve"> </w:t>
      </w:r>
      <w:r>
        <w:t>must</w:t>
      </w:r>
      <w:r>
        <w:rPr>
          <w:spacing w:val="-10"/>
        </w:rPr>
        <w:t xml:space="preserve"> </w:t>
      </w:r>
      <w:r>
        <w:t>be</w:t>
      </w:r>
      <w:r>
        <w:rPr>
          <w:spacing w:val="-10"/>
        </w:rPr>
        <w:t xml:space="preserve"> </w:t>
      </w:r>
      <w:r>
        <w:t>if</w:t>
      </w:r>
      <w:r>
        <w:rPr>
          <w:spacing w:val="-10"/>
        </w:rPr>
        <w:t xml:space="preserve"> </w:t>
      </w:r>
      <w:r>
        <w:rPr>
          <w:i/>
        </w:rPr>
        <w:t>any</w:t>
      </w:r>
      <w:r>
        <w:rPr>
          <w:i/>
          <w:spacing w:val="-10"/>
        </w:rPr>
        <w:t xml:space="preserve"> </w:t>
      </w:r>
      <w:r>
        <w:t>given</w:t>
      </w:r>
      <w:r>
        <w:rPr>
          <w:spacing w:val="-10"/>
        </w:rPr>
        <w:t xml:space="preserve"> </w:t>
      </w:r>
      <w:r>
        <w:t>perception</w:t>
      </w:r>
      <w:r>
        <w:rPr>
          <w:spacing w:val="-10"/>
        </w:rPr>
        <w:t xml:space="preserve"> </w:t>
      </w:r>
      <w:r>
        <w:t>is</w:t>
      </w:r>
      <w:r>
        <w:rPr>
          <w:spacing w:val="-10"/>
        </w:rPr>
        <w:t xml:space="preserve"> </w:t>
      </w:r>
      <w:r>
        <w:t>to</w:t>
      </w:r>
      <w:r>
        <w:rPr>
          <w:spacing w:val="-10"/>
        </w:rPr>
        <w:t xml:space="preserve"> </w:t>
      </w:r>
      <w:r>
        <w:t>be</w:t>
      </w:r>
      <w:r>
        <w:rPr>
          <w:spacing w:val="-10"/>
        </w:rPr>
        <w:t xml:space="preserve"> </w:t>
      </w:r>
      <w:r>
        <w:t>correct.</w:t>
      </w:r>
    </w:p>
    <w:p w14:paraId="7E001BA0" w14:textId="77777777" w:rsidR="009A58DB" w:rsidRDefault="00000000">
      <w:pPr>
        <w:pStyle w:val="BodyText"/>
        <w:spacing w:before="3" w:line="249" w:lineRule="auto"/>
        <w:ind w:right="358" w:firstLine="360"/>
      </w:pPr>
      <w:r>
        <w:rPr>
          <w:spacing w:val="-2"/>
        </w:rPr>
        <w:t>We’ve</w:t>
      </w:r>
      <w:r>
        <w:rPr>
          <w:spacing w:val="-17"/>
        </w:rPr>
        <w:t xml:space="preserve"> </w:t>
      </w:r>
      <w:r>
        <w:rPr>
          <w:spacing w:val="-2"/>
        </w:rPr>
        <w:t>seen</w:t>
      </w:r>
      <w:r>
        <w:rPr>
          <w:spacing w:val="-17"/>
        </w:rPr>
        <w:t xml:space="preserve"> </w:t>
      </w:r>
      <w:r>
        <w:rPr>
          <w:spacing w:val="-2"/>
        </w:rPr>
        <w:t>that</w:t>
      </w:r>
      <w:r>
        <w:rPr>
          <w:spacing w:val="-17"/>
        </w:rPr>
        <w:t xml:space="preserve"> </w:t>
      </w:r>
      <w:r>
        <w:rPr>
          <w:spacing w:val="-2"/>
        </w:rPr>
        <w:t>our</w:t>
      </w:r>
      <w:r>
        <w:rPr>
          <w:spacing w:val="-16"/>
        </w:rPr>
        <w:t xml:space="preserve"> </w:t>
      </w:r>
      <w:r>
        <w:rPr>
          <w:spacing w:val="-2"/>
        </w:rPr>
        <w:t>knowledge</w:t>
      </w:r>
      <w:r>
        <w:rPr>
          <w:spacing w:val="-17"/>
        </w:rPr>
        <w:t xml:space="preserve"> </w:t>
      </w:r>
      <w:r>
        <w:rPr>
          <w:spacing w:val="-2"/>
        </w:rPr>
        <w:t>of</w:t>
      </w:r>
      <w:r>
        <w:rPr>
          <w:spacing w:val="-17"/>
        </w:rPr>
        <w:t xml:space="preserve"> </w:t>
      </w:r>
      <w:r>
        <w:rPr>
          <w:spacing w:val="-2"/>
        </w:rPr>
        <w:t>the</w:t>
      </w:r>
      <w:r>
        <w:rPr>
          <w:spacing w:val="-17"/>
        </w:rPr>
        <w:t xml:space="preserve"> </w:t>
      </w:r>
      <w:r>
        <w:rPr>
          <w:spacing w:val="-2"/>
        </w:rPr>
        <w:t>world</w:t>
      </w:r>
      <w:r>
        <w:rPr>
          <w:spacing w:val="-16"/>
        </w:rPr>
        <w:t xml:space="preserve"> </w:t>
      </w:r>
      <w:r>
        <w:rPr>
          <w:spacing w:val="-2"/>
        </w:rPr>
        <w:t>is</w:t>
      </w:r>
      <w:r>
        <w:rPr>
          <w:spacing w:val="-17"/>
        </w:rPr>
        <w:t xml:space="preserve"> </w:t>
      </w:r>
      <w:r>
        <w:rPr>
          <w:spacing w:val="-2"/>
        </w:rPr>
        <w:t>strictly</w:t>
      </w:r>
      <w:r>
        <w:rPr>
          <w:spacing w:val="-17"/>
        </w:rPr>
        <w:t xml:space="preserve"> </w:t>
      </w:r>
      <w:r>
        <w:rPr>
          <w:spacing w:val="-2"/>
        </w:rPr>
        <w:t>comparative.</w:t>
      </w:r>
      <w:bookmarkStart w:id="369" w:name="_bookmark369"/>
      <w:bookmarkEnd w:id="369"/>
      <w:r>
        <w:rPr>
          <w:color w:val="0562C1"/>
          <w:spacing w:val="-2"/>
          <w:position w:val="21"/>
          <w:u w:val="single" w:color="0562C1"/>
        </w:rPr>
        <w:t>[261]</w:t>
      </w:r>
      <w:r>
        <w:rPr>
          <w:color w:val="0562C1"/>
          <w:spacing w:val="-17"/>
          <w:position w:val="21"/>
        </w:rPr>
        <w:t xml:space="preserve"> </w:t>
      </w:r>
      <w:r>
        <w:rPr>
          <w:spacing w:val="-2"/>
        </w:rPr>
        <w:t xml:space="preserve">We </w:t>
      </w:r>
      <w:r>
        <w:t>know how fast a given thing is traveling</w:t>
      </w:r>
      <w:r>
        <w:rPr>
          <w:spacing w:val="-19"/>
        </w:rPr>
        <w:t xml:space="preserve"> </w:t>
      </w:r>
      <w:r>
        <w:rPr>
          <w:i/>
        </w:rPr>
        <w:t>only</w:t>
      </w:r>
      <w:r>
        <w:rPr>
          <w:i/>
          <w:spacing w:val="-18"/>
        </w:rPr>
        <w:t xml:space="preserve"> </w:t>
      </w:r>
      <w:r>
        <w:t>to the extent that we know how much fast</w:t>
      </w:r>
      <w:r>
        <w:rPr>
          <w:i/>
        </w:rPr>
        <w:t>e r</w:t>
      </w:r>
      <w:r>
        <w:rPr>
          <w:i/>
          <w:spacing w:val="-15"/>
        </w:rPr>
        <w:t xml:space="preserve"> </w:t>
      </w:r>
      <w:r>
        <w:t>it is traveling than some other thing. We know how heavy/hot/big/etc., a thing is</w:t>
      </w:r>
      <w:r>
        <w:rPr>
          <w:spacing w:val="-17"/>
        </w:rPr>
        <w:t xml:space="preserve"> </w:t>
      </w:r>
      <w:r>
        <w:rPr>
          <w:i/>
          <w:spacing w:val="15"/>
        </w:rPr>
        <w:t>only</w:t>
      </w:r>
      <w:r>
        <w:rPr>
          <w:i/>
          <w:spacing w:val="-16"/>
        </w:rPr>
        <w:t xml:space="preserve"> </w:t>
      </w:r>
      <w:r>
        <w:t>to the extent that we know how much heavier/hotter/bigger/etc., that thing is than some other thing. Spatiotemporal knowledge is comparative knowledge.</w:t>
      </w:r>
    </w:p>
    <w:p w14:paraId="7E001BA1" w14:textId="77777777" w:rsidR="009A58DB" w:rsidRDefault="00000000">
      <w:pPr>
        <w:pStyle w:val="BodyText"/>
        <w:spacing w:before="8" w:line="249" w:lineRule="auto"/>
        <w:ind w:right="358" w:firstLine="360"/>
        <w:rPr>
          <w:i/>
        </w:rPr>
      </w:pPr>
      <w:r>
        <w:t>That</w:t>
      </w:r>
      <w:r>
        <w:rPr>
          <w:spacing w:val="-3"/>
        </w:rPr>
        <w:t xml:space="preserve"> </w:t>
      </w:r>
      <w:r>
        <w:t>means that</w:t>
      </w:r>
      <w:r>
        <w:rPr>
          <w:spacing w:val="-19"/>
        </w:rPr>
        <w:t xml:space="preserve"> </w:t>
      </w:r>
      <w:r>
        <w:rPr>
          <w:i/>
        </w:rPr>
        <w:t>any</w:t>
      </w:r>
      <w:r>
        <w:t>thing—no</w:t>
      </w:r>
      <w:r>
        <w:rPr>
          <w:spacing w:val="-5"/>
        </w:rPr>
        <w:t xml:space="preserve"> </w:t>
      </w:r>
      <w:r>
        <w:t>matter</w:t>
      </w:r>
      <w:r>
        <w:rPr>
          <w:spacing w:val="-6"/>
        </w:rPr>
        <w:t xml:space="preserve"> </w:t>
      </w:r>
      <w:r>
        <w:t>what</w:t>
      </w:r>
      <w:r>
        <w:rPr>
          <w:spacing w:val="-6"/>
        </w:rPr>
        <w:t xml:space="preserve"> </w:t>
      </w:r>
      <w:r>
        <w:t>it’s</w:t>
      </w:r>
      <w:r>
        <w:rPr>
          <w:spacing w:val="-6"/>
        </w:rPr>
        <w:t xml:space="preserve"> </w:t>
      </w:r>
      <w:r>
        <w:t>parts</w:t>
      </w:r>
      <w:r>
        <w:rPr>
          <w:spacing w:val="-6"/>
        </w:rPr>
        <w:t xml:space="preserve"> </w:t>
      </w:r>
      <w:r>
        <w:t>are</w:t>
      </w:r>
      <w:r>
        <w:rPr>
          <w:spacing w:val="-6"/>
        </w:rPr>
        <w:t xml:space="preserve"> </w:t>
      </w:r>
      <w:r>
        <w:t>‘made</w:t>
      </w:r>
      <w:r>
        <w:rPr>
          <w:spacing w:val="-6"/>
        </w:rPr>
        <w:t xml:space="preserve"> </w:t>
      </w:r>
      <w:r>
        <w:t xml:space="preserve">of’—whose </w:t>
      </w:r>
      <w:r>
        <w:rPr>
          <w:spacing w:val="-2"/>
        </w:rPr>
        <w:t>parts</w:t>
      </w:r>
      <w:r>
        <w:rPr>
          <w:spacing w:val="-10"/>
        </w:rPr>
        <w:t xml:space="preserve"> </w:t>
      </w:r>
      <w:r>
        <w:rPr>
          <w:spacing w:val="-2"/>
        </w:rPr>
        <w:t>are</w:t>
      </w:r>
      <w:r>
        <w:rPr>
          <w:spacing w:val="-10"/>
        </w:rPr>
        <w:t xml:space="preserve"> </w:t>
      </w:r>
      <w:r>
        <w:rPr>
          <w:spacing w:val="-2"/>
        </w:rPr>
        <w:t>appropriately</w:t>
      </w:r>
      <w:r>
        <w:rPr>
          <w:spacing w:val="-10"/>
        </w:rPr>
        <w:t xml:space="preserve"> </w:t>
      </w:r>
      <w:r>
        <w:rPr>
          <w:spacing w:val="-2"/>
        </w:rPr>
        <w:t>interrelated</w:t>
      </w:r>
      <w:r>
        <w:rPr>
          <w:spacing w:val="-10"/>
        </w:rPr>
        <w:t xml:space="preserve"> </w:t>
      </w:r>
      <w:r>
        <w:rPr>
          <w:spacing w:val="-2"/>
        </w:rPr>
        <w:t>is</w:t>
      </w:r>
      <w:r>
        <w:rPr>
          <w:spacing w:val="-10"/>
        </w:rPr>
        <w:t xml:space="preserve"> </w:t>
      </w:r>
      <w:r>
        <w:rPr>
          <w:spacing w:val="-2"/>
        </w:rPr>
        <w:t>no</w:t>
      </w:r>
      <w:r>
        <w:rPr>
          <w:spacing w:val="-10"/>
        </w:rPr>
        <w:t xml:space="preserve"> </w:t>
      </w:r>
      <w:r>
        <w:rPr>
          <w:spacing w:val="-2"/>
        </w:rPr>
        <w:t>more,</w:t>
      </w:r>
      <w:r>
        <w:rPr>
          <w:spacing w:val="-10"/>
        </w:rPr>
        <w:t xml:space="preserve"> </w:t>
      </w:r>
      <w:r>
        <w:rPr>
          <w:spacing w:val="-2"/>
        </w:rPr>
        <w:t>and</w:t>
      </w:r>
      <w:r>
        <w:rPr>
          <w:spacing w:val="-10"/>
        </w:rPr>
        <w:t xml:space="preserve"> </w:t>
      </w:r>
      <w:r>
        <w:rPr>
          <w:spacing w:val="-2"/>
        </w:rPr>
        <w:t>no</w:t>
      </w:r>
      <w:r>
        <w:rPr>
          <w:spacing w:val="-10"/>
        </w:rPr>
        <w:t xml:space="preserve"> </w:t>
      </w:r>
      <w:r>
        <w:rPr>
          <w:spacing w:val="-2"/>
        </w:rPr>
        <w:t>less,</w:t>
      </w:r>
      <w:r>
        <w:rPr>
          <w:spacing w:val="-10"/>
        </w:rPr>
        <w:t xml:space="preserve"> </w:t>
      </w:r>
      <w:r>
        <w:rPr>
          <w:spacing w:val="-2"/>
        </w:rPr>
        <w:t>consistent</w:t>
      </w:r>
      <w:r>
        <w:rPr>
          <w:spacing w:val="-10"/>
        </w:rPr>
        <w:t xml:space="preserve"> </w:t>
      </w:r>
      <w:r>
        <w:rPr>
          <w:spacing w:val="-2"/>
        </w:rPr>
        <w:t>with</w:t>
      </w:r>
      <w:r>
        <w:rPr>
          <w:spacing w:val="-10"/>
        </w:rPr>
        <w:t xml:space="preserve"> </w:t>
      </w:r>
      <w:r>
        <w:rPr>
          <w:spacing w:val="-2"/>
        </w:rPr>
        <w:t xml:space="preserve">what </w:t>
      </w:r>
      <w:r>
        <w:t>our sense-perceptions tell us than is any other thing whose parts are thus interrelated.</w:t>
      </w:r>
      <w:r>
        <w:rPr>
          <w:spacing w:val="-19"/>
        </w:rPr>
        <w:t xml:space="preserve"> </w:t>
      </w:r>
      <w:r>
        <w:t>This</w:t>
      </w:r>
      <w:r>
        <w:rPr>
          <w:spacing w:val="-19"/>
        </w:rPr>
        <w:t xml:space="preserve"> </w:t>
      </w:r>
      <w:r>
        <w:t>means</w:t>
      </w:r>
      <w:r>
        <w:rPr>
          <w:spacing w:val="-19"/>
        </w:rPr>
        <w:t xml:space="preserve"> </w:t>
      </w:r>
      <w:r>
        <w:t>that</w:t>
      </w:r>
      <w:r>
        <w:rPr>
          <w:spacing w:val="-18"/>
        </w:rPr>
        <w:t xml:space="preserve"> </w:t>
      </w:r>
      <w:r>
        <w:t>perception</w:t>
      </w:r>
      <w:r>
        <w:rPr>
          <w:spacing w:val="-19"/>
        </w:rPr>
        <w:t xml:space="preserve"> </w:t>
      </w:r>
      <w:r>
        <w:t>apprises</w:t>
      </w:r>
      <w:r>
        <w:rPr>
          <w:spacing w:val="-19"/>
        </w:rPr>
        <w:t xml:space="preserve"> </w:t>
      </w:r>
      <w:r>
        <w:t>us</w:t>
      </w:r>
      <w:r>
        <w:rPr>
          <w:spacing w:val="-19"/>
        </w:rPr>
        <w:t xml:space="preserve"> </w:t>
      </w:r>
      <w:r>
        <w:t>only</w:t>
      </w:r>
      <w:r>
        <w:rPr>
          <w:spacing w:val="-18"/>
        </w:rPr>
        <w:t xml:space="preserve"> </w:t>
      </w:r>
      <w:r>
        <w:t>of</w:t>
      </w:r>
      <w:r>
        <w:rPr>
          <w:spacing w:val="-19"/>
        </w:rPr>
        <w:t xml:space="preserve"> </w:t>
      </w:r>
      <w:r>
        <w:rPr>
          <w:i/>
        </w:rPr>
        <w:t>structure.</w:t>
      </w:r>
    </w:p>
    <w:p w14:paraId="7E001BA2" w14:textId="77777777" w:rsidR="009A58DB" w:rsidRDefault="00000000">
      <w:pPr>
        <w:pStyle w:val="BodyText"/>
        <w:spacing w:before="5" w:line="249" w:lineRule="auto"/>
        <w:ind w:right="358" w:firstLine="360"/>
      </w:pPr>
      <w:r>
        <w:t xml:space="preserve">Our perceptions (if correct) tell us the structure of the world, and our </w:t>
      </w:r>
      <w:r>
        <w:rPr>
          <w:spacing w:val="-2"/>
        </w:rPr>
        <w:t>physical</w:t>
      </w:r>
      <w:r>
        <w:rPr>
          <w:spacing w:val="-10"/>
        </w:rPr>
        <w:t xml:space="preserve"> </w:t>
      </w:r>
      <w:r>
        <w:rPr>
          <w:spacing w:val="-2"/>
        </w:rPr>
        <w:t>theories</w:t>
      </w:r>
      <w:r>
        <w:rPr>
          <w:spacing w:val="-10"/>
        </w:rPr>
        <w:t xml:space="preserve"> </w:t>
      </w:r>
      <w:r>
        <w:rPr>
          <w:spacing w:val="-2"/>
        </w:rPr>
        <w:t>(if</w:t>
      </w:r>
      <w:r>
        <w:rPr>
          <w:spacing w:val="-10"/>
        </w:rPr>
        <w:t xml:space="preserve"> </w:t>
      </w:r>
      <w:r>
        <w:rPr>
          <w:spacing w:val="-2"/>
        </w:rPr>
        <w:t>correct)</w:t>
      </w:r>
      <w:r>
        <w:rPr>
          <w:spacing w:val="-10"/>
        </w:rPr>
        <w:t xml:space="preserve"> </w:t>
      </w:r>
      <w:r>
        <w:rPr>
          <w:spacing w:val="-2"/>
        </w:rPr>
        <w:t>apprise</w:t>
      </w:r>
      <w:r>
        <w:rPr>
          <w:spacing w:val="-10"/>
        </w:rPr>
        <w:t xml:space="preserve"> </w:t>
      </w:r>
      <w:r>
        <w:rPr>
          <w:spacing w:val="-2"/>
        </w:rPr>
        <w:t>us</w:t>
      </w:r>
      <w:r>
        <w:rPr>
          <w:spacing w:val="-10"/>
        </w:rPr>
        <w:t xml:space="preserve"> </w:t>
      </w:r>
      <w:r>
        <w:rPr>
          <w:spacing w:val="-2"/>
        </w:rPr>
        <w:t>of</w:t>
      </w:r>
      <w:r>
        <w:rPr>
          <w:spacing w:val="-10"/>
        </w:rPr>
        <w:t xml:space="preserve"> </w:t>
      </w:r>
      <w:r>
        <w:rPr>
          <w:spacing w:val="-2"/>
        </w:rPr>
        <w:t>micro</w:t>
      </w:r>
      <w:r>
        <w:rPr>
          <w:i/>
          <w:spacing w:val="-2"/>
        </w:rPr>
        <w:t>structure.</w:t>
      </w:r>
      <w:r>
        <w:rPr>
          <w:i/>
          <w:spacing w:val="-17"/>
        </w:rPr>
        <w:t xml:space="preserve"> </w:t>
      </w:r>
      <w:r>
        <w:rPr>
          <w:spacing w:val="-2"/>
        </w:rPr>
        <w:t>Given</w:t>
      </w:r>
      <w:r>
        <w:rPr>
          <w:spacing w:val="-17"/>
        </w:rPr>
        <w:t xml:space="preserve"> </w:t>
      </w:r>
      <w:r>
        <w:rPr>
          <w:i/>
          <w:spacing w:val="-2"/>
        </w:rPr>
        <w:t>any</w:t>
      </w:r>
      <w:r>
        <w:rPr>
          <w:i/>
          <w:spacing w:val="-16"/>
        </w:rPr>
        <w:t xml:space="preserve"> </w:t>
      </w:r>
      <w:r>
        <w:rPr>
          <w:spacing w:val="-2"/>
        </w:rPr>
        <w:t>two</w:t>
      </w:r>
      <w:r>
        <w:rPr>
          <w:spacing w:val="-4"/>
        </w:rPr>
        <w:t xml:space="preserve"> </w:t>
      </w:r>
      <w:r>
        <w:rPr>
          <w:spacing w:val="-2"/>
        </w:rPr>
        <w:t xml:space="preserve">things </w:t>
      </w:r>
      <w:r>
        <w:t>having</w:t>
      </w:r>
      <w:r>
        <w:rPr>
          <w:spacing w:val="-11"/>
        </w:rPr>
        <w:t xml:space="preserve"> </w:t>
      </w:r>
      <w:r>
        <w:t>the</w:t>
      </w:r>
      <w:r>
        <w:rPr>
          <w:spacing w:val="-11"/>
        </w:rPr>
        <w:t xml:space="preserve"> </w:t>
      </w:r>
      <w:r>
        <w:t>requisite</w:t>
      </w:r>
      <w:r>
        <w:rPr>
          <w:spacing w:val="-11"/>
        </w:rPr>
        <w:t xml:space="preserve"> </w:t>
      </w:r>
      <w:r>
        <w:t>structure,</w:t>
      </w:r>
      <w:r>
        <w:rPr>
          <w:spacing w:val="-11"/>
        </w:rPr>
        <w:t xml:space="preserve"> </w:t>
      </w:r>
      <w:r>
        <w:t>there</w:t>
      </w:r>
      <w:r>
        <w:rPr>
          <w:spacing w:val="-11"/>
        </w:rPr>
        <w:t xml:space="preserve"> </w:t>
      </w:r>
      <w:r>
        <w:t>cannot</w:t>
      </w:r>
      <w:r>
        <w:rPr>
          <w:spacing w:val="-11"/>
        </w:rPr>
        <w:t xml:space="preserve"> </w:t>
      </w:r>
      <w:r>
        <w:t>possibly</w:t>
      </w:r>
      <w:r>
        <w:rPr>
          <w:spacing w:val="-11"/>
        </w:rPr>
        <w:t xml:space="preserve"> </w:t>
      </w:r>
      <w:r>
        <w:t>be</w:t>
      </w:r>
      <w:r>
        <w:rPr>
          <w:spacing w:val="-11"/>
        </w:rPr>
        <w:t xml:space="preserve"> </w:t>
      </w:r>
      <w:r>
        <w:t>any</w:t>
      </w:r>
      <w:r>
        <w:rPr>
          <w:spacing w:val="-11"/>
        </w:rPr>
        <w:t xml:space="preserve"> </w:t>
      </w:r>
      <w:r>
        <w:t>observational</w:t>
      </w:r>
      <w:r>
        <w:rPr>
          <w:spacing w:val="-11"/>
        </w:rPr>
        <w:t xml:space="preserve"> </w:t>
      </w:r>
      <w:r>
        <w:t>basis for</w:t>
      </w:r>
      <w:r>
        <w:rPr>
          <w:spacing w:val="-13"/>
        </w:rPr>
        <w:t xml:space="preserve"> </w:t>
      </w:r>
      <w:r>
        <w:t>holding</w:t>
      </w:r>
      <w:r>
        <w:rPr>
          <w:spacing w:val="-12"/>
        </w:rPr>
        <w:t xml:space="preserve"> </w:t>
      </w:r>
      <w:r>
        <w:t>that</w:t>
      </w:r>
      <w:r>
        <w:rPr>
          <w:spacing w:val="-13"/>
        </w:rPr>
        <w:t xml:space="preserve"> </w:t>
      </w:r>
      <w:r>
        <w:t>it,</w:t>
      </w:r>
      <w:r>
        <w:rPr>
          <w:spacing w:val="-12"/>
        </w:rPr>
        <w:t xml:space="preserve"> </w:t>
      </w:r>
      <w:r>
        <w:t>and</w:t>
      </w:r>
      <w:r>
        <w:rPr>
          <w:spacing w:val="-12"/>
        </w:rPr>
        <w:t xml:space="preserve"> </w:t>
      </w:r>
      <w:r>
        <w:t>not</w:t>
      </w:r>
      <w:r>
        <w:rPr>
          <w:spacing w:val="-13"/>
        </w:rPr>
        <w:t xml:space="preserve"> </w:t>
      </w:r>
      <w:r>
        <w:t>the</w:t>
      </w:r>
      <w:r>
        <w:rPr>
          <w:spacing w:val="-12"/>
        </w:rPr>
        <w:t xml:space="preserve"> </w:t>
      </w:r>
      <w:r>
        <w:t>other</w:t>
      </w:r>
      <w:r>
        <w:rPr>
          <w:spacing w:val="-13"/>
        </w:rPr>
        <w:t xml:space="preserve"> </w:t>
      </w:r>
      <w:r>
        <w:t>thing,</w:t>
      </w:r>
      <w:r>
        <w:rPr>
          <w:spacing w:val="-12"/>
        </w:rPr>
        <w:t xml:space="preserve"> </w:t>
      </w:r>
      <w:r>
        <w:t>is</w:t>
      </w:r>
      <w:r>
        <w:rPr>
          <w:spacing w:val="-12"/>
        </w:rPr>
        <w:t xml:space="preserve"> </w:t>
      </w:r>
      <w:r>
        <w:t>what</w:t>
      </w:r>
      <w:r>
        <w:rPr>
          <w:spacing w:val="-13"/>
        </w:rPr>
        <w:t xml:space="preserve"> </w:t>
      </w:r>
      <w:r>
        <w:t>is</w:t>
      </w:r>
      <w:r>
        <w:rPr>
          <w:spacing w:val="-12"/>
        </w:rPr>
        <w:t xml:space="preserve"> </w:t>
      </w:r>
      <w:r>
        <w:t>really</w:t>
      </w:r>
      <w:r>
        <w:rPr>
          <w:spacing w:val="-12"/>
        </w:rPr>
        <w:t xml:space="preserve"> </w:t>
      </w:r>
      <w:r>
        <w:t>out</w:t>
      </w:r>
      <w:r>
        <w:rPr>
          <w:spacing w:val="-13"/>
        </w:rPr>
        <w:t xml:space="preserve"> </w:t>
      </w:r>
      <w:r>
        <w:t>there.</w:t>
      </w:r>
    </w:p>
    <w:p w14:paraId="7E001BA3" w14:textId="77777777" w:rsidR="009A58DB" w:rsidRDefault="00000000">
      <w:pPr>
        <w:pStyle w:val="BodyText"/>
        <w:spacing w:before="5" w:line="249" w:lineRule="auto"/>
        <w:ind w:right="362" w:firstLine="360"/>
      </w:pPr>
      <w:r>
        <w:t>This means that, if x and y both have the requisite structure but are qualitatively different in some non-structural respect, the supposition that x is what</w:t>
      </w:r>
      <w:r>
        <w:rPr>
          <w:spacing w:val="-12"/>
        </w:rPr>
        <w:t xml:space="preserve"> </w:t>
      </w:r>
      <w:r>
        <w:t>is</w:t>
      </w:r>
      <w:r>
        <w:rPr>
          <w:spacing w:val="-12"/>
        </w:rPr>
        <w:t xml:space="preserve"> </w:t>
      </w:r>
      <w:r>
        <w:t>really</w:t>
      </w:r>
      <w:r>
        <w:rPr>
          <w:spacing w:val="-12"/>
        </w:rPr>
        <w:t xml:space="preserve"> </w:t>
      </w:r>
      <w:r>
        <w:t>out</w:t>
      </w:r>
      <w:r>
        <w:rPr>
          <w:spacing w:val="-12"/>
        </w:rPr>
        <w:t xml:space="preserve"> </w:t>
      </w:r>
      <w:r>
        <w:t>there</w:t>
      </w:r>
      <w:r>
        <w:rPr>
          <w:spacing w:val="-12"/>
        </w:rPr>
        <w:t xml:space="preserve"> </w:t>
      </w:r>
      <w:r>
        <w:t>models</w:t>
      </w:r>
      <w:r>
        <w:rPr>
          <w:spacing w:val="-12"/>
        </w:rPr>
        <w:t xml:space="preserve"> </w:t>
      </w:r>
      <w:r>
        <w:t>the</w:t>
      </w:r>
      <w:r>
        <w:rPr>
          <w:spacing w:val="-12"/>
        </w:rPr>
        <w:t xml:space="preserve"> </w:t>
      </w:r>
      <w:r>
        <w:t>data</w:t>
      </w:r>
      <w:r>
        <w:rPr>
          <w:spacing w:val="-12"/>
        </w:rPr>
        <w:t xml:space="preserve"> </w:t>
      </w:r>
      <w:r>
        <w:t>exactly</w:t>
      </w:r>
      <w:r>
        <w:rPr>
          <w:spacing w:val="-12"/>
        </w:rPr>
        <w:t xml:space="preserve"> </w:t>
      </w:r>
      <w:r>
        <w:t>as</w:t>
      </w:r>
      <w:r>
        <w:rPr>
          <w:spacing w:val="-12"/>
        </w:rPr>
        <w:t xml:space="preserve"> </w:t>
      </w:r>
      <w:r>
        <w:t>well—no</w:t>
      </w:r>
      <w:r>
        <w:rPr>
          <w:spacing w:val="-12"/>
        </w:rPr>
        <w:t xml:space="preserve"> </w:t>
      </w:r>
      <w:r>
        <w:t>better,</w:t>
      </w:r>
      <w:r>
        <w:rPr>
          <w:spacing w:val="-12"/>
        </w:rPr>
        <w:t xml:space="preserve"> </w:t>
      </w:r>
      <w:r>
        <w:t>no</w:t>
      </w:r>
      <w:r>
        <w:rPr>
          <w:spacing w:val="-12"/>
        </w:rPr>
        <w:t xml:space="preserve"> </w:t>
      </w:r>
      <w:r>
        <w:t>worse—than</w:t>
      </w:r>
      <w:r>
        <w:rPr>
          <w:spacing w:val="-9"/>
        </w:rPr>
        <w:t xml:space="preserve"> </w:t>
      </w:r>
      <w:r>
        <w:t>the</w:t>
      </w:r>
      <w:r>
        <w:rPr>
          <w:spacing w:val="-9"/>
        </w:rPr>
        <w:t xml:space="preserve"> </w:t>
      </w:r>
      <w:r>
        <w:t>supposition</w:t>
      </w:r>
      <w:r>
        <w:rPr>
          <w:spacing w:val="-9"/>
        </w:rPr>
        <w:t xml:space="preserve"> </w:t>
      </w:r>
      <w:r>
        <w:t>that</w:t>
      </w:r>
      <w:r>
        <w:rPr>
          <w:spacing w:val="-10"/>
        </w:rPr>
        <w:t xml:space="preserve"> </w:t>
      </w:r>
      <w:r>
        <w:t>y</w:t>
      </w:r>
      <w:r>
        <w:rPr>
          <w:spacing w:val="-9"/>
        </w:rPr>
        <w:t xml:space="preserve"> </w:t>
      </w:r>
      <w:r>
        <w:t>is</w:t>
      </w:r>
      <w:r>
        <w:rPr>
          <w:spacing w:val="-9"/>
        </w:rPr>
        <w:t xml:space="preserve"> </w:t>
      </w:r>
      <w:r>
        <w:t>what</w:t>
      </w:r>
      <w:r>
        <w:rPr>
          <w:spacing w:val="-10"/>
        </w:rPr>
        <w:t xml:space="preserve"> </w:t>
      </w:r>
      <w:r>
        <w:t>is</w:t>
      </w:r>
      <w:r>
        <w:rPr>
          <w:spacing w:val="-9"/>
        </w:rPr>
        <w:t xml:space="preserve"> </w:t>
      </w:r>
      <w:r>
        <w:t>really</w:t>
      </w:r>
      <w:r>
        <w:rPr>
          <w:spacing w:val="-9"/>
        </w:rPr>
        <w:t xml:space="preserve"> </w:t>
      </w:r>
      <w:r>
        <w:t>out</w:t>
      </w:r>
      <w:r>
        <w:rPr>
          <w:spacing w:val="-10"/>
        </w:rPr>
        <w:t xml:space="preserve"> </w:t>
      </w:r>
      <w:r>
        <w:t>there.</w:t>
      </w:r>
    </w:p>
    <w:p w14:paraId="7E001BA4" w14:textId="77777777" w:rsidR="009A58DB" w:rsidRDefault="00000000">
      <w:pPr>
        <w:pStyle w:val="BodyText"/>
        <w:spacing w:before="4" w:line="249" w:lineRule="auto"/>
        <w:ind w:right="359" w:firstLine="360"/>
      </w:pPr>
      <w:r>
        <w:t>This doesn’t mean that there is no fact as to what is out there. There obviously</w:t>
      </w:r>
      <w:r>
        <w:rPr>
          <w:spacing w:val="-14"/>
        </w:rPr>
        <w:t xml:space="preserve"> </w:t>
      </w:r>
      <w:r>
        <w:t>is.</w:t>
      </w:r>
      <w:r>
        <w:rPr>
          <w:spacing w:val="-14"/>
        </w:rPr>
        <w:t xml:space="preserve"> </w:t>
      </w:r>
      <w:r>
        <w:t>Given</w:t>
      </w:r>
      <w:r>
        <w:rPr>
          <w:spacing w:val="-14"/>
        </w:rPr>
        <w:t xml:space="preserve"> </w:t>
      </w:r>
      <w:r>
        <w:t>any</w:t>
      </w:r>
      <w:r>
        <w:rPr>
          <w:spacing w:val="-14"/>
        </w:rPr>
        <w:t xml:space="preserve"> </w:t>
      </w:r>
      <w:r>
        <w:t>set</w:t>
      </w:r>
      <w:r>
        <w:rPr>
          <w:spacing w:val="-14"/>
        </w:rPr>
        <w:t xml:space="preserve"> </w:t>
      </w:r>
      <w:r>
        <w:t>of</w:t>
      </w:r>
      <w:r>
        <w:rPr>
          <w:spacing w:val="-14"/>
        </w:rPr>
        <w:t xml:space="preserve"> </w:t>
      </w:r>
      <w:r>
        <w:t>possible</w:t>
      </w:r>
      <w:r>
        <w:rPr>
          <w:spacing w:val="-14"/>
        </w:rPr>
        <w:t xml:space="preserve"> </w:t>
      </w:r>
      <w:r>
        <w:t>objects,</w:t>
      </w:r>
      <w:r>
        <w:rPr>
          <w:spacing w:val="-14"/>
        </w:rPr>
        <w:t xml:space="preserve"> </w:t>
      </w:r>
      <w:r>
        <w:t>each</w:t>
      </w:r>
      <w:r>
        <w:rPr>
          <w:spacing w:val="-14"/>
        </w:rPr>
        <w:t xml:space="preserve"> </w:t>
      </w:r>
      <w:r>
        <w:t>having</w:t>
      </w:r>
      <w:r>
        <w:rPr>
          <w:spacing w:val="-14"/>
        </w:rPr>
        <w:t xml:space="preserve"> </w:t>
      </w:r>
      <w:r>
        <w:t>the</w:t>
      </w:r>
      <w:r>
        <w:rPr>
          <w:spacing w:val="-14"/>
        </w:rPr>
        <w:t xml:space="preserve"> </w:t>
      </w:r>
      <w:r>
        <w:t>structure</w:t>
      </w:r>
      <w:r>
        <w:rPr>
          <w:spacing w:val="-14"/>
        </w:rPr>
        <w:t xml:space="preserve"> </w:t>
      </w:r>
      <w:r>
        <w:t>of</w:t>
      </w:r>
      <w:r>
        <w:rPr>
          <w:spacing w:val="-13"/>
        </w:rPr>
        <w:t xml:space="preserve"> </w:t>
      </w:r>
      <w:r>
        <w:t xml:space="preserve">the </w:t>
      </w:r>
      <w:r>
        <w:rPr>
          <w:spacing w:val="-2"/>
        </w:rPr>
        <w:t>external</w:t>
      </w:r>
      <w:r>
        <w:rPr>
          <w:spacing w:val="-17"/>
        </w:rPr>
        <w:t xml:space="preserve"> </w:t>
      </w:r>
      <w:r>
        <w:rPr>
          <w:spacing w:val="-2"/>
        </w:rPr>
        <w:t>world</w:t>
      </w:r>
      <w:r>
        <w:rPr>
          <w:spacing w:val="-15"/>
        </w:rPr>
        <w:t xml:space="preserve"> </w:t>
      </w:r>
      <w:r>
        <w:rPr>
          <w:spacing w:val="-2"/>
        </w:rPr>
        <w:t>but</w:t>
      </w:r>
      <w:r>
        <w:rPr>
          <w:spacing w:val="-17"/>
        </w:rPr>
        <w:t xml:space="preserve"> </w:t>
      </w:r>
      <w:r>
        <w:rPr>
          <w:spacing w:val="-2"/>
        </w:rPr>
        <w:t>each</w:t>
      </w:r>
      <w:r>
        <w:rPr>
          <w:spacing w:val="-15"/>
        </w:rPr>
        <w:t xml:space="preserve"> </w:t>
      </w:r>
      <w:r>
        <w:rPr>
          <w:spacing w:val="-2"/>
        </w:rPr>
        <w:t>differing</w:t>
      </w:r>
      <w:r>
        <w:rPr>
          <w:spacing w:val="-16"/>
        </w:rPr>
        <w:t xml:space="preserve"> </w:t>
      </w:r>
      <w:r>
        <w:rPr>
          <w:spacing w:val="-2"/>
        </w:rPr>
        <w:t>in</w:t>
      </w:r>
      <w:r>
        <w:rPr>
          <w:spacing w:val="-16"/>
        </w:rPr>
        <w:t xml:space="preserve"> </w:t>
      </w:r>
      <w:r>
        <w:rPr>
          <w:spacing w:val="-2"/>
        </w:rPr>
        <w:t>some</w:t>
      </w:r>
      <w:r>
        <w:rPr>
          <w:spacing w:val="-16"/>
        </w:rPr>
        <w:t xml:space="preserve"> </w:t>
      </w:r>
      <w:r>
        <w:rPr>
          <w:spacing w:val="-2"/>
        </w:rPr>
        <w:t>non-structural</w:t>
      </w:r>
      <w:r>
        <w:rPr>
          <w:spacing w:val="-16"/>
        </w:rPr>
        <w:t xml:space="preserve"> </w:t>
      </w:r>
      <w:r>
        <w:rPr>
          <w:spacing w:val="-2"/>
        </w:rPr>
        <w:t>respect</w:t>
      </w:r>
      <w:r>
        <w:rPr>
          <w:spacing w:val="-16"/>
        </w:rPr>
        <w:t xml:space="preserve"> </w:t>
      </w:r>
      <w:r>
        <w:rPr>
          <w:spacing w:val="-2"/>
        </w:rPr>
        <w:t>from</w:t>
      </w:r>
      <w:r>
        <w:rPr>
          <w:spacing w:val="-16"/>
        </w:rPr>
        <w:t xml:space="preserve"> </w:t>
      </w:r>
      <w:r>
        <w:rPr>
          <w:spacing w:val="-2"/>
        </w:rPr>
        <w:t>the</w:t>
      </w:r>
      <w:r>
        <w:rPr>
          <w:spacing w:val="-16"/>
        </w:rPr>
        <w:t xml:space="preserve"> </w:t>
      </w:r>
      <w:r>
        <w:rPr>
          <w:spacing w:val="-2"/>
        </w:rPr>
        <w:t xml:space="preserve">others, </w:t>
      </w:r>
      <w:r>
        <w:t>at</w:t>
      </w:r>
      <w:r>
        <w:rPr>
          <w:spacing w:val="-11"/>
        </w:rPr>
        <w:t xml:space="preserve"> </w:t>
      </w:r>
      <w:r>
        <w:t>most</w:t>
      </w:r>
      <w:r>
        <w:rPr>
          <w:spacing w:val="-11"/>
        </w:rPr>
        <w:t xml:space="preserve"> </w:t>
      </w:r>
      <w:r>
        <w:t>one</w:t>
      </w:r>
      <w:r>
        <w:rPr>
          <w:spacing w:val="-10"/>
        </w:rPr>
        <w:t xml:space="preserve"> </w:t>
      </w:r>
      <w:r>
        <w:t>of</w:t>
      </w:r>
      <w:r>
        <w:rPr>
          <w:spacing w:val="-11"/>
        </w:rPr>
        <w:t xml:space="preserve"> </w:t>
      </w:r>
      <w:r>
        <w:t>those</w:t>
      </w:r>
      <w:r>
        <w:rPr>
          <w:spacing w:val="-10"/>
        </w:rPr>
        <w:t xml:space="preserve"> </w:t>
      </w:r>
      <w:r>
        <w:t>objects</w:t>
      </w:r>
      <w:r>
        <w:rPr>
          <w:spacing w:val="-10"/>
        </w:rPr>
        <w:t xml:space="preserve"> </w:t>
      </w:r>
      <w:r>
        <w:t>can</w:t>
      </w:r>
      <w:r>
        <w:rPr>
          <w:spacing w:val="-10"/>
        </w:rPr>
        <w:t xml:space="preserve"> </w:t>
      </w:r>
      <w:r>
        <w:t>be</w:t>
      </w:r>
      <w:r>
        <w:rPr>
          <w:spacing w:val="-10"/>
        </w:rPr>
        <w:t xml:space="preserve"> </w:t>
      </w:r>
      <w:r>
        <w:t>the</w:t>
      </w:r>
      <w:r>
        <w:rPr>
          <w:spacing w:val="-10"/>
        </w:rPr>
        <w:t xml:space="preserve"> </w:t>
      </w:r>
      <w:r>
        <w:t>external</w:t>
      </w:r>
      <w:r>
        <w:rPr>
          <w:spacing w:val="-11"/>
        </w:rPr>
        <w:t xml:space="preserve"> </w:t>
      </w:r>
      <w:r>
        <w:t>world.</w:t>
      </w:r>
      <w:r>
        <w:rPr>
          <w:spacing w:val="-10"/>
        </w:rPr>
        <w:t xml:space="preserve"> </w:t>
      </w:r>
      <w:r>
        <w:t>But</w:t>
      </w:r>
      <w:r>
        <w:rPr>
          <w:spacing w:val="-11"/>
        </w:rPr>
        <w:t xml:space="preserve"> </w:t>
      </w:r>
      <w:r>
        <w:t>the</w:t>
      </w:r>
      <w:r>
        <w:rPr>
          <w:spacing w:val="-10"/>
        </w:rPr>
        <w:t xml:space="preserve"> </w:t>
      </w:r>
      <w:r>
        <w:t>supposition</w:t>
      </w:r>
      <w:r>
        <w:rPr>
          <w:spacing w:val="-10"/>
        </w:rPr>
        <w:t xml:space="preserve"> </w:t>
      </w:r>
      <w:r>
        <w:t>that any</w:t>
      </w:r>
      <w:r>
        <w:rPr>
          <w:spacing w:val="-8"/>
        </w:rPr>
        <w:t xml:space="preserve"> </w:t>
      </w:r>
      <w:r>
        <w:t>given</w:t>
      </w:r>
      <w:r>
        <w:rPr>
          <w:spacing w:val="-8"/>
        </w:rPr>
        <w:t xml:space="preserve"> </w:t>
      </w:r>
      <w:r>
        <w:t>one</w:t>
      </w:r>
      <w:r>
        <w:rPr>
          <w:spacing w:val="-8"/>
        </w:rPr>
        <w:t xml:space="preserve"> </w:t>
      </w:r>
      <w:r>
        <w:t>of</w:t>
      </w:r>
      <w:r>
        <w:rPr>
          <w:spacing w:val="-8"/>
        </w:rPr>
        <w:t xml:space="preserve"> </w:t>
      </w:r>
      <w:r>
        <w:t>them</w:t>
      </w:r>
      <w:r>
        <w:rPr>
          <w:spacing w:val="-8"/>
        </w:rPr>
        <w:t xml:space="preserve"> </w:t>
      </w:r>
      <w:r>
        <w:t>is</w:t>
      </w:r>
      <w:r>
        <w:rPr>
          <w:spacing w:val="-8"/>
        </w:rPr>
        <w:t xml:space="preserve"> </w:t>
      </w:r>
      <w:r>
        <w:t>what</w:t>
      </w:r>
      <w:r>
        <w:rPr>
          <w:spacing w:val="-8"/>
        </w:rPr>
        <w:t xml:space="preserve"> </w:t>
      </w:r>
      <w:r>
        <w:t>is</w:t>
      </w:r>
      <w:r>
        <w:rPr>
          <w:spacing w:val="-8"/>
        </w:rPr>
        <w:t xml:space="preserve"> </w:t>
      </w:r>
      <w:r>
        <w:t>actual</w:t>
      </w:r>
      <w:r>
        <w:rPr>
          <w:spacing w:val="-8"/>
        </w:rPr>
        <w:t xml:space="preserve"> </w:t>
      </w:r>
      <w:r>
        <w:t>does</w:t>
      </w:r>
      <w:r>
        <w:rPr>
          <w:spacing w:val="-8"/>
        </w:rPr>
        <w:t xml:space="preserve"> </w:t>
      </w:r>
      <w:r>
        <w:t>exactly</w:t>
      </w:r>
      <w:r>
        <w:rPr>
          <w:spacing w:val="-8"/>
        </w:rPr>
        <w:t xml:space="preserve"> </w:t>
      </w:r>
      <w:r>
        <w:t>as</w:t>
      </w:r>
      <w:r>
        <w:rPr>
          <w:spacing w:val="-8"/>
        </w:rPr>
        <w:t xml:space="preserve"> </w:t>
      </w:r>
      <w:r>
        <w:t>good</w:t>
      </w:r>
      <w:r>
        <w:rPr>
          <w:spacing w:val="-8"/>
        </w:rPr>
        <w:t xml:space="preserve"> </w:t>
      </w:r>
      <w:r>
        <w:t>a</w:t>
      </w:r>
      <w:r>
        <w:rPr>
          <w:spacing w:val="-8"/>
        </w:rPr>
        <w:t xml:space="preserve"> </w:t>
      </w:r>
      <w:r>
        <w:t>job</w:t>
      </w:r>
      <w:r>
        <w:rPr>
          <w:spacing w:val="-8"/>
        </w:rPr>
        <w:t xml:space="preserve"> </w:t>
      </w:r>
      <w:r>
        <w:t>of</w:t>
      </w:r>
      <w:r>
        <w:rPr>
          <w:spacing w:val="-8"/>
        </w:rPr>
        <w:t xml:space="preserve"> </w:t>
      </w:r>
      <w:r>
        <w:t>modeling the observational data as the supposition that any other given one of them is what</w:t>
      </w:r>
      <w:r>
        <w:rPr>
          <w:spacing w:val="-1"/>
        </w:rPr>
        <w:t xml:space="preserve"> </w:t>
      </w:r>
      <w:r>
        <w:t>is</w:t>
      </w:r>
      <w:r>
        <w:rPr>
          <w:spacing w:val="-1"/>
        </w:rPr>
        <w:t xml:space="preserve"> </w:t>
      </w:r>
      <w:r>
        <w:t>actual.</w:t>
      </w:r>
      <w:r>
        <w:rPr>
          <w:spacing w:val="-14"/>
        </w:rPr>
        <w:t xml:space="preserve"> </w:t>
      </w:r>
      <w:r>
        <w:t>And</w:t>
      </w:r>
      <w:r>
        <w:rPr>
          <w:spacing w:val="-1"/>
        </w:rPr>
        <w:t xml:space="preserve"> </w:t>
      </w:r>
      <w:r>
        <w:t>one</w:t>
      </w:r>
      <w:r>
        <w:rPr>
          <w:spacing w:val="-1"/>
        </w:rPr>
        <w:t xml:space="preserve"> </w:t>
      </w:r>
      <w:r>
        <w:t>of</w:t>
      </w:r>
      <w:r>
        <w:rPr>
          <w:spacing w:val="-1"/>
        </w:rPr>
        <w:t xml:space="preserve"> </w:t>
      </w:r>
      <w:r>
        <w:t>the</w:t>
      </w:r>
      <w:r>
        <w:rPr>
          <w:spacing w:val="-1"/>
        </w:rPr>
        <w:t xml:space="preserve"> </w:t>
      </w:r>
      <w:r>
        <w:t>claims</w:t>
      </w:r>
      <w:r>
        <w:rPr>
          <w:spacing w:val="-1"/>
        </w:rPr>
        <w:t xml:space="preserve"> </w:t>
      </w:r>
      <w:r>
        <w:t>embodied</w:t>
      </w:r>
      <w:r>
        <w:rPr>
          <w:spacing w:val="-1"/>
        </w:rPr>
        <w:t xml:space="preserve"> </w:t>
      </w:r>
      <w:r>
        <w:t>in</w:t>
      </w:r>
      <w:r>
        <w:rPr>
          <w:spacing w:val="-1"/>
        </w:rPr>
        <w:t xml:space="preserve"> </w:t>
      </w:r>
      <w:r>
        <w:t>Berkeley’s</w:t>
      </w:r>
      <w:r>
        <w:rPr>
          <w:spacing w:val="-1"/>
        </w:rPr>
        <w:t xml:space="preserve"> </w:t>
      </w:r>
      <w:r>
        <w:t>argument(s)</w:t>
      </w:r>
      <w:r>
        <w:rPr>
          <w:spacing w:val="-1"/>
        </w:rPr>
        <w:t xml:space="preserve"> </w:t>
      </w:r>
      <w:r>
        <w:t>for idealism</w:t>
      </w:r>
      <w:r>
        <w:rPr>
          <w:spacing w:val="-2"/>
        </w:rPr>
        <w:t xml:space="preserve"> </w:t>
      </w:r>
      <w:r>
        <w:t>is</w:t>
      </w:r>
      <w:r>
        <w:rPr>
          <w:spacing w:val="-2"/>
        </w:rPr>
        <w:t xml:space="preserve"> </w:t>
      </w:r>
      <w:r>
        <w:t>precisely</w:t>
      </w:r>
      <w:r>
        <w:rPr>
          <w:spacing w:val="-2"/>
        </w:rPr>
        <w:t xml:space="preserve"> </w:t>
      </w:r>
      <w:r>
        <w:t>that,</w:t>
      </w:r>
      <w:r>
        <w:rPr>
          <w:spacing w:val="-2"/>
        </w:rPr>
        <w:t xml:space="preserve"> </w:t>
      </w:r>
      <w:r>
        <w:t>to</w:t>
      </w:r>
      <w:r>
        <w:rPr>
          <w:spacing w:val="-2"/>
        </w:rPr>
        <w:t xml:space="preserve"> </w:t>
      </w:r>
      <w:r>
        <w:t>the</w:t>
      </w:r>
      <w:r>
        <w:rPr>
          <w:spacing w:val="-2"/>
        </w:rPr>
        <w:t xml:space="preserve"> </w:t>
      </w:r>
      <w:r>
        <w:t>extent</w:t>
      </w:r>
      <w:r>
        <w:rPr>
          <w:spacing w:val="-2"/>
        </w:rPr>
        <w:t xml:space="preserve"> </w:t>
      </w:r>
      <w:r>
        <w:t>that</w:t>
      </w:r>
      <w:r>
        <w:rPr>
          <w:spacing w:val="-2"/>
        </w:rPr>
        <w:t xml:space="preserve"> </w:t>
      </w:r>
      <w:r>
        <w:t>the</w:t>
      </w:r>
      <w:r>
        <w:rPr>
          <w:spacing w:val="-2"/>
        </w:rPr>
        <w:t xml:space="preserve"> </w:t>
      </w:r>
      <w:r>
        <w:t>probability</w:t>
      </w:r>
      <w:r>
        <w:rPr>
          <w:spacing w:val="-2"/>
        </w:rPr>
        <w:t xml:space="preserve"> </w:t>
      </w:r>
      <w:r>
        <w:t>of</w:t>
      </w:r>
      <w:r>
        <w:rPr>
          <w:spacing w:val="-2"/>
        </w:rPr>
        <w:t xml:space="preserve"> </w:t>
      </w:r>
      <w:r>
        <w:t>a</w:t>
      </w:r>
      <w:r>
        <w:rPr>
          <w:spacing w:val="-2"/>
        </w:rPr>
        <w:t xml:space="preserve"> </w:t>
      </w:r>
      <w:r>
        <w:t>hypothesis</w:t>
      </w:r>
      <w:r>
        <w:rPr>
          <w:spacing w:val="-2"/>
        </w:rPr>
        <w:t xml:space="preserve"> </w:t>
      </w:r>
      <w:r>
        <w:t>is</w:t>
      </w:r>
      <w:r>
        <w:rPr>
          <w:spacing w:val="-2"/>
        </w:rPr>
        <w:t xml:space="preserve"> </w:t>
      </w:r>
      <w:r>
        <w:t>a function of its congruence with observational data, anything that models the observational data</w:t>
      </w:r>
      <w:r>
        <w:rPr>
          <w:spacing w:val="-19"/>
        </w:rPr>
        <w:t xml:space="preserve"> </w:t>
      </w:r>
      <w:r>
        <w:rPr>
          <w:i/>
        </w:rPr>
        <w:t>ipso facto</w:t>
      </w:r>
      <w:r>
        <w:rPr>
          <w:i/>
          <w:spacing w:val="40"/>
        </w:rPr>
        <w:t xml:space="preserve"> </w:t>
      </w:r>
      <w:r>
        <w:t xml:space="preserve">no less likely to be what’s really out there than anything else that does so. Berkeley was therefore (so far as I know) the first </w:t>
      </w:r>
      <w:r>
        <w:rPr>
          <w:spacing w:val="-2"/>
        </w:rPr>
        <w:t>model-theorist.</w:t>
      </w:r>
    </w:p>
    <w:p w14:paraId="7E001BA5" w14:textId="77777777" w:rsidR="009A58DB" w:rsidRDefault="00000000">
      <w:pPr>
        <w:pStyle w:val="ListParagraph"/>
        <w:numPr>
          <w:ilvl w:val="0"/>
          <w:numId w:val="102"/>
        </w:numPr>
        <w:tabs>
          <w:tab w:val="left" w:pos="1229"/>
        </w:tabs>
        <w:spacing w:before="15" w:line="249" w:lineRule="auto"/>
        <w:ind w:right="361" w:firstLine="360"/>
        <w:jc w:val="both"/>
        <w:rPr>
          <w:i/>
          <w:sz w:val="30"/>
        </w:rPr>
      </w:pPr>
      <w:r>
        <w:rPr>
          <w:i/>
          <w:sz w:val="30"/>
        </w:rPr>
        <w:t>explained: To my knowledge, Berkeley was</w:t>
      </w:r>
      <w:r>
        <w:rPr>
          <w:i/>
          <w:spacing w:val="-19"/>
          <w:sz w:val="30"/>
        </w:rPr>
        <w:t xml:space="preserve"> </w:t>
      </w:r>
      <w:r>
        <w:rPr>
          <w:sz w:val="30"/>
        </w:rPr>
        <w:t>the first to recognize the distinction</w:t>
      </w:r>
      <w:r>
        <w:rPr>
          <w:spacing w:val="36"/>
          <w:sz w:val="30"/>
        </w:rPr>
        <w:t xml:space="preserve"> </w:t>
      </w:r>
      <w:r>
        <w:rPr>
          <w:sz w:val="30"/>
        </w:rPr>
        <w:t>grammatical</w:t>
      </w:r>
      <w:r>
        <w:rPr>
          <w:spacing w:val="36"/>
          <w:sz w:val="30"/>
        </w:rPr>
        <w:t xml:space="preserve"> </w:t>
      </w:r>
      <w:r>
        <w:rPr>
          <w:sz w:val="30"/>
        </w:rPr>
        <w:t>structure</w:t>
      </w:r>
      <w:r>
        <w:rPr>
          <w:spacing w:val="36"/>
          <w:sz w:val="30"/>
        </w:rPr>
        <w:t xml:space="preserve"> </w:t>
      </w:r>
      <w:r>
        <w:rPr>
          <w:sz w:val="30"/>
        </w:rPr>
        <w:t>(surface</w:t>
      </w:r>
      <w:r>
        <w:rPr>
          <w:spacing w:val="36"/>
          <w:sz w:val="30"/>
        </w:rPr>
        <w:t xml:space="preserve"> </w:t>
      </w:r>
      <w:r>
        <w:rPr>
          <w:sz w:val="30"/>
        </w:rPr>
        <w:t>structure)</w:t>
      </w:r>
      <w:r>
        <w:rPr>
          <w:spacing w:val="36"/>
          <w:sz w:val="30"/>
        </w:rPr>
        <w:t xml:space="preserve"> </w:t>
      </w:r>
      <w:r>
        <w:rPr>
          <w:sz w:val="30"/>
        </w:rPr>
        <w:t>and</w:t>
      </w:r>
      <w:r>
        <w:rPr>
          <w:spacing w:val="36"/>
          <w:sz w:val="30"/>
        </w:rPr>
        <w:t xml:space="preserve"> </w:t>
      </w:r>
      <w:r>
        <w:rPr>
          <w:sz w:val="30"/>
        </w:rPr>
        <w:t>logical</w:t>
      </w:r>
      <w:r>
        <w:rPr>
          <w:spacing w:val="36"/>
          <w:sz w:val="30"/>
        </w:rPr>
        <w:t xml:space="preserve"> </w:t>
      </w:r>
      <w:r>
        <w:rPr>
          <w:sz w:val="30"/>
        </w:rPr>
        <w:t>form</w:t>
      </w:r>
      <w:r>
        <w:rPr>
          <w:spacing w:val="36"/>
          <w:sz w:val="30"/>
        </w:rPr>
        <w:t xml:space="preserve"> </w:t>
      </w:r>
      <w:r>
        <w:rPr>
          <w:sz w:val="30"/>
        </w:rPr>
        <w:t>(deep</w:t>
      </w:r>
    </w:p>
    <w:p w14:paraId="7E001BA6" w14:textId="77777777" w:rsidR="009A58DB" w:rsidRDefault="009A58DB">
      <w:pPr>
        <w:pStyle w:val="ListParagraph"/>
        <w:spacing w:line="249" w:lineRule="auto"/>
        <w:jc w:val="both"/>
        <w:rPr>
          <w:i/>
          <w:sz w:val="30"/>
        </w:rPr>
        <w:sectPr w:rsidR="009A58DB">
          <w:pgSz w:w="12240" w:h="15840"/>
          <w:pgMar w:top="1380" w:right="1080" w:bottom="280" w:left="1080" w:header="720" w:footer="720" w:gutter="0"/>
          <w:cols w:space="720"/>
        </w:sectPr>
      </w:pPr>
    </w:p>
    <w:p w14:paraId="7E001BA7" w14:textId="77777777" w:rsidR="009A58DB" w:rsidRDefault="00000000">
      <w:pPr>
        <w:pStyle w:val="BodyText"/>
        <w:spacing w:before="65" w:line="223" w:lineRule="exact"/>
        <w:ind w:left="1373"/>
        <w:jc w:val="left"/>
      </w:pPr>
      <w:bookmarkStart w:id="370" w:name="_bookmark370"/>
      <w:bookmarkEnd w:id="370"/>
      <w:r>
        <w:rPr>
          <w:color w:val="0562C1"/>
          <w:spacing w:val="-2"/>
          <w:u w:val="single" w:color="0562C1"/>
        </w:rPr>
        <w:lastRenderedPageBreak/>
        <w:t>[262]</w:t>
      </w:r>
    </w:p>
    <w:p w14:paraId="7E001BA8" w14:textId="77777777" w:rsidR="009A58DB" w:rsidRDefault="00000000">
      <w:pPr>
        <w:pStyle w:val="BodyText"/>
        <w:tabs>
          <w:tab w:val="left" w:pos="2002"/>
        </w:tabs>
        <w:spacing w:line="332" w:lineRule="exact"/>
        <w:jc w:val="left"/>
      </w:pPr>
      <w:r>
        <w:rPr>
          <w:spacing w:val="-2"/>
        </w:rPr>
        <w:t>structure</w:t>
      </w:r>
      <w:r>
        <w:tab/>
        <w:t>).</w:t>
      </w:r>
      <w:r>
        <w:rPr>
          <w:spacing w:val="-6"/>
        </w:rPr>
        <w:t xml:space="preserve"> </w:t>
      </w:r>
      <w:r>
        <w:t>To</w:t>
      </w:r>
      <w:r>
        <w:rPr>
          <w:spacing w:val="-1"/>
        </w:rPr>
        <w:t xml:space="preserve"> </w:t>
      </w:r>
      <w:r>
        <w:t>avoid</w:t>
      </w:r>
      <w:r>
        <w:rPr>
          <w:spacing w:val="-1"/>
        </w:rPr>
        <w:t xml:space="preserve"> </w:t>
      </w:r>
      <w:r>
        <w:t>getting</w:t>
      </w:r>
      <w:r>
        <w:rPr>
          <w:spacing w:val="-1"/>
        </w:rPr>
        <w:t xml:space="preserve"> </w:t>
      </w:r>
      <w:r>
        <w:t>caught</w:t>
      </w:r>
      <w:r>
        <w:rPr>
          <w:spacing w:val="-1"/>
        </w:rPr>
        <w:t xml:space="preserve"> </w:t>
      </w:r>
      <w:r>
        <w:t>up</w:t>
      </w:r>
      <w:r>
        <w:rPr>
          <w:spacing w:val="-1"/>
        </w:rPr>
        <w:t xml:space="preserve"> </w:t>
      </w:r>
      <w:r>
        <w:t>in</w:t>
      </w:r>
      <w:r>
        <w:rPr>
          <w:spacing w:val="-1"/>
        </w:rPr>
        <w:t xml:space="preserve"> </w:t>
      </w:r>
      <w:r>
        <w:t>technicalities,</w:t>
      </w:r>
      <w:r>
        <w:rPr>
          <w:spacing w:val="-1"/>
        </w:rPr>
        <w:t xml:space="preserve"> </w:t>
      </w:r>
      <w:r>
        <w:t>let’s</w:t>
      </w:r>
      <w:r>
        <w:rPr>
          <w:spacing w:val="-1"/>
        </w:rPr>
        <w:t xml:space="preserve"> </w:t>
      </w:r>
      <w:r>
        <w:t xml:space="preserve">also </w:t>
      </w:r>
      <w:r>
        <w:rPr>
          <w:spacing w:val="-2"/>
        </w:rPr>
        <w:t>suppose</w:t>
      </w:r>
    </w:p>
    <w:p w14:paraId="7E001BA9" w14:textId="77777777" w:rsidR="009A58DB" w:rsidRDefault="00000000">
      <w:pPr>
        <w:pStyle w:val="BodyText"/>
        <w:spacing w:before="15" w:line="249" w:lineRule="auto"/>
        <w:ind w:right="361"/>
      </w:pPr>
      <w:r>
        <w:t>Smith is the only percipient being in existence. Berkeley’s idealism seems to entail</w:t>
      </w:r>
      <w:r>
        <w:rPr>
          <w:spacing w:val="-19"/>
        </w:rPr>
        <w:t xml:space="preserve"> </w:t>
      </w:r>
      <w:r>
        <w:t>that,</w:t>
      </w:r>
      <w:r>
        <w:rPr>
          <w:spacing w:val="-19"/>
        </w:rPr>
        <w:t xml:space="preserve"> </w:t>
      </w:r>
      <w:r>
        <w:t>if</w:t>
      </w:r>
      <w:r>
        <w:rPr>
          <w:spacing w:val="-19"/>
        </w:rPr>
        <w:t xml:space="preserve"> </w:t>
      </w:r>
      <w:r>
        <w:t>Smith</w:t>
      </w:r>
      <w:r>
        <w:rPr>
          <w:spacing w:val="-18"/>
        </w:rPr>
        <w:t xml:space="preserve"> </w:t>
      </w:r>
      <w:r>
        <w:t>closes</w:t>
      </w:r>
      <w:r>
        <w:rPr>
          <w:spacing w:val="-19"/>
        </w:rPr>
        <w:t xml:space="preserve"> </w:t>
      </w:r>
      <w:r>
        <w:t>his</w:t>
      </w:r>
      <w:r>
        <w:rPr>
          <w:spacing w:val="-19"/>
        </w:rPr>
        <w:t xml:space="preserve"> </w:t>
      </w:r>
      <w:r>
        <w:t>eyes</w:t>
      </w:r>
      <w:r>
        <w:rPr>
          <w:spacing w:val="-19"/>
        </w:rPr>
        <w:t xml:space="preserve"> </w:t>
      </w:r>
      <w:r>
        <w:t>(and</w:t>
      </w:r>
      <w:r>
        <w:rPr>
          <w:spacing w:val="-18"/>
        </w:rPr>
        <w:t xml:space="preserve"> </w:t>
      </w:r>
      <w:r>
        <w:t>is</w:t>
      </w:r>
      <w:r>
        <w:rPr>
          <w:spacing w:val="-19"/>
        </w:rPr>
        <w:t xml:space="preserve"> </w:t>
      </w:r>
      <w:r>
        <w:t>otherwise</w:t>
      </w:r>
      <w:r>
        <w:rPr>
          <w:spacing w:val="-19"/>
        </w:rPr>
        <w:t xml:space="preserve"> </w:t>
      </w:r>
      <w:r>
        <w:t>not</w:t>
      </w:r>
      <w:r>
        <w:rPr>
          <w:spacing w:val="-19"/>
        </w:rPr>
        <w:t xml:space="preserve"> </w:t>
      </w:r>
      <w:r>
        <w:t>in</w:t>
      </w:r>
      <w:r>
        <w:rPr>
          <w:spacing w:val="-18"/>
        </w:rPr>
        <w:t xml:space="preserve"> </w:t>
      </w:r>
      <w:r>
        <w:t>sensory</w:t>
      </w:r>
      <w:r>
        <w:rPr>
          <w:spacing w:val="-19"/>
        </w:rPr>
        <w:t xml:space="preserve"> </w:t>
      </w:r>
      <w:r>
        <w:t>contact</w:t>
      </w:r>
      <w:r>
        <w:rPr>
          <w:spacing w:val="-19"/>
        </w:rPr>
        <w:t xml:space="preserve"> </w:t>
      </w:r>
      <w:r>
        <w:t>with the world), the whole world disappears; and it also seems to entail that the whole world springs back into existence when Smith opens his eyes. This is deeply implausible.</w:t>
      </w:r>
    </w:p>
    <w:p w14:paraId="7E001BAA" w14:textId="77777777" w:rsidR="009A58DB" w:rsidRDefault="00000000">
      <w:pPr>
        <w:pStyle w:val="BodyText"/>
        <w:spacing w:before="6" w:line="249" w:lineRule="auto"/>
        <w:ind w:right="358" w:firstLine="360"/>
      </w:pPr>
      <w:r>
        <w:rPr>
          <w:spacing w:val="-2"/>
        </w:rPr>
        <w:t>It</w:t>
      </w:r>
      <w:r>
        <w:rPr>
          <w:spacing w:val="-13"/>
        </w:rPr>
        <w:t xml:space="preserve"> </w:t>
      </w:r>
      <w:r>
        <w:rPr>
          <w:spacing w:val="-2"/>
        </w:rPr>
        <w:t>also</w:t>
      </w:r>
      <w:r>
        <w:rPr>
          <w:spacing w:val="-12"/>
        </w:rPr>
        <w:t xml:space="preserve"> </w:t>
      </w:r>
      <w:r>
        <w:rPr>
          <w:spacing w:val="-2"/>
        </w:rPr>
        <w:t>seems</w:t>
      </w:r>
      <w:r>
        <w:rPr>
          <w:spacing w:val="-12"/>
        </w:rPr>
        <w:t xml:space="preserve"> </w:t>
      </w:r>
      <w:r>
        <w:rPr>
          <w:spacing w:val="-2"/>
        </w:rPr>
        <w:t>to</w:t>
      </w:r>
      <w:r>
        <w:rPr>
          <w:spacing w:val="-12"/>
        </w:rPr>
        <w:t xml:space="preserve"> </w:t>
      </w:r>
      <w:r>
        <w:rPr>
          <w:spacing w:val="-2"/>
        </w:rPr>
        <w:t>undermine</w:t>
      </w:r>
      <w:r>
        <w:rPr>
          <w:spacing w:val="-12"/>
        </w:rPr>
        <w:t xml:space="preserve"> </w:t>
      </w:r>
      <w:r>
        <w:rPr>
          <w:spacing w:val="-2"/>
        </w:rPr>
        <w:t>Berkeley’s</w:t>
      </w:r>
      <w:r>
        <w:rPr>
          <w:spacing w:val="-12"/>
        </w:rPr>
        <w:t xml:space="preserve"> </w:t>
      </w:r>
      <w:r>
        <w:rPr>
          <w:spacing w:val="-2"/>
        </w:rPr>
        <w:t>claim</w:t>
      </w:r>
      <w:r>
        <w:rPr>
          <w:spacing w:val="-12"/>
        </w:rPr>
        <w:t xml:space="preserve"> </w:t>
      </w:r>
      <w:r>
        <w:rPr>
          <w:spacing w:val="-2"/>
        </w:rPr>
        <w:t>that</w:t>
      </w:r>
      <w:r>
        <w:rPr>
          <w:spacing w:val="-12"/>
        </w:rPr>
        <w:t xml:space="preserve"> </w:t>
      </w:r>
      <w:r>
        <w:rPr>
          <w:spacing w:val="-2"/>
        </w:rPr>
        <w:t>any</w:t>
      </w:r>
      <w:r>
        <w:rPr>
          <w:spacing w:val="-12"/>
        </w:rPr>
        <w:t xml:space="preserve"> </w:t>
      </w:r>
      <w:r>
        <w:rPr>
          <w:spacing w:val="-2"/>
        </w:rPr>
        <w:t>object-statement</w:t>
      </w:r>
      <w:r>
        <w:rPr>
          <w:spacing w:val="-12"/>
        </w:rPr>
        <w:t xml:space="preserve"> </w:t>
      </w:r>
      <w:r>
        <w:rPr>
          <w:spacing w:val="-2"/>
        </w:rPr>
        <w:t>that</w:t>
      </w:r>
      <w:r>
        <w:rPr>
          <w:spacing w:val="-12"/>
        </w:rPr>
        <w:t xml:space="preserve"> </w:t>
      </w:r>
      <w:r>
        <w:rPr>
          <w:spacing w:val="-2"/>
        </w:rPr>
        <w:t xml:space="preserve">is </w:t>
      </w:r>
      <w:r>
        <w:t>presumed</w:t>
      </w:r>
      <w:r>
        <w:rPr>
          <w:spacing w:val="-11"/>
        </w:rPr>
        <w:t xml:space="preserve"> </w:t>
      </w:r>
      <w:r>
        <w:t>correct</w:t>
      </w:r>
      <w:r>
        <w:rPr>
          <w:spacing w:val="-7"/>
        </w:rPr>
        <w:t xml:space="preserve"> </w:t>
      </w:r>
      <w:r>
        <w:t>(e.g.</w:t>
      </w:r>
      <w:r>
        <w:rPr>
          <w:spacing w:val="-7"/>
        </w:rPr>
        <w:t xml:space="preserve"> </w:t>
      </w:r>
      <w:r>
        <w:t>‘the</w:t>
      </w:r>
      <w:r>
        <w:rPr>
          <w:spacing w:val="-7"/>
        </w:rPr>
        <w:t xml:space="preserve"> </w:t>
      </w:r>
      <w:r>
        <w:t>world</w:t>
      </w:r>
      <w:r>
        <w:rPr>
          <w:spacing w:val="-7"/>
        </w:rPr>
        <w:t xml:space="preserve"> </w:t>
      </w:r>
      <w:r>
        <w:t>doesn’t’</w:t>
      </w:r>
      <w:r>
        <w:rPr>
          <w:spacing w:val="-19"/>
        </w:rPr>
        <w:t xml:space="preserve"> </w:t>
      </w:r>
      <w:r>
        <w:t>disappear</w:t>
      </w:r>
      <w:r>
        <w:rPr>
          <w:spacing w:val="-6"/>
        </w:rPr>
        <w:t xml:space="preserve"> </w:t>
      </w:r>
      <w:r>
        <w:t>when</w:t>
      </w:r>
      <w:r>
        <w:rPr>
          <w:spacing w:val="-7"/>
        </w:rPr>
        <w:t xml:space="preserve"> </w:t>
      </w:r>
      <w:r>
        <w:t>I</w:t>
      </w:r>
      <w:r>
        <w:rPr>
          <w:spacing w:val="-7"/>
        </w:rPr>
        <w:t xml:space="preserve"> </w:t>
      </w:r>
      <w:r>
        <w:t>close</w:t>
      </w:r>
      <w:r>
        <w:rPr>
          <w:spacing w:val="-7"/>
        </w:rPr>
        <w:t xml:space="preserve"> </w:t>
      </w:r>
      <w:r>
        <w:t>my</w:t>
      </w:r>
      <w:r>
        <w:rPr>
          <w:spacing w:val="-7"/>
        </w:rPr>
        <w:t xml:space="preserve"> </w:t>
      </w:r>
      <w:r>
        <w:t>eyes’)</w:t>
      </w:r>
      <w:r>
        <w:rPr>
          <w:spacing w:val="-7"/>
        </w:rPr>
        <w:t xml:space="preserve"> </w:t>
      </w:r>
      <w:r>
        <w:t>is equivalent with a statement stating the observational evidence for that claim. When I close my eyes, the</w:t>
      </w:r>
      <w:r>
        <w:rPr>
          <w:spacing w:val="-18"/>
        </w:rPr>
        <w:t xml:space="preserve"> </w:t>
      </w:r>
      <w:r>
        <w:rPr>
          <w:i/>
        </w:rPr>
        <w:t>observational</w:t>
      </w:r>
      <w:r>
        <w:rPr>
          <w:i/>
          <w:spacing w:val="-18"/>
        </w:rPr>
        <w:t xml:space="preserve"> </w:t>
      </w:r>
      <w:r>
        <w:t xml:space="preserve">evidence seems to suggest that the world has vanished. And it’s only, so it is thought (or so I personally think), because one knows that one’s observations </w:t>
      </w:r>
      <w:r>
        <w:rPr>
          <w:i/>
        </w:rPr>
        <w:t xml:space="preserve">aren’t </w:t>
      </w:r>
      <w:r>
        <w:t>the one and only relevant yardstick that one knows that the world hasn’t disappeared.</w:t>
      </w:r>
    </w:p>
    <w:p w14:paraId="7E001BAB" w14:textId="77777777" w:rsidR="009A58DB" w:rsidRDefault="00000000">
      <w:pPr>
        <w:pStyle w:val="BodyText"/>
        <w:spacing w:before="8"/>
        <w:ind w:left="720"/>
      </w:pPr>
      <w:r>
        <w:t>Berkeley’s</w:t>
      </w:r>
      <w:r>
        <w:rPr>
          <w:spacing w:val="-6"/>
        </w:rPr>
        <w:t xml:space="preserve"> </w:t>
      </w:r>
      <w:r>
        <w:t>response</w:t>
      </w:r>
      <w:r>
        <w:rPr>
          <w:spacing w:val="-4"/>
        </w:rPr>
        <w:t xml:space="preserve"> </w:t>
      </w:r>
      <w:r>
        <w:t>to</w:t>
      </w:r>
      <w:r>
        <w:rPr>
          <w:spacing w:val="-3"/>
        </w:rPr>
        <w:t xml:space="preserve"> </w:t>
      </w:r>
      <w:r>
        <w:t>this</w:t>
      </w:r>
      <w:r>
        <w:rPr>
          <w:spacing w:val="-4"/>
        </w:rPr>
        <w:t xml:space="preserve"> </w:t>
      </w:r>
      <w:r>
        <w:t>is</w:t>
      </w:r>
      <w:r>
        <w:rPr>
          <w:spacing w:val="-4"/>
        </w:rPr>
        <w:t xml:space="preserve"> </w:t>
      </w:r>
      <w:r>
        <w:t>brilliant.</w:t>
      </w:r>
      <w:r>
        <w:rPr>
          <w:spacing w:val="-3"/>
        </w:rPr>
        <w:t xml:space="preserve"> </w:t>
      </w:r>
      <w:r>
        <w:t>He</w:t>
      </w:r>
      <w:r>
        <w:rPr>
          <w:spacing w:val="-4"/>
        </w:rPr>
        <w:t xml:space="preserve"> </w:t>
      </w:r>
      <w:r>
        <w:t>says</w:t>
      </w:r>
      <w:r>
        <w:rPr>
          <w:spacing w:val="-4"/>
        </w:rPr>
        <w:t xml:space="preserve"> </w:t>
      </w:r>
      <w:r>
        <w:t>that</w:t>
      </w:r>
      <w:r>
        <w:rPr>
          <w:spacing w:val="-4"/>
        </w:rPr>
        <w:t xml:space="preserve"> </w:t>
      </w:r>
      <w:r>
        <w:t>the</w:t>
      </w:r>
      <w:r>
        <w:rPr>
          <w:spacing w:val="-4"/>
        </w:rPr>
        <w:t xml:space="preserve"> </w:t>
      </w:r>
      <w:r>
        <w:t>real</w:t>
      </w:r>
      <w:r>
        <w:rPr>
          <w:spacing w:val="-4"/>
        </w:rPr>
        <w:t xml:space="preserve"> </w:t>
      </w:r>
      <w:r>
        <w:t>meaning</w:t>
      </w:r>
      <w:r>
        <w:rPr>
          <w:spacing w:val="-2"/>
        </w:rPr>
        <w:t xml:space="preserve"> </w:t>
      </w:r>
      <w:r>
        <w:rPr>
          <w:spacing w:val="-5"/>
        </w:rPr>
        <w:t>of</w:t>
      </w:r>
    </w:p>
    <w:p w14:paraId="7E001BAC" w14:textId="77777777" w:rsidR="009A58DB" w:rsidRDefault="009A58DB">
      <w:pPr>
        <w:pStyle w:val="BodyText"/>
        <w:spacing w:before="30"/>
        <w:ind w:left="0"/>
        <w:jc w:val="left"/>
      </w:pPr>
    </w:p>
    <w:p w14:paraId="7E001BAD" w14:textId="77777777" w:rsidR="009A58DB" w:rsidRDefault="00000000">
      <w:pPr>
        <w:pStyle w:val="ListParagraph"/>
        <w:numPr>
          <w:ilvl w:val="0"/>
          <w:numId w:val="101"/>
        </w:numPr>
        <w:tabs>
          <w:tab w:val="left" w:pos="800"/>
        </w:tabs>
        <w:spacing w:before="1" w:line="249" w:lineRule="auto"/>
        <w:ind w:right="371" w:firstLine="0"/>
        <w:jc w:val="both"/>
        <w:rPr>
          <w:sz w:val="30"/>
        </w:rPr>
      </w:pPr>
      <w:r>
        <w:rPr>
          <w:sz w:val="30"/>
        </w:rPr>
        <w:t>“the world doesn’t go out of existence when Smith (who, for argument’s sake, we’ll assume to be the only sentient being in existence) closes his eyes”</w:t>
      </w:r>
    </w:p>
    <w:p w14:paraId="7E001BAE" w14:textId="77777777" w:rsidR="009A58DB" w:rsidRDefault="009A58DB">
      <w:pPr>
        <w:pStyle w:val="BodyText"/>
        <w:spacing w:before="17"/>
        <w:ind w:left="0"/>
        <w:jc w:val="left"/>
      </w:pPr>
    </w:p>
    <w:p w14:paraId="7E001BAF" w14:textId="77777777" w:rsidR="009A58DB" w:rsidRDefault="00000000">
      <w:pPr>
        <w:pStyle w:val="BodyText"/>
        <w:tabs>
          <w:tab w:val="left" w:pos="3219"/>
        </w:tabs>
        <w:spacing w:line="249" w:lineRule="auto"/>
        <w:ind w:right="359"/>
      </w:pPr>
      <w:r>
        <w:rPr>
          <w:noProof/>
        </w:rPr>
        <mc:AlternateContent>
          <mc:Choice Requires="wps">
            <w:drawing>
              <wp:anchor distT="0" distB="0" distL="0" distR="0" simplePos="0" relativeHeight="480339456" behindDoc="1" locked="0" layoutInCell="1" allowOverlap="1" wp14:anchorId="7E003288" wp14:editId="7E003289">
                <wp:simplePos x="0" y="0"/>
                <wp:positionH relativeFrom="page">
                  <wp:posOffset>2140593</wp:posOffset>
                </wp:positionH>
                <wp:positionV relativeFrom="paragraph">
                  <wp:posOffset>141660</wp:posOffset>
                </wp:positionV>
                <wp:extent cx="85090" cy="2114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211454"/>
                        </a:xfrm>
                        <a:prstGeom prst="rect">
                          <a:avLst/>
                        </a:prstGeom>
                      </wps:spPr>
                      <wps:txbx>
                        <w:txbxContent>
                          <w:p w14:paraId="7E0032BD" w14:textId="77777777" w:rsidR="009A58DB" w:rsidRDefault="00000000">
                            <w:pPr>
                              <w:spacing w:line="332" w:lineRule="exact"/>
                              <w:rPr>
                                <w:b/>
                                <w:i/>
                                <w:sz w:val="30"/>
                              </w:rPr>
                            </w:pPr>
                            <w:r>
                              <w:rPr>
                                <w:b/>
                                <w:i/>
                                <w:spacing w:val="-10"/>
                                <w:sz w:val="30"/>
                              </w:rPr>
                              <w:t>y</w:t>
                            </w:r>
                          </w:p>
                        </w:txbxContent>
                      </wps:txbx>
                      <wps:bodyPr wrap="square" lIns="0" tIns="0" rIns="0" bIns="0" rtlCol="0">
                        <a:noAutofit/>
                      </wps:bodyPr>
                    </wps:wsp>
                  </a:graphicData>
                </a:graphic>
              </wp:anchor>
            </w:drawing>
          </mc:Choice>
          <mc:Fallback>
            <w:pict>
              <v:shape w14:anchorId="7E003288" id="Textbox 29" o:spid="_x0000_s1039" type="#_x0000_t202" style="position:absolute;left:0;text-align:left;margin-left:168.55pt;margin-top:11.15pt;width:6.7pt;height:16.65pt;z-index:-2297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qqwlwEAACEDAAAOAAAAZHJzL2Uyb0RvYy54bWysUsGO0zAQvSPxD5bvNGnZRU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" filled="f" stroked="f">
                <v:textbox inset="0,0,0,0">
                  <w:txbxContent>
                    <w:p w14:paraId="7E0032BD" w14:textId="77777777" w:rsidR="009A58DB" w:rsidRDefault="00000000">
                      <w:pPr>
                        <w:spacing w:line="332" w:lineRule="exact"/>
                        <w:rPr>
                          <w:b/>
                          <w:i/>
                          <w:sz w:val="30"/>
                        </w:rPr>
                      </w:pPr>
                      <w:r>
                        <w:rPr>
                          <w:b/>
                          <w:i/>
                          <w:spacing w:val="-10"/>
                          <w:sz w:val="30"/>
                        </w:rPr>
                        <w:t>y</w:t>
                      </w:r>
                    </w:p>
                  </w:txbxContent>
                </v:textbox>
                <w10:wrap anchorx="page"/>
              </v:shape>
            </w:pict>
          </mc:Fallback>
        </mc:AlternateContent>
      </w:r>
      <w:bookmarkStart w:id="371" w:name="_bookmark371"/>
      <w:bookmarkEnd w:id="371"/>
      <w:r>
        <w:rPr>
          <w:b/>
          <w:i/>
          <w:color w:val="0562C1"/>
          <w:spacing w:val="-1"/>
          <w:position w:val="21"/>
          <w:u w:val="single" w:color="0562C1"/>
        </w:rPr>
        <w:t>[</w:t>
      </w:r>
      <w:r>
        <w:rPr>
          <w:b/>
          <w:i/>
          <w:color w:val="0562C1"/>
          <w:position w:val="21"/>
          <w:u w:val="single" w:color="0562C1"/>
        </w:rPr>
        <w:t>263</w:t>
      </w:r>
      <w:r>
        <w:rPr>
          <w:b/>
          <w:i/>
          <w:color w:val="0562C1"/>
          <w:spacing w:val="-2714"/>
          <w:position w:val="21"/>
          <w:u w:val="single" w:color="0562C1"/>
        </w:rPr>
        <w:t>]</w:t>
      </w:r>
      <w:r>
        <w:rPr>
          <w:spacing w:val="-1"/>
        </w:rPr>
        <w:t>i</w:t>
      </w:r>
      <w:r>
        <w:t>s</w:t>
      </w:r>
      <w:r>
        <w:rPr>
          <w:spacing w:val="80"/>
          <w:w w:val="150"/>
        </w:rPr>
        <w:t xml:space="preserve"> </w:t>
      </w:r>
      <w:r>
        <w:rPr>
          <w:b/>
          <w:i/>
        </w:rPr>
        <w:t>perspicuousl</w:t>
      </w:r>
      <w:r>
        <w:rPr>
          <w:b/>
          <w:i/>
        </w:rPr>
        <w:tab/>
      </w:r>
      <w:r>
        <w:t>represented by a sentence whose surface-structure bears no resemblance to (1)’s. That other sentence is one along the lines of:</w:t>
      </w:r>
    </w:p>
    <w:p w14:paraId="7E001BB0" w14:textId="77777777" w:rsidR="009A58DB" w:rsidRDefault="009A58DB">
      <w:pPr>
        <w:pStyle w:val="BodyText"/>
        <w:spacing w:before="17"/>
        <w:ind w:left="0"/>
        <w:jc w:val="left"/>
      </w:pPr>
    </w:p>
    <w:p w14:paraId="7E001BB1" w14:textId="77777777" w:rsidR="009A58DB" w:rsidRDefault="00000000">
      <w:pPr>
        <w:pStyle w:val="ListParagraph"/>
        <w:numPr>
          <w:ilvl w:val="0"/>
          <w:numId w:val="101"/>
        </w:numPr>
        <w:tabs>
          <w:tab w:val="left" w:pos="796"/>
        </w:tabs>
        <w:spacing w:before="1" w:line="249" w:lineRule="auto"/>
        <w:ind w:right="358" w:firstLine="0"/>
        <w:jc w:val="both"/>
        <w:rPr>
          <w:sz w:val="30"/>
        </w:rPr>
      </w:pPr>
      <w:r>
        <w:rPr>
          <w:sz w:val="30"/>
        </w:rPr>
        <w:t xml:space="preserve">“if Smith closes his eyes for x minutes and then reopens them, the things he sees are where one would </w:t>
      </w:r>
      <w:r>
        <w:rPr>
          <w:i/>
          <w:sz w:val="30"/>
        </w:rPr>
        <w:t>expect</w:t>
      </w:r>
      <w:r>
        <w:rPr>
          <w:i/>
          <w:spacing w:val="-3"/>
          <w:sz w:val="30"/>
        </w:rPr>
        <w:t xml:space="preserve"> </w:t>
      </w:r>
      <w:r>
        <w:rPr>
          <w:sz w:val="30"/>
        </w:rPr>
        <w:t xml:space="preserve">them to be, </w:t>
      </w:r>
      <w:r>
        <w:rPr>
          <w:i/>
          <w:sz w:val="30"/>
        </w:rPr>
        <w:t>given</w:t>
      </w:r>
      <w:r>
        <w:rPr>
          <w:i/>
          <w:spacing w:val="-2"/>
          <w:sz w:val="30"/>
        </w:rPr>
        <w:t xml:space="preserve"> </w:t>
      </w:r>
      <w:r>
        <w:rPr>
          <w:sz w:val="30"/>
        </w:rPr>
        <w:t>that they are subject to the usual forces.”</w:t>
      </w:r>
    </w:p>
    <w:p w14:paraId="7E001BB2" w14:textId="77777777" w:rsidR="009A58DB" w:rsidRDefault="009A58DB">
      <w:pPr>
        <w:pStyle w:val="BodyText"/>
        <w:spacing w:before="18"/>
        <w:ind w:left="0"/>
        <w:jc w:val="left"/>
      </w:pPr>
    </w:p>
    <w:p w14:paraId="7E001BB3" w14:textId="77777777" w:rsidR="009A58DB" w:rsidRDefault="00000000">
      <w:pPr>
        <w:pStyle w:val="BodyText"/>
        <w:spacing w:line="249" w:lineRule="auto"/>
        <w:ind w:right="358" w:firstLine="360"/>
      </w:pPr>
      <w:r>
        <w:t xml:space="preserve">Berkeley’s own illustration of this principle is a bit more crisp than this one. The stars are moving, Berkeley points out. A more precise way of putting it, as Berkeley himself makes clear, is that we are moving relative to the stars, and the stars are therefore moving relative to us. But, Berkeley points out, we don’t </w:t>
      </w:r>
      <w:r>
        <w:rPr>
          <w:i/>
        </w:rPr>
        <w:t>see</w:t>
      </w:r>
      <w:r>
        <w:rPr>
          <w:i/>
          <w:spacing w:val="-3"/>
        </w:rPr>
        <w:t xml:space="preserve"> </w:t>
      </w:r>
      <w:r>
        <w:t>the stars move. The blips in the sky that we see on a given</w:t>
      </w:r>
      <w:r>
        <w:rPr>
          <w:spacing w:val="-1"/>
        </w:rPr>
        <w:t xml:space="preserve"> </w:t>
      </w:r>
      <w:r>
        <w:t>night</w:t>
      </w:r>
      <w:r>
        <w:rPr>
          <w:spacing w:val="-1"/>
        </w:rPr>
        <w:t xml:space="preserve"> </w:t>
      </w:r>
      <w:r>
        <w:t>aren’t</w:t>
      </w:r>
      <w:r>
        <w:rPr>
          <w:spacing w:val="-1"/>
        </w:rPr>
        <w:t xml:space="preserve"> </w:t>
      </w:r>
      <w:r>
        <w:t>in the</w:t>
      </w:r>
      <w:r>
        <w:rPr>
          <w:spacing w:val="-1"/>
        </w:rPr>
        <w:t xml:space="preserve"> </w:t>
      </w:r>
      <w:r>
        <w:t>same relative</w:t>
      </w:r>
      <w:r>
        <w:rPr>
          <w:spacing w:val="-1"/>
        </w:rPr>
        <w:t xml:space="preserve"> </w:t>
      </w:r>
      <w:r>
        <w:t>positions as</w:t>
      </w:r>
      <w:r>
        <w:rPr>
          <w:spacing w:val="-1"/>
        </w:rPr>
        <w:t xml:space="preserve"> </w:t>
      </w:r>
      <w:r>
        <w:t>the blips</w:t>
      </w:r>
      <w:r>
        <w:rPr>
          <w:spacing w:val="-1"/>
        </w:rPr>
        <w:t xml:space="preserve"> </w:t>
      </w:r>
      <w:r>
        <w:t>in the</w:t>
      </w:r>
      <w:r>
        <w:rPr>
          <w:spacing w:val="-1"/>
        </w:rPr>
        <w:t xml:space="preserve"> </w:t>
      </w:r>
      <w:r>
        <w:t>sky that</w:t>
      </w:r>
      <w:r>
        <w:rPr>
          <w:spacing w:val="-1"/>
        </w:rPr>
        <w:t xml:space="preserve"> </w:t>
      </w:r>
      <w:r>
        <w:t>we see on other nights.</w:t>
      </w:r>
    </w:p>
    <w:p w14:paraId="7E001BB4" w14:textId="77777777" w:rsidR="009A58DB" w:rsidRDefault="00000000">
      <w:pPr>
        <w:pStyle w:val="BodyText"/>
        <w:spacing w:before="9" w:line="249" w:lineRule="auto"/>
        <w:ind w:right="365" w:firstLine="360"/>
      </w:pPr>
      <w:r>
        <w:t>For this reason, we do a kind of “regression analysis” on the blips that we see</w:t>
      </w:r>
      <w:r>
        <w:rPr>
          <w:spacing w:val="-3"/>
        </w:rPr>
        <w:t xml:space="preserve"> </w:t>
      </w:r>
      <w:r>
        <w:t>over</w:t>
      </w:r>
      <w:r>
        <w:rPr>
          <w:spacing w:val="-3"/>
        </w:rPr>
        <w:t xml:space="preserve"> </w:t>
      </w:r>
      <w:r>
        <w:t>the</w:t>
      </w:r>
      <w:r>
        <w:rPr>
          <w:spacing w:val="-3"/>
        </w:rPr>
        <w:t xml:space="preserve"> </w:t>
      </w:r>
      <w:r>
        <w:t>years.</w:t>
      </w:r>
      <w:r>
        <w:rPr>
          <w:spacing w:val="-1"/>
        </w:rPr>
        <w:t xml:space="preserve"> </w:t>
      </w:r>
      <w:r>
        <w:t>We</w:t>
      </w:r>
      <w:r>
        <w:rPr>
          <w:spacing w:val="-3"/>
        </w:rPr>
        <w:t xml:space="preserve"> </w:t>
      </w:r>
      <w:r>
        <w:t>try</w:t>
      </w:r>
      <w:r>
        <w:rPr>
          <w:spacing w:val="-2"/>
        </w:rPr>
        <w:t xml:space="preserve"> </w:t>
      </w:r>
      <w:r>
        <w:t>to</w:t>
      </w:r>
      <w:r>
        <w:rPr>
          <w:spacing w:val="-1"/>
        </w:rPr>
        <w:t xml:space="preserve"> </w:t>
      </w:r>
      <w:r>
        <w:t>connect</w:t>
      </w:r>
      <w:r>
        <w:rPr>
          <w:spacing w:val="-3"/>
        </w:rPr>
        <w:t xml:space="preserve"> </w:t>
      </w:r>
      <w:r>
        <w:t>the</w:t>
      </w:r>
      <w:r>
        <w:rPr>
          <w:spacing w:val="-3"/>
        </w:rPr>
        <w:t xml:space="preserve"> </w:t>
      </w:r>
      <w:r>
        <w:t>blips</w:t>
      </w:r>
      <w:r>
        <w:rPr>
          <w:spacing w:val="-2"/>
        </w:rPr>
        <w:t xml:space="preserve"> </w:t>
      </w:r>
      <w:r>
        <w:t>seen</w:t>
      </w:r>
      <w:r>
        <w:rPr>
          <w:spacing w:val="-2"/>
        </w:rPr>
        <w:t xml:space="preserve"> </w:t>
      </w:r>
      <w:r>
        <w:t>on</w:t>
      </w:r>
      <w:r>
        <w:rPr>
          <w:spacing w:val="-2"/>
        </w:rPr>
        <w:t xml:space="preserve"> </w:t>
      </w:r>
      <w:r>
        <w:t>night</w:t>
      </w:r>
      <w:r>
        <w:rPr>
          <w:spacing w:val="-2"/>
        </w:rPr>
        <w:t xml:space="preserve"> </w:t>
      </w:r>
      <w:r>
        <w:t>1</w:t>
      </w:r>
      <w:r>
        <w:rPr>
          <w:spacing w:val="-2"/>
        </w:rPr>
        <w:t xml:space="preserve"> </w:t>
      </w:r>
      <w:r>
        <w:t>with</w:t>
      </w:r>
      <w:r>
        <w:rPr>
          <w:spacing w:val="-2"/>
        </w:rPr>
        <w:t xml:space="preserve"> </w:t>
      </w:r>
      <w:r>
        <w:t>those</w:t>
      </w:r>
      <w:r>
        <w:rPr>
          <w:spacing w:val="-2"/>
        </w:rPr>
        <w:t xml:space="preserve"> </w:t>
      </w:r>
      <w:r>
        <w:rPr>
          <w:spacing w:val="-4"/>
        </w:rPr>
        <w:t>seen</w:t>
      </w:r>
    </w:p>
    <w:p w14:paraId="7E001BB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B6" w14:textId="77777777" w:rsidR="009A58DB" w:rsidRDefault="00000000">
      <w:pPr>
        <w:pStyle w:val="BodyText"/>
        <w:spacing w:before="65" w:line="249" w:lineRule="auto"/>
        <w:ind w:right="362"/>
      </w:pPr>
      <w:r>
        <w:lastRenderedPageBreak/>
        <w:t>on night 2, and we try to connect the latter with those seen on night 3, and so on. So if N</w:t>
      </w:r>
      <w:r>
        <w:rPr>
          <w:vertAlign w:val="subscript"/>
        </w:rPr>
        <w:t>1</w:t>
      </w:r>
      <w:r>
        <w:t>...N</w:t>
      </w:r>
      <w:r>
        <w:rPr>
          <w:position w:val="-7"/>
          <w:sz w:val="22"/>
        </w:rPr>
        <w:t>n</w:t>
      </w:r>
      <w:r>
        <w:rPr>
          <w:spacing w:val="40"/>
          <w:position w:val="-7"/>
          <w:sz w:val="22"/>
        </w:rPr>
        <w:t xml:space="preserve"> </w:t>
      </w:r>
      <w:r>
        <w:t>are nights in question, and n is some high number (e.g., 500), we identify curves such that, if it is assumed that those curves are the trajectories of those blips, it follows that those blips obey well-defined, relative simple laws. So the logical form of:</w:t>
      </w:r>
    </w:p>
    <w:p w14:paraId="7E001BB7" w14:textId="77777777" w:rsidR="009A58DB" w:rsidRDefault="009A58DB">
      <w:pPr>
        <w:pStyle w:val="BodyText"/>
        <w:spacing w:before="18"/>
        <w:ind w:left="0"/>
        <w:jc w:val="left"/>
      </w:pPr>
    </w:p>
    <w:p w14:paraId="7E001BB8" w14:textId="77777777" w:rsidR="009A58DB" w:rsidRDefault="00000000">
      <w:pPr>
        <w:pStyle w:val="ListParagraph"/>
        <w:numPr>
          <w:ilvl w:val="0"/>
          <w:numId w:val="100"/>
        </w:numPr>
        <w:tabs>
          <w:tab w:val="left" w:pos="848"/>
        </w:tabs>
        <w:ind w:left="848" w:hanging="488"/>
        <w:jc w:val="both"/>
        <w:rPr>
          <w:sz w:val="30"/>
        </w:rPr>
      </w:pPr>
      <w:r>
        <w:rPr>
          <w:sz w:val="30"/>
        </w:rPr>
        <w:t>“the</w:t>
      </w:r>
      <w:r>
        <w:rPr>
          <w:spacing w:val="-5"/>
          <w:sz w:val="30"/>
        </w:rPr>
        <w:t xml:space="preserve"> </w:t>
      </w:r>
      <w:r>
        <w:rPr>
          <w:sz w:val="30"/>
        </w:rPr>
        <w:t>stars</w:t>
      </w:r>
      <w:r>
        <w:rPr>
          <w:spacing w:val="-3"/>
          <w:sz w:val="30"/>
        </w:rPr>
        <w:t xml:space="preserve"> </w:t>
      </w:r>
      <w:r>
        <w:rPr>
          <w:sz w:val="30"/>
        </w:rPr>
        <w:t>are</w:t>
      </w:r>
      <w:r>
        <w:rPr>
          <w:spacing w:val="-3"/>
          <w:sz w:val="30"/>
        </w:rPr>
        <w:t xml:space="preserve"> </w:t>
      </w:r>
      <w:r>
        <w:rPr>
          <w:sz w:val="30"/>
        </w:rPr>
        <w:t>moving</w:t>
      </w:r>
      <w:r>
        <w:rPr>
          <w:spacing w:val="-2"/>
          <w:sz w:val="30"/>
        </w:rPr>
        <w:t xml:space="preserve"> </w:t>
      </w:r>
      <w:r>
        <w:rPr>
          <w:sz w:val="30"/>
        </w:rPr>
        <w:t>even</w:t>
      </w:r>
      <w:r>
        <w:rPr>
          <w:spacing w:val="-1"/>
          <w:sz w:val="30"/>
        </w:rPr>
        <w:t xml:space="preserve"> </w:t>
      </w:r>
      <w:r>
        <w:rPr>
          <w:sz w:val="30"/>
        </w:rPr>
        <w:t>when</w:t>
      </w:r>
      <w:r>
        <w:rPr>
          <w:spacing w:val="-2"/>
          <w:sz w:val="30"/>
        </w:rPr>
        <w:t xml:space="preserve"> </w:t>
      </w:r>
      <w:r>
        <w:rPr>
          <w:sz w:val="30"/>
        </w:rPr>
        <w:t>nobody</w:t>
      </w:r>
      <w:r>
        <w:rPr>
          <w:spacing w:val="-2"/>
          <w:sz w:val="30"/>
        </w:rPr>
        <w:t xml:space="preserve"> </w:t>
      </w:r>
      <w:r>
        <w:rPr>
          <w:sz w:val="30"/>
        </w:rPr>
        <w:t>is</w:t>
      </w:r>
      <w:r>
        <w:rPr>
          <w:spacing w:val="-3"/>
          <w:sz w:val="30"/>
        </w:rPr>
        <w:t xml:space="preserve"> </w:t>
      </w:r>
      <w:r>
        <w:rPr>
          <w:sz w:val="30"/>
        </w:rPr>
        <w:t>looking</w:t>
      </w:r>
      <w:r>
        <w:rPr>
          <w:spacing w:val="-2"/>
          <w:sz w:val="30"/>
        </w:rPr>
        <w:t xml:space="preserve"> </w:t>
      </w:r>
      <w:r>
        <w:rPr>
          <w:sz w:val="30"/>
        </w:rPr>
        <w:t>at</w:t>
      </w:r>
      <w:r>
        <w:rPr>
          <w:spacing w:val="-2"/>
          <w:sz w:val="30"/>
        </w:rPr>
        <w:t xml:space="preserve"> them”</w:t>
      </w:r>
    </w:p>
    <w:p w14:paraId="7E001BB9" w14:textId="77777777" w:rsidR="009A58DB" w:rsidRDefault="009A58DB">
      <w:pPr>
        <w:pStyle w:val="BodyText"/>
        <w:spacing w:before="30"/>
        <w:ind w:left="0"/>
        <w:jc w:val="left"/>
      </w:pPr>
    </w:p>
    <w:p w14:paraId="7E001BBA" w14:textId="77777777" w:rsidR="009A58DB" w:rsidRDefault="00000000">
      <w:pPr>
        <w:pStyle w:val="BodyText"/>
      </w:pPr>
      <w:r>
        <w:t>is</w:t>
      </w:r>
      <w:r>
        <w:rPr>
          <w:spacing w:val="-7"/>
        </w:rPr>
        <w:t xml:space="preserve"> </w:t>
      </w:r>
      <w:r>
        <w:t>perspicuously</w:t>
      </w:r>
      <w:r>
        <w:rPr>
          <w:spacing w:val="-4"/>
        </w:rPr>
        <w:t xml:space="preserve"> </w:t>
      </w:r>
      <w:r>
        <w:t>given</w:t>
      </w:r>
      <w:r>
        <w:rPr>
          <w:spacing w:val="-4"/>
        </w:rPr>
        <w:t xml:space="preserve"> </w:t>
      </w:r>
      <w:r>
        <w:t>by</w:t>
      </w:r>
      <w:r>
        <w:rPr>
          <w:spacing w:val="-4"/>
        </w:rPr>
        <w:t xml:space="preserve"> </w:t>
      </w:r>
      <w:r>
        <w:t>the</w:t>
      </w:r>
      <w:r>
        <w:rPr>
          <w:spacing w:val="-4"/>
        </w:rPr>
        <w:t xml:space="preserve"> </w:t>
      </w:r>
      <w:r>
        <w:t>grammatically</w:t>
      </w:r>
      <w:r>
        <w:rPr>
          <w:spacing w:val="-4"/>
        </w:rPr>
        <w:t xml:space="preserve"> </w:t>
      </w:r>
      <w:r>
        <w:t>very</w:t>
      </w:r>
      <w:r>
        <w:rPr>
          <w:spacing w:val="-4"/>
        </w:rPr>
        <w:t xml:space="preserve"> </w:t>
      </w:r>
      <w:r>
        <w:t>different</w:t>
      </w:r>
      <w:r>
        <w:rPr>
          <w:spacing w:val="-4"/>
        </w:rPr>
        <w:t xml:space="preserve"> </w:t>
      </w:r>
      <w:r>
        <w:rPr>
          <w:spacing w:val="-2"/>
        </w:rPr>
        <w:t>sentence:</w:t>
      </w:r>
    </w:p>
    <w:p w14:paraId="7E001BBB" w14:textId="77777777" w:rsidR="009A58DB" w:rsidRDefault="009A58DB">
      <w:pPr>
        <w:pStyle w:val="BodyText"/>
        <w:spacing w:before="30"/>
        <w:ind w:left="0"/>
        <w:jc w:val="left"/>
      </w:pPr>
    </w:p>
    <w:p w14:paraId="7E001BBC" w14:textId="77777777" w:rsidR="009A58DB" w:rsidRDefault="00000000">
      <w:pPr>
        <w:pStyle w:val="ListParagraph"/>
        <w:numPr>
          <w:ilvl w:val="0"/>
          <w:numId w:val="100"/>
        </w:numPr>
        <w:tabs>
          <w:tab w:val="left" w:pos="877"/>
        </w:tabs>
        <w:spacing w:line="249" w:lineRule="auto"/>
        <w:ind w:left="360" w:right="361" w:firstLine="0"/>
        <w:jc w:val="both"/>
        <w:rPr>
          <w:sz w:val="30"/>
        </w:rPr>
      </w:pPr>
      <w:r>
        <w:rPr>
          <w:sz w:val="30"/>
        </w:rPr>
        <w:t>“if it is assumed that, when we’re not looking at them, the stars obey certain laws and, therefore, have certain trajectories, we can make observationally accurate predictions that we couldn’t otherwise make, and arrive at observationally correct explanations that we couldn’t otherwise arrive at.</w:t>
      </w:r>
    </w:p>
    <w:p w14:paraId="7E001BBD" w14:textId="77777777" w:rsidR="009A58DB" w:rsidRDefault="009A58DB">
      <w:pPr>
        <w:pStyle w:val="BodyText"/>
        <w:spacing w:before="21"/>
        <w:ind w:left="0"/>
        <w:jc w:val="left"/>
      </w:pPr>
    </w:p>
    <w:p w14:paraId="7E001BBE" w14:textId="77777777" w:rsidR="009A58DB" w:rsidRDefault="00000000">
      <w:pPr>
        <w:pStyle w:val="BodyText"/>
        <w:spacing w:line="249" w:lineRule="auto"/>
        <w:ind w:right="359" w:firstLine="360"/>
      </w:pPr>
      <w:r>
        <w:t>Berkeley said, as clearly as it can be said, that what sentences really mean isn’t what, given their overt forms, they seem to mean. So setting aside some petty and insubstantial objections relating to the exact meanings of “grammatical” and “logical,” Berkeley was, to my knowledge, the first</w:t>
      </w:r>
      <w:r>
        <w:rPr>
          <w:spacing w:val="40"/>
        </w:rPr>
        <w:t xml:space="preserve"> </w:t>
      </w:r>
      <w:r>
        <w:t xml:space="preserve">person to recognize the distinction between grammatical and logical form. </w:t>
      </w:r>
      <w:bookmarkStart w:id="372" w:name="_bookmark372"/>
      <w:bookmarkEnd w:id="372"/>
      <w:r>
        <w:rPr>
          <w:color w:val="0562C1"/>
          <w:spacing w:val="-2"/>
          <w:u w:val="single" w:color="0562C1"/>
        </w:rPr>
        <w:t>[264]</w:t>
      </w:r>
    </w:p>
    <w:p w14:paraId="7E001BB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C0" w14:textId="77777777" w:rsidR="009A58DB" w:rsidRDefault="00000000">
      <w:pPr>
        <w:spacing w:before="50"/>
        <w:ind w:left="326" w:right="332"/>
        <w:jc w:val="center"/>
        <w:rPr>
          <w:rFonts w:ascii="Calibri Light"/>
          <w:sz w:val="42"/>
        </w:rPr>
      </w:pPr>
      <w:bookmarkStart w:id="373" w:name="_bookmark373"/>
      <w:bookmarkEnd w:id="373"/>
      <w:r>
        <w:rPr>
          <w:rFonts w:ascii="Calibri Light"/>
          <w:sz w:val="42"/>
        </w:rPr>
        <w:lastRenderedPageBreak/>
        <w:t>P</w:t>
      </w:r>
      <w:r>
        <w:rPr>
          <w:rFonts w:ascii="Liberation Serif"/>
          <w:b/>
          <w:sz w:val="42"/>
        </w:rPr>
        <w:t>ART</w:t>
      </w:r>
      <w:r>
        <w:rPr>
          <w:rFonts w:ascii="Liberation Serif"/>
          <w:b/>
          <w:spacing w:val="-5"/>
          <w:sz w:val="42"/>
        </w:rPr>
        <w:t xml:space="preserve"> </w:t>
      </w:r>
      <w:r>
        <w:rPr>
          <w:rFonts w:ascii="Calibri Light"/>
          <w:spacing w:val="-5"/>
          <w:sz w:val="42"/>
        </w:rPr>
        <w:t>IV</w:t>
      </w:r>
    </w:p>
    <w:p w14:paraId="7E001BC1" w14:textId="77777777" w:rsidR="009A58DB" w:rsidRDefault="00000000">
      <w:pPr>
        <w:spacing w:before="234" w:line="232" w:lineRule="auto"/>
        <w:ind w:left="3171" w:right="3177" w:hanging="95"/>
        <w:jc w:val="center"/>
        <w:rPr>
          <w:rFonts w:ascii="Calibri Light"/>
          <w:sz w:val="42"/>
        </w:rPr>
      </w:pPr>
      <w:bookmarkStart w:id="374" w:name="_bookmark374"/>
      <w:bookmarkEnd w:id="374"/>
      <w:r>
        <w:rPr>
          <w:rFonts w:ascii="Calibri Light"/>
          <w:sz w:val="42"/>
        </w:rPr>
        <w:t>Necessity, Causality, and Personal Identity</w:t>
      </w:r>
    </w:p>
    <w:p w14:paraId="7E001BC2" w14:textId="77777777" w:rsidR="009A58DB" w:rsidRDefault="009A58DB">
      <w:pPr>
        <w:spacing w:line="232" w:lineRule="auto"/>
        <w:jc w:val="center"/>
        <w:rPr>
          <w:rFonts w:ascii="Calibri Light"/>
          <w:sz w:val="42"/>
        </w:rPr>
        <w:sectPr w:rsidR="009A58DB">
          <w:pgSz w:w="12240" w:h="15840"/>
          <w:pgMar w:top="1620" w:right="1080" w:bottom="280" w:left="1080" w:header="720" w:footer="720" w:gutter="0"/>
          <w:cols w:space="720"/>
        </w:sectPr>
      </w:pPr>
    </w:p>
    <w:p w14:paraId="7E001BC3" w14:textId="77777777" w:rsidR="009A58DB" w:rsidRDefault="00000000">
      <w:pPr>
        <w:spacing w:line="503" w:lineRule="exact"/>
        <w:ind w:left="326" w:right="332"/>
        <w:jc w:val="center"/>
        <w:rPr>
          <w:rFonts w:ascii="Calibri Light"/>
          <w:sz w:val="42"/>
        </w:rPr>
      </w:pPr>
      <w:bookmarkStart w:id="375" w:name="_bookmark375"/>
      <w:bookmarkEnd w:id="375"/>
      <w:r>
        <w:rPr>
          <w:rFonts w:ascii="Calibri Light"/>
          <w:sz w:val="42"/>
        </w:rPr>
        <w:lastRenderedPageBreak/>
        <w:t>Chapter</w:t>
      </w:r>
      <w:r>
        <w:rPr>
          <w:rFonts w:ascii="Calibri Light"/>
          <w:spacing w:val="56"/>
          <w:sz w:val="42"/>
        </w:rPr>
        <w:t xml:space="preserve"> </w:t>
      </w:r>
      <w:r>
        <w:rPr>
          <w:rFonts w:ascii="Calibri Light"/>
          <w:spacing w:val="-5"/>
          <w:sz w:val="42"/>
        </w:rPr>
        <w:t>14</w:t>
      </w:r>
    </w:p>
    <w:p w14:paraId="7E001BC4" w14:textId="77777777" w:rsidR="009A58DB" w:rsidRDefault="00000000">
      <w:pPr>
        <w:spacing w:before="222"/>
        <w:ind w:left="326" w:right="332"/>
        <w:jc w:val="center"/>
        <w:rPr>
          <w:rFonts w:ascii="Calibri Light"/>
          <w:sz w:val="42"/>
        </w:rPr>
      </w:pPr>
      <w:bookmarkStart w:id="376" w:name="_bookmark376"/>
      <w:bookmarkEnd w:id="376"/>
      <w:r>
        <w:rPr>
          <w:rFonts w:ascii="Calibri Light"/>
          <w:sz w:val="42"/>
        </w:rPr>
        <w:t>Determinism,</w:t>
      </w:r>
      <w:r>
        <w:rPr>
          <w:rFonts w:ascii="Calibri Light"/>
          <w:spacing w:val="69"/>
          <w:sz w:val="42"/>
        </w:rPr>
        <w:t xml:space="preserve"> </w:t>
      </w:r>
      <w:r>
        <w:rPr>
          <w:rFonts w:ascii="Calibri Light"/>
          <w:sz w:val="42"/>
        </w:rPr>
        <w:t>Randomness,</w:t>
      </w:r>
      <w:r>
        <w:rPr>
          <w:rFonts w:ascii="Calibri Light"/>
          <w:spacing w:val="69"/>
          <w:sz w:val="42"/>
        </w:rPr>
        <w:t xml:space="preserve"> </w:t>
      </w:r>
      <w:r>
        <w:rPr>
          <w:rFonts w:ascii="Calibri Light"/>
          <w:sz w:val="42"/>
        </w:rPr>
        <w:t>and</w:t>
      </w:r>
      <w:r>
        <w:rPr>
          <w:rFonts w:ascii="Calibri Light"/>
          <w:spacing w:val="70"/>
          <w:sz w:val="42"/>
        </w:rPr>
        <w:t xml:space="preserve"> </w:t>
      </w:r>
      <w:r>
        <w:rPr>
          <w:rFonts w:ascii="Calibri Light"/>
          <w:spacing w:val="-2"/>
          <w:sz w:val="42"/>
        </w:rPr>
        <w:t>Unpredictability</w:t>
      </w:r>
    </w:p>
    <w:p w14:paraId="7E001BC5" w14:textId="77777777" w:rsidR="009A58DB" w:rsidRDefault="00000000">
      <w:pPr>
        <w:pStyle w:val="Heading1"/>
        <w:numPr>
          <w:ilvl w:val="0"/>
          <w:numId w:val="99"/>
        </w:numPr>
        <w:tabs>
          <w:tab w:val="left" w:pos="990"/>
        </w:tabs>
        <w:spacing w:before="185"/>
      </w:pPr>
      <w:r>
        <w:t>Determinism</w:t>
      </w:r>
      <w:r>
        <w:rPr>
          <w:spacing w:val="-9"/>
        </w:rPr>
        <w:t xml:space="preserve"> </w:t>
      </w:r>
      <w:r>
        <w:t>and</w:t>
      </w:r>
      <w:r>
        <w:rPr>
          <w:spacing w:val="-6"/>
        </w:rPr>
        <w:t xml:space="preserve"> </w:t>
      </w:r>
      <w:r>
        <w:rPr>
          <w:spacing w:val="-2"/>
        </w:rPr>
        <w:t>indeterminism</w:t>
      </w:r>
    </w:p>
    <w:p w14:paraId="7E001BC6" w14:textId="77777777" w:rsidR="009A58DB" w:rsidRDefault="00000000">
      <w:pPr>
        <w:pStyle w:val="BodyText"/>
        <w:spacing w:before="139" w:line="249" w:lineRule="auto"/>
        <w:ind w:right="364"/>
      </w:pPr>
      <w:r>
        <w:t>Determinism</w:t>
      </w:r>
      <w:r>
        <w:rPr>
          <w:spacing w:val="-3"/>
        </w:rPr>
        <w:t xml:space="preserve"> </w:t>
      </w:r>
      <w:r>
        <w:t>is</w:t>
      </w:r>
      <w:r>
        <w:rPr>
          <w:spacing w:val="-3"/>
        </w:rPr>
        <w:t xml:space="preserve"> </w:t>
      </w:r>
      <w:r>
        <w:t>the</w:t>
      </w:r>
      <w:r>
        <w:rPr>
          <w:spacing w:val="-3"/>
        </w:rPr>
        <w:t xml:space="preserve"> </w:t>
      </w:r>
      <w:r>
        <w:t>view</w:t>
      </w:r>
      <w:r>
        <w:rPr>
          <w:spacing w:val="-3"/>
        </w:rPr>
        <w:t xml:space="preserve"> </w:t>
      </w:r>
      <w:r>
        <w:t>that</w:t>
      </w:r>
      <w:r>
        <w:rPr>
          <w:spacing w:val="-3"/>
        </w:rPr>
        <w:t xml:space="preserve"> </w:t>
      </w:r>
      <w:r>
        <w:t>how</w:t>
      </w:r>
      <w:r>
        <w:rPr>
          <w:spacing w:val="-3"/>
        </w:rPr>
        <w:t xml:space="preserve"> </w:t>
      </w:r>
      <w:r>
        <w:t>the</w:t>
      </w:r>
      <w:r>
        <w:rPr>
          <w:spacing w:val="-3"/>
        </w:rPr>
        <w:t xml:space="preserve"> </w:t>
      </w:r>
      <w:r>
        <w:t>world</w:t>
      </w:r>
      <w:r>
        <w:rPr>
          <w:spacing w:val="-3"/>
        </w:rPr>
        <w:t xml:space="preserve"> </w:t>
      </w:r>
      <w:r>
        <w:t>is</w:t>
      </w:r>
      <w:r>
        <w:rPr>
          <w:spacing w:val="-3"/>
        </w:rPr>
        <w:t xml:space="preserve"> </w:t>
      </w:r>
      <w:r>
        <w:t>at</w:t>
      </w:r>
      <w:r>
        <w:rPr>
          <w:spacing w:val="-3"/>
        </w:rPr>
        <w:t xml:space="preserve"> </w:t>
      </w:r>
      <w:r>
        <w:t>any</w:t>
      </w:r>
      <w:r>
        <w:rPr>
          <w:spacing w:val="-3"/>
        </w:rPr>
        <w:t xml:space="preserve"> </w:t>
      </w:r>
      <w:r>
        <w:t>given</w:t>
      </w:r>
      <w:r>
        <w:rPr>
          <w:spacing w:val="-3"/>
        </w:rPr>
        <w:t xml:space="preserve"> </w:t>
      </w:r>
      <w:r>
        <w:t>point</w:t>
      </w:r>
      <w:r>
        <w:rPr>
          <w:spacing w:val="-3"/>
        </w:rPr>
        <w:t xml:space="preserve"> </w:t>
      </w:r>
      <w:r>
        <w:t>in</w:t>
      </w:r>
      <w:r>
        <w:rPr>
          <w:spacing w:val="-3"/>
        </w:rPr>
        <w:t xml:space="preserve"> </w:t>
      </w:r>
      <w:r>
        <w:t>time</w:t>
      </w:r>
      <w:r>
        <w:rPr>
          <w:spacing w:val="-3"/>
        </w:rPr>
        <w:t xml:space="preserve"> </w:t>
      </w:r>
      <w:r>
        <w:t>fixes how it will be in every respect at all later times. So given how the world is now, there is only one way it could possibly be in a thousand (or a billion) years.</w:t>
      </w:r>
      <w:r>
        <w:rPr>
          <w:spacing w:val="-2"/>
        </w:rPr>
        <w:t xml:space="preserve"> </w:t>
      </w:r>
      <w:r>
        <w:t>And</w:t>
      </w:r>
      <w:r>
        <w:rPr>
          <w:spacing w:val="-2"/>
        </w:rPr>
        <w:t xml:space="preserve"> </w:t>
      </w:r>
      <w:r>
        <w:t>given</w:t>
      </w:r>
      <w:r>
        <w:rPr>
          <w:spacing w:val="-2"/>
        </w:rPr>
        <w:t xml:space="preserve"> </w:t>
      </w:r>
      <w:r>
        <w:t>how</w:t>
      </w:r>
      <w:r>
        <w:rPr>
          <w:spacing w:val="-1"/>
        </w:rPr>
        <w:t xml:space="preserve"> </w:t>
      </w:r>
      <w:r>
        <w:t>the</w:t>
      </w:r>
      <w:r>
        <w:rPr>
          <w:spacing w:val="-2"/>
        </w:rPr>
        <w:t xml:space="preserve"> </w:t>
      </w:r>
      <w:r>
        <w:t>world</w:t>
      </w:r>
      <w:r>
        <w:rPr>
          <w:spacing w:val="-2"/>
        </w:rPr>
        <w:t xml:space="preserve"> </w:t>
      </w:r>
      <w:r>
        <w:t>was</w:t>
      </w:r>
      <w:r>
        <w:rPr>
          <w:spacing w:val="-2"/>
        </w:rPr>
        <w:t xml:space="preserve"> </w:t>
      </w:r>
      <w:r>
        <w:t>a</w:t>
      </w:r>
      <w:r>
        <w:rPr>
          <w:spacing w:val="-1"/>
        </w:rPr>
        <w:t xml:space="preserve"> </w:t>
      </w:r>
      <w:r>
        <w:t>minute</w:t>
      </w:r>
      <w:r>
        <w:rPr>
          <w:spacing w:val="-2"/>
        </w:rPr>
        <w:t xml:space="preserve"> </w:t>
      </w:r>
      <w:r>
        <w:t>ago</w:t>
      </w:r>
      <w:r>
        <w:rPr>
          <w:spacing w:val="-2"/>
        </w:rPr>
        <w:t xml:space="preserve"> </w:t>
      </w:r>
      <w:r>
        <w:t>(or</w:t>
      </w:r>
      <w:r>
        <w:rPr>
          <w:spacing w:val="-2"/>
        </w:rPr>
        <w:t xml:space="preserve"> </w:t>
      </w:r>
      <w:r>
        <w:t>a</w:t>
      </w:r>
      <w:r>
        <w:rPr>
          <w:spacing w:val="-1"/>
        </w:rPr>
        <w:t xml:space="preserve"> </w:t>
      </w:r>
      <w:r>
        <w:t>billion</w:t>
      </w:r>
      <w:r>
        <w:rPr>
          <w:spacing w:val="-2"/>
        </w:rPr>
        <w:t xml:space="preserve"> </w:t>
      </w:r>
      <w:r>
        <w:t>years</w:t>
      </w:r>
      <w:r>
        <w:rPr>
          <w:spacing w:val="-2"/>
        </w:rPr>
        <w:t xml:space="preserve"> </w:t>
      </w:r>
      <w:r>
        <w:t>ago),</w:t>
      </w:r>
      <w:r>
        <w:rPr>
          <w:spacing w:val="-1"/>
        </w:rPr>
        <w:t xml:space="preserve"> </w:t>
      </w:r>
      <w:r>
        <w:t xml:space="preserve">the world </w:t>
      </w:r>
      <w:r>
        <w:rPr>
          <w:i/>
        </w:rPr>
        <w:t xml:space="preserve">has </w:t>
      </w:r>
      <w:r>
        <w:t>to be the way it is now: things couldn’t possibly be any other way.</w:t>
      </w:r>
    </w:p>
    <w:p w14:paraId="7E001BC7" w14:textId="77777777" w:rsidR="009A58DB" w:rsidRDefault="00000000">
      <w:pPr>
        <w:pStyle w:val="BodyText"/>
        <w:spacing w:before="6" w:line="249" w:lineRule="auto"/>
        <w:ind w:right="362" w:firstLine="360"/>
      </w:pPr>
      <w:r>
        <w:rPr>
          <w:i/>
        </w:rPr>
        <w:t xml:space="preserve">Indeterminism </w:t>
      </w:r>
      <w:r>
        <w:t xml:space="preserve">is the doctrine that determinism is false. So it is the view that, for at least </w:t>
      </w:r>
      <w:r>
        <w:rPr>
          <w:i/>
        </w:rPr>
        <w:t xml:space="preserve">one </w:t>
      </w:r>
      <w:r>
        <w:t>moment in time, how the world is at that time does not completely fix how the world will be at all later times.</w:t>
      </w:r>
    </w:p>
    <w:p w14:paraId="7E001BC8" w14:textId="77777777" w:rsidR="009A58DB" w:rsidRDefault="00000000">
      <w:pPr>
        <w:pStyle w:val="BodyText"/>
        <w:spacing w:before="4" w:line="249" w:lineRule="auto"/>
        <w:ind w:right="363" w:firstLine="360"/>
      </w:pPr>
      <w:r>
        <w:t xml:space="preserve">Indeterminism is </w:t>
      </w:r>
      <w:r>
        <w:rPr>
          <w:i/>
        </w:rPr>
        <w:t xml:space="preserve">not </w:t>
      </w:r>
      <w:r>
        <w:t>the view that the world is chaotic or lawless. Indeterminism is actually an extremely moderate doctrine. All it says is that, at</w:t>
      </w:r>
      <w:r>
        <w:rPr>
          <w:spacing w:val="-3"/>
        </w:rPr>
        <w:t xml:space="preserve"> </w:t>
      </w:r>
      <w:r>
        <w:rPr>
          <w:i/>
        </w:rPr>
        <w:t>some</w:t>
      </w:r>
      <w:r>
        <w:rPr>
          <w:i/>
          <w:spacing w:val="-3"/>
        </w:rPr>
        <w:t xml:space="preserve"> </w:t>
      </w:r>
      <w:r>
        <w:t>point in time (it could be past, present, or future), some event occurs that doesn’t have to occur. So, technically speaking, for indeterminism to be true, there needs to be only one “renegade” event.</w:t>
      </w:r>
    </w:p>
    <w:p w14:paraId="7E001BC9" w14:textId="77777777" w:rsidR="009A58DB" w:rsidRDefault="00000000">
      <w:pPr>
        <w:pStyle w:val="BodyText"/>
        <w:spacing w:before="6" w:line="249" w:lineRule="auto"/>
        <w:ind w:right="359" w:firstLine="360"/>
      </w:pPr>
      <w:r>
        <w:t xml:space="preserve">Determinism is thus much harder to establish than indeterminism. After all, the determinist says that, for </w:t>
      </w:r>
      <w:r>
        <w:rPr>
          <w:i/>
        </w:rPr>
        <w:t xml:space="preserve">any </w:t>
      </w:r>
      <w:r>
        <w:t xml:space="preserve">time t, how the world is at t determines how the world will be in </w:t>
      </w:r>
      <w:r>
        <w:rPr>
          <w:i/>
        </w:rPr>
        <w:t xml:space="preserve">every </w:t>
      </w:r>
      <w:r>
        <w:t xml:space="preserve">respect at </w:t>
      </w:r>
      <w:r>
        <w:rPr>
          <w:i/>
        </w:rPr>
        <w:t xml:space="preserve">all </w:t>
      </w:r>
      <w:r>
        <w:t>later times. Which is a very strong</w:t>
      </w:r>
      <w:r>
        <w:rPr>
          <w:spacing w:val="-2"/>
        </w:rPr>
        <w:t xml:space="preserve"> </w:t>
      </w:r>
      <w:r>
        <w:t>claim.</w:t>
      </w:r>
      <w:r>
        <w:rPr>
          <w:spacing w:val="-2"/>
        </w:rPr>
        <w:t xml:space="preserve"> </w:t>
      </w:r>
      <w:r>
        <w:t>Indeterminism,</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only</w:t>
      </w:r>
      <w:r>
        <w:rPr>
          <w:spacing w:val="-2"/>
        </w:rPr>
        <w:t xml:space="preserve"> </w:t>
      </w:r>
      <w:r>
        <w:t>says</w:t>
      </w:r>
      <w:r>
        <w:rPr>
          <w:spacing w:val="-2"/>
        </w:rPr>
        <w:t xml:space="preserve"> </w:t>
      </w:r>
      <w:r>
        <w:t>that</w:t>
      </w:r>
      <w:r>
        <w:rPr>
          <w:spacing w:val="-2"/>
        </w:rPr>
        <w:t xml:space="preserve"> </w:t>
      </w:r>
      <w:r>
        <w:t>there</w:t>
      </w:r>
      <w:r>
        <w:rPr>
          <w:spacing w:val="-2"/>
        </w:rPr>
        <w:t xml:space="preserve"> </w:t>
      </w:r>
      <w:r>
        <w:t>is</w:t>
      </w:r>
      <w:r>
        <w:rPr>
          <w:spacing w:val="-2"/>
        </w:rPr>
        <w:t xml:space="preserve"> </w:t>
      </w:r>
      <w:r>
        <w:rPr>
          <w:i/>
        </w:rPr>
        <w:t xml:space="preserve">at least one </w:t>
      </w:r>
      <w:r>
        <w:t xml:space="preserve">counterexample to what the determinist says. Which is not a very strong </w:t>
      </w:r>
      <w:r>
        <w:rPr>
          <w:spacing w:val="-2"/>
        </w:rPr>
        <w:t>claim.</w:t>
      </w:r>
    </w:p>
    <w:p w14:paraId="7E001BCA" w14:textId="77777777" w:rsidR="009A58DB" w:rsidRDefault="00000000">
      <w:pPr>
        <w:pStyle w:val="BodyText"/>
        <w:spacing w:before="8" w:line="249" w:lineRule="auto"/>
        <w:ind w:right="359" w:firstLine="360"/>
      </w:pPr>
      <w:r>
        <w:t xml:space="preserve">Nonetheless, even though determinism is a strong statement for which it is difficult to produce definitive grounds, we know that it is true or at least a very close approximation to the truth. It is an open question whether, at the sub-atomic level, the world is strictly deterministic. But whatever indeterminacies there are at that level seldom, if ever, percolate up to the molecular, cellular, biological, planetary, or astronomical scales. So, for most intents and purposes, the world in which </w:t>
      </w:r>
      <w:r>
        <w:rPr>
          <w:i/>
        </w:rPr>
        <w:t xml:space="preserve">we </w:t>
      </w:r>
      <w:r>
        <w:t>operate—the world of “medium sized” objects—is deterministic.</w:t>
      </w:r>
    </w:p>
    <w:p w14:paraId="7E001BCB" w14:textId="77777777" w:rsidR="009A58DB" w:rsidRDefault="00000000">
      <w:pPr>
        <w:pStyle w:val="BodyText"/>
        <w:spacing w:before="9" w:line="249" w:lineRule="auto"/>
        <w:ind w:right="358" w:firstLine="360"/>
      </w:pPr>
      <w:r>
        <w:t xml:space="preserve">To be sure, the world often </w:t>
      </w:r>
      <w:r>
        <w:rPr>
          <w:i/>
        </w:rPr>
        <w:t xml:space="preserve">seems </w:t>
      </w:r>
      <w:r>
        <w:t>to be indeterministic. But careful scrutiny of any such situation, with the possible exception of those at the sub-</w:t>
      </w:r>
    </w:p>
    <w:p w14:paraId="7E001BCC"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BCD" w14:textId="77777777" w:rsidR="009A58DB" w:rsidRDefault="00000000">
      <w:pPr>
        <w:pStyle w:val="BodyText"/>
        <w:spacing w:before="60"/>
      </w:pPr>
      <w:r>
        <w:lastRenderedPageBreak/>
        <w:t>atomic</w:t>
      </w:r>
      <w:r>
        <w:rPr>
          <w:spacing w:val="-6"/>
        </w:rPr>
        <w:t xml:space="preserve"> </w:t>
      </w:r>
      <w:r>
        <w:t>level,</w:t>
      </w:r>
      <w:r>
        <w:rPr>
          <w:spacing w:val="-3"/>
        </w:rPr>
        <w:t xml:space="preserve"> </w:t>
      </w:r>
      <w:r>
        <w:t>tends</w:t>
      </w:r>
      <w:r>
        <w:rPr>
          <w:spacing w:val="-3"/>
        </w:rPr>
        <w:t xml:space="preserve"> </w:t>
      </w:r>
      <w:r>
        <w:t>to</w:t>
      </w:r>
      <w:r>
        <w:rPr>
          <w:spacing w:val="-3"/>
        </w:rPr>
        <w:t xml:space="preserve"> </w:t>
      </w:r>
      <w:r>
        <w:t>show</w:t>
      </w:r>
      <w:r>
        <w:rPr>
          <w:spacing w:val="-4"/>
        </w:rPr>
        <w:t xml:space="preserve"> </w:t>
      </w:r>
      <w:r>
        <w:t>that</w:t>
      </w:r>
      <w:r>
        <w:rPr>
          <w:spacing w:val="-3"/>
        </w:rPr>
        <w:t xml:space="preserve"> </w:t>
      </w:r>
      <w:r>
        <w:t>it</w:t>
      </w:r>
      <w:r>
        <w:rPr>
          <w:spacing w:val="-4"/>
        </w:rPr>
        <w:t xml:space="preserve"> </w:t>
      </w:r>
      <w:r>
        <w:t>is</w:t>
      </w:r>
      <w:r>
        <w:rPr>
          <w:spacing w:val="-4"/>
        </w:rPr>
        <w:t xml:space="preserve"> </w:t>
      </w:r>
      <w:r>
        <w:t>governed</w:t>
      </w:r>
      <w:r>
        <w:rPr>
          <w:spacing w:val="-2"/>
        </w:rPr>
        <w:t xml:space="preserve"> </w:t>
      </w:r>
      <w:r>
        <w:t>by</w:t>
      </w:r>
      <w:r>
        <w:rPr>
          <w:spacing w:val="-3"/>
        </w:rPr>
        <w:t xml:space="preserve"> </w:t>
      </w:r>
      <w:r>
        <w:t>deterministic</w:t>
      </w:r>
      <w:r>
        <w:rPr>
          <w:spacing w:val="-3"/>
        </w:rPr>
        <w:t xml:space="preserve"> </w:t>
      </w:r>
      <w:r>
        <w:rPr>
          <w:spacing w:val="-2"/>
        </w:rPr>
        <w:t>mechanisms.</w:t>
      </w:r>
    </w:p>
    <w:p w14:paraId="7E001BCE" w14:textId="77777777" w:rsidR="009A58DB" w:rsidRDefault="00000000">
      <w:pPr>
        <w:pStyle w:val="Heading1"/>
        <w:numPr>
          <w:ilvl w:val="0"/>
          <w:numId w:val="99"/>
        </w:numPr>
        <w:tabs>
          <w:tab w:val="left" w:pos="990"/>
        </w:tabs>
        <w:spacing w:before="208"/>
      </w:pPr>
      <w:r>
        <w:t>Determinism</w:t>
      </w:r>
      <w:r>
        <w:rPr>
          <w:spacing w:val="-7"/>
        </w:rPr>
        <w:t xml:space="preserve"> </w:t>
      </w:r>
      <w:r>
        <w:t>vs.</w:t>
      </w:r>
      <w:r>
        <w:rPr>
          <w:spacing w:val="-5"/>
        </w:rPr>
        <w:t xml:space="preserve"> </w:t>
      </w:r>
      <w:r>
        <w:rPr>
          <w:spacing w:val="-2"/>
        </w:rPr>
        <w:t>predictability</w:t>
      </w:r>
    </w:p>
    <w:p w14:paraId="7E001BCF" w14:textId="77777777" w:rsidR="009A58DB" w:rsidRDefault="00000000">
      <w:pPr>
        <w:pStyle w:val="BodyText"/>
        <w:spacing w:before="139" w:line="249" w:lineRule="auto"/>
        <w:ind w:right="358"/>
      </w:pPr>
      <w:r>
        <w:t xml:space="preserve">Predictability and determinism are not the same thing. If a system is completely </w:t>
      </w:r>
      <w:r>
        <w:rPr>
          <w:i/>
        </w:rPr>
        <w:t>in</w:t>
      </w:r>
      <w:r>
        <w:t>deterministic, then it is indeed unpredictable (or only fortuitously predictable), since prediction requires regularity and there is regularity only where there are deterministic laws. But a deterministic system may be unpredictable. Even if the world is completely deterministic—even if the</w:t>
      </w:r>
      <w:r>
        <w:rPr>
          <w:spacing w:val="-1"/>
        </w:rPr>
        <w:t xml:space="preserve"> </w:t>
      </w:r>
      <w:r>
        <w:t>state</w:t>
      </w:r>
      <w:r>
        <w:rPr>
          <w:spacing w:val="-1"/>
        </w:rPr>
        <w:t xml:space="preserve"> </w:t>
      </w:r>
      <w:r>
        <w:t>of</w:t>
      </w:r>
      <w:r>
        <w:rPr>
          <w:spacing w:val="-1"/>
        </w:rPr>
        <w:t xml:space="preserve"> </w:t>
      </w:r>
      <w:r>
        <w:t>the</w:t>
      </w:r>
      <w:r>
        <w:rPr>
          <w:spacing w:val="-1"/>
        </w:rPr>
        <w:t xml:space="preserve"> </w:t>
      </w:r>
      <w:r>
        <w:t>universe</w:t>
      </w:r>
      <w:r>
        <w:rPr>
          <w:spacing w:val="-1"/>
        </w:rPr>
        <w:t xml:space="preserve"> </w:t>
      </w:r>
      <w:r>
        <w:t>at</w:t>
      </w:r>
      <w:r>
        <w:rPr>
          <w:spacing w:val="-1"/>
        </w:rPr>
        <w:t xml:space="preserve"> </w:t>
      </w:r>
      <w:r>
        <w:t>any</w:t>
      </w:r>
      <w:r>
        <w:rPr>
          <w:spacing w:val="-1"/>
        </w:rPr>
        <w:t xml:space="preserve"> </w:t>
      </w:r>
      <w:r>
        <w:t>point</w:t>
      </w:r>
      <w:r>
        <w:rPr>
          <w:spacing w:val="-1"/>
        </w:rPr>
        <w:t xml:space="preserve"> </w:t>
      </w:r>
      <w:r>
        <w:t>completely</w:t>
      </w:r>
      <w:r>
        <w:rPr>
          <w:spacing w:val="-1"/>
        </w:rPr>
        <w:t xml:space="preserve"> </w:t>
      </w:r>
      <w:r>
        <w:t>fixes</w:t>
      </w:r>
      <w:r>
        <w:rPr>
          <w:spacing w:val="-1"/>
        </w:rPr>
        <w:t xml:space="preserve"> </w:t>
      </w:r>
      <w:r>
        <w:t>how</w:t>
      </w:r>
      <w:r>
        <w:rPr>
          <w:spacing w:val="-1"/>
        </w:rPr>
        <w:t xml:space="preserve"> </w:t>
      </w:r>
      <w:r>
        <w:t>everything</w:t>
      </w:r>
      <w:r>
        <w:rPr>
          <w:spacing w:val="-1"/>
        </w:rPr>
        <w:t xml:space="preserve"> </w:t>
      </w:r>
      <w:r>
        <w:t>will</w:t>
      </w:r>
      <w:r>
        <w:rPr>
          <w:spacing w:val="-1"/>
        </w:rPr>
        <w:t xml:space="preserve"> </w:t>
      </w:r>
      <w:r>
        <w:t>be, in</w:t>
      </w:r>
      <w:r>
        <w:rPr>
          <w:spacing w:val="-3"/>
        </w:rPr>
        <w:t xml:space="preserve"> </w:t>
      </w:r>
      <w:r>
        <w:t>every</w:t>
      </w:r>
      <w:r>
        <w:rPr>
          <w:spacing w:val="-2"/>
        </w:rPr>
        <w:t xml:space="preserve"> </w:t>
      </w:r>
      <w:r>
        <w:t>respect,</w:t>
      </w:r>
      <w:r>
        <w:rPr>
          <w:spacing w:val="-2"/>
        </w:rPr>
        <w:t xml:space="preserve"> </w:t>
      </w:r>
      <w:r>
        <w:t>at</w:t>
      </w:r>
      <w:r>
        <w:rPr>
          <w:spacing w:val="-2"/>
        </w:rPr>
        <w:t xml:space="preserve"> </w:t>
      </w:r>
      <w:r>
        <w:t>all</w:t>
      </w:r>
      <w:r>
        <w:rPr>
          <w:spacing w:val="-2"/>
        </w:rPr>
        <w:t xml:space="preserve"> </w:t>
      </w:r>
      <w:r>
        <w:t>later</w:t>
      </w:r>
      <w:r>
        <w:rPr>
          <w:spacing w:val="-2"/>
        </w:rPr>
        <w:t xml:space="preserve"> </w:t>
      </w:r>
      <w:r>
        <w:t>points—there</w:t>
      </w:r>
      <w:r>
        <w:rPr>
          <w:spacing w:val="-2"/>
        </w:rPr>
        <w:t xml:space="preserve"> </w:t>
      </w:r>
      <w:r>
        <w:t>are</w:t>
      </w:r>
      <w:r>
        <w:rPr>
          <w:spacing w:val="-2"/>
        </w:rPr>
        <w:t xml:space="preserve"> </w:t>
      </w:r>
      <w:r>
        <w:t>limits</w:t>
      </w:r>
      <w:r>
        <w:rPr>
          <w:spacing w:val="-2"/>
        </w:rPr>
        <w:t xml:space="preserve"> </w:t>
      </w:r>
      <w:r>
        <w:t>to</w:t>
      </w:r>
      <w:r>
        <w:rPr>
          <w:spacing w:val="-2"/>
        </w:rPr>
        <w:t xml:space="preserve"> </w:t>
      </w:r>
      <w:r>
        <w:t>how</w:t>
      </w:r>
      <w:r>
        <w:rPr>
          <w:spacing w:val="-2"/>
        </w:rPr>
        <w:t xml:space="preserve"> </w:t>
      </w:r>
      <w:r>
        <w:t>much</w:t>
      </w:r>
      <w:r>
        <w:rPr>
          <w:spacing w:val="-2"/>
        </w:rPr>
        <w:t xml:space="preserve"> </w:t>
      </w:r>
      <w:r>
        <w:t>any</w:t>
      </w:r>
      <w:r>
        <w:rPr>
          <w:spacing w:val="-2"/>
        </w:rPr>
        <w:t xml:space="preserve"> </w:t>
      </w:r>
      <w:r>
        <w:t>creature could predict about the course of future events. It doesn’t matter how intelligent that creature is or how sharp its senses are or how good its technology is. For reasons of logic, no creature is able to predict everything that happens. There are two reasons for this.</w:t>
      </w:r>
    </w:p>
    <w:p w14:paraId="7E001BD0" w14:textId="77777777" w:rsidR="009A58DB" w:rsidRDefault="00000000">
      <w:pPr>
        <w:pStyle w:val="ListParagraph"/>
        <w:numPr>
          <w:ilvl w:val="1"/>
          <w:numId w:val="99"/>
        </w:numPr>
        <w:tabs>
          <w:tab w:val="left" w:pos="990"/>
        </w:tabs>
        <w:spacing w:before="216" w:line="244" w:lineRule="auto"/>
        <w:ind w:right="1442" w:firstLine="0"/>
        <w:rPr>
          <w:b/>
          <w:sz w:val="42"/>
        </w:rPr>
      </w:pPr>
      <w:r>
        <w:rPr>
          <w:b/>
          <w:noProof/>
          <w:sz w:val="42"/>
        </w:rPr>
        <mc:AlternateContent>
          <mc:Choice Requires="wps">
            <w:drawing>
              <wp:anchor distT="0" distB="0" distL="0" distR="0" simplePos="0" relativeHeight="480339968" behindDoc="1" locked="0" layoutInCell="1" allowOverlap="1" wp14:anchorId="7E00328A" wp14:editId="7E00328B">
                <wp:simplePos x="0" y="0"/>
                <wp:positionH relativeFrom="page">
                  <wp:posOffset>1181100</wp:posOffset>
                </wp:positionH>
                <wp:positionV relativeFrom="paragraph">
                  <wp:posOffset>715076</wp:posOffset>
                </wp:positionV>
                <wp:extent cx="57150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682BB612" id="Graphic 30" o:spid="_x0000_s1026" style="position:absolute;margin-left:93pt;margin-top:56.3pt;width:45pt;height:.1pt;z-index:-22976512;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" path="m,l571500,e" filled="f" strokecolor="#0562c1">
                <v:path arrowok="t"/>
                <w10:wrap anchorx="page"/>
              </v:shape>
            </w:pict>
          </mc:Fallback>
        </mc:AlternateContent>
      </w:r>
      <w:r>
        <w:rPr>
          <w:b/>
          <w:sz w:val="42"/>
        </w:rPr>
        <w:t>Why</w:t>
      </w:r>
      <w:r>
        <w:rPr>
          <w:b/>
          <w:spacing w:val="-11"/>
          <w:sz w:val="42"/>
        </w:rPr>
        <w:t xml:space="preserve"> </w:t>
      </w:r>
      <w:r>
        <w:rPr>
          <w:b/>
          <w:sz w:val="42"/>
        </w:rPr>
        <w:t>predictability</w:t>
      </w:r>
      <w:r>
        <w:rPr>
          <w:b/>
          <w:spacing w:val="-11"/>
          <w:sz w:val="42"/>
        </w:rPr>
        <w:t xml:space="preserve"> </w:t>
      </w:r>
      <w:r>
        <w:rPr>
          <w:b/>
          <w:sz w:val="42"/>
        </w:rPr>
        <w:t>≠</w:t>
      </w:r>
      <w:r>
        <w:rPr>
          <w:b/>
          <w:spacing w:val="-11"/>
          <w:sz w:val="42"/>
        </w:rPr>
        <w:t xml:space="preserve"> </w:t>
      </w:r>
      <w:r>
        <w:rPr>
          <w:b/>
          <w:sz w:val="42"/>
        </w:rPr>
        <w:t>determinism:</w:t>
      </w:r>
      <w:r>
        <w:rPr>
          <w:b/>
          <w:spacing w:val="-12"/>
          <w:sz w:val="42"/>
        </w:rPr>
        <w:t xml:space="preserve"> </w:t>
      </w:r>
      <w:r>
        <w:rPr>
          <w:b/>
          <w:sz w:val="42"/>
        </w:rPr>
        <w:t xml:space="preserve">Reason </w:t>
      </w:r>
      <w:r>
        <w:rPr>
          <w:b/>
          <w:spacing w:val="-2"/>
          <w:position w:val="-29"/>
          <w:sz w:val="42"/>
        </w:rPr>
        <w:t>#</w:t>
      </w:r>
      <w:bookmarkStart w:id="377" w:name="_bookmark377"/>
      <w:bookmarkEnd w:id="377"/>
      <w:r>
        <w:rPr>
          <w:b/>
          <w:spacing w:val="-2"/>
          <w:position w:val="-29"/>
          <w:sz w:val="42"/>
        </w:rPr>
        <w:t>1</w:t>
      </w:r>
      <w:r>
        <w:rPr>
          <w:b/>
          <w:color w:val="0562C1"/>
          <w:spacing w:val="-2"/>
          <w:sz w:val="42"/>
        </w:rPr>
        <w:t>[265]</w:t>
      </w:r>
    </w:p>
    <w:p w14:paraId="7E001BD1" w14:textId="77777777" w:rsidR="009A58DB" w:rsidRDefault="00000000">
      <w:pPr>
        <w:pStyle w:val="BodyText"/>
        <w:spacing w:before="132" w:line="249" w:lineRule="auto"/>
        <w:ind w:right="359"/>
      </w:pPr>
      <w:r>
        <w:t xml:space="preserve">We learn about the external world through </w:t>
      </w:r>
      <w:r>
        <w:rPr>
          <w:i/>
        </w:rPr>
        <w:t>sense-perception</w:t>
      </w:r>
      <w:r>
        <w:t>—that is, through vision, hearing, touch, etc. Let’s focus on vision for the moment. Suppose</w:t>
      </w:r>
      <w:r>
        <w:rPr>
          <w:spacing w:val="40"/>
        </w:rPr>
        <w:t xml:space="preserve"> </w:t>
      </w:r>
      <w:r>
        <w:t>that you’re seeing some rock. (Let’s refer to that rock as “R.”) Here’s what’s involved in your seeing R. Some light beam bounced off R. (We’ll refer to that light beam as “L.”) As a result of that collision, L’s structure changed in such a way that R’s structure is now coded in it’s (L’s) structure. For this reason,</w:t>
      </w:r>
      <w:r>
        <w:rPr>
          <w:spacing w:val="-1"/>
        </w:rPr>
        <w:t xml:space="preserve"> </w:t>
      </w:r>
      <w:r>
        <w:t>L</w:t>
      </w:r>
      <w:r>
        <w:rPr>
          <w:spacing w:val="-1"/>
        </w:rPr>
        <w:t xml:space="preserve"> </w:t>
      </w:r>
      <w:r>
        <w:t>bears</w:t>
      </w:r>
      <w:r>
        <w:rPr>
          <w:spacing w:val="-1"/>
        </w:rPr>
        <w:t xml:space="preserve"> </w:t>
      </w:r>
      <w:r>
        <w:t>information</w:t>
      </w:r>
      <w:r>
        <w:rPr>
          <w:spacing w:val="-1"/>
        </w:rPr>
        <w:t xml:space="preserve"> </w:t>
      </w:r>
      <w:r>
        <w:t>about</w:t>
      </w:r>
      <w:r>
        <w:rPr>
          <w:spacing w:val="-1"/>
        </w:rPr>
        <w:t xml:space="preserve"> </w:t>
      </w:r>
      <w:r>
        <w:t>R.</w:t>
      </w:r>
      <w:r>
        <w:rPr>
          <w:spacing w:val="-1"/>
        </w:rPr>
        <w:t xml:space="preserve"> </w:t>
      </w:r>
      <w:r>
        <w:t>L</w:t>
      </w:r>
      <w:r>
        <w:rPr>
          <w:spacing w:val="-1"/>
        </w:rPr>
        <w:t xml:space="preserve"> </w:t>
      </w:r>
      <w:r>
        <w:t>hits</w:t>
      </w:r>
      <w:r>
        <w:rPr>
          <w:spacing w:val="-1"/>
        </w:rPr>
        <w:t xml:space="preserve"> </w:t>
      </w:r>
      <w:r>
        <w:t>your</w:t>
      </w:r>
      <w:r>
        <w:rPr>
          <w:spacing w:val="-1"/>
        </w:rPr>
        <w:t xml:space="preserve"> </w:t>
      </w:r>
      <w:r>
        <w:t>eyes,</w:t>
      </w:r>
      <w:r>
        <w:rPr>
          <w:spacing w:val="-1"/>
        </w:rPr>
        <w:t xml:space="preserve"> </w:t>
      </w:r>
      <w:r>
        <w:t>disturbing</w:t>
      </w:r>
      <w:r>
        <w:rPr>
          <w:spacing w:val="-1"/>
        </w:rPr>
        <w:t xml:space="preserve"> </w:t>
      </w:r>
      <w:r>
        <w:t>them.</w:t>
      </w:r>
      <w:r>
        <w:rPr>
          <w:spacing w:val="-1"/>
        </w:rPr>
        <w:t xml:space="preserve"> </w:t>
      </w:r>
      <w:r>
        <w:t>Those disturbances reflect L’s structure. Given that L reflects R’s structure, it follows that these disturbances of your eyes reflect R’s structure. Those ocular disturbances therefore encode information about R. The resulting neural impulses transmit this information to some part of you that decodes this information. The results of this decoding are embodied in a visual perception that succeeds in representing R.</w:t>
      </w:r>
    </w:p>
    <w:p w14:paraId="7E001BD2" w14:textId="77777777" w:rsidR="009A58DB" w:rsidRDefault="00000000">
      <w:pPr>
        <w:pStyle w:val="BodyText"/>
        <w:spacing w:before="16" w:line="249" w:lineRule="auto"/>
        <w:ind w:right="363" w:firstLine="360"/>
      </w:pPr>
      <w:r>
        <w:t xml:space="preserve">Light is energy. Things change when bombarded by energy. They don’t always change very much. But there is always </w:t>
      </w:r>
      <w:r>
        <w:rPr>
          <w:i/>
        </w:rPr>
        <w:t>some</w:t>
      </w:r>
      <w:r>
        <w:rPr>
          <w:i/>
          <w:spacing w:val="-4"/>
        </w:rPr>
        <w:t xml:space="preserve"> </w:t>
      </w:r>
      <w:r>
        <w:t>change. It takes time for light, or any other information-bearing process, to travel. So by the time L reaches</w:t>
      </w:r>
      <w:r>
        <w:rPr>
          <w:spacing w:val="20"/>
        </w:rPr>
        <w:t xml:space="preserve"> </w:t>
      </w:r>
      <w:r>
        <w:t>your</w:t>
      </w:r>
      <w:r>
        <w:rPr>
          <w:spacing w:val="20"/>
        </w:rPr>
        <w:t xml:space="preserve"> </w:t>
      </w:r>
      <w:r>
        <w:t>eyes,</w:t>
      </w:r>
      <w:r>
        <w:rPr>
          <w:spacing w:val="20"/>
        </w:rPr>
        <w:t xml:space="preserve"> </w:t>
      </w:r>
      <w:r>
        <w:t>some</w:t>
      </w:r>
      <w:r>
        <w:rPr>
          <w:spacing w:val="20"/>
        </w:rPr>
        <w:t xml:space="preserve"> </w:t>
      </w:r>
      <w:r>
        <w:t>time</w:t>
      </w:r>
      <w:r>
        <w:rPr>
          <w:spacing w:val="20"/>
        </w:rPr>
        <w:t xml:space="preserve"> </w:t>
      </w:r>
      <w:r>
        <w:t>has</w:t>
      </w:r>
      <w:r>
        <w:rPr>
          <w:spacing w:val="20"/>
        </w:rPr>
        <w:t xml:space="preserve"> </w:t>
      </w:r>
      <w:r>
        <w:t>elapsed.</w:t>
      </w:r>
      <w:r>
        <w:rPr>
          <w:spacing w:val="20"/>
        </w:rPr>
        <w:t xml:space="preserve"> </w:t>
      </w:r>
      <w:r>
        <w:t>During</w:t>
      </w:r>
      <w:r>
        <w:rPr>
          <w:spacing w:val="20"/>
        </w:rPr>
        <w:t xml:space="preserve"> </w:t>
      </w:r>
      <w:r>
        <w:t>the</w:t>
      </w:r>
      <w:r>
        <w:rPr>
          <w:spacing w:val="20"/>
        </w:rPr>
        <w:t xml:space="preserve"> </w:t>
      </w:r>
      <w:r>
        <w:t>time</w:t>
      </w:r>
      <w:r>
        <w:rPr>
          <w:spacing w:val="20"/>
        </w:rPr>
        <w:t xml:space="preserve"> </w:t>
      </w:r>
      <w:r>
        <w:t>that</w:t>
      </w:r>
      <w:r>
        <w:rPr>
          <w:spacing w:val="20"/>
        </w:rPr>
        <w:t xml:space="preserve"> </w:t>
      </w:r>
      <w:r>
        <w:t>has</w:t>
      </w:r>
      <w:r>
        <w:rPr>
          <w:spacing w:val="20"/>
        </w:rPr>
        <w:t xml:space="preserve"> </w:t>
      </w:r>
      <w:r>
        <w:t>elapsed,</w:t>
      </w:r>
    </w:p>
    <w:p w14:paraId="7E001BD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D4" w14:textId="77777777" w:rsidR="009A58DB" w:rsidRDefault="00000000">
      <w:pPr>
        <w:pStyle w:val="BodyText"/>
        <w:spacing w:before="70" w:line="249" w:lineRule="auto"/>
        <w:ind w:right="361"/>
      </w:pPr>
      <w:r>
        <w:lastRenderedPageBreak/>
        <w:t xml:space="preserve">the changes in R that were </w:t>
      </w:r>
      <w:r>
        <w:rPr>
          <w:i/>
        </w:rPr>
        <w:t>initiated</w:t>
      </w:r>
      <w:r>
        <w:rPr>
          <w:i/>
          <w:spacing w:val="-2"/>
        </w:rPr>
        <w:t xml:space="preserve"> </w:t>
      </w:r>
      <w:r>
        <w:t>by L led to other changes in R. Since, for the time being, L is your only source of information about R, and since L gives you dated and otherwise inaccurate information about R, the information encoded in the visual perception that L caused you to have is itself inaccurate.</w:t>
      </w:r>
    </w:p>
    <w:p w14:paraId="7E001BD5" w14:textId="77777777" w:rsidR="009A58DB" w:rsidRDefault="00000000">
      <w:pPr>
        <w:pStyle w:val="BodyText"/>
        <w:spacing w:before="1" w:line="249" w:lineRule="auto"/>
        <w:ind w:right="358" w:firstLine="360"/>
      </w:pPr>
      <w:r>
        <w:t>Before we take the next step, I’d like to clarify this point. Let t be the time that</w:t>
      </w:r>
      <w:r>
        <w:rPr>
          <w:spacing w:val="-2"/>
        </w:rPr>
        <w:t xml:space="preserve"> </w:t>
      </w:r>
      <w:r>
        <w:t>you</w:t>
      </w:r>
      <w:r>
        <w:rPr>
          <w:spacing w:val="-1"/>
        </w:rPr>
        <w:t xml:space="preserve"> </w:t>
      </w:r>
      <w:r>
        <w:t>have</w:t>
      </w:r>
      <w:r>
        <w:rPr>
          <w:spacing w:val="-2"/>
        </w:rPr>
        <w:t xml:space="preserve"> </w:t>
      </w:r>
      <w:r>
        <w:t>the</w:t>
      </w:r>
      <w:r>
        <w:rPr>
          <w:spacing w:val="-1"/>
        </w:rPr>
        <w:t xml:space="preserve"> </w:t>
      </w:r>
      <w:r>
        <w:t>visual</w:t>
      </w:r>
      <w:r>
        <w:rPr>
          <w:spacing w:val="-2"/>
        </w:rPr>
        <w:t xml:space="preserve"> </w:t>
      </w:r>
      <w:r>
        <w:t>perception</w:t>
      </w:r>
      <w:r>
        <w:rPr>
          <w:spacing w:val="-1"/>
        </w:rPr>
        <w:t xml:space="preserve"> </w:t>
      </w:r>
      <w:r>
        <w:t>of</w:t>
      </w:r>
      <w:r>
        <w:rPr>
          <w:spacing w:val="-1"/>
        </w:rPr>
        <w:t xml:space="preserve"> </w:t>
      </w:r>
      <w:r>
        <w:t>R</w:t>
      </w:r>
      <w:r>
        <w:rPr>
          <w:spacing w:val="-2"/>
        </w:rPr>
        <w:t xml:space="preserve"> </w:t>
      </w:r>
      <w:r>
        <w:t>that</w:t>
      </w:r>
      <w:r>
        <w:rPr>
          <w:spacing w:val="-1"/>
        </w:rPr>
        <w:t xml:space="preserve"> </w:t>
      </w:r>
      <w:r>
        <w:t>L</w:t>
      </w:r>
      <w:r>
        <w:rPr>
          <w:spacing w:val="-2"/>
        </w:rPr>
        <w:t xml:space="preserve"> </w:t>
      </w:r>
      <w:r>
        <w:t>caused</w:t>
      </w:r>
      <w:r>
        <w:rPr>
          <w:spacing w:val="-1"/>
        </w:rPr>
        <w:t xml:space="preserve"> </w:t>
      </w:r>
      <w:r>
        <w:t>you</w:t>
      </w:r>
      <w:r>
        <w:rPr>
          <w:spacing w:val="-2"/>
        </w:rPr>
        <w:t xml:space="preserve"> </w:t>
      </w:r>
      <w:r>
        <w:t>to</w:t>
      </w:r>
      <w:r>
        <w:rPr>
          <w:spacing w:val="-1"/>
        </w:rPr>
        <w:t xml:space="preserve"> </w:t>
      </w:r>
      <w:r>
        <w:t>have.</w:t>
      </w:r>
      <w:r>
        <w:rPr>
          <w:spacing w:val="-1"/>
        </w:rPr>
        <w:t xml:space="preserve"> </w:t>
      </w:r>
      <w:r>
        <w:t>Obviously t will happen after the time L hits your eyes and t is later than the time that L collided with R. During the time between that collision, on the one hand, and t, on the other, R has changed. Why has it changed? Because the just-mentioned</w:t>
      </w:r>
      <w:r>
        <w:rPr>
          <w:spacing w:val="-1"/>
        </w:rPr>
        <w:t xml:space="preserve"> </w:t>
      </w:r>
      <w:r>
        <w:t>collision</w:t>
      </w:r>
      <w:r>
        <w:rPr>
          <w:spacing w:val="-1"/>
        </w:rPr>
        <w:t xml:space="preserve"> </w:t>
      </w:r>
      <w:r>
        <w:t>made</w:t>
      </w:r>
      <w:r>
        <w:rPr>
          <w:spacing w:val="-1"/>
        </w:rPr>
        <w:t xml:space="preserve"> </w:t>
      </w:r>
      <w:r>
        <w:t>it</w:t>
      </w:r>
      <w:r>
        <w:rPr>
          <w:spacing w:val="-1"/>
        </w:rPr>
        <w:t xml:space="preserve"> </w:t>
      </w:r>
      <w:r>
        <w:t>change.</w:t>
      </w:r>
      <w:r>
        <w:rPr>
          <w:spacing w:val="-1"/>
        </w:rPr>
        <w:t xml:space="preserve"> </w:t>
      </w:r>
      <w:r>
        <w:t>That</w:t>
      </w:r>
      <w:r>
        <w:rPr>
          <w:spacing w:val="-1"/>
        </w:rPr>
        <w:t xml:space="preserve"> </w:t>
      </w:r>
      <w:r>
        <w:t>collision,</w:t>
      </w:r>
      <w:r>
        <w:rPr>
          <w:spacing w:val="-1"/>
        </w:rPr>
        <w:t xml:space="preserve"> </w:t>
      </w:r>
      <w:r>
        <w:t>as</w:t>
      </w:r>
      <w:r>
        <w:rPr>
          <w:spacing w:val="-1"/>
        </w:rPr>
        <w:t xml:space="preserve"> </w:t>
      </w:r>
      <w:r>
        <w:t>we</w:t>
      </w:r>
      <w:r>
        <w:rPr>
          <w:spacing w:val="-1"/>
        </w:rPr>
        <w:t xml:space="preserve"> </w:t>
      </w:r>
      <w:r>
        <w:t>just</w:t>
      </w:r>
      <w:r>
        <w:rPr>
          <w:spacing w:val="-1"/>
        </w:rPr>
        <w:t xml:space="preserve"> </w:t>
      </w:r>
      <w:r>
        <w:t>pointed</w:t>
      </w:r>
      <w:r>
        <w:rPr>
          <w:spacing w:val="-1"/>
        </w:rPr>
        <w:t xml:space="preserve"> </w:t>
      </w:r>
      <w:r>
        <w:t>out,</w:t>
      </w:r>
      <w:r>
        <w:rPr>
          <w:spacing w:val="-1"/>
        </w:rPr>
        <w:t xml:space="preserve"> </w:t>
      </w:r>
      <w:r>
        <w:t>set off processes because of which R changed.</w:t>
      </w:r>
    </w:p>
    <w:p w14:paraId="7E001BD6" w14:textId="77777777" w:rsidR="009A58DB" w:rsidRDefault="00000000">
      <w:pPr>
        <w:pStyle w:val="BodyText"/>
        <w:spacing w:before="8" w:line="249" w:lineRule="auto"/>
        <w:ind w:right="358" w:firstLine="360"/>
      </w:pPr>
      <w:r>
        <w:t>What you know, at t, about R is confined to what L tells you. And what R tells you is dated information—it’s yesterday’s news. What you know, by virtue of having the sense-perception in question, is now dead and gone.</w:t>
      </w:r>
      <w:r>
        <w:rPr>
          <w:spacing w:val="40"/>
        </w:rPr>
        <w:t xml:space="preserve"> </w:t>
      </w:r>
      <w:r>
        <w:t xml:space="preserve">What it tells you is how R was </w:t>
      </w:r>
      <w:r>
        <w:rPr>
          <w:i/>
        </w:rPr>
        <w:t xml:space="preserve">a little while ago; </w:t>
      </w:r>
      <w:r>
        <w:t xml:space="preserve">it doesn’t tell you how R is </w:t>
      </w:r>
      <w:r>
        <w:rPr>
          <w:spacing w:val="-4"/>
        </w:rPr>
        <w:t>now.</w:t>
      </w:r>
    </w:p>
    <w:p w14:paraId="7E001BD7" w14:textId="77777777" w:rsidR="009A58DB" w:rsidRDefault="00000000">
      <w:pPr>
        <w:pStyle w:val="BodyText"/>
        <w:spacing w:before="7" w:line="249" w:lineRule="auto"/>
        <w:ind w:right="358" w:firstLine="360"/>
      </w:pPr>
      <w:r>
        <w:t>Supposing that R is some rock in your backyard—and not some rock in</w:t>
      </w:r>
      <w:r>
        <w:rPr>
          <w:spacing w:val="40"/>
        </w:rPr>
        <w:t xml:space="preserve"> </w:t>
      </w:r>
      <w:r>
        <w:t>the depths of outer space—the time lag is minimal. And, no matter where R is, L did extremely little to change it. The changes that L induced in R, by colliding with it, fall well below the limits of sensory discrimination.</w:t>
      </w:r>
    </w:p>
    <w:p w14:paraId="7E001BD8" w14:textId="77777777" w:rsidR="009A58DB" w:rsidRDefault="00000000">
      <w:pPr>
        <w:pStyle w:val="BodyText"/>
        <w:spacing w:before="4" w:line="249" w:lineRule="auto"/>
        <w:ind w:right="360" w:firstLine="360"/>
      </w:pPr>
      <w:r>
        <w:t>But mentally replace R with something small—something so small that</w:t>
      </w:r>
      <w:r>
        <w:rPr>
          <w:spacing w:val="40"/>
        </w:rPr>
        <w:t xml:space="preserve"> </w:t>
      </w:r>
      <w:r>
        <w:t>the</w:t>
      </w:r>
      <w:r>
        <w:rPr>
          <w:spacing w:val="-4"/>
        </w:rPr>
        <w:t xml:space="preserve"> </w:t>
      </w:r>
      <w:r>
        <w:t>photons</w:t>
      </w:r>
      <w:r>
        <w:rPr>
          <w:spacing w:val="-4"/>
        </w:rPr>
        <w:t xml:space="preserve"> </w:t>
      </w:r>
      <w:r>
        <w:t>involved</w:t>
      </w:r>
      <w:r>
        <w:rPr>
          <w:spacing w:val="-3"/>
        </w:rPr>
        <w:t xml:space="preserve"> </w:t>
      </w:r>
      <w:r>
        <w:t>in</w:t>
      </w:r>
      <w:r>
        <w:rPr>
          <w:spacing w:val="-3"/>
        </w:rPr>
        <w:t xml:space="preserve"> </w:t>
      </w:r>
      <w:r>
        <w:t>its</w:t>
      </w:r>
      <w:r>
        <w:rPr>
          <w:spacing w:val="-4"/>
        </w:rPr>
        <w:t xml:space="preserve"> </w:t>
      </w:r>
      <w:r>
        <w:t>being</w:t>
      </w:r>
      <w:r>
        <w:rPr>
          <w:spacing w:val="-3"/>
        </w:rPr>
        <w:t xml:space="preserve"> </w:t>
      </w:r>
      <w:r>
        <w:t>bombarded</w:t>
      </w:r>
      <w:r>
        <w:rPr>
          <w:spacing w:val="-3"/>
        </w:rPr>
        <w:t xml:space="preserve"> </w:t>
      </w:r>
      <w:r>
        <w:t>with</w:t>
      </w:r>
      <w:r>
        <w:rPr>
          <w:spacing w:val="-3"/>
        </w:rPr>
        <w:t xml:space="preserve"> </w:t>
      </w:r>
      <w:r>
        <w:t>light</w:t>
      </w:r>
      <w:r>
        <w:rPr>
          <w:spacing w:val="-4"/>
        </w:rPr>
        <w:t xml:space="preserve"> </w:t>
      </w:r>
      <w:r>
        <w:rPr>
          <w:i/>
        </w:rPr>
        <w:t>do</w:t>
      </w:r>
      <w:r>
        <w:rPr>
          <w:i/>
          <w:spacing w:val="-3"/>
        </w:rPr>
        <w:t xml:space="preserve"> </w:t>
      </w:r>
      <w:r>
        <w:t>appreciably</w:t>
      </w:r>
      <w:r>
        <w:rPr>
          <w:spacing w:val="-3"/>
        </w:rPr>
        <w:t xml:space="preserve"> </w:t>
      </w:r>
      <w:r>
        <w:t xml:space="preserve">change it. In </w:t>
      </w:r>
      <w:r>
        <w:rPr>
          <w:i/>
        </w:rPr>
        <w:t xml:space="preserve">that </w:t>
      </w:r>
      <w:r>
        <w:t xml:space="preserve">sort of case, the thing you see at t is </w:t>
      </w:r>
      <w:r>
        <w:rPr>
          <w:i/>
        </w:rPr>
        <w:t xml:space="preserve">very </w:t>
      </w:r>
      <w:r>
        <w:t>different from the thing that is now out in there in the world.</w:t>
      </w:r>
    </w:p>
    <w:p w14:paraId="7E001BD9" w14:textId="77777777" w:rsidR="009A58DB" w:rsidRDefault="00000000">
      <w:pPr>
        <w:pStyle w:val="BodyText"/>
        <w:spacing w:before="5" w:line="249" w:lineRule="auto"/>
        <w:ind w:right="358" w:firstLine="360"/>
      </w:pPr>
      <w:r>
        <w:t xml:space="preserve">You might be aware of this gulf between the perception and the reality. But any attempt on your part to narrow this gulf will only make it wider. If you try to learn more about R—by, for example, shining more light on it—you’ll make it </w:t>
      </w:r>
      <w:r>
        <w:rPr>
          <w:i/>
        </w:rPr>
        <w:t xml:space="preserve">more </w:t>
      </w:r>
      <w:r>
        <w:t>unlike the thing it was initially. And you’ll only compound the problem if you try to undo those distortions with counter-distortions.</w:t>
      </w:r>
      <w:r>
        <w:rPr>
          <w:spacing w:val="-2"/>
        </w:rPr>
        <w:t xml:space="preserve"> </w:t>
      </w:r>
      <w:r>
        <w:t>Setting</w:t>
      </w:r>
      <w:r>
        <w:rPr>
          <w:spacing w:val="-2"/>
        </w:rPr>
        <w:t xml:space="preserve"> </w:t>
      </w:r>
      <w:r>
        <w:t>aside</w:t>
      </w:r>
      <w:r>
        <w:rPr>
          <w:spacing w:val="-2"/>
        </w:rPr>
        <w:t xml:space="preserve"> </w:t>
      </w:r>
      <w:r>
        <w:t>the</w:t>
      </w:r>
      <w:r>
        <w:rPr>
          <w:spacing w:val="-2"/>
        </w:rPr>
        <w:t xml:space="preserve"> </w:t>
      </w:r>
      <w:r>
        <w:t>problem</w:t>
      </w:r>
      <w:r>
        <w:rPr>
          <w:spacing w:val="-2"/>
        </w:rPr>
        <w:t xml:space="preserve"> </w:t>
      </w:r>
      <w:r>
        <w:t>just</w:t>
      </w:r>
      <w:r>
        <w:rPr>
          <w:spacing w:val="-2"/>
        </w:rPr>
        <w:t xml:space="preserve"> </w:t>
      </w:r>
      <w:r>
        <w:t>discussed,</w:t>
      </w:r>
      <w:r>
        <w:rPr>
          <w:spacing w:val="-2"/>
        </w:rPr>
        <w:t xml:space="preserve"> </w:t>
      </w:r>
      <w:r>
        <w:t>there’s</w:t>
      </w:r>
      <w:r>
        <w:rPr>
          <w:spacing w:val="-2"/>
        </w:rPr>
        <w:t xml:space="preserve"> </w:t>
      </w:r>
      <w:r>
        <w:t>no</w:t>
      </w:r>
      <w:r>
        <w:rPr>
          <w:spacing w:val="-2"/>
        </w:rPr>
        <w:t xml:space="preserve"> </w:t>
      </w:r>
      <w:r>
        <w:t>point</w:t>
      </w:r>
      <w:r>
        <w:rPr>
          <w:spacing w:val="-2"/>
        </w:rPr>
        <w:t xml:space="preserve"> </w:t>
      </w:r>
      <w:r>
        <w:t>in</w:t>
      </w:r>
      <w:r>
        <w:rPr>
          <w:spacing w:val="-2"/>
        </w:rPr>
        <w:t xml:space="preserve"> </w:t>
      </w:r>
      <w:r>
        <w:t>trying to reverse the effects that L had on R by shining more light on R, since you don’t know how R was before you bombarded it with light. Therefore, you don’t know how R has changed and, consequently, you don’t know what the needed corrections are.</w:t>
      </w:r>
    </w:p>
    <w:p w14:paraId="7E001BDA" w14:textId="77777777" w:rsidR="009A58DB" w:rsidRDefault="00000000">
      <w:pPr>
        <w:pStyle w:val="BodyText"/>
        <w:spacing w:before="13"/>
        <w:ind w:left="720"/>
      </w:pPr>
      <w:r>
        <w:t>What</w:t>
      </w:r>
      <w:r>
        <w:rPr>
          <w:spacing w:val="47"/>
          <w:w w:val="150"/>
        </w:rPr>
        <w:t xml:space="preserve"> </w:t>
      </w:r>
      <w:r>
        <w:t>is</w:t>
      </w:r>
      <w:r>
        <w:rPr>
          <w:spacing w:val="50"/>
          <w:w w:val="150"/>
        </w:rPr>
        <w:t xml:space="preserve"> </w:t>
      </w:r>
      <w:r>
        <w:t>true</w:t>
      </w:r>
      <w:r>
        <w:rPr>
          <w:spacing w:val="50"/>
          <w:w w:val="150"/>
        </w:rPr>
        <w:t xml:space="preserve"> </w:t>
      </w:r>
      <w:r>
        <w:t>of</w:t>
      </w:r>
      <w:r>
        <w:rPr>
          <w:spacing w:val="50"/>
          <w:w w:val="150"/>
        </w:rPr>
        <w:t xml:space="preserve"> </w:t>
      </w:r>
      <w:r>
        <w:t>your</w:t>
      </w:r>
      <w:r>
        <w:rPr>
          <w:spacing w:val="50"/>
          <w:w w:val="150"/>
        </w:rPr>
        <w:t xml:space="preserve"> </w:t>
      </w:r>
      <w:r>
        <w:t>seeing</w:t>
      </w:r>
      <w:r>
        <w:rPr>
          <w:spacing w:val="51"/>
          <w:w w:val="150"/>
        </w:rPr>
        <w:t xml:space="preserve"> </w:t>
      </w:r>
      <w:r>
        <w:t>R</w:t>
      </w:r>
      <w:r>
        <w:rPr>
          <w:spacing w:val="50"/>
          <w:w w:val="150"/>
        </w:rPr>
        <w:t xml:space="preserve"> </w:t>
      </w:r>
      <w:r>
        <w:t>is</w:t>
      </w:r>
      <w:r>
        <w:rPr>
          <w:spacing w:val="50"/>
          <w:w w:val="150"/>
        </w:rPr>
        <w:t xml:space="preserve"> </w:t>
      </w:r>
      <w:r>
        <w:t>true,</w:t>
      </w:r>
      <w:r>
        <w:rPr>
          <w:spacing w:val="51"/>
          <w:w w:val="150"/>
        </w:rPr>
        <w:t xml:space="preserve"> </w:t>
      </w:r>
      <w:r>
        <w:t>to</w:t>
      </w:r>
      <w:r>
        <w:rPr>
          <w:spacing w:val="51"/>
          <w:w w:val="150"/>
        </w:rPr>
        <w:t xml:space="preserve"> </w:t>
      </w:r>
      <w:r>
        <w:t>some</w:t>
      </w:r>
      <w:r>
        <w:rPr>
          <w:spacing w:val="50"/>
          <w:w w:val="150"/>
        </w:rPr>
        <w:t xml:space="preserve"> </w:t>
      </w:r>
      <w:r>
        <w:t>degree</w:t>
      </w:r>
      <w:r>
        <w:rPr>
          <w:spacing w:val="50"/>
          <w:w w:val="150"/>
        </w:rPr>
        <w:t xml:space="preserve"> </w:t>
      </w:r>
      <w:r>
        <w:t>or</w:t>
      </w:r>
      <w:r>
        <w:rPr>
          <w:spacing w:val="50"/>
          <w:w w:val="150"/>
        </w:rPr>
        <w:t xml:space="preserve"> </w:t>
      </w:r>
      <w:r>
        <w:t>other,</w:t>
      </w:r>
      <w:r>
        <w:rPr>
          <w:spacing w:val="51"/>
          <w:w w:val="150"/>
        </w:rPr>
        <w:t xml:space="preserve"> </w:t>
      </w:r>
      <w:r>
        <w:rPr>
          <w:spacing w:val="-5"/>
        </w:rPr>
        <w:t>of</w:t>
      </w:r>
    </w:p>
    <w:p w14:paraId="7E001BDB" w14:textId="77777777" w:rsidR="009A58DB" w:rsidRDefault="009A58DB">
      <w:pPr>
        <w:pStyle w:val="BodyText"/>
        <w:sectPr w:rsidR="009A58DB">
          <w:pgSz w:w="12240" w:h="15840"/>
          <w:pgMar w:top="1380" w:right="1080" w:bottom="280" w:left="1080" w:header="720" w:footer="720" w:gutter="0"/>
          <w:cols w:space="720"/>
        </w:sectPr>
      </w:pPr>
    </w:p>
    <w:p w14:paraId="7E001BDC" w14:textId="77777777" w:rsidR="009A58DB" w:rsidRDefault="00000000">
      <w:pPr>
        <w:pStyle w:val="BodyText"/>
        <w:spacing w:before="65" w:line="249" w:lineRule="auto"/>
        <w:ind w:right="358"/>
      </w:pPr>
      <w:r>
        <w:rPr>
          <w:i/>
        </w:rPr>
        <w:lastRenderedPageBreak/>
        <w:t xml:space="preserve">anything’s having any sense-perception of anything. </w:t>
      </w:r>
      <w:r>
        <w:t>It doesn’t matter</w:t>
      </w:r>
      <w:r>
        <w:rPr>
          <w:spacing w:val="40"/>
        </w:rPr>
        <w:t xml:space="preserve"> </w:t>
      </w:r>
      <w:r>
        <w:t xml:space="preserve">whether the percipient beings in question are super-brilliant aliens or iguanas or God Herself. As a matter of logic, perceiving a thing, involves having an experience that is caused by that thing. And, as a matter of logic, such experience involves that thing’s being disturbed by something that eventually made its way to you. Whatever changes that disturbance had on the object, you don’t know about them, since they occurred </w:t>
      </w:r>
      <w:r>
        <w:rPr>
          <w:i/>
        </w:rPr>
        <w:t xml:space="preserve">after </w:t>
      </w:r>
      <w:r>
        <w:t xml:space="preserve">the relevant information-transmitting process left that thing. (Let’s assume that process to be a light ray.) For the time being, that light ray is your one source of information about that thing. So whatever that light ray did to that object—whatever changes, if any, it made—you can’t know what they are. If no changes occurred, you can’t know it; and if changes did occur, you can’t know that either, and a </w:t>
      </w:r>
      <w:r>
        <w:rPr>
          <w:i/>
        </w:rPr>
        <w:t xml:space="preserve">fortiori </w:t>
      </w:r>
      <w:r>
        <w:t>you can’t know the exact nature of those changes. So what you see is different from what is out there, in the relevant place, at the time of your perception. And, as we saw</w:t>
      </w:r>
      <w:r>
        <w:rPr>
          <w:spacing w:val="-1"/>
        </w:rPr>
        <w:t xml:space="preserve"> </w:t>
      </w:r>
      <w:r>
        <w:t xml:space="preserve">a moment ago, attempts to remove this margin of error by having more perceptions will only make it </w:t>
      </w:r>
      <w:r>
        <w:rPr>
          <w:spacing w:val="-2"/>
        </w:rPr>
        <w:t>bigger.</w:t>
      </w:r>
    </w:p>
    <w:p w14:paraId="7E001BDD" w14:textId="77777777" w:rsidR="009A58DB" w:rsidRDefault="00000000">
      <w:pPr>
        <w:pStyle w:val="BodyText"/>
        <w:spacing w:before="21" w:line="249" w:lineRule="auto"/>
        <w:ind w:right="358" w:firstLine="360"/>
      </w:pPr>
      <w:r>
        <w:t xml:space="preserve">We are not talking about the limitations of human beings. We’re taking about the conditions that must, as a matter of logic, be fulfilled by any sense-perception on the part of anyone or anything. If it’s said that God could “just know” what is out there—that She (or He or it) didn’t have to be on the receiving end of some causal process starting with external objects—I would reply by saying: “rubbish!” If there’s no causal process, then, by definition, there’s no information for God to go off of. And if there’s no such information, then any image God comes up with is a hallucination. It might be a correct one. But, if so, it’ll only be an </w:t>
      </w:r>
      <w:r>
        <w:rPr>
          <w:i/>
        </w:rPr>
        <w:t xml:space="preserve">accidentally </w:t>
      </w:r>
      <w:r>
        <w:t>correct one, and it won’t be enough for knowledge of anything, and any belief She has in consequence of having that image will be nothing more than a guess. A correct guess, perhaps. Some guesses are lucky guesses. But lucky guesses aren’t knowledge. (See Chapter 10 for an explanation of this.)</w:t>
      </w:r>
    </w:p>
    <w:p w14:paraId="7E001BDE" w14:textId="77777777" w:rsidR="009A58DB" w:rsidRDefault="00000000">
      <w:pPr>
        <w:pStyle w:val="BodyText"/>
        <w:spacing w:before="16" w:line="249" w:lineRule="auto"/>
        <w:ind w:right="362" w:firstLine="360"/>
      </w:pPr>
      <w:r>
        <w:t>If</w:t>
      </w:r>
      <w:r>
        <w:rPr>
          <w:spacing w:val="-3"/>
        </w:rPr>
        <w:t xml:space="preserve"> </w:t>
      </w:r>
      <w:r>
        <w:t>it’s</w:t>
      </w:r>
      <w:r>
        <w:rPr>
          <w:spacing w:val="-3"/>
        </w:rPr>
        <w:t xml:space="preserve"> </w:t>
      </w:r>
      <w:r>
        <w:t>said</w:t>
      </w:r>
      <w:r>
        <w:rPr>
          <w:spacing w:val="-2"/>
        </w:rPr>
        <w:t xml:space="preserve"> </w:t>
      </w:r>
      <w:r>
        <w:t>that</w:t>
      </w:r>
      <w:r>
        <w:rPr>
          <w:spacing w:val="-3"/>
        </w:rPr>
        <w:t xml:space="preserve"> </w:t>
      </w:r>
      <w:r>
        <w:t>the</w:t>
      </w:r>
      <w:r>
        <w:rPr>
          <w:spacing w:val="-3"/>
        </w:rPr>
        <w:t xml:space="preserve"> </w:t>
      </w:r>
      <w:r>
        <w:t>laws</w:t>
      </w:r>
      <w:r>
        <w:rPr>
          <w:spacing w:val="-3"/>
        </w:rPr>
        <w:t xml:space="preserve"> </w:t>
      </w:r>
      <w:r>
        <w:t>of</w:t>
      </w:r>
      <w:r>
        <w:rPr>
          <w:spacing w:val="-3"/>
        </w:rPr>
        <w:t xml:space="preserve"> </w:t>
      </w:r>
      <w:r>
        <w:t>logic</w:t>
      </w:r>
      <w:r>
        <w:rPr>
          <w:spacing w:val="-3"/>
        </w:rPr>
        <w:t xml:space="preserve"> </w:t>
      </w:r>
      <w:r>
        <w:t>don’t</w:t>
      </w:r>
      <w:r>
        <w:rPr>
          <w:spacing w:val="-3"/>
        </w:rPr>
        <w:t xml:space="preserve"> </w:t>
      </w:r>
      <w:r>
        <w:t>apply</w:t>
      </w:r>
      <w:r>
        <w:rPr>
          <w:spacing w:val="-2"/>
        </w:rPr>
        <w:t xml:space="preserve"> </w:t>
      </w:r>
      <w:r>
        <w:t>to</w:t>
      </w:r>
      <w:r>
        <w:rPr>
          <w:spacing w:val="-2"/>
        </w:rPr>
        <w:t xml:space="preserve"> </w:t>
      </w:r>
      <w:r>
        <w:t>God,</w:t>
      </w:r>
      <w:r>
        <w:rPr>
          <w:spacing w:val="-2"/>
        </w:rPr>
        <w:t xml:space="preserve"> </w:t>
      </w:r>
      <w:r>
        <w:t>I</w:t>
      </w:r>
      <w:r>
        <w:rPr>
          <w:spacing w:val="-3"/>
        </w:rPr>
        <w:t xml:space="preserve"> </w:t>
      </w:r>
      <w:r>
        <w:t>would</w:t>
      </w:r>
      <w:r>
        <w:rPr>
          <w:spacing w:val="-2"/>
        </w:rPr>
        <w:t xml:space="preserve"> </w:t>
      </w:r>
      <w:r>
        <w:t>say:</w:t>
      </w:r>
      <w:r>
        <w:rPr>
          <w:spacing w:val="-3"/>
        </w:rPr>
        <w:t xml:space="preserve"> </w:t>
      </w:r>
      <w:r>
        <w:t>“yes</w:t>
      </w:r>
      <w:r>
        <w:rPr>
          <w:spacing w:val="-3"/>
        </w:rPr>
        <w:t xml:space="preserve"> </w:t>
      </w:r>
      <w:r>
        <w:t>they do.” If, in response to that, it’s said that God, being omnipotent, can’t be hemmed in by anything, even the laws of logic, I would reply by saying that this statement embodies a total failure to understand the nature of logical truth—that God’s inability to create a square circle is no more an abridgment of</w:t>
      </w:r>
      <w:r>
        <w:rPr>
          <w:spacing w:val="17"/>
        </w:rPr>
        <w:t xml:space="preserve"> </w:t>
      </w:r>
      <w:r>
        <w:t>Her</w:t>
      </w:r>
      <w:r>
        <w:rPr>
          <w:spacing w:val="17"/>
        </w:rPr>
        <w:t xml:space="preserve"> </w:t>
      </w:r>
      <w:r>
        <w:t>powers</w:t>
      </w:r>
      <w:r>
        <w:rPr>
          <w:spacing w:val="17"/>
        </w:rPr>
        <w:t xml:space="preserve"> </w:t>
      </w:r>
      <w:r>
        <w:t>than</w:t>
      </w:r>
      <w:r>
        <w:rPr>
          <w:spacing w:val="17"/>
        </w:rPr>
        <w:t xml:space="preserve"> </w:t>
      </w:r>
      <w:r>
        <w:t>an</w:t>
      </w:r>
      <w:r>
        <w:rPr>
          <w:spacing w:val="17"/>
        </w:rPr>
        <w:t xml:space="preserve"> </w:t>
      </w:r>
      <w:r>
        <w:t>athlete’s</w:t>
      </w:r>
      <w:r>
        <w:rPr>
          <w:spacing w:val="17"/>
        </w:rPr>
        <w:t xml:space="preserve"> </w:t>
      </w:r>
      <w:r>
        <w:t>“inability”</w:t>
      </w:r>
      <w:r>
        <w:rPr>
          <w:spacing w:val="17"/>
        </w:rPr>
        <w:t xml:space="preserve"> </w:t>
      </w:r>
      <w:r>
        <w:t>to</w:t>
      </w:r>
      <w:r>
        <w:rPr>
          <w:spacing w:val="17"/>
        </w:rPr>
        <w:t xml:space="preserve"> </w:t>
      </w:r>
      <w:r>
        <w:t>score</w:t>
      </w:r>
      <w:r>
        <w:rPr>
          <w:spacing w:val="17"/>
        </w:rPr>
        <w:t xml:space="preserve"> </w:t>
      </w:r>
      <w:r>
        <w:t>a</w:t>
      </w:r>
      <w:r>
        <w:rPr>
          <w:spacing w:val="17"/>
        </w:rPr>
        <w:t xml:space="preserve"> </w:t>
      </w:r>
      <w:r>
        <w:t>touchdown</w:t>
      </w:r>
      <w:r>
        <w:rPr>
          <w:spacing w:val="17"/>
        </w:rPr>
        <w:t xml:space="preserve"> </w:t>
      </w:r>
      <w:r>
        <w:t>in</w:t>
      </w:r>
      <w:r>
        <w:rPr>
          <w:spacing w:val="17"/>
        </w:rPr>
        <w:t xml:space="preserve"> </w:t>
      </w:r>
      <w:r>
        <w:t>a</w:t>
      </w:r>
      <w:r>
        <w:rPr>
          <w:spacing w:val="17"/>
        </w:rPr>
        <w:t xml:space="preserve"> </w:t>
      </w:r>
      <w:r>
        <w:t>soccer</w:t>
      </w:r>
    </w:p>
    <w:p w14:paraId="7E001BD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E0" w14:textId="77777777" w:rsidR="009A58DB" w:rsidRDefault="00000000">
      <w:pPr>
        <w:pStyle w:val="BodyText"/>
        <w:spacing w:before="65" w:line="249" w:lineRule="auto"/>
        <w:ind w:right="362"/>
      </w:pPr>
      <w:r>
        <w:lastRenderedPageBreak/>
        <w:t>match shows a lack of athletic talent. If asked why, I can only say: read Chapter 25, Section 4, which is dedicated to this problem.</w:t>
      </w:r>
    </w:p>
    <w:p w14:paraId="7E001BE1" w14:textId="77777777" w:rsidR="009A58DB" w:rsidRDefault="00000000">
      <w:pPr>
        <w:pStyle w:val="BodyText"/>
        <w:spacing w:before="2" w:line="249" w:lineRule="auto"/>
        <w:ind w:right="369" w:firstLine="360"/>
      </w:pPr>
      <w:r>
        <w:t xml:space="preserve">In any case, the idea God could </w:t>
      </w:r>
      <w:r>
        <w:rPr>
          <w:i/>
        </w:rPr>
        <w:t xml:space="preserve">know </w:t>
      </w:r>
      <w:r>
        <w:t xml:space="preserve">of some event without having any causal connection is in the same category as the idea that a sufficiently good athlete could score a touchdown in the course of a soccer match. It’s simply </w:t>
      </w:r>
      <w:r>
        <w:rPr>
          <w:spacing w:val="-2"/>
        </w:rPr>
        <w:t>incoherent.</w:t>
      </w:r>
    </w:p>
    <w:p w14:paraId="7E001BE2" w14:textId="77777777" w:rsidR="009A58DB" w:rsidRDefault="00000000">
      <w:pPr>
        <w:pStyle w:val="BodyText"/>
        <w:spacing w:before="5" w:line="249" w:lineRule="auto"/>
        <w:ind w:right="358" w:firstLine="360"/>
      </w:pPr>
      <w:r>
        <w:t>But</w:t>
      </w:r>
      <w:r>
        <w:rPr>
          <w:spacing w:val="-4"/>
        </w:rPr>
        <w:t xml:space="preserve"> </w:t>
      </w:r>
      <w:r>
        <w:t>why</w:t>
      </w:r>
      <w:r>
        <w:rPr>
          <w:spacing w:val="-3"/>
        </w:rPr>
        <w:t xml:space="preserve"> </w:t>
      </w:r>
      <w:r>
        <w:t>exactly</w:t>
      </w:r>
      <w:r>
        <w:rPr>
          <w:spacing w:val="-3"/>
        </w:rPr>
        <w:t xml:space="preserve"> </w:t>
      </w:r>
      <w:r>
        <w:t>is</w:t>
      </w:r>
      <w:r>
        <w:rPr>
          <w:spacing w:val="-4"/>
        </w:rPr>
        <w:t xml:space="preserve"> </w:t>
      </w:r>
      <w:r>
        <w:t>it</w:t>
      </w:r>
      <w:r>
        <w:rPr>
          <w:spacing w:val="-4"/>
        </w:rPr>
        <w:t xml:space="preserve"> </w:t>
      </w:r>
      <w:r>
        <w:t>incoherent?</w:t>
      </w:r>
      <w:r>
        <w:rPr>
          <w:spacing w:val="-4"/>
        </w:rPr>
        <w:t xml:space="preserve"> </w:t>
      </w:r>
      <w:r>
        <w:t>Only</w:t>
      </w:r>
      <w:r>
        <w:rPr>
          <w:spacing w:val="-3"/>
        </w:rPr>
        <w:t xml:space="preserve"> </w:t>
      </w:r>
      <w:r>
        <w:rPr>
          <w:i/>
        </w:rPr>
        <w:t>justified</w:t>
      </w:r>
      <w:r>
        <w:rPr>
          <w:i/>
          <w:spacing w:val="-3"/>
        </w:rPr>
        <w:t xml:space="preserve"> </w:t>
      </w:r>
      <w:r>
        <w:t>true</w:t>
      </w:r>
      <w:r>
        <w:rPr>
          <w:spacing w:val="-4"/>
        </w:rPr>
        <w:t xml:space="preserve"> </w:t>
      </w:r>
      <w:r>
        <w:t>beliefs</w:t>
      </w:r>
      <w:r>
        <w:rPr>
          <w:spacing w:val="-4"/>
        </w:rPr>
        <w:t xml:space="preserve"> </w:t>
      </w:r>
      <w:r>
        <w:t>are</w:t>
      </w:r>
      <w:r>
        <w:rPr>
          <w:spacing w:val="-4"/>
        </w:rPr>
        <w:t xml:space="preserve"> </w:t>
      </w:r>
      <w:r>
        <w:t>knowledge. Lucky guesses don’t count. A justified belief is one for which there is evidence. One spatiotemporal thing is evidence of another if and only if the first is causally related to the second in such a way that, given the existence</w:t>
      </w:r>
      <w:r>
        <w:rPr>
          <w:spacing w:val="40"/>
        </w:rPr>
        <w:t xml:space="preserve"> </w:t>
      </w:r>
      <w:r>
        <w:t xml:space="preserve">of the first, that of the second can be inferred. Therefore, one’s own mental states are evidence of a given external thing, and therefore give one a justification for believing that thing to exist, </w:t>
      </w:r>
      <w:r>
        <w:rPr>
          <w:i/>
        </w:rPr>
        <w:t xml:space="preserve">only </w:t>
      </w:r>
      <w:r>
        <w:t>if those mental states are effects of that thing. So the idea that God could know of some spatiotemporal entity without being causally connected to that entity is no more coherent</w:t>
      </w:r>
      <w:r>
        <w:rPr>
          <w:spacing w:val="40"/>
        </w:rPr>
        <w:t xml:space="preserve"> </w:t>
      </w:r>
      <w:r>
        <w:t>than the abject absurdity that one event could be evidence of another even though the occurrence of the first event provided no reason to suspect the occurrence of the second. Since the latter idea is obviously a non-starter, which deserves to be put in the same category as “squares don’t have four sides,” the same is true of the former. For similar reasons, one would simply be redefining the terms “‘justification” and “knowledge” were one to say that unjustified beliefs were knowledge or that beliefs for which one had known evidence were justified. Nothing that follows from definitional truths can be false; anything that follows from a truth of logic is itself a truth of logic. So it is</w:t>
      </w:r>
      <w:r>
        <w:rPr>
          <w:spacing w:val="-3"/>
        </w:rPr>
        <w:t xml:space="preserve"> </w:t>
      </w:r>
      <w:r>
        <w:t>a</w:t>
      </w:r>
      <w:r>
        <w:rPr>
          <w:spacing w:val="-3"/>
        </w:rPr>
        <w:t xml:space="preserve"> </w:t>
      </w:r>
      <w:r>
        <w:t>truth</w:t>
      </w:r>
      <w:r>
        <w:rPr>
          <w:spacing w:val="-2"/>
        </w:rPr>
        <w:t xml:space="preserve"> </w:t>
      </w:r>
      <w:r>
        <w:t>of</w:t>
      </w:r>
      <w:r>
        <w:rPr>
          <w:spacing w:val="-3"/>
        </w:rPr>
        <w:t xml:space="preserve"> </w:t>
      </w:r>
      <w:r>
        <w:t>logic,</w:t>
      </w:r>
      <w:r>
        <w:rPr>
          <w:spacing w:val="-2"/>
        </w:rPr>
        <w:t xml:space="preserve"> </w:t>
      </w:r>
      <w:r>
        <w:t>since</w:t>
      </w:r>
      <w:r>
        <w:rPr>
          <w:spacing w:val="-3"/>
        </w:rPr>
        <w:t xml:space="preserve"> </w:t>
      </w:r>
      <w:r>
        <w:t>it</w:t>
      </w:r>
      <w:r>
        <w:rPr>
          <w:spacing w:val="-3"/>
        </w:rPr>
        <w:t xml:space="preserve"> </w:t>
      </w:r>
      <w:r>
        <w:t>follows</w:t>
      </w:r>
      <w:r>
        <w:rPr>
          <w:spacing w:val="-3"/>
        </w:rPr>
        <w:t xml:space="preserve"> </w:t>
      </w:r>
      <w:r>
        <w:t>from</w:t>
      </w:r>
      <w:r>
        <w:rPr>
          <w:spacing w:val="-3"/>
        </w:rPr>
        <w:t xml:space="preserve"> </w:t>
      </w:r>
      <w:r>
        <w:t>truths</w:t>
      </w:r>
      <w:r>
        <w:rPr>
          <w:spacing w:val="-3"/>
        </w:rPr>
        <w:t xml:space="preserve"> </w:t>
      </w:r>
      <w:r>
        <w:t>of</w:t>
      </w:r>
      <w:r>
        <w:rPr>
          <w:spacing w:val="-3"/>
        </w:rPr>
        <w:t xml:space="preserve"> </w:t>
      </w:r>
      <w:r>
        <w:t>logic,</w:t>
      </w:r>
      <w:r>
        <w:rPr>
          <w:spacing w:val="-2"/>
        </w:rPr>
        <w:t xml:space="preserve"> </w:t>
      </w:r>
      <w:r>
        <w:t>that</w:t>
      </w:r>
      <w:r>
        <w:rPr>
          <w:spacing w:val="-3"/>
        </w:rPr>
        <w:t xml:space="preserve"> </w:t>
      </w:r>
      <w:r>
        <w:t>God</w:t>
      </w:r>
      <w:r>
        <w:rPr>
          <w:spacing w:val="-2"/>
        </w:rPr>
        <w:t xml:space="preserve"> </w:t>
      </w:r>
      <w:r>
        <w:t>couldn’t</w:t>
      </w:r>
      <w:r>
        <w:rPr>
          <w:spacing w:val="-3"/>
        </w:rPr>
        <w:t xml:space="preserve"> </w:t>
      </w:r>
      <w:r>
        <w:t>have knowledge</w:t>
      </w:r>
      <w:r>
        <w:rPr>
          <w:spacing w:val="-5"/>
        </w:rPr>
        <w:t xml:space="preserve"> </w:t>
      </w:r>
      <w:r>
        <w:t>of</w:t>
      </w:r>
      <w:r>
        <w:rPr>
          <w:spacing w:val="-5"/>
        </w:rPr>
        <w:t xml:space="preserve"> </w:t>
      </w:r>
      <w:r>
        <w:t>some</w:t>
      </w:r>
      <w:r>
        <w:rPr>
          <w:spacing w:val="-5"/>
        </w:rPr>
        <w:t xml:space="preserve"> </w:t>
      </w:r>
      <w:r>
        <w:t>spatiotemporal</w:t>
      </w:r>
      <w:r>
        <w:rPr>
          <w:spacing w:val="-5"/>
        </w:rPr>
        <w:t xml:space="preserve"> </w:t>
      </w:r>
      <w:r>
        <w:t>entity</w:t>
      </w:r>
      <w:r>
        <w:rPr>
          <w:spacing w:val="-4"/>
        </w:rPr>
        <w:t xml:space="preserve"> </w:t>
      </w:r>
      <w:r>
        <w:t>without</w:t>
      </w:r>
      <w:r>
        <w:rPr>
          <w:spacing w:val="-5"/>
        </w:rPr>
        <w:t xml:space="preserve"> </w:t>
      </w:r>
      <w:r>
        <w:t>being</w:t>
      </w:r>
      <w:r>
        <w:rPr>
          <w:spacing w:val="-4"/>
        </w:rPr>
        <w:t xml:space="preserve"> </w:t>
      </w:r>
      <w:r>
        <w:t>causally</w:t>
      </w:r>
      <w:r>
        <w:rPr>
          <w:spacing w:val="-4"/>
        </w:rPr>
        <w:t xml:space="preserve"> </w:t>
      </w:r>
      <w:r>
        <w:t>connected</w:t>
      </w:r>
      <w:r>
        <w:rPr>
          <w:spacing w:val="-4"/>
        </w:rPr>
        <w:t xml:space="preserve"> </w:t>
      </w:r>
      <w:r>
        <w:t>to that</w:t>
      </w:r>
      <w:r>
        <w:rPr>
          <w:spacing w:val="-2"/>
        </w:rPr>
        <w:t xml:space="preserve"> </w:t>
      </w:r>
      <w:r>
        <w:t>entity.</w:t>
      </w:r>
      <w:r>
        <w:rPr>
          <w:spacing w:val="-2"/>
        </w:rPr>
        <w:t xml:space="preserve"> </w:t>
      </w:r>
      <w:r>
        <w:t>It’s</w:t>
      </w:r>
      <w:r>
        <w:rPr>
          <w:spacing w:val="-2"/>
        </w:rPr>
        <w:t xml:space="preserve"> </w:t>
      </w:r>
      <w:r>
        <w:t>also</w:t>
      </w:r>
      <w:r>
        <w:rPr>
          <w:spacing w:val="-2"/>
        </w:rPr>
        <w:t xml:space="preserve"> </w:t>
      </w:r>
      <w:r>
        <w:t>a</w:t>
      </w:r>
      <w:r>
        <w:rPr>
          <w:spacing w:val="-2"/>
        </w:rPr>
        <w:t xml:space="preserve"> </w:t>
      </w:r>
      <w:r>
        <w:t>tautology</w:t>
      </w:r>
      <w:r>
        <w:rPr>
          <w:spacing w:val="-2"/>
        </w:rPr>
        <w:t xml:space="preserve"> </w:t>
      </w:r>
      <w:r>
        <w:t>that</w:t>
      </w:r>
      <w:r>
        <w:rPr>
          <w:spacing w:val="-2"/>
        </w:rPr>
        <w:t xml:space="preserve"> </w:t>
      </w:r>
      <w:r>
        <w:t>causal</w:t>
      </w:r>
      <w:r>
        <w:rPr>
          <w:spacing w:val="-2"/>
        </w:rPr>
        <w:t xml:space="preserve"> </w:t>
      </w:r>
      <w:r>
        <w:t>connections</w:t>
      </w:r>
      <w:r>
        <w:rPr>
          <w:spacing w:val="-2"/>
        </w:rPr>
        <w:t xml:space="preserve"> </w:t>
      </w:r>
      <w:r>
        <w:t>are</w:t>
      </w:r>
      <w:r>
        <w:rPr>
          <w:spacing w:val="-2"/>
        </w:rPr>
        <w:t xml:space="preserve"> </w:t>
      </w:r>
      <w:r>
        <w:t>disruptive</w:t>
      </w:r>
      <w:r>
        <w:rPr>
          <w:spacing w:val="-2"/>
        </w:rPr>
        <w:t xml:space="preserve"> </w:t>
      </w:r>
      <w:r>
        <w:t>and</w:t>
      </w:r>
      <w:r>
        <w:rPr>
          <w:spacing w:val="-2"/>
        </w:rPr>
        <w:t xml:space="preserve"> </w:t>
      </w:r>
      <w:r>
        <w:t>that tautology entails that God’s mental representations of the world must, in at least some cases, be discrepant with the corresponding realities.</w:t>
      </w:r>
    </w:p>
    <w:p w14:paraId="7E001BE3" w14:textId="77777777" w:rsidR="009A58DB" w:rsidRDefault="00000000">
      <w:pPr>
        <w:pStyle w:val="BodyText"/>
        <w:spacing w:before="28" w:line="249" w:lineRule="auto"/>
        <w:ind w:right="363" w:firstLine="360"/>
      </w:pPr>
      <w:r>
        <w:t>Before closing the argument, let’s sum up. Learning about the world involves changing it. A consequence is that the world is different from how it is represented to you as being. So even if the world is 100% deterministic, there is necessarily a gulf between the perception and the reality.</w:t>
      </w:r>
    </w:p>
    <w:p w14:paraId="7E001BE4" w14:textId="77777777" w:rsidR="009A58DB" w:rsidRDefault="00000000">
      <w:pPr>
        <w:pStyle w:val="BodyText"/>
        <w:spacing w:before="5" w:line="249" w:lineRule="auto"/>
        <w:ind w:right="359" w:firstLine="360"/>
      </w:pPr>
      <w:r>
        <w:t>Conclusion: Given the existence of the aforementioned gulf, any predictions one makes are necessarily slightly off. A prediction involves two things: first,</w:t>
      </w:r>
      <w:r>
        <w:rPr>
          <w:spacing w:val="3"/>
        </w:rPr>
        <w:t xml:space="preserve"> </w:t>
      </w:r>
      <w:r>
        <w:t>knowledge</w:t>
      </w:r>
      <w:r>
        <w:rPr>
          <w:spacing w:val="2"/>
        </w:rPr>
        <w:t xml:space="preserve"> </w:t>
      </w:r>
      <w:r>
        <w:t>of</w:t>
      </w:r>
      <w:r>
        <w:rPr>
          <w:spacing w:val="3"/>
        </w:rPr>
        <w:t xml:space="preserve"> </w:t>
      </w:r>
      <w:r>
        <w:t>initial</w:t>
      </w:r>
      <w:r>
        <w:rPr>
          <w:spacing w:val="2"/>
        </w:rPr>
        <w:t xml:space="preserve"> </w:t>
      </w:r>
      <w:r>
        <w:t>conditions</w:t>
      </w:r>
      <w:r>
        <w:rPr>
          <w:spacing w:val="3"/>
        </w:rPr>
        <w:t xml:space="preserve"> </w:t>
      </w:r>
      <w:r>
        <w:t>(how</w:t>
      </w:r>
      <w:r>
        <w:rPr>
          <w:spacing w:val="2"/>
        </w:rPr>
        <w:t xml:space="preserve"> </w:t>
      </w:r>
      <w:r>
        <w:t>things</w:t>
      </w:r>
      <w:r>
        <w:rPr>
          <w:spacing w:val="3"/>
        </w:rPr>
        <w:t xml:space="preserve"> </w:t>
      </w:r>
      <w:r>
        <w:t>are</w:t>
      </w:r>
      <w:r>
        <w:rPr>
          <w:spacing w:val="2"/>
        </w:rPr>
        <w:t xml:space="preserve"> </w:t>
      </w:r>
      <w:r>
        <w:t>at</w:t>
      </w:r>
      <w:r>
        <w:rPr>
          <w:spacing w:val="3"/>
        </w:rPr>
        <w:t xml:space="preserve"> </w:t>
      </w:r>
      <w:r>
        <w:t>the</w:t>
      </w:r>
      <w:r>
        <w:rPr>
          <w:spacing w:val="3"/>
        </w:rPr>
        <w:t xml:space="preserve"> </w:t>
      </w:r>
      <w:r>
        <w:rPr>
          <w:spacing w:val="-2"/>
        </w:rPr>
        <w:t>moment—</w:t>
      </w:r>
    </w:p>
    <w:p w14:paraId="7E001BE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E6" w14:textId="77777777" w:rsidR="009A58DB" w:rsidRDefault="00000000">
      <w:pPr>
        <w:pStyle w:val="BodyText"/>
        <w:spacing w:before="65" w:line="249" w:lineRule="auto"/>
        <w:ind w:right="359"/>
      </w:pPr>
      <w:r>
        <w:lastRenderedPageBreak/>
        <w:t>or, in any case, how they were just a moment ago); second, what the relevant causal laws are. Given a knowledge of those causal laws, one can predict what</w:t>
      </w:r>
      <w:r>
        <w:rPr>
          <w:spacing w:val="-1"/>
        </w:rPr>
        <w:t xml:space="preserve"> </w:t>
      </w:r>
      <w:r>
        <w:t>must</w:t>
      </w:r>
      <w:r>
        <w:rPr>
          <w:spacing w:val="-1"/>
        </w:rPr>
        <w:t xml:space="preserve"> </w:t>
      </w:r>
      <w:r>
        <w:t>occur,</w:t>
      </w:r>
      <w:r>
        <w:rPr>
          <w:spacing w:val="-1"/>
        </w:rPr>
        <w:t xml:space="preserve"> </w:t>
      </w:r>
      <w:r>
        <w:t>given</w:t>
      </w:r>
      <w:r>
        <w:rPr>
          <w:spacing w:val="-1"/>
        </w:rPr>
        <w:t xml:space="preserve"> </w:t>
      </w:r>
      <w:r>
        <w:t>those</w:t>
      </w:r>
      <w:r>
        <w:rPr>
          <w:spacing w:val="-1"/>
        </w:rPr>
        <w:t xml:space="preserve"> </w:t>
      </w:r>
      <w:r>
        <w:t>initial</w:t>
      </w:r>
      <w:r>
        <w:rPr>
          <w:spacing w:val="-1"/>
        </w:rPr>
        <w:t xml:space="preserve"> </w:t>
      </w:r>
      <w:r>
        <w:t>conditions.</w:t>
      </w:r>
      <w:r>
        <w:rPr>
          <w:spacing w:val="-1"/>
        </w:rPr>
        <w:t xml:space="preserve"> </w:t>
      </w:r>
      <w:r>
        <w:t>But</w:t>
      </w:r>
      <w:r>
        <w:rPr>
          <w:spacing w:val="-1"/>
        </w:rPr>
        <w:t xml:space="preserve"> </w:t>
      </w:r>
      <w:r>
        <w:t>since</w:t>
      </w:r>
      <w:r>
        <w:rPr>
          <w:spacing w:val="-1"/>
        </w:rPr>
        <w:t xml:space="preserve"> </w:t>
      </w:r>
      <w:r>
        <w:t>one’s</w:t>
      </w:r>
      <w:r>
        <w:rPr>
          <w:spacing w:val="-1"/>
        </w:rPr>
        <w:t xml:space="preserve"> </w:t>
      </w:r>
      <w:r>
        <w:t>knowledge</w:t>
      </w:r>
      <w:r>
        <w:rPr>
          <w:spacing w:val="-1"/>
        </w:rPr>
        <w:t xml:space="preserve"> </w:t>
      </w:r>
      <w:r>
        <w:t>of initial conditions is necessarily off, though sometimes not by very much, one’s predictions will be off.</w:t>
      </w:r>
    </w:p>
    <w:p w14:paraId="7E001BE7" w14:textId="77777777" w:rsidR="009A58DB" w:rsidRDefault="00000000">
      <w:pPr>
        <w:pStyle w:val="ListParagraph"/>
        <w:numPr>
          <w:ilvl w:val="1"/>
          <w:numId w:val="99"/>
        </w:numPr>
        <w:tabs>
          <w:tab w:val="left" w:pos="990"/>
        </w:tabs>
        <w:spacing w:before="194"/>
        <w:ind w:left="990"/>
        <w:rPr>
          <w:b/>
          <w:sz w:val="42"/>
        </w:rPr>
      </w:pPr>
      <w:r>
        <w:rPr>
          <w:b/>
          <w:sz w:val="42"/>
        </w:rPr>
        <w:t>Why</w:t>
      </w:r>
      <w:r>
        <w:rPr>
          <w:b/>
          <w:spacing w:val="-8"/>
          <w:sz w:val="42"/>
        </w:rPr>
        <w:t xml:space="preserve"> </w:t>
      </w:r>
      <w:r>
        <w:rPr>
          <w:b/>
          <w:sz w:val="42"/>
        </w:rPr>
        <w:t>predictability</w:t>
      </w:r>
      <w:r>
        <w:rPr>
          <w:b/>
          <w:spacing w:val="-5"/>
          <w:sz w:val="42"/>
        </w:rPr>
        <w:t xml:space="preserve"> </w:t>
      </w:r>
      <w:r>
        <w:rPr>
          <w:b/>
          <w:sz w:val="42"/>
        </w:rPr>
        <w:t>≠</w:t>
      </w:r>
      <w:r>
        <w:rPr>
          <w:b/>
          <w:spacing w:val="-7"/>
          <w:sz w:val="42"/>
        </w:rPr>
        <w:t xml:space="preserve"> </w:t>
      </w:r>
      <w:r>
        <w:rPr>
          <w:b/>
          <w:sz w:val="42"/>
        </w:rPr>
        <w:t>determinism:</w:t>
      </w:r>
      <w:r>
        <w:rPr>
          <w:b/>
          <w:spacing w:val="-6"/>
          <w:sz w:val="42"/>
        </w:rPr>
        <w:t xml:space="preserve"> </w:t>
      </w:r>
      <w:r>
        <w:rPr>
          <w:b/>
          <w:sz w:val="42"/>
        </w:rPr>
        <w:t>Reason</w:t>
      </w:r>
      <w:r>
        <w:rPr>
          <w:b/>
          <w:spacing w:val="-6"/>
          <w:sz w:val="42"/>
        </w:rPr>
        <w:t xml:space="preserve"> </w:t>
      </w:r>
      <w:r>
        <w:rPr>
          <w:b/>
          <w:spacing w:val="-5"/>
          <w:sz w:val="42"/>
        </w:rPr>
        <w:t>#2</w:t>
      </w:r>
    </w:p>
    <w:p w14:paraId="7E001BE8" w14:textId="77777777" w:rsidR="009A58DB" w:rsidRDefault="00000000">
      <w:pPr>
        <w:pStyle w:val="BodyText"/>
        <w:spacing w:before="139" w:line="249" w:lineRule="auto"/>
        <w:ind w:right="368"/>
      </w:pPr>
      <w:r>
        <w:t>What</w:t>
      </w:r>
      <w:r>
        <w:rPr>
          <w:spacing w:val="-2"/>
        </w:rPr>
        <w:t xml:space="preserve"> </w:t>
      </w:r>
      <w:r>
        <w:t>we</w:t>
      </w:r>
      <w:r>
        <w:rPr>
          <w:spacing w:val="-1"/>
        </w:rPr>
        <w:t xml:space="preserve"> </w:t>
      </w:r>
      <w:r>
        <w:t>know</w:t>
      </w:r>
      <w:r>
        <w:rPr>
          <w:spacing w:val="-1"/>
        </w:rPr>
        <w:t xml:space="preserve"> </w:t>
      </w:r>
      <w:r>
        <w:t>affects</w:t>
      </w:r>
      <w:r>
        <w:rPr>
          <w:spacing w:val="-1"/>
        </w:rPr>
        <w:t xml:space="preserve"> </w:t>
      </w:r>
      <w:r>
        <w:t>how</w:t>
      </w:r>
      <w:r>
        <w:rPr>
          <w:spacing w:val="-1"/>
        </w:rPr>
        <w:t xml:space="preserve"> </w:t>
      </w:r>
      <w:r>
        <w:t>the</w:t>
      </w:r>
      <w:r>
        <w:rPr>
          <w:spacing w:val="-1"/>
        </w:rPr>
        <w:t xml:space="preserve"> </w:t>
      </w:r>
      <w:r>
        <w:t>world</w:t>
      </w:r>
      <w:r>
        <w:rPr>
          <w:spacing w:val="-1"/>
        </w:rPr>
        <w:t xml:space="preserve"> </w:t>
      </w:r>
      <w:r>
        <w:t>is.</w:t>
      </w:r>
      <w:r>
        <w:rPr>
          <w:spacing w:val="-1"/>
        </w:rPr>
        <w:t xml:space="preserve"> </w:t>
      </w:r>
      <w:r>
        <w:t>Why</w:t>
      </w:r>
      <w:r>
        <w:rPr>
          <w:spacing w:val="-1"/>
        </w:rPr>
        <w:t xml:space="preserve"> </w:t>
      </w:r>
      <w:r>
        <w:t>is</w:t>
      </w:r>
      <w:r>
        <w:rPr>
          <w:spacing w:val="-1"/>
        </w:rPr>
        <w:t xml:space="preserve"> </w:t>
      </w:r>
      <w:r>
        <w:t>this?</w:t>
      </w:r>
      <w:r>
        <w:rPr>
          <w:spacing w:val="-1"/>
        </w:rPr>
        <w:t xml:space="preserve"> </w:t>
      </w:r>
      <w:r>
        <w:t>Because</w:t>
      </w:r>
      <w:r>
        <w:rPr>
          <w:spacing w:val="-1"/>
        </w:rPr>
        <w:t xml:space="preserve"> </w:t>
      </w:r>
      <w:r>
        <w:t>what</w:t>
      </w:r>
      <w:r>
        <w:rPr>
          <w:spacing w:val="-2"/>
        </w:rPr>
        <w:t xml:space="preserve"> </w:t>
      </w:r>
      <w:r>
        <w:t>we</w:t>
      </w:r>
      <w:r>
        <w:rPr>
          <w:spacing w:val="-1"/>
        </w:rPr>
        <w:t xml:space="preserve"> </w:t>
      </w:r>
      <w:r>
        <w:t>know affects what we do, and what we do affects how the world is.</w:t>
      </w:r>
    </w:p>
    <w:p w14:paraId="7E001BE9" w14:textId="77777777" w:rsidR="009A58DB" w:rsidRDefault="00000000">
      <w:pPr>
        <w:pStyle w:val="BodyText"/>
        <w:spacing w:before="2" w:line="249" w:lineRule="auto"/>
        <w:ind w:right="360" w:firstLine="360"/>
      </w:pPr>
      <w:r>
        <w:t xml:space="preserve">We can’t know what it is that we’ll know. Suppose that, right now, you know exactly what it is that you’ll know in 10 years. (Let K be that body of knowledge.) In that case, what you’ll know in 10 years will be K </w:t>
      </w:r>
      <w:r>
        <w:rPr>
          <w:i/>
        </w:rPr>
        <w:t xml:space="preserve">plus </w:t>
      </w:r>
      <w:r>
        <w:t xml:space="preserve">all the knowledge you pick up between now and then. And if you build </w:t>
      </w:r>
      <w:r>
        <w:rPr>
          <w:i/>
        </w:rPr>
        <w:t xml:space="preserve">that </w:t>
      </w:r>
      <w:r>
        <w:t xml:space="preserve">knowledge, viz. the knowledge you pick up along the way, into your definition of K, then you’ll </w:t>
      </w:r>
      <w:r>
        <w:rPr>
          <w:i/>
        </w:rPr>
        <w:t xml:space="preserve">already </w:t>
      </w:r>
      <w:r>
        <w:t xml:space="preserve">know it and you won’t pick it up along the way anymore, and the knowledge that you </w:t>
      </w:r>
      <w:r>
        <w:rPr>
          <w:i/>
        </w:rPr>
        <w:t>do</w:t>
      </w:r>
      <w:r>
        <w:rPr>
          <w:i/>
          <w:spacing w:val="-2"/>
        </w:rPr>
        <w:t xml:space="preserve"> </w:t>
      </w:r>
      <w:r>
        <w:t>pick up along the way will be something else. So it makes no sense to say that you could know now</w:t>
      </w:r>
      <w:r>
        <w:rPr>
          <w:spacing w:val="40"/>
        </w:rPr>
        <w:t xml:space="preserve"> </w:t>
      </w:r>
      <w:r>
        <w:t>what it is that you’ll know in 10 years.</w:t>
      </w:r>
    </w:p>
    <w:p w14:paraId="7E001BEA" w14:textId="77777777" w:rsidR="009A58DB" w:rsidRDefault="00000000">
      <w:pPr>
        <w:pStyle w:val="BodyText"/>
        <w:spacing w:before="11" w:line="249" w:lineRule="auto"/>
        <w:ind w:right="359" w:firstLine="360"/>
      </w:pPr>
      <w:r>
        <w:t>There are trivial exceptions to this. For example, if you know that you’ll</w:t>
      </w:r>
      <w:r>
        <w:rPr>
          <w:spacing w:val="40"/>
        </w:rPr>
        <w:t xml:space="preserve"> </w:t>
      </w:r>
      <w:r>
        <w:t>be dead in 10 years, then you know that you’ll know nothing. But assuming that</w:t>
      </w:r>
      <w:r>
        <w:rPr>
          <w:spacing w:val="-3"/>
        </w:rPr>
        <w:t xml:space="preserve"> </w:t>
      </w:r>
      <w:r>
        <w:t>your</w:t>
      </w:r>
      <w:r>
        <w:rPr>
          <w:spacing w:val="-3"/>
        </w:rPr>
        <w:t xml:space="preserve"> </w:t>
      </w:r>
      <w:r>
        <w:t>knowledge</w:t>
      </w:r>
      <w:r>
        <w:rPr>
          <w:spacing w:val="-3"/>
        </w:rPr>
        <w:t xml:space="preserve"> </w:t>
      </w:r>
      <w:r>
        <w:rPr>
          <w:i/>
        </w:rPr>
        <w:t>grows,</w:t>
      </w:r>
      <w:r>
        <w:rPr>
          <w:i/>
          <w:spacing w:val="-2"/>
        </w:rPr>
        <w:t xml:space="preserve"> </w:t>
      </w:r>
      <w:r>
        <w:t>you can’t know how it will grow. And since how it grows affects what you’ll do and therefore affects how the world will be, you can’t predict how the world will be—even if, as Einstein thought, it’s completely deterministic.</w:t>
      </w:r>
    </w:p>
    <w:p w14:paraId="7E001BEB" w14:textId="77777777" w:rsidR="009A58DB" w:rsidRDefault="00000000">
      <w:pPr>
        <w:pStyle w:val="BodyText"/>
        <w:spacing w:before="8" w:line="249" w:lineRule="auto"/>
        <w:ind w:right="372" w:firstLine="360"/>
      </w:pPr>
      <w:r>
        <w:t xml:space="preserve">Thus, the very concept of an infallible self-predictor is an </w:t>
      </w:r>
      <w:r>
        <w:rPr>
          <w:i/>
        </w:rPr>
        <w:t xml:space="preserve">incoherent </w:t>
      </w:r>
      <w:r>
        <w:t>one. In other words, it makes no sense to suppose that a thing should be able to predict its own future states with complete accuracy.</w:t>
      </w:r>
    </w:p>
    <w:p w14:paraId="7E001BEC" w14:textId="77777777" w:rsidR="009A58DB" w:rsidRDefault="00000000">
      <w:pPr>
        <w:pStyle w:val="Heading1"/>
        <w:numPr>
          <w:ilvl w:val="2"/>
          <w:numId w:val="99"/>
        </w:numPr>
        <w:tabs>
          <w:tab w:val="left" w:pos="1305"/>
        </w:tabs>
        <w:spacing w:before="206"/>
      </w:pPr>
      <w:r>
        <w:t>A</w:t>
      </w:r>
      <w:r>
        <w:rPr>
          <w:spacing w:val="-3"/>
        </w:rPr>
        <w:t xml:space="preserve"> </w:t>
      </w:r>
      <w:r>
        <w:t>variation</w:t>
      </w:r>
      <w:r>
        <w:rPr>
          <w:spacing w:val="-3"/>
        </w:rPr>
        <w:t xml:space="preserve"> </w:t>
      </w:r>
      <w:r>
        <w:t>of</w:t>
      </w:r>
      <w:r>
        <w:rPr>
          <w:spacing w:val="-3"/>
        </w:rPr>
        <w:t xml:space="preserve"> </w:t>
      </w:r>
      <w:r>
        <w:t>Reason</w:t>
      </w:r>
      <w:r>
        <w:rPr>
          <w:spacing w:val="-2"/>
        </w:rPr>
        <w:t xml:space="preserve"> </w:t>
      </w:r>
      <w:r>
        <w:rPr>
          <w:spacing w:val="-5"/>
        </w:rPr>
        <w:t>#2</w:t>
      </w:r>
    </w:p>
    <w:p w14:paraId="7E001BED" w14:textId="77777777" w:rsidR="009A58DB" w:rsidRDefault="00000000">
      <w:pPr>
        <w:pStyle w:val="BodyText"/>
        <w:spacing w:before="139" w:line="249" w:lineRule="auto"/>
        <w:ind w:right="358"/>
      </w:pPr>
      <w:r>
        <w:t>There are self-fulfilling prophecies and self-defeating viewpoints. Self-confidence breeds success. You succeed because you believe, perhaps without any good reason, that you will succeed. I’ve found this to be 100% true in my life. I’ve found that self-confidence, even (especially) in the total absence of any reason for it, always works to some degree or other. And I’ve found</w:t>
      </w:r>
      <w:r>
        <w:rPr>
          <w:spacing w:val="42"/>
        </w:rPr>
        <w:t xml:space="preserve"> </w:t>
      </w:r>
      <w:r>
        <w:t>that</w:t>
      </w:r>
      <w:r>
        <w:rPr>
          <w:spacing w:val="43"/>
        </w:rPr>
        <w:t xml:space="preserve"> </w:t>
      </w:r>
      <w:r>
        <w:t>unwarranted</w:t>
      </w:r>
      <w:r>
        <w:rPr>
          <w:spacing w:val="43"/>
        </w:rPr>
        <w:t xml:space="preserve"> </w:t>
      </w:r>
      <w:r>
        <w:t>pessimism</w:t>
      </w:r>
      <w:r>
        <w:rPr>
          <w:spacing w:val="42"/>
        </w:rPr>
        <w:t xml:space="preserve"> </w:t>
      </w:r>
      <w:r>
        <w:t>has</w:t>
      </w:r>
      <w:r>
        <w:rPr>
          <w:spacing w:val="43"/>
        </w:rPr>
        <w:t xml:space="preserve"> </w:t>
      </w:r>
      <w:r>
        <w:t>some</w:t>
      </w:r>
      <w:r>
        <w:rPr>
          <w:spacing w:val="43"/>
        </w:rPr>
        <w:t xml:space="preserve"> </w:t>
      </w:r>
      <w:r>
        <w:t>tendency</w:t>
      </w:r>
      <w:r>
        <w:rPr>
          <w:spacing w:val="42"/>
        </w:rPr>
        <w:t xml:space="preserve"> </w:t>
      </w:r>
      <w:r>
        <w:t>to</w:t>
      </w:r>
      <w:r>
        <w:rPr>
          <w:spacing w:val="43"/>
        </w:rPr>
        <w:t xml:space="preserve"> </w:t>
      </w:r>
      <w:r>
        <w:t>breed</w:t>
      </w:r>
      <w:r>
        <w:rPr>
          <w:spacing w:val="43"/>
        </w:rPr>
        <w:t xml:space="preserve"> </w:t>
      </w:r>
      <w:r>
        <w:t>failure</w:t>
      </w:r>
      <w:r>
        <w:rPr>
          <w:spacing w:val="43"/>
        </w:rPr>
        <w:t xml:space="preserve"> </w:t>
      </w:r>
      <w:r>
        <w:rPr>
          <w:spacing w:val="-5"/>
        </w:rPr>
        <w:t>and</w:t>
      </w:r>
    </w:p>
    <w:p w14:paraId="7E001BE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BEF" w14:textId="77777777" w:rsidR="009A58DB" w:rsidRDefault="00000000">
      <w:pPr>
        <w:pStyle w:val="BodyText"/>
        <w:spacing w:before="70" w:line="249" w:lineRule="auto"/>
        <w:ind w:right="361"/>
      </w:pPr>
      <w:r>
        <w:lastRenderedPageBreak/>
        <w:t>thus to become warranted pessimism. (For some reason, unwarranted self-confidence is, in my experience, more likely to lead to success than unwarranted self-doubt is to lead to failure. But this may be an illusion; it may</w:t>
      </w:r>
      <w:r>
        <w:rPr>
          <w:spacing w:val="-1"/>
        </w:rPr>
        <w:t xml:space="preserve"> </w:t>
      </w:r>
      <w:r>
        <w:t>be</w:t>
      </w:r>
      <w:r>
        <w:rPr>
          <w:spacing w:val="-1"/>
        </w:rPr>
        <w:t xml:space="preserve"> </w:t>
      </w:r>
      <w:r>
        <w:t>that</w:t>
      </w:r>
      <w:r>
        <w:rPr>
          <w:spacing w:val="-2"/>
        </w:rPr>
        <w:t xml:space="preserve"> </w:t>
      </w:r>
      <w:r>
        <w:t>there</w:t>
      </w:r>
      <w:r>
        <w:rPr>
          <w:spacing w:val="-1"/>
        </w:rPr>
        <w:t xml:space="preserve"> </w:t>
      </w:r>
      <w:r>
        <w:t>are</w:t>
      </w:r>
      <w:r>
        <w:rPr>
          <w:spacing w:val="-1"/>
        </w:rPr>
        <w:t xml:space="preserve"> </w:t>
      </w:r>
      <w:r>
        <w:t>cases</w:t>
      </w:r>
      <w:r>
        <w:rPr>
          <w:spacing w:val="-1"/>
        </w:rPr>
        <w:t xml:space="preserve"> </w:t>
      </w:r>
      <w:r>
        <w:t>where</w:t>
      </w:r>
      <w:r>
        <w:rPr>
          <w:spacing w:val="-1"/>
        </w:rPr>
        <w:t xml:space="preserve"> </w:t>
      </w:r>
      <w:r>
        <w:t>my</w:t>
      </w:r>
      <w:r>
        <w:rPr>
          <w:spacing w:val="-1"/>
        </w:rPr>
        <w:t xml:space="preserve"> </w:t>
      </w:r>
      <w:r>
        <w:t>self-doubt</w:t>
      </w:r>
      <w:r>
        <w:rPr>
          <w:spacing w:val="-2"/>
        </w:rPr>
        <w:t xml:space="preserve"> </w:t>
      </w:r>
      <w:r>
        <w:t>was</w:t>
      </w:r>
      <w:r>
        <w:rPr>
          <w:spacing w:val="-1"/>
        </w:rPr>
        <w:t xml:space="preserve"> </w:t>
      </w:r>
      <w:r>
        <w:t>really</w:t>
      </w:r>
      <w:r>
        <w:rPr>
          <w:spacing w:val="-1"/>
        </w:rPr>
        <w:t xml:space="preserve"> </w:t>
      </w:r>
      <w:r>
        <w:t>a</w:t>
      </w:r>
      <w:r>
        <w:rPr>
          <w:spacing w:val="-1"/>
        </w:rPr>
        <w:t xml:space="preserve"> </w:t>
      </w:r>
      <w:r>
        <w:t>sham—a</w:t>
      </w:r>
      <w:r>
        <w:rPr>
          <w:spacing w:val="-1"/>
        </w:rPr>
        <w:t xml:space="preserve"> </w:t>
      </w:r>
      <w:r>
        <w:t>way</w:t>
      </w:r>
      <w:r>
        <w:rPr>
          <w:spacing w:val="-1"/>
        </w:rPr>
        <w:t xml:space="preserve"> </w:t>
      </w:r>
      <w:r>
        <w:t>of keeping self-destructive, hubris-activated forces at bay, by convincing them that I wasn’t in fact guilty of excessive pride.)</w:t>
      </w:r>
    </w:p>
    <w:p w14:paraId="7E001BF0" w14:textId="77777777" w:rsidR="009A58DB" w:rsidRDefault="00000000">
      <w:pPr>
        <w:pStyle w:val="BodyText"/>
        <w:spacing w:before="2" w:line="249" w:lineRule="auto"/>
        <w:ind w:right="362" w:firstLine="360"/>
      </w:pPr>
      <w:r>
        <w:t>The fact that self-predictions make themselves come true might initially appear more consistent with the idea that we can know the future than with the idea that we cannot. But this appearance is misleading. Self-predictions affect the future. In some cases, they do this because they are self-fulfilling. In other cases, they do it for very different reasons. In any case, given that one’s</w:t>
      </w:r>
      <w:r>
        <w:rPr>
          <w:spacing w:val="-4"/>
        </w:rPr>
        <w:t xml:space="preserve"> </w:t>
      </w:r>
      <w:r>
        <w:t>predictions</w:t>
      </w:r>
      <w:r>
        <w:rPr>
          <w:spacing w:val="-4"/>
        </w:rPr>
        <w:t xml:space="preserve"> </w:t>
      </w:r>
      <w:r>
        <w:t>affect</w:t>
      </w:r>
      <w:r>
        <w:rPr>
          <w:spacing w:val="-4"/>
        </w:rPr>
        <w:t xml:space="preserve"> </w:t>
      </w:r>
      <w:r>
        <w:t>the</w:t>
      </w:r>
      <w:r>
        <w:rPr>
          <w:spacing w:val="-4"/>
        </w:rPr>
        <w:t xml:space="preserve"> </w:t>
      </w:r>
      <w:r>
        <w:t>future,</w:t>
      </w:r>
      <w:r>
        <w:rPr>
          <w:spacing w:val="-3"/>
        </w:rPr>
        <w:t xml:space="preserve"> </w:t>
      </w:r>
      <w:r>
        <w:t>so</w:t>
      </w:r>
      <w:r>
        <w:rPr>
          <w:spacing w:val="-3"/>
        </w:rPr>
        <w:t xml:space="preserve"> </w:t>
      </w:r>
      <w:r>
        <w:t>do</w:t>
      </w:r>
      <w:r>
        <w:rPr>
          <w:spacing w:val="-3"/>
        </w:rPr>
        <w:t xml:space="preserve"> </w:t>
      </w:r>
      <w:r>
        <w:t>one’s</w:t>
      </w:r>
      <w:r>
        <w:rPr>
          <w:spacing w:val="-4"/>
        </w:rPr>
        <w:t xml:space="preserve"> </w:t>
      </w:r>
      <w:r>
        <w:t>predictions</w:t>
      </w:r>
      <w:r>
        <w:rPr>
          <w:spacing w:val="-4"/>
        </w:rPr>
        <w:t xml:space="preserve"> </w:t>
      </w:r>
      <w:r>
        <w:t>about</w:t>
      </w:r>
      <w:r>
        <w:rPr>
          <w:spacing w:val="-4"/>
        </w:rPr>
        <w:t xml:space="preserve"> </w:t>
      </w:r>
      <w:r>
        <w:t>the</w:t>
      </w:r>
      <w:r>
        <w:rPr>
          <w:spacing w:val="-4"/>
        </w:rPr>
        <w:t xml:space="preserve"> </w:t>
      </w:r>
      <w:r>
        <w:t>effects</w:t>
      </w:r>
      <w:r>
        <w:rPr>
          <w:spacing w:val="-4"/>
        </w:rPr>
        <w:t xml:space="preserve"> </w:t>
      </w:r>
      <w:r>
        <w:t>of one’s predictions. Therefore, the self-fulfilling nature of some predictions about oneself open up a gap between how things will be and how we can know them to be.</w:t>
      </w:r>
    </w:p>
    <w:p w14:paraId="7E001BF1" w14:textId="77777777" w:rsidR="009A58DB" w:rsidRDefault="00000000">
      <w:pPr>
        <w:pStyle w:val="Heading1"/>
        <w:numPr>
          <w:ilvl w:val="0"/>
          <w:numId w:val="99"/>
        </w:numPr>
        <w:tabs>
          <w:tab w:val="left" w:pos="990"/>
        </w:tabs>
        <w:spacing w:before="199"/>
      </w:pPr>
      <w:r>
        <w:t>Determinism</w:t>
      </w:r>
      <w:r>
        <w:rPr>
          <w:spacing w:val="-7"/>
        </w:rPr>
        <w:t xml:space="preserve"> </w:t>
      </w:r>
      <w:r>
        <w:t>vs.</w:t>
      </w:r>
      <w:r>
        <w:rPr>
          <w:spacing w:val="-5"/>
        </w:rPr>
        <w:t xml:space="preserve"> </w:t>
      </w:r>
      <w:r>
        <w:rPr>
          <w:spacing w:val="-2"/>
        </w:rPr>
        <w:t>randomness</w:t>
      </w:r>
    </w:p>
    <w:p w14:paraId="7E001BF2" w14:textId="77777777" w:rsidR="009A58DB" w:rsidRDefault="00000000">
      <w:pPr>
        <w:pStyle w:val="BodyText"/>
        <w:spacing w:before="139" w:line="249" w:lineRule="auto"/>
        <w:ind w:right="364"/>
      </w:pPr>
      <w:r>
        <w:t xml:space="preserve">“Random” doesn’t mean the same thing as “undetermined.” A deterministic world isn’t necessarily one in which nothing random happens; and, give or take a few niceties, an indeterministic world isn’t necessarily one in which anything random does happen. A story will make it clear why these points </w:t>
      </w:r>
      <w:r>
        <w:rPr>
          <w:spacing w:val="-4"/>
        </w:rPr>
        <w:t>hold.</w:t>
      </w:r>
    </w:p>
    <w:p w14:paraId="7E001BF3" w14:textId="77777777" w:rsidR="009A58DB" w:rsidRDefault="00000000">
      <w:pPr>
        <w:pStyle w:val="BodyText"/>
        <w:spacing w:before="6" w:line="249" w:lineRule="auto"/>
        <w:ind w:right="359" w:firstLine="360"/>
      </w:pPr>
      <w:r>
        <w:t>Smith arrogantly insulted a high-ranking member of a particularly lethal criminal organization, and that person has sworn to kill him. For unrelated reasons,</w:t>
      </w:r>
      <w:r>
        <w:rPr>
          <w:spacing w:val="-2"/>
        </w:rPr>
        <w:t xml:space="preserve"> </w:t>
      </w:r>
      <w:r>
        <w:t>Smith’s</w:t>
      </w:r>
      <w:r>
        <w:rPr>
          <w:spacing w:val="-2"/>
        </w:rPr>
        <w:t xml:space="preserve"> </w:t>
      </w:r>
      <w:r>
        <w:t>wife</w:t>
      </w:r>
      <w:r>
        <w:rPr>
          <w:spacing w:val="-2"/>
        </w:rPr>
        <w:t xml:space="preserve"> </w:t>
      </w:r>
      <w:r>
        <w:t>also</w:t>
      </w:r>
      <w:r>
        <w:rPr>
          <w:spacing w:val="-1"/>
        </w:rPr>
        <w:t xml:space="preserve"> </w:t>
      </w:r>
      <w:r>
        <w:t>wants</w:t>
      </w:r>
      <w:r>
        <w:rPr>
          <w:spacing w:val="-2"/>
        </w:rPr>
        <w:t xml:space="preserve"> </w:t>
      </w:r>
      <w:r>
        <w:t>him</w:t>
      </w:r>
      <w:r>
        <w:rPr>
          <w:spacing w:val="-2"/>
        </w:rPr>
        <w:t xml:space="preserve"> </w:t>
      </w:r>
      <w:r>
        <w:t>dead,</w:t>
      </w:r>
      <w:r>
        <w:rPr>
          <w:spacing w:val="-2"/>
        </w:rPr>
        <w:t xml:space="preserve"> </w:t>
      </w:r>
      <w:r>
        <w:t>and</w:t>
      </w:r>
      <w:r>
        <w:rPr>
          <w:spacing w:val="-1"/>
        </w:rPr>
        <w:t xml:space="preserve"> </w:t>
      </w:r>
      <w:r>
        <w:t>she</w:t>
      </w:r>
      <w:r>
        <w:rPr>
          <w:spacing w:val="-2"/>
        </w:rPr>
        <w:t xml:space="preserve"> </w:t>
      </w:r>
      <w:r>
        <w:t>has</w:t>
      </w:r>
      <w:r>
        <w:rPr>
          <w:spacing w:val="-2"/>
        </w:rPr>
        <w:t xml:space="preserve"> </w:t>
      </w:r>
      <w:r>
        <w:t>just</w:t>
      </w:r>
      <w:r>
        <w:rPr>
          <w:spacing w:val="-2"/>
        </w:rPr>
        <w:t xml:space="preserve"> </w:t>
      </w:r>
      <w:r>
        <w:t>hired</w:t>
      </w:r>
      <w:r>
        <w:rPr>
          <w:spacing w:val="-1"/>
        </w:rPr>
        <w:t xml:space="preserve"> </w:t>
      </w:r>
      <w:r>
        <w:t>a</w:t>
      </w:r>
      <w:r>
        <w:rPr>
          <w:spacing w:val="-2"/>
        </w:rPr>
        <w:t xml:space="preserve"> </w:t>
      </w:r>
      <w:r>
        <w:t>hit</w:t>
      </w:r>
      <w:r>
        <w:rPr>
          <w:spacing w:val="-2"/>
        </w:rPr>
        <w:t xml:space="preserve"> </w:t>
      </w:r>
      <w:r>
        <w:t>man</w:t>
      </w:r>
      <w:r>
        <w:rPr>
          <w:spacing w:val="-1"/>
        </w:rPr>
        <w:t xml:space="preserve"> </w:t>
      </w:r>
      <w:r>
        <w:t>to kill him. She has always wanted him dead; she just married him for his money. Plus, Smith has a serious heart condition, and his doctor is surprised that he didn’t die years ago. You are a friend of Smith’s, and you know all of this. But you don’t know anything else that is relevant to an estimate of how much longer he is likely to live. Given that information, the right estimate is, of course, “not long.”</w:t>
      </w:r>
    </w:p>
    <w:p w14:paraId="7E001BF4" w14:textId="77777777" w:rsidR="009A58DB" w:rsidRDefault="00000000">
      <w:pPr>
        <w:pStyle w:val="BodyText"/>
        <w:spacing w:before="11" w:line="249" w:lineRule="auto"/>
        <w:ind w:right="366" w:firstLine="360"/>
      </w:pPr>
      <w:r>
        <w:t>But Smith beats the odds. Nobody kills him and nothing goes wrong with his heart. But one day, as he’s making a sales pitch to some prospective clients, a ceiling-lamp comes loose and falls on his head, killing him.</w:t>
      </w:r>
    </w:p>
    <w:p w14:paraId="7E001BF5" w14:textId="77777777" w:rsidR="009A58DB" w:rsidRDefault="00000000">
      <w:pPr>
        <w:pStyle w:val="BodyText"/>
        <w:spacing w:before="4"/>
        <w:ind w:left="720"/>
      </w:pPr>
      <w:r>
        <w:t>This</w:t>
      </w:r>
      <w:r>
        <w:rPr>
          <w:spacing w:val="13"/>
        </w:rPr>
        <w:t xml:space="preserve"> </w:t>
      </w:r>
      <w:r>
        <w:t>was</w:t>
      </w:r>
      <w:r>
        <w:rPr>
          <w:spacing w:val="14"/>
        </w:rPr>
        <w:t xml:space="preserve"> </w:t>
      </w:r>
      <w:r>
        <w:t>a</w:t>
      </w:r>
      <w:r>
        <w:rPr>
          <w:spacing w:val="13"/>
        </w:rPr>
        <w:t xml:space="preserve"> </w:t>
      </w:r>
      <w:r>
        <w:t>“random”</w:t>
      </w:r>
      <w:r>
        <w:rPr>
          <w:spacing w:val="14"/>
        </w:rPr>
        <w:t xml:space="preserve"> </w:t>
      </w:r>
      <w:r>
        <w:t>occurrence.</w:t>
      </w:r>
      <w:r>
        <w:rPr>
          <w:spacing w:val="14"/>
        </w:rPr>
        <w:t xml:space="preserve"> </w:t>
      </w:r>
      <w:r>
        <w:t>But</w:t>
      </w:r>
      <w:r>
        <w:rPr>
          <w:spacing w:val="13"/>
        </w:rPr>
        <w:t xml:space="preserve"> </w:t>
      </w:r>
      <w:r>
        <w:t>it</w:t>
      </w:r>
      <w:r>
        <w:rPr>
          <w:spacing w:val="14"/>
        </w:rPr>
        <w:t xml:space="preserve"> </w:t>
      </w:r>
      <w:r>
        <w:t>wasn’t</w:t>
      </w:r>
      <w:r>
        <w:rPr>
          <w:spacing w:val="14"/>
        </w:rPr>
        <w:t xml:space="preserve"> </w:t>
      </w:r>
      <w:r>
        <w:rPr>
          <w:i/>
        </w:rPr>
        <w:t>uncaused.</w:t>
      </w:r>
      <w:r>
        <w:rPr>
          <w:i/>
          <w:spacing w:val="12"/>
        </w:rPr>
        <w:t xml:space="preserve"> </w:t>
      </w:r>
      <w:r>
        <w:t>When</w:t>
      </w:r>
      <w:r>
        <w:rPr>
          <w:spacing w:val="20"/>
        </w:rPr>
        <w:t xml:space="preserve"> </w:t>
      </w:r>
      <w:r>
        <w:t>a</w:t>
      </w:r>
      <w:r>
        <w:rPr>
          <w:spacing w:val="20"/>
        </w:rPr>
        <w:t xml:space="preserve"> </w:t>
      </w:r>
      <w:r>
        <w:rPr>
          <w:spacing w:val="-2"/>
        </w:rPr>
        <w:t>ceiling</w:t>
      </w:r>
    </w:p>
    <w:p w14:paraId="7E001BF6" w14:textId="77777777" w:rsidR="009A58DB" w:rsidRDefault="009A58DB">
      <w:pPr>
        <w:pStyle w:val="BodyText"/>
        <w:sectPr w:rsidR="009A58DB">
          <w:pgSz w:w="12240" w:h="15840"/>
          <w:pgMar w:top="1380" w:right="1080" w:bottom="280" w:left="1080" w:header="720" w:footer="720" w:gutter="0"/>
          <w:cols w:space="720"/>
        </w:sectPr>
      </w:pPr>
    </w:p>
    <w:p w14:paraId="7E001BF7" w14:textId="77777777" w:rsidR="009A58DB" w:rsidRDefault="00000000">
      <w:pPr>
        <w:pStyle w:val="BodyText"/>
        <w:spacing w:before="60" w:line="249" w:lineRule="auto"/>
        <w:ind w:right="358"/>
      </w:pPr>
      <w:r>
        <w:lastRenderedPageBreak/>
        <w:t xml:space="preserve">lamp falls, there’s a reason for it (e.g., the bolt wasn’t screwed in tightly enough or the weight of the lamp was too much for the beam it was hanging from). It was “random” because, although caused, it wasn’t the sort of thing that, given the information at your disposal, could reasonably be expected to do him in. Thus, it was “random” not because it was </w:t>
      </w:r>
      <w:r>
        <w:rPr>
          <w:i/>
        </w:rPr>
        <w:t>un</w:t>
      </w:r>
      <w:r>
        <w:t xml:space="preserve">caused, but because it was </w:t>
      </w:r>
      <w:r>
        <w:rPr>
          <w:i/>
        </w:rPr>
        <w:t xml:space="preserve">independently </w:t>
      </w:r>
      <w:r>
        <w:t xml:space="preserve">caused, meaning that the causal sequence that led to his death was independent of the causal sequences that were under way that </w:t>
      </w:r>
      <w:r>
        <w:rPr>
          <w:i/>
        </w:rPr>
        <w:t xml:space="preserve">were </w:t>
      </w:r>
      <w:r>
        <w:t>reasonably believed, given the information available to you, to eventuate in his demise. So, in this context, “random” doesn’t mean “uncaused,” it means “uncaused by anything that we had reason to believe would occur.”</w:t>
      </w:r>
    </w:p>
    <w:p w14:paraId="7E001BF8" w14:textId="77777777" w:rsidR="009A58DB" w:rsidRDefault="00000000">
      <w:pPr>
        <w:pStyle w:val="BodyText"/>
        <w:spacing w:before="17" w:line="249" w:lineRule="auto"/>
        <w:ind w:right="361" w:firstLine="360"/>
      </w:pPr>
      <w:r>
        <w:t>And this is what “random” typically means. It may be that microphysicists deal with uncaused events. But the rest of us deal exclusively with things that are quite definitely caused. (As previously stated, the indeterminacies at the micro-level don’t percolate up to the macrolevel, at least not enough to engage the structures that change human lives.) So the “random” things we deal with are things that have unforeseeable causes.</w:t>
      </w:r>
    </w:p>
    <w:p w14:paraId="7E001BF9" w14:textId="77777777" w:rsidR="009A58DB" w:rsidRDefault="00000000">
      <w:pPr>
        <w:pStyle w:val="BodyText"/>
        <w:spacing w:before="7" w:line="249" w:lineRule="auto"/>
        <w:ind w:right="361" w:firstLine="360"/>
      </w:pPr>
      <w:r>
        <w:t>A consequence is that randomness isn’t a property of events; it’s a relation that an event has with respect to a given body of knowledge. Relative to what you know, it is unforeseeable, and therefore random, that a ceiling lamp will kill Jones. But relative to what Howard the building inspector knows, that same event is not random. (Howard knows that the plank in question will go at any time, and he sees Smith standing underneath it.)</w:t>
      </w:r>
    </w:p>
    <w:p w14:paraId="7E001BFA" w14:textId="77777777" w:rsidR="009A58DB" w:rsidRDefault="00000000">
      <w:pPr>
        <w:pStyle w:val="BodyText"/>
        <w:spacing w:before="8"/>
        <w:ind w:left="720"/>
        <w:rPr>
          <w:i/>
        </w:rPr>
      </w:pPr>
      <w:r>
        <w:t>Thus,</w:t>
      </w:r>
      <w:r>
        <w:rPr>
          <w:spacing w:val="15"/>
        </w:rPr>
        <w:t xml:space="preserve"> </w:t>
      </w:r>
      <w:r>
        <w:t>randomness</w:t>
      </w:r>
      <w:r>
        <w:rPr>
          <w:spacing w:val="18"/>
        </w:rPr>
        <w:t xml:space="preserve"> </w:t>
      </w:r>
      <w:r>
        <w:t>isn’t</w:t>
      </w:r>
      <w:r>
        <w:rPr>
          <w:spacing w:val="18"/>
        </w:rPr>
        <w:t xml:space="preserve"> </w:t>
      </w:r>
      <w:r>
        <w:t>a</w:t>
      </w:r>
      <w:r>
        <w:rPr>
          <w:spacing w:val="17"/>
        </w:rPr>
        <w:t xml:space="preserve"> </w:t>
      </w:r>
      <w:r>
        <w:t>property</w:t>
      </w:r>
      <w:r>
        <w:rPr>
          <w:spacing w:val="18"/>
        </w:rPr>
        <w:t xml:space="preserve"> </w:t>
      </w:r>
      <w:r>
        <w:t>of</w:t>
      </w:r>
      <w:r>
        <w:rPr>
          <w:spacing w:val="18"/>
        </w:rPr>
        <w:t xml:space="preserve"> </w:t>
      </w:r>
      <w:r>
        <w:t>events.</w:t>
      </w:r>
      <w:r>
        <w:rPr>
          <w:spacing w:val="18"/>
        </w:rPr>
        <w:t xml:space="preserve"> </w:t>
      </w:r>
      <w:r>
        <w:t>It’s</w:t>
      </w:r>
      <w:r>
        <w:rPr>
          <w:spacing w:val="17"/>
        </w:rPr>
        <w:t xml:space="preserve"> </w:t>
      </w:r>
      <w:r>
        <w:t>a</w:t>
      </w:r>
      <w:r>
        <w:rPr>
          <w:spacing w:val="18"/>
        </w:rPr>
        <w:t xml:space="preserve"> </w:t>
      </w:r>
      <w:r>
        <w:t>property</w:t>
      </w:r>
      <w:r>
        <w:rPr>
          <w:spacing w:val="18"/>
        </w:rPr>
        <w:t xml:space="preserve"> </w:t>
      </w:r>
      <w:r>
        <w:t>of</w:t>
      </w:r>
      <w:r>
        <w:rPr>
          <w:spacing w:val="18"/>
        </w:rPr>
        <w:t xml:space="preserve"> </w:t>
      </w:r>
      <w:r>
        <w:rPr>
          <w:i/>
          <w:spacing w:val="-2"/>
        </w:rPr>
        <w:t>statements</w:t>
      </w:r>
    </w:p>
    <w:p w14:paraId="7E001BFB" w14:textId="77777777" w:rsidR="009A58DB" w:rsidRDefault="00000000">
      <w:pPr>
        <w:pStyle w:val="BodyText"/>
        <w:spacing w:before="15" w:line="249" w:lineRule="auto"/>
        <w:ind w:right="358"/>
      </w:pPr>
      <w:r>
        <w:t>—or, more accurately, of relations between statements. An event is random, relative</w:t>
      </w:r>
      <w:r>
        <w:rPr>
          <w:spacing w:val="-1"/>
        </w:rPr>
        <w:t xml:space="preserve"> </w:t>
      </w:r>
      <w:r>
        <w:t>to</w:t>
      </w:r>
      <w:r>
        <w:rPr>
          <w:spacing w:val="-1"/>
        </w:rPr>
        <w:t xml:space="preserve"> </w:t>
      </w:r>
      <w:r>
        <w:t>a</w:t>
      </w:r>
      <w:r>
        <w:rPr>
          <w:spacing w:val="-1"/>
        </w:rPr>
        <w:t xml:space="preserve"> </w:t>
      </w:r>
      <w:r>
        <w:t>certain</w:t>
      </w:r>
      <w:r>
        <w:rPr>
          <w:spacing w:val="-1"/>
        </w:rPr>
        <w:t xml:space="preserve"> </w:t>
      </w:r>
      <w:r>
        <w:t>body</w:t>
      </w:r>
      <w:r>
        <w:rPr>
          <w:spacing w:val="-1"/>
        </w:rPr>
        <w:t xml:space="preserve"> </w:t>
      </w:r>
      <w:r>
        <w:t>of</w:t>
      </w:r>
      <w:r>
        <w:rPr>
          <w:spacing w:val="-1"/>
        </w:rPr>
        <w:t xml:space="preserve"> </w:t>
      </w:r>
      <w:r>
        <w:t>information,</w:t>
      </w:r>
      <w:r>
        <w:rPr>
          <w:spacing w:val="-1"/>
        </w:rPr>
        <w:t xml:space="preserve"> </w:t>
      </w:r>
      <w:r>
        <w:t>if</w:t>
      </w:r>
      <w:r>
        <w:rPr>
          <w:spacing w:val="-1"/>
        </w:rPr>
        <w:t xml:space="preserve"> </w:t>
      </w:r>
      <w:r>
        <w:t>its</w:t>
      </w:r>
      <w:r>
        <w:rPr>
          <w:spacing w:val="-1"/>
        </w:rPr>
        <w:t xml:space="preserve"> </w:t>
      </w:r>
      <w:r>
        <w:t>occurrence</w:t>
      </w:r>
      <w:r>
        <w:rPr>
          <w:spacing w:val="-1"/>
        </w:rPr>
        <w:t xml:space="preserve"> </w:t>
      </w:r>
      <w:r>
        <w:t>couldn’t</w:t>
      </w:r>
      <w:r>
        <w:rPr>
          <w:spacing w:val="-1"/>
        </w:rPr>
        <w:t xml:space="preserve"> </w:t>
      </w:r>
      <w:r>
        <w:t>reasonably be predicted on the basis of that information. So randomness is really a relation that holds between the statements describing some body of data and the statement describing some event; that relation holds if the former statements don’t warrant acceptance of the latter.</w:t>
      </w:r>
    </w:p>
    <w:p w14:paraId="7E001BFC" w14:textId="77777777" w:rsidR="009A58DB" w:rsidRDefault="00000000">
      <w:pPr>
        <w:pStyle w:val="BodyText"/>
        <w:spacing w:before="7" w:line="249" w:lineRule="auto"/>
        <w:ind w:right="361" w:firstLine="360"/>
      </w:pPr>
      <w:r>
        <w:t>It’s obvious that there can be random events in a deterministic world. Smith’s death was an inevitable consequence of pre-existing circumstances. But, relative to the information that you had, it was also quite random.</w:t>
      </w:r>
    </w:p>
    <w:p w14:paraId="7E001BFD" w14:textId="77777777" w:rsidR="009A58DB" w:rsidRDefault="00000000">
      <w:pPr>
        <w:pStyle w:val="Heading1"/>
        <w:numPr>
          <w:ilvl w:val="1"/>
          <w:numId w:val="99"/>
        </w:numPr>
        <w:tabs>
          <w:tab w:val="left" w:pos="990"/>
        </w:tabs>
        <w:spacing w:before="192"/>
        <w:ind w:left="990"/>
      </w:pPr>
      <w:r>
        <w:t>Determinism</w:t>
      </w:r>
      <w:r>
        <w:rPr>
          <w:spacing w:val="-7"/>
        </w:rPr>
        <w:t xml:space="preserve"> </w:t>
      </w:r>
      <w:r>
        <w:t>vs.</w:t>
      </w:r>
      <w:r>
        <w:rPr>
          <w:spacing w:val="-7"/>
        </w:rPr>
        <w:t xml:space="preserve"> </w:t>
      </w:r>
      <w:r>
        <w:t>randomness</w:t>
      </w:r>
      <w:r>
        <w:rPr>
          <w:spacing w:val="-6"/>
        </w:rPr>
        <w:t xml:space="preserve"> </w:t>
      </w:r>
      <w:r>
        <w:rPr>
          <w:spacing w:val="-2"/>
        </w:rPr>
        <w:t>(continued)</w:t>
      </w:r>
    </w:p>
    <w:p w14:paraId="7E001BFE" w14:textId="77777777" w:rsidR="009A58DB" w:rsidRDefault="00000000">
      <w:pPr>
        <w:spacing w:before="139"/>
        <w:ind w:left="360"/>
        <w:jc w:val="both"/>
        <w:rPr>
          <w:sz w:val="30"/>
        </w:rPr>
      </w:pPr>
      <w:r>
        <w:rPr>
          <w:sz w:val="30"/>
        </w:rPr>
        <w:t>Supposing</w:t>
      </w:r>
      <w:r>
        <w:rPr>
          <w:spacing w:val="35"/>
          <w:sz w:val="30"/>
        </w:rPr>
        <w:t xml:space="preserve"> </w:t>
      </w:r>
      <w:r>
        <w:rPr>
          <w:sz w:val="30"/>
        </w:rPr>
        <w:t>that</w:t>
      </w:r>
      <w:r>
        <w:rPr>
          <w:spacing w:val="38"/>
          <w:sz w:val="30"/>
        </w:rPr>
        <w:t xml:space="preserve"> </w:t>
      </w:r>
      <w:r>
        <w:rPr>
          <w:sz w:val="30"/>
        </w:rPr>
        <w:t>the</w:t>
      </w:r>
      <w:r>
        <w:rPr>
          <w:spacing w:val="38"/>
          <w:sz w:val="30"/>
        </w:rPr>
        <w:t xml:space="preserve"> </w:t>
      </w:r>
      <w:r>
        <w:rPr>
          <w:sz w:val="30"/>
        </w:rPr>
        <w:t>world</w:t>
      </w:r>
      <w:r>
        <w:rPr>
          <w:spacing w:val="38"/>
          <w:sz w:val="30"/>
        </w:rPr>
        <w:t xml:space="preserve"> </w:t>
      </w:r>
      <w:r>
        <w:rPr>
          <w:sz w:val="30"/>
        </w:rPr>
        <w:t>is</w:t>
      </w:r>
      <w:r>
        <w:rPr>
          <w:spacing w:val="39"/>
          <w:sz w:val="30"/>
        </w:rPr>
        <w:t xml:space="preserve"> </w:t>
      </w:r>
      <w:r>
        <w:rPr>
          <w:i/>
          <w:sz w:val="30"/>
        </w:rPr>
        <w:t>indeterministic,</w:t>
      </w:r>
      <w:r>
        <w:rPr>
          <w:i/>
          <w:spacing w:val="27"/>
          <w:sz w:val="30"/>
        </w:rPr>
        <w:t xml:space="preserve"> </w:t>
      </w:r>
      <w:r>
        <w:rPr>
          <w:sz w:val="30"/>
        </w:rPr>
        <w:t>would</w:t>
      </w:r>
      <w:r>
        <w:rPr>
          <w:spacing w:val="42"/>
          <w:sz w:val="30"/>
        </w:rPr>
        <w:t xml:space="preserve"> </w:t>
      </w:r>
      <w:r>
        <w:rPr>
          <w:sz w:val="30"/>
        </w:rPr>
        <w:t>there</w:t>
      </w:r>
      <w:r>
        <w:rPr>
          <w:spacing w:val="41"/>
          <w:sz w:val="30"/>
        </w:rPr>
        <w:t xml:space="preserve"> </w:t>
      </w:r>
      <w:r>
        <w:rPr>
          <w:sz w:val="30"/>
        </w:rPr>
        <w:t>for</w:t>
      </w:r>
      <w:r>
        <w:rPr>
          <w:spacing w:val="41"/>
          <w:sz w:val="30"/>
        </w:rPr>
        <w:t xml:space="preserve"> </w:t>
      </w:r>
      <w:r>
        <w:rPr>
          <w:sz w:val="30"/>
        </w:rPr>
        <w:t>that</w:t>
      </w:r>
      <w:r>
        <w:rPr>
          <w:spacing w:val="41"/>
          <w:sz w:val="30"/>
        </w:rPr>
        <w:t xml:space="preserve"> </w:t>
      </w:r>
      <w:r>
        <w:rPr>
          <w:sz w:val="30"/>
        </w:rPr>
        <w:t>reason</w:t>
      </w:r>
      <w:r>
        <w:rPr>
          <w:spacing w:val="42"/>
          <w:sz w:val="30"/>
        </w:rPr>
        <w:t xml:space="preserve"> </w:t>
      </w:r>
      <w:r>
        <w:rPr>
          <w:spacing w:val="-5"/>
          <w:sz w:val="30"/>
        </w:rPr>
        <w:t>be</w:t>
      </w:r>
    </w:p>
    <w:p w14:paraId="7E001BFF" w14:textId="77777777" w:rsidR="009A58DB" w:rsidRDefault="009A58DB">
      <w:pPr>
        <w:jc w:val="both"/>
        <w:rPr>
          <w:sz w:val="30"/>
        </w:rPr>
        <w:sectPr w:rsidR="009A58DB">
          <w:pgSz w:w="12240" w:h="15840"/>
          <w:pgMar w:top="1380" w:right="1080" w:bottom="280" w:left="1080" w:header="720" w:footer="720" w:gutter="0"/>
          <w:cols w:space="720"/>
        </w:sectPr>
      </w:pPr>
    </w:p>
    <w:p w14:paraId="7E001C00" w14:textId="77777777" w:rsidR="009A58DB" w:rsidRDefault="00000000">
      <w:pPr>
        <w:pStyle w:val="BodyText"/>
        <w:spacing w:before="60" w:line="249" w:lineRule="auto"/>
        <w:ind w:right="360"/>
      </w:pPr>
      <w:r>
        <w:lastRenderedPageBreak/>
        <w:t>“random” events in it? The answer is “yes.” But the reasons are not what one would</w:t>
      </w:r>
      <w:r>
        <w:rPr>
          <w:spacing w:val="-3"/>
        </w:rPr>
        <w:t xml:space="preserve"> </w:t>
      </w:r>
      <w:r>
        <w:t>think;</w:t>
      </w:r>
      <w:r>
        <w:rPr>
          <w:spacing w:val="-2"/>
        </w:rPr>
        <w:t xml:space="preserve"> </w:t>
      </w:r>
      <w:r>
        <w:t>and</w:t>
      </w:r>
      <w:r>
        <w:rPr>
          <w:spacing w:val="-2"/>
        </w:rPr>
        <w:t xml:space="preserve"> </w:t>
      </w:r>
      <w:r>
        <w:t>the</w:t>
      </w:r>
      <w:r>
        <w:rPr>
          <w:spacing w:val="-2"/>
        </w:rPr>
        <w:t xml:space="preserve"> </w:t>
      </w:r>
      <w:r>
        <w:t>amount</w:t>
      </w:r>
      <w:r>
        <w:rPr>
          <w:spacing w:val="-2"/>
        </w:rPr>
        <w:t xml:space="preserve"> </w:t>
      </w:r>
      <w:r>
        <w:t>of</w:t>
      </w:r>
      <w:r>
        <w:rPr>
          <w:spacing w:val="-2"/>
        </w:rPr>
        <w:t xml:space="preserve"> </w:t>
      </w:r>
      <w:r>
        <w:t>randomness</w:t>
      </w:r>
      <w:r>
        <w:rPr>
          <w:spacing w:val="-2"/>
        </w:rPr>
        <w:t xml:space="preserve"> </w:t>
      </w:r>
      <w:r>
        <w:t>in</w:t>
      </w:r>
      <w:r>
        <w:rPr>
          <w:spacing w:val="-2"/>
        </w:rPr>
        <w:t xml:space="preserve"> </w:t>
      </w:r>
      <w:r>
        <w:t>such</w:t>
      </w:r>
      <w:r>
        <w:rPr>
          <w:spacing w:val="-2"/>
        </w:rPr>
        <w:t xml:space="preserve"> </w:t>
      </w:r>
      <w:r>
        <w:t>a</w:t>
      </w:r>
      <w:r>
        <w:rPr>
          <w:spacing w:val="-2"/>
        </w:rPr>
        <w:t xml:space="preserve"> </w:t>
      </w:r>
      <w:r>
        <w:t>world</w:t>
      </w:r>
      <w:r>
        <w:rPr>
          <w:spacing w:val="-2"/>
        </w:rPr>
        <w:t xml:space="preserve"> </w:t>
      </w:r>
      <w:r>
        <w:t>is</w:t>
      </w:r>
      <w:r>
        <w:rPr>
          <w:spacing w:val="-2"/>
        </w:rPr>
        <w:t xml:space="preserve"> </w:t>
      </w:r>
      <w:r>
        <w:t>not</w:t>
      </w:r>
      <w:r>
        <w:rPr>
          <w:spacing w:val="-2"/>
        </w:rPr>
        <w:t xml:space="preserve"> </w:t>
      </w:r>
      <w:r>
        <w:t>necessarily as great as one would expect it to be.</w:t>
      </w:r>
    </w:p>
    <w:p w14:paraId="7E001C01" w14:textId="77777777" w:rsidR="009A58DB" w:rsidRDefault="00000000">
      <w:pPr>
        <w:pStyle w:val="BodyText"/>
        <w:spacing w:before="8" w:line="249" w:lineRule="auto"/>
        <w:ind w:right="359" w:firstLine="360"/>
      </w:pPr>
      <w:r>
        <w:t>For argument’s sake, suppose we know that, given the current state of the universe, it’s causally completely undetermined whether, in five seconds, object O will move to the right or to the left. Each possible outcome is as likely as the other (they’re “equiprobable”).There’s no way, of course, to predict which way it will go. We could make that prediction only to that the extent that we had reason to think one of the outcomes the more likely one—which we obviously don’t. But when, at the moment of true, it goes to the left, was that “random”? We couldn’t predict it; but it isn’t exactly random. On the contrary, it’s consistent with our expectations of it.</w:t>
      </w:r>
    </w:p>
    <w:p w14:paraId="7E001C02" w14:textId="77777777" w:rsidR="009A58DB" w:rsidRDefault="00000000">
      <w:pPr>
        <w:pStyle w:val="BodyText"/>
        <w:spacing w:before="11" w:line="249" w:lineRule="auto"/>
        <w:ind w:right="361" w:firstLine="360"/>
      </w:pPr>
      <w:r>
        <w:t xml:space="preserve">To see why, let’s talk about Smith again, but let’s change the story. This time, he isn’t killed by a ceiling lamp. The vindictive criminal kills him. Before Smith died, you knew that, in all likelihood, he would be killed </w:t>
      </w:r>
      <w:r>
        <w:rPr>
          <w:i/>
        </w:rPr>
        <w:t xml:space="preserve">either </w:t>
      </w:r>
      <w:r>
        <w:t xml:space="preserve">by that criminal </w:t>
      </w:r>
      <w:r>
        <w:rPr>
          <w:i/>
        </w:rPr>
        <w:t xml:space="preserve">or </w:t>
      </w:r>
      <w:r>
        <w:t xml:space="preserve">by his wife </w:t>
      </w:r>
      <w:r>
        <w:rPr>
          <w:i/>
        </w:rPr>
        <w:t xml:space="preserve">or </w:t>
      </w:r>
      <w:r>
        <w:t xml:space="preserve">by his heart-condition—but you didn’t know which, since, given what you knew, they were all equiprobable. When the criminal gets him, that surely isn’t random. Quite the opposite. Even though it could not itself be predicted with certainty to happen, it belonged to a class of events which, given the available evidence, was known to contain all and only the things that </w:t>
      </w:r>
      <w:r>
        <w:rPr>
          <w:i/>
        </w:rPr>
        <w:t xml:space="preserve">would </w:t>
      </w:r>
      <w:r>
        <w:t>kill him.</w:t>
      </w:r>
    </w:p>
    <w:p w14:paraId="7E001C03" w14:textId="77777777" w:rsidR="009A58DB" w:rsidRDefault="00000000">
      <w:pPr>
        <w:pStyle w:val="BodyText"/>
        <w:spacing w:before="11" w:line="249" w:lineRule="auto"/>
        <w:ind w:right="367" w:firstLine="360"/>
      </w:pPr>
      <w:r>
        <w:t xml:space="preserve">The same is true of O. In going to the left, it’s doing something that, being uncaused and therefore not </w:t>
      </w:r>
      <w:r>
        <w:rPr>
          <w:i/>
        </w:rPr>
        <w:t>itself</w:t>
      </w:r>
      <w:r>
        <w:rPr>
          <w:i/>
          <w:spacing w:val="-4"/>
        </w:rPr>
        <w:t xml:space="preserve"> </w:t>
      </w:r>
      <w:r>
        <w:t>predictable, it belonged to a class known, or at</w:t>
      </w:r>
      <w:r>
        <w:rPr>
          <w:spacing w:val="-3"/>
        </w:rPr>
        <w:t xml:space="preserve"> </w:t>
      </w:r>
      <w:r>
        <w:t>least</w:t>
      </w:r>
      <w:r>
        <w:rPr>
          <w:spacing w:val="-2"/>
        </w:rPr>
        <w:t xml:space="preserve"> </w:t>
      </w:r>
      <w:r>
        <w:t>reasonably</w:t>
      </w:r>
      <w:r>
        <w:rPr>
          <w:spacing w:val="-3"/>
        </w:rPr>
        <w:t xml:space="preserve"> </w:t>
      </w:r>
      <w:r>
        <w:t>believed,</w:t>
      </w:r>
      <w:r>
        <w:rPr>
          <w:spacing w:val="-2"/>
        </w:rPr>
        <w:t xml:space="preserve"> </w:t>
      </w:r>
      <w:r>
        <w:t>to</w:t>
      </w:r>
      <w:r>
        <w:rPr>
          <w:spacing w:val="-3"/>
        </w:rPr>
        <w:t xml:space="preserve"> </w:t>
      </w:r>
      <w:r>
        <w:t>contain</w:t>
      </w:r>
      <w:r>
        <w:rPr>
          <w:spacing w:val="-2"/>
        </w:rPr>
        <w:t xml:space="preserve"> </w:t>
      </w:r>
      <w:r>
        <w:t>all</w:t>
      </w:r>
      <w:r>
        <w:rPr>
          <w:spacing w:val="-2"/>
        </w:rPr>
        <w:t xml:space="preserve"> </w:t>
      </w:r>
      <w:r>
        <w:t>and</w:t>
      </w:r>
      <w:r>
        <w:rPr>
          <w:spacing w:val="-3"/>
        </w:rPr>
        <w:t xml:space="preserve"> </w:t>
      </w:r>
      <w:r>
        <w:t>only</w:t>
      </w:r>
      <w:r>
        <w:rPr>
          <w:spacing w:val="-2"/>
        </w:rPr>
        <w:t xml:space="preserve"> </w:t>
      </w:r>
      <w:r>
        <w:t>the</w:t>
      </w:r>
      <w:r>
        <w:rPr>
          <w:spacing w:val="-3"/>
        </w:rPr>
        <w:t xml:space="preserve"> </w:t>
      </w:r>
      <w:r>
        <w:t>things</w:t>
      </w:r>
      <w:r>
        <w:rPr>
          <w:spacing w:val="-2"/>
        </w:rPr>
        <w:t xml:space="preserve"> </w:t>
      </w:r>
      <w:r>
        <w:t>that</w:t>
      </w:r>
      <w:r>
        <w:rPr>
          <w:spacing w:val="-3"/>
        </w:rPr>
        <w:t xml:space="preserve"> </w:t>
      </w:r>
      <w:r>
        <w:t>O</w:t>
      </w:r>
      <w:r>
        <w:rPr>
          <w:spacing w:val="-2"/>
        </w:rPr>
        <w:t xml:space="preserve"> </w:t>
      </w:r>
      <w:r>
        <w:t>might</w:t>
      </w:r>
      <w:r>
        <w:rPr>
          <w:spacing w:val="-2"/>
        </w:rPr>
        <w:t xml:space="preserve"> </w:t>
      </w:r>
      <w:r>
        <w:t>be doing in five seconds. So indeterminism doesn’t entail randomness.</w:t>
      </w:r>
    </w:p>
    <w:p w14:paraId="7E001C04" w14:textId="77777777" w:rsidR="009A58DB" w:rsidRDefault="00000000">
      <w:pPr>
        <w:pStyle w:val="BodyText"/>
        <w:spacing w:before="5" w:line="249" w:lineRule="auto"/>
        <w:ind w:right="359" w:firstLine="360"/>
      </w:pPr>
      <w:r>
        <w:t>But</w:t>
      </w:r>
      <w:r>
        <w:rPr>
          <w:spacing w:val="-2"/>
        </w:rPr>
        <w:t xml:space="preserve"> </w:t>
      </w:r>
      <w:r>
        <w:t>here</w:t>
      </w:r>
      <w:r>
        <w:rPr>
          <w:spacing w:val="-2"/>
        </w:rPr>
        <w:t xml:space="preserve"> </w:t>
      </w:r>
      <w:r>
        <w:t>we</w:t>
      </w:r>
      <w:r>
        <w:rPr>
          <w:spacing w:val="-2"/>
        </w:rPr>
        <w:t xml:space="preserve"> </w:t>
      </w:r>
      <w:r>
        <w:t>must</w:t>
      </w:r>
      <w:r>
        <w:rPr>
          <w:spacing w:val="-2"/>
        </w:rPr>
        <w:t xml:space="preserve"> </w:t>
      </w:r>
      <w:r>
        <w:t>make</w:t>
      </w:r>
      <w:r>
        <w:rPr>
          <w:spacing w:val="-2"/>
        </w:rPr>
        <w:t xml:space="preserve"> </w:t>
      </w:r>
      <w:r>
        <w:t>a</w:t>
      </w:r>
      <w:r>
        <w:rPr>
          <w:spacing w:val="-2"/>
        </w:rPr>
        <w:t xml:space="preserve"> </w:t>
      </w:r>
      <w:r>
        <w:t>subtle</w:t>
      </w:r>
      <w:r>
        <w:rPr>
          <w:spacing w:val="-2"/>
        </w:rPr>
        <w:t xml:space="preserve"> </w:t>
      </w:r>
      <w:r>
        <w:t>distinction.</w:t>
      </w:r>
      <w:r>
        <w:rPr>
          <w:spacing w:val="-2"/>
        </w:rPr>
        <w:t xml:space="preserve"> </w:t>
      </w:r>
      <w:r>
        <w:rPr>
          <w:i/>
        </w:rPr>
        <w:t>Relative</w:t>
      </w:r>
      <w:r>
        <w:rPr>
          <w:i/>
          <w:spacing w:val="-4"/>
        </w:rPr>
        <w:t xml:space="preserve"> </w:t>
      </w:r>
      <w:r>
        <w:t xml:space="preserve">to the knowledge that it’s undetermined whether O goes to the left as opposed to the right, or </w:t>
      </w:r>
      <w:r>
        <w:rPr>
          <w:i/>
        </w:rPr>
        <w:t>vice versa,</w:t>
      </w:r>
      <w:r>
        <w:rPr>
          <w:i/>
          <w:spacing w:val="-2"/>
        </w:rPr>
        <w:t xml:space="preserve"> </w:t>
      </w:r>
      <w:r>
        <w:t>it’s going to the left is random. So O’s going to the left is both random (relative to one body of knowledge) and non-random (relative to another).</w:t>
      </w:r>
    </w:p>
    <w:p w14:paraId="7E001C05" w14:textId="77777777" w:rsidR="009A58DB" w:rsidRDefault="00000000">
      <w:pPr>
        <w:pStyle w:val="Heading1"/>
        <w:numPr>
          <w:ilvl w:val="0"/>
          <w:numId w:val="99"/>
        </w:numPr>
        <w:tabs>
          <w:tab w:val="left" w:pos="990"/>
        </w:tabs>
        <w:spacing w:before="193"/>
      </w:pPr>
      <w:r>
        <w:t>Why</w:t>
      </w:r>
      <w:r>
        <w:rPr>
          <w:spacing w:val="-6"/>
        </w:rPr>
        <w:t xml:space="preserve"> </w:t>
      </w:r>
      <w:r>
        <w:t>determinism</w:t>
      </w:r>
      <w:r>
        <w:rPr>
          <w:spacing w:val="-4"/>
        </w:rPr>
        <w:t xml:space="preserve"> </w:t>
      </w:r>
      <w:r>
        <w:t>is</w:t>
      </w:r>
      <w:r>
        <w:rPr>
          <w:spacing w:val="-4"/>
        </w:rPr>
        <w:t xml:space="preserve"> </w:t>
      </w:r>
      <w:r>
        <w:t>capable</w:t>
      </w:r>
      <w:r>
        <w:rPr>
          <w:spacing w:val="-5"/>
        </w:rPr>
        <w:t xml:space="preserve"> </w:t>
      </w:r>
      <w:r>
        <w:t>of</w:t>
      </w:r>
      <w:r>
        <w:rPr>
          <w:spacing w:val="-4"/>
        </w:rPr>
        <w:t xml:space="preserve"> </w:t>
      </w:r>
      <w:r>
        <w:t>being</w:t>
      </w:r>
      <w:r>
        <w:rPr>
          <w:spacing w:val="-3"/>
        </w:rPr>
        <w:t xml:space="preserve"> </w:t>
      </w:r>
      <w:r>
        <w:rPr>
          <w:spacing w:val="-2"/>
        </w:rPr>
        <w:t>verified</w:t>
      </w:r>
    </w:p>
    <w:p w14:paraId="7E001C06" w14:textId="77777777" w:rsidR="009A58DB" w:rsidRDefault="00000000">
      <w:pPr>
        <w:pStyle w:val="BodyText"/>
        <w:spacing w:before="139" w:line="249" w:lineRule="auto"/>
        <w:ind w:right="362"/>
      </w:pPr>
      <w:r>
        <w:t>On hearing me say that the world is at least approximately deterministic, students of mine often respond by saying either that determinism is unverifiable or that it’s simply false. Depending how it’s meant, this statements</w:t>
      </w:r>
      <w:r>
        <w:rPr>
          <w:spacing w:val="80"/>
        </w:rPr>
        <w:t xml:space="preserve"> </w:t>
      </w:r>
      <w:r>
        <w:t>is</w:t>
      </w:r>
      <w:r>
        <w:rPr>
          <w:spacing w:val="80"/>
        </w:rPr>
        <w:t xml:space="preserve"> </w:t>
      </w:r>
      <w:r>
        <w:t>either</w:t>
      </w:r>
      <w:r>
        <w:rPr>
          <w:spacing w:val="80"/>
        </w:rPr>
        <w:t xml:space="preserve"> </w:t>
      </w:r>
      <w:r>
        <w:t>false</w:t>
      </w:r>
      <w:r>
        <w:rPr>
          <w:spacing w:val="80"/>
        </w:rPr>
        <w:t xml:space="preserve"> </w:t>
      </w:r>
      <w:r>
        <w:t>or</w:t>
      </w:r>
      <w:r>
        <w:rPr>
          <w:spacing w:val="80"/>
        </w:rPr>
        <w:t xml:space="preserve"> </w:t>
      </w:r>
      <w:r>
        <w:t>vacant.</w:t>
      </w:r>
      <w:r>
        <w:rPr>
          <w:spacing w:val="80"/>
        </w:rPr>
        <w:t xml:space="preserve"> </w:t>
      </w:r>
      <w:r>
        <w:t>With</w:t>
      </w:r>
      <w:r>
        <w:rPr>
          <w:spacing w:val="80"/>
        </w:rPr>
        <w:t xml:space="preserve"> </w:t>
      </w:r>
      <w:r>
        <w:t>some</w:t>
      </w:r>
      <w:r>
        <w:rPr>
          <w:spacing w:val="80"/>
        </w:rPr>
        <w:t xml:space="preserve"> </w:t>
      </w:r>
      <w:r>
        <w:t>trivial</w:t>
      </w:r>
      <w:r>
        <w:rPr>
          <w:spacing w:val="80"/>
        </w:rPr>
        <w:t xml:space="preserve"> </w:t>
      </w:r>
      <w:r>
        <w:t>exceptions,</w:t>
      </w:r>
      <w:r>
        <w:rPr>
          <w:spacing w:val="80"/>
        </w:rPr>
        <w:t xml:space="preserve"> </w:t>
      </w:r>
      <w:r>
        <w:t>any</w:t>
      </w:r>
    </w:p>
    <w:p w14:paraId="7E001C0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08" w14:textId="77777777" w:rsidR="009A58DB" w:rsidRDefault="00000000">
      <w:pPr>
        <w:pStyle w:val="BodyText"/>
        <w:spacing w:before="60" w:line="249" w:lineRule="auto"/>
        <w:ind w:right="358"/>
      </w:pPr>
      <w:r>
        <w:lastRenderedPageBreak/>
        <w:t>universal statement (i.e., any statement of the form “all x’s are y’s”; e.g., “all birds have feathers”) is incapable of being definitively verified. (The trivial exceptions concern cases where the generalization concerns only some very circumscribed class of objects; e.g., “all pencils on my desk are yellow,” or where some statement that, in terms of its content, is not a universal generalization is turned into one through syntax-chopping; e.g., “all objects are</w:t>
      </w:r>
      <w:r>
        <w:rPr>
          <w:spacing w:val="-3"/>
        </w:rPr>
        <w:t xml:space="preserve"> </w:t>
      </w:r>
      <w:r>
        <w:t>such</w:t>
      </w:r>
      <w:r>
        <w:rPr>
          <w:spacing w:val="-2"/>
        </w:rPr>
        <w:t xml:space="preserve"> </w:t>
      </w:r>
      <w:r>
        <w:t>that,</w:t>
      </w:r>
      <w:r>
        <w:rPr>
          <w:spacing w:val="-2"/>
        </w:rPr>
        <w:t xml:space="preserve"> </w:t>
      </w:r>
      <w:r>
        <w:t>if</w:t>
      </w:r>
      <w:r>
        <w:rPr>
          <w:spacing w:val="-2"/>
        </w:rPr>
        <w:t xml:space="preserve"> </w:t>
      </w:r>
      <w:r>
        <w:t>they</w:t>
      </w:r>
      <w:r>
        <w:rPr>
          <w:spacing w:val="-2"/>
        </w:rPr>
        <w:t xml:space="preserve"> </w:t>
      </w:r>
      <w:r>
        <w:t>are</w:t>
      </w:r>
      <w:r>
        <w:rPr>
          <w:spacing w:val="-2"/>
        </w:rPr>
        <w:t xml:space="preserve"> </w:t>
      </w:r>
      <w:r>
        <w:t>identical</w:t>
      </w:r>
      <w:r>
        <w:rPr>
          <w:spacing w:val="-2"/>
        </w:rPr>
        <w:t xml:space="preserve"> </w:t>
      </w:r>
      <w:r>
        <w:t>with</w:t>
      </w:r>
      <w:r>
        <w:rPr>
          <w:spacing w:val="-2"/>
        </w:rPr>
        <w:t xml:space="preserve"> </w:t>
      </w:r>
      <w:r>
        <w:t>George</w:t>
      </w:r>
      <w:r>
        <w:rPr>
          <w:spacing w:val="-2"/>
        </w:rPr>
        <w:t xml:space="preserve"> </w:t>
      </w:r>
      <w:r>
        <w:t>W.</w:t>
      </w:r>
      <w:r>
        <w:rPr>
          <w:spacing w:val="-2"/>
        </w:rPr>
        <w:t xml:space="preserve"> </w:t>
      </w:r>
      <w:r>
        <w:t>Bush,</w:t>
      </w:r>
      <w:r>
        <w:rPr>
          <w:spacing w:val="-2"/>
        </w:rPr>
        <w:t xml:space="preserve"> </w:t>
      </w:r>
      <w:r>
        <w:t>they</w:t>
      </w:r>
      <w:r>
        <w:rPr>
          <w:spacing w:val="-2"/>
        </w:rPr>
        <w:t xml:space="preserve"> </w:t>
      </w:r>
      <w:r>
        <w:t>are</w:t>
      </w:r>
      <w:r>
        <w:rPr>
          <w:spacing w:val="-2"/>
        </w:rPr>
        <w:t xml:space="preserve"> </w:t>
      </w:r>
      <w:r>
        <w:t>mammals.”) Since determinism is given by the statement “all events have complete causes,” it is unverifiable, like “all metal expands when heated.” On this basis, it is concluded that determinism couldn’t possibly be known to be true, and shouldn’t be affirmed, even tentatively.</w:t>
      </w:r>
    </w:p>
    <w:p w14:paraId="7E001C09" w14:textId="77777777" w:rsidR="009A58DB" w:rsidRDefault="00000000">
      <w:pPr>
        <w:pStyle w:val="BodyText"/>
        <w:spacing w:before="18" w:line="249" w:lineRule="auto"/>
        <w:ind w:right="359" w:firstLine="360"/>
      </w:pPr>
      <w:r>
        <w:t xml:space="preserve">But is it so clear that “all metal expands when heated” is unverifiable? So far as that is true, it’s only in the trivial sense in which nothing other than analytic truths can be definitively verified. To be sure, “all metal expands when heated” couldn’t possibly be verified on </w:t>
      </w:r>
      <w:r>
        <w:rPr>
          <w:i/>
        </w:rPr>
        <w:t xml:space="preserve">strictly observation grounds. </w:t>
      </w:r>
      <w:r>
        <w:t xml:space="preserve">After all, that statement concerns </w:t>
      </w:r>
      <w:r>
        <w:rPr>
          <w:i/>
        </w:rPr>
        <w:t xml:space="preserve">all </w:t>
      </w:r>
      <w:r>
        <w:t>metal, not just the metal you see. So no universal generalization, with the irrelevant exceptions noted a moment ago, can</w:t>
      </w:r>
      <w:r>
        <w:rPr>
          <w:spacing w:val="-3"/>
        </w:rPr>
        <w:t xml:space="preserve"> </w:t>
      </w:r>
      <w:r>
        <w:t>be</w:t>
      </w:r>
      <w:r>
        <w:rPr>
          <w:spacing w:val="-4"/>
        </w:rPr>
        <w:t xml:space="preserve"> </w:t>
      </w:r>
      <w:r>
        <w:t>verified</w:t>
      </w:r>
      <w:r>
        <w:rPr>
          <w:spacing w:val="-3"/>
        </w:rPr>
        <w:t xml:space="preserve"> </w:t>
      </w:r>
      <w:r>
        <w:t>on</w:t>
      </w:r>
      <w:r>
        <w:rPr>
          <w:spacing w:val="-3"/>
        </w:rPr>
        <w:t xml:space="preserve"> </w:t>
      </w:r>
      <w:r>
        <w:rPr>
          <w:i/>
        </w:rPr>
        <w:t>purely</w:t>
      </w:r>
      <w:r>
        <w:rPr>
          <w:i/>
          <w:spacing w:val="-4"/>
        </w:rPr>
        <w:t xml:space="preserve"> </w:t>
      </w:r>
      <w:r>
        <w:t>observational</w:t>
      </w:r>
      <w:r>
        <w:rPr>
          <w:spacing w:val="-1"/>
        </w:rPr>
        <w:t xml:space="preserve"> </w:t>
      </w:r>
      <w:r>
        <w:t>grounds;</w:t>
      </w:r>
      <w:r>
        <w:rPr>
          <w:spacing w:val="-1"/>
        </w:rPr>
        <w:t xml:space="preserve"> </w:t>
      </w:r>
      <w:r>
        <w:t>some</w:t>
      </w:r>
      <w:r>
        <w:rPr>
          <w:spacing w:val="-1"/>
        </w:rPr>
        <w:t xml:space="preserve"> </w:t>
      </w:r>
      <w:r>
        <w:t>element</w:t>
      </w:r>
      <w:r>
        <w:rPr>
          <w:spacing w:val="-1"/>
        </w:rPr>
        <w:t xml:space="preserve"> </w:t>
      </w:r>
      <w:r>
        <w:t>of</w:t>
      </w:r>
      <w:r>
        <w:rPr>
          <w:spacing w:val="-1"/>
        </w:rPr>
        <w:t xml:space="preserve"> </w:t>
      </w:r>
      <w:r>
        <w:t>inference</w:t>
      </w:r>
      <w:r>
        <w:rPr>
          <w:spacing w:val="-1"/>
        </w:rPr>
        <w:t xml:space="preserve"> </w:t>
      </w:r>
      <w:r>
        <w:t xml:space="preserve">is involved. </w:t>
      </w:r>
      <w:r>
        <w:rPr>
          <w:i/>
        </w:rPr>
        <w:t xml:space="preserve">Anything </w:t>
      </w:r>
      <w:r>
        <w:t xml:space="preserve">that can be observed to occur is, for that very reason, not general. And that is why, despite its syntactic similarity to “all metal expands when heated,” “all pencils on my desk are yellow” is not </w:t>
      </w:r>
      <w:r>
        <w:rPr>
          <w:i/>
        </w:rPr>
        <w:t xml:space="preserve">substantively </w:t>
      </w:r>
      <w:r>
        <w:t xml:space="preserve">(as opposed to just syntactically) a universal generalization: one can </w:t>
      </w:r>
      <w:r>
        <w:rPr>
          <w:i/>
        </w:rPr>
        <w:t xml:space="preserve">observe </w:t>
      </w:r>
      <w:r>
        <w:t>that it is true. You can observe this or that metal bar expanding; but you can’t observe the “general fact,” if there even is such a thing, that heated metal always expands. Also, if by “verification” you mean “observation-based verification,” then “all metal expands when heated” and “every event has a cause” are incapable of verification, but only because “verification” has been so defined as to render that statement an empty truism.</w:t>
      </w:r>
    </w:p>
    <w:p w14:paraId="7E001C0A" w14:textId="77777777" w:rsidR="009A58DB" w:rsidRDefault="00000000">
      <w:pPr>
        <w:spacing w:before="21" w:line="249" w:lineRule="auto"/>
        <w:ind w:left="360" w:right="358" w:firstLine="360"/>
        <w:jc w:val="both"/>
        <w:rPr>
          <w:sz w:val="30"/>
        </w:rPr>
      </w:pPr>
      <w:r>
        <w:rPr>
          <w:i/>
          <w:sz w:val="30"/>
        </w:rPr>
        <w:t>But</w:t>
      </w:r>
      <w:r>
        <w:rPr>
          <w:i/>
          <w:spacing w:val="-2"/>
          <w:sz w:val="30"/>
        </w:rPr>
        <w:t xml:space="preserve"> </w:t>
      </w:r>
      <w:r>
        <w:rPr>
          <w:i/>
          <w:sz w:val="30"/>
        </w:rPr>
        <w:t>if</w:t>
      </w:r>
      <w:r>
        <w:rPr>
          <w:i/>
          <w:spacing w:val="-2"/>
          <w:sz w:val="30"/>
        </w:rPr>
        <w:t xml:space="preserve"> </w:t>
      </w:r>
      <w:r>
        <w:rPr>
          <w:i/>
          <w:sz w:val="30"/>
        </w:rPr>
        <w:t>one</w:t>
      </w:r>
      <w:r>
        <w:rPr>
          <w:i/>
          <w:spacing w:val="-2"/>
          <w:sz w:val="30"/>
        </w:rPr>
        <w:t xml:space="preserve"> </w:t>
      </w:r>
      <w:r>
        <w:rPr>
          <w:i/>
          <w:sz w:val="30"/>
        </w:rPr>
        <w:t>allows</w:t>
      </w:r>
      <w:r>
        <w:rPr>
          <w:i/>
          <w:spacing w:val="-2"/>
          <w:sz w:val="30"/>
        </w:rPr>
        <w:t xml:space="preserve"> </w:t>
      </w:r>
      <w:r>
        <w:rPr>
          <w:i/>
          <w:sz w:val="30"/>
        </w:rPr>
        <w:t>at</w:t>
      </w:r>
      <w:r>
        <w:rPr>
          <w:i/>
          <w:spacing w:val="-2"/>
          <w:sz w:val="30"/>
        </w:rPr>
        <w:t xml:space="preserve"> </w:t>
      </w:r>
      <w:r>
        <w:rPr>
          <w:i/>
          <w:sz w:val="30"/>
        </w:rPr>
        <w:t>least</w:t>
      </w:r>
      <w:r>
        <w:rPr>
          <w:i/>
          <w:spacing w:val="-2"/>
          <w:sz w:val="30"/>
        </w:rPr>
        <w:t xml:space="preserve"> </w:t>
      </w:r>
      <w:r>
        <w:rPr>
          <w:i/>
          <w:sz w:val="30"/>
        </w:rPr>
        <w:t>some</w:t>
      </w:r>
      <w:r>
        <w:rPr>
          <w:i/>
          <w:spacing w:val="-2"/>
          <w:sz w:val="30"/>
        </w:rPr>
        <w:t xml:space="preserve"> </w:t>
      </w:r>
      <w:r>
        <w:rPr>
          <w:i/>
          <w:sz w:val="30"/>
        </w:rPr>
        <w:t>inference-rules</w:t>
      </w:r>
      <w:r>
        <w:rPr>
          <w:i/>
          <w:spacing w:val="-2"/>
          <w:sz w:val="30"/>
        </w:rPr>
        <w:t xml:space="preserve"> </w:t>
      </w:r>
      <w:r>
        <w:rPr>
          <w:i/>
          <w:sz w:val="30"/>
        </w:rPr>
        <w:t>to</w:t>
      </w:r>
      <w:r>
        <w:rPr>
          <w:i/>
          <w:spacing w:val="-2"/>
          <w:sz w:val="30"/>
        </w:rPr>
        <w:t xml:space="preserve"> </w:t>
      </w:r>
      <w:r>
        <w:rPr>
          <w:i/>
          <w:sz w:val="30"/>
        </w:rPr>
        <w:t>be</w:t>
      </w:r>
      <w:r>
        <w:rPr>
          <w:i/>
          <w:spacing w:val="-2"/>
          <w:sz w:val="30"/>
        </w:rPr>
        <w:t xml:space="preserve"> </w:t>
      </w:r>
      <w:r>
        <w:rPr>
          <w:i/>
          <w:sz w:val="30"/>
        </w:rPr>
        <w:t>permissible</w:t>
      </w:r>
      <w:r>
        <w:rPr>
          <w:i/>
          <w:spacing w:val="-2"/>
          <w:sz w:val="30"/>
        </w:rPr>
        <w:t xml:space="preserve"> </w:t>
      </w:r>
      <w:r>
        <w:rPr>
          <w:i/>
          <w:sz w:val="30"/>
        </w:rPr>
        <w:t>sources</w:t>
      </w:r>
      <w:r>
        <w:rPr>
          <w:i/>
          <w:spacing w:val="-2"/>
          <w:sz w:val="30"/>
        </w:rPr>
        <w:t xml:space="preserve"> </w:t>
      </w:r>
      <w:r>
        <w:rPr>
          <w:i/>
          <w:sz w:val="30"/>
        </w:rPr>
        <w:t xml:space="preserve">of verification, then “all metal expands” is verifiable, </w:t>
      </w:r>
      <w:r>
        <w:rPr>
          <w:sz w:val="30"/>
        </w:rPr>
        <w:t xml:space="preserve">depending on what those rules are. And if those rules are anything like those that laypersons and scientists permits themselves, then “all metal expands when heated” </w:t>
      </w:r>
      <w:r>
        <w:rPr>
          <w:i/>
          <w:sz w:val="30"/>
        </w:rPr>
        <w:t xml:space="preserve">is </w:t>
      </w:r>
      <w:r>
        <w:rPr>
          <w:sz w:val="30"/>
        </w:rPr>
        <w:t>verifiable. So it is only in some trivial sense that “all metal expands when heated” is unverifiable.</w:t>
      </w:r>
    </w:p>
    <w:p w14:paraId="7E001C0B" w14:textId="77777777" w:rsidR="009A58DB" w:rsidRDefault="00000000">
      <w:pPr>
        <w:pStyle w:val="Heading1"/>
        <w:numPr>
          <w:ilvl w:val="1"/>
          <w:numId w:val="99"/>
        </w:numPr>
        <w:tabs>
          <w:tab w:val="left" w:pos="990"/>
        </w:tabs>
        <w:spacing w:before="195"/>
        <w:ind w:left="990"/>
      </w:pPr>
      <w:r>
        <w:t>Why</w:t>
      </w:r>
      <w:r>
        <w:rPr>
          <w:spacing w:val="-6"/>
        </w:rPr>
        <w:t xml:space="preserve"> </w:t>
      </w:r>
      <w:r>
        <w:t>determinism</w:t>
      </w:r>
      <w:r>
        <w:rPr>
          <w:spacing w:val="-4"/>
        </w:rPr>
        <w:t xml:space="preserve"> </w:t>
      </w:r>
      <w:r>
        <w:t>is</w:t>
      </w:r>
      <w:r>
        <w:rPr>
          <w:spacing w:val="-4"/>
        </w:rPr>
        <w:t xml:space="preserve"> </w:t>
      </w:r>
      <w:r>
        <w:t>capable</w:t>
      </w:r>
      <w:r>
        <w:rPr>
          <w:spacing w:val="-5"/>
        </w:rPr>
        <w:t xml:space="preserve"> </w:t>
      </w:r>
      <w:r>
        <w:t>of</w:t>
      </w:r>
      <w:r>
        <w:rPr>
          <w:spacing w:val="-4"/>
        </w:rPr>
        <w:t xml:space="preserve"> </w:t>
      </w:r>
      <w:r>
        <w:t>being</w:t>
      </w:r>
      <w:r>
        <w:rPr>
          <w:spacing w:val="-3"/>
        </w:rPr>
        <w:t xml:space="preserve"> </w:t>
      </w:r>
      <w:r>
        <w:rPr>
          <w:spacing w:val="-2"/>
        </w:rPr>
        <w:t>verified</w:t>
      </w:r>
    </w:p>
    <w:p w14:paraId="7E001C0C" w14:textId="77777777" w:rsidR="009A58DB" w:rsidRDefault="009A58DB">
      <w:pPr>
        <w:pStyle w:val="Heading1"/>
        <w:sectPr w:rsidR="009A58DB">
          <w:pgSz w:w="12240" w:h="15840"/>
          <w:pgMar w:top="1380" w:right="1080" w:bottom="280" w:left="1080" w:header="720" w:footer="720" w:gutter="0"/>
          <w:cols w:space="720"/>
        </w:sectPr>
      </w:pPr>
    </w:p>
    <w:p w14:paraId="7E001C0D" w14:textId="77777777" w:rsidR="009A58DB" w:rsidRDefault="00000000">
      <w:pPr>
        <w:spacing w:before="53"/>
        <w:ind w:left="360"/>
        <w:rPr>
          <w:b/>
          <w:sz w:val="42"/>
        </w:rPr>
      </w:pPr>
      <w:r>
        <w:rPr>
          <w:b/>
          <w:spacing w:val="-2"/>
          <w:sz w:val="42"/>
        </w:rPr>
        <w:lastRenderedPageBreak/>
        <w:t>(continued)</w:t>
      </w:r>
    </w:p>
    <w:p w14:paraId="7E001C0E" w14:textId="77777777" w:rsidR="009A58DB" w:rsidRDefault="00000000">
      <w:pPr>
        <w:pStyle w:val="BodyText"/>
        <w:spacing w:before="144" w:line="249" w:lineRule="auto"/>
        <w:ind w:right="359"/>
      </w:pPr>
      <w:r>
        <w:t>Some say that “all metal expands when heated” is unverifiable in the sense that, no matter how many metal objects you’ve seen expand when heated, the next one “could” fail to expand. But what does “could” mean in this context? There is a sense in which I “could” win the lottery, or even sprout wings, even though the latter and probably also the former are prohibited by natural law. (In fact, the former is definitely prohibited by natural law since, given who I am, it</w:t>
      </w:r>
      <w:r>
        <w:rPr>
          <w:spacing w:val="-1"/>
        </w:rPr>
        <w:t xml:space="preserve"> </w:t>
      </w:r>
      <w:r>
        <w:t>isn’t psychologically possible for</w:t>
      </w:r>
      <w:r>
        <w:rPr>
          <w:spacing w:val="-1"/>
        </w:rPr>
        <w:t xml:space="preserve"> </w:t>
      </w:r>
      <w:r>
        <w:t>me to buy lottery tickets. I find the very concept of a lottery appalling.) To say that I “could” sprout wings is not to say that it’s permitted by natural law, let alone that it’s possible in</w:t>
      </w:r>
      <w:r>
        <w:rPr>
          <w:spacing w:val="40"/>
        </w:rPr>
        <w:t xml:space="preserve"> </w:t>
      </w:r>
      <w:r>
        <w:t>some more robust sense. It is only to say that, given what I know, it isn’t ruled out. But I would contend that I do know that I won’t sprout wings and, therefore, that what I know does rule it out. And you too, outside of a philosophy class, would say that you know that you won’t sprout wings.</w:t>
      </w:r>
    </w:p>
    <w:p w14:paraId="7E001C0F" w14:textId="77777777" w:rsidR="009A58DB" w:rsidRDefault="00000000">
      <w:pPr>
        <w:pStyle w:val="BodyText"/>
        <w:spacing w:before="16" w:line="249" w:lineRule="auto"/>
        <w:ind w:right="359" w:firstLine="360"/>
      </w:pPr>
      <w:r>
        <w:t>David Hume famously argued that inductive inference isn’t rational. His argument</w:t>
      </w:r>
      <w:r>
        <w:rPr>
          <w:spacing w:val="-2"/>
        </w:rPr>
        <w:t xml:space="preserve"> </w:t>
      </w:r>
      <w:r>
        <w:t>is</w:t>
      </w:r>
      <w:r>
        <w:rPr>
          <w:spacing w:val="-2"/>
        </w:rPr>
        <w:t xml:space="preserve"> </w:t>
      </w:r>
      <w:r>
        <w:t>not</w:t>
      </w:r>
      <w:r>
        <w:rPr>
          <w:spacing w:val="-2"/>
        </w:rPr>
        <w:t xml:space="preserve"> </w:t>
      </w:r>
      <w:r>
        <w:t>easy</w:t>
      </w:r>
      <w:r>
        <w:rPr>
          <w:spacing w:val="-1"/>
        </w:rPr>
        <w:t xml:space="preserve"> </w:t>
      </w:r>
      <w:r>
        <w:t>to</w:t>
      </w:r>
      <w:r>
        <w:rPr>
          <w:spacing w:val="-2"/>
        </w:rPr>
        <w:t xml:space="preserve"> </w:t>
      </w:r>
      <w:r>
        <w:t>refute.</w:t>
      </w:r>
      <w:r>
        <w:rPr>
          <w:spacing w:val="-2"/>
        </w:rPr>
        <w:t xml:space="preserve"> </w:t>
      </w:r>
      <w:r>
        <w:t>(That</w:t>
      </w:r>
      <w:r>
        <w:rPr>
          <w:spacing w:val="-2"/>
        </w:rPr>
        <w:t xml:space="preserve"> </w:t>
      </w:r>
      <w:r>
        <w:t>said,</w:t>
      </w:r>
      <w:r>
        <w:rPr>
          <w:spacing w:val="-1"/>
        </w:rPr>
        <w:t xml:space="preserve"> </w:t>
      </w:r>
      <w:r>
        <w:t>we</w:t>
      </w:r>
      <w:r>
        <w:rPr>
          <w:spacing w:val="-2"/>
        </w:rPr>
        <w:t xml:space="preserve"> </w:t>
      </w:r>
      <w:r>
        <w:t>saw</w:t>
      </w:r>
      <w:r>
        <w:rPr>
          <w:spacing w:val="-2"/>
        </w:rPr>
        <w:t xml:space="preserve"> </w:t>
      </w:r>
      <w:r>
        <w:t>in</w:t>
      </w:r>
      <w:r>
        <w:rPr>
          <w:spacing w:val="-2"/>
        </w:rPr>
        <w:t xml:space="preserve"> </w:t>
      </w:r>
      <w:r>
        <w:t>Chapter</w:t>
      </w:r>
      <w:r>
        <w:rPr>
          <w:spacing w:val="-1"/>
        </w:rPr>
        <w:t xml:space="preserve"> </w:t>
      </w:r>
      <w:r>
        <w:t>12</w:t>
      </w:r>
      <w:r>
        <w:rPr>
          <w:spacing w:val="-2"/>
        </w:rPr>
        <w:t xml:space="preserve"> </w:t>
      </w:r>
      <w:r>
        <w:t>how</w:t>
      </w:r>
      <w:r>
        <w:rPr>
          <w:spacing w:val="-2"/>
        </w:rPr>
        <w:t xml:space="preserve"> </w:t>
      </w:r>
      <w:r>
        <w:t>to</w:t>
      </w:r>
      <w:r>
        <w:rPr>
          <w:spacing w:val="-1"/>
        </w:rPr>
        <w:t xml:space="preserve"> </w:t>
      </w:r>
      <w:r>
        <w:t>refute it.) But nobody accepts Hume’s conclusion; and while it’s one thing to say that we don’t know how to justify a belief, it’s quite another to say that it has no justification. Surely my belief that I won’t sprout wings in the next five minutes is not in the same category as a person’s belief that tomorrow it will start raining gumdrops. And it’s a veritable truism that the difference is that the former is justified, whereas the latter is not.</w:t>
      </w:r>
    </w:p>
    <w:p w14:paraId="7E001C10" w14:textId="77777777" w:rsidR="009A58DB" w:rsidRDefault="00000000">
      <w:pPr>
        <w:pStyle w:val="Heading1"/>
        <w:numPr>
          <w:ilvl w:val="1"/>
          <w:numId w:val="99"/>
        </w:numPr>
        <w:tabs>
          <w:tab w:val="left" w:pos="990"/>
        </w:tabs>
        <w:spacing w:before="197" w:line="244" w:lineRule="auto"/>
        <w:ind w:right="377" w:firstLine="0"/>
      </w:pPr>
      <w:r>
        <w:t>An</w:t>
      </w:r>
      <w:r>
        <w:rPr>
          <w:spacing w:val="-7"/>
        </w:rPr>
        <w:t xml:space="preserve"> </w:t>
      </w:r>
      <w:r>
        <w:t>oft-heard</w:t>
      </w:r>
      <w:r>
        <w:rPr>
          <w:spacing w:val="-7"/>
        </w:rPr>
        <w:t xml:space="preserve"> </w:t>
      </w:r>
      <w:r>
        <w:t>argument</w:t>
      </w:r>
      <w:r>
        <w:rPr>
          <w:spacing w:val="-7"/>
        </w:rPr>
        <w:t xml:space="preserve"> </w:t>
      </w:r>
      <w:r>
        <w:t>as</w:t>
      </w:r>
      <w:r>
        <w:rPr>
          <w:spacing w:val="-7"/>
        </w:rPr>
        <w:t xml:space="preserve"> </w:t>
      </w:r>
      <w:r>
        <w:t>to</w:t>
      </w:r>
      <w:r>
        <w:rPr>
          <w:spacing w:val="-6"/>
        </w:rPr>
        <w:t xml:space="preserve"> </w:t>
      </w:r>
      <w:r>
        <w:t>why</w:t>
      </w:r>
      <w:r>
        <w:rPr>
          <w:spacing w:val="-6"/>
        </w:rPr>
        <w:t xml:space="preserve"> </w:t>
      </w:r>
      <w:r>
        <w:t>determinism</w:t>
      </w:r>
      <w:r>
        <w:rPr>
          <w:spacing w:val="-7"/>
        </w:rPr>
        <w:t xml:space="preserve"> </w:t>
      </w:r>
      <w:r>
        <w:t>is incapable of being</w:t>
      </w:r>
    </w:p>
    <w:p w14:paraId="7E001C11" w14:textId="77777777" w:rsidR="009A58DB" w:rsidRDefault="00000000">
      <w:pPr>
        <w:spacing w:before="5"/>
        <w:ind w:left="990"/>
        <w:rPr>
          <w:b/>
          <w:sz w:val="42"/>
        </w:rPr>
      </w:pPr>
      <w:r>
        <w:rPr>
          <w:b/>
          <w:spacing w:val="-2"/>
          <w:sz w:val="42"/>
        </w:rPr>
        <w:t>verified</w:t>
      </w:r>
    </w:p>
    <w:p w14:paraId="7E001C12" w14:textId="77777777" w:rsidR="009A58DB" w:rsidRDefault="00000000">
      <w:pPr>
        <w:pStyle w:val="BodyText"/>
        <w:spacing w:before="139" w:line="249" w:lineRule="auto"/>
        <w:ind w:right="367"/>
      </w:pPr>
      <w:r>
        <w:t>Here is an argument that several students, independently of one another, have presented to me, and that is also found in the work of C.S. Peirce (1839–</w:t>
      </w:r>
      <w:r>
        <w:rPr>
          <w:spacing w:val="-2"/>
        </w:rPr>
        <w:t>1914):</w:t>
      </w:r>
    </w:p>
    <w:p w14:paraId="7E001C13" w14:textId="77777777" w:rsidR="009A58DB" w:rsidRDefault="009A58DB">
      <w:pPr>
        <w:pStyle w:val="BodyText"/>
        <w:spacing w:before="19"/>
        <w:ind w:left="0"/>
        <w:jc w:val="left"/>
      </w:pPr>
    </w:p>
    <w:p w14:paraId="7E001C14" w14:textId="77777777" w:rsidR="009A58DB" w:rsidRDefault="00000000">
      <w:pPr>
        <w:pStyle w:val="BodyText"/>
        <w:spacing w:line="249" w:lineRule="auto"/>
        <w:ind w:left="720" w:right="657"/>
      </w:pPr>
      <w:r>
        <w:t>Let cell X be a “perfect” clone of cell Y, and suppose that X and Y are kept under exactly similar conditions. (So, although they are kept in different</w:t>
      </w:r>
      <w:r>
        <w:rPr>
          <w:spacing w:val="-3"/>
        </w:rPr>
        <w:t xml:space="preserve"> </w:t>
      </w:r>
      <w:r>
        <w:t>Petri</w:t>
      </w:r>
      <w:r>
        <w:rPr>
          <w:spacing w:val="-3"/>
        </w:rPr>
        <w:t xml:space="preserve"> </w:t>
      </w:r>
      <w:r>
        <w:t>dishes,</w:t>
      </w:r>
      <w:r>
        <w:rPr>
          <w:spacing w:val="-3"/>
        </w:rPr>
        <w:t xml:space="preserve"> </w:t>
      </w:r>
      <w:r>
        <w:t>they</w:t>
      </w:r>
      <w:r>
        <w:rPr>
          <w:spacing w:val="-3"/>
        </w:rPr>
        <w:t xml:space="preserve"> </w:t>
      </w:r>
      <w:r>
        <w:t>are</w:t>
      </w:r>
      <w:r>
        <w:rPr>
          <w:spacing w:val="-3"/>
        </w:rPr>
        <w:t xml:space="preserve"> </w:t>
      </w:r>
      <w:r>
        <w:t>subjected</w:t>
      </w:r>
      <w:r>
        <w:rPr>
          <w:spacing w:val="-3"/>
        </w:rPr>
        <w:t xml:space="preserve"> </w:t>
      </w:r>
      <w:r>
        <w:t>to</w:t>
      </w:r>
      <w:r>
        <w:rPr>
          <w:spacing w:val="-3"/>
        </w:rPr>
        <w:t xml:space="preserve"> </w:t>
      </w:r>
      <w:r>
        <w:t>precisely</w:t>
      </w:r>
      <w:r>
        <w:rPr>
          <w:spacing w:val="-3"/>
        </w:rPr>
        <w:t xml:space="preserve"> </w:t>
      </w:r>
      <w:r>
        <w:t>the</w:t>
      </w:r>
      <w:r>
        <w:rPr>
          <w:spacing w:val="-3"/>
        </w:rPr>
        <w:t xml:space="preserve"> </w:t>
      </w:r>
      <w:r>
        <w:t>same</w:t>
      </w:r>
      <w:r>
        <w:rPr>
          <w:spacing w:val="-3"/>
        </w:rPr>
        <w:t xml:space="preserve"> </w:t>
      </w:r>
      <w:r>
        <w:t>forces.)</w:t>
      </w:r>
      <w:r>
        <w:rPr>
          <w:spacing w:val="-3"/>
        </w:rPr>
        <w:t xml:space="preserve"> </w:t>
      </w:r>
      <w:r>
        <w:t>X and</w:t>
      </w:r>
      <w:r>
        <w:rPr>
          <w:spacing w:val="61"/>
        </w:rPr>
        <w:t xml:space="preserve"> </w:t>
      </w:r>
      <w:r>
        <w:t>Y</w:t>
      </w:r>
      <w:r>
        <w:rPr>
          <w:spacing w:val="61"/>
        </w:rPr>
        <w:t xml:space="preserve"> </w:t>
      </w:r>
      <w:r>
        <w:t>will</w:t>
      </w:r>
      <w:r>
        <w:rPr>
          <w:spacing w:val="61"/>
        </w:rPr>
        <w:t xml:space="preserve"> </w:t>
      </w:r>
      <w:r>
        <w:t>behave</w:t>
      </w:r>
      <w:r>
        <w:rPr>
          <w:spacing w:val="61"/>
        </w:rPr>
        <w:t xml:space="preserve"> </w:t>
      </w:r>
      <w:r>
        <w:t>differently</w:t>
      </w:r>
      <w:r>
        <w:rPr>
          <w:spacing w:val="61"/>
        </w:rPr>
        <w:t xml:space="preserve"> </w:t>
      </w:r>
      <w:r>
        <w:t>from</w:t>
      </w:r>
      <w:r>
        <w:rPr>
          <w:spacing w:val="61"/>
        </w:rPr>
        <w:t xml:space="preserve"> </w:t>
      </w:r>
      <w:r>
        <w:t>each</w:t>
      </w:r>
      <w:r>
        <w:rPr>
          <w:spacing w:val="61"/>
        </w:rPr>
        <w:t xml:space="preserve"> </w:t>
      </w:r>
      <w:r>
        <w:t>other.</w:t>
      </w:r>
      <w:r>
        <w:rPr>
          <w:spacing w:val="61"/>
        </w:rPr>
        <w:t xml:space="preserve"> </w:t>
      </w:r>
      <w:r>
        <w:t>Therefore,</w:t>
      </w:r>
      <w:r>
        <w:rPr>
          <w:spacing w:val="61"/>
        </w:rPr>
        <w:t xml:space="preserve"> </w:t>
      </w:r>
      <w:r>
        <w:t>the</w:t>
      </w:r>
      <w:r>
        <w:rPr>
          <w:spacing w:val="61"/>
        </w:rPr>
        <w:t xml:space="preserve"> </w:t>
      </w:r>
      <w:r>
        <w:t>same</w:t>
      </w:r>
    </w:p>
    <w:p w14:paraId="7E001C1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16" w14:textId="77777777" w:rsidR="009A58DB" w:rsidRDefault="00000000">
      <w:pPr>
        <w:pStyle w:val="BodyText"/>
        <w:spacing w:before="60" w:line="249" w:lineRule="auto"/>
        <w:ind w:left="720" w:right="658"/>
      </w:pPr>
      <w:r>
        <w:lastRenderedPageBreak/>
        <w:t>initial conditions fail to lead to the same non-initial conditions. According to determinism, this isn’t possible. (If two qualitatively identical circumstances are succeeded by qualitatively different circumstances,</w:t>
      </w:r>
      <w:r>
        <w:rPr>
          <w:spacing w:val="-1"/>
        </w:rPr>
        <w:t xml:space="preserve"> </w:t>
      </w:r>
      <w:r>
        <w:t>then</w:t>
      </w:r>
      <w:r>
        <w:rPr>
          <w:spacing w:val="-1"/>
        </w:rPr>
        <w:t xml:space="preserve"> </w:t>
      </w:r>
      <w:r>
        <w:t>neither</w:t>
      </w:r>
      <w:r>
        <w:rPr>
          <w:spacing w:val="-1"/>
        </w:rPr>
        <w:t xml:space="preserve"> </w:t>
      </w:r>
      <w:r>
        <w:t>circumstance</w:t>
      </w:r>
      <w:r>
        <w:rPr>
          <w:spacing w:val="-1"/>
        </w:rPr>
        <w:t xml:space="preserve"> </w:t>
      </w:r>
      <w:r>
        <w:t>completely</w:t>
      </w:r>
      <w:r>
        <w:rPr>
          <w:spacing w:val="-1"/>
        </w:rPr>
        <w:t xml:space="preserve"> </w:t>
      </w:r>
      <w:r>
        <w:t>determined</w:t>
      </w:r>
      <w:r>
        <w:rPr>
          <w:spacing w:val="-1"/>
        </w:rPr>
        <w:t xml:space="preserve"> </w:t>
      </w:r>
      <w:r>
        <w:t>what</w:t>
      </w:r>
      <w:r>
        <w:rPr>
          <w:spacing w:val="-1"/>
        </w:rPr>
        <w:t xml:space="preserve"> </w:t>
      </w:r>
      <w:r>
        <w:t>it would be succeeded by.) From this it follows that determinism is false.</w:t>
      </w:r>
    </w:p>
    <w:p w14:paraId="7E001C17" w14:textId="77777777" w:rsidR="009A58DB" w:rsidRDefault="00000000">
      <w:pPr>
        <w:pStyle w:val="BodyText"/>
        <w:spacing w:before="11" w:line="249" w:lineRule="auto"/>
        <w:ind w:left="720" w:right="659" w:firstLine="360"/>
      </w:pPr>
      <w:r>
        <w:t>Given only that two cells are biologically exactly alike, it doesn’t follow that they’re exactly alike in all other respects. It doesn’t follow, in particular, that they are exactly alike at the atomic and sub-atomic levels. And the chances of their being thus alike are basically zero. There is no real chance that the micro-particles composing one</w:t>
      </w:r>
      <w:r>
        <w:rPr>
          <w:spacing w:val="40"/>
        </w:rPr>
        <w:t xml:space="preserve"> </w:t>
      </w:r>
      <w:r>
        <w:t xml:space="preserve">organism will be moving in precisely the same way as the micro-particles composing any other organism. These sub-biological facts can and will have dramatic effects on what happens at the biological level. All this argument establishes, then, is the irrelevant point that </w:t>
      </w:r>
      <w:r>
        <w:rPr>
          <w:i/>
        </w:rPr>
        <w:t xml:space="preserve">different </w:t>
      </w:r>
      <w:r>
        <w:t xml:space="preserve">initial conditions may lead to </w:t>
      </w:r>
      <w:r>
        <w:rPr>
          <w:i/>
        </w:rPr>
        <w:t xml:space="preserve">different </w:t>
      </w:r>
      <w:r>
        <w:t>non-initial conditions.</w:t>
      </w:r>
    </w:p>
    <w:p w14:paraId="7E001C18" w14:textId="77777777" w:rsidR="009A58DB" w:rsidRDefault="00000000">
      <w:pPr>
        <w:pStyle w:val="Heading1"/>
        <w:numPr>
          <w:ilvl w:val="1"/>
          <w:numId w:val="99"/>
        </w:numPr>
        <w:tabs>
          <w:tab w:val="left" w:pos="990"/>
        </w:tabs>
        <w:spacing w:before="200" w:line="244" w:lineRule="auto"/>
        <w:ind w:right="2173" w:firstLine="0"/>
      </w:pPr>
      <w:r>
        <w:t>Another</w:t>
      </w:r>
      <w:r>
        <w:rPr>
          <w:spacing w:val="-9"/>
        </w:rPr>
        <w:t xml:space="preserve"> </w:t>
      </w:r>
      <w:r>
        <w:t>oft-heard</w:t>
      </w:r>
      <w:r>
        <w:rPr>
          <w:spacing w:val="-9"/>
        </w:rPr>
        <w:t xml:space="preserve"> </w:t>
      </w:r>
      <w:r>
        <w:t>argument</w:t>
      </w:r>
      <w:r>
        <w:rPr>
          <w:spacing w:val="-9"/>
        </w:rPr>
        <w:t xml:space="preserve"> </w:t>
      </w:r>
      <w:r>
        <w:t>as</w:t>
      </w:r>
      <w:r>
        <w:rPr>
          <w:spacing w:val="-9"/>
        </w:rPr>
        <w:t xml:space="preserve"> </w:t>
      </w:r>
      <w:r>
        <w:t>to</w:t>
      </w:r>
      <w:r>
        <w:rPr>
          <w:spacing w:val="-8"/>
        </w:rPr>
        <w:t xml:space="preserve"> </w:t>
      </w:r>
      <w:r>
        <w:t>why determinism is incapable of</w:t>
      </w:r>
    </w:p>
    <w:p w14:paraId="7E001C19" w14:textId="77777777" w:rsidR="009A58DB" w:rsidRDefault="00000000">
      <w:pPr>
        <w:spacing w:before="5"/>
        <w:ind w:left="986"/>
        <w:rPr>
          <w:b/>
          <w:sz w:val="42"/>
        </w:rPr>
      </w:pPr>
      <w:r>
        <w:rPr>
          <w:b/>
          <w:sz w:val="42"/>
        </w:rPr>
        <w:t>being</w:t>
      </w:r>
      <w:r>
        <w:rPr>
          <w:b/>
          <w:spacing w:val="-4"/>
          <w:sz w:val="42"/>
        </w:rPr>
        <w:t xml:space="preserve"> </w:t>
      </w:r>
      <w:r>
        <w:rPr>
          <w:b/>
          <w:spacing w:val="-2"/>
          <w:sz w:val="42"/>
        </w:rPr>
        <w:t>verified</w:t>
      </w:r>
    </w:p>
    <w:p w14:paraId="7E001C1A" w14:textId="77777777" w:rsidR="009A58DB" w:rsidRDefault="00000000">
      <w:pPr>
        <w:pStyle w:val="BodyText"/>
        <w:spacing w:before="139"/>
        <w:jc w:val="left"/>
      </w:pPr>
      <w:r>
        <w:t>Many</w:t>
      </w:r>
      <w:r>
        <w:rPr>
          <w:spacing w:val="-5"/>
        </w:rPr>
        <w:t xml:space="preserve"> </w:t>
      </w:r>
      <w:r>
        <w:t>students</w:t>
      </w:r>
      <w:r>
        <w:rPr>
          <w:spacing w:val="-2"/>
        </w:rPr>
        <w:t xml:space="preserve"> </w:t>
      </w:r>
      <w:r>
        <w:t>of</w:t>
      </w:r>
      <w:r>
        <w:rPr>
          <w:spacing w:val="-3"/>
        </w:rPr>
        <w:t xml:space="preserve"> </w:t>
      </w:r>
      <w:r>
        <w:t>mine</w:t>
      </w:r>
      <w:r>
        <w:rPr>
          <w:spacing w:val="-3"/>
        </w:rPr>
        <w:t xml:space="preserve"> </w:t>
      </w:r>
      <w:r>
        <w:t>have</w:t>
      </w:r>
      <w:r>
        <w:rPr>
          <w:spacing w:val="-3"/>
        </w:rPr>
        <w:t xml:space="preserve"> </w:t>
      </w:r>
      <w:r>
        <w:t>put</w:t>
      </w:r>
      <w:r>
        <w:rPr>
          <w:spacing w:val="-3"/>
        </w:rPr>
        <w:t xml:space="preserve"> </w:t>
      </w:r>
      <w:r>
        <w:t>forth</w:t>
      </w:r>
      <w:r>
        <w:rPr>
          <w:spacing w:val="-2"/>
        </w:rPr>
        <w:t xml:space="preserve"> </w:t>
      </w:r>
      <w:r>
        <w:t>the</w:t>
      </w:r>
      <w:r>
        <w:rPr>
          <w:spacing w:val="-3"/>
        </w:rPr>
        <w:t xml:space="preserve"> </w:t>
      </w:r>
      <w:r>
        <w:t>following</w:t>
      </w:r>
      <w:r>
        <w:rPr>
          <w:spacing w:val="-2"/>
        </w:rPr>
        <w:t xml:space="preserve"> argument:</w:t>
      </w:r>
    </w:p>
    <w:p w14:paraId="7E001C1B" w14:textId="77777777" w:rsidR="009A58DB" w:rsidRDefault="009A58DB">
      <w:pPr>
        <w:pStyle w:val="BodyText"/>
        <w:spacing w:before="30"/>
        <w:ind w:left="0"/>
        <w:jc w:val="left"/>
      </w:pPr>
    </w:p>
    <w:p w14:paraId="7E001C1C" w14:textId="77777777" w:rsidR="009A58DB" w:rsidRDefault="00000000">
      <w:pPr>
        <w:pStyle w:val="BodyText"/>
        <w:spacing w:line="249" w:lineRule="auto"/>
        <w:ind w:left="720" w:right="662"/>
      </w:pPr>
      <w:r>
        <w:t>Determinism says: “same initial conditions, same non-initial conditions.” But the conditions obtaining at any given time are different in at least some respects from those obtaining at any other time. For, between any two points in time, there has surely been at least one change;</w:t>
      </w:r>
      <w:r>
        <w:rPr>
          <w:spacing w:val="-2"/>
        </w:rPr>
        <w:t xml:space="preserve"> </w:t>
      </w:r>
      <w:r>
        <w:t>some particle has moved or rotated or vibrated</w:t>
      </w:r>
      <w:bookmarkStart w:id="378" w:name="_bookmark378"/>
      <w:bookmarkEnd w:id="378"/>
      <w:r>
        <w:t>.</w:t>
      </w:r>
      <w:r>
        <w:rPr>
          <w:color w:val="0562C1"/>
          <w:position w:val="21"/>
          <w:u w:val="single" w:color="0562C1"/>
        </w:rPr>
        <w:t>[266]</w:t>
      </w:r>
      <w:r>
        <w:rPr>
          <w:color w:val="0562C1"/>
          <w:spacing w:val="-19"/>
          <w:position w:val="21"/>
        </w:rPr>
        <w:t xml:space="preserve"> </w:t>
      </w:r>
      <w:r>
        <w:t>So there is no way to verify determinism.</w:t>
      </w:r>
    </w:p>
    <w:p w14:paraId="7E001C1D" w14:textId="77777777" w:rsidR="009A58DB" w:rsidRDefault="009A58DB">
      <w:pPr>
        <w:pStyle w:val="BodyText"/>
        <w:spacing w:before="22"/>
        <w:ind w:left="0"/>
        <w:jc w:val="left"/>
      </w:pPr>
    </w:p>
    <w:p w14:paraId="7E001C1E" w14:textId="77777777" w:rsidR="009A58DB" w:rsidRDefault="00000000">
      <w:pPr>
        <w:pStyle w:val="BodyText"/>
        <w:spacing w:line="249" w:lineRule="auto"/>
        <w:ind w:right="361" w:firstLine="360"/>
      </w:pPr>
      <w:r>
        <w:t xml:space="preserve">Causal connections are discovered by seeing how differences in initial conditions correlate with differences in non-initial conditions. You allow initial changes to change in </w:t>
      </w:r>
      <w:r>
        <w:rPr>
          <w:i/>
        </w:rPr>
        <w:t xml:space="preserve">one </w:t>
      </w:r>
      <w:r>
        <w:t xml:space="preserve">respect, but do your best to ensure that they’re unchanged in every other respect. This will guarantee that these other factors will at least </w:t>
      </w:r>
      <w:r>
        <w:rPr>
          <w:i/>
        </w:rPr>
        <w:t xml:space="preserve">tend </w:t>
      </w:r>
      <w:r>
        <w:t>to remain constant, even though, inevitably, they’ll never</w:t>
      </w:r>
      <w:r>
        <w:rPr>
          <w:spacing w:val="24"/>
        </w:rPr>
        <w:t xml:space="preserve"> </w:t>
      </w:r>
      <w:r>
        <w:t>be</w:t>
      </w:r>
      <w:r>
        <w:rPr>
          <w:spacing w:val="24"/>
        </w:rPr>
        <w:t xml:space="preserve"> </w:t>
      </w:r>
      <w:r>
        <w:t>perfectly</w:t>
      </w:r>
      <w:r>
        <w:rPr>
          <w:spacing w:val="24"/>
        </w:rPr>
        <w:t xml:space="preserve"> </w:t>
      </w:r>
      <w:r>
        <w:t>replicated.</w:t>
      </w:r>
      <w:r>
        <w:rPr>
          <w:spacing w:val="24"/>
        </w:rPr>
        <w:t xml:space="preserve"> </w:t>
      </w:r>
      <w:r>
        <w:t>If</w:t>
      </w:r>
      <w:r>
        <w:rPr>
          <w:spacing w:val="24"/>
        </w:rPr>
        <w:t xml:space="preserve"> </w:t>
      </w:r>
      <w:r>
        <w:t>changes</w:t>
      </w:r>
      <w:r>
        <w:rPr>
          <w:spacing w:val="24"/>
        </w:rPr>
        <w:t xml:space="preserve"> </w:t>
      </w:r>
      <w:r>
        <w:t>in</w:t>
      </w:r>
      <w:r>
        <w:rPr>
          <w:spacing w:val="24"/>
        </w:rPr>
        <w:t xml:space="preserve"> </w:t>
      </w:r>
      <w:r>
        <w:t>that</w:t>
      </w:r>
      <w:r>
        <w:rPr>
          <w:spacing w:val="24"/>
        </w:rPr>
        <w:t xml:space="preserve"> </w:t>
      </w:r>
      <w:r>
        <w:t>one</w:t>
      </w:r>
      <w:r>
        <w:rPr>
          <w:spacing w:val="24"/>
        </w:rPr>
        <w:t xml:space="preserve"> </w:t>
      </w:r>
      <w:r>
        <w:t>factor</w:t>
      </w:r>
      <w:r>
        <w:rPr>
          <w:spacing w:val="24"/>
        </w:rPr>
        <w:t xml:space="preserve"> </w:t>
      </w:r>
      <w:r>
        <w:t>reliably</w:t>
      </w:r>
      <w:r>
        <w:rPr>
          <w:spacing w:val="24"/>
        </w:rPr>
        <w:t xml:space="preserve"> </w:t>
      </w:r>
      <w:r>
        <w:t>correlate</w:t>
      </w:r>
    </w:p>
    <w:p w14:paraId="7E001C1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20" w14:textId="77777777" w:rsidR="009A58DB" w:rsidRDefault="00000000">
      <w:pPr>
        <w:pStyle w:val="BodyText"/>
        <w:spacing w:before="60" w:line="249" w:lineRule="auto"/>
        <w:ind w:right="370"/>
      </w:pPr>
      <w:r>
        <w:lastRenderedPageBreak/>
        <w:t>with changes in the outcome, there’s probably a causal connection; and there’s probably no such connection if there’s no such correlation.</w:t>
      </w:r>
    </w:p>
    <w:p w14:paraId="7E001C21" w14:textId="77777777" w:rsidR="009A58DB" w:rsidRDefault="00000000">
      <w:pPr>
        <w:pStyle w:val="BodyText"/>
        <w:spacing w:before="7" w:line="249" w:lineRule="auto"/>
        <w:ind w:right="359" w:firstLine="360"/>
      </w:pPr>
      <w:r>
        <w:t xml:space="preserve">You may not be able to establish a </w:t>
      </w:r>
      <w:r>
        <w:rPr>
          <w:i/>
        </w:rPr>
        <w:t xml:space="preserve">perfect </w:t>
      </w:r>
      <w:r>
        <w:t>correlation between your pushing the button and the elevator’s coming. But that doesn’t mean that you can’t have good reasons for positing the existence of a strictly deterministic connection between the first and the second. For there to be such a</w:t>
      </w:r>
      <w:r>
        <w:rPr>
          <w:spacing w:val="40"/>
        </w:rPr>
        <w:t xml:space="preserve"> </w:t>
      </w:r>
      <w:r>
        <w:t xml:space="preserve">connection is </w:t>
      </w:r>
      <w:r>
        <w:rPr>
          <w:i/>
        </w:rPr>
        <w:t xml:space="preserve">not </w:t>
      </w:r>
      <w:r>
        <w:t>for the elevator to come without fail every time the button</w:t>
      </w:r>
      <w:r>
        <w:rPr>
          <w:spacing w:val="40"/>
        </w:rPr>
        <w:t xml:space="preserve"> </w:t>
      </w:r>
      <w:r>
        <w:t xml:space="preserve">is pushed. It is for the likelihood that the elevator will come, given that the button was pushed, to approach 100% to the extent that other factors are held constant; that is, it is for there to be no </w:t>
      </w:r>
      <w:r>
        <w:rPr>
          <w:i/>
        </w:rPr>
        <w:t xml:space="preserve">limit </w:t>
      </w:r>
      <w:r>
        <w:t>to how close to 100% that likelihood can be made to be by rooting out other factors that aren’t constant.</w:t>
      </w:r>
    </w:p>
    <w:p w14:paraId="7E001C22" w14:textId="77777777" w:rsidR="009A58DB" w:rsidRDefault="00000000">
      <w:pPr>
        <w:pStyle w:val="BodyText"/>
        <w:spacing w:before="11" w:line="249" w:lineRule="auto"/>
        <w:ind w:right="363" w:firstLine="360"/>
      </w:pPr>
      <w:r>
        <w:t xml:space="preserve">Your experience can easily give you good evidence that </w:t>
      </w:r>
      <w:r>
        <w:rPr>
          <w:i/>
        </w:rPr>
        <w:t xml:space="preserve">this </w:t>
      </w:r>
      <w:r>
        <w:t xml:space="preserve">condition is satisfied. If you find that it’s always possible to make it </w:t>
      </w:r>
      <w:r>
        <w:rPr>
          <w:i/>
        </w:rPr>
        <w:t xml:space="preserve">more </w:t>
      </w:r>
      <w:r>
        <w:t>likely than before that the elevator will come, given that the button was pushed—if, in other words, you find that, given enough tinkering about with the relevant circuitry and cables and so on, it’s always possible to tighten this correlation</w:t>
      </w:r>
    </w:p>
    <w:p w14:paraId="7E001C23" w14:textId="77777777" w:rsidR="009A58DB" w:rsidRDefault="00000000">
      <w:pPr>
        <w:pStyle w:val="BodyText"/>
        <w:spacing w:before="6" w:line="249" w:lineRule="auto"/>
        <w:ind w:right="369"/>
      </w:pPr>
      <w:r>
        <w:t xml:space="preserve">—you </w:t>
      </w:r>
      <w:r>
        <w:rPr>
          <w:i/>
        </w:rPr>
        <w:t>ipso facto</w:t>
      </w:r>
      <w:r>
        <w:rPr>
          <w:i/>
          <w:spacing w:val="80"/>
        </w:rPr>
        <w:t xml:space="preserve"> </w:t>
      </w:r>
      <w:r>
        <w:t>have evidence that the condition in question is satisfied</w:t>
      </w:r>
      <w:r>
        <w:rPr>
          <w:spacing w:val="40"/>
        </w:rPr>
        <w:t xml:space="preserve"> </w:t>
      </w:r>
      <w:r>
        <w:t>and, therefore, that a strictly deterministic connection is at work.</w:t>
      </w:r>
    </w:p>
    <w:p w14:paraId="7E001C24" w14:textId="77777777" w:rsidR="009A58DB" w:rsidRDefault="00000000">
      <w:pPr>
        <w:pStyle w:val="BodyText"/>
        <w:spacing w:before="3" w:line="249" w:lineRule="auto"/>
        <w:ind w:right="362" w:firstLine="360"/>
      </w:pPr>
      <w:r>
        <w:t xml:space="preserve">This doesn’t show they can be definitively established. But it </w:t>
      </w:r>
      <w:r>
        <w:rPr>
          <w:i/>
        </w:rPr>
        <w:t xml:space="preserve">does </w:t>
      </w:r>
      <w:r>
        <w:t xml:space="preserve">show that, insofar as they’re incapable of being definitively established, it’s only for the reason that </w:t>
      </w:r>
      <w:r>
        <w:rPr>
          <w:i/>
        </w:rPr>
        <w:t xml:space="preserve">nothing </w:t>
      </w:r>
      <w:r>
        <w:t>known through sense-perception can be definitively established. Your sense-perceptions make it probable that you have a television, but they don’t make it certain. They make it probable that you’re not a disembodied spirit, but they don’t make it certain. They don’t make anything about the external world certain. A fortiori they don’t make the existence of any causal connections certain. But such connections are no less capable of being definitively established than anything else about the external world. Whatever shortcomings induction may have as a form of inference, they’re no more of a problem for attempts to establish causal connections than they are for attempts to establish that you have hands.</w:t>
      </w:r>
    </w:p>
    <w:p w14:paraId="7E001C25" w14:textId="77777777" w:rsidR="009A58DB" w:rsidRDefault="00000000">
      <w:pPr>
        <w:pStyle w:val="BodyText"/>
        <w:spacing w:before="15" w:line="249" w:lineRule="auto"/>
        <w:ind w:right="365" w:firstLine="360"/>
      </w:pPr>
      <w:r>
        <w:t>We can’t have perfect evidence of a perfect correlation</w:t>
      </w:r>
      <w:bookmarkStart w:id="379" w:name="_bookmark379"/>
      <w:bookmarkEnd w:id="379"/>
      <w:r>
        <w:t>.</w:t>
      </w:r>
      <w:r>
        <w:rPr>
          <w:color w:val="0562C1"/>
          <w:position w:val="21"/>
          <w:u w:val="single" w:color="0562C1"/>
        </w:rPr>
        <w:t>[267]</w:t>
      </w:r>
      <w:r>
        <w:rPr>
          <w:color w:val="0562C1"/>
          <w:position w:val="21"/>
        </w:rPr>
        <w:t xml:space="preserve"> </w:t>
      </w:r>
      <w:r>
        <w:t>But that doesn’t mean we can only have evidence for imperfect correlations. It’s possible to have imperfect evidence for perfect correlations. I’ve examined a million mammals, and they all had backbones. Here we have evidence of a perfect</w:t>
      </w:r>
      <w:r>
        <w:rPr>
          <w:spacing w:val="40"/>
        </w:rPr>
        <w:t xml:space="preserve"> </w:t>
      </w:r>
      <w:r>
        <w:t>correlation.</w:t>
      </w:r>
      <w:r>
        <w:rPr>
          <w:spacing w:val="40"/>
        </w:rPr>
        <w:t xml:space="preserve"> </w:t>
      </w:r>
      <w:r>
        <w:t>It’s</w:t>
      </w:r>
      <w:r>
        <w:rPr>
          <w:spacing w:val="40"/>
        </w:rPr>
        <w:t xml:space="preserve"> </w:t>
      </w:r>
      <w:r>
        <w:t>imperfect</w:t>
      </w:r>
      <w:r>
        <w:rPr>
          <w:spacing w:val="40"/>
        </w:rPr>
        <w:t xml:space="preserve"> </w:t>
      </w:r>
      <w:r>
        <w:t>evidence,</w:t>
      </w:r>
      <w:r>
        <w:rPr>
          <w:spacing w:val="40"/>
        </w:rPr>
        <w:t xml:space="preserve"> </w:t>
      </w:r>
      <w:r>
        <w:t>but</w:t>
      </w:r>
      <w:r>
        <w:rPr>
          <w:spacing w:val="40"/>
        </w:rPr>
        <w:t xml:space="preserve"> </w:t>
      </w:r>
      <w:r>
        <w:t>that’s</w:t>
      </w:r>
      <w:r>
        <w:rPr>
          <w:spacing w:val="40"/>
        </w:rPr>
        <w:t xml:space="preserve"> </w:t>
      </w:r>
      <w:r>
        <w:t>the</w:t>
      </w:r>
      <w:r>
        <w:rPr>
          <w:spacing w:val="40"/>
        </w:rPr>
        <w:t xml:space="preserve"> </w:t>
      </w:r>
      <w:r>
        <w:t>only</w:t>
      </w:r>
      <w:r>
        <w:rPr>
          <w:spacing w:val="40"/>
        </w:rPr>
        <w:t xml:space="preserve"> </w:t>
      </w:r>
      <w:r>
        <w:t>kind</w:t>
      </w:r>
      <w:r>
        <w:rPr>
          <w:spacing w:val="40"/>
        </w:rPr>
        <w:t xml:space="preserve"> </w:t>
      </w:r>
      <w:r>
        <w:t>that’s</w:t>
      </w:r>
    </w:p>
    <w:p w14:paraId="7E001C2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27" w14:textId="77777777" w:rsidR="009A58DB" w:rsidRDefault="00000000">
      <w:pPr>
        <w:pStyle w:val="BodyText"/>
        <w:spacing w:before="65" w:line="249" w:lineRule="auto"/>
        <w:ind w:right="365"/>
      </w:pPr>
      <w:r>
        <w:lastRenderedPageBreak/>
        <w:t xml:space="preserve">available. More precisely, it’s imperfect evidence </w:t>
      </w:r>
      <w:r>
        <w:rPr>
          <w:i/>
        </w:rPr>
        <w:t xml:space="preserve">if </w:t>
      </w:r>
      <w:r>
        <w:t xml:space="preserve">by “perfect evidence” we mean definitive </w:t>
      </w:r>
      <w:r>
        <w:rPr>
          <w:i/>
        </w:rPr>
        <w:t xml:space="preserve">observational </w:t>
      </w:r>
      <w:r>
        <w:t xml:space="preserve">evidence—as opposed to observational evidence </w:t>
      </w:r>
      <w:r>
        <w:rPr>
          <w:i/>
        </w:rPr>
        <w:t xml:space="preserve">plus </w:t>
      </w:r>
      <w:r>
        <w:t>reasonable inference-rules. But if this is what we mean by “perfect” evidence, then it’s a sterile triviality that we can’t have perfect evidence for the existence of transperceptual correlations. (By “transperceptual,” I mean “happening on the other side of the veil of perception—out there in the world, as opposed to in our minds.”)</w:t>
      </w:r>
    </w:p>
    <w:p w14:paraId="7E001C28" w14:textId="77777777" w:rsidR="009A58DB" w:rsidRDefault="00000000">
      <w:pPr>
        <w:pStyle w:val="BodyText"/>
        <w:spacing w:before="8" w:line="249" w:lineRule="auto"/>
        <w:ind w:right="363" w:firstLine="360"/>
      </w:pPr>
      <w:r>
        <w:t xml:space="preserve">We have similarly “imperfect” evidence for deterministic laws. And such laws are no </w:t>
      </w:r>
      <w:r>
        <w:rPr>
          <w:i/>
        </w:rPr>
        <w:t xml:space="preserve">more </w:t>
      </w:r>
      <w:r>
        <w:t>incapable of being definitively established, and no less capable of being established with reasonable certainty, than biological concomitances of the kind just described.</w:t>
      </w:r>
    </w:p>
    <w:p w14:paraId="7E001C2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2A" w14:textId="77777777" w:rsidR="009A58DB" w:rsidRDefault="00000000">
      <w:pPr>
        <w:spacing w:line="503" w:lineRule="exact"/>
        <w:ind w:left="326" w:right="332"/>
        <w:jc w:val="center"/>
        <w:rPr>
          <w:rFonts w:ascii="Calibri Light"/>
          <w:sz w:val="42"/>
        </w:rPr>
      </w:pPr>
      <w:bookmarkStart w:id="380" w:name="_bookmark380"/>
      <w:bookmarkEnd w:id="380"/>
      <w:r>
        <w:rPr>
          <w:rFonts w:ascii="Calibri Light"/>
          <w:sz w:val="42"/>
        </w:rPr>
        <w:lastRenderedPageBreak/>
        <w:t>Chapter</w:t>
      </w:r>
      <w:r>
        <w:rPr>
          <w:rFonts w:ascii="Calibri Light"/>
          <w:spacing w:val="56"/>
          <w:sz w:val="42"/>
        </w:rPr>
        <w:t xml:space="preserve"> </w:t>
      </w:r>
      <w:r>
        <w:rPr>
          <w:rFonts w:ascii="Calibri Light"/>
          <w:spacing w:val="-5"/>
          <w:sz w:val="42"/>
        </w:rPr>
        <w:t>15</w:t>
      </w:r>
    </w:p>
    <w:p w14:paraId="7E001C2B" w14:textId="77777777" w:rsidR="009A58DB" w:rsidRDefault="00000000">
      <w:pPr>
        <w:spacing w:before="222"/>
        <w:ind w:left="326" w:right="332"/>
        <w:jc w:val="center"/>
        <w:rPr>
          <w:rFonts w:ascii="Calibri Light"/>
          <w:sz w:val="42"/>
        </w:rPr>
      </w:pPr>
      <w:bookmarkStart w:id="381" w:name="_bookmark381"/>
      <w:bookmarkEnd w:id="381"/>
      <w:r>
        <w:rPr>
          <w:rFonts w:ascii="Calibri Light"/>
          <w:sz w:val="42"/>
        </w:rPr>
        <w:t>The</w:t>
      </w:r>
      <w:r>
        <w:rPr>
          <w:rFonts w:ascii="Calibri Light"/>
          <w:spacing w:val="54"/>
          <w:sz w:val="42"/>
        </w:rPr>
        <w:t xml:space="preserve"> </w:t>
      </w:r>
      <w:r>
        <w:rPr>
          <w:rFonts w:ascii="Calibri Light"/>
          <w:sz w:val="42"/>
        </w:rPr>
        <w:t>Compatibilist</w:t>
      </w:r>
      <w:r>
        <w:rPr>
          <w:rFonts w:ascii="Calibri Light"/>
          <w:spacing w:val="56"/>
          <w:sz w:val="42"/>
        </w:rPr>
        <w:t xml:space="preserve"> </w:t>
      </w:r>
      <w:r>
        <w:rPr>
          <w:rFonts w:ascii="Calibri Light"/>
          <w:sz w:val="42"/>
        </w:rPr>
        <w:t>Conception</w:t>
      </w:r>
      <w:r>
        <w:rPr>
          <w:rFonts w:ascii="Calibri Light"/>
          <w:spacing w:val="56"/>
          <w:sz w:val="42"/>
        </w:rPr>
        <w:t xml:space="preserve"> </w:t>
      </w:r>
      <w:r>
        <w:rPr>
          <w:rFonts w:ascii="Calibri Light"/>
          <w:sz w:val="42"/>
        </w:rPr>
        <w:t>of</w:t>
      </w:r>
      <w:r>
        <w:rPr>
          <w:rFonts w:ascii="Calibri Light"/>
          <w:spacing w:val="56"/>
          <w:sz w:val="42"/>
        </w:rPr>
        <w:t xml:space="preserve"> </w:t>
      </w:r>
      <w:r>
        <w:rPr>
          <w:rFonts w:ascii="Calibri Light"/>
          <w:spacing w:val="-2"/>
          <w:sz w:val="42"/>
        </w:rPr>
        <w:t>Freedom</w:t>
      </w:r>
    </w:p>
    <w:p w14:paraId="7E001C2C" w14:textId="77777777" w:rsidR="009A58DB" w:rsidRDefault="00000000">
      <w:pPr>
        <w:pStyle w:val="Heading1"/>
        <w:numPr>
          <w:ilvl w:val="0"/>
          <w:numId w:val="98"/>
        </w:numPr>
        <w:tabs>
          <w:tab w:val="left" w:pos="990"/>
        </w:tabs>
        <w:spacing w:before="185" w:line="244" w:lineRule="auto"/>
        <w:ind w:right="810" w:firstLine="0"/>
      </w:pPr>
      <w:r>
        <w:t>Determinism</w:t>
      </w:r>
      <w:r>
        <w:rPr>
          <w:spacing w:val="-8"/>
        </w:rPr>
        <w:t xml:space="preserve"> </w:t>
      </w:r>
      <w:r>
        <w:t>in</w:t>
      </w:r>
      <w:r>
        <w:rPr>
          <w:spacing w:val="-8"/>
        </w:rPr>
        <w:t xml:space="preserve"> </w:t>
      </w:r>
      <w:r>
        <w:t>relation</w:t>
      </w:r>
      <w:r>
        <w:rPr>
          <w:spacing w:val="-8"/>
        </w:rPr>
        <w:t xml:space="preserve"> </w:t>
      </w:r>
      <w:r>
        <w:t>to</w:t>
      </w:r>
      <w:r>
        <w:rPr>
          <w:spacing w:val="-7"/>
        </w:rPr>
        <w:t xml:space="preserve"> </w:t>
      </w:r>
      <w:r>
        <w:t>the</w:t>
      </w:r>
      <w:r>
        <w:rPr>
          <w:spacing w:val="-8"/>
        </w:rPr>
        <w:t xml:space="preserve"> </w:t>
      </w:r>
      <w:r>
        <w:t>debate</w:t>
      </w:r>
      <w:r>
        <w:rPr>
          <w:spacing w:val="-8"/>
        </w:rPr>
        <w:t xml:space="preserve"> </w:t>
      </w:r>
      <w:r>
        <w:t>between materialism and dualism</w:t>
      </w:r>
    </w:p>
    <w:p w14:paraId="7E001C2D" w14:textId="77777777" w:rsidR="009A58DB" w:rsidRDefault="00000000">
      <w:pPr>
        <w:pStyle w:val="BodyText"/>
        <w:spacing w:before="132" w:line="249" w:lineRule="auto"/>
        <w:ind w:right="357"/>
      </w:pPr>
      <w:r>
        <w:t>A set of events is deterministic if it obeys laws that, given the system’s state at</w:t>
      </w:r>
      <w:r>
        <w:rPr>
          <w:spacing w:val="-4"/>
        </w:rPr>
        <w:t xml:space="preserve"> </w:t>
      </w:r>
      <w:r>
        <w:t>any</w:t>
      </w:r>
      <w:r>
        <w:rPr>
          <w:spacing w:val="-3"/>
        </w:rPr>
        <w:t xml:space="preserve"> </w:t>
      </w:r>
      <w:r>
        <w:t>given</w:t>
      </w:r>
      <w:r>
        <w:rPr>
          <w:spacing w:val="-3"/>
        </w:rPr>
        <w:t xml:space="preserve"> </w:t>
      </w:r>
      <w:r>
        <w:t>point</w:t>
      </w:r>
      <w:r>
        <w:rPr>
          <w:spacing w:val="-4"/>
        </w:rPr>
        <w:t xml:space="preserve"> </w:t>
      </w:r>
      <w:r>
        <w:t>in</w:t>
      </w:r>
      <w:r>
        <w:rPr>
          <w:spacing w:val="-3"/>
        </w:rPr>
        <w:t xml:space="preserve"> </w:t>
      </w:r>
      <w:r>
        <w:t>time,</w:t>
      </w:r>
      <w:r>
        <w:rPr>
          <w:spacing w:val="-3"/>
        </w:rPr>
        <w:t xml:space="preserve"> </w:t>
      </w:r>
      <w:r>
        <w:t>fix</w:t>
      </w:r>
      <w:r>
        <w:rPr>
          <w:spacing w:val="-3"/>
        </w:rPr>
        <w:t xml:space="preserve"> </w:t>
      </w:r>
      <w:r>
        <w:t>the</w:t>
      </w:r>
      <w:r>
        <w:rPr>
          <w:spacing w:val="-4"/>
        </w:rPr>
        <w:t xml:space="preserve"> </w:t>
      </w:r>
      <w:r>
        <w:t>system’s</w:t>
      </w:r>
      <w:r>
        <w:rPr>
          <w:spacing w:val="-4"/>
        </w:rPr>
        <w:t xml:space="preserve"> </w:t>
      </w:r>
      <w:r>
        <w:t>state</w:t>
      </w:r>
      <w:r>
        <w:rPr>
          <w:spacing w:val="-4"/>
        </w:rPr>
        <w:t xml:space="preserve"> </w:t>
      </w:r>
      <w:r>
        <w:t>at</w:t>
      </w:r>
      <w:r>
        <w:rPr>
          <w:spacing w:val="-4"/>
        </w:rPr>
        <w:t xml:space="preserve"> </w:t>
      </w:r>
      <w:r>
        <w:t>all</w:t>
      </w:r>
      <w:r>
        <w:rPr>
          <w:spacing w:val="-4"/>
        </w:rPr>
        <w:t xml:space="preserve"> </w:t>
      </w:r>
      <w:r>
        <w:t>later</w:t>
      </w:r>
      <w:r>
        <w:rPr>
          <w:spacing w:val="-4"/>
        </w:rPr>
        <w:t xml:space="preserve"> </w:t>
      </w:r>
      <w:r>
        <w:t>points</w:t>
      </w:r>
      <w:r>
        <w:rPr>
          <w:spacing w:val="-4"/>
        </w:rPr>
        <w:t xml:space="preserve"> </w:t>
      </w:r>
      <w:r>
        <w:t>in</w:t>
      </w:r>
      <w:r>
        <w:rPr>
          <w:spacing w:val="-3"/>
        </w:rPr>
        <w:t xml:space="preserve"> </w:t>
      </w:r>
      <w:r>
        <w:t>time.</w:t>
      </w:r>
      <w:r>
        <w:rPr>
          <w:spacing w:val="-3"/>
        </w:rPr>
        <w:t xml:space="preserve"> </w:t>
      </w:r>
      <w:r>
        <w:t>The physical world is a deterministic system. (In any case, it’s very nearly so.</w:t>
      </w:r>
      <w:r>
        <w:rPr>
          <w:spacing w:val="40"/>
        </w:rPr>
        <w:t xml:space="preserve"> </w:t>
      </w:r>
      <w:r>
        <w:t>And in this context, we’ll assume that it is. Later, we’ll drop the assumption.) This</w:t>
      </w:r>
      <w:r>
        <w:rPr>
          <w:spacing w:val="-3"/>
        </w:rPr>
        <w:t xml:space="preserve"> </w:t>
      </w:r>
      <w:r>
        <w:t>means</w:t>
      </w:r>
      <w:r>
        <w:rPr>
          <w:spacing w:val="-3"/>
        </w:rPr>
        <w:t xml:space="preserve"> </w:t>
      </w:r>
      <w:r>
        <w:t>that</w:t>
      </w:r>
      <w:r>
        <w:rPr>
          <w:spacing w:val="-3"/>
        </w:rPr>
        <w:t xml:space="preserve"> </w:t>
      </w:r>
      <w:r>
        <w:t>the</w:t>
      </w:r>
      <w:r>
        <w:rPr>
          <w:spacing w:val="-3"/>
        </w:rPr>
        <w:t xml:space="preserve"> </w:t>
      </w:r>
      <w:r>
        <w:t>world</w:t>
      </w:r>
      <w:r>
        <w:rPr>
          <w:spacing w:val="-2"/>
        </w:rPr>
        <w:t xml:space="preserve"> </w:t>
      </w:r>
      <w:r>
        <w:t>itself</w:t>
      </w:r>
      <w:r>
        <w:rPr>
          <w:spacing w:val="-3"/>
        </w:rPr>
        <w:t xml:space="preserve"> </w:t>
      </w:r>
      <w:r>
        <w:t>is</w:t>
      </w:r>
      <w:r>
        <w:rPr>
          <w:spacing w:val="-3"/>
        </w:rPr>
        <w:t xml:space="preserve"> </w:t>
      </w:r>
      <w:r>
        <w:t>a</w:t>
      </w:r>
      <w:r>
        <w:rPr>
          <w:spacing w:val="-3"/>
        </w:rPr>
        <w:t xml:space="preserve"> </w:t>
      </w:r>
      <w:r>
        <w:t>deterministic</w:t>
      </w:r>
      <w:r>
        <w:rPr>
          <w:spacing w:val="-3"/>
        </w:rPr>
        <w:t xml:space="preserve"> </w:t>
      </w:r>
      <w:r>
        <w:t>system</w:t>
      </w:r>
      <w:r>
        <w:rPr>
          <w:spacing w:val="-3"/>
        </w:rPr>
        <w:t xml:space="preserve"> </w:t>
      </w:r>
      <w:r>
        <w:rPr>
          <w:i/>
        </w:rPr>
        <w:t>to</w:t>
      </w:r>
      <w:r>
        <w:rPr>
          <w:i/>
          <w:spacing w:val="-2"/>
        </w:rPr>
        <w:t xml:space="preserve"> </w:t>
      </w:r>
      <w:r>
        <w:rPr>
          <w:i/>
        </w:rPr>
        <w:t>the</w:t>
      </w:r>
      <w:r>
        <w:rPr>
          <w:i/>
          <w:spacing w:val="-3"/>
        </w:rPr>
        <w:t xml:space="preserve"> </w:t>
      </w:r>
      <w:r>
        <w:rPr>
          <w:i/>
        </w:rPr>
        <w:t>extent</w:t>
      </w:r>
      <w:r>
        <w:rPr>
          <w:i/>
          <w:spacing w:val="-3"/>
        </w:rPr>
        <w:t xml:space="preserve"> </w:t>
      </w:r>
      <w:r>
        <w:t xml:space="preserve">that it’s </w:t>
      </w:r>
      <w:r>
        <w:rPr>
          <w:spacing w:val="-2"/>
        </w:rPr>
        <w:t>physical.</w:t>
      </w:r>
    </w:p>
    <w:p w14:paraId="7E001C2E" w14:textId="77777777" w:rsidR="009A58DB" w:rsidRDefault="00000000">
      <w:pPr>
        <w:pStyle w:val="BodyText"/>
        <w:spacing w:before="7" w:line="249" w:lineRule="auto"/>
        <w:ind w:right="364" w:firstLine="360"/>
      </w:pPr>
      <w:r>
        <w:t>There are both physical and mental entities. Anything that involves thought or feeling is mental; anything that does not (but is spatiotemporal; i.e., is in space or time) is physical. So beliefs, intentions, and regrets are mental; and rocks, trees, and explosions are physical.</w:t>
      </w:r>
    </w:p>
    <w:p w14:paraId="7E001C2F" w14:textId="77777777" w:rsidR="009A58DB" w:rsidRDefault="00000000">
      <w:pPr>
        <w:pStyle w:val="BodyText"/>
        <w:spacing w:before="5" w:line="249" w:lineRule="auto"/>
        <w:ind w:right="362" w:firstLine="360"/>
        <w:rPr>
          <w:b/>
          <w:i/>
        </w:rPr>
      </w:pPr>
      <w:r>
        <w:t>It</w:t>
      </w:r>
      <w:r>
        <w:rPr>
          <w:spacing w:val="-4"/>
        </w:rPr>
        <w:t xml:space="preserve"> </w:t>
      </w:r>
      <w:r>
        <w:t>is</w:t>
      </w:r>
      <w:r>
        <w:rPr>
          <w:spacing w:val="-4"/>
        </w:rPr>
        <w:t xml:space="preserve"> </w:t>
      </w:r>
      <w:r>
        <w:t>an</w:t>
      </w:r>
      <w:r>
        <w:rPr>
          <w:spacing w:val="-3"/>
        </w:rPr>
        <w:t xml:space="preserve"> </w:t>
      </w:r>
      <w:r>
        <w:t>open</w:t>
      </w:r>
      <w:r>
        <w:rPr>
          <w:spacing w:val="-3"/>
        </w:rPr>
        <w:t xml:space="preserve"> </w:t>
      </w:r>
      <w:r>
        <w:t>and</w:t>
      </w:r>
      <w:r>
        <w:rPr>
          <w:spacing w:val="-3"/>
        </w:rPr>
        <w:t xml:space="preserve"> </w:t>
      </w:r>
      <w:r>
        <w:t>delicate</w:t>
      </w:r>
      <w:r>
        <w:rPr>
          <w:spacing w:val="-4"/>
        </w:rPr>
        <w:t xml:space="preserve"> </w:t>
      </w:r>
      <w:r>
        <w:t>question</w:t>
      </w:r>
      <w:r>
        <w:rPr>
          <w:spacing w:val="-3"/>
        </w:rPr>
        <w:t xml:space="preserve"> </w:t>
      </w:r>
      <w:r>
        <w:t>how</w:t>
      </w:r>
      <w:r>
        <w:rPr>
          <w:spacing w:val="-4"/>
        </w:rPr>
        <w:t xml:space="preserve"> </w:t>
      </w:r>
      <w:r>
        <w:t>the</w:t>
      </w:r>
      <w:r>
        <w:rPr>
          <w:spacing w:val="-4"/>
        </w:rPr>
        <w:t xml:space="preserve"> </w:t>
      </w:r>
      <w:r>
        <w:t>mental</w:t>
      </w:r>
      <w:r>
        <w:rPr>
          <w:spacing w:val="-4"/>
        </w:rPr>
        <w:t xml:space="preserve"> </w:t>
      </w:r>
      <w:r>
        <w:t>and</w:t>
      </w:r>
      <w:r>
        <w:rPr>
          <w:spacing w:val="-3"/>
        </w:rPr>
        <w:t xml:space="preserve"> </w:t>
      </w:r>
      <w:r>
        <w:t>physical</w:t>
      </w:r>
      <w:r>
        <w:rPr>
          <w:spacing w:val="-4"/>
        </w:rPr>
        <w:t xml:space="preserve"> </w:t>
      </w:r>
      <w:r>
        <w:t>are</w:t>
      </w:r>
      <w:r>
        <w:rPr>
          <w:spacing w:val="-4"/>
        </w:rPr>
        <w:t xml:space="preserve"> </w:t>
      </w:r>
      <w:r>
        <w:t xml:space="preserve">related. (See the Appendix to Chapter 11 for a discussion of this matter.) Some hold that mental entities are </w:t>
      </w:r>
      <w:r>
        <w:rPr>
          <w:i/>
        </w:rPr>
        <w:t xml:space="preserve">identical </w:t>
      </w:r>
      <w:r>
        <w:t xml:space="preserve">with certain physical entities (presumably neural events or structures). This position is known as </w:t>
      </w:r>
      <w:r>
        <w:rPr>
          <w:b/>
          <w:i/>
        </w:rPr>
        <w:t xml:space="preserve">materialism. </w:t>
      </w:r>
      <w:r>
        <w:t xml:space="preserve">Others deny this, saying that the mental is non-physical. This position is known as </w:t>
      </w:r>
      <w:r>
        <w:rPr>
          <w:b/>
          <w:i/>
          <w:spacing w:val="-2"/>
        </w:rPr>
        <w:t>dualism.</w:t>
      </w:r>
    </w:p>
    <w:p w14:paraId="7E001C30" w14:textId="77777777" w:rsidR="009A58DB" w:rsidRDefault="00000000">
      <w:pPr>
        <w:pStyle w:val="BodyText"/>
        <w:spacing w:before="8" w:line="249" w:lineRule="auto"/>
        <w:ind w:right="359" w:firstLine="360"/>
      </w:pPr>
      <w:r>
        <w:t>If materialism is right, then the mental world is just part of the physical world.</w:t>
      </w:r>
      <w:r>
        <w:rPr>
          <w:spacing w:val="-2"/>
        </w:rPr>
        <w:t xml:space="preserve"> </w:t>
      </w:r>
      <w:r>
        <w:t>So</w:t>
      </w:r>
      <w:r>
        <w:rPr>
          <w:spacing w:val="-2"/>
        </w:rPr>
        <w:t xml:space="preserve"> </w:t>
      </w:r>
      <w:r>
        <w:t>if</w:t>
      </w:r>
      <w:r>
        <w:rPr>
          <w:spacing w:val="-2"/>
        </w:rPr>
        <w:t xml:space="preserve"> </w:t>
      </w:r>
      <w:r>
        <w:t>E</w:t>
      </w:r>
      <w:r>
        <w:rPr>
          <w:spacing w:val="-2"/>
        </w:rPr>
        <w:t xml:space="preserve"> </w:t>
      </w:r>
      <w:r>
        <w:t>is</w:t>
      </w:r>
      <w:r>
        <w:rPr>
          <w:spacing w:val="-2"/>
        </w:rPr>
        <w:t xml:space="preserve"> </w:t>
      </w:r>
      <w:r>
        <w:t>some</w:t>
      </w:r>
      <w:r>
        <w:rPr>
          <w:spacing w:val="-2"/>
        </w:rPr>
        <w:t xml:space="preserve"> </w:t>
      </w:r>
      <w:r>
        <w:t>experience</w:t>
      </w:r>
      <w:r>
        <w:rPr>
          <w:spacing w:val="-2"/>
        </w:rPr>
        <w:t xml:space="preserve"> </w:t>
      </w:r>
      <w:r>
        <w:t>that</w:t>
      </w:r>
      <w:r>
        <w:rPr>
          <w:spacing w:val="-1"/>
        </w:rPr>
        <w:t xml:space="preserve"> </w:t>
      </w:r>
      <w:r>
        <w:t>you</w:t>
      </w:r>
      <w:r>
        <w:rPr>
          <w:spacing w:val="-2"/>
        </w:rPr>
        <w:t xml:space="preserve"> </w:t>
      </w:r>
      <w:r>
        <w:t>either</w:t>
      </w:r>
      <w:r>
        <w:rPr>
          <w:spacing w:val="-2"/>
        </w:rPr>
        <w:t xml:space="preserve"> </w:t>
      </w:r>
      <w:r>
        <w:t>have</w:t>
      </w:r>
      <w:r>
        <w:rPr>
          <w:spacing w:val="-2"/>
        </w:rPr>
        <w:t xml:space="preserve"> </w:t>
      </w:r>
      <w:r>
        <w:t>had,</w:t>
      </w:r>
      <w:r>
        <w:rPr>
          <w:spacing w:val="-1"/>
        </w:rPr>
        <w:t xml:space="preserve"> </w:t>
      </w:r>
      <w:r>
        <w:t>are</w:t>
      </w:r>
      <w:r>
        <w:rPr>
          <w:spacing w:val="-2"/>
        </w:rPr>
        <w:t xml:space="preserve"> </w:t>
      </w:r>
      <w:r>
        <w:t>having,</w:t>
      </w:r>
      <w:r>
        <w:rPr>
          <w:spacing w:val="-2"/>
        </w:rPr>
        <w:t xml:space="preserve"> </w:t>
      </w:r>
      <w:r>
        <w:t>or</w:t>
      </w:r>
      <w:r>
        <w:rPr>
          <w:spacing w:val="-1"/>
        </w:rPr>
        <w:t xml:space="preserve"> </w:t>
      </w:r>
      <w:r>
        <w:t>will have, then given the way the world was 10 million years ago, the state of the universe 10 million years ago made E’s occurrence inevitable. Whatever you decide to do today is an inevitable consequence of the way the world was a million years ago.</w:t>
      </w:r>
    </w:p>
    <w:p w14:paraId="7E001C31" w14:textId="77777777" w:rsidR="009A58DB" w:rsidRDefault="00000000">
      <w:pPr>
        <w:pStyle w:val="BodyText"/>
        <w:spacing w:before="7" w:line="249" w:lineRule="auto"/>
        <w:ind w:right="359" w:firstLine="360"/>
      </w:pPr>
      <w:r>
        <w:t xml:space="preserve">Supposing that the physical world is deterministic, and supposing also that materialism is right, it’s hard to see how there could be free will. If the state of the universe a million years ago completely settled what choices I would make today, then presumably I couldn’t make any choices other than those that I </w:t>
      </w:r>
      <w:r>
        <w:rPr>
          <w:i/>
        </w:rPr>
        <w:t xml:space="preserve">do </w:t>
      </w:r>
      <w:r>
        <w:t>make. And it would seem that, under those circumstances, I don’t have</w:t>
      </w:r>
      <w:r>
        <w:rPr>
          <w:spacing w:val="39"/>
        </w:rPr>
        <w:t xml:space="preserve"> </w:t>
      </w:r>
      <w:r>
        <w:t>anything</w:t>
      </w:r>
      <w:r>
        <w:rPr>
          <w:spacing w:val="39"/>
        </w:rPr>
        <w:t xml:space="preserve"> </w:t>
      </w:r>
      <w:r>
        <w:t>resembling</w:t>
      </w:r>
      <w:r>
        <w:rPr>
          <w:spacing w:val="39"/>
        </w:rPr>
        <w:t xml:space="preserve"> </w:t>
      </w:r>
      <w:r>
        <w:t>“freedom</w:t>
      </w:r>
      <w:r>
        <w:rPr>
          <w:spacing w:val="39"/>
        </w:rPr>
        <w:t xml:space="preserve"> </w:t>
      </w:r>
      <w:r>
        <w:t>of</w:t>
      </w:r>
      <w:r>
        <w:rPr>
          <w:spacing w:val="39"/>
        </w:rPr>
        <w:t xml:space="preserve"> </w:t>
      </w:r>
      <w:r>
        <w:t>choice.”</w:t>
      </w:r>
      <w:r>
        <w:rPr>
          <w:spacing w:val="39"/>
        </w:rPr>
        <w:t xml:space="preserve"> </w:t>
      </w:r>
      <w:r>
        <w:t>In</w:t>
      </w:r>
      <w:r>
        <w:rPr>
          <w:spacing w:val="39"/>
        </w:rPr>
        <w:t xml:space="preserve"> </w:t>
      </w:r>
      <w:r>
        <w:t>a</w:t>
      </w:r>
      <w:r>
        <w:rPr>
          <w:spacing w:val="39"/>
        </w:rPr>
        <w:t xml:space="preserve"> </w:t>
      </w:r>
      <w:r>
        <w:t>moment,</w:t>
      </w:r>
      <w:r>
        <w:rPr>
          <w:spacing w:val="39"/>
        </w:rPr>
        <w:t xml:space="preserve"> </w:t>
      </w:r>
      <w:r>
        <w:t>we</w:t>
      </w:r>
      <w:r>
        <w:rPr>
          <w:spacing w:val="39"/>
        </w:rPr>
        <w:t xml:space="preserve"> </w:t>
      </w:r>
      <w:r>
        <w:t>will</w:t>
      </w:r>
      <w:r>
        <w:rPr>
          <w:spacing w:val="39"/>
        </w:rPr>
        <w:t xml:space="preserve"> </w:t>
      </w:r>
      <w:r>
        <w:t>find</w:t>
      </w:r>
    </w:p>
    <w:p w14:paraId="7E001C32"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1C33" w14:textId="77777777" w:rsidR="009A58DB" w:rsidRDefault="00000000">
      <w:pPr>
        <w:pStyle w:val="BodyText"/>
        <w:spacing w:before="60" w:line="249" w:lineRule="auto"/>
        <w:ind w:right="361"/>
      </w:pPr>
      <w:r>
        <w:lastRenderedPageBreak/>
        <w:t xml:space="preserve">that some case can be made that one may have </w:t>
      </w:r>
      <w:r>
        <w:rPr>
          <w:i/>
        </w:rPr>
        <w:t xml:space="preserve">a </w:t>
      </w:r>
      <w:r>
        <w:t xml:space="preserve">kind of freedom in a deterministic world. But let’s hold off on that for a moment and talk right now about the relationship between </w:t>
      </w:r>
      <w:r>
        <w:rPr>
          <w:i/>
        </w:rPr>
        <w:t>in</w:t>
      </w:r>
      <w:r>
        <w:t>determinism and freedom.</w:t>
      </w:r>
    </w:p>
    <w:p w14:paraId="7E001C34" w14:textId="77777777" w:rsidR="009A58DB" w:rsidRDefault="00000000">
      <w:pPr>
        <w:pStyle w:val="Heading1"/>
        <w:numPr>
          <w:ilvl w:val="0"/>
          <w:numId w:val="98"/>
        </w:numPr>
        <w:tabs>
          <w:tab w:val="left" w:pos="990"/>
        </w:tabs>
        <w:spacing w:before="196"/>
        <w:ind w:left="990"/>
      </w:pPr>
      <w:r>
        <w:t>Free</w:t>
      </w:r>
      <w:r>
        <w:rPr>
          <w:spacing w:val="-8"/>
        </w:rPr>
        <w:t xml:space="preserve"> </w:t>
      </w:r>
      <w:r>
        <w:t>will</w:t>
      </w:r>
      <w:r>
        <w:rPr>
          <w:spacing w:val="-5"/>
        </w:rPr>
        <w:t xml:space="preserve"> </w:t>
      </w:r>
      <w:r>
        <w:t>in</w:t>
      </w:r>
      <w:r>
        <w:rPr>
          <w:spacing w:val="-5"/>
        </w:rPr>
        <w:t xml:space="preserve"> </w:t>
      </w:r>
      <w:r>
        <w:t>an</w:t>
      </w:r>
      <w:r>
        <w:rPr>
          <w:spacing w:val="-5"/>
        </w:rPr>
        <w:t xml:space="preserve"> </w:t>
      </w:r>
      <w:r>
        <w:t>indeterministic</w:t>
      </w:r>
      <w:r>
        <w:rPr>
          <w:spacing w:val="-5"/>
        </w:rPr>
        <w:t xml:space="preserve"> </w:t>
      </w:r>
      <w:r>
        <w:rPr>
          <w:spacing w:val="-2"/>
        </w:rPr>
        <w:t>world?</w:t>
      </w:r>
    </w:p>
    <w:p w14:paraId="7E001C35" w14:textId="77777777" w:rsidR="009A58DB" w:rsidRDefault="00000000">
      <w:pPr>
        <w:pStyle w:val="BodyText"/>
        <w:spacing w:before="139" w:line="249" w:lineRule="auto"/>
        <w:ind w:right="363"/>
      </w:pPr>
      <w:r>
        <w:t>Because of the apparent irreconcilability of materialism with the presumption that we are free, some believers in free will—for example, Jean Paul Sartre (1905–1980) and Maurice Merleau-Ponty (1908–1961)—accept dualism, while others, e.g. Peter van Inwagen (1942–), accept materialism but reject determinism. Let’s consider both options, starting with the first.</w:t>
      </w:r>
    </w:p>
    <w:p w14:paraId="7E001C36" w14:textId="77777777" w:rsidR="009A58DB" w:rsidRDefault="00000000">
      <w:pPr>
        <w:pStyle w:val="BodyText"/>
        <w:spacing w:before="7" w:line="249" w:lineRule="auto"/>
        <w:ind w:right="363" w:firstLine="360"/>
      </w:pPr>
      <w:r>
        <w:t>First of all, supposing that there is indeterminism in the world, it doesn’t necessarily mean that our mental processes aren’t determined. If the atomic processes making up some rock happen to be indeterministic, that doesn’t mean that your brain or mind aren’t deterministic. So the indeterminism must be in the right place.</w:t>
      </w:r>
    </w:p>
    <w:p w14:paraId="7E001C37" w14:textId="77777777" w:rsidR="009A58DB" w:rsidRDefault="00000000">
      <w:pPr>
        <w:pStyle w:val="BodyText"/>
        <w:spacing w:before="6" w:line="249" w:lineRule="auto"/>
        <w:ind w:right="364" w:firstLine="360"/>
      </w:pPr>
      <w:r>
        <w:t>What is that place? Where must the indeterminism be if our choices are to be made freely? The indeterminism must relate to the processes involved in making choices. For, if the mechanisms of which our choices are results are deterministic, then our decisions are as determined as anything else. Thus, a free person’s choices are undetermined.</w:t>
      </w:r>
    </w:p>
    <w:p w14:paraId="7E001C38" w14:textId="77777777" w:rsidR="009A58DB" w:rsidRDefault="00000000">
      <w:pPr>
        <w:pStyle w:val="BodyText"/>
        <w:spacing w:before="6" w:line="249" w:lineRule="auto"/>
        <w:ind w:right="355" w:firstLine="360"/>
      </w:pPr>
      <w:r>
        <w:t>But a choice that isn’t predetermined by anything isn’t predetermined by any facts about one’s personality, and a choice of the latter kind is not one that we would have any inclination to regard as “free.” A short story may illustrate my meaning. Smith is walking along.</w:t>
      </w:r>
      <w:r>
        <w:rPr>
          <w:spacing w:val="-8"/>
        </w:rPr>
        <w:t xml:space="preserve"> </w:t>
      </w:r>
      <w:r>
        <w:t>All of a sudden, he decides to become a pilot. This decision has no basis in his personality. He never liked flying.</w:t>
      </w:r>
      <w:r>
        <w:rPr>
          <w:spacing w:val="-17"/>
        </w:rPr>
        <w:t xml:space="preserve"> </w:t>
      </w:r>
      <w:r>
        <w:t>He</w:t>
      </w:r>
      <w:r>
        <w:rPr>
          <w:spacing w:val="-18"/>
        </w:rPr>
        <w:t xml:space="preserve"> </w:t>
      </w:r>
      <w:r>
        <w:t>already</w:t>
      </w:r>
      <w:r>
        <w:rPr>
          <w:spacing w:val="-17"/>
        </w:rPr>
        <w:t xml:space="preserve"> </w:t>
      </w:r>
      <w:r>
        <w:t>has</w:t>
      </w:r>
      <w:r>
        <w:rPr>
          <w:spacing w:val="-18"/>
        </w:rPr>
        <w:t xml:space="preserve"> </w:t>
      </w:r>
      <w:r>
        <w:t>a</w:t>
      </w:r>
      <w:r>
        <w:rPr>
          <w:spacing w:val="-17"/>
        </w:rPr>
        <w:t xml:space="preserve"> </w:t>
      </w:r>
      <w:r>
        <w:t>career</w:t>
      </w:r>
      <w:r>
        <w:rPr>
          <w:spacing w:val="-18"/>
        </w:rPr>
        <w:t xml:space="preserve"> </w:t>
      </w:r>
      <w:r>
        <w:t>that</w:t>
      </w:r>
      <w:r>
        <w:rPr>
          <w:spacing w:val="-17"/>
        </w:rPr>
        <w:t xml:space="preserve"> </w:t>
      </w:r>
      <w:r>
        <w:t>he</w:t>
      </w:r>
      <w:r>
        <w:rPr>
          <w:spacing w:val="-18"/>
        </w:rPr>
        <w:t xml:space="preserve"> </w:t>
      </w:r>
      <w:r>
        <w:t>enjoys</w:t>
      </w:r>
      <w:r>
        <w:rPr>
          <w:spacing w:val="-17"/>
        </w:rPr>
        <w:t xml:space="preserve"> </w:t>
      </w:r>
      <w:r>
        <w:t>and</w:t>
      </w:r>
      <w:r>
        <w:rPr>
          <w:spacing w:val="-18"/>
        </w:rPr>
        <w:t xml:space="preserve"> </w:t>
      </w:r>
      <w:r>
        <w:t>he</w:t>
      </w:r>
      <w:r>
        <w:rPr>
          <w:spacing w:val="-17"/>
        </w:rPr>
        <w:t xml:space="preserve"> </w:t>
      </w:r>
      <w:r>
        <w:t>depends</w:t>
      </w:r>
      <w:r>
        <w:rPr>
          <w:spacing w:val="-18"/>
        </w:rPr>
        <w:t xml:space="preserve"> </w:t>
      </w:r>
      <w:r>
        <w:t>on.</w:t>
      </w:r>
      <w:r>
        <w:rPr>
          <w:spacing w:val="-17"/>
        </w:rPr>
        <w:t xml:space="preserve"> </w:t>
      </w:r>
      <w:r>
        <w:t>So</w:t>
      </w:r>
      <w:r>
        <w:rPr>
          <w:spacing w:val="-18"/>
        </w:rPr>
        <w:t xml:space="preserve"> </w:t>
      </w:r>
      <w:r>
        <w:t>it</w:t>
      </w:r>
      <w:r>
        <w:rPr>
          <w:spacing w:val="-17"/>
        </w:rPr>
        <w:t xml:space="preserve"> </w:t>
      </w:r>
      <w:r>
        <w:t>would</w:t>
      </w:r>
      <w:r>
        <w:rPr>
          <w:spacing w:val="-18"/>
        </w:rPr>
        <w:t xml:space="preserve"> </w:t>
      </w:r>
      <w:r>
        <w:t xml:space="preserve">be </w:t>
      </w:r>
      <w:r>
        <w:rPr>
          <w:spacing w:val="-2"/>
        </w:rPr>
        <w:t>inconvenient</w:t>
      </w:r>
      <w:r>
        <w:rPr>
          <w:spacing w:val="-17"/>
        </w:rPr>
        <w:t xml:space="preserve"> </w:t>
      </w:r>
      <w:r>
        <w:rPr>
          <w:spacing w:val="-2"/>
        </w:rPr>
        <w:t>for</w:t>
      </w:r>
      <w:r>
        <w:rPr>
          <w:spacing w:val="-17"/>
        </w:rPr>
        <w:t xml:space="preserve"> </w:t>
      </w:r>
      <w:r>
        <w:rPr>
          <w:spacing w:val="-2"/>
        </w:rPr>
        <w:t>him</w:t>
      </w:r>
      <w:r>
        <w:rPr>
          <w:spacing w:val="-17"/>
        </w:rPr>
        <w:t xml:space="preserve"> </w:t>
      </w:r>
      <w:r>
        <w:rPr>
          <w:spacing w:val="-2"/>
        </w:rPr>
        <w:t>to</w:t>
      </w:r>
      <w:r>
        <w:rPr>
          <w:spacing w:val="-15"/>
        </w:rPr>
        <w:t xml:space="preserve"> </w:t>
      </w:r>
      <w:r>
        <w:rPr>
          <w:spacing w:val="-2"/>
        </w:rPr>
        <w:t>become</w:t>
      </w:r>
      <w:r>
        <w:rPr>
          <w:spacing w:val="-16"/>
        </w:rPr>
        <w:t xml:space="preserve"> </w:t>
      </w:r>
      <w:r>
        <w:rPr>
          <w:spacing w:val="-2"/>
        </w:rPr>
        <w:t>a</w:t>
      </w:r>
      <w:r>
        <w:rPr>
          <w:spacing w:val="-16"/>
        </w:rPr>
        <w:t xml:space="preserve"> </w:t>
      </w:r>
      <w:r>
        <w:rPr>
          <w:spacing w:val="-2"/>
        </w:rPr>
        <w:t>pilot,</w:t>
      </w:r>
      <w:r>
        <w:rPr>
          <w:spacing w:val="-16"/>
        </w:rPr>
        <w:t xml:space="preserve"> </w:t>
      </w:r>
      <w:r>
        <w:rPr>
          <w:spacing w:val="-2"/>
        </w:rPr>
        <w:t>and</w:t>
      </w:r>
      <w:r>
        <w:rPr>
          <w:spacing w:val="-16"/>
        </w:rPr>
        <w:t xml:space="preserve"> </w:t>
      </w:r>
      <w:r>
        <w:rPr>
          <w:spacing w:val="-2"/>
        </w:rPr>
        <w:t>he</w:t>
      </w:r>
      <w:r>
        <w:rPr>
          <w:spacing w:val="-16"/>
        </w:rPr>
        <w:t xml:space="preserve"> </w:t>
      </w:r>
      <w:r>
        <w:rPr>
          <w:spacing w:val="-2"/>
        </w:rPr>
        <w:t>would</w:t>
      </w:r>
      <w:r>
        <w:rPr>
          <w:spacing w:val="-16"/>
        </w:rPr>
        <w:t xml:space="preserve"> </w:t>
      </w:r>
      <w:r>
        <w:rPr>
          <w:spacing w:val="-2"/>
        </w:rPr>
        <w:t>derive</w:t>
      </w:r>
      <w:r>
        <w:rPr>
          <w:spacing w:val="-16"/>
        </w:rPr>
        <w:t xml:space="preserve"> </w:t>
      </w:r>
      <w:r>
        <w:rPr>
          <w:spacing w:val="-2"/>
        </w:rPr>
        <w:t>no</w:t>
      </w:r>
      <w:r>
        <w:rPr>
          <w:spacing w:val="-16"/>
        </w:rPr>
        <w:t xml:space="preserve"> </w:t>
      </w:r>
      <w:r>
        <w:rPr>
          <w:spacing w:val="-2"/>
        </w:rPr>
        <w:t>pleasure</w:t>
      </w:r>
      <w:r>
        <w:rPr>
          <w:spacing w:val="-16"/>
        </w:rPr>
        <w:t xml:space="preserve"> </w:t>
      </w:r>
      <w:r>
        <w:rPr>
          <w:spacing w:val="-2"/>
        </w:rPr>
        <w:t>from</w:t>
      </w:r>
      <w:r>
        <w:rPr>
          <w:spacing w:val="-17"/>
        </w:rPr>
        <w:t xml:space="preserve"> </w:t>
      </w:r>
      <w:r>
        <w:rPr>
          <w:spacing w:val="-2"/>
        </w:rPr>
        <w:t xml:space="preserve">it. </w:t>
      </w:r>
      <w:r>
        <w:t>He</w:t>
      </w:r>
      <w:r>
        <w:rPr>
          <w:spacing w:val="-18"/>
        </w:rPr>
        <w:t xml:space="preserve"> </w:t>
      </w:r>
      <w:r>
        <w:t>knows</w:t>
      </w:r>
      <w:r>
        <w:rPr>
          <w:spacing w:val="-18"/>
        </w:rPr>
        <w:t xml:space="preserve"> </w:t>
      </w:r>
      <w:r>
        <w:t>all</w:t>
      </w:r>
      <w:r>
        <w:rPr>
          <w:spacing w:val="-18"/>
        </w:rPr>
        <w:t xml:space="preserve"> </w:t>
      </w:r>
      <w:r>
        <w:t>of</w:t>
      </w:r>
      <w:r>
        <w:rPr>
          <w:spacing w:val="-18"/>
        </w:rPr>
        <w:t xml:space="preserve"> </w:t>
      </w:r>
      <w:r>
        <w:t>this.</w:t>
      </w:r>
      <w:r>
        <w:rPr>
          <w:spacing w:val="-18"/>
        </w:rPr>
        <w:t xml:space="preserve"> </w:t>
      </w:r>
      <w:r>
        <w:t>Nonetheless,</w:t>
      </w:r>
      <w:r>
        <w:rPr>
          <w:spacing w:val="-18"/>
        </w:rPr>
        <w:t xml:space="preserve"> </w:t>
      </w:r>
      <w:r>
        <w:t>he</w:t>
      </w:r>
      <w:r>
        <w:rPr>
          <w:spacing w:val="-17"/>
        </w:rPr>
        <w:t xml:space="preserve"> </w:t>
      </w:r>
      <w:r>
        <w:t>makes</w:t>
      </w:r>
      <w:r>
        <w:rPr>
          <w:spacing w:val="-17"/>
        </w:rPr>
        <w:t xml:space="preserve"> </w:t>
      </w:r>
      <w:r>
        <w:t>this</w:t>
      </w:r>
      <w:r>
        <w:rPr>
          <w:spacing w:val="-17"/>
        </w:rPr>
        <w:t xml:space="preserve"> </w:t>
      </w:r>
      <w:r>
        <w:t>choice.</w:t>
      </w:r>
      <w:r>
        <w:rPr>
          <w:spacing w:val="-17"/>
        </w:rPr>
        <w:t xml:space="preserve"> </w:t>
      </w:r>
      <w:r>
        <w:t>It</w:t>
      </w:r>
      <w:r>
        <w:rPr>
          <w:spacing w:val="-18"/>
        </w:rPr>
        <w:t xml:space="preserve"> </w:t>
      </w:r>
      <w:r>
        <w:t>just</w:t>
      </w:r>
      <w:r>
        <w:rPr>
          <w:spacing w:val="-18"/>
        </w:rPr>
        <w:t xml:space="preserve"> </w:t>
      </w:r>
      <w:r>
        <w:t>comes</w:t>
      </w:r>
      <w:r>
        <w:rPr>
          <w:spacing w:val="-17"/>
        </w:rPr>
        <w:t xml:space="preserve"> </w:t>
      </w:r>
      <w:r>
        <w:t>out</w:t>
      </w:r>
      <w:r>
        <w:rPr>
          <w:spacing w:val="-18"/>
        </w:rPr>
        <w:t xml:space="preserve"> </w:t>
      </w:r>
      <w:r>
        <w:t>of</w:t>
      </w:r>
      <w:r>
        <w:rPr>
          <w:spacing w:val="-17"/>
        </w:rPr>
        <w:t xml:space="preserve"> </w:t>
      </w:r>
      <w:r>
        <w:t xml:space="preserve">the </w:t>
      </w:r>
      <w:r>
        <w:rPr>
          <w:spacing w:val="-2"/>
        </w:rPr>
        <w:t>blue.</w:t>
      </w:r>
    </w:p>
    <w:p w14:paraId="7E001C39" w14:textId="77777777" w:rsidR="009A58DB" w:rsidRDefault="00000000">
      <w:pPr>
        <w:pStyle w:val="BodyText"/>
        <w:spacing w:before="11" w:line="249" w:lineRule="auto"/>
        <w:ind w:right="359" w:firstLine="360"/>
      </w:pPr>
      <w:r>
        <w:t>Was</w:t>
      </w:r>
      <w:r>
        <w:rPr>
          <w:spacing w:val="-19"/>
        </w:rPr>
        <w:t xml:space="preserve"> </w:t>
      </w:r>
      <w:r>
        <w:t>this</w:t>
      </w:r>
      <w:r>
        <w:rPr>
          <w:spacing w:val="-13"/>
        </w:rPr>
        <w:t xml:space="preserve"> </w:t>
      </w:r>
      <w:r>
        <w:t>choice</w:t>
      </w:r>
      <w:r>
        <w:rPr>
          <w:spacing w:val="-10"/>
        </w:rPr>
        <w:t xml:space="preserve"> </w:t>
      </w:r>
      <w:r>
        <w:t>made</w:t>
      </w:r>
      <w:r>
        <w:rPr>
          <w:spacing w:val="-19"/>
        </w:rPr>
        <w:t xml:space="preserve"> </w:t>
      </w:r>
      <w:r>
        <w:rPr>
          <w:i/>
        </w:rPr>
        <w:t>freely?</w:t>
      </w:r>
      <w:r>
        <w:rPr>
          <w:i/>
          <w:spacing w:val="-19"/>
        </w:rPr>
        <w:t xml:space="preserve"> </w:t>
      </w:r>
      <w:r>
        <w:t>It</w:t>
      </w:r>
      <w:r>
        <w:rPr>
          <w:spacing w:val="-14"/>
        </w:rPr>
        <w:t xml:space="preserve"> </w:t>
      </w:r>
      <w:r>
        <w:t>doesn’t</w:t>
      </w:r>
      <w:r>
        <w:rPr>
          <w:spacing w:val="-14"/>
        </w:rPr>
        <w:t xml:space="preserve"> </w:t>
      </w:r>
      <w:r>
        <w:t>seem</w:t>
      </w:r>
      <w:r>
        <w:rPr>
          <w:spacing w:val="-14"/>
        </w:rPr>
        <w:t xml:space="preserve"> </w:t>
      </w:r>
      <w:r>
        <w:t>like</w:t>
      </w:r>
      <w:r>
        <w:rPr>
          <w:spacing w:val="-14"/>
        </w:rPr>
        <w:t xml:space="preserve"> </w:t>
      </w:r>
      <w:r>
        <w:t>it.</w:t>
      </w:r>
      <w:r>
        <w:rPr>
          <w:spacing w:val="-14"/>
        </w:rPr>
        <w:t xml:space="preserve"> </w:t>
      </w:r>
      <w:r>
        <w:t>It</w:t>
      </w:r>
      <w:r>
        <w:rPr>
          <w:spacing w:val="-14"/>
        </w:rPr>
        <w:t xml:space="preserve"> </w:t>
      </w:r>
      <w:r>
        <w:t>actually</w:t>
      </w:r>
      <w:r>
        <w:rPr>
          <w:spacing w:val="-14"/>
        </w:rPr>
        <w:t xml:space="preserve"> </w:t>
      </w:r>
      <w:r>
        <w:t>seems</w:t>
      </w:r>
      <w:r>
        <w:rPr>
          <w:spacing w:val="-14"/>
        </w:rPr>
        <w:t xml:space="preserve"> </w:t>
      </w:r>
      <w:r>
        <w:t xml:space="preserve">rather </w:t>
      </w:r>
      <w:r>
        <w:rPr>
          <w:i/>
        </w:rPr>
        <w:t>compulsive</w:t>
      </w:r>
      <w:r>
        <w:t>—like</w:t>
      </w:r>
      <w:r>
        <w:rPr>
          <w:spacing w:val="-13"/>
        </w:rPr>
        <w:t xml:space="preserve"> </w:t>
      </w:r>
      <w:r>
        <w:t>something</w:t>
      </w:r>
      <w:r>
        <w:rPr>
          <w:spacing w:val="-13"/>
        </w:rPr>
        <w:t xml:space="preserve"> </w:t>
      </w:r>
      <w:r>
        <w:t>that</w:t>
      </w:r>
      <w:r>
        <w:rPr>
          <w:spacing w:val="-13"/>
        </w:rPr>
        <w:t xml:space="preserve"> </w:t>
      </w:r>
      <w:r>
        <w:t>just</w:t>
      </w:r>
      <w:r>
        <w:rPr>
          <w:spacing w:val="-13"/>
        </w:rPr>
        <w:t xml:space="preserve"> </w:t>
      </w:r>
      <w:r>
        <w:t>overcame</w:t>
      </w:r>
      <w:r>
        <w:rPr>
          <w:spacing w:val="-13"/>
        </w:rPr>
        <w:t xml:space="preserve"> </w:t>
      </w:r>
      <w:r>
        <w:t>Smith.</w:t>
      </w:r>
      <w:r>
        <w:rPr>
          <w:spacing w:val="-13"/>
        </w:rPr>
        <w:t xml:space="preserve"> </w:t>
      </w:r>
      <w:r>
        <w:t>Suppose</w:t>
      </w:r>
      <w:r>
        <w:rPr>
          <w:spacing w:val="-13"/>
        </w:rPr>
        <w:t xml:space="preserve"> </w:t>
      </w:r>
      <w:r>
        <w:t>that</w:t>
      </w:r>
      <w:r>
        <w:rPr>
          <w:spacing w:val="-13"/>
        </w:rPr>
        <w:t xml:space="preserve"> </w:t>
      </w:r>
      <w:r>
        <w:t xml:space="preserve">“choices” similar to the one just described were a frequent occurrence in Smith’s </w:t>
      </w:r>
      <w:r>
        <w:rPr>
          <w:spacing w:val="-2"/>
        </w:rPr>
        <w:t>psychological</w:t>
      </w:r>
      <w:r>
        <w:rPr>
          <w:spacing w:val="-17"/>
        </w:rPr>
        <w:t xml:space="preserve"> </w:t>
      </w:r>
      <w:r>
        <w:rPr>
          <w:spacing w:val="-2"/>
        </w:rPr>
        <w:t>life.</w:t>
      </w:r>
      <w:r>
        <w:rPr>
          <w:spacing w:val="-17"/>
        </w:rPr>
        <w:t xml:space="preserve"> </w:t>
      </w:r>
      <w:r>
        <w:rPr>
          <w:spacing w:val="-2"/>
        </w:rPr>
        <w:t>Would</w:t>
      </w:r>
      <w:r>
        <w:rPr>
          <w:spacing w:val="-17"/>
        </w:rPr>
        <w:t xml:space="preserve"> </w:t>
      </w:r>
      <w:r>
        <w:rPr>
          <w:spacing w:val="-2"/>
        </w:rPr>
        <w:t>we</w:t>
      </w:r>
      <w:r>
        <w:rPr>
          <w:spacing w:val="-16"/>
        </w:rPr>
        <w:t xml:space="preserve"> </w:t>
      </w:r>
      <w:r>
        <w:rPr>
          <w:spacing w:val="-2"/>
        </w:rPr>
        <w:t>say</w:t>
      </w:r>
      <w:r>
        <w:rPr>
          <w:spacing w:val="-17"/>
        </w:rPr>
        <w:t xml:space="preserve"> </w:t>
      </w:r>
      <w:r>
        <w:rPr>
          <w:spacing w:val="-2"/>
        </w:rPr>
        <w:t>that</w:t>
      </w:r>
      <w:r>
        <w:rPr>
          <w:spacing w:val="-17"/>
        </w:rPr>
        <w:t xml:space="preserve"> </w:t>
      </w:r>
      <w:r>
        <w:rPr>
          <w:spacing w:val="-2"/>
        </w:rPr>
        <w:t>Smith</w:t>
      </w:r>
      <w:r>
        <w:rPr>
          <w:spacing w:val="-17"/>
        </w:rPr>
        <w:t xml:space="preserve"> </w:t>
      </w:r>
      <w:r>
        <w:rPr>
          <w:spacing w:val="-2"/>
        </w:rPr>
        <w:t>was</w:t>
      </w:r>
      <w:r>
        <w:rPr>
          <w:spacing w:val="-16"/>
        </w:rPr>
        <w:t xml:space="preserve"> </w:t>
      </w:r>
      <w:r>
        <w:rPr>
          <w:spacing w:val="-2"/>
        </w:rPr>
        <w:t>“free”?</w:t>
      </w:r>
      <w:r>
        <w:rPr>
          <w:spacing w:val="-17"/>
        </w:rPr>
        <w:t xml:space="preserve"> </w:t>
      </w:r>
      <w:r>
        <w:rPr>
          <w:spacing w:val="-2"/>
        </w:rPr>
        <w:t>No.</w:t>
      </w:r>
      <w:r>
        <w:rPr>
          <w:spacing w:val="-17"/>
        </w:rPr>
        <w:t xml:space="preserve"> </w:t>
      </w:r>
      <w:r>
        <w:rPr>
          <w:spacing w:val="-2"/>
        </w:rPr>
        <w:t>We’d</w:t>
      </w:r>
      <w:r>
        <w:rPr>
          <w:spacing w:val="-17"/>
        </w:rPr>
        <w:t xml:space="preserve"> </w:t>
      </w:r>
      <w:r>
        <w:rPr>
          <w:spacing w:val="-2"/>
        </w:rPr>
        <w:t>describe</w:t>
      </w:r>
      <w:r>
        <w:rPr>
          <w:spacing w:val="-16"/>
        </w:rPr>
        <w:t xml:space="preserve"> </w:t>
      </w:r>
      <w:r>
        <w:rPr>
          <w:spacing w:val="-2"/>
        </w:rPr>
        <w:t xml:space="preserve">him </w:t>
      </w:r>
      <w:r>
        <w:t>as</w:t>
      </w:r>
      <w:r>
        <w:rPr>
          <w:spacing w:val="-18"/>
        </w:rPr>
        <w:t xml:space="preserve"> </w:t>
      </w:r>
      <w:r>
        <w:t>having</w:t>
      </w:r>
      <w:r>
        <w:rPr>
          <w:spacing w:val="-17"/>
        </w:rPr>
        <w:t xml:space="preserve"> </w:t>
      </w:r>
      <w:r>
        <w:t>a</w:t>
      </w:r>
      <w:r>
        <w:rPr>
          <w:spacing w:val="-17"/>
        </w:rPr>
        <w:t xml:space="preserve"> </w:t>
      </w:r>
      <w:r>
        <w:t>kind</w:t>
      </w:r>
      <w:r>
        <w:rPr>
          <w:spacing w:val="-17"/>
        </w:rPr>
        <w:t xml:space="preserve"> </w:t>
      </w:r>
      <w:r>
        <w:t>of</w:t>
      </w:r>
      <w:r>
        <w:rPr>
          <w:spacing w:val="-17"/>
        </w:rPr>
        <w:t xml:space="preserve"> </w:t>
      </w:r>
      <w:r>
        <w:t>disorder.</w:t>
      </w:r>
      <w:r>
        <w:rPr>
          <w:spacing w:val="-19"/>
        </w:rPr>
        <w:t xml:space="preserve"> </w:t>
      </w:r>
      <w:r>
        <w:t>We’d</w:t>
      </w:r>
      <w:r>
        <w:rPr>
          <w:spacing w:val="-16"/>
        </w:rPr>
        <w:t xml:space="preserve"> </w:t>
      </w:r>
      <w:r>
        <w:t>describe</w:t>
      </w:r>
      <w:r>
        <w:rPr>
          <w:spacing w:val="-16"/>
        </w:rPr>
        <w:t xml:space="preserve"> </w:t>
      </w:r>
      <w:r>
        <w:t>the</w:t>
      </w:r>
      <w:r>
        <w:rPr>
          <w:spacing w:val="-16"/>
        </w:rPr>
        <w:t xml:space="preserve"> </w:t>
      </w:r>
      <w:r>
        <w:t>fact</w:t>
      </w:r>
      <w:r>
        <w:rPr>
          <w:spacing w:val="-17"/>
        </w:rPr>
        <w:t xml:space="preserve"> </w:t>
      </w:r>
      <w:r>
        <w:t>that</w:t>
      </w:r>
      <w:r>
        <w:rPr>
          <w:spacing w:val="-17"/>
        </w:rPr>
        <w:t xml:space="preserve"> </w:t>
      </w:r>
      <w:r>
        <w:t>he</w:t>
      </w:r>
      <w:r>
        <w:rPr>
          <w:spacing w:val="-16"/>
        </w:rPr>
        <w:t xml:space="preserve"> </w:t>
      </w:r>
      <w:r>
        <w:t>was</w:t>
      </w:r>
      <w:r>
        <w:rPr>
          <w:spacing w:val="-16"/>
        </w:rPr>
        <w:t xml:space="preserve"> </w:t>
      </w:r>
      <w:r>
        <w:t>visited</w:t>
      </w:r>
      <w:r>
        <w:rPr>
          <w:spacing w:val="-16"/>
        </w:rPr>
        <w:t xml:space="preserve"> </w:t>
      </w:r>
      <w:r>
        <w:t>by</w:t>
      </w:r>
      <w:r>
        <w:rPr>
          <w:spacing w:val="-16"/>
        </w:rPr>
        <w:t xml:space="preserve"> </w:t>
      </w:r>
      <w:r>
        <w:t>these strange</w:t>
      </w:r>
      <w:r>
        <w:rPr>
          <w:spacing w:val="19"/>
        </w:rPr>
        <w:t xml:space="preserve"> </w:t>
      </w:r>
      <w:r>
        <w:t>compulsions</w:t>
      </w:r>
      <w:r>
        <w:rPr>
          <w:spacing w:val="19"/>
        </w:rPr>
        <w:t xml:space="preserve"> </w:t>
      </w:r>
      <w:r>
        <w:t>as</w:t>
      </w:r>
      <w:r>
        <w:rPr>
          <w:spacing w:val="19"/>
        </w:rPr>
        <w:t xml:space="preserve"> </w:t>
      </w:r>
      <w:r>
        <w:t>indicative</w:t>
      </w:r>
      <w:r>
        <w:rPr>
          <w:spacing w:val="19"/>
        </w:rPr>
        <w:t xml:space="preserve"> </w:t>
      </w:r>
      <w:r>
        <w:t>of</w:t>
      </w:r>
      <w:r>
        <w:rPr>
          <w:spacing w:val="19"/>
        </w:rPr>
        <w:t xml:space="preserve"> </w:t>
      </w:r>
      <w:r>
        <w:t>a</w:t>
      </w:r>
      <w:r>
        <w:rPr>
          <w:spacing w:val="19"/>
        </w:rPr>
        <w:t xml:space="preserve"> </w:t>
      </w:r>
      <w:r>
        <w:t>lack</w:t>
      </w:r>
      <w:r>
        <w:rPr>
          <w:spacing w:val="19"/>
        </w:rPr>
        <w:t xml:space="preserve"> </w:t>
      </w:r>
      <w:r>
        <w:t>of</w:t>
      </w:r>
      <w:r>
        <w:rPr>
          <w:spacing w:val="19"/>
        </w:rPr>
        <w:t xml:space="preserve"> </w:t>
      </w:r>
      <w:r>
        <w:t>psychological</w:t>
      </w:r>
      <w:r>
        <w:rPr>
          <w:spacing w:val="19"/>
        </w:rPr>
        <w:t xml:space="preserve"> </w:t>
      </w:r>
      <w:r>
        <w:t>integrity</w:t>
      </w:r>
      <w:r>
        <w:rPr>
          <w:spacing w:val="19"/>
        </w:rPr>
        <w:t xml:space="preserve"> </w:t>
      </w:r>
      <w:r>
        <w:t>on</w:t>
      </w:r>
      <w:r>
        <w:rPr>
          <w:spacing w:val="19"/>
        </w:rPr>
        <w:t xml:space="preserve"> </w:t>
      </w:r>
      <w:r>
        <w:t>his</w:t>
      </w:r>
    </w:p>
    <w:p w14:paraId="7E001C3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3B" w14:textId="77777777" w:rsidR="009A58DB" w:rsidRDefault="00000000">
      <w:pPr>
        <w:pStyle w:val="BodyText"/>
        <w:spacing w:before="60" w:line="249" w:lineRule="auto"/>
        <w:ind w:right="372"/>
      </w:pPr>
      <w:r>
        <w:lastRenderedPageBreak/>
        <w:t>part;</w:t>
      </w:r>
      <w:r>
        <w:rPr>
          <w:spacing w:val="-19"/>
        </w:rPr>
        <w:t xml:space="preserve"> </w:t>
      </w:r>
      <w:r>
        <w:t>and</w:t>
      </w:r>
      <w:r>
        <w:rPr>
          <w:spacing w:val="-19"/>
        </w:rPr>
        <w:t xml:space="preserve"> </w:t>
      </w:r>
      <w:r>
        <w:t>see</w:t>
      </w:r>
      <w:r>
        <w:rPr>
          <w:spacing w:val="-19"/>
        </w:rPr>
        <w:t xml:space="preserve"> </w:t>
      </w:r>
      <w:r>
        <w:t>his</w:t>
      </w:r>
      <w:r>
        <w:rPr>
          <w:spacing w:val="-17"/>
        </w:rPr>
        <w:t xml:space="preserve"> </w:t>
      </w:r>
      <w:r>
        <w:t>submission</w:t>
      </w:r>
      <w:r>
        <w:rPr>
          <w:spacing w:val="-17"/>
        </w:rPr>
        <w:t xml:space="preserve"> </w:t>
      </w:r>
      <w:r>
        <w:t>to</w:t>
      </w:r>
      <w:r>
        <w:rPr>
          <w:spacing w:val="-17"/>
        </w:rPr>
        <w:t xml:space="preserve"> </w:t>
      </w:r>
      <w:r>
        <w:t>these</w:t>
      </w:r>
      <w:r>
        <w:rPr>
          <w:spacing w:val="-17"/>
        </w:rPr>
        <w:t xml:space="preserve"> </w:t>
      </w:r>
      <w:r>
        <w:t>forces</w:t>
      </w:r>
      <w:r>
        <w:rPr>
          <w:spacing w:val="-17"/>
        </w:rPr>
        <w:t xml:space="preserve"> </w:t>
      </w:r>
      <w:r>
        <w:t>as</w:t>
      </w:r>
      <w:r>
        <w:rPr>
          <w:spacing w:val="-17"/>
        </w:rPr>
        <w:t xml:space="preserve"> </w:t>
      </w:r>
      <w:r>
        <w:t>showing</w:t>
      </w:r>
      <w:r>
        <w:rPr>
          <w:spacing w:val="-17"/>
        </w:rPr>
        <w:t xml:space="preserve"> </w:t>
      </w:r>
      <w:r>
        <w:t>a</w:t>
      </w:r>
      <w:r>
        <w:rPr>
          <w:spacing w:val="-19"/>
        </w:rPr>
        <w:t xml:space="preserve"> </w:t>
      </w:r>
      <w:r>
        <w:rPr>
          <w:i/>
        </w:rPr>
        <w:t>lack</w:t>
      </w:r>
      <w:r>
        <w:rPr>
          <w:i/>
          <w:spacing w:val="-19"/>
        </w:rPr>
        <w:t xml:space="preserve"> </w:t>
      </w:r>
      <w:r>
        <w:t>of</w:t>
      </w:r>
      <w:r>
        <w:rPr>
          <w:spacing w:val="-19"/>
        </w:rPr>
        <w:t xml:space="preserve"> </w:t>
      </w:r>
      <w:r>
        <w:t>freedom</w:t>
      </w:r>
      <w:r>
        <w:rPr>
          <w:spacing w:val="-18"/>
        </w:rPr>
        <w:t xml:space="preserve"> </w:t>
      </w:r>
      <w:r>
        <w:t>on</w:t>
      </w:r>
      <w:r>
        <w:rPr>
          <w:spacing w:val="-19"/>
        </w:rPr>
        <w:t xml:space="preserve"> </w:t>
      </w:r>
      <w:r>
        <w:t>his part.</w:t>
      </w:r>
      <w:r>
        <w:rPr>
          <w:spacing w:val="-19"/>
        </w:rPr>
        <w:t xml:space="preserve"> </w:t>
      </w:r>
      <w:r>
        <w:t>Smith</w:t>
      </w:r>
      <w:r>
        <w:rPr>
          <w:spacing w:val="-19"/>
        </w:rPr>
        <w:t xml:space="preserve"> </w:t>
      </w:r>
      <w:r>
        <w:t>is</w:t>
      </w:r>
      <w:r>
        <w:rPr>
          <w:spacing w:val="-19"/>
        </w:rPr>
        <w:t xml:space="preserve"> </w:t>
      </w:r>
      <w:r>
        <w:t>a</w:t>
      </w:r>
      <w:r>
        <w:rPr>
          <w:spacing w:val="-18"/>
        </w:rPr>
        <w:t xml:space="preserve"> </w:t>
      </w:r>
      <w:r>
        <w:t>puppet</w:t>
      </w:r>
      <w:r>
        <w:rPr>
          <w:spacing w:val="-19"/>
        </w:rPr>
        <w:t xml:space="preserve"> </w:t>
      </w:r>
      <w:r>
        <w:t>dancing</w:t>
      </w:r>
      <w:r>
        <w:rPr>
          <w:spacing w:val="-19"/>
        </w:rPr>
        <w:t xml:space="preserve"> </w:t>
      </w:r>
      <w:r>
        <w:t>at</w:t>
      </w:r>
      <w:r>
        <w:rPr>
          <w:spacing w:val="-19"/>
        </w:rPr>
        <w:t xml:space="preserve"> </w:t>
      </w:r>
      <w:r>
        <w:t>the</w:t>
      </w:r>
      <w:r>
        <w:rPr>
          <w:spacing w:val="-18"/>
        </w:rPr>
        <w:t xml:space="preserve"> </w:t>
      </w:r>
      <w:r>
        <w:t>end</w:t>
      </w:r>
      <w:r>
        <w:rPr>
          <w:spacing w:val="-19"/>
        </w:rPr>
        <w:t xml:space="preserve"> </w:t>
      </w:r>
      <w:r>
        <w:t>of</w:t>
      </w:r>
      <w:r>
        <w:rPr>
          <w:spacing w:val="-19"/>
        </w:rPr>
        <w:t xml:space="preserve"> </w:t>
      </w:r>
      <w:r>
        <w:t>strings</w:t>
      </w:r>
      <w:r>
        <w:rPr>
          <w:spacing w:val="-19"/>
        </w:rPr>
        <w:t xml:space="preserve"> </w:t>
      </w:r>
      <w:r>
        <w:t>pulled</w:t>
      </w:r>
      <w:r>
        <w:rPr>
          <w:spacing w:val="-18"/>
        </w:rPr>
        <w:t xml:space="preserve"> </w:t>
      </w:r>
      <w:r>
        <w:t>by</w:t>
      </w:r>
      <w:r>
        <w:rPr>
          <w:spacing w:val="-19"/>
        </w:rPr>
        <w:t xml:space="preserve"> </w:t>
      </w:r>
      <w:r>
        <w:t>psychopathology.</w:t>
      </w:r>
    </w:p>
    <w:p w14:paraId="7E001C3C" w14:textId="77777777" w:rsidR="009A58DB" w:rsidRDefault="00000000">
      <w:pPr>
        <w:pStyle w:val="BodyText"/>
        <w:spacing w:before="7" w:line="249" w:lineRule="auto"/>
        <w:ind w:right="358" w:firstLine="360"/>
      </w:pPr>
      <w:r>
        <w:t>This</w:t>
      </w:r>
      <w:r>
        <w:rPr>
          <w:spacing w:val="-11"/>
        </w:rPr>
        <w:t xml:space="preserve"> </w:t>
      </w:r>
      <w:r>
        <w:t>suggests</w:t>
      </w:r>
      <w:r>
        <w:rPr>
          <w:spacing w:val="-11"/>
        </w:rPr>
        <w:t xml:space="preserve"> </w:t>
      </w:r>
      <w:r>
        <w:t>that,</w:t>
      </w:r>
      <w:r>
        <w:rPr>
          <w:spacing w:val="-11"/>
        </w:rPr>
        <w:t xml:space="preserve"> </w:t>
      </w:r>
      <w:r>
        <w:t>in</w:t>
      </w:r>
      <w:r>
        <w:rPr>
          <w:spacing w:val="-11"/>
        </w:rPr>
        <w:t xml:space="preserve"> </w:t>
      </w:r>
      <w:r>
        <w:t>order</w:t>
      </w:r>
      <w:r>
        <w:rPr>
          <w:spacing w:val="-10"/>
        </w:rPr>
        <w:t xml:space="preserve"> </w:t>
      </w:r>
      <w:r>
        <w:t>to</w:t>
      </w:r>
      <w:r>
        <w:rPr>
          <w:spacing w:val="-10"/>
        </w:rPr>
        <w:t xml:space="preserve"> </w:t>
      </w:r>
      <w:r>
        <w:t>be</w:t>
      </w:r>
      <w:r>
        <w:rPr>
          <w:spacing w:val="-10"/>
        </w:rPr>
        <w:t xml:space="preserve"> </w:t>
      </w:r>
      <w:r>
        <w:t>made</w:t>
      </w:r>
      <w:r>
        <w:rPr>
          <w:spacing w:val="-10"/>
        </w:rPr>
        <w:t xml:space="preserve"> </w:t>
      </w:r>
      <w:r>
        <w:t>“freely,”</w:t>
      </w:r>
      <w:r>
        <w:rPr>
          <w:spacing w:val="-10"/>
        </w:rPr>
        <w:t xml:space="preserve"> </w:t>
      </w:r>
      <w:r>
        <w:t>a</w:t>
      </w:r>
      <w:r>
        <w:rPr>
          <w:spacing w:val="-10"/>
        </w:rPr>
        <w:t xml:space="preserve"> </w:t>
      </w:r>
      <w:r>
        <w:t>choice</w:t>
      </w:r>
      <w:r>
        <w:rPr>
          <w:spacing w:val="-10"/>
        </w:rPr>
        <w:t xml:space="preserve"> </w:t>
      </w:r>
      <w:r>
        <w:t>has</w:t>
      </w:r>
      <w:r>
        <w:rPr>
          <w:spacing w:val="-10"/>
        </w:rPr>
        <w:t xml:space="preserve"> </w:t>
      </w:r>
      <w:r>
        <w:t>to</w:t>
      </w:r>
      <w:r>
        <w:rPr>
          <w:spacing w:val="-10"/>
        </w:rPr>
        <w:t xml:space="preserve"> </w:t>
      </w:r>
      <w:r>
        <w:t>be</w:t>
      </w:r>
      <w:r>
        <w:rPr>
          <w:spacing w:val="-10"/>
        </w:rPr>
        <w:t xml:space="preserve"> </w:t>
      </w:r>
      <w:r>
        <w:t>rooted</w:t>
      </w:r>
      <w:r>
        <w:rPr>
          <w:spacing w:val="-10"/>
        </w:rPr>
        <w:t xml:space="preserve"> </w:t>
      </w:r>
      <w:r>
        <w:t xml:space="preserve">in </w:t>
      </w:r>
      <w:r>
        <w:rPr>
          <w:spacing w:val="-4"/>
        </w:rPr>
        <w:t>facts</w:t>
      </w:r>
      <w:r>
        <w:rPr>
          <w:spacing w:val="-12"/>
        </w:rPr>
        <w:t xml:space="preserve"> </w:t>
      </w:r>
      <w:r>
        <w:rPr>
          <w:spacing w:val="-4"/>
        </w:rPr>
        <w:t>about</w:t>
      </w:r>
      <w:r>
        <w:rPr>
          <w:spacing w:val="-13"/>
        </w:rPr>
        <w:t xml:space="preserve"> </w:t>
      </w:r>
      <w:r>
        <w:rPr>
          <w:spacing w:val="-4"/>
        </w:rPr>
        <w:t>one’s</w:t>
      </w:r>
      <w:r>
        <w:rPr>
          <w:spacing w:val="-12"/>
        </w:rPr>
        <w:t xml:space="preserve"> </w:t>
      </w:r>
      <w:r>
        <w:rPr>
          <w:spacing w:val="-4"/>
        </w:rPr>
        <w:t>personality,</w:t>
      </w:r>
      <w:r>
        <w:rPr>
          <w:spacing w:val="-12"/>
        </w:rPr>
        <w:t xml:space="preserve"> </w:t>
      </w:r>
      <w:r>
        <w:rPr>
          <w:spacing w:val="-4"/>
        </w:rPr>
        <w:t>and</w:t>
      </w:r>
      <w:r>
        <w:rPr>
          <w:spacing w:val="-12"/>
        </w:rPr>
        <w:t xml:space="preserve"> </w:t>
      </w:r>
      <w:r>
        <w:rPr>
          <w:spacing w:val="-4"/>
        </w:rPr>
        <w:t>must</w:t>
      </w:r>
      <w:r>
        <w:rPr>
          <w:spacing w:val="-13"/>
        </w:rPr>
        <w:t xml:space="preserve"> </w:t>
      </w:r>
      <w:r>
        <w:rPr>
          <w:spacing w:val="-4"/>
        </w:rPr>
        <w:t>express</w:t>
      </w:r>
      <w:r>
        <w:rPr>
          <w:spacing w:val="-12"/>
        </w:rPr>
        <w:t xml:space="preserve"> </w:t>
      </w:r>
      <w:r>
        <w:rPr>
          <w:spacing w:val="-4"/>
        </w:rPr>
        <w:t>one’s</w:t>
      </w:r>
      <w:r>
        <w:rPr>
          <w:spacing w:val="-12"/>
        </w:rPr>
        <w:t xml:space="preserve"> </w:t>
      </w:r>
      <w:r>
        <w:rPr>
          <w:spacing w:val="-4"/>
        </w:rPr>
        <w:t>values,</w:t>
      </w:r>
      <w:r>
        <w:rPr>
          <w:spacing w:val="-12"/>
        </w:rPr>
        <w:t xml:space="preserve"> </w:t>
      </w:r>
      <w:r>
        <w:rPr>
          <w:spacing w:val="-4"/>
        </w:rPr>
        <w:t>desires,</w:t>
      </w:r>
      <w:r>
        <w:rPr>
          <w:spacing w:val="-12"/>
        </w:rPr>
        <w:t xml:space="preserve"> </w:t>
      </w:r>
      <w:r>
        <w:rPr>
          <w:spacing w:val="-4"/>
        </w:rPr>
        <w:t>beliefs,</w:t>
      </w:r>
      <w:r>
        <w:rPr>
          <w:spacing w:val="-12"/>
        </w:rPr>
        <w:t xml:space="preserve"> </w:t>
      </w:r>
      <w:r>
        <w:rPr>
          <w:spacing w:val="-4"/>
        </w:rPr>
        <w:t xml:space="preserve">and </w:t>
      </w:r>
      <w:r>
        <w:t>previous intentions. A choice that lacks these roots seems to involve a disintegration</w:t>
      </w:r>
      <w:r>
        <w:rPr>
          <w:spacing w:val="-13"/>
        </w:rPr>
        <w:t xml:space="preserve"> </w:t>
      </w:r>
      <w:r>
        <w:t>of</w:t>
      </w:r>
      <w:r>
        <w:rPr>
          <w:spacing w:val="-13"/>
        </w:rPr>
        <w:t xml:space="preserve"> </w:t>
      </w:r>
      <w:r>
        <w:t>the</w:t>
      </w:r>
      <w:r>
        <w:rPr>
          <w:spacing w:val="-13"/>
        </w:rPr>
        <w:t xml:space="preserve"> </w:t>
      </w:r>
      <w:r>
        <w:t>person’s</w:t>
      </w:r>
      <w:r>
        <w:rPr>
          <w:spacing w:val="-13"/>
        </w:rPr>
        <w:t xml:space="preserve"> </w:t>
      </w:r>
      <w:r>
        <w:t>psyche</w:t>
      </w:r>
      <w:r>
        <w:rPr>
          <w:spacing w:val="-13"/>
        </w:rPr>
        <w:t xml:space="preserve"> </w:t>
      </w:r>
      <w:r>
        <w:t>and,</w:t>
      </w:r>
      <w:r>
        <w:rPr>
          <w:spacing w:val="-13"/>
        </w:rPr>
        <w:t xml:space="preserve"> </w:t>
      </w:r>
      <w:r>
        <w:t>paradoxical</w:t>
      </w:r>
      <w:r>
        <w:rPr>
          <w:spacing w:val="-13"/>
        </w:rPr>
        <w:t xml:space="preserve"> </w:t>
      </w:r>
      <w:r>
        <w:t>though</w:t>
      </w:r>
      <w:r>
        <w:rPr>
          <w:spacing w:val="-13"/>
        </w:rPr>
        <w:t xml:space="preserve"> </w:t>
      </w:r>
      <w:r>
        <w:t>this</w:t>
      </w:r>
      <w:r>
        <w:rPr>
          <w:spacing w:val="-13"/>
        </w:rPr>
        <w:t xml:space="preserve"> </w:t>
      </w:r>
      <w:r>
        <w:t>may</w:t>
      </w:r>
      <w:r>
        <w:rPr>
          <w:spacing w:val="-13"/>
        </w:rPr>
        <w:t xml:space="preserve"> </w:t>
      </w:r>
      <w:r>
        <w:t>seem,</w:t>
      </w:r>
      <w:r>
        <w:rPr>
          <w:spacing w:val="-13"/>
        </w:rPr>
        <w:t xml:space="preserve"> </w:t>
      </w:r>
      <w:r>
        <w:t>a consequent diminution of the subject’s freedom. So even if there is indeterminism,</w:t>
      </w:r>
      <w:r>
        <w:rPr>
          <w:spacing w:val="-9"/>
        </w:rPr>
        <w:t xml:space="preserve"> </w:t>
      </w:r>
      <w:r>
        <w:t>it</w:t>
      </w:r>
      <w:r>
        <w:rPr>
          <w:spacing w:val="-9"/>
        </w:rPr>
        <w:t xml:space="preserve"> </w:t>
      </w:r>
      <w:r>
        <w:t>doesn’t</w:t>
      </w:r>
      <w:r>
        <w:rPr>
          <w:spacing w:val="-9"/>
        </w:rPr>
        <w:t xml:space="preserve"> </w:t>
      </w:r>
      <w:r>
        <w:t>help</w:t>
      </w:r>
      <w:r>
        <w:rPr>
          <w:spacing w:val="-9"/>
        </w:rPr>
        <w:t xml:space="preserve"> </w:t>
      </w:r>
      <w:r>
        <w:t>people</w:t>
      </w:r>
      <w:r>
        <w:rPr>
          <w:spacing w:val="-9"/>
        </w:rPr>
        <w:t xml:space="preserve"> </w:t>
      </w:r>
      <w:r>
        <w:t>be</w:t>
      </w:r>
      <w:r>
        <w:rPr>
          <w:spacing w:val="-9"/>
        </w:rPr>
        <w:t xml:space="preserve"> </w:t>
      </w:r>
      <w:r>
        <w:t>free;</w:t>
      </w:r>
      <w:r>
        <w:rPr>
          <w:spacing w:val="-9"/>
        </w:rPr>
        <w:t xml:space="preserve"> </w:t>
      </w:r>
      <w:r>
        <w:t>indeterminism</w:t>
      </w:r>
      <w:r>
        <w:rPr>
          <w:spacing w:val="-9"/>
        </w:rPr>
        <w:t xml:space="preserve"> </w:t>
      </w:r>
      <w:r>
        <w:t>actually</w:t>
      </w:r>
      <w:r>
        <w:rPr>
          <w:spacing w:val="-8"/>
        </w:rPr>
        <w:t xml:space="preserve"> </w:t>
      </w:r>
      <w:r>
        <w:t>seems</w:t>
      </w:r>
      <w:r>
        <w:rPr>
          <w:spacing w:val="-8"/>
        </w:rPr>
        <w:t xml:space="preserve"> </w:t>
      </w:r>
      <w:r>
        <w:t>to hurt our chances of being free.</w:t>
      </w:r>
    </w:p>
    <w:p w14:paraId="7E001C3D" w14:textId="77777777" w:rsidR="009A58DB" w:rsidRDefault="00000000">
      <w:pPr>
        <w:pStyle w:val="BodyText"/>
        <w:spacing w:before="9" w:line="249" w:lineRule="auto"/>
        <w:ind w:right="358" w:firstLine="360"/>
      </w:pPr>
      <w:r>
        <w:t>But to the extent that a choice</w:t>
      </w:r>
      <w:r>
        <w:rPr>
          <w:spacing w:val="-16"/>
        </w:rPr>
        <w:t xml:space="preserve"> </w:t>
      </w:r>
      <w:r>
        <w:rPr>
          <w:i/>
        </w:rPr>
        <w:t>i s</w:t>
      </w:r>
      <w:r>
        <w:rPr>
          <w:i/>
          <w:spacing w:val="-15"/>
        </w:rPr>
        <w:t xml:space="preserve"> </w:t>
      </w:r>
      <w:r>
        <w:t xml:space="preserve">appropriately rooted in a person’s </w:t>
      </w:r>
      <w:r>
        <w:rPr>
          <w:spacing w:val="-2"/>
        </w:rPr>
        <w:t>personality,</w:t>
      </w:r>
      <w:r>
        <w:rPr>
          <w:spacing w:val="-17"/>
        </w:rPr>
        <w:t xml:space="preserve"> </w:t>
      </w:r>
      <w:r>
        <w:rPr>
          <w:spacing w:val="-2"/>
        </w:rPr>
        <w:t>that</w:t>
      </w:r>
      <w:r>
        <w:rPr>
          <w:spacing w:val="-17"/>
        </w:rPr>
        <w:t xml:space="preserve"> </w:t>
      </w:r>
      <w:r>
        <w:rPr>
          <w:spacing w:val="-2"/>
        </w:rPr>
        <w:t>choice</w:t>
      </w:r>
      <w:r>
        <w:rPr>
          <w:spacing w:val="-17"/>
        </w:rPr>
        <w:t xml:space="preserve"> </w:t>
      </w:r>
      <w:r>
        <w:rPr>
          <w:spacing w:val="-2"/>
        </w:rPr>
        <w:t>is</w:t>
      </w:r>
      <w:r>
        <w:rPr>
          <w:spacing w:val="-16"/>
        </w:rPr>
        <w:t xml:space="preserve"> </w:t>
      </w:r>
      <w:r>
        <w:rPr>
          <w:i/>
          <w:spacing w:val="-2"/>
        </w:rPr>
        <w:t>not</w:t>
      </w:r>
      <w:r>
        <w:rPr>
          <w:i/>
          <w:spacing w:val="-17"/>
        </w:rPr>
        <w:t xml:space="preserve"> </w:t>
      </w:r>
      <w:r>
        <w:rPr>
          <w:spacing w:val="-2"/>
        </w:rPr>
        <w:t>the</w:t>
      </w:r>
      <w:r>
        <w:rPr>
          <w:spacing w:val="-15"/>
        </w:rPr>
        <w:t xml:space="preserve"> </w:t>
      </w:r>
      <w:r>
        <w:rPr>
          <w:spacing w:val="-2"/>
        </w:rPr>
        <w:t>result</w:t>
      </w:r>
      <w:r>
        <w:rPr>
          <w:spacing w:val="-15"/>
        </w:rPr>
        <w:t xml:space="preserve"> </w:t>
      </w:r>
      <w:r>
        <w:rPr>
          <w:spacing w:val="-2"/>
        </w:rPr>
        <w:t>of</w:t>
      </w:r>
      <w:r>
        <w:rPr>
          <w:spacing w:val="-15"/>
        </w:rPr>
        <w:t xml:space="preserve"> </w:t>
      </w:r>
      <w:r>
        <w:rPr>
          <w:spacing w:val="-2"/>
        </w:rPr>
        <w:t>indeterminism</w:t>
      </w:r>
      <w:r>
        <w:rPr>
          <w:spacing w:val="-15"/>
        </w:rPr>
        <w:t xml:space="preserve"> </w:t>
      </w:r>
      <w:r>
        <w:rPr>
          <w:spacing w:val="-2"/>
        </w:rPr>
        <w:t>but,</w:t>
      </w:r>
      <w:r>
        <w:rPr>
          <w:spacing w:val="-15"/>
        </w:rPr>
        <w:t xml:space="preserve"> </w:t>
      </w:r>
      <w:r>
        <w:rPr>
          <w:spacing w:val="-2"/>
        </w:rPr>
        <w:t>on</w:t>
      </w:r>
      <w:r>
        <w:rPr>
          <w:spacing w:val="-15"/>
        </w:rPr>
        <w:t xml:space="preserve"> </w:t>
      </w:r>
      <w:r>
        <w:rPr>
          <w:spacing w:val="-2"/>
        </w:rPr>
        <w:t>the</w:t>
      </w:r>
      <w:r>
        <w:rPr>
          <w:spacing w:val="-15"/>
        </w:rPr>
        <w:t xml:space="preserve"> </w:t>
      </w:r>
      <w:r>
        <w:rPr>
          <w:spacing w:val="-2"/>
        </w:rPr>
        <w:t>contrary,</w:t>
      </w:r>
      <w:r>
        <w:rPr>
          <w:spacing w:val="-15"/>
        </w:rPr>
        <w:t xml:space="preserve"> </w:t>
      </w:r>
      <w:r>
        <w:rPr>
          <w:spacing w:val="-2"/>
        </w:rPr>
        <w:t xml:space="preserve">of </w:t>
      </w:r>
      <w:r>
        <w:t>a</w:t>
      </w:r>
      <w:r>
        <w:rPr>
          <w:spacing w:val="-5"/>
        </w:rPr>
        <w:t xml:space="preserve"> </w:t>
      </w:r>
      <w:r>
        <w:t>deterministic</w:t>
      </w:r>
      <w:r>
        <w:rPr>
          <w:spacing w:val="-5"/>
        </w:rPr>
        <w:t xml:space="preserve"> </w:t>
      </w:r>
      <w:r>
        <w:t>structure.</w:t>
      </w:r>
      <w:r>
        <w:rPr>
          <w:spacing w:val="-16"/>
        </w:rPr>
        <w:t xml:space="preserve"> </w:t>
      </w:r>
      <w:r>
        <w:t>And</w:t>
      </w:r>
      <w:r>
        <w:rPr>
          <w:spacing w:val="-5"/>
        </w:rPr>
        <w:t xml:space="preserve"> </w:t>
      </w:r>
      <w:r>
        <w:t>it’s</w:t>
      </w:r>
      <w:r>
        <w:rPr>
          <w:spacing w:val="-5"/>
        </w:rPr>
        <w:t xml:space="preserve"> </w:t>
      </w:r>
      <w:r>
        <w:t>hard</w:t>
      </w:r>
      <w:r>
        <w:rPr>
          <w:spacing w:val="-5"/>
        </w:rPr>
        <w:t xml:space="preserve"> </w:t>
      </w:r>
      <w:r>
        <w:t>to</w:t>
      </w:r>
      <w:r>
        <w:rPr>
          <w:spacing w:val="-5"/>
        </w:rPr>
        <w:t xml:space="preserve"> </w:t>
      </w:r>
      <w:r>
        <w:t>see</w:t>
      </w:r>
      <w:r>
        <w:rPr>
          <w:spacing w:val="-5"/>
        </w:rPr>
        <w:t xml:space="preserve"> </w:t>
      </w:r>
      <w:r>
        <w:t>how,</w:t>
      </w:r>
      <w:r>
        <w:rPr>
          <w:spacing w:val="-5"/>
        </w:rPr>
        <w:t xml:space="preserve"> </w:t>
      </w:r>
      <w:r>
        <w:t>under</w:t>
      </w:r>
      <w:r>
        <w:rPr>
          <w:spacing w:val="-5"/>
        </w:rPr>
        <w:t xml:space="preserve"> </w:t>
      </w:r>
      <w:r>
        <w:t>those</w:t>
      </w:r>
      <w:r>
        <w:rPr>
          <w:spacing w:val="-5"/>
        </w:rPr>
        <w:t xml:space="preserve"> </w:t>
      </w:r>
      <w:r>
        <w:t>circumstances, we</w:t>
      </w:r>
      <w:r>
        <w:rPr>
          <w:spacing w:val="-10"/>
        </w:rPr>
        <w:t xml:space="preserve"> </w:t>
      </w:r>
      <w:r>
        <w:t>could</w:t>
      </w:r>
      <w:r>
        <w:rPr>
          <w:spacing w:val="-10"/>
        </w:rPr>
        <w:t xml:space="preserve"> </w:t>
      </w:r>
      <w:r>
        <w:t>be</w:t>
      </w:r>
      <w:r>
        <w:rPr>
          <w:spacing w:val="-10"/>
        </w:rPr>
        <w:t xml:space="preserve"> </w:t>
      </w:r>
      <w:r>
        <w:t>free.</w:t>
      </w:r>
      <w:r>
        <w:rPr>
          <w:spacing w:val="-10"/>
        </w:rPr>
        <w:t xml:space="preserve"> </w:t>
      </w:r>
      <w:r>
        <w:t>So</w:t>
      </w:r>
      <w:r>
        <w:rPr>
          <w:spacing w:val="-10"/>
        </w:rPr>
        <w:t xml:space="preserve"> </w:t>
      </w:r>
      <w:r>
        <w:t>we’re</w:t>
      </w:r>
      <w:r>
        <w:rPr>
          <w:spacing w:val="-10"/>
        </w:rPr>
        <w:t xml:space="preserve"> </w:t>
      </w:r>
      <w:r>
        <w:t>damned</w:t>
      </w:r>
      <w:r>
        <w:rPr>
          <w:spacing w:val="-10"/>
        </w:rPr>
        <w:t xml:space="preserve"> </w:t>
      </w:r>
      <w:r>
        <w:t>if</w:t>
      </w:r>
      <w:r>
        <w:rPr>
          <w:spacing w:val="-11"/>
        </w:rPr>
        <w:t xml:space="preserve"> </w:t>
      </w:r>
      <w:r>
        <w:t>we</w:t>
      </w:r>
      <w:r>
        <w:rPr>
          <w:spacing w:val="-10"/>
        </w:rPr>
        <w:t xml:space="preserve"> </w:t>
      </w:r>
      <w:r>
        <w:t>do</w:t>
      </w:r>
      <w:r>
        <w:rPr>
          <w:spacing w:val="-10"/>
        </w:rPr>
        <w:t xml:space="preserve"> </w:t>
      </w:r>
      <w:r>
        <w:t>and</w:t>
      </w:r>
      <w:r>
        <w:rPr>
          <w:spacing w:val="-10"/>
        </w:rPr>
        <w:t xml:space="preserve"> </w:t>
      </w:r>
      <w:r>
        <w:t>damned</w:t>
      </w:r>
      <w:r>
        <w:rPr>
          <w:spacing w:val="-10"/>
        </w:rPr>
        <w:t xml:space="preserve"> </w:t>
      </w:r>
      <w:r>
        <w:t>if</w:t>
      </w:r>
      <w:r>
        <w:rPr>
          <w:spacing w:val="-11"/>
        </w:rPr>
        <w:t xml:space="preserve"> </w:t>
      </w:r>
      <w:r>
        <w:t>we</w:t>
      </w:r>
      <w:r>
        <w:rPr>
          <w:spacing w:val="-10"/>
        </w:rPr>
        <w:t xml:space="preserve"> </w:t>
      </w:r>
      <w:r>
        <w:t>don’t!</w:t>
      </w:r>
    </w:p>
    <w:p w14:paraId="7E001C3E" w14:textId="77777777" w:rsidR="009A58DB" w:rsidRDefault="00000000">
      <w:pPr>
        <w:pStyle w:val="Heading1"/>
        <w:numPr>
          <w:ilvl w:val="0"/>
          <w:numId w:val="98"/>
        </w:numPr>
        <w:tabs>
          <w:tab w:val="left" w:pos="990"/>
        </w:tabs>
        <w:spacing w:before="163"/>
        <w:ind w:left="990"/>
        <w:jc w:val="both"/>
      </w:pPr>
      <w:r>
        <w:t>Free</w:t>
      </w:r>
      <w:r>
        <w:rPr>
          <w:spacing w:val="-4"/>
        </w:rPr>
        <w:t xml:space="preserve"> </w:t>
      </w:r>
      <w:r>
        <w:t>will</w:t>
      </w:r>
      <w:r>
        <w:rPr>
          <w:spacing w:val="-4"/>
        </w:rPr>
        <w:t xml:space="preserve"> </w:t>
      </w:r>
      <w:r>
        <w:t>in</w:t>
      </w:r>
      <w:r>
        <w:rPr>
          <w:spacing w:val="-4"/>
        </w:rPr>
        <w:t xml:space="preserve"> </w:t>
      </w:r>
      <w:r>
        <w:t>a</w:t>
      </w:r>
      <w:r>
        <w:rPr>
          <w:spacing w:val="-3"/>
        </w:rPr>
        <w:t xml:space="preserve"> </w:t>
      </w:r>
      <w:r>
        <w:t>dualistic</w:t>
      </w:r>
      <w:r>
        <w:rPr>
          <w:spacing w:val="-3"/>
        </w:rPr>
        <w:t xml:space="preserve"> </w:t>
      </w:r>
      <w:r>
        <w:rPr>
          <w:spacing w:val="-2"/>
        </w:rPr>
        <w:t>world?</w:t>
      </w:r>
    </w:p>
    <w:p w14:paraId="7E001C3F" w14:textId="77777777" w:rsidR="009A58DB" w:rsidRDefault="00000000">
      <w:pPr>
        <w:pStyle w:val="BodyText"/>
        <w:spacing w:before="139" w:line="252" w:lineRule="auto"/>
        <w:ind w:right="361"/>
        <w:rPr>
          <w:position w:val="22"/>
        </w:rPr>
      </w:pPr>
      <w:r>
        <w:t>Now</w:t>
      </w:r>
      <w:r>
        <w:rPr>
          <w:spacing w:val="-5"/>
        </w:rPr>
        <w:t xml:space="preserve"> </w:t>
      </w:r>
      <w:r>
        <w:t>let’s</w:t>
      </w:r>
      <w:r>
        <w:rPr>
          <w:spacing w:val="-5"/>
        </w:rPr>
        <w:t xml:space="preserve"> </w:t>
      </w:r>
      <w:r>
        <w:t>consider</w:t>
      </w:r>
      <w:r>
        <w:rPr>
          <w:spacing w:val="-5"/>
        </w:rPr>
        <w:t xml:space="preserve"> </w:t>
      </w:r>
      <w:r>
        <w:t>the</w:t>
      </w:r>
      <w:r>
        <w:rPr>
          <w:spacing w:val="-5"/>
        </w:rPr>
        <w:t xml:space="preserve"> </w:t>
      </w:r>
      <w:r>
        <w:t>view</w:t>
      </w:r>
      <w:r>
        <w:rPr>
          <w:spacing w:val="-5"/>
        </w:rPr>
        <w:t xml:space="preserve"> </w:t>
      </w:r>
      <w:r>
        <w:t>that,</w:t>
      </w:r>
      <w:r>
        <w:rPr>
          <w:spacing w:val="-5"/>
        </w:rPr>
        <w:t xml:space="preserve"> </w:t>
      </w:r>
      <w:r>
        <w:t>although</w:t>
      </w:r>
      <w:r>
        <w:rPr>
          <w:spacing w:val="-5"/>
        </w:rPr>
        <w:t xml:space="preserve"> </w:t>
      </w:r>
      <w:r>
        <w:t>the</w:t>
      </w:r>
      <w:r>
        <w:rPr>
          <w:spacing w:val="-5"/>
        </w:rPr>
        <w:t xml:space="preserve"> </w:t>
      </w:r>
      <w:r>
        <w:t>physical</w:t>
      </w:r>
      <w:r>
        <w:rPr>
          <w:spacing w:val="-5"/>
        </w:rPr>
        <w:t xml:space="preserve"> </w:t>
      </w:r>
      <w:r>
        <w:t>world</w:t>
      </w:r>
      <w:r>
        <w:rPr>
          <w:spacing w:val="-5"/>
        </w:rPr>
        <w:t xml:space="preserve"> </w:t>
      </w:r>
      <w:r>
        <w:t>is</w:t>
      </w:r>
      <w:r>
        <w:rPr>
          <w:spacing w:val="-5"/>
        </w:rPr>
        <w:t xml:space="preserve"> </w:t>
      </w:r>
      <w:r>
        <w:t>deterministic, the</w:t>
      </w:r>
      <w:r>
        <w:rPr>
          <w:spacing w:val="-18"/>
        </w:rPr>
        <w:t xml:space="preserve"> </w:t>
      </w:r>
      <w:r>
        <w:t>mental</w:t>
      </w:r>
      <w:r>
        <w:rPr>
          <w:spacing w:val="-18"/>
        </w:rPr>
        <w:t xml:space="preserve"> </w:t>
      </w:r>
      <w:r>
        <w:t>is</w:t>
      </w:r>
      <w:r>
        <w:rPr>
          <w:spacing w:val="-18"/>
        </w:rPr>
        <w:t xml:space="preserve"> </w:t>
      </w:r>
      <w:r>
        <w:t>not</w:t>
      </w:r>
      <w:r>
        <w:rPr>
          <w:spacing w:val="-18"/>
        </w:rPr>
        <w:t xml:space="preserve"> </w:t>
      </w:r>
      <w:r>
        <w:t>physical.</w:t>
      </w:r>
      <w:r>
        <w:rPr>
          <w:spacing w:val="-18"/>
        </w:rPr>
        <w:t xml:space="preserve"> </w:t>
      </w:r>
      <w:r>
        <w:t>First</w:t>
      </w:r>
      <w:r>
        <w:rPr>
          <w:spacing w:val="-18"/>
        </w:rPr>
        <w:t xml:space="preserve"> </w:t>
      </w:r>
      <w:r>
        <w:t>of</w:t>
      </w:r>
      <w:r>
        <w:rPr>
          <w:spacing w:val="-18"/>
        </w:rPr>
        <w:t xml:space="preserve"> </w:t>
      </w:r>
      <w:r>
        <w:t>all,</w:t>
      </w:r>
      <w:r>
        <w:rPr>
          <w:spacing w:val="-18"/>
        </w:rPr>
        <w:t xml:space="preserve"> </w:t>
      </w:r>
      <w:r>
        <w:t>even</w:t>
      </w:r>
      <w:r>
        <w:rPr>
          <w:spacing w:val="-18"/>
        </w:rPr>
        <w:t xml:space="preserve"> </w:t>
      </w:r>
      <w:r>
        <w:t>if</w:t>
      </w:r>
      <w:r>
        <w:rPr>
          <w:spacing w:val="-18"/>
        </w:rPr>
        <w:t xml:space="preserve"> </w:t>
      </w:r>
      <w:r>
        <w:t>the</w:t>
      </w:r>
      <w:r>
        <w:rPr>
          <w:spacing w:val="-18"/>
        </w:rPr>
        <w:t xml:space="preserve"> </w:t>
      </w:r>
      <w:r>
        <w:t>mental</w:t>
      </w:r>
      <w:r>
        <w:rPr>
          <w:spacing w:val="-18"/>
        </w:rPr>
        <w:t xml:space="preserve"> </w:t>
      </w:r>
      <w:r>
        <w:t>is</w:t>
      </w:r>
      <w:r>
        <w:rPr>
          <w:spacing w:val="-18"/>
        </w:rPr>
        <w:t xml:space="preserve"> </w:t>
      </w:r>
      <w:r>
        <w:t>not</w:t>
      </w:r>
      <w:r>
        <w:rPr>
          <w:spacing w:val="-18"/>
        </w:rPr>
        <w:t xml:space="preserve"> </w:t>
      </w:r>
      <w:r>
        <w:t>physical,</w:t>
      </w:r>
      <w:r>
        <w:rPr>
          <w:spacing w:val="-18"/>
        </w:rPr>
        <w:t xml:space="preserve"> </w:t>
      </w:r>
      <w:r>
        <w:t>there</w:t>
      </w:r>
      <w:r>
        <w:rPr>
          <w:spacing w:val="-18"/>
        </w:rPr>
        <w:t xml:space="preserve"> </w:t>
      </w:r>
      <w:r>
        <w:t xml:space="preserve">is </w:t>
      </w:r>
      <w:r>
        <w:rPr>
          <w:spacing w:val="-2"/>
        </w:rPr>
        <w:t>considerable</w:t>
      </w:r>
      <w:r>
        <w:rPr>
          <w:spacing w:val="-17"/>
        </w:rPr>
        <w:t xml:space="preserve"> </w:t>
      </w:r>
      <w:r>
        <w:rPr>
          <w:spacing w:val="-2"/>
        </w:rPr>
        <w:t>evidence</w:t>
      </w:r>
      <w:r>
        <w:rPr>
          <w:spacing w:val="-17"/>
        </w:rPr>
        <w:t xml:space="preserve"> </w:t>
      </w:r>
      <w:r>
        <w:rPr>
          <w:spacing w:val="-2"/>
        </w:rPr>
        <w:t>that</w:t>
      </w:r>
      <w:r>
        <w:rPr>
          <w:spacing w:val="-17"/>
        </w:rPr>
        <w:t xml:space="preserve"> </w:t>
      </w:r>
      <w:r>
        <w:rPr>
          <w:spacing w:val="-2"/>
        </w:rPr>
        <w:t>the</w:t>
      </w:r>
      <w:r>
        <w:rPr>
          <w:spacing w:val="-16"/>
        </w:rPr>
        <w:t xml:space="preserve"> </w:t>
      </w:r>
      <w:r>
        <w:rPr>
          <w:spacing w:val="-2"/>
        </w:rPr>
        <w:t>mental</w:t>
      </w:r>
      <w:r>
        <w:rPr>
          <w:spacing w:val="-17"/>
        </w:rPr>
        <w:t xml:space="preserve"> </w:t>
      </w:r>
      <w:r>
        <w:rPr>
          <w:spacing w:val="-2"/>
        </w:rPr>
        <w:t>sphere</w:t>
      </w:r>
      <w:r>
        <w:rPr>
          <w:spacing w:val="-15"/>
        </w:rPr>
        <w:t xml:space="preserve"> </w:t>
      </w:r>
      <w:r>
        <w:rPr>
          <w:spacing w:val="-2"/>
        </w:rPr>
        <w:t>is</w:t>
      </w:r>
      <w:r>
        <w:rPr>
          <w:spacing w:val="-16"/>
        </w:rPr>
        <w:t xml:space="preserve"> </w:t>
      </w:r>
      <w:r>
        <w:rPr>
          <w:spacing w:val="-2"/>
        </w:rPr>
        <w:t>deterministic.</w:t>
      </w:r>
      <w:r>
        <w:rPr>
          <w:spacing w:val="-17"/>
        </w:rPr>
        <w:t xml:space="preserve"> </w:t>
      </w:r>
      <w:r>
        <w:rPr>
          <w:spacing w:val="-2"/>
        </w:rPr>
        <w:t>The</w:t>
      </w:r>
      <w:r>
        <w:rPr>
          <w:spacing w:val="-15"/>
        </w:rPr>
        <w:t xml:space="preserve"> </w:t>
      </w:r>
      <w:r>
        <w:rPr>
          <w:spacing w:val="-2"/>
        </w:rPr>
        <w:t>decisions</w:t>
      </w:r>
      <w:r>
        <w:rPr>
          <w:spacing w:val="-16"/>
        </w:rPr>
        <w:t xml:space="preserve"> </w:t>
      </w:r>
      <w:r>
        <w:rPr>
          <w:spacing w:val="-2"/>
        </w:rPr>
        <w:t xml:space="preserve">that </w:t>
      </w:r>
      <w:r>
        <w:t>one</w:t>
      </w:r>
      <w:r>
        <w:rPr>
          <w:spacing w:val="-17"/>
        </w:rPr>
        <w:t xml:space="preserve"> </w:t>
      </w:r>
      <w:r>
        <w:t>makes</w:t>
      </w:r>
      <w:r>
        <w:rPr>
          <w:spacing w:val="-17"/>
        </w:rPr>
        <w:t xml:space="preserve"> </w:t>
      </w:r>
      <w:r>
        <w:t>are</w:t>
      </w:r>
      <w:r>
        <w:rPr>
          <w:spacing w:val="-17"/>
        </w:rPr>
        <w:t xml:space="preserve"> </w:t>
      </w:r>
      <w:r>
        <w:t>clearly</w:t>
      </w:r>
      <w:r>
        <w:rPr>
          <w:spacing w:val="-17"/>
        </w:rPr>
        <w:t xml:space="preserve"> </w:t>
      </w:r>
      <w:r>
        <w:t>a</w:t>
      </w:r>
      <w:r>
        <w:rPr>
          <w:spacing w:val="-17"/>
        </w:rPr>
        <w:t xml:space="preserve"> </w:t>
      </w:r>
      <w:r>
        <w:t>product</w:t>
      </w:r>
      <w:r>
        <w:rPr>
          <w:spacing w:val="-18"/>
        </w:rPr>
        <w:t xml:space="preserve"> </w:t>
      </w:r>
      <w:r>
        <w:t>of</w:t>
      </w:r>
      <w:r>
        <w:rPr>
          <w:spacing w:val="-18"/>
        </w:rPr>
        <w:t xml:space="preserve"> </w:t>
      </w:r>
      <w:r>
        <w:t>one’s</w:t>
      </w:r>
      <w:r>
        <w:rPr>
          <w:spacing w:val="-17"/>
        </w:rPr>
        <w:t xml:space="preserve"> </w:t>
      </w:r>
      <w:r>
        <w:t>pre-existing</w:t>
      </w:r>
      <w:r>
        <w:rPr>
          <w:spacing w:val="-17"/>
        </w:rPr>
        <w:t xml:space="preserve"> </w:t>
      </w:r>
      <w:r>
        <w:t>mental</w:t>
      </w:r>
      <w:r>
        <w:rPr>
          <w:spacing w:val="-18"/>
        </w:rPr>
        <w:t xml:space="preserve"> </w:t>
      </w:r>
      <w:r>
        <w:t>condition</w:t>
      </w:r>
      <w:bookmarkStart w:id="382" w:name="_bookmark382"/>
      <w:bookmarkEnd w:id="382"/>
      <w:r>
        <w:t>.</w:t>
      </w:r>
      <w:r>
        <w:rPr>
          <w:color w:val="0562C1"/>
          <w:position w:val="22"/>
          <w:u w:val="single" w:color="0562C1"/>
        </w:rPr>
        <w:t>[268]</w:t>
      </w:r>
    </w:p>
    <w:p w14:paraId="7E001C40" w14:textId="77777777" w:rsidR="009A58DB" w:rsidRDefault="00000000">
      <w:pPr>
        <w:pStyle w:val="BodyText"/>
        <w:spacing w:line="249" w:lineRule="auto"/>
        <w:ind w:right="355" w:firstLine="360"/>
      </w:pPr>
      <w:r>
        <w:t>We</w:t>
      </w:r>
      <w:r>
        <w:rPr>
          <w:spacing w:val="-5"/>
        </w:rPr>
        <w:t xml:space="preserve"> </w:t>
      </w:r>
      <w:r>
        <w:t>must</w:t>
      </w:r>
      <w:r>
        <w:rPr>
          <w:spacing w:val="-5"/>
        </w:rPr>
        <w:t xml:space="preserve"> </w:t>
      </w:r>
      <w:r>
        <w:t>also</w:t>
      </w:r>
      <w:r>
        <w:rPr>
          <w:spacing w:val="-5"/>
        </w:rPr>
        <w:t xml:space="preserve"> </w:t>
      </w:r>
      <w:r>
        <w:t>take</w:t>
      </w:r>
      <w:r>
        <w:rPr>
          <w:spacing w:val="-5"/>
        </w:rPr>
        <w:t xml:space="preserve"> </w:t>
      </w:r>
      <w:r>
        <w:t>into</w:t>
      </w:r>
      <w:r>
        <w:rPr>
          <w:spacing w:val="-4"/>
        </w:rPr>
        <w:t xml:space="preserve"> </w:t>
      </w:r>
      <w:r>
        <w:t>account</w:t>
      </w:r>
      <w:r>
        <w:rPr>
          <w:spacing w:val="-5"/>
        </w:rPr>
        <w:t xml:space="preserve"> </w:t>
      </w:r>
      <w:r>
        <w:t>that,</w:t>
      </w:r>
      <w:r>
        <w:rPr>
          <w:spacing w:val="-4"/>
        </w:rPr>
        <w:t xml:space="preserve"> </w:t>
      </w:r>
      <w:r>
        <w:t>at</w:t>
      </w:r>
      <w:r>
        <w:rPr>
          <w:spacing w:val="-5"/>
        </w:rPr>
        <w:t xml:space="preserve"> </w:t>
      </w:r>
      <w:r>
        <w:t>least</w:t>
      </w:r>
      <w:r>
        <w:rPr>
          <w:spacing w:val="-5"/>
        </w:rPr>
        <w:t xml:space="preserve"> </w:t>
      </w:r>
      <w:r>
        <w:t>according</w:t>
      </w:r>
      <w:r>
        <w:rPr>
          <w:spacing w:val="-4"/>
        </w:rPr>
        <w:t xml:space="preserve"> </w:t>
      </w:r>
      <w:r>
        <w:t>to</w:t>
      </w:r>
      <w:r>
        <w:rPr>
          <w:spacing w:val="-4"/>
        </w:rPr>
        <w:t xml:space="preserve"> </w:t>
      </w:r>
      <w:r>
        <w:t>some</w:t>
      </w:r>
      <w:r>
        <w:rPr>
          <w:spacing w:val="-4"/>
        </w:rPr>
        <w:t xml:space="preserve"> </w:t>
      </w:r>
      <w:r>
        <w:t xml:space="preserve">viewpoints, </w:t>
      </w:r>
      <w:r>
        <w:rPr>
          <w:spacing w:val="-2"/>
        </w:rPr>
        <w:t>the</w:t>
      </w:r>
      <w:r>
        <w:rPr>
          <w:spacing w:val="-17"/>
        </w:rPr>
        <w:t xml:space="preserve"> </w:t>
      </w:r>
      <w:r>
        <w:rPr>
          <w:spacing w:val="-2"/>
        </w:rPr>
        <w:t>choices</w:t>
      </w:r>
      <w:r>
        <w:rPr>
          <w:spacing w:val="-17"/>
        </w:rPr>
        <w:t xml:space="preserve"> </w:t>
      </w:r>
      <w:r>
        <w:rPr>
          <w:spacing w:val="-2"/>
        </w:rPr>
        <w:t>we</w:t>
      </w:r>
      <w:r>
        <w:rPr>
          <w:spacing w:val="-17"/>
        </w:rPr>
        <w:t xml:space="preserve"> </w:t>
      </w:r>
      <w:r>
        <w:rPr>
          <w:spacing w:val="-2"/>
        </w:rPr>
        <w:t>make</w:t>
      </w:r>
      <w:r>
        <w:rPr>
          <w:spacing w:val="-16"/>
        </w:rPr>
        <w:t xml:space="preserve"> </w:t>
      </w:r>
      <w:r>
        <w:rPr>
          <w:spacing w:val="-2"/>
        </w:rPr>
        <w:t>have</w:t>
      </w:r>
      <w:r>
        <w:rPr>
          <w:spacing w:val="-17"/>
        </w:rPr>
        <w:t xml:space="preserve"> </w:t>
      </w:r>
      <w:r>
        <w:rPr>
          <w:spacing w:val="-2"/>
        </w:rPr>
        <w:t>extremely</w:t>
      </w:r>
      <w:r>
        <w:rPr>
          <w:spacing w:val="-17"/>
        </w:rPr>
        <w:t xml:space="preserve"> </w:t>
      </w:r>
      <w:r>
        <w:rPr>
          <w:spacing w:val="-2"/>
        </w:rPr>
        <w:t>deep</w:t>
      </w:r>
      <w:r>
        <w:rPr>
          <w:spacing w:val="-17"/>
        </w:rPr>
        <w:t xml:space="preserve"> </w:t>
      </w:r>
      <w:r>
        <w:rPr>
          <w:spacing w:val="-2"/>
        </w:rPr>
        <w:t>roots</w:t>
      </w:r>
      <w:r>
        <w:rPr>
          <w:spacing w:val="-16"/>
        </w:rPr>
        <w:t xml:space="preserve"> </w:t>
      </w:r>
      <w:r>
        <w:rPr>
          <w:spacing w:val="-2"/>
        </w:rPr>
        <w:t>in</w:t>
      </w:r>
      <w:r>
        <w:rPr>
          <w:spacing w:val="-17"/>
        </w:rPr>
        <w:t xml:space="preserve"> </w:t>
      </w:r>
      <w:r>
        <w:rPr>
          <w:spacing w:val="-2"/>
        </w:rPr>
        <w:t>our</w:t>
      </w:r>
      <w:r>
        <w:rPr>
          <w:spacing w:val="-17"/>
        </w:rPr>
        <w:t xml:space="preserve"> </w:t>
      </w:r>
      <w:r>
        <w:rPr>
          <w:spacing w:val="-2"/>
        </w:rPr>
        <w:t>unconscious</w:t>
      </w:r>
      <w:r>
        <w:rPr>
          <w:spacing w:val="-17"/>
        </w:rPr>
        <w:t xml:space="preserve"> </w:t>
      </w:r>
      <w:r>
        <w:rPr>
          <w:spacing w:val="-2"/>
        </w:rPr>
        <w:t>mental</w:t>
      </w:r>
      <w:r>
        <w:rPr>
          <w:spacing w:val="-16"/>
        </w:rPr>
        <w:t xml:space="preserve"> </w:t>
      </w:r>
      <w:r>
        <w:rPr>
          <w:spacing w:val="-2"/>
        </w:rPr>
        <w:t>lives. Analysis</w:t>
      </w:r>
      <w:r>
        <w:rPr>
          <w:spacing w:val="-13"/>
        </w:rPr>
        <w:t xml:space="preserve"> </w:t>
      </w:r>
      <w:r>
        <w:rPr>
          <w:spacing w:val="-2"/>
        </w:rPr>
        <w:t>tends</w:t>
      </w:r>
      <w:r>
        <w:rPr>
          <w:spacing w:val="-13"/>
        </w:rPr>
        <w:t xml:space="preserve"> </w:t>
      </w:r>
      <w:r>
        <w:rPr>
          <w:spacing w:val="-2"/>
        </w:rPr>
        <w:t>to</w:t>
      </w:r>
      <w:r>
        <w:rPr>
          <w:spacing w:val="-13"/>
        </w:rPr>
        <w:t xml:space="preserve"> </w:t>
      </w:r>
      <w:r>
        <w:rPr>
          <w:spacing w:val="-2"/>
        </w:rPr>
        <w:t>suggest</w:t>
      </w:r>
      <w:r>
        <w:rPr>
          <w:spacing w:val="-13"/>
        </w:rPr>
        <w:t xml:space="preserve"> </w:t>
      </w:r>
      <w:r>
        <w:rPr>
          <w:spacing w:val="-2"/>
        </w:rPr>
        <w:t>that</w:t>
      </w:r>
      <w:r>
        <w:rPr>
          <w:spacing w:val="-13"/>
        </w:rPr>
        <w:t xml:space="preserve"> </w:t>
      </w:r>
      <w:r>
        <w:rPr>
          <w:spacing w:val="-2"/>
        </w:rPr>
        <w:t>decisions</w:t>
      </w:r>
      <w:r>
        <w:rPr>
          <w:spacing w:val="-13"/>
        </w:rPr>
        <w:t xml:space="preserve"> </w:t>
      </w:r>
      <w:r>
        <w:rPr>
          <w:spacing w:val="-2"/>
        </w:rPr>
        <w:t>that</w:t>
      </w:r>
      <w:r>
        <w:rPr>
          <w:spacing w:val="-13"/>
        </w:rPr>
        <w:t xml:space="preserve"> </w:t>
      </w:r>
      <w:r>
        <w:rPr>
          <w:spacing w:val="-2"/>
        </w:rPr>
        <w:t>seem,</w:t>
      </w:r>
      <w:r>
        <w:rPr>
          <w:spacing w:val="-13"/>
        </w:rPr>
        <w:t xml:space="preserve"> </w:t>
      </w:r>
      <w:r>
        <w:rPr>
          <w:spacing w:val="-2"/>
        </w:rPr>
        <w:t>at</w:t>
      </w:r>
      <w:r>
        <w:rPr>
          <w:spacing w:val="-12"/>
        </w:rPr>
        <w:t xml:space="preserve"> </w:t>
      </w:r>
      <w:r>
        <w:rPr>
          <w:spacing w:val="-2"/>
        </w:rPr>
        <w:t>the</w:t>
      </w:r>
      <w:r>
        <w:rPr>
          <w:spacing w:val="-12"/>
        </w:rPr>
        <w:t xml:space="preserve"> </w:t>
      </w:r>
      <w:r>
        <w:rPr>
          <w:spacing w:val="-2"/>
        </w:rPr>
        <w:t>level</w:t>
      </w:r>
      <w:r>
        <w:rPr>
          <w:spacing w:val="-12"/>
        </w:rPr>
        <w:t xml:space="preserve"> </w:t>
      </w:r>
      <w:r>
        <w:rPr>
          <w:spacing w:val="-2"/>
        </w:rPr>
        <w:t>of</w:t>
      </w:r>
      <w:r>
        <w:rPr>
          <w:spacing w:val="-12"/>
        </w:rPr>
        <w:t xml:space="preserve"> </w:t>
      </w:r>
      <w:r>
        <w:rPr>
          <w:spacing w:val="-2"/>
        </w:rPr>
        <w:t xml:space="preserve">consciousness, </w:t>
      </w:r>
      <w:r>
        <w:t xml:space="preserve">to be “random” are, in fact, strictly determined by unconscious forces. In any case, this is one point of view, and it is one for which there is some </w:t>
      </w:r>
      <w:r>
        <w:rPr>
          <w:spacing w:val="-2"/>
        </w:rPr>
        <w:t>corroboration.</w:t>
      </w:r>
    </w:p>
    <w:p w14:paraId="7E001C41" w14:textId="77777777" w:rsidR="009A58DB" w:rsidRDefault="00000000">
      <w:pPr>
        <w:pStyle w:val="BodyText"/>
        <w:spacing w:before="3" w:line="249" w:lineRule="auto"/>
        <w:ind w:right="363" w:firstLine="360"/>
      </w:pPr>
      <w:r>
        <w:rPr>
          <w:spacing w:val="-2"/>
        </w:rPr>
        <w:t>But</w:t>
      </w:r>
      <w:r>
        <w:rPr>
          <w:spacing w:val="-14"/>
        </w:rPr>
        <w:t xml:space="preserve"> </w:t>
      </w:r>
      <w:r>
        <w:rPr>
          <w:spacing w:val="-2"/>
        </w:rPr>
        <w:t>suppose,</w:t>
      </w:r>
      <w:r>
        <w:rPr>
          <w:spacing w:val="-14"/>
        </w:rPr>
        <w:t xml:space="preserve"> </w:t>
      </w:r>
      <w:r>
        <w:rPr>
          <w:spacing w:val="-2"/>
        </w:rPr>
        <w:t>if</w:t>
      </w:r>
      <w:r>
        <w:rPr>
          <w:spacing w:val="-14"/>
        </w:rPr>
        <w:t xml:space="preserve"> </w:t>
      </w:r>
      <w:r>
        <w:rPr>
          <w:spacing w:val="-2"/>
        </w:rPr>
        <w:t>only</w:t>
      </w:r>
      <w:r>
        <w:rPr>
          <w:spacing w:val="-14"/>
        </w:rPr>
        <w:t xml:space="preserve"> </w:t>
      </w:r>
      <w:r>
        <w:rPr>
          <w:spacing w:val="-2"/>
        </w:rPr>
        <w:t>for</w:t>
      </w:r>
      <w:r>
        <w:rPr>
          <w:spacing w:val="-14"/>
        </w:rPr>
        <w:t xml:space="preserve"> </w:t>
      </w:r>
      <w:r>
        <w:rPr>
          <w:spacing w:val="-2"/>
        </w:rPr>
        <w:t>argument’s</w:t>
      </w:r>
      <w:r>
        <w:rPr>
          <w:spacing w:val="-14"/>
        </w:rPr>
        <w:t xml:space="preserve"> </w:t>
      </w:r>
      <w:r>
        <w:rPr>
          <w:spacing w:val="-2"/>
        </w:rPr>
        <w:t>sake,</w:t>
      </w:r>
      <w:r>
        <w:rPr>
          <w:spacing w:val="-14"/>
        </w:rPr>
        <w:t xml:space="preserve"> </w:t>
      </w:r>
      <w:r>
        <w:rPr>
          <w:spacing w:val="-2"/>
        </w:rPr>
        <w:t>that</w:t>
      </w:r>
      <w:r>
        <w:rPr>
          <w:spacing w:val="-14"/>
        </w:rPr>
        <w:t xml:space="preserve"> </w:t>
      </w:r>
      <w:r>
        <w:rPr>
          <w:spacing w:val="-2"/>
        </w:rPr>
        <w:t>your</w:t>
      </w:r>
      <w:r>
        <w:rPr>
          <w:spacing w:val="-14"/>
        </w:rPr>
        <w:t xml:space="preserve"> </w:t>
      </w:r>
      <w:r>
        <w:rPr>
          <w:spacing w:val="-2"/>
        </w:rPr>
        <w:t>choices</w:t>
      </w:r>
      <w:r>
        <w:rPr>
          <w:spacing w:val="-14"/>
        </w:rPr>
        <w:t xml:space="preserve"> </w:t>
      </w:r>
      <w:r>
        <w:rPr>
          <w:spacing w:val="-2"/>
        </w:rPr>
        <w:t>were</w:t>
      </w:r>
      <w:r>
        <w:rPr>
          <w:spacing w:val="-14"/>
        </w:rPr>
        <w:t xml:space="preserve"> </w:t>
      </w:r>
      <w:r>
        <w:rPr>
          <w:spacing w:val="-2"/>
        </w:rPr>
        <w:t>not</w:t>
      </w:r>
      <w:r>
        <w:rPr>
          <w:spacing w:val="-14"/>
        </w:rPr>
        <w:t xml:space="preserve"> </w:t>
      </w:r>
      <w:r>
        <w:rPr>
          <w:spacing w:val="-2"/>
        </w:rPr>
        <w:t>fixed</w:t>
      </w:r>
      <w:r>
        <w:rPr>
          <w:spacing w:val="-14"/>
        </w:rPr>
        <w:t xml:space="preserve"> </w:t>
      </w:r>
      <w:r>
        <w:rPr>
          <w:spacing w:val="-2"/>
        </w:rPr>
        <w:t xml:space="preserve">by </w:t>
      </w:r>
      <w:r>
        <w:t>the</w:t>
      </w:r>
      <w:r>
        <w:rPr>
          <w:spacing w:val="-12"/>
        </w:rPr>
        <w:t xml:space="preserve"> </w:t>
      </w:r>
      <w:r>
        <w:t>state</w:t>
      </w:r>
      <w:r>
        <w:rPr>
          <w:spacing w:val="-12"/>
        </w:rPr>
        <w:t xml:space="preserve"> </w:t>
      </w:r>
      <w:r>
        <w:t>of</w:t>
      </w:r>
      <w:r>
        <w:rPr>
          <w:spacing w:val="-12"/>
        </w:rPr>
        <w:t xml:space="preserve"> </w:t>
      </w:r>
      <w:r>
        <w:t>the</w:t>
      </w:r>
      <w:r>
        <w:rPr>
          <w:spacing w:val="-12"/>
        </w:rPr>
        <w:t xml:space="preserve"> </w:t>
      </w:r>
      <w:r>
        <w:t>universe</w:t>
      </w:r>
      <w:r>
        <w:rPr>
          <w:spacing w:val="-12"/>
        </w:rPr>
        <w:t xml:space="preserve"> </w:t>
      </w:r>
      <w:r>
        <w:t>prior</w:t>
      </w:r>
      <w:r>
        <w:rPr>
          <w:spacing w:val="-12"/>
        </w:rPr>
        <w:t xml:space="preserve"> </w:t>
      </w:r>
      <w:r>
        <w:t>to</w:t>
      </w:r>
      <w:r>
        <w:rPr>
          <w:spacing w:val="-12"/>
        </w:rPr>
        <w:t xml:space="preserve"> </w:t>
      </w:r>
      <w:r>
        <w:t>their</w:t>
      </w:r>
      <w:r>
        <w:rPr>
          <w:spacing w:val="-12"/>
        </w:rPr>
        <w:t xml:space="preserve"> </w:t>
      </w:r>
      <w:r>
        <w:t>occurrence.</w:t>
      </w:r>
      <w:r>
        <w:rPr>
          <w:spacing w:val="-12"/>
        </w:rPr>
        <w:t xml:space="preserve"> </w:t>
      </w:r>
      <w:r>
        <w:t>For</w:t>
      </w:r>
      <w:r>
        <w:rPr>
          <w:spacing w:val="-12"/>
        </w:rPr>
        <w:t xml:space="preserve"> </w:t>
      </w:r>
      <w:r>
        <w:t>the</w:t>
      </w:r>
      <w:r>
        <w:rPr>
          <w:spacing w:val="-12"/>
        </w:rPr>
        <w:t xml:space="preserve"> </w:t>
      </w:r>
      <w:r>
        <w:t>reasons</w:t>
      </w:r>
      <w:r>
        <w:rPr>
          <w:spacing w:val="-12"/>
        </w:rPr>
        <w:t xml:space="preserve"> </w:t>
      </w:r>
      <w:r>
        <w:t>given</w:t>
      </w:r>
      <w:r>
        <w:rPr>
          <w:spacing w:val="-12"/>
        </w:rPr>
        <w:t xml:space="preserve"> </w:t>
      </w:r>
      <w:r>
        <w:t>earlier, that</w:t>
      </w:r>
      <w:r>
        <w:rPr>
          <w:spacing w:val="-14"/>
        </w:rPr>
        <w:t xml:space="preserve"> </w:t>
      </w:r>
      <w:r>
        <w:t>wouldn’t</w:t>
      </w:r>
      <w:r>
        <w:rPr>
          <w:spacing w:val="-14"/>
        </w:rPr>
        <w:t xml:space="preserve"> </w:t>
      </w:r>
      <w:r>
        <w:t>make</w:t>
      </w:r>
      <w:r>
        <w:rPr>
          <w:spacing w:val="-14"/>
        </w:rPr>
        <w:t xml:space="preserve"> </w:t>
      </w:r>
      <w:r>
        <w:t>those</w:t>
      </w:r>
      <w:r>
        <w:rPr>
          <w:spacing w:val="-14"/>
        </w:rPr>
        <w:t xml:space="preserve"> </w:t>
      </w:r>
      <w:r>
        <w:t>choices</w:t>
      </w:r>
      <w:r>
        <w:rPr>
          <w:spacing w:val="-14"/>
        </w:rPr>
        <w:t xml:space="preserve"> </w:t>
      </w:r>
      <w:r>
        <w:t>be</w:t>
      </w:r>
      <w:r>
        <w:rPr>
          <w:spacing w:val="-14"/>
        </w:rPr>
        <w:t xml:space="preserve"> </w:t>
      </w:r>
      <w:r>
        <w:t>free.</w:t>
      </w:r>
      <w:r>
        <w:rPr>
          <w:spacing w:val="-14"/>
        </w:rPr>
        <w:t xml:space="preserve"> </w:t>
      </w:r>
      <w:r>
        <w:t>On</w:t>
      </w:r>
      <w:r>
        <w:rPr>
          <w:spacing w:val="-14"/>
        </w:rPr>
        <w:t xml:space="preserve"> </w:t>
      </w:r>
      <w:r>
        <w:t>the</w:t>
      </w:r>
      <w:r>
        <w:rPr>
          <w:spacing w:val="-14"/>
        </w:rPr>
        <w:t xml:space="preserve"> </w:t>
      </w:r>
      <w:r>
        <w:t>contrary,</w:t>
      </w:r>
      <w:r>
        <w:rPr>
          <w:spacing w:val="-14"/>
        </w:rPr>
        <w:t xml:space="preserve"> </w:t>
      </w:r>
      <w:r>
        <w:t>it</w:t>
      </w:r>
      <w:r>
        <w:rPr>
          <w:spacing w:val="-14"/>
        </w:rPr>
        <w:t xml:space="preserve"> </w:t>
      </w:r>
      <w:r>
        <w:t>would</w:t>
      </w:r>
      <w:r>
        <w:rPr>
          <w:spacing w:val="-14"/>
        </w:rPr>
        <w:t xml:space="preserve"> </w:t>
      </w:r>
      <w:r>
        <w:t>make</w:t>
      </w:r>
      <w:r>
        <w:rPr>
          <w:spacing w:val="-14"/>
        </w:rPr>
        <w:t xml:space="preserve"> </w:t>
      </w:r>
      <w:r>
        <w:t>them more</w:t>
      </w:r>
      <w:r>
        <w:rPr>
          <w:spacing w:val="-16"/>
        </w:rPr>
        <w:t xml:space="preserve"> </w:t>
      </w:r>
      <w:r>
        <w:t>like</w:t>
      </w:r>
      <w:r>
        <w:rPr>
          <w:spacing w:val="-16"/>
        </w:rPr>
        <w:t xml:space="preserve"> </w:t>
      </w:r>
      <w:r>
        <w:t>fits</w:t>
      </w:r>
      <w:r>
        <w:rPr>
          <w:spacing w:val="-16"/>
        </w:rPr>
        <w:t xml:space="preserve"> </w:t>
      </w:r>
      <w:r>
        <w:t>or</w:t>
      </w:r>
      <w:r>
        <w:rPr>
          <w:spacing w:val="-17"/>
        </w:rPr>
        <w:t xml:space="preserve"> </w:t>
      </w:r>
      <w:r>
        <w:t>seizures</w:t>
      </w:r>
      <w:r>
        <w:rPr>
          <w:spacing w:val="-16"/>
        </w:rPr>
        <w:t xml:space="preserve"> </w:t>
      </w:r>
      <w:r>
        <w:t>than</w:t>
      </w:r>
      <w:r>
        <w:rPr>
          <w:spacing w:val="-16"/>
        </w:rPr>
        <w:t xml:space="preserve"> </w:t>
      </w:r>
      <w:r>
        <w:t>like</w:t>
      </w:r>
      <w:r>
        <w:rPr>
          <w:spacing w:val="-16"/>
        </w:rPr>
        <w:t xml:space="preserve"> </w:t>
      </w:r>
      <w:r>
        <w:t>considered,</w:t>
      </w:r>
      <w:r>
        <w:rPr>
          <w:spacing w:val="-16"/>
        </w:rPr>
        <w:t xml:space="preserve"> </w:t>
      </w:r>
      <w:r>
        <w:t>freely</w:t>
      </w:r>
      <w:r>
        <w:rPr>
          <w:spacing w:val="-16"/>
        </w:rPr>
        <w:t xml:space="preserve"> </w:t>
      </w:r>
      <w:r>
        <w:t>made</w:t>
      </w:r>
      <w:r>
        <w:rPr>
          <w:spacing w:val="-16"/>
        </w:rPr>
        <w:t xml:space="preserve"> </w:t>
      </w:r>
      <w:r>
        <w:t>judgments.</w:t>
      </w:r>
    </w:p>
    <w:p w14:paraId="7E001C42" w14:textId="77777777" w:rsidR="009A58DB" w:rsidRDefault="00000000">
      <w:pPr>
        <w:pStyle w:val="BodyText"/>
        <w:spacing w:before="5" w:line="249" w:lineRule="auto"/>
        <w:ind w:right="364" w:firstLine="360"/>
      </w:pPr>
      <w:r>
        <w:t xml:space="preserve">A story similar to the one just told may help make this clear. You are a </w:t>
      </w:r>
      <w:r>
        <w:rPr>
          <w:spacing w:val="-2"/>
        </w:rPr>
        <w:t>student</w:t>
      </w:r>
      <w:r>
        <w:rPr>
          <w:spacing w:val="-17"/>
        </w:rPr>
        <w:t xml:space="preserve"> </w:t>
      </w:r>
      <w:r>
        <w:rPr>
          <w:spacing w:val="-2"/>
        </w:rPr>
        <w:t>at</w:t>
      </w:r>
      <w:r>
        <w:rPr>
          <w:spacing w:val="-17"/>
        </w:rPr>
        <w:t xml:space="preserve"> </w:t>
      </w:r>
      <w:r>
        <w:rPr>
          <w:spacing w:val="-2"/>
        </w:rPr>
        <w:t>State</w:t>
      </w:r>
      <w:r>
        <w:rPr>
          <w:spacing w:val="-17"/>
        </w:rPr>
        <w:t xml:space="preserve"> </w:t>
      </w:r>
      <w:r>
        <w:rPr>
          <w:spacing w:val="-2"/>
        </w:rPr>
        <w:t>University.</w:t>
      </w:r>
      <w:r>
        <w:rPr>
          <w:spacing w:val="-16"/>
        </w:rPr>
        <w:t xml:space="preserve"> </w:t>
      </w:r>
      <w:r>
        <w:rPr>
          <w:spacing w:val="-2"/>
        </w:rPr>
        <w:t>You</w:t>
      </w:r>
      <w:r>
        <w:rPr>
          <w:spacing w:val="-17"/>
        </w:rPr>
        <w:t xml:space="preserve"> </w:t>
      </w:r>
      <w:r>
        <w:rPr>
          <w:spacing w:val="-2"/>
        </w:rPr>
        <w:t>have</w:t>
      </w:r>
      <w:r>
        <w:rPr>
          <w:spacing w:val="-17"/>
        </w:rPr>
        <w:t xml:space="preserve"> </w:t>
      </w:r>
      <w:r>
        <w:rPr>
          <w:spacing w:val="-2"/>
        </w:rPr>
        <w:t>an</w:t>
      </w:r>
      <w:r>
        <w:rPr>
          <w:spacing w:val="-17"/>
        </w:rPr>
        <w:t xml:space="preserve"> </w:t>
      </w:r>
      <w:r>
        <w:rPr>
          <w:spacing w:val="-2"/>
        </w:rPr>
        <w:t>A-average.</w:t>
      </w:r>
      <w:r>
        <w:rPr>
          <w:spacing w:val="-16"/>
        </w:rPr>
        <w:t xml:space="preserve"> </w:t>
      </w:r>
      <w:r>
        <w:rPr>
          <w:spacing w:val="-2"/>
        </w:rPr>
        <w:t>All</w:t>
      </w:r>
      <w:r>
        <w:rPr>
          <w:spacing w:val="-17"/>
        </w:rPr>
        <w:t xml:space="preserve"> </w:t>
      </w:r>
      <w:r>
        <w:rPr>
          <w:spacing w:val="-2"/>
        </w:rPr>
        <w:t>of</w:t>
      </w:r>
      <w:r>
        <w:rPr>
          <w:spacing w:val="-17"/>
        </w:rPr>
        <w:t xml:space="preserve"> </w:t>
      </w:r>
      <w:r>
        <w:rPr>
          <w:spacing w:val="-2"/>
        </w:rPr>
        <w:t>a</w:t>
      </w:r>
      <w:r>
        <w:rPr>
          <w:spacing w:val="-17"/>
        </w:rPr>
        <w:t xml:space="preserve"> </w:t>
      </w:r>
      <w:r>
        <w:rPr>
          <w:spacing w:val="-2"/>
        </w:rPr>
        <w:t>sudden,</w:t>
      </w:r>
      <w:r>
        <w:rPr>
          <w:spacing w:val="-16"/>
        </w:rPr>
        <w:t xml:space="preserve"> </w:t>
      </w:r>
      <w:r>
        <w:rPr>
          <w:spacing w:val="-2"/>
        </w:rPr>
        <w:t>you</w:t>
      </w:r>
      <w:r>
        <w:rPr>
          <w:spacing w:val="-16"/>
        </w:rPr>
        <w:t xml:space="preserve"> </w:t>
      </w:r>
      <w:r>
        <w:rPr>
          <w:spacing w:val="-2"/>
        </w:rPr>
        <w:t xml:space="preserve">choose </w:t>
      </w:r>
      <w:r>
        <w:t>to</w:t>
      </w:r>
      <w:r>
        <w:rPr>
          <w:spacing w:val="-19"/>
        </w:rPr>
        <w:t xml:space="preserve"> </w:t>
      </w:r>
      <w:r>
        <w:t>drop</w:t>
      </w:r>
      <w:r>
        <w:rPr>
          <w:spacing w:val="-19"/>
        </w:rPr>
        <w:t xml:space="preserve"> </w:t>
      </w:r>
      <w:r>
        <w:t>out</w:t>
      </w:r>
      <w:r>
        <w:rPr>
          <w:spacing w:val="-17"/>
        </w:rPr>
        <w:t xml:space="preserve"> </w:t>
      </w:r>
      <w:r>
        <w:t>of</w:t>
      </w:r>
      <w:r>
        <w:rPr>
          <w:spacing w:val="-17"/>
        </w:rPr>
        <w:t xml:space="preserve"> </w:t>
      </w:r>
      <w:r>
        <w:t>college</w:t>
      </w:r>
      <w:r>
        <w:rPr>
          <w:spacing w:val="-17"/>
        </w:rPr>
        <w:t xml:space="preserve"> </w:t>
      </w:r>
      <w:r>
        <w:t>and</w:t>
      </w:r>
      <w:r>
        <w:rPr>
          <w:spacing w:val="-16"/>
        </w:rPr>
        <w:t xml:space="preserve"> </w:t>
      </w:r>
      <w:r>
        <w:t>become</w:t>
      </w:r>
      <w:r>
        <w:rPr>
          <w:spacing w:val="-16"/>
        </w:rPr>
        <w:t xml:space="preserve"> </w:t>
      </w:r>
      <w:r>
        <w:t>a</w:t>
      </w:r>
      <w:r>
        <w:rPr>
          <w:spacing w:val="-16"/>
        </w:rPr>
        <w:t xml:space="preserve"> </w:t>
      </w:r>
      <w:r>
        <w:t>drug</w:t>
      </w:r>
      <w:r>
        <w:rPr>
          <w:spacing w:val="-16"/>
        </w:rPr>
        <w:t xml:space="preserve"> </w:t>
      </w:r>
      <w:r>
        <w:t>dealer.</w:t>
      </w:r>
      <w:r>
        <w:rPr>
          <w:spacing w:val="-19"/>
        </w:rPr>
        <w:t xml:space="preserve"> </w:t>
      </w:r>
      <w:r>
        <w:t>Your</w:t>
      </w:r>
      <w:r>
        <w:rPr>
          <w:spacing w:val="-16"/>
        </w:rPr>
        <w:t xml:space="preserve"> </w:t>
      </w:r>
      <w:r>
        <w:t>choice</w:t>
      </w:r>
      <w:r>
        <w:rPr>
          <w:spacing w:val="-16"/>
        </w:rPr>
        <w:t xml:space="preserve"> </w:t>
      </w:r>
      <w:r>
        <w:t>was</w:t>
      </w:r>
      <w:r>
        <w:rPr>
          <w:spacing w:val="-16"/>
        </w:rPr>
        <w:t xml:space="preserve"> </w:t>
      </w:r>
      <w:r>
        <w:t>not</w:t>
      </w:r>
      <w:r>
        <w:rPr>
          <w:spacing w:val="-17"/>
        </w:rPr>
        <w:t xml:space="preserve"> </w:t>
      </w:r>
      <w:r>
        <w:t>caused</w:t>
      </w:r>
      <w:r>
        <w:rPr>
          <w:spacing w:val="-16"/>
        </w:rPr>
        <w:t xml:space="preserve"> </w:t>
      </w:r>
      <w:r>
        <w:t>to occur</w:t>
      </w:r>
      <w:r>
        <w:rPr>
          <w:spacing w:val="-10"/>
        </w:rPr>
        <w:t xml:space="preserve"> </w:t>
      </w:r>
      <w:r>
        <w:t>by</w:t>
      </w:r>
      <w:r>
        <w:rPr>
          <w:spacing w:val="-10"/>
        </w:rPr>
        <w:t xml:space="preserve"> </w:t>
      </w:r>
      <w:r>
        <w:t>anything;</w:t>
      </w:r>
      <w:r>
        <w:rPr>
          <w:spacing w:val="-10"/>
        </w:rPr>
        <w:t xml:space="preserve"> </w:t>
      </w:r>
      <w:r>
        <w:t>the</w:t>
      </w:r>
      <w:r>
        <w:rPr>
          <w:spacing w:val="-10"/>
        </w:rPr>
        <w:t xml:space="preserve"> </w:t>
      </w:r>
      <w:r>
        <w:t>state</w:t>
      </w:r>
      <w:r>
        <w:rPr>
          <w:spacing w:val="-10"/>
        </w:rPr>
        <w:t xml:space="preserve"> </w:t>
      </w:r>
      <w:r>
        <w:t>of</w:t>
      </w:r>
      <w:r>
        <w:rPr>
          <w:spacing w:val="-10"/>
        </w:rPr>
        <w:t xml:space="preserve"> </w:t>
      </w:r>
      <w:r>
        <w:t>your</w:t>
      </w:r>
      <w:r>
        <w:rPr>
          <w:spacing w:val="-10"/>
        </w:rPr>
        <w:t xml:space="preserve"> </w:t>
      </w:r>
      <w:r>
        <w:t>personality</w:t>
      </w:r>
      <w:r>
        <w:rPr>
          <w:spacing w:val="-10"/>
        </w:rPr>
        <w:t xml:space="preserve"> </w:t>
      </w:r>
      <w:r>
        <w:t>prior</w:t>
      </w:r>
      <w:r>
        <w:rPr>
          <w:spacing w:val="-10"/>
        </w:rPr>
        <w:t xml:space="preserve"> </w:t>
      </w:r>
      <w:r>
        <w:t>to</w:t>
      </w:r>
      <w:r>
        <w:rPr>
          <w:spacing w:val="-10"/>
        </w:rPr>
        <w:t xml:space="preserve"> </w:t>
      </w:r>
      <w:r>
        <w:t>the</w:t>
      </w:r>
      <w:r>
        <w:rPr>
          <w:spacing w:val="-10"/>
        </w:rPr>
        <w:t xml:space="preserve"> </w:t>
      </w:r>
      <w:r>
        <w:t>choice</w:t>
      </w:r>
      <w:r>
        <w:rPr>
          <w:spacing w:val="-10"/>
        </w:rPr>
        <w:t xml:space="preserve"> </w:t>
      </w:r>
      <w:r>
        <w:t>had</w:t>
      </w:r>
      <w:r>
        <w:rPr>
          <w:spacing w:val="-10"/>
        </w:rPr>
        <w:t xml:space="preserve"> </w:t>
      </w:r>
      <w:r>
        <w:t>nothing to</w:t>
      </w:r>
      <w:r>
        <w:rPr>
          <w:spacing w:val="-18"/>
        </w:rPr>
        <w:t xml:space="preserve"> </w:t>
      </w:r>
      <w:r>
        <w:t>do</w:t>
      </w:r>
      <w:r>
        <w:rPr>
          <w:spacing w:val="-18"/>
        </w:rPr>
        <w:t xml:space="preserve"> </w:t>
      </w:r>
      <w:r>
        <w:t>with</w:t>
      </w:r>
      <w:r>
        <w:rPr>
          <w:spacing w:val="-17"/>
        </w:rPr>
        <w:t xml:space="preserve"> </w:t>
      </w:r>
      <w:r>
        <w:t>your</w:t>
      </w:r>
      <w:r>
        <w:rPr>
          <w:spacing w:val="-17"/>
        </w:rPr>
        <w:t xml:space="preserve"> </w:t>
      </w:r>
      <w:r>
        <w:t>making</w:t>
      </w:r>
      <w:r>
        <w:rPr>
          <w:spacing w:val="-17"/>
        </w:rPr>
        <w:t xml:space="preserve"> </w:t>
      </w:r>
      <w:r>
        <w:t>it;</w:t>
      </w:r>
      <w:r>
        <w:rPr>
          <w:spacing w:val="-18"/>
        </w:rPr>
        <w:t xml:space="preserve"> </w:t>
      </w:r>
      <w:r>
        <w:t>neither</w:t>
      </w:r>
      <w:r>
        <w:rPr>
          <w:spacing w:val="-17"/>
        </w:rPr>
        <w:t xml:space="preserve"> </w:t>
      </w:r>
      <w:r>
        <w:t>did</w:t>
      </w:r>
      <w:r>
        <w:rPr>
          <w:spacing w:val="-17"/>
        </w:rPr>
        <w:t xml:space="preserve"> </w:t>
      </w:r>
      <w:r>
        <w:t>the</w:t>
      </w:r>
      <w:r>
        <w:rPr>
          <w:spacing w:val="-17"/>
        </w:rPr>
        <w:t xml:space="preserve"> </w:t>
      </w:r>
      <w:r>
        <w:t>state</w:t>
      </w:r>
      <w:r>
        <w:rPr>
          <w:spacing w:val="-17"/>
        </w:rPr>
        <w:t xml:space="preserve"> </w:t>
      </w:r>
      <w:r>
        <w:t>of</w:t>
      </w:r>
      <w:r>
        <w:rPr>
          <w:spacing w:val="-17"/>
        </w:rPr>
        <w:t xml:space="preserve"> </w:t>
      </w:r>
      <w:r>
        <w:t>the</w:t>
      </w:r>
      <w:r>
        <w:rPr>
          <w:spacing w:val="-17"/>
        </w:rPr>
        <w:t xml:space="preserve"> </w:t>
      </w:r>
      <w:r>
        <w:t>universe.</w:t>
      </w:r>
      <w:r>
        <w:rPr>
          <w:spacing w:val="-17"/>
        </w:rPr>
        <w:t xml:space="preserve"> </w:t>
      </w:r>
      <w:r>
        <w:t>It</w:t>
      </w:r>
      <w:r>
        <w:rPr>
          <w:spacing w:val="-18"/>
        </w:rPr>
        <w:t xml:space="preserve"> </w:t>
      </w:r>
      <w:r>
        <w:t>just</w:t>
      </w:r>
      <w:r>
        <w:rPr>
          <w:spacing w:val="-18"/>
        </w:rPr>
        <w:t xml:space="preserve"> </w:t>
      </w:r>
      <w:r>
        <w:t>happened. So,</w:t>
      </w:r>
      <w:r>
        <w:rPr>
          <w:spacing w:val="-7"/>
        </w:rPr>
        <w:t xml:space="preserve"> </w:t>
      </w:r>
      <w:r>
        <w:t>in</w:t>
      </w:r>
      <w:r>
        <w:rPr>
          <w:spacing w:val="-7"/>
        </w:rPr>
        <w:t xml:space="preserve"> </w:t>
      </w:r>
      <w:r>
        <w:t>the</w:t>
      </w:r>
      <w:r>
        <w:rPr>
          <w:spacing w:val="-7"/>
        </w:rPr>
        <w:t xml:space="preserve"> </w:t>
      </w:r>
      <w:r>
        <w:t>middle</w:t>
      </w:r>
      <w:r>
        <w:rPr>
          <w:spacing w:val="-7"/>
        </w:rPr>
        <w:t xml:space="preserve"> </w:t>
      </w:r>
      <w:r>
        <w:t>of</w:t>
      </w:r>
      <w:r>
        <w:rPr>
          <w:spacing w:val="-7"/>
        </w:rPr>
        <w:t xml:space="preserve"> </w:t>
      </w:r>
      <w:r>
        <w:t>a</w:t>
      </w:r>
      <w:r>
        <w:rPr>
          <w:spacing w:val="-7"/>
        </w:rPr>
        <w:t xml:space="preserve"> </w:t>
      </w:r>
      <w:r>
        <w:t>test,</w:t>
      </w:r>
      <w:r>
        <w:rPr>
          <w:spacing w:val="-7"/>
        </w:rPr>
        <w:t xml:space="preserve"> </w:t>
      </w:r>
      <w:r>
        <w:t>you</w:t>
      </w:r>
      <w:r>
        <w:rPr>
          <w:spacing w:val="-7"/>
        </w:rPr>
        <w:t xml:space="preserve"> </w:t>
      </w:r>
      <w:r>
        <w:t>throw</w:t>
      </w:r>
      <w:r>
        <w:rPr>
          <w:spacing w:val="-7"/>
        </w:rPr>
        <w:t xml:space="preserve"> </w:t>
      </w:r>
      <w:r>
        <w:t>down</w:t>
      </w:r>
      <w:r>
        <w:rPr>
          <w:spacing w:val="-7"/>
        </w:rPr>
        <w:t xml:space="preserve"> </w:t>
      </w:r>
      <w:r>
        <w:t>your</w:t>
      </w:r>
      <w:r>
        <w:rPr>
          <w:spacing w:val="-7"/>
        </w:rPr>
        <w:t xml:space="preserve"> </w:t>
      </w:r>
      <w:r>
        <w:t>pen,</w:t>
      </w:r>
      <w:r>
        <w:rPr>
          <w:spacing w:val="-7"/>
        </w:rPr>
        <w:t xml:space="preserve"> </w:t>
      </w:r>
      <w:r>
        <w:t>bolt</w:t>
      </w:r>
      <w:r>
        <w:rPr>
          <w:spacing w:val="-7"/>
        </w:rPr>
        <w:t xml:space="preserve"> </w:t>
      </w:r>
      <w:r>
        <w:t>out</w:t>
      </w:r>
      <w:r>
        <w:rPr>
          <w:spacing w:val="-7"/>
        </w:rPr>
        <w:t xml:space="preserve"> </w:t>
      </w:r>
      <w:r>
        <w:t>of</w:t>
      </w:r>
      <w:r>
        <w:rPr>
          <w:spacing w:val="-7"/>
        </w:rPr>
        <w:t xml:space="preserve"> </w:t>
      </w:r>
      <w:r>
        <w:t>the</w:t>
      </w:r>
      <w:r>
        <w:rPr>
          <w:spacing w:val="-7"/>
        </w:rPr>
        <w:t xml:space="preserve"> </w:t>
      </w:r>
      <w:r>
        <w:t>room,</w:t>
      </w:r>
      <w:r>
        <w:rPr>
          <w:spacing w:val="-6"/>
        </w:rPr>
        <w:t xml:space="preserve"> </w:t>
      </w:r>
      <w:r>
        <w:rPr>
          <w:spacing w:val="-5"/>
        </w:rPr>
        <w:t>and</w:t>
      </w:r>
    </w:p>
    <w:p w14:paraId="7E001C4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44" w14:textId="77777777" w:rsidR="009A58DB" w:rsidRDefault="00000000">
      <w:pPr>
        <w:pStyle w:val="BodyText"/>
        <w:spacing w:before="70"/>
      </w:pPr>
      <w:r>
        <w:lastRenderedPageBreak/>
        <w:t>get</w:t>
      </w:r>
      <w:r>
        <w:rPr>
          <w:spacing w:val="-19"/>
        </w:rPr>
        <w:t xml:space="preserve"> </w:t>
      </w:r>
      <w:r>
        <w:t>to</w:t>
      </w:r>
      <w:r>
        <w:rPr>
          <w:spacing w:val="-16"/>
        </w:rPr>
        <w:t xml:space="preserve"> </w:t>
      </w:r>
      <w:r>
        <w:t>work</w:t>
      </w:r>
      <w:r>
        <w:rPr>
          <w:spacing w:val="-15"/>
        </w:rPr>
        <w:t xml:space="preserve"> </w:t>
      </w:r>
      <w:r>
        <w:t>as</w:t>
      </w:r>
      <w:r>
        <w:rPr>
          <w:spacing w:val="-16"/>
        </w:rPr>
        <w:t xml:space="preserve"> </w:t>
      </w:r>
      <w:r>
        <w:t>a</w:t>
      </w:r>
      <w:r>
        <w:rPr>
          <w:spacing w:val="-16"/>
        </w:rPr>
        <w:t xml:space="preserve"> </w:t>
      </w:r>
      <w:r>
        <w:t>drug</w:t>
      </w:r>
      <w:r>
        <w:rPr>
          <w:spacing w:val="-15"/>
        </w:rPr>
        <w:t xml:space="preserve"> </w:t>
      </w:r>
      <w:r>
        <w:rPr>
          <w:spacing w:val="-2"/>
        </w:rPr>
        <w:t>dealer.</w:t>
      </w:r>
    </w:p>
    <w:p w14:paraId="7E001C45" w14:textId="77777777" w:rsidR="009A58DB" w:rsidRDefault="00000000">
      <w:pPr>
        <w:pStyle w:val="BodyText"/>
        <w:spacing w:before="10" w:line="249" w:lineRule="auto"/>
        <w:ind w:right="359" w:firstLine="360"/>
      </w:pPr>
      <w:r>
        <w:t>Does this sound like a freely made choice? No. It sounds more like a compulsion. It’s as though you were “taken over” by another person and lost control of your body.</w:t>
      </w:r>
      <w:r>
        <w:rPr>
          <w:spacing w:val="-8"/>
        </w:rPr>
        <w:t xml:space="preserve"> </w:t>
      </w:r>
      <w:r>
        <w:t>Again, we see that indeterminism doesn’t help freedom and actually undermines it.</w:t>
      </w:r>
    </w:p>
    <w:p w14:paraId="7E001C46" w14:textId="77777777" w:rsidR="009A58DB" w:rsidRDefault="00000000">
      <w:pPr>
        <w:pStyle w:val="Heading1"/>
        <w:numPr>
          <w:ilvl w:val="0"/>
          <w:numId w:val="98"/>
        </w:numPr>
        <w:tabs>
          <w:tab w:val="left" w:pos="990"/>
        </w:tabs>
        <w:spacing w:before="163"/>
        <w:ind w:left="990"/>
      </w:pPr>
      <w:r>
        <w:t>The</w:t>
      </w:r>
      <w:r>
        <w:rPr>
          <w:spacing w:val="-6"/>
        </w:rPr>
        <w:t xml:space="preserve"> </w:t>
      </w:r>
      <w:r>
        <w:t>Compatibilist</w:t>
      </w:r>
      <w:r>
        <w:rPr>
          <w:spacing w:val="-6"/>
        </w:rPr>
        <w:t xml:space="preserve"> </w:t>
      </w:r>
      <w:r>
        <w:t>Conception</w:t>
      </w:r>
      <w:r>
        <w:rPr>
          <w:spacing w:val="-6"/>
        </w:rPr>
        <w:t xml:space="preserve"> </w:t>
      </w:r>
      <w:r>
        <w:t>of</w:t>
      </w:r>
      <w:r>
        <w:rPr>
          <w:spacing w:val="-5"/>
        </w:rPr>
        <w:t xml:space="preserve"> </w:t>
      </w:r>
      <w:r>
        <w:rPr>
          <w:spacing w:val="-2"/>
        </w:rPr>
        <w:t>Freedom</w:t>
      </w:r>
    </w:p>
    <w:p w14:paraId="7E001C47" w14:textId="77777777" w:rsidR="009A58DB" w:rsidRDefault="00000000">
      <w:pPr>
        <w:pStyle w:val="BodyText"/>
        <w:spacing w:before="139" w:line="249" w:lineRule="auto"/>
        <w:ind w:right="361"/>
      </w:pPr>
      <w:r>
        <w:t>The problem is that, as we saw, determinism</w:t>
      </w:r>
      <w:r>
        <w:rPr>
          <w:spacing w:val="-19"/>
        </w:rPr>
        <w:t xml:space="preserve"> </w:t>
      </w:r>
      <w:r>
        <w:rPr>
          <w:i/>
        </w:rPr>
        <w:t>also</w:t>
      </w:r>
      <w:r>
        <w:rPr>
          <w:i/>
          <w:spacing w:val="-19"/>
        </w:rPr>
        <w:t xml:space="preserve"> </w:t>
      </w:r>
      <w:r>
        <w:t>seems to threaten freedom. Obviously</w:t>
      </w:r>
      <w:r>
        <w:rPr>
          <w:spacing w:val="-14"/>
        </w:rPr>
        <w:t xml:space="preserve"> </w:t>
      </w:r>
      <w:r>
        <w:t>you</w:t>
      </w:r>
      <w:r>
        <w:rPr>
          <w:spacing w:val="-14"/>
        </w:rPr>
        <w:t xml:space="preserve"> </w:t>
      </w:r>
      <w:r>
        <w:t>have</w:t>
      </w:r>
      <w:r>
        <w:rPr>
          <w:spacing w:val="-14"/>
        </w:rPr>
        <w:t xml:space="preserve"> </w:t>
      </w:r>
      <w:r>
        <w:t>no</w:t>
      </w:r>
      <w:r>
        <w:rPr>
          <w:spacing w:val="-14"/>
        </w:rPr>
        <w:t xml:space="preserve"> </w:t>
      </w:r>
      <w:r>
        <w:t>control</w:t>
      </w:r>
      <w:r>
        <w:rPr>
          <w:spacing w:val="-14"/>
        </w:rPr>
        <w:t xml:space="preserve"> </w:t>
      </w:r>
      <w:r>
        <w:t>over</w:t>
      </w:r>
      <w:r>
        <w:rPr>
          <w:spacing w:val="-14"/>
        </w:rPr>
        <w:t xml:space="preserve"> </w:t>
      </w:r>
      <w:r>
        <w:t>the</w:t>
      </w:r>
      <w:r>
        <w:rPr>
          <w:spacing w:val="-14"/>
        </w:rPr>
        <w:t xml:space="preserve"> </w:t>
      </w:r>
      <w:r>
        <w:t>past.</w:t>
      </w:r>
      <w:r>
        <w:rPr>
          <w:spacing w:val="-14"/>
        </w:rPr>
        <w:t xml:space="preserve"> </w:t>
      </w:r>
      <w:r>
        <w:t>If</w:t>
      </w:r>
      <w:r>
        <w:rPr>
          <w:spacing w:val="-14"/>
        </w:rPr>
        <w:t xml:space="preserve"> </w:t>
      </w:r>
      <w:r>
        <w:t>determinism</w:t>
      </w:r>
      <w:r>
        <w:rPr>
          <w:spacing w:val="-14"/>
        </w:rPr>
        <w:t xml:space="preserve"> </w:t>
      </w:r>
      <w:r>
        <w:t>is</w:t>
      </w:r>
      <w:r>
        <w:rPr>
          <w:spacing w:val="-14"/>
        </w:rPr>
        <w:t xml:space="preserve"> </w:t>
      </w:r>
      <w:r>
        <w:t>right,</w:t>
      </w:r>
      <w:r>
        <w:rPr>
          <w:spacing w:val="-14"/>
        </w:rPr>
        <w:t xml:space="preserve"> </w:t>
      </w:r>
      <w:r>
        <w:t>then</w:t>
      </w:r>
      <w:r>
        <w:rPr>
          <w:spacing w:val="-13"/>
        </w:rPr>
        <w:t xml:space="preserve"> </w:t>
      </w:r>
      <w:r>
        <w:t xml:space="preserve">what happened in the past completely determines exactly what’s happening in the </w:t>
      </w:r>
      <w:r>
        <w:rPr>
          <w:spacing w:val="-2"/>
        </w:rPr>
        <w:t>present</w:t>
      </w:r>
      <w:r>
        <w:rPr>
          <w:spacing w:val="-17"/>
        </w:rPr>
        <w:t xml:space="preserve"> </w:t>
      </w:r>
      <w:r>
        <w:rPr>
          <w:spacing w:val="-2"/>
        </w:rPr>
        <w:t>and,</w:t>
      </w:r>
      <w:r>
        <w:rPr>
          <w:spacing w:val="-17"/>
        </w:rPr>
        <w:t xml:space="preserve"> </w:t>
      </w:r>
      <w:r>
        <w:rPr>
          <w:spacing w:val="-2"/>
        </w:rPr>
        <w:t>in</w:t>
      </w:r>
      <w:r>
        <w:rPr>
          <w:spacing w:val="-17"/>
        </w:rPr>
        <w:t xml:space="preserve"> </w:t>
      </w:r>
      <w:r>
        <w:rPr>
          <w:spacing w:val="-2"/>
        </w:rPr>
        <w:t>particular,</w:t>
      </w:r>
      <w:r>
        <w:rPr>
          <w:spacing w:val="-16"/>
        </w:rPr>
        <w:t xml:space="preserve"> </w:t>
      </w:r>
      <w:r>
        <w:rPr>
          <w:spacing w:val="-2"/>
        </w:rPr>
        <w:t>completely</w:t>
      </w:r>
      <w:r>
        <w:rPr>
          <w:spacing w:val="-17"/>
        </w:rPr>
        <w:t xml:space="preserve"> </w:t>
      </w:r>
      <w:r>
        <w:rPr>
          <w:spacing w:val="-2"/>
        </w:rPr>
        <w:t>fixes</w:t>
      </w:r>
      <w:r>
        <w:rPr>
          <w:spacing w:val="-17"/>
        </w:rPr>
        <w:t xml:space="preserve"> </w:t>
      </w:r>
      <w:r>
        <w:rPr>
          <w:spacing w:val="-2"/>
        </w:rPr>
        <w:t>what</w:t>
      </w:r>
      <w:r>
        <w:rPr>
          <w:spacing w:val="-17"/>
        </w:rPr>
        <w:t xml:space="preserve"> </w:t>
      </w:r>
      <w:r>
        <w:rPr>
          <w:spacing w:val="-2"/>
        </w:rPr>
        <w:t>choices</w:t>
      </w:r>
      <w:r>
        <w:rPr>
          <w:spacing w:val="-16"/>
        </w:rPr>
        <w:t xml:space="preserve"> </w:t>
      </w:r>
      <w:r>
        <w:rPr>
          <w:spacing w:val="-2"/>
        </w:rPr>
        <w:t>you’re</w:t>
      </w:r>
      <w:r>
        <w:rPr>
          <w:spacing w:val="-17"/>
        </w:rPr>
        <w:t xml:space="preserve"> </w:t>
      </w:r>
      <w:r>
        <w:rPr>
          <w:spacing w:val="-2"/>
        </w:rPr>
        <w:t>making</w:t>
      </w:r>
      <w:r>
        <w:rPr>
          <w:spacing w:val="-17"/>
        </w:rPr>
        <w:t xml:space="preserve"> </w:t>
      </w:r>
      <w:r>
        <w:rPr>
          <w:spacing w:val="-2"/>
        </w:rPr>
        <w:t>now.</w:t>
      </w:r>
      <w:r>
        <w:rPr>
          <w:spacing w:val="-17"/>
        </w:rPr>
        <w:t xml:space="preserve"> </w:t>
      </w:r>
      <w:r>
        <w:rPr>
          <w:spacing w:val="-2"/>
        </w:rPr>
        <w:t xml:space="preserve">So </w:t>
      </w:r>
      <w:r>
        <w:t xml:space="preserve">something over which you have no control is completely responsible for the </w:t>
      </w:r>
      <w:r>
        <w:rPr>
          <w:spacing w:val="-2"/>
        </w:rPr>
        <w:t>choices</w:t>
      </w:r>
      <w:r>
        <w:rPr>
          <w:spacing w:val="-17"/>
        </w:rPr>
        <w:t xml:space="preserve"> </w:t>
      </w:r>
      <w:r>
        <w:rPr>
          <w:spacing w:val="-2"/>
        </w:rPr>
        <w:t>that</w:t>
      </w:r>
      <w:r>
        <w:rPr>
          <w:spacing w:val="-17"/>
        </w:rPr>
        <w:t xml:space="preserve"> </w:t>
      </w:r>
      <w:r>
        <w:rPr>
          <w:spacing w:val="-2"/>
        </w:rPr>
        <w:t>you’re</w:t>
      </w:r>
      <w:r>
        <w:rPr>
          <w:spacing w:val="-17"/>
        </w:rPr>
        <w:t xml:space="preserve"> </w:t>
      </w:r>
      <w:r>
        <w:rPr>
          <w:spacing w:val="-2"/>
        </w:rPr>
        <w:t>making.</w:t>
      </w:r>
      <w:r>
        <w:rPr>
          <w:spacing w:val="-16"/>
        </w:rPr>
        <w:t xml:space="preserve"> </w:t>
      </w:r>
      <w:r>
        <w:rPr>
          <w:spacing w:val="-2"/>
        </w:rPr>
        <w:t>It’s</w:t>
      </w:r>
      <w:r>
        <w:rPr>
          <w:spacing w:val="-17"/>
        </w:rPr>
        <w:t xml:space="preserve"> </w:t>
      </w:r>
      <w:r>
        <w:rPr>
          <w:spacing w:val="-2"/>
        </w:rPr>
        <w:t>hard</w:t>
      </w:r>
      <w:r>
        <w:rPr>
          <w:spacing w:val="-17"/>
        </w:rPr>
        <w:t xml:space="preserve"> </w:t>
      </w:r>
      <w:r>
        <w:rPr>
          <w:spacing w:val="-2"/>
        </w:rPr>
        <w:t>to</w:t>
      </w:r>
      <w:r>
        <w:rPr>
          <w:spacing w:val="-17"/>
        </w:rPr>
        <w:t xml:space="preserve"> </w:t>
      </w:r>
      <w:r>
        <w:rPr>
          <w:spacing w:val="-2"/>
        </w:rPr>
        <w:t>see</w:t>
      </w:r>
      <w:r>
        <w:rPr>
          <w:spacing w:val="-16"/>
        </w:rPr>
        <w:t xml:space="preserve"> </w:t>
      </w:r>
      <w:r>
        <w:rPr>
          <w:spacing w:val="-2"/>
        </w:rPr>
        <w:t>how,</w:t>
      </w:r>
      <w:r>
        <w:rPr>
          <w:spacing w:val="-17"/>
        </w:rPr>
        <w:t xml:space="preserve"> </w:t>
      </w:r>
      <w:r>
        <w:rPr>
          <w:spacing w:val="-2"/>
        </w:rPr>
        <w:t>under</w:t>
      </w:r>
      <w:r>
        <w:rPr>
          <w:spacing w:val="-17"/>
        </w:rPr>
        <w:t xml:space="preserve"> </w:t>
      </w:r>
      <w:r>
        <w:rPr>
          <w:spacing w:val="-2"/>
        </w:rPr>
        <w:t>these</w:t>
      </w:r>
      <w:r>
        <w:rPr>
          <w:spacing w:val="-17"/>
        </w:rPr>
        <w:t xml:space="preserve"> </w:t>
      </w:r>
      <w:r>
        <w:rPr>
          <w:spacing w:val="-2"/>
        </w:rPr>
        <w:t>circumstances,</w:t>
      </w:r>
      <w:r>
        <w:rPr>
          <w:spacing w:val="-16"/>
        </w:rPr>
        <w:t xml:space="preserve"> </w:t>
      </w:r>
      <w:r>
        <w:rPr>
          <w:spacing w:val="-2"/>
        </w:rPr>
        <w:t xml:space="preserve">you </w:t>
      </w:r>
      <w:r>
        <w:t>could be said to have free will.</w:t>
      </w:r>
    </w:p>
    <w:p w14:paraId="7E001C48" w14:textId="77777777" w:rsidR="009A58DB" w:rsidRDefault="00000000">
      <w:pPr>
        <w:spacing w:before="8" w:line="249" w:lineRule="auto"/>
        <w:ind w:left="360" w:right="361" w:firstLine="360"/>
        <w:jc w:val="both"/>
        <w:rPr>
          <w:b/>
          <w:i/>
          <w:sz w:val="30"/>
        </w:rPr>
      </w:pPr>
      <w:r>
        <w:rPr>
          <w:sz w:val="30"/>
        </w:rPr>
        <w:t>Nonetheless,</w:t>
      </w:r>
      <w:r>
        <w:rPr>
          <w:spacing w:val="-6"/>
          <w:sz w:val="30"/>
        </w:rPr>
        <w:t xml:space="preserve"> </w:t>
      </w:r>
      <w:r>
        <w:rPr>
          <w:sz w:val="30"/>
        </w:rPr>
        <w:t>some hold that there</w:t>
      </w:r>
      <w:r>
        <w:rPr>
          <w:spacing w:val="-19"/>
          <w:sz w:val="30"/>
        </w:rPr>
        <w:t xml:space="preserve"> </w:t>
      </w:r>
      <w:r>
        <w:rPr>
          <w:i/>
          <w:sz w:val="30"/>
        </w:rPr>
        <w:t>can</w:t>
      </w:r>
      <w:r>
        <w:rPr>
          <w:i/>
          <w:spacing w:val="-19"/>
          <w:sz w:val="30"/>
        </w:rPr>
        <w:t xml:space="preserve"> </w:t>
      </w:r>
      <w:r>
        <w:rPr>
          <w:sz w:val="30"/>
        </w:rPr>
        <w:t>be</w:t>
      </w:r>
      <w:r>
        <w:rPr>
          <w:spacing w:val="-3"/>
          <w:sz w:val="30"/>
        </w:rPr>
        <w:t xml:space="preserve"> </w:t>
      </w:r>
      <w:r>
        <w:rPr>
          <w:sz w:val="30"/>
        </w:rPr>
        <w:t>free</w:t>
      </w:r>
      <w:r>
        <w:rPr>
          <w:spacing w:val="-4"/>
          <w:sz w:val="30"/>
        </w:rPr>
        <w:t xml:space="preserve"> </w:t>
      </w:r>
      <w:r>
        <w:rPr>
          <w:sz w:val="30"/>
        </w:rPr>
        <w:t>will</w:t>
      </w:r>
      <w:r>
        <w:rPr>
          <w:spacing w:val="-4"/>
          <w:sz w:val="30"/>
        </w:rPr>
        <w:t xml:space="preserve"> </w:t>
      </w:r>
      <w:r>
        <w:rPr>
          <w:sz w:val="30"/>
        </w:rPr>
        <w:t>in</w:t>
      </w:r>
      <w:r>
        <w:rPr>
          <w:spacing w:val="-3"/>
          <w:sz w:val="30"/>
        </w:rPr>
        <w:t xml:space="preserve"> </w:t>
      </w:r>
      <w:r>
        <w:rPr>
          <w:sz w:val="30"/>
        </w:rPr>
        <w:t>a</w:t>
      </w:r>
      <w:r>
        <w:rPr>
          <w:spacing w:val="-3"/>
          <w:sz w:val="30"/>
        </w:rPr>
        <w:t xml:space="preserve"> </w:t>
      </w:r>
      <w:r>
        <w:rPr>
          <w:sz w:val="30"/>
        </w:rPr>
        <w:t>deterministic</w:t>
      </w:r>
      <w:r>
        <w:rPr>
          <w:spacing w:val="-3"/>
          <w:sz w:val="30"/>
        </w:rPr>
        <w:t xml:space="preserve"> </w:t>
      </w:r>
      <w:r>
        <w:rPr>
          <w:sz w:val="30"/>
        </w:rPr>
        <w:t>world. Such people are known as</w:t>
      </w:r>
      <w:r>
        <w:rPr>
          <w:spacing w:val="-10"/>
          <w:sz w:val="30"/>
        </w:rPr>
        <w:t xml:space="preserve"> </w:t>
      </w:r>
      <w:r>
        <w:rPr>
          <w:b/>
          <w:i/>
          <w:sz w:val="30"/>
        </w:rPr>
        <w:t>compatibilists.</w:t>
      </w:r>
      <w:r>
        <w:rPr>
          <w:b/>
          <w:i/>
          <w:spacing w:val="-9"/>
          <w:sz w:val="30"/>
        </w:rPr>
        <w:t xml:space="preserve"> </w:t>
      </w:r>
      <w:r>
        <w:rPr>
          <w:sz w:val="30"/>
        </w:rPr>
        <w:t xml:space="preserve">Those who deny it are </w:t>
      </w:r>
      <w:r>
        <w:rPr>
          <w:b/>
          <w:i/>
          <w:spacing w:val="-2"/>
          <w:sz w:val="30"/>
        </w:rPr>
        <w:t>incompatibilists.</w:t>
      </w:r>
    </w:p>
    <w:p w14:paraId="7E001C49" w14:textId="77777777" w:rsidR="009A58DB" w:rsidRDefault="009A58DB">
      <w:pPr>
        <w:pStyle w:val="BodyText"/>
        <w:spacing w:before="267"/>
        <w:ind w:left="0"/>
        <w:jc w:val="left"/>
        <w:rPr>
          <w:b/>
          <w:i/>
        </w:rPr>
      </w:pPr>
    </w:p>
    <w:p w14:paraId="7E001C4A" w14:textId="77777777" w:rsidR="009A58DB" w:rsidRDefault="00000000">
      <w:pPr>
        <w:pStyle w:val="Heading1"/>
        <w:numPr>
          <w:ilvl w:val="1"/>
          <w:numId w:val="98"/>
        </w:numPr>
        <w:tabs>
          <w:tab w:val="left" w:pos="990"/>
        </w:tabs>
        <w:spacing w:before="0"/>
      </w:pPr>
      <w:r>
        <w:t>The</w:t>
      </w:r>
      <w:r>
        <w:rPr>
          <w:spacing w:val="-3"/>
        </w:rPr>
        <w:t xml:space="preserve"> </w:t>
      </w:r>
      <w:r>
        <w:t>crude</w:t>
      </w:r>
      <w:r>
        <w:rPr>
          <w:spacing w:val="-3"/>
        </w:rPr>
        <w:t xml:space="preserve"> </w:t>
      </w:r>
      <w:r>
        <w:t>form</w:t>
      </w:r>
      <w:r>
        <w:rPr>
          <w:spacing w:val="-3"/>
        </w:rPr>
        <w:t xml:space="preserve"> </w:t>
      </w:r>
      <w:r>
        <w:t>of</w:t>
      </w:r>
      <w:r>
        <w:rPr>
          <w:spacing w:val="-3"/>
        </w:rPr>
        <w:t xml:space="preserve"> </w:t>
      </w:r>
      <w:r>
        <w:rPr>
          <w:spacing w:val="-2"/>
        </w:rPr>
        <w:t>compatibilism</w:t>
      </w:r>
    </w:p>
    <w:p w14:paraId="7E001C4B" w14:textId="77777777" w:rsidR="009A58DB" w:rsidRDefault="00000000">
      <w:pPr>
        <w:pStyle w:val="BodyText"/>
        <w:spacing w:before="139" w:line="249" w:lineRule="auto"/>
        <w:ind w:right="824"/>
      </w:pPr>
      <w:r>
        <w:t>There</w:t>
      </w:r>
      <w:r>
        <w:rPr>
          <w:spacing w:val="-5"/>
        </w:rPr>
        <w:t xml:space="preserve"> </w:t>
      </w:r>
      <w:r>
        <w:t>are</w:t>
      </w:r>
      <w:r>
        <w:rPr>
          <w:spacing w:val="-5"/>
        </w:rPr>
        <w:t xml:space="preserve"> </w:t>
      </w:r>
      <w:r>
        <w:t>ultimately</w:t>
      </w:r>
      <w:r>
        <w:rPr>
          <w:spacing w:val="-4"/>
        </w:rPr>
        <w:t xml:space="preserve"> </w:t>
      </w:r>
      <w:r>
        <w:t>two</w:t>
      </w:r>
      <w:r>
        <w:rPr>
          <w:spacing w:val="-4"/>
        </w:rPr>
        <w:t xml:space="preserve"> </w:t>
      </w:r>
      <w:r>
        <w:t>different</w:t>
      </w:r>
      <w:r>
        <w:rPr>
          <w:spacing w:val="-5"/>
        </w:rPr>
        <w:t xml:space="preserve"> </w:t>
      </w:r>
      <w:r>
        <w:t>forms</w:t>
      </w:r>
      <w:r>
        <w:rPr>
          <w:spacing w:val="-5"/>
        </w:rPr>
        <w:t xml:space="preserve"> </w:t>
      </w:r>
      <w:r>
        <w:t>of</w:t>
      </w:r>
      <w:r>
        <w:rPr>
          <w:spacing w:val="-5"/>
        </w:rPr>
        <w:t xml:space="preserve"> </w:t>
      </w:r>
      <w:r>
        <w:t>compatibilism.</w:t>
      </w:r>
      <w:r>
        <w:rPr>
          <w:spacing w:val="-4"/>
        </w:rPr>
        <w:t xml:space="preserve"> </w:t>
      </w:r>
      <w:r>
        <w:t>One</w:t>
      </w:r>
      <w:r>
        <w:rPr>
          <w:spacing w:val="-5"/>
        </w:rPr>
        <w:t xml:space="preserve"> </w:t>
      </w:r>
      <w:r>
        <w:t>of</w:t>
      </w:r>
      <w:r>
        <w:rPr>
          <w:spacing w:val="-5"/>
        </w:rPr>
        <w:t xml:space="preserve"> </w:t>
      </w:r>
      <w:r>
        <w:t>these</w:t>
      </w:r>
      <w:r>
        <w:rPr>
          <w:spacing w:val="-5"/>
        </w:rPr>
        <w:t xml:space="preserve"> </w:t>
      </w:r>
      <w:r>
        <w:t>is very straightforward; the other is quite sophisticated.</w:t>
      </w:r>
    </w:p>
    <w:p w14:paraId="7E001C4C" w14:textId="77777777" w:rsidR="009A58DB" w:rsidRDefault="00000000">
      <w:pPr>
        <w:pStyle w:val="BodyText"/>
        <w:spacing w:before="2" w:line="249" w:lineRule="auto"/>
        <w:ind w:right="359" w:firstLine="360"/>
        <w:rPr>
          <w:position w:val="21"/>
        </w:rPr>
      </w:pPr>
      <w:r>
        <w:t>According to the straightforward version, which we’ll discuss in this section, you are free to the extent that you can do what you want, and you are unfree to the extent that you cannot. If you want to leave your room and you can,</w:t>
      </w:r>
      <w:r>
        <w:rPr>
          <w:spacing w:val="-1"/>
        </w:rPr>
        <w:t xml:space="preserve"> </w:t>
      </w:r>
      <w:r>
        <w:t>you</w:t>
      </w:r>
      <w:r>
        <w:rPr>
          <w:spacing w:val="-1"/>
        </w:rPr>
        <w:t xml:space="preserve"> </w:t>
      </w:r>
      <w:r>
        <w:t>are</w:t>
      </w:r>
      <w:r>
        <w:rPr>
          <w:spacing w:val="-1"/>
        </w:rPr>
        <w:t xml:space="preserve"> </w:t>
      </w:r>
      <w:r>
        <w:t>free.</w:t>
      </w:r>
      <w:r>
        <w:rPr>
          <w:spacing w:val="-1"/>
        </w:rPr>
        <w:t xml:space="preserve"> </w:t>
      </w:r>
      <w:r>
        <w:t>(In</w:t>
      </w:r>
      <w:r>
        <w:rPr>
          <w:spacing w:val="-1"/>
        </w:rPr>
        <w:t xml:space="preserve"> </w:t>
      </w:r>
      <w:r>
        <w:t>any</w:t>
      </w:r>
      <w:r>
        <w:rPr>
          <w:spacing w:val="-1"/>
        </w:rPr>
        <w:t xml:space="preserve"> </w:t>
      </w:r>
      <w:r>
        <w:t>case,</w:t>
      </w:r>
      <w:r>
        <w:rPr>
          <w:spacing w:val="-1"/>
        </w:rPr>
        <w:t xml:space="preserve"> </w:t>
      </w:r>
      <w:r>
        <w:t>you’re</w:t>
      </w:r>
      <w:r>
        <w:rPr>
          <w:spacing w:val="-1"/>
        </w:rPr>
        <w:t xml:space="preserve"> </w:t>
      </w:r>
      <w:r>
        <w:t>free</w:t>
      </w:r>
      <w:r>
        <w:rPr>
          <w:spacing w:val="-1"/>
        </w:rPr>
        <w:t xml:space="preserve"> </w:t>
      </w:r>
      <w:r>
        <w:rPr>
          <w:i/>
        </w:rPr>
        <w:t>in</w:t>
      </w:r>
      <w:r>
        <w:rPr>
          <w:i/>
          <w:spacing w:val="-2"/>
        </w:rPr>
        <w:t xml:space="preserve"> </w:t>
      </w:r>
      <w:r>
        <w:rPr>
          <w:i/>
        </w:rPr>
        <w:t>that</w:t>
      </w:r>
      <w:r>
        <w:rPr>
          <w:i/>
          <w:spacing w:val="-3"/>
        </w:rPr>
        <w:t xml:space="preserve"> </w:t>
      </w:r>
      <w:r>
        <w:rPr>
          <w:i/>
        </w:rPr>
        <w:t>respect.</w:t>
      </w:r>
      <w:r>
        <w:rPr>
          <w:i/>
          <w:spacing w:val="-2"/>
        </w:rPr>
        <w:t xml:space="preserve"> </w:t>
      </w:r>
      <w:r>
        <w:t>You may be unfree in other respects; e.g., once you leave the room, you may want to leave the house you’re in but not be able to.) According to the other version of compatibilism, which we’ll discuss in Section 4.2, being able to do what you want, though necessary for freedom, isn’t sufficient for it. It is necessary also that your choices be adequately rooted in who you are as a person</w:t>
      </w:r>
      <w:bookmarkStart w:id="383" w:name="_bookmark383"/>
      <w:bookmarkEnd w:id="383"/>
      <w:r>
        <w:t>.</w:t>
      </w:r>
      <w:r>
        <w:rPr>
          <w:color w:val="0562C1"/>
          <w:position w:val="21"/>
          <w:u w:val="single" w:color="0562C1"/>
        </w:rPr>
        <w:t>[269]</w:t>
      </w:r>
    </w:p>
    <w:p w14:paraId="7E001C4D" w14:textId="77777777" w:rsidR="009A58DB" w:rsidRDefault="00000000">
      <w:pPr>
        <w:pStyle w:val="Heading1"/>
        <w:numPr>
          <w:ilvl w:val="2"/>
          <w:numId w:val="98"/>
        </w:numPr>
        <w:tabs>
          <w:tab w:val="left" w:pos="1305"/>
        </w:tabs>
        <w:spacing w:before="199"/>
      </w:pPr>
      <w:r>
        <w:t>G.E.</w:t>
      </w:r>
      <w:r>
        <w:rPr>
          <w:spacing w:val="-4"/>
        </w:rPr>
        <w:t xml:space="preserve"> </w:t>
      </w:r>
      <w:r>
        <w:t>Moore’s</w:t>
      </w:r>
      <w:r>
        <w:rPr>
          <w:spacing w:val="-3"/>
        </w:rPr>
        <w:t xml:space="preserve"> </w:t>
      </w:r>
      <w:r>
        <w:rPr>
          <w:spacing w:val="-2"/>
        </w:rPr>
        <w:t>compatibilism</w:t>
      </w:r>
    </w:p>
    <w:p w14:paraId="7E001C4E" w14:textId="77777777" w:rsidR="009A58DB" w:rsidRDefault="00000000">
      <w:pPr>
        <w:pStyle w:val="BodyText"/>
        <w:spacing w:before="140"/>
      </w:pPr>
      <w:r>
        <w:t>According to</w:t>
      </w:r>
      <w:r>
        <w:rPr>
          <w:spacing w:val="5"/>
        </w:rPr>
        <w:t xml:space="preserve"> </w:t>
      </w:r>
      <w:r>
        <w:t>G.E.</w:t>
      </w:r>
      <w:r>
        <w:rPr>
          <w:spacing w:val="4"/>
        </w:rPr>
        <w:t xml:space="preserve"> </w:t>
      </w:r>
      <w:r>
        <w:t>Moore</w:t>
      </w:r>
      <w:r>
        <w:rPr>
          <w:spacing w:val="4"/>
        </w:rPr>
        <w:t xml:space="preserve"> </w:t>
      </w:r>
      <w:r>
        <w:t>(1873–1958)</w:t>
      </w:r>
      <w:bookmarkStart w:id="384" w:name="_bookmark384"/>
      <w:bookmarkEnd w:id="384"/>
      <w:r>
        <w:t>,</w:t>
      </w:r>
      <w:r>
        <w:rPr>
          <w:color w:val="0562C1"/>
          <w:position w:val="21"/>
          <w:u w:val="single" w:color="0562C1"/>
        </w:rPr>
        <w:t>[270]</w:t>
      </w:r>
      <w:r>
        <w:rPr>
          <w:color w:val="0562C1"/>
          <w:spacing w:val="-19"/>
          <w:position w:val="21"/>
        </w:rPr>
        <w:t xml:space="preserve"> </w:t>
      </w:r>
      <w:r>
        <w:t>an</w:t>
      </w:r>
      <w:r>
        <w:rPr>
          <w:spacing w:val="7"/>
        </w:rPr>
        <w:t xml:space="preserve"> </w:t>
      </w:r>
      <w:r>
        <w:t>act</w:t>
      </w:r>
      <w:r>
        <w:rPr>
          <w:spacing w:val="6"/>
        </w:rPr>
        <w:t xml:space="preserve"> </w:t>
      </w:r>
      <w:r>
        <w:t>is</w:t>
      </w:r>
      <w:r>
        <w:rPr>
          <w:spacing w:val="7"/>
        </w:rPr>
        <w:t xml:space="preserve"> </w:t>
      </w:r>
      <w:r>
        <w:t>performed</w:t>
      </w:r>
      <w:r>
        <w:rPr>
          <w:spacing w:val="6"/>
        </w:rPr>
        <w:t xml:space="preserve"> </w:t>
      </w:r>
      <w:r>
        <w:t>freely</w:t>
      </w:r>
      <w:r>
        <w:rPr>
          <w:spacing w:val="7"/>
        </w:rPr>
        <w:t xml:space="preserve"> </w:t>
      </w:r>
      <w:r>
        <w:t>if</w:t>
      </w:r>
      <w:r>
        <w:rPr>
          <w:spacing w:val="8"/>
        </w:rPr>
        <w:t xml:space="preserve"> </w:t>
      </w:r>
      <w:r>
        <w:rPr>
          <w:spacing w:val="-5"/>
        </w:rPr>
        <w:t>the</w:t>
      </w:r>
    </w:p>
    <w:p w14:paraId="7E001C4F" w14:textId="77777777" w:rsidR="009A58DB" w:rsidRDefault="009A58DB">
      <w:pPr>
        <w:pStyle w:val="BodyText"/>
        <w:sectPr w:rsidR="009A58DB">
          <w:pgSz w:w="12240" w:h="15840"/>
          <w:pgMar w:top="1380" w:right="1080" w:bottom="280" w:left="1080" w:header="720" w:footer="720" w:gutter="0"/>
          <w:cols w:space="720"/>
        </w:sectPr>
      </w:pPr>
    </w:p>
    <w:p w14:paraId="7E001C50" w14:textId="77777777" w:rsidR="009A58DB" w:rsidRDefault="00000000">
      <w:pPr>
        <w:pStyle w:val="BodyText"/>
        <w:spacing w:before="65" w:line="249" w:lineRule="auto"/>
        <w:ind w:right="358"/>
      </w:pPr>
      <w:r>
        <w:lastRenderedPageBreak/>
        <w:t xml:space="preserve">agent </w:t>
      </w:r>
      <w:r>
        <w:rPr>
          <w:i/>
        </w:rPr>
        <w:t xml:space="preserve">would </w:t>
      </w:r>
      <w:r>
        <w:t xml:space="preserve">have done something else </w:t>
      </w:r>
      <w:r>
        <w:rPr>
          <w:i/>
        </w:rPr>
        <w:t xml:space="preserve">if </w:t>
      </w:r>
      <w:r>
        <w:t>he had chosen to do so. An act is free if the agent “could have done otherwise.”</w:t>
      </w:r>
    </w:p>
    <w:p w14:paraId="7E001C51" w14:textId="77777777" w:rsidR="009A58DB" w:rsidRDefault="00000000">
      <w:pPr>
        <w:pStyle w:val="BodyText"/>
        <w:spacing w:before="2" w:line="249" w:lineRule="auto"/>
        <w:ind w:right="359" w:firstLine="360"/>
      </w:pPr>
      <w:r>
        <w:t>The idea is pretty straightforward. Although I’m considering striking Harry, I choose not to. But, immediately upon making that choice, an extremely strong person grabs my arm and forces me to hit Harry. My act</w:t>
      </w:r>
      <w:r>
        <w:rPr>
          <w:spacing w:val="40"/>
        </w:rPr>
        <w:t xml:space="preserve"> </w:t>
      </w:r>
      <w:r>
        <w:t>was clearly unfree. But why? Because, says Moore, even though I chose to</w:t>
      </w:r>
      <w:r>
        <w:rPr>
          <w:spacing w:val="40"/>
        </w:rPr>
        <w:t xml:space="preserve"> </w:t>
      </w:r>
      <w:r>
        <w:t>do</w:t>
      </w:r>
      <w:r>
        <w:rPr>
          <w:spacing w:val="-2"/>
        </w:rPr>
        <w:t xml:space="preserve"> </w:t>
      </w:r>
      <w:r>
        <w:t>otherwise,</w:t>
      </w:r>
      <w:r>
        <w:rPr>
          <w:spacing w:val="-2"/>
        </w:rPr>
        <w:t xml:space="preserve"> </w:t>
      </w:r>
      <w:r>
        <w:t>I</w:t>
      </w:r>
      <w:r>
        <w:rPr>
          <w:spacing w:val="-2"/>
        </w:rPr>
        <w:t xml:space="preserve"> </w:t>
      </w:r>
      <w:r>
        <w:t>ended</w:t>
      </w:r>
      <w:r>
        <w:rPr>
          <w:spacing w:val="-2"/>
        </w:rPr>
        <w:t xml:space="preserve"> </w:t>
      </w:r>
      <w:r>
        <w:t>up</w:t>
      </w:r>
      <w:r>
        <w:rPr>
          <w:spacing w:val="-2"/>
        </w:rPr>
        <w:t xml:space="preserve"> </w:t>
      </w:r>
      <w:r>
        <w:t>striking</w:t>
      </w:r>
      <w:r>
        <w:rPr>
          <w:spacing w:val="-2"/>
        </w:rPr>
        <w:t xml:space="preserve"> </w:t>
      </w:r>
      <w:r>
        <w:t>Harry.</w:t>
      </w:r>
      <w:r>
        <w:rPr>
          <w:spacing w:val="-2"/>
        </w:rPr>
        <w:t xml:space="preserve"> </w:t>
      </w:r>
      <w:r>
        <w:t>Now</w:t>
      </w:r>
      <w:r>
        <w:rPr>
          <w:spacing w:val="-2"/>
        </w:rPr>
        <w:t xml:space="preserve"> </w:t>
      </w:r>
      <w:r>
        <w:t>suppose</w:t>
      </w:r>
      <w:r>
        <w:rPr>
          <w:spacing w:val="-2"/>
        </w:rPr>
        <w:t xml:space="preserve"> </w:t>
      </w:r>
      <w:r>
        <w:t>that</w:t>
      </w:r>
      <w:r>
        <w:rPr>
          <w:spacing w:val="-2"/>
        </w:rPr>
        <w:t xml:space="preserve"> </w:t>
      </w:r>
      <w:r>
        <w:t>I</w:t>
      </w:r>
      <w:r>
        <w:rPr>
          <w:spacing w:val="-2"/>
        </w:rPr>
        <w:t xml:space="preserve"> </w:t>
      </w:r>
      <w:r>
        <w:rPr>
          <w:i/>
        </w:rPr>
        <w:t xml:space="preserve">voluntarily </w:t>
      </w:r>
      <w:r>
        <w:t xml:space="preserve">strike Harry. I do it, not because somebody forces me to, but I don’t like Harry and want him to suffer. In this case, my act </w:t>
      </w:r>
      <w:r>
        <w:rPr>
          <w:i/>
        </w:rPr>
        <w:t xml:space="preserve">is </w:t>
      </w:r>
      <w:r>
        <w:t>free. But why? Because, says Moore, if I hadn’t chosen to strike Harry, I wouldn’t have done so. Thus, my striking Harry is voluntary, Moore says, iff I wouldn’t have done so had I chosen not to do so.</w:t>
      </w:r>
    </w:p>
    <w:p w14:paraId="7E001C52" w14:textId="77777777" w:rsidR="009A58DB" w:rsidRDefault="00000000">
      <w:pPr>
        <w:pStyle w:val="BodyText"/>
        <w:spacing w:before="12" w:line="249" w:lineRule="auto"/>
        <w:ind w:right="361" w:firstLine="360"/>
      </w:pPr>
      <w:r>
        <w:t>Moore’s</w:t>
      </w:r>
      <w:r>
        <w:rPr>
          <w:spacing w:val="-3"/>
        </w:rPr>
        <w:t xml:space="preserve"> </w:t>
      </w:r>
      <w:r>
        <w:t>position</w:t>
      </w:r>
      <w:r>
        <w:rPr>
          <w:spacing w:val="-2"/>
        </w:rPr>
        <w:t xml:space="preserve"> </w:t>
      </w:r>
      <w:r>
        <w:t>is</w:t>
      </w:r>
      <w:r>
        <w:rPr>
          <w:spacing w:val="-3"/>
        </w:rPr>
        <w:t xml:space="preserve"> </w:t>
      </w:r>
      <w:r>
        <w:t>a</w:t>
      </w:r>
      <w:r>
        <w:rPr>
          <w:spacing w:val="-3"/>
        </w:rPr>
        <w:t xml:space="preserve"> </w:t>
      </w:r>
      <w:r>
        <w:t>form</w:t>
      </w:r>
      <w:r>
        <w:rPr>
          <w:spacing w:val="-3"/>
        </w:rPr>
        <w:t xml:space="preserve"> </w:t>
      </w:r>
      <w:r>
        <w:t>of</w:t>
      </w:r>
      <w:r>
        <w:rPr>
          <w:spacing w:val="-3"/>
        </w:rPr>
        <w:t xml:space="preserve"> </w:t>
      </w:r>
      <w:r>
        <w:t>compatibilism.</w:t>
      </w:r>
      <w:r>
        <w:rPr>
          <w:spacing w:val="-2"/>
        </w:rPr>
        <w:t xml:space="preserve"> </w:t>
      </w:r>
      <w:r>
        <w:t>Free</w:t>
      </w:r>
      <w:r>
        <w:rPr>
          <w:spacing w:val="-3"/>
        </w:rPr>
        <w:t xml:space="preserve"> </w:t>
      </w:r>
      <w:r>
        <w:t>acts</w:t>
      </w:r>
      <w:r>
        <w:rPr>
          <w:spacing w:val="-3"/>
        </w:rPr>
        <w:t xml:space="preserve"> </w:t>
      </w:r>
      <w:r>
        <w:t>aren’t</w:t>
      </w:r>
      <w:r>
        <w:rPr>
          <w:spacing w:val="-3"/>
        </w:rPr>
        <w:t xml:space="preserve"> </w:t>
      </w:r>
      <w:r>
        <w:t>those</w:t>
      </w:r>
      <w:r>
        <w:rPr>
          <w:spacing w:val="-3"/>
        </w:rPr>
        <w:t xml:space="preserve"> </w:t>
      </w:r>
      <w:r>
        <w:t>that</w:t>
      </w:r>
      <w:r>
        <w:rPr>
          <w:spacing w:val="-3"/>
        </w:rPr>
        <w:t xml:space="preserve"> </w:t>
      </w:r>
      <w:r>
        <w:t xml:space="preserve">are uncaused; they’re those that are caused in a certain way—they’re those that are caused by decisions on the part of the people (or animals) who commit </w:t>
      </w:r>
      <w:r>
        <w:rPr>
          <w:spacing w:val="-2"/>
        </w:rPr>
        <w:t>them.</w:t>
      </w:r>
    </w:p>
    <w:p w14:paraId="7E001C53" w14:textId="77777777" w:rsidR="009A58DB" w:rsidRDefault="00000000">
      <w:pPr>
        <w:pStyle w:val="Heading1"/>
        <w:numPr>
          <w:ilvl w:val="2"/>
          <w:numId w:val="98"/>
        </w:numPr>
        <w:tabs>
          <w:tab w:val="left" w:pos="1305"/>
        </w:tabs>
        <w:spacing w:before="193"/>
      </w:pPr>
      <w:r>
        <w:t>Chisholm’s</w:t>
      </w:r>
      <w:r>
        <w:rPr>
          <w:spacing w:val="-8"/>
        </w:rPr>
        <w:t xml:space="preserve"> </w:t>
      </w:r>
      <w:r>
        <w:t>objection</w:t>
      </w:r>
      <w:r>
        <w:rPr>
          <w:spacing w:val="-6"/>
        </w:rPr>
        <w:t xml:space="preserve"> </w:t>
      </w:r>
      <w:r>
        <w:t>to</w:t>
      </w:r>
      <w:r>
        <w:rPr>
          <w:spacing w:val="-5"/>
        </w:rPr>
        <w:t xml:space="preserve"> </w:t>
      </w:r>
      <w:r>
        <w:t>Moore’s</w:t>
      </w:r>
      <w:r>
        <w:rPr>
          <w:spacing w:val="-5"/>
        </w:rPr>
        <w:t xml:space="preserve"> </w:t>
      </w:r>
      <w:r>
        <w:rPr>
          <w:spacing w:val="-2"/>
        </w:rPr>
        <w:t>analysis</w:t>
      </w:r>
    </w:p>
    <w:p w14:paraId="7E001C54" w14:textId="77777777" w:rsidR="009A58DB" w:rsidRDefault="00000000">
      <w:pPr>
        <w:pStyle w:val="BodyText"/>
        <w:spacing w:before="139" w:line="249" w:lineRule="auto"/>
        <w:ind w:right="361"/>
      </w:pPr>
      <w:r>
        <w:t xml:space="preserve">In </w:t>
      </w:r>
      <w:r>
        <w:rPr>
          <w:i/>
        </w:rPr>
        <w:t xml:space="preserve">Human Freedom and the Self, </w:t>
      </w:r>
      <w:r>
        <w:t xml:space="preserve">Roderick Chisholm (1916–1999) makes a compelling objection to this analysis. Let’s suppose that, if I had chosen not to strike Harry, I would indeed have refrained from doing so. Unless I was at liberty to </w:t>
      </w:r>
      <w:r>
        <w:rPr>
          <w:i/>
        </w:rPr>
        <w:t xml:space="preserve">not </w:t>
      </w:r>
      <w:r>
        <w:t>mak</w:t>
      </w:r>
      <w:bookmarkStart w:id="385" w:name="_bookmark385"/>
      <w:bookmarkEnd w:id="385"/>
      <w:r>
        <w:t>e</w:t>
      </w:r>
      <w:r>
        <w:rPr>
          <w:color w:val="0562C1"/>
          <w:position w:val="21"/>
          <w:u w:val="single" w:color="0562C1"/>
        </w:rPr>
        <w:t>[271]</w:t>
      </w:r>
      <w:r>
        <w:rPr>
          <w:color w:val="0562C1"/>
          <w:position w:val="21"/>
        </w:rPr>
        <w:t xml:space="preserve"> </w:t>
      </w:r>
      <w:r>
        <w:t xml:space="preserve">that choice, it’s hard to see how my doing so was free. If every choice I make is inevitable, then it’s irrelevant that, had I made different choices, I would have acted differently. For I </w:t>
      </w:r>
      <w:r>
        <w:rPr>
          <w:i/>
        </w:rPr>
        <w:t xml:space="preserve">couldn’t </w:t>
      </w:r>
      <w:r>
        <w:t xml:space="preserve">have made those choices under those circumstances, and I therefore </w:t>
      </w:r>
      <w:r>
        <w:rPr>
          <w:i/>
        </w:rPr>
        <w:t xml:space="preserve">couldn’t </w:t>
      </w:r>
      <w:r>
        <w:t>have acted in those ways. And if I couldn’t have acted in those ways, then I couldn’t have done anything other than what I did, making it hard to see how, in</w:t>
      </w:r>
      <w:r>
        <w:rPr>
          <w:spacing w:val="40"/>
        </w:rPr>
        <w:t xml:space="preserve"> </w:t>
      </w:r>
      <w:r>
        <w:t>acting as I did, I was acting freely.</w:t>
      </w:r>
    </w:p>
    <w:p w14:paraId="7E001C55" w14:textId="77777777" w:rsidR="009A58DB" w:rsidRDefault="00000000">
      <w:pPr>
        <w:pStyle w:val="Heading1"/>
        <w:numPr>
          <w:ilvl w:val="2"/>
          <w:numId w:val="98"/>
        </w:numPr>
        <w:tabs>
          <w:tab w:val="left" w:pos="1305"/>
        </w:tabs>
        <w:spacing w:before="216"/>
      </w:pPr>
      <w:r>
        <w:t>A</w:t>
      </w:r>
      <w:r>
        <w:rPr>
          <w:spacing w:val="-7"/>
        </w:rPr>
        <w:t xml:space="preserve"> </w:t>
      </w:r>
      <w:r>
        <w:t>Lockean</w:t>
      </w:r>
      <w:r>
        <w:rPr>
          <w:spacing w:val="-6"/>
        </w:rPr>
        <w:t xml:space="preserve"> </w:t>
      </w:r>
      <w:r>
        <w:t>counter-</w:t>
      </w:r>
      <w:r>
        <w:rPr>
          <w:spacing w:val="-2"/>
        </w:rPr>
        <w:t>objection</w:t>
      </w:r>
    </w:p>
    <w:p w14:paraId="7E001C56" w14:textId="77777777" w:rsidR="009A58DB" w:rsidRDefault="00000000">
      <w:pPr>
        <w:pStyle w:val="BodyText"/>
        <w:spacing w:before="139" w:line="249" w:lineRule="auto"/>
        <w:ind w:right="360"/>
      </w:pPr>
      <w:r>
        <w:t>Chisholm’s point is a good one, but it isn’t decisive. John Locke (1632–1704), who held a view similar to Moore’s, makes it clear that points like Chisholm’s</w:t>
      </w:r>
      <w:r>
        <w:rPr>
          <w:spacing w:val="-1"/>
        </w:rPr>
        <w:t xml:space="preserve"> </w:t>
      </w:r>
      <w:r>
        <w:t>don’t necessarily carry the day.</w:t>
      </w:r>
      <w:bookmarkStart w:id="386" w:name="_bookmark386"/>
      <w:bookmarkEnd w:id="386"/>
      <w:r>
        <w:rPr>
          <w:color w:val="0562C1"/>
          <w:position w:val="21"/>
          <w:u w:val="single" w:color="0562C1"/>
        </w:rPr>
        <w:t>[272]</w:t>
      </w:r>
      <w:r>
        <w:rPr>
          <w:color w:val="0562C1"/>
          <w:spacing w:val="-19"/>
          <w:position w:val="21"/>
        </w:rPr>
        <w:t xml:space="preserve"> </w:t>
      </w:r>
      <w:r>
        <w:t>In Locke’s view, freedom is a</w:t>
      </w:r>
      <w:r>
        <w:rPr>
          <w:spacing w:val="57"/>
        </w:rPr>
        <w:t xml:space="preserve"> </w:t>
      </w:r>
      <w:r>
        <w:t>property</w:t>
      </w:r>
      <w:r>
        <w:rPr>
          <w:spacing w:val="58"/>
        </w:rPr>
        <w:t xml:space="preserve"> </w:t>
      </w:r>
      <w:r>
        <w:t>of</w:t>
      </w:r>
      <w:r>
        <w:rPr>
          <w:spacing w:val="57"/>
        </w:rPr>
        <w:t xml:space="preserve"> </w:t>
      </w:r>
      <w:r>
        <w:rPr>
          <w:i/>
        </w:rPr>
        <w:t>actions.</w:t>
      </w:r>
      <w:r>
        <w:rPr>
          <w:i/>
          <w:spacing w:val="58"/>
        </w:rPr>
        <w:t xml:space="preserve"> </w:t>
      </w:r>
      <w:r>
        <w:t>It</w:t>
      </w:r>
      <w:r>
        <w:rPr>
          <w:spacing w:val="59"/>
        </w:rPr>
        <w:t xml:space="preserve"> </w:t>
      </w:r>
      <w:r>
        <w:t>makes</w:t>
      </w:r>
      <w:r>
        <w:rPr>
          <w:spacing w:val="59"/>
        </w:rPr>
        <w:t xml:space="preserve"> </w:t>
      </w:r>
      <w:r>
        <w:t>no</w:t>
      </w:r>
      <w:r>
        <w:rPr>
          <w:spacing w:val="60"/>
        </w:rPr>
        <w:t xml:space="preserve"> </w:t>
      </w:r>
      <w:r>
        <w:t>sense</w:t>
      </w:r>
      <w:r>
        <w:rPr>
          <w:spacing w:val="59"/>
        </w:rPr>
        <w:t xml:space="preserve"> </w:t>
      </w:r>
      <w:r>
        <w:t>to</w:t>
      </w:r>
      <w:r>
        <w:rPr>
          <w:spacing w:val="59"/>
        </w:rPr>
        <w:t xml:space="preserve"> </w:t>
      </w:r>
      <w:r>
        <w:t>speak</w:t>
      </w:r>
      <w:r>
        <w:rPr>
          <w:spacing w:val="59"/>
        </w:rPr>
        <w:t xml:space="preserve"> </w:t>
      </w:r>
      <w:r>
        <w:t>of</w:t>
      </w:r>
      <w:r>
        <w:rPr>
          <w:spacing w:val="59"/>
        </w:rPr>
        <w:t xml:space="preserve"> </w:t>
      </w:r>
      <w:r>
        <w:t>anything</w:t>
      </w:r>
      <w:r>
        <w:rPr>
          <w:spacing w:val="59"/>
        </w:rPr>
        <w:t xml:space="preserve"> </w:t>
      </w:r>
      <w:r>
        <w:t>other</w:t>
      </w:r>
      <w:r>
        <w:rPr>
          <w:spacing w:val="60"/>
        </w:rPr>
        <w:t xml:space="preserve"> </w:t>
      </w:r>
      <w:r>
        <w:rPr>
          <w:spacing w:val="-4"/>
        </w:rPr>
        <w:t>than</w:t>
      </w:r>
    </w:p>
    <w:p w14:paraId="7E001C5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58" w14:textId="77777777" w:rsidR="009A58DB" w:rsidRDefault="00000000">
      <w:pPr>
        <w:pStyle w:val="BodyText"/>
        <w:spacing w:before="70" w:line="249" w:lineRule="auto"/>
        <w:ind w:right="359"/>
      </w:pPr>
      <w:r>
        <w:lastRenderedPageBreak/>
        <w:t xml:space="preserve">actions as being free. Only things that one can </w:t>
      </w:r>
      <w:r>
        <w:rPr>
          <w:i/>
        </w:rPr>
        <w:t>intend</w:t>
      </w:r>
      <w:r>
        <w:rPr>
          <w:i/>
          <w:spacing w:val="-2"/>
        </w:rPr>
        <w:t xml:space="preserve"> </w:t>
      </w:r>
      <w:r>
        <w:t xml:space="preserve">to do are done freely. I can </w:t>
      </w:r>
      <w:r>
        <w:rPr>
          <w:i/>
        </w:rPr>
        <w:t xml:space="preserve">intend </w:t>
      </w:r>
      <w:r>
        <w:t xml:space="preserve">to do 20 push-ups, and that’s why I can do it freely. But I can’t </w:t>
      </w:r>
      <w:r>
        <w:rPr>
          <w:i/>
        </w:rPr>
        <w:t>intend</w:t>
      </w:r>
      <w:r>
        <w:rPr>
          <w:i/>
          <w:spacing w:val="-2"/>
        </w:rPr>
        <w:t xml:space="preserve"> </w:t>
      </w:r>
      <w:r>
        <w:t xml:space="preserve">to make a certain choice. What would it be to </w:t>
      </w:r>
      <w:r>
        <w:rPr>
          <w:i/>
        </w:rPr>
        <w:t>intend</w:t>
      </w:r>
      <w:r>
        <w:rPr>
          <w:i/>
          <w:spacing w:val="-2"/>
        </w:rPr>
        <w:t xml:space="preserve"> </w:t>
      </w:r>
      <w:r>
        <w:t>to make a certain choice</w:t>
      </w:r>
      <w:r>
        <w:rPr>
          <w:spacing w:val="-3"/>
        </w:rPr>
        <w:t xml:space="preserve"> </w:t>
      </w:r>
      <w:r>
        <w:t>(e.g.,</w:t>
      </w:r>
      <w:r>
        <w:rPr>
          <w:spacing w:val="-2"/>
        </w:rPr>
        <w:t xml:space="preserve"> </w:t>
      </w:r>
      <w:r>
        <w:t>to</w:t>
      </w:r>
      <w:r>
        <w:rPr>
          <w:spacing w:val="-2"/>
        </w:rPr>
        <w:t xml:space="preserve"> </w:t>
      </w:r>
      <w:r>
        <w:t>intend</w:t>
      </w:r>
      <w:r>
        <w:rPr>
          <w:spacing w:val="-2"/>
        </w:rPr>
        <w:t xml:space="preserve"> </w:t>
      </w:r>
      <w:r>
        <w:t>to</w:t>
      </w:r>
      <w:r>
        <w:rPr>
          <w:spacing w:val="-2"/>
        </w:rPr>
        <w:t xml:space="preserve"> </w:t>
      </w:r>
      <w:r>
        <w:t>do</w:t>
      </w:r>
      <w:r>
        <w:rPr>
          <w:spacing w:val="-2"/>
        </w:rPr>
        <w:t xml:space="preserve"> </w:t>
      </w:r>
      <w:r>
        <w:t>20</w:t>
      </w:r>
      <w:r>
        <w:rPr>
          <w:spacing w:val="-2"/>
        </w:rPr>
        <w:t xml:space="preserve"> </w:t>
      </w:r>
      <w:r>
        <w:t>push-ups)?</w:t>
      </w:r>
      <w:r>
        <w:rPr>
          <w:spacing w:val="-3"/>
        </w:rPr>
        <w:t xml:space="preserve"> </w:t>
      </w:r>
      <w:r>
        <w:t>If</w:t>
      </w:r>
      <w:r>
        <w:rPr>
          <w:spacing w:val="-3"/>
        </w:rPr>
        <w:t xml:space="preserve"> </w:t>
      </w:r>
      <w:r>
        <w:t>I</w:t>
      </w:r>
      <w:r>
        <w:rPr>
          <w:spacing w:val="-3"/>
        </w:rPr>
        <w:t xml:space="preserve"> </w:t>
      </w:r>
      <w:r>
        <w:t>really</w:t>
      </w:r>
      <w:r>
        <w:rPr>
          <w:spacing w:val="-2"/>
        </w:rPr>
        <w:t xml:space="preserve"> </w:t>
      </w:r>
      <w:r>
        <w:rPr>
          <w:i/>
        </w:rPr>
        <w:t>intend</w:t>
      </w:r>
      <w:r>
        <w:rPr>
          <w:i/>
          <w:spacing w:val="-2"/>
        </w:rPr>
        <w:t xml:space="preserve"> </w:t>
      </w:r>
      <w:r>
        <w:t>to</w:t>
      </w:r>
      <w:r>
        <w:rPr>
          <w:spacing w:val="-2"/>
        </w:rPr>
        <w:t xml:space="preserve"> </w:t>
      </w:r>
      <w:r>
        <w:t>choose</w:t>
      </w:r>
      <w:r>
        <w:rPr>
          <w:spacing w:val="-3"/>
        </w:rPr>
        <w:t xml:space="preserve"> </w:t>
      </w:r>
      <w:r>
        <w:t>to</w:t>
      </w:r>
      <w:r>
        <w:rPr>
          <w:spacing w:val="-2"/>
        </w:rPr>
        <w:t xml:space="preserve"> </w:t>
      </w:r>
      <w:r>
        <w:t>do</w:t>
      </w:r>
      <w:r>
        <w:rPr>
          <w:spacing w:val="-2"/>
        </w:rPr>
        <w:t xml:space="preserve"> </w:t>
      </w:r>
      <w:r>
        <w:t xml:space="preserve">20 push-ups, then, for that very reason, I </w:t>
      </w:r>
      <w:r>
        <w:rPr>
          <w:i/>
        </w:rPr>
        <w:t xml:space="preserve">have </w:t>
      </w:r>
      <w:r>
        <w:t>chosen to do 20 push-ups.</w:t>
      </w:r>
      <w:r>
        <w:rPr>
          <w:spacing w:val="40"/>
        </w:rPr>
        <w:t xml:space="preserve"> </w:t>
      </w:r>
      <w:r>
        <w:t>Second-order intentions (intentions to intend) collapse into first-order intentions. Thus, so far as it isn’t a pleonasm, the expression “intentional choice” is meaningless.</w:t>
      </w:r>
    </w:p>
    <w:p w14:paraId="7E001C59" w14:textId="77777777" w:rsidR="009A58DB" w:rsidRDefault="00000000">
      <w:pPr>
        <w:pStyle w:val="BodyText"/>
        <w:spacing w:before="4" w:line="249" w:lineRule="auto"/>
        <w:ind w:right="362" w:firstLine="360"/>
      </w:pPr>
      <w:r>
        <w:t xml:space="preserve">Locke’s argument is a good one. But in a while, we’ll see that, according to one, quite defensible form of compatibilism, choices </w:t>
      </w:r>
      <w:r>
        <w:rPr>
          <w:i/>
        </w:rPr>
        <w:t>can</w:t>
      </w:r>
      <w:r>
        <w:rPr>
          <w:i/>
          <w:spacing w:val="-3"/>
        </w:rPr>
        <w:t xml:space="preserve"> </w:t>
      </w:r>
      <w:r>
        <w:t xml:space="preserve">be made freely—that, in fact, freedom is </w:t>
      </w:r>
      <w:r>
        <w:rPr>
          <w:i/>
        </w:rPr>
        <w:t xml:space="preserve">primarily </w:t>
      </w:r>
      <w:r>
        <w:t>a property of choices and only secondarily of acts.</w:t>
      </w:r>
    </w:p>
    <w:p w14:paraId="7E001C5A" w14:textId="77777777" w:rsidR="009A58DB" w:rsidRDefault="00000000">
      <w:pPr>
        <w:pStyle w:val="ListParagraph"/>
        <w:numPr>
          <w:ilvl w:val="2"/>
          <w:numId w:val="98"/>
        </w:numPr>
        <w:tabs>
          <w:tab w:val="left" w:pos="1313"/>
        </w:tabs>
        <w:spacing w:before="193" w:line="244" w:lineRule="auto"/>
        <w:ind w:left="360" w:right="365" w:firstLine="0"/>
        <w:rPr>
          <w:b/>
          <w:sz w:val="42"/>
        </w:rPr>
      </w:pPr>
      <w:r>
        <w:rPr>
          <w:b/>
          <w:sz w:val="42"/>
        </w:rPr>
        <w:t>Frankfurt’s refutation of Moore: why “x acted freely” ≠ “x could have done otherwise”</w:t>
      </w:r>
    </w:p>
    <w:p w14:paraId="7E001C5B" w14:textId="77777777" w:rsidR="009A58DB" w:rsidRDefault="00000000">
      <w:pPr>
        <w:pStyle w:val="BodyText"/>
        <w:spacing w:before="132" w:line="249" w:lineRule="auto"/>
        <w:ind w:right="358"/>
      </w:pPr>
      <w:r>
        <w:t xml:space="preserve">Harry Frankfurt (1929–) decisively demonstrated the falsity of Moore’s position by identifying scenarios in which somebody performs some act freely even though that person could </w:t>
      </w:r>
      <w:r>
        <w:rPr>
          <w:i/>
        </w:rPr>
        <w:t>not</w:t>
      </w:r>
      <w:r>
        <w:rPr>
          <w:i/>
          <w:spacing w:val="-3"/>
        </w:rPr>
        <w:t xml:space="preserve"> </w:t>
      </w:r>
      <w:r>
        <w:t>have abstained from performing that act</w:t>
      </w:r>
      <w:bookmarkStart w:id="387" w:name="_bookmark387"/>
      <w:bookmarkEnd w:id="387"/>
      <w:r>
        <w:t>.</w:t>
      </w:r>
      <w:r>
        <w:rPr>
          <w:color w:val="0562C1"/>
          <w:position w:val="21"/>
          <w:u w:val="single" w:color="0562C1"/>
        </w:rPr>
        <w:t>[273]</w:t>
      </w:r>
      <w:r>
        <w:rPr>
          <w:color w:val="0562C1"/>
          <w:position w:val="21"/>
        </w:rPr>
        <w:t xml:space="preserve"> </w:t>
      </w:r>
      <w:r>
        <w:t>Here is such a scenario:</w:t>
      </w:r>
    </w:p>
    <w:p w14:paraId="7E001C5C" w14:textId="77777777" w:rsidR="009A58DB" w:rsidRDefault="009A58DB">
      <w:pPr>
        <w:pStyle w:val="BodyText"/>
        <w:spacing w:before="20"/>
        <w:ind w:left="0"/>
        <w:jc w:val="left"/>
      </w:pPr>
    </w:p>
    <w:p w14:paraId="7E001C5D" w14:textId="77777777" w:rsidR="009A58DB" w:rsidRDefault="00000000">
      <w:pPr>
        <w:pStyle w:val="BodyText"/>
        <w:spacing w:line="249" w:lineRule="auto"/>
        <w:ind w:left="720" w:right="654"/>
      </w:pPr>
      <w:r>
        <w:t>(S</w:t>
      </w:r>
      <w:bookmarkStart w:id="388" w:name="_bookmark388"/>
      <w:bookmarkEnd w:id="388"/>
      <w:r>
        <w:t>M</w:t>
      </w:r>
      <w:r>
        <w:rPr>
          <w:color w:val="0562C1"/>
          <w:position w:val="21"/>
          <w:u w:val="single" w:color="0562C1"/>
        </w:rPr>
        <w:t>[274]</w:t>
      </w:r>
      <w:r>
        <w:t>) Mr. Smith intends to kill Mr. Jones. Like Mr. Smith, Mrs. Green also wants Mr. Jones dead. But Smith doesn’t want to go to jail for murder. Without Smith’s knowing it, she installs a microchip in his cranium. (We needn’t worry about how exactly she does this or how exactly the microchip works.) By means of this microchip, she can control Smith’s actions—she can make him do whatever she wants. She knows that Smith is intent on killing Jones. But if Smith should get cold feet, Mrs. Green will use the microchip to force Smith to go through with it. Smith doesn’t know about the microchip; nor does he even</w:t>
      </w:r>
      <w:r>
        <w:rPr>
          <w:spacing w:val="40"/>
        </w:rPr>
        <w:t xml:space="preserve"> </w:t>
      </w:r>
      <w:r>
        <w:t>know</w:t>
      </w:r>
      <w:r>
        <w:rPr>
          <w:spacing w:val="-5"/>
        </w:rPr>
        <w:t xml:space="preserve"> </w:t>
      </w:r>
      <w:r>
        <w:t>of</w:t>
      </w:r>
      <w:r>
        <w:rPr>
          <w:spacing w:val="-5"/>
        </w:rPr>
        <w:t xml:space="preserve"> </w:t>
      </w:r>
      <w:r>
        <w:t>Green’s</w:t>
      </w:r>
      <w:r>
        <w:rPr>
          <w:spacing w:val="-5"/>
        </w:rPr>
        <w:t xml:space="preserve"> </w:t>
      </w:r>
      <w:r>
        <w:t>existence.</w:t>
      </w:r>
      <w:r>
        <w:rPr>
          <w:spacing w:val="-4"/>
        </w:rPr>
        <w:t xml:space="preserve"> </w:t>
      </w:r>
      <w:r>
        <w:t>Smith</w:t>
      </w:r>
      <w:r>
        <w:rPr>
          <w:spacing w:val="-4"/>
        </w:rPr>
        <w:t xml:space="preserve"> </w:t>
      </w:r>
      <w:r>
        <w:t>kills</w:t>
      </w:r>
      <w:r>
        <w:rPr>
          <w:spacing w:val="-5"/>
        </w:rPr>
        <w:t xml:space="preserve"> </w:t>
      </w:r>
      <w:r>
        <w:t>Jones—he</w:t>
      </w:r>
      <w:r>
        <w:rPr>
          <w:spacing w:val="-5"/>
        </w:rPr>
        <w:t xml:space="preserve"> </w:t>
      </w:r>
      <w:r>
        <w:t>doesn’t</w:t>
      </w:r>
      <w:r>
        <w:rPr>
          <w:spacing w:val="-5"/>
        </w:rPr>
        <w:t xml:space="preserve"> </w:t>
      </w:r>
      <w:r>
        <w:t>chicken</w:t>
      </w:r>
      <w:r>
        <w:rPr>
          <w:spacing w:val="-4"/>
        </w:rPr>
        <w:t xml:space="preserve"> </w:t>
      </w:r>
      <w:r>
        <w:t>out</w:t>
      </w:r>
      <w:r>
        <w:rPr>
          <w:spacing w:val="-5"/>
        </w:rPr>
        <w:t xml:space="preserve"> </w:t>
      </w:r>
      <w:r>
        <w:t xml:space="preserve">at the last minute. And he does so freely (at least insofar as anyone does anything freely—he is not in the grips of any delusions or compulsions, </w:t>
      </w:r>
      <w:r>
        <w:rPr>
          <w:spacing w:val="-2"/>
        </w:rPr>
        <w:t>etc.).</w:t>
      </w:r>
    </w:p>
    <w:p w14:paraId="7E001C5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5F" w14:textId="77777777" w:rsidR="009A58DB" w:rsidRDefault="00000000">
      <w:pPr>
        <w:pStyle w:val="BodyText"/>
        <w:spacing w:before="65" w:line="249" w:lineRule="auto"/>
        <w:ind w:right="360" w:firstLine="360"/>
      </w:pPr>
      <w:r>
        <w:lastRenderedPageBreak/>
        <w:t xml:space="preserve">Thus, Smith freely kills Jones, even though Smith could not have done otherwise. For had he decided at the last minute </w:t>
      </w:r>
      <w:r>
        <w:rPr>
          <w:i/>
        </w:rPr>
        <w:t xml:space="preserve">not </w:t>
      </w:r>
      <w:r>
        <w:t>to kill Jones, Green would have forced him to.</w:t>
      </w:r>
    </w:p>
    <w:p w14:paraId="7E001C60" w14:textId="77777777" w:rsidR="009A58DB" w:rsidRDefault="00000000">
      <w:pPr>
        <w:pStyle w:val="BodyText"/>
        <w:spacing w:before="3" w:line="249" w:lineRule="auto"/>
        <w:ind w:right="360" w:firstLine="360"/>
      </w:pPr>
      <w:r>
        <w:t xml:space="preserve">Hence, contrary to what Moore alleges, “x performs act A freely” is </w:t>
      </w:r>
      <w:r>
        <w:rPr>
          <w:i/>
        </w:rPr>
        <w:t xml:space="preserve">not </w:t>
      </w:r>
      <w:r>
        <w:t xml:space="preserve">equivalent with “x does A and, had x chosen </w:t>
      </w:r>
      <w:r>
        <w:rPr>
          <w:i/>
        </w:rPr>
        <w:t xml:space="preserve">not </w:t>
      </w:r>
      <w:r>
        <w:t>to do A, x would not have done A.”</w:t>
      </w:r>
    </w:p>
    <w:p w14:paraId="7E001C61" w14:textId="77777777" w:rsidR="009A58DB" w:rsidRDefault="00000000">
      <w:pPr>
        <w:pStyle w:val="Heading1"/>
        <w:numPr>
          <w:ilvl w:val="2"/>
          <w:numId w:val="98"/>
        </w:numPr>
        <w:tabs>
          <w:tab w:val="left" w:pos="1305"/>
        </w:tabs>
        <w:spacing w:before="192"/>
      </w:pPr>
      <w:r>
        <w:t>The</w:t>
      </w:r>
      <w:r>
        <w:rPr>
          <w:spacing w:val="-8"/>
        </w:rPr>
        <w:t xml:space="preserve"> </w:t>
      </w:r>
      <w:r>
        <w:t>irrelevance</w:t>
      </w:r>
      <w:r>
        <w:rPr>
          <w:spacing w:val="-6"/>
        </w:rPr>
        <w:t xml:space="preserve"> </w:t>
      </w:r>
      <w:r>
        <w:t>of</w:t>
      </w:r>
      <w:r>
        <w:rPr>
          <w:spacing w:val="-6"/>
        </w:rPr>
        <w:t xml:space="preserve"> </w:t>
      </w:r>
      <w:r>
        <w:t>Frankfurt’s</w:t>
      </w:r>
      <w:r>
        <w:rPr>
          <w:spacing w:val="-5"/>
        </w:rPr>
        <w:t xml:space="preserve"> </w:t>
      </w:r>
      <w:r>
        <w:rPr>
          <w:spacing w:val="-2"/>
        </w:rPr>
        <w:t>analysis</w:t>
      </w:r>
    </w:p>
    <w:p w14:paraId="7E001C62" w14:textId="77777777" w:rsidR="009A58DB" w:rsidRDefault="00000000">
      <w:pPr>
        <w:pStyle w:val="BodyText"/>
        <w:spacing w:before="139" w:line="249" w:lineRule="auto"/>
        <w:ind w:right="362"/>
      </w:pPr>
      <w:r>
        <w:t xml:space="preserve">But even though, interpreted narrowly, Moore’s analysis is false, it’s really just a misguided way of stating the principle, which Frankfurt’s argument does nothing to undermine, that a free act is one that is choice-driven. Moore was led to equate “x acted freely” with “x could have done otherwise” </w:t>
      </w:r>
      <w:r>
        <w:rPr>
          <w:i/>
        </w:rPr>
        <w:t>not</w:t>
      </w:r>
      <w:r>
        <w:rPr>
          <w:i/>
          <w:spacing w:val="-3"/>
        </w:rPr>
        <w:t xml:space="preserve"> </w:t>
      </w:r>
      <w:r>
        <w:t>by a misconception concerning the nature of freedom, but by his acceptance of a certain analysis of causality—the so-called “</w:t>
      </w:r>
      <w:r>
        <w:rPr>
          <w:b/>
          <w:i/>
        </w:rPr>
        <w:t>counterfactual analysis of causality</w:t>
      </w:r>
      <w:r>
        <w:t>” (CFA). According to CFA, x caused y to occur just in case if x hadn’t happened, y wouldn’t have happened. “Smith’s pushing the button caused the elevator to come” means the same thing as “if Smith hadn’t pushed the button, the elevator wouldn’t have come.”</w:t>
      </w:r>
    </w:p>
    <w:p w14:paraId="7E001C63" w14:textId="77777777" w:rsidR="009A58DB" w:rsidRDefault="00000000">
      <w:pPr>
        <w:pStyle w:val="BodyText"/>
        <w:spacing w:before="12" w:line="249" w:lineRule="auto"/>
        <w:ind w:right="365" w:firstLine="360"/>
      </w:pPr>
      <w:r>
        <w:t>CFA is wrong. This is because there is causal redundancy in the world. I push the elevator button, causing the elevator to come; but if I hadn’t pushed it,</w:t>
      </w:r>
      <w:r>
        <w:rPr>
          <w:spacing w:val="48"/>
        </w:rPr>
        <w:t xml:space="preserve"> </w:t>
      </w:r>
      <w:r>
        <w:t>one</w:t>
      </w:r>
      <w:r>
        <w:rPr>
          <w:spacing w:val="50"/>
        </w:rPr>
        <w:t xml:space="preserve"> </w:t>
      </w:r>
      <w:r>
        <w:t>of</w:t>
      </w:r>
      <w:r>
        <w:rPr>
          <w:spacing w:val="49"/>
        </w:rPr>
        <w:t xml:space="preserve"> </w:t>
      </w:r>
      <w:r>
        <w:t>the</w:t>
      </w:r>
      <w:r>
        <w:rPr>
          <w:spacing w:val="49"/>
        </w:rPr>
        <w:t xml:space="preserve"> </w:t>
      </w:r>
      <w:r>
        <w:t>other</w:t>
      </w:r>
      <w:r>
        <w:rPr>
          <w:spacing w:val="50"/>
        </w:rPr>
        <w:t xml:space="preserve"> </w:t>
      </w:r>
      <w:r>
        <w:t>20</w:t>
      </w:r>
      <w:r>
        <w:rPr>
          <w:spacing w:val="49"/>
        </w:rPr>
        <w:t xml:space="preserve"> </w:t>
      </w:r>
      <w:r>
        <w:t>people</w:t>
      </w:r>
      <w:r>
        <w:rPr>
          <w:spacing w:val="50"/>
        </w:rPr>
        <w:t xml:space="preserve"> </w:t>
      </w:r>
      <w:r>
        <w:t>waiting</w:t>
      </w:r>
      <w:r>
        <w:rPr>
          <w:spacing w:val="48"/>
        </w:rPr>
        <w:t xml:space="preserve"> </w:t>
      </w:r>
      <w:r>
        <w:t>for</w:t>
      </w:r>
      <w:r>
        <w:rPr>
          <w:spacing w:val="50"/>
        </w:rPr>
        <w:t xml:space="preserve"> </w:t>
      </w:r>
      <w:r>
        <w:t>it</w:t>
      </w:r>
      <w:r>
        <w:rPr>
          <w:spacing w:val="49"/>
        </w:rPr>
        <w:t xml:space="preserve"> </w:t>
      </w:r>
      <w:r>
        <w:t>would</w:t>
      </w:r>
      <w:r>
        <w:rPr>
          <w:spacing w:val="50"/>
        </w:rPr>
        <w:t xml:space="preserve"> </w:t>
      </w:r>
      <w:r>
        <w:t>have</w:t>
      </w:r>
      <w:r>
        <w:rPr>
          <w:spacing w:val="49"/>
        </w:rPr>
        <w:t xml:space="preserve"> </w:t>
      </w:r>
      <w:r>
        <w:t>done</w:t>
      </w:r>
      <w:r>
        <w:rPr>
          <w:spacing w:val="49"/>
        </w:rPr>
        <w:t xml:space="preserve"> </w:t>
      </w:r>
      <w:r>
        <w:t>so,</w:t>
      </w:r>
      <w:r>
        <w:rPr>
          <w:spacing w:val="50"/>
        </w:rPr>
        <w:t xml:space="preserve"> </w:t>
      </w:r>
      <w:r>
        <w:t>and</w:t>
      </w:r>
      <w:r>
        <w:rPr>
          <w:spacing w:val="50"/>
        </w:rPr>
        <w:t xml:space="preserve"> </w:t>
      </w:r>
      <w:r>
        <w:rPr>
          <w:spacing w:val="-5"/>
        </w:rPr>
        <w:t>the</w:t>
      </w:r>
    </w:p>
    <w:p w14:paraId="7E001C64" w14:textId="77777777" w:rsidR="009A58DB" w:rsidRDefault="00000000">
      <w:pPr>
        <w:pStyle w:val="BodyText"/>
        <w:spacing w:before="4" w:line="277" w:lineRule="exact"/>
        <w:ind w:left="0" w:right="2246"/>
        <w:jc w:val="center"/>
      </w:pPr>
      <w:bookmarkStart w:id="389" w:name="_bookmark389"/>
      <w:bookmarkEnd w:id="389"/>
      <w:r>
        <w:rPr>
          <w:color w:val="0562C1"/>
          <w:spacing w:val="-2"/>
          <w:u w:val="single" w:color="0562C1"/>
        </w:rPr>
        <w:t>[275]</w:t>
      </w:r>
    </w:p>
    <w:p w14:paraId="7E001C65" w14:textId="77777777" w:rsidR="009A58DB" w:rsidRDefault="00000000">
      <w:pPr>
        <w:pStyle w:val="BodyText"/>
        <w:spacing w:line="277" w:lineRule="exact"/>
        <w:ind w:left="326" w:right="6452"/>
        <w:jc w:val="center"/>
      </w:pPr>
      <w:r>
        <w:t>elevator</w:t>
      </w:r>
      <w:r>
        <w:rPr>
          <w:spacing w:val="-4"/>
        </w:rPr>
        <w:t xml:space="preserve"> </w:t>
      </w:r>
      <w:r>
        <w:t>would</w:t>
      </w:r>
      <w:r>
        <w:rPr>
          <w:spacing w:val="-3"/>
        </w:rPr>
        <w:t xml:space="preserve"> </w:t>
      </w:r>
      <w:r>
        <w:t>have</w:t>
      </w:r>
      <w:r>
        <w:rPr>
          <w:spacing w:val="-3"/>
        </w:rPr>
        <w:t xml:space="preserve"> </w:t>
      </w:r>
      <w:r>
        <w:rPr>
          <w:spacing w:val="-4"/>
        </w:rPr>
        <w:t>come.</w:t>
      </w:r>
    </w:p>
    <w:p w14:paraId="7E001C66" w14:textId="77777777" w:rsidR="009A58DB" w:rsidRDefault="00000000">
      <w:pPr>
        <w:pStyle w:val="BodyText"/>
        <w:spacing w:before="15"/>
        <w:ind w:left="0" w:right="3166"/>
        <w:jc w:val="center"/>
      </w:pPr>
      <w:r>
        <w:t>But</w:t>
      </w:r>
      <w:r>
        <w:rPr>
          <w:spacing w:val="-3"/>
        </w:rPr>
        <w:t xml:space="preserve"> </w:t>
      </w:r>
      <w:r>
        <w:t>a</w:t>
      </w:r>
      <w:r>
        <w:rPr>
          <w:spacing w:val="-3"/>
        </w:rPr>
        <w:t xml:space="preserve"> </w:t>
      </w:r>
      <w:r>
        <w:t>close</w:t>
      </w:r>
      <w:r>
        <w:rPr>
          <w:spacing w:val="-3"/>
        </w:rPr>
        <w:t xml:space="preserve"> </w:t>
      </w:r>
      <w:r>
        <w:t>cousin</w:t>
      </w:r>
      <w:r>
        <w:rPr>
          <w:spacing w:val="-2"/>
        </w:rPr>
        <w:t xml:space="preserve"> </w:t>
      </w:r>
      <w:r>
        <w:t>of</w:t>
      </w:r>
      <w:r>
        <w:rPr>
          <w:spacing w:val="-3"/>
        </w:rPr>
        <w:t xml:space="preserve"> </w:t>
      </w:r>
      <w:r>
        <w:t>CFA</w:t>
      </w:r>
      <w:r>
        <w:rPr>
          <w:spacing w:val="-3"/>
        </w:rPr>
        <w:t xml:space="preserve"> </w:t>
      </w:r>
      <w:r>
        <w:t>is</w:t>
      </w:r>
      <w:r>
        <w:rPr>
          <w:spacing w:val="-3"/>
        </w:rPr>
        <w:t xml:space="preserve"> </w:t>
      </w:r>
      <w:r>
        <w:t>correct,</w:t>
      </w:r>
      <w:r>
        <w:rPr>
          <w:spacing w:val="-2"/>
        </w:rPr>
        <w:t xml:space="preserve"> namely:</w:t>
      </w:r>
    </w:p>
    <w:p w14:paraId="7E001C67" w14:textId="77777777" w:rsidR="009A58DB" w:rsidRDefault="009A58DB">
      <w:pPr>
        <w:pStyle w:val="BodyText"/>
        <w:spacing w:before="30"/>
        <w:ind w:left="0"/>
        <w:jc w:val="left"/>
      </w:pPr>
    </w:p>
    <w:p w14:paraId="7E001C68" w14:textId="77777777" w:rsidR="009A58DB" w:rsidRDefault="00000000">
      <w:pPr>
        <w:pStyle w:val="BodyText"/>
        <w:spacing w:line="249" w:lineRule="auto"/>
        <w:ind w:right="358"/>
      </w:pPr>
      <w:r>
        <w:t xml:space="preserve">(CFA*) x caused y to occur just in case, if x hadn’t happened, then </w:t>
      </w:r>
      <w:r>
        <w:rPr>
          <w:b/>
          <w:i/>
        </w:rPr>
        <w:t xml:space="preserve">ceteris paribus </w:t>
      </w:r>
      <w:r>
        <w:t>y wouldn’t have happened.</w:t>
      </w:r>
    </w:p>
    <w:p w14:paraId="7E001C69" w14:textId="77777777" w:rsidR="009A58DB" w:rsidRDefault="009A58DB">
      <w:pPr>
        <w:pStyle w:val="BodyText"/>
        <w:spacing w:before="17"/>
        <w:ind w:left="0"/>
        <w:jc w:val="left"/>
      </w:pPr>
    </w:p>
    <w:p w14:paraId="7E001C6A" w14:textId="77777777" w:rsidR="009A58DB" w:rsidRDefault="00000000">
      <w:pPr>
        <w:pStyle w:val="BodyText"/>
        <w:spacing w:before="1"/>
        <w:ind w:left="720"/>
        <w:jc w:val="left"/>
      </w:pPr>
      <w:r>
        <w:t>Similarly,</w:t>
      </w:r>
      <w:r>
        <w:rPr>
          <w:spacing w:val="-5"/>
        </w:rPr>
        <w:t xml:space="preserve"> </w:t>
      </w:r>
      <w:r>
        <w:t>even</w:t>
      </w:r>
      <w:r>
        <w:rPr>
          <w:spacing w:val="-3"/>
        </w:rPr>
        <w:t xml:space="preserve"> </w:t>
      </w:r>
      <w:r>
        <w:t>though,</w:t>
      </w:r>
      <w:r>
        <w:rPr>
          <w:spacing w:val="-3"/>
        </w:rPr>
        <w:t xml:space="preserve"> </w:t>
      </w:r>
      <w:r>
        <w:t>for</w:t>
      </w:r>
      <w:r>
        <w:rPr>
          <w:spacing w:val="-3"/>
        </w:rPr>
        <w:t xml:space="preserve"> </w:t>
      </w:r>
      <w:r>
        <w:t>the</w:t>
      </w:r>
      <w:r>
        <w:rPr>
          <w:spacing w:val="-4"/>
        </w:rPr>
        <w:t xml:space="preserve"> </w:t>
      </w:r>
      <w:r>
        <w:t>reasons</w:t>
      </w:r>
      <w:r>
        <w:rPr>
          <w:spacing w:val="-4"/>
        </w:rPr>
        <w:t xml:space="preserve"> </w:t>
      </w:r>
      <w:r>
        <w:t>just</w:t>
      </w:r>
      <w:r>
        <w:rPr>
          <w:spacing w:val="-3"/>
        </w:rPr>
        <w:t xml:space="preserve"> </w:t>
      </w:r>
      <w:r>
        <w:rPr>
          <w:spacing w:val="-2"/>
        </w:rPr>
        <w:t>given,</w:t>
      </w:r>
    </w:p>
    <w:p w14:paraId="7E001C6B" w14:textId="77777777" w:rsidR="009A58DB" w:rsidRDefault="009A58DB">
      <w:pPr>
        <w:pStyle w:val="BodyText"/>
        <w:spacing w:before="29"/>
        <w:ind w:left="0"/>
        <w:jc w:val="left"/>
      </w:pPr>
    </w:p>
    <w:p w14:paraId="7E001C6C" w14:textId="77777777" w:rsidR="009A58DB" w:rsidRDefault="00000000">
      <w:pPr>
        <w:pStyle w:val="BodyText"/>
        <w:tabs>
          <w:tab w:val="left" w:pos="1851"/>
        </w:tabs>
        <w:spacing w:before="1" w:line="249" w:lineRule="auto"/>
        <w:ind w:right="369"/>
      </w:pPr>
      <w:r>
        <w:rPr>
          <w:noProof/>
        </w:rPr>
        <mc:AlternateContent>
          <mc:Choice Requires="wps">
            <w:drawing>
              <wp:anchor distT="0" distB="0" distL="0" distR="0" simplePos="0" relativeHeight="480340480" behindDoc="1" locked="0" layoutInCell="1" allowOverlap="1" wp14:anchorId="7E00328C" wp14:editId="7E00328D">
                <wp:simplePos x="0" y="0"/>
                <wp:positionH relativeFrom="page">
                  <wp:posOffset>1221134</wp:posOffset>
                </wp:positionH>
                <wp:positionV relativeFrom="paragraph">
                  <wp:posOffset>142063</wp:posOffset>
                </wp:positionV>
                <wp:extent cx="582295" cy="21145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211454"/>
                        </a:xfrm>
                        <a:prstGeom prst="rect">
                          <a:avLst/>
                        </a:prstGeom>
                      </wps:spPr>
                      <wps:txbx>
                        <w:txbxContent>
                          <w:p w14:paraId="7E0032BE" w14:textId="77777777" w:rsidR="009A58DB" w:rsidRDefault="00000000">
                            <w:pPr>
                              <w:pStyle w:val="BodyText"/>
                              <w:tabs>
                                <w:tab w:val="left" w:pos="816"/>
                              </w:tabs>
                              <w:spacing w:line="332" w:lineRule="exact"/>
                              <w:ind w:left="0"/>
                              <w:jc w:val="left"/>
                            </w:pPr>
                            <w:r>
                              <w:rPr>
                                <w:spacing w:val="-10"/>
                              </w:rPr>
                              <w:t>P</w:t>
                            </w:r>
                            <w:r>
                              <w:tab/>
                            </w:r>
                            <w:r>
                              <w:rPr>
                                <w:spacing w:val="-10"/>
                              </w:rPr>
                              <w:t>)</w:t>
                            </w:r>
                          </w:p>
                        </w:txbxContent>
                      </wps:txbx>
                      <wps:bodyPr wrap="square" lIns="0" tIns="0" rIns="0" bIns="0" rtlCol="0">
                        <a:noAutofit/>
                      </wps:bodyPr>
                    </wps:wsp>
                  </a:graphicData>
                </a:graphic>
              </wp:anchor>
            </w:drawing>
          </mc:Choice>
          <mc:Fallback>
            <w:pict>
              <v:shape w14:anchorId="7E00328C" id="Textbox 31" o:spid="_x0000_s1040" type="#_x0000_t202" style="position:absolute;left:0;text-align:left;margin-left:96.15pt;margin-top:11.2pt;width:45.85pt;height:16.65pt;z-index:-229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" filled="f" stroked="f">
                <v:textbox inset="0,0,0,0">
                  <w:txbxContent>
                    <w:p w14:paraId="7E0032BE" w14:textId="77777777" w:rsidR="009A58DB" w:rsidRDefault="00000000">
                      <w:pPr>
                        <w:pStyle w:val="BodyText"/>
                        <w:tabs>
                          <w:tab w:val="left" w:pos="816"/>
                        </w:tabs>
                        <w:spacing w:line="332" w:lineRule="exact"/>
                        <w:ind w:left="0"/>
                        <w:jc w:val="left"/>
                      </w:pPr>
                      <w:r>
                        <w:rPr>
                          <w:spacing w:val="-10"/>
                        </w:rPr>
                        <w:t>P</w:t>
                      </w:r>
                      <w:r>
                        <w:tab/>
                      </w:r>
                      <w:r>
                        <w:rPr>
                          <w:spacing w:val="-10"/>
                        </w:rPr>
                        <w:t>)</w:t>
                      </w:r>
                    </w:p>
                  </w:txbxContent>
                </v:textbox>
                <w10:wrap anchorx="page"/>
              </v:shape>
            </w:pict>
          </mc:Fallback>
        </mc:AlternateContent>
      </w:r>
      <w:bookmarkStart w:id="390" w:name="_bookmark390"/>
      <w:bookmarkEnd w:id="390"/>
      <w:r>
        <w:rPr>
          <w:color w:val="0562C1"/>
          <w:spacing w:val="-3"/>
          <w:position w:val="21"/>
          <w:u w:val="single" w:color="0562C1"/>
        </w:rPr>
        <w:t>[</w:t>
      </w:r>
      <w:r>
        <w:rPr>
          <w:color w:val="0562C1"/>
          <w:spacing w:val="-2"/>
          <w:position w:val="21"/>
          <w:u w:val="single" w:color="0562C1"/>
        </w:rPr>
        <w:t>276</w:t>
      </w:r>
      <w:r>
        <w:rPr>
          <w:color w:val="0562C1"/>
          <w:spacing w:val="-1302"/>
          <w:position w:val="21"/>
          <w:u w:val="single" w:color="0562C1"/>
        </w:rPr>
        <w:t>]</w:t>
      </w:r>
      <w:r>
        <w:rPr>
          <w:spacing w:val="-3"/>
        </w:rPr>
        <w:t>(P</w:t>
      </w:r>
      <w:r>
        <w:rPr>
          <w:spacing w:val="-2"/>
        </w:rPr>
        <w:t>A</w:t>
      </w:r>
      <w:r>
        <w:tab/>
        <w:t>“x did A freely if and only if x did A and, further, had x chosen not to do A, x wouldn’t have done y”</w:t>
      </w:r>
    </w:p>
    <w:p w14:paraId="7E001C6D" w14:textId="77777777" w:rsidR="009A58DB" w:rsidRDefault="009A58DB">
      <w:pPr>
        <w:pStyle w:val="BodyText"/>
        <w:spacing w:before="17"/>
        <w:ind w:left="0"/>
        <w:jc w:val="left"/>
      </w:pPr>
    </w:p>
    <w:p w14:paraId="7E001C6E" w14:textId="77777777" w:rsidR="009A58DB" w:rsidRDefault="00000000">
      <w:pPr>
        <w:pStyle w:val="BodyText"/>
      </w:pPr>
      <w:r>
        <w:t>is</w:t>
      </w:r>
      <w:r>
        <w:rPr>
          <w:spacing w:val="-4"/>
        </w:rPr>
        <w:t xml:space="preserve"> </w:t>
      </w:r>
      <w:r>
        <w:t>false,</w:t>
      </w:r>
      <w:r>
        <w:rPr>
          <w:spacing w:val="-3"/>
        </w:rPr>
        <w:t xml:space="preserve"> </w:t>
      </w:r>
      <w:r>
        <w:rPr>
          <w:spacing w:val="-2"/>
        </w:rPr>
        <w:t>nonetheless</w:t>
      </w:r>
    </w:p>
    <w:p w14:paraId="7E001C6F" w14:textId="77777777" w:rsidR="009A58DB" w:rsidRDefault="009A58DB">
      <w:pPr>
        <w:pStyle w:val="BodyText"/>
        <w:sectPr w:rsidR="009A58DB">
          <w:pgSz w:w="12240" w:h="15840"/>
          <w:pgMar w:top="1380" w:right="1080" w:bottom="280" w:left="1080" w:header="720" w:footer="720" w:gutter="0"/>
          <w:cols w:space="720"/>
        </w:sectPr>
      </w:pPr>
    </w:p>
    <w:p w14:paraId="7E001C70" w14:textId="77777777" w:rsidR="009A58DB" w:rsidRDefault="00000000">
      <w:pPr>
        <w:pStyle w:val="BodyText"/>
        <w:spacing w:before="65" w:line="249" w:lineRule="auto"/>
        <w:ind w:right="372"/>
      </w:pPr>
      <w:r>
        <w:lastRenderedPageBreak/>
        <w:t>(PAP*)</w:t>
      </w:r>
      <w:r>
        <w:rPr>
          <w:spacing w:val="-3"/>
        </w:rPr>
        <w:t xml:space="preserve"> </w:t>
      </w:r>
      <w:r>
        <w:t>“x</w:t>
      </w:r>
      <w:r>
        <w:rPr>
          <w:spacing w:val="-2"/>
        </w:rPr>
        <w:t xml:space="preserve"> </w:t>
      </w:r>
      <w:r>
        <w:t>did</w:t>
      </w:r>
      <w:r>
        <w:rPr>
          <w:spacing w:val="-2"/>
        </w:rPr>
        <w:t xml:space="preserve"> </w:t>
      </w:r>
      <w:r>
        <w:t>A</w:t>
      </w:r>
      <w:r>
        <w:rPr>
          <w:spacing w:val="-3"/>
        </w:rPr>
        <w:t xml:space="preserve"> </w:t>
      </w:r>
      <w:r>
        <w:t>freely</w:t>
      </w:r>
      <w:r>
        <w:rPr>
          <w:spacing w:val="-2"/>
        </w:rPr>
        <w:t xml:space="preserve"> </w:t>
      </w:r>
      <w:r>
        <w:t>if</w:t>
      </w:r>
      <w:r>
        <w:rPr>
          <w:spacing w:val="-3"/>
        </w:rPr>
        <w:t xml:space="preserve"> </w:t>
      </w:r>
      <w:r>
        <w:t>and</w:t>
      </w:r>
      <w:r>
        <w:rPr>
          <w:spacing w:val="-2"/>
        </w:rPr>
        <w:t xml:space="preserve"> </w:t>
      </w:r>
      <w:r>
        <w:t>only</w:t>
      </w:r>
      <w:r>
        <w:rPr>
          <w:spacing w:val="-2"/>
        </w:rPr>
        <w:t xml:space="preserve"> </w:t>
      </w:r>
      <w:r>
        <w:t>if</w:t>
      </w:r>
      <w:r>
        <w:rPr>
          <w:spacing w:val="-3"/>
        </w:rPr>
        <w:t xml:space="preserve"> </w:t>
      </w:r>
      <w:r>
        <w:t>x</w:t>
      </w:r>
      <w:r>
        <w:rPr>
          <w:spacing w:val="-2"/>
        </w:rPr>
        <w:t xml:space="preserve"> </w:t>
      </w:r>
      <w:r>
        <w:t>did</w:t>
      </w:r>
      <w:r>
        <w:rPr>
          <w:spacing w:val="-2"/>
        </w:rPr>
        <w:t xml:space="preserve"> </w:t>
      </w:r>
      <w:r>
        <w:t>A</w:t>
      </w:r>
      <w:r>
        <w:rPr>
          <w:spacing w:val="-3"/>
        </w:rPr>
        <w:t xml:space="preserve"> </w:t>
      </w:r>
      <w:r>
        <w:t>and,</w:t>
      </w:r>
      <w:r>
        <w:rPr>
          <w:spacing w:val="-2"/>
        </w:rPr>
        <w:t xml:space="preserve"> </w:t>
      </w:r>
      <w:r>
        <w:t>further,</w:t>
      </w:r>
      <w:r>
        <w:rPr>
          <w:spacing w:val="-2"/>
        </w:rPr>
        <w:t xml:space="preserve"> </w:t>
      </w:r>
      <w:r>
        <w:t>had</w:t>
      </w:r>
      <w:r>
        <w:rPr>
          <w:spacing w:val="-2"/>
        </w:rPr>
        <w:t xml:space="preserve"> </w:t>
      </w:r>
      <w:r>
        <w:t>x</w:t>
      </w:r>
      <w:r>
        <w:rPr>
          <w:spacing w:val="-2"/>
        </w:rPr>
        <w:t xml:space="preserve"> </w:t>
      </w:r>
      <w:r>
        <w:t>chosen</w:t>
      </w:r>
      <w:r>
        <w:rPr>
          <w:spacing w:val="-2"/>
        </w:rPr>
        <w:t xml:space="preserve"> </w:t>
      </w:r>
      <w:r>
        <w:t>not</w:t>
      </w:r>
      <w:r>
        <w:rPr>
          <w:spacing w:val="-3"/>
        </w:rPr>
        <w:t xml:space="preserve"> </w:t>
      </w:r>
      <w:r>
        <w:t xml:space="preserve">to do A, then </w:t>
      </w:r>
      <w:r>
        <w:rPr>
          <w:i/>
        </w:rPr>
        <w:t xml:space="preserve">ceteris paribus </w:t>
      </w:r>
      <w:r>
        <w:t>x wouldn’t have done A”</w:t>
      </w:r>
    </w:p>
    <w:p w14:paraId="7E001C71" w14:textId="77777777" w:rsidR="009A58DB" w:rsidRDefault="009A58DB">
      <w:pPr>
        <w:pStyle w:val="BodyText"/>
        <w:spacing w:before="17"/>
        <w:ind w:left="0"/>
        <w:jc w:val="left"/>
      </w:pPr>
    </w:p>
    <w:p w14:paraId="7E001C72" w14:textId="77777777" w:rsidR="009A58DB" w:rsidRDefault="00000000">
      <w:pPr>
        <w:pStyle w:val="BodyText"/>
      </w:pPr>
      <w:r>
        <w:t>is</w:t>
      </w:r>
      <w:r>
        <w:rPr>
          <w:spacing w:val="-2"/>
        </w:rPr>
        <w:t xml:space="preserve"> correct.</w:t>
      </w:r>
    </w:p>
    <w:p w14:paraId="7E001C73" w14:textId="77777777" w:rsidR="009A58DB" w:rsidRDefault="00000000">
      <w:pPr>
        <w:pStyle w:val="BodyText"/>
        <w:spacing w:before="15" w:line="249" w:lineRule="auto"/>
        <w:ind w:right="365" w:firstLine="360"/>
      </w:pPr>
      <w:r>
        <w:t xml:space="preserve">It’s well known that, if they are to come out correct, counterfactuals typically have to be hedged with </w:t>
      </w:r>
      <w:r>
        <w:rPr>
          <w:i/>
        </w:rPr>
        <w:t xml:space="preserve">ceteris paribus </w:t>
      </w:r>
      <w:r>
        <w:t>clauses. Even though:</w:t>
      </w:r>
    </w:p>
    <w:p w14:paraId="7E001C74" w14:textId="77777777" w:rsidR="009A58DB" w:rsidRDefault="009A58DB">
      <w:pPr>
        <w:pStyle w:val="BodyText"/>
        <w:spacing w:before="17"/>
        <w:ind w:left="0"/>
        <w:jc w:val="left"/>
      </w:pPr>
    </w:p>
    <w:p w14:paraId="7E001C75" w14:textId="77777777" w:rsidR="009A58DB" w:rsidRDefault="00000000">
      <w:pPr>
        <w:pStyle w:val="BodyText"/>
        <w:spacing w:before="1"/>
      </w:pPr>
      <w:r>
        <w:t>(JFK)</w:t>
      </w:r>
      <w:r>
        <w:rPr>
          <w:spacing w:val="-6"/>
        </w:rPr>
        <w:t xml:space="preserve"> </w:t>
      </w:r>
      <w:r>
        <w:t>“if</w:t>
      </w:r>
      <w:r>
        <w:rPr>
          <w:spacing w:val="-4"/>
        </w:rPr>
        <w:t xml:space="preserve"> </w:t>
      </w:r>
      <w:r>
        <w:t>JFK</w:t>
      </w:r>
      <w:r>
        <w:rPr>
          <w:spacing w:val="-4"/>
        </w:rPr>
        <w:t xml:space="preserve"> </w:t>
      </w:r>
      <w:r>
        <w:t>hadn’t</w:t>
      </w:r>
      <w:r>
        <w:rPr>
          <w:spacing w:val="-4"/>
        </w:rPr>
        <w:t xml:space="preserve"> </w:t>
      </w:r>
      <w:r>
        <w:t>been</w:t>
      </w:r>
      <w:r>
        <w:rPr>
          <w:spacing w:val="-3"/>
        </w:rPr>
        <w:t xml:space="preserve"> </w:t>
      </w:r>
      <w:r>
        <w:t>assassinated,</w:t>
      </w:r>
      <w:r>
        <w:rPr>
          <w:spacing w:val="-3"/>
        </w:rPr>
        <w:t xml:space="preserve"> </w:t>
      </w:r>
      <w:r>
        <w:t>he</w:t>
      </w:r>
      <w:r>
        <w:rPr>
          <w:spacing w:val="-4"/>
        </w:rPr>
        <w:t xml:space="preserve"> </w:t>
      </w:r>
      <w:r>
        <w:t>would</w:t>
      </w:r>
      <w:r>
        <w:rPr>
          <w:spacing w:val="-3"/>
        </w:rPr>
        <w:t xml:space="preserve"> </w:t>
      </w:r>
      <w:r>
        <w:t>have</w:t>
      </w:r>
      <w:r>
        <w:rPr>
          <w:spacing w:val="-4"/>
        </w:rPr>
        <w:t xml:space="preserve"> </w:t>
      </w:r>
      <w:r>
        <w:t>been</w:t>
      </w:r>
      <w:r>
        <w:rPr>
          <w:spacing w:val="-3"/>
        </w:rPr>
        <w:t xml:space="preserve"> </w:t>
      </w:r>
      <w:r>
        <w:t>re-</w:t>
      </w:r>
      <w:r>
        <w:rPr>
          <w:spacing w:val="-2"/>
        </w:rPr>
        <w:t>elected”</w:t>
      </w:r>
    </w:p>
    <w:p w14:paraId="7E001C76" w14:textId="77777777" w:rsidR="009A58DB" w:rsidRDefault="009A58DB">
      <w:pPr>
        <w:pStyle w:val="BodyText"/>
        <w:spacing w:before="30"/>
        <w:ind w:left="0"/>
        <w:jc w:val="left"/>
      </w:pPr>
    </w:p>
    <w:p w14:paraId="7E001C77" w14:textId="77777777" w:rsidR="009A58DB" w:rsidRDefault="00000000">
      <w:pPr>
        <w:pStyle w:val="BodyText"/>
        <w:spacing w:line="249" w:lineRule="auto"/>
        <w:ind w:right="367"/>
      </w:pPr>
      <w:r>
        <w:t>is a plausible counterfactual, it isn’t necessarily true. What if, sometime after Nov.</w:t>
      </w:r>
      <w:r>
        <w:rPr>
          <w:spacing w:val="-2"/>
        </w:rPr>
        <w:t xml:space="preserve"> </w:t>
      </w:r>
      <w:r>
        <w:t>22,</w:t>
      </w:r>
      <w:r>
        <w:rPr>
          <w:spacing w:val="-2"/>
        </w:rPr>
        <w:t xml:space="preserve"> </w:t>
      </w:r>
      <w:r>
        <w:t>1963,</w:t>
      </w:r>
      <w:r>
        <w:rPr>
          <w:spacing w:val="-2"/>
        </w:rPr>
        <w:t xml:space="preserve"> </w:t>
      </w:r>
      <w:r>
        <w:t>but</w:t>
      </w:r>
      <w:r>
        <w:rPr>
          <w:spacing w:val="-3"/>
        </w:rPr>
        <w:t xml:space="preserve"> </w:t>
      </w:r>
      <w:r>
        <w:t>before</w:t>
      </w:r>
      <w:r>
        <w:rPr>
          <w:spacing w:val="-3"/>
        </w:rPr>
        <w:t xml:space="preserve"> </w:t>
      </w:r>
      <w:r>
        <w:t>the</w:t>
      </w:r>
      <w:r>
        <w:rPr>
          <w:spacing w:val="-3"/>
        </w:rPr>
        <w:t xml:space="preserve"> </w:t>
      </w:r>
      <w:r>
        <w:t>‘64</w:t>
      </w:r>
      <w:r>
        <w:rPr>
          <w:spacing w:val="-2"/>
        </w:rPr>
        <w:t xml:space="preserve"> </w:t>
      </w:r>
      <w:r>
        <w:t>elections,</w:t>
      </w:r>
      <w:r>
        <w:rPr>
          <w:spacing w:val="-2"/>
        </w:rPr>
        <w:t xml:space="preserve"> </w:t>
      </w:r>
      <w:r>
        <w:t>JFK</w:t>
      </w:r>
      <w:r>
        <w:rPr>
          <w:spacing w:val="-3"/>
        </w:rPr>
        <w:t xml:space="preserve"> </w:t>
      </w:r>
      <w:r>
        <w:t>died</w:t>
      </w:r>
      <w:r>
        <w:rPr>
          <w:spacing w:val="-2"/>
        </w:rPr>
        <w:t xml:space="preserve"> </w:t>
      </w:r>
      <w:r>
        <w:t>of</w:t>
      </w:r>
      <w:r>
        <w:rPr>
          <w:spacing w:val="-3"/>
        </w:rPr>
        <w:t xml:space="preserve"> </w:t>
      </w:r>
      <w:r>
        <w:t>natural</w:t>
      </w:r>
      <w:r>
        <w:rPr>
          <w:spacing w:val="-3"/>
        </w:rPr>
        <w:t xml:space="preserve"> </w:t>
      </w:r>
      <w:r>
        <w:t>causes</w:t>
      </w:r>
      <w:r>
        <w:rPr>
          <w:spacing w:val="-3"/>
        </w:rPr>
        <w:t xml:space="preserve"> </w:t>
      </w:r>
      <w:r>
        <w:t>or</w:t>
      </w:r>
      <w:r>
        <w:rPr>
          <w:spacing w:val="-3"/>
        </w:rPr>
        <w:t xml:space="preserve"> </w:t>
      </w:r>
      <w:r>
        <w:t>was disgraced by some scandal? In that case, he would not have been re-elected. So the right counterfactual is:</w:t>
      </w:r>
    </w:p>
    <w:p w14:paraId="7E001C78" w14:textId="77777777" w:rsidR="009A58DB" w:rsidRDefault="009A58DB">
      <w:pPr>
        <w:pStyle w:val="BodyText"/>
        <w:spacing w:before="19"/>
        <w:ind w:left="0"/>
        <w:jc w:val="left"/>
      </w:pPr>
    </w:p>
    <w:p w14:paraId="7E001C79" w14:textId="77777777" w:rsidR="009A58DB" w:rsidRDefault="00000000">
      <w:pPr>
        <w:pStyle w:val="BodyText"/>
        <w:spacing w:before="1" w:line="249" w:lineRule="auto"/>
        <w:ind w:right="372"/>
      </w:pPr>
      <w:r>
        <w:t xml:space="preserve">(JFK*) “if JFK hadn’t been assassinated, then </w:t>
      </w:r>
      <w:r>
        <w:rPr>
          <w:i/>
        </w:rPr>
        <w:t xml:space="preserve">ceteris paribus </w:t>
      </w:r>
      <w:r>
        <w:t>he would have been re-elected.”</w:t>
      </w:r>
    </w:p>
    <w:p w14:paraId="7E001C7A" w14:textId="77777777" w:rsidR="009A58DB" w:rsidRDefault="009A58DB">
      <w:pPr>
        <w:pStyle w:val="BodyText"/>
        <w:spacing w:before="17"/>
        <w:ind w:left="0"/>
        <w:jc w:val="left"/>
      </w:pPr>
    </w:p>
    <w:p w14:paraId="7E001C7B" w14:textId="77777777" w:rsidR="009A58DB" w:rsidRDefault="00000000">
      <w:pPr>
        <w:pStyle w:val="BodyText"/>
        <w:spacing w:line="249" w:lineRule="auto"/>
        <w:ind w:right="362" w:firstLine="360"/>
      </w:pPr>
      <w:r>
        <w:t xml:space="preserve">In other words, if JFK hadn’t been assassinated, but </w:t>
      </w:r>
      <w:r>
        <w:rPr>
          <w:i/>
        </w:rPr>
        <w:t xml:space="preserve">otherwise e </w:t>
      </w:r>
      <w:r>
        <w:t xml:space="preserve">things were the same, so that JFK was healthy and popular, etc., </w:t>
      </w:r>
      <w:r>
        <w:rPr>
          <w:i/>
        </w:rPr>
        <w:t>then</w:t>
      </w:r>
      <w:r>
        <w:rPr>
          <w:i/>
          <w:spacing w:val="-3"/>
        </w:rPr>
        <w:t xml:space="preserve"> </w:t>
      </w:r>
      <w:r>
        <w:t>he would have been re-elected.</w:t>
      </w:r>
    </w:p>
    <w:p w14:paraId="7E001C7C" w14:textId="77777777" w:rsidR="009A58DB" w:rsidRDefault="00000000">
      <w:pPr>
        <w:pStyle w:val="BodyText"/>
        <w:spacing w:before="4" w:line="249" w:lineRule="auto"/>
        <w:ind w:left="720" w:right="372"/>
      </w:pPr>
      <w:r>
        <w:t xml:space="preserve">Notice that JFK* is really a causal claim, since it’s just another way of </w:t>
      </w:r>
      <w:r>
        <w:rPr>
          <w:spacing w:val="-2"/>
        </w:rPr>
        <w:t>saying:</w:t>
      </w:r>
    </w:p>
    <w:p w14:paraId="7E001C7D" w14:textId="77777777" w:rsidR="009A58DB" w:rsidRDefault="009A58DB">
      <w:pPr>
        <w:pStyle w:val="BodyText"/>
        <w:spacing w:before="17"/>
        <w:ind w:left="0"/>
        <w:jc w:val="left"/>
      </w:pPr>
    </w:p>
    <w:p w14:paraId="7E001C7E" w14:textId="77777777" w:rsidR="009A58DB" w:rsidRDefault="00000000">
      <w:pPr>
        <w:pStyle w:val="BodyText"/>
        <w:spacing w:line="249" w:lineRule="auto"/>
        <w:ind w:right="360"/>
      </w:pPr>
      <w:r>
        <w:t>(JFK#)</w:t>
      </w:r>
      <w:r>
        <w:rPr>
          <w:spacing w:val="-2"/>
        </w:rPr>
        <w:t xml:space="preserve"> </w:t>
      </w:r>
      <w:r>
        <w:t>“JFK’s</w:t>
      </w:r>
      <w:r>
        <w:rPr>
          <w:spacing w:val="-2"/>
        </w:rPr>
        <w:t xml:space="preserve"> </w:t>
      </w:r>
      <w:r>
        <w:t>being</w:t>
      </w:r>
      <w:r>
        <w:rPr>
          <w:spacing w:val="-2"/>
        </w:rPr>
        <w:t xml:space="preserve"> </w:t>
      </w:r>
      <w:r>
        <w:t>assassinated</w:t>
      </w:r>
      <w:r>
        <w:rPr>
          <w:spacing w:val="-2"/>
        </w:rPr>
        <w:t xml:space="preserve"> </w:t>
      </w:r>
      <w:r>
        <w:t>caused</w:t>
      </w:r>
      <w:r>
        <w:rPr>
          <w:spacing w:val="-2"/>
        </w:rPr>
        <w:t xml:space="preserve"> </w:t>
      </w:r>
      <w:r>
        <w:t>an</w:t>
      </w:r>
      <w:r>
        <w:rPr>
          <w:spacing w:val="-2"/>
        </w:rPr>
        <w:t xml:space="preserve"> </w:t>
      </w:r>
      <w:r>
        <w:t>otherwise</w:t>
      </w:r>
      <w:r>
        <w:rPr>
          <w:spacing w:val="-2"/>
        </w:rPr>
        <w:t xml:space="preserve"> </w:t>
      </w:r>
      <w:r>
        <w:t>re-election-bound</w:t>
      </w:r>
      <w:r>
        <w:rPr>
          <w:spacing w:val="-2"/>
        </w:rPr>
        <w:t xml:space="preserve"> </w:t>
      </w:r>
      <w:r>
        <w:t xml:space="preserve">JFK to </w:t>
      </w:r>
      <w:r>
        <w:rPr>
          <w:i/>
        </w:rPr>
        <w:t xml:space="preserve">not </w:t>
      </w:r>
      <w:r>
        <w:t>be re-elected.”</w:t>
      </w:r>
    </w:p>
    <w:p w14:paraId="7E001C7F" w14:textId="77777777" w:rsidR="009A58DB" w:rsidRDefault="009A58DB">
      <w:pPr>
        <w:pStyle w:val="BodyText"/>
        <w:spacing w:before="18"/>
        <w:ind w:left="0"/>
        <w:jc w:val="left"/>
      </w:pPr>
    </w:p>
    <w:p w14:paraId="7E001C80" w14:textId="77777777" w:rsidR="009A58DB" w:rsidRDefault="00000000">
      <w:pPr>
        <w:pStyle w:val="BodyText"/>
        <w:spacing w:line="249" w:lineRule="auto"/>
        <w:ind w:right="359" w:firstLine="360"/>
      </w:pPr>
      <w:r>
        <w:t>As a rule, counterfactuals are causal claims.</w:t>
      </w:r>
      <w:bookmarkStart w:id="391" w:name="_bookmark391"/>
      <w:bookmarkEnd w:id="391"/>
      <w:r>
        <w:rPr>
          <w:color w:val="0562C1"/>
          <w:position w:val="21"/>
          <w:u w:val="single" w:color="0562C1"/>
        </w:rPr>
        <w:t>[277]</w:t>
      </w:r>
      <w:r>
        <w:rPr>
          <w:color w:val="0562C1"/>
          <w:position w:val="21"/>
        </w:rPr>
        <w:t xml:space="preserve"> </w:t>
      </w:r>
      <w:r>
        <w:t xml:space="preserve">Thus, “Smith killed Jones freely” is true just in case (i) Smith killed Jones and (ii) if Smith had chosen </w:t>
      </w:r>
      <w:r>
        <w:rPr>
          <w:i/>
        </w:rPr>
        <w:t xml:space="preserve">not </w:t>
      </w:r>
      <w:r>
        <w:t xml:space="preserve">to kill Jones, then </w:t>
      </w:r>
      <w:r>
        <w:rPr>
          <w:i/>
        </w:rPr>
        <w:t xml:space="preserve">ceteris paribus </w:t>
      </w:r>
      <w:r>
        <w:t xml:space="preserve">Smith would have not killed </w:t>
      </w:r>
      <w:r>
        <w:rPr>
          <w:spacing w:val="-2"/>
        </w:rPr>
        <w:t>Jones.</w:t>
      </w:r>
    </w:p>
    <w:p w14:paraId="7E001C81" w14:textId="77777777" w:rsidR="009A58DB" w:rsidRDefault="00000000">
      <w:pPr>
        <w:pStyle w:val="BodyText"/>
        <w:spacing w:before="5" w:line="249" w:lineRule="auto"/>
        <w:ind w:right="367" w:firstLine="360"/>
      </w:pPr>
      <w:r>
        <w:t>Basically, Smith killed Jones freely if his doing so expressed his decision to do so, as opposed to some other force. In general:</w:t>
      </w:r>
    </w:p>
    <w:p w14:paraId="7E001C82" w14:textId="77777777" w:rsidR="009A58DB" w:rsidRDefault="009A58DB">
      <w:pPr>
        <w:pStyle w:val="BodyText"/>
        <w:spacing w:before="17"/>
        <w:ind w:left="0"/>
        <w:jc w:val="left"/>
      </w:pPr>
    </w:p>
    <w:p w14:paraId="7E001C83" w14:textId="77777777" w:rsidR="009A58DB" w:rsidRDefault="00000000">
      <w:pPr>
        <w:pStyle w:val="BodyText"/>
      </w:pPr>
      <w:r>
        <w:t>(F</w:t>
      </w:r>
      <w:bookmarkStart w:id="392" w:name="_bookmark392"/>
      <w:bookmarkEnd w:id="392"/>
      <w:r>
        <w:t>A</w:t>
      </w:r>
      <w:r>
        <w:rPr>
          <w:color w:val="0562C1"/>
          <w:position w:val="21"/>
          <w:u w:val="single" w:color="0562C1"/>
        </w:rPr>
        <w:t>[278]</w:t>
      </w:r>
      <w:r>
        <w:t>)</w:t>
      </w:r>
      <w:r>
        <w:rPr>
          <w:spacing w:val="-6"/>
        </w:rPr>
        <w:t xml:space="preserve"> </w:t>
      </w:r>
      <w:r>
        <w:t>an</w:t>
      </w:r>
      <w:r>
        <w:rPr>
          <w:spacing w:val="-2"/>
        </w:rPr>
        <w:t xml:space="preserve"> </w:t>
      </w:r>
      <w:r>
        <w:t>act</w:t>
      </w:r>
      <w:r>
        <w:rPr>
          <w:spacing w:val="-4"/>
        </w:rPr>
        <w:t xml:space="preserve"> </w:t>
      </w:r>
      <w:r>
        <w:t>is</w:t>
      </w:r>
      <w:r>
        <w:rPr>
          <w:spacing w:val="-3"/>
        </w:rPr>
        <w:t xml:space="preserve"> </w:t>
      </w:r>
      <w:r>
        <w:t>free</w:t>
      </w:r>
      <w:r>
        <w:rPr>
          <w:spacing w:val="-4"/>
        </w:rPr>
        <w:t xml:space="preserve"> </w:t>
      </w:r>
      <w:r>
        <w:t>if</w:t>
      </w:r>
      <w:r>
        <w:rPr>
          <w:spacing w:val="-3"/>
        </w:rPr>
        <w:t xml:space="preserve"> </w:t>
      </w:r>
      <w:r>
        <w:t>it</w:t>
      </w:r>
      <w:r>
        <w:rPr>
          <w:spacing w:val="-4"/>
        </w:rPr>
        <w:t xml:space="preserve"> </w:t>
      </w:r>
      <w:r>
        <w:t>expresses</w:t>
      </w:r>
      <w:r>
        <w:rPr>
          <w:spacing w:val="-3"/>
        </w:rPr>
        <w:t xml:space="preserve"> </w:t>
      </w:r>
      <w:r>
        <w:t>one’s</w:t>
      </w:r>
      <w:r>
        <w:rPr>
          <w:spacing w:val="-4"/>
        </w:rPr>
        <w:t xml:space="preserve"> </w:t>
      </w:r>
      <w:r>
        <w:t>decision</w:t>
      </w:r>
      <w:r>
        <w:rPr>
          <w:spacing w:val="-2"/>
        </w:rPr>
        <w:t xml:space="preserve"> </w:t>
      </w:r>
      <w:r>
        <w:t>to</w:t>
      </w:r>
      <w:r>
        <w:rPr>
          <w:spacing w:val="-3"/>
        </w:rPr>
        <w:t xml:space="preserve"> </w:t>
      </w:r>
      <w:r>
        <w:t>act</w:t>
      </w:r>
      <w:r>
        <w:rPr>
          <w:spacing w:val="-3"/>
        </w:rPr>
        <w:t xml:space="preserve"> </w:t>
      </w:r>
      <w:r>
        <w:t>that</w:t>
      </w:r>
      <w:r>
        <w:rPr>
          <w:spacing w:val="-3"/>
        </w:rPr>
        <w:t xml:space="preserve"> </w:t>
      </w:r>
      <w:r>
        <w:rPr>
          <w:spacing w:val="-4"/>
        </w:rPr>
        <w:t>way.</w:t>
      </w:r>
    </w:p>
    <w:p w14:paraId="7E001C84" w14:textId="77777777" w:rsidR="009A58DB" w:rsidRDefault="009A58DB">
      <w:pPr>
        <w:pStyle w:val="BodyText"/>
        <w:sectPr w:rsidR="009A58DB">
          <w:pgSz w:w="12240" w:h="15840"/>
          <w:pgMar w:top="1380" w:right="1080" w:bottom="280" w:left="1080" w:header="720" w:footer="720" w:gutter="0"/>
          <w:cols w:space="720"/>
        </w:sectPr>
      </w:pPr>
    </w:p>
    <w:p w14:paraId="7E001C85" w14:textId="77777777" w:rsidR="009A58DB" w:rsidRDefault="00000000">
      <w:pPr>
        <w:pStyle w:val="BodyText"/>
        <w:spacing w:before="65"/>
        <w:ind w:left="720"/>
        <w:jc w:val="left"/>
      </w:pPr>
      <w:r>
        <w:lastRenderedPageBreak/>
        <w:t>This</w:t>
      </w:r>
      <w:r>
        <w:rPr>
          <w:spacing w:val="-5"/>
        </w:rPr>
        <w:t xml:space="preserve"> </w:t>
      </w:r>
      <w:r>
        <w:t>is</w:t>
      </w:r>
      <w:r>
        <w:rPr>
          <w:spacing w:val="-3"/>
        </w:rPr>
        <w:t xml:space="preserve"> </w:t>
      </w:r>
      <w:r>
        <w:t>clearly</w:t>
      </w:r>
      <w:r>
        <w:rPr>
          <w:spacing w:val="-2"/>
        </w:rPr>
        <w:t xml:space="preserve"> </w:t>
      </w:r>
      <w:r>
        <w:t>the</w:t>
      </w:r>
      <w:r>
        <w:rPr>
          <w:spacing w:val="-3"/>
        </w:rPr>
        <w:t xml:space="preserve"> </w:t>
      </w:r>
      <w:r>
        <w:t>right</w:t>
      </w:r>
      <w:r>
        <w:rPr>
          <w:spacing w:val="-2"/>
        </w:rPr>
        <w:t xml:space="preserve"> </w:t>
      </w:r>
      <w:r>
        <w:t>analysis</w:t>
      </w:r>
      <w:r>
        <w:rPr>
          <w:spacing w:val="-3"/>
        </w:rPr>
        <w:t xml:space="preserve"> </w:t>
      </w:r>
      <w:r>
        <w:t>of</w:t>
      </w:r>
      <w:r>
        <w:rPr>
          <w:spacing w:val="-3"/>
        </w:rPr>
        <w:t xml:space="preserve"> </w:t>
      </w:r>
      <w:r>
        <w:rPr>
          <w:i/>
        </w:rPr>
        <w:t>a</w:t>
      </w:r>
      <w:r>
        <w:rPr>
          <w:i/>
          <w:spacing w:val="-2"/>
        </w:rPr>
        <w:t xml:space="preserve"> </w:t>
      </w:r>
      <w:r>
        <w:t>kind</w:t>
      </w:r>
      <w:r>
        <w:rPr>
          <w:spacing w:val="-2"/>
        </w:rPr>
        <w:t xml:space="preserve"> </w:t>
      </w:r>
      <w:r>
        <w:t>of</w:t>
      </w:r>
      <w:r>
        <w:rPr>
          <w:spacing w:val="-2"/>
        </w:rPr>
        <w:t xml:space="preserve"> freedom.</w:t>
      </w:r>
    </w:p>
    <w:p w14:paraId="7E001C86" w14:textId="77777777" w:rsidR="009A58DB" w:rsidRDefault="00000000">
      <w:pPr>
        <w:pStyle w:val="Heading1"/>
        <w:numPr>
          <w:ilvl w:val="2"/>
          <w:numId w:val="98"/>
        </w:numPr>
        <w:tabs>
          <w:tab w:val="left" w:pos="1305"/>
        </w:tabs>
      </w:pPr>
      <w:r>
        <w:t>Freedom</w:t>
      </w:r>
      <w:r>
        <w:rPr>
          <w:spacing w:val="-4"/>
        </w:rPr>
        <w:t xml:space="preserve"> </w:t>
      </w:r>
      <w:r>
        <w:t>not</w:t>
      </w:r>
      <w:r>
        <w:rPr>
          <w:spacing w:val="-3"/>
        </w:rPr>
        <w:t xml:space="preserve"> </w:t>
      </w:r>
      <w:r>
        <w:t>a</w:t>
      </w:r>
      <w:r>
        <w:rPr>
          <w:spacing w:val="-3"/>
        </w:rPr>
        <w:t xml:space="preserve"> </w:t>
      </w:r>
      <w:r>
        <w:t>property</w:t>
      </w:r>
      <w:r>
        <w:rPr>
          <w:spacing w:val="-2"/>
        </w:rPr>
        <w:t xml:space="preserve"> </w:t>
      </w:r>
      <w:r>
        <w:t>of</w:t>
      </w:r>
      <w:r>
        <w:rPr>
          <w:spacing w:val="-3"/>
        </w:rPr>
        <w:t xml:space="preserve"> </w:t>
      </w:r>
      <w:r>
        <w:rPr>
          <w:spacing w:val="-2"/>
        </w:rPr>
        <w:t>choices</w:t>
      </w:r>
    </w:p>
    <w:p w14:paraId="7E001C87" w14:textId="77777777" w:rsidR="009A58DB" w:rsidRDefault="00000000">
      <w:pPr>
        <w:pStyle w:val="BodyText"/>
        <w:spacing w:before="139" w:line="249" w:lineRule="auto"/>
        <w:ind w:right="362"/>
      </w:pPr>
      <w:r>
        <w:t xml:space="preserve">If FA is right, it is acts, not </w:t>
      </w:r>
      <w:r>
        <w:rPr>
          <w:i/>
        </w:rPr>
        <w:t xml:space="preserve">choices, </w:t>
      </w:r>
      <w:r>
        <w:t>that are free. This is what Locke held. Locke was the first advocate of FA, and he was an exceptionally effective one. One chooses to act, Locke said; one doesn’t choose to choose. It makes no sense to suppose that one chooses to choose. For if</w:t>
      </w:r>
      <w:r>
        <w:rPr>
          <w:spacing w:val="-1"/>
        </w:rPr>
        <w:t xml:space="preserve"> </w:t>
      </w:r>
      <w:r>
        <w:t>one always chose what to choose, Locke points out, one would have to make infinitely many choices in order to make a single one, and one therefore couldn’t make any choices at all. In order to choose to open the door, one would have to choose to choose to open the door; and in order to choose to choose to open the door, one would have to choose to choose to choose to open the door; and so on.</w:t>
      </w:r>
    </w:p>
    <w:p w14:paraId="7E001C88" w14:textId="77777777" w:rsidR="009A58DB" w:rsidRDefault="00000000">
      <w:pPr>
        <w:pStyle w:val="BodyText"/>
        <w:spacing w:before="11" w:line="249" w:lineRule="auto"/>
        <w:ind w:right="360" w:firstLine="360"/>
      </w:pPr>
      <w:r>
        <w:t>So freedom is freedom to act, not freedom to choose. As Locke puts it, freedom is a relationship between choice and act, and not between subject</w:t>
      </w:r>
      <w:r>
        <w:rPr>
          <w:spacing w:val="40"/>
        </w:rPr>
        <w:t xml:space="preserve"> </w:t>
      </w:r>
      <w:r>
        <w:t>and choice.</w:t>
      </w:r>
    </w:p>
    <w:p w14:paraId="7E001C89" w14:textId="77777777" w:rsidR="009A58DB" w:rsidRDefault="00000000">
      <w:pPr>
        <w:pStyle w:val="BodyText"/>
        <w:spacing w:before="3" w:line="249" w:lineRule="auto"/>
        <w:ind w:right="359" w:firstLine="360"/>
      </w:pPr>
      <w:r>
        <w:t xml:space="preserve">It follows that, so far as one’s freedom is concerned, it is irrelevant whether one’s choices are caused or not. Since freedom is a relationship between choices and acts, not between choices and their own antecedents, it doesn’t matter whether choices are caused. Nor, therefore, does it matter </w:t>
      </w:r>
      <w:r>
        <w:rPr>
          <w:i/>
        </w:rPr>
        <w:t xml:space="preserve">how </w:t>
      </w:r>
      <w:r>
        <w:t>they’re caused.</w:t>
      </w:r>
    </w:p>
    <w:p w14:paraId="7E001C8A" w14:textId="77777777" w:rsidR="009A58DB" w:rsidRDefault="00000000">
      <w:pPr>
        <w:pStyle w:val="BodyText"/>
        <w:spacing w:before="7" w:line="249" w:lineRule="auto"/>
        <w:ind w:right="359" w:firstLine="360"/>
      </w:pPr>
      <w:r>
        <w:t>In fact, if FA is right, determinism is not only compatible with freedom, but is a prerequisite for it. Wanting to make the elevator come to your floor, you intend to push the button. If a degenerative neurological condition has undermined the integrity of the mechanisms linking your brain to your hand, thereby making them indeterministic, your intention to move your hand may be more likely to fail than to succeed. And, supposing that you do manage to push the button, if the mechanisms linking the button to the elevator are indeterministic,</w:t>
      </w:r>
      <w:r>
        <w:rPr>
          <w:spacing w:val="-3"/>
        </w:rPr>
        <w:t xml:space="preserve"> </w:t>
      </w:r>
      <w:r>
        <w:t>your</w:t>
      </w:r>
      <w:r>
        <w:rPr>
          <w:spacing w:val="-3"/>
        </w:rPr>
        <w:t xml:space="preserve"> </w:t>
      </w:r>
      <w:r>
        <w:t>pushing</w:t>
      </w:r>
      <w:r>
        <w:rPr>
          <w:spacing w:val="-3"/>
        </w:rPr>
        <w:t xml:space="preserve"> </w:t>
      </w:r>
      <w:r>
        <w:t>the</w:t>
      </w:r>
      <w:r>
        <w:rPr>
          <w:spacing w:val="-3"/>
        </w:rPr>
        <w:t xml:space="preserve"> </w:t>
      </w:r>
      <w:r>
        <w:t>button</w:t>
      </w:r>
      <w:r>
        <w:rPr>
          <w:spacing w:val="-3"/>
        </w:rPr>
        <w:t xml:space="preserve"> </w:t>
      </w:r>
      <w:r>
        <w:t>may</w:t>
      </w:r>
      <w:r>
        <w:rPr>
          <w:spacing w:val="-3"/>
        </w:rPr>
        <w:t xml:space="preserve"> </w:t>
      </w:r>
      <w:r>
        <w:t>be</w:t>
      </w:r>
      <w:r>
        <w:rPr>
          <w:spacing w:val="-3"/>
        </w:rPr>
        <w:t xml:space="preserve"> </w:t>
      </w:r>
      <w:r>
        <w:t>more</w:t>
      </w:r>
      <w:r>
        <w:rPr>
          <w:spacing w:val="-3"/>
        </w:rPr>
        <w:t xml:space="preserve"> </w:t>
      </w:r>
      <w:r>
        <w:t>likely</w:t>
      </w:r>
      <w:r>
        <w:rPr>
          <w:spacing w:val="-3"/>
        </w:rPr>
        <w:t xml:space="preserve"> </w:t>
      </w:r>
      <w:r>
        <w:t>than</w:t>
      </w:r>
      <w:r>
        <w:rPr>
          <w:spacing w:val="-3"/>
        </w:rPr>
        <w:t xml:space="preserve"> </w:t>
      </w:r>
      <w:r>
        <w:t>not</w:t>
      </w:r>
      <w:r>
        <w:rPr>
          <w:spacing w:val="-3"/>
        </w:rPr>
        <w:t xml:space="preserve"> </w:t>
      </w:r>
      <w:r>
        <w:t>to</w:t>
      </w:r>
      <w:r>
        <w:rPr>
          <w:spacing w:val="-3"/>
        </w:rPr>
        <w:t xml:space="preserve"> </w:t>
      </w:r>
      <w:r>
        <w:t>fail</w:t>
      </w:r>
      <w:r>
        <w:rPr>
          <w:spacing w:val="-3"/>
        </w:rPr>
        <w:t xml:space="preserve"> </w:t>
      </w:r>
      <w:r>
        <w:t>to get the elevator to come. To the extent that the mechanisms involved in the implementation</w:t>
      </w:r>
      <w:r>
        <w:rPr>
          <w:spacing w:val="-3"/>
        </w:rPr>
        <w:t xml:space="preserve"> </w:t>
      </w:r>
      <w:r>
        <w:t>of</w:t>
      </w:r>
      <w:r>
        <w:rPr>
          <w:spacing w:val="-3"/>
        </w:rPr>
        <w:t xml:space="preserve"> </w:t>
      </w:r>
      <w:r>
        <w:t>our</w:t>
      </w:r>
      <w:r>
        <w:rPr>
          <w:spacing w:val="-3"/>
        </w:rPr>
        <w:t xml:space="preserve"> </w:t>
      </w:r>
      <w:r>
        <w:t>choices</w:t>
      </w:r>
      <w:r>
        <w:rPr>
          <w:spacing w:val="-3"/>
        </w:rPr>
        <w:t xml:space="preserve"> </w:t>
      </w:r>
      <w:r>
        <w:t>are</w:t>
      </w:r>
      <w:r>
        <w:rPr>
          <w:spacing w:val="-3"/>
        </w:rPr>
        <w:t xml:space="preserve"> </w:t>
      </w:r>
      <w:r>
        <w:t>indeterministic,</w:t>
      </w:r>
      <w:r>
        <w:rPr>
          <w:spacing w:val="-3"/>
        </w:rPr>
        <w:t xml:space="preserve"> </w:t>
      </w:r>
      <w:r>
        <w:t>we</w:t>
      </w:r>
      <w:r>
        <w:rPr>
          <w:spacing w:val="-3"/>
        </w:rPr>
        <w:t xml:space="preserve"> </w:t>
      </w:r>
      <w:r>
        <w:t>are</w:t>
      </w:r>
      <w:r>
        <w:rPr>
          <w:spacing w:val="-3"/>
        </w:rPr>
        <w:t xml:space="preserve"> </w:t>
      </w:r>
      <w:r>
        <w:t>in</w:t>
      </w:r>
      <w:r>
        <w:rPr>
          <w:spacing w:val="-3"/>
        </w:rPr>
        <w:t xml:space="preserve"> </w:t>
      </w:r>
      <w:r>
        <w:t>the</w:t>
      </w:r>
      <w:r>
        <w:rPr>
          <w:spacing w:val="-3"/>
        </w:rPr>
        <w:t xml:space="preserve"> </w:t>
      </w:r>
      <w:r>
        <w:t>grim</w:t>
      </w:r>
      <w:r>
        <w:rPr>
          <w:spacing w:val="-3"/>
        </w:rPr>
        <w:t xml:space="preserve"> </w:t>
      </w:r>
      <w:r>
        <w:t xml:space="preserve">position of somebody who has Parkinson’s. The spirit is willing, but the flesh can’t be counted on to obey, and neither can the relevant mechanisms in the external </w:t>
      </w:r>
      <w:r>
        <w:rPr>
          <w:spacing w:val="-2"/>
        </w:rPr>
        <w:t>world.</w:t>
      </w:r>
    </w:p>
    <w:p w14:paraId="7E001C8B"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C8C" w14:textId="77777777" w:rsidR="009A58DB" w:rsidRDefault="00000000">
      <w:pPr>
        <w:pStyle w:val="Heading1"/>
        <w:numPr>
          <w:ilvl w:val="1"/>
          <w:numId w:val="98"/>
        </w:numPr>
        <w:tabs>
          <w:tab w:val="left" w:pos="990"/>
        </w:tabs>
        <w:spacing w:before="58"/>
        <w:rPr>
          <w:position w:val="30"/>
        </w:rPr>
      </w:pPr>
      <w:r>
        <w:rPr>
          <w:noProof/>
          <w:position w:val="30"/>
        </w:rPr>
        <w:lastRenderedPageBreak/>
        <mc:AlternateContent>
          <mc:Choice Requires="wps">
            <w:drawing>
              <wp:anchor distT="0" distB="0" distL="0" distR="0" simplePos="0" relativeHeight="480340992" behindDoc="1" locked="0" layoutInCell="1" allowOverlap="1" wp14:anchorId="7E00328E" wp14:editId="7E00328F">
                <wp:simplePos x="0" y="0"/>
                <wp:positionH relativeFrom="page">
                  <wp:posOffset>4933950</wp:posOffset>
                </wp:positionH>
                <wp:positionV relativeFrom="paragraph">
                  <wp:posOffset>300037</wp:posOffset>
                </wp:positionV>
                <wp:extent cx="57150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7A7E1945" id="Graphic 32" o:spid="_x0000_s1026" style="position:absolute;margin-left:388.5pt;margin-top:23.6pt;width:45pt;height:.1pt;z-index:-22975488;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" path="m,l571500,e" filled="f" strokecolor="#0562c1">
                <v:path arrowok="t"/>
                <w10:wrap anchorx="page"/>
              </v:shape>
            </w:pict>
          </mc:Fallback>
        </mc:AlternateContent>
      </w:r>
      <w:r>
        <w:t>Frankfurt’s</w:t>
      </w:r>
      <w:r>
        <w:rPr>
          <w:spacing w:val="-8"/>
        </w:rPr>
        <w:t xml:space="preserve"> </w:t>
      </w:r>
      <w:r>
        <w:t>analysis</w:t>
      </w:r>
      <w:r>
        <w:rPr>
          <w:spacing w:val="-5"/>
        </w:rPr>
        <w:t xml:space="preserve"> </w:t>
      </w:r>
      <w:r>
        <w:t>of</w:t>
      </w:r>
      <w:r>
        <w:rPr>
          <w:spacing w:val="-5"/>
        </w:rPr>
        <w:t xml:space="preserve"> </w:t>
      </w:r>
      <w:r>
        <w:rPr>
          <w:spacing w:val="-2"/>
        </w:rPr>
        <w:t>freedo</w:t>
      </w:r>
      <w:bookmarkStart w:id="393" w:name="_bookmark393"/>
      <w:bookmarkEnd w:id="393"/>
      <w:r>
        <w:rPr>
          <w:spacing w:val="-2"/>
        </w:rPr>
        <w:t>m</w:t>
      </w:r>
      <w:r>
        <w:rPr>
          <w:color w:val="0562C1"/>
          <w:spacing w:val="-2"/>
          <w:position w:val="30"/>
        </w:rPr>
        <w:t>[279]</w:t>
      </w:r>
    </w:p>
    <w:p w14:paraId="7E001C8D" w14:textId="77777777" w:rsidR="009A58DB" w:rsidRDefault="00000000">
      <w:pPr>
        <w:pStyle w:val="BodyText"/>
        <w:spacing w:before="139" w:line="249" w:lineRule="auto"/>
        <w:ind w:right="362"/>
      </w:pPr>
      <w:r>
        <w:t xml:space="preserve">According to Locke, you are free to the extent that you can do what you want to do, and you’re unfree to the extent that you can’t. This is obviously </w:t>
      </w:r>
      <w:r>
        <w:rPr>
          <w:i/>
        </w:rPr>
        <w:t xml:space="preserve">a </w:t>
      </w:r>
      <w:r>
        <w:t>kind of freedom—a very important kind.</w:t>
      </w:r>
    </w:p>
    <w:p w14:paraId="7E001C8E" w14:textId="77777777" w:rsidR="009A58DB" w:rsidRDefault="00000000">
      <w:pPr>
        <w:pStyle w:val="BodyText"/>
        <w:spacing w:before="3"/>
        <w:ind w:right="370"/>
        <w:jc w:val="right"/>
        <w:rPr>
          <w:i/>
        </w:rPr>
      </w:pPr>
      <w:r>
        <w:t>But</w:t>
      </w:r>
      <w:r>
        <w:rPr>
          <w:spacing w:val="38"/>
        </w:rPr>
        <w:t xml:space="preserve"> </w:t>
      </w:r>
      <w:r>
        <w:t>it</w:t>
      </w:r>
      <w:r>
        <w:rPr>
          <w:spacing w:val="40"/>
        </w:rPr>
        <w:t xml:space="preserve"> </w:t>
      </w:r>
      <w:r>
        <w:t>isn’t</w:t>
      </w:r>
      <w:r>
        <w:rPr>
          <w:spacing w:val="40"/>
        </w:rPr>
        <w:t xml:space="preserve"> </w:t>
      </w:r>
      <w:r>
        <w:t>the</w:t>
      </w:r>
      <w:r>
        <w:rPr>
          <w:spacing w:val="40"/>
        </w:rPr>
        <w:t xml:space="preserve"> </w:t>
      </w:r>
      <w:r>
        <w:t>only</w:t>
      </w:r>
      <w:r>
        <w:rPr>
          <w:spacing w:val="40"/>
        </w:rPr>
        <w:t xml:space="preserve"> </w:t>
      </w:r>
      <w:r>
        <w:t>kind.</w:t>
      </w:r>
      <w:r>
        <w:rPr>
          <w:spacing w:val="40"/>
        </w:rPr>
        <w:t xml:space="preserve"> </w:t>
      </w:r>
      <w:r>
        <w:t>And,</w:t>
      </w:r>
      <w:r>
        <w:rPr>
          <w:spacing w:val="41"/>
        </w:rPr>
        <w:t xml:space="preserve"> </w:t>
      </w:r>
      <w:r>
        <w:t>contrary</w:t>
      </w:r>
      <w:r>
        <w:rPr>
          <w:spacing w:val="40"/>
        </w:rPr>
        <w:t xml:space="preserve"> </w:t>
      </w:r>
      <w:r>
        <w:t>to</w:t>
      </w:r>
      <w:r>
        <w:rPr>
          <w:spacing w:val="40"/>
        </w:rPr>
        <w:t xml:space="preserve"> </w:t>
      </w:r>
      <w:r>
        <w:t>what</w:t>
      </w:r>
      <w:r>
        <w:rPr>
          <w:spacing w:val="40"/>
        </w:rPr>
        <w:t xml:space="preserve"> </w:t>
      </w:r>
      <w:r>
        <w:t>Locke</w:t>
      </w:r>
      <w:r>
        <w:rPr>
          <w:spacing w:val="40"/>
        </w:rPr>
        <w:t xml:space="preserve"> </w:t>
      </w:r>
      <w:r>
        <w:t>says,</w:t>
      </w:r>
      <w:r>
        <w:rPr>
          <w:spacing w:val="40"/>
        </w:rPr>
        <w:t xml:space="preserve"> </w:t>
      </w:r>
      <w:r>
        <w:t>there</w:t>
      </w:r>
      <w:r>
        <w:rPr>
          <w:spacing w:val="40"/>
        </w:rPr>
        <w:t xml:space="preserve"> </w:t>
      </w:r>
      <w:r>
        <w:t>is</w:t>
      </w:r>
      <w:r>
        <w:rPr>
          <w:spacing w:val="41"/>
        </w:rPr>
        <w:t xml:space="preserve"> </w:t>
      </w:r>
      <w:r>
        <w:rPr>
          <w:i/>
          <w:spacing w:val="-10"/>
        </w:rPr>
        <w:t>a</w:t>
      </w:r>
    </w:p>
    <w:p w14:paraId="7E001C8F" w14:textId="77777777" w:rsidR="009A58DB" w:rsidRDefault="00000000">
      <w:pPr>
        <w:pStyle w:val="BodyText"/>
        <w:spacing w:before="15"/>
        <w:ind w:left="0" w:right="369"/>
        <w:jc w:val="right"/>
      </w:pPr>
      <w:r>
        <w:t>sense</w:t>
      </w:r>
      <w:r>
        <w:rPr>
          <w:spacing w:val="-1"/>
        </w:rPr>
        <w:t xml:space="preserve"> </w:t>
      </w:r>
      <w:r>
        <w:t>in</w:t>
      </w:r>
      <w:r>
        <w:rPr>
          <w:spacing w:val="-1"/>
        </w:rPr>
        <w:t xml:space="preserve"> </w:t>
      </w:r>
      <w:r>
        <w:t>which choices</w:t>
      </w:r>
      <w:r>
        <w:rPr>
          <w:spacing w:val="-1"/>
        </w:rPr>
        <w:t xml:space="preserve"> </w:t>
      </w:r>
      <w:r>
        <w:t>can be</w:t>
      </w:r>
      <w:r>
        <w:rPr>
          <w:spacing w:val="-1"/>
        </w:rPr>
        <w:t xml:space="preserve"> </w:t>
      </w:r>
      <w:r>
        <w:t>free or</w:t>
      </w:r>
      <w:r>
        <w:rPr>
          <w:spacing w:val="-1"/>
        </w:rPr>
        <w:t xml:space="preserve"> </w:t>
      </w:r>
      <w:r>
        <w:t>unfree. Harry</w:t>
      </w:r>
      <w:r>
        <w:rPr>
          <w:spacing w:val="-1"/>
        </w:rPr>
        <w:t xml:space="preserve"> </w:t>
      </w:r>
      <w:r>
        <w:t>Frankfurt made</w:t>
      </w:r>
      <w:r>
        <w:rPr>
          <w:spacing w:val="-1"/>
        </w:rPr>
        <w:t xml:space="preserve"> </w:t>
      </w:r>
      <w:r>
        <w:t xml:space="preserve">this </w:t>
      </w:r>
      <w:r>
        <w:rPr>
          <w:spacing w:val="-2"/>
        </w:rPr>
        <w:t>clear.</w:t>
      </w:r>
    </w:p>
    <w:p w14:paraId="7E001C90" w14:textId="77777777" w:rsidR="009A58DB" w:rsidRDefault="00000000">
      <w:pPr>
        <w:pStyle w:val="BodyText"/>
        <w:spacing w:before="15" w:line="249" w:lineRule="auto"/>
        <w:ind w:right="365"/>
        <w:jc w:val="left"/>
      </w:pPr>
      <w:bookmarkStart w:id="394" w:name="_bookmark394"/>
      <w:bookmarkEnd w:id="394"/>
      <w:r>
        <w:rPr>
          <w:color w:val="0562C1"/>
          <w:position w:val="21"/>
          <w:u w:val="single" w:color="0562C1"/>
        </w:rPr>
        <w:t>[280]</w:t>
      </w:r>
      <w:r>
        <w:rPr>
          <w:color w:val="0562C1"/>
          <w:spacing w:val="-19"/>
          <w:position w:val="21"/>
        </w:rPr>
        <w:t xml:space="preserve"> </w:t>
      </w:r>
      <w:r>
        <w:t>A story will help us begin to understand Frankfurt’s insightful analysis of freedom.</w:t>
      </w:r>
    </w:p>
    <w:p w14:paraId="7E001C91" w14:textId="77777777" w:rsidR="009A58DB" w:rsidRDefault="00000000">
      <w:pPr>
        <w:pStyle w:val="BodyText"/>
        <w:spacing w:before="3" w:line="249" w:lineRule="auto"/>
        <w:ind w:right="357" w:firstLine="360"/>
      </w:pPr>
      <w:r>
        <w:t xml:space="preserve">Jones is a great writer who is addicted to heroin. Because his addiction is only moderate, he is able to function perfectly well even when he is heroin-deprived. (When heroin-deprived, he doesn’t feel good, but he is in no way incapacitated.) He knows that, if he were to shoot up right now, the subsequent lethargy would make it impossible for him to write a single word for the rest of the day. He also knows that, if he doesn’t write 10 pages today, he will lose his book contract. Jones does not want to lose the contract. Plus, he wants to grow as a writer, which he won’t do, at least not today, if he shoots up. He thus has a desire to </w:t>
      </w:r>
      <w:r>
        <w:rPr>
          <w:i/>
        </w:rPr>
        <w:t xml:space="preserve">not </w:t>
      </w:r>
      <w:r>
        <w:t xml:space="preserve">take the heroin—even though he simultaneously has a desire </w:t>
      </w:r>
      <w:r>
        <w:rPr>
          <w:i/>
        </w:rPr>
        <w:t xml:space="preserve">to </w:t>
      </w:r>
      <w:r>
        <w:t>take the heroin.</w:t>
      </w:r>
    </w:p>
    <w:p w14:paraId="7E001C92" w14:textId="77777777" w:rsidR="009A58DB" w:rsidRDefault="00000000">
      <w:pPr>
        <w:pStyle w:val="BodyText"/>
        <w:spacing w:before="12" w:line="249" w:lineRule="auto"/>
        <w:ind w:right="358" w:firstLine="360"/>
      </w:pPr>
      <w:r>
        <w:t xml:space="preserve">Jones’ desire to take heroin is a first-order desire. Jones’ desire </w:t>
      </w:r>
      <w:r>
        <w:rPr>
          <w:i/>
        </w:rPr>
        <w:t xml:space="preserve">not </w:t>
      </w:r>
      <w:r>
        <w:t xml:space="preserve">to act on this desire is a </w:t>
      </w:r>
      <w:r>
        <w:rPr>
          <w:b/>
          <w:i/>
        </w:rPr>
        <w:t xml:space="preserve">second-order desire. </w:t>
      </w:r>
      <w:r>
        <w:t>This is because Jones’ desire not to take</w:t>
      </w:r>
      <w:r>
        <w:rPr>
          <w:spacing w:val="-1"/>
        </w:rPr>
        <w:t xml:space="preserve"> </w:t>
      </w:r>
      <w:r>
        <w:t>heroin</w:t>
      </w:r>
      <w:r>
        <w:rPr>
          <w:spacing w:val="-1"/>
        </w:rPr>
        <w:t xml:space="preserve"> </w:t>
      </w:r>
      <w:r>
        <w:t>is</w:t>
      </w:r>
      <w:r>
        <w:rPr>
          <w:spacing w:val="-1"/>
        </w:rPr>
        <w:t xml:space="preserve"> </w:t>
      </w:r>
      <w:r>
        <w:t>a</w:t>
      </w:r>
      <w:r>
        <w:rPr>
          <w:spacing w:val="-1"/>
        </w:rPr>
        <w:t xml:space="preserve"> </w:t>
      </w:r>
      <w:r>
        <w:t>desire</w:t>
      </w:r>
      <w:r>
        <w:rPr>
          <w:spacing w:val="-1"/>
        </w:rPr>
        <w:t xml:space="preserve"> </w:t>
      </w:r>
      <w:r>
        <w:t>as</w:t>
      </w:r>
      <w:r>
        <w:rPr>
          <w:spacing w:val="-1"/>
        </w:rPr>
        <w:t xml:space="preserve"> </w:t>
      </w:r>
      <w:r>
        <w:t>to</w:t>
      </w:r>
      <w:r>
        <w:rPr>
          <w:spacing w:val="-1"/>
        </w:rPr>
        <w:t xml:space="preserve"> </w:t>
      </w:r>
      <w:r>
        <w:t>what</w:t>
      </w:r>
      <w:r>
        <w:rPr>
          <w:spacing w:val="-1"/>
        </w:rPr>
        <w:t xml:space="preserve"> </w:t>
      </w:r>
      <w:r>
        <w:t>to</w:t>
      </w:r>
      <w:r>
        <w:rPr>
          <w:spacing w:val="-1"/>
        </w:rPr>
        <w:t xml:space="preserve"> </w:t>
      </w:r>
      <w:r>
        <w:t>do</w:t>
      </w:r>
      <w:r>
        <w:rPr>
          <w:spacing w:val="-1"/>
        </w:rPr>
        <w:t xml:space="preserve"> </w:t>
      </w:r>
      <w:r>
        <w:t>with</w:t>
      </w:r>
      <w:r>
        <w:rPr>
          <w:spacing w:val="-1"/>
        </w:rPr>
        <w:t xml:space="preserve"> </w:t>
      </w:r>
      <w:r>
        <w:t>another</w:t>
      </w:r>
      <w:r>
        <w:rPr>
          <w:spacing w:val="-1"/>
        </w:rPr>
        <w:t xml:space="preserve"> </w:t>
      </w:r>
      <w:r>
        <w:t>desire;</w:t>
      </w:r>
      <w:r>
        <w:rPr>
          <w:spacing w:val="-1"/>
        </w:rPr>
        <w:t xml:space="preserve"> </w:t>
      </w:r>
      <w:r>
        <w:t>it</w:t>
      </w:r>
      <w:r>
        <w:rPr>
          <w:spacing w:val="-1"/>
        </w:rPr>
        <w:t xml:space="preserve"> </w:t>
      </w:r>
      <w:r>
        <w:t>is</w:t>
      </w:r>
      <w:r>
        <w:rPr>
          <w:spacing w:val="-1"/>
        </w:rPr>
        <w:t xml:space="preserve"> </w:t>
      </w:r>
      <w:r>
        <w:t>a</w:t>
      </w:r>
      <w:r>
        <w:rPr>
          <w:spacing w:val="-1"/>
        </w:rPr>
        <w:t xml:space="preserve"> </w:t>
      </w:r>
      <w:r>
        <w:t>desire</w:t>
      </w:r>
      <w:r>
        <w:rPr>
          <w:spacing w:val="-1"/>
        </w:rPr>
        <w:t xml:space="preserve"> </w:t>
      </w:r>
      <w:r>
        <w:rPr>
          <w:i/>
        </w:rPr>
        <w:t>not</w:t>
      </w:r>
      <w:r>
        <w:rPr>
          <w:i/>
          <w:spacing w:val="-3"/>
        </w:rPr>
        <w:t xml:space="preserve"> </w:t>
      </w:r>
      <w:r>
        <w:t>to cave in to a desire to take heroin.</w:t>
      </w:r>
    </w:p>
    <w:p w14:paraId="7E001C93" w14:textId="77777777" w:rsidR="009A58DB" w:rsidRDefault="00000000">
      <w:pPr>
        <w:pStyle w:val="BodyText"/>
        <w:spacing w:before="5" w:line="249" w:lineRule="auto"/>
        <w:ind w:right="371" w:firstLine="360"/>
      </w:pPr>
      <w:r>
        <w:t>Suppose</w:t>
      </w:r>
      <w:r>
        <w:rPr>
          <w:spacing w:val="-4"/>
        </w:rPr>
        <w:t xml:space="preserve"> </w:t>
      </w:r>
      <w:r>
        <w:t>that</w:t>
      </w:r>
      <w:r>
        <w:rPr>
          <w:spacing w:val="-4"/>
        </w:rPr>
        <w:t xml:space="preserve"> </w:t>
      </w:r>
      <w:r>
        <w:t>Jones</w:t>
      </w:r>
      <w:r>
        <w:rPr>
          <w:spacing w:val="-4"/>
        </w:rPr>
        <w:t xml:space="preserve"> </w:t>
      </w:r>
      <w:r>
        <w:t>caves</w:t>
      </w:r>
      <w:r>
        <w:rPr>
          <w:spacing w:val="-4"/>
        </w:rPr>
        <w:t xml:space="preserve"> </w:t>
      </w:r>
      <w:r>
        <w:t>in</w:t>
      </w:r>
      <w:r>
        <w:rPr>
          <w:spacing w:val="-3"/>
        </w:rPr>
        <w:t xml:space="preserve"> </w:t>
      </w:r>
      <w:r>
        <w:t>and</w:t>
      </w:r>
      <w:r>
        <w:rPr>
          <w:spacing w:val="-3"/>
        </w:rPr>
        <w:t xml:space="preserve"> </w:t>
      </w:r>
      <w:r>
        <w:t>he</w:t>
      </w:r>
      <w:r>
        <w:rPr>
          <w:spacing w:val="-4"/>
        </w:rPr>
        <w:t xml:space="preserve"> </w:t>
      </w:r>
      <w:r>
        <w:t>takes</w:t>
      </w:r>
      <w:r>
        <w:rPr>
          <w:spacing w:val="-4"/>
        </w:rPr>
        <w:t xml:space="preserve"> </w:t>
      </w:r>
      <w:r>
        <w:t>the</w:t>
      </w:r>
      <w:r>
        <w:rPr>
          <w:spacing w:val="-4"/>
        </w:rPr>
        <w:t xml:space="preserve"> </w:t>
      </w:r>
      <w:r>
        <w:t>heroin.</w:t>
      </w:r>
      <w:r>
        <w:rPr>
          <w:spacing w:val="-3"/>
        </w:rPr>
        <w:t xml:space="preserve"> </w:t>
      </w:r>
      <w:r>
        <w:t>In</w:t>
      </w:r>
      <w:r>
        <w:rPr>
          <w:spacing w:val="-3"/>
        </w:rPr>
        <w:t xml:space="preserve"> </w:t>
      </w:r>
      <w:r>
        <w:t>that</w:t>
      </w:r>
      <w:r>
        <w:rPr>
          <w:spacing w:val="-4"/>
        </w:rPr>
        <w:t xml:space="preserve"> </w:t>
      </w:r>
      <w:r>
        <w:t>case,</w:t>
      </w:r>
      <w:r>
        <w:rPr>
          <w:spacing w:val="-3"/>
        </w:rPr>
        <w:t xml:space="preserve"> </w:t>
      </w:r>
      <w:r>
        <w:t>Jones</w:t>
      </w:r>
      <w:r>
        <w:rPr>
          <w:spacing w:val="-4"/>
        </w:rPr>
        <w:t xml:space="preserve"> </w:t>
      </w:r>
      <w:r>
        <w:t>is</w:t>
      </w:r>
      <w:r>
        <w:rPr>
          <w:spacing w:val="-4"/>
        </w:rPr>
        <w:t xml:space="preserve"> </w:t>
      </w:r>
      <w:r>
        <w:t>a slave to his desires. His will has been compromised. He is not acting freely.</w:t>
      </w:r>
    </w:p>
    <w:p w14:paraId="7E001C94" w14:textId="77777777" w:rsidR="009A58DB" w:rsidRDefault="00000000">
      <w:pPr>
        <w:pStyle w:val="BodyText"/>
        <w:spacing w:before="3" w:line="249" w:lineRule="auto"/>
        <w:ind w:right="363" w:firstLine="360"/>
      </w:pPr>
      <w:r>
        <w:t xml:space="preserve">But </w:t>
      </w:r>
      <w:r>
        <w:rPr>
          <w:i/>
        </w:rPr>
        <w:t xml:space="preserve">now </w:t>
      </w:r>
      <w:r>
        <w:t xml:space="preserve">suppose that Jones does </w:t>
      </w:r>
      <w:r>
        <w:rPr>
          <w:i/>
        </w:rPr>
        <w:t xml:space="preserve">not </w:t>
      </w:r>
      <w:r>
        <w:t xml:space="preserve">cave in. He does the right thing: instead of taking the heroin, he endures the discomfort of a heroin-free day and manages to get his work done. In </w:t>
      </w:r>
      <w:r>
        <w:rPr>
          <w:i/>
        </w:rPr>
        <w:t xml:space="preserve">this </w:t>
      </w:r>
      <w:r>
        <w:t>context, Jones is not a slave to his desires. His will has not been bent. His conduct expresses a “free will.”</w:t>
      </w:r>
    </w:p>
    <w:p w14:paraId="7E001C95" w14:textId="77777777" w:rsidR="009A58DB" w:rsidRDefault="00000000">
      <w:pPr>
        <w:pStyle w:val="BodyText"/>
        <w:spacing w:before="4" w:line="249" w:lineRule="auto"/>
        <w:ind w:right="364" w:firstLine="360"/>
      </w:pPr>
      <w:r>
        <w:t xml:space="preserve">In light of considerations such as these, Frankfurt says that somebody has a free will to the extent that his conduct aligns with his </w:t>
      </w:r>
      <w:r>
        <w:rPr>
          <w:i/>
        </w:rPr>
        <w:t>second</w:t>
      </w:r>
      <w:r>
        <w:t>-order desires.</w:t>
      </w:r>
    </w:p>
    <w:p w14:paraId="7E001C96" w14:textId="77777777" w:rsidR="009A58DB" w:rsidRDefault="00000000">
      <w:pPr>
        <w:pStyle w:val="BodyText"/>
        <w:spacing w:before="3" w:line="249" w:lineRule="auto"/>
        <w:ind w:right="361" w:firstLine="360"/>
      </w:pPr>
      <w:r>
        <w:t>But here a question arises. Why are second-order desires so special? Why is</w:t>
      </w:r>
      <w:r>
        <w:rPr>
          <w:spacing w:val="11"/>
        </w:rPr>
        <w:t xml:space="preserve"> </w:t>
      </w:r>
      <w:r>
        <w:t>it</w:t>
      </w:r>
      <w:r>
        <w:rPr>
          <w:spacing w:val="14"/>
        </w:rPr>
        <w:t xml:space="preserve"> </w:t>
      </w:r>
      <w:r>
        <w:t>that</w:t>
      </w:r>
      <w:r>
        <w:rPr>
          <w:spacing w:val="14"/>
        </w:rPr>
        <w:t xml:space="preserve"> </w:t>
      </w:r>
      <w:r>
        <w:t>freedom</w:t>
      </w:r>
      <w:r>
        <w:rPr>
          <w:spacing w:val="14"/>
        </w:rPr>
        <w:t xml:space="preserve"> </w:t>
      </w:r>
      <w:r>
        <w:t>consists</w:t>
      </w:r>
      <w:r>
        <w:rPr>
          <w:spacing w:val="14"/>
        </w:rPr>
        <w:t xml:space="preserve"> </w:t>
      </w:r>
      <w:r>
        <w:t>in</w:t>
      </w:r>
      <w:r>
        <w:rPr>
          <w:spacing w:val="13"/>
        </w:rPr>
        <w:t xml:space="preserve"> </w:t>
      </w:r>
      <w:r>
        <w:t>doing</w:t>
      </w:r>
      <w:r>
        <w:rPr>
          <w:spacing w:val="14"/>
        </w:rPr>
        <w:t xml:space="preserve"> </w:t>
      </w:r>
      <w:r>
        <w:t>the</w:t>
      </w:r>
      <w:r>
        <w:rPr>
          <w:spacing w:val="14"/>
        </w:rPr>
        <w:t xml:space="preserve"> </w:t>
      </w:r>
      <w:r>
        <w:t>bidding</w:t>
      </w:r>
      <w:r>
        <w:rPr>
          <w:spacing w:val="14"/>
        </w:rPr>
        <w:t xml:space="preserve"> </w:t>
      </w:r>
      <w:r>
        <w:t>of</w:t>
      </w:r>
      <w:r>
        <w:rPr>
          <w:spacing w:val="14"/>
        </w:rPr>
        <w:t xml:space="preserve"> </w:t>
      </w:r>
      <w:r>
        <w:t>one’s</w:t>
      </w:r>
      <w:r>
        <w:rPr>
          <w:spacing w:val="14"/>
        </w:rPr>
        <w:t xml:space="preserve"> </w:t>
      </w:r>
      <w:r>
        <w:rPr>
          <w:i/>
        </w:rPr>
        <w:t>second</w:t>
      </w:r>
      <w:r>
        <w:t>-order</w:t>
      </w:r>
      <w:r>
        <w:rPr>
          <w:spacing w:val="12"/>
        </w:rPr>
        <w:t xml:space="preserve"> </w:t>
      </w:r>
      <w:r>
        <w:rPr>
          <w:spacing w:val="-2"/>
        </w:rPr>
        <w:t>desires</w:t>
      </w:r>
    </w:p>
    <w:p w14:paraId="7E001C97" w14:textId="77777777" w:rsidR="009A58DB" w:rsidRDefault="00000000">
      <w:pPr>
        <w:pStyle w:val="BodyText"/>
        <w:spacing w:before="2"/>
      </w:pPr>
      <w:r>
        <w:t>—as</w:t>
      </w:r>
      <w:r>
        <w:rPr>
          <w:spacing w:val="40"/>
          <w:w w:val="150"/>
        </w:rPr>
        <w:t xml:space="preserve"> </w:t>
      </w:r>
      <w:r>
        <w:t>opposed</w:t>
      </w:r>
      <w:r>
        <w:rPr>
          <w:spacing w:val="43"/>
          <w:w w:val="150"/>
        </w:rPr>
        <w:t xml:space="preserve"> </w:t>
      </w:r>
      <w:r>
        <w:t>to</w:t>
      </w:r>
      <w:r>
        <w:rPr>
          <w:spacing w:val="44"/>
          <w:w w:val="150"/>
        </w:rPr>
        <w:t xml:space="preserve"> </w:t>
      </w:r>
      <w:r>
        <w:t>that</w:t>
      </w:r>
      <w:r>
        <w:rPr>
          <w:spacing w:val="42"/>
          <w:w w:val="150"/>
        </w:rPr>
        <w:t xml:space="preserve"> </w:t>
      </w:r>
      <w:r>
        <w:t>of</w:t>
      </w:r>
      <w:r>
        <w:rPr>
          <w:spacing w:val="44"/>
          <w:w w:val="150"/>
        </w:rPr>
        <w:t xml:space="preserve"> </w:t>
      </w:r>
      <w:r>
        <w:t>one’s</w:t>
      </w:r>
      <w:r>
        <w:rPr>
          <w:spacing w:val="43"/>
          <w:w w:val="150"/>
        </w:rPr>
        <w:t xml:space="preserve"> </w:t>
      </w:r>
      <w:r>
        <w:t>third-order,</w:t>
      </w:r>
      <w:r>
        <w:rPr>
          <w:spacing w:val="42"/>
          <w:w w:val="150"/>
        </w:rPr>
        <w:t xml:space="preserve"> </w:t>
      </w:r>
      <w:r>
        <w:t>or</w:t>
      </w:r>
      <w:r>
        <w:rPr>
          <w:spacing w:val="44"/>
          <w:w w:val="150"/>
        </w:rPr>
        <w:t xml:space="preserve"> </w:t>
      </w:r>
      <w:r>
        <w:t>fourth-order,</w:t>
      </w:r>
      <w:r>
        <w:rPr>
          <w:spacing w:val="43"/>
          <w:w w:val="150"/>
        </w:rPr>
        <w:t xml:space="preserve"> </w:t>
      </w:r>
      <w:r>
        <w:t>or</w:t>
      </w:r>
      <w:r>
        <w:rPr>
          <w:spacing w:val="44"/>
          <w:w w:val="150"/>
        </w:rPr>
        <w:t xml:space="preserve"> </w:t>
      </w:r>
      <w:r>
        <w:t>first-</w:t>
      </w:r>
      <w:r>
        <w:rPr>
          <w:spacing w:val="-2"/>
        </w:rPr>
        <w:t>order</w:t>
      </w:r>
    </w:p>
    <w:p w14:paraId="7E001C98" w14:textId="77777777" w:rsidR="009A58DB" w:rsidRDefault="009A58DB">
      <w:pPr>
        <w:pStyle w:val="BodyText"/>
        <w:sectPr w:rsidR="009A58DB">
          <w:pgSz w:w="12240" w:h="15840"/>
          <w:pgMar w:top="1380" w:right="1080" w:bottom="280" w:left="1080" w:header="720" w:footer="720" w:gutter="0"/>
          <w:cols w:space="720"/>
        </w:sectPr>
      </w:pPr>
    </w:p>
    <w:p w14:paraId="7E001C99" w14:textId="77777777" w:rsidR="009A58DB" w:rsidRDefault="00000000">
      <w:pPr>
        <w:pStyle w:val="BodyText"/>
        <w:spacing w:before="65"/>
      </w:pPr>
      <w:r>
        <w:lastRenderedPageBreak/>
        <w:t>desires?</w:t>
      </w:r>
      <w:r>
        <w:rPr>
          <w:spacing w:val="-6"/>
        </w:rPr>
        <w:t xml:space="preserve"> </w:t>
      </w:r>
      <w:r>
        <w:t>What,</w:t>
      </w:r>
      <w:r>
        <w:rPr>
          <w:spacing w:val="-2"/>
        </w:rPr>
        <w:t xml:space="preserve"> </w:t>
      </w:r>
      <w:r>
        <w:t>in</w:t>
      </w:r>
      <w:r>
        <w:rPr>
          <w:spacing w:val="-3"/>
        </w:rPr>
        <w:t xml:space="preserve"> </w:t>
      </w:r>
      <w:r>
        <w:t>this</w:t>
      </w:r>
      <w:r>
        <w:rPr>
          <w:spacing w:val="-3"/>
        </w:rPr>
        <w:t xml:space="preserve"> </w:t>
      </w:r>
      <w:r>
        <w:t>context,</w:t>
      </w:r>
      <w:r>
        <w:rPr>
          <w:spacing w:val="-3"/>
        </w:rPr>
        <w:t xml:space="preserve"> </w:t>
      </w:r>
      <w:r>
        <w:t>is</w:t>
      </w:r>
      <w:r>
        <w:rPr>
          <w:spacing w:val="-3"/>
        </w:rPr>
        <w:t xml:space="preserve"> </w:t>
      </w:r>
      <w:r>
        <w:t>so</w:t>
      </w:r>
      <w:r>
        <w:rPr>
          <w:spacing w:val="-3"/>
        </w:rPr>
        <w:t xml:space="preserve"> </w:t>
      </w:r>
      <w:r>
        <w:t>special</w:t>
      </w:r>
      <w:r>
        <w:rPr>
          <w:spacing w:val="-3"/>
        </w:rPr>
        <w:t xml:space="preserve"> </w:t>
      </w:r>
      <w:r>
        <w:t>about</w:t>
      </w:r>
      <w:r>
        <w:rPr>
          <w:spacing w:val="-4"/>
        </w:rPr>
        <w:t xml:space="preserve"> </w:t>
      </w:r>
      <w:r>
        <w:t>the</w:t>
      </w:r>
      <w:r>
        <w:rPr>
          <w:spacing w:val="-3"/>
        </w:rPr>
        <w:t xml:space="preserve"> </w:t>
      </w:r>
      <w:r>
        <w:t>number</w:t>
      </w:r>
      <w:r>
        <w:rPr>
          <w:spacing w:val="-3"/>
        </w:rPr>
        <w:t xml:space="preserve"> </w:t>
      </w:r>
      <w:r>
        <w:rPr>
          <w:spacing w:val="-4"/>
        </w:rPr>
        <w:t>two?</w:t>
      </w:r>
    </w:p>
    <w:p w14:paraId="7E001C9A" w14:textId="77777777" w:rsidR="009A58DB" w:rsidRDefault="00000000">
      <w:pPr>
        <w:pStyle w:val="BodyText"/>
        <w:spacing w:before="15" w:line="249" w:lineRule="auto"/>
        <w:ind w:right="358" w:firstLine="360"/>
      </w:pPr>
      <w:r>
        <w:t xml:space="preserve">When the heroin-addicted writer decides </w:t>
      </w:r>
      <w:r>
        <w:rPr>
          <w:i/>
        </w:rPr>
        <w:t xml:space="preserve">not </w:t>
      </w:r>
      <w:r>
        <w:t>to take heroin, what is</w:t>
      </w:r>
      <w:r>
        <w:rPr>
          <w:spacing w:val="40"/>
        </w:rPr>
        <w:t xml:space="preserve"> </w:t>
      </w:r>
      <w:r>
        <w:t xml:space="preserve">driving him is a rational appraisal of his situation. But when the heroin-addicted writer gives in to his addiction, it is </w:t>
      </w:r>
      <w:r>
        <w:rPr>
          <w:i/>
        </w:rPr>
        <w:t xml:space="preserve">not </w:t>
      </w:r>
      <w:r>
        <w:t>his rationality (or his morality) that is driving him.</w:t>
      </w:r>
    </w:p>
    <w:p w14:paraId="7E001C9B" w14:textId="77777777" w:rsidR="009A58DB" w:rsidRDefault="00000000">
      <w:pPr>
        <w:pStyle w:val="BodyText"/>
        <w:spacing w:before="5" w:line="249" w:lineRule="auto"/>
        <w:ind w:right="357" w:firstLine="360"/>
      </w:pPr>
      <w:r>
        <w:t>Before we can close this argument, we must address Frankfurt’s</w:t>
      </w:r>
      <w:r>
        <w:rPr>
          <w:spacing w:val="40"/>
        </w:rPr>
        <w:t xml:space="preserve"> </w:t>
      </w:r>
      <w:r>
        <w:t xml:space="preserve">discussion of the concept of a “person.” By a “person,” Frankfurt does not mean a member of the species </w:t>
      </w:r>
      <w:r>
        <w:rPr>
          <w:i/>
        </w:rPr>
        <w:t xml:space="preserve">homo sapiens. </w:t>
      </w:r>
      <w:r>
        <w:t xml:space="preserve">He means anything that has the same basic psychological architecture that we have. What is so special about that structure? First of all, we are self-conscious. Second, we are rational. Third, we are rational not only about how to attain our objectives, </w:t>
      </w:r>
      <w:r>
        <w:rPr>
          <w:i/>
        </w:rPr>
        <w:t xml:space="preserve">but also about what those objectives should be. </w:t>
      </w:r>
      <w:r>
        <w:t>What distinguishes persons from non-persons is that the former, but not the latter, subject their own desires (and, more generally, their own mental states) to critical scrutiny.</w:t>
      </w:r>
    </w:p>
    <w:p w14:paraId="7E001C9C" w14:textId="77777777" w:rsidR="009A58DB" w:rsidRDefault="00000000">
      <w:pPr>
        <w:pStyle w:val="BodyText"/>
        <w:spacing w:before="11" w:line="249" w:lineRule="auto"/>
        <w:ind w:right="359" w:firstLine="360"/>
      </w:pPr>
      <w:r>
        <w:t>Non-persons are often very clever when it comes to figuring out how to attain</w:t>
      </w:r>
      <w:r>
        <w:rPr>
          <w:spacing w:val="-1"/>
        </w:rPr>
        <w:t xml:space="preserve"> </w:t>
      </w:r>
      <w:r>
        <w:t>their</w:t>
      </w:r>
      <w:r>
        <w:rPr>
          <w:spacing w:val="-1"/>
        </w:rPr>
        <w:t xml:space="preserve"> </w:t>
      </w:r>
      <w:r>
        <w:t>objectives;</w:t>
      </w:r>
      <w:r>
        <w:rPr>
          <w:spacing w:val="-1"/>
        </w:rPr>
        <w:t xml:space="preserve"> </w:t>
      </w:r>
      <w:r>
        <w:t>for</w:t>
      </w:r>
      <w:r>
        <w:rPr>
          <w:spacing w:val="-1"/>
        </w:rPr>
        <w:t xml:space="preserve"> </w:t>
      </w:r>
      <w:r>
        <w:t>example,</w:t>
      </w:r>
      <w:r>
        <w:rPr>
          <w:spacing w:val="-1"/>
        </w:rPr>
        <w:t xml:space="preserve"> </w:t>
      </w:r>
      <w:r>
        <w:t>beavers</w:t>
      </w:r>
      <w:r>
        <w:rPr>
          <w:spacing w:val="-1"/>
        </w:rPr>
        <w:t xml:space="preserve"> </w:t>
      </w:r>
      <w:r>
        <w:t>show</w:t>
      </w:r>
      <w:r>
        <w:rPr>
          <w:spacing w:val="-1"/>
        </w:rPr>
        <w:t xml:space="preserve"> </w:t>
      </w:r>
      <w:r>
        <w:t>a</w:t>
      </w:r>
      <w:r>
        <w:rPr>
          <w:spacing w:val="-1"/>
        </w:rPr>
        <w:t xml:space="preserve"> </w:t>
      </w:r>
      <w:r>
        <w:t>lot</w:t>
      </w:r>
      <w:r>
        <w:rPr>
          <w:spacing w:val="-1"/>
        </w:rPr>
        <w:t xml:space="preserve"> </w:t>
      </w:r>
      <w:r>
        <w:t>of</w:t>
      </w:r>
      <w:r>
        <w:rPr>
          <w:spacing w:val="-1"/>
        </w:rPr>
        <w:t xml:space="preserve"> </w:t>
      </w:r>
      <w:r>
        <w:t>intelligence</w:t>
      </w:r>
      <w:r>
        <w:rPr>
          <w:spacing w:val="-1"/>
        </w:rPr>
        <w:t xml:space="preserve"> </w:t>
      </w:r>
      <w:r>
        <w:t>when</w:t>
      </w:r>
      <w:r>
        <w:rPr>
          <w:spacing w:val="-1"/>
        </w:rPr>
        <w:t xml:space="preserve"> </w:t>
      </w:r>
      <w:r>
        <w:t xml:space="preserve">it comes to building dams. But they are not smart about whether they should be building dams in the first place. The question doesn’t arise. They have the desire, and they act on it (or they die trying). In general, persons do, whereas non-persons do not, subject their own desires to rational scrutiny. Non-persons do not ask themselves: “What would the consequences of acting on this desire be? And </w:t>
      </w:r>
      <w:r>
        <w:rPr>
          <w:i/>
        </w:rPr>
        <w:t xml:space="preserve">should </w:t>
      </w:r>
      <w:r>
        <w:t>I act on this desire?”</w:t>
      </w:r>
    </w:p>
    <w:p w14:paraId="7E001C9D" w14:textId="77777777" w:rsidR="009A58DB" w:rsidRDefault="00000000">
      <w:pPr>
        <w:pStyle w:val="BodyText"/>
        <w:spacing w:before="9" w:line="249" w:lineRule="auto"/>
        <w:ind w:right="358" w:firstLine="360"/>
      </w:pPr>
      <w:r>
        <w:t xml:space="preserve">We persons, on the other hand, </w:t>
      </w:r>
      <w:r>
        <w:rPr>
          <w:i/>
        </w:rPr>
        <w:t xml:space="preserve">do </w:t>
      </w:r>
      <w:r>
        <w:t>subject our objectives to rational assessment. And this is obviously made possible by the fact that we are self-conscious. If I am overtaken by a desire to build a dam, I will ask myself: “how would my acting on this desire help my overall interests?”</w:t>
      </w:r>
    </w:p>
    <w:p w14:paraId="7E001C9E" w14:textId="77777777" w:rsidR="009A58DB" w:rsidRDefault="00000000">
      <w:pPr>
        <w:pStyle w:val="BodyText"/>
        <w:spacing w:before="5" w:line="249" w:lineRule="auto"/>
        <w:ind w:right="358" w:firstLine="360"/>
      </w:pPr>
      <w:r>
        <w:t>We can now close the argument. Whenever someone is driven by a rational assessment of their own desires, they are driven by a desire about a desire. Thus, one is rational only to the extent that it is one’s second-order desires that drive one’s conduct. There is a clear sense in which rational conduct is free and in which irrational conduct is not.</w:t>
      </w:r>
    </w:p>
    <w:p w14:paraId="7E001C9F" w14:textId="77777777" w:rsidR="009A58DB" w:rsidRDefault="00000000">
      <w:pPr>
        <w:pStyle w:val="BodyText"/>
        <w:spacing w:before="7" w:line="249" w:lineRule="auto"/>
        <w:ind w:right="358" w:firstLine="360"/>
      </w:pPr>
      <w:r>
        <w:t xml:space="preserve">There’s more to being free than being able to do what you what. Your desires must reflect who you are. If they don’t, those desires </w:t>
      </w:r>
      <w:r>
        <w:rPr>
          <w:i/>
        </w:rPr>
        <w:t xml:space="preserve">belong </w:t>
      </w:r>
      <w:r>
        <w:t xml:space="preserve">to you but aren’t </w:t>
      </w:r>
      <w:r>
        <w:rPr>
          <w:i/>
        </w:rPr>
        <w:t xml:space="preserve">of </w:t>
      </w:r>
      <w:r>
        <w:t xml:space="preserve">you. And in that case, you are alienated from your own mental states, in much the way that a person with Parkinson’s is alienated from his </w:t>
      </w:r>
      <w:r>
        <w:rPr>
          <w:spacing w:val="-2"/>
        </w:rPr>
        <w:t>body.</w:t>
      </w:r>
    </w:p>
    <w:p w14:paraId="7E001CA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A1" w14:textId="77777777" w:rsidR="009A58DB" w:rsidRDefault="00000000">
      <w:pPr>
        <w:pStyle w:val="BodyText"/>
        <w:spacing w:before="65" w:line="249" w:lineRule="auto"/>
        <w:ind w:right="358" w:firstLine="360"/>
      </w:pPr>
      <w:r>
        <w:lastRenderedPageBreak/>
        <w:t>But, in a way, the alienation is even worse. Involuntary behavior is unintentional behavior. Intentional behavior is voluntary behavior. Voluntary behavior</w:t>
      </w:r>
      <w:r>
        <w:rPr>
          <w:spacing w:val="-3"/>
        </w:rPr>
        <w:t xml:space="preserve"> </w:t>
      </w:r>
      <w:r>
        <w:t>is</w:t>
      </w:r>
      <w:r>
        <w:rPr>
          <w:spacing w:val="-3"/>
        </w:rPr>
        <w:t xml:space="preserve"> </w:t>
      </w:r>
      <w:r>
        <w:t>desire-driven</w:t>
      </w:r>
      <w:r>
        <w:rPr>
          <w:spacing w:val="-2"/>
        </w:rPr>
        <w:t xml:space="preserve"> </w:t>
      </w:r>
      <w:r>
        <w:t>behavior.</w:t>
      </w:r>
      <w:r>
        <w:rPr>
          <w:spacing w:val="-2"/>
        </w:rPr>
        <w:t xml:space="preserve"> </w:t>
      </w:r>
      <w:r>
        <w:t>(If</w:t>
      </w:r>
      <w:r>
        <w:rPr>
          <w:spacing w:val="-3"/>
        </w:rPr>
        <w:t xml:space="preserve"> </w:t>
      </w:r>
      <w:r>
        <w:t>you</w:t>
      </w:r>
      <w:r>
        <w:rPr>
          <w:spacing w:val="-2"/>
        </w:rPr>
        <w:t xml:space="preserve"> </w:t>
      </w:r>
      <w:r>
        <w:t>don’t</w:t>
      </w:r>
      <w:r>
        <w:rPr>
          <w:spacing w:val="-3"/>
        </w:rPr>
        <w:t xml:space="preserve"> </w:t>
      </w:r>
      <w:r>
        <w:rPr>
          <w:i/>
        </w:rPr>
        <w:t>want</w:t>
      </w:r>
      <w:r>
        <w:rPr>
          <w:i/>
          <w:spacing w:val="-3"/>
        </w:rPr>
        <w:t xml:space="preserve"> </w:t>
      </w:r>
      <w:r>
        <w:t xml:space="preserve">to raise your arm, but it goes up anyway, you didn’t intend for it to happen.) Epileptic fits are not </w:t>
      </w:r>
      <w:r>
        <w:rPr>
          <w:i/>
        </w:rPr>
        <w:t xml:space="preserve">actions. </w:t>
      </w:r>
      <w:r>
        <w:t xml:space="preserve">Unintended behaviors are not </w:t>
      </w:r>
      <w:r>
        <w:rPr>
          <w:i/>
        </w:rPr>
        <w:t xml:space="preserve">action. </w:t>
      </w:r>
      <w:r>
        <w:t xml:space="preserve">Unlike actions, they’re </w:t>
      </w:r>
      <w:r>
        <w:rPr>
          <w:i/>
        </w:rPr>
        <w:t xml:space="preserve">undergone, </w:t>
      </w:r>
      <w:r>
        <w:t xml:space="preserve">not </w:t>
      </w:r>
      <w:r>
        <w:rPr>
          <w:i/>
        </w:rPr>
        <w:t xml:space="preserve">done. </w:t>
      </w:r>
      <w:r>
        <w:t>So estrangement from one’s own actions amounts to estrangement from all of one’s actions; and it’s hard to imagine a condition less free than that.</w:t>
      </w:r>
    </w:p>
    <w:p w14:paraId="7E001CA2" w14:textId="77777777" w:rsidR="009A58DB" w:rsidRDefault="00000000">
      <w:pPr>
        <w:pStyle w:val="Heading1"/>
        <w:numPr>
          <w:ilvl w:val="2"/>
          <w:numId w:val="98"/>
        </w:numPr>
        <w:tabs>
          <w:tab w:val="left" w:pos="1305"/>
        </w:tabs>
        <w:spacing w:before="197"/>
      </w:pPr>
      <w:r>
        <w:t>Frankfurt’s</w:t>
      </w:r>
      <w:r>
        <w:rPr>
          <w:spacing w:val="-8"/>
        </w:rPr>
        <w:t xml:space="preserve"> </w:t>
      </w:r>
      <w:r>
        <w:t>emendation</w:t>
      </w:r>
      <w:r>
        <w:rPr>
          <w:spacing w:val="-6"/>
        </w:rPr>
        <w:t xml:space="preserve"> </w:t>
      </w:r>
      <w:r>
        <w:t>of</w:t>
      </w:r>
      <w:r>
        <w:rPr>
          <w:spacing w:val="-6"/>
        </w:rPr>
        <w:t xml:space="preserve"> </w:t>
      </w:r>
      <w:r>
        <w:t>this</w:t>
      </w:r>
      <w:r>
        <w:rPr>
          <w:spacing w:val="-5"/>
        </w:rPr>
        <w:t xml:space="preserve"> </w:t>
      </w:r>
      <w:r>
        <w:rPr>
          <w:spacing w:val="-2"/>
        </w:rPr>
        <w:t>analysis</w:t>
      </w:r>
    </w:p>
    <w:p w14:paraId="7E001CA3" w14:textId="77777777" w:rsidR="009A58DB" w:rsidRDefault="00000000">
      <w:pPr>
        <w:pStyle w:val="BodyText"/>
        <w:spacing w:before="140" w:line="249" w:lineRule="auto"/>
        <w:ind w:right="364"/>
      </w:pPr>
      <w:r>
        <w:t>Another story will help expose a problem with the analysis of freedom just described, and it will also clarify the raison d’être for Frankfurt’s soon to be discussed emendations of it.</w:t>
      </w:r>
    </w:p>
    <w:p w14:paraId="7E001CA4" w14:textId="77777777" w:rsidR="009A58DB" w:rsidRDefault="00000000">
      <w:pPr>
        <w:pStyle w:val="BodyText"/>
        <w:spacing w:before="3" w:line="249" w:lineRule="auto"/>
        <w:ind w:right="358" w:firstLine="360"/>
      </w:pPr>
      <w:r>
        <w:t>Smith’s first-order desires are seriously out of alignment with his second. He values writing poetry; he’s good at it; and he enjoys it about as much as it’s humanly possibly to enjoy it. But he has a voracious craving for drugs. His craving for drugs, especially cocaine, is unusually strong; and his desire to write poetry, though intense, is not as intense as his desire to do cocaine.</w:t>
      </w:r>
    </w:p>
    <w:p w14:paraId="7E001CA5" w14:textId="77777777" w:rsidR="009A58DB" w:rsidRDefault="00000000">
      <w:pPr>
        <w:pStyle w:val="BodyText"/>
        <w:spacing w:before="6" w:line="249" w:lineRule="auto"/>
        <w:ind w:right="357" w:firstLine="360"/>
      </w:pPr>
      <w:r>
        <w:t>Smith’s desire to do cocaine is out of alignment with many of his values (second-order desires). Were he to give into this desire, he couldn’t write poetry; nor could he maintain friendships or play sports or, with only a few exceptions, do any of the other things he values. For this reason, he doesn’t give in. But given how intense his craving is, every day is a struggle for Smith. If, as Frankfurt suggests, one is free to the extent that one acts on</w:t>
      </w:r>
      <w:r>
        <w:rPr>
          <w:spacing w:val="40"/>
        </w:rPr>
        <w:t xml:space="preserve"> </w:t>
      </w:r>
      <w:r>
        <w:t>one’s second-order desires, Smith is as free as a person can be. But given</w:t>
      </w:r>
      <w:r>
        <w:rPr>
          <w:spacing w:val="40"/>
        </w:rPr>
        <w:t xml:space="preserve"> </w:t>
      </w:r>
      <w:r>
        <w:t xml:space="preserve">how hard life is for Smith, it’s counterintuitive to suppose that he’s maximally free. To be sure he has </w:t>
      </w:r>
      <w:r>
        <w:rPr>
          <w:i/>
        </w:rPr>
        <w:t xml:space="preserve">a kind of </w:t>
      </w:r>
      <w:r>
        <w:t>freedom, and he has it in abundance. But there’s some other sort of freedom that he doesn’t have.</w:t>
      </w:r>
    </w:p>
    <w:p w14:paraId="7E001CA6" w14:textId="77777777" w:rsidR="009A58DB" w:rsidRDefault="00000000">
      <w:pPr>
        <w:pStyle w:val="BodyText"/>
        <w:spacing w:before="13" w:line="249" w:lineRule="auto"/>
        <w:ind w:right="363" w:firstLine="360"/>
      </w:pPr>
      <w:r>
        <w:t xml:space="preserve">Frankfurt is aware of this problem, and he revises his view to deal with it. According to his revised view, if an act is to be free, it is </w:t>
      </w:r>
      <w:r>
        <w:rPr>
          <w:i/>
        </w:rPr>
        <w:t>necessary</w:t>
      </w:r>
      <w:r>
        <w:rPr>
          <w:i/>
          <w:spacing w:val="-3"/>
        </w:rPr>
        <w:t xml:space="preserve"> </w:t>
      </w:r>
      <w:r>
        <w:t>that it be driven</w:t>
      </w:r>
      <w:r>
        <w:rPr>
          <w:spacing w:val="-2"/>
        </w:rPr>
        <w:t xml:space="preserve"> </w:t>
      </w:r>
      <w:r>
        <w:t>by</w:t>
      </w:r>
      <w:r>
        <w:rPr>
          <w:spacing w:val="-2"/>
        </w:rPr>
        <w:t xml:space="preserve"> </w:t>
      </w:r>
      <w:r>
        <w:t>a</w:t>
      </w:r>
      <w:r>
        <w:rPr>
          <w:spacing w:val="-2"/>
        </w:rPr>
        <w:t xml:space="preserve"> </w:t>
      </w:r>
      <w:r>
        <w:t>second-order</w:t>
      </w:r>
      <w:r>
        <w:rPr>
          <w:spacing w:val="-2"/>
        </w:rPr>
        <w:t xml:space="preserve"> </w:t>
      </w:r>
      <w:r>
        <w:t>desire,</w:t>
      </w:r>
      <w:r>
        <w:rPr>
          <w:spacing w:val="-2"/>
        </w:rPr>
        <w:t xml:space="preserve"> </w:t>
      </w:r>
      <w:r>
        <w:t>but</w:t>
      </w:r>
      <w:r>
        <w:rPr>
          <w:spacing w:val="-2"/>
        </w:rPr>
        <w:t xml:space="preserve"> </w:t>
      </w:r>
      <w:r>
        <w:t>it</w:t>
      </w:r>
      <w:r>
        <w:rPr>
          <w:spacing w:val="-2"/>
        </w:rPr>
        <w:t xml:space="preserve"> </w:t>
      </w:r>
      <w:r>
        <w:t>isn’t</w:t>
      </w:r>
      <w:r>
        <w:rPr>
          <w:spacing w:val="-2"/>
        </w:rPr>
        <w:t xml:space="preserve"> </w:t>
      </w:r>
      <w:r>
        <w:rPr>
          <w:i/>
        </w:rPr>
        <w:t>sufficient.</w:t>
      </w:r>
      <w:r>
        <w:rPr>
          <w:i/>
          <w:spacing w:val="-3"/>
        </w:rPr>
        <w:t xml:space="preserve"> </w:t>
      </w:r>
      <w:r>
        <w:t>Another</w:t>
      </w:r>
      <w:r>
        <w:rPr>
          <w:spacing w:val="-4"/>
        </w:rPr>
        <w:t xml:space="preserve"> </w:t>
      </w:r>
      <w:r>
        <w:t>condition</w:t>
      </w:r>
      <w:r>
        <w:rPr>
          <w:spacing w:val="-3"/>
        </w:rPr>
        <w:t xml:space="preserve"> </w:t>
      </w:r>
      <w:r>
        <w:t>must be met: one’s first-order desires must be consistent with the second-order desires that are driving that act.</w:t>
      </w:r>
    </w:p>
    <w:p w14:paraId="7E001CA7" w14:textId="77777777" w:rsidR="009A58DB" w:rsidRDefault="00000000">
      <w:pPr>
        <w:pStyle w:val="BodyText"/>
        <w:spacing w:before="6" w:line="249" w:lineRule="auto"/>
        <w:ind w:right="365" w:firstLine="360"/>
      </w:pPr>
      <w:r>
        <w:t>Here’s the idea. Person X has no self-control. He binges on drugs and food,</w:t>
      </w:r>
      <w:r>
        <w:rPr>
          <w:spacing w:val="26"/>
        </w:rPr>
        <w:t xml:space="preserve"> </w:t>
      </w:r>
      <w:r>
        <w:t>and</w:t>
      </w:r>
      <w:r>
        <w:rPr>
          <w:spacing w:val="28"/>
        </w:rPr>
        <w:t xml:space="preserve"> </w:t>
      </w:r>
      <w:r>
        <w:t>he</w:t>
      </w:r>
      <w:r>
        <w:rPr>
          <w:spacing w:val="27"/>
        </w:rPr>
        <w:t xml:space="preserve"> </w:t>
      </w:r>
      <w:r>
        <w:t>hates</w:t>
      </w:r>
      <w:r>
        <w:rPr>
          <w:spacing w:val="27"/>
        </w:rPr>
        <w:t xml:space="preserve"> </w:t>
      </w:r>
      <w:r>
        <w:t>himself</w:t>
      </w:r>
      <w:r>
        <w:rPr>
          <w:spacing w:val="28"/>
        </w:rPr>
        <w:t xml:space="preserve"> </w:t>
      </w:r>
      <w:r>
        <w:t>for</w:t>
      </w:r>
      <w:r>
        <w:rPr>
          <w:spacing w:val="27"/>
        </w:rPr>
        <w:t xml:space="preserve"> </w:t>
      </w:r>
      <w:r>
        <w:t>doing</w:t>
      </w:r>
      <w:r>
        <w:rPr>
          <w:spacing w:val="28"/>
        </w:rPr>
        <w:t xml:space="preserve"> </w:t>
      </w:r>
      <w:r>
        <w:t>this;</w:t>
      </w:r>
      <w:r>
        <w:rPr>
          <w:spacing w:val="27"/>
        </w:rPr>
        <w:t xml:space="preserve"> </w:t>
      </w:r>
      <w:r>
        <w:t>but</w:t>
      </w:r>
      <w:r>
        <w:rPr>
          <w:spacing w:val="28"/>
        </w:rPr>
        <w:t xml:space="preserve"> </w:t>
      </w:r>
      <w:r>
        <w:t>he</w:t>
      </w:r>
      <w:r>
        <w:rPr>
          <w:spacing w:val="27"/>
        </w:rPr>
        <w:t xml:space="preserve"> </w:t>
      </w:r>
      <w:r>
        <w:t>can’t</w:t>
      </w:r>
      <w:r>
        <w:rPr>
          <w:spacing w:val="27"/>
        </w:rPr>
        <w:t xml:space="preserve"> </w:t>
      </w:r>
      <w:r>
        <w:t>stop—he’s</w:t>
      </w:r>
      <w:r>
        <w:rPr>
          <w:spacing w:val="27"/>
        </w:rPr>
        <w:t xml:space="preserve"> </w:t>
      </w:r>
      <w:r>
        <w:t>too</w:t>
      </w:r>
      <w:r>
        <w:rPr>
          <w:spacing w:val="29"/>
        </w:rPr>
        <w:t xml:space="preserve"> </w:t>
      </w:r>
      <w:r>
        <w:rPr>
          <w:spacing w:val="-4"/>
        </w:rPr>
        <w:t>weak</w:t>
      </w:r>
    </w:p>
    <w:p w14:paraId="7E001C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A9" w14:textId="77777777" w:rsidR="009A58DB" w:rsidRDefault="00000000">
      <w:pPr>
        <w:pStyle w:val="BodyText"/>
        <w:spacing w:before="60" w:line="249" w:lineRule="auto"/>
        <w:ind w:right="363"/>
      </w:pPr>
      <w:r>
        <w:lastRenderedPageBreak/>
        <w:t>and his urges are too strong. His life has no meaning and he knows it; but he will not, or cannot, do anything about it. Unlike X, Person Y has a huge amount of self-control and never caves into temptation. But everything is a struggle,</w:t>
      </w:r>
      <w:r>
        <w:rPr>
          <w:spacing w:val="-1"/>
        </w:rPr>
        <w:t xml:space="preserve"> </w:t>
      </w:r>
      <w:r>
        <w:t>since</w:t>
      </w:r>
      <w:r>
        <w:rPr>
          <w:spacing w:val="-1"/>
        </w:rPr>
        <w:t xml:space="preserve"> </w:t>
      </w:r>
      <w:r>
        <w:t>he’s</w:t>
      </w:r>
      <w:r>
        <w:rPr>
          <w:spacing w:val="-1"/>
        </w:rPr>
        <w:t xml:space="preserve"> </w:t>
      </w:r>
      <w:r>
        <w:t>always</w:t>
      </w:r>
      <w:r>
        <w:rPr>
          <w:spacing w:val="-1"/>
        </w:rPr>
        <w:t xml:space="preserve"> </w:t>
      </w:r>
      <w:r>
        <w:t>fighting</w:t>
      </w:r>
      <w:r>
        <w:rPr>
          <w:spacing w:val="-1"/>
        </w:rPr>
        <w:t xml:space="preserve"> </w:t>
      </w:r>
      <w:r>
        <w:t>temptation,</w:t>
      </w:r>
      <w:r>
        <w:rPr>
          <w:spacing w:val="-1"/>
        </w:rPr>
        <w:t xml:space="preserve"> </w:t>
      </w:r>
      <w:r>
        <w:t>like</w:t>
      </w:r>
      <w:r>
        <w:rPr>
          <w:spacing w:val="-1"/>
        </w:rPr>
        <w:t xml:space="preserve"> </w:t>
      </w:r>
      <w:r>
        <w:t>a</w:t>
      </w:r>
      <w:r>
        <w:rPr>
          <w:spacing w:val="-1"/>
        </w:rPr>
        <w:t xml:space="preserve"> </w:t>
      </w:r>
      <w:r>
        <w:t>drowning</w:t>
      </w:r>
      <w:r>
        <w:rPr>
          <w:spacing w:val="-1"/>
        </w:rPr>
        <w:t xml:space="preserve"> </w:t>
      </w:r>
      <w:r>
        <w:t>man</w:t>
      </w:r>
      <w:r>
        <w:rPr>
          <w:spacing w:val="-1"/>
        </w:rPr>
        <w:t xml:space="preserve"> </w:t>
      </w:r>
      <w:r>
        <w:t>trying</w:t>
      </w:r>
      <w:r>
        <w:rPr>
          <w:spacing w:val="-1"/>
        </w:rPr>
        <w:t xml:space="preserve"> </w:t>
      </w:r>
      <w:r>
        <w:t>to stay afloat. (Y is like Smith.) Person Z cannot be categorized with X or with</w:t>
      </w:r>
    </w:p>
    <w:p w14:paraId="7E001CAA" w14:textId="77777777" w:rsidR="009A58DB" w:rsidRDefault="00000000">
      <w:pPr>
        <w:pStyle w:val="BodyText"/>
        <w:spacing w:before="6" w:line="249" w:lineRule="auto"/>
        <w:ind w:right="359"/>
      </w:pPr>
      <w:r>
        <w:t>Y. Z always does what he values, which is composing music. And what he values</w:t>
      </w:r>
      <w:r>
        <w:rPr>
          <w:spacing w:val="-4"/>
        </w:rPr>
        <w:t xml:space="preserve"> </w:t>
      </w:r>
      <w:r>
        <w:t>is</w:t>
      </w:r>
      <w:r>
        <w:rPr>
          <w:spacing w:val="-4"/>
        </w:rPr>
        <w:t xml:space="preserve"> </w:t>
      </w:r>
      <w:r>
        <w:t>what</w:t>
      </w:r>
      <w:r>
        <w:rPr>
          <w:spacing w:val="-4"/>
        </w:rPr>
        <w:t xml:space="preserve"> </w:t>
      </w:r>
      <w:r>
        <w:t>he</w:t>
      </w:r>
      <w:r>
        <w:rPr>
          <w:spacing w:val="-4"/>
        </w:rPr>
        <w:t xml:space="preserve"> </w:t>
      </w:r>
      <w:r>
        <w:rPr>
          <w:i/>
        </w:rPr>
        <w:t>wants.</w:t>
      </w:r>
      <w:r>
        <w:rPr>
          <w:i/>
          <w:spacing w:val="-3"/>
        </w:rPr>
        <w:t xml:space="preserve"> </w:t>
      </w:r>
      <w:r>
        <w:t>He</w:t>
      </w:r>
      <w:r>
        <w:rPr>
          <w:spacing w:val="-2"/>
        </w:rPr>
        <w:t xml:space="preserve"> </w:t>
      </w:r>
      <w:r>
        <w:t>wants</w:t>
      </w:r>
      <w:r>
        <w:rPr>
          <w:spacing w:val="-2"/>
        </w:rPr>
        <w:t xml:space="preserve"> </w:t>
      </w:r>
      <w:r>
        <w:t>what</w:t>
      </w:r>
      <w:r>
        <w:rPr>
          <w:spacing w:val="-2"/>
        </w:rPr>
        <w:t xml:space="preserve"> </w:t>
      </w:r>
      <w:r>
        <w:t>he</w:t>
      </w:r>
      <w:r>
        <w:rPr>
          <w:spacing w:val="-2"/>
        </w:rPr>
        <w:t xml:space="preserve"> </w:t>
      </w:r>
      <w:r>
        <w:t>wants</w:t>
      </w:r>
      <w:r>
        <w:rPr>
          <w:spacing w:val="-2"/>
        </w:rPr>
        <w:t xml:space="preserve"> </w:t>
      </w:r>
      <w:r>
        <w:t>to</w:t>
      </w:r>
      <w:r>
        <w:rPr>
          <w:spacing w:val="-2"/>
        </w:rPr>
        <w:t xml:space="preserve"> </w:t>
      </w:r>
      <w:r>
        <w:t>want.</w:t>
      </w:r>
      <w:r>
        <w:rPr>
          <w:spacing w:val="-2"/>
        </w:rPr>
        <w:t xml:space="preserve"> </w:t>
      </w:r>
      <w:r>
        <w:t>Because</w:t>
      </w:r>
      <w:r>
        <w:rPr>
          <w:spacing w:val="-2"/>
        </w:rPr>
        <w:t xml:space="preserve"> </w:t>
      </w:r>
      <w:r>
        <w:t>he’s</w:t>
      </w:r>
      <w:r>
        <w:rPr>
          <w:spacing w:val="-2"/>
        </w:rPr>
        <w:t xml:space="preserve"> </w:t>
      </w:r>
      <w:r>
        <w:t>doing what he wants, he has the freedom that X has that Y lacks. Because he’s doing what he wants to want, he has the kind of freedom that Y has that X lacks. And since, of the three, he’s the only one who has both kinds of freedom, he’s obviously the most free of them all.</w:t>
      </w:r>
    </w:p>
    <w:p w14:paraId="7E001CAB" w14:textId="77777777" w:rsidR="009A58DB" w:rsidRDefault="00000000">
      <w:pPr>
        <w:pStyle w:val="BodyText"/>
        <w:spacing w:before="12" w:line="249" w:lineRule="auto"/>
        <w:ind w:right="361" w:firstLine="360"/>
      </w:pPr>
      <w:r>
        <w:t>Thus, one is free insofar as two conditions are met: (i) one acts on one’s second-order desires, as opposed to one’s first-order desires; and (ii) one’s second-order desires are in alignment with one’s first-order desires.</w:t>
      </w:r>
    </w:p>
    <w:p w14:paraId="7E001CAC" w14:textId="77777777" w:rsidR="009A58DB" w:rsidRDefault="00000000">
      <w:pPr>
        <w:pStyle w:val="BodyText"/>
        <w:spacing w:before="4" w:line="249" w:lineRule="auto"/>
        <w:ind w:right="362" w:firstLine="360"/>
      </w:pPr>
      <w:r>
        <w:t>To see the merits, and also the shortcomings, of Frankfurt’s brilliant (and, I think, largely correct) analysis, we must take a moment to say how that analysis relates to compatibilism.</w:t>
      </w:r>
    </w:p>
    <w:p w14:paraId="7E001CAD" w14:textId="77777777" w:rsidR="009A58DB" w:rsidRDefault="009A58DB">
      <w:pPr>
        <w:pStyle w:val="BodyText"/>
        <w:spacing w:before="221"/>
        <w:ind w:left="0"/>
        <w:jc w:val="left"/>
      </w:pPr>
    </w:p>
    <w:p w14:paraId="7E001CAE" w14:textId="77777777" w:rsidR="009A58DB" w:rsidRDefault="00000000">
      <w:pPr>
        <w:pStyle w:val="ListParagraph"/>
        <w:numPr>
          <w:ilvl w:val="2"/>
          <w:numId w:val="98"/>
        </w:numPr>
        <w:tabs>
          <w:tab w:val="left" w:pos="1346"/>
        </w:tabs>
        <w:spacing w:before="1" w:line="244" w:lineRule="auto"/>
        <w:ind w:left="360" w:right="358" w:firstLine="0"/>
        <w:jc w:val="both"/>
        <w:rPr>
          <w:b/>
          <w:sz w:val="42"/>
        </w:rPr>
      </w:pPr>
      <w:r>
        <w:rPr>
          <w:b/>
          <w:sz w:val="42"/>
        </w:rPr>
        <w:t xml:space="preserve">“x is free”= “x does what x wants to </w:t>
      </w:r>
      <w:r>
        <w:rPr>
          <w:b/>
          <w:i/>
          <w:sz w:val="42"/>
        </w:rPr>
        <w:t xml:space="preserve">provided </w:t>
      </w:r>
      <w:r>
        <w:rPr>
          <w:b/>
          <w:sz w:val="42"/>
        </w:rPr>
        <w:t>that what she wants to do is adequately rooted in her personality structure”</w:t>
      </w:r>
    </w:p>
    <w:p w14:paraId="7E001CAF" w14:textId="77777777" w:rsidR="009A58DB" w:rsidRDefault="00000000">
      <w:pPr>
        <w:pStyle w:val="BodyText"/>
        <w:spacing w:before="104" w:line="249" w:lineRule="auto"/>
        <w:ind w:right="363"/>
      </w:pPr>
      <w:r>
        <w:t>We’ve</w:t>
      </w:r>
      <w:r>
        <w:rPr>
          <w:spacing w:val="-19"/>
        </w:rPr>
        <w:t xml:space="preserve"> </w:t>
      </w:r>
      <w:r>
        <w:t>considered</w:t>
      </w:r>
      <w:r>
        <w:rPr>
          <w:spacing w:val="-19"/>
        </w:rPr>
        <w:t xml:space="preserve"> </w:t>
      </w:r>
      <w:r>
        <w:t>two</w:t>
      </w:r>
      <w:r>
        <w:rPr>
          <w:spacing w:val="-19"/>
        </w:rPr>
        <w:t xml:space="preserve"> </w:t>
      </w:r>
      <w:r>
        <w:t>analyses</w:t>
      </w:r>
      <w:r>
        <w:rPr>
          <w:spacing w:val="-18"/>
        </w:rPr>
        <w:t xml:space="preserve"> </w:t>
      </w:r>
      <w:r>
        <w:t>of</w:t>
      </w:r>
      <w:r>
        <w:rPr>
          <w:spacing w:val="-19"/>
        </w:rPr>
        <w:t xml:space="preserve"> </w:t>
      </w:r>
      <w:r>
        <w:t>freedom:</w:t>
      </w:r>
      <w:r>
        <w:rPr>
          <w:spacing w:val="-19"/>
        </w:rPr>
        <w:t xml:space="preserve"> </w:t>
      </w:r>
      <w:r>
        <w:t>(i)</w:t>
      </w:r>
      <w:r>
        <w:rPr>
          <w:spacing w:val="-19"/>
        </w:rPr>
        <w:t xml:space="preserve"> </w:t>
      </w:r>
      <w:r>
        <w:t>“x</w:t>
      </w:r>
      <w:r>
        <w:rPr>
          <w:spacing w:val="-18"/>
        </w:rPr>
        <w:t xml:space="preserve"> </w:t>
      </w:r>
      <w:r>
        <w:t>performed</w:t>
      </w:r>
      <w:r>
        <w:rPr>
          <w:spacing w:val="-19"/>
        </w:rPr>
        <w:t xml:space="preserve"> </w:t>
      </w:r>
      <w:r>
        <w:t>act</w:t>
      </w:r>
      <w:r>
        <w:rPr>
          <w:spacing w:val="-19"/>
        </w:rPr>
        <w:t xml:space="preserve"> </w:t>
      </w:r>
      <w:r>
        <w:t>A</w:t>
      </w:r>
      <w:r>
        <w:rPr>
          <w:spacing w:val="-19"/>
        </w:rPr>
        <w:t xml:space="preserve"> </w:t>
      </w:r>
      <w:r>
        <w:t>freely”</w:t>
      </w:r>
      <w:r>
        <w:rPr>
          <w:spacing w:val="-17"/>
        </w:rPr>
        <w:t xml:space="preserve"> </w:t>
      </w:r>
      <w:r>
        <w:t>=</w:t>
      </w:r>
      <w:r>
        <w:rPr>
          <w:spacing w:val="-16"/>
        </w:rPr>
        <w:t xml:space="preserve"> </w:t>
      </w:r>
      <w:r>
        <w:t>“it is because x chose to A that he did it,” and (ii) “performed A freely</w:t>
      </w:r>
      <w:r>
        <w:rPr>
          <w:spacing w:val="-14"/>
        </w:rPr>
        <w:t xml:space="preserve"> </w:t>
      </w:r>
      <w:r>
        <w:rPr>
          <w:b/>
        </w:rPr>
        <w:t xml:space="preserve">’ </w:t>
      </w:r>
      <w:r>
        <w:t>= “A reflects</w:t>
      </w:r>
      <w:r>
        <w:rPr>
          <w:spacing w:val="1"/>
        </w:rPr>
        <w:t xml:space="preserve"> </w:t>
      </w:r>
      <w:r>
        <w:t>who</w:t>
      </w:r>
      <w:r>
        <w:rPr>
          <w:spacing w:val="2"/>
        </w:rPr>
        <w:t xml:space="preserve"> </w:t>
      </w:r>
      <w:r>
        <w:t>x</w:t>
      </w:r>
      <w:r>
        <w:rPr>
          <w:spacing w:val="1"/>
        </w:rPr>
        <w:t xml:space="preserve"> </w:t>
      </w:r>
      <w:r>
        <w:t>really</w:t>
      </w:r>
      <w:r>
        <w:rPr>
          <w:spacing w:val="2"/>
        </w:rPr>
        <w:t xml:space="preserve"> </w:t>
      </w:r>
      <w:r>
        <w:t>is.”</w:t>
      </w:r>
      <w:r>
        <w:rPr>
          <w:spacing w:val="-2"/>
        </w:rPr>
        <w:t xml:space="preserve"> </w:t>
      </w:r>
      <w:r>
        <w:t>These</w:t>
      </w:r>
      <w:r>
        <w:rPr>
          <w:spacing w:val="1"/>
        </w:rPr>
        <w:t xml:space="preserve"> </w:t>
      </w:r>
      <w:r>
        <w:t>two</w:t>
      </w:r>
      <w:r>
        <w:rPr>
          <w:spacing w:val="2"/>
        </w:rPr>
        <w:t xml:space="preserve"> </w:t>
      </w:r>
      <w:r>
        <w:t>views</w:t>
      </w:r>
      <w:r>
        <w:rPr>
          <w:spacing w:val="2"/>
        </w:rPr>
        <w:t xml:space="preserve"> </w:t>
      </w:r>
      <w:r>
        <w:t>can</w:t>
      </w:r>
      <w:r>
        <w:rPr>
          <w:spacing w:val="1"/>
        </w:rPr>
        <w:t xml:space="preserve"> </w:t>
      </w:r>
      <w:r>
        <w:t>be</w:t>
      </w:r>
      <w:r>
        <w:rPr>
          <w:spacing w:val="2"/>
        </w:rPr>
        <w:t xml:space="preserve"> </w:t>
      </w:r>
      <w:r>
        <w:t>combined</w:t>
      </w:r>
      <w:r>
        <w:rPr>
          <w:spacing w:val="2"/>
        </w:rPr>
        <w:t xml:space="preserve"> </w:t>
      </w:r>
      <w:r>
        <w:t>into</w:t>
      </w:r>
      <w:r>
        <w:rPr>
          <w:spacing w:val="1"/>
        </w:rPr>
        <w:t xml:space="preserve"> </w:t>
      </w:r>
      <w:r>
        <w:t>the</w:t>
      </w:r>
      <w:r>
        <w:rPr>
          <w:spacing w:val="2"/>
        </w:rPr>
        <w:t xml:space="preserve"> </w:t>
      </w:r>
      <w:r>
        <w:t>view</w:t>
      </w:r>
      <w:r>
        <w:rPr>
          <w:spacing w:val="2"/>
        </w:rPr>
        <w:t xml:space="preserve"> </w:t>
      </w:r>
      <w:r>
        <w:rPr>
          <w:spacing w:val="-4"/>
        </w:rPr>
        <w:t>that</w:t>
      </w:r>
    </w:p>
    <w:p w14:paraId="7E001CB0" w14:textId="77777777" w:rsidR="009A58DB" w:rsidRDefault="00000000">
      <w:pPr>
        <w:pStyle w:val="BodyText"/>
        <w:spacing w:before="3"/>
      </w:pPr>
      <w:r>
        <w:t>(iii)</w:t>
      </w:r>
      <w:r>
        <w:rPr>
          <w:spacing w:val="25"/>
        </w:rPr>
        <w:t xml:space="preserve"> </w:t>
      </w:r>
      <w:r>
        <w:t>“x</w:t>
      </w:r>
      <w:r>
        <w:rPr>
          <w:spacing w:val="27"/>
        </w:rPr>
        <w:t xml:space="preserve"> </w:t>
      </w:r>
      <w:r>
        <w:t>performed</w:t>
      </w:r>
      <w:r>
        <w:rPr>
          <w:spacing w:val="27"/>
        </w:rPr>
        <w:t xml:space="preserve"> </w:t>
      </w:r>
      <w:r>
        <w:t>act</w:t>
      </w:r>
      <w:r>
        <w:rPr>
          <w:spacing w:val="13"/>
        </w:rPr>
        <w:t xml:space="preserve"> </w:t>
      </w:r>
      <w:r>
        <w:t>A</w:t>
      </w:r>
      <w:r>
        <w:rPr>
          <w:spacing w:val="13"/>
        </w:rPr>
        <w:t xml:space="preserve"> </w:t>
      </w:r>
      <w:r>
        <w:t>freely”</w:t>
      </w:r>
      <w:r>
        <w:rPr>
          <w:spacing w:val="27"/>
        </w:rPr>
        <w:t xml:space="preserve"> </w:t>
      </w:r>
      <w:r>
        <w:t>=</w:t>
      </w:r>
      <w:r>
        <w:rPr>
          <w:spacing w:val="27"/>
        </w:rPr>
        <w:t xml:space="preserve"> </w:t>
      </w:r>
      <w:r>
        <w:t>“it</w:t>
      </w:r>
      <w:r>
        <w:rPr>
          <w:spacing w:val="27"/>
        </w:rPr>
        <w:t xml:space="preserve"> </w:t>
      </w:r>
      <w:r>
        <w:t>is</w:t>
      </w:r>
      <w:r>
        <w:rPr>
          <w:spacing w:val="27"/>
        </w:rPr>
        <w:t xml:space="preserve"> </w:t>
      </w:r>
      <w:r>
        <w:t>because</w:t>
      </w:r>
      <w:r>
        <w:rPr>
          <w:spacing w:val="27"/>
        </w:rPr>
        <w:t xml:space="preserve"> </w:t>
      </w:r>
      <w:r>
        <w:t>x</w:t>
      </w:r>
      <w:r>
        <w:rPr>
          <w:spacing w:val="27"/>
        </w:rPr>
        <w:t xml:space="preserve"> </w:t>
      </w:r>
      <w:r>
        <w:t>chose</w:t>
      </w:r>
      <w:r>
        <w:rPr>
          <w:spacing w:val="27"/>
        </w:rPr>
        <w:t xml:space="preserve"> </w:t>
      </w:r>
      <w:r>
        <w:t>to</w:t>
      </w:r>
      <w:r>
        <w:rPr>
          <w:spacing w:val="13"/>
        </w:rPr>
        <w:t xml:space="preserve"> </w:t>
      </w:r>
      <w:r>
        <w:t>A</w:t>
      </w:r>
      <w:r>
        <w:rPr>
          <w:spacing w:val="13"/>
        </w:rPr>
        <w:t xml:space="preserve"> </w:t>
      </w:r>
      <w:r>
        <w:t>that</w:t>
      </w:r>
      <w:r>
        <w:rPr>
          <w:spacing w:val="27"/>
        </w:rPr>
        <w:t xml:space="preserve"> </w:t>
      </w:r>
      <w:r>
        <w:t>he</w:t>
      </w:r>
      <w:r>
        <w:rPr>
          <w:spacing w:val="27"/>
        </w:rPr>
        <w:t xml:space="preserve"> </w:t>
      </w:r>
      <w:r>
        <w:t>did</w:t>
      </w:r>
      <w:r>
        <w:rPr>
          <w:spacing w:val="28"/>
        </w:rPr>
        <w:t xml:space="preserve"> </w:t>
      </w:r>
      <w:r>
        <w:rPr>
          <w:spacing w:val="-5"/>
        </w:rPr>
        <w:t>it,</w:t>
      </w:r>
    </w:p>
    <w:p w14:paraId="7E001CB1" w14:textId="77777777" w:rsidR="009A58DB" w:rsidRDefault="00000000">
      <w:pPr>
        <w:pStyle w:val="BodyText"/>
        <w:spacing w:before="15"/>
      </w:pPr>
      <w:r>
        <w:rPr>
          <w:i/>
          <w:spacing w:val="-4"/>
        </w:rPr>
        <w:t>provided</w:t>
      </w:r>
      <w:r>
        <w:rPr>
          <w:i/>
          <w:spacing w:val="-11"/>
        </w:rPr>
        <w:t xml:space="preserve"> </w:t>
      </w:r>
      <w:r>
        <w:rPr>
          <w:spacing w:val="-4"/>
        </w:rPr>
        <w:t>that</w:t>
      </w:r>
      <w:r>
        <w:rPr>
          <w:spacing w:val="-10"/>
        </w:rPr>
        <w:t xml:space="preserve"> </w:t>
      </w:r>
      <w:r>
        <w:rPr>
          <w:spacing w:val="-4"/>
        </w:rPr>
        <w:t>this</w:t>
      </w:r>
      <w:r>
        <w:rPr>
          <w:spacing w:val="-9"/>
        </w:rPr>
        <w:t xml:space="preserve"> </w:t>
      </w:r>
      <w:r>
        <w:rPr>
          <w:spacing w:val="-4"/>
        </w:rPr>
        <w:t>choice</w:t>
      </w:r>
      <w:r>
        <w:rPr>
          <w:spacing w:val="-9"/>
        </w:rPr>
        <w:t xml:space="preserve"> </w:t>
      </w:r>
      <w:r>
        <w:rPr>
          <w:spacing w:val="-4"/>
        </w:rPr>
        <w:t>of</w:t>
      </w:r>
      <w:r>
        <w:rPr>
          <w:spacing w:val="-10"/>
        </w:rPr>
        <w:t xml:space="preserve"> </w:t>
      </w:r>
      <w:r>
        <w:rPr>
          <w:spacing w:val="-4"/>
        </w:rPr>
        <w:t>x’s</w:t>
      </w:r>
      <w:r>
        <w:rPr>
          <w:spacing w:val="-10"/>
        </w:rPr>
        <w:t xml:space="preserve"> </w:t>
      </w:r>
      <w:r>
        <w:rPr>
          <w:spacing w:val="-4"/>
        </w:rPr>
        <w:t>reflects</w:t>
      </w:r>
      <w:r>
        <w:rPr>
          <w:spacing w:val="-9"/>
        </w:rPr>
        <w:t xml:space="preserve"> </w:t>
      </w:r>
      <w:r>
        <w:rPr>
          <w:spacing w:val="-4"/>
        </w:rPr>
        <w:t>who</w:t>
      </w:r>
      <w:r>
        <w:rPr>
          <w:spacing w:val="-9"/>
        </w:rPr>
        <w:t xml:space="preserve"> </w:t>
      </w:r>
      <w:r>
        <w:rPr>
          <w:spacing w:val="-4"/>
        </w:rPr>
        <w:t>x</w:t>
      </w:r>
      <w:r>
        <w:rPr>
          <w:spacing w:val="-9"/>
        </w:rPr>
        <w:t xml:space="preserve"> </w:t>
      </w:r>
      <w:r>
        <w:rPr>
          <w:spacing w:val="-4"/>
        </w:rPr>
        <w:t>really</w:t>
      </w:r>
      <w:r>
        <w:rPr>
          <w:spacing w:val="-9"/>
        </w:rPr>
        <w:t xml:space="preserve"> </w:t>
      </w:r>
      <w:r>
        <w:rPr>
          <w:spacing w:val="-4"/>
        </w:rPr>
        <w:t>is.”</w:t>
      </w:r>
    </w:p>
    <w:p w14:paraId="7E001CB2" w14:textId="77777777" w:rsidR="009A58DB" w:rsidRDefault="00000000">
      <w:pPr>
        <w:pStyle w:val="BodyText"/>
        <w:spacing w:before="15" w:line="249" w:lineRule="auto"/>
        <w:ind w:right="359" w:firstLine="360"/>
      </w:pPr>
      <w:r>
        <w:t>This analysis, which is basically Frankfurt’s, embodies a profound insight into</w:t>
      </w:r>
      <w:r>
        <w:rPr>
          <w:spacing w:val="-5"/>
        </w:rPr>
        <w:t xml:space="preserve"> </w:t>
      </w:r>
      <w:r>
        <w:t>the</w:t>
      </w:r>
      <w:r>
        <w:rPr>
          <w:spacing w:val="-6"/>
        </w:rPr>
        <w:t xml:space="preserve"> </w:t>
      </w:r>
      <w:r>
        <w:t>nature</w:t>
      </w:r>
      <w:r>
        <w:rPr>
          <w:spacing w:val="-6"/>
        </w:rPr>
        <w:t xml:space="preserve"> </w:t>
      </w:r>
      <w:r>
        <w:t>of</w:t>
      </w:r>
      <w:r>
        <w:rPr>
          <w:spacing w:val="-6"/>
        </w:rPr>
        <w:t xml:space="preserve"> </w:t>
      </w:r>
      <w:r>
        <w:t>human</w:t>
      </w:r>
      <w:r>
        <w:rPr>
          <w:spacing w:val="-5"/>
        </w:rPr>
        <w:t xml:space="preserve"> </w:t>
      </w:r>
      <w:r>
        <w:t>freedom.</w:t>
      </w:r>
      <w:r>
        <w:rPr>
          <w:spacing w:val="-5"/>
        </w:rPr>
        <w:t xml:space="preserve"> </w:t>
      </w:r>
      <w:r>
        <w:t>But,</w:t>
      </w:r>
      <w:r>
        <w:rPr>
          <w:spacing w:val="-5"/>
        </w:rPr>
        <w:t xml:space="preserve"> </w:t>
      </w:r>
      <w:r>
        <w:t>despite</w:t>
      </w:r>
      <w:r>
        <w:rPr>
          <w:spacing w:val="-5"/>
        </w:rPr>
        <w:t xml:space="preserve"> </w:t>
      </w:r>
      <w:r>
        <w:t>everything</w:t>
      </w:r>
      <w:r>
        <w:rPr>
          <w:spacing w:val="-5"/>
        </w:rPr>
        <w:t xml:space="preserve"> </w:t>
      </w:r>
      <w:r>
        <w:t>said</w:t>
      </w:r>
      <w:r>
        <w:rPr>
          <w:spacing w:val="-5"/>
        </w:rPr>
        <w:t xml:space="preserve"> </w:t>
      </w:r>
      <w:r>
        <w:t>thus</w:t>
      </w:r>
      <w:r>
        <w:rPr>
          <w:spacing w:val="-5"/>
        </w:rPr>
        <w:t xml:space="preserve"> </w:t>
      </w:r>
      <w:r>
        <w:t>far,</w:t>
      </w:r>
      <w:r>
        <w:rPr>
          <w:spacing w:val="-5"/>
        </w:rPr>
        <w:t xml:space="preserve"> </w:t>
      </w:r>
      <w:r>
        <w:t>a</w:t>
      </w:r>
      <w:r>
        <w:rPr>
          <w:spacing w:val="-5"/>
        </w:rPr>
        <w:t xml:space="preserve"> </w:t>
      </w:r>
      <w:r>
        <w:t>case can be made that at the end of the day</w:t>
      </w:r>
      <w:r>
        <w:rPr>
          <w:spacing w:val="-17"/>
        </w:rPr>
        <w:t xml:space="preserve"> </w:t>
      </w:r>
      <w:r>
        <w:rPr>
          <w:i/>
        </w:rPr>
        <w:t>all</w:t>
      </w:r>
      <w:r>
        <w:rPr>
          <w:i/>
          <w:spacing w:val="-17"/>
        </w:rPr>
        <w:t xml:space="preserve"> </w:t>
      </w:r>
      <w:r>
        <w:t xml:space="preserve">freedom is freedom to do what one </w:t>
      </w:r>
      <w:r>
        <w:rPr>
          <w:spacing w:val="-2"/>
        </w:rPr>
        <w:t>wants.</w:t>
      </w:r>
      <w:r>
        <w:rPr>
          <w:spacing w:val="-13"/>
        </w:rPr>
        <w:t xml:space="preserve"> </w:t>
      </w:r>
      <w:r>
        <w:rPr>
          <w:spacing w:val="-2"/>
        </w:rPr>
        <w:t>For</w:t>
      </w:r>
      <w:r>
        <w:rPr>
          <w:spacing w:val="-13"/>
        </w:rPr>
        <w:t xml:space="preserve"> </w:t>
      </w:r>
      <w:r>
        <w:rPr>
          <w:spacing w:val="-2"/>
        </w:rPr>
        <w:t>reasons</w:t>
      </w:r>
      <w:r>
        <w:rPr>
          <w:spacing w:val="-13"/>
        </w:rPr>
        <w:t xml:space="preserve"> </w:t>
      </w:r>
      <w:r>
        <w:rPr>
          <w:spacing w:val="-2"/>
        </w:rPr>
        <w:t>that</w:t>
      </w:r>
      <w:r>
        <w:rPr>
          <w:spacing w:val="-14"/>
        </w:rPr>
        <w:t xml:space="preserve"> </w:t>
      </w:r>
      <w:r>
        <w:rPr>
          <w:spacing w:val="-2"/>
        </w:rPr>
        <w:t>we’ll</w:t>
      </w:r>
      <w:r>
        <w:rPr>
          <w:spacing w:val="-13"/>
        </w:rPr>
        <w:t xml:space="preserve"> </w:t>
      </w:r>
      <w:r>
        <w:rPr>
          <w:spacing w:val="-2"/>
        </w:rPr>
        <w:t>soon</w:t>
      </w:r>
      <w:r>
        <w:rPr>
          <w:spacing w:val="-13"/>
        </w:rPr>
        <w:t xml:space="preserve"> </w:t>
      </w:r>
      <w:r>
        <w:rPr>
          <w:spacing w:val="-2"/>
        </w:rPr>
        <w:t>discuss,</w:t>
      </w:r>
      <w:r>
        <w:rPr>
          <w:spacing w:val="-13"/>
        </w:rPr>
        <w:t xml:space="preserve"> </w:t>
      </w:r>
      <w:r>
        <w:rPr>
          <w:spacing w:val="-2"/>
        </w:rPr>
        <w:t>I</w:t>
      </w:r>
      <w:r>
        <w:rPr>
          <w:spacing w:val="-13"/>
        </w:rPr>
        <w:t xml:space="preserve"> </w:t>
      </w:r>
      <w:r>
        <w:rPr>
          <w:spacing w:val="-2"/>
        </w:rPr>
        <w:t>myself</w:t>
      </w:r>
      <w:r>
        <w:rPr>
          <w:spacing w:val="-13"/>
        </w:rPr>
        <w:t xml:space="preserve"> </w:t>
      </w:r>
      <w:r>
        <w:rPr>
          <w:spacing w:val="-2"/>
        </w:rPr>
        <w:t>don’t</w:t>
      </w:r>
      <w:r>
        <w:rPr>
          <w:spacing w:val="-13"/>
        </w:rPr>
        <w:t xml:space="preserve"> </w:t>
      </w:r>
      <w:r>
        <w:rPr>
          <w:spacing w:val="-2"/>
        </w:rPr>
        <w:t>accept</w:t>
      </w:r>
      <w:r>
        <w:rPr>
          <w:spacing w:val="-13"/>
        </w:rPr>
        <w:t xml:space="preserve"> </w:t>
      </w:r>
      <w:r>
        <w:rPr>
          <w:spacing w:val="-2"/>
        </w:rPr>
        <w:t>this</w:t>
      </w:r>
      <w:r>
        <w:rPr>
          <w:spacing w:val="-13"/>
        </w:rPr>
        <w:t xml:space="preserve"> </w:t>
      </w:r>
      <w:r>
        <w:rPr>
          <w:spacing w:val="-2"/>
        </w:rPr>
        <w:t>idea.</w:t>
      </w:r>
      <w:r>
        <w:rPr>
          <w:spacing w:val="-13"/>
        </w:rPr>
        <w:t xml:space="preserve"> </w:t>
      </w:r>
      <w:r>
        <w:rPr>
          <w:spacing w:val="-2"/>
        </w:rPr>
        <w:t>But</w:t>
      </w:r>
      <w:r>
        <w:rPr>
          <w:spacing w:val="-13"/>
        </w:rPr>
        <w:t xml:space="preserve"> </w:t>
      </w:r>
      <w:r>
        <w:rPr>
          <w:spacing w:val="-2"/>
        </w:rPr>
        <w:t xml:space="preserve">it </w:t>
      </w:r>
      <w:r>
        <w:t>isn’t</w:t>
      </w:r>
      <w:r>
        <w:rPr>
          <w:spacing w:val="-6"/>
        </w:rPr>
        <w:t xml:space="preserve"> </w:t>
      </w:r>
      <w:r>
        <w:t>by</w:t>
      </w:r>
      <w:r>
        <w:rPr>
          <w:spacing w:val="-5"/>
        </w:rPr>
        <w:t xml:space="preserve"> </w:t>
      </w:r>
      <w:r>
        <w:t>any</w:t>
      </w:r>
      <w:r>
        <w:rPr>
          <w:spacing w:val="-5"/>
        </w:rPr>
        <w:t xml:space="preserve"> </w:t>
      </w:r>
      <w:r>
        <w:t>means</w:t>
      </w:r>
      <w:r>
        <w:rPr>
          <w:spacing w:val="-5"/>
        </w:rPr>
        <w:t xml:space="preserve"> </w:t>
      </w:r>
      <w:r>
        <w:t>absurd.</w:t>
      </w:r>
      <w:r>
        <w:rPr>
          <w:spacing w:val="-5"/>
        </w:rPr>
        <w:t xml:space="preserve"> </w:t>
      </w:r>
      <w:r>
        <w:t>Here’s</w:t>
      </w:r>
      <w:r>
        <w:rPr>
          <w:spacing w:val="-5"/>
        </w:rPr>
        <w:t xml:space="preserve"> </w:t>
      </w:r>
      <w:r>
        <w:t>why:</w:t>
      </w:r>
    </w:p>
    <w:p w14:paraId="7E001CB3" w14:textId="77777777" w:rsidR="009A58DB" w:rsidRDefault="009A58DB">
      <w:pPr>
        <w:pStyle w:val="BodyText"/>
        <w:spacing w:before="21"/>
        <w:ind w:left="0"/>
        <w:jc w:val="left"/>
      </w:pPr>
    </w:p>
    <w:p w14:paraId="7E001CB4" w14:textId="77777777" w:rsidR="009A58DB" w:rsidRDefault="00000000">
      <w:pPr>
        <w:pStyle w:val="BodyText"/>
        <w:spacing w:before="1" w:line="223" w:lineRule="exact"/>
        <w:ind w:left="1191"/>
        <w:jc w:val="left"/>
      </w:pPr>
      <w:bookmarkStart w:id="395" w:name="_bookmark395"/>
      <w:bookmarkEnd w:id="395"/>
      <w:r>
        <w:rPr>
          <w:color w:val="0562C1"/>
          <w:spacing w:val="-2"/>
          <w:u w:val="single" w:color="0562C1"/>
        </w:rPr>
        <w:t>[281]</w:t>
      </w:r>
    </w:p>
    <w:p w14:paraId="7E001CB5" w14:textId="77777777" w:rsidR="009A58DB" w:rsidRDefault="00000000">
      <w:pPr>
        <w:pStyle w:val="BodyText"/>
        <w:tabs>
          <w:tab w:val="left" w:pos="1820"/>
        </w:tabs>
        <w:spacing w:line="332" w:lineRule="exact"/>
        <w:ind w:left="720"/>
        <w:jc w:val="left"/>
      </w:pPr>
      <w:r>
        <w:rPr>
          <w:spacing w:val="-5"/>
        </w:rPr>
        <w:t>(FD</w:t>
      </w:r>
      <w:r>
        <w:tab/>
      </w:r>
      <w:r>
        <w:rPr>
          <w:spacing w:val="-2"/>
        </w:rPr>
        <w:t>)</w:t>
      </w:r>
      <w:r>
        <w:rPr>
          <w:spacing w:val="-14"/>
        </w:rPr>
        <w:t xml:space="preserve"> </w:t>
      </w:r>
      <w:r>
        <w:rPr>
          <w:spacing w:val="-2"/>
        </w:rPr>
        <w:t>Smith</w:t>
      </w:r>
      <w:r>
        <w:rPr>
          <w:spacing w:val="-14"/>
        </w:rPr>
        <w:t xml:space="preserve"> </w:t>
      </w:r>
      <w:r>
        <w:rPr>
          <w:spacing w:val="-2"/>
        </w:rPr>
        <w:t>has</w:t>
      </w:r>
      <w:r>
        <w:rPr>
          <w:spacing w:val="-14"/>
        </w:rPr>
        <w:t xml:space="preserve"> </w:t>
      </w:r>
      <w:r>
        <w:rPr>
          <w:spacing w:val="-2"/>
        </w:rPr>
        <w:t>given</w:t>
      </w:r>
      <w:r>
        <w:rPr>
          <w:spacing w:val="-14"/>
        </w:rPr>
        <w:t xml:space="preserve"> </w:t>
      </w:r>
      <w:r>
        <w:rPr>
          <w:spacing w:val="-2"/>
        </w:rPr>
        <w:t>himself</w:t>
      </w:r>
      <w:r>
        <w:rPr>
          <w:spacing w:val="-14"/>
        </w:rPr>
        <w:t xml:space="preserve"> </w:t>
      </w:r>
      <w:r>
        <w:rPr>
          <w:spacing w:val="-2"/>
        </w:rPr>
        <w:t>over</w:t>
      </w:r>
      <w:r>
        <w:rPr>
          <w:spacing w:val="-14"/>
        </w:rPr>
        <w:t xml:space="preserve"> </w:t>
      </w:r>
      <w:r>
        <w:rPr>
          <w:spacing w:val="-2"/>
        </w:rPr>
        <w:t>to</w:t>
      </w:r>
      <w:r>
        <w:rPr>
          <w:spacing w:val="-14"/>
        </w:rPr>
        <w:t xml:space="preserve"> </w:t>
      </w:r>
      <w:r>
        <w:rPr>
          <w:spacing w:val="-2"/>
        </w:rPr>
        <w:t>drug</w:t>
      </w:r>
      <w:r>
        <w:rPr>
          <w:spacing w:val="-14"/>
        </w:rPr>
        <w:t xml:space="preserve"> </w:t>
      </w:r>
      <w:r>
        <w:rPr>
          <w:spacing w:val="-2"/>
        </w:rPr>
        <w:t>addiction.</w:t>
      </w:r>
      <w:r>
        <w:rPr>
          <w:spacing w:val="-14"/>
        </w:rPr>
        <w:t xml:space="preserve"> </w:t>
      </w:r>
      <w:r>
        <w:rPr>
          <w:spacing w:val="-2"/>
        </w:rPr>
        <w:t>He</w:t>
      </w:r>
      <w:r>
        <w:rPr>
          <w:spacing w:val="-14"/>
        </w:rPr>
        <w:t xml:space="preserve"> </w:t>
      </w:r>
      <w:r>
        <w:rPr>
          <w:spacing w:val="-2"/>
        </w:rPr>
        <w:t>spends</w:t>
      </w:r>
      <w:r>
        <w:rPr>
          <w:spacing w:val="-14"/>
        </w:rPr>
        <w:t xml:space="preserve"> </w:t>
      </w:r>
      <w:r>
        <w:rPr>
          <w:spacing w:val="-4"/>
        </w:rPr>
        <w:t>days</w:t>
      </w:r>
    </w:p>
    <w:p w14:paraId="7E001CB6" w14:textId="77777777" w:rsidR="009A58DB" w:rsidRDefault="009A58DB">
      <w:pPr>
        <w:pStyle w:val="BodyText"/>
        <w:spacing w:line="332" w:lineRule="exact"/>
        <w:jc w:val="left"/>
        <w:sectPr w:rsidR="009A58DB">
          <w:pgSz w:w="12240" w:h="15840"/>
          <w:pgMar w:top="1380" w:right="1080" w:bottom="280" w:left="1080" w:header="720" w:footer="720" w:gutter="0"/>
          <w:cols w:space="720"/>
        </w:sectPr>
      </w:pPr>
    </w:p>
    <w:p w14:paraId="7E001CB7" w14:textId="77777777" w:rsidR="009A58DB" w:rsidRDefault="00000000">
      <w:pPr>
        <w:pStyle w:val="BodyText"/>
        <w:spacing w:before="70" w:line="249" w:lineRule="auto"/>
        <w:ind w:left="720" w:right="668"/>
      </w:pPr>
      <w:r>
        <w:lastRenderedPageBreak/>
        <w:t xml:space="preserve">doing drugs. (He has unlimited supplies of money and never has trouble getting them.) Smith has many talents—he’s a great water-skier, a great short-story writer, etc., but, because of his addition, these gifts of his lie </w:t>
      </w:r>
      <w:r>
        <w:rPr>
          <w:spacing w:val="-2"/>
        </w:rPr>
        <w:t>fallow.</w:t>
      </w:r>
    </w:p>
    <w:p w14:paraId="7E001CB8" w14:textId="77777777" w:rsidR="009A58DB" w:rsidRDefault="00000000">
      <w:pPr>
        <w:pStyle w:val="BodyText"/>
        <w:spacing w:line="249" w:lineRule="auto"/>
        <w:ind w:left="720" w:right="660" w:firstLine="360"/>
      </w:pPr>
      <w:r>
        <w:t>Green, on the other hand, hasn’t given himself over to addiction. He spends</w:t>
      </w:r>
      <w:r>
        <w:rPr>
          <w:spacing w:val="-14"/>
        </w:rPr>
        <w:t xml:space="preserve"> </w:t>
      </w:r>
      <w:r>
        <w:t>his</w:t>
      </w:r>
      <w:r>
        <w:rPr>
          <w:spacing w:val="-14"/>
        </w:rPr>
        <w:t xml:space="preserve"> </w:t>
      </w:r>
      <w:r>
        <w:t>days</w:t>
      </w:r>
      <w:r>
        <w:rPr>
          <w:spacing w:val="-14"/>
        </w:rPr>
        <w:t xml:space="preserve"> </w:t>
      </w:r>
      <w:r>
        <w:t>doing</w:t>
      </w:r>
      <w:r>
        <w:rPr>
          <w:spacing w:val="-14"/>
        </w:rPr>
        <w:t xml:space="preserve"> </w:t>
      </w:r>
      <w:r>
        <w:t>things</w:t>
      </w:r>
      <w:r>
        <w:rPr>
          <w:spacing w:val="-14"/>
        </w:rPr>
        <w:t xml:space="preserve"> </w:t>
      </w:r>
      <w:r>
        <w:t>that</w:t>
      </w:r>
      <w:r>
        <w:rPr>
          <w:spacing w:val="-14"/>
        </w:rPr>
        <w:t xml:space="preserve"> </w:t>
      </w:r>
      <w:r>
        <w:t>augment</w:t>
      </w:r>
      <w:r>
        <w:rPr>
          <w:spacing w:val="-14"/>
        </w:rPr>
        <w:t xml:space="preserve"> </w:t>
      </w:r>
      <w:r>
        <w:t>who</w:t>
      </w:r>
      <w:r>
        <w:rPr>
          <w:spacing w:val="-14"/>
        </w:rPr>
        <w:t xml:space="preserve"> </w:t>
      </w:r>
      <w:r>
        <w:t>he</w:t>
      </w:r>
      <w:r>
        <w:rPr>
          <w:spacing w:val="-14"/>
        </w:rPr>
        <w:t xml:space="preserve"> </w:t>
      </w:r>
      <w:r>
        <w:t>is.</w:t>
      </w:r>
      <w:r>
        <w:rPr>
          <w:spacing w:val="-14"/>
        </w:rPr>
        <w:t xml:space="preserve"> </w:t>
      </w:r>
      <w:r>
        <w:t>Green</w:t>
      </w:r>
      <w:r>
        <w:rPr>
          <w:spacing w:val="-14"/>
        </w:rPr>
        <w:t xml:space="preserve"> </w:t>
      </w:r>
      <w:r>
        <w:t>can’t</w:t>
      </w:r>
      <w:r>
        <w:rPr>
          <w:spacing w:val="-14"/>
        </w:rPr>
        <w:t xml:space="preserve"> </w:t>
      </w:r>
      <w:r>
        <w:t>indulge every</w:t>
      </w:r>
      <w:r>
        <w:rPr>
          <w:spacing w:val="-12"/>
        </w:rPr>
        <w:t xml:space="preserve"> </w:t>
      </w:r>
      <w:r>
        <w:t>craving</w:t>
      </w:r>
      <w:r>
        <w:rPr>
          <w:spacing w:val="-12"/>
        </w:rPr>
        <w:t xml:space="preserve"> </w:t>
      </w:r>
      <w:r>
        <w:t>that</w:t>
      </w:r>
      <w:r>
        <w:rPr>
          <w:spacing w:val="-12"/>
        </w:rPr>
        <w:t xml:space="preserve"> </w:t>
      </w:r>
      <w:r>
        <w:t>he</w:t>
      </w:r>
      <w:r>
        <w:rPr>
          <w:spacing w:val="-12"/>
        </w:rPr>
        <w:t xml:space="preserve"> </w:t>
      </w:r>
      <w:r>
        <w:t>has.</w:t>
      </w:r>
      <w:r>
        <w:rPr>
          <w:spacing w:val="-12"/>
        </w:rPr>
        <w:t xml:space="preserve"> </w:t>
      </w:r>
      <w:r>
        <w:t>Unlike</w:t>
      </w:r>
      <w:r>
        <w:rPr>
          <w:spacing w:val="-12"/>
        </w:rPr>
        <w:t xml:space="preserve"> </w:t>
      </w:r>
      <w:r>
        <w:t>Smith,</w:t>
      </w:r>
      <w:r>
        <w:rPr>
          <w:spacing w:val="-12"/>
        </w:rPr>
        <w:t xml:space="preserve"> </w:t>
      </w:r>
      <w:r>
        <w:t>he</w:t>
      </w:r>
      <w:r>
        <w:rPr>
          <w:spacing w:val="-12"/>
        </w:rPr>
        <w:t xml:space="preserve"> </w:t>
      </w:r>
      <w:r>
        <w:t>doesn’t</w:t>
      </w:r>
      <w:r>
        <w:rPr>
          <w:spacing w:val="-12"/>
        </w:rPr>
        <w:t xml:space="preserve"> </w:t>
      </w:r>
      <w:r>
        <w:t>have</w:t>
      </w:r>
      <w:r>
        <w:rPr>
          <w:spacing w:val="-12"/>
        </w:rPr>
        <w:t xml:space="preserve"> </w:t>
      </w:r>
      <w:r>
        <w:t>the</w:t>
      </w:r>
      <w:r>
        <w:rPr>
          <w:spacing w:val="-12"/>
        </w:rPr>
        <w:t xml:space="preserve"> </w:t>
      </w:r>
      <w:r>
        <w:t>money</w:t>
      </w:r>
      <w:r>
        <w:rPr>
          <w:spacing w:val="-12"/>
        </w:rPr>
        <w:t xml:space="preserve"> </w:t>
      </w:r>
      <w:r>
        <w:t>to</w:t>
      </w:r>
      <w:r>
        <w:rPr>
          <w:spacing w:val="-11"/>
        </w:rPr>
        <w:t xml:space="preserve"> </w:t>
      </w:r>
      <w:r>
        <w:t xml:space="preserve">do </w:t>
      </w:r>
      <w:r>
        <w:rPr>
          <w:spacing w:val="-4"/>
        </w:rPr>
        <w:t>so.</w:t>
      </w:r>
    </w:p>
    <w:p w14:paraId="7E001CB9" w14:textId="77777777" w:rsidR="009A58DB" w:rsidRDefault="00000000">
      <w:pPr>
        <w:pStyle w:val="BodyText"/>
        <w:spacing w:before="4" w:line="249" w:lineRule="auto"/>
        <w:ind w:left="720" w:right="662" w:firstLine="360"/>
      </w:pPr>
      <w:r>
        <w:t xml:space="preserve">You (JMK/Frankfort) would say that Green is freer than Smith, and </w:t>
      </w:r>
      <w:r>
        <w:rPr>
          <w:spacing w:val="-2"/>
        </w:rPr>
        <w:t>your</w:t>
      </w:r>
      <w:r>
        <w:rPr>
          <w:spacing w:val="-13"/>
        </w:rPr>
        <w:t xml:space="preserve"> </w:t>
      </w:r>
      <w:r>
        <w:rPr>
          <w:spacing w:val="-2"/>
        </w:rPr>
        <w:t>reason</w:t>
      </w:r>
      <w:r>
        <w:rPr>
          <w:spacing w:val="-13"/>
        </w:rPr>
        <w:t xml:space="preserve"> </w:t>
      </w:r>
      <w:r>
        <w:rPr>
          <w:spacing w:val="-2"/>
        </w:rPr>
        <w:t>would</w:t>
      </w:r>
      <w:r>
        <w:rPr>
          <w:spacing w:val="-13"/>
        </w:rPr>
        <w:t xml:space="preserve"> </w:t>
      </w:r>
      <w:r>
        <w:rPr>
          <w:spacing w:val="-2"/>
        </w:rPr>
        <w:t>be</w:t>
      </w:r>
      <w:r>
        <w:rPr>
          <w:spacing w:val="-13"/>
        </w:rPr>
        <w:t xml:space="preserve"> </w:t>
      </w:r>
      <w:r>
        <w:rPr>
          <w:spacing w:val="-2"/>
        </w:rPr>
        <w:t>that,</w:t>
      </w:r>
      <w:r>
        <w:rPr>
          <w:spacing w:val="-13"/>
        </w:rPr>
        <w:t xml:space="preserve"> </w:t>
      </w:r>
      <w:r>
        <w:rPr>
          <w:spacing w:val="-2"/>
        </w:rPr>
        <w:t>even</w:t>
      </w:r>
      <w:r>
        <w:rPr>
          <w:spacing w:val="-13"/>
        </w:rPr>
        <w:t xml:space="preserve"> </w:t>
      </w:r>
      <w:r>
        <w:rPr>
          <w:spacing w:val="-2"/>
        </w:rPr>
        <w:t>though</w:t>
      </w:r>
      <w:r>
        <w:rPr>
          <w:spacing w:val="-13"/>
        </w:rPr>
        <w:t xml:space="preserve"> </w:t>
      </w:r>
      <w:r>
        <w:rPr>
          <w:spacing w:val="-2"/>
        </w:rPr>
        <w:t>he</w:t>
      </w:r>
      <w:r>
        <w:rPr>
          <w:spacing w:val="-13"/>
        </w:rPr>
        <w:t xml:space="preserve"> </w:t>
      </w:r>
      <w:r>
        <w:rPr>
          <w:spacing w:val="-2"/>
        </w:rPr>
        <w:t>can’t</w:t>
      </w:r>
      <w:r>
        <w:rPr>
          <w:spacing w:val="-13"/>
        </w:rPr>
        <w:t xml:space="preserve"> </w:t>
      </w:r>
      <w:r>
        <w:rPr>
          <w:spacing w:val="-2"/>
        </w:rPr>
        <w:t>gratify</w:t>
      </w:r>
      <w:r>
        <w:rPr>
          <w:spacing w:val="-13"/>
        </w:rPr>
        <w:t xml:space="preserve"> </w:t>
      </w:r>
      <w:r>
        <w:rPr>
          <w:spacing w:val="-2"/>
        </w:rPr>
        <w:t>as</w:t>
      </w:r>
      <w:r>
        <w:rPr>
          <w:spacing w:val="-13"/>
        </w:rPr>
        <w:t xml:space="preserve"> </w:t>
      </w:r>
      <w:r>
        <w:rPr>
          <w:spacing w:val="-2"/>
        </w:rPr>
        <w:t>many</w:t>
      </w:r>
      <w:r>
        <w:rPr>
          <w:spacing w:val="-13"/>
        </w:rPr>
        <w:t xml:space="preserve"> </w:t>
      </w:r>
      <w:r>
        <w:rPr>
          <w:spacing w:val="-2"/>
        </w:rPr>
        <w:t>desires</w:t>
      </w:r>
      <w:r>
        <w:rPr>
          <w:spacing w:val="-13"/>
        </w:rPr>
        <w:t xml:space="preserve"> </w:t>
      </w:r>
      <w:r>
        <w:rPr>
          <w:spacing w:val="-2"/>
        </w:rPr>
        <w:t>as Smith</w:t>
      </w:r>
      <w:r>
        <w:rPr>
          <w:spacing w:val="-17"/>
        </w:rPr>
        <w:t xml:space="preserve"> </w:t>
      </w:r>
      <w:r>
        <w:rPr>
          <w:spacing w:val="-2"/>
        </w:rPr>
        <w:t>can,</w:t>
      </w:r>
      <w:r>
        <w:rPr>
          <w:spacing w:val="-17"/>
        </w:rPr>
        <w:t xml:space="preserve"> </w:t>
      </w:r>
      <w:r>
        <w:rPr>
          <w:spacing w:val="-2"/>
        </w:rPr>
        <w:t>the</w:t>
      </w:r>
      <w:r>
        <w:rPr>
          <w:spacing w:val="-17"/>
        </w:rPr>
        <w:t xml:space="preserve"> </w:t>
      </w:r>
      <w:r>
        <w:rPr>
          <w:spacing w:val="-2"/>
        </w:rPr>
        <w:t>desires</w:t>
      </w:r>
      <w:r>
        <w:rPr>
          <w:spacing w:val="-16"/>
        </w:rPr>
        <w:t xml:space="preserve"> </w:t>
      </w:r>
      <w:r>
        <w:rPr>
          <w:spacing w:val="-2"/>
        </w:rPr>
        <w:t>that</w:t>
      </w:r>
      <w:r>
        <w:rPr>
          <w:spacing w:val="-17"/>
        </w:rPr>
        <w:t xml:space="preserve"> </w:t>
      </w:r>
      <w:r>
        <w:rPr>
          <w:spacing w:val="-2"/>
        </w:rPr>
        <w:t>Green</w:t>
      </w:r>
      <w:r>
        <w:rPr>
          <w:spacing w:val="-17"/>
        </w:rPr>
        <w:t xml:space="preserve"> </w:t>
      </w:r>
      <w:r>
        <w:rPr>
          <w:spacing w:val="-2"/>
        </w:rPr>
        <w:t>does</w:t>
      </w:r>
      <w:r>
        <w:rPr>
          <w:spacing w:val="-17"/>
        </w:rPr>
        <w:t xml:space="preserve"> </w:t>
      </w:r>
      <w:r>
        <w:rPr>
          <w:spacing w:val="-2"/>
        </w:rPr>
        <w:t>gratify</w:t>
      </w:r>
      <w:r>
        <w:rPr>
          <w:spacing w:val="-16"/>
        </w:rPr>
        <w:t xml:space="preserve"> </w:t>
      </w:r>
      <w:r>
        <w:rPr>
          <w:spacing w:val="-2"/>
        </w:rPr>
        <w:t>have</w:t>
      </w:r>
      <w:r>
        <w:rPr>
          <w:spacing w:val="-17"/>
        </w:rPr>
        <w:t xml:space="preserve"> </w:t>
      </w:r>
      <w:r>
        <w:rPr>
          <w:spacing w:val="-2"/>
        </w:rPr>
        <w:t>the</w:t>
      </w:r>
      <w:r>
        <w:rPr>
          <w:spacing w:val="-17"/>
        </w:rPr>
        <w:t xml:space="preserve"> </w:t>
      </w:r>
      <w:r>
        <w:rPr>
          <w:spacing w:val="-2"/>
        </w:rPr>
        <w:t>right</w:t>
      </w:r>
      <w:r>
        <w:rPr>
          <w:spacing w:val="-17"/>
        </w:rPr>
        <w:t xml:space="preserve"> </w:t>
      </w:r>
      <w:r>
        <w:rPr>
          <w:spacing w:val="-2"/>
        </w:rPr>
        <w:t>roots,</w:t>
      </w:r>
      <w:r>
        <w:rPr>
          <w:spacing w:val="-16"/>
        </w:rPr>
        <w:t xml:space="preserve"> </w:t>
      </w:r>
      <w:r>
        <w:rPr>
          <w:spacing w:val="-2"/>
        </w:rPr>
        <w:t xml:space="preserve">whereas </w:t>
      </w:r>
      <w:r>
        <w:t>those that Smith gratifies do not.</w:t>
      </w:r>
    </w:p>
    <w:p w14:paraId="7E001CBA" w14:textId="77777777" w:rsidR="009A58DB" w:rsidRDefault="00000000">
      <w:pPr>
        <w:pStyle w:val="BodyText"/>
        <w:spacing w:before="5" w:line="249" w:lineRule="auto"/>
        <w:ind w:left="720" w:right="647" w:firstLine="360"/>
      </w:pPr>
      <w:r>
        <w:rPr>
          <w:spacing w:val="-4"/>
        </w:rPr>
        <w:t>I</w:t>
      </w:r>
      <w:r>
        <w:rPr>
          <w:spacing w:val="-11"/>
        </w:rPr>
        <w:t xml:space="preserve"> </w:t>
      </w:r>
      <w:r>
        <w:rPr>
          <w:spacing w:val="-4"/>
        </w:rPr>
        <w:t>grant</w:t>
      </w:r>
      <w:r>
        <w:rPr>
          <w:spacing w:val="-11"/>
        </w:rPr>
        <w:t xml:space="preserve"> </w:t>
      </w:r>
      <w:r>
        <w:rPr>
          <w:spacing w:val="-4"/>
        </w:rPr>
        <w:t>that</w:t>
      </w:r>
      <w:r>
        <w:rPr>
          <w:spacing w:val="-11"/>
        </w:rPr>
        <w:t xml:space="preserve"> </w:t>
      </w:r>
      <w:r>
        <w:rPr>
          <w:spacing w:val="-4"/>
        </w:rPr>
        <w:t>Smith’s</w:t>
      </w:r>
      <w:r>
        <w:rPr>
          <w:spacing w:val="-10"/>
        </w:rPr>
        <w:t xml:space="preserve"> </w:t>
      </w:r>
      <w:r>
        <w:rPr>
          <w:spacing w:val="-4"/>
        </w:rPr>
        <w:t>condition</w:t>
      </w:r>
      <w:r>
        <w:rPr>
          <w:spacing w:val="-10"/>
        </w:rPr>
        <w:t xml:space="preserve"> </w:t>
      </w:r>
      <w:r>
        <w:rPr>
          <w:spacing w:val="-4"/>
        </w:rPr>
        <w:t>is</w:t>
      </w:r>
      <w:r>
        <w:rPr>
          <w:spacing w:val="-10"/>
        </w:rPr>
        <w:t xml:space="preserve"> </w:t>
      </w:r>
      <w:r>
        <w:rPr>
          <w:spacing w:val="-4"/>
        </w:rPr>
        <w:t>worse</w:t>
      </w:r>
      <w:r>
        <w:rPr>
          <w:spacing w:val="-10"/>
        </w:rPr>
        <w:t xml:space="preserve"> </w:t>
      </w:r>
      <w:r>
        <w:rPr>
          <w:spacing w:val="-4"/>
        </w:rPr>
        <w:t>than</w:t>
      </w:r>
      <w:r>
        <w:rPr>
          <w:spacing w:val="-10"/>
        </w:rPr>
        <w:t xml:space="preserve"> </w:t>
      </w:r>
      <w:r>
        <w:rPr>
          <w:spacing w:val="-4"/>
        </w:rPr>
        <w:t>Green’s,</w:t>
      </w:r>
      <w:r>
        <w:rPr>
          <w:spacing w:val="-10"/>
        </w:rPr>
        <w:t xml:space="preserve"> </w:t>
      </w:r>
      <w:r>
        <w:rPr>
          <w:spacing w:val="-4"/>
        </w:rPr>
        <w:t>and</w:t>
      </w:r>
      <w:r>
        <w:rPr>
          <w:spacing w:val="-10"/>
        </w:rPr>
        <w:t xml:space="preserve"> </w:t>
      </w:r>
      <w:r>
        <w:rPr>
          <w:spacing w:val="-4"/>
        </w:rPr>
        <w:t>also</w:t>
      </w:r>
      <w:r>
        <w:rPr>
          <w:spacing w:val="-10"/>
        </w:rPr>
        <w:t xml:space="preserve"> </w:t>
      </w:r>
      <w:r>
        <w:rPr>
          <w:spacing w:val="-4"/>
        </w:rPr>
        <w:t>that</w:t>
      </w:r>
      <w:r>
        <w:rPr>
          <w:spacing w:val="-11"/>
        </w:rPr>
        <w:t xml:space="preserve"> </w:t>
      </w:r>
      <w:r>
        <w:rPr>
          <w:spacing w:val="-4"/>
        </w:rPr>
        <w:t xml:space="preserve">Smith </w:t>
      </w:r>
      <w:r>
        <w:t>is less free than Green. But, contrary to what you say, that</w:t>
      </w:r>
      <w:r>
        <w:rPr>
          <w:spacing w:val="-19"/>
        </w:rPr>
        <w:t xml:space="preserve"> </w:t>
      </w:r>
      <w:r>
        <w:rPr>
          <w:i/>
        </w:rPr>
        <w:t>i</w:t>
      </w:r>
      <w:r>
        <w:rPr>
          <w:i/>
          <w:spacing w:val="-19"/>
        </w:rPr>
        <w:t xml:space="preserve"> </w:t>
      </w:r>
      <w:r>
        <w:rPr>
          <w:i/>
        </w:rPr>
        <w:t>s</w:t>
      </w:r>
      <w:r>
        <w:rPr>
          <w:i/>
          <w:spacing w:val="-17"/>
        </w:rPr>
        <w:t xml:space="preserve"> </w:t>
      </w:r>
      <w:r>
        <w:t xml:space="preserve">because, </w:t>
      </w:r>
      <w:r>
        <w:rPr>
          <w:spacing w:val="-2"/>
        </w:rPr>
        <w:t>when</w:t>
      </w:r>
      <w:r>
        <w:rPr>
          <w:spacing w:val="-17"/>
        </w:rPr>
        <w:t xml:space="preserve"> </w:t>
      </w:r>
      <w:r>
        <w:rPr>
          <w:spacing w:val="-2"/>
        </w:rPr>
        <w:t>it</w:t>
      </w:r>
      <w:r>
        <w:rPr>
          <w:spacing w:val="-17"/>
        </w:rPr>
        <w:t xml:space="preserve"> </w:t>
      </w:r>
      <w:r>
        <w:rPr>
          <w:spacing w:val="-2"/>
        </w:rPr>
        <w:t>comes</w:t>
      </w:r>
      <w:r>
        <w:rPr>
          <w:spacing w:val="-17"/>
        </w:rPr>
        <w:t xml:space="preserve"> </w:t>
      </w:r>
      <w:r>
        <w:rPr>
          <w:spacing w:val="-2"/>
        </w:rPr>
        <w:t>to</w:t>
      </w:r>
      <w:r>
        <w:rPr>
          <w:spacing w:val="-16"/>
        </w:rPr>
        <w:t xml:space="preserve"> </w:t>
      </w:r>
      <w:r>
        <w:rPr>
          <w:spacing w:val="-2"/>
        </w:rPr>
        <w:t>desire</w:t>
      </w:r>
      <w:r>
        <w:rPr>
          <w:spacing w:val="-17"/>
        </w:rPr>
        <w:t xml:space="preserve"> </w:t>
      </w:r>
      <w:r>
        <w:rPr>
          <w:spacing w:val="-2"/>
        </w:rPr>
        <w:t>gratification,</w:t>
      </w:r>
      <w:r>
        <w:rPr>
          <w:spacing w:val="-17"/>
        </w:rPr>
        <w:t xml:space="preserve"> </w:t>
      </w:r>
      <w:r>
        <w:rPr>
          <w:spacing w:val="-2"/>
        </w:rPr>
        <w:t>Green’s</w:t>
      </w:r>
      <w:r>
        <w:rPr>
          <w:spacing w:val="-17"/>
        </w:rPr>
        <w:t xml:space="preserve"> </w:t>
      </w:r>
      <w:r>
        <w:rPr>
          <w:spacing w:val="-2"/>
        </w:rPr>
        <w:t>batting</w:t>
      </w:r>
      <w:r>
        <w:rPr>
          <w:spacing w:val="-16"/>
        </w:rPr>
        <w:t xml:space="preserve"> </w:t>
      </w:r>
      <w:r>
        <w:rPr>
          <w:spacing w:val="-2"/>
        </w:rPr>
        <w:t>average</w:t>
      </w:r>
      <w:r>
        <w:rPr>
          <w:spacing w:val="-17"/>
        </w:rPr>
        <w:t xml:space="preserve"> </w:t>
      </w:r>
      <w:r>
        <w:rPr>
          <w:spacing w:val="-2"/>
        </w:rPr>
        <w:t>is</w:t>
      </w:r>
      <w:r>
        <w:rPr>
          <w:spacing w:val="-17"/>
        </w:rPr>
        <w:t xml:space="preserve"> </w:t>
      </w:r>
      <w:r>
        <w:rPr>
          <w:spacing w:val="-2"/>
        </w:rPr>
        <w:t>better</w:t>
      </w:r>
      <w:r>
        <w:rPr>
          <w:spacing w:val="-17"/>
        </w:rPr>
        <w:t xml:space="preserve"> </w:t>
      </w:r>
      <w:r>
        <w:rPr>
          <w:spacing w:val="-2"/>
        </w:rPr>
        <w:t xml:space="preserve">than </w:t>
      </w:r>
      <w:r>
        <w:t>Smith’s.</w:t>
      </w:r>
      <w:r>
        <w:rPr>
          <w:spacing w:val="-19"/>
        </w:rPr>
        <w:t xml:space="preserve"> </w:t>
      </w:r>
      <w:r>
        <w:t>There</w:t>
      </w:r>
      <w:r>
        <w:rPr>
          <w:spacing w:val="-15"/>
        </w:rPr>
        <w:t xml:space="preserve"> </w:t>
      </w:r>
      <w:r>
        <w:t>are</w:t>
      </w:r>
      <w:r>
        <w:rPr>
          <w:spacing w:val="-15"/>
        </w:rPr>
        <w:t xml:space="preserve"> </w:t>
      </w:r>
      <w:r>
        <w:t>a</w:t>
      </w:r>
      <w:r>
        <w:rPr>
          <w:spacing w:val="-15"/>
        </w:rPr>
        <w:t xml:space="preserve"> </w:t>
      </w:r>
      <w:r>
        <w:t>lot</w:t>
      </w:r>
      <w:r>
        <w:rPr>
          <w:spacing w:val="-15"/>
        </w:rPr>
        <w:t xml:space="preserve"> </w:t>
      </w:r>
      <w:r>
        <w:t>of</w:t>
      </w:r>
      <w:r>
        <w:rPr>
          <w:spacing w:val="-15"/>
        </w:rPr>
        <w:t xml:space="preserve"> </w:t>
      </w:r>
      <w:r>
        <w:t>aspirations</w:t>
      </w:r>
      <w:r>
        <w:rPr>
          <w:spacing w:val="-15"/>
        </w:rPr>
        <w:t xml:space="preserve"> </w:t>
      </w:r>
      <w:r>
        <w:t>that</w:t>
      </w:r>
      <w:r>
        <w:rPr>
          <w:spacing w:val="-15"/>
        </w:rPr>
        <w:t xml:space="preserve"> </w:t>
      </w:r>
      <w:r>
        <w:t>Smith</w:t>
      </w:r>
      <w:r>
        <w:rPr>
          <w:spacing w:val="-15"/>
        </w:rPr>
        <w:t xml:space="preserve"> </w:t>
      </w:r>
      <w:r>
        <w:t>has</w:t>
      </w:r>
      <w:r>
        <w:rPr>
          <w:spacing w:val="-15"/>
        </w:rPr>
        <w:t xml:space="preserve"> </w:t>
      </w:r>
      <w:r>
        <w:t>that</w:t>
      </w:r>
      <w:r>
        <w:rPr>
          <w:spacing w:val="-15"/>
        </w:rPr>
        <w:t xml:space="preserve"> </w:t>
      </w:r>
      <w:r>
        <w:t>will</w:t>
      </w:r>
      <w:r>
        <w:rPr>
          <w:spacing w:val="-15"/>
        </w:rPr>
        <w:t xml:space="preserve"> </w:t>
      </w:r>
      <w:r>
        <w:t>be</w:t>
      </w:r>
      <w:r>
        <w:rPr>
          <w:spacing w:val="-15"/>
        </w:rPr>
        <w:t xml:space="preserve"> </w:t>
      </w:r>
      <w:r>
        <w:t>thwarted as</w:t>
      </w:r>
      <w:r>
        <w:rPr>
          <w:spacing w:val="-12"/>
        </w:rPr>
        <w:t xml:space="preserve"> </w:t>
      </w:r>
      <w:r>
        <w:t>long</w:t>
      </w:r>
      <w:r>
        <w:rPr>
          <w:spacing w:val="-6"/>
        </w:rPr>
        <w:t xml:space="preserve"> </w:t>
      </w:r>
      <w:r>
        <w:t>as</w:t>
      </w:r>
      <w:r>
        <w:rPr>
          <w:spacing w:val="-6"/>
        </w:rPr>
        <w:t xml:space="preserve"> </w:t>
      </w:r>
      <w:r>
        <w:t>he’s</w:t>
      </w:r>
      <w:r>
        <w:rPr>
          <w:spacing w:val="-6"/>
        </w:rPr>
        <w:t xml:space="preserve"> </w:t>
      </w:r>
      <w:r>
        <w:t>imprisoned</w:t>
      </w:r>
      <w:r>
        <w:rPr>
          <w:spacing w:val="-6"/>
        </w:rPr>
        <w:t xml:space="preserve"> </w:t>
      </w:r>
      <w:r>
        <w:t>by</w:t>
      </w:r>
      <w:r>
        <w:rPr>
          <w:spacing w:val="-6"/>
        </w:rPr>
        <w:t xml:space="preserve"> </w:t>
      </w:r>
      <w:r>
        <w:t>addiction.</w:t>
      </w:r>
      <w:r>
        <w:rPr>
          <w:spacing w:val="-6"/>
        </w:rPr>
        <w:t xml:space="preserve"> </w:t>
      </w:r>
      <w:r>
        <w:t>Smith</w:t>
      </w:r>
      <w:r>
        <w:rPr>
          <w:spacing w:val="-6"/>
        </w:rPr>
        <w:t xml:space="preserve"> </w:t>
      </w:r>
      <w:r>
        <w:t>wants</w:t>
      </w:r>
      <w:r>
        <w:rPr>
          <w:spacing w:val="-6"/>
        </w:rPr>
        <w:t xml:space="preserve"> </w:t>
      </w:r>
      <w:r>
        <w:t>to</w:t>
      </w:r>
      <w:r>
        <w:rPr>
          <w:spacing w:val="-6"/>
        </w:rPr>
        <w:t xml:space="preserve"> </w:t>
      </w:r>
      <w:r>
        <w:t>do</w:t>
      </w:r>
      <w:r>
        <w:rPr>
          <w:spacing w:val="-6"/>
        </w:rPr>
        <w:t xml:space="preserve"> </w:t>
      </w:r>
      <w:r>
        <w:t>cocaine</w:t>
      </w:r>
      <w:r>
        <w:rPr>
          <w:spacing w:val="-19"/>
        </w:rPr>
        <w:t xml:space="preserve"> </w:t>
      </w:r>
      <w:r>
        <w:rPr>
          <w:i/>
        </w:rPr>
        <w:t xml:space="preserve">more </w:t>
      </w:r>
      <w:r>
        <w:t>than</w:t>
      </w:r>
      <w:r>
        <w:rPr>
          <w:spacing w:val="-10"/>
        </w:rPr>
        <w:t xml:space="preserve"> </w:t>
      </w:r>
      <w:r>
        <w:t>he</w:t>
      </w:r>
      <w:r>
        <w:rPr>
          <w:spacing w:val="-8"/>
        </w:rPr>
        <w:t xml:space="preserve"> </w:t>
      </w:r>
      <w:r>
        <w:t>wants</w:t>
      </w:r>
      <w:r>
        <w:rPr>
          <w:spacing w:val="-8"/>
        </w:rPr>
        <w:t xml:space="preserve"> </w:t>
      </w:r>
      <w:r>
        <w:t>to</w:t>
      </w:r>
      <w:r>
        <w:rPr>
          <w:spacing w:val="-8"/>
        </w:rPr>
        <w:t xml:space="preserve"> </w:t>
      </w:r>
      <w:r>
        <w:t>be</w:t>
      </w:r>
      <w:r>
        <w:rPr>
          <w:spacing w:val="-8"/>
        </w:rPr>
        <w:t xml:space="preserve"> </w:t>
      </w:r>
      <w:r>
        <w:t>a</w:t>
      </w:r>
      <w:r>
        <w:rPr>
          <w:spacing w:val="-8"/>
        </w:rPr>
        <w:t xml:space="preserve"> </w:t>
      </w:r>
      <w:r>
        <w:t>writer,</w:t>
      </w:r>
      <w:r>
        <w:rPr>
          <w:spacing w:val="-8"/>
        </w:rPr>
        <w:t xml:space="preserve"> </w:t>
      </w:r>
      <w:r>
        <w:t>but</w:t>
      </w:r>
      <w:r>
        <w:rPr>
          <w:spacing w:val="-9"/>
        </w:rPr>
        <w:t xml:space="preserve"> </w:t>
      </w:r>
      <w:r>
        <w:t>it</w:t>
      </w:r>
      <w:r>
        <w:rPr>
          <w:spacing w:val="-9"/>
        </w:rPr>
        <w:t xml:space="preserve"> </w:t>
      </w:r>
      <w:r>
        <w:t>doesn’t</w:t>
      </w:r>
      <w:r>
        <w:rPr>
          <w:spacing w:val="-9"/>
        </w:rPr>
        <w:t xml:space="preserve"> </w:t>
      </w:r>
      <w:r>
        <w:t>follow</w:t>
      </w:r>
      <w:r>
        <w:rPr>
          <w:spacing w:val="-9"/>
        </w:rPr>
        <w:t xml:space="preserve"> </w:t>
      </w:r>
      <w:r>
        <w:t>that</w:t>
      </w:r>
      <w:r>
        <w:rPr>
          <w:spacing w:val="-9"/>
        </w:rPr>
        <w:t xml:space="preserve"> </w:t>
      </w:r>
      <w:r>
        <w:t>he</w:t>
      </w:r>
      <w:r>
        <w:rPr>
          <w:spacing w:val="-19"/>
        </w:rPr>
        <w:t xml:space="preserve"> </w:t>
      </w:r>
      <w:r>
        <w:rPr>
          <w:i/>
        </w:rPr>
        <w:t>no longer</w:t>
      </w:r>
      <w:r>
        <w:rPr>
          <w:i/>
          <w:spacing w:val="-19"/>
        </w:rPr>
        <w:t xml:space="preserve"> </w:t>
      </w:r>
      <w:r>
        <w:t>wants to</w:t>
      </w:r>
      <w:r>
        <w:rPr>
          <w:spacing w:val="-16"/>
        </w:rPr>
        <w:t xml:space="preserve"> </w:t>
      </w:r>
      <w:r>
        <w:t>be</w:t>
      </w:r>
      <w:r>
        <w:rPr>
          <w:spacing w:val="-10"/>
        </w:rPr>
        <w:t xml:space="preserve"> </w:t>
      </w:r>
      <w:r>
        <w:t>a</w:t>
      </w:r>
      <w:r>
        <w:rPr>
          <w:spacing w:val="-10"/>
        </w:rPr>
        <w:t xml:space="preserve"> </w:t>
      </w:r>
      <w:r>
        <w:t>writer.</w:t>
      </w:r>
      <w:r>
        <w:rPr>
          <w:spacing w:val="-10"/>
        </w:rPr>
        <w:t xml:space="preserve"> </w:t>
      </w:r>
      <w:r>
        <w:t>He</w:t>
      </w:r>
      <w:r>
        <w:rPr>
          <w:spacing w:val="-10"/>
        </w:rPr>
        <w:t xml:space="preserve"> </w:t>
      </w:r>
      <w:r>
        <w:t>could</w:t>
      </w:r>
      <w:r>
        <w:rPr>
          <w:spacing w:val="-10"/>
        </w:rPr>
        <w:t xml:space="preserve"> </w:t>
      </w:r>
      <w:r>
        <w:t>very</w:t>
      </w:r>
      <w:r>
        <w:rPr>
          <w:spacing w:val="-10"/>
        </w:rPr>
        <w:t xml:space="preserve"> </w:t>
      </w:r>
      <w:r>
        <w:t>well</w:t>
      </w:r>
      <w:r>
        <w:rPr>
          <w:spacing w:val="-10"/>
        </w:rPr>
        <w:t xml:space="preserve"> </w:t>
      </w:r>
      <w:r>
        <w:t>want</w:t>
      </w:r>
      <w:r>
        <w:rPr>
          <w:spacing w:val="-10"/>
        </w:rPr>
        <w:t xml:space="preserve"> </w:t>
      </w:r>
      <w:r>
        <w:t>both.</w:t>
      </w:r>
      <w:bookmarkStart w:id="396" w:name="_bookmark396"/>
      <w:bookmarkEnd w:id="396"/>
      <w:r>
        <w:rPr>
          <w:color w:val="0562C1"/>
          <w:position w:val="21"/>
          <w:u w:val="single" w:color="0562C1"/>
        </w:rPr>
        <w:t>[282]</w:t>
      </w:r>
      <w:r>
        <w:rPr>
          <w:color w:val="0562C1"/>
          <w:spacing w:val="-19"/>
          <w:position w:val="21"/>
        </w:rPr>
        <w:t xml:space="preserve"> </w:t>
      </w:r>
      <w:r>
        <w:t>Let’s</w:t>
      </w:r>
      <w:r>
        <w:rPr>
          <w:spacing w:val="-11"/>
        </w:rPr>
        <w:t xml:space="preserve"> </w:t>
      </w:r>
      <w:r>
        <w:t>suppose</w:t>
      </w:r>
      <w:r>
        <w:rPr>
          <w:spacing w:val="-11"/>
        </w:rPr>
        <w:t xml:space="preserve"> </w:t>
      </w:r>
      <w:r>
        <w:t>he</w:t>
      </w:r>
      <w:r>
        <w:rPr>
          <w:spacing w:val="-11"/>
        </w:rPr>
        <w:t xml:space="preserve"> </w:t>
      </w:r>
      <w:r>
        <w:t xml:space="preserve">does. </w:t>
      </w:r>
      <w:r>
        <w:rPr>
          <w:spacing w:val="-2"/>
        </w:rPr>
        <w:t>In</w:t>
      </w:r>
      <w:r>
        <w:rPr>
          <w:spacing w:val="-17"/>
        </w:rPr>
        <w:t xml:space="preserve"> </w:t>
      </w:r>
      <w:r>
        <w:rPr>
          <w:spacing w:val="-2"/>
        </w:rPr>
        <w:t>that</w:t>
      </w:r>
      <w:r>
        <w:rPr>
          <w:spacing w:val="-17"/>
        </w:rPr>
        <w:t xml:space="preserve"> </w:t>
      </w:r>
      <w:r>
        <w:rPr>
          <w:spacing w:val="-2"/>
        </w:rPr>
        <w:t>case,</w:t>
      </w:r>
      <w:r>
        <w:rPr>
          <w:spacing w:val="-17"/>
        </w:rPr>
        <w:t xml:space="preserve"> </w:t>
      </w:r>
      <w:r>
        <w:rPr>
          <w:spacing w:val="-2"/>
        </w:rPr>
        <w:t>a</w:t>
      </w:r>
      <w:r>
        <w:rPr>
          <w:spacing w:val="-16"/>
        </w:rPr>
        <w:t xml:space="preserve"> </w:t>
      </w:r>
      <w:r>
        <w:rPr>
          <w:spacing w:val="-2"/>
        </w:rPr>
        <w:t>very</w:t>
      </w:r>
      <w:r>
        <w:rPr>
          <w:spacing w:val="-17"/>
        </w:rPr>
        <w:t xml:space="preserve"> </w:t>
      </w:r>
      <w:r>
        <w:rPr>
          <w:spacing w:val="-2"/>
        </w:rPr>
        <w:t>strong</w:t>
      </w:r>
      <w:r>
        <w:rPr>
          <w:spacing w:val="-17"/>
        </w:rPr>
        <w:t xml:space="preserve"> </w:t>
      </w:r>
      <w:r>
        <w:rPr>
          <w:spacing w:val="-2"/>
        </w:rPr>
        <w:t>desire</w:t>
      </w:r>
      <w:r>
        <w:rPr>
          <w:spacing w:val="-17"/>
        </w:rPr>
        <w:t xml:space="preserve"> </w:t>
      </w:r>
      <w:r>
        <w:rPr>
          <w:spacing w:val="-2"/>
        </w:rPr>
        <w:t>of</w:t>
      </w:r>
      <w:r>
        <w:rPr>
          <w:spacing w:val="-16"/>
        </w:rPr>
        <w:t xml:space="preserve"> </w:t>
      </w:r>
      <w:r>
        <w:rPr>
          <w:spacing w:val="-2"/>
        </w:rPr>
        <w:t>his</w:t>
      </w:r>
      <w:r>
        <w:rPr>
          <w:spacing w:val="-17"/>
        </w:rPr>
        <w:t xml:space="preserve"> </w:t>
      </w:r>
      <w:r>
        <w:rPr>
          <w:spacing w:val="-2"/>
        </w:rPr>
        <w:t>is</w:t>
      </w:r>
      <w:r>
        <w:rPr>
          <w:spacing w:val="-17"/>
        </w:rPr>
        <w:t xml:space="preserve"> </w:t>
      </w:r>
      <w:r>
        <w:rPr>
          <w:spacing w:val="-2"/>
        </w:rPr>
        <w:t>being</w:t>
      </w:r>
      <w:r>
        <w:rPr>
          <w:spacing w:val="-16"/>
        </w:rPr>
        <w:t xml:space="preserve"> </w:t>
      </w:r>
      <w:r>
        <w:rPr>
          <w:spacing w:val="-2"/>
        </w:rPr>
        <w:t>frustrated.</w:t>
      </w:r>
      <w:r>
        <w:rPr>
          <w:spacing w:val="-16"/>
        </w:rPr>
        <w:t xml:space="preserve"> </w:t>
      </w:r>
      <w:r>
        <w:rPr>
          <w:spacing w:val="-2"/>
        </w:rPr>
        <w:t>It’s</w:t>
      </w:r>
      <w:r>
        <w:rPr>
          <w:spacing w:val="-17"/>
        </w:rPr>
        <w:t xml:space="preserve"> </w:t>
      </w:r>
      <w:r>
        <w:rPr>
          <w:spacing w:val="-2"/>
        </w:rPr>
        <w:t>true</w:t>
      </w:r>
      <w:r>
        <w:rPr>
          <w:spacing w:val="-16"/>
        </w:rPr>
        <w:t xml:space="preserve"> </w:t>
      </w:r>
      <w:r>
        <w:rPr>
          <w:spacing w:val="-2"/>
        </w:rPr>
        <w:t>that</w:t>
      </w:r>
      <w:r>
        <w:rPr>
          <w:spacing w:val="-17"/>
        </w:rPr>
        <w:t xml:space="preserve"> </w:t>
      </w:r>
      <w:r>
        <w:rPr>
          <w:i/>
          <w:spacing w:val="-2"/>
        </w:rPr>
        <w:t xml:space="preserve">he’s </w:t>
      </w:r>
      <w:r>
        <w:rPr>
          <w:i/>
        </w:rPr>
        <w:t>the</w:t>
      </w:r>
      <w:r>
        <w:rPr>
          <w:i/>
          <w:spacing w:val="-19"/>
        </w:rPr>
        <w:t xml:space="preserve"> </w:t>
      </w:r>
      <w:r>
        <w:rPr>
          <w:i/>
        </w:rPr>
        <w:t>one</w:t>
      </w:r>
      <w:r>
        <w:rPr>
          <w:i/>
          <w:spacing w:val="-19"/>
        </w:rPr>
        <w:t xml:space="preserve"> </w:t>
      </w:r>
      <w:r>
        <w:rPr>
          <w:i/>
        </w:rPr>
        <w:t>who’s</w:t>
      </w:r>
      <w:r>
        <w:rPr>
          <w:i/>
          <w:spacing w:val="-19"/>
        </w:rPr>
        <w:t xml:space="preserve"> </w:t>
      </w:r>
      <w:r>
        <w:rPr>
          <w:i/>
        </w:rPr>
        <w:t>frustrating</w:t>
      </w:r>
      <w:r>
        <w:rPr>
          <w:i/>
          <w:spacing w:val="-18"/>
        </w:rPr>
        <w:t xml:space="preserve"> </w:t>
      </w:r>
      <w:r>
        <w:rPr>
          <w:i/>
        </w:rPr>
        <w:t>it,</w:t>
      </w:r>
      <w:r>
        <w:rPr>
          <w:i/>
          <w:spacing w:val="-19"/>
        </w:rPr>
        <w:t xml:space="preserve"> </w:t>
      </w:r>
      <w:r>
        <w:t>but</w:t>
      </w:r>
      <w:r>
        <w:rPr>
          <w:spacing w:val="-19"/>
        </w:rPr>
        <w:t xml:space="preserve"> </w:t>
      </w:r>
      <w:r>
        <w:t>that</w:t>
      </w:r>
      <w:r>
        <w:rPr>
          <w:spacing w:val="-19"/>
        </w:rPr>
        <w:t xml:space="preserve"> </w:t>
      </w:r>
      <w:r>
        <w:t>doesn’t</w:t>
      </w:r>
      <w:r>
        <w:rPr>
          <w:spacing w:val="-18"/>
        </w:rPr>
        <w:t xml:space="preserve"> </w:t>
      </w:r>
      <w:r>
        <w:t>mean</w:t>
      </w:r>
      <w:r>
        <w:rPr>
          <w:spacing w:val="-19"/>
        </w:rPr>
        <w:t xml:space="preserve"> </w:t>
      </w:r>
      <w:r>
        <w:t>it</w:t>
      </w:r>
      <w:r>
        <w:rPr>
          <w:spacing w:val="-19"/>
        </w:rPr>
        <w:t xml:space="preserve"> </w:t>
      </w:r>
      <w:r>
        <w:t>isn’t</w:t>
      </w:r>
      <w:r>
        <w:rPr>
          <w:spacing w:val="-19"/>
        </w:rPr>
        <w:t xml:space="preserve"> </w:t>
      </w:r>
      <w:r>
        <w:t>frustrated.</w:t>
      </w:r>
    </w:p>
    <w:p w14:paraId="7E001CBB" w14:textId="77777777" w:rsidR="009A58DB" w:rsidRDefault="00000000">
      <w:pPr>
        <w:pStyle w:val="BodyText"/>
        <w:spacing w:before="11" w:line="249" w:lineRule="auto"/>
        <w:ind w:left="720" w:right="659" w:firstLine="360"/>
      </w:pPr>
      <w:r>
        <w:t xml:space="preserve">Smith will inevitably have many other desires that his cocaine </w:t>
      </w:r>
      <w:r>
        <w:rPr>
          <w:spacing w:val="-2"/>
        </w:rPr>
        <w:t>addiction</w:t>
      </w:r>
      <w:r>
        <w:rPr>
          <w:spacing w:val="-17"/>
        </w:rPr>
        <w:t xml:space="preserve"> </w:t>
      </w:r>
      <w:r>
        <w:rPr>
          <w:spacing w:val="-2"/>
        </w:rPr>
        <w:t>dooms</w:t>
      </w:r>
      <w:r>
        <w:rPr>
          <w:spacing w:val="-17"/>
        </w:rPr>
        <w:t xml:space="preserve"> </w:t>
      </w:r>
      <w:r>
        <w:rPr>
          <w:spacing w:val="-2"/>
        </w:rPr>
        <w:t>to</w:t>
      </w:r>
      <w:r>
        <w:rPr>
          <w:spacing w:val="-17"/>
        </w:rPr>
        <w:t xml:space="preserve"> </w:t>
      </w:r>
      <w:r>
        <w:rPr>
          <w:spacing w:val="-2"/>
        </w:rPr>
        <w:t>frustration.</w:t>
      </w:r>
      <w:r>
        <w:rPr>
          <w:spacing w:val="-16"/>
        </w:rPr>
        <w:t xml:space="preserve"> </w:t>
      </w:r>
      <w:r>
        <w:rPr>
          <w:spacing w:val="-2"/>
        </w:rPr>
        <w:t>In</w:t>
      </w:r>
      <w:r>
        <w:rPr>
          <w:spacing w:val="-17"/>
        </w:rPr>
        <w:t xml:space="preserve"> </w:t>
      </w:r>
      <w:r>
        <w:rPr>
          <w:spacing w:val="-2"/>
        </w:rPr>
        <w:t>his</w:t>
      </w:r>
      <w:r>
        <w:rPr>
          <w:spacing w:val="-17"/>
        </w:rPr>
        <w:t xml:space="preserve"> </w:t>
      </w:r>
      <w:r>
        <w:rPr>
          <w:spacing w:val="-2"/>
        </w:rPr>
        <w:t>pre-addiction</w:t>
      </w:r>
      <w:r>
        <w:rPr>
          <w:spacing w:val="-17"/>
        </w:rPr>
        <w:t xml:space="preserve"> </w:t>
      </w:r>
      <w:r>
        <w:rPr>
          <w:spacing w:val="-2"/>
        </w:rPr>
        <w:t>days,</w:t>
      </w:r>
      <w:r>
        <w:rPr>
          <w:spacing w:val="-16"/>
        </w:rPr>
        <w:t xml:space="preserve"> </w:t>
      </w:r>
      <w:r>
        <w:rPr>
          <w:spacing w:val="-2"/>
        </w:rPr>
        <w:t>we</w:t>
      </w:r>
      <w:r>
        <w:rPr>
          <w:spacing w:val="-17"/>
        </w:rPr>
        <w:t xml:space="preserve"> </w:t>
      </w:r>
      <w:r>
        <w:rPr>
          <w:spacing w:val="-2"/>
        </w:rPr>
        <w:t>may</w:t>
      </w:r>
      <w:r>
        <w:rPr>
          <w:spacing w:val="-17"/>
        </w:rPr>
        <w:t xml:space="preserve"> </w:t>
      </w:r>
      <w:r>
        <w:rPr>
          <w:spacing w:val="-2"/>
        </w:rPr>
        <w:t xml:space="preserve">suppose, </w:t>
      </w:r>
      <w:r>
        <w:t>Smith</w:t>
      </w:r>
      <w:r>
        <w:rPr>
          <w:spacing w:val="-11"/>
        </w:rPr>
        <w:t xml:space="preserve"> </w:t>
      </w:r>
      <w:r>
        <w:t>enjoyed</w:t>
      </w:r>
      <w:r>
        <w:rPr>
          <w:spacing w:val="-11"/>
        </w:rPr>
        <w:t xml:space="preserve"> </w:t>
      </w:r>
      <w:r>
        <w:t>many</w:t>
      </w:r>
      <w:r>
        <w:rPr>
          <w:spacing w:val="-11"/>
        </w:rPr>
        <w:t xml:space="preserve"> </w:t>
      </w:r>
      <w:r>
        <w:t>things</w:t>
      </w:r>
      <w:r>
        <w:rPr>
          <w:spacing w:val="-11"/>
        </w:rPr>
        <w:t xml:space="preserve"> </w:t>
      </w:r>
      <w:r>
        <w:t>that</w:t>
      </w:r>
      <w:r>
        <w:rPr>
          <w:spacing w:val="-11"/>
        </w:rPr>
        <w:t xml:space="preserve"> </w:t>
      </w:r>
      <w:r>
        <w:t>he</w:t>
      </w:r>
      <w:r>
        <w:rPr>
          <w:spacing w:val="-11"/>
        </w:rPr>
        <w:t xml:space="preserve"> </w:t>
      </w:r>
      <w:r>
        <w:t>no</w:t>
      </w:r>
      <w:r>
        <w:rPr>
          <w:spacing w:val="-11"/>
        </w:rPr>
        <w:t xml:space="preserve"> </w:t>
      </w:r>
      <w:r>
        <w:t>longer</w:t>
      </w:r>
      <w:r>
        <w:rPr>
          <w:spacing w:val="-11"/>
        </w:rPr>
        <w:t xml:space="preserve"> </w:t>
      </w:r>
      <w:r>
        <w:t>enjoys.</w:t>
      </w:r>
      <w:r>
        <w:rPr>
          <w:spacing w:val="-15"/>
        </w:rPr>
        <w:t xml:space="preserve"> </w:t>
      </w:r>
      <w:r>
        <w:t>We</w:t>
      </w:r>
      <w:r>
        <w:rPr>
          <w:spacing w:val="-11"/>
        </w:rPr>
        <w:t xml:space="preserve"> </w:t>
      </w:r>
      <w:r>
        <w:t>can</w:t>
      </w:r>
      <w:r>
        <w:rPr>
          <w:spacing w:val="-11"/>
        </w:rPr>
        <w:t xml:space="preserve"> </w:t>
      </w:r>
      <w:r>
        <w:t>assume</w:t>
      </w:r>
      <w:r>
        <w:rPr>
          <w:spacing w:val="-11"/>
        </w:rPr>
        <w:t xml:space="preserve"> </w:t>
      </w:r>
      <w:r>
        <w:t>that he</w:t>
      </w:r>
      <w:r>
        <w:rPr>
          <w:spacing w:val="-19"/>
        </w:rPr>
        <w:t xml:space="preserve"> </w:t>
      </w:r>
      <w:r>
        <w:rPr>
          <w:i/>
        </w:rPr>
        <w:t>desired</w:t>
      </w:r>
      <w:r>
        <w:rPr>
          <w:i/>
          <w:spacing w:val="-19"/>
        </w:rPr>
        <w:t xml:space="preserve"> </w:t>
      </w:r>
      <w:r>
        <w:t>to</w:t>
      </w:r>
      <w:r>
        <w:rPr>
          <w:spacing w:val="-10"/>
        </w:rPr>
        <w:t xml:space="preserve"> </w:t>
      </w:r>
      <w:r>
        <w:t>do</w:t>
      </w:r>
      <w:r>
        <w:rPr>
          <w:spacing w:val="-7"/>
        </w:rPr>
        <w:t xml:space="preserve"> </w:t>
      </w:r>
      <w:r>
        <w:t>each</w:t>
      </w:r>
      <w:r>
        <w:rPr>
          <w:spacing w:val="-7"/>
        </w:rPr>
        <w:t xml:space="preserve"> </w:t>
      </w:r>
      <w:r>
        <w:t>of</w:t>
      </w:r>
      <w:r>
        <w:rPr>
          <w:spacing w:val="-7"/>
        </w:rPr>
        <w:t xml:space="preserve"> </w:t>
      </w:r>
      <w:r>
        <w:t>these</w:t>
      </w:r>
      <w:r>
        <w:rPr>
          <w:spacing w:val="-7"/>
        </w:rPr>
        <w:t xml:space="preserve"> </w:t>
      </w:r>
      <w:r>
        <w:t>things,</w:t>
      </w:r>
      <w:r>
        <w:rPr>
          <w:spacing w:val="-7"/>
        </w:rPr>
        <w:t xml:space="preserve"> </w:t>
      </w:r>
      <w:r>
        <w:t>and</w:t>
      </w:r>
      <w:r>
        <w:rPr>
          <w:spacing w:val="-7"/>
        </w:rPr>
        <w:t xml:space="preserve"> </w:t>
      </w:r>
      <w:r>
        <w:t>we</w:t>
      </w:r>
      <w:r>
        <w:rPr>
          <w:spacing w:val="-7"/>
        </w:rPr>
        <w:t xml:space="preserve"> </w:t>
      </w:r>
      <w:r>
        <w:t>can</w:t>
      </w:r>
      <w:r>
        <w:rPr>
          <w:spacing w:val="-7"/>
        </w:rPr>
        <w:t xml:space="preserve"> </w:t>
      </w:r>
      <w:r>
        <w:t>also</w:t>
      </w:r>
      <w:r>
        <w:rPr>
          <w:spacing w:val="-7"/>
        </w:rPr>
        <w:t xml:space="preserve"> </w:t>
      </w:r>
      <w:r>
        <w:t>assume</w:t>
      </w:r>
      <w:r>
        <w:rPr>
          <w:spacing w:val="-7"/>
        </w:rPr>
        <w:t xml:space="preserve"> </w:t>
      </w:r>
      <w:r>
        <w:t>that</w:t>
      </w:r>
      <w:r>
        <w:rPr>
          <w:spacing w:val="-7"/>
        </w:rPr>
        <w:t xml:space="preserve"> </w:t>
      </w:r>
      <w:r>
        <w:t>he</w:t>
      </w:r>
      <w:r>
        <w:rPr>
          <w:spacing w:val="-19"/>
        </w:rPr>
        <w:t xml:space="preserve"> </w:t>
      </w:r>
      <w:r>
        <w:rPr>
          <w:i/>
        </w:rPr>
        <w:t xml:space="preserve">still </w:t>
      </w:r>
      <w:r>
        <w:t>desires</w:t>
      </w:r>
      <w:r>
        <w:rPr>
          <w:spacing w:val="-19"/>
        </w:rPr>
        <w:t xml:space="preserve"> </w:t>
      </w:r>
      <w:r>
        <w:t>them,</w:t>
      </w:r>
      <w:r>
        <w:rPr>
          <w:spacing w:val="-19"/>
        </w:rPr>
        <w:t xml:space="preserve"> </w:t>
      </w:r>
      <w:r>
        <w:t>even</w:t>
      </w:r>
      <w:r>
        <w:rPr>
          <w:spacing w:val="-19"/>
        </w:rPr>
        <w:t xml:space="preserve"> </w:t>
      </w:r>
      <w:r>
        <w:t>though</w:t>
      </w:r>
      <w:r>
        <w:rPr>
          <w:spacing w:val="-18"/>
        </w:rPr>
        <w:t xml:space="preserve"> </w:t>
      </w:r>
      <w:r>
        <w:t>he</w:t>
      </w:r>
      <w:r>
        <w:rPr>
          <w:spacing w:val="-19"/>
        </w:rPr>
        <w:t xml:space="preserve"> </w:t>
      </w:r>
      <w:r>
        <w:t>obviously</w:t>
      </w:r>
      <w:r>
        <w:rPr>
          <w:spacing w:val="-19"/>
        </w:rPr>
        <w:t xml:space="preserve"> </w:t>
      </w:r>
      <w:r>
        <w:t>doesn’t</w:t>
      </w:r>
      <w:r>
        <w:rPr>
          <w:spacing w:val="-19"/>
        </w:rPr>
        <w:t xml:space="preserve"> </w:t>
      </w:r>
      <w:r>
        <w:t>desire</w:t>
      </w:r>
      <w:r>
        <w:rPr>
          <w:spacing w:val="-18"/>
        </w:rPr>
        <w:t xml:space="preserve"> </w:t>
      </w:r>
      <w:r>
        <w:t>them</w:t>
      </w:r>
      <w:r>
        <w:rPr>
          <w:spacing w:val="-19"/>
        </w:rPr>
        <w:t xml:space="preserve"> </w:t>
      </w:r>
      <w:r>
        <w:t>as</w:t>
      </w:r>
      <w:r>
        <w:rPr>
          <w:spacing w:val="-19"/>
        </w:rPr>
        <w:t xml:space="preserve"> </w:t>
      </w:r>
      <w:r>
        <w:t>strongly</w:t>
      </w:r>
      <w:r>
        <w:rPr>
          <w:spacing w:val="-19"/>
        </w:rPr>
        <w:t xml:space="preserve"> </w:t>
      </w:r>
      <w:r>
        <w:t>as he desires cocaine. Many desires are rooted in personality structures.</w:t>
      </w:r>
      <w:r>
        <w:rPr>
          <w:spacing w:val="-1"/>
        </w:rPr>
        <w:t xml:space="preserve"> </w:t>
      </w:r>
      <w:r>
        <w:t>A desire to play the piano or read Nietzsche doesn’t just overtake one; it’s rooted</w:t>
      </w:r>
      <w:r>
        <w:rPr>
          <w:spacing w:val="-19"/>
        </w:rPr>
        <w:t xml:space="preserve"> </w:t>
      </w:r>
      <w:r>
        <w:t>in</w:t>
      </w:r>
      <w:r>
        <w:rPr>
          <w:spacing w:val="-19"/>
        </w:rPr>
        <w:t xml:space="preserve"> </w:t>
      </w:r>
      <w:r>
        <w:t>enduring</w:t>
      </w:r>
      <w:r>
        <w:rPr>
          <w:spacing w:val="-19"/>
        </w:rPr>
        <w:t xml:space="preserve"> </w:t>
      </w:r>
      <w:r>
        <w:t>structural</w:t>
      </w:r>
      <w:r>
        <w:rPr>
          <w:spacing w:val="-18"/>
        </w:rPr>
        <w:t xml:space="preserve"> </w:t>
      </w:r>
      <w:r>
        <w:t>facts</w:t>
      </w:r>
      <w:r>
        <w:rPr>
          <w:spacing w:val="-19"/>
        </w:rPr>
        <w:t xml:space="preserve"> </w:t>
      </w:r>
      <w:r>
        <w:t>about</w:t>
      </w:r>
      <w:r>
        <w:rPr>
          <w:spacing w:val="-19"/>
        </w:rPr>
        <w:t xml:space="preserve"> </w:t>
      </w:r>
      <w:r>
        <w:t>one’s</w:t>
      </w:r>
      <w:r>
        <w:rPr>
          <w:spacing w:val="-19"/>
        </w:rPr>
        <w:t xml:space="preserve"> </w:t>
      </w:r>
      <w:r>
        <w:t>personality.</w:t>
      </w:r>
      <w:r>
        <w:rPr>
          <w:spacing w:val="-18"/>
        </w:rPr>
        <w:t xml:space="preserve"> </w:t>
      </w:r>
      <w:r>
        <w:t>And</w:t>
      </w:r>
      <w:r>
        <w:rPr>
          <w:spacing w:val="-19"/>
        </w:rPr>
        <w:t xml:space="preserve"> </w:t>
      </w:r>
      <w:r>
        <w:t>as</w:t>
      </w:r>
      <w:r>
        <w:rPr>
          <w:spacing w:val="-18"/>
        </w:rPr>
        <w:t xml:space="preserve"> </w:t>
      </w:r>
      <w:r>
        <w:t>long</w:t>
      </w:r>
      <w:r>
        <w:rPr>
          <w:spacing w:val="-17"/>
        </w:rPr>
        <w:t xml:space="preserve"> </w:t>
      </w:r>
      <w:r>
        <w:t>as the</w:t>
      </w:r>
      <w:r>
        <w:rPr>
          <w:spacing w:val="-7"/>
        </w:rPr>
        <w:t xml:space="preserve"> </w:t>
      </w:r>
      <w:r>
        <w:t>personality</w:t>
      </w:r>
      <w:r>
        <w:rPr>
          <w:spacing w:val="-7"/>
        </w:rPr>
        <w:t xml:space="preserve"> </w:t>
      </w:r>
      <w:r>
        <w:t>structure</w:t>
      </w:r>
      <w:r>
        <w:rPr>
          <w:spacing w:val="-7"/>
        </w:rPr>
        <w:t xml:space="preserve"> </w:t>
      </w:r>
      <w:r>
        <w:t>is</w:t>
      </w:r>
      <w:r>
        <w:rPr>
          <w:spacing w:val="-7"/>
        </w:rPr>
        <w:t xml:space="preserve"> </w:t>
      </w:r>
      <w:r>
        <w:t>there,</w:t>
      </w:r>
      <w:r>
        <w:rPr>
          <w:spacing w:val="-7"/>
        </w:rPr>
        <w:t xml:space="preserve"> </w:t>
      </w:r>
      <w:r>
        <w:t>one’s</w:t>
      </w:r>
      <w:r>
        <w:rPr>
          <w:spacing w:val="-7"/>
        </w:rPr>
        <w:t xml:space="preserve"> </w:t>
      </w:r>
      <w:r>
        <w:t>ability</w:t>
      </w:r>
      <w:r>
        <w:rPr>
          <w:spacing w:val="-7"/>
        </w:rPr>
        <w:t xml:space="preserve"> </w:t>
      </w:r>
      <w:r>
        <w:t>to</w:t>
      </w:r>
      <w:r>
        <w:rPr>
          <w:spacing w:val="-7"/>
        </w:rPr>
        <w:t xml:space="preserve"> </w:t>
      </w:r>
      <w:r>
        <w:t>express</w:t>
      </w:r>
      <w:r>
        <w:rPr>
          <w:spacing w:val="-7"/>
        </w:rPr>
        <w:t xml:space="preserve"> </w:t>
      </w:r>
      <w:r>
        <w:t>it</w:t>
      </w:r>
      <w:r>
        <w:rPr>
          <w:spacing w:val="-7"/>
        </w:rPr>
        <w:t xml:space="preserve"> </w:t>
      </w:r>
      <w:r>
        <w:t>in</w:t>
      </w:r>
      <w:r>
        <w:rPr>
          <w:spacing w:val="-7"/>
        </w:rPr>
        <w:t xml:space="preserve"> </w:t>
      </w:r>
      <w:r>
        <w:t>the</w:t>
      </w:r>
      <w:r>
        <w:rPr>
          <w:spacing w:val="-7"/>
        </w:rPr>
        <w:t xml:space="preserve"> </w:t>
      </w:r>
      <w:r>
        <w:t>form</w:t>
      </w:r>
      <w:r>
        <w:rPr>
          <w:spacing w:val="-7"/>
        </w:rPr>
        <w:t xml:space="preserve"> </w:t>
      </w:r>
      <w:r>
        <w:t xml:space="preserve">of action is, practically by definition, a form of frustration. Smith’s </w:t>
      </w:r>
      <w:r>
        <w:rPr>
          <w:spacing w:val="-2"/>
        </w:rPr>
        <w:t>personality</w:t>
      </w:r>
      <w:r>
        <w:rPr>
          <w:spacing w:val="-16"/>
        </w:rPr>
        <w:t xml:space="preserve"> </w:t>
      </w:r>
      <w:r>
        <w:rPr>
          <w:spacing w:val="-2"/>
        </w:rPr>
        <w:t>structure</w:t>
      </w:r>
      <w:r>
        <w:rPr>
          <w:spacing w:val="-16"/>
        </w:rPr>
        <w:t xml:space="preserve"> </w:t>
      </w:r>
      <w:r>
        <w:rPr>
          <w:spacing w:val="-2"/>
        </w:rPr>
        <w:t>may</w:t>
      </w:r>
      <w:r>
        <w:rPr>
          <w:spacing w:val="-16"/>
        </w:rPr>
        <w:t xml:space="preserve"> </w:t>
      </w:r>
      <w:r>
        <w:rPr>
          <w:spacing w:val="-2"/>
        </w:rPr>
        <w:t>still</w:t>
      </w:r>
      <w:r>
        <w:rPr>
          <w:spacing w:val="-16"/>
        </w:rPr>
        <w:t xml:space="preserve"> </w:t>
      </w:r>
      <w:r>
        <w:rPr>
          <w:spacing w:val="-2"/>
        </w:rPr>
        <w:t>support</w:t>
      </w:r>
      <w:r>
        <w:rPr>
          <w:spacing w:val="-16"/>
        </w:rPr>
        <w:t xml:space="preserve"> </w:t>
      </w:r>
      <w:r>
        <w:rPr>
          <w:spacing w:val="-2"/>
        </w:rPr>
        <w:t>those</w:t>
      </w:r>
      <w:r>
        <w:rPr>
          <w:spacing w:val="-16"/>
        </w:rPr>
        <w:t xml:space="preserve"> </w:t>
      </w:r>
      <w:r>
        <w:rPr>
          <w:spacing w:val="-2"/>
        </w:rPr>
        <w:t>desires.</w:t>
      </w:r>
      <w:r>
        <w:rPr>
          <w:spacing w:val="-16"/>
        </w:rPr>
        <w:t xml:space="preserve"> </w:t>
      </w:r>
      <w:r>
        <w:rPr>
          <w:spacing w:val="-2"/>
        </w:rPr>
        <w:t>(And</w:t>
      </w:r>
      <w:r>
        <w:rPr>
          <w:spacing w:val="-16"/>
        </w:rPr>
        <w:t xml:space="preserve"> </w:t>
      </w:r>
      <w:r>
        <w:rPr>
          <w:spacing w:val="-2"/>
        </w:rPr>
        <w:t>almost</w:t>
      </w:r>
      <w:r>
        <w:rPr>
          <w:spacing w:val="-16"/>
        </w:rPr>
        <w:t xml:space="preserve"> </w:t>
      </w:r>
      <w:r>
        <w:rPr>
          <w:spacing w:val="-2"/>
        </w:rPr>
        <w:t xml:space="preserve">certainly </w:t>
      </w:r>
      <w:r>
        <w:t>will.</w:t>
      </w:r>
      <w:r>
        <w:rPr>
          <w:spacing w:val="-17"/>
        </w:rPr>
        <w:t xml:space="preserve"> </w:t>
      </w:r>
      <w:r>
        <w:t>Addiction</w:t>
      </w:r>
      <w:r>
        <w:rPr>
          <w:spacing w:val="-4"/>
        </w:rPr>
        <w:t xml:space="preserve"> </w:t>
      </w:r>
      <w:r>
        <w:t>doesn’t</w:t>
      </w:r>
      <w:r>
        <w:rPr>
          <w:spacing w:val="-5"/>
        </w:rPr>
        <w:t xml:space="preserve"> </w:t>
      </w:r>
      <w:r>
        <w:t>turn</w:t>
      </w:r>
      <w:r>
        <w:rPr>
          <w:spacing w:val="-4"/>
        </w:rPr>
        <w:t xml:space="preserve"> </w:t>
      </w:r>
      <w:r>
        <w:t>people</w:t>
      </w:r>
      <w:r>
        <w:rPr>
          <w:spacing w:val="-4"/>
        </w:rPr>
        <w:t xml:space="preserve"> </w:t>
      </w:r>
      <w:r>
        <w:t>into</w:t>
      </w:r>
      <w:r>
        <w:rPr>
          <w:spacing w:val="-4"/>
        </w:rPr>
        <w:t xml:space="preserve"> </w:t>
      </w:r>
      <w:r>
        <w:t>complete</w:t>
      </w:r>
      <w:r>
        <w:rPr>
          <w:spacing w:val="-4"/>
        </w:rPr>
        <w:t xml:space="preserve"> </w:t>
      </w:r>
      <w:r>
        <w:t>vegetables,</w:t>
      </w:r>
      <w:r>
        <w:rPr>
          <w:spacing w:val="-4"/>
        </w:rPr>
        <w:t xml:space="preserve"> </w:t>
      </w:r>
      <w:r>
        <w:t>at</w:t>
      </w:r>
      <w:r>
        <w:rPr>
          <w:spacing w:val="-5"/>
        </w:rPr>
        <w:t xml:space="preserve"> </w:t>
      </w:r>
      <w:r>
        <w:t>least</w:t>
      </w:r>
      <w:r>
        <w:rPr>
          <w:spacing w:val="-5"/>
        </w:rPr>
        <w:t xml:space="preserve"> </w:t>
      </w:r>
      <w:r>
        <w:t>not right</w:t>
      </w:r>
      <w:r>
        <w:rPr>
          <w:spacing w:val="-19"/>
        </w:rPr>
        <w:t xml:space="preserve"> </w:t>
      </w:r>
      <w:r>
        <w:t>away,</w:t>
      </w:r>
      <w:r>
        <w:rPr>
          <w:spacing w:val="-19"/>
        </w:rPr>
        <w:t xml:space="preserve"> </w:t>
      </w:r>
      <w:r>
        <w:t>and</w:t>
      </w:r>
      <w:r>
        <w:rPr>
          <w:spacing w:val="-19"/>
        </w:rPr>
        <w:t xml:space="preserve"> </w:t>
      </w:r>
      <w:r>
        <w:t>usually</w:t>
      </w:r>
      <w:r>
        <w:rPr>
          <w:spacing w:val="-18"/>
        </w:rPr>
        <w:t xml:space="preserve"> </w:t>
      </w:r>
      <w:r>
        <w:t>not</w:t>
      </w:r>
      <w:r>
        <w:rPr>
          <w:spacing w:val="-19"/>
        </w:rPr>
        <w:t xml:space="preserve"> </w:t>
      </w:r>
      <w:r>
        <w:t>ever.)</w:t>
      </w:r>
      <w:r>
        <w:rPr>
          <w:spacing w:val="-19"/>
        </w:rPr>
        <w:t xml:space="preserve"> </w:t>
      </w:r>
      <w:r>
        <w:t>It</w:t>
      </w:r>
      <w:r>
        <w:rPr>
          <w:spacing w:val="-19"/>
        </w:rPr>
        <w:t xml:space="preserve"> </w:t>
      </w:r>
      <w:r>
        <w:t>could</w:t>
      </w:r>
      <w:r>
        <w:rPr>
          <w:spacing w:val="-18"/>
        </w:rPr>
        <w:t xml:space="preserve"> </w:t>
      </w:r>
      <w:r>
        <w:t>be</w:t>
      </w:r>
      <w:r>
        <w:rPr>
          <w:spacing w:val="-19"/>
        </w:rPr>
        <w:t xml:space="preserve"> </w:t>
      </w:r>
      <w:r>
        <w:t>that</w:t>
      </w:r>
      <w:r>
        <w:rPr>
          <w:spacing w:val="-19"/>
        </w:rPr>
        <w:t xml:space="preserve"> </w:t>
      </w:r>
      <w:r>
        <w:t>Smith</w:t>
      </w:r>
      <w:r>
        <w:rPr>
          <w:spacing w:val="-19"/>
        </w:rPr>
        <w:t xml:space="preserve"> </w:t>
      </w:r>
      <w:r>
        <w:rPr>
          <w:i/>
        </w:rPr>
        <w:t>thinks</w:t>
      </w:r>
      <w:r>
        <w:rPr>
          <w:i/>
          <w:spacing w:val="-18"/>
        </w:rPr>
        <w:t xml:space="preserve"> </w:t>
      </w:r>
      <w:r>
        <w:t>it</w:t>
      </w:r>
      <w:r>
        <w:rPr>
          <w:spacing w:val="-17"/>
        </w:rPr>
        <w:t xml:space="preserve"> </w:t>
      </w:r>
      <w:r>
        <w:t>would</w:t>
      </w:r>
      <w:r>
        <w:rPr>
          <w:spacing w:val="-13"/>
        </w:rPr>
        <w:t xml:space="preserve"> </w:t>
      </w:r>
      <w:r>
        <w:t>be greater.</w:t>
      </w:r>
      <w:r>
        <w:rPr>
          <w:spacing w:val="79"/>
        </w:rPr>
        <w:t xml:space="preserve"> </w:t>
      </w:r>
      <w:r>
        <w:t>But</w:t>
      </w:r>
      <w:r>
        <w:rPr>
          <w:spacing w:val="80"/>
        </w:rPr>
        <w:t xml:space="preserve"> </w:t>
      </w:r>
      <w:r>
        <w:t>it’s</w:t>
      </w:r>
      <w:r>
        <w:rPr>
          <w:spacing w:val="79"/>
        </w:rPr>
        <w:t xml:space="preserve"> </w:t>
      </w:r>
      <w:r>
        <w:t>not</w:t>
      </w:r>
      <w:r>
        <w:rPr>
          <w:spacing w:val="43"/>
          <w:w w:val="150"/>
        </w:rPr>
        <w:t xml:space="preserve"> </w:t>
      </w:r>
      <w:r>
        <w:t>so</w:t>
      </w:r>
      <w:r>
        <w:rPr>
          <w:spacing w:val="42"/>
          <w:w w:val="150"/>
        </w:rPr>
        <w:t xml:space="preserve"> </w:t>
      </w:r>
      <w:r>
        <w:t>clear</w:t>
      </w:r>
      <w:r>
        <w:rPr>
          <w:spacing w:val="43"/>
          <w:w w:val="150"/>
        </w:rPr>
        <w:t xml:space="preserve"> </w:t>
      </w:r>
      <w:r>
        <w:t>that</w:t>
      </w:r>
      <w:r>
        <w:rPr>
          <w:spacing w:val="42"/>
          <w:w w:val="150"/>
        </w:rPr>
        <w:t xml:space="preserve"> </w:t>
      </w:r>
      <w:r>
        <w:t>it</w:t>
      </w:r>
      <w:r>
        <w:rPr>
          <w:spacing w:val="43"/>
          <w:w w:val="150"/>
        </w:rPr>
        <w:t xml:space="preserve"> </w:t>
      </w:r>
      <w:r>
        <w:t>would</w:t>
      </w:r>
      <w:r>
        <w:rPr>
          <w:spacing w:val="42"/>
          <w:w w:val="150"/>
        </w:rPr>
        <w:t xml:space="preserve"> </w:t>
      </w:r>
      <w:r>
        <w:t>in</w:t>
      </w:r>
      <w:r>
        <w:rPr>
          <w:spacing w:val="43"/>
          <w:w w:val="150"/>
        </w:rPr>
        <w:t xml:space="preserve"> </w:t>
      </w:r>
      <w:r>
        <w:t>fact</w:t>
      </w:r>
      <w:r>
        <w:rPr>
          <w:spacing w:val="79"/>
        </w:rPr>
        <w:t xml:space="preserve"> </w:t>
      </w:r>
      <w:r>
        <w:t>be</w:t>
      </w:r>
      <w:r>
        <w:rPr>
          <w:spacing w:val="43"/>
          <w:w w:val="150"/>
        </w:rPr>
        <w:t xml:space="preserve"> </w:t>
      </w:r>
      <w:r>
        <w:t>greater.</w:t>
      </w:r>
      <w:r>
        <w:rPr>
          <w:spacing w:val="75"/>
        </w:rPr>
        <w:t xml:space="preserve"> </w:t>
      </w:r>
      <w:r>
        <w:rPr>
          <w:spacing w:val="-5"/>
        </w:rPr>
        <w:t>The</w:t>
      </w:r>
    </w:p>
    <w:p w14:paraId="7E001CB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BD" w14:textId="77777777" w:rsidR="009A58DB" w:rsidRDefault="00000000">
      <w:pPr>
        <w:pStyle w:val="BodyText"/>
        <w:spacing w:before="65" w:line="249" w:lineRule="auto"/>
        <w:ind w:left="720" w:right="662"/>
      </w:pPr>
      <w:r>
        <w:lastRenderedPageBreak/>
        <w:t xml:space="preserve">phenomenological expression of that frustration would be more intense. that doesn’t necessarily mean that the desire in question is itself more intense. But that doesn’t necessarily mean that the desire in question is itself more intense. Desires, even short-lived ones, are structures; they </w:t>
      </w:r>
      <w:r>
        <w:rPr>
          <w:spacing w:val="10"/>
        </w:rPr>
        <w:t>aren’t</w:t>
      </w:r>
      <w:r>
        <w:rPr>
          <w:spacing w:val="-14"/>
        </w:rPr>
        <w:t xml:space="preserve"> </w:t>
      </w:r>
      <w:r>
        <w:rPr>
          <w:i/>
        </w:rPr>
        <w:t>feelings.</w:t>
      </w:r>
      <w:r>
        <w:rPr>
          <w:i/>
          <w:spacing w:val="-13"/>
        </w:rPr>
        <w:t xml:space="preserve"> </w:t>
      </w:r>
      <w:r>
        <w:t>And the feelings to which a desire gives rise don’t necessarily</w:t>
      </w:r>
      <w:r>
        <w:rPr>
          <w:spacing w:val="-13"/>
        </w:rPr>
        <w:t xml:space="preserve"> </w:t>
      </w:r>
      <w:r>
        <w:t>make</w:t>
      </w:r>
      <w:r>
        <w:rPr>
          <w:spacing w:val="-13"/>
        </w:rPr>
        <w:t xml:space="preserve"> </w:t>
      </w:r>
      <w:r>
        <w:t>it</w:t>
      </w:r>
      <w:r>
        <w:rPr>
          <w:spacing w:val="-14"/>
        </w:rPr>
        <w:t xml:space="preserve"> </w:t>
      </w:r>
      <w:r>
        <w:t>clear</w:t>
      </w:r>
      <w:r>
        <w:rPr>
          <w:spacing w:val="-14"/>
        </w:rPr>
        <w:t xml:space="preserve"> </w:t>
      </w:r>
      <w:r>
        <w:t>how</w:t>
      </w:r>
      <w:r>
        <w:rPr>
          <w:spacing w:val="-14"/>
        </w:rPr>
        <w:t xml:space="preserve"> </w:t>
      </w:r>
      <w:r>
        <w:t>intense</w:t>
      </w:r>
      <w:r>
        <w:rPr>
          <w:spacing w:val="-13"/>
        </w:rPr>
        <w:t xml:space="preserve"> </w:t>
      </w:r>
      <w:r>
        <w:t>that</w:t>
      </w:r>
      <w:r>
        <w:rPr>
          <w:spacing w:val="-14"/>
        </w:rPr>
        <w:t xml:space="preserve"> </w:t>
      </w:r>
      <w:r>
        <w:t>desire</w:t>
      </w:r>
      <w:r>
        <w:rPr>
          <w:spacing w:val="-13"/>
        </w:rPr>
        <w:t xml:space="preserve"> </w:t>
      </w:r>
      <w:r>
        <w:t>really</w:t>
      </w:r>
      <w:r>
        <w:rPr>
          <w:spacing w:val="-13"/>
        </w:rPr>
        <w:t xml:space="preserve"> </w:t>
      </w:r>
      <w:r>
        <w:t>is.</w:t>
      </w:r>
    </w:p>
    <w:p w14:paraId="7E001CBE" w14:textId="77777777" w:rsidR="009A58DB" w:rsidRDefault="009A58DB">
      <w:pPr>
        <w:pStyle w:val="BodyText"/>
        <w:spacing w:before="22"/>
        <w:ind w:left="0"/>
        <w:jc w:val="left"/>
      </w:pPr>
    </w:p>
    <w:p w14:paraId="7E001CBF" w14:textId="77777777" w:rsidR="009A58DB" w:rsidRDefault="00000000">
      <w:pPr>
        <w:pStyle w:val="BodyText"/>
        <w:spacing w:line="249" w:lineRule="auto"/>
        <w:ind w:right="359" w:firstLine="360"/>
      </w:pPr>
      <w:r>
        <w:t>FD is close to the truth, but it falls just short. Another story shows why. Aaronson</w:t>
      </w:r>
      <w:r>
        <w:rPr>
          <w:spacing w:val="-9"/>
        </w:rPr>
        <w:t xml:space="preserve"> </w:t>
      </w:r>
      <w:r>
        <w:t>is</w:t>
      </w:r>
      <w:r>
        <w:rPr>
          <w:spacing w:val="-9"/>
        </w:rPr>
        <w:t xml:space="preserve"> </w:t>
      </w:r>
      <w:r>
        <w:t>a</w:t>
      </w:r>
      <w:r>
        <w:rPr>
          <w:spacing w:val="-9"/>
        </w:rPr>
        <w:t xml:space="preserve"> </w:t>
      </w:r>
      <w:r>
        <w:t>coward</w:t>
      </w:r>
      <w:r>
        <w:rPr>
          <w:spacing w:val="-9"/>
        </w:rPr>
        <w:t xml:space="preserve"> </w:t>
      </w:r>
      <w:r>
        <w:t>who</w:t>
      </w:r>
      <w:r>
        <w:rPr>
          <w:spacing w:val="-9"/>
        </w:rPr>
        <w:t xml:space="preserve"> </w:t>
      </w:r>
      <w:r>
        <w:t>has</w:t>
      </w:r>
      <w:r>
        <w:rPr>
          <w:spacing w:val="-9"/>
        </w:rPr>
        <w:t xml:space="preserve"> </w:t>
      </w:r>
      <w:r>
        <w:t>no</w:t>
      </w:r>
      <w:r>
        <w:rPr>
          <w:spacing w:val="-9"/>
        </w:rPr>
        <w:t xml:space="preserve"> </w:t>
      </w:r>
      <w:r>
        <w:t>self-confidence.</w:t>
      </w:r>
      <w:r>
        <w:rPr>
          <w:spacing w:val="-9"/>
        </w:rPr>
        <w:t xml:space="preserve"> </w:t>
      </w:r>
      <w:r>
        <w:t>So</w:t>
      </w:r>
      <w:r>
        <w:rPr>
          <w:spacing w:val="-9"/>
        </w:rPr>
        <w:t xml:space="preserve"> </w:t>
      </w:r>
      <w:r>
        <w:t>even</w:t>
      </w:r>
      <w:r>
        <w:rPr>
          <w:spacing w:val="-9"/>
        </w:rPr>
        <w:t xml:space="preserve"> </w:t>
      </w:r>
      <w:r>
        <w:t>though</w:t>
      </w:r>
      <w:r>
        <w:rPr>
          <w:spacing w:val="-9"/>
        </w:rPr>
        <w:t xml:space="preserve"> </w:t>
      </w:r>
      <w:r>
        <w:t>he</w:t>
      </w:r>
      <w:r>
        <w:rPr>
          <w:spacing w:val="-9"/>
        </w:rPr>
        <w:t xml:space="preserve"> </w:t>
      </w:r>
      <w:r>
        <w:t>wants</w:t>
      </w:r>
      <w:r>
        <w:rPr>
          <w:spacing w:val="-9"/>
        </w:rPr>
        <w:t xml:space="preserve"> </w:t>
      </w:r>
      <w:r>
        <w:t>to write novels and is extremely talented at it, he doesn’t do so. It isn’t safe enough.</w:t>
      </w:r>
      <w:r>
        <w:rPr>
          <w:spacing w:val="-8"/>
        </w:rPr>
        <w:t xml:space="preserve"> </w:t>
      </w:r>
      <w:r>
        <w:t>It’s</w:t>
      </w:r>
      <w:r>
        <w:rPr>
          <w:spacing w:val="-8"/>
        </w:rPr>
        <w:t xml:space="preserve"> </w:t>
      </w:r>
      <w:r>
        <w:t>too</w:t>
      </w:r>
      <w:r>
        <w:rPr>
          <w:spacing w:val="-8"/>
        </w:rPr>
        <w:t xml:space="preserve"> </w:t>
      </w:r>
      <w:r>
        <w:t>bohemian</w:t>
      </w:r>
      <w:r>
        <w:rPr>
          <w:spacing w:val="-8"/>
        </w:rPr>
        <w:t xml:space="preserve"> </w:t>
      </w:r>
      <w:r>
        <w:t>for</w:t>
      </w:r>
      <w:r>
        <w:rPr>
          <w:spacing w:val="-8"/>
        </w:rPr>
        <w:t xml:space="preserve"> </w:t>
      </w:r>
      <w:r>
        <w:t>his</w:t>
      </w:r>
      <w:r>
        <w:rPr>
          <w:spacing w:val="-8"/>
        </w:rPr>
        <w:t xml:space="preserve"> </w:t>
      </w:r>
      <w:r>
        <w:t>stodgy,</w:t>
      </w:r>
      <w:r>
        <w:rPr>
          <w:spacing w:val="-8"/>
        </w:rPr>
        <w:t xml:space="preserve"> </w:t>
      </w:r>
      <w:r>
        <w:t>blinkered</w:t>
      </w:r>
      <w:r>
        <w:rPr>
          <w:spacing w:val="-8"/>
        </w:rPr>
        <w:t xml:space="preserve"> </w:t>
      </w:r>
      <w:r>
        <w:t>parents</w:t>
      </w:r>
      <w:r>
        <w:rPr>
          <w:spacing w:val="-8"/>
        </w:rPr>
        <w:t xml:space="preserve"> </w:t>
      </w:r>
      <w:r>
        <w:t>and</w:t>
      </w:r>
      <w:r>
        <w:rPr>
          <w:spacing w:val="-8"/>
        </w:rPr>
        <w:t xml:space="preserve"> </w:t>
      </w:r>
      <w:r>
        <w:t>for</w:t>
      </w:r>
      <w:r>
        <w:rPr>
          <w:spacing w:val="-8"/>
        </w:rPr>
        <w:t xml:space="preserve"> </w:t>
      </w:r>
      <w:r>
        <w:t>his</w:t>
      </w:r>
      <w:r>
        <w:rPr>
          <w:spacing w:val="-8"/>
        </w:rPr>
        <w:t xml:space="preserve"> </w:t>
      </w:r>
      <w:r>
        <w:t>equally stodgy</w:t>
      </w:r>
      <w:r>
        <w:rPr>
          <w:spacing w:val="-2"/>
        </w:rPr>
        <w:t xml:space="preserve"> </w:t>
      </w:r>
      <w:r>
        <w:t>friends</w:t>
      </w:r>
      <w:r>
        <w:rPr>
          <w:spacing w:val="-2"/>
        </w:rPr>
        <w:t xml:space="preserve"> </w:t>
      </w:r>
      <w:r>
        <w:t>(who</w:t>
      </w:r>
      <w:r>
        <w:rPr>
          <w:spacing w:val="-2"/>
        </w:rPr>
        <w:t xml:space="preserve"> </w:t>
      </w:r>
      <w:r>
        <w:t>he</w:t>
      </w:r>
      <w:r>
        <w:rPr>
          <w:spacing w:val="-2"/>
        </w:rPr>
        <w:t xml:space="preserve"> </w:t>
      </w:r>
      <w:r>
        <w:t>doesn’t</w:t>
      </w:r>
      <w:r>
        <w:rPr>
          <w:spacing w:val="-2"/>
        </w:rPr>
        <w:t xml:space="preserve"> </w:t>
      </w:r>
      <w:r>
        <w:t>even</w:t>
      </w:r>
      <w:r>
        <w:rPr>
          <w:spacing w:val="-2"/>
        </w:rPr>
        <w:t xml:space="preserve"> </w:t>
      </w:r>
      <w:r>
        <w:t>like—he</w:t>
      </w:r>
      <w:r>
        <w:rPr>
          <w:spacing w:val="-2"/>
        </w:rPr>
        <w:t xml:space="preserve"> </w:t>
      </w:r>
      <w:r>
        <w:t>just</w:t>
      </w:r>
      <w:r>
        <w:rPr>
          <w:spacing w:val="-2"/>
        </w:rPr>
        <w:t xml:space="preserve"> </w:t>
      </w:r>
      <w:r>
        <w:t>pretends</w:t>
      </w:r>
      <w:r>
        <w:rPr>
          <w:spacing w:val="-2"/>
        </w:rPr>
        <w:t xml:space="preserve"> </w:t>
      </w:r>
      <w:r>
        <w:t>to</w:t>
      </w:r>
      <w:r>
        <w:rPr>
          <w:spacing w:val="-2"/>
        </w:rPr>
        <w:t xml:space="preserve"> </w:t>
      </w:r>
      <w:r>
        <w:t>like</w:t>
      </w:r>
      <w:r>
        <w:rPr>
          <w:spacing w:val="-2"/>
        </w:rPr>
        <w:t xml:space="preserve"> </w:t>
      </w:r>
      <w:r>
        <w:t>them,</w:t>
      </w:r>
      <w:r>
        <w:rPr>
          <w:spacing w:val="-2"/>
        </w:rPr>
        <w:t xml:space="preserve"> </w:t>
      </w:r>
      <w:r>
        <w:t>since he’s</w:t>
      </w:r>
      <w:r>
        <w:rPr>
          <w:spacing w:val="-12"/>
        </w:rPr>
        <w:t xml:space="preserve"> </w:t>
      </w:r>
      <w:r>
        <w:t>supposed</w:t>
      </w:r>
      <w:r>
        <w:rPr>
          <w:spacing w:val="-10"/>
        </w:rPr>
        <w:t xml:space="preserve"> </w:t>
      </w:r>
      <w:r>
        <w:t>to).</w:t>
      </w:r>
      <w:r>
        <w:rPr>
          <w:spacing w:val="-13"/>
        </w:rPr>
        <w:t xml:space="preserve"> </w:t>
      </w:r>
      <w:r>
        <w:t>To</w:t>
      </w:r>
      <w:r>
        <w:rPr>
          <w:spacing w:val="-10"/>
        </w:rPr>
        <w:t xml:space="preserve"> </w:t>
      </w:r>
      <w:r>
        <w:t>make</w:t>
      </w:r>
      <w:r>
        <w:rPr>
          <w:spacing w:val="-10"/>
        </w:rPr>
        <w:t xml:space="preserve"> </w:t>
      </w:r>
      <w:r>
        <w:t>a</w:t>
      </w:r>
      <w:r>
        <w:rPr>
          <w:spacing w:val="-10"/>
        </w:rPr>
        <w:t xml:space="preserve"> </w:t>
      </w:r>
      <w:r>
        <w:t>living,</w:t>
      </w:r>
      <w:r>
        <w:rPr>
          <w:spacing w:val="-19"/>
        </w:rPr>
        <w:t xml:space="preserve"> </w:t>
      </w:r>
      <w:r>
        <w:t>Aaronson</w:t>
      </w:r>
      <w:r>
        <w:rPr>
          <w:spacing w:val="-10"/>
        </w:rPr>
        <w:t xml:space="preserve"> </w:t>
      </w:r>
      <w:r>
        <w:t>sells</w:t>
      </w:r>
      <w:r>
        <w:rPr>
          <w:spacing w:val="-10"/>
        </w:rPr>
        <w:t xml:space="preserve"> </w:t>
      </w:r>
      <w:r>
        <w:t>insurance,</w:t>
      </w:r>
      <w:r>
        <w:rPr>
          <w:spacing w:val="-10"/>
        </w:rPr>
        <w:t xml:space="preserve"> </w:t>
      </w:r>
      <w:r>
        <w:t>which</w:t>
      </w:r>
      <w:r>
        <w:rPr>
          <w:spacing w:val="-10"/>
        </w:rPr>
        <w:t xml:space="preserve"> </w:t>
      </w:r>
      <w:r>
        <w:t>he</w:t>
      </w:r>
      <w:r>
        <w:rPr>
          <w:spacing w:val="-10"/>
        </w:rPr>
        <w:t xml:space="preserve"> </w:t>
      </w:r>
      <w:r>
        <w:t>hates. His life is a waking death.</w:t>
      </w:r>
    </w:p>
    <w:p w14:paraId="7E001CC0" w14:textId="77777777" w:rsidR="009A58DB" w:rsidRDefault="00000000">
      <w:pPr>
        <w:pStyle w:val="BodyText"/>
        <w:spacing w:before="9" w:line="249" w:lineRule="auto"/>
        <w:ind w:right="360" w:firstLine="360"/>
      </w:pPr>
      <w:r>
        <w:t>In</w:t>
      </w:r>
      <w:r>
        <w:rPr>
          <w:spacing w:val="-16"/>
        </w:rPr>
        <w:t xml:space="preserve"> </w:t>
      </w:r>
      <w:r>
        <w:t>living</w:t>
      </w:r>
      <w:r>
        <w:rPr>
          <w:spacing w:val="-12"/>
        </w:rPr>
        <w:t xml:space="preserve"> </w:t>
      </w:r>
      <w:r>
        <w:t>as</w:t>
      </w:r>
      <w:r>
        <w:rPr>
          <w:spacing w:val="-12"/>
        </w:rPr>
        <w:t xml:space="preserve"> </w:t>
      </w:r>
      <w:r>
        <w:t>others</w:t>
      </w:r>
      <w:r>
        <w:rPr>
          <w:spacing w:val="-12"/>
        </w:rPr>
        <w:t xml:space="preserve"> </w:t>
      </w:r>
      <w:r>
        <w:t>want</w:t>
      </w:r>
      <w:r>
        <w:rPr>
          <w:spacing w:val="-12"/>
        </w:rPr>
        <w:t xml:space="preserve"> </w:t>
      </w:r>
      <w:r>
        <w:t>him</w:t>
      </w:r>
      <w:r>
        <w:rPr>
          <w:spacing w:val="-12"/>
        </w:rPr>
        <w:t xml:space="preserve"> </w:t>
      </w:r>
      <w:r>
        <w:t>to,</w:t>
      </w:r>
      <w:r>
        <w:rPr>
          <w:spacing w:val="-12"/>
        </w:rPr>
        <w:t xml:space="preserve"> </w:t>
      </w:r>
      <w:r>
        <w:t>Smith</w:t>
      </w:r>
      <w:r>
        <w:rPr>
          <w:spacing w:val="-12"/>
        </w:rPr>
        <w:t xml:space="preserve"> </w:t>
      </w:r>
      <w:r>
        <w:t>is</w:t>
      </w:r>
      <w:r>
        <w:rPr>
          <w:spacing w:val="-12"/>
        </w:rPr>
        <w:t xml:space="preserve"> </w:t>
      </w:r>
      <w:r>
        <w:t>surrendering</w:t>
      </w:r>
      <w:r>
        <w:rPr>
          <w:spacing w:val="-12"/>
        </w:rPr>
        <w:t xml:space="preserve"> </w:t>
      </w:r>
      <w:r>
        <w:t>his</w:t>
      </w:r>
      <w:r>
        <w:rPr>
          <w:spacing w:val="-12"/>
        </w:rPr>
        <w:t xml:space="preserve"> </w:t>
      </w:r>
      <w:r>
        <w:t>freedom,</w:t>
      </w:r>
      <w:r>
        <w:rPr>
          <w:spacing w:val="-19"/>
        </w:rPr>
        <w:t xml:space="preserve"> </w:t>
      </w:r>
      <w:r>
        <w:rPr>
          <w:i/>
        </w:rPr>
        <w:t>and</w:t>
      </w:r>
      <w:r>
        <w:rPr>
          <w:i/>
          <w:spacing w:val="-19"/>
        </w:rPr>
        <w:t xml:space="preserve"> </w:t>
      </w:r>
      <w:r>
        <w:t>he</w:t>
      </w:r>
      <w:r>
        <w:rPr>
          <w:spacing w:val="-9"/>
        </w:rPr>
        <w:t xml:space="preserve"> </w:t>
      </w:r>
      <w:r>
        <w:t>is also dooming many desires of his to frustration. But the two, though related, aren’t identical. Aaronson is suppressing an important side</w:t>
      </w:r>
      <w:r>
        <w:rPr>
          <w:spacing w:val="-19"/>
        </w:rPr>
        <w:t xml:space="preserve"> </w:t>
      </w:r>
      <w:r>
        <w:t xml:space="preserve">of himself. The personality structures that he is suppressing </w:t>
      </w:r>
      <w:r>
        <w:rPr>
          <w:i/>
        </w:rPr>
        <w:t xml:space="preserve">give rise </w:t>
      </w:r>
      <w:r>
        <w:t xml:space="preserve">to many ardent desires, but they aren’t </w:t>
      </w:r>
      <w:r>
        <w:rPr>
          <w:i/>
        </w:rPr>
        <w:t>identical</w:t>
      </w:r>
      <w:r>
        <w:rPr>
          <w:i/>
          <w:spacing w:val="-4"/>
        </w:rPr>
        <w:t xml:space="preserve"> </w:t>
      </w:r>
      <w:r>
        <w:t>with such desires. His losing his freedom consists in his suppressing these structures. The desire frustration that follows is an</w:t>
      </w:r>
      <w:r>
        <w:rPr>
          <w:spacing w:val="40"/>
        </w:rPr>
        <w:t xml:space="preserve"> </w:t>
      </w:r>
      <w:r>
        <w:rPr>
          <w:i/>
        </w:rPr>
        <w:t xml:space="preserve">effect </w:t>
      </w:r>
      <w:r>
        <w:t xml:space="preserve">of this loss of freedom and isn’t </w:t>
      </w:r>
      <w:r>
        <w:rPr>
          <w:i/>
        </w:rPr>
        <w:t xml:space="preserve">identical </w:t>
      </w:r>
      <w:r>
        <w:t>with it.</w:t>
      </w:r>
    </w:p>
    <w:p w14:paraId="7E001CC1" w14:textId="77777777" w:rsidR="009A58DB" w:rsidRDefault="00000000">
      <w:pPr>
        <w:pStyle w:val="BodyText"/>
        <w:spacing w:before="8" w:line="249" w:lineRule="auto"/>
        <w:ind w:right="360" w:firstLine="360"/>
      </w:pPr>
      <w:r>
        <w:t>So Aaronson’s loss of freedom isn’t identical with his being unable to do what he wants; his being unable to do what he wants is a by-product of his loss</w:t>
      </w:r>
      <w:r>
        <w:rPr>
          <w:spacing w:val="-2"/>
        </w:rPr>
        <w:t xml:space="preserve"> </w:t>
      </w:r>
      <w:r>
        <w:t>of</w:t>
      </w:r>
      <w:r>
        <w:rPr>
          <w:spacing w:val="-1"/>
        </w:rPr>
        <w:t xml:space="preserve"> </w:t>
      </w:r>
      <w:r>
        <w:t>freedom.</w:t>
      </w:r>
      <w:r>
        <w:rPr>
          <w:spacing w:val="-2"/>
        </w:rPr>
        <w:t xml:space="preserve"> </w:t>
      </w:r>
      <w:r>
        <w:t>To</w:t>
      </w:r>
      <w:r>
        <w:rPr>
          <w:spacing w:val="-1"/>
        </w:rPr>
        <w:t xml:space="preserve"> </w:t>
      </w:r>
      <w:r>
        <w:t>be</w:t>
      </w:r>
      <w:r>
        <w:rPr>
          <w:spacing w:val="-2"/>
        </w:rPr>
        <w:t xml:space="preserve"> </w:t>
      </w:r>
      <w:r>
        <w:t>sure,</w:t>
      </w:r>
      <w:r>
        <w:rPr>
          <w:spacing w:val="-1"/>
        </w:rPr>
        <w:t xml:space="preserve"> </w:t>
      </w:r>
      <w:r>
        <w:t>his</w:t>
      </w:r>
      <w:r>
        <w:rPr>
          <w:spacing w:val="-1"/>
        </w:rPr>
        <w:t xml:space="preserve"> </w:t>
      </w:r>
      <w:r>
        <w:t>inability</w:t>
      </w:r>
      <w:r>
        <w:rPr>
          <w:spacing w:val="-2"/>
        </w:rPr>
        <w:t xml:space="preserve"> </w:t>
      </w:r>
      <w:r>
        <w:t>to</w:t>
      </w:r>
      <w:r>
        <w:rPr>
          <w:spacing w:val="-1"/>
        </w:rPr>
        <w:t xml:space="preserve"> </w:t>
      </w:r>
      <w:r>
        <w:t>do</w:t>
      </w:r>
      <w:r>
        <w:rPr>
          <w:spacing w:val="-2"/>
        </w:rPr>
        <w:t xml:space="preserve"> </w:t>
      </w:r>
      <w:r>
        <w:t>what</w:t>
      </w:r>
      <w:r>
        <w:rPr>
          <w:spacing w:val="-1"/>
        </w:rPr>
        <w:t xml:space="preserve"> </w:t>
      </w:r>
      <w:r>
        <w:t>he</w:t>
      </w:r>
      <w:r>
        <w:rPr>
          <w:spacing w:val="-2"/>
        </w:rPr>
        <w:t xml:space="preserve"> </w:t>
      </w:r>
      <w:r>
        <w:t>wants</w:t>
      </w:r>
      <w:r>
        <w:rPr>
          <w:spacing w:val="-1"/>
        </w:rPr>
        <w:t xml:space="preserve"> </w:t>
      </w:r>
      <w:r>
        <w:t>is</w:t>
      </w:r>
      <w:r>
        <w:rPr>
          <w:spacing w:val="-1"/>
        </w:rPr>
        <w:t xml:space="preserve"> </w:t>
      </w:r>
      <w:r>
        <w:rPr>
          <w:i/>
        </w:rPr>
        <w:t>itself</w:t>
      </w:r>
      <w:r>
        <w:rPr>
          <w:i/>
          <w:spacing w:val="-3"/>
        </w:rPr>
        <w:t xml:space="preserve"> </w:t>
      </w:r>
      <w:r>
        <w:t>a</w:t>
      </w:r>
      <w:r>
        <w:rPr>
          <w:spacing w:val="-3"/>
        </w:rPr>
        <w:t xml:space="preserve"> </w:t>
      </w:r>
      <w:r>
        <w:t>loss</w:t>
      </w:r>
      <w:r>
        <w:rPr>
          <w:spacing w:val="-3"/>
        </w:rPr>
        <w:t xml:space="preserve"> </w:t>
      </w:r>
      <w:r>
        <w:t>of freedom. But, important though this second kind of freedom is, it’s distinct from the first kind and a derivative of it. So being free consists primarily in being</w:t>
      </w:r>
      <w:r>
        <w:rPr>
          <w:spacing w:val="-2"/>
        </w:rPr>
        <w:t xml:space="preserve"> </w:t>
      </w:r>
      <w:r>
        <w:t>oneself,</w:t>
      </w:r>
      <w:r>
        <w:rPr>
          <w:spacing w:val="-2"/>
        </w:rPr>
        <w:t xml:space="preserve"> </w:t>
      </w:r>
      <w:r>
        <w:t>and</w:t>
      </w:r>
      <w:r>
        <w:rPr>
          <w:spacing w:val="-2"/>
        </w:rPr>
        <w:t xml:space="preserve"> </w:t>
      </w:r>
      <w:r>
        <w:t>secondarily</w:t>
      </w:r>
      <w:r>
        <w:rPr>
          <w:spacing w:val="-2"/>
        </w:rPr>
        <w:t xml:space="preserve"> </w:t>
      </w:r>
      <w:r>
        <w:t>in</w:t>
      </w:r>
      <w:r>
        <w:rPr>
          <w:spacing w:val="-2"/>
        </w:rPr>
        <w:t xml:space="preserve"> </w:t>
      </w:r>
      <w:r>
        <w:t>being</w:t>
      </w:r>
      <w:r>
        <w:rPr>
          <w:spacing w:val="-2"/>
        </w:rPr>
        <w:t xml:space="preserve"> </w:t>
      </w:r>
      <w:r>
        <w:t>able</w:t>
      </w:r>
      <w:r>
        <w:rPr>
          <w:spacing w:val="-3"/>
        </w:rPr>
        <w:t xml:space="preserve"> </w:t>
      </w:r>
      <w:r>
        <w:t>to</w:t>
      </w:r>
      <w:r>
        <w:rPr>
          <w:spacing w:val="-2"/>
        </w:rPr>
        <w:t xml:space="preserve"> </w:t>
      </w:r>
      <w:r>
        <w:t>do</w:t>
      </w:r>
      <w:r>
        <w:rPr>
          <w:spacing w:val="-2"/>
        </w:rPr>
        <w:t xml:space="preserve"> </w:t>
      </w:r>
      <w:r>
        <w:t>what</w:t>
      </w:r>
      <w:r>
        <w:rPr>
          <w:spacing w:val="-3"/>
        </w:rPr>
        <w:t xml:space="preserve"> </w:t>
      </w:r>
      <w:r>
        <w:t>one</w:t>
      </w:r>
      <w:r>
        <w:rPr>
          <w:spacing w:val="-3"/>
        </w:rPr>
        <w:t xml:space="preserve"> </w:t>
      </w:r>
      <w:r>
        <w:t>wants.</w:t>
      </w:r>
      <w:r>
        <w:rPr>
          <w:spacing w:val="-2"/>
        </w:rPr>
        <w:t xml:space="preserve"> </w:t>
      </w:r>
      <w:r>
        <w:t>And</w:t>
      </w:r>
      <w:r>
        <w:rPr>
          <w:spacing w:val="-2"/>
        </w:rPr>
        <w:t xml:space="preserve"> </w:t>
      </w:r>
      <w:r>
        <w:t>this</w:t>
      </w:r>
      <w:r>
        <w:rPr>
          <w:spacing w:val="-3"/>
        </w:rPr>
        <w:t xml:space="preserve"> </w:t>
      </w:r>
      <w:r>
        <w:t>is obviously close to what Frankfurt is saying, if it doesn’t coincide with it.</w:t>
      </w:r>
    </w:p>
    <w:p w14:paraId="7E001CC2" w14:textId="77777777" w:rsidR="009A58DB" w:rsidRDefault="00000000">
      <w:pPr>
        <w:pStyle w:val="Heading1"/>
        <w:numPr>
          <w:ilvl w:val="1"/>
          <w:numId w:val="98"/>
        </w:numPr>
        <w:tabs>
          <w:tab w:val="left" w:pos="990"/>
        </w:tabs>
        <w:spacing w:before="197"/>
      </w:pPr>
      <w:r>
        <w:t>Sartre</w:t>
      </w:r>
      <w:r>
        <w:rPr>
          <w:spacing w:val="-7"/>
        </w:rPr>
        <w:t xml:space="preserve"> </w:t>
      </w:r>
      <w:r>
        <w:t>and</w:t>
      </w:r>
      <w:r>
        <w:rPr>
          <w:spacing w:val="-5"/>
        </w:rPr>
        <w:t xml:space="preserve"> </w:t>
      </w:r>
      <w:r>
        <w:t>Merleau-Ponty</w:t>
      </w:r>
      <w:r>
        <w:rPr>
          <w:spacing w:val="-4"/>
        </w:rPr>
        <w:t xml:space="preserve"> </w:t>
      </w:r>
      <w:r>
        <w:t>on</w:t>
      </w:r>
      <w:r>
        <w:rPr>
          <w:spacing w:val="-4"/>
        </w:rPr>
        <w:t xml:space="preserve"> </w:t>
      </w:r>
      <w:r>
        <w:rPr>
          <w:spacing w:val="-2"/>
        </w:rPr>
        <w:t>freedom</w:t>
      </w:r>
    </w:p>
    <w:p w14:paraId="7E001CC3" w14:textId="77777777" w:rsidR="009A58DB" w:rsidRDefault="00000000">
      <w:pPr>
        <w:pStyle w:val="BodyText"/>
        <w:spacing w:before="229" w:line="249" w:lineRule="auto"/>
        <w:ind w:right="365" w:firstLine="360"/>
      </w:pPr>
      <w:r>
        <w:t>Jean-Paul Sartre (1905–1980) and Maurice Merleau-Ponty (1908–1961) both give what appears to be the same argument, to wit:</w:t>
      </w:r>
    </w:p>
    <w:p w14:paraId="7E001CC4" w14:textId="77777777" w:rsidR="009A58DB" w:rsidRDefault="009A58DB">
      <w:pPr>
        <w:pStyle w:val="BodyText"/>
        <w:spacing w:before="175"/>
        <w:ind w:left="0"/>
        <w:jc w:val="left"/>
      </w:pPr>
    </w:p>
    <w:p w14:paraId="7E001CC5" w14:textId="77777777" w:rsidR="009A58DB" w:rsidRDefault="00000000">
      <w:pPr>
        <w:pStyle w:val="BodyText"/>
        <w:ind w:left="720"/>
      </w:pPr>
      <w:r>
        <w:rPr>
          <w:noProof/>
        </w:rPr>
        <mc:AlternateContent>
          <mc:Choice Requires="wps">
            <w:drawing>
              <wp:anchor distT="0" distB="0" distL="0" distR="0" simplePos="0" relativeHeight="480341504" behindDoc="1" locked="0" layoutInCell="1" allowOverlap="1" wp14:anchorId="7E003290" wp14:editId="7E003291">
                <wp:simplePos x="0" y="0"/>
                <wp:positionH relativeFrom="page">
                  <wp:posOffset>1724025</wp:posOffset>
                </wp:positionH>
                <wp:positionV relativeFrom="paragraph">
                  <wp:posOffset>216079</wp:posOffset>
                </wp:positionV>
                <wp:extent cx="46672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1270"/>
                        </a:xfrm>
                        <a:custGeom>
                          <a:avLst/>
                          <a:gdLst/>
                          <a:ahLst/>
                          <a:cxnLst/>
                          <a:rect l="l" t="t" r="r" b="b"/>
                          <a:pathLst>
                            <a:path w="466725">
                              <a:moveTo>
                                <a:pt x="0" y="0"/>
                              </a:moveTo>
                              <a:lnTo>
                                <a:pt x="466725"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7721802" id="Graphic 33" o:spid="_x0000_s1026" style="position:absolute;margin-left:135.75pt;margin-top:17pt;width:36.75pt;height:.1pt;z-index:-22974976;visibility:visible;mso-wrap-style:square;mso-wrap-distance-left:0;mso-wrap-distance-top:0;mso-wrap-distance-right:0;mso-wrap-distance-bottom:0;mso-position-horizontal:absolute;mso-position-horizontal-relative:page;mso-position-vertical:absolute;mso-position-vertical-relative:text;v-text-anchor:top" coordsize="466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" path="m,l466725,e" filled="f" strokecolor="#0562c1">
                <v:path arrowok="t"/>
                <w10:wrap anchorx="page"/>
              </v:shape>
            </w:pict>
          </mc:Fallback>
        </mc:AlternateContent>
      </w:r>
      <w:r>
        <w:rPr>
          <w:sz w:val="34"/>
        </w:rPr>
        <w:t>(SMP</w:t>
      </w:r>
      <w:r>
        <w:rPr>
          <w:sz w:val="34"/>
          <w:vertAlign w:val="subscript"/>
        </w:rPr>
        <w:t>1</w:t>
      </w:r>
      <w:bookmarkStart w:id="397" w:name="_bookmark397"/>
      <w:bookmarkEnd w:id="397"/>
      <w:r>
        <w:rPr>
          <w:color w:val="0562C1"/>
          <w:position w:val="24"/>
          <w:sz w:val="34"/>
        </w:rPr>
        <w:t>[283]</w:t>
      </w:r>
      <w:r>
        <w:t>)</w:t>
      </w:r>
      <w:r>
        <w:rPr>
          <w:spacing w:val="26"/>
        </w:rPr>
        <w:t xml:space="preserve"> </w:t>
      </w:r>
      <w:r>
        <w:t>Smith</w:t>
      </w:r>
      <w:r>
        <w:rPr>
          <w:spacing w:val="27"/>
        </w:rPr>
        <w:t xml:space="preserve"> </w:t>
      </w:r>
      <w:r>
        <w:t>is</w:t>
      </w:r>
      <w:r>
        <w:rPr>
          <w:spacing w:val="27"/>
        </w:rPr>
        <w:t xml:space="preserve"> </w:t>
      </w:r>
      <w:r>
        <w:t>in</w:t>
      </w:r>
      <w:r>
        <w:rPr>
          <w:spacing w:val="26"/>
        </w:rPr>
        <w:t xml:space="preserve"> </w:t>
      </w:r>
      <w:r>
        <w:t>a</w:t>
      </w:r>
      <w:r>
        <w:rPr>
          <w:spacing w:val="27"/>
        </w:rPr>
        <w:t xml:space="preserve"> </w:t>
      </w:r>
      <w:r>
        <w:t>locked</w:t>
      </w:r>
      <w:r>
        <w:rPr>
          <w:spacing w:val="27"/>
        </w:rPr>
        <w:t xml:space="preserve"> </w:t>
      </w:r>
      <w:r>
        <w:t>room,</w:t>
      </w:r>
      <w:r>
        <w:rPr>
          <w:spacing w:val="27"/>
        </w:rPr>
        <w:t xml:space="preserve"> </w:t>
      </w:r>
      <w:r>
        <w:t>and</w:t>
      </w:r>
      <w:r>
        <w:rPr>
          <w:spacing w:val="26"/>
        </w:rPr>
        <w:t xml:space="preserve"> </w:t>
      </w:r>
      <w:r>
        <w:t>Jones</w:t>
      </w:r>
      <w:r>
        <w:rPr>
          <w:spacing w:val="27"/>
        </w:rPr>
        <w:t xml:space="preserve"> </w:t>
      </w:r>
      <w:r>
        <w:t>is</w:t>
      </w:r>
      <w:r>
        <w:rPr>
          <w:spacing w:val="27"/>
        </w:rPr>
        <w:t xml:space="preserve"> </w:t>
      </w:r>
      <w:r>
        <w:t>in</w:t>
      </w:r>
      <w:r>
        <w:rPr>
          <w:spacing w:val="26"/>
        </w:rPr>
        <w:t xml:space="preserve"> </w:t>
      </w:r>
      <w:r>
        <w:t>an</w:t>
      </w:r>
      <w:r>
        <w:rPr>
          <w:spacing w:val="27"/>
        </w:rPr>
        <w:t xml:space="preserve"> </w:t>
      </w:r>
      <w:r>
        <w:rPr>
          <w:spacing w:val="-2"/>
        </w:rPr>
        <w:t>unlocked</w:t>
      </w:r>
    </w:p>
    <w:p w14:paraId="7E001CC6" w14:textId="77777777" w:rsidR="009A58DB" w:rsidRDefault="009A58DB">
      <w:pPr>
        <w:pStyle w:val="BodyText"/>
        <w:sectPr w:rsidR="009A58DB">
          <w:pgSz w:w="12240" w:h="15840"/>
          <w:pgMar w:top="1380" w:right="1080" w:bottom="280" w:left="1080" w:header="720" w:footer="720" w:gutter="0"/>
          <w:cols w:space="720"/>
        </w:sectPr>
      </w:pPr>
    </w:p>
    <w:p w14:paraId="7E001CC7" w14:textId="77777777" w:rsidR="009A58DB" w:rsidRDefault="00000000">
      <w:pPr>
        <w:pStyle w:val="BodyText"/>
        <w:spacing w:before="70" w:line="249" w:lineRule="auto"/>
        <w:ind w:left="720" w:right="669"/>
      </w:pPr>
      <w:r>
        <w:lastRenderedPageBreak/>
        <w:t>room. It is only to the extent that Smith wants to leave the room that his being unable to do so is an abridgment on his freedom. So, to the extent that Smith’s being locked inside the room limits his freedom, it’s because, to that extent, the world isn’t complying with his will.</w:t>
      </w:r>
    </w:p>
    <w:p w14:paraId="7E001CC8" w14:textId="77777777" w:rsidR="009A58DB" w:rsidRDefault="00000000">
      <w:pPr>
        <w:pStyle w:val="BodyText"/>
        <w:spacing w:line="249" w:lineRule="auto"/>
        <w:ind w:left="720" w:right="657" w:firstLine="360"/>
      </w:pPr>
      <w:r>
        <w:t xml:space="preserve">The same points </w:t>
      </w:r>
      <w:r>
        <w:rPr>
          <w:i/>
        </w:rPr>
        <w:t xml:space="preserve">mutatis mutandis </w:t>
      </w:r>
      <w:r>
        <w:t xml:space="preserve">hold of Jones. It’s only to the extent that Jones </w:t>
      </w:r>
      <w:r>
        <w:rPr>
          <w:i/>
        </w:rPr>
        <w:t>does</w:t>
      </w:r>
      <w:r>
        <w:rPr>
          <w:i/>
          <w:spacing w:val="-3"/>
        </w:rPr>
        <w:t xml:space="preserve"> </w:t>
      </w:r>
      <w:r>
        <w:t xml:space="preserve">want to leave the room he’s in that his being able to do so constitutes a freedom. If he doesn’t want to leave, his being able to do so isn’t a freedom, or is only a hollow one. To the extent Jones </w:t>
      </w:r>
      <w:r>
        <w:rPr>
          <w:i/>
        </w:rPr>
        <w:t xml:space="preserve">does </w:t>
      </w:r>
      <w:r>
        <w:t xml:space="preserve">want to leave the room, his being able to do so </w:t>
      </w:r>
      <w:r>
        <w:rPr>
          <w:i/>
        </w:rPr>
        <w:t xml:space="preserve">does </w:t>
      </w:r>
      <w:r>
        <w:t xml:space="preserve">entail that he’s free (in that respect). But it isn’t because his </w:t>
      </w:r>
      <w:r>
        <w:rPr>
          <w:i/>
        </w:rPr>
        <w:t xml:space="preserve">will </w:t>
      </w:r>
      <w:r>
        <w:t xml:space="preserve">is free that Jones is (in this respect) free. It’s because the world meets his will </w:t>
      </w:r>
      <w:r>
        <w:rPr>
          <w:spacing w:val="-2"/>
        </w:rPr>
        <w:t>halfway.</w:t>
      </w:r>
    </w:p>
    <w:p w14:paraId="7E001CC9" w14:textId="77777777" w:rsidR="009A58DB" w:rsidRDefault="00000000">
      <w:pPr>
        <w:pStyle w:val="BodyText"/>
        <w:spacing w:before="9" w:line="249" w:lineRule="auto"/>
        <w:ind w:left="720" w:right="660" w:firstLine="360"/>
        <w:rPr>
          <w:position w:val="21"/>
        </w:rPr>
      </w:pPr>
      <w:r>
        <w:t>The difference between Jones and Smith isn’t that the one has a freer will than the other. It’s that the world meets the one person’s will halfway</w:t>
      </w:r>
      <w:r>
        <w:rPr>
          <w:spacing w:val="-2"/>
        </w:rPr>
        <w:t xml:space="preserve"> </w:t>
      </w:r>
      <w:r>
        <w:t>but</w:t>
      </w:r>
      <w:r>
        <w:rPr>
          <w:spacing w:val="-2"/>
        </w:rPr>
        <w:t xml:space="preserve"> </w:t>
      </w:r>
      <w:r>
        <w:t>concedes</w:t>
      </w:r>
      <w:r>
        <w:rPr>
          <w:spacing w:val="-2"/>
        </w:rPr>
        <w:t xml:space="preserve"> </w:t>
      </w:r>
      <w:r>
        <w:t>nothing</w:t>
      </w:r>
      <w:r>
        <w:rPr>
          <w:spacing w:val="-2"/>
        </w:rPr>
        <w:t xml:space="preserve"> </w:t>
      </w:r>
      <w:r>
        <w:t>to</w:t>
      </w:r>
      <w:r>
        <w:rPr>
          <w:spacing w:val="-2"/>
        </w:rPr>
        <w:t xml:space="preserve"> </w:t>
      </w:r>
      <w:r>
        <w:t>the</w:t>
      </w:r>
      <w:r>
        <w:rPr>
          <w:spacing w:val="-2"/>
        </w:rPr>
        <w:t xml:space="preserve"> </w:t>
      </w:r>
      <w:r>
        <w:t>other</w:t>
      </w:r>
      <w:r>
        <w:rPr>
          <w:spacing w:val="-2"/>
        </w:rPr>
        <w:t xml:space="preserve"> </w:t>
      </w:r>
      <w:r>
        <w:t>person’s</w:t>
      </w:r>
      <w:r>
        <w:rPr>
          <w:spacing w:val="-2"/>
        </w:rPr>
        <w:t xml:space="preserve"> </w:t>
      </w:r>
      <w:r>
        <w:t>will.</w:t>
      </w:r>
      <w:r>
        <w:rPr>
          <w:spacing w:val="-2"/>
        </w:rPr>
        <w:t xml:space="preserve"> </w:t>
      </w:r>
      <w:r>
        <w:t>They</w:t>
      </w:r>
      <w:r>
        <w:rPr>
          <w:spacing w:val="-2"/>
        </w:rPr>
        <w:t xml:space="preserve"> </w:t>
      </w:r>
      <w:r>
        <w:t>both</w:t>
      </w:r>
      <w:r>
        <w:rPr>
          <w:spacing w:val="-2"/>
        </w:rPr>
        <w:t xml:space="preserve"> </w:t>
      </w:r>
      <w:r>
        <w:t xml:space="preserve">have free wills. To have a free will is to be free to </w:t>
      </w:r>
      <w:r>
        <w:rPr>
          <w:i/>
        </w:rPr>
        <w:t>decide</w:t>
      </w:r>
      <w:r>
        <w:rPr>
          <w:i/>
          <w:spacing w:val="-3"/>
        </w:rPr>
        <w:t xml:space="preserve"> </w:t>
      </w:r>
      <w:r>
        <w:t xml:space="preserve">what you want. It is not to be free to </w:t>
      </w:r>
      <w:r>
        <w:rPr>
          <w:i/>
        </w:rPr>
        <w:t xml:space="preserve">have </w:t>
      </w:r>
      <w:r>
        <w:t>what you want.</w:t>
      </w:r>
      <w:bookmarkStart w:id="398" w:name="_bookmark398"/>
      <w:bookmarkEnd w:id="398"/>
      <w:r>
        <w:rPr>
          <w:color w:val="0562C1"/>
          <w:position w:val="21"/>
          <w:u w:val="single" w:color="0562C1"/>
        </w:rPr>
        <w:t>[284]</w:t>
      </w:r>
    </w:p>
    <w:p w14:paraId="7E001CCA" w14:textId="77777777" w:rsidR="009A58DB" w:rsidRDefault="009A58DB">
      <w:pPr>
        <w:pStyle w:val="BodyText"/>
        <w:spacing w:before="21"/>
        <w:ind w:left="0"/>
        <w:jc w:val="left"/>
      </w:pPr>
    </w:p>
    <w:p w14:paraId="7E001CCB" w14:textId="77777777" w:rsidR="009A58DB" w:rsidRDefault="00000000">
      <w:pPr>
        <w:pStyle w:val="BodyText"/>
        <w:spacing w:before="1" w:line="271" w:lineRule="auto"/>
        <w:ind w:right="359" w:firstLine="360"/>
      </w:pPr>
      <w:r>
        <w:t>Supposing for argument’s sake that SMP</w:t>
      </w:r>
      <w:r>
        <w:rPr>
          <w:vertAlign w:val="subscript"/>
        </w:rPr>
        <w:t>1</w:t>
      </w:r>
      <w:r>
        <w:t xml:space="preserve"> is correct, what follows isn’t that Smith’s will is free, but only that his will is not made </w:t>
      </w:r>
      <w:r>
        <w:rPr>
          <w:i/>
        </w:rPr>
        <w:t>un</w:t>
      </w:r>
      <w:r>
        <w:t>free by the fact that</w:t>
      </w:r>
      <w:r>
        <w:rPr>
          <w:spacing w:val="9"/>
        </w:rPr>
        <w:t xml:space="preserve"> </w:t>
      </w:r>
      <w:r>
        <w:t>he</w:t>
      </w:r>
      <w:r>
        <w:rPr>
          <w:spacing w:val="11"/>
        </w:rPr>
        <w:t xml:space="preserve"> </w:t>
      </w:r>
      <w:r>
        <w:t>cannot</w:t>
      </w:r>
      <w:r>
        <w:rPr>
          <w:spacing w:val="11"/>
        </w:rPr>
        <w:t xml:space="preserve"> </w:t>
      </w:r>
      <w:r>
        <w:t>leave</w:t>
      </w:r>
      <w:r>
        <w:rPr>
          <w:spacing w:val="11"/>
        </w:rPr>
        <w:t xml:space="preserve"> </w:t>
      </w:r>
      <w:r>
        <w:t>the</w:t>
      </w:r>
      <w:r>
        <w:rPr>
          <w:spacing w:val="11"/>
        </w:rPr>
        <w:t xml:space="preserve"> </w:t>
      </w:r>
      <w:r>
        <w:t>room.</w:t>
      </w:r>
      <w:r>
        <w:rPr>
          <w:spacing w:val="11"/>
        </w:rPr>
        <w:t xml:space="preserve"> </w:t>
      </w:r>
      <w:r>
        <w:t>Locke</w:t>
      </w:r>
      <w:r>
        <w:rPr>
          <w:spacing w:val="11"/>
        </w:rPr>
        <w:t xml:space="preserve"> </w:t>
      </w:r>
      <w:r>
        <w:t>would</w:t>
      </w:r>
      <w:r>
        <w:rPr>
          <w:spacing w:val="11"/>
        </w:rPr>
        <w:t xml:space="preserve"> </w:t>
      </w:r>
      <w:r>
        <w:t>say</w:t>
      </w:r>
      <w:r>
        <w:rPr>
          <w:spacing w:val="11"/>
        </w:rPr>
        <w:t xml:space="preserve"> </w:t>
      </w:r>
      <w:r>
        <w:t>that</w:t>
      </w:r>
      <w:r>
        <w:rPr>
          <w:spacing w:val="11"/>
        </w:rPr>
        <w:t xml:space="preserve"> </w:t>
      </w:r>
      <w:r>
        <w:t>neither</w:t>
      </w:r>
      <w:r>
        <w:rPr>
          <w:spacing w:val="11"/>
        </w:rPr>
        <w:t xml:space="preserve"> </w:t>
      </w:r>
      <w:r>
        <w:t>Smith</w:t>
      </w:r>
      <w:r>
        <w:rPr>
          <w:spacing w:val="11"/>
        </w:rPr>
        <w:t xml:space="preserve"> </w:t>
      </w:r>
      <w:r>
        <w:t>nor</w:t>
      </w:r>
      <w:r>
        <w:rPr>
          <w:spacing w:val="12"/>
        </w:rPr>
        <w:t xml:space="preserve"> </w:t>
      </w:r>
      <w:r>
        <w:rPr>
          <w:spacing w:val="-2"/>
        </w:rPr>
        <w:t>Jones</w:t>
      </w:r>
    </w:p>
    <w:p w14:paraId="7E001CCC" w14:textId="77777777" w:rsidR="009A58DB" w:rsidRDefault="00000000">
      <w:pPr>
        <w:pStyle w:val="BodyText"/>
        <w:spacing w:line="316" w:lineRule="exact"/>
      </w:pPr>
      <w:r>
        <w:t>has</w:t>
      </w:r>
      <w:r>
        <w:rPr>
          <w:spacing w:val="-3"/>
        </w:rPr>
        <w:t xml:space="preserve"> </w:t>
      </w:r>
      <w:r>
        <w:t>a</w:t>
      </w:r>
      <w:r>
        <w:rPr>
          <w:spacing w:val="-2"/>
        </w:rPr>
        <w:t xml:space="preserve"> </w:t>
      </w:r>
      <w:r>
        <w:t>will</w:t>
      </w:r>
      <w:r>
        <w:rPr>
          <w:spacing w:val="-2"/>
        </w:rPr>
        <w:t xml:space="preserve"> </w:t>
      </w:r>
      <w:r>
        <w:t>that</w:t>
      </w:r>
      <w:r>
        <w:rPr>
          <w:spacing w:val="-2"/>
        </w:rPr>
        <w:t xml:space="preserve"> </w:t>
      </w:r>
      <w:r>
        <w:t>is</w:t>
      </w:r>
      <w:r>
        <w:rPr>
          <w:spacing w:val="-2"/>
        </w:rPr>
        <w:t xml:space="preserve"> </w:t>
      </w:r>
      <w:r>
        <w:t>at</w:t>
      </w:r>
      <w:r>
        <w:rPr>
          <w:spacing w:val="-2"/>
        </w:rPr>
        <w:t xml:space="preserve"> </w:t>
      </w:r>
      <w:r>
        <w:t>all</w:t>
      </w:r>
      <w:r>
        <w:rPr>
          <w:spacing w:val="-2"/>
        </w:rPr>
        <w:t xml:space="preserve"> </w:t>
      </w:r>
      <w:r>
        <w:t>free,</w:t>
      </w:r>
      <w:r>
        <w:rPr>
          <w:spacing w:val="-2"/>
        </w:rPr>
        <w:t xml:space="preserve"> </w:t>
      </w:r>
      <w:r>
        <w:t>the</w:t>
      </w:r>
      <w:r>
        <w:rPr>
          <w:spacing w:val="-2"/>
        </w:rPr>
        <w:t xml:space="preserve"> </w:t>
      </w:r>
      <w:r>
        <w:t>reason</w:t>
      </w:r>
      <w:r>
        <w:rPr>
          <w:spacing w:val="-2"/>
        </w:rPr>
        <w:t xml:space="preserve"> </w:t>
      </w:r>
      <w:r>
        <w:t>being,</w:t>
      </w:r>
      <w:r>
        <w:rPr>
          <w:spacing w:val="-2"/>
        </w:rPr>
        <w:t xml:space="preserve"> </w:t>
      </w:r>
      <w:r>
        <w:t>Locke</w:t>
      </w:r>
      <w:r>
        <w:rPr>
          <w:spacing w:val="-2"/>
        </w:rPr>
        <w:t xml:space="preserve"> </w:t>
      </w:r>
      <w:r>
        <w:t>would</w:t>
      </w:r>
      <w:r>
        <w:rPr>
          <w:spacing w:val="-2"/>
        </w:rPr>
        <w:t xml:space="preserve"> </w:t>
      </w:r>
      <w:r>
        <w:t>say</w:t>
      </w:r>
      <w:r>
        <w:rPr>
          <w:spacing w:val="-2"/>
        </w:rPr>
        <w:t xml:space="preserve"> </w:t>
      </w:r>
      <w:r>
        <w:t>that</w:t>
      </w:r>
      <w:r>
        <w:rPr>
          <w:spacing w:val="-2"/>
        </w:rPr>
        <w:t xml:space="preserve"> </w:t>
      </w:r>
      <w:r>
        <w:t>freedom</w:t>
      </w:r>
      <w:r>
        <w:rPr>
          <w:spacing w:val="-2"/>
        </w:rPr>
        <w:t xml:space="preserve"> </w:t>
      </w:r>
      <w:r>
        <w:rPr>
          <w:spacing w:val="-5"/>
        </w:rPr>
        <w:t>is</w:t>
      </w:r>
    </w:p>
    <w:p w14:paraId="7E001CCD" w14:textId="77777777" w:rsidR="009A58DB" w:rsidRDefault="00000000">
      <w:pPr>
        <w:pStyle w:val="BodyText"/>
        <w:spacing w:before="15" w:line="249" w:lineRule="auto"/>
        <w:ind w:left="720" w:right="358" w:hanging="360"/>
      </w:pPr>
      <w:r>
        <w:t>a property, not of the will per se, but of the relationship between will and act. But</w:t>
      </w:r>
      <w:r>
        <w:rPr>
          <w:spacing w:val="-2"/>
        </w:rPr>
        <w:t xml:space="preserve"> </w:t>
      </w:r>
      <w:r>
        <w:t>even</w:t>
      </w:r>
      <w:r>
        <w:rPr>
          <w:spacing w:val="-2"/>
        </w:rPr>
        <w:t xml:space="preserve"> </w:t>
      </w:r>
      <w:r>
        <w:t>if,</w:t>
      </w:r>
      <w:r>
        <w:rPr>
          <w:spacing w:val="-2"/>
        </w:rPr>
        <w:t xml:space="preserve"> </w:t>
      </w:r>
      <w:r>
        <w:t>contrary</w:t>
      </w:r>
      <w:r>
        <w:rPr>
          <w:spacing w:val="-2"/>
        </w:rPr>
        <w:t xml:space="preserve"> </w:t>
      </w:r>
      <w:r>
        <w:t>to</w:t>
      </w:r>
      <w:r>
        <w:rPr>
          <w:spacing w:val="-2"/>
        </w:rPr>
        <w:t xml:space="preserve"> </w:t>
      </w:r>
      <w:r>
        <w:t>what</w:t>
      </w:r>
      <w:r>
        <w:rPr>
          <w:spacing w:val="-2"/>
        </w:rPr>
        <w:t xml:space="preserve"> </w:t>
      </w:r>
      <w:r>
        <w:t>Locke</w:t>
      </w:r>
      <w:r>
        <w:rPr>
          <w:spacing w:val="-2"/>
        </w:rPr>
        <w:t xml:space="preserve"> </w:t>
      </w:r>
      <w:r>
        <w:t>says,</w:t>
      </w:r>
      <w:r>
        <w:rPr>
          <w:spacing w:val="-2"/>
        </w:rPr>
        <w:t xml:space="preserve"> </w:t>
      </w:r>
      <w:r>
        <w:t>freedom</w:t>
      </w:r>
      <w:r>
        <w:rPr>
          <w:spacing w:val="-2"/>
        </w:rPr>
        <w:t xml:space="preserve"> </w:t>
      </w:r>
      <w:r>
        <w:rPr>
          <w:i/>
        </w:rPr>
        <w:t>is</w:t>
      </w:r>
      <w:r>
        <w:rPr>
          <w:i/>
          <w:spacing w:val="-4"/>
        </w:rPr>
        <w:t xml:space="preserve"> </w:t>
      </w:r>
      <w:r>
        <w:t>a property of the will,</w:t>
      </w:r>
    </w:p>
    <w:p w14:paraId="7E001CCE" w14:textId="77777777" w:rsidR="009A58DB" w:rsidRDefault="00000000">
      <w:pPr>
        <w:pStyle w:val="BodyText"/>
        <w:spacing w:line="254" w:lineRule="auto"/>
        <w:ind w:right="358"/>
      </w:pPr>
      <w:r>
        <w:t xml:space="preserve">there is another reason to reject </w:t>
      </w:r>
      <w:r>
        <w:rPr>
          <w:sz w:val="34"/>
        </w:rPr>
        <w:t>SMP</w:t>
      </w:r>
      <w:r>
        <w:rPr>
          <w:sz w:val="34"/>
          <w:vertAlign w:val="subscript"/>
        </w:rPr>
        <w:t>1</w:t>
      </w:r>
      <w:r>
        <w:rPr>
          <w:sz w:val="34"/>
        </w:rPr>
        <w:t>. An extension of the story just told</w:t>
      </w:r>
      <w:r>
        <w:rPr>
          <w:spacing w:val="40"/>
          <w:sz w:val="34"/>
        </w:rPr>
        <w:t xml:space="preserve"> </w:t>
      </w:r>
      <w:r>
        <w:rPr>
          <w:sz w:val="34"/>
        </w:rPr>
        <w:t>will</w:t>
      </w:r>
      <w:r>
        <w:rPr>
          <w:spacing w:val="40"/>
          <w:sz w:val="34"/>
        </w:rPr>
        <w:t xml:space="preserve"> </w:t>
      </w:r>
      <w:r>
        <w:rPr>
          <w:sz w:val="34"/>
        </w:rPr>
        <w:t>help</w:t>
      </w:r>
      <w:r>
        <w:rPr>
          <w:spacing w:val="40"/>
          <w:sz w:val="34"/>
        </w:rPr>
        <w:t xml:space="preserve"> </w:t>
      </w:r>
      <w:r>
        <w:rPr>
          <w:sz w:val="34"/>
        </w:rPr>
        <w:t>us</w:t>
      </w:r>
      <w:r>
        <w:rPr>
          <w:spacing w:val="40"/>
          <w:sz w:val="34"/>
        </w:rPr>
        <w:t xml:space="preserve"> </w:t>
      </w:r>
      <w:r>
        <w:rPr>
          <w:sz w:val="34"/>
        </w:rPr>
        <w:t>identify</w:t>
      </w:r>
      <w:r>
        <w:rPr>
          <w:spacing w:val="40"/>
          <w:sz w:val="34"/>
        </w:rPr>
        <w:t xml:space="preserve"> </w:t>
      </w:r>
      <w:r>
        <w:rPr>
          <w:sz w:val="34"/>
        </w:rPr>
        <w:t>this</w:t>
      </w:r>
      <w:r>
        <w:rPr>
          <w:spacing w:val="40"/>
          <w:sz w:val="34"/>
        </w:rPr>
        <w:t xml:space="preserve"> </w:t>
      </w:r>
      <w:r>
        <w:rPr>
          <w:sz w:val="34"/>
        </w:rPr>
        <w:t>reason.</w:t>
      </w:r>
      <w:r>
        <w:rPr>
          <w:spacing w:val="40"/>
          <w:sz w:val="34"/>
        </w:rPr>
        <w:t xml:space="preserve"> </w:t>
      </w:r>
      <w:r>
        <w:rPr>
          <w:sz w:val="34"/>
        </w:rPr>
        <w:t>Brown</w:t>
      </w:r>
      <w:r>
        <w:rPr>
          <w:spacing w:val="40"/>
          <w:sz w:val="34"/>
        </w:rPr>
        <w:t xml:space="preserve"> </w:t>
      </w:r>
      <w:r>
        <w:rPr>
          <w:sz w:val="34"/>
        </w:rPr>
        <w:t>(some</w:t>
      </w:r>
      <w:r>
        <w:rPr>
          <w:spacing w:val="40"/>
          <w:sz w:val="34"/>
        </w:rPr>
        <w:t xml:space="preserve"> </w:t>
      </w:r>
      <w:r>
        <w:rPr>
          <w:sz w:val="34"/>
        </w:rPr>
        <w:t>third</w:t>
      </w:r>
      <w:r>
        <w:rPr>
          <w:spacing w:val="40"/>
          <w:sz w:val="34"/>
        </w:rPr>
        <w:t xml:space="preserve"> </w:t>
      </w:r>
      <w:r>
        <w:rPr>
          <w:sz w:val="34"/>
        </w:rPr>
        <w:t>person) has sur</w:t>
      </w:r>
      <w:r>
        <w:t>gically implanted a microchip in Smith’s brain. Brown controls Smith’s desires and subsequent decisions by means of that microchip. So if Brown wants Smith to want to play tennis, then Brown can make Smith have that desire by means of the microchip. The locked room that Smith is now occupying is packed with beautiful artwork. Because he is an artist, Smith would ordinarily want to spend hours studying these masterpieces, and he thus wouldn’t want to leave the room any time soon. But, using the microchip,</w:t>
      </w:r>
      <w:r>
        <w:rPr>
          <w:spacing w:val="25"/>
        </w:rPr>
        <w:t xml:space="preserve"> </w:t>
      </w:r>
      <w:r>
        <w:t>Brown</w:t>
      </w:r>
      <w:r>
        <w:rPr>
          <w:spacing w:val="24"/>
        </w:rPr>
        <w:t xml:space="preserve"> </w:t>
      </w:r>
      <w:r>
        <w:t>makes</w:t>
      </w:r>
      <w:r>
        <w:rPr>
          <w:spacing w:val="25"/>
        </w:rPr>
        <w:t xml:space="preserve"> </w:t>
      </w:r>
      <w:r>
        <w:t>Smith</w:t>
      </w:r>
      <w:r>
        <w:rPr>
          <w:spacing w:val="24"/>
        </w:rPr>
        <w:t xml:space="preserve"> </w:t>
      </w:r>
      <w:r>
        <w:t>desire</w:t>
      </w:r>
      <w:r>
        <w:rPr>
          <w:spacing w:val="25"/>
        </w:rPr>
        <w:t xml:space="preserve"> </w:t>
      </w:r>
      <w:r>
        <w:t>to</w:t>
      </w:r>
      <w:r>
        <w:rPr>
          <w:spacing w:val="24"/>
        </w:rPr>
        <w:t xml:space="preserve"> </w:t>
      </w:r>
      <w:r>
        <w:t>leave</w:t>
      </w:r>
      <w:r>
        <w:rPr>
          <w:spacing w:val="25"/>
        </w:rPr>
        <w:t xml:space="preserve"> </w:t>
      </w:r>
      <w:r>
        <w:t>the</w:t>
      </w:r>
      <w:r>
        <w:rPr>
          <w:spacing w:val="24"/>
        </w:rPr>
        <w:t xml:space="preserve"> </w:t>
      </w:r>
      <w:r>
        <w:t>room</w:t>
      </w:r>
      <w:r>
        <w:rPr>
          <w:spacing w:val="24"/>
        </w:rPr>
        <w:t xml:space="preserve"> </w:t>
      </w:r>
      <w:r>
        <w:t>immediately—that</w:t>
      </w:r>
    </w:p>
    <w:p w14:paraId="7E001CCF" w14:textId="77777777" w:rsidR="009A58DB" w:rsidRDefault="009A58DB">
      <w:pPr>
        <w:pStyle w:val="BodyText"/>
        <w:spacing w:line="254" w:lineRule="auto"/>
        <w:sectPr w:rsidR="009A58DB">
          <w:pgSz w:w="12240" w:h="15840"/>
          <w:pgMar w:top="1380" w:right="1080" w:bottom="280" w:left="1080" w:header="720" w:footer="720" w:gutter="0"/>
          <w:cols w:space="720"/>
        </w:sectPr>
      </w:pPr>
    </w:p>
    <w:p w14:paraId="7E001CD0" w14:textId="77777777" w:rsidR="009A58DB" w:rsidRDefault="00000000">
      <w:pPr>
        <w:pStyle w:val="BodyText"/>
        <w:spacing w:before="65" w:line="249" w:lineRule="auto"/>
        <w:ind w:right="367"/>
      </w:pPr>
      <w:r>
        <w:lastRenderedPageBreak/>
        <w:t>is, Brown makes Smith’s will be to leave the room immediately. But, at this instant, Brown unlocks the room, giving Smith the ability to leave.</w:t>
      </w:r>
    </w:p>
    <w:p w14:paraId="7E001CD1" w14:textId="77777777" w:rsidR="009A58DB" w:rsidRDefault="00000000">
      <w:pPr>
        <w:pStyle w:val="BodyText"/>
        <w:spacing w:before="2" w:line="249" w:lineRule="auto"/>
        <w:ind w:right="367" w:firstLine="360"/>
      </w:pPr>
      <w:r>
        <w:t xml:space="preserve">Here we surely have a case of an </w:t>
      </w:r>
      <w:r>
        <w:rPr>
          <w:i/>
        </w:rPr>
        <w:t>un</w:t>
      </w:r>
      <w:r>
        <w:t>free will if ever there was one. So while it is true that, when he didn’t want to leave the room, Smith’s will was not made unfree by the fact that the door is locked, it doesn’t follow that Smith’s will was free.</w:t>
      </w:r>
    </w:p>
    <w:p w14:paraId="7E001CD2" w14:textId="77777777" w:rsidR="009A58DB" w:rsidRDefault="00000000">
      <w:pPr>
        <w:pStyle w:val="BodyText"/>
        <w:spacing w:before="5" w:line="249" w:lineRule="auto"/>
        <w:ind w:right="363" w:firstLine="360"/>
      </w:pPr>
      <w:r>
        <w:t>Although neither Sartre nor Merleau-Ponty consider this exact point, they both put forth an argument that constitutes a kind of response to this, viz.:</w:t>
      </w:r>
    </w:p>
    <w:p w14:paraId="7E001CD3" w14:textId="77777777" w:rsidR="009A58DB" w:rsidRDefault="009A58DB">
      <w:pPr>
        <w:pStyle w:val="BodyText"/>
        <w:spacing w:before="17"/>
        <w:ind w:left="0"/>
        <w:jc w:val="left"/>
      </w:pPr>
    </w:p>
    <w:p w14:paraId="7E001CD4" w14:textId="77777777" w:rsidR="009A58DB" w:rsidRDefault="00000000">
      <w:pPr>
        <w:pStyle w:val="BodyText"/>
        <w:spacing w:line="271" w:lineRule="auto"/>
        <w:ind w:left="720" w:right="657"/>
      </w:pPr>
      <w:r>
        <w:t>(SMP</w:t>
      </w:r>
      <w:r>
        <w:rPr>
          <w:vertAlign w:val="subscript"/>
        </w:rPr>
        <w:t>2</w:t>
      </w:r>
      <w:r>
        <w:t xml:space="preserve">) Once again, suppose that Smith is in a locked room and wants leave it. There is obviously </w:t>
      </w:r>
      <w:r>
        <w:rPr>
          <w:i/>
        </w:rPr>
        <w:t xml:space="preserve">a </w:t>
      </w:r>
      <w:r>
        <w:t>sense in which Smith is unfree. If Smith had</w:t>
      </w:r>
      <w:r>
        <w:rPr>
          <w:spacing w:val="45"/>
          <w:w w:val="150"/>
        </w:rPr>
        <w:t xml:space="preserve"> </w:t>
      </w:r>
      <w:r>
        <w:t>no</w:t>
      </w:r>
      <w:r>
        <w:rPr>
          <w:spacing w:val="45"/>
          <w:w w:val="150"/>
        </w:rPr>
        <w:t xml:space="preserve"> </w:t>
      </w:r>
      <w:r>
        <w:t>desire</w:t>
      </w:r>
      <w:r>
        <w:rPr>
          <w:spacing w:val="45"/>
          <w:w w:val="150"/>
        </w:rPr>
        <w:t xml:space="preserve"> </w:t>
      </w:r>
      <w:r>
        <w:t>to</w:t>
      </w:r>
      <w:r>
        <w:rPr>
          <w:spacing w:val="45"/>
          <w:w w:val="150"/>
        </w:rPr>
        <w:t xml:space="preserve"> </w:t>
      </w:r>
      <w:r>
        <w:t>leave</w:t>
      </w:r>
      <w:r>
        <w:rPr>
          <w:spacing w:val="45"/>
          <w:w w:val="150"/>
        </w:rPr>
        <w:t xml:space="preserve"> </w:t>
      </w:r>
      <w:r>
        <w:t>the</w:t>
      </w:r>
      <w:r>
        <w:rPr>
          <w:spacing w:val="45"/>
          <w:w w:val="150"/>
        </w:rPr>
        <w:t xml:space="preserve"> </w:t>
      </w:r>
      <w:r>
        <w:t>room,</w:t>
      </w:r>
      <w:r>
        <w:rPr>
          <w:spacing w:val="45"/>
          <w:w w:val="150"/>
        </w:rPr>
        <w:t xml:space="preserve"> </w:t>
      </w:r>
      <w:r>
        <w:t>he</w:t>
      </w:r>
      <w:r>
        <w:rPr>
          <w:spacing w:val="45"/>
          <w:w w:val="150"/>
        </w:rPr>
        <w:t xml:space="preserve"> </w:t>
      </w:r>
      <w:r>
        <w:t>would</w:t>
      </w:r>
      <w:r>
        <w:rPr>
          <w:spacing w:val="45"/>
          <w:w w:val="150"/>
        </w:rPr>
        <w:t xml:space="preserve"> </w:t>
      </w:r>
      <w:r>
        <w:t>not</w:t>
      </w:r>
      <w:r>
        <w:rPr>
          <w:spacing w:val="45"/>
          <w:w w:val="150"/>
        </w:rPr>
        <w:t xml:space="preserve"> </w:t>
      </w:r>
      <w:r>
        <w:t>be</w:t>
      </w:r>
      <w:r>
        <w:rPr>
          <w:spacing w:val="45"/>
          <w:w w:val="150"/>
        </w:rPr>
        <w:t xml:space="preserve"> </w:t>
      </w:r>
      <w:r>
        <w:t>unfree</w:t>
      </w:r>
      <w:r>
        <w:rPr>
          <w:spacing w:val="45"/>
          <w:w w:val="150"/>
        </w:rPr>
        <w:t xml:space="preserve"> </w:t>
      </w:r>
      <w:r>
        <w:t>(in</w:t>
      </w:r>
      <w:r>
        <w:rPr>
          <w:spacing w:val="45"/>
          <w:w w:val="150"/>
        </w:rPr>
        <w:t xml:space="preserve"> </w:t>
      </w:r>
      <w:r>
        <w:rPr>
          <w:spacing w:val="-4"/>
        </w:rPr>
        <w:t>this</w:t>
      </w:r>
    </w:p>
    <w:p w14:paraId="7E001CD5" w14:textId="77777777" w:rsidR="009A58DB" w:rsidRDefault="00000000">
      <w:pPr>
        <w:pStyle w:val="BodyText"/>
        <w:spacing w:line="316" w:lineRule="exact"/>
        <w:ind w:left="720"/>
      </w:pPr>
      <w:r>
        <w:t>particular</w:t>
      </w:r>
      <w:r>
        <w:rPr>
          <w:spacing w:val="-8"/>
        </w:rPr>
        <w:t xml:space="preserve"> </w:t>
      </w:r>
      <w:r>
        <w:rPr>
          <w:spacing w:val="-2"/>
        </w:rPr>
        <w:t>respect).</w:t>
      </w:r>
    </w:p>
    <w:p w14:paraId="7E001CD6" w14:textId="77777777" w:rsidR="009A58DB" w:rsidRDefault="00000000">
      <w:pPr>
        <w:pStyle w:val="BodyText"/>
        <w:spacing w:before="16" w:line="249" w:lineRule="auto"/>
        <w:ind w:left="720" w:right="663" w:firstLine="360"/>
      </w:pPr>
      <w:r>
        <w:t>You are not able to turn into a tadpole. But this doesn’t constitute an encroachment</w:t>
      </w:r>
      <w:r>
        <w:rPr>
          <w:spacing w:val="-9"/>
        </w:rPr>
        <w:t xml:space="preserve"> </w:t>
      </w:r>
      <w:r>
        <w:t>on</w:t>
      </w:r>
      <w:r>
        <w:rPr>
          <w:spacing w:val="-9"/>
        </w:rPr>
        <w:t xml:space="preserve"> </w:t>
      </w:r>
      <w:r>
        <w:t>your</w:t>
      </w:r>
      <w:r>
        <w:rPr>
          <w:spacing w:val="-9"/>
        </w:rPr>
        <w:t xml:space="preserve"> </w:t>
      </w:r>
      <w:r>
        <w:t>freedom,</w:t>
      </w:r>
      <w:r>
        <w:rPr>
          <w:spacing w:val="-9"/>
        </w:rPr>
        <w:t xml:space="preserve"> </w:t>
      </w:r>
      <w:r>
        <w:t>since</w:t>
      </w:r>
      <w:r>
        <w:rPr>
          <w:spacing w:val="-9"/>
        </w:rPr>
        <w:t xml:space="preserve"> </w:t>
      </w:r>
      <w:r>
        <w:t>you</w:t>
      </w:r>
      <w:r>
        <w:rPr>
          <w:spacing w:val="-9"/>
        </w:rPr>
        <w:t xml:space="preserve"> </w:t>
      </w:r>
      <w:r>
        <w:t>have</w:t>
      </w:r>
      <w:r>
        <w:rPr>
          <w:spacing w:val="-9"/>
        </w:rPr>
        <w:t xml:space="preserve"> </w:t>
      </w:r>
      <w:r>
        <w:t>no</w:t>
      </w:r>
      <w:r>
        <w:rPr>
          <w:spacing w:val="-9"/>
        </w:rPr>
        <w:t xml:space="preserve"> </w:t>
      </w:r>
      <w:r>
        <w:t>desire</w:t>
      </w:r>
      <w:r>
        <w:rPr>
          <w:spacing w:val="-9"/>
        </w:rPr>
        <w:t xml:space="preserve"> </w:t>
      </w:r>
      <w:r>
        <w:t>to</w:t>
      </w:r>
      <w:r>
        <w:rPr>
          <w:spacing w:val="-9"/>
        </w:rPr>
        <w:t xml:space="preserve"> </w:t>
      </w:r>
      <w:r>
        <w:t>be</w:t>
      </w:r>
      <w:r>
        <w:rPr>
          <w:spacing w:val="-9"/>
        </w:rPr>
        <w:t xml:space="preserve"> </w:t>
      </w:r>
      <w:r>
        <w:t>a</w:t>
      </w:r>
      <w:r>
        <w:rPr>
          <w:spacing w:val="-9"/>
        </w:rPr>
        <w:t xml:space="preserve"> </w:t>
      </w:r>
      <w:r>
        <w:t>tadpole. (If you did, it would.) The same is true of Smith. It is only</w:t>
      </w:r>
      <w:r>
        <w:rPr>
          <w:spacing w:val="-16"/>
        </w:rPr>
        <w:t xml:space="preserve"> </w:t>
      </w:r>
      <w:r>
        <w:rPr>
          <w:i/>
        </w:rPr>
        <w:t>relative</w:t>
      </w:r>
      <w:r>
        <w:rPr>
          <w:i/>
          <w:spacing w:val="-15"/>
        </w:rPr>
        <w:t xml:space="preserve"> </w:t>
      </w:r>
      <w:r>
        <w:t>to certain</w:t>
      </w:r>
      <w:r>
        <w:rPr>
          <w:spacing w:val="-19"/>
        </w:rPr>
        <w:t xml:space="preserve"> </w:t>
      </w:r>
      <w:r>
        <w:t>choices</w:t>
      </w:r>
      <w:r>
        <w:rPr>
          <w:spacing w:val="-19"/>
        </w:rPr>
        <w:t xml:space="preserve"> </w:t>
      </w:r>
      <w:r>
        <w:t>that</w:t>
      </w:r>
      <w:r>
        <w:rPr>
          <w:spacing w:val="-19"/>
        </w:rPr>
        <w:t xml:space="preserve"> </w:t>
      </w:r>
      <w:r>
        <w:t>he</w:t>
      </w:r>
      <w:r>
        <w:rPr>
          <w:spacing w:val="-18"/>
        </w:rPr>
        <w:t xml:space="preserve"> </w:t>
      </w:r>
      <w:r>
        <w:t>has</w:t>
      </w:r>
      <w:r>
        <w:rPr>
          <w:spacing w:val="-19"/>
        </w:rPr>
        <w:t xml:space="preserve"> </w:t>
      </w:r>
      <w:r>
        <w:t>made</w:t>
      </w:r>
      <w:r>
        <w:rPr>
          <w:spacing w:val="-19"/>
        </w:rPr>
        <w:t xml:space="preserve"> </w:t>
      </w:r>
      <w:r>
        <w:t>that</w:t>
      </w:r>
      <w:r>
        <w:rPr>
          <w:spacing w:val="-19"/>
        </w:rPr>
        <w:t xml:space="preserve"> </w:t>
      </w:r>
      <w:r>
        <w:t>Smith’s</w:t>
      </w:r>
      <w:r>
        <w:rPr>
          <w:spacing w:val="-18"/>
        </w:rPr>
        <w:t xml:space="preserve"> </w:t>
      </w:r>
      <w:r>
        <w:t>freedom</w:t>
      </w:r>
      <w:r>
        <w:rPr>
          <w:spacing w:val="-18"/>
        </w:rPr>
        <w:t xml:space="preserve"> </w:t>
      </w:r>
      <w:r>
        <w:t>is</w:t>
      </w:r>
      <w:r>
        <w:rPr>
          <w:spacing w:val="-19"/>
        </w:rPr>
        <w:t xml:space="preserve"> </w:t>
      </w:r>
      <w:r>
        <w:t>limited.</w:t>
      </w:r>
      <w:r>
        <w:rPr>
          <w:spacing w:val="-18"/>
        </w:rPr>
        <w:t xml:space="preserve"> </w:t>
      </w:r>
      <w:r>
        <w:t>If</w:t>
      </w:r>
      <w:r>
        <w:rPr>
          <w:spacing w:val="-18"/>
        </w:rPr>
        <w:t xml:space="preserve"> </w:t>
      </w:r>
      <w:r>
        <w:t>he</w:t>
      </w:r>
      <w:r>
        <w:rPr>
          <w:spacing w:val="-19"/>
        </w:rPr>
        <w:t xml:space="preserve"> </w:t>
      </w:r>
      <w:r>
        <w:t>had no</w:t>
      </w:r>
      <w:r>
        <w:rPr>
          <w:spacing w:val="-10"/>
        </w:rPr>
        <w:t xml:space="preserve"> </w:t>
      </w:r>
      <w:r>
        <w:t>desire</w:t>
      </w:r>
      <w:r>
        <w:rPr>
          <w:spacing w:val="-10"/>
        </w:rPr>
        <w:t xml:space="preserve"> </w:t>
      </w:r>
      <w:r>
        <w:t>to</w:t>
      </w:r>
      <w:r>
        <w:rPr>
          <w:spacing w:val="-10"/>
        </w:rPr>
        <w:t xml:space="preserve"> </w:t>
      </w:r>
      <w:r>
        <w:t>leave</w:t>
      </w:r>
      <w:r>
        <w:rPr>
          <w:spacing w:val="-10"/>
        </w:rPr>
        <w:t xml:space="preserve"> </w:t>
      </w:r>
      <w:r>
        <w:t>the</w:t>
      </w:r>
      <w:r>
        <w:rPr>
          <w:spacing w:val="-10"/>
        </w:rPr>
        <w:t xml:space="preserve"> </w:t>
      </w:r>
      <w:r>
        <w:t>room,</w:t>
      </w:r>
      <w:r>
        <w:rPr>
          <w:spacing w:val="-10"/>
        </w:rPr>
        <w:t xml:space="preserve"> </w:t>
      </w:r>
      <w:r>
        <w:t>then</w:t>
      </w:r>
      <w:r>
        <w:rPr>
          <w:spacing w:val="-10"/>
        </w:rPr>
        <w:t xml:space="preserve"> </w:t>
      </w:r>
      <w:r>
        <w:t>his</w:t>
      </w:r>
      <w:r>
        <w:rPr>
          <w:spacing w:val="-10"/>
        </w:rPr>
        <w:t xml:space="preserve"> </w:t>
      </w:r>
      <w:r>
        <w:t>freedom</w:t>
      </w:r>
      <w:r>
        <w:rPr>
          <w:spacing w:val="-10"/>
        </w:rPr>
        <w:t xml:space="preserve"> </w:t>
      </w:r>
      <w:r>
        <w:t>would</w:t>
      </w:r>
      <w:r>
        <w:rPr>
          <w:spacing w:val="-9"/>
        </w:rPr>
        <w:t xml:space="preserve"> </w:t>
      </w:r>
      <w:r>
        <w:t>not</w:t>
      </w:r>
      <w:r>
        <w:rPr>
          <w:spacing w:val="-10"/>
        </w:rPr>
        <w:t xml:space="preserve"> </w:t>
      </w:r>
      <w:r>
        <w:t>be</w:t>
      </w:r>
      <w:r>
        <w:rPr>
          <w:spacing w:val="-9"/>
        </w:rPr>
        <w:t xml:space="preserve"> </w:t>
      </w:r>
      <w:r>
        <w:t>limited</w:t>
      </w:r>
      <w:r>
        <w:rPr>
          <w:spacing w:val="-9"/>
        </w:rPr>
        <w:t xml:space="preserve"> </w:t>
      </w:r>
      <w:r>
        <w:t>by</w:t>
      </w:r>
      <w:r>
        <w:rPr>
          <w:spacing w:val="-9"/>
        </w:rPr>
        <w:t xml:space="preserve"> </w:t>
      </w:r>
      <w:r>
        <w:t>his inability to leave the room.</w:t>
      </w:r>
    </w:p>
    <w:p w14:paraId="7E001CD7" w14:textId="77777777" w:rsidR="009A58DB" w:rsidRDefault="00000000">
      <w:pPr>
        <w:pStyle w:val="BodyText"/>
        <w:spacing w:before="7" w:line="249" w:lineRule="auto"/>
        <w:ind w:left="720" w:right="644" w:firstLine="360"/>
      </w:pPr>
      <w:r>
        <w:t>In general, it is only relative to the choices that we make that our freedom</w:t>
      </w:r>
      <w:r>
        <w:rPr>
          <w:spacing w:val="-5"/>
        </w:rPr>
        <w:t xml:space="preserve"> </w:t>
      </w:r>
      <w:r>
        <w:t>is</w:t>
      </w:r>
      <w:r>
        <w:rPr>
          <w:spacing w:val="-4"/>
        </w:rPr>
        <w:t xml:space="preserve"> </w:t>
      </w:r>
      <w:r>
        <w:t>limited.</w:t>
      </w:r>
      <w:r>
        <w:rPr>
          <w:spacing w:val="-4"/>
        </w:rPr>
        <w:t xml:space="preserve"> </w:t>
      </w:r>
      <w:r>
        <w:t>So</w:t>
      </w:r>
      <w:r>
        <w:rPr>
          <w:spacing w:val="-4"/>
        </w:rPr>
        <w:t xml:space="preserve"> </w:t>
      </w:r>
      <w:r>
        <w:t>there</w:t>
      </w:r>
      <w:r>
        <w:rPr>
          <w:spacing w:val="-4"/>
        </w:rPr>
        <w:t xml:space="preserve"> </w:t>
      </w:r>
      <w:r>
        <w:t>can</w:t>
      </w:r>
      <w:r>
        <w:rPr>
          <w:spacing w:val="-4"/>
        </w:rPr>
        <w:t xml:space="preserve"> </w:t>
      </w:r>
      <w:r>
        <w:t>be</w:t>
      </w:r>
      <w:r>
        <w:rPr>
          <w:spacing w:val="-4"/>
        </w:rPr>
        <w:t xml:space="preserve"> </w:t>
      </w:r>
      <w:r>
        <w:t>a</w:t>
      </w:r>
      <w:r>
        <w:rPr>
          <w:spacing w:val="-19"/>
        </w:rPr>
        <w:t xml:space="preserve"> </w:t>
      </w:r>
      <w:r>
        <w:rPr>
          <w:i/>
        </w:rPr>
        <w:t>lack</w:t>
      </w:r>
      <w:r>
        <w:rPr>
          <w:i/>
          <w:spacing w:val="-19"/>
        </w:rPr>
        <w:t xml:space="preserve"> </w:t>
      </w:r>
      <w:r>
        <w:t>of</w:t>
      </w:r>
      <w:r>
        <w:rPr>
          <w:spacing w:val="-7"/>
        </w:rPr>
        <w:t xml:space="preserve"> </w:t>
      </w:r>
      <w:r>
        <w:t>freedom</w:t>
      </w:r>
      <w:r>
        <w:rPr>
          <w:spacing w:val="-8"/>
        </w:rPr>
        <w:t xml:space="preserve"> </w:t>
      </w:r>
      <w:r>
        <w:t>only</w:t>
      </w:r>
      <w:r>
        <w:rPr>
          <w:spacing w:val="-7"/>
        </w:rPr>
        <w:t xml:space="preserve"> </w:t>
      </w:r>
      <w:r>
        <w:t>where</w:t>
      </w:r>
      <w:r>
        <w:rPr>
          <w:spacing w:val="-7"/>
        </w:rPr>
        <w:t xml:space="preserve"> </w:t>
      </w:r>
      <w:r>
        <w:t xml:space="preserve">choices </w:t>
      </w:r>
      <w:r>
        <w:rPr>
          <w:spacing w:val="-2"/>
        </w:rPr>
        <w:t>have</w:t>
      </w:r>
      <w:r>
        <w:rPr>
          <w:spacing w:val="-17"/>
        </w:rPr>
        <w:t xml:space="preserve"> </w:t>
      </w:r>
      <w:r>
        <w:rPr>
          <w:i/>
          <w:spacing w:val="-2"/>
        </w:rPr>
        <w:t>already</w:t>
      </w:r>
      <w:r>
        <w:rPr>
          <w:i/>
          <w:spacing w:val="-17"/>
        </w:rPr>
        <w:t xml:space="preserve"> </w:t>
      </w:r>
      <w:r>
        <w:rPr>
          <w:spacing w:val="-2"/>
        </w:rPr>
        <w:t>been</w:t>
      </w:r>
      <w:r>
        <w:rPr>
          <w:spacing w:val="-16"/>
        </w:rPr>
        <w:t xml:space="preserve"> </w:t>
      </w:r>
      <w:r>
        <w:rPr>
          <w:spacing w:val="-2"/>
        </w:rPr>
        <w:t>made.</w:t>
      </w:r>
      <w:r>
        <w:rPr>
          <w:spacing w:val="-10"/>
        </w:rPr>
        <w:t xml:space="preserve"> </w:t>
      </w:r>
      <w:r>
        <w:rPr>
          <w:spacing w:val="-2"/>
        </w:rPr>
        <w:t>Since,</w:t>
      </w:r>
      <w:r>
        <w:rPr>
          <w:spacing w:val="-11"/>
        </w:rPr>
        <w:t xml:space="preserve"> </w:t>
      </w:r>
      <w:r>
        <w:rPr>
          <w:spacing w:val="-2"/>
        </w:rPr>
        <w:t>consequently,</w:t>
      </w:r>
      <w:r>
        <w:rPr>
          <w:spacing w:val="-11"/>
        </w:rPr>
        <w:t xml:space="preserve"> </w:t>
      </w:r>
      <w:r>
        <w:rPr>
          <w:spacing w:val="-2"/>
        </w:rPr>
        <w:t>the</w:t>
      </w:r>
      <w:r>
        <w:rPr>
          <w:spacing w:val="-11"/>
        </w:rPr>
        <w:t xml:space="preserve"> </w:t>
      </w:r>
      <w:r>
        <w:rPr>
          <w:spacing w:val="-2"/>
        </w:rPr>
        <w:t>making</w:t>
      </w:r>
      <w:r>
        <w:rPr>
          <w:spacing w:val="-11"/>
        </w:rPr>
        <w:t xml:space="preserve"> </w:t>
      </w:r>
      <w:r>
        <w:rPr>
          <w:spacing w:val="-2"/>
        </w:rPr>
        <w:t>of</w:t>
      </w:r>
      <w:r>
        <w:rPr>
          <w:spacing w:val="-11"/>
        </w:rPr>
        <w:t xml:space="preserve"> </w:t>
      </w:r>
      <w:r>
        <w:rPr>
          <w:spacing w:val="-2"/>
        </w:rPr>
        <w:t>choices</w:t>
      </w:r>
      <w:r>
        <w:rPr>
          <w:spacing w:val="-11"/>
        </w:rPr>
        <w:t xml:space="preserve"> </w:t>
      </w:r>
      <w:r>
        <w:rPr>
          <w:spacing w:val="-2"/>
        </w:rPr>
        <w:t xml:space="preserve">must </w:t>
      </w:r>
      <w:r>
        <w:t>occur</w:t>
      </w:r>
      <w:r>
        <w:rPr>
          <w:spacing w:val="-19"/>
        </w:rPr>
        <w:t xml:space="preserve"> </w:t>
      </w:r>
      <w:r>
        <w:rPr>
          <w:i/>
        </w:rPr>
        <w:t>before</w:t>
      </w:r>
      <w:r>
        <w:rPr>
          <w:i/>
          <w:spacing w:val="-19"/>
        </w:rPr>
        <w:t xml:space="preserve"> </w:t>
      </w:r>
      <w:r>
        <w:t>there</w:t>
      </w:r>
      <w:r>
        <w:rPr>
          <w:spacing w:val="-8"/>
        </w:rPr>
        <w:t xml:space="preserve"> </w:t>
      </w:r>
      <w:r>
        <w:t>can</w:t>
      </w:r>
      <w:r>
        <w:rPr>
          <w:spacing w:val="-6"/>
        </w:rPr>
        <w:t xml:space="preserve"> </w:t>
      </w:r>
      <w:r>
        <w:t>be</w:t>
      </w:r>
      <w:r>
        <w:rPr>
          <w:spacing w:val="-6"/>
        </w:rPr>
        <w:t xml:space="preserve"> </w:t>
      </w:r>
      <w:r>
        <w:t>any</w:t>
      </w:r>
      <w:r>
        <w:rPr>
          <w:spacing w:val="-6"/>
        </w:rPr>
        <w:t xml:space="preserve"> </w:t>
      </w:r>
      <w:r>
        <w:t>lack</w:t>
      </w:r>
      <w:r>
        <w:rPr>
          <w:spacing w:val="-6"/>
        </w:rPr>
        <w:t xml:space="preserve"> </w:t>
      </w:r>
      <w:r>
        <w:t>of</w:t>
      </w:r>
      <w:r>
        <w:rPr>
          <w:spacing w:val="-6"/>
        </w:rPr>
        <w:t xml:space="preserve"> </w:t>
      </w:r>
      <w:r>
        <w:t>freedom,</w:t>
      </w:r>
      <w:r>
        <w:rPr>
          <w:spacing w:val="-6"/>
        </w:rPr>
        <w:t xml:space="preserve"> </w:t>
      </w:r>
      <w:r>
        <w:t>it</w:t>
      </w:r>
      <w:r>
        <w:rPr>
          <w:spacing w:val="-6"/>
        </w:rPr>
        <w:t xml:space="preserve"> </w:t>
      </w:r>
      <w:r>
        <w:t>follows</w:t>
      </w:r>
      <w:r>
        <w:rPr>
          <w:spacing w:val="-6"/>
        </w:rPr>
        <w:t xml:space="preserve"> </w:t>
      </w:r>
      <w:r>
        <w:t>that</w:t>
      </w:r>
      <w:r>
        <w:rPr>
          <w:spacing w:val="-6"/>
        </w:rPr>
        <w:t xml:space="preserve"> </w:t>
      </w:r>
      <w:r>
        <w:t>our</w:t>
      </w:r>
      <w:r>
        <w:rPr>
          <w:spacing w:val="-6"/>
        </w:rPr>
        <w:t xml:space="preserve"> </w:t>
      </w:r>
      <w:r>
        <w:t xml:space="preserve">choices </w:t>
      </w:r>
      <w:r>
        <w:rPr>
          <w:spacing w:val="-4"/>
        </w:rPr>
        <w:t>themselves</w:t>
      </w:r>
      <w:r>
        <w:rPr>
          <w:spacing w:val="-12"/>
        </w:rPr>
        <w:t xml:space="preserve"> </w:t>
      </w:r>
      <w:r>
        <w:rPr>
          <w:spacing w:val="-4"/>
        </w:rPr>
        <w:t>are</w:t>
      </w:r>
      <w:r>
        <w:rPr>
          <w:spacing w:val="-12"/>
        </w:rPr>
        <w:t xml:space="preserve"> </w:t>
      </w:r>
      <w:r>
        <w:rPr>
          <w:spacing w:val="-4"/>
        </w:rPr>
        <w:t>made</w:t>
      </w:r>
      <w:r>
        <w:rPr>
          <w:spacing w:val="-12"/>
        </w:rPr>
        <w:t xml:space="preserve"> </w:t>
      </w:r>
      <w:r>
        <w:rPr>
          <w:spacing w:val="-4"/>
        </w:rPr>
        <w:t>freely.</w:t>
      </w:r>
      <w:r>
        <w:rPr>
          <w:spacing w:val="-12"/>
        </w:rPr>
        <w:t xml:space="preserve"> </w:t>
      </w:r>
      <w:r>
        <w:rPr>
          <w:spacing w:val="-4"/>
        </w:rPr>
        <w:t>(Cf.</w:t>
      </w:r>
      <w:r>
        <w:rPr>
          <w:spacing w:val="-12"/>
        </w:rPr>
        <w:t xml:space="preserve"> </w:t>
      </w:r>
      <w:r>
        <w:rPr>
          <w:spacing w:val="-4"/>
        </w:rPr>
        <w:t>Merleau-Ponty,</w:t>
      </w:r>
      <w:r>
        <w:rPr>
          <w:spacing w:val="-12"/>
        </w:rPr>
        <w:t xml:space="preserve"> </w:t>
      </w:r>
      <w:r>
        <w:rPr>
          <w:spacing w:val="-4"/>
        </w:rPr>
        <w:t>p.</w:t>
      </w:r>
      <w:r>
        <w:rPr>
          <w:spacing w:val="-12"/>
        </w:rPr>
        <w:t xml:space="preserve"> </w:t>
      </w:r>
      <w:r>
        <w:rPr>
          <w:spacing w:val="-4"/>
        </w:rPr>
        <w:t>469:</w:t>
      </w:r>
      <w:r>
        <w:rPr>
          <w:spacing w:val="-13"/>
        </w:rPr>
        <w:t xml:space="preserve"> </w:t>
      </w:r>
      <w:r>
        <w:rPr>
          <w:spacing w:val="-4"/>
        </w:rPr>
        <w:t>“[W]hat</w:t>
      </w:r>
      <w:r>
        <w:rPr>
          <w:spacing w:val="-13"/>
        </w:rPr>
        <w:t xml:space="preserve"> </w:t>
      </w:r>
      <w:r>
        <w:rPr>
          <w:spacing w:val="-4"/>
        </w:rPr>
        <w:t>are</w:t>
      </w:r>
      <w:r>
        <w:rPr>
          <w:spacing w:val="-12"/>
        </w:rPr>
        <w:t xml:space="preserve"> </w:t>
      </w:r>
      <w:r>
        <w:rPr>
          <w:spacing w:val="-4"/>
        </w:rPr>
        <w:t xml:space="preserve">called </w:t>
      </w:r>
      <w:r>
        <w:t>obstacles to freedom are in reality deployed by it.</w:t>
      </w:r>
      <w:r>
        <w:rPr>
          <w:spacing w:val="-1"/>
        </w:rPr>
        <w:t xml:space="preserve"> </w:t>
      </w:r>
      <w:r>
        <w:t>An unclimbable rock face,</w:t>
      </w:r>
      <w:r>
        <w:rPr>
          <w:spacing w:val="-12"/>
        </w:rPr>
        <w:t xml:space="preserve"> </w:t>
      </w:r>
      <w:r>
        <w:t>a</w:t>
      </w:r>
      <w:r>
        <w:rPr>
          <w:spacing w:val="-12"/>
        </w:rPr>
        <w:t xml:space="preserve"> </w:t>
      </w:r>
      <w:r>
        <w:t>large</w:t>
      </w:r>
      <w:r>
        <w:rPr>
          <w:spacing w:val="-12"/>
        </w:rPr>
        <w:t xml:space="preserve"> </w:t>
      </w:r>
      <w:r>
        <w:t>or</w:t>
      </w:r>
      <w:r>
        <w:rPr>
          <w:spacing w:val="-12"/>
        </w:rPr>
        <w:t xml:space="preserve"> </w:t>
      </w:r>
      <w:r>
        <w:t>small</w:t>
      </w:r>
      <w:r>
        <w:rPr>
          <w:spacing w:val="-12"/>
        </w:rPr>
        <w:t xml:space="preserve"> </w:t>
      </w:r>
      <w:r>
        <w:t>slanting</w:t>
      </w:r>
      <w:r>
        <w:rPr>
          <w:spacing w:val="-12"/>
        </w:rPr>
        <w:t xml:space="preserve"> </w:t>
      </w:r>
      <w:r>
        <w:t>rock,</w:t>
      </w:r>
      <w:r>
        <w:rPr>
          <w:spacing w:val="-12"/>
        </w:rPr>
        <w:t xml:space="preserve"> </w:t>
      </w:r>
      <w:r>
        <w:t>are</w:t>
      </w:r>
      <w:r>
        <w:rPr>
          <w:spacing w:val="-12"/>
        </w:rPr>
        <w:t xml:space="preserve"> </w:t>
      </w:r>
      <w:r>
        <w:t>things</w:t>
      </w:r>
      <w:r>
        <w:rPr>
          <w:spacing w:val="-12"/>
        </w:rPr>
        <w:t xml:space="preserve"> </w:t>
      </w:r>
      <w:r>
        <w:t>which</w:t>
      </w:r>
      <w:r>
        <w:rPr>
          <w:spacing w:val="-12"/>
        </w:rPr>
        <w:t xml:space="preserve"> </w:t>
      </w:r>
      <w:r>
        <w:t>have</w:t>
      </w:r>
      <w:r>
        <w:rPr>
          <w:spacing w:val="-12"/>
        </w:rPr>
        <w:t xml:space="preserve"> </w:t>
      </w:r>
      <w:r>
        <w:t>no</w:t>
      </w:r>
      <w:r>
        <w:rPr>
          <w:spacing w:val="-12"/>
        </w:rPr>
        <w:t xml:space="preserve"> </w:t>
      </w:r>
      <w:r>
        <w:t>meaning</w:t>
      </w:r>
      <w:r>
        <w:rPr>
          <w:spacing w:val="-12"/>
        </w:rPr>
        <w:t xml:space="preserve"> </w:t>
      </w:r>
      <w:r>
        <w:t>for anyone</w:t>
      </w:r>
      <w:r>
        <w:rPr>
          <w:spacing w:val="-18"/>
        </w:rPr>
        <w:t xml:space="preserve"> </w:t>
      </w:r>
      <w:r>
        <w:t>who</w:t>
      </w:r>
      <w:r>
        <w:rPr>
          <w:spacing w:val="-18"/>
        </w:rPr>
        <w:t xml:space="preserve"> </w:t>
      </w:r>
      <w:r>
        <w:t>is</w:t>
      </w:r>
      <w:r>
        <w:rPr>
          <w:spacing w:val="-18"/>
        </w:rPr>
        <w:t xml:space="preserve"> </w:t>
      </w:r>
      <w:r>
        <w:t>not</w:t>
      </w:r>
      <w:r>
        <w:rPr>
          <w:spacing w:val="-18"/>
        </w:rPr>
        <w:t xml:space="preserve"> </w:t>
      </w:r>
      <w:r>
        <w:t>intending</w:t>
      </w:r>
      <w:r>
        <w:rPr>
          <w:spacing w:val="-18"/>
        </w:rPr>
        <w:t xml:space="preserve"> </w:t>
      </w:r>
      <w:r>
        <w:t>to</w:t>
      </w:r>
      <w:r>
        <w:rPr>
          <w:spacing w:val="-18"/>
        </w:rPr>
        <w:t xml:space="preserve"> </w:t>
      </w:r>
      <w:r>
        <w:t>surmount</w:t>
      </w:r>
      <w:r>
        <w:rPr>
          <w:spacing w:val="-18"/>
        </w:rPr>
        <w:t xml:space="preserve"> </w:t>
      </w:r>
      <w:r>
        <w:t>them...”</w:t>
      </w:r>
      <w:r>
        <w:rPr>
          <w:spacing w:val="-18"/>
        </w:rPr>
        <w:t xml:space="preserve"> </w:t>
      </w:r>
      <w:r>
        <w:t>See</w:t>
      </w:r>
      <w:r>
        <w:rPr>
          <w:spacing w:val="-18"/>
        </w:rPr>
        <w:t xml:space="preserve"> </w:t>
      </w:r>
      <w:r>
        <w:t>also</w:t>
      </w:r>
      <w:r>
        <w:rPr>
          <w:spacing w:val="-18"/>
        </w:rPr>
        <w:t xml:space="preserve"> </w:t>
      </w:r>
      <w:r>
        <w:t>Sartre,</w:t>
      </w:r>
      <w:r>
        <w:rPr>
          <w:spacing w:val="-18"/>
        </w:rPr>
        <w:t xml:space="preserve"> </w:t>
      </w:r>
      <w:r>
        <w:t>p.</w:t>
      </w:r>
      <w:r>
        <w:rPr>
          <w:spacing w:val="-18"/>
        </w:rPr>
        <w:t xml:space="preserve"> </w:t>
      </w:r>
      <w:r>
        <w:t>463.)</w:t>
      </w:r>
    </w:p>
    <w:p w14:paraId="7E001CD8" w14:textId="77777777" w:rsidR="009A58DB" w:rsidRDefault="009A58DB">
      <w:pPr>
        <w:pStyle w:val="BodyText"/>
        <w:spacing w:before="25"/>
        <w:ind w:left="0"/>
        <w:jc w:val="left"/>
      </w:pPr>
    </w:p>
    <w:p w14:paraId="7E001CD9" w14:textId="77777777" w:rsidR="009A58DB" w:rsidRDefault="00000000">
      <w:pPr>
        <w:pStyle w:val="BodyText"/>
        <w:spacing w:line="271" w:lineRule="auto"/>
        <w:ind w:right="363" w:firstLine="360"/>
      </w:pPr>
      <w:r>
        <w:t>Given</w:t>
      </w:r>
      <w:r>
        <w:rPr>
          <w:spacing w:val="-13"/>
        </w:rPr>
        <w:t xml:space="preserve"> </w:t>
      </w:r>
      <w:r>
        <w:t>a</w:t>
      </w:r>
      <w:r>
        <w:rPr>
          <w:spacing w:val="-13"/>
        </w:rPr>
        <w:t xml:space="preserve"> </w:t>
      </w:r>
      <w:r>
        <w:t>Lockean</w:t>
      </w:r>
      <w:r>
        <w:rPr>
          <w:spacing w:val="-13"/>
        </w:rPr>
        <w:t xml:space="preserve"> </w:t>
      </w:r>
      <w:r>
        <w:t>conception</w:t>
      </w:r>
      <w:r>
        <w:rPr>
          <w:spacing w:val="-13"/>
        </w:rPr>
        <w:t xml:space="preserve"> </w:t>
      </w:r>
      <w:r>
        <w:t>of</w:t>
      </w:r>
      <w:r>
        <w:rPr>
          <w:spacing w:val="-13"/>
        </w:rPr>
        <w:t xml:space="preserve"> </w:t>
      </w:r>
      <w:r>
        <w:t>freedom</w:t>
      </w:r>
      <w:r>
        <w:rPr>
          <w:spacing w:val="-13"/>
        </w:rPr>
        <w:t xml:space="preserve"> </w:t>
      </w:r>
      <w:r>
        <w:t>(“to</w:t>
      </w:r>
      <w:r>
        <w:rPr>
          <w:spacing w:val="-12"/>
        </w:rPr>
        <w:t xml:space="preserve"> </w:t>
      </w:r>
      <w:r>
        <w:t>be</w:t>
      </w:r>
      <w:r>
        <w:rPr>
          <w:spacing w:val="-12"/>
        </w:rPr>
        <w:t xml:space="preserve"> </w:t>
      </w:r>
      <w:r>
        <w:t>free</w:t>
      </w:r>
      <w:r>
        <w:rPr>
          <w:spacing w:val="-12"/>
        </w:rPr>
        <w:t xml:space="preserve"> </w:t>
      </w:r>
      <w:r>
        <w:t>is</w:t>
      </w:r>
      <w:r>
        <w:rPr>
          <w:spacing w:val="-12"/>
        </w:rPr>
        <w:t xml:space="preserve"> </w:t>
      </w:r>
      <w:r>
        <w:t>to</w:t>
      </w:r>
      <w:r>
        <w:rPr>
          <w:spacing w:val="-12"/>
        </w:rPr>
        <w:t xml:space="preserve"> </w:t>
      </w:r>
      <w:r>
        <w:t>be</w:t>
      </w:r>
      <w:r>
        <w:rPr>
          <w:spacing w:val="-12"/>
        </w:rPr>
        <w:t xml:space="preserve"> </w:t>
      </w:r>
      <w:r>
        <w:t>able</w:t>
      </w:r>
      <w:r>
        <w:rPr>
          <w:spacing w:val="-12"/>
        </w:rPr>
        <w:t xml:space="preserve"> </w:t>
      </w:r>
      <w:r>
        <w:t>to</w:t>
      </w:r>
      <w:r>
        <w:rPr>
          <w:spacing w:val="-12"/>
        </w:rPr>
        <w:t xml:space="preserve"> </w:t>
      </w:r>
      <w:r>
        <w:t>do</w:t>
      </w:r>
      <w:r>
        <w:rPr>
          <w:spacing w:val="-12"/>
        </w:rPr>
        <w:t xml:space="preserve"> </w:t>
      </w:r>
      <w:r>
        <w:t xml:space="preserve">what </w:t>
      </w:r>
      <w:r>
        <w:rPr>
          <w:spacing w:val="-2"/>
        </w:rPr>
        <w:t>you</w:t>
      </w:r>
      <w:r>
        <w:rPr>
          <w:spacing w:val="-16"/>
        </w:rPr>
        <w:t xml:space="preserve"> </w:t>
      </w:r>
      <w:r>
        <w:rPr>
          <w:spacing w:val="-2"/>
        </w:rPr>
        <w:t>want</w:t>
      </w:r>
      <w:r>
        <w:rPr>
          <w:spacing w:val="-15"/>
        </w:rPr>
        <w:t xml:space="preserve"> </w:t>
      </w:r>
      <w:r>
        <w:rPr>
          <w:spacing w:val="-2"/>
        </w:rPr>
        <w:t>to</w:t>
      </w:r>
      <w:r>
        <w:rPr>
          <w:spacing w:val="-14"/>
        </w:rPr>
        <w:t xml:space="preserve"> </w:t>
      </w:r>
      <w:r>
        <w:rPr>
          <w:spacing w:val="-2"/>
        </w:rPr>
        <w:t>do—nothing</w:t>
      </w:r>
      <w:r>
        <w:rPr>
          <w:spacing w:val="-14"/>
        </w:rPr>
        <w:t xml:space="preserve"> </w:t>
      </w:r>
      <w:r>
        <w:rPr>
          <w:spacing w:val="-2"/>
        </w:rPr>
        <w:t>more”)</w:t>
      </w:r>
      <w:r>
        <w:rPr>
          <w:spacing w:val="-14"/>
        </w:rPr>
        <w:t xml:space="preserve"> </w:t>
      </w:r>
      <w:r>
        <w:rPr>
          <w:spacing w:val="-2"/>
        </w:rPr>
        <w:t>SMP</w:t>
      </w:r>
      <w:r>
        <w:rPr>
          <w:spacing w:val="-2"/>
          <w:vertAlign w:val="subscript"/>
        </w:rPr>
        <w:t>2</w:t>
      </w:r>
      <w:r>
        <w:rPr>
          <w:spacing w:val="-11"/>
        </w:rPr>
        <w:t xml:space="preserve"> </w:t>
      </w:r>
      <w:r>
        <w:rPr>
          <w:spacing w:val="-2"/>
        </w:rPr>
        <w:t>goes</w:t>
      </w:r>
      <w:r>
        <w:rPr>
          <w:spacing w:val="-15"/>
        </w:rPr>
        <w:t xml:space="preserve"> </w:t>
      </w:r>
      <w:r>
        <w:rPr>
          <w:spacing w:val="-2"/>
        </w:rPr>
        <w:t>through.</w:t>
      </w:r>
      <w:r>
        <w:rPr>
          <w:spacing w:val="-15"/>
        </w:rPr>
        <w:t xml:space="preserve"> </w:t>
      </w:r>
      <w:r>
        <w:rPr>
          <w:spacing w:val="-2"/>
        </w:rPr>
        <w:t>So</w:t>
      </w:r>
      <w:r>
        <w:rPr>
          <w:spacing w:val="-15"/>
        </w:rPr>
        <w:t xml:space="preserve"> </w:t>
      </w:r>
      <w:r>
        <w:rPr>
          <w:spacing w:val="-2"/>
        </w:rPr>
        <w:t>SMPT</w:t>
      </w:r>
      <w:r>
        <w:rPr>
          <w:spacing w:val="-17"/>
        </w:rPr>
        <w:t xml:space="preserve"> </w:t>
      </w:r>
      <w:r>
        <w:rPr>
          <w:spacing w:val="-2"/>
        </w:rPr>
        <w:t>is</w:t>
      </w:r>
      <w:r>
        <w:rPr>
          <w:spacing w:val="-14"/>
        </w:rPr>
        <w:t xml:space="preserve"> </w:t>
      </w:r>
      <w:r>
        <w:rPr>
          <w:spacing w:val="-2"/>
        </w:rPr>
        <w:t xml:space="preserve">conditionally </w:t>
      </w:r>
      <w:r>
        <w:t>correct.</w:t>
      </w:r>
      <w:r>
        <w:rPr>
          <w:spacing w:val="23"/>
        </w:rPr>
        <w:t xml:space="preserve"> </w:t>
      </w:r>
      <w:r>
        <w:t>But</w:t>
      </w:r>
      <w:r>
        <w:rPr>
          <w:spacing w:val="23"/>
        </w:rPr>
        <w:t xml:space="preserve"> </w:t>
      </w:r>
      <w:r>
        <w:t>on</w:t>
      </w:r>
      <w:r>
        <w:rPr>
          <w:spacing w:val="23"/>
        </w:rPr>
        <w:t xml:space="preserve"> </w:t>
      </w:r>
      <w:r>
        <w:t>the</w:t>
      </w:r>
      <w:r>
        <w:rPr>
          <w:spacing w:val="23"/>
        </w:rPr>
        <w:t xml:space="preserve"> </w:t>
      </w:r>
      <w:r>
        <w:t>basis</w:t>
      </w:r>
      <w:r>
        <w:rPr>
          <w:spacing w:val="24"/>
        </w:rPr>
        <w:t xml:space="preserve"> </w:t>
      </w:r>
      <w:r>
        <w:t>of</w:t>
      </w:r>
      <w:r>
        <w:rPr>
          <w:spacing w:val="23"/>
        </w:rPr>
        <w:t xml:space="preserve"> </w:t>
      </w:r>
      <w:r>
        <w:t>it,</w:t>
      </w:r>
      <w:r>
        <w:rPr>
          <w:spacing w:val="23"/>
        </w:rPr>
        <w:t xml:space="preserve"> </w:t>
      </w:r>
      <w:r>
        <w:t>Sartre</w:t>
      </w:r>
      <w:r>
        <w:rPr>
          <w:spacing w:val="23"/>
        </w:rPr>
        <w:t xml:space="preserve"> </w:t>
      </w:r>
      <w:r>
        <w:t>and</w:t>
      </w:r>
      <w:r>
        <w:rPr>
          <w:spacing w:val="23"/>
        </w:rPr>
        <w:t xml:space="preserve"> </w:t>
      </w:r>
      <w:r>
        <w:t>Merleau-Ponty</w:t>
      </w:r>
      <w:r>
        <w:rPr>
          <w:spacing w:val="24"/>
        </w:rPr>
        <w:t xml:space="preserve"> </w:t>
      </w:r>
      <w:r>
        <w:t>hold</w:t>
      </w:r>
      <w:r>
        <w:rPr>
          <w:spacing w:val="23"/>
        </w:rPr>
        <w:t xml:space="preserve"> </w:t>
      </w:r>
      <w:r>
        <w:t>a</w:t>
      </w:r>
      <w:r>
        <w:rPr>
          <w:spacing w:val="23"/>
        </w:rPr>
        <w:t xml:space="preserve"> </w:t>
      </w:r>
      <w:r>
        <w:t>view</w:t>
      </w:r>
      <w:r>
        <w:rPr>
          <w:spacing w:val="23"/>
        </w:rPr>
        <w:t xml:space="preserve"> </w:t>
      </w:r>
      <w:r>
        <w:t>that</w:t>
      </w:r>
      <w:r>
        <w:rPr>
          <w:spacing w:val="24"/>
        </w:rPr>
        <w:t xml:space="preserve"> </w:t>
      </w:r>
      <w:r>
        <w:rPr>
          <w:spacing w:val="-5"/>
        </w:rPr>
        <w:t>is</w:t>
      </w:r>
    </w:p>
    <w:p w14:paraId="7E001CDA" w14:textId="77777777" w:rsidR="009A58DB" w:rsidRDefault="00000000">
      <w:pPr>
        <w:pStyle w:val="BodyText"/>
        <w:spacing w:line="316" w:lineRule="exact"/>
      </w:pPr>
      <w:r>
        <w:t>unconditionally</w:t>
      </w:r>
      <w:r>
        <w:rPr>
          <w:spacing w:val="-7"/>
        </w:rPr>
        <w:t xml:space="preserve"> </w:t>
      </w:r>
      <w:r>
        <w:t>incorrect.</w:t>
      </w:r>
      <w:r>
        <w:rPr>
          <w:spacing w:val="-10"/>
        </w:rPr>
        <w:t xml:space="preserve"> </w:t>
      </w:r>
      <w:r>
        <w:t>They</w:t>
      </w:r>
      <w:r>
        <w:rPr>
          <w:spacing w:val="-7"/>
        </w:rPr>
        <w:t xml:space="preserve"> </w:t>
      </w:r>
      <w:r>
        <w:t>hold</w:t>
      </w:r>
      <w:r>
        <w:rPr>
          <w:spacing w:val="-6"/>
        </w:rPr>
        <w:t xml:space="preserve"> </w:t>
      </w:r>
      <w:r>
        <w:t>that,</w:t>
      </w:r>
      <w:r>
        <w:rPr>
          <w:spacing w:val="-7"/>
        </w:rPr>
        <w:t xml:space="preserve"> </w:t>
      </w:r>
      <w:r>
        <w:t>given</w:t>
      </w:r>
      <w:r>
        <w:rPr>
          <w:spacing w:val="-6"/>
        </w:rPr>
        <w:t xml:space="preserve"> </w:t>
      </w:r>
      <w:r>
        <w:t>the</w:t>
      </w:r>
      <w:r>
        <w:rPr>
          <w:spacing w:val="-6"/>
        </w:rPr>
        <w:t xml:space="preserve"> </w:t>
      </w:r>
      <w:r>
        <w:t>truth</w:t>
      </w:r>
      <w:r>
        <w:rPr>
          <w:spacing w:val="-7"/>
        </w:rPr>
        <w:t xml:space="preserve"> </w:t>
      </w:r>
      <w:r>
        <w:t>of</w:t>
      </w:r>
      <w:r>
        <w:rPr>
          <w:spacing w:val="-6"/>
        </w:rPr>
        <w:t xml:space="preserve"> </w:t>
      </w:r>
      <w:r>
        <w:t>(SMP</w:t>
      </w:r>
      <w:r>
        <w:rPr>
          <w:vertAlign w:val="subscript"/>
        </w:rPr>
        <w:t>2</w:t>
      </w:r>
      <w:r>
        <w:t>),</w:t>
      </w:r>
      <w:r>
        <w:rPr>
          <w:spacing w:val="-6"/>
        </w:rPr>
        <w:t xml:space="preserve"> </w:t>
      </w:r>
      <w:r>
        <w:t>it</w:t>
      </w:r>
      <w:r>
        <w:rPr>
          <w:spacing w:val="-6"/>
        </w:rPr>
        <w:t xml:space="preserve"> </w:t>
      </w:r>
      <w:r>
        <w:rPr>
          <w:spacing w:val="-2"/>
        </w:rPr>
        <w:t>follows</w:t>
      </w:r>
    </w:p>
    <w:p w14:paraId="7E001CDB" w14:textId="77777777" w:rsidR="009A58DB" w:rsidRDefault="00000000">
      <w:pPr>
        <w:spacing w:before="75"/>
        <w:ind w:left="360"/>
        <w:jc w:val="both"/>
        <w:rPr>
          <w:position w:val="21"/>
          <w:sz w:val="30"/>
        </w:rPr>
      </w:pPr>
      <w:r>
        <w:rPr>
          <w:spacing w:val="-4"/>
          <w:sz w:val="30"/>
        </w:rPr>
        <w:t>that</w:t>
      </w:r>
      <w:r>
        <w:rPr>
          <w:spacing w:val="-9"/>
          <w:sz w:val="30"/>
        </w:rPr>
        <w:t xml:space="preserve"> </w:t>
      </w:r>
      <w:r>
        <w:rPr>
          <w:spacing w:val="-4"/>
          <w:sz w:val="30"/>
        </w:rPr>
        <w:t>choices</w:t>
      </w:r>
      <w:r>
        <w:rPr>
          <w:spacing w:val="-7"/>
          <w:sz w:val="30"/>
        </w:rPr>
        <w:t xml:space="preserve"> </w:t>
      </w:r>
      <w:r>
        <w:rPr>
          <w:spacing w:val="-4"/>
          <w:sz w:val="30"/>
        </w:rPr>
        <w:t>are</w:t>
      </w:r>
      <w:r>
        <w:rPr>
          <w:spacing w:val="-8"/>
          <w:sz w:val="30"/>
        </w:rPr>
        <w:t xml:space="preserve"> </w:t>
      </w:r>
      <w:r>
        <w:rPr>
          <w:spacing w:val="-4"/>
          <w:sz w:val="30"/>
        </w:rPr>
        <w:t>entirely</w:t>
      </w:r>
      <w:r>
        <w:rPr>
          <w:spacing w:val="-8"/>
          <w:sz w:val="30"/>
        </w:rPr>
        <w:t xml:space="preserve"> </w:t>
      </w:r>
      <w:r>
        <w:rPr>
          <w:i/>
          <w:spacing w:val="-4"/>
          <w:sz w:val="30"/>
        </w:rPr>
        <w:t>uncaused</w:t>
      </w:r>
      <w:bookmarkStart w:id="399" w:name="_bookmark399"/>
      <w:bookmarkEnd w:id="399"/>
      <w:r>
        <w:rPr>
          <w:i/>
          <w:spacing w:val="-4"/>
          <w:sz w:val="30"/>
        </w:rPr>
        <w:t>.</w:t>
      </w:r>
      <w:r>
        <w:rPr>
          <w:color w:val="0562C1"/>
          <w:spacing w:val="-4"/>
          <w:position w:val="21"/>
          <w:sz w:val="30"/>
          <w:u w:val="single" w:color="0562C1"/>
        </w:rPr>
        <w:t>[285]</w:t>
      </w:r>
    </w:p>
    <w:p w14:paraId="7E001CDC" w14:textId="77777777" w:rsidR="009A58DB" w:rsidRDefault="00000000">
      <w:pPr>
        <w:pStyle w:val="BodyText"/>
        <w:spacing w:before="15"/>
        <w:ind w:left="720"/>
        <w:jc w:val="left"/>
      </w:pPr>
      <w:r>
        <w:t>This</w:t>
      </w:r>
      <w:r>
        <w:rPr>
          <w:spacing w:val="16"/>
        </w:rPr>
        <w:t xml:space="preserve"> </w:t>
      </w:r>
      <w:r>
        <w:t>is</w:t>
      </w:r>
      <w:r>
        <w:rPr>
          <w:spacing w:val="19"/>
        </w:rPr>
        <w:t xml:space="preserve"> </w:t>
      </w:r>
      <w:r>
        <w:t>a</w:t>
      </w:r>
      <w:r>
        <w:rPr>
          <w:spacing w:val="18"/>
        </w:rPr>
        <w:t xml:space="preserve"> </w:t>
      </w:r>
      <w:r>
        <w:t>major</w:t>
      </w:r>
      <w:r>
        <w:rPr>
          <w:spacing w:val="19"/>
        </w:rPr>
        <w:t xml:space="preserve"> </w:t>
      </w:r>
      <w:r>
        <w:t>non-sequitur.</w:t>
      </w:r>
      <w:r>
        <w:rPr>
          <w:spacing w:val="18"/>
        </w:rPr>
        <w:t xml:space="preserve"> </w:t>
      </w:r>
      <w:r>
        <w:t>It</w:t>
      </w:r>
      <w:r>
        <w:rPr>
          <w:spacing w:val="19"/>
        </w:rPr>
        <w:t xml:space="preserve"> </w:t>
      </w:r>
      <w:r>
        <w:t>may</w:t>
      </w:r>
      <w:r>
        <w:rPr>
          <w:spacing w:val="19"/>
        </w:rPr>
        <w:t xml:space="preserve"> </w:t>
      </w:r>
      <w:r>
        <w:t>be</w:t>
      </w:r>
      <w:r>
        <w:rPr>
          <w:spacing w:val="18"/>
        </w:rPr>
        <w:t xml:space="preserve"> </w:t>
      </w:r>
      <w:r>
        <w:t>true</w:t>
      </w:r>
      <w:r>
        <w:rPr>
          <w:spacing w:val="19"/>
        </w:rPr>
        <w:t xml:space="preserve"> </w:t>
      </w:r>
      <w:r>
        <w:t>that</w:t>
      </w:r>
      <w:r>
        <w:rPr>
          <w:spacing w:val="18"/>
        </w:rPr>
        <w:t xml:space="preserve"> </w:t>
      </w:r>
      <w:r>
        <w:t>one</w:t>
      </w:r>
      <w:r>
        <w:rPr>
          <w:spacing w:val="19"/>
        </w:rPr>
        <w:t xml:space="preserve"> </w:t>
      </w:r>
      <w:r>
        <w:t>cannot</w:t>
      </w:r>
      <w:r>
        <w:rPr>
          <w:spacing w:val="19"/>
        </w:rPr>
        <w:t xml:space="preserve"> </w:t>
      </w:r>
      <w:r>
        <w:rPr>
          <w:spacing w:val="-2"/>
        </w:rPr>
        <w:t>meaningfully</w:t>
      </w:r>
    </w:p>
    <w:p w14:paraId="7E001CDD" w14:textId="77777777" w:rsidR="009A58DB" w:rsidRDefault="009A58DB">
      <w:pPr>
        <w:pStyle w:val="BodyText"/>
        <w:jc w:val="left"/>
        <w:sectPr w:rsidR="009A58DB">
          <w:pgSz w:w="12240" w:h="15840"/>
          <w:pgMar w:top="1380" w:right="1080" w:bottom="280" w:left="1080" w:header="720" w:footer="720" w:gutter="0"/>
          <w:cols w:space="720"/>
        </w:sectPr>
      </w:pPr>
    </w:p>
    <w:p w14:paraId="7E001CDE" w14:textId="77777777" w:rsidR="009A58DB" w:rsidRDefault="00000000">
      <w:pPr>
        <w:pStyle w:val="BodyText"/>
        <w:spacing w:before="65" w:line="249" w:lineRule="auto"/>
        <w:ind w:right="359"/>
      </w:pPr>
      <w:r>
        <w:lastRenderedPageBreak/>
        <w:t>speak</w:t>
      </w:r>
      <w:r>
        <w:rPr>
          <w:spacing w:val="-13"/>
        </w:rPr>
        <w:t xml:space="preserve"> </w:t>
      </w:r>
      <w:r>
        <w:t>of</w:t>
      </w:r>
      <w:r>
        <w:rPr>
          <w:spacing w:val="-13"/>
        </w:rPr>
        <w:t xml:space="preserve"> </w:t>
      </w:r>
      <w:r>
        <w:t>an</w:t>
      </w:r>
      <w:r>
        <w:rPr>
          <w:spacing w:val="-13"/>
        </w:rPr>
        <w:t xml:space="preserve"> </w:t>
      </w:r>
      <w:r>
        <w:t>absence</w:t>
      </w:r>
      <w:r>
        <w:rPr>
          <w:spacing w:val="-13"/>
        </w:rPr>
        <w:t xml:space="preserve"> </w:t>
      </w:r>
      <w:r>
        <w:t>of</w:t>
      </w:r>
      <w:r>
        <w:rPr>
          <w:spacing w:val="-13"/>
        </w:rPr>
        <w:t xml:space="preserve"> </w:t>
      </w:r>
      <w:r>
        <w:t>freedom</w:t>
      </w:r>
      <w:r>
        <w:rPr>
          <w:spacing w:val="-13"/>
        </w:rPr>
        <w:t xml:space="preserve"> </w:t>
      </w:r>
      <w:r>
        <w:t>except</w:t>
      </w:r>
      <w:r>
        <w:rPr>
          <w:spacing w:val="-13"/>
        </w:rPr>
        <w:t xml:space="preserve"> </w:t>
      </w:r>
      <w:r>
        <w:t>where</w:t>
      </w:r>
      <w:r>
        <w:rPr>
          <w:spacing w:val="-13"/>
        </w:rPr>
        <w:t xml:space="preserve"> </w:t>
      </w:r>
      <w:r>
        <w:t>choices</w:t>
      </w:r>
      <w:r>
        <w:rPr>
          <w:spacing w:val="-13"/>
        </w:rPr>
        <w:t xml:space="preserve"> </w:t>
      </w:r>
      <w:r>
        <w:t>have</w:t>
      </w:r>
      <w:r>
        <w:rPr>
          <w:spacing w:val="-13"/>
        </w:rPr>
        <w:t xml:space="preserve"> </w:t>
      </w:r>
      <w:r>
        <w:t>already</w:t>
      </w:r>
      <w:r>
        <w:rPr>
          <w:spacing w:val="-13"/>
        </w:rPr>
        <w:t xml:space="preserve"> </w:t>
      </w:r>
      <w:r>
        <w:t>been</w:t>
      </w:r>
      <w:r>
        <w:rPr>
          <w:spacing w:val="-13"/>
        </w:rPr>
        <w:t xml:space="preserve"> </w:t>
      </w:r>
      <w:r>
        <w:t>made. But it doesn’t follow that those choices were uncaused or, consequently, that those</w:t>
      </w:r>
      <w:r>
        <w:rPr>
          <w:spacing w:val="-19"/>
        </w:rPr>
        <w:t xml:space="preserve"> </w:t>
      </w:r>
      <w:r>
        <w:t>choices</w:t>
      </w:r>
      <w:r>
        <w:rPr>
          <w:spacing w:val="-19"/>
        </w:rPr>
        <w:t xml:space="preserve"> </w:t>
      </w:r>
      <w:r>
        <w:t>were</w:t>
      </w:r>
      <w:r>
        <w:rPr>
          <w:spacing w:val="-19"/>
        </w:rPr>
        <w:t xml:space="preserve"> </w:t>
      </w:r>
      <w:r>
        <w:t>not</w:t>
      </w:r>
      <w:r>
        <w:rPr>
          <w:spacing w:val="-18"/>
        </w:rPr>
        <w:t xml:space="preserve"> </w:t>
      </w:r>
      <w:r>
        <w:t>predetermined.</w:t>
      </w:r>
      <w:r>
        <w:rPr>
          <w:spacing w:val="-19"/>
        </w:rPr>
        <w:t xml:space="preserve"> </w:t>
      </w:r>
      <w:r>
        <w:t>We’ve</w:t>
      </w:r>
      <w:r>
        <w:rPr>
          <w:spacing w:val="-19"/>
        </w:rPr>
        <w:t xml:space="preserve"> </w:t>
      </w:r>
      <w:r>
        <w:t>already</w:t>
      </w:r>
      <w:r>
        <w:rPr>
          <w:spacing w:val="-19"/>
        </w:rPr>
        <w:t xml:space="preserve"> </w:t>
      </w:r>
      <w:r>
        <w:t>seen</w:t>
      </w:r>
      <w:r>
        <w:rPr>
          <w:spacing w:val="-18"/>
        </w:rPr>
        <w:t xml:space="preserve"> </w:t>
      </w:r>
      <w:r>
        <w:t>why.</w:t>
      </w:r>
    </w:p>
    <w:p w14:paraId="7E001CDF" w14:textId="77777777" w:rsidR="009A58DB" w:rsidRDefault="00000000">
      <w:pPr>
        <w:pStyle w:val="Heading1"/>
        <w:numPr>
          <w:ilvl w:val="1"/>
          <w:numId w:val="98"/>
        </w:numPr>
        <w:tabs>
          <w:tab w:val="left" w:pos="990"/>
        </w:tabs>
        <w:spacing w:before="191"/>
      </w:pPr>
      <w:r>
        <w:t>Ego-dystonic</w:t>
      </w:r>
      <w:r>
        <w:rPr>
          <w:spacing w:val="-8"/>
        </w:rPr>
        <w:t xml:space="preserve"> </w:t>
      </w:r>
      <w:r>
        <w:t>vs.</w:t>
      </w:r>
      <w:r>
        <w:rPr>
          <w:spacing w:val="-6"/>
        </w:rPr>
        <w:t xml:space="preserve"> </w:t>
      </w:r>
      <w:r>
        <w:t>ego-syntonic</w:t>
      </w:r>
      <w:r>
        <w:rPr>
          <w:spacing w:val="-5"/>
        </w:rPr>
        <w:t xml:space="preserve"> </w:t>
      </w:r>
      <w:r>
        <w:rPr>
          <w:spacing w:val="-2"/>
        </w:rPr>
        <w:t>causes</w:t>
      </w:r>
    </w:p>
    <w:p w14:paraId="7E001CE0" w14:textId="77777777" w:rsidR="009A58DB" w:rsidRDefault="00000000">
      <w:pPr>
        <w:pStyle w:val="BodyText"/>
        <w:spacing w:before="139" w:line="249" w:lineRule="auto"/>
        <w:ind w:right="354"/>
      </w:pPr>
      <w:r>
        <w:t xml:space="preserve">To be free, we have argued, one must identify with one’s desires—gratifying them isn’t enough. Psychologists refer to mental contents that one identifies </w:t>
      </w:r>
      <w:r>
        <w:rPr>
          <w:spacing w:val="-2"/>
        </w:rPr>
        <w:t>with</w:t>
      </w:r>
      <w:r>
        <w:rPr>
          <w:spacing w:val="-17"/>
        </w:rPr>
        <w:t xml:space="preserve"> </w:t>
      </w:r>
      <w:r>
        <w:rPr>
          <w:spacing w:val="-2"/>
        </w:rPr>
        <w:t>as</w:t>
      </w:r>
      <w:r>
        <w:rPr>
          <w:spacing w:val="-17"/>
        </w:rPr>
        <w:t xml:space="preserve"> </w:t>
      </w:r>
      <w:r>
        <w:rPr>
          <w:spacing w:val="-2"/>
        </w:rPr>
        <w:t>ego-</w:t>
      </w:r>
      <w:r>
        <w:rPr>
          <w:i/>
          <w:spacing w:val="-2"/>
        </w:rPr>
        <w:t>syntonic</w:t>
      </w:r>
      <w:r>
        <w:rPr>
          <w:i/>
          <w:spacing w:val="-17"/>
        </w:rPr>
        <w:t xml:space="preserve"> </w:t>
      </w:r>
      <w:r>
        <w:rPr>
          <w:spacing w:val="-2"/>
        </w:rPr>
        <w:t>and</w:t>
      </w:r>
      <w:r>
        <w:rPr>
          <w:spacing w:val="-11"/>
        </w:rPr>
        <w:t xml:space="preserve"> </w:t>
      </w:r>
      <w:r>
        <w:rPr>
          <w:spacing w:val="-2"/>
        </w:rPr>
        <w:t>to</w:t>
      </w:r>
      <w:r>
        <w:rPr>
          <w:spacing w:val="-11"/>
        </w:rPr>
        <w:t xml:space="preserve"> </w:t>
      </w:r>
      <w:r>
        <w:rPr>
          <w:spacing w:val="-2"/>
        </w:rPr>
        <w:t>those</w:t>
      </w:r>
      <w:r>
        <w:rPr>
          <w:spacing w:val="-11"/>
        </w:rPr>
        <w:t xml:space="preserve"> </w:t>
      </w:r>
      <w:r>
        <w:rPr>
          <w:spacing w:val="-2"/>
        </w:rPr>
        <w:t>that</w:t>
      </w:r>
      <w:r>
        <w:rPr>
          <w:spacing w:val="-11"/>
        </w:rPr>
        <w:t xml:space="preserve"> </w:t>
      </w:r>
      <w:r>
        <w:rPr>
          <w:spacing w:val="-2"/>
        </w:rPr>
        <w:t>one</w:t>
      </w:r>
      <w:r>
        <w:rPr>
          <w:spacing w:val="-11"/>
        </w:rPr>
        <w:t xml:space="preserve"> </w:t>
      </w:r>
      <w:r>
        <w:rPr>
          <w:spacing w:val="-2"/>
        </w:rPr>
        <w:t>doesn’t</w:t>
      </w:r>
      <w:r>
        <w:rPr>
          <w:spacing w:val="-11"/>
        </w:rPr>
        <w:t xml:space="preserve"> </w:t>
      </w:r>
      <w:r>
        <w:rPr>
          <w:spacing w:val="-2"/>
        </w:rPr>
        <w:t>identify</w:t>
      </w:r>
      <w:r>
        <w:rPr>
          <w:spacing w:val="-11"/>
        </w:rPr>
        <w:t xml:space="preserve"> </w:t>
      </w:r>
      <w:r>
        <w:rPr>
          <w:spacing w:val="-2"/>
        </w:rPr>
        <w:t>with</w:t>
      </w:r>
      <w:r>
        <w:rPr>
          <w:spacing w:val="-11"/>
        </w:rPr>
        <w:t xml:space="preserve"> </w:t>
      </w:r>
      <w:r>
        <w:rPr>
          <w:spacing w:val="-2"/>
        </w:rPr>
        <w:t>as</w:t>
      </w:r>
      <w:r>
        <w:rPr>
          <w:spacing w:val="-11"/>
        </w:rPr>
        <w:t xml:space="preserve"> </w:t>
      </w:r>
      <w:r>
        <w:rPr>
          <w:spacing w:val="-2"/>
        </w:rPr>
        <w:t>ego-</w:t>
      </w:r>
      <w:r>
        <w:rPr>
          <w:i/>
          <w:spacing w:val="-2"/>
        </w:rPr>
        <w:t xml:space="preserve">dystonic. </w:t>
      </w:r>
      <w:r>
        <w:t>An</w:t>
      </w:r>
      <w:r>
        <w:rPr>
          <w:spacing w:val="-13"/>
        </w:rPr>
        <w:t xml:space="preserve"> </w:t>
      </w:r>
      <w:r>
        <w:t>understanding</w:t>
      </w:r>
      <w:r>
        <w:rPr>
          <w:spacing w:val="-13"/>
        </w:rPr>
        <w:t xml:space="preserve"> </w:t>
      </w:r>
      <w:r>
        <w:t>of</w:t>
      </w:r>
      <w:r>
        <w:rPr>
          <w:spacing w:val="-13"/>
        </w:rPr>
        <w:t xml:space="preserve"> </w:t>
      </w:r>
      <w:r>
        <w:t>this</w:t>
      </w:r>
      <w:r>
        <w:rPr>
          <w:spacing w:val="-13"/>
        </w:rPr>
        <w:t xml:space="preserve"> </w:t>
      </w:r>
      <w:r>
        <w:t>distinction</w:t>
      </w:r>
      <w:r>
        <w:rPr>
          <w:spacing w:val="-12"/>
        </w:rPr>
        <w:t xml:space="preserve"> </w:t>
      </w:r>
      <w:r>
        <w:t>may</w:t>
      </w:r>
      <w:r>
        <w:rPr>
          <w:spacing w:val="-12"/>
        </w:rPr>
        <w:t xml:space="preserve"> </w:t>
      </w:r>
      <w:r>
        <w:t>clarify</w:t>
      </w:r>
      <w:r>
        <w:rPr>
          <w:spacing w:val="-12"/>
        </w:rPr>
        <w:t xml:space="preserve"> </w:t>
      </w:r>
      <w:r>
        <w:t>why</w:t>
      </w:r>
      <w:r>
        <w:rPr>
          <w:spacing w:val="-12"/>
        </w:rPr>
        <w:t xml:space="preserve"> </w:t>
      </w:r>
      <w:r>
        <w:t>determinism</w:t>
      </w:r>
      <w:r>
        <w:rPr>
          <w:spacing w:val="-13"/>
        </w:rPr>
        <w:t xml:space="preserve"> </w:t>
      </w:r>
      <w:r>
        <w:t>is</w:t>
      </w:r>
      <w:r>
        <w:rPr>
          <w:spacing w:val="-12"/>
        </w:rPr>
        <w:t xml:space="preserve"> </w:t>
      </w:r>
      <w:r>
        <w:t>necessary for</w:t>
      </w:r>
      <w:r>
        <w:rPr>
          <w:spacing w:val="-10"/>
        </w:rPr>
        <w:t xml:space="preserve"> </w:t>
      </w:r>
      <w:r>
        <w:t>freedom</w:t>
      </w:r>
      <w:r>
        <w:rPr>
          <w:spacing w:val="-10"/>
        </w:rPr>
        <w:t xml:space="preserve"> </w:t>
      </w:r>
      <w:r>
        <w:t>and</w:t>
      </w:r>
      <w:r>
        <w:rPr>
          <w:spacing w:val="-9"/>
        </w:rPr>
        <w:t xml:space="preserve"> </w:t>
      </w:r>
      <w:r>
        <w:t>why</w:t>
      </w:r>
      <w:r>
        <w:rPr>
          <w:spacing w:val="-9"/>
        </w:rPr>
        <w:t xml:space="preserve"> </w:t>
      </w:r>
      <w:r>
        <w:t>indeterminism</w:t>
      </w:r>
      <w:r>
        <w:rPr>
          <w:spacing w:val="-10"/>
        </w:rPr>
        <w:t xml:space="preserve"> </w:t>
      </w:r>
      <w:r>
        <w:t>threatens</w:t>
      </w:r>
      <w:r>
        <w:rPr>
          <w:spacing w:val="-9"/>
        </w:rPr>
        <w:t xml:space="preserve"> </w:t>
      </w:r>
      <w:r>
        <w:t>it.</w:t>
      </w:r>
    </w:p>
    <w:p w14:paraId="7E001CE1" w14:textId="77777777" w:rsidR="009A58DB" w:rsidRDefault="00000000">
      <w:pPr>
        <w:pStyle w:val="BodyText"/>
        <w:spacing w:before="7" w:line="249" w:lineRule="auto"/>
        <w:ind w:right="366" w:firstLine="360"/>
      </w:pPr>
      <w:r>
        <w:t>Some</w:t>
      </w:r>
      <w:r>
        <w:rPr>
          <w:spacing w:val="-19"/>
        </w:rPr>
        <w:t xml:space="preserve"> </w:t>
      </w:r>
      <w:r>
        <w:t>people</w:t>
      </w:r>
      <w:r>
        <w:rPr>
          <w:spacing w:val="-19"/>
        </w:rPr>
        <w:t xml:space="preserve"> </w:t>
      </w:r>
      <w:r>
        <w:t>who</w:t>
      </w:r>
      <w:r>
        <w:rPr>
          <w:spacing w:val="-19"/>
        </w:rPr>
        <w:t xml:space="preserve"> </w:t>
      </w:r>
      <w:r>
        <w:t>suffer</w:t>
      </w:r>
      <w:r>
        <w:rPr>
          <w:spacing w:val="-14"/>
        </w:rPr>
        <w:t xml:space="preserve"> </w:t>
      </w:r>
      <w:r>
        <w:t>from</w:t>
      </w:r>
      <w:r>
        <w:rPr>
          <w:spacing w:val="-13"/>
        </w:rPr>
        <w:t xml:space="preserve"> </w:t>
      </w:r>
      <w:r>
        <w:t>psychological</w:t>
      </w:r>
      <w:r>
        <w:rPr>
          <w:spacing w:val="-13"/>
        </w:rPr>
        <w:t xml:space="preserve"> </w:t>
      </w:r>
      <w:r>
        <w:t>disturbances</w:t>
      </w:r>
      <w:r>
        <w:rPr>
          <w:spacing w:val="-19"/>
        </w:rPr>
        <w:t xml:space="preserve"> </w:t>
      </w:r>
      <w:r>
        <w:rPr>
          <w:i/>
        </w:rPr>
        <w:t>identify</w:t>
      </w:r>
      <w:r>
        <w:rPr>
          <w:i/>
          <w:spacing w:val="-19"/>
        </w:rPr>
        <w:t xml:space="preserve"> </w:t>
      </w:r>
      <w:r>
        <w:t>with</w:t>
      </w:r>
      <w:r>
        <w:rPr>
          <w:spacing w:val="-19"/>
        </w:rPr>
        <w:t xml:space="preserve"> </w:t>
      </w:r>
      <w:r>
        <w:t xml:space="preserve">their </w:t>
      </w:r>
      <w:r>
        <w:rPr>
          <w:spacing w:val="-2"/>
        </w:rPr>
        <w:t>symptoms.</w:t>
      </w:r>
      <w:r>
        <w:rPr>
          <w:spacing w:val="-17"/>
        </w:rPr>
        <w:t xml:space="preserve"> </w:t>
      </w:r>
      <w:r>
        <w:rPr>
          <w:spacing w:val="-2"/>
        </w:rPr>
        <w:t>They</w:t>
      </w:r>
      <w:r>
        <w:rPr>
          <w:spacing w:val="-17"/>
        </w:rPr>
        <w:t xml:space="preserve"> </w:t>
      </w:r>
      <w:r>
        <w:rPr>
          <w:spacing w:val="-2"/>
        </w:rPr>
        <w:t>don’t</w:t>
      </w:r>
      <w:r>
        <w:rPr>
          <w:spacing w:val="-17"/>
        </w:rPr>
        <w:t xml:space="preserve"> </w:t>
      </w:r>
      <w:r>
        <w:rPr>
          <w:spacing w:val="-2"/>
        </w:rPr>
        <w:t>see</w:t>
      </w:r>
      <w:r>
        <w:rPr>
          <w:spacing w:val="-16"/>
        </w:rPr>
        <w:t xml:space="preserve"> </w:t>
      </w:r>
      <w:r>
        <w:rPr>
          <w:spacing w:val="-2"/>
        </w:rPr>
        <w:t>their</w:t>
      </w:r>
      <w:r>
        <w:rPr>
          <w:spacing w:val="-16"/>
        </w:rPr>
        <w:t xml:space="preserve"> </w:t>
      </w:r>
      <w:r>
        <w:rPr>
          <w:spacing w:val="-2"/>
        </w:rPr>
        <w:t>symptoms</w:t>
      </w:r>
      <w:r>
        <w:rPr>
          <w:spacing w:val="-16"/>
        </w:rPr>
        <w:t xml:space="preserve"> </w:t>
      </w:r>
      <w:r>
        <w:rPr>
          <w:spacing w:val="-2"/>
        </w:rPr>
        <w:t>as</w:t>
      </w:r>
      <w:r>
        <w:rPr>
          <w:spacing w:val="-15"/>
        </w:rPr>
        <w:t xml:space="preserve"> </w:t>
      </w:r>
      <w:r>
        <w:rPr>
          <w:spacing w:val="-2"/>
        </w:rPr>
        <w:t>symptoms.</w:t>
      </w:r>
      <w:r>
        <w:rPr>
          <w:spacing w:val="-15"/>
        </w:rPr>
        <w:t xml:space="preserve"> </w:t>
      </w:r>
      <w:r>
        <w:rPr>
          <w:spacing w:val="-2"/>
        </w:rPr>
        <w:t>For</w:t>
      </w:r>
      <w:r>
        <w:rPr>
          <w:spacing w:val="-15"/>
        </w:rPr>
        <w:t xml:space="preserve"> </w:t>
      </w:r>
      <w:r>
        <w:rPr>
          <w:spacing w:val="-2"/>
        </w:rPr>
        <w:t>example,</w:t>
      </w:r>
      <w:r>
        <w:rPr>
          <w:spacing w:val="-15"/>
        </w:rPr>
        <w:t xml:space="preserve"> </w:t>
      </w:r>
      <w:r>
        <w:rPr>
          <w:spacing w:val="-2"/>
        </w:rPr>
        <w:t>the</w:t>
      </w:r>
      <w:r>
        <w:rPr>
          <w:spacing w:val="-15"/>
        </w:rPr>
        <w:t xml:space="preserve"> </w:t>
      </w:r>
      <w:r>
        <w:rPr>
          <w:spacing w:val="-2"/>
        </w:rPr>
        <w:t xml:space="preserve">acute </w:t>
      </w:r>
      <w:r>
        <w:rPr>
          <w:spacing w:val="-4"/>
        </w:rPr>
        <w:t>schizophrenic</w:t>
      </w:r>
      <w:r>
        <w:rPr>
          <w:spacing w:val="-8"/>
        </w:rPr>
        <w:t xml:space="preserve"> </w:t>
      </w:r>
      <w:r>
        <w:rPr>
          <w:spacing w:val="-4"/>
        </w:rPr>
        <w:t>who</w:t>
      </w:r>
      <w:r>
        <w:rPr>
          <w:spacing w:val="-8"/>
        </w:rPr>
        <w:t xml:space="preserve"> </w:t>
      </w:r>
      <w:r>
        <w:rPr>
          <w:spacing w:val="-4"/>
        </w:rPr>
        <w:t>sees</w:t>
      </w:r>
      <w:r>
        <w:rPr>
          <w:spacing w:val="-8"/>
        </w:rPr>
        <w:t xml:space="preserve"> </w:t>
      </w:r>
      <w:r>
        <w:rPr>
          <w:spacing w:val="-4"/>
        </w:rPr>
        <w:t>goblins</w:t>
      </w:r>
      <w:r>
        <w:rPr>
          <w:spacing w:val="-8"/>
        </w:rPr>
        <w:t xml:space="preserve"> </w:t>
      </w:r>
      <w:r>
        <w:rPr>
          <w:spacing w:val="-4"/>
        </w:rPr>
        <w:t>dancing</w:t>
      </w:r>
      <w:r>
        <w:rPr>
          <w:spacing w:val="-8"/>
        </w:rPr>
        <w:t xml:space="preserve"> </w:t>
      </w:r>
      <w:r>
        <w:rPr>
          <w:spacing w:val="-4"/>
        </w:rPr>
        <w:t>on</w:t>
      </w:r>
      <w:r>
        <w:rPr>
          <w:spacing w:val="-8"/>
        </w:rPr>
        <w:t xml:space="preserve"> </w:t>
      </w:r>
      <w:r>
        <w:rPr>
          <w:spacing w:val="-4"/>
        </w:rPr>
        <w:t>his</w:t>
      </w:r>
      <w:r>
        <w:rPr>
          <w:spacing w:val="-8"/>
        </w:rPr>
        <w:t xml:space="preserve"> </w:t>
      </w:r>
      <w:r>
        <w:rPr>
          <w:spacing w:val="-4"/>
        </w:rPr>
        <w:t>bed</w:t>
      </w:r>
      <w:r>
        <w:rPr>
          <w:spacing w:val="-8"/>
        </w:rPr>
        <w:t xml:space="preserve"> </w:t>
      </w:r>
      <w:r>
        <w:rPr>
          <w:spacing w:val="-4"/>
        </w:rPr>
        <w:t>thinks</w:t>
      </w:r>
      <w:r>
        <w:rPr>
          <w:spacing w:val="-8"/>
        </w:rPr>
        <w:t xml:space="preserve"> </w:t>
      </w:r>
      <w:r>
        <w:rPr>
          <w:spacing w:val="-4"/>
        </w:rPr>
        <w:t>that</w:t>
      </w:r>
      <w:r>
        <w:rPr>
          <w:spacing w:val="-9"/>
        </w:rPr>
        <w:t xml:space="preserve"> </w:t>
      </w:r>
      <w:r>
        <w:rPr>
          <w:spacing w:val="-4"/>
        </w:rPr>
        <w:t>he’s</w:t>
      </w:r>
      <w:r>
        <w:rPr>
          <w:spacing w:val="-8"/>
        </w:rPr>
        <w:t xml:space="preserve"> </w:t>
      </w:r>
      <w:r>
        <w:rPr>
          <w:spacing w:val="-4"/>
        </w:rPr>
        <w:t>seeing</w:t>
      </w:r>
      <w:r>
        <w:rPr>
          <w:spacing w:val="-8"/>
        </w:rPr>
        <w:t xml:space="preserve"> </w:t>
      </w:r>
      <w:r>
        <w:rPr>
          <w:spacing w:val="-4"/>
        </w:rPr>
        <w:t xml:space="preserve">things </w:t>
      </w:r>
      <w:r>
        <w:t>as</w:t>
      </w:r>
      <w:r>
        <w:rPr>
          <w:spacing w:val="-16"/>
        </w:rPr>
        <w:t xml:space="preserve"> </w:t>
      </w:r>
      <w:r>
        <w:t>they</w:t>
      </w:r>
      <w:r>
        <w:rPr>
          <w:spacing w:val="-16"/>
        </w:rPr>
        <w:t xml:space="preserve"> </w:t>
      </w:r>
      <w:r>
        <w:t>are.</w:t>
      </w:r>
      <w:r>
        <w:rPr>
          <w:spacing w:val="-19"/>
        </w:rPr>
        <w:t xml:space="preserve"> </w:t>
      </w:r>
      <w:r>
        <w:t>To</w:t>
      </w:r>
      <w:r>
        <w:rPr>
          <w:spacing w:val="-15"/>
        </w:rPr>
        <w:t xml:space="preserve"> </w:t>
      </w:r>
      <w:r>
        <w:t>his</w:t>
      </w:r>
      <w:r>
        <w:rPr>
          <w:spacing w:val="-16"/>
        </w:rPr>
        <w:t xml:space="preserve"> </w:t>
      </w:r>
      <w:r>
        <w:t>mind,</w:t>
      </w:r>
      <w:r>
        <w:rPr>
          <w:spacing w:val="-16"/>
        </w:rPr>
        <w:t xml:space="preserve"> </w:t>
      </w:r>
      <w:r>
        <w:t>it’s</w:t>
      </w:r>
      <w:r>
        <w:rPr>
          <w:spacing w:val="-16"/>
        </w:rPr>
        <w:t xml:space="preserve"> </w:t>
      </w:r>
      <w:r>
        <w:t>other</w:t>
      </w:r>
      <w:r>
        <w:rPr>
          <w:spacing w:val="-16"/>
        </w:rPr>
        <w:t xml:space="preserve"> </w:t>
      </w:r>
      <w:r>
        <w:t>people</w:t>
      </w:r>
      <w:r>
        <w:rPr>
          <w:spacing w:val="-15"/>
        </w:rPr>
        <w:t xml:space="preserve"> </w:t>
      </w:r>
      <w:r>
        <w:t>who</w:t>
      </w:r>
      <w:r>
        <w:rPr>
          <w:spacing w:val="-15"/>
        </w:rPr>
        <w:t xml:space="preserve"> </w:t>
      </w:r>
      <w:r>
        <w:t>are</w:t>
      </w:r>
      <w:r>
        <w:rPr>
          <w:spacing w:val="-15"/>
        </w:rPr>
        <w:t xml:space="preserve"> </w:t>
      </w:r>
      <w:r>
        <w:t>wrong:</w:t>
      </w:r>
      <w:r>
        <w:rPr>
          <w:spacing w:val="-15"/>
        </w:rPr>
        <w:t xml:space="preserve"> </w:t>
      </w:r>
      <w:r>
        <w:t>they</w:t>
      </w:r>
      <w:r>
        <w:rPr>
          <w:spacing w:val="-15"/>
        </w:rPr>
        <w:t xml:space="preserve"> </w:t>
      </w:r>
      <w:r>
        <w:t>can’t</w:t>
      </w:r>
      <w:r>
        <w:rPr>
          <w:spacing w:val="-15"/>
        </w:rPr>
        <w:t xml:space="preserve"> </w:t>
      </w:r>
      <w:r>
        <w:t>see</w:t>
      </w:r>
      <w:r>
        <w:rPr>
          <w:spacing w:val="-15"/>
        </w:rPr>
        <w:t xml:space="preserve"> </w:t>
      </w:r>
      <w:r>
        <w:t>what’s there; he can. The same holds of the paranoiac who thinks her phone conversations</w:t>
      </w:r>
      <w:r>
        <w:rPr>
          <w:spacing w:val="-11"/>
        </w:rPr>
        <w:t xml:space="preserve"> </w:t>
      </w:r>
      <w:r>
        <w:t>are</w:t>
      </w:r>
      <w:r>
        <w:rPr>
          <w:spacing w:val="-11"/>
        </w:rPr>
        <w:t xml:space="preserve"> </w:t>
      </w:r>
      <w:r>
        <w:t>being</w:t>
      </w:r>
      <w:r>
        <w:rPr>
          <w:spacing w:val="-11"/>
        </w:rPr>
        <w:t xml:space="preserve"> </w:t>
      </w:r>
      <w:r>
        <w:t>monitored</w:t>
      </w:r>
      <w:r>
        <w:rPr>
          <w:spacing w:val="-11"/>
        </w:rPr>
        <w:t xml:space="preserve"> </w:t>
      </w:r>
      <w:r>
        <w:t>by</w:t>
      </w:r>
      <w:r>
        <w:rPr>
          <w:spacing w:val="-11"/>
        </w:rPr>
        <w:t xml:space="preserve"> </w:t>
      </w:r>
      <w:r>
        <w:t>the</w:t>
      </w:r>
      <w:r>
        <w:rPr>
          <w:spacing w:val="-11"/>
        </w:rPr>
        <w:t xml:space="preserve"> </w:t>
      </w:r>
      <w:r>
        <w:t>President.</w:t>
      </w:r>
    </w:p>
    <w:p w14:paraId="7E001CE2" w14:textId="77777777" w:rsidR="009A58DB" w:rsidRDefault="00000000">
      <w:pPr>
        <w:pStyle w:val="BodyText"/>
        <w:spacing w:before="7" w:line="249" w:lineRule="auto"/>
        <w:ind w:right="360" w:firstLine="360"/>
      </w:pPr>
      <w:r>
        <w:t>These are ego-syntonic disorders.</w:t>
      </w:r>
      <w:r>
        <w:rPr>
          <w:spacing w:val="-5"/>
        </w:rPr>
        <w:t xml:space="preserve"> </w:t>
      </w:r>
      <w:r>
        <w:t>The viewpoint embodied in</w:t>
      </w:r>
      <w:r>
        <w:rPr>
          <w:spacing w:val="-1"/>
        </w:rPr>
        <w:t xml:space="preserve"> </w:t>
      </w:r>
      <w:r>
        <w:t xml:space="preserve">the patient’s </w:t>
      </w:r>
      <w:r>
        <w:rPr>
          <w:spacing w:val="-2"/>
        </w:rPr>
        <w:t>symptoms</w:t>
      </w:r>
      <w:r>
        <w:rPr>
          <w:spacing w:val="-17"/>
        </w:rPr>
        <w:t xml:space="preserve"> </w:t>
      </w:r>
      <w:r>
        <w:rPr>
          <w:spacing w:val="-2"/>
        </w:rPr>
        <w:t>coincides</w:t>
      </w:r>
      <w:r>
        <w:rPr>
          <w:spacing w:val="-17"/>
        </w:rPr>
        <w:t xml:space="preserve"> </w:t>
      </w:r>
      <w:r>
        <w:rPr>
          <w:spacing w:val="-2"/>
        </w:rPr>
        <w:t>with</w:t>
      </w:r>
      <w:r>
        <w:rPr>
          <w:spacing w:val="-17"/>
        </w:rPr>
        <w:t xml:space="preserve"> </w:t>
      </w:r>
      <w:r>
        <w:rPr>
          <w:spacing w:val="-2"/>
        </w:rPr>
        <w:t>the</w:t>
      </w:r>
      <w:r>
        <w:rPr>
          <w:spacing w:val="-16"/>
        </w:rPr>
        <w:t xml:space="preserve"> </w:t>
      </w:r>
      <w:r>
        <w:rPr>
          <w:spacing w:val="-2"/>
        </w:rPr>
        <w:t>viewpoint</w:t>
      </w:r>
      <w:r>
        <w:rPr>
          <w:spacing w:val="-17"/>
        </w:rPr>
        <w:t xml:space="preserve"> </w:t>
      </w:r>
      <w:r>
        <w:rPr>
          <w:spacing w:val="-2"/>
        </w:rPr>
        <w:t>of</w:t>
      </w:r>
      <w:r>
        <w:rPr>
          <w:spacing w:val="-17"/>
        </w:rPr>
        <w:t xml:space="preserve"> </w:t>
      </w:r>
      <w:r>
        <w:rPr>
          <w:spacing w:val="-2"/>
        </w:rPr>
        <w:t>the</w:t>
      </w:r>
      <w:r>
        <w:rPr>
          <w:spacing w:val="-17"/>
        </w:rPr>
        <w:t xml:space="preserve"> </w:t>
      </w:r>
      <w:r>
        <w:rPr>
          <w:spacing w:val="-2"/>
        </w:rPr>
        <w:t>patient</w:t>
      </w:r>
      <w:r>
        <w:rPr>
          <w:spacing w:val="-16"/>
        </w:rPr>
        <w:t xml:space="preserve"> </w:t>
      </w:r>
      <w:r>
        <w:rPr>
          <w:spacing w:val="-2"/>
        </w:rPr>
        <w:t>himself.</w:t>
      </w:r>
      <w:r>
        <w:rPr>
          <w:spacing w:val="-17"/>
        </w:rPr>
        <w:t xml:space="preserve"> </w:t>
      </w:r>
      <w:r>
        <w:rPr>
          <w:spacing w:val="-2"/>
        </w:rPr>
        <w:t>The</w:t>
      </w:r>
      <w:r>
        <w:rPr>
          <w:spacing w:val="-17"/>
        </w:rPr>
        <w:t xml:space="preserve"> </w:t>
      </w:r>
      <w:r>
        <w:rPr>
          <w:spacing w:val="-2"/>
        </w:rPr>
        <w:t>latter</w:t>
      </w:r>
      <w:r>
        <w:rPr>
          <w:spacing w:val="-17"/>
        </w:rPr>
        <w:t xml:space="preserve"> </w:t>
      </w:r>
      <w:r>
        <w:rPr>
          <w:spacing w:val="-2"/>
        </w:rPr>
        <w:t xml:space="preserve">doesn’t </w:t>
      </w:r>
      <w:r>
        <w:t>regard</w:t>
      </w:r>
      <w:r>
        <w:rPr>
          <w:spacing w:val="-7"/>
        </w:rPr>
        <w:t xml:space="preserve"> </w:t>
      </w:r>
      <w:r>
        <w:t>the</w:t>
      </w:r>
      <w:r>
        <w:rPr>
          <w:spacing w:val="-7"/>
        </w:rPr>
        <w:t xml:space="preserve"> </w:t>
      </w:r>
      <w:r>
        <w:t>former</w:t>
      </w:r>
      <w:r>
        <w:rPr>
          <w:spacing w:val="-8"/>
        </w:rPr>
        <w:t xml:space="preserve"> </w:t>
      </w:r>
      <w:r>
        <w:t>as</w:t>
      </w:r>
      <w:r>
        <w:rPr>
          <w:spacing w:val="-7"/>
        </w:rPr>
        <w:t xml:space="preserve"> </w:t>
      </w:r>
      <w:r>
        <w:t>an</w:t>
      </w:r>
      <w:r>
        <w:rPr>
          <w:spacing w:val="-7"/>
        </w:rPr>
        <w:t xml:space="preserve"> </w:t>
      </w:r>
      <w:r>
        <w:t>“alien</w:t>
      </w:r>
      <w:r>
        <w:rPr>
          <w:spacing w:val="-7"/>
        </w:rPr>
        <w:t xml:space="preserve"> </w:t>
      </w:r>
      <w:r>
        <w:t>intruder.”</w:t>
      </w:r>
    </w:p>
    <w:p w14:paraId="7E001CE3" w14:textId="77777777" w:rsidR="009A58DB" w:rsidRDefault="00000000">
      <w:pPr>
        <w:pStyle w:val="BodyText"/>
        <w:spacing w:before="4" w:line="249" w:lineRule="auto"/>
        <w:ind w:right="356" w:firstLine="360"/>
      </w:pPr>
      <w:r>
        <w:t>But not all psychological disturbances are like this. The classic example is obsessive-compulsive</w:t>
      </w:r>
      <w:r>
        <w:rPr>
          <w:spacing w:val="-11"/>
        </w:rPr>
        <w:t xml:space="preserve"> </w:t>
      </w:r>
      <w:r>
        <w:t>disorder</w:t>
      </w:r>
      <w:r>
        <w:rPr>
          <w:spacing w:val="-11"/>
        </w:rPr>
        <w:t xml:space="preserve"> </w:t>
      </w:r>
      <w:r>
        <w:t>(OCD)</w:t>
      </w:r>
      <w:bookmarkStart w:id="400" w:name="_bookmark400"/>
      <w:bookmarkEnd w:id="400"/>
      <w:r>
        <w:t>.</w:t>
      </w:r>
      <w:r>
        <w:rPr>
          <w:color w:val="0562C1"/>
          <w:position w:val="21"/>
          <w:u w:val="single" w:color="0562C1"/>
        </w:rPr>
        <w:t>[286]</w:t>
      </w:r>
      <w:r>
        <w:rPr>
          <w:color w:val="0562C1"/>
          <w:spacing w:val="-17"/>
          <w:position w:val="21"/>
        </w:rPr>
        <w:t xml:space="preserve"> </w:t>
      </w:r>
      <w:r>
        <w:t>Those</w:t>
      </w:r>
      <w:r>
        <w:rPr>
          <w:spacing w:val="-6"/>
        </w:rPr>
        <w:t xml:space="preserve"> </w:t>
      </w:r>
      <w:r>
        <w:t>afflicted</w:t>
      </w:r>
      <w:r>
        <w:rPr>
          <w:spacing w:val="-6"/>
        </w:rPr>
        <w:t xml:space="preserve"> </w:t>
      </w:r>
      <w:r>
        <w:t>with</w:t>
      </w:r>
      <w:r>
        <w:rPr>
          <w:spacing w:val="-6"/>
        </w:rPr>
        <w:t xml:space="preserve"> </w:t>
      </w:r>
      <w:r>
        <w:t>this</w:t>
      </w:r>
      <w:r>
        <w:rPr>
          <w:spacing w:val="-6"/>
        </w:rPr>
        <w:t xml:space="preserve"> </w:t>
      </w:r>
      <w:r>
        <w:t>disorder obsess over matters hardly worthy of their attention; they’re compelled to perform</w:t>
      </w:r>
      <w:r>
        <w:rPr>
          <w:spacing w:val="-13"/>
        </w:rPr>
        <w:t xml:space="preserve"> </w:t>
      </w:r>
      <w:r>
        <w:t>absurd</w:t>
      </w:r>
      <w:r>
        <w:rPr>
          <w:spacing w:val="-12"/>
        </w:rPr>
        <w:t xml:space="preserve"> </w:t>
      </w:r>
      <w:r>
        <w:t>acts</w:t>
      </w:r>
      <w:r>
        <w:rPr>
          <w:spacing w:val="-12"/>
        </w:rPr>
        <w:t xml:space="preserve"> </w:t>
      </w:r>
      <w:r>
        <w:t>(e.g.,</w:t>
      </w:r>
      <w:r>
        <w:rPr>
          <w:spacing w:val="-12"/>
        </w:rPr>
        <w:t xml:space="preserve"> </w:t>
      </w:r>
      <w:r>
        <w:t>they’re</w:t>
      </w:r>
      <w:r>
        <w:rPr>
          <w:spacing w:val="-12"/>
        </w:rPr>
        <w:t xml:space="preserve"> </w:t>
      </w:r>
      <w:r>
        <w:t>compelled</w:t>
      </w:r>
      <w:r>
        <w:rPr>
          <w:spacing w:val="-12"/>
        </w:rPr>
        <w:t xml:space="preserve"> </w:t>
      </w:r>
      <w:r>
        <w:t>to</w:t>
      </w:r>
      <w:r>
        <w:rPr>
          <w:spacing w:val="-12"/>
        </w:rPr>
        <w:t xml:space="preserve"> </w:t>
      </w:r>
      <w:r>
        <w:t>snap</w:t>
      </w:r>
      <w:r>
        <w:rPr>
          <w:spacing w:val="-12"/>
        </w:rPr>
        <w:t xml:space="preserve"> </w:t>
      </w:r>
      <w:r>
        <w:t>their</w:t>
      </w:r>
      <w:r>
        <w:rPr>
          <w:spacing w:val="-13"/>
        </w:rPr>
        <w:t xml:space="preserve"> </w:t>
      </w:r>
      <w:r>
        <w:t>fingers</w:t>
      </w:r>
      <w:r>
        <w:rPr>
          <w:spacing w:val="-12"/>
        </w:rPr>
        <w:t xml:space="preserve"> </w:t>
      </w:r>
      <w:r>
        <w:t>if</w:t>
      </w:r>
      <w:r>
        <w:rPr>
          <w:spacing w:val="-13"/>
        </w:rPr>
        <w:t xml:space="preserve"> </w:t>
      </w:r>
      <w:r>
        <w:t>they</w:t>
      </w:r>
      <w:r>
        <w:rPr>
          <w:spacing w:val="-12"/>
        </w:rPr>
        <w:t xml:space="preserve"> </w:t>
      </w:r>
      <w:r>
        <w:t>have</w:t>
      </w:r>
      <w:r>
        <w:rPr>
          <w:spacing w:val="-12"/>
        </w:rPr>
        <w:t xml:space="preserve"> </w:t>
      </w:r>
      <w:r>
        <w:t xml:space="preserve">a </w:t>
      </w:r>
      <w:r>
        <w:rPr>
          <w:spacing w:val="-2"/>
        </w:rPr>
        <w:t>thought</w:t>
      </w:r>
      <w:r>
        <w:rPr>
          <w:spacing w:val="-17"/>
        </w:rPr>
        <w:t xml:space="preserve"> </w:t>
      </w:r>
      <w:r>
        <w:rPr>
          <w:spacing w:val="-2"/>
        </w:rPr>
        <w:t>about</w:t>
      </w:r>
      <w:r>
        <w:rPr>
          <w:spacing w:val="-17"/>
        </w:rPr>
        <w:t xml:space="preserve"> </w:t>
      </w:r>
      <w:r>
        <w:rPr>
          <w:spacing w:val="-2"/>
        </w:rPr>
        <w:t>the</w:t>
      </w:r>
      <w:r>
        <w:rPr>
          <w:spacing w:val="-17"/>
        </w:rPr>
        <w:t xml:space="preserve"> </w:t>
      </w:r>
      <w:r>
        <w:rPr>
          <w:spacing w:val="-2"/>
        </w:rPr>
        <w:t>number</w:t>
      </w:r>
      <w:r>
        <w:rPr>
          <w:spacing w:val="-16"/>
        </w:rPr>
        <w:t xml:space="preserve"> </w:t>
      </w:r>
      <w:r>
        <w:rPr>
          <w:spacing w:val="-2"/>
        </w:rPr>
        <w:t>seven);</w:t>
      </w:r>
      <w:r>
        <w:rPr>
          <w:spacing w:val="-17"/>
        </w:rPr>
        <w:t xml:space="preserve"> </w:t>
      </w:r>
      <w:r>
        <w:rPr>
          <w:spacing w:val="-2"/>
        </w:rPr>
        <w:t>they’re</w:t>
      </w:r>
      <w:r>
        <w:rPr>
          <w:spacing w:val="-17"/>
        </w:rPr>
        <w:t xml:space="preserve"> </w:t>
      </w:r>
      <w:r>
        <w:rPr>
          <w:spacing w:val="-2"/>
        </w:rPr>
        <w:t>also</w:t>
      </w:r>
      <w:r>
        <w:rPr>
          <w:spacing w:val="-17"/>
        </w:rPr>
        <w:t xml:space="preserve"> </w:t>
      </w:r>
      <w:r>
        <w:rPr>
          <w:spacing w:val="-2"/>
        </w:rPr>
        <w:t>compelled</w:t>
      </w:r>
      <w:r>
        <w:rPr>
          <w:spacing w:val="-16"/>
        </w:rPr>
        <w:t xml:space="preserve"> </w:t>
      </w:r>
      <w:r>
        <w:rPr>
          <w:spacing w:val="-2"/>
        </w:rPr>
        <w:t>to</w:t>
      </w:r>
      <w:r>
        <w:rPr>
          <w:spacing w:val="-17"/>
        </w:rPr>
        <w:t xml:space="preserve"> </w:t>
      </w:r>
      <w:r>
        <w:rPr>
          <w:spacing w:val="-2"/>
        </w:rPr>
        <w:t>perform</w:t>
      </w:r>
      <w:r>
        <w:rPr>
          <w:spacing w:val="-17"/>
        </w:rPr>
        <w:t xml:space="preserve"> </w:t>
      </w:r>
      <w:r>
        <w:rPr>
          <w:spacing w:val="-2"/>
        </w:rPr>
        <w:t>normal</w:t>
      </w:r>
      <w:r>
        <w:rPr>
          <w:spacing w:val="-17"/>
        </w:rPr>
        <w:t xml:space="preserve"> </w:t>
      </w:r>
      <w:r>
        <w:rPr>
          <w:spacing w:val="-2"/>
        </w:rPr>
        <w:t xml:space="preserve">acts </w:t>
      </w:r>
      <w:r>
        <w:t xml:space="preserve">an abnormal number of times or for an abnormally long period (e.g., they’re compelled to brush their teeth 20 times a day or to shower for hours on end). </w:t>
      </w:r>
      <w:r>
        <w:rPr>
          <w:spacing w:val="-2"/>
        </w:rPr>
        <w:t>But</w:t>
      </w:r>
      <w:r>
        <w:rPr>
          <w:spacing w:val="-17"/>
        </w:rPr>
        <w:t xml:space="preserve"> </w:t>
      </w:r>
      <w:r>
        <w:rPr>
          <w:spacing w:val="-2"/>
        </w:rPr>
        <w:t>sufferers</w:t>
      </w:r>
      <w:r>
        <w:rPr>
          <w:spacing w:val="-17"/>
        </w:rPr>
        <w:t xml:space="preserve"> </w:t>
      </w:r>
      <w:r>
        <w:rPr>
          <w:spacing w:val="-2"/>
        </w:rPr>
        <w:t>of</w:t>
      </w:r>
      <w:r>
        <w:rPr>
          <w:spacing w:val="-14"/>
        </w:rPr>
        <w:t xml:space="preserve"> </w:t>
      </w:r>
      <w:r>
        <w:rPr>
          <w:spacing w:val="-2"/>
        </w:rPr>
        <w:t>OCD</w:t>
      </w:r>
      <w:r>
        <w:rPr>
          <w:spacing w:val="-17"/>
        </w:rPr>
        <w:t xml:space="preserve"> </w:t>
      </w:r>
      <w:r>
        <w:rPr>
          <w:i/>
          <w:spacing w:val="-2"/>
        </w:rPr>
        <w:t>know</w:t>
      </w:r>
      <w:r>
        <w:rPr>
          <w:i/>
          <w:spacing w:val="-17"/>
        </w:rPr>
        <w:t xml:space="preserve"> </w:t>
      </w:r>
      <w:r>
        <w:rPr>
          <w:spacing w:val="-2"/>
        </w:rPr>
        <w:t>that</w:t>
      </w:r>
      <w:r>
        <w:rPr>
          <w:spacing w:val="-10"/>
        </w:rPr>
        <w:t xml:space="preserve"> </w:t>
      </w:r>
      <w:r>
        <w:rPr>
          <w:spacing w:val="-2"/>
        </w:rPr>
        <w:t>their</w:t>
      </w:r>
      <w:r>
        <w:rPr>
          <w:spacing w:val="-11"/>
        </w:rPr>
        <w:t xml:space="preserve"> </w:t>
      </w:r>
      <w:r>
        <w:rPr>
          <w:spacing w:val="-2"/>
        </w:rPr>
        <w:t>obsessions</w:t>
      </w:r>
      <w:r>
        <w:rPr>
          <w:spacing w:val="-10"/>
        </w:rPr>
        <w:t xml:space="preserve"> </w:t>
      </w:r>
      <w:r>
        <w:rPr>
          <w:spacing w:val="-2"/>
        </w:rPr>
        <w:t>and</w:t>
      </w:r>
      <w:r>
        <w:rPr>
          <w:spacing w:val="-10"/>
        </w:rPr>
        <w:t xml:space="preserve"> </w:t>
      </w:r>
      <w:r>
        <w:rPr>
          <w:spacing w:val="-2"/>
        </w:rPr>
        <w:t>compulsions</w:t>
      </w:r>
      <w:r>
        <w:rPr>
          <w:spacing w:val="-10"/>
        </w:rPr>
        <w:t xml:space="preserve"> </w:t>
      </w:r>
      <w:r>
        <w:rPr>
          <w:spacing w:val="-2"/>
        </w:rPr>
        <w:t>are</w:t>
      </w:r>
      <w:r>
        <w:rPr>
          <w:spacing w:val="-10"/>
        </w:rPr>
        <w:t xml:space="preserve"> </w:t>
      </w:r>
      <w:r>
        <w:rPr>
          <w:spacing w:val="-2"/>
        </w:rPr>
        <w:t>irrational. They</w:t>
      </w:r>
      <w:r>
        <w:rPr>
          <w:spacing w:val="-17"/>
        </w:rPr>
        <w:t xml:space="preserve"> </w:t>
      </w:r>
      <w:r>
        <w:rPr>
          <w:spacing w:val="-2"/>
        </w:rPr>
        <w:t>succumb</w:t>
      </w:r>
      <w:r>
        <w:rPr>
          <w:spacing w:val="-17"/>
        </w:rPr>
        <w:t xml:space="preserve"> </w:t>
      </w:r>
      <w:r>
        <w:rPr>
          <w:spacing w:val="-2"/>
        </w:rPr>
        <w:t>to</w:t>
      </w:r>
      <w:r>
        <w:rPr>
          <w:spacing w:val="-17"/>
        </w:rPr>
        <w:t xml:space="preserve"> </w:t>
      </w:r>
      <w:r>
        <w:rPr>
          <w:spacing w:val="-2"/>
        </w:rPr>
        <w:t>the</w:t>
      </w:r>
      <w:r>
        <w:rPr>
          <w:spacing w:val="-16"/>
        </w:rPr>
        <w:t xml:space="preserve"> </w:t>
      </w:r>
      <w:r>
        <w:rPr>
          <w:spacing w:val="-2"/>
        </w:rPr>
        <w:t>compulsions</w:t>
      </w:r>
      <w:r>
        <w:rPr>
          <w:spacing w:val="-17"/>
        </w:rPr>
        <w:t xml:space="preserve"> </w:t>
      </w:r>
      <w:r>
        <w:rPr>
          <w:i/>
          <w:spacing w:val="-2"/>
        </w:rPr>
        <w:t>not</w:t>
      </w:r>
      <w:r>
        <w:rPr>
          <w:i/>
          <w:spacing w:val="-17"/>
        </w:rPr>
        <w:t xml:space="preserve"> </w:t>
      </w:r>
      <w:r>
        <w:rPr>
          <w:spacing w:val="-2"/>
        </w:rPr>
        <w:t>because</w:t>
      </w:r>
      <w:r>
        <w:rPr>
          <w:spacing w:val="-17"/>
        </w:rPr>
        <w:t xml:space="preserve"> </w:t>
      </w:r>
      <w:r>
        <w:rPr>
          <w:spacing w:val="-2"/>
        </w:rPr>
        <w:t>they</w:t>
      </w:r>
      <w:r>
        <w:rPr>
          <w:spacing w:val="-16"/>
        </w:rPr>
        <w:t xml:space="preserve"> </w:t>
      </w:r>
      <w:r>
        <w:rPr>
          <w:spacing w:val="-2"/>
        </w:rPr>
        <w:t>actually</w:t>
      </w:r>
      <w:r>
        <w:rPr>
          <w:spacing w:val="-17"/>
        </w:rPr>
        <w:t xml:space="preserve"> </w:t>
      </w:r>
      <w:r>
        <w:rPr>
          <w:spacing w:val="-2"/>
        </w:rPr>
        <w:t>believe</w:t>
      </w:r>
      <w:r>
        <w:rPr>
          <w:spacing w:val="-17"/>
        </w:rPr>
        <w:t xml:space="preserve"> </w:t>
      </w:r>
      <w:r>
        <w:rPr>
          <w:spacing w:val="-2"/>
        </w:rPr>
        <w:t>they</w:t>
      </w:r>
      <w:r>
        <w:rPr>
          <w:spacing w:val="-17"/>
        </w:rPr>
        <w:t xml:space="preserve"> </w:t>
      </w:r>
      <w:r>
        <w:rPr>
          <w:spacing w:val="-2"/>
        </w:rPr>
        <w:t xml:space="preserve">believe </w:t>
      </w:r>
      <w:r>
        <w:t>there</w:t>
      </w:r>
      <w:r>
        <w:rPr>
          <w:spacing w:val="-3"/>
        </w:rPr>
        <w:t xml:space="preserve"> </w:t>
      </w:r>
      <w:r>
        <w:t>to</w:t>
      </w:r>
      <w:r>
        <w:rPr>
          <w:spacing w:val="-3"/>
        </w:rPr>
        <w:t xml:space="preserve"> </w:t>
      </w:r>
      <w:r>
        <w:t>be</w:t>
      </w:r>
      <w:r>
        <w:rPr>
          <w:spacing w:val="-3"/>
        </w:rPr>
        <w:t xml:space="preserve"> </w:t>
      </w:r>
      <w:r>
        <w:t>any</w:t>
      </w:r>
      <w:r>
        <w:rPr>
          <w:spacing w:val="-3"/>
        </w:rPr>
        <w:t xml:space="preserve"> </w:t>
      </w:r>
      <w:r>
        <w:t>objective</w:t>
      </w:r>
      <w:r>
        <w:rPr>
          <w:spacing w:val="-3"/>
        </w:rPr>
        <w:t xml:space="preserve"> </w:t>
      </w:r>
      <w:r>
        <w:t>reason</w:t>
      </w:r>
      <w:r>
        <w:rPr>
          <w:spacing w:val="-3"/>
        </w:rPr>
        <w:t xml:space="preserve"> </w:t>
      </w:r>
      <w:r>
        <w:t>to</w:t>
      </w:r>
      <w:r>
        <w:rPr>
          <w:spacing w:val="-3"/>
        </w:rPr>
        <w:t xml:space="preserve"> </w:t>
      </w:r>
      <w:r>
        <w:t>do</w:t>
      </w:r>
      <w:r>
        <w:rPr>
          <w:spacing w:val="-3"/>
        </w:rPr>
        <w:t xml:space="preserve"> </w:t>
      </w:r>
      <w:r>
        <w:t>so,</w:t>
      </w:r>
      <w:r>
        <w:rPr>
          <w:spacing w:val="-3"/>
        </w:rPr>
        <w:t xml:space="preserve"> </w:t>
      </w:r>
      <w:r>
        <w:t>but</w:t>
      </w:r>
      <w:r>
        <w:rPr>
          <w:spacing w:val="-3"/>
        </w:rPr>
        <w:t xml:space="preserve"> </w:t>
      </w:r>
      <w:r>
        <w:t>because,</w:t>
      </w:r>
      <w:r>
        <w:rPr>
          <w:spacing w:val="-3"/>
        </w:rPr>
        <w:t xml:space="preserve"> </w:t>
      </w:r>
      <w:r>
        <w:t>for</w:t>
      </w:r>
      <w:r>
        <w:rPr>
          <w:spacing w:val="-3"/>
        </w:rPr>
        <w:t xml:space="preserve"> </w:t>
      </w:r>
      <w:r>
        <w:t>reasons</w:t>
      </w:r>
      <w:r>
        <w:rPr>
          <w:spacing w:val="-3"/>
        </w:rPr>
        <w:t xml:space="preserve"> </w:t>
      </w:r>
      <w:r>
        <w:t>unknown</w:t>
      </w:r>
      <w:r>
        <w:rPr>
          <w:spacing w:val="-3"/>
        </w:rPr>
        <w:t xml:space="preserve"> </w:t>
      </w:r>
      <w:r>
        <w:t>to them, they suffer intolerable anxiety if they don’t. And they know that their obsessions are not legitimate; they know that those obsessions aren’t comparable to Einstein’s obsession with identifying framework-invariant physical laws or Beethoven’s obsessive dedication to perfecting the Hammerklavier</w:t>
      </w:r>
      <w:r>
        <w:rPr>
          <w:spacing w:val="-19"/>
        </w:rPr>
        <w:t xml:space="preserve"> </w:t>
      </w:r>
      <w:r>
        <w:t>Sonata.</w:t>
      </w:r>
      <w:r>
        <w:rPr>
          <w:spacing w:val="-19"/>
        </w:rPr>
        <w:t xml:space="preserve"> </w:t>
      </w:r>
      <w:r>
        <w:t>They</w:t>
      </w:r>
      <w:r>
        <w:rPr>
          <w:spacing w:val="-19"/>
        </w:rPr>
        <w:t xml:space="preserve"> </w:t>
      </w:r>
      <w:r>
        <w:t>obsess</w:t>
      </w:r>
      <w:r>
        <w:rPr>
          <w:spacing w:val="-18"/>
        </w:rPr>
        <w:t xml:space="preserve"> </w:t>
      </w:r>
      <w:r>
        <w:t>despite</w:t>
      </w:r>
      <w:r>
        <w:rPr>
          <w:spacing w:val="-19"/>
        </w:rPr>
        <w:t xml:space="preserve"> </w:t>
      </w:r>
      <w:r>
        <w:t>themselves.</w:t>
      </w:r>
      <w:r>
        <w:rPr>
          <w:spacing w:val="-19"/>
        </w:rPr>
        <w:t xml:space="preserve"> </w:t>
      </w:r>
      <w:r>
        <w:t>They</w:t>
      </w:r>
      <w:r>
        <w:rPr>
          <w:spacing w:val="-19"/>
        </w:rPr>
        <w:t xml:space="preserve"> </w:t>
      </w:r>
      <w:r>
        <w:t>don’t</w:t>
      </w:r>
      <w:r>
        <w:rPr>
          <w:spacing w:val="-18"/>
        </w:rPr>
        <w:t xml:space="preserve"> </w:t>
      </w:r>
      <w:r>
        <w:t>think</w:t>
      </w:r>
      <w:r>
        <w:rPr>
          <w:spacing w:val="-19"/>
        </w:rPr>
        <w:t xml:space="preserve"> </w:t>
      </w:r>
      <w:r>
        <w:t>their obsessions</w:t>
      </w:r>
      <w:r>
        <w:rPr>
          <w:spacing w:val="-16"/>
        </w:rPr>
        <w:t xml:space="preserve"> </w:t>
      </w:r>
      <w:r>
        <w:t>have</w:t>
      </w:r>
      <w:r>
        <w:rPr>
          <w:spacing w:val="-15"/>
        </w:rPr>
        <w:t xml:space="preserve"> </w:t>
      </w:r>
      <w:r>
        <w:t>any</w:t>
      </w:r>
      <w:r>
        <w:rPr>
          <w:spacing w:val="-15"/>
        </w:rPr>
        <w:t xml:space="preserve"> </w:t>
      </w:r>
      <w:r>
        <w:t>legitimate</w:t>
      </w:r>
      <w:r>
        <w:rPr>
          <w:spacing w:val="-15"/>
        </w:rPr>
        <w:t xml:space="preserve"> </w:t>
      </w:r>
      <w:r>
        <w:t>basis.</w:t>
      </w:r>
      <w:r>
        <w:rPr>
          <w:spacing w:val="-19"/>
        </w:rPr>
        <w:t xml:space="preserve"> </w:t>
      </w:r>
      <w:r>
        <w:t>They</w:t>
      </w:r>
      <w:r>
        <w:rPr>
          <w:spacing w:val="-15"/>
        </w:rPr>
        <w:t xml:space="preserve"> </w:t>
      </w:r>
      <w:r>
        <w:t>just</w:t>
      </w:r>
      <w:r>
        <w:rPr>
          <w:spacing w:val="-16"/>
        </w:rPr>
        <w:t xml:space="preserve"> </w:t>
      </w:r>
      <w:r>
        <w:t>can’t</w:t>
      </w:r>
      <w:r>
        <w:rPr>
          <w:spacing w:val="-16"/>
        </w:rPr>
        <w:t xml:space="preserve"> </w:t>
      </w:r>
      <w:r>
        <w:t>stop</w:t>
      </w:r>
      <w:r>
        <w:rPr>
          <w:spacing w:val="-15"/>
        </w:rPr>
        <w:t xml:space="preserve"> </w:t>
      </w:r>
      <w:r>
        <w:t>them.</w:t>
      </w:r>
    </w:p>
    <w:p w14:paraId="7E001CE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E5" w14:textId="77777777" w:rsidR="009A58DB" w:rsidRDefault="00000000">
      <w:pPr>
        <w:pStyle w:val="BodyText"/>
        <w:spacing w:before="65" w:line="249" w:lineRule="auto"/>
        <w:ind w:right="361" w:firstLine="360"/>
      </w:pPr>
      <w:r>
        <w:lastRenderedPageBreak/>
        <w:t>Thus,</w:t>
      </w:r>
      <w:r>
        <w:rPr>
          <w:spacing w:val="-4"/>
        </w:rPr>
        <w:t xml:space="preserve"> </w:t>
      </w:r>
      <w:r>
        <w:t>those</w:t>
      </w:r>
      <w:r>
        <w:rPr>
          <w:spacing w:val="-4"/>
        </w:rPr>
        <w:t xml:space="preserve"> </w:t>
      </w:r>
      <w:r>
        <w:t>afflicted</w:t>
      </w:r>
      <w:r>
        <w:rPr>
          <w:spacing w:val="-4"/>
        </w:rPr>
        <w:t xml:space="preserve"> </w:t>
      </w:r>
      <w:r>
        <w:t>with</w:t>
      </w:r>
      <w:r>
        <w:rPr>
          <w:spacing w:val="-4"/>
        </w:rPr>
        <w:t xml:space="preserve"> </w:t>
      </w:r>
      <w:r>
        <w:t>OCD</w:t>
      </w:r>
      <w:r>
        <w:rPr>
          <w:spacing w:val="-5"/>
        </w:rPr>
        <w:t xml:space="preserve"> </w:t>
      </w:r>
      <w:r>
        <w:t>don’t</w:t>
      </w:r>
      <w:r>
        <w:rPr>
          <w:spacing w:val="-5"/>
        </w:rPr>
        <w:t xml:space="preserve"> </w:t>
      </w:r>
      <w:r>
        <w:t>identify</w:t>
      </w:r>
      <w:r>
        <w:rPr>
          <w:spacing w:val="-4"/>
        </w:rPr>
        <w:t xml:space="preserve"> </w:t>
      </w:r>
      <w:r>
        <w:t>with</w:t>
      </w:r>
      <w:r>
        <w:rPr>
          <w:spacing w:val="-4"/>
        </w:rPr>
        <w:t xml:space="preserve"> </w:t>
      </w:r>
      <w:r>
        <w:t>their</w:t>
      </w:r>
      <w:r>
        <w:rPr>
          <w:spacing w:val="-5"/>
        </w:rPr>
        <w:t xml:space="preserve"> </w:t>
      </w:r>
      <w:r>
        <w:t>symptoms.</w:t>
      </w:r>
      <w:r>
        <w:rPr>
          <w:spacing w:val="-4"/>
        </w:rPr>
        <w:t xml:space="preserve"> </w:t>
      </w:r>
      <w:r>
        <w:t>Unlike schizophrenics,</w:t>
      </w:r>
      <w:r>
        <w:rPr>
          <w:spacing w:val="-19"/>
        </w:rPr>
        <w:t xml:space="preserve"> </w:t>
      </w:r>
      <w:r>
        <w:t>they</w:t>
      </w:r>
      <w:r>
        <w:rPr>
          <w:spacing w:val="-19"/>
        </w:rPr>
        <w:t xml:space="preserve"> </w:t>
      </w:r>
      <w:r>
        <w:t>see</w:t>
      </w:r>
      <w:r>
        <w:rPr>
          <w:spacing w:val="-19"/>
        </w:rPr>
        <w:t xml:space="preserve"> </w:t>
      </w:r>
      <w:r>
        <w:t>their</w:t>
      </w:r>
      <w:r>
        <w:rPr>
          <w:spacing w:val="-18"/>
        </w:rPr>
        <w:t xml:space="preserve"> </w:t>
      </w:r>
      <w:r>
        <w:t>symptoms</w:t>
      </w:r>
      <w:r>
        <w:rPr>
          <w:spacing w:val="-19"/>
        </w:rPr>
        <w:t xml:space="preserve"> </w:t>
      </w:r>
      <w:r>
        <w:rPr>
          <w:i/>
        </w:rPr>
        <w:t>as</w:t>
      </w:r>
      <w:r>
        <w:rPr>
          <w:i/>
          <w:spacing w:val="-19"/>
        </w:rPr>
        <w:t xml:space="preserve"> </w:t>
      </w:r>
      <w:r>
        <w:t>symptoms.</w:t>
      </w:r>
      <w:r>
        <w:rPr>
          <w:spacing w:val="-19"/>
        </w:rPr>
        <w:t xml:space="preserve"> </w:t>
      </w:r>
      <w:r>
        <w:t>Their</w:t>
      </w:r>
      <w:r>
        <w:rPr>
          <w:spacing w:val="-18"/>
        </w:rPr>
        <w:t xml:space="preserve"> </w:t>
      </w:r>
      <w:r>
        <w:t>symptoms</w:t>
      </w:r>
      <w:r>
        <w:rPr>
          <w:spacing w:val="-19"/>
        </w:rPr>
        <w:t xml:space="preserve"> </w:t>
      </w:r>
      <w:r>
        <w:t>belong to</w:t>
      </w:r>
      <w:r>
        <w:rPr>
          <w:spacing w:val="-19"/>
        </w:rPr>
        <w:t xml:space="preserve"> </w:t>
      </w:r>
      <w:r>
        <w:rPr>
          <w:i/>
        </w:rPr>
        <w:t>their</w:t>
      </w:r>
      <w:r>
        <w:rPr>
          <w:i/>
          <w:spacing w:val="-2"/>
        </w:rPr>
        <w:t xml:space="preserve"> </w:t>
      </w:r>
      <w:r>
        <w:rPr>
          <w:i/>
        </w:rPr>
        <w:t>minds</w:t>
      </w:r>
      <w:r>
        <w:rPr>
          <w:i/>
          <w:spacing w:val="-19"/>
        </w:rPr>
        <w:t xml:space="preserve"> </w:t>
      </w:r>
      <w:r>
        <w:t>but</w:t>
      </w:r>
      <w:r>
        <w:rPr>
          <w:spacing w:val="-2"/>
        </w:rPr>
        <w:t xml:space="preserve"> </w:t>
      </w:r>
      <w:r>
        <w:t>not</w:t>
      </w:r>
      <w:r>
        <w:rPr>
          <w:spacing w:val="-2"/>
        </w:rPr>
        <w:t xml:space="preserve"> </w:t>
      </w:r>
      <w:r>
        <w:t>to</w:t>
      </w:r>
      <w:r>
        <w:rPr>
          <w:spacing w:val="-19"/>
        </w:rPr>
        <w:t xml:space="preserve"> </w:t>
      </w:r>
      <w:r>
        <w:rPr>
          <w:i/>
        </w:rPr>
        <w:t>them;</w:t>
      </w:r>
      <w:r>
        <w:rPr>
          <w:i/>
          <w:spacing w:val="-19"/>
        </w:rPr>
        <w:t xml:space="preserve"> </w:t>
      </w:r>
      <w:r>
        <w:t>they</w:t>
      </w:r>
      <w:r>
        <w:rPr>
          <w:spacing w:val="-4"/>
        </w:rPr>
        <w:t xml:space="preserve"> </w:t>
      </w:r>
      <w:r>
        <w:t>are</w:t>
      </w:r>
      <w:r>
        <w:rPr>
          <w:spacing w:val="-5"/>
        </w:rPr>
        <w:t xml:space="preserve"> </w:t>
      </w:r>
      <w:r>
        <w:t>like</w:t>
      </w:r>
      <w:r>
        <w:rPr>
          <w:spacing w:val="-5"/>
        </w:rPr>
        <w:t xml:space="preserve"> </w:t>
      </w:r>
      <w:r>
        <w:t>alien-invaders</w:t>
      </w:r>
      <w:r>
        <w:rPr>
          <w:spacing w:val="-5"/>
        </w:rPr>
        <w:t xml:space="preserve"> </w:t>
      </w:r>
      <w:r>
        <w:t>that</w:t>
      </w:r>
      <w:r>
        <w:rPr>
          <w:spacing w:val="-5"/>
        </w:rPr>
        <w:t xml:space="preserve"> </w:t>
      </w:r>
      <w:r>
        <w:t>have</w:t>
      </w:r>
      <w:r>
        <w:rPr>
          <w:spacing w:val="-5"/>
        </w:rPr>
        <w:t xml:space="preserve"> </w:t>
      </w:r>
      <w:r>
        <w:t>taken</w:t>
      </w:r>
      <w:r>
        <w:rPr>
          <w:spacing w:val="-5"/>
        </w:rPr>
        <w:t xml:space="preserve"> </w:t>
      </w:r>
      <w:r>
        <w:t>root in their psyches.</w:t>
      </w:r>
    </w:p>
    <w:p w14:paraId="7E001CE6" w14:textId="77777777" w:rsidR="009A58DB" w:rsidRDefault="00000000">
      <w:pPr>
        <w:pStyle w:val="BodyText"/>
        <w:spacing w:before="5" w:line="249" w:lineRule="auto"/>
        <w:ind w:right="359" w:firstLine="360"/>
      </w:pPr>
      <w:r>
        <w:t xml:space="preserve">Bearing these points in mind, consider the following scenario. You hate </w:t>
      </w:r>
      <w:r>
        <w:rPr>
          <w:spacing w:val="-2"/>
        </w:rPr>
        <w:t>numbers.</w:t>
      </w:r>
      <w:r>
        <w:rPr>
          <w:spacing w:val="-17"/>
        </w:rPr>
        <w:t xml:space="preserve"> </w:t>
      </w:r>
      <w:r>
        <w:rPr>
          <w:spacing w:val="-2"/>
        </w:rPr>
        <w:t>You</w:t>
      </w:r>
      <w:r>
        <w:rPr>
          <w:spacing w:val="-14"/>
        </w:rPr>
        <w:t xml:space="preserve"> </w:t>
      </w:r>
      <w:r>
        <w:rPr>
          <w:spacing w:val="-2"/>
        </w:rPr>
        <w:t>are</w:t>
      </w:r>
      <w:r>
        <w:rPr>
          <w:spacing w:val="-10"/>
        </w:rPr>
        <w:t xml:space="preserve"> </w:t>
      </w:r>
      <w:r>
        <w:rPr>
          <w:spacing w:val="-2"/>
        </w:rPr>
        <w:t>not</w:t>
      </w:r>
      <w:r>
        <w:rPr>
          <w:spacing w:val="-10"/>
        </w:rPr>
        <w:t xml:space="preserve"> </w:t>
      </w:r>
      <w:r>
        <w:rPr>
          <w:spacing w:val="-2"/>
        </w:rPr>
        <w:t>detail-oriented.</w:t>
      </w:r>
      <w:r>
        <w:rPr>
          <w:spacing w:val="-17"/>
        </w:rPr>
        <w:t xml:space="preserve"> </w:t>
      </w:r>
      <w:r>
        <w:rPr>
          <w:spacing w:val="-2"/>
        </w:rPr>
        <w:t>You</w:t>
      </w:r>
      <w:r>
        <w:rPr>
          <w:spacing w:val="-10"/>
        </w:rPr>
        <w:t xml:space="preserve"> </w:t>
      </w:r>
      <w:r>
        <w:rPr>
          <w:spacing w:val="-2"/>
        </w:rPr>
        <w:t>want</w:t>
      </w:r>
      <w:r>
        <w:rPr>
          <w:spacing w:val="-10"/>
        </w:rPr>
        <w:t xml:space="preserve"> </w:t>
      </w:r>
      <w:r>
        <w:rPr>
          <w:spacing w:val="-2"/>
        </w:rPr>
        <w:t>to</w:t>
      </w:r>
      <w:r>
        <w:rPr>
          <w:spacing w:val="-10"/>
        </w:rPr>
        <w:t xml:space="preserve"> </w:t>
      </w:r>
      <w:r>
        <w:rPr>
          <w:spacing w:val="-2"/>
        </w:rPr>
        <w:t>spend</w:t>
      </w:r>
      <w:r>
        <w:rPr>
          <w:spacing w:val="-10"/>
        </w:rPr>
        <w:t xml:space="preserve"> </w:t>
      </w:r>
      <w:r>
        <w:rPr>
          <w:spacing w:val="-2"/>
        </w:rPr>
        <w:t>all</w:t>
      </w:r>
      <w:r>
        <w:rPr>
          <w:spacing w:val="-10"/>
        </w:rPr>
        <w:t xml:space="preserve"> </w:t>
      </w:r>
      <w:r>
        <w:rPr>
          <w:spacing w:val="-2"/>
        </w:rPr>
        <w:t>day</w:t>
      </w:r>
      <w:r>
        <w:rPr>
          <w:spacing w:val="-10"/>
        </w:rPr>
        <w:t xml:space="preserve"> </w:t>
      </w:r>
      <w:r>
        <w:rPr>
          <w:spacing w:val="-2"/>
        </w:rPr>
        <w:t>writing</w:t>
      </w:r>
      <w:r>
        <w:rPr>
          <w:spacing w:val="-10"/>
        </w:rPr>
        <w:t xml:space="preserve"> </w:t>
      </w:r>
      <w:r>
        <w:rPr>
          <w:spacing w:val="-2"/>
        </w:rPr>
        <w:t xml:space="preserve">novels. </w:t>
      </w:r>
      <w:r>
        <w:t>(You’re a very talented novelist.) You know all of this. But one day you are overcome</w:t>
      </w:r>
      <w:r>
        <w:rPr>
          <w:spacing w:val="-21"/>
        </w:rPr>
        <w:t xml:space="preserve"> </w:t>
      </w:r>
      <w:r>
        <w:t>with</w:t>
      </w:r>
      <w:r>
        <w:rPr>
          <w:spacing w:val="-19"/>
        </w:rPr>
        <w:t xml:space="preserve"> </w:t>
      </w:r>
      <w:r>
        <w:t>an</w:t>
      </w:r>
      <w:r>
        <w:rPr>
          <w:spacing w:val="-19"/>
        </w:rPr>
        <w:t xml:space="preserve"> </w:t>
      </w:r>
      <w:r>
        <w:t>intense</w:t>
      </w:r>
      <w:r>
        <w:rPr>
          <w:spacing w:val="-18"/>
        </w:rPr>
        <w:t xml:space="preserve"> </w:t>
      </w:r>
      <w:r>
        <w:t>desire</w:t>
      </w:r>
      <w:r>
        <w:rPr>
          <w:spacing w:val="-19"/>
        </w:rPr>
        <w:t xml:space="preserve"> </w:t>
      </w:r>
      <w:r>
        <w:t>to</w:t>
      </w:r>
      <w:r>
        <w:rPr>
          <w:spacing w:val="-19"/>
        </w:rPr>
        <w:t xml:space="preserve"> </w:t>
      </w:r>
      <w:r>
        <w:t>become</w:t>
      </w:r>
      <w:r>
        <w:rPr>
          <w:spacing w:val="-19"/>
        </w:rPr>
        <w:t xml:space="preserve"> </w:t>
      </w:r>
      <w:r>
        <w:t>an</w:t>
      </w:r>
      <w:r>
        <w:rPr>
          <w:spacing w:val="-18"/>
        </w:rPr>
        <w:t xml:space="preserve"> </w:t>
      </w:r>
      <w:r>
        <w:t>accountant.</w:t>
      </w:r>
      <w:r>
        <w:rPr>
          <w:spacing w:val="-19"/>
        </w:rPr>
        <w:t xml:space="preserve"> </w:t>
      </w:r>
      <w:r>
        <w:t>This</w:t>
      </w:r>
      <w:r>
        <w:rPr>
          <w:spacing w:val="-19"/>
        </w:rPr>
        <w:t xml:space="preserve"> </w:t>
      </w:r>
      <w:r>
        <w:t>desire</w:t>
      </w:r>
      <w:r>
        <w:rPr>
          <w:spacing w:val="-19"/>
        </w:rPr>
        <w:t xml:space="preserve"> </w:t>
      </w:r>
      <w:r>
        <w:t>came</w:t>
      </w:r>
      <w:r>
        <w:rPr>
          <w:spacing w:val="-18"/>
        </w:rPr>
        <w:t xml:space="preserve"> </w:t>
      </w:r>
      <w:r>
        <w:t>out of</w:t>
      </w:r>
      <w:r>
        <w:rPr>
          <w:spacing w:val="-10"/>
        </w:rPr>
        <w:t xml:space="preserve"> </w:t>
      </w:r>
      <w:r>
        <w:t>nowhere.</w:t>
      </w:r>
      <w:r>
        <w:rPr>
          <w:spacing w:val="-9"/>
        </w:rPr>
        <w:t xml:space="preserve"> </w:t>
      </w:r>
      <w:r>
        <w:t>It</w:t>
      </w:r>
      <w:r>
        <w:rPr>
          <w:spacing w:val="-10"/>
        </w:rPr>
        <w:t xml:space="preserve"> </w:t>
      </w:r>
      <w:r>
        <w:t>has</w:t>
      </w:r>
      <w:r>
        <w:rPr>
          <w:spacing w:val="-9"/>
        </w:rPr>
        <w:t xml:space="preserve"> </w:t>
      </w:r>
      <w:r>
        <w:t>no</w:t>
      </w:r>
      <w:r>
        <w:rPr>
          <w:spacing w:val="-9"/>
        </w:rPr>
        <w:t xml:space="preserve"> </w:t>
      </w:r>
      <w:r>
        <w:t>roots</w:t>
      </w:r>
      <w:r>
        <w:rPr>
          <w:spacing w:val="-9"/>
        </w:rPr>
        <w:t xml:space="preserve"> </w:t>
      </w:r>
      <w:r>
        <w:t>in</w:t>
      </w:r>
      <w:r>
        <w:rPr>
          <w:spacing w:val="-9"/>
        </w:rPr>
        <w:t xml:space="preserve"> </w:t>
      </w:r>
      <w:r>
        <w:t>your</w:t>
      </w:r>
      <w:r>
        <w:rPr>
          <w:spacing w:val="-10"/>
        </w:rPr>
        <w:t xml:space="preserve"> </w:t>
      </w:r>
      <w:r>
        <w:t>personality.</w:t>
      </w:r>
    </w:p>
    <w:p w14:paraId="7E001CE7" w14:textId="77777777" w:rsidR="009A58DB" w:rsidRDefault="00000000">
      <w:pPr>
        <w:pStyle w:val="BodyText"/>
        <w:spacing w:before="6" w:line="249" w:lineRule="auto"/>
        <w:ind w:right="362" w:firstLine="360"/>
      </w:pPr>
      <w:r>
        <w:t>You obviously don’t identify with this desire. This is because it has no roots in who you are. And the reason it has no such roots is that your existing values, desires, aspirations, and so on, had no hand in giving rise to it.</w:t>
      </w:r>
    </w:p>
    <w:p w14:paraId="7E001CE8" w14:textId="77777777" w:rsidR="009A58DB" w:rsidRDefault="00000000">
      <w:pPr>
        <w:pStyle w:val="BodyText"/>
        <w:spacing w:before="3" w:line="249" w:lineRule="auto"/>
        <w:ind w:right="358" w:firstLine="360"/>
      </w:pPr>
      <w:r>
        <w:t>Were you to act on this desire, there is a sense in which you’d be acting freely,</w:t>
      </w:r>
      <w:r>
        <w:rPr>
          <w:spacing w:val="-3"/>
        </w:rPr>
        <w:t xml:space="preserve"> </w:t>
      </w:r>
      <w:r>
        <w:t>but</w:t>
      </w:r>
      <w:r>
        <w:rPr>
          <w:spacing w:val="-2"/>
        </w:rPr>
        <w:t xml:space="preserve"> </w:t>
      </w:r>
      <w:r>
        <w:t>there’s</w:t>
      </w:r>
      <w:r>
        <w:rPr>
          <w:spacing w:val="-2"/>
        </w:rPr>
        <w:t xml:space="preserve"> </w:t>
      </w:r>
      <w:r>
        <w:t>a</w:t>
      </w:r>
      <w:r>
        <w:rPr>
          <w:spacing w:val="-2"/>
        </w:rPr>
        <w:t xml:space="preserve"> </w:t>
      </w:r>
      <w:r>
        <w:t>deeper</w:t>
      </w:r>
      <w:r>
        <w:rPr>
          <w:spacing w:val="-2"/>
        </w:rPr>
        <w:t xml:space="preserve"> </w:t>
      </w:r>
      <w:r>
        <w:t>sense</w:t>
      </w:r>
      <w:r>
        <w:rPr>
          <w:spacing w:val="-2"/>
        </w:rPr>
        <w:t xml:space="preserve"> </w:t>
      </w:r>
      <w:r>
        <w:t>in</w:t>
      </w:r>
      <w:r>
        <w:rPr>
          <w:spacing w:val="-2"/>
        </w:rPr>
        <w:t xml:space="preserve"> </w:t>
      </w:r>
      <w:r>
        <w:t>which</w:t>
      </w:r>
      <w:r>
        <w:rPr>
          <w:spacing w:val="-2"/>
        </w:rPr>
        <w:t xml:space="preserve"> </w:t>
      </w:r>
      <w:r>
        <w:t>you’d</w:t>
      </w:r>
      <w:r>
        <w:rPr>
          <w:spacing w:val="-2"/>
        </w:rPr>
        <w:t xml:space="preserve"> </w:t>
      </w:r>
      <w:r>
        <w:t>be</w:t>
      </w:r>
      <w:r>
        <w:rPr>
          <w:spacing w:val="-2"/>
        </w:rPr>
        <w:t xml:space="preserve"> </w:t>
      </w:r>
      <w:r>
        <w:t>acting</w:t>
      </w:r>
      <w:r>
        <w:rPr>
          <w:spacing w:val="-2"/>
        </w:rPr>
        <w:t xml:space="preserve"> </w:t>
      </w:r>
      <w:r>
        <w:t>unfreely.</w:t>
      </w:r>
      <w:r>
        <w:rPr>
          <w:spacing w:val="-2"/>
        </w:rPr>
        <w:t xml:space="preserve"> </w:t>
      </w:r>
      <w:r>
        <w:t>You’d</w:t>
      </w:r>
      <w:r>
        <w:rPr>
          <w:spacing w:val="-2"/>
        </w:rPr>
        <w:t xml:space="preserve"> </w:t>
      </w:r>
      <w:r>
        <w:t>be acting (un)freely in a sense similar to (though not quite coincident with, as we’ll see) the sense in which somebody who hands his money over to a gunman is acting (un)freely.</w:t>
      </w:r>
    </w:p>
    <w:p w14:paraId="7E001CE9" w14:textId="77777777" w:rsidR="009A58DB" w:rsidRDefault="00000000">
      <w:pPr>
        <w:pStyle w:val="BodyText"/>
        <w:spacing w:before="7" w:line="249" w:lineRule="auto"/>
        <w:ind w:right="359" w:firstLine="360"/>
      </w:pPr>
      <w:r>
        <w:t>Suppose that, while pointing a gun at Smith, Green says “your money or your life.” In handing over his money, Smith is acting freely in the sense that he’s doing what it is that, the circumstances being what they are, he wants to do; and he’s acting unfreely in the sense that, the circumstances being what they are, what he wants to do is not what he wants to want to do.</w:t>
      </w:r>
    </w:p>
    <w:p w14:paraId="7E001CEA" w14:textId="77777777" w:rsidR="009A58DB" w:rsidRDefault="00000000">
      <w:pPr>
        <w:pStyle w:val="BodyText"/>
        <w:spacing w:before="6" w:line="249" w:lineRule="auto"/>
        <w:ind w:right="359" w:firstLine="360"/>
      </w:pPr>
      <w:r>
        <w:t>Much like Smith, you’re damned if you do and damned if you don’t. Supposing that you knuckle under to your ego-dystonic desire to become an accountant, you are acting freely in the sense that you are doing what you want to do, and you are acting unfreely in the sense that you are not doing what you want to want to do.</w:t>
      </w:r>
    </w:p>
    <w:p w14:paraId="7E001CEB" w14:textId="77777777" w:rsidR="009A58DB" w:rsidRDefault="00000000">
      <w:pPr>
        <w:pStyle w:val="BodyText"/>
        <w:spacing w:before="6" w:line="249" w:lineRule="auto"/>
        <w:ind w:right="366" w:firstLine="360"/>
      </w:pPr>
      <w:r>
        <w:t>That said, there is a sense in which you are less free than Smith. The circumstances being what they are, Smith must exercise his agency in ways that he’d rather not to have to exercise it. But this agency is quite intact.</w:t>
      </w:r>
    </w:p>
    <w:p w14:paraId="7E001CEC" w14:textId="77777777" w:rsidR="009A58DB" w:rsidRDefault="00000000">
      <w:pPr>
        <w:pStyle w:val="BodyText"/>
        <w:spacing w:before="4" w:line="249" w:lineRule="auto"/>
        <w:ind w:right="360" w:firstLine="360"/>
      </w:pPr>
      <w:r>
        <w:t xml:space="preserve">But </w:t>
      </w:r>
      <w:r>
        <w:rPr>
          <w:i/>
        </w:rPr>
        <w:t xml:space="preserve">your </w:t>
      </w:r>
      <w:r>
        <w:t>agency is not intact. Your ego-dystonic desire to become an accountant is competing for control over the very mechanisms that convert ego-</w:t>
      </w:r>
      <w:r>
        <w:rPr>
          <w:i/>
        </w:rPr>
        <w:t xml:space="preserve">syntonic </w:t>
      </w:r>
      <w:r>
        <w:t>intentions of yours into action; and were you to give into this desire, you would to that extent be forfeiting control over those mechanisms. By virtue of having that desire, you’re in a position similar to that of the President</w:t>
      </w:r>
      <w:r>
        <w:rPr>
          <w:spacing w:val="23"/>
        </w:rPr>
        <w:t xml:space="preserve"> </w:t>
      </w:r>
      <w:r>
        <w:t>of</w:t>
      </w:r>
      <w:r>
        <w:rPr>
          <w:spacing w:val="26"/>
        </w:rPr>
        <w:t xml:space="preserve"> </w:t>
      </w:r>
      <w:r>
        <w:t>a</w:t>
      </w:r>
      <w:r>
        <w:rPr>
          <w:spacing w:val="26"/>
        </w:rPr>
        <w:t xml:space="preserve"> </w:t>
      </w:r>
      <w:r>
        <w:t>country</w:t>
      </w:r>
      <w:r>
        <w:rPr>
          <w:spacing w:val="26"/>
        </w:rPr>
        <w:t xml:space="preserve"> </w:t>
      </w:r>
      <w:r>
        <w:t>much</w:t>
      </w:r>
      <w:r>
        <w:rPr>
          <w:spacing w:val="26"/>
        </w:rPr>
        <w:t xml:space="preserve"> </w:t>
      </w:r>
      <w:r>
        <w:t>of</w:t>
      </w:r>
      <w:r>
        <w:rPr>
          <w:spacing w:val="26"/>
        </w:rPr>
        <w:t xml:space="preserve"> </w:t>
      </w:r>
      <w:r>
        <w:t>whose</w:t>
      </w:r>
      <w:r>
        <w:rPr>
          <w:spacing w:val="25"/>
        </w:rPr>
        <w:t xml:space="preserve"> </w:t>
      </w:r>
      <w:r>
        <w:t>is</w:t>
      </w:r>
      <w:r>
        <w:rPr>
          <w:spacing w:val="26"/>
        </w:rPr>
        <w:t xml:space="preserve"> </w:t>
      </w:r>
      <w:r>
        <w:t>controlled</w:t>
      </w:r>
      <w:r>
        <w:rPr>
          <w:spacing w:val="26"/>
        </w:rPr>
        <w:t xml:space="preserve"> </w:t>
      </w:r>
      <w:r>
        <w:t>by</w:t>
      </w:r>
      <w:r>
        <w:rPr>
          <w:spacing w:val="26"/>
        </w:rPr>
        <w:t xml:space="preserve"> </w:t>
      </w:r>
      <w:r>
        <w:t>war-lords</w:t>
      </w:r>
      <w:r>
        <w:rPr>
          <w:spacing w:val="26"/>
        </w:rPr>
        <w:t xml:space="preserve"> </w:t>
      </w:r>
      <w:r>
        <w:t>who</w:t>
      </w:r>
      <w:r>
        <w:rPr>
          <w:spacing w:val="26"/>
        </w:rPr>
        <w:t xml:space="preserve"> </w:t>
      </w:r>
      <w:r>
        <w:rPr>
          <w:spacing w:val="-2"/>
        </w:rPr>
        <w:t>don’t</w:t>
      </w:r>
    </w:p>
    <w:p w14:paraId="7E001CE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EE" w14:textId="77777777" w:rsidR="009A58DB" w:rsidRDefault="00000000">
      <w:pPr>
        <w:pStyle w:val="BodyText"/>
        <w:spacing w:before="65" w:line="249" w:lineRule="auto"/>
        <w:ind w:right="364"/>
      </w:pPr>
      <w:r>
        <w:lastRenderedPageBreak/>
        <w:t xml:space="preserve">recognize his authority—warlords who, though they operate </w:t>
      </w:r>
      <w:r>
        <w:rPr>
          <w:i/>
        </w:rPr>
        <w:t xml:space="preserve">in </w:t>
      </w:r>
      <w:r>
        <w:t xml:space="preserve">his country, are not </w:t>
      </w:r>
      <w:r>
        <w:rPr>
          <w:i/>
        </w:rPr>
        <w:t xml:space="preserve">of </w:t>
      </w:r>
      <w:r>
        <w:t>it, and whose sphere of authority is only as big as the President’s sphere of influence is small.</w:t>
      </w:r>
    </w:p>
    <w:p w14:paraId="7E001CEF" w14:textId="77777777" w:rsidR="009A58DB" w:rsidRDefault="00000000">
      <w:pPr>
        <w:pStyle w:val="BodyText"/>
        <w:spacing w:before="3" w:line="249" w:lineRule="auto"/>
        <w:ind w:right="359" w:firstLine="360"/>
      </w:pPr>
      <w:r>
        <w:t>Smith’s situation is like that of a President whose country is being</w:t>
      </w:r>
      <w:r>
        <w:rPr>
          <w:spacing w:val="40"/>
        </w:rPr>
        <w:t xml:space="preserve"> </w:t>
      </w:r>
      <w:r>
        <w:t>attacked by a foreign nation but who has complete control over his own country. Even though Smith is in a situation in which he is forced to act in ways</w:t>
      </w:r>
      <w:r>
        <w:rPr>
          <w:spacing w:val="-1"/>
        </w:rPr>
        <w:t xml:space="preserve"> </w:t>
      </w:r>
      <w:r>
        <w:t>in</w:t>
      </w:r>
      <w:r>
        <w:rPr>
          <w:spacing w:val="-1"/>
        </w:rPr>
        <w:t xml:space="preserve"> </w:t>
      </w:r>
      <w:r>
        <w:t>which</w:t>
      </w:r>
      <w:r>
        <w:rPr>
          <w:spacing w:val="-1"/>
        </w:rPr>
        <w:t xml:space="preserve"> </w:t>
      </w:r>
      <w:r>
        <w:t>he</w:t>
      </w:r>
      <w:r>
        <w:rPr>
          <w:spacing w:val="-1"/>
        </w:rPr>
        <w:t xml:space="preserve"> </w:t>
      </w:r>
      <w:r>
        <w:t>wouldn’t</w:t>
      </w:r>
      <w:r>
        <w:rPr>
          <w:spacing w:val="-1"/>
        </w:rPr>
        <w:t xml:space="preserve"> </w:t>
      </w:r>
      <w:r>
        <w:t>otherwise</w:t>
      </w:r>
      <w:r>
        <w:rPr>
          <w:spacing w:val="-1"/>
        </w:rPr>
        <w:t xml:space="preserve"> </w:t>
      </w:r>
      <w:r>
        <w:t>act,</w:t>
      </w:r>
      <w:r>
        <w:rPr>
          <w:spacing w:val="-1"/>
        </w:rPr>
        <w:t xml:space="preserve"> </w:t>
      </w:r>
      <w:r>
        <w:t>his</w:t>
      </w:r>
      <w:r>
        <w:rPr>
          <w:spacing w:val="-1"/>
        </w:rPr>
        <w:t xml:space="preserve"> </w:t>
      </w:r>
      <w:r>
        <w:t>autonomy</w:t>
      </w:r>
      <w:r>
        <w:rPr>
          <w:spacing w:val="-1"/>
        </w:rPr>
        <w:t xml:space="preserve"> </w:t>
      </w:r>
      <w:r>
        <w:t>is</w:t>
      </w:r>
      <w:r>
        <w:rPr>
          <w:spacing w:val="-1"/>
        </w:rPr>
        <w:t xml:space="preserve"> </w:t>
      </w:r>
      <w:r>
        <w:t>not</w:t>
      </w:r>
      <w:r>
        <w:rPr>
          <w:spacing w:val="-1"/>
        </w:rPr>
        <w:t xml:space="preserve"> </w:t>
      </w:r>
      <w:r>
        <w:t>on</w:t>
      </w:r>
      <w:r>
        <w:rPr>
          <w:spacing w:val="-1"/>
        </w:rPr>
        <w:t xml:space="preserve"> </w:t>
      </w:r>
      <w:r>
        <w:t>that</w:t>
      </w:r>
      <w:r>
        <w:rPr>
          <w:spacing w:val="-1"/>
        </w:rPr>
        <w:t xml:space="preserve"> </w:t>
      </w:r>
      <w:r>
        <w:t>account compromised; and there is thus an important sense in which Smith is freer than you are.</w:t>
      </w:r>
    </w:p>
    <w:p w14:paraId="7E001CF0" w14:textId="77777777" w:rsidR="009A58DB" w:rsidRDefault="00000000">
      <w:pPr>
        <w:pStyle w:val="Heading1"/>
        <w:numPr>
          <w:ilvl w:val="2"/>
          <w:numId w:val="98"/>
        </w:numPr>
        <w:tabs>
          <w:tab w:val="left" w:pos="1305"/>
        </w:tabs>
        <w:spacing w:before="196"/>
      </w:pPr>
      <w:r>
        <w:t>A</w:t>
      </w:r>
      <w:r>
        <w:rPr>
          <w:spacing w:val="-7"/>
        </w:rPr>
        <w:t xml:space="preserve"> </w:t>
      </w:r>
      <w:r>
        <w:t>point</w:t>
      </w:r>
      <w:r>
        <w:rPr>
          <w:spacing w:val="-5"/>
        </w:rPr>
        <w:t xml:space="preserve"> </w:t>
      </w:r>
      <w:r>
        <w:t>concerning</w:t>
      </w:r>
      <w:r>
        <w:rPr>
          <w:spacing w:val="-4"/>
        </w:rPr>
        <w:t xml:space="preserve"> </w:t>
      </w:r>
      <w:r>
        <w:t>mental</w:t>
      </w:r>
      <w:r>
        <w:rPr>
          <w:spacing w:val="-4"/>
        </w:rPr>
        <w:t xml:space="preserve"> </w:t>
      </w:r>
      <w:r>
        <w:rPr>
          <w:spacing w:val="-2"/>
        </w:rPr>
        <w:t>illness</w:t>
      </w:r>
    </w:p>
    <w:p w14:paraId="7E001CF1" w14:textId="77777777" w:rsidR="009A58DB" w:rsidRDefault="00000000">
      <w:pPr>
        <w:pStyle w:val="BodyText"/>
        <w:spacing w:before="139" w:line="249" w:lineRule="auto"/>
        <w:ind w:right="359"/>
      </w:pPr>
      <w:r>
        <w:t>Earlier, I referenced Beethoven and Einstein. Interestingly, both suffered</w:t>
      </w:r>
      <w:r>
        <w:rPr>
          <w:spacing w:val="40"/>
        </w:rPr>
        <w:t xml:space="preserve"> </w:t>
      </w:r>
      <w:r>
        <w:t>from OCD.</w:t>
      </w:r>
      <w:bookmarkStart w:id="401" w:name="_bookmark401"/>
      <w:bookmarkEnd w:id="401"/>
      <w:r>
        <w:rPr>
          <w:color w:val="0562C1"/>
          <w:position w:val="21"/>
          <w:u w:val="single" w:color="0562C1"/>
        </w:rPr>
        <w:t>[287]</w:t>
      </w:r>
      <w:r>
        <w:rPr>
          <w:color w:val="0562C1"/>
          <w:position w:val="21"/>
        </w:rPr>
        <w:t xml:space="preserve"> </w:t>
      </w:r>
      <w:r>
        <w:t xml:space="preserve">So do many other high achievers. What this shows is not that OCD </w:t>
      </w:r>
      <w:r>
        <w:rPr>
          <w:i/>
        </w:rPr>
        <w:t xml:space="preserve">per se </w:t>
      </w:r>
      <w:r>
        <w:t xml:space="preserve">conduces to high performance, but that the personality traits that, when pathologized, are expressed as OCD lend themselves to high achievement. Beethoven, Einstein, and other OCD-afflicted high achievers were capable of intense concentration, were highly self-critical and, in order to satisfy the draconian standards of perfection they imposed upon themselves, were punctilious in their prosecution of the projects they undertook. Someone with these performance-enhancing character traits is more likely than others to respond to anxiety and disturbances generally by becoming obsessive and compulsive. But </w:t>
      </w:r>
      <w:r>
        <w:rPr>
          <w:i/>
        </w:rPr>
        <w:t xml:space="preserve">mere </w:t>
      </w:r>
      <w:r>
        <w:t>obsessiveness and compulsiveness are not pathological.</w:t>
      </w:r>
    </w:p>
    <w:p w14:paraId="7E001CF2" w14:textId="77777777" w:rsidR="009A58DB" w:rsidRDefault="00000000">
      <w:pPr>
        <w:pStyle w:val="BodyText"/>
        <w:spacing w:before="15" w:line="249" w:lineRule="auto"/>
        <w:ind w:right="358" w:firstLine="360"/>
      </w:pPr>
      <w:r>
        <w:t>Also, there isn’t a well-defined line between pathological and non-pathological obsessive compulsiveness; and one’s pathologies may be implicated in, and in some cases even enhance, one’s efforts. So given that Beethoven had OCD, it’s unlikely that it was to no degree involved in his composing the Hammerklavier Sonata, even though his composing that work was, on balance, non-pathological.</w:t>
      </w:r>
    </w:p>
    <w:p w14:paraId="7E001CF3" w14:textId="77777777" w:rsidR="009A58DB" w:rsidRDefault="00000000">
      <w:pPr>
        <w:pStyle w:val="BodyText"/>
        <w:spacing w:before="7" w:line="249" w:lineRule="auto"/>
        <w:ind w:right="360" w:firstLine="360"/>
      </w:pPr>
      <w:r>
        <w:t>This exposes one of the main differences between physical and mental illness. Physical illnesses are to no degree adaptive (except in some purely accidental manner—one’s having asthma might prevent one from joining the army and then being injured on the battlefield</w:t>
      </w:r>
      <w:bookmarkStart w:id="402" w:name="_bookmark402"/>
      <w:bookmarkEnd w:id="402"/>
      <w:r>
        <w:rPr>
          <w:color w:val="0562C1"/>
          <w:position w:val="21"/>
          <w:u w:val="single" w:color="0562C1"/>
        </w:rPr>
        <w:t>[288]</w:t>
      </w:r>
      <w:r>
        <w:t>). But mental illnesses, specifically ego-dystonic ones, are sometimes adaptive. This is because ego-</w:t>
      </w:r>
    </w:p>
    <w:p w14:paraId="7E001CF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F5" w14:textId="77777777" w:rsidR="009A58DB" w:rsidRDefault="00000000">
      <w:pPr>
        <w:pStyle w:val="BodyText"/>
        <w:spacing w:before="60" w:line="249" w:lineRule="auto"/>
        <w:ind w:right="359"/>
      </w:pPr>
      <w:r>
        <w:lastRenderedPageBreak/>
        <w:t>dystonic illnesses are what result when defensive mechanisms become too strong.</w:t>
      </w:r>
      <w:r>
        <w:rPr>
          <w:spacing w:val="-4"/>
        </w:rPr>
        <w:t xml:space="preserve"> </w:t>
      </w:r>
      <w:r>
        <w:t>Excessive</w:t>
      </w:r>
      <w:r>
        <w:rPr>
          <w:spacing w:val="-5"/>
        </w:rPr>
        <w:t xml:space="preserve"> </w:t>
      </w:r>
      <w:r>
        <w:t>insecurity,</w:t>
      </w:r>
      <w:r>
        <w:rPr>
          <w:spacing w:val="-4"/>
        </w:rPr>
        <w:t xml:space="preserve"> </w:t>
      </w:r>
      <w:r>
        <w:t>fearfulness,</w:t>
      </w:r>
      <w:r>
        <w:rPr>
          <w:spacing w:val="-4"/>
        </w:rPr>
        <w:t xml:space="preserve"> </w:t>
      </w:r>
      <w:r>
        <w:t>and</w:t>
      </w:r>
      <w:r>
        <w:rPr>
          <w:spacing w:val="-4"/>
        </w:rPr>
        <w:t xml:space="preserve"> </w:t>
      </w:r>
      <w:r>
        <w:t>anxiety</w:t>
      </w:r>
      <w:r>
        <w:rPr>
          <w:spacing w:val="-4"/>
        </w:rPr>
        <w:t xml:space="preserve"> </w:t>
      </w:r>
      <w:r>
        <w:t>are</w:t>
      </w:r>
      <w:r>
        <w:rPr>
          <w:spacing w:val="-5"/>
        </w:rPr>
        <w:t xml:space="preserve"> </w:t>
      </w:r>
      <w:r>
        <w:t>defense</w:t>
      </w:r>
      <w:r>
        <w:rPr>
          <w:spacing w:val="-5"/>
        </w:rPr>
        <w:t xml:space="preserve"> </w:t>
      </w:r>
      <w:r>
        <w:t>mechanisms that have gone too far and that, consequently, inhibit the patient in some respects.</w:t>
      </w:r>
      <w:r>
        <w:rPr>
          <w:spacing w:val="-2"/>
        </w:rPr>
        <w:t xml:space="preserve"> </w:t>
      </w:r>
      <w:r>
        <w:t>But</w:t>
      </w:r>
      <w:r>
        <w:rPr>
          <w:spacing w:val="-2"/>
        </w:rPr>
        <w:t xml:space="preserve"> </w:t>
      </w:r>
      <w:r>
        <w:t>those</w:t>
      </w:r>
      <w:r>
        <w:rPr>
          <w:spacing w:val="-2"/>
        </w:rPr>
        <w:t xml:space="preserve"> </w:t>
      </w:r>
      <w:r>
        <w:t>same</w:t>
      </w:r>
      <w:r>
        <w:rPr>
          <w:spacing w:val="-2"/>
        </w:rPr>
        <w:t xml:space="preserve"> </w:t>
      </w:r>
      <w:r>
        <w:t>overdeveloped</w:t>
      </w:r>
      <w:r>
        <w:rPr>
          <w:spacing w:val="-2"/>
        </w:rPr>
        <w:t xml:space="preserve"> </w:t>
      </w:r>
      <w:r>
        <w:t>mechanisms</w:t>
      </w:r>
      <w:r>
        <w:rPr>
          <w:spacing w:val="-2"/>
        </w:rPr>
        <w:t xml:space="preserve"> </w:t>
      </w:r>
      <w:r>
        <w:t>may</w:t>
      </w:r>
      <w:r>
        <w:rPr>
          <w:spacing w:val="-2"/>
        </w:rPr>
        <w:t xml:space="preserve"> </w:t>
      </w:r>
      <w:r>
        <w:t>enhance</w:t>
      </w:r>
      <w:r>
        <w:rPr>
          <w:spacing w:val="-2"/>
        </w:rPr>
        <w:t xml:space="preserve"> </w:t>
      </w:r>
      <w:r>
        <w:t>the</w:t>
      </w:r>
      <w:r>
        <w:rPr>
          <w:spacing w:val="-2"/>
        </w:rPr>
        <w:t xml:space="preserve"> </w:t>
      </w:r>
      <w:r>
        <w:t xml:space="preserve">patient in other respects. An OCD mathematician’s ability to focus on a minute task for hours on end is conducive to real achievement. In that respect, it’s non-pathological. And there’s no real chance that the psychological mechanisms that make it possible for the mathematician to sustain such a high level of concentration for such a long time have a </w:t>
      </w:r>
      <w:r>
        <w:rPr>
          <w:i/>
        </w:rPr>
        <w:t>purely</w:t>
      </w:r>
      <w:r>
        <w:rPr>
          <w:i/>
          <w:spacing w:val="-2"/>
        </w:rPr>
        <w:t xml:space="preserve"> </w:t>
      </w:r>
      <w:r>
        <w:t>pathological basis. But it’s a distinct possibility that, depending on the mathematician, the mechanisms</w:t>
      </w:r>
      <w:r>
        <w:rPr>
          <w:spacing w:val="40"/>
        </w:rPr>
        <w:t xml:space="preserve"> </w:t>
      </w:r>
      <w:r>
        <w:t xml:space="preserve">that make that possible are considerably reinforced by mechanisms the very purpose of which, at least when they were first developed, was to narrow the individual’s psyche, so as to cast intolerable conceits into the abyss of the </w:t>
      </w:r>
      <w:r>
        <w:rPr>
          <w:spacing w:val="-2"/>
        </w:rPr>
        <w:t>unconscious.</w:t>
      </w:r>
    </w:p>
    <w:p w14:paraId="7E001CF6" w14:textId="77777777" w:rsidR="009A58DB" w:rsidRDefault="00000000">
      <w:pPr>
        <w:pStyle w:val="BodyText"/>
        <w:spacing w:before="22" w:line="249" w:lineRule="auto"/>
        <w:ind w:right="359" w:firstLine="360"/>
      </w:pPr>
      <w:r>
        <w:t xml:space="preserve">It should be pointed out that mechanisms whose </w:t>
      </w:r>
      <w:r>
        <w:rPr>
          <w:i/>
        </w:rPr>
        <w:t xml:space="preserve">original purpose </w:t>
      </w:r>
      <w:r>
        <w:t>is neurotic</w:t>
      </w:r>
      <w:r>
        <w:rPr>
          <w:spacing w:val="-3"/>
        </w:rPr>
        <w:t xml:space="preserve"> </w:t>
      </w:r>
      <w:r>
        <w:t>can</w:t>
      </w:r>
      <w:r>
        <w:rPr>
          <w:spacing w:val="-3"/>
        </w:rPr>
        <w:t xml:space="preserve"> </w:t>
      </w:r>
      <w:r>
        <w:t>end</w:t>
      </w:r>
      <w:r>
        <w:rPr>
          <w:spacing w:val="-3"/>
        </w:rPr>
        <w:t xml:space="preserve"> </w:t>
      </w:r>
      <w:r>
        <w:t>up</w:t>
      </w:r>
      <w:r>
        <w:rPr>
          <w:spacing w:val="-3"/>
        </w:rPr>
        <w:t xml:space="preserve"> </w:t>
      </w:r>
      <w:r>
        <w:t>becoming</w:t>
      </w:r>
      <w:r>
        <w:rPr>
          <w:spacing w:val="-3"/>
        </w:rPr>
        <w:t xml:space="preserve"> </w:t>
      </w:r>
      <w:r>
        <w:t>non-neurotic</w:t>
      </w:r>
      <w:r>
        <w:rPr>
          <w:spacing w:val="-3"/>
        </w:rPr>
        <w:t xml:space="preserve"> </w:t>
      </w:r>
      <w:r>
        <w:t>virtues</w:t>
      </w:r>
      <w:r>
        <w:rPr>
          <w:spacing w:val="-3"/>
        </w:rPr>
        <w:t xml:space="preserve"> </w:t>
      </w:r>
      <w:r>
        <w:t>of</w:t>
      </w:r>
      <w:r>
        <w:rPr>
          <w:spacing w:val="-3"/>
        </w:rPr>
        <w:t xml:space="preserve"> </w:t>
      </w:r>
      <w:r>
        <w:t>character.</w:t>
      </w:r>
      <w:r>
        <w:rPr>
          <w:spacing w:val="-3"/>
        </w:rPr>
        <w:t xml:space="preserve"> </w:t>
      </w:r>
      <w:r>
        <w:t>For</w:t>
      </w:r>
      <w:r>
        <w:rPr>
          <w:spacing w:val="-3"/>
        </w:rPr>
        <w:t xml:space="preserve"> </w:t>
      </w:r>
      <w:r>
        <w:t xml:space="preserve">example, to deal with some specific problem (e.g., a sense of helplessness that is induced by an unstable home-life), a given person might over-develop some existing character trait (e.g., tendency to focus on details becomes a maniacal obsessions with them), which, after the initial disturbance, has been dealt with, assumes some non-pathological, adaptive form (e.g., a talent for </w:t>
      </w:r>
      <w:r>
        <w:rPr>
          <w:spacing w:val="-2"/>
        </w:rPr>
        <w:t>neurosurgery).</w:t>
      </w:r>
    </w:p>
    <w:p w14:paraId="7E001CF7" w14:textId="77777777" w:rsidR="009A58DB" w:rsidRDefault="00000000">
      <w:pPr>
        <w:pStyle w:val="BodyText"/>
        <w:tabs>
          <w:tab w:val="left" w:pos="3450"/>
          <w:tab w:val="left" w:pos="4034"/>
          <w:tab w:val="left" w:pos="5168"/>
          <w:tab w:val="left" w:pos="5852"/>
          <w:tab w:val="left" w:pos="6702"/>
          <w:tab w:val="left" w:pos="7503"/>
          <w:tab w:val="left" w:pos="8679"/>
          <w:tab w:val="left" w:pos="9347"/>
        </w:tabs>
        <w:spacing w:before="10" w:line="249" w:lineRule="auto"/>
        <w:ind w:right="358" w:firstLine="360"/>
        <w:jc w:val="right"/>
      </w:pPr>
      <w:r>
        <w:t>Basically, there isn’t always a clear distinction between mental illness and mental</w:t>
      </w:r>
      <w:r>
        <w:rPr>
          <w:spacing w:val="40"/>
        </w:rPr>
        <w:t xml:space="preserve"> </w:t>
      </w:r>
      <w:r>
        <w:t>hyper-wellness.</w:t>
      </w:r>
      <w:r>
        <w:rPr>
          <w:spacing w:val="40"/>
        </w:rPr>
        <w:t xml:space="preserve"> </w:t>
      </w:r>
      <w:r>
        <w:t>And</w:t>
      </w:r>
      <w:r>
        <w:rPr>
          <w:spacing w:val="40"/>
        </w:rPr>
        <w:t xml:space="preserve"> </w:t>
      </w:r>
      <w:r>
        <w:t>the</w:t>
      </w:r>
      <w:r>
        <w:rPr>
          <w:spacing w:val="40"/>
        </w:rPr>
        <w:t xml:space="preserve"> </w:t>
      </w:r>
      <w:r>
        <w:t>fact</w:t>
      </w:r>
      <w:r>
        <w:rPr>
          <w:spacing w:val="40"/>
        </w:rPr>
        <w:t xml:space="preserve"> </w:t>
      </w:r>
      <w:r>
        <w:t>that</w:t>
      </w:r>
      <w:r>
        <w:rPr>
          <w:spacing w:val="40"/>
        </w:rPr>
        <w:t xml:space="preserve"> </w:t>
      </w:r>
      <w:r>
        <w:t>the</w:t>
      </w:r>
      <w:r>
        <w:rPr>
          <w:spacing w:val="40"/>
        </w:rPr>
        <w:t xml:space="preserve"> </w:t>
      </w:r>
      <w:r>
        <w:t>border</w:t>
      </w:r>
      <w:r>
        <w:rPr>
          <w:spacing w:val="40"/>
        </w:rPr>
        <w:t xml:space="preserve"> </w:t>
      </w:r>
      <w:r>
        <w:t>is</w:t>
      </w:r>
      <w:r>
        <w:rPr>
          <w:spacing w:val="40"/>
        </w:rPr>
        <w:t xml:space="preserve"> </w:t>
      </w:r>
      <w:r>
        <w:t>blurry</w:t>
      </w:r>
      <w:r>
        <w:rPr>
          <w:spacing w:val="40"/>
        </w:rPr>
        <w:t xml:space="preserve"> </w:t>
      </w:r>
      <w:r>
        <w:t>isn’t</w:t>
      </w:r>
      <w:r>
        <w:rPr>
          <w:spacing w:val="40"/>
        </w:rPr>
        <w:t xml:space="preserve"> </w:t>
      </w:r>
      <w:r>
        <w:t>to</w:t>
      </w:r>
      <w:r>
        <w:rPr>
          <w:spacing w:val="40"/>
        </w:rPr>
        <w:t xml:space="preserve"> </w:t>
      </w:r>
      <w:r>
        <w:t>be</w:t>
      </w:r>
      <w:r>
        <w:rPr>
          <w:spacing w:val="80"/>
          <w:w w:val="150"/>
        </w:rPr>
        <w:t xml:space="preserve"> </w:t>
      </w:r>
      <w:r>
        <w:t>understood in terms of the trivial, ubiquitous fact that most borders are blurry (that,</w:t>
      </w:r>
      <w:r>
        <w:rPr>
          <w:spacing w:val="-1"/>
        </w:rPr>
        <w:t xml:space="preserve"> </w:t>
      </w:r>
      <w:r>
        <w:t>for</w:t>
      </w:r>
      <w:r>
        <w:rPr>
          <w:spacing w:val="-1"/>
        </w:rPr>
        <w:t xml:space="preserve"> </w:t>
      </w:r>
      <w:r>
        <w:t>example,</w:t>
      </w:r>
      <w:r>
        <w:rPr>
          <w:spacing w:val="-1"/>
        </w:rPr>
        <w:t xml:space="preserve"> </w:t>
      </w:r>
      <w:r>
        <w:t>there</w:t>
      </w:r>
      <w:r>
        <w:rPr>
          <w:spacing w:val="-1"/>
        </w:rPr>
        <w:t xml:space="preserve"> </w:t>
      </w:r>
      <w:r>
        <w:t>is</w:t>
      </w:r>
      <w:r>
        <w:rPr>
          <w:spacing w:val="-1"/>
        </w:rPr>
        <w:t xml:space="preserve"> </w:t>
      </w:r>
      <w:r>
        <w:t>no</w:t>
      </w:r>
      <w:r>
        <w:rPr>
          <w:spacing w:val="-1"/>
        </w:rPr>
        <w:t xml:space="preserve"> </w:t>
      </w:r>
      <w:r>
        <w:t>sharp</w:t>
      </w:r>
      <w:r>
        <w:rPr>
          <w:spacing w:val="-1"/>
        </w:rPr>
        <w:t xml:space="preserve"> </w:t>
      </w:r>
      <w:r>
        <w:t>line</w:t>
      </w:r>
      <w:r>
        <w:rPr>
          <w:spacing w:val="-1"/>
        </w:rPr>
        <w:t xml:space="preserve"> </w:t>
      </w:r>
      <w:r>
        <w:t>between</w:t>
      </w:r>
      <w:r>
        <w:rPr>
          <w:spacing w:val="-1"/>
        </w:rPr>
        <w:t xml:space="preserve"> </w:t>
      </w:r>
      <w:r>
        <w:t>short</w:t>
      </w:r>
      <w:r>
        <w:rPr>
          <w:spacing w:val="-2"/>
        </w:rPr>
        <w:t xml:space="preserve"> </w:t>
      </w:r>
      <w:r>
        <w:t>and</w:t>
      </w:r>
      <w:r>
        <w:rPr>
          <w:spacing w:val="-1"/>
        </w:rPr>
        <w:t xml:space="preserve"> </w:t>
      </w:r>
      <w:r>
        <w:t>tall,</w:t>
      </w:r>
      <w:r>
        <w:rPr>
          <w:spacing w:val="-1"/>
        </w:rPr>
        <w:t xml:space="preserve"> </w:t>
      </w:r>
      <w:r>
        <w:t>poor</w:t>
      </w:r>
      <w:r>
        <w:rPr>
          <w:spacing w:val="-1"/>
        </w:rPr>
        <w:t xml:space="preserve"> </w:t>
      </w:r>
      <w:r>
        <w:t>and</w:t>
      </w:r>
      <w:r>
        <w:rPr>
          <w:spacing w:val="-1"/>
        </w:rPr>
        <w:t xml:space="preserve"> </w:t>
      </w:r>
      <w:r>
        <w:t>rich, etc.).</w:t>
      </w:r>
      <w:r>
        <w:rPr>
          <w:spacing w:val="32"/>
        </w:rPr>
        <w:t xml:space="preserve"> </w:t>
      </w:r>
      <w:r>
        <w:t>The</w:t>
      </w:r>
      <w:r>
        <w:rPr>
          <w:spacing w:val="32"/>
        </w:rPr>
        <w:t xml:space="preserve"> </w:t>
      </w:r>
      <w:r>
        <w:t>blurring</w:t>
      </w:r>
      <w:r>
        <w:rPr>
          <w:spacing w:val="32"/>
        </w:rPr>
        <w:t xml:space="preserve"> </w:t>
      </w:r>
      <w:r>
        <w:t>of</w:t>
      </w:r>
      <w:r>
        <w:rPr>
          <w:spacing w:val="32"/>
        </w:rPr>
        <w:t xml:space="preserve"> </w:t>
      </w:r>
      <w:r>
        <w:t>the</w:t>
      </w:r>
      <w:r>
        <w:rPr>
          <w:spacing w:val="32"/>
        </w:rPr>
        <w:t xml:space="preserve"> </w:t>
      </w:r>
      <w:r>
        <w:t>line,</w:t>
      </w:r>
      <w:r>
        <w:rPr>
          <w:spacing w:val="32"/>
        </w:rPr>
        <w:t xml:space="preserve"> </w:t>
      </w:r>
      <w:r>
        <w:t>where</w:t>
      </w:r>
      <w:r>
        <w:rPr>
          <w:spacing w:val="32"/>
        </w:rPr>
        <w:t xml:space="preserve"> </w:t>
      </w:r>
      <w:r>
        <w:t>mental</w:t>
      </w:r>
      <w:r>
        <w:rPr>
          <w:spacing w:val="32"/>
        </w:rPr>
        <w:t xml:space="preserve"> </w:t>
      </w:r>
      <w:r>
        <w:t>illness</w:t>
      </w:r>
      <w:r>
        <w:rPr>
          <w:spacing w:val="32"/>
        </w:rPr>
        <w:t xml:space="preserve"> </w:t>
      </w:r>
      <w:r>
        <w:t>is</w:t>
      </w:r>
      <w:r>
        <w:rPr>
          <w:spacing w:val="32"/>
        </w:rPr>
        <w:t xml:space="preserve"> </w:t>
      </w:r>
      <w:r>
        <w:t>concerned,</w:t>
      </w:r>
      <w:r>
        <w:rPr>
          <w:spacing w:val="32"/>
        </w:rPr>
        <w:t xml:space="preserve"> </w:t>
      </w:r>
      <w:r>
        <w:t>has</w:t>
      </w:r>
      <w:r>
        <w:rPr>
          <w:spacing w:val="32"/>
        </w:rPr>
        <w:t xml:space="preserve"> </w:t>
      </w:r>
      <w:r>
        <w:t>to</w:t>
      </w:r>
      <w:r>
        <w:rPr>
          <w:spacing w:val="32"/>
        </w:rPr>
        <w:t xml:space="preserve"> </w:t>
      </w:r>
      <w:r>
        <w:t>do with</w:t>
      </w:r>
      <w:r>
        <w:rPr>
          <w:spacing w:val="-1"/>
        </w:rPr>
        <w:t xml:space="preserve"> </w:t>
      </w:r>
      <w:r>
        <w:t>the</w:t>
      </w:r>
      <w:r>
        <w:rPr>
          <w:spacing w:val="-1"/>
        </w:rPr>
        <w:t xml:space="preserve"> </w:t>
      </w:r>
      <w:r>
        <w:t>fact</w:t>
      </w:r>
      <w:r>
        <w:rPr>
          <w:spacing w:val="-1"/>
        </w:rPr>
        <w:t xml:space="preserve"> </w:t>
      </w:r>
      <w:r>
        <w:t>such</w:t>
      </w:r>
      <w:r>
        <w:rPr>
          <w:spacing w:val="-1"/>
        </w:rPr>
        <w:t xml:space="preserve"> </w:t>
      </w:r>
      <w:r>
        <w:t>illness</w:t>
      </w:r>
      <w:r>
        <w:rPr>
          <w:spacing w:val="-1"/>
        </w:rPr>
        <w:t xml:space="preserve"> </w:t>
      </w:r>
      <w:r>
        <w:t>is,</w:t>
      </w:r>
      <w:r>
        <w:rPr>
          <w:spacing w:val="-1"/>
        </w:rPr>
        <w:t xml:space="preserve"> </w:t>
      </w:r>
      <w:r>
        <w:t>in</w:t>
      </w:r>
      <w:r>
        <w:rPr>
          <w:spacing w:val="-1"/>
        </w:rPr>
        <w:t xml:space="preserve"> </w:t>
      </w:r>
      <w:r>
        <w:t>some</w:t>
      </w:r>
      <w:r>
        <w:rPr>
          <w:spacing w:val="-1"/>
        </w:rPr>
        <w:t xml:space="preserve"> </w:t>
      </w:r>
      <w:r>
        <w:t>ways,</w:t>
      </w:r>
      <w:r>
        <w:rPr>
          <w:spacing w:val="-1"/>
        </w:rPr>
        <w:t xml:space="preserve"> </w:t>
      </w:r>
      <w:r>
        <w:t>at</w:t>
      </w:r>
      <w:r>
        <w:rPr>
          <w:spacing w:val="-1"/>
        </w:rPr>
        <w:t xml:space="preserve"> </w:t>
      </w:r>
      <w:r>
        <w:t>certain</w:t>
      </w:r>
      <w:r>
        <w:rPr>
          <w:spacing w:val="-1"/>
        </w:rPr>
        <w:t xml:space="preserve"> </w:t>
      </w:r>
      <w:r>
        <w:t>junctures,</w:t>
      </w:r>
      <w:r>
        <w:rPr>
          <w:spacing w:val="-1"/>
        </w:rPr>
        <w:t xml:space="preserve"> </w:t>
      </w:r>
      <w:r>
        <w:t>constitutive</w:t>
      </w:r>
      <w:r>
        <w:rPr>
          <w:spacing w:val="-1"/>
        </w:rPr>
        <w:t xml:space="preserve"> </w:t>
      </w:r>
      <w:r>
        <w:t>of certain kinds of mental health (or, what may be different, mental flourishing). This,</w:t>
      </w:r>
      <w:r>
        <w:rPr>
          <w:spacing w:val="36"/>
        </w:rPr>
        <w:t xml:space="preserve"> </w:t>
      </w:r>
      <w:r>
        <w:t>I</w:t>
      </w:r>
      <w:r>
        <w:rPr>
          <w:spacing w:val="36"/>
        </w:rPr>
        <w:t xml:space="preserve"> </w:t>
      </w:r>
      <w:r>
        <w:t>think,</w:t>
      </w:r>
      <w:r>
        <w:rPr>
          <w:spacing w:val="36"/>
        </w:rPr>
        <w:t xml:space="preserve"> </w:t>
      </w:r>
      <w:r>
        <w:t>is</w:t>
      </w:r>
      <w:r>
        <w:rPr>
          <w:spacing w:val="36"/>
        </w:rPr>
        <w:t xml:space="preserve"> </w:t>
      </w:r>
      <w:r>
        <w:t>why</w:t>
      </w:r>
      <w:r>
        <w:rPr>
          <w:spacing w:val="36"/>
        </w:rPr>
        <w:t xml:space="preserve"> </w:t>
      </w:r>
      <w:r>
        <w:t>“genius”</w:t>
      </w:r>
      <w:r>
        <w:rPr>
          <w:spacing w:val="36"/>
        </w:rPr>
        <w:t xml:space="preserve"> </w:t>
      </w:r>
      <w:r>
        <w:t>and</w:t>
      </w:r>
      <w:r>
        <w:rPr>
          <w:spacing w:val="36"/>
        </w:rPr>
        <w:t xml:space="preserve"> </w:t>
      </w:r>
      <w:r>
        <w:t>“madness”</w:t>
      </w:r>
      <w:r>
        <w:rPr>
          <w:spacing w:val="36"/>
        </w:rPr>
        <w:t xml:space="preserve"> </w:t>
      </w:r>
      <w:r>
        <w:t>are</w:t>
      </w:r>
      <w:r>
        <w:rPr>
          <w:spacing w:val="36"/>
        </w:rPr>
        <w:t xml:space="preserve"> </w:t>
      </w:r>
      <w:r>
        <w:t>proverbially</w:t>
      </w:r>
      <w:r>
        <w:rPr>
          <w:spacing w:val="38"/>
        </w:rPr>
        <w:t xml:space="preserve"> </w:t>
      </w:r>
      <w:r>
        <w:t>thought</w:t>
      </w:r>
      <w:r>
        <w:rPr>
          <w:spacing w:val="36"/>
        </w:rPr>
        <w:t xml:space="preserve"> </w:t>
      </w:r>
      <w:r>
        <w:t>to go</w:t>
      </w:r>
      <w:r>
        <w:rPr>
          <w:spacing w:val="-3"/>
        </w:rPr>
        <w:t xml:space="preserve"> </w:t>
      </w:r>
      <w:r>
        <w:t>together.</w:t>
      </w:r>
      <w:r>
        <w:rPr>
          <w:spacing w:val="-3"/>
        </w:rPr>
        <w:t xml:space="preserve"> </w:t>
      </w:r>
      <w:r>
        <w:t>I</w:t>
      </w:r>
      <w:r>
        <w:rPr>
          <w:spacing w:val="-3"/>
        </w:rPr>
        <w:t xml:space="preserve"> </w:t>
      </w:r>
      <w:r>
        <w:rPr>
          <w:i/>
        </w:rPr>
        <w:t>don’t</w:t>
      </w:r>
      <w:r>
        <w:rPr>
          <w:i/>
          <w:spacing w:val="-4"/>
        </w:rPr>
        <w:t xml:space="preserve"> </w:t>
      </w:r>
      <w:r>
        <w:t xml:space="preserve">think that the two, in fact, go together. Madness is always </w:t>
      </w:r>
      <w:r>
        <w:rPr>
          <w:spacing w:val="-2"/>
        </w:rPr>
        <w:t>performance-inhibiting,</w:t>
      </w:r>
      <w:r>
        <w:tab/>
      </w:r>
      <w:r>
        <w:rPr>
          <w:spacing w:val="-4"/>
        </w:rPr>
        <w:t>for</w:t>
      </w:r>
      <w:r>
        <w:tab/>
      </w:r>
      <w:r>
        <w:rPr>
          <w:spacing w:val="-2"/>
        </w:rPr>
        <w:t>reasons</w:t>
      </w:r>
      <w:r>
        <w:tab/>
      </w:r>
      <w:r>
        <w:rPr>
          <w:spacing w:val="-4"/>
        </w:rPr>
        <w:t>that</w:t>
      </w:r>
      <w:r>
        <w:tab/>
      </w:r>
      <w:r>
        <w:rPr>
          <w:spacing w:val="-2"/>
        </w:rPr>
        <w:t>we’ll</w:t>
      </w:r>
      <w:r>
        <w:tab/>
      </w:r>
      <w:r>
        <w:rPr>
          <w:spacing w:val="-4"/>
        </w:rPr>
        <w:t>soon</w:t>
      </w:r>
      <w:r>
        <w:tab/>
      </w:r>
      <w:r>
        <w:rPr>
          <w:spacing w:val="-2"/>
        </w:rPr>
        <w:t>discuss.</w:t>
      </w:r>
      <w:r>
        <w:tab/>
      </w:r>
      <w:r>
        <w:rPr>
          <w:spacing w:val="-4"/>
        </w:rPr>
        <w:t>But</w:t>
      </w:r>
      <w:r>
        <w:tab/>
      </w:r>
      <w:r>
        <w:rPr>
          <w:spacing w:val="-4"/>
        </w:rPr>
        <w:t xml:space="preserve">the </w:t>
      </w:r>
      <w:r>
        <w:t>eccentricities associated with ego-dystonic ailments are often conflated with madness,</w:t>
      </w:r>
      <w:r>
        <w:rPr>
          <w:spacing w:val="40"/>
        </w:rPr>
        <w:t xml:space="preserve"> </w:t>
      </w:r>
      <w:r>
        <w:t>leading</w:t>
      </w:r>
      <w:r>
        <w:rPr>
          <w:spacing w:val="40"/>
        </w:rPr>
        <w:t xml:space="preserve"> </w:t>
      </w:r>
      <w:r>
        <w:t>to</w:t>
      </w:r>
      <w:r>
        <w:rPr>
          <w:spacing w:val="40"/>
        </w:rPr>
        <w:t xml:space="preserve"> </w:t>
      </w:r>
      <w:r>
        <w:t>the</w:t>
      </w:r>
      <w:r>
        <w:rPr>
          <w:spacing w:val="40"/>
        </w:rPr>
        <w:t xml:space="preserve"> </w:t>
      </w:r>
      <w:r>
        <w:t>false</w:t>
      </w:r>
      <w:r>
        <w:rPr>
          <w:spacing w:val="40"/>
        </w:rPr>
        <w:t xml:space="preserve"> </w:t>
      </w:r>
      <w:r>
        <w:t>view</w:t>
      </w:r>
      <w:r>
        <w:rPr>
          <w:spacing w:val="40"/>
        </w:rPr>
        <w:t xml:space="preserve"> </w:t>
      </w:r>
      <w:r>
        <w:t>that</w:t>
      </w:r>
      <w:r>
        <w:rPr>
          <w:spacing w:val="40"/>
        </w:rPr>
        <w:t xml:space="preserve"> </w:t>
      </w:r>
      <w:r>
        <w:t>insanity</w:t>
      </w:r>
      <w:r>
        <w:rPr>
          <w:spacing w:val="40"/>
        </w:rPr>
        <w:t xml:space="preserve"> </w:t>
      </w:r>
      <w:r>
        <w:t>is</w:t>
      </w:r>
      <w:r>
        <w:rPr>
          <w:spacing w:val="40"/>
        </w:rPr>
        <w:t xml:space="preserve"> </w:t>
      </w:r>
      <w:r>
        <w:t>associated</w:t>
      </w:r>
      <w:r>
        <w:rPr>
          <w:spacing w:val="40"/>
        </w:rPr>
        <w:t xml:space="preserve"> </w:t>
      </w:r>
      <w:r>
        <w:t>in</w:t>
      </w:r>
      <w:r>
        <w:rPr>
          <w:spacing w:val="40"/>
        </w:rPr>
        <w:t xml:space="preserve"> </w:t>
      </w:r>
      <w:r>
        <w:t>some</w:t>
      </w:r>
      <w:r>
        <w:rPr>
          <w:spacing w:val="40"/>
        </w:rPr>
        <w:t xml:space="preserve"> </w:t>
      </w:r>
      <w:r>
        <w:t xml:space="preserve">way with genius. I must emphasize that ego-dystonic ailments are </w:t>
      </w:r>
      <w:r>
        <w:rPr>
          <w:i/>
        </w:rPr>
        <w:t xml:space="preserve">not </w:t>
      </w:r>
      <w:r>
        <w:t>a</w:t>
      </w:r>
      <w:r>
        <w:rPr>
          <w:spacing w:val="34"/>
        </w:rPr>
        <w:t xml:space="preserve"> </w:t>
      </w:r>
      <w:r>
        <w:t>form</w:t>
      </w:r>
      <w:r>
        <w:rPr>
          <w:spacing w:val="34"/>
        </w:rPr>
        <w:t xml:space="preserve"> </w:t>
      </w:r>
      <w:r>
        <w:t>of</w:t>
      </w:r>
      <w:r>
        <w:rPr>
          <w:spacing w:val="80"/>
        </w:rPr>
        <w:t xml:space="preserve"> </w:t>
      </w:r>
      <w:r>
        <w:t>madness.</w:t>
      </w:r>
      <w:r>
        <w:rPr>
          <w:spacing w:val="27"/>
        </w:rPr>
        <w:t xml:space="preserve"> </w:t>
      </w:r>
      <w:r>
        <w:t>(Not</w:t>
      </w:r>
      <w:r>
        <w:rPr>
          <w:spacing w:val="28"/>
        </w:rPr>
        <w:t xml:space="preserve"> </w:t>
      </w:r>
      <w:r>
        <w:t>all</w:t>
      </w:r>
      <w:r>
        <w:rPr>
          <w:spacing w:val="28"/>
        </w:rPr>
        <w:t xml:space="preserve"> </w:t>
      </w:r>
      <w:r>
        <w:t>psychological</w:t>
      </w:r>
      <w:r>
        <w:rPr>
          <w:spacing w:val="27"/>
        </w:rPr>
        <w:t xml:space="preserve"> </w:t>
      </w:r>
      <w:r>
        <w:t>disturbances</w:t>
      </w:r>
      <w:r>
        <w:rPr>
          <w:spacing w:val="28"/>
        </w:rPr>
        <w:t xml:space="preserve"> </w:t>
      </w:r>
      <w:r>
        <w:t>are</w:t>
      </w:r>
      <w:r>
        <w:rPr>
          <w:spacing w:val="28"/>
        </w:rPr>
        <w:t xml:space="preserve"> </w:t>
      </w:r>
      <w:r>
        <w:t>forms</w:t>
      </w:r>
      <w:r>
        <w:rPr>
          <w:spacing w:val="27"/>
        </w:rPr>
        <w:t xml:space="preserve"> </w:t>
      </w:r>
      <w:r>
        <w:t>of</w:t>
      </w:r>
      <w:r>
        <w:rPr>
          <w:spacing w:val="28"/>
        </w:rPr>
        <w:t xml:space="preserve"> </w:t>
      </w:r>
      <w:r>
        <w:t>madness.)</w:t>
      </w:r>
      <w:r>
        <w:rPr>
          <w:spacing w:val="28"/>
        </w:rPr>
        <w:t xml:space="preserve"> </w:t>
      </w:r>
      <w:r>
        <w:t>So</w:t>
      </w:r>
      <w:r>
        <w:rPr>
          <w:spacing w:val="28"/>
        </w:rPr>
        <w:t xml:space="preserve"> </w:t>
      </w:r>
      <w:r>
        <w:rPr>
          <w:spacing w:val="-5"/>
        </w:rPr>
        <w:t>far</w:t>
      </w:r>
    </w:p>
    <w:p w14:paraId="7E001CF8" w14:textId="77777777" w:rsidR="009A58DB" w:rsidRDefault="009A58DB">
      <w:pPr>
        <w:pStyle w:val="BodyText"/>
        <w:spacing w:line="249" w:lineRule="auto"/>
        <w:jc w:val="right"/>
        <w:sectPr w:rsidR="009A58DB">
          <w:pgSz w:w="12240" w:h="15840"/>
          <w:pgMar w:top="1380" w:right="1080" w:bottom="280" w:left="1080" w:header="720" w:footer="720" w:gutter="0"/>
          <w:cols w:space="720"/>
        </w:sectPr>
      </w:pPr>
    </w:p>
    <w:p w14:paraId="7E001CF9" w14:textId="77777777" w:rsidR="009A58DB" w:rsidRDefault="00000000">
      <w:pPr>
        <w:pStyle w:val="BodyText"/>
        <w:spacing w:before="65" w:line="249" w:lineRule="auto"/>
        <w:ind w:right="358"/>
      </w:pPr>
      <w:r>
        <w:lastRenderedPageBreak/>
        <w:t xml:space="preserve">as the word “madness” has a clear meaning, it refers to a condition in which one </w:t>
      </w:r>
      <w:r>
        <w:rPr>
          <w:i/>
        </w:rPr>
        <w:t xml:space="preserve">identifies </w:t>
      </w:r>
      <w:r>
        <w:t xml:space="preserve">with one’s pathologies—it refers to ego-syn-tonic ailments. A precondition for such conditions is a lowering of inhibitions that, in sane people, remain operative and that, when </w:t>
      </w:r>
      <w:r>
        <w:rPr>
          <w:i/>
        </w:rPr>
        <w:t>hyper</w:t>
      </w:r>
      <w:r>
        <w:t>-operative, constitute OCD and other ego-dystonic ailments. Goblins and ghouls are no part of a sane person’s life except when, during sleep, there is a lowering of the inhibitions that, during wakefulness, rightly keep these creatures of childhood in the cellar of the unconscious. A person with OCD (who isn’t also a person with an ego-syntonic disorder) is like the sane person, except that the OCD person’s defenses are in overdrive. So, in such a person, it isn’t just ghouls and goblins that get the ax: healthy beliefs and sentiments do as well. One’s antipathy towards one’s father, and one’s suspicions concerning one’s best friend become off-limits in the way that, in a less neurotic person, only goblins and dragons are.</w:t>
      </w:r>
    </w:p>
    <w:p w14:paraId="7E001CFA" w14:textId="77777777" w:rsidR="009A58DB" w:rsidRDefault="00000000">
      <w:pPr>
        <w:pStyle w:val="BodyText"/>
        <w:spacing w:before="17" w:line="249" w:lineRule="auto"/>
        <w:ind w:right="358" w:firstLine="360"/>
      </w:pPr>
      <w:r>
        <w:t xml:space="preserve">In terms of its outward effects, this hyper-inhibitedness can mimic “madness” (which, so far as it means anything, refers to psychosis). The psychotic person refuses to touch the doorknob because he thinks it’s Satan’s horn. The obsessive-compulsive person refuses to touch it because, in his mind, it’s connected, by way of emotionally charged associations </w:t>
      </w:r>
      <w:r>
        <w:rPr>
          <w:i/>
        </w:rPr>
        <w:t xml:space="preserve">that he knows to have no objective basis, </w:t>
      </w:r>
      <w:r>
        <w:t>with emotions that he doesn’t countenance (e.g., aggressive urges towards a loved one), sexual urges that are “wrong” (e.g., homosexual, incestuous, or sadistic urges). But the outward observer only sees some eccentric who refuses to touch a doorknob. Hence the conflation of psychosis with ego-dystonic illness; and—since the latter is associated with (though it’s not the most productive manifestation of) character traits that are associated with high achievement—hence the bogus stereotype of the “mad genius.”</w:t>
      </w:r>
    </w:p>
    <w:p w14:paraId="7E001CFB" w14:textId="77777777" w:rsidR="009A58DB" w:rsidRDefault="00000000">
      <w:pPr>
        <w:pStyle w:val="BodyText"/>
        <w:spacing w:before="16" w:line="249" w:lineRule="auto"/>
        <w:ind w:right="359" w:firstLine="360"/>
      </w:pPr>
      <w:r>
        <w:t>So, ego-</w:t>
      </w:r>
      <w:r>
        <w:rPr>
          <w:i/>
        </w:rPr>
        <w:t>syn</w:t>
      </w:r>
      <w:r>
        <w:t xml:space="preserve">tonic illnesses, unlike ego-dystonic ones, are not at all adaptive, the reason being that they result from a </w:t>
      </w:r>
      <w:r>
        <w:rPr>
          <w:i/>
        </w:rPr>
        <w:t xml:space="preserve">weakening </w:t>
      </w:r>
      <w:r>
        <w:t>of one’s</w:t>
      </w:r>
      <w:r>
        <w:rPr>
          <w:spacing w:val="40"/>
        </w:rPr>
        <w:t xml:space="preserve"> </w:t>
      </w:r>
      <w:r>
        <w:t>defenses</w:t>
      </w:r>
      <w:r>
        <w:rPr>
          <w:spacing w:val="-5"/>
        </w:rPr>
        <w:t xml:space="preserve"> </w:t>
      </w:r>
      <w:r>
        <w:t>to</w:t>
      </w:r>
      <w:r>
        <w:rPr>
          <w:spacing w:val="-4"/>
        </w:rPr>
        <w:t xml:space="preserve"> </w:t>
      </w:r>
      <w:r>
        <w:t>a</w:t>
      </w:r>
      <w:r>
        <w:rPr>
          <w:spacing w:val="-5"/>
        </w:rPr>
        <w:t xml:space="preserve"> </w:t>
      </w:r>
      <w:r>
        <w:t>profound,</w:t>
      </w:r>
      <w:r>
        <w:rPr>
          <w:spacing w:val="-4"/>
        </w:rPr>
        <w:t xml:space="preserve"> </w:t>
      </w:r>
      <w:r>
        <w:t>highly</w:t>
      </w:r>
      <w:r>
        <w:rPr>
          <w:spacing w:val="-4"/>
        </w:rPr>
        <w:t xml:space="preserve"> </w:t>
      </w:r>
      <w:r>
        <w:t>incapacitating</w:t>
      </w:r>
      <w:r>
        <w:rPr>
          <w:spacing w:val="-4"/>
        </w:rPr>
        <w:t xml:space="preserve"> </w:t>
      </w:r>
      <w:r>
        <w:t>disorganization</w:t>
      </w:r>
      <w:r>
        <w:rPr>
          <w:spacing w:val="-4"/>
        </w:rPr>
        <w:t xml:space="preserve"> </w:t>
      </w:r>
      <w:r>
        <w:t>of</w:t>
      </w:r>
      <w:r>
        <w:rPr>
          <w:spacing w:val="-5"/>
        </w:rPr>
        <w:t xml:space="preserve"> </w:t>
      </w:r>
      <w:r>
        <w:t>one’s</w:t>
      </w:r>
      <w:r>
        <w:rPr>
          <w:spacing w:val="-5"/>
        </w:rPr>
        <w:t xml:space="preserve"> </w:t>
      </w:r>
      <w:r>
        <w:t>psyche. So, in a way, those suffering from ego-dystonic illnesses are even further removed from those suffering from ego-syntonic illnesses than those who suffer from neither. In this connection, it is worth pointing out ego-dystonic maladies seem to coincide with what are sometimes called “neuroses” and that ego-dystonic ones coincide with “psychoses.”</w:t>
      </w:r>
    </w:p>
    <w:p w14:paraId="7E001CF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CFD" w14:textId="77777777" w:rsidR="009A58DB" w:rsidRDefault="009A58DB">
      <w:pPr>
        <w:pStyle w:val="BodyText"/>
        <w:spacing w:before="4"/>
        <w:ind w:left="0"/>
        <w:jc w:val="left"/>
        <w:rPr>
          <w:sz w:val="17"/>
        </w:rPr>
      </w:pPr>
    </w:p>
    <w:p w14:paraId="7E001CFE"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1CFF" w14:textId="77777777" w:rsidR="009A58DB" w:rsidRDefault="00000000">
      <w:pPr>
        <w:spacing w:line="503" w:lineRule="exact"/>
        <w:ind w:left="326" w:right="332"/>
        <w:jc w:val="center"/>
        <w:rPr>
          <w:rFonts w:ascii="Calibri Light"/>
          <w:sz w:val="42"/>
        </w:rPr>
      </w:pPr>
      <w:bookmarkStart w:id="403" w:name="_bookmark403"/>
      <w:bookmarkEnd w:id="403"/>
      <w:r>
        <w:rPr>
          <w:rFonts w:ascii="Calibri Light"/>
          <w:sz w:val="42"/>
        </w:rPr>
        <w:lastRenderedPageBreak/>
        <w:t>Chapter</w:t>
      </w:r>
      <w:r>
        <w:rPr>
          <w:rFonts w:ascii="Calibri Light"/>
          <w:spacing w:val="56"/>
          <w:sz w:val="42"/>
        </w:rPr>
        <w:t xml:space="preserve"> </w:t>
      </w:r>
      <w:r>
        <w:rPr>
          <w:rFonts w:ascii="Calibri Light"/>
          <w:spacing w:val="-5"/>
          <w:sz w:val="42"/>
        </w:rPr>
        <w:t>16</w:t>
      </w:r>
    </w:p>
    <w:p w14:paraId="7E001D00" w14:textId="77777777" w:rsidR="009A58DB" w:rsidRDefault="00000000">
      <w:pPr>
        <w:spacing w:before="222"/>
        <w:ind w:left="326" w:right="332"/>
        <w:jc w:val="center"/>
        <w:rPr>
          <w:rFonts w:ascii="Calibri Light"/>
          <w:sz w:val="42"/>
        </w:rPr>
      </w:pPr>
      <w:bookmarkStart w:id="404" w:name="_bookmark404"/>
      <w:bookmarkEnd w:id="404"/>
      <w:r>
        <w:rPr>
          <w:rFonts w:ascii="Calibri Light"/>
          <w:sz w:val="42"/>
        </w:rPr>
        <w:t>Personal</w:t>
      </w:r>
      <w:r>
        <w:rPr>
          <w:rFonts w:ascii="Calibri Light"/>
          <w:spacing w:val="53"/>
          <w:sz w:val="42"/>
        </w:rPr>
        <w:t xml:space="preserve"> </w:t>
      </w:r>
      <w:r>
        <w:rPr>
          <w:rFonts w:ascii="Calibri Light"/>
          <w:sz w:val="42"/>
        </w:rPr>
        <w:t>and</w:t>
      </w:r>
      <w:r>
        <w:rPr>
          <w:rFonts w:ascii="Calibri Light"/>
          <w:spacing w:val="53"/>
          <w:sz w:val="42"/>
        </w:rPr>
        <w:t xml:space="preserve"> </w:t>
      </w:r>
      <w:r>
        <w:rPr>
          <w:rFonts w:ascii="Calibri Light"/>
          <w:sz w:val="42"/>
        </w:rPr>
        <w:t>Objectual</w:t>
      </w:r>
      <w:r>
        <w:rPr>
          <w:rFonts w:ascii="Calibri Light"/>
          <w:spacing w:val="54"/>
          <w:sz w:val="42"/>
        </w:rPr>
        <w:t xml:space="preserve"> </w:t>
      </w:r>
      <w:r>
        <w:rPr>
          <w:rFonts w:ascii="Calibri Light"/>
          <w:spacing w:val="-2"/>
          <w:sz w:val="42"/>
        </w:rPr>
        <w:t>Identity</w:t>
      </w:r>
    </w:p>
    <w:p w14:paraId="7E001D01" w14:textId="77777777" w:rsidR="009A58DB" w:rsidRDefault="00000000">
      <w:pPr>
        <w:pStyle w:val="Heading1"/>
        <w:numPr>
          <w:ilvl w:val="1"/>
          <w:numId w:val="97"/>
        </w:numPr>
        <w:tabs>
          <w:tab w:val="left" w:pos="990"/>
        </w:tabs>
        <w:spacing w:before="185"/>
      </w:pPr>
      <w:r>
        <w:t>Identity-related</w:t>
      </w:r>
      <w:r>
        <w:rPr>
          <w:spacing w:val="-14"/>
        </w:rPr>
        <w:t xml:space="preserve"> </w:t>
      </w:r>
      <w:r>
        <w:t>expressions</w:t>
      </w:r>
      <w:r>
        <w:rPr>
          <w:spacing w:val="-11"/>
        </w:rPr>
        <w:t xml:space="preserve"> </w:t>
      </w:r>
      <w:r>
        <w:rPr>
          <w:spacing w:val="-2"/>
        </w:rPr>
        <w:t>ambiguous</w:t>
      </w:r>
    </w:p>
    <w:p w14:paraId="7E001D02" w14:textId="77777777" w:rsidR="009A58DB" w:rsidRDefault="00000000">
      <w:pPr>
        <w:pStyle w:val="BodyText"/>
        <w:spacing w:before="139" w:line="249" w:lineRule="auto"/>
        <w:ind w:right="361"/>
      </w:pPr>
      <w:r>
        <w:t>We often make statements of the form ‹x is identical with y›. Examples are “I’m</w:t>
      </w:r>
      <w:r>
        <w:rPr>
          <w:spacing w:val="66"/>
        </w:rPr>
        <w:t xml:space="preserve"> </w:t>
      </w:r>
      <w:r>
        <w:t>the</w:t>
      </w:r>
      <w:r>
        <w:rPr>
          <w:spacing w:val="67"/>
        </w:rPr>
        <w:t xml:space="preserve"> </w:t>
      </w:r>
      <w:r>
        <w:t>guy</w:t>
      </w:r>
      <w:r>
        <w:rPr>
          <w:spacing w:val="66"/>
        </w:rPr>
        <w:t xml:space="preserve"> </w:t>
      </w:r>
      <w:r>
        <w:t>in</w:t>
      </w:r>
      <w:r>
        <w:rPr>
          <w:spacing w:val="67"/>
        </w:rPr>
        <w:t xml:space="preserve"> </w:t>
      </w:r>
      <w:r>
        <w:t>the</w:t>
      </w:r>
      <w:r>
        <w:rPr>
          <w:spacing w:val="66"/>
        </w:rPr>
        <w:t xml:space="preserve"> </w:t>
      </w:r>
      <w:r>
        <w:t>photo,”</w:t>
      </w:r>
      <w:r>
        <w:rPr>
          <w:spacing w:val="67"/>
        </w:rPr>
        <w:t xml:space="preserve"> </w:t>
      </w:r>
      <w:r>
        <w:t>“water</w:t>
      </w:r>
      <w:r>
        <w:rPr>
          <w:spacing w:val="66"/>
        </w:rPr>
        <w:t xml:space="preserve"> </w:t>
      </w:r>
      <w:r>
        <w:t>is</w:t>
      </w:r>
      <w:r>
        <w:rPr>
          <w:spacing w:val="67"/>
        </w:rPr>
        <w:t xml:space="preserve"> </w:t>
      </w:r>
      <w:r>
        <w:t>H</w:t>
      </w:r>
      <w:r>
        <w:rPr>
          <w:vertAlign w:val="subscript"/>
        </w:rPr>
        <w:t>2</w:t>
      </w:r>
      <w:r>
        <w:t>O,”</w:t>
      </w:r>
      <w:r>
        <w:rPr>
          <w:spacing w:val="70"/>
        </w:rPr>
        <w:t xml:space="preserve"> </w:t>
      </w:r>
      <w:r>
        <w:t>“Superman</w:t>
      </w:r>
      <w:r>
        <w:rPr>
          <w:spacing w:val="70"/>
        </w:rPr>
        <w:t xml:space="preserve"> </w:t>
      </w:r>
      <w:r>
        <w:t>is</w:t>
      </w:r>
      <w:r>
        <w:rPr>
          <w:spacing w:val="71"/>
        </w:rPr>
        <w:t xml:space="preserve"> </w:t>
      </w:r>
      <w:r>
        <w:t>Clark</w:t>
      </w:r>
      <w:r>
        <w:rPr>
          <w:spacing w:val="70"/>
        </w:rPr>
        <w:t xml:space="preserve"> </w:t>
      </w:r>
      <w:r>
        <w:rPr>
          <w:spacing w:val="-2"/>
        </w:rPr>
        <w:t>Kent,”</w:t>
      </w:r>
    </w:p>
    <w:p w14:paraId="7E001D03" w14:textId="77777777" w:rsidR="009A58DB" w:rsidRDefault="00000000">
      <w:pPr>
        <w:pStyle w:val="BodyText"/>
        <w:spacing w:before="78" w:line="249" w:lineRule="auto"/>
        <w:ind w:right="371"/>
      </w:pPr>
      <w:r>
        <w:t>“that’s the eraser I was looking for,” and so on. Statements of this form</w:t>
      </w:r>
      <w:r>
        <w:rPr>
          <w:spacing w:val="40"/>
        </w:rPr>
        <w:t xml:space="preserve"> </w:t>
      </w:r>
      <w:r>
        <w:t>are known as “identity statements.”</w:t>
      </w:r>
    </w:p>
    <w:p w14:paraId="7E001D04" w14:textId="77777777" w:rsidR="009A58DB" w:rsidRDefault="00000000">
      <w:pPr>
        <w:pStyle w:val="BodyText"/>
        <w:spacing w:before="2" w:line="249" w:lineRule="auto"/>
        <w:ind w:right="362" w:firstLine="360"/>
      </w:pPr>
      <w:r>
        <w:t>Identity statements don’t always, or even typically, use the terms “identity” or “identical with.” Usually, they just use some form of the verb “to be.” So “that’s the guy who took my money” is an identity statement, even though the terms “identity” and “identical with” are nowhere to be</w:t>
      </w:r>
      <w:r>
        <w:rPr>
          <w:spacing w:val="40"/>
        </w:rPr>
        <w:t xml:space="preserve"> </w:t>
      </w:r>
      <w:r>
        <w:t>found in it.</w:t>
      </w:r>
    </w:p>
    <w:p w14:paraId="7E001D05" w14:textId="77777777" w:rsidR="009A58DB" w:rsidRDefault="00000000">
      <w:pPr>
        <w:pStyle w:val="Heading1"/>
        <w:numPr>
          <w:ilvl w:val="1"/>
          <w:numId w:val="97"/>
        </w:numPr>
        <w:tabs>
          <w:tab w:val="left" w:pos="780"/>
          <w:tab w:val="left" w:pos="990"/>
        </w:tabs>
        <w:spacing w:before="209" w:line="244" w:lineRule="auto"/>
        <w:ind w:left="780" w:right="1555" w:hanging="420"/>
      </w:pPr>
      <w:r>
        <w:t>Identity-related expressions ambiguous: predicative</w:t>
      </w:r>
      <w:r>
        <w:rPr>
          <w:spacing w:val="-9"/>
        </w:rPr>
        <w:t xml:space="preserve"> </w:t>
      </w:r>
      <w:r>
        <w:t>vs.</w:t>
      </w:r>
      <w:r>
        <w:rPr>
          <w:spacing w:val="-8"/>
        </w:rPr>
        <w:t xml:space="preserve"> </w:t>
      </w:r>
      <w:r>
        <w:t>non-predicative</w:t>
      </w:r>
      <w:r>
        <w:rPr>
          <w:spacing w:val="-9"/>
        </w:rPr>
        <w:t xml:space="preserve"> </w:t>
      </w:r>
      <w:r>
        <w:t>uses</w:t>
      </w:r>
      <w:r>
        <w:rPr>
          <w:spacing w:val="-9"/>
        </w:rPr>
        <w:t xml:space="preserve"> </w:t>
      </w:r>
      <w:r>
        <w:t>of</w:t>
      </w:r>
      <w:r>
        <w:rPr>
          <w:spacing w:val="-9"/>
        </w:rPr>
        <w:t xml:space="preserve"> </w:t>
      </w:r>
      <w:r>
        <w:t xml:space="preserve">such </w:t>
      </w:r>
      <w:r>
        <w:rPr>
          <w:spacing w:val="-2"/>
        </w:rPr>
        <w:t>expressions</w:t>
      </w:r>
    </w:p>
    <w:p w14:paraId="7E001D06" w14:textId="77777777" w:rsidR="009A58DB" w:rsidRDefault="00000000">
      <w:pPr>
        <w:pStyle w:val="BodyText"/>
        <w:spacing w:before="134" w:line="249" w:lineRule="auto"/>
        <w:ind w:right="358"/>
      </w:pPr>
      <w:r>
        <w:t>This brings us to a fact that confused many pre-20th-century thinkers. The verb “to be” is ambiguous. As just noted, it sometimes means “identical</w:t>
      </w:r>
      <w:r>
        <w:rPr>
          <w:spacing w:val="40"/>
        </w:rPr>
        <w:t xml:space="preserve"> </w:t>
      </w:r>
      <w:r>
        <w:t>with”</w:t>
      </w:r>
      <w:r>
        <w:rPr>
          <w:spacing w:val="-1"/>
        </w:rPr>
        <w:t xml:space="preserve"> </w:t>
      </w:r>
      <w:r>
        <w:t>(“he</w:t>
      </w:r>
      <w:r>
        <w:rPr>
          <w:spacing w:val="-1"/>
        </w:rPr>
        <w:t xml:space="preserve"> </w:t>
      </w:r>
      <w:r>
        <w:t>is</w:t>
      </w:r>
      <w:r>
        <w:rPr>
          <w:spacing w:val="-1"/>
        </w:rPr>
        <w:t xml:space="preserve"> </w:t>
      </w:r>
      <w:r>
        <w:t>George”</w:t>
      </w:r>
      <w:r>
        <w:rPr>
          <w:spacing w:val="-1"/>
        </w:rPr>
        <w:t xml:space="preserve"> </w:t>
      </w:r>
      <w:r>
        <w:t>means</w:t>
      </w:r>
      <w:r>
        <w:rPr>
          <w:spacing w:val="-1"/>
        </w:rPr>
        <w:t xml:space="preserve"> </w:t>
      </w:r>
      <w:r>
        <w:t>“he</w:t>
      </w:r>
      <w:r>
        <w:rPr>
          <w:spacing w:val="-1"/>
        </w:rPr>
        <w:t xml:space="preserve"> </w:t>
      </w:r>
      <w:r>
        <w:t>is</w:t>
      </w:r>
      <w:r>
        <w:rPr>
          <w:spacing w:val="-1"/>
        </w:rPr>
        <w:t xml:space="preserve"> </w:t>
      </w:r>
      <w:r>
        <w:t>identical</w:t>
      </w:r>
      <w:r>
        <w:rPr>
          <w:spacing w:val="-1"/>
        </w:rPr>
        <w:t xml:space="preserve"> </w:t>
      </w:r>
      <w:r>
        <w:t>with</w:t>
      </w:r>
      <w:r>
        <w:rPr>
          <w:spacing w:val="-1"/>
        </w:rPr>
        <w:t xml:space="preserve"> </w:t>
      </w:r>
      <w:r>
        <w:t>George”).</w:t>
      </w:r>
      <w:r>
        <w:rPr>
          <w:spacing w:val="-1"/>
        </w:rPr>
        <w:t xml:space="preserve"> </w:t>
      </w:r>
      <w:r>
        <w:t>But</w:t>
      </w:r>
      <w:r>
        <w:rPr>
          <w:spacing w:val="-1"/>
        </w:rPr>
        <w:t xml:space="preserve"> </w:t>
      </w:r>
      <w:r>
        <w:t>sometimes</w:t>
      </w:r>
      <w:r>
        <w:rPr>
          <w:spacing w:val="-1"/>
        </w:rPr>
        <w:t xml:space="preserve"> </w:t>
      </w:r>
      <w:r>
        <w:t xml:space="preserve">it has an entirely different meaning. When you say “Smith is tall,” you are not saying that Smith is </w:t>
      </w:r>
      <w:r>
        <w:rPr>
          <w:i/>
        </w:rPr>
        <w:t xml:space="preserve">identical </w:t>
      </w:r>
      <w:r>
        <w:t xml:space="preserve">with tallness; you are not making an identity statement. So oftentimes “is” (and “are,” “am,” etc.) doesn’t denote the relation of identity and instead denotes the relation of </w:t>
      </w:r>
      <w:r>
        <w:rPr>
          <w:i/>
        </w:rPr>
        <w:t>having</w:t>
      </w:r>
      <w:r>
        <w:rPr>
          <w:i/>
          <w:spacing w:val="-2"/>
        </w:rPr>
        <w:t xml:space="preserve"> </w:t>
      </w:r>
      <w:r>
        <w:t xml:space="preserve">(as in having an attribute). In other words, “is” sometimes has a </w:t>
      </w:r>
      <w:r>
        <w:rPr>
          <w:i/>
        </w:rPr>
        <w:t xml:space="preserve">predicative </w:t>
      </w:r>
      <w:r>
        <w:t xml:space="preserve">meaning: it is used to predicate a property of an individual. (To predicate a property of an individual is to attribute that property to that individual.) But in this context, we will focus on the concept of identity, not on the concept of attribute </w:t>
      </w:r>
      <w:r>
        <w:rPr>
          <w:spacing w:val="-2"/>
        </w:rPr>
        <w:t>possession.</w:t>
      </w:r>
    </w:p>
    <w:p w14:paraId="7E001D07" w14:textId="77777777" w:rsidR="009A58DB" w:rsidRDefault="00000000">
      <w:pPr>
        <w:pStyle w:val="BodyText"/>
        <w:spacing w:before="15" w:line="249" w:lineRule="auto"/>
        <w:ind w:right="360" w:firstLine="360"/>
        <w:rPr>
          <w:i/>
        </w:rPr>
      </w:pPr>
      <w:r>
        <w:t xml:space="preserve">That said, it should be pointed that, although it is generally clear what is meant by statements involving the term “is” (or some other form of the verb “to be”), there are cases where it is functioning in </w:t>
      </w:r>
      <w:r>
        <w:rPr>
          <w:i/>
        </w:rPr>
        <w:t xml:space="preserve">both </w:t>
      </w:r>
      <w:r>
        <w:t>ways—where</w:t>
      </w:r>
      <w:r>
        <w:rPr>
          <w:spacing w:val="19"/>
        </w:rPr>
        <w:t xml:space="preserve"> </w:t>
      </w:r>
      <w:r>
        <w:t>it</w:t>
      </w:r>
      <w:r>
        <w:rPr>
          <w:spacing w:val="19"/>
        </w:rPr>
        <w:t xml:space="preserve"> </w:t>
      </w:r>
      <w:r>
        <w:rPr>
          <w:i/>
        </w:rPr>
        <w:t>both</w:t>
      </w:r>
    </w:p>
    <w:p w14:paraId="7E001D08" w14:textId="77777777" w:rsidR="009A58DB" w:rsidRDefault="009A58DB">
      <w:pPr>
        <w:pStyle w:val="BodyText"/>
        <w:spacing w:line="249" w:lineRule="auto"/>
        <w:rPr>
          <w:i/>
        </w:rPr>
        <w:sectPr w:rsidR="009A58DB">
          <w:pgSz w:w="12240" w:h="15840"/>
          <w:pgMar w:top="1680" w:right="1080" w:bottom="280" w:left="1080" w:header="720" w:footer="720" w:gutter="0"/>
          <w:cols w:space="720"/>
        </w:sectPr>
      </w:pPr>
    </w:p>
    <w:p w14:paraId="7E001D09" w14:textId="77777777" w:rsidR="009A58DB" w:rsidRDefault="00000000">
      <w:pPr>
        <w:pStyle w:val="BodyText"/>
        <w:spacing w:before="70" w:line="249" w:lineRule="auto"/>
        <w:ind w:right="361"/>
      </w:pPr>
      <w:r>
        <w:lastRenderedPageBreak/>
        <w:t xml:space="preserve">indicates identity </w:t>
      </w:r>
      <w:r>
        <w:rPr>
          <w:i/>
        </w:rPr>
        <w:t xml:space="preserve">and </w:t>
      </w:r>
      <w:r>
        <w:t xml:space="preserve">attributes a property to somebody (or something). If you say “Smith is the guy who washes my windows,” that seems </w:t>
      </w:r>
      <w:r>
        <w:rPr>
          <w:i/>
        </w:rPr>
        <w:t xml:space="preserve">both </w:t>
      </w:r>
      <w:r>
        <w:t xml:space="preserve">to identify Smith with a certain person </w:t>
      </w:r>
      <w:r>
        <w:rPr>
          <w:i/>
        </w:rPr>
        <w:t>and</w:t>
      </w:r>
      <w:r>
        <w:rPr>
          <w:i/>
          <w:spacing w:val="-3"/>
        </w:rPr>
        <w:t xml:space="preserve"> </w:t>
      </w:r>
      <w:r>
        <w:t>to attribute various properties to him (e.g., the property of a window washer). We will find that these borderline cases expose important facts about the concept of identity.</w:t>
      </w:r>
    </w:p>
    <w:p w14:paraId="7E001D0A" w14:textId="77777777" w:rsidR="009A58DB" w:rsidRDefault="00000000">
      <w:pPr>
        <w:pStyle w:val="Heading1"/>
        <w:numPr>
          <w:ilvl w:val="1"/>
          <w:numId w:val="97"/>
        </w:numPr>
        <w:tabs>
          <w:tab w:val="left" w:pos="990"/>
        </w:tabs>
        <w:spacing w:before="189" w:line="244" w:lineRule="auto"/>
        <w:ind w:left="360" w:right="2478" w:firstLine="0"/>
      </w:pPr>
      <w:r>
        <w:t>Metaphorical</w:t>
      </w:r>
      <w:r>
        <w:rPr>
          <w:spacing w:val="-14"/>
        </w:rPr>
        <w:t xml:space="preserve"> </w:t>
      </w:r>
      <w:r>
        <w:t>uses</w:t>
      </w:r>
      <w:r>
        <w:rPr>
          <w:spacing w:val="-14"/>
        </w:rPr>
        <w:t xml:space="preserve"> </w:t>
      </w:r>
      <w:r>
        <w:t>of</w:t>
      </w:r>
      <w:r>
        <w:rPr>
          <w:spacing w:val="-14"/>
        </w:rPr>
        <w:t xml:space="preserve"> </w:t>
      </w:r>
      <w:r>
        <w:t xml:space="preserve">identity-related </w:t>
      </w:r>
      <w:r>
        <w:rPr>
          <w:spacing w:val="-2"/>
        </w:rPr>
        <w:t>expressions</w:t>
      </w:r>
    </w:p>
    <w:p w14:paraId="7E001D0B" w14:textId="77777777" w:rsidR="009A58DB" w:rsidRDefault="00000000">
      <w:pPr>
        <w:pStyle w:val="BodyText"/>
        <w:spacing w:before="132" w:line="249" w:lineRule="auto"/>
        <w:ind w:right="358"/>
      </w:pPr>
      <w:r>
        <w:t>Identity</w:t>
      </w:r>
      <w:r>
        <w:rPr>
          <w:spacing w:val="-12"/>
        </w:rPr>
        <w:t xml:space="preserve"> </w:t>
      </w:r>
      <w:r>
        <w:t>statements</w:t>
      </w:r>
      <w:r>
        <w:rPr>
          <w:spacing w:val="-13"/>
        </w:rPr>
        <w:t xml:space="preserve"> </w:t>
      </w:r>
      <w:r>
        <w:t>are</w:t>
      </w:r>
      <w:r>
        <w:rPr>
          <w:spacing w:val="-13"/>
        </w:rPr>
        <w:t xml:space="preserve"> </w:t>
      </w:r>
      <w:r>
        <w:t>often</w:t>
      </w:r>
      <w:r>
        <w:rPr>
          <w:spacing w:val="-12"/>
        </w:rPr>
        <w:t xml:space="preserve"> </w:t>
      </w:r>
      <w:r>
        <w:t>used</w:t>
      </w:r>
      <w:r>
        <w:rPr>
          <w:spacing w:val="-12"/>
        </w:rPr>
        <w:t xml:space="preserve"> </w:t>
      </w:r>
      <w:r>
        <w:t>in</w:t>
      </w:r>
      <w:r>
        <w:rPr>
          <w:spacing w:val="-12"/>
        </w:rPr>
        <w:t xml:space="preserve"> </w:t>
      </w:r>
      <w:r>
        <w:t>a</w:t>
      </w:r>
      <w:r>
        <w:rPr>
          <w:spacing w:val="-13"/>
        </w:rPr>
        <w:t xml:space="preserve"> </w:t>
      </w:r>
      <w:r>
        <w:t>loose,</w:t>
      </w:r>
      <w:r>
        <w:rPr>
          <w:spacing w:val="-12"/>
        </w:rPr>
        <w:t xml:space="preserve"> </w:t>
      </w:r>
      <w:r>
        <w:t>figurative</w:t>
      </w:r>
      <w:r>
        <w:rPr>
          <w:spacing w:val="-13"/>
        </w:rPr>
        <w:t xml:space="preserve"> </w:t>
      </w:r>
      <w:r>
        <w:t>fashion.</w:t>
      </w:r>
      <w:r>
        <w:rPr>
          <w:spacing w:val="-12"/>
        </w:rPr>
        <w:t xml:space="preserve"> </w:t>
      </w:r>
      <w:r>
        <w:t>One</w:t>
      </w:r>
      <w:r>
        <w:rPr>
          <w:spacing w:val="-13"/>
        </w:rPr>
        <w:t xml:space="preserve"> </w:t>
      </w:r>
      <w:r>
        <w:t>often</w:t>
      </w:r>
      <w:r>
        <w:rPr>
          <w:spacing w:val="-12"/>
        </w:rPr>
        <w:t xml:space="preserve"> </w:t>
      </w:r>
      <w:r>
        <w:t>says things</w:t>
      </w:r>
      <w:r>
        <w:rPr>
          <w:spacing w:val="-14"/>
        </w:rPr>
        <w:t xml:space="preserve"> </w:t>
      </w:r>
      <w:r>
        <w:t>like</w:t>
      </w:r>
      <w:r>
        <w:rPr>
          <w:spacing w:val="-14"/>
        </w:rPr>
        <w:t xml:space="preserve"> </w:t>
      </w:r>
      <w:r>
        <w:t>“George</w:t>
      </w:r>
      <w:r>
        <w:rPr>
          <w:spacing w:val="-14"/>
        </w:rPr>
        <w:t xml:space="preserve"> </w:t>
      </w:r>
      <w:r>
        <w:t>isn’t</w:t>
      </w:r>
      <w:r>
        <w:rPr>
          <w:spacing w:val="-14"/>
        </w:rPr>
        <w:t xml:space="preserve"> </w:t>
      </w:r>
      <w:r>
        <w:t>the</w:t>
      </w:r>
      <w:r>
        <w:rPr>
          <w:spacing w:val="-14"/>
        </w:rPr>
        <w:t xml:space="preserve"> </w:t>
      </w:r>
      <w:r>
        <w:t>person</w:t>
      </w:r>
      <w:r>
        <w:rPr>
          <w:spacing w:val="-14"/>
        </w:rPr>
        <w:t xml:space="preserve"> </w:t>
      </w:r>
      <w:r>
        <w:t>he</w:t>
      </w:r>
      <w:r>
        <w:rPr>
          <w:spacing w:val="-14"/>
        </w:rPr>
        <w:t xml:space="preserve"> </w:t>
      </w:r>
      <w:r>
        <w:t>used</w:t>
      </w:r>
      <w:r>
        <w:rPr>
          <w:spacing w:val="-14"/>
        </w:rPr>
        <w:t xml:space="preserve"> </w:t>
      </w:r>
      <w:r>
        <w:t>to</w:t>
      </w:r>
      <w:r>
        <w:rPr>
          <w:spacing w:val="-14"/>
        </w:rPr>
        <w:t xml:space="preserve"> </w:t>
      </w:r>
      <w:r>
        <w:t>be—having</w:t>
      </w:r>
      <w:r>
        <w:rPr>
          <w:spacing w:val="-14"/>
        </w:rPr>
        <w:t xml:space="preserve"> </w:t>
      </w:r>
      <w:r>
        <w:t>money</w:t>
      </w:r>
      <w:r>
        <w:rPr>
          <w:spacing w:val="-14"/>
        </w:rPr>
        <w:t xml:space="preserve"> </w:t>
      </w:r>
      <w:r>
        <w:t>has</w:t>
      </w:r>
      <w:r>
        <w:rPr>
          <w:spacing w:val="-14"/>
        </w:rPr>
        <w:t xml:space="preserve"> </w:t>
      </w:r>
      <w:r>
        <w:t>changed him” and “I’m not myself today.” These statements are not meant literally. Although having money may have changed George, since he now has unsavory character traits that he used not to have, George hasn’t</w:t>
      </w:r>
      <w:r>
        <w:rPr>
          <w:spacing w:val="-12"/>
        </w:rPr>
        <w:t xml:space="preserve"> </w:t>
      </w:r>
      <w:r>
        <w:rPr>
          <w:i/>
        </w:rPr>
        <w:t xml:space="preserve">literally </w:t>
      </w:r>
      <w:r>
        <w:t>become a person distinct from the person he used to be. It isn’t as though George’s brain was replaced with that of an alien. Similarly, when one says “I’m</w:t>
      </w:r>
      <w:r>
        <w:rPr>
          <w:spacing w:val="-1"/>
        </w:rPr>
        <w:t xml:space="preserve"> </w:t>
      </w:r>
      <w:r>
        <w:t>not</w:t>
      </w:r>
      <w:r>
        <w:rPr>
          <w:spacing w:val="-1"/>
        </w:rPr>
        <w:t xml:space="preserve"> </w:t>
      </w:r>
      <w:r>
        <w:t>myself</w:t>
      </w:r>
      <w:r>
        <w:rPr>
          <w:spacing w:val="-1"/>
        </w:rPr>
        <w:t xml:space="preserve"> </w:t>
      </w:r>
      <w:r>
        <w:t>today,”</w:t>
      </w:r>
      <w:r>
        <w:rPr>
          <w:spacing w:val="-1"/>
        </w:rPr>
        <w:t xml:space="preserve"> </w:t>
      </w:r>
      <w:r>
        <w:t>one</w:t>
      </w:r>
      <w:r>
        <w:rPr>
          <w:spacing w:val="-1"/>
        </w:rPr>
        <w:t xml:space="preserve"> </w:t>
      </w:r>
      <w:r>
        <w:t>isn’t</w:t>
      </w:r>
      <w:r>
        <w:rPr>
          <w:spacing w:val="-1"/>
        </w:rPr>
        <w:t xml:space="preserve"> </w:t>
      </w:r>
      <w:r>
        <w:t>saying</w:t>
      </w:r>
      <w:r>
        <w:rPr>
          <w:spacing w:val="-1"/>
        </w:rPr>
        <w:t xml:space="preserve"> </w:t>
      </w:r>
      <w:r>
        <w:t>that</w:t>
      </w:r>
      <w:r>
        <w:rPr>
          <w:spacing w:val="-1"/>
        </w:rPr>
        <w:t xml:space="preserve"> </w:t>
      </w:r>
      <w:r>
        <w:t>one</w:t>
      </w:r>
      <w:r>
        <w:rPr>
          <w:spacing w:val="-1"/>
        </w:rPr>
        <w:t xml:space="preserve"> </w:t>
      </w:r>
      <w:r>
        <w:t>is</w:t>
      </w:r>
      <w:r>
        <w:rPr>
          <w:spacing w:val="-1"/>
        </w:rPr>
        <w:t xml:space="preserve"> </w:t>
      </w:r>
      <w:r>
        <w:t>literally</w:t>
      </w:r>
      <w:r>
        <w:rPr>
          <w:spacing w:val="-1"/>
        </w:rPr>
        <w:t xml:space="preserve"> </w:t>
      </w:r>
      <w:r>
        <w:t>not</w:t>
      </w:r>
      <w:r>
        <w:rPr>
          <w:spacing w:val="-1"/>
        </w:rPr>
        <w:t xml:space="preserve"> </w:t>
      </w:r>
      <w:r>
        <w:t>identical</w:t>
      </w:r>
      <w:r>
        <w:rPr>
          <w:spacing w:val="-1"/>
        </w:rPr>
        <w:t xml:space="preserve"> </w:t>
      </w:r>
      <w:r>
        <w:t>with oneself—such a statement would be nonsensical. One is merely saying that, because</w:t>
      </w:r>
      <w:r>
        <w:rPr>
          <w:spacing w:val="-13"/>
        </w:rPr>
        <w:t xml:space="preserve"> </w:t>
      </w:r>
      <w:r>
        <w:t>of</w:t>
      </w:r>
      <w:r>
        <w:rPr>
          <w:spacing w:val="-13"/>
        </w:rPr>
        <w:t xml:space="preserve"> </w:t>
      </w:r>
      <w:r>
        <w:t>fatigue</w:t>
      </w:r>
      <w:r>
        <w:rPr>
          <w:spacing w:val="-13"/>
        </w:rPr>
        <w:t xml:space="preserve"> </w:t>
      </w:r>
      <w:r>
        <w:t>(or</w:t>
      </w:r>
      <w:r>
        <w:rPr>
          <w:spacing w:val="-13"/>
        </w:rPr>
        <w:t xml:space="preserve"> </w:t>
      </w:r>
      <w:r>
        <w:t>some</w:t>
      </w:r>
      <w:r>
        <w:rPr>
          <w:spacing w:val="-13"/>
        </w:rPr>
        <w:t xml:space="preserve"> </w:t>
      </w:r>
      <w:r>
        <w:t>such),</w:t>
      </w:r>
      <w:r>
        <w:rPr>
          <w:spacing w:val="-13"/>
        </w:rPr>
        <w:t xml:space="preserve"> </w:t>
      </w:r>
      <w:r>
        <w:t>one</w:t>
      </w:r>
      <w:r>
        <w:rPr>
          <w:spacing w:val="-13"/>
        </w:rPr>
        <w:t xml:space="preserve"> </w:t>
      </w:r>
      <w:r>
        <w:t>isn’t</w:t>
      </w:r>
      <w:r>
        <w:rPr>
          <w:spacing w:val="-13"/>
        </w:rPr>
        <w:t xml:space="preserve"> </w:t>
      </w:r>
      <w:r>
        <w:t>doing</w:t>
      </w:r>
      <w:r>
        <w:rPr>
          <w:spacing w:val="-13"/>
        </w:rPr>
        <w:t xml:space="preserve"> </w:t>
      </w:r>
      <w:r>
        <w:t>as</w:t>
      </w:r>
      <w:r>
        <w:rPr>
          <w:spacing w:val="-13"/>
        </w:rPr>
        <w:t xml:space="preserve"> </w:t>
      </w:r>
      <w:r>
        <w:t>well</w:t>
      </w:r>
      <w:r>
        <w:rPr>
          <w:spacing w:val="-13"/>
        </w:rPr>
        <w:t xml:space="preserve"> </w:t>
      </w:r>
      <w:r>
        <w:t>as</w:t>
      </w:r>
      <w:r>
        <w:rPr>
          <w:spacing w:val="-13"/>
        </w:rPr>
        <w:t xml:space="preserve"> </w:t>
      </w:r>
      <w:r>
        <w:t>one</w:t>
      </w:r>
      <w:r>
        <w:rPr>
          <w:spacing w:val="-13"/>
        </w:rPr>
        <w:t xml:space="preserve"> </w:t>
      </w:r>
      <w:r>
        <w:t>would</w:t>
      </w:r>
      <w:r>
        <w:rPr>
          <w:spacing w:val="-13"/>
        </w:rPr>
        <w:t xml:space="preserve"> </w:t>
      </w:r>
      <w:r>
        <w:t>like</w:t>
      </w:r>
      <w:r>
        <w:rPr>
          <w:spacing w:val="-13"/>
        </w:rPr>
        <w:t xml:space="preserve"> </w:t>
      </w:r>
      <w:r>
        <w:t>(or some such). Henceforth, we will disregard non-literal sentences like “George isn’t himself today” and will concern ourselves only with what is literally meant by “identical with,” “identity” (etc.).</w:t>
      </w:r>
    </w:p>
    <w:p w14:paraId="7E001D0C" w14:textId="77777777" w:rsidR="009A58DB" w:rsidRDefault="00000000">
      <w:pPr>
        <w:pStyle w:val="Heading1"/>
        <w:numPr>
          <w:ilvl w:val="1"/>
          <w:numId w:val="97"/>
        </w:numPr>
        <w:tabs>
          <w:tab w:val="left" w:pos="990"/>
        </w:tabs>
        <w:spacing w:before="219"/>
      </w:pPr>
      <w:r>
        <w:t>Numerical</w:t>
      </w:r>
      <w:r>
        <w:rPr>
          <w:spacing w:val="-6"/>
        </w:rPr>
        <w:t xml:space="preserve"> </w:t>
      </w:r>
      <w:r>
        <w:t>vs.</w:t>
      </w:r>
      <w:r>
        <w:rPr>
          <w:spacing w:val="-6"/>
        </w:rPr>
        <w:t xml:space="preserve"> </w:t>
      </w:r>
      <w:r>
        <w:t>qualitative</w:t>
      </w:r>
      <w:r>
        <w:rPr>
          <w:spacing w:val="-5"/>
        </w:rPr>
        <w:t xml:space="preserve"> </w:t>
      </w:r>
      <w:r>
        <w:rPr>
          <w:spacing w:val="-2"/>
        </w:rPr>
        <w:t>identity</w:t>
      </w:r>
    </w:p>
    <w:p w14:paraId="7E001D0D" w14:textId="77777777" w:rsidR="009A58DB" w:rsidRDefault="00000000">
      <w:pPr>
        <w:pStyle w:val="BodyText"/>
        <w:spacing w:before="139" w:line="249" w:lineRule="auto"/>
        <w:ind w:right="370"/>
      </w:pPr>
      <w:r>
        <w:t>Terms such as “identical,” “identity,” etc. sometimes refer to “strict” or “numerical” identity, and sometimes refer to “qualitative” identity.</w:t>
      </w:r>
    </w:p>
    <w:p w14:paraId="7E001D0E" w14:textId="77777777" w:rsidR="009A58DB" w:rsidRDefault="00000000">
      <w:pPr>
        <w:pStyle w:val="BodyText"/>
        <w:spacing w:before="2" w:line="249" w:lineRule="auto"/>
        <w:ind w:right="359" w:firstLine="360"/>
      </w:pPr>
      <w:r>
        <w:t xml:space="preserve">For x and y to be </w:t>
      </w:r>
      <w:r>
        <w:rPr>
          <w:b/>
          <w:i/>
        </w:rPr>
        <w:t xml:space="preserve">qualitatively identical </w:t>
      </w:r>
      <w:r>
        <w:t>is for them to have the very same features (or, in any case, it’s for them to be as similar to each other as is possible</w:t>
      </w:r>
      <w:r>
        <w:rPr>
          <w:spacing w:val="-2"/>
        </w:rPr>
        <w:t xml:space="preserve"> </w:t>
      </w:r>
      <w:r>
        <w:t>given</w:t>
      </w:r>
      <w:r>
        <w:rPr>
          <w:spacing w:val="-2"/>
        </w:rPr>
        <w:t xml:space="preserve"> </w:t>
      </w:r>
      <w:r>
        <w:t>the</w:t>
      </w:r>
      <w:r>
        <w:rPr>
          <w:spacing w:val="-2"/>
        </w:rPr>
        <w:t xml:space="preserve"> </w:t>
      </w:r>
      <w:r>
        <w:t>one</w:t>
      </w:r>
      <w:r>
        <w:rPr>
          <w:spacing w:val="-2"/>
        </w:rPr>
        <w:t xml:space="preserve"> </w:t>
      </w:r>
      <w:r>
        <w:t>is</w:t>
      </w:r>
      <w:r>
        <w:rPr>
          <w:spacing w:val="-2"/>
        </w:rPr>
        <w:t xml:space="preserve"> </w:t>
      </w:r>
      <w:r>
        <w:t>not</w:t>
      </w:r>
      <w:r>
        <w:rPr>
          <w:spacing w:val="-2"/>
        </w:rPr>
        <w:t xml:space="preserve"> </w:t>
      </w:r>
      <w:r>
        <w:t>the</w:t>
      </w:r>
      <w:r>
        <w:rPr>
          <w:spacing w:val="-2"/>
        </w:rPr>
        <w:t xml:space="preserve"> </w:t>
      </w:r>
      <w:r>
        <w:t>very</w:t>
      </w:r>
      <w:r>
        <w:rPr>
          <w:spacing w:val="-2"/>
        </w:rPr>
        <w:t xml:space="preserve"> </w:t>
      </w:r>
      <w:r>
        <w:t>same</w:t>
      </w:r>
      <w:r>
        <w:rPr>
          <w:spacing w:val="-2"/>
        </w:rPr>
        <w:t xml:space="preserve"> </w:t>
      </w:r>
      <w:r>
        <w:t>entity</w:t>
      </w:r>
      <w:r>
        <w:rPr>
          <w:spacing w:val="-2"/>
        </w:rPr>
        <w:t xml:space="preserve"> </w:t>
      </w:r>
      <w:r>
        <w:t>as</w:t>
      </w:r>
      <w:r>
        <w:rPr>
          <w:spacing w:val="-2"/>
        </w:rPr>
        <w:t xml:space="preserve"> </w:t>
      </w:r>
      <w:r>
        <w:t>the</w:t>
      </w:r>
      <w:r>
        <w:rPr>
          <w:spacing w:val="-2"/>
        </w:rPr>
        <w:t xml:space="preserve"> </w:t>
      </w:r>
      <w:r>
        <w:t>other).</w:t>
      </w:r>
      <w:r>
        <w:rPr>
          <w:spacing w:val="-2"/>
        </w:rPr>
        <w:t xml:space="preserve"> </w:t>
      </w:r>
      <w:r>
        <w:t>x</w:t>
      </w:r>
      <w:r>
        <w:rPr>
          <w:spacing w:val="-2"/>
        </w:rPr>
        <w:t xml:space="preserve"> </w:t>
      </w:r>
      <w:r>
        <w:t>and</w:t>
      </w:r>
      <w:r>
        <w:rPr>
          <w:spacing w:val="-2"/>
        </w:rPr>
        <w:t xml:space="preserve"> </w:t>
      </w:r>
      <w:r>
        <w:t>y</w:t>
      </w:r>
      <w:r>
        <w:rPr>
          <w:spacing w:val="-2"/>
        </w:rPr>
        <w:t xml:space="preserve"> </w:t>
      </w:r>
      <w:r>
        <w:t>can</w:t>
      </w:r>
      <w:r>
        <w:rPr>
          <w:spacing w:val="-2"/>
        </w:rPr>
        <w:t xml:space="preserve"> </w:t>
      </w:r>
      <w:r>
        <w:t>be qualitatively</w:t>
      </w:r>
      <w:r>
        <w:rPr>
          <w:spacing w:val="-3"/>
        </w:rPr>
        <w:t xml:space="preserve"> </w:t>
      </w:r>
      <w:r>
        <w:t>identical</w:t>
      </w:r>
      <w:r>
        <w:rPr>
          <w:spacing w:val="-4"/>
        </w:rPr>
        <w:t xml:space="preserve"> </w:t>
      </w:r>
      <w:r>
        <w:rPr>
          <w:i/>
        </w:rPr>
        <w:t>even</w:t>
      </w:r>
      <w:r>
        <w:rPr>
          <w:i/>
          <w:spacing w:val="-2"/>
        </w:rPr>
        <w:t xml:space="preserve"> </w:t>
      </w:r>
      <w:r>
        <w:rPr>
          <w:i/>
        </w:rPr>
        <w:t>if</w:t>
      </w:r>
      <w:r>
        <w:rPr>
          <w:i/>
          <w:spacing w:val="-2"/>
        </w:rPr>
        <w:t xml:space="preserve"> </w:t>
      </w:r>
      <w:r>
        <w:rPr>
          <w:i/>
        </w:rPr>
        <w:t>they</w:t>
      </w:r>
      <w:r>
        <w:rPr>
          <w:i/>
          <w:spacing w:val="-2"/>
        </w:rPr>
        <w:t xml:space="preserve"> </w:t>
      </w:r>
      <w:r>
        <w:rPr>
          <w:i/>
        </w:rPr>
        <w:t>are</w:t>
      </w:r>
      <w:r>
        <w:rPr>
          <w:i/>
          <w:spacing w:val="-2"/>
        </w:rPr>
        <w:t xml:space="preserve"> </w:t>
      </w:r>
      <w:r>
        <w:rPr>
          <w:i/>
        </w:rPr>
        <w:t>not</w:t>
      </w:r>
      <w:r>
        <w:rPr>
          <w:i/>
          <w:spacing w:val="-2"/>
        </w:rPr>
        <w:t xml:space="preserve"> </w:t>
      </w:r>
      <w:r>
        <w:rPr>
          <w:i/>
        </w:rPr>
        <w:t>literally</w:t>
      </w:r>
      <w:r>
        <w:rPr>
          <w:i/>
          <w:spacing w:val="-2"/>
        </w:rPr>
        <w:t xml:space="preserve"> </w:t>
      </w:r>
      <w:r>
        <w:rPr>
          <w:i/>
        </w:rPr>
        <w:t>the</w:t>
      </w:r>
      <w:r>
        <w:rPr>
          <w:i/>
          <w:spacing w:val="-2"/>
        </w:rPr>
        <w:t xml:space="preserve"> </w:t>
      </w:r>
      <w:r>
        <w:rPr>
          <w:i/>
        </w:rPr>
        <w:t>same</w:t>
      </w:r>
      <w:r>
        <w:rPr>
          <w:i/>
          <w:spacing w:val="-2"/>
        </w:rPr>
        <w:t xml:space="preserve"> </w:t>
      </w:r>
      <w:r>
        <w:rPr>
          <w:i/>
        </w:rPr>
        <w:t>thing</w:t>
      </w:r>
      <w:r>
        <w:t>—even</w:t>
      </w:r>
      <w:r>
        <w:rPr>
          <w:spacing w:val="-3"/>
        </w:rPr>
        <w:t xml:space="preserve"> </w:t>
      </w:r>
      <w:r>
        <w:t>if,</w:t>
      </w:r>
      <w:r>
        <w:rPr>
          <w:spacing w:val="-3"/>
        </w:rPr>
        <w:t xml:space="preserve"> </w:t>
      </w:r>
      <w:r>
        <w:t>in other words, x and y are two things, not one. If you are cloned, you and your clone are qualitatively identical, meaning that you and your clone are very similar. But there are still two of you.</w:t>
      </w:r>
    </w:p>
    <w:p w14:paraId="7E001D0F" w14:textId="77777777" w:rsidR="009A58DB" w:rsidRDefault="00000000">
      <w:pPr>
        <w:pStyle w:val="BodyText"/>
        <w:spacing w:before="9" w:line="249" w:lineRule="auto"/>
        <w:ind w:right="369" w:firstLine="360"/>
      </w:pPr>
      <w:r>
        <w:t>In philosophy, we are concerned with the other kind of identity, to which we</w:t>
      </w:r>
      <w:r>
        <w:rPr>
          <w:spacing w:val="35"/>
        </w:rPr>
        <w:t xml:space="preserve"> </w:t>
      </w:r>
      <w:r>
        <w:t>will</w:t>
      </w:r>
      <w:r>
        <w:rPr>
          <w:spacing w:val="35"/>
        </w:rPr>
        <w:t xml:space="preserve"> </w:t>
      </w:r>
      <w:r>
        <w:t>henceforth</w:t>
      </w:r>
      <w:r>
        <w:rPr>
          <w:spacing w:val="36"/>
        </w:rPr>
        <w:t xml:space="preserve"> </w:t>
      </w:r>
      <w:r>
        <w:t>refer</w:t>
      </w:r>
      <w:r>
        <w:rPr>
          <w:spacing w:val="35"/>
        </w:rPr>
        <w:t xml:space="preserve"> </w:t>
      </w:r>
      <w:r>
        <w:t>as</w:t>
      </w:r>
      <w:r>
        <w:rPr>
          <w:spacing w:val="36"/>
        </w:rPr>
        <w:t xml:space="preserve"> </w:t>
      </w:r>
      <w:r>
        <w:rPr>
          <w:b/>
          <w:i/>
        </w:rPr>
        <w:t>numerical</w:t>
      </w:r>
      <w:r>
        <w:rPr>
          <w:b/>
          <w:i/>
          <w:spacing w:val="34"/>
        </w:rPr>
        <w:t xml:space="preserve"> </w:t>
      </w:r>
      <w:r>
        <w:rPr>
          <w:b/>
          <w:i/>
        </w:rPr>
        <w:t>identity.</w:t>
      </w:r>
      <w:r>
        <w:rPr>
          <w:b/>
          <w:i/>
          <w:spacing w:val="34"/>
        </w:rPr>
        <w:t xml:space="preserve"> </w:t>
      </w:r>
      <w:r>
        <w:t>This</w:t>
      </w:r>
      <w:r>
        <w:rPr>
          <w:spacing w:val="38"/>
        </w:rPr>
        <w:t xml:space="preserve"> </w:t>
      </w:r>
      <w:r>
        <w:t>is</w:t>
      </w:r>
      <w:r>
        <w:rPr>
          <w:spacing w:val="38"/>
        </w:rPr>
        <w:t xml:space="preserve"> </w:t>
      </w:r>
      <w:r>
        <w:t>the</w:t>
      </w:r>
      <w:r>
        <w:rPr>
          <w:spacing w:val="38"/>
        </w:rPr>
        <w:t xml:space="preserve"> </w:t>
      </w:r>
      <w:r>
        <w:t>kind</w:t>
      </w:r>
      <w:r>
        <w:rPr>
          <w:spacing w:val="38"/>
        </w:rPr>
        <w:t xml:space="preserve"> </w:t>
      </w:r>
      <w:r>
        <w:t>of</w:t>
      </w:r>
      <w:r>
        <w:rPr>
          <w:spacing w:val="39"/>
        </w:rPr>
        <w:t xml:space="preserve"> </w:t>
      </w:r>
      <w:r>
        <w:t>identity</w:t>
      </w:r>
    </w:p>
    <w:p w14:paraId="7E001D1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11" w14:textId="77777777" w:rsidR="009A58DB" w:rsidRDefault="00000000">
      <w:pPr>
        <w:pStyle w:val="BodyText"/>
        <w:spacing w:before="105" w:line="292" w:lineRule="auto"/>
        <w:ind w:right="361"/>
      </w:pPr>
      <w:r>
        <w:lastRenderedPageBreak/>
        <w:t>involved in statements such as “water is identical with H</w:t>
      </w:r>
      <w:r>
        <w:rPr>
          <w:vertAlign w:val="subscript"/>
        </w:rPr>
        <w:t>2</w:t>
      </w:r>
      <w:r>
        <w:t>O</w:t>
      </w:r>
      <w:r>
        <w:rPr>
          <w:vertAlign w:val="superscript"/>
        </w:rPr>
        <w:t>.”</w:t>
      </w:r>
      <w:r>
        <w:rPr>
          <w:spacing w:val="-19"/>
        </w:rPr>
        <w:t xml:space="preserve"> </w:t>
      </w:r>
      <w:r>
        <w:t>This doesn’t say that</w:t>
      </w:r>
      <w:r>
        <w:rPr>
          <w:spacing w:val="24"/>
        </w:rPr>
        <w:t xml:space="preserve"> </w:t>
      </w:r>
      <w:r>
        <w:t>water</w:t>
      </w:r>
      <w:r>
        <w:rPr>
          <w:spacing w:val="25"/>
        </w:rPr>
        <w:t xml:space="preserve"> </w:t>
      </w:r>
      <w:r>
        <w:t>and</w:t>
      </w:r>
      <w:r>
        <w:rPr>
          <w:spacing w:val="25"/>
        </w:rPr>
        <w:t xml:space="preserve"> </w:t>
      </w:r>
      <w:r>
        <w:t>H</w:t>
      </w:r>
      <w:r>
        <w:rPr>
          <w:vertAlign w:val="subscript"/>
        </w:rPr>
        <w:t>2</w:t>
      </w:r>
      <w:r>
        <w:t>O</w:t>
      </w:r>
      <w:r>
        <w:rPr>
          <w:spacing w:val="29"/>
        </w:rPr>
        <w:t xml:space="preserve"> </w:t>
      </w:r>
      <w:r>
        <w:t>are</w:t>
      </w:r>
      <w:r>
        <w:rPr>
          <w:spacing w:val="29"/>
        </w:rPr>
        <w:t xml:space="preserve"> </w:t>
      </w:r>
      <w:r>
        <w:t>merely</w:t>
      </w:r>
      <w:r>
        <w:rPr>
          <w:spacing w:val="30"/>
        </w:rPr>
        <w:t xml:space="preserve"> </w:t>
      </w:r>
      <w:r>
        <w:t>very</w:t>
      </w:r>
      <w:r>
        <w:rPr>
          <w:spacing w:val="30"/>
        </w:rPr>
        <w:t xml:space="preserve"> </w:t>
      </w:r>
      <w:r>
        <w:t>similar.</w:t>
      </w:r>
      <w:r>
        <w:rPr>
          <w:spacing w:val="30"/>
        </w:rPr>
        <w:t xml:space="preserve"> </w:t>
      </w:r>
      <w:r>
        <w:t>It</w:t>
      </w:r>
      <w:r>
        <w:rPr>
          <w:spacing w:val="29"/>
        </w:rPr>
        <w:t xml:space="preserve"> </w:t>
      </w:r>
      <w:r>
        <w:t>says</w:t>
      </w:r>
      <w:r>
        <w:rPr>
          <w:spacing w:val="29"/>
        </w:rPr>
        <w:t xml:space="preserve"> </w:t>
      </w:r>
      <w:r>
        <w:t>that</w:t>
      </w:r>
      <w:r>
        <w:rPr>
          <w:spacing w:val="29"/>
        </w:rPr>
        <w:t xml:space="preserve"> </w:t>
      </w:r>
      <w:r>
        <w:t>water</w:t>
      </w:r>
      <w:r>
        <w:rPr>
          <w:spacing w:val="29"/>
        </w:rPr>
        <w:t xml:space="preserve"> </w:t>
      </w:r>
      <w:r>
        <w:t>and</w:t>
      </w:r>
      <w:r>
        <w:rPr>
          <w:spacing w:val="30"/>
        </w:rPr>
        <w:t xml:space="preserve"> </w:t>
      </w:r>
      <w:r>
        <w:t>H</w:t>
      </w:r>
      <w:r>
        <w:rPr>
          <w:vertAlign w:val="subscript"/>
        </w:rPr>
        <w:t>2</w:t>
      </w:r>
      <w:r>
        <w:t>O</w:t>
      </w:r>
      <w:r>
        <w:rPr>
          <w:spacing w:val="29"/>
        </w:rPr>
        <w:t xml:space="preserve"> </w:t>
      </w:r>
      <w:r>
        <w:t>are</w:t>
      </w:r>
    </w:p>
    <w:p w14:paraId="7E001D12" w14:textId="77777777" w:rsidR="009A58DB" w:rsidRDefault="00000000">
      <w:pPr>
        <w:pStyle w:val="BodyText"/>
        <w:spacing w:line="249" w:lineRule="auto"/>
        <w:ind w:right="361"/>
      </w:pPr>
      <w:r>
        <w:t xml:space="preserve">but </w:t>
      </w:r>
      <w:r>
        <w:rPr>
          <w:i/>
        </w:rPr>
        <w:t xml:space="preserve">one </w:t>
      </w:r>
      <w:r>
        <w:t>thing. Other examples of statements affirming strict identity are “the square of 4 is identical with 16,” “Clark Kent is Superman,” and “light is electromagnetic radiation.”</w:t>
      </w:r>
    </w:p>
    <w:p w14:paraId="7E001D13" w14:textId="77777777" w:rsidR="009A58DB" w:rsidRDefault="00000000">
      <w:pPr>
        <w:pStyle w:val="Heading1"/>
        <w:numPr>
          <w:ilvl w:val="2"/>
          <w:numId w:val="97"/>
        </w:numPr>
        <w:tabs>
          <w:tab w:val="left" w:pos="1305"/>
        </w:tabs>
        <w:spacing w:before="185" w:line="244" w:lineRule="auto"/>
        <w:ind w:right="530" w:firstLine="0"/>
        <w:rPr>
          <w:i/>
        </w:rPr>
      </w:pPr>
      <w:r>
        <w:t>Numerical</w:t>
      </w:r>
      <w:r>
        <w:rPr>
          <w:spacing w:val="-11"/>
        </w:rPr>
        <w:t xml:space="preserve"> </w:t>
      </w:r>
      <w:r>
        <w:t>identity</w:t>
      </w:r>
      <w:r>
        <w:rPr>
          <w:spacing w:val="-11"/>
        </w:rPr>
        <w:t xml:space="preserve"> </w:t>
      </w:r>
      <w:r>
        <w:t>entails</w:t>
      </w:r>
      <w:r>
        <w:rPr>
          <w:spacing w:val="-11"/>
        </w:rPr>
        <w:t xml:space="preserve"> </w:t>
      </w:r>
      <w:r>
        <w:t>qualitative</w:t>
      </w:r>
      <w:r>
        <w:rPr>
          <w:spacing w:val="-11"/>
        </w:rPr>
        <w:t xml:space="preserve"> </w:t>
      </w:r>
      <w:r>
        <w:t xml:space="preserve">identity, but not </w:t>
      </w:r>
      <w:r>
        <w:rPr>
          <w:i/>
        </w:rPr>
        <w:t>vice versa</w:t>
      </w:r>
    </w:p>
    <w:p w14:paraId="7E001D14" w14:textId="77777777" w:rsidR="009A58DB" w:rsidRDefault="00000000">
      <w:pPr>
        <w:pStyle w:val="BodyText"/>
        <w:spacing w:before="131" w:line="249" w:lineRule="auto"/>
        <w:ind w:right="366"/>
      </w:pPr>
      <w:r>
        <w:t>If x and y are literally the same thing, then x resembles y to the highest</w:t>
      </w:r>
      <w:r>
        <w:rPr>
          <w:spacing w:val="40"/>
        </w:rPr>
        <w:t xml:space="preserve"> </w:t>
      </w:r>
      <w:r>
        <w:t>degree possible—after all, x cannot, under that circumstance, have any attribute that y lacks. But x and y can be qualitatively identical—that is, they can resemble each other a great deal, without being numerically identical, as we noted when discussing the possibility of cloning.</w:t>
      </w:r>
    </w:p>
    <w:p w14:paraId="7E001D15" w14:textId="77777777" w:rsidR="009A58DB" w:rsidRDefault="00000000">
      <w:pPr>
        <w:pStyle w:val="Heading1"/>
        <w:numPr>
          <w:ilvl w:val="2"/>
          <w:numId w:val="97"/>
        </w:numPr>
        <w:tabs>
          <w:tab w:val="left" w:pos="990"/>
          <w:tab w:val="left" w:pos="1305"/>
        </w:tabs>
        <w:spacing w:before="209" w:line="244" w:lineRule="auto"/>
        <w:ind w:left="990" w:right="1218" w:hanging="630"/>
        <w:rPr>
          <w:i/>
        </w:rPr>
      </w:pPr>
      <w:r>
        <w:t>Correction:</w:t>
      </w:r>
      <w:r>
        <w:rPr>
          <w:spacing w:val="-11"/>
        </w:rPr>
        <w:t xml:space="preserve"> </w:t>
      </w:r>
      <w:r>
        <w:t>Numerical</w:t>
      </w:r>
      <w:r>
        <w:rPr>
          <w:spacing w:val="-11"/>
        </w:rPr>
        <w:t xml:space="preserve"> </w:t>
      </w:r>
      <w:r>
        <w:t>identity</w:t>
      </w:r>
      <w:r>
        <w:rPr>
          <w:spacing w:val="-10"/>
        </w:rPr>
        <w:t xml:space="preserve"> </w:t>
      </w:r>
      <w:r>
        <w:rPr>
          <w:i/>
        </w:rPr>
        <w:t>does</w:t>
      </w:r>
      <w:r>
        <w:rPr>
          <w:i/>
          <w:spacing w:val="-11"/>
        </w:rPr>
        <w:t xml:space="preserve"> </w:t>
      </w:r>
      <w:r>
        <w:t xml:space="preserve">entail qualitative identity and </w:t>
      </w:r>
      <w:r>
        <w:rPr>
          <w:i/>
        </w:rPr>
        <w:t>vice versa</w:t>
      </w:r>
    </w:p>
    <w:p w14:paraId="7E001D16" w14:textId="77777777" w:rsidR="009A58DB" w:rsidRDefault="00000000">
      <w:pPr>
        <w:pStyle w:val="BodyText"/>
        <w:spacing w:before="132" w:line="249" w:lineRule="auto"/>
        <w:ind w:right="364"/>
      </w:pPr>
      <w:r>
        <w:t xml:space="preserve">Strictly speaking, qualitative identity entails numerical identity. If x and y are truly </w:t>
      </w:r>
      <w:r>
        <w:rPr>
          <w:i/>
        </w:rPr>
        <w:t xml:space="preserve">exactly </w:t>
      </w:r>
      <w:r>
        <w:t xml:space="preserve">the same—if there is </w:t>
      </w:r>
      <w:r>
        <w:rPr>
          <w:i/>
        </w:rPr>
        <w:t xml:space="preserve">no </w:t>
      </w:r>
      <w:r>
        <w:t>characteristic that the one has that the other lacks—then they must be the same. For, at any given time, they must occupy the same place and must be doing the same things.</w:t>
      </w:r>
    </w:p>
    <w:p w14:paraId="7E001D17" w14:textId="77777777" w:rsidR="009A58DB" w:rsidRDefault="00000000">
      <w:pPr>
        <w:pStyle w:val="BodyText"/>
        <w:spacing w:before="5" w:line="249" w:lineRule="auto"/>
        <w:ind w:right="362" w:firstLine="360"/>
      </w:pPr>
      <w:r>
        <w:t>It</w:t>
      </w:r>
      <w:r>
        <w:rPr>
          <w:spacing w:val="-15"/>
        </w:rPr>
        <w:t xml:space="preserve"> </w:t>
      </w:r>
      <w:r>
        <w:t>can</w:t>
      </w:r>
      <w:r>
        <w:rPr>
          <w:spacing w:val="-15"/>
        </w:rPr>
        <w:t xml:space="preserve"> </w:t>
      </w:r>
      <w:r>
        <w:t>be</w:t>
      </w:r>
      <w:r>
        <w:rPr>
          <w:spacing w:val="-15"/>
        </w:rPr>
        <w:t xml:space="preserve"> </w:t>
      </w:r>
      <w:r>
        <w:t>proven</w:t>
      </w:r>
      <w:r>
        <w:rPr>
          <w:spacing w:val="-15"/>
        </w:rPr>
        <w:t xml:space="preserve"> </w:t>
      </w:r>
      <w:r>
        <w:t>formally</w:t>
      </w:r>
      <w:r>
        <w:rPr>
          <w:spacing w:val="-15"/>
        </w:rPr>
        <w:t xml:space="preserve"> </w:t>
      </w:r>
      <w:r>
        <w:t>that</w:t>
      </w:r>
      <w:r>
        <w:rPr>
          <w:spacing w:val="-15"/>
        </w:rPr>
        <w:t xml:space="preserve"> </w:t>
      </w:r>
      <w:r>
        <w:t>qualitative</w:t>
      </w:r>
      <w:r>
        <w:rPr>
          <w:spacing w:val="-15"/>
        </w:rPr>
        <w:t xml:space="preserve"> </w:t>
      </w:r>
      <w:r>
        <w:t>identity</w:t>
      </w:r>
      <w:r>
        <w:rPr>
          <w:spacing w:val="-15"/>
        </w:rPr>
        <w:t xml:space="preserve"> </w:t>
      </w:r>
      <w:r>
        <w:t>entails</w:t>
      </w:r>
      <w:r>
        <w:rPr>
          <w:spacing w:val="-15"/>
        </w:rPr>
        <w:t xml:space="preserve"> </w:t>
      </w:r>
      <w:r>
        <w:t>numerical</w:t>
      </w:r>
      <w:r>
        <w:rPr>
          <w:spacing w:val="-15"/>
        </w:rPr>
        <w:t xml:space="preserve"> </w:t>
      </w:r>
      <w:r>
        <w:t>identity. If x and y are numerically identical, then, by hypothesis, neither has any property lacked by the other. x has the property of being identical with x. Therefore, y has the property of being identical with x as well. So y = x.</w:t>
      </w:r>
    </w:p>
    <w:p w14:paraId="7E001D18" w14:textId="77777777" w:rsidR="009A58DB" w:rsidRDefault="00000000">
      <w:pPr>
        <w:pStyle w:val="BodyText"/>
        <w:spacing w:before="5" w:line="249" w:lineRule="auto"/>
        <w:ind w:right="364" w:firstLine="360"/>
      </w:pPr>
      <w:r>
        <w:t xml:space="preserve">The principle that genuine qualitative identity entails numerical identity is known as the </w:t>
      </w:r>
      <w:r>
        <w:rPr>
          <w:b/>
          <w:i/>
        </w:rPr>
        <w:t xml:space="preserve">Identity of Indiscernibles. </w:t>
      </w:r>
      <w:r>
        <w:t xml:space="preserve">This principle is to be contrasted with the Indiscernibility of Identicals, better known as </w:t>
      </w:r>
      <w:r>
        <w:rPr>
          <w:b/>
          <w:i/>
        </w:rPr>
        <w:t xml:space="preserve">Leibniz’s Law, </w:t>
      </w:r>
      <w:r>
        <w:t xml:space="preserve">according to which x and y, if numerically identical, are also qualitatively </w:t>
      </w:r>
      <w:r>
        <w:rPr>
          <w:spacing w:val="-2"/>
        </w:rPr>
        <w:t>identical.</w:t>
      </w:r>
    </w:p>
    <w:p w14:paraId="7E001D19" w14:textId="77777777" w:rsidR="009A58DB" w:rsidRDefault="00000000">
      <w:pPr>
        <w:pStyle w:val="Heading1"/>
        <w:numPr>
          <w:ilvl w:val="1"/>
          <w:numId w:val="96"/>
        </w:numPr>
        <w:tabs>
          <w:tab w:val="left" w:pos="990"/>
        </w:tabs>
        <w:spacing w:before="194"/>
      </w:pPr>
      <w:r>
        <w:t>Objectual</w:t>
      </w:r>
      <w:r>
        <w:rPr>
          <w:spacing w:val="-8"/>
        </w:rPr>
        <w:t xml:space="preserve"> </w:t>
      </w:r>
      <w:r>
        <w:rPr>
          <w:spacing w:val="-2"/>
        </w:rPr>
        <w:t>identity</w:t>
      </w:r>
    </w:p>
    <w:p w14:paraId="7E001D1A" w14:textId="77777777" w:rsidR="009A58DB" w:rsidRDefault="00000000">
      <w:pPr>
        <w:pStyle w:val="BodyText"/>
        <w:spacing w:before="139" w:line="249" w:lineRule="auto"/>
        <w:ind w:right="359"/>
      </w:pPr>
      <w:r>
        <w:t xml:space="preserve">Sometimes identity statements concern </w:t>
      </w:r>
      <w:r>
        <w:rPr>
          <w:i/>
        </w:rPr>
        <w:t xml:space="preserve">people </w:t>
      </w:r>
      <w:r>
        <w:t>or other animate beings, and sometimes they concern inanimate objects. Examples of the first kind are “Clark</w:t>
      </w:r>
      <w:r>
        <w:rPr>
          <w:spacing w:val="51"/>
          <w:w w:val="150"/>
        </w:rPr>
        <w:t xml:space="preserve"> </w:t>
      </w:r>
      <w:r>
        <w:t>Kent</w:t>
      </w:r>
      <w:r>
        <w:rPr>
          <w:spacing w:val="54"/>
          <w:w w:val="150"/>
        </w:rPr>
        <w:t xml:space="preserve"> </w:t>
      </w:r>
      <w:r>
        <w:t>is</w:t>
      </w:r>
      <w:r>
        <w:rPr>
          <w:spacing w:val="53"/>
          <w:w w:val="150"/>
        </w:rPr>
        <w:t xml:space="preserve"> </w:t>
      </w:r>
      <w:r>
        <w:t>Superman”</w:t>
      </w:r>
      <w:r>
        <w:rPr>
          <w:spacing w:val="54"/>
          <w:w w:val="150"/>
        </w:rPr>
        <w:t xml:space="preserve"> </w:t>
      </w:r>
      <w:r>
        <w:t>and</w:t>
      </w:r>
      <w:r>
        <w:rPr>
          <w:spacing w:val="54"/>
          <w:w w:val="150"/>
        </w:rPr>
        <w:t xml:space="preserve"> </w:t>
      </w:r>
      <w:r>
        <w:t>“Einstein</w:t>
      </w:r>
      <w:r>
        <w:rPr>
          <w:spacing w:val="53"/>
          <w:w w:val="150"/>
        </w:rPr>
        <w:t xml:space="preserve"> </w:t>
      </w:r>
      <w:r>
        <w:t>is</w:t>
      </w:r>
      <w:r>
        <w:rPr>
          <w:spacing w:val="54"/>
          <w:w w:val="150"/>
        </w:rPr>
        <w:t xml:space="preserve"> </w:t>
      </w:r>
      <w:r>
        <w:t>the</w:t>
      </w:r>
      <w:r>
        <w:rPr>
          <w:spacing w:val="53"/>
          <w:w w:val="150"/>
        </w:rPr>
        <w:t xml:space="preserve"> </w:t>
      </w:r>
      <w:r>
        <w:t>physicist</w:t>
      </w:r>
      <w:r>
        <w:rPr>
          <w:spacing w:val="54"/>
          <w:w w:val="150"/>
        </w:rPr>
        <w:t xml:space="preserve"> </w:t>
      </w:r>
      <w:r>
        <w:t>who</w:t>
      </w:r>
      <w:r>
        <w:rPr>
          <w:spacing w:val="54"/>
          <w:w w:val="150"/>
        </w:rPr>
        <w:t xml:space="preserve"> </w:t>
      </w:r>
      <w:r>
        <w:rPr>
          <w:spacing w:val="-2"/>
        </w:rPr>
        <w:t>invented</w:t>
      </w:r>
    </w:p>
    <w:p w14:paraId="7E001D1B" w14:textId="77777777" w:rsidR="009A58DB" w:rsidRDefault="009A58DB">
      <w:pPr>
        <w:pStyle w:val="BodyText"/>
        <w:spacing w:line="249" w:lineRule="auto"/>
        <w:sectPr w:rsidR="009A58DB">
          <w:pgSz w:w="12240" w:h="15840"/>
          <w:pgMar w:top="1360" w:right="1080" w:bottom="280" w:left="1080" w:header="720" w:footer="720" w:gutter="0"/>
          <w:cols w:space="720"/>
        </w:sectPr>
      </w:pPr>
    </w:p>
    <w:p w14:paraId="7E001D1C" w14:textId="77777777" w:rsidR="009A58DB" w:rsidRDefault="00000000">
      <w:pPr>
        <w:pStyle w:val="BodyText"/>
        <w:spacing w:before="65" w:line="249" w:lineRule="auto"/>
        <w:ind w:right="363"/>
      </w:pPr>
      <w:r>
        <w:lastRenderedPageBreak/>
        <w:t>Relativity Theory.” Examples of the second kind are “that’s the shirt I just bought,” “the car sitting in my driveway today is the very one I drove back in the ‘70s,” and “the liquid in your glass is the water that you poured into it a moment ago—I haven’t switched it with poison.”</w:t>
      </w:r>
    </w:p>
    <w:p w14:paraId="7E001D1D" w14:textId="77777777" w:rsidR="009A58DB" w:rsidRDefault="00000000">
      <w:pPr>
        <w:pStyle w:val="BodyText"/>
        <w:spacing w:before="5" w:line="249" w:lineRule="auto"/>
        <w:ind w:right="359" w:firstLine="360"/>
      </w:pPr>
      <w:r>
        <w:t>If</w:t>
      </w:r>
      <w:r>
        <w:rPr>
          <w:spacing w:val="-6"/>
        </w:rPr>
        <w:t xml:space="preserve"> </w:t>
      </w:r>
      <w:r>
        <w:t>an</w:t>
      </w:r>
      <w:r>
        <w:rPr>
          <w:spacing w:val="-5"/>
        </w:rPr>
        <w:t xml:space="preserve"> </w:t>
      </w:r>
      <w:r>
        <w:t>identity</w:t>
      </w:r>
      <w:r>
        <w:rPr>
          <w:spacing w:val="-5"/>
        </w:rPr>
        <w:t xml:space="preserve"> </w:t>
      </w:r>
      <w:r>
        <w:t>statement</w:t>
      </w:r>
      <w:r>
        <w:rPr>
          <w:spacing w:val="-6"/>
        </w:rPr>
        <w:t xml:space="preserve"> </w:t>
      </w:r>
      <w:r>
        <w:t>concerns</w:t>
      </w:r>
      <w:r>
        <w:rPr>
          <w:spacing w:val="-5"/>
        </w:rPr>
        <w:t xml:space="preserve"> </w:t>
      </w:r>
      <w:r>
        <w:t>an</w:t>
      </w:r>
      <w:r>
        <w:rPr>
          <w:spacing w:val="-5"/>
        </w:rPr>
        <w:t xml:space="preserve"> </w:t>
      </w:r>
      <w:r>
        <w:t>inanimate</w:t>
      </w:r>
      <w:r>
        <w:rPr>
          <w:spacing w:val="-5"/>
        </w:rPr>
        <w:t xml:space="preserve"> </w:t>
      </w:r>
      <w:r>
        <w:t>object</w:t>
      </w:r>
      <w:r>
        <w:rPr>
          <w:spacing w:val="-5"/>
        </w:rPr>
        <w:t xml:space="preserve"> </w:t>
      </w:r>
      <w:r>
        <w:t>(or</w:t>
      </w:r>
      <w:r>
        <w:rPr>
          <w:spacing w:val="-5"/>
        </w:rPr>
        <w:t xml:space="preserve"> </w:t>
      </w:r>
      <w:r>
        <w:t>substance),</w:t>
      </w:r>
      <w:r>
        <w:rPr>
          <w:spacing w:val="-5"/>
        </w:rPr>
        <w:t xml:space="preserve"> </w:t>
      </w:r>
      <w:r>
        <w:t>then</w:t>
      </w:r>
      <w:r>
        <w:rPr>
          <w:spacing w:val="-5"/>
        </w:rPr>
        <w:t xml:space="preserve"> </w:t>
      </w:r>
      <w:r>
        <w:t>it affirms a case of</w:t>
      </w:r>
      <w:r>
        <w:rPr>
          <w:spacing w:val="-8"/>
        </w:rPr>
        <w:t xml:space="preserve"> </w:t>
      </w:r>
      <w:r>
        <w:rPr>
          <w:i/>
        </w:rPr>
        <w:t>objectual</w:t>
      </w:r>
      <w:r>
        <w:rPr>
          <w:i/>
          <w:spacing w:val="-8"/>
        </w:rPr>
        <w:t xml:space="preserve"> </w:t>
      </w:r>
      <w:r>
        <w:t>identity. “Objectual” is the adjective form of “object.” If an identity statement concerns people or other animate beings (e.g.,</w:t>
      </w:r>
      <w:r>
        <w:rPr>
          <w:spacing w:val="-6"/>
        </w:rPr>
        <w:t xml:space="preserve"> </w:t>
      </w:r>
      <w:r>
        <w:t>dogs,</w:t>
      </w:r>
      <w:r>
        <w:rPr>
          <w:spacing w:val="-6"/>
        </w:rPr>
        <w:t xml:space="preserve"> </w:t>
      </w:r>
      <w:r>
        <w:t>martians),</w:t>
      </w:r>
      <w:r>
        <w:rPr>
          <w:spacing w:val="-6"/>
        </w:rPr>
        <w:t xml:space="preserve"> </w:t>
      </w:r>
      <w:r>
        <w:t>then</w:t>
      </w:r>
      <w:r>
        <w:rPr>
          <w:spacing w:val="-6"/>
        </w:rPr>
        <w:t xml:space="preserve"> </w:t>
      </w:r>
      <w:r>
        <w:t>it</w:t>
      </w:r>
      <w:r>
        <w:rPr>
          <w:spacing w:val="-6"/>
        </w:rPr>
        <w:t xml:space="preserve"> </w:t>
      </w:r>
      <w:r>
        <w:t>concerns</w:t>
      </w:r>
      <w:r>
        <w:rPr>
          <w:spacing w:val="-19"/>
        </w:rPr>
        <w:t xml:space="preserve"> </w:t>
      </w:r>
      <w:r>
        <w:rPr>
          <w:i/>
        </w:rPr>
        <w:t>personal</w:t>
      </w:r>
      <w:r>
        <w:rPr>
          <w:i/>
          <w:spacing w:val="-18"/>
        </w:rPr>
        <w:t xml:space="preserve"> </w:t>
      </w:r>
      <w:r>
        <w:t>identity.</w:t>
      </w:r>
      <w:r>
        <w:rPr>
          <w:spacing w:val="-6"/>
        </w:rPr>
        <w:t xml:space="preserve"> </w:t>
      </w:r>
      <w:r>
        <w:t>(The</w:t>
      </w:r>
      <w:r>
        <w:rPr>
          <w:spacing w:val="-6"/>
        </w:rPr>
        <w:t xml:space="preserve"> </w:t>
      </w:r>
      <w:r>
        <w:t>term</w:t>
      </w:r>
      <w:r>
        <w:rPr>
          <w:spacing w:val="-6"/>
        </w:rPr>
        <w:t xml:space="preserve"> </w:t>
      </w:r>
      <w:r>
        <w:t>“personal” is used even if the animate being in question is not a person—even if it is, for example, a dog.)</w:t>
      </w:r>
    </w:p>
    <w:p w14:paraId="7E001D1E" w14:textId="77777777" w:rsidR="009A58DB" w:rsidRDefault="00000000">
      <w:pPr>
        <w:pStyle w:val="Heading1"/>
        <w:numPr>
          <w:ilvl w:val="1"/>
          <w:numId w:val="96"/>
        </w:numPr>
        <w:tabs>
          <w:tab w:val="left" w:pos="990"/>
        </w:tabs>
        <w:spacing w:before="195" w:line="244" w:lineRule="auto"/>
        <w:ind w:left="360" w:right="1485" w:firstLine="0"/>
      </w:pPr>
      <w:r>
        <w:t>Objectual</w:t>
      </w:r>
      <w:r>
        <w:rPr>
          <w:spacing w:val="-11"/>
        </w:rPr>
        <w:t xml:space="preserve"> </w:t>
      </w:r>
      <w:r>
        <w:t>identity</w:t>
      </w:r>
      <w:r>
        <w:rPr>
          <w:spacing w:val="-10"/>
        </w:rPr>
        <w:t xml:space="preserve"> </w:t>
      </w:r>
      <w:r>
        <w:t>more</w:t>
      </w:r>
      <w:r>
        <w:rPr>
          <w:spacing w:val="-11"/>
        </w:rPr>
        <w:t xml:space="preserve"> </w:t>
      </w:r>
      <w:r>
        <w:t>fundamental</w:t>
      </w:r>
      <w:r>
        <w:rPr>
          <w:spacing w:val="-11"/>
        </w:rPr>
        <w:t xml:space="preserve"> </w:t>
      </w:r>
      <w:r>
        <w:t>than personal identity</w:t>
      </w:r>
    </w:p>
    <w:p w14:paraId="7E001D1F" w14:textId="77777777" w:rsidR="009A58DB" w:rsidRDefault="00000000">
      <w:pPr>
        <w:pStyle w:val="BodyText"/>
        <w:spacing w:before="132" w:line="249" w:lineRule="auto"/>
        <w:ind w:right="364"/>
        <w:jc w:val="left"/>
      </w:pPr>
      <w:r>
        <w:t>My guess is that most people would find the topic of personal identity more interesting</w:t>
      </w:r>
      <w:r>
        <w:rPr>
          <w:spacing w:val="-3"/>
        </w:rPr>
        <w:t xml:space="preserve"> </w:t>
      </w:r>
      <w:r>
        <w:t>than</w:t>
      </w:r>
      <w:r>
        <w:rPr>
          <w:spacing w:val="-3"/>
        </w:rPr>
        <w:t xml:space="preserve"> </w:t>
      </w:r>
      <w:r>
        <w:t>that</w:t>
      </w:r>
      <w:r>
        <w:rPr>
          <w:spacing w:val="-4"/>
        </w:rPr>
        <w:t xml:space="preserve"> </w:t>
      </w:r>
      <w:r>
        <w:t>of</w:t>
      </w:r>
      <w:r>
        <w:rPr>
          <w:spacing w:val="-4"/>
        </w:rPr>
        <w:t xml:space="preserve"> </w:t>
      </w:r>
      <w:r>
        <w:t>objectual</w:t>
      </w:r>
      <w:r>
        <w:rPr>
          <w:spacing w:val="-4"/>
        </w:rPr>
        <w:t xml:space="preserve"> </w:t>
      </w:r>
      <w:r>
        <w:t>identity.</w:t>
      </w:r>
      <w:r>
        <w:rPr>
          <w:spacing w:val="-3"/>
        </w:rPr>
        <w:t xml:space="preserve"> </w:t>
      </w:r>
      <w:r>
        <w:t>A</w:t>
      </w:r>
      <w:r>
        <w:rPr>
          <w:spacing w:val="-4"/>
        </w:rPr>
        <w:t xml:space="preserve"> </w:t>
      </w:r>
      <w:r>
        <w:t>bit</w:t>
      </w:r>
      <w:r>
        <w:rPr>
          <w:spacing w:val="-4"/>
        </w:rPr>
        <w:t xml:space="preserve"> </w:t>
      </w:r>
      <w:r>
        <w:t>of</w:t>
      </w:r>
      <w:r>
        <w:rPr>
          <w:spacing w:val="-4"/>
        </w:rPr>
        <w:t xml:space="preserve"> </w:t>
      </w:r>
      <w:r>
        <w:t>autobiography</w:t>
      </w:r>
      <w:r>
        <w:rPr>
          <w:spacing w:val="-3"/>
        </w:rPr>
        <w:t xml:space="preserve"> </w:t>
      </w:r>
      <w:r>
        <w:t>may</w:t>
      </w:r>
      <w:r>
        <w:rPr>
          <w:spacing w:val="-3"/>
        </w:rPr>
        <w:t xml:space="preserve"> </w:t>
      </w:r>
      <w:r>
        <w:t>make</w:t>
      </w:r>
      <w:r>
        <w:rPr>
          <w:spacing w:val="-4"/>
        </w:rPr>
        <w:t xml:space="preserve"> </w:t>
      </w:r>
      <w:r>
        <w:t>it clear why I say this.</w:t>
      </w:r>
    </w:p>
    <w:p w14:paraId="7E001D20" w14:textId="77777777" w:rsidR="009A58DB" w:rsidRDefault="00000000">
      <w:pPr>
        <w:pStyle w:val="BodyText"/>
        <w:spacing w:before="3" w:line="249" w:lineRule="auto"/>
        <w:ind w:right="359" w:firstLine="360"/>
      </w:pPr>
      <w:r>
        <w:t xml:space="preserve">What is it for me—a middle-aged professor who rarely drives over the speed-limit—to be the same person as the guy who, 20 years ago, was out partying every night? I have changed so much in the meantime that it almost defies comprehension how </w:t>
      </w:r>
      <w:r>
        <w:rPr>
          <w:i/>
        </w:rPr>
        <w:t xml:space="preserve">I </w:t>
      </w:r>
      <w:r>
        <w:t>could ever have been some young roustabout. My musical horizons, for example, extend no further than the easy-listening channel</w:t>
      </w:r>
      <w:r>
        <w:rPr>
          <w:spacing w:val="-1"/>
        </w:rPr>
        <w:t xml:space="preserve"> </w:t>
      </w:r>
      <w:r>
        <w:t>on my radio, and I no longer have any tolerance for the cacophony of “rock music,” which used to be my life’s blood. I spend my evenings either working</w:t>
      </w:r>
      <w:r>
        <w:rPr>
          <w:spacing w:val="-3"/>
        </w:rPr>
        <w:t xml:space="preserve"> </w:t>
      </w:r>
      <w:r>
        <w:t>or</w:t>
      </w:r>
      <w:r>
        <w:rPr>
          <w:spacing w:val="-2"/>
        </w:rPr>
        <w:t xml:space="preserve"> </w:t>
      </w:r>
      <w:r>
        <w:t>reading.</w:t>
      </w:r>
      <w:r>
        <w:rPr>
          <w:spacing w:val="-2"/>
        </w:rPr>
        <w:t xml:space="preserve"> </w:t>
      </w:r>
      <w:r>
        <w:t>And</w:t>
      </w:r>
      <w:r>
        <w:rPr>
          <w:spacing w:val="-2"/>
        </w:rPr>
        <w:t xml:space="preserve"> </w:t>
      </w:r>
      <w:r>
        <w:t>when</w:t>
      </w:r>
      <w:r>
        <w:rPr>
          <w:spacing w:val="-2"/>
        </w:rPr>
        <w:t xml:space="preserve"> </w:t>
      </w:r>
      <w:r>
        <w:t>I’m</w:t>
      </w:r>
      <w:r>
        <w:rPr>
          <w:spacing w:val="-2"/>
        </w:rPr>
        <w:t xml:space="preserve"> </w:t>
      </w:r>
      <w:r>
        <w:t>not</w:t>
      </w:r>
      <w:r>
        <w:rPr>
          <w:spacing w:val="-2"/>
        </w:rPr>
        <w:t xml:space="preserve"> </w:t>
      </w:r>
      <w:r>
        <w:t>engaged</w:t>
      </w:r>
      <w:r>
        <w:rPr>
          <w:spacing w:val="-2"/>
        </w:rPr>
        <w:t xml:space="preserve"> </w:t>
      </w:r>
      <w:r>
        <w:t>in</w:t>
      </w:r>
      <w:r>
        <w:rPr>
          <w:spacing w:val="-2"/>
        </w:rPr>
        <w:t xml:space="preserve"> </w:t>
      </w:r>
      <w:r>
        <w:t>one</w:t>
      </w:r>
      <w:r>
        <w:rPr>
          <w:spacing w:val="-2"/>
        </w:rPr>
        <w:t xml:space="preserve"> </w:t>
      </w:r>
      <w:r>
        <w:t>of</w:t>
      </w:r>
      <w:r>
        <w:rPr>
          <w:spacing w:val="-2"/>
        </w:rPr>
        <w:t xml:space="preserve"> </w:t>
      </w:r>
      <w:r>
        <w:t>those</w:t>
      </w:r>
      <w:r>
        <w:rPr>
          <w:spacing w:val="-2"/>
        </w:rPr>
        <w:t xml:space="preserve"> </w:t>
      </w:r>
      <w:r>
        <w:t>two</w:t>
      </w:r>
      <w:r>
        <w:rPr>
          <w:spacing w:val="-2"/>
        </w:rPr>
        <w:t xml:space="preserve"> </w:t>
      </w:r>
      <w:r>
        <w:t>activities, it’s probably because I am hobbling (or, more likely, using my “Rascal”—a motor-powered personal locomotion device for the decrepit) at a rate of around 1/2 mph, from my desk to the easy chair in which I watch television shows targeted for senior citizens (e.g., “Murder She Wrote”). Not a single one of these statements would have applied to the person I was when I was your age.</w:t>
      </w:r>
    </w:p>
    <w:p w14:paraId="7E001D21" w14:textId="77777777" w:rsidR="009A58DB" w:rsidRDefault="00000000">
      <w:pPr>
        <w:pStyle w:val="BodyText"/>
        <w:spacing w:before="18" w:line="249" w:lineRule="auto"/>
        <w:ind w:right="358" w:firstLine="360"/>
      </w:pPr>
      <w:r>
        <w:t>This is not to mention that my once supple joints are frozen with arthritis, and my once pink and healthy vital tissues are now an oxygen-starved gray, thanks to the scourges to one’s health brought on by middle age. In high school I was a creditable athlete, playing on three different teams. These</w:t>
      </w:r>
      <w:r>
        <w:rPr>
          <w:spacing w:val="40"/>
        </w:rPr>
        <w:t xml:space="preserve"> </w:t>
      </w:r>
      <w:r>
        <w:t>days,</w:t>
      </w:r>
      <w:r>
        <w:rPr>
          <w:spacing w:val="44"/>
        </w:rPr>
        <w:t xml:space="preserve"> </w:t>
      </w:r>
      <w:r>
        <w:t>even</w:t>
      </w:r>
      <w:r>
        <w:rPr>
          <w:spacing w:val="47"/>
        </w:rPr>
        <w:t xml:space="preserve"> </w:t>
      </w:r>
      <w:r>
        <w:t>a</w:t>
      </w:r>
      <w:r>
        <w:rPr>
          <w:spacing w:val="47"/>
        </w:rPr>
        <w:t xml:space="preserve"> </w:t>
      </w:r>
      <w:r>
        <w:t>game</w:t>
      </w:r>
      <w:r>
        <w:rPr>
          <w:spacing w:val="47"/>
        </w:rPr>
        <w:t xml:space="preserve"> </w:t>
      </w:r>
      <w:r>
        <w:t>of</w:t>
      </w:r>
      <w:r>
        <w:rPr>
          <w:spacing w:val="47"/>
        </w:rPr>
        <w:t xml:space="preserve"> </w:t>
      </w:r>
      <w:r>
        <w:t>shuffleboard</w:t>
      </w:r>
      <w:r>
        <w:rPr>
          <w:spacing w:val="47"/>
        </w:rPr>
        <w:t xml:space="preserve"> </w:t>
      </w:r>
      <w:r>
        <w:t>pushes</w:t>
      </w:r>
      <w:r>
        <w:rPr>
          <w:spacing w:val="47"/>
        </w:rPr>
        <w:t xml:space="preserve"> </w:t>
      </w:r>
      <w:r>
        <w:t>me</w:t>
      </w:r>
      <w:r>
        <w:rPr>
          <w:spacing w:val="47"/>
        </w:rPr>
        <w:t xml:space="preserve"> </w:t>
      </w:r>
      <w:r>
        <w:t>to</w:t>
      </w:r>
      <w:r>
        <w:rPr>
          <w:spacing w:val="47"/>
        </w:rPr>
        <w:t xml:space="preserve"> </w:t>
      </w:r>
      <w:r>
        <w:t>my</w:t>
      </w:r>
      <w:r>
        <w:rPr>
          <w:spacing w:val="47"/>
        </w:rPr>
        <w:t xml:space="preserve"> </w:t>
      </w:r>
      <w:r>
        <w:t>limits;</w:t>
      </w:r>
      <w:r>
        <w:rPr>
          <w:spacing w:val="47"/>
        </w:rPr>
        <w:t xml:space="preserve"> </w:t>
      </w:r>
      <w:r>
        <w:t>and</w:t>
      </w:r>
      <w:r>
        <w:rPr>
          <w:spacing w:val="47"/>
        </w:rPr>
        <w:t xml:space="preserve"> </w:t>
      </w:r>
      <w:r>
        <w:t>I’m</w:t>
      </w:r>
      <w:r>
        <w:rPr>
          <w:spacing w:val="47"/>
        </w:rPr>
        <w:t xml:space="preserve"> </w:t>
      </w:r>
      <w:r>
        <w:rPr>
          <w:spacing w:val="-4"/>
        </w:rPr>
        <w:t>even</w:t>
      </w:r>
    </w:p>
    <w:p w14:paraId="7E001D2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23" w14:textId="77777777" w:rsidR="009A58DB" w:rsidRDefault="00000000">
      <w:pPr>
        <w:pStyle w:val="BodyText"/>
        <w:spacing w:before="60" w:line="249" w:lineRule="auto"/>
        <w:ind w:right="367"/>
      </w:pPr>
      <w:r>
        <w:lastRenderedPageBreak/>
        <w:t>considering</w:t>
      </w:r>
      <w:r>
        <w:rPr>
          <w:spacing w:val="-3"/>
        </w:rPr>
        <w:t xml:space="preserve"> </w:t>
      </w:r>
      <w:r>
        <w:t>giving</w:t>
      </w:r>
      <w:r>
        <w:rPr>
          <w:spacing w:val="-3"/>
        </w:rPr>
        <w:t xml:space="preserve"> </w:t>
      </w:r>
      <w:r>
        <w:t>that</w:t>
      </w:r>
      <w:r>
        <w:rPr>
          <w:spacing w:val="-3"/>
        </w:rPr>
        <w:t xml:space="preserve"> </w:t>
      </w:r>
      <w:r>
        <w:t>up,</w:t>
      </w:r>
      <w:r>
        <w:rPr>
          <w:spacing w:val="-3"/>
        </w:rPr>
        <w:t xml:space="preserve"> </w:t>
      </w:r>
      <w:r>
        <w:t>since</w:t>
      </w:r>
      <w:r>
        <w:rPr>
          <w:spacing w:val="-3"/>
        </w:rPr>
        <w:t xml:space="preserve"> </w:t>
      </w:r>
      <w:r>
        <w:t>there’s</w:t>
      </w:r>
      <w:r>
        <w:rPr>
          <w:spacing w:val="-3"/>
        </w:rPr>
        <w:t xml:space="preserve"> </w:t>
      </w:r>
      <w:r>
        <w:t>no</w:t>
      </w:r>
      <w:r>
        <w:rPr>
          <w:spacing w:val="-3"/>
        </w:rPr>
        <w:t xml:space="preserve"> </w:t>
      </w:r>
      <w:r>
        <w:t>Rascal-parking</w:t>
      </w:r>
      <w:r>
        <w:rPr>
          <w:spacing w:val="-3"/>
        </w:rPr>
        <w:t xml:space="preserve"> </w:t>
      </w:r>
      <w:r>
        <w:t>anywhere</w:t>
      </w:r>
      <w:r>
        <w:rPr>
          <w:spacing w:val="-3"/>
        </w:rPr>
        <w:t xml:space="preserve"> </w:t>
      </w:r>
      <w:r>
        <w:t>near</w:t>
      </w:r>
      <w:r>
        <w:rPr>
          <w:spacing w:val="-3"/>
        </w:rPr>
        <w:t xml:space="preserve"> </w:t>
      </w:r>
      <w:r>
        <w:t>the local shuffleboard court.</w:t>
      </w:r>
    </w:p>
    <w:p w14:paraId="7E001D24" w14:textId="77777777" w:rsidR="009A58DB" w:rsidRDefault="00000000">
      <w:pPr>
        <w:pStyle w:val="BodyText"/>
        <w:spacing w:before="7" w:line="249" w:lineRule="auto"/>
        <w:ind w:right="360" w:firstLine="360"/>
      </w:pPr>
      <w:r>
        <w:t>It thus defies comprehension how, given my current condition, I could possibly be identical with the party animal of two decades ago. This problem, and others like it, are very interesting—much more interesting than the question of why the chair I’m sitting on now is identical with the chair I was sitting 10 minutes ago, when I first started writing this section. In other words, personal identity seems more interesting than objectual identity.</w:t>
      </w:r>
    </w:p>
    <w:p w14:paraId="7E001D25" w14:textId="77777777" w:rsidR="009A58DB" w:rsidRDefault="00000000">
      <w:pPr>
        <w:pStyle w:val="BodyText"/>
        <w:spacing w:before="7" w:line="249" w:lineRule="auto"/>
        <w:ind w:right="359" w:firstLine="360"/>
      </w:pPr>
      <w:r>
        <w:t xml:space="preserve">The problem is that personal identity must be understood </w:t>
      </w:r>
      <w:r>
        <w:rPr>
          <w:i/>
        </w:rPr>
        <w:t xml:space="preserve">in terms of </w:t>
      </w:r>
      <w:r>
        <w:t>objectual identity. Why is this? There are two dimensions to the concept of personal identity, the reason being that people have both minds and bodies, and statements about personal identity often therefore depend for their truth on both bodily and mental facts. By contrast, objects (chairs, rocks, etc.)</w:t>
      </w:r>
      <w:r>
        <w:rPr>
          <w:spacing w:val="40"/>
        </w:rPr>
        <w:t xml:space="preserve"> </w:t>
      </w:r>
      <w:r>
        <w:t xml:space="preserve">don’t have minds—they are pure body. So identity statements concerning them (in other words, objectual identity statements) depend for their truth only on physical facts. Identity statements that concern human or animal </w:t>
      </w:r>
      <w:r>
        <w:rPr>
          <w:i/>
        </w:rPr>
        <w:t>bodies</w:t>
      </w:r>
      <w:r>
        <w:t xml:space="preserve">—for example, “this is the hand that signed that piece of paper”—concern </w:t>
      </w:r>
      <w:r>
        <w:rPr>
          <w:i/>
        </w:rPr>
        <w:t xml:space="preserve">objectual </w:t>
      </w:r>
      <w:r>
        <w:t xml:space="preserve">identity. And the reason, of course, is that bodies are </w:t>
      </w:r>
      <w:r>
        <w:rPr>
          <w:i/>
        </w:rPr>
        <w:t>objects</w:t>
      </w:r>
      <w:r>
        <w:t xml:space="preserve">—like rocks and trees. They are not </w:t>
      </w:r>
      <w:r>
        <w:rPr>
          <w:i/>
        </w:rPr>
        <w:t xml:space="preserve">subjects, </w:t>
      </w:r>
      <w:r>
        <w:t xml:space="preserve">like you and me. Statements about personal identity are often concerned </w:t>
      </w:r>
      <w:r>
        <w:rPr>
          <w:i/>
        </w:rPr>
        <w:t xml:space="preserve">both </w:t>
      </w:r>
      <w:r>
        <w:t>with physical</w:t>
      </w:r>
      <w:r>
        <w:rPr>
          <w:spacing w:val="40"/>
        </w:rPr>
        <w:t xml:space="preserve"> </w:t>
      </w:r>
      <w:r>
        <w:rPr>
          <w:i/>
        </w:rPr>
        <w:t xml:space="preserve">and </w:t>
      </w:r>
      <w:r>
        <w:t xml:space="preserve">with mental facts. Since they concern physical facts and objects, such statements are concerned, at least in part, with the concept of objectual identity. One must therefore understand objectual identity </w:t>
      </w:r>
      <w:r>
        <w:rPr>
          <w:i/>
        </w:rPr>
        <w:t xml:space="preserve">before </w:t>
      </w:r>
      <w:r>
        <w:t>one can understand personal identity, just as one must understand single-variable calculus before one can understand multivariable calculus.</w:t>
      </w:r>
    </w:p>
    <w:p w14:paraId="7E001D26" w14:textId="77777777" w:rsidR="009A58DB" w:rsidRDefault="00000000">
      <w:pPr>
        <w:pStyle w:val="Heading1"/>
        <w:numPr>
          <w:ilvl w:val="1"/>
          <w:numId w:val="96"/>
        </w:numPr>
        <w:tabs>
          <w:tab w:val="left" w:pos="990"/>
        </w:tabs>
        <w:spacing w:before="209" w:line="244" w:lineRule="auto"/>
        <w:ind w:left="360" w:right="1567" w:firstLine="0"/>
      </w:pPr>
      <w:r>
        <w:t>One</w:t>
      </w:r>
      <w:r>
        <w:rPr>
          <w:spacing w:val="-9"/>
        </w:rPr>
        <w:t xml:space="preserve"> </w:t>
      </w:r>
      <w:r>
        <w:t>kind</w:t>
      </w:r>
      <w:r>
        <w:rPr>
          <w:spacing w:val="-9"/>
        </w:rPr>
        <w:t xml:space="preserve"> </w:t>
      </w:r>
      <w:r>
        <w:t>of</w:t>
      </w:r>
      <w:r>
        <w:rPr>
          <w:spacing w:val="-9"/>
        </w:rPr>
        <w:t xml:space="preserve"> </w:t>
      </w:r>
      <w:r>
        <w:t>objectual</w:t>
      </w:r>
      <w:r>
        <w:rPr>
          <w:spacing w:val="-9"/>
        </w:rPr>
        <w:t xml:space="preserve"> </w:t>
      </w:r>
      <w:r>
        <w:t>identity:</w:t>
      </w:r>
      <w:r>
        <w:rPr>
          <w:spacing w:val="-9"/>
        </w:rPr>
        <w:t xml:space="preserve"> </w:t>
      </w:r>
      <w:r>
        <w:t>diachronic objectual identity</w:t>
      </w:r>
    </w:p>
    <w:p w14:paraId="7E001D27" w14:textId="77777777" w:rsidR="009A58DB" w:rsidRDefault="00000000">
      <w:pPr>
        <w:pStyle w:val="BodyText"/>
        <w:spacing w:before="132" w:line="249" w:lineRule="auto"/>
        <w:ind w:right="359"/>
      </w:pPr>
      <w:r>
        <w:t xml:space="preserve">A story will help clarify the nature of statements concerning objectual identity. At 11:00 </w:t>
      </w:r>
      <w:r>
        <w:rPr>
          <w:sz w:val="22"/>
        </w:rPr>
        <w:t>A</w:t>
      </w:r>
      <w:r>
        <w:t>.</w:t>
      </w:r>
      <w:r>
        <w:rPr>
          <w:sz w:val="22"/>
        </w:rPr>
        <w:t>M</w:t>
      </w:r>
      <w:r>
        <w:t xml:space="preserve">. I make myself a sandwich. But I don’t eat it; I just place it on the kitchen counter. Let X be the object that at </w:t>
      </w:r>
      <w:r>
        <w:rPr>
          <w:i/>
        </w:rPr>
        <w:t xml:space="preserve">11:00 </w:t>
      </w:r>
      <w:r>
        <w:rPr>
          <w:i/>
          <w:sz w:val="22"/>
        </w:rPr>
        <w:t>A</w:t>
      </w:r>
      <w:r>
        <w:t>.</w:t>
      </w:r>
      <w:r>
        <w:rPr>
          <w:sz w:val="22"/>
        </w:rPr>
        <w:t>M</w:t>
      </w:r>
      <w:r>
        <w:t xml:space="preserve">. I place on the kitchen counter. At 1:00 </w:t>
      </w:r>
      <w:r>
        <w:rPr>
          <w:sz w:val="22"/>
        </w:rPr>
        <w:t>P</w:t>
      </w:r>
      <w:r>
        <w:t>.</w:t>
      </w:r>
      <w:r>
        <w:rPr>
          <w:sz w:val="22"/>
        </w:rPr>
        <w:t>M</w:t>
      </w:r>
      <w:r>
        <w:t>. I see my roommate, Smith, holding and apparently</w:t>
      </w:r>
      <w:r>
        <w:rPr>
          <w:spacing w:val="-3"/>
        </w:rPr>
        <w:t xml:space="preserve"> </w:t>
      </w:r>
      <w:r>
        <w:t>intending</w:t>
      </w:r>
      <w:r>
        <w:rPr>
          <w:spacing w:val="-3"/>
        </w:rPr>
        <w:t xml:space="preserve"> </w:t>
      </w:r>
      <w:r>
        <w:t>to</w:t>
      </w:r>
      <w:r>
        <w:rPr>
          <w:spacing w:val="-3"/>
        </w:rPr>
        <w:t xml:space="preserve"> </w:t>
      </w:r>
      <w:r>
        <w:t>consume</w:t>
      </w:r>
      <w:r>
        <w:rPr>
          <w:spacing w:val="-4"/>
        </w:rPr>
        <w:t xml:space="preserve"> </w:t>
      </w:r>
      <w:r>
        <w:t>the</w:t>
      </w:r>
      <w:r>
        <w:rPr>
          <w:spacing w:val="-4"/>
        </w:rPr>
        <w:t xml:space="preserve"> </w:t>
      </w:r>
      <w:r>
        <w:t>sandwich</w:t>
      </w:r>
      <w:r>
        <w:rPr>
          <w:spacing w:val="-3"/>
        </w:rPr>
        <w:t xml:space="preserve"> </w:t>
      </w:r>
      <w:r>
        <w:t>that</w:t>
      </w:r>
      <w:r>
        <w:rPr>
          <w:spacing w:val="-4"/>
        </w:rPr>
        <w:t xml:space="preserve"> </w:t>
      </w:r>
      <w:r>
        <w:t>I</w:t>
      </w:r>
      <w:r>
        <w:rPr>
          <w:spacing w:val="-4"/>
        </w:rPr>
        <w:t xml:space="preserve"> </w:t>
      </w:r>
      <w:r>
        <w:t>made.</w:t>
      </w:r>
      <w:r>
        <w:rPr>
          <w:spacing w:val="-3"/>
        </w:rPr>
        <w:t xml:space="preserve"> </w:t>
      </w:r>
      <w:r>
        <w:t>(There</w:t>
      </w:r>
      <w:r>
        <w:rPr>
          <w:spacing w:val="-4"/>
        </w:rPr>
        <w:t xml:space="preserve"> </w:t>
      </w:r>
      <w:r>
        <w:t>is</w:t>
      </w:r>
      <w:r>
        <w:rPr>
          <w:spacing w:val="-4"/>
        </w:rPr>
        <w:t xml:space="preserve"> </w:t>
      </w:r>
      <w:r>
        <w:t>no</w:t>
      </w:r>
      <w:r>
        <w:rPr>
          <w:spacing w:val="-3"/>
        </w:rPr>
        <w:t xml:space="preserve"> </w:t>
      </w:r>
      <w:r>
        <w:t xml:space="preserve">doubt that it’s the same sandwich.) Let Y be the object that </w:t>
      </w:r>
      <w:r>
        <w:rPr>
          <w:i/>
        </w:rPr>
        <w:t xml:space="preserve">at 1:00 </w:t>
      </w:r>
      <w:r>
        <w:rPr>
          <w:i/>
          <w:sz w:val="22"/>
        </w:rPr>
        <w:t>P</w:t>
      </w:r>
      <w:r>
        <w:rPr>
          <w:i/>
        </w:rPr>
        <w:t>.</w:t>
      </w:r>
      <w:r>
        <w:rPr>
          <w:i/>
          <w:sz w:val="22"/>
        </w:rPr>
        <w:t>M</w:t>
      </w:r>
      <w:r>
        <w:rPr>
          <w:i/>
        </w:rPr>
        <w:t xml:space="preserve">. </w:t>
      </w:r>
      <w:r>
        <w:t xml:space="preserve">Smith is </w:t>
      </w:r>
      <w:r>
        <w:rPr>
          <w:spacing w:val="-2"/>
        </w:rPr>
        <w:t>holding.</w:t>
      </w:r>
    </w:p>
    <w:p w14:paraId="7E001D2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29" w14:textId="77777777" w:rsidR="009A58DB" w:rsidRDefault="00000000">
      <w:pPr>
        <w:pStyle w:val="BodyText"/>
        <w:spacing w:before="65" w:line="249" w:lineRule="auto"/>
        <w:ind w:right="5627" w:firstLine="360"/>
        <w:jc w:val="left"/>
      </w:pPr>
      <w:r>
        <w:lastRenderedPageBreak/>
        <w:t>Under</w:t>
      </w:r>
      <w:r>
        <w:rPr>
          <w:spacing w:val="-14"/>
        </w:rPr>
        <w:t xml:space="preserve"> </w:t>
      </w:r>
      <w:r>
        <w:t>these</w:t>
      </w:r>
      <w:r>
        <w:rPr>
          <w:spacing w:val="-14"/>
        </w:rPr>
        <w:t xml:space="preserve"> </w:t>
      </w:r>
      <w:r>
        <w:t>circumstances,</w:t>
      </w:r>
      <w:r>
        <w:rPr>
          <w:spacing w:val="-13"/>
        </w:rPr>
        <w:t xml:space="preserve"> </w:t>
      </w:r>
      <w:r>
        <w:t xml:space="preserve">the </w:t>
      </w:r>
      <w:r>
        <w:rPr>
          <w:spacing w:val="-2"/>
        </w:rPr>
        <w:t>statement:</w:t>
      </w:r>
    </w:p>
    <w:p w14:paraId="7E001D2A" w14:textId="77777777" w:rsidR="009A58DB" w:rsidRDefault="00000000">
      <w:pPr>
        <w:pStyle w:val="BodyText"/>
        <w:spacing w:before="242"/>
        <w:jc w:val="left"/>
      </w:pPr>
      <w:r>
        <w:t>(*)</w:t>
      </w:r>
      <w:r>
        <w:rPr>
          <w:spacing w:val="-4"/>
        </w:rPr>
        <w:t xml:space="preserve"> </w:t>
      </w:r>
      <w:r>
        <w:t>X</w:t>
      </w:r>
      <w:r>
        <w:rPr>
          <w:spacing w:val="-3"/>
        </w:rPr>
        <w:t xml:space="preserve"> </w:t>
      </w:r>
      <w:r>
        <w:t>is</w:t>
      </w:r>
      <w:r>
        <w:rPr>
          <w:spacing w:val="-3"/>
        </w:rPr>
        <w:t xml:space="preserve"> </w:t>
      </w:r>
      <w:r>
        <w:t>identical</w:t>
      </w:r>
      <w:r>
        <w:rPr>
          <w:spacing w:val="-3"/>
        </w:rPr>
        <w:t xml:space="preserve"> </w:t>
      </w:r>
      <w:r>
        <w:t>with</w:t>
      </w:r>
      <w:r>
        <w:rPr>
          <w:spacing w:val="-2"/>
        </w:rPr>
        <w:t xml:space="preserve"> </w:t>
      </w:r>
      <w:r>
        <w:rPr>
          <w:spacing w:val="-10"/>
        </w:rPr>
        <w:t>Y</w:t>
      </w:r>
    </w:p>
    <w:p w14:paraId="7E001D2B" w14:textId="77777777" w:rsidR="009A58DB" w:rsidRDefault="00000000">
      <w:pPr>
        <w:pStyle w:val="BodyText"/>
        <w:spacing w:before="255" w:line="249" w:lineRule="auto"/>
        <w:ind w:right="365" w:firstLine="360"/>
        <w:jc w:val="left"/>
        <w:rPr>
          <w:i/>
        </w:rPr>
      </w:pPr>
      <w:r>
        <w:t>is true. But exactly what does this mean? X doesn’t have the same properties as Y. First of all, X is on the kitchen counter, whereas Y is in Smith’s hands. X, having just been made out of refrigerator-stored ingredients, is nice and cool. Y, having been sitting on the counter for two hours</w:t>
      </w:r>
      <w:r>
        <w:rPr>
          <w:spacing w:val="-4"/>
        </w:rPr>
        <w:t xml:space="preserve"> </w:t>
      </w:r>
      <w:r>
        <w:t>is</w:t>
      </w:r>
      <w:r>
        <w:rPr>
          <w:spacing w:val="-4"/>
        </w:rPr>
        <w:t xml:space="preserve"> </w:t>
      </w:r>
      <w:r>
        <w:t>warm</w:t>
      </w:r>
      <w:r>
        <w:rPr>
          <w:spacing w:val="-4"/>
        </w:rPr>
        <w:t xml:space="preserve"> </w:t>
      </w:r>
      <w:r>
        <w:t>and</w:t>
      </w:r>
      <w:r>
        <w:rPr>
          <w:spacing w:val="-3"/>
        </w:rPr>
        <w:t xml:space="preserve"> </w:t>
      </w:r>
      <w:r>
        <w:t>yucky.</w:t>
      </w:r>
      <w:r>
        <w:rPr>
          <w:spacing w:val="-3"/>
        </w:rPr>
        <w:t xml:space="preserve"> </w:t>
      </w:r>
      <w:r>
        <w:t>Given</w:t>
      </w:r>
      <w:r>
        <w:rPr>
          <w:spacing w:val="-3"/>
        </w:rPr>
        <w:t xml:space="preserve"> </w:t>
      </w:r>
      <w:r>
        <w:t>how</w:t>
      </w:r>
      <w:r>
        <w:rPr>
          <w:spacing w:val="-4"/>
        </w:rPr>
        <w:t xml:space="preserve"> </w:t>
      </w:r>
      <w:r>
        <w:t>different</w:t>
      </w:r>
      <w:r>
        <w:rPr>
          <w:spacing w:val="-4"/>
        </w:rPr>
        <w:t xml:space="preserve"> </w:t>
      </w:r>
      <w:r>
        <w:t>X</w:t>
      </w:r>
      <w:r>
        <w:rPr>
          <w:spacing w:val="-4"/>
        </w:rPr>
        <w:t xml:space="preserve"> </w:t>
      </w:r>
      <w:r>
        <w:t>and</w:t>
      </w:r>
      <w:r>
        <w:rPr>
          <w:spacing w:val="-3"/>
        </w:rPr>
        <w:t xml:space="preserve"> </w:t>
      </w:r>
      <w:r>
        <w:t>Y</w:t>
      </w:r>
      <w:r>
        <w:rPr>
          <w:spacing w:val="-4"/>
        </w:rPr>
        <w:t xml:space="preserve"> </w:t>
      </w:r>
      <w:r>
        <w:t>are,</w:t>
      </w:r>
      <w:r>
        <w:rPr>
          <w:spacing w:val="-3"/>
        </w:rPr>
        <w:t xml:space="preserve"> </w:t>
      </w:r>
      <w:r>
        <w:t>what</w:t>
      </w:r>
      <w:r>
        <w:rPr>
          <w:spacing w:val="-4"/>
        </w:rPr>
        <w:t xml:space="preserve"> </w:t>
      </w:r>
      <w:r>
        <w:t>sense</w:t>
      </w:r>
      <w:r>
        <w:rPr>
          <w:spacing w:val="-4"/>
        </w:rPr>
        <w:t xml:space="preserve"> </w:t>
      </w:r>
      <w:r>
        <w:t>can</w:t>
      </w:r>
      <w:r>
        <w:rPr>
          <w:spacing w:val="-3"/>
        </w:rPr>
        <w:t xml:space="preserve"> </w:t>
      </w:r>
      <w:r>
        <w:t xml:space="preserve">it make to say that they are </w:t>
      </w:r>
      <w:r>
        <w:rPr>
          <w:i/>
        </w:rPr>
        <w:t>identical?</w:t>
      </w:r>
    </w:p>
    <w:p w14:paraId="7E001D2C" w14:textId="77777777" w:rsidR="009A58DB" w:rsidRDefault="00000000">
      <w:pPr>
        <w:pStyle w:val="BodyText"/>
        <w:spacing w:before="7" w:line="249" w:lineRule="auto"/>
        <w:ind w:right="358" w:firstLine="360"/>
      </w:pPr>
      <w:r>
        <w:t>Here we have to take a brief detour through a bit of physics and metaphysics. X is not a simple entity. It has various parts—it consists of two slices of bread, a leaf of lettuce, etc. But each of those parts consists, ultimately,</w:t>
      </w:r>
      <w:r>
        <w:rPr>
          <w:spacing w:val="-2"/>
        </w:rPr>
        <w:t xml:space="preserve"> </w:t>
      </w:r>
      <w:r>
        <w:t>of</w:t>
      </w:r>
      <w:r>
        <w:rPr>
          <w:spacing w:val="-2"/>
        </w:rPr>
        <w:t xml:space="preserve"> </w:t>
      </w:r>
      <w:r>
        <w:t>a</w:t>
      </w:r>
      <w:r>
        <w:rPr>
          <w:spacing w:val="-1"/>
        </w:rPr>
        <w:t xml:space="preserve"> </w:t>
      </w:r>
      <w:r>
        <w:t>vast</w:t>
      </w:r>
      <w:r>
        <w:rPr>
          <w:spacing w:val="-2"/>
        </w:rPr>
        <w:t xml:space="preserve"> </w:t>
      </w:r>
      <w:r>
        <w:t>swarm</w:t>
      </w:r>
      <w:r>
        <w:rPr>
          <w:spacing w:val="-2"/>
        </w:rPr>
        <w:t xml:space="preserve"> </w:t>
      </w:r>
      <w:r>
        <w:t>of</w:t>
      </w:r>
      <w:r>
        <w:rPr>
          <w:spacing w:val="-2"/>
        </w:rPr>
        <w:t xml:space="preserve"> </w:t>
      </w:r>
      <w:r>
        <w:t>incessant</w:t>
      </w:r>
      <w:r>
        <w:rPr>
          <w:spacing w:val="-2"/>
        </w:rPr>
        <w:t xml:space="preserve"> </w:t>
      </w:r>
      <w:r>
        <w:t>displacements</w:t>
      </w:r>
      <w:r>
        <w:rPr>
          <w:spacing w:val="-1"/>
        </w:rPr>
        <w:t xml:space="preserve"> </w:t>
      </w:r>
      <w:r>
        <w:t>of</w:t>
      </w:r>
      <w:r>
        <w:rPr>
          <w:spacing w:val="-2"/>
        </w:rPr>
        <w:t xml:space="preserve"> </w:t>
      </w:r>
      <w:r>
        <w:t>mass-energy.</w:t>
      </w:r>
      <w:r>
        <w:rPr>
          <w:spacing w:val="-1"/>
        </w:rPr>
        <w:t xml:space="preserve"> </w:t>
      </w:r>
      <w:r>
        <w:t>Given any macroscopic physical object—a rock, a bar of soap, a plant—not a single micro-constituent of that object will stay in the same place for any amount of time. Given any one of the atoms composing any macroscopic object, that atom will move (it will rotate, vibrate, and altogether change its location) if you give it so much as a trillionth of a second. And all the objects that we</w:t>
      </w:r>
      <w:r>
        <w:rPr>
          <w:spacing w:val="40"/>
        </w:rPr>
        <w:t xml:space="preserve"> </w:t>
      </w:r>
      <w:r>
        <w:t xml:space="preserve">deal with in everyday life—our cars, our clothes, our toothbrushes—are composed of these incessant movements of microparticles. So, really, all of those objects are collections of </w:t>
      </w:r>
      <w:r>
        <w:rPr>
          <w:i/>
        </w:rPr>
        <w:t>events</w:t>
      </w:r>
      <w:r>
        <w:t xml:space="preserve">. The </w:t>
      </w:r>
      <w:r>
        <w:rPr>
          <w:i/>
        </w:rPr>
        <w:t xml:space="preserve">seeming </w:t>
      </w:r>
      <w:r>
        <w:t>changelessness of the poster on your wall is an illusion: at any given time, that poster consists of nothing but movements and exchanges of mass and energy.</w:t>
      </w:r>
    </w:p>
    <w:p w14:paraId="7E001D2D" w14:textId="77777777" w:rsidR="009A58DB" w:rsidRDefault="00000000">
      <w:pPr>
        <w:pStyle w:val="BodyText"/>
        <w:spacing w:before="18" w:line="249" w:lineRule="auto"/>
        <w:ind w:right="358" w:firstLine="360"/>
      </w:pPr>
      <w:r>
        <w:t>We</w:t>
      </w:r>
      <w:r>
        <w:rPr>
          <w:spacing w:val="-3"/>
        </w:rPr>
        <w:t xml:space="preserve"> </w:t>
      </w:r>
      <w:r>
        <w:t>must</w:t>
      </w:r>
      <w:r>
        <w:rPr>
          <w:spacing w:val="-3"/>
        </w:rPr>
        <w:t xml:space="preserve"> </w:t>
      </w:r>
      <w:r>
        <w:t>make</w:t>
      </w:r>
      <w:r>
        <w:rPr>
          <w:spacing w:val="-3"/>
        </w:rPr>
        <w:t xml:space="preserve"> </w:t>
      </w:r>
      <w:r>
        <w:t>two</w:t>
      </w:r>
      <w:r>
        <w:rPr>
          <w:spacing w:val="-2"/>
        </w:rPr>
        <w:t xml:space="preserve"> </w:t>
      </w:r>
      <w:r>
        <w:t>final</w:t>
      </w:r>
      <w:r>
        <w:rPr>
          <w:spacing w:val="-3"/>
        </w:rPr>
        <w:t xml:space="preserve"> </w:t>
      </w:r>
      <w:r>
        <w:t>points</w:t>
      </w:r>
      <w:r>
        <w:rPr>
          <w:spacing w:val="-3"/>
        </w:rPr>
        <w:t xml:space="preserve"> </w:t>
      </w:r>
      <w:r>
        <w:t>before</w:t>
      </w:r>
      <w:r>
        <w:rPr>
          <w:spacing w:val="-3"/>
        </w:rPr>
        <w:t xml:space="preserve"> </w:t>
      </w:r>
      <w:r>
        <w:t>we</w:t>
      </w:r>
      <w:r>
        <w:rPr>
          <w:spacing w:val="-3"/>
        </w:rPr>
        <w:t xml:space="preserve"> </w:t>
      </w:r>
      <w:r>
        <w:t>can</w:t>
      </w:r>
      <w:r>
        <w:rPr>
          <w:spacing w:val="-2"/>
        </w:rPr>
        <w:t xml:space="preserve"> </w:t>
      </w:r>
      <w:r>
        <w:t>say</w:t>
      </w:r>
      <w:r>
        <w:rPr>
          <w:spacing w:val="-2"/>
        </w:rPr>
        <w:t xml:space="preserve"> </w:t>
      </w:r>
      <w:r>
        <w:t>what</w:t>
      </w:r>
      <w:r>
        <w:rPr>
          <w:spacing w:val="-3"/>
        </w:rPr>
        <w:t xml:space="preserve"> </w:t>
      </w:r>
      <w:r>
        <w:t>(*)</w:t>
      </w:r>
      <w:r>
        <w:rPr>
          <w:spacing w:val="-3"/>
        </w:rPr>
        <w:t xml:space="preserve"> </w:t>
      </w:r>
      <w:r>
        <w:t>means.</w:t>
      </w:r>
      <w:r>
        <w:rPr>
          <w:spacing w:val="-2"/>
        </w:rPr>
        <w:t xml:space="preserve"> </w:t>
      </w:r>
      <w:r>
        <w:t>First,</w:t>
      </w:r>
      <w:r>
        <w:rPr>
          <w:spacing w:val="-2"/>
        </w:rPr>
        <w:t xml:space="preserve"> </w:t>
      </w:r>
      <w:r>
        <w:t>in some cases, events are causally related to one another, and in some cases they’re not. I brushed my teeth this morning and you put on your shoes. The one event didn’t cause the other. But my brushing my teeth did cause various particles on my teeth to dissolve or change location.</w:t>
      </w:r>
    </w:p>
    <w:p w14:paraId="7E001D2E" w14:textId="77777777" w:rsidR="009A58DB" w:rsidRDefault="00000000">
      <w:pPr>
        <w:pStyle w:val="BodyText"/>
        <w:spacing w:before="6" w:line="249" w:lineRule="auto"/>
        <w:ind w:right="365" w:firstLine="360"/>
      </w:pPr>
      <w:r>
        <w:t>When events are causally related to each other, they satisfy one of two conditions:</w:t>
      </w:r>
      <w:r>
        <w:rPr>
          <w:spacing w:val="-3"/>
        </w:rPr>
        <w:t xml:space="preserve"> </w:t>
      </w:r>
      <w:r>
        <w:rPr>
          <w:i/>
        </w:rPr>
        <w:t xml:space="preserve">either </w:t>
      </w:r>
      <w:r>
        <w:t xml:space="preserve">they are adjacent in both space and time </w:t>
      </w:r>
      <w:r>
        <w:rPr>
          <w:i/>
        </w:rPr>
        <w:t xml:space="preserve">or, </w:t>
      </w:r>
      <w:r>
        <w:t xml:space="preserve">if they are not adjacent, they are connected by a series of events each of whose links </w:t>
      </w:r>
      <w:r>
        <w:rPr>
          <w:i/>
        </w:rPr>
        <w:t xml:space="preserve">is </w:t>
      </w:r>
      <w:r>
        <w:t>adjacent with at least one other event in that same series. The event of my dragging the toothbrush across the bit of cereal stuck to my tooth occupied the</w:t>
      </w:r>
      <w:r>
        <w:rPr>
          <w:spacing w:val="44"/>
        </w:rPr>
        <w:t xml:space="preserve"> </w:t>
      </w:r>
      <w:r>
        <w:t>same</w:t>
      </w:r>
      <w:r>
        <w:rPr>
          <w:spacing w:val="45"/>
        </w:rPr>
        <w:t xml:space="preserve"> </w:t>
      </w:r>
      <w:r>
        <w:t>approximate</w:t>
      </w:r>
      <w:r>
        <w:rPr>
          <w:spacing w:val="45"/>
        </w:rPr>
        <w:t xml:space="preserve"> </w:t>
      </w:r>
      <w:r>
        <w:t>place</w:t>
      </w:r>
      <w:r>
        <w:rPr>
          <w:spacing w:val="44"/>
        </w:rPr>
        <w:t xml:space="preserve"> </w:t>
      </w:r>
      <w:r>
        <w:t>as</w:t>
      </w:r>
      <w:r>
        <w:rPr>
          <w:spacing w:val="45"/>
        </w:rPr>
        <w:t xml:space="preserve"> </w:t>
      </w:r>
      <w:r>
        <w:t>the</w:t>
      </w:r>
      <w:r>
        <w:rPr>
          <w:spacing w:val="45"/>
        </w:rPr>
        <w:t xml:space="preserve"> </w:t>
      </w:r>
      <w:r>
        <w:t>event</w:t>
      </w:r>
      <w:r>
        <w:rPr>
          <w:spacing w:val="43"/>
        </w:rPr>
        <w:t xml:space="preserve"> </w:t>
      </w:r>
      <w:r>
        <w:t>of</w:t>
      </w:r>
      <w:r>
        <w:rPr>
          <w:spacing w:val="45"/>
        </w:rPr>
        <w:t xml:space="preserve"> </w:t>
      </w:r>
      <w:r>
        <w:t>the</w:t>
      </w:r>
      <w:r>
        <w:rPr>
          <w:spacing w:val="45"/>
        </w:rPr>
        <w:t xml:space="preserve"> </w:t>
      </w:r>
      <w:r>
        <w:t>bit</w:t>
      </w:r>
      <w:r>
        <w:rPr>
          <w:spacing w:val="44"/>
        </w:rPr>
        <w:t xml:space="preserve"> </w:t>
      </w:r>
      <w:r>
        <w:t>of</w:t>
      </w:r>
      <w:r>
        <w:rPr>
          <w:spacing w:val="45"/>
        </w:rPr>
        <w:t xml:space="preserve"> </w:t>
      </w:r>
      <w:r>
        <w:t>cereal’s</w:t>
      </w:r>
      <w:r>
        <w:rPr>
          <w:spacing w:val="45"/>
        </w:rPr>
        <w:t xml:space="preserve"> </w:t>
      </w:r>
      <w:r>
        <w:t>leaving</w:t>
      </w:r>
      <w:r>
        <w:rPr>
          <w:spacing w:val="45"/>
        </w:rPr>
        <w:t xml:space="preserve"> </w:t>
      </w:r>
      <w:r>
        <w:rPr>
          <w:spacing w:val="-5"/>
        </w:rPr>
        <w:t>my</w:t>
      </w:r>
    </w:p>
    <w:p w14:paraId="7E001D2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30" w14:textId="77777777" w:rsidR="009A58DB" w:rsidRDefault="00000000">
      <w:pPr>
        <w:pStyle w:val="BodyText"/>
        <w:spacing w:before="67" w:line="249" w:lineRule="auto"/>
        <w:ind w:right="370"/>
      </w:pPr>
      <w:r>
        <w:lastRenderedPageBreak/>
        <w:t>tooth, and the first event came right before the second. So, in this case, the cause (my moving the toothbrush over my tooth) and the effect (the bit of cereal’s being dislodged from my tooth) are adjacent in space and time.</w:t>
      </w:r>
    </w:p>
    <w:p w14:paraId="7E001D31" w14:textId="77777777" w:rsidR="009A58DB" w:rsidRDefault="00000000">
      <w:pPr>
        <w:pStyle w:val="BodyText"/>
        <w:spacing w:before="1" w:line="249" w:lineRule="auto"/>
        <w:ind w:right="357" w:firstLine="360"/>
      </w:pPr>
      <w:r>
        <w:t>Not all causes are related to effects in such a direct way. I turn on a flashlight by pushing a button on it. The event of my pushing this button causes a light beam to travel from my flashlight to some distant planet. So one</w:t>
      </w:r>
      <w:r>
        <w:rPr>
          <w:spacing w:val="-1"/>
        </w:rPr>
        <w:t xml:space="preserve"> </w:t>
      </w:r>
      <w:r>
        <w:t>event</w:t>
      </w:r>
      <w:r>
        <w:rPr>
          <w:spacing w:val="-1"/>
        </w:rPr>
        <w:t xml:space="preserve"> </w:t>
      </w:r>
      <w:r>
        <w:t>(my</w:t>
      </w:r>
      <w:r>
        <w:rPr>
          <w:spacing w:val="-1"/>
        </w:rPr>
        <w:t xml:space="preserve"> </w:t>
      </w:r>
      <w:r>
        <w:t>pushing</w:t>
      </w:r>
      <w:r>
        <w:rPr>
          <w:spacing w:val="-1"/>
        </w:rPr>
        <w:t xml:space="preserve"> </w:t>
      </w:r>
      <w:r>
        <w:t>a</w:t>
      </w:r>
      <w:r>
        <w:rPr>
          <w:spacing w:val="-1"/>
        </w:rPr>
        <w:t xml:space="preserve"> </w:t>
      </w:r>
      <w:r>
        <w:t>certain</w:t>
      </w:r>
      <w:r>
        <w:rPr>
          <w:spacing w:val="-1"/>
        </w:rPr>
        <w:t xml:space="preserve"> </w:t>
      </w:r>
      <w:r>
        <w:t>button)</w:t>
      </w:r>
      <w:r>
        <w:rPr>
          <w:spacing w:val="-1"/>
        </w:rPr>
        <w:t xml:space="preserve"> </w:t>
      </w:r>
      <w:r>
        <w:t>causes</w:t>
      </w:r>
      <w:r>
        <w:rPr>
          <w:spacing w:val="-1"/>
        </w:rPr>
        <w:t xml:space="preserve"> </w:t>
      </w:r>
      <w:r>
        <w:t>another</w:t>
      </w:r>
      <w:r>
        <w:rPr>
          <w:spacing w:val="-1"/>
        </w:rPr>
        <w:t xml:space="preserve"> </w:t>
      </w:r>
      <w:r>
        <w:t>event</w:t>
      </w:r>
      <w:r>
        <w:rPr>
          <w:spacing w:val="-1"/>
        </w:rPr>
        <w:t xml:space="preserve"> </w:t>
      </w:r>
      <w:r>
        <w:t>(a</w:t>
      </w:r>
      <w:r>
        <w:rPr>
          <w:spacing w:val="-1"/>
        </w:rPr>
        <w:t xml:space="preserve"> </w:t>
      </w:r>
      <w:r>
        <w:t>certain</w:t>
      </w:r>
      <w:r>
        <w:rPr>
          <w:spacing w:val="-1"/>
        </w:rPr>
        <w:t xml:space="preserve"> </w:t>
      </w:r>
      <w:r>
        <w:t xml:space="preserve">spot’s appearing on an otherwise dark, planetary surface). These two events are separated in space and also in time (it takes time for light to travel, and the larger the distance, the more time is needed). Nonetheless, the cause and the effect are </w:t>
      </w:r>
      <w:r>
        <w:rPr>
          <w:i/>
        </w:rPr>
        <w:t xml:space="preserve">connected </w:t>
      </w:r>
      <w:r>
        <w:t xml:space="preserve">by a series of events each of which </w:t>
      </w:r>
      <w:r>
        <w:rPr>
          <w:i/>
        </w:rPr>
        <w:t xml:space="preserve">is </w:t>
      </w:r>
      <w:r>
        <w:t xml:space="preserve">adjacent, in space and time, with another event in that same series. Let t be some period before the light beam reaches the planet but after it has left my flashlight. Suppose that, at time t, the tip of the light beam is in place p. The events—the swarm of photons—in place p at time t cause there to be similar photon-swarms at the place right next to p at the time right after t. So if p* is some place right next to p, and t* is some time right after t, then the photon-swarms in p at t cause there to be similar photon-swarms in p* at t*. In their turn, </w:t>
      </w:r>
      <w:r>
        <w:rPr>
          <w:i/>
        </w:rPr>
        <w:t xml:space="preserve">those </w:t>
      </w:r>
      <w:r>
        <w:t xml:space="preserve">photon-swarms—the ones in p* at t*—cause there to be other, similar photon-swarms in some third place (one that is right next to p*) at some third time (one that is right after t*). So even though my pushing the button is remote, in both space and time, from the resulting spot of light on the distant planet, those two events are connected by a </w:t>
      </w:r>
      <w:r>
        <w:rPr>
          <w:i/>
        </w:rPr>
        <w:t xml:space="preserve">continuous </w:t>
      </w:r>
      <w:r>
        <w:t xml:space="preserve">series of events each of whose installments is caused by its predecessor and causes its successor. Any such series is known as a “causal sequence.” Light beams are causal sequences; but so, for the reasons given earlier, is </w:t>
      </w:r>
      <w:r>
        <w:rPr>
          <w:i/>
        </w:rPr>
        <w:t xml:space="preserve">every </w:t>
      </w:r>
      <w:r>
        <w:t>object. X (the cool 11:00</w:t>
      </w:r>
      <w:r>
        <w:rPr>
          <w:spacing w:val="-1"/>
        </w:rPr>
        <w:t xml:space="preserve"> </w:t>
      </w:r>
      <w:r>
        <w:rPr>
          <w:sz w:val="22"/>
        </w:rPr>
        <w:t>A</w:t>
      </w:r>
      <w:r>
        <w:t>.</w:t>
      </w:r>
      <w:r>
        <w:rPr>
          <w:sz w:val="22"/>
        </w:rPr>
        <w:t>M</w:t>
      </w:r>
      <w:r>
        <w:t xml:space="preserve">. sandwich on the counter) is part of the same causal sequence as Y (the warm 1:00 </w:t>
      </w:r>
      <w:r>
        <w:rPr>
          <w:sz w:val="22"/>
        </w:rPr>
        <w:t>P</w:t>
      </w:r>
      <w:r>
        <w:t>.</w:t>
      </w:r>
      <w:r>
        <w:rPr>
          <w:sz w:val="22"/>
        </w:rPr>
        <w:t>M</w:t>
      </w:r>
      <w:r>
        <w:t>. sandwich in Smith’s hands).</w:t>
      </w:r>
    </w:p>
    <w:p w14:paraId="7E001D32" w14:textId="77777777" w:rsidR="009A58DB" w:rsidRDefault="00000000">
      <w:pPr>
        <w:pStyle w:val="BodyText"/>
        <w:spacing w:before="31" w:line="249" w:lineRule="auto"/>
        <w:ind w:right="360" w:firstLine="360"/>
      </w:pPr>
      <w:r>
        <w:t>In</w:t>
      </w:r>
      <w:r>
        <w:rPr>
          <w:spacing w:val="-2"/>
        </w:rPr>
        <w:t xml:space="preserve"> </w:t>
      </w:r>
      <w:r>
        <w:t>light</w:t>
      </w:r>
      <w:r>
        <w:rPr>
          <w:spacing w:val="-3"/>
        </w:rPr>
        <w:t xml:space="preserve"> </w:t>
      </w:r>
      <w:r>
        <w:t>of</w:t>
      </w:r>
      <w:r>
        <w:rPr>
          <w:spacing w:val="-3"/>
        </w:rPr>
        <w:t xml:space="preserve"> </w:t>
      </w:r>
      <w:r>
        <w:t>these</w:t>
      </w:r>
      <w:r>
        <w:rPr>
          <w:spacing w:val="-3"/>
        </w:rPr>
        <w:t xml:space="preserve"> </w:t>
      </w:r>
      <w:r>
        <w:t>points,</w:t>
      </w:r>
      <w:r>
        <w:rPr>
          <w:spacing w:val="-2"/>
        </w:rPr>
        <w:t xml:space="preserve"> </w:t>
      </w:r>
      <w:r>
        <w:t>we</w:t>
      </w:r>
      <w:r>
        <w:rPr>
          <w:spacing w:val="-3"/>
        </w:rPr>
        <w:t xml:space="preserve"> </w:t>
      </w:r>
      <w:r>
        <w:t>can</w:t>
      </w:r>
      <w:r>
        <w:rPr>
          <w:spacing w:val="-2"/>
        </w:rPr>
        <w:t xml:space="preserve"> </w:t>
      </w:r>
      <w:r>
        <w:t>say</w:t>
      </w:r>
      <w:r>
        <w:rPr>
          <w:spacing w:val="-2"/>
        </w:rPr>
        <w:t xml:space="preserve"> </w:t>
      </w:r>
      <w:r>
        <w:t>what</w:t>
      </w:r>
      <w:r>
        <w:rPr>
          <w:spacing w:val="-3"/>
        </w:rPr>
        <w:t xml:space="preserve"> </w:t>
      </w:r>
      <w:r>
        <w:t>(*)</w:t>
      </w:r>
      <w:r>
        <w:rPr>
          <w:spacing w:val="-3"/>
        </w:rPr>
        <w:t xml:space="preserve"> </w:t>
      </w:r>
      <w:r>
        <w:t>means.</w:t>
      </w:r>
      <w:r>
        <w:rPr>
          <w:spacing w:val="-2"/>
        </w:rPr>
        <w:t xml:space="preserve"> </w:t>
      </w:r>
      <w:r>
        <w:t>(*)</w:t>
      </w:r>
      <w:r>
        <w:rPr>
          <w:spacing w:val="-3"/>
        </w:rPr>
        <w:t xml:space="preserve"> </w:t>
      </w:r>
      <w:r>
        <w:t>says</w:t>
      </w:r>
      <w:r>
        <w:rPr>
          <w:spacing w:val="-3"/>
        </w:rPr>
        <w:t xml:space="preserve"> </w:t>
      </w:r>
      <w:r>
        <w:t>that</w:t>
      </w:r>
      <w:r>
        <w:rPr>
          <w:spacing w:val="-3"/>
        </w:rPr>
        <w:t xml:space="preserve"> </w:t>
      </w:r>
      <w:r>
        <w:t>the</w:t>
      </w:r>
      <w:r>
        <w:rPr>
          <w:spacing w:val="-3"/>
        </w:rPr>
        <w:t xml:space="preserve"> </w:t>
      </w:r>
      <w:r>
        <w:t xml:space="preserve">events that constitute X and Y are both parts of some one causal sequence. To generalize this point, many statements of the form </w:t>
      </w:r>
      <w:r>
        <w:rPr>
          <w:i/>
        </w:rPr>
        <w:t xml:space="preserve">a is identical with b </w:t>
      </w:r>
      <w:r>
        <w:t xml:space="preserve">say that some object is causally connected in a certain way with some other </w:t>
      </w:r>
      <w:r>
        <w:rPr>
          <w:spacing w:val="-2"/>
        </w:rPr>
        <w:t>object.</w:t>
      </w:r>
    </w:p>
    <w:p w14:paraId="7E001D33" w14:textId="77777777" w:rsidR="009A58DB" w:rsidRDefault="00000000">
      <w:pPr>
        <w:pStyle w:val="BodyText"/>
        <w:spacing w:before="6" w:line="249" w:lineRule="auto"/>
        <w:ind w:right="357" w:firstLine="360"/>
      </w:pPr>
      <w:r>
        <w:t xml:space="preserve">Here’s another example. Let B be the person who is, at this very moment, writing this handout; and let A be the earlier described wild man from many years ago. The statement </w:t>
      </w:r>
      <w:r>
        <w:rPr>
          <w:i/>
        </w:rPr>
        <w:t>A</w:t>
      </w:r>
      <w:r>
        <w:rPr>
          <w:i/>
          <w:spacing w:val="-1"/>
        </w:rPr>
        <w:t xml:space="preserve"> </w:t>
      </w:r>
      <w:r>
        <w:rPr>
          <w:i/>
        </w:rPr>
        <w:t>is identical</w:t>
      </w:r>
      <w:r>
        <w:rPr>
          <w:i/>
          <w:spacing w:val="-1"/>
        </w:rPr>
        <w:t xml:space="preserve"> </w:t>
      </w:r>
      <w:r>
        <w:rPr>
          <w:i/>
        </w:rPr>
        <w:t>with B</w:t>
      </w:r>
      <w:r>
        <w:rPr>
          <w:i/>
          <w:spacing w:val="-1"/>
        </w:rPr>
        <w:t xml:space="preserve"> </w:t>
      </w:r>
      <w:r>
        <w:t>is true because B resulted, by a</w:t>
      </w:r>
    </w:p>
    <w:p w14:paraId="7E001D3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35" w14:textId="77777777" w:rsidR="009A58DB" w:rsidRDefault="00000000">
      <w:pPr>
        <w:pStyle w:val="BodyText"/>
        <w:spacing w:before="65" w:line="249" w:lineRule="auto"/>
        <w:ind w:right="359"/>
      </w:pPr>
      <w:r>
        <w:lastRenderedPageBreak/>
        <w:t>series of continuous, causally connected events that were initiated by events constituting A.</w:t>
      </w:r>
    </w:p>
    <w:p w14:paraId="7E001D36" w14:textId="77777777" w:rsidR="009A58DB" w:rsidRDefault="00000000">
      <w:pPr>
        <w:pStyle w:val="BodyText"/>
        <w:spacing w:before="2" w:line="249" w:lineRule="auto"/>
        <w:ind w:right="364" w:firstLine="360"/>
        <w:jc w:val="left"/>
      </w:pPr>
      <w:r>
        <w:t>To</w:t>
      </w:r>
      <w:r>
        <w:rPr>
          <w:spacing w:val="40"/>
        </w:rPr>
        <w:t xml:space="preserve"> </w:t>
      </w:r>
      <w:r>
        <w:t>sum</w:t>
      </w:r>
      <w:r>
        <w:rPr>
          <w:spacing w:val="40"/>
        </w:rPr>
        <w:t xml:space="preserve"> </w:t>
      </w:r>
      <w:r>
        <w:t>up,</w:t>
      </w:r>
      <w:r>
        <w:rPr>
          <w:spacing w:val="40"/>
        </w:rPr>
        <w:t xml:space="preserve"> </w:t>
      </w:r>
      <w:r>
        <w:t>in</w:t>
      </w:r>
      <w:r>
        <w:rPr>
          <w:spacing w:val="40"/>
        </w:rPr>
        <w:t xml:space="preserve"> </w:t>
      </w:r>
      <w:r>
        <w:t>some</w:t>
      </w:r>
      <w:r>
        <w:rPr>
          <w:spacing w:val="40"/>
        </w:rPr>
        <w:t xml:space="preserve"> </w:t>
      </w:r>
      <w:r>
        <w:t>cases,</w:t>
      </w:r>
      <w:r>
        <w:rPr>
          <w:spacing w:val="40"/>
        </w:rPr>
        <w:t xml:space="preserve"> </w:t>
      </w:r>
      <w:r>
        <w:rPr>
          <w:i/>
        </w:rPr>
        <w:t>x</w:t>
      </w:r>
      <w:r>
        <w:rPr>
          <w:i/>
          <w:spacing w:val="40"/>
        </w:rPr>
        <w:t xml:space="preserve"> </w:t>
      </w:r>
      <w:r>
        <w:rPr>
          <w:i/>
        </w:rPr>
        <w:t>is</w:t>
      </w:r>
      <w:r>
        <w:rPr>
          <w:i/>
          <w:spacing w:val="40"/>
        </w:rPr>
        <w:t xml:space="preserve"> </w:t>
      </w:r>
      <w:r>
        <w:rPr>
          <w:i/>
        </w:rPr>
        <w:t>identical</w:t>
      </w:r>
      <w:r>
        <w:rPr>
          <w:i/>
          <w:spacing w:val="40"/>
        </w:rPr>
        <w:t xml:space="preserve"> </w:t>
      </w:r>
      <w:r>
        <w:rPr>
          <w:i/>
        </w:rPr>
        <w:t>with</w:t>
      </w:r>
      <w:r>
        <w:rPr>
          <w:i/>
          <w:spacing w:val="40"/>
        </w:rPr>
        <w:t xml:space="preserve"> </w:t>
      </w:r>
      <w:r>
        <w:rPr>
          <w:i/>
        </w:rPr>
        <w:t>y</w:t>
      </w:r>
      <w:r>
        <w:rPr>
          <w:i/>
          <w:spacing w:val="40"/>
        </w:rPr>
        <w:t xml:space="preserve"> </w:t>
      </w:r>
      <w:r>
        <w:t>says</w:t>
      </w:r>
      <w:r>
        <w:rPr>
          <w:spacing w:val="40"/>
        </w:rPr>
        <w:t xml:space="preserve"> </w:t>
      </w:r>
      <w:r>
        <w:t>that</w:t>
      </w:r>
      <w:r>
        <w:rPr>
          <w:spacing w:val="40"/>
        </w:rPr>
        <w:t xml:space="preserve"> </w:t>
      </w:r>
      <w:r>
        <w:t>x</w:t>
      </w:r>
      <w:r>
        <w:rPr>
          <w:spacing w:val="40"/>
        </w:rPr>
        <w:t xml:space="preserve"> </w:t>
      </w:r>
      <w:r>
        <w:t>and</w:t>
      </w:r>
      <w:r>
        <w:rPr>
          <w:spacing w:val="40"/>
        </w:rPr>
        <w:t xml:space="preserve"> </w:t>
      </w:r>
      <w:r>
        <w:t>y</w:t>
      </w:r>
      <w:r>
        <w:rPr>
          <w:spacing w:val="40"/>
        </w:rPr>
        <w:t xml:space="preserve"> </w:t>
      </w:r>
      <w:r>
        <w:t>are</w:t>
      </w:r>
      <w:r>
        <w:rPr>
          <w:spacing w:val="40"/>
        </w:rPr>
        <w:t xml:space="preserve"> </w:t>
      </w:r>
      <w:r>
        <w:t>different installments in some one causal sequence.</w:t>
      </w:r>
    </w:p>
    <w:p w14:paraId="7E001D37" w14:textId="77777777" w:rsidR="009A58DB" w:rsidRDefault="00000000">
      <w:pPr>
        <w:pStyle w:val="Heading1"/>
        <w:numPr>
          <w:ilvl w:val="1"/>
          <w:numId w:val="96"/>
        </w:numPr>
        <w:tabs>
          <w:tab w:val="left" w:pos="990"/>
        </w:tabs>
        <w:spacing w:before="191" w:line="244" w:lineRule="auto"/>
        <w:ind w:left="360" w:right="774" w:firstLine="0"/>
      </w:pPr>
      <w:r>
        <w:t>Another</w:t>
      </w:r>
      <w:r>
        <w:rPr>
          <w:spacing w:val="-9"/>
        </w:rPr>
        <w:t xml:space="preserve"> </w:t>
      </w:r>
      <w:r>
        <w:t>kind</w:t>
      </w:r>
      <w:r>
        <w:rPr>
          <w:spacing w:val="-9"/>
        </w:rPr>
        <w:t xml:space="preserve"> </w:t>
      </w:r>
      <w:r>
        <w:t>of</w:t>
      </w:r>
      <w:r>
        <w:rPr>
          <w:spacing w:val="-9"/>
        </w:rPr>
        <w:t xml:space="preserve"> </w:t>
      </w:r>
      <w:r>
        <w:t>objectual</w:t>
      </w:r>
      <w:r>
        <w:rPr>
          <w:spacing w:val="-9"/>
        </w:rPr>
        <w:t xml:space="preserve"> </w:t>
      </w:r>
      <w:r>
        <w:t>identity:</w:t>
      </w:r>
      <w:r>
        <w:rPr>
          <w:spacing w:val="-9"/>
        </w:rPr>
        <w:t xml:space="preserve"> </w:t>
      </w:r>
      <w:r>
        <w:t>synchronic objectual identity</w:t>
      </w:r>
    </w:p>
    <w:p w14:paraId="7E001D38" w14:textId="77777777" w:rsidR="009A58DB" w:rsidRDefault="00000000">
      <w:pPr>
        <w:pStyle w:val="BodyText"/>
        <w:spacing w:before="131" w:line="249" w:lineRule="auto"/>
        <w:ind w:right="368"/>
      </w:pPr>
      <w:r>
        <w:t xml:space="preserve">But sometimes </w:t>
      </w:r>
      <w:r>
        <w:rPr>
          <w:i/>
        </w:rPr>
        <w:t xml:space="preserve">x is identical with y </w:t>
      </w:r>
      <w:r>
        <w:t>has a very different meaning. Suppose that the world’s most valuable diamond is the only diamond in the Hawthorn Museum. In that case, the following identity statement is true:</w:t>
      </w:r>
    </w:p>
    <w:p w14:paraId="7E001D39" w14:textId="77777777" w:rsidR="009A58DB" w:rsidRDefault="00000000">
      <w:pPr>
        <w:pStyle w:val="BodyText"/>
        <w:spacing w:before="244" w:line="249" w:lineRule="auto"/>
        <w:ind w:right="366"/>
      </w:pPr>
      <w:r>
        <w:t>(#) “the world’s most valuable diamond is identical with the only diamond in the Hawthorn Museum.”</w:t>
      </w:r>
    </w:p>
    <w:p w14:paraId="7E001D3A" w14:textId="77777777" w:rsidR="009A58DB" w:rsidRDefault="00000000">
      <w:pPr>
        <w:pStyle w:val="BodyText"/>
        <w:spacing w:before="242" w:line="249" w:lineRule="auto"/>
        <w:ind w:right="363"/>
      </w:pPr>
      <w:r>
        <w:t>But # isn’t saying anything about causal sequences. This becomes clear when we replace # with the (let us suppose) true statement:</w:t>
      </w:r>
    </w:p>
    <w:p w14:paraId="7E001D3B" w14:textId="77777777" w:rsidR="009A58DB" w:rsidRDefault="00000000">
      <w:pPr>
        <w:pStyle w:val="BodyText"/>
        <w:spacing w:before="243" w:line="249" w:lineRule="auto"/>
        <w:ind w:right="359"/>
      </w:pPr>
      <w:r>
        <w:t xml:space="preserve">(#t) “the most valuable diamond in the world </w:t>
      </w:r>
      <w:r>
        <w:rPr>
          <w:i/>
        </w:rPr>
        <w:t xml:space="preserve">at time t </w:t>
      </w:r>
      <w:r>
        <w:t xml:space="preserve">is identical with the only diamond that is in the Hawthorn Museum </w:t>
      </w:r>
      <w:r>
        <w:rPr>
          <w:i/>
        </w:rPr>
        <w:t>at time t.</w:t>
      </w:r>
      <w:r>
        <w:t>”</w:t>
      </w:r>
    </w:p>
    <w:p w14:paraId="7E001D3C" w14:textId="77777777" w:rsidR="009A58DB" w:rsidRDefault="00000000">
      <w:pPr>
        <w:pStyle w:val="BodyText"/>
        <w:spacing w:before="242" w:line="249" w:lineRule="auto"/>
        <w:ind w:right="358"/>
      </w:pPr>
      <w:r>
        <w:t>#t concerns a single instant. It doesn’t concern a stretch of time; and it therefore doesn’t concern causal sequences, since those, by definition, take</w:t>
      </w:r>
      <w:r>
        <w:rPr>
          <w:spacing w:val="40"/>
        </w:rPr>
        <w:t xml:space="preserve"> </w:t>
      </w:r>
      <w:r>
        <w:t>up</w:t>
      </w:r>
      <w:r>
        <w:rPr>
          <w:spacing w:val="-2"/>
        </w:rPr>
        <w:t xml:space="preserve"> </w:t>
      </w:r>
      <w:r>
        <w:t>more</w:t>
      </w:r>
      <w:r>
        <w:rPr>
          <w:spacing w:val="-2"/>
        </w:rPr>
        <w:t xml:space="preserve"> </w:t>
      </w:r>
      <w:r>
        <w:t>than</w:t>
      </w:r>
      <w:r>
        <w:rPr>
          <w:spacing w:val="-2"/>
        </w:rPr>
        <w:t xml:space="preserve"> </w:t>
      </w:r>
      <w:r>
        <w:t>an</w:t>
      </w:r>
      <w:r>
        <w:rPr>
          <w:spacing w:val="-2"/>
        </w:rPr>
        <w:t xml:space="preserve"> </w:t>
      </w:r>
      <w:r>
        <w:t>instant</w:t>
      </w:r>
      <w:r>
        <w:rPr>
          <w:spacing w:val="-2"/>
        </w:rPr>
        <w:t xml:space="preserve"> </w:t>
      </w:r>
      <w:r>
        <w:t>of</w:t>
      </w:r>
      <w:r>
        <w:rPr>
          <w:spacing w:val="-2"/>
        </w:rPr>
        <w:t xml:space="preserve"> </w:t>
      </w:r>
      <w:r>
        <w:t>time.</w:t>
      </w:r>
      <w:r>
        <w:rPr>
          <w:spacing w:val="-2"/>
        </w:rPr>
        <w:t xml:space="preserve"> </w:t>
      </w:r>
      <w:r>
        <w:t>What</w:t>
      </w:r>
      <w:r>
        <w:rPr>
          <w:spacing w:val="-2"/>
        </w:rPr>
        <w:t xml:space="preserve"> </w:t>
      </w:r>
      <w:r>
        <w:t>#</w:t>
      </w:r>
      <w:r>
        <w:rPr>
          <w:spacing w:val="-2"/>
        </w:rPr>
        <w:t xml:space="preserve"> </w:t>
      </w:r>
      <w:r>
        <w:t>and</w:t>
      </w:r>
      <w:r>
        <w:rPr>
          <w:spacing w:val="-2"/>
        </w:rPr>
        <w:t xml:space="preserve"> </w:t>
      </w:r>
      <w:r>
        <w:t>#t</w:t>
      </w:r>
      <w:r>
        <w:rPr>
          <w:spacing w:val="-2"/>
        </w:rPr>
        <w:t xml:space="preserve"> </w:t>
      </w:r>
      <w:r>
        <w:t>are</w:t>
      </w:r>
      <w:r>
        <w:rPr>
          <w:spacing w:val="-2"/>
        </w:rPr>
        <w:t xml:space="preserve"> </w:t>
      </w:r>
      <w:r>
        <w:t>saying</w:t>
      </w:r>
      <w:r>
        <w:rPr>
          <w:spacing w:val="-2"/>
        </w:rPr>
        <w:t xml:space="preserve"> </w:t>
      </w:r>
      <w:r>
        <w:t>is</w:t>
      </w:r>
      <w:r>
        <w:rPr>
          <w:spacing w:val="-2"/>
        </w:rPr>
        <w:t xml:space="preserve"> </w:t>
      </w:r>
      <w:r>
        <w:t>that</w:t>
      </w:r>
      <w:r>
        <w:rPr>
          <w:spacing w:val="-2"/>
        </w:rPr>
        <w:t xml:space="preserve"> </w:t>
      </w:r>
      <w:r>
        <w:t>there</w:t>
      </w:r>
      <w:r>
        <w:rPr>
          <w:spacing w:val="-2"/>
        </w:rPr>
        <w:t xml:space="preserve"> </w:t>
      </w:r>
      <w:r>
        <w:t>is</w:t>
      </w:r>
      <w:r>
        <w:rPr>
          <w:spacing w:val="-2"/>
        </w:rPr>
        <w:t xml:space="preserve"> </w:t>
      </w:r>
      <w:r>
        <w:t>some one object that has two different properties. So # is saying that:</w:t>
      </w:r>
    </w:p>
    <w:p w14:paraId="7E001D3D" w14:textId="77777777" w:rsidR="009A58DB" w:rsidRDefault="00000000">
      <w:pPr>
        <w:pStyle w:val="BodyText"/>
        <w:spacing w:before="245" w:line="249" w:lineRule="auto"/>
        <w:ind w:right="364"/>
      </w:pPr>
      <w:r>
        <w:t>(##) there exists a certain object that is a diamond that is more valuable than any other diamond in the world and that, at this time, is in a certain museum (the Hawthorn museum) that contains no other diamonds.</w:t>
      </w:r>
    </w:p>
    <w:p w14:paraId="7E001D3E" w14:textId="77777777" w:rsidR="009A58DB" w:rsidRDefault="00000000">
      <w:pPr>
        <w:pStyle w:val="BodyText"/>
        <w:spacing w:before="244" w:line="249" w:lineRule="auto"/>
        <w:ind w:right="358"/>
      </w:pPr>
      <w:r>
        <w:t>Thus, #t is saying that there is some property P and some property P* such that some one thing uniquely has P and also uniquely has P*. Many identity statements are of this kind. Consider:</w:t>
      </w:r>
    </w:p>
    <w:p w14:paraId="7E001D3F" w14:textId="77777777" w:rsidR="009A58DB" w:rsidRDefault="00000000">
      <w:pPr>
        <w:pStyle w:val="BodyText"/>
        <w:spacing w:before="244"/>
      </w:pPr>
      <w:r>
        <w:t>(SC)</w:t>
      </w:r>
      <w:r>
        <w:rPr>
          <w:spacing w:val="-5"/>
        </w:rPr>
        <w:t xml:space="preserve"> </w:t>
      </w:r>
      <w:r>
        <w:t>“Superman</w:t>
      </w:r>
      <w:r>
        <w:rPr>
          <w:spacing w:val="-3"/>
        </w:rPr>
        <w:t xml:space="preserve"> </w:t>
      </w:r>
      <w:r>
        <w:t>is</w:t>
      </w:r>
      <w:r>
        <w:rPr>
          <w:spacing w:val="-5"/>
        </w:rPr>
        <w:t xml:space="preserve"> </w:t>
      </w:r>
      <w:r>
        <w:t>Clark</w:t>
      </w:r>
      <w:r>
        <w:rPr>
          <w:spacing w:val="-3"/>
        </w:rPr>
        <w:t xml:space="preserve"> </w:t>
      </w:r>
      <w:r>
        <w:rPr>
          <w:spacing w:val="-2"/>
        </w:rPr>
        <w:t>Kent.”</w:t>
      </w:r>
    </w:p>
    <w:p w14:paraId="7E001D40" w14:textId="77777777" w:rsidR="009A58DB" w:rsidRDefault="00000000">
      <w:pPr>
        <w:pStyle w:val="BodyText"/>
        <w:spacing w:before="255" w:line="249" w:lineRule="auto"/>
        <w:ind w:right="364"/>
      </w:pPr>
      <w:r>
        <w:t>This doesn’t tell you that two different things are one. Two things can’t be one. If SC said otherwise, it would not only be false but absurd. SC makes a non-absurd</w:t>
      </w:r>
      <w:r>
        <w:rPr>
          <w:spacing w:val="58"/>
        </w:rPr>
        <w:t xml:space="preserve"> </w:t>
      </w:r>
      <w:r>
        <w:t>statement</w:t>
      </w:r>
      <w:r>
        <w:rPr>
          <w:spacing w:val="60"/>
        </w:rPr>
        <w:t xml:space="preserve"> </w:t>
      </w:r>
      <w:r>
        <w:t>about</w:t>
      </w:r>
      <w:r>
        <w:rPr>
          <w:spacing w:val="62"/>
        </w:rPr>
        <w:t xml:space="preserve"> </w:t>
      </w:r>
      <w:r>
        <w:t>properties.</w:t>
      </w:r>
      <w:r>
        <w:rPr>
          <w:spacing w:val="60"/>
        </w:rPr>
        <w:t xml:space="preserve"> </w:t>
      </w:r>
      <w:r>
        <w:t>It</w:t>
      </w:r>
      <w:r>
        <w:rPr>
          <w:spacing w:val="61"/>
        </w:rPr>
        <w:t xml:space="preserve"> </w:t>
      </w:r>
      <w:r>
        <w:t>says</w:t>
      </w:r>
      <w:r>
        <w:rPr>
          <w:spacing w:val="61"/>
        </w:rPr>
        <w:t xml:space="preserve"> </w:t>
      </w:r>
      <w:r>
        <w:t>of</w:t>
      </w:r>
      <w:r>
        <w:rPr>
          <w:spacing w:val="61"/>
        </w:rPr>
        <w:t xml:space="preserve"> </w:t>
      </w:r>
      <w:r>
        <w:t>the</w:t>
      </w:r>
      <w:r>
        <w:rPr>
          <w:spacing w:val="60"/>
        </w:rPr>
        <w:t xml:space="preserve"> </w:t>
      </w:r>
      <w:r>
        <w:t>property</w:t>
      </w:r>
      <w:r>
        <w:rPr>
          <w:spacing w:val="62"/>
        </w:rPr>
        <w:t xml:space="preserve"> </w:t>
      </w:r>
      <w:r>
        <w:t>of</w:t>
      </w:r>
      <w:r>
        <w:rPr>
          <w:spacing w:val="60"/>
        </w:rPr>
        <w:t xml:space="preserve"> </w:t>
      </w:r>
      <w:r>
        <w:t>being</w:t>
      </w:r>
      <w:r>
        <w:rPr>
          <w:spacing w:val="62"/>
        </w:rPr>
        <w:t xml:space="preserve"> </w:t>
      </w:r>
      <w:r>
        <w:rPr>
          <w:spacing w:val="-10"/>
        </w:rPr>
        <w:t>a</w:t>
      </w:r>
    </w:p>
    <w:p w14:paraId="7E001D4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42" w14:textId="77777777" w:rsidR="009A58DB" w:rsidRDefault="00000000">
      <w:pPr>
        <w:pStyle w:val="BodyText"/>
        <w:spacing w:before="69" w:line="249" w:lineRule="auto"/>
        <w:ind w:right="361"/>
      </w:pPr>
      <w:r>
        <w:lastRenderedPageBreak/>
        <w:t>super-hero who lives in Metropolis and has a domicile on the North pole (etc.) that exactly one thing has that property; and it says that anything that has that property also uniquely has the property of being a wimpy reporter at the Daily Bugle who is the butt of Lois Lane’s derision (etc.).</w:t>
      </w:r>
    </w:p>
    <w:p w14:paraId="7E001D43" w14:textId="77777777" w:rsidR="009A58DB" w:rsidRDefault="00000000">
      <w:pPr>
        <w:pStyle w:val="BodyText"/>
        <w:spacing w:before="241"/>
        <w:ind w:left="720"/>
      </w:pPr>
      <w:r>
        <w:t>Similar</w:t>
      </w:r>
      <w:r>
        <w:rPr>
          <w:spacing w:val="-5"/>
        </w:rPr>
        <w:t xml:space="preserve"> </w:t>
      </w:r>
      <w:r>
        <w:t>remarks</w:t>
      </w:r>
      <w:r>
        <w:rPr>
          <w:spacing w:val="-5"/>
        </w:rPr>
        <w:t xml:space="preserve"> </w:t>
      </w:r>
      <w:r>
        <w:t>hold</w:t>
      </w:r>
      <w:r>
        <w:rPr>
          <w:spacing w:val="-4"/>
        </w:rPr>
        <w:t xml:space="preserve"> </w:t>
      </w:r>
      <w:r>
        <w:rPr>
          <w:spacing w:val="-5"/>
        </w:rPr>
        <w:t>of:</w:t>
      </w:r>
    </w:p>
    <w:p w14:paraId="7E001D44" w14:textId="77777777" w:rsidR="009A58DB" w:rsidRDefault="00000000">
      <w:pPr>
        <w:pStyle w:val="BodyText"/>
        <w:spacing w:before="255" w:line="292" w:lineRule="auto"/>
        <w:ind w:right="368"/>
      </w:pPr>
      <w:r>
        <w:t>(WH) “water is H</w:t>
      </w:r>
      <w:r>
        <w:rPr>
          <w:vertAlign w:val="subscript"/>
        </w:rPr>
        <w:t>2</w:t>
      </w:r>
      <w:r>
        <w:t>O (or, rather, any body of water is identical with some collection of H</w:t>
      </w:r>
      <w:r>
        <w:rPr>
          <w:vertAlign w:val="subscript"/>
        </w:rPr>
        <w:t>2</w:t>
      </w:r>
      <w:r>
        <w:t>O molecules).”</w:t>
      </w:r>
    </w:p>
    <w:p w14:paraId="7E001D45" w14:textId="77777777" w:rsidR="009A58DB" w:rsidRDefault="00000000">
      <w:pPr>
        <w:pStyle w:val="BodyText"/>
        <w:spacing w:before="238" w:line="271" w:lineRule="auto"/>
        <w:ind w:right="360"/>
      </w:pPr>
      <w:r>
        <w:t>WH doesn’t make the absurd statement that two different things—water, on the one hand, and H</w:t>
      </w:r>
      <w:r>
        <w:rPr>
          <w:vertAlign w:val="subscript"/>
        </w:rPr>
        <w:t>2</w:t>
      </w:r>
      <w:r>
        <w:t>O, on the other—are the same thing. WH makes a statement</w:t>
      </w:r>
      <w:r>
        <w:rPr>
          <w:spacing w:val="9"/>
        </w:rPr>
        <w:t xml:space="preserve"> </w:t>
      </w:r>
      <w:r>
        <w:t>about</w:t>
      </w:r>
      <w:r>
        <w:rPr>
          <w:spacing w:val="10"/>
        </w:rPr>
        <w:t xml:space="preserve"> </w:t>
      </w:r>
      <w:r>
        <w:t>properties.</w:t>
      </w:r>
      <w:r>
        <w:rPr>
          <w:spacing w:val="9"/>
        </w:rPr>
        <w:t xml:space="preserve"> </w:t>
      </w:r>
      <w:r>
        <w:t>One</w:t>
      </w:r>
      <w:r>
        <w:rPr>
          <w:spacing w:val="10"/>
        </w:rPr>
        <w:t xml:space="preserve"> </w:t>
      </w:r>
      <w:r>
        <w:t>of</w:t>
      </w:r>
      <w:r>
        <w:rPr>
          <w:spacing w:val="9"/>
        </w:rPr>
        <w:t xml:space="preserve"> </w:t>
      </w:r>
      <w:r>
        <w:t>those</w:t>
      </w:r>
      <w:r>
        <w:rPr>
          <w:spacing w:val="10"/>
        </w:rPr>
        <w:t xml:space="preserve"> </w:t>
      </w:r>
      <w:r>
        <w:t>properties</w:t>
      </w:r>
      <w:r>
        <w:rPr>
          <w:spacing w:val="9"/>
        </w:rPr>
        <w:t xml:space="preserve"> </w:t>
      </w:r>
      <w:r>
        <w:t>is</w:t>
      </w:r>
      <w:r>
        <w:rPr>
          <w:spacing w:val="10"/>
        </w:rPr>
        <w:t xml:space="preserve"> </w:t>
      </w:r>
      <w:r>
        <w:t>that</w:t>
      </w:r>
      <w:r>
        <w:rPr>
          <w:spacing w:val="9"/>
        </w:rPr>
        <w:t xml:space="preserve"> </w:t>
      </w:r>
      <w:r>
        <w:t>of</w:t>
      </w:r>
      <w:r>
        <w:rPr>
          <w:spacing w:val="10"/>
        </w:rPr>
        <w:t xml:space="preserve"> </w:t>
      </w:r>
      <w:r>
        <w:t>being</w:t>
      </w:r>
      <w:r>
        <w:rPr>
          <w:spacing w:val="9"/>
        </w:rPr>
        <w:t xml:space="preserve"> </w:t>
      </w:r>
      <w:r>
        <w:t>the</w:t>
      </w:r>
      <w:r>
        <w:rPr>
          <w:spacing w:val="10"/>
        </w:rPr>
        <w:t xml:space="preserve"> </w:t>
      </w:r>
      <w:r>
        <w:rPr>
          <w:spacing w:val="-2"/>
        </w:rPr>
        <w:t>liquid</w:t>
      </w:r>
    </w:p>
    <w:p w14:paraId="7E001D46" w14:textId="77777777" w:rsidR="009A58DB" w:rsidRDefault="00000000">
      <w:pPr>
        <w:pStyle w:val="BodyText"/>
        <w:spacing w:line="316" w:lineRule="exact"/>
      </w:pPr>
      <w:r>
        <w:t>that</w:t>
      </w:r>
      <w:r>
        <w:rPr>
          <w:spacing w:val="48"/>
        </w:rPr>
        <w:t xml:space="preserve"> </w:t>
      </w:r>
      <w:r>
        <w:t>we</w:t>
      </w:r>
      <w:r>
        <w:rPr>
          <w:spacing w:val="50"/>
        </w:rPr>
        <w:t xml:space="preserve"> </w:t>
      </w:r>
      <w:r>
        <w:t>drink,</w:t>
      </w:r>
      <w:r>
        <w:rPr>
          <w:spacing w:val="51"/>
        </w:rPr>
        <w:t xml:space="preserve"> </w:t>
      </w:r>
      <w:r>
        <w:t>bathe</w:t>
      </w:r>
      <w:r>
        <w:rPr>
          <w:spacing w:val="50"/>
        </w:rPr>
        <w:t xml:space="preserve"> </w:t>
      </w:r>
      <w:r>
        <w:t>in,</w:t>
      </w:r>
      <w:r>
        <w:rPr>
          <w:spacing w:val="51"/>
        </w:rPr>
        <w:t xml:space="preserve"> </w:t>
      </w:r>
      <w:r>
        <w:t>etc.</w:t>
      </w:r>
      <w:r>
        <w:rPr>
          <w:spacing w:val="50"/>
        </w:rPr>
        <w:t xml:space="preserve"> </w:t>
      </w:r>
      <w:r>
        <w:t>The</w:t>
      </w:r>
      <w:r>
        <w:rPr>
          <w:spacing w:val="51"/>
        </w:rPr>
        <w:t xml:space="preserve"> </w:t>
      </w:r>
      <w:r>
        <w:t>other</w:t>
      </w:r>
      <w:r>
        <w:rPr>
          <w:spacing w:val="50"/>
        </w:rPr>
        <w:t xml:space="preserve"> </w:t>
      </w:r>
      <w:r>
        <w:t>is</w:t>
      </w:r>
      <w:r>
        <w:rPr>
          <w:spacing w:val="50"/>
        </w:rPr>
        <w:t xml:space="preserve"> </w:t>
      </w:r>
      <w:r>
        <w:t>the</w:t>
      </w:r>
      <w:r>
        <w:rPr>
          <w:spacing w:val="51"/>
        </w:rPr>
        <w:t xml:space="preserve"> </w:t>
      </w:r>
      <w:r>
        <w:t>property</w:t>
      </w:r>
      <w:r>
        <w:rPr>
          <w:spacing w:val="50"/>
        </w:rPr>
        <w:t xml:space="preserve"> </w:t>
      </w:r>
      <w:r>
        <w:t>of</w:t>
      </w:r>
      <w:r>
        <w:rPr>
          <w:spacing w:val="51"/>
        </w:rPr>
        <w:t xml:space="preserve"> </w:t>
      </w:r>
      <w:r>
        <w:t>having</w:t>
      </w:r>
      <w:r>
        <w:rPr>
          <w:spacing w:val="50"/>
        </w:rPr>
        <w:t xml:space="preserve"> </w:t>
      </w:r>
      <w:r>
        <w:t>a</w:t>
      </w:r>
      <w:r>
        <w:rPr>
          <w:spacing w:val="51"/>
        </w:rPr>
        <w:t xml:space="preserve"> </w:t>
      </w:r>
      <w:r>
        <w:rPr>
          <w:spacing w:val="-2"/>
        </w:rPr>
        <w:t>certain</w:t>
      </w:r>
    </w:p>
    <w:p w14:paraId="7E001D47" w14:textId="77777777" w:rsidR="009A58DB" w:rsidRDefault="00000000">
      <w:pPr>
        <w:pStyle w:val="BodyText"/>
        <w:spacing w:before="15" w:line="249" w:lineRule="auto"/>
        <w:ind w:right="364"/>
      </w:pPr>
      <w:r>
        <w:t>chemical</w:t>
      </w:r>
      <w:r>
        <w:rPr>
          <w:spacing w:val="-5"/>
        </w:rPr>
        <w:t xml:space="preserve"> </w:t>
      </w:r>
      <w:r>
        <w:t>composition.</w:t>
      </w:r>
      <w:r>
        <w:rPr>
          <w:spacing w:val="-4"/>
        </w:rPr>
        <w:t xml:space="preserve"> </w:t>
      </w:r>
      <w:r>
        <w:t>WH</w:t>
      </w:r>
      <w:r>
        <w:rPr>
          <w:spacing w:val="-5"/>
        </w:rPr>
        <w:t xml:space="preserve"> </w:t>
      </w:r>
      <w:r>
        <w:t>says</w:t>
      </w:r>
      <w:r>
        <w:rPr>
          <w:spacing w:val="-5"/>
        </w:rPr>
        <w:t xml:space="preserve"> </w:t>
      </w:r>
      <w:r>
        <w:t>that</w:t>
      </w:r>
      <w:r>
        <w:rPr>
          <w:spacing w:val="-5"/>
        </w:rPr>
        <w:t xml:space="preserve"> </w:t>
      </w:r>
      <w:r>
        <w:t>the</w:t>
      </w:r>
      <w:r>
        <w:rPr>
          <w:spacing w:val="-5"/>
        </w:rPr>
        <w:t xml:space="preserve"> </w:t>
      </w:r>
      <w:r>
        <w:t>first</w:t>
      </w:r>
      <w:r>
        <w:rPr>
          <w:spacing w:val="-5"/>
        </w:rPr>
        <w:t xml:space="preserve"> </w:t>
      </w:r>
      <w:r>
        <w:t>property</w:t>
      </w:r>
      <w:r>
        <w:rPr>
          <w:spacing w:val="-4"/>
        </w:rPr>
        <w:t xml:space="preserve"> </w:t>
      </w:r>
      <w:r>
        <w:t>is</w:t>
      </w:r>
      <w:r>
        <w:rPr>
          <w:spacing w:val="-5"/>
        </w:rPr>
        <w:t xml:space="preserve"> </w:t>
      </w:r>
      <w:r>
        <w:t>uniquely</w:t>
      </w:r>
      <w:r>
        <w:rPr>
          <w:spacing w:val="-4"/>
        </w:rPr>
        <w:t xml:space="preserve"> </w:t>
      </w:r>
      <w:r>
        <w:t>instantiated and, in addition, that anything instantiating that property also uniquely instantiates the second.</w:t>
      </w:r>
    </w:p>
    <w:p w14:paraId="7E001D48" w14:textId="77777777" w:rsidR="009A58DB" w:rsidRDefault="00000000">
      <w:pPr>
        <w:pStyle w:val="BodyText"/>
        <w:spacing w:before="4" w:line="249" w:lineRule="auto"/>
        <w:ind w:right="364" w:firstLine="360"/>
      </w:pPr>
      <w:r>
        <w:t>To</w:t>
      </w:r>
      <w:r>
        <w:rPr>
          <w:spacing w:val="-2"/>
        </w:rPr>
        <w:t xml:space="preserve"> </w:t>
      </w:r>
      <w:r>
        <w:t>sum</w:t>
      </w:r>
      <w:r>
        <w:rPr>
          <w:spacing w:val="-3"/>
        </w:rPr>
        <w:t xml:space="preserve"> </w:t>
      </w:r>
      <w:r>
        <w:t>up:</w:t>
      </w:r>
      <w:r>
        <w:rPr>
          <w:spacing w:val="-3"/>
        </w:rPr>
        <w:t xml:space="preserve"> </w:t>
      </w:r>
      <w:r>
        <w:rPr>
          <w:i/>
        </w:rPr>
        <w:t>a</w:t>
      </w:r>
      <w:r>
        <w:rPr>
          <w:i/>
          <w:spacing w:val="-2"/>
        </w:rPr>
        <w:t xml:space="preserve"> </w:t>
      </w:r>
      <w:r>
        <w:rPr>
          <w:i/>
        </w:rPr>
        <w:t>=</w:t>
      </w:r>
      <w:r>
        <w:rPr>
          <w:i/>
          <w:spacing w:val="-3"/>
        </w:rPr>
        <w:t xml:space="preserve"> </w:t>
      </w:r>
      <w:r>
        <w:rPr>
          <w:i/>
        </w:rPr>
        <w:t>b</w:t>
      </w:r>
      <w:r>
        <w:rPr>
          <w:i/>
          <w:spacing w:val="-2"/>
        </w:rPr>
        <w:t xml:space="preserve"> </w:t>
      </w:r>
      <w:r>
        <w:t>says one of two things: (i) there is some causal sequence of which a and b are different installments or (ii) there is some one thing that has a number of different properties.</w:t>
      </w:r>
    </w:p>
    <w:p w14:paraId="7E001D49" w14:textId="77777777" w:rsidR="009A58DB" w:rsidRDefault="00000000">
      <w:pPr>
        <w:pStyle w:val="Heading1"/>
        <w:numPr>
          <w:ilvl w:val="1"/>
          <w:numId w:val="95"/>
        </w:numPr>
        <w:tabs>
          <w:tab w:val="left" w:pos="990"/>
        </w:tabs>
        <w:spacing w:before="191"/>
      </w:pPr>
      <w:r>
        <w:t>Personal</w:t>
      </w:r>
      <w:r>
        <w:rPr>
          <w:spacing w:val="-6"/>
        </w:rPr>
        <w:t xml:space="preserve"> </w:t>
      </w:r>
      <w:r>
        <w:rPr>
          <w:spacing w:val="-2"/>
        </w:rPr>
        <w:t>identity</w:t>
      </w:r>
    </w:p>
    <w:p w14:paraId="7E001D4A" w14:textId="77777777" w:rsidR="009A58DB" w:rsidRDefault="00000000">
      <w:pPr>
        <w:pStyle w:val="BodyText"/>
        <w:spacing w:before="139" w:line="249" w:lineRule="auto"/>
        <w:ind w:right="357"/>
      </w:pPr>
      <w:r>
        <w:t>Suppose that each of “a” and “b” is an expression referring to a person. In</w:t>
      </w:r>
      <w:r>
        <w:rPr>
          <w:spacing w:val="40"/>
        </w:rPr>
        <w:t xml:space="preserve"> </w:t>
      </w:r>
      <w:r>
        <w:t xml:space="preserve">that case, of course, “a = b” is an identity statement—but it is one that concerns </w:t>
      </w:r>
      <w:r>
        <w:rPr>
          <w:i/>
        </w:rPr>
        <w:t xml:space="preserve">personal </w:t>
      </w:r>
      <w:r>
        <w:t>identity, and not merely objectual identity. Nonetheless, the principles in terms of which objectual identity is to be understood are pretty much the same as those in terms of which objectual identity is to be understood. For even when it is a statement about personal identity, “a = b” says either (i) there is some causal sequence of which a and b are different installments or (ii) that there are properties P and P* such that each is uniquely instantiated and such that nothing instantiating the one doesn’t instantiate the other.</w:t>
      </w:r>
    </w:p>
    <w:p w14:paraId="7E001D4B" w14:textId="77777777" w:rsidR="009A58DB" w:rsidRDefault="00000000">
      <w:pPr>
        <w:pStyle w:val="BodyText"/>
        <w:spacing w:before="13"/>
        <w:ind w:left="720"/>
      </w:pPr>
      <w:r>
        <w:t>Consider</w:t>
      </w:r>
      <w:r>
        <w:rPr>
          <w:spacing w:val="-4"/>
        </w:rPr>
        <w:t xml:space="preserve"> </w:t>
      </w:r>
      <w:r>
        <w:t>the</w:t>
      </w:r>
      <w:r>
        <w:rPr>
          <w:spacing w:val="-3"/>
        </w:rPr>
        <w:t xml:space="preserve"> </w:t>
      </w:r>
      <w:r>
        <w:rPr>
          <w:spacing w:val="-2"/>
        </w:rPr>
        <w:t>statement:</w:t>
      </w:r>
    </w:p>
    <w:p w14:paraId="7E001D4C" w14:textId="77777777" w:rsidR="009A58DB" w:rsidRDefault="00000000">
      <w:pPr>
        <w:pStyle w:val="BodyText"/>
        <w:spacing w:before="255"/>
      </w:pPr>
      <w:r>
        <w:t>(IB)</w:t>
      </w:r>
      <w:r>
        <w:rPr>
          <w:spacing w:val="-7"/>
        </w:rPr>
        <w:t xml:space="preserve"> </w:t>
      </w:r>
      <w:r>
        <w:t>“the</w:t>
      </w:r>
      <w:r>
        <w:rPr>
          <w:spacing w:val="-4"/>
        </w:rPr>
        <w:t xml:space="preserve"> </w:t>
      </w:r>
      <w:r>
        <w:t>inventor</w:t>
      </w:r>
      <w:r>
        <w:rPr>
          <w:spacing w:val="-4"/>
        </w:rPr>
        <w:t xml:space="preserve"> </w:t>
      </w:r>
      <w:r>
        <w:t>of</w:t>
      </w:r>
      <w:r>
        <w:rPr>
          <w:spacing w:val="-4"/>
        </w:rPr>
        <w:t xml:space="preserve"> </w:t>
      </w:r>
      <w:r>
        <w:t>bifocals</w:t>
      </w:r>
      <w:r>
        <w:rPr>
          <w:spacing w:val="-4"/>
        </w:rPr>
        <w:t xml:space="preserve"> </w:t>
      </w:r>
      <w:r>
        <w:t>is</w:t>
      </w:r>
      <w:r>
        <w:rPr>
          <w:spacing w:val="-5"/>
        </w:rPr>
        <w:t xml:space="preserve"> </w:t>
      </w:r>
      <w:r>
        <w:t>identical</w:t>
      </w:r>
      <w:r>
        <w:rPr>
          <w:spacing w:val="-4"/>
        </w:rPr>
        <w:t xml:space="preserve"> </w:t>
      </w:r>
      <w:r>
        <w:t>with</w:t>
      </w:r>
      <w:r>
        <w:rPr>
          <w:spacing w:val="-3"/>
        </w:rPr>
        <w:t xml:space="preserve"> </w:t>
      </w:r>
      <w:r>
        <w:t>the</w:t>
      </w:r>
      <w:r>
        <w:rPr>
          <w:spacing w:val="-4"/>
        </w:rPr>
        <w:t xml:space="preserve"> </w:t>
      </w:r>
      <w:r>
        <w:t>first</w:t>
      </w:r>
      <w:r>
        <w:rPr>
          <w:spacing w:val="-4"/>
        </w:rPr>
        <w:t xml:space="preserve"> </w:t>
      </w:r>
      <w:r>
        <w:t>postmaster</w:t>
      </w:r>
      <w:r>
        <w:rPr>
          <w:spacing w:val="-4"/>
        </w:rPr>
        <w:t xml:space="preserve"> </w:t>
      </w:r>
      <w:r>
        <w:rPr>
          <w:spacing w:val="-2"/>
        </w:rPr>
        <w:t>general.”</w:t>
      </w:r>
    </w:p>
    <w:p w14:paraId="7E001D4D" w14:textId="77777777" w:rsidR="009A58DB" w:rsidRDefault="009A58DB">
      <w:pPr>
        <w:pStyle w:val="BodyText"/>
        <w:sectPr w:rsidR="009A58DB">
          <w:pgSz w:w="12240" w:h="15840"/>
          <w:pgMar w:top="1380" w:right="1080" w:bottom="280" w:left="1080" w:header="720" w:footer="720" w:gutter="0"/>
          <w:cols w:space="720"/>
        </w:sectPr>
      </w:pPr>
    </w:p>
    <w:p w14:paraId="7E001D4E" w14:textId="77777777" w:rsidR="009A58DB" w:rsidRDefault="00000000">
      <w:pPr>
        <w:pStyle w:val="BodyText"/>
        <w:spacing w:before="65" w:line="249" w:lineRule="auto"/>
        <w:ind w:right="362"/>
      </w:pPr>
      <w:r>
        <w:lastRenderedPageBreak/>
        <w:t xml:space="preserve">IB says that there is some </w:t>
      </w:r>
      <w:r>
        <w:rPr>
          <w:i/>
        </w:rPr>
        <w:t>one</w:t>
      </w:r>
      <w:r>
        <w:rPr>
          <w:i/>
          <w:spacing w:val="-4"/>
        </w:rPr>
        <w:t xml:space="preserve"> </w:t>
      </w:r>
      <w:r>
        <w:t xml:space="preserve">person (Benjamin Franklin, as it happens) who both invented bifocals </w:t>
      </w:r>
      <w:r>
        <w:rPr>
          <w:i/>
        </w:rPr>
        <w:t xml:space="preserve">and </w:t>
      </w:r>
      <w:r>
        <w:t>who was also a postmaster general before anyone else was. (To avoid philosophically empty complications, we’ll assume that BF is still with us.) So IB says that somebody has a number of different properties. So, in this respect, IB is SC, #t, and WH.</w:t>
      </w:r>
    </w:p>
    <w:p w14:paraId="7E001D4F" w14:textId="77777777" w:rsidR="009A58DB" w:rsidRDefault="00000000">
      <w:pPr>
        <w:pStyle w:val="BodyText"/>
        <w:spacing w:before="246"/>
        <w:ind w:left="720"/>
        <w:jc w:val="left"/>
      </w:pPr>
      <w:r>
        <w:t>Now</w:t>
      </w:r>
      <w:r>
        <w:rPr>
          <w:spacing w:val="-3"/>
        </w:rPr>
        <w:t xml:space="preserve"> </w:t>
      </w:r>
      <w:r>
        <w:t>consider</w:t>
      </w:r>
      <w:r>
        <w:rPr>
          <w:spacing w:val="-3"/>
        </w:rPr>
        <w:t xml:space="preserve"> </w:t>
      </w:r>
      <w:r>
        <w:t>the</w:t>
      </w:r>
      <w:r>
        <w:rPr>
          <w:spacing w:val="-3"/>
        </w:rPr>
        <w:t xml:space="preserve"> </w:t>
      </w:r>
      <w:r>
        <w:rPr>
          <w:spacing w:val="-2"/>
        </w:rPr>
        <w:t>statement:</w:t>
      </w:r>
    </w:p>
    <w:p w14:paraId="7E001D50" w14:textId="77777777" w:rsidR="009A58DB" w:rsidRDefault="00000000">
      <w:pPr>
        <w:pStyle w:val="BodyText"/>
        <w:spacing w:before="255" w:line="249" w:lineRule="auto"/>
        <w:ind w:right="366"/>
      </w:pPr>
      <w:r>
        <w:t>(OF)</w:t>
      </w:r>
      <w:r>
        <w:rPr>
          <w:spacing w:val="-3"/>
        </w:rPr>
        <w:t xml:space="preserve"> </w:t>
      </w:r>
      <w:r>
        <w:t>“the</w:t>
      </w:r>
      <w:r>
        <w:rPr>
          <w:spacing w:val="-2"/>
        </w:rPr>
        <w:t xml:space="preserve"> </w:t>
      </w:r>
      <w:r>
        <w:t>old</w:t>
      </w:r>
      <w:r>
        <w:rPr>
          <w:spacing w:val="-3"/>
        </w:rPr>
        <w:t xml:space="preserve"> </w:t>
      </w:r>
      <w:r>
        <w:t>fogy</w:t>
      </w:r>
      <w:r>
        <w:rPr>
          <w:spacing w:val="-2"/>
        </w:rPr>
        <w:t xml:space="preserve"> </w:t>
      </w:r>
      <w:r>
        <w:t>who,</w:t>
      </w:r>
      <w:r>
        <w:rPr>
          <w:spacing w:val="-3"/>
        </w:rPr>
        <w:t xml:space="preserve"> </w:t>
      </w:r>
      <w:r>
        <w:t>at</w:t>
      </w:r>
      <w:r>
        <w:rPr>
          <w:spacing w:val="-2"/>
        </w:rPr>
        <w:t xml:space="preserve"> </w:t>
      </w:r>
      <w:r>
        <w:t>this</w:t>
      </w:r>
      <w:r>
        <w:rPr>
          <w:spacing w:val="-3"/>
        </w:rPr>
        <w:t xml:space="preserve"> </w:t>
      </w:r>
      <w:r>
        <w:t>very</w:t>
      </w:r>
      <w:r>
        <w:rPr>
          <w:spacing w:val="-3"/>
        </w:rPr>
        <w:t xml:space="preserve"> </w:t>
      </w:r>
      <w:r>
        <w:t>moment</w:t>
      </w:r>
      <w:r>
        <w:rPr>
          <w:spacing w:val="-2"/>
        </w:rPr>
        <w:t xml:space="preserve"> </w:t>
      </w:r>
      <w:r>
        <w:t>is</w:t>
      </w:r>
      <w:r>
        <w:rPr>
          <w:spacing w:val="-3"/>
        </w:rPr>
        <w:t xml:space="preserve"> </w:t>
      </w:r>
      <w:r>
        <w:t>writing</w:t>
      </w:r>
      <w:r>
        <w:rPr>
          <w:spacing w:val="-2"/>
        </w:rPr>
        <w:t xml:space="preserve"> </w:t>
      </w:r>
      <w:r>
        <w:t>this</w:t>
      </w:r>
      <w:r>
        <w:rPr>
          <w:spacing w:val="-3"/>
        </w:rPr>
        <w:t xml:space="preserve"> </w:t>
      </w:r>
      <w:r>
        <w:t>chapter</w:t>
      </w:r>
      <w:r>
        <w:rPr>
          <w:spacing w:val="-2"/>
        </w:rPr>
        <w:t xml:space="preserve"> </w:t>
      </w:r>
      <w:r>
        <w:t>(which</w:t>
      </w:r>
      <w:r>
        <w:rPr>
          <w:spacing w:val="-2"/>
        </w:rPr>
        <w:t xml:space="preserve"> </w:t>
      </w:r>
      <w:r>
        <w:t>no one will ever read and whose comedic excellence will therefore go unappreciated) is identical with the guy who, many moons ago, drove from Los Angeles to New York.</w:t>
      </w:r>
    </w:p>
    <w:p w14:paraId="7E001D51" w14:textId="77777777" w:rsidR="009A58DB" w:rsidRDefault="00000000">
      <w:pPr>
        <w:pStyle w:val="BodyText"/>
        <w:spacing w:before="245" w:line="249" w:lineRule="auto"/>
        <w:ind w:right="362"/>
      </w:pPr>
      <w:r>
        <w:t>OF says that one set of events—the events constituting a person who, right now, is writing about personal identity—is an installment in a causal sequence of which an earlier installment was some set of events that constituted some person’s driving from Los Angeles to New York. So OF is like our earlier statement (concerning the sandwich):</w:t>
      </w:r>
    </w:p>
    <w:p w14:paraId="7E001D52" w14:textId="77777777" w:rsidR="009A58DB" w:rsidRDefault="00000000">
      <w:pPr>
        <w:pStyle w:val="BodyText"/>
        <w:spacing w:before="246"/>
      </w:pPr>
      <w:r>
        <w:t>(*)</w:t>
      </w:r>
      <w:r>
        <w:rPr>
          <w:spacing w:val="-4"/>
        </w:rPr>
        <w:t xml:space="preserve"> </w:t>
      </w:r>
      <w:r>
        <w:t>X</w:t>
      </w:r>
      <w:r>
        <w:rPr>
          <w:spacing w:val="-3"/>
        </w:rPr>
        <w:t xml:space="preserve"> </w:t>
      </w:r>
      <w:r>
        <w:t>is</w:t>
      </w:r>
      <w:r>
        <w:rPr>
          <w:spacing w:val="-3"/>
        </w:rPr>
        <w:t xml:space="preserve"> </w:t>
      </w:r>
      <w:r>
        <w:t>identical</w:t>
      </w:r>
      <w:r>
        <w:rPr>
          <w:spacing w:val="-3"/>
        </w:rPr>
        <w:t xml:space="preserve"> </w:t>
      </w:r>
      <w:r>
        <w:t>with</w:t>
      </w:r>
      <w:r>
        <w:rPr>
          <w:spacing w:val="-2"/>
        </w:rPr>
        <w:t xml:space="preserve"> </w:t>
      </w:r>
      <w:r>
        <w:rPr>
          <w:spacing w:val="-5"/>
        </w:rPr>
        <w:t>Y.</w:t>
      </w:r>
    </w:p>
    <w:p w14:paraId="7E001D53" w14:textId="77777777" w:rsidR="009A58DB" w:rsidRDefault="00000000">
      <w:pPr>
        <w:pStyle w:val="BodyText"/>
        <w:spacing w:before="255" w:line="249" w:lineRule="auto"/>
        <w:ind w:right="372"/>
      </w:pPr>
      <w:r>
        <w:t>Each of OF and * affirms that two different, non-simultaneous events (or sets of events) are installments in some one causal sequence.</w:t>
      </w:r>
    </w:p>
    <w:p w14:paraId="7E001D54" w14:textId="77777777" w:rsidR="009A58DB" w:rsidRDefault="00000000">
      <w:pPr>
        <w:pStyle w:val="BodyText"/>
        <w:spacing w:before="2" w:line="249" w:lineRule="auto"/>
        <w:ind w:right="368" w:firstLine="360"/>
      </w:pPr>
      <w:r>
        <w:t xml:space="preserve">So the logical structure of statements concerning personal identity is not different from the logical structure of statements of objectual personal </w:t>
      </w:r>
      <w:r>
        <w:rPr>
          <w:spacing w:val="-2"/>
        </w:rPr>
        <w:t>identity.</w:t>
      </w:r>
    </w:p>
    <w:p w14:paraId="7E001D55" w14:textId="77777777" w:rsidR="009A58DB" w:rsidRDefault="00000000">
      <w:pPr>
        <w:pStyle w:val="Heading1"/>
        <w:numPr>
          <w:ilvl w:val="1"/>
          <w:numId w:val="95"/>
        </w:numPr>
        <w:tabs>
          <w:tab w:val="left" w:pos="990"/>
        </w:tabs>
        <w:spacing w:before="192"/>
      </w:pPr>
      <w:r>
        <w:t>Personal</w:t>
      </w:r>
      <w:r>
        <w:rPr>
          <w:spacing w:val="-9"/>
        </w:rPr>
        <w:t xml:space="preserve"> </w:t>
      </w:r>
      <w:r>
        <w:t>identity:</w:t>
      </w:r>
      <w:r>
        <w:rPr>
          <w:spacing w:val="-7"/>
        </w:rPr>
        <w:t xml:space="preserve"> </w:t>
      </w:r>
      <w:r>
        <w:t>the</w:t>
      </w:r>
      <w:r>
        <w:rPr>
          <w:spacing w:val="-7"/>
        </w:rPr>
        <w:t xml:space="preserve"> </w:t>
      </w:r>
      <w:r>
        <w:t>mentalistic</w:t>
      </w:r>
      <w:r>
        <w:rPr>
          <w:spacing w:val="-6"/>
        </w:rPr>
        <w:t xml:space="preserve"> </w:t>
      </w:r>
      <w:r>
        <w:rPr>
          <w:spacing w:val="-2"/>
        </w:rPr>
        <w:t>conception</w:t>
      </w:r>
    </w:p>
    <w:p w14:paraId="7E001D56" w14:textId="77777777" w:rsidR="009A58DB" w:rsidRDefault="00000000">
      <w:pPr>
        <w:pStyle w:val="BodyText"/>
        <w:spacing w:before="139" w:line="249" w:lineRule="auto"/>
        <w:ind w:right="359"/>
      </w:pPr>
      <w:r>
        <w:t>Human beings have both physical and mental (i.e., psychological) characteristics. I have a certain weight. This is a physical characteristic. I have certain beliefs and interests. These are psychological characteristics. Human existence thus has a dual nature.</w:t>
      </w:r>
    </w:p>
    <w:p w14:paraId="7E001D57" w14:textId="77777777" w:rsidR="009A58DB" w:rsidRDefault="00000000">
      <w:pPr>
        <w:pStyle w:val="BodyText"/>
        <w:spacing w:before="5" w:line="249" w:lineRule="auto"/>
        <w:ind w:right="361" w:firstLine="360"/>
      </w:pPr>
      <w:r>
        <w:t>It is vigorously debated how the mental and the physical are related to</w:t>
      </w:r>
      <w:r>
        <w:rPr>
          <w:spacing w:val="40"/>
        </w:rPr>
        <w:t xml:space="preserve"> </w:t>
      </w:r>
      <w:r>
        <w:t>each other. A related, equally vigorous debate concerns the nature of the events that must occur if a person is to continue to exist.</w:t>
      </w:r>
    </w:p>
    <w:p w14:paraId="7E001D58" w14:textId="77777777" w:rsidR="009A58DB" w:rsidRDefault="00000000">
      <w:pPr>
        <w:pStyle w:val="BodyText"/>
        <w:spacing w:before="4" w:line="249" w:lineRule="auto"/>
        <w:ind w:right="363" w:firstLine="360"/>
      </w:pPr>
      <w:r>
        <w:t>A</w:t>
      </w:r>
      <w:r>
        <w:rPr>
          <w:spacing w:val="-4"/>
        </w:rPr>
        <w:t xml:space="preserve"> </w:t>
      </w:r>
      <w:r>
        <w:t>story</w:t>
      </w:r>
      <w:r>
        <w:rPr>
          <w:spacing w:val="-3"/>
        </w:rPr>
        <w:t xml:space="preserve"> </w:t>
      </w:r>
      <w:r>
        <w:t>will</w:t>
      </w:r>
      <w:r>
        <w:rPr>
          <w:spacing w:val="-4"/>
        </w:rPr>
        <w:t xml:space="preserve"> </w:t>
      </w:r>
      <w:r>
        <w:t>clarify</w:t>
      </w:r>
      <w:r>
        <w:rPr>
          <w:spacing w:val="-3"/>
        </w:rPr>
        <w:t xml:space="preserve"> </w:t>
      </w:r>
      <w:r>
        <w:t>these</w:t>
      </w:r>
      <w:r>
        <w:rPr>
          <w:spacing w:val="-4"/>
        </w:rPr>
        <w:t xml:space="preserve"> </w:t>
      </w:r>
      <w:r>
        <w:t>points.</w:t>
      </w:r>
      <w:r>
        <w:rPr>
          <w:spacing w:val="-3"/>
        </w:rPr>
        <w:t xml:space="preserve"> </w:t>
      </w:r>
      <w:r>
        <w:t>Smith</w:t>
      </w:r>
      <w:r>
        <w:rPr>
          <w:spacing w:val="-3"/>
        </w:rPr>
        <w:t xml:space="preserve"> </w:t>
      </w:r>
      <w:r>
        <w:t>is</w:t>
      </w:r>
      <w:r>
        <w:rPr>
          <w:spacing w:val="-4"/>
        </w:rPr>
        <w:t xml:space="preserve"> </w:t>
      </w:r>
      <w:r>
        <w:t>in</w:t>
      </w:r>
      <w:r>
        <w:rPr>
          <w:spacing w:val="-3"/>
        </w:rPr>
        <w:t xml:space="preserve"> </w:t>
      </w:r>
      <w:r>
        <w:t>an</w:t>
      </w:r>
      <w:r>
        <w:rPr>
          <w:spacing w:val="-3"/>
        </w:rPr>
        <w:t xml:space="preserve"> </w:t>
      </w:r>
      <w:r>
        <w:t>accident</w:t>
      </w:r>
      <w:r>
        <w:rPr>
          <w:spacing w:val="-4"/>
        </w:rPr>
        <w:t xml:space="preserve"> </w:t>
      </w:r>
      <w:r>
        <w:t>and</w:t>
      </w:r>
      <w:r>
        <w:rPr>
          <w:spacing w:val="-3"/>
        </w:rPr>
        <w:t xml:space="preserve"> </w:t>
      </w:r>
      <w:r>
        <w:t>all</w:t>
      </w:r>
      <w:r>
        <w:rPr>
          <w:spacing w:val="-4"/>
        </w:rPr>
        <w:t xml:space="preserve"> </w:t>
      </w:r>
      <w:r>
        <w:t>of</w:t>
      </w:r>
      <w:r>
        <w:rPr>
          <w:spacing w:val="-4"/>
        </w:rPr>
        <w:t xml:space="preserve"> </w:t>
      </w:r>
      <w:r>
        <w:t>his</w:t>
      </w:r>
      <w:r>
        <w:rPr>
          <w:spacing w:val="-4"/>
        </w:rPr>
        <w:t xml:space="preserve"> </w:t>
      </w:r>
      <w:r>
        <w:t>brain is</w:t>
      </w:r>
      <w:r>
        <w:rPr>
          <w:spacing w:val="40"/>
        </w:rPr>
        <w:t xml:space="preserve"> </w:t>
      </w:r>
      <w:r>
        <w:t>destroyed,</w:t>
      </w:r>
      <w:r>
        <w:rPr>
          <w:spacing w:val="40"/>
        </w:rPr>
        <w:t xml:space="preserve"> </w:t>
      </w:r>
      <w:r>
        <w:t>except</w:t>
      </w:r>
      <w:r>
        <w:rPr>
          <w:spacing w:val="40"/>
        </w:rPr>
        <w:t xml:space="preserve"> </w:t>
      </w:r>
      <w:r>
        <w:t>for</w:t>
      </w:r>
      <w:r>
        <w:rPr>
          <w:spacing w:val="40"/>
        </w:rPr>
        <w:t xml:space="preserve"> </w:t>
      </w:r>
      <w:r>
        <w:t>the</w:t>
      </w:r>
      <w:r>
        <w:rPr>
          <w:spacing w:val="40"/>
        </w:rPr>
        <w:t xml:space="preserve"> </w:t>
      </w:r>
      <w:r>
        <w:t>parts</w:t>
      </w:r>
      <w:r>
        <w:rPr>
          <w:spacing w:val="40"/>
        </w:rPr>
        <w:t xml:space="preserve"> </w:t>
      </w:r>
      <w:r>
        <w:t>that</w:t>
      </w:r>
      <w:r>
        <w:rPr>
          <w:spacing w:val="40"/>
        </w:rPr>
        <w:t xml:space="preserve"> </w:t>
      </w:r>
      <w:r>
        <w:t>regulate</w:t>
      </w:r>
      <w:r>
        <w:rPr>
          <w:spacing w:val="40"/>
        </w:rPr>
        <w:t xml:space="preserve"> </w:t>
      </w:r>
      <w:r>
        <w:t>involuntary</w:t>
      </w:r>
      <w:r>
        <w:rPr>
          <w:spacing w:val="40"/>
        </w:rPr>
        <w:t xml:space="preserve"> </w:t>
      </w:r>
      <w:r>
        <w:t>functions</w:t>
      </w:r>
      <w:r>
        <w:rPr>
          <w:spacing w:val="40"/>
        </w:rPr>
        <w:t xml:space="preserve"> </w:t>
      </w:r>
      <w:r>
        <w:t>(e.g.,</w:t>
      </w:r>
    </w:p>
    <w:p w14:paraId="7E001D5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5A" w14:textId="77777777" w:rsidR="009A58DB" w:rsidRDefault="00000000">
      <w:pPr>
        <w:pStyle w:val="BodyText"/>
        <w:spacing w:before="66" w:line="249" w:lineRule="auto"/>
        <w:ind w:right="361"/>
      </w:pPr>
      <w:r>
        <w:lastRenderedPageBreak/>
        <w:t xml:space="preserve">breathing, digestion, etc.). So Smith is “brain-dead.” Question: Does Smith still exist? My own view is “no.” </w:t>
      </w:r>
      <w:r>
        <w:rPr>
          <w:i/>
        </w:rPr>
        <w:t>Legaly</w:t>
      </w:r>
      <w:r>
        <w:rPr>
          <w:i/>
          <w:spacing w:val="-3"/>
        </w:rPr>
        <w:t xml:space="preserve"> </w:t>
      </w:r>
      <w:r>
        <w:t>speaking, of course, Smith exists as long as his heart is beating. But legal categories are of little use when it</w:t>
      </w:r>
      <w:r>
        <w:rPr>
          <w:spacing w:val="40"/>
        </w:rPr>
        <w:t xml:space="preserve"> </w:t>
      </w:r>
      <w:r>
        <w:t>comes to settling philosophical issue</w:t>
      </w:r>
      <w:bookmarkStart w:id="405" w:name="_bookmark405"/>
      <w:bookmarkEnd w:id="405"/>
      <w:r>
        <w:t>s</w:t>
      </w:r>
      <w:r>
        <w:rPr>
          <w:color w:val="0562C1"/>
          <w:position w:val="21"/>
          <w:u w:val="single" w:color="0562C1"/>
        </w:rPr>
        <w:t>[289]</w:t>
      </w:r>
      <w:r>
        <w:t>, and it seems to me that Smith went out of existence the moment his mind did.</w:t>
      </w:r>
    </w:p>
    <w:p w14:paraId="7E001D5B" w14:textId="77777777" w:rsidR="009A58DB" w:rsidRDefault="00000000">
      <w:pPr>
        <w:pStyle w:val="BodyText"/>
        <w:spacing w:before="5" w:line="249" w:lineRule="auto"/>
        <w:ind w:right="358" w:firstLine="360"/>
      </w:pPr>
      <w:r>
        <w:t xml:space="preserve">Why do I have this view? Because I have what is referred to as a “mentalistic” conception of personal identity. This is the view that you are your mind. People are identical with mental entities of some kind. This doesn’t mean that people aren’t also identical with physical entities. It means that </w:t>
      </w:r>
      <w:r>
        <w:rPr>
          <w:i/>
        </w:rPr>
        <w:t xml:space="preserve">if </w:t>
      </w:r>
      <w:r>
        <w:t>people are identical with physical entities (e.g., with their brains or certain</w:t>
      </w:r>
      <w:r>
        <w:rPr>
          <w:spacing w:val="-1"/>
        </w:rPr>
        <w:t xml:space="preserve"> </w:t>
      </w:r>
      <w:r>
        <w:t>parts</w:t>
      </w:r>
      <w:r>
        <w:rPr>
          <w:spacing w:val="-1"/>
        </w:rPr>
        <w:t xml:space="preserve"> </w:t>
      </w:r>
      <w:r>
        <w:t>thereof),</w:t>
      </w:r>
      <w:r>
        <w:rPr>
          <w:spacing w:val="-1"/>
        </w:rPr>
        <w:t xml:space="preserve"> </w:t>
      </w:r>
      <w:r>
        <w:t>it</w:t>
      </w:r>
      <w:r>
        <w:rPr>
          <w:spacing w:val="-1"/>
        </w:rPr>
        <w:t xml:space="preserve"> </w:t>
      </w:r>
      <w:r>
        <w:t>is</w:t>
      </w:r>
      <w:r>
        <w:rPr>
          <w:spacing w:val="-1"/>
        </w:rPr>
        <w:t xml:space="preserve"> </w:t>
      </w:r>
      <w:r>
        <w:t>only</w:t>
      </w:r>
      <w:r>
        <w:rPr>
          <w:spacing w:val="-1"/>
        </w:rPr>
        <w:t xml:space="preserve"> </w:t>
      </w:r>
      <w:r>
        <w:t>because</w:t>
      </w:r>
      <w:r>
        <w:rPr>
          <w:spacing w:val="-1"/>
        </w:rPr>
        <w:t xml:space="preserve"> </w:t>
      </w:r>
      <w:r>
        <w:t>those</w:t>
      </w:r>
      <w:r>
        <w:rPr>
          <w:spacing w:val="-1"/>
        </w:rPr>
        <w:t xml:space="preserve"> </w:t>
      </w:r>
      <w:r>
        <w:t>entities</w:t>
      </w:r>
      <w:r>
        <w:rPr>
          <w:spacing w:val="-1"/>
        </w:rPr>
        <w:t xml:space="preserve"> </w:t>
      </w:r>
      <w:r>
        <w:t>are</w:t>
      </w:r>
      <w:r>
        <w:rPr>
          <w:spacing w:val="-1"/>
        </w:rPr>
        <w:t xml:space="preserve"> </w:t>
      </w:r>
      <w:r>
        <w:t>themselves</w:t>
      </w:r>
      <w:r>
        <w:rPr>
          <w:spacing w:val="-1"/>
        </w:rPr>
        <w:t xml:space="preserve"> </w:t>
      </w:r>
      <w:r>
        <w:t xml:space="preserve">identical with mental entities. If, for example, it turns out that the mental entities with which people are identical are also brain-structures or patterns of brain activity, what follows, the mentalist believes, is </w:t>
      </w:r>
      <w:r>
        <w:rPr>
          <w:i/>
        </w:rPr>
        <w:t xml:space="preserve">not </w:t>
      </w:r>
      <w:r>
        <w:t xml:space="preserve">that people are non-mental entities but that people </w:t>
      </w:r>
      <w:r>
        <w:rPr>
          <w:i/>
        </w:rPr>
        <w:t xml:space="preserve">are </w:t>
      </w:r>
      <w:r>
        <w:t>mental entities and that mental entities, in their turn, are also physical entities.</w:t>
      </w:r>
    </w:p>
    <w:p w14:paraId="7E001D5C" w14:textId="77777777" w:rsidR="009A58DB" w:rsidRDefault="00000000">
      <w:pPr>
        <w:pStyle w:val="BodyText"/>
        <w:spacing w:before="13" w:line="249" w:lineRule="auto"/>
        <w:ind w:right="358" w:firstLine="360"/>
      </w:pPr>
      <w:r>
        <w:t xml:space="preserve">According to mentalism, the statement “I weigh 200 pounds” really means “my </w:t>
      </w:r>
      <w:r>
        <w:rPr>
          <w:i/>
        </w:rPr>
        <w:t xml:space="preserve">body </w:t>
      </w:r>
      <w:r>
        <w:t xml:space="preserve">weighs 200 pounds” and therefore doesn’t really say how much </w:t>
      </w:r>
      <w:r>
        <w:rPr>
          <w:i/>
        </w:rPr>
        <w:t xml:space="preserve">I </w:t>
      </w:r>
      <w:r>
        <w:t xml:space="preserve">weigh. And given that I am identical with purely mental entities, I weigh no more than they do—which isn’t very much, since they weigh nothing if they’re non-physical, and next to nothing if they </w:t>
      </w:r>
      <w:r>
        <w:rPr>
          <w:i/>
        </w:rPr>
        <w:t xml:space="preserve">are </w:t>
      </w:r>
      <w:r>
        <w:t>physical (the reason being that, if they’re physical, they’re patterns of neural activity that have little or no mass).</w:t>
      </w:r>
    </w:p>
    <w:p w14:paraId="7E001D5D" w14:textId="77777777" w:rsidR="009A58DB" w:rsidRDefault="00000000">
      <w:pPr>
        <w:pStyle w:val="Heading1"/>
        <w:numPr>
          <w:ilvl w:val="1"/>
          <w:numId w:val="95"/>
        </w:numPr>
        <w:tabs>
          <w:tab w:val="left" w:pos="795"/>
          <w:tab w:val="left" w:pos="990"/>
        </w:tabs>
        <w:spacing w:before="197" w:line="244" w:lineRule="auto"/>
        <w:ind w:left="795" w:right="795" w:hanging="435"/>
      </w:pPr>
      <w:r>
        <w:t>An important fact about the mentalistic conception:</w:t>
      </w:r>
      <w:r>
        <w:rPr>
          <w:spacing w:val="-8"/>
        </w:rPr>
        <w:t xml:space="preserve"> </w:t>
      </w:r>
      <w:r>
        <w:t>a</w:t>
      </w:r>
      <w:r>
        <w:rPr>
          <w:spacing w:val="-7"/>
        </w:rPr>
        <w:t xml:space="preserve"> </w:t>
      </w:r>
      <w:r>
        <w:t>materialist</w:t>
      </w:r>
      <w:r>
        <w:rPr>
          <w:spacing w:val="-8"/>
        </w:rPr>
        <w:t xml:space="preserve"> </w:t>
      </w:r>
      <w:r>
        <w:t>can</w:t>
      </w:r>
      <w:r>
        <w:rPr>
          <w:spacing w:val="-8"/>
        </w:rPr>
        <w:t xml:space="preserve"> </w:t>
      </w:r>
      <w:r>
        <w:t>have</w:t>
      </w:r>
      <w:r>
        <w:rPr>
          <w:spacing w:val="-8"/>
        </w:rPr>
        <w:t xml:space="preserve"> </w:t>
      </w:r>
      <w:r>
        <w:t>a</w:t>
      </w:r>
      <w:r>
        <w:rPr>
          <w:spacing w:val="-7"/>
        </w:rPr>
        <w:t xml:space="preserve"> </w:t>
      </w:r>
      <w:r>
        <w:t>mentalistic conception of personal identity</w:t>
      </w:r>
    </w:p>
    <w:p w14:paraId="7E001D5E" w14:textId="77777777" w:rsidR="009A58DB" w:rsidRDefault="00000000">
      <w:pPr>
        <w:pStyle w:val="BodyText"/>
        <w:spacing w:before="134" w:line="249" w:lineRule="auto"/>
        <w:ind w:right="358"/>
      </w:pPr>
      <w:r>
        <w:t>One</w:t>
      </w:r>
      <w:r>
        <w:rPr>
          <w:spacing w:val="-4"/>
        </w:rPr>
        <w:t xml:space="preserve"> </w:t>
      </w:r>
      <w:r>
        <w:t>can</w:t>
      </w:r>
      <w:r>
        <w:rPr>
          <w:spacing w:val="-3"/>
        </w:rPr>
        <w:t xml:space="preserve"> </w:t>
      </w:r>
      <w:r>
        <w:t>believe</w:t>
      </w:r>
      <w:r>
        <w:rPr>
          <w:spacing w:val="-4"/>
        </w:rPr>
        <w:t xml:space="preserve"> </w:t>
      </w:r>
      <w:r>
        <w:t>that</w:t>
      </w:r>
      <w:r>
        <w:rPr>
          <w:spacing w:val="-4"/>
        </w:rPr>
        <w:t xml:space="preserve"> </w:t>
      </w:r>
      <w:r>
        <w:t>mental</w:t>
      </w:r>
      <w:r>
        <w:rPr>
          <w:spacing w:val="-4"/>
        </w:rPr>
        <w:t xml:space="preserve"> </w:t>
      </w:r>
      <w:r>
        <w:t>events</w:t>
      </w:r>
      <w:r>
        <w:rPr>
          <w:spacing w:val="-4"/>
        </w:rPr>
        <w:t xml:space="preserve"> </w:t>
      </w:r>
      <w:r>
        <w:t>are</w:t>
      </w:r>
      <w:r>
        <w:rPr>
          <w:spacing w:val="-4"/>
        </w:rPr>
        <w:t xml:space="preserve"> </w:t>
      </w:r>
      <w:r>
        <w:t>identical</w:t>
      </w:r>
      <w:r>
        <w:rPr>
          <w:spacing w:val="-4"/>
        </w:rPr>
        <w:t xml:space="preserve"> </w:t>
      </w:r>
      <w:r>
        <w:t>with</w:t>
      </w:r>
      <w:r>
        <w:rPr>
          <w:spacing w:val="-3"/>
        </w:rPr>
        <w:t xml:space="preserve"> </w:t>
      </w:r>
      <w:r>
        <w:t>certain</w:t>
      </w:r>
      <w:r>
        <w:rPr>
          <w:spacing w:val="-3"/>
        </w:rPr>
        <w:t xml:space="preserve"> </w:t>
      </w:r>
      <w:r>
        <w:t>kinds</w:t>
      </w:r>
      <w:r>
        <w:rPr>
          <w:spacing w:val="-4"/>
        </w:rPr>
        <w:t xml:space="preserve"> </w:t>
      </w:r>
      <w:r>
        <w:t>of</w:t>
      </w:r>
      <w:r>
        <w:rPr>
          <w:spacing w:val="-4"/>
        </w:rPr>
        <w:t xml:space="preserve"> </w:t>
      </w:r>
      <w:r>
        <w:rPr>
          <w:i/>
        </w:rPr>
        <w:t xml:space="preserve">physical </w:t>
      </w:r>
      <w:r>
        <w:t xml:space="preserve">events and </w:t>
      </w:r>
      <w:r>
        <w:rPr>
          <w:i/>
        </w:rPr>
        <w:t xml:space="preserve">still </w:t>
      </w:r>
      <w:r>
        <w:t xml:space="preserve">have a mentalistic conception of personal identity. So, for example, if you believe that feelings, intentions, and mental events in general are patterns of neural activity, </w:t>
      </w:r>
      <w:r>
        <w:rPr>
          <w:i/>
        </w:rPr>
        <w:t xml:space="preserve">and </w:t>
      </w:r>
      <w:r>
        <w:t xml:space="preserve">you believe that a body that isn’t characterized by such patterns of activity doesn’t house a person, then you have a mentalistic conception of personal identity, </w:t>
      </w:r>
      <w:r>
        <w:rPr>
          <w:i/>
        </w:rPr>
        <w:t xml:space="preserve">even though </w:t>
      </w:r>
      <w:r>
        <w:t>you believe that</w:t>
      </w:r>
      <w:r>
        <w:rPr>
          <w:spacing w:val="26"/>
        </w:rPr>
        <w:t xml:space="preserve"> </w:t>
      </w:r>
      <w:r>
        <w:t>mind</w:t>
      </w:r>
      <w:r>
        <w:rPr>
          <w:spacing w:val="27"/>
        </w:rPr>
        <w:t xml:space="preserve"> </w:t>
      </w:r>
      <w:r>
        <w:t>facts</w:t>
      </w:r>
      <w:r>
        <w:rPr>
          <w:spacing w:val="26"/>
        </w:rPr>
        <w:t xml:space="preserve"> </w:t>
      </w:r>
      <w:r>
        <w:t>are</w:t>
      </w:r>
      <w:r>
        <w:rPr>
          <w:spacing w:val="26"/>
        </w:rPr>
        <w:t xml:space="preserve"> </w:t>
      </w:r>
      <w:r>
        <w:t>identical</w:t>
      </w:r>
      <w:r>
        <w:rPr>
          <w:spacing w:val="26"/>
        </w:rPr>
        <w:t xml:space="preserve"> </w:t>
      </w:r>
      <w:r>
        <w:t>with</w:t>
      </w:r>
      <w:r>
        <w:rPr>
          <w:spacing w:val="27"/>
        </w:rPr>
        <w:t xml:space="preserve"> </w:t>
      </w:r>
      <w:r>
        <w:t>body</w:t>
      </w:r>
      <w:r>
        <w:rPr>
          <w:spacing w:val="27"/>
        </w:rPr>
        <w:t xml:space="preserve"> </w:t>
      </w:r>
      <w:r>
        <w:t>facts.</w:t>
      </w:r>
      <w:r>
        <w:rPr>
          <w:spacing w:val="27"/>
        </w:rPr>
        <w:t xml:space="preserve"> </w:t>
      </w:r>
      <w:r>
        <w:t>Most</w:t>
      </w:r>
      <w:r>
        <w:rPr>
          <w:spacing w:val="26"/>
        </w:rPr>
        <w:t xml:space="preserve"> </w:t>
      </w:r>
      <w:r>
        <w:t>contemporary</w:t>
      </w:r>
      <w:r>
        <w:rPr>
          <w:spacing w:val="27"/>
        </w:rPr>
        <w:t xml:space="preserve"> </w:t>
      </w:r>
      <w:r>
        <w:t>mentalists</w:t>
      </w:r>
    </w:p>
    <w:p w14:paraId="7E001D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60" w14:textId="77777777" w:rsidR="009A58DB" w:rsidRDefault="00000000">
      <w:pPr>
        <w:pStyle w:val="BodyText"/>
        <w:spacing w:before="60" w:line="249" w:lineRule="auto"/>
        <w:ind w:right="372"/>
      </w:pPr>
      <w:r>
        <w:lastRenderedPageBreak/>
        <w:t>fall into this category, and I myself am inclined, with some reservations, to think that it is the right view.</w:t>
      </w:r>
    </w:p>
    <w:p w14:paraId="7E001D61" w14:textId="77777777" w:rsidR="009A58DB" w:rsidRDefault="00000000">
      <w:pPr>
        <w:pStyle w:val="BodyText"/>
        <w:spacing w:before="7" w:line="249" w:lineRule="auto"/>
        <w:ind w:right="358" w:firstLine="360"/>
      </w:pPr>
      <w:r>
        <w:t>Thus, even if you are what is known as a “materialist”—even if, in other words,</w:t>
      </w:r>
      <w:r>
        <w:rPr>
          <w:spacing w:val="-1"/>
        </w:rPr>
        <w:t xml:space="preserve"> </w:t>
      </w:r>
      <w:r>
        <w:t>you</w:t>
      </w:r>
      <w:r>
        <w:rPr>
          <w:spacing w:val="-1"/>
        </w:rPr>
        <w:t xml:space="preserve"> </w:t>
      </w:r>
      <w:r>
        <w:t>believe</w:t>
      </w:r>
      <w:r>
        <w:rPr>
          <w:spacing w:val="-1"/>
        </w:rPr>
        <w:t xml:space="preserve"> </w:t>
      </w:r>
      <w:r>
        <w:t>that</w:t>
      </w:r>
      <w:r>
        <w:rPr>
          <w:spacing w:val="-1"/>
        </w:rPr>
        <w:t xml:space="preserve"> </w:t>
      </w:r>
      <w:r>
        <w:t>mental</w:t>
      </w:r>
      <w:r>
        <w:rPr>
          <w:spacing w:val="-1"/>
        </w:rPr>
        <w:t xml:space="preserve"> </w:t>
      </w:r>
      <w:r>
        <w:t>events</w:t>
      </w:r>
      <w:r>
        <w:rPr>
          <w:spacing w:val="-1"/>
        </w:rPr>
        <w:t xml:space="preserve"> </w:t>
      </w:r>
      <w:r>
        <w:rPr>
          <w:i/>
        </w:rPr>
        <w:t>are</w:t>
      </w:r>
      <w:r>
        <w:rPr>
          <w:i/>
          <w:spacing w:val="-4"/>
        </w:rPr>
        <w:t xml:space="preserve"> </w:t>
      </w:r>
      <w:r>
        <w:t>physical events of some kind—you can</w:t>
      </w:r>
      <w:r>
        <w:rPr>
          <w:spacing w:val="-1"/>
        </w:rPr>
        <w:t xml:space="preserve"> </w:t>
      </w:r>
      <w:r>
        <w:t>still</w:t>
      </w:r>
      <w:r>
        <w:rPr>
          <w:spacing w:val="-1"/>
        </w:rPr>
        <w:t xml:space="preserve"> </w:t>
      </w:r>
      <w:r>
        <w:t>have</w:t>
      </w:r>
      <w:r>
        <w:rPr>
          <w:spacing w:val="-1"/>
        </w:rPr>
        <w:t xml:space="preserve"> </w:t>
      </w:r>
      <w:r>
        <w:t>a</w:t>
      </w:r>
      <w:r>
        <w:rPr>
          <w:spacing w:val="-1"/>
        </w:rPr>
        <w:t xml:space="preserve"> </w:t>
      </w:r>
      <w:r>
        <w:t>mentalistic</w:t>
      </w:r>
      <w:r>
        <w:rPr>
          <w:spacing w:val="-1"/>
        </w:rPr>
        <w:t xml:space="preserve"> </w:t>
      </w:r>
      <w:r>
        <w:t>conception</w:t>
      </w:r>
      <w:r>
        <w:rPr>
          <w:spacing w:val="-1"/>
        </w:rPr>
        <w:t xml:space="preserve"> </w:t>
      </w:r>
      <w:r>
        <w:t>of</w:t>
      </w:r>
      <w:r>
        <w:rPr>
          <w:spacing w:val="-1"/>
        </w:rPr>
        <w:t xml:space="preserve"> </w:t>
      </w:r>
      <w:r>
        <w:t>personality</w:t>
      </w:r>
      <w:r>
        <w:rPr>
          <w:spacing w:val="-1"/>
        </w:rPr>
        <w:t xml:space="preserve"> </w:t>
      </w:r>
      <w:r>
        <w:t>identity.</w:t>
      </w:r>
      <w:r>
        <w:rPr>
          <w:spacing w:val="-1"/>
        </w:rPr>
        <w:t xml:space="preserve"> </w:t>
      </w:r>
      <w:r>
        <w:t>This</w:t>
      </w:r>
      <w:r>
        <w:rPr>
          <w:spacing w:val="-1"/>
        </w:rPr>
        <w:t xml:space="preserve"> </w:t>
      </w:r>
      <w:r>
        <w:t>will</w:t>
      </w:r>
      <w:r>
        <w:rPr>
          <w:spacing w:val="-1"/>
        </w:rPr>
        <w:t xml:space="preserve"> </w:t>
      </w:r>
      <w:r>
        <w:t>be</w:t>
      </w:r>
      <w:r>
        <w:rPr>
          <w:spacing w:val="-1"/>
        </w:rPr>
        <w:t xml:space="preserve"> </w:t>
      </w:r>
      <w:r>
        <w:t>the case if you believe that a body that doesn’t involve the relevant kind of physical events—the patterns of neural activity that are identical with beliefs, feelings, etc.—fails to be a person.</w:t>
      </w:r>
    </w:p>
    <w:p w14:paraId="7E001D62" w14:textId="77777777" w:rsidR="009A58DB" w:rsidRDefault="00000000">
      <w:pPr>
        <w:pStyle w:val="Heading1"/>
        <w:spacing w:before="195" w:line="244" w:lineRule="auto"/>
        <w:ind w:left="360" w:firstLine="0"/>
      </w:pPr>
      <w:r>
        <w:t>4.0</w:t>
      </w:r>
      <w:r>
        <w:rPr>
          <w:spacing w:val="-8"/>
        </w:rPr>
        <w:t xml:space="preserve"> </w:t>
      </w:r>
      <w:r>
        <w:t>Personal</w:t>
      </w:r>
      <w:r>
        <w:rPr>
          <w:spacing w:val="-9"/>
        </w:rPr>
        <w:t xml:space="preserve"> </w:t>
      </w:r>
      <w:r>
        <w:t>identity:</w:t>
      </w:r>
      <w:r>
        <w:rPr>
          <w:spacing w:val="-9"/>
        </w:rPr>
        <w:t xml:space="preserve"> </w:t>
      </w:r>
      <w:r>
        <w:t>the</w:t>
      </w:r>
      <w:r>
        <w:rPr>
          <w:spacing w:val="-9"/>
        </w:rPr>
        <w:t xml:space="preserve"> </w:t>
      </w:r>
      <w:r>
        <w:t>non-mentalistic</w:t>
      </w:r>
      <w:r>
        <w:rPr>
          <w:spacing w:val="-9"/>
        </w:rPr>
        <w:t xml:space="preserve"> </w:t>
      </w:r>
      <w:r>
        <w:t>(or physicalistic) conception</w:t>
      </w:r>
    </w:p>
    <w:p w14:paraId="7E001D63" w14:textId="77777777" w:rsidR="009A58DB" w:rsidRDefault="00000000">
      <w:pPr>
        <w:pStyle w:val="BodyText"/>
        <w:spacing w:before="132" w:line="249" w:lineRule="auto"/>
        <w:ind w:right="361"/>
      </w:pPr>
      <w:r>
        <w:t>Many philosophers these days would disagree with much of what I’ve just said. For these days, non-mentalistic, “bodily” conceptions of personal identity are dominant. So many contemporary philosophers would say that brain-dead Smith still exists.</w:t>
      </w:r>
    </w:p>
    <w:p w14:paraId="7E001D64" w14:textId="77777777" w:rsidR="009A58DB" w:rsidRDefault="00000000">
      <w:pPr>
        <w:pStyle w:val="BodyText"/>
        <w:spacing w:before="5" w:line="249" w:lineRule="auto"/>
        <w:ind w:right="361" w:firstLine="360"/>
      </w:pPr>
      <w:r>
        <w:t xml:space="preserve">Why say this? There are some obvious reasons. First of all, we can truthfully say, while pointing to Smith’s thought-free body “that </w:t>
      </w:r>
      <w:r>
        <w:rPr>
          <w:i/>
        </w:rPr>
        <w:t xml:space="preserve">person </w:t>
      </w:r>
      <w:r>
        <w:t xml:space="preserve">is brain-dead.” It seems a simple fact that we can describe </w:t>
      </w:r>
      <w:r>
        <w:rPr>
          <w:i/>
        </w:rPr>
        <w:t xml:space="preserve">people </w:t>
      </w:r>
      <w:r>
        <w:t xml:space="preserve">as “brain-dead” or even as just plain dead. Of course, dead people don’t have anything going on in their minds. For expository reasons, we’re setting aside the hypothesis that there is life after death). But we can still correctly, and therefore meaningfully, say things like “that </w:t>
      </w:r>
      <w:r>
        <w:rPr>
          <w:i/>
        </w:rPr>
        <w:t xml:space="preserve">person </w:t>
      </w:r>
      <w:r>
        <w:t>is dead.”</w:t>
      </w:r>
    </w:p>
    <w:p w14:paraId="7E001D65" w14:textId="77777777" w:rsidR="009A58DB" w:rsidRDefault="00000000">
      <w:pPr>
        <w:pStyle w:val="BodyText"/>
        <w:spacing w:before="9" w:line="249" w:lineRule="auto"/>
        <w:ind w:right="360" w:firstLine="360"/>
      </w:pPr>
      <w:r>
        <w:t xml:space="preserve">Further, the (brain-)dead person of whom we’ve been speaking is identical with some </w:t>
      </w:r>
      <w:r>
        <w:rPr>
          <w:i/>
        </w:rPr>
        <w:t xml:space="preserve">body—not </w:t>
      </w:r>
      <w:r>
        <w:t>a body, like yours or mine, that mediates thoughts and feelings, but just a plain old body.</w:t>
      </w:r>
    </w:p>
    <w:p w14:paraId="7E001D66" w14:textId="77777777" w:rsidR="009A58DB" w:rsidRDefault="00000000">
      <w:pPr>
        <w:pStyle w:val="BodyText"/>
        <w:spacing w:before="3"/>
        <w:ind w:left="720"/>
      </w:pPr>
      <w:r>
        <w:t>Here’s</w:t>
      </w:r>
      <w:r>
        <w:rPr>
          <w:spacing w:val="-4"/>
        </w:rPr>
        <w:t xml:space="preserve"> </w:t>
      </w:r>
      <w:r>
        <w:t>a</w:t>
      </w:r>
      <w:r>
        <w:rPr>
          <w:spacing w:val="-3"/>
        </w:rPr>
        <w:t xml:space="preserve"> </w:t>
      </w:r>
      <w:r>
        <w:t>rundown</w:t>
      </w:r>
      <w:r>
        <w:rPr>
          <w:spacing w:val="-2"/>
        </w:rPr>
        <w:t xml:space="preserve"> </w:t>
      </w:r>
      <w:r>
        <w:t>of</w:t>
      </w:r>
      <w:r>
        <w:rPr>
          <w:spacing w:val="-3"/>
        </w:rPr>
        <w:t xml:space="preserve"> </w:t>
      </w:r>
      <w:r>
        <w:t>the</w:t>
      </w:r>
      <w:r>
        <w:rPr>
          <w:spacing w:val="-3"/>
        </w:rPr>
        <w:t xml:space="preserve"> </w:t>
      </w:r>
      <w:r>
        <w:t>relevant</w:t>
      </w:r>
      <w:r>
        <w:rPr>
          <w:spacing w:val="-3"/>
        </w:rPr>
        <w:t xml:space="preserve"> </w:t>
      </w:r>
      <w:r>
        <w:rPr>
          <w:spacing w:val="-2"/>
        </w:rPr>
        <w:t>facts:</w:t>
      </w:r>
    </w:p>
    <w:p w14:paraId="7E001D67" w14:textId="77777777" w:rsidR="009A58DB" w:rsidRDefault="00000000">
      <w:pPr>
        <w:pStyle w:val="ListParagraph"/>
        <w:numPr>
          <w:ilvl w:val="0"/>
          <w:numId w:val="94"/>
        </w:numPr>
        <w:tabs>
          <w:tab w:val="left" w:pos="782"/>
        </w:tabs>
        <w:spacing w:before="255"/>
        <w:ind w:left="782" w:hanging="422"/>
        <w:jc w:val="both"/>
        <w:rPr>
          <w:sz w:val="30"/>
        </w:rPr>
      </w:pPr>
      <w:r>
        <w:rPr>
          <w:sz w:val="30"/>
        </w:rPr>
        <w:t>Statements</w:t>
      </w:r>
      <w:r>
        <w:rPr>
          <w:spacing w:val="-7"/>
          <w:sz w:val="30"/>
        </w:rPr>
        <w:t xml:space="preserve"> </w:t>
      </w:r>
      <w:r>
        <w:rPr>
          <w:sz w:val="30"/>
        </w:rPr>
        <w:t>such</w:t>
      </w:r>
      <w:r>
        <w:rPr>
          <w:spacing w:val="-3"/>
          <w:sz w:val="30"/>
        </w:rPr>
        <w:t xml:space="preserve"> </w:t>
      </w:r>
      <w:r>
        <w:rPr>
          <w:sz w:val="30"/>
        </w:rPr>
        <w:t>as</w:t>
      </w:r>
      <w:r>
        <w:rPr>
          <w:spacing w:val="-4"/>
          <w:sz w:val="30"/>
        </w:rPr>
        <w:t xml:space="preserve"> </w:t>
      </w:r>
      <w:r>
        <w:rPr>
          <w:sz w:val="30"/>
        </w:rPr>
        <w:t>says</w:t>
      </w:r>
      <w:r>
        <w:rPr>
          <w:spacing w:val="-4"/>
          <w:sz w:val="30"/>
        </w:rPr>
        <w:t xml:space="preserve"> </w:t>
      </w:r>
      <w:r>
        <w:rPr>
          <w:sz w:val="30"/>
        </w:rPr>
        <w:t>“that</w:t>
      </w:r>
      <w:r>
        <w:rPr>
          <w:spacing w:val="-4"/>
          <w:sz w:val="30"/>
        </w:rPr>
        <w:t xml:space="preserve"> </w:t>
      </w:r>
      <w:r>
        <w:rPr>
          <w:sz w:val="30"/>
        </w:rPr>
        <w:t>person</w:t>
      </w:r>
      <w:r>
        <w:rPr>
          <w:spacing w:val="-3"/>
          <w:sz w:val="30"/>
        </w:rPr>
        <w:t xml:space="preserve"> </w:t>
      </w:r>
      <w:r>
        <w:rPr>
          <w:sz w:val="30"/>
        </w:rPr>
        <w:t>is</w:t>
      </w:r>
      <w:r>
        <w:rPr>
          <w:spacing w:val="-4"/>
          <w:sz w:val="30"/>
        </w:rPr>
        <w:t xml:space="preserve"> </w:t>
      </w:r>
      <w:r>
        <w:rPr>
          <w:sz w:val="30"/>
        </w:rPr>
        <w:t>(brain)dead”</w:t>
      </w:r>
      <w:r>
        <w:rPr>
          <w:spacing w:val="-4"/>
          <w:sz w:val="30"/>
        </w:rPr>
        <w:t xml:space="preserve"> </w:t>
      </w:r>
      <w:r>
        <w:rPr>
          <w:sz w:val="30"/>
        </w:rPr>
        <w:t>are</w:t>
      </w:r>
      <w:r>
        <w:rPr>
          <w:spacing w:val="-4"/>
          <w:sz w:val="30"/>
        </w:rPr>
        <w:t xml:space="preserve"> </w:t>
      </w:r>
      <w:r>
        <w:rPr>
          <w:sz w:val="30"/>
        </w:rPr>
        <w:t>often</w:t>
      </w:r>
      <w:r>
        <w:rPr>
          <w:spacing w:val="-3"/>
          <w:sz w:val="30"/>
        </w:rPr>
        <w:t xml:space="preserve"> </w:t>
      </w:r>
      <w:r>
        <w:rPr>
          <w:sz w:val="30"/>
        </w:rPr>
        <w:t>true</w:t>
      </w:r>
      <w:r>
        <w:rPr>
          <w:spacing w:val="-4"/>
          <w:sz w:val="30"/>
        </w:rPr>
        <w:t xml:space="preserve"> </w:t>
      </w:r>
      <w:r>
        <w:rPr>
          <w:spacing w:val="-2"/>
          <w:sz w:val="30"/>
        </w:rPr>
        <w:t>(sadly).</w:t>
      </w:r>
    </w:p>
    <w:p w14:paraId="7E001D68" w14:textId="77777777" w:rsidR="009A58DB" w:rsidRDefault="00000000">
      <w:pPr>
        <w:pStyle w:val="ListParagraph"/>
        <w:numPr>
          <w:ilvl w:val="0"/>
          <w:numId w:val="94"/>
        </w:numPr>
        <w:tabs>
          <w:tab w:val="left" w:pos="929"/>
        </w:tabs>
        <w:spacing w:before="16" w:line="249" w:lineRule="auto"/>
        <w:ind w:left="360" w:right="369" w:firstLine="0"/>
        <w:jc w:val="both"/>
        <w:rPr>
          <w:sz w:val="30"/>
        </w:rPr>
      </w:pPr>
      <w:r>
        <w:rPr>
          <w:sz w:val="30"/>
        </w:rPr>
        <w:t xml:space="preserve">Such statements must be about people. Otherwise, it would be inappropriate to use the word “person.” When pointing at (brain)dead Smith, one would have to say “that </w:t>
      </w:r>
      <w:r>
        <w:rPr>
          <w:i/>
          <w:sz w:val="30"/>
        </w:rPr>
        <w:t>non</w:t>
      </w:r>
      <w:r>
        <w:rPr>
          <w:sz w:val="30"/>
        </w:rPr>
        <w:t>-person is dead.”</w:t>
      </w:r>
    </w:p>
    <w:p w14:paraId="7E001D69" w14:textId="77777777" w:rsidR="009A58DB" w:rsidRDefault="00000000">
      <w:pPr>
        <w:pStyle w:val="ListParagraph"/>
        <w:numPr>
          <w:ilvl w:val="0"/>
          <w:numId w:val="94"/>
        </w:numPr>
        <w:tabs>
          <w:tab w:val="left" w:pos="937"/>
        </w:tabs>
        <w:spacing w:before="3" w:line="249" w:lineRule="auto"/>
        <w:ind w:left="360" w:right="369" w:firstLine="0"/>
        <w:jc w:val="both"/>
        <w:rPr>
          <w:sz w:val="30"/>
        </w:rPr>
      </w:pPr>
      <w:r>
        <w:rPr>
          <w:sz w:val="30"/>
        </w:rPr>
        <w:t>The (brain)dead Smiths of this world don’t have psychological characteristics. Therefore, the right conclusion is:</w:t>
      </w:r>
    </w:p>
    <w:p w14:paraId="7E001D6A" w14:textId="77777777" w:rsidR="009A58DB" w:rsidRDefault="00000000">
      <w:pPr>
        <w:pStyle w:val="ListParagraph"/>
        <w:numPr>
          <w:ilvl w:val="0"/>
          <w:numId w:val="94"/>
        </w:numPr>
        <w:tabs>
          <w:tab w:val="left" w:pos="914"/>
        </w:tabs>
        <w:spacing w:before="3" w:line="249" w:lineRule="auto"/>
        <w:ind w:left="360" w:right="363" w:firstLine="0"/>
        <w:jc w:val="both"/>
        <w:rPr>
          <w:sz w:val="30"/>
        </w:rPr>
      </w:pPr>
      <w:r>
        <w:rPr>
          <w:sz w:val="30"/>
        </w:rPr>
        <w:t>A thing can be a person without having thoughts or any other psychological attributes.</w:t>
      </w:r>
    </w:p>
    <w:p w14:paraId="7E001D6B" w14:textId="77777777" w:rsidR="009A58DB" w:rsidRDefault="009A58DB">
      <w:pPr>
        <w:pStyle w:val="ListParagraph"/>
        <w:spacing w:line="249" w:lineRule="auto"/>
        <w:jc w:val="both"/>
        <w:rPr>
          <w:sz w:val="30"/>
        </w:rPr>
        <w:sectPr w:rsidR="009A58DB">
          <w:pgSz w:w="12240" w:h="15840"/>
          <w:pgMar w:top="1380" w:right="1080" w:bottom="280" w:left="1080" w:header="720" w:footer="720" w:gutter="0"/>
          <w:cols w:space="720"/>
        </w:sectPr>
      </w:pPr>
    </w:p>
    <w:p w14:paraId="7E001D6C" w14:textId="77777777" w:rsidR="009A58DB" w:rsidRDefault="00000000">
      <w:pPr>
        <w:pStyle w:val="BodyText"/>
        <w:spacing w:before="65" w:line="249" w:lineRule="auto"/>
        <w:ind w:right="361" w:firstLine="360"/>
      </w:pPr>
      <w:r>
        <w:lastRenderedPageBreak/>
        <w:t>The argument just given, though accepted by many, involves a gross overestimation of what our linguistic practices can give us in the way of philosophical illumination</w:t>
      </w:r>
      <w:bookmarkStart w:id="406" w:name="_bookmark406"/>
      <w:bookmarkEnd w:id="406"/>
      <w:r>
        <w:t>.</w:t>
      </w:r>
      <w:r>
        <w:rPr>
          <w:color w:val="0562C1"/>
          <w:position w:val="21"/>
          <w:u w:val="single" w:color="0562C1"/>
        </w:rPr>
        <w:t>[290]</w:t>
      </w:r>
      <w:r>
        <w:rPr>
          <w:color w:val="0562C1"/>
          <w:spacing w:val="-7"/>
          <w:position w:val="21"/>
        </w:rPr>
        <w:t xml:space="preserve"> </w:t>
      </w:r>
      <w:r>
        <w:t xml:space="preserve">It’s true that we refer to certain (brain)dead objects as “people.” But, it seems to me, that could well just be a verbal convention. We refer to certain kinds of scooter as “rascals.” But they’re not </w:t>
      </w:r>
      <w:r>
        <w:rPr>
          <w:i/>
        </w:rPr>
        <w:t>really</w:t>
      </w:r>
      <w:r>
        <w:rPr>
          <w:i/>
          <w:spacing w:val="-3"/>
        </w:rPr>
        <w:t xml:space="preserve"> </w:t>
      </w:r>
      <w:r>
        <w:t xml:space="preserve">rascals. (A rascal is a mischievous young person.) I also think that our tendency to describe (brain-)dead bodies as “people” has emotional roots. At some level, we are holding onto the idea that, deep within that ravaged body, is a mind. In any case, the present author puts no stock in arguments such as </w:t>
      </w:r>
      <w:r>
        <w:rPr>
          <w:spacing w:val="-2"/>
        </w:rPr>
        <w:t>(1)–(4).</w:t>
      </w:r>
    </w:p>
    <w:p w14:paraId="7E001D6D" w14:textId="77777777" w:rsidR="009A58DB" w:rsidRDefault="00000000">
      <w:pPr>
        <w:pStyle w:val="Heading1"/>
        <w:numPr>
          <w:ilvl w:val="1"/>
          <w:numId w:val="93"/>
        </w:numPr>
        <w:tabs>
          <w:tab w:val="left" w:pos="990"/>
        </w:tabs>
        <w:spacing w:before="200"/>
      </w:pPr>
      <w:r>
        <w:t>A</w:t>
      </w:r>
      <w:r>
        <w:rPr>
          <w:spacing w:val="-5"/>
        </w:rPr>
        <w:t xml:space="preserve"> </w:t>
      </w:r>
      <w:r>
        <w:t>better</w:t>
      </w:r>
      <w:r>
        <w:rPr>
          <w:spacing w:val="-5"/>
        </w:rPr>
        <w:t xml:space="preserve"> </w:t>
      </w:r>
      <w:r>
        <w:t>argument</w:t>
      </w:r>
      <w:r>
        <w:rPr>
          <w:spacing w:val="-5"/>
        </w:rPr>
        <w:t xml:space="preserve"> </w:t>
      </w:r>
      <w:r>
        <w:t>for</w:t>
      </w:r>
      <w:r>
        <w:rPr>
          <w:spacing w:val="-5"/>
        </w:rPr>
        <w:t xml:space="preserve"> </w:t>
      </w:r>
      <w:r>
        <w:t>the</w:t>
      </w:r>
      <w:r>
        <w:rPr>
          <w:spacing w:val="-5"/>
        </w:rPr>
        <w:t xml:space="preserve"> </w:t>
      </w:r>
      <w:r>
        <w:t>physicalistic</w:t>
      </w:r>
      <w:r>
        <w:rPr>
          <w:spacing w:val="-4"/>
        </w:rPr>
        <w:t xml:space="preserve"> view</w:t>
      </w:r>
    </w:p>
    <w:p w14:paraId="7E001D6E" w14:textId="77777777" w:rsidR="009A58DB" w:rsidRDefault="00000000">
      <w:pPr>
        <w:pStyle w:val="BodyText"/>
        <w:spacing w:before="139" w:line="249" w:lineRule="auto"/>
        <w:ind w:right="365"/>
      </w:pPr>
      <w:r>
        <w:t>But there is a much better argument for the physicalistic conception of personal identity. A story will help us state this argument.</w:t>
      </w:r>
    </w:p>
    <w:p w14:paraId="7E001D6F" w14:textId="77777777" w:rsidR="009A58DB" w:rsidRDefault="00000000">
      <w:pPr>
        <w:pStyle w:val="BodyText"/>
        <w:spacing w:before="2" w:line="249" w:lineRule="auto"/>
        <w:ind w:right="358" w:firstLine="360"/>
      </w:pPr>
      <w:r>
        <w:t>Smith is a normal adult with a vigorous mind. One day he’s hit by a bus. There is a complete cessation of all mental activity. Smith’s stream of mental activity has been snipped. But Smith’s body doesn’t die. It goes into a vegetative coma for 20 years. During that time, there is no mental activity at all in what was once Smith’s brain. The brain centers regulating automatic functions (e.g., respiration, digestion) work just fine, but the parts involved in mental activity are totally inactive. No thoughts, no dreams, no sensations. Nothing. After 20 years, the body wakes up, and the hitherto inactive brain centers spring back to life. The occupant of that body is obviously in complete</w:t>
      </w:r>
      <w:r>
        <w:rPr>
          <w:spacing w:val="-4"/>
        </w:rPr>
        <w:t xml:space="preserve"> </w:t>
      </w:r>
      <w:r>
        <w:t>command</w:t>
      </w:r>
      <w:r>
        <w:rPr>
          <w:spacing w:val="-3"/>
        </w:rPr>
        <w:t xml:space="preserve"> </w:t>
      </w:r>
      <w:r>
        <w:t>of</w:t>
      </w:r>
      <w:r>
        <w:rPr>
          <w:spacing w:val="-4"/>
        </w:rPr>
        <w:t xml:space="preserve"> </w:t>
      </w:r>
      <w:r>
        <w:t>his</w:t>
      </w:r>
      <w:r>
        <w:rPr>
          <w:spacing w:val="-4"/>
        </w:rPr>
        <w:t xml:space="preserve"> </w:t>
      </w:r>
      <w:r>
        <w:t>faculties.</w:t>
      </w:r>
      <w:r>
        <w:rPr>
          <w:spacing w:val="-3"/>
        </w:rPr>
        <w:t xml:space="preserve"> </w:t>
      </w:r>
      <w:r>
        <w:t>His</w:t>
      </w:r>
      <w:r>
        <w:rPr>
          <w:spacing w:val="-4"/>
        </w:rPr>
        <w:t xml:space="preserve"> </w:t>
      </w:r>
      <w:r>
        <w:t>personality</w:t>
      </w:r>
      <w:r>
        <w:rPr>
          <w:spacing w:val="-3"/>
        </w:rPr>
        <w:t xml:space="preserve"> </w:t>
      </w:r>
      <w:r>
        <w:t>traits</w:t>
      </w:r>
      <w:r>
        <w:rPr>
          <w:spacing w:val="-4"/>
        </w:rPr>
        <w:t xml:space="preserve"> </w:t>
      </w:r>
      <w:r>
        <w:t>are</w:t>
      </w:r>
      <w:r>
        <w:rPr>
          <w:spacing w:val="-4"/>
        </w:rPr>
        <w:t xml:space="preserve"> </w:t>
      </w:r>
      <w:r>
        <w:t>just</w:t>
      </w:r>
      <w:r>
        <w:rPr>
          <w:spacing w:val="-4"/>
        </w:rPr>
        <w:t xml:space="preserve"> </w:t>
      </w:r>
      <w:r>
        <w:t>like</w:t>
      </w:r>
      <w:r>
        <w:rPr>
          <w:spacing w:val="-4"/>
        </w:rPr>
        <w:t xml:space="preserve"> </w:t>
      </w:r>
      <w:r>
        <w:t>those</w:t>
      </w:r>
      <w:r>
        <w:rPr>
          <w:spacing w:val="-4"/>
        </w:rPr>
        <w:t xml:space="preserve"> </w:t>
      </w:r>
      <w:r>
        <w:t>of the pre-accident occupant of that same body, as are the values, the memories, the cognitive aptitudes, and so on. Let X be the person who occupied that body before the accident and let Y be the person who’s been occupying it since the accident.</w:t>
      </w:r>
    </w:p>
    <w:p w14:paraId="7E001D70" w14:textId="77777777" w:rsidR="009A58DB" w:rsidRDefault="00000000">
      <w:pPr>
        <w:pStyle w:val="BodyText"/>
        <w:spacing w:before="18" w:line="249" w:lineRule="auto"/>
        <w:ind w:right="369" w:firstLine="360"/>
      </w:pPr>
      <w:r>
        <w:t xml:space="preserve">Is X the same person as Y? Is the post-coma person Smith? Or is it somebody who is psychologically a lot like Smith, but isn’t </w:t>
      </w:r>
      <w:r>
        <w:rPr>
          <w:i/>
        </w:rPr>
        <w:t xml:space="preserve">actually </w:t>
      </w:r>
      <w:r>
        <w:t>him?</w:t>
      </w:r>
    </w:p>
    <w:p w14:paraId="7E001D71" w14:textId="77777777" w:rsidR="009A58DB" w:rsidRDefault="00000000">
      <w:pPr>
        <w:pStyle w:val="BodyText"/>
        <w:spacing w:before="2" w:line="249" w:lineRule="auto"/>
        <w:ind w:right="360" w:firstLine="360"/>
      </w:pPr>
      <w:r>
        <w:t>Surely it really is Smith. That’s what we’d say, anyway. It’s very hard to believe that Y is a brand-new person (albeit one who has the psychological characteristics ordinarily had only by adults).</w:t>
      </w:r>
    </w:p>
    <w:p w14:paraId="7E001D72" w14:textId="77777777" w:rsidR="009A58DB" w:rsidRDefault="00000000">
      <w:pPr>
        <w:pStyle w:val="BodyText"/>
        <w:spacing w:before="4" w:line="249" w:lineRule="auto"/>
        <w:ind w:right="362" w:firstLine="360"/>
      </w:pPr>
      <w:r>
        <w:t xml:space="preserve">This is a serious problem for the mentalistic view of personal identity. According to the mentalist, Smith </w:t>
      </w:r>
      <w:r>
        <w:rPr>
          <w:i/>
        </w:rPr>
        <w:t>is</w:t>
      </w:r>
      <w:r>
        <w:rPr>
          <w:i/>
          <w:spacing w:val="-3"/>
        </w:rPr>
        <w:t xml:space="preserve"> </w:t>
      </w:r>
      <w:r>
        <w:t>his mind. No mind, no Smith. Whatever</w:t>
      </w:r>
    </w:p>
    <w:p w14:paraId="7E001D7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74" w14:textId="77777777" w:rsidR="009A58DB" w:rsidRDefault="00000000">
      <w:pPr>
        <w:pStyle w:val="BodyText"/>
        <w:spacing w:before="60" w:line="249" w:lineRule="auto"/>
        <w:ind w:right="360"/>
        <w:rPr>
          <w:position w:val="21"/>
        </w:rPr>
      </w:pPr>
      <w:r>
        <w:lastRenderedPageBreak/>
        <w:t xml:space="preserve">his mind is exactly, it would make no sense to say “his </w:t>
      </w:r>
      <w:r>
        <w:rPr>
          <w:i/>
        </w:rPr>
        <w:t xml:space="preserve">mind </w:t>
      </w:r>
      <w:r>
        <w:t>is fine—but there’s not so much as a flicker of mental activity going on in that head of his.” Thus, no thoughts, no mind. So if the mentalist is right “no thoughts” means “no mind”; which means “no Smith”; which means that the minute Smith’s mental stream was cut off, Smith ceased to exist</w:t>
      </w:r>
      <w:bookmarkStart w:id="407" w:name="_bookmark407"/>
      <w:bookmarkEnd w:id="407"/>
      <w:r>
        <w:t>.</w:t>
      </w:r>
      <w:r>
        <w:rPr>
          <w:color w:val="0562C1"/>
          <w:position w:val="21"/>
          <w:u w:val="single" w:color="0562C1"/>
        </w:rPr>
        <w:t>[291]</w:t>
      </w:r>
    </w:p>
    <w:p w14:paraId="7E001D75" w14:textId="77777777" w:rsidR="009A58DB" w:rsidRDefault="00000000">
      <w:pPr>
        <w:pStyle w:val="Heading1"/>
        <w:numPr>
          <w:ilvl w:val="2"/>
          <w:numId w:val="93"/>
        </w:numPr>
        <w:tabs>
          <w:tab w:val="left" w:pos="1305"/>
        </w:tabs>
        <w:spacing w:before="199"/>
      </w:pPr>
      <w:r>
        <w:t>An</w:t>
      </w:r>
      <w:r>
        <w:rPr>
          <w:spacing w:val="-8"/>
        </w:rPr>
        <w:t xml:space="preserve"> </w:t>
      </w:r>
      <w:r>
        <w:t>unsuccessful</w:t>
      </w:r>
      <w:r>
        <w:rPr>
          <w:spacing w:val="-8"/>
        </w:rPr>
        <w:t xml:space="preserve"> </w:t>
      </w:r>
      <w:r>
        <w:t>mentalistic</w:t>
      </w:r>
      <w:r>
        <w:rPr>
          <w:spacing w:val="-8"/>
        </w:rPr>
        <w:t xml:space="preserve"> </w:t>
      </w:r>
      <w:r>
        <w:rPr>
          <w:spacing w:val="-2"/>
        </w:rPr>
        <w:t>rejoinder</w:t>
      </w:r>
    </w:p>
    <w:p w14:paraId="7E001D76" w14:textId="77777777" w:rsidR="009A58DB" w:rsidRDefault="00000000">
      <w:pPr>
        <w:pStyle w:val="BodyText"/>
        <w:spacing w:before="139"/>
      </w:pPr>
      <w:r>
        <w:t>“But</w:t>
      </w:r>
      <w:r>
        <w:rPr>
          <w:spacing w:val="-6"/>
        </w:rPr>
        <w:t xml:space="preserve"> </w:t>
      </w:r>
      <w:r>
        <w:t>so</w:t>
      </w:r>
      <w:r>
        <w:rPr>
          <w:spacing w:val="-3"/>
        </w:rPr>
        <w:t xml:space="preserve"> </w:t>
      </w:r>
      <w:r>
        <w:t>what?,”</w:t>
      </w:r>
      <w:r>
        <w:rPr>
          <w:spacing w:val="-4"/>
        </w:rPr>
        <w:t xml:space="preserve"> </w:t>
      </w:r>
      <w:r>
        <w:t>a</w:t>
      </w:r>
      <w:r>
        <w:rPr>
          <w:spacing w:val="-3"/>
        </w:rPr>
        <w:t xml:space="preserve"> </w:t>
      </w:r>
      <w:r>
        <w:t>mentalist</w:t>
      </w:r>
      <w:r>
        <w:rPr>
          <w:spacing w:val="-4"/>
        </w:rPr>
        <w:t xml:space="preserve"> </w:t>
      </w:r>
      <w:r>
        <w:t>might</w:t>
      </w:r>
      <w:r>
        <w:rPr>
          <w:spacing w:val="-3"/>
        </w:rPr>
        <w:t xml:space="preserve"> </w:t>
      </w:r>
      <w:r>
        <w:rPr>
          <w:spacing w:val="-4"/>
        </w:rPr>
        <w:t>ask:</w:t>
      </w:r>
    </w:p>
    <w:p w14:paraId="7E001D77" w14:textId="77777777" w:rsidR="009A58DB" w:rsidRDefault="00000000">
      <w:pPr>
        <w:pStyle w:val="BodyText"/>
        <w:spacing w:before="255" w:line="249" w:lineRule="auto"/>
        <w:ind w:left="720" w:right="357"/>
      </w:pPr>
      <w:r>
        <w:t xml:space="preserve">“Smith went out of existence 20 years ago. And he came back into existence a few days ago. The same happens to everyone every day. You go to sleep. During that time, except when you’re dreaming, your mind is gone, and so, therefore, are you. You wake up, and your mind is back, and so, therefore, are you. People go away. They come back. What’s the </w:t>
      </w:r>
      <w:r>
        <w:rPr>
          <w:spacing w:val="-2"/>
        </w:rPr>
        <w:t>problem?”</w:t>
      </w:r>
    </w:p>
    <w:p w14:paraId="7E001D78" w14:textId="77777777" w:rsidR="009A58DB" w:rsidRDefault="00000000">
      <w:pPr>
        <w:pStyle w:val="BodyText"/>
        <w:spacing w:before="247" w:line="249" w:lineRule="auto"/>
        <w:ind w:right="358" w:firstLine="360"/>
      </w:pPr>
      <w:r>
        <w:t xml:space="preserve">Here’s the problem. Nothing that goes out of existence comes back into existence. Ever. No exceptions. Therefore, if </w:t>
      </w:r>
      <w:r>
        <w:rPr>
          <w:i/>
        </w:rPr>
        <w:t>you</w:t>
      </w:r>
      <w:r>
        <w:rPr>
          <w:i/>
          <w:spacing w:val="-3"/>
        </w:rPr>
        <w:t xml:space="preserve"> </w:t>
      </w:r>
      <w:r>
        <w:t xml:space="preserve">can survive interruptions of your mental existence—if </w:t>
      </w:r>
      <w:r>
        <w:rPr>
          <w:i/>
        </w:rPr>
        <w:t xml:space="preserve">you </w:t>
      </w:r>
      <w:r>
        <w:t>can awaken from a sleep, or a coma, during which</w:t>
      </w:r>
      <w:r>
        <w:rPr>
          <w:spacing w:val="-2"/>
        </w:rPr>
        <w:t xml:space="preserve"> </w:t>
      </w:r>
      <w:r>
        <w:t>there</w:t>
      </w:r>
      <w:r>
        <w:rPr>
          <w:spacing w:val="-3"/>
        </w:rPr>
        <w:t xml:space="preserve"> </w:t>
      </w:r>
      <w:r>
        <w:t>was</w:t>
      </w:r>
      <w:r>
        <w:rPr>
          <w:spacing w:val="-3"/>
        </w:rPr>
        <w:t xml:space="preserve"> </w:t>
      </w:r>
      <w:r>
        <w:rPr>
          <w:i/>
        </w:rPr>
        <w:t xml:space="preserve">no mental activity at all </w:t>
      </w:r>
      <w:r>
        <w:t xml:space="preserve">in your cranium—then </w:t>
      </w:r>
      <w:r>
        <w:rPr>
          <w:i/>
        </w:rPr>
        <w:t>you</w:t>
      </w:r>
      <w:r>
        <w:rPr>
          <w:i/>
          <w:spacing w:val="-2"/>
        </w:rPr>
        <w:t xml:space="preserve"> </w:t>
      </w:r>
      <w:r>
        <w:t>are not a stream</w:t>
      </w:r>
      <w:r>
        <w:rPr>
          <w:spacing w:val="-1"/>
        </w:rPr>
        <w:t xml:space="preserve"> </w:t>
      </w:r>
      <w:r>
        <w:t>of</w:t>
      </w:r>
      <w:r>
        <w:rPr>
          <w:spacing w:val="-1"/>
        </w:rPr>
        <w:t xml:space="preserve"> </w:t>
      </w:r>
      <w:r>
        <w:t>mental</w:t>
      </w:r>
      <w:r>
        <w:rPr>
          <w:spacing w:val="-1"/>
        </w:rPr>
        <w:t xml:space="preserve"> </w:t>
      </w:r>
      <w:r>
        <w:t>activity.</w:t>
      </w:r>
      <w:r>
        <w:rPr>
          <w:spacing w:val="-1"/>
        </w:rPr>
        <w:t xml:space="preserve"> </w:t>
      </w:r>
      <w:r>
        <w:t>And</w:t>
      </w:r>
      <w:r>
        <w:rPr>
          <w:spacing w:val="-1"/>
        </w:rPr>
        <w:t xml:space="preserve"> </w:t>
      </w:r>
      <w:r>
        <w:t>if</w:t>
      </w:r>
      <w:r>
        <w:rPr>
          <w:spacing w:val="-1"/>
        </w:rPr>
        <w:t xml:space="preserve"> </w:t>
      </w:r>
      <w:r>
        <w:t>you</w:t>
      </w:r>
      <w:r>
        <w:rPr>
          <w:spacing w:val="-1"/>
        </w:rPr>
        <w:t xml:space="preserve"> </w:t>
      </w:r>
      <w:r>
        <w:t>are</w:t>
      </w:r>
      <w:r>
        <w:rPr>
          <w:spacing w:val="-1"/>
        </w:rPr>
        <w:t xml:space="preserve"> </w:t>
      </w:r>
      <w:r>
        <w:t>not</w:t>
      </w:r>
      <w:r>
        <w:rPr>
          <w:spacing w:val="-1"/>
        </w:rPr>
        <w:t xml:space="preserve"> </w:t>
      </w:r>
      <w:r>
        <w:t>such</w:t>
      </w:r>
      <w:r>
        <w:rPr>
          <w:spacing w:val="-1"/>
        </w:rPr>
        <w:t xml:space="preserve"> </w:t>
      </w:r>
      <w:r>
        <w:t>a</w:t>
      </w:r>
      <w:r>
        <w:rPr>
          <w:spacing w:val="-1"/>
        </w:rPr>
        <w:t xml:space="preserve"> </w:t>
      </w:r>
      <w:r>
        <w:t>stream,</w:t>
      </w:r>
      <w:r>
        <w:rPr>
          <w:spacing w:val="-1"/>
        </w:rPr>
        <w:t xml:space="preserve"> </w:t>
      </w:r>
      <w:r>
        <w:t>it’s</w:t>
      </w:r>
      <w:r>
        <w:rPr>
          <w:spacing w:val="-1"/>
        </w:rPr>
        <w:t xml:space="preserve"> </w:t>
      </w:r>
      <w:r>
        <w:t>a</w:t>
      </w:r>
      <w:r>
        <w:rPr>
          <w:spacing w:val="-1"/>
        </w:rPr>
        <w:t xml:space="preserve"> </w:t>
      </w:r>
      <w:r>
        <w:t>little</w:t>
      </w:r>
      <w:r>
        <w:rPr>
          <w:spacing w:val="-1"/>
        </w:rPr>
        <w:t xml:space="preserve"> </w:t>
      </w:r>
      <w:r>
        <w:t>hard</w:t>
      </w:r>
      <w:r>
        <w:rPr>
          <w:spacing w:val="-1"/>
        </w:rPr>
        <w:t xml:space="preserve"> </w:t>
      </w:r>
      <w:r>
        <w:t xml:space="preserve">to see how </w:t>
      </w:r>
      <w:r>
        <w:rPr>
          <w:i/>
        </w:rPr>
        <w:t xml:space="preserve">you </w:t>
      </w:r>
      <w:r>
        <w:t xml:space="preserve">could be your mind. So if </w:t>
      </w:r>
      <w:r>
        <w:rPr>
          <w:i/>
        </w:rPr>
        <w:t xml:space="preserve">you </w:t>
      </w:r>
      <w:r>
        <w:t xml:space="preserve">can wake up from thought-free slumber, then </w:t>
      </w:r>
      <w:r>
        <w:rPr>
          <w:i/>
        </w:rPr>
        <w:t xml:space="preserve">you </w:t>
      </w:r>
      <w:r>
        <w:t>aren’t your thoughts or, therefore, your mind; and since it was your body, and your body alone, that existed uninterruptedly during sleep-time, you must be your body.</w:t>
      </w:r>
    </w:p>
    <w:p w14:paraId="7E001D79" w14:textId="77777777" w:rsidR="009A58DB" w:rsidRDefault="00000000">
      <w:pPr>
        <w:pStyle w:val="BodyText"/>
        <w:spacing w:before="11" w:line="249" w:lineRule="auto"/>
        <w:ind w:right="358" w:firstLine="360"/>
      </w:pPr>
      <w:r>
        <w:t>By way of anticipation, I myself reject one of the steps in this argument. Although I do think that one is one’s mind, I don’t think that one’s mind is one’s thoughts. (I believe, for reasons to be discussed, that one’s mind is a structure that gives rise to thoughts but does not itself consist of them.) But right now, instead of saying why, in my view, this argument is objectionable, I want to make it clear why it is such a powerful argument.</w:t>
      </w:r>
    </w:p>
    <w:p w14:paraId="7E001D7A" w14:textId="77777777" w:rsidR="009A58DB" w:rsidRDefault="00000000">
      <w:pPr>
        <w:pStyle w:val="Heading1"/>
        <w:numPr>
          <w:ilvl w:val="2"/>
          <w:numId w:val="93"/>
        </w:numPr>
        <w:tabs>
          <w:tab w:val="left" w:pos="1305"/>
        </w:tabs>
        <w:spacing w:before="211" w:line="244" w:lineRule="auto"/>
        <w:ind w:left="360" w:right="2045" w:firstLine="0"/>
      </w:pPr>
      <w:r>
        <w:t>An</w:t>
      </w:r>
      <w:r>
        <w:rPr>
          <w:spacing w:val="-14"/>
        </w:rPr>
        <w:t xml:space="preserve"> </w:t>
      </w:r>
      <w:r>
        <w:t>unsuccessful</w:t>
      </w:r>
      <w:r>
        <w:rPr>
          <w:spacing w:val="-14"/>
        </w:rPr>
        <w:t xml:space="preserve"> </w:t>
      </w:r>
      <w:r>
        <w:t>mentalistic</w:t>
      </w:r>
      <w:r>
        <w:rPr>
          <w:spacing w:val="-14"/>
        </w:rPr>
        <w:t xml:space="preserve"> </w:t>
      </w:r>
      <w:r>
        <w:t xml:space="preserve">rejoinder </w:t>
      </w:r>
      <w:r>
        <w:rPr>
          <w:spacing w:val="-2"/>
        </w:rPr>
        <w:t>(continued)</w:t>
      </w:r>
    </w:p>
    <w:p w14:paraId="7E001D7B" w14:textId="77777777" w:rsidR="009A58DB" w:rsidRDefault="00000000">
      <w:pPr>
        <w:pStyle w:val="BodyText"/>
        <w:spacing w:before="131"/>
      </w:pPr>
      <w:r>
        <w:t>What</w:t>
      </w:r>
      <w:r>
        <w:rPr>
          <w:spacing w:val="14"/>
        </w:rPr>
        <w:t xml:space="preserve"> </w:t>
      </w:r>
      <w:r>
        <w:t>most</w:t>
      </w:r>
      <w:r>
        <w:rPr>
          <w:spacing w:val="16"/>
        </w:rPr>
        <w:t xml:space="preserve"> </w:t>
      </w:r>
      <w:r>
        <w:t>people</w:t>
      </w:r>
      <w:r>
        <w:rPr>
          <w:spacing w:val="17"/>
        </w:rPr>
        <w:t xml:space="preserve"> </w:t>
      </w:r>
      <w:r>
        <w:t>will</w:t>
      </w:r>
      <w:r>
        <w:rPr>
          <w:spacing w:val="17"/>
        </w:rPr>
        <w:t xml:space="preserve"> </w:t>
      </w:r>
      <w:r>
        <w:t>disagree</w:t>
      </w:r>
      <w:r>
        <w:rPr>
          <w:spacing w:val="16"/>
        </w:rPr>
        <w:t xml:space="preserve"> </w:t>
      </w:r>
      <w:r>
        <w:t>with</w:t>
      </w:r>
      <w:r>
        <w:rPr>
          <w:spacing w:val="18"/>
        </w:rPr>
        <w:t xml:space="preserve"> </w:t>
      </w:r>
      <w:r>
        <w:t>in</w:t>
      </w:r>
      <w:r>
        <w:rPr>
          <w:spacing w:val="16"/>
        </w:rPr>
        <w:t xml:space="preserve"> </w:t>
      </w:r>
      <w:r>
        <w:t>this</w:t>
      </w:r>
      <w:r>
        <w:rPr>
          <w:spacing w:val="16"/>
        </w:rPr>
        <w:t xml:space="preserve"> </w:t>
      </w:r>
      <w:r>
        <w:t>argument</w:t>
      </w:r>
      <w:r>
        <w:rPr>
          <w:spacing w:val="18"/>
        </w:rPr>
        <w:t xml:space="preserve"> </w:t>
      </w:r>
      <w:r>
        <w:t>is</w:t>
      </w:r>
      <w:r>
        <w:rPr>
          <w:spacing w:val="16"/>
        </w:rPr>
        <w:t xml:space="preserve"> </w:t>
      </w:r>
      <w:r>
        <w:t>the</w:t>
      </w:r>
      <w:r>
        <w:rPr>
          <w:spacing w:val="16"/>
        </w:rPr>
        <w:t xml:space="preserve"> </w:t>
      </w:r>
      <w:r>
        <w:t>assumption</w:t>
      </w:r>
      <w:r>
        <w:rPr>
          <w:spacing w:val="18"/>
        </w:rPr>
        <w:t xml:space="preserve"> </w:t>
      </w:r>
      <w:r>
        <w:rPr>
          <w:spacing w:val="-4"/>
        </w:rPr>
        <w:t>that</w:t>
      </w:r>
    </w:p>
    <w:p w14:paraId="7E001D7C" w14:textId="77777777" w:rsidR="009A58DB" w:rsidRDefault="009A58DB">
      <w:pPr>
        <w:pStyle w:val="BodyText"/>
        <w:sectPr w:rsidR="009A58DB">
          <w:pgSz w:w="12240" w:h="15840"/>
          <w:pgMar w:top="1380" w:right="1080" w:bottom="280" w:left="1080" w:header="720" w:footer="720" w:gutter="0"/>
          <w:cols w:space="720"/>
        </w:sectPr>
      </w:pPr>
    </w:p>
    <w:p w14:paraId="7E001D7D" w14:textId="77777777" w:rsidR="009A58DB" w:rsidRDefault="00000000">
      <w:pPr>
        <w:spacing w:before="72"/>
        <w:ind w:left="360"/>
        <w:jc w:val="both"/>
        <w:rPr>
          <w:i/>
          <w:sz w:val="30"/>
        </w:rPr>
      </w:pPr>
      <w:r>
        <w:rPr>
          <w:i/>
          <w:sz w:val="30"/>
        </w:rPr>
        <w:lastRenderedPageBreak/>
        <w:t>nothing</w:t>
      </w:r>
      <w:r>
        <w:rPr>
          <w:i/>
          <w:spacing w:val="-4"/>
          <w:sz w:val="30"/>
        </w:rPr>
        <w:t xml:space="preserve"> </w:t>
      </w:r>
      <w:r>
        <w:rPr>
          <w:i/>
          <w:sz w:val="30"/>
        </w:rPr>
        <w:t>that</w:t>
      </w:r>
      <w:r>
        <w:rPr>
          <w:i/>
          <w:spacing w:val="-3"/>
          <w:sz w:val="30"/>
        </w:rPr>
        <w:t xml:space="preserve"> </w:t>
      </w:r>
      <w:r>
        <w:rPr>
          <w:i/>
          <w:sz w:val="30"/>
        </w:rPr>
        <w:t>goes</w:t>
      </w:r>
      <w:r>
        <w:rPr>
          <w:i/>
          <w:spacing w:val="-3"/>
          <w:sz w:val="30"/>
        </w:rPr>
        <w:t xml:space="preserve"> </w:t>
      </w:r>
      <w:r>
        <w:rPr>
          <w:i/>
          <w:sz w:val="30"/>
        </w:rPr>
        <w:t>out</w:t>
      </w:r>
      <w:r>
        <w:rPr>
          <w:i/>
          <w:spacing w:val="-3"/>
          <w:sz w:val="30"/>
        </w:rPr>
        <w:t xml:space="preserve"> </w:t>
      </w:r>
      <w:r>
        <w:rPr>
          <w:i/>
          <w:sz w:val="30"/>
        </w:rPr>
        <w:t>of</w:t>
      </w:r>
      <w:r>
        <w:rPr>
          <w:i/>
          <w:spacing w:val="-3"/>
          <w:sz w:val="30"/>
        </w:rPr>
        <w:t xml:space="preserve"> </w:t>
      </w:r>
      <w:r>
        <w:rPr>
          <w:i/>
          <w:sz w:val="30"/>
        </w:rPr>
        <w:t>existence</w:t>
      </w:r>
      <w:r>
        <w:rPr>
          <w:i/>
          <w:spacing w:val="-3"/>
          <w:sz w:val="30"/>
        </w:rPr>
        <w:t xml:space="preserve"> </w:t>
      </w:r>
      <w:r>
        <w:rPr>
          <w:i/>
          <w:sz w:val="30"/>
        </w:rPr>
        <w:t>comes</w:t>
      </w:r>
      <w:r>
        <w:rPr>
          <w:i/>
          <w:spacing w:val="-3"/>
          <w:sz w:val="30"/>
        </w:rPr>
        <w:t xml:space="preserve"> </w:t>
      </w:r>
      <w:r>
        <w:rPr>
          <w:i/>
          <w:sz w:val="30"/>
        </w:rPr>
        <w:t>back</w:t>
      </w:r>
      <w:r>
        <w:rPr>
          <w:i/>
          <w:spacing w:val="-3"/>
          <w:sz w:val="30"/>
        </w:rPr>
        <w:t xml:space="preserve"> </w:t>
      </w:r>
      <w:r>
        <w:rPr>
          <w:i/>
          <w:sz w:val="30"/>
        </w:rPr>
        <w:t>into</w:t>
      </w:r>
      <w:r>
        <w:rPr>
          <w:i/>
          <w:spacing w:val="-1"/>
          <w:sz w:val="30"/>
        </w:rPr>
        <w:t xml:space="preserve"> </w:t>
      </w:r>
      <w:r>
        <w:rPr>
          <w:i/>
          <w:spacing w:val="-2"/>
          <w:sz w:val="30"/>
        </w:rPr>
        <w:t>existence.</w:t>
      </w:r>
    </w:p>
    <w:p w14:paraId="7E001D7E" w14:textId="77777777" w:rsidR="009A58DB" w:rsidRDefault="00000000">
      <w:pPr>
        <w:pStyle w:val="BodyText"/>
        <w:spacing w:before="8" w:line="249" w:lineRule="auto"/>
        <w:ind w:right="359" w:firstLine="360"/>
      </w:pPr>
      <w:r>
        <w:t>“But surely that isn’t right,” it will be said. “What about reincarnation? Teleportation? Can’t things take breaks from existence? Can’t they, so to speak, go on holiday, and then come back later?”</w:t>
      </w:r>
    </w:p>
    <w:p w14:paraId="7E001D7F" w14:textId="77777777" w:rsidR="009A58DB" w:rsidRDefault="00000000">
      <w:pPr>
        <w:pStyle w:val="BodyText"/>
        <w:spacing w:before="3" w:line="249" w:lineRule="auto"/>
        <w:ind w:right="363" w:firstLine="360"/>
      </w:pPr>
      <w:r>
        <w:t>No. A story will make this clear. Using your laser gun, you vaporize some rock. So what was once a very sturdy, solid rock has now been dispersed into various atoms. But you manage, through some miracle of technology, to locate all of these atoms, scattered throughout space though they are, and</w:t>
      </w:r>
      <w:r>
        <w:rPr>
          <w:spacing w:val="40"/>
        </w:rPr>
        <w:t xml:space="preserve"> </w:t>
      </w:r>
      <w:r>
        <w:t xml:space="preserve">then to reassemble them into a rock that is qualitatively just like the rock you vaporized. Question: is the new rock numerically identical with the one you vaporized? In other words, is it </w:t>
      </w:r>
      <w:r>
        <w:rPr>
          <w:i/>
        </w:rPr>
        <w:t xml:space="preserve">the very same rock? </w:t>
      </w:r>
      <w:r>
        <w:t>Or, instead, is it a</w:t>
      </w:r>
      <w:r>
        <w:rPr>
          <w:spacing w:val="40"/>
        </w:rPr>
        <w:t xml:space="preserve"> </w:t>
      </w:r>
      <w:r>
        <w:t xml:space="preserve">distinct rock that is </w:t>
      </w:r>
      <w:r>
        <w:rPr>
          <w:i/>
        </w:rPr>
        <w:t xml:space="preserve">extremely similar </w:t>
      </w:r>
      <w:r>
        <w:t>to the old one?</w:t>
      </w:r>
    </w:p>
    <w:p w14:paraId="7E001D80" w14:textId="77777777" w:rsidR="009A58DB" w:rsidRDefault="00000000">
      <w:pPr>
        <w:pStyle w:val="BodyText"/>
        <w:spacing w:before="10" w:line="249" w:lineRule="auto"/>
        <w:ind w:right="360" w:firstLine="360"/>
      </w:pPr>
      <w:r>
        <w:t xml:space="preserve">Answer: it’s a distinct rock that’s very similar to the old one. They are, apart from their spatiotemporal properties, qualitatively but not numerically </w:t>
      </w:r>
      <w:r>
        <w:rPr>
          <w:spacing w:val="-2"/>
        </w:rPr>
        <w:t>identical.</w:t>
      </w:r>
    </w:p>
    <w:p w14:paraId="7E001D81" w14:textId="77777777" w:rsidR="009A58DB" w:rsidRDefault="00000000">
      <w:pPr>
        <w:pStyle w:val="BodyText"/>
        <w:spacing w:before="4"/>
        <w:ind w:left="720"/>
      </w:pPr>
      <w:r>
        <w:t>Another,</w:t>
      </w:r>
      <w:r>
        <w:rPr>
          <w:spacing w:val="11"/>
        </w:rPr>
        <w:t xml:space="preserve"> </w:t>
      </w:r>
      <w:r>
        <w:t>similar</w:t>
      </w:r>
      <w:r>
        <w:rPr>
          <w:spacing w:val="14"/>
        </w:rPr>
        <w:t xml:space="preserve"> </w:t>
      </w:r>
      <w:r>
        <w:t>story</w:t>
      </w:r>
      <w:r>
        <w:rPr>
          <w:spacing w:val="15"/>
        </w:rPr>
        <w:t xml:space="preserve"> </w:t>
      </w:r>
      <w:r>
        <w:t>will</w:t>
      </w:r>
      <w:r>
        <w:rPr>
          <w:spacing w:val="14"/>
        </w:rPr>
        <w:t xml:space="preserve"> </w:t>
      </w:r>
      <w:r>
        <w:t>reinforce</w:t>
      </w:r>
      <w:r>
        <w:rPr>
          <w:spacing w:val="15"/>
        </w:rPr>
        <w:t xml:space="preserve"> </w:t>
      </w:r>
      <w:r>
        <w:t>this</w:t>
      </w:r>
      <w:r>
        <w:rPr>
          <w:spacing w:val="13"/>
        </w:rPr>
        <w:t xml:space="preserve"> </w:t>
      </w:r>
      <w:r>
        <w:t>conclusion.</w:t>
      </w:r>
      <w:r>
        <w:rPr>
          <w:spacing w:val="15"/>
        </w:rPr>
        <w:t xml:space="preserve"> </w:t>
      </w:r>
      <w:r>
        <w:t>Rock</w:t>
      </w:r>
      <w:r>
        <w:rPr>
          <w:spacing w:val="15"/>
        </w:rPr>
        <w:t xml:space="preserve"> </w:t>
      </w:r>
      <w:r>
        <w:t>R</w:t>
      </w:r>
      <w:r>
        <w:rPr>
          <w:spacing w:val="14"/>
        </w:rPr>
        <w:t xml:space="preserve"> </w:t>
      </w:r>
      <w:r>
        <w:t>is</w:t>
      </w:r>
      <w:r>
        <w:rPr>
          <w:spacing w:val="15"/>
        </w:rPr>
        <w:t xml:space="preserve"> </w:t>
      </w:r>
      <w:r>
        <w:rPr>
          <w:spacing w:val="-2"/>
        </w:rPr>
        <w:t>vaporized</w:t>
      </w:r>
    </w:p>
    <w:p w14:paraId="7E001D82" w14:textId="77777777" w:rsidR="009A58DB" w:rsidRDefault="00000000">
      <w:pPr>
        <w:pStyle w:val="BodyText"/>
        <w:spacing w:before="15" w:line="249" w:lineRule="auto"/>
        <w:ind w:right="359"/>
      </w:pPr>
      <w:r>
        <w:t>—but not by a human or anything else that can act deliberately. The blind, uncaring hand of nature is what does the vaporizing. R’s atoms are dispersed through the cosmos. But, by some extraordinary coincidence, they all reconvene a million years later and they attach themselves to one another, thereby forming a new rock. Let R* be this new rock. Of course, R* consists of exactly the same particles as R. Moreover, R*’s structure is exactly like R’s. Finally, each of the atoms composing R* has exactly the same role within R*’s structure that it had within R’s structure. So</w:t>
      </w:r>
    </w:p>
    <w:p w14:paraId="7E001D83" w14:textId="77777777" w:rsidR="009A58DB" w:rsidRDefault="00000000">
      <w:pPr>
        <w:pStyle w:val="BodyText"/>
        <w:spacing w:before="10"/>
        <w:jc w:val="left"/>
      </w:pPr>
      <w:r>
        <w:rPr>
          <w:spacing w:val="-10"/>
        </w:rPr>
        <w:t>R</w:t>
      </w:r>
    </w:p>
    <w:p w14:paraId="7E001D84" w14:textId="77777777" w:rsidR="009A58DB" w:rsidRDefault="00000000">
      <w:pPr>
        <w:spacing w:before="15" w:line="249" w:lineRule="auto"/>
        <w:ind w:left="360" w:right="364"/>
        <w:jc w:val="both"/>
        <w:rPr>
          <w:i/>
          <w:sz w:val="30"/>
        </w:rPr>
      </w:pPr>
      <w:r>
        <w:rPr>
          <w:sz w:val="30"/>
        </w:rPr>
        <w:t xml:space="preserve">and R* are, apart from their spatiotemporal differences, qualitatively identical. </w:t>
      </w:r>
      <w:r>
        <w:rPr>
          <w:i/>
          <w:sz w:val="30"/>
        </w:rPr>
        <w:t>But surely they’re not numerically identical.</w:t>
      </w:r>
    </w:p>
    <w:p w14:paraId="7E001D85" w14:textId="77777777" w:rsidR="009A58DB" w:rsidRDefault="00000000">
      <w:pPr>
        <w:pStyle w:val="Heading1"/>
        <w:numPr>
          <w:ilvl w:val="1"/>
          <w:numId w:val="93"/>
        </w:numPr>
        <w:tabs>
          <w:tab w:val="left" w:pos="990"/>
        </w:tabs>
        <w:spacing w:before="190"/>
      </w:pPr>
      <w:r>
        <w:t>Continuity</w:t>
      </w:r>
      <w:r>
        <w:rPr>
          <w:spacing w:val="-7"/>
        </w:rPr>
        <w:t xml:space="preserve"> </w:t>
      </w:r>
      <w:r>
        <w:t>the</w:t>
      </w:r>
      <w:r>
        <w:rPr>
          <w:spacing w:val="-6"/>
        </w:rPr>
        <w:t xml:space="preserve"> </w:t>
      </w:r>
      <w:r>
        <w:t>essence</w:t>
      </w:r>
      <w:r>
        <w:rPr>
          <w:spacing w:val="-5"/>
        </w:rPr>
        <w:t xml:space="preserve"> </w:t>
      </w:r>
      <w:r>
        <w:t>of</w:t>
      </w:r>
      <w:r>
        <w:rPr>
          <w:spacing w:val="-6"/>
        </w:rPr>
        <w:t xml:space="preserve"> </w:t>
      </w:r>
      <w:r>
        <w:t>diachronic</w:t>
      </w:r>
      <w:r>
        <w:rPr>
          <w:spacing w:val="-5"/>
        </w:rPr>
        <w:t xml:space="preserve"> </w:t>
      </w:r>
      <w:r>
        <w:rPr>
          <w:spacing w:val="-2"/>
        </w:rPr>
        <w:t>identity</w:t>
      </w:r>
    </w:p>
    <w:p w14:paraId="7E001D86" w14:textId="77777777" w:rsidR="009A58DB" w:rsidRDefault="00000000">
      <w:pPr>
        <w:pStyle w:val="BodyText"/>
        <w:spacing w:before="139" w:line="249" w:lineRule="auto"/>
        <w:ind w:right="360"/>
      </w:pPr>
      <w:r>
        <w:t>Continuity is necessary for identity. It’s only a slight exaggeration to say that it</w:t>
      </w:r>
      <w:r>
        <w:rPr>
          <w:spacing w:val="-3"/>
        </w:rPr>
        <w:t xml:space="preserve"> </w:t>
      </w:r>
      <w:r>
        <w:rPr>
          <w:i/>
        </w:rPr>
        <w:t>is</w:t>
      </w:r>
      <w:r>
        <w:rPr>
          <w:i/>
          <w:spacing w:val="-3"/>
        </w:rPr>
        <w:t xml:space="preserve"> </w:t>
      </w:r>
      <w:r>
        <w:t>identity.</w:t>
      </w:r>
      <w:r>
        <w:rPr>
          <w:spacing w:val="-2"/>
        </w:rPr>
        <w:t xml:space="preserve"> </w:t>
      </w:r>
      <w:r>
        <w:t>If,</w:t>
      </w:r>
      <w:r>
        <w:rPr>
          <w:spacing w:val="-1"/>
        </w:rPr>
        <w:t xml:space="preserve"> </w:t>
      </w:r>
      <w:r>
        <w:t>on</w:t>
      </w:r>
      <w:r>
        <w:rPr>
          <w:spacing w:val="-2"/>
        </w:rPr>
        <w:t xml:space="preserve"> </w:t>
      </w:r>
      <w:r>
        <w:t>the</w:t>
      </w:r>
      <w:r>
        <w:rPr>
          <w:spacing w:val="-1"/>
        </w:rPr>
        <w:t xml:space="preserve"> </w:t>
      </w:r>
      <w:r>
        <w:t>other</w:t>
      </w:r>
      <w:r>
        <w:rPr>
          <w:spacing w:val="-2"/>
        </w:rPr>
        <w:t xml:space="preserve"> </w:t>
      </w:r>
      <w:r>
        <w:t>side</w:t>
      </w:r>
      <w:r>
        <w:rPr>
          <w:spacing w:val="-1"/>
        </w:rPr>
        <w:t xml:space="preserve"> </w:t>
      </w:r>
      <w:r>
        <w:t>of</w:t>
      </w:r>
      <w:r>
        <w:rPr>
          <w:spacing w:val="-2"/>
        </w:rPr>
        <w:t xml:space="preserve"> </w:t>
      </w:r>
      <w:r>
        <w:t>the</w:t>
      </w:r>
      <w:r>
        <w:rPr>
          <w:spacing w:val="-2"/>
        </w:rPr>
        <w:t xml:space="preserve"> </w:t>
      </w:r>
      <w:r>
        <w:t>world,</w:t>
      </w:r>
      <w:r>
        <w:rPr>
          <w:spacing w:val="-1"/>
        </w:rPr>
        <w:t xml:space="preserve"> </w:t>
      </w:r>
      <w:r>
        <w:t>atoms</w:t>
      </w:r>
      <w:r>
        <w:rPr>
          <w:spacing w:val="-2"/>
        </w:rPr>
        <w:t xml:space="preserve"> </w:t>
      </w:r>
      <w:r>
        <w:t>were</w:t>
      </w:r>
      <w:r>
        <w:rPr>
          <w:spacing w:val="-1"/>
        </w:rPr>
        <w:t xml:space="preserve"> </w:t>
      </w:r>
      <w:r>
        <w:t>to</w:t>
      </w:r>
      <w:r>
        <w:rPr>
          <w:spacing w:val="-2"/>
        </w:rPr>
        <w:t xml:space="preserve"> </w:t>
      </w:r>
      <w:r>
        <w:t>collect</w:t>
      </w:r>
      <w:r>
        <w:rPr>
          <w:spacing w:val="-1"/>
        </w:rPr>
        <w:t xml:space="preserve"> </w:t>
      </w:r>
      <w:r>
        <w:t>and</w:t>
      </w:r>
      <w:r>
        <w:rPr>
          <w:spacing w:val="-1"/>
        </w:rPr>
        <w:t xml:space="preserve"> </w:t>
      </w:r>
      <w:r>
        <w:t>form a creature exactly like you—same physical and psychological characteristics</w:t>
      </w:r>
    </w:p>
    <w:p w14:paraId="7E001D87" w14:textId="77777777" w:rsidR="009A58DB" w:rsidRDefault="00000000">
      <w:pPr>
        <w:pStyle w:val="BodyText"/>
        <w:spacing w:before="4" w:line="249" w:lineRule="auto"/>
        <w:ind w:right="363"/>
      </w:pPr>
      <w:r>
        <w:t xml:space="preserve">—it wouldn’t be you. (You’re here. That other person is over there.) If you predecease this doppelganger, he obviously won’t </w:t>
      </w:r>
      <w:r>
        <w:rPr>
          <w:i/>
        </w:rPr>
        <w:t>become</w:t>
      </w:r>
      <w:r>
        <w:rPr>
          <w:i/>
          <w:spacing w:val="-4"/>
        </w:rPr>
        <w:t xml:space="preserve"> </w:t>
      </w:r>
      <w:r>
        <w:t>you; he won’t take over</w:t>
      </w:r>
      <w:r>
        <w:rPr>
          <w:spacing w:val="16"/>
        </w:rPr>
        <w:t xml:space="preserve"> </w:t>
      </w:r>
      <w:r>
        <w:t>your</w:t>
      </w:r>
      <w:r>
        <w:rPr>
          <w:spacing w:val="16"/>
        </w:rPr>
        <w:t xml:space="preserve"> </w:t>
      </w:r>
      <w:r>
        <w:t>identity</w:t>
      </w:r>
      <w:r>
        <w:rPr>
          <w:spacing w:val="16"/>
        </w:rPr>
        <w:t xml:space="preserve"> </w:t>
      </w:r>
      <w:r>
        <w:t>any</w:t>
      </w:r>
      <w:r>
        <w:rPr>
          <w:spacing w:val="16"/>
        </w:rPr>
        <w:t xml:space="preserve"> </w:t>
      </w:r>
      <w:r>
        <w:t>more</w:t>
      </w:r>
      <w:r>
        <w:rPr>
          <w:spacing w:val="16"/>
        </w:rPr>
        <w:t xml:space="preserve"> </w:t>
      </w:r>
      <w:r>
        <w:t>than</w:t>
      </w:r>
      <w:r>
        <w:rPr>
          <w:spacing w:val="16"/>
        </w:rPr>
        <w:t xml:space="preserve"> </w:t>
      </w:r>
      <w:r>
        <w:t>he</w:t>
      </w:r>
      <w:r>
        <w:rPr>
          <w:spacing w:val="16"/>
        </w:rPr>
        <w:t xml:space="preserve"> </w:t>
      </w:r>
      <w:r>
        <w:t>did</w:t>
      </w:r>
      <w:r>
        <w:rPr>
          <w:spacing w:val="16"/>
        </w:rPr>
        <w:t xml:space="preserve"> </w:t>
      </w:r>
      <w:r>
        <w:t>when</w:t>
      </w:r>
      <w:r>
        <w:rPr>
          <w:spacing w:val="16"/>
        </w:rPr>
        <w:t xml:space="preserve"> </w:t>
      </w:r>
      <w:r>
        <w:t>you</w:t>
      </w:r>
      <w:r>
        <w:rPr>
          <w:spacing w:val="16"/>
        </w:rPr>
        <w:t xml:space="preserve"> </w:t>
      </w:r>
      <w:r>
        <w:t>were</w:t>
      </w:r>
      <w:r>
        <w:rPr>
          <w:spacing w:val="16"/>
        </w:rPr>
        <w:t xml:space="preserve"> </w:t>
      </w:r>
      <w:r>
        <w:t>alive.</w:t>
      </w:r>
      <w:r>
        <w:rPr>
          <w:spacing w:val="16"/>
        </w:rPr>
        <w:t xml:space="preserve"> </w:t>
      </w:r>
      <w:r>
        <w:t>It’s</w:t>
      </w:r>
      <w:r>
        <w:rPr>
          <w:spacing w:val="16"/>
        </w:rPr>
        <w:t xml:space="preserve"> </w:t>
      </w:r>
      <w:r>
        <w:t>irrelevant</w:t>
      </w:r>
    </w:p>
    <w:p w14:paraId="7E001D8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89" w14:textId="77777777" w:rsidR="009A58DB" w:rsidRDefault="00000000">
      <w:pPr>
        <w:pStyle w:val="BodyText"/>
        <w:spacing w:before="60" w:line="249" w:lineRule="auto"/>
        <w:ind w:right="359"/>
      </w:pPr>
      <w:r>
        <w:lastRenderedPageBreak/>
        <w:t xml:space="preserve">that </w:t>
      </w:r>
      <w:r>
        <w:rPr>
          <w:i/>
        </w:rPr>
        <w:t xml:space="preserve">qualitatively </w:t>
      </w:r>
      <w:r>
        <w:t>he’s just like you. He doesn’t pick up where you left off. Supposing that you died at time t, pre-t you doesn’t flow uninterruptedly into post-t him.</w:t>
      </w:r>
    </w:p>
    <w:p w14:paraId="7E001D8A" w14:textId="77777777" w:rsidR="009A58DB" w:rsidRDefault="00000000">
      <w:pPr>
        <w:pStyle w:val="BodyText"/>
        <w:spacing w:before="8" w:line="249" w:lineRule="auto"/>
        <w:ind w:right="360" w:firstLine="360"/>
      </w:pPr>
      <w:r>
        <w:t>Let’s change the story a bit. Right now, there’s no doppelganger of you. You pass on (sadly). So, for a period, there’s no one in existence who has exactly your characteristics. But, by some extraordinary coincidence, various atoms come together and form a creature qualitatively just like you, who we’ll call “new-you.” Is new-you you? No. Does it make any difference whether the atoms composing you are the ones composing new-you? No. Once you’re gone, you’re gone.</w:t>
      </w:r>
    </w:p>
    <w:p w14:paraId="7E001D8B" w14:textId="77777777" w:rsidR="009A58DB" w:rsidRDefault="00000000">
      <w:pPr>
        <w:pStyle w:val="Heading1"/>
        <w:numPr>
          <w:ilvl w:val="1"/>
          <w:numId w:val="93"/>
        </w:numPr>
        <w:tabs>
          <w:tab w:val="left" w:pos="990"/>
        </w:tabs>
        <w:spacing w:before="197" w:line="244" w:lineRule="auto"/>
        <w:ind w:left="360" w:right="2278" w:firstLine="0"/>
      </w:pPr>
      <w:r>
        <w:t>Why</w:t>
      </w:r>
      <w:r>
        <w:rPr>
          <w:spacing w:val="-7"/>
        </w:rPr>
        <w:t xml:space="preserve"> </w:t>
      </w:r>
      <w:r>
        <w:t>the</w:t>
      </w:r>
      <w:r>
        <w:rPr>
          <w:spacing w:val="-7"/>
        </w:rPr>
        <w:t xml:space="preserve"> </w:t>
      </w:r>
      <w:r>
        <w:t>concept</w:t>
      </w:r>
      <w:r>
        <w:rPr>
          <w:spacing w:val="-7"/>
        </w:rPr>
        <w:t xml:space="preserve"> </w:t>
      </w:r>
      <w:r>
        <w:t>of</w:t>
      </w:r>
      <w:r>
        <w:rPr>
          <w:spacing w:val="-7"/>
        </w:rPr>
        <w:t xml:space="preserve"> </w:t>
      </w:r>
      <w:r>
        <w:t>teleportation</w:t>
      </w:r>
      <w:r>
        <w:rPr>
          <w:spacing w:val="-7"/>
        </w:rPr>
        <w:t xml:space="preserve"> </w:t>
      </w:r>
      <w:r>
        <w:t>is</w:t>
      </w:r>
      <w:r>
        <w:rPr>
          <w:spacing w:val="-7"/>
        </w:rPr>
        <w:t xml:space="preserve"> </w:t>
      </w:r>
      <w:r>
        <w:t>an incoherent one</w:t>
      </w:r>
    </w:p>
    <w:p w14:paraId="7E001D8C" w14:textId="77777777" w:rsidR="009A58DB" w:rsidRDefault="00000000">
      <w:pPr>
        <w:pStyle w:val="BodyText"/>
        <w:spacing w:before="132" w:line="249" w:lineRule="auto"/>
        <w:ind w:right="360"/>
      </w:pPr>
      <w:r>
        <w:t>On</w:t>
      </w:r>
      <w:r>
        <w:rPr>
          <w:spacing w:val="-4"/>
        </w:rPr>
        <w:t xml:space="preserve"> </w:t>
      </w:r>
      <w:r>
        <w:rPr>
          <w:i/>
        </w:rPr>
        <w:t xml:space="preserve">Star Trek, </w:t>
      </w:r>
      <w:r>
        <w:t>people were routinely teleported. Any case of teleportation has three phases. Phase 1: the disintegration phase. The teleportation candidate is decomposed into small particles. Phase 2: the movement phase. Those particles are moved at or near the speed of light to another place. Phase 3: the reintegration phase. At the new place, those particles are reassembled into a being that is qualitatively just like the one that, moments earlier, was disintegrated. So the Phase 3 entity is exactly similar to the Phase 1 entity.</w:t>
      </w:r>
    </w:p>
    <w:p w14:paraId="7E001D8D" w14:textId="77777777" w:rsidR="009A58DB" w:rsidRDefault="00000000">
      <w:pPr>
        <w:pStyle w:val="BodyText"/>
        <w:spacing w:before="8" w:line="249" w:lineRule="auto"/>
        <w:ind w:right="362" w:firstLine="360"/>
      </w:pPr>
      <w:r>
        <w:t>Is the Phase 3 entity numerically identical with the Phase 1 entity? No. Once Captain Kirk has been disintegrated, he’s gone. What shows up on the Enterprise isn’t him; it is, at most, a doppelganger.</w:t>
      </w:r>
    </w:p>
    <w:p w14:paraId="7E001D8E" w14:textId="77777777" w:rsidR="009A58DB" w:rsidRDefault="00000000">
      <w:pPr>
        <w:pStyle w:val="Heading1"/>
        <w:numPr>
          <w:ilvl w:val="2"/>
          <w:numId w:val="93"/>
        </w:numPr>
        <w:tabs>
          <w:tab w:val="left" w:pos="990"/>
          <w:tab w:val="left" w:pos="1305"/>
        </w:tabs>
        <w:spacing w:before="207" w:line="244" w:lineRule="auto"/>
        <w:ind w:left="990" w:right="459" w:hanging="630"/>
      </w:pPr>
      <w:r>
        <w:t>Structure-preserving</w:t>
      </w:r>
      <w:r>
        <w:rPr>
          <w:spacing w:val="-11"/>
        </w:rPr>
        <w:t xml:space="preserve"> </w:t>
      </w:r>
      <w:r>
        <w:t>continuity,</w:t>
      </w:r>
      <w:r>
        <w:rPr>
          <w:spacing w:val="-11"/>
        </w:rPr>
        <w:t xml:space="preserve"> </w:t>
      </w:r>
      <w:r>
        <w:t>as</w:t>
      </w:r>
      <w:r>
        <w:rPr>
          <w:spacing w:val="-12"/>
        </w:rPr>
        <w:t xml:space="preserve"> </w:t>
      </w:r>
      <w:r>
        <w:t>opposed</w:t>
      </w:r>
      <w:r>
        <w:rPr>
          <w:spacing w:val="-12"/>
        </w:rPr>
        <w:t xml:space="preserve"> </w:t>
      </w:r>
      <w:r>
        <w:t>to mere continuity, as the essence of identity</w:t>
      </w:r>
    </w:p>
    <w:p w14:paraId="7E001D8F" w14:textId="77777777" w:rsidR="009A58DB" w:rsidRDefault="00000000">
      <w:pPr>
        <w:pStyle w:val="BodyText"/>
        <w:spacing w:before="132" w:line="249" w:lineRule="auto"/>
        <w:ind w:right="361"/>
      </w:pPr>
      <w:r>
        <w:t>My</w:t>
      </w:r>
      <w:r>
        <w:rPr>
          <w:spacing w:val="-1"/>
        </w:rPr>
        <w:t xml:space="preserve"> </w:t>
      </w:r>
      <w:r>
        <w:t>students</w:t>
      </w:r>
      <w:r>
        <w:rPr>
          <w:spacing w:val="-1"/>
        </w:rPr>
        <w:t xml:space="preserve"> </w:t>
      </w:r>
      <w:r>
        <w:t>often</w:t>
      </w:r>
      <w:r>
        <w:rPr>
          <w:spacing w:val="-1"/>
        </w:rPr>
        <w:t xml:space="preserve"> </w:t>
      </w:r>
      <w:r>
        <w:t>object</w:t>
      </w:r>
      <w:r>
        <w:rPr>
          <w:spacing w:val="-1"/>
        </w:rPr>
        <w:t xml:space="preserve"> </w:t>
      </w:r>
      <w:r>
        <w:t>to</w:t>
      </w:r>
      <w:r>
        <w:rPr>
          <w:spacing w:val="-1"/>
        </w:rPr>
        <w:t xml:space="preserve"> </w:t>
      </w:r>
      <w:r>
        <w:t>this.</w:t>
      </w:r>
      <w:r>
        <w:rPr>
          <w:spacing w:val="-1"/>
        </w:rPr>
        <w:t xml:space="preserve"> </w:t>
      </w:r>
      <w:r>
        <w:t>Here’s</w:t>
      </w:r>
      <w:r>
        <w:rPr>
          <w:spacing w:val="-1"/>
        </w:rPr>
        <w:t xml:space="preserve"> </w:t>
      </w:r>
      <w:r>
        <w:t>their</w:t>
      </w:r>
      <w:r>
        <w:rPr>
          <w:spacing w:val="-1"/>
        </w:rPr>
        <w:t xml:space="preserve"> </w:t>
      </w:r>
      <w:r>
        <w:t>argument:</w:t>
      </w:r>
      <w:r>
        <w:rPr>
          <w:spacing w:val="-1"/>
        </w:rPr>
        <w:t xml:space="preserve"> </w:t>
      </w:r>
      <w:r>
        <w:t>“Teleporting</w:t>
      </w:r>
      <w:r>
        <w:rPr>
          <w:spacing w:val="-1"/>
        </w:rPr>
        <w:t xml:space="preserve"> </w:t>
      </w:r>
      <w:r>
        <w:t>Ct.</w:t>
      </w:r>
      <w:r>
        <w:rPr>
          <w:spacing w:val="-1"/>
        </w:rPr>
        <w:t xml:space="preserve"> </w:t>
      </w:r>
      <w:r>
        <w:t>Kirk (or whoever) involves transforming his energy into a new form, and then, at the target location, converting that same energy back into the old form.” I agree with the first part: Teleporting Ct. Kirk would indeed involve transforming his energy into a new form. But so would dropping a one million ton weight on him or dispersing his atoms across the cosmos. “Same energy” doesn’t mean “same object.” I’ve been around for three-and-a-half decades. My energy has been around a lot longer than that. Thirty five years</w:t>
      </w:r>
    </w:p>
    <w:p w14:paraId="7E001D9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91" w14:textId="77777777" w:rsidR="009A58DB" w:rsidRDefault="00000000">
      <w:pPr>
        <w:pStyle w:val="BodyText"/>
        <w:spacing w:before="70" w:line="249" w:lineRule="auto"/>
        <w:ind w:right="358"/>
      </w:pPr>
      <w:r>
        <w:lastRenderedPageBreak/>
        <w:t xml:space="preserve">ago that energy came to be embodied in a structure that, through a series of piecemeal, continuous, and </w:t>
      </w:r>
      <w:r>
        <w:rPr>
          <w:i/>
        </w:rPr>
        <w:t xml:space="preserve">structure-preserving </w:t>
      </w:r>
      <w:r>
        <w:t>changes eventuated in the structure that is writing this sentence.</w:t>
      </w:r>
    </w:p>
    <w:p w14:paraId="7E001D92" w14:textId="77777777" w:rsidR="009A58DB" w:rsidRDefault="00000000">
      <w:pPr>
        <w:pStyle w:val="BodyText"/>
        <w:spacing w:line="249" w:lineRule="auto"/>
        <w:ind w:right="360" w:firstLine="360"/>
      </w:pPr>
      <w:r>
        <w:t xml:space="preserve">The changes in question had to be “structure-preserving” because, as we’ll see in Sections 7.0–7.5, a continuous causal process that mediates drastic structural changes may not be enough for identity. The person currently typing this sentence arose, by a continuous series of changes, from a certain tadpole-like creature. But, structurally, I’m sufficiently different from that tadpole that it would be a stretch to say that I used to </w:t>
      </w:r>
      <w:r>
        <w:rPr>
          <w:i/>
        </w:rPr>
        <w:t xml:space="preserve">be </w:t>
      </w:r>
      <w:r>
        <w:t xml:space="preserve">it. But I’m structurally enough like the blobby infant in the picture that, given my causal connectedness to him, I can say that I used to </w:t>
      </w:r>
      <w:r>
        <w:rPr>
          <w:i/>
        </w:rPr>
        <w:t xml:space="preserve">be </w:t>
      </w:r>
      <w:r>
        <w:t>him.</w:t>
      </w:r>
    </w:p>
    <w:p w14:paraId="7E001D93" w14:textId="77777777" w:rsidR="009A58DB" w:rsidRDefault="00000000">
      <w:pPr>
        <w:pStyle w:val="Heading1"/>
        <w:numPr>
          <w:ilvl w:val="1"/>
          <w:numId w:val="93"/>
        </w:numPr>
        <w:tabs>
          <w:tab w:val="left" w:pos="990"/>
        </w:tabs>
        <w:spacing w:before="196"/>
      </w:pPr>
      <w:r>
        <w:t>Once</w:t>
      </w:r>
      <w:r>
        <w:rPr>
          <w:spacing w:val="-4"/>
        </w:rPr>
        <w:t xml:space="preserve"> </w:t>
      </w:r>
      <w:r>
        <w:t>gone,</w:t>
      </w:r>
      <w:r>
        <w:rPr>
          <w:spacing w:val="-2"/>
        </w:rPr>
        <w:t xml:space="preserve"> </w:t>
      </w:r>
      <w:r>
        <w:t>always</w:t>
      </w:r>
      <w:r>
        <w:rPr>
          <w:spacing w:val="-3"/>
        </w:rPr>
        <w:t xml:space="preserve"> </w:t>
      </w:r>
      <w:r>
        <w:rPr>
          <w:spacing w:val="-4"/>
        </w:rPr>
        <w:t>gone</w:t>
      </w:r>
    </w:p>
    <w:p w14:paraId="7E001D94" w14:textId="77777777" w:rsidR="009A58DB" w:rsidRDefault="00000000">
      <w:pPr>
        <w:pStyle w:val="BodyText"/>
        <w:spacing w:before="139" w:line="249" w:lineRule="auto"/>
        <w:ind w:right="359"/>
      </w:pPr>
      <w:r>
        <w:t>Let’s</w:t>
      </w:r>
      <w:r>
        <w:rPr>
          <w:spacing w:val="-1"/>
        </w:rPr>
        <w:t xml:space="preserve"> </w:t>
      </w:r>
      <w:r>
        <w:t>map</w:t>
      </w:r>
      <w:r>
        <w:rPr>
          <w:spacing w:val="-1"/>
        </w:rPr>
        <w:t xml:space="preserve"> </w:t>
      </w:r>
      <w:r>
        <w:t>these</w:t>
      </w:r>
      <w:r>
        <w:rPr>
          <w:spacing w:val="-1"/>
        </w:rPr>
        <w:t xml:space="preserve"> </w:t>
      </w:r>
      <w:r>
        <w:t>points</w:t>
      </w:r>
      <w:r>
        <w:rPr>
          <w:spacing w:val="-1"/>
        </w:rPr>
        <w:t xml:space="preserve"> </w:t>
      </w:r>
      <w:r>
        <w:t>onto</w:t>
      </w:r>
      <w:r>
        <w:rPr>
          <w:spacing w:val="-1"/>
        </w:rPr>
        <w:t xml:space="preserve"> </w:t>
      </w:r>
      <w:r>
        <w:t>our</w:t>
      </w:r>
      <w:r>
        <w:rPr>
          <w:spacing w:val="-1"/>
        </w:rPr>
        <w:t xml:space="preserve"> </w:t>
      </w:r>
      <w:r>
        <w:t>points</w:t>
      </w:r>
      <w:r>
        <w:rPr>
          <w:spacing w:val="-1"/>
        </w:rPr>
        <w:t xml:space="preserve"> </w:t>
      </w:r>
      <w:r>
        <w:t>about</w:t>
      </w:r>
      <w:r>
        <w:rPr>
          <w:spacing w:val="-1"/>
        </w:rPr>
        <w:t xml:space="preserve"> </w:t>
      </w:r>
      <w:r>
        <w:t>teleportation.</w:t>
      </w:r>
      <w:r>
        <w:rPr>
          <w:spacing w:val="-1"/>
        </w:rPr>
        <w:t xml:space="preserve"> </w:t>
      </w:r>
      <w:r>
        <w:t>The</w:t>
      </w:r>
      <w:r>
        <w:rPr>
          <w:spacing w:val="-1"/>
        </w:rPr>
        <w:t xml:space="preserve"> </w:t>
      </w:r>
      <w:r>
        <w:t>Phase</w:t>
      </w:r>
      <w:r>
        <w:rPr>
          <w:spacing w:val="-1"/>
        </w:rPr>
        <w:t xml:space="preserve"> </w:t>
      </w:r>
      <w:r>
        <w:t>2</w:t>
      </w:r>
      <w:r>
        <w:rPr>
          <w:spacing w:val="-1"/>
        </w:rPr>
        <w:t xml:space="preserve"> </w:t>
      </w:r>
      <w:r>
        <w:t xml:space="preserve">atom-scatter has </w:t>
      </w:r>
      <w:r>
        <w:rPr>
          <w:i/>
        </w:rPr>
        <w:t xml:space="preserve">no </w:t>
      </w:r>
      <w:r>
        <w:t>meaningful structural resemblance to the Phase 3 human who, when these atoms are integrated, appears on the deck of the Enterprise. The degree of structural resemblance between me and the zygote that eventually turned into me is far greater than the structural resemblance between the Phase 2 atom-scatter and the Phase 3 Enterprise occupant. We thus have no choice but to say that Kirk was obliterated the moment his atoms were scattered. Whatever it is that “beams aboard” isn’t Kirk: it is, at best, a good imitation of him.</w:t>
      </w:r>
    </w:p>
    <w:p w14:paraId="7E001D95" w14:textId="77777777" w:rsidR="009A58DB" w:rsidRDefault="00000000">
      <w:pPr>
        <w:pStyle w:val="Heading1"/>
        <w:numPr>
          <w:ilvl w:val="1"/>
          <w:numId w:val="93"/>
        </w:numPr>
        <w:tabs>
          <w:tab w:val="left" w:pos="990"/>
        </w:tabs>
        <w:spacing w:before="214"/>
      </w:pPr>
      <w:r>
        <w:t>The</w:t>
      </w:r>
      <w:r>
        <w:rPr>
          <w:spacing w:val="-8"/>
        </w:rPr>
        <w:t xml:space="preserve"> </w:t>
      </w:r>
      <w:r>
        <w:t>physicalist’s</w:t>
      </w:r>
      <w:r>
        <w:rPr>
          <w:spacing w:val="-7"/>
        </w:rPr>
        <w:t xml:space="preserve"> </w:t>
      </w:r>
      <w:r>
        <w:t>high-card:</w:t>
      </w:r>
      <w:r>
        <w:rPr>
          <w:spacing w:val="-7"/>
        </w:rPr>
        <w:t xml:space="preserve"> </w:t>
      </w:r>
      <w:r>
        <w:t>the</w:t>
      </w:r>
      <w:r>
        <w:rPr>
          <w:spacing w:val="-7"/>
        </w:rPr>
        <w:t xml:space="preserve"> </w:t>
      </w:r>
      <w:r>
        <w:t>ice-</w:t>
      </w:r>
      <w:r>
        <w:rPr>
          <w:spacing w:val="-5"/>
        </w:rPr>
        <w:t>man</w:t>
      </w:r>
    </w:p>
    <w:p w14:paraId="7E001D96" w14:textId="77777777" w:rsidR="009A58DB" w:rsidRDefault="00000000">
      <w:pPr>
        <w:pStyle w:val="BodyText"/>
        <w:spacing w:before="139" w:line="249" w:lineRule="auto"/>
        <w:ind w:right="358"/>
      </w:pPr>
      <w:r>
        <w:t xml:space="preserve">Of course, certain </w:t>
      </w:r>
      <w:r>
        <w:rPr>
          <w:i/>
        </w:rPr>
        <w:t xml:space="preserve">aspects </w:t>
      </w:r>
      <w:r>
        <w:t xml:space="preserve">of existence can be interrupted. You can temporarily shelve your career as a hockey player. But </w:t>
      </w:r>
      <w:r>
        <w:rPr>
          <w:i/>
        </w:rPr>
        <w:t xml:space="preserve">you </w:t>
      </w:r>
      <w:r>
        <w:t>cannot be</w:t>
      </w:r>
      <w:r>
        <w:rPr>
          <w:spacing w:val="40"/>
        </w:rPr>
        <w:t xml:space="preserve"> </w:t>
      </w:r>
      <w:r>
        <w:t xml:space="preserve">shelved. “But what if I’m frozen and kept in ice for a thousand years, and then thawed out and reanimated? Would that be me?” Yes, it would (or so I think). But what that means is that, when you were on ice, </w:t>
      </w:r>
      <w:r>
        <w:rPr>
          <w:i/>
        </w:rPr>
        <w:t xml:space="preserve">you </w:t>
      </w:r>
      <w:r>
        <w:t xml:space="preserve">were still in existence. If, instead of being frozen, you had been disintegrated and, a thousand years later, the atoms composing you were reassembled into a creature just like you, we would </w:t>
      </w:r>
      <w:r>
        <w:rPr>
          <w:i/>
        </w:rPr>
        <w:t xml:space="preserve">not </w:t>
      </w:r>
      <w:r>
        <w:t xml:space="preserve">say that </w:t>
      </w:r>
      <w:r>
        <w:rPr>
          <w:i/>
        </w:rPr>
        <w:t xml:space="preserve">you </w:t>
      </w:r>
      <w:r>
        <w:t>had come back; we’d say that, although you were gone, somebody just like you popped into existence.</w:t>
      </w:r>
    </w:p>
    <w:p w14:paraId="7E001D97" w14:textId="77777777" w:rsidR="009A58DB" w:rsidRDefault="00000000">
      <w:pPr>
        <w:pStyle w:val="BodyText"/>
        <w:spacing w:before="11" w:line="249" w:lineRule="auto"/>
        <w:ind w:right="360" w:firstLine="360"/>
      </w:pPr>
      <w:r>
        <w:t>So, returning to our ice-man story, if post-thaw you is identical with pre-thaw</w:t>
      </w:r>
      <w:r>
        <w:rPr>
          <w:spacing w:val="40"/>
        </w:rPr>
        <w:t xml:space="preserve"> </w:t>
      </w:r>
      <w:r>
        <w:t>you,</w:t>
      </w:r>
      <w:r>
        <w:rPr>
          <w:spacing w:val="40"/>
        </w:rPr>
        <w:t xml:space="preserve"> </w:t>
      </w:r>
      <w:r>
        <w:t>that’s</w:t>
      </w:r>
      <w:r>
        <w:rPr>
          <w:spacing w:val="40"/>
        </w:rPr>
        <w:t xml:space="preserve"> </w:t>
      </w:r>
      <w:r>
        <w:t>because</w:t>
      </w:r>
      <w:r>
        <w:rPr>
          <w:spacing w:val="40"/>
        </w:rPr>
        <w:t xml:space="preserve"> </w:t>
      </w:r>
      <w:r>
        <w:t>the</w:t>
      </w:r>
      <w:r>
        <w:rPr>
          <w:spacing w:val="40"/>
        </w:rPr>
        <w:t xml:space="preserve"> </w:t>
      </w:r>
      <w:r>
        <w:t>years</w:t>
      </w:r>
      <w:r>
        <w:rPr>
          <w:spacing w:val="40"/>
        </w:rPr>
        <w:t xml:space="preserve"> </w:t>
      </w:r>
      <w:r>
        <w:t>of</w:t>
      </w:r>
      <w:r>
        <w:rPr>
          <w:spacing w:val="40"/>
        </w:rPr>
        <w:t xml:space="preserve"> </w:t>
      </w:r>
      <w:r>
        <w:t>frozen</w:t>
      </w:r>
      <w:r>
        <w:rPr>
          <w:spacing w:val="40"/>
        </w:rPr>
        <w:t xml:space="preserve"> </w:t>
      </w:r>
      <w:r>
        <w:t>stillness</w:t>
      </w:r>
      <w:r>
        <w:rPr>
          <w:spacing w:val="40"/>
        </w:rPr>
        <w:t xml:space="preserve"> </w:t>
      </w:r>
      <w:r>
        <w:t>didn’t</w:t>
      </w:r>
      <w:r>
        <w:rPr>
          <w:spacing w:val="40"/>
        </w:rPr>
        <w:t xml:space="preserve"> </w:t>
      </w:r>
      <w:r>
        <w:rPr>
          <w:i/>
        </w:rPr>
        <w:t>interrupt</w:t>
      </w:r>
      <w:r>
        <w:rPr>
          <w:i/>
          <w:spacing w:val="40"/>
        </w:rPr>
        <w:t xml:space="preserve"> </w:t>
      </w:r>
      <w:r>
        <w:t>your</w:t>
      </w:r>
    </w:p>
    <w:p w14:paraId="7E001D9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99" w14:textId="77777777" w:rsidR="009A58DB" w:rsidRDefault="00000000">
      <w:pPr>
        <w:pStyle w:val="BodyText"/>
        <w:spacing w:before="70" w:line="249" w:lineRule="auto"/>
        <w:ind w:right="369"/>
      </w:pPr>
      <w:r>
        <w:lastRenderedPageBreak/>
        <w:t xml:space="preserve">existence. “But,” you protest, “my mind was frozen during that time. No dreams. No thoughts. Nothing (in the way of mental activity). So, clearly, my existence </w:t>
      </w:r>
      <w:r>
        <w:rPr>
          <w:i/>
        </w:rPr>
        <w:t xml:space="preserve">was </w:t>
      </w:r>
      <w:r>
        <w:t>interrupted.”</w:t>
      </w:r>
    </w:p>
    <w:p w14:paraId="7E001D9A" w14:textId="77777777" w:rsidR="009A58DB" w:rsidRDefault="00000000">
      <w:pPr>
        <w:pStyle w:val="BodyText"/>
        <w:spacing w:line="249" w:lineRule="auto"/>
        <w:ind w:right="361" w:firstLine="360"/>
      </w:pPr>
      <w:r>
        <w:t xml:space="preserve">Your </w:t>
      </w:r>
      <w:r>
        <w:rPr>
          <w:i/>
        </w:rPr>
        <w:t xml:space="preserve">mental </w:t>
      </w:r>
      <w:r>
        <w:t xml:space="preserve">life was interrupted—but not your existence </w:t>
      </w:r>
      <w:r>
        <w:rPr>
          <w:i/>
        </w:rPr>
        <w:t xml:space="preserve">tout court. </w:t>
      </w:r>
      <w:r>
        <w:t xml:space="preserve">“But,” you respond, “you agreed that the post-thaw person is really </w:t>
      </w:r>
      <w:r>
        <w:rPr>
          <w:i/>
        </w:rPr>
        <w:t>me</w:t>
      </w:r>
      <w:r>
        <w:t>—that the pre-thaw person and the post-thaw person are identical, just as the person typing this sentence is identical with the person who typed the sentence before it.”</w:t>
      </w:r>
    </w:p>
    <w:p w14:paraId="7E001D9B" w14:textId="77777777" w:rsidR="009A58DB" w:rsidRDefault="00000000">
      <w:pPr>
        <w:pStyle w:val="BodyText"/>
        <w:spacing w:before="4" w:line="249" w:lineRule="auto"/>
        <w:ind w:right="360" w:firstLine="360"/>
      </w:pPr>
      <w:r>
        <w:t>Yes, I do agree. “But that makes no sense, given the reasonable supposition</w:t>
      </w:r>
      <w:r>
        <w:rPr>
          <w:spacing w:val="-3"/>
        </w:rPr>
        <w:t xml:space="preserve"> </w:t>
      </w:r>
      <w:r>
        <w:t>that</w:t>
      </w:r>
      <w:r>
        <w:rPr>
          <w:spacing w:val="-4"/>
        </w:rPr>
        <w:t xml:space="preserve"> </w:t>
      </w:r>
      <w:r>
        <w:t>(i)</w:t>
      </w:r>
      <w:r>
        <w:rPr>
          <w:spacing w:val="-4"/>
        </w:rPr>
        <w:t xml:space="preserve"> </w:t>
      </w:r>
      <w:r>
        <w:t>I</w:t>
      </w:r>
      <w:r>
        <w:rPr>
          <w:spacing w:val="-4"/>
        </w:rPr>
        <w:t xml:space="preserve"> </w:t>
      </w:r>
      <w:r>
        <w:rPr>
          <w:i/>
        </w:rPr>
        <w:t>am</w:t>
      </w:r>
      <w:r>
        <w:rPr>
          <w:i/>
          <w:spacing w:val="-4"/>
        </w:rPr>
        <w:t xml:space="preserve"> </w:t>
      </w:r>
      <w:r>
        <w:t xml:space="preserve">my mind and given that (ii) my mental existence was severed.” Yes—it makes no sense </w:t>
      </w:r>
      <w:r>
        <w:rPr>
          <w:i/>
        </w:rPr>
        <w:t xml:space="preserve">given </w:t>
      </w:r>
      <w:r>
        <w:t>those two assumptions. (By way of anticipation, we’ll find that (ii) is false.)</w:t>
      </w:r>
    </w:p>
    <w:p w14:paraId="7E001D9C" w14:textId="77777777" w:rsidR="009A58DB" w:rsidRDefault="00000000">
      <w:pPr>
        <w:pStyle w:val="BodyText"/>
        <w:spacing w:before="5" w:line="249" w:lineRule="auto"/>
        <w:ind w:right="359" w:firstLine="360"/>
      </w:pPr>
      <w:r>
        <w:t xml:space="preserve">But it </w:t>
      </w:r>
      <w:r>
        <w:rPr>
          <w:i/>
        </w:rPr>
        <w:t>does</w:t>
      </w:r>
      <w:r>
        <w:rPr>
          <w:i/>
          <w:spacing w:val="-4"/>
        </w:rPr>
        <w:t xml:space="preserve"> </w:t>
      </w:r>
      <w:r>
        <w:t xml:space="preserve">make sense given a different supposition, namely, that you are your </w:t>
      </w:r>
      <w:r>
        <w:rPr>
          <w:i/>
        </w:rPr>
        <w:t xml:space="preserve">body. </w:t>
      </w:r>
      <w:r>
        <w:t xml:space="preserve">Your body remained in existence during the freeze years. There was no interruption. To be sure, certain forms of </w:t>
      </w:r>
      <w:r>
        <w:rPr>
          <w:i/>
        </w:rPr>
        <w:t xml:space="preserve">activity </w:t>
      </w:r>
      <w:r>
        <w:t xml:space="preserve">were interrupted. Everything associated with mentation was on hold. But it’s a datum that your body was around—that, in fact, it was kept more intact during that period than most living organisms are kept for a period of more than a day. But, evidently, </w:t>
      </w:r>
      <w:r>
        <w:rPr>
          <w:i/>
        </w:rPr>
        <w:t xml:space="preserve">you </w:t>
      </w:r>
      <w:r>
        <w:t>were around.</w:t>
      </w:r>
    </w:p>
    <w:p w14:paraId="7E001D9D" w14:textId="77777777" w:rsidR="009A58DB" w:rsidRDefault="00000000">
      <w:pPr>
        <w:pStyle w:val="BodyText"/>
        <w:spacing w:before="9" w:line="249" w:lineRule="auto"/>
        <w:ind w:right="364" w:firstLine="360"/>
      </w:pPr>
      <w:r>
        <w:t>Bottom line: a sentient creature can survive interruptions of its mental existence, but not its physical existence. Interrupted existence is non-existence. So a sentient creature is identical with its body.</w:t>
      </w:r>
    </w:p>
    <w:p w14:paraId="7E001D9E" w14:textId="77777777" w:rsidR="009A58DB" w:rsidRDefault="00000000">
      <w:pPr>
        <w:pStyle w:val="BodyText"/>
        <w:spacing w:before="4" w:line="249" w:lineRule="auto"/>
        <w:ind w:right="359" w:firstLine="360"/>
      </w:pPr>
      <w:r>
        <w:t xml:space="preserve">That is the main argument on behalf of the physicalistic theory of personal identity. And it’s a good one. To refute it, the mentalist would have to show </w:t>
      </w:r>
      <w:r>
        <w:rPr>
          <w:i/>
        </w:rPr>
        <w:t xml:space="preserve">either </w:t>
      </w:r>
      <w:r>
        <w:t xml:space="preserve">(a) that existence can be interrupted </w:t>
      </w:r>
      <w:r>
        <w:rPr>
          <w:i/>
        </w:rPr>
        <w:t xml:space="preserve">or </w:t>
      </w:r>
      <w:r>
        <w:t xml:space="preserve">(b) that cessation of mental </w:t>
      </w:r>
      <w:r>
        <w:rPr>
          <w:i/>
        </w:rPr>
        <w:t xml:space="preserve">activity </w:t>
      </w:r>
      <w:r>
        <w:t>isn’t the same thing as cessation of mind. (a) is a non-starter; establishing it would be like trying to establish that squares could have five sides. But (b) is quite defensible.</w:t>
      </w:r>
    </w:p>
    <w:p w14:paraId="7E001D9F" w14:textId="77777777" w:rsidR="009A58DB" w:rsidRDefault="00000000">
      <w:pPr>
        <w:pStyle w:val="Heading1"/>
        <w:numPr>
          <w:ilvl w:val="1"/>
          <w:numId w:val="93"/>
        </w:numPr>
        <w:tabs>
          <w:tab w:val="left" w:pos="990"/>
        </w:tabs>
        <w:spacing w:before="195"/>
      </w:pPr>
      <w:r>
        <w:t>A</w:t>
      </w:r>
      <w:r>
        <w:rPr>
          <w:spacing w:val="-5"/>
        </w:rPr>
        <w:t xml:space="preserve"> </w:t>
      </w:r>
      <w:r>
        <w:t>defense</w:t>
      </w:r>
      <w:r>
        <w:rPr>
          <w:spacing w:val="-4"/>
        </w:rPr>
        <w:t xml:space="preserve"> </w:t>
      </w:r>
      <w:r>
        <w:t>of</w:t>
      </w:r>
      <w:r>
        <w:rPr>
          <w:spacing w:val="-5"/>
        </w:rPr>
        <w:t xml:space="preserve"> </w:t>
      </w:r>
      <w:r>
        <w:t>(b):</w:t>
      </w:r>
      <w:r>
        <w:rPr>
          <w:spacing w:val="-4"/>
        </w:rPr>
        <w:t xml:space="preserve"> </w:t>
      </w:r>
      <w:r>
        <w:t>the</w:t>
      </w:r>
      <w:r>
        <w:rPr>
          <w:spacing w:val="-5"/>
        </w:rPr>
        <w:t xml:space="preserve"> </w:t>
      </w:r>
      <w:r>
        <w:t>mentalist</w:t>
      </w:r>
      <w:r>
        <w:rPr>
          <w:spacing w:val="-4"/>
        </w:rPr>
        <w:t xml:space="preserve"> </w:t>
      </w:r>
      <w:r>
        <w:t>strikes</w:t>
      </w:r>
      <w:r>
        <w:rPr>
          <w:spacing w:val="-4"/>
        </w:rPr>
        <w:t xml:space="preserve"> back</w:t>
      </w:r>
    </w:p>
    <w:p w14:paraId="7E001DA0" w14:textId="77777777" w:rsidR="009A58DB" w:rsidRDefault="00000000">
      <w:pPr>
        <w:pStyle w:val="BodyText"/>
        <w:spacing w:before="139" w:line="249" w:lineRule="auto"/>
        <w:ind w:right="358"/>
      </w:pPr>
      <w:r>
        <w:t>People have relatively stable personality traits and beliefs. Yesterday I believed that snow is white. I still believe it, and I’ll believe it tomorrow.</w:t>
      </w:r>
      <w:r>
        <w:rPr>
          <w:spacing w:val="40"/>
        </w:rPr>
        <w:t xml:space="preserve"> </w:t>
      </w:r>
      <w:r>
        <w:t>This holds of countless other beliefs of mine, as well as attitudes, aspirations, values, fears, etc.</w:t>
      </w:r>
    </w:p>
    <w:p w14:paraId="7E001DA1" w14:textId="77777777" w:rsidR="009A58DB" w:rsidRDefault="00000000">
      <w:pPr>
        <w:pStyle w:val="BodyText"/>
        <w:spacing w:before="5"/>
        <w:ind w:left="720"/>
      </w:pPr>
      <w:r>
        <w:t>People</w:t>
      </w:r>
      <w:r>
        <w:rPr>
          <w:spacing w:val="68"/>
        </w:rPr>
        <w:t xml:space="preserve"> </w:t>
      </w:r>
      <w:r>
        <w:t>change,</w:t>
      </w:r>
      <w:r>
        <w:rPr>
          <w:spacing w:val="69"/>
        </w:rPr>
        <w:t xml:space="preserve"> </w:t>
      </w:r>
      <w:r>
        <w:t>of</w:t>
      </w:r>
      <w:r>
        <w:rPr>
          <w:spacing w:val="69"/>
        </w:rPr>
        <w:t xml:space="preserve"> </w:t>
      </w:r>
      <w:r>
        <w:t>course.</w:t>
      </w:r>
      <w:r>
        <w:rPr>
          <w:spacing w:val="68"/>
        </w:rPr>
        <w:t xml:space="preserve"> </w:t>
      </w:r>
      <w:r>
        <w:t>The</w:t>
      </w:r>
      <w:r>
        <w:rPr>
          <w:spacing w:val="70"/>
        </w:rPr>
        <w:t xml:space="preserve"> </w:t>
      </w:r>
      <w:r>
        <w:t>deepest</w:t>
      </w:r>
      <w:r>
        <w:rPr>
          <w:spacing w:val="69"/>
        </w:rPr>
        <w:t xml:space="preserve"> </w:t>
      </w:r>
      <w:r>
        <w:t>changes</w:t>
      </w:r>
      <w:r>
        <w:rPr>
          <w:spacing w:val="68"/>
        </w:rPr>
        <w:t xml:space="preserve"> </w:t>
      </w:r>
      <w:r>
        <w:t>happen</w:t>
      </w:r>
      <w:r>
        <w:rPr>
          <w:spacing w:val="69"/>
        </w:rPr>
        <w:t xml:space="preserve"> </w:t>
      </w:r>
      <w:r>
        <w:t>in</w:t>
      </w:r>
      <w:r>
        <w:rPr>
          <w:spacing w:val="69"/>
        </w:rPr>
        <w:t xml:space="preserve"> </w:t>
      </w:r>
      <w:r>
        <w:t>one’s</w:t>
      </w:r>
      <w:r>
        <w:rPr>
          <w:spacing w:val="69"/>
        </w:rPr>
        <w:t xml:space="preserve"> </w:t>
      </w:r>
      <w:r>
        <w:rPr>
          <w:spacing w:val="-2"/>
        </w:rPr>
        <w:t>early</w:t>
      </w:r>
    </w:p>
    <w:p w14:paraId="7E001DA2" w14:textId="77777777" w:rsidR="009A58DB" w:rsidRDefault="009A58DB">
      <w:pPr>
        <w:pStyle w:val="BodyText"/>
        <w:sectPr w:rsidR="009A58DB">
          <w:pgSz w:w="12240" w:h="15840"/>
          <w:pgMar w:top="1380" w:right="1080" w:bottom="280" w:left="1080" w:header="720" w:footer="720" w:gutter="0"/>
          <w:cols w:space="720"/>
        </w:sectPr>
      </w:pPr>
    </w:p>
    <w:p w14:paraId="7E001DA3" w14:textId="77777777" w:rsidR="009A58DB" w:rsidRDefault="00000000">
      <w:pPr>
        <w:pStyle w:val="BodyText"/>
        <w:spacing w:before="60" w:line="249" w:lineRule="auto"/>
        <w:ind w:right="359"/>
      </w:pPr>
      <w:r>
        <w:lastRenderedPageBreak/>
        <w:t>years. But the change never entirely stops, even though it does become increasingly internal to established structures.</w:t>
      </w:r>
    </w:p>
    <w:p w14:paraId="7E001DA4" w14:textId="77777777" w:rsidR="009A58DB" w:rsidRDefault="00000000">
      <w:pPr>
        <w:pStyle w:val="BodyText"/>
        <w:spacing w:before="7" w:line="249" w:lineRule="auto"/>
        <w:ind w:right="360" w:firstLine="360"/>
      </w:pPr>
      <w:r>
        <w:t>Throughout all this change, however, there is a great deal of stability in one’s beliefs, attitudes, etc., and also in one’s basic personality architecture. And the change itself is, in is broader outlines, continuous. It doesn’t</w:t>
      </w:r>
      <w:r>
        <w:rPr>
          <w:spacing w:val="40"/>
        </w:rPr>
        <w:t xml:space="preserve"> </w:t>
      </w:r>
      <w:r>
        <w:t>typically happen in fits and starts; it is typically more evolutionary than revolutionary. Of course, there are revolutions—sudden epiphanies or transformations. But they are internal to a larger, continuous structure whose integrity they don’t undermine.</w:t>
      </w:r>
    </w:p>
    <w:p w14:paraId="7E001DA5" w14:textId="77777777" w:rsidR="009A58DB" w:rsidRDefault="00000000">
      <w:pPr>
        <w:pStyle w:val="BodyText"/>
        <w:spacing w:before="9" w:line="249" w:lineRule="auto"/>
        <w:ind w:right="362" w:firstLine="360"/>
      </w:pPr>
      <w:r>
        <w:t>Where there is regularity, there is typically an underlying structure; and where</w:t>
      </w:r>
      <w:r>
        <w:rPr>
          <w:spacing w:val="-1"/>
        </w:rPr>
        <w:t xml:space="preserve"> </w:t>
      </w:r>
      <w:r>
        <w:t>there</w:t>
      </w:r>
      <w:r>
        <w:rPr>
          <w:spacing w:val="-1"/>
        </w:rPr>
        <w:t xml:space="preserve"> </w:t>
      </w:r>
      <w:r>
        <w:t>is</w:t>
      </w:r>
      <w:r>
        <w:rPr>
          <w:spacing w:val="-1"/>
        </w:rPr>
        <w:t xml:space="preserve"> </w:t>
      </w:r>
      <w:r>
        <w:t>irregularity,</w:t>
      </w:r>
      <w:r>
        <w:rPr>
          <w:spacing w:val="-1"/>
        </w:rPr>
        <w:t xml:space="preserve"> </w:t>
      </w:r>
      <w:r>
        <w:t>there</w:t>
      </w:r>
      <w:r>
        <w:rPr>
          <w:spacing w:val="-1"/>
        </w:rPr>
        <w:t xml:space="preserve"> </w:t>
      </w:r>
      <w:r>
        <w:t>is</w:t>
      </w:r>
      <w:r>
        <w:rPr>
          <w:spacing w:val="-1"/>
        </w:rPr>
        <w:t xml:space="preserve"> </w:t>
      </w:r>
      <w:r>
        <w:t>typically</w:t>
      </w:r>
      <w:r>
        <w:rPr>
          <w:spacing w:val="-1"/>
        </w:rPr>
        <w:t xml:space="preserve"> </w:t>
      </w:r>
      <w:r>
        <w:t>a</w:t>
      </w:r>
      <w:r>
        <w:rPr>
          <w:spacing w:val="-1"/>
        </w:rPr>
        <w:t xml:space="preserve"> </w:t>
      </w:r>
      <w:r>
        <w:t>lack</w:t>
      </w:r>
      <w:r>
        <w:rPr>
          <w:spacing w:val="-1"/>
        </w:rPr>
        <w:t xml:space="preserve"> </w:t>
      </w:r>
      <w:r>
        <w:t>of</w:t>
      </w:r>
      <w:r>
        <w:rPr>
          <w:spacing w:val="-1"/>
        </w:rPr>
        <w:t xml:space="preserve"> </w:t>
      </w:r>
      <w:r>
        <w:t>structure.</w:t>
      </w:r>
      <w:r>
        <w:rPr>
          <w:spacing w:val="-1"/>
        </w:rPr>
        <w:t xml:space="preserve"> </w:t>
      </w:r>
      <w:r>
        <w:t>A</w:t>
      </w:r>
      <w:r>
        <w:rPr>
          <w:spacing w:val="-1"/>
        </w:rPr>
        <w:t xml:space="preserve"> </w:t>
      </w:r>
      <w:r>
        <w:t>person</w:t>
      </w:r>
      <w:r>
        <w:rPr>
          <w:spacing w:val="-1"/>
        </w:rPr>
        <w:t xml:space="preserve"> </w:t>
      </w:r>
      <w:r>
        <w:t>who has a job tends to act in the same ways over and over. This is because his activities must be internal to a certain organizational framework. By the same token, a person who doesn’t have a job doesn’t have to behave in those ways. Other things being equal, a person without a job behaves more erratically</w:t>
      </w:r>
      <w:r>
        <w:rPr>
          <w:spacing w:val="40"/>
        </w:rPr>
        <w:t xml:space="preserve"> </w:t>
      </w:r>
      <w:r>
        <w:t>than one who doesn’t.</w:t>
      </w:r>
    </w:p>
    <w:p w14:paraId="7E001DA6" w14:textId="77777777" w:rsidR="009A58DB" w:rsidRDefault="00000000">
      <w:pPr>
        <w:pStyle w:val="BodyText"/>
        <w:spacing w:before="8" w:line="249" w:lineRule="auto"/>
        <w:ind w:right="359" w:firstLine="360"/>
      </w:pPr>
      <w:r>
        <w:t xml:space="preserve">In light of this, let’s consider some humdrum facts about my psychology. When I woke up today, I believed that 1 + 1 = 2. When I went to sleep last night, I believed it. I obviously wasn’t thinking </w:t>
      </w:r>
      <w:r>
        <w:rPr>
          <w:i/>
        </w:rPr>
        <w:t xml:space="preserve">1 + 1 = 2 </w:t>
      </w:r>
      <w:r>
        <w:t>the entire time I was</w:t>
      </w:r>
      <w:r>
        <w:rPr>
          <w:spacing w:val="-3"/>
        </w:rPr>
        <w:t xml:space="preserve"> </w:t>
      </w:r>
      <w:r>
        <w:t>asleep.</w:t>
      </w:r>
      <w:r>
        <w:rPr>
          <w:spacing w:val="-2"/>
        </w:rPr>
        <w:t xml:space="preserve"> </w:t>
      </w:r>
      <w:r>
        <w:t>(And</w:t>
      </w:r>
      <w:r>
        <w:rPr>
          <w:spacing w:val="-3"/>
        </w:rPr>
        <w:t xml:space="preserve"> </w:t>
      </w:r>
      <w:r>
        <w:t>even</w:t>
      </w:r>
      <w:r>
        <w:rPr>
          <w:spacing w:val="-2"/>
        </w:rPr>
        <w:t xml:space="preserve"> </w:t>
      </w:r>
      <w:r>
        <w:t>if,</w:t>
      </w:r>
      <w:r>
        <w:rPr>
          <w:spacing w:val="-3"/>
        </w:rPr>
        <w:t xml:space="preserve"> </w:t>
      </w:r>
      <w:r>
        <w:t>by</w:t>
      </w:r>
      <w:r>
        <w:rPr>
          <w:spacing w:val="-2"/>
        </w:rPr>
        <w:t xml:space="preserve"> </w:t>
      </w:r>
      <w:r>
        <w:t>some</w:t>
      </w:r>
      <w:r>
        <w:rPr>
          <w:spacing w:val="-2"/>
        </w:rPr>
        <w:t xml:space="preserve"> </w:t>
      </w:r>
      <w:r>
        <w:t>remote</w:t>
      </w:r>
      <w:r>
        <w:rPr>
          <w:spacing w:val="-3"/>
        </w:rPr>
        <w:t xml:space="preserve"> </w:t>
      </w:r>
      <w:r>
        <w:t>chance,</w:t>
      </w:r>
      <w:r>
        <w:rPr>
          <w:spacing w:val="-2"/>
        </w:rPr>
        <w:t xml:space="preserve"> </w:t>
      </w:r>
      <w:r>
        <w:t>I</w:t>
      </w:r>
      <w:r>
        <w:rPr>
          <w:spacing w:val="-3"/>
        </w:rPr>
        <w:t xml:space="preserve"> </w:t>
      </w:r>
      <w:r>
        <w:t>was,</w:t>
      </w:r>
      <w:r>
        <w:rPr>
          <w:spacing w:val="-2"/>
        </w:rPr>
        <w:t xml:space="preserve"> </w:t>
      </w:r>
      <w:r>
        <w:t>there</w:t>
      </w:r>
      <w:r>
        <w:rPr>
          <w:spacing w:val="-3"/>
        </w:rPr>
        <w:t xml:space="preserve"> </w:t>
      </w:r>
      <w:r>
        <w:t>are</w:t>
      </w:r>
      <w:r>
        <w:rPr>
          <w:spacing w:val="-2"/>
        </w:rPr>
        <w:t xml:space="preserve"> </w:t>
      </w:r>
      <w:r>
        <w:t>many</w:t>
      </w:r>
      <w:r>
        <w:rPr>
          <w:spacing w:val="-2"/>
        </w:rPr>
        <w:t xml:space="preserve"> </w:t>
      </w:r>
      <w:r>
        <w:t xml:space="preserve">other beliefs that I have that weren’t coursing through my psyche during sleep. So just let my belief that 1 + 1 = 2 represent any one of those.) If that belief simply ceased to exist when, upon my falling asleep, it became inactive, it would be a miracle that, on waking up, I resumed having that belief. That would be a causal anomaly, a case of creation </w:t>
      </w:r>
      <w:r>
        <w:rPr>
          <w:i/>
        </w:rPr>
        <w:t xml:space="preserve">ex nihilo. </w:t>
      </w:r>
      <w:r>
        <w:t>That belief,</w:t>
      </w:r>
      <w:r>
        <w:rPr>
          <w:spacing w:val="40"/>
        </w:rPr>
        <w:t xml:space="preserve"> </w:t>
      </w:r>
      <w:r>
        <w:t xml:space="preserve">therefore, must have its basis in some kind of </w:t>
      </w:r>
      <w:r>
        <w:rPr>
          <w:i/>
        </w:rPr>
        <w:t xml:space="preserve">structure </w:t>
      </w:r>
      <w:r>
        <w:t>that endures even when it isn’t active.</w:t>
      </w:r>
    </w:p>
    <w:p w14:paraId="7E001DA7" w14:textId="77777777" w:rsidR="009A58DB" w:rsidRDefault="00000000">
      <w:pPr>
        <w:pStyle w:val="BodyText"/>
        <w:spacing w:before="14" w:line="249" w:lineRule="auto"/>
        <w:ind w:right="365" w:firstLine="360"/>
      </w:pPr>
      <w:r>
        <w:t xml:space="preserve">In fact, beliefs </w:t>
      </w:r>
      <w:r>
        <w:rPr>
          <w:i/>
        </w:rPr>
        <w:t xml:space="preserve">are </w:t>
      </w:r>
      <w:r>
        <w:t>structures. Beliefs must be distinguished from the use</w:t>
      </w:r>
      <w:r>
        <w:rPr>
          <w:spacing w:val="40"/>
        </w:rPr>
        <w:t xml:space="preserve"> </w:t>
      </w:r>
      <w:r>
        <w:t>to which they’re put. At any given time, most of your beliefs are inactive. You’re not drawing on them, arguing for them, reconsidering them, or emoting about them. But during these lulls the beliefs themselves no more cease to exist than a sheriff’s gun ceases to exist when he’s not firing it.</w:t>
      </w:r>
    </w:p>
    <w:p w14:paraId="7E001DA8" w14:textId="77777777" w:rsidR="009A58DB" w:rsidRDefault="00000000">
      <w:pPr>
        <w:pStyle w:val="BodyText"/>
        <w:spacing w:before="6" w:line="249" w:lineRule="auto"/>
        <w:ind w:right="361" w:firstLine="360"/>
      </w:pPr>
      <w:r>
        <w:t>Beliefs</w:t>
      </w:r>
      <w:r>
        <w:rPr>
          <w:spacing w:val="-2"/>
        </w:rPr>
        <w:t xml:space="preserve"> </w:t>
      </w:r>
      <w:r>
        <w:t>are</w:t>
      </w:r>
      <w:r>
        <w:rPr>
          <w:spacing w:val="-1"/>
        </w:rPr>
        <w:t xml:space="preserve"> </w:t>
      </w:r>
      <w:r>
        <w:t>not</w:t>
      </w:r>
      <w:r>
        <w:rPr>
          <w:spacing w:val="-2"/>
        </w:rPr>
        <w:t xml:space="preserve"> </w:t>
      </w:r>
      <w:r>
        <w:t>happenings.</w:t>
      </w:r>
      <w:r>
        <w:rPr>
          <w:spacing w:val="-1"/>
        </w:rPr>
        <w:t xml:space="preserve"> </w:t>
      </w:r>
      <w:r>
        <w:t>They</w:t>
      </w:r>
      <w:r>
        <w:rPr>
          <w:spacing w:val="-1"/>
        </w:rPr>
        <w:t xml:space="preserve"> </w:t>
      </w:r>
      <w:r>
        <w:t>are</w:t>
      </w:r>
      <w:r>
        <w:rPr>
          <w:spacing w:val="-2"/>
        </w:rPr>
        <w:t xml:space="preserve"> </w:t>
      </w:r>
      <w:r>
        <w:t>not,</w:t>
      </w:r>
      <w:r>
        <w:rPr>
          <w:spacing w:val="-1"/>
        </w:rPr>
        <w:t xml:space="preserve"> </w:t>
      </w:r>
      <w:r>
        <w:t>as</w:t>
      </w:r>
      <w:r>
        <w:rPr>
          <w:spacing w:val="-1"/>
        </w:rPr>
        <w:t xml:space="preserve"> </w:t>
      </w:r>
      <w:r>
        <w:t>philosophers</w:t>
      </w:r>
      <w:r>
        <w:rPr>
          <w:spacing w:val="-1"/>
        </w:rPr>
        <w:t xml:space="preserve"> </w:t>
      </w:r>
      <w:r>
        <w:t>say,</w:t>
      </w:r>
      <w:r>
        <w:rPr>
          <w:spacing w:val="-1"/>
        </w:rPr>
        <w:t xml:space="preserve"> </w:t>
      </w:r>
      <w:r>
        <w:t>“occurrent.” A searing pain is occurrent. So is any sense-perception or act of thought, whether conscious or unconscious. But beliefs aren’t processes. Nor are attitudes or intentions or aspirations.</w:t>
      </w:r>
    </w:p>
    <w:p w14:paraId="7E001DA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AA" w14:textId="77777777" w:rsidR="009A58DB" w:rsidRDefault="00000000">
      <w:pPr>
        <w:pStyle w:val="BodyText"/>
        <w:spacing w:before="65" w:line="249" w:lineRule="auto"/>
        <w:ind w:right="359" w:firstLine="360"/>
      </w:pPr>
      <w:r>
        <w:lastRenderedPageBreak/>
        <w:t xml:space="preserve">No individual belief changes. For a person’s beliefs to change is for that person to shed some old beliefs or acquire new ones. I used to be convinced that Platonism is false; now I’m convinced that it’s true. But that change was a case of one belief’s being obliterated and replaced by a different one; it wasn’t a change that was internal to the persistence of some one belief. Whenever a belief is “modified,” what’s going on is that it’s being replaced with another, possibly related belief. And it isn’t the </w:t>
      </w:r>
      <w:r>
        <w:rPr>
          <w:i/>
        </w:rPr>
        <w:t xml:space="preserve">belief </w:t>
      </w:r>
      <w:r>
        <w:t>itself that is occurrent: beliefs are always stable. What is occurrent is the process whereby the one belief is replaced with the other.</w:t>
      </w:r>
    </w:p>
    <w:p w14:paraId="7E001DAB" w14:textId="77777777" w:rsidR="009A58DB" w:rsidRDefault="00000000">
      <w:pPr>
        <w:pStyle w:val="BodyText"/>
        <w:spacing w:before="11" w:line="249" w:lineRule="auto"/>
        <w:ind w:right="365" w:firstLine="360"/>
      </w:pPr>
      <w:r>
        <w:t>The same is true of attitudes, personality traits, and intentions. What is occurrent isn’t the intention itself; it’s the process of acquiring it or of dumping it (and replacing it with another).</w:t>
      </w:r>
    </w:p>
    <w:p w14:paraId="7E001DAC" w14:textId="77777777" w:rsidR="009A58DB" w:rsidRDefault="00000000">
      <w:pPr>
        <w:pStyle w:val="BodyText"/>
        <w:spacing w:before="3" w:line="249" w:lineRule="auto"/>
        <w:ind w:right="359" w:firstLine="360"/>
      </w:pPr>
      <w:r>
        <w:t xml:space="preserve">One’s beliefs, attitudes, etc., are an important part of one’s mind. Since these things are structures, it immediately follows that there is </w:t>
      </w:r>
      <w:r>
        <w:rPr>
          <w:i/>
        </w:rPr>
        <w:t xml:space="preserve">much </w:t>
      </w:r>
      <w:r>
        <w:t xml:space="preserve">to one’s mind that isn’t a process of any kind. What about the occurrent processes are associated with mind? The pains, the pleasures, the sense-perceptions, the waves of doubt, the conscious acts of deliberation? These, it seems to me, are mental </w:t>
      </w:r>
      <w:r>
        <w:rPr>
          <w:i/>
        </w:rPr>
        <w:t xml:space="preserve">actions </w:t>
      </w:r>
      <w:r>
        <w:t>and are thus no more constitutive of your mind than a bodily action (e.g., one’s jumping over a fence) is constitutive of your body.</w:t>
      </w:r>
    </w:p>
    <w:p w14:paraId="7E001DAD" w14:textId="77777777" w:rsidR="009A58DB" w:rsidRDefault="00000000">
      <w:pPr>
        <w:pStyle w:val="BodyText"/>
        <w:spacing w:before="9" w:line="249" w:lineRule="auto"/>
        <w:ind w:right="360" w:firstLine="360"/>
      </w:pPr>
      <w:r>
        <w:t>One’s mind isn’t one’s stream of mentation; it is the structure that mediates this mentation. We saw reason to believe this earlier. So the slogan “no thought, no mind” is false. The right slogan is: “no thought-enabling structure, no mind.”</w:t>
      </w:r>
    </w:p>
    <w:p w14:paraId="7E001DAE" w14:textId="77777777" w:rsidR="009A58DB" w:rsidRDefault="00000000">
      <w:pPr>
        <w:pStyle w:val="BodyText"/>
        <w:spacing w:before="5" w:line="249" w:lineRule="auto"/>
        <w:ind w:right="361" w:firstLine="360"/>
      </w:pPr>
      <w:r>
        <w:t xml:space="preserve">This slogan suggests another one: “mind = thought-enabling structure (as opposed to stream of thought).” When one is in a deep sleep or even </w:t>
      </w:r>
      <w:r>
        <w:rPr>
          <w:spacing w:val="-4"/>
        </w:rPr>
        <w:t>cryogenically</w:t>
      </w:r>
      <w:r>
        <w:rPr>
          <w:spacing w:val="-7"/>
        </w:rPr>
        <w:t xml:space="preserve"> </w:t>
      </w:r>
      <w:r>
        <w:rPr>
          <w:spacing w:val="-4"/>
        </w:rPr>
        <w:t>frozen,</w:t>
      </w:r>
      <w:r>
        <w:rPr>
          <w:spacing w:val="-7"/>
        </w:rPr>
        <w:t xml:space="preserve"> </w:t>
      </w:r>
      <w:r>
        <w:rPr>
          <w:spacing w:val="-4"/>
        </w:rPr>
        <w:t>the</w:t>
      </w:r>
      <w:r>
        <w:rPr>
          <w:spacing w:val="-7"/>
        </w:rPr>
        <w:t xml:space="preserve"> </w:t>
      </w:r>
      <w:r>
        <w:rPr>
          <w:spacing w:val="-4"/>
        </w:rPr>
        <w:t>structures</w:t>
      </w:r>
      <w:r>
        <w:rPr>
          <w:spacing w:val="-7"/>
        </w:rPr>
        <w:t xml:space="preserve"> </w:t>
      </w:r>
      <w:r>
        <w:rPr>
          <w:spacing w:val="-4"/>
        </w:rPr>
        <w:t>responsible</w:t>
      </w:r>
      <w:r>
        <w:rPr>
          <w:spacing w:val="-7"/>
        </w:rPr>
        <w:t xml:space="preserve"> </w:t>
      </w:r>
      <w:r>
        <w:rPr>
          <w:spacing w:val="-4"/>
        </w:rPr>
        <w:t>for</w:t>
      </w:r>
      <w:r>
        <w:rPr>
          <w:spacing w:val="-8"/>
        </w:rPr>
        <w:t xml:space="preserve"> </w:t>
      </w:r>
      <w:r>
        <w:rPr>
          <w:spacing w:val="-4"/>
        </w:rPr>
        <w:t>thought</w:t>
      </w:r>
      <w:r>
        <w:rPr>
          <w:spacing w:val="-8"/>
        </w:rPr>
        <w:t xml:space="preserve"> </w:t>
      </w:r>
      <w:r>
        <w:rPr>
          <w:spacing w:val="-4"/>
        </w:rPr>
        <w:t>are</w:t>
      </w:r>
      <w:r>
        <w:rPr>
          <w:spacing w:val="-7"/>
        </w:rPr>
        <w:t xml:space="preserve"> </w:t>
      </w:r>
      <w:r>
        <w:rPr>
          <w:spacing w:val="-4"/>
        </w:rPr>
        <w:t>inactive,</w:t>
      </w:r>
      <w:r>
        <w:rPr>
          <w:spacing w:val="-7"/>
        </w:rPr>
        <w:t xml:space="preserve"> </w:t>
      </w:r>
      <w:r>
        <w:rPr>
          <w:spacing w:val="-4"/>
        </w:rPr>
        <w:t>but</w:t>
      </w:r>
      <w:r>
        <w:rPr>
          <w:spacing w:val="-8"/>
        </w:rPr>
        <w:t xml:space="preserve"> </w:t>
      </w:r>
      <w:r>
        <w:rPr>
          <w:spacing w:val="-4"/>
        </w:rPr>
        <w:t xml:space="preserve">they </w:t>
      </w:r>
      <w:r>
        <w:t xml:space="preserve">don’t cease to exist on that account. (An elevator that isn’t being used still </w:t>
      </w:r>
      <w:r>
        <w:rPr>
          <w:spacing w:val="-2"/>
        </w:rPr>
        <w:t>exists.)</w:t>
      </w:r>
    </w:p>
    <w:p w14:paraId="7E001DAF" w14:textId="77777777" w:rsidR="009A58DB" w:rsidRDefault="00000000">
      <w:pPr>
        <w:pStyle w:val="Heading1"/>
        <w:numPr>
          <w:ilvl w:val="1"/>
          <w:numId w:val="93"/>
        </w:numPr>
        <w:tabs>
          <w:tab w:val="left" w:pos="990"/>
        </w:tabs>
        <w:spacing w:before="194"/>
      </w:pPr>
      <w:r>
        <w:t>An</w:t>
      </w:r>
      <w:r>
        <w:rPr>
          <w:spacing w:val="-2"/>
        </w:rPr>
        <w:t xml:space="preserve"> objection</w:t>
      </w:r>
    </w:p>
    <w:p w14:paraId="7E001DB0" w14:textId="77777777" w:rsidR="009A58DB" w:rsidRDefault="00000000">
      <w:pPr>
        <w:pStyle w:val="BodyText"/>
        <w:spacing w:before="139"/>
        <w:jc w:val="left"/>
      </w:pPr>
      <w:r>
        <w:t>Let’s</w:t>
      </w:r>
      <w:r>
        <w:rPr>
          <w:spacing w:val="-6"/>
        </w:rPr>
        <w:t xml:space="preserve"> </w:t>
      </w:r>
      <w:r>
        <w:t>consider</w:t>
      </w:r>
      <w:r>
        <w:rPr>
          <w:spacing w:val="-3"/>
        </w:rPr>
        <w:t xml:space="preserve"> </w:t>
      </w:r>
      <w:r>
        <w:t>an</w:t>
      </w:r>
      <w:r>
        <w:rPr>
          <w:spacing w:val="-3"/>
        </w:rPr>
        <w:t xml:space="preserve"> </w:t>
      </w:r>
      <w:r>
        <w:t>object</w:t>
      </w:r>
      <w:r>
        <w:rPr>
          <w:spacing w:val="-3"/>
        </w:rPr>
        <w:t xml:space="preserve"> </w:t>
      </w:r>
      <w:r>
        <w:t>to</w:t>
      </w:r>
      <w:r>
        <w:rPr>
          <w:spacing w:val="-3"/>
        </w:rPr>
        <w:t xml:space="preserve"> </w:t>
      </w:r>
      <w:r>
        <w:t>the</w:t>
      </w:r>
      <w:r>
        <w:rPr>
          <w:spacing w:val="-4"/>
        </w:rPr>
        <w:t xml:space="preserve"> </w:t>
      </w:r>
      <w:r>
        <w:t>argument</w:t>
      </w:r>
      <w:r>
        <w:rPr>
          <w:spacing w:val="-3"/>
        </w:rPr>
        <w:t xml:space="preserve"> </w:t>
      </w:r>
      <w:r>
        <w:t>just</w:t>
      </w:r>
      <w:r>
        <w:rPr>
          <w:spacing w:val="-3"/>
        </w:rPr>
        <w:t xml:space="preserve"> </w:t>
      </w:r>
      <w:r>
        <w:rPr>
          <w:spacing w:val="-2"/>
        </w:rPr>
        <w:t>presented:</w:t>
      </w:r>
    </w:p>
    <w:p w14:paraId="7E001DB1" w14:textId="77777777" w:rsidR="009A58DB" w:rsidRDefault="00000000">
      <w:pPr>
        <w:pStyle w:val="BodyText"/>
        <w:spacing w:before="255" w:line="249" w:lineRule="auto"/>
        <w:ind w:left="720" w:right="363"/>
      </w:pPr>
      <w:r>
        <w:t>“But aren’t those structures brain-structures? Ice-man survives his thousand-year ice coma only because those brain-structures remain intact. Those structures are obviously physical; they’re part of one’s body, like one’s heart or gall-bladder. So your theory of personal identity (viz. one’s</w:t>
      </w:r>
    </w:p>
    <w:p w14:paraId="7E001DB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B3" w14:textId="77777777" w:rsidR="009A58DB" w:rsidRDefault="00000000">
      <w:pPr>
        <w:pStyle w:val="BodyText"/>
        <w:spacing w:before="61" w:line="249" w:lineRule="auto"/>
        <w:ind w:left="720" w:right="363"/>
      </w:pPr>
      <w:r>
        <w:lastRenderedPageBreak/>
        <w:t>self is one’s mind and one’s mind consists of the structures underlying one’s thoughts) collapses into a physicalist, and therefore a non-mentalistic, analysis of personal identity.”</w:t>
      </w:r>
    </w:p>
    <w:p w14:paraId="7E001DB4" w14:textId="77777777" w:rsidR="009A58DB" w:rsidRDefault="00000000">
      <w:pPr>
        <w:pStyle w:val="BodyText"/>
        <w:spacing w:before="247" w:line="249" w:lineRule="auto"/>
        <w:ind w:right="359" w:firstLine="360"/>
      </w:pPr>
      <w:r>
        <w:t>Mentalists usually hold that mental entities are physical entities. A mentalist</w:t>
      </w:r>
      <w:r>
        <w:rPr>
          <w:spacing w:val="-4"/>
        </w:rPr>
        <w:t xml:space="preserve"> </w:t>
      </w:r>
      <w:r>
        <w:t>who</w:t>
      </w:r>
      <w:r>
        <w:rPr>
          <w:spacing w:val="-4"/>
        </w:rPr>
        <w:t xml:space="preserve"> </w:t>
      </w:r>
      <w:r>
        <w:t>holds</w:t>
      </w:r>
      <w:r>
        <w:rPr>
          <w:spacing w:val="-4"/>
        </w:rPr>
        <w:t xml:space="preserve"> </w:t>
      </w:r>
      <w:r>
        <w:t>that</w:t>
      </w:r>
      <w:r>
        <w:rPr>
          <w:spacing w:val="-4"/>
        </w:rPr>
        <w:t xml:space="preserve"> </w:t>
      </w:r>
      <w:r>
        <w:t>thought-structures</w:t>
      </w:r>
      <w:r>
        <w:rPr>
          <w:spacing w:val="-4"/>
        </w:rPr>
        <w:t xml:space="preserve"> </w:t>
      </w:r>
      <w:r>
        <w:t>are</w:t>
      </w:r>
      <w:r>
        <w:rPr>
          <w:spacing w:val="-4"/>
        </w:rPr>
        <w:t xml:space="preserve"> </w:t>
      </w:r>
      <w:r>
        <w:t>brain-structures</w:t>
      </w:r>
      <w:r>
        <w:rPr>
          <w:spacing w:val="-4"/>
        </w:rPr>
        <w:t xml:space="preserve"> </w:t>
      </w:r>
      <w:r>
        <w:t>will</w:t>
      </w:r>
      <w:r>
        <w:rPr>
          <w:spacing w:val="-4"/>
        </w:rPr>
        <w:t xml:space="preserve"> </w:t>
      </w:r>
      <w:r>
        <w:t>hold</w:t>
      </w:r>
      <w:r>
        <w:rPr>
          <w:spacing w:val="-4"/>
        </w:rPr>
        <w:t xml:space="preserve"> </w:t>
      </w:r>
      <w:r>
        <w:t xml:space="preserve">that, when those brain-structures go, so will the corresponding person, the reason being that those brain-structures are identical with that person’s mind. The physicalist holds that, no matter what happens to the parts of brain mediating sentience, a given individual survives </w:t>
      </w:r>
      <w:r>
        <w:rPr>
          <w:i/>
        </w:rPr>
        <w:t xml:space="preserve">provided </w:t>
      </w:r>
      <w:r>
        <w:t xml:space="preserve">that his heart, lungs, gall-bladder, etc. are still working. His reason is that one’s self is one’s body and it’s a fact that one’s body can remain alive, and certainly exist in some form or other, well after one’s mind is gone. The difference between physicalist and mentalists isn’t that the former do, whereas the latter do not, believe the minds are brains (or brain-structures). The real difference is this. Mentalists believe the </w:t>
      </w:r>
      <w:r>
        <w:rPr>
          <w:i/>
        </w:rPr>
        <w:t xml:space="preserve">only </w:t>
      </w:r>
      <w:r>
        <w:t>parts of the mind to be directly responsible for personal identity are the parts that are identical with one’s mind. Physicalists don’t think that these brain-structures are any more important to the persistence of the self than parts of the brain that have nothing to do with thought (that, for example, regulate the manufacture of hormones).</w:t>
      </w:r>
    </w:p>
    <w:p w14:paraId="7E001DB5" w14:textId="77777777" w:rsidR="009A58DB" w:rsidRDefault="00000000">
      <w:pPr>
        <w:pStyle w:val="Heading1"/>
        <w:numPr>
          <w:ilvl w:val="1"/>
          <w:numId w:val="92"/>
        </w:numPr>
        <w:tabs>
          <w:tab w:val="left" w:pos="990"/>
        </w:tabs>
        <w:spacing w:before="208"/>
      </w:pPr>
      <w:r>
        <w:t>Degrees</w:t>
      </w:r>
      <w:r>
        <w:rPr>
          <w:spacing w:val="-4"/>
        </w:rPr>
        <w:t xml:space="preserve"> </w:t>
      </w:r>
      <w:r>
        <w:t>of</w:t>
      </w:r>
      <w:r>
        <w:rPr>
          <w:spacing w:val="-3"/>
        </w:rPr>
        <w:t xml:space="preserve"> </w:t>
      </w:r>
      <w:r>
        <w:rPr>
          <w:spacing w:val="-2"/>
        </w:rPr>
        <w:t>identity</w:t>
      </w:r>
    </w:p>
    <w:p w14:paraId="7E001DB6" w14:textId="77777777" w:rsidR="009A58DB" w:rsidRDefault="00000000">
      <w:pPr>
        <w:pStyle w:val="BodyText"/>
        <w:spacing w:before="139" w:line="249" w:lineRule="auto"/>
        <w:ind w:right="360"/>
      </w:pPr>
      <w:r>
        <w:t>It’s generally held that, for any object x and any object y, x and y are either identical or they’re not; they can’t be identical to a certain degree.</w:t>
      </w:r>
    </w:p>
    <w:p w14:paraId="7E001DB7" w14:textId="77777777" w:rsidR="009A58DB" w:rsidRDefault="00000000">
      <w:pPr>
        <w:pStyle w:val="BodyText"/>
        <w:spacing w:before="3" w:line="249" w:lineRule="auto"/>
        <w:ind w:right="359" w:firstLine="360"/>
      </w:pPr>
      <w:r>
        <w:t>Is this correct? Remember that we distinguished between diachronic and synchronic</w:t>
      </w:r>
      <w:r>
        <w:rPr>
          <w:spacing w:val="-1"/>
        </w:rPr>
        <w:t xml:space="preserve"> </w:t>
      </w:r>
      <w:r>
        <w:t>identity-claims. “Barack Obama is the</w:t>
      </w:r>
      <w:r>
        <w:rPr>
          <w:spacing w:val="-1"/>
        </w:rPr>
        <w:t xml:space="preserve"> </w:t>
      </w:r>
      <w:r>
        <w:t>current</w:t>
      </w:r>
      <w:r>
        <w:rPr>
          <w:spacing w:val="-1"/>
        </w:rPr>
        <w:t xml:space="preserve"> </w:t>
      </w:r>
      <w:r>
        <w:t>U.S. President” is a synchronic identity claim, and “I [JMK in 2009] am identical with that</w:t>
      </w:r>
      <w:r>
        <w:rPr>
          <w:spacing w:val="40"/>
        </w:rPr>
        <w:t xml:space="preserve"> </w:t>
      </w:r>
      <w:r>
        <w:t xml:space="preserve">blobby infant [in the photo from 1973]” is a diachronic identity claim. Where synchronic identity claims are concerned, there are indeed no degrees of identity. x and y are synchronically identical or they aren’t—there’s nothing intermediate between total synchronic identity and total synchronic </w:t>
      </w:r>
      <w:r>
        <w:rPr>
          <w:spacing w:val="-2"/>
        </w:rPr>
        <w:t>distinctness.</w:t>
      </w:r>
    </w:p>
    <w:p w14:paraId="7E001DB8" w14:textId="77777777" w:rsidR="009A58DB" w:rsidRDefault="00000000">
      <w:pPr>
        <w:pStyle w:val="BodyText"/>
        <w:spacing w:before="9" w:line="249" w:lineRule="auto"/>
        <w:ind w:right="360" w:firstLine="360"/>
      </w:pPr>
      <w:r>
        <w:t xml:space="preserve">But diachronic identity is a different matter altogether. Diachronic identity not only can come in degrees, but </w:t>
      </w:r>
      <w:r>
        <w:rPr>
          <w:i/>
        </w:rPr>
        <w:t xml:space="preserve">must </w:t>
      </w:r>
      <w:r>
        <w:t>do so. Let “x = y” be an arbitrary diachronic identity claim. So far as it’s true, it’s only if the following conditions are met. First, y is a causal successor of x. In other words, there is</w:t>
      </w:r>
    </w:p>
    <w:p w14:paraId="7E001DB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BA" w14:textId="77777777" w:rsidR="009A58DB" w:rsidRDefault="00000000">
      <w:pPr>
        <w:pStyle w:val="BodyText"/>
        <w:spacing w:before="61" w:line="249" w:lineRule="auto"/>
        <w:ind w:right="360"/>
      </w:pPr>
      <w:r>
        <w:lastRenderedPageBreak/>
        <w:t xml:space="preserve">some sequence of events, such that each event in that sequence is caused to occur by its predecessor (if it has one) and causes its successor to occur (if it has one), and such that x and y are both installments in that sequence. But for “x = y” to be true, it isn’t enough that these conditions be met. If x is the particular gamete that, in due course, became me, and y is me, “x = y” isn’t </w:t>
      </w:r>
      <w:r>
        <w:rPr>
          <w:spacing w:val="-2"/>
        </w:rPr>
        <w:t>true.</w:t>
      </w:r>
    </w:p>
    <w:p w14:paraId="7E001DBB" w14:textId="77777777" w:rsidR="009A58DB" w:rsidRDefault="00000000">
      <w:pPr>
        <w:pStyle w:val="BodyText"/>
        <w:spacing w:before="11" w:line="249" w:lineRule="auto"/>
        <w:ind w:right="357" w:firstLine="360"/>
      </w:pPr>
      <w:r>
        <w:t xml:space="preserve">But why not? Because x and y are </w:t>
      </w:r>
      <w:r>
        <w:rPr>
          <w:i/>
        </w:rPr>
        <w:t xml:space="preserve">too </w:t>
      </w:r>
      <w:r>
        <w:t>different. For “x = y,” when taken</w:t>
      </w:r>
      <w:r>
        <w:rPr>
          <w:spacing w:val="40"/>
        </w:rPr>
        <w:t xml:space="preserve"> </w:t>
      </w:r>
      <w:r>
        <w:t xml:space="preserve">as a diachronic identity-statement, to be warranted, it is necessary not only that y be x’s successor in some causal sequence, but also that the relationship borne by x’s condition with respect to y’s condition be a predictively and explanatorily robust one. I am structurally </w:t>
      </w:r>
      <w:r>
        <w:rPr>
          <w:i/>
        </w:rPr>
        <w:t xml:space="preserve">so </w:t>
      </w:r>
      <w:r>
        <w:t>different from the gamete that eventuated in me, and the bridges that had to be crossed in order for that gamete to eventuate in anything at all like myself were so rickety, that the relationship borne by that gamete to my present self isn’t that of young JMK to old JMK, but is more like that of ancestor to descendant. To be sure, a single entity can change a great deal. The butterfly is structurally very different from the caterpillar that became it. But the predictive and explanatory relations borne by the caterpillar with respect to the butterfly are sufficiently tight enough that it’s more fruitful to see the change in question as internal to the existence of some one thing than it is to see it as a case of one thing’s being replaced by some distinct thing.</w:t>
      </w:r>
    </w:p>
    <w:p w14:paraId="7E001DBC" w14:textId="77777777" w:rsidR="009A58DB" w:rsidRDefault="00000000">
      <w:pPr>
        <w:pStyle w:val="BodyText"/>
        <w:spacing w:before="18" w:line="271" w:lineRule="auto"/>
        <w:ind w:right="361" w:firstLine="360"/>
      </w:pPr>
      <w:r>
        <w:t>Given two bodies of data, D</w:t>
      </w:r>
      <w:r>
        <w:rPr>
          <w:position w:val="-7"/>
          <w:sz w:val="22"/>
        </w:rPr>
        <w:t xml:space="preserve">1 </w:t>
      </w:r>
      <w:r>
        <w:t>and D</w:t>
      </w:r>
      <w:r>
        <w:rPr>
          <w:position w:val="-7"/>
          <w:sz w:val="22"/>
        </w:rPr>
        <w:t>2</w:t>
      </w:r>
      <w:r>
        <w:t>, and some event E, D</w:t>
      </w:r>
      <w:r>
        <w:rPr>
          <w:position w:val="-7"/>
          <w:sz w:val="22"/>
        </w:rPr>
        <w:t>1</w:t>
      </w:r>
      <w:r>
        <w:rPr>
          <w:spacing w:val="40"/>
          <w:position w:val="-7"/>
          <w:sz w:val="22"/>
        </w:rPr>
        <w:t xml:space="preserve"> </w:t>
      </w:r>
      <w:r>
        <w:t>can be more relevant</w:t>
      </w:r>
      <w:r>
        <w:rPr>
          <w:spacing w:val="-2"/>
        </w:rPr>
        <w:t xml:space="preserve"> </w:t>
      </w:r>
      <w:r>
        <w:t>to E than D</w:t>
      </w:r>
      <w:r>
        <w:rPr>
          <w:vertAlign w:val="subscript"/>
        </w:rPr>
        <w:t>2</w:t>
      </w:r>
      <w:r>
        <w:t>; D</w:t>
      </w:r>
      <w:r>
        <w:rPr>
          <w:vertAlign w:val="subscript"/>
        </w:rPr>
        <w:t>1</w:t>
      </w:r>
      <w:r>
        <w:t xml:space="preserve"> can do</w:t>
      </w:r>
      <w:r>
        <w:rPr>
          <w:spacing w:val="-19"/>
        </w:rPr>
        <w:t xml:space="preserve"> </w:t>
      </w:r>
      <w:r>
        <w:t>a better job than D</w:t>
      </w:r>
      <w:r>
        <w:rPr>
          <w:vertAlign w:val="subscript"/>
        </w:rPr>
        <w:t>2</w:t>
      </w:r>
      <w:r>
        <w:t xml:space="preserve"> of explaining E (if it has already happened) or of providing reasons to predict E’s</w:t>
      </w:r>
    </w:p>
    <w:p w14:paraId="7E001DBD" w14:textId="77777777" w:rsidR="009A58DB" w:rsidRDefault="00000000">
      <w:pPr>
        <w:pStyle w:val="BodyText"/>
        <w:spacing w:line="313" w:lineRule="exact"/>
      </w:pPr>
      <w:r>
        <w:t>occurrence</w:t>
      </w:r>
      <w:r>
        <w:rPr>
          <w:spacing w:val="27"/>
        </w:rPr>
        <w:t xml:space="preserve">  </w:t>
      </w:r>
      <w:r>
        <w:t>(if</w:t>
      </w:r>
      <w:r>
        <w:rPr>
          <w:spacing w:val="28"/>
        </w:rPr>
        <w:t xml:space="preserve">  </w:t>
      </w:r>
      <w:r>
        <w:t>it</w:t>
      </w:r>
      <w:r>
        <w:rPr>
          <w:spacing w:val="28"/>
        </w:rPr>
        <w:t xml:space="preserve">  </w:t>
      </w:r>
      <w:r>
        <w:t>hasn’t</w:t>
      </w:r>
      <w:r>
        <w:rPr>
          <w:spacing w:val="28"/>
        </w:rPr>
        <w:t xml:space="preserve">  </w:t>
      </w:r>
      <w:r>
        <w:t>yet</w:t>
      </w:r>
      <w:r>
        <w:rPr>
          <w:spacing w:val="28"/>
        </w:rPr>
        <w:t xml:space="preserve">  </w:t>
      </w:r>
      <w:r>
        <w:t>happened,</w:t>
      </w:r>
      <w:r>
        <w:rPr>
          <w:spacing w:val="28"/>
        </w:rPr>
        <w:t xml:space="preserve">  </w:t>
      </w:r>
      <w:r>
        <w:t>but</w:t>
      </w:r>
      <w:r>
        <w:rPr>
          <w:spacing w:val="28"/>
        </w:rPr>
        <w:t xml:space="preserve">  </w:t>
      </w:r>
      <w:r>
        <w:t>will).</w:t>
      </w:r>
      <w:r>
        <w:rPr>
          <w:spacing w:val="28"/>
        </w:rPr>
        <w:t xml:space="preserve">  </w:t>
      </w:r>
      <w:r>
        <w:t>Explanatoriness</w:t>
      </w:r>
      <w:r>
        <w:rPr>
          <w:spacing w:val="28"/>
        </w:rPr>
        <w:t xml:space="preserve">  </w:t>
      </w:r>
      <w:r>
        <w:rPr>
          <w:spacing w:val="-5"/>
        </w:rPr>
        <w:t>and</w:t>
      </w:r>
    </w:p>
    <w:p w14:paraId="7E001DBE" w14:textId="77777777" w:rsidR="009A58DB" w:rsidRDefault="00000000">
      <w:pPr>
        <w:pStyle w:val="BodyText"/>
        <w:spacing w:before="15" w:line="249" w:lineRule="auto"/>
        <w:ind w:right="360"/>
      </w:pPr>
      <w:r>
        <w:t xml:space="preserve">predictiveness come in degrees. Since “x = y” is true </w:t>
      </w:r>
      <w:r>
        <w:rPr>
          <w:i/>
        </w:rPr>
        <w:t xml:space="preserve">to the degree </w:t>
      </w:r>
      <w:r>
        <w:t>that x bears the relevant explanatory and predictive relations to y, thinghood is a matter of degree. It’s also a matter of context. In some explanatory contexts,</w:t>
      </w:r>
      <w:r>
        <w:rPr>
          <w:spacing w:val="40"/>
        </w:rPr>
        <w:t xml:space="preserve"> </w:t>
      </w:r>
      <w:r>
        <w:t>it</w:t>
      </w:r>
      <w:r>
        <w:rPr>
          <w:spacing w:val="-4"/>
        </w:rPr>
        <w:t xml:space="preserve"> </w:t>
      </w:r>
      <w:r>
        <w:rPr>
          <w:i/>
        </w:rPr>
        <w:t>would</w:t>
      </w:r>
      <w:r>
        <w:rPr>
          <w:i/>
          <w:spacing w:val="-3"/>
        </w:rPr>
        <w:t xml:space="preserve"> </w:t>
      </w:r>
      <w:r>
        <w:t>be correct to say of some gamete that it is identical, in the diachronic sense, with some philosophy professor.</w:t>
      </w:r>
    </w:p>
    <w:p w14:paraId="7E001DBF" w14:textId="77777777" w:rsidR="009A58DB" w:rsidRDefault="00000000">
      <w:pPr>
        <w:pStyle w:val="BodyText"/>
        <w:spacing w:before="7" w:line="249" w:lineRule="auto"/>
        <w:ind w:right="366" w:firstLine="360"/>
      </w:pPr>
      <w:r>
        <w:t>These points are developed in Sections 7.0–7.5 of the present chapter, which is concerned with the conditions that two different states of affairs must satisfy if they are to both be constitutive of some one entity.</w:t>
      </w:r>
    </w:p>
    <w:p w14:paraId="7E001DC0" w14:textId="77777777" w:rsidR="009A58DB" w:rsidRDefault="00000000">
      <w:pPr>
        <w:pStyle w:val="Heading1"/>
        <w:numPr>
          <w:ilvl w:val="1"/>
          <w:numId w:val="92"/>
        </w:numPr>
        <w:tabs>
          <w:tab w:val="left" w:pos="990"/>
        </w:tabs>
        <w:spacing w:before="191"/>
      </w:pPr>
      <w:r>
        <w:t>Degrees</w:t>
      </w:r>
      <w:r>
        <w:rPr>
          <w:spacing w:val="-6"/>
        </w:rPr>
        <w:t xml:space="preserve"> </w:t>
      </w:r>
      <w:r>
        <w:t>of</w:t>
      </w:r>
      <w:r>
        <w:rPr>
          <w:spacing w:val="-5"/>
        </w:rPr>
        <w:t xml:space="preserve"> </w:t>
      </w:r>
      <w:r>
        <w:t>personal</w:t>
      </w:r>
      <w:r>
        <w:rPr>
          <w:spacing w:val="-5"/>
        </w:rPr>
        <w:t xml:space="preserve"> </w:t>
      </w:r>
      <w:r>
        <w:t>identity</w:t>
      </w:r>
      <w:r>
        <w:rPr>
          <w:spacing w:val="-4"/>
        </w:rPr>
        <w:t xml:space="preserve"> </w:t>
      </w:r>
      <w:r>
        <w:rPr>
          <w:spacing w:val="-2"/>
        </w:rPr>
        <w:t>(continued)</w:t>
      </w:r>
    </w:p>
    <w:p w14:paraId="7E001DC1" w14:textId="77777777" w:rsidR="009A58DB" w:rsidRDefault="009A58DB">
      <w:pPr>
        <w:pStyle w:val="Heading1"/>
        <w:sectPr w:rsidR="009A58DB">
          <w:pgSz w:w="12240" w:h="15840"/>
          <w:pgMar w:top="1380" w:right="1080" w:bottom="280" w:left="1080" w:header="720" w:footer="720" w:gutter="0"/>
          <w:cols w:space="720"/>
        </w:sectPr>
      </w:pPr>
    </w:p>
    <w:p w14:paraId="7E001DC2" w14:textId="77777777" w:rsidR="009A58DB" w:rsidRDefault="00000000">
      <w:pPr>
        <w:pStyle w:val="BodyText"/>
        <w:spacing w:before="65" w:line="249" w:lineRule="auto"/>
        <w:ind w:right="358"/>
      </w:pPr>
      <w:r>
        <w:lastRenderedPageBreak/>
        <w:t>We</w:t>
      </w:r>
      <w:r>
        <w:rPr>
          <w:spacing w:val="-4"/>
        </w:rPr>
        <w:t xml:space="preserve"> </w:t>
      </w:r>
      <w:r>
        <w:t>tend</w:t>
      </w:r>
      <w:r>
        <w:rPr>
          <w:spacing w:val="-3"/>
        </w:rPr>
        <w:t xml:space="preserve"> </w:t>
      </w:r>
      <w:r>
        <w:t>to</w:t>
      </w:r>
      <w:r>
        <w:rPr>
          <w:spacing w:val="-3"/>
        </w:rPr>
        <w:t xml:space="preserve"> </w:t>
      </w:r>
      <w:r>
        <w:t>think</w:t>
      </w:r>
      <w:r>
        <w:rPr>
          <w:spacing w:val="-3"/>
        </w:rPr>
        <w:t xml:space="preserve"> </w:t>
      </w:r>
      <w:r>
        <w:t>that</w:t>
      </w:r>
      <w:r>
        <w:rPr>
          <w:spacing w:val="-4"/>
        </w:rPr>
        <w:t xml:space="preserve"> </w:t>
      </w:r>
      <w:r>
        <w:rPr>
          <w:i/>
        </w:rPr>
        <w:t>personal</w:t>
      </w:r>
      <w:r>
        <w:rPr>
          <w:i/>
          <w:spacing w:val="-4"/>
        </w:rPr>
        <w:t xml:space="preserve"> </w:t>
      </w:r>
      <w:r>
        <w:t xml:space="preserve">identity either holds or it doesn’t. “I remember </w:t>
      </w:r>
      <w:r>
        <w:rPr>
          <w:i/>
        </w:rPr>
        <w:t xml:space="preserve">being </w:t>
      </w:r>
      <w:r>
        <w:t xml:space="preserve">little Timmy. (I remember playing kickball with my friends; I remember learning how to read; etc.) If I remember being Timmy, then I am Timmy. It makes no sense to say that I might be 83% identical with so and so.” On the contrary, it makes plenty of sense. True—you have various memories (of playing kickball, watching cartoons, waiting for the ice-cream truck to come to your block, etc.) But all that shows is that certain currently existing mental structures and events are derivatives of the mental structures and events associated with some body (literally, some </w:t>
      </w:r>
      <w:r>
        <w:rPr>
          <w:i/>
        </w:rPr>
        <w:t>body</w:t>
      </w:r>
      <w:r>
        <w:t>) that is related to the</w:t>
      </w:r>
      <w:r>
        <w:rPr>
          <w:spacing w:val="-2"/>
        </w:rPr>
        <w:t xml:space="preserve"> </w:t>
      </w:r>
      <w:r>
        <w:t>body</w:t>
      </w:r>
      <w:r>
        <w:rPr>
          <w:spacing w:val="-2"/>
        </w:rPr>
        <w:t xml:space="preserve"> </w:t>
      </w:r>
      <w:r>
        <w:t>you</w:t>
      </w:r>
      <w:r>
        <w:rPr>
          <w:spacing w:val="-2"/>
        </w:rPr>
        <w:t xml:space="preserve"> </w:t>
      </w:r>
      <w:r>
        <w:t>now</w:t>
      </w:r>
      <w:r>
        <w:rPr>
          <w:spacing w:val="-1"/>
        </w:rPr>
        <w:t xml:space="preserve"> </w:t>
      </w:r>
      <w:r>
        <w:t>occupy</w:t>
      </w:r>
      <w:r>
        <w:rPr>
          <w:spacing w:val="-2"/>
        </w:rPr>
        <w:t xml:space="preserve"> </w:t>
      </w:r>
      <w:r>
        <w:t>in</w:t>
      </w:r>
      <w:r>
        <w:rPr>
          <w:spacing w:val="-2"/>
        </w:rPr>
        <w:t xml:space="preserve"> </w:t>
      </w:r>
      <w:r>
        <w:t>the</w:t>
      </w:r>
      <w:r>
        <w:rPr>
          <w:spacing w:val="-2"/>
        </w:rPr>
        <w:t xml:space="preserve"> </w:t>
      </w:r>
      <w:r>
        <w:t>way</w:t>
      </w:r>
      <w:r>
        <w:rPr>
          <w:spacing w:val="-1"/>
        </w:rPr>
        <w:t xml:space="preserve"> </w:t>
      </w:r>
      <w:r>
        <w:t>that</w:t>
      </w:r>
      <w:r>
        <w:rPr>
          <w:spacing w:val="-2"/>
        </w:rPr>
        <w:t xml:space="preserve"> </w:t>
      </w:r>
      <w:r>
        <w:t>a</w:t>
      </w:r>
      <w:r>
        <w:rPr>
          <w:spacing w:val="-2"/>
        </w:rPr>
        <w:t xml:space="preserve"> </w:t>
      </w:r>
      <w:r>
        <w:t>caterpillar’s</w:t>
      </w:r>
      <w:r>
        <w:rPr>
          <w:spacing w:val="-2"/>
        </w:rPr>
        <w:t xml:space="preserve"> </w:t>
      </w:r>
      <w:r>
        <w:t>body</w:t>
      </w:r>
      <w:r>
        <w:rPr>
          <w:spacing w:val="-1"/>
        </w:rPr>
        <w:t xml:space="preserve"> </w:t>
      </w:r>
      <w:r>
        <w:t>is</w:t>
      </w:r>
      <w:r>
        <w:rPr>
          <w:spacing w:val="-2"/>
        </w:rPr>
        <w:t xml:space="preserve"> </w:t>
      </w:r>
      <w:r>
        <w:t>related</w:t>
      </w:r>
      <w:r>
        <w:rPr>
          <w:spacing w:val="-2"/>
        </w:rPr>
        <w:t xml:space="preserve"> </w:t>
      </w:r>
      <w:r>
        <w:t>to</w:t>
      </w:r>
      <w:r>
        <w:rPr>
          <w:spacing w:val="-1"/>
        </w:rPr>
        <w:t xml:space="preserve"> </w:t>
      </w:r>
      <w:r>
        <w:t>that of the butterfly into which it metamorphoses.</w:t>
      </w:r>
    </w:p>
    <w:p w14:paraId="7E001DC3" w14:textId="77777777" w:rsidR="009A58DB" w:rsidRDefault="00000000">
      <w:pPr>
        <w:pStyle w:val="BodyText"/>
        <w:spacing w:before="13" w:line="249" w:lineRule="auto"/>
        <w:ind w:right="360" w:firstLine="360"/>
      </w:pPr>
      <w:r>
        <w:t>We’re dealing with relations of succession and causation—nothing more. There isn’t some mysterious inner flame, some underlying substance, that remains untouched throughout it all and that somehow underlies the fact that you and the little kickball player are identical. Even if there is such an inner flame,</w:t>
      </w:r>
      <w:r>
        <w:rPr>
          <w:spacing w:val="-2"/>
        </w:rPr>
        <w:t xml:space="preserve"> </w:t>
      </w:r>
      <w:r>
        <w:t>it</w:t>
      </w:r>
      <w:r>
        <w:rPr>
          <w:spacing w:val="-3"/>
        </w:rPr>
        <w:t xml:space="preserve"> </w:t>
      </w:r>
      <w:r>
        <w:t>is</w:t>
      </w:r>
      <w:r>
        <w:rPr>
          <w:spacing w:val="-3"/>
        </w:rPr>
        <w:t xml:space="preserve"> </w:t>
      </w:r>
      <w:r>
        <w:t>inert</w:t>
      </w:r>
      <w:r>
        <w:rPr>
          <w:spacing w:val="-3"/>
        </w:rPr>
        <w:t xml:space="preserve"> </w:t>
      </w:r>
      <w:r>
        <w:rPr>
          <w:i/>
        </w:rPr>
        <w:t>except</w:t>
      </w:r>
      <w:r>
        <w:rPr>
          <w:i/>
          <w:spacing w:val="-3"/>
        </w:rPr>
        <w:t xml:space="preserve"> </w:t>
      </w:r>
      <w:r>
        <w:t>in</w:t>
      </w:r>
      <w:r>
        <w:rPr>
          <w:spacing w:val="-1"/>
        </w:rPr>
        <w:t xml:space="preserve"> </w:t>
      </w:r>
      <w:r>
        <w:t>so</w:t>
      </w:r>
      <w:r>
        <w:rPr>
          <w:spacing w:val="-1"/>
        </w:rPr>
        <w:t xml:space="preserve"> </w:t>
      </w:r>
      <w:r>
        <w:t>far</w:t>
      </w:r>
      <w:r>
        <w:rPr>
          <w:spacing w:val="-1"/>
        </w:rPr>
        <w:t xml:space="preserve"> </w:t>
      </w:r>
      <w:r>
        <w:t>as</w:t>
      </w:r>
      <w:r>
        <w:rPr>
          <w:spacing w:val="-1"/>
        </w:rPr>
        <w:t xml:space="preserve"> </w:t>
      </w:r>
      <w:r>
        <w:t>it</w:t>
      </w:r>
      <w:r>
        <w:rPr>
          <w:spacing w:val="-1"/>
        </w:rPr>
        <w:t xml:space="preserve"> </w:t>
      </w:r>
      <w:r>
        <w:t>facilitates</w:t>
      </w:r>
      <w:r>
        <w:rPr>
          <w:spacing w:val="-1"/>
        </w:rPr>
        <w:t xml:space="preserve"> </w:t>
      </w:r>
      <w:r>
        <w:t>the</w:t>
      </w:r>
      <w:r>
        <w:rPr>
          <w:spacing w:val="-1"/>
        </w:rPr>
        <w:t xml:space="preserve"> </w:t>
      </w:r>
      <w:r>
        <w:t>relevant</w:t>
      </w:r>
      <w:r>
        <w:rPr>
          <w:spacing w:val="-1"/>
        </w:rPr>
        <w:t xml:space="preserve"> </w:t>
      </w:r>
      <w:r>
        <w:t>psychological</w:t>
      </w:r>
      <w:r>
        <w:rPr>
          <w:spacing w:val="-1"/>
        </w:rPr>
        <w:t xml:space="preserve"> </w:t>
      </w:r>
      <w:r>
        <w:t>and physiological events. But so far as it does facilitate them, those events do all the work—they are what “keep you going”, so to speak. The inner-flame is a free wheel and thus drops out of the picture.</w:t>
      </w:r>
    </w:p>
    <w:p w14:paraId="7E001DC4" w14:textId="77777777" w:rsidR="009A58DB" w:rsidRDefault="00000000">
      <w:pPr>
        <w:pStyle w:val="BodyText"/>
        <w:spacing w:before="10" w:line="249" w:lineRule="auto"/>
        <w:ind w:right="358" w:firstLine="360"/>
      </w:pPr>
      <w:r>
        <w:t>Thus,</w:t>
      </w:r>
      <w:r>
        <w:rPr>
          <w:spacing w:val="-3"/>
        </w:rPr>
        <w:t xml:space="preserve"> </w:t>
      </w:r>
      <w:r>
        <w:t>so</w:t>
      </w:r>
      <w:r>
        <w:rPr>
          <w:spacing w:val="-2"/>
        </w:rPr>
        <w:t xml:space="preserve"> </w:t>
      </w:r>
      <w:r>
        <w:t>far</w:t>
      </w:r>
      <w:r>
        <w:rPr>
          <w:spacing w:val="-2"/>
        </w:rPr>
        <w:t xml:space="preserve"> </w:t>
      </w:r>
      <w:r>
        <w:t>you</w:t>
      </w:r>
      <w:r>
        <w:rPr>
          <w:spacing w:val="-2"/>
        </w:rPr>
        <w:t xml:space="preserve"> </w:t>
      </w:r>
      <w:r>
        <w:t>are</w:t>
      </w:r>
      <w:r>
        <w:rPr>
          <w:spacing w:val="-2"/>
        </w:rPr>
        <w:t xml:space="preserve"> </w:t>
      </w:r>
      <w:r>
        <w:t>identical</w:t>
      </w:r>
      <w:r>
        <w:rPr>
          <w:spacing w:val="-2"/>
        </w:rPr>
        <w:t xml:space="preserve"> </w:t>
      </w:r>
      <w:r>
        <w:t>with</w:t>
      </w:r>
      <w:r>
        <w:rPr>
          <w:spacing w:val="-2"/>
        </w:rPr>
        <w:t xml:space="preserve"> </w:t>
      </w:r>
      <w:r>
        <w:t>the</w:t>
      </w:r>
      <w:r>
        <w:rPr>
          <w:spacing w:val="-2"/>
        </w:rPr>
        <w:t xml:space="preserve"> </w:t>
      </w:r>
      <w:r>
        <w:t>little</w:t>
      </w:r>
      <w:r>
        <w:rPr>
          <w:spacing w:val="-2"/>
        </w:rPr>
        <w:t xml:space="preserve"> </w:t>
      </w:r>
      <w:r>
        <w:t>kickball</w:t>
      </w:r>
      <w:r>
        <w:rPr>
          <w:spacing w:val="-2"/>
        </w:rPr>
        <w:t xml:space="preserve"> </w:t>
      </w:r>
      <w:r>
        <w:t>player</w:t>
      </w:r>
      <w:r>
        <w:rPr>
          <w:spacing w:val="-2"/>
        </w:rPr>
        <w:t xml:space="preserve"> </w:t>
      </w:r>
      <w:r>
        <w:t>of</w:t>
      </w:r>
      <w:r>
        <w:rPr>
          <w:spacing w:val="-2"/>
        </w:rPr>
        <w:t xml:space="preserve"> </w:t>
      </w:r>
      <w:r>
        <w:t>yesteryear,</w:t>
      </w:r>
      <w:r>
        <w:rPr>
          <w:spacing w:val="-2"/>
        </w:rPr>
        <w:t xml:space="preserve"> </w:t>
      </w:r>
      <w:r>
        <w:t>it is because you and he are connected to each other by a sequence of events whose earlier members provide information about, and provide the causal basis for, its later members. But, as we said, one thing provides different amounts of information about another, and one thing can be causally responsible to different degrees for another. So identity in the diachronic sense is a matter of degree.</w:t>
      </w:r>
    </w:p>
    <w:p w14:paraId="7E001DC5" w14:textId="77777777" w:rsidR="009A58DB" w:rsidRDefault="00000000">
      <w:pPr>
        <w:pStyle w:val="BodyText"/>
        <w:spacing w:before="9" w:line="249" w:lineRule="auto"/>
        <w:ind w:right="357" w:firstLine="360"/>
      </w:pPr>
      <w:r>
        <w:t xml:space="preserve">“If you’re right,” it will be asked, “why are we so convinced that diachronic identity is absolute—that I either </w:t>
      </w:r>
      <w:r>
        <w:rPr>
          <w:i/>
        </w:rPr>
        <w:t>am,</w:t>
      </w:r>
      <w:r>
        <w:rPr>
          <w:i/>
          <w:spacing w:val="-4"/>
        </w:rPr>
        <w:t xml:space="preserve"> </w:t>
      </w:r>
      <w:r>
        <w:t xml:space="preserve">or am not, the little kickball player?” I’m not sure that we are so convinced. What does a person even mean when he says that he </w:t>
      </w:r>
      <w:r>
        <w:rPr>
          <w:i/>
        </w:rPr>
        <w:t xml:space="preserve">is </w:t>
      </w:r>
      <w:r>
        <w:t xml:space="preserve">the little tyke in the photo? Does he </w:t>
      </w:r>
      <w:r>
        <w:rPr>
          <w:i/>
        </w:rPr>
        <w:t xml:space="preserve">mean </w:t>
      </w:r>
      <w:r>
        <w:t>that there is some underlying, unphased soul-substance that inhabits that little</w:t>
      </w:r>
      <w:r>
        <w:rPr>
          <w:spacing w:val="40"/>
        </w:rPr>
        <w:t xml:space="preserve"> </w:t>
      </w:r>
      <w:r>
        <w:t>tyke and also inhabits him? Surely not. So far as he means anything, it can only be something that corresponds to what we’ve been saying—that there is a</w:t>
      </w:r>
      <w:r>
        <w:rPr>
          <w:spacing w:val="-2"/>
        </w:rPr>
        <w:t xml:space="preserve"> </w:t>
      </w:r>
      <w:r>
        <w:rPr>
          <w:i/>
        </w:rPr>
        <w:t>connection,</w:t>
      </w:r>
      <w:r>
        <w:rPr>
          <w:i/>
          <w:spacing w:val="-3"/>
        </w:rPr>
        <w:t xml:space="preserve"> </w:t>
      </w:r>
      <w:r>
        <w:t>both</w:t>
      </w:r>
      <w:r>
        <w:rPr>
          <w:spacing w:val="-1"/>
        </w:rPr>
        <w:t xml:space="preserve"> </w:t>
      </w:r>
      <w:r>
        <w:t>causal</w:t>
      </w:r>
      <w:r>
        <w:rPr>
          <w:spacing w:val="-1"/>
        </w:rPr>
        <w:t xml:space="preserve"> </w:t>
      </w:r>
      <w:r>
        <w:t>and</w:t>
      </w:r>
      <w:r>
        <w:rPr>
          <w:spacing w:val="-1"/>
        </w:rPr>
        <w:t xml:space="preserve"> </w:t>
      </w:r>
      <w:r>
        <w:t>thematic</w:t>
      </w:r>
      <w:r>
        <w:rPr>
          <w:spacing w:val="-1"/>
        </w:rPr>
        <w:t xml:space="preserve"> </w:t>
      </w:r>
      <w:r>
        <w:t>in</w:t>
      </w:r>
      <w:r>
        <w:rPr>
          <w:spacing w:val="-1"/>
        </w:rPr>
        <w:t xml:space="preserve"> </w:t>
      </w:r>
      <w:r>
        <w:t>nature,</w:t>
      </w:r>
      <w:r>
        <w:rPr>
          <w:spacing w:val="-1"/>
        </w:rPr>
        <w:t xml:space="preserve"> </w:t>
      </w:r>
      <w:r>
        <w:t>between</w:t>
      </w:r>
      <w:r>
        <w:rPr>
          <w:spacing w:val="-1"/>
        </w:rPr>
        <w:t xml:space="preserve"> </w:t>
      </w:r>
      <w:r>
        <w:t>the</w:t>
      </w:r>
      <w:r>
        <w:rPr>
          <w:spacing w:val="-1"/>
        </w:rPr>
        <w:t xml:space="preserve"> </w:t>
      </w:r>
      <w:r>
        <w:t>little</w:t>
      </w:r>
      <w:r>
        <w:rPr>
          <w:spacing w:val="-1"/>
        </w:rPr>
        <w:t xml:space="preserve"> </w:t>
      </w:r>
      <w:r>
        <w:t>tyke</w:t>
      </w:r>
      <w:r>
        <w:rPr>
          <w:spacing w:val="-1"/>
        </w:rPr>
        <w:t xml:space="preserve"> </w:t>
      </w:r>
      <w:r>
        <w:t>in</w:t>
      </w:r>
      <w:r>
        <w:rPr>
          <w:spacing w:val="-1"/>
        </w:rPr>
        <w:t xml:space="preserve"> </w:t>
      </w:r>
      <w:r>
        <w:t>the photo and the person who is now taking about that little tyke.</w:t>
      </w:r>
    </w:p>
    <w:p w14:paraId="7E001DC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C7" w14:textId="77777777" w:rsidR="009A58DB" w:rsidRDefault="00000000">
      <w:pPr>
        <w:pStyle w:val="Heading1"/>
        <w:numPr>
          <w:ilvl w:val="1"/>
          <w:numId w:val="92"/>
        </w:numPr>
        <w:tabs>
          <w:tab w:val="left" w:pos="990"/>
        </w:tabs>
        <w:spacing w:before="58"/>
      </w:pPr>
      <w:r>
        <w:lastRenderedPageBreak/>
        <w:t>Time-indexed</w:t>
      </w:r>
      <w:r>
        <w:rPr>
          <w:spacing w:val="-8"/>
        </w:rPr>
        <w:t xml:space="preserve"> </w:t>
      </w:r>
      <w:r>
        <w:t>properties</w:t>
      </w:r>
      <w:r>
        <w:rPr>
          <w:spacing w:val="-8"/>
        </w:rPr>
        <w:t xml:space="preserve"> </w:t>
      </w:r>
      <w:r>
        <w:t>and</w:t>
      </w:r>
      <w:r>
        <w:rPr>
          <w:spacing w:val="-8"/>
        </w:rPr>
        <w:t xml:space="preserve"> </w:t>
      </w:r>
      <w:r>
        <w:t>Leibniz’s</w:t>
      </w:r>
      <w:r>
        <w:rPr>
          <w:spacing w:val="-7"/>
        </w:rPr>
        <w:t xml:space="preserve"> </w:t>
      </w:r>
      <w:r>
        <w:rPr>
          <w:spacing w:val="-5"/>
        </w:rPr>
        <w:t>Law</w:t>
      </w:r>
    </w:p>
    <w:p w14:paraId="7E001DC8" w14:textId="77777777" w:rsidR="009A58DB" w:rsidRDefault="00000000">
      <w:pPr>
        <w:pStyle w:val="BodyText"/>
        <w:spacing w:before="139" w:line="249" w:lineRule="auto"/>
        <w:ind w:right="360"/>
      </w:pPr>
      <w:r>
        <w:t xml:space="preserve">There’s no doubt that </w:t>
      </w:r>
      <w:r>
        <w:rPr>
          <w:b/>
          <w:i/>
        </w:rPr>
        <w:t xml:space="preserve">Leibniz’s Law </w:t>
      </w:r>
      <w:r>
        <w:t xml:space="preserve">(the principle that, if x is numerically identical with y, x has a given property if and only if y has that property) correctly models the logic of </w:t>
      </w:r>
      <w:r>
        <w:rPr>
          <w:i/>
        </w:rPr>
        <w:t xml:space="preserve">synchronic </w:t>
      </w:r>
      <w:r>
        <w:t>uses of expressions such as “identical with,” “is” (when used non-predicatively), and so on. (Leibniz’s Law is the principle that, if x is numerically identical with y, x has a given property if and only if y has that property.) Given that Barack Obama is the Commander-in-Chief, the Commander-in-Chief has a given property iff Barack Obama has that property.</w:t>
      </w:r>
    </w:p>
    <w:p w14:paraId="7E001DC9" w14:textId="77777777" w:rsidR="009A58DB" w:rsidRDefault="00000000">
      <w:pPr>
        <w:pStyle w:val="BodyText"/>
        <w:spacing w:before="10" w:line="249" w:lineRule="auto"/>
        <w:ind w:right="371" w:firstLine="360"/>
      </w:pPr>
      <w:r>
        <w:t xml:space="preserve">But it’s less clear whether Lebniz’s law governs the </w:t>
      </w:r>
      <w:r>
        <w:rPr>
          <w:i/>
        </w:rPr>
        <w:t xml:space="preserve">diachronic </w:t>
      </w:r>
      <w:r>
        <w:t>use of</w:t>
      </w:r>
      <w:r>
        <w:rPr>
          <w:spacing w:val="40"/>
        </w:rPr>
        <w:t xml:space="preserve"> </w:t>
      </w:r>
      <w:r>
        <w:t>such expressions. The orthodox position is to say that it does. But there is reason to question this orthodoxy.</w:t>
      </w:r>
    </w:p>
    <w:p w14:paraId="7E001DCA" w14:textId="77777777" w:rsidR="009A58DB" w:rsidRDefault="00000000">
      <w:pPr>
        <w:pStyle w:val="BodyText"/>
        <w:spacing w:before="3" w:line="249" w:lineRule="auto"/>
        <w:ind w:right="358" w:firstLine="360"/>
      </w:pPr>
      <w:r>
        <w:t xml:space="preserve">Right now I’m a professor. The blobby infant in the picture is not a professor. So I have a property that it does not have. Therefore, by Leibniz’s Law, I am not it. Identity-theorists say that the blobby infant and I </w:t>
      </w:r>
      <w:r>
        <w:rPr>
          <w:i/>
        </w:rPr>
        <w:t xml:space="preserve">do </w:t>
      </w:r>
      <w:r>
        <w:t>have</w:t>
      </w:r>
      <w:r>
        <w:rPr>
          <w:spacing w:val="40"/>
        </w:rPr>
        <w:t xml:space="preserve"> </w:t>
      </w:r>
      <w:r>
        <w:t>the same properties. To make this idea work, they bring in the highly</w:t>
      </w:r>
      <w:r>
        <w:rPr>
          <w:spacing w:val="40"/>
        </w:rPr>
        <w:t xml:space="preserve"> </w:t>
      </w:r>
      <w:r>
        <w:t>artificial notion of a “time-indexed” property. I have the property of being-a-philosophy-professor-in-2009, and so does the blobby infant. The blobby infant has the property of being-preverbal-in-1973 and so do I.</w:t>
      </w:r>
      <w:bookmarkStart w:id="408" w:name="_bookmark408"/>
      <w:bookmarkEnd w:id="408"/>
      <w:r>
        <w:rPr>
          <w:color w:val="0562C1"/>
          <w:position w:val="21"/>
          <w:u w:val="single" w:color="0562C1"/>
        </w:rPr>
        <w:t>[292]</w:t>
      </w:r>
      <w:r>
        <w:rPr>
          <w:color w:val="0562C1"/>
          <w:position w:val="21"/>
        </w:rPr>
        <w:t xml:space="preserve"> </w:t>
      </w:r>
      <w:r>
        <w:t xml:space="preserve">Therefore, the fact that, unlike my six month old self, I am not </w:t>
      </w:r>
      <w:r>
        <w:rPr>
          <w:i/>
        </w:rPr>
        <w:t xml:space="preserve">now </w:t>
      </w:r>
      <w:r>
        <w:t>a blobby infant, being instead a non-blobby professor, does not make me different</w:t>
      </w:r>
      <w:r>
        <w:rPr>
          <w:spacing w:val="40"/>
        </w:rPr>
        <w:t xml:space="preserve"> </w:t>
      </w:r>
      <w:r>
        <w:t xml:space="preserve">from my six month old self. Given any other property that I now have that I used to lack, or </w:t>
      </w:r>
      <w:r>
        <w:rPr>
          <w:i/>
        </w:rPr>
        <w:t xml:space="preserve">vice versa, </w:t>
      </w:r>
      <w:r>
        <w:t xml:space="preserve">a similar argument shows that I have </w:t>
      </w:r>
      <w:r>
        <w:rPr>
          <w:i/>
        </w:rPr>
        <w:t xml:space="preserve">always </w:t>
      </w:r>
      <w:r>
        <w:t xml:space="preserve">had that property. For this reason, it is said, Leibniz’s Law </w:t>
      </w:r>
      <w:r>
        <w:rPr>
          <w:i/>
        </w:rPr>
        <w:t xml:space="preserve">does </w:t>
      </w:r>
      <w:r>
        <w:t xml:space="preserve">govern </w:t>
      </w:r>
      <w:r>
        <w:rPr>
          <w:i/>
        </w:rPr>
        <w:t xml:space="preserve">diachronic </w:t>
      </w:r>
      <w:r>
        <w:t>uses of expressions like “identity,” “is” (in the non-predicative sense), and so on.</w:t>
      </w:r>
    </w:p>
    <w:p w14:paraId="7E001DCB" w14:textId="77777777" w:rsidR="009A58DB" w:rsidRDefault="00000000">
      <w:pPr>
        <w:pStyle w:val="BodyText"/>
        <w:spacing w:before="17" w:line="249" w:lineRule="auto"/>
        <w:ind w:right="360" w:firstLine="360"/>
      </w:pPr>
      <w:r>
        <w:t>In addition to being obviously contrived, this view has the absurd consequence that nothing changes. Whatever properties I have now, I’ve always had then and always will have them. In general, nothing acquires properties. It follows that nothing ever loses a property. When a person acquires the property of being able to tie his shoes, he loses the property of being incapable of tying his shoes. In general, any case of property-acquisition is a case of property-loss. So if nothing ever acquires properties, nothing changes. Given that there is change, the no-change must be false.</w:t>
      </w:r>
    </w:p>
    <w:p w14:paraId="7E001DC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CD" w14:textId="77777777" w:rsidR="009A58DB" w:rsidRDefault="00000000">
      <w:pPr>
        <w:pStyle w:val="BodyText"/>
        <w:spacing w:before="65" w:line="249" w:lineRule="auto"/>
        <w:ind w:right="360" w:firstLine="360"/>
      </w:pPr>
      <w:r>
        <w:lastRenderedPageBreak/>
        <w:t xml:space="preserve">In any case, we obviously don’t yet </w:t>
      </w:r>
      <w:r>
        <w:rPr>
          <w:i/>
        </w:rPr>
        <w:t xml:space="preserve">know </w:t>
      </w:r>
      <w:r>
        <w:t>that the no-change view is the right one. So were we to build a theory of identity around that view, we’d be prejudging the outcome of the debate between those who accept that view</w:t>
      </w:r>
      <w:r>
        <w:rPr>
          <w:spacing w:val="40"/>
        </w:rPr>
        <w:t xml:space="preserve"> </w:t>
      </w:r>
      <w:r>
        <w:t>and those who reject it. Good analyses tend not to prejudge open questions; and when good analyses do prejudge such questions, they tend to prejudge them in a way that is favorable to deeply rooted intuitions. The view that nothing</w:t>
      </w:r>
      <w:r>
        <w:rPr>
          <w:spacing w:val="-1"/>
        </w:rPr>
        <w:t xml:space="preserve"> </w:t>
      </w:r>
      <w:r>
        <w:t>changes</w:t>
      </w:r>
      <w:r>
        <w:rPr>
          <w:spacing w:val="-1"/>
        </w:rPr>
        <w:t xml:space="preserve"> </w:t>
      </w:r>
      <w:r>
        <w:t>is</w:t>
      </w:r>
      <w:r>
        <w:rPr>
          <w:spacing w:val="-1"/>
        </w:rPr>
        <w:t xml:space="preserve"> </w:t>
      </w:r>
      <w:r>
        <w:t>not</w:t>
      </w:r>
      <w:r>
        <w:rPr>
          <w:spacing w:val="-1"/>
        </w:rPr>
        <w:t xml:space="preserve"> </w:t>
      </w:r>
      <w:r>
        <w:t>exactly</w:t>
      </w:r>
      <w:r>
        <w:rPr>
          <w:spacing w:val="-1"/>
        </w:rPr>
        <w:t xml:space="preserve"> </w:t>
      </w:r>
      <w:r>
        <w:t>a</w:t>
      </w:r>
      <w:r>
        <w:rPr>
          <w:spacing w:val="-1"/>
        </w:rPr>
        <w:t xml:space="preserve"> </w:t>
      </w:r>
      <w:r>
        <w:t>deeply</w:t>
      </w:r>
      <w:r>
        <w:rPr>
          <w:spacing w:val="-1"/>
        </w:rPr>
        <w:t xml:space="preserve"> </w:t>
      </w:r>
      <w:r>
        <w:t>rooted</w:t>
      </w:r>
      <w:r>
        <w:rPr>
          <w:spacing w:val="-1"/>
        </w:rPr>
        <w:t xml:space="preserve"> </w:t>
      </w:r>
      <w:r>
        <w:t>intuition.</w:t>
      </w:r>
      <w:r>
        <w:rPr>
          <w:spacing w:val="-1"/>
        </w:rPr>
        <w:t xml:space="preserve"> </w:t>
      </w:r>
      <w:r>
        <w:t>So</w:t>
      </w:r>
      <w:r>
        <w:rPr>
          <w:spacing w:val="-1"/>
        </w:rPr>
        <w:t xml:space="preserve"> </w:t>
      </w:r>
      <w:r>
        <w:t>for</w:t>
      </w:r>
      <w:r>
        <w:rPr>
          <w:spacing w:val="-1"/>
        </w:rPr>
        <w:t xml:space="preserve"> </w:t>
      </w:r>
      <w:r>
        <w:t>the</w:t>
      </w:r>
      <w:r>
        <w:rPr>
          <w:spacing w:val="-1"/>
        </w:rPr>
        <w:t xml:space="preserve"> </w:t>
      </w:r>
      <w:r>
        <w:t>time</w:t>
      </w:r>
      <w:r>
        <w:rPr>
          <w:spacing w:val="-1"/>
        </w:rPr>
        <w:t xml:space="preserve"> </w:t>
      </w:r>
      <w:r>
        <w:t xml:space="preserve">being we must regard all this talk of time-indexing as nothing more than hollow </w:t>
      </w:r>
      <w:r>
        <w:rPr>
          <w:spacing w:val="-2"/>
        </w:rPr>
        <w:t>trickery.</w:t>
      </w:r>
    </w:p>
    <w:p w14:paraId="7E001DCE" w14:textId="77777777" w:rsidR="009A58DB" w:rsidRDefault="00000000">
      <w:pPr>
        <w:pStyle w:val="BodyText"/>
        <w:spacing w:before="11" w:line="249" w:lineRule="auto"/>
        <w:ind w:right="359" w:firstLine="360"/>
      </w:pPr>
      <w:r>
        <w:t>To</w:t>
      </w:r>
      <w:r>
        <w:rPr>
          <w:spacing w:val="-3"/>
        </w:rPr>
        <w:t xml:space="preserve"> </w:t>
      </w:r>
      <w:r>
        <w:t>move</w:t>
      </w:r>
      <w:r>
        <w:rPr>
          <w:spacing w:val="-2"/>
        </w:rPr>
        <w:t xml:space="preserve"> </w:t>
      </w:r>
      <w:r>
        <w:t>forward,</w:t>
      </w:r>
      <w:r>
        <w:rPr>
          <w:spacing w:val="-2"/>
        </w:rPr>
        <w:t xml:space="preserve"> </w:t>
      </w:r>
      <w:r>
        <w:t>we</w:t>
      </w:r>
      <w:r>
        <w:rPr>
          <w:spacing w:val="-2"/>
        </w:rPr>
        <w:t xml:space="preserve"> </w:t>
      </w:r>
      <w:r>
        <w:t>must</w:t>
      </w:r>
      <w:r>
        <w:rPr>
          <w:spacing w:val="-2"/>
        </w:rPr>
        <w:t xml:space="preserve"> </w:t>
      </w:r>
      <w:r>
        <w:t>say</w:t>
      </w:r>
      <w:r>
        <w:rPr>
          <w:spacing w:val="-2"/>
        </w:rPr>
        <w:t xml:space="preserve"> </w:t>
      </w:r>
      <w:r>
        <w:t>a</w:t>
      </w:r>
      <w:r>
        <w:rPr>
          <w:spacing w:val="-2"/>
        </w:rPr>
        <w:t xml:space="preserve"> </w:t>
      </w:r>
      <w:r>
        <w:t>word</w:t>
      </w:r>
      <w:r>
        <w:rPr>
          <w:spacing w:val="-2"/>
        </w:rPr>
        <w:t xml:space="preserve"> </w:t>
      </w:r>
      <w:r>
        <w:t>about</w:t>
      </w:r>
      <w:r>
        <w:rPr>
          <w:spacing w:val="-2"/>
        </w:rPr>
        <w:t xml:space="preserve"> </w:t>
      </w:r>
      <w:r>
        <w:t>the</w:t>
      </w:r>
      <w:r>
        <w:rPr>
          <w:spacing w:val="-2"/>
        </w:rPr>
        <w:t xml:space="preserve"> </w:t>
      </w:r>
      <w:r>
        <w:t>debate</w:t>
      </w:r>
      <w:r>
        <w:rPr>
          <w:spacing w:val="-2"/>
        </w:rPr>
        <w:t xml:space="preserve"> </w:t>
      </w:r>
      <w:r>
        <w:t>that</w:t>
      </w:r>
      <w:r>
        <w:rPr>
          <w:spacing w:val="-2"/>
        </w:rPr>
        <w:t xml:space="preserve"> </w:t>
      </w:r>
      <w:r>
        <w:t>rages</w:t>
      </w:r>
      <w:r>
        <w:rPr>
          <w:spacing w:val="-2"/>
        </w:rPr>
        <w:t xml:space="preserve"> </w:t>
      </w:r>
      <w:r>
        <w:t>between those who accept a doctrine known as “four-dimensionalism” (henceforth,</w:t>
      </w:r>
      <w:r>
        <w:rPr>
          <w:spacing w:val="40"/>
        </w:rPr>
        <w:t xml:space="preserve"> </w:t>
      </w:r>
      <w:r>
        <w:t>“4-D”) and those who reject that doctrine. According to 4-D, any given</w:t>
      </w:r>
      <w:r>
        <w:rPr>
          <w:spacing w:val="40"/>
        </w:rPr>
        <w:t xml:space="preserve"> </w:t>
      </w:r>
      <w:r>
        <w:t>object is identical with a “space-time worm.” A space-time worm is an entity that is spread out in both space and time. Thus, according to 4-D, you are identical with a space-time worm that comprises all of the events and states</w:t>
      </w:r>
      <w:r>
        <w:rPr>
          <w:spacing w:val="40"/>
        </w:rPr>
        <w:t xml:space="preserve"> </w:t>
      </w:r>
      <w:r>
        <w:t>of affairs constituting you from the moment of your birth (or conception) till the moment of your demise.</w:t>
      </w:r>
    </w:p>
    <w:p w14:paraId="7E001DCF" w14:textId="77777777" w:rsidR="009A58DB" w:rsidRDefault="00000000">
      <w:pPr>
        <w:pStyle w:val="BodyText"/>
        <w:spacing w:before="10" w:line="249" w:lineRule="auto"/>
        <w:ind w:right="359" w:firstLine="360"/>
        <w:rPr>
          <w:position w:val="21"/>
        </w:rPr>
      </w:pPr>
      <w:r>
        <w:t xml:space="preserve">Bearing this in mind, let t be any instant in time during your lifetime. If 4-D is right, some </w:t>
      </w:r>
      <w:r>
        <w:rPr>
          <w:i/>
        </w:rPr>
        <w:t xml:space="preserve">segment </w:t>
      </w:r>
      <w:r>
        <w:t xml:space="preserve">of you exists at t; but </w:t>
      </w:r>
      <w:r>
        <w:rPr>
          <w:i/>
        </w:rPr>
        <w:t xml:space="preserve">you </w:t>
      </w:r>
      <w:r>
        <w:t>do not exist at t, since</w:t>
      </w:r>
      <w:r>
        <w:rPr>
          <w:spacing w:val="40"/>
        </w:rPr>
        <w:t xml:space="preserve"> </w:t>
      </w:r>
      <w:r>
        <w:t xml:space="preserve">you, according to 4-D, are spread out over a period of (say) 80 years. So if 4-D is right, I cannot see you or shake hands with you; I can see and shake hands only some segment of you. The thing I shake hands with, says the advocate of 4-D, is some </w:t>
      </w:r>
      <w:r>
        <w:rPr>
          <w:i/>
        </w:rPr>
        <w:t xml:space="preserve">time-slice </w:t>
      </w:r>
      <w:r>
        <w:t>of you</w:t>
      </w:r>
      <w:bookmarkStart w:id="409" w:name="_bookmark409"/>
      <w:bookmarkEnd w:id="409"/>
      <w:r>
        <w:t>.</w:t>
      </w:r>
      <w:r>
        <w:rPr>
          <w:color w:val="0562C1"/>
          <w:position w:val="21"/>
          <w:u w:val="single" w:color="0562C1"/>
        </w:rPr>
        <w:t>[293]</w:t>
      </w:r>
    </w:p>
    <w:p w14:paraId="7E001DD0" w14:textId="77777777" w:rsidR="009A58DB" w:rsidRDefault="00000000">
      <w:pPr>
        <w:pStyle w:val="BodyText"/>
        <w:spacing w:before="7" w:line="249" w:lineRule="auto"/>
        <w:ind w:right="359" w:firstLine="360"/>
      </w:pPr>
      <w:r>
        <w:t xml:space="preserve">In my view, I </w:t>
      </w:r>
      <w:r>
        <w:rPr>
          <w:i/>
        </w:rPr>
        <w:t>can</w:t>
      </w:r>
      <w:r>
        <w:rPr>
          <w:i/>
          <w:spacing w:val="-3"/>
        </w:rPr>
        <w:t xml:space="preserve"> </w:t>
      </w:r>
      <w:r>
        <w:t>shake hands with people, and also see them, play tennis with them, and otherwise interact with them. I thus reject 4-D. I am not alone in this. (But I am more isolated than one would think, given how deeply rooted the presumption is that one can see people, shake hands with them,</w:t>
      </w:r>
      <w:r>
        <w:rPr>
          <w:spacing w:val="40"/>
        </w:rPr>
        <w:t xml:space="preserve"> </w:t>
      </w:r>
      <w:r>
        <w:t>and so on.)</w:t>
      </w:r>
    </w:p>
    <w:p w14:paraId="7E001DD1" w14:textId="77777777" w:rsidR="009A58DB" w:rsidRDefault="00000000">
      <w:pPr>
        <w:pStyle w:val="BodyText"/>
        <w:spacing w:before="6" w:line="249" w:lineRule="auto"/>
        <w:ind w:right="361" w:firstLine="360"/>
      </w:pPr>
      <w:r>
        <w:t xml:space="preserve">Another reason I reject 4-D is that I believe that people and things change. 4-D denies this. If 4-D is right, the thing that is reading this sentence right now isn’t </w:t>
      </w:r>
      <w:r>
        <w:rPr>
          <w:i/>
        </w:rPr>
        <w:t xml:space="preserve">you; </w:t>
      </w:r>
      <w:r>
        <w:t>it’s just some time-slice of you. And the slightly different</w:t>
      </w:r>
      <w:r>
        <w:rPr>
          <w:spacing w:val="40"/>
        </w:rPr>
        <w:t xml:space="preserve"> </w:t>
      </w:r>
      <w:r>
        <w:t>thing that was reading the first sentence of this chapter isn’t you either; it’s just another time-slice of you. The same is true of the thing that decided to buy this book a few weeks ago. According to 4-D, although the thing reading this</w:t>
      </w:r>
      <w:r>
        <w:rPr>
          <w:spacing w:val="31"/>
        </w:rPr>
        <w:t xml:space="preserve"> </w:t>
      </w:r>
      <w:r>
        <w:t>sentence</w:t>
      </w:r>
      <w:r>
        <w:rPr>
          <w:spacing w:val="31"/>
        </w:rPr>
        <w:t xml:space="preserve"> </w:t>
      </w:r>
      <w:r>
        <w:t>is</w:t>
      </w:r>
      <w:r>
        <w:rPr>
          <w:spacing w:val="31"/>
        </w:rPr>
        <w:t xml:space="preserve"> </w:t>
      </w:r>
      <w:r>
        <w:t>different</w:t>
      </w:r>
      <w:r>
        <w:rPr>
          <w:spacing w:val="31"/>
        </w:rPr>
        <w:t xml:space="preserve"> </w:t>
      </w:r>
      <w:r>
        <w:t>in</w:t>
      </w:r>
      <w:r>
        <w:rPr>
          <w:spacing w:val="31"/>
        </w:rPr>
        <w:t xml:space="preserve"> </w:t>
      </w:r>
      <w:r>
        <w:t>some</w:t>
      </w:r>
      <w:r>
        <w:rPr>
          <w:spacing w:val="31"/>
        </w:rPr>
        <w:t xml:space="preserve"> </w:t>
      </w:r>
      <w:r>
        <w:t>ways</w:t>
      </w:r>
      <w:r>
        <w:rPr>
          <w:spacing w:val="31"/>
        </w:rPr>
        <w:t xml:space="preserve"> </w:t>
      </w:r>
      <w:r>
        <w:t>from</w:t>
      </w:r>
      <w:r>
        <w:rPr>
          <w:spacing w:val="31"/>
        </w:rPr>
        <w:t xml:space="preserve"> </w:t>
      </w:r>
      <w:r>
        <w:t>the</w:t>
      </w:r>
      <w:r>
        <w:rPr>
          <w:spacing w:val="31"/>
        </w:rPr>
        <w:t xml:space="preserve"> </w:t>
      </w:r>
      <w:r>
        <w:t>thing</w:t>
      </w:r>
      <w:r>
        <w:rPr>
          <w:spacing w:val="31"/>
        </w:rPr>
        <w:t xml:space="preserve"> </w:t>
      </w:r>
      <w:r>
        <w:t>that</w:t>
      </w:r>
      <w:r>
        <w:rPr>
          <w:spacing w:val="31"/>
        </w:rPr>
        <w:t xml:space="preserve"> </w:t>
      </w:r>
      <w:r>
        <w:t>was</w:t>
      </w:r>
      <w:r>
        <w:rPr>
          <w:spacing w:val="31"/>
        </w:rPr>
        <w:t xml:space="preserve"> </w:t>
      </w:r>
      <w:r>
        <w:t>reading</w:t>
      </w:r>
      <w:r>
        <w:rPr>
          <w:spacing w:val="31"/>
        </w:rPr>
        <w:t xml:space="preserve"> </w:t>
      </w:r>
      <w:r>
        <w:t>the</w:t>
      </w:r>
    </w:p>
    <w:p w14:paraId="7E001DD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D3" w14:textId="77777777" w:rsidR="009A58DB" w:rsidRDefault="00000000">
      <w:pPr>
        <w:pStyle w:val="BodyText"/>
        <w:spacing w:before="65" w:line="249" w:lineRule="auto"/>
        <w:ind w:right="357"/>
        <w:rPr>
          <w:i/>
        </w:rPr>
      </w:pPr>
      <w:r>
        <w:lastRenderedPageBreak/>
        <w:t xml:space="preserve">first sentence of this chapter, those differences aren’t expressions of the fact that some one thing has </w:t>
      </w:r>
      <w:r>
        <w:rPr>
          <w:i/>
        </w:rPr>
        <w:t xml:space="preserve">changed. </w:t>
      </w:r>
      <w:r>
        <w:t xml:space="preserve">According to 4-D, </w:t>
      </w:r>
      <w:r>
        <w:rPr>
          <w:i/>
        </w:rPr>
        <w:t xml:space="preserve">you </w:t>
      </w:r>
      <w:r>
        <w:t xml:space="preserve">don’t change. For a given object to change is for the way that object is at one time to be different from the way it is at some other time. According to 4-D, for any time t, what exist at t isn’t an one object, and is only some time-slice of an same object. Therefore, there are no two moments of time t and t* such that how some one object is at t is different from how that same object is at t*. Therefore, if 4-D is right, </w:t>
      </w:r>
      <w:r>
        <w:rPr>
          <w:i/>
        </w:rPr>
        <w:t>things don’t change.</w:t>
      </w:r>
    </w:p>
    <w:p w14:paraId="7E001DD4" w14:textId="77777777" w:rsidR="009A58DB" w:rsidRDefault="00000000">
      <w:pPr>
        <w:pStyle w:val="BodyText"/>
        <w:spacing w:before="9" w:line="249" w:lineRule="auto"/>
        <w:ind w:right="357" w:firstLine="360"/>
      </w:pPr>
      <w:r>
        <w:t xml:space="preserve">But this is absurd. Things change. I have changed, and so have you. And each of us will continue to change. 4-D is either dead wrong or it amounts to nothing more than a proposal that we use the words “thing” and “change” in non-standard ways. And even if by some remote chance it turns that things </w:t>
      </w:r>
      <w:r>
        <w:rPr>
          <w:i/>
        </w:rPr>
        <w:t xml:space="preserve">don’t </w:t>
      </w:r>
      <w:r>
        <w:t>change, it would be bad methodology to make our theory of personal identity depend on that turning out to be the case. In doing so, we’d be assuming facts (or non-facts, rather) that aren’t yet in evidence.</w:t>
      </w:r>
    </w:p>
    <w:p w14:paraId="7E001DD5" w14:textId="77777777" w:rsidR="009A58DB" w:rsidRDefault="00000000">
      <w:pPr>
        <w:pStyle w:val="BodyText"/>
        <w:spacing w:before="9" w:line="249" w:lineRule="auto"/>
        <w:ind w:right="359" w:firstLine="360"/>
      </w:pPr>
      <w:r>
        <w:t xml:space="preserve">It may be that 4-D is a cogent analysis of </w:t>
      </w:r>
      <w:r>
        <w:rPr>
          <w:i/>
        </w:rPr>
        <w:t xml:space="preserve">some </w:t>
      </w:r>
      <w:r>
        <w:t xml:space="preserve">concept. But that concept isn’t the one that is ordinarily associated with expressions such as “identity,” “identical with,” etc. The concept ordinarily associated with such statements is an incoherent one </w:t>
      </w:r>
      <w:r>
        <w:rPr>
          <w:i/>
        </w:rPr>
        <w:t>unless</w:t>
      </w:r>
      <w:r>
        <w:rPr>
          <w:i/>
          <w:spacing w:val="-3"/>
        </w:rPr>
        <w:t xml:space="preserve"> </w:t>
      </w:r>
      <w:r>
        <w:t>people change. The 4-dimensionalist is analyzing some artificial analogue or reconstruction of that concept; he’s analyzing an artifact—a by-product of his technical trickery—that is devoid of philosophical value and is equally devoid of psychological, clinical, and practical value. And we’ll see in the upcoming section that 4-D is correct</w:t>
      </w:r>
      <w:r>
        <w:rPr>
          <w:spacing w:val="40"/>
        </w:rPr>
        <w:t xml:space="preserve"> </w:t>
      </w:r>
      <w:r>
        <w:t>only if (i) there is retroactive causation and (ii) instances of retroactive causation have absolutely no effects on anything. Each of (i) is and (ii) is a hideous assault on logic. Should it turn out that 4-D does have these consequences, there would be no good reason to accept it.</w:t>
      </w:r>
    </w:p>
    <w:p w14:paraId="7E001DD6" w14:textId="77777777" w:rsidR="009A58DB" w:rsidRDefault="00000000">
      <w:pPr>
        <w:pStyle w:val="BodyText"/>
        <w:spacing w:before="15" w:line="249" w:lineRule="auto"/>
        <w:ind w:right="366" w:firstLine="360"/>
      </w:pPr>
      <w:r>
        <w:t xml:space="preserve">In any case, assuming that things change, the only way to go is to say that identity, in the diachronic sense, is to be understood in terms of relations of causal connectedness—that statements like “Bill is the guy in the photo who is wearing a rugby shirt” are to be analyzed in the way described earlier. Since the relevant sort of connectedness obviously comes in degrees, so does </w:t>
      </w:r>
      <w:r>
        <w:rPr>
          <w:spacing w:val="-2"/>
        </w:rPr>
        <w:t>identity.</w:t>
      </w:r>
    </w:p>
    <w:p w14:paraId="7E001DD7" w14:textId="77777777" w:rsidR="009A58DB" w:rsidRDefault="00000000">
      <w:pPr>
        <w:pStyle w:val="BodyText"/>
        <w:spacing w:before="7" w:line="249" w:lineRule="auto"/>
        <w:ind w:right="362" w:firstLine="360"/>
      </w:pPr>
      <w:r>
        <w:t>It</w:t>
      </w:r>
      <w:r>
        <w:rPr>
          <w:spacing w:val="-5"/>
        </w:rPr>
        <w:t xml:space="preserve"> </w:t>
      </w:r>
      <w:r>
        <w:t>should</w:t>
      </w:r>
      <w:r>
        <w:rPr>
          <w:spacing w:val="-4"/>
        </w:rPr>
        <w:t xml:space="preserve"> </w:t>
      </w:r>
      <w:r>
        <w:t>be</w:t>
      </w:r>
      <w:r>
        <w:rPr>
          <w:spacing w:val="-5"/>
        </w:rPr>
        <w:t xml:space="preserve"> </w:t>
      </w:r>
      <w:r>
        <w:t>pointed</w:t>
      </w:r>
      <w:r>
        <w:rPr>
          <w:spacing w:val="-4"/>
        </w:rPr>
        <w:t xml:space="preserve"> </w:t>
      </w:r>
      <w:r>
        <w:t>out</w:t>
      </w:r>
      <w:r>
        <w:rPr>
          <w:spacing w:val="-5"/>
        </w:rPr>
        <w:t xml:space="preserve"> </w:t>
      </w:r>
      <w:r>
        <w:t>that</w:t>
      </w:r>
      <w:r>
        <w:rPr>
          <w:spacing w:val="-5"/>
        </w:rPr>
        <w:t xml:space="preserve"> </w:t>
      </w:r>
      <w:r>
        <w:t>David</w:t>
      </w:r>
      <w:r>
        <w:rPr>
          <w:spacing w:val="-4"/>
        </w:rPr>
        <w:t xml:space="preserve"> </w:t>
      </w:r>
      <w:r>
        <w:t>Hume</w:t>
      </w:r>
      <w:r>
        <w:rPr>
          <w:spacing w:val="-5"/>
        </w:rPr>
        <w:t xml:space="preserve"> </w:t>
      </w:r>
      <w:r>
        <w:t>(1711–1776),</w:t>
      </w:r>
      <w:r>
        <w:rPr>
          <w:spacing w:val="-4"/>
        </w:rPr>
        <w:t xml:space="preserve"> </w:t>
      </w:r>
      <w:r>
        <w:t>whose</w:t>
      </w:r>
      <w:r>
        <w:rPr>
          <w:spacing w:val="-5"/>
        </w:rPr>
        <w:t xml:space="preserve"> </w:t>
      </w:r>
      <w:r>
        <w:t>views</w:t>
      </w:r>
      <w:r>
        <w:rPr>
          <w:spacing w:val="-5"/>
        </w:rPr>
        <w:t xml:space="preserve"> </w:t>
      </w:r>
      <w:r>
        <w:t>we’ll discuss in Section 6.0, takes a similar view, and so does Derek Parfit (1942-).</w:t>
      </w:r>
    </w:p>
    <w:p w14:paraId="7E001DD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D9" w14:textId="77777777" w:rsidR="009A58DB" w:rsidRDefault="00000000">
      <w:pPr>
        <w:pStyle w:val="BodyText"/>
        <w:spacing w:before="65"/>
        <w:jc w:val="left"/>
      </w:pPr>
      <w:bookmarkStart w:id="410" w:name="_bookmark410"/>
      <w:bookmarkEnd w:id="410"/>
      <w:r>
        <w:rPr>
          <w:color w:val="0562C1"/>
          <w:spacing w:val="-2"/>
          <w:u w:val="single" w:color="0562C1"/>
        </w:rPr>
        <w:lastRenderedPageBreak/>
        <w:t>[294]</w:t>
      </w:r>
    </w:p>
    <w:p w14:paraId="7E001DDA" w14:textId="77777777" w:rsidR="009A58DB" w:rsidRDefault="00000000">
      <w:pPr>
        <w:pStyle w:val="BodyText"/>
        <w:spacing w:before="150" w:line="252" w:lineRule="auto"/>
        <w:ind w:right="358" w:firstLine="360"/>
      </w:pPr>
      <w:r>
        <w:t>Finally,</w:t>
      </w:r>
      <w:r>
        <w:rPr>
          <w:spacing w:val="-3"/>
        </w:rPr>
        <w:t xml:space="preserve"> </w:t>
      </w:r>
      <w:r>
        <w:t>it</w:t>
      </w:r>
      <w:r>
        <w:rPr>
          <w:spacing w:val="-2"/>
        </w:rPr>
        <w:t xml:space="preserve"> </w:t>
      </w:r>
      <w:r>
        <w:t>should</w:t>
      </w:r>
      <w:r>
        <w:rPr>
          <w:spacing w:val="-2"/>
        </w:rPr>
        <w:t xml:space="preserve"> </w:t>
      </w:r>
      <w:r>
        <w:t>be</w:t>
      </w:r>
      <w:r>
        <w:rPr>
          <w:spacing w:val="-2"/>
        </w:rPr>
        <w:t xml:space="preserve"> </w:t>
      </w:r>
      <w:r>
        <w:t>pointed</w:t>
      </w:r>
      <w:r>
        <w:rPr>
          <w:spacing w:val="-2"/>
        </w:rPr>
        <w:t xml:space="preserve"> </w:t>
      </w:r>
      <w:r>
        <w:t>out</w:t>
      </w:r>
      <w:r>
        <w:rPr>
          <w:spacing w:val="-2"/>
        </w:rPr>
        <w:t xml:space="preserve"> </w:t>
      </w:r>
      <w:r>
        <w:t>that</w:t>
      </w:r>
      <w:r>
        <w:rPr>
          <w:spacing w:val="-2"/>
        </w:rPr>
        <w:t xml:space="preserve"> </w:t>
      </w:r>
      <w:r>
        <w:t>those</w:t>
      </w:r>
      <w:r>
        <w:rPr>
          <w:spacing w:val="-2"/>
        </w:rPr>
        <w:t xml:space="preserve"> </w:t>
      </w:r>
      <w:r>
        <w:t>who</w:t>
      </w:r>
      <w:r>
        <w:rPr>
          <w:spacing w:val="-2"/>
        </w:rPr>
        <w:t xml:space="preserve"> </w:t>
      </w:r>
      <w:r>
        <w:t>reject</w:t>
      </w:r>
      <w:r>
        <w:rPr>
          <w:spacing w:val="-2"/>
        </w:rPr>
        <w:t xml:space="preserve"> </w:t>
      </w:r>
      <w:r>
        <w:t>this</w:t>
      </w:r>
      <w:r>
        <w:rPr>
          <w:spacing w:val="-2"/>
        </w:rPr>
        <w:t xml:space="preserve"> </w:t>
      </w:r>
      <w:r>
        <w:t>view</w:t>
      </w:r>
      <w:r>
        <w:rPr>
          <w:spacing w:val="-2"/>
        </w:rPr>
        <w:t xml:space="preserve"> </w:t>
      </w:r>
      <w:r>
        <w:t>are</w:t>
      </w:r>
      <w:r>
        <w:rPr>
          <w:spacing w:val="-2"/>
        </w:rPr>
        <w:t xml:space="preserve"> </w:t>
      </w:r>
      <w:r>
        <w:t>reading metaphysics off of sentential surface structure. The expressions we use to denote</w:t>
      </w:r>
      <w:r>
        <w:rPr>
          <w:spacing w:val="-3"/>
        </w:rPr>
        <w:t xml:space="preserve"> </w:t>
      </w:r>
      <w:r>
        <w:t>the</w:t>
      </w:r>
      <w:r>
        <w:rPr>
          <w:spacing w:val="-3"/>
        </w:rPr>
        <w:t xml:space="preserve"> </w:t>
      </w:r>
      <w:r>
        <w:t>relation</w:t>
      </w:r>
      <w:r>
        <w:rPr>
          <w:spacing w:val="-3"/>
        </w:rPr>
        <w:t xml:space="preserve"> </w:t>
      </w:r>
      <w:r>
        <w:t>of</w:t>
      </w:r>
      <w:r>
        <w:rPr>
          <w:spacing w:val="-3"/>
        </w:rPr>
        <w:t xml:space="preserve"> </w:t>
      </w:r>
      <w:r>
        <w:t>diachronic</w:t>
      </w:r>
      <w:r>
        <w:rPr>
          <w:spacing w:val="-3"/>
        </w:rPr>
        <w:t xml:space="preserve"> </w:t>
      </w:r>
      <w:r>
        <w:t>identity</w:t>
      </w:r>
      <w:r>
        <w:rPr>
          <w:spacing w:val="-3"/>
        </w:rPr>
        <w:t xml:space="preserve"> </w:t>
      </w:r>
      <w:r>
        <w:t>(e.g.</w:t>
      </w:r>
      <w:r>
        <w:rPr>
          <w:spacing w:val="-3"/>
        </w:rPr>
        <w:t xml:space="preserve"> </w:t>
      </w:r>
      <w:r>
        <w:t>“is”</w:t>
      </w:r>
      <w:r>
        <w:rPr>
          <w:spacing w:val="-3"/>
        </w:rPr>
        <w:t xml:space="preserve"> </w:t>
      </w:r>
      <w:r>
        <w:t>and</w:t>
      </w:r>
      <w:r>
        <w:rPr>
          <w:spacing w:val="-3"/>
        </w:rPr>
        <w:t xml:space="preserve"> </w:t>
      </w:r>
      <w:r>
        <w:t>“is</w:t>
      </w:r>
      <w:r>
        <w:rPr>
          <w:spacing w:val="-3"/>
        </w:rPr>
        <w:t xml:space="preserve"> </w:t>
      </w:r>
      <w:r>
        <w:t>identical</w:t>
      </w:r>
      <w:r>
        <w:rPr>
          <w:spacing w:val="-3"/>
        </w:rPr>
        <w:t xml:space="preserve"> </w:t>
      </w:r>
      <w:r>
        <w:t>with”)</w:t>
      </w:r>
      <w:r>
        <w:rPr>
          <w:spacing w:val="-3"/>
        </w:rPr>
        <w:t xml:space="preserve"> </w:t>
      </w:r>
      <w:r>
        <w:t xml:space="preserve">are homonyms of the expressions we use to denote the relation of synchronic identity. Given </w:t>
      </w:r>
      <w:r>
        <w:rPr>
          <w:i/>
        </w:rPr>
        <w:t xml:space="preserve">only </w:t>
      </w:r>
      <w:r>
        <w:t xml:space="preserve">that fact, along with some obscure and ambiguous intuitions about selfhood, 4-dimensionalists infer synchronic identity </w:t>
      </w:r>
      <w:r>
        <w:rPr>
          <w:i/>
        </w:rPr>
        <w:t xml:space="preserve">is </w:t>
      </w:r>
      <w:r>
        <w:t>diachronic identity—that, when I say “I am identical with the infant in the picture,” the relation I am alleging to hold between myself and that blobby infant is identical with the relation that I am alleging to hold between four</w:t>
      </w:r>
      <w:r>
        <w:rPr>
          <w:spacing w:val="40"/>
        </w:rPr>
        <w:t xml:space="preserve"> </w:t>
      </w:r>
      <w:r>
        <w:t>and the square of two when I say “2</w:t>
      </w:r>
      <w:r>
        <w:rPr>
          <w:vertAlign w:val="superscript"/>
        </w:rPr>
        <w:t>2</w:t>
      </w:r>
      <w:r>
        <w:t>=4.” That inference is completely spurious; and it’s one that no self-respecting analytic philosopher would make, given that the essence of analytic philosophy is a stubborn refusal to take surface structure to be a foolproof guide to truth. We’ll now discuss why 4-D entails (i) and (ii).</w:t>
      </w:r>
    </w:p>
    <w:p w14:paraId="7E001DDB" w14:textId="77777777" w:rsidR="009A58DB" w:rsidRDefault="00000000">
      <w:pPr>
        <w:pStyle w:val="Heading1"/>
        <w:numPr>
          <w:ilvl w:val="1"/>
          <w:numId w:val="92"/>
        </w:numPr>
        <w:tabs>
          <w:tab w:val="left" w:pos="795"/>
          <w:tab w:val="left" w:pos="990"/>
        </w:tabs>
        <w:spacing w:before="172" w:line="244" w:lineRule="auto"/>
        <w:ind w:left="795" w:right="727" w:hanging="435"/>
        <w:jc w:val="both"/>
      </w:pPr>
      <w:r>
        <w:t>An</w:t>
      </w:r>
      <w:r>
        <w:rPr>
          <w:spacing w:val="-7"/>
        </w:rPr>
        <w:t xml:space="preserve"> </w:t>
      </w:r>
      <w:r>
        <w:t>identity-related</w:t>
      </w:r>
      <w:r>
        <w:rPr>
          <w:spacing w:val="-7"/>
        </w:rPr>
        <w:t xml:space="preserve"> </w:t>
      </w:r>
      <w:r>
        <w:t>paradox</w:t>
      </w:r>
      <w:r>
        <w:rPr>
          <w:spacing w:val="-6"/>
        </w:rPr>
        <w:t xml:space="preserve"> </w:t>
      </w:r>
      <w:r>
        <w:t>and</w:t>
      </w:r>
      <w:r>
        <w:rPr>
          <w:spacing w:val="-7"/>
        </w:rPr>
        <w:t xml:space="preserve"> </w:t>
      </w:r>
      <w:r>
        <w:t>the</w:t>
      </w:r>
      <w:r>
        <w:rPr>
          <w:spacing w:val="-7"/>
        </w:rPr>
        <w:t xml:space="preserve"> </w:t>
      </w:r>
      <w:r>
        <w:t>need</w:t>
      </w:r>
      <w:r>
        <w:rPr>
          <w:spacing w:val="-7"/>
        </w:rPr>
        <w:t xml:space="preserve"> </w:t>
      </w:r>
      <w:r>
        <w:t>for</w:t>
      </w:r>
      <w:r>
        <w:rPr>
          <w:spacing w:val="-7"/>
        </w:rPr>
        <w:t xml:space="preserve"> </w:t>
      </w:r>
      <w:r>
        <w:t>a diachronic conception of identity</w:t>
      </w:r>
    </w:p>
    <w:p w14:paraId="7E001DDC" w14:textId="77777777" w:rsidR="009A58DB" w:rsidRDefault="00000000">
      <w:pPr>
        <w:pStyle w:val="BodyText"/>
        <w:spacing w:before="75" w:line="420" w:lineRule="exact"/>
        <w:ind w:right="358"/>
      </w:pPr>
      <w:r>
        <w:t>We’ll now discuss why 4-D entails (i) and (ii). At time t, person X</w:t>
      </w:r>
      <w:r>
        <w:rPr>
          <w:vertAlign w:val="subscript"/>
        </w:rPr>
        <w:t>1</w:t>
      </w:r>
      <w:r>
        <w:t xml:space="preserve"> splits,</w:t>
      </w:r>
      <w:r>
        <w:rPr>
          <w:spacing w:val="40"/>
        </w:rPr>
        <w:t xml:space="preserve"> </w:t>
      </w:r>
      <w:r>
        <w:t>like an amoeba, into two people, X</w:t>
      </w:r>
      <w:r>
        <w:rPr>
          <w:position w:val="-7"/>
          <w:sz w:val="22"/>
        </w:rPr>
        <w:t>2</w:t>
      </w:r>
      <w:r>
        <w:rPr>
          <w:spacing w:val="34"/>
          <w:position w:val="-7"/>
          <w:sz w:val="22"/>
        </w:rPr>
        <w:t xml:space="preserve"> </w:t>
      </w:r>
      <w:r>
        <w:t>and X</w:t>
      </w:r>
      <w:r>
        <w:rPr>
          <w:position w:val="-7"/>
          <w:sz w:val="22"/>
        </w:rPr>
        <w:t>3</w:t>
      </w:r>
      <w:r>
        <w:t>. X</w:t>
      </w:r>
      <w:r>
        <w:rPr>
          <w:position w:val="-7"/>
          <w:sz w:val="22"/>
        </w:rPr>
        <w:t>2</w:t>
      </w:r>
      <w:r>
        <w:rPr>
          <w:spacing w:val="34"/>
          <w:position w:val="-7"/>
          <w:sz w:val="22"/>
        </w:rPr>
        <w:t xml:space="preserve"> </w:t>
      </w:r>
      <w:r>
        <w:t>is just like X</w:t>
      </w:r>
      <w:r>
        <w:rPr>
          <w:position w:val="-7"/>
          <w:sz w:val="22"/>
        </w:rPr>
        <w:t>1</w:t>
      </w:r>
      <w:r>
        <w:t>—in any case, X</w:t>
      </w:r>
      <w:r>
        <w:rPr>
          <w:vertAlign w:val="subscript"/>
        </w:rPr>
        <w:t>2</w:t>
      </w:r>
      <w:r>
        <w:t xml:space="preserve"> resembles X</w:t>
      </w:r>
      <w:r>
        <w:rPr>
          <w:vertAlign w:val="subscript"/>
        </w:rPr>
        <w:t>1</w:t>
      </w:r>
      <w:r>
        <w:t xml:space="preserve"> as much as you, in your current condition, resemble the person you were a minute ago. And X</w:t>
      </w:r>
      <w:r>
        <w:rPr>
          <w:vertAlign w:val="subscript"/>
        </w:rPr>
        <w:t>3</w:t>
      </w:r>
      <w:r>
        <w:t xml:space="preserve"> resembles X</w:t>
      </w:r>
      <w:r>
        <w:rPr>
          <w:vertAlign w:val="subscript"/>
        </w:rPr>
        <w:t>1</w:t>
      </w:r>
      <w:r>
        <w:t xml:space="preserve"> to the same degree. Further, the causal connection that X</w:t>
      </w:r>
      <w:r>
        <w:rPr>
          <w:vertAlign w:val="subscript"/>
        </w:rPr>
        <w:t>1</w:t>
      </w:r>
      <w:r>
        <w:t xml:space="preserve"> bears to X</w:t>
      </w:r>
      <w:r>
        <w:rPr>
          <w:vertAlign w:val="subscript"/>
        </w:rPr>
        <w:t>2</w:t>
      </w:r>
      <w:r>
        <w:t xml:space="preserve"> is qualitatively identical with the causal connection that X</w:t>
      </w:r>
      <w:r>
        <w:rPr>
          <w:position w:val="-7"/>
          <w:sz w:val="22"/>
        </w:rPr>
        <w:t>1</w:t>
      </w:r>
      <w:r>
        <w:rPr>
          <w:spacing w:val="38"/>
          <w:position w:val="-7"/>
          <w:sz w:val="22"/>
        </w:rPr>
        <w:t xml:space="preserve"> </w:t>
      </w:r>
      <w:r>
        <w:t>bears to X</w:t>
      </w:r>
      <w:r>
        <w:rPr>
          <w:position w:val="-7"/>
          <w:sz w:val="22"/>
        </w:rPr>
        <w:t>3</w:t>
      </w:r>
      <w:r>
        <w:t>.</w:t>
      </w:r>
    </w:p>
    <w:p w14:paraId="7E001DDD" w14:textId="77777777" w:rsidR="009A58DB" w:rsidRDefault="00000000">
      <w:pPr>
        <w:pStyle w:val="BodyText"/>
        <w:spacing w:before="45" w:line="420" w:lineRule="exact"/>
        <w:ind w:right="358" w:firstLine="360"/>
      </w:pPr>
      <w:r>
        <w:t>It’s obvious that X</w:t>
      </w:r>
      <w:r>
        <w:rPr>
          <w:vertAlign w:val="subscript"/>
        </w:rPr>
        <w:t>2</w:t>
      </w:r>
      <w:r>
        <w:t xml:space="preserve"> ≠ X</w:t>
      </w:r>
      <w:r>
        <w:rPr>
          <w:vertAlign w:val="subscript"/>
        </w:rPr>
        <w:t>3</w:t>
      </w:r>
      <w:r>
        <w:t>. After all, they’re in different places. And it would obviously be arbitrary in the extreme to say that X</w:t>
      </w:r>
      <w:r>
        <w:rPr>
          <w:vertAlign w:val="subscript"/>
        </w:rPr>
        <w:t>2</w:t>
      </w:r>
      <w:r>
        <w:t>, but not X</w:t>
      </w:r>
      <w:r>
        <w:rPr>
          <w:vertAlign w:val="subscript"/>
        </w:rPr>
        <w:t>3</w:t>
      </w:r>
      <w:r>
        <w:t>, was X</w:t>
      </w:r>
      <w:r>
        <w:rPr>
          <w:position w:val="-7"/>
          <w:sz w:val="22"/>
        </w:rPr>
        <w:t>1</w:t>
      </w:r>
      <w:r>
        <w:t>. Whatever claim X</w:t>
      </w:r>
      <w:r>
        <w:rPr>
          <w:position w:val="-7"/>
          <w:sz w:val="22"/>
        </w:rPr>
        <w:t>2</w:t>
      </w:r>
      <w:r>
        <w:rPr>
          <w:spacing w:val="40"/>
          <w:position w:val="-7"/>
          <w:sz w:val="22"/>
        </w:rPr>
        <w:t xml:space="preserve"> </w:t>
      </w:r>
      <w:r>
        <w:t>can make to being X</w:t>
      </w:r>
      <w:r>
        <w:rPr>
          <w:position w:val="-7"/>
          <w:sz w:val="22"/>
        </w:rPr>
        <w:t>1</w:t>
      </w:r>
      <w:r>
        <w:t>, X</w:t>
      </w:r>
      <w:r>
        <w:rPr>
          <w:position w:val="-7"/>
          <w:sz w:val="22"/>
        </w:rPr>
        <w:t>3</w:t>
      </w:r>
      <w:r>
        <w:rPr>
          <w:spacing w:val="40"/>
          <w:position w:val="-7"/>
          <w:sz w:val="22"/>
        </w:rPr>
        <w:t xml:space="preserve"> </w:t>
      </w:r>
      <w:r>
        <w:t>can make precisely the same claim. David Lewis’ solution is to say that X</w:t>
      </w:r>
      <w:r>
        <w:rPr>
          <w:vertAlign w:val="subscript"/>
        </w:rPr>
        <w:t>2</w:t>
      </w:r>
      <w:r>
        <w:t xml:space="preserve"> and X</w:t>
      </w:r>
      <w:r>
        <w:rPr>
          <w:vertAlign w:val="subscript"/>
        </w:rPr>
        <w:t>3</w:t>
      </w:r>
      <w:r>
        <w:t xml:space="preserve"> have been there</w:t>
      </w:r>
      <w:r>
        <w:rPr>
          <w:spacing w:val="40"/>
        </w:rPr>
        <w:t xml:space="preserve"> </w:t>
      </w:r>
      <w:r>
        <w:t>all along: as soon as X</w:t>
      </w:r>
      <w:r>
        <w:rPr>
          <w:position w:val="-7"/>
          <w:sz w:val="22"/>
        </w:rPr>
        <w:t>1</w:t>
      </w:r>
      <w:r>
        <w:rPr>
          <w:spacing w:val="40"/>
          <w:position w:val="-7"/>
          <w:sz w:val="22"/>
        </w:rPr>
        <w:t xml:space="preserve"> </w:t>
      </w:r>
      <w:r>
        <w:t>came into existence, so did X</w:t>
      </w:r>
      <w:r>
        <w:rPr>
          <w:position w:val="-7"/>
          <w:sz w:val="22"/>
        </w:rPr>
        <w:t xml:space="preserve">2 </w:t>
      </w:r>
      <w:r>
        <w:t>and X</w:t>
      </w:r>
      <w:r>
        <w:rPr>
          <w:position w:val="-7"/>
          <w:sz w:val="22"/>
        </w:rPr>
        <w:t>3</w:t>
      </w:r>
      <w:r>
        <w:t>. There were three people rolled into one body and one mind.</w:t>
      </w:r>
    </w:p>
    <w:p w14:paraId="7E001DDE" w14:textId="77777777" w:rsidR="009A58DB" w:rsidRDefault="00000000">
      <w:pPr>
        <w:pStyle w:val="BodyText"/>
        <w:spacing w:line="292" w:lineRule="auto"/>
        <w:ind w:right="362" w:firstLine="360"/>
      </w:pPr>
      <w:r>
        <w:t>Lewis’ position is absurd in the extreme. Before he split into two, X</w:t>
      </w:r>
      <w:r>
        <w:rPr>
          <w:vertAlign w:val="subscript"/>
        </w:rPr>
        <w:t>1</w:t>
      </w:r>
      <w:r>
        <w:t xml:space="preserve"> was no more a compendium of different people than you are. There is no relevant</w:t>
      </w:r>
    </w:p>
    <w:p w14:paraId="7E001DDF"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DE0" w14:textId="77777777" w:rsidR="009A58DB" w:rsidRDefault="00000000">
      <w:pPr>
        <w:pStyle w:val="BodyText"/>
        <w:spacing w:before="70" w:line="271" w:lineRule="auto"/>
        <w:ind w:right="365"/>
      </w:pPr>
      <w:r>
        <w:lastRenderedPageBreak/>
        <w:t>psychological or physiological difference between X</w:t>
      </w:r>
      <w:r>
        <w:rPr>
          <w:sz w:val="18"/>
        </w:rPr>
        <w:t>1</w:t>
      </w:r>
      <w:r>
        <w:rPr>
          <w:sz w:val="18"/>
          <w:vertAlign w:val="superscript"/>
        </w:rPr>
        <w:t>,</w:t>
      </w:r>
      <w:r>
        <w:rPr>
          <w:sz w:val="18"/>
        </w:rPr>
        <w:t xml:space="preserve"> </w:t>
      </w:r>
      <w:r>
        <w:t>before the split, and anyone else. If X</w:t>
      </w:r>
      <w:r>
        <w:rPr>
          <w:vertAlign w:val="subscript"/>
        </w:rPr>
        <w:t>1</w:t>
      </w:r>
      <w:r>
        <w:t xml:space="preserve"> had died before the split, not even a shadow of a case</w:t>
      </w:r>
      <w:r>
        <w:rPr>
          <w:spacing w:val="40"/>
        </w:rPr>
        <w:t xml:space="preserve"> </w:t>
      </w:r>
      <w:r>
        <w:t>could</w:t>
      </w:r>
      <w:r>
        <w:rPr>
          <w:spacing w:val="-1"/>
        </w:rPr>
        <w:t xml:space="preserve"> </w:t>
      </w:r>
      <w:r>
        <w:t>be</w:t>
      </w:r>
      <w:r>
        <w:rPr>
          <w:spacing w:val="2"/>
        </w:rPr>
        <w:t xml:space="preserve"> </w:t>
      </w:r>
      <w:r>
        <w:t>made</w:t>
      </w:r>
      <w:r>
        <w:rPr>
          <w:spacing w:val="1"/>
        </w:rPr>
        <w:t xml:space="preserve"> </w:t>
      </w:r>
      <w:r>
        <w:t>that</w:t>
      </w:r>
      <w:r>
        <w:rPr>
          <w:spacing w:val="2"/>
        </w:rPr>
        <w:t xml:space="preserve"> </w:t>
      </w:r>
      <w:r>
        <w:t>“he”</w:t>
      </w:r>
      <w:r>
        <w:rPr>
          <w:spacing w:val="2"/>
        </w:rPr>
        <w:t xml:space="preserve"> </w:t>
      </w:r>
      <w:r>
        <w:t>was</w:t>
      </w:r>
      <w:r>
        <w:rPr>
          <w:spacing w:val="1"/>
        </w:rPr>
        <w:t xml:space="preserve"> </w:t>
      </w:r>
      <w:r>
        <w:t>really</w:t>
      </w:r>
      <w:r>
        <w:rPr>
          <w:spacing w:val="2"/>
        </w:rPr>
        <w:t xml:space="preserve"> </w:t>
      </w:r>
      <w:r>
        <w:t>a</w:t>
      </w:r>
      <w:r>
        <w:rPr>
          <w:spacing w:val="1"/>
        </w:rPr>
        <w:t xml:space="preserve"> </w:t>
      </w:r>
      <w:r>
        <w:t>“they”—that</w:t>
      </w:r>
      <w:r>
        <w:rPr>
          <w:spacing w:val="2"/>
        </w:rPr>
        <w:t xml:space="preserve"> </w:t>
      </w:r>
      <w:r>
        <w:t>he</w:t>
      </w:r>
      <w:r>
        <w:rPr>
          <w:spacing w:val="2"/>
        </w:rPr>
        <w:t xml:space="preserve"> </w:t>
      </w:r>
      <w:r>
        <w:t>was</w:t>
      </w:r>
      <w:r>
        <w:rPr>
          <w:spacing w:val="1"/>
        </w:rPr>
        <w:t xml:space="preserve"> </w:t>
      </w:r>
      <w:r>
        <w:t>really</w:t>
      </w:r>
      <w:r>
        <w:rPr>
          <w:spacing w:val="2"/>
        </w:rPr>
        <w:t xml:space="preserve"> </w:t>
      </w:r>
      <w:r>
        <w:t>three</w:t>
      </w:r>
      <w:r>
        <w:rPr>
          <w:spacing w:val="2"/>
        </w:rPr>
        <w:t xml:space="preserve"> </w:t>
      </w:r>
      <w:r>
        <w:rPr>
          <w:spacing w:val="-2"/>
        </w:rPr>
        <w:t>people.</w:t>
      </w:r>
    </w:p>
    <w:p w14:paraId="7E001DE1" w14:textId="77777777" w:rsidR="009A58DB" w:rsidRDefault="00000000">
      <w:pPr>
        <w:pStyle w:val="BodyText"/>
        <w:spacing w:line="316" w:lineRule="exact"/>
      </w:pPr>
      <w:r>
        <w:t>So,</w:t>
      </w:r>
      <w:r>
        <w:rPr>
          <w:spacing w:val="11"/>
        </w:rPr>
        <w:t xml:space="preserve"> </w:t>
      </w:r>
      <w:r>
        <w:t>supposing</w:t>
      </w:r>
      <w:r>
        <w:rPr>
          <w:spacing w:val="12"/>
        </w:rPr>
        <w:t xml:space="preserve"> </w:t>
      </w:r>
      <w:r>
        <w:t>that</w:t>
      </w:r>
      <w:r>
        <w:rPr>
          <w:spacing w:val="11"/>
        </w:rPr>
        <w:t xml:space="preserve"> </w:t>
      </w:r>
      <w:r>
        <w:t>X</w:t>
      </w:r>
      <w:r>
        <w:rPr>
          <w:vertAlign w:val="subscript"/>
        </w:rPr>
        <w:t>1</w:t>
      </w:r>
      <w:r>
        <w:rPr>
          <w:spacing w:val="2"/>
        </w:rPr>
        <w:t xml:space="preserve"> </w:t>
      </w:r>
      <w:r>
        <w:rPr>
          <w:i/>
        </w:rPr>
        <w:t>does</w:t>
      </w:r>
      <w:r>
        <w:rPr>
          <w:i/>
          <w:spacing w:val="18"/>
        </w:rPr>
        <w:t xml:space="preserve"> </w:t>
      </w:r>
      <w:r>
        <w:t>live</w:t>
      </w:r>
      <w:r>
        <w:rPr>
          <w:spacing w:val="16"/>
        </w:rPr>
        <w:t xml:space="preserve"> </w:t>
      </w:r>
      <w:r>
        <w:t>and,</w:t>
      </w:r>
      <w:r>
        <w:rPr>
          <w:spacing w:val="17"/>
        </w:rPr>
        <w:t xml:space="preserve"> </w:t>
      </w:r>
      <w:r>
        <w:t>in</w:t>
      </w:r>
      <w:r>
        <w:rPr>
          <w:spacing w:val="18"/>
        </w:rPr>
        <w:t xml:space="preserve"> </w:t>
      </w:r>
      <w:r>
        <w:t>due</w:t>
      </w:r>
      <w:r>
        <w:rPr>
          <w:spacing w:val="16"/>
        </w:rPr>
        <w:t xml:space="preserve"> </w:t>
      </w:r>
      <w:r>
        <w:t>course,</w:t>
      </w:r>
      <w:r>
        <w:rPr>
          <w:spacing w:val="17"/>
        </w:rPr>
        <w:t xml:space="preserve"> </w:t>
      </w:r>
      <w:r>
        <w:t>splits</w:t>
      </w:r>
      <w:r>
        <w:rPr>
          <w:spacing w:val="17"/>
        </w:rPr>
        <w:t xml:space="preserve"> </w:t>
      </w:r>
      <w:r>
        <w:t>into</w:t>
      </w:r>
      <w:r>
        <w:rPr>
          <w:spacing w:val="17"/>
        </w:rPr>
        <w:t xml:space="preserve"> </w:t>
      </w:r>
      <w:r>
        <w:t>X</w:t>
      </w:r>
      <w:r>
        <w:rPr>
          <w:vertAlign w:val="subscript"/>
        </w:rPr>
        <w:t>2</w:t>
      </w:r>
      <w:r>
        <w:rPr>
          <w:spacing w:val="18"/>
        </w:rPr>
        <w:t xml:space="preserve"> </w:t>
      </w:r>
      <w:r>
        <w:t>and</w:t>
      </w:r>
      <w:r>
        <w:rPr>
          <w:spacing w:val="17"/>
        </w:rPr>
        <w:t xml:space="preserve"> </w:t>
      </w:r>
      <w:r>
        <w:t>X</w:t>
      </w:r>
      <w:r>
        <w:rPr>
          <w:vertAlign w:val="subscript"/>
        </w:rPr>
        <w:t>3</w:t>
      </w:r>
      <w:r>
        <w:t>,</w:t>
      </w:r>
      <w:r>
        <w:rPr>
          <w:spacing w:val="17"/>
        </w:rPr>
        <w:t xml:space="preserve"> </w:t>
      </w:r>
      <w:r>
        <w:rPr>
          <w:spacing w:val="-5"/>
        </w:rPr>
        <w:t>his</w:t>
      </w:r>
    </w:p>
    <w:p w14:paraId="7E001DE2" w14:textId="77777777" w:rsidR="009A58DB" w:rsidRDefault="00000000">
      <w:pPr>
        <w:pStyle w:val="BodyText"/>
        <w:spacing w:before="75" w:line="271" w:lineRule="auto"/>
        <w:ind w:right="358"/>
      </w:pPr>
      <w:r>
        <w:t xml:space="preserve">undergoing that split </w:t>
      </w:r>
      <w:r>
        <w:rPr>
          <w:i/>
        </w:rPr>
        <w:t xml:space="preserve">retroactively </w:t>
      </w:r>
      <w:r>
        <w:t>puts two extra people in X</w:t>
      </w:r>
      <w:r>
        <w:rPr>
          <w:vertAlign w:val="subscript"/>
        </w:rPr>
        <w:t>1</w:t>
      </w:r>
      <w:r>
        <w:t>’s body. So Lewis’ solution goes through only if there is retroactive causation. That is</w:t>
      </w:r>
      <w:r>
        <w:rPr>
          <w:spacing w:val="40"/>
        </w:rPr>
        <w:t xml:space="preserve"> </w:t>
      </w:r>
      <w:r>
        <w:t>bad</w:t>
      </w:r>
      <w:r>
        <w:rPr>
          <w:spacing w:val="69"/>
        </w:rPr>
        <w:t xml:space="preserve"> </w:t>
      </w:r>
      <w:r>
        <w:t>enough,</w:t>
      </w:r>
      <w:r>
        <w:rPr>
          <w:spacing w:val="69"/>
        </w:rPr>
        <w:t xml:space="preserve"> </w:t>
      </w:r>
      <w:r>
        <w:t>but</w:t>
      </w:r>
      <w:r>
        <w:rPr>
          <w:spacing w:val="69"/>
        </w:rPr>
        <w:t xml:space="preserve"> </w:t>
      </w:r>
      <w:r>
        <w:t>it</w:t>
      </w:r>
      <w:r>
        <w:rPr>
          <w:spacing w:val="69"/>
        </w:rPr>
        <w:t xml:space="preserve"> </w:t>
      </w:r>
      <w:r>
        <w:t>gets</w:t>
      </w:r>
      <w:r>
        <w:rPr>
          <w:spacing w:val="69"/>
        </w:rPr>
        <w:t xml:space="preserve"> </w:t>
      </w:r>
      <w:r>
        <w:t>worse.</w:t>
      </w:r>
      <w:r>
        <w:rPr>
          <w:spacing w:val="69"/>
        </w:rPr>
        <w:t xml:space="preserve"> </w:t>
      </w:r>
      <w:r>
        <w:t>Even</w:t>
      </w:r>
      <w:r>
        <w:rPr>
          <w:spacing w:val="70"/>
        </w:rPr>
        <w:t xml:space="preserve"> </w:t>
      </w:r>
      <w:r>
        <w:t>though,</w:t>
      </w:r>
      <w:r>
        <w:rPr>
          <w:spacing w:val="69"/>
        </w:rPr>
        <w:t xml:space="preserve"> </w:t>
      </w:r>
      <w:r>
        <w:t>if</w:t>
      </w:r>
      <w:r>
        <w:rPr>
          <w:spacing w:val="69"/>
        </w:rPr>
        <w:t xml:space="preserve"> </w:t>
      </w:r>
      <w:r>
        <w:t>Lewis’</w:t>
      </w:r>
      <w:r>
        <w:rPr>
          <w:spacing w:val="69"/>
        </w:rPr>
        <w:t xml:space="preserve"> </w:t>
      </w:r>
      <w:r>
        <w:t>solution</w:t>
      </w:r>
      <w:r>
        <w:rPr>
          <w:spacing w:val="69"/>
        </w:rPr>
        <w:t xml:space="preserve"> </w:t>
      </w:r>
      <w:r>
        <w:t>is</w:t>
      </w:r>
      <w:r>
        <w:rPr>
          <w:spacing w:val="69"/>
        </w:rPr>
        <w:t xml:space="preserve"> </w:t>
      </w:r>
      <w:r>
        <w:t>to</w:t>
      </w:r>
      <w:r>
        <w:rPr>
          <w:spacing w:val="70"/>
        </w:rPr>
        <w:t xml:space="preserve"> </w:t>
      </w:r>
      <w:r>
        <w:rPr>
          <w:spacing w:val="-5"/>
        </w:rPr>
        <w:t>go</w:t>
      </w:r>
    </w:p>
    <w:p w14:paraId="7E001DE3" w14:textId="77777777" w:rsidR="009A58DB" w:rsidRDefault="00000000">
      <w:pPr>
        <w:pStyle w:val="BodyText"/>
        <w:spacing w:line="316" w:lineRule="exact"/>
      </w:pPr>
      <w:r>
        <w:t>through,</w:t>
      </w:r>
      <w:r>
        <w:rPr>
          <w:spacing w:val="6"/>
        </w:rPr>
        <w:t xml:space="preserve"> </w:t>
      </w:r>
      <w:r>
        <w:t>there</w:t>
      </w:r>
      <w:r>
        <w:rPr>
          <w:spacing w:val="7"/>
        </w:rPr>
        <w:t xml:space="preserve"> </w:t>
      </w:r>
      <w:r>
        <w:t>must</w:t>
      </w:r>
      <w:r>
        <w:rPr>
          <w:spacing w:val="7"/>
        </w:rPr>
        <w:t xml:space="preserve"> </w:t>
      </w:r>
      <w:r>
        <w:t>be</w:t>
      </w:r>
      <w:r>
        <w:rPr>
          <w:spacing w:val="7"/>
        </w:rPr>
        <w:t xml:space="preserve"> </w:t>
      </w:r>
      <w:r>
        <w:t>retroactive</w:t>
      </w:r>
      <w:r>
        <w:rPr>
          <w:spacing w:val="7"/>
        </w:rPr>
        <w:t xml:space="preserve"> </w:t>
      </w:r>
      <w:r>
        <w:t>causation,</w:t>
      </w:r>
      <w:r>
        <w:rPr>
          <w:spacing w:val="7"/>
        </w:rPr>
        <w:t xml:space="preserve"> </w:t>
      </w:r>
      <w:r>
        <w:t>that</w:t>
      </w:r>
      <w:r>
        <w:rPr>
          <w:spacing w:val="7"/>
        </w:rPr>
        <w:t xml:space="preserve"> </w:t>
      </w:r>
      <w:r>
        <w:t>causation</w:t>
      </w:r>
      <w:r>
        <w:rPr>
          <w:spacing w:val="8"/>
        </w:rPr>
        <w:t xml:space="preserve"> </w:t>
      </w:r>
      <w:r>
        <w:t>must</w:t>
      </w:r>
      <w:r>
        <w:rPr>
          <w:spacing w:val="7"/>
        </w:rPr>
        <w:t xml:space="preserve"> </w:t>
      </w:r>
      <w:r>
        <w:t>fail</w:t>
      </w:r>
      <w:r>
        <w:rPr>
          <w:spacing w:val="7"/>
        </w:rPr>
        <w:t xml:space="preserve"> </w:t>
      </w:r>
      <w:r>
        <w:t>to</w:t>
      </w:r>
      <w:r>
        <w:rPr>
          <w:spacing w:val="8"/>
        </w:rPr>
        <w:t xml:space="preserve"> </w:t>
      </w:r>
      <w:r>
        <w:rPr>
          <w:spacing w:val="-4"/>
        </w:rPr>
        <w:t>make</w:t>
      </w:r>
    </w:p>
    <w:p w14:paraId="7E001DE4" w14:textId="77777777" w:rsidR="009A58DB" w:rsidRDefault="00000000">
      <w:pPr>
        <w:pStyle w:val="BodyText"/>
        <w:spacing w:before="15"/>
      </w:pPr>
      <w:r>
        <w:t>any</w:t>
      </w:r>
      <w:r>
        <w:rPr>
          <w:spacing w:val="-3"/>
        </w:rPr>
        <w:t xml:space="preserve"> </w:t>
      </w:r>
      <w:r>
        <w:rPr>
          <w:spacing w:val="-2"/>
        </w:rPr>
        <w:t>psychological</w:t>
      </w:r>
    </w:p>
    <w:p w14:paraId="7E001DE5" w14:textId="77777777" w:rsidR="009A58DB" w:rsidRDefault="00000000">
      <w:pPr>
        <w:pStyle w:val="BodyText"/>
        <w:spacing w:before="10" w:line="292" w:lineRule="auto"/>
        <w:ind w:right="361"/>
      </w:pPr>
      <w:r>
        <w:t>or physiological difference to X</w:t>
      </w:r>
      <w:r>
        <w:rPr>
          <w:vertAlign w:val="subscript"/>
        </w:rPr>
        <w:t>1</w:t>
      </w:r>
      <w:r>
        <w:t xml:space="preserve"> or, for that matter, to the state of the universe before X</w:t>
      </w:r>
      <w:r>
        <w:rPr>
          <w:vertAlign w:val="subscript"/>
        </w:rPr>
        <w:t>1</w:t>
      </w:r>
      <w:r>
        <w:t xml:space="preserve">’s split. But to be a cause </w:t>
      </w:r>
      <w:r>
        <w:rPr>
          <w:i/>
        </w:rPr>
        <w:t xml:space="preserve">is </w:t>
      </w:r>
      <w:r>
        <w:t>to create change. So Lewis’s position collapses into the absurdity that there are causes that aren’t causes.</w:t>
      </w:r>
    </w:p>
    <w:p w14:paraId="7E001DE6" w14:textId="77777777" w:rsidR="009A58DB" w:rsidRDefault="00000000">
      <w:pPr>
        <w:pStyle w:val="Heading1"/>
        <w:numPr>
          <w:ilvl w:val="2"/>
          <w:numId w:val="92"/>
        </w:numPr>
        <w:tabs>
          <w:tab w:val="left" w:pos="990"/>
          <w:tab w:val="left" w:pos="1305"/>
        </w:tabs>
        <w:spacing w:before="125" w:line="244" w:lineRule="auto"/>
        <w:ind w:right="412" w:hanging="630"/>
      </w:pPr>
      <w:r>
        <w:t>An</w:t>
      </w:r>
      <w:r>
        <w:rPr>
          <w:spacing w:val="-7"/>
        </w:rPr>
        <w:t xml:space="preserve"> </w:t>
      </w:r>
      <w:r>
        <w:t>identity-related</w:t>
      </w:r>
      <w:r>
        <w:rPr>
          <w:spacing w:val="-7"/>
        </w:rPr>
        <w:t xml:space="preserve"> </w:t>
      </w:r>
      <w:r>
        <w:t>paradox</w:t>
      </w:r>
      <w:r>
        <w:rPr>
          <w:spacing w:val="-6"/>
        </w:rPr>
        <w:t xml:space="preserve"> </w:t>
      </w:r>
      <w:r>
        <w:t>and</w:t>
      </w:r>
      <w:r>
        <w:rPr>
          <w:spacing w:val="-7"/>
        </w:rPr>
        <w:t xml:space="preserve"> </w:t>
      </w:r>
      <w:r>
        <w:t>the</w:t>
      </w:r>
      <w:r>
        <w:rPr>
          <w:spacing w:val="-7"/>
        </w:rPr>
        <w:t xml:space="preserve"> </w:t>
      </w:r>
      <w:r>
        <w:t>need</w:t>
      </w:r>
      <w:r>
        <w:rPr>
          <w:spacing w:val="-7"/>
        </w:rPr>
        <w:t xml:space="preserve"> </w:t>
      </w:r>
      <w:r>
        <w:t>for</w:t>
      </w:r>
      <w:r>
        <w:rPr>
          <w:spacing w:val="-7"/>
        </w:rPr>
        <w:t xml:space="preserve"> </w:t>
      </w:r>
      <w:r>
        <w:t>a diachronic conception of identity (continued)</w:t>
      </w:r>
    </w:p>
    <w:p w14:paraId="7E001DE7" w14:textId="77777777" w:rsidR="009A58DB" w:rsidRDefault="00000000">
      <w:pPr>
        <w:pStyle w:val="BodyText"/>
        <w:spacing w:before="132" w:line="249" w:lineRule="auto"/>
        <w:ind w:right="360"/>
      </w:pPr>
      <w:r>
        <w:t>It’s</w:t>
      </w:r>
      <w:r>
        <w:rPr>
          <w:spacing w:val="-21"/>
        </w:rPr>
        <w:t xml:space="preserve"> </w:t>
      </w:r>
      <w:r>
        <w:t>obvious</w:t>
      </w:r>
      <w:r>
        <w:rPr>
          <w:spacing w:val="-19"/>
        </w:rPr>
        <w:t xml:space="preserve"> </w:t>
      </w:r>
      <w:r>
        <w:t>that</w:t>
      </w:r>
      <w:r>
        <w:rPr>
          <w:spacing w:val="-19"/>
        </w:rPr>
        <w:t xml:space="preserve"> </w:t>
      </w:r>
      <w:r>
        <w:t>Lewis</w:t>
      </w:r>
      <w:r>
        <w:rPr>
          <w:spacing w:val="-18"/>
        </w:rPr>
        <w:t xml:space="preserve"> </w:t>
      </w:r>
      <w:r>
        <w:t>is</w:t>
      </w:r>
      <w:r>
        <w:rPr>
          <w:spacing w:val="-19"/>
        </w:rPr>
        <w:t xml:space="preserve"> </w:t>
      </w:r>
      <w:r>
        <w:t>jumping</w:t>
      </w:r>
      <w:r>
        <w:rPr>
          <w:spacing w:val="-19"/>
        </w:rPr>
        <w:t xml:space="preserve"> </w:t>
      </w:r>
      <w:r>
        <w:t>through</w:t>
      </w:r>
      <w:r>
        <w:rPr>
          <w:spacing w:val="-19"/>
        </w:rPr>
        <w:t xml:space="preserve"> </w:t>
      </w:r>
      <w:r>
        <w:t>hoopes.</w:t>
      </w:r>
      <w:r>
        <w:rPr>
          <w:spacing w:val="-18"/>
        </w:rPr>
        <w:t xml:space="preserve"> </w:t>
      </w:r>
      <w:r>
        <w:t>He’s</w:t>
      </w:r>
      <w:r>
        <w:rPr>
          <w:spacing w:val="-19"/>
        </w:rPr>
        <w:t xml:space="preserve"> </w:t>
      </w:r>
      <w:r>
        <w:t>working</w:t>
      </w:r>
      <w:r>
        <w:rPr>
          <w:spacing w:val="-19"/>
        </w:rPr>
        <w:t xml:space="preserve"> </w:t>
      </w:r>
      <w:r>
        <w:t>with</w:t>
      </w:r>
      <w:r>
        <w:rPr>
          <w:spacing w:val="-19"/>
        </w:rPr>
        <w:t xml:space="preserve"> </w:t>
      </w:r>
      <w:r>
        <w:t>a</w:t>
      </w:r>
      <w:r>
        <w:rPr>
          <w:spacing w:val="-18"/>
        </w:rPr>
        <w:t xml:space="preserve"> </w:t>
      </w:r>
      <w:r>
        <w:t>broken concept</w:t>
      </w:r>
      <w:r>
        <w:rPr>
          <w:spacing w:val="-7"/>
        </w:rPr>
        <w:t xml:space="preserve"> </w:t>
      </w:r>
      <w:r>
        <w:t>and</w:t>
      </w:r>
      <w:r>
        <w:rPr>
          <w:spacing w:val="-6"/>
        </w:rPr>
        <w:t xml:space="preserve"> </w:t>
      </w:r>
      <w:r>
        <w:t>is</w:t>
      </w:r>
      <w:r>
        <w:rPr>
          <w:spacing w:val="-6"/>
        </w:rPr>
        <w:t xml:space="preserve"> </w:t>
      </w:r>
      <w:r>
        <w:t>trying</w:t>
      </w:r>
      <w:r>
        <w:rPr>
          <w:spacing w:val="-6"/>
        </w:rPr>
        <w:t xml:space="preserve"> </w:t>
      </w:r>
      <w:r>
        <w:t>to</w:t>
      </w:r>
      <w:r>
        <w:rPr>
          <w:spacing w:val="-6"/>
        </w:rPr>
        <w:t xml:space="preserve"> </w:t>
      </w:r>
      <w:r>
        <w:t>cover</w:t>
      </w:r>
      <w:r>
        <w:rPr>
          <w:spacing w:val="-6"/>
        </w:rPr>
        <w:t xml:space="preserve"> </w:t>
      </w:r>
      <w:r>
        <w:t>up</w:t>
      </w:r>
      <w:r>
        <w:rPr>
          <w:spacing w:val="-6"/>
        </w:rPr>
        <w:t xml:space="preserve"> </w:t>
      </w:r>
      <w:r>
        <w:t>the</w:t>
      </w:r>
      <w:r>
        <w:rPr>
          <w:spacing w:val="-6"/>
        </w:rPr>
        <w:t xml:space="preserve"> </w:t>
      </w:r>
      <w:r>
        <w:t>cracks</w:t>
      </w:r>
      <w:r>
        <w:rPr>
          <w:spacing w:val="-6"/>
        </w:rPr>
        <w:t xml:space="preserve"> </w:t>
      </w:r>
      <w:r>
        <w:t>in</w:t>
      </w:r>
      <w:r>
        <w:rPr>
          <w:spacing w:val="-6"/>
        </w:rPr>
        <w:t xml:space="preserve"> </w:t>
      </w:r>
      <w:r>
        <w:t>it</w:t>
      </w:r>
      <w:r>
        <w:rPr>
          <w:spacing w:val="-6"/>
        </w:rPr>
        <w:t xml:space="preserve"> </w:t>
      </w:r>
      <w:r>
        <w:t>by</w:t>
      </w:r>
      <w:r>
        <w:rPr>
          <w:spacing w:val="-6"/>
        </w:rPr>
        <w:t xml:space="preserve"> </w:t>
      </w:r>
      <w:r>
        <w:t>mutilating</w:t>
      </w:r>
      <w:r>
        <w:rPr>
          <w:spacing w:val="-6"/>
        </w:rPr>
        <w:t xml:space="preserve"> </w:t>
      </w:r>
      <w:r>
        <w:t>wholesome</w:t>
      </w:r>
      <w:r>
        <w:rPr>
          <w:spacing w:val="-6"/>
        </w:rPr>
        <w:t xml:space="preserve"> </w:t>
      </w:r>
      <w:r>
        <w:t>and intact</w:t>
      </w:r>
      <w:r>
        <w:rPr>
          <w:spacing w:val="-19"/>
        </w:rPr>
        <w:t xml:space="preserve"> </w:t>
      </w:r>
      <w:r>
        <w:t>concepts.</w:t>
      </w:r>
      <w:r>
        <w:rPr>
          <w:spacing w:val="-19"/>
        </w:rPr>
        <w:t xml:space="preserve"> </w:t>
      </w:r>
      <w:r>
        <w:t>But</w:t>
      </w:r>
      <w:r>
        <w:rPr>
          <w:spacing w:val="-3"/>
        </w:rPr>
        <w:t xml:space="preserve"> </w:t>
      </w:r>
      <w:r>
        <w:t>Lewis’</w:t>
      </w:r>
      <w:r>
        <w:rPr>
          <w:spacing w:val="-19"/>
        </w:rPr>
        <w:t xml:space="preserve"> </w:t>
      </w:r>
      <w:r>
        <w:t>position</w:t>
      </w:r>
      <w:r>
        <w:rPr>
          <w:spacing w:val="-3"/>
        </w:rPr>
        <w:t xml:space="preserve"> </w:t>
      </w:r>
      <w:r>
        <w:t>is</w:t>
      </w:r>
      <w:r>
        <w:rPr>
          <w:spacing w:val="-19"/>
        </w:rPr>
        <w:t xml:space="preserve"> </w:t>
      </w:r>
      <w:r>
        <w:rPr>
          <w:i/>
        </w:rPr>
        <w:t>de rigueur</w:t>
      </w:r>
      <w:r>
        <w:rPr>
          <w:i/>
          <w:spacing w:val="-19"/>
        </w:rPr>
        <w:t xml:space="preserve"> </w:t>
      </w:r>
      <w:r>
        <w:t>if one</w:t>
      </w:r>
      <w:r>
        <w:rPr>
          <w:spacing w:val="-19"/>
        </w:rPr>
        <w:t xml:space="preserve"> </w:t>
      </w:r>
      <w:r>
        <w:t>holds</w:t>
      </w:r>
      <w:r>
        <w:rPr>
          <w:spacing w:val="-4"/>
        </w:rPr>
        <w:t xml:space="preserve"> </w:t>
      </w:r>
      <w:r>
        <w:t>that</w:t>
      </w:r>
      <w:r>
        <w:rPr>
          <w:spacing w:val="-4"/>
        </w:rPr>
        <w:t xml:space="preserve"> </w:t>
      </w:r>
      <w:r>
        <w:t>the</w:t>
      </w:r>
      <w:r>
        <w:rPr>
          <w:spacing w:val="-4"/>
        </w:rPr>
        <w:t xml:space="preserve"> </w:t>
      </w:r>
      <w:r>
        <w:t>sense</w:t>
      </w:r>
      <w:r>
        <w:rPr>
          <w:spacing w:val="-4"/>
        </w:rPr>
        <w:t xml:space="preserve"> </w:t>
      </w:r>
      <w:r>
        <w:t>in which adult-JMK is “identical” with baby-JMK is identical with the sense in which 2 is</w:t>
      </w:r>
    </w:p>
    <w:p w14:paraId="7E001DE8" w14:textId="77777777" w:rsidR="009A58DB" w:rsidRDefault="00000000">
      <w:pPr>
        <w:pStyle w:val="BodyText"/>
        <w:spacing w:before="6" w:line="271" w:lineRule="auto"/>
        <w:ind w:right="361"/>
      </w:pPr>
      <w:r>
        <w:t>identical with 1 + 1. We’v e already seen why. X</w:t>
      </w:r>
      <w:r>
        <w:rPr>
          <w:vertAlign w:val="subscript"/>
        </w:rPr>
        <w:t>2</w:t>
      </w:r>
      <w:r>
        <w:t xml:space="preserve"> is no less “identical with” X</w:t>
      </w:r>
      <w:r>
        <w:rPr>
          <w:position w:val="-7"/>
          <w:sz w:val="22"/>
        </w:rPr>
        <w:t xml:space="preserve">1 </w:t>
      </w:r>
      <w:r>
        <w:t>than is X</w:t>
      </w:r>
      <w:r>
        <w:rPr>
          <w:position w:val="-7"/>
          <w:sz w:val="22"/>
        </w:rPr>
        <w:t>3</w:t>
      </w:r>
      <w:r>
        <w:t>. And X</w:t>
      </w:r>
      <w:r>
        <w:rPr>
          <w:position w:val="-7"/>
          <w:sz w:val="22"/>
        </w:rPr>
        <w:t xml:space="preserve">2 </w:t>
      </w:r>
      <w:r>
        <w:t>is no less identical with X</w:t>
      </w:r>
      <w:r>
        <w:rPr>
          <w:position w:val="-7"/>
          <w:sz w:val="22"/>
        </w:rPr>
        <w:t xml:space="preserve">1 </w:t>
      </w:r>
      <w:r>
        <w:t>than you are identical with the</w:t>
      </w:r>
      <w:r>
        <w:rPr>
          <w:spacing w:val="57"/>
          <w:w w:val="150"/>
        </w:rPr>
        <w:t xml:space="preserve"> </w:t>
      </w:r>
      <w:r>
        <w:t>person</w:t>
      </w:r>
      <w:r>
        <w:rPr>
          <w:spacing w:val="58"/>
          <w:w w:val="150"/>
        </w:rPr>
        <w:t xml:space="preserve"> </w:t>
      </w:r>
      <w:r>
        <w:t>you</w:t>
      </w:r>
      <w:r>
        <w:rPr>
          <w:spacing w:val="57"/>
          <w:w w:val="150"/>
        </w:rPr>
        <w:t xml:space="preserve"> </w:t>
      </w:r>
      <w:r>
        <w:t>were</w:t>
      </w:r>
      <w:r>
        <w:rPr>
          <w:spacing w:val="58"/>
          <w:w w:val="150"/>
        </w:rPr>
        <w:t xml:space="preserve"> </w:t>
      </w:r>
      <w:r>
        <w:t>a</w:t>
      </w:r>
      <w:r>
        <w:rPr>
          <w:spacing w:val="58"/>
          <w:w w:val="150"/>
        </w:rPr>
        <w:t xml:space="preserve"> </w:t>
      </w:r>
      <w:r>
        <w:t>minute</w:t>
      </w:r>
      <w:r>
        <w:rPr>
          <w:spacing w:val="57"/>
          <w:w w:val="150"/>
        </w:rPr>
        <w:t xml:space="preserve"> </w:t>
      </w:r>
      <w:r>
        <w:t>ago.</w:t>
      </w:r>
      <w:r>
        <w:rPr>
          <w:spacing w:val="58"/>
          <w:w w:val="150"/>
        </w:rPr>
        <w:t xml:space="preserve"> </w:t>
      </w:r>
      <w:r>
        <w:t>Therefore,</w:t>
      </w:r>
      <w:r>
        <w:rPr>
          <w:spacing w:val="58"/>
          <w:w w:val="150"/>
        </w:rPr>
        <w:t xml:space="preserve"> </w:t>
      </w:r>
      <w:r>
        <w:rPr>
          <w:i/>
        </w:rPr>
        <w:t>if</w:t>
      </w:r>
      <w:r>
        <w:rPr>
          <w:i/>
          <w:spacing w:val="49"/>
          <w:w w:val="150"/>
        </w:rPr>
        <w:t xml:space="preserve"> </w:t>
      </w:r>
      <w:r>
        <w:t>we</w:t>
      </w:r>
      <w:r>
        <w:rPr>
          <w:spacing w:val="58"/>
          <w:w w:val="150"/>
        </w:rPr>
        <w:t xml:space="preserve"> </w:t>
      </w:r>
      <w:r>
        <w:t>say</w:t>
      </w:r>
      <w:r>
        <w:rPr>
          <w:spacing w:val="58"/>
          <w:w w:val="150"/>
        </w:rPr>
        <w:t xml:space="preserve"> </w:t>
      </w:r>
      <w:r>
        <w:t>that</w:t>
      </w:r>
      <w:r>
        <w:rPr>
          <w:spacing w:val="57"/>
          <w:w w:val="150"/>
        </w:rPr>
        <w:t xml:space="preserve"> </w:t>
      </w:r>
      <w:r>
        <w:t>you</w:t>
      </w:r>
      <w:r>
        <w:rPr>
          <w:spacing w:val="58"/>
          <w:w w:val="150"/>
        </w:rPr>
        <w:t xml:space="preserve"> </w:t>
      </w:r>
      <w:r>
        <w:rPr>
          <w:spacing w:val="-5"/>
        </w:rPr>
        <w:t>are</w:t>
      </w:r>
    </w:p>
    <w:p w14:paraId="7E001DE9" w14:textId="77777777" w:rsidR="009A58DB" w:rsidRDefault="00000000">
      <w:pPr>
        <w:pStyle w:val="BodyText"/>
        <w:spacing w:line="313" w:lineRule="exact"/>
      </w:pPr>
      <w:r>
        <w:t>“identical”</w:t>
      </w:r>
      <w:r>
        <w:rPr>
          <w:spacing w:val="-1"/>
        </w:rPr>
        <w:t xml:space="preserve"> </w:t>
      </w:r>
      <w:r>
        <w:t>with</w:t>
      </w:r>
      <w:r>
        <w:rPr>
          <w:spacing w:val="1"/>
        </w:rPr>
        <w:t xml:space="preserve"> </w:t>
      </w:r>
      <w:r>
        <w:t>that</w:t>
      </w:r>
      <w:r>
        <w:rPr>
          <w:spacing w:val="3"/>
        </w:rPr>
        <w:t xml:space="preserve"> </w:t>
      </w:r>
      <w:r>
        <w:t>person</w:t>
      </w:r>
      <w:r>
        <w:rPr>
          <w:spacing w:val="1"/>
        </w:rPr>
        <w:t xml:space="preserve"> </w:t>
      </w:r>
      <w:r>
        <w:t>in</w:t>
      </w:r>
      <w:r>
        <w:rPr>
          <w:spacing w:val="2"/>
        </w:rPr>
        <w:t xml:space="preserve"> </w:t>
      </w:r>
      <w:r>
        <w:t>the</w:t>
      </w:r>
      <w:r>
        <w:rPr>
          <w:spacing w:val="2"/>
        </w:rPr>
        <w:t xml:space="preserve"> </w:t>
      </w:r>
      <w:r>
        <w:t>same</w:t>
      </w:r>
      <w:r>
        <w:rPr>
          <w:spacing w:val="2"/>
        </w:rPr>
        <w:t xml:space="preserve"> </w:t>
      </w:r>
      <w:r>
        <w:t>sense</w:t>
      </w:r>
      <w:r>
        <w:rPr>
          <w:spacing w:val="1"/>
        </w:rPr>
        <w:t xml:space="preserve"> </w:t>
      </w:r>
      <w:r>
        <w:t>in</w:t>
      </w:r>
      <w:r>
        <w:rPr>
          <w:spacing w:val="3"/>
        </w:rPr>
        <w:t xml:space="preserve"> </w:t>
      </w:r>
      <w:r>
        <w:t>which</w:t>
      </w:r>
      <w:r>
        <w:rPr>
          <w:spacing w:val="1"/>
        </w:rPr>
        <w:t xml:space="preserve"> </w:t>
      </w:r>
      <w:r>
        <w:t>2</w:t>
      </w:r>
      <w:r>
        <w:rPr>
          <w:spacing w:val="2"/>
        </w:rPr>
        <w:t xml:space="preserve"> </w:t>
      </w:r>
      <w:r>
        <w:t>is</w:t>
      </w:r>
      <w:r>
        <w:rPr>
          <w:spacing w:val="2"/>
        </w:rPr>
        <w:t xml:space="preserve"> </w:t>
      </w:r>
      <w:r>
        <w:t>identical</w:t>
      </w:r>
      <w:r>
        <w:rPr>
          <w:spacing w:val="2"/>
        </w:rPr>
        <w:t xml:space="preserve"> </w:t>
      </w:r>
      <w:r>
        <w:t>with</w:t>
      </w:r>
      <w:r>
        <w:rPr>
          <w:spacing w:val="1"/>
        </w:rPr>
        <w:t xml:space="preserve"> </w:t>
      </w:r>
      <w:r>
        <w:t>1</w:t>
      </w:r>
      <w:r>
        <w:rPr>
          <w:spacing w:val="3"/>
        </w:rPr>
        <w:t xml:space="preserve"> </w:t>
      </w:r>
      <w:r>
        <w:rPr>
          <w:spacing w:val="-10"/>
        </w:rPr>
        <w:t>+</w:t>
      </w:r>
    </w:p>
    <w:p w14:paraId="7E001DEA" w14:textId="77777777" w:rsidR="009A58DB" w:rsidRDefault="00000000">
      <w:pPr>
        <w:pStyle w:val="BodyText"/>
        <w:spacing w:before="15" w:line="249" w:lineRule="auto"/>
        <w:ind w:right="360"/>
      </w:pPr>
      <w:r>
        <w:t xml:space="preserve">1, we must say that </w:t>
      </w:r>
      <w:r>
        <w:rPr>
          <w:i/>
        </w:rPr>
        <w:t xml:space="preserve">both </w:t>
      </w:r>
      <w:r>
        <w:t>X</w:t>
      </w:r>
      <w:r>
        <w:rPr>
          <w:position w:val="-7"/>
          <w:sz w:val="22"/>
        </w:rPr>
        <w:t xml:space="preserve">2 </w:t>
      </w:r>
      <w:r>
        <w:t>and X</w:t>
      </w:r>
      <w:r>
        <w:rPr>
          <w:position w:val="-7"/>
          <w:sz w:val="22"/>
        </w:rPr>
        <w:t xml:space="preserve">3 </w:t>
      </w:r>
      <w:r>
        <w:t>are identical with X</w:t>
      </w:r>
      <w:r>
        <w:rPr>
          <w:position w:val="-7"/>
          <w:sz w:val="22"/>
        </w:rPr>
        <w:t xml:space="preserve">1 </w:t>
      </w:r>
      <w:r>
        <w:t>in the very same sense. Since</w:t>
      </w:r>
      <w:r>
        <w:rPr>
          <w:spacing w:val="-1"/>
        </w:rPr>
        <w:t xml:space="preserve"> </w:t>
      </w:r>
      <w:r>
        <w:t>it’s a</w:t>
      </w:r>
      <w:r>
        <w:rPr>
          <w:spacing w:val="-1"/>
        </w:rPr>
        <w:t xml:space="preserve"> </w:t>
      </w:r>
      <w:r>
        <w:t>datum that</w:t>
      </w:r>
      <w:r>
        <w:rPr>
          <w:spacing w:val="-1"/>
        </w:rPr>
        <w:t xml:space="preserve"> </w:t>
      </w:r>
      <w:r>
        <w:t>X</w:t>
      </w:r>
      <w:r>
        <w:rPr>
          <w:vertAlign w:val="subscript"/>
        </w:rPr>
        <w:t>2</w:t>
      </w:r>
      <w:r>
        <w:rPr>
          <w:spacing w:val="1"/>
        </w:rPr>
        <w:t xml:space="preserve"> </w:t>
      </w:r>
      <w:r>
        <w:t>and X</w:t>
      </w:r>
      <w:r>
        <w:rPr>
          <w:vertAlign w:val="subscript"/>
        </w:rPr>
        <w:t>3</w:t>
      </w:r>
      <w:r>
        <w:t>,</w:t>
      </w:r>
      <w:r>
        <w:rPr>
          <w:spacing w:val="5"/>
        </w:rPr>
        <w:t xml:space="preserve"> </w:t>
      </w:r>
      <w:r>
        <w:t>being</w:t>
      </w:r>
      <w:r>
        <w:rPr>
          <w:spacing w:val="4"/>
        </w:rPr>
        <w:t xml:space="preserve"> </w:t>
      </w:r>
      <w:r>
        <w:t>in</w:t>
      </w:r>
      <w:r>
        <w:rPr>
          <w:spacing w:val="6"/>
        </w:rPr>
        <w:t xml:space="preserve"> </w:t>
      </w:r>
      <w:r>
        <w:t>different</w:t>
      </w:r>
      <w:r>
        <w:rPr>
          <w:spacing w:val="4"/>
        </w:rPr>
        <w:t xml:space="preserve"> </w:t>
      </w:r>
      <w:r>
        <w:t>places,</w:t>
      </w:r>
      <w:r>
        <w:rPr>
          <w:spacing w:val="5"/>
        </w:rPr>
        <w:t xml:space="preserve"> </w:t>
      </w:r>
      <w:r>
        <w:t>are</w:t>
      </w:r>
      <w:r>
        <w:rPr>
          <w:spacing w:val="4"/>
        </w:rPr>
        <w:t xml:space="preserve"> </w:t>
      </w:r>
      <w:r>
        <w:rPr>
          <w:spacing w:val="-2"/>
        </w:rPr>
        <w:t>distinct</w:t>
      </w:r>
    </w:p>
    <w:p w14:paraId="7E001DEB" w14:textId="77777777" w:rsidR="009A58DB" w:rsidRDefault="00000000">
      <w:pPr>
        <w:pStyle w:val="BodyText"/>
        <w:spacing w:before="60" w:line="271" w:lineRule="auto"/>
        <w:ind w:right="363"/>
      </w:pPr>
      <w:r>
        <w:t>from each other, it follows that, just as Lewis says, the mind and body had by X</w:t>
      </w:r>
      <w:r>
        <w:rPr>
          <w:vertAlign w:val="subscript"/>
        </w:rPr>
        <w:t>1</w:t>
      </w:r>
      <w:r>
        <w:t>, prior to the split, were shared by X</w:t>
      </w:r>
      <w:r>
        <w:rPr>
          <w:vertAlign w:val="subscript"/>
        </w:rPr>
        <w:t>2</w:t>
      </w:r>
      <w:r>
        <w:t xml:space="preserve"> and X</w:t>
      </w:r>
      <w:r>
        <w:rPr>
          <w:vertAlign w:val="subscript"/>
        </w:rPr>
        <w:t>3</w:t>
      </w:r>
      <w:r>
        <w:t>. It follows, in other words, that X</w:t>
      </w:r>
      <w:r>
        <w:rPr>
          <w:position w:val="-7"/>
          <w:sz w:val="22"/>
        </w:rPr>
        <w:t>1</w:t>
      </w:r>
      <w:r>
        <w:t>, X</w:t>
      </w:r>
      <w:r>
        <w:rPr>
          <w:position w:val="-7"/>
          <w:sz w:val="22"/>
        </w:rPr>
        <w:t>2</w:t>
      </w:r>
      <w:r>
        <w:t>, and X</w:t>
      </w:r>
      <w:r>
        <w:rPr>
          <w:position w:val="-7"/>
          <w:sz w:val="22"/>
        </w:rPr>
        <w:t>3</w:t>
      </w:r>
      <w:r>
        <w:rPr>
          <w:spacing w:val="30"/>
          <w:position w:val="-7"/>
          <w:sz w:val="22"/>
        </w:rPr>
        <w:t xml:space="preserve"> </w:t>
      </w:r>
      <w:r>
        <w:t>were there all along, all rolled into one package.</w:t>
      </w:r>
    </w:p>
    <w:p w14:paraId="7E001DEC" w14:textId="77777777" w:rsidR="009A58DB" w:rsidRDefault="00000000">
      <w:pPr>
        <w:pStyle w:val="BodyText"/>
        <w:spacing w:line="313" w:lineRule="exact"/>
        <w:ind w:left="720"/>
      </w:pPr>
      <w:r>
        <w:t>Given</w:t>
      </w:r>
      <w:r>
        <w:rPr>
          <w:spacing w:val="52"/>
          <w:w w:val="150"/>
        </w:rPr>
        <w:t xml:space="preserve"> </w:t>
      </w:r>
      <w:r>
        <w:t>how</w:t>
      </w:r>
      <w:r>
        <w:rPr>
          <w:spacing w:val="53"/>
          <w:w w:val="150"/>
        </w:rPr>
        <w:t xml:space="preserve"> </w:t>
      </w:r>
      <w:r>
        <w:t>preposterous</w:t>
      </w:r>
      <w:r>
        <w:rPr>
          <w:spacing w:val="53"/>
          <w:w w:val="150"/>
        </w:rPr>
        <w:t xml:space="preserve"> </w:t>
      </w:r>
      <w:r>
        <w:t>that</w:t>
      </w:r>
      <w:r>
        <w:rPr>
          <w:spacing w:val="53"/>
          <w:w w:val="150"/>
        </w:rPr>
        <w:t xml:space="preserve"> </w:t>
      </w:r>
      <w:r>
        <w:t>is,</w:t>
      </w:r>
      <w:r>
        <w:rPr>
          <w:spacing w:val="53"/>
          <w:w w:val="150"/>
        </w:rPr>
        <w:t xml:space="preserve"> </w:t>
      </w:r>
      <w:r>
        <w:t>it’s</w:t>
      </w:r>
      <w:r>
        <w:rPr>
          <w:spacing w:val="52"/>
          <w:w w:val="150"/>
        </w:rPr>
        <w:t xml:space="preserve"> </w:t>
      </w:r>
      <w:r>
        <w:t>clear</w:t>
      </w:r>
      <w:r>
        <w:rPr>
          <w:spacing w:val="53"/>
          <w:w w:val="150"/>
        </w:rPr>
        <w:t xml:space="preserve"> </w:t>
      </w:r>
      <w:r>
        <w:t>what</w:t>
      </w:r>
      <w:r>
        <w:rPr>
          <w:spacing w:val="53"/>
          <w:w w:val="150"/>
        </w:rPr>
        <w:t xml:space="preserve"> </w:t>
      </w:r>
      <w:r>
        <w:t>we</w:t>
      </w:r>
      <w:r>
        <w:rPr>
          <w:spacing w:val="53"/>
          <w:w w:val="150"/>
        </w:rPr>
        <w:t xml:space="preserve"> </w:t>
      </w:r>
      <w:r>
        <w:t>must</w:t>
      </w:r>
      <w:r>
        <w:rPr>
          <w:spacing w:val="53"/>
          <w:w w:val="150"/>
        </w:rPr>
        <w:t xml:space="preserve"> </w:t>
      </w:r>
      <w:r>
        <w:t>say.</w:t>
      </w:r>
      <w:r>
        <w:rPr>
          <w:spacing w:val="53"/>
          <w:w w:val="150"/>
        </w:rPr>
        <w:t xml:space="preserve"> </w:t>
      </w:r>
      <w:r>
        <w:t>X</w:t>
      </w:r>
      <w:r>
        <w:rPr>
          <w:vertAlign w:val="subscript"/>
        </w:rPr>
        <w:t>2</w:t>
      </w:r>
      <w:r>
        <w:rPr>
          <w:spacing w:val="51"/>
          <w:w w:val="150"/>
        </w:rPr>
        <w:t xml:space="preserve"> </w:t>
      </w:r>
      <w:r>
        <w:rPr>
          <w:spacing w:val="-5"/>
        </w:rPr>
        <w:t>is</w:t>
      </w:r>
    </w:p>
    <w:p w14:paraId="7E001DED" w14:textId="77777777" w:rsidR="009A58DB" w:rsidRDefault="00000000">
      <w:pPr>
        <w:pStyle w:val="BodyText"/>
        <w:spacing w:before="75" w:line="292" w:lineRule="auto"/>
        <w:ind w:right="360"/>
      </w:pPr>
      <w:r>
        <w:t>“identical” with X</w:t>
      </w:r>
      <w:r>
        <w:rPr>
          <w:vertAlign w:val="subscript"/>
        </w:rPr>
        <w:t>1</w:t>
      </w:r>
      <w:r>
        <w:t xml:space="preserve"> in the sense that it is X</w:t>
      </w:r>
      <w:r>
        <w:rPr>
          <w:vertAlign w:val="subscript"/>
        </w:rPr>
        <w:t>1</w:t>
      </w:r>
      <w:r>
        <w:t>’ s successor; the same is true of X</w:t>
      </w:r>
      <w:r>
        <w:rPr>
          <w:vertAlign w:val="subscript"/>
        </w:rPr>
        <w:t>3</w:t>
      </w:r>
      <w:r>
        <w:t xml:space="preserve">. And the same thing </w:t>
      </w:r>
      <w:r>
        <w:rPr>
          <w:i/>
        </w:rPr>
        <w:t xml:space="preserve">mutatis mutandis </w:t>
      </w:r>
      <w:r>
        <w:t>is therefore true of you. You are identical with your teen self in the sense that you are that entity’s successor.</w:t>
      </w:r>
    </w:p>
    <w:p w14:paraId="7E001DEE"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DEF" w14:textId="77777777" w:rsidR="009A58DB" w:rsidRDefault="00000000">
      <w:pPr>
        <w:pStyle w:val="BodyText"/>
        <w:spacing w:before="65" w:line="249" w:lineRule="auto"/>
        <w:ind w:right="358" w:firstLine="360"/>
      </w:pPr>
      <w:r>
        <w:lastRenderedPageBreak/>
        <w:t>True—the expressions we use (“identity,” “identical with,” etc.) to describe</w:t>
      </w:r>
      <w:r>
        <w:rPr>
          <w:spacing w:val="-2"/>
        </w:rPr>
        <w:t xml:space="preserve"> </w:t>
      </w:r>
      <w:r>
        <w:t>the</w:t>
      </w:r>
      <w:r>
        <w:rPr>
          <w:spacing w:val="-2"/>
        </w:rPr>
        <w:t xml:space="preserve"> </w:t>
      </w:r>
      <w:r>
        <w:t>relationship</w:t>
      </w:r>
      <w:r>
        <w:rPr>
          <w:spacing w:val="-2"/>
        </w:rPr>
        <w:t xml:space="preserve"> </w:t>
      </w:r>
      <w:r>
        <w:t>between</w:t>
      </w:r>
      <w:r>
        <w:rPr>
          <w:spacing w:val="-2"/>
        </w:rPr>
        <w:t xml:space="preserve"> </w:t>
      </w:r>
      <w:r>
        <w:t>Barack</w:t>
      </w:r>
      <w:r>
        <w:rPr>
          <w:spacing w:val="-2"/>
        </w:rPr>
        <w:t xml:space="preserve"> </w:t>
      </w:r>
      <w:r>
        <w:t>Obama</w:t>
      </w:r>
      <w:r>
        <w:rPr>
          <w:spacing w:val="-2"/>
        </w:rPr>
        <w:t xml:space="preserve"> </w:t>
      </w:r>
      <w:r>
        <w:t>and</w:t>
      </w:r>
      <w:r>
        <w:rPr>
          <w:spacing w:val="-2"/>
        </w:rPr>
        <w:t xml:space="preserve"> </w:t>
      </w:r>
      <w:r>
        <w:t>the</w:t>
      </w:r>
      <w:r>
        <w:rPr>
          <w:spacing w:val="-2"/>
        </w:rPr>
        <w:t xml:space="preserve"> </w:t>
      </w:r>
      <w:r>
        <w:t>current</w:t>
      </w:r>
      <w:r>
        <w:rPr>
          <w:spacing w:val="-2"/>
        </w:rPr>
        <w:t xml:space="preserve"> </w:t>
      </w:r>
      <w:r>
        <w:t>President,</w:t>
      </w:r>
      <w:r>
        <w:rPr>
          <w:spacing w:val="-2"/>
        </w:rPr>
        <w:t xml:space="preserve"> </w:t>
      </w:r>
      <w:r>
        <w:t>or between</w:t>
      </w:r>
      <w:r>
        <w:rPr>
          <w:spacing w:val="-1"/>
        </w:rPr>
        <w:t xml:space="preserve"> </w:t>
      </w:r>
      <w:r>
        <w:t>2</w:t>
      </w:r>
      <w:r>
        <w:rPr>
          <w:spacing w:val="-1"/>
        </w:rPr>
        <w:t xml:space="preserve"> </w:t>
      </w:r>
      <w:r>
        <w:t>and</w:t>
      </w:r>
      <w:r>
        <w:rPr>
          <w:spacing w:val="-1"/>
        </w:rPr>
        <w:t xml:space="preserve"> </w:t>
      </w:r>
      <w:r>
        <w:t>1</w:t>
      </w:r>
      <w:r>
        <w:rPr>
          <w:spacing w:val="-1"/>
        </w:rPr>
        <w:t xml:space="preserve"> </w:t>
      </w:r>
      <w:r>
        <w:t>+</w:t>
      </w:r>
      <w:r>
        <w:rPr>
          <w:spacing w:val="-1"/>
        </w:rPr>
        <w:t xml:space="preserve"> </w:t>
      </w:r>
      <w:r>
        <w:t>1</w:t>
      </w:r>
      <w:r>
        <w:rPr>
          <w:spacing w:val="-1"/>
        </w:rPr>
        <w:t xml:space="preserve"> </w:t>
      </w:r>
      <w:r>
        <w:t>are</w:t>
      </w:r>
      <w:r>
        <w:rPr>
          <w:spacing w:val="-1"/>
        </w:rPr>
        <w:t xml:space="preserve"> </w:t>
      </w:r>
      <w:r>
        <w:t>the</w:t>
      </w:r>
      <w:r>
        <w:rPr>
          <w:spacing w:val="-1"/>
        </w:rPr>
        <w:t xml:space="preserve"> </w:t>
      </w:r>
      <w:r>
        <w:t>same</w:t>
      </w:r>
      <w:r>
        <w:rPr>
          <w:spacing w:val="-1"/>
        </w:rPr>
        <w:t xml:space="preserve"> </w:t>
      </w:r>
      <w:r>
        <w:t>ones</w:t>
      </w:r>
      <w:r>
        <w:rPr>
          <w:spacing w:val="-1"/>
        </w:rPr>
        <w:t xml:space="preserve"> </w:t>
      </w:r>
      <w:r>
        <w:t>we</w:t>
      </w:r>
      <w:r>
        <w:rPr>
          <w:spacing w:val="-1"/>
        </w:rPr>
        <w:t xml:space="preserve"> </w:t>
      </w:r>
      <w:r>
        <w:t>use</w:t>
      </w:r>
      <w:r>
        <w:rPr>
          <w:spacing w:val="-1"/>
        </w:rPr>
        <w:t xml:space="preserve"> </w:t>
      </w:r>
      <w:r>
        <w:t>to</w:t>
      </w:r>
      <w:r>
        <w:rPr>
          <w:spacing w:val="-1"/>
        </w:rPr>
        <w:t xml:space="preserve"> </w:t>
      </w:r>
      <w:r>
        <w:t>describe</w:t>
      </w:r>
      <w:r>
        <w:rPr>
          <w:spacing w:val="-1"/>
        </w:rPr>
        <w:t xml:space="preserve"> </w:t>
      </w:r>
      <w:r>
        <w:t>your</w:t>
      </w:r>
      <w:r>
        <w:rPr>
          <w:spacing w:val="-1"/>
        </w:rPr>
        <w:t xml:space="preserve"> </w:t>
      </w:r>
      <w:r>
        <w:t>relationship</w:t>
      </w:r>
      <w:r>
        <w:rPr>
          <w:spacing w:val="-1"/>
        </w:rPr>
        <w:t xml:space="preserve"> </w:t>
      </w:r>
      <w:r>
        <w:t xml:space="preserve">to your teen self. But so what? Language is mirror of thought; thought isn’t always perfect. Thought is especially prone to error when it comes to emotion-laden issues, such as personal identity. Human beings don’t want to believe that they are event-sequences that can become frayed, like an old rope, and dwindle into nothingness. Human beings don’t want to believe that their identities are internal to emotion-driven narratives. But what we want to believe is irrelevant. What </w:t>
      </w:r>
      <w:r>
        <w:rPr>
          <w:i/>
        </w:rPr>
        <w:t xml:space="preserve">is </w:t>
      </w:r>
      <w:r>
        <w:t>relevant is that, if we take the conventional view, then we must follow Lewis in embracing the absurdity that you could be 80 different people, even though you are physiologically and psychologically just like somebody who is but one person.</w:t>
      </w:r>
    </w:p>
    <w:p w14:paraId="7E001DF0" w14:textId="77777777" w:rsidR="009A58DB" w:rsidRDefault="00000000">
      <w:pPr>
        <w:pStyle w:val="Heading1"/>
        <w:numPr>
          <w:ilvl w:val="1"/>
          <w:numId w:val="91"/>
        </w:numPr>
        <w:tabs>
          <w:tab w:val="left" w:pos="990"/>
        </w:tabs>
        <w:spacing w:before="204"/>
      </w:pPr>
      <w:r>
        <w:t>Personal</w:t>
      </w:r>
      <w:r>
        <w:rPr>
          <w:spacing w:val="-10"/>
        </w:rPr>
        <w:t xml:space="preserve"> </w:t>
      </w:r>
      <w:r>
        <w:t>identity</w:t>
      </w:r>
      <w:r>
        <w:rPr>
          <w:spacing w:val="-6"/>
        </w:rPr>
        <w:t xml:space="preserve"> </w:t>
      </w:r>
      <w:r>
        <w:t>revisited:</w:t>
      </w:r>
      <w:r>
        <w:rPr>
          <w:spacing w:val="-7"/>
        </w:rPr>
        <w:t xml:space="preserve"> </w:t>
      </w:r>
      <w:r>
        <w:t>Hume’s</w:t>
      </w:r>
      <w:r>
        <w:rPr>
          <w:spacing w:val="-7"/>
        </w:rPr>
        <w:t xml:space="preserve"> </w:t>
      </w:r>
      <w:r>
        <w:rPr>
          <w:spacing w:val="-2"/>
        </w:rPr>
        <w:t>analysis</w:t>
      </w:r>
    </w:p>
    <w:p w14:paraId="7E001DF1" w14:textId="77777777" w:rsidR="009A58DB" w:rsidRDefault="00000000">
      <w:pPr>
        <w:pStyle w:val="BodyText"/>
        <w:spacing w:before="139" w:line="249" w:lineRule="auto"/>
        <w:ind w:right="360"/>
      </w:pPr>
      <w:r>
        <w:t xml:space="preserve">Few have done as much to clarify the structure of the psyche and nature of personal identity as David Hume (1711–1776). Hume had a mentalistic conception of personal identity. In his view, there are no people where there are no minds. But, unlike us, he held that there are no minds where there are no occurrent thoughts—where, in other words, there is no mental </w:t>
      </w:r>
      <w:r>
        <w:rPr>
          <w:i/>
        </w:rPr>
        <w:t xml:space="preserve">activity. </w:t>
      </w:r>
      <w:r>
        <w:t>In other words, he rejected contention (b).</w:t>
      </w:r>
    </w:p>
    <w:p w14:paraId="7E001DF2" w14:textId="77777777" w:rsidR="009A58DB" w:rsidRDefault="00000000">
      <w:pPr>
        <w:pStyle w:val="BodyText"/>
        <w:spacing w:before="7" w:line="249" w:lineRule="auto"/>
        <w:ind w:right="359" w:firstLine="360"/>
      </w:pPr>
      <w:r>
        <w:t xml:space="preserve">Why does Hume hold this? Because Hume is a mentalist </w:t>
      </w:r>
      <w:r>
        <w:rPr>
          <w:i/>
        </w:rPr>
        <w:t xml:space="preserve">who doesn’t believe in the existence of structures of any kind. </w:t>
      </w:r>
      <w:r>
        <w:t>Hume acknowledges that there are events; but he denies that there is anything underneath those events that guide them. There are no forces, no structures, no powers. (See Chapter 17.) And this is why, being a mentalist, he must identify the self with a</w:t>
      </w:r>
      <w:r>
        <w:rPr>
          <w:spacing w:val="40"/>
        </w:rPr>
        <w:t xml:space="preserve"> </w:t>
      </w:r>
      <w:r>
        <w:t>stream of mental events.</w:t>
      </w:r>
    </w:p>
    <w:p w14:paraId="7E001DF3" w14:textId="77777777" w:rsidR="009A58DB" w:rsidRDefault="00000000">
      <w:pPr>
        <w:pStyle w:val="BodyText"/>
        <w:spacing w:before="7" w:line="249" w:lineRule="auto"/>
        <w:ind w:right="358" w:firstLine="360"/>
      </w:pPr>
      <w:r>
        <w:t>There is an obvious objection to this view: “If Hume is right, then the person who wakes up in the morning isn't identical with the person who went to sleep at night.” Hume is aware of this objection, and his response to it is very profound. He says that diachronic identity is pseudo-identity. The concept expressed by the occurrence of “is identical with” in “JMK is identical with the blobby infant in the photo” simply isn’t the same concept</w:t>
      </w:r>
      <w:r>
        <w:rPr>
          <w:spacing w:val="40"/>
        </w:rPr>
        <w:t xml:space="preserve"> </w:t>
      </w:r>
      <w:r>
        <w:t>as the one expressed by its counterpart in “Barack Obama is identical with</w:t>
      </w:r>
      <w:r>
        <w:rPr>
          <w:spacing w:val="40"/>
        </w:rPr>
        <w:t xml:space="preserve"> </w:t>
      </w:r>
      <w:r>
        <w:t>the current U.S. President.” Taking it for granted that synchronic identity is a</w:t>
      </w:r>
    </w:p>
    <w:p w14:paraId="7E001DF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DF5" w14:textId="77777777" w:rsidR="009A58DB" w:rsidRDefault="00000000">
      <w:pPr>
        <w:pStyle w:val="BodyText"/>
        <w:spacing w:before="60" w:line="249" w:lineRule="auto"/>
        <w:ind w:right="360"/>
      </w:pPr>
      <w:r>
        <w:lastRenderedPageBreak/>
        <w:t>genuine form of identity, he infers, very reasonably, that diachronic identity</w:t>
      </w:r>
      <w:r>
        <w:rPr>
          <w:spacing w:val="40"/>
        </w:rPr>
        <w:t xml:space="preserve"> </w:t>
      </w:r>
      <w:r>
        <w:t>is pseudo-identity.</w:t>
      </w:r>
    </w:p>
    <w:p w14:paraId="7E001DF6" w14:textId="77777777" w:rsidR="009A58DB" w:rsidRDefault="00000000">
      <w:pPr>
        <w:pStyle w:val="Heading1"/>
        <w:numPr>
          <w:ilvl w:val="1"/>
          <w:numId w:val="91"/>
        </w:numPr>
        <w:tabs>
          <w:tab w:val="left" w:pos="990"/>
        </w:tabs>
        <w:spacing w:before="195"/>
      </w:pPr>
      <w:r>
        <w:t>A</w:t>
      </w:r>
      <w:r>
        <w:rPr>
          <w:spacing w:val="-6"/>
        </w:rPr>
        <w:t xml:space="preserve"> </w:t>
      </w:r>
      <w:r>
        <w:t>preliminary</w:t>
      </w:r>
      <w:r>
        <w:rPr>
          <w:spacing w:val="-5"/>
        </w:rPr>
        <w:t xml:space="preserve"> </w:t>
      </w:r>
      <w:r>
        <w:t>point:</w:t>
      </w:r>
      <w:r>
        <w:rPr>
          <w:spacing w:val="-5"/>
        </w:rPr>
        <w:t xml:space="preserve"> </w:t>
      </w:r>
      <w:r>
        <w:t>Hume’s</w:t>
      </w:r>
      <w:r>
        <w:rPr>
          <w:spacing w:val="-5"/>
        </w:rPr>
        <w:t xml:space="preserve"> </w:t>
      </w:r>
      <w:r>
        <w:rPr>
          <w:spacing w:val="-2"/>
        </w:rPr>
        <w:t>empiricism</w:t>
      </w:r>
    </w:p>
    <w:p w14:paraId="7E001DF7" w14:textId="77777777" w:rsidR="009A58DB" w:rsidRDefault="00000000">
      <w:pPr>
        <w:pStyle w:val="BodyText"/>
        <w:spacing w:before="139" w:line="249" w:lineRule="auto"/>
        <w:ind w:right="360"/>
      </w:pPr>
      <w:r>
        <w:t>Empiricism is the doctrine that everything that is known is known through sense-perception</w:t>
      </w:r>
      <w:bookmarkStart w:id="411" w:name="_bookmark411"/>
      <w:bookmarkEnd w:id="411"/>
      <w:r>
        <w:t>.</w:t>
      </w:r>
      <w:r>
        <w:rPr>
          <w:color w:val="0562C1"/>
          <w:position w:val="21"/>
          <w:u w:val="single" w:color="0562C1"/>
        </w:rPr>
        <w:t>[295]</w:t>
      </w:r>
      <w:r>
        <w:rPr>
          <w:color w:val="0562C1"/>
          <w:spacing w:val="-19"/>
          <w:position w:val="21"/>
        </w:rPr>
        <w:t xml:space="preserve"> </w:t>
      </w:r>
      <w:r>
        <w:t>So</w:t>
      </w:r>
      <w:r>
        <w:rPr>
          <w:spacing w:val="-2"/>
        </w:rPr>
        <w:t xml:space="preserve"> </w:t>
      </w:r>
      <w:r>
        <w:t>far as empiricists grant that anything can be known that isn’t directly observed and instead inferred from what is directly observed,</w:t>
      </w:r>
      <w:r>
        <w:rPr>
          <w:spacing w:val="-2"/>
        </w:rPr>
        <w:t xml:space="preserve"> </w:t>
      </w:r>
      <w:r>
        <w:t>the</w:t>
      </w:r>
      <w:r>
        <w:rPr>
          <w:spacing w:val="-2"/>
        </w:rPr>
        <w:t xml:space="preserve"> </w:t>
      </w:r>
      <w:r>
        <w:t>inference-rules</w:t>
      </w:r>
      <w:r>
        <w:rPr>
          <w:spacing w:val="-2"/>
        </w:rPr>
        <w:t xml:space="preserve"> </w:t>
      </w:r>
      <w:r>
        <w:t>involved</w:t>
      </w:r>
      <w:r>
        <w:rPr>
          <w:spacing w:val="-2"/>
        </w:rPr>
        <w:t xml:space="preserve"> </w:t>
      </w:r>
      <w:r>
        <w:t>must</w:t>
      </w:r>
      <w:r>
        <w:rPr>
          <w:spacing w:val="-2"/>
        </w:rPr>
        <w:t xml:space="preserve"> </w:t>
      </w:r>
      <w:r>
        <w:t>themselves</w:t>
      </w:r>
      <w:r>
        <w:rPr>
          <w:spacing w:val="-2"/>
        </w:rPr>
        <w:t xml:space="preserve"> </w:t>
      </w:r>
      <w:r>
        <w:t>be</w:t>
      </w:r>
      <w:r>
        <w:rPr>
          <w:spacing w:val="-2"/>
        </w:rPr>
        <w:t xml:space="preserve"> </w:t>
      </w:r>
      <w:r>
        <w:t>known</w:t>
      </w:r>
      <w:r>
        <w:rPr>
          <w:spacing w:val="-2"/>
        </w:rPr>
        <w:t xml:space="preserve"> </w:t>
      </w:r>
      <w:r>
        <w:t>from</w:t>
      </w:r>
      <w:r>
        <w:rPr>
          <w:spacing w:val="-2"/>
        </w:rPr>
        <w:t xml:space="preserve"> </w:t>
      </w:r>
      <w:r>
        <w:t>direct observation alone.</w:t>
      </w:r>
    </w:p>
    <w:p w14:paraId="7E001DF8" w14:textId="77777777" w:rsidR="009A58DB" w:rsidRDefault="00000000">
      <w:pPr>
        <w:pStyle w:val="BodyText"/>
        <w:spacing w:before="6" w:line="249" w:lineRule="auto"/>
        <w:ind w:right="358" w:firstLine="360"/>
      </w:pPr>
      <w:r>
        <w:t xml:space="preserve">No sooner is empiricism defined than its coherence is called into question. An inference-rule is a normative truth. It tells you what you </w:t>
      </w:r>
      <w:r>
        <w:rPr>
          <w:i/>
        </w:rPr>
        <w:t xml:space="preserve">ought </w:t>
      </w:r>
      <w:r>
        <w:t>to infer from a given premise. And, as empiricists themselves point out, observation tells you what is, but it doesn’t tell you what ought to be.</w:t>
      </w:r>
    </w:p>
    <w:p w14:paraId="7E001DF9" w14:textId="77777777" w:rsidR="009A58DB" w:rsidRDefault="00000000">
      <w:pPr>
        <w:pStyle w:val="BodyText"/>
        <w:spacing w:before="5" w:line="249" w:lineRule="auto"/>
        <w:ind w:right="360" w:firstLine="360"/>
      </w:pPr>
      <w:r>
        <w:t>In any case, Hume was a strict empiricist. Unlike other self-described empiricists, he didn’t help himself to rules of inference whose legitimacy doesn’t have a strictly perceptual basis. This was because, unlike his empiricist brethren, he had the acuity to see that many inference-rules that seem to be empiricism-friendly ones are not.</w:t>
      </w:r>
    </w:p>
    <w:p w14:paraId="7E001DFA" w14:textId="77777777" w:rsidR="009A58DB" w:rsidRDefault="00000000">
      <w:pPr>
        <w:pStyle w:val="BodyText"/>
        <w:spacing w:before="6" w:line="249" w:lineRule="auto"/>
        <w:ind w:right="358" w:firstLine="360"/>
      </w:pPr>
      <w:r>
        <w:t>Hume’s empiricism was doubly strict. First, he had extremely</w:t>
      </w:r>
      <w:r>
        <w:rPr>
          <w:spacing w:val="40"/>
        </w:rPr>
        <w:t xml:space="preserve"> </w:t>
      </w:r>
      <w:r>
        <w:t xml:space="preserve">conservative views as to which rules of inference had the requisite perceptual basis. Second, he had extremely conservative views about what sense-perception </w:t>
      </w:r>
      <w:r>
        <w:rPr>
          <w:i/>
        </w:rPr>
        <w:t xml:space="preserve">directly </w:t>
      </w:r>
      <w:r>
        <w:t>tells us.</w:t>
      </w:r>
      <w:bookmarkStart w:id="412" w:name="_bookmark412"/>
      <w:bookmarkEnd w:id="412"/>
      <w:r>
        <w:rPr>
          <w:color w:val="0562C1"/>
          <w:position w:val="21"/>
          <w:u w:val="single" w:color="0562C1"/>
        </w:rPr>
        <w:t>[296]</w:t>
      </w:r>
      <w:r>
        <w:rPr>
          <w:color w:val="0562C1"/>
          <w:position w:val="21"/>
        </w:rPr>
        <w:t xml:space="preserve"> </w:t>
      </w:r>
      <w:r>
        <w:t>What Hume says about personal identity must be understood in terms of the fact that he is a very strict empiricist.</w:t>
      </w:r>
    </w:p>
    <w:p w14:paraId="7E001DFB" w14:textId="77777777" w:rsidR="009A58DB" w:rsidRDefault="00000000">
      <w:pPr>
        <w:pStyle w:val="Heading1"/>
        <w:numPr>
          <w:ilvl w:val="2"/>
          <w:numId w:val="91"/>
        </w:numPr>
        <w:tabs>
          <w:tab w:val="left" w:pos="1305"/>
        </w:tabs>
        <w:spacing w:before="209"/>
      </w:pPr>
      <w:r>
        <w:t>Hume’s</w:t>
      </w:r>
      <w:r>
        <w:rPr>
          <w:spacing w:val="-6"/>
        </w:rPr>
        <w:t xml:space="preserve"> </w:t>
      </w:r>
      <w:r>
        <w:t>first</w:t>
      </w:r>
      <w:r>
        <w:rPr>
          <w:spacing w:val="-5"/>
        </w:rPr>
        <w:t xml:space="preserve"> </w:t>
      </w:r>
      <w:r>
        <w:rPr>
          <w:spacing w:val="-2"/>
        </w:rPr>
        <w:t>argument</w:t>
      </w:r>
    </w:p>
    <w:p w14:paraId="7E001DFC" w14:textId="77777777" w:rsidR="009A58DB" w:rsidRDefault="00000000">
      <w:pPr>
        <w:pStyle w:val="BodyText"/>
        <w:spacing w:before="140" w:line="249" w:lineRule="auto"/>
        <w:ind w:right="361"/>
      </w:pPr>
      <w:r>
        <w:t>Hume gives two arguments for his contention that selves are composed of the mental contents that occupy them. Here is the first:</w:t>
      </w:r>
    </w:p>
    <w:p w14:paraId="7E001DFD" w14:textId="77777777" w:rsidR="009A58DB" w:rsidRDefault="00000000">
      <w:pPr>
        <w:pStyle w:val="BodyText"/>
        <w:spacing w:before="242" w:line="249" w:lineRule="auto"/>
        <w:ind w:left="720" w:right="359"/>
        <w:rPr>
          <w:position w:val="21"/>
        </w:rPr>
      </w:pPr>
      <w:r>
        <w:t xml:space="preserve">“For my part, when I enter most intimately into what I call </w:t>
      </w:r>
      <w:r>
        <w:rPr>
          <w:i/>
        </w:rPr>
        <w:t xml:space="preserve">myself, </w:t>
      </w:r>
      <w:r>
        <w:t>I</w:t>
      </w:r>
      <w:r>
        <w:rPr>
          <w:spacing w:val="40"/>
        </w:rPr>
        <w:t xml:space="preserve"> </w:t>
      </w:r>
      <w:r>
        <w:t xml:space="preserve">always stumble on some particular perception or other, of heat or cold, light or shade, love or hatred, pain or pleasure. I can never catch </w:t>
      </w:r>
      <w:r>
        <w:rPr>
          <w:i/>
        </w:rPr>
        <w:t>myself</w:t>
      </w:r>
      <w:r>
        <w:rPr>
          <w:i/>
          <w:spacing w:val="-3"/>
        </w:rPr>
        <w:t xml:space="preserve"> </w:t>
      </w:r>
      <w:r>
        <w:t xml:space="preserve">at any time without a perception, and never can observe anything but the </w:t>
      </w:r>
      <w:r>
        <w:rPr>
          <w:spacing w:val="-2"/>
        </w:rPr>
        <w:t>perception.</w:t>
      </w:r>
      <w:bookmarkStart w:id="413" w:name="_bookmark413"/>
      <w:bookmarkEnd w:id="413"/>
      <w:r>
        <w:rPr>
          <w:spacing w:val="-2"/>
        </w:rPr>
        <w:t>”</w:t>
      </w:r>
      <w:r>
        <w:rPr>
          <w:color w:val="0562C1"/>
          <w:spacing w:val="-2"/>
          <w:position w:val="21"/>
          <w:u w:val="single" w:color="0562C1"/>
        </w:rPr>
        <w:t>[297]</w:t>
      </w:r>
    </w:p>
    <w:p w14:paraId="7E001DFE" w14:textId="77777777" w:rsidR="009A58DB" w:rsidRDefault="009A58DB">
      <w:pPr>
        <w:pStyle w:val="BodyText"/>
        <w:spacing w:line="249" w:lineRule="auto"/>
        <w:rPr>
          <w:position w:val="21"/>
        </w:rPr>
        <w:sectPr w:rsidR="009A58DB">
          <w:pgSz w:w="12240" w:h="15840"/>
          <w:pgMar w:top="1380" w:right="1080" w:bottom="280" w:left="1080" w:header="720" w:footer="720" w:gutter="0"/>
          <w:cols w:space="720"/>
        </w:sectPr>
      </w:pPr>
    </w:p>
    <w:p w14:paraId="7E001DFF" w14:textId="77777777" w:rsidR="009A58DB" w:rsidRDefault="00000000">
      <w:pPr>
        <w:pStyle w:val="BodyText"/>
        <w:spacing w:before="65" w:line="249" w:lineRule="auto"/>
        <w:ind w:right="358" w:firstLine="360"/>
      </w:pPr>
      <w:r>
        <w:lastRenderedPageBreak/>
        <w:t xml:space="preserve">There are two ways to interpret this. On the one hand, Hume could be saying that selves don’t exist. On the other, he could be saying that selves are </w:t>
      </w:r>
      <w:r>
        <w:rPr>
          <w:i/>
        </w:rPr>
        <w:t xml:space="preserve">constituted </w:t>
      </w:r>
      <w:r>
        <w:t>by the thoughts, feelings, etc., that we describe them as “having.”</w:t>
      </w:r>
    </w:p>
    <w:p w14:paraId="7E001E00" w14:textId="77777777" w:rsidR="009A58DB" w:rsidRDefault="00000000">
      <w:pPr>
        <w:pStyle w:val="BodyText"/>
        <w:spacing w:before="3" w:line="249" w:lineRule="auto"/>
        <w:ind w:right="361" w:firstLine="360"/>
      </w:pPr>
      <w:r>
        <w:t>The right interpretation is the second one. Notice how frequently the word “I” occurs in his argument. He obviously thinks that it has a referent, and it’s a</w:t>
      </w:r>
      <w:r>
        <w:rPr>
          <w:spacing w:val="-3"/>
        </w:rPr>
        <w:t xml:space="preserve"> </w:t>
      </w:r>
      <w:r>
        <w:t>truism</w:t>
      </w:r>
      <w:r>
        <w:rPr>
          <w:spacing w:val="-3"/>
        </w:rPr>
        <w:t xml:space="preserve"> </w:t>
      </w:r>
      <w:r>
        <w:t>that</w:t>
      </w:r>
      <w:r>
        <w:rPr>
          <w:spacing w:val="-3"/>
        </w:rPr>
        <w:t xml:space="preserve"> </w:t>
      </w:r>
      <w:r>
        <w:t>this</w:t>
      </w:r>
      <w:r>
        <w:rPr>
          <w:spacing w:val="-3"/>
        </w:rPr>
        <w:t xml:space="preserve"> </w:t>
      </w:r>
      <w:r>
        <w:t>referent</w:t>
      </w:r>
      <w:r>
        <w:rPr>
          <w:spacing w:val="-3"/>
        </w:rPr>
        <w:t xml:space="preserve"> </w:t>
      </w:r>
      <w:r>
        <w:t>is</w:t>
      </w:r>
      <w:r>
        <w:rPr>
          <w:spacing w:val="-3"/>
        </w:rPr>
        <w:t xml:space="preserve"> </w:t>
      </w:r>
      <w:r>
        <w:t>a</w:t>
      </w:r>
      <w:r>
        <w:rPr>
          <w:spacing w:val="-3"/>
        </w:rPr>
        <w:t xml:space="preserve"> </w:t>
      </w:r>
      <w:r>
        <w:t>person</w:t>
      </w:r>
      <w:r>
        <w:rPr>
          <w:spacing w:val="-2"/>
        </w:rPr>
        <w:t xml:space="preserve"> </w:t>
      </w:r>
      <w:r>
        <w:t>and,</w:t>
      </w:r>
      <w:r>
        <w:rPr>
          <w:spacing w:val="-2"/>
        </w:rPr>
        <w:t xml:space="preserve"> </w:t>
      </w:r>
      <w:r>
        <w:t>therefore,</w:t>
      </w:r>
      <w:r>
        <w:rPr>
          <w:spacing w:val="-2"/>
        </w:rPr>
        <w:t xml:space="preserve"> </w:t>
      </w:r>
      <w:r>
        <w:t>a</w:t>
      </w:r>
      <w:r>
        <w:rPr>
          <w:spacing w:val="-3"/>
        </w:rPr>
        <w:t xml:space="preserve"> </w:t>
      </w:r>
      <w:r>
        <w:t>self.</w:t>
      </w:r>
      <w:r>
        <w:rPr>
          <w:spacing w:val="-2"/>
        </w:rPr>
        <w:t xml:space="preserve"> </w:t>
      </w:r>
      <w:r>
        <w:t>Also,</w:t>
      </w:r>
      <w:r>
        <w:rPr>
          <w:spacing w:val="-2"/>
        </w:rPr>
        <w:t xml:space="preserve"> </w:t>
      </w:r>
      <w:r>
        <w:t>in</w:t>
      </w:r>
      <w:r>
        <w:rPr>
          <w:spacing w:val="-2"/>
        </w:rPr>
        <w:t xml:space="preserve"> </w:t>
      </w:r>
      <w:r>
        <w:t>other</w:t>
      </w:r>
      <w:r>
        <w:rPr>
          <w:spacing w:val="-3"/>
        </w:rPr>
        <w:t xml:space="preserve"> </w:t>
      </w:r>
      <w:r>
        <w:t xml:space="preserve">parts of the Treatise, he talks at length about the relation that two different mental contents must bear to each other to belong to the same mind or self. Thus, Hume’s position is that, although there are selves, selves are no more distinct from the mental events that occupy them than a swarm of wasps exists independently of the wasps that compose it. For an event to </w:t>
      </w:r>
      <w:r>
        <w:rPr>
          <w:i/>
        </w:rPr>
        <w:t>occupy</w:t>
      </w:r>
      <w:r>
        <w:rPr>
          <w:i/>
          <w:spacing w:val="-3"/>
        </w:rPr>
        <w:t xml:space="preserve"> </w:t>
      </w:r>
      <w:r>
        <w:t xml:space="preserve">a mind is for it to </w:t>
      </w:r>
      <w:r>
        <w:rPr>
          <w:i/>
        </w:rPr>
        <w:t xml:space="preserve">constitute </w:t>
      </w:r>
      <w:r>
        <w:t>it.</w:t>
      </w:r>
    </w:p>
    <w:p w14:paraId="7E001E01" w14:textId="77777777" w:rsidR="009A58DB" w:rsidRDefault="00000000">
      <w:pPr>
        <w:pStyle w:val="BodyText"/>
        <w:spacing w:before="11" w:line="249" w:lineRule="auto"/>
        <w:ind w:right="358" w:firstLine="360"/>
      </w:pPr>
      <w:r>
        <w:t>The just-quoted argument of Hume’s thesis, it will be noticed, is</w:t>
      </w:r>
      <w:r>
        <w:rPr>
          <w:spacing w:val="40"/>
        </w:rPr>
        <w:t xml:space="preserve"> </w:t>
      </w:r>
      <w:r>
        <w:rPr>
          <w:i/>
        </w:rPr>
        <w:t>empirical.</w:t>
      </w:r>
      <w:r>
        <w:rPr>
          <w:i/>
          <w:spacing w:val="-3"/>
        </w:rPr>
        <w:t xml:space="preserve"> </w:t>
      </w:r>
      <w:r>
        <w:t>Hume is arguing on observational, as opposed to strictly logical or conceptual, grounds that there isn’t anything that underlies his various thoughts. When he looks inward, he finds thoughts and nothing else; in particular, he doesn’t find a non-thought that “supports” these various thoughts. This fact is important, as we’ll now see.</w:t>
      </w:r>
    </w:p>
    <w:p w14:paraId="7E001E02" w14:textId="77777777" w:rsidR="009A58DB" w:rsidRDefault="00000000">
      <w:pPr>
        <w:pStyle w:val="Heading1"/>
        <w:numPr>
          <w:ilvl w:val="2"/>
          <w:numId w:val="91"/>
        </w:numPr>
        <w:tabs>
          <w:tab w:val="left" w:pos="1305"/>
        </w:tabs>
        <w:spacing w:before="196"/>
      </w:pPr>
      <w:r>
        <w:t>Problems</w:t>
      </w:r>
      <w:r>
        <w:rPr>
          <w:spacing w:val="-6"/>
        </w:rPr>
        <w:t xml:space="preserve"> </w:t>
      </w:r>
      <w:r>
        <w:t>with</w:t>
      </w:r>
      <w:r>
        <w:rPr>
          <w:spacing w:val="-6"/>
        </w:rPr>
        <w:t xml:space="preserve"> </w:t>
      </w:r>
      <w:r>
        <w:t>Hume’s</w:t>
      </w:r>
      <w:r>
        <w:rPr>
          <w:spacing w:val="-5"/>
        </w:rPr>
        <w:t xml:space="preserve"> </w:t>
      </w:r>
      <w:r>
        <w:rPr>
          <w:spacing w:val="-2"/>
        </w:rPr>
        <w:t>argument</w:t>
      </w:r>
    </w:p>
    <w:p w14:paraId="7E001E03" w14:textId="77777777" w:rsidR="009A58DB" w:rsidRDefault="00000000">
      <w:pPr>
        <w:pStyle w:val="BodyText"/>
        <w:spacing w:before="139" w:line="249" w:lineRule="auto"/>
        <w:ind w:right="361"/>
      </w:pPr>
      <w:r>
        <w:t>Given only that we can’t observe something, it doesn’t follow that it doesn’t exist. There are many unobservable entities (e.g., electrons). If Freud (1915) is right, there are unobservable (unintrospectible) mental entities (e.g., unconscious urges). Saying that selves don’t exist since we can’t introspect them is like saying that electrons don’t exist since we can’t see them.</w:t>
      </w:r>
    </w:p>
    <w:p w14:paraId="7E001E04" w14:textId="77777777" w:rsidR="009A58DB" w:rsidRDefault="00000000">
      <w:pPr>
        <w:pStyle w:val="BodyText"/>
        <w:spacing w:before="6" w:line="249" w:lineRule="auto"/>
        <w:ind w:right="363" w:firstLine="360"/>
      </w:pPr>
      <w:r>
        <w:t xml:space="preserve">A related possibility that Hume is ignoring is that minds are </w:t>
      </w:r>
      <w:r>
        <w:rPr>
          <w:i/>
        </w:rPr>
        <w:t xml:space="preserve">structures </w:t>
      </w:r>
      <w:r>
        <w:t xml:space="preserve">of the kind described earlier. (This oversight is probably deliberate, as we’ll see in a moment.) He’s also ignoring the correlative possibility that specific mental occurrences (e.g., images, tickles) are </w:t>
      </w:r>
      <w:r>
        <w:rPr>
          <w:i/>
        </w:rPr>
        <w:t xml:space="preserve">products </w:t>
      </w:r>
      <w:r>
        <w:t xml:space="preserve">of minds, and are not themselves </w:t>
      </w:r>
      <w:r>
        <w:rPr>
          <w:i/>
        </w:rPr>
        <w:t xml:space="preserve">constitutive </w:t>
      </w:r>
      <w:r>
        <w:t>of them.</w:t>
      </w:r>
    </w:p>
    <w:p w14:paraId="7E001E05" w14:textId="77777777" w:rsidR="009A58DB" w:rsidRDefault="00000000">
      <w:pPr>
        <w:pStyle w:val="BodyText"/>
        <w:spacing w:before="6" w:line="249" w:lineRule="auto"/>
        <w:ind w:right="361" w:firstLine="360"/>
      </w:pPr>
      <w:r>
        <w:t>In ignoring these possibilities, Hume is stacking the deck in his favor. We are pretheoretically inclined to see minds as being to specific tickles, itches etc., what car factories are to cars—as being the things that give rise to them and, therefore, aren’t constituted by them. In any case, we’re pretheoretically much</w:t>
      </w:r>
      <w:r>
        <w:rPr>
          <w:spacing w:val="49"/>
        </w:rPr>
        <w:t xml:space="preserve"> </w:t>
      </w:r>
      <w:r>
        <w:t>more</w:t>
      </w:r>
      <w:r>
        <w:rPr>
          <w:spacing w:val="50"/>
        </w:rPr>
        <w:t xml:space="preserve"> </w:t>
      </w:r>
      <w:r>
        <w:t>inclined</w:t>
      </w:r>
      <w:r>
        <w:rPr>
          <w:spacing w:val="50"/>
        </w:rPr>
        <w:t xml:space="preserve"> </w:t>
      </w:r>
      <w:r>
        <w:t>to</w:t>
      </w:r>
      <w:r>
        <w:rPr>
          <w:spacing w:val="50"/>
        </w:rPr>
        <w:t xml:space="preserve"> </w:t>
      </w:r>
      <w:r>
        <w:t>see</w:t>
      </w:r>
      <w:r>
        <w:rPr>
          <w:spacing w:val="50"/>
        </w:rPr>
        <w:t xml:space="preserve"> </w:t>
      </w:r>
      <w:r>
        <w:t>minds</w:t>
      </w:r>
      <w:r>
        <w:rPr>
          <w:spacing w:val="50"/>
        </w:rPr>
        <w:t xml:space="preserve"> </w:t>
      </w:r>
      <w:r>
        <w:t>in</w:t>
      </w:r>
      <w:r>
        <w:rPr>
          <w:spacing w:val="50"/>
        </w:rPr>
        <w:t xml:space="preserve"> </w:t>
      </w:r>
      <w:r>
        <w:t>this</w:t>
      </w:r>
      <w:r>
        <w:rPr>
          <w:spacing w:val="49"/>
        </w:rPr>
        <w:t xml:space="preserve"> </w:t>
      </w:r>
      <w:r>
        <w:t>way</w:t>
      </w:r>
      <w:r>
        <w:rPr>
          <w:spacing w:val="50"/>
        </w:rPr>
        <w:t xml:space="preserve"> </w:t>
      </w:r>
      <w:r>
        <w:t>than</w:t>
      </w:r>
      <w:r>
        <w:rPr>
          <w:spacing w:val="50"/>
        </w:rPr>
        <w:t xml:space="preserve"> </w:t>
      </w:r>
      <w:r>
        <w:t>we</w:t>
      </w:r>
      <w:r>
        <w:rPr>
          <w:spacing w:val="50"/>
        </w:rPr>
        <w:t xml:space="preserve"> </w:t>
      </w:r>
      <w:r>
        <w:t>are</w:t>
      </w:r>
      <w:r>
        <w:rPr>
          <w:spacing w:val="50"/>
        </w:rPr>
        <w:t xml:space="preserve"> </w:t>
      </w:r>
      <w:r>
        <w:t>to</w:t>
      </w:r>
      <w:r>
        <w:rPr>
          <w:spacing w:val="50"/>
        </w:rPr>
        <w:t xml:space="preserve"> </w:t>
      </w:r>
      <w:r>
        <w:t>see</w:t>
      </w:r>
      <w:r>
        <w:rPr>
          <w:spacing w:val="50"/>
        </w:rPr>
        <w:t xml:space="preserve"> </w:t>
      </w:r>
      <w:r>
        <w:t>them</w:t>
      </w:r>
      <w:r>
        <w:rPr>
          <w:spacing w:val="50"/>
        </w:rPr>
        <w:t xml:space="preserve"> </w:t>
      </w:r>
      <w:r>
        <w:rPr>
          <w:spacing w:val="-5"/>
        </w:rPr>
        <w:t>in</w:t>
      </w:r>
    </w:p>
    <w:p w14:paraId="7E001E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07" w14:textId="77777777" w:rsidR="009A58DB" w:rsidRDefault="00000000">
      <w:pPr>
        <w:pStyle w:val="BodyText"/>
        <w:spacing w:before="60" w:line="249" w:lineRule="auto"/>
        <w:ind w:right="360"/>
      </w:pPr>
      <w:r>
        <w:lastRenderedPageBreak/>
        <w:t>Hume’s way, viz. as sequences of mental occurrences, none of which has any moorings in any structure and each of which, therefore, just happens. And in simply dismissing that possibility out of hand, Hume is question-beggingly assuming the falsehood of what is probably the most plausible rival to his own view. In any case, supposing, as Hume does, that such structures aren’t known through introspection, it isn’t necessary to conclude that they don’t exist;</w:t>
      </w:r>
      <w:r>
        <w:rPr>
          <w:spacing w:val="-2"/>
        </w:rPr>
        <w:t xml:space="preserve"> </w:t>
      </w:r>
      <w:r>
        <w:t>for</w:t>
      </w:r>
      <w:r>
        <w:rPr>
          <w:spacing w:val="-2"/>
        </w:rPr>
        <w:t xml:space="preserve"> </w:t>
      </w:r>
      <w:r>
        <w:t>it</w:t>
      </w:r>
      <w:r>
        <w:rPr>
          <w:spacing w:val="-2"/>
        </w:rPr>
        <w:t xml:space="preserve"> </w:t>
      </w:r>
      <w:r>
        <w:t>would</w:t>
      </w:r>
      <w:r>
        <w:rPr>
          <w:spacing w:val="-2"/>
        </w:rPr>
        <w:t xml:space="preserve"> </w:t>
      </w:r>
      <w:r>
        <w:t>be</w:t>
      </w:r>
      <w:r>
        <w:rPr>
          <w:spacing w:val="-2"/>
        </w:rPr>
        <w:t xml:space="preserve"> </w:t>
      </w:r>
      <w:r>
        <w:t>equally</w:t>
      </w:r>
      <w:r>
        <w:rPr>
          <w:spacing w:val="-2"/>
        </w:rPr>
        <w:t xml:space="preserve"> </w:t>
      </w:r>
      <w:r>
        <w:t>reasonable,</w:t>
      </w:r>
      <w:r>
        <w:rPr>
          <w:spacing w:val="-2"/>
        </w:rPr>
        <w:t xml:space="preserve"> </w:t>
      </w:r>
      <w:r>
        <w:t>if</w:t>
      </w:r>
      <w:r>
        <w:rPr>
          <w:spacing w:val="-2"/>
        </w:rPr>
        <w:t xml:space="preserve"> </w:t>
      </w:r>
      <w:r>
        <w:t>not</w:t>
      </w:r>
      <w:r>
        <w:rPr>
          <w:spacing w:val="-2"/>
        </w:rPr>
        <w:t xml:space="preserve"> </w:t>
      </w:r>
      <w:r>
        <w:t>considerably</w:t>
      </w:r>
      <w:r>
        <w:rPr>
          <w:spacing w:val="-2"/>
        </w:rPr>
        <w:t xml:space="preserve"> </w:t>
      </w:r>
      <w:r>
        <w:t>more</w:t>
      </w:r>
      <w:r>
        <w:rPr>
          <w:spacing w:val="-2"/>
        </w:rPr>
        <w:t xml:space="preserve"> </w:t>
      </w:r>
      <w:r>
        <w:t>reasonable, to conclude that introspection is a limited medium.</w:t>
      </w:r>
    </w:p>
    <w:p w14:paraId="7E001E08" w14:textId="77777777" w:rsidR="009A58DB" w:rsidRDefault="00000000">
      <w:pPr>
        <w:pStyle w:val="Heading1"/>
        <w:numPr>
          <w:ilvl w:val="2"/>
          <w:numId w:val="91"/>
        </w:numPr>
        <w:tabs>
          <w:tab w:val="left" w:pos="1305"/>
        </w:tabs>
        <w:spacing w:before="202" w:line="244" w:lineRule="auto"/>
        <w:ind w:left="360" w:right="948" w:firstLine="0"/>
      </w:pPr>
      <w:r>
        <w:t>Why</w:t>
      </w:r>
      <w:r>
        <w:rPr>
          <w:spacing w:val="-6"/>
        </w:rPr>
        <w:t xml:space="preserve"> </w:t>
      </w:r>
      <w:r>
        <w:t>does</w:t>
      </w:r>
      <w:r>
        <w:rPr>
          <w:spacing w:val="-7"/>
        </w:rPr>
        <w:t xml:space="preserve"> </w:t>
      </w:r>
      <w:r>
        <w:t>Hume</w:t>
      </w:r>
      <w:r>
        <w:rPr>
          <w:spacing w:val="-7"/>
        </w:rPr>
        <w:t xml:space="preserve"> </w:t>
      </w:r>
      <w:r>
        <w:t>deny</w:t>
      </w:r>
      <w:r>
        <w:rPr>
          <w:spacing w:val="-6"/>
        </w:rPr>
        <w:t xml:space="preserve"> </w:t>
      </w:r>
      <w:r>
        <w:t>that</w:t>
      </w:r>
      <w:r>
        <w:rPr>
          <w:spacing w:val="-7"/>
        </w:rPr>
        <w:t xml:space="preserve"> </w:t>
      </w:r>
      <w:r>
        <w:t>there</w:t>
      </w:r>
      <w:r>
        <w:rPr>
          <w:spacing w:val="-7"/>
        </w:rPr>
        <w:t xml:space="preserve"> </w:t>
      </w:r>
      <w:r>
        <w:t>are</w:t>
      </w:r>
      <w:r>
        <w:rPr>
          <w:spacing w:val="-7"/>
        </w:rPr>
        <w:t xml:space="preserve"> </w:t>
      </w:r>
      <w:r>
        <w:t xml:space="preserve">mental </w:t>
      </w:r>
      <w:r>
        <w:rPr>
          <w:spacing w:val="-2"/>
        </w:rPr>
        <w:t>structures?</w:t>
      </w:r>
    </w:p>
    <w:p w14:paraId="7E001E09" w14:textId="77777777" w:rsidR="009A58DB" w:rsidRDefault="00000000">
      <w:pPr>
        <w:pStyle w:val="BodyText"/>
        <w:spacing w:before="132" w:line="249" w:lineRule="auto"/>
        <w:ind w:right="360"/>
      </w:pPr>
      <w:r>
        <w:t>Hume is a hardcore empiricist. You know it only if you (i) observe it or (ii) observe direct evidence for it. (x is “direct” evidence of y if, given no inference</w:t>
      </w:r>
      <w:r>
        <w:rPr>
          <w:spacing w:val="-1"/>
        </w:rPr>
        <w:t xml:space="preserve"> </w:t>
      </w:r>
      <w:r>
        <w:t>rules</w:t>
      </w:r>
      <w:r>
        <w:rPr>
          <w:spacing w:val="-1"/>
        </w:rPr>
        <w:t xml:space="preserve"> </w:t>
      </w:r>
      <w:r>
        <w:t>whose</w:t>
      </w:r>
      <w:r>
        <w:rPr>
          <w:spacing w:val="-1"/>
        </w:rPr>
        <w:t xml:space="preserve"> </w:t>
      </w:r>
      <w:r>
        <w:t>legitimacy</w:t>
      </w:r>
      <w:r>
        <w:rPr>
          <w:spacing w:val="-1"/>
        </w:rPr>
        <w:t xml:space="preserve"> </w:t>
      </w:r>
      <w:r>
        <w:t>cannot</w:t>
      </w:r>
      <w:r>
        <w:rPr>
          <w:spacing w:val="-1"/>
        </w:rPr>
        <w:t xml:space="preserve"> </w:t>
      </w:r>
      <w:r>
        <w:t>be</w:t>
      </w:r>
      <w:r>
        <w:rPr>
          <w:spacing w:val="-1"/>
        </w:rPr>
        <w:t xml:space="preserve"> </w:t>
      </w:r>
      <w:r>
        <w:t>established</w:t>
      </w:r>
      <w:r>
        <w:rPr>
          <w:spacing w:val="-1"/>
        </w:rPr>
        <w:t xml:space="preserve"> </w:t>
      </w:r>
      <w:r>
        <w:t>strictly</w:t>
      </w:r>
      <w:r>
        <w:rPr>
          <w:spacing w:val="-1"/>
        </w:rPr>
        <w:t xml:space="preserve"> </w:t>
      </w:r>
      <w:r>
        <w:t>on</w:t>
      </w:r>
      <w:r>
        <w:rPr>
          <w:spacing w:val="-1"/>
        </w:rPr>
        <w:t xml:space="preserve"> </w:t>
      </w:r>
      <w:r>
        <w:t>the</w:t>
      </w:r>
      <w:r>
        <w:rPr>
          <w:spacing w:val="-1"/>
        </w:rPr>
        <w:t xml:space="preserve"> </w:t>
      </w:r>
      <w:r>
        <w:t>basis</w:t>
      </w:r>
      <w:r>
        <w:rPr>
          <w:spacing w:val="-1"/>
        </w:rPr>
        <w:t xml:space="preserve"> </w:t>
      </w:r>
      <w:r>
        <w:t>of observation, y’s existence can be inferred from x’s.) Hume believes that mental structures cannot be known in either of these two ways. (He’s right.) So they don’t exist as far as he’s concerned.</w:t>
      </w:r>
    </w:p>
    <w:p w14:paraId="7E001E0A" w14:textId="77777777" w:rsidR="009A58DB" w:rsidRDefault="00000000">
      <w:pPr>
        <w:pStyle w:val="BodyText"/>
        <w:spacing w:before="8" w:line="249" w:lineRule="auto"/>
        <w:ind w:right="358" w:firstLine="360"/>
      </w:pPr>
      <w:r>
        <w:t xml:space="preserve">Hume doesn’t believe in structures of </w:t>
      </w:r>
      <w:r>
        <w:rPr>
          <w:i/>
        </w:rPr>
        <w:t xml:space="preserve">any </w:t>
      </w:r>
      <w:r>
        <w:t xml:space="preserve">kind. A structure is something that underlies events and guides them. Hume doesn’t believe that anything guides anything. He doesn’t believe that anything </w:t>
      </w:r>
      <w:r>
        <w:rPr>
          <w:i/>
        </w:rPr>
        <w:t xml:space="preserve">makes </w:t>
      </w:r>
      <w:r>
        <w:t xml:space="preserve">anything happen or otherwise </w:t>
      </w:r>
      <w:r>
        <w:rPr>
          <w:i/>
        </w:rPr>
        <w:t xml:space="preserve">influences </w:t>
      </w:r>
      <w:r>
        <w:t>anything. In his view, words like “force,” “power,” “coercion,” “guide,” and “regulate” are meaningless. He holds this because, so he believes, forces cannot be observed and neither can direct evidence of them. (Hume’s views on causality are the subject of Chapter 17.)</w:t>
      </w:r>
    </w:p>
    <w:p w14:paraId="7E001E0B" w14:textId="77777777" w:rsidR="009A58DB" w:rsidRDefault="00000000">
      <w:pPr>
        <w:pStyle w:val="BodyText"/>
        <w:spacing w:before="8" w:line="249" w:lineRule="auto"/>
        <w:ind w:right="358" w:firstLine="360"/>
      </w:pPr>
      <w:r>
        <w:t xml:space="preserve">Thus, Hume’s empiricism blocks him from granting the existence of mental structures, given that such structures can’t be known (para)perceptually. Second, given Hume’s very reasonable view that one can’t observe forces or any direct evidence of them, his empiricism prohibits him from granting the existence of structures of </w:t>
      </w:r>
      <w:r>
        <w:rPr>
          <w:i/>
        </w:rPr>
        <w:t xml:space="preserve">any </w:t>
      </w:r>
      <w:r>
        <w:t xml:space="preserve">kind. Thus, Hume’s empiricism makes it doubly impossible for him to grant that there is anything to one’s mind other than fleeting, conscious events. (In Chapter 18, we’ll discuss that, contrary to what Hume holds, forces can sometimes be directly </w:t>
      </w:r>
      <w:r>
        <w:rPr>
          <w:spacing w:val="-2"/>
        </w:rPr>
        <w:t>observed.)</w:t>
      </w:r>
    </w:p>
    <w:p w14:paraId="7E001E0C" w14:textId="77777777" w:rsidR="009A58DB" w:rsidRDefault="00000000">
      <w:pPr>
        <w:pStyle w:val="Heading1"/>
        <w:numPr>
          <w:ilvl w:val="2"/>
          <w:numId w:val="91"/>
        </w:numPr>
        <w:tabs>
          <w:tab w:val="left" w:pos="1305"/>
        </w:tabs>
        <w:spacing w:before="214"/>
      </w:pPr>
      <w:r>
        <w:t>Problems</w:t>
      </w:r>
      <w:r>
        <w:rPr>
          <w:spacing w:val="-8"/>
        </w:rPr>
        <w:t xml:space="preserve"> </w:t>
      </w:r>
      <w:r>
        <w:t>with</w:t>
      </w:r>
      <w:r>
        <w:rPr>
          <w:spacing w:val="-6"/>
        </w:rPr>
        <w:t xml:space="preserve"> </w:t>
      </w:r>
      <w:r>
        <w:t>Hume’s</w:t>
      </w:r>
      <w:r>
        <w:rPr>
          <w:spacing w:val="-6"/>
        </w:rPr>
        <w:t xml:space="preserve"> </w:t>
      </w:r>
      <w:r>
        <w:t>argument</w:t>
      </w:r>
      <w:r>
        <w:rPr>
          <w:spacing w:val="-5"/>
        </w:rPr>
        <w:t xml:space="preserve"> </w:t>
      </w:r>
      <w:r>
        <w:rPr>
          <w:spacing w:val="-2"/>
        </w:rPr>
        <w:t>(continued)</w:t>
      </w:r>
    </w:p>
    <w:p w14:paraId="7E001E0D" w14:textId="77777777" w:rsidR="009A58DB" w:rsidRDefault="009A58DB">
      <w:pPr>
        <w:pStyle w:val="Heading1"/>
        <w:sectPr w:rsidR="009A58DB">
          <w:pgSz w:w="12240" w:h="15840"/>
          <w:pgMar w:top="1380" w:right="1080" w:bottom="280" w:left="1080" w:header="720" w:footer="720" w:gutter="0"/>
          <w:cols w:space="720"/>
        </w:sectPr>
      </w:pPr>
    </w:p>
    <w:p w14:paraId="7E001E0E" w14:textId="77777777" w:rsidR="009A58DB" w:rsidRDefault="00000000">
      <w:pPr>
        <w:pStyle w:val="BodyText"/>
        <w:spacing w:before="65" w:line="249" w:lineRule="auto"/>
        <w:ind w:right="360"/>
      </w:pPr>
      <w:r>
        <w:lastRenderedPageBreak/>
        <w:t>In an attempt to show that there isn’t anything to one’s mind other than the various specific mental occurrences that it houses. Hume says that, when he looks</w:t>
      </w:r>
      <w:r>
        <w:rPr>
          <w:spacing w:val="-3"/>
        </w:rPr>
        <w:t xml:space="preserve"> </w:t>
      </w:r>
      <w:r>
        <w:t>inward,</w:t>
      </w:r>
      <w:r>
        <w:rPr>
          <w:spacing w:val="-2"/>
        </w:rPr>
        <w:t xml:space="preserve"> </w:t>
      </w:r>
      <w:r>
        <w:t>he</w:t>
      </w:r>
      <w:r>
        <w:rPr>
          <w:spacing w:val="-3"/>
        </w:rPr>
        <w:t xml:space="preserve"> </w:t>
      </w:r>
      <w:r>
        <w:t>doesn’t</w:t>
      </w:r>
      <w:r>
        <w:rPr>
          <w:spacing w:val="-3"/>
        </w:rPr>
        <w:t xml:space="preserve"> </w:t>
      </w:r>
      <w:r>
        <w:t>find</w:t>
      </w:r>
      <w:r>
        <w:rPr>
          <w:spacing w:val="-2"/>
        </w:rPr>
        <w:t xml:space="preserve"> </w:t>
      </w:r>
      <w:r>
        <w:t>an</w:t>
      </w:r>
      <w:r>
        <w:rPr>
          <w:spacing w:val="-2"/>
        </w:rPr>
        <w:t xml:space="preserve"> </w:t>
      </w:r>
      <w:r>
        <w:t>inner</w:t>
      </w:r>
      <w:r>
        <w:rPr>
          <w:spacing w:val="-3"/>
        </w:rPr>
        <w:t xml:space="preserve"> </w:t>
      </w:r>
      <w:r>
        <w:t>flame;</w:t>
      </w:r>
      <w:r>
        <w:rPr>
          <w:spacing w:val="-3"/>
        </w:rPr>
        <w:t xml:space="preserve"> </w:t>
      </w:r>
      <w:r>
        <w:t>all</w:t>
      </w:r>
      <w:r>
        <w:rPr>
          <w:spacing w:val="-3"/>
        </w:rPr>
        <w:t xml:space="preserve"> </w:t>
      </w:r>
      <w:r>
        <w:t>he</w:t>
      </w:r>
      <w:r>
        <w:rPr>
          <w:spacing w:val="-3"/>
        </w:rPr>
        <w:t xml:space="preserve"> </w:t>
      </w:r>
      <w:r>
        <w:t>finds,</w:t>
      </w:r>
      <w:r>
        <w:rPr>
          <w:spacing w:val="-2"/>
        </w:rPr>
        <w:t xml:space="preserve"> </w:t>
      </w:r>
      <w:r>
        <w:t>he</w:t>
      </w:r>
      <w:r>
        <w:rPr>
          <w:spacing w:val="-3"/>
        </w:rPr>
        <w:t xml:space="preserve"> </w:t>
      </w:r>
      <w:r>
        <w:t>says,</w:t>
      </w:r>
      <w:r>
        <w:rPr>
          <w:spacing w:val="-2"/>
        </w:rPr>
        <w:t xml:space="preserve"> </w:t>
      </w:r>
      <w:r>
        <w:t>are</w:t>
      </w:r>
      <w:r>
        <w:rPr>
          <w:spacing w:val="-3"/>
        </w:rPr>
        <w:t xml:space="preserve"> </w:t>
      </w:r>
      <w:r>
        <w:t>specific images, tickles, etc.</w:t>
      </w:r>
    </w:p>
    <w:p w14:paraId="7E001E0F" w14:textId="77777777" w:rsidR="009A58DB" w:rsidRDefault="00000000">
      <w:pPr>
        <w:pStyle w:val="BodyText"/>
        <w:spacing w:before="5" w:line="249" w:lineRule="auto"/>
        <w:ind w:right="359" w:firstLine="360"/>
      </w:pPr>
      <w:r>
        <w:t xml:space="preserve">But unless this inner flame is </w:t>
      </w:r>
      <w:r>
        <w:rPr>
          <w:i/>
        </w:rPr>
        <w:t xml:space="preserve">itself </w:t>
      </w:r>
      <w:r>
        <w:t>a fleeting mental occurrence—unless it’s the sort of thing that can be disclosed to one in the form of an introspectible image or sensation—nothing significant follows from the fact that, when he introspects, he doesn’t find this inner flame. So for Hume’s argument to go through, it must be assumed that the self, if existent, is to be known to one in the same way as tickles and itches. It must be assumed, in other words, that the self is a fleeting conscious occurrence. But that’s the very thing Hume is trying to show; and, were Hume to assume it, his argument would be viciously circular.</w:t>
      </w:r>
    </w:p>
    <w:p w14:paraId="7E001E10" w14:textId="77777777" w:rsidR="009A58DB" w:rsidRDefault="00000000">
      <w:pPr>
        <w:pStyle w:val="Heading1"/>
        <w:numPr>
          <w:ilvl w:val="2"/>
          <w:numId w:val="91"/>
        </w:numPr>
        <w:tabs>
          <w:tab w:val="left" w:pos="990"/>
          <w:tab w:val="left" w:pos="1305"/>
        </w:tabs>
        <w:spacing w:before="199" w:line="244" w:lineRule="auto"/>
        <w:ind w:left="990" w:right="1648" w:hanging="630"/>
      </w:pPr>
      <w:r>
        <w:t>The</w:t>
      </w:r>
      <w:r>
        <w:rPr>
          <w:spacing w:val="-9"/>
        </w:rPr>
        <w:t xml:space="preserve"> </w:t>
      </w:r>
      <w:r>
        <w:t>problems</w:t>
      </w:r>
      <w:r>
        <w:rPr>
          <w:spacing w:val="-9"/>
        </w:rPr>
        <w:t xml:space="preserve"> </w:t>
      </w:r>
      <w:r>
        <w:t>with</w:t>
      </w:r>
      <w:r>
        <w:rPr>
          <w:spacing w:val="-9"/>
        </w:rPr>
        <w:t xml:space="preserve"> </w:t>
      </w:r>
      <w:r>
        <w:t>Hume’s</w:t>
      </w:r>
      <w:r>
        <w:rPr>
          <w:spacing w:val="-9"/>
        </w:rPr>
        <w:t xml:space="preserve"> </w:t>
      </w:r>
      <w:r>
        <w:t>argument</w:t>
      </w:r>
      <w:r>
        <w:rPr>
          <w:spacing w:val="-9"/>
        </w:rPr>
        <w:t xml:space="preserve"> </w:t>
      </w:r>
      <w:r>
        <w:t>is reflections of his hardline empiricism</w:t>
      </w:r>
    </w:p>
    <w:p w14:paraId="7E001E11" w14:textId="77777777" w:rsidR="009A58DB" w:rsidRDefault="00000000">
      <w:pPr>
        <w:pStyle w:val="BodyText"/>
        <w:spacing w:before="131" w:line="249" w:lineRule="auto"/>
        <w:ind w:right="361"/>
      </w:pPr>
      <w:r>
        <w:t>It is through images that our perceptual modalities (sight, touch, etc.) tell us about the world. (Not all images are visual; there are acoustical images,</w:t>
      </w:r>
      <w:r>
        <w:rPr>
          <w:spacing w:val="40"/>
        </w:rPr>
        <w:t xml:space="preserve"> </w:t>
      </w:r>
      <w:r>
        <w:t>tactile images, etc.) Your seeing a tree consists in your having an image of that</w:t>
      </w:r>
      <w:r>
        <w:rPr>
          <w:spacing w:val="-1"/>
        </w:rPr>
        <w:t xml:space="preserve"> </w:t>
      </w:r>
      <w:r>
        <w:t>tree; your feeling the tree with your</w:t>
      </w:r>
      <w:r>
        <w:rPr>
          <w:spacing w:val="-1"/>
        </w:rPr>
        <w:t xml:space="preserve"> </w:t>
      </w:r>
      <w:r>
        <w:t>hand consists in your having a tactile image of that tree; and so on. There’s no perception where there’s no image. It follows that, if introspection is an inwardly directed perceptual modality, it tells one nothing when it isn’t giving one an image.</w:t>
      </w:r>
    </w:p>
    <w:p w14:paraId="7E001E12" w14:textId="77777777" w:rsidR="009A58DB" w:rsidRDefault="00000000">
      <w:pPr>
        <w:pStyle w:val="BodyText"/>
        <w:spacing w:before="9" w:line="249" w:lineRule="auto"/>
        <w:ind w:right="358" w:firstLine="360"/>
      </w:pPr>
      <w:r>
        <w:t>Hume says that, when he looks inward, he encounters various “perceptions”</w:t>
      </w:r>
      <w:r>
        <w:rPr>
          <w:spacing w:val="-3"/>
        </w:rPr>
        <w:t xml:space="preserve"> </w:t>
      </w:r>
      <w:r>
        <w:t>(images),</w:t>
      </w:r>
      <w:r>
        <w:rPr>
          <w:spacing w:val="-2"/>
        </w:rPr>
        <w:t xml:space="preserve"> </w:t>
      </w:r>
      <w:r>
        <w:t>but</w:t>
      </w:r>
      <w:r>
        <w:rPr>
          <w:spacing w:val="-3"/>
        </w:rPr>
        <w:t xml:space="preserve"> </w:t>
      </w:r>
      <w:r>
        <w:t>no</w:t>
      </w:r>
      <w:r>
        <w:rPr>
          <w:spacing w:val="-2"/>
        </w:rPr>
        <w:t xml:space="preserve"> </w:t>
      </w:r>
      <w:r>
        <w:t>self.</w:t>
      </w:r>
      <w:r>
        <w:rPr>
          <w:spacing w:val="-3"/>
        </w:rPr>
        <w:t xml:space="preserve"> </w:t>
      </w:r>
      <w:r>
        <w:t>On</w:t>
      </w:r>
      <w:r>
        <w:rPr>
          <w:spacing w:val="-2"/>
        </w:rPr>
        <w:t xml:space="preserve"> </w:t>
      </w:r>
      <w:r>
        <w:t>this</w:t>
      </w:r>
      <w:r>
        <w:rPr>
          <w:spacing w:val="-2"/>
        </w:rPr>
        <w:t xml:space="preserve"> </w:t>
      </w:r>
      <w:r>
        <w:t>basis,</w:t>
      </w:r>
      <w:r>
        <w:rPr>
          <w:spacing w:val="-3"/>
        </w:rPr>
        <w:t xml:space="preserve"> </w:t>
      </w:r>
      <w:r>
        <w:t>he</w:t>
      </w:r>
      <w:r>
        <w:rPr>
          <w:spacing w:val="-2"/>
        </w:rPr>
        <w:t xml:space="preserve"> </w:t>
      </w:r>
      <w:r>
        <w:t>says</w:t>
      </w:r>
      <w:r>
        <w:rPr>
          <w:spacing w:val="-3"/>
        </w:rPr>
        <w:t xml:space="preserve"> </w:t>
      </w:r>
      <w:r>
        <w:t>that</w:t>
      </w:r>
      <w:r>
        <w:rPr>
          <w:spacing w:val="-2"/>
        </w:rPr>
        <w:t xml:space="preserve"> </w:t>
      </w:r>
      <w:r>
        <w:t>there</w:t>
      </w:r>
      <w:r>
        <w:rPr>
          <w:spacing w:val="-3"/>
        </w:rPr>
        <w:t xml:space="preserve"> </w:t>
      </w:r>
      <w:r>
        <w:t>is</w:t>
      </w:r>
      <w:r>
        <w:rPr>
          <w:spacing w:val="-2"/>
        </w:rPr>
        <w:t xml:space="preserve"> </w:t>
      </w:r>
      <w:r>
        <w:t>no</w:t>
      </w:r>
      <w:r>
        <w:rPr>
          <w:spacing w:val="-2"/>
        </w:rPr>
        <w:t xml:space="preserve"> </w:t>
      </w:r>
      <w:r>
        <w:t>self. But</w:t>
      </w:r>
      <w:r>
        <w:rPr>
          <w:spacing w:val="-3"/>
        </w:rPr>
        <w:t xml:space="preserve"> </w:t>
      </w:r>
      <w:r>
        <w:t>the</w:t>
      </w:r>
      <w:r>
        <w:rPr>
          <w:spacing w:val="-3"/>
        </w:rPr>
        <w:t xml:space="preserve"> </w:t>
      </w:r>
      <w:r>
        <w:t>right</w:t>
      </w:r>
      <w:r>
        <w:rPr>
          <w:spacing w:val="-3"/>
        </w:rPr>
        <w:t xml:space="preserve"> </w:t>
      </w:r>
      <w:r>
        <w:t>conclusion</w:t>
      </w:r>
      <w:r>
        <w:rPr>
          <w:spacing w:val="-2"/>
        </w:rPr>
        <w:t xml:space="preserve"> </w:t>
      </w:r>
      <w:r>
        <w:t>is</w:t>
      </w:r>
      <w:r>
        <w:rPr>
          <w:spacing w:val="-3"/>
        </w:rPr>
        <w:t xml:space="preserve"> </w:t>
      </w:r>
      <w:r>
        <w:t>that,</w:t>
      </w:r>
      <w:r>
        <w:rPr>
          <w:spacing w:val="-2"/>
        </w:rPr>
        <w:t xml:space="preserve"> </w:t>
      </w:r>
      <w:r>
        <w:rPr>
          <w:i/>
        </w:rPr>
        <w:t>if</w:t>
      </w:r>
      <w:r>
        <w:rPr>
          <w:i/>
          <w:spacing w:val="-3"/>
        </w:rPr>
        <w:t xml:space="preserve"> </w:t>
      </w:r>
      <w:r>
        <w:t>there</w:t>
      </w:r>
      <w:r>
        <w:rPr>
          <w:spacing w:val="-3"/>
        </w:rPr>
        <w:t xml:space="preserve"> </w:t>
      </w:r>
      <w:r>
        <w:t>is</w:t>
      </w:r>
      <w:r>
        <w:rPr>
          <w:spacing w:val="-3"/>
        </w:rPr>
        <w:t xml:space="preserve"> </w:t>
      </w:r>
      <w:r>
        <w:t>a</w:t>
      </w:r>
      <w:r>
        <w:rPr>
          <w:spacing w:val="-3"/>
        </w:rPr>
        <w:t xml:space="preserve"> </w:t>
      </w:r>
      <w:r>
        <w:t>self,</w:t>
      </w:r>
      <w:r>
        <w:rPr>
          <w:spacing w:val="-2"/>
        </w:rPr>
        <w:t xml:space="preserve"> </w:t>
      </w:r>
      <w:r>
        <w:t>it</w:t>
      </w:r>
      <w:r>
        <w:rPr>
          <w:spacing w:val="-3"/>
        </w:rPr>
        <w:t xml:space="preserve"> </w:t>
      </w:r>
      <w:r>
        <w:t>isn’t</w:t>
      </w:r>
      <w:r>
        <w:rPr>
          <w:spacing w:val="-3"/>
        </w:rPr>
        <w:t xml:space="preserve"> </w:t>
      </w:r>
      <w:r>
        <w:t>disclosed</w:t>
      </w:r>
      <w:r>
        <w:rPr>
          <w:spacing w:val="-2"/>
        </w:rPr>
        <w:t xml:space="preserve"> </w:t>
      </w:r>
      <w:r>
        <w:t>to</w:t>
      </w:r>
      <w:r>
        <w:rPr>
          <w:spacing w:val="-2"/>
        </w:rPr>
        <w:t xml:space="preserve"> </w:t>
      </w:r>
      <w:r>
        <w:t>one</w:t>
      </w:r>
      <w:r>
        <w:rPr>
          <w:spacing w:val="-3"/>
        </w:rPr>
        <w:t xml:space="preserve"> </w:t>
      </w:r>
      <w:r>
        <w:t>in</w:t>
      </w:r>
      <w:r>
        <w:rPr>
          <w:spacing w:val="-2"/>
        </w:rPr>
        <w:t xml:space="preserve"> </w:t>
      </w:r>
      <w:r>
        <w:t>the form of an image.</w:t>
      </w:r>
    </w:p>
    <w:p w14:paraId="7E001E13" w14:textId="77777777" w:rsidR="009A58DB" w:rsidRDefault="00000000">
      <w:pPr>
        <w:pStyle w:val="BodyText"/>
        <w:spacing w:before="5" w:line="249" w:lineRule="auto"/>
        <w:ind w:right="358" w:firstLine="360"/>
      </w:pPr>
      <w:r>
        <w:t>Supposing that it exists, there are, ultimately, two possibilities as to what the self is: it could be (i) one’s center of awareness or (ii) some structure underlying the events in one’s mind and guiding them. (It may be both, given that (i) and (ii) aren’t mutually exclusive.) If this is right, the self cannot be known</w:t>
      </w:r>
      <w:r>
        <w:rPr>
          <w:spacing w:val="-2"/>
        </w:rPr>
        <w:t xml:space="preserve"> </w:t>
      </w:r>
      <w:r>
        <w:t>in</w:t>
      </w:r>
      <w:r>
        <w:rPr>
          <w:spacing w:val="-1"/>
        </w:rPr>
        <w:t xml:space="preserve"> </w:t>
      </w:r>
      <w:r>
        <w:t>a</w:t>
      </w:r>
      <w:r>
        <w:rPr>
          <w:spacing w:val="-2"/>
        </w:rPr>
        <w:t xml:space="preserve"> </w:t>
      </w:r>
      <w:r>
        <w:t>way</w:t>
      </w:r>
      <w:r>
        <w:rPr>
          <w:spacing w:val="-1"/>
        </w:rPr>
        <w:t xml:space="preserve"> </w:t>
      </w:r>
      <w:r>
        <w:t>that</w:t>
      </w:r>
      <w:r>
        <w:rPr>
          <w:spacing w:val="-2"/>
        </w:rPr>
        <w:t xml:space="preserve"> </w:t>
      </w:r>
      <w:r>
        <w:t>can</w:t>
      </w:r>
      <w:r>
        <w:rPr>
          <w:spacing w:val="-1"/>
        </w:rPr>
        <w:t xml:space="preserve"> </w:t>
      </w:r>
      <w:r>
        <w:t>be</w:t>
      </w:r>
      <w:r>
        <w:rPr>
          <w:spacing w:val="-2"/>
        </w:rPr>
        <w:t xml:space="preserve"> </w:t>
      </w:r>
      <w:r>
        <w:t>modeled</w:t>
      </w:r>
      <w:r>
        <w:rPr>
          <w:spacing w:val="-2"/>
        </w:rPr>
        <w:t xml:space="preserve"> </w:t>
      </w:r>
      <w:r>
        <w:t>on</w:t>
      </w:r>
      <w:r>
        <w:rPr>
          <w:spacing w:val="-1"/>
        </w:rPr>
        <w:t xml:space="preserve"> </w:t>
      </w:r>
      <w:r>
        <w:t>sense-perception,</w:t>
      </w:r>
      <w:r>
        <w:rPr>
          <w:spacing w:val="-2"/>
        </w:rPr>
        <w:t xml:space="preserve"> </w:t>
      </w:r>
      <w:r>
        <w:t>and</w:t>
      </w:r>
      <w:r>
        <w:rPr>
          <w:spacing w:val="-1"/>
        </w:rPr>
        <w:t xml:space="preserve"> </w:t>
      </w:r>
      <w:r>
        <w:t>there</w:t>
      </w:r>
      <w:r>
        <w:rPr>
          <w:spacing w:val="-2"/>
        </w:rPr>
        <w:t xml:space="preserve"> </w:t>
      </w:r>
      <w:r>
        <w:t>is</w:t>
      </w:r>
      <w:r>
        <w:rPr>
          <w:spacing w:val="-1"/>
        </w:rPr>
        <w:t xml:space="preserve"> </w:t>
      </w:r>
      <w:r>
        <w:t>thus</w:t>
      </w:r>
      <w:r>
        <w:rPr>
          <w:spacing w:val="-1"/>
        </w:rPr>
        <w:t xml:space="preserve"> </w:t>
      </w:r>
      <w:r>
        <w:t xml:space="preserve">no merit to Hume’s paraperceptual demonstration of the non-existence of the </w:t>
      </w:r>
      <w:r>
        <w:rPr>
          <w:spacing w:val="-2"/>
        </w:rPr>
        <w:t>self.</w:t>
      </w:r>
    </w:p>
    <w:p w14:paraId="7E001E14" w14:textId="77777777" w:rsidR="009A58DB" w:rsidRDefault="00000000">
      <w:pPr>
        <w:pStyle w:val="BodyText"/>
        <w:spacing w:before="9"/>
        <w:ind w:left="720"/>
      </w:pPr>
      <w:r>
        <w:t>It</w:t>
      </w:r>
      <w:r>
        <w:rPr>
          <w:spacing w:val="16"/>
        </w:rPr>
        <w:t xml:space="preserve"> </w:t>
      </w:r>
      <w:r>
        <w:t>is</w:t>
      </w:r>
      <w:r>
        <w:rPr>
          <w:spacing w:val="16"/>
        </w:rPr>
        <w:t xml:space="preserve"> </w:t>
      </w:r>
      <w:r>
        <w:t>uncontroversial</w:t>
      </w:r>
      <w:r>
        <w:rPr>
          <w:spacing w:val="16"/>
        </w:rPr>
        <w:t xml:space="preserve"> </w:t>
      </w:r>
      <w:r>
        <w:t>that</w:t>
      </w:r>
      <w:r>
        <w:rPr>
          <w:spacing w:val="16"/>
        </w:rPr>
        <w:t xml:space="preserve"> </w:t>
      </w:r>
      <w:r>
        <w:t>we</w:t>
      </w:r>
      <w:r>
        <w:rPr>
          <w:spacing w:val="17"/>
        </w:rPr>
        <w:t xml:space="preserve"> </w:t>
      </w:r>
      <w:r>
        <w:t>are</w:t>
      </w:r>
      <w:r>
        <w:rPr>
          <w:spacing w:val="17"/>
        </w:rPr>
        <w:t xml:space="preserve"> </w:t>
      </w:r>
      <w:r>
        <w:t>directly,</w:t>
      </w:r>
      <w:r>
        <w:rPr>
          <w:spacing w:val="17"/>
        </w:rPr>
        <w:t xml:space="preserve"> </w:t>
      </w:r>
      <w:r>
        <w:t>non-inferentially</w:t>
      </w:r>
      <w:r>
        <w:rPr>
          <w:spacing w:val="17"/>
        </w:rPr>
        <w:t xml:space="preserve"> </w:t>
      </w:r>
      <w:r>
        <w:t>aware</w:t>
      </w:r>
      <w:r>
        <w:rPr>
          <w:spacing w:val="17"/>
        </w:rPr>
        <w:t xml:space="preserve"> </w:t>
      </w:r>
      <w:r>
        <w:t>of</w:t>
      </w:r>
      <w:r>
        <w:rPr>
          <w:spacing w:val="17"/>
        </w:rPr>
        <w:t xml:space="preserve"> </w:t>
      </w:r>
      <w:r>
        <w:rPr>
          <w:spacing w:val="-4"/>
        </w:rPr>
        <w:t>many</w:t>
      </w:r>
    </w:p>
    <w:p w14:paraId="7E001E15" w14:textId="77777777" w:rsidR="009A58DB" w:rsidRDefault="009A58DB">
      <w:pPr>
        <w:pStyle w:val="BodyText"/>
        <w:sectPr w:rsidR="009A58DB">
          <w:pgSz w:w="12240" w:h="15840"/>
          <w:pgMar w:top="1380" w:right="1080" w:bottom="280" w:left="1080" w:header="720" w:footer="720" w:gutter="0"/>
          <w:cols w:space="720"/>
        </w:sectPr>
      </w:pPr>
    </w:p>
    <w:p w14:paraId="7E001E16" w14:textId="77777777" w:rsidR="009A58DB" w:rsidRDefault="00000000">
      <w:pPr>
        <w:pStyle w:val="BodyText"/>
        <w:spacing w:before="60" w:line="249" w:lineRule="auto"/>
        <w:ind w:right="363"/>
      </w:pPr>
      <w:r>
        <w:lastRenderedPageBreak/>
        <w:t>mental</w:t>
      </w:r>
      <w:r>
        <w:rPr>
          <w:spacing w:val="-19"/>
        </w:rPr>
        <w:t xml:space="preserve"> </w:t>
      </w:r>
      <w:r>
        <w:t>entities</w:t>
      </w:r>
      <w:r>
        <w:rPr>
          <w:spacing w:val="-19"/>
        </w:rPr>
        <w:t xml:space="preserve"> </w:t>
      </w:r>
      <w:r>
        <w:t>that</w:t>
      </w:r>
      <w:r>
        <w:rPr>
          <w:spacing w:val="-15"/>
        </w:rPr>
        <w:t xml:space="preserve"> </w:t>
      </w:r>
      <w:r>
        <w:t>we</w:t>
      </w:r>
      <w:r>
        <w:rPr>
          <w:spacing w:val="-19"/>
        </w:rPr>
        <w:t xml:space="preserve"> </w:t>
      </w:r>
      <w:r>
        <w:rPr>
          <w:i/>
        </w:rPr>
        <w:t>don’t</w:t>
      </w:r>
      <w:r>
        <w:rPr>
          <w:i/>
          <w:spacing w:val="-15"/>
        </w:rPr>
        <w:t xml:space="preserve"> </w:t>
      </w:r>
      <w:r>
        <w:t>know</w:t>
      </w:r>
      <w:r>
        <w:rPr>
          <w:spacing w:val="-14"/>
        </w:rPr>
        <w:t xml:space="preserve"> </w:t>
      </w:r>
      <w:r>
        <w:t>of</w:t>
      </w:r>
      <w:r>
        <w:rPr>
          <w:spacing w:val="-14"/>
        </w:rPr>
        <w:t xml:space="preserve"> </w:t>
      </w:r>
      <w:r>
        <w:t>in</w:t>
      </w:r>
      <w:r>
        <w:rPr>
          <w:spacing w:val="-14"/>
        </w:rPr>
        <w:t xml:space="preserve"> </w:t>
      </w:r>
      <w:r>
        <w:t>some</w:t>
      </w:r>
      <w:r>
        <w:rPr>
          <w:spacing w:val="-14"/>
        </w:rPr>
        <w:t xml:space="preserve"> </w:t>
      </w:r>
      <w:r>
        <w:t>image-mediated,</w:t>
      </w:r>
      <w:r>
        <w:rPr>
          <w:spacing w:val="-14"/>
        </w:rPr>
        <w:t xml:space="preserve"> </w:t>
      </w:r>
      <w:r>
        <w:t>perception-like way.</w:t>
      </w:r>
      <w:r>
        <w:rPr>
          <w:spacing w:val="-4"/>
        </w:rPr>
        <w:t xml:space="preserve"> </w:t>
      </w:r>
      <w:r>
        <w:t>I</w:t>
      </w:r>
      <w:r>
        <w:rPr>
          <w:spacing w:val="-4"/>
        </w:rPr>
        <w:t xml:space="preserve"> </w:t>
      </w:r>
      <w:r>
        <w:t>know</w:t>
      </w:r>
      <w:r>
        <w:rPr>
          <w:spacing w:val="-4"/>
        </w:rPr>
        <w:t xml:space="preserve"> </w:t>
      </w:r>
      <w:r>
        <w:t>I</w:t>
      </w:r>
      <w:r>
        <w:rPr>
          <w:spacing w:val="-4"/>
        </w:rPr>
        <w:t xml:space="preserve"> </w:t>
      </w:r>
      <w:r>
        <w:t>believe</w:t>
      </w:r>
      <w:r>
        <w:rPr>
          <w:spacing w:val="-4"/>
        </w:rPr>
        <w:t xml:space="preserve"> </w:t>
      </w:r>
      <w:r>
        <w:t>that</w:t>
      </w:r>
      <w:r>
        <w:rPr>
          <w:spacing w:val="-4"/>
        </w:rPr>
        <w:t xml:space="preserve"> </w:t>
      </w:r>
      <w:r>
        <w:t>1</w:t>
      </w:r>
      <w:r>
        <w:rPr>
          <w:spacing w:val="-4"/>
        </w:rPr>
        <w:t xml:space="preserve"> </w:t>
      </w:r>
      <w:r>
        <w:t>+</w:t>
      </w:r>
      <w:r>
        <w:rPr>
          <w:spacing w:val="-4"/>
        </w:rPr>
        <w:t xml:space="preserve"> </w:t>
      </w:r>
      <w:r>
        <w:t>1</w:t>
      </w:r>
      <w:r>
        <w:rPr>
          <w:spacing w:val="-4"/>
        </w:rPr>
        <w:t xml:space="preserve"> </w:t>
      </w:r>
      <w:r>
        <w:t>=</w:t>
      </w:r>
      <w:r>
        <w:rPr>
          <w:spacing w:val="-4"/>
        </w:rPr>
        <w:t xml:space="preserve"> </w:t>
      </w:r>
      <w:r>
        <w:t>2.</w:t>
      </w:r>
      <w:r>
        <w:rPr>
          <w:spacing w:val="-4"/>
        </w:rPr>
        <w:t xml:space="preserve"> </w:t>
      </w:r>
      <w:r>
        <w:t>It’s</w:t>
      </w:r>
      <w:r>
        <w:rPr>
          <w:spacing w:val="-4"/>
        </w:rPr>
        <w:t xml:space="preserve"> </w:t>
      </w:r>
      <w:r>
        <w:t>obviously</w:t>
      </w:r>
      <w:r>
        <w:rPr>
          <w:spacing w:val="-4"/>
        </w:rPr>
        <w:t xml:space="preserve"> </w:t>
      </w:r>
      <w:r>
        <w:t>not</w:t>
      </w:r>
    </w:p>
    <w:p w14:paraId="7E001E17" w14:textId="77777777" w:rsidR="009A58DB" w:rsidRDefault="00000000">
      <w:pPr>
        <w:pStyle w:val="BodyText"/>
        <w:spacing w:before="7" w:line="249" w:lineRule="auto"/>
        <w:ind w:right="358"/>
      </w:pPr>
      <w:r>
        <w:t>through</w:t>
      </w:r>
      <w:r>
        <w:rPr>
          <w:spacing w:val="-4"/>
        </w:rPr>
        <w:t xml:space="preserve"> </w:t>
      </w:r>
      <w:r>
        <w:rPr>
          <w:i/>
        </w:rPr>
        <w:t>inference</w:t>
      </w:r>
      <w:r>
        <w:rPr>
          <w:i/>
          <w:spacing w:val="-3"/>
        </w:rPr>
        <w:t xml:space="preserve"> </w:t>
      </w:r>
      <w:r>
        <w:t>that I know this—I know it directly. And it obviously isn’t through sense-perception that I know it. Finally, it isn’t by virtue of my experiencing,</w:t>
      </w:r>
      <w:r>
        <w:rPr>
          <w:spacing w:val="-3"/>
        </w:rPr>
        <w:t xml:space="preserve"> </w:t>
      </w:r>
      <w:r>
        <w:t>or</w:t>
      </w:r>
      <w:r>
        <w:rPr>
          <w:spacing w:val="-4"/>
        </w:rPr>
        <w:t xml:space="preserve"> </w:t>
      </w:r>
      <w:r>
        <w:t>being</w:t>
      </w:r>
      <w:r>
        <w:rPr>
          <w:spacing w:val="-3"/>
        </w:rPr>
        <w:t xml:space="preserve"> </w:t>
      </w:r>
      <w:r>
        <w:t>aware</w:t>
      </w:r>
      <w:r>
        <w:rPr>
          <w:spacing w:val="-4"/>
        </w:rPr>
        <w:t xml:space="preserve"> </w:t>
      </w:r>
      <w:r>
        <w:t>of,</w:t>
      </w:r>
      <w:r>
        <w:rPr>
          <w:spacing w:val="-3"/>
        </w:rPr>
        <w:t xml:space="preserve"> </w:t>
      </w:r>
      <w:r>
        <w:t>some</w:t>
      </w:r>
      <w:r>
        <w:rPr>
          <w:spacing w:val="-3"/>
        </w:rPr>
        <w:t xml:space="preserve"> </w:t>
      </w:r>
      <w:r>
        <w:rPr>
          <w:i/>
        </w:rPr>
        <w:t>mental</w:t>
      </w:r>
      <w:r>
        <w:rPr>
          <w:i/>
          <w:spacing w:val="-4"/>
        </w:rPr>
        <w:t xml:space="preserve"> </w:t>
      </w:r>
      <w:r>
        <w:rPr>
          <w:i/>
        </w:rPr>
        <w:t>image</w:t>
      </w:r>
      <w:r>
        <w:rPr>
          <w:i/>
          <w:spacing w:val="-4"/>
        </w:rPr>
        <w:t xml:space="preserve"> </w:t>
      </w:r>
      <w:r>
        <w:t>that</w:t>
      </w:r>
      <w:r>
        <w:rPr>
          <w:spacing w:val="-4"/>
        </w:rPr>
        <w:t xml:space="preserve"> </w:t>
      </w:r>
      <w:r>
        <w:t>I</w:t>
      </w:r>
      <w:r>
        <w:rPr>
          <w:spacing w:val="-4"/>
        </w:rPr>
        <w:t xml:space="preserve"> </w:t>
      </w:r>
      <w:r>
        <w:t>know</w:t>
      </w:r>
      <w:r>
        <w:rPr>
          <w:spacing w:val="-4"/>
        </w:rPr>
        <w:t xml:space="preserve"> </w:t>
      </w:r>
      <w:r>
        <w:t>it.</w:t>
      </w:r>
      <w:r>
        <w:rPr>
          <w:spacing w:val="-3"/>
        </w:rPr>
        <w:t xml:space="preserve"> </w:t>
      </w:r>
      <w:r>
        <w:rPr>
          <w:i/>
        </w:rPr>
        <w:t>But surely I</w:t>
      </w:r>
      <w:r>
        <w:rPr>
          <w:i/>
          <w:spacing w:val="-3"/>
        </w:rPr>
        <w:t xml:space="preserve"> </w:t>
      </w:r>
      <w:r>
        <w:rPr>
          <w:i/>
        </w:rPr>
        <w:t>know</w:t>
      </w:r>
      <w:r>
        <w:rPr>
          <w:i/>
          <w:spacing w:val="-3"/>
        </w:rPr>
        <w:t xml:space="preserve"> </w:t>
      </w:r>
      <w:r>
        <w:rPr>
          <w:i/>
        </w:rPr>
        <w:t>it</w:t>
      </w:r>
      <w:r>
        <w:t xml:space="preserve">. So I know it directly. It’s a pretheoretic datum—not the result of an intellectual working over of raw data. No—it </w:t>
      </w:r>
      <w:r>
        <w:rPr>
          <w:i/>
        </w:rPr>
        <w:t xml:space="preserve">is </w:t>
      </w:r>
      <w:r>
        <w:t>one of the raw data.</w:t>
      </w:r>
    </w:p>
    <w:p w14:paraId="7E001E18" w14:textId="77777777" w:rsidR="009A58DB" w:rsidRDefault="00000000">
      <w:pPr>
        <w:pStyle w:val="BodyText"/>
        <w:spacing w:before="6" w:line="249" w:lineRule="auto"/>
        <w:ind w:right="363" w:firstLine="360"/>
      </w:pPr>
      <w:r>
        <w:t xml:space="preserve">The same is true of many other mental contents of mine. I know that I intend to write about causation later today. It obviously isn’t through </w:t>
      </w:r>
      <w:r>
        <w:rPr>
          <w:i/>
        </w:rPr>
        <w:t xml:space="preserve">inference </w:t>
      </w:r>
      <w:r>
        <w:t>that I know this—it isn’t because I psychoanalyzed myself or engaged in any other such artifices. And it obviously isn’t through sense perception (sight, hearing, etc.) that I know it. Nor is it through the inwardly directed para-perception that Hume describes. But I know it. I know it in the same way that I know that 1 + 1 = 2, that I regret not calling my mother on her birthday, that I plan on improving my skills as pianist, etc.</w:t>
      </w:r>
    </w:p>
    <w:p w14:paraId="7E001E19" w14:textId="77777777" w:rsidR="009A58DB" w:rsidRDefault="00000000">
      <w:pPr>
        <w:pStyle w:val="BodyText"/>
        <w:spacing w:before="10" w:line="249" w:lineRule="auto"/>
        <w:ind w:right="358" w:firstLine="360"/>
      </w:pPr>
      <w:r>
        <w:t>I know these things through some faculty that gives me direct, non-inferential knowledge of at least some facts about my own mind. Were Hume to deny the existence of this faculty, he’d be butchering obvious facts to</w:t>
      </w:r>
      <w:r>
        <w:rPr>
          <w:spacing w:val="40"/>
        </w:rPr>
        <w:t xml:space="preserve"> </w:t>
      </w:r>
      <w:r>
        <w:t>make his argument go through and his position would be a most unempirical one. It is thus an empirical fact that not every fact about one’s mind that one is non-inferentially aware of is disclosed to one in the form of an image; and it’s thus an empirical fact that not all knowledge is arrived at through perception or through anything at all like it. It is thus an empirical fact that empiricism is wrong!</w:t>
      </w:r>
    </w:p>
    <w:p w14:paraId="7E001E1A" w14:textId="77777777" w:rsidR="009A58DB" w:rsidRDefault="00000000">
      <w:pPr>
        <w:pStyle w:val="Heading1"/>
        <w:numPr>
          <w:ilvl w:val="1"/>
          <w:numId w:val="91"/>
        </w:numPr>
        <w:tabs>
          <w:tab w:val="left" w:pos="990"/>
        </w:tabs>
        <w:spacing w:before="199"/>
      </w:pPr>
      <w:r>
        <w:t>Hume’s</w:t>
      </w:r>
      <w:r>
        <w:rPr>
          <w:spacing w:val="-8"/>
        </w:rPr>
        <w:t xml:space="preserve"> </w:t>
      </w:r>
      <w:r>
        <w:t>second</w:t>
      </w:r>
      <w:r>
        <w:rPr>
          <w:spacing w:val="-6"/>
        </w:rPr>
        <w:t xml:space="preserve"> </w:t>
      </w:r>
      <w:r>
        <w:t>argument:</w:t>
      </w:r>
      <w:r>
        <w:rPr>
          <w:spacing w:val="-6"/>
        </w:rPr>
        <w:t xml:space="preserve"> </w:t>
      </w:r>
      <w:r>
        <w:t>a</w:t>
      </w:r>
      <w:r>
        <w:rPr>
          <w:spacing w:val="-5"/>
        </w:rPr>
        <w:t xml:space="preserve"> </w:t>
      </w:r>
      <w:r>
        <w:t>preliminary</w:t>
      </w:r>
      <w:r>
        <w:rPr>
          <w:spacing w:val="-4"/>
        </w:rPr>
        <w:t xml:space="preserve"> </w:t>
      </w:r>
      <w:r>
        <w:rPr>
          <w:spacing w:val="-2"/>
        </w:rPr>
        <w:t>point</w:t>
      </w:r>
    </w:p>
    <w:p w14:paraId="7E001E1B" w14:textId="77777777" w:rsidR="009A58DB" w:rsidRDefault="00000000">
      <w:pPr>
        <w:pStyle w:val="BodyText"/>
        <w:spacing w:before="139" w:line="249" w:lineRule="auto"/>
        <w:ind w:right="361"/>
      </w:pPr>
      <w:r>
        <w:t>Hume’s</w:t>
      </w:r>
      <w:r>
        <w:rPr>
          <w:spacing w:val="-4"/>
        </w:rPr>
        <w:t xml:space="preserve"> </w:t>
      </w:r>
      <w:r>
        <w:t>first</w:t>
      </w:r>
      <w:r>
        <w:rPr>
          <w:spacing w:val="-4"/>
        </w:rPr>
        <w:t xml:space="preserve"> </w:t>
      </w:r>
      <w:r>
        <w:t>argument</w:t>
      </w:r>
      <w:r>
        <w:rPr>
          <w:spacing w:val="-4"/>
        </w:rPr>
        <w:t xml:space="preserve"> </w:t>
      </w:r>
      <w:r>
        <w:t>is</w:t>
      </w:r>
      <w:r>
        <w:rPr>
          <w:spacing w:val="-4"/>
        </w:rPr>
        <w:t xml:space="preserve"> </w:t>
      </w:r>
      <w:r>
        <w:t>presented</w:t>
      </w:r>
      <w:r>
        <w:rPr>
          <w:spacing w:val="-3"/>
        </w:rPr>
        <w:t xml:space="preserve"> </w:t>
      </w:r>
      <w:r>
        <w:t>as</w:t>
      </w:r>
      <w:r>
        <w:rPr>
          <w:spacing w:val="-4"/>
        </w:rPr>
        <w:t xml:space="preserve"> </w:t>
      </w:r>
      <w:r>
        <w:t>an</w:t>
      </w:r>
      <w:r>
        <w:rPr>
          <w:spacing w:val="-3"/>
        </w:rPr>
        <w:t xml:space="preserve"> </w:t>
      </w:r>
      <w:r>
        <w:t>empirical</w:t>
      </w:r>
      <w:r>
        <w:rPr>
          <w:spacing w:val="-4"/>
        </w:rPr>
        <w:t xml:space="preserve"> </w:t>
      </w:r>
      <w:r>
        <w:t>argument.</w:t>
      </w:r>
      <w:r>
        <w:rPr>
          <w:spacing w:val="-3"/>
        </w:rPr>
        <w:t xml:space="preserve"> </w:t>
      </w:r>
      <w:r>
        <w:t>He</w:t>
      </w:r>
      <w:r>
        <w:rPr>
          <w:spacing w:val="-4"/>
        </w:rPr>
        <w:t xml:space="preserve"> </w:t>
      </w:r>
      <w:r>
        <w:t>says</w:t>
      </w:r>
      <w:r>
        <w:rPr>
          <w:spacing w:val="-4"/>
        </w:rPr>
        <w:t xml:space="preserve"> </w:t>
      </w:r>
      <w:r>
        <w:t>that</w:t>
      </w:r>
      <w:r>
        <w:rPr>
          <w:spacing w:val="-4"/>
        </w:rPr>
        <w:t xml:space="preserve"> </w:t>
      </w:r>
      <w:r>
        <w:t>his observations yield no evidence that there is some central fire around which his various thoughts orbit. His wording, and the wording that it is natural to use when paraphrasing his argument, suggests that Hume is trying to</w:t>
      </w:r>
      <w:r>
        <w:rPr>
          <w:spacing w:val="40"/>
        </w:rPr>
        <w:t xml:space="preserve"> </w:t>
      </w:r>
      <w:r>
        <w:t>establish the non-existence of the self on grounds comparable to those on which an astronomer would try to establish the non-existence of a certain planet. “If I had evidence, I’d believe. But I don’t, so I don’t.”</w:t>
      </w:r>
    </w:p>
    <w:p w14:paraId="7E001E1C" w14:textId="77777777" w:rsidR="009A58DB" w:rsidRDefault="00000000">
      <w:pPr>
        <w:pStyle w:val="BodyText"/>
        <w:spacing w:before="9" w:line="249" w:lineRule="auto"/>
        <w:ind w:right="367" w:firstLine="360"/>
      </w:pPr>
      <w:r>
        <w:t xml:space="preserve">But so far as self-observation yields </w:t>
      </w:r>
      <w:r>
        <w:rPr>
          <w:i/>
        </w:rPr>
        <w:t xml:space="preserve">any </w:t>
      </w:r>
      <w:r>
        <w:t>relevant evidence, that evidence seems</w:t>
      </w:r>
      <w:r>
        <w:rPr>
          <w:spacing w:val="26"/>
        </w:rPr>
        <w:t xml:space="preserve"> </w:t>
      </w:r>
      <w:r>
        <w:t>to</w:t>
      </w:r>
      <w:r>
        <w:rPr>
          <w:spacing w:val="27"/>
        </w:rPr>
        <w:t xml:space="preserve"> </w:t>
      </w:r>
      <w:r>
        <w:t>suggest</w:t>
      </w:r>
      <w:r>
        <w:rPr>
          <w:spacing w:val="26"/>
        </w:rPr>
        <w:t xml:space="preserve"> </w:t>
      </w:r>
      <w:r>
        <w:t>that</w:t>
      </w:r>
      <w:r>
        <w:rPr>
          <w:spacing w:val="26"/>
        </w:rPr>
        <w:t xml:space="preserve"> </w:t>
      </w:r>
      <w:r>
        <w:rPr>
          <w:i/>
        </w:rPr>
        <w:t>there</w:t>
      </w:r>
      <w:r>
        <w:rPr>
          <w:i/>
          <w:spacing w:val="26"/>
        </w:rPr>
        <w:t xml:space="preserve"> </w:t>
      </w:r>
      <w:r>
        <w:rPr>
          <w:i/>
        </w:rPr>
        <w:t>does</w:t>
      </w:r>
      <w:r>
        <w:rPr>
          <w:i/>
          <w:spacing w:val="26"/>
        </w:rPr>
        <w:t xml:space="preserve"> </w:t>
      </w:r>
      <w:r>
        <w:rPr>
          <w:i/>
        </w:rPr>
        <w:t>exist</w:t>
      </w:r>
      <w:r>
        <w:rPr>
          <w:i/>
          <w:spacing w:val="26"/>
        </w:rPr>
        <w:t xml:space="preserve"> </w:t>
      </w:r>
      <w:r>
        <w:t>within</w:t>
      </w:r>
      <w:r>
        <w:rPr>
          <w:spacing w:val="27"/>
        </w:rPr>
        <w:t xml:space="preserve"> </w:t>
      </w:r>
      <w:r>
        <w:t>oneself</w:t>
      </w:r>
      <w:r>
        <w:rPr>
          <w:spacing w:val="26"/>
        </w:rPr>
        <w:t xml:space="preserve"> </w:t>
      </w:r>
      <w:r>
        <w:t>a</w:t>
      </w:r>
      <w:r>
        <w:rPr>
          <w:spacing w:val="26"/>
        </w:rPr>
        <w:t xml:space="preserve"> </w:t>
      </w:r>
      <w:r>
        <w:t>center</w:t>
      </w:r>
      <w:r>
        <w:rPr>
          <w:spacing w:val="26"/>
        </w:rPr>
        <w:t xml:space="preserve"> </w:t>
      </w:r>
      <w:r>
        <w:t>of</w:t>
      </w:r>
      <w:r>
        <w:rPr>
          <w:spacing w:val="26"/>
        </w:rPr>
        <w:t xml:space="preserve"> </w:t>
      </w:r>
      <w:r>
        <w:t>awareness.</w:t>
      </w:r>
    </w:p>
    <w:p w14:paraId="7E001E1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1E" w14:textId="77777777" w:rsidR="009A58DB" w:rsidRDefault="00000000">
      <w:pPr>
        <w:pStyle w:val="BodyText"/>
        <w:spacing w:before="60" w:line="249" w:lineRule="auto"/>
        <w:ind w:right="362"/>
      </w:pPr>
      <w:r>
        <w:lastRenderedPageBreak/>
        <w:t xml:space="preserve">When I self-observe, I </w:t>
      </w:r>
      <w:r>
        <w:rPr>
          <w:i/>
        </w:rPr>
        <w:t xml:space="preserve">do </w:t>
      </w:r>
      <w:r>
        <w:t>feel that there is a core-being around which everything else orbits.</w:t>
      </w:r>
    </w:p>
    <w:p w14:paraId="7E001E1F" w14:textId="77777777" w:rsidR="009A58DB" w:rsidRDefault="00000000">
      <w:pPr>
        <w:pStyle w:val="BodyText"/>
        <w:spacing w:before="7" w:line="249" w:lineRule="auto"/>
        <w:ind w:right="360" w:firstLine="360"/>
      </w:pPr>
      <w:r>
        <w:t xml:space="preserve">This feeling of mine is by no means probative. I don’t know that it’s accurate. I don’t know that it’s a </w:t>
      </w:r>
      <w:r>
        <w:rPr>
          <w:i/>
        </w:rPr>
        <w:t xml:space="preserve">correct </w:t>
      </w:r>
      <w:r>
        <w:t xml:space="preserve">observation. In fact, I don’t know that it’s an </w:t>
      </w:r>
      <w:r>
        <w:rPr>
          <w:i/>
        </w:rPr>
        <w:t xml:space="preserve">observation </w:t>
      </w:r>
      <w:r>
        <w:t xml:space="preserve">at all. It may be that, in having this feeling, I’m experiencing as an empirical datum what is in fact a projection into the observational arena of my acceptance of an erroneous, theory-driven </w:t>
      </w:r>
      <w:r>
        <w:rPr>
          <w:i/>
        </w:rPr>
        <w:t xml:space="preserve">interpretation </w:t>
      </w:r>
      <w:r>
        <w:t>of the relevant data. This is Hume’s position. He explicitly</w:t>
      </w:r>
      <w:r>
        <w:rPr>
          <w:spacing w:val="40"/>
        </w:rPr>
        <w:t xml:space="preserve"> </w:t>
      </w:r>
      <w:r>
        <w:t xml:space="preserve">says that those who claim to be aware of an inner flame are either lying or they’re in the grips of some preexisting, empirically unfounded theory of what the self </w:t>
      </w:r>
      <w:r>
        <w:rPr>
          <w:i/>
        </w:rPr>
        <w:t xml:space="preserve">must </w:t>
      </w:r>
      <w:r>
        <w:t>be and that, if they’re observing anything, it’s only a projection of their acceptance of that bad theory.</w:t>
      </w:r>
    </w:p>
    <w:p w14:paraId="7E001E20" w14:textId="77777777" w:rsidR="009A58DB" w:rsidRDefault="00000000">
      <w:pPr>
        <w:pStyle w:val="BodyText"/>
        <w:spacing w:before="12" w:line="249" w:lineRule="auto"/>
        <w:ind w:right="359" w:firstLine="360"/>
      </w:pPr>
      <w:r>
        <w:t xml:space="preserve">The problem is that, even if, as Hume claims, my feeling that there’s an inner flame is an illusion powered by a very wrong theory, it’s a datum that this </w:t>
      </w:r>
      <w:r>
        <w:rPr>
          <w:i/>
        </w:rPr>
        <w:t xml:space="preserve">feeling </w:t>
      </w:r>
      <w:r>
        <w:t xml:space="preserve">exists. And it </w:t>
      </w:r>
      <w:r>
        <w:rPr>
          <w:i/>
        </w:rPr>
        <w:t xml:space="preserve">isn’t </w:t>
      </w:r>
      <w:r>
        <w:t xml:space="preserve">a datum, though it may be a truth, that this feeling is an illusion. So, even though Hume’s opponent may be wrong, it’s </w:t>
      </w:r>
      <w:r>
        <w:rPr>
          <w:i/>
        </w:rPr>
        <w:t xml:space="preserve">Hume, </w:t>
      </w:r>
      <w:r>
        <w:t>not his opponent, who’s making the theoretical point. This suggests that he has some theory in mind, his acceptance of which, and not some body of observations, led him to accept the “no inner flame” view.</w:t>
      </w:r>
    </w:p>
    <w:p w14:paraId="7E001E21" w14:textId="77777777" w:rsidR="009A58DB" w:rsidRDefault="00000000">
      <w:pPr>
        <w:pStyle w:val="Heading1"/>
        <w:numPr>
          <w:ilvl w:val="2"/>
          <w:numId w:val="90"/>
        </w:numPr>
        <w:tabs>
          <w:tab w:val="left" w:pos="1305"/>
        </w:tabs>
        <w:spacing w:before="197"/>
      </w:pPr>
      <w:r>
        <w:t>Hume’s</w:t>
      </w:r>
      <w:r>
        <w:rPr>
          <w:spacing w:val="-8"/>
        </w:rPr>
        <w:t xml:space="preserve"> </w:t>
      </w:r>
      <w:r>
        <w:t>second</w:t>
      </w:r>
      <w:r>
        <w:rPr>
          <w:spacing w:val="-6"/>
        </w:rPr>
        <w:t xml:space="preserve"> </w:t>
      </w:r>
      <w:r>
        <w:t>argument</w:t>
      </w:r>
      <w:r>
        <w:rPr>
          <w:spacing w:val="-5"/>
        </w:rPr>
        <w:t xml:space="preserve"> </w:t>
      </w:r>
      <w:r>
        <w:rPr>
          <w:spacing w:val="-2"/>
        </w:rPr>
        <w:t>(verbatim)</w:t>
      </w:r>
    </w:p>
    <w:p w14:paraId="7E001E22" w14:textId="77777777" w:rsidR="009A58DB" w:rsidRDefault="00000000">
      <w:pPr>
        <w:pStyle w:val="BodyText"/>
        <w:spacing w:before="139"/>
      </w:pPr>
      <w:r>
        <w:t>And,</w:t>
      </w:r>
      <w:r>
        <w:rPr>
          <w:spacing w:val="-4"/>
        </w:rPr>
        <w:t xml:space="preserve"> </w:t>
      </w:r>
      <w:r>
        <w:t>in</w:t>
      </w:r>
      <w:r>
        <w:rPr>
          <w:spacing w:val="-1"/>
        </w:rPr>
        <w:t xml:space="preserve"> </w:t>
      </w:r>
      <w:r>
        <w:t>fact,</w:t>
      </w:r>
      <w:r>
        <w:rPr>
          <w:spacing w:val="-2"/>
        </w:rPr>
        <w:t xml:space="preserve"> </w:t>
      </w:r>
      <w:r>
        <w:t>Hume</w:t>
      </w:r>
      <w:r>
        <w:rPr>
          <w:spacing w:val="-2"/>
        </w:rPr>
        <w:t xml:space="preserve"> </w:t>
      </w:r>
      <w:r>
        <w:t>does</w:t>
      </w:r>
      <w:r>
        <w:rPr>
          <w:spacing w:val="-3"/>
        </w:rPr>
        <w:t xml:space="preserve"> </w:t>
      </w:r>
      <w:r>
        <w:t>have</w:t>
      </w:r>
      <w:r>
        <w:rPr>
          <w:spacing w:val="-2"/>
        </w:rPr>
        <w:t xml:space="preserve"> </w:t>
      </w:r>
      <w:r>
        <w:t>a</w:t>
      </w:r>
      <w:r>
        <w:rPr>
          <w:spacing w:val="-2"/>
        </w:rPr>
        <w:t xml:space="preserve"> theory:</w:t>
      </w:r>
    </w:p>
    <w:p w14:paraId="7E001E23" w14:textId="77777777" w:rsidR="009A58DB" w:rsidRDefault="00000000">
      <w:pPr>
        <w:pStyle w:val="BodyText"/>
        <w:spacing w:before="255" w:line="249" w:lineRule="auto"/>
        <w:ind w:left="720" w:right="358"/>
      </w:pPr>
      <w:r>
        <w:t>When</w:t>
      </w:r>
      <w:r>
        <w:rPr>
          <w:spacing w:val="-3"/>
        </w:rPr>
        <w:t xml:space="preserve"> </w:t>
      </w:r>
      <w:r>
        <w:t>my</w:t>
      </w:r>
      <w:r>
        <w:rPr>
          <w:spacing w:val="-3"/>
        </w:rPr>
        <w:t xml:space="preserve"> </w:t>
      </w:r>
      <w:r>
        <w:t>perceptions</w:t>
      </w:r>
      <w:r>
        <w:rPr>
          <w:spacing w:val="-4"/>
        </w:rPr>
        <w:t xml:space="preserve"> </w:t>
      </w:r>
      <w:r>
        <w:t>are</w:t>
      </w:r>
      <w:r>
        <w:rPr>
          <w:spacing w:val="-4"/>
        </w:rPr>
        <w:t xml:space="preserve"> </w:t>
      </w:r>
      <w:r>
        <w:t>remov’d</w:t>
      </w:r>
      <w:r>
        <w:rPr>
          <w:spacing w:val="-3"/>
        </w:rPr>
        <w:t xml:space="preserve"> </w:t>
      </w:r>
      <w:r>
        <w:t>for</w:t>
      </w:r>
      <w:r>
        <w:rPr>
          <w:spacing w:val="-4"/>
        </w:rPr>
        <w:t xml:space="preserve"> </w:t>
      </w:r>
      <w:r>
        <w:t>any</w:t>
      </w:r>
      <w:r>
        <w:rPr>
          <w:spacing w:val="-3"/>
        </w:rPr>
        <w:t xml:space="preserve"> </w:t>
      </w:r>
      <w:r>
        <w:t>time,</w:t>
      </w:r>
      <w:r>
        <w:rPr>
          <w:spacing w:val="-3"/>
        </w:rPr>
        <w:t xml:space="preserve"> </w:t>
      </w:r>
      <w:r>
        <w:t>as</w:t>
      </w:r>
      <w:r>
        <w:rPr>
          <w:spacing w:val="-4"/>
        </w:rPr>
        <w:t xml:space="preserve"> </w:t>
      </w:r>
      <w:r>
        <w:t>by</w:t>
      </w:r>
      <w:r>
        <w:rPr>
          <w:spacing w:val="-3"/>
        </w:rPr>
        <w:t xml:space="preserve"> </w:t>
      </w:r>
      <w:r>
        <w:t>sound</w:t>
      </w:r>
      <w:r>
        <w:rPr>
          <w:spacing w:val="-3"/>
        </w:rPr>
        <w:t xml:space="preserve"> </w:t>
      </w:r>
      <w:r>
        <w:t>sleep;</w:t>
      </w:r>
      <w:r>
        <w:rPr>
          <w:spacing w:val="-4"/>
        </w:rPr>
        <w:t xml:space="preserve"> </w:t>
      </w:r>
      <w:r>
        <w:t>so</w:t>
      </w:r>
      <w:r>
        <w:rPr>
          <w:spacing w:val="-3"/>
        </w:rPr>
        <w:t xml:space="preserve"> </w:t>
      </w:r>
      <w:r>
        <w:t xml:space="preserve">long am I insensible of </w:t>
      </w:r>
      <w:r>
        <w:rPr>
          <w:i/>
        </w:rPr>
        <w:t>myself,</w:t>
      </w:r>
      <w:r>
        <w:rPr>
          <w:i/>
          <w:spacing w:val="-3"/>
        </w:rPr>
        <w:t xml:space="preserve"> </w:t>
      </w:r>
      <w:r>
        <w:t>and may truly be said not to exist. And were all my perceptions remov’d by death, and cou’d I neither think, nor feel, nor see, nor love, nor hate after the dissolution of my body, I should be</w:t>
      </w:r>
      <w:r>
        <w:rPr>
          <w:spacing w:val="40"/>
        </w:rPr>
        <w:t xml:space="preserve"> </w:t>
      </w:r>
      <w:r>
        <w:t>entirely annihilated, nor do I conceive what is farther requisite to make me</w:t>
      </w:r>
    </w:p>
    <w:p w14:paraId="7E001E24" w14:textId="77777777" w:rsidR="009A58DB" w:rsidRDefault="00000000">
      <w:pPr>
        <w:pStyle w:val="BodyText"/>
        <w:spacing w:before="6" w:line="277" w:lineRule="exact"/>
        <w:ind w:left="3142"/>
        <w:jc w:val="left"/>
      </w:pPr>
      <w:bookmarkStart w:id="414" w:name="_bookmark414"/>
      <w:bookmarkEnd w:id="414"/>
      <w:r>
        <w:rPr>
          <w:color w:val="0562C1"/>
          <w:spacing w:val="-2"/>
          <w:u w:val="single" w:color="0562C1"/>
        </w:rPr>
        <w:t>[298]</w:t>
      </w:r>
    </w:p>
    <w:p w14:paraId="7E001E25" w14:textId="77777777" w:rsidR="009A58DB" w:rsidRDefault="00000000">
      <w:pPr>
        <w:pStyle w:val="BodyText"/>
        <w:spacing w:line="277" w:lineRule="exact"/>
        <w:ind w:left="720"/>
        <w:jc w:val="left"/>
      </w:pPr>
      <w:r>
        <w:t>a</w:t>
      </w:r>
      <w:r>
        <w:rPr>
          <w:spacing w:val="-4"/>
        </w:rPr>
        <w:t xml:space="preserve"> </w:t>
      </w:r>
      <w:r>
        <w:t>perfect</w:t>
      </w:r>
      <w:r>
        <w:rPr>
          <w:spacing w:val="-4"/>
        </w:rPr>
        <w:t xml:space="preserve"> </w:t>
      </w:r>
      <w:r>
        <w:t>non-</w:t>
      </w:r>
      <w:r>
        <w:rPr>
          <w:spacing w:val="-2"/>
        </w:rPr>
        <w:t>entity.</w:t>
      </w:r>
    </w:p>
    <w:p w14:paraId="7E001E26" w14:textId="77777777" w:rsidR="009A58DB" w:rsidRDefault="009A58DB">
      <w:pPr>
        <w:pStyle w:val="BodyText"/>
        <w:spacing w:before="30"/>
        <w:ind w:left="0"/>
        <w:jc w:val="left"/>
      </w:pPr>
    </w:p>
    <w:p w14:paraId="7E001E27" w14:textId="77777777" w:rsidR="009A58DB" w:rsidRDefault="00000000">
      <w:pPr>
        <w:pStyle w:val="BodyText"/>
        <w:spacing w:line="249" w:lineRule="auto"/>
        <w:ind w:right="360" w:firstLine="360"/>
      </w:pPr>
      <w:r>
        <w:t>This argument, unlike the first, isn’t empirical at all. This time, Hume is trying to show on purely conceptual grounds that there is nothing underlying the</w:t>
      </w:r>
      <w:r>
        <w:rPr>
          <w:spacing w:val="-4"/>
        </w:rPr>
        <w:t xml:space="preserve"> </w:t>
      </w:r>
      <w:r>
        <w:t>various</w:t>
      </w:r>
      <w:r>
        <w:rPr>
          <w:spacing w:val="-4"/>
        </w:rPr>
        <w:t xml:space="preserve"> </w:t>
      </w:r>
      <w:r>
        <w:t>events</w:t>
      </w:r>
      <w:r>
        <w:rPr>
          <w:spacing w:val="-4"/>
        </w:rPr>
        <w:t xml:space="preserve"> </w:t>
      </w:r>
      <w:r>
        <w:t>occupying</w:t>
      </w:r>
      <w:r>
        <w:rPr>
          <w:spacing w:val="-3"/>
        </w:rPr>
        <w:t xml:space="preserve"> </w:t>
      </w:r>
      <w:r>
        <w:t>a</w:t>
      </w:r>
      <w:r>
        <w:rPr>
          <w:spacing w:val="-4"/>
        </w:rPr>
        <w:t xml:space="preserve"> </w:t>
      </w:r>
      <w:r>
        <w:t>person’s</w:t>
      </w:r>
      <w:r>
        <w:rPr>
          <w:spacing w:val="-4"/>
        </w:rPr>
        <w:t xml:space="preserve"> </w:t>
      </w:r>
      <w:r>
        <w:t>mind.</w:t>
      </w:r>
      <w:r>
        <w:rPr>
          <w:spacing w:val="-3"/>
        </w:rPr>
        <w:t xml:space="preserve"> </w:t>
      </w:r>
      <w:r>
        <w:t>He’s</w:t>
      </w:r>
      <w:r>
        <w:rPr>
          <w:spacing w:val="-4"/>
        </w:rPr>
        <w:t xml:space="preserve"> </w:t>
      </w:r>
      <w:r>
        <w:t>arguing</w:t>
      </w:r>
      <w:r>
        <w:rPr>
          <w:spacing w:val="-3"/>
        </w:rPr>
        <w:t xml:space="preserve"> </w:t>
      </w:r>
      <w:r>
        <w:t>that</w:t>
      </w:r>
      <w:r>
        <w:rPr>
          <w:spacing w:val="-4"/>
        </w:rPr>
        <w:t xml:space="preserve"> </w:t>
      </w:r>
      <w:r>
        <w:t>the</w:t>
      </w:r>
      <w:r>
        <w:rPr>
          <w:spacing w:val="-4"/>
        </w:rPr>
        <w:t xml:space="preserve"> </w:t>
      </w:r>
      <w:r>
        <w:t>very</w:t>
      </w:r>
      <w:r>
        <w:rPr>
          <w:spacing w:val="-4"/>
        </w:rPr>
        <w:t xml:space="preserve"> </w:t>
      </w:r>
      <w:r>
        <w:rPr>
          <w:i/>
        </w:rPr>
        <w:t xml:space="preserve">idea </w:t>
      </w:r>
      <w:r>
        <w:t>of such a thing is an incoherent one, like that of a square circle. Why is this idea incoherent? Because, Hume says, it has the, in his view, patently absurd</w:t>
      </w:r>
    </w:p>
    <w:p w14:paraId="7E001E2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29" w14:textId="77777777" w:rsidR="009A58DB" w:rsidRDefault="00000000">
      <w:pPr>
        <w:pStyle w:val="BodyText"/>
        <w:spacing w:before="61"/>
      </w:pPr>
      <w:r>
        <w:lastRenderedPageBreak/>
        <w:t>consequence</w:t>
      </w:r>
      <w:r>
        <w:rPr>
          <w:spacing w:val="-6"/>
        </w:rPr>
        <w:t xml:space="preserve"> </w:t>
      </w:r>
      <w:r>
        <w:t>that</w:t>
      </w:r>
      <w:r>
        <w:rPr>
          <w:spacing w:val="-4"/>
        </w:rPr>
        <w:t xml:space="preserve"> </w:t>
      </w:r>
      <w:r>
        <w:t>there</w:t>
      </w:r>
      <w:r>
        <w:rPr>
          <w:spacing w:val="-4"/>
        </w:rPr>
        <w:t xml:space="preserve"> </w:t>
      </w:r>
      <w:r>
        <w:t>could</w:t>
      </w:r>
      <w:r>
        <w:rPr>
          <w:spacing w:val="-4"/>
        </w:rPr>
        <w:t xml:space="preserve"> </w:t>
      </w:r>
      <w:r>
        <w:t>be</w:t>
      </w:r>
      <w:r>
        <w:rPr>
          <w:spacing w:val="-3"/>
        </w:rPr>
        <w:t xml:space="preserve"> </w:t>
      </w:r>
      <w:r>
        <w:t>thought-free</w:t>
      </w:r>
      <w:r>
        <w:rPr>
          <w:spacing w:val="-4"/>
        </w:rPr>
        <w:t xml:space="preserve"> </w:t>
      </w:r>
      <w:r>
        <w:rPr>
          <w:spacing w:val="-2"/>
        </w:rPr>
        <w:t>minds.</w:t>
      </w:r>
    </w:p>
    <w:p w14:paraId="7E001E2A" w14:textId="77777777" w:rsidR="009A58DB" w:rsidRDefault="00000000">
      <w:pPr>
        <w:pStyle w:val="Heading1"/>
        <w:numPr>
          <w:ilvl w:val="2"/>
          <w:numId w:val="90"/>
        </w:numPr>
        <w:tabs>
          <w:tab w:val="left" w:pos="990"/>
          <w:tab w:val="left" w:pos="1305"/>
        </w:tabs>
        <w:spacing w:before="207" w:line="244" w:lineRule="auto"/>
        <w:ind w:left="990" w:right="424" w:hanging="630"/>
      </w:pPr>
      <w:r>
        <w:t>Evaluating this argument: Hume’s failure to distinguish</w:t>
      </w:r>
      <w:r>
        <w:rPr>
          <w:spacing w:val="-9"/>
        </w:rPr>
        <w:t xml:space="preserve"> </w:t>
      </w:r>
      <w:r>
        <w:t>between</w:t>
      </w:r>
      <w:r>
        <w:rPr>
          <w:spacing w:val="-9"/>
        </w:rPr>
        <w:t xml:space="preserve"> </w:t>
      </w:r>
      <w:r>
        <w:t>two</w:t>
      </w:r>
      <w:r>
        <w:rPr>
          <w:spacing w:val="-8"/>
        </w:rPr>
        <w:t xml:space="preserve"> </w:t>
      </w:r>
      <w:r>
        <w:t>very</w:t>
      </w:r>
      <w:r>
        <w:rPr>
          <w:spacing w:val="-8"/>
        </w:rPr>
        <w:t xml:space="preserve"> </w:t>
      </w:r>
      <w:r>
        <w:t>different</w:t>
      </w:r>
      <w:r>
        <w:rPr>
          <w:spacing w:val="-9"/>
        </w:rPr>
        <w:t xml:space="preserve"> </w:t>
      </w:r>
      <w:r>
        <w:t>meanings of the word “thought”</w:t>
      </w:r>
    </w:p>
    <w:p w14:paraId="7E001E2B" w14:textId="77777777" w:rsidR="009A58DB" w:rsidRDefault="00000000">
      <w:pPr>
        <w:pStyle w:val="BodyText"/>
        <w:spacing w:before="134" w:line="249" w:lineRule="auto"/>
        <w:ind w:right="361"/>
      </w:pPr>
      <w:r>
        <w:t xml:space="preserve">Hume is right that </w:t>
      </w:r>
      <w:r>
        <w:rPr>
          <w:i/>
        </w:rPr>
        <w:t>if</w:t>
      </w:r>
      <w:r>
        <w:rPr>
          <w:i/>
          <w:spacing w:val="-4"/>
        </w:rPr>
        <w:t xml:space="preserve"> </w:t>
      </w:r>
      <w:r>
        <w:t>there</w:t>
      </w:r>
      <w:r>
        <w:rPr>
          <w:spacing w:val="-1"/>
        </w:rPr>
        <w:t xml:space="preserve"> </w:t>
      </w:r>
      <w:r>
        <w:t>is some inner</w:t>
      </w:r>
      <w:r>
        <w:rPr>
          <w:spacing w:val="-1"/>
        </w:rPr>
        <w:t xml:space="preserve"> </w:t>
      </w:r>
      <w:r>
        <w:t>flame</w:t>
      </w:r>
      <w:r>
        <w:rPr>
          <w:spacing w:val="-1"/>
        </w:rPr>
        <w:t xml:space="preserve"> </w:t>
      </w:r>
      <w:r>
        <w:rPr>
          <w:i/>
        </w:rPr>
        <w:t>underlying</w:t>
      </w:r>
      <w:r>
        <w:rPr>
          <w:i/>
          <w:spacing w:val="-3"/>
        </w:rPr>
        <w:t xml:space="preserve"> </w:t>
      </w:r>
      <w:r>
        <w:t xml:space="preserve">one’s thoughts, and therefore distinct from them, it </w:t>
      </w:r>
      <w:r>
        <w:rPr>
          <w:i/>
        </w:rPr>
        <w:t xml:space="preserve">does </w:t>
      </w:r>
      <w:r>
        <w:t xml:space="preserve">follow that one’s self could exist in a thought-free condition. But Hume is wrong to say that a thought-free self is an absurdity. The reason Hume </w:t>
      </w:r>
      <w:r>
        <w:rPr>
          <w:i/>
        </w:rPr>
        <w:t xml:space="preserve">thinks </w:t>
      </w:r>
      <w:r>
        <w:t>it absurd is that he fails to distinguish two very different meanings of the word “thought.”</w:t>
      </w:r>
    </w:p>
    <w:p w14:paraId="7E001E2C" w14:textId="77777777" w:rsidR="009A58DB" w:rsidRDefault="00000000">
      <w:pPr>
        <w:pStyle w:val="BodyText"/>
        <w:spacing w:before="6" w:line="249" w:lineRule="auto"/>
        <w:ind w:right="359" w:firstLine="360"/>
      </w:pPr>
      <w:r>
        <w:t xml:space="preserve">Sometimes the word “thought” refers to mental occurrences—to what are now known as </w:t>
      </w:r>
      <w:r>
        <w:rPr>
          <w:i/>
        </w:rPr>
        <w:t xml:space="preserve">occurrent </w:t>
      </w:r>
      <w:r>
        <w:t>mental phenomena. An occurrent mental phenomenon is anything mental that happens. Sense-perceptions are occurrent mental phenomena; and so are acts of ratiocination and emotional epiphanies. (This list is far from complete.)</w:t>
      </w:r>
    </w:p>
    <w:p w14:paraId="7E001E2D" w14:textId="77777777" w:rsidR="009A58DB" w:rsidRDefault="00000000">
      <w:pPr>
        <w:pStyle w:val="BodyText"/>
        <w:spacing w:before="6" w:line="249" w:lineRule="auto"/>
        <w:ind w:right="358" w:firstLine="360"/>
        <w:rPr>
          <w:i/>
        </w:rPr>
      </w:pPr>
      <w:r>
        <w:t xml:space="preserve">But sometimes the word “thought” refers to the relatively stable </w:t>
      </w:r>
      <w:r>
        <w:rPr>
          <w:i/>
        </w:rPr>
        <w:t xml:space="preserve">structures </w:t>
      </w:r>
      <w:r>
        <w:t>that</w:t>
      </w:r>
      <w:r>
        <w:rPr>
          <w:spacing w:val="-4"/>
        </w:rPr>
        <w:t xml:space="preserve"> </w:t>
      </w:r>
      <w:r>
        <w:rPr>
          <w:i/>
        </w:rPr>
        <w:t xml:space="preserve">underlie </w:t>
      </w:r>
      <w:r>
        <w:t xml:space="preserve">mental occurrences. “For the first twenty years of my academic career,” a philosopher once said to me, “I thought that Platonism was false.” This person was describing a stable, structural constituent of his mind, not a mental </w:t>
      </w:r>
      <w:r>
        <w:rPr>
          <w:i/>
        </w:rPr>
        <w:t>happening.</w:t>
      </w:r>
    </w:p>
    <w:p w14:paraId="7E001E2E" w14:textId="77777777" w:rsidR="009A58DB" w:rsidRDefault="00000000">
      <w:pPr>
        <w:pStyle w:val="BodyText"/>
        <w:spacing w:before="6" w:line="249" w:lineRule="auto"/>
        <w:ind w:right="358" w:firstLine="360"/>
      </w:pPr>
      <w:r>
        <w:t>If, by “thought,” Hume means “mental happening,” then, contrary to what he alleges, there’s nothing incoherent in the idea of a mind that, during some period, isn’t populated by thoughts.</w:t>
      </w:r>
    </w:p>
    <w:p w14:paraId="7E001E2F" w14:textId="77777777" w:rsidR="009A58DB" w:rsidRDefault="00000000">
      <w:pPr>
        <w:pStyle w:val="BodyText"/>
        <w:spacing w:before="4" w:line="249" w:lineRule="auto"/>
        <w:ind w:right="366" w:firstLine="360"/>
      </w:pPr>
      <w:r>
        <w:t xml:space="preserve">If by “thought,” Hume means “stable mental structure,” then Hume </w:t>
      </w:r>
      <w:r>
        <w:rPr>
          <w:i/>
        </w:rPr>
        <w:t>is</w:t>
      </w:r>
      <w:r>
        <w:rPr>
          <w:i/>
          <w:spacing w:val="40"/>
        </w:rPr>
        <w:t xml:space="preserve"> </w:t>
      </w:r>
      <w:r>
        <w:t>right to say that there couldn’t be thought-free minds. We saw why this is so in Section 6.1.6. Given that, if selves were distinct from their thoughts, there could be thought-free minds. So, given that there cannot be thought-free minds, selves are constituted by the thoughts that belong to them.</w:t>
      </w:r>
    </w:p>
    <w:p w14:paraId="7E001E30" w14:textId="77777777" w:rsidR="009A58DB" w:rsidRDefault="00000000">
      <w:pPr>
        <w:pStyle w:val="BodyText"/>
        <w:spacing w:before="6" w:line="249" w:lineRule="auto"/>
        <w:ind w:right="358" w:firstLine="360"/>
      </w:pPr>
      <w:r>
        <w:t>So, after a fashion, Hume is right. Just as he says, there is nothing to one’s self other than the thoughts one has. But this claim of his isn’t right in the way he thought it was. He thought that one’s self consists of the thoughts (=fleeting</w:t>
      </w:r>
      <w:r>
        <w:rPr>
          <w:spacing w:val="-3"/>
        </w:rPr>
        <w:t xml:space="preserve"> </w:t>
      </w:r>
      <w:r>
        <w:t>mental</w:t>
      </w:r>
      <w:r>
        <w:rPr>
          <w:spacing w:val="-4"/>
        </w:rPr>
        <w:t xml:space="preserve"> </w:t>
      </w:r>
      <w:r>
        <w:t>occurrences)</w:t>
      </w:r>
      <w:r>
        <w:rPr>
          <w:spacing w:val="-4"/>
        </w:rPr>
        <w:t xml:space="preserve"> </w:t>
      </w:r>
      <w:r>
        <w:t>that</w:t>
      </w:r>
      <w:r>
        <w:rPr>
          <w:spacing w:val="-4"/>
        </w:rPr>
        <w:t xml:space="preserve"> </w:t>
      </w:r>
      <w:r>
        <w:t>occupy</w:t>
      </w:r>
      <w:r>
        <w:rPr>
          <w:spacing w:val="-3"/>
        </w:rPr>
        <w:t xml:space="preserve"> </w:t>
      </w:r>
      <w:r>
        <w:t>it,</w:t>
      </w:r>
      <w:r>
        <w:rPr>
          <w:spacing w:val="-3"/>
        </w:rPr>
        <w:t xml:space="preserve"> </w:t>
      </w:r>
      <w:r>
        <w:t>and</w:t>
      </w:r>
      <w:r>
        <w:rPr>
          <w:spacing w:val="-3"/>
        </w:rPr>
        <w:t xml:space="preserve"> </w:t>
      </w:r>
      <w:r>
        <w:t>not</w:t>
      </w:r>
      <w:r>
        <w:rPr>
          <w:spacing w:val="-4"/>
        </w:rPr>
        <w:t xml:space="preserve"> </w:t>
      </w:r>
      <w:r>
        <w:t>of</w:t>
      </w:r>
      <w:r>
        <w:rPr>
          <w:spacing w:val="-4"/>
        </w:rPr>
        <w:t xml:space="preserve"> </w:t>
      </w:r>
      <w:r>
        <w:t>the</w:t>
      </w:r>
      <w:r>
        <w:rPr>
          <w:spacing w:val="-4"/>
        </w:rPr>
        <w:t xml:space="preserve"> </w:t>
      </w:r>
      <w:r>
        <w:t>thoughts</w:t>
      </w:r>
      <w:r>
        <w:rPr>
          <w:spacing w:val="-4"/>
        </w:rPr>
        <w:t xml:space="preserve"> </w:t>
      </w:r>
      <w:r>
        <w:t>(=stable structures that create and regulate such occurrences). We’ve already</w:t>
      </w:r>
      <w:r>
        <w:rPr>
          <w:spacing w:val="40"/>
        </w:rPr>
        <w:t xml:space="preserve"> </w:t>
      </w:r>
      <w:r>
        <w:t>discussed</w:t>
      </w:r>
      <w:r>
        <w:rPr>
          <w:spacing w:val="63"/>
          <w:w w:val="150"/>
        </w:rPr>
        <w:t xml:space="preserve"> </w:t>
      </w:r>
      <w:r>
        <w:t>why</w:t>
      </w:r>
      <w:r>
        <w:rPr>
          <w:spacing w:val="66"/>
          <w:w w:val="150"/>
        </w:rPr>
        <w:t xml:space="preserve"> </w:t>
      </w:r>
      <w:r>
        <w:t>Hume</w:t>
      </w:r>
      <w:r>
        <w:rPr>
          <w:spacing w:val="66"/>
          <w:w w:val="150"/>
        </w:rPr>
        <w:t xml:space="preserve"> </w:t>
      </w:r>
      <w:r>
        <w:t>didn’t</w:t>
      </w:r>
      <w:r>
        <w:rPr>
          <w:spacing w:val="66"/>
          <w:w w:val="150"/>
        </w:rPr>
        <w:t xml:space="preserve"> </w:t>
      </w:r>
      <w:r>
        <w:t>even</w:t>
      </w:r>
      <w:r>
        <w:rPr>
          <w:spacing w:val="66"/>
          <w:w w:val="150"/>
        </w:rPr>
        <w:t xml:space="preserve"> </w:t>
      </w:r>
      <w:r>
        <w:t>grant</w:t>
      </w:r>
      <w:r>
        <w:rPr>
          <w:spacing w:val="66"/>
          <w:w w:val="150"/>
        </w:rPr>
        <w:t xml:space="preserve"> </w:t>
      </w:r>
      <w:r>
        <w:t>the</w:t>
      </w:r>
      <w:r>
        <w:rPr>
          <w:spacing w:val="66"/>
          <w:w w:val="150"/>
        </w:rPr>
        <w:t xml:space="preserve"> </w:t>
      </w:r>
      <w:r>
        <w:t>existence</w:t>
      </w:r>
      <w:r>
        <w:rPr>
          <w:spacing w:val="66"/>
          <w:w w:val="150"/>
        </w:rPr>
        <w:t xml:space="preserve"> </w:t>
      </w:r>
      <w:r>
        <w:t>of</w:t>
      </w:r>
      <w:r>
        <w:rPr>
          <w:spacing w:val="66"/>
          <w:w w:val="150"/>
        </w:rPr>
        <w:t xml:space="preserve"> </w:t>
      </w:r>
      <w:r>
        <w:t>stable</w:t>
      </w:r>
      <w:r>
        <w:rPr>
          <w:spacing w:val="66"/>
          <w:w w:val="150"/>
        </w:rPr>
        <w:t xml:space="preserve"> </w:t>
      </w:r>
      <w:r>
        <w:rPr>
          <w:spacing w:val="-2"/>
        </w:rPr>
        <w:t>mental</w:t>
      </w:r>
    </w:p>
    <w:p w14:paraId="7E001E3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32" w14:textId="77777777" w:rsidR="009A58DB" w:rsidRDefault="00000000">
      <w:pPr>
        <w:pStyle w:val="BodyText"/>
        <w:spacing w:before="60"/>
      </w:pPr>
      <w:r>
        <w:lastRenderedPageBreak/>
        <w:t>structures</w:t>
      </w:r>
      <w:r>
        <w:rPr>
          <w:spacing w:val="-6"/>
        </w:rPr>
        <w:t xml:space="preserve"> </w:t>
      </w:r>
      <w:r>
        <w:t>or,</w:t>
      </w:r>
      <w:r>
        <w:rPr>
          <w:spacing w:val="-3"/>
        </w:rPr>
        <w:t xml:space="preserve"> </w:t>
      </w:r>
      <w:r>
        <w:t>indeed,</w:t>
      </w:r>
      <w:r>
        <w:rPr>
          <w:spacing w:val="-3"/>
        </w:rPr>
        <w:t xml:space="preserve"> </w:t>
      </w:r>
      <w:r>
        <w:t>of</w:t>
      </w:r>
      <w:r>
        <w:rPr>
          <w:spacing w:val="-3"/>
        </w:rPr>
        <w:t xml:space="preserve"> </w:t>
      </w:r>
      <w:r>
        <w:t>structures</w:t>
      </w:r>
      <w:r>
        <w:rPr>
          <w:spacing w:val="-4"/>
        </w:rPr>
        <w:t xml:space="preserve"> </w:t>
      </w:r>
      <w:r>
        <w:t>of</w:t>
      </w:r>
      <w:r>
        <w:rPr>
          <w:spacing w:val="-4"/>
        </w:rPr>
        <w:t xml:space="preserve"> </w:t>
      </w:r>
      <w:r>
        <w:t>any</w:t>
      </w:r>
      <w:r>
        <w:rPr>
          <w:spacing w:val="-2"/>
        </w:rPr>
        <w:t xml:space="preserve"> kind.</w:t>
      </w:r>
    </w:p>
    <w:p w14:paraId="7E001E33" w14:textId="77777777" w:rsidR="009A58DB" w:rsidRDefault="00000000">
      <w:pPr>
        <w:pStyle w:val="Heading1"/>
        <w:numPr>
          <w:ilvl w:val="1"/>
          <w:numId w:val="89"/>
        </w:numPr>
        <w:tabs>
          <w:tab w:val="left" w:pos="780"/>
          <w:tab w:val="left" w:pos="990"/>
        </w:tabs>
        <w:spacing w:before="208" w:line="244" w:lineRule="auto"/>
        <w:ind w:right="1532" w:hanging="420"/>
      </w:pPr>
      <w:r>
        <w:t>Objectual</w:t>
      </w:r>
      <w:r>
        <w:rPr>
          <w:spacing w:val="-11"/>
        </w:rPr>
        <w:t xml:space="preserve"> </w:t>
      </w:r>
      <w:r>
        <w:t>identity</w:t>
      </w:r>
      <w:r>
        <w:rPr>
          <w:spacing w:val="-10"/>
        </w:rPr>
        <w:t xml:space="preserve"> </w:t>
      </w:r>
      <w:r>
        <w:t>revisited:</w:t>
      </w:r>
      <w:r>
        <w:rPr>
          <w:spacing w:val="-11"/>
        </w:rPr>
        <w:t xml:space="preserve"> </w:t>
      </w:r>
      <w:r>
        <w:t>Which</w:t>
      </w:r>
      <w:r>
        <w:rPr>
          <w:spacing w:val="-11"/>
        </w:rPr>
        <w:t xml:space="preserve"> </w:t>
      </w:r>
      <w:r>
        <w:t>causal sequences are thing-constitutive?</w:t>
      </w:r>
    </w:p>
    <w:p w14:paraId="7E001E34" w14:textId="77777777" w:rsidR="009A58DB" w:rsidRDefault="00000000">
      <w:pPr>
        <w:pStyle w:val="BodyText"/>
        <w:spacing w:before="131"/>
      </w:pPr>
      <w:r>
        <w:t>Earlier</w:t>
      </w:r>
      <w:r>
        <w:rPr>
          <w:spacing w:val="18"/>
        </w:rPr>
        <w:t xml:space="preserve"> </w:t>
      </w:r>
      <w:r>
        <w:t>in</w:t>
      </w:r>
      <w:r>
        <w:rPr>
          <w:spacing w:val="20"/>
        </w:rPr>
        <w:t xml:space="preserve"> </w:t>
      </w:r>
      <w:r>
        <w:t>this</w:t>
      </w:r>
      <w:r>
        <w:rPr>
          <w:spacing w:val="20"/>
        </w:rPr>
        <w:t xml:space="preserve"> </w:t>
      </w:r>
      <w:r>
        <w:t>chapter,</w:t>
      </w:r>
      <w:r>
        <w:rPr>
          <w:spacing w:val="20"/>
        </w:rPr>
        <w:t xml:space="preserve"> </w:t>
      </w:r>
      <w:r>
        <w:t>we</w:t>
      </w:r>
      <w:r>
        <w:rPr>
          <w:spacing w:val="20"/>
        </w:rPr>
        <w:t xml:space="preserve"> </w:t>
      </w:r>
      <w:r>
        <w:t>saw</w:t>
      </w:r>
      <w:r>
        <w:rPr>
          <w:spacing w:val="20"/>
        </w:rPr>
        <w:t xml:space="preserve"> </w:t>
      </w:r>
      <w:r>
        <w:t>that</w:t>
      </w:r>
      <w:r>
        <w:rPr>
          <w:spacing w:val="20"/>
        </w:rPr>
        <w:t xml:space="preserve"> </w:t>
      </w:r>
      <w:r>
        <w:t>every</w:t>
      </w:r>
      <w:r>
        <w:rPr>
          <w:spacing w:val="20"/>
        </w:rPr>
        <w:t xml:space="preserve"> </w:t>
      </w:r>
      <w:r>
        <w:t>object—every</w:t>
      </w:r>
      <w:r>
        <w:rPr>
          <w:spacing w:val="20"/>
        </w:rPr>
        <w:t xml:space="preserve"> </w:t>
      </w:r>
      <w:r>
        <w:t>rock,</w:t>
      </w:r>
      <w:r>
        <w:rPr>
          <w:spacing w:val="20"/>
        </w:rPr>
        <w:t xml:space="preserve"> </w:t>
      </w:r>
      <w:r>
        <w:t>tree,</w:t>
      </w:r>
      <w:r>
        <w:rPr>
          <w:spacing w:val="20"/>
        </w:rPr>
        <w:t xml:space="preserve"> </w:t>
      </w:r>
      <w:r>
        <w:t>and</w:t>
      </w:r>
      <w:r>
        <w:rPr>
          <w:spacing w:val="20"/>
        </w:rPr>
        <w:t xml:space="preserve"> </w:t>
      </w:r>
      <w:r>
        <w:rPr>
          <w:spacing w:val="-4"/>
        </w:rPr>
        <w:t>vase</w:t>
      </w:r>
    </w:p>
    <w:p w14:paraId="7E001E35" w14:textId="77777777" w:rsidR="009A58DB" w:rsidRDefault="00000000">
      <w:pPr>
        <w:pStyle w:val="BodyText"/>
        <w:spacing w:before="15" w:line="249" w:lineRule="auto"/>
        <w:ind w:right="371"/>
      </w:pPr>
      <w:r>
        <w:t>—is a causal sequence. But not every causal sequence constitutes some one object. Some constitute more than one. Others constitute none.</w:t>
      </w:r>
    </w:p>
    <w:p w14:paraId="7E001E36" w14:textId="77777777" w:rsidR="009A58DB" w:rsidRDefault="00000000">
      <w:pPr>
        <w:pStyle w:val="BodyText"/>
        <w:spacing w:before="3" w:line="249" w:lineRule="auto"/>
        <w:ind w:right="358" w:firstLine="360"/>
      </w:pPr>
      <w:r>
        <w:t>Here’s an example of one that constitutes no objects. Suppose that billiard ball #1 strikes hitherto stationary billiard ball #2, causing it to roll. Ball #2 then strikes hitherto stationary billiard ball #3, causing it to roll. And so on. This sequence of events doesn’t constitute a single entity; this sequence isn’t like a rock or a tree or an ice cube.</w:t>
      </w:r>
    </w:p>
    <w:p w14:paraId="7E001E37" w14:textId="77777777" w:rsidR="009A58DB" w:rsidRDefault="00000000">
      <w:pPr>
        <w:pStyle w:val="BodyText"/>
        <w:spacing w:before="6" w:line="271" w:lineRule="auto"/>
        <w:ind w:right="365" w:firstLine="360"/>
      </w:pPr>
      <w:r>
        <w:t>Here’s an example of a causal sequence that constitutes more than one object. Let S</w:t>
      </w:r>
      <w:r>
        <w:rPr>
          <w:vertAlign w:val="subscript"/>
        </w:rPr>
        <w:t>1</w:t>
      </w:r>
      <w:r>
        <w:t xml:space="preserve"> be the series of</w:t>
      </w:r>
      <w:r>
        <w:rPr>
          <w:spacing w:val="-17"/>
        </w:rPr>
        <w:t xml:space="preserve"> </w:t>
      </w:r>
      <w:r>
        <w:t xml:space="preserve">events constituting some seed </w:t>
      </w:r>
      <w:r>
        <w:rPr>
          <w:i/>
        </w:rPr>
        <w:t xml:space="preserve">and </w:t>
      </w:r>
      <w:r>
        <w:t xml:space="preserve">the process by which that seed turns into a tree and </w:t>
      </w:r>
      <w:r>
        <w:rPr>
          <w:i/>
        </w:rPr>
        <w:t>the</w:t>
      </w:r>
      <w:r>
        <w:rPr>
          <w:i/>
          <w:spacing w:val="-2"/>
        </w:rPr>
        <w:t xml:space="preserve"> </w:t>
      </w:r>
      <w:r>
        <w:t>tree itself. S</w:t>
      </w:r>
      <w:r>
        <w:rPr>
          <w:vertAlign w:val="subscript"/>
        </w:rPr>
        <w:t>1</w:t>
      </w:r>
      <w:r>
        <w:rPr>
          <w:spacing w:val="-19"/>
        </w:rPr>
        <w:t xml:space="preserve"> </w:t>
      </w:r>
      <w:r>
        <w:t>is a</w:t>
      </w:r>
      <w:r>
        <w:rPr>
          <w:spacing w:val="-17"/>
        </w:rPr>
        <w:t xml:space="preserve"> </w:t>
      </w:r>
      <w:r>
        <w:t>causal series—a</w:t>
      </w:r>
    </w:p>
    <w:p w14:paraId="7E001E38" w14:textId="77777777" w:rsidR="009A58DB" w:rsidRDefault="00000000">
      <w:pPr>
        <w:pStyle w:val="BodyText"/>
        <w:spacing w:before="31" w:line="249" w:lineRule="auto"/>
        <w:ind w:right="361"/>
      </w:pPr>
      <w:r>
        <w:t>textbook case. But it constitutes two distinct objects, not one. The seed isn’t a mini-tree. It’s a tree-precursor, not a tree, just as a gamete is a person-precursor, not an actual person. (Unlike people, gametes don’t have thoughts or fall in love or play the harmonica.)</w:t>
      </w:r>
    </w:p>
    <w:p w14:paraId="7E001E39" w14:textId="77777777" w:rsidR="009A58DB" w:rsidRDefault="00000000">
      <w:pPr>
        <w:pStyle w:val="BodyText"/>
        <w:spacing w:before="5" w:line="249" w:lineRule="auto"/>
        <w:ind w:right="362" w:firstLine="360"/>
      </w:pPr>
      <w:r>
        <w:t>Two questions arise. What is the difference between those causal sequences that are thing-constitutive and those that are not? Second, what is the difference between thing-internal change, on the one hand, and wholesale transformation, on the other?</w:t>
      </w:r>
    </w:p>
    <w:p w14:paraId="7E001E3A" w14:textId="77777777" w:rsidR="009A58DB" w:rsidRDefault="00000000">
      <w:pPr>
        <w:pStyle w:val="Heading1"/>
        <w:numPr>
          <w:ilvl w:val="1"/>
          <w:numId w:val="89"/>
        </w:numPr>
        <w:tabs>
          <w:tab w:val="left" w:pos="990"/>
        </w:tabs>
        <w:spacing w:before="207" w:line="244" w:lineRule="auto"/>
        <w:ind w:left="360" w:right="1417" w:firstLine="0"/>
      </w:pPr>
      <w:r>
        <w:t>Some</w:t>
      </w:r>
      <w:r>
        <w:rPr>
          <w:spacing w:val="-11"/>
        </w:rPr>
        <w:t xml:space="preserve"> </w:t>
      </w:r>
      <w:r>
        <w:t>general</w:t>
      </w:r>
      <w:r>
        <w:rPr>
          <w:spacing w:val="-11"/>
        </w:rPr>
        <w:t xml:space="preserve"> </w:t>
      </w:r>
      <w:r>
        <w:t>features</w:t>
      </w:r>
      <w:r>
        <w:rPr>
          <w:spacing w:val="-11"/>
        </w:rPr>
        <w:t xml:space="preserve"> </w:t>
      </w:r>
      <w:r>
        <w:t>of</w:t>
      </w:r>
      <w:r>
        <w:rPr>
          <w:spacing w:val="-11"/>
        </w:rPr>
        <w:t xml:space="preserve"> </w:t>
      </w:r>
      <w:r>
        <w:t>thing-constitutive causal sequences?</w:t>
      </w:r>
    </w:p>
    <w:p w14:paraId="7E001E3B" w14:textId="77777777" w:rsidR="009A58DB" w:rsidRDefault="00000000">
      <w:pPr>
        <w:pStyle w:val="BodyText"/>
        <w:spacing w:before="132" w:line="249" w:lineRule="auto"/>
        <w:ind w:right="358"/>
      </w:pPr>
      <w:r>
        <w:t xml:space="preserve">Nothing that endures for more than an instant is </w:t>
      </w:r>
      <w:r>
        <w:rPr>
          <w:i/>
        </w:rPr>
        <w:t xml:space="preserve">not </w:t>
      </w:r>
      <w:r>
        <w:t>a causal process. But what is distinctive about those causal processes that we think of as objects (e.g., frozen ice cubes) is that the changes constitutive of them occur within certain narrow and fixed limits.</w:t>
      </w:r>
    </w:p>
    <w:p w14:paraId="7E001E3C" w14:textId="77777777" w:rsidR="009A58DB" w:rsidRDefault="00000000">
      <w:pPr>
        <w:pStyle w:val="BodyText"/>
        <w:spacing w:before="5" w:line="249" w:lineRule="auto"/>
        <w:ind w:right="359" w:firstLine="360"/>
      </w:pPr>
      <w:r>
        <w:t>There’s nothing unchanging about any ice cube—even one that for the last fifty years has been inside in an undisturbed deep freezer. Given such ice-cube, every particle constituting it is in context flux; and the ice-cube itself is nothing but a flurry of activity.</w:t>
      </w:r>
    </w:p>
    <w:p w14:paraId="7E001E3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3E" w14:textId="77777777" w:rsidR="009A58DB" w:rsidRDefault="00000000">
      <w:pPr>
        <w:pStyle w:val="BodyText"/>
        <w:spacing w:before="65" w:line="249" w:lineRule="auto"/>
        <w:ind w:right="361" w:firstLine="360"/>
      </w:pPr>
      <w:r>
        <w:lastRenderedPageBreak/>
        <w:t xml:space="preserve">But even though those particles are all moving vigorously, they’re moving only in ways that allow the flurry they compose to retain more or less the same properties. The </w:t>
      </w:r>
      <w:r>
        <w:rPr>
          <w:i/>
        </w:rPr>
        <w:t xml:space="preserve">flurry </w:t>
      </w:r>
      <w:r>
        <w:t xml:space="preserve">doesn’t change, even though the things composing it do. The reason the flurry doesn’t change is that, although its components are changing incessantly, the way in which they change doesn’t </w:t>
      </w:r>
      <w:r>
        <w:rPr>
          <w:spacing w:val="-2"/>
        </w:rPr>
        <w:t>change.</w:t>
      </w:r>
    </w:p>
    <w:p w14:paraId="7E001E3F" w14:textId="77777777" w:rsidR="009A58DB" w:rsidRDefault="00000000">
      <w:pPr>
        <w:pStyle w:val="BodyText"/>
        <w:spacing w:before="7" w:line="249" w:lineRule="auto"/>
        <w:ind w:right="360" w:firstLine="360"/>
      </w:pPr>
      <w:r>
        <w:t xml:space="preserve">Thus, what we </w:t>
      </w:r>
      <w:r>
        <w:rPr>
          <w:i/>
        </w:rPr>
        <w:t xml:space="preserve">usually </w:t>
      </w:r>
      <w:r>
        <w:t>describe as “changes” are really second-order changes: changes in the changes themselves. Each molecule composing a given ice-cube is an arena within which ceaseless change occurs. But so long as</w:t>
      </w:r>
      <w:r>
        <w:rPr>
          <w:spacing w:val="-4"/>
        </w:rPr>
        <w:t xml:space="preserve"> </w:t>
      </w:r>
      <w:r>
        <w:t>the</w:t>
      </w:r>
      <w:r>
        <w:rPr>
          <w:spacing w:val="-4"/>
        </w:rPr>
        <w:t xml:space="preserve"> </w:t>
      </w:r>
      <w:r>
        <w:t>ice-cube</w:t>
      </w:r>
      <w:r>
        <w:rPr>
          <w:spacing w:val="-4"/>
        </w:rPr>
        <w:t xml:space="preserve"> </w:t>
      </w:r>
      <w:r>
        <w:t>remains</w:t>
      </w:r>
      <w:r>
        <w:rPr>
          <w:spacing w:val="-4"/>
        </w:rPr>
        <w:t xml:space="preserve"> </w:t>
      </w:r>
      <w:r>
        <w:t>intact,</w:t>
      </w:r>
      <w:r>
        <w:rPr>
          <w:spacing w:val="-3"/>
        </w:rPr>
        <w:t xml:space="preserve"> </w:t>
      </w:r>
      <w:r>
        <w:t>there</w:t>
      </w:r>
      <w:r>
        <w:rPr>
          <w:spacing w:val="-4"/>
        </w:rPr>
        <w:t xml:space="preserve"> </w:t>
      </w:r>
      <w:r>
        <w:t>are</w:t>
      </w:r>
      <w:r>
        <w:rPr>
          <w:spacing w:val="-4"/>
        </w:rPr>
        <w:t xml:space="preserve"> </w:t>
      </w:r>
      <w:r>
        <w:t>no</w:t>
      </w:r>
      <w:r>
        <w:rPr>
          <w:spacing w:val="-3"/>
        </w:rPr>
        <w:t xml:space="preserve"> </w:t>
      </w:r>
      <w:r>
        <w:t>significant</w:t>
      </w:r>
      <w:r>
        <w:rPr>
          <w:spacing w:val="-4"/>
        </w:rPr>
        <w:t xml:space="preserve"> </w:t>
      </w:r>
      <w:r>
        <w:t>changes</w:t>
      </w:r>
      <w:r>
        <w:rPr>
          <w:spacing w:val="-4"/>
        </w:rPr>
        <w:t xml:space="preserve"> </w:t>
      </w:r>
      <w:r>
        <w:t>in</w:t>
      </w:r>
      <w:r>
        <w:rPr>
          <w:spacing w:val="-3"/>
        </w:rPr>
        <w:t xml:space="preserve"> </w:t>
      </w:r>
      <w:r>
        <w:t>the</w:t>
      </w:r>
      <w:r>
        <w:rPr>
          <w:spacing w:val="-4"/>
        </w:rPr>
        <w:t xml:space="preserve"> </w:t>
      </w:r>
      <w:r>
        <w:t xml:space="preserve">relations borne to one another by these different arenas of change. That’s why the ice-cube is unphased by such changes. But if the ice-cube is smashed or melts into a puddle, those mutual relations </w:t>
      </w:r>
      <w:r>
        <w:rPr>
          <w:i/>
        </w:rPr>
        <w:t xml:space="preserve">are </w:t>
      </w:r>
      <w:r>
        <w:t>significantly changed. That’s why the ice-cube does not survive such changes.</w:t>
      </w:r>
    </w:p>
    <w:p w14:paraId="7E001E40" w14:textId="77777777" w:rsidR="009A58DB" w:rsidRDefault="00000000">
      <w:pPr>
        <w:pStyle w:val="Heading1"/>
        <w:numPr>
          <w:ilvl w:val="1"/>
          <w:numId w:val="89"/>
        </w:numPr>
        <w:tabs>
          <w:tab w:val="left" w:pos="990"/>
        </w:tabs>
        <w:spacing w:before="198"/>
        <w:ind w:left="990"/>
      </w:pPr>
      <w:r>
        <w:t>Change</w:t>
      </w:r>
      <w:r>
        <w:rPr>
          <w:spacing w:val="-3"/>
        </w:rPr>
        <w:t xml:space="preserve"> </w:t>
      </w:r>
      <w:r>
        <w:t>vs.</w:t>
      </w:r>
      <w:r>
        <w:rPr>
          <w:spacing w:val="-2"/>
        </w:rPr>
        <w:t xml:space="preserve"> obliteration</w:t>
      </w:r>
    </w:p>
    <w:p w14:paraId="7E001E41" w14:textId="77777777" w:rsidR="009A58DB" w:rsidRDefault="00000000">
      <w:pPr>
        <w:pStyle w:val="BodyText"/>
        <w:spacing w:before="139" w:line="249" w:lineRule="auto"/>
        <w:ind w:right="358"/>
      </w:pPr>
      <w:r>
        <w:t>Not all objects are as static as ice cubes, and our analysis must be refined if it is to deal with more dynamic entities (e.g., a living human body). Like a rock or an ice cube, a living body consists of individual particles each of which bristles with activity. But where living bodies are concerned, there are changes, sometimes dramatic ones, in the relations that these arenas of</w:t>
      </w:r>
      <w:r>
        <w:rPr>
          <w:spacing w:val="40"/>
        </w:rPr>
        <w:t xml:space="preserve"> </w:t>
      </w:r>
      <w:r>
        <w:t>change bear to one another. This happens whenever an organism develops in a positive direction, as when maturation or recovery strengthen it, or in a negative direction, as when old age or illness enfeeble it.</w:t>
      </w:r>
    </w:p>
    <w:p w14:paraId="7E001E42" w14:textId="77777777" w:rsidR="009A58DB" w:rsidRDefault="00000000">
      <w:pPr>
        <w:pStyle w:val="BodyText"/>
        <w:spacing w:before="10" w:line="249" w:lineRule="auto"/>
        <w:ind w:right="363" w:firstLine="360"/>
      </w:pPr>
      <w:r>
        <w:t>Thus, not all second-order changes jeopardize a thing’s existence, and sometimes they’re actually necessary for it. When do second-order changes destroy existence and when do they sustain it? “Such changes are existence-unfriendly,” it might be suggested, “when they’re abrupt or discontinuous</w:t>
      </w:r>
      <w:r>
        <w:rPr>
          <w:spacing w:val="40"/>
        </w:rPr>
        <w:t xml:space="preserve"> </w:t>
      </w:r>
      <w:r>
        <w:t>and they’re existence-friendly when they’re not.” But this isn’t the right answer, since the melting of an ice cube, though decidedly thing-</w:t>
      </w:r>
      <w:r>
        <w:rPr>
          <w:i/>
        </w:rPr>
        <w:t>un</w:t>
      </w:r>
      <w:r>
        <w:t>friendly, is as smooth a process as the development of an organism, which is a decidedly thing-friendly process.</w:t>
      </w:r>
    </w:p>
    <w:p w14:paraId="7E001E43" w14:textId="77777777" w:rsidR="009A58DB" w:rsidRDefault="00000000">
      <w:pPr>
        <w:pStyle w:val="BodyText"/>
        <w:spacing w:before="10" w:line="249" w:lineRule="auto"/>
        <w:ind w:right="361" w:firstLine="360"/>
      </w:pPr>
      <w:r>
        <w:t xml:space="preserve">“Changes are thing-preserving,” it will be said, “when they’re </w:t>
      </w:r>
      <w:r>
        <w:rPr>
          <w:i/>
        </w:rPr>
        <w:t xml:space="preserve">structure </w:t>
      </w:r>
      <w:r>
        <w:t>preserving. The general morphology of an adult human being is similar to</w:t>
      </w:r>
      <w:r>
        <w:rPr>
          <w:spacing w:val="40"/>
        </w:rPr>
        <w:t xml:space="preserve"> </w:t>
      </w:r>
      <w:r>
        <w:t>that of an infant. There are differences, of course, but they’re internal to more</w:t>
      </w:r>
    </w:p>
    <w:p w14:paraId="7E001E4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45" w14:textId="77777777" w:rsidR="009A58DB" w:rsidRDefault="00000000">
      <w:pPr>
        <w:pStyle w:val="BodyText"/>
        <w:spacing w:before="60" w:line="249" w:lineRule="auto"/>
        <w:ind w:right="362"/>
      </w:pPr>
      <w:r>
        <w:lastRenderedPageBreak/>
        <w:t>fundamental similarities. Thus, the changes that connect the infant to the</w:t>
      </w:r>
      <w:r>
        <w:rPr>
          <w:spacing w:val="40"/>
        </w:rPr>
        <w:t xml:space="preserve"> </w:t>
      </w:r>
      <w:r>
        <w:t>adult preserve structures. In general, thing-sustaining changes are structure-sustaining changes.”</w:t>
      </w:r>
    </w:p>
    <w:p w14:paraId="7E001E46" w14:textId="77777777" w:rsidR="009A58DB" w:rsidRDefault="00000000">
      <w:pPr>
        <w:pStyle w:val="BodyText"/>
        <w:spacing w:before="8" w:line="249" w:lineRule="auto"/>
        <w:ind w:right="367" w:firstLine="360"/>
      </w:pPr>
      <w:r>
        <w:t xml:space="preserve">This position obviously has merit, but it won’t quite do. There are cases where, without going out of existence, some one thing changes in fundamental structural respects. The butterfly doesn’t resemble the caterpillar; but there is some </w:t>
      </w:r>
      <w:r>
        <w:rPr>
          <w:i/>
        </w:rPr>
        <w:t>one</w:t>
      </w:r>
      <w:r>
        <w:rPr>
          <w:i/>
          <w:spacing w:val="-4"/>
        </w:rPr>
        <w:t xml:space="preserve"> </w:t>
      </w:r>
      <w:r>
        <w:t>organism that is first a caterpillar and then a butterfly.</w:t>
      </w:r>
      <w:r>
        <w:rPr>
          <w:spacing w:val="-3"/>
        </w:rPr>
        <w:t xml:space="preserve"> </w:t>
      </w:r>
      <w:r>
        <w:t>So</w:t>
      </w:r>
      <w:r>
        <w:rPr>
          <w:spacing w:val="-3"/>
        </w:rPr>
        <w:t xml:space="preserve"> </w:t>
      </w:r>
      <w:r>
        <w:t>why</w:t>
      </w:r>
      <w:r>
        <w:rPr>
          <w:spacing w:val="-3"/>
        </w:rPr>
        <w:t xml:space="preserve"> </w:t>
      </w:r>
      <w:r>
        <w:t>is</w:t>
      </w:r>
      <w:r>
        <w:rPr>
          <w:spacing w:val="-2"/>
        </w:rPr>
        <w:t xml:space="preserve"> </w:t>
      </w:r>
      <w:r>
        <w:t>it</w:t>
      </w:r>
      <w:r>
        <w:rPr>
          <w:spacing w:val="-3"/>
        </w:rPr>
        <w:t xml:space="preserve"> </w:t>
      </w:r>
      <w:r>
        <w:t>that,</w:t>
      </w:r>
      <w:r>
        <w:rPr>
          <w:spacing w:val="-3"/>
        </w:rPr>
        <w:t xml:space="preserve"> </w:t>
      </w:r>
      <w:r>
        <w:t>whereas</w:t>
      </w:r>
      <w:r>
        <w:rPr>
          <w:spacing w:val="-3"/>
        </w:rPr>
        <w:t xml:space="preserve"> </w:t>
      </w:r>
      <w:r>
        <w:t>the</w:t>
      </w:r>
      <w:r>
        <w:rPr>
          <w:spacing w:val="-2"/>
        </w:rPr>
        <w:t xml:space="preserve"> </w:t>
      </w:r>
      <w:r>
        <w:t>ice</w:t>
      </w:r>
      <w:r>
        <w:rPr>
          <w:spacing w:val="-3"/>
        </w:rPr>
        <w:t xml:space="preserve"> </w:t>
      </w:r>
      <w:r>
        <w:t>cube</w:t>
      </w:r>
      <w:r>
        <w:rPr>
          <w:spacing w:val="-3"/>
        </w:rPr>
        <w:t xml:space="preserve"> </w:t>
      </w:r>
      <w:r>
        <w:t>goes</w:t>
      </w:r>
      <w:r>
        <w:rPr>
          <w:spacing w:val="-3"/>
        </w:rPr>
        <w:t xml:space="preserve"> </w:t>
      </w:r>
      <w:r>
        <w:t>out</w:t>
      </w:r>
      <w:r>
        <w:rPr>
          <w:spacing w:val="-2"/>
        </w:rPr>
        <w:t xml:space="preserve"> </w:t>
      </w:r>
      <w:r>
        <w:t>of</w:t>
      </w:r>
      <w:r>
        <w:rPr>
          <w:spacing w:val="-3"/>
        </w:rPr>
        <w:t xml:space="preserve"> </w:t>
      </w:r>
      <w:r>
        <w:t>existence</w:t>
      </w:r>
      <w:r>
        <w:rPr>
          <w:spacing w:val="-3"/>
        </w:rPr>
        <w:t xml:space="preserve"> </w:t>
      </w:r>
      <w:r>
        <w:t>when</w:t>
      </w:r>
      <w:r>
        <w:rPr>
          <w:spacing w:val="-2"/>
        </w:rPr>
        <w:t xml:space="preserve"> </w:t>
      </w:r>
      <w:r>
        <w:t xml:space="preserve">it melts, the caterpillar is transformed, not obliterated, when it turns into a </w:t>
      </w:r>
      <w:r>
        <w:rPr>
          <w:spacing w:val="-2"/>
        </w:rPr>
        <w:t>butterfly?</w:t>
      </w:r>
    </w:p>
    <w:p w14:paraId="7E001E47" w14:textId="77777777" w:rsidR="009A58DB" w:rsidRDefault="00000000">
      <w:pPr>
        <w:pStyle w:val="Heading1"/>
        <w:numPr>
          <w:ilvl w:val="1"/>
          <w:numId w:val="89"/>
        </w:numPr>
        <w:tabs>
          <w:tab w:val="left" w:pos="990"/>
        </w:tabs>
        <w:spacing w:before="197" w:line="244" w:lineRule="auto"/>
        <w:ind w:left="360" w:right="1043" w:firstLine="0"/>
      </w:pPr>
      <w:r>
        <w:t>Prediction-</w:t>
      </w:r>
      <w:r>
        <w:rPr>
          <w:spacing w:val="-22"/>
        </w:rPr>
        <w:t xml:space="preserve"> </w:t>
      </w:r>
      <w:r>
        <w:t>and</w:t>
      </w:r>
      <w:r>
        <w:rPr>
          <w:spacing w:val="-22"/>
        </w:rPr>
        <w:t xml:space="preserve"> </w:t>
      </w:r>
      <w:r>
        <w:t>explanation-facilitation—the essence of objecthood</w:t>
      </w:r>
    </w:p>
    <w:p w14:paraId="7E001E48" w14:textId="77777777" w:rsidR="009A58DB" w:rsidRDefault="00000000">
      <w:pPr>
        <w:pStyle w:val="BodyText"/>
        <w:spacing w:before="132" w:line="249" w:lineRule="auto"/>
        <w:ind w:right="362"/>
      </w:pPr>
      <w:r>
        <w:t xml:space="preserve">Puddles by no means defy prediction. If you see a puddle that is expanding, you may know roughly how long it will continue to expand and roughly what its shape will be when it stops expanding. But in addition to being of limited scope and low quality, such predictions presuppose </w:t>
      </w:r>
      <w:r>
        <w:rPr>
          <w:i/>
        </w:rPr>
        <w:t xml:space="preserve">ad hoc, </w:t>
      </w:r>
      <w:r>
        <w:t>circumstance-specific knowledge. The predictive payoff is minimal, given the size of the epistemic investment.</w:t>
      </w:r>
    </w:p>
    <w:p w14:paraId="7E001E49" w14:textId="77777777" w:rsidR="009A58DB" w:rsidRDefault="00000000">
      <w:pPr>
        <w:pStyle w:val="BodyText"/>
        <w:spacing w:before="7" w:line="249" w:lineRule="auto"/>
        <w:ind w:right="360" w:firstLine="360"/>
      </w:pPr>
      <w:r>
        <w:t>By learning more about the relevant variables (e.g., the shape of the floor, the rate at which the puddle is expanding, etc.), you can increase the predictive payoff. But given a vast improvement in one’s knowledge of these variables, there would be only a slight improvement in the predictive payoff. To have any chance of predicting with any precision what the puddle’s shape will be when it stops expanding, one would need extraordinarily high-resolution knowledge. Further, interference-effects would guarantee that, no matter how good your measuring instruments were or how adept you were at using them, your knowledge of initial conditions would not exceed a rather low threshold. And supposing that, within these limits, you acquired as much knowledge as possible of the relevant variables, any predictions you could make on the basis of that knowledge would be of minimal scope. Given high-resolution knowledge of the puddle’s state at a given time, you could make low-probability, low-resolution predictions about the puddle’s state at times soon thereafter.</w:t>
      </w:r>
    </w:p>
    <w:p w14:paraId="7E001E4A" w14:textId="77777777" w:rsidR="009A58DB" w:rsidRDefault="00000000">
      <w:pPr>
        <w:pStyle w:val="BodyText"/>
        <w:spacing w:before="19"/>
        <w:ind w:left="720"/>
      </w:pPr>
      <w:r>
        <w:t>But</w:t>
      </w:r>
      <w:r>
        <w:rPr>
          <w:spacing w:val="17"/>
        </w:rPr>
        <w:t xml:space="preserve"> </w:t>
      </w:r>
      <w:r>
        <w:t>the</w:t>
      </w:r>
      <w:r>
        <w:rPr>
          <w:spacing w:val="20"/>
        </w:rPr>
        <w:t xml:space="preserve"> </w:t>
      </w:r>
      <w:r>
        <w:t>story</w:t>
      </w:r>
      <w:r>
        <w:rPr>
          <w:spacing w:val="20"/>
        </w:rPr>
        <w:t xml:space="preserve"> </w:t>
      </w:r>
      <w:r>
        <w:t>is</w:t>
      </w:r>
      <w:r>
        <w:rPr>
          <w:spacing w:val="20"/>
        </w:rPr>
        <w:t xml:space="preserve"> </w:t>
      </w:r>
      <w:r>
        <w:t>very</w:t>
      </w:r>
      <w:r>
        <w:rPr>
          <w:spacing w:val="20"/>
        </w:rPr>
        <w:t xml:space="preserve"> </w:t>
      </w:r>
      <w:r>
        <w:t>different</w:t>
      </w:r>
      <w:r>
        <w:rPr>
          <w:spacing w:val="20"/>
        </w:rPr>
        <w:t xml:space="preserve"> </w:t>
      </w:r>
      <w:r>
        <w:t>where</w:t>
      </w:r>
      <w:r>
        <w:rPr>
          <w:spacing w:val="20"/>
        </w:rPr>
        <w:t xml:space="preserve"> </w:t>
      </w:r>
      <w:r>
        <w:t>butterflies,</w:t>
      </w:r>
      <w:r>
        <w:rPr>
          <w:spacing w:val="20"/>
        </w:rPr>
        <w:t xml:space="preserve"> </w:t>
      </w:r>
      <w:r>
        <w:t>human</w:t>
      </w:r>
      <w:r>
        <w:rPr>
          <w:spacing w:val="20"/>
        </w:rPr>
        <w:t xml:space="preserve"> </w:t>
      </w:r>
      <w:r>
        <w:t>beings,</w:t>
      </w:r>
      <w:r>
        <w:rPr>
          <w:spacing w:val="20"/>
        </w:rPr>
        <w:t xml:space="preserve"> </w:t>
      </w:r>
      <w:r>
        <w:t>and</w:t>
      </w:r>
      <w:r>
        <w:rPr>
          <w:spacing w:val="21"/>
        </w:rPr>
        <w:t xml:space="preserve"> </w:t>
      </w:r>
      <w:r>
        <w:rPr>
          <w:spacing w:val="-2"/>
        </w:rPr>
        <w:t>other</w:t>
      </w:r>
    </w:p>
    <w:p w14:paraId="7E001E4B" w14:textId="77777777" w:rsidR="009A58DB" w:rsidRDefault="009A58DB">
      <w:pPr>
        <w:pStyle w:val="BodyText"/>
        <w:sectPr w:rsidR="009A58DB">
          <w:pgSz w:w="12240" w:h="15840"/>
          <w:pgMar w:top="1380" w:right="1080" w:bottom="280" w:left="1080" w:header="720" w:footer="720" w:gutter="0"/>
          <w:cols w:space="720"/>
        </w:sectPr>
      </w:pPr>
    </w:p>
    <w:p w14:paraId="7E001E4C" w14:textId="77777777" w:rsidR="009A58DB" w:rsidRDefault="00000000">
      <w:pPr>
        <w:pStyle w:val="BodyText"/>
        <w:spacing w:before="60" w:line="249" w:lineRule="auto"/>
        <w:ind w:right="360"/>
      </w:pPr>
      <w:r>
        <w:rPr>
          <w:i/>
        </w:rPr>
        <w:lastRenderedPageBreak/>
        <w:t xml:space="preserve">bona fide </w:t>
      </w:r>
      <w:r>
        <w:t>things are involved. Given a knowledge of slight disturbances to a caterpillar’s anatomy, one can make high-resolution, high-probability predictions about the anatomical condition of the butterfly into which, in due course, it will metamorphose. Easily acquired low-resolution knowledge of</w:t>
      </w:r>
      <w:r>
        <w:rPr>
          <w:spacing w:val="40"/>
        </w:rPr>
        <w:t xml:space="preserve"> </w:t>
      </w:r>
      <w:r>
        <w:t>an animal’s state at a given time may yield a high-resolution of its state at a much later time.</w:t>
      </w:r>
    </w:p>
    <w:p w14:paraId="7E001E4D" w14:textId="77777777" w:rsidR="009A58DB" w:rsidRDefault="00000000">
      <w:pPr>
        <w:pStyle w:val="BodyText"/>
        <w:spacing w:before="12" w:line="249" w:lineRule="auto"/>
        <w:ind w:right="361" w:firstLine="360"/>
      </w:pPr>
      <w:r>
        <w:t>Given a pregnant mother who consumes large enough amounts of alcohol, it can be predicted that, 50 years hence, the person to whom she gives birth (supposing that person to be alive) will be severely damaged, and it can be said with some precision how that person will be damaged. The other, brighter side of the coin is that, given easily acquired, low-resolution knowledge to the effect that a certain person, while in his formative years, is given certain kinds of stimulation, allowed certain kinds of freedom, etc., one can make high-probability, high-resolution predictions about that person’s condition in late adulthood.</w:t>
      </w:r>
    </w:p>
    <w:p w14:paraId="7E001E4E" w14:textId="77777777" w:rsidR="009A58DB" w:rsidRDefault="00000000">
      <w:pPr>
        <w:pStyle w:val="BodyText"/>
        <w:spacing w:before="11" w:line="249" w:lineRule="auto"/>
        <w:ind w:right="359" w:firstLine="360"/>
      </w:pPr>
      <w:r>
        <w:t>Of course, butterflies and children aren’t just things—they’re organisms. And not everything that is true of organisms is true of all things. But points relevantly similar to the ones just made hold of non-organisms. A sculptor who is chipping away at a hunk of marble knows that, barring some extraordinary event, the shape had by the hunk when he’s done chipping away at it is the shape it will keep for centuries to come. The people who</w:t>
      </w:r>
      <w:r>
        <w:rPr>
          <w:spacing w:val="40"/>
        </w:rPr>
        <w:t xml:space="preserve"> </w:t>
      </w:r>
      <w:r>
        <w:t>built the Washington Monument knew that, barring some extraordinary</w:t>
      </w:r>
      <w:r>
        <w:rPr>
          <w:spacing w:val="40"/>
        </w:rPr>
        <w:t xml:space="preserve"> </w:t>
      </w:r>
      <w:r>
        <w:t xml:space="preserve">event, it would remain standing, its shape and general physical condition more or less unchanged, for hundreds if not thousands of years to come. In general, a limited knowledge of a thing’s state at a given time yields high-probability, high-resolution knowledge of that thing’s state at a much later </w:t>
      </w:r>
      <w:r>
        <w:rPr>
          <w:spacing w:val="-2"/>
        </w:rPr>
        <w:t>time.</w:t>
      </w:r>
    </w:p>
    <w:p w14:paraId="7E001E4F" w14:textId="77777777" w:rsidR="009A58DB" w:rsidRDefault="00000000">
      <w:pPr>
        <w:pStyle w:val="BodyText"/>
        <w:spacing w:before="15" w:line="249" w:lineRule="auto"/>
        <w:ind w:right="360" w:firstLine="360"/>
      </w:pPr>
      <w:r>
        <w:t xml:space="preserve">A knowledge of this principle underlies all physical labor. It underlies the manufacturing of cars, houses, fishing rods, and elevators. All of this activity would be pointless were it not for the prediction-friendliness inherent in </w:t>
      </w:r>
      <w:r>
        <w:rPr>
          <w:spacing w:val="-2"/>
        </w:rPr>
        <w:t>thinghood.</w:t>
      </w:r>
    </w:p>
    <w:p w14:paraId="7E001E50" w14:textId="77777777" w:rsidR="009A58DB" w:rsidRDefault="00000000">
      <w:pPr>
        <w:pStyle w:val="BodyText"/>
        <w:spacing w:before="5" w:line="249" w:lineRule="auto"/>
        <w:ind w:right="359" w:firstLine="360"/>
      </w:pPr>
      <w:r>
        <w:t>These predictions are defeasible, of course.</w:t>
      </w:r>
      <w:bookmarkStart w:id="415" w:name="_bookmark415"/>
      <w:bookmarkEnd w:id="415"/>
      <w:r>
        <w:rPr>
          <w:color w:val="0562C1"/>
          <w:position w:val="21"/>
          <w:u w:val="single" w:color="0562C1"/>
        </w:rPr>
        <w:t>[299]</w:t>
      </w:r>
      <w:r>
        <w:rPr>
          <w:color w:val="0562C1"/>
          <w:position w:val="21"/>
        </w:rPr>
        <w:t xml:space="preserve"> </w:t>
      </w:r>
      <w:r>
        <w:t>Well-built houses are destroyed by earthquakes. Well-educated children from loving homes turn</w:t>
      </w:r>
      <w:r>
        <w:rPr>
          <w:spacing w:val="40"/>
        </w:rPr>
        <w:t xml:space="preserve"> </w:t>
      </w:r>
      <w:r>
        <w:t xml:space="preserve">out to be moronic ghouls. But it’s </w:t>
      </w:r>
      <w:r>
        <w:rPr>
          <w:i/>
        </w:rPr>
        <w:t xml:space="preserve">despite, </w:t>
      </w:r>
      <w:r>
        <w:t xml:space="preserve">not </w:t>
      </w:r>
      <w:r>
        <w:rPr>
          <w:i/>
        </w:rPr>
        <w:t xml:space="preserve">by virtue of, </w:t>
      </w:r>
      <w:r>
        <w:t>its being a thing that</w:t>
      </w:r>
      <w:r>
        <w:rPr>
          <w:spacing w:val="70"/>
        </w:rPr>
        <w:t xml:space="preserve"> </w:t>
      </w:r>
      <w:r>
        <w:t>a</w:t>
      </w:r>
      <w:r>
        <w:rPr>
          <w:spacing w:val="70"/>
        </w:rPr>
        <w:t xml:space="preserve"> </w:t>
      </w:r>
      <w:r>
        <w:t>sculpture</w:t>
      </w:r>
      <w:r>
        <w:rPr>
          <w:spacing w:val="70"/>
        </w:rPr>
        <w:t xml:space="preserve"> </w:t>
      </w:r>
      <w:r>
        <w:t>or</w:t>
      </w:r>
      <w:r>
        <w:rPr>
          <w:spacing w:val="70"/>
        </w:rPr>
        <w:t xml:space="preserve"> </w:t>
      </w:r>
      <w:r>
        <w:t>child</w:t>
      </w:r>
      <w:r>
        <w:rPr>
          <w:spacing w:val="70"/>
        </w:rPr>
        <w:t xml:space="preserve"> </w:t>
      </w:r>
      <w:r>
        <w:t>or</w:t>
      </w:r>
      <w:r>
        <w:rPr>
          <w:spacing w:val="70"/>
        </w:rPr>
        <w:t xml:space="preserve"> </w:t>
      </w:r>
      <w:r>
        <w:t>anything</w:t>
      </w:r>
      <w:r>
        <w:rPr>
          <w:spacing w:val="70"/>
        </w:rPr>
        <w:t xml:space="preserve"> </w:t>
      </w:r>
      <w:r>
        <w:t>else</w:t>
      </w:r>
      <w:r>
        <w:rPr>
          <w:spacing w:val="70"/>
        </w:rPr>
        <w:t xml:space="preserve"> </w:t>
      </w:r>
      <w:r>
        <w:t>has</w:t>
      </w:r>
      <w:r>
        <w:rPr>
          <w:spacing w:val="70"/>
        </w:rPr>
        <w:t xml:space="preserve"> </w:t>
      </w:r>
      <w:r>
        <w:t>a</w:t>
      </w:r>
      <w:r>
        <w:rPr>
          <w:spacing w:val="70"/>
        </w:rPr>
        <w:t xml:space="preserve"> </w:t>
      </w:r>
      <w:r>
        <w:t>counterpredictive</w:t>
      </w:r>
      <w:r>
        <w:rPr>
          <w:spacing w:val="70"/>
        </w:rPr>
        <w:t xml:space="preserve"> </w:t>
      </w:r>
      <w:r>
        <w:t>future.</w:t>
      </w:r>
    </w:p>
    <w:p w14:paraId="7E001E5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52" w14:textId="77777777" w:rsidR="009A58DB" w:rsidRDefault="00000000">
      <w:pPr>
        <w:pStyle w:val="BodyText"/>
        <w:spacing w:before="65" w:line="249" w:lineRule="auto"/>
        <w:ind w:right="360"/>
      </w:pPr>
      <w:r>
        <w:lastRenderedPageBreak/>
        <w:t xml:space="preserve">Embittered by his lack of artistic ability, some unknown kook breaks into the Louvre and destroys famous sculpture X. The world is shocked. Nobody could have predicted that the world would ever be without this masterpiece. X’s future was indeed an unpredictable one. But until its thing-status was completely undermined, X’s future </w:t>
      </w:r>
      <w:r>
        <w:rPr>
          <w:i/>
        </w:rPr>
        <w:t xml:space="preserve">was </w:t>
      </w:r>
      <w:r>
        <w:t xml:space="preserve">a predictable one. Thus, X’s future was unpredictable </w:t>
      </w:r>
      <w:r>
        <w:rPr>
          <w:i/>
        </w:rPr>
        <w:t xml:space="preserve">only </w:t>
      </w:r>
      <w:r>
        <w:t xml:space="preserve">to the extent that X’s thing-status wasn’t determinative of it. So given only that X’s future was not predictable, it doesn’t follow that things </w:t>
      </w:r>
      <w:r>
        <w:rPr>
          <w:i/>
        </w:rPr>
        <w:t xml:space="preserve">qua </w:t>
      </w:r>
      <w:r>
        <w:t>things aren’t prediction-enablers; and given that</w:t>
      </w:r>
      <w:r>
        <w:rPr>
          <w:spacing w:val="-3"/>
        </w:rPr>
        <w:t xml:space="preserve"> </w:t>
      </w:r>
      <w:r>
        <w:t>X’s</w:t>
      </w:r>
      <w:r>
        <w:rPr>
          <w:spacing w:val="-3"/>
        </w:rPr>
        <w:t xml:space="preserve"> </w:t>
      </w:r>
      <w:r>
        <w:t>future</w:t>
      </w:r>
      <w:r>
        <w:rPr>
          <w:spacing w:val="-2"/>
        </w:rPr>
        <w:t xml:space="preserve"> </w:t>
      </w:r>
      <w:r>
        <w:rPr>
          <w:i/>
        </w:rPr>
        <w:t>was</w:t>
      </w:r>
      <w:r>
        <w:rPr>
          <w:i/>
          <w:spacing w:val="-3"/>
        </w:rPr>
        <w:t xml:space="preserve"> </w:t>
      </w:r>
      <w:r>
        <w:t xml:space="preserve">predictable to the extent that its thing-status had a hand in it, it follows that things </w:t>
      </w:r>
      <w:r>
        <w:rPr>
          <w:i/>
        </w:rPr>
        <w:t xml:space="preserve">qua </w:t>
      </w:r>
      <w:r>
        <w:t xml:space="preserve">things </w:t>
      </w:r>
      <w:r>
        <w:rPr>
          <w:i/>
        </w:rPr>
        <w:t xml:space="preserve">are </w:t>
      </w:r>
      <w:r>
        <w:t>prediction-enablers.</w:t>
      </w:r>
    </w:p>
    <w:p w14:paraId="7E001E53" w14:textId="77777777" w:rsidR="009A58DB" w:rsidRDefault="00000000">
      <w:pPr>
        <w:pStyle w:val="BodyText"/>
        <w:spacing w:before="12" w:line="249" w:lineRule="auto"/>
        <w:ind w:right="358" w:firstLine="360"/>
      </w:pPr>
      <w:r>
        <w:t xml:space="preserve">In general, to be a thing </w:t>
      </w:r>
      <w:r>
        <w:rPr>
          <w:i/>
        </w:rPr>
        <w:t xml:space="preserve">is </w:t>
      </w:r>
      <w:r>
        <w:t xml:space="preserve">to be a prediction enabler. It would, of course, be viciously circular to define a “thing” as a prediction- and explanation-enabling </w:t>
      </w:r>
      <w:r>
        <w:rPr>
          <w:i/>
        </w:rPr>
        <w:t xml:space="preserve">thing. </w:t>
      </w:r>
      <w:r>
        <w:t>But when we replace the second occurrence of the word “thing” in the last sentence with “complex of events,” the circularity goes away. Thus, to be a thing is to be a prediction-enabling complex of events (or “event-complex,” as we’ll say). By the same token, an event-complex that is predictively inert is, to that extent, a non-thing.</w:t>
      </w:r>
    </w:p>
    <w:p w14:paraId="7E001E54" w14:textId="77777777" w:rsidR="009A58DB" w:rsidRDefault="00000000">
      <w:pPr>
        <w:pStyle w:val="BodyText"/>
        <w:spacing w:before="9" w:line="249" w:lineRule="auto"/>
        <w:ind w:right="360" w:firstLine="360"/>
      </w:pPr>
      <w:r>
        <w:t>Prediction and explanation are conjugates of each other. An explanation uses known laws to go from effect to cause. (I know that Smith is now belittling Brown. I know that, when belittled, insecure, touchy people, like Brown, become angry. So I predict that Brown will become angry.) The corresponding prediction uses the same laws to go from cause to effect. (I know that Brown is now angry. I know that, when belittled, insecure, touchy people, like Brown, become angry. I also know that, the circumstances being what they are, nothing else could have caused Brown to become angry. So I explain</w:t>
      </w:r>
      <w:r>
        <w:rPr>
          <w:spacing w:val="-1"/>
        </w:rPr>
        <w:t xml:space="preserve"> </w:t>
      </w:r>
      <w:r>
        <w:t>his</w:t>
      </w:r>
      <w:r>
        <w:rPr>
          <w:spacing w:val="-1"/>
        </w:rPr>
        <w:t xml:space="preserve"> </w:t>
      </w:r>
      <w:r>
        <w:t>current</w:t>
      </w:r>
      <w:r>
        <w:rPr>
          <w:spacing w:val="-2"/>
        </w:rPr>
        <w:t xml:space="preserve"> </w:t>
      </w:r>
      <w:r>
        <w:t>anger</w:t>
      </w:r>
      <w:r>
        <w:rPr>
          <w:spacing w:val="-1"/>
        </w:rPr>
        <w:t xml:space="preserve"> </w:t>
      </w:r>
      <w:r>
        <w:t>in</w:t>
      </w:r>
      <w:r>
        <w:rPr>
          <w:spacing w:val="-1"/>
        </w:rPr>
        <w:t xml:space="preserve"> </w:t>
      </w:r>
      <w:r>
        <w:t>terms</w:t>
      </w:r>
      <w:r>
        <w:rPr>
          <w:spacing w:val="-1"/>
        </w:rPr>
        <w:t xml:space="preserve"> </w:t>
      </w:r>
      <w:r>
        <w:t>of</w:t>
      </w:r>
      <w:r>
        <w:rPr>
          <w:spacing w:val="-1"/>
        </w:rPr>
        <w:t xml:space="preserve"> </w:t>
      </w:r>
      <w:r>
        <w:t>his</w:t>
      </w:r>
      <w:r>
        <w:rPr>
          <w:spacing w:val="-1"/>
        </w:rPr>
        <w:t xml:space="preserve"> </w:t>
      </w:r>
      <w:r>
        <w:t>being</w:t>
      </w:r>
      <w:r>
        <w:rPr>
          <w:spacing w:val="-1"/>
        </w:rPr>
        <w:t xml:space="preserve"> </w:t>
      </w:r>
      <w:r>
        <w:t>insulted</w:t>
      </w:r>
      <w:r>
        <w:rPr>
          <w:spacing w:val="-1"/>
        </w:rPr>
        <w:t xml:space="preserve"> </w:t>
      </w:r>
      <w:r>
        <w:t>a</w:t>
      </w:r>
      <w:r>
        <w:rPr>
          <w:spacing w:val="-1"/>
        </w:rPr>
        <w:t xml:space="preserve"> </w:t>
      </w:r>
      <w:r>
        <w:t>few</w:t>
      </w:r>
      <w:r>
        <w:rPr>
          <w:spacing w:val="-1"/>
        </w:rPr>
        <w:t xml:space="preserve"> </w:t>
      </w:r>
      <w:r>
        <w:t>moments</w:t>
      </w:r>
      <w:r>
        <w:rPr>
          <w:spacing w:val="-1"/>
        </w:rPr>
        <w:t xml:space="preserve"> </w:t>
      </w:r>
      <w:r>
        <w:t>ago</w:t>
      </w:r>
      <w:r>
        <w:rPr>
          <w:spacing w:val="-1"/>
        </w:rPr>
        <w:t xml:space="preserve"> </w:t>
      </w:r>
      <w:r>
        <w:t>by Smith.) Thus, a swarm of events is a thing to the extent that it is prediction-and explanation-conducive.</w:t>
      </w:r>
    </w:p>
    <w:p w14:paraId="7E001E55" w14:textId="77777777" w:rsidR="009A58DB" w:rsidRDefault="00000000">
      <w:pPr>
        <w:pStyle w:val="Heading1"/>
        <w:numPr>
          <w:ilvl w:val="1"/>
          <w:numId w:val="89"/>
        </w:numPr>
        <w:tabs>
          <w:tab w:val="left" w:pos="990"/>
        </w:tabs>
        <w:spacing w:before="201"/>
        <w:ind w:left="990"/>
      </w:pPr>
      <w:r>
        <w:t>Thinghood</w:t>
      </w:r>
      <w:r>
        <w:rPr>
          <w:spacing w:val="-5"/>
        </w:rPr>
        <w:t xml:space="preserve"> </w:t>
      </w:r>
      <w:r>
        <w:t>is</w:t>
      </w:r>
      <w:r>
        <w:rPr>
          <w:spacing w:val="-3"/>
        </w:rPr>
        <w:t xml:space="preserve"> </w:t>
      </w:r>
      <w:r>
        <w:t>a</w:t>
      </w:r>
      <w:r>
        <w:rPr>
          <w:spacing w:val="-2"/>
        </w:rPr>
        <w:t xml:space="preserve"> </w:t>
      </w:r>
      <w:r>
        <w:t>matter</w:t>
      </w:r>
      <w:r>
        <w:rPr>
          <w:spacing w:val="-3"/>
        </w:rPr>
        <w:t xml:space="preserve"> </w:t>
      </w:r>
      <w:r>
        <w:t>of</w:t>
      </w:r>
      <w:r>
        <w:rPr>
          <w:spacing w:val="-3"/>
        </w:rPr>
        <w:t xml:space="preserve"> </w:t>
      </w:r>
      <w:r>
        <w:rPr>
          <w:spacing w:val="-2"/>
        </w:rPr>
        <w:t>degree</w:t>
      </w:r>
    </w:p>
    <w:p w14:paraId="7E001E56" w14:textId="77777777" w:rsidR="009A58DB" w:rsidRDefault="00000000">
      <w:pPr>
        <w:pStyle w:val="BodyText"/>
        <w:spacing w:before="139" w:line="249" w:lineRule="auto"/>
        <w:ind w:right="360"/>
      </w:pPr>
      <w:r>
        <w:t>The property of being prediction-enabling comes in degrees, as does the property of being explanation-enabling. A brick house is richer in these properties than a plywood house; a plywood house is richer in them than a cloud; a cloud is richer in them than a breeze.</w:t>
      </w:r>
    </w:p>
    <w:p w14:paraId="7E001E57" w14:textId="77777777" w:rsidR="009A58DB" w:rsidRDefault="00000000">
      <w:pPr>
        <w:pStyle w:val="BodyText"/>
        <w:spacing w:before="5"/>
        <w:ind w:left="720"/>
      </w:pPr>
      <w:r>
        <w:t>A</w:t>
      </w:r>
      <w:r>
        <w:rPr>
          <w:spacing w:val="19"/>
        </w:rPr>
        <w:t xml:space="preserve"> </w:t>
      </w:r>
      <w:r>
        <w:t>consequence</w:t>
      </w:r>
      <w:r>
        <w:rPr>
          <w:spacing w:val="22"/>
        </w:rPr>
        <w:t xml:space="preserve"> </w:t>
      </w:r>
      <w:r>
        <w:t>of</w:t>
      </w:r>
      <w:r>
        <w:rPr>
          <w:spacing w:val="22"/>
        </w:rPr>
        <w:t xml:space="preserve"> </w:t>
      </w:r>
      <w:r>
        <w:t>our</w:t>
      </w:r>
      <w:r>
        <w:rPr>
          <w:spacing w:val="22"/>
        </w:rPr>
        <w:t xml:space="preserve"> </w:t>
      </w:r>
      <w:r>
        <w:t>analysis</w:t>
      </w:r>
      <w:r>
        <w:rPr>
          <w:spacing w:val="22"/>
        </w:rPr>
        <w:t xml:space="preserve"> </w:t>
      </w:r>
      <w:r>
        <w:t>is</w:t>
      </w:r>
      <w:r>
        <w:rPr>
          <w:spacing w:val="21"/>
        </w:rPr>
        <w:t xml:space="preserve"> </w:t>
      </w:r>
      <w:r>
        <w:t>that</w:t>
      </w:r>
      <w:r>
        <w:rPr>
          <w:spacing w:val="22"/>
        </w:rPr>
        <w:t xml:space="preserve"> </w:t>
      </w:r>
      <w:r>
        <w:t>thinghood</w:t>
      </w:r>
      <w:r>
        <w:rPr>
          <w:spacing w:val="22"/>
        </w:rPr>
        <w:t xml:space="preserve"> </w:t>
      </w:r>
      <w:r>
        <w:t>comes</w:t>
      </w:r>
      <w:r>
        <w:rPr>
          <w:spacing w:val="22"/>
        </w:rPr>
        <w:t xml:space="preserve"> </w:t>
      </w:r>
      <w:r>
        <w:t>in</w:t>
      </w:r>
      <w:r>
        <w:rPr>
          <w:spacing w:val="22"/>
        </w:rPr>
        <w:t xml:space="preserve"> </w:t>
      </w:r>
      <w:r>
        <w:t>degrees.</w:t>
      </w:r>
      <w:r>
        <w:rPr>
          <w:spacing w:val="22"/>
        </w:rPr>
        <w:t xml:space="preserve"> </w:t>
      </w:r>
      <w:r>
        <w:rPr>
          <w:spacing w:val="-4"/>
        </w:rPr>
        <w:t>Some</w:t>
      </w:r>
    </w:p>
    <w:p w14:paraId="7E001E58" w14:textId="77777777" w:rsidR="009A58DB" w:rsidRDefault="009A58DB">
      <w:pPr>
        <w:pStyle w:val="BodyText"/>
        <w:sectPr w:rsidR="009A58DB">
          <w:pgSz w:w="12240" w:h="15840"/>
          <w:pgMar w:top="1380" w:right="1080" w:bottom="280" w:left="1080" w:header="720" w:footer="720" w:gutter="0"/>
          <w:cols w:space="720"/>
        </w:sectPr>
      </w:pPr>
    </w:p>
    <w:p w14:paraId="7E001E59" w14:textId="77777777" w:rsidR="009A58DB" w:rsidRDefault="00000000">
      <w:pPr>
        <w:pStyle w:val="BodyText"/>
        <w:spacing w:before="60" w:line="249" w:lineRule="auto"/>
        <w:ind w:right="358"/>
      </w:pPr>
      <w:r>
        <w:lastRenderedPageBreak/>
        <w:t>things are “thingier” than others. I accept this consequence. A brick house is more of a thing than a cloud; it’s more “thingy.” This means only that it provides a broader and more stable basis than does a cloud for prediction and explanation. Since this is what we are inclined to think anyway, it isn’t to the discredit of our analysis that it has this consequence.</w:t>
      </w:r>
    </w:p>
    <w:p w14:paraId="7E001E5A" w14:textId="77777777" w:rsidR="009A58DB" w:rsidRDefault="00000000">
      <w:pPr>
        <w:pStyle w:val="BodyText"/>
        <w:spacing w:before="11" w:line="249" w:lineRule="auto"/>
        <w:ind w:right="358" w:firstLine="360"/>
      </w:pPr>
      <w:r>
        <w:t>We are inclined to think that things must literally be solid, like rocks and ice cubes, and unlike puddles. So far as there is a connection between actual solidity and thinghood, it is that, within the narrow horizons within which we live,</w:t>
      </w:r>
      <w:r>
        <w:rPr>
          <w:spacing w:val="-1"/>
        </w:rPr>
        <w:t xml:space="preserve"> </w:t>
      </w:r>
      <w:r>
        <w:t>solid</w:t>
      </w:r>
      <w:r>
        <w:rPr>
          <w:spacing w:val="-1"/>
        </w:rPr>
        <w:t xml:space="preserve"> </w:t>
      </w:r>
      <w:r>
        <w:t>things</w:t>
      </w:r>
      <w:r>
        <w:rPr>
          <w:spacing w:val="-1"/>
        </w:rPr>
        <w:t xml:space="preserve"> </w:t>
      </w:r>
      <w:r>
        <w:t>typically</w:t>
      </w:r>
      <w:r>
        <w:rPr>
          <w:spacing w:val="-1"/>
        </w:rPr>
        <w:t xml:space="preserve"> </w:t>
      </w:r>
      <w:r>
        <w:t>provide</w:t>
      </w:r>
      <w:r>
        <w:rPr>
          <w:spacing w:val="-1"/>
        </w:rPr>
        <w:t xml:space="preserve"> </w:t>
      </w:r>
      <w:r>
        <w:t>a</w:t>
      </w:r>
      <w:r>
        <w:rPr>
          <w:spacing w:val="-1"/>
        </w:rPr>
        <w:t xml:space="preserve"> </w:t>
      </w:r>
      <w:r>
        <w:t>firmer</w:t>
      </w:r>
      <w:r>
        <w:rPr>
          <w:spacing w:val="-1"/>
        </w:rPr>
        <w:t xml:space="preserve"> </w:t>
      </w:r>
      <w:r>
        <w:t>basis</w:t>
      </w:r>
      <w:r>
        <w:rPr>
          <w:spacing w:val="-1"/>
        </w:rPr>
        <w:t xml:space="preserve"> </w:t>
      </w:r>
      <w:r>
        <w:t>for</w:t>
      </w:r>
      <w:r>
        <w:rPr>
          <w:spacing w:val="-1"/>
        </w:rPr>
        <w:t xml:space="preserve"> </w:t>
      </w:r>
      <w:r>
        <w:t>prediction</w:t>
      </w:r>
      <w:r>
        <w:rPr>
          <w:spacing w:val="-1"/>
        </w:rPr>
        <w:t xml:space="preserve"> </w:t>
      </w:r>
      <w:r>
        <w:t>than</w:t>
      </w:r>
      <w:r>
        <w:rPr>
          <w:spacing w:val="-1"/>
        </w:rPr>
        <w:t xml:space="preserve"> </w:t>
      </w:r>
      <w:r>
        <w:t>non-solid things. But non-solids can be as thingy as rocks. Though they’re gaseous, as opposed to solid, stars are things to no less a degree than rocks. The reason is that, even though they’re not solid, they have the dynamic integrity of things that, in terrestrial contexts, are typically had by solid things.</w:t>
      </w:r>
    </w:p>
    <w:p w14:paraId="7E001E5B" w14:textId="77777777" w:rsidR="009A58DB" w:rsidRDefault="00000000">
      <w:pPr>
        <w:pStyle w:val="Heading1"/>
        <w:numPr>
          <w:ilvl w:val="1"/>
          <w:numId w:val="89"/>
        </w:numPr>
        <w:tabs>
          <w:tab w:val="left" w:pos="990"/>
        </w:tabs>
        <w:spacing w:before="198"/>
        <w:ind w:left="990"/>
      </w:pPr>
      <w:r>
        <w:t>The</w:t>
      </w:r>
      <w:r>
        <w:rPr>
          <w:spacing w:val="-6"/>
        </w:rPr>
        <w:t xml:space="preserve"> </w:t>
      </w:r>
      <w:r>
        <w:t>contextual</w:t>
      </w:r>
      <w:r>
        <w:rPr>
          <w:spacing w:val="-4"/>
        </w:rPr>
        <w:t xml:space="preserve"> </w:t>
      </w:r>
      <w:r>
        <w:t>nature</w:t>
      </w:r>
      <w:r>
        <w:rPr>
          <w:spacing w:val="-4"/>
        </w:rPr>
        <w:t xml:space="preserve"> </w:t>
      </w:r>
      <w:r>
        <w:t>of</w:t>
      </w:r>
      <w:r>
        <w:rPr>
          <w:spacing w:val="-4"/>
        </w:rPr>
        <w:t xml:space="preserve"> </w:t>
      </w:r>
      <w:r>
        <w:rPr>
          <w:spacing w:val="-2"/>
        </w:rPr>
        <w:t>thinghood</w:t>
      </w:r>
    </w:p>
    <w:p w14:paraId="7E001E5C" w14:textId="77777777" w:rsidR="009A58DB" w:rsidRDefault="00000000">
      <w:pPr>
        <w:pStyle w:val="BodyText"/>
        <w:spacing w:before="139" w:line="249" w:lineRule="auto"/>
        <w:ind w:right="362"/>
      </w:pPr>
      <w:r>
        <w:t>Despite its internal lack of cohesiveness, a galaxy can be highly thing-like in the context of an explanation of why certain extremely large-scale astronomical events are occurring—of why, for example, there is a marked tendency for objects in a certain very large region of space to head in a</w:t>
      </w:r>
      <w:r>
        <w:rPr>
          <w:spacing w:val="40"/>
        </w:rPr>
        <w:t xml:space="preserve"> </w:t>
      </w:r>
      <w:r>
        <w:t xml:space="preserve">certain direction. And despite its </w:t>
      </w:r>
      <w:r>
        <w:rPr>
          <w:i/>
        </w:rPr>
        <w:t>high</w:t>
      </w:r>
      <w:r>
        <w:rPr>
          <w:i/>
          <w:spacing w:val="-3"/>
        </w:rPr>
        <w:t xml:space="preserve"> </w:t>
      </w:r>
      <w:r>
        <w:t>degree of internal cohesiveness, a rock can be as unthing-like as, in most contexts, gusts of air would be. To</w:t>
      </w:r>
      <w:r>
        <w:rPr>
          <w:spacing w:val="40"/>
        </w:rPr>
        <w:t xml:space="preserve"> </w:t>
      </w:r>
      <w:r>
        <w:t>creatures whose minds moved millions of times more slowly than ours, rocks would be as unthing-like as gusts of air are to us. And to creatures whose minds moved millions of times more quickly than ours, gusts of air would be as durable, cohesive, and predictable as marble statues are to us.</w:t>
      </w:r>
    </w:p>
    <w:p w14:paraId="7E001E5D" w14:textId="77777777" w:rsidR="009A58DB" w:rsidRDefault="00000000">
      <w:pPr>
        <w:pStyle w:val="BodyText"/>
        <w:spacing w:before="12" w:line="249" w:lineRule="auto"/>
        <w:ind w:right="358" w:firstLine="360"/>
      </w:pPr>
      <w:r>
        <w:t>Thus, a given system of events can be a thing—in certain respects, at certain junctures—in some explanatory contexts, while being unthing-like—in different respects, at those same junctures—in others. But that doesn’t mean that things are created by our explanations.</w:t>
      </w:r>
    </w:p>
    <w:p w14:paraId="7E001E5E" w14:textId="77777777" w:rsidR="009A58DB" w:rsidRDefault="00000000">
      <w:pPr>
        <w:pStyle w:val="Heading1"/>
        <w:spacing w:before="208"/>
        <w:ind w:left="360" w:firstLine="0"/>
      </w:pPr>
      <w:r>
        <w:t>8.0</w:t>
      </w:r>
      <w:r>
        <w:rPr>
          <w:spacing w:val="-7"/>
        </w:rPr>
        <w:t xml:space="preserve"> </w:t>
      </w:r>
      <w:r>
        <w:t>Time-travel</w:t>
      </w:r>
      <w:r>
        <w:rPr>
          <w:spacing w:val="-5"/>
        </w:rPr>
        <w:t xml:space="preserve"> </w:t>
      </w:r>
      <w:r>
        <w:t>an</w:t>
      </w:r>
      <w:r>
        <w:rPr>
          <w:spacing w:val="-4"/>
        </w:rPr>
        <w:t xml:space="preserve"> </w:t>
      </w:r>
      <w:r>
        <w:t>incoherent</w:t>
      </w:r>
      <w:r>
        <w:rPr>
          <w:spacing w:val="-5"/>
        </w:rPr>
        <w:t xml:space="preserve"> </w:t>
      </w:r>
      <w:r>
        <w:rPr>
          <w:spacing w:val="-2"/>
        </w:rPr>
        <w:t>concept</w:t>
      </w:r>
    </w:p>
    <w:p w14:paraId="7E001E5F" w14:textId="77777777" w:rsidR="009A58DB" w:rsidRDefault="00000000">
      <w:pPr>
        <w:pStyle w:val="BodyText"/>
        <w:spacing w:before="139" w:line="249" w:lineRule="auto"/>
        <w:ind w:right="362"/>
      </w:pPr>
      <w:r>
        <w:t>It is debated whether time-travel is possible. Thanks to our analysis of what it is to persist in time, we can shed some light on this problem.</w:t>
      </w:r>
    </w:p>
    <w:p w14:paraId="7E001E60" w14:textId="77777777" w:rsidR="009A58DB" w:rsidRDefault="00000000">
      <w:pPr>
        <w:pStyle w:val="BodyText"/>
        <w:spacing w:before="2" w:line="249" w:lineRule="auto"/>
        <w:ind w:right="360" w:firstLine="360"/>
      </w:pPr>
      <w:r>
        <w:t>Setting</w:t>
      </w:r>
      <w:r>
        <w:rPr>
          <w:spacing w:val="-1"/>
        </w:rPr>
        <w:t xml:space="preserve"> </w:t>
      </w:r>
      <w:r>
        <w:t>aside</w:t>
      </w:r>
      <w:r>
        <w:rPr>
          <w:spacing w:val="-1"/>
        </w:rPr>
        <w:t xml:space="preserve"> </w:t>
      </w:r>
      <w:r>
        <w:t>the</w:t>
      </w:r>
      <w:r>
        <w:rPr>
          <w:spacing w:val="-1"/>
        </w:rPr>
        <w:t xml:space="preserve"> </w:t>
      </w:r>
      <w:r>
        <w:t>trivial</w:t>
      </w:r>
      <w:r>
        <w:rPr>
          <w:spacing w:val="-1"/>
        </w:rPr>
        <w:t xml:space="preserve"> </w:t>
      </w:r>
      <w:r>
        <w:t>and</w:t>
      </w:r>
      <w:r>
        <w:rPr>
          <w:spacing w:val="-1"/>
        </w:rPr>
        <w:t xml:space="preserve"> </w:t>
      </w:r>
      <w:r>
        <w:t>irrelevant</w:t>
      </w:r>
      <w:r>
        <w:rPr>
          <w:spacing w:val="-1"/>
        </w:rPr>
        <w:t xml:space="preserve"> </w:t>
      </w:r>
      <w:r>
        <w:t>fact</w:t>
      </w:r>
      <w:r>
        <w:rPr>
          <w:spacing w:val="-2"/>
        </w:rPr>
        <w:t xml:space="preserve"> </w:t>
      </w:r>
      <w:r>
        <w:t>that</w:t>
      </w:r>
      <w:r>
        <w:rPr>
          <w:spacing w:val="-1"/>
        </w:rPr>
        <w:t xml:space="preserve"> </w:t>
      </w:r>
      <w:r>
        <w:t>we</w:t>
      </w:r>
      <w:r>
        <w:rPr>
          <w:spacing w:val="-1"/>
        </w:rPr>
        <w:t xml:space="preserve"> </w:t>
      </w:r>
      <w:r>
        <w:t>travel</w:t>
      </w:r>
      <w:r>
        <w:rPr>
          <w:spacing w:val="-1"/>
        </w:rPr>
        <w:t xml:space="preserve"> </w:t>
      </w:r>
      <w:r>
        <w:t>forward</w:t>
      </w:r>
      <w:r>
        <w:rPr>
          <w:spacing w:val="-1"/>
        </w:rPr>
        <w:t xml:space="preserve"> </w:t>
      </w:r>
      <w:r>
        <w:t>in</w:t>
      </w:r>
      <w:r>
        <w:rPr>
          <w:spacing w:val="-1"/>
        </w:rPr>
        <w:t xml:space="preserve"> </w:t>
      </w:r>
      <w:r>
        <w:t>time</w:t>
      </w:r>
      <w:r>
        <w:rPr>
          <w:spacing w:val="-1"/>
        </w:rPr>
        <w:t xml:space="preserve"> </w:t>
      </w:r>
      <w:r>
        <w:t>at a rate of one minute/minute, the statement “time-travel is possible” has three</w:t>
      </w:r>
    </w:p>
    <w:p w14:paraId="7E001E6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62" w14:textId="77777777" w:rsidR="009A58DB" w:rsidRDefault="00000000">
      <w:pPr>
        <w:pStyle w:val="BodyText"/>
        <w:spacing w:before="70"/>
      </w:pPr>
      <w:r>
        <w:lastRenderedPageBreak/>
        <w:t>distinct</w:t>
      </w:r>
      <w:r>
        <w:rPr>
          <w:spacing w:val="-6"/>
        </w:rPr>
        <w:t xml:space="preserve"> </w:t>
      </w:r>
      <w:r>
        <w:rPr>
          <w:spacing w:val="-2"/>
        </w:rPr>
        <w:t>meanings:</w:t>
      </w:r>
    </w:p>
    <w:p w14:paraId="7E001E63" w14:textId="77777777" w:rsidR="009A58DB" w:rsidRDefault="00000000">
      <w:pPr>
        <w:pStyle w:val="ListParagraph"/>
        <w:numPr>
          <w:ilvl w:val="0"/>
          <w:numId w:val="88"/>
        </w:numPr>
        <w:tabs>
          <w:tab w:val="left" w:pos="802"/>
        </w:tabs>
        <w:spacing w:before="250" w:line="249" w:lineRule="auto"/>
        <w:ind w:right="371" w:firstLine="0"/>
        <w:rPr>
          <w:sz w:val="30"/>
        </w:rPr>
      </w:pPr>
      <w:r>
        <w:rPr>
          <w:sz w:val="30"/>
        </w:rPr>
        <w:t>One</w:t>
      </w:r>
      <w:r>
        <w:rPr>
          <w:spacing w:val="34"/>
          <w:sz w:val="30"/>
        </w:rPr>
        <w:t xml:space="preserve"> </w:t>
      </w:r>
      <w:r>
        <w:rPr>
          <w:sz w:val="30"/>
        </w:rPr>
        <w:t>can</w:t>
      </w:r>
      <w:r>
        <w:rPr>
          <w:spacing w:val="35"/>
          <w:sz w:val="30"/>
        </w:rPr>
        <w:t xml:space="preserve"> </w:t>
      </w:r>
      <w:r>
        <w:rPr>
          <w:sz w:val="30"/>
        </w:rPr>
        <w:t>“leap”</w:t>
      </w:r>
      <w:r>
        <w:rPr>
          <w:spacing w:val="34"/>
          <w:sz w:val="30"/>
        </w:rPr>
        <w:t xml:space="preserve"> </w:t>
      </w:r>
      <w:r>
        <w:rPr>
          <w:sz w:val="30"/>
        </w:rPr>
        <w:t>from</w:t>
      </w:r>
      <w:r>
        <w:rPr>
          <w:spacing w:val="35"/>
          <w:sz w:val="30"/>
        </w:rPr>
        <w:t xml:space="preserve"> </w:t>
      </w:r>
      <w:r>
        <w:rPr>
          <w:sz w:val="30"/>
        </w:rPr>
        <w:t>one</w:t>
      </w:r>
      <w:r>
        <w:rPr>
          <w:spacing w:val="34"/>
          <w:sz w:val="30"/>
        </w:rPr>
        <w:t xml:space="preserve"> </w:t>
      </w:r>
      <w:r>
        <w:rPr>
          <w:sz w:val="30"/>
        </w:rPr>
        <w:t>time</w:t>
      </w:r>
      <w:r>
        <w:rPr>
          <w:spacing w:val="35"/>
          <w:sz w:val="30"/>
        </w:rPr>
        <w:t xml:space="preserve"> </w:t>
      </w:r>
      <w:r>
        <w:rPr>
          <w:sz w:val="30"/>
        </w:rPr>
        <w:t>to</w:t>
      </w:r>
      <w:r>
        <w:rPr>
          <w:spacing w:val="34"/>
          <w:sz w:val="30"/>
        </w:rPr>
        <w:t xml:space="preserve"> </w:t>
      </w:r>
      <w:r>
        <w:rPr>
          <w:sz w:val="30"/>
        </w:rPr>
        <w:t>some</w:t>
      </w:r>
      <w:r>
        <w:rPr>
          <w:spacing w:val="35"/>
          <w:sz w:val="30"/>
        </w:rPr>
        <w:t xml:space="preserve"> </w:t>
      </w:r>
      <w:r>
        <w:rPr>
          <w:sz w:val="30"/>
        </w:rPr>
        <w:t>non-adjacent</w:t>
      </w:r>
      <w:r>
        <w:rPr>
          <w:spacing w:val="34"/>
          <w:sz w:val="30"/>
        </w:rPr>
        <w:t xml:space="preserve"> </w:t>
      </w:r>
      <w:r>
        <w:rPr>
          <w:sz w:val="30"/>
        </w:rPr>
        <w:t>time,</w:t>
      </w:r>
      <w:r>
        <w:rPr>
          <w:spacing w:val="35"/>
          <w:sz w:val="30"/>
        </w:rPr>
        <w:t xml:space="preserve"> </w:t>
      </w:r>
      <w:r>
        <w:rPr>
          <w:sz w:val="30"/>
        </w:rPr>
        <w:t>i.e.,</w:t>
      </w:r>
      <w:r>
        <w:rPr>
          <w:spacing w:val="34"/>
          <w:sz w:val="30"/>
        </w:rPr>
        <w:t xml:space="preserve"> </w:t>
      </w:r>
      <w:r>
        <w:rPr>
          <w:sz w:val="30"/>
        </w:rPr>
        <w:t>one</w:t>
      </w:r>
      <w:r>
        <w:rPr>
          <w:spacing w:val="34"/>
          <w:sz w:val="30"/>
        </w:rPr>
        <w:t xml:space="preserve"> </w:t>
      </w:r>
      <w:r>
        <w:rPr>
          <w:sz w:val="30"/>
        </w:rPr>
        <w:t xml:space="preserve">can move in a </w:t>
      </w:r>
      <w:r>
        <w:rPr>
          <w:i/>
          <w:sz w:val="30"/>
        </w:rPr>
        <w:t xml:space="preserve">discontinuous </w:t>
      </w:r>
      <w:r>
        <w:rPr>
          <w:sz w:val="30"/>
        </w:rPr>
        <w:t>manner from one time to another.</w:t>
      </w:r>
    </w:p>
    <w:p w14:paraId="7E001E64" w14:textId="77777777" w:rsidR="009A58DB" w:rsidRDefault="00000000">
      <w:pPr>
        <w:pStyle w:val="ListParagraph"/>
        <w:numPr>
          <w:ilvl w:val="0"/>
          <w:numId w:val="88"/>
        </w:numPr>
        <w:tabs>
          <w:tab w:val="left" w:pos="807"/>
        </w:tabs>
        <w:spacing w:before="2" w:line="249" w:lineRule="auto"/>
        <w:ind w:right="2150" w:firstLine="0"/>
        <w:rPr>
          <w:sz w:val="30"/>
        </w:rPr>
      </w:pPr>
      <w:r>
        <w:rPr>
          <w:sz w:val="30"/>
        </w:rPr>
        <w:t xml:space="preserve">One can travel forward in time at a rate of </w:t>
      </w:r>
      <w:r>
        <w:rPr>
          <w:i/>
          <w:sz w:val="30"/>
        </w:rPr>
        <w:t xml:space="preserve">more </w:t>
      </w:r>
      <w:r>
        <w:rPr>
          <w:sz w:val="30"/>
        </w:rPr>
        <w:t>than one</w:t>
      </w:r>
      <w:r>
        <w:rPr>
          <w:spacing w:val="40"/>
          <w:sz w:val="30"/>
        </w:rPr>
        <w:t xml:space="preserve"> </w:t>
      </w:r>
      <w:r>
        <w:rPr>
          <w:spacing w:val="-2"/>
          <w:sz w:val="30"/>
        </w:rPr>
        <w:t>minute/minute.</w:t>
      </w:r>
    </w:p>
    <w:p w14:paraId="7E001E65" w14:textId="77777777" w:rsidR="009A58DB" w:rsidRDefault="00000000">
      <w:pPr>
        <w:pStyle w:val="ListParagraph"/>
        <w:numPr>
          <w:ilvl w:val="0"/>
          <w:numId w:val="88"/>
        </w:numPr>
        <w:tabs>
          <w:tab w:val="left" w:pos="764"/>
        </w:tabs>
        <w:spacing w:before="3"/>
        <w:ind w:left="764" w:hanging="404"/>
        <w:rPr>
          <w:sz w:val="30"/>
        </w:rPr>
      </w:pPr>
      <w:r>
        <w:rPr>
          <w:sz w:val="30"/>
        </w:rPr>
        <w:t>One</w:t>
      </w:r>
      <w:r>
        <w:rPr>
          <w:spacing w:val="-6"/>
          <w:sz w:val="30"/>
        </w:rPr>
        <w:t xml:space="preserve"> </w:t>
      </w:r>
      <w:r>
        <w:rPr>
          <w:sz w:val="30"/>
        </w:rPr>
        <w:t>can</w:t>
      </w:r>
      <w:r>
        <w:rPr>
          <w:spacing w:val="-2"/>
          <w:sz w:val="30"/>
        </w:rPr>
        <w:t xml:space="preserve"> </w:t>
      </w:r>
      <w:r>
        <w:rPr>
          <w:sz w:val="30"/>
        </w:rPr>
        <w:t>travel</w:t>
      </w:r>
      <w:r>
        <w:rPr>
          <w:spacing w:val="-4"/>
          <w:sz w:val="30"/>
        </w:rPr>
        <w:t xml:space="preserve"> </w:t>
      </w:r>
      <w:r>
        <w:rPr>
          <w:i/>
          <w:sz w:val="30"/>
        </w:rPr>
        <w:t>backwards</w:t>
      </w:r>
      <w:r>
        <w:rPr>
          <w:i/>
          <w:spacing w:val="-3"/>
          <w:sz w:val="30"/>
        </w:rPr>
        <w:t xml:space="preserve"> </w:t>
      </w:r>
      <w:r>
        <w:rPr>
          <w:sz w:val="30"/>
        </w:rPr>
        <w:t>in</w:t>
      </w:r>
      <w:r>
        <w:rPr>
          <w:spacing w:val="-2"/>
          <w:sz w:val="30"/>
        </w:rPr>
        <w:t xml:space="preserve"> time.</w:t>
      </w:r>
    </w:p>
    <w:p w14:paraId="7E001E66" w14:textId="77777777" w:rsidR="009A58DB" w:rsidRDefault="00000000">
      <w:pPr>
        <w:pStyle w:val="BodyText"/>
        <w:spacing w:before="255" w:line="249" w:lineRule="auto"/>
        <w:ind w:right="358" w:firstLine="360"/>
      </w:pPr>
      <w:r>
        <w:t>It is generally thought that (a)–(c) are empirical questions that fall within the jurisdiction of physics. In actuality, they are questions of logic, not of empirical fact. Moreover, each of (a)–(c) is logically false and therefore couldn’t possibly be correct.</w:t>
      </w:r>
    </w:p>
    <w:p w14:paraId="7E001E67" w14:textId="77777777" w:rsidR="009A58DB" w:rsidRDefault="00000000">
      <w:pPr>
        <w:pStyle w:val="BodyText"/>
        <w:spacing w:before="5" w:line="249" w:lineRule="auto"/>
        <w:ind w:right="359" w:firstLine="360"/>
      </w:pPr>
      <w:r>
        <w:t xml:space="preserve">Let’s discuss (a) first. In this chapter, we have seen that anything that persists for any amount of time is a </w:t>
      </w:r>
      <w:r>
        <w:rPr>
          <w:b/>
          <w:i/>
        </w:rPr>
        <w:t xml:space="preserve">causal series </w:t>
      </w:r>
      <w:r>
        <w:t>(a continuous series of</w:t>
      </w:r>
      <w:r>
        <w:rPr>
          <w:spacing w:val="40"/>
        </w:rPr>
        <w:t xml:space="preserve"> </w:t>
      </w:r>
      <w:r>
        <w:t>states of affairs such that, given any two of them, one is the (in)direct cause</w:t>
      </w:r>
      <w:r>
        <w:rPr>
          <w:spacing w:val="40"/>
        </w:rPr>
        <w:t xml:space="preserve"> </w:t>
      </w:r>
      <w:r>
        <w:t>of the other).</w:t>
      </w:r>
    </w:p>
    <w:p w14:paraId="7E001E68" w14:textId="77777777" w:rsidR="009A58DB" w:rsidRDefault="00000000">
      <w:pPr>
        <w:pStyle w:val="BodyText"/>
        <w:spacing w:before="4" w:line="249" w:lineRule="auto"/>
        <w:ind w:right="359" w:firstLine="360"/>
      </w:pPr>
      <w:r>
        <w:t>An illustration may be helpful. At any given moment during its existence, your car consists of an incessant flurry of mass-energy displacements; and your car is thus a series of “event-flurries,” as we’ll call them. Twenty-four hours ago, your car was constituted by one event-flurry. Right now it’s constituted by a different event-flurry. (Let S</w:t>
      </w:r>
      <w:r>
        <w:rPr>
          <w:vertAlign w:val="subscript"/>
        </w:rPr>
        <w:t>1</w:t>
      </w:r>
      <w:r>
        <w:t xml:space="preserve"> be the first event-flurry and let</w:t>
      </w:r>
    </w:p>
    <w:p w14:paraId="7E001E69" w14:textId="77777777" w:rsidR="009A58DB" w:rsidRDefault="00000000">
      <w:pPr>
        <w:pStyle w:val="BodyText"/>
        <w:spacing w:before="67" w:line="292" w:lineRule="auto"/>
        <w:ind w:right="361"/>
      </w:pPr>
      <w:r>
        <w:t>S</w:t>
      </w:r>
      <w:r>
        <w:rPr>
          <w:vertAlign w:val="subscript"/>
        </w:rPr>
        <w:t>2</w:t>
      </w:r>
      <w:r>
        <w:t xml:space="preserve"> be the second.) And, of course, my car is currently constituted by some event-flurry. (Let S</w:t>
      </w:r>
      <w:r>
        <w:rPr>
          <w:vertAlign w:val="subscript"/>
        </w:rPr>
        <w:t>3</w:t>
      </w:r>
      <w:r>
        <w:t xml:space="preserve"> be that flurry.)</w:t>
      </w:r>
    </w:p>
    <w:p w14:paraId="7E001E6A" w14:textId="77777777" w:rsidR="009A58DB" w:rsidRDefault="00000000">
      <w:pPr>
        <w:pStyle w:val="BodyText"/>
        <w:spacing w:line="249" w:lineRule="auto"/>
        <w:ind w:right="359" w:firstLine="360"/>
      </w:pPr>
      <w:r>
        <w:t>Bearing all of this in mind, imagine the following. While your car was parked in your driveway, somebody crashed into it, severely damaging it. Your car therefore bears little resemblance to what it was twenty-four hours ago. It follows that S</w:t>
      </w:r>
      <w:r>
        <w:rPr>
          <w:vertAlign w:val="subscript"/>
        </w:rPr>
        <w:t>1</w:t>
      </w:r>
      <w:r>
        <w:t xml:space="preserve"> and S</w:t>
      </w:r>
      <w:r>
        <w:rPr>
          <w:vertAlign w:val="subscript"/>
        </w:rPr>
        <w:t>2</w:t>
      </w:r>
      <w:r>
        <w:t xml:space="preserve"> are qualitatively very different from each other.</w:t>
      </w:r>
    </w:p>
    <w:p w14:paraId="7E001E6B" w14:textId="77777777" w:rsidR="009A58DB" w:rsidRDefault="00000000">
      <w:pPr>
        <w:pStyle w:val="BodyText"/>
        <w:spacing w:before="63" w:line="292" w:lineRule="auto"/>
        <w:ind w:right="358"/>
      </w:pPr>
      <w:r>
        <w:t>By contrast, S</w:t>
      </w:r>
      <w:r>
        <w:rPr>
          <w:vertAlign w:val="subscript"/>
        </w:rPr>
        <w:t>1</w:t>
      </w:r>
      <w:r>
        <w:t xml:space="preserve"> and S</w:t>
      </w:r>
      <w:r>
        <w:rPr>
          <w:vertAlign w:val="subscript"/>
        </w:rPr>
        <w:t>3</w:t>
      </w:r>
      <w:r>
        <w:t xml:space="preserve"> are as similar to each other as their being in different places</w:t>
      </w:r>
      <w:r>
        <w:rPr>
          <w:spacing w:val="19"/>
        </w:rPr>
        <w:t xml:space="preserve"> </w:t>
      </w:r>
      <w:r>
        <w:t>permits.</w:t>
      </w:r>
      <w:r>
        <w:rPr>
          <w:spacing w:val="19"/>
        </w:rPr>
        <w:t xml:space="preserve"> </w:t>
      </w:r>
      <w:r>
        <w:t>This</w:t>
      </w:r>
      <w:r>
        <w:rPr>
          <w:spacing w:val="20"/>
        </w:rPr>
        <w:t xml:space="preserve"> </w:t>
      </w:r>
      <w:r>
        <w:t>is</w:t>
      </w:r>
      <w:r>
        <w:rPr>
          <w:spacing w:val="20"/>
        </w:rPr>
        <w:t xml:space="preserve"> </w:t>
      </w:r>
      <w:r>
        <w:t>sheer</w:t>
      </w:r>
      <w:r>
        <w:rPr>
          <w:spacing w:val="19"/>
        </w:rPr>
        <w:t xml:space="preserve"> </w:t>
      </w:r>
      <w:r>
        <w:t>coincidence:</w:t>
      </w:r>
      <w:r>
        <w:rPr>
          <w:spacing w:val="20"/>
        </w:rPr>
        <w:t xml:space="preserve"> </w:t>
      </w:r>
      <w:r>
        <w:t>S</w:t>
      </w:r>
      <w:r>
        <w:rPr>
          <w:vertAlign w:val="subscript"/>
        </w:rPr>
        <w:t>1</w:t>
      </w:r>
      <w:r>
        <w:rPr>
          <w:spacing w:val="15"/>
        </w:rPr>
        <w:t xml:space="preserve"> </w:t>
      </w:r>
      <w:r>
        <w:t>and</w:t>
      </w:r>
      <w:r>
        <w:rPr>
          <w:spacing w:val="16"/>
        </w:rPr>
        <w:t xml:space="preserve"> </w:t>
      </w:r>
      <w:r>
        <w:t>S</w:t>
      </w:r>
      <w:r>
        <w:rPr>
          <w:vertAlign w:val="subscript"/>
        </w:rPr>
        <w:t>3</w:t>
      </w:r>
      <w:r>
        <w:rPr>
          <w:spacing w:val="22"/>
        </w:rPr>
        <w:t xml:space="preserve"> </w:t>
      </w:r>
      <w:r>
        <w:t>are,</w:t>
      </w:r>
      <w:r>
        <w:rPr>
          <w:spacing w:val="22"/>
        </w:rPr>
        <w:t xml:space="preserve"> </w:t>
      </w:r>
      <w:r>
        <w:t>we</w:t>
      </w:r>
      <w:r>
        <w:rPr>
          <w:spacing w:val="-15"/>
        </w:rPr>
        <w:t xml:space="preserve"> </w:t>
      </w:r>
      <w:r>
        <w:t>will</w:t>
      </w:r>
      <w:r>
        <w:rPr>
          <w:spacing w:val="29"/>
        </w:rPr>
        <w:t xml:space="preserve"> </w:t>
      </w:r>
      <w:r>
        <w:t>suppose,</w:t>
      </w:r>
      <w:r>
        <w:rPr>
          <w:spacing w:val="30"/>
        </w:rPr>
        <w:t xml:space="preserve"> </w:t>
      </w:r>
      <w:r>
        <w:rPr>
          <w:spacing w:val="-5"/>
        </w:rPr>
        <w:t>as</w:t>
      </w:r>
    </w:p>
    <w:p w14:paraId="7E001E6C" w14:textId="77777777" w:rsidR="009A58DB" w:rsidRDefault="00000000">
      <w:pPr>
        <w:pStyle w:val="BodyText"/>
        <w:spacing w:line="249" w:lineRule="auto"/>
        <w:ind w:right="361"/>
      </w:pPr>
      <w:r>
        <w:t>causally disconnected from each other as any two non-simultaneous events</w:t>
      </w:r>
      <w:r>
        <w:rPr>
          <w:spacing w:val="40"/>
        </w:rPr>
        <w:t xml:space="preserve"> </w:t>
      </w:r>
      <w:r>
        <w:t>on</w:t>
      </w:r>
      <w:r>
        <w:rPr>
          <w:spacing w:val="-2"/>
        </w:rPr>
        <w:t xml:space="preserve"> </w:t>
      </w:r>
      <w:r>
        <w:t>this</w:t>
      </w:r>
      <w:r>
        <w:rPr>
          <w:spacing w:val="-3"/>
        </w:rPr>
        <w:t xml:space="preserve"> </w:t>
      </w:r>
      <w:r>
        <w:t>planet</w:t>
      </w:r>
      <w:r>
        <w:rPr>
          <w:spacing w:val="-3"/>
        </w:rPr>
        <w:t xml:space="preserve"> </w:t>
      </w:r>
      <w:r>
        <w:t>can</w:t>
      </w:r>
      <w:r>
        <w:rPr>
          <w:spacing w:val="-2"/>
        </w:rPr>
        <w:t xml:space="preserve"> </w:t>
      </w:r>
      <w:r>
        <w:t>be.</w:t>
      </w:r>
      <w:r>
        <w:rPr>
          <w:spacing w:val="-2"/>
        </w:rPr>
        <w:t xml:space="preserve"> </w:t>
      </w:r>
      <w:r>
        <w:t>It</w:t>
      </w:r>
      <w:r>
        <w:rPr>
          <w:spacing w:val="-3"/>
        </w:rPr>
        <w:t xml:space="preserve"> </w:t>
      </w:r>
      <w:r>
        <w:t>follows</w:t>
      </w:r>
      <w:r>
        <w:rPr>
          <w:spacing w:val="-3"/>
        </w:rPr>
        <w:t xml:space="preserve"> </w:t>
      </w:r>
      <w:r>
        <w:t>that</w:t>
      </w:r>
      <w:r>
        <w:rPr>
          <w:spacing w:val="-3"/>
        </w:rPr>
        <w:t xml:space="preserve"> </w:t>
      </w:r>
      <w:r>
        <w:t>my</w:t>
      </w:r>
      <w:r>
        <w:rPr>
          <w:spacing w:val="-2"/>
        </w:rPr>
        <w:t xml:space="preserve"> </w:t>
      </w:r>
      <w:r>
        <w:t>car,</w:t>
      </w:r>
      <w:r>
        <w:rPr>
          <w:spacing w:val="-2"/>
        </w:rPr>
        <w:t xml:space="preserve"> </w:t>
      </w:r>
      <w:r>
        <w:t>as</w:t>
      </w:r>
      <w:r>
        <w:rPr>
          <w:spacing w:val="-3"/>
        </w:rPr>
        <w:t xml:space="preserve"> </w:t>
      </w:r>
      <w:r>
        <w:t>it</w:t>
      </w:r>
      <w:r>
        <w:rPr>
          <w:spacing w:val="-3"/>
        </w:rPr>
        <w:t xml:space="preserve"> </w:t>
      </w:r>
      <w:r>
        <w:t>is</w:t>
      </w:r>
      <w:r>
        <w:rPr>
          <w:spacing w:val="-3"/>
        </w:rPr>
        <w:t xml:space="preserve"> </w:t>
      </w:r>
      <w:r>
        <w:t>right</w:t>
      </w:r>
      <w:r>
        <w:rPr>
          <w:spacing w:val="-3"/>
        </w:rPr>
        <w:t xml:space="preserve"> </w:t>
      </w:r>
      <w:r>
        <w:t>now,</w:t>
      </w:r>
      <w:r>
        <w:rPr>
          <w:spacing w:val="-2"/>
        </w:rPr>
        <w:t xml:space="preserve"> </w:t>
      </w:r>
      <w:r>
        <w:t>is</w:t>
      </w:r>
      <w:r>
        <w:rPr>
          <w:spacing w:val="-3"/>
        </w:rPr>
        <w:t xml:space="preserve"> </w:t>
      </w:r>
      <w:r>
        <w:t>just</w:t>
      </w:r>
      <w:r>
        <w:rPr>
          <w:spacing w:val="-3"/>
        </w:rPr>
        <w:t xml:space="preserve"> </w:t>
      </w:r>
      <w:r>
        <w:t>like</w:t>
      </w:r>
      <w:r>
        <w:rPr>
          <w:spacing w:val="-3"/>
        </w:rPr>
        <w:t xml:space="preserve"> </w:t>
      </w:r>
      <w:r>
        <w:t>your car, as it was twenty-four hours ago, before it was damaged. It also follows that S</w:t>
      </w:r>
      <w:r>
        <w:rPr>
          <w:position w:val="-7"/>
          <w:sz w:val="22"/>
        </w:rPr>
        <w:t>1</w:t>
      </w:r>
      <w:r>
        <w:rPr>
          <w:spacing w:val="32"/>
          <w:position w:val="-7"/>
          <w:sz w:val="22"/>
        </w:rPr>
        <w:t xml:space="preserve"> </w:t>
      </w:r>
      <w:r>
        <w:t>is much less similar to S</w:t>
      </w:r>
      <w:r>
        <w:rPr>
          <w:position w:val="-7"/>
          <w:sz w:val="22"/>
        </w:rPr>
        <w:t>2</w:t>
      </w:r>
      <w:r>
        <w:rPr>
          <w:spacing w:val="32"/>
          <w:position w:val="-7"/>
          <w:sz w:val="22"/>
        </w:rPr>
        <w:t xml:space="preserve"> </w:t>
      </w:r>
      <w:r>
        <w:t>than it is to S</w:t>
      </w:r>
      <w:r>
        <w:rPr>
          <w:position w:val="-7"/>
          <w:sz w:val="22"/>
        </w:rPr>
        <w:t>3</w:t>
      </w:r>
      <w:r>
        <w:t>.</w:t>
      </w:r>
    </w:p>
    <w:p w14:paraId="7E001E6D" w14:textId="77777777" w:rsidR="009A58DB" w:rsidRDefault="00000000">
      <w:pPr>
        <w:pStyle w:val="BodyText"/>
        <w:spacing w:line="249" w:lineRule="auto"/>
        <w:ind w:right="364" w:firstLine="360"/>
      </w:pPr>
      <w:r>
        <w:t>Be all of this as it may, the car in your driveway is, whereas the car in my driveway</w:t>
      </w:r>
      <w:r>
        <w:rPr>
          <w:spacing w:val="37"/>
        </w:rPr>
        <w:t xml:space="preserve"> </w:t>
      </w:r>
      <w:r>
        <w:t>is</w:t>
      </w:r>
      <w:r>
        <w:rPr>
          <w:spacing w:val="40"/>
        </w:rPr>
        <w:t xml:space="preserve"> </w:t>
      </w:r>
      <w:r>
        <w:t>not,</w:t>
      </w:r>
      <w:r>
        <w:rPr>
          <w:spacing w:val="39"/>
        </w:rPr>
        <w:t xml:space="preserve"> </w:t>
      </w:r>
      <w:r>
        <w:t>numerically</w:t>
      </w:r>
      <w:r>
        <w:rPr>
          <w:spacing w:val="40"/>
        </w:rPr>
        <w:t xml:space="preserve"> </w:t>
      </w:r>
      <w:r>
        <w:t>identical</w:t>
      </w:r>
      <w:r>
        <w:rPr>
          <w:spacing w:val="40"/>
        </w:rPr>
        <w:t xml:space="preserve"> </w:t>
      </w:r>
      <w:r>
        <w:t>with</w:t>
      </w:r>
      <w:r>
        <w:rPr>
          <w:spacing w:val="39"/>
        </w:rPr>
        <w:t xml:space="preserve"> </w:t>
      </w:r>
      <w:r>
        <w:t>the</w:t>
      </w:r>
      <w:r>
        <w:rPr>
          <w:spacing w:val="40"/>
        </w:rPr>
        <w:t xml:space="preserve"> </w:t>
      </w:r>
      <w:r>
        <w:t>car</w:t>
      </w:r>
      <w:r>
        <w:rPr>
          <w:spacing w:val="39"/>
        </w:rPr>
        <w:t xml:space="preserve"> </w:t>
      </w:r>
      <w:r>
        <w:t>you</w:t>
      </w:r>
      <w:r>
        <w:rPr>
          <w:spacing w:val="40"/>
        </w:rPr>
        <w:t xml:space="preserve"> </w:t>
      </w:r>
      <w:r>
        <w:t>owned</w:t>
      </w:r>
      <w:r>
        <w:rPr>
          <w:spacing w:val="40"/>
        </w:rPr>
        <w:t xml:space="preserve"> </w:t>
      </w:r>
      <w:r>
        <w:t>twenty-</w:t>
      </w:r>
      <w:r>
        <w:rPr>
          <w:spacing w:val="-4"/>
        </w:rPr>
        <w:t>four</w:t>
      </w:r>
    </w:p>
    <w:p w14:paraId="7E001E6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6F" w14:textId="77777777" w:rsidR="009A58DB" w:rsidRDefault="00000000">
      <w:pPr>
        <w:pStyle w:val="BodyText"/>
        <w:spacing w:before="67" w:line="271" w:lineRule="auto"/>
        <w:ind w:right="358"/>
      </w:pPr>
      <w:r>
        <w:lastRenderedPageBreak/>
        <w:t>hours ago. Mediating between S</w:t>
      </w:r>
      <w:r>
        <w:rPr>
          <w:vertAlign w:val="subscript"/>
        </w:rPr>
        <w:t>1</w:t>
      </w:r>
      <w:r>
        <w:t xml:space="preserve"> and S</w:t>
      </w:r>
      <w:r>
        <w:rPr>
          <w:vertAlign w:val="subscript"/>
        </w:rPr>
        <w:t>2</w:t>
      </w:r>
      <w:r>
        <w:t xml:space="preserve"> is a continuous series of events such that, given any two of them, one is the (in)direct cause of the other. No such series</w:t>
      </w:r>
      <w:r>
        <w:rPr>
          <w:spacing w:val="39"/>
        </w:rPr>
        <w:t xml:space="preserve"> </w:t>
      </w:r>
      <w:r>
        <w:t>mediates</w:t>
      </w:r>
      <w:r>
        <w:rPr>
          <w:spacing w:val="41"/>
        </w:rPr>
        <w:t xml:space="preserve"> </w:t>
      </w:r>
      <w:r>
        <w:t>between</w:t>
      </w:r>
      <w:r>
        <w:rPr>
          <w:spacing w:val="41"/>
        </w:rPr>
        <w:t xml:space="preserve"> </w:t>
      </w:r>
      <w:r>
        <w:t>S</w:t>
      </w:r>
      <w:r>
        <w:rPr>
          <w:vertAlign w:val="subscript"/>
        </w:rPr>
        <w:t>1</w:t>
      </w:r>
      <w:r>
        <w:rPr>
          <w:spacing w:val="37"/>
        </w:rPr>
        <w:t xml:space="preserve"> </w:t>
      </w:r>
      <w:r>
        <w:t>and</w:t>
      </w:r>
      <w:r>
        <w:rPr>
          <w:spacing w:val="38"/>
        </w:rPr>
        <w:t xml:space="preserve"> </w:t>
      </w:r>
      <w:r>
        <w:t>S</w:t>
      </w:r>
      <w:r>
        <w:rPr>
          <w:vertAlign w:val="subscript"/>
        </w:rPr>
        <w:t>3</w:t>
      </w:r>
      <w:r>
        <w:t>.</w:t>
      </w:r>
      <w:r>
        <w:rPr>
          <w:spacing w:val="44"/>
        </w:rPr>
        <w:t xml:space="preserve"> </w:t>
      </w:r>
      <w:r>
        <w:t>That’s</w:t>
      </w:r>
      <w:r>
        <w:rPr>
          <w:spacing w:val="43"/>
        </w:rPr>
        <w:t xml:space="preserve"> </w:t>
      </w:r>
      <w:r>
        <w:t>why</w:t>
      </w:r>
      <w:r>
        <w:rPr>
          <w:spacing w:val="44"/>
        </w:rPr>
        <w:t xml:space="preserve"> </w:t>
      </w:r>
      <w:r>
        <w:t>(i)</w:t>
      </w:r>
      <w:r>
        <w:rPr>
          <w:spacing w:val="44"/>
        </w:rPr>
        <w:t xml:space="preserve"> </w:t>
      </w:r>
      <w:r>
        <w:t>the</w:t>
      </w:r>
      <w:r>
        <w:rPr>
          <w:spacing w:val="43"/>
        </w:rPr>
        <w:t xml:space="preserve"> </w:t>
      </w:r>
      <w:r>
        <w:t>car</w:t>
      </w:r>
      <w:r>
        <w:rPr>
          <w:spacing w:val="44"/>
        </w:rPr>
        <w:t xml:space="preserve"> </w:t>
      </w:r>
      <w:r>
        <w:t>in</w:t>
      </w:r>
      <w:r>
        <w:rPr>
          <w:spacing w:val="44"/>
        </w:rPr>
        <w:t xml:space="preserve"> </w:t>
      </w:r>
      <w:r>
        <w:t>my</w:t>
      </w:r>
      <w:r>
        <w:rPr>
          <w:spacing w:val="43"/>
        </w:rPr>
        <w:t xml:space="preserve"> </w:t>
      </w:r>
      <w:r>
        <w:rPr>
          <w:spacing w:val="-2"/>
        </w:rPr>
        <w:t>driveway</w:t>
      </w:r>
    </w:p>
    <w:p w14:paraId="7E001E70" w14:textId="77777777" w:rsidR="009A58DB" w:rsidRDefault="00000000">
      <w:pPr>
        <w:pStyle w:val="BodyText"/>
        <w:spacing w:before="31" w:line="249" w:lineRule="auto"/>
        <w:ind w:right="361"/>
      </w:pPr>
      <w:r>
        <w:t xml:space="preserve">isn’t the very same car as the one you parked in your driveway twenty-four hours ago, their uncanny mutual resemblance notwithstanding. And that’s also why (ii) the car sitting in your driveway is the very same car as the one you parked in your driveway yesterday, their </w:t>
      </w:r>
      <w:r>
        <w:rPr>
          <w:i/>
        </w:rPr>
        <w:t xml:space="preserve">lack </w:t>
      </w:r>
      <w:r>
        <w:t>of mutual resemblance notwithstanding. Obvious generalizations of these points establish our thesis that objects are identical with causal series.</w:t>
      </w:r>
    </w:p>
    <w:p w14:paraId="7E001E71" w14:textId="77777777" w:rsidR="009A58DB" w:rsidRDefault="00000000">
      <w:pPr>
        <w:pStyle w:val="BodyText"/>
        <w:spacing w:before="5" w:line="249" w:lineRule="auto"/>
        <w:ind w:right="359" w:firstLine="360"/>
      </w:pPr>
      <w:r>
        <w:t>A consequence of the fact that objects are such series is that a given object ceases to exist the moment the corresponding causal series is severed. If, instead of just being damaged last night, your car was vaporized, my car, though an exact duplicate of your (pre-vaporized) car, still isn’t numerically identical with it.</w:t>
      </w:r>
    </w:p>
    <w:p w14:paraId="7E001E72" w14:textId="77777777" w:rsidR="009A58DB" w:rsidRDefault="00000000">
      <w:pPr>
        <w:pStyle w:val="BodyText"/>
        <w:spacing w:before="6" w:line="249" w:lineRule="auto"/>
        <w:ind w:right="363" w:firstLine="360"/>
      </w:pPr>
      <w:r>
        <w:t>Given that an object ceases to exist the moment the corresponding causal series</w:t>
      </w:r>
      <w:r>
        <w:rPr>
          <w:spacing w:val="-4"/>
        </w:rPr>
        <w:t xml:space="preserve"> </w:t>
      </w:r>
      <w:r>
        <w:t>is</w:t>
      </w:r>
      <w:r>
        <w:rPr>
          <w:spacing w:val="-4"/>
        </w:rPr>
        <w:t xml:space="preserve"> </w:t>
      </w:r>
      <w:r>
        <w:t>severed,</w:t>
      </w:r>
      <w:r>
        <w:rPr>
          <w:spacing w:val="-3"/>
        </w:rPr>
        <w:t xml:space="preserve"> </w:t>
      </w:r>
      <w:r>
        <w:t>it</w:t>
      </w:r>
      <w:r>
        <w:rPr>
          <w:spacing w:val="-4"/>
        </w:rPr>
        <w:t xml:space="preserve"> </w:t>
      </w:r>
      <w:r>
        <w:t>follows</w:t>
      </w:r>
      <w:r>
        <w:rPr>
          <w:spacing w:val="-4"/>
        </w:rPr>
        <w:t xml:space="preserve"> </w:t>
      </w:r>
      <w:r>
        <w:t>that,</w:t>
      </w:r>
      <w:r>
        <w:rPr>
          <w:spacing w:val="-3"/>
        </w:rPr>
        <w:t xml:space="preserve"> </w:t>
      </w:r>
      <w:r>
        <w:t>so</w:t>
      </w:r>
      <w:r>
        <w:rPr>
          <w:spacing w:val="-3"/>
        </w:rPr>
        <w:t xml:space="preserve"> </w:t>
      </w:r>
      <w:r>
        <w:t>far</w:t>
      </w:r>
      <w:r>
        <w:rPr>
          <w:spacing w:val="-4"/>
        </w:rPr>
        <w:t xml:space="preserve"> </w:t>
      </w:r>
      <w:r>
        <w:t>as</w:t>
      </w:r>
      <w:r>
        <w:rPr>
          <w:spacing w:val="-4"/>
        </w:rPr>
        <w:t xml:space="preserve"> </w:t>
      </w:r>
      <w:r>
        <w:t>it</w:t>
      </w:r>
      <w:r>
        <w:rPr>
          <w:spacing w:val="-4"/>
        </w:rPr>
        <w:t xml:space="preserve"> </w:t>
      </w:r>
      <w:r>
        <w:t>isn’t</w:t>
      </w:r>
      <w:r>
        <w:rPr>
          <w:spacing w:val="-4"/>
        </w:rPr>
        <w:t xml:space="preserve"> </w:t>
      </w:r>
      <w:r>
        <w:t>logically</w:t>
      </w:r>
      <w:r>
        <w:rPr>
          <w:spacing w:val="-3"/>
        </w:rPr>
        <w:t xml:space="preserve"> </w:t>
      </w:r>
      <w:r>
        <w:t>false,</w:t>
      </w:r>
      <w:r>
        <w:rPr>
          <w:spacing w:val="-3"/>
        </w:rPr>
        <w:t xml:space="preserve"> </w:t>
      </w:r>
      <w:r>
        <w:t>the</w:t>
      </w:r>
      <w:r>
        <w:rPr>
          <w:spacing w:val="-4"/>
        </w:rPr>
        <w:t xml:space="preserve"> </w:t>
      </w:r>
      <w:r>
        <w:t>statement:</w:t>
      </w:r>
    </w:p>
    <w:p w14:paraId="7E001E73" w14:textId="77777777" w:rsidR="009A58DB" w:rsidRDefault="00000000">
      <w:pPr>
        <w:pStyle w:val="ListParagraph"/>
        <w:numPr>
          <w:ilvl w:val="1"/>
          <w:numId w:val="88"/>
        </w:numPr>
        <w:tabs>
          <w:tab w:val="left" w:pos="715"/>
        </w:tabs>
        <w:spacing w:before="242" w:line="417" w:lineRule="auto"/>
        <w:ind w:right="2472" w:firstLine="0"/>
        <w:rPr>
          <w:sz w:val="30"/>
        </w:rPr>
      </w:pPr>
      <w:r>
        <w:rPr>
          <w:sz w:val="30"/>
        </w:rPr>
        <w:t>Smith</w:t>
      </w:r>
      <w:r>
        <w:rPr>
          <w:spacing w:val="-4"/>
          <w:sz w:val="30"/>
        </w:rPr>
        <w:t xml:space="preserve"> </w:t>
      </w:r>
      <w:r>
        <w:rPr>
          <w:sz w:val="30"/>
        </w:rPr>
        <w:t>disappears</w:t>
      </w:r>
      <w:r>
        <w:rPr>
          <w:spacing w:val="-5"/>
          <w:sz w:val="30"/>
        </w:rPr>
        <w:t xml:space="preserve"> </w:t>
      </w:r>
      <w:r>
        <w:rPr>
          <w:sz w:val="30"/>
        </w:rPr>
        <w:t>in</w:t>
      </w:r>
      <w:r>
        <w:rPr>
          <w:spacing w:val="-4"/>
          <w:sz w:val="30"/>
        </w:rPr>
        <w:t xml:space="preserve"> </w:t>
      </w:r>
      <w:r>
        <w:rPr>
          <w:sz w:val="30"/>
        </w:rPr>
        <w:t>2009</w:t>
      </w:r>
      <w:r>
        <w:rPr>
          <w:spacing w:val="-4"/>
          <w:sz w:val="30"/>
        </w:rPr>
        <w:t xml:space="preserve"> </w:t>
      </w:r>
      <w:r>
        <w:rPr>
          <w:sz w:val="30"/>
        </w:rPr>
        <w:t>and</w:t>
      </w:r>
      <w:r>
        <w:rPr>
          <w:spacing w:val="-4"/>
          <w:sz w:val="30"/>
        </w:rPr>
        <w:t xml:space="preserve"> </w:t>
      </w:r>
      <w:r>
        <w:rPr>
          <w:sz w:val="30"/>
        </w:rPr>
        <w:t>re-appears</w:t>
      </w:r>
      <w:r>
        <w:rPr>
          <w:spacing w:val="-5"/>
          <w:sz w:val="30"/>
        </w:rPr>
        <w:t xml:space="preserve"> </w:t>
      </w:r>
      <w:r>
        <w:rPr>
          <w:sz w:val="30"/>
        </w:rPr>
        <w:t>in</w:t>
      </w:r>
      <w:r>
        <w:rPr>
          <w:spacing w:val="-4"/>
          <w:sz w:val="30"/>
        </w:rPr>
        <w:t xml:space="preserve"> </w:t>
      </w:r>
      <w:r>
        <w:rPr>
          <w:sz w:val="30"/>
        </w:rPr>
        <w:t>the</w:t>
      </w:r>
      <w:r>
        <w:rPr>
          <w:spacing w:val="-5"/>
          <w:sz w:val="30"/>
        </w:rPr>
        <w:t xml:space="preserve"> </w:t>
      </w:r>
      <w:r>
        <w:rPr>
          <w:sz w:val="30"/>
        </w:rPr>
        <w:t>year</w:t>
      </w:r>
      <w:r>
        <w:rPr>
          <w:spacing w:val="-5"/>
          <w:sz w:val="30"/>
        </w:rPr>
        <w:t xml:space="preserve"> </w:t>
      </w:r>
      <w:r>
        <w:rPr>
          <w:sz w:val="30"/>
        </w:rPr>
        <w:t>2023 collapses into the statement:</w:t>
      </w:r>
    </w:p>
    <w:p w14:paraId="7E001E74" w14:textId="77777777" w:rsidR="009A58DB" w:rsidRDefault="00000000">
      <w:pPr>
        <w:pStyle w:val="ListParagraph"/>
        <w:numPr>
          <w:ilvl w:val="1"/>
          <w:numId w:val="88"/>
        </w:numPr>
        <w:tabs>
          <w:tab w:val="left" w:pos="844"/>
        </w:tabs>
        <w:spacing w:line="249" w:lineRule="auto"/>
        <w:ind w:right="371" w:firstLine="0"/>
        <w:rPr>
          <w:sz w:val="30"/>
        </w:rPr>
      </w:pPr>
      <w:r>
        <w:rPr>
          <w:sz w:val="30"/>
        </w:rPr>
        <w:t>Smith</w:t>
      </w:r>
      <w:r>
        <w:rPr>
          <w:spacing w:val="40"/>
          <w:sz w:val="30"/>
        </w:rPr>
        <w:t xml:space="preserve"> </w:t>
      </w:r>
      <w:r>
        <w:rPr>
          <w:sz w:val="30"/>
        </w:rPr>
        <w:t>is</w:t>
      </w:r>
      <w:r>
        <w:rPr>
          <w:spacing w:val="40"/>
          <w:sz w:val="30"/>
        </w:rPr>
        <w:t xml:space="preserve"> </w:t>
      </w:r>
      <w:r>
        <w:rPr>
          <w:sz w:val="30"/>
        </w:rPr>
        <w:t>annihilated</w:t>
      </w:r>
      <w:r>
        <w:rPr>
          <w:spacing w:val="40"/>
          <w:sz w:val="30"/>
        </w:rPr>
        <w:t xml:space="preserve"> </w:t>
      </w:r>
      <w:r>
        <w:rPr>
          <w:sz w:val="30"/>
        </w:rPr>
        <w:t>in</w:t>
      </w:r>
      <w:r>
        <w:rPr>
          <w:spacing w:val="40"/>
          <w:sz w:val="30"/>
        </w:rPr>
        <w:t xml:space="preserve"> </w:t>
      </w:r>
      <w:r>
        <w:rPr>
          <w:sz w:val="30"/>
        </w:rPr>
        <w:t>2009</w:t>
      </w:r>
      <w:r>
        <w:rPr>
          <w:spacing w:val="40"/>
          <w:sz w:val="30"/>
        </w:rPr>
        <w:t xml:space="preserve"> </w:t>
      </w:r>
      <w:r>
        <w:rPr>
          <w:sz w:val="30"/>
        </w:rPr>
        <w:t>and</w:t>
      </w:r>
      <w:r>
        <w:rPr>
          <w:spacing w:val="40"/>
          <w:sz w:val="30"/>
        </w:rPr>
        <w:t xml:space="preserve"> </w:t>
      </w:r>
      <w:r>
        <w:rPr>
          <w:sz w:val="30"/>
        </w:rPr>
        <w:t>a</w:t>
      </w:r>
      <w:r>
        <w:rPr>
          <w:spacing w:val="40"/>
          <w:sz w:val="30"/>
        </w:rPr>
        <w:t xml:space="preserve"> </w:t>
      </w:r>
      <w:r>
        <w:rPr>
          <w:sz w:val="30"/>
        </w:rPr>
        <w:t>Smith-</w:t>
      </w:r>
      <w:r>
        <w:rPr>
          <w:i/>
          <w:sz w:val="30"/>
        </w:rPr>
        <w:t>like</w:t>
      </w:r>
      <w:r>
        <w:rPr>
          <w:i/>
          <w:spacing w:val="40"/>
          <w:sz w:val="30"/>
        </w:rPr>
        <w:t xml:space="preserve"> </w:t>
      </w:r>
      <w:r>
        <w:rPr>
          <w:sz w:val="30"/>
        </w:rPr>
        <w:t>entity</w:t>
      </w:r>
      <w:r>
        <w:rPr>
          <w:spacing w:val="40"/>
          <w:sz w:val="30"/>
        </w:rPr>
        <w:t xml:space="preserve"> </w:t>
      </w:r>
      <w:r>
        <w:rPr>
          <w:sz w:val="30"/>
        </w:rPr>
        <w:t>that</w:t>
      </w:r>
      <w:r>
        <w:rPr>
          <w:spacing w:val="40"/>
          <w:sz w:val="30"/>
        </w:rPr>
        <w:t xml:space="preserve"> </w:t>
      </w:r>
      <w:r>
        <w:rPr>
          <w:sz w:val="30"/>
        </w:rPr>
        <w:t>isn’t</w:t>
      </w:r>
      <w:r>
        <w:rPr>
          <w:spacing w:val="40"/>
          <w:sz w:val="30"/>
        </w:rPr>
        <w:t xml:space="preserve"> </w:t>
      </w:r>
      <w:r>
        <w:rPr>
          <w:sz w:val="30"/>
        </w:rPr>
        <w:t xml:space="preserve">actually Smith </w:t>
      </w:r>
      <w:r>
        <w:rPr>
          <w:i/>
          <w:sz w:val="30"/>
        </w:rPr>
        <w:t xml:space="preserve">ex nihilo </w:t>
      </w:r>
      <w:r>
        <w:rPr>
          <w:sz w:val="30"/>
        </w:rPr>
        <w:t>comes into existence in the year 2023.</w:t>
      </w:r>
    </w:p>
    <w:p w14:paraId="7E001E75" w14:textId="77777777" w:rsidR="009A58DB" w:rsidRDefault="00000000">
      <w:pPr>
        <w:pStyle w:val="BodyText"/>
        <w:spacing w:before="242" w:line="249" w:lineRule="auto"/>
        <w:ind w:right="359" w:firstLine="360"/>
      </w:pPr>
      <w:r>
        <w:rPr>
          <w:spacing w:val="-2"/>
        </w:rPr>
        <w:t>A</w:t>
      </w:r>
      <w:r>
        <w:rPr>
          <w:spacing w:val="-17"/>
        </w:rPr>
        <w:t xml:space="preserve"> </w:t>
      </w:r>
      <w:r>
        <w:rPr>
          <w:spacing w:val="-2"/>
        </w:rPr>
        <w:t>question</w:t>
      </w:r>
      <w:r>
        <w:rPr>
          <w:spacing w:val="-17"/>
        </w:rPr>
        <w:t xml:space="preserve"> </w:t>
      </w:r>
      <w:r>
        <w:rPr>
          <w:spacing w:val="-2"/>
        </w:rPr>
        <w:t>will</w:t>
      </w:r>
      <w:r>
        <w:rPr>
          <w:spacing w:val="-14"/>
        </w:rPr>
        <w:t xml:space="preserve"> </w:t>
      </w:r>
      <w:r>
        <w:rPr>
          <w:spacing w:val="-2"/>
        </w:rPr>
        <w:t>help</w:t>
      </w:r>
      <w:r>
        <w:rPr>
          <w:spacing w:val="-12"/>
        </w:rPr>
        <w:t xml:space="preserve"> </w:t>
      </w:r>
      <w:r>
        <w:rPr>
          <w:spacing w:val="-2"/>
        </w:rPr>
        <w:t>clarify</w:t>
      </w:r>
      <w:r>
        <w:rPr>
          <w:spacing w:val="-12"/>
        </w:rPr>
        <w:t xml:space="preserve"> </w:t>
      </w:r>
      <w:r>
        <w:rPr>
          <w:spacing w:val="-2"/>
        </w:rPr>
        <w:t>the</w:t>
      </w:r>
      <w:r>
        <w:rPr>
          <w:spacing w:val="-12"/>
        </w:rPr>
        <w:t xml:space="preserve"> </w:t>
      </w:r>
      <w:r>
        <w:rPr>
          <w:spacing w:val="-2"/>
        </w:rPr>
        <w:t>reasoning</w:t>
      </w:r>
      <w:r>
        <w:rPr>
          <w:spacing w:val="-12"/>
        </w:rPr>
        <w:t xml:space="preserve"> </w:t>
      </w:r>
      <w:r>
        <w:rPr>
          <w:spacing w:val="-2"/>
        </w:rPr>
        <w:t>behind</w:t>
      </w:r>
      <w:r>
        <w:rPr>
          <w:spacing w:val="-12"/>
        </w:rPr>
        <w:t xml:space="preserve"> </w:t>
      </w:r>
      <w:r>
        <w:rPr>
          <w:spacing w:val="-2"/>
        </w:rPr>
        <w:t>this</w:t>
      </w:r>
      <w:r>
        <w:rPr>
          <w:spacing w:val="-12"/>
        </w:rPr>
        <w:t xml:space="preserve"> </w:t>
      </w:r>
      <w:r>
        <w:rPr>
          <w:spacing w:val="-2"/>
        </w:rPr>
        <w:t>last</w:t>
      </w:r>
      <w:r>
        <w:rPr>
          <w:spacing w:val="-12"/>
        </w:rPr>
        <w:t xml:space="preserve"> </w:t>
      </w:r>
      <w:r>
        <w:rPr>
          <w:spacing w:val="-2"/>
        </w:rPr>
        <w:t>assertion:</w:t>
      </w:r>
      <w:r>
        <w:rPr>
          <w:spacing w:val="-16"/>
        </w:rPr>
        <w:t xml:space="preserve"> </w:t>
      </w:r>
      <w:r>
        <w:rPr>
          <w:spacing w:val="-2"/>
        </w:rPr>
        <w:t>Where</w:t>
      </w:r>
      <w:r>
        <w:rPr>
          <w:spacing w:val="-12"/>
        </w:rPr>
        <w:t xml:space="preserve"> </w:t>
      </w:r>
      <w:r>
        <w:rPr>
          <w:spacing w:val="-2"/>
        </w:rPr>
        <w:t xml:space="preserve">is </w:t>
      </w:r>
      <w:r>
        <w:rPr>
          <w:spacing w:val="-6"/>
        </w:rPr>
        <w:t>Smith</w:t>
      </w:r>
      <w:r>
        <w:rPr>
          <w:spacing w:val="-11"/>
        </w:rPr>
        <w:t xml:space="preserve"> </w:t>
      </w:r>
      <w:r>
        <w:rPr>
          <w:spacing w:val="-6"/>
        </w:rPr>
        <w:t>during</w:t>
      </w:r>
      <w:r>
        <w:rPr>
          <w:spacing w:val="-11"/>
        </w:rPr>
        <w:t xml:space="preserve"> </w:t>
      </w:r>
      <w:r>
        <w:rPr>
          <w:spacing w:val="-6"/>
        </w:rPr>
        <w:t>that</w:t>
      </w:r>
      <w:r>
        <w:rPr>
          <w:spacing w:val="-11"/>
        </w:rPr>
        <w:t xml:space="preserve"> </w:t>
      </w:r>
      <w:r>
        <w:rPr>
          <w:spacing w:val="-6"/>
        </w:rPr>
        <w:t>fourteen</w:t>
      </w:r>
      <w:r>
        <w:t xml:space="preserve"> </w:t>
      </w:r>
      <w:r>
        <w:rPr>
          <w:spacing w:val="-6"/>
        </w:rPr>
        <w:t>year</w:t>
      </w:r>
      <w:r>
        <w:rPr>
          <w:spacing w:val="-7"/>
        </w:rPr>
        <w:t xml:space="preserve"> </w:t>
      </w:r>
      <w:r>
        <w:rPr>
          <w:spacing w:val="-6"/>
        </w:rPr>
        <w:t>interval?</w:t>
      </w:r>
      <w:r>
        <w:rPr>
          <w:spacing w:val="-7"/>
        </w:rPr>
        <w:t xml:space="preserve"> </w:t>
      </w:r>
      <w:r>
        <w:rPr>
          <w:spacing w:val="-6"/>
        </w:rPr>
        <w:t>He’s</w:t>
      </w:r>
      <w:r>
        <w:rPr>
          <w:spacing w:val="-7"/>
        </w:rPr>
        <w:t xml:space="preserve"> </w:t>
      </w:r>
      <w:r>
        <w:rPr>
          <w:spacing w:val="-6"/>
        </w:rPr>
        <w:t>either</w:t>
      </w:r>
      <w:r>
        <w:rPr>
          <w:spacing w:val="-7"/>
        </w:rPr>
        <w:t xml:space="preserve"> </w:t>
      </w:r>
      <w:r>
        <w:rPr>
          <w:spacing w:val="-6"/>
        </w:rPr>
        <w:t>nowhere</w:t>
      </w:r>
      <w:r>
        <w:rPr>
          <w:spacing w:val="-7"/>
        </w:rPr>
        <w:t xml:space="preserve"> </w:t>
      </w:r>
      <w:r>
        <w:rPr>
          <w:spacing w:val="-6"/>
        </w:rPr>
        <w:t>or</w:t>
      </w:r>
      <w:r>
        <w:rPr>
          <w:spacing w:val="-7"/>
        </w:rPr>
        <w:t xml:space="preserve"> </w:t>
      </w:r>
      <w:r>
        <w:rPr>
          <w:spacing w:val="-6"/>
        </w:rPr>
        <w:t>he’s</w:t>
      </w:r>
      <w:r>
        <w:rPr>
          <w:spacing w:val="-7"/>
        </w:rPr>
        <w:t xml:space="preserve"> </w:t>
      </w:r>
      <w:r>
        <w:rPr>
          <w:spacing w:val="-6"/>
        </w:rPr>
        <w:t xml:space="preserve">somewhere. </w:t>
      </w:r>
      <w:r>
        <w:t xml:space="preserve">Let’s suppose that he’s nowhere. In that case, for the reasons illustrated in </w:t>
      </w:r>
      <w:r>
        <w:rPr>
          <w:spacing w:val="-2"/>
        </w:rPr>
        <w:t>connection</w:t>
      </w:r>
      <w:r>
        <w:rPr>
          <w:spacing w:val="-16"/>
        </w:rPr>
        <w:t xml:space="preserve"> </w:t>
      </w:r>
      <w:r>
        <w:rPr>
          <w:spacing w:val="-2"/>
        </w:rPr>
        <w:t>with</w:t>
      </w:r>
      <w:r>
        <w:rPr>
          <w:spacing w:val="-16"/>
        </w:rPr>
        <w:t xml:space="preserve"> </w:t>
      </w:r>
      <w:r>
        <w:rPr>
          <w:spacing w:val="-2"/>
        </w:rPr>
        <w:t>your</w:t>
      </w:r>
      <w:r>
        <w:rPr>
          <w:spacing w:val="-16"/>
        </w:rPr>
        <w:t xml:space="preserve"> </w:t>
      </w:r>
      <w:r>
        <w:rPr>
          <w:spacing w:val="-2"/>
        </w:rPr>
        <w:t>car,</w:t>
      </w:r>
      <w:r>
        <w:rPr>
          <w:spacing w:val="-16"/>
        </w:rPr>
        <w:t xml:space="preserve"> </w:t>
      </w:r>
      <w:r>
        <w:rPr>
          <w:spacing w:val="-2"/>
        </w:rPr>
        <w:t>whatever</w:t>
      </w:r>
      <w:r>
        <w:rPr>
          <w:spacing w:val="-16"/>
        </w:rPr>
        <w:t xml:space="preserve"> </w:t>
      </w:r>
      <w:r>
        <w:rPr>
          <w:spacing w:val="-2"/>
        </w:rPr>
        <w:t>it</w:t>
      </w:r>
      <w:r>
        <w:rPr>
          <w:spacing w:val="-16"/>
        </w:rPr>
        <w:t xml:space="preserve"> </w:t>
      </w:r>
      <w:r>
        <w:rPr>
          <w:spacing w:val="-2"/>
        </w:rPr>
        <w:t>is</w:t>
      </w:r>
      <w:r>
        <w:rPr>
          <w:spacing w:val="-15"/>
        </w:rPr>
        <w:t xml:space="preserve"> </w:t>
      </w:r>
      <w:r>
        <w:rPr>
          <w:spacing w:val="-2"/>
        </w:rPr>
        <w:t>that</w:t>
      </w:r>
      <w:r>
        <w:rPr>
          <w:spacing w:val="-16"/>
        </w:rPr>
        <w:t xml:space="preserve"> </w:t>
      </w:r>
      <w:r>
        <w:rPr>
          <w:spacing w:val="-2"/>
        </w:rPr>
        <w:t>pops</w:t>
      </w:r>
      <w:r>
        <w:rPr>
          <w:spacing w:val="-15"/>
        </w:rPr>
        <w:t xml:space="preserve"> </w:t>
      </w:r>
      <w:r>
        <w:rPr>
          <w:spacing w:val="-2"/>
        </w:rPr>
        <w:t>into</w:t>
      </w:r>
      <w:r>
        <w:rPr>
          <w:spacing w:val="-16"/>
        </w:rPr>
        <w:t xml:space="preserve"> </w:t>
      </w:r>
      <w:r>
        <w:rPr>
          <w:spacing w:val="-2"/>
        </w:rPr>
        <w:t>existence</w:t>
      </w:r>
      <w:r>
        <w:rPr>
          <w:spacing w:val="-15"/>
        </w:rPr>
        <w:t xml:space="preserve"> </w:t>
      </w:r>
      <w:r>
        <w:rPr>
          <w:spacing w:val="-2"/>
        </w:rPr>
        <w:t>in</w:t>
      </w:r>
      <w:r>
        <w:rPr>
          <w:spacing w:val="-16"/>
        </w:rPr>
        <w:t xml:space="preserve"> </w:t>
      </w:r>
      <w:r>
        <w:rPr>
          <w:spacing w:val="-2"/>
        </w:rPr>
        <w:t>the</w:t>
      </w:r>
      <w:r>
        <w:rPr>
          <w:spacing w:val="-15"/>
        </w:rPr>
        <w:t xml:space="preserve"> </w:t>
      </w:r>
      <w:r>
        <w:rPr>
          <w:spacing w:val="-2"/>
        </w:rPr>
        <w:t>year</w:t>
      </w:r>
      <w:r>
        <w:rPr>
          <w:spacing w:val="-16"/>
        </w:rPr>
        <w:t xml:space="preserve"> </w:t>
      </w:r>
      <w:r>
        <w:rPr>
          <w:spacing w:val="-2"/>
        </w:rPr>
        <w:t xml:space="preserve">2023 </w:t>
      </w:r>
      <w:r>
        <w:t>isn’t</w:t>
      </w:r>
      <w:r>
        <w:rPr>
          <w:spacing w:val="-19"/>
        </w:rPr>
        <w:t xml:space="preserve"> </w:t>
      </w:r>
      <w:r>
        <w:t>numerically</w:t>
      </w:r>
      <w:r>
        <w:rPr>
          <w:spacing w:val="-17"/>
        </w:rPr>
        <w:t xml:space="preserve"> </w:t>
      </w:r>
      <w:r>
        <w:t>identical</w:t>
      </w:r>
      <w:r>
        <w:rPr>
          <w:spacing w:val="-17"/>
        </w:rPr>
        <w:t xml:space="preserve"> </w:t>
      </w:r>
      <w:r>
        <w:t>with</w:t>
      </w:r>
      <w:r>
        <w:rPr>
          <w:spacing w:val="-17"/>
        </w:rPr>
        <w:t xml:space="preserve"> </w:t>
      </w:r>
      <w:r>
        <w:t>Smith.</w:t>
      </w:r>
      <w:r>
        <w:rPr>
          <w:spacing w:val="-17"/>
        </w:rPr>
        <w:t xml:space="preserve"> </w:t>
      </w:r>
      <w:r>
        <w:t>So</w:t>
      </w:r>
      <w:r>
        <w:rPr>
          <w:spacing w:val="-17"/>
        </w:rPr>
        <w:t xml:space="preserve"> </w:t>
      </w:r>
      <w:r>
        <w:t>let’s</w:t>
      </w:r>
      <w:r>
        <w:rPr>
          <w:spacing w:val="-17"/>
        </w:rPr>
        <w:t xml:space="preserve"> </w:t>
      </w:r>
      <w:r>
        <w:t>suppose</w:t>
      </w:r>
      <w:r>
        <w:rPr>
          <w:spacing w:val="-17"/>
        </w:rPr>
        <w:t xml:space="preserve"> </w:t>
      </w:r>
      <w:r>
        <w:t>that</w:t>
      </w:r>
      <w:r>
        <w:rPr>
          <w:spacing w:val="-17"/>
        </w:rPr>
        <w:t xml:space="preserve"> </w:t>
      </w:r>
      <w:r>
        <w:t>he’s</w:t>
      </w:r>
      <w:r>
        <w:rPr>
          <w:spacing w:val="-17"/>
        </w:rPr>
        <w:t xml:space="preserve"> </w:t>
      </w:r>
      <w:r>
        <w:t>somewhere—that, at any given instant during</w:t>
      </w:r>
    </w:p>
    <w:p w14:paraId="7E001E76" w14:textId="77777777" w:rsidR="009A58DB" w:rsidRDefault="00000000">
      <w:pPr>
        <w:pStyle w:val="BodyText"/>
        <w:spacing w:before="8" w:line="249" w:lineRule="auto"/>
        <w:ind w:right="359"/>
        <w:rPr>
          <w:position w:val="21"/>
        </w:rPr>
      </w:pPr>
      <w:r>
        <w:t>that time period, he is in some place or other. But in that case he’s no more time-traveling than anything else that exists during that interval. If he’s next to some one tree during that entire period, he’s no more time-traveling than that tree. If he’s going from place to place, he’s no more time-traveling than any one of the satellites that will orbit the earth during that period</w:t>
      </w:r>
      <w:bookmarkStart w:id="416" w:name="_bookmark416"/>
      <w:bookmarkEnd w:id="416"/>
      <w:r>
        <w:t>.</w:t>
      </w:r>
      <w:r>
        <w:rPr>
          <w:color w:val="0562C1"/>
          <w:position w:val="21"/>
          <w:u w:val="single" w:color="0562C1"/>
        </w:rPr>
        <w:t>[300]</w:t>
      </w:r>
    </w:p>
    <w:p w14:paraId="7E001E77" w14:textId="77777777" w:rsidR="009A58DB" w:rsidRDefault="00000000">
      <w:pPr>
        <w:pStyle w:val="BodyText"/>
        <w:spacing w:before="6"/>
        <w:ind w:left="720"/>
      </w:pPr>
      <w:r>
        <w:t>So</w:t>
      </w:r>
      <w:r>
        <w:rPr>
          <w:spacing w:val="53"/>
        </w:rPr>
        <w:t xml:space="preserve"> </w:t>
      </w:r>
      <w:r>
        <w:t>depending</w:t>
      </w:r>
      <w:r>
        <w:rPr>
          <w:spacing w:val="56"/>
        </w:rPr>
        <w:t xml:space="preserve"> </w:t>
      </w:r>
      <w:r>
        <w:t>on</w:t>
      </w:r>
      <w:r>
        <w:rPr>
          <w:spacing w:val="55"/>
        </w:rPr>
        <w:t xml:space="preserve"> </w:t>
      </w:r>
      <w:r>
        <w:t>whether</w:t>
      </w:r>
      <w:r>
        <w:rPr>
          <w:spacing w:val="56"/>
        </w:rPr>
        <w:t xml:space="preserve"> </w:t>
      </w:r>
      <w:r>
        <w:t>he’s</w:t>
      </w:r>
      <w:r>
        <w:rPr>
          <w:spacing w:val="55"/>
        </w:rPr>
        <w:t xml:space="preserve"> </w:t>
      </w:r>
      <w:r>
        <w:t>somewhere</w:t>
      </w:r>
      <w:r>
        <w:rPr>
          <w:spacing w:val="56"/>
        </w:rPr>
        <w:t xml:space="preserve"> </w:t>
      </w:r>
      <w:r>
        <w:t>or</w:t>
      </w:r>
      <w:r>
        <w:rPr>
          <w:spacing w:val="55"/>
        </w:rPr>
        <w:t xml:space="preserve"> </w:t>
      </w:r>
      <w:r>
        <w:t>nowhere,</w:t>
      </w:r>
      <w:r>
        <w:rPr>
          <w:spacing w:val="56"/>
        </w:rPr>
        <w:t xml:space="preserve"> </w:t>
      </w:r>
      <w:r>
        <w:t>Smith</w:t>
      </w:r>
      <w:r>
        <w:rPr>
          <w:spacing w:val="55"/>
        </w:rPr>
        <w:t xml:space="preserve"> </w:t>
      </w:r>
      <w:r>
        <w:t>is</w:t>
      </w:r>
      <w:r>
        <w:rPr>
          <w:spacing w:val="56"/>
        </w:rPr>
        <w:t xml:space="preserve"> </w:t>
      </w:r>
      <w:r>
        <w:rPr>
          <w:spacing w:val="-2"/>
        </w:rPr>
        <w:t>either</w:t>
      </w:r>
    </w:p>
    <w:p w14:paraId="7E001E78" w14:textId="77777777" w:rsidR="009A58DB" w:rsidRDefault="009A58DB">
      <w:pPr>
        <w:pStyle w:val="BodyText"/>
        <w:sectPr w:rsidR="009A58DB">
          <w:pgSz w:w="12240" w:h="15840"/>
          <w:pgMar w:top="1380" w:right="1080" w:bottom="280" w:left="1080" w:header="720" w:footer="720" w:gutter="0"/>
          <w:cols w:space="720"/>
        </w:sectPr>
      </w:pPr>
    </w:p>
    <w:p w14:paraId="7E001E79" w14:textId="77777777" w:rsidR="009A58DB" w:rsidRDefault="00000000">
      <w:pPr>
        <w:pStyle w:val="BodyText"/>
        <w:spacing w:before="69" w:line="249" w:lineRule="auto"/>
        <w:ind w:right="358"/>
      </w:pPr>
      <w:r>
        <w:lastRenderedPageBreak/>
        <w:t>permanently</w:t>
      </w:r>
      <w:r>
        <w:rPr>
          <w:spacing w:val="-3"/>
        </w:rPr>
        <w:t xml:space="preserve"> </w:t>
      </w:r>
      <w:r>
        <w:t>annihilated</w:t>
      </w:r>
      <w:r>
        <w:rPr>
          <w:spacing w:val="-3"/>
        </w:rPr>
        <w:t xml:space="preserve"> </w:t>
      </w:r>
      <w:r>
        <w:t>in</w:t>
      </w:r>
      <w:r>
        <w:rPr>
          <w:spacing w:val="-3"/>
        </w:rPr>
        <w:t xml:space="preserve"> </w:t>
      </w:r>
      <w:r>
        <w:t>2009</w:t>
      </w:r>
      <w:r>
        <w:rPr>
          <w:spacing w:val="-3"/>
        </w:rPr>
        <w:t xml:space="preserve"> </w:t>
      </w:r>
      <w:r>
        <w:t>or</w:t>
      </w:r>
      <w:r>
        <w:rPr>
          <w:spacing w:val="-3"/>
        </w:rPr>
        <w:t xml:space="preserve"> </w:t>
      </w:r>
      <w:r>
        <w:t>he’s</w:t>
      </w:r>
      <w:r>
        <w:rPr>
          <w:spacing w:val="-3"/>
        </w:rPr>
        <w:t xml:space="preserve"> </w:t>
      </w:r>
      <w:r>
        <w:t>no</w:t>
      </w:r>
      <w:r>
        <w:rPr>
          <w:spacing w:val="-3"/>
        </w:rPr>
        <w:t xml:space="preserve"> </w:t>
      </w:r>
      <w:r>
        <w:t>more</w:t>
      </w:r>
      <w:r>
        <w:rPr>
          <w:spacing w:val="-3"/>
        </w:rPr>
        <w:t xml:space="preserve"> </w:t>
      </w:r>
      <w:r>
        <w:t>time-traveling</w:t>
      </w:r>
      <w:r>
        <w:rPr>
          <w:spacing w:val="-3"/>
        </w:rPr>
        <w:t xml:space="preserve"> </w:t>
      </w:r>
      <w:r>
        <w:t>than</w:t>
      </w:r>
      <w:r>
        <w:rPr>
          <w:spacing w:val="-3"/>
        </w:rPr>
        <w:t xml:space="preserve"> </w:t>
      </w:r>
      <w:r>
        <w:t>anything else that exists during that period. Therefore, (a) is false.</w:t>
      </w:r>
    </w:p>
    <w:p w14:paraId="7E001E7A" w14:textId="77777777" w:rsidR="009A58DB" w:rsidRDefault="00000000">
      <w:pPr>
        <w:pStyle w:val="BodyText"/>
        <w:spacing w:line="249" w:lineRule="auto"/>
        <w:ind w:right="358" w:firstLine="360"/>
      </w:pPr>
      <w:r>
        <w:t>To see why (b) is false, we need do little more than repeat some of the points just made. Suppose that Smith travels from 2009 to 2023 at a rate of one million minutes/minute. We’ve just seen that Smith cannot make this journey in a discontinuous manner; he cannot disappear from one time and reappear at some other, non-adjacent time. So Smith must make this journey in a continuous manner. So at any given moment during this interval, Smith must be in some place or other. It follows, as we saw a moment ago, that he</w:t>
      </w:r>
      <w:r>
        <w:rPr>
          <w:spacing w:val="40"/>
        </w:rPr>
        <w:t xml:space="preserve"> </w:t>
      </w:r>
      <w:r>
        <w:t>is no more time-traveling than anything else that exists during that interval. The supposition that Smith is traveling forward in time at a rate of one</w:t>
      </w:r>
      <w:r>
        <w:rPr>
          <w:spacing w:val="40"/>
        </w:rPr>
        <w:t xml:space="preserve"> </w:t>
      </w:r>
      <w:r>
        <w:t xml:space="preserve">million minutes/minute thus turns out to collapse into the supposition that he isn’t time-traveling at all. Given any positive number n, an analogous argument shows that continuous forward time-travel at a rate of n minutes/minute collapses into forward time-travel at a rate of one </w:t>
      </w:r>
      <w:r>
        <w:rPr>
          <w:spacing w:val="-2"/>
        </w:rPr>
        <w:t>minute/minute.</w:t>
      </w:r>
    </w:p>
    <w:p w14:paraId="7E001E7B" w14:textId="77777777" w:rsidR="009A58DB" w:rsidRDefault="00000000">
      <w:pPr>
        <w:pStyle w:val="BodyText"/>
        <w:spacing w:before="15" w:line="271" w:lineRule="auto"/>
        <w:ind w:right="358" w:firstLine="360"/>
      </w:pPr>
      <w:r>
        <w:t>There is another, quite different problem with the concept of</w:t>
      </w:r>
      <w:r>
        <w:rPr>
          <w:spacing w:val="40"/>
        </w:rPr>
        <w:t xml:space="preserve"> </w:t>
      </w:r>
      <w:r>
        <w:t>discontinuous time-travel. Let W</w:t>
      </w:r>
      <w:r>
        <w:rPr>
          <w:vertAlign w:val="subscript"/>
        </w:rPr>
        <w:t>1</w:t>
      </w:r>
      <w:r>
        <w:t xml:space="preserve"> be a universe where (i) is true and (ii) is false;</w:t>
      </w:r>
      <w:r>
        <w:rPr>
          <w:spacing w:val="7"/>
        </w:rPr>
        <w:t xml:space="preserve"> </w:t>
      </w:r>
      <w:r>
        <w:t>and</w:t>
      </w:r>
      <w:r>
        <w:rPr>
          <w:spacing w:val="9"/>
        </w:rPr>
        <w:t xml:space="preserve"> </w:t>
      </w:r>
      <w:r>
        <w:t>let</w:t>
      </w:r>
      <w:r>
        <w:rPr>
          <w:spacing w:val="8"/>
        </w:rPr>
        <w:t xml:space="preserve"> </w:t>
      </w:r>
      <w:r>
        <w:t>W</w:t>
      </w:r>
      <w:r>
        <w:rPr>
          <w:vertAlign w:val="subscript"/>
        </w:rPr>
        <w:t>2</w:t>
      </w:r>
      <w:r>
        <w:rPr>
          <w:spacing w:val="7"/>
        </w:rPr>
        <w:t xml:space="preserve"> </w:t>
      </w:r>
      <w:r>
        <w:t>be</w:t>
      </w:r>
      <w:r>
        <w:rPr>
          <w:spacing w:val="9"/>
        </w:rPr>
        <w:t xml:space="preserve"> </w:t>
      </w:r>
      <w:r>
        <w:t>an</w:t>
      </w:r>
      <w:r>
        <w:rPr>
          <w:spacing w:val="8"/>
        </w:rPr>
        <w:t xml:space="preserve"> </w:t>
      </w:r>
      <w:r>
        <w:t>otherwise</w:t>
      </w:r>
      <w:r>
        <w:rPr>
          <w:spacing w:val="8"/>
        </w:rPr>
        <w:t xml:space="preserve"> </w:t>
      </w:r>
      <w:r>
        <w:t>indistinguishable</w:t>
      </w:r>
      <w:r>
        <w:rPr>
          <w:spacing w:val="9"/>
        </w:rPr>
        <w:t xml:space="preserve"> </w:t>
      </w:r>
      <w:r>
        <w:t>universe</w:t>
      </w:r>
      <w:r>
        <w:rPr>
          <w:spacing w:val="8"/>
        </w:rPr>
        <w:t xml:space="preserve"> </w:t>
      </w:r>
      <w:r>
        <w:t>where</w:t>
      </w:r>
      <w:r>
        <w:rPr>
          <w:spacing w:val="8"/>
        </w:rPr>
        <w:t xml:space="preserve"> </w:t>
      </w:r>
      <w:r>
        <w:t>(ii)</w:t>
      </w:r>
      <w:r>
        <w:rPr>
          <w:spacing w:val="9"/>
        </w:rPr>
        <w:t xml:space="preserve"> </w:t>
      </w:r>
      <w:r>
        <w:t>is</w:t>
      </w:r>
      <w:r>
        <w:rPr>
          <w:spacing w:val="7"/>
        </w:rPr>
        <w:t xml:space="preserve"> </w:t>
      </w:r>
      <w:r>
        <w:rPr>
          <w:spacing w:val="-4"/>
        </w:rPr>
        <w:t>true</w:t>
      </w:r>
    </w:p>
    <w:p w14:paraId="7E001E7C" w14:textId="77777777" w:rsidR="009A58DB" w:rsidRDefault="00000000">
      <w:pPr>
        <w:pStyle w:val="BodyText"/>
        <w:spacing w:before="31" w:line="249" w:lineRule="auto"/>
        <w:ind w:right="359"/>
      </w:pPr>
      <w:r>
        <w:t>and (i) is false. What happens in the one universe at any given time coincides with what happens in the other universe at that time. It follows that, even if (</w:t>
      </w:r>
      <w:r>
        <w:rPr>
          <w:i/>
        </w:rPr>
        <w:t>per impossibile</w:t>
      </w:r>
      <w:r>
        <w:t xml:space="preserve">) an occupant of the one universe knew exactly what happened in that universe at any given time, he would not, in virtue of that fact, have any legitimate reason for preferring (i) to (ii). </w:t>
      </w:r>
      <w:r>
        <w:rPr>
          <w:i/>
        </w:rPr>
        <w:t xml:space="preserve">A fortiori, </w:t>
      </w:r>
      <w:r>
        <w:t>no</w:t>
      </w:r>
      <w:r>
        <w:rPr>
          <w:spacing w:val="40"/>
        </w:rPr>
        <w:t xml:space="preserve"> </w:t>
      </w:r>
      <w:r>
        <w:t>possible observation that one might have would provide one with any reason for</w:t>
      </w:r>
      <w:r>
        <w:rPr>
          <w:spacing w:val="43"/>
          <w:w w:val="150"/>
        </w:rPr>
        <w:t xml:space="preserve"> </w:t>
      </w:r>
      <w:r>
        <w:t>believing</w:t>
      </w:r>
      <w:r>
        <w:rPr>
          <w:spacing w:val="43"/>
          <w:w w:val="150"/>
        </w:rPr>
        <w:t xml:space="preserve"> </w:t>
      </w:r>
      <w:r>
        <w:t>oneself</w:t>
      </w:r>
      <w:r>
        <w:rPr>
          <w:spacing w:val="44"/>
          <w:w w:val="150"/>
        </w:rPr>
        <w:t xml:space="preserve"> </w:t>
      </w:r>
      <w:r>
        <w:t>to</w:t>
      </w:r>
      <w:r>
        <w:rPr>
          <w:spacing w:val="43"/>
          <w:w w:val="150"/>
        </w:rPr>
        <w:t xml:space="preserve"> </w:t>
      </w:r>
      <w:r>
        <w:t>be</w:t>
      </w:r>
      <w:r>
        <w:rPr>
          <w:spacing w:val="43"/>
          <w:w w:val="150"/>
        </w:rPr>
        <w:t xml:space="preserve"> </w:t>
      </w:r>
      <w:r>
        <w:t>in</w:t>
      </w:r>
      <w:r>
        <w:rPr>
          <w:spacing w:val="44"/>
          <w:w w:val="150"/>
        </w:rPr>
        <w:t xml:space="preserve"> </w:t>
      </w:r>
      <w:r>
        <w:t>W</w:t>
      </w:r>
      <w:r>
        <w:rPr>
          <w:vertAlign w:val="subscript"/>
        </w:rPr>
        <w:t>1</w:t>
      </w:r>
      <w:r>
        <w:rPr>
          <w:spacing w:val="43"/>
          <w:w w:val="150"/>
        </w:rPr>
        <w:t xml:space="preserve"> </w:t>
      </w:r>
      <w:r>
        <w:t>as</w:t>
      </w:r>
      <w:r>
        <w:rPr>
          <w:spacing w:val="79"/>
        </w:rPr>
        <w:t xml:space="preserve"> </w:t>
      </w:r>
      <w:r>
        <w:t>opposed</w:t>
      </w:r>
      <w:r>
        <w:rPr>
          <w:spacing w:val="42"/>
          <w:w w:val="150"/>
        </w:rPr>
        <w:t xml:space="preserve"> </w:t>
      </w:r>
      <w:r>
        <w:t>to</w:t>
      </w:r>
      <w:r>
        <w:rPr>
          <w:spacing w:val="43"/>
          <w:w w:val="150"/>
        </w:rPr>
        <w:t xml:space="preserve"> </w:t>
      </w:r>
      <w:r>
        <w:t>W</w:t>
      </w:r>
      <w:r>
        <w:rPr>
          <w:vertAlign w:val="subscript"/>
        </w:rPr>
        <w:t>2</w:t>
      </w:r>
      <w:r>
        <w:t>.</w:t>
      </w:r>
      <w:r>
        <w:rPr>
          <w:spacing w:val="46"/>
          <w:w w:val="150"/>
        </w:rPr>
        <w:t xml:space="preserve"> </w:t>
      </w:r>
      <w:r>
        <w:t>Since</w:t>
      </w:r>
      <w:r>
        <w:rPr>
          <w:spacing w:val="46"/>
          <w:w w:val="150"/>
        </w:rPr>
        <w:t xml:space="preserve"> </w:t>
      </w:r>
      <w:r>
        <w:rPr>
          <w:spacing w:val="-2"/>
        </w:rPr>
        <w:t>observation</w:t>
      </w:r>
    </w:p>
    <w:p w14:paraId="7E001E7D" w14:textId="77777777" w:rsidR="009A58DB" w:rsidRDefault="00000000">
      <w:pPr>
        <w:pStyle w:val="BodyText"/>
        <w:spacing w:before="68" w:line="249" w:lineRule="auto"/>
        <w:ind w:right="371"/>
        <w:rPr>
          <w:position w:val="21"/>
        </w:rPr>
      </w:pPr>
      <w:r>
        <w:t>couldn’t possibly provide one with such a reason, only logic could do so. But logic cannot do so, since (i) is logically false, as we’ve already seen</w:t>
      </w:r>
      <w:bookmarkStart w:id="417" w:name="_bookmark417"/>
      <w:bookmarkEnd w:id="417"/>
      <w:r>
        <w:t>.</w:t>
      </w:r>
      <w:r>
        <w:rPr>
          <w:color w:val="0562C1"/>
          <w:position w:val="21"/>
          <w:u w:val="single" w:color="0562C1"/>
        </w:rPr>
        <w:t>[301]</w:t>
      </w:r>
    </w:p>
    <w:p w14:paraId="7E001E7E" w14:textId="77777777" w:rsidR="009A58DB" w:rsidRDefault="00000000">
      <w:pPr>
        <w:pStyle w:val="BodyText"/>
        <w:spacing w:before="3" w:line="249" w:lineRule="auto"/>
        <w:ind w:right="360" w:firstLine="360"/>
      </w:pPr>
      <w:r>
        <w:t xml:space="preserve">Similar points hold in connection with discontinuous backwards time-travel. In the movie </w:t>
      </w:r>
      <w:r>
        <w:rPr>
          <w:i/>
        </w:rPr>
        <w:t xml:space="preserve">Back to the Future, </w:t>
      </w:r>
      <w:r>
        <w:t>young Marty McFly vanishes from the year 1985 and shows up in the year 1955. This means that, in the year 1985, the causal sequence that constitutes his existence is severed. Like everything else that persists for any length of time, Marty McFly is a causal sequence. It follows that, so far as it isn’t incoherent, the statement</w:t>
      </w:r>
    </w:p>
    <w:p w14:paraId="7E001E7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80" w14:textId="77777777" w:rsidR="009A58DB" w:rsidRDefault="00000000">
      <w:pPr>
        <w:pStyle w:val="ListParagraph"/>
        <w:numPr>
          <w:ilvl w:val="0"/>
          <w:numId w:val="87"/>
        </w:numPr>
        <w:tabs>
          <w:tab w:val="left" w:pos="793"/>
        </w:tabs>
        <w:spacing w:before="65" w:line="249" w:lineRule="auto"/>
        <w:ind w:right="364" w:firstLine="0"/>
        <w:rPr>
          <w:sz w:val="30"/>
        </w:rPr>
      </w:pPr>
      <w:r>
        <w:rPr>
          <w:sz w:val="30"/>
        </w:rPr>
        <w:lastRenderedPageBreak/>
        <w:t>in 1985, Marty McFly traveled backwards in time to the year 1955 and is otherwise unchanged</w:t>
      </w:r>
    </w:p>
    <w:p w14:paraId="7E001E81" w14:textId="77777777" w:rsidR="009A58DB" w:rsidRDefault="00000000">
      <w:pPr>
        <w:pStyle w:val="BodyText"/>
        <w:spacing w:before="242"/>
        <w:jc w:val="left"/>
      </w:pPr>
      <w:r>
        <w:t>collapses</w:t>
      </w:r>
      <w:r>
        <w:rPr>
          <w:spacing w:val="-7"/>
        </w:rPr>
        <w:t xml:space="preserve"> </w:t>
      </w:r>
      <w:r>
        <w:rPr>
          <w:spacing w:val="-2"/>
        </w:rPr>
        <w:t>into:</w:t>
      </w:r>
    </w:p>
    <w:p w14:paraId="7E001E82" w14:textId="77777777" w:rsidR="009A58DB" w:rsidRDefault="00000000">
      <w:pPr>
        <w:pStyle w:val="ListParagraph"/>
        <w:numPr>
          <w:ilvl w:val="0"/>
          <w:numId w:val="87"/>
        </w:numPr>
        <w:tabs>
          <w:tab w:val="left" w:pos="785"/>
        </w:tabs>
        <w:spacing w:before="255"/>
        <w:ind w:left="785" w:hanging="425"/>
        <w:rPr>
          <w:i/>
          <w:sz w:val="30"/>
        </w:rPr>
      </w:pPr>
      <w:r>
        <w:rPr>
          <w:sz w:val="30"/>
        </w:rPr>
        <w:t>Marty</w:t>
      </w:r>
      <w:r>
        <w:rPr>
          <w:spacing w:val="-3"/>
          <w:sz w:val="30"/>
        </w:rPr>
        <w:t xml:space="preserve"> </w:t>
      </w:r>
      <w:r>
        <w:rPr>
          <w:sz w:val="30"/>
        </w:rPr>
        <w:t>McFly was annihilated</w:t>
      </w:r>
      <w:r>
        <w:rPr>
          <w:spacing w:val="-1"/>
          <w:sz w:val="30"/>
        </w:rPr>
        <w:t xml:space="preserve"> </w:t>
      </w:r>
      <w:r>
        <w:rPr>
          <w:sz w:val="30"/>
        </w:rPr>
        <w:t>in 1985, and</w:t>
      </w:r>
      <w:r>
        <w:rPr>
          <w:spacing w:val="-1"/>
          <w:sz w:val="30"/>
        </w:rPr>
        <w:t xml:space="preserve"> </w:t>
      </w:r>
      <w:r>
        <w:rPr>
          <w:sz w:val="30"/>
        </w:rPr>
        <w:t>in 1955 there</w:t>
      </w:r>
      <w:r>
        <w:rPr>
          <w:spacing w:val="-1"/>
          <w:sz w:val="30"/>
        </w:rPr>
        <w:t xml:space="preserve"> </w:t>
      </w:r>
      <w:r>
        <w:rPr>
          <w:sz w:val="30"/>
        </w:rPr>
        <w:t xml:space="preserve">appears </w:t>
      </w:r>
      <w:r>
        <w:rPr>
          <w:i/>
          <w:sz w:val="30"/>
        </w:rPr>
        <w:t>ex</w:t>
      </w:r>
      <w:r>
        <w:rPr>
          <w:i/>
          <w:spacing w:val="12"/>
          <w:sz w:val="30"/>
        </w:rPr>
        <w:t xml:space="preserve"> </w:t>
      </w:r>
      <w:r>
        <w:rPr>
          <w:i/>
          <w:spacing w:val="-2"/>
          <w:sz w:val="30"/>
        </w:rPr>
        <w:t>nihilo</w:t>
      </w:r>
    </w:p>
    <w:p w14:paraId="7E001E83" w14:textId="77777777" w:rsidR="009A58DB" w:rsidRDefault="00000000">
      <w:pPr>
        <w:pStyle w:val="BodyText"/>
        <w:spacing w:before="15"/>
        <w:jc w:val="left"/>
      </w:pPr>
      <w:r>
        <w:t>somebody</w:t>
      </w:r>
      <w:r>
        <w:rPr>
          <w:spacing w:val="-5"/>
        </w:rPr>
        <w:t xml:space="preserve"> </w:t>
      </w:r>
      <w:r>
        <w:t>who</w:t>
      </w:r>
      <w:r>
        <w:rPr>
          <w:spacing w:val="-3"/>
        </w:rPr>
        <w:t xml:space="preserve"> </w:t>
      </w:r>
      <w:r>
        <w:t>is</w:t>
      </w:r>
      <w:r>
        <w:rPr>
          <w:spacing w:val="-4"/>
        </w:rPr>
        <w:t xml:space="preserve"> </w:t>
      </w:r>
      <w:r>
        <w:t>numerically</w:t>
      </w:r>
      <w:r>
        <w:rPr>
          <w:spacing w:val="-3"/>
        </w:rPr>
        <w:t xml:space="preserve"> </w:t>
      </w:r>
      <w:r>
        <w:t>distinct</w:t>
      </w:r>
      <w:r>
        <w:rPr>
          <w:spacing w:val="-4"/>
        </w:rPr>
        <w:t xml:space="preserve"> </w:t>
      </w:r>
      <w:r>
        <w:t>from</w:t>
      </w:r>
      <w:r>
        <w:rPr>
          <w:spacing w:val="-3"/>
        </w:rPr>
        <w:t xml:space="preserve"> </w:t>
      </w:r>
      <w:r>
        <w:t>him</w:t>
      </w:r>
      <w:r>
        <w:rPr>
          <w:spacing w:val="-4"/>
        </w:rPr>
        <w:t xml:space="preserve"> </w:t>
      </w:r>
      <w:r>
        <w:t>but</w:t>
      </w:r>
      <w:r>
        <w:rPr>
          <w:spacing w:val="-4"/>
        </w:rPr>
        <w:t xml:space="preserve"> </w:t>
      </w:r>
      <w:r>
        <w:t>otherwise</w:t>
      </w:r>
      <w:r>
        <w:rPr>
          <w:spacing w:val="-4"/>
        </w:rPr>
        <w:t xml:space="preserve"> </w:t>
      </w:r>
      <w:r>
        <w:t>just</w:t>
      </w:r>
      <w:r>
        <w:rPr>
          <w:spacing w:val="-4"/>
        </w:rPr>
        <w:t xml:space="preserve"> </w:t>
      </w:r>
      <w:r>
        <w:t>like</w:t>
      </w:r>
      <w:r>
        <w:rPr>
          <w:spacing w:val="-3"/>
        </w:rPr>
        <w:t xml:space="preserve"> </w:t>
      </w:r>
      <w:r>
        <w:rPr>
          <w:spacing w:val="-4"/>
        </w:rPr>
        <w:t>him.</w:t>
      </w:r>
    </w:p>
    <w:p w14:paraId="7E001E84" w14:textId="77777777" w:rsidR="009A58DB" w:rsidRDefault="00000000">
      <w:pPr>
        <w:pStyle w:val="BodyText"/>
        <w:spacing w:before="255" w:line="249" w:lineRule="auto"/>
        <w:ind w:right="360" w:firstLine="360"/>
      </w:pPr>
      <w:r>
        <w:t>Also,</w:t>
      </w:r>
      <w:r>
        <w:rPr>
          <w:spacing w:val="-2"/>
        </w:rPr>
        <w:t xml:space="preserve"> </w:t>
      </w:r>
      <w:r>
        <w:t>given</w:t>
      </w:r>
      <w:r>
        <w:rPr>
          <w:spacing w:val="-2"/>
        </w:rPr>
        <w:t xml:space="preserve"> </w:t>
      </w:r>
      <w:r>
        <w:t>obvious</w:t>
      </w:r>
      <w:r>
        <w:rPr>
          <w:spacing w:val="-3"/>
        </w:rPr>
        <w:t xml:space="preserve"> </w:t>
      </w:r>
      <w:r>
        <w:t>adaptations</w:t>
      </w:r>
      <w:r>
        <w:rPr>
          <w:spacing w:val="-3"/>
        </w:rPr>
        <w:t xml:space="preserve"> </w:t>
      </w:r>
      <w:r>
        <w:t>of</w:t>
      </w:r>
      <w:r>
        <w:rPr>
          <w:spacing w:val="-3"/>
        </w:rPr>
        <w:t xml:space="preserve"> </w:t>
      </w:r>
      <w:r>
        <w:t>what</w:t>
      </w:r>
      <w:r>
        <w:rPr>
          <w:spacing w:val="-3"/>
        </w:rPr>
        <w:t xml:space="preserve"> </w:t>
      </w:r>
      <w:r>
        <w:t>we</w:t>
      </w:r>
      <w:r>
        <w:rPr>
          <w:spacing w:val="-3"/>
        </w:rPr>
        <w:t xml:space="preserve"> </w:t>
      </w:r>
      <w:r>
        <w:t>said</w:t>
      </w:r>
      <w:r>
        <w:rPr>
          <w:spacing w:val="-2"/>
        </w:rPr>
        <w:t xml:space="preserve"> </w:t>
      </w:r>
      <w:r>
        <w:t>a</w:t>
      </w:r>
      <w:r>
        <w:rPr>
          <w:spacing w:val="-3"/>
        </w:rPr>
        <w:t xml:space="preserve"> </w:t>
      </w:r>
      <w:r>
        <w:t>moment</w:t>
      </w:r>
      <w:r>
        <w:rPr>
          <w:spacing w:val="-3"/>
        </w:rPr>
        <w:t xml:space="preserve"> </w:t>
      </w:r>
      <w:r>
        <w:t>ago,</w:t>
      </w:r>
      <w:r>
        <w:rPr>
          <w:spacing w:val="-2"/>
        </w:rPr>
        <w:t xml:space="preserve"> </w:t>
      </w:r>
      <w:r>
        <w:t>there</w:t>
      </w:r>
      <w:r>
        <w:rPr>
          <w:spacing w:val="-3"/>
        </w:rPr>
        <w:t xml:space="preserve"> </w:t>
      </w:r>
      <w:r>
        <w:t>is</w:t>
      </w:r>
      <w:r>
        <w:rPr>
          <w:spacing w:val="-3"/>
        </w:rPr>
        <w:t xml:space="preserve"> </w:t>
      </w:r>
      <w:r>
        <w:t>no conceivable event that, were it known, would provide more support for (1) than for (2).</w:t>
      </w:r>
    </w:p>
    <w:p w14:paraId="7E001E85" w14:textId="77777777" w:rsidR="009A58DB" w:rsidRDefault="00000000">
      <w:pPr>
        <w:pStyle w:val="BodyText"/>
        <w:spacing w:before="4" w:line="249" w:lineRule="auto"/>
        <w:ind w:right="362" w:firstLine="360"/>
      </w:pPr>
      <w:r>
        <w:t>Since,</w:t>
      </w:r>
      <w:r>
        <w:rPr>
          <w:spacing w:val="-3"/>
        </w:rPr>
        <w:t xml:space="preserve"> </w:t>
      </w:r>
      <w:r>
        <w:t>therefore,</w:t>
      </w:r>
      <w:r>
        <w:rPr>
          <w:spacing w:val="-3"/>
        </w:rPr>
        <w:t xml:space="preserve"> </w:t>
      </w:r>
      <w:r>
        <w:t>there</w:t>
      </w:r>
      <w:r>
        <w:rPr>
          <w:spacing w:val="-3"/>
        </w:rPr>
        <w:t xml:space="preserve"> </w:t>
      </w:r>
      <w:r>
        <w:t>couldn’t</w:t>
      </w:r>
      <w:r>
        <w:rPr>
          <w:spacing w:val="-3"/>
        </w:rPr>
        <w:t xml:space="preserve"> </w:t>
      </w:r>
      <w:r>
        <w:t>possibly</w:t>
      </w:r>
      <w:r>
        <w:rPr>
          <w:spacing w:val="-3"/>
        </w:rPr>
        <w:t xml:space="preserve"> </w:t>
      </w:r>
      <w:r>
        <w:t>be</w:t>
      </w:r>
      <w:r>
        <w:rPr>
          <w:spacing w:val="-3"/>
        </w:rPr>
        <w:t xml:space="preserve"> </w:t>
      </w:r>
      <w:r>
        <w:t>any</w:t>
      </w:r>
      <w:r>
        <w:rPr>
          <w:spacing w:val="-3"/>
        </w:rPr>
        <w:t xml:space="preserve"> </w:t>
      </w:r>
      <w:r>
        <w:t>possible</w:t>
      </w:r>
      <w:r>
        <w:rPr>
          <w:spacing w:val="-3"/>
        </w:rPr>
        <w:t xml:space="preserve"> </w:t>
      </w:r>
      <w:r>
        <w:t xml:space="preserve">observation-based reason for preferring (1) to (2), the only possible reasons for doing so would be of a logical nature. This means that there are </w:t>
      </w:r>
      <w:r>
        <w:rPr>
          <w:i/>
        </w:rPr>
        <w:t xml:space="preserve">no </w:t>
      </w:r>
      <w:r>
        <w:t>reasons for doing so,</w:t>
      </w:r>
      <w:r>
        <w:rPr>
          <w:spacing w:val="40"/>
        </w:rPr>
        <w:t xml:space="preserve"> </w:t>
      </w:r>
      <w:r>
        <w:t>given that (1) is incoherent. The concept of discontinuous backwards time-travel is therefore a broken one.</w:t>
      </w:r>
    </w:p>
    <w:p w14:paraId="7E001E86" w14:textId="77777777" w:rsidR="009A58DB" w:rsidRDefault="00000000">
      <w:pPr>
        <w:pStyle w:val="BodyText"/>
        <w:spacing w:before="6" w:line="249" w:lineRule="auto"/>
        <w:ind w:right="358" w:firstLine="360"/>
      </w:pPr>
      <w:r>
        <w:t xml:space="preserve">What about the idea of </w:t>
      </w:r>
      <w:r>
        <w:rPr>
          <w:i/>
        </w:rPr>
        <w:t>continuous</w:t>
      </w:r>
      <w:r>
        <w:rPr>
          <w:i/>
          <w:spacing w:val="-4"/>
        </w:rPr>
        <w:t xml:space="preserve"> </w:t>
      </w:r>
      <w:r>
        <w:t>backwards time-travel? For argument’s sake, let’s suppose that, during his continuous journey from the year 1985 to the year 1955, Marty McFly is right next to some stop-sign that was built in 1920 and stays in the same place for several centuries. That means that, at</w:t>
      </w:r>
      <w:r>
        <w:rPr>
          <w:spacing w:val="40"/>
        </w:rPr>
        <w:t xml:space="preserve"> </w:t>
      </w:r>
      <w:r>
        <w:t>any given moment during that thirty year period, Marty McFly is no more time-traveling than the stop-sign. Each is just sitting there.</w:t>
      </w:r>
    </w:p>
    <w:p w14:paraId="7E001E87" w14:textId="77777777" w:rsidR="009A58DB" w:rsidRDefault="00000000">
      <w:pPr>
        <w:pStyle w:val="BodyText"/>
        <w:spacing w:before="7" w:line="249" w:lineRule="auto"/>
        <w:ind w:right="359" w:firstLine="360"/>
      </w:pPr>
      <w:r>
        <w:t>There</w:t>
      </w:r>
      <w:r>
        <w:rPr>
          <w:spacing w:val="-6"/>
        </w:rPr>
        <w:t xml:space="preserve"> </w:t>
      </w:r>
      <w:r>
        <w:t>are,</w:t>
      </w:r>
      <w:r>
        <w:rPr>
          <w:spacing w:val="-6"/>
        </w:rPr>
        <w:t xml:space="preserve"> </w:t>
      </w:r>
      <w:r>
        <w:t>of</w:t>
      </w:r>
      <w:r>
        <w:rPr>
          <w:spacing w:val="-6"/>
        </w:rPr>
        <w:t xml:space="preserve"> </w:t>
      </w:r>
      <w:r>
        <w:t>course,</w:t>
      </w:r>
      <w:r>
        <w:rPr>
          <w:spacing w:val="-6"/>
        </w:rPr>
        <w:t xml:space="preserve"> </w:t>
      </w:r>
      <w:r>
        <w:t>some</w:t>
      </w:r>
      <w:r>
        <w:rPr>
          <w:spacing w:val="-6"/>
        </w:rPr>
        <w:t xml:space="preserve"> </w:t>
      </w:r>
      <w:r>
        <w:t>important</w:t>
      </w:r>
      <w:r>
        <w:rPr>
          <w:spacing w:val="-6"/>
        </w:rPr>
        <w:t xml:space="preserve"> </w:t>
      </w:r>
      <w:r>
        <w:t>differences</w:t>
      </w:r>
      <w:r>
        <w:rPr>
          <w:spacing w:val="-6"/>
        </w:rPr>
        <w:t xml:space="preserve"> </w:t>
      </w:r>
      <w:r>
        <w:t>between</w:t>
      </w:r>
      <w:r>
        <w:rPr>
          <w:spacing w:val="-6"/>
        </w:rPr>
        <w:t xml:space="preserve"> </w:t>
      </w:r>
      <w:r>
        <w:t>Mary</w:t>
      </w:r>
      <w:r>
        <w:rPr>
          <w:spacing w:val="-6"/>
        </w:rPr>
        <w:t xml:space="preserve"> </w:t>
      </w:r>
      <w:r>
        <w:t>McFly</w:t>
      </w:r>
      <w:r>
        <w:rPr>
          <w:spacing w:val="-6"/>
        </w:rPr>
        <w:t xml:space="preserve"> </w:t>
      </w:r>
      <w:r>
        <w:t>and the</w:t>
      </w:r>
      <w:r>
        <w:rPr>
          <w:spacing w:val="-19"/>
        </w:rPr>
        <w:t xml:space="preserve"> </w:t>
      </w:r>
      <w:r>
        <w:t>stop-sign.</w:t>
      </w:r>
      <w:r>
        <w:rPr>
          <w:spacing w:val="-19"/>
        </w:rPr>
        <w:t xml:space="preserve"> </w:t>
      </w:r>
      <w:r>
        <w:t>First</w:t>
      </w:r>
      <w:r>
        <w:rPr>
          <w:spacing w:val="-19"/>
        </w:rPr>
        <w:t xml:space="preserve"> </w:t>
      </w:r>
      <w:r>
        <w:t>of</w:t>
      </w:r>
      <w:r>
        <w:rPr>
          <w:spacing w:val="-18"/>
        </w:rPr>
        <w:t xml:space="preserve"> </w:t>
      </w:r>
      <w:r>
        <w:t>all,</w:t>
      </w:r>
      <w:r>
        <w:rPr>
          <w:spacing w:val="-19"/>
        </w:rPr>
        <w:t xml:space="preserve"> </w:t>
      </w:r>
      <w:r>
        <w:t>whereas</w:t>
      </w:r>
      <w:r>
        <w:rPr>
          <w:spacing w:val="-19"/>
        </w:rPr>
        <w:t xml:space="preserve"> </w:t>
      </w:r>
      <w:r>
        <w:t>the</w:t>
      </w:r>
      <w:r>
        <w:rPr>
          <w:spacing w:val="-19"/>
        </w:rPr>
        <w:t xml:space="preserve"> </w:t>
      </w:r>
      <w:r>
        <w:t>stop-sign</w:t>
      </w:r>
      <w:r>
        <w:rPr>
          <w:spacing w:val="-18"/>
        </w:rPr>
        <w:t xml:space="preserve"> </w:t>
      </w:r>
      <w:r>
        <w:t>is</w:t>
      </w:r>
      <w:r>
        <w:rPr>
          <w:spacing w:val="-19"/>
        </w:rPr>
        <w:t xml:space="preserve"> </w:t>
      </w:r>
      <w:r>
        <w:t>crushed</w:t>
      </w:r>
      <w:r>
        <w:rPr>
          <w:spacing w:val="-19"/>
        </w:rPr>
        <w:t xml:space="preserve"> </w:t>
      </w:r>
      <w:r>
        <w:t>or</w:t>
      </w:r>
      <w:r>
        <w:rPr>
          <w:spacing w:val="-19"/>
        </w:rPr>
        <w:t xml:space="preserve"> </w:t>
      </w:r>
      <w:r>
        <w:t>burnt</w:t>
      </w:r>
      <w:r>
        <w:rPr>
          <w:spacing w:val="-18"/>
        </w:rPr>
        <w:t xml:space="preserve"> </w:t>
      </w:r>
      <w:r>
        <w:t>or</w:t>
      </w:r>
      <w:r>
        <w:rPr>
          <w:spacing w:val="-19"/>
        </w:rPr>
        <w:t xml:space="preserve"> </w:t>
      </w:r>
      <w:r>
        <w:t>otherwise destroyed</w:t>
      </w:r>
      <w:r>
        <w:rPr>
          <w:spacing w:val="-21"/>
        </w:rPr>
        <w:t xml:space="preserve"> </w:t>
      </w:r>
      <w:r>
        <w:t>in</w:t>
      </w:r>
      <w:r>
        <w:rPr>
          <w:spacing w:val="-19"/>
        </w:rPr>
        <w:t xml:space="preserve"> </w:t>
      </w:r>
      <w:r>
        <w:t>some</w:t>
      </w:r>
      <w:r>
        <w:rPr>
          <w:spacing w:val="-19"/>
        </w:rPr>
        <w:t xml:space="preserve"> </w:t>
      </w:r>
      <w:r>
        <w:t>pedestrian</w:t>
      </w:r>
      <w:r>
        <w:rPr>
          <w:spacing w:val="-18"/>
        </w:rPr>
        <w:t xml:space="preserve"> </w:t>
      </w:r>
      <w:r>
        <w:t>way,</w:t>
      </w:r>
      <w:r>
        <w:rPr>
          <w:spacing w:val="-19"/>
        </w:rPr>
        <w:t xml:space="preserve"> </w:t>
      </w:r>
      <w:r>
        <w:t>Marty</w:t>
      </w:r>
      <w:r>
        <w:rPr>
          <w:spacing w:val="-19"/>
        </w:rPr>
        <w:t xml:space="preserve"> </w:t>
      </w:r>
      <w:r>
        <w:t>McFly</w:t>
      </w:r>
      <w:r>
        <w:rPr>
          <w:spacing w:val="-19"/>
        </w:rPr>
        <w:t xml:space="preserve"> </w:t>
      </w:r>
      <w:r>
        <w:t>must</w:t>
      </w:r>
      <w:r>
        <w:rPr>
          <w:spacing w:val="-18"/>
        </w:rPr>
        <w:t xml:space="preserve"> </w:t>
      </w:r>
      <w:r>
        <w:t>simply</w:t>
      </w:r>
      <w:r>
        <w:rPr>
          <w:spacing w:val="-19"/>
        </w:rPr>
        <w:t xml:space="preserve"> </w:t>
      </w:r>
      <w:r>
        <w:t>vanish</w:t>
      </w:r>
      <w:r>
        <w:rPr>
          <w:spacing w:val="-19"/>
        </w:rPr>
        <w:t xml:space="preserve"> </w:t>
      </w:r>
      <w:r>
        <w:t>in</w:t>
      </w:r>
      <w:r>
        <w:rPr>
          <w:spacing w:val="-19"/>
        </w:rPr>
        <w:t xml:space="preserve"> </w:t>
      </w:r>
      <w:r>
        <w:t>the</w:t>
      </w:r>
      <w:r>
        <w:rPr>
          <w:spacing w:val="-18"/>
        </w:rPr>
        <w:t xml:space="preserve"> </w:t>
      </w:r>
      <w:r>
        <w:t xml:space="preserve">year 1985. (If he doesn’t, then he’s still hanging around in the year 1985, in which </w:t>
      </w:r>
      <w:r>
        <w:rPr>
          <w:spacing w:val="-4"/>
        </w:rPr>
        <w:t>case</w:t>
      </w:r>
    </w:p>
    <w:p w14:paraId="7E001E88" w14:textId="77777777" w:rsidR="009A58DB" w:rsidRDefault="00000000">
      <w:pPr>
        <w:pStyle w:val="BodyText"/>
        <w:spacing w:before="7" w:line="249" w:lineRule="auto"/>
        <w:ind w:right="369"/>
        <w:rPr>
          <w:i/>
        </w:rPr>
      </w:pPr>
      <w:r>
        <w:t xml:space="preserve">he obviously hasn’t gone back in time.) And, whereas the stop-sign’s presence in the year 1955 is to be explained in the customary way, Marty McFly just popped up </w:t>
      </w:r>
      <w:r>
        <w:rPr>
          <w:i/>
        </w:rPr>
        <w:t>ex nihilo.</w:t>
      </w:r>
    </w:p>
    <w:p w14:paraId="7E001E89" w14:textId="77777777" w:rsidR="009A58DB" w:rsidRDefault="00000000">
      <w:pPr>
        <w:pStyle w:val="BodyText"/>
        <w:spacing w:before="3"/>
        <w:ind w:left="720"/>
      </w:pPr>
      <w:r>
        <w:t>Bearing</w:t>
      </w:r>
      <w:r>
        <w:rPr>
          <w:spacing w:val="-1"/>
        </w:rPr>
        <w:t xml:space="preserve"> </w:t>
      </w:r>
      <w:r>
        <w:t>these</w:t>
      </w:r>
      <w:r>
        <w:rPr>
          <w:spacing w:val="-1"/>
        </w:rPr>
        <w:t xml:space="preserve"> </w:t>
      </w:r>
      <w:r>
        <w:t>points</w:t>
      </w:r>
      <w:r>
        <w:rPr>
          <w:spacing w:val="-1"/>
        </w:rPr>
        <w:t xml:space="preserve"> </w:t>
      </w:r>
      <w:r>
        <w:t>in mind, let</w:t>
      </w:r>
      <w:r>
        <w:rPr>
          <w:spacing w:val="-1"/>
        </w:rPr>
        <w:t xml:space="preserve"> </w:t>
      </w:r>
      <w:r>
        <w:t>W</w:t>
      </w:r>
      <w:r>
        <w:rPr>
          <w:vertAlign w:val="subscript"/>
        </w:rPr>
        <w:t>3</w:t>
      </w:r>
      <w:r>
        <w:t xml:space="preserve"> be</w:t>
      </w:r>
      <w:r>
        <w:rPr>
          <w:spacing w:val="-1"/>
        </w:rPr>
        <w:t xml:space="preserve"> </w:t>
      </w:r>
      <w:r>
        <w:t>a</w:t>
      </w:r>
      <w:r>
        <w:rPr>
          <w:spacing w:val="-1"/>
        </w:rPr>
        <w:t xml:space="preserve"> </w:t>
      </w:r>
      <w:r>
        <w:t>universe</w:t>
      </w:r>
      <w:r>
        <w:rPr>
          <w:spacing w:val="-1"/>
        </w:rPr>
        <w:t xml:space="preserve"> </w:t>
      </w:r>
      <w:r>
        <w:t>in</w:t>
      </w:r>
      <w:r>
        <w:rPr>
          <w:spacing w:val="-1"/>
        </w:rPr>
        <w:t xml:space="preserve"> </w:t>
      </w:r>
      <w:r>
        <w:rPr>
          <w:spacing w:val="-2"/>
        </w:rPr>
        <w:t>which</w:t>
      </w:r>
    </w:p>
    <w:p w14:paraId="7E001E8A" w14:textId="77777777" w:rsidR="009A58DB" w:rsidRDefault="00000000">
      <w:pPr>
        <w:pStyle w:val="ListParagraph"/>
        <w:numPr>
          <w:ilvl w:val="0"/>
          <w:numId w:val="87"/>
        </w:numPr>
        <w:tabs>
          <w:tab w:val="left" w:pos="784"/>
        </w:tabs>
        <w:spacing w:before="315" w:line="249" w:lineRule="auto"/>
        <w:ind w:right="367" w:firstLine="0"/>
        <w:rPr>
          <w:sz w:val="30"/>
        </w:rPr>
      </w:pPr>
      <w:r>
        <w:rPr>
          <w:sz w:val="30"/>
        </w:rPr>
        <w:t>Marty</w:t>
      </w:r>
      <w:r>
        <w:rPr>
          <w:spacing w:val="-3"/>
          <w:sz w:val="30"/>
        </w:rPr>
        <w:t xml:space="preserve"> </w:t>
      </w:r>
      <w:r>
        <w:rPr>
          <w:sz w:val="30"/>
        </w:rPr>
        <w:t>McFly</w:t>
      </w:r>
      <w:r>
        <w:rPr>
          <w:spacing w:val="-3"/>
          <w:sz w:val="30"/>
        </w:rPr>
        <w:t xml:space="preserve"> </w:t>
      </w:r>
      <w:r>
        <w:rPr>
          <w:sz w:val="30"/>
        </w:rPr>
        <w:t>continuously</w:t>
      </w:r>
      <w:r>
        <w:rPr>
          <w:spacing w:val="-3"/>
          <w:sz w:val="30"/>
        </w:rPr>
        <w:t xml:space="preserve"> </w:t>
      </w:r>
      <w:r>
        <w:rPr>
          <w:sz w:val="30"/>
        </w:rPr>
        <w:t>traveled</w:t>
      </w:r>
      <w:r>
        <w:rPr>
          <w:spacing w:val="-3"/>
          <w:sz w:val="30"/>
        </w:rPr>
        <w:t xml:space="preserve"> </w:t>
      </w:r>
      <w:r>
        <w:rPr>
          <w:sz w:val="30"/>
        </w:rPr>
        <w:t>backwards</w:t>
      </w:r>
      <w:r>
        <w:rPr>
          <w:spacing w:val="-3"/>
          <w:sz w:val="30"/>
        </w:rPr>
        <w:t xml:space="preserve"> </w:t>
      </w:r>
      <w:r>
        <w:rPr>
          <w:sz w:val="30"/>
        </w:rPr>
        <w:t>in</w:t>
      </w:r>
      <w:r>
        <w:rPr>
          <w:spacing w:val="-3"/>
          <w:sz w:val="30"/>
        </w:rPr>
        <w:t xml:space="preserve"> </w:t>
      </w:r>
      <w:r>
        <w:rPr>
          <w:sz w:val="30"/>
        </w:rPr>
        <w:t>time</w:t>
      </w:r>
      <w:r>
        <w:rPr>
          <w:spacing w:val="-3"/>
          <w:sz w:val="30"/>
        </w:rPr>
        <w:t xml:space="preserve"> </w:t>
      </w:r>
      <w:r>
        <w:rPr>
          <w:sz w:val="30"/>
        </w:rPr>
        <w:t>from</w:t>
      </w:r>
      <w:r>
        <w:rPr>
          <w:spacing w:val="-3"/>
          <w:sz w:val="30"/>
        </w:rPr>
        <w:t xml:space="preserve"> </w:t>
      </w:r>
      <w:r>
        <w:rPr>
          <w:sz w:val="30"/>
        </w:rPr>
        <w:t>the</w:t>
      </w:r>
      <w:r>
        <w:rPr>
          <w:spacing w:val="-3"/>
          <w:sz w:val="30"/>
        </w:rPr>
        <w:t xml:space="preserve"> </w:t>
      </w:r>
      <w:r>
        <w:rPr>
          <w:sz w:val="30"/>
        </w:rPr>
        <w:t>year</w:t>
      </w:r>
      <w:r>
        <w:rPr>
          <w:spacing w:val="-3"/>
          <w:sz w:val="30"/>
        </w:rPr>
        <w:t xml:space="preserve"> </w:t>
      </w:r>
      <w:r>
        <w:rPr>
          <w:sz w:val="30"/>
        </w:rPr>
        <w:t>1985 to the year 1955 but is otherwise unchanged</w:t>
      </w:r>
    </w:p>
    <w:p w14:paraId="7E001E8B" w14:textId="77777777" w:rsidR="009A58DB" w:rsidRDefault="00000000">
      <w:pPr>
        <w:pStyle w:val="BodyText"/>
        <w:spacing w:before="243"/>
        <w:jc w:val="left"/>
      </w:pPr>
      <w:r>
        <w:t>is</w:t>
      </w:r>
      <w:r>
        <w:rPr>
          <w:spacing w:val="-5"/>
        </w:rPr>
        <w:t xml:space="preserve"> </w:t>
      </w:r>
      <w:r>
        <w:t>true,</w:t>
      </w:r>
      <w:r>
        <w:rPr>
          <w:spacing w:val="-1"/>
        </w:rPr>
        <w:t xml:space="preserve"> </w:t>
      </w:r>
      <w:r>
        <w:t>and</w:t>
      </w:r>
      <w:r>
        <w:rPr>
          <w:spacing w:val="-2"/>
        </w:rPr>
        <w:t xml:space="preserve"> </w:t>
      </w:r>
      <w:r>
        <w:t>in</w:t>
      </w:r>
      <w:r>
        <w:rPr>
          <w:spacing w:val="-1"/>
        </w:rPr>
        <w:t xml:space="preserve"> </w:t>
      </w:r>
      <w:r>
        <w:rPr>
          <w:spacing w:val="-4"/>
        </w:rPr>
        <w:t>which</w:t>
      </w:r>
    </w:p>
    <w:p w14:paraId="7E001E8C" w14:textId="77777777" w:rsidR="009A58DB" w:rsidRDefault="009A58DB">
      <w:pPr>
        <w:pStyle w:val="BodyText"/>
        <w:jc w:val="left"/>
        <w:sectPr w:rsidR="009A58DB">
          <w:pgSz w:w="12240" w:h="15840"/>
          <w:pgMar w:top="1380" w:right="1080" w:bottom="280" w:left="1080" w:header="720" w:footer="720" w:gutter="0"/>
          <w:cols w:space="720"/>
        </w:sectPr>
      </w:pPr>
    </w:p>
    <w:p w14:paraId="7E001E8D" w14:textId="77777777" w:rsidR="009A58DB" w:rsidRDefault="00000000">
      <w:pPr>
        <w:pStyle w:val="ListParagraph"/>
        <w:numPr>
          <w:ilvl w:val="0"/>
          <w:numId w:val="86"/>
        </w:numPr>
        <w:tabs>
          <w:tab w:val="left" w:pos="785"/>
        </w:tabs>
        <w:spacing w:before="65"/>
        <w:ind w:left="785" w:hanging="425"/>
        <w:rPr>
          <w:i/>
          <w:sz w:val="30"/>
        </w:rPr>
      </w:pPr>
      <w:r>
        <w:rPr>
          <w:sz w:val="30"/>
        </w:rPr>
        <w:lastRenderedPageBreak/>
        <w:t>Marty</w:t>
      </w:r>
      <w:r>
        <w:rPr>
          <w:spacing w:val="-3"/>
          <w:sz w:val="30"/>
        </w:rPr>
        <w:t xml:space="preserve"> </w:t>
      </w:r>
      <w:r>
        <w:rPr>
          <w:sz w:val="30"/>
        </w:rPr>
        <w:t>McFly was annihilated</w:t>
      </w:r>
      <w:r>
        <w:rPr>
          <w:spacing w:val="-1"/>
          <w:sz w:val="30"/>
        </w:rPr>
        <w:t xml:space="preserve"> </w:t>
      </w:r>
      <w:r>
        <w:rPr>
          <w:sz w:val="30"/>
        </w:rPr>
        <w:t>in 1985, and</w:t>
      </w:r>
      <w:r>
        <w:rPr>
          <w:spacing w:val="-1"/>
          <w:sz w:val="30"/>
        </w:rPr>
        <w:t xml:space="preserve"> </w:t>
      </w:r>
      <w:r>
        <w:rPr>
          <w:sz w:val="30"/>
        </w:rPr>
        <w:t>in 1955 there</w:t>
      </w:r>
      <w:r>
        <w:rPr>
          <w:spacing w:val="-1"/>
          <w:sz w:val="30"/>
        </w:rPr>
        <w:t xml:space="preserve"> </w:t>
      </w:r>
      <w:r>
        <w:rPr>
          <w:sz w:val="30"/>
        </w:rPr>
        <w:t xml:space="preserve">appears </w:t>
      </w:r>
      <w:r>
        <w:rPr>
          <w:i/>
          <w:sz w:val="30"/>
        </w:rPr>
        <w:t>ex</w:t>
      </w:r>
      <w:r>
        <w:rPr>
          <w:i/>
          <w:spacing w:val="12"/>
          <w:sz w:val="30"/>
        </w:rPr>
        <w:t xml:space="preserve"> </w:t>
      </w:r>
      <w:r>
        <w:rPr>
          <w:i/>
          <w:spacing w:val="-2"/>
          <w:sz w:val="30"/>
        </w:rPr>
        <w:t>nihilo</w:t>
      </w:r>
    </w:p>
    <w:p w14:paraId="7E001E8E" w14:textId="77777777" w:rsidR="009A58DB" w:rsidRDefault="00000000">
      <w:pPr>
        <w:pStyle w:val="BodyText"/>
        <w:spacing w:before="15"/>
      </w:pPr>
      <w:r>
        <w:t>somebody</w:t>
      </w:r>
      <w:r>
        <w:rPr>
          <w:spacing w:val="-5"/>
        </w:rPr>
        <w:t xml:space="preserve"> </w:t>
      </w:r>
      <w:r>
        <w:t>who</w:t>
      </w:r>
      <w:r>
        <w:rPr>
          <w:spacing w:val="-3"/>
        </w:rPr>
        <w:t xml:space="preserve"> </w:t>
      </w:r>
      <w:r>
        <w:t>is</w:t>
      </w:r>
      <w:r>
        <w:rPr>
          <w:spacing w:val="-4"/>
        </w:rPr>
        <w:t xml:space="preserve"> </w:t>
      </w:r>
      <w:r>
        <w:t>numerically</w:t>
      </w:r>
      <w:r>
        <w:rPr>
          <w:spacing w:val="-2"/>
        </w:rPr>
        <w:t xml:space="preserve"> </w:t>
      </w:r>
      <w:r>
        <w:t>distinct</w:t>
      </w:r>
      <w:r>
        <w:rPr>
          <w:spacing w:val="-4"/>
        </w:rPr>
        <w:t xml:space="preserve"> </w:t>
      </w:r>
      <w:r>
        <w:t>from</w:t>
      </w:r>
      <w:r>
        <w:rPr>
          <w:spacing w:val="-4"/>
        </w:rPr>
        <w:t xml:space="preserve"> </w:t>
      </w:r>
      <w:r>
        <w:t>him</w:t>
      </w:r>
      <w:r>
        <w:rPr>
          <w:spacing w:val="-3"/>
        </w:rPr>
        <w:t xml:space="preserve"> </w:t>
      </w:r>
      <w:r>
        <w:t>but</w:t>
      </w:r>
      <w:r>
        <w:rPr>
          <w:spacing w:val="-4"/>
        </w:rPr>
        <w:t xml:space="preserve"> </w:t>
      </w:r>
      <w:r>
        <w:t>is</w:t>
      </w:r>
      <w:r>
        <w:rPr>
          <w:spacing w:val="-4"/>
        </w:rPr>
        <w:t xml:space="preserve"> </w:t>
      </w:r>
      <w:r>
        <w:t>otherwise</w:t>
      </w:r>
      <w:r>
        <w:rPr>
          <w:spacing w:val="-3"/>
        </w:rPr>
        <w:t xml:space="preserve"> </w:t>
      </w:r>
      <w:r>
        <w:t>just</w:t>
      </w:r>
      <w:r>
        <w:rPr>
          <w:spacing w:val="-4"/>
        </w:rPr>
        <w:t xml:space="preserve"> </w:t>
      </w:r>
      <w:r>
        <w:t>like</w:t>
      </w:r>
      <w:r>
        <w:rPr>
          <w:spacing w:val="-3"/>
        </w:rPr>
        <w:t xml:space="preserve"> </w:t>
      </w:r>
      <w:r>
        <w:rPr>
          <w:spacing w:val="-5"/>
        </w:rPr>
        <w:t>him</w:t>
      </w:r>
    </w:p>
    <w:p w14:paraId="7E001E8F" w14:textId="77777777" w:rsidR="009A58DB" w:rsidRDefault="00000000">
      <w:pPr>
        <w:pStyle w:val="BodyText"/>
        <w:spacing w:before="255" w:line="271" w:lineRule="auto"/>
        <w:ind w:right="363"/>
      </w:pPr>
      <w:r>
        <w:t>is false; and let W</w:t>
      </w:r>
      <w:r>
        <w:rPr>
          <w:vertAlign w:val="subscript"/>
        </w:rPr>
        <w:t>4</w:t>
      </w:r>
      <w:r>
        <w:t xml:space="preserve"> be a universe that is exactly like W</w:t>
      </w:r>
      <w:r>
        <w:rPr>
          <w:vertAlign w:val="subscript"/>
        </w:rPr>
        <w:t>3</w:t>
      </w:r>
      <w:r>
        <w:rPr>
          <w:spacing w:val="-1"/>
        </w:rPr>
        <w:t xml:space="preserve"> </w:t>
      </w:r>
      <w:r>
        <w:rPr>
          <w:i/>
        </w:rPr>
        <w:t xml:space="preserve">except </w:t>
      </w:r>
      <w:r>
        <w:t>that, in it, (2) is true and (3) is false. Echoing what we said earlier, there is no conceivable event</w:t>
      </w:r>
      <w:r>
        <w:rPr>
          <w:spacing w:val="-1"/>
        </w:rPr>
        <w:t xml:space="preserve"> </w:t>
      </w:r>
      <w:r>
        <w:t>that,</w:t>
      </w:r>
      <w:r>
        <w:rPr>
          <w:spacing w:val="2"/>
        </w:rPr>
        <w:t xml:space="preserve"> </w:t>
      </w:r>
      <w:r>
        <w:t>were</w:t>
      </w:r>
      <w:r>
        <w:rPr>
          <w:spacing w:val="2"/>
        </w:rPr>
        <w:t xml:space="preserve"> </w:t>
      </w:r>
      <w:r>
        <w:t>it</w:t>
      </w:r>
      <w:r>
        <w:rPr>
          <w:spacing w:val="2"/>
        </w:rPr>
        <w:t xml:space="preserve"> </w:t>
      </w:r>
      <w:r>
        <w:t>known,</w:t>
      </w:r>
      <w:r>
        <w:rPr>
          <w:spacing w:val="2"/>
        </w:rPr>
        <w:t xml:space="preserve"> </w:t>
      </w:r>
      <w:r>
        <w:t>would</w:t>
      </w:r>
      <w:r>
        <w:rPr>
          <w:spacing w:val="2"/>
        </w:rPr>
        <w:t xml:space="preserve"> </w:t>
      </w:r>
      <w:r>
        <w:t>enable</w:t>
      </w:r>
      <w:r>
        <w:rPr>
          <w:spacing w:val="1"/>
        </w:rPr>
        <w:t xml:space="preserve"> </w:t>
      </w:r>
      <w:r>
        <w:t>one</w:t>
      </w:r>
      <w:r>
        <w:rPr>
          <w:spacing w:val="2"/>
        </w:rPr>
        <w:t xml:space="preserve"> </w:t>
      </w:r>
      <w:r>
        <w:t>to</w:t>
      </w:r>
      <w:r>
        <w:rPr>
          <w:spacing w:val="2"/>
        </w:rPr>
        <w:t xml:space="preserve"> </w:t>
      </w:r>
      <w:r>
        <w:t>determine</w:t>
      </w:r>
      <w:r>
        <w:rPr>
          <w:spacing w:val="2"/>
        </w:rPr>
        <w:t xml:space="preserve"> </w:t>
      </w:r>
      <w:r>
        <w:t>whether</w:t>
      </w:r>
      <w:r>
        <w:rPr>
          <w:spacing w:val="2"/>
        </w:rPr>
        <w:t xml:space="preserve"> </w:t>
      </w:r>
      <w:r>
        <w:t>one</w:t>
      </w:r>
      <w:r>
        <w:rPr>
          <w:spacing w:val="2"/>
        </w:rPr>
        <w:t xml:space="preserve"> </w:t>
      </w:r>
      <w:r>
        <w:t>was</w:t>
      </w:r>
      <w:r>
        <w:rPr>
          <w:spacing w:val="2"/>
        </w:rPr>
        <w:t xml:space="preserve"> </w:t>
      </w:r>
      <w:r>
        <w:rPr>
          <w:spacing w:val="-7"/>
        </w:rPr>
        <w:t>in</w:t>
      </w:r>
    </w:p>
    <w:p w14:paraId="7E001E90" w14:textId="77777777" w:rsidR="009A58DB" w:rsidRDefault="00000000">
      <w:pPr>
        <w:pStyle w:val="BodyText"/>
        <w:spacing w:line="316" w:lineRule="exact"/>
      </w:pPr>
      <w:r>
        <w:t>W</w:t>
      </w:r>
      <w:r>
        <w:rPr>
          <w:vertAlign w:val="subscript"/>
        </w:rPr>
        <w:t>3</w:t>
      </w:r>
      <w:r>
        <w:rPr>
          <w:spacing w:val="11"/>
        </w:rPr>
        <w:t xml:space="preserve"> </w:t>
      </w:r>
      <w:r>
        <w:t>as</w:t>
      </w:r>
      <w:r>
        <w:rPr>
          <w:spacing w:val="12"/>
        </w:rPr>
        <w:t xml:space="preserve"> </w:t>
      </w:r>
      <w:r>
        <w:t>opposed</w:t>
      </w:r>
      <w:r>
        <w:rPr>
          <w:spacing w:val="12"/>
        </w:rPr>
        <w:t xml:space="preserve"> </w:t>
      </w:r>
      <w:r>
        <w:t>to</w:t>
      </w:r>
      <w:r>
        <w:rPr>
          <w:spacing w:val="12"/>
        </w:rPr>
        <w:t xml:space="preserve"> </w:t>
      </w:r>
      <w:r>
        <w:t>W</w:t>
      </w:r>
      <w:r>
        <w:rPr>
          <w:vertAlign w:val="subscript"/>
        </w:rPr>
        <w:t>3</w:t>
      </w:r>
      <w:r>
        <w:t>,</w:t>
      </w:r>
      <w:r>
        <w:rPr>
          <w:spacing w:val="15"/>
        </w:rPr>
        <w:t xml:space="preserve"> </w:t>
      </w:r>
      <w:r>
        <w:t>or</w:t>
      </w:r>
      <w:r>
        <w:rPr>
          <w:spacing w:val="16"/>
        </w:rPr>
        <w:t xml:space="preserve"> </w:t>
      </w:r>
      <w:r>
        <w:rPr>
          <w:i/>
        </w:rPr>
        <w:t>vice</w:t>
      </w:r>
      <w:r>
        <w:rPr>
          <w:i/>
          <w:spacing w:val="15"/>
        </w:rPr>
        <w:t xml:space="preserve"> </w:t>
      </w:r>
      <w:r>
        <w:rPr>
          <w:i/>
        </w:rPr>
        <w:t>versa.</w:t>
      </w:r>
      <w:r>
        <w:rPr>
          <w:i/>
          <w:spacing w:val="15"/>
        </w:rPr>
        <w:t xml:space="preserve"> </w:t>
      </w:r>
      <w:r>
        <w:t>Which,</w:t>
      </w:r>
      <w:r>
        <w:rPr>
          <w:spacing w:val="15"/>
        </w:rPr>
        <w:t xml:space="preserve"> </w:t>
      </w:r>
      <w:r>
        <w:t>taken</w:t>
      </w:r>
      <w:r>
        <w:rPr>
          <w:spacing w:val="16"/>
        </w:rPr>
        <w:t xml:space="preserve"> </w:t>
      </w:r>
      <w:r>
        <w:t>together</w:t>
      </w:r>
      <w:r>
        <w:rPr>
          <w:spacing w:val="15"/>
        </w:rPr>
        <w:t xml:space="preserve"> </w:t>
      </w:r>
      <w:r>
        <w:t>with</w:t>
      </w:r>
      <w:r>
        <w:rPr>
          <w:spacing w:val="16"/>
        </w:rPr>
        <w:t xml:space="preserve"> </w:t>
      </w:r>
      <w:r>
        <w:t>the</w:t>
      </w:r>
      <w:r>
        <w:rPr>
          <w:spacing w:val="15"/>
        </w:rPr>
        <w:t xml:space="preserve"> </w:t>
      </w:r>
      <w:r>
        <w:t>fact</w:t>
      </w:r>
      <w:r>
        <w:rPr>
          <w:spacing w:val="14"/>
        </w:rPr>
        <w:t xml:space="preserve"> </w:t>
      </w:r>
      <w:r>
        <w:rPr>
          <w:spacing w:val="-4"/>
        </w:rPr>
        <w:t>that</w:t>
      </w:r>
    </w:p>
    <w:p w14:paraId="7E001E91" w14:textId="77777777" w:rsidR="009A58DB" w:rsidRDefault="00000000">
      <w:pPr>
        <w:pStyle w:val="BodyText"/>
        <w:spacing w:before="75" w:line="249" w:lineRule="auto"/>
        <w:ind w:right="369"/>
      </w:pPr>
      <w:r>
        <w:t>being annihilated in 1985 didn’t exactly tighten young Marty’s grip on existence, suggests that, other things being equal, (2) is the better way to model the observational data.</w:t>
      </w:r>
    </w:p>
    <w:p w14:paraId="7E001E92" w14:textId="77777777" w:rsidR="009A58DB" w:rsidRDefault="00000000">
      <w:pPr>
        <w:pStyle w:val="BodyText"/>
        <w:spacing w:before="3" w:line="249" w:lineRule="auto"/>
        <w:ind w:right="361" w:firstLine="360"/>
      </w:pPr>
      <w:r>
        <w:t xml:space="preserve">There is another, even deeper issue. For there to be backwards time-travel of any kind, there must be back retroactive causation: some events must be the effects of </w:t>
      </w:r>
      <w:r>
        <w:rPr>
          <w:i/>
        </w:rPr>
        <w:t xml:space="preserve">later </w:t>
      </w:r>
      <w:r>
        <w:t>events. Marty McFly’s appearing in 1955 must be an</w:t>
      </w:r>
      <w:r>
        <w:rPr>
          <w:spacing w:val="40"/>
        </w:rPr>
        <w:t xml:space="preserve"> </w:t>
      </w:r>
      <w:r>
        <w:t>effect of some event occurring in 1985. But there are empirical and also strictly logical reasons for thinking backwards time-travel an impossibility.</w:t>
      </w:r>
    </w:p>
    <w:p w14:paraId="7E001E93" w14:textId="77777777" w:rsidR="009A58DB" w:rsidRDefault="00000000">
      <w:pPr>
        <w:pStyle w:val="BodyText"/>
        <w:spacing w:before="7" w:line="249" w:lineRule="auto"/>
        <w:ind w:right="359" w:firstLine="360"/>
      </w:pPr>
      <w:r>
        <w:t>If</w:t>
      </w:r>
      <w:r>
        <w:rPr>
          <w:spacing w:val="-2"/>
        </w:rPr>
        <w:t xml:space="preserve"> </w:t>
      </w:r>
      <w:r>
        <w:t>Relativity</w:t>
      </w:r>
      <w:r>
        <w:rPr>
          <w:spacing w:val="-2"/>
        </w:rPr>
        <w:t xml:space="preserve"> </w:t>
      </w:r>
      <w:r>
        <w:t>Theory</w:t>
      </w:r>
      <w:r>
        <w:rPr>
          <w:spacing w:val="-2"/>
        </w:rPr>
        <w:t xml:space="preserve"> </w:t>
      </w:r>
      <w:r>
        <w:t>(RT)</w:t>
      </w:r>
      <w:r>
        <w:rPr>
          <w:spacing w:val="-2"/>
        </w:rPr>
        <w:t xml:space="preserve"> </w:t>
      </w:r>
      <w:r>
        <w:t>is</w:t>
      </w:r>
      <w:r>
        <w:rPr>
          <w:spacing w:val="-2"/>
        </w:rPr>
        <w:t xml:space="preserve"> </w:t>
      </w:r>
      <w:r>
        <w:t>right,</w:t>
      </w:r>
      <w:r>
        <w:rPr>
          <w:spacing w:val="-2"/>
        </w:rPr>
        <w:t xml:space="preserve"> </w:t>
      </w:r>
      <w:r>
        <w:t>which</w:t>
      </w:r>
      <w:r>
        <w:rPr>
          <w:spacing w:val="-2"/>
        </w:rPr>
        <w:t xml:space="preserve"> </w:t>
      </w:r>
      <w:r>
        <w:t>we’ll</w:t>
      </w:r>
      <w:r>
        <w:rPr>
          <w:spacing w:val="-2"/>
        </w:rPr>
        <w:t xml:space="preserve"> </w:t>
      </w:r>
      <w:r>
        <w:t>henceforth</w:t>
      </w:r>
      <w:r>
        <w:rPr>
          <w:spacing w:val="-2"/>
        </w:rPr>
        <w:t xml:space="preserve"> </w:t>
      </w:r>
      <w:r>
        <w:t>assume</w:t>
      </w:r>
      <w:r>
        <w:rPr>
          <w:spacing w:val="-2"/>
        </w:rPr>
        <w:t xml:space="preserve"> </w:t>
      </w:r>
      <w:r>
        <w:t>that</w:t>
      </w:r>
      <w:r>
        <w:rPr>
          <w:spacing w:val="-2"/>
        </w:rPr>
        <w:t xml:space="preserve"> </w:t>
      </w:r>
      <w:r>
        <w:t>it</w:t>
      </w:r>
      <w:r>
        <w:rPr>
          <w:spacing w:val="-2"/>
        </w:rPr>
        <w:t xml:space="preserve"> </w:t>
      </w:r>
      <w:r>
        <w:t>is, the statement “E</w:t>
      </w:r>
      <w:r>
        <w:rPr>
          <w:position w:val="-7"/>
          <w:sz w:val="22"/>
        </w:rPr>
        <w:t xml:space="preserve">2 </w:t>
      </w:r>
      <w:r>
        <w:t>is an effect of E</w:t>
      </w:r>
      <w:r>
        <w:rPr>
          <w:position w:val="-7"/>
          <w:sz w:val="22"/>
        </w:rPr>
        <w:t>1</w:t>
      </w:r>
      <w:r>
        <w:t>, but E</w:t>
      </w:r>
      <w:r>
        <w:rPr>
          <w:position w:val="-7"/>
          <w:sz w:val="22"/>
        </w:rPr>
        <w:t xml:space="preserve">1 </w:t>
      </w:r>
      <w:r>
        <w:t>post-dates E</w:t>
      </w:r>
      <w:r>
        <w:rPr>
          <w:position w:val="-7"/>
          <w:sz w:val="22"/>
        </w:rPr>
        <w:t>2</w:t>
      </w:r>
      <w:r>
        <w:t xml:space="preserve">” is tautologically false. According to RT, order in time is </w:t>
      </w:r>
      <w:r>
        <w:rPr>
          <w:i/>
        </w:rPr>
        <w:t xml:space="preserve">defined </w:t>
      </w:r>
      <w:r>
        <w:t xml:space="preserve">in terms of causation: anything caused by a given event </w:t>
      </w:r>
      <w:r>
        <w:rPr>
          <w:i/>
        </w:rPr>
        <w:t>ipso facto</w:t>
      </w:r>
      <w:r>
        <w:rPr>
          <w:i/>
          <w:spacing w:val="80"/>
        </w:rPr>
        <w:t xml:space="preserve"> </w:t>
      </w:r>
      <w:r>
        <w:t>follows that event. Thus, the view that one could travel backwards in time is in the same category as the view that triangles could have five sides.</w:t>
      </w:r>
    </w:p>
    <w:p w14:paraId="7E001E94" w14:textId="77777777" w:rsidR="009A58DB" w:rsidRDefault="00000000">
      <w:pPr>
        <w:pStyle w:val="BodyText"/>
        <w:spacing w:before="4" w:line="249" w:lineRule="auto"/>
        <w:ind w:right="358" w:firstLine="360"/>
      </w:pPr>
      <w:r>
        <w:t xml:space="preserve">A well known consequence of RT is that a given event may precede one event relative to one framework, be simultaneous with it relative to some second framework, and follow it relative to some third framework. Some conclude from this that backwards time-travel </w:t>
      </w:r>
      <w:r>
        <w:rPr>
          <w:i/>
        </w:rPr>
        <w:t xml:space="preserve">is </w:t>
      </w:r>
      <w:r>
        <w:t>possible.</w:t>
      </w:r>
    </w:p>
    <w:p w14:paraId="7E001E95" w14:textId="77777777" w:rsidR="009A58DB" w:rsidRDefault="00000000">
      <w:pPr>
        <w:pStyle w:val="BodyText"/>
        <w:spacing w:before="5" w:line="249" w:lineRule="auto"/>
        <w:ind w:right="358" w:firstLine="360"/>
      </w:pPr>
      <w:r>
        <w:t xml:space="preserve">This is not the right inference to draw. For reasons that aren’t important here, the framework-relative nature of temporal order is a </w:t>
      </w:r>
      <w:r>
        <w:rPr>
          <w:i/>
        </w:rPr>
        <w:t xml:space="preserve">consequence </w:t>
      </w:r>
      <w:r>
        <w:t xml:space="preserve">of, among other things, the fact that any effect of an event </w:t>
      </w:r>
      <w:r>
        <w:rPr>
          <w:i/>
        </w:rPr>
        <w:t>ipso facto</w:t>
      </w:r>
      <w:r>
        <w:rPr>
          <w:i/>
          <w:spacing w:val="80"/>
        </w:rPr>
        <w:t xml:space="preserve"> </w:t>
      </w:r>
      <w:r>
        <w:t>follows</w:t>
      </w:r>
      <w:r>
        <w:rPr>
          <w:spacing w:val="40"/>
        </w:rPr>
        <w:t xml:space="preserve"> </w:t>
      </w:r>
      <w:r>
        <w:t>that event. In other words, it’s a consequence of the fact that “E</w:t>
      </w:r>
      <w:r>
        <w:rPr>
          <w:vertAlign w:val="subscript"/>
        </w:rPr>
        <w:t>2</w:t>
      </w:r>
      <w:r>
        <w:t xml:space="preserve"> precedes E</w:t>
      </w:r>
      <w:r>
        <w:rPr>
          <w:vertAlign w:val="subscript"/>
        </w:rPr>
        <w:t>1</w:t>
      </w:r>
    </w:p>
    <w:p w14:paraId="7E001E96" w14:textId="77777777" w:rsidR="009A58DB" w:rsidRDefault="00000000">
      <w:pPr>
        <w:pStyle w:val="BodyText"/>
        <w:spacing w:before="65"/>
      </w:pPr>
      <w:r>
        <w:t>and</w:t>
      </w:r>
      <w:r>
        <w:rPr>
          <w:spacing w:val="-7"/>
        </w:rPr>
        <w:t xml:space="preserve"> </w:t>
      </w:r>
      <w:r>
        <w:t>is</w:t>
      </w:r>
      <w:r>
        <w:rPr>
          <w:spacing w:val="-3"/>
        </w:rPr>
        <w:t xml:space="preserve"> </w:t>
      </w:r>
      <w:r>
        <w:t>also</w:t>
      </w:r>
      <w:r>
        <w:rPr>
          <w:spacing w:val="-3"/>
        </w:rPr>
        <w:t xml:space="preserve"> </w:t>
      </w:r>
      <w:r>
        <w:t>an</w:t>
      </w:r>
      <w:r>
        <w:rPr>
          <w:spacing w:val="-3"/>
        </w:rPr>
        <w:t xml:space="preserve"> </w:t>
      </w:r>
      <w:r>
        <w:t>effect</w:t>
      </w:r>
      <w:r>
        <w:rPr>
          <w:spacing w:val="-3"/>
        </w:rPr>
        <w:t xml:space="preserve"> </w:t>
      </w:r>
      <w:r>
        <w:t>of</w:t>
      </w:r>
      <w:r>
        <w:rPr>
          <w:spacing w:val="-31"/>
        </w:rPr>
        <w:t xml:space="preserve"> </w:t>
      </w:r>
      <w:r>
        <w:t>it”</w:t>
      </w:r>
      <w:r>
        <w:rPr>
          <w:spacing w:val="-4"/>
        </w:rPr>
        <w:t xml:space="preserve"> </w:t>
      </w:r>
      <w:r>
        <w:t>is</w:t>
      </w:r>
      <w:r>
        <w:rPr>
          <w:spacing w:val="-4"/>
        </w:rPr>
        <w:t xml:space="preserve"> </w:t>
      </w:r>
      <w:r>
        <w:t>tautologically</w:t>
      </w:r>
      <w:r>
        <w:rPr>
          <w:spacing w:val="-2"/>
        </w:rPr>
        <w:t xml:space="preserve"> false.</w:t>
      </w:r>
    </w:p>
    <w:p w14:paraId="7E001E97" w14:textId="77777777" w:rsidR="009A58DB" w:rsidRDefault="00000000">
      <w:pPr>
        <w:pStyle w:val="BodyText"/>
        <w:spacing w:before="15" w:line="249" w:lineRule="auto"/>
        <w:ind w:right="361" w:firstLine="360"/>
      </w:pPr>
      <w:r>
        <w:t>Like any other scientific theory, RT is empirical. It’s based on</w:t>
      </w:r>
      <w:r>
        <w:rPr>
          <w:spacing w:val="40"/>
        </w:rPr>
        <w:t xml:space="preserve"> </w:t>
      </w:r>
      <w:r>
        <w:t xml:space="preserve">observation; and acceptance of it is warranted only as long as our observations are consistent with it. Nonetheless, the principle that causes </w:t>
      </w:r>
      <w:r>
        <w:rPr>
          <w:i/>
        </w:rPr>
        <w:t>ipso facto</w:t>
      </w:r>
      <w:r>
        <w:rPr>
          <w:i/>
          <w:spacing w:val="40"/>
        </w:rPr>
        <w:t xml:space="preserve"> </w:t>
      </w:r>
      <w:r>
        <w:t xml:space="preserve">precede their effects is an </w:t>
      </w:r>
      <w:r>
        <w:rPr>
          <w:b/>
          <w:i/>
        </w:rPr>
        <w:t xml:space="preserve">analytic, </w:t>
      </w:r>
      <w:r>
        <w:t xml:space="preserve">not an </w:t>
      </w:r>
      <w:r>
        <w:rPr>
          <w:b/>
          <w:i/>
        </w:rPr>
        <w:t xml:space="preserve">empirical, </w:t>
      </w:r>
      <w:r>
        <w:t>truth. (We’ll henceforth</w:t>
      </w:r>
      <w:r>
        <w:rPr>
          <w:spacing w:val="40"/>
        </w:rPr>
        <w:t xml:space="preserve"> </w:t>
      </w:r>
      <w:r>
        <w:t>refer</w:t>
      </w:r>
      <w:r>
        <w:rPr>
          <w:spacing w:val="40"/>
        </w:rPr>
        <w:t xml:space="preserve"> </w:t>
      </w:r>
      <w:r>
        <w:t>to</w:t>
      </w:r>
      <w:r>
        <w:rPr>
          <w:spacing w:val="40"/>
        </w:rPr>
        <w:t xml:space="preserve"> </w:t>
      </w:r>
      <w:r>
        <w:t>this</w:t>
      </w:r>
      <w:r>
        <w:rPr>
          <w:spacing w:val="40"/>
        </w:rPr>
        <w:t xml:space="preserve"> </w:t>
      </w:r>
      <w:r>
        <w:t>principle</w:t>
      </w:r>
      <w:r>
        <w:rPr>
          <w:spacing w:val="40"/>
        </w:rPr>
        <w:t xml:space="preserve"> </w:t>
      </w:r>
      <w:r>
        <w:t>“CT”—short</w:t>
      </w:r>
      <w:r>
        <w:rPr>
          <w:spacing w:val="40"/>
        </w:rPr>
        <w:t xml:space="preserve"> </w:t>
      </w:r>
      <w:r>
        <w:t>for</w:t>
      </w:r>
      <w:r>
        <w:rPr>
          <w:spacing w:val="40"/>
        </w:rPr>
        <w:t xml:space="preserve"> </w:t>
      </w:r>
      <w:r>
        <w:t>“causality</w:t>
      </w:r>
      <w:r>
        <w:rPr>
          <w:spacing w:val="40"/>
        </w:rPr>
        <w:t xml:space="preserve"> </w:t>
      </w:r>
      <w:r>
        <w:t>and</w:t>
      </w:r>
      <w:r>
        <w:rPr>
          <w:spacing w:val="40"/>
        </w:rPr>
        <w:t xml:space="preserve"> </w:t>
      </w:r>
      <w:r>
        <w:t>temporal</w:t>
      </w:r>
    </w:p>
    <w:p w14:paraId="7E001E9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99" w14:textId="77777777" w:rsidR="009A58DB" w:rsidRDefault="00000000">
      <w:pPr>
        <w:pStyle w:val="BodyText"/>
        <w:spacing w:before="66"/>
      </w:pPr>
      <w:r>
        <w:lastRenderedPageBreak/>
        <w:t>order.”)</w:t>
      </w:r>
      <w:r>
        <w:rPr>
          <w:spacing w:val="-5"/>
        </w:rPr>
        <w:t xml:space="preserve"> </w:t>
      </w:r>
      <w:r>
        <w:t>So</w:t>
      </w:r>
      <w:r>
        <w:rPr>
          <w:spacing w:val="-2"/>
        </w:rPr>
        <w:t xml:space="preserve"> </w:t>
      </w:r>
      <w:r>
        <w:t>CT</w:t>
      </w:r>
      <w:r>
        <w:rPr>
          <w:spacing w:val="-2"/>
        </w:rPr>
        <w:t xml:space="preserve"> </w:t>
      </w:r>
      <w:r>
        <w:t>is</w:t>
      </w:r>
      <w:r>
        <w:rPr>
          <w:spacing w:val="-3"/>
        </w:rPr>
        <w:t xml:space="preserve"> </w:t>
      </w:r>
      <w:r>
        <w:t>true</w:t>
      </w:r>
      <w:r>
        <w:rPr>
          <w:spacing w:val="-2"/>
        </w:rPr>
        <w:t xml:space="preserve"> </w:t>
      </w:r>
      <w:r>
        <w:t>even</w:t>
      </w:r>
      <w:r>
        <w:rPr>
          <w:spacing w:val="-2"/>
        </w:rPr>
        <w:t xml:space="preserve"> </w:t>
      </w:r>
      <w:r>
        <w:t>if</w:t>
      </w:r>
      <w:r>
        <w:rPr>
          <w:spacing w:val="-2"/>
        </w:rPr>
        <w:t xml:space="preserve"> </w:t>
      </w:r>
      <w:r>
        <w:t>RT</w:t>
      </w:r>
      <w:r>
        <w:rPr>
          <w:spacing w:val="-3"/>
        </w:rPr>
        <w:t xml:space="preserve"> </w:t>
      </w:r>
      <w:r>
        <w:t>is</w:t>
      </w:r>
      <w:r>
        <w:rPr>
          <w:spacing w:val="-2"/>
        </w:rPr>
        <w:t xml:space="preserve"> false.</w:t>
      </w:r>
    </w:p>
    <w:p w14:paraId="7E001E9A" w14:textId="77777777" w:rsidR="009A58DB" w:rsidRDefault="00000000">
      <w:pPr>
        <w:pStyle w:val="BodyText"/>
        <w:spacing w:before="14" w:line="249" w:lineRule="auto"/>
        <w:ind w:right="358" w:firstLine="360"/>
      </w:pPr>
      <w:r>
        <w:t xml:space="preserve">“But how can CT be analytic,” it will be asked, “given that RT is an observation-based theory?” Two reasons. (1) Not every statement composing an empirical (observation-based) theory is </w:t>
      </w:r>
      <w:r>
        <w:rPr>
          <w:i/>
        </w:rPr>
        <w:t xml:space="preserve">itself </w:t>
      </w:r>
      <w:r>
        <w:t xml:space="preserve">observation-based. Every theory comprises statements of pure logic (e.g., “no true statement entails the negation of anything entailed by any of its consequences”) that aren’t observation-based. (2) Not everything learned with the help of observation is learned </w:t>
      </w:r>
      <w:r>
        <w:rPr>
          <w:i/>
        </w:rPr>
        <w:t xml:space="preserve">through </w:t>
      </w:r>
      <w:r>
        <w:t xml:space="preserve">observation. If one learns some complex mathematical theorem by reading a proof of it, one learns that theorem </w:t>
      </w:r>
      <w:r>
        <w:rPr>
          <w:i/>
        </w:rPr>
        <w:t xml:space="preserve">through </w:t>
      </w:r>
      <w:r>
        <w:t xml:space="preserve">observations of ink-deposits; but it isn’t </w:t>
      </w:r>
      <w:r>
        <w:rPr>
          <w:i/>
        </w:rPr>
        <w:t xml:space="preserve">by observing </w:t>
      </w:r>
      <w:r>
        <w:t xml:space="preserve">such deposits that one learns it. The observations of ink-deposits merely occasion or “trigger” the purely logical ratiocinative activity that </w:t>
      </w:r>
      <w:r>
        <w:rPr>
          <w:i/>
        </w:rPr>
        <w:t xml:space="preserve">does </w:t>
      </w:r>
      <w:r>
        <w:t>lead to a genuine knowledge of that principle</w:t>
      </w:r>
      <w:bookmarkStart w:id="418" w:name="_bookmark418"/>
      <w:bookmarkEnd w:id="418"/>
      <w:r>
        <w:t>.</w:t>
      </w:r>
      <w:r>
        <w:rPr>
          <w:color w:val="0562C1"/>
          <w:position w:val="21"/>
          <w:u w:val="single" w:color="0562C1"/>
        </w:rPr>
        <w:t>[302]</w:t>
      </w:r>
      <w:r>
        <w:rPr>
          <w:color w:val="0562C1"/>
          <w:position w:val="21"/>
        </w:rPr>
        <w:t xml:space="preserve"> </w:t>
      </w:r>
      <w:r>
        <w:t>Somebody with 20/20 vision who has carefully studied those ink-deposits (i.e., who has studied those ink-deposits themselves, as opposed to their meanings) may completely and utterly fail to understand the corresponding proof; whereas somebody whose vision is just good enough to see some of the key lines of the proof may, on the basis only of those observations along with the thoughts they precipitated, understand it extremely well.</w:t>
      </w:r>
    </w:p>
    <w:p w14:paraId="7E001E9B" w14:textId="77777777" w:rsidR="009A58DB" w:rsidRDefault="00000000">
      <w:pPr>
        <w:pStyle w:val="BodyText"/>
        <w:spacing w:before="22" w:line="249" w:lineRule="auto"/>
        <w:ind w:right="363" w:firstLine="360"/>
      </w:pPr>
      <w:r>
        <w:t>Also, somebody who has heard the proof stated but hasn’t read it may, on the basis only of those auditory observations along with the thoughts they precipitated, thoroughly understand the proof. Ink-deposits bear no physical resemblance to noises. Therefore, it isn’t by studying ink-deposits that one learns the proof.</w:t>
      </w:r>
      <w:bookmarkStart w:id="419" w:name="_bookmark419"/>
      <w:bookmarkEnd w:id="419"/>
      <w:r>
        <w:rPr>
          <w:color w:val="0562C1"/>
          <w:position w:val="21"/>
          <w:u w:val="single" w:color="0562C1"/>
        </w:rPr>
        <w:t>[303]</w:t>
      </w:r>
      <w:r>
        <w:rPr>
          <w:color w:val="0562C1"/>
          <w:position w:val="21"/>
        </w:rPr>
        <w:t xml:space="preserve"> </w:t>
      </w:r>
      <w:r>
        <w:t xml:space="preserve">So given only that empirical discoveries led to our becoming aware of CT, it doesn’t follow that CT was itself discovered </w:t>
      </w:r>
      <w:r>
        <w:rPr>
          <w:spacing w:val="-2"/>
        </w:rPr>
        <w:t>empirically.</w:t>
      </w:r>
    </w:p>
    <w:p w14:paraId="7E001E9C" w14:textId="77777777" w:rsidR="009A58DB" w:rsidRDefault="00000000">
      <w:pPr>
        <w:pStyle w:val="BodyText"/>
        <w:spacing w:before="8" w:line="249" w:lineRule="auto"/>
        <w:ind w:right="363" w:firstLine="360"/>
      </w:pPr>
      <w:r>
        <w:t>And, in fact, CT couldn’t have been discovered empirically. Assuming it a given that it was Smith’s pushing the button that caused the elevator to come, there is no conceivable event that, were it known, could warrant a revision one’s</w:t>
      </w:r>
      <w:r>
        <w:rPr>
          <w:spacing w:val="-1"/>
        </w:rPr>
        <w:t xml:space="preserve"> </w:t>
      </w:r>
      <w:r>
        <w:t>subsequent</w:t>
      </w:r>
      <w:r>
        <w:rPr>
          <w:spacing w:val="-1"/>
        </w:rPr>
        <w:t xml:space="preserve"> </w:t>
      </w:r>
      <w:r>
        <w:t>judgment</w:t>
      </w:r>
      <w:r>
        <w:rPr>
          <w:spacing w:val="-1"/>
        </w:rPr>
        <w:t xml:space="preserve"> </w:t>
      </w:r>
      <w:r>
        <w:t>that</w:t>
      </w:r>
      <w:r>
        <w:rPr>
          <w:spacing w:val="-1"/>
        </w:rPr>
        <w:t xml:space="preserve"> </w:t>
      </w:r>
      <w:r>
        <w:t>the</w:t>
      </w:r>
      <w:r>
        <w:rPr>
          <w:spacing w:val="-1"/>
        </w:rPr>
        <w:t xml:space="preserve"> </w:t>
      </w:r>
      <w:r>
        <w:t>pushing</w:t>
      </w:r>
      <w:r>
        <w:rPr>
          <w:spacing w:val="-1"/>
        </w:rPr>
        <w:t xml:space="preserve"> </w:t>
      </w:r>
      <w:r>
        <w:t>of</w:t>
      </w:r>
      <w:r>
        <w:rPr>
          <w:spacing w:val="-1"/>
        </w:rPr>
        <w:t xml:space="preserve"> </w:t>
      </w:r>
      <w:r>
        <w:t>the</w:t>
      </w:r>
      <w:r>
        <w:rPr>
          <w:spacing w:val="-1"/>
        </w:rPr>
        <w:t xml:space="preserve"> </w:t>
      </w:r>
      <w:r>
        <w:t>button</w:t>
      </w:r>
      <w:r>
        <w:rPr>
          <w:spacing w:val="-1"/>
        </w:rPr>
        <w:t xml:space="preserve"> </w:t>
      </w:r>
      <w:r>
        <w:t>preceded</w:t>
      </w:r>
      <w:r>
        <w:rPr>
          <w:spacing w:val="-1"/>
        </w:rPr>
        <w:t xml:space="preserve"> </w:t>
      </w:r>
      <w:r>
        <w:t>the</w:t>
      </w:r>
      <w:r>
        <w:rPr>
          <w:spacing w:val="-1"/>
        </w:rPr>
        <w:t xml:space="preserve"> </w:t>
      </w:r>
      <w:r>
        <w:t>arrival of the elevator.</w:t>
      </w:r>
    </w:p>
    <w:p w14:paraId="7E001E9D" w14:textId="77777777" w:rsidR="009A58DB" w:rsidRDefault="00000000">
      <w:pPr>
        <w:pStyle w:val="BodyText"/>
        <w:spacing w:before="7" w:line="249" w:lineRule="auto"/>
        <w:ind w:right="361" w:firstLine="360"/>
      </w:pPr>
      <w:r>
        <w:t xml:space="preserve">Einstein himself very clearly said that CT </w:t>
      </w:r>
      <w:r>
        <w:rPr>
          <w:i/>
        </w:rPr>
        <w:t xml:space="preserve">was </w:t>
      </w:r>
      <w:r>
        <w:t xml:space="preserve">not empirical hypothesis. He also said (unfortunately for me) that it was a convention—a </w:t>
      </w:r>
      <w:r>
        <w:rPr>
          <w:i/>
        </w:rPr>
        <w:t xml:space="preserve">definition </w:t>
      </w:r>
      <w:r>
        <w:t>of “order</w:t>
      </w:r>
      <w:r>
        <w:rPr>
          <w:spacing w:val="5"/>
        </w:rPr>
        <w:t xml:space="preserve"> </w:t>
      </w:r>
      <w:r>
        <w:t>in</w:t>
      </w:r>
      <w:r>
        <w:rPr>
          <w:spacing w:val="8"/>
        </w:rPr>
        <w:t xml:space="preserve"> </w:t>
      </w:r>
      <w:r>
        <w:t>time”—and,</w:t>
      </w:r>
      <w:r>
        <w:rPr>
          <w:spacing w:val="7"/>
        </w:rPr>
        <w:t xml:space="preserve"> </w:t>
      </w:r>
      <w:r>
        <w:t>therefore,</w:t>
      </w:r>
      <w:r>
        <w:rPr>
          <w:spacing w:val="8"/>
        </w:rPr>
        <w:t xml:space="preserve"> </w:t>
      </w:r>
      <w:r>
        <w:t>not</w:t>
      </w:r>
      <w:r>
        <w:rPr>
          <w:spacing w:val="7"/>
        </w:rPr>
        <w:t xml:space="preserve"> </w:t>
      </w:r>
      <w:r>
        <w:t>a</w:t>
      </w:r>
      <w:r>
        <w:rPr>
          <w:spacing w:val="8"/>
        </w:rPr>
        <w:t xml:space="preserve"> </w:t>
      </w:r>
      <w:r>
        <w:t>substantive</w:t>
      </w:r>
      <w:r>
        <w:rPr>
          <w:spacing w:val="7"/>
        </w:rPr>
        <w:t xml:space="preserve"> </w:t>
      </w:r>
      <w:r>
        <w:t>truth.</w:t>
      </w:r>
      <w:r>
        <w:rPr>
          <w:spacing w:val="8"/>
        </w:rPr>
        <w:t xml:space="preserve"> </w:t>
      </w:r>
      <w:r>
        <w:t>I</w:t>
      </w:r>
      <w:r>
        <w:rPr>
          <w:spacing w:val="7"/>
        </w:rPr>
        <w:t xml:space="preserve"> </w:t>
      </w:r>
      <w:r>
        <w:t>would</w:t>
      </w:r>
      <w:r>
        <w:rPr>
          <w:spacing w:val="8"/>
        </w:rPr>
        <w:t xml:space="preserve"> </w:t>
      </w:r>
      <w:r>
        <w:t>suggest</w:t>
      </w:r>
      <w:r>
        <w:rPr>
          <w:spacing w:val="8"/>
        </w:rPr>
        <w:t xml:space="preserve"> </w:t>
      </w:r>
      <w:r>
        <w:rPr>
          <w:spacing w:val="-2"/>
        </w:rPr>
        <w:t>that,</w:t>
      </w:r>
    </w:p>
    <w:p w14:paraId="7E001E9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9F" w14:textId="77777777" w:rsidR="009A58DB" w:rsidRDefault="00000000">
      <w:pPr>
        <w:pStyle w:val="BodyText"/>
        <w:spacing w:before="65" w:line="249" w:lineRule="auto"/>
        <w:ind w:right="361"/>
      </w:pPr>
      <w:r>
        <w:lastRenderedPageBreak/>
        <w:t>although he described CT as a definition, he chose this particular definition, as opposed to others, because he saw in it a substantive truth whose roots lie in the very concept of what it is for one event to precede another.</w:t>
      </w:r>
    </w:p>
    <w:p w14:paraId="7E001EA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A1" w14:textId="77777777" w:rsidR="009A58DB" w:rsidRDefault="009A58DB">
      <w:pPr>
        <w:pStyle w:val="BodyText"/>
        <w:ind w:left="0"/>
        <w:jc w:val="left"/>
        <w:rPr>
          <w:sz w:val="42"/>
        </w:rPr>
      </w:pPr>
    </w:p>
    <w:p w14:paraId="7E001EA2" w14:textId="77777777" w:rsidR="009A58DB" w:rsidRDefault="009A58DB">
      <w:pPr>
        <w:pStyle w:val="BodyText"/>
        <w:spacing w:before="411"/>
        <w:ind w:left="0"/>
        <w:jc w:val="left"/>
        <w:rPr>
          <w:sz w:val="42"/>
        </w:rPr>
      </w:pPr>
    </w:p>
    <w:p w14:paraId="7E001EA3" w14:textId="77777777" w:rsidR="009A58DB" w:rsidRDefault="00000000">
      <w:pPr>
        <w:pStyle w:val="Heading1"/>
        <w:numPr>
          <w:ilvl w:val="0"/>
          <w:numId w:val="85"/>
        </w:numPr>
        <w:tabs>
          <w:tab w:val="left" w:pos="990"/>
        </w:tabs>
        <w:spacing w:before="1"/>
      </w:pPr>
      <w:r>
        <w:t>The</w:t>
      </w:r>
      <w:r>
        <w:rPr>
          <w:spacing w:val="-3"/>
        </w:rPr>
        <w:t xml:space="preserve"> </w:t>
      </w:r>
      <w:r>
        <w:rPr>
          <w:spacing w:val="-2"/>
        </w:rPr>
        <w:t>basics</w:t>
      </w:r>
    </w:p>
    <w:p w14:paraId="7E001EA4" w14:textId="77777777" w:rsidR="009A58DB" w:rsidRDefault="00000000">
      <w:pPr>
        <w:spacing w:line="503" w:lineRule="exact"/>
        <w:ind w:left="360"/>
        <w:rPr>
          <w:rFonts w:ascii="Calibri Light"/>
          <w:sz w:val="42"/>
        </w:rPr>
      </w:pPr>
      <w:r>
        <w:br w:type="column"/>
      </w:r>
      <w:bookmarkStart w:id="420" w:name="_bookmark420"/>
      <w:bookmarkEnd w:id="420"/>
      <w:r>
        <w:rPr>
          <w:rFonts w:ascii="Calibri Light"/>
          <w:sz w:val="42"/>
        </w:rPr>
        <w:t>Chapter</w:t>
      </w:r>
      <w:r>
        <w:rPr>
          <w:rFonts w:ascii="Calibri Light"/>
          <w:spacing w:val="56"/>
          <w:sz w:val="42"/>
        </w:rPr>
        <w:t xml:space="preserve"> </w:t>
      </w:r>
      <w:r>
        <w:rPr>
          <w:rFonts w:ascii="Calibri Light"/>
          <w:spacing w:val="-5"/>
          <w:sz w:val="42"/>
        </w:rPr>
        <w:t>17</w:t>
      </w:r>
    </w:p>
    <w:p w14:paraId="7E001EA5" w14:textId="77777777" w:rsidR="009A58DB" w:rsidRDefault="00000000">
      <w:pPr>
        <w:spacing w:before="215"/>
        <w:ind w:left="398"/>
        <w:rPr>
          <w:rFonts w:ascii="Calibri Light"/>
          <w:sz w:val="49"/>
        </w:rPr>
      </w:pPr>
      <w:bookmarkStart w:id="421" w:name="_bookmark421"/>
      <w:bookmarkEnd w:id="421"/>
      <w:r>
        <w:rPr>
          <w:rFonts w:ascii="Calibri Light"/>
          <w:spacing w:val="-2"/>
          <w:sz w:val="49"/>
        </w:rPr>
        <w:t>Causality</w:t>
      </w:r>
    </w:p>
    <w:p w14:paraId="7E001EA6" w14:textId="77777777" w:rsidR="009A58DB" w:rsidRDefault="009A58DB">
      <w:pPr>
        <w:rPr>
          <w:rFonts w:ascii="Calibri Light"/>
          <w:sz w:val="49"/>
        </w:rPr>
        <w:sectPr w:rsidR="009A58DB">
          <w:pgSz w:w="12240" w:h="15840"/>
          <w:pgMar w:top="1680" w:right="1080" w:bottom="280" w:left="1080" w:header="720" w:footer="720" w:gutter="0"/>
          <w:cols w:num="2" w:space="720" w:equalWidth="0">
            <w:col w:w="2908" w:space="799"/>
            <w:col w:w="6373"/>
          </w:cols>
        </w:sectPr>
      </w:pPr>
    </w:p>
    <w:p w14:paraId="7E001EA7" w14:textId="77777777" w:rsidR="009A58DB" w:rsidRDefault="00000000">
      <w:pPr>
        <w:pStyle w:val="BodyText"/>
        <w:spacing w:before="139" w:line="249" w:lineRule="auto"/>
        <w:ind w:right="364"/>
      </w:pPr>
      <w:r>
        <w:t>Things make things happen. Smith pulls the trigger, causing the gun to fire. Jones throws the vase against the wall, causing the vase to break. There are causes and there are effects.</w:t>
      </w:r>
    </w:p>
    <w:p w14:paraId="7E001EA8" w14:textId="77777777" w:rsidR="009A58DB" w:rsidRDefault="00000000">
      <w:pPr>
        <w:pStyle w:val="BodyText"/>
        <w:spacing w:before="3" w:line="249" w:lineRule="auto"/>
        <w:ind w:right="357" w:firstLine="360"/>
      </w:pPr>
      <w:r>
        <w:t xml:space="preserve">Astonishingly, some philosophers have denied the existence of causation. Why? Because many philosophers are </w:t>
      </w:r>
      <w:r>
        <w:rPr>
          <w:b/>
          <w:i/>
        </w:rPr>
        <w:t xml:space="preserve">empiricists, </w:t>
      </w:r>
      <w:r>
        <w:t>and given an empiricist outlook, it is hard to accommodate the presumption that events make events happen.</w:t>
      </w:r>
      <w:r>
        <w:rPr>
          <w:spacing w:val="-3"/>
        </w:rPr>
        <w:t xml:space="preserve"> </w:t>
      </w:r>
      <w:r>
        <w:t>According</w:t>
      </w:r>
      <w:r>
        <w:rPr>
          <w:spacing w:val="-3"/>
        </w:rPr>
        <w:t xml:space="preserve"> </w:t>
      </w:r>
      <w:r>
        <w:t>to</w:t>
      </w:r>
      <w:r>
        <w:rPr>
          <w:spacing w:val="-3"/>
        </w:rPr>
        <w:t xml:space="preserve"> </w:t>
      </w:r>
      <w:r>
        <w:t>empiricism,</w:t>
      </w:r>
      <w:r>
        <w:rPr>
          <w:spacing w:val="-3"/>
        </w:rPr>
        <w:t xml:space="preserve"> </w:t>
      </w:r>
      <w:r>
        <w:t>all</w:t>
      </w:r>
      <w:r>
        <w:rPr>
          <w:spacing w:val="-3"/>
        </w:rPr>
        <w:t xml:space="preserve"> </w:t>
      </w:r>
      <w:r>
        <w:t>knowledge</w:t>
      </w:r>
      <w:r>
        <w:rPr>
          <w:spacing w:val="-3"/>
        </w:rPr>
        <w:t xml:space="preserve"> </w:t>
      </w:r>
      <w:r>
        <w:t>is</w:t>
      </w:r>
      <w:r>
        <w:rPr>
          <w:spacing w:val="-3"/>
        </w:rPr>
        <w:t xml:space="preserve"> </w:t>
      </w:r>
      <w:r>
        <w:t>strictly</w:t>
      </w:r>
      <w:r>
        <w:rPr>
          <w:spacing w:val="-3"/>
        </w:rPr>
        <w:t xml:space="preserve"> </w:t>
      </w:r>
      <w:r>
        <w:t>observation</w:t>
      </w:r>
      <w:r>
        <w:rPr>
          <w:spacing w:val="-3"/>
        </w:rPr>
        <w:t xml:space="preserve"> </w:t>
      </w:r>
      <w:r>
        <w:t xml:space="preserve">based. Thus, if you know it, one of two conditions is met: (a) you observed it (in other words, you saw it, heard it, felt it, etc.); or (b) you inferred it from what you observed, </w:t>
      </w:r>
      <w:r>
        <w:rPr>
          <w:i/>
        </w:rPr>
        <w:t xml:space="preserve">provided </w:t>
      </w:r>
      <w:r>
        <w:t>that you used no inference rules other than those of whose legitimacy direct observation apprised you. (See Chapter 13.) According to many empiricists, we cannot see or otherwise observe causal ties. We see events, but not forces. We see rocks strike windows, and we see windows shatter upon being thus struck. But we don’t see anything that,</w:t>
      </w:r>
      <w:r>
        <w:rPr>
          <w:spacing w:val="40"/>
        </w:rPr>
        <w:t xml:space="preserve"> </w:t>
      </w:r>
      <w:r>
        <w:t xml:space="preserve">given such a collision, </w:t>
      </w:r>
      <w:r>
        <w:rPr>
          <w:i/>
        </w:rPr>
        <w:t xml:space="preserve">compels </w:t>
      </w:r>
      <w:r>
        <w:t>the window in question to shatter. Since we don’t observe causal connections, we don’t have good reason to believe them to exist.</w:t>
      </w:r>
    </w:p>
    <w:p w14:paraId="7E001EA9" w14:textId="77777777" w:rsidR="009A58DB" w:rsidRDefault="00000000">
      <w:pPr>
        <w:pStyle w:val="BodyText"/>
        <w:spacing w:before="18" w:line="249" w:lineRule="auto"/>
        <w:ind w:right="362" w:firstLine="360"/>
      </w:pPr>
      <w:r>
        <w:t>But this argument involves a major non-sequitur. We don’t observe electrons or quarks, but we have good reason to believe them to exist. How are causal ties different? Given that it’s methodologically permissible to posit unobservable viruses and particles, why isn’t it equally permissible to posit unobservable causal ties?</w:t>
      </w:r>
    </w:p>
    <w:p w14:paraId="7E001EAA" w14:textId="77777777" w:rsidR="009A58DB" w:rsidRDefault="00000000">
      <w:pPr>
        <w:pStyle w:val="BodyText"/>
        <w:spacing w:before="6" w:line="249" w:lineRule="auto"/>
        <w:ind w:right="360" w:firstLine="360"/>
      </w:pPr>
      <w:r>
        <w:t>“Because,” we are told, “the concept of a causal tie, unlike that of a proton or a virus, is an incoherent one. For that reason, it wouldn’t do any good to posit causal ties. Causal ties, if they exist, are occupants of space-time, like rocks and vases and chairs; and they are therefore just as incapable as chairs and rocks of being the “glue” that, supposedly, keeps the universe from powdering into so many renegade events.” But notice that the second argument,</w:t>
      </w:r>
      <w:r>
        <w:rPr>
          <w:spacing w:val="40"/>
        </w:rPr>
        <w:t xml:space="preserve"> </w:t>
      </w:r>
      <w:r>
        <w:t>unlike</w:t>
      </w:r>
      <w:r>
        <w:rPr>
          <w:spacing w:val="40"/>
        </w:rPr>
        <w:t xml:space="preserve"> </w:t>
      </w:r>
      <w:r>
        <w:t>the</w:t>
      </w:r>
      <w:r>
        <w:rPr>
          <w:spacing w:val="40"/>
        </w:rPr>
        <w:t xml:space="preserve"> </w:t>
      </w:r>
      <w:r>
        <w:t>first,</w:t>
      </w:r>
      <w:r>
        <w:rPr>
          <w:spacing w:val="40"/>
        </w:rPr>
        <w:t xml:space="preserve"> </w:t>
      </w:r>
      <w:r>
        <w:t>isn’t</w:t>
      </w:r>
      <w:r>
        <w:rPr>
          <w:spacing w:val="40"/>
        </w:rPr>
        <w:t xml:space="preserve"> </w:t>
      </w:r>
      <w:r>
        <w:t>an</w:t>
      </w:r>
      <w:r>
        <w:rPr>
          <w:spacing w:val="40"/>
        </w:rPr>
        <w:t xml:space="preserve"> </w:t>
      </w:r>
      <w:r>
        <w:t>empirical</w:t>
      </w:r>
      <w:r>
        <w:rPr>
          <w:spacing w:val="40"/>
        </w:rPr>
        <w:t xml:space="preserve"> </w:t>
      </w:r>
      <w:r>
        <w:t>argument</w:t>
      </w:r>
      <w:r>
        <w:rPr>
          <w:spacing w:val="40"/>
        </w:rPr>
        <w:t xml:space="preserve"> </w:t>
      </w:r>
      <w:r>
        <w:t>at</w:t>
      </w:r>
      <w:r>
        <w:rPr>
          <w:spacing w:val="40"/>
        </w:rPr>
        <w:t xml:space="preserve"> </w:t>
      </w:r>
      <w:r>
        <w:t>all.</w:t>
      </w:r>
      <w:r>
        <w:rPr>
          <w:spacing w:val="40"/>
        </w:rPr>
        <w:t xml:space="preserve"> </w:t>
      </w:r>
      <w:r>
        <w:t>It’s</w:t>
      </w:r>
      <w:r>
        <w:rPr>
          <w:spacing w:val="40"/>
        </w:rPr>
        <w:t xml:space="preserve"> </w:t>
      </w:r>
      <w:r>
        <w:t>a</w:t>
      </w:r>
      <w:r>
        <w:rPr>
          <w:spacing w:val="40"/>
        </w:rPr>
        <w:t xml:space="preserve"> </w:t>
      </w:r>
      <w:r>
        <w:t>strictly</w:t>
      </w:r>
    </w:p>
    <w:p w14:paraId="7E001EAB" w14:textId="77777777" w:rsidR="009A58DB" w:rsidRDefault="009A58DB">
      <w:pPr>
        <w:pStyle w:val="BodyText"/>
        <w:spacing w:line="249" w:lineRule="auto"/>
        <w:sectPr w:rsidR="009A58DB">
          <w:type w:val="continuous"/>
          <w:pgSz w:w="12240" w:h="15840"/>
          <w:pgMar w:top="1820" w:right="1080" w:bottom="280" w:left="1080" w:header="720" w:footer="720" w:gutter="0"/>
          <w:cols w:space="720"/>
        </w:sectPr>
      </w:pPr>
    </w:p>
    <w:p w14:paraId="7E001EAC" w14:textId="77777777" w:rsidR="009A58DB" w:rsidRDefault="00000000">
      <w:pPr>
        <w:pStyle w:val="BodyText"/>
        <w:spacing w:before="65" w:line="249" w:lineRule="auto"/>
        <w:ind w:right="359"/>
      </w:pPr>
      <w:r>
        <w:lastRenderedPageBreak/>
        <w:t xml:space="preserve">logical one. It is to the effect that forces are in the same category as square circles and therefore couldn’t </w:t>
      </w:r>
      <w:r>
        <w:rPr>
          <w:i/>
        </w:rPr>
        <w:t xml:space="preserve">possibly </w:t>
      </w:r>
      <w:r>
        <w:t>exist and, therefore, couldn’t possibly be observed. Thus, the first empirical argument against the existence of</w:t>
      </w:r>
      <w:r>
        <w:rPr>
          <w:spacing w:val="40"/>
        </w:rPr>
        <w:t xml:space="preserve"> </w:t>
      </w:r>
      <w:r>
        <w:t xml:space="preserve">causal ties is parasitic on a non-empirical, purely </w:t>
      </w:r>
      <w:r>
        <w:rPr>
          <w:b/>
          <w:i/>
        </w:rPr>
        <w:t xml:space="preserve">a priori </w:t>
      </w:r>
      <w:r>
        <w:t xml:space="preserve">argument, and is therefore only as good as the latter. (An </w:t>
      </w:r>
      <w:r>
        <w:rPr>
          <w:i/>
        </w:rPr>
        <w:t xml:space="preserve">a priori </w:t>
      </w:r>
      <w:r>
        <w:t xml:space="preserve">argument is one that has its basis, not in observational data, but entirely in considerations of coherence and logic.) And the latter argument isn’t a good one. The concept of </w:t>
      </w:r>
      <w:r>
        <w:rPr>
          <w:i/>
        </w:rPr>
        <w:t>persistence</w:t>
      </w:r>
      <w:r>
        <w:rPr>
          <w:i/>
          <w:spacing w:val="-3"/>
        </w:rPr>
        <w:t xml:space="preserve"> </w:t>
      </w:r>
      <w:r>
        <w:t>is itself a causal notion, and anything that persists is, for that very reason, a causal sequence. Thus, we observe causal sequences whenever we observe</w:t>
      </w:r>
      <w:r>
        <w:rPr>
          <w:spacing w:val="-4"/>
        </w:rPr>
        <w:t xml:space="preserve"> </w:t>
      </w:r>
      <w:r>
        <w:t>anything.</w:t>
      </w:r>
      <w:r>
        <w:rPr>
          <w:spacing w:val="-3"/>
        </w:rPr>
        <w:t xml:space="preserve"> </w:t>
      </w:r>
      <w:r>
        <w:t>And</w:t>
      </w:r>
      <w:r>
        <w:rPr>
          <w:spacing w:val="-3"/>
        </w:rPr>
        <w:t xml:space="preserve"> </w:t>
      </w:r>
      <w:r>
        <w:t>we</w:t>
      </w:r>
      <w:r>
        <w:rPr>
          <w:spacing w:val="-4"/>
        </w:rPr>
        <w:t xml:space="preserve"> </w:t>
      </w:r>
      <w:r>
        <w:rPr>
          <w:i/>
        </w:rPr>
        <w:t>knowingly</w:t>
      </w:r>
      <w:r>
        <w:rPr>
          <w:i/>
          <w:spacing w:val="-4"/>
        </w:rPr>
        <w:t xml:space="preserve"> </w:t>
      </w:r>
      <w:r>
        <w:t>observe them. That is, we don’t observe them only in the</w:t>
      </w:r>
    </w:p>
    <w:p w14:paraId="7E001EAD" w14:textId="77777777" w:rsidR="009A58DB" w:rsidRDefault="00000000">
      <w:pPr>
        <w:pStyle w:val="BodyText"/>
        <w:spacing w:before="13" w:line="271" w:lineRule="auto"/>
        <w:ind w:right="365"/>
      </w:pPr>
      <w:r>
        <w:t>attenuated sense in which we are observing H</w:t>
      </w:r>
      <w:r>
        <w:rPr>
          <w:vertAlign w:val="subscript"/>
        </w:rPr>
        <w:t>2</w:t>
      </w:r>
      <w:r>
        <w:t>O molecules when we look with the naked eye at bodies of water. This line of thought will be developed in Section 5.3.</w:t>
      </w:r>
    </w:p>
    <w:p w14:paraId="7E001EAE" w14:textId="77777777" w:rsidR="009A58DB" w:rsidRDefault="00000000">
      <w:pPr>
        <w:pStyle w:val="BodyText"/>
        <w:spacing w:line="316" w:lineRule="exact"/>
        <w:ind w:left="720"/>
      </w:pPr>
      <w:r>
        <w:t>Much</w:t>
      </w:r>
      <w:r>
        <w:rPr>
          <w:spacing w:val="8"/>
        </w:rPr>
        <w:t xml:space="preserve"> </w:t>
      </w:r>
      <w:r>
        <w:t>of</w:t>
      </w:r>
      <w:r>
        <w:rPr>
          <w:spacing w:val="9"/>
        </w:rPr>
        <w:t xml:space="preserve"> </w:t>
      </w:r>
      <w:r>
        <w:t>this</w:t>
      </w:r>
      <w:r>
        <w:rPr>
          <w:spacing w:val="9"/>
        </w:rPr>
        <w:t xml:space="preserve"> </w:t>
      </w:r>
      <w:r>
        <w:t>chapter</w:t>
      </w:r>
      <w:r>
        <w:rPr>
          <w:spacing w:val="8"/>
        </w:rPr>
        <w:t xml:space="preserve"> </w:t>
      </w:r>
      <w:r>
        <w:t>will</w:t>
      </w:r>
      <w:r>
        <w:rPr>
          <w:spacing w:val="9"/>
        </w:rPr>
        <w:t xml:space="preserve"> </w:t>
      </w:r>
      <w:r>
        <w:t>be</w:t>
      </w:r>
      <w:r>
        <w:rPr>
          <w:spacing w:val="9"/>
        </w:rPr>
        <w:t xml:space="preserve"> </w:t>
      </w:r>
      <w:r>
        <w:t>spent</w:t>
      </w:r>
      <w:r>
        <w:rPr>
          <w:spacing w:val="8"/>
        </w:rPr>
        <w:t xml:space="preserve"> </w:t>
      </w:r>
      <w:r>
        <w:t>evaluating</w:t>
      </w:r>
      <w:r>
        <w:rPr>
          <w:spacing w:val="9"/>
        </w:rPr>
        <w:t xml:space="preserve"> </w:t>
      </w:r>
      <w:r>
        <w:t>the</w:t>
      </w:r>
      <w:r>
        <w:rPr>
          <w:spacing w:val="9"/>
        </w:rPr>
        <w:t xml:space="preserve"> </w:t>
      </w:r>
      <w:r>
        <w:t>contention</w:t>
      </w:r>
      <w:r>
        <w:rPr>
          <w:spacing w:val="8"/>
        </w:rPr>
        <w:t xml:space="preserve"> </w:t>
      </w:r>
      <w:r>
        <w:t>that</w:t>
      </w:r>
      <w:r>
        <w:rPr>
          <w:spacing w:val="9"/>
        </w:rPr>
        <w:t xml:space="preserve"> </w:t>
      </w:r>
      <w:r>
        <w:t>we</w:t>
      </w:r>
      <w:r>
        <w:rPr>
          <w:spacing w:val="9"/>
        </w:rPr>
        <w:t xml:space="preserve"> </w:t>
      </w:r>
      <w:r>
        <w:rPr>
          <w:spacing w:val="-2"/>
        </w:rPr>
        <w:t>don’t</w:t>
      </w:r>
    </w:p>
    <w:p w14:paraId="7E001EAF" w14:textId="77777777" w:rsidR="009A58DB" w:rsidRDefault="00000000">
      <w:pPr>
        <w:pStyle w:val="BodyText"/>
        <w:spacing w:before="15" w:line="249" w:lineRule="auto"/>
        <w:ind w:right="359"/>
      </w:pPr>
      <w:r>
        <w:t xml:space="preserve">see or otherwise observe causal ties. Although it has been enormously influential, it’s of doubtful accuracy, it’s of questionable coherence, as we’ve just seen. And the more it’s scrutinized, the more incoherent it proves to be. For example, the very notion of spatial </w:t>
      </w:r>
      <w:r>
        <w:rPr>
          <w:i/>
        </w:rPr>
        <w:t xml:space="preserve">occupancy </w:t>
      </w:r>
      <w:r>
        <w:t>is a causal notion, since a given thing’s occupying a given region R ipso facto alters the trajectories and velocities of other would-be and soon-to-be occupants of that region.</w:t>
      </w:r>
    </w:p>
    <w:p w14:paraId="7E001EB0" w14:textId="77777777" w:rsidR="009A58DB" w:rsidRDefault="00000000">
      <w:pPr>
        <w:pStyle w:val="BodyText"/>
        <w:spacing w:before="8" w:line="249" w:lineRule="auto"/>
        <w:ind w:right="359" w:firstLine="360"/>
      </w:pPr>
      <w:r>
        <w:t>These points generalize. A “steel” object that lacked the requisite degree</w:t>
      </w:r>
      <w:r>
        <w:rPr>
          <w:spacing w:val="40"/>
        </w:rPr>
        <w:t xml:space="preserve"> </w:t>
      </w:r>
      <w:r>
        <w:t>of malleability or thermal conductivity would ipso facto not be steel. Malleability and conductivity are causal properties. x is more malleable than y if, other things being equal, less force is needed to cause x’s shape to change than is needed to cause y’s shape to change. x has a higher degree of thermal conductivity than y if, other things being equal, less energy is needed to raise x’s temperature by a given amount than is needed to raise y’s temperature</w:t>
      </w:r>
      <w:r>
        <w:rPr>
          <w:spacing w:val="-4"/>
        </w:rPr>
        <w:t xml:space="preserve"> </w:t>
      </w:r>
      <w:r>
        <w:t>by</w:t>
      </w:r>
      <w:r>
        <w:rPr>
          <w:spacing w:val="-3"/>
        </w:rPr>
        <w:t xml:space="preserve"> </w:t>
      </w:r>
      <w:r>
        <w:t>that</w:t>
      </w:r>
      <w:r>
        <w:rPr>
          <w:spacing w:val="-4"/>
        </w:rPr>
        <w:t xml:space="preserve"> </w:t>
      </w:r>
      <w:r>
        <w:t>same</w:t>
      </w:r>
      <w:r>
        <w:rPr>
          <w:spacing w:val="-4"/>
        </w:rPr>
        <w:t xml:space="preserve"> </w:t>
      </w:r>
      <w:r>
        <w:t>amount.</w:t>
      </w:r>
      <w:r>
        <w:rPr>
          <w:spacing w:val="-3"/>
        </w:rPr>
        <w:t xml:space="preserve"> </w:t>
      </w:r>
      <w:r>
        <w:t>Thus,</w:t>
      </w:r>
      <w:r>
        <w:rPr>
          <w:spacing w:val="-3"/>
        </w:rPr>
        <w:t xml:space="preserve"> </w:t>
      </w:r>
      <w:r>
        <w:t>to</w:t>
      </w:r>
      <w:r>
        <w:rPr>
          <w:spacing w:val="-3"/>
        </w:rPr>
        <w:t xml:space="preserve"> </w:t>
      </w:r>
      <w:r>
        <w:t>describe</w:t>
      </w:r>
      <w:r>
        <w:rPr>
          <w:spacing w:val="-4"/>
        </w:rPr>
        <w:t xml:space="preserve"> </w:t>
      </w:r>
      <w:r>
        <w:t>a</w:t>
      </w:r>
      <w:r>
        <w:rPr>
          <w:spacing w:val="-4"/>
        </w:rPr>
        <w:t xml:space="preserve"> </w:t>
      </w:r>
      <w:r>
        <w:t>given</w:t>
      </w:r>
      <w:r>
        <w:rPr>
          <w:spacing w:val="-3"/>
        </w:rPr>
        <w:t xml:space="preserve"> </w:t>
      </w:r>
      <w:r>
        <w:t>object</w:t>
      </w:r>
      <w:r>
        <w:rPr>
          <w:spacing w:val="-4"/>
        </w:rPr>
        <w:t xml:space="preserve"> </w:t>
      </w:r>
      <w:r>
        <w:t>as</w:t>
      </w:r>
      <w:r>
        <w:rPr>
          <w:spacing w:val="-4"/>
        </w:rPr>
        <w:t xml:space="preserve"> </w:t>
      </w:r>
      <w:r>
        <w:t>being</w:t>
      </w:r>
      <w:r>
        <w:rPr>
          <w:spacing w:val="-3"/>
        </w:rPr>
        <w:t xml:space="preserve"> </w:t>
      </w:r>
      <w:r>
        <w:t>of made of steel is to say that, other things being equal, it will react to situations in ways in which it wouldn’t otherwise react.</w:t>
      </w:r>
    </w:p>
    <w:p w14:paraId="7E001EB1" w14:textId="77777777" w:rsidR="009A58DB" w:rsidRDefault="00000000">
      <w:pPr>
        <w:pStyle w:val="BodyText"/>
        <w:spacing w:before="12" w:line="249" w:lineRule="auto"/>
        <w:ind w:right="360" w:firstLine="360"/>
      </w:pPr>
      <w:r>
        <w:t>In describing something as “self-identical” or as “being such that 1 + 1 = 2,”</w:t>
      </w:r>
      <w:r>
        <w:rPr>
          <w:spacing w:val="-1"/>
        </w:rPr>
        <w:t xml:space="preserve"> </w:t>
      </w:r>
      <w:r>
        <w:t>one</w:t>
      </w:r>
      <w:r>
        <w:rPr>
          <w:spacing w:val="-1"/>
        </w:rPr>
        <w:t xml:space="preserve"> </w:t>
      </w:r>
      <w:r>
        <w:t>is</w:t>
      </w:r>
      <w:r>
        <w:rPr>
          <w:spacing w:val="-1"/>
        </w:rPr>
        <w:t xml:space="preserve"> </w:t>
      </w:r>
      <w:r>
        <w:t>not</w:t>
      </w:r>
      <w:r>
        <w:rPr>
          <w:spacing w:val="-1"/>
        </w:rPr>
        <w:t xml:space="preserve"> </w:t>
      </w:r>
      <w:r>
        <w:t>making</w:t>
      </w:r>
      <w:r>
        <w:rPr>
          <w:spacing w:val="-1"/>
        </w:rPr>
        <w:t xml:space="preserve"> </w:t>
      </w:r>
      <w:r>
        <w:t>a</w:t>
      </w:r>
      <w:r>
        <w:rPr>
          <w:spacing w:val="-1"/>
        </w:rPr>
        <w:t xml:space="preserve"> </w:t>
      </w:r>
      <w:r>
        <w:t>causally</w:t>
      </w:r>
      <w:r>
        <w:rPr>
          <w:spacing w:val="-1"/>
        </w:rPr>
        <w:t xml:space="preserve"> </w:t>
      </w:r>
      <w:r>
        <w:t>loaded</w:t>
      </w:r>
      <w:r>
        <w:rPr>
          <w:spacing w:val="-1"/>
        </w:rPr>
        <w:t xml:space="preserve"> </w:t>
      </w:r>
      <w:r>
        <w:t>claim.</w:t>
      </w:r>
      <w:r>
        <w:rPr>
          <w:spacing w:val="-1"/>
        </w:rPr>
        <w:t xml:space="preserve"> </w:t>
      </w:r>
      <w:r>
        <w:t>But</w:t>
      </w:r>
      <w:r>
        <w:rPr>
          <w:spacing w:val="-1"/>
        </w:rPr>
        <w:t xml:space="preserve"> </w:t>
      </w:r>
      <w:r>
        <w:t>those</w:t>
      </w:r>
      <w:r>
        <w:rPr>
          <w:spacing w:val="-1"/>
        </w:rPr>
        <w:t xml:space="preserve"> </w:t>
      </w:r>
      <w:r>
        <w:t>characterizations</w:t>
      </w:r>
      <w:r>
        <w:rPr>
          <w:spacing w:val="-1"/>
        </w:rPr>
        <w:t xml:space="preserve"> </w:t>
      </w:r>
      <w:r>
        <w:t>say nothing</w:t>
      </w:r>
      <w:r>
        <w:rPr>
          <w:spacing w:val="-1"/>
        </w:rPr>
        <w:t xml:space="preserve"> </w:t>
      </w:r>
      <w:r>
        <w:t>about</w:t>
      </w:r>
      <w:r>
        <w:rPr>
          <w:spacing w:val="-1"/>
        </w:rPr>
        <w:t xml:space="preserve"> </w:t>
      </w:r>
      <w:r>
        <w:t>anything.</w:t>
      </w:r>
      <w:r>
        <w:rPr>
          <w:spacing w:val="-1"/>
        </w:rPr>
        <w:t xml:space="preserve"> </w:t>
      </w:r>
      <w:r>
        <w:t>In</w:t>
      </w:r>
      <w:r>
        <w:rPr>
          <w:spacing w:val="-1"/>
        </w:rPr>
        <w:t xml:space="preserve"> </w:t>
      </w:r>
      <w:r>
        <w:t>being</w:t>
      </w:r>
      <w:r>
        <w:rPr>
          <w:spacing w:val="-1"/>
        </w:rPr>
        <w:t xml:space="preserve"> </w:t>
      </w:r>
      <w:r>
        <w:t>told</w:t>
      </w:r>
      <w:r>
        <w:rPr>
          <w:spacing w:val="-1"/>
        </w:rPr>
        <w:t xml:space="preserve"> </w:t>
      </w:r>
      <w:r>
        <w:t>that</w:t>
      </w:r>
      <w:r>
        <w:rPr>
          <w:spacing w:val="-1"/>
        </w:rPr>
        <w:t xml:space="preserve"> </w:t>
      </w:r>
      <w:r>
        <w:t>x</w:t>
      </w:r>
      <w:r>
        <w:rPr>
          <w:spacing w:val="-1"/>
        </w:rPr>
        <w:t xml:space="preserve"> </w:t>
      </w:r>
      <w:r>
        <w:t>is</w:t>
      </w:r>
      <w:r>
        <w:rPr>
          <w:spacing w:val="-1"/>
        </w:rPr>
        <w:t xml:space="preserve"> </w:t>
      </w:r>
      <w:r>
        <w:t>“self-identical,”</w:t>
      </w:r>
      <w:r>
        <w:rPr>
          <w:spacing w:val="-1"/>
        </w:rPr>
        <w:t xml:space="preserve"> </w:t>
      </w:r>
      <w:r>
        <w:t>one</w:t>
      </w:r>
      <w:r>
        <w:rPr>
          <w:spacing w:val="-1"/>
        </w:rPr>
        <w:t xml:space="preserve"> </w:t>
      </w:r>
      <w:r>
        <w:t>isn’t</w:t>
      </w:r>
      <w:r>
        <w:rPr>
          <w:spacing w:val="-1"/>
        </w:rPr>
        <w:t xml:space="preserve"> </w:t>
      </w:r>
      <w:r>
        <w:t>being told</w:t>
      </w:r>
      <w:r>
        <w:rPr>
          <w:spacing w:val="75"/>
        </w:rPr>
        <w:t xml:space="preserve"> </w:t>
      </w:r>
      <w:r>
        <w:t>how</w:t>
      </w:r>
      <w:r>
        <w:rPr>
          <w:spacing w:val="75"/>
        </w:rPr>
        <w:t xml:space="preserve"> </w:t>
      </w:r>
      <w:r>
        <w:t>x</w:t>
      </w:r>
      <w:r>
        <w:rPr>
          <w:spacing w:val="75"/>
        </w:rPr>
        <w:t xml:space="preserve"> </w:t>
      </w:r>
      <w:r>
        <w:t>is</w:t>
      </w:r>
      <w:r>
        <w:rPr>
          <w:spacing w:val="75"/>
        </w:rPr>
        <w:t xml:space="preserve"> </w:t>
      </w:r>
      <w:r>
        <w:t>different</w:t>
      </w:r>
      <w:r>
        <w:rPr>
          <w:spacing w:val="74"/>
        </w:rPr>
        <w:t xml:space="preserve"> </w:t>
      </w:r>
      <w:r>
        <w:t>from,</w:t>
      </w:r>
      <w:r>
        <w:rPr>
          <w:spacing w:val="75"/>
        </w:rPr>
        <w:t xml:space="preserve"> </w:t>
      </w:r>
      <w:r>
        <w:t>or</w:t>
      </w:r>
      <w:r>
        <w:rPr>
          <w:spacing w:val="75"/>
        </w:rPr>
        <w:t xml:space="preserve"> </w:t>
      </w:r>
      <w:r>
        <w:t>similar</w:t>
      </w:r>
      <w:r>
        <w:rPr>
          <w:spacing w:val="75"/>
        </w:rPr>
        <w:t xml:space="preserve"> </w:t>
      </w:r>
      <w:r>
        <w:t>to,</w:t>
      </w:r>
      <w:r>
        <w:rPr>
          <w:spacing w:val="75"/>
        </w:rPr>
        <w:t xml:space="preserve"> </w:t>
      </w:r>
      <w:r>
        <w:t>water</w:t>
      </w:r>
      <w:r>
        <w:rPr>
          <w:spacing w:val="75"/>
        </w:rPr>
        <w:t xml:space="preserve"> </w:t>
      </w:r>
      <w:r>
        <w:t>or</w:t>
      </w:r>
      <w:r>
        <w:rPr>
          <w:spacing w:val="75"/>
        </w:rPr>
        <w:t xml:space="preserve"> </w:t>
      </w:r>
      <w:r>
        <w:t>steel</w:t>
      </w:r>
      <w:r>
        <w:rPr>
          <w:spacing w:val="74"/>
        </w:rPr>
        <w:t xml:space="preserve"> </w:t>
      </w:r>
      <w:r>
        <w:t>or</w:t>
      </w:r>
      <w:r>
        <w:rPr>
          <w:spacing w:val="75"/>
        </w:rPr>
        <w:t xml:space="preserve"> </w:t>
      </w:r>
      <w:r>
        <w:t>the</w:t>
      </w:r>
      <w:r>
        <w:rPr>
          <w:spacing w:val="75"/>
        </w:rPr>
        <w:t xml:space="preserve"> </w:t>
      </w:r>
      <w:r>
        <w:rPr>
          <w:spacing w:val="-2"/>
        </w:rPr>
        <w:t>planet</w:t>
      </w:r>
    </w:p>
    <w:p w14:paraId="7E001EB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B3" w14:textId="77777777" w:rsidR="009A58DB" w:rsidRDefault="00000000">
      <w:pPr>
        <w:pStyle w:val="BodyText"/>
        <w:spacing w:before="65" w:line="249" w:lineRule="auto"/>
        <w:ind w:right="358"/>
      </w:pPr>
      <w:r>
        <w:lastRenderedPageBreak/>
        <w:t>Neptune or anything else. The same is true of all causally sterile characterizations. For that reason, anything that says anything about anything in the spatiotemporal world has causal content.</w:t>
      </w:r>
    </w:p>
    <w:p w14:paraId="7E001EB4" w14:textId="77777777" w:rsidR="009A58DB" w:rsidRDefault="00000000">
      <w:pPr>
        <w:pStyle w:val="Heading1"/>
        <w:numPr>
          <w:ilvl w:val="0"/>
          <w:numId w:val="85"/>
        </w:numPr>
        <w:tabs>
          <w:tab w:val="left" w:pos="990"/>
        </w:tabs>
        <w:spacing w:before="191"/>
      </w:pPr>
      <w:r>
        <w:t>Causation</w:t>
      </w:r>
      <w:r>
        <w:rPr>
          <w:spacing w:val="-7"/>
        </w:rPr>
        <w:t xml:space="preserve"> </w:t>
      </w:r>
      <w:r>
        <w:t>a</w:t>
      </w:r>
      <w:r>
        <w:rPr>
          <w:spacing w:val="-4"/>
        </w:rPr>
        <w:t xml:space="preserve"> </w:t>
      </w:r>
      <w:r>
        <w:t>relation</w:t>
      </w:r>
      <w:r>
        <w:rPr>
          <w:spacing w:val="-4"/>
        </w:rPr>
        <w:t xml:space="preserve"> </w:t>
      </w:r>
      <w:r>
        <w:t>between</w:t>
      </w:r>
      <w:r>
        <w:rPr>
          <w:spacing w:val="-5"/>
        </w:rPr>
        <w:t xml:space="preserve"> </w:t>
      </w:r>
      <w:r>
        <w:t>events,</w:t>
      </w:r>
      <w:r>
        <w:rPr>
          <w:spacing w:val="-4"/>
        </w:rPr>
        <w:t xml:space="preserve"> </w:t>
      </w:r>
      <w:r>
        <w:t>not</w:t>
      </w:r>
      <w:r>
        <w:rPr>
          <w:spacing w:val="-4"/>
        </w:rPr>
        <w:t xml:space="preserve"> </w:t>
      </w:r>
      <w:r>
        <w:rPr>
          <w:spacing w:val="-2"/>
        </w:rPr>
        <w:t>objects</w:t>
      </w:r>
    </w:p>
    <w:p w14:paraId="7E001EB5" w14:textId="77777777" w:rsidR="009A58DB" w:rsidRDefault="00000000">
      <w:pPr>
        <w:pStyle w:val="BodyText"/>
        <w:spacing w:before="139" w:line="249" w:lineRule="auto"/>
        <w:ind w:right="365"/>
      </w:pPr>
      <w:r>
        <w:t>But before we enter these stormy and controversial waters, let us make some non-controversial points about the logic of the concept of causality.</w:t>
      </w:r>
    </w:p>
    <w:p w14:paraId="7E001EB6" w14:textId="77777777" w:rsidR="009A58DB" w:rsidRDefault="00000000">
      <w:pPr>
        <w:pStyle w:val="BodyText"/>
        <w:spacing w:before="3" w:line="249" w:lineRule="auto"/>
        <w:ind w:right="359" w:firstLine="360"/>
      </w:pPr>
      <w:r>
        <w:t xml:space="preserve">First of all, it is only </w:t>
      </w:r>
      <w:r>
        <w:rPr>
          <w:i/>
        </w:rPr>
        <w:t>events</w:t>
      </w:r>
      <w:r>
        <w:rPr>
          <w:i/>
          <w:spacing w:val="-3"/>
        </w:rPr>
        <w:t xml:space="preserve"> </w:t>
      </w:r>
      <w:r>
        <w:t xml:space="preserve">that can be causes. </w:t>
      </w:r>
      <w:r>
        <w:rPr>
          <w:i/>
        </w:rPr>
        <w:t>Objects</w:t>
      </w:r>
      <w:r>
        <w:rPr>
          <w:i/>
          <w:spacing w:val="-3"/>
        </w:rPr>
        <w:t xml:space="preserve"> </w:t>
      </w:r>
      <w:r>
        <w:t>are not causes. The rock is not a cause. The rock didn’t cause the window to break. What did so was some event involving the rock (e.g., the rock’s striking the window at a certain time).</w:t>
      </w:r>
    </w:p>
    <w:p w14:paraId="7E001EB7" w14:textId="77777777" w:rsidR="009A58DB" w:rsidRDefault="00000000">
      <w:pPr>
        <w:pStyle w:val="BodyText"/>
        <w:spacing w:before="5" w:line="249" w:lineRule="auto"/>
        <w:ind w:right="359" w:firstLine="360"/>
      </w:pPr>
      <w:r>
        <w:t>Sometimes the way we speak suggests that, in our view, it is objects, not events, that are causes. For example, people say “Carter was the cause of the recession in the late ‘70s,” “Hitler was the cause of World War II.” But these statements are elliptical for “such and such events involving Carter (Hitler) were responsible for the recession in the late ‘70s (World War II).</w:t>
      </w:r>
    </w:p>
    <w:p w14:paraId="7E001EB8" w14:textId="77777777" w:rsidR="009A58DB" w:rsidRDefault="00000000">
      <w:pPr>
        <w:pStyle w:val="BodyText"/>
        <w:spacing w:before="6" w:line="249" w:lineRule="auto"/>
        <w:ind w:right="359" w:firstLine="360"/>
      </w:pPr>
      <w:r>
        <w:t>In connection with this, we must distinguish between something’s being a cause, on the one hand, and its having causal properties, on the other. Non-causes may have causal properties. The rock isn’t a cause, as we discussed, but it has causal properties. The rock’s having a certain mass is among its causal properties, meaning that its having that mass is, or can be, a (partial) cause. (Not every property of the rock is a cause. The rock is such that it either is or is not identical with the number. But the rock’s having that property doesn’t cause anything to occur.)</w:t>
      </w:r>
    </w:p>
    <w:p w14:paraId="7E001EB9" w14:textId="77777777" w:rsidR="009A58DB" w:rsidRDefault="00000000">
      <w:pPr>
        <w:pStyle w:val="BodyText"/>
        <w:spacing w:before="10" w:line="249" w:lineRule="auto"/>
        <w:ind w:right="358" w:firstLine="360"/>
      </w:pPr>
      <w:r>
        <w:t xml:space="preserve">We must also distinguish conditions from events. A condition is a relatively persistent state (e.g., the room’s having a certain temperature). An event is a </w:t>
      </w:r>
      <w:r>
        <w:rPr>
          <w:i/>
        </w:rPr>
        <w:t>change</w:t>
      </w:r>
      <w:r>
        <w:rPr>
          <w:i/>
          <w:spacing w:val="-4"/>
        </w:rPr>
        <w:t xml:space="preserve"> </w:t>
      </w:r>
      <w:r>
        <w:t xml:space="preserve">in conditions. But conditions </w:t>
      </w:r>
      <w:r>
        <w:rPr>
          <w:i/>
        </w:rPr>
        <w:t>themselves</w:t>
      </w:r>
      <w:r>
        <w:rPr>
          <w:i/>
          <w:spacing w:val="-4"/>
        </w:rPr>
        <w:t xml:space="preserve"> </w:t>
      </w:r>
      <w:r>
        <w:t>seem to be causes. For example, the water’s having a certain temperature is what caused the spaghetti in it to soften. At the same time, conditions appear not to be events. An event is, by definition, a change, whereas a condition is, it would seem, the absence of change. So if conditions are non-events and are also causes, then, contrary to what we earlier said, it isn’t events alone that are causes.</w:t>
      </w:r>
    </w:p>
    <w:p w14:paraId="7E001EBA" w14:textId="77777777" w:rsidR="009A58DB" w:rsidRDefault="00000000">
      <w:pPr>
        <w:pStyle w:val="BodyText"/>
        <w:spacing w:before="10" w:line="249" w:lineRule="auto"/>
        <w:ind w:right="359" w:firstLine="360"/>
      </w:pPr>
      <w:r>
        <w:t xml:space="preserve">This argument overlooks the fact that conditions </w:t>
      </w:r>
      <w:r>
        <w:rPr>
          <w:i/>
        </w:rPr>
        <w:t xml:space="preserve">consist </w:t>
      </w:r>
      <w:r>
        <w:t xml:space="preserve">of events. The water’s having a given temperature </w:t>
      </w:r>
      <w:r>
        <w:rPr>
          <w:i/>
        </w:rPr>
        <w:t xml:space="preserve">consists </w:t>
      </w:r>
      <w:r>
        <w:t>in its containing particles that have certain kinetic properties. There is no heat where there are no events. A</w:t>
      </w:r>
    </w:p>
    <w:p w14:paraId="7E001EB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BC" w14:textId="77777777" w:rsidR="009A58DB" w:rsidRDefault="00000000">
      <w:pPr>
        <w:pStyle w:val="BodyText"/>
        <w:spacing w:before="60" w:line="249" w:lineRule="auto"/>
        <w:ind w:right="358"/>
      </w:pPr>
      <w:r>
        <w:lastRenderedPageBreak/>
        <w:t>person’s being healthy (i.e., being in a condition of health) consists in that person’s body doing what it should. There is no life, and therefore no health, where there are no metabolic events. And although events do necessarily constitute changes, those changes may be, and often are, internal to</w:t>
      </w:r>
      <w:r>
        <w:rPr>
          <w:spacing w:val="40"/>
        </w:rPr>
        <w:t xml:space="preserve"> </w:t>
      </w:r>
      <w:r>
        <w:t xml:space="preserve">conditions of changelessness. For the water’s temperature to remain at 101° for 5 minutes is for the changes undergone by its constituent molecules to remain within certain limits; it is for their mean kinetic energy to stay within certain bounds. For the water’s temperature to change is for their behavior to exceed those limits. What we call “conditions” are patterns of </w:t>
      </w:r>
      <w:r>
        <w:rPr>
          <w:i/>
        </w:rPr>
        <w:t xml:space="preserve">constant </w:t>
      </w:r>
      <w:r>
        <w:t>change (i.e., of change that occurs in a uniform manner). What we call “events”</w:t>
      </w:r>
      <w:r>
        <w:rPr>
          <w:spacing w:val="-4"/>
        </w:rPr>
        <w:t xml:space="preserve"> </w:t>
      </w:r>
      <w:r>
        <w:t>are</w:t>
      </w:r>
      <w:r>
        <w:rPr>
          <w:spacing w:val="-4"/>
        </w:rPr>
        <w:t xml:space="preserve"> </w:t>
      </w:r>
      <w:r>
        <w:rPr>
          <w:i/>
        </w:rPr>
        <w:t xml:space="preserve">changes in the manner of change. </w:t>
      </w:r>
      <w:r>
        <w:t xml:space="preserve">When the water’s temperature increases, the </w:t>
      </w:r>
      <w:r>
        <w:rPr>
          <w:i/>
        </w:rPr>
        <w:t xml:space="preserve">way </w:t>
      </w:r>
      <w:r>
        <w:t xml:space="preserve">its constituent molecules move about changes. When the water’s temperature stays the same, they still move about—they still undergo change—but the </w:t>
      </w:r>
      <w:r>
        <w:rPr>
          <w:i/>
        </w:rPr>
        <w:t xml:space="preserve">way </w:t>
      </w:r>
      <w:r>
        <w:t xml:space="preserve">they do so doesn’t undergo change: those changes fall within certain limits. So conditions </w:t>
      </w:r>
      <w:r>
        <w:rPr>
          <w:i/>
        </w:rPr>
        <w:t xml:space="preserve">can </w:t>
      </w:r>
      <w:r>
        <w:t xml:space="preserve">be causes. But since conditions, far from being the absence of events, </w:t>
      </w:r>
      <w:r>
        <w:rPr>
          <w:i/>
        </w:rPr>
        <w:t xml:space="preserve">consist </w:t>
      </w:r>
      <w:r>
        <w:t xml:space="preserve">of them, this is in no way inconsistent with our contention that it is events, and events alone, that are </w:t>
      </w:r>
      <w:r>
        <w:rPr>
          <w:spacing w:val="-2"/>
        </w:rPr>
        <w:t>causes.</w:t>
      </w:r>
    </w:p>
    <w:p w14:paraId="7E001EBD" w14:textId="77777777" w:rsidR="009A58DB" w:rsidRDefault="00000000">
      <w:pPr>
        <w:pStyle w:val="BodyText"/>
        <w:spacing w:before="27" w:line="249" w:lineRule="auto"/>
        <w:ind w:right="359" w:firstLine="360"/>
      </w:pPr>
      <w:r>
        <w:t xml:space="preserve">Nothing non-spatiotemporal can be a cause. There are causes only where there are changes, and changes happen in time. So universals, if they exist, are causally impotent. Many have concluded that, for this reason, they cannot be known and, therefore, that there is no legitimate reason to grant their existence. The idea is that there must be some kind of a causal connection between two things if one of them is to know of the other. For me to see the rock, it is necessary that light rays bouncing off it affecting certain sensory surfaces of mine. For me to know of Socrates’ existence, I must be on the receiving end of testimony, the vehicle for which is always some causal process (noises, light rays bouncing off of ink marks), that can be traced back to some state of affairs involving Socrates. One obvious way to generalize this line of reasoning is to say that there is </w:t>
      </w:r>
      <w:r>
        <w:rPr>
          <w:i/>
        </w:rPr>
        <w:t xml:space="preserve">never </w:t>
      </w:r>
      <w:r>
        <w:t>awareness where there isn’t a causal nexus.</w:t>
      </w:r>
    </w:p>
    <w:p w14:paraId="7E001EBE" w14:textId="77777777" w:rsidR="009A58DB" w:rsidRDefault="00000000">
      <w:pPr>
        <w:pStyle w:val="BodyText"/>
        <w:spacing w:before="16" w:line="249" w:lineRule="auto"/>
        <w:ind w:right="358" w:firstLine="360"/>
      </w:pPr>
      <w:r>
        <w:t xml:space="preserve">For reasons given in Chapters 8 and 9, this conception of conception is erroneous; under no circumstances does a causal connection between two things </w:t>
      </w:r>
      <w:r>
        <w:rPr>
          <w:i/>
        </w:rPr>
        <w:t xml:space="preserve">by itself </w:t>
      </w:r>
      <w:r>
        <w:t>mediate the one’s having an awareness of the other. There is always a non-causal component to awareness, even to sense-perception, which,</w:t>
      </w:r>
      <w:r>
        <w:rPr>
          <w:spacing w:val="55"/>
        </w:rPr>
        <w:t xml:space="preserve"> </w:t>
      </w:r>
      <w:r>
        <w:t>of</w:t>
      </w:r>
      <w:r>
        <w:rPr>
          <w:spacing w:val="55"/>
        </w:rPr>
        <w:t xml:space="preserve"> </w:t>
      </w:r>
      <w:r>
        <w:t>all</w:t>
      </w:r>
      <w:r>
        <w:rPr>
          <w:spacing w:val="55"/>
        </w:rPr>
        <w:t xml:space="preserve"> </w:t>
      </w:r>
      <w:r>
        <w:t>the</w:t>
      </w:r>
      <w:r>
        <w:rPr>
          <w:spacing w:val="55"/>
        </w:rPr>
        <w:t xml:space="preserve"> </w:t>
      </w:r>
      <w:r>
        <w:t>many</w:t>
      </w:r>
      <w:r>
        <w:rPr>
          <w:spacing w:val="55"/>
        </w:rPr>
        <w:t xml:space="preserve"> </w:t>
      </w:r>
      <w:r>
        <w:t>forms</w:t>
      </w:r>
      <w:r>
        <w:rPr>
          <w:spacing w:val="55"/>
        </w:rPr>
        <w:t xml:space="preserve"> </w:t>
      </w:r>
      <w:r>
        <w:t>of</w:t>
      </w:r>
      <w:r>
        <w:rPr>
          <w:spacing w:val="55"/>
        </w:rPr>
        <w:t xml:space="preserve"> </w:t>
      </w:r>
      <w:r>
        <w:t>awareness,</w:t>
      </w:r>
      <w:r>
        <w:rPr>
          <w:spacing w:val="55"/>
        </w:rPr>
        <w:t xml:space="preserve"> </w:t>
      </w:r>
      <w:r>
        <w:t>is</w:t>
      </w:r>
      <w:r>
        <w:rPr>
          <w:spacing w:val="55"/>
        </w:rPr>
        <w:t xml:space="preserve"> </w:t>
      </w:r>
      <w:r>
        <w:t>the</w:t>
      </w:r>
      <w:r>
        <w:rPr>
          <w:spacing w:val="55"/>
        </w:rPr>
        <w:t xml:space="preserve"> </w:t>
      </w:r>
      <w:r>
        <w:t>one</w:t>
      </w:r>
      <w:r>
        <w:rPr>
          <w:spacing w:val="55"/>
        </w:rPr>
        <w:t xml:space="preserve"> </w:t>
      </w:r>
      <w:r>
        <w:t>in</w:t>
      </w:r>
      <w:r>
        <w:rPr>
          <w:spacing w:val="55"/>
        </w:rPr>
        <w:t xml:space="preserve"> </w:t>
      </w:r>
      <w:r>
        <w:t>which</w:t>
      </w:r>
      <w:r>
        <w:rPr>
          <w:spacing w:val="55"/>
        </w:rPr>
        <w:t xml:space="preserve"> </w:t>
      </w:r>
      <w:r>
        <w:t>a</w:t>
      </w:r>
      <w:r>
        <w:rPr>
          <w:spacing w:val="55"/>
        </w:rPr>
        <w:t xml:space="preserve"> </w:t>
      </w:r>
      <w:r>
        <w:t>causal</w:t>
      </w:r>
    </w:p>
    <w:p w14:paraId="7E001EB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C0" w14:textId="77777777" w:rsidR="009A58DB" w:rsidRDefault="00000000">
      <w:pPr>
        <w:pStyle w:val="BodyText"/>
        <w:spacing w:before="65" w:line="249" w:lineRule="auto"/>
        <w:ind w:right="368"/>
      </w:pPr>
      <w:r>
        <w:lastRenderedPageBreak/>
        <w:t>connection between subject and object is most obvious. Further, for reasons given in Chapter 2, we do have good reasons to countenance the existence of universals, and no good reasons not to.</w:t>
      </w:r>
    </w:p>
    <w:p w14:paraId="7E001EC1" w14:textId="77777777" w:rsidR="009A58DB" w:rsidRDefault="00000000">
      <w:pPr>
        <w:pStyle w:val="Heading1"/>
        <w:numPr>
          <w:ilvl w:val="0"/>
          <w:numId w:val="85"/>
        </w:numPr>
        <w:tabs>
          <w:tab w:val="left" w:pos="990"/>
        </w:tabs>
        <w:spacing w:before="191"/>
      </w:pPr>
      <w:r>
        <w:t>Causes</w:t>
      </w:r>
      <w:r>
        <w:rPr>
          <w:spacing w:val="-6"/>
        </w:rPr>
        <w:t xml:space="preserve"> </w:t>
      </w:r>
      <w:r>
        <w:t>as</w:t>
      </w:r>
      <w:r>
        <w:rPr>
          <w:spacing w:val="-5"/>
        </w:rPr>
        <w:t xml:space="preserve"> </w:t>
      </w:r>
      <w:r>
        <w:t>INUS-</w:t>
      </w:r>
      <w:r>
        <w:rPr>
          <w:spacing w:val="-2"/>
        </w:rPr>
        <w:t>conditions</w:t>
      </w:r>
    </w:p>
    <w:p w14:paraId="7E001EC2" w14:textId="77777777" w:rsidR="009A58DB" w:rsidRDefault="00000000">
      <w:pPr>
        <w:pStyle w:val="BodyText"/>
        <w:spacing w:before="139" w:line="249" w:lineRule="auto"/>
        <w:ind w:right="358"/>
        <w:rPr>
          <w:position w:val="21"/>
        </w:rPr>
      </w:pPr>
      <w:r>
        <w:t xml:space="preserve">The things we describe as “causes” are really </w:t>
      </w:r>
      <w:r>
        <w:rPr>
          <w:i/>
        </w:rPr>
        <w:t xml:space="preserve">partial </w:t>
      </w:r>
      <w:r>
        <w:t xml:space="preserve">causes. Supposing it correct, the sentence “Smith’s drunkenness is what caused the accident” must really be elliptical for “Smith’s drunkenness is a </w:t>
      </w:r>
      <w:r>
        <w:rPr>
          <w:i/>
        </w:rPr>
        <w:t xml:space="preserve">part </w:t>
      </w:r>
      <w:r>
        <w:t xml:space="preserve">of what caused the accident.” Had he been driving a car with new tires on an open country road, instead of a car with bald tires on a busy city street, Smith might not have crashed </w:t>
      </w:r>
      <w:r>
        <w:rPr>
          <w:i/>
        </w:rPr>
        <w:t xml:space="preserve">even </w:t>
      </w:r>
      <w:r>
        <w:t xml:space="preserve">if he’d been drunker than he actually was. So it wasn’t Smith’s drunkenness or any other one thing that caused the crash, and was instead a confluence of circumstances. In some contexts—for example, those of a legal or ethical or psychological nature—the </w:t>
      </w:r>
      <w:r>
        <w:rPr>
          <w:i/>
        </w:rPr>
        <w:t xml:space="preserve">relevant </w:t>
      </w:r>
      <w:r>
        <w:t xml:space="preserve">partial cause might well be Smith’s drunkenness; and that seems to be what we mean when we say that it was </w:t>
      </w:r>
      <w:r>
        <w:rPr>
          <w:i/>
        </w:rPr>
        <w:t xml:space="preserve">the </w:t>
      </w:r>
      <w:r>
        <w:t>cause</w:t>
      </w:r>
      <w:bookmarkStart w:id="422" w:name="_bookmark422"/>
      <w:bookmarkEnd w:id="422"/>
      <w:r>
        <w:t>.</w:t>
      </w:r>
      <w:r>
        <w:rPr>
          <w:color w:val="0562C1"/>
          <w:position w:val="21"/>
          <w:u w:val="single" w:color="0562C1"/>
        </w:rPr>
        <w:t>[304]</w:t>
      </w:r>
    </w:p>
    <w:p w14:paraId="7E001EC3" w14:textId="77777777" w:rsidR="009A58DB" w:rsidRDefault="00000000">
      <w:pPr>
        <w:pStyle w:val="BodyText"/>
        <w:spacing w:before="14" w:line="249" w:lineRule="auto"/>
        <w:ind w:right="362" w:firstLine="360"/>
      </w:pPr>
      <w:r>
        <w:t xml:space="preserve">The </w:t>
      </w:r>
      <w:r>
        <w:rPr>
          <w:i/>
        </w:rPr>
        <w:t xml:space="preserve">complete </w:t>
      </w:r>
      <w:r>
        <w:t xml:space="preserve">cause of anything is very hard to identify. It is a matter of philosophical and scientific debate whether, given an event E happening at t, anything other than the entire state of the universe just prior to t can be the </w:t>
      </w:r>
      <w:r>
        <w:rPr>
          <w:i/>
        </w:rPr>
        <w:t xml:space="preserve">complete </w:t>
      </w:r>
      <w:r>
        <w:t>cause of E. So for all intents and purposes, the expression “</w:t>
      </w:r>
      <w:r>
        <w:rPr>
          <w:i/>
        </w:rPr>
        <w:t>the</w:t>
      </w:r>
      <w:r>
        <w:rPr>
          <w:i/>
          <w:spacing w:val="40"/>
        </w:rPr>
        <w:t xml:space="preserve"> </w:t>
      </w:r>
      <w:r>
        <w:t xml:space="preserve">cause of occurrence E” never refers to a </w:t>
      </w:r>
      <w:r>
        <w:rPr>
          <w:i/>
        </w:rPr>
        <w:t xml:space="preserve">sufficient </w:t>
      </w:r>
      <w:r>
        <w:t>condition for E.</w:t>
      </w:r>
    </w:p>
    <w:p w14:paraId="7E001EC4" w14:textId="77777777" w:rsidR="009A58DB" w:rsidRDefault="00000000">
      <w:pPr>
        <w:pStyle w:val="BodyText"/>
        <w:spacing w:before="6" w:line="249" w:lineRule="auto"/>
        <w:ind w:right="361" w:firstLine="360"/>
      </w:pPr>
      <w:r>
        <w:t xml:space="preserve">“Even though Smith’s being drunk wasn’t </w:t>
      </w:r>
      <w:r>
        <w:rPr>
          <w:i/>
        </w:rPr>
        <w:t xml:space="preserve">sufficient </w:t>
      </w:r>
      <w:r>
        <w:t xml:space="preserve">for his crashing the car,” it will be thought, “it was </w:t>
      </w:r>
      <w:r>
        <w:rPr>
          <w:i/>
        </w:rPr>
        <w:t xml:space="preserve">necessary </w:t>
      </w:r>
      <w:r>
        <w:t xml:space="preserve">for it. Had he </w:t>
      </w:r>
      <w:r>
        <w:rPr>
          <w:i/>
        </w:rPr>
        <w:t xml:space="preserve">not </w:t>
      </w:r>
      <w:r>
        <w:t>been drunk, he wouldn’t have crashed.” This is false. Smith’s being drunk wasn’t necessary for his crashing. If he had been sober, but had been driving too fast on an icy road, he might well have crashed.</w:t>
      </w:r>
    </w:p>
    <w:p w14:paraId="7E001EC5" w14:textId="77777777" w:rsidR="009A58DB" w:rsidRDefault="00000000">
      <w:pPr>
        <w:pStyle w:val="BodyText"/>
        <w:spacing w:before="6" w:line="249" w:lineRule="auto"/>
        <w:ind w:right="358" w:firstLine="360"/>
      </w:pPr>
      <w:r>
        <w:t>J.L. Mackie (1917–1981) made it clear what is meant by “the cause of E,” as this expression is typically used. Smith’s being drunk wasn’t a necessary condition</w:t>
      </w:r>
      <w:r>
        <w:rPr>
          <w:spacing w:val="-5"/>
        </w:rPr>
        <w:t xml:space="preserve"> </w:t>
      </w:r>
      <w:r>
        <w:t>for</w:t>
      </w:r>
      <w:r>
        <w:rPr>
          <w:spacing w:val="-4"/>
        </w:rPr>
        <w:t xml:space="preserve"> </w:t>
      </w:r>
      <w:r>
        <w:t>his</w:t>
      </w:r>
      <w:r>
        <w:rPr>
          <w:spacing w:val="-4"/>
        </w:rPr>
        <w:t xml:space="preserve"> </w:t>
      </w:r>
      <w:r>
        <w:t>crashing.</w:t>
      </w:r>
      <w:bookmarkStart w:id="423" w:name="_bookmark423"/>
      <w:bookmarkEnd w:id="423"/>
      <w:r>
        <w:rPr>
          <w:color w:val="0562C1"/>
          <w:position w:val="21"/>
          <w:u w:val="single" w:color="0562C1"/>
        </w:rPr>
        <w:t>[305]</w:t>
      </w:r>
      <w:r>
        <w:rPr>
          <w:color w:val="0562C1"/>
          <w:spacing w:val="-19"/>
          <w:position w:val="21"/>
        </w:rPr>
        <w:t xml:space="preserve"> </w:t>
      </w:r>
      <w:r>
        <w:t xml:space="preserve">He could have crashed if sober. But his being drunk was a necessary condition for his crashing </w:t>
      </w:r>
      <w:r>
        <w:rPr>
          <w:i/>
        </w:rPr>
        <w:t>under the circumstances</w:t>
      </w:r>
      <w:r>
        <w:t>. Given</w:t>
      </w:r>
      <w:r>
        <w:rPr>
          <w:spacing w:val="-3"/>
        </w:rPr>
        <w:t xml:space="preserve"> </w:t>
      </w:r>
      <w:r>
        <w:t>that</w:t>
      </w:r>
      <w:r>
        <w:rPr>
          <w:spacing w:val="-3"/>
        </w:rPr>
        <w:t xml:space="preserve"> </w:t>
      </w:r>
      <w:r>
        <w:t>he</w:t>
      </w:r>
      <w:r>
        <w:rPr>
          <w:spacing w:val="-3"/>
        </w:rPr>
        <w:t xml:space="preserve"> </w:t>
      </w:r>
      <w:r>
        <w:t>wasn’t</w:t>
      </w:r>
      <w:r>
        <w:rPr>
          <w:spacing w:val="-3"/>
        </w:rPr>
        <w:t xml:space="preserve"> </w:t>
      </w:r>
      <w:r>
        <w:t>driving</w:t>
      </w:r>
      <w:r>
        <w:rPr>
          <w:spacing w:val="-3"/>
        </w:rPr>
        <w:t xml:space="preserve"> </w:t>
      </w:r>
      <w:r>
        <w:t>a</w:t>
      </w:r>
      <w:r>
        <w:rPr>
          <w:spacing w:val="-3"/>
        </w:rPr>
        <w:t xml:space="preserve"> </w:t>
      </w:r>
      <w:r>
        <w:t>high-performance</w:t>
      </w:r>
      <w:r>
        <w:rPr>
          <w:spacing w:val="-3"/>
        </w:rPr>
        <w:t xml:space="preserve"> </w:t>
      </w:r>
      <w:r>
        <w:t>car</w:t>
      </w:r>
      <w:r>
        <w:rPr>
          <w:spacing w:val="-3"/>
        </w:rPr>
        <w:t xml:space="preserve"> </w:t>
      </w:r>
      <w:r>
        <w:t>on</w:t>
      </w:r>
      <w:r>
        <w:rPr>
          <w:spacing w:val="-3"/>
        </w:rPr>
        <w:t xml:space="preserve"> </w:t>
      </w:r>
      <w:r>
        <w:t>a</w:t>
      </w:r>
      <w:r>
        <w:rPr>
          <w:spacing w:val="-3"/>
        </w:rPr>
        <w:t xml:space="preserve"> </w:t>
      </w:r>
      <w:r>
        <w:t>country</w:t>
      </w:r>
      <w:r>
        <w:rPr>
          <w:spacing w:val="-3"/>
        </w:rPr>
        <w:t xml:space="preserve"> </w:t>
      </w:r>
      <w:r>
        <w:t>road</w:t>
      </w:r>
      <w:r>
        <w:rPr>
          <w:spacing w:val="-3"/>
        </w:rPr>
        <w:t xml:space="preserve"> </w:t>
      </w:r>
      <w:r>
        <w:t xml:space="preserve">during a clear day, and given that he </w:t>
      </w:r>
      <w:r>
        <w:rPr>
          <w:i/>
        </w:rPr>
        <w:t xml:space="preserve">was </w:t>
      </w:r>
      <w:r>
        <w:t xml:space="preserve">driving a low-performance car on a rainy night on a busy street, Smith’s being drunk </w:t>
      </w:r>
      <w:r>
        <w:rPr>
          <w:i/>
        </w:rPr>
        <w:t xml:space="preserve">was, </w:t>
      </w:r>
      <w:r>
        <w:t>we may suppose, a</w:t>
      </w:r>
      <w:r>
        <w:rPr>
          <w:spacing w:val="40"/>
        </w:rPr>
        <w:t xml:space="preserve"> </w:t>
      </w:r>
      <w:r>
        <w:t>necessary condition for his crashing. For it could be that, had he been sober,</w:t>
      </w:r>
    </w:p>
    <w:p w14:paraId="7E001EC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C7" w14:textId="77777777" w:rsidR="009A58DB" w:rsidRDefault="00000000">
      <w:pPr>
        <w:pStyle w:val="BodyText"/>
        <w:spacing w:before="60" w:line="249" w:lineRule="auto"/>
        <w:ind w:right="357"/>
      </w:pPr>
      <w:r>
        <w:lastRenderedPageBreak/>
        <w:t xml:space="preserve">Smith would have narrowly avoided crashing, despite the rain, darkness, and faulty steering mechanism, and that it was only these things </w:t>
      </w:r>
      <w:r>
        <w:rPr>
          <w:i/>
        </w:rPr>
        <w:t xml:space="preserve">plus </w:t>
      </w:r>
      <w:r>
        <w:t xml:space="preserve">Smith’s drunkenness that led to the crash. So, if it is to be correct, the statement “Smith’s drunkenness was </w:t>
      </w:r>
      <w:r>
        <w:rPr>
          <w:i/>
        </w:rPr>
        <w:t xml:space="preserve">the </w:t>
      </w:r>
      <w:r>
        <w:t xml:space="preserve">cause of the crash” must be taken to mean Smith’s being drunk was </w:t>
      </w:r>
      <w:r>
        <w:rPr>
          <w:i/>
        </w:rPr>
        <w:t xml:space="preserve">under the operative circumstances </w:t>
      </w:r>
      <w:r>
        <w:t xml:space="preserve">necessary for his </w:t>
      </w:r>
      <w:r>
        <w:rPr>
          <w:spacing w:val="-2"/>
        </w:rPr>
        <w:t>crashing.</w:t>
      </w:r>
    </w:p>
    <w:p w14:paraId="7E001EC8" w14:textId="77777777" w:rsidR="009A58DB" w:rsidRDefault="00000000">
      <w:pPr>
        <w:pStyle w:val="BodyText"/>
        <w:spacing w:before="12" w:line="249" w:lineRule="auto"/>
        <w:ind w:right="354" w:firstLine="360"/>
      </w:pPr>
      <w:r>
        <w:t>There are just a few more points to make. First, given that Smith did crash the car, it follows trivially that</w:t>
      </w:r>
      <w:r>
        <w:rPr>
          <w:spacing w:val="-19"/>
        </w:rPr>
        <w:t xml:space="preserve"> </w:t>
      </w:r>
      <w:r>
        <w:rPr>
          <w:i/>
        </w:rPr>
        <w:t xml:space="preserve">a </w:t>
      </w:r>
      <w:r>
        <w:t>sufficient condition for his doing so was fulfilled. Second, whatever that sufficient condition was, it wasn’t</w:t>
      </w:r>
      <w:r>
        <w:rPr>
          <w:spacing w:val="-19"/>
        </w:rPr>
        <w:t xml:space="preserve"> </w:t>
      </w:r>
      <w:r>
        <w:rPr>
          <w:i/>
        </w:rPr>
        <w:t xml:space="preserve">necessary. </w:t>
      </w:r>
      <w:r>
        <w:t>Suppose that what led to the crash was Smith’s driving a low-performance vehicle on a dark, rainy night, while drunk. Even though, by hypothesis, that confluence</w:t>
      </w:r>
      <w:r>
        <w:rPr>
          <w:spacing w:val="-19"/>
        </w:rPr>
        <w:t xml:space="preserve"> </w:t>
      </w:r>
      <w:r>
        <w:t>of</w:t>
      </w:r>
      <w:r>
        <w:rPr>
          <w:spacing w:val="-19"/>
        </w:rPr>
        <w:t xml:space="preserve"> </w:t>
      </w:r>
      <w:r>
        <w:t>circumstance</w:t>
      </w:r>
      <w:r>
        <w:rPr>
          <w:spacing w:val="-19"/>
        </w:rPr>
        <w:t xml:space="preserve"> </w:t>
      </w:r>
      <w:r>
        <w:t>was</w:t>
      </w:r>
      <w:r>
        <w:rPr>
          <w:spacing w:val="-18"/>
        </w:rPr>
        <w:t xml:space="preserve"> </w:t>
      </w:r>
      <w:r>
        <w:t>sufficient</w:t>
      </w:r>
      <w:r>
        <w:rPr>
          <w:spacing w:val="-19"/>
        </w:rPr>
        <w:t xml:space="preserve"> </w:t>
      </w:r>
      <w:r>
        <w:t>for</w:t>
      </w:r>
      <w:r>
        <w:rPr>
          <w:spacing w:val="-19"/>
        </w:rPr>
        <w:t xml:space="preserve"> </w:t>
      </w:r>
      <w:r>
        <w:t>his</w:t>
      </w:r>
      <w:r>
        <w:rPr>
          <w:spacing w:val="-19"/>
        </w:rPr>
        <w:t xml:space="preserve"> </w:t>
      </w:r>
      <w:r>
        <w:t>crashing,</w:t>
      </w:r>
      <w:r>
        <w:rPr>
          <w:spacing w:val="-18"/>
        </w:rPr>
        <w:t xml:space="preserve"> </w:t>
      </w:r>
      <w:r>
        <w:t>it</w:t>
      </w:r>
      <w:r>
        <w:rPr>
          <w:spacing w:val="-19"/>
        </w:rPr>
        <w:t xml:space="preserve"> </w:t>
      </w:r>
      <w:r>
        <w:t>wasn’t</w:t>
      </w:r>
      <w:r>
        <w:rPr>
          <w:spacing w:val="-19"/>
        </w:rPr>
        <w:t xml:space="preserve"> </w:t>
      </w:r>
      <w:r>
        <w:rPr>
          <w:i/>
        </w:rPr>
        <w:t xml:space="preserve">necessary. </w:t>
      </w:r>
      <w:r>
        <w:t>Smith might have crashed even while, stone cold sober, he’d been driving a high-performance</w:t>
      </w:r>
      <w:r>
        <w:rPr>
          <w:spacing w:val="-8"/>
        </w:rPr>
        <w:t xml:space="preserve"> </w:t>
      </w:r>
      <w:r>
        <w:t>vehicle</w:t>
      </w:r>
      <w:r>
        <w:rPr>
          <w:spacing w:val="-8"/>
        </w:rPr>
        <w:t xml:space="preserve"> </w:t>
      </w:r>
      <w:r>
        <w:t>in</w:t>
      </w:r>
      <w:r>
        <w:rPr>
          <w:spacing w:val="-8"/>
        </w:rPr>
        <w:t xml:space="preserve"> </w:t>
      </w:r>
      <w:r>
        <w:t>broad</w:t>
      </w:r>
      <w:r>
        <w:rPr>
          <w:spacing w:val="-8"/>
        </w:rPr>
        <w:t xml:space="preserve"> </w:t>
      </w:r>
      <w:r>
        <w:t>daylight.</w:t>
      </w:r>
    </w:p>
    <w:p w14:paraId="7E001EC9" w14:textId="77777777" w:rsidR="009A58DB" w:rsidRDefault="00000000">
      <w:pPr>
        <w:pStyle w:val="BodyText"/>
        <w:spacing w:before="10" w:line="249" w:lineRule="auto"/>
        <w:ind w:right="359" w:firstLine="360"/>
      </w:pPr>
      <w:r>
        <w:t>Thus,</w:t>
      </w:r>
      <w:r>
        <w:rPr>
          <w:spacing w:val="-15"/>
        </w:rPr>
        <w:t xml:space="preserve"> </w:t>
      </w:r>
      <w:r>
        <w:t>Smith’s</w:t>
      </w:r>
      <w:r>
        <w:rPr>
          <w:spacing w:val="-1"/>
        </w:rPr>
        <w:t xml:space="preserve"> </w:t>
      </w:r>
      <w:r>
        <w:t>being</w:t>
      </w:r>
      <w:r>
        <w:rPr>
          <w:spacing w:val="-1"/>
        </w:rPr>
        <w:t xml:space="preserve"> </w:t>
      </w:r>
      <w:r>
        <w:t>drunk</w:t>
      </w:r>
      <w:r>
        <w:rPr>
          <w:spacing w:val="-1"/>
        </w:rPr>
        <w:t xml:space="preserve"> </w:t>
      </w:r>
      <w:r>
        <w:t>was an</w:t>
      </w:r>
      <w:r>
        <w:rPr>
          <w:spacing w:val="-19"/>
        </w:rPr>
        <w:t xml:space="preserve"> </w:t>
      </w:r>
      <w:r>
        <w:rPr>
          <w:i/>
        </w:rPr>
        <w:t>insufficient</w:t>
      </w:r>
      <w:r>
        <w:rPr>
          <w:i/>
          <w:spacing w:val="-19"/>
        </w:rPr>
        <w:t xml:space="preserve"> </w:t>
      </w:r>
      <w:r>
        <w:t>but</w:t>
      </w:r>
      <w:r>
        <w:rPr>
          <w:spacing w:val="-19"/>
        </w:rPr>
        <w:t xml:space="preserve"> </w:t>
      </w:r>
      <w:r>
        <w:rPr>
          <w:i/>
        </w:rPr>
        <w:t>non-redundant</w:t>
      </w:r>
      <w:r>
        <w:rPr>
          <w:i/>
          <w:spacing w:val="-18"/>
        </w:rPr>
        <w:t xml:space="preserve"> </w:t>
      </w:r>
      <w:r>
        <w:t xml:space="preserve">part of an </w:t>
      </w:r>
      <w:r>
        <w:rPr>
          <w:i/>
        </w:rPr>
        <w:t>unnecessary</w:t>
      </w:r>
      <w:r>
        <w:rPr>
          <w:i/>
          <w:spacing w:val="-19"/>
        </w:rPr>
        <w:t xml:space="preserve"> </w:t>
      </w:r>
      <w:r>
        <w:t>but</w:t>
      </w:r>
      <w:r>
        <w:rPr>
          <w:spacing w:val="-19"/>
        </w:rPr>
        <w:t xml:space="preserve"> </w:t>
      </w:r>
      <w:r>
        <w:rPr>
          <w:i/>
        </w:rPr>
        <w:t>sufficient</w:t>
      </w:r>
      <w:r>
        <w:rPr>
          <w:i/>
          <w:spacing w:val="-19"/>
        </w:rPr>
        <w:t xml:space="preserve"> </w:t>
      </w:r>
      <w:r>
        <w:t>condition</w:t>
      </w:r>
      <w:r>
        <w:rPr>
          <w:spacing w:val="-18"/>
        </w:rPr>
        <w:t xml:space="preserve"> </w:t>
      </w:r>
      <w:r>
        <w:t>for</w:t>
      </w:r>
      <w:r>
        <w:rPr>
          <w:spacing w:val="-4"/>
        </w:rPr>
        <w:t xml:space="preserve"> </w:t>
      </w:r>
      <w:r>
        <w:t>his</w:t>
      </w:r>
      <w:r>
        <w:rPr>
          <w:spacing w:val="-2"/>
        </w:rPr>
        <w:t xml:space="preserve"> </w:t>
      </w:r>
      <w:r>
        <w:t>crashing.</w:t>
      </w:r>
      <w:r>
        <w:rPr>
          <w:spacing w:val="-2"/>
        </w:rPr>
        <w:t xml:space="preserve"> </w:t>
      </w:r>
      <w:r>
        <w:t>Smith’s</w:t>
      </w:r>
      <w:r>
        <w:rPr>
          <w:spacing w:val="-2"/>
        </w:rPr>
        <w:t xml:space="preserve"> </w:t>
      </w:r>
      <w:r>
        <w:t>being</w:t>
      </w:r>
      <w:r>
        <w:rPr>
          <w:spacing w:val="-2"/>
        </w:rPr>
        <w:t xml:space="preserve"> </w:t>
      </w:r>
      <w:r>
        <w:t>drunk</w:t>
      </w:r>
      <w:r>
        <w:rPr>
          <w:spacing w:val="-2"/>
        </w:rPr>
        <w:t xml:space="preserve"> </w:t>
      </w:r>
      <w:r>
        <w:t>was thus</w:t>
      </w:r>
      <w:r>
        <w:rPr>
          <w:spacing w:val="-16"/>
        </w:rPr>
        <w:t xml:space="preserve"> </w:t>
      </w:r>
      <w:r>
        <w:t>an</w:t>
      </w:r>
      <w:r>
        <w:rPr>
          <w:spacing w:val="-16"/>
        </w:rPr>
        <w:t xml:space="preserve"> </w:t>
      </w:r>
      <w:r>
        <w:t>“INUS-condition”</w:t>
      </w:r>
      <w:r>
        <w:rPr>
          <w:spacing w:val="-16"/>
        </w:rPr>
        <w:t xml:space="preserve"> </w:t>
      </w:r>
      <w:r>
        <w:t>for</w:t>
      </w:r>
      <w:r>
        <w:rPr>
          <w:spacing w:val="-16"/>
        </w:rPr>
        <w:t xml:space="preserve"> </w:t>
      </w:r>
      <w:r>
        <w:t>his</w:t>
      </w:r>
      <w:r>
        <w:rPr>
          <w:spacing w:val="-16"/>
        </w:rPr>
        <w:t xml:space="preserve"> </w:t>
      </w:r>
      <w:r>
        <w:t>crashing.</w:t>
      </w:r>
      <w:r>
        <w:rPr>
          <w:spacing w:val="-16"/>
        </w:rPr>
        <w:t xml:space="preserve"> </w:t>
      </w:r>
      <w:r>
        <w:t>For</w:t>
      </w:r>
      <w:r>
        <w:rPr>
          <w:spacing w:val="-16"/>
        </w:rPr>
        <w:t xml:space="preserve"> </w:t>
      </w:r>
      <w:r>
        <w:t>this</w:t>
      </w:r>
      <w:r>
        <w:rPr>
          <w:spacing w:val="-16"/>
        </w:rPr>
        <w:t xml:space="preserve"> </w:t>
      </w:r>
      <w:r>
        <w:t>reason,</w:t>
      </w:r>
      <w:r>
        <w:rPr>
          <w:spacing w:val="-16"/>
        </w:rPr>
        <w:t xml:space="preserve"> </w:t>
      </w:r>
      <w:r>
        <w:t>Mackie</w:t>
      </w:r>
      <w:r>
        <w:rPr>
          <w:spacing w:val="-16"/>
        </w:rPr>
        <w:t xml:space="preserve"> </w:t>
      </w:r>
      <w:r>
        <w:t>says</w:t>
      </w:r>
      <w:r>
        <w:rPr>
          <w:spacing w:val="-16"/>
        </w:rPr>
        <w:t xml:space="preserve"> </w:t>
      </w:r>
      <w:r>
        <w:t>that,</w:t>
      </w:r>
      <w:r>
        <w:rPr>
          <w:spacing w:val="-16"/>
        </w:rPr>
        <w:t xml:space="preserve"> </w:t>
      </w:r>
      <w:r>
        <w:t>if it</w:t>
      </w:r>
      <w:r>
        <w:rPr>
          <w:spacing w:val="-14"/>
        </w:rPr>
        <w:t xml:space="preserve"> </w:t>
      </w:r>
      <w:r>
        <w:t>is</w:t>
      </w:r>
      <w:r>
        <w:rPr>
          <w:spacing w:val="-12"/>
        </w:rPr>
        <w:t xml:space="preserve"> </w:t>
      </w:r>
      <w:r>
        <w:t>to</w:t>
      </w:r>
      <w:r>
        <w:rPr>
          <w:spacing w:val="-12"/>
        </w:rPr>
        <w:t xml:space="preserve"> </w:t>
      </w:r>
      <w:r>
        <w:t>express</w:t>
      </w:r>
      <w:r>
        <w:rPr>
          <w:spacing w:val="-12"/>
        </w:rPr>
        <w:t xml:space="preserve"> </w:t>
      </w:r>
      <w:r>
        <w:t>a</w:t>
      </w:r>
      <w:r>
        <w:rPr>
          <w:spacing w:val="-12"/>
        </w:rPr>
        <w:t xml:space="preserve"> </w:t>
      </w:r>
      <w:r>
        <w:t>true</w:t>
      </w:r>
      <w:r>
        <w:rPr>
          <w:spacing w:val="-12"/>
        </w:rPr>
        <w:t xml:space="preserve"> </w:t>
      </w:r>
      <w:r>
        <w:t>statement,</w:t>
      </w:r>
      <w:r>
        <w:rPr>
          <w:spacing w:val="-12"/>
        </w:rPr>
        <w:t xml:space="preserve"> </w:t>
      </w:r>
      <w:r>
        <w:t>“E</w:t>
      </w:r>
      <w:r>
        <w:rPr>
          <w:spacing w:val="-12"/>
        </w:rPr>
        <w:t xml:space="preserve"> </w:t>
      </w:r>
      <w:r>
        <w:t>was</w:t>
      </w:r>
      <w:r>
        <w:rPr>
          <w:spacing w:val="-19"/>
        </w:rPr>
        <w:t xml:space="preserve"> </w:t>
      </w:r>
      <w:r>
        <w:rPr>
          <w:i/>
        </w:rPr>
        <w:t>the</w:t>
      </w:r>
      <w:r>
        <w:rPr>
          <w:i/>
          <w:spacing w:val="-19"/>
        </w:rPr>
        <w:t xml:space="preserve"> </w:t>
      </w:r>
      <w:r>
        <w:t>cause</w:t>
      </w:r>
      <w:r>
        <w:rPr>
          <w:spacing w:val="-11"/>
        </w:rPr>
        <w:t xml:space="preserve"> </w:t>
      </w:r>
      <w:r>
        <w:t>of</w:t>
      </w:r>
      <w:r>
        <w:rPr>
          <w:spacing w:val="-11"/>
        </w:rPr>
        <w:t xml:space="preserve"> </w:t>
      </w:r>
      <w:r>
        <w:t>event</w:t>
      </w:r>
      <w:r>
        <w:rPr>
          <w:spacing w:val="-11"/>
        </w:rPr>
        <w:t xml:space="preserve"> </w:t>
      </w:r>
      <w:r>
        <w:t>E*”</w:t>
      </w:r>
      <w:r>
        <w:rPr>
          <w:spacing w:val="-11"/>
        </w:rPr>
        <w:t xml:space="preserve"> </w:t>
      </w:r>
      <w:r>
        <w:t>must</w:t>
      </w:r>
      <w:r>
        <w:rPr>
          <w:spacing w:val="-11"/>
        </w:rPr>
        <w:t xml:space="preserve"> </w:t>
      </w:r>
      <w:r>
        <w:t>be</w:t>
      </w:r>
      <w:r>
        <w:rPr>
          <w:spacing w:val="-11"/>
        </w:rPr>
        <w:t xml:space="preserve"> </w:t>
      </w:r>
      <w:r>
        <w:t>taken</w:t>
      </w:r>
      <w:r>
        <w:rPr>
          <w:spacing w:val="-11"/>
        </w:rPr>
        <w:t xml:space="preserve"> </w:t>
      </w:r>
      <w:r>
        <w:t>to mean</w:t>
      </w:r>
      <w:r>
        <w:rPr>
          <w:spacing w:val="-6"/>
        </w:rPr>
        <w:t xml:space="preserve"> </w:t>
      </w:r>
      <w:r>
        <w:t>that</w:t>
      </w:r>
      <w:r>
        <w:rPr>
          <w:spacing w:val="-6"/>
        </w:rPr>
        <w:t xml:space="preserve"> </w:t>
      </w:r>
      <w:r>
        <w:t>E</w:t>
      </w:r>
      <w:r>
        <w:rPr>
          <w:spacing w:val="-6"/>
        </w:rPr>
        <w:t xml:space="preserve"> </w:t>
      </w:r>
      <w:r>
        <w:t>is</w:t>
      </w:r>
      <w:r>
        <w:rPr>
          <w:spacing w:val="-6"/>
        </w:rPr>
        <w:t xml:space="preserve"> </w:t>
      </w:r>
      <w:r>
        <w:t>an</w:t>
      </w:r>
      <w:r>
        <w:rPr>
          <w:spacing w:val="-6"/>
        </w:rPr>
        <w:t xml:space="preserve"> </w:t>
      </w:r>
      <w:r>
        <w:t>INUS-condition</w:t>
      </w:r>
      <w:r>
        <w:rPr>
          <w:spacing w:val="-6"/>
        </w:rPr>
        <w:t xml:space="preserve"> </w:t>
      </w:r>
      <w:r>
        <w:t>for</w:t>
      </w:r>
      <w:r>
        <w:rPr>
          <w:spacing w:val="-6"/>
        </w:rPr>
        <w:t xml:space="preserve"> </w:t>
      </w:r>
      <w:r>
        <w:t>E*.</w:t>
      </w:r>
      <w:r>
        <w:rPr>
          <w:spacing w:val="-6"/>
        </w:rPr>
        <w:t xml:space="preserve"> </w:t>
      </w:r>
      <w:r>
        <w:t>In</w:t>
      </w:r>
      <w:r>
        <w:rPr>
          <w:spacing w:val="-6"/>
        </w:rPr>
        <w:t xml:space="preserve"> </w:t>
      </w:r>
      <w:r>
        <w:t>a</w:t>
      </w:r>
      <w:r>
        <w:rPr>
          <w:spacing w:val="-6"/>
        </w:rPr>
        <w:t xml:space="preserve"> </w:t>
      </w:r>
      <w:r>
        <w:t>word,</w:t>
      </w:r>
      <w:r>
        <w:rPr>
          <w:spacing w:val="-6"/>
        </w:rPr>
        <w:t xml:space="preserve"> </w:t>
      </w:r>
      <w:r>
        <w:t>“the</w:t>
      </w:r>
      <w:r>
        <w:rPr>
          <w:spacing w:val="-6"/>
        </w:rPr>
        <w:t xml:space="preserve"> </w:t>
      </w:r>
      <w:r>
        <w:t>cause”</w:t>
      </w:r>
      <w:r>
        <w:rPr>
          <w:spacing w:val="-6"/>
        </w:rPr>
        <w:t xml:space="preserve"> </w:t>
      </w:r>
      <w:r>
        <w:t>of</w:t>
      </w:r>
      <w:r>
        <w:rPr>
          <w:spacing w:val="-6"/>
        </w:rPr>
        <w:t xml:space="preserve"> </w:t>
      </w:r>
      <w:r>
        <w:t>an</w:t>
      </w:r>
      <w:r>
        <w:rPr>
          <w:spacing w:val="-6"/>
        </w:rPr>
        <w:t xml:space="preserve"> </w:t>
      </w:r>
      <w:r>
        <w:t>event</w:t>
      </w:r>
      <w:r>
        <w:rPr>
          <w:spacing w:val="-6"/>
        </w:rPr>
        <w:t xml:space="preserve"> </w:t>
      </w:r>
      <w:r>
        <w:t>is an INUS-condition for that event.</w:t>
      </w:r>
    </w:p>
    <w:p w14:paraId="7E001ECA" w14:textId="77777777" w:rsidR="009A58DB" w:rsidRDefault="00000000">
      <w:pPr>
        <w:pStyle w:val="Heading1"/>
        <w:numPr>
          <w:ilvl w:val="0"/>
          <w:numId w:val="85"/>
        </w:numPr>
        <w:tabs>
          <w:tab w:val="left" w:pos="990"/>
        </w:tabs>
        <w:spacing w:before="195"/>
      </w:pPr>
      <w:r>
        <w:t>Aristotle</w:t>
      </w:r>
      <w:r>
        <w:rPr>
          <w:spacing w:val="-5"/>
        </w:rPr>
        <w:t xml:space="preserve"> </w:t>
      </w:r>
      <w:r>
        <w:t>on</w:t>
      </w:r>
      <w:r>
        <w:rPr>
          <w:spacing w:val="-4"/>
        </w:rPr>
        <w:t xml:space="preserve"> </w:t>
      </w:r>
      <w:r>
        <w:rPr>
          <w:spacing w:val="-2"/>
        </w:rPr>
        <w:t>causality</w:t>
      </w:r>
    </w:p>
    <w:p w14:paraId="7E001ECB" w14:textId="77777777" w:rsidR="009A58DB" w:rsidRDefault="00000000">
      <w:pPr>
        <w:pStyle w:val="BodyText"/>
        <w:spacing w:before="139" w:line="249" w:lineRule="auto"/>
        <w:ind w:right="364"/>
        <w:rPr>
          <w:position w:val="21"/>
        </w:rPr>
      </w:pPr>
      <w:r>
        <w:t xml:space="preserve">Aristotle (384–322 </w:t>
      </w:r>
      <w:r>
        <w:rPr>
          <w:sz w:val="22"/>
        </w:rPr>
        <w:t>B</w:t>
      </w:r>
      <w:r>
        <w:t>.</w:t>
      </w:r>
      <w:r>
        <w:rPr>
          <w:sz w:val="22"/>
        </w:rPr>
        <w:t>C</w:t>
      </w:r>
      <w:r>
        <w:t>.) distinguished between four different kinds of causality: efficient, final, material, and formal</w:t>
      </w:r>
      <w:bookmarkStart w:id="424" w:name="_bookmark424"/>
      <w:bookmarkEnd w:id="424"/>
      <w:r>
        <w:t>.</w:t>
      </w:r>
      <w:r>
        <w:rPr>
          <w:color w:val="0562C1"/>
          <w:position w:val="21"/>
          <w:u w:val="single" w:color="0562C1"/>
        </w:rPr>
        <w:t>[306]</w:t>
      </w:r>
    </w:p>
    <w:p w14:paraId="7E001ECC" w14:textId="77777777" w:rsidR="009A58DB" w:rsidRDefault="00000000">
      <w:pPr>
        <w:pStyle w:val="BodyText"/>
        <w:spacing w:before="3"/>
        <w:ind w:left="720"/>
      </w:pPr>
      <w:r>
        <w:t>x</w:t>
      </w:r>
      <w:r>
        <w:rPr>
          <w:spacing w:val="-4"/>
        </w:rPr>
        <w:t xml:space="preserve"> </w:t>
      </w:r>
      <w:r>
        <w:t>is</w:t>
      </w:r>
      <w:r>
        <w:rPr>
          <w:spacing w:val="-2"/>
        </w:rPr>
        <w:t xml:space="preserve"> </w:t>
      </w:r>
      <w:r>
        <w:t>the</w:t>
      </w:r>
      <w:r>
        <w:rPr>
          <w:spacing w:val="-3"/>
        </w:rPr>
        <w:t xml:space="preserve"> </w:t>
      </w:r>
      <w:r>
        <w:t>efficient</w:t>
      </w:r>
      <w:r>
        <w:rPr>
          <w:spacing w:val="-2"/>
        </w:rPr>
        <w:t xml:space="preserve"> </w:t>
      </w:r>
      <w:r>
        <w:t>cause</w:t>
      </w:r>
      <w:r>
        <w:rPr>
          <w:spacing w:val="-3"/>
        </w:rPr>
        <w:t xml:space="preserve"> </w:t>
      </w:r>
      <w:r>
        <w:t>of</w:t>
      </w:r>
      <w:r>
        <w:rPr>
          <w:spacing w:val="-2"/>
        </w:rPr>
        <w:t xml:space="preserve"> </w:t>
      </w:r>
      <w:r>
        <w:t>y</w:t>
      </w:r>
      <w:r>
        <w:rPr>
          <w:spacing w:val="-2"/>
        </w:rPr>
        <w:t xml:space="preserve"> </w:t>
      </w:r>
      <w:r>
        <w:t>if</w:t>
      </w:r>
      <w:r>
        <w:rPr>
          <w:spacing w:val="-2"/>
        </w:rPr>
        <w:t xml:space="preserve"> </w:t>
      </w:r>
      <w:r>
        <w:t>x</w:t>
      </w:r>
      <w:r>
        <w:rPr>
          <w:spacing w:val="-2"/>
        </w:rPr>
        <w:t xml:space="preserve"> </w:t>
      </w:r>
      <w:r>
        <w:t>makes</w:t>
      </w:r>
      <w:r>
        <w:rPr>
          <w:spacing w:val="-2"/>
        </w:rPr>
        <w:t xml:space="preserve"> </w:t>
      </w:r>
      <w:r>
        <w:t>y</w:t>
      </w:r>
      <w:r>
        <w:rPr>
          <w:spacing w:val="-1"/>
        </w:rPr>
        <w:t xml:space="preserve"> </w:t>
      </w:r>
      <w:r>
        <w:rPr>
          <w:spacing w:val="-2"/>
        </w:rPr>
        <w:t>happen.</w:t>
      </w:r>
    </w:p>
    <w:p w14:paraId="7E001ECD" w14:textId="77777777" w:rsidR="009A58DB" w:rsidRDefault="00000000">
      <w:pPr>
        <w:pStyle w:val="BodyText"/>
        <w:spacing w:before="15" w:line="249" w:lineRule="auto"/>
        <w:ind w:right="367" w:firstLine="360"/>
      </w:pPr>
      <w:r>
        <w:t xml:space="preserve">x is the final cause of y if y is an action on the part of some creature and x is that creature’s objective in performing y. Final causes are goals or </w:t>
      </w:r>
      <w:r>
        <w:rPr>
          <w:spacing w:val="-2"/>
        </w:rPr>
        <w:t>objectives.</w:t>
      </w:r>
    </w:p>
    <w:p w14:paraId="7E001ECE" w14:textId="77777777" w:rsidR="009A58DB" w:rsidRDefault="00000000">
      <w:pPr>
        <w:pStyle w:val="BodyText"/>
        <w:spacing w:before="3"/>
        <w:ind w:left="720"/>
      </w:pPr>
      <w:r>
        <w:t>x</w:t>
      </w:r>
      <w:r>
        <w:rPr>
          <w:spacing w:val="-4"/>
        </w:rPr>
        <w:t xml:space="preserve"> </w:t>
      </w:r>
      <w:r>
        <w:t>is</w:t>
      </w:r>
      <w:r>
        <w:rPr>
          <w:spacing w:val="-3"/>
        </w:rPr>
        <w:t xml:space="preserve"> </w:t>
      </w:r>
      <w:r>
        <w:t>the</w:t>
      </w:r>
      <w:r>
        <w:rPr>
          <w:spacing w:val="-3"/>
        </w:rPr>
        <w:t xml:space="preserve"> </w:t>
      </w:r>
      <w:r>
        <w:t>material</w:t>
      </w:r>
      <w:r>
        <w:rPr>
          <w:spacing w:val="-2"/>
        </w:rPr>
        <w:t xml:space="preserve"> </w:t>
      </w:r>
      <w:r>
        <w:t>cause</w:t>
      </w:r>
      <w:r>
        <w:rPr>
          <w:spacing w:val="-3"/>
        </w:rPr>
        <w:t xml:space="preserve"> </w:t>
      </w:r>
      <w:r>
        <w:t>of</w:t>
      </w:r>
      <w:r>
        <w:rPr>
          <w:spacing w:val="-3"/>
        </w:rPr>
        <w:t xml:space="preserve"> </w:t>
      </w:r>
      <w:r>
        <w:t>y</w:t>
      </w:r>
      <w:r>
        <w:rPr>
          <w:spacing w:val="-1"/>
        </w:rPr>
        <w:t xml:space="preserve"> </w:t>
      </w:r>
      <w:r>
        <w:t>if</w:t>
      </w:r>
      <w:r>
        <w:rPr>
          <w:spacing w:val="-3"/>
        </w:rPr>
        <w:t xml:space="preserve"> </w:t>
      </w:r>
      <w:r>
        <w:t>x</w:t>
      </w:r>
      <w:r>
        <w:rPr>
          <w:spacing w:val="-2"/>
        </w:rPr>
        <w:t xml:space="preserve"> </w:t>
      </w:r>
      <w:r>
        <w:t>is</w:t>
      </w:r>
      <w:r>
        <w:rPr>
          <w:spacing w:val="-2"/>
        </w:rPr>
        <w:t xml:space="preserve"> </w:t>
      </w:r>
      <w:r>
        <w:t>the</w:t>
      </w:r>
      <w:r>
        <w:rPr>
          <w:spacing w:val="-3"/>
        </w:rPr>
        <w:t xml:space="preserve"> </w:t>
      </w:r>
      <w:r>
        <w:t>material</w:t>
      </w:r>
      <w:r>
        <w:rPr>
          <w:spacing w:val="-3"/>
        </w:rPr>
        <w:t xml:space="preserve"> </w:t>
      </w:r>
      <w:r>
        <w:t>that</w:t>
      </w:r>
      <w:r>
        <w:rPr>
          <w:spacing w:val="-2"/>
        </w:rPr>
        <w:t xml:space="preserve"> </w:t>
      </w:r>
      <w:r>
        <w:t>y</w:t>
      </w:r>
      <w:r>
        <w:rPr>
          <w:spacing w:val="-2"/>
        </w:rPr>
        <w:t xml:space="preserve"> </w:t>
      </w:r>
      <w:r>
        <w:t>is</w:t>
      </w:r>
      <w:r>
        <w:rPr>
          <w:spacing w:val="-3"/>
        </w:rPr>
        <w:t xml:space="preserve"> </w:t>
      </w:r>
      <w:r>
        <w:t>made</w:t>
      </w:r>
      <w:r>
        <w:rPr>
          <w:spacing w:val="-2"/>
        </w:rPr>
        <w:t xml:space="preserve"> </w:t>
      </w:r>
      <w:r>
        <w:rPr>
          <w:spacing w:val="-5"/>
        </w:rPr>
        <w:t>of.</w:t>
      </w:r>
    </w:p>
    <w:p w14:paraId="7E001ECF" w14:textId="77777777" w:rsidR="009A58DB" w:rsidRDefault="00000000">
      <w:pPr>
        <w:pStyle w:val="BodyText"/>
        <w:spacing w:before="15" w:line="249" w:lineRule="auto"/>
        <w:ind w:right="359" w:firstLine="360"/>
      </w:pPr>
      <w:r>
        <w:t>x is the formal cause of y if x is y’s form. (To expedite discussion, we’ll henceforth omit the obvious qualifications relating to the fact that Aristotle didn’t use English words.) Sometimes Aristotle uses the word “form” to refer to shape. But sometimes he uses it to refer to what he elsewhere refers to as “essences.” Those properties that are essential to a given thing jointly constitute its essence; and a property is essential to a given thing if that thing</w:t>
      </w:r>
    </w:p>
    <w:p w14:paraId="7E001E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D1" w14:textId="77777777" w:rsidR="009A58DB" w:rsidRDefault="00000000">
      <w:pPr>
        <w:pStyle w:val="BodyText"/>
        <w:spacing w:before="60" w:line="249" w:lineRule="auto"/>
        <w:ind w:right="358"/>
      </w:pPr>
      <w:r>
        <w:lastRenderedPageBreak/>
        <w:t xml:space="preserve">could not lose that property without </w:t>
      </w:r>
      <w:r>
        <w:rPr>
          <w:i/>
        </w:rPr>
        <w:t xml:space="preserve">for that very reason </w:t>
      </w:r>
      <w:r>
        <w:t xml:space="preserve">ceasing to exist. The italicized phrase is intended to indicate that the dependence-relation in question is not of a </w:t>
      </w:r>
      <w:r>
        <w:rPr>
          <w:i/>
        </w:rPr>
        <w:t xml:space="preserve">causal </w:t>
      </w:r>
      <w:r>
        <w:t xml:space="preserve">nature, and is instead of a </w:t>
      </w:r>
      <w:r>
        <w:rPr>
          <w:i/>
        </w:rPr>
        <w:t xml:space="preserve">logical </w:t>
      </w:r>
      <w:r>
        <w:t xml:space="preserve">or </w:t>
      </w:r>
      <w:r>
        <w:rPr>
          <w:i/>
        </w:rPr>
        <w:t xml:space="preserve">constitutive </w:t>
      </w:r>
      <w:r>
        <w:t>nature. In other words, that relation is comparable to the dependence that triangles</w:t>
      </w:r>
      <w:r>
        <w:rPr>
          <w:spacing w:val="-4"/>
        </w:rPr>
        <w:t xml:space="preserve"> </w:t>
      </w:r>
      <w:r>
        <w:t>have</w:t>
      </w:r>
      <w:r>
        <w:rPr>
          <w:spacing w:val="-4"/>
        </w:rPr>
        <w:t xml:space="preserve"> </w:t>
      </w:r>
      <w:r>
        <w:t>on</w:t>
      </w:r>
      <w:r>
        <w:rPr>
          <w:spacing w:val="-3"/>
        </w:rPr>
        <w:t xml:space="preserve"> </w:t>
      </w:r>
      <w:r>
        <w:t>being</w:t>
      </w:r>
      <w:r>
        <w:rPr>
          <w:spacing w:val="-3"/>
        </w:rPr>
        <w:t xml:space="preserve"> </w:t>
      </w:r>
      <w:r>
        <w:t>three</w:t>
      </w:r>
      <w:r>
        <w:rPr>
          <w:spacing w:val="-4"/>
        </w:rPr>
        <w:t xml:space="preserve"> </w:t>
      </w:r>
      <w:r>
        <w:t>sided,</w:t>
      </w:r>
      <w:r>
        <w:rPr>
          <w:spacing w:val="-3"/>
        </w:rPr>
        <w:t xml:space="preserve"> </w:t>
      </w:r>
      <w:r>
        <w:t>not</w:t>
      </w:r>
      <w:r>
        <w:rPr>
          <w:spacing w:val="-4"/>
        </w:rPr>
        <w:t xml:space="preserve"> </w:t>
      </w:r>
      <w:r>
        <w:t>to</w:t>
      </w:r>
      <w:r>
        <w:rPr>
          <w:spacing w:val="-3"/>
        </w:rPr>
        <w:t xml:space="preserve"> </w:t>
      </w:r>
      <w:r>
        <w:t>the</w:t>
      </w:r>
      <w:r>
        <w:rPr>
          <w:spacing w:val="-4"/>
        </w:rPr>
        <w:t xml:space="preserve"> </w:t>
      </w:r>
      <w:r>
        <w:t>dependence</w:t>
      </w:r>
      <w:r>
        <w:rPr>
          <w:spacing w:val="-4"/>
        </w:rPr>
        <w:t xml:space="preserve"> </w:t>
      </w:r>
      <w:r>
        <w:t>that</w:t>
      </w:r>
      <w:r>
        <w:rPr>
          <w:spacing w:val="-4"/>
        </w:rPr>
        <w:t xml:space="preserve"> </w:t>
      </w:r>
      <w:r>
        <w:t>mammals</w:t>
      </w:r>
      <w:r>
        <w:rPr>
          <w:spacing w:val="-4"/>
        </w:rPr>
        <w:t xml:space="preserve"> </w:t>
      </w:r>
      <w:r>
        <w:t>have on air.</w:t>
      </w:r>
    </w:p>
    <w:p w14:paraId="7E001ED2" w14:textId="77777777" w:rsidR="009A58DB" w:rsidRDefault="00000000">
      <w:pPr>
        <w:pStyle w:val="BodyText"/>
        <w:spacing w:before="12" w:line="249" w:lineRule="auto"/>
        <w:ind w:right="360" w:firstLine="360"/>
      </w:pPr>
      <w:r>
        <w:t xml:space="preserve">Aristotle’s belief that </w:t>
      </w:r>
      <w:r>
        <w:rPr>
          <w:i/>
        </w:rPr>
        <w:t>things</w:t>
      </w:r>
      <w:r>
        <w:rPr>
          <w:i/>
          <w:spacing w:val="-3"/>
        </w:rPr>
        <w:t xml:space="preserve"> </w:t>
      </w:r>
      <w:r>
        <w:t xml:space="preserve">have essences is an incoherent one, and it’s a special case of an incoherence that pervades Aristotle’s conception of causality. It is essential to a thing’s </w:t>
      </w:r>
      <w:r>
        <w:rPr>
          <w:i/>
        </w:rPr>
        <w:t xml:space="preserve">being triangle-shaped </w:t>
      </w:r>
      <w:r>
        <w:t>that it have three sides. But a given triangle-shaped object’s continued existence needn’t depend on its continuing to have three sides. Things change shape. It is essential</w:t>
      </w:r>
      <w:r>
        <w:rPr>
          <w:spacing w:val="51"/>
        </w:rPr>
        <w:t xml:space="preserve"> </w:t>
      </w:r>
      <w:r>
        <w:t>to</w:t>
      </w:r>
      <w:r>
        <w:rPr>
          <w:spacing w:val="51"/>
        </w:rPr>
        <w:t xml:space="preserve"> </w:t>
      </w:r>
      <w:r>
        <w:t>a</w:t>
      </w:r>
      <w:r>
        <w:rPr>
          <w:spacing w:val="51"/>
        </w:rPr>
        <w:t xml:space="preserve"> </w:t>
      </w:r>
      <w:r>
        <w:t>thing’s</w:t>
      </w:r>
      <w:r>
        <w:rPr>
          <w:spacing w:val="51"/>
        </w:rPr>
        <w:t xml:space="preserve"> </w:t>
      </w:r>
      <w:r>
        <w:rPr>
          <w:i/>
        </w:rPr>
        <w:t>being</w:t>
      </w:r>
      <w:r>
        <w:rPr>
          <w:i/>
          <w:spacing w:val="51"/>
        </w:rPr>
        <w:t xml:space="preserve"> </w:t>
      </w:r>
      <w:r>
        <w:rPr>
          <w:i/>
        </w:rPr>
        <w:t>water</w:t>
      </w:r>
      <w:r>
        <w:rPr>
          <w:i/>
          <w:spacing w:val="51"/>
        </w:rPr>
        <w:t xml:space="preserve"> </w:t>
      </w:r>
      <w:r>
        <w:t>that</w:t>
      </w:r>
      <w:r>
        <w:rPr>
          <w:spacing w:val="51"/>
        </w:rPr>
        <w:t xml:space="preserve"> </w:t>
      </w:r>
      <w:r>
        <w:t>it</w:t>
      </w:r>
      <w:r>
        <w:rPr>
          <w:spacing w:val="51"/>
        </w:rPr>
        <w:t xml:space="preserve"> </w:t>
      </w:r>
      <w:r>
        <w:t>consist</w:t>
      </w:r>
      <w:r>
        <w:rPr>
          <w:spacing w:val="51"/>
        </w:rPr>
        <w:t xml:space="preserve"> </w:t>
      </w:r>
      <w:r>
        <w:t>of</w:t>
      </w:r>
      <w:r>
        <w:rPr>
          <w:spacing w:val="51"/>
        </w:rPr>
        <w:t xml:space="preserve"> </w:t>
      </w:r>
      <w:r>
        <w:t>H</w:t>
      </w:r>
      <w:r>
        <w:rPr>
          <w:vertAlign w:val="subscript"/>
        </w:rPr>
        <w:t>2</w:t>
      </w:r>
      <w:r>
        <w:t>O</w:t>
      </w:r>
      <w:r>
        <w:rPr>
          <w:spacing w:val="53"/>
        </w:rPr>
        <w:t xml:space="preserve"> </w:t>
      </w:r>
      <w:r>
        <w:t>molecules.</w:t>
      </w:r>
      <w:r>
        <w:rPr>
          <w:spacing w:val="54"/>
        </w:rPr>
        <w:t xml:space="preserve"> </w:t>
      </w:r>
      <w:r>
        <w:t>But</w:t>
      </w:r>
      <w:r>
        <w:rPr>
          <w:spacing w:val="53"/>
        </w:rPr>
        <w:t xml:space="preserve"> </w:t>
      </w:r>
      <w:r>
        <w:rPr>
          <w:spacing w:val="-10"/>
        </w:rPr>
        <w:t>a</w:t>
      </w:r>
    </w:p>
    <w:p w14:paraId="7E001ED3" w14:textId="77777777" w:rsidR="009A58DB" w:rsidRDefault="00000000">
      <w:pPr>
        <w:pStyle w:val="BodyText"/>
        <w:spacing w:before="67" w:line="249" w:lineRule="auto"/>
        <w:ind w:right="372"/>
      </w:pPr>
      <w:r>
        <w:t>given puddle’s continuing to exist needn’t depend on its consisting of such molecules. Things undergo chemical changes without ceasing to exist.</w:t>
      </w:r>
    </w:p>
    <w:p w14:paraId="7E001ED4" w14:textId="77777777" w:rsidR="009A58DB" w:rsidRDefault="00000000">
      <w:pPr>
        <w:pStyle w:val="BodyText"/>
        <w:spacing w:before="3" w:line="249" w:lineRule="auto"/>
        <w:ind w:right="357" w:firstLine="360"/>
      </w:pPr>
      <w:r>
        <w:t>Contrary to what Aristotle thought, dependence-relations don’t hold between</w:t>
      </w:r>
      <w:r>
        <w:rPr>
          <w:spacing w:val="-4"/>
        </w:rPr>
        <w:t xml:space="preserve"> </w:t>
      </w:r>
      <w:r>
        <w:t>objects.</w:t>
      </w:r>
      <w:r>
        <w:rPr>
          <w:spacing w:val="-4"/>
        </w:rPr>
        <w:t xml:space="preserve"> </w:t>
      </w:r>
      <w:r>
        <w:t>They</w:t>
      </w:r>
      <w:r>
        <w:rPr>
          <w:spacing w:val="-4"/>
        </w:rPr>
        <w:t xml:space="preserve"> </w:t>
      </w:r>
      <w:r>
        <w:t>hold</w:t>
      </w:r>
      <w:r>
        <w:rPr>
          <w:spacing w:val="-4"/>
        </w:rPr>
        <w:t xml:space="preserve"> </w:t>
      </w:r>
      <w:r>
        <w:t>between</w:t>
      </w:r>
      <w:r>
        <w:rPr>
          <w:spacing w:val="-4"/>
        </w:rPr>
        <w:t xml:space="preserve"> </w:t>
      </w:r>
      <w:r>
        <w:rPr>
          <w:i/>
        </w:rPr>
        <w:t>events</w:t>
      </w:r>
      <w:r>
        <w:rPr>
          <w:i/>
          <w:spacing w:val="-5"/>
        </w:rPr>
        <w:t xml:space="preserve"> </w:t>
      </w:r>
      <w:r>
        <w:t xml:space="preserve">or between </w:t>
      </w:r>
      <w:r>
        <w:rPr>
          <w:i/>
        </w:rPr>
        <w:t>statements,</w:t>
      </w:r>
      <w:r>
        <w:rPr>
          <w:i/>
          <w:spacing w:val="-4"/>
        </w:rPr>
        <w:t xml:space="preserve"> </w:t>
      </w:r>
      <w:r>
        <w:t>depending on</w:t>
      </w:r>
      <w:r>
        <w:rPr>
          <w:spacing w:val="-3"/>
        </w:rPr>
        <w:t xml:space="preserve"> </w:t>
      </w:r>
      <w:r>
        <w:t>whether</w:t>
      </w:r>
      <w:r>
        <w:rPr>
          <w:spacing w:val="-3"/>
        </w:rPr>
        <w:t xml:space="preserve"> </w:t>
      </w:r>
      <w:r>
        <w:t>they’re</w:t>
      </w:r>
      <w:r>
        <w:rPr>
          <w:spacing w:val="-3"/>
        </w:rPr>
        <w:t xml:space="preserve"> </w:t>
      </w:r>
      <w:r>
        <w:t>of</w:t>
      </w:r>
      <w:r>
        <w:rPr>
          <w:spacing w:val="-4"/>
        </w:rPr>
        <w:t xml:space="preserve"> </w:t>
      </w:r>
      <w:r>
        <w:t>a</w:t>
      </w:r>
      <w:r>
        <w:rPr>
          <w:spacing w:val="-3"/>
        </w:rPr>
        <w:t xml:space="preserve"> </w:t>
      </w:r>
      <w:r>
        <w:t>causal</w:t>
      </w:r>
      <w:r>
        <w:rPr>
          <w:spacing w:val="-3"/>
        </w:rPr>
        <w:t xml:space="preserve"> </w:t>
      </w:r>
      <w:r>
        <w:t>or</w:t>
      </w:r>
      <w:r>
        <w:rPr>
          <w:spacing w:val="-4"/>
        </w:rPr>
        <w:t xml:space="preserve"> </w:t>
      </w:r>
      <w:r>
        <w:t>a</w:t>
      </w:r>
      <w:r>
        <w:rPr>
          <w:spacing w:val="-3"/>
        </w:rPr>
        <w:t xml:space="preserve"> </w:t>
      </w:r>
      <w:r>
        <w:t>logical</w:t>
      </w:r>
      <w:r>
        <w:rPr>
          <w:spacing w:val="-3"/>
        </w:rPr>
        <w:t xml:space="preserve"> </w:t>
      </w:r>
      <w:r>
        <w:t>nature.</w:t>
      </w:r>
      <w:r>
        <w:rPr>
          <w:spacing w:val="-3"/>
        </w:rPr>
        <w:t xml:space="preserve"> </w:t>
      </w:r>
      <w:r>
        <w:t>To</w:t>
      </w:r>
      <w:r>
        <w:rPr>
          <w:spacing w:val="-3"/>
        </w:rPr>
        <w:t xml:space="preserve"> </w:t>
      </w:r>
      <w:r>
        <w:t>say</w:t>
      </w:r>
      <w:r>
        <w:rPr>
          <w:spacing w:val="-3"/>
        </w:rPr>
        <w:t xml:space="preserve"> </w:t>
      </w:r>
      <w:r>
        <w:t>that</w:t>
      </w:r>
      <w:r>
        <w:rPr>
          <w:spacing w:val="-3"/>
        </w:rPr>
        <w:t xml:space="preserve"> </w:t>
      </w:r>
      <w:r>
        <w:t>x’s</w:t>
      </w:r>
      <w:r>
        <w:rPr>
          <w:spacing w:val="-3"/>
        </w:rPr>
        <w:t xml:space="preserve"> </w:t>
      </w:r>
      <w:r>
        <w:t>having</w:t>
      </w:r>
      <w:r>
        <w:rPr>
          <w:spacing w:val="-3"/>
        </w:rPr>
        <w:t xml:space="preserve"> </w:t>
      </w:r>
      <w:r>
        <w:t>three sides is essential to x’s being a triangle is to say that “x is a triangle” entails that</w:t>
      </w:r>
      <w:r>
        <w:rPr>
          <w:spacing w:val="64"/>
        </w:rPr>
        <w:t xml:space="preserve"> </w:t>
      </w:r>
      <w:r>
        <w:t>“x</w:t>
      </w:r>
      <w:r>
        <w:rPr>
          <w:spacing w:val="65"/>
        </w:rPr>
        <w:t xml:space="preserve"> </w:t>
      </w:r>
      <w:r>
        <w:t>has</w:t>
      </w:r>
      <w:r>
        <w:rPr>
          <w:spacing w:val="64"/>
        </w:rPr>
        <w:t xml:space="preserve"> </w:t>
      </w:r>
      <w:r>
        <w:t>three</w:t>
      </w:r>
      <w:r>
        <w:rPr>
          <w:spacing w:val="65"/>
        </w:rPr>
        <w:t xml:space="preserve"> </w:t>
      </w:r>
      <w:r>
        <w:t>sides.”</w:t>
      </w:r>
      <w:r>
        <w:rPr>
          <w:spacing w:val="65"/>
        </w:rPr>
        <w:t xml:space="preserve"> </w:t>
      </w:r>
      <w:r>
        <w:t>To</w:t>
      </w:r>
      <w:r>
        <w:rPr>
          <w:spacing w:val="63"/>
        </w:rPr>
        <w:t xml:space="preserve"> </w:t>
      </w:r>
      <w:r>
        <w:t>say</w:t>
      </w:r>
      <w:r>
        <w:rPr>
          <w:spacing w:val="63"/>
        </w:rPr>
        <w:t xml:space="preserve"> </w:t>
      </w:r>
      <w:r>
        <w:t>that</w:t>
      </w:r>
      <w:r>
        <w:rPr>
          <w:spacing w:val="64"/>
        </w:rPr>
        <w:t xml:space="preserve"> </w:t>
      </w:r>
      <w:r>
        <w:t>x’s</w:t>
      </w:r>
      <w:r>
        <w:rPr>
          <w:spacing w:val="63"/>
        </w:rPr>
        <w:t xml:space="preserve"> </w:t>
      </w:r>
      <w:r>
        <w:t>consisting</w:t>
      </w:r>
      <w:r>
        <w:rPr>
          <w:spacing w:val="63"/>
        </w:rPr>
        <w:t xml:space="preserve"> </w:t>
      </w:r>
      <w:r>
        <w:t>of</w:t>
      </w:r>
      <w:r>
        <w:rPr>
          <w:spacing w:val="64"/>
        </w:rPr>
        <w:t xml:space="preserve"> </w:t>
      </w:r>
      <w:r>
        <w:t>H</w:t>
      </w:r>
      <w:r>
        <w:rPr>
          <w:vertAlign w:val="subscript"/>
        </w:rPr>
        <w:t>2</w:t>
      </w:r>
      <w:r>
        <w:t>O</w:t>
      </w:r>
      <w:r>
        <w:rPr>
          <w:spacing w:val="66"/>
        </w:rPr>
        <w:t xml:space="preserve"> </w:t>
      </w:r>
      <w:r>
        <w:t>molecules</w:t>
      </w:r>
      <w:r>
        <w:rPr>
          <w:spacing w:val="66"/>
        </w:rPr>
        <w:t xml:space="preserve"> </w:t>
      </w:r>
      <w:r>
        <w:t>is</w:t>
      </w:r>
    </w:p>
    <w:p w14:paraId="7E001ED5" w14:textId="77777777" w:rsidR="009A58DB" w:rsidRDefault="00000000">
      <w:pPr>
        <w:pStyle w:val="BodyText"/>
        <w:spacing w:before="66" w:line="271" w:lineRule="auto"/>
        <w:ind w:right="358"/>
      </w:pPr>
      <w:r>
        <w:t>essential to its being water is to say that “x consists of water” and “x doesn’t consist of H</w:t>
      </w:r>
      <w:r>
        <w:rPr>
          <w:vertAlign w:val="subscript"/>
        </w:rPr>
        <w:t>2</w:t>
      </w:r>
      <w:r>
        <w:t>O molecules” are incompatible statements. To say that treating children</w:t>
      </w:r>
      <w:r>
        <w:rPr>
          <w:spacing w:val="-3"/>
        </w:rPr>
        <w:t xml:space="preserve"> </w:t>
      </w:r>
      <w:r>
        <w:t>with</w:t>
      </w:r>
      <w:r>
        <w:rPr>
          <w:spacing w:val="-3"/>
        </w:rPr>
        <w:t xml:space="preserve"> </w:t>
      </w:r>
      <w:r>
        <w:t>kindness is essential to their becoming sane adults is to say that</w:t>
      </w:r>
    </w:p>
    <w:p w14:paraId="7E001ED6" w14:textId="77777777" w:rsidR="009A58DB" w:rsidRDefault="00000000">
      <w:pPr>
        <w:pStyle w:val="BodyText"/>
        <w:spacing w:line="316" w:lineRule="exact"/>
      </w:pPr>
      <w:r>
        <w:t>treating</w:t>
      </w:r>
      <w:r>
        <w:rPr>
          <w:spacing w:val="-5"/>
        </w:rPr>
        <w:t xml:space="preserve"> </w:t>
      </w:r>
      <w:r>
        <w:t>a</w:t>
      </w:r>
      <w:r>
        <w:rPr>
          <w:spacing w:val="-4"/>
        </w:rPr>
        <w:t xml:space="preserve"> </w:t>
      </w:r>
      <w:r>
        <w:t>child</w:t>
      </w:r>
      <w:r>
        <w:rPr>
          <w:spacing w:val="-3"/>
        </w:rPr>
        <w:t xml:space="preserve"> </w:t>
      </w:r>
      <w:r>
        <w:t>unkindly</w:t>
      </w:r>
      <w:r>
        <w:rPr>
          <w:spacing w:val="-3"/>
        </w:rPr>
        <w:t xml:space="preserve"> </w:t>
      </w:r>
      <w:r>
        <w:t>prevents</w:t>
      </w:r>
      <w:r>
        <w:rPr>
          <w:spacing w:val="-3"/>
        </w:rPr>
        <w:t xml:space="preserve"> </w:t>
      </w:r>
      <w:r>
        <w:t>them</w:t>
      </w:r>
      <w:r>
        <w:rPr>
          <w:spacing w:val="-4"/>
        </w:rPr>
        <w:t xml:space="preserve"> </w:t>
      </w:r>
      <w:r>
        <w:t>from</w:t>
      </w:r>
      <w:r>
        <w:rPr>
          <w:spacing w:val="-4"/>
        </w:rPr>
        <w:t xml:space="preserve"> </w:t>
      </w:r>
      <w:r>
        <w:t>becoming</w:t>
      </w:r>
      <w:r>
        <w:rPr>
          <w:spacing w:val="-3"/>
        </w:rPr>
        <w:t xml:space="preserve"> </w:t>
      </w:r>
      <w:r>
        <w:t>sane</w:t>
      </w:r>
      <w:r>
        <w:rPr>
          <w:spacing w:val="-3"/>
        </w:rPr>
        <w:t xml:space="preserve"> </w:t>
      </w:r>
      <w:r>
        <w:rPr>
          <w:spacing w:val="-2"/>
        </w:rPr>
        <w:t>adults.</w:t>
      </w:r>
    </w:p>
    <w:p w14:paraId="7E001ED7" w14:textId="77777777" w:rsidR="009A58DB" w:rsidRDefault="00000000">
      <w:pPr>
        <w:pStyle w:val="BodyText"/>
        <w:spacing w:before="15" w:line="249" w:lineRule="auto"/>
        <w:ind w:right="358" w:firstLine="360"/>
        <w:jc w:val="right"/>
      </w:pPr>
      <w:r>
        <w:t xml:space="preserve">So-called formal causes don’t hold between events (or states of affairs) or statements; they hold between things. Thus, the concept of a formal cause is an incoherent one. So, for the same reason, is the concept of a material cause. The concept of efficient causality clearly </w:t>
      </w:r>
      <w:r>
        <w:rPr>
          <w:i/>
        </w:rPr>
        <w:t xml:space="preserve">is </w:t>
      </w:r>
      <w:r>
        <w:t>a coherent one. There is such a thing</w:t>
      </w:r>
      <w:r>
        <w:rPr>
          <w:spacing w:val="12"/>
        </w:rPr>
        <w:t xml:space="preserve"> </w:t>
      </w:r>
      <w:r>
        <w:t>as</w:t>
      </w:r>
      <w:r>
        <w:rPr>
          <w:spacing w:val="13"/>
        </w:rPr>
        <w:t xml:space="preserve"> </w:t>
      </w:r>
      <w:r>
        <w:t>efficient</w:t>
      </w:r>
      <w:r>
        <w:rPr>
          <w:spacing w:val="12"/>
        </w:rPr>
        <w:t xml:space="preserve"> </w:t>
      </w:r>
      <w:r>
        <w:t>causality.</w:t>
      </w:r>
      <w:r>
        <w:rPr>
          <w:spacing w:val="14"/>
        </w:rPr>
        <w:t xml:space="preserve"> </w:t>
      </w:r>
      <w:r>
        <w:t>We’ll</w:t>
      </w:r>
      <w:r>
        <w:rPr>
          <w:spacing w:val="12"/>
        </w:rPr>
        <w:t xml:space="preserve"> </w:t>
      </w:r>
      <w:r>
        <w:t>see</w:t>
      </w:r>
      <w:r>
        <w:rPr>
          <w:spacing w:val="13"/>
        </w:rPr>
        <w:t xml:space="preserve"> </w:t>
      </w:r>
      <w:r>
        <w:t>in</w:t>
      </w:r>
      <w:r>
        <w:rPr>
          <w:spacing w:val="14"/>
        </w:rPr>
        <w:t xml:space="preserve"> </w:t>
      </w:r>
      <w:r>
        <w:t>the</w:t>
      </w:r>
      <w:r>
        <w:rPr>
          <w:spacing w:val="12"/>
        </w:rPr>
        <w:t xml:space="preserve"> </w:t>
      </w:r>
      <w:r>
        <w:t>next</w:t>
      </w:r>
      <w:r>
        <w:rPr>
          <w:spacing w:val="13"/>
        </w:rPr>
        <w:t xml:space="preserve"> </w:t>
      </w:r>
      <w:r>
        <w:t>section</w:t>
      </w:r>
      <w:r>
        <w:rPr>
          <w:spacing w:val="12"/>
        </w:rPr>
        <w:t xml:space="preserve"> </w:t>
      </w:r>
      <w:r>
        <w:t>that</w:t>
      </w:r>
      <w:r>
        <w:rPr>
          <w:spacing w:val="14"/>
        </w:rPr>
        <w:t xml:space="preserve"> </w:t>
      </w:r>
      <w:r>
        <w:t>it</w:t>
      </w:r>
      <w:r>
        <w:rPr>
          <w:spacing w:val="12"/>
        </w:rPr>
        <w:t xml:space="preserve"> </w:t>
      </w:r>
      <w:r>
        <w:t>isn’t</w:t>
      </w:r>
      <w:r>
        <w:rPr>
          <w:spacing w:val="13"/>
        </w:rPr>
        <w:t xml:space="preserve"> </w:t>
      </w:r>
      <w:r>
        <w:t>the</w:t>
      </w:r>
      <w:r>
        <w:rPr>
          <w:spacing w:val="14"/>
        </w:rPr>
        <w:t xml:space="preserve"> </w:t>
      </w:r>
      <w:r>
        <w:rPr>
          <w:spacing w:val="-4"/>
        </w:rPr>
        <w:t>only</w:t>
      </w:r>
    </w:p>
    <w:p w14:paraId="7E001ED8" w14:textId="77777777" w:rsidR="009A58DB" w:rsidRDefault="00000000">
      <w:pPr>
        <w:pStyle w:val="BodyText"/>
        <w:spacing w:before="6"/>
      </w:pPr>
      <w:r>
        <w:t>bona</w:t>
      </w:r>
      <w:r>
        <w:rPr>
          <w:spacing w:val="-6"/>
        </w:rPr>
        <w:t xml:space="preserve"> </w:t>
      </w:r>
      <w:r>
        <w:t>fide</w:t>
      </w:r>
      <w:r>
        <w:rPr>
          <w:spacing w:val="-3"/>
        </w:rPr>
        <w:t xml:space="preserve"> </w:t>
      </w:r>
      <w:r>
        <w:t>form</w:t>
      </w:r>
      <w:r>
        <w:rPr>
          <w:spacing w:val="-4"/>
        </w:rPr>
        <w:t xml:space="preserve"> </w:t>
      </w:r>
      <w:r>
        <w:t>of</w:t>
      </w:r>
      <w:r>
        <w:rPr>
          <w:spacing w:val="-3"/>
        </w:rPr>
        <w:t xml:space="preserve"> </w:t>
      </w:r>
      <w:r>
        <w:t>causality.</w:t>
      </w:r>
      <w:r>
        <w:rPr>
          <w:spacing w:val="-3"/>
        </w:rPr>
        <w:t xml:space="preserve"> </w:t>
      </w:r>
      <w:r>
        <w:t>But</w:t>
      </w:r>
      <w:r>
        <w:rPr>
          <w:spacing w:val="-3"/>
        </w:rPr>
        <w:t xml:space="preserve"> </w:t>
      </w:r>
      <w:r>
        <w:t>it’s</w:t>
      </w:r>
      <w:r>
        <w:rPr>
          <w:spacing w:val="-3"/>
        </w:rPr>
        <w:t xml:space="preserve"> </w:t>
      </w:r>
      <w:r>
        <w:t>the</w:t>
      </w:r>
      <w:r>
        <w:rPr>
          <w:spacing w:val="-4"/>
        </w:rPr>
        <w:t xml:space="preserve"> </w:t>
      </w:r>
      <w:r>
        <w:t>most</w:t>
      </w:r>
      <w:r>
        <w:rPr>
          <w:spacing w:val="-3"/>
        </w:rPr>
        <w:t xml:space="preserve"> </w:t>
      </w:r>
      <w:r>
        <w:t>fundamental</w:t>
      </w:r>
      <w:r>
        <w:rPr>
          <w:spacing w:val="-3"/>
        </w:rPr>
        <w:t xml:space="preserve"> </w:t>
      </w:r>
      <w:r>
        <w:rPr>
          <w:spacing w:val="-4"/>
        </w:rPr>
        <w:t>one.</w:t>
      </w:r>
    </w:p>
    <w:p w14:paraId="7E001ED9" w14:textId="77777777" w:rsidR="009A58DB" w:rsidRDefault="00000000">
      <w:pPr>
        <w:pStyle w:val="BodyText"/>
        <w:spacing w:before="15" w:line="249" w:lineRule="auto"/>
        <w:ind w:right="359" w:firstLine="360"/>
      </w:pPr>
      <w:r>
        <w:t xml:space="preserve">What about (so-called) final causes? If, as Aristotle seems to think, final causes are goals per se, he’s wrong to describe them as causes. Goals per se do nothing. Goals are abstract objects and therefore do no causal work. What </w:t>
      </w:r>
      <w:r>
        <w:rPr>
          <w:i/>
        </w:rPr>
        <w:t xml:space="preserve">does </w:t>
      </w:r>
      <w:r>
        <w:t xml:space="preserve">do causal work is a given person’s </w:t>
      </w:r>
      <w:r>
        <w:rPr>
          <w:i/>
        </w:rPr>
        <w:t xml:space="preserve">having </w:t>
      </w:r>
      <w:r>
        <w:t xml:space="preserve">a given goal. My </w:t>
      </w:r>
      <w:r>
        <w:rPr>
          <w:i/>
        </w:rPr>
        <w:t xml:space="preserve">having </w:t>
      </w:r>
      <w:r>
        <w:t>the goal that</w:t>
      </w:r>
    </w:p>
    <w:p w14:paraId="7E001EDA" w14:textId="77777777" w:rsidR="009A58DB" w:rsidRDefault="00000000">
      <w:pPr>
        <w:pStyle w:val="BodyText"/>
        <w:spacing w:before="111"/>
      </w:pPr>
      <w:r>
        <w:t>(*)</w:t>
      </w:r>
      <w:r>
        <w:rPr>
          <w:spacing w:val="-3"/>
        </w:rPr>
        <w:t xml:space="preserve"> </w:t>
      </w:r>
      <w:r>
        <w:t>I,</w:t>
      </w:r>
      <w:r>
        <w:rPr>
          <w:spacing w:val="-1"/>
        </w:rPr>
        <w:t xml:space="preserve"> </w:t>
      </w:r>
      <w:r>
        <w:t>JMK,</w:t>
      </w:r>
      <w:r>
        <w:rPr>
          <w:spacing w:val="-2"/>
        </w:rPr>
        <w:t xml:space="preserve"> </w:t>
      </w:r>
      <w:r>
        <w:t>get</w:t>
      </w:r>
      <w:r>
        <w:rPr>
          <w:spacing w:val="-2"/>
        </w:rPr>
        <w:t xml:space="preserve"> </w:t>
      </w:r>
      <w:r>
        <w:t>in</w:t>
      </w:r>
      <w:r>
        <w:rPr>
          <w:spacing w:val="-1"/>
        </w:rPr>
        <w:t xml:space="preserve"> </w:t>
      </w:r>
      <w:r>
        <w:rPr>
          <w:spacing w:val="-2"/>
        </w:rPr>
        <w:t>shape</w:t>
      </w:r>
    </w:p>
    <w:p w14:paraId="7E001EDB" w14:textId="77777777" w:rsidR="009A58DB" w:rsidRDefault="009A58DB">
      <w:pPr>
        <w:pStyle w:val="BodyText"/>
        <w:sectPr w:rsidR="009A58DB">
          <w:pgSz w:w="12240" w:h="15840"/>
          <w:pgMar w:top="1380" w:right="1080" w:bottom="280" w:left="1080" w:header="720" w:footer="720" w:gutter="0"/>
          <w:cols w:space="720"/>
        </w:sectPr>
      </w:pPr>
    </w:p>
    <w:p w14:paraId="7E001EDC" w14:textId="77777777" w:rsidR="009A58DB" w:rsidRDefault="00000000">
      <w:pPr>
        <w:pStyle w:val="BodyText"/>
        <w:spacing w:before="65" w:line="249" w:lineRule="auto"/>
        <w:ind w:right="359"/>
      </w:pPr>
      <w:r>
        <w:lastRenderedPageBreak/>
        <w:t>obviously</w:t>
      </w:r>
      <w:r>
        <w:rPr>
          <w:spacing w:val="-2"/>
        </w:rPr>
        <w:t xml:space="preserve"> </w:t>
      </w:r>
      <w:r>
        <w:t>does</w:t>
      </w:r>
      <w:r>
        <w:rPr>
          <w:spacing w:val="-3"/>
        </w:rPr>
        <w:t xml:space="preserve"> </w:t>
      </w:r>
      <w:r>
        <w:t>causal</w:t>
      </w:r>
      <w:r>
        <w:rPr>
          <w:spacing w:val="-3"/>
        </w:rPr>
        <w:t xml:space="preserve"> </w:t>
      </w:r>
      <w:r>
        <w:t>work;</w:t>
      </w:r>
      <w:r>
        <w:rPr>
          <w:spacing w:val="-3"/>
        </w:rPr>
        <w:t xml:space="preserve"> </w:t>
      </w:r>
      <w:r>
        <w:t>it</w:t>
      </w:r>
      <w:r>
        <w:rPr>
          <w:spacing w:val="-3"/>
        </w:rPr>
        <w:t xml:space="preserve"> </w:t>
      </w:r>
      <w:r>
        <w:t>causes</w:t>
      </w:r>
      <w:r>
        <w:rPr>
          <w:spacing w:val="-3"/>
        </w:rPr>
        <w:t xml:space="preserve"> </w:t>
      </w:r>
      <w:r>
        <w:t>me</w:t>
      </w:r>
      <w:r>
        <w:rPr>
          <w:spacing w:val="-3"/>
        </w:rPr>
        <w:t xml:space="preserve"> </w:t>
      </w:r>
      <w:r>
        <w:t>to</w:t>
      </w:r>
      <w:r>
        <w:rPr>
          <w:spacing w:val="-2"/>
        </w:rPr>
        <w:t xml:space="preserve"> </w:t>
      </w:r>
      <w:r>
        <w:t>jog</w:t>
      </w:r>
      <w:r>
        <w:rPr>
          <w:spacing w:val="-2"/>
        </w:rPr>
        <w:t xml:space="preserve"> </w:t>
      </w:r>
      <w:r>
        <w:t>around</w:t>
      </w:r>
      <w:r>
        <w:rPr>
          <w:spacing w:val="-2"/>
        </w:rPr>
        <w:t xml:space="preserve"> </w:t>
      </w:r>
      <w:r>
        <w:t>the</w:t>
      </w:r>
      <w:r>
        <w:rPr>
          <w:spacing w:val="-3"/>
        </w:rPr>
        <w:t xml:space="preserve"> </w:t>
      </w:r>
      <w:r>
        <w:t>block</w:t>
      </w:r>
      <w:r>
        <w:rPr>
          <w:spacing w:val="-2"/>
        </w:rPr>
        <w:t xml:space="preserve"> </w:t>
      </w:r>
      <w:r>
        <w:t>for</w:t>
      </w:r>
      <w:r>
        <w:rPr>
          <w:spacing w:val="-3"/>
        </w:rPr>
        <w:t xml:space="preserve"> </w:t>
      </w:r>
      <w:r>
        <w:t>hours</w:t>
      </w:r>
      <w:r>
        <w:rPr>
          <w:spacing w:val="-3"/>
        </w:rPr>
        <w:t xml:space="preserve"> </w:t>
      </w:r>
      <w:r>
        <w:t xml:space="preserve">on end. But (*) per se does nothing. Like all other goals, (*) is a proposition. My </w:t>
      </w:r>
      <w:r>
        <w:rPr>
          <w:i/>
        </w:rPr>
        <w:t>having</w:t>
      </w:r>
      <w:r>
        <w:rPr>
          <w:i/>
          <w:spacing w:val="-3"/>
        </w:rPr>
        <w:t xml:space="preserve"> </w:t>
      </w:r>
      <w:r>
        <w:t xml:space="preserve">that goal is my intending to make that proposition come true. But my </w:t>
      </w:r>
      <w:r>
        <w:rPr>
          <w:i/>
        </w:rPr>
        <w:t xml:space="preserve">having </w:t>
      </w:r>
      <w:r>
        <w:t xml:space="preserve">a goal is a garden-variety efficient cause. In general, goals per se, being propositions, aren’t causes at all. A given person’s (or creature’s) having a given goal </w:t>
      </w:r>
      <w:r>
        <w:rPr>
          <w:i/>
        </w:rPr>
        <w:t>is</w:t>
      </w:r>
      <w:r>
        <w:rPr>
          <w:i/>
          <w:spacing w:val="-3"/>
        </w:rPr>
        <w:t xml:space="preserve"> </w:t>
      </w:r>
      <w:r>
        <w:t xml:space="preserve">a cause. But it’s a garden-variety efficient cause. So in saying there are such things as “final” causes, Aristotle is either making the trivial point that a person’s having a goal can have effects </w:t>
      </w:r>
      <w:r>
        <w:rPr>
          <w:i/>
        </w:rPr>
        <w:t>or</w:t>
      </w:r>
      <w:r>
        <w:rPr>
          <w:i/>
          <w:spacing w:val="-3"/>
        </w:rPr>
        <w:t xml:space="preserve"> </w:t>
      </w:r>
      <w:r>
        <w:t>he</w:t>
      </w:r>
      <w:r>
        <w:rPr>
          <w:spacing w:val="-3"/>
        </w:rPr>
        <w:t xml:space="preserve"> </w:t>
      </w:r>
      <w:r>
        <w:t>is</w:t>
      </w:r>
      <w:r>
        <w:rPr>
          <w:spacing w:val="-3"/>
        </w:rPr>
        <w:t xml:space="preserve"> </w:t>
      </w:r>
      <w:r>
        <w:t>making</w:t>
      </w:r>
      <w:r>
        <w:rPr>
          <w:spacing w:val="-2"/>
        </w:rPr>
        <w:t xml:space="preserve"> </w:t>
      </w:r>
      <w:r>
        <w:t>the deeply confused point that goals per se can have effects.</w:t>
      </w:r>
    </w:p>
    <w:p w14:paraId="7E001EDD" w14:textId="77777777" w:rsidR="009A58DB" w:rsidRDefault="009A58DB">
      <w:pPr>
        <w:pStyle w:val="BodyText"/>
        <w:spacing w:before="19"/>
        <w:ind w:left="0"/>
        <w:jc w:val="left"/>
      </w:pPr>
    </w:p>
    <w:p w14:paraId="7E001EDE" w14:textId="77777777" w:rsidR="009A58DB" w:rsidRDefault="00000000">
      <w:pPr>
        <w:pStyle w:val="Heading1"/>
        <w:numPr>
          <w:ilvl w:val="1"/>
          <w:numId w:val="85"/>
        </w:numPr>
        <w:tabs>
          <w:tab w:val="left" w:pos="1020"/>
        </w:tabs>
        <w:spacing w:before="0" w:line="244" w:lineRule="auto"/>
        <w:ind w:right="371" w:firstLine="0"/>
      </w:pPr>
      <w:r>
        <w:t>The importance of the expression “in virtue of” in causal discourse</w:t>
      </w:r>
    </w:p>
    <w:p w14:paraId="7E001EDF" w14:textId="77777777" w:rsidR="009A58DB" w:rsidRDefault="00000000">
      <w:pPr>
        <w:pStyle w:val="BodyText"/>
        <w:spacing w:before="11" w:line="249" w:lineRule="auto"/>
        <w:ind w:right="359"/>
      </w:pPr>
      <w:r>
        <w:t>The expression “in virtue of” has an important place in philosophical discourse. (I will use “in virtue of” and “by virtue of” interchangeably.) Without this expression, or some equivalent, it would be very hard to say anything meaningful about causal explanation—or about non-causal explanation, for that matter. The meaning of this term is to be understood in terms of two parallel points, namely:</w:t>
      </w:r>
    </w:p>
    <w:p w14:paraId="7E001EE0" w14:textId="77777777" w:rsidR="009A58DB" w:rsidRDefault="00000000">
      <w:pPr>
        <w:pStyle w:val="ListParagraph"/>
        <w:numPr>
          <w:ilvl w:val="0"/>
          <w:numId w:val="84"/>
        </w:numPr>
        <w:tabs>
          <w:tab w:val="left" w:pos="715"/>
        </w:tabs>
        <w:spacing w:before="113" w:line="312" w:lineRule="auto"/>
        <w:ind w:right="1990" w:firstLine="0"/>
        <w:rPr>
          <w:sz w:val="30"/>
        </w:rPr>
      </w:pPr>
      <w:r>
        <w:rPr>
          <w:sz w:val="30"/>
        </w:rPr>
        <w:t>it</w:t>
      </w:r>
      <w:r>
        <w:rPr>
          <w:spacing w:val="-4"/>
          <w:sz w:val="30"/>
        </w:rPr>
        <w:t xml:space="preserve"> </w:t>
      </w:r>
      <w:r>
        <w:rPr>
          <w:sz w:val="30"/>
        </w:rPr>
        <w:t>is</w:t>
      </w:r>
      <w:r>
        <w:rPr>
          <w:spacing w:val="-4"/>
          <w:sz w:val="30"/>
        </w:rPr>
        <w:t xml:space="preserve"> </w:t>
      </w:r>
      <w:r>
        <w:rPr>
          <w:sz w:val="30"/>
        </w:rPr>
        <w:t>states</w:t>
      </w:r>
      <w:r>
        <w:rPr>
          <w:spacing w:val="-4"/>
          <w:sz w:val="30"/>
        </w:rPr>
        <w:t xml:space="preserve"> </w:t>
      </w:r>
      <w:r>
        <w:rPr>
          <w:sz w:val="30"/>
        </w:rPr>
        <w:t>of</w:t>
      </w:r>
      <w:r>
        <w:rPr>
          <w:spacing w:val="-4"/>
          <w:sz w:val="30"/>
        </w:rPr>
        <w:t xml:space="preserve"> </w:t>
      </w:r>
      <w:r>
        <w:rPr>
          <w:sz w:val="30"/>
        </w:rPr>
        <w:t>affairs</w:t>
      </w:r>
      <w:r>
        <w:rPr>
          <w:spacing w:val="-4"/>
          <w:sz w:val="30"/>
        </w:rPr>
        <w:t xml:space="preserve"> </w:t>
      </w:r>
      <w:r>
        <w:rPr>
          <w:sz w:val="30"/>
        </w:rPr>
        <w:t>(or</w:t>
      </w:r>
      <w:r>
        <w:rPr>
          <w:spacing w:val="-4"/>
          <w:sz w:val="30"/>
        </w:rPr>
        <w:t xml:space="preserve"> </w:t>
      </w:r>
      <w:r>
        <w:rPr>
          <w:sz w:val="30"/>
        </w:rPr>
        <w:t>events),</w:t>
      </w:r>
      <w:r>
        <w:rPr>
          <w:spacing w:val="-3"/>
          <w:sz w:val="30"/>
        </w:rPr>
        <w:t xml:space="preserve"> </w:t>
      </w:r>
      <w:r>
        <w:rPr>
          <w:sz w:val="30"/>
        </w:rPr>
        <w:t>not</w:t>
      </w:r>
      <w:r>
        <w:rPr>
          <w:spacing w:val="-4"/>
          <w:sz w:val="30"/>
        </w:rPr>
        <w:t xml:space="preserve"> </w:t>
      </w:r>
      <w:r>
        <w:rPr>
          <w:sz w:val="30"/>
        </w:rPr>
        <w:t>objects,</w:t>
      </w:r>
      <w:r>
        <w:rPr>
          <w:spacing w:val="-3"/>
          <w:sz w:val="30"/>
        </w:rPr>
        <w:t xml:space="preserve"> </w:t>
      </w:r>
      <w:r>
        <w:rPr>
          <w:sz w:val="30"/>
        </w:rPr>
        <w:t>that</w:t>
      </w:r>
      <w:r>
        <w:rPr>
          <w:spacing w:val="-4"/>
          <w:sz w:val="30"/>
        </w:rPr>
        <w:t xml:space="preserve"> </w:t>
      </w:r>
      <w:r>
        <w:rPr>
          <w:sz w:val="30"/>
        </w:rPr>
        <w:t>have</w:t>
      </w:r>
      <w:r>
        <w:rPr>
          <w:spacing w:val="-4"/>
          <w:sz w:val="30"/>
        </w:rPr>
        <w:t xml:space="preserve"> </w:t>
      </w:r>
      <w:r>
        <w:rPr>
          <w:sz w:val="30"/>
        </w:rPr>
        <w:t xml:space="preserve">effects; </w:t>
      </w:r>
      <w:r>
        <w:rPr>
          <w:spacing w:val="-4"/>
          <w:sz w:val="30"/>
        </w:rPr>
        <w:t>and</w:t>
      </w:r>
    </w:p>
    <w:p w14:paraId="7E001EE1" w14:textId="77777777" w:rsidR="009A58DB" w:rsidRDefault="00000000">
      <w:pPr>
        <w:pStyle w:val="ListParagraph"/>
        <w:numPr>
          <w:ilvl w:val="0"/>
          <w:numId w:val="84"/>
        </w:numPr>
        <w:tabs>
          <w:tab w:val="left" w:pos="797"/>
        </w:tabs>
        <w:spacing w:before="18"/>
        <w:ind w:left="797" w:hanging="437"/>
        <w:rPr>
          <w:sz w:val="30"/>
        </w:rPr>
      </w:pPr>
      <w:r>
        <w:rPr>
          <w:sz w:val="30"/>
        </w:rPr>
        <w:t>it</w:t>
      </w:r>
      <w:r>
        <w:rPr>
          <w:spacing w:val="-7"/>
          <w:sz w:val="30"/>
        </w:rPr>
        <w:t xml:space="preserve"> </w:t>
      </w:r>
      <w:r>
        <w:rPr>
          <w:sz w:val="30"/>
        </w:rPr>
        <w:t>is</w:t>
      </w:r>
      <w:r>
        <w:rPr>
          <w:spacing w:val="-4"/>
          <w:sz w:val="30"/>
        </w:rPr>
        <w:t xml:space="preserve"> </w:t>
      </w:r>
      <w:r>
        <w:rPr>
          <w:sz w:val="30"/>
        </w:rPr>
        <w:t>propositions,</w:t>
      </w:r>
      <w:r>
        <w:rPr>
          <w:spacing w:val="-3"/>
          <w:sz w:val="30"/>
        </w:rPr>
        <w:t xml:space="preserve"> </w:t>
      </w:r>
      <w:r>
        <w:rPr>
          <w:sz w:val="30"/>
        </w:rPr>
        <w:t>not</w:t>
      </w:r>
      <w:r>
        <w:rPr>
          <w:spacing w:val="-4"/>
          <w:sz w:val="30"/>
        </w:rPr>
        <w:t xml:space="preserve"> </w:t>
      </w:r>
      <w:r>
        <w:rPr>
          <w:sz w:val="30"/>
        </w:rPr>
        <w:t>objects,</w:t>
      </w:r>
      <w:r>
        <w:rPr>
          <w:spacing w:val="-3"/>
          <w:sz w:val="30"/>
        </w:rPr>
        <w:t xml:space="preserve"> </w:t>
      </w:r>
      <w:r>
        <w:rPr>
          <w:sz w:val="30"/>
        </w:rPr>
        <w:t>that</w:t>
      </w:r>
      <w:r>
        <w:rPr>
          <w:spacing w:val="-4"/>
          <w:sz w:val="30"/>
        </w:rPr>
        <w:t xml:space="preserve"> </w:t>
      </w:r>
      <w:r>
        <w:rPr>
          <w:sz w:val="30"/>
        </w:rPr>
        <w:t>stand</w:t>
      </w:r>
      <w:r>
        <w:rPr>
          <w:spacing w:val="-3"/>
          <w:sz w:val="30"/>
        </w:rPr>
        <w:t xml:space="preserve"> </w:t>
      </w:r>
      <w:r>
        <w:rPr>
          <w:sz w:val="30"/>
        </w:rPr>
        <w:t>in</w:t>
      </w:r>
      <w:r>
        <w:rPr>
          <w:spacing w:val="-3"/>
          <w:sz w:val="30"/>
        </w:rPr>
        <w:t xml:space="preserve"> </w:t>
      </w:r>
      <w:r>
        <w:rPr>
          <w:sz w:val="30"/>
        </w:rPr>
        <w:t>dependence-</w:t>
      </w:r>
      <w:r>
        <w:rPr>
          <w:spacing w:val="-2"/>
          <w:sz w:val="30"/>
        </w:rPr>
        <w:t>relations.</w:t>
      </w:r>
    </w:p>
    <w:p w14:paraId="7E001EE2" w14:textId="77777777" w:rsidR="009A58DB" w:rsidRDefault="00000000">
      <w:pPr>
        <w:pStyle w:val="BodyText"/>
        <w:spacing w:before="120"/>
        <w:jc w:val="left"/>
      </w:pPr>
      <w:r>
        <w:t>For</w:t>
      </w:r>
      <w:r>
        <w:rPr>
          <w:spacing w:val="-6"/>
        </w:rPr>
        <w:t xml:space="preserve"> </w:t>
      </w:r>
      <w:r>
        <w:t>reasons</w:t>
      </w:r>
      <w:r>
        <w:rPr>
          <w:spacing w:val="-3"/>
        </w:rPr>
        <w:t xml:space="preserve"> </w:t>
      </w:r>
      <w:r>
        <w:t>that</w:t>
      </w:r>
      <w:r>
        <w:rPr>
          <w:spacing w:val="-4"/>
        </w:rPr>
        <w:t xml:space="preserve"> </w:t>
      </w:r>
      <w:r>
        <w:t>will</w:t>
      </w:r>
      <w:r>
        <w:rPr>
          <w:spacing w:val="-3"/>
        </w:rPr>
        <w:t xml:space="preserve"> </w:t>
      </w:r>
      <w:r>
        <w:t>become</w:t>
      </w:r>
      <w:r>
        <w:rPr>
          <w:spacing w:val="-4"/>
        </w:rPr>
        <w:t xml:space="preserve"> </w:t>
      </w:r>
      <w:r>
        <w:t>apparent,</w:t>
      </w:r>
      <w:r>
        <w:rPr>
          <w:spacing w:val="-2"/>
        </w:rPr>
        <w:t xml:space="preserve"> </w:t>
      </w:r>
      <w:r>
        <w:t>(i)</w:t>
      </w:r>
      <w:r>
        <w:rPr>
          <w:spacing w:val="-4"/>
        </w:rPr>
        <w:t xml:space="preserve"> </w:t>
      </w:r>
      <w:r>
        <w:t>and</w:t>
      </w:r>
      <w:r>
        <w:rPr>
          <w:spacing w:val="-2"/>
        </w:rPr>
        <w:t xml:space="preserve"> </w:t>
      </w:r>
      <w:r>
        <w:t>(ii)</w:t>
      </w:r>
      <w:r>
        <w:rPr>
          <w:spacing w:val="-4"/>
        </w:rPr>
        <w:t xml:space="preserve"> </w:t>
      </w:r>
      <w:r>
        <w:t>can</w:t>
      </w:r>
      <w:r>
        <w:rPr>
          <w:spacing w:val="-2"/>
        </w:rPr>
        <w:t xml:space="preserve"> </w:t>
      </w:r>
      <w:r>
        <w:t>be</w:t>
      </w:r>
      <w:r>
        <w:rPr>
          <w:spacing w:val="-4"/>
        </w:rPr>
        <w:t xml:space="preserve"> </w:t>
      </w:r>
      <w:r>
        <w:t>condensed</w:t>
      </w:r>
      <w:r>
        <w:rPr>
          <w:spacing w:val="-2"/>
        </w:rPr>
        <w:t xml:space="preserve"> into:</w:t>
      </w:r>
    </w:p>
    <w:p w14:paraId="7E001EE3" w14:textId="77777777" w:rsidR="009A58DB" w:rsidRDefault="00000000">
      <w:pPr>
        <w:pStyle w:val="ListParagraph"/>
        <w:numPr>
          <w:ilvl w:val="0"/>
          <w:numId w:val="84"/>
        </w:numPr>
        <w:tabs>
          <w:tab w:val="left" w:pos="879"/>
        </w:tabs>
        <w:spacing w:before="105"/>
        <w:ind w:left="879" w:hanging="519"/>
        <w:rPr>
          <w:sz w:val="30"/>
        </w:rPr>
      </w:pPr>
      <w:r>
        <w:rPr>
          <w:sz w:val="30"/>
        </w:rPr>
        <w:t>dependence-relations</w:t>
      </w:r>
      <w:r>
        <w:rPr>
          <w:spacing w:val="-7"/>
          <w:sz w:val="30"/>
        </w:rPr>
        <w:t xml:space="preserve"> </w:t>
      </w:r>
      <w:r>
        <w:rPr>
          <w:sz w:val="30"/>
        </w:rPr>
        <w:t>hold</w:t>
      </w:r>
      <w:r>
        <w:rPr>
          <w:spacing w:val="-4"/>
          <w:sz w:val="30"/>
        </w:rPr>
        <w:t xml:space="preserve"> </w:t>
      </w:r>
      <w:r>
        <w:rPr>
          <w:sz w:val="30"/>
        </w:rPr>
        <w:t>between</w:t>
      </w:r>
      <w:r>
        <w:rPr>
          <w:spacing w:val="-4"/>
          <w:sz w:val="30"/>
        </w:rPr>
        <w:t xml:space="preserve"> </w:t>
      </w:r>
      <w:r>
        <w:rPr>
          <w:sz w:val="30"/>
        </w:rPr>
        <w:t>propositions,</w:t>
      </w:r>
      <w:r>
        <w:rPr>
          <w:spacing w:val="-4"/>
          <w:sz w:val="30"/>
        </w:rPr>
        <w:t xml:space="preserve"> </w:t>
      </w:r>
      <w:r>
        <w:rPr>
          <w:sz w:val="30"/>
        </w:rPr>
        <w:t>as</w:t>
      </w:r>
      <w:r>
        <w:rPr>
          <w:spacing w:val="-5"/>
          <w:sz w:val="30"/>
        </w:rPr>
        <w:t xml:space="preserve"> </w:t>
      </w:r>
      <w:r>
        <w:rPr>
          <w:sz w:val="30"/>
        </w:rPr>
        <w:t>opposed</w:t>
      </w:r>
      <w:r>
        <w:rPr>
          <w:spacing w:val="-4"/>
          <w:sz w:val="30"/>
        </w:rPr>
        <w:t xml:space="preserve"> </w:t>
      </w:r>
      <w:r>
        <w:rPr>
          <w:sz w:val="30"/>
        </w:rPr>
        <w:t>to</w:t>
      </w:r>
      <w:r>
        <w:rPr>
          <w:spacing w:val="-4"/>
          <w:sz w:val="30"/>
        </w:rPr>
        <w:t xml:space="preserve"> </w:t>
      </w:r>
      <w:r>
        <w:rPr>
          <w:spacing w:val="-2"/>
          <w:sz w:val="30"/>
        </w:rPr>
        <w:t>objects.</w:t>
      </w:r>
    </w:p>
    <w:p w14:paraId="7E001EE4" w14:textId="77777777" w:rsidR="009A58DB" w:rsidRDefault="00000000">
      <w:pPr>
        <w:pStyle w:val="BodyText"/>
        <w:spacing w:before="120" w:line="249" w:lineRule="auto"/>
        <w:ind w:right="358" w:firstLine="360"/>
      </w:pPr>
      <w:r>
        <w:t>A story will help us explain what (i)–(iii) mean. Despite being intellectually mediocre, Smith never loses an argument. He wins arguments, not by addressing points with counterpoints, but by bullying his opponent</w:t>
      </w:r>
      <w:r>
        <w:rPr>
          <w:spacing w:val="40"/>
        </w:rPr>
        <w:t xml:space="preserve"> </w:t>
      </w:r>
      <w:r>
        <w:t>into submission. In this way, Smith recently won an argument with Jones, who is Smith’s superior intellectually. Thus:</w:t>
      </w:r>
    </w:p>
    <w:p w14:paraId="7E001EE5" w14:textId="77777777" w:rsidR="009A58DB" w:rsidRDefault="00000000">
      <w:pPr>
        <w:pStyle w:val="ListParagraph"/>
        <w:numPr>
          <w:ilvl w:val="1"/>
          <w:numId w:val="84"/>
        </w:numPr>
        <w:tabs>
          <w:tab w:val="left" w:pos="862"/>
        </w:tabs>
        <w:spacing w:before="111" w:line="249" w:lineRule="auto"/>
        <w:ind w:right="368" w:firstLine="0"/>
        <w:jc w:val="both"/>
        <w:rPr>
          <w:sz w:val="30"/>
        </w:rPr>
      </w:pPr>
      <w:r>
        <w:rPr>
          <w:sz w:val="30"/>
        </w:rPr>
        <w:t xml:space="preserve">even though Smith won his argument with Jones, he did so not </w:t>
      </w:r>
      <w:r>
        <w:rPr>
          <w:i/>
          <w:sz w:val="30"/>
        </w:rPr>
        <w:t xml:space="preserve">by virtue of </w:t>
      </w:r>
      <w:r>
        <w:rPr>
          <w:sz w:val="30"/>
        </w:rPr>
        <w:t xml:space="preserve">making good points, but </w:t>
      </w:r>
      <w:r>
        <w:rPr>
          <w:i/>
          <w:sz w:val="30"/>
        </w:rPr>
        <w:t xml:space="preserve">by virtue of </w:t>
      </w:r>
      <w:r>
        <w:rPr>
          <w:sz w:val="30"/>
        </w:rPr>
        <w:t>bullying Jones.</w:t>
      </w:r>
    </w:p>
    <w:p w14:paraId="7E001EE6" w14:textId="77777777" w:rsidR="009A58DB" w:rsidRDefault="00000000">
      <w:pPr>
        <w:pStyle w:val="BodyText"/>
        <w:spacing w:before="93" w:line="249" w:lineRule="auto"/>
        <w:ind w:right="359" w:firstLine="360"/>
      </w:pPr>
      <w:r>
        <w:t xml:space="preserve">What (A) means is that the cause of Smith’s winning was </w:t>
      </w:r>
      <w:r>
        <w:rPr>
          <w:i/>
        </w:rPr>
        <w:t>his being a</w:t>
      </w:r>
      <w:r>
        <w:rPr>
          <w:i/>
          <w:spacing w:val="40"/>
        </w:rPr>
        <w:t xml:space="preserve"> </w:t>
      </w:r>
      <w:r>
        <w:rPr>
          <w:i/>
        </w:rPr>
        <w:t>bully,</w:t>
      </w:r>
      <w:r>
        <w:rPr>
          <w:i/>
          <w:spacing w:val="-3"/>
        </w:rPr>
        <w:t xml:space="preserve"> </w:t>
      </w:r>
      <w:r>
        <w:t xml:space="preserve">and not </w:t>
      </w:r>
      <w:r>
        <w:rPr>
          <w:i/>
        </w:rPr>
        <w:t xml:space="preserve">his being smart. </w:t>
      </w:r>
      <w:r>
        <w:t>(Cause: Smith’s being a bully</w:t>
      </w:r>
      <w:r>
        <w:rPr>
          <w:i/>
        </w:rPr>
        <w:t xml:space="preserve">. </w:t>
      </w:r>
      <w:r>
        <w:t>Effect: Smith’s winning.</w:t>
      </w:r>
      <w:r>
        <w:rPr>
          <w:spacing w:val="28"/>
        </w:rPr>
        <w:t xml:space="preserve"> </w:t>
      </w:r>
      <w:r>
        <w:rPr>
          <w:i/>
        </w:rPr>
        <w:t>Smith</w:t>
      </w:r>
      <w:r>
        <w:rPr>
          <w:i/>
          <w:spacing w:val="28"/>
        </w:rPr>
        <w:t xml:space="preserve"> </w:t>
      </w:r>
      <w:r>
        <w:t>wasn’t</w:t>
      </w:r>
      <w:r>
        <w:rPr>
          <w:spacing w:val="38"/>
        </w:rPr>
        <w:t xml:space="preserve"> </w:t>
      </w:r>
      <w:r>
        <w:t>the</w:t>
      </w:r>
      <w:r>
        <w:rPr>
          <w:spacing w:val="38"/>
        </w:rPr>
        <w:t xml:space="preserve"> </w:t>
      </w:r>
      <w:r>
        <w:t>cause</w:t>
      </w:r>
      <w:r>
        <w:rPr>
          <w:spacing w:val="38"/>
        </w:rPr>
        <w:t xml:space="preserve"> </w:t>
      </w:r>
      <w:r>
        <w:t>of</w:t>
      </w:r>
      <w:r>
        <w:rPr>
          <w:spacing w:val="38"/>
        </w:rPr>
        <w:t xml:space="preserve"> </w:t>
      </w:r>
      <w:r>
        <w:t>anything.)</w:t>
      </w:r>
      <w:r>
        <w:rPr>
          <w:spacing w:val="38"/>
        </w:rPr>
        <w:t xml:space="preserve"> </w:t>
      </w:r>
      <w:r>
        <w:t>Thus,</w:t>
      </w:r>
      <w:r>
        <w:rPr>
          <w:spacing w:val="38"/>
        </w:rPr>
        <w:t xml:space="preserve"> </w:t>
      </w:r>
      <w:r>
        <w:t>the</w:t>
      </w:r>
      <w:r>
        <w:rPr>
          <w:spacing w:val="38"/>
        </w:rPr>
        <w:t xml:space="preserve"> </w:t>
      </w:r>
      <w:r>
        <w:t>occurrence</w:t>
      </w:r>
      <w:r>
        <w:rPr>
          <w:spacing w:val="38"/>
        </w:rPr>
        <w:t xml:space="preserve"> </w:t>
      </w:r>
      <w:r>
        <w:t>of</w:t>
      </w:r>
      <w:r>
        <w:rPr>
          <w:spacing w:val="38"/>
        </w:rPr>
        <w:t xml:space="preserve"> </w:t>
      </w:r>
      <w:r>
        <w:t>“by</w:t>
      </w:r>
    </w:p>
    <w:p w14:paraId="7E001EE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E8" w14:textId="77777777" w:rsidR="009A58DB" w:rsidRDefault="00000000">
      <w:pPr>
        <w:pStyle w:val="BodyText"/>
        <w:spacing w:before="61" w:line="252" w:lineRule="auto"/>
        <w:ind w:right="361"/>
        <w:jc w:val="right"/>
      </w:pPr>
      <w:r>
        <w:lastRenderedPageBreak/>
        <w:t>virtue</w:t>
      </w:r>
      <w:r>
        <w:rPr>
          <w:spacing w:val="-1"/>
        </w:rPr>
        <w:t xml:space="preserve"> </w:t>
      </w:r>
      <w:r>
        <w:t>of”</w:t>
      </w:r>
      <w:r>
        <w:rPr>
          <w:spacing w:val="-1"/>
        </w:rPr>
        <w:t xml:space="preserve"> </w:t>
      </w:r>
      <w:r>
        <w:t>in</w:t>
      </w:r>
      <w:r>
        <w:rPr>
          <w:spacing w:val="-1"/>
        </w:rPr>
        <w:t xml:space="preserve"> </w:t>
      </w:r>
      <w:r>
        <w:t>(A)</w:t>
      </w:r>
      <w:r>
        <w:rPr>
          <w:spacing w:val="-1"/>
        </w:rPr>
        <w:t xml:space="preserve"> </w:t>
      </w:r>
      <w:r>
        <w:t>is</w:t>
      </w:r>
      <w:r>
        <w:rPr>
          <w:spacing w:val="-1"/>
        </w:rPr>
        <w:t xml:space="preserve"> </w:t>
      </w:r>
      <w:r>
        <w:t>a</w:t>
      </w:r>
      <w:r>
        <w:rPr>
          <w:spacing w:val="-1"/>
        </w:rPr>
        <w:t xml:space="preserve"> </w:t>
      </w:r>
      <w:r>
        <w:t>way</w:t>
      </w:r>
      <w:r>
        <w:rPr>
          <w:spacing w:val="-1"/>
        </w:rPr>
        <w:t xml:space="preserve"> </w:t>
      </w:r>
      <w:r>
        <w:t>of</w:t>
      </w:r>
      <w:r>
        <w:rPr>
          <w:spacing w:val="-1"/>
        </w:rPr>
        <w:t xml:space="preserve"> </w:t>
      </w:r>
      <w:r>
        <w:t>encrypting</w:t>
      </w:r>
      <w:r>
        <w:rPr>
          <w:spacing w:val="-1"/>
        </w:rPr>
        <w:t xml:space="preserve"> </w:t>
      </w:r>
      <w:r>
        <w:t>a</w:t>
      </w:r>
      <w:r>
        <w:rPr>
          <w:spacing w:val="-1"/>
        </w:rPr>
        <w:t xml:space="preserve"> </w:t>
      </w:r>
      <w:r>
        <w:t>statement</w:t>
      </w:r>
      <w:r>
        <w:rPr>
          <w:spacing w:val="-2"/>
        </w:rPr>
        <w:t xml:space="preserve"> </w:t>
      </w:r>
      <w:r>
        <w:t>about</w:t>
      </w:r>
      <w:r>
        <w:rPr>
          <w:spacing w:val="-2"/>
        </w:rPr>
        <w:t xml:space="preserve"> </w:t>
      </w:r>
      <w:r>
        <w:t>states</w:t>
      </w:r>
      <w:r>
        <w:rPr>
          <w:spacing w:val="-1"/>
        </w:rPr>
        <w:t xml:space="preserve"> </w:t>
      </w:r>
      <w:r>
        <w:t>of</w:t>
      </w:r>
      <w:r>
        <w:rPr>
          <w:spacing w:val="-1"/>
        </w:rPr>
        <w:t xml:space="preserve"> </w:t>
      </w:r>
      <w:r>
        <w:t>affairs—of making them</w:t>
      </w:r>
      <w:r>
        <w:rPr>
          <w:spacing w:val="-1"/>
        </w:rPr>
        <w:t xml:space="preserve"> </w:t>
      </w:r>
      <w:r>
        <w:t>seem</w:t>
      </w:r>
      <w:r>
        <w:rPr>
          <w:spacing w:val="-1"/>
        </w:rPr>
        <w:t xml:space="preserve"> </w:t>
      </w:r>
      <w:r>
        <w:t>about</w:t>
      </w:r>
      <w:r>
        <w:rPr>
          <w:spacing w:val="-1"/>
        </w:rPr>
        <w:t xml:space="preserve"> </w:t>
      </w:r>
      <w:r>
        <w:t>objects, when in fact</w:t>
      </w:r>
      <w:r>
        <w:rPr>
          <w:spacing w:val="-1"/>
        </w:rPr>
        <w:t xml:space="preserve"> </w:t>
      </w:r>
      <w:r>
        <w:t>they are</w:t>
      </w:r>
      <w:r>
        <w:rPr>
          <w:spacing w:val="-1"/>
        </w:rPr>
        <w:t xml:space="preserve"> </w:t>
      </w:r>
      <w:r>
        <w:t>about</w:t>
      </w:r>
      <w:r>
        <w:rPr>
          <w:spacing w:val="-1"/>
        </w:rPr>
        <w:t xml:space="preserve"> </w:t>
      </w:r>
      <w:r>
        <w:t>states</w:t>
      </w:r>
      <w:r>
        <w:rPr>
          <w:spacing w:val="-1"/>
        </w:rPr>
        <w:t xml:space="preserve"> </w:t>
      </w:r>
      <w:r>
        <w:t>of</w:t>
      </w:r>
      <w:r>
        <w:rPr>
          <w:spacing w:val="-1"/>
        </w:rPr>
        <w:t xml:space="preserve"> </w:t>
      </w:r>
      <w:r>
        <w:t>affairs. Even</w:t>
      </w:r>
      <w:r>
        <w:rPr>
          <w:spacing w:val="40"/>
        </w:rPr>
        <w:t xml:space="preserve"> </w:t>
      </w:r>
      <w:r>
        <w:t>if</w:t>
      </w:r>
      <w:r>
        <w:rPr>
          <w:spacing w:val="40"/>
        </w:rPr>
        <w:t xml:space="preserve"> </w:t>
      </w:r>
      <w:r>
        <w:t>Smith</w:t>
      </w:r>
      <w:r>
        <w:rPr>
          <w:spacing w:val="40"/>
        </w:rPr>
        <w:t xml:space="preserve"> </w:t>
      </w:r>
      <w:r>
        <w:rPr>
          <w:i/>
        </w:rPr>
        <w:t>did</w:t>
      </w:r>
      <w:r>
        <w:rPr>
          <w:i/>
          <w:spacing w:val="40"/>
        </w:rPr>
        <w:t xml:space="preserve"> </w:t>
      </w:r>
      <w:r>
        <w:t>make</w:t>
      </w:r>
      <w:r>
        <w:rPr>
          <w:spacing w:val="40"/>
        </w:rPr>
        <w:t xml:space="preserve"> </w:t>
      </w:r>
      <w:r>
        <w:t>good</w:t>
      </w:r>
      <w:r>
        <w:rPr>
          <w:spacing w:val="40"/>
        </w:rPr>
        <w:t xml:space="preserve"> </w:t>
      </w:r>
      <w:r>
        <w:t>points</w:t>
      </w:r>
      <w:r>
        <w:rPr>
          <w:spacing w:val="40"/>
        </w:rPr>
        <w:t xml:space="preserve"> </w:t>
      </w:r>
      <w:r>
        <w:t>in</w:t>
      </w:r>
      <w:r>
        <w:rPr>
          <w:spacing w:val="40"/>
        </w:rPr>
        <w:t xml:space="preserve"> </w:t>
      </w:r>
      <w:r>
        <w:t>the</w:t>
      </w:r>
      <w:r>
        <w:rPr>
          <w:spacing w:val="40"/>
        </w:rPr>
        <w:t xml:space="preserve"> </w:t>
      </w:r>
      <w:r>
        <w:t>course</w:t>
      </w:r>
      <w:r>
        <w:rPr>
          <w:spacing w:val="40"/>
        </w:rPr>
        <w:t xml:space="preserve"> </w:t>
      </w:r>
      <w:r>
        <w:t>of</w:t>
      </w:r>
      <w:r>
        <w:rPr>
          <w:spacing w:val="40"/>
        </w:rPr>
        <w:t xml:space="preserve"> </w:t>
      </w:r>
      <w:r>
        <w:t>the</w:t>
      </w:r>
      <w:r>
        <w:rPr>
          <w:spacing w:val="40"/>
        </w:rPr>
        <w:t xml:space="preserve"> </w:t>
      </w:r>
      <w:r>
        <w:t>argument,</w:t>
      </w:r>
      <w:r>
        <w:rPr>
          <w:spacing w:val="40"/>
        </w:rPr>
        <w:t xml:space="preserve"> </w:t>
      </w:r>
      <w:r>
        <w:t xml:space="preserve">it doesn’t follow that he won </w:t>
      </w:r>
      <w:r>
        <w:rPr>
          <w:i/>
        </w:rPr>
        <w:t xml:space="preserve">by virtue of </w:t>
      </w:r>
      <w:r>
        <w:t>making good points. It could be that</w:t>
      </w:r>
      <w:r>
        <w:rPr>
          <w:spacing w:val="40"/>
        </w:rPr>
        <w:t xml:space="preserve"> </w:t>
      </w:r>
      <w:r>
        <w:t>his</w:t>
      </w:r>
      <w:r>
        <w:rPr>
          <w:spacing w:val="-3"/>
        </w:rPr>
        <w:t xml:space="preserve"> </w:t>
      </w:r>
      <w:r>
        <w:t>making good points had nothing to do with his winning and that it</w:t>
      </w:r>
      <w:r>
        <w:rPr>
          <w:spacing w:val="-1"/>
        </w:rPr>
        <w:t xml:space="preserve"> </w:t>
      </w:r>
      <w:r>
        <w:t>was</w:t>
      </w:r>
      <w:r>
        <w:rPr>
          <w:spacing w:val="1"/>
        </w:rPr>
        <w:t xml:space="preserve"> </w:t>
      </w:r>
      <w:r>
        <w:rPr>
          <w:spacing w:val="-5"/>
        </w:rPr>
        <w:t>his</w:t>
      </w:r>
    </w:p>
    <w:p w14:paraId="7E001EE9" w14:textId="77777777" w:rsidR="009A58DB" w:rsidRDefault="00000000">
      <w:pPr>
        <w:pStyle w:val="BodyText"/>
        <w:spacing w:line="338" w:lineRule="exact"/>
      </w:pPr>
      <w:r>
        <w:t>bullyism</w:t>
      </w:r>
      <w:r>
        <w:rPr>
          <w:spacing w:val="-6"/>
        </w:rPr>
        <w:t xml:space="preserve"> </w:t>
      </w:r>
      <w:r>
        <w:t>that</w:t>
      </w:r>
      <w:r>
        <w:rPr>
          <w:spacing w:val="-3"/>
        </w:rPr>
        <w:t xml:space="preserve"> </w:t>
      </w:r>
      <w:r>
        <w:t>was</w:t>
      </w:r>
      <w:r>
        <w:rPr>
          <w:spacing w:val="-4"/>
        </w:rPr>
        <w:t xml:space="preserve"> </w:t>
      </w:r>
      <w:r>
        <w:t>responsible</w:t>
      </w:r>
      <w:r>
        <w:rPr>
          <w:spacing w:val="-3"/>
        </w:rPr>
        <w:t xml:space="preserve"> </w:t>
      </w:r>
      <w:r>
        <w:t>for</w:t>
      </w:r>
      <w:r>
        <w:rPr>
          <w:spacing w:val="-4"/>
        </w:rPr>
        <w:t xml:space="preserve"> </w:t>
      </w:r>
      <w:r>
        <w:t>it.</w:t>
      </w:r>
      <w:r>
        <w:rPr>
          <w:spacing w:val="-2"/>
        </w:rPr>
        <w:t xml:space="preserve"> </w:t>
      </w:r>
      <w:r>
        <w:t>In</w:t>
      </w:r>
      <w:r>
        <w:rPr>
          <w:spacing w:val="-3"/>
        </w:rPr>
        <w:t xml:space="preserve"> </w:t>
      </w:r>
      <w:r>
        <w:t>that</w:t>
      </w:r>
      <w:r>
        <w:rPr>
          <w:spacing w:val="-3"/>
        </w:rPr>
        <w:t xml:space="preserve"> </w:t>
      </w:r>
      <w:r>
        <w:rPr>
          <w:spacing w:val="-2"/>
        </w:rPr>
        <w:t>case,</w:t>
      </w:r>
    </w:p>
    <w:p w14:paraId="7E001EEA" w14:textId="77777777" w:rsidR="009A58DB" w:rsidRDefault="00000000">
      <w:pPr>
        <w:pStyle w:val="BodyText"/>
        <w:spacing w:before="120" w:line="249" w:lineRule="auto"/>
        <w:ind w:right="371"/>
      </w:pPr>
      <w:r>
        <w:t xml:space="preserve">(A*) even though Smith won his argument with Jones, and even though he made good points in the course of that argument, Smith won </w:t>
      </w:r>
      <w:r>
        <w:rPr>
          <w:i/>
        </w:rPr>
        <w:t xml:space="preserve">by virtue of </w:t>
      </w:r>
      <w:r>
        <w:t xml:space="preserve">his being a bully, and not </w:t>
      </w:r>
      <w:r>
        <w:rPr>
          <w:i/>
        </w:rPr>
        <w:t xml:space="preserve">by virtue of </w:t>
      </w:r>
      <w:r>
        <w:t>his making good points.</w:t>
      </w:r>
    </w:p>
    <w:p w14:paraId="7E001EEB" w14:textId="77777777" w:rsidR="009A58DB" w:rsidRDefault="00000000">
      <w:pPr>
        <w:pStyle w:val="BodyText"/>
        <w:spacing w:before="94" w:line="249" w:lineRule="auto"/>
        <w:ind w:right="358" w:firstLine="360"/>
      </w:pPr>
      <w:r>
        <w:t xml:space="preserve">Importantly, Smith could have won </w:t>
      </w:r>
      <w:r>
        <w:rPr>
          <w:i/>
        </w:rPr>
        <w:t>both</w:t>
      </w:r>
      <w:r>
        <w:rPr>
          <w:i/>
          <w:spacing w:val="-3"/>
        </w:rPr>
        <w:t xml:space="preserve"> </w:t>
      </w:r>
      <w:r>
        <w:t xml:space="preserve">by virtue of being a bully </w:t>
      </w:r>
      <w:r>
        <w:rPr>
          <w:i/>
        </w:rPr>
        <w:t xml:space="preserve">and </w:t>
      </w:r>
      <w:r>
        <w:t>by virtue of winning good points. In other words, his bullyism and his making good points could have been co-factors.</w:t>
      </w:r>
    </w:p>
    <w:p w14:paraId="7E001EEC" w14:textId="77777777" w:rsidR="009A58DB" w:rsidRDefault="00000000">
      <w:pPr>
        <w:pStyle w:val="BodyText"/>
        <w:spacing w:before="3" w:line="249" w:lineRule="auto"/>
        <w:ind w:right="359" w:firstLine="360"/>
      </w:pPr>
      <w:r>
        <w:t>Let</w:t>
      </w:r>
      <w:r>
        <w:rPr>
          <w:spacing w:val="-1"/>
        </w:rPr>
        <w:t xml:space="preserve"> </w:t>
      </w:r>
      <w:r>
        <w:t>us</w:t>
      </w:r>
      <w:r>
        <w:rPr>
          <w:spacing w:val="-1"/>
        </w:rPr>
        <w:t xml:space="preserve"> </w:t>
      </w:r>
      <w:r>
        <w:t>now</w:t>
      </w:r>
      <w:r>
        <w:rPr>
          <w:spacing w:val="-1"/>
        </w:rPr>
        <w:t xml:space="preserve"> </w:t>
      </w:r>
      <w:r>
        <w:t>discuss</w:t>
      </w:r>
      <w:r>
        <w:rPr>
          <w:spacing w:val="-1"/>
        </w:rPr>
        <w:t xml:space="preserve"> </w:t>
      </w:r>
      <w:r>
        <w:t>(ii).</w:t>
      </w:r>
      <w:r>
        <w:rPr>
          <w:spacing w:val="-1"/>
        </w:rPr>
        <w:t xml:space="preserve"> </w:t>
      </w:r>
      <w:r>
        <w:t>Suppose</w:t>
      </w:r>
      <w:r>
        <w:rPr>
          <w:spacing w:val="-1"/>
        </w:rPr>
        <w:t xml:space="preserve"> </w:t>
      </w:r>
      <w:r>
        <w:t>that</w:t>
      </w:r>
      <w:r>
        <w:rPr>
          <w:spacing w:val="-1"/>
        </w:rPr>
        <w:t xml:space="preserve"> </w:t>
      </w:r>
      <w:r>
        <w:t>there</w:t>
      </w:r>
      <w:r>
        <w:rPr>
          <w:spacing w:val="-1"/>
        </w:rPr>
        <w:t xml:space="preserve"> </w:t>
      </w:r>
      <w:r>
        <w:t>are</w:t>
      </w:r>
      <w:r>
        <w:rPr>
          <w:spacing w:val="-1"/>
        </w:rPr>
        <w:t xml:space="preserve"> </w:t>
      </w:r>
      <w:r>
        <w:t>only</w:t>
      </w:r>
      <w:r>
        <w:rPr>
          <w:spacing w:val="-1"/>
        </w:rPr>
        <w:t xml:space="preserve"> </w:t>
      </w:r>
      <w:r>
        <w:t>three</w:t>
      </w:r>
      <w:r>
        <w:rPr>
          <w:spacing w:val="-1"/>
        </w:rPr>
        <w:t xml:space="preserve"> </w:t>
      </w:r>
      <w:r>
        <w:t>triangular</w:t>
      </w:r>
      <w:r>
        <w:rPr>
          <w:spacing w:val="-1"/>
        </w:rPr>
        <w:t xml:space="preserve"> </w:t>
      </w:r>
      <w:r>
        <w:t xml:space="preserve">objects in the world, x being one of them, and also that these three objects are the only green objects in existence. In that case, although “every triangle is green” is true, “x is green </w:t>
      </w:r>
      <w:r>
        <w:rPr>
          <w:i/>
        </w:rPr>
        <w:t xml:space="preserve">by virtue of </w:t>
      </w:r>
      <w:r>
        <w:t>its being triangle” is false. The right statement is:</w:t>
      </w:r>
    </w:p>
    <w:p w14:paraId="7E001EED" w14:textId="77777777" w:rsidR="009A58DB" w:rsidRDefault="00000000">
      <w:pPr>
        <w:pStyle w:val="ListParagraph"/>
        <w:numPr>
          <w:ilvl w:val="1"/>
          <w:numId w:val="84"/>
        </w:numPr>
        <w:tabs>
          <w:tab w:val="left" w:pos="840"/>
        </w:tabs>
        <w:spacing w:before="111" w:line="249" w:lineRule="auto"/>
        <w:ind w:right="372" w:firstLine="0"/>
        <w:jc w:val="both"/>
        <w:rPr>
          <w:sz w:val="30"/>
        </w:rPr>
      </w:pPr>
      <w:r>
        <w:rPr>
          <w:sz w:val="30"/>
        </w:rPr>
        <w:t>“x is a triangle by virtue of its having three co-planar sides, each of them straight, such that any two of them intersect and such that not all of three of them intersect.”</w:t>
      </w:r>
    </w:p>
    <w:p w14:paraId="7E001EEE" w14:textId="77777777" w:rsidR="009A58DB" w:rsidRDefault="00000000">
      <w:pPr>
        <w:pStyle w:val="BodyText"/>
        <w:spacing w:before="109"/>
      </w:pPr>
      <w:r>
        <w:t>What</w:t>
      </w:r>
      <w:r>
        <w:rPr>
          <w:spacing w:val="-4"/>
        </w:rPr>
        <w:t xml:space="preserve"> </w:t>
      </w:r>
      <w:r>
        <w:t>(B)</w:t>
      </w:r>
      <w:r>
        <w:rPr>
          <w:spacing w:val="-3"/>
        </w:rPr>
        <w:t xml:space="preserve"> </w:t>
      </w:r>
      <w:r>
        <w:t>means</w:t>
      </w:r>
      <w:r>
        <w:rPr>
          <w:spacing w:val="-3"/>
        </w:rPr>
        <w:t xml:space="preserve"> </w:t>
      </w:r>
      <w:r>
        <w:rPr>
          <w:spacing w:val="-5"/>
        </w:rPr>
        <w:t>is:</w:t>
      </w:r>
    </w:p>
    <w:p w14:paraId="7E001EEF" w14:textId="77777777" w:rsidR="009A58DB" w:rsidRDefault="00000000">
      <w:pPr>
        <w:pStyle w:val="ListParagraph"/>
        <w:numPr>
          <w:ilvl w:val="1"/>
          <w:numId w:val="84"/>
        </w:numPr>
        <w:tabs>
          <w:tab w:val="left" w:pos="917"/>
        </w:tabs>
        <w:spacing w:before="105" w:line="249" w:lineRule="auto"/>
        <w:ind w:right="358" w:firstLine="0"/>
        <w:jc w:val="both"/>
        <w:rPr>
          <w:sz w:val="30"/>
        </w:rPr>
      </w:pPr>
      <w:r>
        <w:rPr>
          <w:sz w:val="30"/>
        </w:rPr>
        <w:t>The proposition that x is a triangle entails, and is entailed by, the proposition that x has three co-planar sides, each of them straight, such that any two of them intersect and such that not all of three of them intersect.</w:t>
      </w:r>
    </w:p>
    <w:p w14:paraId="7E001EF0" w14:textId="77777777" w:rsidR="009A58DB" w:rsidRDefault="00000000">
      <w:pPr>
        <w:pStyle w:val="BodyText"/>
        <w:spacing w:before="4" w:line="249" w:lineRule="auto"/>
        <w:ind w:right="365" w:firstLine="360"/>
        <w:rPr>
          <w:position w:val="21"/>
        </w:rPr>
      </w:pPr>
      <w:r>
        <w:t>In</w:t>
      </w:r>
      <w:r>
        <w:rPr>
          <w:spacing w:val="-3"/>
        </w:rPr>
        <w:t xml:space="preserve"> </w:t>
      </w:r>
      <w:r>
        <w:t>what</w:t>
      </w:r>
      <w:r>
        <w:rPr>
          <w:spacing w:val="-2"/>
        </w:rPr>
        <w:t xml:space="preserve"> </w:t>
      </w:r>
      <w:r>
        <w:t>follows,</w:t>
      </w:r>
      <w:r>
        <w:rPr>
          <w:spacing w:val="-2"/>
        </w:rPr>
        <w:t xml:space="preserve"> </w:t>
      </w:r>
      <w:r>
        <w:t>I</w:t>
      </w:r>
      <w:r>
        <w:rPr>
          <w:spacing w:val="-2"/>
        </w:rPr>
        <w:t xml:space="preserve"> </w:t>
      </w:r>
      <w:r>
        <w:t>will</w:t>
      </w:r>
      <w:r>
        <w:rPr>
          <w:spacing w:val="-2"/>
        </w:rPr>
        <w:t xml:space="preserve"> </w:t>
      </w:r>
      <w:r>
        <w:t>use</w:t>
      </w:r>
      <w:r>
        <w:rPr>
          <w:spacing w:val="-2"/>
        </w:rPr>
        <w:t xml:space="preserve"> </w:t>
      </w:r>
      <w:r>
        <w:t>the</w:t>
      </w:r>
      <w:r>
        <w:rPr>
          <w:spacing w:val="-2"/>
        </w:rPr>
        <w:t xml:space="preserve"> </w:t>
      </w:r>
      <w:r>
        <w:t>term</w:t>
      </w:r>
      <w:r>
        <w:rPr>
          <w:spacing w:val="-2"/>
        </w:rPr>
        <w:t xml:space="preserve"> </w:t>
      </w:r>
      <w:r>
        <w:t>“fact”</w:t>
      </w:r>
      <w:r>
        <w:rPr>
          <w:spacing w:val="-2"/>
        </w:rPr>
        <w:t xml:space="preserve"> </w:t>
      </w:r>
      <w:r>
        <w:t>to</w:t>
      </w:r>
      <w:r>
        <w:rPr>
          <w:spacing w:val="-2"/>
        </w:rPr>
        <w:t xml:space="preserve"> </w:t>
      </w:r>
      <w:r>
        <w:t>mean</w:t>
      </w:r>
      <w:r>
        <w:rPr>
          <w:spacing w:val="-2"/>
        </w:rPr>
        <w:t xml:space="preserve"> </w:t>
      </w:r>
      <w:r>
        <w:t>“spatiotemporal</w:t>
      </w:r>
      <w:r>
        <w:rPr>
          <w:spacing w:val="-2"/>
        </w:rPr>
        <w:t xml:space="preserve"> </w:t>
      </w:r>
      <w:r>
        <w:t>state</w:t>
      </w:r>
      <w:r>
        <w:rPr>
          <w:spacing w:val="-2"/>
        </w:rPr>
        <w:t xml:space="preserve"> </w:t>
      </w:r>
      <w:r>
        <w:t>of affairs.” So a “fact,” as I’ll be using this word, is a distribution of mass-</w:t>
      </w:r>
      <w:r>
        <w:rPr>
          <w:spacing w:val="-2"/>
        </w:rPr>
        <w:t>energy.</w:t>
      </w:r>
      <w:bookmarkStart w:id="425" w:name="_bookmark425"/>
      <w:bookmarkEnd w:id="425"/>
      <w:r>
        <w:rPr>
          <w:color w:val="0562C1"/>
          <w:spacing w:val="-2"/>
          <w:position w:val="21"/>
          <w:u w:val="single" w:color="0562C1"/>
        </w:rPr>
        <w:t>[307]</w:t>
      </w:r>
    </w:p>
    <w:p w14:paraId="7E001EF1" w14:textId="77777777" w:rsidR="009A58DB" w:rsidRDefault="00000000">
      <w:pPr>
        <w:pStyle w:val="BodyText"/>
        <w:spacing w:before="4" w:line="249" w:lineRule="auto"/>
        <w:ind w:right="359" w:firstLine="360"/>
      </w:pPr>
      <w:r>
        <w:t>Suppose that, for reasons of physical law, nothing could be triangular without being green, and nothing could be green without being triangular. In that</w:t>
      </w:r>
      <w:r>
        <w:rPr>
          <w:spacing w:val="-3"/>
        </w:rPr>
        <w:t xml:space="preserve"> </w:t>
      </w:r>
      <w:r>
        <w:t>case,</w:t>
      </w:r>
      <w:r>
        <w:rPr>
          <w:spacing w:val="-2"/>
        </w:rPr>
        <w:t xml:space="preserve"> </w:t>
      </w:r>
      <w:r>
        <w:t>given</w:t>
      </w:r>
      <w:r>
        <w:rPr>
          <w:spacing w:val="-3"/>
        </w:rPr>
        <w:t xml:space="preserve"> </w:t>
      </w:r>
      <w:r>
        <w:t>some</w:t>
      </w:r>
      <w:r>
        <w:rPr>
          <w:spacing w:val="-2"/>
        </w:rPr>
        <w:t xml:space="preserve"> </w:t>
      </w:r>
      <w:r>
        <w:t>green/triangular</w:t>
      </w:r>
      <w:r>
        <w:rPr>
          <w:spacing w:val="-3"/>
        </w:rPr>
        <w:t xml:space="preserve"> </w:t>
      </w:r>
      <w:r>
        <w:t>object</w:t>
      </w:r>
      <w:r>
        <w:rPr>
          <w:spacing w:val="-2"/>
        </w:rPr>
        <w:t xml:space="preserve"> </w:t>
      </w:r>
      <w:r>
        <w:t>x,</w:t>
      </w:r>
      <w:r>
        <w:rPr>
          <w:spacing w:val="-2"/>
        </w:rPr>
        <w:t xml:space="preserve"> </w:t>
      </w:r>
      <w:r>
        <w:t>the</w:t>
      </w:r>
      <w:r>
        <w:rPr>
          <w:spacing w:val="-3"/>
        </w:rPr>
        <w:t xml:space="preserve"> </w:t>
      </w:r>
      <w:r>
        <w:t>fact</w:t>
      </w:r>
      <w:r>
        <w:rPr>
          <w:spacing w:val="-2"/>
        </w:rPr>
        <w:t xml:space="preserve"> </w:t>
      </w:r>
      <w:r>
        <w:t>in</w:t>
      </w:r>
      <w:r>
        <w:rPr>
          <w:spacing w:val="-3"/>
        </w:rPr>
        <w:t xml:space="preserve"> </w:t>
      </w:r>
      <w:r>
        <w:t>virtue</w:t>
      </w:r>
      <w:r>
        <w:rPr>
          <w:spacing w:val="-2"/>
        </w:rPr>
        <w:t xml:space="preserve"> </w:t>
      </w:r>
      <w:r>
        <w:t>of</w:t>
      </w:r>
      <w:r>
        <w:rPr>
          <w:spacing w:val="-3"/>
        </w:rPr>
        <w:t xml:space="preserve"> </w:t>
      </w:r>
      <w:r>
        <w:t>which</w:t>
      </w:r>
      <w:r>
        <w:rPr>
          <w:spacing w:val="-2"/>
        </w:rPr>
        <w:t xml:space="preserve"> </w:t>
      </w:r>
      <w:r>
        <w:t>x</w:t>
      </w:r>
      <w:r>
        <w:rPr>
          <w:spacing w:val="-2"/>
        </w:rPr>
        <w:t xml:space="preserve"> </w:t>
      </w:r>
      <w:r>
        <w:t>is green—in other words, the distribution of mass-energy in virtue of which x was</w:t>
      </w:r>
      <w:r>
        <w:rPr>
          <w:spacing w:val="-2"/>
        </w:rPr>
        <w:t xml:space="preserve"> </w:t>
      </w:r>
      <w:r>
        <w:t>green—would</w:t>
      </w:r>
      <w:r>
        <w:rPr>
          <w:spacing w:val="-1"/>
        </w:rPr>
        <w:t xml:space="preserve"> </w:t>
      </w:r>
      <w:r>
        <w:t>be</w:t>
      </w:r>
      <w:r>
        <w:rPr>
          <w:spacing w:val="-1"/>
        </w:rPr>
        <w:t xml:space="preserve"> </w:t>
      </w:r>
      <w:r>
        <w:t>spatially</w:t>
      </w:r>
      <w:r>
        <w:rPr>
          <w:spacing w:val="-1"/>
        </w:rPr>
        <w:t xml:space="preserve"> </w:t>
      </w:r>
      <w:r>
        <w:t>and</w:t>
      </w:r>
      <w:r>
        <w:rPr>
          <w:spacing w:val="-1"/>
        </w:rPr>
        <w:t xml:space="preserve"> </w:t>
      </w:r>
      <w:r>
        <w:t>causally</w:t>
      </w:r>
      <w:r>
        <w:rPr>
          <w:spacing w:val="-2"/>
        </w:rPr>
        <w:t xml:space="preserve"> </w:t>
      </w:r>
      <w:r>
        <w:t>indistinguishable</w:t>
      </w:r>
      <w:r>
        <w:rPr>
          <w:spacing w:val="-1"/>
        </w:rPr>
        <w:t xml:space="preserve"> </w:t>
      </w:r>
      <w:r>
        <w:t>from</w:t>
      </w:r>
      <w:r>
        <w:rPr>
          <w:spacing w:val="-2"/>
        </w:rPr>
        <w:t xml:space="preserve"> </w:t>
      </w:r>
      <w:r>
        <w:t>the</w:t>
      </w:r>
      <w:r>
        <w:rPr>
          <w:spacing w:val="-1"/>
        </w:rPr>
        <w:t xml:space="preserve"> </w:t>
      </w:r>
      <w:r>
        <w:t>fact</w:t>
      </w:r>
      <w:r>
        <w:rPr>
          <w:spacing w:val="-2"/>
        </w:rPr>
        <w:t xml:space="preserve"> </w:t>
      </w:r>
      <w:r>
        <w:t>in virtue of which x was triangular. Nonetheless, it wouldn’t be in virtue of its being</w:t>
      </w:r>
      <w:r>
        <w:rPr>
          <w:spacing w:val="59"/>
        </w:rPr>
        <w:t xml:space="preserve"> </w:t>
      </w:r>
      <w:r>
        <w:t>a</w:t>
      </w:r>
      <w:r>
        <w:rPr>
          <w:spacing w:val="59"/>
        </w:rPr>
        <w:t xml:space="preserve"> </w:t>
      </w:r>
      <w:r>
        <w:t>closed</w:t>
      </w:r>
      <w:r>
        <w:rPr>
          <w:spacing w:val="59"/>
        </w:rPr>
        <w:t xml:space="preserve"> </w:t>
      </w:r>
      <w:r>
        <w:t>three-sided</w:t>
      </w:r>
      <w:r>
        <w:rPr>
          <w:spacing w:val="59"/>
        </w:rPr>
        <w:t xml:space="preserve"> </w:t>
      </w:r>
      <w:r>
        <w:t>(etc.)</w:t>
      </w:r>
      <w:r>
        <w:rPr>
          <w:spacing w:val="59"/>
        </w:rPr>
        <w:t xml:space="preserve"> </w:t>
      </w:r>
      <w:r>
        <w:t>figure</w:t>
      </w:r>
      <w:r>
        <w:rPr>
          <w:spacing w:val="59"/>
        </w:rPr>
        <w:t xml:space="preserve"> </w:t>
      </w:r>
      <w:r>
        <w:t>that</w:t>
      </w:r>
      <w:r>
        <w:rPr>
          <w:spacing w:val="59"/>
        </w:rPr>
        <w:t xml:space="preserve"> </w:t>
      </w:r>
      <w:r>
        <w:t>x</w:t>
      </w:r>
      <w:r>
        <w:rPr>
          <w:spacing w:val="59"/>
        </w:rPr>
        <w:t xml:space="preserve"> </w:t>
      </w:r>
      <w:r>
        <w:t>was</w:t>
      </w:r>
      <w:r>
        <w:rPr>
          <w:spacing w:val="59"/>
        </w:rPr>
        <w:t xml:space="preserve"> </w:t>
      </w:r>
      <w:r>
        <w:t>green—it</w:t>
      </w:r>
      <w:r>
        <w:rPr>
          <w:spacing w:val="59"/>
        </w:rPr>
        <w:t xml:space="preserve"> </w:t>
      </w:r>
      <w:r>
        <w:t>would</w:t>
      </w:r>
      <w:r>
        <w:rPr>
          <w:spacing w:val="59"/>
        </w:rPr>
        <w:t xml:space="preserve"> </w:t>
      </w:r>
      <w:r>
        <w:t>be</w:t>
      </w:r>
      <w:r>
        <w:rPr>
          <w:spacing w:val="59"/>
        </w:rPr>
        <w:t xml:space="preserve"> </w:t>
      </w:r>
      <w:r>
        <w:t>in</w:t>
      </w:r>
    </w:p>
    <w:p w14:paraId="7E001EF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F3" w14:textId="77777777" w:rsidR="009A58DB" w:rsidRDefault="00000000">
      <w:pPr>
        <w:pStyle w:val="BodyText"/>
        <w:spacing w:before="60" w:line="249" w:lineRule="auto"/>
        <w:ind w:right="357"/>
      </w:pPr>
      <w:r>
        <w:lastRenderedPageBreak/>
        <w:t xml:space="preserve">virtue of its having certain reflective properties. And it wouldn’t be in virtue of its having those reflective properties that x was triangular—it would be in virtue of its being a three-sided, straight-edged (etc.) figure. This shows that the meaning of (B) is (C). When occurring in statements affirming logical (as opposed to causal) dependencies, “in virtue of” denotes a relationship holding, not between things </w:t>
      </w:r>
      <w:r>
        <w:rPr>
          <w:i/>
        </w:rPr>
        <w:t xml:space="preserve">or </w:t>
      </w:r>
      <w:r>
        <w:t>even facts, but between propositions.</w:t>
      </w:r>
    </w:p>
    <w:p w14:paraId="7E001EF4" w14:textId="77777777" w:rsidR="009A58DB" w:rsidRDefault="00000000">
      <w:pPr>
        <w:pStyle w:val="BodyText"/>
        <w:spacing w:before="12" w:line="249" w:lineRule="auto"/>
        <w:ind w:right="359" w:firstLine="360"/>
      </w:pPr>
      <w:r>
        <w:t xml:space="preserve">Given that the occurrence in (A) of “by virtue of” does denote a relationship holding between states of affairs, what are we to say? One response, of course, is to say that it’s ambiguous. But, in addition to appearing very wrong, this response is unnecessary. (A) doesn’t express an </w:t>
      </w:r>
      <w:r>
        <w:rPr>
          <w:i/>
        </w:rPr>
        <w:t xml:space="preserve">entailment. </w:t>
      </w:r>
      <w:r>
        <w:t xml:space="preserve">But it does express </w:t>
      </w:r>
      <w:r>
        <w:rPr>
          <w:i/>
        </w:rPr>
        <w:t xml:space="preserve">a </w:t>
      </w:r>
      <w:r>
        <w:t>dependence-relation holding between statements.</w:t>
      </w:r>
      <w:r>
        <w:rPr>
          <w:spacing w:val="-3"/>
        </w:rPr>
        <w:t xml:space="preserve"> </w:t>
      </w:r>
      <w:r>
        <w:t>The</w:t>
      </w:r>
      <w:r>
        <w:rPr>
          <w:spacing w:val="-4"/>
        </w:rPr>
        <w:t xml:space="preserve"> </w:t>
      </w:r>
      <w:r>
        <w:t>truth</w:t>
      </w:r>
      <w:r>
        <w:rPr>
          <w:spacing w:val="-3"/>
        </w:rPr>
        <w:t xml:space="preserve"> </w:t>
      </w:r>
      <w:r>
        <w:t>of</w:t>
      </w:r>
      <w:r>
        <w:rPr>
          <w:spacing w:val="-4"/>
        </w:rPr>
        <w:t xml:space="preserve"> </w:t>
      </w:r>
      <w:r>
        <w:rPr>
          <w:i/>
        </w:rPr>
        <w:t>Smith</w:t>
      </w:r>
      <w:r>
        <w:rPr>
          <w:i/>
          <w:spacing w:val="-3"/>
        </w:rPr>
        <w:t xml:space="preserve"> </w:t>
      </w:r>
      <w:r>
        <w:rPr>
          <w:i/>
        </w:rPr>
        <w:t>won</w:t>
      </w:r>
      <w:r>
        <w:rPr>
          <w:i/>
          <w:spacing w:val="-3"/>
        </w:rPr>
        <w:t xml:space="preserve"> </w:t>
      </w:r>
      <w:r>
        <w:rPr>
          <w:i/>
        </w:rPr>
        <w:t>the</w:t>
      </w:r>
      <w:r>
        <w:rPr>
          <w:i/>
          <w:spacing w:val="-4"/>
        </w:rPr>
        <w:t xml:space="preserve"> </w:t>
      </w:r>
      <w:r>
        <w:rPr>
          <w:i/>
        </w:rPr>
        <w:t>argument</w:t>
      </w:r>
      <w:r>
        <w:rPr>
          <w:i/>
          <w:spacing w:val="-4"/>
        </w:rPr>
        <w:t xml:space="preserve"> </w:t>
      </w:r>
      <w:r>
        <w:t>is,</w:t>
      </w:r>
      <w:r>
        <w:rPr>
          <w:spacing w:val="-3"/>
        </w:rPr>
        <w:t xml:space="preserve"> </w:t>
      </w:r>
      <w:r>
        <w:t>in</w:t>
      </w:r>
      <w:r>
        <w:rPr>
          <w:spacing w:val="-3"/>
        </w:rPr>
        <w:t xml:space="preserve"> </w:t>
      </w:r>
      <w:r>
        <w:t>this</w:t>
      </w:r>
      <w:r>
        <w:rPr>
          <w:spacing w:val="-4"/>
        </w:rPr>
        <w:t xml:space="preserve"> </w:t>
      </w:r>
      <w:r>
        <w:t>context,</w:t>
      </w:r>
      <w:r>
        <w:rPr>
          <w:spacing w:val="-3"/>
        </w:rPr>
        <w:t xml:space="preserve"> </w:t>
      </w:r>
      <w:r>
        <w:t xml:space="preserve">dependent on the truth of </w:t>
      </w:r>
      <w:r>
        <w:rPr>
          <w:i/>
        </w:rPr>
        <w:t xml:space="preserve">Smith bullied his opponent. </w:t>
      </w:r>
      <w:r>
        <w:t xml:space="preserve">In general, “in virtue of,” when occurring in causal contexts, can be interpreted as denoting a form of interpropositional dependence; and we may therefore condense (i) and (ii) </w:t>
      </w:r>
      <w:r>
        <w:rPr>
          <w:spacing w:val="-4"/>
        </w:rPr>
        <w:t>into</w:t>
      </w:r>
    </w:p>
    <w:p w14:paraId="7E001EF5" w14:textId="77777777" w:rsidR="009A58DB" w:rsidRDefault="00000000">
      <w:pPr>
        <w:pStyle w:val="BodyText"/>
        <w:spacing w:before="117"/>
      </w:pPr>
      <w:r>
        <w:t>(iii)</w:t>
      </w:r>
      <w:r>
        <w:rPr>
          <w:spacing w:val="-8"/>
        </w:rPr>
        <w:t xml:space="preserve"> </w:t>
      </w:r>
      <w:r>
        <w:t>Dependence-relations</w:t>
      </w:r>
      <w:r>
        <w:rPr>
          <w:spacing w:val="-5"/>
        </w:rPr>
        <w:t xml:space="preserve"> </w:t>
      </w:r>
      <w:r>
        <w:t>hold</w:t>
      </w:r>
      <w:r>
        <w:rPr>
          <w:spacing w:val="-4"/>
        </w:rPr>
        <w:t xml:space="preserve"> </w:t>
      </w:r>
      <w:r>
        <w:t>between</w:t>
      </w:r>
      <w:r>
        <w:rPr>
          <w:spacing w:val="-4"/>
        </w:rPr>
        <w:t xml:space="preserve"> </w:t>
      </w:r>
      <w:r>
        <w:t>propositions,</w:t>
      </w:r>
      <w:r>
        <w:rPr>
          <w:spacing w:val="-4"/>
        </w:rPr>
        <w:t xml:space="preserve"> </w:t>
      </w:r>
      <w:r>
        <w:t>as</w:t>
      </w:r>
      <w:r>
        <w:rPr>
          <w:spacing w:val="-5"/>
        </w:rPr>
        <w:t xml:space="preserve"> </w:t>
      </w:r>
      <w:r>
        <w:t>opposed</w:t>
      </w:r>
      <w:r>
        <w:rPr>
          <w:spacing w:val="-4"/>
        </w:rPr>
        <w:t xml:space="preserve"> </w:t>
      </w:r>
      <w:r>
        <w:t>to</w:t>
      </w:r>
      <w:r>
        <w:rPr>
          <w:spacing w:val="-4"/>
        </w:rPr>
        <w:t xml:space="preserve"> </w:t>
      </w:r>
      <w:r>
        <w:rPr>
          <w:spacing w:val="-2"/>
        </w:rPr>
        <w:t>things.</w:t>
      </w:r>
    </w:p>
    <w:p w14:paraId="7E001EF6" w14:textId="77777777" w:rsidR="009A58DB" w:rsidRDefault="00000000">
      <w:pPr>
        <w:pStyle w:val="Heading1"/>
        <w:numPr>
          <w:ilvl w:val="1"/>
          <w:numId w:val="85"/>
        </w:numPr>
        <w:tabs>
          <w:tab w:val="left" w:pos="990"/>
        </w:tabs>
        <w:ind w:left="990" w:hanging="630"/>
        <w:jc w:val="both"/>
      </w:pPr>
      <w:r>
        <w:t>Functionalism,</w:t>
      </w:r>
      <w:r>
        <w:rPr>
          <w:spacing w:val="-20"/>
        </w:rPr>
        <w:t xml:space="preserve"> </w:t>
      </w:r>
      <w:r>
        <w:t>content-</w:t>
      </w:r>
      <w:r>
        <w:rPr>
          <w:spacing w:val="-2"/>
        </w:rPr>
        <w:t>externalism</w:t>
      </w:r>
    </w:p>
    <w:p w14:paraId="7E001EF7" w14:textId="77777777" w:rsidR="009A58DB" w:rsidRDefault="00000000">
      <w:pPr>
        <w:pStyle w:val="BodyText"/>
        <w:spacing w:before="139" w:line="249" w:lineRule="auto"/>
        <w:ind w:right="359"/>
        <w:rPr>
          <w:position w:val="21"/>
        </w:rPr>
      </w:pPr>
      <w:r>
        <w:t xml:space="preserve">According to a doctrine known as “functionalism,” it is </w:t>
      </w:r>
      <w:r>
        <w:rPr>
          <w:i/>
        </w:rPr>
        <w:t xml:space="preserve">wholly </w:t>
      </w:r>
      <w:r>
        <w:t>in virtue of what its causes and effects are that a given brain-state (or physical entity of any kind) falls into a given mental category. Anything that has certain causes and certain effects is ipso facto a belief that snow is white or a desire for a world peace or a vitriolic dislike of a certain piece of music.</w:t>
      </w:r>
      <w:bookmarkStart w:id="426" w:name="_bookmark426"/>
      <w:bookmarkEnd w:id="426"/>
      <w:r>
        <w:rPr>
          <w:color w:val="0562C1"/>
          <w:position w:val="21"/>
          <w:u w:val="single" w:color="0562C1"/>
        </w:rPr>
        <w:t>[308]</w:t>
      </w:r>
    </w:p>
    <w:p w14:paraId="7E001EF8" w14:textId="77777777" w:rsidR="009A58DB" w:rsidRDefault="00000000">
      <w:pPr>
        <w:pStyle w:val="BodyText"/>
        <w:spacing w:before="7" w:line="249" w:lineRule="auto"/>
        <w:ind w:right="359" w:firstLine="360"/>
      </w:pPr>
      <w:r>
        <w:t xml:space="preserve">Functionalism has no plausibility when it comes to sensations or, more generally, anything that has </w:t>
      </w:r>
      <w:r>
        <w:rPr>
          <w:b/>
          <w:i/>
        </w:rPr>
        <w:t xml:space="preserve">phenomenal content. </w:t>
      </w:r>
      <w:r>
        <w:t>But it’s widely taken to be correct when it comes to so-called “dispositional” mental entities such as beliefs and objectives. (I put the word “dispositional” in quotes because, for reasons that I’ll now give, I reject this way of characterizing the mental entities in question.)</w:t>
      </w:r>
    </w:p>
    <w:p w14:paraId="7E001EF9" w14:textId="77777777" w:rsidR="009A58DB" w:rsidRDefault="00000000">
      <w:pPr>
        <w:pStyle w:val="BodyText"/>
        <w:spacing w:before="7" w:line="249" w:lineRule="auto"/>
        <w:ind w:right="359" w:firstLine="360"/>
      </w:pPr>
      <w:r>
        <w:t>Thus restricted, functionalism may initially sound plausible. But it has some grisly problems that a story will help to expose. While standing right in front of you, Jones, a demented acquaintance of yours, puts what is clearly arsenic</w:t>
      </w:r>
      <w:r>
        <w:rPr>
          <w:spacing w:val="-1"/>
        </w:rPr>
        <w:t xml:space="preserve"> </w:t>
      </w:r>
      <w:r>
        <w:t>in</w:t>
      </w:r>
      <w:r>
        <w:rPr>
          <w:spacing w:val="-1"/>
        </w:rPr>
        <w:t xml:space="preserve"> </w:t>
      </w:r>
      <w:r>
        <w:t>a</w:t>
      </w:r>
      <w:r>
        <w:rPr>
          <w:spacing w:val="-1"/>
        </w:rPr>
        <w:t xml:space="preserve"> </w:t>
      </w:r>
      <w:r>
        <w:t>glass</w:t>
      </w:r>
      <w:r>
        <w:rPr>
          <w:spacing w:val="-1"/>
        </w:rPr>
        <w:t xml:space="preserve"> </w:t>
      </w:r>
      <w:r>
        <w:t>of</w:t>
      </w:r>
      <w:r>
        <w:rPr>
          <w:spacing w:val="-1"/>
        </w:rPr>
        <w:t xml:space="preserve"> </w:t>
      </w:r>
      <w:r>
        <w:t>water.</w:t>
      </w:r>
      <w:r>
        <w:rPr>
          <w:spacing w:val="-1"/>
        </w:rPr>
        <w:t xml:space="preserve"> </w:t>
      </w:r>
      <w:r>
        <w:t>He</w:t>
      </w:r>
      <w:r>
        <w:rPr>
          <w:spacing w:val="-1"/>
        </w:rPr>
        <w:t xml:space="preserve"> </w:t>
      </w:r>
      <w:r>
        <w:t>then</w:t>
      </w:r>
      <w:r>
        <w:rPr>
          <w:spacing w:val="-1"/>
        </w:rPr>
        <w:t xml:space="preserve"> </w:t>
      </w:r>
      <w:r>
        <w:t>tries</w:t>
      </w:r>
      <w:r>
        <w:rPr>
          <w:spacing w:val="-1"/>
        </w:rPr>
        <w:t xml:space="preserve"> </w:t>
      </w:r>
      <w:r>
        <w:t>to</w:t>
      </w:r>
      <w:r>
        <w:rPr>
          <w:spacing w:val="-1"/>
        </w:rPr>
        <w:t xml:space="preserve"> </w:t>
      </w:r>
      <w:r>
        <w:t>make</w:t>
      </w:r>
      <w:r>
        <w:rPr>
          <w:spacing w:val="-1"/>
        </w:rPr>
        <w:t xml:space="preserve"> </w:t>
      </w:r>
      <w:r>
        <w:t>you</w:t>
      </w:r>
      <w:r>
        <w:rPr>
          <w:spacing w:val="-1"/>
        </w:rPr>
        <w:t xml:space="preserve"> </w:t>
      </w:r>
      <w:r>
        <w:t>drink</w:t>
      </w:r>
      <w:r>
        <w:rPr>
          <w:spacing w:val="-1"/>
        </w:rPr>
        <w:t xml:space="preserve"> </w:t>
      </w:r>
      <w:r>
        <w:t>the</w:t>
      </w:r>
      <w:r>
        <w:rPr>
          <w:spacing w:val="-1"/>
        </w:rPr>
        <w:t xml:space="preserve"> </w:t>
      </w:r>
      <w:r>
        <w:t>water.</w:t>
      </w:r>
      <w:r>
        <w:rPr>
          <w:spacing w:val="-1"/>
        </w:rPr>
        <w:t xml:space="preserve"> </w:t>
      </w:r>
      <w:r>
        <w:t>Jones</w:t>
      </w:r>
      <w:r>
        <w:rPr>
          <w:spacing w:val="-1"/>
        </w:rPr>
        <w:t xml:space="preserve"> </w:t>
      </w:r>
      <w:r>
        <w:t>is</w:t>
      </w:r>
    </w:p>
    <w:p w14:paraId="7E001EF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EFB" w14:textId="77777777" w:rsidR="009A58DB" w:rsidRDefault="00000000">
      <w:pPr>
        <w:pStyle w:val="BodyText"/>
        <w:spacing w:before="65" w:line="249" w:lineRule="auto"/>
        <w:ind w:right="363"/>
      </w:pPr>
      <w:r>
        <w:lastRenderedPageBreak/>
        <w:t>very strong and is also a trained martial artist; so while holding the glass in one hand, without spilling any of it, he puts in you a joint-lock and tries to pour the contents of said glass down your throat. You shut your mouth, and you twist and squirm. Miraculously, you break free and run out the door.</w:t>
      </w:r>
    </w:p>
    <w:p w14:paraId="7E001EFC" w14:textId="77777777" w:rsidR="009A58DB" w:rsidRDefault="00000000">
      <w:pPr>
        <w:pStyle w:val="BodyText"/>
        <w:spacing w:before="5" w:line="249" w:lineRule="auto"/>
        <w:ind w:right="359" w:firstLine="360"/>
        <w:rPr>
          <w:i/>
        </w:rPr>
      </w:pPr>
      <w:r>
        <w:t xml:space="preserve">What caused all of this behavior? A good part of it was your belief that Smith was trying to make you drink arsenic. Another part of it was your belief that, were Smith to succeed in making you drink arsenic, you’d suffer some adverse consequence. Yet another part was your wish to not die. And, of course, other </w:t>
      </w:r>
      <w:r>
        <w:rPr>
          <w:b/>
          <w:i/>
        </w:rPr>
        <w:t xml:space="preserve">propositional attitudes </w:t>
      </w:r>
      <w:r>
        <w:t>of yours were determinative of your behavior.</w:t>
      </w:r>
      <w:r>
        <w:rPr>
          <w:spacing w:val="-1"/>
        </w:rPr>
        <w:t xml:space="preserve"> </w:t>
      </w:r>
      <w:r>
        <w:t>Supposing</w:t>
      </w:r>
      <w:r>
        <w:rPr>
          <w:spacing w:val="-1"/>
        </w:rPr>
        <w:t xml:space="preserve"> </w:t>
      </w:r>
      <w:r>
        <w:t>that</w:t>
      </w:r>
      <w:r>
        <w:rPr>
          <w:spacing w:val="-1"/>
        </w:rPr>
        <w:t xml:space="preserve"> </w:t>
      </w:r>
      <w:r>
        <w:t>x</w:t>
      </w:r>
      <w:r>
        <w:rPr>
          <w:spacing w:val="-1"/>
        </w:rPr>
        <w:t xml:space="preserve"> </w:t>
      </w:r>
      <w:r>
        <w:t>is</w:t>
      </w:r>
      <w:r>
        <w:rPr>
          <w:spacing w:val="-1"/>
        </w:rPr>
        <w:t xml:space="preserve"> </w:t>
      </w:r>
      <w:r>
        <w:t>the</w:t>
      </w:r>
      <w:r>
        <w:rPr>
          <w:spacing w:val="-1"/>
        </w:rPr>
        <w:t xml:space="preserve"> </w:t>
      </w:r>
      <w:r>
        <w:t>part</w:t>
      </w:r>
      <w:r>
        <w:rPr>
          <w:spacing w:val="-2"/>
        </w:rPr>
        <w:t xml:space="preserve"> </w:t>
      </w:r>
      <w:r>
        <w:t>of</w:t>
      </w:r>
      <w:r>
        <w:rPr>
          <w:spacing w:val="-1"/>
        </w:rPr>
        <w:t xml:space="preserve"> </w:t>
      </w:r>
      <w:r>
        <w:t>your</w:t>
      </w:r>
      <w:r>
        <w:rPr>
          <w:spacing w:val="-1"/>
        </w:rPr>
        <w:t xml:space="preserve"> </w:t>
      </w:r>
      <w:r>
        <w:t>brain</w:t>
      </w:r>
      <w:r>
        <w:rPr>
          <w:spacing w:val="-1"/>
        </w:rPr>
        <w:t xml:space="preserve"> </w:t>
      </w:r>
      <w:r>
        <w:t>that</w:t>
      </w:r>
      <w:r>
        <w:rPr>
          <w:spacing w:val="-1"/>
        </w:rPr>
        <w:t xml:space="preserve"> </w:t>
      </w:r>
      <w:r>
        <w:t>comprises</w:t>
      </w:r>
      <w:r>
        <w:rPr>
          <w:spacing w:val="-1"/>
        </w:rPr>
        <w:t xml:space="preserve"> </w:t>
      </w:r>
      <w:r>
        <w:t>the</w:t>
      </w:r>
      <w:r>
        <w:rPr>
          <w:spacing w:val="-1"/>
        </w:rPr>
        <w:t xml:space="preserve"> </w:t>
      </w:r>
      <w:r>
        <w:t xml:space="preserve">various physical structures and events that mediate these different propositional attitudes, it isn’t just </w:t>
      </w:r>
      <w:r>
        <w:rPr>
          <w:i/>
        </w:rPr>
        <w:t xml:space="preserve">x </w:t>
      </w:r>
      <w:r>
        <w:t>that makes you squirm and fight, and so on. Rather,</w:t>
      </w:r>
      <w:r>
        <w:rPr>
          <w:spacing w:val="40"/>
        </w:rPr>
        <w:t xml:space="preserve"> </w:t>
      </w:r>
      <w:r>
        <w:t xml:space="preserve">it’s </w:t>
      </w:r>
      <w:r>
        <w:rPr>
          <w:i/>
        </w:rPr>
        <w:t>x’s being a belief that Jones is about to make you drink arsenic.</w:t>
      </w:r>
    </w:p>
    <w:p w14:paraId="7E001EFD" w14:textId="77777777" w:rsidR="009A58DB" w:rsidRDefault="00000000">
      <w:pPr>
        <w:pStyle w:val="BodyText"/>
        <w:spacing w:before="11" w:line="249" w:lineRule="auto"/>
        <w:ind w:right="361" w:firstLine="360"/>
      </w:pPr>
      <w:r>
        <w:t>But functionalism cannot accommodate this obvious fact. According to functionalism, it is in virtue of what x causes and what causes it that x is a belief</w:t>
      </w:r>
      <w:r>
        <w:rPr>
          <w:spacing w:val="-12"/>
        </w:rPr>
        <w:t xml:space="preserve"> </w:t>
      </w:r>
      <w:r>
        <w:t>that</w:t>
      </w:r>
      <w:r>
        <w:rPr>
          <w:spacing w:val="-12"/>
        </w:rPr>
        <w:t xml:space="preserve"> </w:t>
      </w:r>
      <w:r>
        <w:t>Jones</w:t>
      </w:r>
      <w:r>
        <w:rPr>
          <w:spacing w:val="-12"/>
        </w:rPr>
        <w:t xml:space="preserve"> </w:t>
      </w:r>
      <w:r>
        <w:t>is</w:t>
      </w:r>
      <w:r>
        <w:rPr>
          <w:spacing w:val="-12"/>
        </w:rPr>
        <w:t xml:space="preserve"> </w:t>
      </w:r>
      <w:r>
        <w:t>about</w:t>
      </w:r>
      <w:r>
        <w:rPr>
          <w:spacing w:val="-12"/>
        </w:rPr>
        <w:t xml:space="preserve"> </w:t>
      </w:r>
      <w:r>
        <w:t>to</w:t>
      </w:r>
      <w:r>
        <w:rPr>
          <w:spacing w:val="-12"/>
        </w:rPr>
        <w:t xml:space="preserve"> </w:t>
      </w:r>
      <w:r>
        <w:t>do</w:t>
      </w:r>
      <w:r>
        <w:rPr>
          <w:spacing w:val="-12"/>
        </w:rPr>
        <w:t xml:space="preserve"> </w:t>
      </w:r>
      <w:r>
        <w:t>that.</w:t>
      </w:r>
      <w:r>
        <w:rPr>
          <w:spacing w:val="-16"/>
        </w:rPr>
        <w:t xml:space="preserve"> </w:t>
      </w:r>
      <w:r>
        <w:t>The</w:t>
      </w:r>
      <w:r>
        <w:rPr>
          <w:spacing w:val="-12"/>
        </w:rPr>
        <w:t xml:space="preserve"> </w:t>
      </w:r>
      <w:r>
        <w:t>causal</w:t>
      </w:r>
      <w:r>
        <w:rPr>
          <w:spacing w:val="-12"/>
        </w:rPr>
        <w:t xml:space="preserve"> </w:t>
      </w:r>
      <w:r>
        <w:t>relations</w:t>
      </w:r>
      <w:r>
        <w:rPr>
          <w:spacing w:val="-12"/>
        </w:rPr>
        <w:t xml:space="preserve"> </w:t>
      </w:r>
      <w:r>
        <w:t>fix</w:t>
      </w:r>
      <w:r>
        <w:rPr>
          <w:spacing w:val="-14"/>
        </w:rPr>
        <w:t xml:space="preserve"> </w:t>
      </w:r>
      <w:r>
        <w:t>the</w:t>
      </w:r>
      <w:r>
        <w:rPr>
          <w:spacing w:val="-15"/>
        </w:rPr>
        <w:t xml:space="preserve"> </w:t>
      </w:r>
      <w:r>
        <w:t>content,</w:t>
      </w:r>
      <w:r>
        <w:rPr>
          <w:spacing w:val="-14"/>
        </w:rPr>
        <w:t xml:space="preserve"> </w:t>
      </w:r>
      <w:r>
        <w:t>not</w:t>
      </w:r>
      <w:r>
        <w:rPr>
          <w:spacing w:val="-14"/>
        </w:rPr>
        <w:t xml:space="preserve"> </w:t>
      </w:r>
      <w:r>
        <w:t>the other</w:t>
      </w:r>
      <w:r>
        <w:rPr>
          <w:spacing w:val="-2"/>
        </w:rPr>
        <w:t xml:space="preserve"> </w:t>
      </w:r>
      <w:r>
        <w:t>way</w:t>
      </w:r>
      <w:r>
        <w:rPr>
          <w:spacing w:val="-2"/>
        </w:rPr>
        <w:t xml:space="preserve"> </w:t>
      </w:r>
      <w:r>
        <w:t>around.</w:t>
      </w:r>
      <w:r>
        <w:rPr>
          <w:spacing w:val="-6"/>
        </w:rPr>
        <w:t xml:space="preserve"> </w:t>
      </w:r>
      <w:r>
        <w:t>This</w:t>
      </w:r>
      <w:r>
        <w:rPr>
          <w:spacing w:val="-2"/>
        </w:rPr>
        <w:t xml:space="preserve"> </w:t>
      </w:r>
      <w:r>
        <w:t>means</w:t>
      </w:r>
      <w:r>
        <w:rPr>
          <w:spacing w:val="-2"/>
        </w:rPr>
        <w:t xml:space="preserve"> </w:t>
      </w:r>
      <w:r>
        <w:t>that,</w:t>
      </w:r>
      <w:r>
        <w:rPr>
          <w:spacing w:val="-2"/>
        </w:rPr>
        <w:t xml:space="preserve"> </w:t>
      </w:r>
      <w:r>
        <w:t>if</w:t>
      </w:r>
      <w:r>
        <w:rPr>
          <w:spacing w:val="-2"/>
        </w:rPr>
        <w:t xml:space="preserve"> </w:t>
      </w:r>
      <w:r>
        <w:t>functionalism</w:t>
      </w:r>
      <w:r>
        <w:rPr>
          <w:spacing w:val="-2"/>
        </w:rPr>
        <w:t xml:space="preserve"> </w:t>
      </w:r>
      <w:r>
        <w:t>is</w:t>
      </w:r>
      <w:r>
        <w:rPr>
          <w:spacing w:val="-2"/>
        </w:rPr>
        <w:t xml:space="preserve"> </w:t>
      </w:r>
      <w:r>
        <w:t>right,</w:t>
      </w:r>
      <w:r>
        <w:rPr>
          <w:spacing w:val="-2"/>
        </w:rPr>
        <w:t xml:space="preserve"> </w:t>
      </w:r>
      <w:r>
        <w:t>x’s</w:t>
      </w:r>
      <w:r>
        <w:rPr>
          <w:spacing w:val="-2"/>
        </w:rPr>
        <w:t xml:space="preserve"> </w:t>
      </w:r>
      <w:r>
        <w:t>being</w:t>
      </w:r>
      <w:r>
        <w:rPr>
          <w:spacing w:val="-2"/>
        </w:rPr>
        <w:t xml:space="preserve"> </w:t>
      </w:r>
      <w:r>
        <w:t>a</w:t>
      </w:r>
      <w:r>
        <w:rPr>
          <w:spacing w:val="-2"/>
        </w:rPr>
        <w:t xml:space="preserve"> </w:t>
      </w:r>
      <w:r>
        <w:t xml:space="preserve">belief </w:t>
      </w:r>
      <w:r>
        <w:rPr>
          <w:spacing w:val="-2"/>
        </w:rPr>
        <w:t>that</w:t>
      </w:r>
      <w:r>
        <w:rPr>
          <w:spacing w:val="-17"/>
        </w:rPr>
        <w:t xml:space="preserve"> </w:t>
      </w:r>
      <w:r>
        <w:rPr>
          <w:spacing w:val="-2"/>
        </w:rPr>
        <w:t>Jones</w:t>
      </w:r>
      <w:r>
        <w:rPr>
          <w:spacing w:val="-17"/>
        </w:rPr>
        <w:t xml:space="preserve"> </w:t>
      </w:r>
      <w:r>
        <w:rPr>
          <w:spacing w:val="-2"/>
        </w:rPr>
        <w:t>is</w:t>
      </w:r>
      <w:r>
        <w:rPr>
          <w:spacing w:val="-17"/>
        </w:rPr>
        <w:t xml:space="preserve"> </w:t>
      </w:r>
      <w:r>
        <w:rPr>
          <w:spacing w:val="-2"/>
        </w:rPr>
        <w:t>about</w:t>
      </w:r>
      <w:r>
        <w:rPr>
          <w:spacing w:val="-16"/>
        </w:rPr>
        <w:t xml:space="preserve"> </w:t>
      </w:r>
      <w:r>
        <w:rPr>
          <w:spacing w:val="-2"/>
        </w:rPr>
        <w:t>to</w:t>
      </w:r>
      <w:r>
        <w:rPr>
          <w:spacing w:val="-17"/>
        </w:rPr>
        <w:t xml:space="preserve"> </w:t>
      </w:r>
      <w:r>
        <w:rPr>
          <w:spacing w:val="-2"/>
        </w:rPr>
        <w:t>make</w:t>
      </w:r>
      <w:r>
        <w:rPr>
          <w:spacing w:val="-17"/>
        </w:rPr>
        <w:t xml:space="preserve"> </w:t>
      </w:r>
      <w:r>
        <w:rPr>
          <w:spacing w:val="-2"/>
        </w:rPr>
        <w:t>you</w:t>
      </w:r>
      <w:r>
        <w:rPr>
          <w:spacing w:val="-17"/>
        </w:rPr>
        <w:t xml:space="preserve"> </w:t>
      </w:r>
      <w:r>
        <w:rPr>
          <w:spacing w:val="-2"/>
        </w:rPr>
        <w:t>drink</w:t>
      </w:r>
      <w:r>
        <w:rPr>
          <w:spacing w:val="-16"/>
        </w:rPr>
        <w:t xml:space="preserve"> </w:t>
      </w:r>
      <w:r>
        <w:rPr>
          <w:spacing w:val="-2"/>
        </w:rPr>
        <w:t>arsenic</w:t>
      </w:r>
      <w:r>
        <w:rPr>
          <w:spacing w:val="-17"/>
        </w:rPr>
        <w:t xml:space="preserve"> </w:t>
      </w:r>
      <w:r>
        <w:rPr>
          <w:spacing w:val="-2"/>
        </w:rPr>
        <w:t>does</w:t>
      </w:r>
      <w:r>
        <w:rPr>
          <w:spacing w:val="-17"/>
        </w:rPr>
        <w:t xml:space="preserve"> </w:t>
      </w:r>
      <w:r>
        <w:rPr>
          <w:i/>
          <w:spacing w:val="-2"/>
        </w:rPr>
        <w:t>nothing.</w:t>
      </w:r>
      <w:r>
        <w:rPr>
          <w:i/>
          <w:spacing w:val="-17"/>
        </w:rPr>
        <w:t xml:space="preserve"> </w:t>
      </w:r>
      <w:r>
        <w:rPr>
          <w:spacing w:val="-2"/>
        </w:rPr>
        <w:t>In</w:t>
      </w:r>
      <w:r>
        <w:rPr>
          <w:spacing w:val="-16"/>
        </w:rPr>
        <w:t xml:space="preserve"> </w:t>
      </w:r>
      <w:r>
        <w:rPr>
          <w:spacing w:val="-2"/>
        </w:rPr>
        <w:t>general,</w:t>
      </w:r>
      <w:r>
        <w:rPr>
          <w:spacing w:val="-17"/>
        </w:rPr>
        <w:t xml:space="preserve"> </w:t>
      </w:r>
      <w:r>
        <w:rPr>
          <w:spacing w:val="-2"/>
        </w:rPr>
        <w:t>given</w:t>
      </w:r>
      <w:r>
        <w:rPr>
          <w:spacing w:val="-17"/>
        </w:rPr>
        <w:t xml:space="preserve"> </w:t>
      </w:r>
      <w:r>
        <w:rPr>
          <w:spacing w:val="-2"/>
        </w:rPr>
        <w:t xml:space="preserve">any </w:t>
      </w:r>
      <w:r>
        <w:t>entity</w:t>
      </w:r>
      <w:r>
        <w:rPr>
          <w:spacing w:val="-11"/>
        </w:rPr>
        <w:t xml:space="preserve"> </w:t>
      </w:r>
      <w:r>
        <w:t>O</w:t>
      </w:r>
      <w:r>
        <w:rPr>
          <w:spacing w:val="-11"/>
        </w:rPr>
        <w:t xml:space="preserve"> </w:t>
      </w:r>
      <w:r>
        <w:t>that</w:t>
      </w:r>
      <w:r>
        <w:rPr>
          <w:spacing w:val="-11"/>
        </w:rPr>
        <w:t xml:space="preserve"> </w:t>
      </w:r>
      <w:r>
        <w:t>mediates</w:t>
      </w:r>
      <w:r>
        <w:rPr>
          <w:spacing w:val="-11"/>
        </w:rPr>
        <w:t xml:space="preserve"> </w:t>
      </w:r>
      <w:r>
        <w:t>mental</w:t>
      </w:r>
      <w:r>
        <w:rPr>
          <w:spacing w:val="-11"/>
        </w:rPr>
        <w:t xml:space="preserve"> </w:t>
      </w:r>
      <w:r>
        <w:t>state</w:t>
      </w:r>
      <w:r>
        <w:rPr>
          <w:spacing w:val="-11"/>
        </w:rPr>
        <w:t xml:space="preserve"> </w:t>
      </w:r>
      <w:r>
        <w:t>M,</w:t>
      </w:r>
    </w:p>
    <w:p w14:paraId="7E001EFE" w14:textId="77777777" w:rsidR="009A58DB" w:rsidRDefault="00000000">
      <w:pPr>
        <w:pStyle w:val="BodyText"/>
        <w:spacing w:before="7" w:line="249" w:lineRule="auto"/>
        <w:ind w:right="358"/>
      </w:pPr>
      <w:r>
        <w:t>O’s being an instance of M without effects. But this means that, if functionalism is correct, then the mental does nothing; it has no causal</w:t>
      </w:r>
      <w:r>
        <w:rPr>
          <w:spacing w:val="40"/>
        </w:rPr>
        <w:t xml:space="preserve"> </w:t>
      </w:r>
      <w:r>
        <w:t xml:space="preserve">powers at all. Of course, functionalism is consistent with, and in fact depends on, the presumption that the brain-states that mediate mental states have causal powers. But since functionalism is inconsistent with the fact that </w:t>
      </w:r>
      <w:r>
        <w:rPr>
          <w:i/>
        </w:rPr>
        <w:t xml:space="preserve">in virtue of being mental states, </w:t>
      </w:r>
      <w:r>
        <w:t>brain-states are powerless, functionalism amounts to the denial that the mental (</w:t>
      </w:r>
      <w:r>
        <w:rPr>
          <w:i/>
        </w:rPr>
        <w:t xml:space="preserve">qua </w:t>
      </w:r>
      <w:r>
        <w:t xml:space="preserve">mental) has any causal powers at all. Given the fact that anything spatiotemporal ipso facto has causal powers, the reason being that occupancy of a time or a place </w:t>
      </w:r>
      <w:r>
        <w:rPr>
          <w:i/>
        </w:rPr>
        <w:t>is</w:t>
      </w:r>
      <w:r>
        <w:rPr>
          <w:i/>
          <w:spacing w:val="-3"/>
        </w:rPr>
        <w:t xml:space="preserve"> </w:t>
      </w:r>
      <w:r>
        <w:t>a form of causality, it follows that functionalism denies the very existence of minds.</w:t>
      </w:r>
    </w:p>
    <w:p w14:paraId="7E001EFF" w14:textId="77777777" w:rsidR="009A58DB" w:rsidRDefault="00000000">
      <w:pPr>
        <w:pStyle w:val="BodyText"/>
        <w:spacing w:before="12" w:line="249" w:lineRule="auto"/>
        <w:ind w:right="361" w:firstLine="360"/>
      </w:pPr>
      <w:r>
        <w:t>According to a doctrine known as “</w:t>
      </w:r>
      <w:r>
        <w:rPr>
          <w:b/>
          <w:i/>
        </w:rPr>
        <w:t>content-externalism,</w:t>
      </w:r>
      <w:r>
        <w:t>” two people, Smith and Twin-Smith, who are exactly the same, leaving aside the remote causes of their current conditions, can have thoughts with different contents. So, because Smith’s current visual perception was caused by light that bounced of Mary, whereas Twin-Smith’s current visual perception was caused by light that bounced off of Twin-Mary, otherwise identical Smith</w:t>
      </w:r>
      <w:r>
        <w:rPr>
          <w:spacing w:val="40"/>
        </w:rPr>
        <w:t xml:space="preserve"> </w:t>
      </w:r>
      <w:r>
        <w:t>and</w:t>
      </w:r>
      <w:r>
        <w:rPr>
          <w:spacing w:val="2"/>
        </w:rPr>
        <w:t xml:space="preserve"> </w:t>
      </w:r>
      <w:r>
        <w:t>Twin-Smith</w:t>
      </w:r>
      <w:r>
        <w:rPr>
          <w:spacing w:val="4"/>
        </w:rPr>
        <w:t xml:space="preserve"> </w:t>
      </w:r>
      <w:r>
        <w:t>are</w:t>
      </w:r>
      <w:r>
        <w:rPr>
          <w:spacing w:val="5"/>
        </w:rPr>
        <w:t xml:space="preserve"> </w:t>
      </w:r>
      <w:r>
        <w:t>now</w:t>
      </w:r>
      <w:r>
        <w:rPr>
          <w:spacing w:val="4"/>
        </w:rPr>
        <w:t xml:space="preserve"> </w:t>
      </w:r>
      <w:r>
        <w:t>having</w:t>
      </w:r>
      <w:r>
        <w:rPr>
          <w:spacing w:val="5"/>
        </w:rPr>
        <w:t xml:space="preserve"> </w:t>
      </w:r>
      <w:r>
        <w:t>thoughts</w:t>
      </w:r>
      <w:r>
        <w:rPr>
          <w:spacing w:val="4"/>
        </w:rPr>
        <w:t xml:space="preserve"> </w:t>
      </w:r>
      <w:r>
        <w:t>with</w:t>
      </w:r>
      <w:r>
        <w:rPr>
          <w:spacing w:val="5"/>
        </w:rPr>
        <w:t xml:space="preserve"> </w:t>
      </w:r>
      <w:r>
        <w:t>different</w:t>
      </w:r>
      <w:r>
        <w:rPr>
          <w:spacing w:val="4"/>
        </w:rPr>
        <w:t xml:space="preserve"> </w:t>
      </w:r>
      <w:r>
        <w:t>truth-conditions</w:t>
      </w:r>
      <w:r>
        <w:rPr>
          <w:spacing w:val="5"/>
        </w:rPr>
        <w:t xml:space="preserve"> </w:t>
      </w:r>
      <w:r>
        <w:rPr>
          <w:spacing w:val="-4"/>
        </w:rPr>
        <w:t>and,</w:t>
      </w:r>
    </w:p>
    <w:p w14:paraId="7E001F0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01" w14:textId="77777777" w:rsidR="009A58DB" w:rsidRDefault="00000000">
      <w:pPr>
        <w:spacing w:before="65" w:line="249" w:lineRule="auto"/>
        <w:ind w:left="360" w:right="368"/>
        <w:jc w:val="both"/>
        <w:rPr>
          <w:sz w:val="30"/>
        </w:rPr>
      </w:pPr>
      <w:r>
        <w:rPr>
          <w:sz w:val="30"/>
        </w:rPr>
        <w:lastRenderedPageBreak/>
        <w:t xml:space="preserve">therefore, different contents. (Smith is thinking </w:t>
      </w:r>
      <w:r>
        <w:rPr>
          <w:i/>
          <w:sz w:val="30"/>
        </w:rPr>
        <w:t>that person</w:t>
      </w:r>
      <w:r>
        <w:rPr>
          <w:sz w:val="30"/>
        </w:rPr>
        <w:t>—viz. Sally—</w:t>
      </w:r>
      <w:r>
        <w:rPr>
          <w:i/>
          <w:sz w:val="30"/>
        </w:rPr>
        <w:t xml:space="preserve">is tall. </w:t>
      </w:r>
      <w:r>
        <w:rPr>
          <w:sz w:val="30"/>
        </w:rPr>
        <w:t xml:space="preserve">Twin-Smith is thinking </w:t>
      </w:r>
      <w:r>
        <w:rPr>
          <w:i/>
          <w:sz w:val="30"/>
        </w:rPr>
        <w:t>that person</w:t>
      </w:r>
      <w:r>
        <w:rPr>
          <w:sz w:val="30"/>
        </w:rPr>
        <w:t>—viz. Twin-Sally—is tall.)</w:t>
      </w:r>
    </w:p>
    <w:p w14:paraId="7E001F02" w14:textId="77777777" w:rsidR="009A58DB" w:rsidRDefault="00000000">
      <w:pPr>
        <w:pStyle w:val="BodyText"/>
        <w:spacing w:before="2" w:line="249" w:lineRule="auto"/>
        <w:ind w:right="363" w:firstLine="360"/>
      </w:pPr>
      <w:r>
        <w:t xml:space="preserve">To appreciate just what the content-externalist says, we must distinguish causal from constitutive necessity. Obviously people have different thoughts. And obviously differences in people’s personal pasts </w:t>
      </w:r>
      <w:r>
        <w:rPr>
          <w:i/>
        </w:rPr>
        <w:t xml:space="preserve">create </w:t>
      </w:r>
      <w:r>
        <w:t xml:space="preserve">many of the cognitive divergences between them. But the content-externalist is saying that, given two people who, like Smith and Twin-Smith, are </w:t>
      </w:r>
      <w:r>
        <w:rPr>
          <w:i/>
        </w:rPr>
        <w:t xml:space="preserve">now </w:t>
      </w:r>
      <w:r>
        <w:t xml:space="preserve">atom-for-atom duplicates of each other, and whose respective pasts haven’t so much as made a dent in the one person that they haven’t made in the other, those two people </w:t>
      </w:r>
      <w:r>
        <w:rPr>
          <w:i/>
        </w:rPr>
        <w:t xml:space="preserve">will think different </w:t>
      </w:r>
      <w:r>
        <w:t>things. They’ll have thoughts with different contents. One of them will think about Sally (gold, water, etc.), while the other thinks about Twin-Sally (fool’s Gold, etc.)</w:t>
      </w:r>
    </w:p>
    <w:p w14:paraId="7E001F03" w14:textId="77777777" w:rsidR="009A58DB" w:rsidRDefault="00000000">
      <w:pPr>
        <w:pStyle w:val="BodyText"/>
        <w:spacing w:before="12" w:line="249" w:lineRule="auto"/>
        <w:ind w:right="359" w:firstLine="360"/>
      </w:pPr>
      <w:r>
        <w:t xml:space="preserve">This view is incoherent. If Smith and Twin-Smith were to switch places, but everything else were held constant, neither would behave or think differently from how he would otherwise do so. Thus, </w:t>
      </w:r>
      <w:r>
        <w:rPr>
          <w:i/>
        </w:rPr>
        <w:t xml:space="preserve">to the extent </w:t>
      </w:r>
      <w:r>
        <w:t>that Smith’s mental content is fixed by factors that aren’t operative in Twin-Smith’s case, Smith’s thinking isn’t at all different from Twin-Smith’s. Any differences between Smith’s and Twin-Smith’s thoughts have some basis other than the differences in their distal causes. So to the extent that mental content is to be understood along content-externalist lines, it is without any causal powers at all, and therefore doesn’t exist.</w:t>
      </w:r>
    </w:p>
    <w:p w14:paraId="7E001F04" w14:textId="77777777" w:rsidR="009A58DB" w:rsidRDefault="00000000">
      <w:pPr>
        <w:pStyle w:val="BodyText"/>
        <w:spacing w:before="11" w:line="249" w:lineRule="auto"/>
        <w:ind w:right="359" w:firstLine="360"/>
      </w:pPr>
      <w:r>
        <w:t xml:space="preserve">As for the content-externalist’s contention that Smith is thinking that </w:t>
      </w:r>
      <w:r>
        <w:rPr>
          <w:i/>
        </w:rPr>
        <w:t xml:space="preserve">Sally </w:t>
      </w:r>
      <w:r>
        <w:t>is</w:t>
      </w:r>
      <w:r>
        <w:rPr>
          <w:spacing w:val="-1"/>
        </w:rPr>
        <w:t xml:space="preserve"> </w:t>
      </w:r>
      <w:r>
        <w:t>tall,</w:t>
      </w:r>
      <w:r>
        <w:rPr>
          <w:spacing w:val="-1"/>
        </w:rPr>
        <w:t xml:space="preserve"> </w:t>
      </w:r>
      <w:r>
        <w:t>whereas</w:t>
      </w:r>
      <w:r>
        <w:rPr>
          <w:spacing w:val="-1"/>
        </w:rPr>
        <w:t xml:space="preserve"> </w:t>
      </w:r>
      <w:r>
        <w:t>Twin-Smith</w:t>
      </w:r>
      <w:r>
        <w:rPr>
          <w:spacing w:val="-1"/>
        </w:rPr>
        <w:t xml:space="preserve"> </w:t>
      </w:r>
      <w:r>
        <w:t>is</w:t>
      </w:r>
      <w:r>
        <w:rPr>
          <w:spacing w:val="-1"/>
        </w:rPr>
        <w:t xml:space="preserve"> </w:t>
      </w:r>
      <w:r>
        <w:t>thinking</w:t>
      </w:r>
      <w:r>
        <w:rPr>
          <w:spacing w:val="-1"/>
        </w:rPr>
        <w:t xml:space="preserve"> </w:t>
      </w:r>
      <w:r>
        <w:rPr>
          <w:i/>
        </w:rPr>
        <w:t>Twin</w:t>
      </w:r>
      <w:r>
        <w:t>-Sally</w:t>
      </w:r>
      <w:r>
        <w:rPr>
          <w:spacing w:val="-1"/>
        </w:rPr>
        <w:t xml:space="preserve"> </w:t>
      </w:r>
      <w:r>
        <w:t>is</w:t>
      </w:r>
      <w:r>
        <w:rPr>
          <w:spacing w:val="-1"/>
        </w:rPr>
        <w:t xml:space="preserve"> </w:t>
      </w:r>
      <w:r>
        <w:t>tall,</w:t>
      </w:r>
      <w:r>
        <w:rPr>
          <w:spacing w:val="-1"/>
        </w:rPr>
        <w:t xml:space="preserve"> </w:t>
      </w:r>
      <w:r>
        <w:t>that</w:t>
      </w:r>
      <w:r>
        <w:rPr>
          <w:spacing w:val="-1"/>
        </w:rPr>
        <w:t xml:space="preserve"> </w:t>
      </w:r>
      <w:r>
        <w:t>is</w:t>
      </w:r>
      <w:r>
        <w:rPr>
          <w:spacing w:val="-1"/>
        </w:rPr>
        <w:t xml:space="preserve"> </w:t>
      </w:r>
      <w:r>
        <w:t>a</w:t>
      </w:r>
      <w:r>
        <w:rPr>
          <w:spacing w:val="-1"/>
        </w:rPr>
        <w:t xml:space="preserve"> </w:t>
      </w:r>
      <w:r>
        <w:t xml:space="preserve">non-starter. What Smith’s eyes tell him isn’t that </w:t>
      </w:r>
      <w:r>
        <w:rPr>
          <w:i/>
        </w:rPr>
        <w:t>Sally</w:t>
      </w:r>
      <w:r>
        <w:rPr>
          <w:i/>
          <w:spacing w:val="-3"/>
        </w:rPr>
        <w:t xml:space="preserve"> </w:t>
      </w:r>
      <w:r>
        <w:t xml:space="preserve">is tall. They tell him that </w:t>
      </w:r>
      <w:r>
        <w:rPr>
          <w:i/>
        </w:rPr>
        <w:t xml:space="preserve">a </w:t>
      </w:r>
      <w:r>
        <w:t>person who has certain features is tall. Given only what his eyes are telling him, Smith doesn’t know whether he’s seeing Sally or some Sally look-alike. To be sure, he may well know that he’s looking at Sally. But that knowledge won’t be based strictly on the content of visual perception. It will be based also on background knowledge that he brings to the present context.</w:t>
      </w:r>
    </w:p>
    <w:p w14:paraId="7E001F05" w14:textId="77777777" w:rsidR="009A58DB" w:rsidRDefault="00000000">
      <w:pPr>
        <w:pStyle w:val="BodyText"/>
        <w:spacing w:before="10" w:line="249" w:lineRule="auto"/>
        <w:ind w:right="358" w:firstLine="360"/>
      </w:pPr>
      <w:r>
        <w:t>Content-externalism</w:t>
      </w:r>
      <w:r>
        <w:rPr>
          <w:spacing w:val="-3"/>
        </w:rPr>
        <w:t xml:space="preserve"> </w:t>
      </w:r>
      <w:r>
        <w:t>embodies</w:t>
      </w:r>
      <w:r>
        <w:rPr>
          <w:spacing w:val="-3"/>
        </w:rPr>
        <w:t xml:space="preserve"> </w:t>
      </w:r>
      <w:r>
        <w:t>a</w:t>
      </w:r>
      <w:r>
        <w:rPr>
          <w:spacing w:val="-3"/>
        </w:rPr>
        <w:t xml:space="preserve"> </w:t>
      </w:r>
      <w:r>
        <w:t>failure</w:t>
      </w:r>
      <w:r>
        <w:rPr>
          <w:spacing w:val="-3"/>
        </w:rPr>
        <w:t xml:space="preserve"> </w:t>
      </w:r>
      <w:r>
        <w:t>to</w:t>
      </w:r>
      <w:r>
        <w:rPr>
          <w:spacing w:val="-3"/>
        </w:rPr>
        <w:t xml:space="preserve"> </w:t>
      </w:r>
      <w:r>
        <w:t>appreciate</w:t>
      </w:r>
      <w:r>
        <w:rPr>
          <w:spacing w:val="-3"/>
        </w:rPr>
        <w:t xml:space="preserve"> </w:t>
      </w:r>
      <w:r>
        <w:t>the</w:t>
      </w:r>
      <w:r>
        <w:rPr>
          <w:spacing w:val="-3"/>
        </w:rPr>
        <w:t xml:space="preserve"> </w:t>
      </w:r>
      <w:r>
        <w:t>concept</w:t>
      </w:r>
      <w:r>
        <w:rPr>
          <w:spacing w:val="-3"/>
        </w:rPr>
        <w:t xml:space="preserve"> </w:t>
      </w:r>
      <w:r>
        <w:t>meant</w:t>
      </w:r>
      <w:r>
        <w:rPr>
          <w:spacing w:val="-3"/>
        </w:rPr>
        <w:t xml:space="preserve"> </w:t>
      </w:r>
      <w:r>
        <w:t xml:space="preserve">by the phrase “in virtue of.” True-Smith and Twin-Smith aren’t doing the same things. Smith is one place; Twin-Smith is in another. Smith is looking at one person; Twin-Smith is looking at anther. But it isn’t </w:t>
      </w:r>
      <w:r>
        <w:rPr>
          <w:i/>
        </w:rPr>
        <w:t xml:space="preserve">in virtue of </w:t>
      </w:r>
      <w:r>
        <w:t>any differences in their respective mental content that Smith and Twin-Smith diverge in these respects. Since, therefore, no differences between Smith and Twin-Smith,</w:t>
      </w:r>
      <w:r>
        <w:rPr>
          <w:spacing w:val="40"/>
        </w:rPr>
        <w:t xml:space="preserve"> </w:t>
      </w:r>
      <w:r>
        <w:t>or</w:t>
      </w:r>
      <w:r>
        <w:rPr>
          <w:spacing w:val="40"/>
        </w:rPr>
        <w:t xml:space="preserve"> </w:t>
      </w:r>
      <w:r>
        <w:t>by</w:t>
      </w:r>
      <w:r>
        <w:rPr>
          <w:spacing w:val="40"/>
        </w:rPr>
        <w:t xml:space="preserve"> </w:t>
      </w:r>
      <w:r>
        <w:t>obvious</w:t>
      </w:r>
      <w:r>
        <w:rPr>
          <w:spacing w:val="40"/>
        </w:rPr>
        <w:t xml:space="preserve"> </w:t>
      </w:r>
      <w:r>
        <w:t>extensions</w:t>
      </w:r>
      <w:r>
        <w:rPr>
          <w:spacing w:val="40"/>
        </w:rPr>
        <w:t xml:space="preserve"> </w:t>
      </w:r>
      <w:r>
        <w:t>of</w:t>
      </w:r>
      <w:r>
        <w:rPr>
          <w:spacing w:val="40"/>
        </w:rPr>
        <w:t xml:space="preserve"> </w:t>
      </w:r>
      <w:r>
        <w:t>this</w:t>
      </w:r>
      <w:r>
        <w:rPr>
          <w:spacing w:val="40"/>
        </w:rPr>
        <w:t xml:space="preserve"> </w:t>
      </w:r>
      <w:r>
        <w:t>argument,</w:t>
      </w:r>
      <w:r>
        <w:rPr>
          <w:spacing w:val="40"/>
        </w:rPr>
        <w:t xml:space="preserve"> </w:t>
      </w:r>
      <w:r>
        <w:t>between</w:t>
      </w:r>
      <w:r>
        <w:rPr>
          <w:spacing w:val="40"/>
        </w:rPr>
        <w:t xml:space="preserve"> </w:t>
      </w:r>
      <w:r>
        <w:t>any</w:t>
      </w:r>
      <w:r>
        <w:rPr>
          <w:spacing w:val="40"/>
        </w:rPr>
        <w:t xml:space="preserve"> </w:t>
      </w:r>
      <w:r>
        <w:t>two</w:t>
      </w:r>
    </w:p>
    <w:p w14:paraId="7E001F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07" w14:textId="77777777" w:rsidR="009A58DB" w:rsidRDefault="00000000">
      <w:pPr>
        <w:pStyle w:val="BodyText"/>
        <w:spacing w:before="65" w:line="249" w:lineRule="auto"/>
        <w:ind w:right="365"/>
      </w:pPr>
      <w:r>
        <w:lastRenderedPageBreak/>
        <w:t>people, are to be understood along content-externalist lines, mental content is causally important, and therefore non-existent, to the extent content-externalism is the right theory about it.</w:t>
      </w:r>
    </w:p>
    <w:p w14:paraId="7E001F08" w14:textId="77777777" w:rsidR="009A58DB" w:rsidRDefault="00000000">
      <w:pPr>
        <w:pStyle w:val="BodyText"/>
        <w:spacing w:before="3" w:line="249" w:lineRule="auto"/>
        <w:ind w:right="358" w:firstLine="360"/>
      </w:pPr>
      <w:r>
        <w:t>Tyler Burge (1946–), a leading exponent of content-externalism, deals with this by arguing that the notion of causality should be revised, so as to accommodate content-externalism. Were two qualitatively identical objects x and y to switch places but everything were held constant, this switch would be</w:t>
      </w:r>
      <w:r>
        <w:rPr>
          <w:spacing w:val="-1"/>
        </w:rPr>
        <w:t xml:space="preserve"> </w:t>
      </w:r>
      <w:r>
        <w:t>experimentally</w:t>
      </w:r>
      <w:r>
        <w:rPr>
          <w:spacing w:val="-1"/>
        </w:rPr>
        <w:t xml:space="preserve"> </w:t>
      </w:r>
      <w:r>
        <w:t>undetectable.</w:t>
      </w:r>
      <w:r>
        <w:rPr>
          <w:spacing w:val="-1"/>
        </w:rPr>
        <w:t xml:space="preserve"> </w:t>
      </w:r>
      <w:r>
        <w:t>But</w:t>
      </w:r>
      <w:r>
        <w:rPr>
          <w:spacing w:val="-1"/>
        </w:rPr>
        <w:t xml:space="preserve"> </w:t>
      </w:r>
      <w:r>
        <w:t>Burge</w:t>
      </w:r>
      <w:r>
        <w:rPr>
          <w:spacing w:val="-1"/>
        </w:rPr>
        <w:t xml:space="preserve"> </w:t>
      </w:r>
      <w:r>
        <w:t>says</w:t>
      </w:r>
      <w:r>
        <w:rPr>
          <w:spacing w:val="-1"/>
        </w:rPr>
        <w:t xml:space="preserve"> </w:t>
      </w:r>
      <w:r>
        <w:t>that</w:t>
      </w:r>
      <w:r>
        <w:rPr>
          <w:spacing w:val="-1"/>
        </w:rPr>
        <w:t xml:space="preserve"> </w:t>
      </w:r>
      <w:r>
        <w:t>x</w:t>
      </w:r>
      <w:r>
        <w:rPr>
          <w:spacing w:val="-1"/>
        </w:rPr>
        <w:t xml:space="preserve"> </w:t>
      </w:r>
      <w:r>
        <w:t>and</w:t>
      </w:r>
      <w:r>
        <w:rPr>
          <w:spacing w:val="-1"/>
        </w:rPr>
        <w:t xml:space="preserve"> </w:t>
      </w:r>
      <w:r>
        <w:t>y</w:t>
      </w:r>
      <w:r>
        <w:rPr>
          <w:spacing w:val="-1"/>
        </w:rPr>
        <w:t xml:space="preserve"> </w:t>
      </w:r>
      <w:r>
        <w:t>nonetheless</w:t>
      </w:r>
      <w:r>
        <w:rPr>
          <w:spacing w:val="-1"/>
        </w:rPr>
        <w:t xml:space="preserve"> </w:t>
      </w:r>
      <w:r>
        <w:t xml:space="preserve">have </w:t>
      </w:r>
      <w:r>
        <w:rPr>
          <w:i/>
        </w:rPr>
        <w:t xml:space="preserve">different </w:t>
      </w:r>
      <w:r>
        <w:t>causal properties. By thus reanalyzing the concept of causality, he safeguards content-externalism from the objection to it just considered.</w:t>
      </w:r>
    </w:p>
    <w:p w14:paraId="7E001F09" w14:textId="77777777" w:rsidR="009A58DB" w:rsidRDefault="00000000">
      <w:pPr>
        <w:pStyle w:val="BodyText"/>
        <w:spacing w:before="9" w:line="249" w:lineRule="auto"/>
        <w:ind w:right="358" w:firstLine="360"/>
        <w:rPr>
          <w:i/>
        </w:rPr>
      </w:pPr>
      <w:r>
        <w:t>This position borders on incoherence. It’s brazenly ad hoc. And it’s unnecessary,</w:t>
      </w:r>
      <w:r>
        <w:rPr>
          <w:spacing w:val="-4"/>
        </w:rPr>
        <w:t xml:space="preserve"> </w:t>
      </w:r>
      <w:r>
        <w:t>since</w:t>
      </w:r>
      <w:r>
        <w:rPr>
          <w:spacing w:val="-4"/>
        </w:rPr>
        <w:t xml:space="preserve"> </w:t>
      </w:r>
      <w:r>
        <w:t>the</w:t>
      </w:r>
      <w:r>
        <w:rPr>
          <w:spacing w:val="-4"/>
        </w:rPr>
        <w:t xml:space="preserve"> </w:t>
      </w:r>
      <w:r>
        <w:t>data</w:t>
      </w:r>
      <w:r>
        <w:rPr>
          <w:spacing w:val="-4"/>
        </w:rPr>
        <w:t xml:space="preserve"> </w:t>
      </w:r>
      <w:r>
        <w:t>is</w:t>
      </w:r>
      <w:r>
        <w:rPr>
          <w:spacing w:val="-4"/>
        </w:rPr>
        <w:t xml:space="preserve"> </w:t>
      </w:r>
      <w:r>
        <w:t>easily</w:t>
      </w:r>
      <w:r>
        <w:rPr>
          <w:spacing w:val="-4"/>
        </w:rPr>
        <w:t xml:space="preserve"> </w:t>
      </w:r>
      <w:r>
        <w:t>modeled</w:t>
      </w:r>
      <w:r>
        <w:rPr>
          <w:spacing w:val="-4"/>
        </w:rPr>
        <w:t xml:space="preserve"> </w:t>
      </w:r>
      <w:r>
        <w:t>without</w:t>
      </w:r>
      <w:r>
        <w:rPr>
          <w:spacing w:val="-4"/>
        </w:rPr>
        <w:t xml:space="preserve"> </w:t>
      </w:r>
      <w:r>
        <w:t>it.</w:t>
      </w:r>
      <w:r>
        <w:rPr>
          <w:spacing w:val="-4"/>
        </w:rPr>
        <w:t xml:space="preserve"> </w:t>
      </w:r>
      <w:r>
        <w:t>(See</w:t>
      </w:r>
      <w:r>
        <w:rPr>
          <w:spacing w:val="-4"/>
        </w:rPr>
        <w:t xml:space="preserve"> </w:t>
      </w:r>
      <w:r>
        <w:t>Chapters</w:t>
      </w:r>
      <w:r>
        <w:rPr>
          <w:spacing w:val="-4"/>
        </w:rPr>
        <w:t xml:space="preserve"> </w:t>
      </w:r>
      <w:r>
        <w:t>6,</w:t>
      </w:r>
      <w:r>
        <w:rPr>
          <w:spacing w:val="-4"/>
        </w:rPr>
        <w:t xml:space="preserve"> </w:t>
      </w:r>
      <w:r>
        <w:t>8,</w:t>
      </w:r>
      <w:r>
        <w:rPr>
          <w:spacing w:val="-4"/>
        </w:rPr>
        <w:t xml:space="preserve"> </w:t>
      </w:r>
      <w:r>
        <w:t>9, and</w:t>
      </w:r>
      <w:r>
        <w:rPr>
          <w:spacing w:val="-6"/>
        </w:rPr>
        <w:t xml:space="preserve"> </w:t>
      </w:r>
      <w:r>
        <w:t>18.)</w:t>
      </w:r>
      <w:r>
        <w:rPr>
          <w:spacing w:val="-18"/>
        </w:rPr>
        <w:t xml:space="preserve"> </w:t>
      </w:r>
      <w:r>
        <w:t>A</w:t>
      </w:r>
      <w:r>
        <w:rPr>
          <w:spacing w:val="-18"/>
        </w:rPr>
        <w:t xml:space="preserve"> </w:t>
      </w:r>
      <w:r>
        <w:t>thorough</w:t>
      </w:r>
      <w:r>
        <w:rPr>
          <w:spacing w:val="-6"/>
        </w:rPr>
        <w:t xml:space="preserve"> </w:t>
      </w:r>
      <w:r>
        <w:t>discussion</w:t>
      </w:r>
      <w:r>
        <w:rPr>
          <w:spacing w:val="-6"/>
        </w:rPr>
        <w:t xml:space="preserve"> </w:t>
      </w:r>
      <w:r>
        <w:t>of</w:t>
      </w:r>
      <w:r>
        <w:rPr>
          <w:spacing w:val="-6"/>
        </w:rPr>
        <w:t xml:space="preserve"> </w:t>
      </w:r>
      <w:r>
        <w:t>content-externalism</w:t>
      </w:r>
      <w:r>
        <w:rPr>
          <w:spacing w:val="-6"/>
        </w:rPr>
        <w:t xml:space="preserve"> </w:t>
      </w:r>
      <w:r>
        <w:t>is</w:t>
      </w:r>
      <w:r>
        <w:rPr>
          <w:spacing w:val="-5"/>
        </w:rPr>
        <w:t xml:space="preserve"> </w:t>
      </w:r>
      <w:r>
        <w:t>found</w:t>
      </w:r>
      <w:r>
        <w:rPr>
          <w:spacing w:val="-5"/>
        </w:rPr>
        <w:t xml:space="preserve"> </w:t>
      </w:r>
      <w:r>
        <w:t>on</w:t>
      </w:r>
      <w:r>
        <w:rPr>
          <w:spacing w:val="-5"/>
        </w:rPr>
        <w:t xml:space="preserve"> </w:t>
      </w:r>
      <w:r>
        <w:t>pages</w:t>
      </w:r>
      <w:r>
        <w:rPr>
          <w:spacing w:val="-5"/>
        </w:rPr>
        <w:t xml:space="preserve"> </w:t>
      </w:r>
      <w:r>
        <w:t>207–507</w:t>
      </w:r>
      <w:r>
        <w:rPr>
          <w:spacing w:val="-15"/>
        </w:rPr>
        <w:t xml:space="preserve"> </w:t>
      </w:r>
      <w:r>
        <w:t>of</w:t>
      </w:r>
      <w:r>
        <w:rPr>
          <w:spacing w:val="-8"/>
        </w:rPr>
        <w:t xml:space="preserve"> </w:t>
      </w:r>
      <w:r>
        <w:t>my</w:t>
      </w:r>
      <w:r>
        <w:rPr>
          <w:spacing w:val="-8"/>
        </w:rPr>
        <w:t xml:space="preserve"> </w:t>
      </w:r>
      <w:r>
        <w:t>book</w:t>
      </w:r>
      <w:r>
        <w:rPr>
          <w:spacing w:val="-8"/>
        </w:rPr>
        <w:t xml:space="preserve"> </w:t>
      </w:r>
      <w:r>
        <w:t>(2007)</w:t>
      </w:r>
      <w:r>
        <w:rPr>
          <w:spacing w:val="-19"/>
        </w:rPr>
        <w:t xml:space="preserve"> </w:t>
      </w:r>
      <w:r>
        <w:rPr>
          <w:i/>
        </w:rPr>
        <w:t>Conceptual</w:t>
      </w:r>
      <w:r>
        <w:rPr>
          <w:i/>
          <w:spacing w:val="-14"/>
        </w:rPr>
        <w:t xml:space="preserve"> </w:t>
      </w:r>
      <w:r>
        <w:rPr>
          <w:i/>
        </w:rPr>
        <w:t>Atomism</w:t>
      </w:r>
      <w:r>
        <w:rPr>
          <w:i/>
          <w:spacing w:val="-11"/>
        </w:rPr>
        <w:t xml:space="preserve"> </w:t>
      </w:r>
      <w:r>
        <w:rPr>
          <w:i/>
        </w:rPr>
        <w:t>and</w:t>
      </w:r>
      <w:r>
        <w:rPr>
          <w:i/>
          <w:spacing w:val="-11"/>
        </w:rPr>
        <w:t xml:space="preserve"> </w:t>
      </w:r>
      <w:r>
        <w:rPr>
          <w:i/>
        </w:rPr>
        <w:t>the</w:t>
      </w:r>
      <w:r>
        <w:rPr>
          <w:i/>
          <w:spacing w:val="-11"/>
        </w:rPr>
        <w:t xml:space="preserve"> </w:t>
      </w:r>
      <w:r>
        <w:rPr>
          <w:i/>
        </w:rPr>
        <w:t>Computational</w:t>
      </w:r>
      <w:r>
        <w:rPr>
          <w:i/>
          <w:spacing w:val="-10"/>
        </w:rPr>
        <w:t xml:space="preserve"> </w:t>
      </w:r>
      <w:r>
        <w:rPr>
          <w:i/>
        </w:rPr>
        <w:t>Theory</w:t>
      </w:r>
      <w:r>
        <w:rPr>
          <w:i/>
          <w:spacing w:val="-10"/>
        </w:rPr>
        <w:t xml:space="preserve"> </w:t>
      </w:r>
      <w:r>
        <w:rPr>
          <w:i/>
        </w:rPr>
        <w:t xml:space="preserve">of </w:t>
      </w:r>
      <w:r>
        <w:rPr>
          <w:i/>
          <w:spacing w:val="-2"/>
        </w:rPr>
        <w:t>Mind.</w:t>
      </w:r>
    </w:p>
    <w:p w14:paraId="7E001F0A" w14:textId="77777777" w:rsidR="009A58DB" w:rsidRDefault="00000000">
      <w:pPr>
        <w:pStyle w:val="Heading1"/>
        <w:numPr>
          <w:ilvl w:val="1"/>
          <w:numId w:val="85"/>
        </w:numPr>
        <w:tabs>
          <w:tab w:val="left" w:pos="990"/>
        </w:tabs>
        <w:spacing w:before="194"/>
        <w:ind w:left="990" w:hanging="630"/>
        <w:jc w:val="both"/>
        <w:rPr>
          <w:position w:val="30"/>
        </w:rPr>
      </w:pPr>
      <w:r>
        <w:rPr>
          <w:noProof/>
          <w:position w:val="30"/>
        </w:rPr>
        <mc:AlternateContent>
          <mc:Choice Requires="wps">
            <w:drawing>
              <wp:anchor distT="0" distB="0" distL="0" distR="0" simplePos="0" relativeHeight="480342016" behindDoc="1" locked="0" layoutInCell="1" allowOverlap="1" wp14:anchorId="7E003292" wp14:editId="7E003293">
                <wp:simplePos x="0" y="0"/>
                <wp:positionH relativeFrom="page">
                  <wp:posOffset>3429000</wp:posOffset>
                </wp:positionH>
                <wp:positionV relativeFrom="paragraph">
                  <wp:posOffset>386687</wp:posOffset>
                </wp:positionV>
                <wp:extent cx="57150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1DC5AED" id="Graphic 34" o:spid="_x0000_s1026" style="position:absolute;margin-left:270pt;margin-top:30.45pt;width:45pt;height:.1pt;z-index:-22974464;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" path="m,l571500,e" filled="f" strokecolor="#0562c1">
                <v:path arrowok="t"/>
                <w10:wrap anchorx="page"/>
              </v:shape>
            </w:pict>
          </mc:Fallback>
        </mc:AlternateContent>
      </w:r>
      <w:r>
        <w:rPr>
          <w:spacing w:val="-2"/>
        </w:rPr>
        <w:t>Program-causalit</w:t>
      </w:r>
      <w:bookmarkStart w:id="427" w:name="_bookmark427"/>
      <w:bookmarkEnd w:id="427"/>
      <w:r>
        <w:rPr>
          <w:spacing w:val="-2"/>
        </w:rPr>
        <w:t>y</w:t>
      </w:r>
      <w:r>
        <w:rPr>
          <w:color w:val="0562C1"/>
          <w:spacing w:val="-2"/>
          <w:position w:val="30"/>
        </w:rPr>
        <w:t>[309]</w:t>
      </w:r>
    </w:p>
    <w:p w14:paraId="7E001F0B" w14:textId="77777777" w:rsidR="009A58DB" w:rsidRDefault="00000000">
      <w:pPr>
        <w:pStyle w:val="BodyText"/>
        <w:spacing w:before="139" w:line="249" w:lineRule="auto"/>
        <w:ind w:right="357"/>
      </w:pPr>
      <w:r>
        <w:t xml:space="preserve">We obviously know of many cases of one event’s causing another. We are inclined to think that, in each such case, the one event is the </w:t>
      </w:r>
      <w:r>
        <w:rPr>
          <w:i/>
        </w:rPr>
        <w:t>efficient</w:t>
      </w:r>
      <w:r>
        <w:rPr>
          <w:i/>
          <w:spacing w:val="-3"/>
        </w:rPr>
        <w:t xml:space="preserve"> </w:t>
      </w:r>
      <w:r>
        <w:t>cause of the other. Working jointly, Frank Jackson (1943–) and Philip Pettit (1945–) have shown this to be false. Given almost any known instance of one event’s causing</w:t>
      </w:r>
      <w:r>
        <w:rPr>
          <w:spacing w:val="-2"/>
        </w:rPr>
        <w:t xml:space="preserve"> </w:t>
      </w:r>
      <w:r>
        <w:t>another</w:t>
      </w:r>
      <w:r>
        <w:rPr>
          <w:spacing w:val="-2"/>
        </w:rPr>
        <w:t xml:space="preserve"> </w:t>
      </w:r>
      <w:r>
        <w:t>to</w:t>
      </w:r>
      <w:r>
        <w:rPr>
          <w:spacing w:val="-2"/>
        </w:rPr>
        <w:t xml:space="preserve"> </w:t>
      </w:r>
      <w:r>
        <w:t>occur,</w:t>
      </w:r>
      <w:r>
        <w:rPr>
          <w:spacing w:val="-2"/>
        </w:rPr>
        <w:t xml:space="preserve"> </w:t>
      </w:r>
      <w:r>
        <w:t>the</w:t>
      </w:r>
      <w:r>
        <w:rPr>
          <w:spacing w:val="-2"/>
        </w:rPr>
        <w:t xml:space="preserve"> </w:t>
      </w:r>
      <w:r>
        <w:t>one</w:t>
      </w:r>
      <w:r>
        <w:rPr>
          <w:spacing w:val="-2"/>
        </w:rPr>
        <w:t xml:space="preserve"> </w:t>
      </w:r>
      <w:r>
        <w:t>event</w:t>
      </w:r>
      <w:r>
        <w:rPr>
          <w:spacing w:val="-2"/>
        </w:rPr>
        <w:t xml:space="preserve"> </w:t>
      </w:r>
      <w:r>
        <w:t>is</w:t>
      </w:r>
      <w:r>
        <w:rPr>
          <w:spacing w:val="-2"/>
        </w:rPr>
        <w:t xml:space="preserve"> </w:t>
      </w:r>
      <w:r>
        <w:t>the</w:t>
      </w:r>
      <w:r>
        <w:rPr>
          <w:spacing w:val="-2"/>
        </w:rPr>
        <w:t xml:space="preserve"> </w:t>
      </w:r>
      <w:r>
        <w:rPr>
          <w:i/>
        </w:rPr>
        <w:t>program-cause,</w:t>
      </w:r>
      <w:r>
        <w:rPr>
          <w:i/>
          <w:spacing w:val="-3"/>
        </w:rPr>
        <w:t xml:space="preserve"> </w:t>
      </w:r>
      <w:r>
        <w:t xml:space="preserve">not the </w:t>
      </w:r>
      <w:r>
        <w:rPr>
          <w:i/>
        </w:rPr>
        <w:t xml:space="preserve">efficient </w:t>
      </w:r>
      <w:r>
        <w:t>cause, of the other.</w:t>
      </w:r>
    </w:p>
    <w:p w14:paraId="7E001F0C" w14:textId="77777777" w:rsidR="009A58DB" w:rsidRDefault="00000000">
      <w:pPr>
        <w:pStyle w:val="BodyText"/>
        <w:spacing w:before="8" w:line="249" w:lineRule="auto"/>
        <w:ind w:right="360" w:firstLine="360"/>
      </w:pPr>
      <w:r>
        <w:t>What does the term “program cause” mean? Some scenarios will help us answer this question. There is a kettle on the stove. You turn on the gas. The resulting flame flames underneath the kettle to heat up and thus causes the water to boil. Let F be the flame. We’re inclined to think that F caused the kettle to heat up.</w:t>
      </w:r>
    </w:p>
    <w:p w14:paraId="7E001F0D" w14:textId="77777777" w:rsidR="009A58DB" w:rsidRDefault="00000000">
      <w:pPr>
        <w:pStyle w:val="ListParagraph"/>
        <w:numPr>
          <w:ilvl w:val="0"/>
          <w:numId w:val="83"/>
        </w:numPr>
        <w:tabs>
          <w:tab w:val="left" w:pos="744"/>
        </w:tabs>
        <w:spacing w:before="111" w:line="249" w:lineRule="auto"/>
        <w:ind w:right="369" w:firstLine="0"/>
        <w:jc w:val="both"/>
        <w:rPr>
          <w:sz w:val="30"/>
        </w:rPr>
      </w:pPr>
      <w:r>
        <w:rPr>
          <w:sz w:val="30"/>
        </w:rPr>
        <w:t>F (or, in any case, F’s having a certain temperature) caused the kettle to heat up.</w:t>
      </w:r>
    </w:p>
    <w:p w14:paraId="7E001F0E" w14:textId="77777777" w:rsidR="009A58DB" w:rsidRDefault="00000000">
      <w:pPr>
        <w:pStyle w:val="BodyText"/>
        <w:spacing w:before="107" w:line="249" w:lineRule="auto"/>
        <w:ind w:right="365"/>
      </w:pPr>
      <w:r>
        <w:t>But only a tiny part of F’s surface was in contact with the underside of the kettle. Had the events at those contact points been present, the effect on the kettle would have been the same.</w:t>
      </w:r>
    </w:p>
    <w:p w14:paraId="7E001F0F" w14:textId="77777777" w:rsidR="009A58DB" w:rsidRDefault="00000000">
      <w:pPr>
        <w:pStyle w:val="BodyText"/>
        <w:spacing w:before="4"/>
        <w:ind w:left="720"/>
      </w:pPr>
      <w:r>
        <w:t>Another</w:t>
      </w:r>
      <w:r>
        <w:rPr>
          <w:spacing w:val="-6"/>
        </w:rPr>
        <w:t xml:space="preserve"> </w:t>
      </w:r>
      <w:r>
        <w:t>example:</w:t>
      </w:r>
      <w:r>
        <w:rPr>
          <w:spacing w:val="-5"/>
        </w:rPr>
        <w:t xml:space="preserve"> </w:t>
      </w:r>
      <w:r>
        <w:t>statements</w:t>
      </w:r>
      <w:r>
        <w:rPr>
          <w:spacing w:val="-6"/>
        </w:rPr>
        <w:t xml:space="preserve"> </w:t>
      </w:r>
      <w:r>
        <w:t>such</w:t>
      </w:r>
      <w:r>
        <w:rPr>
          <w:spacing w:val="-4"/>
        </w:rPr>
        <w:t xml:space="preserve"> </w:t>
      </w:r>
      <w:r>
        <w:rPr>
          <w:spacing w:val="-5"/>
        </w:rPr>
        <w:t>as:</w:t>
      </w:r>
    </w:p>
    <w:p w14:paraId="7E001F10" w14:textId="77777777" w:rsidR="009A58DB" w:rsidRDefault="009A58DB">
      <w:pPr>
        <w:pStyle w:val="BodyText"/>
        <w:sectPr w:rsidR="009A58DB">
          <w:pgSz w:w="12240" w:h="15840"/>
          <w:pgMar w:top="1380" w:right="1080" w:bottom="280" w:left="1080" w:header="720" w:footer="720" w:gutter="0"/>
          <w:cols w:space="720"/>
        </w:sectPr>
      </w:pPr>
    </w:p>
    <w:p w14:paraId="7E001F11" w14:textId="77777777" w:rsidR="009A58DB" w:rsidRDefault="00000000">
      <w:pPr>
        <w:pStyle w:val="ListParagraph"/>
        <w:numPr>
          <w:ilvl w:val="0"/>
          <w:numId w:val="83"/>
        </w:numPr>
        <w:tabs>
          <w:tab w:val="left" w:pos="799"/>
        </w:tabs>
        <w:spacing w:before="65" w:line="249" w:lineRule="auto"/>
        <w:ind w:right="359" w:firstLine="0"/>
        <w:jc w:val="both"/>
        <w:rPr>
          <w:sz w:val="30"/>
        </w:rPr>
      </w:pPr>
      <w:r>
        <w:rPr>
          <w:sz w:val="30"/>
        </w:rPr>
        <w:lastRenderedPageBreak/>
        <w:t>high-inflation</w:t>
      </w:r>
      <w:r>
        <w:rPr>
          <w:spacing w:val="-3"/>
          <w:sz w:val="30"/>
        </w:rPr>
        <w:t xml:space="preserve"> </w:t>
      </w:r>
      <w:r>
        <w:rPr>
          <w:sz w:val="30"/>
        </w:rPr>
        <w:t>led</w:t>
      </w:r>
      <w:r>
        <w:rPr>
          <w:spacing w:val="-3"/>
          <w:sz w:val="30"/>
        </w:rPr>
        <w:t xml:space="preserve"> </w:t>
      </w:r>
      <w:r>
        <w:rPr>
          <w:sz w:val="30"/>
        </w:rPr>
        <w:t>to</w:t>
      </w:r>
      <w:r>
        <w:rPr>
          <w:spacing w:val="-3"/>
          <w:sz w:val="30"/>
        </w:rPr>
        <w:t xml:space="preserve"> </w:t>
      </w:r>
      <w:r>
        <w:rPr>
          <w:sz w:val="30"/>
        </w:rPr>
        <w:t>crime,</w:t>
      </w:r>
      <w:r>
        <w:rPr>
          <w:spacing w:val="-3"/>
          <w:sz w:val="30"/>
        </w:rPr>
        <w:t xml:space="preserve"> </w:t>
      </w:r>
      <w:r>
        <w:rPr>
          <w:sz w:val="30"/>
        </w:rPr>
        <w:t>which,</w:t>
      </w:r>
      <w:r>
        <w:rPr>
          <w:spacing w:val="-3"/>
          <w:sz w:val="30"/>
        </w:rPr>
        <w:t xml:space="preserve"> </w:t>
      </w:r>
      <w:r>
        <w:rPr>
          <w:sz w:val="30"/>
        </w:rPr>
        <w:t>coupled</w:t>
      </w:r>
      <w:r>
        <w:rPr>
          <w:spacing w:val="-3"/>
          <w:sz w:val="30"/>
        </w:rPr>
        <w:t xml:space="preserve"> </w:t>
      </w:r>
      <w:r>
        <w:rPr>
          <w:sz w:val="30"/>
        </w:rPr>
        <w:t>with</w:t>
      </w:r>
      <w:r>
        <w:rPr>
          <w:spacing w:val="-3"/>
          <w:sz w:val="30"/>
        </w:rPr>
        <w:t xml:space="preserve"> </w:t>
      </w:r>
      <w:r>
        <w:rPr>
          <w:sz w:val="30"/>
        </w:rPr>
        <w:t>xenophobia</w:t>
      </w:r>
      <w:r>
        <w:rPr>
          <w:spacing w:val="-3"/>
          <w:sz w:val="30"/>
        </w:rPr>
        <w:t xml:space="preserve"> </w:t>
      </w:r>
      <w:r>
        <w:rPr>
          <w:sz w:val="30"/>
        </w:rPr>
        <w:t>on</w:t>
      </w:r>
      <w:r>
        <w:rPr>
          <w:spacing w:val="-3"/>
          <w:sz w:val="30"/>
        </w:rPr>
        <w:t xml:space="preserve"> </w:t>
      </w:r>
      <w:r>
        <w:rPr>
          <w:sz w:val="30"/>
        </w:rPr>
        <w:t>the</w:t>
      </w:r>
      <w:r>
        <w:rPr>
          <w:spacing w:val="-3"/>
          <w:sz w:val="30"/>
        </w:rPr>
        <w:t xml:space="preserve"> </w:t>
      </w:r>
      <w:r>
        <w:rPr>
          <w:sz w:val="30"/>
        </w:rPr>
        <w:t>part</w:t>
      </w:r>
      <w:r>
        <w:rPr>
          <w:spacing w:val="-3"/>
          <w:sz w:val="30"/>
        </w:rPr>
        <w:t xml:space="preserve"> </w:t>
      </w:r>
      <w:r>
        <w:rPr>
          <w:sz w:val="30"/>
        </w:rPr>
        <w:t>of the populace, gave the government a powerful incentive to scapegoat a foreign nation and go to war with them.</w:t>
      </w:r>
    </w:p>
    <w:p w14:paraId="7E001F12" w14:textId="77777777" w:rsidR="009A58DB" w:rsidRDefault="00000000">
      <w:pPr>
        <w:pStyle w:val="BodyText"/>
        <w:spacing w:before="108" w:line="249" w:lineRule="auto"/>
        <w:ind w:right="364"/>
      </w:pPr>
      <w:r>
        <w:t xml:space="preserve">But causes are much more specific than (ii) suggests. </w:t>
      </w:r>
      <w:r>
        <w:rPr>
          <w:i/>
        </w:rPr>
        <w:t xml:space="preserve">Crime </w:t>
      </w:r>
      <w:r>
        <w:t xml:space="preserve">doesn’t do anything, and neither does </w:t>
      </w:r>
      <w:r>
        <w:rPr>
          <w:i/>
        </w:rPr>
        <w:t>xenophobia.</w:t>
      </w:r>
      <w:r>
        <w:rPr>
          <w:i/>
          <w:spacing w:val="-3"/>
        </w:rPr>
        <w:t xml:space="preserve"> </w:t>
      </w:r>
      <w:r>
        <w:t>Things are caused by specific people, performing specific criminal or xenophobic acts.</w:t>
      </w:r>
    </w:p>
    <w:p w14:paraId="7E001F13" w14:textId="77777777" w:rsidR="009A58DB" w:rsidRDefault="00000000">
      <w:pPr>
        <w:pStyle w:val="BodyText"/>
        <w:spacing w:before="4"/>
        <w:ind w:left="720"/>
      </w:pPr>
      <w:r>
        <w:t>Last</w:t>
      </w:r>
      <w:r>
        <w:rPr>
          <w:spacing w:val="-4"/>
        </w:rPr>
        <w:t xml:space="preserve"> </w:t>
      </w:r>
      <w:r>
        <w:rPr>
          <w:spacing w:val="-2"/>
        </w:rPr>
        <w:t>example:</w:t>
      </w:r>
    </w:p>
    <w:p w14:paraId="7E001F14" w14:textId="77777777" w:rsidR="009A58DB" w:rsidRDefault="00000000">
      <w:pPr>
        <w:pStyle w:val="ListParagraph"/>
        <w:numPr>
          <w:ilvl w:val="0"/>
          <w:numId w:val="83"/>
        </w:numPr>
        <w:tabs>
          <w:tab w:val="left" w:pos="879"/>
        </w:tabs>
        <w:spacing w:before="105"/>
        <w:ind w:left="879" w:hanging="519"/>
        <w:jc w:val="both"/>
        <w:rPr>
          <w:sz w:val="30"/>
        </w:rPr>
      </w:pPr>
      <w:r>
        <w:rPr>
          <w:sz w:val="30"/>
        </w:rPr>
        <w:t>The</w:t>
      </w:r>
      <w:r>
        <w:rPr>
          <w:spacing w:val="-5"/>
          <w:sz w:val="30"/>
        </w:rPr>
        <w:t xml:space="preserve"> </w:t>
      </w:r>
      <w:r>
        <w:rPr>
          <w:sz w:val="30"/>
        </w:rPr>
        <w:t>impact</w:t>
      </w:r>
      <w:r>
        <w:rPr>
          <w:spacing w:val="-3"/>
          <w:sz w:val="30"/>
        </w:rPr>
        <w:t xml:space="preserve"> </w:t>
      </w:r>
      <w:r>
        <w:rPr>
          <w:sz w:val="30"/>
        </w:rPr>
        <w:t>of</w:t>
      </w:r>
      <w:r>
        <w:rPr>
          <w:spacing w:val="-2"/>
          <w:sz w:val="30"/>
        </w:rPr>
        <w:t xml:space="preserve"> </w:t>
      </w:r>
      <w:r>
        <w:rPr>
          <w:sz w:val="30"/>
        </w:rPr>
        <w:t>the</w:t>
      </w:r>
      <w:r>
        <w:rPr>
          <w:spacing w:val="-3"/>
          <w:sz w:val="30"/>
        </w:rPr>
        <w:t xml:space="preserve"> </w:t>
      </w:r>
      <w:r>
        <w:rPr>
          <w:sz w:val="30"/>
        </w:rPr>
        <w:t>rock</w:t>
      </w:r>
      <w:r>
        <w:rPr>
          <w:spacing w:val="-1"/>
          <w:sz w:val="30"/>
        </w:rPr>
        <w:t xml:space="preserve"> </w:t>
      </w:r>
      <w:r>
        <w:rPr>
          <w:sz w:val="30"/>
        </w:rPr>
        <w:t>on</w:t>
      </w:r>
      <w:r>
        <w:rPr>
          <w:spacing w:val="-2"/>
          <w:sz w:val="30"/>
        </w:rPr>
        <w:t xml:space="preserve"> </w:t>
      </w:r>
      <w:r>
        <w:rPr>
          <w:sz w:val="30"/>
        </w:rPr>
        <w:t>the</w:t>
      </w:r>
      <w:r>
        <w:rPr>
          <w:spacing w:val="-3"/>
          <w:sz w:val="30"/>
        </w:rPr>
        <w:t xml:space="preserve"> </w:t>
      </w:r>
      <w:r>
        <w:rPr>
          <w:sz w:val="30"/>
        </w:rPr>
        <w:t>window</w:t>
      </w:r>
      <w:r>
        <w:rPr>
          <w:spacing w:val="-2"/>
          <w:sz w:val="30"/>
        </w:rPr>
        <w:t xml:space="preserve"> </w:t>
      </w:r>
      <w:r>
        <w:rPr>
          <w:sz w:val="30"/>
        </w:rPr>
        <w:t>caused</w:t>
      </w:r>
      <w:r>
        <w:rPr>
          <w:spacing w:val="-2"/>
          <w:sz w:val="30"/>
        </w:rPr>
        <w:t xml:space="preserve"> </w:t>
      </w:r>
      <w:r>
        <w:rPr>
          <w:sz w:val="30"/>
        </w:rPr>
        <w:t>the</w:t>
      </w:r>
      <w:r>
        <w:rPr>
          <w:spacing w:val="-2"/>
          <w:sz w:val="30"/>
        </w:rPr>
        <w:t xml:space="preserve"> </w:t>
      </w:r>
      <w:r>
        <w:rPr>
          <w:sz w:val="30"/>
        </w:rPr>
        <w:t>window</w:t>
      </w:r>
      <w:r>
        <w:rPr>
          <w:spacing w:val="-3"/>
          <w:sz w:val="30"/>
        </w:rPr>
        <w:t xml:space="preserve"> </w:t>
      </w:r>
      <w:r>
        <w:rPr>
          <w:sz w:val="30"/>
        </w:rPr>
        <w:t>to</w:t>
      </w:r>
      <w:r>
        <w:rPr>
          <w:spacing w:val="-1"/>
          <w:sz w:val="30"/>
        </w:rPr>
        <w:t xml:space="preserve"> </w:t>
      </w:r>
      <w:r>
        <w:rPr>
          <w:spacing w:val="-2"/>
          <w:sz w:val="30"/>
        </w:rPr>
        <w:t>shatter.</w:t>
      </w:r>
    </w:p>
    <w:p w14:paraId="7E001F15" w14:textId="77777777" w:rsidR="009A58DB" w:rsidRDefault="00000000">
      <w:pPr>
        <w:pStyle w:val="BodyText"/>
        <w:spacing w:before="120" w:line="249" w:lineRule="auto"/>
        <w:ind w:right="360"/>
      </w:pPr>
      <w:r>
        <w:t>This case is similar to the first. Only a small part of the surface of the rock came into contact with the window—and, in fact, those parts of the rock’s surface came into contact with specific parts of one of the window’s two surfaces. Had the events at those contact points happened, the effect on the window would have been the same, even if no rock had struck the window.</w:t>
      </w:r>
    </w:p>
    <w:p w14:paraId="7E001F16" w14:textId="77777777" w:rsidR="009A58DB" w:rsidRDefault="00000000">
      <w:pPr>
        <w:pStyle w:val="BodyText"/>
        <w:spacing w:before="6" w:line="249" w:lineRule="auto"/>
        <w:ind w:right="361" w:firstLine="360"/>
      </w:pPr>
      <w:r>
        <w:t>But if we say that (i)–(iii) are just wrong, our grounds being that a “cause” of an event E can only be an event that is directly responsible for E’s occurrence, then just about every single causal statement anyone makes will be wrong. But statements like (i)–(iii) obviously convey valuable</w:t>
      </w:r>
      <w:r>
        <w:rPr>
          <w:spacing w:val="40"/>
        </w:rPr>
        <w:t xml:space="preserve"> </w:t>
      </w:r>
      <w:r>
        <w:t xml:space="preserve">information. So rather than say that they’re all just wrong, we should look for an interpretation of the word “cause” that </w:t>
      </w:r>
      <w:r>
        <w:rPr>
          <w:b/>
          <w:i/>
        </w:rPr>
        <w:t xml:space="preserve">validates </w:t>
      </w:r>
      <w:r>
        <w:t>those statements.</w:t>
      </w:r>
    </w:p>
    <w:p w14:paraId="7E001F17" w14:textId="77777777" w:rsidR="009A58DB" w:rsidRDefault="00000000">
      <w:pPr>
        <w:pStyle w:val="BodyText"/>
        <w:spacing w:before="8" w:line="249" w:lineRule="auto"/>
        <w:ind w:right="359" w:firstLine="360"/>
      </w:pPr>
      <w:r>
        <w:t>Jackson and Petit have done just that. The form of causality mentioned in (i)–(iii)</w:t>
      </w:r>
      <w:r>
        <w:rPr>
          <w:spacing w:val="-4"/>
        </w:rPr>
        <w:t xml:space="preserve"> </w:t>
      </w:r>
      <w:r>
        <w:t>is</w:t>
      </w:r>
      <w:r>
        <w:rPr>
          <w:spacing w:val="-4"/>
        </w:rPr>
        <w:t xml:space="preserve"> </w:t>
      </w:r>
      <w:r>
        <w:rPr>
          <w:i/>
        </w:rPr>
        <w:t>program-causality.</w:t>
      </w:r>
      <w:r>
        <w:rPr>
          <w:i/>
          <w:spacing w:val="-3"/>
        </w:rPr>
        <w:t xml:space="preserve"> </w:t>
      </w:r>
      <w:r>
        <w:t>x</w:t>
      </w:r>
      <w:r>
        <w:rPr>
          <w:spacing w:val="-1"/>
        </w:rPr>
        <w:t xml:space="preserve"> </w:t>
      </w:r>
      <w:r>
        <w:t>is a program-cause of</w:t>
      </w:r>
      <w:r>
        <w:rPr>
          <w:spacing w:val="-1"/>
        </w:rPr>
        <w:t xml:space="preserve"> </w:t>
      </w:r>
      <w:r>
        <w:t>y</w:t>
      </w:r>
      <w:r>
        <w:rPr>
          <w:spacing w:val="-1"/>
        </w:rPr>
        <w:t xml:space="preserve"> </w:t>
      </w:r>
      <w:r>
        <w:t>if</w:t>
      </w:r>
      <w:r>
        <w:rPr>
          <w:spacing w:val="-1"/>
        </w:rPr>
        <w:t xml:space="preserve"> </w:t>
      </w:r>
      <w:r>
        <w:t>x consists of</w:t>
      </w:r>
      <w:r>
        <w:rPr>
          <w:spacing w:val="-1"/>
        </w:rPr>
        <w:t xml:space="preserve"> </w:t>
      </w:r>
      <w:r>
        <w:t xml:space="preserve">events that, in their turn, are directly responsible for y. A country’s being poor consists of various specific states of affairs—various specific people being without funds in various specific situations. The specific situations that </w:t>
      </w:r>
      <w:r>
        <w:rPr>
          <w:i/>
        </w:rPr>
        <w:t>constitute</w:t>
      </w:r>
      <w:r>
        <w:rPr>
          <w:i/>
          <w:spacing w:val="-4"/>
        </w:rPr>
        <w:t xml:space="preserve"> </w:t>
      </w:r>
      <w:r>
        <w:t xml:space="preserve">a condition of wide-spread poverty will directly cause crimes. And so on. F heats up the pan in the sense that among the events constitutive of F are those that heat up the pan; and it is in the same sense </w:t>
      </w:r>
      <w:r>
        <w:rPr>
          <w:i/>
        </w:rPr>
        <w:t xml:space="preserve">mutatis mutandis </w:t>
      </w:r>
      <w:r>
        <w:t>that the impact of the rock shattered the window</w:t>
      </w:r>
      <w:r>
        <w:rPr>
          <w:i/>
        </w:rPr>
        <w:t xml:space="preserve">. </w:t>
      </w:r>
      <w:r>
        <w:t>Thus, Jackson and Pettit have successfully validated ordinarily causal statements.</w:t>
      </w:r>
    </w:p>
    <w:p w14:paraId="7E001F18" w14:textId="77777777" w:rsidR="009A58DB" w:rsidRDefault="00000000">
      <w:pPr>
        <w:pStyle w:val="BodyText"/>
        <w:spacing w:before="12" w:line="249" w:lineRule="auto"/>
        <w:ind w:right="364" w:firstLine="360"/>
      </w:pPr>
      <w:r>
        <w:t>They make other important points. One would think that high-resolution causal information is better than low-resolution causal information. But this isn’t always so. What caused the house to burn down?</w:t>
      </w:r>
    </w:p>
    <w:p w14:paraId="7E001F19" w14:textId="77777777" w:rsidR="009A58DB" w:rsidRDefault="00000000">
      <w:pPr>
        <w:pStyle w:val="BodyText"/>
        <w:spacing w:before="109" w:line="249" w:lineRule="auto"/>
        <w:ind w:right="368"/>
      </w:pPr>
      <w:r>
        <w:t>(SA</w:t>
      </w:r>
      <w:bookmarkStart w:id="428" w:name="_bookmark428"/>
      <w:bookmarkEnd w:id="428"/>
      <w:r>
        <w:t>)</w:t>
      </w:r>
      <w:r>
        <w:rPr>
          <w:color w:val="0562C1"/>
          <w:position w:val="21"/>
          <w:u w:val="single" w:color="0562C1"/>
        </w:rPr>
        <w:t>[310]</w:t>
      </w:r>
      <w:r>
        <w:rPr>
          <w:color w:val="0562C1"/>
          <w:position w:val="21"/>
        </w:rPr>
        <w:t xml:space="preserve"> </w:t>
      </w:r>
      <w:r>
        <w:t>Arson on Smith’s part was the cause. He threw several Molotov cocktails at the house and up in flames it went.</w:t>
      </w:r>
    </w:p>
    <w:p w14:paraId="7E001F1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1B" w14:textId="77777777" w:rsidR="009A58DB" w:rsidRDefault="00000000">
      <w:pPr>
        <w:pStyle w:val="BodyText"/>
        <w:spacing w:before="65" w:line="249" w:lineRule="auto"/>
        <w:ind w:right="359"/>
      </w:pPr>
      <w:r>
        <w:rPr>
          <w:spacing w:val="-2"/>
        </w:rPr>
        <w:lastRenderedPageBreak/>
        <w:t>SA</w:t>
      </w:r>
      <w:r>
        <w:rPr>
          <w:spacing w:val="-17"/>
        </w:rPr>
        <w:t xml:space="preserve"> </w:t>
      </w:r>
      <w:r>
        <w:rPr>
          <w:spacing w:val="-2"/>
        </w:rPr>
        <w:t>obviously</w:t>
      </w:r>
      <w:r>
        <w:rPr>
          <w:spacing w:val="-17"/>
        </w:rPr>
        <w:t xml:space="preserve"> </w:t>
      </w:r>
      <w:r>
        <w:rPr>
          <w:spacing w:val="-2"/>
        </w:rPr>
        <w:t>doesn’t</w:t>
      </w:r>
      <w:r>
        <w:rPr>
          <w:spacing w:val="-17"/>
        </w:rPr>
        <w:t xml:space="preserve"> </w:t>
      </w:r>
      <w:r>
        <w:rPr>
          <w:spacing w:val="-2"/>
        </w:rPr>
        <w:t>give</w:t>
      </w:r>
      <w:r>
        <w:rPr>
          <w:spacing w:val="-15"/>
        </w:rPr>
        <w:t xml:space="preserve"> </w:t>
      </w:r>
      <w:r>
        <w:rPr>
          <w:spacing w:val="-2"/>
        </w:rPr>
        <w:t>us</w:t>
      </w:r>
      <w:r>
        <w:rPr>
          <w:spacing w:val="-14"/>
        </w:rPr>
        <w:t xml:space="preserve"> </w:t>
      </w:r>
      <w:r>
        <w:rPr>
          <w:spacing w:val="-2"/>
        </w:rPr>
        <w:t>the</w:t>
      </w:r>
      <w:r>
        <w:rPr>
          <w:spacing w:val="-14"/>
        </w:rPr>
        <w:t xml:space="preserve"> </w:t>
      </w:r>
      <w:r>
        <w:rPr>
          <w:spacing w:val="-2"/>
        </w:rPr>
        <w:t>micro-story.</w:t>
      </w:r>
      <w:r>
        <w:rPr>
          <w:spacing w:val="-14"/>
        </w:rPr>
        <w:t xml:space="preserve"> </w:t>
      </w:r>
      <w:r>
        <w:rPr>
          <w:spacing w:val="-2"/>
        </w:rPr>
        <w:t>For</w:t>
      </w:r>
      <w:r>
        <w:rPr>
          <w:spacing w:val="-14"/>
        </w:rPr>
        <w:t xml:space="preserve"> </w:t>
      </w:r>
      <w:r>
        <w:rPr>
          <w:spacing w:val="-2"/>
        </w:rPr>
        <w:t>argument’s</w:t>
      </w:r>
      <w:r>
        <w:rPr>
          <w:spacing w:val="-14"/>
        </w:rPr>
        <w:t xml:space="preserve"> </w:t>
      </w:r>
      <w:r>
        <w:rPr>
          <w:spacing w:val="-2"/>
        </w:rPr>
        <w:t>sake</w:t>
      </w:r>
      <w:r>
        <w:rPr>
          <w:spacing w:val="-14"/>
        </w:rPr>
        <w:t xml:space="preserve"> </w:t>
      </w:r>
      <w:r>
        <w:rPr>
          <w:spacing w:val="-2"/>
        </w:rPr>
        <w:t>suppose</w:t>
      </w:r>
      <w:r>
        <w:rPr>
          <w:spacing w:val="-14"/>
        </w:rPr>
        <w:t xml:space="preserve"> </w:t>
      </w:r>
      <w:r>
        <w:rPr>
          <w:spacing w:val="-2"/>
        </w:rPr>
        <w:t xml:space="preserve">that </w:t>
      </w:r>
      <w:r>
        <w:t>some</w:t>
      </w:r>
      <w:r>
        <w:rPr>
          <w:spacing w:val="-5"/>
        </w:rPr>
        <w:t xml:space="preserve"> </w:t>
      </w:r>
      <w:r>
        <w:t>long</w:t>
      </w:r>
      <w:r>
        <w:rPr>
          <w:spacing w:val="-5"/>
        </w:rPr>
        <w:t xml:space="preserve"> </w:t>
      </w:r>
      <w:r>
        <w:t>sentence</w:t>
      </w:r>
      <w:r>
        <w:rPr>
          <w:spacing w:val="-5"/>
        </w:rPr>
        <w:t xml:space="preserve"> </w:t>
      </w:r>
      <w:r>
        <w:t>MS</w:t>
      </w:r>
      <w:r>
        <w:rPr>
          <w:spacing w:val="-5"/>
        </w:rPr>
        <w:t xml:space="preserve"> </w:t>
      </w:r>
      <w:r>
        <w:t>does give</w:t>
      </w:r>
      <w:r>
        <w:rPr>
          <w:spacing w:val="-2"/>
        </w:rPr>
        <w:t xml:space="preserve"> </w:t>
      </w:r>
      <w:r>
        <w:t>us</w:t>
      </w:r>
      <w:r>
        <w:rPr>
          <w:spacing w:val="-2"/>
        </w:rPr>
        <w:t xml:space="preserve"> </w:t>
      </w:r>
      <w:r>
        <w:t>the</w:t>
      </w:r>
      <w:r>
        <w:rPr>
          <w:spacing w:val="-2"/>
        </w:rPr>
        <w:t xml:space="preserve"> </w:t>
      </w:r>
      <w:r>
        <w:t>micro-story.</w:t>
      </w:r>
      <w:r>
        <w:rPr>
          <w:spacing w:val="-2"/>
        </w:rPr>
        <w:t xml:space="preserve"> </w:t>
      </w:r>
      <w:r>
        <w:t>MS</w:t>
      </w:r>
      <w:r>
        <w:rPr>
          <w:spacing w:val="-2"/>
        </w:rPr>
        <w:t xml:space="preserve"> </w:t>
      </w:r>
      <w:r>
        <w:t>will</w:t>
      </w:r>
      <w:r>
        <w:rPr>
          <w:spacing w:val="-2"/>
        </w:rPr>
        <w:t xml:space="preserve"> </w:t>
      </w:r>
      <w:r>
        <w:t>be</w:t>
      </w:r>
      <w:r>
        <w:rPr>
          <w:spacing w:val="-2"/>
        </w:rPr>
        <w:t xml:space="preserve"> </w:t>
      </w:r>
      <w:r>
        <w:t>worthless</w:t>
      </w:r>
      <w:r>
        <w:rPr>
          <w:spacing w:val="-2"/>
        </w:rPr>
        <w:t xml:space="preserve"> </w:t>
      </w:r>
      <w:r>
        <w:t xml:space="preserve">in terms of giving us information about Smith’s character, and it will be equally </w:t>
      </w:r>
      <w:r>
        <w:rPr>
          <w:spacing w:val="-2"/>
        </w:rPr>
        <w:t>worthless</w:t>
      </w:r>
      <w:r>
        <w:rPr>
          <w:spacing w:val="-17"/>
        </w:rPr>
        <w:t xml:space="preserve"> </w:t>
      </w:r>
      <w:r>
        <w:rPr>
          <w:spacing w:val="-2"/>
        </w:rPr>
        <w:t>in</w:t>
      </w:r>
      <w:r>
        <w:rPr>
          <w:spacing w:val="-17"/>
        </w:rPr>
        <w:t xml:space="preserve"> </w:t>
      </w:r>
      <w:r>
        <w:rPr>
          <w:spacing w:val="-2"/>
        </w:rPr>
        <w:t>other,</w:t>
      </w:r>
      <w:r>
        <w:rPr>
          <w:spacing w:val="-15"/>
        </w:rPr>
        <w:t xml:space="preserve"> </w:t>
      </w:r>
      <w:r>
        <w:rPr>
          <w:spacing w:val="-2"/>
        </w:rPr>
        <w:t>comparables</w:t>
      </w:r>
      <w:r>
        <w:rPr>
          <w:spacing w:val="-16"/>
        </w:rPr>
        <w:t xml:space="preserve"> </w:t>
      </w:r>
      <w:r>
        <w:rPr>
          <w:spacing w:val="-2"/>
        </w:rPr>
        <w:t>respects.</w:t>
      </w:r>
      <w:r>
        <w:rPr>
          <w:spacing w:val="-17"/>
        </w:rPr>
        <w:t xml:space="preserve"> </w:t>
      </w:r>
      <w:r>
        <w:rPr>
          <w:spacing w:val="-2"/>
        </w:rPr>
        <w:t>There</w:t>
      </w:r>
      <w:r>
        <w:rPr>
          <w:spacing w:val="-16"/>
        </w:rPr>
        <w:t xml:space="preserve"> </w:t>
      </w:r>
      <w:r>
        <w:rPr>
          <w:spacing w:val="-2"/>
        </w:rPr>
        <w:t>are</w:t>
      </w:r>
      <w:r>
        <w:rPr>
          <w:spacing w:val="-16"/>
        </w:rPr>
        <w:t xml:space="preserve"> </w:t>
      </w:r>
      <w:r>
        <w:rPr>
          <w:spacing w:val="-2"/>
        </w:rPr>
        <w:t>many</w:t>
      </w:r>
      <w:r>
        <w:rPr>
          <w:spacing w:val="-16"/>
        </w:rPr>
        <w:t xml:space="preserve"> </w:t>
      </w:r>
      <w:r>
        <w:rPr>
          <w:spacing w:val="-2"/>
        </w:rPr>
        <w:t>principled</w:t>
      </w:r>
      <w:r>
        <w:rPr>
          <w:spacing w:val="-16"/>
        </w:rPr>
        <w:t xml:space="preserve"> </w:t>
      </w:r>
      <w:r>
        <w:rPr>
          <w:spacing w:val="-2"/>
        </w:rPr>
        <w:t xml:space="preserve">regularities </w:t>
      </w:r>
      <w:r>
        <w:t>of</w:t>
      </w:r>
      <w:r>
        <w:rPr>
          <w:spacing w:val="-19"/>
        </w:rPr>
        <w:t xml:space="preserve"> </w:t>
      </w:r>
      <w:r>
        <w:t>which</w:t>
      </w:r>
      <w:r>
        <w:rPr>
          <w:spacing w:val="-19"/>
        </w:rPr>
        <w:t xml:space="preserve"> </w:t>
      </w:r>
      <w:r>
        <w:t>this</w:t>
      </w:r>
      <w:r>
        <w:rPr>
          <w:spacing w:val="-19"/>
        </w:rPr>
        <w:t xml:space="preserve"> </w:t>
      </w:r>
      <w:r>
        <w:t>particular</w:t>
      </w:r>
      <w:r>
        <w:rPr>
          <w:spacing w:val="-18"/>
        </w:rPr>
        <w:t xml:space="preserve"> </w:t>
      </w:r>
      <w:r>
        <w:t>incident</w:t>
      </w:r>
      <w:r>
        <w:rPr>
          <w:spacing w:val="-19"/>
        </w:rPr>
        <w:t xml:space="preserve"> </w:t>
      </w:r>
      <w:r>
        <w:t>is</w:t>
      </w:r>
      <w:r>
        <w:rPr>
          <w:spacing w:val="-19"/>
        </w:rPr>
        <w:t xml:space="preserve"> </w:t>
      </w:r>
      <w:r>
        <w:t>an</w:t>
      </w:r>
      <w:r>
        <w:rPr>
          <w:spacing w:val="-19"/>
        </w:rPr>
        <w:t xml:space="preserve"> </w:t>
      </w:r>
      <w:r>
        <w:t>instance,</w:t>
      </w:r>
      <w:r>
        <w:rPr>
          <w:spacing w:val="-17"/>
        </w:rPr>
        <w:t xml:space="preserve"> </w:t>
      </w:r>
      <w:r>
        <w:t>and</w:t>
      </w:r>
      <w:r>
        <w:rPr>
          <w:spacing w:val="-18"/>
        </w:rPr>
        <w:t xml:space="preserve"> </w:t>
      </w:r>
      <w:r>
        <w:t>we</w:t>
      </w:r>
      <w:r>
        <w:rPr>
          <w:spacing w:val="-18"/>
        </w:rPr>
        <w:t xml:space="preserve"> </w:t>
      </w:r>
      <w:r>
        <w:t>blind</w:t>
      </w:r>
      <w:r>
        <w:rPr>
          <w:spacing w:val="-18"/>
        </w:rPr>
        <w:t xml:space="preserve"> </w:t>
      </w:r>
      <w:r>
        <w:t>ourselves</w:t>
      </w:r>
      <w:r>
        <w:rPr>
          <w:spacing w:val="-18"/>
        </w:rPr>
        <w:t xml:space="preserve"> </w:t>
      </w:r>
      <w:r>
        <w:t>to</w:t>
      </w:r>
      <w:r>
        <w:rPr>
          <w:spacing w:val="-18"/>
        </w:rPr>
        <w:t xml:space="preserve"> </w:t>
      </w:r>
      <w:r>
        <w:t>all</w:t>
      </w:r>
      <w:r>
        <w:rPr>
          <w:spacing w:val="-18"/>
        </w:rPr>
        <w:t xml:space="preserve"> </w:t>
      </w:r>
      <w:r>
        <w:t>but a</w:t>
      </w:r>
      <w:r>
        <w:rPr>
          <w:spacing w:val="-2"/>
        </w:rPr>
        <w:t xml:space="preserve"> </w:t>
      </w:r>
      <w:r>
        <w:t>few</w:t>
      </w:r>
      <w:r>
        <w:rPr>
          <w:spacing w:val="-3"/>
        </w:rPr>
        <w:t xml:space="preserve"> </w:t>
      </w:r>
      <w:r>
        <w:t>of</w:t>
      </w:r>
      <w:r>
        <w:rPr>
          <w:spacing w:val="-3"/>
        </w:rPr>
        <w:t xml:space="preserve"> </w:t>
      </w:r>
      <w:r>
        <w:t>them</w:t>
      </w:r>
      <w:r>
        <w:rPr>
          <w:spacing w:val="-3"/>
        </w:rPr>
        <w:t xml:space="preserve"> </w:t>
      </w:r>
      <w:r>
        <w:t>if</w:t>
      </w:r>
      <w:r>
        <w:rPr>
          <w:spacing w:val="-3"/>
        </w:rPr>
        <w:t xml:space="preserve"> </w:t>
      </w:r>
      <w:r>
        <w:t>we</w:t>
      </w:r>
      <w:r>
        <w:rPr>
          <w:spacing w:val="-2"/>
        </w:rPr>
        <w:t xml:space="preserve"> </w:t>
      </w:r>
      <w:r>
        <w:t>reject</w:t>
      </w:r>
      <w:r>
        <w:rPr>
          <w:spacing w:val="-3"/>
        </w:rPr>
        <w:t xml:space="preserve"> </w:t>
      </w:r>
      <w:r>
        <w:t>any</w:t>
      </w:r>
      <w:r>
        <w:rPr>
          <w:spacing w:val="-2"/>
        </w:rPr>
        <w:t xml:space="preserve"> </w:t>
      </w:r>
      <w:r>
        <w:t>story</w:t>
      </w:r>
      <w:r>
        <w:rPr>
          <w:spacing w:val="-2"/>
        </w:rPr>
        <w:t xml:space="preserve"> </w:t>
      </w:r>
      <w:r>
        <w:t>that</w:t>
      </w:r>
    </w:p>
    <w:p w14:paraId="7E001F1C" w14:textId="77777777" w:rsidR="009A58DB" w:rsidRDefault="00000000">
      <w:pPr>
        <w:pStyle w:val="BodyText"/>
        <w:spacing w:before="7" w:line="249" w:lineRule="auto"/>
        <w:ind w:right="359"/>
      </w:pPr>
      <w:r>
        <w:t>isn’t the micro-story. So the macro-story—or, rather, the various different macro-stories—aren’t inferior versions of the micro-story; they aren’t precursors to it that we’ll chuck when we have it. They expose regularities, structures, and counterfactual truths omitted by the micro-story. This shows that</w:t>
      </w:r>
      <w:r>
        <w:rPr>
          <w:spacing w:val="15"/>
        </w:rPr>
        <w:t xml:space="preserve"> </w:t>
      </w:r>
      <w:r>
        <w:t>biology</w:t>
      </w:r>
      <w:r>
        <w:rPr>
          <w:spacing w:val="18"/>
        </w:rPr>
        <w:t xml:space="preserve"> </w:t>
      </w:r>
      <w:r>
        <w:t>isn’t</w:t>
      </w:r>
      <w:r>
        <w:rPr>
          <w:spacing w:val="18"/>
        </w:rPr>
        <w:t xml:space="preserve"> </w:t>
      </w:r>
      <w:r>
        <w:t>just</w:t>
      </w:r>
      <w:r>
        <w:rPr>
          <w:spacing w:val="17"/>
        </w:rPr>
        <w:t xml:space="preserve"> </w:t>
      </w:r>
      <w:r>
        <w:t>bad</w:t>
      </w:r>
      <w:r>
        <w:rPr>
          <w:spacing w:val="18"/>
        </w:rPr>
        <w:t xml:space="preserve"> </w:t>
      </w:r>
      <w:r>
        <w:t>physics,</w:t>
      </w:r>
      <w:r>
        <w:rPr>
          <w:spacing w:val="18"/>
        </w:rPr>
        <w:t xml:space="preserve"> </w:t>
      </w:r>
      <w:r>
        <w:t>that</w:t>
      </w:r>
      <w:r>
        <w:rPr>
          <w:spacing w:val="18"/>
        </w:rPr>
        <w:t xml:space="preserve"> </w:t>
      </w:r>
      <w:r>
        <w:t>psychology</w:t>
      </w:r>
      <w:r>
        <w:rPr>
          <w:spacing w:val="17"/>
        </w:rPr>
        <w:t xml:space="preserve"> </w:t>
      </w:r>
      <w:r>
        <w:t>isn’t</w:t>
      </w:r>
      <w:r>
        <w:rPr>
          <w:spacing w:val="18"/>
        </w:rPr>
        <w:t xml:space="preserve"> </w:t>
      </w:r>
      <w:r>
        <w:t>just</w:t>
      </w:r>
      <w:r>
        <w:rPr>
          <w:spacing w:val="18"/>
        </w:rPr>
        <w:t xml:space="preserve"> </w:t>
      </w:r>
      <w:r>
        <w:t>bad</w:t>
      </w:r>
      <w:r>
        <w:rPr>
          <w:spacing w:val="18"/>
        </w:rPr>
        <w:t xml:space="preserve"> </w:t>
      </w:r>
      <w:r>
        <w:rPr>
          <w:spacing w:val="-2"/>
        </w:rPr>
        <w:t>physiology</w:t>
      </w:r>
    </w:p>
    <w:p w14:paraId="7E001F1D" w14:textId="77777777" w:rsidR="009A58DB" w:rsidRDefault="00000000">
      <w:pPr>
        <w:pStyle w:val="BodyText"/>
        <w:spacing w:before="6" w:line="249" w:lineRule="auto"/>
        <w:ind w:right="360"/>
      </w:pPr>
      <w:r>
        <w:t xml:space="preserve">—it shows that different disciplines are dealing with different program-causes, and therefore distinct and very possibly </w:t>
      </w:r>
      <w:r>
        <w:rPr>
          <w:i/>
        </w:rPr>
        <w:t xml:space="preserve">sui generis </w:t>
      </w:r>
      <w:r>
        <w:t>nomic connections—that happen at least sometimes to be instantiated by the same efficient (micro) causes.</w:t>
      </w:r>
    </w:p>
    <w:p w14:paraId="7E001F1E" w14:textId="77777777" w:rsidR="009A58DB" w:rsidRDefault="00000000">
      <w:pPr>
        <w:pStyle w:val="BodyText"/>
        <w:spacing w:before="5" w:line="249" w:lineRule="auto"/>
        <w:ind w:right="359" w:firstLine="360"/>
      </w:pPr>
      <w:r>
        <w:t xml:space="preserve">Predictions are almost always made on the basis of a knowledge of program-causes. To predict what’s going to happen, one must know of </w:t>
      </w:r>
      <w:r>
        <w:rPr>
          <w:i/>
        </w:rPr>
        <w:t xml:space="preserve">structures </w:t>
      </w:r>
      <w:r>
        <w:t>that can be depended on to yield certain outputs, given certain inputs. So far as one lacks such knowledge, one must make predictions on an ad hoc basis, and there are two reasons why this is a problem. First, sub-structural facts tend to be small—literally small. (Something is a structure only to the extent that it’s a cohesive aggregate of events. Something fails to be a structure only to the extent that it’s an isolated event. Thus, lone events tend to be smaller than structures by orders of magnitude</w:t>
      </w:r>
      <w:bookmarkStart w:id="429" w:name="_bookmark429"/>
      <w:bookmarkEnd w:id="429"/>
      <w:r>
        <w:t>.</w:t>
      </w:r>
      <w:r>
        <w:rPr>
          <w:color w:val="0562C1"/>
          <w:position w:val="21"/>
          <w:u w:val="single" w:color="0562C1"/>
        </w:rPr>
        <w:t>[311]</w:t>
      </w:r>
      <w:r>
        <w:t>) And when they can be known, the process of learning about them tends to disrupt them in prediction-foiling ways. (See Chapter 14.) Also, structures comprise back-up mechanisms that ensure a certain outcome even if, because of some</w:t>
      </w:r>
      <w:r>
        <w:rPr>
          <w:spacing w:val="40"/>
        </w:rPr>
        <w:t xml:space="preserve"> </w:t>
      </w:r>
      <w:r>
        <w:t>hidden variable, some rogue, structure-unfriendly event makes it through the gauntlet. If a salesperson working for megacorporation X unexpectedly quits, another takes his place. If one police officer doesn’t report for duty, another steps into the breach. It’s of the essence of structures that a certan amount of causal redundancy be incorporated into them. Where there isn’t such redundancy, predictions are easily foiled, since there is nothing to absorb the ripple-effects created by some rogue occurrence.</w:t>
      </w:r>
    </w:p>
    <w:p w14:paraId="7E001F1F" w14:textId="77777777" w:rsidR="009A58DB" w:rsidRDefault="00000000">
      <w:pPr>
        <w:pStyle w:val="BodyText"/>
        <w:spacing w:before="23"/>
        <w:ind w:left="720"/>
      </w:pPr>
      <w:r>
        <w:t>Given</w:t>
      </w:r>
      <w:r>
        <w:rPr>
          <w:spacing w:val="32"/>
        </w:rPr>
        <w:t xml:space="preserve">  </w:t>
      </w:r>
      <w:r>
        <w:t>the</w:t>
      </w:r>
      <w:r>
        <w:rPr>
          <w:spacing w:val="32"/>
        </w:rPr>
        <w:t xml:space="preserve">  </w:t>
      </w:r>
      <w:r>
        <w:t>dependence</w:t>
      </w:r>
      <w:r>
        <w:rPr>
          <w:spacing w:val="32"/>
        </w:rPr>
        <w:t xml:space="preserve">  </w:t>
      </w:r>
      <w:r>
        <w:t>of</w:t>
      </w:r>
      <w:r>
        <w:rPr>
          <w:spacing w:val="32"/>
        </w:rPr>
        <w:t xml:space="preserve">  </w:t>
      </w:r>
      <w:r>
        <w:t>predictive</w:t>
      </w:r>
      <w:r>
        <w:rPr>
          <w:spacing w:val="32"/>
        </w:rPr>
        <w:t xml:space="preserve">  </w:t>
      </w:r>
      <w:r>
        <w:t>knowledge</w:t>
      </w:r>
      <w:r>
        <w:rPr>
          <w:spacing w:val="32"/>
        </w:rPr>
        <w:t xml:space="preserve">  </w:t>
      </w:r>
      <w:r>
        <w:t>on</w:t>
      </w:r>
      <w:r>
        <w:rPr>
          <w:spacing w:val="32"/>
        </w:rPr>
        <w:t xml:space="preserve">  </w:t>
      </w:r>
      <w:r>
        <w:t>structures</w:t>
      </w:r>
      <w:r>
        <w:rPr>
          <w:spacing w:val="32"/>
        </w:rPr>
        <w:t xml:space="preserve">  </w:t>
      </w:r>
      <w:r>
        <w:rPr>
          <w:spacing w:val="-4"/>
        </w:rPr>
        <w:t>and,</w:t>
      </w:r>
    </w:p>
    <w:p w14:paraId="7E001F20" w14:textId="77777777" w:rsidR="009A58DB" w:rsidRDefault="009A58DB">
      <w:pPr>
        <w:pStyle w:val="BodyText"/>
        <w:sectPr w:rsidR="009A58DB">
          <w:pgSz w:w="12240" w:h="15840"/>
          <w:pgMar w:top="1380" w:right="1080" w:bottom="280" w:left="1080" w:header="720" w:footer="720" w:gutter="0"/>
          <w:cols w:space="720"/>
        </w:sectPr>
      </w:pPr>
    </w:p>
    <w:p w14:paraId="7E001F21" w14:textId="77777777" w:rsidR="009A58DB" w:rsidRDefault="00000000">
      <w:pPr>
        <w:pStyle w:val="BodyText"/>
        <w:spacing w:before="65" w:line="249" w:lineRule="auto"/>
        <w:ind w:right="359"/>
      </w:pPr>
      <w:r>
        <w:lastRenderedPageBreak/>
        <w:t>therefore, on program-causes, it follows that knowledge of explanations is comparably dependent. The reason is that explanation is reverse-prediction. One predicts X when one identifies current conditions that, given known mechanisms, make X’s occurrence likely. One explains X when one</w:t>
      </w:r>
      <w:r>
        <w:rPr>
          <w:spacing w:val="40"/>
        </w:rPr>
        <w:t xml:space="preserve"> </w:t>
      </w:r>
      <w:r>
        <w:t>identifies past conditions that, given known mechanisms, resulted in X’s occurrence. The concept of a program-cause, which was, so far as I know, first clearly analyzed by Pettit and Jackson, is therefore central to the concepts of prediction and explanation and, thus, to the theory of knowledge.</w:t>
      </w:r>
    </w:p>
    <w:p w14:paraId="7E001F22" w14:textId="77777777" w:rsidR="009A58DB" w:rsidRDefault="00000000">
      <w:pPr>
        <w:pStyle w:val="ListParagraph"/>
        <w:numPr>
          <w:ilvl w:val="1"/>
          <w:numId w:val="82"/>
        </w:numPr>
        <w:tabs>
          <w:tab w:val="left" w:pos="1080"/>
        </w:tabs>
        <w:spacing w:before="197" w:line="244" w:lineRule="auto"/>
        <w:ind w:right="360" w:firstLine="0"/>
        <w:rPr>
          <w:b/>
          <w:sz w:val="42"/>
        </w:rPr>
      </w:pPr>
      <w:r>
        <w:rPr>
          <w:b/>
          <w:sz w:val="42"/>
        </w:rPr>
        <w:t>Hume’s</w:t>
      </w:r>
      <w:r>
        <w:rPr>
          <w:b/>
          <w:spacing w:val="40"/>
          <w:sz w:val="42"/>
        </w:rPr>
        <w:t xml:space="preserve"> </w:t>
      </w:r>
      <w:r>
        <w:rPr>
          <w:b/>
          <w:sz w:val="42"/>
        </w:rPr>
        <w:t>first</w:t>
      </w:r>
      <w:r>
        <w:rPr>
          <w:b/>
          <w:spacing w:val="40"/>
          <w:sz w:val="42"/>
        </w:rPr>
        <w:t xml:space="preserve"> </w:t>
      </w:r>
      <w:r>
        <w:rPr>
          <w:b/>
          <w:sz w:val="42"/>
        </w:rPr>
        <w:t>analysis</w:t>
      </w:r>
      <w:r>
        <w:rPr>
          <w:b/>
          <w:spacing w:val="40"/>
          <w:sz w:val="42"/>
        </w:rPr>
        <w:t xml:space="preserve"> </w:t>
      </w:r>
      <w:r>
        <w:rPr>
          <w:b/>
          <w:sz w:val="42"/>
        </w:rPr>
        <w:t>of</w:t>
      </w:r>
      <w:r>
        <w:rPr>
          <w:b/>
          <w:spacing w:val="40"/>
          <w:sz w:val="42"/>
        </w:rPr>
        <w:t xml:space="preserve"> </w:t>
      </w:r>
      <w:r>
        <w:rPr>
          <w:b/>
          <w:sz w:val="42"/>
        </w:rPr>
        <w:t>causality:</w:t>
      </w:r>
      <w:r>
        <w:rPr>
          <w:b/>
          <w:spacing w:val="40"/>
          <w:sz w:val="42"/>
        </w:rPr>
        <w:t xml:space="preserve"> </w:t>
      </w:r>
      <w:r>
        <w:rPr>
          <w:b/>
          <w:sz w:val="42"/>
        </w:rPr>
        <w:t>causality</w:t>
      </w:r>
      <w:r>
        <w:rPr>
          <w:b/>
          <w:spacing w:val="40"/>
          <w:sz w:val="42"/>
        </w:rPr>
        <w:t xml:space="preserve"> </w:t>
      </w:r>
      <w:r>
        <w:rPr>
          <w:b/>
          <w:sz w:val="42"/>
        </w:rPr>
        <w:t>=</w:t>
      </w:r>
      <w:r>
        <w:rPr>
          <w:b/>
          <w:spacing w:val="40"/>
          <w:sz w:val="42"/>
        </w:rPr>
        <w:t xml:space="preserve"> </w:t>
      </w:r>
      <w:r>
        <w:rPr>
          <w:b/>
          <w:spacing w:val="-2"/>
          <w:sz w:val="42"/>
        </w:rPr>
        <w:t>regularity</w:t>
      </w:r>
    </w:p>
    <w:p w14:paraId="7E001F23" w14:textId="77777777" w:rsidR="009A58DB" w:rsidRDefault="00000000">
      <w:pPr>
        <w:pStyle w:val="BodyText"/>
        <w:spacing w:before="132" w:line="249" w:lineRule="auto"/>
        <w:ind w:right="364"/>
      </w:pPr>
      <w:r>
        <w:t>According to David Hume, nothing makes anything happen. There are no forces or structures underlying the various events that occur. There are just the events.</w:t>
      </w:r>
    </w:p>
    <w:p w14:paraId="7E001F24" w14:textId="77777777" w:rsidR="009A58DB" w:rsidRDefault="00000000">
      <w:pPr>
        <w:pStyle w:val="BodyText"/>
        <w:spacing w:before="4" w:line="249" w:lineRule="auto"/>
        <w:ind w:right="359" w:firstLine="360"/>
      </w:pPr>
      <w:r>
        <w:t xml:space="preserve">Why does Hume think this? Because he accepts a very strict form of </w:t>
      </w:r>
      <w:r>
        <w:rPr>
          <w:b/>
          <w:i/>
        </w:rPr>
        <w:t xml:space="preserve">empiricism, </w:t>
      </w:r>
      <w:r>
        <w:t>this being the doctrine that what is known is either (i) directly observed to be the case or (ii) is inferred from what is directly observed in accordance with inference-rules of whose legitimacy direct observation has apprised one.</w:t>
      </w:r>
    </w:p>
    <w:p w14:paraId="7E001F25" w14:textId="77777777" w:rsidR="009A58DB" w:rsidRDefault="00000000">
      <w:pPr>
        <w:pStyle w:val="BodyText"/>
        <w:spacing w:before="6" w:line="249" w:lineRule="auto"/>
        <w:ind w:right="359" w:firstLine="360"/>
      </w:pPr>
      <w:r>
        <w:t>Do we observe connections between events, Hume asks? No—we only observe the events. Thus, Hume believes, so far as you have empirical grounds</w:t>
      </w:r>
      <w:r>
        <w:rPr>
          <w:spacing w:val="79"/>
        </w:rPr>
        <w:t xml:space="preserve"> </w:t>
      </w:r>
      <w:r>
        <w:t>for</w:t>
      </w:r>
      <w:r>
        <w:rPr>
          <w:spacing w:val="79"/>
        </w:rPr>
        <w:t xml:space="preserve"> </w:t>
      </w:r>
      <w:r>
        <w:t>saying</w:t>
      </w:r>
      <w:r>
        <w:rPr>
          <w:spacing w:val="79"/>
        </w:rPr>
        <w:t xml:space="preserve"> </w:t>
      </w:r>
      <w:r>
        <w:t>that</w:t>
      </w:r>
      <w:r>
        <w:rPr>
          <w:spacing w:val="79"/>
        </w:rPr>
        <w:t xml:space="preserve"> </w:t>
      </w:r>
      <w:r>
        <w:t>the</w:t>
      </w:r>
      <w:r>
        <w:rPr>
          <w:spacing w:val="79"/>
        </w:rPr>
        <w:t xml:space="preserve"> </w:t>
      </w:r>
      <w:r>
        <w:t>collision</w:t>
      </w:r>
      <w:r>
        <w:rPr>
          <w:spacing w:val="79"/>
        </w:rPr>
        <w:t xml:space="preserve"> </w:t>
      </w:r>
      <w:r>
        <w:t>of</w:t>
      </w:r>
      <w:r>
        <w:rPr>
          <w:spacing w:val="42"/>
          <w:w w:val="150"/>
        </w:rPr>
        <w:t xml:space="preserve"> </w:t>
      </w:r>
      <w:r>
        <w:t>billiard</w:t>
      </w:r>
      <w:r>
        <w:rPr>
          <w:spacing w:val="79"/>
        </w:rPr>
        <w:t xml:space="preserve"> </w:t>
      </w:r>
      <w:r>
        <w:t>balls</w:t>
      </w:r>
      <w:r>
        <w:rPr>
          <w:spacing w:val="75"/>
        </w:rPr>
        <w:t xml:space="preserve"> </w:t>
      </w:r>
      <w:r>
        <w:t>B</w:t>
      </w:r>
      <w:r>
        <w:rPr>
          <w:vertAlign w:val="subscript"/>
        </w:rPr>
        <w:t>1</w:t>
      </w:r>
      <w:r>
        <w:rPr>
          <w:spacing w:val="46"/>
          <w:w w:val="150"/>
        </w:rPr>
        <w:t xml:space="preserve"> </w:t>
      </w:r>
      <w:r>
        <w:t>and</w:t>
      </w:r>
      <w:r>
        <w:rPr>
          <w:spacing w:val="46"/>
          <w:w w:val="150"/>
        </w:rPr>
        <w:t xml:space="preserve"> </w:t>
      </w:r>
      <w:r>
        <w:t>B</w:t>
      </w:r>
      <w:r>
        <w:rPr>
          <w:vertAlign w:val="subscript"/>
        </w:rPr>
        <w:t>2</w:t>
      </w:r>
      <w:r>
        <w:rPr>
          <w:spacing w:val="76"/>
        </w:rPr>
        <w:t xml:space="preserve"> </w:t>
      </w:r>
      <w:r>
        <w:rPr>
          <w:spacing w:val="-2"/>
        </w:rPr>
        <w:t>caused</w:t>
      </w:r>
    </w:p>
    <w:p w14:paraId="7E001F26" w14:textId="77777777" w:rsidR="009A58DB" w:rsidRDefault="00000000">
      <w:pPr>
        <w:pStyle w:val="BodyText"/>
        <w:spacing w:before="8" w:line="420" w:lineRule="exact"/>
        <w:ind w:right="365"/>
      </w:pPr>
      <w:r>
        <w:t>previously</w:t>
      </w:r>
      <w:r>
        <w:rPr>
          <w:spacing w:val="-2"/>
        </w:rPr>
        <w:t xml:space="preserve"> </w:t>
      </w:r>
      <w:r>
        <w:t>stationary</w:t>
      </w:r>
      <w:r>
        <w:rPr>
          <w:spacing w:val="-2"/>
        </w:rPr>
        <w:t xml:space="preserve"> </w:t>
      </w:r>
      <w:r>
        <w:t>B</w:t>
      </w:r>
      <w:r>
        <w:rPr>
          <w:vertAlign w:val="subscript"/>
        </w:rPr>
        <w:t>2</w:t>
      </w:r>
      <w:r>
        <w:t xml:space="preserve"> to start moving, it’s because you know the following three conditions to be fulfilled (let E</w:t>
      </w:r>
      <w:r>
        <w:rPr>
          <w:vertAlign w:val="subscript"/>
        </w:rPr>
        <w:t>1</w:t>
      </w:r>
      <w:r>
        <w:t xml:space="preserve"> be the collision and let E</w:t>
      </w:r>
      <w:r>
        <w:rPr>
          <w:vertAlign w:val="subscript"/>
        </w:rPr>
        <w:t>2</w:t>
      </w:r>
      <w:r>
        <w:t xml:space="preserve"> be the subsequent displacement of B</w:t>
      </w:r>
      <w:r>
        <w:rPr>
          <w:position w:val="-7"/>
          <w:sz w:val="22"/>
        </w:rPr>
        <w:t>2</w:t>
      </w:r>
      <w:r>
        <w:t>): (1) E</w:t>
      </w:r>
      <w:r>
        <w:rPr>
          <w:position w:val="-7"/>
          <w:sz w:val="22"/>
        </w:rPr>
        <w:t xml:space="preserve">1 </w:t>
      </w:r>
      <w:r>
        <w:t>immediately preceded E</w:t>
      </w:r>
      <w:r>
        <w:rPr>
          <w:position w:val="-7"/>
          <w:sz w:val="22"/>
        </w:rPr>
        <w:t>2</w:t>
      </w:r>
      <w:r>
        <w:t>; (2) E</w:t>
      </w:r>
      <w:r>
        <w:rPr>
          <w:position w:val="-7"/>
          <w:sz w:val="22"/>
        </w:rPr>
        <w:t xml:space="preserve">1 </w:t>
      </w:r>
      <w:r>
        <w:t>and E</w:t>
      </w:r>
      <w:r>
        <w:rPr>
          <w:vertAlign w:val="subscript"/>
        </w:rPr>
        <w:t>2</w:t>
      </w:r>
      <w:r>
        <w:t xml:space="preserve"> are adjacent; and (3) any event similar to E</w:t>
      </w:r>
      <w:r>
        <w:rPr>
          <w:vertAlign w:val="subscript"/>
        </w:rPr>
        <w:t>1</w:t>
      </w:r>
      <w:r>
        <w:t xml:space="preserve"> immediately precedes, and is adjacent with, some event similar to E</w:t>
      </w:r>
      <w:r>
        <w:rPr>
          <w:vertAlign w:val="subscript"/>
        </w:rPr>
        <w:t>3</w:t>
      </w:r>
      <w:r>
        <w:t>.</w:t>
      </w:r>
    </w:p>
    <w:p w14:paraId="7E001F27" w14:textId="77777777" w:rsidR="009A58DB" w:rsidRDefault="00000000">
      <w:pPr>
        <w:pStyle w:val="BodyText"/>
        <w:spacing w:before="56" w:line="249" w:lineRule="auto"/>
        <w:ind w:right="361" w:firstLine="360"/>
      </w:pPr>
      <w:r>
        <w:t xml:space="preserve">Conditions (1) and (2) explained: If there were a spatial or temporal gap between the two events, we’d be unjustified in believing the first to be a </w:t>
      </w:r>
      <w:r>
        <w:rPr>
          <w:i/>
        </w:rPr>
        <w:t xml:space="preserve">direct </w:t>
      </w:r>
      <w:r>
        <w:t>cause of the second. Hence conditions (1) and (2). Condition (2) explained:</w:t>
      </w:r>
      <w:r>
        <w:rPr>
          <w:spacing w:val="80"/>
        </w:rPr>
        <w:t xml:space="preserve"> </w:t>
      </w:r>
      <w:r>
        <w:t>If</w:t>
      </w:r>
      <w:r>
        <w:rPr>
          <w:spacing w:val="80"/>
        </w:rPr>
        <w:t xml:space="preserve"> </w:t>
      </w:r>
      <w:r>
        <w:t>events</w:t>
      </w:r>
      <w:r>
        <w:rPr>
          <w:spacing w:val="80"/>
        </w:rPr>
        <w:t xml:space="preserve"> </w:t>
      </w:r>
      <w:r>
        <w:t>similar</w:t>
      </w:r>
      <w:r>
        <w:rPr>
          <w:spacing w:val="80"/>
        </w:rPr>
        <w:t xml:space="preserve"> </w:t>
      </w:r>
      <w:r>
        <w:t>to</w:t>
      </w:r>
      <w:r>
        <w:rPr>
          <w:spacing w:val="63"/>
          <w:w w:val="150"/>
        </w:rPr>
        <w:t xml:space="preserve"> </w:t>
      </w:r>
      <w:r>
        <w:t>E</w:t>
      </w:r>
      <w:r>
        <w:rPr>
          <w:vertAlign w:val="subscript"/>
        </w:rPr>
        <w:t>1</w:t>
      </w:r>
      <w:r>
        <w:rPr>
          <w:spacing w:val="80"/>
        </w:rPr>
        <w:t xml:space="preserve"> </w:t>
      </w:r>
      <w:r>
        <w:t>weren’t</w:t>
      </w:r>
      <w:r>
        <w:rPr>
          <w:spacing w:val="80"/>
        </w:rPr>
        <w:t xml:space="preserve"> </w:t>
      </w:r>
      <w:r>
        <w:t>typically</w:t>
      </w:r>
      <w:r>
        <w:rPr>
          <w:spacing w:val="80"/>
        </w:rPr>
        <w:t xml:space="preserve"> </w:t>
      </w:r>
      <w:r>
        <w:t>adjacent</w:t>
      </w:r>
      <w:r>
        <w:rPr>
          <w:spacing w:val="80"/>
        </w:rPr>
        <w:t xml:space="preserve"> </w:t>
      </w:r>
      <w:r>
        <w:t>with,</w:t>
      </w:r>
      <w:r>
        <w:rPr>
          <w:spacing w:val="63"/>
          <w:w w:val="150"/>
        </w:rPr>
        <w:t xml:space="preserve"> </w:t>
      </w:r>
      <w:r>
        <w:t>and</w:t>
      </w:r>
    </w:p>
    <w:p w14:paraId="7E001F28" w14:textId="77777777" w:rsidR="009A58DB" w:rsidRDefault="00000000">
      <w:pPr>
        <w:pStyle w:val="BodyText"/>
        <w:spacing w:before="65" w:line="292" w:lineRule="auto"/>
        <w:ind w:right="367"/>
      </w:pPr>
      <w:r>
        <w:t>immediately followed by, events similar to E</w:t>
      </w:r>
      <w:r>
        <w:rPr>
          <w:vertAlign w:val="subscript"/>
        </w:rPr>
        <w:t>2</w:t>
      </w:r>
      <w:r>
        <w:t>, we’d have no reason to think that E</w:t>
      </w:r>
      <w:r>
        <w:rPr>
          <w:vertAlign w:val="subscript"/>
        </w:rPr>
        <w:t>1</w:t>
      </w:r>
      <w:r>
        <w:t>’s occurring had anything to do with E</w:t>
      </w:r>
      <w:r>
        <w:rPr>
          <w:vertAlign w:val="subscript"/>
        </w:rPr>
        <w:t>2</w:t>
      </w:r>
      <w:r>
        <w:t>’s occurring.</w:t>
      </w:r>
    </w:p>
    <w:p w14:paraId="7E001F29"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1F2A" w14:textId="77777777" w:rsidR="009A58DB" w:rsidRDefault="00000000">
      <w:pPr>
        <w:pStyle w:val="BodyText"/>
        <w:spacing w:before="65"/>
        <w:ind w:left="720"/>
        <w:jc w:val="left"/>
      </w:pPr>
      <w:r>
        <w:lastRenderedPageBreak/>
        <w:t>Hume</w:t>
      </w:r>
      <w:r>
        <w:rPr>
          <w:spacing w:val="-4"/>
        </w:rPr>
        <w:t xml:space="preserve"> </w:t>
      </w:r>
      <w:r>
        <w:t>thus</w:t>
      </w:r>
      <w:r>
        <w:rPr>
          <w:spacing w:val="-3"/>
        </w:rPr>
        <w:t xml:space="preserve"> </w:t>
      </w:r>
      <w:r>
        <w:t>proposes</w:t>
      </w:r>
      <w:r>
        <w:rPr>
          <w:spacing w:val="-4"/>
        </w:rPr>
        <w:t xml:space="preserve"> </w:t>
      </w:r>
      <w:r>
        <w:t>the</w:t>
      </w:r>
      <w:r>
        <w:rPr>
          <w:spacing w:val="-3"/>
        </w:rPr>
        <w:t xml:space="preserve"> </w:t>
      </w:r>
      <w:r>
        <w:t>following</w:t>
      </w:r>
      <w:r>
        <w:rPr>
          <w:spacing w:val="-3"/>
        </w:rPr>
        <w:t xml:space="preserve"> </w:t>
      </w:r>
      <w:r>
        <w:t>analysis</w:t>
      </w:r>
      <w:r>
        <w:rPr>
          <w:spacing w:val="-3"/>
        </w:rPr>
        <w:t xml:space="preserve"> </w:t>
      </w:r>
      <w:r>
        <w:t>of</w:t>
      </w:r>
      <w:r>
        <w:rPr>
          <w:spacing w:val="-3"/>
        </w:rPr>
        <w:t xml:space="preserve"> </w:t>
      </w:r>
      <w:r>
        <w:rPr>
          <w:spacing w:val="-2"/>
        </w:rPr>
        <w:t>causation:</w:t>
      </w:r>
    </w:p>
    <w:p w14:paraId="7E001F2B" w14:textId="77777777" w:rsidR="009A58DB" w:rsidRDefault="00000000">
      <w:pPr>
        <w:pStyle w:val="BodyText"/>
        <w:spacing w:before="120" w:line="271" w:lineRule="auto"/>
        <w:ind w:right="358"/>
        <w:rPr>
          <w:position w:val="21"/>
        </w:rPr>
      </w:pPr>
      <w:r>
        <w:t>(HC</w:t>
      </w:r>
      <w:r>
        <w:rPr>
          <w:position w:val="-7"/>
          <w:sz w:val="22"/>
        </w:rPr>
        <w:t>1</w:t>
      </w:r>
      <w:bookmarkStart w:id="430" w:name="_bookmark430"/>
      <w:bookmarkEnd w:id="430"/>
      <w:r>
        <w:rPr>
          <w:color w:val="0562C1"/>
          <w:position w:val="21"/>
          <w:u w:val="single" w:color="0562C1"/>
        </w:rPr>
        <w:t>[312]</w:t>
      </w:r>
      <w:r>
        <w:t>)</w:t>
      </w:r>
      <w:r>
        <w:rPr>
          <w:spacing w:val="-3"/>
        </w:rPr>
        <w:t xml:space="preserve"> </w:t>
      </w:r>
      <w:r>
        <w:t>E</w:t>
      </w:r>
      <w:r>
        <w:rPr>
          <w:position w:val="-7"/>
          <w:sz w:val="22"/>
        </w:rPr>
        <w:t xml:space="preserve">1 </w:t>
      </w:r>
      <w:r>
        <w:t>causes E</w:t>
      </w:r>
      <w:r>
        <w:rPr>
          <w:position w:val="-7"/>
          <w:sz w:val="22"/>
        </w:rPr>
        <w:t xml:space="preserve">2 </w:t>
      </w:r>
      <w:r>
        <w:t>to occur if E</w:t>
      </w:r>
      <w:r>
        <w:rPr>
          <w:position w:val="-7"/>
          <w:sz w:val="22"/>
        </w:rPr>
        <w:t xml:space="preserve">1 </w:t>
      </w:r>
      <w:r>
        <w:t>immediately precedes and is adjacent with E</w:t>
      </w:r>
      <w:r>
        <w:rPr>
          <w:vertAlign w:val="subscript"/>
        </w:rPr>
        <w:t>2</w:t>
      </w:r>
      <w:r>
        <w:t>, and any event similar to E</w:t>
      </w:r>
      <w:r>
        <w:rPr>
          <w:vertAlign w:val="subscript"/>
        </w:rPr>
        <w:t>1</w:t>
      </w:r>
      <w:r>
        <w:t xml:space="preserve"> immediately precedes and is adjacent with some event similar to E</w:t>
      </w:r>
      <w:r>
        <w:rPr>
          <w:position w:val="-7"/>
          <w:sz w:val="22"/>
        </w:rPr>
        <w:t>2</w:t>
      </w:r>
      <w:r>
        <w:t>.</w:t>
      </w:r>
      <w:bookmarkStart w:id="431" w:name="_bookmark431"/>
      <w:bookmarkEnd w:id="431"/>
      <w:r>
        <w:rPr>
          <w:color w:val="0562C1"/>
          <w:position w:val="21"/>
          <w:u w:val="single" w:color="0562C1"/>
        </w:rPr>
        <w:t>[313]</w:t>
      </w:r>
    </w:p>
    <w:p w14:paraId="7E001F2C" w14:textId="77777777" w:rsidR="009A58DB" w:rsidRDefault="00000000">
      <w:pPr>
        <w:pStyle w:val="Heading1"/>
        <w:numPr>
          <w:ilvl w:val="1"/>
          <w:numId w:val="82"/>
        </w:numPr>
        <w:tabs>
          <w:tab w:val="left" w:pos="1099"/>
        </w:tabs>
        <w:spacing w:before="153" w:line="244" w:lineRule="auto"/>
        <w:ind w:right="364" w:firstLine="0"/>
        <w:jc w:val="both"/>
      </w:pPr>
      <w:r>
        <w:t>Problem #1 with Hume’s analysis: It doesn’t distinguish between actual causation and pseudo-</w:t>
      </w:r>
      <w:r>
        <w:rPr>
          <w:spacing w:val="-2"/>
        </w:rPr>
        <w:t>causation</w:t>
      </w:r>
    </w:p>
    <w:p w14:paraId="7E001F2D" w14:textId="77777777" w:rsidR="009A58DB" w:rsidRDefault="00000000">
      <w:pPr>
        <w:pStyle w:val="BodyText"/>
        <w:spacing w:before="134" w:line="249" w:lineRule="auto"/>
        <w:ind w:right="361"/>
      </w:pPr>
      <w:r>
        <w:t>This analysis is untenable. A story will help us identify one of the reasons why. Your dog Fido is an infallible earthquake detector. Whenever an earthquake is about to strike, he senses it, and barks hysterically and runs around in circles. One day, Fido starts barking hysterically and running around in circles. Sure enough, an earthquake strikes right then and there.</w:t>
      </w:r>
    </w:p>
    <w:p w14:paraId="7E001F2E" w14:textId="77777777" w:rsidR="009A58DB" w:rsidRDefault="00000000">
      <w:pPr>
        <w:pStyle w:val="BodyText"/>
        <w:spacing w:before="6" w:line="249" w:lineRule="auto"/>
        <w:ind w:right="358" w:firstLine="360"/>
      </w:pPr>
      <w:r>
        <w:t xml:space="preserve">Hume’s analysis entails that Fido’s antics </w:t>
      </w:r>
      <w:r>
        <w:rPr>
          <w:i/>
        </w:rPr>
        <w:t xml:space="preserve">causes </w:t>
      </w:r>
      <w:r>
        <w:t>the earthquake to strike. Fido’s antics immediately precede the earthquake. (So condition (1) is satisfied.) Fido’s antics are adjacent with it. (So condition (2) is satisfied.) And</w:t>
      </w:r>
      <w:r>
        <w:rPr>
          <w:spacing w:val="-3"/>
        </w:rPr>
        <w:t xml:space="preserve"> </w:t>
      </w:r>
      <w:r>
        <w:t>such</w:t>
      </w:r>
      <w:r>
        <w:rPr>
          <w:spacing w:val="-3"/>
        </w:rPr>
        <w:t xml:space="preserve"> </w:t>
      </w:r>
      <w:r>
        <w:t>antics</w:t>
      </w:r>
      <w:r>
        <w:rPr>
          <w:spacing w:val="-4"/>
        </w:rPr>
        <w:t xml:space="preserve"> </w:t>
      </w:r>
      <w:r>
        <w:t>on</w:t>
      </w:r>
      <w:r>
        <w:rPr>
          <w:spacing w:val="-3"/>
        </w:rPr>
        <w:t xml:space="preserve"> </w:t>
      </w:r>
      <w:r>
        <w:t>Fido’s</w:t>
      </w:r>
      <w:r>
        <w:rPr>
          <w:spacing w:val="-4"/>
        </w:rPr>
        <w:t xml:space="preserve"> </w:t>
      </w:r>
      <w:r>
        <w:t>part</w:t>
      </w:r>
      <w:r>
        <w:rPr>
          <w:spacing w:val="-4"/>
        </w:rPr>
        <w:t xml:space="preserve"> </w:t>
      </w:r>
      <w:r>
        <w:t>are</w:t>
      </w:r>
      <w:r>
        <w:rPr>
          <w:spacing w:val="-3"/>
        </w:rPr>
        <w:t xml:space="preserve"> </w:t>
      </w:r>
      <w:r>
        <w:rPr>
          <w:i/>
        </w:rPr>
        <w:t>always</w:t>
      </w:r>
      <w:r>
        <w:rPr>
          <w:i/>
          <w:spacing w:val="-4"/>
        </w:rPr>
        <w:t xml:space="preserve"> </w:t>
      </w:r>
      <w:r>
        <w:t>adjacent to an immediately ensuing earthquake. (So condition (3) is satisfied.) Given that Fido’s antics obviously didn’t cause the earthquake, Hume’s analysis is wrong.</w:t>
      </w:r>
    </w:p>
    <w:p w14:paraId="7E001F2F" w14:textId="77777777" w:rsidR="009A58DB" w:rsidRDefault="00000000">
      <w:pPr>
        <w:pStyle w:val="BodyText"/>
        <w:spacing w:before="7" w:line="249" w:lineRule="auto"/>
        <w:ind w:right="364" w:firstLine="360"/>
      </w:pPr>
      <w:r>
        <w:t>The</w:t>
      </w:r>
      <w:r>
        <w:rPr>
          <w:spacing w:val="-5"/>
        </w:rPr>
        <w:t xml:space="preserve"> </w:t>
      </w:r>
      <w:r>
        <w:t>real</w:t>
      </w:r>
      <w:r>
        <w:rPr>
          <w:spacing w:val="-5"/>
        </w:rPr>
        <w:t xml:space="preserve"> </w:t>
      </w:r>
      <w:r>
        <w:t>cause</w:t>
      </w:r>
      <w:r>
        <w:rPr>
          <w:spacing w:val="-5"/>
        </w:rPr>
        <w:t xml:space="preserve"> </w:t>
      </w:r>
      <w:r>
        <w:t>of</w:t>
      </w:r>
      <w:r>
        <w:rPr>
          <w:spacing w:val="-5"/>
        </w:rPr>
        <w:t xml:space="preserve"> </w:t>
      </w:r>
      <w:r>
        <w:t>the</w:t>
      </w:r>
      <w:r>
        <w:rPr>
          <w:spacing w:val="-5"/>
        </w:rPr>
        <w:t xml:space="preserve"> </w:t>
      </w:r>
      <w:r>
        <w:t>earthquake</w:t>
      </w:r>
      <w:r>
        <w:rPr>
          <w:spacing w:val="-5"/>
        </w:rPr>
        <w:t xml:space="preserve"> </w:t>
      </w:r>
      <w:r>
        <w:t>presumably</w:t>
      </w:r>
      <w:r>
        <w:rPr>
          <w:spacing w:val="-4"/>
        </w:rPr>
        <w:t xml:space="preserve"> </w:t>
      </w:r>
      <w:r>
        <w:t>created</w:t>
      </w:r>
      <w:r>
        <w:rPr>
          <w:spacing w:val="-4"/>
        </w:rPr>
        <w:t xml:space="preserve"> </w:t>
      </w:r>
      <w:r>
        <w:t>some</w:t>
      </w:r>
      <w:r>
        <w:rPr>
          <w:spacing w:val="-5"/>
        </w:rPr>
        <w:t xml:space="preserve"> </w:t>
      </w:r>
      <w:r>
        <w:t>disturbance</w:t>
      </w:r>
      <w:r>
        <w:rPr>
          <w:spacing w:val="-5"/>
        </w:rPr>
        <w:t xml:space="preserve"> </w:t>
      </w:r>
      <w:r>
        <w:t>that Fido detected, that being why he engaged in his antics. Thus, some one thing was</w:t>
      </w:r>
      <w:r>
        <w:rPr>
          <w:spacing w:val="-2"/>
        </w:rPr>
        <w:t xml:space="preserve"> </w:t>
      </w:r>
      <w:r>
        <w:t>responsible</w:t>
      </w:r>
      <w:r>
        <w:rPr>
          <w:spacing w:val="-2"/>
        </w:rPr>
        <w:t xml:space="preserve"> </w:t>
      </w:r>
      <w:r>
        <w:t>both</w:t>
      </w:r>
      <w:r>
        <w:rPr>
          <w:spacing w:val="-2"/>
        </w:rPr>
        <w:t xml:space="preserve"> </w:t>
      </w:r>
      <w:r>
        <w:t>for</w:t>
      </w:r>
      <w:r>
        <w:rPr>
          <w:spacing w:val="-2"/>
        </w:rPr>
        <w:t xml:space="preserve"> </w:t>
      </w:r>
      <w:r>
        <w:t>Fido’s</w:t>
      </w:r>
      <w:r>
        <w:rPr>
          <w:spacing w:val="-2"/>
        </w:rPr>
        <w:t xml:space="preserve"> </w:t>
      </w:r>
      <w:r>
        <w:t>antics</w:t>
      </w:r>
      <w:r>
        <w:rPr>
          <w:spacing w:val="-2"/>
        </w:rPr>
        <w:t xml:space="preserve"> </w:t>
      </w:r>
      <w:r>
        <w:t>and</w:t>
      </w:r>
      <w:r>
        <w:rPr>
          <w:spacing w:val="-2"/>
        </w:rPr>
        <w:t xml:space="preserve"> </w:t>
      </w:r>
      <w:r>
        <w:t>for</w:t>
      </w:r>
      <w:r>
        <w:rPr>
          <w:spacing w:val="-2"/>
        </w:rPr>
        <w:t xml:space="preserve"> </w:t>
      </w:r>
      <w:r>
        <w:t>the</w:t>
      </w:r>
      <w:r>
        <w:rPr>
          <w:spacing w:val="-2"/>
        </w:rPr>
        <w:t xml:space="preserve"> </w:t>
      </w:r>
      <w:r>
        <w:t>earthquake.</w:t>
      </w:r>
      <w:r>
        <w:rPr>
          <w:spacing w:val="-2"/>
        </w:rPr>
        <w:t xml:space="preserve"> </w:t>
      </w:r>
      <w:r>
        <w:t>The</w:t>
      </w:r>
      <w:r>
        <w:rPr>
          <w:spacing w:val="-2"/>
        </w:rPr>
        <w:t xml:space="preserve"> </w:t>
      </w:r>
      <w:r>
        <w:t>two</w:t>
      </w:r>
      <w:r>
        <w:rPr>
          <w:spacing w:val="-2"/>
        </w:rPr>
        <w:t xml:space="preserve"> </w:t>
      </w:r>
      <w:r>
        <w:t>effects fulfilled</w:t>
      </w:r>
      <w:r>
        <w:rPr>
          <w:spacing w:val="-4"/>
        </w:rPr>
        <w:t xml:space="preserve"> </w:t>
      </w:r>
      <w:r>
        <w:t>the</w:t>
      </w:r>
      <w:r>
        <w:rPr>
          <w:spacing w:val="-5"/>
        </w:rPr>
        <w:t xml:space="preserve"> </w:t>
      </w:r>
      <w:r>
        <w:t>conditions</w:t>
      </w:r>
      <w:r>
        <w:rPr>
          <w:spacing w:val="-5"/>
        </w:rPr>
        <w:t xml:space="preserve"> </w:t>
      </w:r>
      <w:r>
        <w:t>described</w:t>
      </w:r>
      <w:r>
        <w:rPr>
          <w:spacing w:val="-4"/>
        </w:rPr>
        <w:t xml:space="preserve"> </w:t>
      </w:r>
      <w:r>
        <w:t>by</w:t>
      </w:r>
      <w:r>
        <w:rPr>
          <w:spacing w:val="-4"/>
        </w:rPr>
        <w:t xml:space="preserve"> </w:t>
      </w:r>
      <w:r>
        <w:t>Hume.</w:t>
      </w:r>
      <w:r>
        <w:rPr>
          <w:spacing w:val="-4"/>
        </w:rPr>
        <w:t xml:space="preserve"> </w:t>
      </w:r>
      <w:r>
        <w:t>For</w:t>
      </w:r>
      <w:r>
        <w:rPr>
          <w:spacing w:val="-5"/>
        </w:rPr>
        <w:t xml:space="preserve"> </w:t>
      </w:r>
      <w:r>
        <w:t>this</w:t>
      </w:r>
      <w:r>
        <w:rPr>
          <w:spacing w:val="-5"/>
        </w:rPr>
        <w:t xml:space="preserve"> </w:t>
      </w:r>
      <w:r>
        <w:t>reason,</w:t>
      </w:r>
      <w:r>
        <w:rPr>
          <w:spacing w:val="-4"/>
        </w:rPr>
        <w:t xml:space="preserve"> </w:t>
      </w:r>
      <w:r>
        <w:t>the</w:t>
      </w:r>
      <w:r>
        <w:rPr>
          <w:spacing w:val="-5"/>
        </w:rPr>
        <w:t xml:space="preserve"> </w:t>
      </w:r>
      <w:r>
        <w:t>sequence</w:t>
      </w:r>
      <w:r>
        <w:rPr>
          <w:spacing w:val="-5"/>
        </w:rPr>
        <w:t xml:space="preserve"> </w:t>
      </w:r>
      <w:r>
        <w:t>they formed mimicked a bona fide causal connection.</w:t>
      </w:r>
    </w:p>
    <w:p w14:paraId="7E001F30" w14:textId="77777777" w:rsidR="009A58DB" w:rsidRDefault="00000000">
      <w:pPr>
        <w:pStyle w:val="BodyText"/>
        <w:spacing w:before="7" w:line="249" w:lineRule="auto"/>
        <w:ind w:right="360" w:firstLine="360"/>
      </w:pPr>
      <w:r>
        <w:t>When some one thing E</w:t>
      </w:r>
      <w:r>
        <w:rPr>
          <w:position w:val="-7"/>
          <w:sz w:val="22"/>
        </w:rPr>
        <w:t>1</w:t>
      </w:r>
      <w:r>
        <w:rPr>
          <w:spacing w:val="40"/>
          <w:position w:val="-7"/>
          <w:sz w:val="22"/>
        </w:rPr>
        <w:t xml:space="preserve"> </w:t>
      </w:r>
      <w:r>
        <w:t>has two effects E</w:t>
      </w:r>
      <w:r>
        <w:rPr>
          <w:position w:val="-7"/>
          <w:sz w:val="22"/>
        </w:rPr>
        <w:t>2</w:t>
      </w:r>
      <w:r>
        <w:rPr>
          <w:spacing w:val="40"/>
          <w:position w:val="-7"/>
          <w:sz w:val="22"/>
        </w:rPr>
        <w:t xml:space="preserve"> </w:t>
      </w:r>
      <w:r>
        <w:t>and E</w:t>
      </w:r>
      <w:r>
        <w:rPr>
          <w:position w:val="-7"/>
          <w:sz w:val="22"/>
        </w:rPr>
        <w:t>3</w:t>
      </w:r>
      <w:r>
        <w:rPr>
          <w:spacing w:val="40"/>
          <w:position w:val="-7"/>
          <w:sz w:val="22"/>
        </w:rPr>
        <w:t xml:space="preserve"> </w:t>
      </w:r>
      <w:r>
        <w:t xml:space="preserve">that </w:t>
      </w:r>
      <w:r>
        <w:rPr>
          <w:i/>
        </w:rPr>
        <w:t xml:space="preserve">appear </w:t>
      </w:r>
      <w:r>
        <w:t>to be related as cause and effect, respectively, we say that the sequence consisting of</w:t>
      </w:r>
      <w:r>
        <w:rPr>
          <w:spacing w:val="67"/>
          <w:w w:val="150"/>
        </w:rPr>
        <w:t xml:space="preserve"> </w:t>
      </w:r>
      <w:r>
        <w:t>E</w:t>
      </w:r>
      <w:r>
        <w:rPr>
          <w:vertAlign w:val="subscript"/>
        </w:rPr>
        <w:t>2</w:t>
      </w:r>
      <w:r>
        <w:rPr>
          <w:spacing w:val="75"/>
          <w:w w:val="150"/>
        </w:rPr>
        <w:t xml:space="preserve"> </w:t>
      </w:r>
      <w:r>
        <w:t>and</w:t>
      </w:r>
      <w:r>
        <w:rPr>
          <w:spacing w:val="75"/>
          <w:w w:val="150"/>
        </w:rPr>
        <w:t xml:space="preserve"> </w:t>
      </w:r>
      <w:r>
        <w:t>E</w:t>
      </w:r>
      <w:r>
        <w:rPr>
          <w:vertAlign w:val="subscript"/>
        </w:rPr>
        <w:t>3</w:t>
      </w:r>
      <w:r>
        <w:rPr>
          <w:spacing w:val="23"/>
        </w:rPr>
        <w:t xml:space="preserve">  </w:t>
      </w:r>
      <w:r>
        <w:t>is</w:t>
      </w:r>
      <w:r>
        <w:rPr>
          <w:spacing w:val="22"/>
        </w:rPr>
        <w:t xml:space="preserve">  </w:t>
      </w:r>
      <w:r>
        <w:t>a</w:t>
      </w:r>
      <w:r>
        <w:rPr>
          <w:spacing w:val="23"/>
        </w:rPr>
        <w:t xml:space="preserve">  </w:t>
      </w:r>
      <w:r>
        <w:t>“pseudo-causal</w:t>
      </w:r>
      <w:r>
        <w:rPr>
          <w:spacing w:val="22"/>
        </w:rPr>
        <w:t xml:space="preserve">  </w:t>
      </w:r>
      <w:r>
        <w:t>process”</w:t>
      </w:r>
      <w:r>
        <w:rPr>
          <w:spacing w:val="23"/>
        </w:rPr>
        <w:t xml:space="preserve">  </w:t>
      </w:r>
      <w:r>
        <w:t>or,</w:t>
      </w:r>
      <w:r>
        <w:rPr>
          <w:spacing w:val="22"/>
        </w:rPr>
        <w:t xml:space="preserve">  </w:t>
      </w:r>
      <w:r>
        <w:t>alternately,</w:t>
      </w:r>
      <w:r>
        <w:rPr>
          <w:spacing w:val="23"/>
        </w:rPr>
        <w:t xml:space="preserve">  </w:t>
      </w:r>
      <w:r>
        <w:t>a</w:t>
      </w:r>
      <w:r>
        <w:rPr>
          <w:spacing w:val="23"/>
        </w:rPr>
        <w:t xml:space="preserve">  </w:t>
      </w:r>
      <w:r>
        <w:t>case</w:t>
      </w:r>
      <w:r>
        <w:rPr>
          <w:spacing w:val="22"/>
        </w:rPr>
        <w:t xml:space="preserve">  </w:t>
      </w:r>
      <w:r>
        <w:rPr>
          <w:spacing w:val="-5"/>
        </w:rPr>
        <w:t>of</w:t>
      </w:r>
    </w:p>
    <w:p w14:paraId="7E001F31" w14:textId="77777777" w:rsidR="009A58DB" w:rsidRDefault="00000000">
      <w:pPr>
        <w:pStyle w:val="BodyText"/>
        <w:spacing w:before="61" w:line="249" w:lineRule="auto"/>
        <w:ind w:right="370"/>
      </w:pPr>
      <w:r>
        <w:t>“epiphenomenal causation.” Hume’s analysis cannot distinguish epiphenomenal causation from actual causation.</w:t>
      </w:r>
    </w:p>
    <w:p w14:paraId="7E001F32" w14:textId="77777777" w:rsidR="009A58DB" w:rsidRDefault="00000000">
      <w:pPr>
        <w:pStyle w:val="Heading1"/>
        <w:numPr>
          <w:ilvl w:val="1"/>
          <w:numId w:val="82"/>
        </w:numPr>
        <w:tabs>
          <w:tab w:val="left" w:pos="825"/>
          <w:tab w:val="left" w:pos="1011"/>
        </w:tabs>
        <w:spacing w:before="190" w:line="244" w:lineRule="auto"/>
        <w:ind w:left="825" w:right="379" w:hanging="465"/>
      </w:pPr>
      <w:r>
        <w:t>Problem #2: Hume’s analysis entails that events can’t</w:t>
      </w:r>
      <w:r>
        <w:rPr>
          <w:spacing w:val="80"/>
          <w:w w:val="150"/>
        </w:rPr>
        <w:t xml:space="preserve"> </w:t>
      </w:r>
      <w:r>
        <w:t>be</w:t>
      </w:r>
      <w:r>
        <w:rPr>
          <w:spacing w:val="80"/>
          <w:w w:val="150"/>
        </w:rPr>
        <w:t xml:space="preserve"> </w:t>
      </w:r>
      <w:r>
        <w:t>space-time</w:t>
      </w:r>
      <w:r>
        <w:rPr>
          <w:spacing w:val="80"/>
          <w:w w:val="150"/>
        </w:rPr>
        <w:t xml:space="preserve"> </w:t>
      </w:r>
      <w:r>
        <w:t>neighbors</w:t>
      </w:r>
      <w:r>
        <w:rPr>
          <w:spacing w:val="80"/>
          <w:w w:val="150"/>
        </w:rPr>
        <w:t xml:space="preserve"> </w:t>
      </w:r>
      <w:r>
        <w:t>without</w:t>
      </w:r>
      <w:r>
        <w:rPr>
          <w:spacing w:val="80"/>
          <w:w w:val="150"/>
        </w:rPr>
        <w:t xml:space="preserve"> </w:t>
      </w:r>
      <w:r>
        <w:t>one</w:t>
      </w:r>
      <w:r>
        <w:rPr>
          <w:spacing w:val="80"/>
          <w:w w:val="150"/>
        </w:rPr>
        <w:t xml:space="preserve"> </w:t>
      </w:r>
      <w:r>
        <w:t>of</w:t>
      </w:r>
    </w:p>
    <w:p w14:paraId="7E001F33" w14:textId="77777777" w:rsidR="009A58DB" w:rsidRDefault="009A58DB">
      <w:pPr>
        <w:pStyle w:val="Heading1"/>
        <w:spacing w:line="244" w:lineRule="auto"/>
        <w:sectPr w:rsidR="009A58DB">
          <w:pgSz w:w="12240" w:h="15840"/>
          <w:pgMar w:top="1380" w:right="1080" w:bottom="280" w:left="1080" w:header="720" w:footer="720" w:gutter="0"/>
          <w:cols w:space="720"/>
        </w:sectPr>
      </w:pPr>
    </w:p>
    <w:p w14:paraId="7E001F34" w14:textId="77777777" w:rsidR="009A58DB" w:rsidRDefault="00000000">
      <w:pPr>
        <w:spacing w:before="53"/>
        <w:ind w:left="825"/>
        <w:jc w:val="both"/>
        <w:rPr>
          <w:b/>
          <w:sz w:val="42"/>
        </w:rPr>
      </w:pPr>
      <w:r>
        <w:rPr>
          <w:b/>
          <w:sz w:val="42"/>
        </w:rPr>
        <w:lastRenderedPageBreak/>
        <w:t>them</w:t>
      </w:r>
      <w:r>
        <w:rPr>
          <w:b/>
          <w:spacing w:val="-4"/>
          <w:sz w:val="42"/>
        </w:rPr>
        <w:t xml:space="preserve"> </w:t>
      </w:r>
      <w:r>
        <w:rPr>
          <w:b/>
          <w:sz w:val="42"/>
        </w:rPr>
        <w:t>causing</w:t>
      </w:r>
      <w:r>
        <w:rPr>
          <w:b/>
          <w:spacing w:val="-3"/>
          <w:sz w:val="42"/>
        </w:rPr>
        <w:t xml:space="preserve"> </w:t>
      </w:r>
      <w:r>
        <w:rPr>
          <w:b/>
          <w:sz w:val="42"/>
        </w:rPr>
        <w:t>the</w:t>
      </w:r>
      <w:r>
        <w:rPr>
          <w:b/>
          <w:spacing w:val="-4"/>
          <w:sz w:val="42"/>
        </w:rPr>
        <w:t xml:space="preserve"> </w:t>
      </w:r>
      <w:r>
        <w:rPr>
          <w:b/>
          <w:sz w:val="42"/>
        </w:rPr>
        <w:t>other</w:t>
      </w:r>
      <w:r>
        <w:rPr>
          <w:b/>
          <w:spacing w:val="-4"/>
          <w:sz w:val="42"/>
        </w:rPr>
        <w:t xml:space="preserve"> </w:t>
      </w:r>
      <w:r>
        <w:rPr>
          <w:b/>
          <w:sz w:val="42"/>
        </w:rPr>
        <w:t>to</w:t>
      </w:r>
      <w:r>
        <w:rPr>
          <w:b/>
          <w:spacing w:val="-2"/>
          <w:sz w:val="42"/>
        </w:rPr>
        <w:t xml:space="preserve"> occur</w:t>
      </w:r>
    </w:p>
    <w:p w14:paraId="7E001F35" w14:textId="77777777" w:rsidR="009A58DB" w:rsidRDefault="00000000">
      <w:pPr>
        <w:pStyle w:val="BodyText"/>
        <w:spacing w:before="88" w:line="420" w:lineRule="exact"/>
        <w:ind w:right="358"/>
      </w:pPr>
      <w:r>
        <w:t>If E</w:t>
      </w:r>
      <w:r>
        <w:rPr>
          <w:vertAlign w:val="subscript"/>
        </w:rPr>
        <w:t>1</w:t>
      </w:r>
      <w:r>
        <w:t xml:space="preserve"> and E</w:t>
      </w:r>
      <w:r>
        <w:rPr>
          <w:vertAlign w:val="subscript"/>
        </w:rPr>
        <w:t>2</w:t>
      </w:r>
      <w:r>
        <w:t xml:space="preserve"> are any two spatiotemporally adjacent events, it’s easy to find categories K</w:t>
      </w:r>
      <w:r>
        <w:rPr>
          <w:position w:val="-7"/>
          <w:sz w:val="22"/>
        </w:rPr>
        <w:t xml:space="preserve">1 </w:t>
      </w:r>
      <w:r>
        <w:t>and K</w:t>
      </w:r>
      <w:r>
        <w:rPr>
          <w:position w:val="-7"/>
          <w:sz w:val="22"/>
        </w:rPr>
        <w:t xml:space="preserve">2 </w:t>
      </w:r>
      <w:r>
        <w:t>such that E</w:t>
      </w:r>
      <w:r>
        <w:rPr>
          <w:position w:val="-7"/>
          <w:sz w:val="22"/>
        </w:rPr>
        <w:t xml:space="preserve">1 </w:t>
      </w:r>
      <w:r>
        <w:t>and E</w:t>
      </w:r>
      <w:r>
        <w:rPr>
          <w:position w:val="-7"/>
          <w:sz w:val="22"/>
        </w:rPr>
        <w:t xml:space="preserve">2 </w:t>
      </w:r>
      <w:r>
        <w:t>belong to K</w:t>
      </w:r>
      <w:r>
        <w:rPr>
          <w:position w:val="-7"/>
          <w:sz w:val="22"/>
        </w:rPr>
        <w:t xml:space="preserve">1 </w:t>
      </w:r>
      <w:r>
        <w:t>and K</w:t>
      </w:r>
      <w:r>
        <w:rPr>
          <w:position w:val="-7"/>
          <w:sz w:val="22"/>
        </w:rPr>
        <w:t>2</w:t>
      </w:r>
      <w:r>
        <w:t>, respectively, and such that any instance of K</w:t>
      </w:r>
      <w:r>
        <w:rPr>
          <w:vertAlign w:val="subscript"/>
        </w:rPr>
        <w:t>1</w:t>
      </w:r>
      <w:r>
        <w:t xml:space="preserve"> immediately precedes, and is adjacent with, some</w:t>
      </w:r>
      <w:r>
        <w:rPr>
          <w:spacing w:val="54"/>
        </w:rPr>
        <w:t xml:space="preserve"> </w:t>
      </w:r>
      <w:r>
        <w:t>instance</w:t>
      </w:r>
      <w:r>
        <w:rPr>
          <w:spacing w:val="55"/>
        </w:rPr>
        <w:t xml:space="preserve"> </w:t>
      </w:r>
      <w:r>
        <w:t>of</w:t>
      </w:r>
      <w:r>
        <w:rPr>
          <w:spacing w:val="55"/>
        </w:rPr>
        <w:t xml:space="preserve"> </w:t>
      </w:r>
      <w:r>
        <w:t>K</w:t>
      </w:r>
      <w:r>
        <w:rPr>
          <w:vertAlign w:val="subscript"/>
        </w:rPr>
        <w:t>2</w:t>
      </w:r>
      <w:r>
        <w:t>.</w:t>
      </w:r>
      <w:r>
        <w:rPr>
          <w:spacing w:val="58"/>
        </w:rPr>
        <w:t xml:space="preserve"> </w:t>
      </w:r>
      <w:r>
        <w:t>Though</w:t>
      </w:r>
      <w:r>
        <w:rPr>
          <w:spacing w:val="59"/>
        </w:rPr>
        <w:t xml:space="preserve"> </w:t>
      </w:r>
      <w:r>
        <w:t>he</w:t>
      </w:r>
      <w:r>
        <w:rPr>
          <w:spacing w:val="58"/>
        </w:rPr>
        <w:t xml:space="preserve"> </w:t>
      </w:r>
      <w:r>
        <w:t>doesn’t</w:t>
      </w:r>
      <w:r>
        <w:rPr>
          <w:spacing w:val="58"/>
        </w:rPr>
        <w:t xml:space="preserve"> </w:t>
      </w:r>
      <w:r>
        <w:t>know</w:t>
      </w:r>
      <w:r>
        <w:rPr>
          <w:spacing w:val="58"/>
        </w:rPr>
        <w:t xml:space="preserve"> </w:t>
      </w:r>
      <w:r>
        <w:t>it,</w:t>
      </w:r>
      <w:r>
        <w:rPr>
          <w:spacing w:val="58"/>
        </w:rPr>
        <w:t xml:space="preserve"> </w:t>
      </w:r>
      <w:r>
        <w:t>Bob</w:t>
      </w:r>
      <w:r>
        <w:rPr>
          <w:spacing w:val="59"/>
        </w:rPr>
        <w:t xml:space="preserve"> </w:t>
      </w:r>
      <w:r>
        <w:t>is</w:t>
      </w:r>
      <w:r>
        <w:rPr>
          <w:spacing w:val="58"/>
        </w:rPr>
        <w:t xml:space="preserve"> </w:t>
      </w:r>
      <w:r>
        <w:t>due</w:t>
      </w:r>
      <w:r>
        <w:rPr>
          <w:spacing w:val="58"/>
        </w:rPr>
        <w:t xml:space="preserve"> </w:t>
      </w:r>
      <w:r>
        <w:t>for</w:t>
      </w:r>
      <w:r>
        <w:rPr>
          <w:spacing w:val="58"/>
        </w:rPr>
        <w:t xml:space="preserve"> </w:t>
      </w:r>
      <w:r>
        <w:t>a</w:t>
      </w:r>
      <w:r>
        <w:rPr>
          <w:spacing w:val="58"/>
        </w:rPr>
        <w:t xml:space="preserve"> </w:t>
      </w:r>
      <w:r>
        <w:rPr>
          <w:spacing w:val="-2"/>
        </w:rPr>
        <w:t>heart</w:t>
      </w:r>
    </w:p>
    <w:p w14:paraId="7E001F36" w14:textId="77777777" w:rsidR="009A58DB" w:rsidRDefault="00000000">
      <w:pPr>
        <w:pStyle w:val="BodyText"/>
        <w:spacing w:before="56" w:line="249" w:lineRule="auto"/>
        <w:ind w:right="359"/>
      </w:pPr>
      <w:r>
        <w:t xml:space="preserve">attack. Right before the heart attack, Sally gently hugs him. Given the almost certainly correct supposition that nobody who is </w:t>
      </w:r>
      <w:r>
        <w:rPr>
          <w:i/>
        </w:rPr>
        <w:t xml:space="preserve">exactly </w:t>
      </w:r>
      <w:r>
        <w:t xml:space="preserve">Sally’s height has ever hugged anyone who is </w:t>
      </w:r>
      <w:r>
        <w:rPr>
          <w:i/>
        </w:rPr>
        <w:t xml:space="preserve">exactly </w:t>
      </w:r>
      <w:r>
        <w:t>Bob’s height, it follows that any hug involving people with heights m (Sally’s height) and n (Bob’s height) immediately precedes and is adjacent with a case of somebody of height n having</w:t>
      </w:r>
      <w:r>
        <w:rPr>
          <w:spacing w:val="8"/>
        </w:rPr>
        <w:t xml:space="preserve"> </w:t>
      </w:r>
      <w:r>
        <w:t>a</w:t>
      </w:r>
      <w:r>
        <w:rPr>
          <w:spacing w:val="10"/>
        </w:rPr>
        <w:t xml:space="preserve"> </w:t>
      </w:r>
      <w:r>
        <w:t>heart</w:t>
      </w:r>
      <w:r>
        <w:rPr>
          <w:spacing w:val="8"/>
        </w:rPr>
        <w:t xml:space="preserve"> </w:t>
      </w:r>
      <w:r>
        <w:t>attack.</w:t>
      </w:r>
      <w:r>
        <w:rPr>
          <w:spacing w:val="9"/>
        </w:rPr>
        <w:t xml:space="preserve"> </w:t>
      </w:r>
      <w:r>
        <w:t>(So</w:t>
      </w:r>
      <w:r>
        <w:rPr>
          <w:spacing w:val="9"/>
        </w:rPr>
        <w:t xml:space="preserve"> </w:t>
      </w:r>
      <w:r>
        <w:t>if</w:t>
      </w:r>
      <w:r>
        <w:rPr>
          <w:spacing w:val="10"/>
        </w:rPr>
        <w:t xml:space="preserve"> </w:t>
      </w:r>
      <w:r>
        <w:t>K</w:t>
      </w:r>
      <w:r>
        <w:rPr>
          <w:vertAlign w:val="subscript"/>
        </w:rPr>
        <w:t>1</w:t>
      </w:r>
      <w:r>
        <w:rPr>
          <w:spacing w:val="8"/>
        </w:rPr>
        <w:t xml:space="preserve"> </w:t>
      </w:r>
      <w:r>
        <w:t>is</w:t>
      </w:r>
      <w:r>
        <w:rPr>
          <w:spacing w:val="9"/>
        </w:rPr>
        <w:t xml:space="preserve"> </w:t>
      </w:r>
      <w:r>
        <w:t>the</w:t>
      </w:r>
      <w:r>
        <w:rPr>
          <w:spacing w:val="9"/>
        </w:rPr>
        <w:t xml:space="preserve"> </w:t>
      </w:r>
      <w:r>
        <w:t>category</w:t>
      </w:r>
      <w:r>
        <w:rPr>
          <w:spacing w:val="8"/>
        </w:rPr>
        <w:t xml:space="preserve"> </w:t>
      </w:r>
      <w:r>
        <w:t>of</w:t>
      </w:r>
      <w:r>
        <w:rPr>
          <w:spacing w:val="9"/>
        </w:rPr>
        <w:t xml:space="preserve"> </w:t>
      </w:r>
      <w:r>
        <w:t>hugs</w:t>
      </w:r>
      <w:r>
        <w:rPr>
          <w:spacing w:val="8"/>
        </w:rPr>
        <w:t xml:space="preserve"> </w:t>
      </w:r>
      <w:r>
        <w:t>involving</w:t>
      </w:r>
      <w:r>
        <w:rPr>
          <w:spacing w:val="9"/>
        </w:rPr>
        <w:t xml:space="preserve"> </w:t>
      </w:r>
      <w:r>
        <w:t>people</w:t>
      </w:r>
      <w:r>
        <w:rPr>
          <w:spacing w:val="8"/>
        </w:rPr>
        <w:t xml:space="preserve"> </w:t>
      </w:r>
      <w:r>
        <w:rPr>
          <w:spacing w:val="-4"/>
        </w:rPr>
        <w:t>with</w:t>
      </w:r>
    </w:p>
    <w:p w14:paraId="7E001F37" w14:textId="77777777" w:rsidR="009A58DB" w:rsidRDefault="00000000">
      <w:pPr>
        <w:pStyle w:val="BodyText"/>
        <w:spacing w:before="67" w:line="292" w:lineRule="auto"/>
        <w:ind w:right="361"/>
      </w:pPr>
      <w:r>
        <w:t>heights m and n, and K</w:t>
      </w:r>
      <w:r>
        <w:rPr>
          <w:vertAlign w:val="subscript"/>
        </w:rPr>
        <w:t>2</w:t>
      </w:r>
      <w:r>
        <w:t xml:space="preserve"> is the category of people with heights n having heart attacks, any event</w:t>
      </w:r>
      <w:r>
        <w:rPr>
          <w:spacing w:val="-1"/>
        </w:rPr>
        <w:t xml:space="preserve"> </w:t>
      </w:r>
      <w:r>
        <w:t>E</w:t>
      </w:r>
      <w:r>
        <w:rPr>
          <w:vertAlign w:val="subscript"/>
        </w:rPr>
        <w:t>1</w:t>
      </w:r>
      <w:r>
        <w:t xml:space="preserve"> that belongs to K</w:t>
      </w:r>
      <w:r>
        <w:rPr>
          <w:vertAlign w:val="subscript"/>
        </w:rPr>
        <w:t>1</w:t>
      </w:r>
      <w:r>
        <w:t xml:space="preserve"> immediately precedes and is adjacent with some</w:t>
      </w:r>
      <w:r>
        <w:rPr>
          <w:spacing w:val="-1"/>
        </w:rPr>
        <w:t xml:space="preserve"> </w:t>
      </w:r>
      <w:r>
        <w:t>event</w:t>
      </w:r>
      <w:r>
        <w:rPr>
          <w:spacing w:val="-1"/>
        </w:rPr>
        <w:t xml:space="preserve"> </w:t>
      </w:r>
      <w:r>
        <w:t>E</w:t>
      </w:r>
      <w:r>
        <w:rPr>
          <w:vertAlign w:val="subscript"/>
        </w:rPr>
        <w:t>2</w:t>
      </w:r>
      <w:r>
        <w:t xml:space="preserve"> that is a member of K</w:t>
      </w:r>
      <w:r>
        <w:rPr>
          <w:vertAlign w:val="subscript"/>
        </w:rPr>
        <w:t>2</w:t>
      </w:r>
      <w:r>
        <w:t>.) So Hume’s analysis has the false</w:t>
      </w:r>
    </w:p>
    <w:p w14:paraId="7E001F38" w14:textId="77777777" w:rsidR="009A58DB" w:rsidRDefault="00000000">
      <w:pPr>
        <w:pStyle w:val="BodyText"/>
        <w:spacing w:line="249" w:lineRule="auto"/>
        <w:ind w:right="358"/>
      </w:pPr>
      <w:r>
        <w:t>consequence that the hug caused the heart attack. Given any two spatiotemporally adjacent events x and y, a similar argument shows that, if Hume’s analysis is right, x caused y. Since not all such pairs of events are related as cause and effect, Hume’s analysis is false.</w:t>
      </w:r>
    </w:p>
    <w:p w14:paraId="7E001F39" w14:textId="77777777" w:rsidR="009A58DB" w:rsidRDefault="00000000">
      <w:pPr>
        <w:pStyle w:val="BodyText"/>
        <w:spacing w:before="2"/>
        <w:ind w:left="720"/>
      </w:pPr>
      <w:r>
        <w:t>In</w:t>
      </w:r>
      <w:r>
        <w:rPr>
          <w:spacing w:val="-2"/>
        </w:rPr>
        <w:t xml:space="preserve"> </w:t>
      </w:r>
      <w:r>
        <w:t>response</w:t>
      </w:r>
      <w:r>
        <w:rPr>
          <w:spacing w:val="-3"/>
        </w:rPr>
        <w:t xml:space="preserve"> </w:t>
      </w:r>
      <w:r>
        <w:t>to</w:t>
      </w:r>
      <w:r>
        <w:rPr>
          <w:spacing w:val="-2"/>
        </w:rPr>
        <w:t xml:space="preserve"> </w:t>
      </w:r>
      <w:r>
        <w:t>this</w:t>
      </w:r>
      <w:r>
        <w:rPr>
          <w:spacing w:val="-3"/>
        </w:rPr>
        <w:t xml:space="preserve"> </w:t>
      </w:r>
      <w:r>
        <w:t>it</w:t>
      </w:r>
      <w:r>
        <w:rPr>
          <w:spacing w:val="-3"/>
        </w:rPr>
        <w:t xml:space="preserve"> </w:t>
      </w:r>
      <w:r>
        <w:t>will</w:t>
      </w:r>
      <w:r>
        <w:rPr>
          <w:spacing w:val="-3"/>
        </w:rPr>
        <w:t xml:space="preserve"> </w:t>
      </w:r>
      <w:r>
        <w:t>be</w:t>
      </w:r>
      <w:r>
        <w:rPr>
          <w:spacing w:val="-3"/>
        </w:rPr>
        <w:t xml:space="preserve"> </w:t>
      </w:r>
      <w:r>
        <w:t>said</w:t>
      </w:r>
      <w:r>
        <w:rPr>
          <w:spacing w:val="-1"/>
        </w:rPr>
        <w:t xml:space="preserve"> </w:t>
      </w:r>
      <w:r>
        <w:rPr>
          <w:spacing w:val="-4"/>
        </w:rPr>
        <w:t>that:</w:t>
      </w:r>
    </w:p>
    <w:p w14:paraId="7E001F3A" w14:textId="77777777" w:rsidR="009A58DB" w:rsidRDefault="00000000">
      <w:pPr>
        <w:pStyle w:val="BodyText"/>
        <w:spacing w:before="120" w:line="271" w:lineRule="auto"/>
        <w:ind w:left="720" w:right="722"/>
      </w:pPr>
      <w:r>
        <w:t>The categories in question must be relevant ones. K</w:t>
      </w:r>
      <w:r>
        <w:rPr>
          <w:vertAlign w:val="subscript"/>
        </w:rPr>
        <w:t>1</w:t>
      </w:r>
      <w:r>
        <w:t xml:space="preserve"> and K</w:t>
      </w:r>
      <w:r>
        <w:rPr>
          <w:vertAlign w:val="subscript"/>
        </w:rPr>
        <w:t>2</w:t>
      </w:r>
      <w:r>
        <w:t xml:space="preserve"> won’t do. They’re the wrong ones. All you’ve shown is that Hume’s analysis must be modified. Instead of:</w:t>
      </w:r>
    </w:p>
    <w:p w14:paraId="7E001F3B" w14:textId="77777777" w:rsidR="009A58DB" w:rsidRDefault="00000000">
      <w:pPr>
        <w:pStyle w:val="BodyText"/>
        <w:spacing w:before="61" w:line="271" w:lineRule="auto"/>
        <w:ind w:left="720" w:right="719"/>
      </w:pPr>
      <w:r>
        <w:t>(HC</w:t>
      </w:r>
      <w:bookmarkStart w:id="432" w:name="_bookmark432"/>
      <w:bookmarkEnd w:id="432"/>
      <w:r>
        <w:t>1</w:t>
      </w:r>
      <w:r>
        <w:rPr>
          <w:color w:val="0562C1"/>
          <w:position w:val="21"/>
          <w:u w:val="single" w:color="0562C1"/>
        </w:rPr>
        <w:t>[314]</w:t>
      </w:r>
      <w:r>
        <w:t>) E</w:t>
      </w:r>
      <w:r>
        <w:rPr>
          <w:position w:val="-7"/>
          <w:sz w:val="22"/>
        </w:rPr>
        <w:t xml:space="preserve">1 </w:t>
      </w:r>
      <w:r>
        <w:t>causes E</w:t>
      </w:r>
      <w:r>
        <w:rPr>
          <w:position w:val="-7"/>
          <w:sz w:val="22"/>
        </w:rPr>
        <w:t xml:space="preserve">2 </w:t>
      </w:r>
      <w:r>
        <w:t>to occur if E</w:t>
      </w:r>
      <w:r>
        <w:rPr>
          <w:position w:val="-7"/>
          <w:sz w:val="22"/>
        </w:rPr>
        <w:t xml:space="preserve">1 </w:t>
      </w:r>
      <w:r>
        <w:t>immediately precedes and is adjacent</w:t>
      </w:r>
      <w:r>
        <w:rPr>
          <w:spacing w:val="-1"/>
        </w:rPr>
        <w:t xml:space="preserve"> </w:t>
      </w:r>
      <w:r>
        <w:t>with E</w:t>
      </w:r>
      <w:r>
        <w:rPr>
          <w:vertAlign w:val="subscript"/>
        </w:rPr>
        <w:t>2</w:t>
      </w:r>
      <w:r>
        <w:t>, and any event similar to E</w:t>
      </w:r>
      <w:r>
        <w:rPr>
          <w:vertAlign w:val="subscript"/>
        </w:rPr>
        <w:t>1</w:t>
      </w:r>
      <w:r>
        <w:t xml:space="preserve"> immediately precedes and is adjacent with some event similar to E</w:t>
      </w:r>
      <w:r>
        <w:rPr>
          <w:vertAlign w:val="subscript"/>
        </w:rPr>
        <w:t>2</w:t>
      </w:r>
      <w:r>
        <w:t>,</w:t>
      </w:r>
    </w:p>
    <w:p w14:paraId="7E001F3C" w14:textId="77777777" w:rsidR="009A58DB" w:rsidRDefault="00000000">
      <w:pPr>
        <w:pStyle w:val="BodyText"/>
        <w:spacing w:before="133"/>
        <w:ind w:left="720"/>
      </w:pPr>
      <w:r>
        <w:t>Hume</w:t>
      </w:r>
      <w:r>
        <w:rPr>
          <w:spacing w:val="-3"/>
        </w:rPr>
        <w:t xml:space="preserve"> </w:t>
      </w:r>
      <w:r>
        <w:t>should</w:t>
      </w:r>
      <w:r>
        <w:rPr>
          <w:spacing w:val="-2"/>
        </w:rPr>
        <w:t xml:space="preserve"> </w:t>
      </w:r>
      <w:r>
        <w:t>have</w:t>
      </w:r>
      <w:r>
        <w:rPr>
          <w:spacing w:val="-2"/>
        </w:rPr>
        <w:t xml:space="preserve"> said:</w:t>
      </w:r>
    </w:p>
    <w:p w14:paraId="7E001F3D" w14:textId="77777777" w:rsidR="009A58DB" w:rsidRDefault="00000000">
      <w:pPr>
        <w:pStyle w:val="BodyText"/>
        <w:spacing w:before="120" w:line="271" w:lineRule="auto"/>
        <w:ind w:left="720" w:right="726"/>
      </w:pPr>
      <w:r>
        <w:t>(HCI#) E</w:t>
      </w:r>
      <w:r>
        <w:rPr>
          <w:position w:val="-7"/>
          <w:sz w:val="22"/>
        </w:rPr>
        <w:t>1</w:t>
      </w:r>
      <w:r>
        <w:rPr>
          <w:spacing w:val="40"/>
          <w:position w:val="-7"/>
          <w:sz w:val="22"/>
        </w:rPr>
        <w:t xml:space="preserve"> </w:t>
      </w:r>
      <w:r>
        <w:t>causes E</w:t>
      </w:r>
      <w:r>
        <w:rPr>
          <w:position w:val="-7"/>
          <w:sz w:val="22"/>
        </w:rPr>
        <w:t>2</w:t>
      </w:r>
      <w:r>
        <w:rPr>
          <w:spacing w:val="40"/>
          <w:position w:val="-7"/>
          <w:sz w:val="22"/>
        </w:rPr>
        <w:t xml:space="preserve"> </w:t>
      </w:r>
      <w:r>
        <w:t>to occur if E</w:t>
      </w:r>
      <w:r>
        <w:rPr>
          <w:position w:val="-7"/>
          <w:sz w:val="22"/>
        </w:rPr>
        <w:t>1</w:t>
      </w:r>
      <w:r>
        <w:rPr>
          <w:spacing w:val="40"/>
          <w:position w:val="-7"/>
          <w:sz w:val="22"/>
        </w:rPr>
        <w:t xml:space="preserve"> </w:t>
      </w:r>
      <w:r>
        <w:t>immediately precedes and is adjacent with E</w:t>
      </w:r>
      <w:r>
        <w:rPr>
          <w:vertAlign w:val="subscript"/>
        </w:rPr>
        <w:t>2</w:t>
      </w:r>
      <w:r>
        <w:t xml:space="preserve">, and any event </w:t>
      </w:r>
      <w:r>
        <w:rPr>
          <w:i/>
        </w:rPr>
        <w:t xml:space="preserve">relevantly </w:t>
      </w:r>
      <w:r>
        <w:t>similar to E</w:t>
      </w:r>
      <w:r>
        <w:rPr>
          <w:vertAlign w:val="subscript"/>
        </w:rPr>
        <w:t>1</w:t>
      </w:r>
      <w:r>
        <w:t xml:space="preserve"> immediately precedes and is adjacent with some event </w:t>
      </w:r>
      <w:r>
        <w:rPr>
          <w:i/>
        </w:rPr>
        <w:t xml:space="preserve">relevantly </w:t>
      </w:r>
      <w:r>
        <w:t>similar to E</w:t>
      </w:r>
      <w:r>
        <w:rPr>
          <w:vertAlign w:val="subscript"/>
        </w:rPr>
        <w:t>2</w:t>
      </w:r>
      <w:r>
        <w:t>.</w:t>
      </w:r>
    </w:p>
    <w:p w14:paraId="7E001F3E" w14:textId="77777777" w:rsidR="009A58DB" w:rsidRDefault="00000000">
      <w:pPr>
        <w:pStyle w:val="BodyText"/>
        <w:spacing w:before="118"/>
        <w:ind w:left="720"/>
      </w:pPr>
      <w:r>
        <w:rPr>
          <w:spacing w:val="-4"/>
        </w:rPr>
        <w:t>This proposal doesn’t work. Given</w:t>
      </w:r>
      <w:r>
        <w:rPr>
          <w:spacing w:val="-3"/>
        </w:rPr>
        <w:t xml:space="preserve"> </w:t>
      </w:r>
      <w:r>
        <w:rPr>
          <w:spacing w:val="-4"/>
        </w:rPr>
        <w:t>any two spatiotemporally adjacent</w:t>
      </w:r>
      <w:r>
        <w:rPr>
          <w:spacing w:val="-3"/>
        </w:rPr>
        <w:t xml:space="preserve"> </w:t>
      </w:r>
      <w:r>
        <w:rPr>
          <w:spacing w:val="-4"/>
        </w:rPr>
        <w:t>events,</w:t>
      </w:r>
    </w:p>
    <w:p w14:paraId="7E001F3F" w14:textId="77777777" w:rsidR="009A58DB" w:rsidRDefault="009A58DB">
      <w:pPr>
        <w:pStyle w:val="BodyText"/>
        <w:sectPr w:rsidR="009A58DB">
          <w:pgSz w:w="12240" w:h="15840"/>
          <w:pgMar w:top="1380" w:right="1080" w:bottom="280" w:left="1080" w:header="720" w:footer="720" w:gutter="0"/>
          <w:cols w:space="720"/>
        </w:sectPr>
      </w:pPr>
    </w:p>
    <w:p w14:paraId="7E001F40" w14:textId="77777777" w:rsidR="009A58DB" w:rsidRDefault="00000000">
      <w:pPr>
        <w:pStyle w:val="BodyText"/>
        <w:spacing w:before="60" w:line="249" w:lineRule="auto"/>
        <w:ind w:right="367"/>
      </w:pPr>
      <w:r>
        <w:lastRenderedPageBreak/>
        <w:t>each of those two events will</w:t>
      </w:r>
      <w:r>
        <w:rPr>
          <w:spacing w:val="-19"/>
        </w:rPr>
        <w:t xml:space="preserve"> </w:t>
      </w:r>
      <w:r>
        <w:t>belong to many different categories. Hume’s analysis</w:t>
      </w:r>
      <w:r>
        <w:rPr>
          <w:spacing w:val="-19"/>
        </w:rPr>
        <w:t xml:space="preserve"> </w:t>
      </w:r>
      <w:r>
        <w:t>is</w:t>
      </w:r>
      <w:r>
        <w:rPr>
          <w:spacing w:val="-19"/>
        </w:rPr>
        <w:t xml:space="preserve"> </w:t>
      </w:r>
      <w:r>
        <w:t>powerless</w:t>
      </w:r>
      <w:r>
        <w:rPr>
          <w:spacing w:val="-19"/>
        </w:rPr>
        <w:t xml:space="preserve"> </w:t>
      </w:r>
      <w:r>
        <w:t>to</w:t>
      </w:r>
      <w:r>
        <w:rPr>
          <w:spacing w:val="-18"/>
        </w:rPr>
        <w:t xml:space="preserve"> </w:t>
      </w:r>
      <w:r>
        <w:t>tell</w:t>
      </w:r>
      <w:r>
        <w:rPr>
          <w:spacing w:val="-19"/>
        </w:rPr>
        <w:t xml:space="preserve"> </w:t>
      </w:r>
      <w:r>
        <w:t>us</w:t>
      </w:r>
      <w:r>
        <w:rPr>
          <w:spacing w:val="-19"/>
        </w:rPr>
        <w:t xml:space="preserve"> </w:t>
      </w:r>
      <w:r>
        <w:t>whether</w:t>
      </w:r>
      <w:r>
        <w:rPr>
          <w:spacing w:val="-19"/>
        </w:rPr>
        <w:t xml:space="preserve"> </w:t>
      </w:r>
      <w:r>
        <w:t>the</w:t>
      </w:r>
      <w:r>
        <w:rPr>
          <w:spacing w:val="-18"/>
        </w:rPr>
        <w:t xml:space="preserve"> </w:t>
      </w:r>
      <w:r>
        <w:t>one</w:t>
      </w:r>
      <w:r>
        <w:rPr>
          <w:spacing w:val="-19"/>
        </w:rPr>
        <w:t xml:space="preserve"> </w:t>
      </w:r>
      <w:r>
        <w:t>caused</w:t>
      </w:r>
      <w:r>
        <w:rPr>
          <w:spacing w:val="-19"/>
        </w:rPr>
        <w:t xml:space="preserve"> </w:t>
      </w:r>
      <w:r>
        <w:t>the</w:t>
      </w:r>
      <w:r>
        <w:rPr>
          <w:spacing w:val="-19"/>
        </w:rPr>
        <w:t xml:space="preserve"> </w:t>
      </w:r>
      <w:r>
        <w:t>other</w:t>
      </w:r>
    </w:p>
    <w:p w14:paraId="7E001F41" w14:textId="77777777" w:rsidR="009A58DB" w:rsidRDefault="00000000">
      <w:pPr>
        <w:spacing w:before="3" w:line="249" w:lineRule="auto"/>
        <w:ind w:left="360" w:right="359"/>
        <w:jc w:val="both"/>
        <w:rPr>
          <w:sz w:val="30"/>
        </w:rPr>
      </w:pPr>
      <w:r>
        <w:rPr>
          <w:i/>
          <w:sz w:val="30"/>
        </w:rPr>
        <w:t xml:space="preserve">until </w:t>
      </w:r>
      <w:r>
        <w:rPr>
          <w:sz w:val="30"/>
        </w:rPr>
        <w:t xml:space="preserve">we select the relevant categories. </w:t>
      </w:r>
      <w:r>
        <w:rPr>
          <w:i/>
          <w:sz w:val="30"/>
        </w:rPr>
        <w:t>But we can’t select the relevant categories until we have the very knowledge that Hume’s analysis is</w:t>
      </w:r>
      <w:r>
        <w:rPr>
          <w:i/>
          <w:spacing w:val="40"/>
          <w:sz w:val="30"/>
        </w:rPr>
        <w:t xml:space="preserve"> </w:t>
      </w:r>
      <w:r>
        <w:rPr>
          <w:i/>
          <w:sz w:val="30"/>
        </w:rPr>
        <w:t xml:space="preserve">supposed to give us. </w:t>
      </w:r>
      <w:r>
        <w:rPr>
          <w:sz w:val="30"/>
        </w:rPr>
        <w:t>It is only because we already know that the hug isn’t what</w:t>
      </w:r>
      <w:r>
        <w:rPr>
          <w:spacing w:val="47"/>
          <w:sz w:val="30"/>
        </w:rPr>
        <w:t xml:space="preserve"> </w:t>
      </w:r>
      <w:r>
        <w:rPr>
          <w:sz w:val="30"/>
        </w:rPr>
        <w:t>caused</w:t>
      </w:r>
      <w:r>
        <w:rPr>
          <w:spacing w:val="47"/>
          <w:sz w:val="30"/>
        </w:rPr>
        <w:t xml:space="preserve"> </w:t>
      </w:r>
      <w:r>
        <w:rPr>
          <w:sz w:val="30"/>
        </w:rPr>
        <w:t>the</w:t>
      </w:r>
      <w:r>
        <w:rPr>
          <w:spacing w:val="47"/>
          <w:sz w:val="30"/>
        </w:rPr>
        <w:t xml:space="preserve"> </w:t>
      </w:r>
      <w:r>
        <w:rPr>
          <w:sz w:val="30"/>
        </w:rPr>
        <w:t>heart</w:t>
      </w:r>
      <w:r>
        <w:rPr>
          <w:spacing w:val="47"/>
          <w:sz w:val="30"/>
        </w:rPr>
        <w:t xml:space="preserve"> </w:t>
      </w:r>
      <w:r>
        <w:rPr>
          <w:sz w:val="30"/>
        </w:rPr>
        <w:t>attack</w:t>
      </w:r>
      <w:r>
        <w:rPr>
          <w:spacing w:val="47"/>
          <w:sz w:val="30"/>
        </w:rPr>
        <w:t xml:space="preserve"> </w:t>
      </w:r>
      <w:r>
        <w:rPr>
          <w:sz w:val="30"/>
        </w:rPr>
        <w:t>that</w:t>
      </w:r>
      <w:r>
        <w:rPr>
          <w:spacing w:val="47"/>
          <w:sz w:val="30"/>
        </w:rPr>
        <w:t xml:space="preserve"> </w:t>
      </w:r>
      <w:r>
        <w:rPr>
          <w:sz w:val="30"/>
        </w:rPr>
        <w:t>we</w:t>
      </w:r>
      <w:r>
        <w:rPr>
          <w:spacing w:val="47"/>
          <w:sz w:val="30"/>
        </w:rPr>
        <w:t xml:space="preserve"> </w:t>
      </w:r>
      <w:r>
        <w:rPr>
          <w:sz w:val="30"/>
        </w:rPr>
        <w:t>know</w:t>
      </w:r>
      <w:r>
        <w:rPr>
          <w:spacing w:val="47"/>
          <w:sz w:val="30"/>
        </w:rPr>
        <w:t xml:space="preserve"> </w:t>
      </w:r>
      <w:r>
        <w:rPr>
          <w:sz w:val="30"/>
        </w:rPr>
        <w:t>that</w:t>
      </w:r>
      <w:r>
        <w:rPr>
          <w:spacing w:val="45"/>
          <w:sz w:val="30"/>
        </w:rPr>
        <w:t xml:space="preserve"> </w:t>
      </w:r>
      <w:r>
        <w:rPr>
          <w:sz w:val="30"/>
        </w:rPr>
        <w:t>K</w:t>
      </w:r>
      <w:r>
        <w:rPr>
          <w:sz w:val="30"/>
          <w:vertAlign w:val="subscript"/>
        </w:rPr>
        <w:t>1</w:t>
      </w:r>
      <w:r>
        <w:rPr>
          <w:spacing w:val="53"/>
          <w:sz w:val="30"/>
        </w:rPr>
        <w:t xml:space="preserve"> </w:t>
      </w:r>
      <w:r>
        <w:rPr>
          <w:sz w:val="30"/>
        </w:rPr>
        <w:t>and</w:t>
      </w:r>
      <w:r>
        <w:rPr>
          <w:spacing w:val="53"/>
          <w:sz w:val="30"/>
        </w:rPr>
        <w:t xml:space="preserve"> </w:t>
      </w:r>
      <w:r>
        <w:rPr>
          <w:sz w:val="30"/>
        </w:rPr>
        <w:t>K</w:t>
      </w:r>
      <w:r>
        <w:rPr>
          <w:sz w:val="30"/>
          <w:vertAlign w:val="subscript"/>
        </w:rPr>
        <w:t>2</w:t>
      </w:r>
      <w:r>
        <w:rPr>
          <w:spacing w:val="53"/>
          <w:sz w:val="30"/>
        </w:rPr>
        <w:t xml:space="preserve"> </w:t>
      </w:r>
      <w:r>
        <w:rPr>
          <w:sz w:val="30"/>
        </w:rPr>
        <w:t>aren’t</w:t>
      </w:r>
      <w:r>
        <w:rPr>
          <w:spacing w:val="53"/>
          <w:sz w:val="30"/>
        </w:rPr>
        <w:t xml:space="preserve"> </w:t>
      </w:r>
      <w:r>
        <w:rPr>
          <w:spacing w:val="-2"/>
          <w:sz w:val="30"/>
        </w:rPr>
        <w:t>relevant</w:t>
      </w:r>
    </w:p>
    <w:p w14:paraId="7E001F42" w14:textId="77777777" w:rsidR="009A58DB" w:rsidRDefault="00000000">
      <w:pPr>
        <w:pStyle w:val="BodyText"/>
        <w:spacing w:before="65"/>
        <w:jc w:val="left"/>
      </w:pPr>
      <w:r>
        <w:rPr>
          <w:spacing w:val="-2"/>
        </w:rPr>
        <w:t>categories.</w:t>
      </w:r>
    </w:p>
    <w:p w14:paraId="7E001F43" w14:textId="77777777" w:rsidR="009A58DB" w:rsidRDefault="00000000">
      <w:pPr>
        <w:pStyle w:val="BodyText"/>
        <w:spacing w:before="19" w:line="292" w:lineRule="auto"/>
        <w:ind w:right="362" w:firstLine="360"/>
      </w:pPr>
      <w:r>
        <w:t>A related point is that HC1# is viciously circular. Supposing that E</w:t>
      </w:r>
      <w:r>
        <w:rPr>
          <w:vertAlign w:val="subscript"/>
        </w:rPr>
        <w:t>1</w:t>
      </w:r>
      <w:r>
        <w:t xml:space="preserve"> directly causes E</w:t>
      </w:r>
      <w:r>
        <w:rPr>
          <w:vertAlign w:val="subscript"/>
        </w:rPr>
        <w:t>2</w:t>
      </w:r>
      <w:r>
        <w:t>, for K</w:t>
      </w:r>
      <w:r>
        <w:rPr>
          <w:vertAlign w:val="subscript"/>
        </w:rPr>
        <w:t>1</w:t>
      </w:r>
      <w:r>
        <w:t xml:space="preserve"> and K</w:t>
      </w:r>
      <w:r>
        <w:rPr>
          <w:vertAlign w:val="subscript"/>
        </w:rPr>
        <w:t>2</w:t>
      </w:r>
      <w:r>
        <w:t xml:space="preserve"> to be the “relevant” categories is for it to be the</w:t>
      </w:r>
      <w:r>
        <w:rPr>
          <w:spacing w:val="52"/>
        </w:rPr>
        <w:t xml:space="preserve"> </w:t>
      </w:r>
      <w:r>
        <w:t>case</w:t>
      </w:r>
      <w:r>
        <w:rPr>
          <w:spacing w:val="53"/>
        </w:rPr>
        <w:t xml:space="preserve"> </w:t>
      </w:r>
      <w:r>
        <w:t>that</w:t>
      </w:r>
      <w:r>
        <w:rPr>
          <w:spacing w:val="53"/>
        </w:rPr>
        <w:t xml:space="preserve"> </w:t>
      </w:r>
      <w:r>
        <w:t>it’s</w:t>
      </w:r>
      <w:r>
        <w:rPr>
          <w:spacing w:val="53"/>
        </w:rPr>
        <w:t xml:space="preserve"> </w:t>
      </w:r>
      <w:r>
        <w:rPr>
          <w:i/>
        </w:rPr>
        <w:t>because</w:t>
      </w:r>
      <w:r>
        <w:rPr>
          <w:i/>
          <w:spacing w:val="45"/>
        </w:rPr>
        <w:t xml:space="preserve"> </w:t>
      </w:r>
      <w:r>
        <w:t>E</w:t>
      </w:r>
      <w:r>
        <w:rPr>
          <w:vertAlign w:val="subscript"/>
        </w:rPr>
        <w:t>1</w:t>
      </w:r>
      <w:r>
        <w:rPr>
          <w:spacing w:val="53"/>
        </w:rPr>
        <w:t xml:space="preserve"> </w:t>
      </w:r>
      <w:r>
        <w:t>and</w:t>
      </w:r>
      <w:r>
        <w:rPr>
          <w:spacing w:val="53"/>
        </w:rPr>
        <w:t xml:space="preserve"> </w:t>
      </w:r>
      <w:r>
        <w:t>E</w:t>
      </w:r>
      <w:r>
        <w:rPr>
          <w:vertAlign w:val="subscript"/>
        </w:rPr>
        <w:t>2</w:t>
      </w:r>
      <w:r>
        <w:rPr>
          <w:spacing w:val="54"/>
        </w:rPr>
        <w:t xml:space="preserve"> </w:t>
      </w:r>
      <w:r>
        <w:t>belong</w:t>
      </w:r>
      <w:r>
        <w:rPr>
          <w:spacing w:val="54"/>
        </w:rPr>
        <w:t xml:space="preserve"> </w:t>
      </w:r>
      <w:r>
        <w:t>to</w:t>
      </w:r>
      <w:r>
        <w:rPr>
          <w:spacing w:val="54"/>
        </w:rPr>
        <w:t xml:space="preserve"> </w:t>
      </w:r>
      <w:r>
        <w:t>them</w:t>
      </w:r>
      <w:r>
        <w:rPr>
          <w:spacing w:val="54"/>
        </w:rPr>
        <w:t xml:space="preserve"> </w:t>
      </w:r>
      <w:r>
        <w:t>that</w:t>
      </w:r>
      <w:r>
        <w:rPr>
          <w:spacing w:val="54"/>
        </w:rPr>
        <w:t xml:space="preserve"> </w:t>
      </w:r>
      <w:r>
        <w:t>those</w:t>
      </w:r>
      <w:r>
        <w:rPr>
          <w:spacing w:val="53"/>
        </w:rPr>
        <w:t xml:space="preserve"> </w:t>
      </w:r>
      <w:r>
        <w:t>events</w:t>
      </w:r>
      <w:r>
        <w:rPr>
          <w:spacing w:val="54"/>
        </w:rPr>
        <w:t xml:space="preserve"> </w:t>
      </w:r>
      <w:r>
        <w:rPr>
          <w:spacing w:val="-5"/>
        </w:rPr>
        <w:t>are</w:t>
      </w:r>
    </w:p>
    <w:p w14:paraId="7E001F44" w14:textId="77777777" w:rsidR="009A58DB" w:rsidRDefault="00000000">
      <w:pPr>
        <w:pStyle w:val="BodyText"/>
        <w:spacing w:line="249" w:lineRule="auto"/>
        <w:ind w:right="368"/>
      </w:pPr>
      <w:r>
        <w:t>related as cause and effect. Thus, HCI# collapses into the viciously circular statement that:</w:t>
      </w:r>
    </w:p>
    <w:p w14:paraId="7E001F45" w14:textId="77777777" w:rsidR="009A58DB" w:rsidRDefault="00000000">
      <w:pPr>
        <w:pStyle w:val="BodyText"/>
        <w:spacing w:before="105" w:line="249" w:lineRule="auto"/>
        <w:ind w:right="366"/>
      </w:pPr>
      <w:r>
        <w:t>(HC1+) E</w:t>
      </w:r>
      <w:r>
        <w:rPr>
          <w:position w:val="-7"/>
          <w:sz w:val="22"/>
        </w:rPr>
        <w:t>1</w:t>
      </w:r>
      <w:r>
        <w:rPr>
          <w:spacing w:val="40"/>
          <w:position w:val="-7"/>
          <w:sz w:val="22"/>
        </w:rPr>
        <w:t xml:space="preserve"> </w:t>
      </w:r>
      <w:r>
        <w:t>causes E</w:t>
      </w:r>
      <w:r>
        <w:rPr>
          <w:position w:val="-7"/>
          <w:sz w:val="22"/>
        </w:rPr>
        <w:t>2</w:t>
      </w:r>
      <w:r>
        <w:rPr>
          <w:spacing w:val="40"/>
          <w:position w:val="-7"/>
          <w:sz w:val="22"/>
        </w:rPr>
        <w:t xml:space="preserve"> </w:t>
      </w:r>
      <w:r>
        <w:t>to occur if E</w:t>
      </w:r>
      <w:r>
        <w:rPr>
          <w:position w:val="-7"/>
          <w:sz w:val="22"/>
        </w:rPr>
        <w:t>1</w:t>
      </w:r>
      <w:r>
        <w:rPr>
          <w:spacing w:val="40"/>
          <w:position w:val="-7"/>
          <w:sz w:val="22"/>
        </w:rPr>
        <w:t xml:space="preserve"> </w:t>
      </w:r>
      <w:r>
        <w:t>immediately precedes and is adjacent with E</w:t>
      </w:r>
      <w:r>
        <w:rPr>
          <w:position w:val="-7"/>
          <w:sz w:val="22"/>
        </w:rPr>
        <w:t>2</w:t>
      </w:r>
      <w:r>
        <w:t>, and anything like E</w:t>
      </w:r>
      <w:r>
        <w:rPr>
          <w:position w:val="-7"/>
          <w:sz w:val="22"/>
        </w:rPr>
        <w:t>1</w:t>
      </w:r>
      <w:r>
        <w:rPr>
          <w:spacing w:val="32"/>
          <w:position w:val="-7"/>
          <w:sz w:val="22"/>
        </w:rPr>
        <w:t xml:space="preserve"> </w:t>
      </w:r>
      <w:r>
        <w:t>causes something like E</w:t>
      </w:r>
      <w:r>
        <w:rPr>
          <w:position w:val="-7"/>
          <w:sz w:val="22"/>
        </w:rPr>
        <w:t>2</w:t>
      </w:r>
      <w:r>
        <w:rPr>
          <w:spacing w:val="32"/>
          <w:position w:val="-7"/>
          <w:sz w:val="22"/>
        </w:rPr>
        <w:t xml:space="preserve"> </w:t>
      </w:r>
      <w:r>
        <w:t>to occur.</w:t>
      </w:r>
    </w:p>
    <w:p w14:paraId="7E001F46" w14:textId="77777777" w:rsidR="009A58DB" w:rsidRDefault="00000000">
      <w:pPr>
        <w:pStyle w:val="Heading1"/>
        <w:numPr>
          <w:ilvl w:val="1"/>
          <w:numId w:val="82"/>
        </w:numPr>
        <w:tabs>
          <w:tab w:val="left" w:pos="1230"/>
        </w:tabs>
        <w:spacing w:before="185" w:line="244" w:lineRule="auto"/>
        <w:ind w:right="360" w:firstLine="0"/>
        <w:jc w:val="both"/>
      </w:pPr>
      <w:r>
        <w:t xml:space="preserve">Problem #3: Hume’s analysis is viciously </w:t>
      </w:r>
      <w:r>
        <w:rPr>
          <w:spacing w:val="-2"/>
        </w:rPr>
        <w:t>circular</w:t>
      </w:r>
    </w:p>
    <w:p w14:paraId="7E001F47" w14:textId="77777777" w:rsidR="009A58DB" w:rsidRDefault="00000000">
      <w:pPr>
        <w:pStyle w:val="BodyText"/>
        <w:spacing w:before="132" w:line="249" w:lineRule="auto"/>
        <w:ind w:right="360"/>
      </w:pPr>
      <w:r>
        <w:t xml:space="preserve">According to Hume, x is a cause of y only if x and y are space-time neighbors. Thus, Hume analyzes the concept of causality in terms of the concepts of space and time. Were it to turn out that the concepts of space and time are </w:t>
      </w:r>
      <w:r>
        <w:rPr>
          <w:i/>
        </w:rPr>
        <w:t xml:space="preserve">themselves </w:t>
      </w:r>
      <w:r>
        <w:t>to be understood in terms of the concept of causality, Hume’s analyses would be viciously circular. He’d be analyzing causality</w:t>
      </w:r>
      <w:r>
        <w:rPr>
          <w:spacing w:val="40"/>
        </w:rPr>
        <w:t xml:space="preserve"> </w:t>
      </w:r>
      <w:r>
        <w:t>and in terms of itself and thus not analyzing it at all.</w:t>
      </w:r>
    </w:p>
    <w:p w14:paraId="7E001F48" w14:textId="77777777" w:rsidR="009A58DB" w:rsidRDefault="00000000">
      <w:pPr>
        <w:pStyle w:val="BodyText"/>
        <w:spacing w:before="7" w:line="249" w:lineRule="auto"/>
        <w:ind w:right="365" w:firstLine="360"/>
      </w:pPr>
      <w:r>
        <w:t>In</w:t>
      </w:r>
      <w:r>
        <w:rPr>
          <w:spacing w:val="-1"/>
        </w:rPr>
        <w:t xml:space="preserve"> </w:t>
      </w:r>
      <w:r>
        <w:t>fact,</w:t>
      </w:r>
      <w:r>
        <w:rPr>
          <w:spacing w:val="-1"/>
        </w:rPr>
        <w:t xml:space="preserve"> </w:t>
      </w:r>
      <w:r>
        <w:t>the</w:t>
      </w:r>
      <w:r>
        <w:rPr>
          <w:spacing w:val="-1"/>
        </w:rPr>
        <w:t xml:space="preserve"> </w:t>
      </w:r>
      <w:r>
        <w:t>concepts</w:t>
      </w:r>
      <w:r>
        <w:rPr>
          <w:spacing w:val="-1"/>
        </w:rPr>
        <w:t xml:space="preserve"> </w:t>
      </w:r>
      <w:r>
        <w:t>of</w:t>
      </w:r>
      <w:r>
        <w:rPr>
          <w:spacing w:val="-1"/>
        </w:rPr>
        <w:t xml:space="preserve"> </w:t>
      </w:r>
      <w:r>
        <w:t>space</w:t>
      </w:r>
      <w:r>
        <w:rPr>
          <w:spacing w:val="-1"/>
        </w:rPr>
        <w:t xml:space="preserve"> </w:t>
      </w:r>
      <w:r>
        <w:t>and</w:t>
      </w:r>
      <w:r>
        <w:rPr>
          <w:spacing w:val="-1"/>
        </w:rPr>
        <w:t xml:space="preserve"> </w:t>
      </w:r>
      <w:r>
        <w:t>time</w:t>
      </w:r>
      <w:r>
        <w:rPr>
          <w:spacing w:val="-1"/>
        </w:rPr>
        <w:t xml:space="preserve"> </w:t>
      </w:r>
      <w:r>
        <w:rPr>
          <w:i/>
        </w:rPr>
        <w:t>are</w:t>
      </w:r>
      <w:r>
        <w:rPr>
          <w:i/>
          <w:spacing w:val="-3"/>
        </w:rPr>
        <w:t xml:space="preserve"> </w:t>
      </w:r>
      <w:r>
        <w:t>to be understood in terms of the concept</w:t>
      </w:r>
      <w:r>
        <w:rPr>
          <w:spacing w:val="-5"/>
        </w:rPr>
        <w:t xml:space="preserve"> </w:t>
      </w:r>
      <w:r>
        <w:t>of</w:t>
      </w:r>
      <w:r>
        <w:rPr>
          <w:spacing w:val="-5"/>
        </w:rPr>
        <w:t xml:space="preserve"> </w:t>
      </w:r>
      <w:r>
        <w:t>causality,</w:t>
      </w:r>
      <w:r>
        <w:rPr>
          <w:spacing w:val="-4"/>
        </w:rPr>
        <w:t xml:space="preserve"> </w:t>
      </w:r>
      <w:r>
        <w:t>and</w:t>
      </w:r>
      <w:r>
        <w:rPr>
          <w:spacing w:val="-4"/>
        </w:rPr>
        <w:t xml:space="preserve"> </w:t>
      </w:r>
      <w:r>
        <w:t>Hume’s</w:t>
      </w:r>
      <w:r>
        <w:rPr>
          <w:spacing w:val="-5"/>
        </w:rPr>
        <w:t xml:space="preserve"> </w:t>
      </w:r>
      <w:r>
        <w:t>analysis</w:t>
      </w:r>
      <w:r>
        <w:rPr>
          <w:spacing w:val="-5"/>
        </w:rPr>
        <w:t xml:space="preserve"> </w:t>
      </w:r>
      <w:r>
        <w:rPr>
          <w:i/>
        </w:rPr>
        <w:t>is</w:t>
      </w:r>
      <w:r>
        <w:rPr>
          <w:i/>
          <w:spacing w:val="-4"/>
        </w:rPr>
        <w:t xml:space="preserve"> </w:t>
      </w:r>
      <w:r>
        <w:t>viciously</w:t>
      </w:r>
      <w:r>
        <w:rPr>
          <w:spacing w:val="-4"/>
        </w:rPr>
        <w:t xml:space="preserve"> </w:t>
      </w:r>
      <w:r>
        <w:t>circular</w:t>
      </w:r>
      <w:r>
        <w:rPr>
          <w:spacing w:val="-5"/>
        </w:rPr>
        <w:t xml:space="preserve"> </w:t>
      </w:r>
      <w:r>
        <w:t>for</w:t>
      </w:r>
      <w:r>
        <w:rPr>
          <w:spacing w:val="-5"/>
        </w:rPr>
        <w:t xml:space="preserve"> </w:t>
      </w:r>
      <w:r>
        <w:t>this</w:t>
      </w:r>
      <w:r>
        <w:rPr>
          <w:spacing w:val="-5"/>
        </w:rPr>
        <w:t xml:space="preserve"> </w:t>
      </w:r>
      <w:r>
        <w:t>reason. According</w:t>
      </w:r>
      <w:r>
        <w:rPr>
          <w:spacing w:val="45"/>
        </w:rPr>
        <w:t xml:space="preserve"> </w:t>
      </w:r>
      <w:r>
        <w:t>to</w:t>
      </w:r>
      <w:r>
        <w:rPr>
          <w:spacing w:val="46"/>
        </w:rPr>
        <w:t xml:space="preserve"> </w:t>
      </w:r>
      <w:r>
        <w:t>modern</w:t>
      </w:r>
      <w:r>
        <w:rPr>
          <w:spacing w:val="46"/>
        </w:rPr>
        <w:t xml:space="preserve"> </w:t>
      </w:r>
      <w:r>
        <w:t>physics,</w:t>
      </w:r>
      <w:r>
        <w:rPr>
          <w:spacing w:val="46"/>
        </w:rPr>
        <w:t xml:space="preserve"> </w:t>
      </w:r>
      <w:r>
        <w:t>E</w:t>
      </w:r>
      <w:r>
        <w:rPr>
          <w:vertAlign w:val="subscript"/>
        </w:rPr>
        <w:t>1</w:t>
      </w:r>
      <w:r>
        <w:rPr>
          <w:spacing w:val="46"/>
        </w:rPr>
        <w:t xml:space="preserve"> </w:t>
      </w:r>
      <w:r>
        <w:t>precedes</w:t>
      </w:r>
      <w:r>
        <w:rPr>
          <w:spacing w:val="44"/>
        </w:rPr>
        <w:t xml:space="preserve"> </w:t>
      </w:r>
      <w:r>
        <w:t>E</w:t>
      </w:r>
      <w:r>
        <w:rPr>
          <w:vertAlign w:val="subscript"/>
        </w:rPr>
        <w:t>2</w:t>
      </w:r>
      <w:r>
        <w:rPr>
          <w:spacing w:val="50"/>
        </w:rPr>
        <w:t xml:space="preserve"> </w:t>
      </w:r>
      <w:r>
        <w:t>iff</w:t>
      </w:r>
      <w:r>
        <w:rPr>
          <w:spacing w:val="50"/>
        </w:rPr>
        <w:t xml:space="preserve"> </w:t>
      </w:r>
      <w:r>
        <w:t>it’s</w:t>
      </w:r>
      <w:r>
        <w:rPr>
          <w:spacing w:val="51"/>
        </w:rPr>
        <w:t xml:space="preserve"> </w:t>
      </w:r>
      <w:r>
        <w:t>possible</w:t>
      </w:r>
      <w:r>
        <w:rPr>
          <w:spacing w:val="50"/>
        </w:rPr>
        <w:t xml:space="preserve"> </w:t>
      </w:r>
      <w:r>
        <w:t>for</w:t>
      </w:r>
      <w:r>
        <w:rPr>
          <w:spacing w:val="50"/>
        </w:rPr>
        <w:t xml:space="preserve"> </w:t>
      </w:r>
      <w:r>
        <w:t>a</w:t>
      </w:r>
      <w:r>
        <w:rPr>
          <w:spacing w:val="49"/>
        </w:rPr>
        <w:t xml:space="preserve"> </w:t>
      </w:r>
      <w:r>
        <w:rPr>
          <w:spacing w:val="-2"/>
        </w:rPr>
        <w:t>signal</w:t>
      </w:r>
    </w:p>
    <w:p w14:paraId="7E001F49" w14:textId="77777777" w:rsidR="009A58DB" w:rsidRDefault="00000000">
      <w:pPr>
        <w:pStyle w:val="BodyText"/>
        <w:spacing w:before="64" w:line="249" w:lineRule="auto"/>
        <w:ind w:right="361"/>
        <w:rPr>
          <w:position w:val="21"/>
        </w:rPr>
      </w:pPr>
      <w:r>
        <w:t>beginning with E</w:t>
      </w:r>
      <w:r>
        <w:rPr>
          <w:position w:val="-7"/>
          <w:sz w:val="22"/>
        </w:rPr>
        <w:t xml:space="preserve">1 </w:t>
      </w:r>
      <w:r>
        <w:t>to be sent to E</w:t>
      </w:r>
      <w:r>
        <w:rPr>
          <w:position w:val="-7"/>
          <w:sz w:val="22"/>
        </w:rPr>
        <w:t>2</w:t>
      </w:r>
      <w:r>
        <w:t>. E</w:t>
      </w:r>
      <w:r>
        <w:rPr>
          <w:position w:val="-7"/>
          <w:sz w:val="22"/>
        </w:rPr>
        <w:t xml:space="preserve">1 </w:t>
      </w:r>
      <w:r>
        <w:t>and E</w:t>
      </w:r>
      <w:r>
        <w:rPr>
          <w:position w:val="-7"/>
          <w:sz w:val="22"/>
        </w:rPr>
        <w:t xml:space="preserve">2 </w:t>
      </w:r>
      <w:r>
        <w:t>are simultaneous iff it isn’t possible for a signal beginning with either to be sent to the other. Order in time is thus to be understood in causal terms</w:t>
      </w:r>
      <w:bookmarkStart w:id="433" w:name="_bookmark433"/>
      <w:bookmarkEnd w:id="433"/>
      <w:r>
        <w:t>.</w:t>
      </w:r>
      <w:r>
        <w:rPr>
          <w:color w:val="0562C1"/>
          <w:position w:val="21"/>
          <w:u w:val="single" w:color="0562C1"/>
        </w:rPr>
        <w:t>[315]</w:t>
      </w:r>
    </w:p>
    <w:p w14:paraId="7E001F4A" w14:textId="77777777" w:rsidR="009A58DB" w:rsidRDefault="00000000">
      <w:pPr>
        <w:pStyle w:val="BodyText"/>
        <w:spacing w:before="1" w:line="249" w:lineRule="auto"/>
        <w:ind w:right="359" w:firstLine="360"/>
      </w:pPr>
      <w:r>
        <w:t>So is order in space. Events happen in different places if, and only if, something can affect the one that cannot affect the other. If x and y are in coincident places, nothing can affect the one without affecting the other. If x and</w:t>
      </w:r>
      <w:r>
        <w:rPr>
          <w:spacing w:val="59"/>
        </w:rPr>
        <w:t xml:space="preserve"> </w:t>
      </w:r>
      <w:r>
        <w:t>y</w:t>
      </w:r>
      <w:r>
        <w:rPr>
          <w:spacing w:val="59"/>
        </w:rPr>
        <w:t xml:space="preserve"> </w:t>
      </w:r>
      <w:r>
        <w:t>are</w:t>
      </w:r>
      <w:r>
        <w:rPr>
          <w:spacing w:val="59"/>
        </w:rPr>
        <w:t xml:space="preserve"> </w:t>
      </w:r>
      <w:r>
        <w:t>not</w:t>
      </w:r>
      <w:r>
        <w:rPr>
          <w:spacing w:val="59"/>
        </w:rPr>
        <w:t xml:space="preserve"> </w:t>
      </w:r>
      <w:r>
        <w:t>in</w:t>
      </w:r>
      <w:r>
        <w:rPr>
          <w:spacing w:val="59"/>
        </w:rPr>
        <w:t xml:space="preserve"> </w:t>
      </w:r>
      <w:r>
        <w:t>coincident</w:t>
      </w:r>
      <w:r>
        <w:rPr>
          <w:spacing w:val="59"/>
        </w:rPr>
        <w:t xml:space="preserve"> </w:t>
      </w:r>
      <w:r>
        <w:t>places,</w:t>
      </w:r>
      <w:r>
        <w:rPr>
          <w:spacing w:val="59"/>
        </w:rPr>
        <w:t xml:space="preserve"> </w:t>
      </w:r>
      <w:r>
        <w:t>something</w:t>
      </w:r>
      <w:r>
        <w:rPr>
          <w:spacing w:val="59"/>
        </w:rPr>
        <w:t xml:space="preserve"> </w:t>
      </w:r>
      <w:r>
        <w:t>can</w:t>
      </w:r>
      <w:r>
        <w:rPr>
          <w:spacing w:val="59"/>
        </w:rPr>
        <w:t xml:space="preserve"> </w:t>
      </w:r>
      <w:r>
        <w:t>affect</w:t>
      </w:r>
      <w:r>
        <w:rPr>
          <w:spacing w:val="59"/>
        </w:rPr>
        <w:t xml:space="preserve"> </w:t>
      </w:r>
      <w:r>
        <w:t>the</w:t>
      </w:r>
      <w:r>
        <w:rPr>
          <w:spacing w:val="59"/>
        </w:rPr>
        <w:t xml:space="preserve"> </w:t>
      </w:r>
      <w:r>
        <w:t>one</w:t>
      </w:r>
      <w:r>
        <w:rPr>
          <w:spacing w:val="59"/>
        </w:rPr>
        <w:t xml:space="preserve"> </w:t>
      </w:r>
      <w:r>
        <w:t>without</w:t>
      </w:r>
    </w:p>
    <w:p w14:paraId="7E001F4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4C" w14:textId="77777777" w:rsidR="009A58DB" w:rsidRDefault="00000000">
      <w:pPr>
        <w:pStyle w:val="BodyText"/>
        <w:spacing w:before="65" w:line="249" w:lineRule="auto"/>
        <w:ind w:right="362"/>
      </w:pPr>
      <w:r>
        <w:lastRenderedPageBreak/>
        <w:t>affecting the other. Thus, x and y are in different places exactly if something affecting the one may fail to affect the other. So if one says that x and y occupy distinct but adjacent places, or that they occupy some one place, one is</w:t>
      </w:r>
      <w:r>
        <w:rPr>
          <w:spacing w:val="-3"/>
        </w:rPr>
        <w:t xml:space="preserve"> </w:t>
      </w:r>
      <w:r>
        <w:rPr>
          <w:i/>
        </w:rPr>
        <w:t>ipso</w:t>
      </w:r>
      <w:r>
        <w:rPr>
          <w:i/>
          <w:spacing w:val="-3"/>
        </w:rPr>
        <w:t xml:space="preserve"> </w:t>
      </w:r>
      <w:r>
        <w:rPr>
          <w:i/>
        </w:rPr>
        <w:t>facto</w:t>
      </w:r>
      <w:r>
        <w:rPr>
          <w:i/>
          <w:spacing w:val="-4"/>
        </w:rPr>
        <w:t xml:space="preserve"> </w:t>
      </w:r>
      <w:r>
        <w:t>making a causal statement. Thus, Hume’s analysis of causality is circular, given that it analyzes ‹x causes y to occur› in terms of ‹x is spatiotemporally adjacent with y.›</w:t>
      </w:r>
    </w:p>
    <w:p w14:paraId="7E001F4D" w14:textId="77777777" w:rsidR="009A58DB" w:rsidRDefault="00000000">
      <w:pPr>
        <w:pStyle w:val="BodyText"/>
        <w:spacing w:before="7" w:line="249" w:lineRule="auto"/>
        <w:ind w:right="360" w:firstLine="360"/>
        <w:rPr>
          <w:position w:val="21"/>
        </w:rPr>
      </w:pPr>
      <w:r>
        <w:t>Here is a similar line of thought. It would be meaningless to say that</w:t>
      </w:r>
      <w:r>
        <w:rPr>
          <w:spacing w:val="40"/>
        </w:rPr>
        <w:t xml:space="preserve"> </w:t>
      </w:r>
      <w:r>
        <w:t xml:space="preserve">object x moved but that its causal liaisons to other object didn’t change for that very reason. If I approach you, my causal relations to you change, and so do your causal relations to me. But after those changes are set aside, there is nothing left. There is no “pure” change in position underlying all the causal </w:t>
      </w:r>
      <w:r>
        <w:rPr>
          <w:spacing w:val="-2"/>
        </w:rPr>
        <w:t>changes.</w:t>
      </w:r>
      <w:bookmarkStart w:id="434" w:name="_bookmark434"/>
      <w:bookmarkEnd w:id="434"/>
      <w:r>
        <w:rPr>
          <w:color w:val="0562C1"/>
          <w:spacing w:val="-2"/>
          <w:position w:val="21"/>
          <w:u w:val="single" w:color="0562C1"/>
        </w:rPr>
        <w:t>[316]</w:t>
      </w:r>
    </w:p>
    <w:p w14:paraId="7E001F4E" w14:textId="77777777" w:rsidR="009A58DB" w:rsidRDefault="00000000">
      <w:pPr>
        <w:pStyle w:val="BodyText"/>
        <w:spacing w:before="7" w:line="249" w:lineRule="auto"/>
        <w:ind w:right="361" w:firstLine="360"/>
      </w:pPr>
      <w:r>
        <w:t>Also, the concept of spatial occupancy is a causal concept. What is it for me to be occupying this place? It is for it to be harder than it would otherwise be for you to enter this place. It makes no sense to say: “x is occupying</w:t>
      </w:r>
      <w:r>
        <w:rPr>
          <w:spacing w:val="40"/>
        </w:rPr>
        <w:t xml:space="preserve"> </w:t>
      </w:r>
      <w:r>
        <w:t xml:space="preserve">spatial region R, but x’s occupancy of R has no effect on what things besides x must do to occupy R.” To occupy a place </w:t>
      </w:r>
      <w:r>
        <w:rPr>
          <w:i/>
        </w:rPr>
        <w:t xml:space="preserve">is </w:t>
      </w:r>
      <w:r>
        <w:t>to make it harder, other things equal, than it would otherwise be for other things to enter that place.</w:t>
      </w:r>
    </w:p>
    <w:p w14:paraId="7E001F4F" w14:textId="77777777" w:rsidR="009A58DB" w:rsidRDefault="00000000">
      <w:pPr>
        <w:pStyle w:val="BodyText"/>
        <w:spacing w:before="8" w:line="292" w:lineRule="auto"/>
        <w:ind w:right="358" w:firstLine="360"/>
      </w:pPr>
      <w:r>
        <w:t>Hume analyzes causality in terms of the concept of spatial occupancy. E</w:t>
      </w:r>
      <w:r>
        <w:rPr>
          <w:vertAlign w:val="subscript"/>
        </w:rPr>
        <w:t>1</w:t>
      </w:r>
      <w:r>
        <w:t xml:space="preserve"> causes E</w:t>
      </w:r>
      <w:r>
        <w:rPr>
          <w:vertAlign w:val="subscript"/>
        </w:rPr>
        <w:t>2</w:t>
      </w:r>
      <w:r>
        <w:t xml:space="preserve"> only if they occupy adjacent, or coincident, spaces. But since E</w:t>
      </w:r>
      <w:r>
        <w:rPr>
          <w:vertAlign w:val="subscript"/>
        </w:rPr>
        <w:t>1</w:t>
      </w:r>
      <w:r>
        <w:t>’s (or</w:t>
      </w:r>
      <w:r>
        <w:rPr>
          <w:spacing w:val="43"/>
        </w:rPr>
        <w:t xml:space="preserve"> </w:t>
      </w:r>
      <w:r>
        <w:t>E</w:t>
      </w:r>
      <w:r>
        <w:rPr>
          <w:vertAlign w:val="subscript"/>
        </w:rPr>
        <w:t>2</w:t>
      </w:r>
      <w:r>
        <w:t>’s)</w:t>
      </w:r>
      <w:r>
        <w:rPr>
          <w:spacing w:val="58"/>
        </w:rPr>
        <w:t xml:space="preserve"> </w:t>
      </w:r>
      <w:r>
        <w:t>occupancy</w:t>
      </w:r>
      <w:r>
        <w:rPr>
          <w:spacing w:val="60"/>
        </w:rPr>
        <w:t xml:space="preserve"> </w:t>
      </w:r>
      <w:r>
        <w:t>of</w:t>
      </w:r>
      <w:r>
        <w:rPr>
          <w:spacing w:val="58"/>
        </w:rPr>
        <w:t xml:space="preserve"> </w:t>
      </w:r>
      <w:r>
        <w:t>a</w:t>
      </w:r>
      <w:r>
        <w:rPr>
          <w:spacing w:val="59"/>
        </w:rPr>
        <w:t xml:space="preserve"> </w:t>
      </w:r>
      <w:r>
        <w:t>place</w:t>
      </w:r>
      <w:r>
        <w:rPr>
          <w:spacing w:val="58"/>
        </w:rPr>
        <w:t xml:space="preserve"> </w:t>
      </w:r>
      <w:r>
        <w:t>is</w:t>
      </w:r>
      <w:r>
        <w:rPr>
          <w:spacing w:val="59"/>
        </w:rPr>
        <w:t xml:space="preserve"> </w:t>
      </w:r>
      <w:r>
        <w:rPr>
          <w:i/>
        </w:rPr>
        <w:t>itself</w:t>
      </w:r>
      <w:r>
        <w:rPr>
          <w:i/>
          <w:spacing w:val="58"/>
        </w:rPr>
        <w:t xml:space="preserve"> </w:t>
      </w:r>
      <w:r>
        <w:t>to</w:t>
      </w:r>
      <w:r>
        <w:rPr>
          <w:spacing w:val="60"/>
        </w:rPr>
        <w:t xml:space="preserve"> </w:t>
      </w:r>
      <w:r>
        <w:t>be</w:t>
      </w:r>
      <w:r>
        <w:rPr>
          <w:spacing w:val="58"/>
        </w:rPr>
        <w:t xml:space="preserve"> </w:t>
      </w:r>
      <w:r>
        <w:t>understood</w:t>
      </w:r>
      <w:r>
        <w:rPr>
          <w:spacing w:val="60"/>
        </w:rPr>
        <w:t xml:space="preserve"> </w:t>
      </w:r>
      <w:r>
        <w:t>in</w:t>
      </w:r>
      <w:r>
        <w:rPr>
          <w:spacing w:val="59"/>
        </w:rPr>
        <w:t xml:space="preserve"> </w:t>
      </w:r>
      <w:r>
        <w:t>causal</w:t>
      </w:r>
      <w:r>
        <w:rPr>
          <w:spacing w:val="58"/>
        </w:rPr>
        <w:t xml:space="preserve"> </w:t>
      </w:r>
      <w:r>
        <w:rPr>
          <w:spacing w:val="-2"/>
        </w:rPr>
        <w:t>terms,</w:t>
      </w:r>
    </w:p>
    <w:p w14:paraId="7E001F50" w14:textId="77777777" w:rsidR="009A58DB" w:rsidRDefault="00000000">
      <w:pPr>
        <w:pStyle w:val="BodyText"/>
        <w:spacing w:line="249" w:lineRule="auto"/>
        <w:ind w:right="372"/>
      </w:pPr>
      <w:r>
        <w:t>Hume’s analysis analyzes causality in terms of itself and therefore doesn’t analyze it at all.</w:t>
      </w:r>
    </w:p>
    <w:p w14:paraId="7E001F51" w14:textId="77777777" w:rsidR="009A58DB" w:rsidRDefault="00000000">
      <w:pPr>
        <w:pStyle w:val="BodyText"/>
        <w:spacing w:line="249" w:lineRule="auto"/>
        <w:ind w:right="358" w:firstLine="360"/>
      </w:pPr>
      <w:r>
        <w:t xml:space="preserve">A corollary of the fact that spatiotemporal relations are causal relations is that, contrary to what Hume alleges, we </w:t>
      </w:r>
      <w:r>
        <w:rPr>
          <w:i/>
        </w:rPr>
        <w:t xml:space="preserve">do </w:t>
      </w:r>
      <w:r>
        <w:t xml:space="preserve">see causal processes and, moreover, we see them </w:t>
      </w:r>
      <w:r>
        <w:rPr>
          <w:i/>
        </w:rPr>
        <w:t xml:space="preserve">as </w:t>
      </w:r>
      <w:r>
        <w:t xml:space="preserve">causal processes. We see nothing instantaneous. Everything we see persists, if only for a short while. Anything that persists </w:t>
      </w:r>
      <w:r>
        <w:rPr>
          <w:i/>
        </w:rPr>
        <w:t xml:space="preserve">is, </w:t>
      </w:r>
      <w:r>
        <w:t xml:space="preserve">for that very reason, a causal process; and anything that is seen </w:t>
      </w:r>
      <w:r>
        <w:rPr>
          <w:i/>
        </w:rPr>
        <w:t xml:space="preserve">as </w:t>
      </w:r>
      <w:r>
        <w:t xml:space="preserve">persisting, which is everything that is seen, is, for that very reason, seen </w:t>
      </w:r>
      <w:r>
        <w:rPr>
          <w:i/>
        </w:rPr>
        <w:t xml:space="preserve">as </w:t>
      </w:r>
      <w:r>
        <w:t xml:space="preserve">a causal </w:t>
      </w:r>
      <w:r>
        <w:rPr>
          <w:spacing w:val="-2"/>
        </w:rPr>
        <w:t>process.</w:t>
      </w:r>
    </w:p>
    <w:p w14:paraId="7E001F52" w14:textId="77777777" w:rsidR="009A58DB" w:rsidRDefault="00000000">
      <w:pPr>
        <w:pStyle w:val="BodyText"/>
        <w:spacing w:before="8" w:line="249" w:lineRule="auto"/>
        <w:ind w:right="358" w:firstLine="360"/>
      </w:pPr>
      <w:r>
        <w:t>There are two views as to what space and time are. According to the one view, space and time are not empty containers. Spatiotemporal positions are relations between events, and there thus couldn’t be a space-time empty of events.</w:t>
      </w:r>
      <w:r>
        <w:rPr>
          <w:spacing w:val="-19"/>
        </w:rPr>
        <w:t xml:space="preserve"> </w:t>
      </w:r>
      <w:r>
        <w:t>If</w:t>
      </w:r>
      <w:r>
        <w:rPr>
          <w:spacing w:val="-19"/>
        </w:rPr>
        <w:t xml:space="preserve"> </w:t>
      </w:r>
      <w:r>
        <w:t>this</w:t>
      </w:r>
      <w:r>
        <w:rPr>
          <w:spacing w:val="-17"/>
        </w:rPr>
        <w:t xml:space="preserve"> </w:t>
      </w:r>
      <w:r>
        <w:t>view</w:t>
      </w:r>
      <w:r>
        <w:rPr>
          <w:spacing w:val="-15"/>
        </w:rPr>
        <w:t xml:space="preserve"> </w:t>
      </w:r>
      <w:r>
        <w:t>is</w:t>
      </w:r>
      <w:r>
        <w:rPr>
          <w:spacing w:val="-14"/>
        </w:rPr>
        <w:t xml:space="preserve"> </w:t>
      </w:r>
      <w:r>
        <w:t>right,</w:t>
      </w:r>
      <w:r>
        <w:rPr>
          <w:spacing w:val="-14"/>
        </w:rPr>
        <w:t xml:space="preserve"> </w:t>
      </w:r>
      <w:r>
        <w:t>it’s</w:t>
      </w:r>
      <w:r>
        <w:rPr>
          <w:spacing w:val="-14"/>
        </w:rPr>
        <w:t xml:space="preserve"> </w:t>
      </w:r>
      <w:r>
        <w:t>meaningless</w:t>
      </w:r>
      <w:r>
        <w:rPr>
          <w:spacing w:val="-14"/>
        </w:rPr>
        <w:t xml:space="preserve"> </w:t>
      </w:r>
      <w:r>
        <w:t>to</w:t>
      </w:r>
      <w:r>
        <w:rPr>
          <w:spacing w:val="-14"/>
        </w:rPr>
        <w:t xml:space="preserve"> </w:t>
      </w:r>
      <w:r>
        <w:t>say</w:t>
      </w:r>
      <w:r>
        <w:rPr>
          <w:spacing w:val="-14"/>
        </w:rPr>
        <w:t xml:space="preserve"> </w:t>
      </w:r>
      <w:r>
        <w:t>some</w:t>
      </w:r>
      <w:r>
        <w:rPr>
          <w:spacing w:val="-14"/>
        </w:rPr>
        <w:t xml:space="preserve"> </w:t>
      </w:r>
      <w:r>
        <w:t>object</w:t>
      </w:r>
      <w:r>
        <w:rPr>
          <w:spacing w:val="-19"/>
        </w:rPr>
        <w:t xml:space="preserve"> </w:t>
      </w:r>
      <w:r>
        <w:rPr>
          <w:i/>
        </w:rPr>
        <w:t>just</w:t>
      </w:r>
      <w:r>
        <w:rPr>
          <w:i/>
          <w:spacing w:val="-19"/>
        </w:rPr>
        <w:t xml:space="preserve"> </w:t>
      </w:r>
      <w:r>
        <w:t>approaches</w:t>
      </w:r>
    </w:p>
    <w:p w14:paraId="7E001F5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54" w14:textId="77777777" w:rsidR="009A58DB" w:rsidRDefault="00000000">
      <w:pPr>
        <w:pStyle w:val="BodyText"/>
        <w:spacing w:before="65" w:line="249" w:lineRule="auto"/>
        <w:ind w:right="364"/>
      </w:pPr>
      <w:r>
        <w:lastRenderedPageBreak/>
        <w:t>some</w:t>
      </w:r>
      <w:r>
        <w:rPr>
          <w:spacing w:val="-16"/>
        </w:rPr>
        <w:t xml:space="preserve"> </w:t>
      </w:r>
      <w:r>
        <w:t>other.</w:t>
      </w:r>
      <w:r>
        <w:rPr>
          <w:spacing w:val="-4"/>
        </w:rPr>
        <w:t xml:space="preserve"> </w:t>
      </w:r>
      <w:r>
        <w:t>For</w:t>
      </w:r>
      <w:r>
        <w:rPr>
          <w:spacing w:val="-8"/>
        </w:rPr>
        <w:t xml:space="preserve"> </w:t>
      </w:r>
      <w:r>
        <w:t>x</w:t>
      </w:r>
      <w:r>
        <w:rPr>
          <w:spacing w:val="-8"/>
        </w:rPr>
        <w:t xml:space="preserve"> </w:t>
      </w:r>
      <w:r>
        <w:t>to</w:t>
      </w:r>
      <w:r>
        <w:rPr>
          <w:spacing w:val="-8"/>
        </w:rPr>
        <w:t xml:space="preserve"> </w:t>
      </w:r>
      <w:r>
        <w:t>precede</w:t>
      </w:r>
      <w:r>
        <w:rPr>
          <w:spacing w:val="-8"/>
        </w:rPr>
        <w:t xml:space="preserve"> </w:t>
      </w:r>
      <w:r>
        <w:t>y</w:t>
      </w:r>
      <w:r>
        <w:rPr>
          <w:spacing w:val="-8"/>
        </w:rPr>
        <w:t xml:space="preserve"> </w:t>
      </w:r>
      <w:r>
        <w:t>isn’t</w:t>
      </w:r>
      <w:r>
        <w:rPr>
          <w:spacing w:val="-8"/>
        </w:rPr>
        <w:t xml:space="preserve"> </w:t>
      </w:r>
      <w:r>
        <w:t>for</w:t>
      </w:r>
      <w:r>
        <w:rPr>
          <w:spacing w:val="-8"/>
        </w:rPr>
        <w:t xml:space="preserve"> </w:t>
      </w:r>
      <w:r>
        <w:t>x’s</w:t>
      </w:r>
      <w:r>
        <w:rPr>
          <w:spacing w:val="-19"/>
        </w:rPr>
        <w:t xml:space="preserve"> </w:t>
      </w:r>
      <w:r>
        <w:rPr>
          <w:i/>
        </w:rPr>
        <w:t>position</w:t>
      </w:r>
      <w:r>
        <w:rPr>
          <w:i/>
          <w:spacing w:val="-19"/>
        </w:rPr>
        <w:t xml:space="preserve"> </w:t>
      </w:r>
      <w:r>
        <w:t>to</w:t>
      </w:r>
      <w:r>
        <w:rPr>
          <w:spacing w:val="-9"/>
        </w:rPr>
        <w:t xml:space="preserve"> </w:t>
      </w:r>
      <w:r>
        <w:t>bear</w:t>
      </w:r>
      <w:r>
        <w:rPr>
          <w:spacing w:val="-11"/>
        </w:rPr>
        <w:t xml:space="preserve"> </w:t>
      </w:r>
      <w:r>
        <w:t>a</w:t>
      </w:r>
      <w:r>
        <w:rPr>
          <w:spacing w:val="-10"/>
        </w:rPr>
        <w:t xml:space="preserve"> </w:t>
      </w:r>
      <w:r>
        <w:t>certain</w:t>
      </w:r>
      <w:r>
        <w:rPr>
          <w:spacing w:val="-10"/>
        </w:rPr>
        <w:t xml:space="preserve"> </w:t>
      </w:r>
      <w:r>
        <w:t>relation</w:t>
      </w:r>
      <w:r>
        <w:rPr>
          <w:spacing w:val="-10"/>
        </w:rPr>
        <w:t xml:space="preserve"> </w:t>
      </w:r>
      <w:r>
        <w:t>to y’s</w:t>
      </w:r>
      <w:r>
        <w:rPr>
          <w:spacing w:val="-13"/>
        </w:rPr>
        <w:t xml:space="preserve"> </w:t>
      </w:r>
      <w:r>
        <w:t>position.</w:t>
      </w:r>
      <w:r>
        <w:rPr>
          <w:spacing w:val="-5"/>
        </w:rPr>
        <w:t xml:space="preserve"> </w:t>
      </w:r>
      <w:r>
        <w:t>Given</w:t>
      </w:r>
      <w:r>
        <w:rPr>
          <w:spacing w:val="-19"/>
        </w:rPr>
        <w:t xml:space="preserve"> </w:t>
      </w:r>
      <w:r>
        <w:rPr>
          <w:i/>
        </w:rPr>
        <w:t>any</w:t>
      </w:r>
      <w:r>
        <w:rPr>
          <w:i/>
          <w:spacing w:val="-19"/>
        </w:rPr>
        <w:t xml:space="preserve"> </w:t>
      </w:r>
      <w:r>
        <w:t>spatiotemporal</w:t>
      </w:r>
      <w:r>
        <w:rPr>
          <w:spacing w:val="-8"/>
        </w:rPr>
        <w:t xml:space="preserve"> </w:t>
      </w:r>
      <w:r>
        <w:t>relation</w:t>
      </w:r>
      <w:r>
        <w:rPr>
          <w:spacing w:val="-13"/>
        </w:rPr>
        <w:t xml:space="preserve"> </w:t>
      </w:r>
      <w:r>
        <w:t>R,</w:t>
      </w:r>
      <w:r>
        <w:rPr>
          <w:spacing w:val="-13"/>
        </w:rPr>
        <w:t xml:space="preserve"> </w:t>
      </w:r>
      <w:r>
        <w:t>for</w:t>
      </w:r>
      <w:r>
        <w:rPr>
          <w:spacing w:val="-13"/>
        </w:rPr>
        <w:t xml:space="preserve"> </w:t>
      </w:r>
      <w:r>
        <w:t>x</w:t>
      </w:r>
      <w:r>
        <w:rPr>
          <w:spacing w:val="-13"/>
        </w:rPr>
        <w:t xml:space="preserve"> </w:t>
      </w:r>
      <w:r>
        <w:t>to</w:t>
      </w:r>
      <w:r>
        <w:rPr>
          <w:spacing w:val="-13"/>
        </w:rPr>
        <w:t xml:space="preserve"> </w:t>
      </w:r>
      <w:r>
        <w:t>bear</w:t>
      </w:r>
      <w:r>
        <w:rPr>
          <w:spacing w:val="-13"/>
        </w:rPr>
        <w:t xml:space="preserve"> </w:t>
      </w:r>
      <w:r>
        <w:t>R</w:t>
      </w:r>
      <w:r>
        <w:rPr>
          <w:spacing w:val="-13"/>
        </w:rPr>
        <w:t xml:space="preserve"> </w:t>
      </w:r>
      <w:r>
        <w:t>to</w:t>
      </w:r>
      <w:r>
        <w:rPr>
          <w:spacing w:val="-13"/>
        </w:rPr>
        <w:t xml:space="preserve"> </w:t>
      </w:r>
      <w:r>
        <w:t>y</w:t>
      </w:r>
      <w:r>
        <w:rPr>
          <w:spacing w:val="-13"/>
        </w:rPr>
        <w:t xml:space="preserve"> </w:t>
      </w:r>
      <w:r>
        <w:t>is</w:t>
      </w:r>
      <w:r>
        <w:rPr>
          <w:spacing w:val="-13"/>
        </w:rPr>
        <w:t xml:space="preserve"> </w:t>
      </w:r>
      <w:r>
        <w:t>not</w:t>
      </w:r>
      <w:r>
        <w:rPr>
          <w:spacing w:val="-13"/>
        </w:rPr>
        <w:t xml:space="preserve"> </w:t>
      </w:r>
      <w:r>
        <w:t>for x’s</w:t>
      </w:r>
      <w:r>
        <w:rPr>
          <w:spacing w:val="-21"/>
        </w:rPr>
        <w:t xml:space="preserve"> </w:t>
      </w:r>
      <w:r>
        <w:t>position</w:t>
      </w:r>
      <w:r>
        <w:rPr>
          <w:spacing w:val="-19"/>
        </w:rPr>
        <w:t xml:space="preserve"> </w:t>
      </w:r>
      <w:r>
        <w:t>to</w:t>
      </w:r>
      <w:r>
        <w:rPr>
          <w:spacing w:val="-19"/>
        </w:rPr>
        <w:t xml:space="preserve"> </w:t>
      </w:r>
      <w:r>
        <w:t>bear</w:t>
      </w:r>
      <w:r>
        <w:rPr>
          <w:spacing w:val="-18"/>
        </w:rPr>
        <w:t xml:space="preserve"> </w:t>
      </w:r>
      <w:r>
        <w:t>R</w:t>
      </w:r>
      <w:r>
        <w:rPr>
          <w:spacing w:val="-19"/>
        </w:rPr>
        <w:t xml:space="preserve"> </w:t>
      </w:r>
      <w:r>
        <w:t>to</w:t>
      </w:r>
      <w:r>
        <w:rPr>
          <w:spacing w:val="-19"/>
        </w:rPr>
        <w:t xml:space="preserve"> </w:t>
      </w:r>
      <w:r>
        <w:t>y’s</w:t>
      </w:r>
      <w:r>
        <w:rPr>
          <w:spacing w:val="-19"/>
        </w:rPr>
        <w:t xml:space="preserve"> </w:t>
      </w:r>
      <w:r>
        <w:t>position.</w:t>
      </w:r>
      <w:r>
        <w:rPr>
          <w:spacing w:val="-18"/>
        </w:rPr>
        <w:t xml:space="preserve"> </w:t>
      </w:r>
      <w:r>
        <w:t>There</w:t>
      </w:r>
      <w:r>
        <w:rPr>
          <w:spacing w:val="-19"/>
        </w:rPr>
        <w:t xml:space="preserve"> </w:t>
      </w:r>
      <w:r>
        <w:t>are</w:t>
      </w:r>
      <w:r>
        <w:rPr>
          <w:spacing w:val="-19"/>
        </w:rPr>
        <w:t xml:space="preserve"> </w:t>
      </w:r>
      <w:r>
        <w:t>no</w:t>
      </w:r>
      <w:r>
        <w:rPr>
          <w:spacing w:val="-19"/>
        </w:rPr>
        <w:t xml:space="preserve"> </w:t>
      </w:r>
      <w:r>
        <w:t>event-independent</w:t>
      </w:r>
      <w:r>
        <w:rPr>
          <w:spacing w:val="-18"/>
        </w:rPr>
        <w:t xml:space="preserve"> </w:t>
      </w:r>
      <w:r>
        <w:t xml:space="preserve">positions. </w:t>
      </w:r>
      <w:r>
        <w:rPr>
          <w:spacing w:val="-2"/>
        </w:rPr>
        <w:t>Relations</w:t>
      </w:r>
      <w:r>
        <w:rPr>
          <w:spacing w:val="-17"/>
        </w:rPr>
        <w:t xml:space="preserve"> </w:t>
      </w:r>
      <w:r>
        <w:rPr>
          <w:spacing w:val="-2"/>
        </w:rPr>
        <w:t>between</w:t>
      </w:r>
      <w:r>
        <w:rPr>
          <w:spacing w:val="-17"/>
        </w:rPr>
        <w:t xml:space="preserve"> </w:t>
      </w:r>
      <w:r>
        <w:rPr>
          <w:spacing w:val="-2"/>
        </w:rPr>
        <w:t>positions</w:t>
      </w:r>
      <w:r>
        <w:rPr>
          <w:spacing w:val="-17"/>
        </w:rPr>
        <w:t xml:space="preserve"> </w:t>
      </w:r>
      <w:r>
        <w:rPr>
          <w:spacing w:val="-2"/>
        </w:rPr>
        <w:t>are</w:t>
      </w:r>
      <w:r>
        <w:rPr>
          <w:spacing w:val="-16"/>
        </w:rPr>
        <w:t xml:space="preserve"> </w:t>
      </w:r>
      <w:r>
        <w:rPr>
          <w:spacing w:val="-2"/>
        </w:rPr>
        <w:t>mediated</w:t>
      </w:r>
      <w:r>
        <w:rPr>
          <w:spacing w:val="-17"/>
        </w:rPr>
        <w:t xml:space="preserve"> </w:t>
      </w:r>
      <w:r>
        <w:rPr>
          <w:spacing w:val="-2"/>
        </w:rPr>
        <w:t>between</w:t>
      </w:r>
      <w:r>
        <w:rPr>
          <w:spacing w:val="-17"/>
        </w:rPr>
        <w:t xml:space="preserve"> </w:t>
      </w:r>
      <w:r>
        <w:rPr>
          <w:spacing w:val="-2"/>
        </w:rPr>
        <w:t>relations</w:t>
      </w:r>
      <w:r>
        <w:rPr>
          <w:spacing w:val="-17"/>
        </w:rPr>
        <w:t xml:space="preserve"> </w:t>
      </w:r>
      <w:r>
        <w:rPr>
          <w:spacing w:val="-2"/>
        </w:rPr>
        <w:t>between</w:t>
      </w:r>
      <w:r>
        <w:rPr>
          <w:spacing w:val="-16"/>
        </w:rPr>
        <w:t xml:space="preserve"> </w:t>
      </w:r>
      <w:r>
        <w:rPr>
          <w:spacing w:val="-2"/>
        </w:rPr>
        <w:t>events,</w:t>
      </w:r>
      <w:r>
        <w:rPr>
          <w:spacing w:val="-17"/>
        </w:rPr>
        <w:t xml:space="preserve"> </w:t>
      </w:r>
      <w:r>
        <w:rPr>
          <w:spacing w:val="-2"/>
        </w:rPr>
        <w:t xml:space="preserve">not </w:t>
      </w:r>
      <w:r>
        <w:rPr>
          <w:i/>
        </w:rPr>
        <w:t xml:space="preserve">vice versa. </w:t>
      </w:r>
      <w:r>
        <w:t>It thus</w:t>
      </w:r>
    </w:p>
    <w:p w14:paraId="7E001F55" w14:textId="77777777" w:rsidR="009A58DB" w:rsidRDefault="00000000">
      <w:pPr>
        <w:pStyle w:val="BodyText"/>
        <w:spacing w:before="6" w:line="249" w:lineRule="auto"/>
        <w:ind w:right="361"/>
        <w:rPr>
          <w:position w:val="21"/>
        </w:rPr>
      </w:pPr>
      <w:r>
        <w:t>makes no sense to suppose that there could be bare spatiotemporal interrelations or, therefore, bare changes in such interrelations.</w:t>
      </w:r>
      <w:bookmarkStart w:id="435" w:name="_bookmark435"/>
      <w:bookmarkEnd w:id="435"/>
      <w:r>
        <w:rPr>
          <w:color w:val="0562C1"/>
          <w:position w:val="21"/>
          <w:u w:val="single" w:color="0562C1"/>
        </w:rPr>
        <w:t>[317]</w:t>
      </w:r>
    </w:p>
    <w:p w14:paraId="7E001F56" w14:textId="77777777" w:rsidR="009A58DB" w:rsidRDefault="00000000">
      <w:pPr>
        <w:pStyle w:val="BodyText"/>
        <w:spacing w:before="2" w:line="249" w:lineRule="auto"/>
        <w:ind w:right="358" w:firstLine="720"/>
        <w:rPr>
          <w:position w:val="21"/>
        </w:rPr>
      </w:pPr>
      <w:r>
        <w:t xml:space="preserve">According to the other view, space and time exist independently of events. A consequence is that spatiotemporal positions exist independently of the events that might (or might not) occupy them. Spatiotemporal relations holding among events are to be understood in terms of spatiotemporal relations holding among positions in space-time. This means that there are absolute positions in space-time. If this view is right, it </w:t>
      </w:r>
      <w:r>
        <w:rPr>
          <w:i/>
        </w:rPr>
        <w:t xml:space="preserve">does </w:t>
      </w:r>
      <w:r>
        <w:t xml:space="preserve">make sense to say that one event </w:t>
      </w:r>
      <w:r>
        <w:rPr>
          <w:i/>
        </w:rPr>
        <w:t xml:space="preserve">just </w:t>
      </w:r>
      <w:r>
        <w:t xml:space="preserve">precedes some other event, or that one event </w:t>
      </w:r>
      <w:r>
        <w:rPr>
          <w:i/>
        </w:rPr>
        <w:t xml:space="preserve">just </w:t>
      </w:r>
      <w:r>
        <w:t>happens to be equidistant between two other events, and so on</w:t>
      </w:r>
      <w:bookmarkStart w:id="436" w:name="_bookmark436"/>
      <w:bookmarkEnd w:id="436"/>
      <w:r>
        <w:t>.</w:t>
      </w:r>
      <w:r>
        <w:rPr>
          <w:color w:val="0562C1"/>
          <w:position w:val="21"/>
          <w:u w:val="single" w:color="0562C1"/>
        </w:rPr>
        <w:t>[318]</w:t>
      </w:r>
    </w:p>
    <w:p w14:paraId="7E001F57" w14:textId="77777777" w:rsidR="009A58DB" w:rsidRDefault="00000000">
      <w:pPr>
        <w:pStyle w:val="BodyText"/>
        <w:spacing w:before="115" w:line="312" w:lineRule="auto"/>
        <w:ind w:right="1840" w:firstLine="720"/>
        <w:jc w:val="left"/>
      </w:pPr>
      <w:r>
        <w:t>Bearing</w:t>
      </w:r>
      <w:r>
        <w:rPr>
          <w:spacing w:val="-5"/>
        </w:rPr>
        <w:t xml:space="preserve"> </w:t>
      </w:r>
      <w:r>
        <w:t>these</w:t>
      </w:r>
      <w:r>
        <w:rPr>
          <w:spacing w:val="-6"/>
        </w:rPr>
        <w:t xml:space="preserve"> </w:t>
      </w:r>
      <w:r>
        <w:t>points</w:t>
      </w:r>
      <w:r>
        <w:rPr>
          <w:spacing w:val="-6"/>
        </w:rPr>
        <w:t xml:space="preserve"> </w:t>
      </w:r>
      <w:r>
        <w:t>in</w:t>
      </w:r>
      <w:r>
        <w:rPr>
          <w:spacing w:val="-5"/>
        </w:rPr>
        <w:t xml:space="preserve"> </w:t>
      </w:r>
      <w:r>
        <w:t>mind,</w:t>
      </w:r>
      <w:r>
        <w:rPr>
          <w:spacing w:val="-5"/>
        </w:rPr>
        <w:t xml:space="preserve"> </w:t>
      </w:r>
      <w:r>
        <w:t>consider</w:t>
      </w:r>
      <w:r>
        <w:rPr>
          <w:spacing w:val="-6"/>
        </w:rPr>
        <w:t xml:space="preserve"> </w:t>
      </w:r>
      <w:r>
        <w:t>the</w:t>
      </w:r>
      <w:r>
        <w:rPr>
          <w:spacing w:val="-6"/>
        </w:rPr>
        <w:t xml:space="preserve"> </w:t>
      </w:r>
      <w:r>
        <w:t>statement</w:t>
      </w:r>
      <w:r>
        <w:rPr>
          <w:spacing w:val="-6"/>
        </w:rPr>
        <w:t xml:space="preserve"> </w:t>
      </w:r>
      <w:r>
        <w:t>that: (I</w:t>
      </w:r>
      <w:bookmarkStart w:id="437" w:name="_bookmark437"/>
      <w:bookmarkEnd w:id="437"/>
      <w:r>
        <w:t>P</w:t>
      </w:r>
      <w:r>
        <w:rPr>
          <w:color w:val="0562C1"/>
          <w:position w:val="21"/>
          <w:u w:val="single" w:color="0562C1"/>
        </w:rPr>
        <w:t>[319]</w:t>
      </w:r>
      <w:r>
        <w:t>) x immediately precedes and is adjacent with y,</w:t>
      </w:r>
    </w:p>
    <w:p w14:paraId="7E001F58" w14:textId="77777777" w:rsidR="009A58DB" w:rsidRDefault="00000000">
      <w:pPr>
        <w:pStyle w:val="BodyText"/>
        <w:spacing w:before="18" w:line="249" w:lineRule="auto"/>
        <w:ind w:right="358"/>
      </w:pPr>
      <w:r>
        <w:t xml:space="preserve">and suppose IP to be true. If the first view is the right one, there are no event-independent positions. In that case, x’s being adjacent with y is a relation that holds </w:t>
      </w:r>
      <w:r>
        <w:rPr>
          <w:i/>
        </w:rPr>
        <w:t xml:space="preserve">directly </w:t>
      </w:r>
      <w:r>
        <w:t>between x and y, and to say that some position bears a certain relation</w:t>
      </w:r>
      <w:r>
        <w:rPr>
          <w:spacing w:val="-3"/>
        </w:rPr>
        <w:t xml:space="preserve"> </w:t>
      </w:r>
      <w:r>
        <w:t>to</w:t>
      </w:r>
      <w:r>
        <w:rPr>
          <w:spacing w:val="-3"/>
        </w:rPr>
        <w:t xml:space="preserve"> </w:t>
      </w:r>
      <w:r>
        <w:t>another</w:t>
      </w:r>
      <w:r>
        <w:rPr>
          <w:spacing w:val="-4"/>
        </w:rPr>
        <w:t xml:space="preserve"> </w:t>
      </w:r>
      <w:r>
        <w:t>position</w:t>
      </w:r>
      <w:r>
        <w:rPr>
          <w:spacing w:val="-3"/>
        </w:rPr>
        <w:t xml:space="preserve"> </w:t>
      </w:r>
      <w:r>
        <w:t>is</w:t>
      </w:r>
      <w:r>
        <w:rPr>
          <w:spacing w:val="-4"/>
        </w:rPr>
        <w:t xml:space="preserve"> </w:t>
      </w:r>
      <w:r>
        <w:t>to</w:t>
      </w:r>
      <w:r>
        <w:rPr>
          <w:spacing w:val="-3"/>
        </w:rPr>
        <w:t xml:space="preserve"> </w:t>
      </w:r>
      <w:r>
        <w:t>say</w:t>
      </w:r>
      <w:r>
        <w:rPr>
          <w:spacing w:val="-3"/>
        </w:rPr>
        <w:t xml:space="preserve"> </w:t>
      </w:r>
      <w:r>
        <w:t>that</w:t>
      </w:r>
      <w:r>
        <w:rPr>
          <w:spacing w:val="-4"/>
        </w:rPr>
        <w:t xml:space="preserve"> </w:t>
      </w:r>
      <w:r>
        <w:t>some</w:t>
      </w:r>
      <w:r>
        <w:rPr>
          <w:spacing w:val="-4"/>
        </w:rPr>
        <w:t xml:space="preserve"> </w:t>
      </w:r>
      <w:r>
        <w:rPr>
          <w:i/>
        </w:rPr>
        <w:t>event</w:t>
      </w:r>
      <w:r>
        <w:rPr>
          <w:i/>
          <w:spacing w:val="-4"/>
        </w:rPr>
        <w:t xml:space="preserve"> </w:t>
      </w:r>
      <w:r>
        <w:t>bears a certain relation to some other event.</w:t>
      </w:r>
    </w:p>
    <w:p w14:paraId="7E001F59" w14:textId="77777777" w:rsidR="009A58DB" w:rsidRDefault="00000000">
      <w:pPr>
        <w:pStyle w:val="BodyText"/>
        <w:spacing w:before="6" w:line="249" w:lineRule="auto"/>
        <w:ind w:right="364" w:firstLine="360"/>
      </w:pPr>
      <w:r>
        <w:t xml:space="preserve">If the second view is the right one, the fact described by IP consists in x’s occupying some position that bears a certain relation to a position that is, in turn, occupied by y. In other words, it is only because the </w:t>
      </w:r>
      <w:r>
        <w:rPr>
          <w:i/>
        </w:rPr>
        <w:t xml:space="preserve">positions </w:t>
      </w:r>
      <w:r>
        <w:t>they occupy are adjacent that x and y are adjacent. Thus, the second view presupposes that there are event-independent, and thus absolute, spatiotemporal positions.</w:t>
      </w:r>
    </w:p>
    <w:p w14:paraId="7E001F5A" w14:textId="77777777" w:rsidR="009A58DB" w:rsidRDefault="00000000">
      <w:pPr>
        <w:pStyle w:val="BodyText"/>
        <w:spacing w:before="8" w:line="249" w:lineRule="auto"/>
        <w:ind w:right="358" w:firstLine="360"/>
      </w:pPr>
      <w:r>
        <w:t>Since Hume’s analysis presupposes the correctness of the second view, Hume’s</w:t>
      </w:r>
      <w:r>
        <w:rPr>
          <w:spacing w:val="-3"/>
        </w:rPr>
        <w:t xml:space="preserve"> </w:t>
      </w:r>
      <w:r>
        <w:t>analysis</w:t>
      </w:r>
      <w:r>
        <w:rPr>
          <w:spacing w:val="-3"/>
        </w:rPr>
        <w:t xml:space="preserve"> </w:t>
      </w:r>
      <w:r>
        <w:t>is</w:t>
      </w:r>
      <w:r>
        <w:rPr>
          <w:spacing w:val="-3"/>
        </w:rPr>
        <w:t xml:space="preserve"> </w:t>
      </w:r>
      <w:r>
        <w:t>refuted</w:t>
      </w:r>
      <w:r>
        <w:rPr>
          <w:spacing w:val="-3"/>
        </w:rPr>
        <w:t xml:space="preserve"> </w:t>
      </w:r>
      <w:r>
        <w:t>by</w:t>
      </w:r>
      <w:r>
        <w:rPr>
          <w:spacing w:val="-3"/>
        </w:rPr>
        <w:t xml:space="preserve"> </w:t>
      </w:r>
      <w:r>
        <w:t>the</w:t>
      </w:r>
      <w:r>
        <w:rPr>
          <w:spacing w:val="-3"/>
        </w:rPr>
        <w:t xml:space="preserve"> </w:t>
      </w:r>
      <w:r>
        <w:t>very</w:t>
      </w:r>
      <w:r>
        <w:rPr>
          <w:spacing w:val="-3"/>
        </w:rPr>
        <w:t xml:space="preserve"> </w:t>
      </w:r>
      <w:r>
        <w:t>empirical</w:t>
      </w:r>
      <w:r>
        <w:rPr>
          <w:spacing w:val="-3"/>
        </w:rPr>
        <w:t xml:space="preserve"> </w:t>
      </w:r>
      <w:r>
        <w:t>and</w:t>
      </w:r>
      <w:r>
        <w:rPr>
          <w:spacing w:val="-3"/>
        </w:rPr>
        <w:t xml:space="preserve"> </w:t>
      </w:r>
      <w:r>
        <w:t>philosophical</w:t>
      </w:r>
      <w:r>
        <w:rPr>
          <w:spacing w:val="-3"/>
        </w:rPr>
        <w:t xml:space="preserve"> </w:t>
      </w:r>
      <w:r>
        <w:t>arguments that show the concept of absolute position to be an untenable one.</w:t>
      </w:r>
    </w:p>
    <w:p w14:paraId="7E001F5B" w14:textId="77777777" w:rsidR="009A58DB" w:rsidRDefault="00000000">
      <w:pPr>
        <w:pStyle w:val="Heading1"/>
        <w:numPr>
          <w:ilvl w:val="1"/>
          <w:numId w:val="82"/>
        </w:numPr>
        <w:tabs>
          <w:tab w:val="left" w:pos="1050"/>
        </w:tabs>
        <w:spacing w:before="191"/>
        <w:ind w:left="1050" w:hanging="690"/>
      </w:pPr>
      <w:r>
        <w:t>Hume’s</w:t>
      </w:r>
      <w:r>
        <w:rPr>
          <w:spacing w:val="54"/>
        </w:rPr>
        <w:t xml:space="preserve"> </w:t>
      </w:r>
      <w:r>
        <w:t>denial</w:t>
      </w:r>
      <w:r>
        <w:rPr>
          <w:spacing w:val="56"/>
        </w:rPr>
        <w:t xml:space="preserve"> </w:t>
      </w:r>
      <w:r>
        <w:t>of</w:t>
      </w:r>
      <w:r>
        <w:rPr>
          <w:spacing w:val="57"/>
        </w:rPr>
        <w:t xml:space="preserve"> </w:t>
      </w:r>
      <w:r>
        <w:t>causality</w:t>
      </w:r>
      <w:r>
        <w:rPr>
          <w:spacing w:val="57"/>
        </w:rPr>
        <w:t xml:space="preserve"> </w:t>
      </w:r>
      <w:r>
        <w:t>based</w:t>
      </w:r>
      <w:r>
        <w:rPr>
          <w:spacing w:val="57"/>
        </w:rPr>
        <w:t xml:space="preserve"> </w:t>
      </w:r>
      <w:r>
        <w:t>on</w:t>
      </w:r>
      <w:r>
        <w:rPr>
          <w:spacing w:val="56"/>
        </w:rPr>
        <w:t xml:space="preserve"> </w:t>
      </w:r>
      <w:r>
        <w:t>a</w:t>
      </w:r>
      <w:r>
        <w:rPr>
          <w:spacing w:val="58"/>
        </w:rPr>
        <w:t xml:space="preserve"> </w:t>
      </w:r>
      <w:r>
        <w:rPr>
          <w:spacing w:val="-2"/>
        </w:rPr>
        <w:t>pseudo-</w:t>
      </w:r>
    </w:p>
    <w:p w14:paraId="7E001F5C" w14:textId="77777777" w:rsidR="009A58DB" w:rsidRDefault="009A58DB">
      <w:pPr>
        <w:pStyle w:val="Heading1"/>
        <w:sectPr w:rsidR="009A58DB">
          <w:pgSz w:w="12240" w:h="15840"/>
          <w:pgMar w:top="1380" w:right="1080" w:bottom="280" w:left="1080" w:header="720" w:footer="720" w:gutter="0"/>
          <w:cols w:space="720"/>
        </w:sectPr>
      </w:pPr>
    </w:p>
    <w:p w14:paraId="7E001F5D" w14:textId="77777777" w:rsidR="009A58DB" w:rsidRDefault="00000000">
      <w:pPr>
        <w:spacing w:before="53"/>
        <w:ind w:left="810"/>
        <w:rPr>
          <w:b/>
          <w:sz w:val="42"/>
        </w:rPr>
      </w:pPr>
      <w:r>
        <w:rPr>
          <w:b/>
          <w:sz w:val="42"/>
        </w:rPr>
        <w:lastRenderedPageBreak/>
        <w:t>empirical,</w:t>
      </w:r>
      <w:r>
        <w:rPr>
          <w:b/>
          <w:spacing w:val="-8"/>
          <w:sz w:val="42"/>
        </w:rPr>
        <w:t xml:space="preserve"> </w:t>
      </w:r>
      <w:r>
        <w:rPr>
          <w:b/>
          <w:sz w:val="42"/>
        </w:rPr>
        <w:t>crypto-a</w:t>
      </w:r>
      <w:r>
        <w:rPr>
          <w:b/>
          <w:spacing w:val="-6"/>
          <w:sz w:val="42"/>
        </w:rPr>
        <w:t xml:space="preserve"> </w:t>
      </w:r>
      <w:r>
        <w:rPr>
          <w:b/>
          <w:sz w:val="42"/>
        </w:rPr>
        <w:t>priori</w:t>
      </w:r>
      <w:r>
        <w:rPr>
          <w:b/>
          <w:spacing w:val="-6"/>
          <w:sz w:val="42"/>
        </w:rPr>
        <w:t xml:space="preserve"> </w:t>
      </w:r>
      <w:r>
        <w:rPr>
          <w:b/>
          <w:spacing w:val="-2"/>
          <w:sz w:val="42"/>
        </w:rPr>
        <w:t>argument</w:t>
      </w:r>
    </w:p>
    <w:p w14:paraId="7E001F5E" w14:textId="77777777" w:rsidR="009A58DB" w:rsidRDefault="00000000">
      <w:pPr>
        <w:pStyle w:val="BodyText"/>
        <w:spacing w:before="144" w:line="249" w:lineRule="auto"/>
        <w:ind w:right="367"/>
      </w:pPr>
      <w:r>
        <w:t>Hume says that we don’t observe forces. But this seems false. When you are trying</w:t>
      </w:r>
      <w:r>
        <w:rPr>
          <w:spacing w:val="-3"/>
        </w:rPr>
        <w:t xml:space="preserve"> </w:t>
      </w:r>
      <w:r>
        <w:t>to</w:t>
      </w:r>
      <w:r>
        <w:rPr>
          <w:spacing w:val="-2"/>
        </w:rPr>
        <w:t xml:space="preserve"> </w:t>
      </w:r>
      <w:r>
        <w:t>lift</w:t>
      </w:r>
      <w:r>
        <w:rPr>
          <w:spacing w:val="-3"/>
        </w:rPr>
        <w:t xml:space="preserve"> </w:t>
      </w:r>
      <w:r>
        <w:t>a</w:t>
      </w:r>
      <w:r>
        <w:rPr>
          <w:spacing w:val="-2"/>
        </w:rPr>
        <w:t xml:space="preserve"> </w:t>
      </w:r>
      <w:r>
        <w:t>heavy</w:t>
      </w:r>
      <w:r>
        <w:rPr>
          <w:spacing w:val="-3"/>
        </w:rPr>
        <w:t xml:space="preserve"> </w:t>
      </w:r>
      <w:r>
        <w:t>suitcase</w:t>
      </w:r>
      <w:r>
        <w:rPr>
          <w:spacing w:val="-2"/>
        </w:rPr>
        <w:t xml:space="preserve"> </w:t>
      </w:r>
      <w:r>
        <w:t>or</w:t>
      </w:r>
      <w:r>
        <w:rPr>
          <w:spacing w:val="-2"/>
        </w:rPr>
        <w:t xml:space="preserve"> </w:t>
      </w:r>
      <w:r>
        <w:t>trying</w:t>
      </w:r>
      <w:r>
        <w:rPr>
          <w:spacing w:val="-3"/>
        </w:rPr>
        <w:t xml:space="preserve"> </w:t>
      </w:r>
      <w:r>
        <w:t>to</w:t>
      </w:r>
      <w:r>
        <w:rPr>
          <w:spacing w:val="-2"/>
        </w:rPr>
        <w:t xml:space="preserve"> </w:t>
      </w:r>
      <w:r>
        <w:t>arm</w:t>
      </w:r>
      <w:r>
        <w:rPr>
          <w:spacing w:val="-3"/>
        </w:rPr>
        <w:t xml:space="preserve"> </w:t>
      </w:r>
      <w:r>
        <w:t>wrestle</w:t>
      </w:r>
      <w:r>
        <w:rPr>
          <w:spacing w:val="-2"/>
        </w:rPr>
        <w:t xml:space="preserve"> </w:t>
      </w:r>
      <w:r>
        <w:t>a</w:t>
      </w:r>
      <w:r>
        <w:rPr>
          <w:spacing w:val="-3"/>
        </w:rPr>
        <w:t xml:space="preserve"> </w:t>
      </w:r>
      <w:r>
        <w:t>much</w:t>
      </w:r>
      <w:r>
        <w:rPr>
          <w:spacing w:val="-2"/>
        </w:rPr>
        <w:t xml:space="preserve"> </w:t>
      </w:r>
      <w:r>
        <w:t>stronger</w:t>
      </w:r>
      <w:r>
        <w:rPr>
          <w:spacing w:val="-2"/>
        </w:rPr>
        <w:t xml:space="preserve"> </w:t>
      </w:r>
      <w:r>
        <w:t>person, you are, so it would seem, observationally aware of a force.</w:t>
      </w:r>
    </w:p>
    <w:p w14:paraId="7E001F5F" w14:textId="77777777" w:rsidR="009A58DB" w:rsidRDefault="00000000">
      <w:pPr>
        <w:pStyle w:val="BodyText"/>
        <w:spacing w:before="3" w:line="249" w:lineRule="auto"/>
        <w:ind w:right="360" w:firstLine="360"/>
      </w:pPr>
      <w:r>
        <w:t>Hume</w:t>
      </w:r>
      <w:r>
        <w:rPr>
          <w:spacing w:val="-4"/>
        </w:rPr>
        <w:t xml:space="preserve"> </w:t>
      </w:r>
      <w:r>
        <w:t>considers</w:t>
      </w:r>
      <w:r>
        <w:rPr>
          <w:spacing w:val="-4"/>
        </w:rPr>
        <w:t xml:space="preserve"> </w:t>
      </w:r>
      <w:r>
        <w:t>this</w:t>
      </w:r>
      <w:r>
        <w:rPr>
          <w:spacing w:val="-4"/>
        </w:rPr>
        <w:t xml:space="preserve"> </w:t>
      </w:r>
      <w:r>
        <w:t>very</w:t>
      </w:r>
      <w:r>
        <w:rPr>
          <w:spacing w:val="-3"/>
        </w:rPr>
        <w:t xml:space="preserve"> </w:t>
      </w:r>
      <w:r>
        <w:t>point.</w:t>
      </w:r>
      <w:r>
        <w:rPr>
          <w:spacing w:val="-3"/>
        </w:rPr>
        <w:t xml:space="preserve"> </w:t>
      </w:r>
      <w:r>
        <w:t>In</w:t>
      </w:r>
      <w:r>
        <w:rPr>
          <w:spacing w:val="-3"/>
        </w:rPr>
        <w:t xml:space="preserve"> </w:t>
      </w:r>
      <w:r>
        <w:t>response</w:t>
      </w:r>
      <w:r>
        <w:rPr>
          <w:spacing w:val="-4"/>
        </w:rPr>
        <w:t xml:space="preserve"> </w:t>
      </w:r>
      <w:r>
        <w:t>to</w:t>
      </w:r>
      <w:r>
        <w:rPr>
          <w:spacing w:val="-3"/>
        </w:rPr>
        <w:t xml:space="preserve"> </w:t>
      </w:r>
      <w:r>
        <w:t>it,</w:t>
      </w:r>
      <w:r>
        <w:rPr>
          <w:spacing w:val="-3"/>
        </w:rPr>
        <w:t xml:space="preserve"> </w:t>
      </w:r>
      <w:r>
        <w:t>he</w:t>
      </w:r>
      <w:r>
        <w:rPr>
          <w:spacing w:val="-4"/>
        </w:rPr>
        <w:t xml:space="preserve"> </w:t>
      </w:r>
      <w:r>
        <w:t>says</w:t>
      </w:r>
      <w:r>
        <w:rPr>
          <w:spacing w:val="-4"/>
        </w:rPr>
        <w:t xml:space="preserve"> </w:t>
      </w:r>
      <w:r>
        <w:t>that</w:t>
      </w:r>
      <w:r>
        <w:rPr>
          <w:spacing w:val="-4"/>
        </w:rPr>
        <w:t xml:space="preserve"> </w:t>
      </w:r>
      <w:r>
        <w:t>what</w:t>
      </w:r>
      <w:r>
        <w:rPr>
          <w:spacing w:val="-4"/>
        </w:rPr>
        <w:t xml:space="preserve"> </w:t>
      </w:r>
      <w:r>
        <w:t>you</w:t>
      </w:r>
      <w:r>
        <w:rPr>
          <w:spacing w:val="-3"/>
        </w:rPr>
        <w:t xml:space="preserve"> </w:t>
      </w:r>
      <w:r>
        <w:t>are aware of is a mere sequence of events. You have various perceptions. Some are visual—you see your opponent’s sweaty, determined face. Some are tactile—you feel your opponent’s increasingly sweaty hand. Some are kinesthetic—you feel your arm moving the wrong way. But, Hume says, you don’t perceive any force in all this—even though, because you are in the</w:t>
      </w:r>
      <w:r>
        <w:rPr>
          <w:spacing w:val="40"/>
        </w:rPr>
        <w:t xml:space="preserve"> </w:t>
      </w:r>
      <w:r>
        <w:t>grips of some wrong theories, you think you do.</w:t>
      </w:r>
    </w:p>
    <w:p w14:paraId="7E001F60" w14:textId="77777777" w:rsidR="009A58DB" w:rsidRDefault="00000000">
      <w:pPr>
        <w:pStyle w:val="BodyText"/>
        <w:spacing w:before="9" w:line="249" w:lineRule="auto"/>
        <w:ind w:right="360" w:firstLine="360"/>
      </w:pPr>
      <w:r>
        <w:t xml:space="preserve">But this seems very wrong. It’s a datum that you </w:t>
      </w:r>
      <w:r>
        <w:rPr>
          <w:i/>
        </w:rPr>
        <w:t xml:space="preserve">feel </w:t>
      </w:r>
      <w:r>
        <w:t xml:space="preserve">your arm being forced to move in a way you don’t want it to be. That doesn’t meant that this feeling is accurate. Maybe it’s an hallucination, like one’s visual perception of a pink elephant. But it’s a datum that you </w:t>
      </w:r>
      <w:r>
        <w:rPr>
          <w:i/>
        </w:rPr>
        <w:t>have</w:t>
      </w:r>
      <w:r>
        <w:rPr>
          <w:i/>
          <w:spacing w:val="-3"/>
        </w:rPr>
        <w:t xml:space="preserve"> </w:t>
      </w:r>
      <w:r>
        <w:t xml:space="preserve">such a feeling, even though it isn’t a datum that it’s accurate. Plus, this response of Hume’s is decidedly contrived. If, in describing your arm-wrestling experience, you left out the part about how you </w:t>
      </w:r>
      <w:r>
        <w:rPr>
          <w:i/>
        </w:rPr>
        <w:t>felt</w:t>
      </w:r>
      <w:r>
        <w:rPr>
          <w:i/>
          <w:spacing w:val="-3"/>
        </w:rPr>
        <w:t xml:space="preserve"> </w:t>
      </w:r>
      <w:r>
        <w:t>as though your arm was being moved the wrong way, you’d be seriously underdescribing your experience.</w:t>
      </w:r>
    </w:p>
    <w:p w14:paraId="7E001F61" w14:textId="77777777" w:rsidR="009A58DB" w:rsidRDefault="00000000">
      <w:pPr>
        <w:pStyle w:val="BodyText"/>
        <w:spacing w:before="10" w:line="249" w:lineRule="auto"/>
        <w:ind w:right="366" w:firstLine="360"/>
      </w:pPr>
      <w:r>
        <w:t>Thus,</w:t>
      </w:r>
      <w:r>
        <w:rPr>
          <w:spacing w:val="-4"/>
        </w:rPr>
        <w:t xml:space="preserve"> </w:t>
      </w:r>
      <w:r>
        <w:rPr>
          <w:i/>
        </w:rPr>
        <w:t>if</w:t>
      </w:r>
      <w:r>
        <w:rPr>
          <w:i/>
          <w:spacing w:val="-4"/>
        </w:rPr>
        <w:t xml:space="preserve"> </w:t>
      </w:r>
      <w:r>
        <w:t xml:space="preserve">the observational evidence is taken at face value, there are forces. This doesn’t mean that the observational evidence </w:t>
      </w:r>
      <w:r>
        <w:rPr>
          <w:i/>
        </w:rPr>
        <w:t xml:space="preserve">should </w:t>
      </w:r>
      <w:r>
        <w:t xml:space="preserve">be taken at face value. But it means that Hume’s denial of causality cannot, if legitimate, be based on strictly empirical grounds. And this means that his empirical argument against causation is only as good as some other, purely a priori </w:t>
      </w:r>
      <w:r>
        <w:rPr>
          <w:spacing w:val="-2"/>
        </w:rPr>
        <w:t>argument.</w:t>
      </w:r>
    </w:p>
    <w:p w14:paraId="7E001F62" w14:textId="77777777" w:rsidR="009A58DB" w:rsidRDefault="00000000">
      <w:pPr>
        <w:pStyle w:val="BodyText"/>
        <w:spacing w:before="7" w:line="249" w:lineRule="auto"/>
        <w:ind w:right="357" w:firstLine="360"/>
      </w:pPr>
      <w:r>
        <w:t xml:space="preserve">That other argument, it will be recalled, is as follows. (What follows is not a quotation.) “The very concept of a force is an incoherent one. Were they to exist, forces would just be more constituents of the physical world. They would thus be no more capable than vases and rocks and so forth of constituting the ‘cement’ of the universe. The idea of a force that </w:t>
      </w:r>
      <w:r>
        <w:rPr>
          <w:i/>
        </w:rPr>
        <w:t xml:space="preserve">wasn’t </w:t>
      </w:r>
      <w:r>
        <w:t xml:space="preserve">that sort of cement—that </w:t>
      </w:r>
      <w:r>
        <w:rPr>
          <w:i/>
        </w:rPr>
        <w:t>didn’t</w:t>
      </w:r>
      <w:r>
        <w:rPr>
          <w:i/>
          <w:spacing w:val="-4"/>
        </w:rPr>
        <w:t xml:space="preserve"> </w:t>
      </w:r>
      <w:r>
        <w:t xml:space="preserve">glue events together—is a contradiction in terms. Therefore the concept of force is an incoherent one.” We saw that vases and rocks </w:t>
      </w:r>
      <w:r>
        <w:rPr>
          <w:i/>
        </w:rPr>
        <w:t xml:space="preserve">are </w:t>
      </w:r>
      <w:r>
        <w:t>such cement. Any given physical object is a series of events any two of which are “cemented” together. Therefore, this argument of Hume’s is no good. Therefore Hume’s analysis of causality is no good.</w:t>
      </w:r>
    </w:p>
    <w:p w14:paraId="7E001F6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64" w14:textId="77777777" w:rsidR="009A58DB" w:rsidRDefault="00000000">
      <w:pPr>
        <w:pStyle w:val="Heading1"/>
        <w:numPr>
          <w:ilvl w:val="1"/>
          <w:numId w:val="81"/>
        </w:numPr>
        <w:tabs>
          <w:tab w:val="left" w:pos="1244"/>
          <w:tab w:val="left" w:pos="3003"/>
          <w:tab w:val="left" w:pos="4576"/>
          <w:tab w:val="left" w:pos="6359"/>
          <w:tab w:val="left" w:pos="7069"/>
          <w:tab w:val="left" w:pos="9155"/>
        </w:tabs>
        <w:spacing w:before="58" w:line="244" w:lineRule="auto"/>
        <w:ind w:right="363" w:firstLine="0"/>
      </w:pPr>
      <w:r>
        <w:rPr>
          <w:spacing w:val="-2"/>
        </w:rPr>
        <w:lastRenderedPageBreak/>
        <w:t>Hume’s</w:t>
      </w:r>
      <w:r>
        <w:tab/>
      </w:r>
      <w:r>
        <w:rPr>
          <w:spacing w:val="-2"/>
        </w:rPr>
        <w:t>second</w:t>
      </w:r>
      <w:r>
        <w:tab/>
      </w:r>
      <w:r>
        <w:rPr>
          <w:spacing w:val="-2"/>
        </w:rPr>
        <w:t>analysis</w:t>
      </w:r>
      <w:r>
        <w:tab/>
      </w:r>
      <w:r>
        <w:rPr>
          <w:spacing w:val="-6"/>
        </w:rPr>
        <w:t>of</w:t>
      </w:r>
      <w:r>
        <w:tab/>
      </w:r>
      <w:r>
        <w:rPr>
          <w:spacing w:val="-2"/>
        </w:rPr>
        <w:t>causality:</w:t>
      </w:r>
      <w:r>
        <w:tab/>
      </w:r>
      <w:r>
        <w:rPr>
          <w:spacing w:val="-4"/>
        </w:rPr>
        <w:t xml:space="preserve">the </w:t>
      </w:r>
      <w:r>
        <w:t>counterfactual analysis</w:t>
      </w:r>
    </w:p>
    <w:p w14:paraId="7E001F65" w14:textId="77777777" w:rsidR="009A58DB" w:rsidRDefault="00000000">
      <w:pPr>
        <w:pStyle w:val="BodyText"/>
        <w:spacing w:before="131" w:line="271" w:lineRule="auto"/>
        <w:ind w:right="365"/>
      </w:pPr>
      <w:r>
        <w:t>Hume gives two analyses of causation. We’ve just discussed the first. According to the second, for E</w:t>
      </w:r>
      <w:r>
        <w:rPr>
          <w:vertAlign w:val="subscript"/>
        </w:rPr>
        <w:t>1</w:t>
      </w:r>
      <w:r>
        <w:t xml:space="preserve"> to cause E</w:t>
      </w:r>
      <w:r>
        <w:rPr>
          <w:vertAlign w:val="subscript"/>
        </w:rPr>
        <w:t>2</w:t>
      </w:r>
      <w:r>
        <w:t xml:space="preserve"> to occur is for it to be the case that</w:t>
      </w:r>
      <w:r>
        <w:rPr>
          <w:spacing w:val="-1"/>
        </w:rPr>
        <w:t xml:space="preserve"> </w:t>
      </w:r>
      <w:r>
        <w:t>E</w:t>
      </w:r>
      <w:r>
        <w:rPr>
          <w:vertAlign w:val="subscript"/>
        </w:rPr>
        <w:t>2</w:t>
      </w:r>
      <w:r>
        <w:rPr>
          <w:spacing w:val="12"/>
        </w:rPr>
        <w:t xml:space="preserve"> </w:t>
      </w:r>
      <w:r>
        <w:t>wouldn’t</w:t>
      </w:r>
      <w:r>
        <w:rPr>
          <w:spacing w:val="12"/>
        </w:rPr>
        <w:t xml:space="preserve"> </w:t>
      </w:r>
      <w:r>
        <w:t>have</w:t>
      </w:r>
      <w:r>
        <w:rPr>
          <w:spacing w:val="12"/>
        </w:rPr>
        <w:t xml:space="preserve"> </w:t>
      </w:r>
      <w:r>
        <w:t>occurred</w:t>
      </w:r>
      <w:r>
        <w:rPr>
          <w:spacing w:val="12"/>
        </w:rPr>
        <w:t xml:space="preserve"> </w:t>
      </w:r>
      <w:r>
        <w:t>unless</w:t>
      </w:r>
      <w:r>
        <w:rPr>
          <w:spacing w:val="13"/>
        </w:rPr>
        <w:t xml:space="preserve"> </w:t>
      </w:r>
      <w:r>
        <w:t>E</w:t>
      </w:r>
      <w:r>
        <w:rPr>
          <w:vertAlign w:val="subscript"/>
        </w:rPr>
        <w:t>1</w:t>
      </w:r>
      <w:r>
        <w:rPr>
          <w:spacing w:val="16"/>
        </w:rPr>
        <w:t xml:space="preserve"> </w:t>
      </w:r>
      <w:r>
        <w:t>had</w:t>
      </w:r>
      <w:r>
        <w:rPr>
          <w:spacing w:val="16"/>
        </w:rPr>
        <w:t xml:space="preserve"> </w:t>
      </w:r>
      <w:r>
        <w:t>occurred.</w:t>
      </w:r>
      <w:r>
        <w:rPr>
          <w:spacing w:val="16"/>
        </w:rPr>
        <w:t xml:space="preserve"> </w:t>
      </w:r>
      <w:r>
        <w:t>This</w:t>
      </w:r>
      <w:r>
        <w:rPr>
          <w:spacing w:val="15"/>
        </w:rPr>
        <w:t xml:space="preserve"> </w:t>
      </w:r>
      <w:r>
        <w:t>is</w:t>
      </w:r>
      <w:r>
        <w:rPr>
          <w:spacing w:val="15"/>
        </w:rPr>
        <w:t xml:space="preserve"> </w:t>
      </w:r>
      <w:r>
        <w:t>known</w:t>
      </w:r>
      <w:r>
        <w:rPr>
          <w:spacing w:val="16"/>
        </w:rPr>
        <w:t xml:space="preserve"> </w:t>
      </w:r>
      <w:r>
        <w:t>as</w:t>
      </w:r>
      <w:r>
        <w:rPr>
          <w:spacing w:val="15"/>
        </w:rPr>
        <w:t xml:space="preserve"> </w:t>
      </w:r>
      <w:r>
        <w:rPr>
          <w:spacing w:val="-5"/>
        </w:rPr>
        <w:t>the</w:t>
      </w:r>
    </w:p>
    <w:p w14:paraId="7E001F66" w14:textId="77777777" w:rsidR="009A58DB" w:rsidRDefault="00000000">
      <w:pPr>
        <w:pStyle w:val="Heading6"/>
        <w:spacing w:before="31"/>
        <w:rPr>
          <w:b w:val="0"/>
          <w:i w:val="0"/>
        </w:rPr>
      </w:pPr>
      <w:r>
        <w:t>counterfactual</w:t>
      </w:r>
      <w:r>
        <w:rPr>
          <w:spacing w:val="-7"/>
        </w:rPr>
        <w:t xml:space="preserve"> </w:t>
      </w:r>
      <w:r>
        <w:t>analysis</w:t>
      </w:r>
      <w:r>
        <w:rPr>
          <w:spacing w:val="-6"/>
        </w:rPr>
        <w:t xml:space="preserve"> </w:t>
      </w:r>
      <w:r>
        <w:t>of</w:t>
      </w:r>
      <w:r>
        <w:rPr>
          <w:spacing w:val="-6"/>
        </w:rPr>
        <w:t xml:space="preserve"> </w:t>
      </w:r>
      <w:r>
        <w:t>causality</w:t>
      </w:r>
      <w:r>
        <w:rPr>
          <w:spacing w:val="-6"/>
        </w:rPr>
        <w:t xml:space="preserve"> </w:t>
      </w:r>
      <w:r>
        <w:rPr>
          <w:b w:val="0"/>
          <w:i w:val="0"/>
          <w:spacing w:val="-2"/>
        </w:rPr>
        <w:t>(CF).</w:t>
      </w:r>
    </w:p>
    <w:p w14:paraId="7E001F67" w14:textId="77777777" w:rsidR="009A58DB" w:rsidRDefault="00000000">
      <w:pPr>
        <w:pStyle w:val="BodyText"/>
        <w:spacing w:before="45" w:line="249" w:lineRule="auto"/>
        <w:ind w:right="363" w:firstLine="360"/>
      </w:pPr>
      <w:r>
        <w:t>The motivation for CF is clear. The elevator comes because somebody pushed the button. If the button hadn’t been pushed, the elevator wouldn’t have come. The gun went off because somebody pulled the trigger. If the trigger hadn’t been pulled, the gun wouldn’t have gone off. No cause, no effect. Thus, ‹E</w:t>
      </w:r>
      <w:r>
        <w:rPr>
          <w:position w:val="-7"/>
          <w:sz w:val="22"/>
        </w:rPr>
        <w:t>1</w:t>
      </w:r>
      <w:r>
        <w:rPr>
          <w:spacing w:val="40"/>
          <w:position w:val="-7"/>
          <w:sz w:val="22"/>
        </w:rPr>
        <w:t xml:space="preserve"> </w:t>
      </w:r>
      <w:r>
        <w:t>caused E</w:t>
      </w:r>
      <w:r>
        <w:rPr>
          <w:position w:val="-7"/>
          <w:sz w:val="22"/>
        </w:rPr>
        <w:t>2</w:t>
      </w:r>
      <w:r>
        <w:rPr>
          <w:spacing w:val="40"/>
          <w:position w:val="-7"/>
          <w:sz w:val="22"/>
        </w:rPr>
        <w:t xml:space="preserve"> </w:t>
      </w:r>
      <w:r>
        <w:t>to occur› seems to be equivalent with if ‹E</w:t>
      </w:r>
      <w:r>
        <w:rPr>
          <w:position w:val="-7"/>
          <w:sz w:val="22"/>
        </w:rPr>
        <w:t>1</w:t>
      </w:r>
      <w:r>
        <w:rPr>
          <w:spacing w:val="40"/>
          <w:position w:val="-7"/>
          <w:sz w:val="22"/>
        </w:rPr>
        <w:t xml:space="preserve"> </w:t>
      </w:r>
      <w:r>
        <w:t>hadn’t happened, E</w:t>
      </w:r>
      <w:r>
        <w:rPr>
          <w:vertAlign w:val="subscript"/>
        </w:rPr>
        <w:t>2</w:t>
      </w:r>
      <w:r>
        <w:t xml:space="preserve"> wouldn’t have happened.›</w:t>
      </w:r>
    </w:p>
    <w:p w14:paraId="7E001F68" w14:textId="77777777" w:rsidR="009A58DB" w:rsidRDefault="00000000">
      <w:pPr>
        <w:pStyle w:val="BodyText"/>
        <w:spacing w:before="65"/>
        <w:ind w:left="720"/>
      </w:pPr>
      <w:r>
        <w:t>CF</w:t>
      </w:r>
      <w:r>
        <w:rPr>
          <w:spacing w:val="-6"/>
        </w:rPr>
        <w:t xml:space="preserve"> </w:t>
      </w:r>
      <w:r>
        <w:t>must</w:t>
      </w:r>
      <w:r>
        <w:rPr>
          <w:spacing w:val="-4"/>
        </w:rPr>
        <w:t xml:space="preserve"> </w:t>
      </w:r>
      <w:r>
        <w:t>be</w:t>
      </w:r>
      <w:r>
        <w:rPr>
          <w:spacing w:val="-4"/>
        </w:rPr>
        <w:t xml:space="preserve"> </w:t>
      </w:r>
      <w:r>
        <w:t>distinguished</w:t>
      </w:r>
      <w:r>
        <w:rPr>
          <w:spacing w:val="-2"/>
        </w:rPr>
        <w:t xml:space="preserve"> </w:t>
      </w:r>
      <w:r>
        <w:t>from</w:t>
      </w:r>
      <w:r>
        <w:rPr>
          <w:spacing w:val="-4"/>
        </w:rPr>
        <w:t xml:space="preserve"> </w:t>
      </w:r>
      <w:r>
        <w:t>the</w:t>
      </w:r>
      <w:r>
        <w:rPr>
          <w:spacing w:val="-4"/>
        </w:rPr>
        <w:t xml:space="preserve"> </w:t>
      </w:r>
      <w:r>
        <w:t>related,</w:t>
      </w:r>
      <w:r>
        <w:rPr>
          <w:spacing w:val="-2"/>
        </w:rPr>
        <w:t xml:space="preserve"> </w:t>
      </w:r>
      <w:r>
        <w:t>but</w:t>
      </w:r>
      <w:r>
        <w:rPr>
          <w:spacing w:val="-4"/>
        </w:rPr>
        <w:t xml:space="preserve"> </w:t>
      </w:r>
      <w:r>
        <w:t>weaker</w:t>
      </w:r>
      <w:r>
        <w:rPr>
          <w:spacing w:val="-4"/>
        </w:rPr>
        <w:t xml:space="preserve"> </w:t>
      </w:r>
      <w:r>
        <w:t>claim</w:t>
      </w:r>
      <w:r>
        <w:rPr>
          <w:spacing w:val="-3"/>
        </w:rPr>
        <w:t xml:space="preserve"> </w:t>
      </w:r>
      <w:r>
        <w:rPr>
          <w:spacing w:val="-2"/>
        </w:rPr>
        <w:t>that:</w:t>
      </w:r>
    </w:p>
    <w:p w14:paraId="7E001F69" w14:textId="77777777" w:rsidR="009A58DB" w:rsidRDefault="00000000">
      <w:pPr>
        <w:pStyle w:val="BodyText"/>
        <w:spacing w:before="120" w:line="249" w:lineRule="auto"/>
        <w:ind w:right="359"/>
      </w:pPr>
      <w:r>
        <w:t>(CF*) Given any two events E</w:t>
      </w:r>
      <w:r>
        <w:rPr>
          <w:position w:val="-7"/>
          <w:sz w:val="22"/>
        </w:rPr>
        <w:t>1</w:t>
      </w:r>
      <w:r>
        <w:rPr>
          <w:spacing w:val="33"/>
          <w:position w:val="-7"/>
          <w:sz w:val="22"/>
        </w:rPr>
        <w:t xml:space="preserve"> </w:t>
      </w:r>
      <w:r>
        <w:t>and E</w:t>
      </w:r>
      <w:r>
        <w:rPr>
          <w:position w:val="-7"/>
          <w:sz w:val="22"/>
        </w:rPr>
        <w:t>2</w:t>
      </w:r>
      <w:r>
        <w:t>, such that E</w:t>
      </w:r>
      <w:r>
        <w:rPr>
          <w:position w:val="-7"/>
          <w:sz w:val="22"/>
        </w:rPr>
        <w:t>1</w:t>
      </w:r>
      <w:r>
        <w:rPr>
          <w:spacing w:val="40"/>
          <w:position w:val="-7"/>
          <w:sz w:val="22"/>
        </w:rPr>
        <w:t xml:space="preserve"> </w:t>
      </w:r>
      <w:r>
        <w:t>precedes E</w:t>
      </w:r>
      <w:r>
        <w:rPr>
          <w:position w:val="-7"/>
          <w:sz w:val="22"/>
        </w:rPr>
        <w:t>2</w:t>
      </w:r>
      <w:r>
        <w:t>, E</w:t>
      </w:r>
      <w:r>
        <w:rPr>
          <w:position w:val="-7"/>
          <w:sz w:val="22"/>
        </w:rPr>
        <w:t>1</w:t>
      </w:r>
      <w:r>
        <w:rPr>
          <w:spacing w:val="40"/>
          <w:position w:val="-7"/>
          <w:sz w:val="22"/>
        </w:rPr>
        <w:t xml:space="preserve"> </w:t>
      </w:r>
      <w:r>
        <w:t>caused E</w:t>
      </w:r>
      <w:r>
        <w:rPr>
          <w:vertAlign w:val="subscript"/>
        </w:rPr>
        <w:t>2</w:t>
      </w:r>
      <w:r>
        <w:t xml:space="preserve"> to occur just in case E</w:t>
      </w:r>
      <w:r>
        <w:rPr>
          <w:vertAlign w:val="subscript"/>
        </w:rPr>
        <w:t>2</w:t>
      </w:r>
      <w:r>
        <w:t xml:space="preserve"> wouldn’t have occurred unless E</w:t>
      </w:r>
      <w:r>
        <w:rPr>
          <w:vertAlign w:val="subscript"/>
        </w:rPr>
        <w:t>1</w:t>
      </w:r>
      <w:r>
        <w:t xml:space="preserve"> had occurred.</w:t>
      </w:r>
    </w:p>
    <w:p w14:paraId="7E001F6A" w14:textId="77777777" w:rsidR="009A58DB" w:rsidRDefault="00000000">
      <w:pPr>
        <w:pStyle w:val="BodyText"/>
        <w:spacing w:before="164" w:line="249" w:lineRule="auto"/>
        <w:ind w:right="358" w:firstLine="360"/>
      </w:pPr>
      <w:r>
        <w:t xml:space="preserve">What is the difference between CF and CF*? For argument’s sake, let’s suppose that, given any mathematical truth T, Smith knows T, and that given any </w:t>
      </w:r>
      <w:r>
        <w:rPr>
          <w:i/>
        </w:rPr>
        <w:t>non</w:t>
      </w:r>
      <w:r>
        <w:t xml:space="preserve">-mathematical truth T*, Smith does </w:t>
      </w:r>
      <w:r>
        <w:rPr>
          <w:i/>
        </w:rPr>
        <w:t xml:space="preserve">not </w:t>
      </w:r>
      <w:r>
        <w:t>know T*. In that case,</w:t>
      </w:r>
    </w:p>
    <w:p w14:paraId="7E001F6B" w14:textId="77777777" w:rsidR="009A58DB" w:rsidRDefault="00000000">
      <w:pPr>
        <w:pStyle w:val="BodyText"/>
        <w:spacing w:before="94" w:line="324" w:lineRule="auto"/>
        <w:ind w:right="3292"/>
        <w:jc w:val="left"/>
      </w:pPr>
      <w:r>
        <w:t>(SM*)</w:t>
      </w:r>
      <w:r>
        <w:rPr>
          <w:spacing w:val="-5"/>
        </w:rPr>
        <w:t xml:space="preserve"> </w:t>
      </w:r>
      <w:r>
        <w:t>T</w:t>
      </w:r>
      <w:r>
        <w:rPr>
          <w:spacing w:val="-5"/>
        </w:rPr>
        <w:t xml:space="preserve"> </w:t>
      </w:r>
      <w:r>
        <w:t>is</w:t>
      </w:r>
      <w:r>
        <w:rPr>
          <w:spacing w:val="-5"/>
        </w:rPr>
        <w:t xml:space="preserve"> </w:t>
      </w:r>
      <w:r>
        <w:t>a</w:t>
      </w:r>
      <w:r>
        <w:rPr>
          <w:spacing w:val="-5"/>
        </w:rPr>
        <w:t xml:space="preserve"> </w:t>
      </w:r>
      <w:r>
        <w:t>mathematical</w:t>
      </w:r>
      <w:r>
        <w:rPr>
          <w:spacing w:val="-5"/>
        </w:rPr>
        <w:t xml:space="preserve"> </w:t>
      </w:r>
      <w:r>
        <w:t>truth</w:t>
      </w:r>
      <w:r>
        <w:rPr>
          <w:spacing w:val="-4"/>
        </w:rPr>
        <w:t xml:space="preserve"> </w:t>
      </w:r>
      <w:r>
        <w:t>iff</w:t>
      </w:r>
      <w:r>
        <w:rPr>
          <w:spacing w:val="-5"/>
        </w:rPr>
        <w:t xml:space="preserve"> </w:t>
      </w:r>
      <w:r>
        <w:t>Smith</w:t>
      </w:r>
      <w:r>
        <w:rPr>
          <w:spacing w:val="-4"/>
        </w:rPr>
        <w:t xml:space="preserve"> </w:t>
      </w:r>
      <w:r>
        <w:t>knows</w:t>
      </w:r>
      <w:r>
        <w:rPr>
          <w:spacing w:val="-5"/>
        </w:rPr>
        <w:t xml:space="preserve"> </w:t>
      </w:r>
      <w:r>
        <w:t xml:space="preserve">T. But it </w:t>
      </w:r>
      <w:r>
        <w:rPr>
          <w:i/>
        </w:rPr>
        <w:t xml:space="preserve">isn’t </w:t>
      </w:r>
      <w:r>
        <w:t>true that:</w:t>
      </w:r>
    </w:p>
    <w:p w14:paraId="7E001F6C" w14:textId="77777777" w:rsidR="009A58DB" w:rsidRDefault="00000000">
      <w:pPr>
        <w:pStyle w:val="BodyText"/>
        <w:spacing w:line="344" w:lineRule="exact"/>
        <w:jc w:val="left"/>
      </w:pPr>
      <w:r>
        <w:t>(SM)</w:t>
      </w:r>
      <w:r>
        <w:rPr>
          <w:spacing w:val="-3"/>
        </w:rPr>
        <w:t xml:space="preserve"> </w:t>
      </w:r>
      <w:r>
        <w:rPr>
          <w:i/>
        </w:rPr>
        <w:t>For</w:t>
      </w:r>
      <w:r>
        <w:rPr>
          <w:i/>
          <w:spacing w:val="-2"/>
        </w:rPr>
        <w:t xml:space="preserve"> </w:t>
      </w:r>
      <w:r>
        <w:t>T</w:t>
      </w:r>
      <w:r>
        <w:rPr>
          <w:spacing w:val="-3"/>
        </w:rPr>
        <w:t xml:space="preserve"> </w:t>
      </w:r>
      <w:r>
        <w:t>to</w:t>
      </w:r>
      <w:r>
        <w:rPr>
          <w:spacing w:val="-2"/>
        </w:rPr>
        <w:t xml:space="preserve"> </w:t>
      </w:r>
      <w:r>
        <w:t>be</w:t>
      </w:r>
      <w:r>
        <w:rPr>
          <w:spacing w:val="-3"/>
        </w:rPr>
        <w:t xml:space="preserve"> </w:t>
      </w:r>
      <w:r>
        <w:t>a</w:t>
      </w:r>
      <w:r>
        <w:rPr>
          <w:spacing w:val="-3"/>
        </w:rPr>
        <w:t xml:space="preserve"> </w:t>
      </w:r>
      <w:r>
        <w:t>mathematical</w:t>
      </w:r>
      <w:r>
        <w:rPr>
          <w:spacing w:val="-3"/>
        </w:rPr>
        <w:t xml:space="preserve"> </w:t>
      </w:r>
      <w:r>
        <w:t>truth</w:t>
      </w:r>
      <w:r>
        <w:rPr>
          <w:spacing w:val="-2"/>
        </w:rPr>
        <w:t xml:space="preserve"> </w:t>
      </w:r>
      <w:r>
        <w:t>is</w:t>
      </w:r>
      <w:r>
        <w:rPr>
          <w:spacing w:val="-3"/>
        </w:rPr>
        <w:t xml:space="preserve"> </w:t>
      </w:r>
      <w:r>
        <w:t>for</w:t>
      </w:r>
      <w:r>
        <w:rPr>
          <w:spacing w:val="-3"/>
        </w:rPr>
        <w:t xml:space="preserve"> </w:t>
      </w:r>
      <w:r>
        <w:t>Smith</w:t>
      </w:r>
      <w:r>
        <w:rPr>
          <w:spacing w:val="-2"/>
        </w:rPr>
        <w:t xml:space="preserve"> </w:t>
      </w:r>
      <w:r>
        <w:t>to</w:t>
      </w:r>
      <w:r>
        <w:rPr>
          <w:spacing w:val="-2"/>
        </w:rPr>
        <w:t xml:space="preserve"> </w:t>
      </w:r>
      <w:r>
        <w:t>know</w:t>
      </w:r>
      <w:r>
        <w:rPr>
          <w:spacing w:val="-2"/>
        </w:rPr>
        <w:t xml:space="preserve"> </w:t>
      </w:r>
      <w:r>
        <w:rPr>
          <w:spacing w:val="-5"/>
        </w:rPr>
        <w:t>T.</w:t>
      </w:r>
    </w:p>
    <w:p w14:paraId="7E001F6D" w14:textId="77777777" w:rsidR="009A58DB" w:rsidRDefault="00000000">
      <w:pPr>
        <w:pStyle w:val="BodyText"/>
        <w:spacing w:before="105" w:line="249" w:lineRule="auto"/>
        <w:ind w:right="365"/>
        <w:jc w:val="left"/>
      </w:pPr>
      <w:r>
        <w:t>Similarly, given only that CF* is true, it doesn’t follow that CF is true. But if CF is true, it does follow that CF* is true.</w:t>
      </w:r>
    </w:p>
    <w:p w14:paraId="7E001F6E" w14:textId="77777777" w:rsidR="009A58DB" w:rsidRDefault="00000000">
      <w:pPr>
        <w:pStyle w:val="BodyText"/>
        <w:spacing w:before="3" w:line="249" w:lineRule="auto"/>
        <w:ind w:right="359" w:firstLine="360"/>
      </w:pPr>
      <w:r>
        <w:t xml:space="preserve">CF and CF*, though different statements, are </w:t>
      </w:r>
      <w:r>
        <w:rPr>
          <w:i/>
        </w:rPr>
        <w:t xml:space="preserve">extensionally </w:t>
      </w:r>
      <w:r>
        <w:t xml:space="preserve">equivalent. In other words, given any two events x and y, if CF entails that x caused y, so does CF*, and </w:t>
      </w:r>
      <w:r>
        <w:rPr>
          <w:i/>
        </w:rPr>
        <w:t xml:space="preserve">vice versa. </w:t>
      </w:r>
      <w:r>
        <w:t>If CF is to be correct, it must be extensionally correct—that is, it must entail that x caused y just in case x did cause y.</w:t>
      </w:r>
      <w:r>
        <w:rPr>
          <w:spacing w:val="40"/>
        </w:rPr>
        <w:t xml:space="preserve"> </w:t>
      </w:r>
      <w:r>
        <w:t>Given that CF and CF* are extensionally equivalent, the one is extensionally correct iff the other is as well.</w:t>
      </w:r>
    </w:p>
    <w:p w14:paraId="7E001F6F" w14:textId="77777777" w:rsidR="009A58DB" w:rsidRDefault="00000000">
      <w:pPr>
        <w:pStyle w:val="Heading1"/>
        <w:numPr>
          <w:ilvl w:val="1"/>
          <w:numId w:val="81"/>
        </w:numPr>
        <w:tabs>
          <w:tab w:val="left" w:pos="1093"/>
        </w:tabs>
        <w:spacing w:before="210"/>
        <w:ind w:left="1093" w:hanging="733"/>
      </w:pPr>
      <w:r>
        <w:t>Why,</w:t>
      </w:r>
      <w:r>
        <w:rPr>
          <w:spacing w:val="47"/>
          <w:w w:val="150"/>
        </w:rPr>
        <w:t xml:space="preserve"> </w:t>
      </w:r>
      <w:r>
        <w:t>even</w:t>
      </w:r>
      <w:r>
        <w:rPr>
          <w:spacing w:val="46"/>
          <w:w w:val="150"/>
        </w:rPr>
        <w:t xml:space="preserve"> </w:t>
      </w:r>
      <w:r>
        <w:t>if</w:t>
      </w:r>
      <w:r>
        <w:rPr>
          <w:spacing w:val="46"/>
          <w:w w:val="150"/>
        </w:rPr>
        <w:t xml:space="preserve"> </w:t>
      </w:r>
      <w:r>
        <w:t>it’s</w:t>
      </w:r>
      <w:r>
        <w:rPr>
          <w:spacing w:val="47"/>
          <w:w w:val="150"/>
        </w:rPr>
        <w:t xml:space="preserve"> </w:t>
      </w:r>
      <w:r>
        <w:t>extensionally</w:t>
      </w:r>
      <w:r>
        <w:rPr>
          <w:spacing w:val="48"/>
          <w:w w:val="150"/>
        </w:rPr>
        <w:t xml:space="preserve"> </w:t>
      </w:r>
      <w:r>
        <w:t>correct,</w:t>
      </w:r>
      <w:r>
        <w:rPr>
          <w:spacing w:val="47"/>
          <w:w w:val="150"/>
        </w:rPr>
        <w:t xml:space="preserve"> </w:t>
      </w:r>
      <w:r>
        <w:t>CF</w:t>
      </w:r>
      <w:r>
        <w:rPr>
          <w:spacing w:val="46"/>
          <w:w w:val="150"/>
        </w:rPr>
        <w:t xml:space="preserve"> </w:t>
      </w:r>
      <w:r>
        <w:rPr>
          <w:spacing w:val="-5"/>
        </w:rPr>
        <w:t>is</w:t>
      </w:r>
    </w:p>
    <w:p w14:paraId="7E001F70" w14:textId="77777777" w:rsidR="009A58DB" w:rsidRDefault="009A58DB">
      <w:pPr>
        <w:pStyle w:val="Heading1"/>
        <w:sectPr w:rsidR="009A58DB">
          <w:pgSz w:w="12240" w:h="15840"/>
          <w:pgMar w:top="1380" w:right="1080" w:bottom="280" w:left="1080" w:header="720" w:footer="720" w:gutter="0"/>
          <w:cols w:space="720"/>
        </w:sectPr>
      </w:pPr>
    </w:p>
    <w:p w14:paraId="7E001F71" w14:textId="77777777" w:rsidR="009A58DB" w:rsidRDefault="00000000">
      <w:pPr>
        <w:spacing w:before="64"/>
        <w:ind w:left="360"/>
        <w:rPr>
          <w:b/>
          <w:sz w:val="42"/>
        </w:rPr>
      </w:pPr>
      <w:r>
        <w:rPr>
          <w:b/>
          <w:spacing w:val="-2"/>
          <w:sz w:val="42"/>
        </w:rPr>
        <w:lastRenderedPageBreak/>
        <w:t>false</w:t>
      </w:r>
    </w:p>
    <w:p w14:paraId="7E001F72" w14:textId="77777777" w:rsidR="009A58DB" w:rsidRDefault="00000000">
      <w:pPr>
        <w:pStyle w:val="BodyText"/>
        <w:spacing w:before="133" w:line="249" w:lineRule="auto"/>
        <w:ind w:right="364"/>
        <w:jc w:val="left"/>
      </w:pPr>
      <w:r>
        <w:t>Jones</w:t>
      </w:r>
      <w:r>
        <w:rPr>
          <w:spacing w:val="-1"/>
        </w:rPr>
        <w:t xml:space="preserve"> </w:t>
      </w:r>
      <w:r>
        <w:t>drinks poison and dies</w:t>
      </w:r>
      <w:r>
        <w:rPr>
          <w:spacing w:val="-1"/>
        </w:rPr>
        <w:t xml:space="preserve"> </w:t>
      </w:r>
      <w:r>
        <w:t>(at</w:t>
      </w:r>
      <w:r>
        <w:rPr>
          <w:spacing w:val="-1"/>
        </w:rPr>
        <w:t xml:space="preserve"> </w:t>
      </w:r>
      <w:r>
        <w:t>time t)</w:t>
      </w:r>
      <w:r>
        <w:rPr>
          <w:spacing w:val="-1"/>
        </w:rPr>
        <w:t xml:space="preserve"> </w:t>
      </w:r>
      <w:r>
        <w:t>as a result.</w:t>
      </w:r>
      <w:r>
        <w:rPr>
          <w:spacing w:val="-1"/>
        </w:rPr>
        <w:t xml:space="preserve"> </w:t>
      </w:r>
      <w:r>
        <w:t>(From</w:t>
      </w:r>
      <w:r>
        <w:rPr>
          <w:spacing w:val="-1"/>
        </w:rPr>
        <w:t xml:space="preserve"> </w:t>
      </w:r>
      <w:r>
        <w:t>now</w:t>
      </w:r>
      <w:r>
        <w:rPr>
          <w:spacing w:val="-1"/>
        </w:rPr>
        <w:t xml:space="preserve"> </w:t>
      </w:r>
      <w:r>
        <w:t>on, we’ll</w:t>
      </w:r>
      <w:r>
        <w:rPr>
          <w:spacing w:val="-1"/>
        </w:rPr>
        <w:t xml:space="preserve"> </w:t>
      </w:r>
      <w:r>
        <w:t>leave the “at t” implicit.) It may well be true that:</w:t>
      </w:r>
    </w:p>
    <w:p w14:paraId="7E001F73" w14:textId="77777777" w:rsidR="009A58DB" w:rsidRDefault="00000000">
      <w:pPr>
        <w:pStyle w:val="BodyText"/>
        <w:spacing w:before="107" w:line="312" w:lineRule="auto"/>
        <w:ind w:right="2634"/>
        <w:jc w:val="left"/>
      </w:pPr>
      <w:r>
        <w:t>(SB)</w:t>
      </w:r>
      <w:r>
        <w:rPr>
          <w:spacing w:val="-5"/>
        </w:rPr>
        <w:t xml:space="preserve"> </w:t>
      </w:r>
      <w:r>
        <w:t>Jones</w:t>
      </w:r>
      <w:r>
        <w:rPr>
          <w:spacing w:val="-5"/>
        </w:rPr>
        <w:t xml:space="preserve"> </w:t>
      </w:r>
      <w:r>
        <w:t>wouldn’t</w:t>
      </w:r>
      <w:r>
        <w:rPr>
          <w:spacing w:val="-5"/>
        </w:rPr>
        <w:t xml:space="preserve"> </w:t>
      </w:r>
      <w:r>
        <w:t>have</w:t>
      </w:r>
      <w:r>
        <w:rPr>
          <w:spacing w:val="-5"/>
        </w:rPr>
        <w:t xml:space="preserve"> </w:t>
      </w:r>
      <w:r>
        <w:t>died</w:t>
      </w:r>
      <w:r>
        <w:rPr>
          <w:spacing w:val="-4"/>
        </w:rPr>
        <w:t xml:space="preserve"> </w:t>
      </w:r>
      <w:r>
        <w:t>if</w:t>
      </w:r>
      <w:r>
        <w:rPr>
          <w:spacing w:val="-5"/>
        </w:rPr>
        <w:t xml:space="preserve"> </w:t>
      </w:r>
      <w:r>
        <w:t>he</w:t>
      </w:r>
      <w:r>
        <w:rPr>
          <w:spacing w:val="-5"/>
        </w:rPr>
        <w:t xml:space="preserve"> </w:t>
      </w:r>
      <w:r>
        <w:t>hadn’t</w:t>
      </w:r>
      <w:r>
        <w:rPr>
          <w:spacing w:val="-5"/>
        </w:rPr>
        <w:t xml:space="preserve"> </w:t>
      </w:r>
      <w:r>
        <w:t>drunk</w:t>
      </w:r>
      <w:r>
        <w:rPr>
          <w:spacing w:val="-4"/>
        </w:rPr>
        <w:t xml:space="preserve"> </w:t>
      </w:r>
      <w:r>
        <w:t>poison. SB obviously entails:</w:t>
      </w:r>
    </w:p>
    <w:p w14:paraId="7E001F74" w14:textId="77777777" w:rsidR="009A58DB" w:rsidRDefault="00000000">
      <w:pPr>
        <w:pStyle w:val="BodyText"/>
        <w:spacing w:before="18"/>
        <w:jc w:val="left"/>
      </w:pPr>
      <w:r>
        <w:t>(WB)</w:t>
      </w:r>
      <w:r>
        <w:rPr>
          <w:spacing w:val="-4"/>
        </w:rPr>
        <w:t xml:space="preserve"> </w:t>
      </w:r>
      <w:r>
        <w:t>In</w:t>
      </w:r>
      <w:r>
        <w:rPr>
          <w:spacing w:val="-2"/>
        </w:rPr>
        <w:t xml:space="preserve"> </w:t>
      </w:r>
      <w:r>
        <w:t>W,</w:t>
      </w:r>
      <w:r>
        <w:rPr>
          <w:spacing w:val="-2"/>
        </w:rPr>
        <w:t xml:space="preserve"> </w:t>
      </w:r>
      <w:r>
        <w:t>Smith</w:t>
      </w:r>
      <w:r>
        <w:rPr>
          <w:spacing w:val="-2"/>
        </w:rPr>
        <w:t xml:space="preserve"> </w:t>
      </w:r>
      <w:r>
        <w:t>didn’t</w:t>
      </w:r>
      <w:r>
        <w:rPr>
          <w:spacing w:val="-3"/>
        </w:rPr>
        <w:t xml:space="preserve"> </w:t>
      </w:r>
      <w:r>
        <w:rPr>
          <w:spacing w:val="-4"/>
        </w:rPr>
        <w:t>die,</w:t>
      </w:r>
    </w:p>
    <w:p w14:paraId="7E001F75" w14:textId="77777777" w:rsidR="009A58DB" w:rsidRDefault="00000000">
      <w:pPr>
        <w:pStyle w:val="BodyText"/>
        <w:spacing w:before="120" w:line="249" w:lineRule="auto"/>
        <w:ind w:right="360"/>
      </w:pPr>
      <w:r>
        <w:t>where W is any possible world in which Smith didn’t drink the poison but is otherwise just like ours (or, in any case, is as much like ours as Smith’s not drinking poison allows it to be).</w:t>
      </w:r>
    </w:p>
    <w:p w14:paraId="7E001F76" w14:textId="77777777" w:rsidR="009A58DB" w:rsidRDefault="00000000">
      <w:pPr>
        <w:pStyle w:val="BodyText"/>
        <w:spacing w:before="4" w:line="249" w:lineRule="auto"/>
        <w:ind w:right="358" w:firstLine="360"/>
      </w:pPr>
      <w:r>
        <w:rPr>
          <w:spacing w:val="-4"/>
        </w:rPr>
        <w:t>Question:</w:t>
      </w:r>
      <w:r>
        <w:rPr>
          <w:spacing w:val="-15"/>
        </w:rPr>
        <w:t xml:space="preserve"> </w:t>
      </w:r>
      <w:r>
        <w:rPr>
          <w:spacing w:val="-4"/>
        </w:rPr>
        <w:t>Why</w:t>
      </w:r>
      <w:r>
        <w:rPr>
          <w:spacing w:val="-15"/>
        </w:rPr>
        <w:t xml:space="preserve"> </w:t>
      </w:r>
      <w:r>
        <w:rPr>
          <w:spacing w:val="-4"/>
        </w:rPr>
        <w:t>doesn’t</w:t>
      </w:r>
      <w:r>
        <w:rPr>
          <w:spacing w:val="-10"/>
        </w:rPr>
        <w:t xml:space="preserve"> </w:t>
      </w:r>
      <w:r>
        <w:rPr>
          <w:spacing w:val="-4"/>
        </w:rPr>
        <w:t>Smith</w:t>
      </w:r>
      <w:r>
        <w:rPr>
          <w:spacing w:val="-9"/>
        </w:rPr>
        <w:t xml:space="preserve"> </w:t>
      </w:r>
      <w:r>
        <w:rPr>
          <w:spacing w:val="-4"/>
        </w:rPr>
        <w:t>die</w:t>
      </w:r>
      <w:r>
        <w:rPr>
          <w:spacing w:val="-9"/>
        </w:rPr>
        <w:t xml:space="preserve"> </w:t>
      </w:r>
      <w:r>
        <w:rPr>
          <w:spacing w:val="-4"/>
        </w:rPr>
        <w:t>in</w:t>
      </w:r>
      <w:r>
        <w:rPr>
          <w:spacing w:val="-14"/>
        </w:rPr>
        <w:t xml:space="preserve"> </w:t>
      </w:r>
      <w:r>
        <w:rPr>
          <w:spacing w:val="-4"/>
        </w:rPr>
        <w:t>W?</w:t>
      </w:r>
      <w:r>
        <w:rPr>
          <w:spacing w:val="-15"/>
        </w:rPr>
        <w:t xml:space="preserve"> </w:t>
      </w:r>
      <w:r>
        <w:rPr>
          <w:spacing w:val="-4"/>
        </w:rPr>
        <w:t>Answer:</w:t>
      </w:r>
      <w:r>
        <w:rPr>
          <w:spacing w:val="-8"/>
        </w:rPr>
        <w:t xml:space="preserve"> </w:t>
      </w:r>
      <w:r>
        <w:rPr>
          <w:spacing w:val="-4"/>
        </w:rPr>
        <w:t>because</w:t>
      </w:r>
      <w:r>
        <w:rPr>
          <w:spacing w:val="-9"/>
        </w:rPr>
        <w:t xml:space="preserve"> </w:t>
      </w:r>
      <w:r>
        <w:rPr>
          <w:spacing w:val="-4"/>
        </w:rPr>
        <w:t>nothing</w:t>
      </w:r>
      <w:r>
        <w:rPr>
          <w:spacing w:val="-9"/>
        </w:rPr>
        <w:t xml:space="preserve"> </w:t>
      </w:r>
      <w:r>
        <w:rPr>
          <w:spacing w:val="-4"/>
        </w:rPr>
        <w:t>causes</w:t>
      </w:r>
      <w:r>
        <w:rPr>
          <w:spacing w:val="-9"/>
        </w:rPr>
        <w:t xml:space="preserve"> </w:t>
      </w:r>
      <w:r>
        <w:rPr>
          <w:spacing w:val="-4"/>
        </w:rPr>
        <w:t xml:space="preserve">him </w:t>
      </w:r>
      <w:r>
        <w:t>to.</w:t>
      </w:r>
      <w:r>
        <w:rPr>
          <w:spacing w:val="-2"/>
        </w:rPr>
        <w:t xml:space="preserve"> </w:t>
      </w:r>
      <w:r>
        <w:t>No</w:t>
      </w:r>
      <w:r>
        <w:rPr>
          <w:spacing w:val="-2"/>
        </w:rPr>
        <w:t xml:space="preserve"> </w:t>
      </w:r>
      <w:r>
        <w:t>cause,</w:t>
      </w:r>
      <w:r>
        <w:rPr>
          <w:spacing w:val="-2"/>
        </w:rPr>
        <w:t xml:space="preserve"> </w:t>
      </w:r>
      <w:r>
        <w:t>no</w:t>
      </w:r>
      <w:r>
        <w:rPr>
          <w:spacing w:val="-2"/>
        </w:rPr>
        <w:t xml:space="preserve"> </w:t>
      </w:r>
      <w:r>
        <w:t>effect.</w:t>
      </w:r>
      <w:r>
        <w:rPr>
          <w:spacing w:val="-2"/>
        </w:rPr>
        <w:t xml:space="preserve"> </w:t>
      </w:r>
      <w:r>
        <w:t>In</w:t>
      </w:r>
      <w:r>
        <w:rPr>
          <w:spacing w:val="-2"/>
        </w:rPr>
        <w:t xml:space="preserve"> </w:t>
      </w:r>
      <w:r>
        <w:t>our</w:t>
      </w:r>
      <w:r>
        <w:rPr>
          <w:spacing w:val="-2"/>
        </w:rPr>
        <w:t xml:space="preserve"> </w:t>
      </w:r>
      <w:r>
        <w:t>world,</w:t>
      </w:r>
      <w:r>
        <w:rPr>
          <w:spacing w:val="-2"/>
        </w:rPr>
        <w:t xml:space="preserve"> </w:t>
      </w:r>
      <w:r>
        <w:t>the</w:t>
      </w:r>
      <w:r>
        <w:rPr>
          <w:spacing w:val="-2"/>
        </w:rPr>
        <w:t xml:space="preserve"> </w:t>
      </w:r>
      <w:r>
        <w:t>cause</w:t>
      </w:r>
      <w:r>
        <w:rPr>
          <w:spacing w:val="-2"/>
        </w:rPr>
        <w:t xml:space="preserve"> </w:t>
      </w:r>
      <w:r>
        <w:t>is</w:t>
      </w:r>
      <w:r>
        <w:rPr>
          <w:spacing w:val="-2"/>
        </w:rPr>
        <w:t xml:space="preserve"> </w:t>
      </w:r>
      <w:r>
        <w:t>present.</w:t>
      </w:r>
      <w:r>
        <w:rPr>
          <w:spacing w:val="-2"/>
        </w:rPr>
        <w:t xml:space="preserve"> </w:t>
      </w:r>
      <w:r>
        <w:t>In</w:t>
      </w:r>
      <w:r>
        <w:rPr>
          <w:spacing w:val="-7"/>
        </w:rPr>
        <w:t xml:space="preserve"> </w:t>
      </w:r>
      <w:r>
        <w:t>W,</w:t>
      </w:r>
      <w:r>
        <w:rPr>
          <w:spacing w:val="-2"/>
        </w:rPr>
        <w:t xml:space="preserve"> </w:t>
      </w:r>
      <w:r>
        <w:t>it</w:t>
      </w:r>
      <w:r>
        <w:rPr>
          <w:spacing w:val="-3"/>
        </w:rPr>
        <w:t xml:space="preserve"> </w:t>
      </w:r>
      <w:r>
        <w:t>isn’t.</w:t>
      </w:r>
      <w:r>
        <w:rPr>
          <w:spacing w:val="-7"/>
        </w:rPr>
        <w:t xml:space="preserve"> </w:t>
      </w:r>
      <w:r>
        <w:t>WB’s truth</w:t>
      </w:r>
      <w:r>
        <w:rPr>
          <w:spacing w:val="-19"/>
        </w:rPr>
        <w:t xml:space="preserve"> </w:t>
      </w:r>
      <w:r>
        <w:t>is</w:t>
      </w:r>
      <w:r>
        <w:rPr>
          <w:spacing w:val="-19"/>
        </w:rPr>
        <w:t xml:space="preserve"> </w:t>
      </w:r>
      <w:r>
        <w:t>to</w:t>
      </w:r>
      <w:r>
        <w:rPr>
          <w:spacing w:val="-19"/>
        </w:rPr>
        <w:t xml:space="preserve"> </w:t>
      </w:r>
      <w:r>
        <w:t>be</w:t>
      </w:r>
      <w:r>
        <w:rPr>
          <w:spacing w:val="-18"/>
        </w:rPr>
        <w:t xml:space="preserve"> </w:t>
      </w:r>
      <w:r>
        <w:t>understood</w:t>
      </w:r>
      <w:r>
        <w:rPr>
          <w:spacing w:val="-19"/>
        </w:rPr>
        <w:t xml:space="preserve"> </w:t>
      </w:r>
      <w:r>
        <w:rPr>
          <w:i/>
        </w:rPr>
        <w:t>in</w:t>
      </w:r>
      <w:r>
        <w:rPr>
          <w:i/>
          <w:spacing w:val="-19"/>
        </w:rPr>
        <w:t xml:space="preserve"> </w:t>
      </w:r>
      <w:r>
        <w:rPr>
          <w:i/>
        </w:rPr>
        <w:t>terms</w:t>
      </w:r>
      <w:r>
        <w:rPr>
          <w:i/>
          <w:spacing w:val="-16"/>
        </w:rPr>
        <w:t xml:space="preserve"> </w:t>
      </w:r>
      <w:r>
        <w:rPr>
          <w:i/>
        </w:rPr>
        <w:t>of</w:t>
      </w:r>
      <w:r>
        <w:rPr>
          <w:i/>
          <w:spacing w:val="-19"/>
        </w:rPr>
        <w:t xml:space="preserve"> </w:t>
      </w:r>
      <w:r>
        <w:t>the</w:t>
      </w:r>
      <w:r>
        <w:rPr>
          <w:spacing w:val="-15"/>
        </w:rPr>
        <w:t xml:space="preserve"> </w:t>
      </w:r>
      <w:r>
        <w:t>fact</w:t>
      </w:r>
      <w:r>
        <w:rPr>
          <w:spacing w:val="-16"/>
        </w:rPr>
        <w:t xml:space="preserve"> </w:t>
      </w:r>
      <w:r>
        <w:t>that,</w:t>
      </w:r>
      <w:r>
        <w:rPr>
          <w:spacing w:val="-16"/>
        </w:rPr>
        <w:t xml:space="preserve"> </w:t>
      </w:r>
      <w:r>
        <w:t>in</w:t>
      </w:r>
      <w:r>
        <w:rPr>
          <w:spacing w:val="-16"/>
        </w:rPr>
        <w:t xml:space="preserve"> </w:t>
      </w:r>
      <w:r>
        <w:t>our</w:t>
      </w:r>
      <w:r>
        <w:rPr>
          <w:spacing w:val="-16"/>
        </w:rPr>
        <w:t xml:space="preserve"> </w:t>
      </w:r>
      <w:r>
        <w:t>world,</w:t>
      </w:r>
      <w:r>
        <w:rPr>
          <w:spacing w:val="-16"/>
        </w:rPr>
        <w:t xml:space="preserve"> </w:t>
      </w:r>
      <w:r>
        <w:t>Smith’s</w:t>
      </w:r>
      <w:r>
        <w:rPr>
          <w:spacing w:val="-16"/>
        </w:rPr>
        <w:t xml:space="preserve"> </w:t>
      </w:r>
      <w:r>
        <w:t xml:space="preserve">drinking the poison is what killed him. So SB no more constitutes an analysis of the </w:t>
      </w:r>
      <w:r>
        <w:rPr>
          <w:spacing w:val="-4"/>
        </w:rPr>
        <w:t>statement</w:t>
      </w:r>
      <w:r>
        <w:rPr>
          <w:spacing w:val="-15"/>
        </w:rPr>
        <w:t xml:space="preserve"> </w:t>
      </w:r>
      <w:r>
        <w:rPr>
          <w:spacing w:val="-4"/>
        </w:rPr>
        <w:t>“Jones</w:t>
      </w:r>
      <w:r>
        <w:rPr>
          <w:spacing w:val="-14"/>
        </w:rPr>
        <w:t xml:space="preserve"> </w:t>
      </w:r>
      <w:r>
        <w:rPr>
          <w:spacing w:val="-4"/>
        </w:rPr>
        <w:t>died</w:t>
      </w:r>
      <w:r>
        <w:rPr>
          <w:spacing w:val="-15"/>
        </w:rPr>
        <w:t xml:space="preserve"> </w:t>
      </w:r>
      <w:r>
        <w:rPr>
          <w:spacing w:val="-4"/>
        </w:rPr>
        <w:t>because</w:t>
      </w:r>
      <w:r>
        <w:rPr>
          <w:spacing w:val="-14"/>
        </w:rPr>
        <w:t xml:space="preserve"> </w:t>
      </w:r>
      <w:r>
        <w:rPr>
          <w:spacing w:val="-4"/>
        </w:rPr>
        <w:t>he</w:t>
      </w:r>
      <w:r>
        <w:rPr>
          <w:spacing w:val="-15"/>
        </w:rPr>
        <w:t xml:space="preserve"> </w:t>
      </w:r>
      <w:r>
        <w:rPr>
          <w:spacing w:val="-4"/>
        </w:rPr>
        <w:t>drank</w:t>
      </w:r>
      <w:r>
        <w:rPr>
          <w:spacing w:val="-14"/>
        </w:rPr>
        <w:t xml:space="preserve"> </w:t>
      </w:r>
      <w:r>
        <w:rPr>
          <w:spacing w:val="-4"/>
        </w:rPr>
        <w:t>the</w:t>
      </w:r>
      <w:r>
        <w:rPr>
          <w:spacing w:val="-15"/>
        </w:rPr>
        <w:t xml:space="preserve"> </w:t>
      </w:r>
      <w:r>
        <w:rPr>
          <w:spacing w:val="-4"/>
        </w:rPr>
        <w:t>poison”</w:t>
      </w:r>
      <w:r>
        <w:rPr>
          <w:spacing w:val="-14"/>
        </w:rPr>
        <w:t xml:space="preserve"> </w:t>
      </w:r>
      <w:r>
        <w:rPr>
          <w:spacing w:val="-4"/>
        </w:rPr>
        <w:t>than</w:t>
      </w:r>
      <w:r>
        <w:rPr>
          <w:spacing w:val="-15"/>
        </w:rPr>
        <w:t xml:space="preserve"> </w:t>
      </w:r>
      <w:r>
        <w:rPr>
          <w:spacing w:val="-4"/>
        </w:rPr>
        <w:t>“Smith</w:t>
      </w:r>
      <w:r>
        <w:rPr>
          <w:spacing w:val="-14"/>
        </w:rPr>
        <w:t xml:space="preserve"> </w:t>
      </w:r>
      <w:r>
        <w:rPr>
          <w:spacing w:val="-4"/>
        </w:rPr>
        <w:t>believes</w:t>
      </w:r>
      <w:r>
        <w:rPr>
          <w:spacing w:val="-15"/>
        </w:rPr>
        <w:t xml:space="preserve"> </w:t>
      </w:r>
      <w:r>
        <w:rPr>
          <w:spacing w:val="-4"/>
        </w:rPr>
        <w:t>that</w:t>
      </w:r>
      <w:r>
        <w:rPr>
          <w:spacing w:val="-14"/>
        </w:rPr>
        <w:t xml:space="preserve"> </w:t>
      </w:r>
      <w:r>
        <w:rPr>
          <w:spacing w:val="-4"/>
        </w:rPr>
        <w:t>3</w:t>
      </w:r>
      <w:r>
        <w:rPr>
          <w:spacing w:val="-15"/>
        </w:rPr>
        <w:t xml:space="preserve"> </w:t>
      </w:r>
      <w:r>
        <w:rPr>
          <w:spacing w:val="-4"/>
        </w:rPr>
        <w:t xml:space="preserve">+ </w:t>
      </w:r>
      <w:r>
        <w:t>3</w:t>
      </w:r>
      <w:r>
        <w:rPr>
          <w:spacing w:val="-6"/>
        </w:rPr>
        <w:t xml:space="preserve"> </w:t>
      </w:r>
      <w:r>
        <w:t>=</w:t>
      </w:r>
      <w:r>
        <w:rPr>
          <w:spacing w:val="-6"/>
        </w:rPr>
        <w:t xml:space="preserve"> </w:t>
      </w:r>
      <w:r>
        <w:t>6”</w:t>
      </w:r>
      <w:r>
        <w:rPr>
          <w:spacing w:val="-6"/>
        </w:rPr>
        <w:t xml:space="preserve"> </w:t>
      </w:r>
      <w:r>
        <w:t>constitutes</w:t>
      </w:r>
      <w:r>
        <w:rPr>
          <w:spacing w:val="-6"/>
        </w:rPr>
        <w:t xml:space="preserve"> </w:t>
      </w:r>
      <w:r>
        <w:t>an</w:t>
      </w:r>
      <w:r>
        <w:rPr>
          <w:spacing w:val="-6"/>
        </w:rPr>
        <w:t xml:space="preserve"> </w:t>
      </w:r>
      <w:r>
        <w:t>analysis</w:t>
      </w:r>
      <w:r>
        <w:rPr>
          <w:spacing w:val="-6"/>
        </w:rPr>
        <w:t xml:space="preserve"> </w:t>
      </w:r>
      <w:r>
        <w:t>of</w:t>
      </w:r>
      <w:r>
        <w:rPr>
          <w:spacing w:val="-6"/>
        </w:rPr>
        <w:t xml:space="preserve"> </w:t>
      </w:r>
      <w:r>
        <w:t>any</w:t>
      </w:r>
      <w:r>
        <w:rPr>
          <w:spacing w:val="-6"/>
        </w:rPr>
        <w:t xml:space="preserve"> </w:t>
      </w:r>
      <w:r>
        <w:t>fact</w:t>
      </w:r>
      <w:r>
        <w:rPr>
          <w:spacing w:val="-6"/>
        </w:rPr>
        <w:t xml:space="preserve"> </w:t>
      </w:r>
      <w:r>
        <w:t>about</w:t>
      </w:r>
      <w:r>
        <w:rPr>
          <w:spacing w:val="-6"/>
        </w:rPr>
        <w:t xml:space="preserve"> </w:t>
      </w:r>
      <w:r>
        <w:t>arithmetic.</w:t>
      </w:r>
      <w:r>
        <w:rPr>
          <w:spacing w:val="-18"/>
        </w:rPr>
        <w:t xml:space="preserve"> </w:t>
      </w:r>
      <w:r>
        <w:t>And</w:t>
      </w:r>
      <w:r>
        <w:rPr>
          <w:spacing w:val="-6"/>
        </w:rPr>
        <w:t xml:space="preserve"> </w:t>
      </w:r>
      <w:r>
        <w:t>just</w:t>
      </w:r>
      <w:r>
        <w:rPr>
          <w:spacing w:val="-6"/>
        </w:rPr>
        <w:t xml:space="preserve"> </w:t>
      </w:r>
      <w:r>
        <w:t>as</w:t>
      </w:r>
      <w:r>
        <w:rPr>
          <w:spacing w:val="-6"/>
        </w:rPr>
        <w:t xml:space="preserve"> </w:t>
      </w:r>
      <w:r>
        <w:t>Smith’s believing</w:t>
      </w:r>
      <w:r>
        <w:rPr>
          <w:spacing w:val="-16"/>
        </w:rPr>
        <w:t xml:space="preserve"> </w:t>
      </w:r>
      <w:r>
        <w:t>that</w:t>
      </w:r>
      <w:r>
        <w:rPr>
          <w:spacing w:val="-16"/>
        </w:rPr>
        <w:t xml:space="preserve"> </w:t>
      </w:r>
      <w:r>
        <w:t>3</w:t>
      </w:r>
      <w:r>
        <w:rPr>
          <w:spacing w:val="-16"/>
        </w:rPr>
        <w:t xml:space="preserve"> </w:t>
      </w:r>
      <w:r>
        <w:t>+</w:t>
      </w:r>
      <w:r>
        <w:rPr>
          <w:spacing w:val="-16"/>
        </w:rPr>
        <w:t xml:space="preserve"> </w:t>
      </w:r>
      <w:r>
        <w:t>3</w:t>
      </w:r>
      <w:r>
        <w:rPr>
          <w:spacing w:val="-16"/>
        </w:rPr>
        <w:t xml:space="preserve"> </w:t>
      </w:r>
      <w:r>
        <w:t>=</w:t>
      </w:r>
      <w:r>
        <w:rPr>
          <w:spacing w:val="-16"/>
        </w:rPr>
        <w:t xml:space="preserve"> </w:t>
      </w:r>
      <w:r>
        <w:t>6</w:t>
      </w:r>
      <w:r>
        <w:rPr>
          <w:spacing w:val="-16"/>
        </w:rPr>
        <w:t xml:space="preserve"> </w:t>
      </w:r>
      <w:r>
        <w:t>is</w:t>
      </w:r>
      <w:r>
        <w:rPr>
          <w:spacing w:val="-16"/>
        </w:rPr>
        <w:t xml:space="preserve"> </w:t>
      </w:r>
      <w:r>
        <w:t>to</w:t>
      </w:r>
      <w:r>
        <w:rPr>
          <w:spacing w:val="-16"/>
        </w:rPr>
        <w:t xml:space="preserve"> </w:t>
      </w:r>
      <w:r>
        <w:t>be</w:t>
      </w:r>
      <w:r>
        <w:rPr>
          <w:spacing w:val="-16"/>
        </w:rPr>
        <w:t xml:space="preserve"> </w:t>
      </w:r>
      <w:r>
        <w:t>understood</w:t>
      </w:r>
      <w:r>
        <w:rPr>
          <w:spacing w:val="-16"/>
        </w:rPr>
        <w:t xml:space="preserve"> </w:t>
      </w:r>
      <w:r>
        <w:rPr>
          <w:i/>
        </w:rPr>
        <w:t>in</w:t>
      </w:r>
      <w:r>
        <w:rPr>
          <w:i/>
          <w:spacing w:val="-16"/>
        </w:rPr>
        <w:t xml:space="preserve"> </w:t>
      </w:r>
      <w:r>
        <w:rPr>
          <w:i/>
        </w:rPr>
        <w:t>terms</w:t>
      </w:r>
      <w:r>
        <w:rPr>
          <w:i/>
          <w:spacing w:val="-16"/>
        </w:rPr>
        <w:t xml:space="preserve"> </w:t>
      </w:r>
      <w:r>
        <w:rPr>
          <w:i/>
        </w:rPr>
        <w:t>of</w:t>
      </w:r>
      <w:r>
        <w:rPr>
          <w:i/>
          <w:spacing w:val="-17"/>
        </w:rPr>
        <w:t xml:space="preserve"> </w:t>
      </w:r>
      <w:r>
        <w:t>the</w:t>
      </w:r>
      <w:r>
        <w:rPr>
          <w:spacing w:val="-16"/>
        </w:rPr>
        <w:t xml:space="preserve"> </w:t>
      </w:r>
      <w:r>
        <w:t>truth</w:t>
      </w:r>
      <w:r>
        <w:rPr>
          <w:spacing w:val="-16"/>
        </w:rPr>
        <w:t xml:space="preserve"> </w:t>
      </w:r>
      <w:r>
        <w:t>of</w:t>
      </w:r>
    </w:p>
    <w:p w14:paraId="7E001F77" w14:textId="77777777" w:rsidR="009A58DB" w:rsidRDefault="00000000">
      <w:pPr>
        <w:pStyle w:val="BodyText"/>
        <w:spacing w:before="9" w:line="249" w:lineRule="auto"/>
        <w:ind w:right="364"/>
      </w:pPr>
      <w:r>
        <w:t xml:space="preserve">that statement, so WB is to be understood </w:t>
      </w:r>
      <w:r>
        <w:rPr>
          <w:i/>
        </w:rPr>
        <w:t xml:space="preserve">in terms of </w:t>
      </w:r>
      <w:r>
        <w:t xml:space="preserve">the truth of SB and thus </w:t>
      </w:r>
      <w:r>
        <w:rPr>
          <w:i/>
        </w:rPr>
        <w:t xml:space="preserve">in terms of </w:t>
      </w:r>
      <w:r>
        <w:t>the fact that Smith’s drinking poison is what killed him. In general,</w:t>
      </w:r>
      <w:r>
        <w:rPr>
          <w:spacing w:val="14"/>
        </w:rPr>
        <w:t xml:space="preserve"> </w:t>
      </w:r>
      <w:r>
        <w:t>“E</w:t>
      </w:r>
      <w:r>
        <w:rPr>
          <w:vertAlign w:val="subscript"/>
        </w:rPr>
        <w:t>2</w:t>
      </w:r>
      <w:r>
        <w:rPr>
          <w:spacing w:val="26"/>
        </w:rPr>
        <w:t xml:space="preserve"> </w:t>
      </w:r>
      <w:r>
        <w:t>wouldn’t</w:t>
      </w:r>
      <w:r>
        <w:rPr>
          <w:spacing w:val="26"/>
        </w:rPr>
        <w:t xml:space="preserve"> </w:t>
      </w:r>
      <w:r>
        <w:t>have</w:t>
      </w:r>
      <w:r>
        <w:rPr>
          <w:spacing w:val="27"/>
        </w:rPr>
        <w:t xml:space="preserve"> </w:t>
      </w:r>
      <w:r>
        <w:t>occurred</w:t>
      </w:r>
      <w:r>
        <w:rPr>
          <w:spacing w:val="26"/>
        </w:rPr>
        <w:t xml:space="preserve"> </w:t>
      </w:r>
      <w:r>
        <w:t>where</w:t>
      </w:r>
      <w:r>
        <w:rPr>
          <w:spacing w:val="26"/>
        </w:rPr>
        <w:t xml:space="preserve"> </w:t>
      </w:r>
      <w:r>
        <w:t>E1</w:t>
      </w:r>
      <w:r>
        <w:rPr>
          <w:spacing w:val="27"/>
        </w:rPr>
        <w:t xml:space="preserve"> </w:t>
      </w:r>
      <w:r>
        <w:t>did</w:t>
      </w:r>
      <w:r>
        <w:rPr>
          <w:spacing w:val="26"/>
        </w:rPr>
        <w:t xml:space="preserve"> </w:t>
      </w:r>
      <w:r>
        <w:t>not,”</w:t>
      </w:r>
      <w:r>
        <w:rPr>
          <w:spacing w:val="26"/>
        </w:rPr>
        <w:t xml:space="preserve"> </w:t>
      </w:r>
      <w:r>
        <w:t>when</w:t>
      </w:r>
      <w:r>
        <w:rPr>
          <w:spacing w:val="27"/>
        </w:rPr>
        <w:t xml:space="preserve"> </w:t>
      </w:r>
      <w:r>
        <w:t>true,</w:t>
      </w:r>
      <w:r>
        <w:rPr>
          <w:spacing w:val="26"/>
        </w:rPr>
        <w:t xml:space="preserve"> </w:t>
      </w:r>
      <w:r>
        <w:t>is</w:t>
      </w:r>
      <w:r>
        <w:rPr>
          <w:spacing w:val="26"/>
        </w:rPr>
        <w:t xml:space="preserve"> </w:t>
      </w:r>
      <w:r>
        <w:t>to</w:t>
      </w:r>
      <w:r>
        <w:rPr>
          <w:spacing w:val="26"/>
        </w:rPr>
        <w:t xml:space="preserve"> </w:t>
      </w:r>
      <w:r>
        <w:rPr>
          <w:spacing w:val="-5"/>
        </w:rPr>
        <w:t>be</w:t>
      </w:r>
    </w:p>
    <w:p w14:paraId="7E001F78" w14:textId="77777777" w:rsidR="009A58DB" w:rsidRDefault="00000000">
      <w:pPr>
        <w:pStyle w:val="BodyText"/>
        <w:spacing w:before="63" w:line="292" w:lineRule="auto"/>
        <w:ind w:right="371"/>
      </w:pPr>
      <w:r>
        <w:t>understood</w:t>
      </w:r>
      <w:r>
        <w:rPr>
          <w:spacing w:val="-2"/>
        </w:rPr>
        <w:t xml:space="preserve"> </w:t>
      </w:r>
      <w:r>
        <w:rPr>
          <w:i/>
        </w:rPr>
        <w:t>in</w:t>
      </w:r>
      <w:r>
        <w:rPr>
          <w:i/>
          <w:spacing w:val="-2"/>
        </w:rPr>
        <w:t xml:space="preserve"> </w:t>
      </w:r>
      <w:r>
        <w:rPr>
          <w:i/>
        </w:rPr>
        <w:t>terms</w:t>
      </w:r>
      <w:r>
        <w:rPr>
          <w:i/>
          <w:spacing w:val="-3"/>
        </w:rPr>
        <w:t xml:space="preserve"> </w:t>
      </w:r>
      <w:r>
        <w:rPr>
          <w:i/>
        </w:rPr>
        <w:t>of</w:t>
      </w:r>
      <w:r>
        <w:rPr>
          <w:i/>
          <w:spacing w:val="-3"/>
        </w:rPr>
        <w:t xml:space="preserve"> </w:t>
      </w:r>
      <w:r>
        <w:t>the</w:t>
      </w:r>
      <w:r>
        <w:rPr>
          <w:spacing w:val="-3"/>
        </w:rPr>
        <w:t xml:space="preserve"> </w:t>
      </w:r>
      <w:r>
        <w:t>fact</w:t>
      </w:r>
      <w:r>
        <w:rPr>
          <w:spacing w:val="-3"/>
        </w:rPr>
        <w:t xml:space="preserve"> </w:t>
      </w:r>
      <w:r>
        <w:t>that</w:t>
      </w:r>
      <w:r>
        <w:rPr>
          <w:spacing w:val="-3"/>
        </w:rPr>
        <w:t xml:space="preserve"> </w:t>
      </w:r>
      <w:r>
        <w:t>E</w:t>
      </w:r>
      <w:r>
        <w:rPr>
          <w:vertAlign w:val="subscript"/>
        </w:rPr>
        <w:t>1</w:t>
      </w:r>
      <w:r>
        <w:t>’s occurring is what</w:t>
      </w:r>
      <w:r>
        <w:rPr>
          <w:spacing w:val="-1"/>
        </w:rPr>
        <w:t xml:space="preserve"> </w:t>
      </w:r>
      <w:r>
        <w:t>caused E2. So even if CF is extensionally correct, it’s no analysis of the concept of causality.</w:t>
      </w:r>
    </w:p>
    <w:p w14:paraId="7E001F79" w14:textId="77777777" w:rsidR="009A58DB" w:rsidRDefault="00000000">
      <w:pPr>
        <w:pStyle w:val="Heading1"/>
        <w:spacing w:before="126" w:line="244" w:lineRule="auto"/>
        <w:ind w:right="360"/>
      </w:pPr>
      <w:r>
        <w:t>6.1.2</w:t>
      </w:r>
      <w:r>
        <w:rPr>
          <w:spacing w:val="-2"/>
        </w:rPr>
        <w:t xml:space="preserve"> </w:t>
      </w:r>
      <w:r>
        <w:t>The</w:t>
      </w:r>
      <w:r>
        <w:rPr>
          <w:spacing w:val="-2"/>
        </w:rPr>
        <w:t xml:space="preserve"> </w:t>
      </w:r>
      <w:r>
        <w:t>vicious</w:t>
      </w:r>
      <w:r>
        <w:rPr>
          <w:spacing w:val="-2"/>
        </w:rPr>
        <w:t xml:space="preserve"> </w:t>
      </w:r>
      <w:r>
        <w:t>circularity</w:t>
      </w:r>
      <w:r>
        <w:rPr>
          <w:spacing w:val="-2"/>
        </w:rPr>
        <w:t xml:space="preserve"> </w:t>
      </w:r>
      <w:r>
        <w:t>of</w:t>
      </w:r>
      <w:r>
        <w:rPr>
          <w:spacing w:val="-2"/>
        </w:rPr>
        <w:t xml:space="preserve"> </w:t>
      </w:r>
      <w:r>
        <w:t>CF,</w:t>
      </w:r>
      <w:r>
        <w:rPr>
          <w:spacing w:val="-2"/>
        </w:rPr>
        <w:t xml:space="preserve"> </w:t>
      </w:r>
      <w:r>
        <w:t>and</w:t>
      </w:r>
      <w:r>
        <w:rPr>
          <w:spacing w:val="-2"/>
        </w:rPr>
        <w:t xml:space="preserve"> </w:t>
      </w:r>
      <w:r>
        <w:t>an</w:t>
      </w:r>
      <w:r>
        <w:rPr>
          <w:spacing w:val="-2"/>
        </w:rPr>
        <w:t xml:space="preserve"> </w:t>
      </w:r>
      <w:r>
        <w:t>outline</w:t>
      </w:r>
      <w:r>
        <w:rPr>
          <w:spacing w:val="-2"/>
        </w:rPr>
        <w:t xml:space="preserve"> </w:t>
      </w:r>
      <w:r>
        <w:t>of a positive analysis of counterfactual truth</w:t>
      </w:r>
    </w:p>
    <w:p w14:paraId="7E001F7A" w14:textId="77777777" w:rsidR="009A58DB" w:rsidRDefault="00000000">
      <w:pPr>
        <w:pStyle w:val="BodyText"/>
        <w:spacing w:before="132" w:line="249" w:lineRule="auto"/>
        <w:ind w:right="358"/>
      </w:pPr>
      <w:r>
        <w:t>CF assumes that the concept of counterfactual truth is not itself to be explained</w:t>
      </w:r>
      <w:r>
        <w:rPr>
          <w:spacing w:val="-3"/>
        </w:rPr>
        <w:t xml:space="preserve"> </w:t>
      </w:r>
      <w:r>
        <w:t>in</w:t>
      </w:r>
      <w:r>
        <w:rPr>
          <w:spacing w:val="-3"/>
        </w:rPr>
        <w:t xml:space="preserve"> </w:t>
      </w:r>
      <w:r>
        <w:t>terms</w:t>
      </w:r>
      <w:r>
        <w:rPr>
          <w:spacing w:val="-4"/>
        </w:rPr>
        <w:t xml:space="preserve"> </w:t>
      </w:r>
      <w:r>
        <w:t>of</w:t>
      </w:r>
      <w:r>
        <w:rPr>
          <w:spacing w:val="-4"/>
        </w:rPr>
        <w:t xml:space="preserve"> </w:t>
      </w:r>
      <w:r>
        <w:t>the</w:t>
      </w:r>
      <w:r>
        <w:rPr>
          <w:spacing w:val="-4"/>
        </w:rPr>
        <w:t xml:space="preserve"> </w:t>
      </w:r>
      <w:r>
        <w:t>concept</w:t>
      </w:r>
      <w:r>
        <w:rPr>
          <w:spacing w:val="-4"/>
        </w:rPr>
        <w:t xml:space="preserve"> </w:t>
      </w:r>
      <w:r>
        <w:t>of</w:t>
      </w:r>
      <w:r>
        <w:rPr>
          <w:spacing w:val="-4"/>
        </w:rPr>
        <w:t xml:space="preserve"> </w:t>
      </w:r>
      <w:r>
        <w:t>causality.</w:t>
      </w:r>
      <w:r>
        <w:rPr>
          <w:spacing w:val="-3"/>
        </w:rPr>
        <w:t xml:space="preserve"> </w:t>
      </w:r>
      <w:r>
        <w:t>But</w:t>
      </w:r>
      <w:r>
        <w:rPr>
          <w:spacing w:val="-4"/>
        </w:rPr>
        <w:t xml:space="preserve"> </w:t>
      </w:r>
      <w:r>
        <w:t>that</w:t>
      </w:r>
      <w:r>
        <w:rPr>
          <w:spacing w:val="-4"/>
        </w:rPr>
        <w:t xml:space="preserve"> </w:t>
      </w:r>
      <w:r>
        <w:t>may</w:t>
      </w:r>
      <w:r>
        <w:rPr>
          <w:spacing w:val="-3"/>
        </w:rPr>
        <w:t xml:space="preserve"> </w:t>
      </w:r>
      <w:r>
        <w:t>well</w:t>
      </w:r>
      <w:r>
        <w:rPr>
          <w:spacing w:val="-4"/>
        </w:rPr>
        <w:t xml:space="preserve"> </w:t>
      </w:r>
      <w:r>
        <w:t>be</w:t>
      </w:r>
      <w:r>
        <w:rPr>
          <w:spacing w:val="-4"/>
        </w:rPr>
        <w:t xml:space="preserve"> </w:t>
      </w:r>
      <w:r>
        <w:t>false.</w:t>
      </w:r>
      <w:r>
        <w:rPr>
          <w:spacing w:val="-3"/>
        </w:rPr>
        <w:t xml:space="preserve"> </w:t>
      </w:r>
      <w:r>
        <w:t xml:space="preserve">The </w:t>
      </w:r>
      <w:r>
        <w:rPr>
          <w:spacing w:val="-2"/>
        </w:rPr>
        <w:t>statement:</w:t>
      </w:r>
    </w:p>
    <w:p w14:paraId="7E001F7B" w14:textId="77777777" w:rsidR="009A58DB" w:rsidRDefault="00000000">
      <w:pPr>
        <w:pStyle w:val="BodyText"/>
        <w:spacing w:before="109" w:line="312" w:lineRule="auto"/>
        <w:ind w:right="1108"/>
        <w:jc w:val="left"/>
      </w:pPr>
      <w:r>
        <w:t>(SB)</w:t>
      </w:r>
      <w:r>
        <w:rPr>
          <w:spacing w:val="-5"/>
        </w:rPr>
        <w:t xml:space="preserve"> </w:t>
      </w:r>
      <w:r>
        <w:t>If</w:t>
      </w:r>
      <w:r>
        <w:rPr>
          <w:spacing w:val="-5"/>
        </w:rPr>
        <w:t xml:space="preserve"> </w:t>
      </w:r>
      <w:r>
        <w:t>Smith</w:t>
      </w:r>
      <w:r>
        <w:rPr>
          <w:spacing w:val="-4"/>
        </w:rPr>
        <w:t xml:space="preserve"> </w:t>
      </w:r>
      <w:r>
        <w:t>hadn’t</w:t>
      </w:r>
      <w:r>
        <w:rPr>
          <w:spacing w:val="-5"/>
        </w:rPr>
        <w:t xml:space="preserve"> </w:t>
      </w:r>
      <w:r>
        <w:t>fallen</w:t>
      </w:r>
      <w:r>
        <w:rPr>
          <w:spacing w:val="-4"/>
        </w:rPr>
        <w:t xml:space="preserve"> </w:t>
      </w:r>
      <w:r>
        <w:t>off</w:t>
      </w:r>
      <w:r>
        <w:rPr>
          <w:spacing w:val="-5"/>
        </w:rPr>
        <w:t xml:space="preserve"> </w:t>
      </w:r>
      <w:r>
        <w:t>the</w:t>
      </w:r>
      <w:r>
        <w:rPr>
          <w:spacing w:val="-5"/>
        </w:rPr>
        <w:t xml:space="preserve"> </w:t>
      </w:r>
      <w:r>
        <w:t>building,</w:t>
      </w:r>
      <w:r>
        <w:rPr>
          <w:spacing w:val="-4"/>
        </w:rPr>
        <w:t xml:space="preserve"> </w:t>
      </w:r>
      <w:r>
        <w:t>he</w:t>
      </w:r>
      <w:r>
        <w:rPr>
          <w:spacing w:val="-5"/>
        </w:rPr>
        <w:t xml:space="preserve"> </w:t>
      </w:r>
      <w:r>
        <w:t>wouldn’t</w:t>
      </w:r>
      <w:r>
        <w:rPr>
          <w:spacing w:val="-5"/>
        </w:rPr>
        <w:t xml:space="preserve"> </w:t>
      </w:r>
      <w:r>
        <w:t>have</w:t>
      </w:r>
      <w:r>
        <w:rPr>
          <w:spacing w:val="-5"/>
        </w:rPr>
        <w:t xml:space="preserve"> </w:t>
      </w:r>
      <w:r>
        <w:t>died seems to be equivalent, or nearly so, with:</w:t>
      </w:r>
    </w:p>
    <w:p w14:paraId="7E001F7C" w14:textId="77777777" w:rsidR="009A58DB" w:rsidRDefault="00000000">
      <w:pPr>
        <w:pStyle w:val="BodyText"/>
        <w:spacing w:before="18" w:line="324" w:lineRule="auto"/>
        <w:ind w:right="365"/>
        <w:jc w:val="left"/>
      </w:pPr>
      <w:r>
        <w:t>(SB*)</w:t>
      </w:r>
      <w:r>
        <w:rPr>
          <w:spacing w:val="-5"/>
        </w:rPr>
        <w:t xml:space="preserve"> </w:t>
      </w:r>
      <w:r>
        <w:t>Falling</w:t>
      </w:r>
      <w:r>
        <w:rPr>
          <w:spacing w:val="-4"/>
        </w:rPr>
        <w:t xml:space="preserve"> </w:t>
      </w:r>
      <w:r>
        <w:t>off</w:t>
      </w:r>
      <w:r>
        <w:rPr>
          <w:spacing w:val="-5"/>
        </w:rPr>
        <w:t xml:space="preserve"> </w:t>
      </w:r>
      <w:r>
        <w:t>the</w:t>
      </w:r>
      <w:r>
        <w:rPr>
          <w:spacing w:val="-5"/>
        </w:rPr>
        <w:t xml:space="preserve"> </w:t>
      </w:r>
      <w:r>
        <w:t>building</w:t>
      </w:r>
      <w:r>
        <w:rPr>
          <w:spacing w:val="-4"/>
        </w:rPr>
        <w:t xml:space="preserve"> </w:t>
      </w:r>
      <w:r>
        <w:t>caused</w:t>
      </w:r>
      <w:r>
        <w:rPr>
          <w:spacing w:val="-4"/>
        </w:rPr>
        <w:t xml:space="preserve"> </w:t>
      </w:r>
      <w:r>
        <w:t>an</w:t>
      </w:r>
      <w:r>
        <w:rPr>
          <w:spacing w:val="-4"/>
        </w:rPr>
        <w:t xml:space="preserve"> </w:t>
      </w:r>
      <w:r>
        <w:t>otherwise</w:t>
      </w:r>
      <w:r>
        <w:rPr>
          <w:spacing w:val="-5"/>
        </w:rPr>
        <w:t xml:space="preserve"> </w:t>
      </w:r>
      <w:r>
        <w:t>unthreatened</w:t>
      </w:r>
      <w:r>
        <w:rPr>
          <w:spacing w:val="-4"/>
        </w:rPr>
        <w:t xml:space="preserve"> </w:t>
      </w:r>
      <w:r>
        <w:t>Smith</w:t>
      </w:r>
      <w:r>
        <w:rPr>
          <w:spacing w:val="-4"/>
        </w:rPr>
        <w:t xml:space="preserve"> </w:t>
      </w:r>
      <w:r>
        <w:t>to</w:t>
      </w:r>
      <w:r>
        <w:rPr>
          <w:spacing w:val="-4"/>
        </w:rPr>
        <w:t xml:space="preserve"> </w:t>
      </w:r>
      <w:r>
        <w:t xml:space="preserve">die. Not </w:t>
      </w:r>
      <w:r>
        <w:rPr>
          <w:i/>
        </w:rPr>
        <w:t xml:space="preserve">all </w:t>
      </w:r>
      <w:r>
        <w:t>counterfactuals register causal facts. For example:</w:t>
      </w:r>
    </w:p>
    <w:p w14:paraId="7E001F7D" w14:textId="77777777" w:rsidR="009A58DB" w:rsidRDefault="009A58DB">
      <w:pPr>
        <w:pStyle w:val="BodyText"/>
        <w:spacing w:line="324" w:lineRule="auto"/>
        <w:jc w:val="left"/>
        <w:sectPr w:rsidR="009A58DB">
          <w:pgSz w:w="12240" w:h="15840"/>
          <w:pgMar w:top="1380" w:right="1080" w:bottom="280" w:left="1080" w:header="720" w:footer="720" w:gutter="0"/>
          <w:cols w:space="720"/>
        </w:sectPr>
      </w:pPr>
    </w:p>
    <w:p w14:paraId="7E001F7E" w14:textId="77777777" w:rsidR="009A58DB" w:rsidRDefault="00000000">
      <w:pPr>
        <w:pStyle w:val="BodyText"/>
        <w:spacing w:before="65" w:line="324" w:lineRule="auto"/>
        <w:ind w:right="1108"/>
        <w:jc w:val="left"/>
      </w:pPr>
      <w:r>
        <w:lastRenderedPageBreak/>
        <w:t>(SH)</w:t>
      </w:r>
      <w:r>
        <w:rPr>
          <w:spacing w:val="-4"/>
        </w:rPr>
        <w:t xml:space="preserve"> </w:t>
      </w:r>
      <w:r>
        <w:t>If</w:t>
      </w:r>
      <w:r>
        <w:rPr>
          <w:spacing w:val="-4"/>
        </w:rPr>
        <w:t xml:space="preserve"> </w:t>
      </w:r>
      <w:r>
        <w:t>6-feet</w:t>
      </w:r>
      <w:r>
        <w:rPr>
          <w:spacing w:val="-4"/>
        </w:rPr>
        <w:t xml:space="preserve"> </w:t>
      </w:r>
      <w:r>
        <w:t>tall</w:t>
      </w:r>
      <w:r>
        <w:rPr>
          <w:spacing w:val="-4"/>
        </w:rPr>
        <w:t xml:space="preserve"> </w:t>
      </w:r>
      <w:r>
        <w:t>Smith</w:t>
      </w:r>
      <w:r>
        <w:rPr>
          <w:spacing w:val="-3"/>
        </w:rPr>
        <w:t xml:space="preserve"> </w:t>
      </w:r>
      <w:r>
        <w:t>were</w:t>
      </w:r>
      <w:r>
        <w:rPr>
          <w:spacing w:val="-4"/>
        </w:rPr>
        <w:t xml:space="preserve"> </w:t>
      </w:r>
      <w:r>
        <w:t>half</w:t>
      </w:r>
      <w:r>
        <w:rPr>
          <w:spacing w:val="-4"/>
        </w:rPr>
        <w:t xml:space="preserve"> </w:t>
      </w:r>
      <w:r>
        <w:t>his</w:t>
      </w:r>
      <w:r>
        <w:rPr>
          <w:spacing w:val="-4"/>
        </w:rPr>
        <w:t xml:space="preserve"> </w:t>
      </w:r>
      <w:r>
        <w:t>current</w:t>
      </w:r>
      <w:r>
        <w:rPr>
          <w:spacing w:val="-4"/>
        </w:rPr>
        <w:t xml:space="preserve"> </w:t>
      </w:r>
      <w:r>
        <w:t>height,</w:t>
      </w:r>
      <w:r>
        <w:rPr>
          <w:spacing w:val="-3"/>
        </w:rPr>
        <w:t xml:space="preserve"> </w:t>
      </w:r>
      <w:r>
        <w:t>he’d</w:t>
      </w:r>
      <w:r>
        <w:rPr>
          <w:spacing w:val="-3"/>
        </w:rPr>
        <w:t xml:space="preserve"> </w:t>
      </w:r>
      <w:r>
        <w:t>be</w:t>
      </w:r>
      <w:r>
        <w:rPr>
          <w:spacing w:val="-4"/>
        </w:rPr>
        <w:t xml:space="preserve"> </w:t>
      </w:r>
      <w:r>
        <w:t>3-feet</w:t>
      </w:r>
      <w:r>
        <w:rPr>
          <w:spacing w:val="-4"/>
        </w:rPr>
        <w:t xml:space="preserve"> </w:t>
      </w:r>
      <w:r>
        <w:t>tall, is equivalent, or nearly so, with</w:t>
      </w:r>
    </w:p>
    <w:p w14:paraId="7E001F7F" w14:textId="77777777" w:rsidR="009A58DB" w:rsidRDefault="00000000">
      <w:pPr>
        <w:pStyle w:val="BodyText"/>
        <w:spacing w:line="329" w:lineRule="exact"/>
        <w:jc w:val="left"/>
      </w:pPr>
      <w:r>
        <w:t>(SH*)</w:t>
      </w:r>
      <w:r>
        <w:rPr>
          <w:spacing w:val="33"/>
        </w:rPr>
        <w:t xml:space="preserve"> </w:t>
      </w:r>
      <w:r>
        <w:t>Smith</w:t>
      </w:r>
      <w:r>
        <w:rPr>
          <w:spacing w:val="34"/>
        </w:rPr>
        <w:t xml:space="preserve"> </w:t>
      </w:r>
      <w:r>
        <w:t>is</w:t>
      </w:r>
      <w:r>
        <w:rPr>
          <w:spacing w:val="33"/>
        </w:rPr>
        <w:t xml:space="preserve"> </w:t>
      </w:r>
      <w:r>
        <w:t>6-feet</w:t>
      </w:r>
      <w:r>
        <w:rPr>
          <w:spacing w:val="33"/>
        </w:rPr>
        <w:t xml:space="preserve"> </w:t>
      </w:r>
      <w:r>
        <w:t>tall</w:t>
      </w:r>
      <w:r>
        <w:rPr>
          <w:spacing w:val="34"/>
        </w:rPr>
        <w:t xml:space="preserve"> </w:t>
      </w:r>
      <w:r>
        <w:t>entails</w:t>
      </w:r>
      <w:r>
        <w:rPr>
          <w:spacing w:val="34"/>
        </w:rPr>
        <w:t xml:space="preserve"> </w:t>
      </w:r>
      <w:r>
        <w:t>anything</w:t>
      </w:r>
      <w:r>
        <w:rPr>
          <w:spacing w:val="33"/>
        </w:rPr>
        <w:t xml:space="preserve"> </w:t>
      </w:r>
      <w:r>
        <w:t>that</w:t>
      </w:r>
      <w:r>
        <w:rPr>
          <w:spacing w:val="33"/>
        </w:rPr>
        <w:t xml:space="preserve"> </w:t>
      </w:r>
      <w:r>
        <w:t>is</w:t>
      </w:r>
      <w:r>
        <w:rPr>
          <w:spacing w:val="34"/>
        </w:rPr>
        <w:t xml:space="preserve"> </w:t>
      </w:r>
      <w:r>
        <w:t>3-feet</w:t>
      </w:r>
      <w:r>
        <w:rPr>
          <w:spacing w:val="33"/>
        </w:rPr>
        <w:t xml:space="preserve"> </w:t>
      </w:r>
      <w:r>
        <w:t>tall</w:t>
      </w:r>
      <w:r>
        <w:rPr>
          <w:spacing w:val="33"/>
        </w:rPr>
        <w:t xml:space="preserve"> </w:t>
      </w:r>
      <w:r>
        <w:t>is</w:t>
      </w:r>
      <w:r>
        <w:rPr>
          <w:spacing w:val="34"/>
        </w:rPr>
        <w:t xml:space="preserve"> </w:t>
      </w:r>
      <w:r>
        <w:t>half</w:t>
      </w:r>
      <w:r>
        <w:rPr>
          <w:spacing w:val="34"/>
        </w:rPr>
        <w:t xml:space="preserve"> </w:t>
      </w:r>
      <w:r>
        <w:rPr>
          <w:spacing w:val="-2"/>
        </w:rPr>
        <w:t>Smith’s</w:t>
      </w:r>
    </w:p>
    <w:p w14:paraId="7E001F80" w14:textId="77777777" w:rsidR="009A58DB" w:rsidRDefault="00000000">
      <w:pPr>
        <w:pStyle w:val="BodyText"/>
        <w:spacing w:before="15"/>
        <w:jc w:val="left"/>
      </w:pPr>
      <w:r>
        <w:rPr>
          <w:spacing w:val="-2"/>
        </w:rPr>
        <w:t>height.</w:t>
      </w:r>
    </w:p>
    <w:p w14:paraId="7E001F81" w14:textId="77777777" w:rsidR="009A58DB" w:rsidRDefault="00000000">
      <w:pPr>
        <w:pStyle w:val="BodyText"/>
        <w:spacing w:before="120" w:line="249" w:lineRule="auto"/>
        <w:ind w:right="359" w:firstLine="360"/>
      </w:pPr>
      <w:r>
        <w:t>Notice that SH is analytically true, whereas SB is non-analytically true. It thus seems to me that counterfactuals are just disguised causal or logical assertions and that, consequently, alternative worlds have no place in any decent analysis of them. In any case, these cases provide us with evidence that counterfactual truth is itself to be understood in terms of causality and, therefore, that CF is guilty of vicious circularity.</w:t>
      </w:r>
    </w:p>
    <w:p w14:paraId="7E001F82" w14:textId="77777777" w:rsidR="009A58DB" w:rsidRDefault="00000000">
      <w:pPr>
        <w:pStyle w:val="Heading1"/>
        <w:numPr>
          <w:ilvl w:val="1"/>
          <w:numId w:val="81"/>
        </w:numPr>
        <w:tabs>
          <w:tab w:val="left" w:pos="990"/>
        </w:tabs>
        <w:spacing w:before="195"/>
        <w:ind w:left="990" w:hanging="630"/>
      </w:pPr>
      <w:r>
        <w:t>Why</w:t>
      </w:r>
      <w:r>
        <w:rPr>
          <w:spacing w:val="-4"/>
        </w:rPr>
        <w:t xml:space="preserve"> </w:t>
      </w:r>
      <w:r>
        <w:t>CF</w:t>
      </w:r>
      <w:r>
        <w:rPr>
          <w:spacing w:val="-5"/>
        </w:rPr>
        <w:t xml:space="preserve"> </w:t>
      </w:r>
      <w:r>
        <w:t>isn’t</w:t>
      </w:r>
      <w:r>
        <w:rPr>
          <w:spacing w:val="-5"/>
        </w:rPr>
        <w:t xml:space="preserve"> </w:t>
      </w:r>
      <w:r>
        <w:t>extensionally</w:t>
      </w:r>
      <w:r>
        <w:rPr>
          <w:spacing w:val="-3"/>
        </w:rPr>
        <w:t xml:space="preserve"> </w:t>
      </w:r>
      <w:r>
        <w:rPr>
          <w:spacing w:val="-2"/>
        </w:rPr>
        <w:t>correct</w:t>
      </w:r>
    </w:p>
    <w:p w14:paraId="7E001F83" w14:textId="77777777" w:rsidR="009A58DB" w:rsidRDefault="00000000">
      <w:pPr>
        <w:pStyle w:val="BodyText"/>
        <w:spacing w:before="124" w:line="249" w:lineRule="auto"/>
        <w:ind w:right="358"/>
      </w:pPr>
      <w:r>
        <w:t>CF assumes that that there’s no causal redundancy in the world—that, were a given mechanism to fail, nothing would step into the breech. But sometimes there are back-up mechanisms. If, for some strange reason, electrocuting condemned criminal Smith didn’t kill him, the state would have found some other way to do so. Thus, the statement “the cause of Smith’s death was electrocution” isn’t equivalent with “if Smith hadn’t been electrocuted, he would not have died.” And this seems to show that CF is wrong.</w:t>
      </w:r>
    </w:p>
    <w:p w14:paraId="7E001F84" w14:textId="77777777" w:rsidR="009A58DB" w:rsidRDefault="00000000">
      <w:pPr>
        <w:pStyle w:val="BodyText"/>
        <w:spacing w:before="9" w:line="249" w:lineRule="auto"/>
        <w:ind w:right="360" w:firstLine="360"/>
      </w:pPr>
      <w:r>
        <w:t>Admittedly, CF has little trouble dealing with this case, and with many others of its ilk. Smith didn’t just die; he died in a very specific way. And he wouldn’t have died that way if, instead of being electrocuted, he’d been shot. This suggests that it’s only when events are seriously underdescribed that there appear to be counterexamples to CF.</w:t>
      </w:r>
    </w:p>
    <w:p w14:paraId="7E001F85" w14:textId="77777777" w:rsidR="009A58DB" w:rsidRDefault="00000000">
      <w:pPr>
        <w:pStyle w:val="BodyText"/>
        <w:spacing w:before="6" w:line="249" w:lineRule="auto"/>
        <w:ind w:right="358" w:firstLine="360"/>
      </w:pPr>
      <w:r>
        <w:t>But this maneuver doesn’t always work. A and B are both trying to push the same doorbell button. Since neither is aware of the other’s presence, each acts exactly as he would have in the other man’s absence. The button only</w:t>
      </w:r>
      <w:r>
        <w:rPr>
          <w:spacing w:val="40"/>
        </w:rPr>
        <w:t xml:space="preserve"> </w:t>
      </w:r>
      <w:r>
        <w:t>has room for one finger. Both fingers get there at the same time, but A’s finger, being the bigger one, crowds out B’s. The requisite electrical signal is sent at time t. Had A been absent, B’s would have struck the same doorbell; and, given the rapidity with which B’s arm was moving, the electrical signal would have been sent at precisely t.</w:t>
      </w:r>
    </w:p>
    <w:p w14:paraId="7E001F86" w14:textId="77777777" w:rsidR="009A58DB" w:rsidRDefault="00000000">
      <w:pPr>
        <w:pStyle w:val="BodyText"/>
        <w:spacing w:before="10" w:line="249" w:lineRule="auto"/>
        <w:ind w:right="363" w:firstLine="360"/>
      </w:pPr>
      <w:r>
        <w:t>It may be that, were it not for A’s presence, B wouldn’t have pushed the doorbell</w:t>
      </w:r>
      <w:r>
        <w:rPr>
          <w:spacing w:val="-3"/>
        </w:rPr>
        <w:t xml:space="preserve"> </w:t>
      </w:r>
      <w:r>
        <w:t>in</w:t>
      </w:r>
      <w:r>
        <w:rPr>
          <w:spacing w:val="1"/>
        </w:rPr>
        <w:t xml:space="preserve"> </w:t>
      </w:r>
      <w:r>
        <w:t>exactly</w:t>
      </w:r>
      <w:r>
        <w:rPr>
          <w:spacing w:val="1"/>
        </w:rPr>
        <w:t xml:space="preserve"> </w:t>
      </w:r>
      <w:r>
        <w:t>the same</w:t>
      </w:r>
      <w:r>
        <w:rPr>
          <w:spacing w:val="1"/>
        </w:rPr>
        <w:t xml:space="preserve"> </w:t>
      </w:r>
      <w:r>
        <w:rPr>
          <w:i/>
        </w:rPr>
        <w:t>way</w:t>
      </w:r>
      <w:r>
        <w:rPr>
          <w:i/>
          <w:spacing w:val="-3"/>
        </w:rPr>
        <w:t xml:space="preserve"> </w:t>
      </w:r>
      <w:r>
        <w:t>as</w:t>
      </w:r>
      <w:r>
        <w:rPr>
          <w:spacing w:val="3"/>
        </w:rPr>
        <w:t xml:space="preserve"> </w:t>
      </w:r>
      <w:r>
        <w:t>A.</w:t>
      </w:r>
      <w:r>
        <w:rPr>
          <w:spacing w:val="2"/>
        </w:rPr>
        <w:t xml:space="preserve"> </w:t>
      </w:r>
      <w:r>
        <w:t>(Our</w:t>
      </w:r>
      <w:r>
        <w:rPr>
          <w:spacing w:val="3"/>
        </w:rPr>
        <w:t xml:space="preserve"> </w:t>
      </w:r>
      <w:r>
        <w:t>story</w:t>
      </w:r>
      <w:r>
        <w:rPr>
          <w:spacing w:val="3"/>
        </w:rPr>
        <w:t xml:space="preserve"> </w:t>
      </w:r>
      <w:r>
        <w:t>may</w:t>
      </w:r>
      <w:r>
        <w:rPr>
          <w:spacing w:val="2"/>
        </w:rPr>
        <w:t xml:space="preserve"> </w:t>
      </w:r>
      <w:r>
        <w:t>even</w:t>
      </w:r>
      <w:r>
        <w:rPr>
          <w:spacing w:val="3"/>
        </w:rPr>
        <w:t xml:space="preserve"> </w:t>
      </w:r>
      <w:r>
        <w:t>require</w:t>
      </w:r>
      <w:r>
        <w:rPr>
          <w:spacing w:val="3"/>
        </w:rPr>
        <w:t xml:space="preserve"> </w:t>
      </w:r>
      <w:r>
        <w:t>this.)</w:t>
      </w:r>
      <w:r>
        <w:rPr>
          <w:spacing w:val="3"/>
        </w:rPr>
        <w:t xml:space="preserve"> </w:t>
      </w:r>
      <w:r>
        <w:rPr>
          <w:spacing w:val="-5"/>
        </w:rPr>
        <w:t>But</w:t>
      </w:r>
    </w:p>
    <w:p w14:paraId="7E001F8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88" w14:textId="77777777" w:rsidR="009A58DB" w:rsidRDefault="00000000">
      <w:pPr>
        <w:pStyle w:val="BodyText"/>
        <w:spacing w:before="65" w:line="249" w:lineRule="auto"/>
        <w:ind w:right="358"/>
      </w:pPr>
      <w:r>
        <w:lastRenderedPageBreak/>
        <w:t>the signal is sent at the right time. And that’s all that matters. It doesn’t</w:t>
      </w:r>
      <w:r>
        <w:rPr>
          <w:spacing w:val="40"/>
        </w:rPr>
        <w:t xml:space="preserve"> </w:t>
      </w:r>
      <w:r>
        <w:t>matter how exactly B pushed the doorbell. Doorbells are binary systems. The signal is either sent or it isn’t.</w:t>
      </w:r>
    </w:p>
    <w:p w14:paraId="7E001F89" w14:textId="77777777" w:rsidR="009A58DB" w:rsidRDefault="00000000">
      <w:pPr>
        <w:pStyle w:val="BodyText"/>
        <w:spacing w:before="3" w:line="249" w:lineRule="auto"/>
        <w:ind w:right="358" w:firstLine="360"/>
      </w:pPr>
      <w:r>
        <w:t>“But maybe the laws of physics don’t validate your point,” one might protest.</w:t>
      </w:r>
      <w:r>
        <w:rPr>
          <w:spacing w:val="-3"/>
        </w:rPr>
        <w:t xml:space="preserve"> </w:t>
      </w:r>
      <w:r>
        <w:t>“Maybe</w:t>
      </w:r>
      <w:r>
        <w:rPr>
          <w:spacing w:val="-4"/>
        </w:rPr>
        <w:t xml:space="preserve"> </w:t>
      </w:r>
      <w:r>
        <w:t>it’s</w:t>
      </w:r>
      <w:r>
        <w:rPr>
          <w:spacing w:val="-4"/>
        </w:rPr>
        <w:t xml:space="preserve"> </w:t>
      </w:r>
      <w:r>
        <w:t>a</w:t>
      </w:r>
      <w:r>
        <w:rPr>
          <w:spacing w:val="-4"/>
        </w:rPr>
        <w:t xml:space="preserve"> </w:t>
      </w:r>
      <w:r>
        <w:t>matter</w:t>
      </w:r>
      <w:r>
        <w:rPr>
          <w:spacing w:val="-4"/>
        </w:rPr>
        <w:t xml:space="preserve"> </w:t>
      </w:r>
      <w:r>
        <w:t>of</w:t>
      </w:r>
      <w:r>
        <w:rPr>
          <w:spacing w:val="-4"/>
        </w:rPr>
        <w:t xml:space="preserve"> </w:t>
      </w:r>
      <w:r>
        <w:t>physical</w:t>
      </w:r>
      <w:r>
        <w:rPr>
          <w:spacing w:val="-4"/>
        </w:rPr>
        <w:t xml:space="preserve"> </w:t>
      </w:r>
      <w:r>
        <w:t>law</w:t>
      </w:r>
      <w:r>
        <w:rPr>
          <w:spacing w:val="-4"/>
        </w:rPr>
        <w:t xml:space="preserve"> </w:t>
      </w:r>
      <w:r>
        <w:t>that</w:t>
      </w:r>
      <w:r>
        <w:rPr>
          <w:spacing w:val="-4"/>
        </w:rPr>
        <w:t xml:space="preserve"> </w:t>
      </w:r>
      <w:r>
        <w:t>nothing</w:t>
      </w:r>
      <w:r>
        <w:rPr>
          <w:spacing w:val="-3"/>
        </w:rPr>
        <w:t xml:space="preserve"> </w:t>
      </w:r>
      <w:r>
        <w:t>happens</w:t>
      </w:r>
      <w:r>
        <w:rPr>
          <w:spacing w:val="-4"/>
        </w:rPr>
        <w:t xml:space="preserve"> </w:t>
      </w:r>
      <w:r>
        <w:t>in</w:t>
      </w:r>
      <w:r>
        <w:rPr>
          <w:spacing w:val="-3"/>
        </w:rPr>
        <w:t xml:space="preserve"> </w:t>
      </w:r>
      <w:r>
        <w:rPr>
          <w:i/>
        </w:rPr>
        <w:t xml:space="preserve">quite </w:t>
      </w:r>
      <w:r>
        <w:t>the same way in a world where its actual cause is absent and some standin has to take its place.” (Let’s refer to this point as “LF”—short for “laws of physics.”) If correct, LF is a complete disaster for CF. First of all, LF is an empirical point. Empirical investigation might or might not bear it out. But even if it did bear it out, the mere fact that empirical research was needed to verify LF is enough to show that LF has no place in a philosophical analysis of counterfactuals. Such an analysis is supposed to identify what, as a matter of logic, is meant by statements like SB. It’s obviously an interesting</w:t>
      </w:r>
      <w:r>
        <w:rPr>
          <w:spacing w:val="40"/>
        </w:rPr>
        <w:t xml:space="preserve"> </w:t>
      </w:r>
      <w:r>
        <w:t xml:space="preserve">question what the correct </w:t>
      </w:r>
      <w:r>
        <w:rPr>
          <w:i/>
        </w:rPr>
        <w:t xml:space="preserve">physical </w:t>
      </w:r>
      <w:r>
        <w:t xml:space="preserve">analysis of SB is. But here we’re doing logical, not physical, analysis; we’re making it clear what SB </w:t>
      </w:r>
      <w:r>
        <w:rPr>
          <w:i/>
        </w:rPr>
        <w:t xml:space="preserve">means. </w:t>
      </w:r>
      <w:r>
        <w:t xml:space="preserve">And surely what SB </w:t>
      </w:r>
      <w:r>
        <w:rPr>
          <w:i/>
        </w:rPr>
        <w:t xml:space="preserve">means </w:t>
      </w:r>
      <w:r>
        <w:t xml:space="preserve">doesn’t include some as-of-yet undiscovered laws of </w:t>
      </w:r>
      <w:r>
        <w:rPr>
          <w:spacing w:val="-2"/>
        </w:rPr>
        <w:t>physics.</w:t>
      </w:r>
    </w:p>
    <w:p w14:paraId="7E001F8A" w14:textId="77777777" w:rsidR="009A58DB" w:rsidRDefault="00000000">
      <w:pPr>
        <w:pStyle w:val="BodyText"/>
        <w:spacing w:before="18"/>
        <w:ind w:left="720"/>
      </w:pPr>
      <w:r>
        <w:t>We</w:t>
      </w:r>
      <w:r>
        <w:rPr>
          <w:spacing w:val="-6"/>
        </w:rPr>
        <w:t xml:space="preserve"> </w:t>
      </w:r>
      <w:r>
        <w:t>may</w:t>
      </w:r>
      <w:r>
        <w:rPr>
          <w:spacing w:val="-3"/>
        </w:rPr>
        <w:t xml:space="preserve"> </w:t>
      </w:r>
      <w:r>
        <w:t>conclude</w:t>
      </w:r>
      <w:r>
        <w:rPr>
          <w:spacing w:val="-4"/>
        </w:rPr>
        <w:t xml:space="preserve"> </w:t>
      </w:r>
      <w:r>
        <w:t>that</w:t>
      </w:r>
      <w:r>
        <w:rPr>
          <w:spacing w:val="-3"/>
        </w:rPr>
        <w:t xml:space="preserve"> </w:t>
      </w:r>
      <w:r>
        <w:t>the</w:t>
      </w:r>
      <w:r>
        <w:rPr>
          <w:spacing w:val="-4"/>
        </w:rPr>
        <w:t xml:space="preserve"> </w:t>
      </w:r>
      <w:r>
        <w:t>counterfactual</w:t>
      </w:r>
      <w:r>
        <w:rPr>
          <w:spacing w:val="-4"/>
        </w:rPr>
        <w:t xml:space="preserve"> </w:t>
      </w:r>
      <w:r>
        <w:t>analysis</w:t>
      </w:r>
      <w:r>
        <w:rPr>
          <w:spacing w:val="-4"/>
        </w:rPr>
        <w:t xml:space="preserve"> </w:t>
      </w:r>
      <w:r>
        <w:t>of</w:t>
      </w:r>
      <w:r>
        <w:rPr>
          <w:spacing w:val="-3"/>
        </w:rPr>
        <w:t xml:space="preserve"> </w:t>
      </w:r>
      <w:r>
        <w:t>causation</w:t>
      </w:r>
      <w:r>
        <w:rPr>
          <w:spacing w:val="-3"/>
        </w:rPr>
        <w:t xml:space="preserve"> </w:t>
      </w:r>
      <w:r>
        <w:t>is</w:t>
      </w:r>
      <w:r>
        <w:rPr>
          <w:spacing w:val="-4"/>
        </w:rPr>
        <w:t xml:space="preserve"> </w:t>
      </w:r>
      <w:r>
        <w:t>a</w:t>
      </w:r>
      <w:r>
        <w:rPr>
          <w:spacing w:val="-3"/>
        </w:rPr>
        <w:t xml:space="preserve"> </w:t>
      </w:r>
      <w:r>
        <w:rPr>
          <w:spacing w:val="-2"/>
        </w:rPr>
        <w:t>failure.</w:t>
      </w:r>
    </w:p>
    <w:p w14:paraId="7E001F8B" w14:textId="77777777" w:rsidR="009A58DB" w:rsidRDefault="00000000">
      <w:pPr>
        <w:pStyle w:val="Heading1"/>
        <w:numPr>
          <w:ilvl w:val="1"/>
          <w:numId w:val="81"/>
        </w:numPr>
        <w:tabs>
          <w:tab w:val="left" w:pos="810"/>
          <w:tab w:val="left" w:pos="1037"/>
        </w:tabs>
        <w:spacing w:line="244" w:lineRule="auto"/>
        <w:ind w:left="810" w:right="698" w:hanging="450"/>
        <w:jc w:val="both"/>
      </w:pPr>
      <w:r>
        <w:t>David Lewis’ analysis of counterfactual truth and his concomitant defense of the counterfactual analysis</w:t>
      </w:r>
    </w:p>
    <w:p w14:paraId="7E001F8C" w14:textId="77777777" w:rsidR="009A58DB" w:rsidRDefault="00000000">
      <w:pPr>
        <w:pStyle w:val="BodyText"/>
        <w:spacing w:before="134" w:line="249" w:lineRule="auto"/>
        <w:ind w:right="358"/>
      </w:pPr>
      <w:r>
        <w:t>Should it turn out that the concept of counterfactual truth has no logical integrity, it would follow that CF had no logical integrity. But we can’t know whether that concept has any integrity until we have an answer to the question: what does it mean to say that, if P had been the case, Q would have been the case?</w:t>
      </w:r>
    </w:p>
    <w:p w14:paraId="7E001F8D" w14:textId="77777777" w:rsidR="009A58DB" w:rsidRDefault="00000000">
      <w:pPr>
        <w:pStyle w:val="BodyText"/>
        <w:spacing w:before="6" w:line="249" w:lineRule="auto"/>
        <w:ind w:right="366" w:firstLine="360"/>
      </w:pPr>
      <w:r>
        <w:t>The most famous analysis of counterfactual truth is due to David Lewis (1941–2001).</w:t>
      </w:r>
      <w:bookmarkStart w:id="438" w:name="_bookmark438"/>
      <w:bookmarkEnd w:id="438"/>
      <w:r>
        <w:rPr>
          <w:color w:val="0562C1"/>
          <w:position w:val="21"/>
          <w:u w:val="single" w:color="0562C1"/>
        </w:rPr>
        <w:t>[320]</w:t>
      </w:r>
      <w:r>
        <w:rPr>
          <w:color w:val="0562C1"/>
          <w:position w:val="21"/>
        </w:rPr>
        <w:t xml:space="preserve"> </w:t>
      </w:r>
      <w:r>
        <w:t>His analysis is beautifully clear and straightforward. According to Lewis, the meaning of:</w:t>
      </w:r>
    </w:p>
    <w:p w14:paraId="7E001F8E" w14:textId="77777777" w:rsidR="009A58DB" w:rsidRDefault="00000000">
      <w:pPr>
        <w:pStyle w:val="BodyText"/>
        <w:spacing w:before="109"/>
      </w:pPr>
      <w:r>
        <w:t>(K</w:t>
      </w:r>
      <w:bookmarkStart w:id="439" w:name="_bookmark439"/>
      <w:bookmarkEnd w:id="439"/>
      <w:r>
        <w:t>N</w:t>
      </w:r>
      <w:r>
        <w:rPr>
          <w:color w:val="0562C1"/>
          <w:position w:val="21"/>
          <w:u w:val="single" w:color="0562C1"/>
        </w:rPr>
        <w:t>[321]</w:t>
      </w:r>
      <w:r>
        <w:t>)</w:t>
      </w:r>
      <w:r>
        <w:rPr>
          <w:spacing w:val="-6"/>
        </w:rPr>
        <w:t xml:space="preserve"> </w:t>
      </w:r>
      <w:r>
        <w:t>“if</w:t>
      </w:r>
      <w:r>
        <w:rPr>
          <w:spacing w:val="-4"/>
        </w:rPr>
        <w:t xml:space="preserve"> </w:t>
      </w:r>
      <w:r>
        <w:t>kangaroos</w:t>
      </w:r>
      <w:r>
        <w:rPr>
          <w:spacing w:val="-4"/>
        </w:rPr>
        <w:t xml:space="preserve"> </w:t>
      </w:r>
      <w:r>
        <w:t>didn’t</w:t>
      </w:r>
      <w:r>
        <w:rPr>
          <w:spacing w:val="-4"/>
        </w:rPr>
        <w:t xml:space="preserve"> </w:t>
      </w:r>
      <w:r>
        <w:t>have</w:t>
      </w:r>
      <w:r>
        <w:rPr>
          <w:spacing w:val="-3"/>
        </w:rPr>
        <w:t xml:space="preserve"> </w:t>
      </w:r>
      <w:r>
        <w:t>tails,</w:t>
      </w:r>
      <w:r>
        <w:rPr>
          <w:spacing w:val="-3"/>
        </w:rPr>
        <w:t xml:space="preserve"> </w:t>
      </w:r>
      <w:r>
        <w:t>they</w:t>
      </w:r>
      <w:r>
        <w:rPr>
          <w:spacing w:val="-3"/>
        </w:rPr>
        <w:t xml:space="preserve"> </w:t>
      </w:r>
      <w:r>
        <w:t>would</w:t>
      </w:r>
      <w:r>
        <w:rPr>
          <w:spacing w:val="-3"/>
        </w:rPr>
        <w:t xml:space="preserve"> </w:t>
      </w:r>
      <w:r>
        <w:t>fall</w:t>
      </w:r>
      <w:r>
        <w:rPr>
          <w:spacing w:val="-3"/>
        </w:rPr>
        <w:t xml:space="preserve"> </w:t>
      </w:r>
      <w:r>
        <w:rPr>
          <w:spacing w:val="-2"/>
        </w:rPr>
        <w:t>over”</w:t>
      </w:r>
    </w:p>
    <w:p w14:paraId="7E001F8F" w14:textId="77777777" w:rsidR="009A58DB" w:rsidRDefault="00000000">
      <w:pPr>
        <w:pStyle w:val="BodyText"/>
        <w:spacing w:before="120" w:line="249" w:lineRule="auto"/>
        <w:ind w:right="364"/>
      </w:pPr>
      <w:r>
        <w:t>is this: “given any world W where kangaroos don’t have tails, kangaroos fall over,</w:t>
      </w:r>
      <w:r>
        <w:rPr>
          <w:spacing w:val="26"/>
        </w:rPr>
        <w:t xml:space="preserve"> </w:t>
      </w:r>
      <w:r>
        <w:t>provided</w:t>
      </w:r>
      <w:r>
        <w:rPr>
          <w:spacing w:val="27"/>
        </w:rPr>
        <w:t xml:space="preserve"> </w:t>
      </w:r>
      <w:r>
        <w:t>that</w:t>
      </w:r>
      <w:r>
        <w:rPr>
          <w:spacing w:val="26"/>
        </w:rPr>
        <w:t xml:space="preserve"> </w:t>
      </w:r>
      <w:r>
        <w:t>W</w:t>
      </w:r>
      <w:r>
        <w:rPr>
          <w:spacing w:val="26"/>
        </w:rPr>
        <w:t xml:space="preserve"> </w:t>
      </w:r>
      <w:r>
        <w:t>is</w:t>
      </w:r>
      <w:r>
        <w:rPr>
          <w:spacing w:val="27"/>
        </w:rPr>
        <w:t xml:space="preserve"> </w:t>
      </w:r>
      <w:r>
        <w:t>as</w:t>
      </w:r>
      <w:r>
        <w:rPr>
          <w:spacing w:val="27"/>
        </w:rPr>
        <w:t xml:space="preserve"> </w:t>
      </w:r>
      <w:r>
        <w:t>much</w:t>
      </w:r>
      <w:r>
        <w:rPr>
          <w:spacing w:val="27"/>
        </w:rPr>
        <w:t xml:space="preserve"> </w:t>
      </w:r>
      <w:r>
        <w:t>like</w:t>
      </w:r>
      <w:r>
        <w:rPr>
          <w:spacing w:val="26"/>
        </w:rPr>
        <w:t xml:space="preserve"> </w:t>
      </w:r>
      <w:r>
        <w:t>our</w:t>
      </w:r>
      <w:r>
        <w:rPr>
          <w:spacing w:val="27"/>
        </w:rPr>
        <w:t xml:space="preserve"> </w:t>
      </w:r>
      <w:r>
        <w:t>world</w:t>
      </w:r>
      <w:r>
        <w:rPr>
          <w:spacing w:val="27"/>
        </w:rPr>
        <w:t xml:space="preserve"> </w:t>
      </w:r>
      <w:r>
        <w:t>as</w:t>
      </w:r>
      <w:r>
        <w:rPr>
          <w:spacing w:val="27"/>
        </w:rPr>
        <w:t xml:space="preserve"> </w:t>
      </w:r>
      <w:r>
        <w:t>is</w:t>
      </w:r>
      <w:r>
        <w:rPr>
          <w:spacing w:val="26"/>
        </w:rPr>
        <w:t xml:space="preserve"> </w:t>
      </w:r>
      <w:r>
        <w:t>permitted</w:t>
      </w:r>
      <w:r>
        <w:rPr>
          <w:spacing w:val="27"/>
        </w:rPr>
        <w:t xml:space="preserve"> </w:t>
      </w:r>
      <w:r>
        <w:t>by</w:t>
      </w:r>
      <w:r>
        <w:rPr>
          <w:spacing w:val="27"/>
        </w:rPr>
        <w:t xml:space="preserve"> </w:t>
      </w:r>
      <w:r>
        <w:t>the</w:t>
      </w:r>
      <w:r>
        <w:rPr>
          <w:spacing w:val="27"/>
        </w:rPr>
        <w:t xml:space="preserve"> </w:t>
      </w:r>
      <w:r>
        <w:t>fact</w:t>
      </w:r>
    </w:p>
    <w:p w14:paraId="7E001F9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91" w14:textId="77777777" w:rsidR="009A58DB" w:rsidRDefault="00000000">
      <w:pPr>
        <w:pStyle w:val="BodyText"/>
        <w:spacing w:before="70"/>
        <w:jc w:val="left"/>
      </w:pPr>
      <w:r>
        <w:lastRenderedPageBreak/>
        <w:t>that,</w:t>
      </w:r>
      <w:r>
        <w:rPr>
          <w:spacing w:val="-2"/>
        </w:rPr>
        <w:t xml:space="preserve"> </w:t>
      </w:r>
      <w:r>
        <w:t>in</w:t>
      </w:r>
      <w:r>
        <w:rPr>
          <w:spacing w:val="-2"/>
        </w:rPr>
        <w:t xml:space="preserve"> </w:t>
      </w:r>
      <w:r>
        <w:t>it,</w:t>
      </w:r>
      <w:r>
        <w:rPr>
          <w:spacing w:val="-2"/>
        </w:rPr>
        <w:t xml:space="preserve"> </w:t>
      </w:r>
      <w:r>
        <w:t>kangaroos</w:t>
      </w:r>
      <w:r>
        <w:rPr>
          <w:spacing w:val="-3"/>
        </w:rPr>
        <w:t xml:space="preserve"> </w:t>
      </w:r>
      <w:r>
        <w:t>don’t</w:t>
      </w:r>
      <w:r>
        <w:rPr>
          <w:spacing w:val="-3"/>
        </w:rPr>
        <w:t xml:space="preserve"> </w:t>
      </w:r>
      <w:r>
        <w:t>have</w:t>
      </w:r>
      <w:r>
        <w:rPr>
          <w:spacing w:val="-2"/>
        </w:rPr>
        <w:t xml:space="preserve"> tails.”</w:t>
      </w:r>
    </w:p>
    <w:p w14:paraId="7E001F92" w14:textId="77777777" w:rsidR="009A58DB" w:rsidRDefault="00000000">
      <w:pPr>
        <w:pStyle w:val="BodyText"/>
        <w:spacing w:before="10" w:line="249" w:lineRule="auto"/>
        <w:ind w:firstLine="720"/>
        <w:jc w:val="left"/>
      </w:pPr>
      <w:r>
        <w:t>In</w:t>
      </w:r>
      <w:r>
        <w:rPr>
          <w:spacing w:val="80"/>
        </w:rPr>
        <w:t xml:space="preserve"> </w:t>
      </w:r>
      <w:r>
        <w:t>general,</w:t>
      </w:r>
      <w:r>
        <w:rPr>
          <w:spacing w:val="80"/>
        </w:rPr>
        <w:t xml:space="preserve"> </w:t>
      </w:r>
      <w:r>
        <w:t>the</w:t>
      </w:r>
      <w:r>
        <w:rPr>
          <w:spacing w:val="80"/>
        </w:rPr>
        <w:t xml:space="preserve"> </w:t>
      </w:r>
      <w:r>
        <w:t>right</w:t>
      </w:r>
      <w:r>
        <w:rPr>
          <w:spacing w:val="80"/>
        </w:rPr>
        <w:t xml:space="preserve"> </w:t>
      </w:r>
      <w:r>
        <w:t>analysis</w:t>
      </w:r>
      <w:r>
        <w:rPr>
          <w:spacing w:val="80"/>
        </w:rPr>
        <w:t xml:space="preserve"> </w:t>
      </w:r>
      <w:r>
        <w:t>of</w:t>
      </w:r>
      <w:r>
        <w:rPr>
          <w:spacing w:val="80"/>
        </w:rPr>
        <w:t xml:space="preserve"> </w:t>
      </w:r>
      <w:r>
        <w:t>counterfactual</w:t>
      </w:r>
      <w:r>
        <w:rPr>
          <w:spacing w:val="80"/>
        </w:rPr>
        <w:t xml:space="preserve"> </w:t>
      </w:r>
      <w:r>
        <w:t>truth,</w:t>
      </w:r>
      <w:r>
        <w:rPr>
          <w:spacing w:val="80"/>
        </w:rPr>
        <w:t xml:space="preserve"> </w:t>
      </w:r>
      <w:r>
        <w:t>according</w:t>
      </w:r>
      <w:r>
        <w:rPr>
          <w:spacing w:val="80"/>
        </w:rPr>
        <w:t xml:space="preserve"> </w:t>
      </w:r>
      <w:r>
        <w:t>to Lewis, is this:</w:t>
      </w:r>
    </w:p>
    <w:p w14:paraId="7E001F93" w14:textId="77777777" w:rsidR="009A58DB" w:rsidRDefault="00000000">
      <w:pPr>
        <w:pStyle w:val="BodyText"/>
        <w:spacing w:before="107" w:line="277" w:lineRule="exact"/>
        <w:ind w:left="859"/>
        <w:jc w:val="left"/>
      </w:pPr>
      <w:bookmarkStart w:id="440" w:name="_bookmark440"/>
      <w:bookmarkEnd w:id="440"/>
      <w:r>
        <w:rPr>
          <w:color w:val="0562C1"/>
          <w:spacing w:val="-2"/>
          <w:u w:val="single" w:color="0562C1"/>
        </w:rPr>
        <w:t>[322]</w:t>
      </w:r>
    </w:p>
    <w:p w14:paraId="7E001F94" w14:textId="77777777" w:rsidR="009A58DB" w:rsidRDefault="00000000">
      <w:pPr>
        <w:pStyle w:val="BodyText"/>
        <w:tabs>
          <w:tab w:val="left" w:pos="1509"/>
        </w:tabs>
        <w:spacing w:line="277" w:lineRule="exact"/>
        <w:jc w:val="left"/>
      </w:pPr>
      <w:r>
        <w:rPr>
          <w:spacing w:val="-5"/>
        </w:rPr>
        <w:t>(LA</w:t>
      </w:r>
      <w:r>
        <w:tab/>
        <w:t>)</w:t>
      </w:r>
      <w:r>
        <w:rPr>
          <w:spacing w:val="20"/>
        </w:rPr>
        <w:t xml:space="preserve"> </w:t>
      </w:r>
      <w:r>
        <w:t>“given</w:t>
      </w:r>
      <w:r>
        <w:rPr>
          <w:spacing w:val="22"/>
        </w:rPr>
        <w:t xml:space="preserve"> </w:t>
      </w:r>
      <w:r>
        <w:t>any</w:t>
      </w:r>
      <w:r>
        <w:rPr>
          <w:spacing w:val="23"/>
        </w:rPr>
        <w:t xml:space="preserve"> </w:t>
      </w:r>
      <w:r>
        <w:t>world</w:t>
      </w:r>
      <w:r>
        <w:rPr>
          <w:spacing w:val="22"/>
        </w:rPr>
        <w:t xml:space="preserve"> </w:t>
      </w:r>
      <w:r>
        <w:t>W</w:t>
      </w:r>
      <w:r>
        <w:rPr>
          <w:spacing w:val="23"/>
        </w:rPr>
        <w:t xml:space="preserve"> </w:t>
      </w:r>
      <w:r>
        <w:t>where</w:t>
      </w:r>
      <w:r>
        <w:rPr>
          <w:spacing w:val="22"/>
        </w:rPr>
        <w:t xml:space="preserve"> </w:t>
      </w:r>
      <w:r>
        <w:t>P</w:t>
      </w:r>
      <w:r>
        <w:rPr>
          <w:spacing w:val="23"/>
        </w:rPr>
        <w:t xml:space="preserve"> </w:t>
      </w:r>
      <w:r>
        <w:t>is</w:t>
      </w:r>
      <w:r>
        <w:rPr>
          <w:spacing w:val="22"/>
        </w:rPr>
        <w:t xml:space="preserve"> </w:t>
      </w:r>
      <w:r>
        <w:t>the</w:t>
      </w:r>
      <w:r>
        <w:rPr>
          <w:spacing w:val="22"/>
        </w:rPr>
        <w:t xml:space="preserve"> </w:t>
      </w:r>
      <w:r>
        <w:t>case,</w:t>
      </w:r>
      <w:r>
        <w:rPr>
          <w:spacing w:val="23"/>
        </w:rPr>
        <w:t xml:space="preserve"> </w:t>
      </w:r>
      <w:r>
        <w:t>Q</w:t>
      </w:r>
      <w:r>
        <w:rPr>
          <w:spacing w:val="22"/>
        </w:rPr>
        <w:t xml:space="preserve"> </w:t>
      </w:r>
      <w:r>
        <w:t>is</w:t>
      </w:r>
      <w:r>
        <w:rPr>
          <w:spacing w:val="23"/>
        </w:rPr>
        <w:t xml:space="preserve"> </w:t>
      </w:r>
      <w:r>
        <w:t>the</w:t>
      </w:r>
      <w:r>
        <w:rPr>
          <w:spacing w:val="22"/>
        </w:rPr>
        <w:t xml:space="preserve"> </w:t>
      </w:r>
      <w:r>
        <w:t>case,</w:t>
      </w:r>
      <w:r>
        <w:rPr>
          <w:spacing w:val="23"/>
        </w:rPr>
        <w:t xml:space="preserve"> </w:t>
      </w:r>
      <w:r>
        <w:rPr>
          <w:spacing w:val="-2"/>
        </w:rPr>
        <w:t>provided</w:t>
      </w:r>
    </w:p>
    <w:p w14:paraId="7E001F95" w14:textId="77777777" w:rsidR="009A58DB" w:rsidRDefault="00000000">
      <w:pPr>
        <w:pStyle w:val="BodyText"/>
        <w:spacing w:before="15" w:line="249" w:lineRule="auto"/>
        <w:jc w:val="left"/>
      </w:pPr>
      <w:r>
        <w:t xml:space="preserve">that W is as much like our world as is permitted by the fact that, in it, P is the </w:t>
      </w:r>
      <w:r>
        <w:rPr>
          <w:spacing w:val="-2"/>
        </w:rPr>
        <w:t>case.”</w:t>
      </w:r>
    </w:p>
    <w:p w14:paraId="7E001F96" w14:textId="77777777" w:rsidR="009A58DB" w:rsidRDefault="00000000">
      <w:pPr>
        <w:pStyle w:val="Heading1"/>
        <w:numPr>
          <w:ilvl w:val="2"/>
          <w:numId w:val="81"/>
        </w:numPr>
        <w:tabs>
          <w:tab w:val="left" w:pos="1305"/>
        </w:tabs>
        <w:spacing w:before="191"/>
      </w:pPr>
      <w:r>
        <w:t>The</w:t>
      </w:r>
      <w:r>
        <w:rPr>
          <w:spacing w:val="-6"/>
        </w:rPr>
        <w:t xml:space="preserve"> </w:t>
      </w:r>
      <w:r>
        <w:t>role</w:t>
      </w:r>
      <w:r>
        <w:rPr>
          <w:spacing w:val="-3"/>
        </w:rPr>
        <w:t xml:space="preserve"> </w:t>
      </w:r>
      <w:r>
        <w:t>of</w:t>
      </w:r>
      <w:r>
        <w:rPr>
          <w:spacing w:val="-4"/>
        </w:rPr>
        <w:t xml:space="preserve"> </w:t>
      </w:r>
      <w:r>
        <w:t>other</w:t>
      </w:r>
      <w:r>
        <w:rPr>
          <w:spacing w:val="-3"/>
        </w:rPr>
        <w:t xml:space="preserve"> </w:t>
      </w:r>
      <w:r>
        <w:t>worlds</w:t>
      </w:r>
      <w:r>
        <w:rPr>
          <w:spacing w:val="-4"/>
        </w:rPr>
        <w:t xml:space="preserve"> </w:t>
      </w:r>
      <w:r>
        <w:t>in</w:t>
      </w:r>
      <w:r>
        <w:rPr>
          <w:spacing w:val="-3"/>
        </w:rPr>
        <w:t xml:space="preserve"> </w:t>
      </w:r>
      <w:r>
        <w:t>Lewis’</w:t>
      </w:r>
      <w:r>
        <w:rPr>
          <w:spacing w:val="-3"/>
        </w:rPr>
        <w:t xml:space="preserve"> </w:t>
      </w:r>
      <w:r>
        <w:rPr>
          <w:spacing w:val="-2"/>
        </w:rPr>
        <w:t>analysis</w:t>
      </w:r>
    </w:p>
    <w:p w14:paraId="7E001F97" w14:textId="77777777" w:rsidR="009A58DB" w:rsidRDefault="00000000">
      <w:pPr>
        <w:pStyle w:val="BodyText"/>
        <w:spacing w:before="139" w:line="249" w:lineRule="auto"/>
        <w:ind w:right="360"/>
      </w:pPr>
      <w:r>
        <w:t>Lewis’ analysis obviously assumes that other “worlds” exist. This raises the question: what does Lewis mean by the term “world”? There are two options. Option 1: Like our world, these other worlds are space-time manifolds that are populated by objects and events. Option 2: These other “worlds” are representations of some kind or other (sets of statements, presumably). Let’s consider each option.</w:t>
      </w:r>
    </w:p>
    <w:p w14:paraId="7E001F98" w14:textId="77777777" w:rsidR="009A58DB" w:rsidRDefault="00000000">
      <w:pPr>
        <w:pStyle w:val="BodyText"/>
        <w:spacing w:before="7" w:line="249" w:lineRule="auto"/>
        <w:ind w:right="359" w:firstLine="360"/>
      </w:pPr>
      <w:r>
        <w:t xml:space="preserve">For argument’s sake, assume that these worlds are sets of statements. In that case, if LA is correct, counterfactuals merely register interpropositional relations. In other words, KN merely registers the fact that the </w:t>
      </w:r>
      <w:r>
        <w:rPr>
          <w:i/>
        </w:rPr>
        <w:t xml:space="preserve">statement </w:t>
      </w:r>
      <w:r>
        <w:t xml:space="preserve">“kangaroos don’t have tails” bears some sort of relation (presumably, one of confirmation) to the </w:t>
      </w:r>
      <w:r>
        <w:rPr>
          <w:i/>
        </w:rPr>
        <w:t xml:space="preserve">statement </w:t>
      </w:r>
      <w:r>
        <w:t xml:space="preserve">“kangaroos fall over.” But if </w:t>
      </w:r>
      <w:r>
        <w:rPr>
          <w:i/>
        </w:rPr>
        <w:t xml:space="preserve">that’s </w:t>
      </w:r>
      <w:r>
        <w:t xml:space="preserve">the right analysis, then until this relation is identified, LA </w:t>
      </w:r>
      <w:r>
        <w:rPr>
          <w:i/>
        </w:rPr>
        <w:t xml:space="preserve">fails </w:t>
      </w:r>
      <w:r>
        <w:t>to say what counterfactuals are. And once it does identify that relation, it won’t be necessary to talk about other worlds at all.</w:t>
      </w:r>
    </w:p>
    <w:p w14:paraId="7E001F99" w14:textId="77777777" w:rsidR="009A58DB" w:rsidRDefault="00000000">
      <w:pPr>
        <w:pStyle w:val="BodyText"/>
        <w:spacing w:before="10" w:line="249" w:lineRule="auto"/>
        <w:ind w:right="360" w:firstLine="360"/>
      </w:pPr>
      <w:r>
        <w:t xml:space="preserve">Lewis sees this and, for this very reason, he holds that the worlds in question are real worlds—space-time manifolds populated by events and objects. Lewis is thus a </w:t>
      </w:r>
      <w:r>
        <w:rPr>
          <w:i/>
        </w:rPr>
        <w:t xml:space="preserve">realist </w:t>
      </w:r>
      <w:r>
        <w:t>about other worlds.</w:t>
      </w:r>
    </w:p>
    <w:p w14:paraId="7E001F9A" w14:textId="77777777" w:rsidR="009A58DB" w:rsidRDefault="00000000">
      <w:pPr>
        <w:pStyle w:val="Heading1"/>
        <w:numPr>
          <w:ilvl w:val="2"/>
          <w:numId w:val="81"/>
        </w:numPr>
        <w:tabs>
          <w:tab w:val="left" w:pos="1305"/>
        </w:tabs>
        <w:spacing w:before="192"/>
      </w:pPr>
      <w:r>
        <w:t>Some</w:t>
      </w:r>
      <w:r>
        <w:rPr>
          <w:spacing w:val="-7"/>
        </w:rPr>
        <w:t xml:space="preserve"> </w:t>
      </w:r>
      <w:r>
        <w:t>consequences</w:t>
      </w:r>
      <w:r>
        <w:rPr>
          <w:spacing w:val="-4"/>
        </w:rPr>
        <w:t xml:space="preserve"> </w:t>
      </w:r>
      <w:r>
        <w:t>of</w:t>
      </w:r>
      <w:r>
        <w:rPr>
          <w:spacing w:val="-5"/>
        </w:rPr>
        <w:t xml:space="preserve"> </w:t>
      </w:r>
      <w:r>
        <w:t>modal</w:t>
      </w:r>
      <w:r>
        <w:rPr>
          <w:spacing w:val="-4"/>
        </w:rPr>
        <w:t xml:space="preserve"> </w:t>
      </w:r>
      <w:r>
        <w:rPr>
          <w:spacing w:val="-2"/>
        </w:rPr>
        <w:t>realism</w:t>
      </w:r>
    </w:p>
    <w:p w14:paraId="7E001F9B" w14:textId="77777777" w:rsidR="009A58DB" w:rsidRDefault="00000000">
      <w:pPr>
        <w:pStyle w:val="BodyText"/>
        <w:spacing w:before="139"/>
        <w:jc w:val="left"/>
      </w:pPr>
      <w:r>
        <w:t>As</w:t>
      </w:r>
      <w:r>
        <w:rPr>
          <w:spacing w:val="-6"/>
        </w:rPr>
        <w:t xml:space="preserve"> </w:t>
      </w:r>
      <w:r>
        <w:t>you</w:t>
      </w:r>
      <w:r>
        <w:rPr>
          <w:spacing w:val="-3"/>
        </w:rPr>
        <w:t xml:space="preserve"> </w:t>
      </w:r>
      <w:r>
        <w:t>might</w:t>
      </w:r>
      <w:r>
        <w:rPr>
          <w:spacing w:val="-4"/>
        </w:rPr>
        <w:t xml:space="preserve"> </w:t>
      </w:r>
      <w:r>
        <w:t>predict,</w:t>
      </w:r>
      <w:r>
        <w:rPr>
          <w:spacing w:val="-3"/>
        </w:rPr>
        <w:t xml:space="preserve"> </w:t>
      </w:r>
      <w:r>
        <w:t>the</w:t>
      </w:r>
      <w:r>
        <w:rPr>
          <w:spacing w:val="-4"/>
        </w:rPr>
        <w:t xml:space="preserve"> </w:t>
      </w:r>
      <w:r>
        <w:t>standard</w:t>
      </w:r>
      <w:r>
        <w:rPr>
          <w:spacing w:val="-2"/>
        </w:rPr>
        <w:t xml:space="preserve"> </w:t>
      </w:r>
      <w:r>
        <w:t>objection</w:t>
      </w:r>
      <w:r>
        <w:rPr>
          <w:spacing w:val="-3"/>
        </w:rPr>
        <w:t xml:space="preserve"> </w:t>
      </w:r>
      <w:r>
        <w:t>to</w:t>
      </w:r>
      <w:r>
        <w:rPr>
          <w:spacing w:val="-3"/>
        </w:rPr>
        <w:t xml:space="preserve"> </w:t>
      </w:r>
      <w:r>
        <w:t>Lewis’</w:t>
      </w:r>
      <w:r>
        <w:rPr>
          <w:spacing w:val="-4"/>
        </w:rPr>
        <w:t xml:space="preserve"> </w:t>
      </w:r>
      <w:r>
        <w:t>analysis</w:t>
      </w:r>
      <w:r>
        <w:rPr>
          <w:spacing w:val="-4"/>
        </w:rPr>
        <w:t xml:space="preserve"> </w:t>
      </w:r>
      <w:r>
        <w:t>is</w:t>
      </w:r>
      <w:r>
        <w:rPr>
          <w:spacing w:val="-3"/>
        </w:rPr>
        <w:t xml:space="preserve"> </w:t>
      </w:r>
      <w:r>
        <w:rPr>
          <w:spacing w:val="-2"/>
        </w:rPr>
        <w:t>that:</w:t>
      </w:r>
    </w:p>
    <w:p w14:paraId="7E001F9C" w14:textId="77777777" w:rsidR="009A58DB" w:rsidRDefault="009A58DB">
      <w:pPr>
        <w:pStyle w:val="BodyText"/>
        <w:ind w:left="0"/>
        <w:jc w:val="left"/>
      </w:pPr>
    </w:p>
    <w:p w14:paraId="7E001F9D" w14:textId="77777777" w:rsidR="009A58DB" w:rsidRDefault="009A58DB">
      <w:pPr>
        <w:pStyle w:val="BodyText"/>
        <w:spacing w:before="15"/>
        <w:ind w:left="0"/>
        <w:jc w:val="left"/>
      </w:pPr>
    </w:p>
    <w:p w14:paraId="7E001F9E" w14:textId="77777777" w:rsidR="009A58DB" w:rsidRDefault="00000000">
      <w:pPr>
        <w:pStyle w:val="BodyText"/>
        <w:spacing w:line="249" w:lineRule="auto"/>
        <w:ind w:left="1230" w:right="1218"/>
      </w:pPr>
      <w:r>
        <w:t xml:space="preserve">We don’t know if there are other worlds. What we </w:t>
      </w:r>
      <w:r>
        <w:rPr>
          <w:i/>
        </w:rPr>
        <w:t xml:space="preserve">do </w:t>
      </w:r>
      <w:r>
        <w:t>know is that, even if there are other worlds, we don’t know anything about</w:t>
      </w:r>
      <w:r>
        <w:rPr>
          <w:spacing w:val="-5"/>
        </w:rPr>
        <w:t xml:space="preserve"> </w:t>
      </w:r>
      <w:r>
        <w:t>them.</w:t>
      </w:r>
      <w:r>
        <w:rPr>
          <w:spacing w:val="-4"/>
        </w:rPr>
        <w:t xml:space="preserve"> </w:t>
      </w:r>
      <w:r>
        <w:t>So</w:t>
      </w:r>
      <w:r>
        <w:rPr>
          <w:spacing w:val="-4"/>
        </w:rPr>
        <w:t xml:space="preserve"> </w:t>
      </w:r>
      <w:r>
        <w:t>nothing</w:t>
      </w:r>
      <w:r>
        <w:rPr>
          <w:spacing w:val="-4"/>
        </w:rPr>
        <w:t xml:space="preserve"> </w:t>
      </w:r>
      <w:r>
        <w:t>happening</w:t>
      </w:r>
      <w:r>
        <w:rPr>
          <w:spacing w:val="-4"/>
        </w:rPr>
        <w:t xml:space="preserve"> </w:t>
      </w:r>
      <w:r>
        <w:t>in</w:t>
      </w:r>
      <w:r>
        <w:rPr>
          <w:spacing w:val="-4"/>
        </w:rPr>
        <w:t xml:space="preserve"> </w:t>
      </w:r>
      <w:r>
        <w:t>these</w:t>
      </w:r>
      <w:r>
        <w:rPr>
          <w:spacing w:val="-5"/>
        </w:rPr>
        <w:t xml:space="preserve"> </w:t>
      </w:r>
      <w:r>
        <w:t>other</w:t>
      </w:r>
      <w:r>
        <w:rPr>
          <w:spacing w:val="-5"/>
        </w:rPr>
        <w:t xml:space="preserve"> </w:t>
      </w:r>
      <w:r>
        <w:t>worlds,</w:t>
      </w:r>
      <w:r>
        <w:rPr>
          <w:spacing w:val="-4"/>
        </w:rPr>
        <w:t xml:space="preserve"> </w:t>
      </w:r>
      <w:r>
        <w:t>if</w:t>
      </w:r>
      <w:r>
        <w:rPr>
          <w:spacing w:val="-5"/>
        </w:rPr>
        <w:t xml:space="preserve"> </w:t>
      </w:r>
      <w:r>
        <w:t>they even</w:t>
      </w:r>
      <w:r>
        <w:rPr>
          <w:spacing w:val="40"/>
        </w:rPr>
        <w:t xml:space="preserve"> </w:t>
      </w:r>
      <w:r>
        <w:t>exist,</w:t>
      </w:r>
      <w:r>
        <w:rPr>
          <w:spacing w:val="40"/>
        </w:rPr>
        <w:t xml:space="preserve"> </w:t>
      </w:r>
      <w:r>
        <w:t>justifies</w:t>
      </w:r>
      <w:r>
        <w:rPr>
          <w:spacing w:val="40"/>
        </w:rPr>
        <w:t xml:space="preserve"> </w:t>
      </w:r>
      <w:r>
        <w:t>these</w:t>
      </w:r>
      <w:r>
        <w:rPr>
          <w:spacing w:val="40"/>
        </w:rPr>
        <w:t xml:space="preserve"> </w:t>
      </w:r>
      <w:r>
        <w:t>beliefs</w:t>
      </w:r>
      <w:r>
        <w:rPr>
          <w:spacing w:val="40"/>
        </w:rPr>
        <w:t xml:space="preserve"> </w:t>
      </w:r>
      <w:r>
        <w:t>or,</w:t>
      </w:r>
      <w:r>
        <w:rPr>
          <w:spacing w:val="40"/>
        </w:rPr>
        <w:t xml:space="preserve"> </w:t>
      </w:r>
      <w:r>
        <w:t>therefore,</w:t>
      </w:r>
      <w:r>
        <w:rPr>
          <w:spacing w:val="40"/>
        </w:rPr>
        <w:t xml:space="preserve"> </w:t>
      </w:r>
      <w:r>
        <w:t>provides</w:t>
      </w:r>
      <w:r>
        <w:rPr>
          <w:spacing w:val="40"/>
        </w:rPr>
        <w:t xml:space="preserve"> </w:t>
      </w:r>
      <w:r>
        <w:t>the</w:t>
      </w:r>
    </w:p>
    <w:p w14:paraId="7E001F9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A0" w14:textId="77777777" w:rsidR="009A58DB" w:rsidRDefault="00000000">
      <w:pPr>
        <w:pStyle w:val="BodyText"/>
        <w:spacing w:before="71"/>
        <w:ind w:left="1230"/>
        <w:jc w:val="left"/>
      </w:pPr>
      <w:r>
        <w:lastRenderedPageBreak/>
        <w:t>basis</w:t>
      </w:r>
      <w:r>
        <w:rPr>
          <w:spacing w:val="-7"/>
        </w:rPr>
        <w:t xml:space="preserve"> </w:t>
      </w:r>
      <w:r>
        <w:t>for</w:t>
      </w:r>
      <w:r>
        <w:rPr>
          <w:spacing w:val="-4"/>
        </w:rPr>
        <w:t xml:space="preserve"> </w:t>
      </w:r>
      <w:r>
        <w:t>our</w:t>
      </w:r>
      <w:r>
        <w:rPr>
          <w:spacing w:val="-4"/>
        </w:rPr>
        <w:t xml:space="preserve"> </w:t>
      </w:r>
      <w:r>
        <w:t>counterfactual</w:t>
      </w:r>
      <w:r>
        <w:rPr>
          <w:spacing w:val="-4"/>
        </w:rPr>
        <w:t xml:space="preserve"> </w:t>
      </w:r>
      <w:r>
        <w:rPr>
          <w:spacing w:val="-2"/>
        </w:rPr>
        <w:t>knowledge.</w:t>
      </w:r>
    </w:p>
    <w:p w14:paraId="7E001FA1" w14:textId="77777777" w:rsidR="009A58DB" w:rsidRDefault="00000000">
      <w:pPr>
        <w:pStyle w:val="BodyText"/>
        <w:spacing w:before="234" w:line="249" w:lineRule="auto"/>
        <w:ind w:right="360" w:firstLine="360"/>
      </w:pPr>
      <w:r>
        <w:t xml:space="preserve">That may be true. But let’s start out by </w:t>
      </w:r>
      <w:r>
        <w:rPr>
          <w:i/>
        </w:rPr>
        <w:t xml:space="preserve">granting </w:t>
      </w:r>
      <w:r>
        <w:t xml:space="preserve">Lewis’ assumption that counterfactuals, when true, hold in virtue of states of affairs that obtain in veritable alternative worlds. If we show that </w:t>
      </w:r>
      <w:r>
        <w:rPr>
          <w:i/>
        </w:rPr>
        <w:t xml:space="preserve">given this assumption, </w:t>
      </w:r>
      <w:r>
        <w:t>LA fails, then we’ve shown that it fails relative to its own terms and that there is thus no hope for it.</w:t>
      </w:r>
    </w:p>
    <w:p w14:paraId="7E001FA2" w14:textId="77777777" w:rsidR="009A58DB" w:rsidRDefault="00000000">
      <w:pPr>
        <w:pStyle w:val="BodyText"/>
        <w:spacing w:before="6" w:line="249" w:lineRule="auto"/>
        <w:ind w:right="369" w:firstLine="360"/>
      </w:pPr>
      <w:r>
        <w:t xml:space="preserve">Let W be </w:t>
      </w:r>
      <w:r>
        <w:rPr>
          <w:i/>
        </w:rPr>
        <w:t xml:space="preserve">our </w:t>
      </w:r>
      <w:r>
        <w:t>world—the real world. In W, Smith intentionally shoots Jones, killing him. There were no other threats to Jones’ life; therefore:</w:t>
      </w:r>
    </w:p>
    <w:p w14:paraId="7E001FA3" w14:textId="77777777" w:rsidR="009A58DB" w:rsidRDefault="00000000">
      <w:pPr>
        <w:pStyle w:val="BodyText"/>
        <w:spacing w:before="92" w:line="324" w:lineRule="auto"/>
        <w:ind w:right="3054"/>
      </w:pPr>
      <w:r>
        <w:t>(SK)</w:t>
      </w:r>
      <w:r>
        <w:rPr>
          <w:spacing w:val="-5"/>
        </w:rPr>
        <w:t xml:space="preserve"> </w:t>
      </w:r>
      <w:r>
        <w:t>If</w:t>
      </w:r>
      <w:r>
        <w:rPr>
          <w:spacing w:val="-5"/>
        </w:rPr>
        <w:t xml:space="preserve"> </w:t>
      </w:r>
      <w:r>
        <w:t>Smith</w:t>
      </w:r>
      <w:r>
        <w:rPr>
          <w:spacing w:val="-4"/>
        </w:rPr>
        <w:t xml:space="preserve"> </w:t>
      </w:r>
      <w:r>
        <w:t>had</w:t>
      </w:r>
      <w:r>
        <w:rPr>
          <w:spacing w:val="-4"/>
        </w:rPr>
        <w:t xml:space="preserve"> </w:t>
      </w:r>
      <w:r>
        <w:t>not</w:t>
      </w:r>
      <w:r>
        <w:rPr>
          <w:spacing w:val="-5"/>
        </w:rPr>
        <w:t xml:space="preserve"> </w:t>
      </w:r>
      <w:r>
        <w:t>shot</w:t>
      </w:r>
      <w:r>
        <w:rPr>
          <w:spacing w:val="-5"/>
        </w:rPr>
        <w:t xml:space="preserve"> </w:t>
      </w:r>
      <w:r>
        <w:t>Jones,</w:t>
      </w:r>
      <w:r>
        <w:rPr>
          <w:spacing w:val="-4"/>
        </w:rPr>
        <w:t xml:space="preserve"> </w:t>
      </w:r>
      <w:r>
        <w:t>Jones</w:t>
      </w:r>
      <w:r>
        <w:rPr>
          <w:spacing w:val="-5"/>
        </w:rPr>
        <w:t xml:space="preserve"> </w:t>
      </w:r>
      <w:r>
        <w:t>would</w:t>
      </w:r>
      <w:r>
        <w:rPr>
          <w:spacing w:val="-4"/>
        </w:rPr>
        <w:t xml:space="preserve"> </w:t>
      </w:r>
      <w:r>
        <w:t>be</w:t>
      </w:r>
      <w:r>
        <w:rPr>
          <w:spacing w:val="-5"/>
        </w:rPr>
        <w:t xml:space="preserve"> </w:t>
      </w:r>
      <w:r>
        <w:t>alive. If LA is right, SK means the following:</w:t>
      </w:r>
    </w:p>
    <w:p w14:paraId="7E001FA4" w14:textId="77777777" w:rsidR="009A58DB" w:rsidRDefault="00000000">
      <w:pPr>
        <w:pStyle w:val="BodyText"/>
        <w:spacing w:line="249" w:lineRule="auto"/>
        <w:ind w:right="363"/>
      </w:pPr>
      <w:r>
        <w:t>(LASK): Let W* be a world where Smith doesn’t shoot Jones but that is as much like our world as that fact lets it be: in W*, Jones is alive.</w:t>
      </w:r>
    </w:p>
    <w:p w14:paraId="7E001FA5" w14:textId="77777777" w:rsidR="009A58DB" w:rsidRDefault="00000000">
      <w:pPr>
        <w:pStyle w:val="BodyText"/>
        <w:spacing w:before="91" w:line="249" w:lineRule="auto"/>
        <w:ind w:right="360"/>
      </w:pPr>
      <w:r>
        <w:t xml:space="preserve">In W, Smith doesn’t </w:t>
      </w:r>
      <w:r>
        <w:rPr>
          <w:i/>
        </w:rPr>
        <w:t>just</w:t>
      </w:r>
      <w:r>
        <w:rPr>
          <w:i/>
          <w:spacing w:val="-3"/>
        </w:rPr>
        <w:t xml:space="preserve"> </w:t>
      </w:r>
      <w:r>
        <w:t>shoot Jones. That event has a cause. (It actually has</w:t>
      </w:r>
      <w:r>
        <w:rPr>
          <w:spacing w:val="40"/>
        </w:rPr>
        <w:t xml:space="preserve"> </w:t>
      </w:r>
      <w:r>
        <w:t>a plurality of causes. But for the sake of simplicity, we’ll just speak of “the cause” of that event.) Let E be that cause. Presumably E has as at least one of its ingredients Smith’s intention to kill Jones. But whatever E is, it can’t</w:t>
      </w:r>
      <w:r>
        <w:rPr>
          <w:spacing w:val="40"/>
        </w:rPr>
        <w:t xml:space="preserve"> </w:t>
      </w:r>
      <w:r>
        <w:t>occur</w:t>
      </w:r>
      <w:r>
        <w:rPr>
          <w:spacing w:val="-3"/>
        </w:rPr>
        <w:t xml:space="preserve"> </w:t>
      </w:r>
      <w:r>
        <w:t>in</w:t>
      </w:r>
      <w:r>
        <w:rPr>
          <w:spacing w:val="-2"/>
        </w:rPr>
        <w:t xml:space="preserve"> </w:t>
      </w:r>
      <w:r>
        <w:t>W*,</w:t>
      </w:r>
      <w:r>
        <w:rPr>
          <w:spacing w:val="-2"/>
        </w:rPr>
        <w:t xml:space="preserve"> </w:t>
      </w:r>
      <w:r>
        <w:t>at</w:t>
      </w:r>
      <w:r>
        <w:rPr>
          <w:spacing w:val="-3"/>
        </w:rPr>
        <w:t xml:space="preserve"> </w:t>
      </w:r>
      <w:r>
        <w:t>least</w:t>
      </w:r>
      <w:r>
        <w:rPr>
          <w:spacing w:val="-3"/>
        </w:rPr>
        <w:t xml:space="preserve"> </w:t>
      </w:r>
      <w:r>
        <w:t>not</w:t>
      </w:r>
      <w:r>
        <w:rPr>
          <w:spacing w:val="-3"/>
        </w:rPr>
        <w:t xml:space="preserve"> </w:t>
      </w:r>
      <w:r>
        <w:t>in</w:t>
      </w:r>
      <w:r>
        <w:rPr>
          <w:spacing w:val="-2"/>
        </w:rPr>
        <w:t xml:space="preserve"> </w:t>
      </w:r>
      <w:r>
        <w:t>its</w:t>
      </w:r>
      <w:r>
        <w:rPr>
          <w:spacing w:val="-3"/>
        </w:rPr>
        <w:t xml:space="preserve"> </w:t>
      </w:r>
      <w:r>
        <w:t>entirety.</w:t>
      </w:r>
      <w:r>
        <w:rPr>
          <w:spacing w:val="-2"/>
        </w:rPr>
        <w:t xml:space="preserve"> </w:t>
      </w:r>
      <w:r>
        <w:t>So,</w:t>
      </w:r>
      <w:r>
        <w:rPr>
          <w:spacing w:val="-2"/>
        </w:rPr>
        <w:t xml:space="preserve"> </w:t>
      </w:r>
      <w:r>
        <w:t>in</w:t>
      </w:r>
      <w:r>
        <w:rPr>
          <w:spacing w:val="-2"/>
        </w:rPr>
        <w:t xml:space="preserve"> </w:t>
      </w:r>
      <w:r>
        <w:t>W*,</w:t>
      </w:r>
      <w:r>
        <w:rPr>
          <w:spacing w:val="-2"/>
        </w:rPr>
        <w:t xml:space="preserve"> </w:t>
      </w:r>
      <w:r>
        <w:t>either</w:t>
      </w:r>
      <w:r>
        <w:rPr>
          <w:spacing w:val="-3"/>
        </w:rPr>
        <w:t xml:space="preserve"> </w:t>
      </w:r>
      <w:r>
        <w:t>Smith</w:t>
      </w:r>
      <w:r>
        <w:rPr>
          <w:spacing w:val="-3"/>
        </w:rPr>
        <w:t xml:space="preserve"> </w:t>
      </w:r>
      <w:r>
        <w:rPr>
          <w:i/>
        </w:rPr>
        <w:t>doesn’t</w:t>
      </w:r>
      <w:r>
        <w:rPr>
          <w:i/>
          <w:spacing w:val="-3"/>
        </w:rPr>
        <w:t xml:space="preserve"> </w:t>
      </w:r>
      <w:r>
        <w:t>intend to kill Jones and therefore doesn’t shoot Jones; or he does shoot Jones, but Jones is wearing a bulletproof vest. It could be anything. To fix our ideas, let’s suppose that, in W* Smith’s hand seizes up just before he pulls the trigger; the gun drops; Jones gets away. Let E* be the event that, in W*, makes Smith’s hand seize up.</w:t>
      </w:r>
    </w:p>
    <w:p w14:paraId="7E001FA6" w14:textId="77777777" w:rsidR="009A58DB" w:rsidRDefault="00000000">
      <w:pPr>
        <w:pStyle w:val="BodyText"/>
        <w:spacing w:before="13" w:line="249" w:lineRule="auto"/>
        <w:ind w:right="358" w:firstLine="360"/>
      </w:pPr>
      <w:r>
        <w:t>What we said about E is true of E*. E* didn’t just come out of nowhere; it itself had a cause. Let E*</w:t>
      </w:r>
      <w:r>
        <w:rPr>
          <w:position w:val="-7"/>
          <w:sz w:val="22"/>
        </w:rPr>
        <w:t xml:space="preserve">2 </w:t>
      </w:r>
      <w:r>
        <w:t>be that cause. And E*</w:t>
      </w:r>
      <w:r>
        <w:rPr>
          <w:position w:val="-7"/>
          <w:sz w:val="22"/>
        </w:rPr>
        <w:t>2</w:t>
      </w:r>
      <w:r>
        <w:rPr>
          <w:spacing w:val="40"/>
          <w:position w:val="-7"/>
          <w:sz w:val="22"/>
        </w:rPr>
        <w:t xml:space="preserve"> </w:t>
      </w:r>
      <w:r>
        <w:t>had a cause—and E*</w:t>
      </w:r>
      <w:r>
        <w:rPr>
          <w:position w:val="-7"/>
          <w:sz w:val="22"/>
        </w:rPr>
        <w:t>2</w:t>
      </w:r>
      <w:r>
        <w:t>’s cause had a cause, and so on. So, in W*, we have a long chain of events (E*</w:t>
      </w:r>
      <w:r>
        <w:rPr>
          <w:vertAlign w:val="subscript"/>
        </w:rPr>
        <w:t>1</w:t>
      </w:r>
      <w:r>
        <w:t>....E*</w:t>
      </w:r>
      <w:r>
        <w:rPr>
          <w:position w:val="-7"/>
          <w:sz w:val="22"/>
        </w:rPr>
        <w:t>n</w:t>
      </w:r>
      <w:r>
        <w:t xml:space="preserve">) not a single one of which occurs in W. Depending on how far back this chain has to go, it could make W* </w:t>
      </w:r>
      <w:r>
        <w:rPr>
          <w:i/>
        </w:rPr>
        <w:t xml:space="preserve">very </w:t>
      </w:r>
      <w:r>
        <w:t xml:space="preserve">different from W. In fact, W* might be </w:t>
      </w:r>
      <w:r>
        <w:rPr>
          <w:i/>
        </w:rPr>
        <w:t>so</w:t>
      </w:r>
      <w:r>
        <w:rPr>
          <w:i/>
          <w:spacing w:val="-3"/>
        </w:rPr>
        <w:t xml:space="preserve"> </w:t>
      </w:r>
      <w:r>
        <w:t>different that it might not be able to contain a Smith or Jones to begin with; and even if it did, there’s no guarantee that Smith would shoot Jones or that, if he did, Jones wouldn’t be wearing a bulletproof vest, etc.</w:t>
      </w:r>
    </w:p>
    <w:p w14:paraId="7E001FA7" w14:textId="77777777" w:rsidR="009A58DB" w:rsidRDefault="00000000">
      <w:pPr>
        <w:pStyle w:val="BodyText"/>
        <w:spacing w:before="4" w:line="249" w:lineRule="auto"/>
        <w:ind w:right="364" w:firstLine="360"/>
      </w:pPr>
      <w:r>
        <w:t>Events have causal roots. Two worlds cannot differ with respect to a</w:t>
      </w:r>
      <w:r>
        <w:rPr>
          <w:spacing w:val="40"/>
        </w:rPr>
        <w:t xml:space="preserve"> </w:t>
      </w:r>
      <w:r>
        <w:t>single event unless they differ with respect to all of the causal antecedents of those</w:t>
      </w:r>
      <w:r>
        <w:rPr>
          <w:spacing w:val="49"/>
        </w:rPr>
        <w:t xml:space="preserve"> </w:t>
      </w:r>
      <w:r>
        <w:t>events.</w:t>
      </w:r>
      <w:r>
        <w:rPr>
          <w:spacing w:val="50"/>
        </w:rPr>
        <w:t xml:space="preserve"> </w:t>
      </w:r>
      <w:r>
        <w:t>But,</w:t>
      </w:r>
      <w:r>
        <w:rPr>
          <w:spacing w:val="49"/>
        </w:rPr>
        <w:t xml:space="preserve"> </w:t>
      </w:r>
      <w:r>
        <w:t>given</w:t>
      </w:r>
      <w:r>
        <w:rPr>
          <w:spacing w:val="50"/>
        </w:rPr>
        <w:t xml:space="preserve"> </w:t>
      </w:r>
      <w:r>
        <w:t>that</w:t>
      </w:r>
      <w:r>
        <w:rPr>
          <w:spacing w:val="49"/>
        </w:rPr>
        <w:t xml:space="preserve"> </w:t>
      </w:r>
      <w:r>
        <w:t>those</w:t>
      </w:r>
      <w:r>
        <w:rPr>
          <w:spacing w:val="50"/>
        </w:rPr>
        <w:t xml:space="preserve"> </w:t>
      </w:r>
      <w:r>
        <w:t>go</w:t>
      </w:r>
      <w:r>
        <w:rPr>
          <w:spacing w:val="49"/>
        </w:rPr>
        <w:t xml:space="preserve"> </w:t>
      </w:r>
      <w:r>
        <w:t>back</w:t>
      </w:r>
      <w:r>
        <w:rPr>
          <w:spacing w:val="50"/>
        </w:rPr>
        <w:t xml:space="preserve"> </w:t>
      </w:r>
      <w:r>
        <w:t>to</w:t>
      </w:r>
      <w:r>
        <w:rPr>
          <w:spacing w:val="49"/>
        </w:rPr>
        <w:t xml:space="preserve"> </w:t>
      </w:r>
      <w:r>
        <w:t>the</w:t>
      </w:r>
      <w:r>
        <w:rPr>
          <w:spacing w:val="50"/>
        </w:rPr>
        <w:t xml:space="preserve"> </w:t>
      </w:r>
      <w:r>
        <w:t>beginning</w:t>
      </w:r>
      <w:r>
        <w:rPr>
          <w:spacing w:val="49"/>
        </w:rPr>
        <w:t xml:space="preserve"> </w:t>
      </w:r>
      <w:r>
        <w:t>of</w:t>
      </w:r>
      <w:r>
        <w:rPr>
          <w:spacing w:val="49"/>
        </w:rPr>
        <w:t xml:space="preserve"> </w:t>
      </w:r>
      <w:r>
        <w:t>time,</w:t>
      </w:r>
      <w:r>
        <w:rPr>
          <w:spacing w:val="51"/>
        </w:rPr>
        <w:t xml:space="preserve"> </w:t>
      </w:r>
      <w:r>
        <w:rPr>
          <w:spacing w:val="-4"/>
        </w:rPr>
        <w:t>that</w:t>
      </w:r>
    </w:p>
    <w:p w14:paraId="7E001F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A9" w14:textId="77777777" w:rsidR="009A58DB" w:rsidRDefault="00000000">
      <w:pPr>
        <w:pStyle w:val="BodyText"/>
        <w:spacing w:before="61" w:line="249" w:lineRule="auto"/>
        <w:ind w:right="365"/>
      </w:pPr>
      <w:r>
        <w:lastRenderedPageBreak/>
        <w:t>means that they’ll differ a lot—so much the one world becomes unable to validate the counterfactuals of the other.</w:t>
      </w:r>
    </w:p>
    <w:p w14:paraId="7E001FAA" w14:textId="77777777" w:rsidR="009A58DB" w:rsidRDefault="00000000">
      <w:pPr>
        <w:pStyle w:val="BodyText"/>
        <w:spacing w:before="6" w:line="249" w:lineRule="auto"/>
        <w:ind w:right="361" w:firstLine="360"/>
      </w:pPr>
      <w:r>
        <w:t xml:space="preserve">It may be that </w:t>
      </w:r>
      <w:r>
        <w:rPr>
          <w:i/>
        </w:rPr>
        <w:t xml:space="preserve">some </w:t>
      </w:r>
      <w:r>
        <w:t xml:space="preserve">events are completely and entirely uncaused. But, in W, that happens only where micro-events are concerned. Smith’s shooting Jones (in W) is an extremely complex event, involving innumerably causally cohesive parts and having deep roots in the past. So even if </w:t>
      </w:r>
      <w:r>
        <w:rPr>
          <w:i/>
        </w:rPr>
        <w:t xml:space="preserve">some </w:t>
      </w:r>
      <w:r>
        <w:t>events in our world are uncaused, Smith’s shooting Jones isn’t one of them.</w:t>
      </w:r>
    </w:p>
    <w:p w14:paraId="7E001FAB" w14:textId="77777777" w:rsidR="009A58DB" w:rsidRDefault="00000000">
      <w:pPr>
        <w:pStyle w:val="BodyText"/>
        <w:spacing w:before="6" w:line="249" w:lineRule="auto"/>
        <w:ind w:right="364" w:firstLine="360"/>
      </w:pPr>
      <w:r>
        <w:t xml:space="preserve">And even if it </w:t>
      </w:r>
      <w:r>
        <w:rPr>
          <w:i/>
        </w:rPr>
        <w:t xml:space="preserve">is </w:t>
      </w:r>
      <w:r>
        <w:t xml:space="preserve">one of them, it’s useless as far as LA is concerned. A logical analysis of LASK can’t assume the results of empirical facts not in evidence and, therefore, cannot assume that Smith’s shooting Jones is totally uncaused. In fact, such an analysis, being of a logical as opposed to an empirical kind, can’t make </w:t>
      </w:r>
      <w:r>
        <w:rPr>
          <w:i/>
        </w:rPr>
        <w:t xml:space="preserve">any </w:t>
      </w:r>
      <w:r>
        <w:t>empirical assumptions.</w:t>
      </w:r>
    </w:p>
    <w:p w14:paraId="7E001FAC" w14:textId="77777777" w:rsidR="009A58DB" w:rsidRDefault="00000000">
      <w:pPr>
        <w:pStyle w:val="Heading1"/>
        <w:numPr>
          <w:ilvl w:val="2"/>
          <w:numId w:val="81"/>
        </w:numPr>
        <w:tabs>
          <w:tab w:val="left" w:pos="1305"/>
        </w:tabs>
        <w:spacing w:before="194"/>
      </w:pPr>
      <w:r>
        <w:t>Some</w:t>
      </w:r>
      <w:r>
        <w:rPr>
          <w:spacing w:val="-7"/>
        </w:rPr>
        <w:t xml:space="preserve"> </w:t>
      </w:r>
      <w:r>
        <w:t>consequences</w:t>
      </w:r>
      <w:r>
        <w:rPr>
          <w:spacing w:val="-4"/>
        </w:rPr>
        <w:t xml:space="preserve"> </w:t>
      </w:r>
      <w:r>
        <w:t>of</w:t>
      </w:r>
      <w:r>
        <w:rPr>
          <w:spacing w:val="-5"/>
        </w:rPr>
        <w:t xml:space="preserve"> </w:t>
      </w:r>
      <w:r>
        <w:t>modal</w:t>
      </w:r>
      <w:r>
        <w:rPr>
          <w:spacing w:val="-4"/>
        </w:rPr>
        <w:t xml:space="preserve"> </w:t>
      </w:r>
      <w:r>
        <w:rPr>
          <w:spacing w:val="-2"/>
        </w:rPr>
        <w:t>realism</w:t>
      </w:r>
    </w:p>
    <w:p w14:paraId="7E001FAD" w14:textId="77777777" w:rsidR="009A58DB" w:rsidRDefault="00000000">
      <w:pPr>
        <w:pStyle w:val="BodyText"/>
        <w:spacing w:before="139" w:line="249" w:lineRule="auto"/>
        <w:ind w:right="362"/>
      </w:pPr>
      <w:r>
        <w:rPr>
          <w:spacing w:val="-4"/>
        </w:rPr>
        <w:t>But</w:t>
      </w:r>
      <w:r>
        <w:rPr>
          <w:spacing w:val="-15"/>
        </w:rPr>
        <w:t xml:space="preserve"> </w:t>
      </w:r>
      <w:r>
        <w:rPr>
          <w:spacing w:val="-4"/>
        </w:rPr>
        <w:t>even</w:t>
      </w:r>
      <w:r>
        <w:rPr>
          <w:spacing w:val="-15"/>
        </w:rPr>
        <w:t xml:space="preserve"> </w:t>
      </w:r>
      <w:r>
        <w:rPr>
          <w:spacing w:val="-4"/>
        </w:rPr>
        <w:t>if</w:t>
      </w:r>
      <w:r>
        <w:rPr>
          <w:spacing w:val="-15"/>
        </w:rPr>
        <w:t xml:space="preserve"> </w:t>
      </w:r>
      <w:r>
        <w:rPr>
          <w:spacing w:val="-4"/>
        </w:rPr>
        <w:t>it</w:t>
      </w:r>
      <w:r>
        <w:rPr>
          <w:spacing w:val="-14"/>
        </w:rPr>
        <w:t xml:space="preserve"> </w:t>
      </w:r>
      <w:r>
        <w:rPr>
          <w:spacing w:val="-4"/>
        </w:rPr>
        <w:t>could</w:t>
      </w:r>
      <w:r>
        <w:rPr>
          <w:spacing w:val="-15"/>
        </w:rPr>
        <w:t xml:space="preserve"> </w:t>
      </w:r>
      <w:r>
        <w:rPr>
          <w:spacing w:val="-4"/>
        </w:rPr>
        <w:t>assume</w:t>
      </w:r>
      <w:r>
        <w:rPr>
          <w:spacing w:val="-15"/>
        </w:rPr>
        <w:t xml:space="preserve"> </w:t>
      </w:r>
      <w:r>
        <w:rPr>
          <w:spacing w:val="-4"/>
        </w:rPr>
        <w:t>this,</w:t>
      </w:r>
      <w:r>
        <w:rPr>
          <w:spacing w:val="-15"/>
        </w:rPr>
        <w:t xml:space="preserve"> </w:t>
      </w:r>
      <w:r>
        <w:rPr>
          <w:spacing w:val="-4"/>
        </w:rPr>
        <w:t>LA</w:t>
      </w:r>
      <w:r>
        <w:rPr>
          <w:spacing w:val="-14"/>
        </w:rPr>
        <w:t xml:space="preserve"> </w:t>
      </w:r>
      <w:r>
        <w:rPr>
          <w:spacing w:val="-4"/>
        </w:rPr>
        <w:t>would</w:t>
      </w:r>
      <w:r>
        <w:rPr>
          <w:spacing w:val="-15"/>
        </w:rPr>
        <w:t xml:space="preserve"> </w:t>
      </w:r>
      <w:r>
        <w:rPr>
          <w:spacing w:val="-4"/>
        </w:rPr>
        <w:t>still</w:t>
      </w:r>
      <w:r>
        <w:rPr>
          <w:spacing w:val="-15"/>
        </w:rPr>
        <w:t xml:space="preserve"> </w:t>
      </w:r>
      <w:r>
        <w:rPr>
          <w:spacing w:val="-4"/>
        </w:rPr>
        <w:t>be</w:t>
      </w:r>
      <w:r>
        <w:rPr>
          <w:spacing w:val="-15"/>
        </w:rPr>
        <w:t xml:space="preserve"> </w:t>
      </w:r>
      <w:r>
        <w:rPr>
          <w:spacing w:val="-4"/>
        </w:rPr>
        <w:t>in</w:t>
      </w:r>
      <w:r>
        <w:rPr>
          <w:spacing w:val="-14"/>
        </w:rPr>
        <w:t xml:space="preserve"> </w:t>
      </w:r>
      <w:r>
        <w:rPr>
          <w:spacing w:val="-4"/>
        </w:rPr>
        <w:t>trouble.</w:t>
      </w:r>
      <w:r>
        <w:rPr>
          <w:spacing w:val="-15"/>
        </w:rPr>
        <w:t xml:space="preserve"> </w:t>
      </w:r>
      <w:r>
        <w:rPr>
          <w:spacing w:val="-4"/>
        </w:rPr>
        <w:t>First</w:t>
      </w:r>
      <w:r>
        <w:rPr>
          <w:spacing w:val="-15"/>
        </w:rPr>
        <w:t xml:space="preserve"> </w:t>
      </w:r>
      <w:r>
        <w:rPr>
          <w:spacing w:val="-4"/>
        </w:rPr>
        <w:t>of</w:t>
      </w:r>
      <w:r>
        <w:rPr>
          <w:spacing w:val="-15"/>
        </w:rPr>
        <w:t xml:space="preserve"> </w:t>
      </w:r>
      <w:r>
        <w:rPr>
          <w:spacing w:val="-4"/>
        </w:rPr>
        <w:t>all,</w:t>
      </w:r>
      <w:r>
        <w:rPr>
          <w:spacing w:val="-14"/>
        </w:rPr>
        <w:t xml:space="preserve"> </w:t>
      </w:r>
      <w:r>
        <w:rPr>
          <w:spacing w:val="-4"/>
        </w:rPr>
        <w:t>we</w:t>
      </w:r>
      <w:r>
        <w:rPr>
          <w:spacing w:val="-15"/>
        </w:rPr>
        <w:t xml:space="preserve"> </w:t>
      </w:r>
      <w:r>
        <w:rPr>
          <w:spacing w:val="-4"/>
        </w:rPr>
        <w:t>can’t say</w:t>
      </w:r>
      <w:r>
        <w:rPr>
          <w:spacing w:val="-15"/>
        </w:rPr>
        <w:t xml:space="preserve"> </w:t>
      </w:r>
      <w:r>
        <w:rPr>
          <w:spacing w:val="-4"/>
        </w:rPr>
        <w:t>that,</w:t>
      </w:r>
      <w:r>
        <w:rPr>
          <w:spacing w:val="-15"/>
        </w:rPr>
        <w:t xml:space="preserve"> </w:t>
      </w:r>
      <w:r>
        <w:rPr>
          <w:spacing w:val="-4"/>
        </w:rPr>
        <w:t>in</w:t>
      </w:r>
      <w:r>
        <w:rPr>
          <w:spacing w:val="-15"/>
        </w:rPr>
        <w:t xml:space="preserve"> </w:t>
      </w:r>
      <w:r>
        <w:rPr>
          <w:spacing w:val="-4"/>
        </w:rPr>
        <w:t>W*,</w:t>
      </w:r>
      <w:r>
        <w:rPr>
          <w:spacing w:val="-14"/>
        </w:rPr>
        <w:t xml:space="preserve"> </w:t>
      </w:r>
      <w:r>
        <w:rPr>
          <w:spacing w:val="-4"/>
        </w:rPr>
        <w:t>Smith’s</w:t>
      </w:r>
      <w:r>
        <w:rPr>
          <w:spacing w:val="-15"/>
        </w:rPr>
        <w:t xml:space="preserve"> </w:t>
      </w:r>
      <w:r>
        <w:rPr>
          <w:i/>
          <w:spacing w:val="-4"/>
        </w:rPr>
        <w:t>not</w:t>
      </w:r>
      <w:r>
        <w:rPr>
          <w:i/>
          <w:spacing w:val="-15"/>
        </w:rPr>
        <w:t xml:space="preserve"> </w:t>
      </w:r>
      <w:r>
        <w:rPr>
          <w:spacing w:val="-4"/>
        </w:rPr>
        <w:t>shooting</w:t>
      </w:r>
      <w:r>
        <w:rPr>
          <w:spacing w:val="-14"/>
        </w:rPr>
        <w:t xml:space="preserve"> </w:t>
      </w:r>
      <w:r>
        <w:rPr>
          <w:spacing w:val="-4"/>
        </w:rPr>
        <w:t>Jones</w:t>
      </w:r>
      <w:r>
        <w:rPr>
          <w:spacing w:val="-13"/>
        </w:rPr>
        <w:t xml:space="preserve"> </w:t>
      </w:r>
      <w:r>
        <w:rPr>
          <w:spacing w:val="-4"/>
        </w:rPr>
        <w:t>is</w:t>
      </w:r>
      <w:r>
        <w:rPr>
          <w:spacing w:val="-13"/>
        </w:rPr>
        <w:t xml:space="preserve"> </w:t>
      </w:r>
      <w:r>
        <w:rPr>
          <w:spacing w:val="-4"/>
        </w:rPr>
        <w:t>just</w:t>
      </w:r>
      <w:r>
        <w:rPr>
          <w:spacing w:val="-14"/>
        </w:rPr>
        <w:t xml:space="preserve"> </w:t>
      </w:r>
      <w:r>
        <w:rPr>
          <w:spacing w:val="-4"/>
        </w:rPr>
        <w:t>as</w:t>
      </w:r>
      <w:r>
        <w:rPr>
          <w:spacing w:val="-13"/>
        </w:rPr>
        <w:t xml:space="preserve"> </w:t>
      </w:r>
      <w:r>
        <w:rPr>
          <w:spacing w:val="-4"/>
        </w:rPr>
        <w:t>uncaused</w:t>
      </w:r>
      <w:r>
        <w:rPr>
          <w:spacing w:val="-13"/>
        </w:rPr>
        <w:t xml:space="preserve"> </w:t>
      </w:r>
      <w:r>
        <w:rPr>
          <w:spacing w:val="-4"/>
        </w:rPr>
        <w:t>as</w:t>
      </w:r>
      <w:r>
        <w:rPr>
          <w:spacing w:val="-13"/>
        </w:rPr>
        <w:t xml:space="preserve"> </w:t>
      </w:r>
      <w:r>
        <w:rPr>
          <w:spacing w:val="-4"/>
        </w:rPr>
        <w:t>uncaused</w:t>
      </w:r>
      <w:r>
        <w:rPr>
          <w:spacing w:val="-13"/>
        </w:rPr>
        <w:t xml:space="preserve"> </w:t>
      </w:r>
      <w:r>
        <w:rPr>
          <w:spacing w:val="-4"/>
        </w:rPr>
        <w:t>as</w:t>
      </w:r>
      <w:r>
        <w:rPr>
          <w:spacing w:val="-13"/>
        </w:rPr>
        <w:t xml:space="preserve"> </w:t>
      </w:r>
      <w:r>
        <w:rPr>
          <w:spacing w:val="-4"/>
        </w:rPr>
        <w:t>the event</w:t>
      </w:r>
      <w:r>
        <w:rPr>
          <w:spacing w:val="-15"/>
        </w:rPr>
        <w:t xml:space="preserve"> </w:t>
      </w:r>
      <w:r>
        <w:rPr>
          <w:spacing w:val="-4"/>
        </w:rPr>
        <w:t>his</w:t>
      </w:r>
      <w:r>
        <w:rPr>
          <w:spacing w:val="-14"/>
        </w:rPr>
        <w:t xml:space="preserve"> </w:t>
      </w:r>
      <w:r>
        <w:rPr>
          <w:spacing w:val="-4"/>
        </w:rPr>
        <w:t>doing</w:t>
      </w:r>
      <w:r>
        <w:rPr>
          <w:spacing w:val="-14"/>
        </w:rPr>
        <w:t xml:space="preserve"> </w:t>
      </w:r>
      <w:r>
        <w:rPr>
          <w:spacing w:val="-4"/>
        </w:rPr>
        <w:t>so</w:t>
      </w:r>
      <w:r>
        <w:rPr>
          <w:spacing w:val="-14"/>
        </w:rPr>
        <w:t xml:space="preserve"> </w:t>
      </w:r>
      <w:r>
        <w:rPr>
          <w:spacing w:val="-4"/>
        </w:rPr>
        <w:t>in</w:t>
      </w:r>
      <w:r>
        <w:rPr>
          <w:spacing w:val="-20"/>
        </w:rPr>
        <w:t xml:space="preserve"> </w:t>
      </w:r>
      <w:r>
        <w:rPr>
          <w:spacing w:val="-4"/>
        </w:rPr>
        <w:t>W.</w:t>
      </w:r>
      <w:r>
        <w:rPr>
          <w:spacing w:val="-14"/>
        </w:rPr>
        <w:t xml:space="preserve"> </w:t>
      </w:r>
      <w:r>
        <w:rPr>
          <w:spacing w:val="-4"/>
        </w:rPr>
        <w:t>In</w:t>
      </w:r>
      <w:r>
        <w:rPr>
          <w:spacing w:val="-14"/>
        </w:rPr>
        <w:t xml:space="preserve"> </w:t>
      </w:r>
      <w:r>
        <w:rPr>
          <w:spacing w:val="-4"/>
        </w:rPr>
        <w:t>other</w:t>
      </w:r>
      <w:r>
        <w:rPr>
          <w:spacing w:val="-14"/>
        </w:rPr>
        <w:t xml:space="preserve"> </w:t>
      </w:r>
      <w:r>
        <w:rPr>
          <w:spacing w:val="-4"/>
        </w:rPr>
        <w:t>words,</w:t>
      </w:r>
      <w:r>
        <w:rPr>
          <w:spacing w:val="-14"/>
        </w:rPr>
        <w:t xml:space="preserve"> </w:t>
      </w:r>
      <w:r>
        <w:rPr>
          <w:spacing w:val="-4"/>
        </w:rPr>
        <w:t>we</w:t>
      </w:r>
      <w:r>
        <w:rPr>
          <w:spacing w:val="-14"/>
        </w:rPr>
        <w:t xml:space="preserve"> </w:t>
      </w:r>
      <w:r>
        <w:rPr>
          <w:spacing w:val="-4"/>
        </w:rPr>
        <w:t>can’t</w:t>
      </w:r>
      <w:r>
        <w:rPr>
          <w:spacing w:val="-15"/>
        </w:rPr>
        <w:t xml:space="preserve"> </w:t>
      </w:r>
      <w:r>
        <w:rPr>
          <w:spacing w:val="-4"/>
        </w:rPr>
        <w:t>say</w:t>
      </w:r>
      <w:r>
        <w:rPr>
          <w:spacing w:val="-14"/>
        </w:rPr>
        <w:t xml:space="preserve"> </w:t>
      </w:r>
      <w:r>
        <w:rPr>
          <w:spacing w:val="-4"/>
        </w:rPr>
        <w:t>that,</w:t>
      </w:r>
    </w:p>
    <w:p w14:paraId="7E001FAE" w14:textId="77777777" w:rsidR="009A58DB" w:rsidRDefault="00000000">
      <w:pPr>
        <w:pStyle w:val="BodyText"/>
        <w:spacing w:before="4" w:line="249" w:lineRule="auto"/>
        <w:ind w:right="359"/>
      </w:pPr>
      <w:r>
        <w:t>in</w:t>
      </w:r>
      <w:r>
        <w:rPr>
          <w:spacing w:val="-3"/>
        </w:rPr>
        <w:t xml:space="preserve"> </w:t>
      </w:r>
      <w:r>
        <w:t>W*,</w:t>
      </w:r>
      <w:r>
        <w:rPr>
          <w:spacing w:val="-3"/>
        </w:rPr>
        <w:t xml:space="preserve"> </w:t>
      </w:r>
      <w:r>
        <w:t>Smith’s</w:t>
      </w:r>
      <w:r>
        <w:rPr>
          <w:spacing w:val="-4"/>
        </w:rPr>
        <w:t xml:space="preserve"> </w:t>
      </w:r>
      <w:r>
        <w:t>hand</w:t>
      </w:r>
      <w:r>
        <w:rPr>
          <w:spacing w:val="-4"/>
        </w:rPr>
        <w:t xml:space="preserve"> </w:t>
      </w:r>
      <w:r>
        <w:rPr>
          <w:i/>
        </w:rPr>
        <w:t>just</w:t>
      </w:r>
      <w:r>
        <w:rPr>
          <w:i/>
          <w:spacing w:val="-4"/>
        </w:rPr>
        <w:t xml:space="preserve"> </w:t>
      </w:r>
      <w:r>
        <w:t xml:space="preserve">seized up—that, in other words, there was no causal basis for it. For, to the extent that this event was </w:t>
      </w:r>
      <w:r>
        <w:rPr>
          <w:i/>
        </w:rPr>
        <w:t>un</w:t>
      </w:r>
      <w:r>
        <w:t xml:space="preserve">caused, any other event could have happened instead of it. We could, of course, just stipulate that, in W*, Smith’s hand seizes up. But that won’t help. If, in W*, Smith’s hand </w:t>
      </w:r>
      <w:r>
        <w:rPr>
          <w:i/>
        </w:rPr>
        <w:t xml:space="preserve">just </w:t>
      </w:r>
      <w:r>
        <w:t xml:space="preserve">seizes up, then there will be at least one </w:t>
      </w:r>
      <w:r>
        <w:rPr>
          <w:i/>
        </w:rPr>
        <w:t xml:space="preserve">other </w:t>
      </w:r>
      <w:r>
        <w:t xml:space="preserve">world—call it W#—such that W# is just like W* except that, in W#, Smith’s hand </w:t>
      </w:r>
      <w:r>
        <w:rPr>
          <w:i/>
        </w:rPr>
        <w:t xml:space="preserve">didn’t </w:t>
      </w:r>
      <w:r>
        <w:t>seize up or, if it did, something else happened that led to Jones being killed. In which case, LASK</w:t>
      </w:r>
      <w:r>
        <w:rPr>
          <w:spacing w:val="-3"/>
        </w:rPr>
        <w:t xml:space="preserve"> </w:t>
      </w:r>
      <w:r>
        <w:t>will</w:t>
      </w:r>
      <w:r>
        <w:rPr>
          <w:spacing w:val="-3"/>
        </w:rPr>
        <w:t xml:space="preserve"> </w:t>
      </w:r>
      <w:r>
        <w:t>be</w:t>
      </w:r>
      <w:r>
        <w:rPr>
          <w:spacing w:val="-3"/>
        </w:rPr>
        <w:t xml:space="preserve"> </w:t>
      </w:r>
      <w:r>
        <w:t>false.</w:t>
      </w:r>
      <w:r>
        <w:rPr>
          <w:spacing w:val="-2"/>
        </w:rPr>
        <w:t xml:space="preserve"> </w:t>
      </w:r>
      <w:r>
        <w:t>For,</w:t>
      </w:r>
      <w:r>
        <w:rPr>
          <w:spacing w:val="-2"/>
        </w:rPr>
        <w:t xml:space="preserve"> </w:t>
      </w:r>
      <w:r>
        <w:t>contrary</w:t>
      </w:r>
      <w:r>
        <w:rPr>
          <w:spacing w:val="-2"/>
        </w:rPr>
        <w:t xml:space="preserve"> </w:t>
      </w:r>
      <w:r>
        <w:t>to</w:t>
      </w:r>
      <w:r>
        <w:rPr>
          <w:spacing w:val="-2"/>
        </w:rPr>
        <w:t xml:space="preserve"> </w:t>
      </w:r>
      <w:r>
        <w:t>what</w:t>
      </w:r>
      <w:r>
        <w:rPr>
          <w:spacing w:val="-3"/>
        </w:rPr>
        <w:t xml:space="preserve"> </w:t>
      </w:r>
      <w:r>
        <w:t>LASK</w:t>
      </w:r>
      <w:r>
        <w:rPr>
          <w:spacing w:val="-3"/>
        </w:rPr>
        <w:t xml:space="preserve"> </w:t>
      </w:r>
      <w:r>
        <w:t>says,</w:t>
      </w:r>
      <w:r>
        <w:rPr>
          <w:spacing w:val="-2"/>
        </w:rPr>
        <w:t xml:space="preserve"> </w:t>
      </w:r>
      <w:r>
        <w:t>there</w:t>
      </w:r>
      <w:r>
        <w:rPr>
          <w:spacing w:val="-3"/>
        </w:rPr>
        <w:t xml:space="preserve"> </w:t>
      </w:r>
      <w:r>
        <w:rPr>
          <w:i/>
        </w:rPr>
        <w:t>would</w:t>
      </w:r>
      <w:r>
        <w:rPr>
          <w:i/>
          <w:spacing w:val="-2"/>
        </w:rPr>
        <w:t xml:space="preserve"> </w:t>
      </w:r>
      <w:r>
        <w:t>be</w:t>
      </w:r>
      <w:r>
        <w:rPr>
          <w:spacing w:val="-3"/>
        </w:rPr>
        <w:t xml:space="preserve"> </w:t>
      </w:r>
      <w:r>
        <w:t>a</w:t>
      </w:r>
      <w:r>
        <w:rPr>
          <w:spacing w:val="-3"/>
        </w:rPr>
        <w:t xml:space="preserve"> </w:t>
      </w:r>
      <w:r>
        <w:t>world satisfying the relevant conditions in which Jones dies. It’s not a good idea, in general, to posit causal slack in the worlds we want to validate our counterfactuals, since that same policy makes those very worlds unreliable in the way of validating our counterfactuals.</w:t>
      </w:r>
    </w:p>
    <w:p w14:paraId="7E001FAF" w14:textId="77777777" w:rsidR="009A58DB" w:rsidRDefault="00000000">
      <w:pPr>
        <w:pStyle w:val="BodyText"/>
        <w:spacing w:before="15" w:line="249" w:lineRule="auto"/>
        <w:ind w:right="366" w:firstLine="360"/>
      </w:pPr>
      <w:r>
        <w:t xml:space="preserve">Lewis’ own way of dealing with the problem is different from those just considered. In his view, some </w:t>
      </w:r>
      <w:r>
        <w:rPr>
          <w:i/>
        </w:rPr>
        <w:t xml:space="preserve">miracle </w:t>
      </w:r>
      <w:r>
        <w:t>happens in W* that prevents E from occurring there. So even though the natural laws in W* demand that E</w:t>
      </w:r>
      <w:r>
        <w:rPr>
          <w:spacing w:val="40"/>
        </w:rPr>
        <w:t xml:space="preserve"> </w:t>
      </w:r>
      <w:r>
        <w:t>happen there (or, at any rate, demand it no less than the laws of our world demand it here), a “miracle” suspends these laws, and Jones lives.</w:t>
      </w:r>
    </w:p>
    <w:p w14:paraId="7E001FB0" w14:textId="77777777" w:rsidR="009A58DB" w:rsidRDefault="00000000">
      <w:pPr>
        <w:pStyle w:val="BodyText"/>
        <w:spacing w:before="6"/>
        <w:ind w:left="720"/>
      </w:pPr>
      <w:r>
        <w:t>Lewis</w:t>
      </w:r>
      <w:r>
        <w:rPr>
          <w:spacing w:val="-1"/>
        </w:rPr>
        <w:t xml:space="preserve"> </w:t>
      </w:r>
      <w:r>
        <w:t>is</w:t>
      </w:r>
      <w:r>
        <w:rPr>
          <w:spacing w:val="-1"/>
        </w:rPr>
        <w:t xml:space="preserve"> </w:t>
      </w:r>
      <w:r>
        <w:t>saying</w:t>
      </w:r>
      <w:r>
        <w:rPr>
          <w:spacing w:val="-1"/>
        </w:rPr>
        <w:t xml:space="preserve"> </w:t>
      </w:r>
      <w:r>
        <w:t>that, if</w:t>
      </w:r>
      <w:r>
        <w:rPr>
          <w:spacing w:val="-1"/>
        </w:rPr>
        <w:t xml:space="preserve"> </w:t>
      </w:r>
      <w:r>
        <w:t>a</w:t>
      </w:r>
      <w:r>
        <w:rPr>
          <w:spacing w:val="-1"/>
        </w:rPr>
        <w:t xml:space="preserve"> </w:t>
      </w:r>
      <w:r>
        <w:t>world validates</w:t>
      </w:r>
      <w:r>
        <w:rPr>
          <w:spacing w:val="-1"/>
        </w:rPr>
        <w:t xml:space="preserve"> </w:t>
      </w:r>
      <w:r>
        <w:t>LASK,</w:t>
      </w:r>
      <w:r>
        <w:rPr>
          <w:spacing w:val="-1"/>
        </w:rPr>
        <w:t xml:space="preserve"> </w:t>
      </w:r>
      <w:r>
        <w:t>there</w:t>
      </w:r>
      <w:r>
        <w:rPr>
          <w:spacing w:val="-1"/>
        </w:rPr>
        <w:t xml:space="preserve"> </w:t>
      </w:r>
      <w:r>
        <w:t>is some</w:t>
      </w:r>
      <w:r>
        <w:rPr>
          <w:spacing w:val="-1"/>
        </w:rPr>
        <w:t xml:space="preserve"> </w:t>
      </w:r>
      <w:r>
        <w:t>miracle</w:t>
      </w:r>
      <w:r>
        <w:rPr>
          <w:spacing w:val="-1"/>
        </w:rPr>
        <w:t xml:space="preserve"> </w:t>
      </w:r>
      <w:r>
        <w:t xml:space="preserve">in </w:t>
      </w:r>
      <w:r>
        <w:rPr>
          <w:spacing w:val="-5"/>
        </w:rPr>
        <w:t>it</w:t>
      </w:r>
    </w:p>
    <w:p w14:paraId="7E001FB1" w14:textId="77777777" w:rsidR="009A58DB" w:rsidRDefault="009A58DB">
      <w:pPr>
        <w:pStyle w:val="BodyText"/>
        <w:sectPr w:rsidR="009A58DB">
          <w:pgSz w:w="12240" w:h="15840"/>
          <w:pgMar w:top="1380" w:right="1080" w:bottom="280" w:left="1080" w:header="720" w:footer="720" w:gutter="0"/>
          <w:cols w:space="720"/>
        </w:sectPr>
      </w:pPr>
    </w:p>
    <w:p w14:paraId="7E001FB2" w14:textId="77777777" w:rsidR="009A58DB" w:rsidRDefault="00000000">
      <w:pPr>
        <w:pStyle w:val="BodyText"/>
        <w:spacing w:before="60" w:line="249" w:lineRule="auto"/>
        <w:ind w:right="359"/>
      </w:pPr>
      <w:r>
        <w:lastRenderedPageBreak/>
        <w:t xml:space="preserve">(at a certain time, in a certain place). So W*, by virtue of being able to validate LASK, </w:t>
      </w:r>
      <w:r>
        <w:rPr>
          <w:i/>
        </w:rPr>
        <w:t xml:space="preserve">also </w:t>
      </w:r>
      <w:r>
        <w:t>validates the following counterfactual:</w:t>
      </w:r>
    </w:p>
    <w:p w14:paraId="7E001FB3" w14:textId="77777777" w:rsidR="009A58DB" w:rsidRDefault="00000000">
      <w:pPr>
        <w:pStyle w:val="BodyText"/>
        <w:spacing w:before="112"/>
      </w:pPr>
      <w:r>
        <w:t>(MLASK)</w:t>
      </w:r>
      <w:r>
        <w:rPr>
          <w:spacing w:val="-6"/>
        </w:rPr>
        <w:t xml:space="preserve"> </w:t>
      </w:r>
      <w:r>
        <w:t>If</w:t>
      </w:r>
      <w:r>
        <w:rPr>
          <w:spacing w:val="-3"/>
        </w:rPr>
        <w:t xml:space="preserve"> </w:t>
      </w:r>
      <w:r>
        <w:t>Smith</w:t>
      </w:r>
      <w:r>
        <w:rPr>
          <w:spacing w:val="-2"/>
        </w:rPr>
        <w:t xml:space="preserve"> </w:t>
      </w:r>
      <w:r>
        <w:t>had</w:t>
      </w:r>
      <w:r>
        <w:rPr>
          <w:spacing w:val="-3"/>
        </w:rPr>
        <w:t xml:space="preserve"> </w:t>
      </w:r>
      <w:r>
        <w:t>not</w:t>
      </w:r>
      <w:r>
        <w:rPr>
          <w:spacing w:val="-3"/>
        </w:rPr>
        <w:t xml:space="preserve"> </w:t>
      </w:r>
      <w:r>
        <w:t>shot</w:t>
      </w:r>
      <w:r>
        <w:rPr>
          <w:spacing w:val="-3"/>
        </w:rPr>
        <w:t xml:space="preserve"> </w:t>
      </w:r>
      <w:r>
        <w:t>Jones,</w:t>
      </w:r>
      <w:r>
        <w:rPr>
          <w:spacing w:val="-2"/>
        </w:rPr>
        <w:t xml:space="preserve"> </w:t>
      </w:r>
      <w:r>
        <w:t>then</w:t>
      </w:r>
      <w:r>
        <w:rPr>
          <w:spacing w:val="-3"/>
        </w:rPr>
        <w:t xml:space="preserve"> </w:t>
      </w:r>
      <w:r>
        <w:t>a</w:t>
      </w:r>
      <w:r>
        <w:rPr>
          <w:spacing w:val="-3"/>
        </w:rPr>
        <w:t xml:space="preserve"> </w:t>
      </w:r>
      <w:r>
        <w:t>miracle</w:t>
      </w:r>
      <w:r>
        <w:rPr>
          <w:spacing w:val="-3"/>
        </w:rPr>
        <w:t xml:space="preserve"> </w:t>
      </w:r>
      <w:r>
        <w:t>would</w:t>
      </w:r>
      <w:r>
        <w:rPr>
          <w:spacing w:val="-2"/>
        </w:rPr>
        <w:t xml:space="preserve"> </w:t>
      </w:r>
      <w:r>
        <w:t>have</w:t>
      </w:r>
      <w:r>
        <w:rPr>
          <w:spacing w:val="-3"/>
        </w:rPr>
        <w:t xml:space="preserve"> </w:t>
      </w:r>
      <w:r>
        <w:rPr>
          <w:spacing w:val="-2"/>
        </w:rPr>
        <w:t>happened.</w:t>
      </w:r>
    </w:p>
    <w:p w14:paraId="7E001FB4" w14:textId="77777777" w:rsidR="009A58DB" w:rsidRDefault="00000000">
      <w:pPr>
        <w:pStyle w:val="BodyText"/>
        <w:spacing w:before="105" w:line="249" w:lineRule="auto"/>
        <w:ind w:right="359"/>
      </w:pPr>
      <w:r>
        <w:t>W* is, by hypothesis, a world where Smith doesn’t shoot Jones but is otherwise maximally like our world. In W*, there’s a miracle (at a certain time and a certain place). So W* makes MLASK true if it makes LASK true. But</w:t>
      </w:r>
      <w:r>
        <w:rPr>
          <w:spacing w:val="-3"/>
        </w:rPr>
        <w:t xml:space="preserve"> </w:t>
      </w:r>
      <w:r>
        <w:t>MLASK</w:t>
      </w:r>
      <w:r>
        <w:rPr>
          <w:spacing w:val="-2"/>
        </w:rPr>
        <w:t xml:space="preserve"> </w:t>
      </w:r>
      <w:r>
        <w:t>isn’t</w:t>
      </w:r>
      <w:r>
        <w:rPr>
          <w:spacing w:val="-2"/>
        </w:rPr>
        <w:t xml:space="preserve"> </w:t>
      </w:r>
      <w:r>
        <w:t>a</w:t>
      </w:r>
      <w:r>
        <w:rPr>
          <w:spacing w:val="-2"/>
        </w:rPr>
        <w:t xml:space="preserve"> </w:t>
      </w:r>
      <w:r>
        <w:t>true</w:t>
      </w:r>
      <w:r>
        <w:rPr>
          <w:spacing w:val="-2"/>
        </w:rPr>
        <w:t xml:space="preserve"> </w:t>
      </w:r>
      <w:r>
        <w:t>counterfactual.</w:t>
      </w:r>
      <w:r>
        <w:rPr>
          <w:spacing w:val="-2"/>
        </w:rPr>
        <w:t xml:space="preserve"> </w:t>
      </w:r>
      <w:r>
        <w:t>And,</w:t>
      </w:r>
      <w:r>
        <w:rPr>
          <w:spacing w:val="-2"/>
        </w:rPr>
        <w:t xml:space="preserve"> </w:t>
      </w:r>
      <w:r>
        <w:t>of</w:t>
      </w:r>
      <w:r>
        <w:rPr>
          <w:spacing w:val="-2"/>
        </w:rPr>
        <w:t xml:space="preserve"> </w:t>
      </w:r>
      <w:r>
        <w:t>course,</w:t>
      </w:r>
      <w:r>
        <w:rPr>
          <w:spacing w:val="-2"/>
        </w:rPr>
        <w:t xml:space="preserve"> </w:t>
      </w:r>
      <w:r>
        <w:t>if</w:t>
      </w:r>
      <w:r>
        <w:rPr>
          <w:spacing w:val="-2"/>
        </w:rPr>
        <w:t xml:space="preserve"> </w:t>
      </w:r>
      <w:r>
        <w:t>a</w:t>
      </w:r>
      <w:r>
        <w:rPr>
          <w:spacing w:val="-2"/>
        </w:rPr>
        <w:t xml:space="preserve"> </w:t>
      </w:r>
      <w:r>
        <w:t>miracle</w:t>
      </w:r>
      <w:r>
        <w:rPr>
          <w:spacing w:val="-2"/>
        </w:rPr>
        <w:t xml:space="preserve"> </w:t>
      </w:r>
      <w:r>
        <w:t>is</w:t>
      </w:r>
      <w:r>
        <w:rPr>
          <w:spacing w:val="-2"/>
        </w:rPr>
        <w:t xml:space="preserve"> </w:t>
      </w:r>
      <w:r>
        <w:t xml:space="preserve">needed to validate MLASK, then a miracle will be needed to validate </w:t>
      </w:r>
      <w:r>
        <w:rPr>
          <w:i/>
        </w:rPr>
        <w:t xml:space="preserve">any </w:t>
      </w:r>
      <w:r>
        <w:t>counterfactual. What we just said about MLASK is true of “if Jones hadn’t driven drunk, he wouldn’t have crashed his car,” “if Brown hadn’t been so diligent in college, he wouldn’t have gotten into a reputable graduate program,” and so on. So assuming these counterfactuals were true, the same would hold of (e.g.): “if Brown hadn’t been so diligent, a miracle would have happened,” which is obviously a preposterous counterfactual.</w:t>
      </w:r>
    </w:p>
    <w:p w14:paraId="7E001FB5" w14:textId="77777777" w:rsidR="009A58DB" w:rsidRDefault="00000000">
      <w:pPr>
        <w:pStyle w:val="BodyText"/>
        <w:spacing w:before="14" w:line="249" w:lineRule="auto"/>
        <w:ind w:right="357" w:firstLine="360"/>
      </w:pPr>
      <w:r>
        <w:t>Also, Smith’s (actually) shooting Jones is an enormously complex event, involving trillions upon trillions of mass-energy displacements. In W*, those events can’t happen. Which means that, in W*, it isn’t just one miracle that has to happen: it’s trillions upon trillions of them. Which, in its turn, makes W*’s relevance in this context extremely questionable. We’re finding that, in order to get W* to validate LASK, we have to doctor it—to mutilate it. But the very fact that we have to tamper with it—that we must employ such artifices to find a world that, in keeping with LA, can validate LASK—practically proves that LA is wrong. A theory that only doctored data</w:t>
      </w:r>
      <w:r>
        <w:rPr>
          <w:spacing w:val="40"/>
        </w:rPr>
        <w:t xml:space="preserve"> </w:t>
      </w:r>
      <w:r>
        <w:t>supports is a bad theory, and Lewis’ analysis of counterfactuals is untenable or, at the absolute least, grossly undersupported.</w:t>
      </w:r>
    </w:p>
    <w:p w14:paraId="7E001FB6" w14:textId="77777777" w:rsidR="009A58DB" w:rsidRDefault="00000000">
      <w:pPr>
        <w:pStyle w:val="Heading1"/>
        <w:numPr>
          <w:ilvl w:val="1"/>
          <w:numId w:val="81"/>
        </w:numPr>
        <w:tabs>
          <w:tab w:val="left" w:pos="810"/>
          <w:tab w:val="left" w:pos="1187"/>
          <w:tab w:val="left" w:pos="2329"/>
          <w:tab w:val="left" w:pos="3821"/>
          <w:tab w:val="left" w:pos="5452"/>
          <w:tab w:val="left" w:pos="6781"/>
          <w:tab w:val="left" w:pos="8507"/>
        </w:tabs>
        <w:spacing w:before="216" w:line="244" w:lineRule="auto"/>
        <w:ind w:left="810" w:right="357" w:hanging="450"/>
      </w:pPr>
      <w:r>
        <w:rPr>
          <w:spacing w:val="-4"/>
        </w:rPr>
        <w:t>How</w:t>
      </w:r>
      <w:r>
        <w:tab/>
      </w:r>
      <w:r>
        <w:rPr>
          <w:spacing w:val="-2"/>
        </w:rPr>
        <w:t>Lewis’</w:t>
      </w:r>
      <w:r>
        <w:tab/>
      </w:r>
      <w:r>
        <w:rPr>
          <w:spacing w:val="-2"/>
        </w:rPr>
        <w:t>realism</w:t>
      </w:r>
      <w:r>
        <w:tab/>
      </w:r>
      <w:r>
        <w:rPr>
          <w:spacing w:val="-2"/>
        </w:rPr>
        <w:t>about</w:t>
      </w:r>
      <w:r>
        <w:tab/>
      </w:r>
      <w:r>
        <w:rPr>
          <w:spacing w:val="-2"/>
        </w:rPr>
        <w:t>possible</w:t>
      </w:r>
      <w:r>
        <w:tab/>
      </w:r>
      <w:r>
        <w:rPr>
          <w:spacing w:val="-2"/>
        </w:rPr>
        <w:t xml:space="preserve">worlds </w:t>
      </w:r>
      <w:r>
        <w:t>almost saves the day for the Humean</w:t>
      </w:r>
    </w:p>
    <w:p w14:paraId="7E001FB7" w14:textId="77777777" w:rsidR="009A58DB" w:rsidRDefault="00000000">
      <w:pPr>
        <w:pStyle w:val="BodyText"/>
        <w:spacing w:before="132" w:line="249" w:lineRule="auto"/>
        <w:ind w:right="365"/>
      </w:pPr>
      <w:r>
        <w:t>If</w:t>
      </w:r>
      <w:r>
        <w:rPr>
          <w:spacing w:val="-1"/>
        </w:rPr>
        <w:t xml:space="preserve"> </w:t>
      </w:r>
      <w:r>
        <w:t>we’re</w:t>
      </w:r>
      <w:r>
        <w:rPr>
          <w:spacing w:val="-1"/>
        </w:rPr>
        <w:t xml:space="preserve"> </w:t>
      </w:r>
      <w:r>
        <w:t>right,</w:t>
      </w:r>
      <w:r>
        <w:rPr>
          <w:spacing w:val="-1"/>
        </w:rPr>
        <w:t xml:space="preserve"> </w:t>
      </w:r>
      <w:r>
        <w:t>counterfactuals</w:t>
      </w:r>
      <w:r>
        <w:rPr>
          <w:spacing w:val="-1"/>
        </w:rPr>
        <w:t xml:space="preserve"> </w:t>
      </w:r>
      <w:r>
        <w:t>are</w:t>
      </w:r>
      <w:r>
        <w:rPr>
          <w:spacing w:val="-1"/>
        </w:rPr>
        <w:t xml:space="preserve"> </w:t>
      </w:r>
      <w:r>
        <w:t>identical</w:t>
      </w:r>
      <w:r>
        <w:rPr>
          <w:spacing w:val="-1"/>
        </w:rPr>
        <w:t xml:space="preserve"> </w:t>
      </w:r>
      <w:r>
        <w:t>with</w:t>
      </w:r>
      <w:r>
        <w:rPr>
          <w:spacing w:val="-1"/>
        </w:rPr>
        <w:t xml:space="preserve"> </w:t>
      </w:r>
      <w:r>
        <w:t>causal</w:t>
      </w:r>
      <w:r>
        <w:rPr>
          <w:spacing w:val="-1"/>
        </w:rPr>
        <w:t xml:space="preserve"> </w:t>
      </w:r>
      <w:r>
        <w:t>statements.</w:t>
      </w:r>
      <w:r>
        <w:rPr>
          <w:spacing w:val="-1"/>
        </w:rPr>
        <w:t xml:space="preserve"> </w:t>
      </w:r>
      <w:r>
        <w:t>According to</w:t>
      </w:r>
      <w:r>
        <w:rPr>
          <w:spacing w:val="-3"/>
        </w:rPr>
        <w:t xml:space="preserve"> </w:t>
      </w:r>
      <w:r>
        <w:t>David</w:t>
      </w:r>
      <w:r>
        <w:rPr>
          <w:spacing w:val="-3"/>
        </w:rPr>
        <w:t xml:space="preserve"> </w:t>
      </w:r>
      <w:r>
        <w:t>Hume,</w:t>
      </w:r>
      <w:r>
        <w:rPr>
          <w:spacing w:val="-3"/>
        </w:rPr>
        <w:t xml:space="preserve"> </w:t>
      </w:r>
      <w:r>
        <w:t>nothing</w:t>
      </w:r>
      <w:r>
        <w:rPr>
          <w:spacing w:val="-3"/>
        </w:rPr>
        <w:t xml:space="preserve"> </w:t>
      </w:r>
      <w:r>
        <w:t>makes</w:t>
      </w:r>
      <w:r>
        <w:rPr>
          <w:spacing w:val="-4"/>
        </w:rPr>
        <w:t xml:space="preserve"> </w:t>
      </w:r>
      <w:r>
        <w:t>anything</w:t>
      </w:r>
      <w:r>
        <w:rPr>
          <w:spacing w:val="-3"/>
        </w:rPr>
        <w:t xml:space="preserve"> </w:t>
      </w:r>
      <w:r>
        <w:t>happen.</w:t>
      </w:r>
      <w:r>
        <w:rPr>
          <w:spacing w:val="-3"/>
        </w:rPr>
        <w:t xml:space="preserve"> </w:t>
      </w:r>
      <w:r>
        <w:t>If</w:t>
      </w:r>
      <w:r>
        <w:rPr>
          <w:spacing w:val="-4"/>
        </w:rPr>
        <w:t xml:space="preserve"> </w:t>
      </w:r>
      <w:r>
        <w:t>Hume</w:t>
      </w:r>
      <w:r>
        <w:rPr>
          <w:spacing w:val="-4"/>
        </w:rPr>
        <w:t xml:space="preserve"> </w:t>
      </w:r>
      <w:r>
        <w:t>is</w:t>
      </w:r>
      <w:r>
        <w:rPr>
          <w:spacing w:val="-4"/>
        </w:rPr>
        <w:t xml:space="preserve"> </w:t>
      </w:r>
      <w:r>
        <w:t>right,</w:t>
      </w:r>
      <w:r>
        <w:rPr>
          <w:spacing w:val="-3"/>
        </w:rPr>
        <w:t xml:space="preserve"> </w:t>
      </w:r>
      <w:r>
        <w:t>it’s</w:t>
      </w:r>
      <w:r>
        <w:rPr>
          <w:spacing w:val="-4"/>
        </w:rPr>
        <w:t xml:space="preserve"> </w:t>
      </w:r>
      <w:r>
        <w:t>hard</w:t>
      </w:r>
      <w:r>
        <w:rPr>
          <w:spacing w:val="-3"/>
        </w:rPr>
        <w:t xml:space="preserve"> </w:t>
      </w:r>
      <w:r>
        <w:t>to see how anything could, in any real sense, cause anything to happen. But this seems a little strange.</w:t>
      </w:r>
    </w:p>
    <w:p w14:paraId="7E001FB8" w14:textId="77777777" w:rsidR="009A58DB" w:rsidRDefault="00000000">
      <w:pPr>
        <w:pStyle w:val="BodyText"/>
        <w:spacing w:before="5" w:line="249" w:lineRule="auto"/>
        <w:ind w:right="371" w:firstLine="360"/>
      </w:pPr>
      <w:r>
        <w:t>David Lewis accepts Hume’s analysis. This is because, like Hume, Lewis is</w:t>
      </w:r>
      <w:r>
        <w:rPr>
          <w:spacing w:val="23"/>
        </w:rPr>
        <w:t xml:space="preserve"> </w:t>
      </w:r>
      <w:r>
        <w:t>a</w:t>
      </w:r>
      <w:r>
        <w:rPr>
          <w:spacing w:val="23"/>
        </w:rPr>
        <w:t xml:space="preserve"> </w:t>
      </w:r>
      <w:r>
        <w:t>hardcore</w:t>
      </w:r>
      <w:r>
        <w:rPr>
          <w:spacing w:val="23"/>
        </w:rPr>
        <w:t xml:space="preserve"> </w:t>
      </w:r>
      <w:r>
        <w:t>empiricist</w:t>
      </w:r>
      <w:r>
        <w:rPr>
          <w:spacing w:val="23"/>
        </w:rPr>
        <w:t xml:space="preserve"> </w:t>
      </w:r>
      <w:r>
        <w:t>and,</w:t>
      </w:r>
      <w:r>
        <w:rPr>
          <w:spacing w:val="23"/>
        </w:rPr>
        <w:t xml:space="preserve"> </w:t>
      </w:r>
      <w:r>
        <w:t>for</w:t>
      </w:r>
      <w:r>
        <w:rPr>
          <w:spacing w:val="23"/>
        </w:rPr>
        <w:t xml:space="preserve"> </w:t>
      </w:r>
      <w:r>
        <w:t>the</w:t>
      </w:r>
      <w:r>
        <w:rPr>
          <w:spacing w:val="23"/>
        </w:rPr>
        <w:t xml:space="preserve"> </w:t>
      </w:r>
      <w:r>
        <w:t>same</w:t>
      </w:r>
      <w:r>
        <w:rPr>
          <w:spacing w:val="23"/>
        </w:rPr>
        <w:t xml:space="preserve"> </w:t>
      </w:r>
      <w:r>
        <w:t>reasons</w:t>
      </w:r>
      <w:r>
        <w:rPr>
          <w:spacing w:val="23"/>
        </w:rPr>
        <w:t xml:space="preserve"> </w:t>
      </w:r>
      <w:r>
        <w:t>as</w:t>
      </w:r>
      <w:r>
        <w:rPr>
          <w:spacing w:val="23"/>
        </w:rPr>
        <w:t xml:space="preserve"> </w:t>
      </w:r>
      <w:r>
        <w:t>Hume,</w:t>
      </w:r>
      <w:r>
        <w:rPr>
          <w:spacing w:val="23"/>
        </w:rPr>
        <w:t xml:space="preserve"> </w:t>
      </w:r>
      <w:r>
        <w:t>rejects</w:t>
      </w:r>
      <w:r>
        <w:rPr>
          <w:spacing w:val="23"/>
        </w:rPr>
        <w:t xml:space="preserve"> </w:t>
      </w:r>
      <w:r>
        <w:t>the</w:t>
      </w:r>
      <w:r>
        <w:rPr>
          <w:spacing w:val="23"/>
        </w:rPr>
        <w:t xml:space="preserve"> </w:t>
      </w:r>
      <w:r>
        <w:t>idea</w:t>
      </w:r>
    </w:p>
    <w:p w14:paraId="7E001FB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BA" w14:textId="77777777" w:rsidR="009A58DB" w:rsidRDefault="00000000">
      <w:pPr>
        <w:pStyle w:val="BodyText"/>
        <w:spacing w:before="70" w:line="249" w:lineRule="auto"/>
        <w:ind w:right="359"/>
      </w:pPr>
      <w:r>
        <w:lastRenderedPageBreak/>
        <w:t>that there are forces. But Lewis rightly thinks that denying the existence of causality is going too far. He sees that, given a realistic attitude towards other worlds along with an acceptance of the counterfactual analysis of causality, the presumption that events cause other events to occur can be reconciled with Humeanism. (By “Humeanism” I mean the view that nothing makes anything happen.) For these reasons, Lewis says that:</w:t>
      </w:r>
    </w:p>
    <w:p w14:paraId="7E001FBB" w14:textId="77777777" w:rsidR="009A58DB" w:rsidRDefault="009A58DB">
      <w:pPr>
        <w:pStyle w:val="BodyText"/>
        <w:spacing w:before="212"/>
        <w:ind w:left="0"/>
        <w:jc w:val="left"/>
      </w:pPr>
    </w:p>
    <w:p w14:paraId="7E001FBC" w14:textId="77777777" w:rsidR="009A58DB" w:rsidRDefault="00000000">
      <w:pPr>
        <w:pStyle w:val="BodyText"/>
        <w:spacing w:line="277" w:lineRule="exact"/>
        <w:ind w:left="842"/>
        <w:jc w:val="left"/>
      </w:pPr>
      <w:bookmarkStart w:id="441" w:name="_bookmark441"/>
      <w:bookmarkEnd w:id="441"/>
      <w:r>
        <w:rPr>
          <w:color w:val="0562C1"/>
          <w:spacing w:val="-2"/>
          <w:u w:val="single" w:color="0562C1"/>
        </w:rPr>
        <w:t>[323]</w:t>
      </w:r>
    </w:p>
    <w:p w14:paraId="7E001FBD" w14:textId="77777777" w:rsidR="009A58DB" w:rsidRDefault="00000000">
      <w:pPr>
        <w:pStyle w:val="BodyText"/>
        <w:tabs>
          <w:tab w:val="left" w:pos="1492"/>
        </w:tabs>
        <w:spacing w:line="277" w:lineRule="exact"/>
        <w:jc w:val="left"/>
      </w:pPr>
      <w:r>
        <w:rPr>
          <w:spacing w:val="-5"/>
        </w:rPr>
        <w:t>(LC</w:t>
      </w:r>
      <w:r>
        <w:tab/>
        <w:t>)</w:t>
      </w:r>
      <w:r>
        <w:rPr>
          <w:spacing w:val="43"/>
        </w:rPr>
        <w:t xml:space="preserve"> </w:t>
      </w:r>
      <w:r>
        <w:t>In</w:t>
      </w:r>
      <w:r>
        <w:rPr>
          <w:spacing w:val="47"/>
        </w:rPr>
        <w:t xml:space="preserve"> </w:t>
      </w:r>
      <w:r>
        <w:t>our</w:t>
      </w:r>
      <w:r>
        <w:rPr>
          <w:spacing w:val="46"/>
        </w:rPr>
        <w:t xml:space="preserve"> </w:t>
      </w:r>
      <w:r>
        <w:t>world,</w:t>
      </w:r>
      <w:r>
        <w:rPr>
          <w:spacing w:val="47"/>
        </w:rPr>
        <w:t xml:space="preserve"> </w:t>
      </w:r>
      <w:r>
        <w:t>event</w:t>
      </w:r>
      <w:r>
        <w:rPr>
          <w:spacing w:val="46"/>
        </w:rPr>
        <w:t xml:space="preserve"> </w:t>
      </w:r>
      <w:r>
        <w:t>x</w:t>
      </w:r>
      <w:r>
        <w:rPr>
          <w:spacing w:val="47"/>
        </w:rPr>
        <w:t xml:space="preserve"> </w:t>
      </w:r>
      <w:r>
        <w:t>causes</w:t>
      </w:r>
      <w:r>
        <w:rPr>
          <w:spacing w:val="46"/>
        </w:rPr>
        <w:t xml:space="preserve"> </w:t>
      </w:r>
      <w:r>
        <w:t>y</w:t>
      </w:r>
      <w:r>
        <w:rPr>
          <w:spacing w:val="47"/>
        </w:rPr>
        <w:t xml:space="preserve"> </w:t>
      </w:r>
      <w:r>
        <w:t>to</w:t>
      </w:r>
      <w:r>
        <w:rPr>
          <w:spacing w:val="46"/>
        </w:rPr>
        <w:t xml:space="preserve"> </w:t>
      </w:r>
      <w:r>
        <w:t>occur</w:t>
      </w:r>
      <w:r>
        <w:rPr>
          <w:spacing w:val="47"/>
        </w:rPr>
        <w:t xml:space="preserve"> </w:t>
      </w:r>
      <w:r>
        <w:t>if,</w:t>
      </w:r>
      <w:r>
        <w:rPr>
          <w:spacing w:val="46"/>
        </w:rPr>
        <w:t xml:space="preserve"> </w:t>
      </w:r>
      <w:r>
        <w:t>given</w:t>
      </w:r>
      <w:r>
        <w:rPr>
          <w:spacing w:val="47"/>
        </w:rPr>
        <w:t xml:space="preserve"> </w:t>
      </w:r>
      <w:r>
        <w:t>any</w:t>
      </w:r>
      <w:r>
        <w:rPr>
          <w:spacing w:val="46"/>
        </w:rPr>
        <w:t xml:space="preserve"> </w:t>
      </w:r>
      <w:r>
        <w:t>world</w:t>
      </w:r>
      <w:r>
        <w:rPr>
          <w:spacing w:val="47"/>
        </w:rPr>
        <w:t xml:space="preserve"> </w:t>
      </w:r>
      <w:r>
        <w:rPr>
          <w:spacing w:val="-10"/>
        </w:rPr>
        <w:t>W</w:t>
      </w:r>
    </w:p>
    <w:p w14:paraId="7E001FBE" w14:textId="77777777" w:rsidR="009A58DB" w:rsidRDefault="00000000">
      <w:pPr>
        <w:pStyle w:val="BodyText"/>
        <w:spacing w:before="15" w:line="249" w:lineRule="auto"/>
        <w:jc w:val="left"/>
      </w:pPr>
      <w:r>
        <w:t>where x doesn’t happen but is otherwise as much like our world as that fact</w:t>
      </w:r>
      <w:r>
        <w:rPr>
          <w:spacing w:val="80"/>
        </w:rPr>
        <w:t xml:space="preserve"> </w:t>
      </w:r>
      <w:r>
        <w:t>permits, y doesn’t occur.</w:t>
      </w:r>
    </w:p>
    <w:p w14:paraId="7E001FBF" w14:textId="77777777" w:rsidR="009A58DB" w:rsidRDefault="009A58DB">
      <w:pPr>
        <w:pStyle w:val="BodyText"/>
        <w:spacing w:before="317"/>
        <w:ind w:left="0"/>
        <w:jc w:val="left"/>
      </w:pPr>
    </w:p>
    <w:p w14:paraId="7E001FC0" w14:textId="77777777" w:rsidR="009A58DB" w:rsidRDefault="00000000">
      <w:pPr>
        <w:pStyle w:val="BodyText"/>
        <w:spacing w:before="1" w:line="249" w:lineRule="auto"/>
        <w:ind w:right="364" w:firstLine="360"/>
      </w:pPr>
      <w:r>
        <w:t>But we’ve already seen why this stratagem fails. Given that x occurs in</w:t>
      </w:r>
      <w:r>
        <w:rPr>
          <w:spacing w:val="40"/>
        </w:rPr>
        <w:t xml:space="preserve"> </w:t>
      </w:r>
      <w:r>
        <w:t>our</w:t>
      </w:r>
      <w:r>
        <w:rPr>
          <w:spacing w:val="-1"/>
        </w:rPr>
        <w:t xml:space="preserve"> </w:t>
      </w:r>
      <w:r>
        <w:t>world, a world W in which x doesn’t occur will</w:t>
      </w:r>
      <w:r>
        <w:rPr>
          <w:spacing w:val="-1"/>
        </w:rPr>
        <w:t xml:space="preserve"> </w:t>
      </w:r>
      <w:r>
        <w:t>bear so little resemblance to our world that it won’t be able to validate the target-counterfactual (viz. “if x hadn’t happened, y wouldn’t have happened”).</w:t>
      </w:r>
    </w:p>
    <w:p w14:paraId="7E001FC1" w14:textId="77777777" w:rsidR="009A58DB" w:rsidRDefault="00000000">
      <w:pPr>
        <w:pStyle w:val="Heading1"/>
        <w:numPr>
          <w:ilvl w:val="1"/>
          <w:numId w:val="81"/>
        </w:numPr>
        <w:tabs>
          <w:tab w:val="left" w:pos="990"/>
        </w:tabs>
        <w:spacing w:before="207"/>
        <w:ind w:left="990" w:hanging="630"/>
      </w:pPr>
      <w:r>
        <w:t>The</w:t>
      </w:r>
      <w:r>
        <w:rPr>
          <w:spacing w:val="-7"/>
        </w:rPr>
        <w:t xml:space="preserve"> </w:t>
      </w:r>
      <w:r>
        <w:t>basic</w:t>
      </w:r>
      <w:r>
        <w:rPr>
          <w:spacing w:val="-5"/>
        </w:rPr>
        <w:t xml:space="preserve"> </w:t>
      </w:r>
      <w:r>
        <w:t>problem</w:t>
      </w:r>
      <w:r>
        <w:rPr>
          <w:spacing w:val="-4"/>
        </w:rPr>
        <w:t xml:space="preserve"> </w:t>
      </w:r>
      <w:r>
        <w:t>with</w:t>
      </w:r>
      <w:r>
        <w:rPr>
          <w:spacing w:val="-5"/>
        </w:rPr>
        <w:t xml:space="preserve"> </w:t>
      </w:r>
      <w:r>
        <w:t>Lewis’</w:t>
      </w:r>
      <w:r>
        <w:rPr>
          <w:spacing w:val="-5"/>
        </w:rPr>
        <w:t xml:space="preserve"> </w:t>
      </w:r>
      <w:r>
        <w:t>analysis</w:t>
      </w:r>
      <w:r>
        <w:rPr>
          <w:spacing w:val="-4"/>
        </w:rPr>
        <w:t xml:space="preserve"> (LA)</w:t>
      </w:r>
    </w:p>
    <w:p w14:paraId="7E001FC2" w14:textId="77777777" w:rsidR="009A58DB" w:rsidRDefault="00000000">
      <w:pPr>
        <w:pStyle w:val="BodyText"/>
        <w:spacing w:before="140" w:line="249" w:lineRule="auto"/>
        <w:ind w:right="361"/>
      </w:pPr>
      <w:r>
        <w:t>We obviously can’t see or otherwise sense-perceive what is going on in other worlds; nor can we can sense-perceive evidence of what is going on in such worlds. Any knowledge that we have of what is going on in them is parasitic on our knowledge of counterfactual truths. So even if</w:t>
      </w:r>
    </w:p>
    <w:p w14:paraId="7E001FC3" w14:textId="77777777" w:rsidR="009A58DB" w:rsidRDefault="00000000">
      <w:pPr>
        <w:pStyle w:val="ListParagraph"/>
        <w:numPr>
          <w:ilvl w:val="0"/>
          <w:numId w:val="80"/>
        </w:numPr>
        <w:tabs>
          <w:tab w:val="left" w:pos="715"/>
        </w:tabs>
        <w:spacing w:before="94" w:line="324" w:lineRule="auto"/>
        <w:ind w:right="4162" w:firstLine="0"/>
        <w:rPr>
          <w:sz w:val="30"/>
        </w:rPr>
      </w:pPr>
      <w:r>
        <w:rPr>
          <w:sz w:val="30"/>
        </w:rPr>
        <w:t>had</w:t>
      </w:r>
      <w:r>
        <w:rPr>
          <w:spacing w:val="-5"/>
          <w:sz w:val="30"/>
        </w:rPr>
        <w:t xml:space="preserve"> </w:t>
      </w:r>
      <w:r>
        <w:rPr>
          <w:sz w:val="30"/>
        </w:rPr>
        <w:t>x</w:t>
      </w:r>
      <w:r>
        <w:rPr>
          <w:spacing w:val="-5"/>
          <w:sz w:val="30"/>
        </w:rPr>
        <w:t xml:space="preserve"> </w:t>
      </w:r>
      <w:r>
        <w:rPr>
          <w:sz w:val="30"/>
        </w:rPr>
        <w:t>not</w:t>
      </w:r>
      <w:r>
        <w:rPr>
          <w:spacing w:val="-6"/>
          <w:sz w:val="30"/>
        </w:rPr>
        <w:t xml:space="preserve"> </w:t>
      </w:r>
      <w:r>
        <w:rPr>
          <w:sz w:val="30"/>
        </w:rPr>
        <w:t>happened,</w:t>
      </w:r>
      <w:r>
        <w:rPr>
          <w:spacing w:val="-5"/>
          <w:sz w:val="30"/>
        </w:rPr>
        <w:t xml:space="preserve"> </w:t>
      </w:r>
      <w:r>
        <w:rPr>
          <w:sz w:val="30"/>
        </w:rPr>
        <w:t>y</w:t>
      </w:r>
      <w:r>
        <w:rPr>
          <w:spacing w:val="-5"/>
          <w:sz w:val="30"/>
        </w:rPr>
        <w:t xml:space="preserve"> </w:t>
      </w:r>
      <w:r>
        <w:rPr>
          <w:sz w:val="30"/>
        </w:rPr>
        <w:t>wouldn’t</w:t>
      </w:r>
      <w:r>
        <w:rPr>
          <w:spacing w:val="-6"/>
          <w:sz w:val="30"/>
        </w:rPr>
        <w:t xml:space="preserve"> </w:t>
      </w:r>
      <w:r>
        <w:rPr>
          <w:sz w:val="30"/>
        </w:rPr>
        <w:t>have</w:t>
      </w:r>
      <w:r>
        <w:rPr>
          <w:spacing w:val="-6"/>
          <w:sz w:val="30"/>
        </w:rPr>
        <w:t xml:space="preserve"> </w:t>
      </w:r>
      <w:r>
        <w:rPr>
          <w:sz w:val="30"/>
        </w:rPr>
        <w:t>either is true just in case</w:t>
      </w:r>
    </w:p>
    <w:p w14:paraId="7E001FC4" w14:textId="77777777" w:rsidR="009A58DB" w:rsidRDefault="00000000">
      <w:pPr>
        <w:pStyle w:val="ListParagraph"/>
        <w:numPr>
          <w:ilvl w:val="0"/>
          <w:numId w:val="80"/>
        </w:numPr>
        <w:tabs>
          <w:tab w:val="left" w:pos="805"/>
        </w:tabs>
        <w:spacing w:line="249" w:lineRule="auto"/>
        <w:ind w:right="360" w:firstLine="0"/>
        <w:rPr>
          <w:sz w:val="30"/>
        </w:rPr>
      </w:pPr>
      <w:r>
        <w:rPr>
          <w:sz w:val="30"/>
        </w:rPr>
        <w:t>given an x-free world W that is otherwise just like ours, y doesn’t happen in W,</w:t>
      </w:r>
    </w:p>
    <w:p w14:paraId="7E001FC5" w14:textId="77777777" w:rsidR="009A58DB" w:rsidRDefault="00000000">
      <w:pPr>
        <w:pStyle w:val="BodyText"/>
        <w:spacing w:before="91" w:line="249" w:lineRule="auto"/>
        <w:ind w:right="358"/>
      </w:pPr>
      <w:r>
        <w:t>our</w:t>
      </w:r>
      <w:r>
        <w:rPr>
          <w:spacing w:val="-3"/>
        </w:rPr>
        <w:t xml:space="preserve"> </w:t>
      </w:r>
      <w:r>
        <w:rPr>
          <w:i/>
        </w:rPr>
        <w:t>knowledge</w:t>
      </w:r>
      <w:r>
        <w:rPr>
          <w:i/>
          <w:spacing w:val="-3"/>
        </w:rPr>
        <w:t xml:space="preserve"> </w:t>
      </w:r>
      <w:r>
        <w:t xml:space="preserve">of (i) has nothing to do with other worlds. This shows that we know (i) to be true because we know of some fact in </w:t>
      </w:r>
      <w:r>
        <w:rPr>
          <w:i/>
        </w:rPr>
        <w:t>our</w:t>
      </w:r>
      <w:r>
        <w:rPr>
          <w:i/>
          <w:spacing w:val="-3"/>
        </w:rPr>
        <w:t xml:space="preserve"> </w:t>
      </w:r>
      <w:r>
        <w:t>world that coincides with the fact registered by (i). Which, in its turn, shows that other worlds</w:t>
      </w:r>
      <w:r>
        <w:rPr>
          <w:spacing w:val="40"/>
        </w:rPr>
        <w:t xml:space="preserve"> </w:t>
      </w:r>
      <w:r>
        <w:t>have nothing to do with counterfactual truth. Which shows that LA is false.</w:t>
      </w:r>
    </w:p>
    <w:p w14:paraId="7E001FC6" w14:textId="77777777" w:rsidR="009A58DB" w:rsidRDefault="00000000">
      <w:pPr>
        <w:pStyle w:val="Heading1"/>
        <w:numPr>
          <w:ilvl w:val="1"/>
          <w:numId w:val="79"/>
        </w:numPr>
        <w:tabs>
          <w:tab w:val="left" w:pos="990"/>
        </w:tabs>
        <w:spacing w:before="208"/>
      </w:pPr>
      <w:r>
        <w:t>Humeanism</w:t>
      </w:r>
      <w:r>
        <w:rPr>
          <w:spacing w:val="-9"/>
        </w:rPr>
        <w:t xml:space="preserve"> </w:t>
      </w:r>
      <w:r>
        <w:t>and</w:t>
      </w:r>
      <w:r>
        <w:rPr>
          <w:spacing w:val="-6"/>
        </w:rPr>
        <w:t xml:space="preserve"> </w:t>
      </w:r>
      <w:r>
        <w:t>probability</w:t>
      </w:r>
      <w:r>
        <w:rPr>
          <w:spacing w:val="-5"/>
        </w:rPr>
        <w:t xml:space="preserve"> </w:t>
      </w:r>
      <w:r>
        <w:rPr>
          <w:spacing w:val="-2"/>
        </w:rPr>
        <w:t>statements</w:t>
      </w:r>
    </w:p>
    <w:p w14:paraId="7E001FC7" w14:textId="77777777" w:rsidR="009A58DB" w:rsidRDefault="00000000">
      <w:pPr>
        <w:pStyle w:val="BodyText"/>
        <w:spacing w:before="139"/>
      </w:pPr>
      <w:r>
        <w:t>In</w:t>
      </w:r>
      <w:r>
        <w:rPr>
          <w:spacing w:val="70"/>
        </w:rPr>
        <w:t xml:space="preserve"> </w:t>
      </w:r>
      <w:r>
        <w:t>keeping</w:t>
      </w:r>
      <w:r>
        <w:rPr>
          <w:spacing w:val="72"/>
        </w:rPr>
        <w:t xml:space="preserve"> </w:t>
      </w:r>
      <w:r>
        <w:t>with</w:t>
      </w:r>
      <w:r>
        <w:rPr>
          <w:spacing w:val="72"/>
        </w:rPr>
        <w:t xml:space="preserve"> </w:t>
      </w:r>
      <w:r>
        <w:t>common</w:t>
      </w:r>
      <w:r>
        <w:rPr>
          <w:spacing w:val="73"/>
        </w:rPr>
        <w:t xml:space="preserve"> </w:t>
      </w:r>
      <w:r>
        <w:t>sense,</w:t>
      </w:r>
      <w:r>
        <w:rPr>
          <w:spacing w:val="72"/>
        </w:rPr>
        <w:t xml:space="preserve"> </w:t>
      </w:r>
      <w:r>
        <w:t>I</w:t>
      </w:r>
      <w:r>
        <w:rPr>
          <w:spacing w:val="71"/>
        </w:rPr>
        <w:t xml:space="preserve"> </w:t>
      </w:r>
      <w:r>
        <w:t>believe</w:t>
      </w:r>
      <w:r>
        <w:rPr>
          <w:spacing w:val="71"/>
        </w:rPr>
        <w:t xml:space="preserve"> </w:t>
      </w:r>
      <w:r>
        <w:t>that</w:t>
      </w:r>
      <w:r>
        <w:rPr>
          <w:spacing w:val="72"/>
        </w:rPr>
        <w:t xml:space="preserve"> </w:t>
      </w:r>
      <w:r>
        <w:t>statements</w:t>
      </w:r>
      <w:r>
        <w:rPr>
          <w:spacing w:val="71"/>
        </w:rPr>
        <w:t xml:space="preserve"> </w:t>
      </w:r>
      <w:r>
        <w:t>about</w:t>
      </w:r>
      <w:r>
        <w:rPr>
          <w:spacing w:val="71"/>
        </w:rPr>
        <w:t xml:space="preserve"> </w:t>
      </w:r>
      <w:r>
        <w:t>the</w:t>
      </w:r>
      <w:r>
        <w:rPr>
          <w:spacing w:val="72"/>
        </w:rPr>
        <w:t xml:space="preserve"> </w:t>
      </w:r>
      <w:r>
        <w:rPr>
          <w:spacing w:val="-4"/>
        </w:rPr>
        <w:t>past</w:t>
      </w:r>
    </w:p>
    <w:p w14:paraId="7E001FC8" w14:textId="77777777" w:rsidR="009A58DB" w:rsidRDefault="009A58DB">
      <w:pPr>
        <w:pStyle w:val="BodyText"/>
        <w:sectPr w:rsidR="009A58DB">
          <w:pgSz w:w="12240" w:h="15840"/>
          <w:pgMar w:top="1380" w:right="1080" w:bottom="280" w:left="1080" w:header="720" w:footer="720" w:gutter="0"/>
          <w:cols w:space="720"/>
        </w:sectPr>
      </w:pPr>
    </w:p>
    <w:p w14:paraId="7E001FC9" w14:textId="77777777" w:rsidR="009A58DB" w:rsidRDefault="00000000">
      <w:pPr>
        <w:pStyle w:val="BodyText"/>
        <w:spacing w:before="71" w:line="249" w:lineRule="auto"/>
        <w:ind w:right="359"/>
      </w:pPr>
      <w:r>
        <w:lastRenderedPageBreak/>
        <w:t>confirm statements about the future and, more generally, that statements about the known confirm statements about the unknown.</w:t>
      </w:r>
    </w:p>
    <w:p w14:paraId="7E001FCA" w14:textId="77777777" w:rsidR="009A58DB" w:rsidRDefault="00000000">
      <w:pPr>
        <w:pStyle w:val="BodyText"/>
        <w:spacing w:line="249" w:lineRule="auto"/>
        <w:ind w:right="358" w:firstLine="360"/>
      </w:pPr>
      <w:r>
        <w:t>It</w:t>
      </w:r>
      <w:r>
        <w:rPr>
          <w:spacing w:val="-2"/>
        </w:rPr>
        <w:t xml:space="preserve"> </w:t>
      </w:r>
      <w:r>
        <w:t>is</w:t>
      </w:r>
      <w:r>
        <w:rPr>
          <w:spacing w:val="-1"/>
        </w:rPr>
        <w:t xml:space="preserve"> </w:t>
      </w:r>
      <w:r>
        <w:t>hard</w:t>
      </w:r>
      <w:r>
        <w:rPr>
          <w:spacing w:val="-1"/>
        </w:rPr>
        <w:t xml:space="preserve"> </w:t>
      </w:r>
      <w:r>
        <w:t>to</w:t>
      </w:r>
      <w:r>
        <w:rPr>
          <w:spacing w:val="-1"/>
        </w:rPr>
        <w:t xml:space="preserve"> </w:t>
      </w:r>
      <w:r>
        <w:t>reconcile</w:t>
      </w:r>
      <w:r>
        <w:rPr>
          <w:spacing w:val="-1"/>
        </w:rPr>
        <w:t xml:space="preserve"> </w:t>
      </w:r>
      <w:r>
        <w:t>this</w:t>
      </w:r>
      <w:r>
        <w:rPr>
          <w:spacing w:val="-1"/>
        </w:rPr>
        <w:t xml:space="preserve"> </w:t>
      </w:r>
      <w:r>
        <w:t>belief</w:t>
      </w:r>
      <w:r>
        <w:rPr>
          <w:spacing w:val="-1"/>
        </w:rPr>
        <w:t xml:space="preserve"> </w:t>
      </w:r>
      <w:r>
        <w:t>with</w:t>
      </w:r>
      <w:r>
        <w:rPr>
          <w:spacing w:val="-1"/>
        </w:rPr>
        <w:t xml:space="preserve"> </w:t>
      </w:r>
      <w:r>
        <w:t>Humeanism.</w:t>
      </w:r>
      <w:r>
        <w:rPr>
          <w:spacing w:val="-1"/>
        </w:rPr>
        <w:t xml:space="preserve"> </w:t>
      </w:r>
      <w:r>
        <w:t>David</w:t>
      </w:r>
      <w:r>
        <w:rPr>
          <w:spacing w:val="-1"/>
        </w:rPr>
        <w:t xml:space="preserve"> </w:t>
      </w:r>
      <w:r>
        <w:t>Lewis</w:t>
      </w:r>
      <w:r>
        <w:rPr>
          <w:spacing w:val="-1"/>
        </w:rPr>
        <w:t xml:space="preserve"> </w:t>
      </w:r>
      <w:r>
        <w:t>is</w:t>
      </w:r>
      <w:r>
        <w:rPr>
          <w:spacing w:val="-1"/>
        </w:rPr>
        <w:t xml:space="preserve"> </w:t>
      </w:r>
      <w:r>
        <w:t>the</w:t>
      </w:r>
      <w:r>
        <w:rPr>
          <w:spacing w:val="-1"/>
        </w:rPr>
        <w:t xml:space="preserve"> </w:t>
      </w:r>
      <w:r>
        <w:t>only Humean who has even come close to succeeding in showing Humeanism to be compatible with the presumption that statements about the known can confirm statements about the known. To understand his argument, we must make a few preliminary points about probability.</w:t>
      </w:r>
    </w:p>
    <w:p w14:paraId="7E001FCB" w14:textId="77777777" w:rsidR="009A58DB" w:rsidRDefault="00000000">
      <w:pPr>
        <w:pStyle w:val="BodyText"/>
        <w:spacing w:before="2"/>
        <w:ind w:left="720"/>
      </w:pPr>
      <w:r>
        <w:t>Let’s</w:t>
      </w:r>
      <w:r>
        <w:rPr>
          <w:spacing w:val="-4"/>
        </w:rPr>
        <w:t xml:space="preserve"> </w:t>
      </w:r>
      <w:r>
        <w:t>suppose</w:t>
      </w:r>
      <w:r>
        <w:rPr>
          <w:spacing w:val="-4"/>
        </w:rPr>
        <w:t xml:space="preserve"> that:</w:t>
      </w:r>
    </w:p>
    <w:p w14:paraId="7E001FCC" w14:textId="77777777" w:rsidR="009A58DB" w:rsidRDefault="00000000">
      <w:pPr>
        <w:pStyle w:val="BodyText"/>
        <w:spacing w:before="120" w:line="249" w:lineRule="auto"/>
        <w:ind w:right="358"/>
      </w:pPr>
      <w:r>
        <w:t>(B</w:t>
      </w:r>
      <w:bookmarkStart w:id="442" w:name="_bookmark442"/>
      <w:bookmarkEnd w:id="442"/>
      <w:r>
        <w:t>U</w:t>
      </w:r>
      <w:r>
        <w:rPr>
          <w:color w:val="0562C1"/>
          <w:position w:val="21"/>
          <w:u w:val="single" w:color="0562C1"/>
        </w:rPr>
        <w:t>[324]</w:t>
      </w:r>
      <w:r>
        <w:t xml:space="preserve">) At time t, there are 10 balls in the urn. Nine are white. The other one is black. And, at t, there’s nothing in the urn besides these 10 balls. You know all this. But this is </w:t>
      </w:r>
      <w:r>
        <w:rPr>
          <w:i/>
        </w:rPr>
        <w:t xml:space="preserve">all </w:t>
      </w:r>
      <w:r>
        <w:t>you know that’s relevant to the probability of your pulling a white as opposed to black ball out of the urn.</w:t>
      </w:r>
    </w:p>
    <w:p w14:paraId="7E001FCD" w14:textId="77777777" w:rsidR="009A58DB" w:rsidRDefault="00000000">
      <w:pPr>
        <w:pStyle w:val="BodyText"/>
        <w:spacing w:before="95"/>
      </w:pPr>
      <w:r>
        <w:t>Even</w:t>
      </w:r>
      <w:r>
        <w:rPr>
          <w:spacing w:val="-2"/>
        </w:rPr>
        <w:t xml:space="preserve"> </w:t>
      </w:r>
      <w:r>
        <w:t>though BU isn’t analytic, and neither are the statements composing it,</w:t>
      </w:r>
      <w:r>
        <w:rPr>
          <w:spacing w:val="1"/>
        </w:rPr>
        <w:t xml:space="preserve"> </w:t>
      </w:r>
      <w:r>
        <w:rPr>
          <w:spacing w:val="-5"/>
        </w:rPr>
        <w:t>it</w:t>
      </w:r>
    </w:p>
    <w:p w14:paraId="7E001FCE" w14:textId="77777777" w:rsidR="009A58DB" w:rsidRDefault="00000000">
      <w:pPr>
        <w:pStyle w:val="BodyText"/>
        <w:spacing w:before="15"/>
      </w:pPr>
      <w:r>
        <w:rPr>
          <w:i/>
        </w:rPr>
        <w:t>does</w:t>
      </w:r>
      <w:r>
        <w:rPr>
          <w:i/>
          <w:spacing w:val="-5"/>
        </w:rPr>
        <w:t xml:space="preserve"> </w:t>
      </w:r>
      <w:r>
        <w:t>seem</w:t>
      </w:r>
      <w:r>
        <w:rPr>
          <w:spacing w:val="-3"/>
        </w:rPr>
        <w:t xml:space="preserve"> </w:t>
      </w:r>
      <w:r>
        <w:t>to</w:t>
      </w:r>
      <w:r>
        <w:rPr>
          <w:spacing w:val="-3"/>
        </w:rPr>
        <w:t xml:space="preserve"> </w:t>
      </w:r>
      <w:r>
        <w:t>be</w:t>
      </w:r>
      <w:r>
        <w:rPr>
          <w:spacing w:val="-3"/>
        </w:rPr>
        <w:t xml:space="preserve"> </w:t>
      </w:r>
      <w:r>
        <w:t>analytic</w:t>
      </w:r>
      <w:r>
        <w:rPr>
          <w:spacing w:val="-4"/>
        </w:rPr>
        <w:t xml:space="preserve"> </w:t>
      </w:r>
      <w:r>
        <w:t>that</w:t>
      </w:r>
      <w:r>
        <w:rPr>
          <w:spacing w:val="-3"/>
        </w:rPr>
        <w:t xml:space="preserve"> </w:t>
      </w:r>
      <w:r>
        <w:t>(“BB”</w:t>
      </w:r>
      <w:r>
        <w:rPr>
          <w:spacing w:val="-3"/>
        </w:rPr>
        <w:t xml:space="preserve"> </w:t>
      </w:r>
      <w:r>
        <w:t>stands</w:t>
      </w:r>
      <w:r>
        <w:rPr>
          <w:spacing w:val="-4"/>
        </w:rPr>
        <w:t xml:space="preserve"> </w:t>
      </w:r>
      <w:r>
        <w:t>for</w:t>
      </w:r>
      <w:r>
        <w:rPr>
          <w:spacing w:val="-3"/>
        </w:rPr>
        <w:t xml:space="preserve"> </w:t>
      </w:r>
      <w:r>
        <w:t>“black</w:t>
      </w:r>
      <w:r>
        <w:rPr>
          <w:spacing w:val="-2"/>
        </w:rPr>
        <w:t xml:space="preserve"> ball”):</w:t>
      </w:r>
    </w:p>
    <w:p w14:paraId="7E001FCF" w14:textId="77777777" w:rsidR="009A58DB" w:rsidRDefault="00000000">
      <w:pPr>
        <w:pStyle w:val="BodyText"/>
        <w:spacing w:before="120" w:line="249" w:lineRule="auto"/>
        <w:ind w:right="361"/>
      </w:pPr>
      <w:r>
        <w:t>(B</w:t>
      </w:r>
      <w:bookmarkStart w:id="443" w:name="_bookmark443"/>
      <w:bookmarkEnd w:id="443"/>
      <w:r>
        <w:t>B</w:t>
      </w:r>
      <w:r>
        <w:rPr>
          <w:color w:val="0562C1"/>
          <w:position w:val="21"/>
          <w:u w:val="single" w:color="0562C1"/>
        </w:rPr>
        <w:t>[325]</w:t>
      </w:r>
      <w:r>
        <w:t>) given a single chance to pull a single ball out of the urn, the probability that you’ll remove a black ball from the urn is 1 in 10.</w:t>
      </w:r>
    </w:p>
    <w:p w14:paraId="7E001FD0" w14:textId="77777777" w:rsidR="009A58DB" w:rsidRDefault="00000000">
      <w:pPr>
        <w:pStyle w:val="BodyText"/>
        <w:spacing w:before="108"/>
      </w:pPr>
      <w:r>
        <w:t>That</w:t>
      </w:r>
      <w:r>
        <w:rPr>
          <w:spacing w:val="-6"/>
        </w:rPr>
        <w:t xml:space="preserve"> </w:t>
      </w:r>
      <w:r>
        <w:t>said,</w:t>
      </w:r>
      <w:r>
        <w:rPr>
          <w:spacing w:val="-2"/>
        </w:rPr>
        <w:t xml:space="preserve"> </w:t>
      </w:r>
      <w:r>
        <w:t>it</w:t>
      </w:r>
      <w:r>
        <w:rPr>
          <w:spacing w:val="-3"/>
        </w:rPr>
        <w:t xml:space="preserve"> </w:t>
      </w:r>
      <w:r>
        <w:t>seems</w:t>
      </w:r>
      <w:r>
        <w:rPr>
          <w:spacing w:val="-3"/>
        </w:rPr>
        <w:t xml:space="preserve"> </w:t>
      </w:r>
      <w:r>
        <w:t>obvious</w:t>
      </w:r>
      <w:r>
        <w:rPr>
          <w:spacing w:val="-4"/>
        </w:rPr>
        <w:t xml:space="preserve"> </w:t>
      </w:r>
      <w:r>
        <w:t>that,</w:t>
      </w:r>
      <w:r>
        <w:rPr>
          <w:spacing w:val="-2"/>
        </w:rPr>
        <w:t xml:space="preserve"> </w:t>
      </w:r>
      <w:r>
        <w:rPr>
          <w:i/>
        </w:rPr>
        <w:t>given</w:t>
      </w:r>
      <w:r>
        <w:rPr>
          <w:i/>
          <w:spacing w:val="-2"/>
        </w:rPr>
        <w:t xml:space="preserve"> </w:t>
      </w:r>
      <w:r>
        <w:t>BU,</w:t>
      </w:r>
      <w:r>
        <w:rPr>
          <w:spacing w:val="-2"/>
        </w:rPr>
        <w:t xml:space="preserve"> </w:t>
      </w:r>
      <w:r>
        <w:t>it</w:t>
      </w:r>
      <w:r>
        <w:rPr>
          <w:spacing w:val="-4"/>
        </w:rPr>
        <w:t xml:space="preserve"> </w:t>
      </w:r>
      <w:r>
        <w:t>is</w:t>
      </w:r>
      <w:r>
        <w:rPr>
          <w:spacing w:val="-3"/>
        </w:rPr>
        <w:t xml:space="preserve"> </w:t>
      </w:r>
      <w:r>
        <w:t>analytic</w:t>
      </w:r>
      <w:r>
        <w:rPr>
          <w:spacing w:val="-3"/>
        </w:rPr>
        <w:t xml:space="preserve"> </w:t>
      </w:r>
      <w:r>
        <w:t>that</w:t>
      </w:r>
      <w:r>
        <w:rPr>
          <w:spacing w:val="-3"/>
        </w:rPr>
        <w:t xml:space="preserve"> </w:t>
      </w:r>
      <w:r>
        <w:t>BB</w:t>
      </w:r>
      <w:r>
        <w:rPr>
          <w:spacing w:val="-3"/>
        </w:rPr>
        <w:t xml:space="preserve"> </w:t>
      </w:r>
      <w:r>
        <w:rPr>
          <w:spacing w:val="-2"/>
        </w:rPr>
        <w:t>holds.</w:t>
      </w:r>
    </w:p>
    <w:p w14:paraId="7E001FD1" w14:textId="77777777" w:rsidR="009A58DB" w:rsidRDefault="00000000">
      <w:pPr>
        <w:pStyle w:val="BodyText"/>
        <w:spacing w:before="15" w:line="249" w:lineRule="auto"/>
        <w:ind w:right="367" w:firstLine="360"/>
      </w:pPr>
      <w:r>
        <w:t xml:space="preserve">But it isn’t analytic; it isn’t even true. Given </w:t>
      </w:r>
      <w:r>
        <w:rPr>
          <w:i/>
        </w:rPr>
        <w:t xml:space="preserve">only </w:t>
      </w:r>
      <w:r>
        <w:t>BU, you are no more entitled to think that you’ll withdraw a white ball than you are entitled to think that you’ll withdraw a black ball or a green ball or an iguana.</w:t>
      </w:r>
    </w:p>
    <w:p w14:paraId="7E001FD2" w14:textId="77777777" w:rsidR="009A58DB" w:rsidRDefault="00000000">
      <w:pPr>
        <w:pStyle w:val="BodyText"/>
        <w:spacing w:before="3" w:line="249" w:lineRule="auto"/>
        <w:ind w:right="360" w:firstLine="360"/>
      </w:pPr>
      <w:r>
        <w:t xml:space="preserve">It may be that, given BU </w:t>
      </w:r>
      <w:r>
        <w:rPr>
          <w:i/>
        </w:rPr>
        <w:t xml:space="preserve">along </w:t>
      </w:r>
      <w:r>
        <w:t>with some reasonable assumptions (e.g., that it isn’t a law of physics that white objects cannot be displaced or that, at time t, all white balls in urns turn into black balls or green balls or iguanas), BB is analytic.</w:t>
      </w:r>
    </w:p>
    <w:p w14:paraId="7E001FD3" w14:textId="77777777" w:rsidR="009A58DB" w:rsidRDefault="00000000">
      <w:pPr>
        <w:pStyle w:val="BodyText"/>
        <w:spacing w:before="5" w:line="249" w:lineRule="auto"/>
        <w:ind w:right="357" w:firstLine="360"/>
      </w:pPr>
      <w:r>
        <w:t xml:space="preserve">But if any one of the parenthetical assumptions is false, you have </w:t>
      </w:r>
      <w:r>
        <w:rPr>
          <w:i/>
        </w:rPr>
        <w:t xml:space="preserve">no </w:t>
      </w:r>
      <w:r>
        <w:t>chance, given BU, of pulling a white ball out of the urn. Since these assumptions,</w:t>
      </w:r>
      <w:r>
        <w:rPr>
          <w:spacing w:val="-4"/>
        </w:rPr>
        <w:t xml:space="preserve"> </w:t>
      </w:r>
      <w:r>
        <w:t>though</w:t>
      </w:r>
      <w:r>
        <w:rPr>
          <w:spacing w:val="-4"/>
        </w:rPr>
        <w:t xml:space="preserve"> </w:t>
      </w:r>
      <w:r>
        <w:t>perhaps</w:t>
      </w:r>
      <w:r>
        <w:rPr>
          <w:spacing w:val="-5"/>
        </w:rPr>
        <w:t xml:space="preserve"> </w:t>
      </w:r>
      <w:r>
        <w:t>obvious,</w:t>
      </w:r>
      <w:r>
        <w:rPr>
          <w:spacing w:val="-4"/>
        </w:rPr>
        <w:t xml:space="preserve"> </w:t>
      </w:r>
      <w:r>
        <w:t>aren’t</w:t>
      </w:r>
      <w:r>
        <w:rPr>
          <w:spacing w:val="-5"/>
        </w:rPr>
        <w:t xml:space="preserve"> </w:t>
      </w:r>
      <w:r>
        <w:t>analytic,</w:t>
      </w:r>
      <w:r>
        <w:rPr>
          <w:spacing w:val="-4"/>
        </w:rPr>
        <w:t xml:space="preserve"> </w:t>
      </w:r>
      <w:r>
        <w:t>BB</w:t>
      </w:r>
      <w:r>
        <w:rPr>
          <w:spacing w:val="-5"/>
        </w:rPr>
        <w:t xml:space="preserve"> </w:t>
      </w:r>
      <w:r>
        <w:t>doesn’t</w:t>
      </w:r>
      <w:r>
        <w:rPr>
          <w:spacing w:val="-5"/>
        </w:rPr>
        <w:t xml:space="preserve"> </w:t>
      </w:r>
      <w:r>
        <w:t>analytically follow from BU. For reasons analogous to those just given:</w:t>
      </w:r>
    </w:p>
    <w:p w14:paraId="7E001FD4" w14:textId="77777777" w:rsidR="009A58DB" w:rsidRDefault="009A58DB">
      <w:pPr>
        <w:pStyle w:val="BodyText"/>
        <w:spacing w:before="110"/>
        <w:ind w:left="0"/>
        <w:jc w:val="left"/>
      </w:pPr>
    </w:p>
    <w:p w14:paraId="7E001FD5" w14:textId="77777777" w:rsidR="009A58DB" w:rsidRDefault="00000000">
      <w:pPr>
        <w:pStyle w:val="BodyText"/>
        <w:spacing w:line="249" w:lineRule="auto"/>
        <w:ind w:right="362"/>
      </w:pPr>
      <w:r>
        <w:t>(W</w:t>
      </w:r>
      <w:bookmarkStart w:id="444" w:name="_bookmark444"/>
      <w:bookmarkEnd w:id="444"/>
      <w:r>
        <w:t>B</w:t>
      </w:r>
      <w:r>
        <w:rPr>
          <w:color w:val="0562C1"/>
          <w:position w:val="21"/>
          <w:u w:val="single" w:color="0562C1"/>
        </w:rPr>
        <w:t>[326]</w:t>
      </w:r>
      <w:r>
        <w:t xml:space="preserve">) Given BU, it’s analytic that if only one ball is </w:t>
      </w:r>
      <w:r>
        <w:rPr>
          <w:i/>
        </w:rPr>
        <w:t xml:space="preserve">selected </w:t>
      </w:r>
      <w:r>
        <w:t>(not physically removed from the urn—just selected) there’s a 90% chance that it’s white</w:t>
      </w:r>
    </w:p>
    <w:p w14:paraId="7E001FD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1FD7" w14:textId="77777777" w:rsidR="009A58DB" w:rsidRDefault="00000000">
      <w:pPr>
        <w:pStyle w:val="BodyText"/>
        <w:spacing w:before="65" w:line="249" w:lineRule="auto"/>
        <w:ind w:right="358"/>
      </w:pPr>
      <w:r>
        <w:lastRenderedPageBreak/>
        <w:t>is false if the word “selected” refers to anything that takes any time at all (e.g.,</w:t>
      </w:r>
      <w:r>
        <w:rPr>
          <w:spacing w:val="-2"/>
        </w:rPr>
        <w:t xml:space="preserve"> </w:t>
      </w:r>
      <w:r>
        <w:t>a</w:t>
      </w:r>
      <w:r>
        <w:rPr>
          <w:spacing w:val="-3"/>
        </w:rPr>
        <w:t xml:space="preserve"> </w:t>
      </w:r>
      <w:r>
        <w:t>psychological</w:t>
      </w:r>
      <w:r>
        <w:rPr>
          <w:spacing w:val="-3"/>
        </w:rPr>
        <w:t xml:space="preserve"> </w:t>
      </w:r>
      <w:r>
        <w:t>act</w:t>
      </w:r>
      <w:r>
        <w:rPr>
          <w:spacing w:val="-3"/>
        </w:rPr>
        <w:t xml:space="preserve"> </w:t>
      </w:r>
      <w:r>
        <w:t>or</w:t>
      </w:r>
      <w:r>
        <w:rPr>
          <w:spacing w:val="-3"/>
        </w:rPr>
        <w:t xml:space="preserve"> </w:t>
      </w:r>
      <w:r>
        <w:t>a</w:t>
      </w:r>
      <w:r>
        <w:rPr>
          <w:spacing w:val="-3"/>
        </w:rPr>
        <w:t xml:space="preserve"> </w:t>
      </w:r>
      <w:r>
        <w:t>physical</w:t>
      </w:r>
      <w:r>
        <w:rPr>
          <w:spacing w:val="-3"/>
        </w:rPr>
        <w:t xml:space="preserve"> </w:t>
      </w:r>
      <w:r>
        <w:t>process).</w:t>
      </w:r>
      <w:r>
        <w:rPr>
          <w:spacing w:val="-2"/>
        </w:rPr>
        <w:t xml:space="preserve"> </w:t>
      </w:r>
      <w:r>
        <w:t>It</w:t>
      </w:r>
      <w:r>
        <w:rPr>
          <w:spacing w:val="-3"/>
        </w:rPr>
        <w:t xml:space="preserve"> </w:t>
      </w:r>
      <w:r>
        <w:t>is</w:t>
      </w:r>
      <w:r>
        <w:rPr>
          <w:spacing w:val="-3"/>
        </w:rPr>
        <w:t xml:space="preserve"> </w:t>
      </w:r>
      <w:r>
        <w:t>only</w:t>
      </w:r>
      <w:r>
        <w:rPr>
          <w:spacing w:val="-2"/>
        </w:rPr>
        <w:t xml:space="preserve"> </w:t>
      </w:r>
      <w:r>
        <w:t>if</w:t>
      </w:r>
      <w:r>
        <w:rPr>
          <w:spacing w:val="-3"/>
        </w:rPr>
        <w:t xml:space="preserve"> </w:t>
      </w:r>
      <w:r>
        <w:t>that</w:t>
      </w:r>
      <w:r>
        <w:rPr>
          <w:spacing w:val="-3"/>
        </w:rPr>
        <w:t xml:space="preserve"> </w:t>
      </w:r>
      <w:r>
        <w:t>word</w:t>
      </w:r>
      <w:r>
        <w:rPr>
          <w:spacing w:val="-2"/>
        </w:rPr>
        <w:t xml:space="preserve"> </w:t>
      </w:r>
      <w:r>
        <w:t>is</w:t>
      </w:r>
      <w:r>
        <w:rPr>
          <w:spacing w:val="-3"/>
        </w:rPr>
        <w:t xml:space="preserve"> </w:t>
      </w:r>
      <w:r>
        <w:t xml:space="preserve">taken in some totally atemporal sense that WB comes out true. But, thus taken, WB says only that nine out of 10 balls in the urn are white if nine out of them are </w:t>
      </w:r>
      <w:r>
        <w:rPr>
          <w:spacing w:val="-2"/>
        </w:rPr>
        <w:t>white.</w:t>
      </w:r>
    </w:p>
    <w:p w14:paraId="7E001FD8" w14:textId="77777777" w:rsidR="009A58DB" w:rsidRDefault="00000000">
      <w:pPr>
        <w:pStyle w:val="BodyText"/>
        <w:spacing w:before="6" w:line="249" w:lineRule="auto"/>
        <w:ind w:right="360" w:firstLine="360"/>
      </w:pPr>
      <w:r>
        <w:t xml:space="preserve">In general, when words like “probable” (and “probability,” etc.) refer to </w:t>
      </w:r>
      <w:r>
        <w:rPr>
          <w:i/>
        </w:rPr>
        <w:t xml:space="preserve">statistical </w:t>
      </w:r>
      <w:r>
        <w:t>probability, they must be taken in a strictly non-temporal sense. The statement:</w:t>
      </w:r>
    </w:p>
    <w:p w14:paraId="7E001FD9" w14:textId="77777777" w:rsidR="009A58DB" w:rsidRDefault="00000000">
      <w:pPr>
        <w:pStyle w:val="BodyText"/>
        <w:spacing w:before="108" w:line="249" w:lineRule="auto"/>
        <w:ind w:right="364"/>
      </w:pPr>
      <w:r>
        <w:t>(*) given that, at time t, there are 10 apples in the barrel and only three oranges (and no other objects), your chances at time t* of selecting an orange are 3 in 13</w:t>
      </w:r>
    </w:p>
    <w:p w14:paraId="7E001FDA" w14:textId="77777777" w:rsidR="009A58DB" w:rsidRDefault="00000000">
      <w:pPr>
        <w:pStyle w:val="BodyText"/>
        <w:spacing w:before="94"/>
      </w:pPr>
      <w:r>
        <w:t>is</w:t>
      </w:r>
      <w:r>
        <w:rPr>
          <w:spacing w:val="-4"/>
        </w:rPr>
        <w:t xml:space="preserve"> </w:t>
      </w:r>
      <w:r>
        <w:t>false.</w:t>
      </w:r>
      <w:r>
        <w:rPr>
          <w:spacing w:val="-2"/>
        </w:rPr>
        <w:t xml:space="preserve"> </w:t>
      </w:r>
      <w:r>
        <w:t>What</w:t>
      </w:r>
      <w:r>
        <w:rPr>
          <w:spacing w:val="-3"/>
        </w:rPr>
        <w:t xml:space="preserve"> </w:t>
      </w:r>
      <w:r>
        <w:t>is</w:t>
      </w:r>
      <w:r>
        <w:rPr>
          <w:spacing w:val="-3"/>
        </w:rPr>
        <w:t xml:space="preserve"> </w:t>
      </w:r>
      <w:r>
        <w:t>true</w:t>
      </w:r>
      <w:r>
        <w:rPr>
          <w:spacing w:val="-3"/>
        </w:rPr>
        <w:t xml:space="preserve"> </w:t>
      </w:r>
      <w:r>
        <w:rPr>
          <w:spacing w:val="-5"/>
        </w:rPr>
        <w:t>is:</w:t>
      </w:r>
    </w:p>
    <w:p w14:paraId="7E001FDB" w14:textId="77777777" w:rsidR="009A58DB" w:rsidRDefault="00000000">
      <w:pPr>
        <w:pStyle w:val="BodyText"/>
        <w:spacing w:before="120" w:line="249" w:lineRule="auto"/>
        <w:ind w:right="363"/>
      </w:pPr>
      <w:r>
        <w:t>(*1) given that, at time t, there are 10 apples in the barrel and only three oranges (and no other objects), you’re chances at time t of selecting an</w:t>
      </w:r>
      <w:r>
        <w:rPr>
          <w:spacing w:val="40"/>
        </w:rPr>
        <w:t xml:space="preserve"> </w:t>
      </w:r>
      <w:r>
        <w:t>orange are 3 in 13,</w:t>
      </w:r>
    </w:p>
    <w:p w14:paraId="7E001FDC" w14:textId="77777777" w:rsidR="009A58DB" w:rsidRDefault="00000000">
      <w:pPr>
        <w:pStyle w:val="BodyText"/>
        <w:spacing w:before="109" w:line="249" w:lineRule="auto"/>
        <w:ind w:right="357"/>
      </w:pPr>
      <w:r>
        <w:rPr>
          <w:i/>
        </w:rPr>
        <w:t>but</w:t>
      </w:r>
      <w:r>
        <w:rPr>
          <w:i/>
          <w:spacing w:val="-4"/>
        </w:rPr>
        <w:t xml:space="preserve"> </w:t>
      </w:r>
      <w:r>
        <w:rPr>
          <w:i/>
        </w:rPr>
        <w:t>only</w:t>
      </w:r>
      <w:r>
        <w:rPr>
          <w:i/>
          <w:spacing w:val="-4"/>
        </w:rPr>
        <w:t xml:space="preserve"> </w:t>
      </w:r>
      <w:r>
        <w:t>if</w:t>
      </w:r>
      <w:r>
        <w:rPr>
          <w:spacing w:val="-4"/>
        </w:rPr>
        <w:t xml:space="preserve"> </w:t>
      </w:r>
      <w:r>
        <w:t>the</w:t>
      </w:r>
      <w:r>
        <w:rPr>
          <w:spacing w:val="-4"/>
        </w:rPr>
        <w:t xml:space="preserve"> </w:t>
      </w:r>
      <w:r>
        <w:t>term</w:t>
      </w:r>
      <w:r>
        <w:rPr>
          <w:spacing w:val="-4"/>
        </w:rPr>
        <w:t xml:space="preserve"> </w:t>
      </w:r>
      <w:r>
        <w:t>“selecting”</w:t>
      </w:r>
      <w:r>
        <w:rPr>
          <w:spacing w:val="-4"/>
        </w:rPr>
        <w:t xml:space="preserve"> </w:t>
      </w:r>
      <w:r>
        <w:t>is</w:t>
      </w:r>
      <w:r>
        <w:rPr>
          <w:spacing w:val="-4"/>
        </w:rPr>
        <w:t xml:space="preserve"> </w:t>
      </w:r>
      <w:r>
        <w:t>used</w:t>
      </w:r>
      <w:r>
        <w:rPr>
          <w:spacing w:val="-3"/>
        </w:rPr>
        <w:t xml:space="preserve"> </w:t>
      </w:r>
      <w:r>
        <w:t>metaphorically.</w:t>
      </w:r>
      <w:r>
        <w:rPr>
          <w:spacing w:val="-3"/>
        </w:rPr>
        <w:t xml:space="preserve"> </w:t>
      </w:r>
      <w:r>
        <w:t>More</w:t>
      </w:r>
      <w:r>
        <w:rPr>
          <w:spacing w:val="-4"/>
        </w:rPr>
        <w:t xml:space="preserve"> </w:t>
      </w:r>
      <w:r>
        <w:t>precisely,</w:t>
      </w:r>
      <w:r>
        <w:rPr>
          <w:spacing w:val="-3"/>
        </w:rPr>
        <w:t xml:space="preserve"> </w:t>
      </w:r>
      <w:r>
        <w:t>(*1)</w:t>
      </w:r>
      <w:r>
        <w:rPr>
          <w:spacing w:val="-4"/>
        </w:rPr>
        <w:t xml:space="preserve"> </w:t>
      </w:r>
      <w:r>
        <w:t>is true</w:t>
      </w:r>
      <w:r>
        <w:rPr>
          <w:spacing w:val="-2"/>
        </w:rPr>
        <w:t xml:space="preserve"> </w:t>
      </w:r>
      <w:r>
        <w:rPr>
          <w:i/>
        </w:rPr>
        <w:t>only</w:t>
      </w:r>
      <w:r>
        <w:rPr>
          <w:i/>
          <w:spacing w:val="-3"/>
        </w:rPr>
        <w:t xml:space="preserve"> </w:t>
      </w:r>
      <w:r>
        <w:t xml:space="preserve">if it coincides with the trivial claim that, if 3 out of the 13 objects in the barrel is an orange, the ratio at that time of oranges to non-oranges is 3 to </w:t>
      </w:r>
      <w:r>
        <w:rPr>
          <w:spacing w:val="-4"/>
        </w:rPr>
        <w:t>13.</w:t>
      </w:r>
    </w:p>
    <w:p w14:paraId="7E001FDD" w14:textId="77777777" w:rsidR="009A58DB" w:rsidRDefault="00000000">
      <w:pPr>
        <w:pStyle w:val="BodyText"/>
        <w:spacing w:before="5" w:line="249" w:lineRule="auto"/>
        <w:ind w:right="359" w:firstLine="360"/>
      </w:pPr>
      <w:r>
        <w:t xml:space="preserve">Of course, even a Humean can grant the truth of trivial probability statements, such as (*). So if, by some remote chance, it could be shown that non-trivial probability statements (e.g., given that, in the past, all metal has expanded when heated, it will probably continue to do so) could be identified with trivial ones, the Humean </w:t>
      </w:r>
      <w:r>
        <w:rPr>
          <w:i/>
        </w:rPr>
        <w:t xml:space="preserve">would </w:t>
      </w:r>
      <w:r>
        <w:t>be able to accommodate the presumption, so crucial to thought and scientific explanation, that non-trivial probability statements are correct. David Lewis makes a noble effort to do just this.</w:t>
      </w:r>
    </w:p>
    <w:p w14:paraId="7E001FDE" w14:textId="77777777" w:rsidR="009A58DB" w:rsidRDefault="00000000">
      <w:pPr>
        <w:pStyle w:val="Heading1"/>
        <w:numPr>
          <w:ilvl w:val="1"/>
          <w:numId w:val="79"/>
        </w:numPr>
        <w:tabs>
          <w:tab w:val="left" w:pos="1026"/>
        </w:tabs>
        <w:spacing w:before="198" w:line="244" w:lineRule="auto"/>
        <w:ind w:left="360" w:right="366" w:firstLine="0"/>
      </w:pPr>
      <w:r>
        <w:t xml:space="preserve">Why, for this reason, Humeanism can’t explain </w:t>
      </w:r>
      <w:r>
        <w:rPr>
          <w:spacing w:val="-2"/>
        </w:rPr>
        <w:t>explanation</w:t>
      </w:r>
    </w:p>
    <w:p w14:paraId="7E001FDF" w14:textId="77777777" w:rsidR="009A58DB" w:rsidRDefault="00000000">
      <w:pPr>
        <w:pStyle w:val="BodyText"/>
        <w:spacing w:before="131" w:line="249" w:lineRule="auto"/>
        <w:ind w:right="359"/>
      </w:pPr>
      <w:r>
        <w:t>Let’s start by describing the viewpoint of common sense. In saying that</w:t>
      </w:r>
      <w:r>
        <w:rPr>
          <w:spacing w:val="40"/>
        </w:rPr>
        <w:t xml:space="preserve"> </w:t>
      </w:r>
      <w:r>
        <w:t>Smith</w:t>
      </w:r>
      <w:r>
        <w:rPr>
          <w:spacing w:val="-2"/>
        </w:rPr>
        <w:t xml:space="preserve"> </w:t>
      </w:r>
      <w:r>
        <w:t>will</w:t>
      </w:r>
      <w:r>
        <w:rPr>
          <w:spacing w:val="-3"/>
        </w:rPr>
        <w:t xml:space="preserve"> </w:t>
      </w:r>
      <w:r>
        <w:rPr>
          <w:i/>
        </w:rPr>
        <w:t>probably</w:t>
      </w:r>
      <w:r>
        <w:rPr>
          <w:i/>
          <w:spacing w:val="-3"/>
        </w:rPr>
        <w:t xml:space="preserve"> </w:t>
      </w:r>
      <w:r>
        <w:t>disgrace himself at his job interview, given that he drank an</w:t>
      </w:r>
      <w:r>
        <w:rPr>
          <w:spacing w:val="18"/>
        </w:rPr>
        <w:t xml:space="preserve"> </w:t>
      </w:r>
      <w:r>
        <w:t>entire</w:t>
      </w:r>
      <w:r>
        <w:rPr>
          <w:spacing w:val="18"/>
        </w:rPr>
        <w:t xml:space="preserve"> </w:t>
      </w:r>
      <w:r>
        <w:t>bottle</w:t>
      </w:r>
      <w:r>
        <w:rPr>
          <w:spacing w:val="18"/>
        </w:rPr>
        <w:t xml:space="preserve"> </w:t>
      </w:r>
      <w:r>
        <w:t>of</w:t>
      </w:r>
      <w:r>
        <w:rPr>
          <w:spacing w:val="19"/>
        </w:rPr>
        <w:t xml:space="preserve"> </w:t>
      </w:r>
      <w:r>
        <w:t>gin</w:t>
      </w:r>
      <w:r>
        <w:rPr>
          <w:spacing w:val="18"/>
        </w:rPr>
        <w:t xml:space="preserve"> </w:t>
      </w:r>
      <w:r>
        <w:t>right</w:t>
      </w:r>
      <w:r>
        <w:rPr>
          <w:spacing w:val="18"/>
        </w:rPr>
        <w:t xml:space="preserve"> </w:t>
      </w:r>
      <w:r>
        <w:t>before,</w:t>
      </w:r>
      <w:r>
        <w:rPr>
          <w:spacing w:val="19"/>
        </w:rPr>
        <w:t xml:space="preserve"> </w:t>
      </w:r>
      <w:r>
        <w:t>you</w:t>
      </w:r>
      <w:r>
        <w:rPr>
          <w:spacing w:val="18"/>
        </w:rPr>
        <w:t xml:space="preserve"> </w:t>
      </w:r>
      <w:r>
        <w:t>are</w:t>
      </w:r>
      <w:r>
        <w:rPr>
          <w:spacing w:val="18"/>
        </w:rPr>
        <w:t xml:space="preserve"> </w:t>
      </w:r>
      <w:r>
        <w:t>saying</w:t>
      </w:r>
      <w:r>
        <w:rPr>
          <w:spacing w:val="18"/>
        </w:rPr>
        <w:t xml:space="preserve"> </w:t>
      </w:r>
      <w:r>
        <w:t>that</w:t>
      </w:r>
      <w:r>
        <w:rPr>
          <w:spacing w:val="19"/>
        </w:rPr>
        <w:t xml:space="preserve"> </w:t>
      </w:r>
      <w:r>
        <w:t>he</w:t>
      </w:r>
      <w:r>
        <w:rPr>
          <w:spacing w:val="18"/>
        </w:rPr>
        <w:t xml:space="preserve"> </w:t>
      </w:r>
      <w:r>
        <w:t>all</w:t>
      </w:r>
      <w:r>
        <w:rPr>
          <w:spacing w:val="18"/>
        </w:rPr>
        <w:t xml:space="preserve"> </w:t>
      </w:r>
      <w:r>
        <w:t>but</w:t>
      </w:r>
      <w:r>
        <w:rPr>
          <w:spacing w:val="19"/>
        </w:rPr>
        <w:t xml:space="preserve"> </w:t>
      </w:r>
      <w:r>
        <w:rPr>
          <w:spacing w:val="-2"/>
        </w:rPr>
        <w:t>guaranteed</w:t>
      </w:r>
    </w:p>
    <w:p w14:paraId="7E001FE0"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1FE1" w14:textId="77777777" w:rsidR="009A58DB" w:rsidRDefault="00000000">
      <w:pPr>
        <w:pStyle w:val="BodyText"/>
        <w:spacing w:before="65" w:line="249" w:lineRule="auto"/>
        <w:ind w:right="358"/>
      </w:pPr>
      <w:r>
        <w:lastRenderedPageBreak/>
        <w:t>an unacceptable performance at the interview. In saying that Brown’s victory is</w:t>
      </w:r>
      <w:r>
        <w:rPr>
          <w:spacing w:val="-1"/>
        </w:rPr>
        <w:t xml:space="preserve"> </w:t>
      </w:r>
      <w:r>
        <w:t>probable,</w:t>
      </w:r>
      <w:r>
        <w:rPr>
          <w:spacing w:val="-1"/>
        </w:rPr>
        <w:t xml:space="preserve"> </w:t>
      </w:r>
      <w:r>
        <w:t>given</w:t>
      </w:r>
      <w:r>
        <w:rPr>
          <w:spacing w:val="-1"/>
        </w:rPr>
        <w:t xml:space="preserve"> </w:t>
      </w:r>
      <w:r>
        <w:t>that</w:t>
      </w:r>
      <w:r>
        <w:rPr>
          <w:spacing w:val="-1"/>
        </w:rPr>
        <w:t xml:space="preserve"> </w:t>
      </w:r>
      <w:r>
        <w:t>he</w:t>
      </w:r>
      <w:r>
        <w:rPr>
          <w:spacing w:val="-1"/>
        </w:rPr>
        <w:t xml:space="preserve"> </w:t>
      </w:r>
      <w:r>
        <w:t>drugged</w:t>
      </w:r>
      <w:r>
        <w:rPr>
          <w:spacing w:val="-1"/>
        </w:rPr>
        <w:t xml:space="preserve"> </w:t>
      </w:r>
      <w:r>
        <w:t>his</w:t>
      </w:r>
      <w:r>
        <w:rPr>
          <w:spacing w:val="-1"/>
        </w:rPr>
        <w:t xml:space="preserve"> </w:t>
      </w:r>
      <w:r>
        <w:t>opponent’s</w:t>
      </w:r>
      <w:r>
        <w:rPr>
          <w:spacing w:val="-1"/>
        </w:rPr>
        <w:t xml:space="preserve"> </w:t>
      </w:r>
      <w:r>
        <w:t>water,</w:t>
      </w:r>
      <w:r>
        <w:rPr>
          <w:spacing w:val="-1"/>
        </w:rPr>
        <w:t xml:space="preserve"> </w:t>
      </w:r>
      <w:r>
        <w:t>you’re</w:t>
      </w:r>
      <w:r>
        <w:rPr>
          <w:spacing w:val="-1"/>
        </w:rPr>
        <w:t xml:space="preserve"> </w:t>
      </w:r>
      <w:r>
        <w:t>saying</w:t>
      </w:r>
      <w:r>
        <w:rPr>
          <w:spacing w:val="-1"/>
        </w:rPr>
        <w:t xml:space="preserve"> </w:t>
      </w:r>
      <w:r>
        <w:t>that</w:t>
      </w:r>
      <w:r>
        <w:rPr>
          <w:spacing w:val="-1"/>
        </w:rPr>
        <w:t xml:space="preserve"> </w:t>
      </w:r>
      <w:r>
        <w:t>he all but necessitated his opponent’s defeat. In these contexts, the word “probably” doesn’t have the emptily statistical meaning borne by its homonym in statements like:</w:t>
      </w:r>
    </w:p>
    <w:p w14:paraId="7E001FE2" w14:textId="77777777" w:rsidR="009A58DB" w:rsidRDefault="00000000">
      <w:pPr>
        <w:pStyle w:val="BodyText"/>
        <w:spacing w:before="111" w:line="249" w:lineRule="auto"/>
        <w:ind w:right="359"/>
      </w:pPr>
      <w:r>
        <w:t>(NC) Given that better than nine out of 10 people don’t own a pogo stick, a person chosen at random probably won’t own one.</w:t>
      </w:r>
    </w:p>
    <w:p w14:paraId="7E001FE3" w14:textId="77777777" w:rsidR="009A58DB" w:rsidRDefault="00000000">
      <w:pPr>
        <w:pStyle w:val="BodyText"/>
        <w:spacing w:before="92" w:line="249" w:lineRule="auto"/>
        <w:ind w:right="361" w:firstLine="360"/>
      </w:pPr>
      <w:r>
        <w:t>If common sense is right, statistical probability isn’t explanatory probability</w:t>
      </w:r>
      <w:r>
        <w:rPr>
          <w:spacing w:val="-3"/>
        </w:rPr>
        <w:t xml:space="preserve"> </w:t>
      </w:r>
      <w:r>
        <w:t>(even</w:t>
      </w:r>
      <w:r>
        <w:rPr>
          <w:spacing w:val="-3"/>
        </w:rPr>
        <w:t xml:space="preserve"> </w:t>
      </w:r>
      <w:r>
        <w:t>though</w:t>
      </w:r>
      <w:r>
        <w:rPr>
          <w:spacing w:val="-3"/>
        </w:rPr>
        <w:t xml:space="preserve"> </w:t>
      </w:r>
      <w:r>
        <w:t>statistical</w:t>
      </w:r>
      <w:r>
        <w:rPr>
          <w:spacing w:val="-3"/>
        </w:rPr>
        <w:t xml:space="preserve"> </w:t>
      </w:r>
      <w:r>
        <w:t>probability</w:t>
      </w:r>
      <w:r>
        <w:rPr>
          <w:spacing w:val="-3"/>
        </w:rPr>
        <w:t xml:space="preserve"> </w:t>
      </w:r>
      <w:r>
        <w:t>is</w:t>
      </w:r>
      <w:r>
        <w:rPr>
          <w:spacing w:val="-3"/>
        </w:rPr>
        <w:t xml:space="preserve"> </w:t>
      </w:r>
      <w:r>
        <w:t>sometimes</w:t>
      </w:r>
      <w:r>
        <w:rPr>
          <w:spacing w:val="-3"/>
        </w:rPr>
        <w:t xml:space="preserve"> </w:t>
      </w:r>
      <w:r>
        <w:t>a</w:t>
      </w:r>
      <w:r>
        <w:rPr>
          <w:spacing w:val="-3"/>
        </w:rPr>
        <w:t xml:space="preserve"> </w:t>
      </w:r>
      <w:r>
        <w:t>consequence</w:t>
      </w:r>
      <w:r>
        <w:rPr>
          <w:spacing w:val="-3"/>
        </w:rPr>
        <w:t xml:space="preserve"> </w:t>
      </w:r>
      <w:r>
        <w:t>of explanatory probability: other things being equal, explanatory probabilities are expressed by statistical probabilities; and it’s from this fact that the Humean conception of probability derives what little credibility it has).</w:t>
      </w:r>
    </w:p>
    <w:p w14:paraId="7E001FE4" w14:textId="77777777" w:rsidR="009A58DB" w:rsidRDefault="00000000">
      <w:pPr>
        <w:pStyle w:val="BodyText"/>
        <w:spacing w:before="6" w:line="249" w:lineRule="auto"/>
        <w:ind w:right="361" w:firstLine="360"/>
      </w:pPr>
      <w:r>
        <w:t>The Humean denies all this, since he thinks that nothing makes anything happen. But this means that he has trouble accommodating the fact that anything can ever be explained. A world where nothing makes anything happen is one where nothing has any roots—where, no matter what the conditions are any outcome is just as likely as any other.</w:t>
      </w:r>
    </w:p>
    <w:p w14:paraId="7E001FE5" w14:textId="77777777" w:rsidR="009A58DB" w:rsidRDefault="00000000">
      <w:pPr>
        <w:pStyle w:val="BodyText"/>
        <w:spacing w:before="7" w:line="249" w:lineRule="auto"/>
        <w:ind w:right="364" w:firstLine="360"/>
      </w:pPr>
      <w:r>
        <w:t>The Humean has three choices: (i) reject the presumption that some things can be explained; (ii) stop being a Humean, since Humeanism is inconsistent with this presumption; or (iii) try to reconcile Humeanism with this presumption. Obviously Humeans choose (iii).</w:t>
      </w:r>
    </w:p>
    <w:p w14:paraId="7E001FE6" w14:textId="77777777" w:rsidR="009A58DB" w:rsidRDefault="00000000">
      <w:pPr>
        <w:pStyle w:val="BodyText"/>
        <w:spacing w:before="4" w:line="249" w:lineRule="auto"/>
        <w:ind w:right="360" w:firstLine="360"/>
      </w:pPr>
      <w:r>
        <w:t>They</w:t>
      </w:r>
      <w:r>
        <w:rPr>
          <w:spacing w:val="-3"/>
        </w:rPr>
        <w:t xml:space="preserve"> </w:t>
      </w:r>
      <w:r>
        <w:t>defend</w:t>
      </w:r>
      <w:r>
        <w:rPr>
          <w:spacing w:val="-3"/>
        </w:rPr>
        <w:t xml:space="preserve"> </w:t>
      </w:r>
      <w:r>
        <w:t>this</w:t>
      </w:r>
      <w:r>
        <w:rPr>
          <w:spacing w:val="-4"/>
        </w:rPr>
        <w:t xml:space="preserve"> </w:t>
      </w:r>
      <w:r>
        <w:t>choice</w:t>
      </w:r>
      <w:r>
        <w:rPr>
          <w:spacing w:val="-4"/>
        </w:rPr>
        <w:t xml:space="preserve"> </w:t>
      </w:r>
      <w:r>
        <w:t>by</w:t>
      </w:r>
      <w:r>
        <w:rPr>
          <w:spacing w:val="-3"/>
        </w:rPr>
        <w:t xml:space="preserve"> </w:t>
      </w:r>
      <w:r>
        <w:t>saying</w:t>
      </w:r>
      <w:r>
        <w:rPr>
          <w:spacing w:val="-3"/>
        </w:rPr>
        <w:t xml:space="preserve"> </w:t>
      </w:r>
      <w:r>
        <w:t>that,</w:t>
      </w:r>
      <w:r>
        <w:rPr>
          <w:spacing w:val="-3"/>
        </w:rPr>
        <w:t xml:space="preserve"> </w:t>
      </w:r>
      <w:r>
        <w:t>contrary</w:t>
      </w:r>
      <w:r>
        <w:rPr>
          <w:spacing w:val="-3"/>
        </w:rPr>
        <w:t xml:space="preserve"> </w:t>
      </w:r>
      <w:r>
        <w:t>to</w:t>
      </w:r>
      <w:r>
        <w:rPr>
          <w:spacing w:val="-3"/>
        </w:rPr>
        <w:t xml:space="preserve"> </w:t>
      </w:r>
      <w:r>
        <w:t>what</w:t>
      </w:r>
      <w:r>
        <w:rPr>
          <w:spacing w:val="-4"/>
        </w:rPr>
        <w:t xml:space="preserve"> </w:t>
      </w:r>
      <w:r>
        <w:t>we</w:t>
      </w:r>
      <w:r>
        <w:rPr>
          <w:spacing w:val="-4"/>
        </w:rPr>
        <w:t xml:space="preserve"> </w:t>
      </w:r>
      <w:r>
        <w:t>said</w:t>
      </w:r>
      <w:r>
        <w:rPr>
          <w:spacing w:val="-3"/>
        </w:rPr>
        <w:t xml:space="preserve"> </w:t>
      </w:r>
      <w:r>
        <w:t>a</w:t>
      </w:r>
      <w:r>
        <w:rPr>
          <w:spacing w:val="-4"/>
        </w:rPr>
        <w:t xml:space="preserve"> </w:t>
      </w:r>
      <w:r>
        <w:t xml:space="preserve">moment ago, the concepts expressed by words like “cause” and “probable” </w:t>
      </w:r>
      <w:r>
        <w:rPr>
          <w:i/>
        </w:rPr>
        <w:t xml:space="preserve">are </w:t>
      </w:r>
      <w:r>
        <w:t>of a strictly</w:t>
      </w:r>
      <w:r>
        <w:rPr>
          <w:spacing w:val="7"/>
        </w:rPr>
        <w:t xml:space="preserve"> </w:t>
      </w:r>
      <w:r>
        <w:t>statistical</w:t>
      </w:r>
      <w:r>
        <w:rPr>
          <w:spacing w:val="7"/>
        </w:rPr>
        <w:t xml:space="preserve"> </w:t>
      </w:r>
      <w:r>
        <w:t>kind.</w:t>
      </w:r>
      <w:r>
        <w:rPr>
          <w:spacing w:val="7"/>
        </w:rPr>
        <w:t xml:space="preserve"> </w:t>
      </w:r>
      <w:r>
        <w:t>“Given</w:t>
      </w:r>
      <w:r>
        <w:rPr>
          <w:spacing w:val="7"/>
        </w:rPr>
        <w:t xml:space="preserve"> </w:t>
      </w:r>
      <w:r>
        <w:t>E</w:t>
      </w:r>
      <w:r>
        <w:rPr>
          <w:vertAlign w:val="subscript"/>
        </w:rPr>
        <w:t>1</w:t>
      </w:r>
      <w:r>
        <w:t>, E</w:t>
      </w:r>
      <w:r>
        <w:rPr>
          <w:vertAlign w:val="subscript"/>
        </w:rPr>
        <w:t>2</w:t>
      </w:r>
      <w:r>
        <w:rPr>
          <w:spacing w:val="10"/>
        </w:rPr>
        <w:t xml:space="preserve"> </w:t>
      </w:r>
      <w:r>
        <w:t>is</w:t>
      </w:r>
      <w:r>
        <w:rPr>
          <w:spacing w:val="11"/>
        </w:rPr>
        <w:t xml:space="preserve"> </w:t>
      </w:r>
      <w:r>
        <w:t>probable”</w:t>
      </w:r>
      <w:r>
        <w:rPr>
          <w:spacing w:val="10"/>
        </w:rPr>
        <w:t xml:space="preserve"> </w:t>
      </w:r>
      <w:r>
        <w:t>means</w:t>
      </w:r>
      <w:r>
        <w:rPr>
          <w:spacing w:val="10"/>
        </w:rPr>
        <w:t xml:space="preserve"> </w:t>
      </w:r>
      <w:r>
        <w:t>“most</w:t>
      </w:r>
      <w:r>
        <w:rPr>
          <w:spacing w:val="10"/>
        </w:rPr>
        <w:t xml:space="preserve"> </w:t>
      </w:r>
      <w:r>
        <w:t>events</w:t>
      </w:r>
      <w:r>
        <w:rPr>
          <w:spacing w:val="10"/>
        </w:rPr>
        <w:t xml:space="preserve"> </w:t>
      </w:r>
      <w:r>
        <w:t>of</w:t>
      </w:r>
      <w:r>
        <w:rPr>
          <w:spacing w:val="10"/>
        </w:rPr>
        <w:t xml:space="preserve"> </w:t>
      </w:r>
      <w:r>
        <w:rPr>
          <w:spacing w:val="-5"/>
        </w:rPr>
        <w:t>the</w:t>
      </w:r>
    </w:p>
    <w:p w14:paraId="7E001FE7" w14:textId="77777777" w:rsidR="009A58DB" w:rsidRDefault="00000000">
      <w:pPr>
        <w:pStyle w:val="BodyText"/>
        <w:spacing w:before="64" w:line="292" w:lineRule="auto"/>
        <w:ind w:right="358"/>
      </w:pPr>
      <w:r>
        <w:t>same kind as E</w:t>
      </w:r>
      <w:r>
        <w:rPr>
          <w:vertAlign w:val="subscript"/>
        </w:rPr>
        <w:t>1</w:t>
      </w:r>
      <w:r>
        <w:t xml:space="preserve"> are accompanied by events of the same kind as E</w:t>
      </w:r>
      <w:r>
        <w:rPr>
          <w:vertAlign w:val="subscript"/>
        </w:rPr>
        <w:t>2</w:t>
      </w:r>
      <w:r>
        <w:t>.” And, as previously discussed, “E</w:t>
      </w:r>
      <w:r>
        <w:rPr>
          <w:vertAlign w:val="subscript"/>
        </w:rPr>
        <w:t>1</w:t>
      </w:r>
      <w:r>
        <w:t xml:space="preserve"> causes E</w:t>
      </w:r>
      <w:r>
        <w:rPr>
          <w:vertAlign w:val="subscript"/>
        </w:rPr>
        <w:t>2</w:t>
      </w:r>
      <w:r>
        <w:t xml:space="preserve"> to occur” means “given any event of the same kind as E</w:t>
      </w:r>
      <w:r>
        <w:rPr>
          <w:vertAlign w:val="subscript"/>
        </w:rPr>
        <w:t>1</w:t>
      </w:r>
      <w:r>
        <w:t xml:space="preserve">, there occurs an adjacent, subsequent event the same kind as </w:t>
      </w:r>
      <w:r>
        <w:rPr>
          <w:spacing w:val="-4"/>
        </w:rPr>
        <w:t>E</w:t>
      </w:r>
      <w:r>
        <w:rPr>
          <w:spacing w:val="-4"/>
          <w:position w:val="-7"/>
          <w:sz w:val="22"/>
        </w:rPr>
        <w:t>2</w:t>
      </w:r>
      <w:r>
        <w:rPr>
          <w:spacing w:val="-4"/>
        </w:rPr>
        <w:t>.”</w:t>
      </w:r>
    </w:p>
    <w:p w14:paraId="7E001FE8" w14:textId="77777777" w:rsidR="009A58DB" w:rsidRDefault="00000000">
      <w:pPr>
        <w:pStyle w:val="BodyText"/>
        <w:spacing w:line="279" w:lineRule="exact"/>
        <w:ind w:left="720"/>
      </w:pPr>
      <w:r>
        <w:t>The</w:t>
      </w:r>
      <w:r>
        <w:rPr>
          <w:spacing w:val="-6"/>
        </w:rPr>
        <w:t xml:space="preserve"> </w:t>
      </w:r>
      <w:r>
        <w:t>latter</w:t>
      </w:r>
      <w:r>
        <w:rPr>
          <w:spacing w:val="-3"/>
        </w:rPr>
        <w:t xml:space="preserve"> </w:t>
      </w:r>
      <w:r>
        <w:t>claim</w:t>
      </w:r>
      <w:r>
        <w:rPr>
          <w:spacing w:val="-4"/>
        </w:rPr>
        <w:t xml:space="preserve"> </w:t>
      </w:r>
      <w:r>
        <w:t>is</w:t>
      </w:r>
      <w:r>
        <w:rPr>
          <w:spacing w:val="-3"/>
        </w:rPr>
        <w:t xml:space="preserve"> </w:t>
      </w:r>
      <w:r>
        <w:t>a</w:t>
      </w:r>
      <w:r>
        <w:rPr>
          <w:spacing w:val="-3"/>
        </w:rPr>
        <w:t xml:space="preserve"> </w:t>
      </w:r>
      <w:r>
        <w:t>complete</w:t>
      </w:r>
      <w:r>
        <w:rPr>
          <w:spacing w:val="-4"/>
        </w:rPr>
        <w:t xml:space="preserve"> </w:t>
      </w:r>
      <w:r>
        <w:t>failure.</w:t>
      </w:r>
      <w:r>
        <w:rPr>
          <w:spacing w:val="-2"/>
        </w:rPr>
        <w:t xml:space="preserve"> </w:t>
      </w:r>
      <w:r>
        <w:t>As</w:t>
      </w:r>
      <w:r>
        <w:rPr>
          <w:spacing w:val="-4"/>
        </w:rPr>
        <w:t xml:space="preserve"> </w:t>
      </w:r>
      <w:r>
        <w:t>we</w:t>
      </w:r>
      <w:r>
        <w:rPr>
          <w:spacing w:val="-3"/>
        </w:rPr>
        <w:t xml:space="preserve"> </w:t>
      </w:r>
      <w:r>
        <w:t>saw</w:t>
      </w:r>
      <w:r>
        <w:rPr>
          <w:spacing w:val="-3"/>
        </w:rPr>
        <w:t xml:space="preserve"> </w:t>
      </w:r>
      <w:r>
        <w:t>in</w:t>
      </w:r>
      <w:r>
        <w:rPr>
          <w:spacing w:val="-3"/>
        </w:rPr>
        <w:t xml:space="preserve"> </w:t>
      </w:r>
      <w:r>
        <w:t>Section</w:t>
      </w:r>
      <w:r>
        <w:rPr>
          <w:spacing w:val="-2"/>
        </w:rPr>
        <w:t xml:space="preserve"> </w:t>
      </w:r>
      <w:r>
        <w:t>5.2,</w:t>
      </w:r>
      <w:r>
        <w:rPr>
          <w:spacing w:val="-3"/>
        </w:rPr>
        <w:t xml:space="preserve"> </w:t>
      </w:r>
      <w:r>
        <w:t>there</w:t>
      </w:r>
      <w:r>
        <w:rPr>
          <w:spacing w:val="-3"/>
        </w:rPr>
        <w:t xml:space="preserve"> </w:t>
      </w:r>
      <w:r>
        <w:t>is</w:t>
      </w:r>
      <w:r>
        <w:rPr>
          <w:spacing w:val="-3"/>
        </w:rPr>
        <w:t xml:space="preserve"> </w:t>
      </w:r>
      <w:r>
        <w:rPr>
          <w:spacing w:val="-5"/>
        </w:rPr>
        <w:t>no</w:t>
      </w:r>
    </w:p>
    <w:p w14:paraId="7E001FE9" w14:textId="77777777" w:rsidR="009A58DB" w:rsidRDefault="00000000">
      <w:pPr>
        <w:pStyle w:val="BodyText"/>
        <w:spacing w:before="15" w:line="271" w:lineRule="auto"/>
        <w:ind w:right="361"/>
      </w:pPr>
      <w:r>
        <w:t>way to say what it is for events to be “of the same kind” as E</w:t>
      </w:r>
      <w:r>
        <w:rPr>
          <w:vertAlign w:val="subscript"/>
        </w:rPr>
        <w:t>1</w:t>
      </w:r>
      <w:r>
        <w:t xml:space="preserve"> or E</w:t>
      </w:r>
      <w:r>
        <w:rPr>
          <w:vertAlign w:val="subscript"/>
        </w:rPr>
        <w:t>2</w:t>
      </w:r>
      <w:r>
        <w:t xml:space="preserve"> that doesn’t render Hume’s theory of causality viciously circular. The very same argument</w:t>
      </w:r>
      <w:r>
        <w:rPr>
          <w:spacing w:val="24"/>
        </w:rPr>
        <w:t xml:space="preserve"> </w:t>
      </w:r>
      <w:r>
        <w:rPr>
          <w:i/>
        </w:rPr>
        <w:t>mutatis</w:t>
      </w:r>
      <w:r>
        <w:rPr>
          <w:i/>
          <w:spacing w:val="26"/>
        </w:rPr>
        <w:t xml:space="preserve"> </w:t>
      </w:r>
      <w:r>
        <w:rPr>
          <w:i/>
        </w:rPr>
        <w:t>mutandis</w:t>
      </w:r>
      <w:r>
        <w:rPr>
          <w:i/>
          <w:spacing w:val="26"/>
        </w:rPr>
        <w:t xml:space="preserve"> </w:t>
      </w:r>
      <w:r>
        <w:t>holds</w:t>
      </w:r>
      <w:r>
        <w:rPr>
          <w:spacing w:val="35"/>
        </w:rPr>
        <w:t xml:space="preserve"> </w:t>
      </w:r>
      <w:r>
        <w:t>in</w:t>
      </w:r>
      <w:r>
        <w:rPr>
          <w:spacing w:val="35"/>
        </w:rPr>
        <w:t xml:space="preserve"> </w:t>
      </w:r>
      <w:r>
        <w:t>connection</w:t>
      </w:r>
      <w:r>
        <w:rPr>
          <w:spacing w:val="35"/>
        </w:rPr>
        <w:t xml:space="preserve"> </w:t>
      </w:r>
      <w:r>
        <w:t>with</w:t>
      </w:r>
      <w:r>
        <w:rPr>
          <w:spacing w:val="35"/>
        </w:rPr>
        <w:t xml:space="preserve"> </w:t>
      </w:r>
      <w:r>
        <w:t>the</w:t>
      </w:r>
      <w:r>
        <w:rPr>
          <w:spacing w:val="35"/>
        </w:rPr>
        <w:t xml:space="preserve"> </w:t>
      </w:r>
      <w:r>
        <w:t>Humean</w:t>
      </w:r>
      <w:r>
        <w:rPr>
          <w:spacing w:val="35"/>
        </w:rPr>
        <w:t xml:space="preserve"> </w:t>
      </w:r>
      <w:r>
        <w:t>theory</w:t>
      </w:r>
      <w:r>
        <w:rPr>
          <w:spacing w:val="36"/>
        </w:rPr>
        <w:t xml:space="preserve"> </w:t>
      </w:r>
      <w:r>
        <w:rPr>
          <w:spacing w:val="-5"/>
        </w:rPr>
        <w:t>of</w:t>
      </w:r>
    </w:p>
    <w:p w14:paraId="7E001FEA" w14:textId="77777777" w:rsidR="009A58DB" w:rsidRDefault="00000000">
      <w:pPr>
        <w:pStyle w:val="BodyText"/>
        <w:spacing w:line="316" w:lineRule="exact"/>
      </w:pPr>
      <w:r>
        <w:t>probability.</w:t>
      </w:r>
      <w:r>
        <w:rPr>
          <w:spacing w:val="18"/>
        </w:rPr>
        <w:t xml:space="preserve"> </w:t>
      </w:r>
      <w:r>
        <w:t>But</w:t>
      </w:r>
      <w:r>
        <w:rPr>
          <w:spacing w:val="18"/>
        </w:rPr>
        <w:t xml:space="preserve"> </w:t>
      </w:r>
      <w:r>
        <w:t>Lewis</w:t>
      </w:r>
      <w:r>
        <w:rPr>
          <w:spacing w:val="18"/>
        </w:rPr>
        <w:t xml:space="preserve"> </w:t>
      </w:r>
      <w:r>
        <w:t>chooses</w:t>
      </w:r>
      <w:r>
        <w:rPr>
          <w:spacing w:val="18"/>
        </w:rPr>
        <w:t xml:space="preserve"> </w:t>
      </w:r>
      <w:r>
        <w:t>to</w:t>
      </w:r>
      <w:r>
        <w:rPr>
          <w:spacing w:val="18"/>
        </w:rPr>
        <w:t xml:space="preserve"> </w:t>
      </w:r>
      <w:r>
        <w:t>argue</w:t>
      </w:r>
      <w:r>
        <w:rPr>
          <w:spacing w:val="18"/>
        </w:rPr>
        <w:t xml:space="preserve"> </w:t>
      </w:r>
      <w:r>
        <w:t>for</w:t>
      </w:r>
      <w:r>
        <w:rPr>
          <w:spacing w:val="18"/>
        </w:rPr>
        <w:t xml:space="preserve"> </w:t>
      </w:r>
      <w:r>
        <w:t>this</w:t>
      </w:r>
      <w:r>
        <w:rPr>
          <w:spacing w:val="18"/>
        </w:rPr>
        <w:t xml:space="preserve"> </w:t>
      </w:r>
      <w:r>
        <w:t>theory;</w:t>
      </w:r>
      <w:r>
        <w:rPr>
          <w:spacing w:val="18"/>
        </w:rPr>
        <w:t xml:space="preserve"> </w:t>
      </w:r>
      <w:r>
        <w:t>and</w:t>
      </w:r>
      <w:r>
        <w:rPr>
          <w:spacing w:val="18"/>
        </w:rPr>
        <w:t xml:space="preserve"> </w:t>
      </w:r>
      <w:r>
        <w:t>he</w:t>
      </w:r>
      <w:r>
        <w:rPr>
          <w:spacing w:val="18"/>
        </w:rPr>
        <w:t xml:space="preserve"> </w:t>
      </w:r>
      <w:r>
        <w:t>does</w:t>
      </w:r>
      <w:r>
        <w:rPr>
          <w:spacing w:val="18"/>
        </w:rPr>
        <w:t xml:space="preserve"> </w:t>
      </w:r>
      <w:r>
        <w:t>so</w:t>
      </w:r>
      <w:r>
        <w:rPr>
          <w:spacing w:val="18"/>
        </w:rPr>
        <w:t xml:space="preserve"> </w:t>
      </w:r>
      <w:r>
        <w:rPr>
          <w:spacing w:val="-4"/>
        </w:rPr>
        <w:t>very</w:t>
      </w:r>
    </w:p>
    <w:p w14:paraId="7E001FEB" w14:textId="77777777" w:rsidR="009A58DB" w:rsidRDefault="00000000">
      <w:pPr>
        <w:pStyle w:val="BodyText"/>
        <w:spacing w:before="15"/>
      </w:pPr>
      <w:r>
        <w:t>cleverly.</w:t>
      </w:r>
      <w:r>
        <w:rPr>
          <w:spacing w:val="-3"/>
        </w:rPr>
        <w:t xml:space="preserve"> </w:t>
      </w:r>
      <w:r>
        <w:t>So</w:t>
      </w:r>
      <w:r>
        <w:rPr>
          <w:spacing w:val="-3"/>
        </w:rPr>
        <w:t xml:space="preserve"> </w:t>
      </w:r>
      <w:r>
        <w:t>let’s</w:t>
      </w:r>
      <w:r>
        <w:rPr>
          <w:spacing w:val="-4"/>
        </w:rPr>
        <w:t xml:space="preserve"> </w:t>
      </w:r>
      <w:r>
        <w:t>hear</w:t>
      </w:r>
      <w:r>
        <w:rPr>
          <w:spacing w:val="-4"/>
        </w:rPr>
        <w:t xml:space="preserve"> </w:t>
      </w:r>
      <w:r>
        <w:t>him</w:t>
      </w:r>
      <w:r>
        <w:rPr>
          <w:spacing w:val="-3"/>
        </w:rPr>
        <w:t xml:space="preserve"> </w:t>
      </w:r>
      <w:r>
        <w:rPr>
          <w:spacing w:val="-4"/>
        </w:rPr>
        <w:t>out.</w:t>
      </w:r>
    </w:p>
    <w:p w14:paraId="7E001FEC" w14:textId="77777777" w:rsidR="009A58DB" w:rsidRDefault="009A58DB">
      <w:pPr>
        <w:pStyle w:val="BodyText"/>
        <w:sectPr w:rsidR="009A58DB">
          <w:pgSz w:w="12240" w:h="15840"/>
          <w:pgMar w:top="1380" w:right="1080" w:bottom="280" w:left="1080" w:header="720" w:footer="720" w:gutter="0"/>
          <w:cols w:space="720"/>
        </w:sectPr>
      </w:pPr>
    </w:p>
    <w:p w14:paraId="7E001FED" w14:textId="77777777" w:rsidR="009A58DB" w:rsidRDefault="00000000">
      <w:pPr>
        <w:pStyle w:val="Heading1"/>
        <w:numPr>
          <w:ilvl w:val="2"/>
          <w:numId w:val="79"/>
        </w:numPr>
        <w:tabs>
          <w:tab w:val="left" w:pos="1305"/>
        </w:tabs>
        <w:spacing w:before="58"/>
        <w:rPr>
          <w:position w:val="30"/>
        </w:rPr>
      </w:pPr>
      <w:r>
        <w:lastRenderedPageBreak/>
        <w:t>Lewis’</w:t>
      </w:r>
      <w:r>
        <w:rPr>
          <w:spacing w:val="-6"/>
        </w:rPr>
        <w:t xml:space="preserve"> </w:t>
      </w:r>
      <w:r>
        <w:rPr>
          <w:spacing w:val="-2"/>
        </w:rPr>
        <w:t>argumen</w:t>
      </w:r>
      <w:bookmarkStart w:id="445" w:name="_bookmark445"/>
      <w:bookmarkEnd w:id="445"/>
      <w:r>
        <w:rPr>
          <w:spacing w:val="-2"/>
        </w:rPr>
        <w:t>t</w:t>
      </w:r>
      <w:r>
        <w:rPr>
          <w:color w:val="0562C1"/>
          <w:spacing w:val="-2"/>
          <w:position w:val="30"/>
          <w:u w:val="single" w:color="0562C1"/>
        </w:rPr>
        <w:t>[327]</w:t>
      </w:r>
    </w:p>
    <w:p w14:paraId="7E001FEE" w14:textId="77777777" w:rsidR="009A58DB" w:rsidRDefault="00000000">
      <w:pPr>
        <w:pStyle w:val="BodyText"/>
        <w:spacing w:before="139" w:line="249" w:lineRule="auto"/>
        <w:ind w:right="358"/>
      </w:pPr>
      <w:r>
        <w:t>We’ve just seen that, even within a Humean framework, probability judgments are rational when they merely redescribe statistics—that, for example, (#) may be rationally accepted if it’s just a way of saying that, at a given time, one person out of two weighs more than 50 pounds. Probability judgments are irrational, given a Humean framework, when they involve extrapolations. Lewis’ metaphysical apparatus gives him a way of sidestepping this problem.</w:t>
      </w:r>
    </w:p>
    <w:p w14:paraId="7E001FEF" w14:textId="77777777" w:rsidR="009A58DB" w:rsidRDefault="00000000">
      <w:pPr>
        <w:pStyle w:val="BodyText"/>
        <w:spacing w:before="8" w:line="249" w:lineRule="auto"/>
        <w:ind w:right="361" w:firstLine="360"/>
      </w:pPr>
      <w:r>
        <w:t>Bearing all of this in mind, let’s suppose that, up until time t, whenever a rock with a mass of m or more, moving with a velocity of v or more, that has collided with a window of thickness t or less, the window shattered upon impact. In that case, presumably, it’s reasonable to judge that, the next time such a rock strikes such a window, the window will shatter. The non-Lewisian Humean is stuck; he has no way to validate this presumption. The Lewisian isn’t stuck. Here’s what he say</w:t>
      </w:r>
      <w:bookmarkStart w:id="446" w:name="_bookmark446"/>
      <w:bookmarkEnd w:id="446"/>
      <w:r>
        <w:t>s</w:t>
      </w:r>
      <w:r>
        <w:rPr>
          <w:color w:val="0562C1"/>
          <w:position w:val="21"/>
          <w:u w:val="single" w:color="0562C1"/>
        </w:rPr>
        <w:t>[328]</w:t>
      </w:r>
      <w:r>
        <w:t>:</w:t>
      </w:r>
    </w:p>
    <w:p w14:paraId="7E001FF0" w14:textId="77777777" w:rsidR="009A58DB" w:rsidRDefault="00000000">
      <w:pPr>
        <w:pStyle w:val="BodyText"/>
        <w:spacing w:before="114" w:line="271" w:lineRule="auto"/>
        <w:ind w:left="720" w:right="726"/>
      </w:pPr>
      <w:r>
        <w:t>(LA):</w:t>
      </w:r>
      <w:r>
        <w:rPr>
          <w:spacing w:val="-2"/>
        </w:rPr>
        <w:t xml:space="preserve"> </w:t>
      </w:r>
      <w:r>
        <w:t>Let</w:t>
      </w:r>
      <w:r>
        <w:rPr>
          <w:spacing w:val="-2"/>
        </w:rPr>
        <w:t xml:space="preserve"> </w:t>
      </w:r>
      <w:r>
        <w:t>C</w:t>
      </w:r>
      <w:r>
        <w:rPr>
          <w:vertAlign w:val="subscript"/>
        </w:rPr>
        <w:t>1</w:t>
      </w:r>
      <w:r>
        <w:t xml:space="preserve"> be the class of worlds where, before time t, such windows shatter when struck by such rocks and where, after time t, such windows</w:t>
      </w:r>
      <w:r>
        <w:rPr>
          <w:spacing w:val="-2"/>
        </w:rPr>
        <w:t xml:space="preserve"> </w:t>
      </w:r>
      <w:r>
        <w:rPr>
          <w:i/>
        </w:rPr>
        <w:t>continued</w:t>
      </w:r>
      <w:r>
        <w:rPr>
          <w:i/>
          <w:spacing w:val="-1"/>
        </w:rPr>
        <w:t xml:space="preserve"> </w:t>
      </w:r>
      <w:r>
        <w:t>to</w:t>
      </w:r>
      <w:r>
        <w:rPr>
          <w:spacing w:val="13"/>
        </w:rPr>
        <w:t xml:space="preserve"> </w:t>
      </w:r>
      <w:r>
        <w:t>shatter</w:t>
      </w:r>
      <w:r>
        <w:rPr>
          <w:spacing w:val="12"/>
        </w:rPr>
        <w:t xml:space="preserve"> </w:t>
      </w:r>
      <w:r>
        <w:t>when</w:t>
      </w:r>
      <w:r>
        <w:rPr>
          <w:spacing w:val="12"/>
        </w:rPr>
        <w:t xml:space="preserve"> </w:t>
      </w:r>
      <w:r>
        <w:t>struck</w:t>
      </w:r>
      <w:r>
        <w:rPr>
          <w:spacing w:val="13"/>
        </w:rPr>
        <w:t xml:space="preserve"> </w:t>
      </w:r>
      <w:r>
        <w:t>by</w:t>
      </w:r>
      <w:r>
        <w:rPr>
          <w:spacing w:val="12"/>
        </w:rPr>
        <w:t xml:space="preserve"> </w:t>
      </w:r>
      <w:r>
        <w:t>such</w:t>
      </w:r>
      <w:r>
        <w:rPr>
          <w:spacing w:val="12"/>
        </w:rPr>
        <w:t xml:space="preserve"> </w:t>
      </w:r>
      <w:r>
        <w:t>rocks;</w:t>
      </w:r>
      <w:r>
        <w:rPr>
          <w:spacing w:val="13"/>
        </w:rPr>
        <w:t xml:space="preserve"> </w:t>
      </w:r>
      <w:r>
        <w:t>and</w:t>
      </w:r>
      <w:r>
        <w:rPr>
          <w:spacing w:val="12"/>
        </w:rPr>
        <w:t xml:space="preserve"> </w:t>
      </w:r>
      <w:r>
        <w:t>let</w:t>
      </w:r>
      <w:r>
        <w:rPr>
          <w:spacing w:val="11"/>
        </w:rPr>
        <w:t xml:space="preserve"> </w:t>
      </w:r>
      <w:r>
        <w:t>C</w:t>
      </w:r>
      <w:r>
        <w:rPr>
          <w:vertAlign w:val="subscript"/>
        </w:rPr>
        <w:t>2</w:t>
      </w:r>
      <w:r>
        <w:rPr>
          <w:spacing w:val="14"/>
        </w:rPr>
        <w:t xml:space="preserve"> </w:t>
      </w:r>
      <w:r>
        <w:rPr>
          <w:spacing w:val="-5"/>
        </w:rPr>
        <w:t>be</w:t>
      </w:r>
    </w:p>
    <w:p w14:paraId="7E001FF1" w14:textId="77777777" w:rsidR="009A58DB" w:rsidRDefault="00000000">
      <w:pPr>
        <w:pStyle w:val="BodyText"/>
        <w:spacing w:before="30" w:line="249" w:lineRule="auto"/>
        <w:ind w:left="720" w:right="720"/>
      </w:pPr>
      <w:r>
        <w:t xml:space="preserve">the class of worlds where, before time t, such windows shatter when struck by such rocks and where, after time t, such windows </w:t>
      </w:r>
      <w:r>
        <w:rPr>
          <w:i/>
        </w:rPr>
        <w:t xml:space="preserve">didn’t </w:t>
      </w:r>
      <w:r>
        <w:t>shatter when struck by such rocks. C</w:t>
      </w:r>
      <w:r>
        <w:rPr>
          <w:vertAlign w:val="subscript"/>
        </w:rPr>
        <w:t>1</w:t>
      </w:r>
      <w:r>
        <w:t xml:space="preserve"> has more members than C</w:t>
      </w:r>
      <w:r>
        <w:rPr>
          <w:vertAlign w:val="subscript"/>
        </w:rPr>
        <w:t>2</w:t>
      </w:r>
      <w:r>
        <w:t>.</w:t>
      </w:r>
    </w:p>
    <w:p w14:paraId="7E001FF2" w14:textId="77777777" w:rsidR="009A58DB" w:rsidRDefault="00000000">
      <w:pPr>
        <w:pStyle w:val="BodyText"/>
        <w:spacing w:before="154" w:line="249" w:lineRule="auto"/>
        <w:ind w:right="359" w:firstLine="360"/>
      </w:pPr>
      <w:r>
        <w:t xml:space="preserve">For the non-Lewisian Humean, judgments about what is likely to happen </w:t>
      </w:r>
      <w:r>
        <w:rPr>
          <w:i/>
        </w:rPr>
        <w:t xml:space="preserve">next time </w:t>
      </w:r>
      <w:r>
        <w:t>are great leaps into the unknown. For the Lewisian Humean, such judgments</w:t>
      </w:r>
      <w:r>
        <w:rPr>
          <w:spacing w:val="-1"/>
        </w:rPr>
        <w:t xml:space="preserve"> </w:t>
      </w:r>
      <w:r>
        <w:t>merely redescribe what</w:t>
      </w:r>
      <w:r>
        <w:rPr>
          <w:spacing w:val="-1"/>
        </w:rPr>
        <w:t xml:space="preserve"> </w:t>
      </w:r>
      <w:r>
        <w:t>is already</w:t>
      </w:r>
      <w:r>
        <w:rPr>
          <w:spacing w:val="-1"/>
        </w:rPr>
        <w:t xml:space="preserve"> </w:t>
      </w:r>
      <w:r>
        <w:t>there. To say that</w:t>
      </w:r>
      <w:r>
        <w:rPr>
          <w:spacing w:val="-1"/>
        </w:rPr>
        <w:t xml:space="preserve"> </w:t>
      </w:r>
      <w:r>
        <w:rPr>
          <w:i/>
        </w:rPr>
        <w:t>next</w:t>
      </w:r>
      <w:r>
        <w:rPr>
          <w:i/>
          <w:spacing w:val="-3"/>
        </w:rPr>
        <w:t xml:space="preserve"> </w:t>
      </w:r>
      <w:r>
        <w:t>time</w:t>
      </w:r>
      <w:r>
        <w:rPr>
          <w:spacing w:val="-3"/>
        </w:rPr>
        <w:t xml:space="preserve"> </w:t>
      </w:r>
      <w:r>
        <w:t>such a collision occurs the window is likely to break is to say that there are more worlds</w:t>
      </w:r>
      <w:r>
        <w:rPr>
          <w:spacing w:val="-3"/>
        </w:rPr>
        <w:t xml:space="preserve"> </w:t>
      </w:r>
      <w:r>
        <w:t>where</w:t>
      </w:r>
      <w:r>
        <w:rPr>
          <w:spacing w:val="-3"/>
        </w:rPr>
        <w:t xml:space="preserve"> </w:t>
      </w:r>
      <w:r>
        <w:t>it</w:t>
      </w:r>
      <w:r>
        <w:rPr>
          <w:spacing w:val="-3"/>
        </w:rPr>
        <w:t xml:space="preserve"> </w:t>
      </w:r>
      <w:r>
        <w:rPr>
          <w:i/>
        </w:rPr>
        <w:t>does</w:t>
      </w:r>
      <w:r>
        <w:rPr>
          <w:i/>
          <w:spacing w:val="-2"/>
        </w:rPr>
        <w:t xml:space="preserve"> </w:t>
      </w:r>
      <w:r>
        <w:t>break than where it</w:t>
      </w:r>
      <w:r>
        <w:rPr>
          <w:spacing w:val="-1"/>
        </w:rPr>
        <w:t xml:space="preserve"> </w:t>
      </w:r>
      <w:r>
        <w:t xml:space="preserve">doesn’t. If it’s </w:t>
      </w:r>
      <w:r>
        <w:rPr>
          <w:i/>
        </w:rPr>
        <w:t>given</w:t>
      </w:r>
      <w:r>
        <w:rPr>
          <w:i/>
          <w:spacing w:val="-2"/>
        </w:rPr>
        <w:t xml:space="preserve"> </w:t>
      </w:r>
      <w:r>
        <w:t>that</w:t>
      </w:r>
      <w:r>
        <w:rPr>
          <w:spacing w:val="-3"/>
        </w:rPr>
        <w:t xml:space="preserve"> </w:t>
      </w:r>
      <w:r>
        <w:t>exactly</w:t>
      </w:r>
      <w:r>
        <w:rPr>
          <w:spacing w:val="-2"/>
        </w:rPr>
        <w:t xml:space="preserve"> </w:t>
      </w:r>
      <w:r>
        <w:t>one of the cards in the deck is a King of Spades, it follows trivially that, given an arbitrary card, it has a 1 in 52 chance of being a King of Spades. Our judgments</w:t>
      </w:r>
      <w:r>
        <w:rPr>
          <w:spacing w:val="-2"/>
        </w:rPr>
        <w:t xml:space="preserve"> </w:t>
      </w:r>
      <w:r>
        <w:t>about</w:t>
      </w:r>
      <w:r>
        <w:rPr>
          <w:spacing w:val="-2"/>
        </w:rPr>
        <w:t xml:space="preserve"> </w:t>
      </w:r>
      <w:r>
        <w:t>what</w:t>
      </w:r>
      <w:r>
        <w:rPr>
          <w:spacing w:val="-2"/>
        </w:rPr>
        <w:t xml:space="preserve"> </w:t>
      </w:r>
      <w:r>
        <w:t>will</w:t>
      </w:r>
      <w:r>
        <w:rPr>
          <w:spacing w:val="-2"/>
        </w:rPr>
        <w:t xml:space="preserve"> </w:t>
      </w:r>
      <w:r>
        <w:t>happen</w:t>
      </w:r>
      <w:r>
        <w:rPr>
          <w:spacing w:val="-2"/>
        </w:rPr>
        <w:t xml:space="preserve"> </w:t>
      </w:r>
      <w:r>
        <w:t>to</w:t>
      </w:r>
      <w:r>
        <w:rPr>
          <w:spacing w:val="-2"/>
        </w:rPr>
        <w:t xml:space="preserve"> </w:t>
      </w:r>
      <w:r>
        <w:t>windows</w:t>
      </w:r>
      <w:r>
        <w:rPr>
          <w:spacing w:val="-2"/>
        </w:rPr>
        <w:t xml:space="preserve"> </w:t>
      </w:r>
      <w:r>
        <w:t>in</w:t>
      </w:r>
      <w:r>
        <w:rPr>
          <w:spacing w:val="-2"/>
        </w:rPr>
        <w:t xml:space="preserve"> </w:t>
      </w:r>
      <w:r>
        <w:rPr>
          <w:i/>
        </w:rPr>
        <w:t>future</w:t>
      </w:r>
      <w:r>
        <w:rPr>
          <w:i/>
          <w:spacing w:val="-4"/>
        </w:rPr>
        <w:t xml:space="preserve"> </w:t>
      </w:r>
      <w:r>
        <w:t xml:space="preserve">collisions are equally </w:t>
      </w:r>
      <w:r>
        <w:rPr>
          <w:spacing w:val="-2"/>
        </w:rPr>
        <w:t>trivial.</w:t>
      </w:r>
    </w:p>
    <w:p w14:paraId="7E001FF3" w14:textId="77777777" w:rsidR="009A58DB" w:rsidRDefault="00000000">
      <w:pPr>
        <w:pStyle w:val="Heading1"/>
        <w:numPr>
          <w:ilvl w:val="2"/>
          <w:numId w:val="79"/>
        </w:numPr>
        <w:tabs>
          <w:tab w:val="left" w:pos="1305"/>
        </w:tabs>
        <w:spacing w:before="214"/>
      </w:pPr>
      <w:r>
        <w:t>Why</w:t>
      </w:r>
      <w:r>
        <w:rPr>
          <w:spacing w:val="-3"/>
        </w:rPr>
        <w:t xml:space="preserve"> </w:t>
      </w:r>
      <w:r>
        <w:t>this</w:t>
      </w:r>
      <w:r>
        <w:rPr>
          <w:spacing w:val="-4"/>
        </w:rPr>
        <w:t xml:space="preserve"> </w:t>
      </w:r>
      <w:r>
        <w:t>analysis</w:t>
      </w:r>
      <w:r>
        <w:rPr>
          <w:spacing w:val="-3"/>
        </w:rPr>
        <w:t xml:space="preserve"> </w:t>
      </w:r>
      <w:r>
        <w:rPr>
          <w:spacing w:val="-4"/>
        </w:rPr>
        <w:t>fails</w:t>
      </w:r>
    </w:p>
    <w:p w14:paraId="7E001FF4" w14:textId="77777777" w:rsidR="009A58DB" w:rsidRDefault="009A58DB">
      <w:pPr>
        <w:pStyle w:val="Heading1"/>
        <w:sectPr w:rsidR="009A58DB">
          <w:pgSz w:w="12240" w:h="15840"/>
          <w:pgMar w:top="1380" w:right="1080" w:bottom="280" w:left="1080" w:header="720" w:footer="720" w:gutter="0"/>
          <w:cols w:space="720"/>
        </w:sectPr>
      </w:pPr>
    </w:p>
    <w:p w14:paraId="7E001FF5" w14:textId="77777777" w:rsidR="009A58DB" w:rsidRDefault="00000000">
      <w:pPr>
        <w:pStyle w:val="BodyText"/>
        <w:spacing w:before="65" w:line="249" w:lineRule="auto"/>
        <w:ind w:right="360" w:firstLine="60"/>
      </w:pPr>
      <w:r>
        <w:lastRenderedPageBreak/>
        <w:t>LA is obviously a clever analysis. But it’s false, and it’s clear why. Any knowledge we have of what happens in other worlds after t will be at least as uncertain as our knowledge of what happens in our own world after t. There are two reasons for this. Any knowledge that we might have about anything</w:t>
      </w:r>
      <w:r>
        <w:rPr>
          <w:spacing w:val="40"/>
        </w:rPr>
        <w:t xml:space="preserve"> </w:t>
      </w:r>
      <w:r>
        <w:t>in other worlds will be at least as uncertain as any knowledge that we have about anything in our own world. Moreover, any knowledge that we have of what happens after t in other worlds will be based on our knowledge, so far</w:t>
      </w:r>
      <w:r>
        <w:rPr>
          <w:spacing w:val="40"/>
        </w:rPr>
        <w:t xml:space="preserve"> </w:t>
      </w:r>
      <w:r>
        <w:t>as we have any, of what happens after t in our world. So LA goes through only if it’s assumed, question-beggingly, that we know what will happen in our own world’s future.</w:t>
      </w:r>
    </w:p>
    <w:p w14:paraId="7E001FF6" w14:textId="77777777" w:rsidR="009A58DB" w:rsidRDefault="00000000">
      <w:pPr>
        <w:pStyle w:val="BodyText"/>
        <w:spacing w:before="12" w:line="249" w:lineRule="auto"/>
        <w:ind w:right="372" w:firstLine="360"/>
      </w:pPr>
      <w:r>
        <w:t>But there are deeper problems with LA. Here we must remember what Hume said about inductive inference:</w:t>
      </w:r>
    </w:p>
    <w:p w14:paraId="7E001FF7" w14:textId="77777777" w:rsidR="009A58DB" w:rsidRDefault="00000000">
      <w:pPr>
        <w:pStyle w:val="BodyText"/>
        <w:spacing w:before="107" w:line="277" w:lineRule="exact"/>
        <w:ind w:left="1352"/>
        <w:jc w:val="left"/>
      </w:pPr>
      <w:bookmarkStart w:id="447" w:name="_bookmark447"/>
      <w:bookmarkEnd w:id="447"/>
      <w:r>
        <w:rPr>
          <w:color w:val="0562C1"/>
          <w:spacing w:val="-2"/>
          <w:u w:val="single" w:color="0562C1"/>
        </w:rPr>
        <w:t>[329]</w:t>
      </w:r>
    </w:p>
    <w:p w14:paraId="7E001FF8" w14:textId="77777777" w:rsidR="009A58DB" w:rsidRDefault="00000000">
      <w:pPr>
        <w:pStyle w:val="BodyText"/>
        <w:spacing w:line="277" w:lineRule="exact"/>
        <w:ind w:left="720"/>
      </w:pPr>
      <w:r>
        <w:t>(HA)</w:t>
      </w:r>
      <w:r>
        <w:rPr>
          <w:spacing w:val="46"/>
          <w:w w:val="150"/>
        </w:rPr>
        <w:t xml:space="preserve">    </w:t>
      </w:r>
      <w:r>
        <w:t>:</w:t>
      </w:r>
      <w:r>
        <w:rPr>
          <w:spacing w:val="42"/>
        </w:rPr>
        <w:t xml:space="preserve"> </w:t>
      </w:r>
      <w:r>
        <w:t>Given</w:t>
      </w:r>
      <w:r>
        <w:rPr>
          <w:spacing w:val="44"/>
        </w:rPr>
        <w:t xml:space="preserve"> </w:t>
      </w:r>
      <w:r>
        <w:t>only</w:t>
      </w:r>
      <w:r>
        <w:rPr>
          <w:spacing w:val="44"/>
        </w:rPr>
        <w:t xml:space="preserve"> </w:t>
      </w:r>
      <w:r>
        <w:t>that</w:t>
      </w:r>
      <w:r>
        <w:rPr>
          <w:spacing w:val="43"/>
        </w:rPr>
        <w:t xml:space="preserve"> </w:t>
      </w:r>
      <w:r>
        <w:t>such</w:t>
      </w:r>
      <w:r>
        <w:rPr>
          <w:spacing w:val="43"/>
        </w:rPr>
        <w:t xml:space="preserve"> </w:t>
      </w:r>
      <w:r>
        <w:t>and</w:t>
      </w:r>
      <w:r>
        <w:rPr>
          <w:spacing w:val="44"/>
        </w:rPr>
        <w:t xml:space="preserve"> </w:t>
      </w:r>
      <w:r>
        <w:t>such</w:t>
      </w:r>
      <w:r>
        <w:rPr>
          <w:spacing w:val="44"/>
        </w:rPr>
        <w:t xml:space="preserve"> </w:t>
      </w:r>
      <w:r>
        <w:rPr>
          <w:i/>
        </w:rPr>
        <w:t>has</w:t>
      </w:r>
      <w:r>
        <w:rPr>
          <w:i/>
          <w:spacing w:val="42"/>
        </w:rPr>
        <w:t xml:space="preserve"> </w:t>
      </w:r>
      <w:r>
        <w:t>happened,</w:t>
      </w:r>
      <w:r>
        <w:rPr>
          <w:spacing w:val="48"/>
        </w:rPr>
        <w:t xml:space="preserve"> </w:t>
      </w:r>
      <w:r>
        <w:t>it</w:t>
      </w:r>
      <w:r>
        <w:rPr>
          <w:spacing w:val="48"/>
        </w:rPr>
        <w:t xml:space="preserve"> </w:t>
      </w:r>
      <w:r>
        <w:t>can’t</w:t>
      </w:r>
      <w:r>
        <w:rPr>
          <w:spacing w:val="49"/>
        </w:rPr>
        <w:t xml:space="preserve"> </w:t>
      </w:r>
      <w:r>
        <w:rPr>
          <w:spacing w:val="-5"/>
        </w:rPr>
        <w:t>be</w:t>
      </w:r>
    </w:p>
    <w:p w14:paraId="7E001FF9" w14:textId="77777777" w:rsidR="009A58DB" w:rsidRDefault="00000000">
      <w:pPr>
        <w:spacing w:before="15" w:line="249" w:lineRule="auto"/>
        <w:ind w:left="720" w:right="718"/>
        <w:jc w:val="both"/>
        <w:rPr>
          <w:sz w:val="30"/>
        </w:rPr>
      </w:pPr>
      <w:r>
        <w:rPr>
          <w:sz w:val="30"/>
        </w:rPr>
        <w:t xml:space="preserve">assumed that such and such will </w:t>
      </w:r>
      <w:r>
        <w:rPr>
          <w:i/>
          <w:sz w:val="30"/>
        </w:rPr>
        <w:t xml:space="preserve">continue </w:t>
      </w:r>
      <w:r>
        <w:rPr>
          <w:sz w:val="30"/>
        </w:rPr>
        <w:t>to happen—</w:t>
      </w:r>
      <w:r>
        <w:rPr>
          <w:i/>
          <w:sz w:val="30"/>
        </w:rPr>
        <w:t xml:space="preserve">unless </w:t>
      </w:r>
      <w:r>
        <w:rPr>
          <w:sz w:val="30"/>
        </w:rPr>
        <w:t xml:space="preserve">it’s assumed, question-beggingly, that what </w:t>
      </w:r>
      <w:r>
        <w:rPr>
          <w:i/>
          <w:sz w:val="30"/>
        </w:rPr>
        <w:t xml:space="preserve">has </w:t>
      </w:r>
      <w:r>
        <w:rPr>
          <w:sz w:val="30"/>
        </w:rPr>
        <w:t xml:space="preserve">happened will </w:t>
      </w:r>
      <w:r>
        <w:rPr>
          <w:i/>
          <w:sz w:val="30"/>
        </w:rPr>
        <w:t xml:space="preserve">continue </w:t>
      </w:r>
      <w:r>
        <w:rPr>
          <w:sz w:val="30"/>
        </w:rPr>
        <w:t xml:space="preserve">to </w:t>
      </w:r>
      <w:r>
        <w:rPr>
          <w:spacing w:val="-2"/>
          <w:sz w:val="30"/>
        </w:rPr>
        <w:t>happen.</w:t>
      </w:r>
    </w:p>
    <w:p w14:paraId="7E001FFA" w14:textId="77777777" w:rsidR="009A58DB" w:rsidRDefault="00000000">
      <w:pPr>
        <w:pStyle w:val="BodyText"/>
        <w:spacing w:before="4" w:line="249" w:lineRule="auto"/>
        <w:ind w:left="720" w:right="723" w:firstLine="360"/>
      </w:pPr>
      <w:r>
        <w:t>In general, given only that such and such is true of the known, it can’t be assumed that it also holds of the unknown—</w:t>
      </w:r>
      <w:r>
        <w:rPr>
          <w:i/>
        </w:rPr>
        <w:t xml:space="preserve">unless </w:t>
      </w:r>
      <w:r>
        <w:t>it’s assumed, question-beggingly, that the unknown resembles the known.</w:t>
      </w:r>
    </w:p>
    <w:p w14:paraId="7E001FFB" w14:textId="77777777" w:rsidR="009A58DB" w:rsidRDefault="009A58DB">
      <w:pPr>
        <w:pStyle w:val="BodyText"/>
        <w:spacing w:before="19"/>
        <w:ind w:left="0"/>
        <w:jc w:val="left"/>
      </w:pPr>
    </w:p>
    <w:p w14:paraId="7E001FFC" w14:textId="77777777" w:rsidR="009A58DB" w:rsidRDefault="00000000">
      <w:pPr>
        <w:pStyle w:val="BodyText"/>
        <w:spacing w:line="249" w:lineRule="auto"/>
        <w:ind w:right="359" w:firstLine="360"/>
      </w:pPr>
      <w:r>
        <w:t xml:space="preserve">An analogue of what HA shows concerning inductive knowledge holds with respect to knowledge of other worlds. Given only that, in </w:t>
      </w:r>
      <w:r>
        <w:rPr>
          <w:i/>
        </w:rPr>
        <w:t xml:space="preserve">other worlds, </w:t>
      </w:r>
      <w:r>
        <w:t xml:space="preserve">such and such happens after time t, it can’t be assumed that such and such happens after t in </w:t>
      </w:r>
      <w:r>
        <w:rPr>
          <w:i/>
        </w:rPr>
        <w:t xml:space="preserve">this </w:t>
      </w:r>
      <w:r>
        <w:t>world—</w:t>
      </w:r>
      <w:r>
        <w:rPr>
          <w:i/>
        </w:rPr>
        <w:t xml:space="preserve">unless </w:t>
      </w:r>
      <w:r>
        <w:t xml:space="preserve">it’s assumed, question-beggingly, that what holds in circumstances already known to us also holds in circumstances not yet known to us. So LA goes through only if it’s </w:t>
      </w:r>
      <w:r>
        <w:rPr>
          <w:i/>
        </w:rPr>
        <w:t xml:space="preserve">assumed, </w:t>
      </w:r>
      <w:r>
        <w:t>question-beggingly, that inductive inference works.</w:t>
      </w:r>
    </w:p>
    <w:p w14:paraId="7E001FFD" w14:textId="77777777" w:rsidR="009A58DB" w:rsidRDefault="00000000">
      <w:pPr>
        <w:pStyle w:val="BodyText"/>
        <w:spacing w:before="8"/>
        <w:ind w:left="720"/>
      </w:pPr>
      <w:r>
        <w:t>One</w:t>
      </w:r>
      <w:r>
        <w:rPr>
          <w:spacing w:val="-3"/>
        </w:rPr>
        <w:t xml:space="preserve"> </w:t>
      </w:r>
      <w:r>
        <w:t>might</w:t>
      </w:r>
      <w:r>
        <w:rPr>
          <w:spacing w:val="-3"/>
        </w:rPr>
        <w:t xml:space="preserve"> </w:t>
      </w:r>
      <w:r>
        <w:t>object</w:t>
      </w:r>
      <w:r>
        <w:rPr>
          <w:spacing w:val="-3"/>
        </w:rPr>
        <w:t xml:space="preserve"> </w:t>
      </w:r>
      <w:r>
        <w:rPr>
          <w:spacing w:val="-4"/>
        </w:rPr>
        <w:t>that</w:t>
      </w:r>
    </w:p>
    <w:p w14:paraId="7E001FFE" w14:textId="77777777" w:rsidR="009A58DB" w:rsidRDefault="00000000">
      <w:pPr>
        <w:pStyle w:val="BodyText"/>
        <w:spacing w:before="105" w:line="249" w:lineRule="auto"/>
        <w:ind w:left="720" w:right="723"/>
      </w:pPr>
      <w:r>
        <w:t>You (JMK) are missing the very point of LA. Supposing that there are 10 balls in the urn, and only one of them is white, the statement (“WB” is short for “white ball”):</w:t>
      </w:r>
    </w:p>
    <w:p w14:paraId="7E001FFF" w14:textId="77777777" w:rsidR="009A58DB" w:rsidRDefault="00000000">
      <w:pPr>
        <w:pStyle w:val="BodyText"/>
        <w:spacing w:before="109"/>
        <w:ind w:left="720"/>
      </w:pPr>
      <w:r>
        <w:t>(WB)</w:t>
      </w:r>
      <w:r>
        <w:rPr>
          <w:spacing w:val="-5"/>
        </w:rPr>
        <w:t xml:space="preserve"> </w:t>
      </w:r>
      <w:r>
        <w:t>the</w:t>
      </w:r>
      <w:r>
        <w:rPr>
          <w:spacing w:val="-3"/>
        </w:rPr>
        <w:t xml:space="preserve"> </w:t>
      </w:r>
      <w:r>
        <w:t>probability</w:t>
      </w:r>
      <w:r>
        <w:rPr>
          <w:spacing w:val="-2"/>
        </w:rPr>
        <w:t xml:space="preserve"> </w:t>
      </w:r>
      <w:r>
        <w:t>of</w:t>
      </w:r>
      <w:r>
        <w:rPr>
          <w:spacing w:val="-3"/>
        </w:rPr>
        <w:t xml:space="preserve"> </w:t>
      </w:r>
      <w:r>
        <w:t>an</w:t>
      </w:r>
      <w:r>
        <w:rPr>
          <w:spacing w:val="-2"/>
        </w:rPr>
        <w:t xml:space="preserve"> </w:t>
      </w:r>
      <w:r>
        <w:t>arbitrary</w:t>
      </w:r>
      <w:r>
        <w:rPr>
          <w:spacing w:val="-2"/>
        </w:rPr>
        <w:t xml:space="preserve"> </w:t>
      </w:r>
      <w:r>
        <w:t>one</w:t>
      </w:r>
      <w:r>
        <w:rPr>
          <w:spacing w:val="-3"/>
        </w:rPr>
        <w:t xml:space="preserve"> </w:t>
      </w:r>
      <w:r>
        <w:t>of</w:t>
      </w:r>
      <w:r>
        <w:rPr>
          <w:spacing w:val="-3"/>
        </w:rPr>
        <w:t xml:space="preserve"> </w:t>
      </w:r>
      <w:r>
        <w:t>them</w:t>
      </w:r>
      <w:r>
        <w:rPr>
          <w:spacing w:val="-3"/>
        </w:rPr>
        <w:t xml:space="preserve"> </w:t>
      </w:r>
      <w:r>
        <w:t>being</w:t>
      </w:r>
      <w:r>
        <w:rPr>
          <w:spacing w:val="-2"/>
        </w:rPr>
        <w:t xml:space="preserve"> </w:t>
      </w:r>
      <w:r>
        <w:t>white</w:t>
      </w:r>
      <w:r>
        <w:rPr>
          <w:spacing w:val="-3"/>
        </w:rPr>
        <w:t xml:space="preserve"> </w:t>
      </w:r>
      <w:r>
        <w:t>is</w:t>
      </w:r>
      <w:r>
        <w:rPr>
          <w:spacing w:val="-3"/>
        </w:rPr>
        <w:t xml:space="preserve"> </w:t>
      </w:r>
      <w:r>
        <w:t>1</w:t>
      </w:r>
      <w:r>
        <w:rPr>
          <w:spacing w:val="-2"/>
        </w:rPr>
        <w:t xml:space="preserve"> </w:t>
      </w:r>
      <w:r>
        <w:t>in</w:t>
      </w:r>
      <w:r>
        <w:rPr>
          <w:spacing w:val="-1"/>
        </w:rPr>
        <w:t xml:space="preserve"> </w:t>
      </w:r>
      <w:r>
        <w:rPr>
          <w:spacing w:val="-5"/>
        </w:rPr>
        <w:t>10</w:t>
      </w:r>
    </w:p>
    <w:p w14:paraId="7E002000" w14:textId="77777777" w:rsidR="009A58DB" w:rsidRDefault="00000000">
      <w:pPr>
        <w:pStyle w:val="BodyText"/>
        <w:spacing w:before="120" w:line="249" w:lineRule="auto"/>
        <w:ind w:left="720" w:right="720"/>
      </w:pPr>
      <w:r>
        <w:t>holds as a matter of definition and, therefore, can be affirmed without begging</w:t>
      </w:r>
      <w:r>
        <w:rPr>
          <w:spacing w:val="21"/>
        </w:rPr>
        <w:t xml:space="preserve">  </w:t>
      </w:r>
      <w:r>
        <w:t>the</w:t>
      </w:r>
      <w:r>
        <w:rPr>
          <w:spacing w:val="23"/>
        </w:rPr>
        <w:t xml:space="preserve">  </w:t>
      </w:r>
      <w:r>
        <w:t>question</w:t>
      </w:r>
      <w:r>
        <w:rPr>
          <w:spacing w:val="23"/>
        </w:rPr>
        <w:t xml:space="preserve">  </w:t>
      </w:r>
      <w:r>
        <w:t>against</w:t>
      </w:r>
      <w:r>
        <w:rPr>
          <w:spacing w:val="23"/>
        </w:rPr>
        <w:t xml:space="preserve">  </w:t>
      </w:r>
      <w:r>
        <w:t>HA.</w:t>
      </w:r>
      <w:r>
        <w:rPr>
          <w:spacing w:val="24"/>
        </w:rPr>
        <w:t xml:space="preserve">  </w:t>
      </w:r>
      <w:r>
        <w:t>The</w:t>
      </w:r>
      <w:r>
        <w:rPr>
          <w:spacing w:val="23"/>
        </w:rPr>
        <w:t xml:space="preserve">  </w:t>
      </w:r>
      <w:r>
        <w:t>beauty</w:t>
      </w:r>
      <w:r>
        <w:rPr>
          <w:spacing w:val="23"/>
        </w:rPr>
        <w:t xml:space="preserve">  </w:t>
      </w:r>
      <w:r>
        <w:t>of</w:t>
      </w:r>
      <w:r>
        <w:rPr>
          <w:spacing w:val="23"/>
        </w:rPr>
        <w:t xml:space="preserve">  </w:t>
      </w:r>
      <w:r>
        <w:t>LA</w:t>
      </w:r>
      <w:r>
        <w:rPr>
          <w:spacing w:val="24"/>
        </w:rPr>
        <w:t xml:space="preserve">  </w:t>
      </w:r>
      <w:r>
        <w:t>is</w:t>
      </w:r>
      <w:r>
        <w:rPr>
          <w:spacing w:val="23"/>
        </w:rPr>
        <w:t xml:space="preserve">  </w:t>
      </w:r>
      <w:r>
        <w:t>that</w:t>
      </w:r>
      <w:r>
        <w:rPr>
          <w:spacing w:val="24"/>
        </w:rPr>
        <w:t xml:space="preserve">  </w:t>
      </w:r>
      <w:r>
        <w:rPr>
          <w:spacing w:val="-5"/>
        </w:rPr>
        <w:t>it</w:t>
      </w:r>
    </w:p>
    <w:p w14:paraId="7E00200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02" w14:textId="77777777" w:rsidR="009A58DB" w:rsidRDefault="00000000">
      <w:pPr>
        <w:pStyle w:val="BodyText"/>
        <w:spacing w:before="70" w:line="249" w:lineRule="auto"/>
        <w:ind w:left="720" w:right="726"/>
      </w:pPr>
      <w:r>
        <w:lastRenderedPageBreak/>
        <w:t>assimilates apparently non-innocuous probability judgments into the class of trivially true, totally innocuous probability judgments, such as WB. LA shows that:</w:t>
      </w:r>
    </w:p>
    <w:p w14:paraId="7E002003" w14:textId="77777777" w:rsidR="009A58DB" w:rsidRDefault="00000000">
      <w:pPr>
        <w:pStyle w:val="BodyText"/>
        <w:spacing w:before="103" w:line="249" w:lineRule="auto"/>
        <w:ind w:left="720" w:right="720"/>
      </w:pPr>
      <w:r>
        <w:t>(UB) the probability that future unsupported objects will fall is extremely high, given that all such objects (apart from helium balloons, etc.) have fallen so far,</w:t>
      </w:r>
    </w:p>
    <w:p w14:paraId="7E002004" w14:textId="77777777" w:rsidR="009A58DB" w:rsidRDefault="00000000">
      <w:pPr>
        <w:pStyle w:val="BodyText"/>
        <w:spacing w:before="94" w:line="249" w:lineRule="auto"/>
        <w:ind w:left="720" w:right="731"/>
      </w:pPr>
      <w:r>
        <w:t>which is non-trivial and (in this context) objectionable, is in the same category as WB, which is trivial and unobjectionable.</w:t>
      </w:r>
    </w:p>
    <w:p w14:paraId="7E002005" w14:textId="77777777" w:rsidR="009A58DB" w:rsidRDefault="00000000">
      <w:pPr>
        <w:pStyle w:val="BodyText"/>
        <w:spacing w:before="107" w:line="249" w:lineRule="auto"/>
        <w:ind w:left="720" w:right="719"/>
      </w:pPr>
      <w:r>
        <w:t>This point exposes a confusion that has vitiated the efforts of epistemologists and philosophers of science for centuries. This confusion is of such importance that it deserves a section unto itself.</w:t>
      </w:r>
    </w:p>
    <w:p w14:paraId="7E002006" w14:textId="77777777" w:rsidR="009A58DB" w:rsidRDefault="00000000">
      <w:pPr>
        <w:pStyle w:val="Heading1"/>
        <w:numPr>
          <w:ilvl w:val="1"/>
          <w:numId w:val="79"/>
        </w:numPr>
        <w:tabs>
          <w:tab w:val="left" w:pos="840"/>
          <w:tab w:val="left" w:pos="1082"/>
        </w:tabs>
        <w:spacing w:before="102" w:line="244" w:lineRule="auto"/>
        <w:ind w:left="840" w:right="370" w:hanging="480"/>
      </w:pPr>
      <w:r>
        <w:t>Statistical</w:t>
      </w:r>
      <w:r>
        <w:rPr>
          <w:spacing w:val="40"/>
        </w:rPr>
        <w:t xml:space="preserve"> </w:t>
      </w:r>
      <w:r>
        <w:t>vs.</w:t>
      </w:r>
      <w:r>
        <w:rPr>
          <w:spacing w:val="40"/>
        </w:rPr>
        <w:t xml:space="preserve"> </w:t>
      </w:r>
      <w:r>
        <w:t>explanatory</w:t>
      </w:r>
      <w:r>
        <w:rPr>
          <w:spacing w:val="40"/>
        </w:rPr>
        <w:t xml:space="preserve"> </w:t>
      </w:r>
      <w:r>
        <w:t>probability</w:t>
      </w:r>
      <w:r>
        <w:rPr>
          <w:spacing w:val="40"/>
        </w:rPr>
        <w:t xml:space="preserve"> </w:t>
      </w:r>
      <w:r>
        <w:t>and</w:t>
      </w:r>
      <w:r>
        <w:rPr>
          <w:spacing w:val="40"/>
        </w:rPr>
        <w:t xml:space="preserve"> </w:t>
      </w:r>
      <w:r>
        <w:t>the solution to the lottery paradox</w:t>
      </w:r>
    </w:p>
    <w:p w14:paraId="7E002007" w14:textId="77777777" w:rsidR="009A58DB" w:rsidRDefault="00000000">
      <w:pPr>
        <w:pStyle w:val="BodyText"/>
        <w:spacing w:before="132" w:line="249" w:lineRule="auto"/>
        <w:ind w:right="360"/>
      </w:pPr>
      <w:r>
        <w:t>The</w:t>
      </w:r>
      <w:r>
        <w:rPr>
          <w:spacing w:val="-3"/>
        </w:rPr>
        <w:t xml:space="preserve"> </w:t>
      </w:r>
      <w:r>
        <w:t>second</w:t>
      </w:r>
      <w:r>
        <w:rPr>
          <w:spacing w:val="-2"/>
        </w:rPr>
        <w:t xml:space="preserve"> </w:t>
      </w:r>
      <w:r>
        <w:t>word</w:t>
      </w:r>
      <w:r>
        <w:rPr>
          <w:spacing w:val="-2"/>
        </w:rPr>
        <w:t xml:space="preserve"> </w:t>
      </w:r>
      <w:r>
        <w:t>in</w:t>
      </w:r>
      <w:r>
        <w:rPr>
          <w:spacing w:val="-2"/>
        </w:rPr>
        <w:t xml:space="preserve"> </w:t>
      </w:r>
      <w:r>
        <w:t>WB</w:t>
      </w:r>
      <w:r>
        <w:rPr>
          <w:spacing w:val="-3"/>
        </w:rPr>
        <w:t xml:space="preserve"> </w:t>
      </w:r>
      <w:r>
        <w:t>is</w:t>
      </w:r>
      <w:r>
        <w:rPr>
          <w:spacing w:val="-3"/>
        </w:rPr>
        <w:t xml:space="preserve"> </w:t>
      </w:r>
      <w:r>
        <w:t>nothing</w:t>
      </w:r>
      <w:r>
        <w:rPr>
          <w:spacing w:val="-2"/>
        </w:rPr>
        <w:t xml:space="preserve"> </w:t>
      </w:r>
      <w:r>
        <w:t>more</w:t>
      </w:r>
      <w:r>
        <w:rPr>
          <w:spacing w:val="-3"/>
        </w:rPr>
        <w:t xml:space="preserve"> </w:t>
      </w:r>
      <w:r>
        <w:t>than</w:t>
      </w:r>
      <w:r>
        <w:rPr>
          <w:spacing w:val="-2"/>
        </w:rPr>
        <w:t xml:space="preserve"> </w:t>
      </w:r>
      <w:r>
        <w:t>a</w:t>
      </w:r>
      <w:r>
        <w:rPr>
          <w:spacing w:val="-3"/>
        </w:rPr>
        <w:t xml:space="preserve"> </w:t>
      </w:r>
      <w:r>
        <w:t>homonym</w:t>
      </w:r>
      <w:r>
        <w:rPr>
          <w:spacing w:val="-3"/>
        </w:rPr>
        <w:t xml:space="preserve"> </w:t>
      </w:r>
      <w:r>
        <w:t>of</w:t>
      </w:r>
      <w:r>
        <w:rPr>
          <w:spacing w:val="-3"/>
        </w:rPr>
        <w:t xml:space="preserve"> </w:t>
      </w:r>
      <w:r>
        <w:t>the</w:t>
      </w:r>
      <w:r>
        <w:rPr>
          <w:spacing w:val="-3"/>
        </w:rPr>
        <w:t xml:space="preserve"> </w:t>
      </w:r>
      <w:r>
        <w:t>second</w:t>
      </w:r>
      <w:r>
        <w:rPr>
          <w:spacing w:val="-2"/>
        </w:rPr>
        <w:t xml:space="preserve"> </w:t>
      </w:r>
      <w:r>
        <w:t>word in</w:t>
      </w:r>
      <w:r>
        <w:rPr>
          <w:spacing w:val="-3"/>
        </w:rPr>
        <w:t xml:space="preserve"> </w:t>
      </w:r>
      <w:r>
        <w:t>UB.</w:t>
      </w:r>
      <w:r>
        <w:rPr>
          <w:spacing w:val="-3"/>
        </w:rPr>
        <w:t xml:space="preserve"> </w:t>
      </w:r>
      <w:r>
        <w:t>In</w:t>
      </w:r>
      <w:r>
        <w:rPr>
          <w:spacing w:val="-3"/>
        </w:rPr>
        <w:t xml:space="preserve"> </w:t>
      </w:r>
      <w:r>
        <w:t>WB,</w:t>
      </w:r>
      <w:r>
        <w:rPr>
          <w:spacing w:val="-3"/>
        </w:rPr>
        <w:t xml:space="preserve"> </w:t>
      </w:r>
      <w:r>
        <w:t>the</w:t>
      </w:r>
      <w:r>
        <w:rPr>
          <w:spacing w:val="-4"/>
        </w:rPr>
        <w:t xml:space="preserve"> </w:t>
      </w:r>
      <w:r>
        <w:t>word</w:t>
      </w:r>
      <w:r>
        <w:rPr>
          <w:spacing w:val="-3"/>
        </w:rPr>
        <w:t xml:space="preserve"> </w:t>
      </w:r>
      <w:r>
        <w:t>“probability”</w:t>
      </w:r>
      <w:r>
        <w:rPr>
          <w:spacing w:val="-4"/>
        </w:rPr>
        <w:t xml:space="preserve"> </w:t>
      </w:r>
      <w:r>
        <w:t>has</w:t>
      </w:r>
      <w:r>
        <w:rPr>
          <w:spacing w:val="-4"/>
        </w:rPr>
        <w:t xml:space="preserve"> </w:t>
      </w:r>
      <w:r>
        <w:t>a</w:t>
      </w:r>
      <w:r>
        <w:rPr>
          <w:spacing w:val="-4"/>
        </w:rPr>
        <w:t xml:space="preserve"> </w:t>
      </w:r>
      <w:r>
        <w:t>purely</w:t>
      </w:r>
      <w:r>
        <w:rPr>
          <w:spacing w:val="-3"/>
        </w:rPr>
        <w:t xml:space="preserve"> </w:t>
      </w:r>
      <w:r>
        <w:t>statistical</w:t>
      </w:r>
      <w:r>
        <w:rPr>
          <w:spacing w:val="-4"/>
        </w:rPr>
        <w:t xml:space="preserve"> </w:t>
      </w:r>
      <w:r>
        <w:t>meaning.</w:t>
      </w:r>
      <w:r>
        <w:rPr>
          <w:spacing w:val="-3"/>
        </w:rPr>
        <w:t xml:space="preserve"> </w:t>
      </w:r>
      <w:r>
        <w:t>In</w:t>
      </w:r>
      <w:r>
        <w:rPr>
          <w:spacing w:val="-3"/>
        </w:rPr>
        <w:t xml:space="preserve"> </w:t>
      </w:r>
      <w:r>
        <w:t xml:space="preserve">UB, it has an </w:t>
      </w:r>
      <w:r>
        <w:rPr>
          <w:i/>
        </w:rPr>
        <w:t xml:space="preserve">explanatory </w:t>
      </w:r>
      <w:r>
        <w:t>meaning. Philosophers have tried to assimilate explanatory probability to statistical probability. And, while this may initially seem like good sense, it’s as misguided as trying to show that a bank (financial institution) is a certain kind of bank (river’s edge). This is made clear by the following paradox, commonly referred to as the “lottery</w:t>
      </w:r>
      <w:r>
        <w:rPr>
          <w:spacing w:val="40"/>
        </w:rPr>
        <w:t xml:space="preserve"> </w:t>
      </w:r>
      <w:r>
        <w:t>paradox” (“LP,” for short):</w:t>
      </w:r>
    </w:p>
    <w:p w14:paraId="7E002008" w14:textId="77777777" w:rsidR="009A58DB" w:rsidRDefault="009A58DB">
      <w:pPr>
        <w:pStyle w:val="BodyText"/>
        <w:spacing w:before="235"/>
        <w:ind w:left="0"/>
        <w:jc w:val="left"/>
      </w:pPr>
    </w:p>
    <w:p w14:paraId="7E002009" w14:textId="77777777" w:rsidR="009A58DB" w:rsidRDefault="00000000">
      <w:pPr>
        <w:pStyle w:val="BodyText"/>
        <w:spacing w:line="249" w:lineRule="auto"/>
        <w:ind w:left="1230" w:right="1229" w:firstLine="360"/>
      </w:pPr>
      <w:r>
        <w:t>(LP) There’s a lottery. One million tickets are sold. There’s one winner. So given any one ticket, the probability of its losing</w:t>
      </w:r>
      <w:r>
        <w:rPr>
          <w:spacing w:val="-1"/>
        </w:rPr>
        <w:t xml:space="preserve"> </w:t>
      </w:r>
      <w:r>
        <w:t>are</w:t>
      </w:r>
      <w:r>
        <w:rPr>
          <w:spacing w:val="-1"/>
        </w:rPr>
        <w:t xml:space="preserve"> </w:t>
      </w:r>
      <w:r>
        <w:t>999,999</w:t>
      </w:r>
      <w:r>
        <w:rPr>
          <w:spacing w:val="-1"/>
        </w:rPr>
        <w:t xml:space="preserve"> </w:t>
      </w:r>
      <w:r>
        <w:t>in</w:t>
      </w:r>
      <w:r>
        <w:rPr>
          <w:spacing w:val="-1"/>
        </w:rPr>
        <w:t xml:space="preserve"> </w:t>
      </w:r>
      <w:r>
        <w:t>1,000,000.</w:t>
      </w:r>
      <w:r>
        <w:rPr>
          <w:spacing w:val="-1"/>
        </w:rPr>
        <w:t xml:space="preserve"> </w:t>
      </w:r>
      <w:r>
        <w:t>You</w:t>
      </w:r>
      <w:r>
        <w:rPr>
          <w:spacing w:val="-1"/>
        </w:rPr>
        <w:t xml:space="preserve"> </w:t>
      </w:r>
      <w:r>
        <w:t>buy</w:t>
      </w:r>
      <w:r>
        <w:rPr>
          <w:spacing w:val="-1"/>
        </w:rPr>
        <w:t xml:space="preserve"> </w:t>
      </w:r>
      <w:r>
        <w:t>a</w:t>
      </w:r>
      <w:r>
        <w:rPr>
          <w:spacing w:val="-1"/>
        </w:rPr>
        <w:t xml:space="preserve"> </w:t>
      </w:r>
      <w:r>
        <w:t>ticket.</w:t>
      </w:r>
      <w:r>
        <w:rPr>
          <w:spacing w:val="-1"/>
        </w:rPr>
        <w:t xml:space="preserve"> </w:t>
      </w:r>
      <w:r>
        <w:t>Let</w:t>
      </w:r>
      <w:r>
        <w:rPr>
          <w:spacing w:val="-1"/>
        </w:rPr>
        <w:t xml:space="preserve"> </w:t>
      </w:r>
      <w:r>
        <w:t>x</w:t>
      </w:r>
      <w:r>
        <w:rPr>
          <w:spacing w:val="-1"/>
        </w:rPr>
        <w:t xml:space="preserve"> </w:t>
      </w:r>
      <w:r>
        <w:t>be</w:t>
      </w:r>
      <w:r>
        <w:rPr>
          <w:spacing w:val="-1"/>
        </w:rPr>
        <w:t xml:space="preserve"> </w:t>
      </w:r>
      <w:r>
        <w:t>this ticket. You know that (“LT” is short for “losing ticket”):</w:t>
      </w:r>
    </w:p>
    <w:p w14:paraId="7E00200A" w14:textId="77777777" w:rsidR="009A58DB" w:rsidRDefault="00000000">
      <w:pPr>
        <w:pStyle w:val="BodyText"/>
        <w:spacing w:before="110" w:line="249" w:lineRule="auto"/>
        <w:ind w:left="1230" w:right="1240"/>
      </w:pPr>
      <w:r>
        <w:t xml:space="preserve">(LT) the probability of ticket x’s losing are 999,999 in </w:t>
      </w:r>
      <w:r>
        <w:rPr>
          <w:spacing w:val="-2"/>
        </w:rPr>
        <w:t>1,000,000.</w:t>
      </w:r>
    </w:p>
    <w:p w14:paraId="7E00200B" w14:textId="77777777" w:rsidR="009A58DB" w:rsidRDefault="00000000">
      <w:pPr>
        <w:pStyle w:val="BodyText"/>
        <w:spacing w:before="107" w:line="249" w:lineRule="auto"/>
        <w:ind w:left="1230" w:right="1227"/>
      </w:pPr>
      <w:r>
        <w:t xml:space="preserve">But do you </w:t>
      </w:r>
      <w:r>
        <w:rPr>
          <w:i/>
        </w:rPr>
        <w:t xml:space="preserve">know </w:t>
      </w:r>
      <w:r>
        <w:t>that it’ll lose? No. It may even have been rational for you to buy the ticket. Given what you stand to lose by buying the ticket and given what you stand to gain in the remote</w:t>
      </w:r>
      <w:r>
        <w:rPr>
          <w:spacing w:val="16"/>
        </w:rPr>
        <w:t xml:space="preserve"> </w:t>
      </w:r>
      <w:r>
        <w:t>chance</w:t>
      </w:r>
      <w:r>
        <w:rPr>
          <w:spacing w:val="18"/>
        </w:rPr>
        <w:t xml:space="preserve"> </w:t>
      </w:r>
      <w:r>
        <w:t>that</w:t>
      </w:r>
      <w:r>
        <w:rPr>
          <w:spacing w:val="19"/>
        </w:rPr>
        <w:t xml:space="preserve"> </w:t>
      </w:r>
      <w:r>
        <w:t>you</w:t>
      </w:r>
      <w:r>
        <w:rPr>
          <w:spacing w:val="18"/>
        </w:rPr>
        <w:t xml:space="preserve"> </w:t>
      </w:r>
      <w:r>
        <w:t>win,</w:t>
      </w:r>
      <w:r>
        <w:rPr>
          <w:spacing w:val="18"/>
        </w:rPr>
        <w:t xml:space="preserve"> </w:t>
      </w:r>
      <w:r>
        <w:t>it</w:t>
      </w:r>
      <w:r>
        <w:rPr>
          <w:spacing w:val="19"/>
        </w:rPr>
        <w:t xml:space="preserve"> </w:t>
      </w:r>
      <w:r>
        <w:t>may</w:t>
      </w:r>
      <w:r>
        <w:rPr>
          <w:spacing w:val="18"/>
        </w:rPr>
        <w:t xml:space="preserve"> </w:t>
      </w:r>
      <w:r>
        <w:t>have</w:t>
      </w:r>
      <w:r>
        <w:rPr>
          <w:spacing w:val="18"/>
        </w:rPr>
        <w:t xml:space="preserve"> </w:t>
      </w:r>
      <w:r>
        <w:t>been</w:t>
      </w:r>
      <w:r>
        <w:rPr>
          <w:spacing w:val="19"/>
        </w:rPr>
        <w:t xml:space="preserve"> </w:t>
      </w:r>
      <w:r>
        <w:t>in</w:t>
      </w:r>
      <w:r>
        <w:rPr>
          <w:spacing w:val="18"/>
        </w:rPr>
        <w:t xml:space="preserve"> </w:t>
      </w:r>
      <w:r>
        <w:t>your</w:t>
      </w:r>
      <w:r>
        <w:rPr>
          <w:spacing w:val="19"/>
        </w:rPr>
        <w:t xml:space="preserve"> </w:t>
      </w:r>
      <w:r>
        <w:rPr>
          <w:spacing w:val="-2"/>
        </w:rPr>
        <w:t>interest</w:t>
      </w:r>
    </w:p>
    <w:p w14:paraId="7E00200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0D" w14:textId="77777777" w:rsidR="009A58DB" w:rsidRDefault="00000000">
      <w:pPr>
        <w:pStyle w:val="BodyText"/>
        <w:spacing w:before="71" w:line="249" w:lineRule="auto"/>
        <w:ind w:left="1230" w:right="1229"/>
      </w:pPr>
      <w:r>
        <w:lastRenderedPageBreak/>
        <w:t xml:space="preserve">to buy it, even after you take into account that the chances of your losing is 999,999 in 1,000,000. But this decision couldn’t possibly have been rational if you </w:t>
      </w:r>
      <w:r>
        <w:rPr>
          <w:i/>
        </w:rPr>
        <w:t xml:space="preserve">knew </w:t>
      </w:r>
      <w:r>
        <w:t xml:space="preserve">that your ticket would </w:t>
      </w:r>
      <w:r>
        <w:rPr>
          <w:spacing w:val="-2"/>
        </w:rPr>
        <w:t>lose.</w:t>
      </w:r>
    </w:p>
    <w:p w14:paraId="7E00200E" w14:textId="77777777" w:rsidR="009A58DB" w:rsidRDefault="009A58DB">
      <w:pPr>
        <w:pStyle w:val="BodyText"/>
        <w:spacing w:before="118"/>
        <w:ind w:left="0"/>
        <w:jc w:val="left"/>
      </w:pPr>
    </w:p>
    <w:p w14:paraId="7E00200F" w14:textId="77777777" w:rsidR="009A58DB" w:rsidRDefault="00000000">
      <w:pPr>
        <w:pStyle w:val="BodyText"/>
        <w:spacing w:before="1" w:line="249" w:lineRule="auto"/>
        <w:ind w:right="365" w:firstLine="360"/>
      </w:pPr>
      <w:r>
        <w:t xml:space="preserve">In general, there’s no knowledge where there isn’t certainty. If, given the information at your disposal, there is </w:t>
      </w:r>
      <w:r>
        <w:rPr>
          <w:i/>
        </w:rPr>
        <w:t>any</w:t>
      </w:r>
      <w:r>
        <w:rPr>
          <w:i/>
          <w:spacing w:val="-4"/>
        </w:rPr>
        <w:t xml:space="preserve"> </w:t>
      </w:r>
      <w:r>
        <w:t>chance, no matter how small, that P isn’t</w:t>
      </w:r>
      <w:r>
        <w:rPr>
          <w:spacing w:val="-2"/>
        </w:rPr>
        <w:t xml:space="preserve"> </w:t>
      </w:r>
      <w:r>
        <w:t>the</w:t>
      </w:r>
      <w:r>
        <w:rPr>
          <w:spacing w:val="-2"/>
        </w:rPr>
        <w:t xml:space="preserve"> </w:t>
      </w:r>
      <w:r>
        <w:t>case,</w:t>
      </w:r>
      <w:r>
        <w:rPr>
          <w:spacing w:val="-1"/>
        </w:rPr>
        <w:t xml:space="preserve"> </w:t>
      </w:r>
      <w:r>
        <w:t>then</w:t>
      </w:r>
      <w:r>
        <w:rPr>
          <w:spacing w:val="-1"/>
        </w:rPr>
        <w:t xml:space="preserve"> </w:t>
      </w:r>
      <w:r>
        <w:t>you</w:t>
      </w:r>
      <w:r>
        <w:rPr>
          <w:spacing w:val="-1"/>
        </w:rPr>
        <w:t xml:space="preserve"> </w:t>
      </w:r>
      <w:r>
        <w:t>don’t</w:t>
      </w:r>
      <w:r>
        <w:rPr>
          <w:spacing w:val="-2"/>
        </w:rPr>
        <w:t xml:space="preserve"> </w:t>
      </w:r>
      <w:r>
        <w:rPr>
          <w:i/>
        </w:rPr>
        <w:t>know</w:t>
      </w:r>
      <w:r>
        <w:rPr>
          <w:i/>
          <w:spacing w:val="-2"/>
        </w:rPr>
        <w:t xml:space="preserve"> </w:t>
      </w:r>
      <w:r>
        <w:t>P.</w:t>
      </w:r>
      <w:r>
        <w:rPr>
          <w:spacing w:val="-1"/>
        </w:rPr>
        <w:t xml:space="preserve"> </w:t>
      </w:r>
      <w:r>
        <w:t>We</w:t>
      </w:r>
      <w:r>
        <w:rPr>
          <w:spacing w:val="-2"/>
        </w:rPr>
        <w:t xml:space="preserve"> </w:t>
      </w:r>
      <w:r>
        <w:t>all</w:t>
      </w:r>
      <w:r>
        <w:rPr>
          <w:spacing w:val="-2"/>
        </w:rPr>
        <w:t xml:space="preserve"> </w:t>
      </w:r>
      <w:r>
        <w:t>know</w:t>
      </w:r>
      <w:r>
        <w:rPr>
          <w:spacing w:val="-2"/>
        </w:rPr>
        <w:t xml:space="preserve"> </w:t>
      </w:r>
      <w:r>
        <w:t>(or</w:t>
      </w:r>
      <w:r>
        <w:rPr>
          <w:spacing w:val="-2"/>
        </w:rPr>
        <w:t xml:space="preserve"> </w:t>
      </w:r>
      <w:r>
        <w:t>so</w:t>
      </w:r>
      <w:r>
        <w:rPr>
          <w:spacing w:val="-1"/>
        </w:rPr>
        <w:t xml:space="preserve"> </w:t>
      </w:r>
      <w:r>
        <w:t>let</w:t>
      </w:r>
      <w:r>
        <w:rPr>
          <w:spacing w:val="-2"/>
        </w:rPr>
        <w:t xml:space="preserve"> </w:t>
      </w:r>
      <w:r>
        <w:t>us</w:t>
      </w:r>
      <w:r>
        <w:rPr>
          <w:spacing w:val="-2"/>
        </w:rPr>
        <w:t xml:space="preserve"> </w:t>
      </w:r>
      <w:r>
        <w:t>suppose)</w:t>
      </w:r>
      <w:r>
        <w:rPr>
          <w:spacing w:val="-2"/>
        </w:rPr>
        <w:t xml:space="preserve"> </w:t>
      </w:r>
      <w:r>
        <w:t>that:</w:t>
      </w:r>
    </w:p>
    <w:p w14:paraId="7E002010" w14:textId="77777777" w:rsidR="009A58DB" w:rsidRDefault="00000000">
      <w:pPr>
        <w:pStyle w:val="BodyText"/>
        <w:spacing w:before="93" w:line="249" w:lineRule="auto"/>
        <w:ind w:right="367"/>
      </w:pPr>
      <w:r>
        <w:t>(UB) the probability that future unsupported objects will fall is extremely high, given that such objects have fallen so far.</w:t>
      </w:r>
    </w:p>
    <w:p w14:paraId="7E002011" w14:textId="77777777" w:rsidR="009A58DB" w:rsidRDefault="00000000">
      <w:pPr>
        <w:pStyle w:val="BodyText"/>
        <w:spacing w:before="108" w:line="249" w:lineRule="auto"/>
        <w:ind w:left="720" w:right="718"/>
      </w:pPr>
      <w:r>
        <w:t xml:space="preserve">Is there </w:t>
      </w:r>
      <w:r>
        <w:rPr>
          <w:i/>
        </w:rPr>
        <w:t xml:space="preserve">any </w:t>
      </w:r>
      <w:r>
        <w:t xml:space="preserve">chance that, all of a sudden, unsupported objects will no longer fall? Yes. (The statement “all of a sudden, unsupported objects will no longer fall” isn’t ruled out by the laws of logic. So it could, theoretically, be true.) Therefore, you don’t </w:t>
      </w:r>
      <w:r>
        <w:rPr>
          <w:i/>
        </w:rPr>
        <w:t xml:space="preserve">know </w:t>
      </w:r>
      <w:r>
        <w:t xml:space="preserve">that they won’t fall; and, by obvious extensions of this arguments, you don’t </w:t>
      </w:r>
      <w:r>
        <w:rPr>
          <w:i/>
        </w:rPr>
        <w:t xml:space="preserve">know </w:t>
      </w:r>
      <w:r>
        <w:t xml:space="preserve">anything about the future (apart from sterile trivialities; e.g., “whatever happens, happens”). The very concept of “probable” knowledge is incoherent. The merely probable is ipso facto not known. To know it to be 99.9999% likely that unsupported objects will continue to fall is to </w:t>
      </w:r>
      <w:r>
        <w:rPr>
          <w:i/>
        </w:rPr>
        <w:t xml:space="preserve">not </w:t>
      </w:r>
      <w:r>
        <w:t>know that they’ll fall.</w:t>
      </w:r>
    </w:p>
    <w:p w14:paraId="7E002012" w14:textId="77777777" w:rsidR="009A58DB" w:rsidRDefault="00000000">
      <w:pPr>
        <w:pStyle w:val="BodyText"/>
        <w:spacing w:before="117" w:line="249" w:lineRule="auto"/>
        <w:ind w:right="358" w:firstLine="360"/>
      </w:pPr>
      <w:r>
        <w:t xml:space="preserve">The problem with LP is that it uses the word “probability” in an equivocal manner. All LT says is that there are one million tickets but only one winner. UB doesn’t say anything of the sort. UB doesn’t make a </w:t>
      </w:r>
      <w:r>
        <w:rPr>
          <w:i/>
        </w:rPr>
        <w:t xml:space="preserve">statistical </w:t>
      </w:r>
      <w:r>
        <w:t>point. It doesn’t say: “nine times out of ten, unsupported objects fall.” It doesn’t say anything at all like that. UB makes a point about the relative merits of two competing hypotheses, these being:</w:t>
      </w:r>
    </w:p>
    <w:p w14:paraId="7E002013" w14:textId="77777777" w:rsidR="009A58DB" w:rsidRDefault="00000000">
      <w:pPr>
        <w:pStyle w:val="BodyText"/>
        <w:spacing w:before="97" w:line="364" w:lineRule="auto"/>
        <w:ind w:right="4035"/>
        <w:jc w:val="left"/>
      </w:pPr>
      <w:r>
        <w:t>(H</w:t>
      </w:r>
      <w:r>
        <w:rPr>
          <w:vertAlign w:val="subscript"/>
        </w:rPr>
        <w:t>1</w:t>
      </w:r>
      <w:r>
        <w:t>)</w:t>
      </w:r>
      <w:r>
        <w:rPr>
          <w:spacing w:val="-5"/>
        </w:rPr>
        <w:t xml:space="preserve"> </w:t>
      </w:r>
      <w:r>
        <w:t>unsupported</w:t>
      </w:r>
      <w:r>
        <w:rPr>
          <w:spacing w:val="-4"/>
        </w:rPr>
        <w:t xml:space="preserve"> </w:t>
      </w:r>
      <w:r>
        <w:t>objects</w:t>
      </w:r>
      <w:r>
        <w:rPr>
          <w:spacing w:val="-5"/>
        </w:rPr>
        <w:t xml:space="preserve"> </w:t>
      </w:r>
      <w:r>
        <w:t>will</w:t>
      </w:r>
      <w:r>
        <w:rPr>
          <w:spacing w:val="-5"/>
        </w:rPr>
        <w:t xml:space="preserve"> </w:t>
      </w:r>
      <w:r>
        <w:t>continue</w:t>
      </w:r>
      <w:r>
        <w:rPr>
          <w:spacing w:val="-5"/>
        </w:rPr>
        <w:t xml:space="preserve"> </w:t>
      </w:r>
      <w:r>
        <w:t>to</w:t>
      </w:r>
      <w:r>
        <w:rPr>
          <w:spacing w:val="-4"/>
        </w:rPr>
        <w:t xml:space="preserve"> </w:t>
      </w:r>
      <w:r>
        <w:t xml:space="preserve">fall </w:t>
      </w:r>
      <w:r>
        <w:rPr>
          <w:spacing w:val="-4"/>
        </w:rPr>
        <w:t>and</w:t>
      </w:r>
    </w:p>
    <w:p w14:paraId="7E002014" w14:textId="77777777" w:rsidR="009A58DB" w:rsidRDefault="00000000">
      <w:pPr>
        <w:pStyle w:val="BodyText"/>
        <w:spacing w:line="286" w:lineRule="exact"/>
        <w:jc w:val="left"/>
      </w:pPr>
      <w:r>
        <w:t>(H</w:t>
      </w:r>
      <w:r>
        <w:rPr>
          <w:vertAlign w:val="subscript"/>
        </w:rPr>
        <w:t>2</w:t>
      </w:r>
      <w:r>
        <w:t>)</w:t>
      </w:r>
      <w:r>
        <w:rPr>
          <w:spacing w:val="-1"/>
        </w:rPr>
        <w:t xml:space="preserve"> </w:t>
      </w:r>
      <w:r>
        <w:t>unsupported objects will</w:t>
      </w:r>
      <w:r>
        <w:rPr>
          <w:spacing w:val="-1"/>
        </w:rPr>
        <w:t xml:space="preserve"> </w:t>
      </w:r>
      <w:r>
        <w:t>not continue</w:t>
      </w:r>
      <w:r>
        <w:rPr>
          <w:spacing w:val="-1"/>
        </w:rPr>
        <w:t xml:space="preserve"> </w:t>
      </w:r>
      <w:r>
        <w:t xml:space="preserve">to </w:t>
      </w:r>
      <w:r>
        <w:rPr>
          <w:spacing w:val="-2"/>
        </w:rPr>
        <w:t>fall.</w:t>
      </w:r>
    </w:p>
    <w:p w14:paraId="7E002015" w14:textId="77777777" w:rsidR="009A58DB" w:rsidRDefault="00000000">
      <w:pPr>
        <w:pStyle w:val="BodyText"/>
        <w:spacing w:before="165" w:line="249" w:lineRule="auto"/>
        <w:ind w:right="363"/>
      </w:pPr>
      <w:r>
        <w:t xml:space="preserve">UB is true if, given the data that we have, </w:t>
      </w:r>
      <w:r>
        <w:rPr>
          <w:vertAlign w:val="superscript"/>
        </w:rPr>
        <w:t>H</w:t>
      </w:r>
      <w:r>
        <w:rPr>
          <w:sz w:val="18"/>
        </w:rPr>
        <w:t>1</w:t>
      </w:r>
      <w:r>
        <w:rPr>
          <w:sz w:val="18"/>
          <w:vertAlign w:val="superscript"/>
        </w:rPr>
        <w:t>’</w:t>
      </w:r>
      <w:r>
        <w:rPr>
          <w:sz w:val="18"/>
        </w:rPr>
        <w:t xml:space="preserve"> </w:t>
      </w:r>
      <w:r>
        <w:t>s being true would undermine the</w:t>
      </w:r>
      <w:r>
        <w:rPr>
          <w:spacing w:val="-7"/>
        </w:rPr>
        <w:t xml:space="preserve"> </w:t>
      </w:r>
      <w:r>
        <w:t>integrity</w:t>
      </w:r>
      <w:r>
        <w:rPr>
          <w:spacing w:val="-1"/>
        </w:rPr>
        <w:t xml:space="preserve"> </w:t>
      </w:r>
      <w:r>
        <w:t>of</w:t>
      </w:r>
      <w:r>
        <w:rPr>
          <w:spacing w:val="-1"/>
        </w:rPr>
        <w:t xml:space="preserve"> </w:t>
      </w:r>
      <w:r>
        <w:t>our</w:t>
      </w:r>
      <w:r>
        <w:rPr>
          <w:spacing w:val="-1"/>
        </w:rPr>
        <w:t xml:space="preserve"> </w:t>
      </w:r>
      <w:r>
        <w:t>belief</w:t>
      </w:r>
      <w:r>
        <w:rPr>
          <w:spacing w:val="-1"/>
        </w:rPr>
        <w:t xml:space="preserve"> </w:t>
      </w:r>
      <w:r>
        <w:t>system</w:t>
      </w:r>
      <w:r>
        <w:rPr>
          <w:spacing w:val="-1"/>
        </w:rPr>
        <w:t xml:space="preserve"> </w:t>
      </w:r>
      <w:r>
        <w:t>to</w:t>
      </w:r>
      <w:r>
        <w:rPr>
          <w:spacing w:val="-1"/>
        </w:rPr>
        <w:t xml:space="preserve"> </w:t>
      </w:r>
      <w:r>
        <w:t>a</w:t>
      </w:r>
      <w:r>
        <w:rPr>
          <w:spacing w:val="-1"/>
        </w:rPr>
        <w:t xml:space="preserve"> </w:t>
      </w:r>
      <w:r>
        <w:t>lesser</w:t>
      </w:r>
      <w:r>
        <w:rPr>
          <w:spacing w:val="-1"/>
        </w:rPr>
        <w:t xml:space="preserve"> </w:t>
      </w:r>
      <w:r>
        <w:t>degree</w:t>
      </w:r>
      <w:r>
        <w:rPr>
          <w:spacing w:val="-1"/>
        </w:rPr>
        <w:t xml:space="preserve"> </w:t>
      </w:r>
      <w:r>
        <w:t>than</w:t>
      </w:r>
      <w:r>
        <w:rPr>
          <w:spacing w:val="-1"/>
        </w:rPr>
        <w:t xml:space="preserve"> </w:t>
      </w:r>
      <w:r>
        <w:rPr>
          <w:vertAlign w:val="superscript"/>
        </w:rPr>
        <w:t>H</w:t>
      </w:r>
      <w:r>
        <w:rPr>
          <w:sz w:val="18"/>
        </w:rPr>
        <w:t>2</w:t>
      </w:r>
      <w:r>
        <w:rPr>
          <w:sz w:val="18"/>
          <w:vertAlign w:val="superscript"/>
        </w:rPr>
        <w:t>’</w:t>
      </w:r>
      <w:r>
        <w:rPr>
          <w:spacing w:val="-12"/>
          <w:sz w:val="18"/>
        </w:rPr>
        <w:t xml:space="preserve"> </w:t>
      </w:r>
      <w:r>
        <w:t>s being true. Given the information that we have right now (“SB” is short for “stilts beanie”):</w:t>
      </w:r>
    </w:p>
    <w:p w14:paraId="7E002016" w14:textId="77777777" w:rsidR="009A58DB" w:rsidRDefault="00000000">
      <w:pPr>
        <w:pStyle w:val="BodyText"/>
        <w:spacing w:before="109"/>
      </w:pPr>
      <w:r>
        <w:t>(SB)</w:t>
      </w:r>
      <w:r>
        <w:rPr>
          <w:spacing w:val="19"/>
        </w:rPr>
        <w:t xml:space="preserve"> </w:t>
      </w:r>
      <w:r>
        <w:t>there</w:t>
      </w:r>
      <w:r>
        <w:rPr>
          <w:spacing w:val="21"/>
        </w:rPr>
        <w:t xml:space="preserve"> </w:t>
      </w:r>
      <w:r>
        <w:t>is</w:t>
      </w:r>
      <w:r>
        <w:rPr>
          <w:spacing w:val="21"/>
        </w:rPr>
        <w:t xml:space="preserve"> </w:t>
      </w:r>
      <w:r>
        <w:t>only</w:t>
      </w:r>
      <w:r>
        <w:rPr>
          <w:spacing w:val="22"/>
        </w:rPr>
        <w:t xml:space="preserve"> </w:t>
      </w:r>
      <w:r>
        <w:t>an</w:t>
      </w:r>
      <w:r>
        <w:rPr>
          <w:spacing w:val="21"/>
        </w:rPr>
        <w:t xml:space="preserve"> </w:t>
      </w:r>
      <w:r>
        <w:t>extremely</w:t>
      </w:r>
      <w:r>
        <w:rPr>
          <w:spacing w:val="21"/>
        </w:rPr>
        <w:t xml:space="preserve"> </w:t>
      </w:r>
      <w:r>
        <w:t>low</w:t>
      </w:r>
      <w:r>
        <w:rPr>
          <w:spacing w:val="22"/>
        </w:rPr>
        <w:t xml:space="preserve"> </w:t>
      </w:r>
      <w:r>
        <w:t>probability</w:t>
      </w:r>
      <w:r>
        <w:rPr>
          <w:spacing w:val="21"/>
        </w:rPr>
        <w:t xml:space="preserve"> </w:t>
      </w:r>
      <w:r>
        <w:t>that</w:t>
      </w:r>
      <w:r>
        <w:rPr>
          <w:spacing w:val="21"/>
        </w:rPr>
        <w:t xml:space="preserve"> </w:t>
      </w:r>
      <w:r>
        <w:t>walking</w:t>
      </w:r>
      <w:r>
        <w:rPr>
          <w:spacing w:val="22"/>
        </w:rPr>
        <w:t xml:space="preserve"> </w:t>
      </w:r>
      <w:r>
        <w:t>on</w:t>
      </w:r>
      <w:r>
        <w:rPr>
          <w:spacing w:val="21"/>
        </w:rPr>
        <w:t xml:space="preserve"> </w:t>
      </w:r>
      <w:r>
        <w:t>stilts</w:t>
      </w:r>
      <w:r>
        <w:rPr>
          <w:spacing w:val="21"/>
        </w:rPr>
        <w:t xml:space="preserve"> </w:t>
      </w:r>
      <w:r>
        <w:t>for</w:t>
      </w:r>
      <w:r>
        <w:rPr>
          <w:spacing w:val="22"/>
        </w:rPr>
        <w:t xml:space="preserve"> </w:t>
      </w:r>
      <w:r>
        <w:rPr>
          <w:spacing w:val="-5"/>
        </w:rPr>
        <w:t>an</w:t>
      </w:r>
    </w:p>
    <w:p w14:paraId="7E002017" w14:textId="77777777" w:rsidR="009A58DB" w:rsidRDefault="009A58DB">
      <w:pPr>
        <w:pStyle w:val="BodyText"/>
        <w:sectPr w:rsidR="009A58DB">
          <w:pgSz w:w="12240" w:h="15840"/>
          <w:pgMar w:top="1380" w:right="1080" w:bottom="280" w:left="1080" w:header="720" w:footer="720" w:gutter="0"/>
          <w:cols w:space="720"/>
        </w:sectPr>
      </w:pPr>
    </w:p>
    <w:p w14:paraId="7E002018" w14:textId="77777777" w:rsidR="009A58DB" w:rsidRDefault="00000000">
      <w:pPr>
        <w:pStyle w:val="BodyText"/>
        <w:spacing w:before="66" w:line="249" w:lineRule="auto"/>
        <w:ind w:right="364"/>
      </w:pPr>
      <w:r>
        <w:lastRenderedPageBreak/>
        <w:t xml:space="preserve">hour while wearing a beanie with a propeller on it is a foolproof cure for </w:t>
      </w:r>
      <w:r>
        <w:rPr>
          <w:spacing w:val="-2"/>
        </w:rPr>
        <w:t>cancer.</w:t>
      </w:r>
    </w:p>
    <w:p w14:paraId="7E002019" w14:textId="77777777" w:rsidR="009A58DB" w:rsidRDefault="00000000">
      <w:pPr>
        <w:pStyle w:val="BodyText"/>
        <w:spacing w:before="106" w:line="249" w:lineRule="auto"/>
        <w:ind w:right="358"/>
      </w:pPr>
      <w:r>
        <w:t xml:space="preserve">Does SB say that better than nine cases of cancer out of 10 </w:t>
      </w:r>
      <w:r>
        <w:rPr>
          <w:i/>
        </w:rPr>
        <w:t xml:space="preserve">aren’t </w:t>
      </w:r>
      <w:r>
        <w:t xml:space="preserve">cured in this way? No. It doesn’t make </w:t>
      </w:r>
      <w:r>
        <w:rPr>
          <w:i/>
        </w:rPr>
        <w:t>any</w:t>
      </w:r>
      <w:r>
        <w:rPr>
          <w:i/>
          <w:spacing w:val="-3"/>
        </w:rPr>
        <w:t xml:space="preserve"> </w:t>
      </w:r>
      <w:r>
        <w:t>sort of statistical claim. SB is a claim, not about</w:t>
      </w:r>
      <w:r>
        <w:rPr>
          <w:spacing w:val="-1"/>
        </w:rPr>
        <w:t xml:space="preserve"> </w:t>
      </w:r>
      <w:r>
        <w:t>statistics,</w:t>
      </w:r>
      <w:r>
        <w:rPr>
          <w:spacing w:val="-1"/>
        </w:rPr>
        <w:t xml:space="preserve"> </w:t>
      </w:r>
      <w:r>
        <w:t>but</w:t>
      </w:r>
      <w:r>
        <w:rPr>
          <w:spacing w:val="-1"/>
        </w:rPr>
        <w:t xml:space="preserve"> </w:t>
      </w:r>
      <w:r>
        <w:t>about</w:t>
      </w:r>
      <w:r>
        <w:rPr>
          <w:spacing w:val="-1"/>
        </w:rPr>
        <w:t xml:space="preserve"> </w:t>
      </w:r>
      <w:r>
        <w:t>explanatory</w:t>
      </w:r>
      <w:r>
        <w:rPr>
          <w:spacing w:val="-1"/>
        </w:rPr>
        <w:t xml:space="preserve"> </w:t>
      </w:r>
      <w:r>
        <w:t>integrity.</w:t>
      </w:r>
      <w:r>
        <w:rPr>
          <w:spacing w:val="-1"/>
        </w:rPr>
        <w:t xml:space="preserve"> </w:t>
      </w:r>
      <w:r>
        <w:t>It</w:t>
      </w:r>
      <w:r>
        <w:rPr>
          <w:spacing w:val="-1"/>
        </w:rPr>
        <w:t xml:space="preserve"> </w:t>
      </w:r>
      <w:r>
        <w:t>says</w:t>
      </w:r>
      <w:r>
        <w:rPr>
          <w:spacing w:val="-1"/>
        </w:rPr>
        <w:t xml:space="preserve"> </w:t>
      </w:r>
      <w:r>
        <w:t>that</w:t>
      </w:r>
      <w:r>
        <w:rPr>
          <w:spacing w:val="-1"/>
        </w:rPr>
        <w:t xml:space="preserve"> </w:t>
      </w:r>
      <w:r>
        <w:t>more</w:t>
      </w:r>
      <w:r>
        <w:rPr>
          <w:spacing w:val="-1"/>
        </w:rPr>
        <w:t xml:space="preserve"> </w:t>
      </w:r>
      <w:r>
        <w:t>damage</w:t>
      </w:r>
      <w:r>
        <w:rPr>
          <w:spacing w:val="-1"/>
        </w:rPr>
        <w:t xml:space="preserve"> </w:t>
      </w:r>
      <w:r>
        <w:t xml:space="preserve">will be done to our belief system if it turns out that cancer </w:t>
      </w:r>
      <w:r>
        <w:rPr>
          <w:i/>
        </w:rPr>
        <w:t xml:space="preserve">can </w:t>
      </w:r>
      <w:r>
        <w:t xml:space="preserve">be cured in that way than if it turns out that it cannot. If, by some remote chance, cancer </w:t>
      </w:r>
      <w:r>
        <w:rPr>
          <w:i/>
        </w:rPr>
        <w:t xml:space="preserve">can </w:t>
      </w:r>
      <w:r>
        <w:t xml:space="preserve">be cured in that way, everything we “know” about medicine and pathology is false. But the damage wouldn’t end there. Our medical beliefs are rooted in general assumptions about the causal structure of the world. (For example, given the information that Smith has gone into anaphylactic shock whenever he’s eaten peanuts or anything with peanuts in it, even cutting-edge medical researchers will assume that Smith will go into anaphylactic shock if he eats peanuts that have been painted green. This assumption is rooted in generally held causal beliefs. No inside information is involved.) Were it found out that SB was false, many of the commonsense-based underpinnings of our medical beliefs would have to be reconsidered. But all of those beliefs remain intact if cancer cannot be cured in that way. It is improbable that walking on stilts (etc.) cures cancer to the extent that our current beliefs depend on its </w:t>
      </w:r>
      <w:r>
        <w:rPr>
          <w:i/>
        </w:rPr>
        <w:t xml:space="preserve">not </w:t>
      </w:r>
      <w:r>
        <w:t>being a cure. And it’s probable that walking on stilts (etc.) isn’t a cancer cure to the extent our beliefs depend on it.</w:t>
      </w:r>
    </w:p>
    <w:p w14:paraId="7E00201A" w14:textId="77777777" w:rsidR="009A58DB" w:rsidRDefault="00000000">
      <w:pPr>
        <w:pStyle w:val="BodyText"/>
        <w:spacing w:before="23" w:line="249" w:lineRule="auto"/>
        <w:ind w:right="368" w:firstLine="360"/>
      </w:pPr>
      <w:r>
        <w:t>In general, P is probable to the extent that our beliefs depend on it, and improbable to the extent that they depend on its negation.</w:t>
      </w:r>
    </w:p>
    <w:p w14:paraId="7E00201B" w14:textId="77777777" w:rsidR="009A58DB" w:rsidRDefault="009A58DB">
      <w:pPr>
        <w:pStyle w:val="BodyText"/>
        <w:spacing w:before="266"/>
        <w:ind w:left="0"/>
        <w:jc w:val="left"/>
      </w:pPr>
    </w:p>
    <w:p w14:paraId="7E00201C" w14:textId="77777777" w:rsidR="009A58DB" w:rsidRDefault="00000000">
      <w:pPr>
        <w:pStyle w:val="Heading1"/>
        <w:numPr>
          <w:ilvl w:val="2"/>
          <w:numId w:val="79"/>
        </w:numPr>
        <w:tabs>
          <w:tab w:val="left" w:pos="1305"/>
        </w:tabs>
        <w:spacing w:before="0"/>
      </w:pPr>
      <w:r>
        <w:t>Two</w:t>
      </w:r>
      <w:r>
        <w:rPr>
          <w:spacing w:val="-3"/>
        </w:rPr>
        <w:t xml:space="preserve"> </w:t>
      </w:r>
      <w:r>
        <w:t>kinds</w:t>
      </w:r>
      <w:r>
        <w:rPr>
          <w:spacing w:val="-2"/>
        </w:rPr>
        <w:t xml:space="preserve"> </w:t>
      </w:r>
      <w:r>
        <w:t>of</w:t>
      </w:r>
      <w:r>
        <w:rPr>
          <w:spacing w:val="-3"/>
        </w:rPr>
        <w:t xml:space="preserve"> </w:t>
      </w:r>
      <w:r>
        <w:rPr>
          <w:spacing w:val="-2"/>
        </w:rPr>
        <w:t>probability</w:t>
      </w:r>
    </w:p>
    <w:p w14:paraId="7E00201D" w14:textId="77777777" w:rsidR="009A58DB" w:rsidRDefault="00000000">
      <w:pPr>
        <w:pStyle w:val="BodyText"/>
        <w:spacing w:before="139" w:line="249" w:lineRule="auto"/>
        <w:ind w:right="358"/>
      </w:pPr>
      <w:r>
        <w:t>Explanatory and statistical probability are different things. Counter</w:t>
      </w:r>
      <w:r>
        <w:rPr>
          <w:i/>
        </w:rPr>
        <w:t xml:space="preserve">statistical </w:t>
      </w:r>
      <w:r>
        <w:t>events are innocuous, but counter-</w:t>
      </w:r>
      <w:r>
        <w:rPr>
          <w:i/>
        </w:rPr>
        <w:t xml:space="preserve">explanatory </w:t>
      </w:r>
      <w:r>
        <w:t>events are not. Smith rolls double-sixes five times in a row. Statistically unlikely—yes. Important—no. Must we change our belief system because of it? No. Need we reconsider our assumptions about the basic structure of the world? No. And it makes no difference</w:t>
      </w:r>
      <w:r>
        <w:rPr>
          <w:spacing w:val="-3"/>
        </w:rPr>
        <w:t xml:space="preserve"> </w:t>
      </w:r>
      <w:r>
        <w:t>whether</w:t>
      </w:r>
      <w:r>
        <w:rPr>
          <w:spacing w:val="-3"/>
        </w:rPr>
        <w:t xml:space="preserve"> </w:t>
      </w:r>
      <w:r>
        <w:t>it’s</w:t>
      </w:r>
      <w:r>
        <w:rPr>
          <w:spacing w:val="-3"/>
        </w:rPr>
        <w:t xml:space="preserve"> </w:t>
      </w:r>
      <w:r>
        <w:t>five</w:t>
      </w:r>
      <w:r>
        <w:rPr>
          <w:spacing w:val="-3"/>
        </w:rPr>
        <w:t xml:space="preserve"> </w:t>
      </w:r>
      <w:r>
        <w:t>double-sixes</w:t>
      </w:r>
      <w:r>
        <w:rPr>
          <w:spacing w:val="-3"/>
        </w:rPr>
        <w:t xml:space="preserve"> </w:t>
      </w:r>
      <w:r>
        <w:t>in</w:t>
      </w:r>
      <w:r>
        <w:rPr>
          <w:spacing w:val="-2"/>
        </w:rPr>
        <w:t xml:space="preserve"> </w:t>
      </w:r>
      <w:r>
        <w:t>a</w:t>
      </w:r>
      <w:r>
        <w:rPr>
          <w:spacing w:val="-3"/>
        </w:rPr>
        <w:t xml:space="preserve"> </w:t>
      </w:r>
      <w:r>
        <w:t>row</w:t>
      </w:r>
      <w:r>
        <w:rPr>
          <w:spacing w:val="-3"/>
        </w:rPr>
        <w:t xml:space="preserve"> </w:t>
      </w:r>
      <w:r>
        <w:t>or</w:t>
      </w:r>
      <w:r>
        <w:rPr>
          <w:spacing w:val="-3"/>
        </w:rPr>
        <w:t xml:space="preserve"> </w:t>
      </w:r>
      <w:r>
        <w:t>a</w:t>
      </w:r>
      <w:r>
        <w:rPr>
          <w:spacing w:val="-3"/>
        </w:rPr>
        <w:t xml:space="preserve"> </w:t>
      </w:r>
      <w:r>
        <w:t>billion.</w:t>
      </w:r>
      <w:r>
        <w:rPr>
          <w:spacing w:val="-2"/>
        </w:rPr>
        <w:t xml:space="preserve"> </w:t>
      </w:r>
      <w:r>
        <w:t>The</w:t>
      </w:r>
      <w:r>
        <w:rPr>
          <w:spacing w:val="-3"/>
        </w:rPr>
        <w:t xml:space="preserve"> </w:t>
      </w:r>
      <w:r>
        <w:t>improbable sometimes happens, and that’s the end of it. When it happens, we have a nice anecdote for cocktail parties; we don’t have a situation worthy of scientific scrutiny.</w:t>
      </w:r>
      <w:r>
        <w:rPr>
          <w:spacing w:val="28"/>
        </w:rPr>
        <w:t xml:space="preserve"> </w:t>
      </w:r>
      <w:r>
        <w:t>But</w:t>
      </w:r>
      <w:r>
        <w:rPr>
          <w:spacing w:val="27"/>
        </w:rPr>
        <w:t xml:space="preserve"> </w:t>
      </w:r>
      <w:r>
        <w:t>we</w:t>
      </w:r>
      <w:r>
        <w:rPr>
          <w:spacing w:val="27"/>
        </w:rPr>
        <w:t xml:space="preserve"> </w:t>
      </w:r>
      <w:r>
        <w:rPr>
          <w:i/>
        </w:rPr>
        <w:t>do</w:t>
      </w:r>
      <w:r>
        <w:rPr>
          <w:i/>
          <w:spacing w:val="28"/>
        </w:rPr>
        <w:t xml:space="preserve"> </w:t>
      </w:r>
      <w:r>
        <w:t>have</w:t>
      </w:r>
      <w:r>
        <w:rPr>
          <w:spacing w:val="31"/>
        </w:rPr>
        <w:t xml:space="preserve"> </w:t>
      </w:r>
      <w:r>
        <w:t>such</w:t>
      </w:r>
      <w:r>
        <w:rPr>
          <w:spacing w:val="30"/>
        </w:rPr>
        <w:t xml:space="preserve"> </w:t>
      </w:r>
      <w:r>
        <w:t>a</w:t>
      </w:r>
      <w:r>
        <w:rPr>
          <w:spacing w:val="30"/>
        </w:rPr>
        <w:t xml:space="preserve"> </w:t>
      </w:r>
      <w:r>
        <w:t>situation</w:t>
      </w:r>
      <w:r>
        <w:rPr>
          <w:spacing w:val="30"/>
        </w:rPr>
        <w:t xml:space="preserve"> </w:t>
      </w:r>
      <w:r>
        <w:t>if</w:t>
      </w:r>
      <w:r>
        <w:rPr>
          <w:spacing w:val="30"/>
        </w:rPr>
        <w:t xml:space="preserve"> </w:t>
      </w:r>
      <w:r>
        <w:t>it</w:t>
      </w:r>
      <w:r>
        <w:rPr>
          <w:spacing w:val="31"/>
        </w:rPr>
        <w:t xml:space="preserve"> </w:t>
      </w:r>
      <w:r>
        <w:t>turns</w:t>
      </w:r>
      <w:r>
        <w:rPr>
          <w:spacing w:val="30"/>
        </w:rPr>
        <w:t xml:space="preserve"> </w:t>
      </w:r>
      <w:r>
        <w:t>out</w:t>
      </w:r>
      <w:r>
        <w:rPr>
          <w:spacing w:val="30"/>
        </w:rPr>
        <w:t xml:space="preserve"> </w:t>
      </w:r>
      <w:r>
        <w:t>that</w:t>
      </w:r>
      <w:r>
        <w:rPr>
          <w:spacing w:val="30"/>
        </w:rPr>
        <w:t xml:space="preserve"> </w:t>
      </w:r>
      <w:r>
        <w:t>Smith</w:t>
      </w:r>
      <w:r>
        <w:rPr>
          <w:spacing w:val="30"/>
        </w:rPr>
        <w:t xml:space="preserve"> </w:t>
      </w:r>
      <w:r>
        <w:t>is</w:t>
      </w:r>
      <w:r>
        <w:rPr>
          <w:spacing w:val="31"/>
        </w:rPr>
        <w:t xml:space="preserve"> </w:t>
      </w:r>
      <w:r>
        <w:rPr>
          <w:spacing w:val="-2"/>
        </w:rPr>
        <w:t>using</w:t>
      </w:r>
    </w:p>
    <w:p w14:paraId="7E00201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1F" w14:textId="77777777" w:rsidR="009A58DB" w:rsidRDefault="00000000">
      <w:pPr>
        <w:pStyle w:val="BodyText"/>
        <w:spacing w:before="70" w:line="249" w:lineRule="auto"/>
        <w:ind w:right="360"/>
      </w:pPr>
      <w:r>
        <w:lastRenderedPageBreak/>
        <w:t xml:space="preserve">telekinetic powers to make the dice come up sixes. For, in </w:t>
      </w:r>
      <w:r>
        <w:rPr>
          <w:i/>
        </w:rPr>
        <w:t xml:space="preserve">that </w:t>
      </w:r>
      <w:r>
        <w:t>case, some deeply held convictions of ours have to be revised.</w:t>
      </w:r>
    </w:p>
    <w:p w14:paraId="7E002020" w14:textId="77777777" w:rsidR="009A58DB" w:rsidRDefault="00000000">
      <w:pPr>
        <w:pStyle w:val="BodyText"/>
        <w:spacing w:line="249" w:lineRule="auto"/>
        <w:ind w:right="359" w:firstLine="360"/>
      </w:pPr>
      <w:r>
        <w:t xml:space="preserve">In describing Smith’s rolling double-sixes five times in a row as “improbable,” what one is saying is very different from what one would be saying in describing Smith’s having telekinetic powers as “improbable.” In the first case, one is affirming a mere statistical improbability. One is saying only that such things don’t </w:t>
      </w:r>
      <w:r>
        <w:rPr>
          <w:i/>
        </w:rPr>
        <w:t>often</w:t>
      </w:r>
      <w:r>
        <w:rPr>
          <w:i/>
          <w:spacing w:val="-2"/>
        </w:rPr>
        <w:t xml:space="preserve"> </w:t>
      </w:r>
      <w:r>
        <w:t>happen. In the second case, one isn’t saying anything of the sort. One is saying Smith’s having such powers is</w:t>
      </w:r>
      <w:r>
        <w:rPr>
          <w:spacing w:val="40"/>
        </w:rPr>
        <w:t xml:space="preserve"> </w:t>
      </w:r>
      <w:r>
        <w:t>inconsistent with some fundamental beliefs of ours—with beliefs that, if jettisoned, would take a lot of other, obviously (or at least presumably) correct beliefs with them.</w:t>
      </w:r>
    </w:p>
    <w:p w14:paraId="7E002021" w14:textId="77777777" w:rsidR="009A58DB" w:rsidRDefault="00000000">
      <w:pPr>
        <w:pStyle w:val="BodyText"/>
        <w:spacing w:before="8" w:line="249" w:lineRule="auto"/>
        <w:ind w:right="358" w:firstLine="360"/>
      </w:pPr>
      <w:r>
        <w:t xml:space="preserve">Given </w:t>
      </w:r>
      <w:r>
        <w:rPr>
          <w:i/>
        </w:rPr>
        <w:t xml:space="preserve">any </w:t>
      </w:r>
      <w:r>
        <w:t>event, there is a way of describing it that makes it improbable</w:t>
      </w:r>
      <w:r>
        <w:rPr>
          <w:spacing w:val="40"/>
        </w:rPr>
        <w:t xml:space="preserve"> </w:t>
      </w:r>
      <w:r>
        <w:t>in</w:t>
      </w:r>
      <w:r>
        <w:rPr>
          <w:spacing w:val="-2"/>
        </w:rPr>
        <w:t xml:space="preserve"> </w:t>
      </w:r>
      <w:r>
        <w:t>the</w:t>
      </w:r>
      <w:r>
        <w:rPr>
          <w:spacing w:val="-3"/>
        </w:rPr>
        <w:t xml:space="preserve"> </w:t>
      </w:r>
      <w:r>
        <w:rPr>
          <w:i/>
        </w:rPr>
        <w:t>statistical</w:t>
      </w:r>
      <w:r>
        <w:rPr>
          <w:i/>
          <w:spacing w:val="-3"/>
        </w:rPr>
        <w:t xml:space="preserve"> </w:t>
      </w:r>
      <w:r>
        <w:t xml:space="preserve">sense. In fact, </w:t>
      </w:r>
      <w:r>
        <w:rPr>
          <w:i/>
        </w:rPr>
        <w:t>any</w:t>
      </w:r>
      <w:r>
        <w:rPr>
          <w:i/>
          <w:spacing w:val="-3"/>
        </w:rPr>
        <w:t xml:space="preserve"> </w:t>
      </w:r>
      <w:r>
        <w:t xml:space="preserve">given event, described at all precisely, has a statistical probability of vanishingly close to zero. I flip a coin. Nothing improbable about this. But it’s a safe bet that no coin has ever moved in </w:t>
      </w:r>
      <w:r>
        <w:rPr>
          <w:i/>
        </w:rPr>
        <w:t xml:space="preserve">exactly </w:t>
      </w:r>
      <w:r>
        <w:t>the way this one did after I flipped it. Described as a case of my flipping a coin, the event isn’t improbable at all. But that same event is extremely improbable if described as a case of an object’s moving in manner M, where M is the exact way that it did move. But even though nothing apart from that coin has ever moved in manner M, that coin’s doing so isn’t a matter that deserves the slightest scientific scrutiny. Its moving in that way is consistent with everything we know about the world, and there is therefore nothing</w:t>
      </w:r>
      <w:r>
        <w:rPr>
          <w:spacing w:val="-3"/>
        </w:rPr>
        <w:t xml:space="preserve"> </w:t>
      </w:r>
      <w:r>
        <w:t>to</w:t>
      </w:r>
      <w:r>
        <w:rPr>
          <w:spacing w:val="-3"/>
        </w:rPr>
        <w:t xml:space="preserve"> </w:t>
      </w:r>
      <w:r>
        <w:t>be</w:t>
      </w:r>
      <w:r>
        <w:rPr>
          <w:spacing w:val="-4"/>
        </w:rPr>
        <w:t xml:space="preserve"> </w:t>
      </w:r>
      <w:r>
        <w:t>explained.</w:t>
      </w:r>
      <w:r>
        <w:rPr>
          <w:spacing w:val="-3"/>
        </w:rPr>
        <w:t xml:space="preserve"> </w:t>
      </w:r>
      <w:r>
        <w:t>But</w:t>
      </w:r>
      <w:r>
        <w:rPr>
          <w:spacing w:val="-4"/>
        </w:rPr>
        <w:t xml:space="preserve"> </w:t>
      </w:r>
      <w:r>
        <w:rPr>
          <w:i/>
        </w:rPr>
        <w:t>there</w:t>
      </w:r>
      <w:r>
        <w:rPr>
          <w:i/>
          <w:spacing w:val="-4"/>
        </w:rPr>
        <w:t xml:space="preserve"> </w:t>
      </w:r>
      <w:r>
        <w:rPr>
          <w:i/>
        </w:rPr>
        <w:t>is</w:t>
      </w:r>
      <w:r>
        <w:rPr>
          <w:i/>
          <w:spacing w:val="-3"/>
        </w:rPr>
        <w:t xml:space="preserve"> </w:t>
      </w:r>
      <w:r>
        <w:t xml:space="preserve">something to be explained if Smith turns out to have telekinetic powers, since his having such powers is improbable in the </w:t>
      </w:r>
      <w:r>
        <w:rPr>
          <w:i/>
        </w:rPr>
        <w:t xml:space="preserve">explanatory </w:t>
      </w:r>
      <w:r>
        <w:t>sense. It’s irrelevant that it is also improbable in the</w:t>
      </w:r>
      <w:r>
        <w:rPr>
          <w:spacing w:val="40"/>
        </w:rPr>
        <w:t xml:space="preserve"> </w:t>
      </w:r>
      <w:r>
        <w:t xml:space="preserve">statistical sense. </w:t>
      </w:r>
      <w:r>
        <w:rPr>
          <w:i/>
        </w:rPr>
        <w:t xml:space="preserve">Every </w:t>
      </w:r>
      <w:r>
        <w:t>event is improbable in the statistical sense.</w:t>
      </w:r>
    </w:p>
    <w:p w14:paraId="7E002022" w14:textId="77777777" w:rsidR="009A58DB" w:rsidRDefault="00000000">
      <w:pPr>
        <w:pStyle w:val="BodyText"/>
        <w:spacing w:before="19" w:line="249" w:lineRule="auto"/>
        <w:ind w:right="365" w:firstLine="360"/>
      </w:pPr>
      <w:r>
        <w:t xml:space="preserve">My winning the lottery is improbable in the statistical sense, but not in the </w:t>
      </w:r>
      <w:r>
        <w:rPr>
          <w:i/>
        </w:rPr>
        <w:t>explanatory</w:t>
      </w:r>
      <w:r>
        <w:rPr>
          <w:i/>
          <w:spacing w:val="-4"/>
        </w:rPr>
        <w:t xml:space="preserve"> </w:t>
      </w:r>
      <w:r>
        <w:t xml:space="preserve">sense. And that’s why, before the winner is announced, we can’t say that we </w:t>
      </w:r>
      <w:r>
        <w:rPr>
          <w:i/>
        </w:rPr>
        <w:t xml:space="preserve">know </w:t>
      </w:r>
      <w:r>
        <w:t xml:space="preserve">it won’t win: my winning is consistent with everything we know about the world. My sprouting wings in the next 5 minutes is improbable in the </w:t>
      </w:r>
      <w:r>
        <w:rPr>
          <w:i/>
        </w:rPr>
        <w:t xml:space="preserve">explanatory </w:t>
      </w:r>
      <w:r>
        <w:t xml:space="preserve">sense. And that’s why we </w:t>
      </w:r>
      <w:r>
        <w:rPr>
          <w:i/>
        </w:rPr>
        <w:t xml:space="preserve">can </w:t>
      </w:r>
      <w:r>
        <w:t xml:space="preserve">say that we </w:t>
      </w:r>
      <w:r>
        <w:rPr>
          <w:i/>
        </w:rPr>
        <w:t>know</w:t>
      </w:r>
      <w:r>
        <w:rPr>
          <w:i/>
          <w:spacing w:val="-4"/>
        </w:rPr>
        <w:t xml:space="preserve"> </w:t>
      </w:r>
      <w:r>
        <w:t xml:space="preserve">it won’t happen. It’s </w:t>
      </w:r>
      <w:r>
        <w:rPr>
          <w:i/>
        </w:rPr>
        <w:t>in</w:t>
      </w:r>
      <w:r>
        <w:t>consistent with everything (or much, at any rate) that we know about the world.</w:t>
      </w:r>
    </w:p>
    <w:p w14:paraId="7E002023" w14:textId="77777777" w:rsidR="009A58DB" w:rsidRDefault="00000000">
      <w:pPr>
        <w:pStyle w:val="Heading1"/>
        <w:numPr>
          <w:ilvl w:val="1"/>
          <w:numId w:val="79"/>
        </w:numPr>
        <w:tabs>
          <w:tab w:val="left" w:pos="990"/>
        </w:tabs>
        <w:spacing w:before="196"/>
      </w:pPr>
      <w:r>
        <w:t>Grue:</w:t>
      </w:r>
      <w:r>
        <w:rPr>
          <w:spacing w:val="-6"/>
        </w:rPr>
        <w:t xml:space="preserve"> </w:t>
      </w:r>
      <w:r>
        <w:t>the</w:t>
      </w:r>
      <w:r>
        <w:rPr>
          <w:spacing w:val="-4"/>
        </w:rPr>
        <w:t xml:space="preserve"> </w:t>
      </w:r>
      <w:r>
        <w:t>problem</w:t>
      </w:r>
      <w:r>
        <w:rPr>
          <w:spacing w:val="-4"/>
        </w:rPr>
        <w:t xml:space="preserve"> </w:t>
      </w:r>
      <w:r>
        <w:t>of</w:t>
      </w:r>
      <w:r>
        <w:rPr>
          <w:spacing w:val="-3"/>
        </w:rPr>
        <w:t xml:space="preserve"> </w:t>
      </w:r>
      <w:r>
        <w:rPr>
          <w:spacing w:val="-2"/>
        </w:rPr>
        <w:t>counterinduction</w:t>
      </w:r>
    </w:p>
    <w:p w14:paraId="7E002024" w14:textId="77777777" w:rsidR="009A58DB" w:rsidRDefault="009A58DB">
      <w:pPr>
        <w:pStyle w:val="Heading1"/>
        <w:sectPr w:rsidR="009A58DB">
          <w:pgSz w:w="12240" w:h="15840"/>
          <w:pgMar w:top="1380" w:right="1080" w:bottom="280" w:left="1080" w:header="720" w:footer="720" w:gutter="0"/>
          <w:cols w:space="720"/>
        </w:sectPr>
      </w:pPr>
    </w:p>
    <w:p w14:paraId="7E002025" w14:textId="77777777" w:rsidR="009A58DB" w:rsidRDefault="00000000">
      <w:pPr>
        <w:pStyle w:val="BodyText"/>
        <w:spacing w:before="65" w:line="249" w:lineRule="auto"/>
        <w:ind w:right="365"/>
        <w:jc w:val="left"/>
      </w:pPr>
      <w:r>
        <w:lastRenderedPageBreak/>
        <w:t>A puzzle devised by Nelson Goodma</w:t>
      </w:r>
      <w:bookmarkStart w:id="448" w:name="_bookmark448"/>
      <w:bookmarkEnd w:id="448"/>
      <w:r>
        <w:t>n</w:t>
      </w:r>
      <w:r>
        <w:rPr>
          <w:color w:val="0562C1"/>
          <w:position w:val="21"/>
          <w:u w:val="single" w:color="0562C1"/>
        </w:rPr>
        <w:t>[330]</w:t>
      </w:r>
      <w:r>
        <w:rPr>
          <w:color w:val="0562C1"/>
          <w:position w:val="21"/>
        </w:rPr>
        <w:t xml:space="preserve"> </w:t>
      </w:r>
      <w:r>
        <w:t>will clarify, as well as support,</w:t>
      </w:r>
      <w:r>
        <w:rPr>
          <w:spacing w:val="40"/>
        </w:rPr>
        <w:t xml:space="preserve"> </w:t>
      </w:r>
      <w:r>
        <w:t>what we’ve said (“GA” is short for “Goodman’s argument”):</w:t>
      </w:r>
    </w:p>
    <w:p w14:paraId="7E002026" w14:textId="77777777" w:rsidR="009A58DB" w:rsidRDefault="00000000">
      <w:pPr>
        <w:pStyle w:val="BodyText"/>
        <w:spacing w:before="122" w:line="249" w:lineRule="auto"/>
        <w:ind w:left="720" w:right="719"/>
      </w:pPr>
      <w:r>
        <w:t>(GA): Let’s invent a new word: “grue,” to be defined as follows. Something is grue if it is green before Jan. 1, 2010, or blue thereafter. So a shirt that’s green on Oct. 12, 2007, is grue, as is a shirt that’s blue on Nov. 11, 2012. Let’s assume that, before Jan. 1. 2010, all emeralds have been green. (From now on, we’ll abbreviate “Jan. 1, 2010,” as “2010.”) In that case, all emeralds have been grue prior to 2010. Anything that is green-and-examined-before-2010 is also grue. So the fact that all emeralds examined before 2010 are green means that all emeralds examined before 2010 are grue. We are assuming for argument’s sake that, given the fact that all emeralds examined before 2010 were green, we are inductively warranted in believing that all emeralds examined after 2010 are green. By that logic, it follows that, given the fact that all emeralds examined before 2010 were grue, we</w:t>
      </w:r>
      <w:r>
        <w:rPr>
          <w:spacing w:val="40"/>
        </w:rPr>
        <w:t xml:space="preserve"> </w:t>
      </w:r>
      <w:r>
        <w:t xml:space="preserve">are inductively warranted in believing that all emeralds examined after 2010 are grue. But anything examined after 2010 that is grue is </w:t>
      </w:r>
      <w:r>
        <w:rPr>
          <w:i/>
        </w:rPr>
        <w:t xml:space="preserve">blue, </w:t>
      </w:r>
      <w:r>
        <w:t xml:space="preserve">not </w:t>
      </w:r>
      <w:r>
        <w:rPr>
          <w:i/>
        </w:rPr>
        <w:t xml:space="preserve">green. </w:t>
      </w:r>
      <w:r>
        <w:t xml:space="preserve">So, given that all emeralds before 2010 were green, our inductive grounds for believing they’ll be </w:t>
      </w:r>
      <w:r>
        <w:rPr>
          <w:i/>
        </w:rPr>
        <w:t xml:space="preserve">blue </w:t>
      </w:r>
      <w:r>
        <w:t>after 2010 are as strong as our grounds that they’ll be green.</w:t>
      </w:r>
    </w:p>
    <w:p w14:paraId="7E002027" w14:textId="77777777" w:rsidR="009A58DB" w:rsidRDefault="009A58DB">
      <w:pPr>
        <w:pStyle w:val="BodyText"/>
        <w:spacing w:before="37"/>
        <w:ind w:left="0"/>
        <w:jc w:val="left"/>
      </w:pPr>
    </w:p>
    <w:p w14:paraId="7E002028" w14:textId="77777777" w:rsidR="009A58DB" w:rsidRDefault="00000000">
      <w:pPr>
        <w:pStyle w:val="BodyText"/>
        <w:spacing w:line="249" w:lineRule="auto"/>
        <w:ind w:right="359" w:firstLine="360"/>
      </w:pPr>
      <w:r>
        <w:t xml:space="preserve">The degree to which a given fact is </w:t>
      </w:r>
      <w:r>
        <w:rPr>
          <w:i/>
        </w:rPr>
        <w:t xml:space="preserve">statistically </w:t>
      </w:r>
      <w:r>
        <w:t xml:space="preserve">improbable depends on how it is described. Given some emerald x that was examined before 2010 and found to be green, “x is grue after 2010” is, from a strictly </w:t>
      </w:r>
      <w:r>
        <w:rPr>
          <w:i/>
        </w:rPr>
        <w:t xml:space="preserve">statistical </w:t>
      </w:r>
      <w:r>
        <w:t>viewpoint, equiprobable with “x is green after 2010” and also with “x is blue after 2010.” But that’s no cause for alarm. Statistical improbability is innocuous. It’s explanatory improbability that you have to worry about. But the explanatory probability of “x is green after 2010” dwarfs that of “x is</w:t>
      </w:r>
      <w:r>
        <w:rPr>
          <w:spacing w:val="40"/>
        </w:rPr>
        <w:t xml:space="preserve"> </w:t>
      </w:r>
      <w:r>
        <w:t>grue after 2010” and, therefore, “x is blue after 2010.” The supposition that objects don’t change color (except under conditions that emeralds don’t satisfy, at least not in virtue of making it to 2010) is deeply embedded in scientific theory and also in the commonsense underpinning of scientific theory. If it’s wrong, then science is in serious trouble, and so is human knowledge in general.</w:t>
      </w:r>
    </w:p>
    <w:p w14:paraId="7E002029" w14:textId="77777777" w:rsidR="009A58DB" w:rsidRDefault="00000000">
      <w:pPr>
        <w:pStyle w:val="BodyText"/>
        <w:spacing w:before="16"/>
        <w:ind w:left="720"/>
      </w:pPr>
      <w:r>
        <w:t>In</w:t>
      </w:r>
      <w:r>
        <w:rPr>
          <w:spacing w:val="-3"/>
        </w:rPr>
        <w:t xml:space="preserve"> </w:t>
      </w:r>
      <w:r>
        <w:t>response</w:t>
      </w:r>
      <w:r>
        <w:rPr>
          <w:spacing w:val="-2"/>
        </w:rPr>
        <w:t xml:space="preserve"> </w:t>
      </w:r>
      <w:r>
        <w:t>to</w:t>
      </w:r>
      <w:r>
        <w:rPr>
          <w:spacing w:val="-3"/>
        </w:rPr>
        <w:t xml:space="preserve"> </w:t>
      </w:r>
      <w:r>
        <w:t>this,</w:t>
      </w:r>
      <w:r>
        <w:rPr>
          <w:spacing w:val="-2"/>
        </w:rPr>
        <w:t xml:space="preserve"> </w:t>
      </w:r>
      <w:r>
        <w:t>it</w:t>
      </w:r>
      <w:r>
        <w:rPr>
          <w:spacing w:val="-3"/>
        </w:rPr>
        <w:t xml:space="preserve"> </w:t>
      </w:r>
      <w:r>
        <w:t>will</w:t>
      </w:r>
      <w:r>
        <w:rPr>
          <w:spacing w:val="-2"/>
        </w:rPr>
        <w:t xml:space="preserve"> </w:t>
      </w:r>
      <w:r>
        <w:t>be</w:t>
      </w:r>
      <w:r>
        <w:rPr>
          <w:spacing w:val="-3"/>
        </w:rPr>
        <w:t xml:space="preserve"> </w:t>
      </w:r>
      <w:r>
        <w:t>said</w:t>
      </w:r>
      <w:r>
        <w:rPr>
          <w:spacing w:val="-2"/>
        </w:rPr>
        <w:t xml:space="preserve"> </w:t>
      </w:r>
      <w:r>
        <w:rPr>
          <w:spacing w:val="-4"/>
        </w:rPr>
        <w:t>that:</w:t>
      </w:r>
    </w:p>
    <w:p w14:paraId="7E00202A" w14:textId="77777777" w:rsidR="009A58DB" w:rsidRDefault="009A58DB">
      <w:pPr>
        <w:pStyle w:val="BodyText"/>
        <w:sectPr w:rsidR="009A58DB">
          <w:pgSz w:w="12240" w:h="15840"/>
          <w:pgMar w:top="1380" w:right="1080" w:bottom="280" w:left="1080" w:header="720" w:footer="720" w:gutter="0"/>
          <w:cols w:space="720"/>
        </w:sectPr>
      </w:pPr>
    </w:p>
    <w:p w14:paraId="7E00202B" w14:textId="77777777" w:rsidR="009A58DB" w:rsidRDefault="00000000">
      <w:pPr>
        <w:pStyle w:val="BodyText"/>
        <w:spacing w:before="65" w:line="249" w:lineRule="auto"/>
        <w:ind w:left="720" w:right="719"/>
      </w:pPr>
      <w:r>
        <w:lastRenderedPageBreak/>
        <w:t xml:space="preserve">If GA is right, emeralds that “turn blue” at the beginning of 2010 </w:t>
      </w:r>
      <w:r>
        <w:rPr>
          <w:i/>
        </w:rPr>
        <w:t xml:space="preserve">don’t </w:t>
      </w:r>
      <w:r>
        <w:t xml:space="preserve">change color. They stay the </w:t>
      </w:r>
      <w:r>
        <w:rPr>
          <w:i/>
        </w:rPr>
        <w:t>same</w:t>
      </w:r>
      <w:r>
        <w:rPr>
          <w:i/>
          <w:spacing w:val="-5"/>
        </w:rPr>
        <w:t xml:space="preserve"> </w:t>
      </w:r>
      <w:r>
        <w:rPr>
          <w:i/>
        </w:rPr>
        <w:t>color</w:t>
      </w:r>
      <w:r>
        <w:t xml:space="preserve">—grue. And emeralds that “stay green” </w:t>
      </w:r>
      <w:r>
        <w:rPr>
          <w:i/>
        </w:rPr>
        <w:t xml:space="preserve">do </w:t>
      </w:r>
      <w:r>
        <w:t xml:space="preserve">change color, since they go from being grue to having some other color. (Or, to be more precise, emeralds </w:t>
      </w:r>
      <w:r>
        <w:rPr>
          <w:i/>
        </w:rPr>
        <w:t xml:space="preserve">do </w:t>
      </w:r>
      <w:r>
        <w:t xml:space="preserve">change color at the beginning of 2010—but only </w:t>
      </w:r>
      <w:r>
        <w:rPr>
          <w:i/>
        </w:rPr>
        <w:t xml:space="preserve">relative </w:t>
      </w:r>
      <w:r>
        <w:t xml:space="preserve">to what one set of color-terms, these being green, red, etc. But emeralds stay the same color </w:t>
      </w:r>
      <w:r>
        <w:rPr>
          <w:i/>
        </w:rPr>
        <w:t>relative</w:t>
      </w:r>
      <w:r>
        <w:rPr>
          <w:i/>
          <w:spacing w:val="-3"/>
        </w:rPr>
        <w:t xml:space="preserve"> </w:t>
      </w:r>
      <w:r>
        <w:t>to different color terms—grue, bleen, etc.)</w:t>
      </w:r>
    </w:p>
    <w:p w14:paraId="7E00202C" w14:textId="77777777" w:rsidR="009A58DB" w:rsidRDefault="00000000">
      <w:pPr>
        <w:pStyle w:val="BodyText"/>
        <w:spacing w:before="113" w:line="249" w:lineRule="auto"/>
        <w:ind w:right="358" w:firstLine="360"/>
      </w:pPr>
      <w:r>
        <w:t xml:space="preserve">This isn’t true. Pictures of green emeralds (taken before 2010) show them </w:t>
      </w:r>
      <w:r>
        <w:rPr>
          <w:i/>
        </w:rPr>
        <w:t>not</w:t>
      </w:r>
      <w:r>
        <w:rPr>
          <w:i/>
          <w:spacing w:val="-3"/>
        </w:rPr>
        <w:t xml:space="preserve"> </w:t>
      </w:r>
      <w:r>
        <w:t xml:space="preserve">to have the same color as blue things after 2010. Grueness and greenness are different </w:t>
      </w:r>
      <w:r>
        <w:rPr>
          <w:i/>
        </w:rPr>
        <w:t xml:space="preserve">properties. </w:t>
      </w:r>
      <w:r>
        <w:t xml:space="preserve">But they’re not different </w:t>
      </w:r>
      <w:r>
        <w:rPr>
          <w:i/>
        </w:rPr>
        <w:t>colors</w:t>
      </w:r>
      <w:r>
        <w:t>. Grueness isn’t a color at all—it’s a color-</w:t>
      </w:r>
      <w:r>
        <w:rPr>
          <w:i/>
        </w:rPr>
        <w:t xml:space="preserve">related </w:t>
      </w:r>
      <w:r>
        <w:t>property. Let’s say that x is a “squiangle” (rhymes with “triangle”) if it’s square-shaped before 2010 and triangle-shaped thereafter. If, for some reason, some object that was square before 2010 suddenly becomes a triangle, it’s obviously changed shape. It used to have four sides. Now it has three. And a “squiangular” object that is square-shaped</w:t>
      </w:r>
      <w:r>
        <w:rPr>
          <w:spacing w:val="-4"/>
        </w:rPr>
        <w:t xml:space="preserve"> </w:t>
      </w:r>
      <w:r>
        <w:rPr>
          <w:i/>
        </w:rPr>
        <w:t>after</w:t>
      </w:r>
      <w:r>
        <w:rPr>
          <w:i/>
          <w:spacing w:val="-4"/>
        </w:rPr>
        <w:t xml:space="preserve"> </w:t>
      </w:r>
      <w:r>
        <w:t>2010</w:t>
      </w:r>
      <w:r>
        <w:rPr>
          <w:spacing w:val="-3"/>
        </w:rPr>
        <w:t xml:space="preserve"> </w:t>
      </w:r>
      <w:r>
        <w:t>has</w:t>
      </w:r>
      <w:r>
        <w:rPr>
          <w:spacing w:val="-4"/>
        </w:rPr>
        <w:t xml:space="preserve"> </w:t>
      </w:r>
      <w:r>
        <w:t>started—in</w:t>
      </w:r>
      <w:r>
        <w:rPr>
          <w:spacing w:val="-3"/>
        </w:rPr>
        <w:t xml:space="preserve"> </w:t>
      </w:r>
      <w:r>
        <w:t>other</w:t>
      </w:r>
      <w:r>
        <w:rPr>
          <w:spacing w:val="-4"/>
        </w:rPr>
        <w:t xml:space="preserve"> </w:t>
      </w:r>
      <w:r>
        <w:t>words,</w:t>
      </w:r>
      <w:r>
        <w:rPr>
          <w:spacing w:val="-3"/>
        </w:rPr>
        <w:t xml:space="preserve"> </w:t>
      </w:r>
      <w:r>
        <w:t>an</w:t>
      </w:r>
      <w:r>
        <w:rPr>
          <w:spacing w:val="-3"/>
        </w:rPr>
        <w:t xml:space="preserve"> </w:t>
      </w:r>
      <w:r>
        <w:t>object</w:t>
      </w:r>
      <w:r>
        <w:rPr>
          <w:spacing w:val="-4"/>
        </w:rPr>
        <w:t xml:space="preserve"> </w:t>
      </w:r>
      <w:r>
        <w:t>that</w:t>
      </w:r>
      <w:r>
        <w:rPr>
          <w:spacing w:val="-4"/>
        </w:rPr>
        <w:t xml:space="preserve"> </w:t>
      </w:r>
      <w:r>
        <w:t>had</w:t>
      </w:r>
      <w:r>
        <w:rPr>
          <w:spacing w:val="-3"/>
        </w:rPr>
        <w:t xml:space="preserve"> </w:t>
      </w:r>
      <w:r>
        <w:t>four</w:t>
      </w:r>
      <w:r>
        <w:rPr>
          <w:spacing w:val="-4"/>
        </w:rPr>
        <w:t xml:space="preserve"> </w:t>
      </w:r>
      <w:r>
        <w:t xml:space="preserve">straight sides, etc., before 2010, and continued to have that shape—hasn’t </w:t>
      </w:r>
      <w:r>
        <w:rPr>
          <w:i/>
        </w:rPr>
        <w:t xml:space="preserve">changed </w:t>
      </w:r>
      <w:r>
        <w:t>shape; it hasn’t gone from being a “squiangle” to being a square. It’s stayed the same shape. The same goes for “grue.”</w:t>
      </w:r>
    </w:p>
    <w:p w14:paraId="7E00202D" w14:textId="77777777" w:rsidR="009A58DB" w:rsidRDefault="00000000">
      <w:pPr>
        <w:pStyle w:val="Heading1"/>
        <w:numPr>
          <w:ilvl w:val="1"/>
          <w:numId w:val="79"/>
        </w:numPr>
        <w:tabs>
          <w:tab w:val="left" w:pos="990"/>
        </w:tabs>
      </w:pPr>
      <w:r>
        <w:t>Scientific</w:t>
      </w:r>
      <w:r>
        <w:rPr>
          <w:spacing w:val="-11"/>
        </w:rPr>
        <w:t xml:space="preserve"> </w:t>
      </w:r>
      <w:r>
        <w:t>explanation:</w:t>
      </w:r>
      <w:r>
        <w:rPr>
          <w:spacing w:val="-9"/>
        </w:rPr>
        <w:t xml:space="preserve"> </w:t>
      </w:r>
      <w:r>
        <w:t>Hempel’s</w:t>
      </w:r>
      <w:r>
        <w:rPr>
          <w:spacing w:val="-8"/>
        </w:rPr>
        <w:t xml:space="preserve"> </w:t>
      </w:r>
      <w:r>
        <w:rPr>
          <w:spacing w:val="-2"/>
        </w:rPr>
        <w:t>theory</w:t>
      </w:r>
    </w:p>
    <w:p w14:paraId="7E00202E" w14:textId="77777777" w:rsidR="009A58DB" w:rsidRDefault="00000000">
      <w:pPr>
        <w:pStyle w:val="BodyText"/>
        <w:spacing w:before="139" w:line="249" w:lineRule="auto"/>
        <w:ind w:right="359"/>
      </w:pPr>
      <w:r>
        <w:t>Let us now turn our attention to Carl Hempel’s important theory as to the nature</w:t>
      </w:r>
      <w:r>
        <w:rPr>
          <w:spacing w:val="-2"/>
        </w:rPr>
        <w:t xml:space="preserve"> </w:t>
      </w:r>
      <w:r>
        <w:t>of scientific explanation.</w:t>
      </w:r>
      <w:bookmarkStart w:id="449" w:name="_bookmark449"/>
      <w:bookmarkEnd w:id="449"/>
      <w:r>
        <w:rPr>
          <w:color w:val="0562C1"/>
          <w:position w:val="21"/>
          <w:u w:val="single" w:color="0562C1"/>
        </w:rPr>
        <w:t>[331]</w:t>
      </w:r>
      <w:r>
        <w:rPr>
          <w:color w:val="0562C1"/>
          <w:spacing w:val="-19"/>
          <w:position w:val="21"/>
        </w:rPr>
        <w:t xml:space="preserve"> </w:t>
      </w:r>
      <w:r>
        <w:t>Hempel’s theory is important because it is the clearest, purest expression of the Humean conviction that all</w:t>
      </w:r>
      <w:r>
        <w:rPr>
          <w:spacing w:val="40"/>
        </w:rPr>
        <w:t xml:space="preserve"> </w:t>
      </w:r>
      <w:r>
        <w:t>probability is statistical probability and also because of the consequent fact that, given the enormously powerful hold of Humean ideas on</w:t>
      </w:r>
      <w:r>
        <w:rPr>
          <w:spacing w:val="40"/>
        </w:rPr>
        <w:t xml:space="preserve"> </w:t>
      </w:r>
      <w:r>
        <w:t xml:space="preserve">methodological thought, all theories of explanation can be understood in terms of Hempel’s theory—either as versions of it or as reactions </w:t>
      </w:r>
      <w:r>
        <w:rPr>
          <w:i/>
        </w:rPr>
        <w:t xml:space="preserve">to </w:t>
      </w:r>
      <w:r>
        <w:t xml:space="preserve">it. Hempel’s theory is known as the “deductive nomological” account of </w:t>
      </w:r>
      <w:r>
        <w:rPr>
          <w:spacing w:val="-2"/>
        </w:rPr>
        <w:t>explanation:</w:t>
      </w:r>
    </w:p>
    <w:p w14:paraId="7E00202F" w14:textId="77777777" w:rsidR="009A58DB" w:rsidRDefault="00000000">
      <w:pPr>
        <w:pStyle w:val="BodyText"/>
        <w:spacing w:before="116" w:line="249" w:lineRule="auto"/>
        <w:ind w:left="720" w:right="720"/>
        <w:rPr>
          <w:position w:val="21"/>
        </w:rPr>
      </w:pPr>
      <w:r>
        <w:t>(DN) To explain an event E is to show that its occurrence is a logical consequence of the statement formed by conjoining statements describing known natural laws with statements describing the conditions under which E occurred.</w:t>
      </w:r>
      <w:bookmarkStart w:id="450" w:name="_bookmark450"/>
      <w:bookmarkEnd w:id="450"/>
      <w:r>
        <w:rPr>
          <w:color w:val="0562C1"/>
          <w:position w:val="21"/>
          <w:u w:val="single" w:color="0562C1"/>
        </w:rPr>
        <w:t>[332]</w:t>
      </w:r>
    </w:p>
    <w:p w14:paraId="7E002030" w14:textId="77777777" w:rsidR="009A58DB" w:rsidRDefault="009A58DB">
      <w:pPr>
        <w:pStyle w:val="BodyText"/>
        <w:spacing w:line="249" w:lineRule="auto"/>
        <w:rPr>
          <w:position w:val="21"/>
        </w:rPr>
        <w:sectPr w:rsidR="009A58DB">
          <w:pgSz w:w="12240" w:h="15840"/>
          <w:pgMar w:top="1380" w:right="1080" w:bottom="280" w:left="1080" w:header="720" w:footer="720" w:gutter="0"/>
          <w:cols w:space="720"/>
        </w:sectPr>
      </w:pPr>
    </w:p>
    <w:p w14:paraId="7E002031" w14:textId="77777777" w:rsidR="009A58DB" w:rsidRDefault="00000000">
      <w:pPr>
        <w:pStyle w:val="BodyText"/>
        <w:spacing w:before="65" w:line="249" w:lineRule="auto"/>
        <w:ind w:right="358" w:firstLine="360"/>
      </w:pPr>
      <w:r>
        <w:lastRenderedPageBreak/>
        <w:t>I drop an otherwise unsupported object. The laws of physics being what they are, the object must fall, given the circumstances. And to explain that event is to identify known natural laws that, when conjoined with a correct description of the circumstances, entail that the object will fall.</w:t>
      </w:r>
    </w:p>
    <w:p w14:paraId="7E002032" w14:textId="77777777" w:rsidR="009A58DB" w:rsidRDefault="00000000">
      <w:pPr>
        <w:pStyle w:val="Heading1"/>
        <w:numPr>
          <w:ilvl w:val="2"/>
          <w:numId w:val="79"/>
        </w:numPr>
        <w:tabs>
          <w:tab w:val="left" w:pos="1305"/>
        </w:tabs>
        <w:spacing w:before="193"/>
      </w:pPr>
      <w:r>
        <w:t>Hempel’s</w:t>
      </w:r>
      <w:r>
        <w:rPr>
          <w:spacing w:val="-7"/>
        </w:rPr>
        <w:t xml:space="preserve"> </w:t>
      </w:r>
      <w:r>
        <w:t>analysis</w:t>
      </w:r>
      <w:r>
        <w:rPr>
          <w:spacing w:val="-6"/>
        </w:rPr>
        <w:t xml:space="preserve"> </w:t>
      </w:r>
      <w:r>
        <w:rPr>
          <w:spacing w:val="-2"/>
        </w:rPr>
        <w:t>evaluated</w:t>
      </w:r>
    </w:p>
    <w:p w14:paraId="7E002033" w14:textId="77777777" w:rsidR="009A58DB" w:rsidRDefault="00000000">
      <w:pPr>
        <w:pStyle w:val="BodyText"/>
        <w:spacing w:before="139" w:line="249" w:lineRule="auto"/>
        <w:ind w:right="359"/>
      </w:pPr>
      <w:r>
        <w:t xml:space="preserve">What is meant by the term “law”? The most obvious answer is that a law is what is described by </w:t>
      </w:r>
      <w:r>
        <w:rPr>
          <w:i/>
        </w:rPr>
        <w:t xml:space="preserve">any </w:t>
      </w:r>
      <w:r>
        <w:t>true universal generalization—that is, by any statement of the form “all phi’s are psi’s.” (As we’ll see in a moment, this is not the answer that Hempel gives. But the problems with the answer that Hempel does give are to be understood in terms of the problems with this answer.) If the word “law” is taken in this way, DN has the consequence that the following counts as an “explanation” of the fact that the pencil on my desk is yellow (“NE” is short for “non-explanation”):</w:t>
      </w:r>
    </w:p>
    <w:p w14:paraId="7E002034" w14:textId="77777777" w:rsidR="009A58DB" w:rsidRDefault="009A58DB">
      <w:pPr>
        <w:pStyle w:val="BodyText"/>
        <w:spacing w:before="129"/>
        <w:ind w:left="0"/>
        <w:jc w:val="left"/>
      </w:pPr>
    </w:p>
    <w:p w14:paraId="7E002035" w14:textId="77777777" w:rsidR="009A58DB" w:rsidRDefault="00000000">
      <w:pPr>
        <w:pStyle w:val="BodyText"/>
        <w:spacing w:line="249" w:lineRule="auto"/>
        <w:ind w:left="1230" w:right="1229"/>
      </w:pPr>
      <w:r>
        <w:t>Premise #1 (description of the relevant natural law): Everything is such that it’s either yellow or it isn’t a pencil on JMK’s desk.</w:t>
      </w:r>
    </w:p>
    <w:p w14:paraId="7E002036" w14:textId="77777777" w:rsidR="009A58DB" w:rsidRDefault="00000000">
      <w:pPr>
        <w:pStyle w:val="BodyText"/>
        <w:spacing w:before="109" w:line="249" w:lineRule="auto"/>
        <w:ind w:left="1230" w:right="1232"/>
      </w:pPr>
      <w:r>
        <w:t>Premise #2 (description of initial conditions): x is a pencil on JMK’s desk.</w:t>
      </w:r>
    </w:p>
    <w:p w14:paraId="7E002037" w14:textId="77777777" w:rsidR="009A58DB" w:rsidRDefault="00000000">
      <w:pPr>
        <w:pStyle w:val="BodyText"/>
        <w:spacing w:before="93"/>
        <w:ind w:left="1230"/>
      </w:pPr>
      <w:r>
        <w:t>Conclusion</w:t>
      </w:r>
      <w:r>
        <w:rPr>
          <w:spacing w:val="-5"/>
        </w:rPr>
        <w:t xml:space="preserve"> </w:t>
      </w:r>
      <w:r>
        <w:t>(thing</w:t>
      </w:r>
      <w:r>
        <w:rPr>
          <w:spacing w:val="-3"/>
        </w:rPr>
        <w:t xml:space="preserve"> </w:t>
      </w:r>
      <w:r>
        <w:t>being</w:t>
      </w:r>
      <w:r>
        <w:rPr>
          <w:spacing w:val="-3"/>
        </w:rPr>
        <w:t xml:space="preserve"> </w:t>
      </w:r>
      <w:r>
        <w:t>explained):</w:t>
      </w:r>
      <w:r>
        <w:rPr>
          <w:spacing w:val="-4"/>
        </w:rPr>
        <w:t xml:space="preserve"> </w:t>
      </w:r>
      <w:r>
        <w:t>x</w:t>
      </w:r>
      <w:r>
        <w:rPr>
          <w:spacing w:val="-3"/>
        </w:rPr>
        <w:t xml:space="preserve"> </w:t>
      </w:r>
      <w:r>
        <w:t>is</w:t>
      </w:r>
      <w:r>
        <w:rPr>
          <w:spacing w:val="-3"/>
        </w:rPr>
        <w:t xml:space="preserve"> </w:t>
      </w:r>
      <w:r>
        <w:rPr>
          <w:spacing w:val="-2"/>
        </w:rPr>
        <w:t>yellow.</w:t>
      </w:r>
    </w:p>
    <w:p w14:paraId="7E002038" w14:textId="77777777" w:rsidR="009A58DB" w:rsidRDefault="009A58DB">
      <w:pPr>
        <w:pStyle w:val="BodyText"/>
        <w:spacing w:before="239"/>
        <w:ind w:left="0"/>
        <w:jc w:val="left"/>
      </w:pPr>
    </w:p>
    <w:p w14:paraId="7E002039" w14:textId="77777777" w:rsidR="009A58DB" w:rsidRDefault="00000000">
      <w:pPr>
        <w:pStyle w:val="BodyText"/>
        <w:spacing w:before="1" w:line="249" w:lineRule="auto"/>
        <w:ind w:right="367"/>
      </w:pPr>
      <w:r>
        <w:t>But NE isn’t an explanation of the fact that my pencil is yellow. The</w:t>
      </w:r>
      <w:r>
        <w:rPr>
          <w:spacing w:val="40"/>
        </w:rPr>
        <w:t xml:space="preserve"> </w:t>
      </w:r>
      <w:r>
        <w:t>problem, of course, is tha</w:t>
      </w:r>
      <w:bookmarkStart w:id="451" w:name="_bookmark451"/>
      <w:bookmarkEnd w:id="451"/>
      <w:r>
        <w:t>t</w:t>
      </w:r>
      <w:r>
        <w:rPr>
          <w:color w:val="0562C1"/>
          <w:position w:val="21"/>
          <w:u w:val="single" w:color="0562C1"/>
        </w:rPr>
        <w:t>[333]</w:t>
      </w:r>
      <w:r>
        <w:t>:</w:t>
      </w:r>
    </w:p>
    <w:p w14:paraId="7E00203A" w14:textId="77777777" w:rsidR="009A58DB" w:rsidRDefault="00000000">
      <w:pPr>
        <w:pStyle w:val="BodyText"/>
        <w:spacing w:before="92" w:line="249" w:lineRule="auto"/>
        <w:jc w:val="left"/>
      </w:pPr>
      <w:r>
        <w:t>(YP)</w:t>
      </w:r>
      <w:r>
        <w:rPr>
          <w:spacing w:val="26"/>
        </w:rPr>
        <w:t xml:space="preserve"> </w:t>
      </w:r>
      <w:r>
        <w:t>everything</w:t>
      </w:r>
      <w:r>
        <w:rPr>
          <w:spacing w:val="27"/>
        </w:rPr>
        <w:t xml:space="preserve"> </w:t>
      </w:r>
      <w:r>
        <w:t>is</w:t>
      </w:r>
      <w:r>
        <w:rPr>
          <w:spacing w:val="26"/>
        </w:rPr>
        <w:t xml:space="preserve"> </w:t>
      </w:r>
      <w:r>
        <w:t>such</w:t>
      </w:r>
      <w:r>
        <w:rPr>
          <w:spacing w:val="27"/>
        </w:rPr>
        <w:t xml:space="preserve"> </w:t>
      </w:r>
      <w:r>
        <w:t>that</w:t>
      </w:r>
      <w:r>
        <w:rPr>
          <w:spacing w:val="26"/>
        </w:rPr>
        <w:t xml:space="preserve"> </w:t>
      </w:r>
      <w:r>
        <w:t>it’s</w:t>
      </w:r>
      <w:r>
        <w:rPr>
          <w:spacing w:val="26"/>
        </w:rPr>
        <w:t xml:space="preserve"> </w:t>
      </w:r>
      <w:r>
        <w:t>either</w:t>
      </w:r>
      <w:r>
        <w:rPr>
          <w:spacing w:val="26"/>
        </w:rPr>
        <w:t xml:space="preserve"> </w:t>
      </w:r>
      <w:r>
        <w:t>yellow</w:t>
      </w:r>
      <w:r>
        <w:rPr>
          <w:spacing w:val="26"/>
        </w:rPr>
        <w:t xml:space="preserve"> </w:t>
      </w:r>
      <w:r>
        <w:t>or</w:t>
      </w:r>
      <w:r>
        <w:rPr>
          <w:spacing w:val="26"/>
        </w:rPr>
        <w:t xml:space="preserve"> </w:t>
      </w:r>
      <w:r>
        <w:t>it</w:t>
      </w:r>
      <w:r>
        <w:rPr>
          <w:spacing w:val="26"/>
        </w:rPr>
        <w:t xml:space="preserve"> </w:t>
      </w:r>
      <w:r>
        <w:t>isn’t</w:t>
      </w:r>
      <w:r>
        <w:rPr>
          <w:spacing w:val="26"/>
        </w:rPr>
        <w:t xml:space="preserve"> </w:t>
      </w:r>
      <w:r>
        <w:t>a</w:t>
      </w:r>
      <w:r>
        <w:rPr>
          <w:spacing w:val="26"/>
        </w:rPr>
        <w:t xml:space="preserve"> </w:t>
      </w:r>
      <w:r>
        <w:t>pencil</w:t>
      </w:r>
      <w:r>
        <w:rPr>
          <w:spacing w:val="26"/>
        </w:rPr>
        <w:t xml:space="preserve"> </w:t>
      </w:r>
      <w:r>
        <w:t>on</w:t>
      </w:r>
      <w:r>
        <w:rPr>
          <w:spacing w:val="27"/>
        </w:rPr>
        <w:t xml:space="preserve"> </w:t>
      </w:r>
      <w:r>
        <w:t xml:space="preserve">JMK’s </w:t>
      </w:r>
      <w:r>
        <w:rPr>
          <w:spacing w:val="-4"/>
        </w:rPr>
        <w:t>desk</w:t>
      </w:r>
    </w:p>
    <w:p w14:paraId="7E00203B" w14:textId="77777777" w:rsidR="009A58DB" w:rsidRDefault="00000000">
      <w:pPr>
        <w:pStyle w:val="BodyText"/>
        <w:spacing w:before="108"/>
        <w:jc w:val="left"/>
      </w:pPr>
      <w:r>
        <w:t>doesn’t</w:t>
      </w:r>
      <w:r>
        <w:rPr>
          <w:spacing w:val="-6"/>
        </w:rPr>
        <w:t xml:space="preserve"> </w:t>
      </w:r>
      <w:r>
        <w:t>express</w:t>
      </w:r>
      <w:r>
        <w:rPr>
          <w:spacing w:val="-3"/>
        </w:rPr>
        <w:t xml:space="preserve"> </w:t>
      </w:r>
      <w:r>
        <w:t>a</w:t>
      </w:r>
      <w:r>
        <w:rPr>
          <w:spacing w:val="-3"/>
        </w:rPr>
        <w:t xml:space="preserve"> </w:t>
      </w:r>
      <w:r>
        <w:t>natural</w:t>
      </w:r>
      <w:r>
        <w:rPr>
          <w:spacing w:val="-4"/>
        </w:rPr>
        <w:t xml:space="preserve"> </w:t>
      </w:r>
      <w:r>
        <w:t>law.</w:t>
      </w:r>
      <w:r>
        <w:rPr>
          <w:spacing w:val="-2"/>
        </w:rPr>
        <w:t xml:space="preserve"> </w:t>
      </w:r>
      <w:r>
        <w:t>But</w:t>
      </w:r>
      <w:r>
        <w:rPr>
          <w:spacing w:val="-3"/>
        </w:rPr>
        <w:t xml:space="preserve"> </w:t>
      </w:r>
      <w:r>
        <w:t>why</w:t>
      </w:r>
      <w:r>
        <w:rPr>
          <w:spacing w:val="-2"/>
        </w:rPr>
        <w:t xml:space="preserve"> </w:t>
      </w:r>
      <w:r>
        <w:rPr>
          <w:spacing w:val="-4"/>
        </w:rPr>
        <w:t>not?</w:t>
      </w:r>
    </w:p>
    <w:p w14:paraId="7E00203C" w14:textId="77777777" w:rsidR="009A58DB" w:rsidRDefault="00000000">
      <w:pPr>
        <w:spacing w:before="15" w:line="324" w:lineRule="auto"/>
        <w:ind w:left="360" w:firstLine="360"/>
        <w:rPr>
          <w:sz w:val="30"/>
        </w:rPr>
      </w:pPr>
      <w:r>
        <w:rPr>
          <w:sz w:val="30"/>
        </w:rPr>
        <w:t>Because,</w:t>
      </w:r>
      <w:r>
        <w:rPr>
          <w:spacing w:val="-5"/>
          <w:sz w:val="30"/>
        </w:rPr>
        <w:t xml:space="preserve"> </w:t>
      </w:r>
      <w:r>
        <w:rPr>
          <w:sz w:val="30"/>
        </w:rPr>
        <w:t>says</w:t>
      </w:r>
      <w:r>
        <w:rPr>
          <w:spacing w:val="-6"/>
          <w:sz w:val="30"/>
        </w:rPr>
        <w:t xml:space="preserve"> </w:t>
      </w:r>
      <w:r>
        <w:rPr>
          <w:sz w:val="30"/>
        </w:rPr>
        <w:t>Hempel,</w:t>
      </w:r>
      <w:r>
        <w:rPr>
          <w:spacing w:val="-5"/>
          <w:sz w:val="30"/>
        </w:rPr>
        <w:t xml:space="preserve"> </w:t>
      </w:r>
      <w:r>
        <w:rPr>
          <w:sz w:val="30"/>
        </w:rPr>
        <w:t>it</w:t>
      </w:r>
      <w:r>
        <w:rPr>
          <w:spacing w:val="-6"/>
          <w:sz w:val="30"/>
        </w:rPr>
        <w:t xml:space="preserve"> </w:t>
      </w:r>
      <w:r>
        <w:rPr>
          <w:i/>
          <w:sz w:val="30"/>
        </w:rPr>
        <w:t>doesn’t</w:t>
      </w:r>
      <w:r>
        <w:rPr>
          <w:i/>
          <w:spacing w:val="-6"/>
          <w:sz w:val="30"/>
        </w:rPr>
        <w:t xml:space="preserve"> </w:t>
      </w:r>
      <w:r>
        <w:rPr>
          <w:i/>
          <w:sz w:val="30"/>
        </w:rPr>
        <w:t>support</w:t>
      </w:r>
      <w:r>
        <w:rPr>
          <w:i/>
          <w:spacing w:val="-6"/>
          <w:sz w:val="30"/>
        </w:rPr>
        <w:t xml:space="preserve"> </w:t>
      </w:r>
      <w:r>
        <w:rPr>
          <w:i/>
          <w:sz w:val="30"/>
        </w:rPr>
        <w:t>counterfactuals.</w:t>
      </w:r>
      <w:r>
        <w:rPr>
          <w:i/>
          <w:spacing w:val="-5"/>
          <w:sz w:val="30"/>
        </w:rPr>
        <w:t xml:space="preserve"> </w:t>
      </w:r>
      <w:r>
        <w:rPr>
          <w:sz w:val="30"/>
        </w:rPr>
        <w:t>The</w:t>
      </w:r>
      <w:r>
        <w:rPr>
          <w:spacing w:val="-6"/>
          <w:sz w:val="30"/>
        </w:rPr>
        <w:t xml:space="preserve"> </w:t>
      </w:r>
      <w:r>
        <w:rPr>
          <w:sz w:val="30"/>
        </w:rPr>
        <w:t>statement: (ME) metal expands when heated</w:t>
      </w:r>
    </w:p>
    <w:p w14:paraId="7E00203D" w14:textId="77777777" w:rsidR="009A58DB" w:rsidRDefault="00000000">
      <w:pPr>
        <w:pStyle w:val="BodyText"/>
        <w:spacing w:line="329" w:lineRule="exact"/>
        <w:jc w:val="left"/>
      </w:pPr>
      <w:r>
        <w:t>expresses</w:t>
      </w:r>
      <w:r>
        <w:rPr>
          <w:spacing w:val="42"/>
        </w:rPr>
        <w:t xml:space="preserve"> </w:t>
      </w:r>
      <w:r>
        <w:t>a</w:t>
      </w:r>
      <w:r>
        <w:rPr>
          <w:spacing w:val="44"/>
        </w:rPr>
        <w:t xml:space="preserve"> </w:t>
      </w:r>
      <w:r>
        <w:t>law</w:t>
      </w:r>
      <w:r>
        <w:rPr>
          <w:spacing w:val="44"/>
        </w:rPr>
        <w:t xml:space="preserve"> </w:t>
      </w:r>
      <w:r>
        <w:t>of</w:t>
      </w:r>
      <w:r>
        <w:rPr>
          <w:spacing w:val="44"/>
        </w:rPr>
        <w:t xml:space="preserve"> </w:t>
      </w:r>
      <w:r>
        <w:t>nature</w:t>
      </w:r>
      <w:r>
        <w:rPr>
          <w:spacing w:val="43"/>
        </w:rPr>
        <w:t xml:space="preserve"> </w:t>
      </w:r>
      <w:r>
        <w:t>because</w:t>
      </w:r>
      <w:r>
        <w:rPr>
          <w:spacing w:val="44"/>
        </w:rPr>
        <w:t xml:space="preserve"> </w:t>
      </w:r>
      <w:r>
        <w:t>a</w:t>
      </w:r>
      <w:r>
        <w:rPr>
          <w:spacing w:val="44"/>
        </w:rPr>
        <w:t xml:space="preserve"> </w:t>
      </w:r>
      <w:r>
        <w:t>piece</w:t>
      </w:r>
      <w:r>
        <w:rPr>
          <w:spacing w:val="44"/>
        </w:rPr>
        <w:t xml:space="preserve"> </w:t>
      </w:r>
      <w:r>
        <w:t>of</w:t>
      </w:r>
      <w:r>
        <w:rPr>
          <w:spacing w:val="43"/>
        </w:rPr>
        <w:t xml:space="preserve"> </w:t>
      </w:r>
      <w:r>
        <w:t>metal</w:t>
      </w:r>
      <w:r>
        <w:rPr>
          <w:spacing w:val="44"/>
        </w:rPr>
        <w:t xml:space="preserve"> </w:t>
      </w:r>
      <w:r>
        <w:t>that</w:t>
      </w:r>
      <w:r>
        <w:rPr>
          <w:spacing w:val="44"/>
        </w:rPr>
        <w:t xml:space="preserve"> </w:t>
      </w:r>
      <w:r>
        <w:t>isn’t</w:t>
      </w:r>
      <w:r>
        <w:rPr>
          <w:spacing w:val="44"/>
        </w:rPr>
        <w:t xml:space="preserve"> </w:t>
      </w:r>
      <w:r>
        <w:t>being</w:t>
      </w:r>
      <w:r>
        <w:rPr>
          <w:spacing w:val="44"/>
        </w:rPr>
        <w:t xml:space="preserve"> </w:t>
      </w:r>
      <w:r>
        <w:rPr>
          <w:spacing w:val="-2"/>
        </w:rPr>
        <w:t>heated</w:t>
      </w:r>
    </w:p>
    <w:p w14:paraId="7E00203E" w14:textId="77777777" w:rsidR="009A58DB" w:rsidRDefault="00000000">
      <w:pPr>
        <w:pStyle w:val="BodyText"/>
        <w:spacing w:before="15" w:line="249" w:lineRule="auto"/>
        <w:ind w:right="364"/>
        <w:jc w:val="left"/>
      </w:pPr>
      <w:r>
        <w:rPr>
          <w:i/>
        </w:rPr>
        <w:t xml:space="preserve">would </w:t>
      </w:r>
      <w:r>
        <w:t xml:space="preserve">expand </w:t>
      </w:r>
      <w:r>
        <w:rPr>
          <w:i/>
        </w:rPr>
        <w:t xml:space="preserve">if </w:t>
      </w:r>
      <w:r>
        <w:t>it were heated. Nothing comparable holds of YP. Given an</w:t>
      </w:r>
      <w:r>
        <w:rPr>
          <w:spacing w:val="80"/>
        </w:rPr>
        <w:t xml:space="preserve"> </w:t>
      </w:r>
      <w:r>
        <w:t>arbitrary</w:t>
      </w:r>
      <w:r>
        <w:rPr>
          <w:spacing w:val="29"/>
        </w:rPr>
        <w:t xml:space="preserve"> </w:t>
      </w:r>
      <w:r>
        <w:t>pencil,</w:t>
      </w:r>
      <w:r>
        <w:rPr>
          <w:spacing w:val="32"/>
        </w:rPr>
        <w:t xml:space="preserve"> </w:t>
      </w:r>
      <w:r>
        <w:t>YP</w:t>
      </w:r>
      <w:r>
        <w:rPr>
          <w:spacing w:val="32"/>
        </w:rPr>
        <w:t xml:space="preserve"> </w:t>
      </w:r>
      <w:r>
        <w:t>doesn’t</w:t>
      </w:r>
      <w:r>
        <w:rPr>
          <w:spacing w:val="31"/>
        </w:rPr>
        <w:t xml:space="preserve"> </w:t>
      </w:r>
      <w:r>
        <w:t>entail</w:t>
      </w:r>
      <w:r>
        <w:rPr>
          <w:spacing w:val="32"/>
        </w:rPr>
        <w:t xml:space="preserve"> </w:t>
      </w:r>
      <w:r>
        <w:t>that</w:t>
      </w:r>
      <w:r>
        <w:rPr>
          <w:spacing w:val="32"/>
        </w:rPr>
        <w:t xml:space="preserve"> </w:t>
      </w:r>
      <w:r>
        <w:t>it</w:t>
      </w:r>
      <w:r>
        <w:rPr>
          <w:spacing w:val="31"/>
        </w:rPr>
        <w:t xml:space="preserve"> </w:t>
      </w:r>
      <w:r>
        <w:rPr>
          <w:i/>
        </w:rPr>
        <w:t>would</w:t>
      </w:r>
      <w:r>
        <w:rPr>
          <w:i/>
          <w:spacing w:val="27"/>
        </w:rPr>
        <w:t xml:space="preserve"> </w:t>
      </w:r>
      <w:r>
        <w:t>be</w:t>
      </w:r>
      <w:r>
        <w:rPr>
          <w:spacing w:val="27"/>
        </w:rPr>
        <w:t xml:space="preserve"> </w:t>
      </w:r>
      <w:r>
        <w:t>yellow</w:t>
      </w:r>
      <w:r>
        <w:rPr>
          <w:spacing w:val="27"/>
        </w:rPr>
        <w:t xml:space="preserve"> </w:t>
      </w:r>
      <w:r>
        <w:rPr>
          <w:i/>
        </w:rPr>
        <w:t>if</w:t>
      </w:r>
      <w:r>
        <w:rPr>
          <w:i/>
          <w:spacing w:val="27"/>
        </w:rPr>
        <w:t xml:space="preserve"> </w:t>
      </w:r>
      <w:r>
        <w:t>it</w:t>
      </w:r>
      <w:r>
        <w:rPr>
          <w:spacing w:val="36"/>
        </w:rPr>
        <w:t xml:space="preserve"> </w:t>
      </w:r>
      <w:r>
        <w:t>were</w:t>
      </w:r>
      <w:r>
        <w:rPr>
          <w:spacing w:val="38"/>
        </w:rPr>
        <w:t xml:space="preserve"> </w:t>
      </w:r>
      <w:r>
        <w:t>on</w:t>
      </w:r>
      <w:r>
        <w:rPr>
          <w:spacing w:val="38"/>
        </w:rPr>
        <w:t xml:space="preserve"> </w:t>
      </w:r>
      <w:r>
        <w:rPr>
          <w:spacing w:val="-5"/>
        </w:rPr>
        <w:t>my</w:t>
      </w:r>
    </w:p>
    <w:p w14:paraId="7E00203F"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040" w14:textId="77777777" w:rsidR="009A58DB" w:rsidRDefault="00000000">
      <w:pPr>
        <w:pStyle w:val="BodyText"/>
        <w:spacing w:before="61" w:line="249" w:lineRule="auto"/>
        <w:ind w:right="372"/>
      </w:pPr>
      <w:r>
        <w:lastRenderedPageBreak/>
        <w:t>desk. In general, says Hempel, laws are expressed by universal generalizations that support counterfactuals.</w:t>
      </w:r>
    </w:p>
    <w:p w14:paraId="7E002041" w14:textId="77777777" w:rsidR="009A58DB" w:rsidRDefault="00000000">
      <w:pPr>
        <w:pStyle w:val="BodyText"/>
        <w:spacing w:before="6" w:line="249" w:lineRule="auto"/>
        <w:ind w:right="362" w:firstLine="360"/>
      </w:pPr>
      <w:r>
        <w:t xml:space="preserve">Hempel is surely right that a statement must support counterfactuals if it is to express a natural law. But DN collapses if laws are understood in this way. Let m be some unheated metal object. Why is it that m </w:t>
      </w:r>
      <w:r>
        <w:rPr>
          <w:i/>
        </w:rPr>
        <w:t xml:space="preserve">would </w:t>
      </w:r>
      <w:r>
        <w:t xml:space="preserve">expand </w:t>
      </w:r>
      <w:r>
        <w:rPr>
          <w:i/>
        </w:rPr>
        <w:t xml:space="preserve">if </w:t>
      </w:r>
      <w:r>
        <w:t xml:space="preserve">it were heated? Because, the laws of nature being what they are, heating m would </w:t>
      </w:r>
      <w:r>
        <w:rPr>
          <w:i/>
        </w:rPr>
        <w:t xml:space="preserve">cause </w:t>
      </w:r>
      <w:r>
        <w:t xml:space="preserve">it to expand. So the fact that m </w:t>
      </w:r>
      <w:r>
        <w:rPr>
          <w:i/>
        </w:rPr>
        <w:t xml:space="preserve">would </w:t>
      </w:r>
      <w:r>
        <w:t xml:space="preserve">expand if heated is to be understood </w:t>
      </w:r>
      <w:r>
        <w:rPr>
          <w:i/>
        </w:rPr>
        <w:t xml:space="preserve">in terms of </w:t>
      </w:r>
      <w:r>
        <w:t>the fact that ME expresses a natural law.</w:t>
      </w:r>
    </w:p>
    <w:p w14:paraId="7E002042" w14:textId="77777777" w:rsidR="009A58DB" w:rsidRDefault="00000000">
      <w:pPr>
        <w:pStyle w:val="BodyText"/>
        <w:spacing w:before="7" w:line="249" w:lineRule="auto"/>
        <w:ind w:right="358" w:firstLine="360"/>
      </w:pPr>
      <w:r>
        <w:t>Remember what we said earlier about counterfactuals: they are thinly veiled causal statements. “Smith would be alive if he hadn’t jumped” means: “jumping is what caused the death of an otherwise unthreatened Smith.” So far as that causal claim is warranted, it is because there is known to be a law that, given the circumstances, demanded Smith’s death. The counterfactual claim</w:t>
      </w:r>
      <w:r>
        <w:rPr>
          <w:spacing w:val="-2"/>
        </w:rPr>
        <w:t xml:space="preserve"> </w:t>
      </w:r>
      <w:r>
        <w:t>is</w:t>
      </w:r>
      <w:r>
        <w:rPr>
          <w:spacing w:val="-2"/>
        </w:rPr>
        <w:t xml:space="preserve"> </w:t>
      </w:r>
      <w:r>
        <w:t>to</w:t>
      </w:r>
      <w:r>
        <w:rPr>
          <w:spacing w:val="-2"/>
        </w:rPr>
        <w:t xml:space="preserve"> </w:t>
      </w:r>
      <w:r>
        <w:t>be</w:t>
      </w:r>
      <w:r>
        <w:rPr>
          <w:spacing w:val="-2"/>
        </w:rPr>
        <w:t xml:space="preserve"> </w:t>
      </w:r>
      <w:r>
        <w:t>understood</w:t>
      </w:r>
      <w:r>
        <w:rPr>
          <w:spacing w:val="-2"/>
        </w:rPr>
        <w:t xml:space="preserve"> </w:t>
      </w:r>
      <w:r>
        <w:t>in</w:t>
      </w:r>
      <w:r>
        <w:rPr>
          <w:spacing w:val="-2"/>
        </w:rPr>
        <w:t xml:space="preserve"> </w:t>
      </w:r>
      <w:r>
        <w:t>terms</w:t>
      </w:r>
      <w:r>
        <w:rPr>
          <w:spacing w:val="-2"/>
        </w:rPr>
        <w:t xml:space="preserve"> </w:t>
      </w:r>
      <w:r>
        <w:t>of</w:t>
      </w:r>
      <w:r>
        <w:rPr>
          <w:spacing w:val="-2"/>
        </w:rPr>
        <w:t xml:space="preserve"> </w:t>
      </w:r>
      <w:r>
        <w:t>a</w:t>
      </w:r>
      <w:r>
        <w:rPr>
          <w:spacing w:val="-2"/>
        </w:rPr>
        <w:t xml:space="preserve"> </w:t>
      </w:r>
      <w:r>
        <w:t>causal</w:t>
      </w:r>
      <w:r>
        <w:rPr>
          <w:spacing w:val="-2"/>
        </w:rPr>
        <w:t xml:space="preserve"> </w:t>
      </w:r>
      <w:r>
        <w:t>claim,</w:t>
      </w:r>
      <w:r>
        <w:rPr>
          <w:spacing w:val="-2"/>
        </w:rPr>
        <w:t xml:space="preserve"> </w:t>
      </w:r>
      <w:r>
        <w:t>and</w:t>
      </w:r>
      <w:r>
        <w:rPr>
          <w:spacing w:val="-2"/>
        </w:rPr>
        <w:t xml:space="preserve"> </w:t>
      </w:r>
      <w:r>
        <w:t>the</w:t>
      </w:r>
      <w:r>
        <w:rPr>
          <w:spacing w:val="-2"/>
        </w:rPr>
        <w:t xml:space="preserve"> </w:t>
      </w:r>
      <w:r>
        <w:t>causal</w:t>
      </w:r>
      <w:r>
        <w:rPr>
          <w:spacing w:val="-2"/>
        </w:rPr>
        <w:t xml:space="preserve"> </w:t>
      </w:r>
      <w:r>
        <w:t>claim</w:t>
      </w:r>
      <w:r>
        <w:rPr>
          <w:spacing w:val="-2"/>
        </w:rPr>
        <w:t xml:space="preserve"> </w:t>
      </w:r>
      <w:r>
        <w:t>is</w:t>
      </w:r>
      <w:r>
        <w:rPr>
          <w:spacing w:val="-2"/>
        </w:rPr>
        <w:t xml:space="preserve"> </w:t>
      </w:r>
      <w:r>
        <w:t>to be understood in terms of a statement describing a natural law. DN thus becomes viciously circular if “law” is defined as “what is expressed by a counterfactual-supporting universal generalization.”</w:t>
      </w:r>
    </w:p>
    <w:p w14:paraId="7E002043" w14:textId="77777777" w:rsidR="009A58DB" w:rsidRDefault="00000000">
      <w:pPr>
        <w:pStyle w:val="BodyText"/>
        <w:spacing w:before="12" w:line="249" w:lineRule="auto"/>
        <w:ind w:right="360" w:firstLine="360"/>
      </w:pPr>
      <w:r>
        <w:t xml:space="preserve">Causal claims are </w:t>
      </w:r>
      <w:r>
        <w:rPr>
          <w:i/>
        </w:rPr>
        <w:t xml:space="preserve">themselves </w:t>
      </w:r>
      <w:r>
        <w:t>explanations. In being told that lung cancer</w:t>
      </w:r>
      <w:r>
        <w:rPr>
          <w:spacing w:val="40"/>
        </w:rPr>
        <w:t xml:space="preserve"> </w:t>
      </w:r>
      <w:r>
        <w:t>is what led to Smith’s death, I’m being given an explanation, albeit an incomplete</w:t>
      </w:r>
      <w:r>
        <w:rPr>
          <w:spacing w:val="-1"/>
        </w:rPr>
        <w:t xml:space="preserve"> </w:t>
      </w:r>
      <w:r>
        <w:t>one,</w:t>
      </w:r>
      <w:r>
        <w:rPr>
          <w:spacing w:val="-1"/>
        </w:rPr>
        <w:t xml:space="preserve"> </w:t>
      </w:r>
      <w:r>
        <w:t>as</w:t>
      </w:r>
      <w:r>
        <w:rPr>
          <w:spacing w:val="-1"/>
        </w:rPr>
        <w:t xml:space="preserve"> </w:t>
      </w:r>
      <w:r>
        <w:t>to</w:t>
      </w:r>
      <w:r>
        <w:rPr>
          <w:spacing w:val="-1"/>
        </w:rPr>
        <w:t xml:space="preserve"> </w:t>
      </w:r>
      <w:r>
        <w:t>why</w:t>
      </w:r>
      <w:r>
        <w:rPr>
          <w:spacing w:val="-1"/>
        </w:rPr>
        <w:t xml:space="preserve"> </w:t>
      </w:r>
      <w:r>
        <w:t>he</w:t>
      </w:r>
      <w:r>
        <w:rPr>
          <w:spacing w:val="-1"/>
        </w:rPr>
        <w:t xml:space="preserve"> </w:t>
      </w:r>
      <w:r>
        <w:t>died.</w:t>
      </w:r>
      <w:r>
        <w:rPr>
          <w:spacing w:val="-1"/>
        </w:rPr>
        <w:t xml:space="preserve"> </w:t>
      </w:r>
      <w:r>
        <w:t>Counterfactuals,</w:t>
      </w:r>
      <w:r>
        <w:rPr>
          <w:spacing w:val="-1"/>
        </w:rPr>
        <w:t xml:space="preserve"> </w:t>
      </w:r>
      <w:r>
        <w:t>as</w:t>
      </w:r>
      <w:r>
        <w:rPr>
          <w:spacing w:val="-1"/>
        </w:rPr>
        <w:t xml:space="preserve"> </w:t>
      </w:r>
      <w:r>
        <w:t>we</w:t>
      </w:r>
      <w:r>
        <w:rPr>
          <w:spacing w:val="-1"/>
        </w:rPr>
        <w:t xml:space="preserve"> </w:t>
      </w:r>
      <w:r>
        <w:t>know,</w:t>
      </w:r>
      <w:r>
        <w:rPr>
          <w:spacing w:val="-1"/>
        </w:rPr>
        <w:t xml:space="preserve"> </w:t>
      </w:r>
      <w:r>
        <w:t>are</w:t>
      </w:r>
      <w:r>
        <w:rPr>
          <w:spacing w:val="-1"/>
        </w:rPr>
        <w:t xml:space="preserve"> </w:t>
      </w:r>
      <w:r>
        <w:t xml:space="preserve">identical with causal claims. It is only where explanations are </w:t>
      </w:r>
      <w:r>
        <w:rPr>
          <w:i/>
        </w:rPr>
        <w:t xml:space="preserve">already </w:t>
      </w:r>
      <w:r>
        <w:t>available that counterfactual claims are warranted.</w:t>
      </w:r>
    </w:p>
    <w:p w14:paraId="7E002044" w14:textId="77777777" w:rsidR="009A58DB" w:rsidRDefault="00000000">
      <w:pPr>
        <w:pStyle w:val="BodyText"/>
        <w:spacing w:before="6" w:line="249" w:lineRule="auto"/>
        <w:ind w:right="360" w:firstLine="360"/>
      </w:pPr>
      <w:r>
        <w:t xml:space="preserve">By the same token, if we don’t know that it was arsenic consumption that killed Smith—or, if not Smith, then somebody else—we have no basis for affirming the counterfactual that Jones, who isn’t consuming arsenic, </w:t>
      </w:r>
      <w:r>
        <w:rPr>
          <w:i/>
        </w:rPr>
        <w:t xml:space="preserve">would </w:t>
      </w:r>
      <w:r>
        <w:t xml:space="preserve">die </w:t>
      </w:r>
      <w:r>
        <w:rPr>
          <w:i/>
        </w:rPr>
        <w:t xml:space="preserve">were </w:t>
      </w:r>
      <w:r>
        <w:t>he to do so.</w:t>
      </w:r>
    </w:p>
    <w:p w14:paraId="7E002045" w14:textId="77777777" w:rsidR="009A58DB" w:rsidRDefault="00000000">
      <w:pPr>
        <w:pStyle w:val="BodyText"/>
        <w:spacing w:before="5" w:line="249" w:lineRule="auto"/>
        <w:ind w:right="358" w:firstLine="360"/>
      </w:pPr>
      <w:r>
        <w:t xml:space="preserve">Thus, we are warranted in affirming counterfactuals only where we </w:t>
      </w:r>
      <w:r>
        <w:rPr>
          <w:i/>
        </w:rPr>
        <w:t xml:space="preserve">already </w:t>
      </w:r>
      <w:r>
        <w:t xml:space="preserve">have explanations. So to understand the concept of law in terms of the concept of counterfactual truth </w:t>
      </w:r>
      <w:r>
        <w:rPr>
          <w:i/>
        </w:rPr>
        <w:t xml:space="preserve">is </w:t>
      </w:r>
      <w:r>
        <w:t>to understand the law in terms of the concept of explanation. Thus, if laws are understood in this way, DN is analyzing the concept of explanation in terms of itself.</w:t>
      </w:r>
    </w:p>
    <w:p w14:paraId="7E002046" w14:textId="77777777" w:rsidR="009A58DB" w:rsidRDefault="00000000">
      <w:pPr>
        <w:pStyle w:val="BodyText"/>
        <w:spacing w:before="6" w:line="249" w:lineRule="auto"/>
        <w:ind w:right="358" w:firstLine="360"/>
      </w:pPr>
      <w:r>
        <w:t xml:space="preserve">So long as the concept of law is understood in terms of the concept of explanation, DN is viciously circular. Is there some other way to understand the concept of law? This question exposes a serious problem with DN. Hume tried to show that laws are </w:t>
      </w:r>
      <w:r>
        <w:rPr>
          <w:i/>
        </w:rPr>
        <w:t xml:space="preserve">mere </w:t>
      </w:r>
      <w:r>
        <w:t>concomitances. He denied the existence of causal</w:t>
      </w:r>
      <w:r>
        <w:rPr>
          <w:spacing w:val="25"/>
        </w:rPr>
        <w:t xml:space="preserve"> </w:t>
      </w:r>
      <w:r>
        <w:t>ties;</w:t>
      </w:r>
      <w:r>
        <w:rPr>
          <w:spacing w:val="25"/>
        </w:rPr>
        <w:t xml:space="preserve"> </w:t>
      </w:r>
      <w:r>
        <w:t>so</w:t>
      </w:r>
      <w:r>
        <w:rPr>
          <w:spacing w:val="26"/>
        </w:rPr>
        <w:t xml:space="preserve"> </w:t>
      </w:r>
      <w:r>
        <w:t>he</w:t>
      </w:r>
      <w:r>
        <w:rPr>
          <w:spacing w:val="25"/>
        </w:rPr>
        <w:t xml:space="preserve"> </w:t>
      </w:r>
      <w:r>
        <w:t>couldn’t</w:t>
      </w:r>
      <w:r>
        <w:rPr>
          <w:spacing w:val="25"/>
        </w:rPr>
        <w:t xml:space="preserve"> </w:t>
      </w:r>
      <w:r>
        <w:t>take</w:t>
      </w:r>
      <w:r>
        <w:rPr>
          <w:spacing w:val="25"/>
        </w:rPr>
        <w:t xml:space="preserve"> </w:t>
      </w:r>
      <w:r>
        <w:t>laws</w:t>
      </w:r>
      <w:r>
        <w:rPr>
          <w:spacing w:val="26"/>
        </w:rPr>
        <w:t xml:space="preserve"> </w:t>
      </w:r>
      <w:r>
        <w:t>to</w:t>
      </w:r>
      <w:r>
        <w:rPr>
          <w:spacing w:val="25"/>
        </w:rPr>
        <w:t xml:space="preserve"> </w:t>
      </w:r>
      <w:r>
        <w:t>be</w:t>
      </w:r>
      <w:r>
        <w:rPr>
          <w:spacing w:val="25"/>
        </w:rPr>
        <w:t xml:space="preserve"> </w:t>
      </w:r>
      <w:r>
        <w:t>descriptions</w:t>
      </w:r>
      <w:r>
        <w:rPr>
          <w:spacing w:val="26"/>
        </w:rPr>
        <w:t xml:space="preserve"> </w:t>
      </w:r>
      <w:r>
        <w:t>of</w:t>
      </w:r>
      <w:r>
        <w:rPr>
          <w:spacing w:val="25"/>
        </w:rPr>
        <w:t xml:space="preserve"> </w:t>
      </w:r>
      <w:r>
        <w:t>such</w:t>
      </w:r>
      <w:r>
        <w:rPr>
          <w:spacing w:val="26"/>
        </w:rPr>
        <w:t xml:space="preserve"> </w:t>
      </w:r>
      <w:r>
        <w:t>ties.</w:t>
      </w:r>
      <w:r>
        <w:rPr>
          <w:spacing w:val="25"/>
        </w:rPr>
        <w:t xml:space="preserve"> </w:t>
      </w:r>
      <w:r>
        <w:t>And</w:t>
      </w:r>
      <w:r>
        <w:rPr>
          <w:spacing w:val="26"/>
        </w:rPr>
        <w:t xml:space="preserve"> </w:t>
      </w:r>
      <w:r>
        <w:t>he</w:t>
      </w:r>
    </w:p>
    <w:p w14:paraId="7E00204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48" w14:textId="77777777" w:rsidR="009A58DB" w:rsidRDefault="00000000">
      <w:pPr>
        <w:pStyle w:val="BodyText"/>
        <w:spacing w:before="65" w:line="249" w:lineRule="auto"/>
        <w:ind w:right="361"/>
        <w:rPr>
          <w:i/>
        </w:rPr>
      </w:pPr>
      <w:r>
        <w:lastRenderedPageBreak/>
        <w:t xml:space="preserve">therefore couldn’t take “metal expands when heated” to describe the </w:t>
      </w:r>
      <w:r>
        <w:rPr>
          <w:i/>
        </w:rPr>
        <w:t xml:space="preserve">connection </w:t>
      </w:r>
      <w:r>
        <w:t xml:space="preserve">that we presume to hold between x’s being heated metal and x’s expanding. He had only one option: the law isn’t some structure or metaphysical glue </w:t>
      </w:r>
      <w:r>
        <w:rPr>
          <w:i/>
        </w:rPr>
        <w:t>underlying</w:t>
      </w:r>
      <w:r>
        <w:rPr>
          <w:i/>
          <w:spacing w:val="-3"/>
        </w:rPr>
        <w:t xml:space="preserve"> </w:t>
      </w:r>
      <w:r>
        <w:t xml:space="preserve">the fact that the property of being heated metal is always found in conjunction with the property of expanding; the law </w:t>
      </w:r>
      <w:r>
        <w:rPr>
          <w:i/>
        </w:rPr>
        <w:t>is</w:t>
      </w:r>
      <w:r>
        <w:rPr>
          <w:i/>
          <w:spacing w:val="-3"/>
        </w:rPr>
        <w:t xml:space="preserve"> </w:t>
      </w:r>
      <w:r>
        <w:t xml:space="preserve">that regularity. Laws </w:t>
      </w:r>
      <w:r>
        <w:rPr>
          <w:i/>
        </w:rPr>
        <w:t xml:space="preserve">are </w:t>
      </w:r>
      <w:r>
        <w:t xml:space="preserve">the regularities that non-Humeans typically regard as their </w:t>
      </w:r>
      <w:r>
        <w:rPr>
          <w:i/>
        </w:rPr>
        <w:t>expressions.</w:t>
      </w:r>
    </w:p>
    <w:p w14:paraId="7E002049"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204A" w14:textId="77777777" w:rsidR="009A58DB" w:rsidRDefault="00000000">
      <w:pPr>
        <w:pStyle w:val="BodyText"/>
        <w:spacing w:before="65" w:line="249" w:lineRule="auto"/>
        <w:ind w:right="358" w:firstLine="360"/>
      </w:pPr>
      <w:r>
        <w:lastRenderedPageBreak/>
        <w:t xml:space="preserve">The advocate of DN is forced to take this position. So long as he thinks of laws as being given by statements that describe </w:t>
      </w:r>
      <w:r>
        <w:rPr>
          <w:i/>
        </w:rPr>
        <w:t>structures</w:t>
      </w:r>
      <w:r>
        <w:rPr>
          <w:i/>
          <w:spacing w:val="-4"/>
        </w:rPr>
        <w:t xml:space="preserve"> </w:t>
      </w:r>
      <w:r>
        <w:t xml:space="preserve">of some kind—the structures that are manifested by regularities—the advocate of DN is analyzing the explanation in terms of itself. For it isn’t </w:t>
      </w:r>
      <w:r>
        <w:rPr>
          <w:i/>
        </w:rPr>
        <w:t xml:space="preserve">until </w:t>
      </w:r>
      <w:r>
        <w:t>there are explanations that there can be any good reason to posit such structures. The structure is posited to validate preexisting explanations. Which makes it viciously circular to understand laws in terms of causality. Which, in turn, makes it viciously circular to understand laws in terms of counterfactual</w:t>
      </w:r>
      <w:r>
        <w:rPr>
          <w:spacing w:val="40"/>
        </w:rPr>
        <w:t xml:space="preserve"> </w:t>
      </w:r>
      <w:r>
        <w:t xml:space="preserve">truth, given that counterfactual truths are to be understood in terms of causality. If his position is to be free of such circularity, the advocate of DN must take laws to be mere concomitances. In his view, the law that all metal expands when heated </w:t>
      </w:r>
      <w:r>
        <w:rPr>
          <w:i/>
        </w:rPr>
        <w:t xml:space="preserve">is </w:t>
      </w:r>
      <w:r>
        <w:t>the regularity that, in the eyes of a non-Humean, merely expresses that law. In general, for the advocate of DN, laws are regularities—nothing more.</w:t>
      </w:r>
    </w:p>
    <w:p w14:paraId="7E00204B" w14:textId="77777777" w:rsidR="009A58DB" w:rsidRDefault="00000000">
      <w:pPr>
        <w:pStyle w:val="BodyText"/>
        <w:spacing w:before="17" w:line="249" w:lineRule="auto"/>
        <w:ind w:right="360" w:firstLine="360"/>
      </w:pPr>
      <w:r>
        <w:t xml:space="preserve">But in that case, </w:t>
      </w:r>
      <w:r>
        <w:rPr>
          <w:i/>
        </w:rPr>
        <w:t xml:space="preserve">any </w:t>
      </w:r>
      <w:r>
        <w:t>true universal generalization expresses a law. YP (“everything is such that it’s either yellow or it isn’t a pencil on JMK’s</w:t>
      </w:r>
      <w:r>
        <w:rPr>
          <w:spacing w:val="40"/>
        </w:rPr>
        <w:t xml:space="preserve"> </w:t>
      </w:r>
      <w:r>
        <w:t>desk”) describes a regularity. It correctly states that nothing has the property of being a pencil on JMK’s desk on March 11, 2009, unless it also has the property of being yellow. But it doesn’t express a law.</w:t>
      </w:r>
    </w:p>
    <w:p w14:paraId="7E00204C" w14:textId="77777777" w:rsidR="009A58DB" w:rsidRDefault="00000000">
      <w:pPr>
        <w:pStyle w:val="BodyText"/>
        <w:spacing w:before="6" w:line="249" w:lineRule="auto"/>
        <w:ind w:right="359" w:firstLine="360"/>
      </w:pPr>
      <w:r>
        <w:t xml:space="preserve">If laws are identified with regularities, as opposed to the structures that (so non-Humeans think) underlie them, then DN ends up having the same problems as Hume’s analysis of causation. People often know what caused what, even though they couldn’t for the life of them identify the relevant generalizations. It often happens that, </w:t>
      </w:r>
      <w:r>
        <w:rPr>
          <w:i/>
        </w:rPr>
        <w:t xml:space="preserve">in order </w:t>
      </w:r>
      <w:r>
        <w:t xml:space="preserve">to identify the relevant generalization, one must know what caused and what—that one must </w:t>
      </w:r>
      <w:r>
        <w:rPr>
          <w:i/>
        </w:rPr>
        <w:t xml:space="preserve">already </w:t>
      </w:r>
      <w:r>
        <w:t xml:space="preserve">have an explanation of the event in question, if only a crude one, if one is to identify the relevant generalization. Jones wants to know why the car blew up. He thinks about the sequence of events that he just witnessed. Smith got into his car and turned the key in the ignition; the engine turned over; a moment later the car exploded. If Smith falsely believes that Brown used his telekinetic powers to blow up the car, Smith’s search for covering laws will be futile. It is only if Smith </w:t>
      </w:r>
      <w:r>
        <w:rPr>
          <w:i/>
        </w:rPr>
        <w:t xml:space="preserve">does </w:t>
      </w:r>
      <w:r>
        <w:t>have a correct explanation, if only an extremely low-resolution one, that he can even begin to search in a meaningful way for the relevant law.</w:t>
      </w:r>
    </w:p>
    <w:p w14:paraId="7E00204D" w14:textId="77777777" w:rsidR="009A58DB" w:rsidRDefault="00000000">
      <w:pPr>
        <w:pStyle w:val="BodyText"/>
        <w:spacing w:before="18"/>
        <w:ind w:left="720"/>
      </w:pPr>
      <w:r>
        <w:t>Laws</w:t>
      </w:r>
      <w:r>
        <w:rPr>
          <w:spacing w:val="32"/>
        </w:rPr>
        <w:t xml:space="preserve"> </w:t>
      </w:r>
      <w:r>
        <w:t>are</w:t>
      </w:r>
      <w:r>
        <w:rPr>
          <w:spacing w:val="32"/>
        </w:rPr>
        <w:t xml:space="preserve"> </w:t>
      </w:r>
      <w:r>
        <w:t>hyper-explanations.</w:t>
      </w:r>
      <w:r>
        <w:rPr>
          <w:spacing w:val="32"/>
        </w:rPr>
        <w:t xml:space="preserve"> </w:t>
      </w:r>
      <w:r>
        <w:t>(In</w:t>
      </w:r>
      <w:r>
        <w:rPr>
          <w:spacing w:val="32"/>
        </w:rPr>
        <w:t xml:space="preserve"> </w:t>
      </w:r>
      <w:r>
        <w:t>this</w:t>
      </w:r>
      <w:r>
        <w:rPr>
          <w:spacing w:val="32"/>
        </w:rPr>
        <w:t xml:space="preserve"> </w:t>
      </w:r>
      <w:r>
        <w:t>context,</w:t>
      </w:r>
      <w:r>
        <w:rPr>
          <w:spacing w:val="32"/>
        </w:rPr>
        <w:t xml:space="preserve"> </w:t>
      </w:r>
      <w:r>
        <w:t>“law”</w:t>
      </w:r>
      <w:r>
        <w:rPr>
          <w:spacing w:val="32"/>
        </w:rPr>
        <w:t xml:space="preserve"> </w:t>
      </w:r>
      <w:r>
        <w:t>and</w:t>
      </w:r>
      <w:r>
        <w:rPr>
          <w:spacing w:val="32"/>
        </w:rPr>
        <w:t xml:space="preserve"> </w:t>
      </w:r>
      <w:r>
        <w:t>“statement</w:t>
      </w:r>
      <w:r>
        <w:rPr>
          <w:spacing w:val="32"/>
        </w:rPr>
        <w:t xml:space="preserve"> </w:t>
      </w:r>
      <w:r>
        <w:rPr>
          <w:spacing w:val="-4"/>
        </w:rPr>
        <w:t>that</w:t>
      </w:r>
    </w:p>
    <w:p w14:paraId="7E00204E" w14:textId="77777777" w:rsidR="009A58DB" w:rsidRDefault="009A58DB">
      <w:pPr>
        <w:pStyle w:val="BodyText"/>
        <w:sectPr w:rsidR="009A58DB">
          <w:pgSz w:w="12240" w:h="15840"/>
          <w:pgMar w:top="1740" w:right="1080" w:bottom="280" w:left="1080" w:header="720" w:footer="720" w:gutter="0"/>
          <w:cols w:space="720"/>
        </w:sectPr>
      </w:pPr>
    </w:p>
    <w:p w14:paraId="7E00204F" w14:textId="77777777" w:rsidR="009A58DB" w:rsidRDefault="00000000">
      <w:pPr>
        <w:pStyle w:val="BodyText"/>
        <w:spacing w:before="65" w:line="249" w:lineRule="auto"/>
        <w:ind w:right="358"/>
      </w:pPr>
      <w:r>
        <w:lastRenderedPageBreak/>
        <w:t xml:space="preserve">expresses a law” are used interchangeably.) They are explanations of the explanations. First there are the </w:t>
      </w:r>
      <w:r>
        <w:rPr>
          <w:i/>
        </w:rPr>
        <w:t xml:space="preserve">anomic </w:t>
      </w:r>
      <w:r>
        <w:t>explanations. (“Nomic” means “involving or having to do with natural law.” “Anomic” means “not</w:t>
      </w:r>
      <w:r>
        <w:rPr>
          <w:spacing w:val="40"/>
        </w:rPr>
        <w:t xml:space="preserve"> </w:t>
      </w:r>
      <w:r>
        <w:t>involving natural law.”) The explanations that we come up with in everyday life are anomic—”heating it caused it to expand,” “falling caused him to break his leg,” “drinking arsenic caused him to die,” “being made of pinewood caused it to float when placed in water.” The laws explain these explanations. “There is an underlying structure that guarantees that a thing will expand if it’s made of metal that is being heated/that a person will break his leg as a result of such and such a fall/that a person dies if he consumes arsenic/that a thing floats if it’s pinewood in water.” Hume and Hempel believe that the event is to be explained in terms of the law; they believe that laws are logically prior to events. The events are to be understood in terms of the laws. But it’s the other way around. To be sure, once the law is in place, new and better explanations are possible. But those higher-level explanations stand on the shoulders of lower-level ones that model the data without the help</w:t>
      </w:r>
      <w:r>
        <w:rPr>
          <w:spacing w:val="-3"/>
        </w:rPr>
        <w:t xml:space="preserve"> </w:t>
      </w:r>
      <w:r>
        <w:t>of</w:t>
      </w:r>
      <w:r>
        <w:rPr>
          <w:spacing w:val="-2"/>
        </w:rPr>
        <w:t xml:space="preserve"> </w:t>
      </w:r>
      <w:r>
        <w:t>statements</w:t>
      </w:r>
      <w:r>
        <w:rPr>
          <w:spacing w:val="-2"/>
        </w:rPr>
        <w:t xml:space="preserve"> </w:t>
      </w:r>
      <w:r>
        <w:t>describing</w:t>
      </w:r>
      <w:r>
        <w:rPr>
          <w:spacing w:val="-2"/>
        </w:rPr>
        <w:t xml:space="preserve"> </w:t>
      </w:r>
      <w:r>
        <w:t>laws.</w:t>
      </w:r>
      <w:r>
        <w:rPr>
          <w:spacing w:val="-2"/>
        </w:rPr>
        <w:t xml:space="preserve"> </w:t>
      </w:r>
      <w:r>
        <w:t>Hume</w:t>
      </w:r>
      <w:r>
        <w:rPr>
          <w:spacing w:val="-2"/>
        </w:rPr>
        <w:t xml:space="preserve"> </w:t>
      </w:r>
      <w:r>
        <w:t>and</w:t>
      </w:r>
      <w:r>
        <w:rPr>
          <w:spacing w:val="-2"/>
        </w:rPr>
        <w:t xml:space="preserve"> </w:t>
      </w:r>
      <w:r>
        <w:t>Hempel</w:t>
      </w:r>
      <w:r>
        <w:rPr>
          <w:spacing w:val="-2"/>
        </w:rPr>
        <w:t xml:space="preserve"> </w:t>
      </w:r>
      <w:r>
        <w:t>believe</w:t>
      </w:r>
      <w:r>
        <w:rPr>
          <w:spacing w:val="-2"/>
        </w:rPr>
        <w:t xml:space="preserve"> </w:t>
      </w:r>
      <w:r>
        <w:t>that</w:t>
      </w:r>
      <w:r>
        <w:rPr>
          <w:spacing w:val="-2"/>
        </w:rPr>
        <w:t xml:space="preserve"> </w:t>
      </w:r>
      <w:r>
        <w:t>it</w:t>
      </w:r>
      <w:r>
        <w:rPr>
          <w:spacing w:val="-2"/>
        </w:rPr>
        <w:t xml:space="preserve"> </w:t>
      </w:r>
      <w:r>
        <w:t>is</w:t>
      </w:r>
      <w:r>
        <w:rPr>
          <w:spacing w:val="-2"/>
        </w:rPr>
        <w:t xml:space="preserve"> </w:t>
      </w:r>
      <w:r>
        <w:t>on</w:t>
      </w:r>
      <w:r>
        <w:rPr>
          <w:spacing w:val="-2"/>
        </w:rPr>
        <w:t xml:space="preserve"> </w:t>
      </w:r>
      <w:r>
        <w:t>the basis</w:t>
      </w:r>
      <w:r>
        <w:rPr>
          <w:spacing w:val="-3"/>
        </w:rPr>
        <w:t xml:space="preserve"> </w:t>
      </w:r>
      <w:r>
        <w:t>of</w:t>
      </w:r>
      <w:r>
        <w:rPr>
          <w:spacing w:val="-3"/>
        </w:rPr>
        <w:t xml:space="preserve"> </w:t>
      </w:r>
      <w:r>
        <w:t>their</w:t>
      </w:r>
      <w:r>
        <w:rPr>
          <w:spacing w:val="-3"/>
        </w:rPr>
        <w:t xml:space="preserve"> </w:t>
      </w:r>
      <w:r>
        <w:rPr>
          <w:i/>
        </w:rPr>
        <w:t>knowledge</w:t>
      </w:r>
      <w:r>
        <w:rPr>
          <w:i/>
          <w:spacing w:val="-3"/>
        </w:rPr>
        <w:t xml:space="preserve"> </w:t>
      </w:r>
      <w:r>
        <w:t xml:space="preserve">of laws that people explain events. It’s the other way around. People </w:t>
      </w:r>
      <w:r>
        <w:rPr>
          <w:i/>
        </w:rPr>
        <w:t xml:space="preserve">already </w:t>
      </w:r>
      <w:r>
        <w:t xml:space="preserve">have explanations—albeit low-level, low-resolution ones—of the phenomena; and </w:t>
      </w:r>
      <w:r>
        <w:rPr>
          <w:i/>
        </w:rPr>
        <w:t xml:space="preserve">on that basis </w:t>
      </w:r>
      <w:r>
        <w:t xml:space="preserve">they posit the existence of laws. Hypotheses concerning laws are distillations of existing, low-level </w:t>
      </w:r>
      <w:r>
        <w:rPr>
          <w:spacing w:val="-2"/>
        </w:rPr>
        <w:t>explanations.</w:t>
      </w:r>
    </w:p>
    <w:p w14:paraId="7E002050" w14:textId="77777777" w:rsidR="009A58DB" w:rsidRDefault="00000000">
      <w:pPr>
        <w:pStyle w:val="BodyText"/>
        <w:spacing w:before="27"/>
        <w:ind w:left="720"/>
      </w:pPr>
      <w:r>
        <w:t>In</w:t>
      </w:r>
      <w:r>
        <w:rPr>
          <w:spacing w:val="-5"/>
        </w:rPr>
        <w:t xml:space="preserve"> </w:t>
      </w:r>
      <w:r>
        <w:t>conclusion,</w:t>
      </w:r>
      <w:r>
        <w:rPr>
          <w:spacing w:val="-3"/>
        </w:rPr>
        <w:t xml:space="preserve"> </w:t>
      </w:r>
      <w:r>
        <w:t>DN</w:t>
      </w:r>
      <w:r>
        <w:rPr>
          <w:spacing w:val="-4"/>
        </w:rPr>
        <w:t xml:space="preserve"> </w:t>
      </w:r>
      <w:r>
        <w:t>is</w:t>
      </w:r>
      <w:r>
        <w:rPr>
          <w:spacing w:val="-3"/>
        </w:rPr>
        <w:t xml:space="preserve"> </w:t>
      </w:r>
      <w:r>
        <w:t>viciously</w:t>
      </w:r>
      <w:r>
        <w:rPr>
          <w:spacing w:val="-3"/>
        </w:rPr>
        <w:t xml:space="preserve"> </w:t>
      </w:r>
      <w:r>
        <w:t>circular</w:t>
      </w:r>
      <w:r>
        <w:rPr>
          <w:spacing w:val="-4"/>
        </w:rPr>
        <w:t xml:space="preserve"> </w:t>
      </w:r>
      <w:r>
        <w:t>and</w:t>
      </w:r>
      <w:r>
        <w:rPr>
          <w:spacing w:val="-2"/>
        </w:rPr>
        <w:t xml:space="preserve"> </w:t>
      </w:r>
      <w:r>
        <w:t>is</w:t>
      </w:r>
      <w:r>
        <w:rPr>
          <w:spacing w:val="-4"/>
        </w:rPr>
        <w:t xml:space="preserve"> </w:t>
      </w:r>
      <w:r>
        <w:t>therefore</w:t>
      </w:r>
      <w:r>
        <w:rPr>
          <w:spacing w:val="-4"/>
        </w:rPr>
        <w:t xml:space="preserve"> </w:t>
      </w:r>
      <w:r>
        <w:t>a</w:t>
      </w:r>
      <w:r>
        <w:rPr>
          <w:spacing w:val="-3"/>
        </w:rPr>
        <w:t xml:space="preserve"> </w:t>
      </w:r>
      <w:r>
        <w:rPr>
          <w:spacing w:val="-2"/>
        </w:rPr>
        <w:t>failure.</w:t>
      </w:r>
    </w:p>
    <w:p w14:paraId="7E002051" w14:textId="77777777" w:rsidR="009A58DB" w:rsidRDefault="00000000">
      <w:pPr>
        <w:pStyle w:val="Heading1"/>
        <w:numPr>
          <w:ilvl w:val="1"/>
          <w:numId w:val="79"/>
        </w:numPr>
        <w:tabs>
          <w:tab w:val="left" w:pos="990"/>
        </w:tabs>
      </w:pPr>
      <w:r>
        <w:t>Explaining</w:t>
      </w:r>
      <w:r>
        <w:rPr>
          <w:spacing w:val="-7"/>
        </w:rPr>
        <w:t xml:space="preserve"> </w:t>
      </w:r>
      <w:r>
        <w:rPr>
          <w:spacing w:val="-2"/>
        </w:rPr>
        <w:t>explanation</w:t>
      </w:r>
    </w:p>
    <w:p w14:paraId="7E002052" w14:textId="77777777" w:rsidR="009A58DB" w:rsidRDefault="00000000">
      <w:pPr>
        <w:pStyle w:val="BodyText"/>
        <w:spacing w:before="139" w:line="249" w:lineRule="auto"/>
        <w:ind w:right="358"/>
      </w:pPr>
      <w:r>
        <w:t xml:space="preserve">One principle always underlies the search for answers (here I am referring exclusively to attempts to answer </w:t>
      </w:r>
      <w:r>
        <w:rPr>
          <w:i/>
        </w:rPr>
        <w:t xml:space="preserve">empirical </w:t>
      </w:r>
      <w:r>
        <w:t>questions—questions concerning the spatiotemporal):</w:t>
      </w:r>
    </w:p>
    <w:p w14:paraId="7E002053" w14:textId="77777777" w:rsidR="009A58DB" w:rsidRDefault="00000000">
      <w:pPr>
        <w:pStyle w:val="BodyText"/>
        <w:spacing w:before="108"/>
        <w:ind w:left="720"/>
      </w:pPr>
      <w:r>
        <w:t>(M</w:t>
      </w:r>
      <w:bookmarkStart w:id="452" w:name="_bookmark452"/>
      <w:bookmarkEnd w:id="452"/>
      <w:r>
        <w:t>C</w:t>
      </w:r>
      <w:r>
        <w:rPr>
          <w:color w:val="0562C1"/>
          <w:position w:val="21"/>
          <w:u w:val="single" w:color="0562C1"/>
        </w:rPr>
        <w:t>[334]</w:t>
      </w:r>
      <w:r>
        <w:t>)</w:t>
      </w:r>
      <w:r>
        <w:rPr>
          <w:spacing w:val="-5"/>
        </w:rPr>
        <w:t xml:space="preserve"> </w:t>
      </w:r>
      <w:r>
        <w:t>causal</w:t>
      </w:r>
      <w:r>
        <w:rPr>
          <w:spacing w:val="-4"/>
        </w:rPr>
        <w:t xml:space="preserve"> </w:t>
      </w:r>
      <w:r>
        <w:t>anomalies</w:t>
      </w:r>
      <w:r>
        <w:rPr>
          <w:spacing w:val="-5"/>
        </w:rPr>
        <w:t xml:space="preserve"> </w:t>
      </w:r>
      <w:r>
        <w:t>must</w:t>
      </w:r>
      <w:r>
        <w:rPr>
          <w:spacing w:val="-4"/>
        </w:rPr>
        <w:t xml:space="preserve"> </w:t>
      </w:r>
      <w:r>
        <w:t>be</w:t>
      </w:r>
      <w:r>
        <w:rPr>
          <w:spacing w:val="-4"/>
        </w:rPr>
        <w:t xml:space="preserve"> </w:t>
      </w:r>
      <w:r>
        <w:rPr>
          <w:spacing w:val="-2"/>
        </w:rPr>
        <w:t>minimized.</w:t>
      </w:r>
    </w:p>
    <w:p w14:paraId="7E002054" w14:textId="77777777" w:rsidR="009A58DB" w:rsidRDefault="00000000">
      <w:pPr>
        <w:pStyle w:val="BodyText"/>
        <w:spacing w:before="120" w:line="249" w:lineRule="auto"/>
        <w:ind w:right="364"/>
      </w:pPr>
      <w:r>
        <w:t>Everything will be explained when and only when it is known, for any given state of affairs, what caused that state of affairs to obtain. If you know all the causes, you know all the explanations.</w:t>
      </w:r>
    </w:p>
    <w:p w14:paraId="7E00205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56" w14:textId="77777777" w:rsidR="009A58DB" w:rsidRDefault="00000000">
      <w:pPr>
        <w:pStyle w:val="BodyText"/>
        <w:spacing w:before="65" w:line="249" w:lineRule="auto"/>
        <w:ind w:right="358" w:firstLine="360"/>
      </w:pPr>
      <w:r>
        <w:lastRenderedPageBreak/>
        <w:t xml:space="preserve">“But surely that isn’t true,” it will be said. “I can know </w:t>
      </w:r>
      <w:r>
        <w:rPr>
          <w:i/>
        </w:rPr>
        <w:t xml:space="preserve">what </w:t>
      </w:r>
      <w:r>
        <w:t>killed Tim</w:t>
      </w:r>
      <w:r>
        <w:rPr>
          <w:spacing w:val="40"/>
        </w:rPr>
        <w:t xml:space="preserve"> </w:t>
      </w:r>
      <w:r>
        <w:t xml:space="preserve">(he ate fish), but not know </w:t>
      </w:r>
      <w:r>
        <w:rPr>
          <w:i/>
        </w:rPr>
        <w:t xml:space="preserve">how </w:t>
      </w:r>
      <w:r>
        <w:t xml:space="preserve">it did so. (Was the fish rotten? Was it poisoned? Was Tim allergic to fish?)” Yes, but knowledge of the how is knowledge of the what. How-knowledge is high-resolution what-knowledge. If all you know about the cause of Tim’s death was that it was brought on by his eating fish, then you don’t </w:t>
      </w:r>
      <w:r>
        <w:rPr>
          <w:i/>
        </w:rPr>
        <w:t xml:space="preserve">really </w:t>
      </w:r>
      <w:r>
        <w:t>know what caused his death. Your not knowing the “how” consists in your not knowing the specific mechanisms involved; and your not knowing those mechanisms consists in your not knowing the “what.”</w:t>
      </w:r>
    </w:p>
    <w:p w14:paraId="7E002057" w14:textId="77777777" w:rsidR="009A58DB" w:rsidRDefault="00000000">
      <w:pPr>
        <w:pStyle w:val="BodyText"/>
        <w:spacing w:before="11" w:line="249" w:lineRule="auto"/>
        <w:ind w:right="358" w:firstLine="360"/>
      </w:pPr>
      <w:r>
        <w:t>That having been settled, let us turn to the question: how are causal anomalies minimized? The answer:</w:t>
      </w:r>
    </w:p>
    <w:p w14:paraId="7E002058" w14:textId="77777777" w:rsidR="009A58DB" w:rsidRDefault="00000000">
      <w:pPr>
        <w:pStyle w:val="BodyText"/>
        <w:spacing w:before="107" w:line="249" w:lineRule="auto"/>
        <w:ind w:left="720" w:right="365"/>
        <w:jc w:val="left"/>
      </w:pPr>
      <w:r>
        <w:t>(E</w:t>
      </w:r>
      <w:bookmarkStart w:id="453" w:name="_bookmark453"/>
      <w:bookmarkEnd w:id="453"/>
      <w:r>
        <w:t>D</w:t>
      </w:r>
      <w:r>
        <w:rPr>
          <w:color w:val="0562C1"/>
          <w:position w:val="21"/>
          <w:u w:val="single" w:color="0562C1"/>
        </w:rPr>
        <w:t>[335]</w:t>
      </w:r>
      <w:r>
        <w:t>) the elimination of causal anomalies consists in the elimination of discontinuities.</w:t>
      </w:r>
    </w:p>
    <w:p w14:paraId="7E002059" w14:textId="77777777" w:rsidR="009A58DB" w:rsidRDefault="00000000">
      <w:pPr>
        <w:pStyle w:val="BodyText"/>
        <w:spacing w:before="93" w:line="249" w:lineRule="auto"/>
        <w:ind w:right="364" w:firstLine="360"/>
      </w:pPr>
      <w:r>
        <w:t>You see a red ball roll in one end of a tunnel with opaque walls A moment later, you see a similar ball roll out the other end. Given this information, it is natural to suppose that</w:t>
      </w:r>
    </w:p>
    <w:p w14:paraId="7E00205A" w14:textId="77777777" w:rsidR="009A58DB" w:rsidRDefault="00000000">
      <w:pPr>
        <w:pStyle w:val="BodyText"/>
        <w:spacing w:before="108" w:line="292" w:lineRule="auto"/>
        <w:ind w:left="615" w:right="378" w:hanging="255"/>
      </w:pPr>
      <w:r>
        <w:t>(H</w:t>
      </w:r>
      <w:r>
        <w:rPr>
          <w:vertAlign w:val="subscript"/>
        </w:rPr>
        <w:t>1</w:t>
      </w:r>
      <w:r>
        <w:t>)</w:t>
      </w:r>
      <w:r>
        <w:rPr>
          <w:spacing w:val="-2"/>
        </w:rPr>
        <w:t xml:space="preserve"> </w:t>
      </w:r>
      <w:r>
        <w:t>the</w:t>
      </w:r>
      <w:r>
        <w:rPr>
          <w:spacing w:val="-2"/>
        </w:rPr>
        <w:t xml:space="preserve"> </w:t>
      </w:r>
      <w:r>
        <w:t>ball</w:t>
      </w:r>
      <w:r>
        <w:rPr>
          <w:spacing w:val="-2"/>
        </w:rPr>
        <w:t xml:space="preserve"> </w:t>
      </w:r>
      <w:r>
        <w:t>you</w:t>
      </w:r>
      <w:r>
        <w:rPr>
          <w:spacing w:val="-1"/>
        </w:rPr>
        <w:t xml:space="preserve"> </w:t>
      </w:r>
      <w:r>
        <w:t>saw</w:t>
      </w:r>
      <w:r>
        <w:rPr>
          <w:spacing w:val="-2"/>
        </w:rPr>
        <w:t xml:space="preserve"> </w:t>
      </w:r>
      <w:r>
        <w:t>entering</w:t>
      </w:r>
      <w:r>
        <w:rPr>
          <w:spacing w:val="-1"/>
        </w:rPr>
        <w:t xml:space="preserve"> </w:t>
      </w:r>
      <w:r>
        <w:t>the</w:t>
      </w:r>
      <w:r>
        <w:rPr>
          <w:spacing w:val="-2"/>
        </w:rPr>
        <w:t xml:space="preserve"> </w:t>
      </w:r>
      <w:r>
        <w:t>tunnel</w:t>
      </w:r>
      <w:r>
        <w:rPr>
          <w:spacing w:val="-2"/>
        </w:rPr>
        <w:t xml:space="preserve"> </w:t>
      </w:r>
      <w:r>
        <w:t>rolled</w:t>
      </w:r>
      <w:r>
        <w:rPr>
          <w:spacing w:val="-1"/>
        </w:rPr>
        <w:t xml:space="preserve"> </w:t>
      </w:r>
      <w:r>
        <w:t>from</w:t>
      </w:r>
      <w:r>
        <w:rPr>
          <w:spacing w:val="-2"/>
        </w:rPr>
        <w:t xml:space="preserve"> </w:t>
      </w:r>
      <w:r>
        <w:t>one</w:t>
      </w:r>
      <w:r>
        <w:rPr>
          <w:spacing w:val="-2"/>
        </w:rPr>
        <w:t xml:space="preserve"> </w:t>
      </w:r>
      <w:r>
        <w:t>end</w:t>
      </w:r>
      <w:r>
        <w:rPr>
          <w:spacing w:val="-1"/>
        </w:rPr>
        <w:t xml:space="preserve"> </w:t>
      </w:r>
      <w:r>
        <w:t>of</w:t>
      </w:r>
      <w:r>
        <w:rPr>
          <w:spacing w:val="-2"/>
        </w:rPr>
        <w:t xml:space="preserve"> </w:t>
      </w:r>
      <w:r>
        <w:t>it</w:t>
      </w:r>
      <w:r>
        <w:rPr>
          <w:spacing w:val="-2"/>
        </w:rPr>
        <w:t xml:space="preserve"> </w:t>
      </w:r>
      <w:r>
        <w:t>to</w:t>
      </w:r>
      <w:r>
        <w:rPr>
          <w:spacing w:val="-1"/>
        </w:rPr>
        <w:t xml:space="preserve"> </w:t>
      </w:r>
      <w:r>
        <w:t>the</w:t>
      </w:r>
      <w:r>
        <w:rPr>
          <w:spacing w:val="-2"/>
        </w:rPr>
        <w:t xml:space="preserve"> </w:t>
      </w:r>
      <w:r>
        <w:t>other and then exited it.</w:t>
      </w:r>
    </w:p>
    <w:p w14:paraId="7E00205B" w14:textId="77777777" w:rsidR="009A58DB" w:rsidRDefault="00000000">
      <w:pPr>
        <w:pStyle w:val="BodyText"/>
        <w:spacing w:before="44" w:line="271" w:lineRule="auto"/>
        <w:ind w:right="360" w:firstLine="360"/>
      </w:pPr>
      <w:r>
        <w:t>It’s a theoretical possibility that H1 isn’t the right explanation. Maybe what you saw is part of a magic-trick. But other things being equal, H</w:t>
      </w:r>
      <w:r>
        <w:rPr>
          <w:vertAlign w:val="subscript"/>
        </w:rPr>
        <w:t>1</w:t>
      </w:r>
      <w:r>
        <w:t xml:space="preserve"> is almost</w:t>
      </w:r>
      <w:r>
        <w:rPr>
          <w:spacing w:val="42"/>
        </w:rPr>
        <w:t xml:space="preserve"> </w:t>
      </w:r>
      <w:r>
        <w:t>certainly</w:t>
      </w:r>
      <w:r>
        <w:rPr>
          <w:spacing w:val="45"/>
        </w:rPr>
        <w:t xml:space="preserve"> </w:t>
      </w:r>
      <w:r>
        <w:t>correct.</w:t>
      </w:r>
      <w:r>
        <w:rPr>
          <w:spacing w:val="45"/>
        </w:rPr>
        <w:t xml:space="preserve"> </w:t>
      </w:r>
      <w:r>
        <w:t>And</w:t>
      </w:r>
      <w:r>
        <w:rPr>
          <w:spacing w:val="45"/>
        </w:rPr>
        <w:t xml:space="preserve"> </w:t>
      </w:r>
      <w:r>
        <w:t>even</w:t>
      </w:r>
      <w:r>
        <w:rPr>
          <w:spacing w:val="45"/>
        </w:rPr>
        <w:t xml:space="preserve"> </w:t>
      </w:r>
      <w:r>
        <w:t>if</w:t>
      </w:r>
      <w:r>
        <w:rPr>
          <w:spacing w:val="45"/>
        </w:rPr>
        <w:t xml:space="preserve"> </w:t>
      </w:r>
      <w:r>
        <w:t>it</w:t>
      </w:r>
      <w:r>
        <w:rPr>
          <w:spacing w:val="45"/>
        </w:rPr>
        <w:t xml:space="preserve"> </w:t>
      </w:r>
      <w:r>
        <w:t>isn’t</w:t>
      </w:r>
      <w:r>
        <w:rPr>
          <w:spacing w:val="45"/>
        </w:rPr>
        <w:t xml:space="preserve"> </w:t>
      </w:r>
      <w:r>
        <w:t>correct,</w:t>
      </w:r>
      <w:r>
        <w:rPr>
          <w:spacing w:val="45"/>
        </w:rPr>
        <w:t xml:space="preserve"> </w:t>
      </w:r>
      <w:r>
        <w:t>it’s</w:t>
      </w:r>
      <w:r>
        <w:rPr>
          <w:spacing w:val="45"/>
        </w:rPr>
        <w:t xml:space="preserve"> </w:t>
      </w:r>
      <w:r>
        <w:t>obviously</w:t>
      </w:r>
      <w:r>
        <w:rPr>
          <w:spacing w:val="45"/>
        </w:rPr>
        <w:t xml:space="preserve"> </w:t>
      </w:r>
      <w:r>
        <w:t>a</w:t>
      </w:r>
      <w:r>
        <w:rPr>
          <w:spacing w:val="45"/>
        </w:rPr>
        <w:t xml:space="preserve"> </w:t>
      </w:r>
      <w:r>
        <w:rPr>
          <w:spacing w:val="-4"/>
        </w:rPr>
        <w:t>very</w:t>
      </w:r>
    </w:p>
    <w:p w14:paraId="7E00205C" w14:textId="77777777" w:rsidR="009A58DB" w:rsidRDefault="00000000">
      <w:pPr>
        <w:pStyle w:val="BodyText"/>
        <w:spacing w:line="316" w:lineRule="exact"/>
      </w:pPr>
      <w:r>
        <w:t>reasonable</w:t>
      </w:r>
      <w:r>
        <w:rPr>
          <w:spacing w:val="27"/>
        </w:rPr>
        <w:t xml:space="preserve"> </w:t>
      </w:r>
      <w:r>
        <w:t>hypothesis.</w:t>
      </w:r>
      <w:r>
        <w:rPr>
          <w:spacing w:val="27"/>
        </w:rPr>
        <w:t xml:space="preserve"> </w:t>
      </w:r>
      <w:r>
        <w:t>The</w:t>
      </w:r>
      <w:r>
        <w:rPr>
          <w:spacing w:val="27"/>
        </w:rPr>
        <w:t xml:space="preserve"> </w:t>
      </w:r>
      <w:r>
        <w:t>reason</w:t>
      </w:r>
      <w:r>
        <w:rPr>
          <w:spacing w:val="27"/>
        </w:rPr>
        <w:t xml:space="preserve"> </w:t>
      </w:r>
      <w:r>
        <w:t>is</w:t>
      </w:r>
      <w:r>
        <w:rPr>
          <w:spacing w:val="28"/>
        </w:rPr>
        <w:t xml:space="preserve"> </w:t>
      </w:r>
      <w:r>
        <w:t>that</w:t>
      </w:r>
      <w:r>
        <w:rPr>
          <w:spacing w:val="27"/>
        </w:rPr>
        <w:t xml:space="preserve"> </w:t>
      </w:r>
      <w:r>
        <w:t>it</w:t>
      </w:r>
      <w:r>
        <w:rPr>
          <w:spacing w:val="27"/>
        </w:rPr>
        <w:t xml:space="preserve"> </w:t>
      </w:r>
      <w:r>
        <w:t>eliminates</w:t>
      </w:r>
      <w:r>
        <w:rPr>
          <w:spacing w:val="27"/>
        </w:rPr>
        <w:t xml:space="preserve"> </w:t>
      </w:r>
      <w:r>
        <w:t>the</w:t>
      </w:r>
      <w:r>
        <w:rPr>
          <w:spacing w:val="27"/>
        </w:rPr>
        <w:t xml:space="preserve"> </w:t>
      </w:r>
      <w:r>
        <w:t>discontinuities</w:t>
      </w:r>
      <w:r>
        <w:rPr>
          <w:spacing w:val="28"/>
        </w:rPr>
        <w:t xml:space="preserve"> </w:t>
      </w:r>
      <w:r>
        <w:rPr>
          <w:spacing w:val="-5"/>
        </w:rPr>
        <w:t>in</w:t>
      </w:r>
    </w:p>
    <w:p w14:paraId="7E00205D" w14:textId="77777777" w:rsidR="009A58DB" w:rsidRDefault="00000000">
      <w:pPr>
        <w:pStyle w:val="BodyText"/>
        <w:spacing w:before="15" w:line="249" w:lineRule="auto"/>
        <w:ind w:right="362"/>
      </w:pPr>
      <w:r>
        <w:t>the events that you observed by supplementing them with events that you did not observe. Your observations tell you that some ball was instantaneously annihilated and that some other ball instantaneously popped into existence a few</w:t>
      </w:r>
      <w:r>
        <w:rPr>
          <w:spacing w:val="16"/>
        </w:rPr>
        <w:t xml:space="preserve"> </w:t>
      </w:r>
      <w:r>
        <w:t>feet</w:t>
      </w:r>
      <w:r>
        <w:rPr>
          <w:spacing w:val="16"/>
        </w:rPr>
        <w:t xml:space="preserve"> </w:t>
      </w:r>
      <w:r>
        <w:t>away.</w:t>
      </w:r>
      <w:r>
        <w:rPr>
          <w:spacing w:val="17"/>
        </w:rPr>
        <w:t xml:space="preserve"> </w:t>
      </w:r>
      <w:r>
        <w:t>But</w:t>
      </w:r>
      <w:r>
        <w:rPr>
          <w:spacing w:val="16"/>
        </w:rPr>
        <w:t xml:space="preserve"> </w:t>
      </w:r>
      <w:r>
        <w:t>if</w:t>
      </w:r>
      <w:r>
        <w:rPr>
          <w:spacing w:val="16"/>
        </w:rPr>
        <w:t xml:space="preserve"> </w:t>
      </w:r>
      <w:r>
        <w:t>H</w:t>
      </w:r>
      <w:r>
        <w:rPr>
          <w:vertAlign w:val="subscript"/>
        </w:rPr>
        <w:t>1</w:t>
      </w:r>
      <w:r>
        <w:rPr>
          <w:spacing w:val="16"/>
        </w:rPr>
        <w:t xml:space="preserve"> </w:t>
      </w:r>
      <w:r>
        <w:t>is</w:t>
      </w:r>
      <w:r>
        <w:rPr>
          <w:spacing w:val="17"/>
        </w:rPr>
        <w:t xml:space="preserve"> </w:t>
      </w:r>
      <w:r>
        <w:t>correct,</w:t>
      </w:r>
      <w:r>
        <w:rPr>
          <w:spacing w:val="16"/>
        </w:rPr>
        <w:t xml:space="preserve"> </w:t>
      </w:r>
      <w:r>
        <w:t>none</w:t>
      </w:r>
      <w:r>
        <w:rPr>
          <w:spacing w:val="16"/>
        </w:rPr>
        <w:t xml:space="preserve"> </w:t>
      </w:r>
      <w:r>
        <w:t>of</w:t>
      </w:r>
      <w:r>
        <w:rPr>
          <w:spacing w:val="16"/>
        </w:rPr>
        <w:t xml:space="preserve"> </w:t>
      </w:r>
      <w:r>
        <w:t>these</w:t>
      </w:r>
      <w:r>
        <w:rPr>
          <w:spacing w:val="16"/>
        </w:rPr>
        <w:t xml:space="preserve"> </w:t>
      </w:r>
      <w:r>
        <w:rPr>
          <w:i/>
        </w:rPr>
        <w:t>apparent</w:t>
      </w:r>
      <w:r>
        <w:rPr>
          <w:i/>
          <w:spacing w:val="13"/>
        </w:rPr>
        <w:t xml:space="preserve"> </w:t>
      </w:r>
      <w:r>
        <w:t>discontinuities</w:t>
      </w:r>
      <w:r>
        <w:rPr>
          <w:spacing w:val="28"/>
        </w:rPr>
        <w:t xml:space="preserve"> </w:t>
      </w:r>
      <w:r>
        <w:rPr>
          <w:spacing w:val="-5"/>
        </w:rPr>
        <w:t>is</w:t>
      </w:r>
    </w:p>
    <w:p w14:paraId="7E00205E" w14:textId="77777777" w:rsidR="009A58DB" w:rsidRDefault="00000000">
      <w:pPr>
        <w:pStyle w:val="BodyText"/>
        <w:spacing w:before="65" w:line="271" w:lineRule="auto"/>
        <w:ind w:right="362"/>
      </w:pPr>
      <w:r>
        <w:t>an actual discontinuity. At least part of what makes H</w:t>
      </w:r>
      <w:r>
        <w:rPr>
          <w:vertAlign w:val="subscript"/>
        </w:rPr>
        <w:t>1</w:t>
      </w:r>
      <w:r>
        <w:rPr>
          <w:spacing w:val="-6"/>
        </w:rPr>
        <w:t xml:space="preserve"> </w:t>
      </w:r>
      <w:r>
        <w:t>a good hypothesis is that, to the extent that it’s correct, reality is continuous. This suggests that to explain</w:t>
      </w:r>
      <w:r>
        <w:rPr>
          <w:spacing w:val="48"/>
        </w:rPr>
        <w:t xml:space="preserve">  </w:t>
      </w:r>
      <w:r>
        <w:t>is</w:t>
      </w:r>
      <w:r>
        <w:rPr>
          <w:spacing w:val="50"/>
        </w:rPr>
        <w:t xml:space="preserve">  </w:t>
      </w:r>
      <w:r>
        <w:t>to</w:t>
      </w:r>
      <w:r>
        <w:rPr>
          <w:spacing w:val="50"/>
        </w:rPr>
        <w:t xml:space="preserve">  </w:t>
      </w:r>
      <w:r>
        <w:t>eliminate</w:t>
      </w:r>
      <w:r>
        <w:rPr>
          <w:spacing w:val="50"/>
        </w:rPr>
        <w:t xml:space="preserve">  </w:t>
      </w:r>
      <w:r>
        <w:t>discontinuities.</w:t>
      </w:r>
      <w:r>
        <w:rPr>
          <w:spacing w:val="50"/>
        </w:rPr>
        <w:t xml:space="preserve">  </w:t>
      </w:r>
      <w:r>
        <w:t>Explanation</w:t>
      </w:r>
      <w:r>
        <w:rPr>
          <w:spacing w:val="51"/>
        </w:rPr>
        <w:t xml:space="preserve">  </w:t>
      </w:r>
      <w:r>
        <w:t>is</w:t>
      </w:r>
      <w:r>
        <w:rPr>
          <w:spacing w:val="50"/>
        </w:rPr>
        <w:t xml:space="preserve">  </w:t>
      </w:r>
      <w:r>
        <w:rPr>
          <w:spacing w:val="-2"/>
        </w:rPr>
        <w:t>discontinuity-</w:t>
      </w:r>
    </w:p>
    <w:p w14:paraId="7E00205F" w14:textId="77777777" w:rsidR="009A58DB" w:rsidRDefault="00000000">
      <w:pPr>
        <w:pStyle w:val="BodyText"/>
        <w:spacing w:line="316" w:lineRule="exact"/>
        <w:jc w:val="left"/>
      </w:pPr>
      <w:r>
        <w:rPr>
          <w:spacing w:val="-2"/>
        </w:rPr>
        <w:t>elimination.</w:t>
      </w:r>
    </w:p>
    <w:p w14:paraId="7E002060" w14:textId="77777777" w:rsidR="009A58DB" w:rsidRDefault="00000000">
      <w:pPr>
        <w:pStyle w:val="BodyText"/>
        <w:spacing w:before="15"/>
        <w:ind w:left="720"/>
        <w:jc w:val="left"/>
      </w:pPr>
      <w:r>
        <w:t>In</w:t>
      </w:r>
      <w:r>
        <w:rPr>
          <w:spacing w:val="-3"/>
        </w:rPr>
        <w:t xml:space="preserve"> </w:t>
      </w:r>
      <w:r>
        <w:t>response</w:t>
      </w:r>
      <w:r>
        <w:rPr>
          <w:spacing w:val="-2"/>
        </w:rPr>
        <w:t xml:space="preserve"> </w:t>
      </w:r>
      <w:r>
        <w:t>to</w:t>
      </w:r>
      <w:r>
        <w:rPr>
          <w:spacing w:val="-3"/>
        </w:rPr>
        <w:t xml:space="preserve"> </w:t>
      </w:r>
      <w:r>
        <w:t>this,</w:t>
      </w:r>
      <w:r>
        <w:rPr>
          <w:spacing w:val="-2"/>
        </w:rPr>
        <w:t xml:space="preserve"> </w:t>
      </w:r>
      <w:r>
        <w:t>it</w:t>
      </w:r>
      <w:r>
        <w:rPr>
          <w:spacing w:val="-3"/>
        </w:rPr>
        <w:t xml:space="preserve"> </w:t>
      </w:r>
      <w:r>
        <w:t>will</w:t>
      </w:r>
      <w:r>
        <w:rPr>
          <w:spacing w:val="-2"/>
        </w:rPr>
        <w:t xml:space="preserve"> </w:t>
      </w:r>
      <w:r>
        <w:t>be</w:t>
      </w:r>
      <w:r>
        <w:rPr>
          <w:spacing w:val="-3"/>
        </w:rPr>
        <w:t xml:space="preserve"> </w:t>
      </w:r>
      <w:r>
        <w:t>said</w:t>
      </w:r>
      <w:r>
        <w:rPr>
          <w:spacing w:val="-2"/>
        </w:rPr>
        <w:t xml:space="preserve"> </w:t>
      </w:r>
      <w:r>
        <w:rPr>
          <w:spacing w:val="-4"/>
        </w:rPr>
        <w:t>that:</w:t>
      </w:r>
    </w:p>
    <w:p w14:paraId="7E002061" w14:textId="77777777" w:rsidR="009A58DB" w:rsidRDefault="009A58DB">
      <w:pPr>
        <w:pStyle w:val="BodyText"/>
        <w:jc w:val="left"/>
        <w:sectPr w:rsidR="009A58DB">
          <w:pgSz w:w="12240" w:h="15840"/>
          <w:pgMar w:top="1740" w:right="1080" w:bottom="280" w:left="1080" w:header="720" w:footer="720" w:gutter="0"/>
          <w:cols w:space="720"/>
        </w:sectPr>
      </w:pPr>
    </w:p>
    <w:p w14:paraId="7E002062" w14:textId="77777777" w:rsidR="009A58DB" w:rsidRDefault="00000000">
      <w:pPr>
        <w:pStyle w:val="BodyText"/>
        <w:spacing w:before="65" w:line="249" w:lineRule="auto"/>
        <w:ind w:left="720" w:right="719"/>
      </w:pPr>
      <w:r>
        <w:lastRenderedPageBreak/>
        <w:t>(OH</w:t>
      </w:r>
      <w:bookmarkStart w:id="454" w:name="_bookmark454"/>
      <w:bookmarkEnd w:id="454"/>
      <w:r>
        <w:t>)</w:t>
      </w:r>
      <w:r>
        <w:rPr>
          <w:color w:val="0562C1"/>
          <w:position w:val="21"/>
          <w:u w:val="single" w:color="0562C1"/>
        </w:rPr>
        <w:t>[336]</w:t>
      </w:r>
      <w:r>
        <w:rPr>
          <w:color w:val="0562C1"/>
          <w:position w:val="21"/>
        </w:rPr>
        <w:t xml:space="preserve"> </w:t>
      </w:r>
      <w:r>
        <w:t>We can use your own example to prove that, contrary to what you are alleging, explanation is not the same thing as discontinuity-elimination. A ball rolls into one end of a tunnel and a similar ball rolls out the other. But the second ball isn’t identical with the first. The first was obliterated the moment it was completely inside the tunnel. At that instant, an iguana suddenly materialized in the place previously occupied by the ball. That iguana ran from one end of the tunnel. But just before it would have emerged from the other end of the tunnel, the iguana hit a force field. Because of that collision, the iguana turned into a ball just like the one that entered the tunnel and, in addition, that ball rolled out of the tunnel.</w:t>
      </w:r>
    </w:p>
    <w:p w14:paraId="7E002063" w14:textId="77777777" w:rsidR="009A58DB" w:rsidRDefault="00000000">
      <w:pPr>
        <w:pStyle w:val="BodyText"/>
        <w:spacing w:before="13" w:line="271" w:lineRule="auto"/>
        <w:ind w:left="720" w:right="362" w:firstLine="360"/>
      </w:pPr>
      <w:r>
        <w:t>Let H</w:t>
      </w:r>
      <w:r>
        <w:rPr>
          <w:vertAlign w:val="subscript"/>
        </w:rPr>
        <w:t>2</w:t>
      </w:r>
      <w:r>
        <w:t xml:space="preserve"> be this hypothesis. H</w:t>
      </w:r>
      <w:r>
        <w:rPr>
          <w:vertAlign w:val="subscript"/>
        </w:rPr>
        <w:t>2</w:t>
      </w:r>
      <w:r>
        <w:t xml:space="preserve"> eliminates each of the discontinuities eliminated by H</w:t>
      </w:r>
      <w:r>
        <w:rPr>
          <w:position w:val="-7"/>
          <w:sz w:val="22"/>
        </w:rPr>
        <w:t>1</w:t>
      </w:r>
      <w:r>
        <w:t>. But whereas H</w:t>
      </w:r>
      <w:r>
        <w:rPr>
          <w:position w:val="-7"/>
          <w:sz w:val="22"/>
        </w:rPr>
        <w:t xml:space="preserve">1 </w:t>
      </w:r>
      <w:r>
        <w:t>is a good hypothesis, H</w:t>
      </w:r>
      <w:r>
        <w:rPr>
          <w:position w:val="-7"/>
          <w:sz w:val="22"/>
        </w:rPr>
        <w:t xml:space="preserve">2 </w:t>
      </w:r>
      <w:r>
        <w:t xml:space="preserve">is rubbish. So you’re wrong: to explain is </w:t>
      </w:r>
      <w:r>
        <w:rPr>
          <w:i/>
        </w:rPr>
        <w:t xml:space="preserve">not </w:t>
      </w:r>
      <w:r>
        <w:t>to eliminate discontinuities.</w:t>
      </w:r>
    </w:p>
    <w:p w14:paraId="7E002064" w14:textId="77777777" w:rsidR="009A58DB" w:rsidRDefault="00000000">
      <w:pPr>
        <w:pStyle w:val="BodyText"/>
        <w:spacing w:before="73" w:line="271" w:lineRule="auto"/>
        <w:ind w:right="361" w:firstLine="360"/>
      </w:pPr>
      <w:r>
        <w:t>OH is misguided. Supposing that H</w:t>
      </w:r>
      <w:r>
        <w:rPr>
          <w:vertAlign w:val="subscript"/>
        </w:rPr>
        <w:t>2</w:t>
      </w:r>
      <w:r>
        <w:t xml:space="preserve"> is correct, a red ball suddenly vanishes and is replaced with an iguana that, although continuous with the ball</w:t>
      </w:r>
      <w:r>
        <w:rPr>
          <w:spacing w:val="41"/>
          <w:w w:val="150"/>
        </w:rPr>
        <w:t xml:space="preserve"> </w:t>
      </w:r>
      <w:r>
        <w:t>in</w:t>
      </w:r>
      <w:r>
        <w:rPr>
          <w:spacing w:val="43"/>
          <w:w w:val="150"/>
        </w:rPr>
        <w:t xml:space="preserve"> </w:t>
      </w:r>
      <w:r>
        <w:t>respect</w:t>
      </w:r>
      <w:r>
        <w:rPr>
          <w:spacing w:val="44"/>
          <w:w w:val="150"/>
        </w:rPr>
        <w:t xml:space="preserve"> </w:t>
      </w:r>
      <w:r>
        <w:t>of</w:t>
      </w:r>
      <w:r>
        <w:rPr>
          <w:spacing w:val="43"/>
          <w:w w:val="150"/>
        </w:rPr>
        <w:t xml:space="preserve"> </w:t>
      </w:r>
      <w:r>
        <w:t>its</w:t>
      </w:r>
      <w:r>
        <w:rPr>
          <w:spacing w:val="44"/>
          <w:w w:val="150"/>
        </w:rPr>
        <w:t xml:space="preserve"> </w:t>
      </w:r>
      <w:r>
        <w:rPr>
          <w:i/>
        </w:rPr>
        <w:t>position,</w:t>
      </w:r>
      <w:r>
        <w:rPr>
          <w:i/>
          <w:spacing w:val="73"/>
        </w:rPr>
        <w:t xml:space="preserve"> </w:t>
      </w:r>
      <w:r>
        <w:t>is</w:t>
      </w:r>
      <w:r>
        <w:rPr>
          <w:spacing w:val="45"/>
          <w:w w:val="150"/>
        </w:rPr>
        <w:t xml:space="preserve"> </w:t>
      </w:r>
      <w:r>
        <w:t>discontinuous</w:t>
      </w:r>
      <w:r>
        <w:rPr>
          <w:spacing w:val="46"/>
          <w:w w:val="150"/>
        </w:rPr>
        <w:t xml:space="preserve"> </w:t>
      </w:r>
      <w:r>
        <w:t>with</w:t>
      </w:r>
      <w:r>
        <w:rPr>
          <w:spacing w:val="45"/>
          <w:w w:val="150"/>
        </w:rPr>
        <w:t xml:space="preserve"> </w:t>
      </w:r>
      <w:r>
        <w:t>it</w:t>
      </w:r>
      <w:r>
        <w:rPr>
          <w:spacing w:val="45"/>
          <w:w w:val="150"/>
        </w:rPr>
        <w:t xml:space="preserve"> </w:t>
      </w:r>
      <w:r>
        <w:t>in</w:t>
      </w:r>
      <w:r>
        <w:rPr>
          <w:spacing w:val="45"/>
          <w:w w:val="150"/>
        </w:rPr>
        <w:t xml:space="preserve"> </w:t>
      </w:r>
      <w:r>
        <w:t>respect</w:t>
      </w:r>
      <w:r>
        <w:rPr>
          <w:spacing w:val="45"/>
          <w:w w:val="150"/>
        </w:rPr>
        <w:t xml:space="preserve"> </w:t>
      </w:r>
      <w:r>
        <w:t>of</w:t>
      </w:r>
      <w:r>
        <w:rPr>
          <w:spacing w:val="46"/>
          <w:w w:val="150"/>
        </w:rPr>
        <w:t xml:space="preserve"> </w:t>
      </w:r>
      <w:r>
        <w:rPr>
          <w:spacing w:val="-5"/>
        </w:rPr>
        <w:t>its</w:t>
      </w:r>
    </w:p>
    <w:p w14:paraId="7E002065" w14:textId="77777777" w:rsidR="009A58DB" w:rsidRDefault="00000000">
      <w:pPr>
        <w:pStyle w:val="BodyText"/>
        <w:spacing w:line="316" w:lineRule="exact"/>
      </w:pPr>
      <w:r>
        <w:t>morphological,</w:t>
      </w:r>
      <w:r>
        <w:rPr>
          <w:spacing w:val="4"/>
        </w:rPr>
        <w:t xml:space="preserve"> </w:t>
      </w:r>
      <w:r>
        <w:t>chromatic,</w:t>
      </w:r>
      <w:r>
        <w:rPr>
          <w:spacing w:val="7"/>
        </w:rPr>
        <w:t xml:space="preserve"> </w:t>
      </w:r>
      <w:r>
        <w:t>and</w:t>
      </w:r>
      <w:r>
        <w:rPr>
          <w:spacing w:val="7"/>
        </w:rPr>
        <w:t xml:space="preserve"> </w:t>
      </w:r>
      <w:r>
        <w:t>chemical</w:t>
      </w:r>
      <w:r>
        <w:rPr>
          <w:spacing w:val="7"/>
        </w:rPr>
        <w:t xml:space="preserve"> </w:t>
      </w:r>
      <w:r>
        <w:t>properties;</w:t>
      </w:r>
      <w:r>
        <w:rPr>
          <w:spacing w:val="7"/>
        </w:rPr>
        <w:t xml:space="preserve"> </w:t>
      </w:r>
      <w:r>
        <w:t>and,</w:t>
      </w:r>
      <w:r>
        <w:rPr>
          <w:spacing w:val="7"/>
        </w:rPr>
        <w:t xml:space="preserve"> </w:t>
      </w:r>
      <w:r>
        <w:t>a</w:t>
      </w:r>
      <w:r>
        <w:rPr>
          <w:spacing w:val="7"/>
        </w:rPr>
        <w:t xml:space="preserve"> </w:t>
      </w:r>
      <w:r>
        <w:t>moment</w:t>
      </w:r>
      <w:r>
        <w:rPr>
          <w:spacing w:val="7"/>
        </w:rPr>
        <w:t xml:space="preserve"> </w:t>
      </w:r>
      <w:r>
        <w:t>later,</w:t>
      </w:r>
      <w:r>
        <w:rPr>
          <w:spacing w:val="7"/>
        </w:rPr>
        <w:t xml:space="preserve"> </w:t>
      </w:r>
      <w:r>
        <w:rPr>
          <w:spacing w:val="-4"/>
        </w:rPr>
        <w:t>that</w:t>
      </w:r>
    </w:p>
    <w:p w14:paraId="7E002066" w14:textId="77777777" w:rsidR="009A58DB" w:rsidRDefault="00000000">
      <w:pPr>
        <w:pStyle w:val="BodyText"/>
        <w:spacing w:before="15" w:line="249" w:lineRule="auto"/>
        <w:ind w:right="362"/>
      </w:pPr>
      <w:r>
        <w:t>iguana suddenly vanishes and is replaced with a ball that, although</w:t>
      </w:r>
      <w:r>
        <w:rPr>
          <w:spacing w:val="40"/>
        </w:rPr>
        <w:t xml:space="preserve"> </w:t>
      </w:r>
      <w:r>
        <w:t>continuous with the iguana in respect of its position, is discontinuous with it in</w:t>
      </w:r>
      <w:r>
        <w:rPr>
          <w:spacing w:val="72"/>
        </w:rPr>
        <w:t xml:space="preserve"> </w:t>
      </w:r>
      <w:r>
        <w:t>respect</w:t>
      </w:r>
      <w:r>
        <w:rPr>
          <w:spacing w:val="73"/>
        </w:rPr>
        <w:t xml:space="preserve"> </w:t>
      </w:r>
      <w:r>
        <w:t>of</w:t>
      </w:r>
      <w:r>
        <w:rPr>
          <w:spacing w:val="73"/>
        </w:rPr>
        <w:t xml:space="preserve"> </w:t>
      </w:r>
      <w:r>
        <w:t>its</w:t>
      </w:r>
      <w:r>
        <w:rPr>
          <w:spacing w:val="73"/>
        </w:rPr>
        <w:t xml:space="preserve"> </w:t>
      </w:r>
      <w:r>
        <w:t>shape,</w:t>
      </w:r>
      <w:r>
        <w:rPr>
          <w:spacing w:val="73"/>
        </w:rPr>
        <w:t xml:space="preserve"> </w:t>
      </w:r>
      <w:r>
        <w:t>color,</w:t>
      </w:r>
      <w:r>
        <w:rPr>
          <w:spacing w:val="72"/>
        </w:rPr>
        <w:t xml:space="preserve"> </w:t>
      </w:r>
      <w:r>
        <w:t>and</w:t>
      </w:r>
      <w:r>
        <w:rPr>
          <w:spacing w:val="73"/>
        </w:rPr>
        <w:t xml:space="preserve"> </w:t>
      </w:r>
      <w:r>
        <w:t>chemical</w:t>
      </w:r>
      <w:r>
        <w:rPr>
          <w:spacing w:val="73"/>
        </w:rPr>
        <w:t xml:space="preserve"> </w:t>
      </w:r>
      <w:r>
        <w:t>properties.</w:t>
      </w:r>
      <w:r>
        <w:rPr>
          <w:spacing w:val="73"/>
        </w:rPr>
        <w:t xml:space="preserve"> </w:t>
      </w:r>
      <w:r>
        <w:t>Thus,</w:t>
      </w:r>
      <w:r>
        <w:rPr>
          <w:spacing w:val="73"/>
        </w:rPr>
        <w:t xml:space="preserve"> </w:t>
      </w:r>
      <w:r>
        <w:t>merely</w:t>
      </w:r>
      <w:r>
        <w:rPr>
          <w:spacing w:val="73"/>
        </w:rPr>
        <w:t xml:space="preserve"> </w:t>
      </w:r>
      <w:r>
        <w:rPr>
          <w:spacing w:val="-5"/>
        </w:rPr>
        <w:t>H</w:t>
      </w:r>
      <w:r>
        <w:rPr>
          <w:spacing w:val="-5"/>
          <w:vertAlign w:val="subscript"/>
        </w:rPr>
        <w:t>2</w:t>
      </w:r>
    </w:p>
    <w:p w14:paraId="7E002067" w14:textId="77777777" w:rsidR="009A58DB" w:rsidRDefault="00000000">
      <w:pPr>
        <w:pStyle w:val="BodyText"/>
        <w:spacing w:before="64" w:line="292" w:lineRule="auto"/>
        <w:ind w:right="358"/>
      </w:pPr>
      <w:r>
        <w:t>replaces</w:t>
      </w:r>
      <w:r>
        <w:rPr>
          <w:spacing w:val="-4"/>
        </w:rPr>
        <w:t xml:space="preserve"> </w:t>
      </w:r>
      <w:r>
        <w:t>observed</w:t>
      </w:r>
      <w:r>
        <w:rPr>
          <w:spacing w:val="-3"/>
        </w:rPr>
        <w:t xml:space="preserve"> </w:t>
      </w:r>
      <w:r>
        <w:t>discontinuities</w:t>
      </w:r>
      <w:r>
        <w:rPr>
          <w:spacing w:val="-4"/>
        </w:rPr>
        <w:t xml:space="preserve"> </w:t>
      </w:r>
      <w:r>
        <w:t>unobserved</w:t>
      </w:r>
      <w:r>
        <w:rPr>
          <w:spacing w:val="-3"/>
        </w:rPr>
        <w:t xml:space="preserve"> </w:t>
      </w:r>
      <w:r>
        <w:t>discontinuities.</w:t>
      </w:r>
      <w:r>
        <w:rPr>
          <w:spacing w:val="-3"/>
        </w:rPr>
        <w:t xml:space="preserve"> </w:t>
      </w:r>
      <w:r>
        <w:t>H</w:t>
      </w:r>
      <w:r>
        <w:rPr>
          <w:vertAlign w:val="subscript"/>
        </w:rPr>
        <w:t>1</w:t>
      </w:r>
      <w:r>
        <w:t xml:space="preserve"> doesn’t posit any of the discontinuities posited by H</w:t>
      </w:r>
      <w:r>
        <w:rPr>
          <w:vertAlign w:val="subscript"/>
        </w:rPr>
        <w:t>2</w:t>
      </w:r>
      <w:r>
        <w:t>. So contrary to what OH says, there are many discontinuities that H</w:t>
      </w:r>
      <w:r>
        <w:rPr>
          <w:vertAlign w:val="subscript"/>
        </w:rPr>
        <w:t>1</w:t>
      </w:r>
      <w:r>
        <w:t xml:space="preserve"> eliminates that H</w:t>
      </w:r>
      <w:r>
        <w:rPr>
          <w:vertAlign w:val="subscript"/>
        </w:rPr>
        <w:t>2</w:t>
      </w:r>
      <w:r>
        <w:t xml:space="preserve"> fails to eliminate. Moreover, there discontinuities that H</w:t>
      </w:r>
      <w:r>
        <w:rPr>
          <w:vertAlign w:val="subscript"/>
        </w:rPr>
        <w:t>2</w:t>
      </w:r>
      <w:r>
        <w:t xml:space="preserve"> creates that H</w:t>
      </w:r>
      <w:r>
        <w:rPr>
          <w:vertAlign w:val="subscript"/>
        </w:rPr>
        <w:t>1</w:t>
      </w:r>
      <w:r>
        <w:t xml:space="preserve"> does not create. These</w:t>
      </w:r>
    </w:p>
    <w:p w14:paraId="7E002068" w14:textId="77777777" w:rsidR="009A58DB" w:rsidRDefault="00000000">
      <w:pPr>
        <w:pStyle w:val="BodyText"/>
        <w:spacing w:line="249" w:lineRule="auto"/>
        <w:ind w:right="358"/>
      </w:pPr>
      <w:r>
        <w:t>facts are not only consistent with, but strongly support, our thesis that explanation is discontinuity-elimination.</w:t>
      </w:r>
    </w:p>
    <w:p w14:paraId="7E002069" w14:textId="77777777" w:rsidR="009A58DB" w:rsidRDefault="00000000">
      <w:pPr>
        <w:pStyle w:val="BodyText"/>
        <w:ind w:left="720"/>
      </w:pPr>
      <w:r>
        <w:t>That</w:t>
      </w:r>
      <w:r>
        <w:rPr>
          <w:spacing w:val="-5"/>
        </w:rPr>
        <w:t xml:space="preserve"> </w:t>
      </w:r>
      <w:r>
        <w:t>said,</w:t>
      </w:r>
      <w:r>
        <w:rPr>
          <w:spacing w:val="-2"/>
        </w:rPr>
        <w:t xml:space="preserve"> </w:t>
      </w:r>
      <w:r>
        <w:t>there</w:t>
      </w:r>
      <w:r>
        <w:rPr>
          <w:spacing w:val="-2"/>
        </w:rPr>
        <w:t xml:space="preserve"> </w:t>
      </w:r>
      <w:r>
        <w:t>is</w:t>
      </w:r>
      <w:r>
        <w:rPr>
          <w:spacing w:val="-3"/>
        </w:rPr>
        <w:t xml:space="preserve"> </w:t>
      </w:r>
      <w:r>
        <w:t>a</w:t>
      </w:r>
      <w:r>
        <w:rPr>
          <w:spacing w:val="-2"/>
        </w:rPr>
        <w:t xml:space="preserve"> </w:t>
      </w:r>
      <w:r>
        <w:t>gap</w:t>
      </w:r>
      <w:r>
        <w:rPr>
          <w:spacing w:val="-2"/>
        </w:rPr>
        <w:t xml:space="preserve"> </w:t>
      </w:r>
      <w:r>
        <w:t>in</w:t>
      </w:r>
      <w:r>
        <w:rPr>
          <w:spacing w:val="-1"/>
        </w:rPr>
        <w:t xml:space="preserve"> </w:t>
      </w:r>
      <w:r>
        <w:t>our</w:t>
      </w:r>
      <w:r>
        <w:rPr>
          <w:spacing w:val="-3"/>
        </w:rPr>
        <w:t xml:space="preserve"> </w:t>
      </w:r>
      <w:r>
        <w:t>defense</w:t>
      </w:r>
      <w:r>
        <w:rPr>
          <w:spacing w:val="-2"/>
        </w:rPr>
        <w:t xml:space="preserve"> </w:t>
      </w:r>
      <w:r>
        <w:t>of</w:t>
      </w:r>
      <w:r>
        <w:rPr>
          <w:spacing w:val="-3"/>
        </w:rPr>
        <w:t xml:space="preserve"> </w:t>
      </w:r>
      <w:r>
        <w:t>that</w:t>
      </w:r>
      <w:r>
        <w:rPr>
          <w:spacing w:val="-2"/>
        </w:rPr>
        <w:t xml:space="preserve"> thesis:</w:t>
      </w:r>
    </w:p>
    <w:p w14:paraId="7E00206A" w14:textId="77777777" w:rsidR="009A58DB" w:rsidRDefault="00000000">
      <w:pPr>
        <w:pStyle w:val="BodyText"/>
        <w:spacing w:before="104" w:line="249" w:lineRule="auto"/>
        <w:ind w:left="720" w:right="364"/>
      </w:pPr>
      <w:r>
        <w:t>(OH*) Clearly erroneous hypotheses can do just as good a job as correct ones of eliminating discontinuities. Here is an example.</w:t>
      </w:r>
      <w:r>
        <w:rPr>
          <w:spacing w:val="-9"/>
        </w:rPr>
        <w:t xml:space="preserve"> </w:t>
      </w:r>
      <w:r>
        <w:t xml:space="preserve">You see a ball roll </w:t>
      </w:r>
      <w:r>
        <w:rPr>
          <w:spacing w:val="-2"/>
        </w:rPr>
        <w:t>into</w:t>
      </w:r>
      <w:r>
        <w:rPr>
          <w:spacing w:val="-17"/>
        </w:rPr>
        <w:t xml:space="preserve"> </w:t>
      </w:r>
      <w:r>
        <w:rPr>
          <w:spacing w:val="-2"/>
        </w:rPr>
        <w:t>an</w:t>
      </w:r>
      <w:r>
        <w:rPr>
          <w:spacing w:val="-17"/>
        </w:rPr>
        <w:t xml:space="preserve"> </w:t>
      </w:r>
      <w:r>
        <w:rPr>
          <w:spacing w:val="-2"/>
        </w:rPr>
        <w:t>opaque</w:t>
      </w:r>
      <w:r>
        <w:rPr>
          <w:spacing w:val="-17"/>
        </w:rPr>
        <w:t xml:space="preserve"> </w:t>
      </w:r>
      <w:r>
        <w:rPr>
          <w:spacing w:val="-2"/>
        </w:rPr>
        <w:t>tunnel.</w:t>
      </w:r>
      <w:r>
        <w:rPr>
          <w:spacing w:val="-16"/>
        </w:rPr>
        <w:t xml:space="preserve"> </w:t>
      </w:r>
      <w:r>
        <w:rPr>
          <w:spacing w:val="-2"/>
        </w:rPr>
        <w:t>Immediately</w:t>
      </w:r>
      <w:r>
        <w:rPr>
          <w:spacing w:val="-17"/>
        </w:rPr>
        <w:t xml:space="preserve"> </w:t>
      </w:r>
      <w:r>
        <w:rPr>
          <w:spacing w:val="-2"/>
        </w:rPr>
        <w:t>upon</w:t>
      </w:r>
      <w:r>
        <w:rPr>
          <w:spacing w:val="-17"/>
        </w:rPr>
        <w:t xml:space="preserve"> </w:t>
      </w:r>
      <w:r>
        <w:rPr>
          <w:spacing w:val="-2"/>
        </w:rPr>
        <w:t>entering</w:t>
      </w:r>
      <w:r>
        <w:rPr>
          <w:spacing w:val="-17"/>
        </w:rPr>
        <w:t xml:space="preserve"> </w:t>
      </w:r>
      <w:r>
        <w:rPr>
          <w:spacing w:val="-2"/>
        </w:rPr>
        <w:t>the</w:t>
      </w:r>
      <w:r>
        <w:rPr>
          <w:spacing w:val="-16"/>
        </w:rPr>
        <w:t xml:space="preserve"> </w:t>
      </w:r>
      <w:r>
        <w:rPr>
          <w:spacing w:val="-2"/>
        </w:rPr>
        <w:t>tunnel,</w:t>
      </w:r>
      <w:r>
        <w:rPr>
          <w:spacing w:val="-17"/>
        </w:rPr>
        <w:t xml:space="preserve"> </w:t>
      </w:r>
      <w:r>
        <w:rPr>
          <w:spacing w:val="-2"/>
        </w:rPr>
        <w:t>the</w:t>
      </w:r>
      <w:r>
        <w:rPr>
          <w:spacing w:val="-17"/>
        </w:rPr>
        <w:t xml:space="preserve"> </w:t>
      </w:r>
      <w:r>
        <w:rPr>
          <w:spacing w:val="-2"/>
        </w:rPr>
        <w:t>ball</w:t>
      </w:r>
      <w:r>
        <w:rPr>
          <w:spacing w:val="-17"/>
        </w:rPr>
        <w:t xml:space="preserve"> </w:t>
      </w:r>
      <w:r>
        <w:rPr>
          <w:spacing w:val="-2"/>
        </w:rPr>
        <w:t xml:space="preserve">quickly </w:t>
      </w:r>
      <w:r>
        <w:t xml:space="preserve">but </w:t>
      </w:r>
      <w:r>
        <w:rPr>
          <w:i/>
        </w:rPr>
        <w:t xml:space="preserve">continuously </w:t>
      </w:r>
      <w:r>
        <w:t>turns into an iguana. The iguana runs to the other end</w:t>
      </w:r>
    </w:p>
    <w:p w14:paraId="7E00206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6C" w14:textId="77777777" w:rsidR="009A58DB" w:rsidRDefault="00000000">
      <w:pPr>
        <w:pStyle w:val="BodyText"/>
        <w:spacing w:before="65"/>
        <w:ind w:left="720"/>
        <w:rPr>
          <w:i/>
        </w:rPr>
      </w:pPr>
      <w:r>
        <w:lastRenderedPageBreak/>
        <w:t>of</w:t>
      </w:r>
      <w:r>
        <w:rPr>
          <w:spacing w:val="23"/>
        </w:rPr>
        <w:t xml:space="preserve"> </w:t>
      </w:r>
      <w:r>
        <w:t>the</w:t>
      </w:r>
      <w:r>
        <w:rPr>
          <w:spacing w:val="26"/>
        </w:rPr>
        <w:t xml:space="preserve"> </w:t>
      </w:r>
      <w:r>
        <w:t>tunnel.</w:t>
      </w:r>
      <w:r>
        <w:rPr>
          <w:spacing w:val="25"/>
        </w:rPr>
        <w:t xml:space="preserve"> </w:t>
      </w:r>
      <w:r>
        <w:t>Once</w:t>
      </w:r>
      <w:r>
        <w:rPr>
          <w:spacing w:val="26"/>
        </w:rPr>
        <w:t xml:space="preserve"> </w:t>
      </w:r>
      <w:r>
        <w:t>at</w:t>
      </w:r>
      <w:r>
        <w:rPr>
          <w:spacing w:val="25"/>
        </w:rPr>
        <w:t xml:space="preserve"> </w:t>
      </w:r>
      <w:r>
        <w:t>the</w:t>
      </w:r>
      <w:r>
        <w:rPr>
          <w:spacing w:val="26"/>
        </w:rPr>
        <w:t xml:space="preserve"> </w:t>
      </w:r>
      <w:r>
        <w:t>other</w:t>
      </w:r>
      <w:r>
        <w:rPr>
          <w:spacing w:val="26"/>
        </w:rPr>
        <w:t xml:space="preserve"> </w:t>
      </w:r>
      <w:r>
        <w:t>end,</w:t>
      </w:r>
      <w:r>
        <w:rPr>
          <w:spacing w:val="25"/>
        </w:rPr>
        <w:t xml:space="preserve"> </w:t>
      </w:r>
      <w:r>
        <w:t>the</w:t>
      </w:r>
      <w:r>
        <w:rPr>
          <w:spacing w:val="26"/>
        </w:rPr>
        <w:t xml:space="preserve"> </w:t>
      </w:r>
      <w:r>
        <w:t>iguana</w:t>
      </w:r>
      <w:r>
        <w:rPr>
          <w:spacing w:val="25"/>
        </w:rPr>
        <w:t xml:space="preserve"> </w:t>
      </w:r>
      <w:r>
        <w:t>quickly</w:t>
      </w:r>
      <w:r>
        <w:rPr>
          <w:spacing w:val="26"/>
        </w:rPr>
        <w:t xml:space="preserve"> </w:t>
      </w:r>
      <w:r>
        <w:t>but</w:t>
      </w:r>
      <w:r>
        <w:rPr>
          <w:spacing w:val="26"/>
        </w:rPr>
        <w:t xml:space="preserve"> </w:t>
      </w:r>
      <w:r>
        <w:rPr>
          <w:i/>
          <w:spacing w:val="-2"/>
        </w:rPr>
        <w:t>continuously</w:t>
      </w:r>
    </w:p>
    <w:p w14:paraId="7E00206D" w14:textId="77777777" w:rsidR="009A58DB" w:rsidRDefault="00000000">
      <w:pPr>
        <w:pStyle w:val="BodyText"/>
        <w:spacing w:before="15"/>
        <w:ind w:left="720"/>
      </w:pPr>
      <w:r>
        <w:t>turns</w:t>
      </w:r>
      <w:r>
        <w:rPr>
          <w:spacing w:val="-5"/>
        </w:rPr>
        <w:t xml:space="preserve"> </w:t>
      </w:r>
      <w:r>
        <w:t>back</w:t>
      </w:r>
      <w:r>
        <w:rPr>
          <w:spacing w:val="-1"/>
        </w:rPr>
        <w:t xml:space="preserve"> </w:t>
      </w:r>
      <w:r>
        <w:t>into</w:t>
      </w:r>
      <w:r>
        <w:rPr>
          <w:spacing w:val="-2"/>
        </w:rPr>
        <w:t xml:space="preserve"> </w:t>
      </w:r>
      <w:r>
        <w:t>a</w:t>
      </w:r>
      <w:r>
        <w:rPr>
          <w:spacing w:val="-2"/>
        </w:rPr>
        <w:t xml:space="preserve"> </w:t>
      </w:r>
      <w:r>
        <w:t>ball;</w:t>
      </w:r>
      <w:r>
        <w:rPr>
          <w:spacing w:val="-3"/>
        </w:rPr>
        <w:t xml:space="preserve"> </w:t>
      </w:r>
      <w:r>
        <w:t>and</w:t>
      </w:r>
      <w:r>
        <w:rPr>
          <w:spacing w:val="-1"/>
        </w:rPr>
        <w:t xml:space="preserve"> </w:t>
      </w:r>
      <w:r>
        <w:t>that</w:t>
      </w:r>
      <w:r>
        <w:rPr>
          <w:spacing w:val="-3"/>
        </w:rPr>
        <w:t xml:space="preserve"> </w:t>
      </w:r>
      <w:r>
        <w:t>ball</w:t>
      </w:r>
      <w:r>
        <w:rPr>
          <w:spacing w:val="-2"/>
        </w:rPr>
        <w:t xml:space="preserve"> </w:t>
      </w:r>
      <w:r>
        <w:t>rolls</w:t>
      </w:r>
      <w:r>
        <w:rPr>
          <w:spacing w:val="-3"/>
        </w:rPr>
        <w:t xml:space="preserve"> </w:t>
      </w:r>
      <w:r>
        <w:t>out</w:t>
      </w:r>
      <w:r>
        <w:rPr>
          <w:spacing w:val="-2"/>
        </w:rPr>
        <w:t xml:space="preserve"> </w:t>
      </w:r>
      <w:r>
        <w:t>the</w:t>
      </w:r>
      <w:r>
        <w:rPr>
          <w:spacing w:val="-3"/>
        </w:rPr>
        <w:t xml:space="preserve"> </w:t>
      </w:r>
      <w:r>
        <w:t>other</w:t>
      </w:r>
      <w:r>
        <w:rPr>
          <w:spacing w:val="-2"/>
        </w:rPr>
        <w:t xml:space="preserve"> </w:t>
      </w:r>
      <w:r>
        <w:t>end</w:t>
      </w:r>
      <w:r>
        <w:rPr>
          <w:spacing w:val="-2"/>
        </w:rPr>
        <w:t xml:space="preserve"> </w:t>
      </w:r>
      <w:r>
        <w:t>of</w:t>
      </w:r>
      <w:r>
        <w:rPr>
          <w:spacing w:val="-2"/>
        </w:rPr>
        <w:t xml:space="preserve"> </w:t>
      </w:r>
      <w:r>
        <w:t>the</w:t>
      </w:r>
      <w:r>
        <w:rPr>
          <w:spacing w:val="-2"/>
        </w:rPr>
        <w:t xml:space="preserve"> tunnel.</w:t>
      </w:r>
    </w:p>
    <w:p w14:paraId="7E00206E" w14:textId="77777777" w:rsidR="009A58DB" w:rsidRDefault="00000000">
      <w:pPr>
        <w:pStyle w:val="BodyText"/>
        <w:spacing w:before="15" w:line="292" w:lineRule="auto"/>
        <w:ind w:left="720" w:right="360" w:firstLine="360"/>
      </w:pPr>
      <w:r>
        <w:t>Let</w:t>
      </w:r>
      <w:r>
        <w:rPr>
          <w:spacing w:val="-1"/>
        </w:rPr>
        <w:t xml:space="preserve"> </w:t>
      </w:r>
      <w:r>
        <w:t>H</w:t>
      </w:r>
      <w:r>
        <w:rPr>
          <w:vertAlign w:val="subscript"/>
        </w:rPr>
        <w:t>3</w:t>
      </w:r>
      <w:r>
        <w:t xml:space="preserve"> be this hypothesis. Even though it’s obviously unacceptable, H</w:t>
      </w:r>
      <w:r>
        <w:rPr>
          <w:vertAlign w:val="subscript"/>
        </w:rPr>
        <w:t>3</w:t>
      </w:r>
      <w:r>
        <w:t xml:space="preserve"> does</w:t>
      </w:r>
      <w:r>
        <w:rPr>
          <w:spacing w:val="18"/>
        </w:rPr>
        <w:t xml:space="preserve"> </w:t>
      </w:r>
      <w:r>
        <w:t>as</w:t>
      </w:r>
      <w:r>
        <w:rPr>
          <w:spacing w:val="18"/>
        </w:rPr>
        <w:t xml:space="preserve"> </w:t>
      </w:r>
      <w:r>
        <w:t>good</w:t>
      </w:r>
      <w:r>
        <w:rPr>
          <w:spacing w:val="19"/>
        </w:rPr>
        <w:t xml:space="preserve"> </w:t>
      </w:r>
      <w:r>
        <w:t>a</w:t>
      </w:r>
      <w:r>
        <w:rPr>
          <w:spacing w:val="19"/>
        </w:rPr>
        <w:t xml:space="preserve"> </w:t>
      </w:r>
      <w:r>
        <w:t>job</w:t>
      </w:r>
      <w:r>
        <w:rPr>
          <w:spacing w:val="18"/>
        </w:rPr>
        <w:t xml:space="preserve"> </w:t>
      </w:r>
      <w:r>
        <w:t>of</w:t>
      </w:r>
      <w:r>
        <w:rPr>
          <w:spacing w:val="19"/>
        </w:rPr>
        <w:t xml:space="preserve"> </w:t>
      </w:r>
      <w:r>
        <w:t>eliminating</w:t>
      </w:r>
      <w:r>
        <w:rPr>
          <w:spacing w:val="18"/>
        </w:rPr>
        <w:t xml:space="preserve"> </w:t>
      </w:r>
      <w:r>
        <w:t>discontinuities</w:t>
      </w:r>
      <w:r>
        <w:rPr>
          <w:spacing w:val="19"/>
        </w:rPr>
        <w:t xml:space="preserve"> </w:t>
      </w:r>
      <w:r>
        <w:t>as</w:t>
      </w:r>
      <w:r>
        <w:rPr>
          <w:spacing w:val="19"/>
        </w:rPr>
        <w:t xml:space="preserve"> </w:t>
      </w:r>
      <w:r>
        <w:t>H</w:t>
      </w:r>
      <w:r>
        <w:rPr>
          <w:vertAlign w:val="subscript"/>
        </w:rPr>
        <w:t>1</w:t>
      </w:r>
      <w:r>
        <w:t>.</w:t>
      </w:r>
      <w:r>
        <w:rPr>
          <w:spacing w:val="23"/>
        </w:rPr>
        <w:t xml:space="preserve"> </w:t>
      </w:r>
      <w:r>
        <w:t>Thus,</w:t>
      </w:r>
      <w:r>
        <w:rPr>
          <w:spacing w:val="24"/>
        </w:rPr>
        <w:t xml:space="preserve"> </w:t>
      </w:r>
      <w:r>
        <w:t>contrary</w:t>
      </w:r>
      <w:r>
        <w:rPr>
          <w:spacing w:val="24"/>
        </w:rPr>
        <w:t xml:space="preserve"> </w:t>
      </w:r>
      <w:r>
        <w:rPr>
          <w:spacing w:val="-5"/>
        </w:rPr>
        <w:t>to</w:t>
      </w:r>
    </w:p>
    <w:p w14:paraId="7E00206F" w14:textId="77777777" w:rsidR="009A58DB" w:rsidRDefault="00000000">
      <w:pPr>
        <w:pStyle w:val="BodyText"/>
        <w:spacing w:line="249" w:lineRule="auto"/>
        <w:ind w:left="720" w:right="360"/>
      </w:pPr>
      <w:r>
        <w:t xml:space="preserve">what you are saying, discontinuity-elimination cannot be the essence of </w:t>
      </w:r>
      <w:r>
        <w:rPr>
          <w:spacing w:val="-2"/>
        </w:rPr>
        <w:t>explanation.</w:t>
      </w:r>
    </w:p>
    <w:p w14:paraId="7E002070" w14:textId="77777777" w:rsidR="009A58DB" w:rsidRDefault="00000000">
      <w:pPr>
        <w:pStyle w:val="BodyText"/>
        <w:spacing w:before="105" w:line="271" w:lineRule="auto"/>
        <w:ind w:right="367" w:firstLine="360"/>
      </w:pPr>
      <w:r>
        <w:t>Contrary to what OH* alleges, H</w:t>
      </w:r>
      <w:r>
        <w:rPr>
          <w:vertAlign w:val="subscript"/>
        </w:rPr>
        <w:t>3</w:t>
      </w:r>
      <w:r>
        <w:t xml:space="preserve"> does </w:t>
      </w:r>
      <w:r>
        <w:rPr>
          <w:i/>
        </w:rPr>
        <w:t xml:space="preserve">not </w:t>
      </w:r>
      <w:r>
        <w:t>do as good a job as H</w:t>
      </w:r>
      <w:r>
        <w:rPr>
          <w:vertAlign w:val="subscript"/>
        </w:rPr>
        <w:t>1</w:t>
      </w:r>
      <w:r>
        <w:t xml:space="preserve"> of eliminating</w:t>
      </w:r>
      <w:r>
        <w:rPr>
          <w:spacing w:val="-3"/>
        </w:rPr>
        <w:t xml:space="preserve"> </w:t>
      </w:r>
      <w:r>
        <w:t>discontinuities.</w:t>
      </w:r>
      <w:r>
        <w:rPr>
          <w:spacing w:val="-3"/>
        </w:rPr>
        <w:t xml:space="preserve"> </w:t>
      </w:r>
      <w:r>
        <w:t>First</w:t>
      </w:r>
      <w:r>
        <w:rPr>
          <w:spacing w:val="-3"/>
        </w:rPr>
        <w:t xml:space="preserve"> </w:t>
      </w:r>
      <w:r>
        <w:t>of</w:t>
      </w:r>
      <w:r>
        <w:rPr>
          <w:spacing w:val="-3"/>
        </w:rPr>
        <w:t xml:space="preserve"> </w:t>
      </w:r>
      <w:r>
        <w:t>all,</w:t>
      </w:r>
      <w:r>
        <w:rPr>
          <w:spacing w:val="-3"/>
        </w:rPr>
        <w:t xml:space="preserve"> </w:t>
      </w:r>
      <w:r>
        <w:t>even</w:t>
      </w:r>
      <w:r>
        <w:rPr>
          <w:spacing w:val="-3"/>
        </w:rPr>
        <w:t xml:space="preserve"> </w:t>
      </w:r>
      <w:r>
        <w:t>though</w:t>
      </w:r>
      <w:r>
        <w:rPr>
          <w:spacing w:val="-3"/>
        </w:rPr>
        <w:t xml:space="preserve"> </w:t>
      </w:r>
      <w:r>
        <w:t>it</w:t>
      </w:r>
      <w:r>
        <w:rPr>
          <w:spacing w:val="-3"/>
        </w:rPr>
        <w:t xml:space="preserve"> </w:t>
      </w:r>
      <w:r>
        <w:t>seems,</w:t>
      </w:r>
      <w:r>
        <w:rPr>
          <w:spacing w:val="-3"/>
        </w:rPr>
        <w:t xml:space="preserve"> </w:t>
      </w:r>
      <w:r>
        <w:t>at</w:t>
      </w:r>
      <w:r>
        <w:rPr>
          <w:spacing w:val="-3"/>
        </w:rPr>
        <w:t xml:space="preserve"> </w:t>
      </w:r>
      <w:r>
        <w:t>least</w:t>
      </w:r>
      <w:r>
        <w:rPr>
          <w:spacing w:val="-3"/>
        </w:rPr>
        <w:t xml:space="preserve"> </w:t>
      </w:r>
      <w:r>
        <w:t>initially, to</w:t>
      </w:r>
      <w:r>
        <w:rPr>
          <w:spacing w:val="33"/>
        </w:rPr>
        <w:t xml:space="preserve"> </w:t>
      </w:r>
      <w:r>
        <w:t>do</w:t>
      </w:r>
      <w:r>
        <w:rPr>
          <w:spacing w:val="33"/>
        </w:rPr>
        <w:t xml:space="preserve"> </w:t>
      </w:r>
      <w:r>
        <w:t>as</w:t>
      </w:r>
      <w:r>
        <w:rPr>
          <w:spacing w:val="33"/>
        </w:rPr>
        <w:t xml:space="preserve"> </w:t>
      </w:r>
      <w:r>
        <w:t>good</w:t>
      </w:r>
      <w:r>
        <w:rPr>
          <w:spacing w:val="33"/>
        </w:rPr>
        <w:t xml:space="preserve"> </w:t>
      </w:r>
      <w:r>
        <w:t>a</w:t>
      </w:r>
      <w:r>
        <w:rPr>
          <w:spacing w:val="33"/>
        </w:rPr>
        <w:t xml:space="preserve"> </w:t>
      </w:r>
      <w:r>
        <w:t>job</w:t>
      </w:r>
      <w:r>
        <w:rPr>
          <w:spacing w:val="33"/>
        </w:rPr>
        <w:t xml:space="preserve"> </w:t>
      </w:r>
      <w:r>
        <w:t>as</w:t>
      </w:r>
      <w:r>
        <w:rPr>
          <w:spacing w:val="33"/>
        </w:rPr>
        <w:t xml:space="preserve"> </w:t>
      </w:r>
      <w:r>
        <w:t>H</w:t>
      </w:r>
      <w:r>
        <w:rPr>
          <w:vertAlign w:val="subscript"/>
        </w:rPr>
        <w:t>1</w:t>
      </w:r>
      <w:r>
        <w:rPr>
          <w:spacing w:val="34"/>
        </w:rPr>
        <w:t xml:space="preserve"> </w:t>
      </w:r>
      <w:r>
        <w:t>of</w:t>
      </w:r>
      <w:r>
        <w:rPr>
          <w:spacing w:val="34"/>
        </w:rPr>
        <w:t xml:space="preserve"> </w:t>
      </w:r>
      <w:r>
        <w:t>eliminating</w:t>
      </w:r>
      <w:r>
        <w:rPr>
          <w:spacing w:val="34"/>
        </w:rPr>
        <w:t xml:space="preserve"> </w:t>
      </w:r>
      <w:r>
        <w:t>spatiotemporal</w:t>
      </w:r>
      <w:r>
        <w:rPr>
          <w:spacing w:val="34"/>
        </w:rPr>
        <w:t xml:space="preserve"> </w:t>
      </w:r>
      <w:r>
        <w:t>discontinuities,</w:t>
      </w:r>
      <w:r>
        <w:rPr>
          <w:spacing w:val="35"/>
        </w:rPr>
        <w:t xml:space="preserve"> </w:t>
      </w:r>
      <w:r>
        <w:rPr>
          <w:spacing w:val="-5"/>
        </w:rPr>
        <w:t>H</w:t>
      </w:r>
      <w:r>
        <w:rPr>
          <w:spacing w:val="-5"/>
          <w:vertAlign w:val="subscript"/>
        </w:rPr>
        <w:t>3</w:t>
      </w:r>
    </w:p>
    <w:p w14:paraId="7E002071" w14:textId="77777777" w:rsidR="009A58DB" w:rsidRDefault="00000000">
      <w:pPr>
        <w:pStyle w:val="BodyText"/>
        <w:spacing w:before="31" w:line="271" w:lineRule="auto"/>
        <w:ind w:right="358"/>
      </w:pPr>
      <w:r>
        <w:t xml:space="preserve">creates a number of </w:t>
      </w:r>
      <w:r>
        <w:rPr>
          <w:i/>
        </w:rPr>
        <w:t xml:space="preserve">theoretical </w:t>
      </w:r>
      <w:r>
        <w:t>discontinuities that H</w:t>
      </w:r>
      <w:r>
        <w:rPr>
          <w:vertAlign w:val="subscript"/>
        </w:rPr>
        <w:t>1</w:t>
      </w:r>
      <w:r>
        <w:t xml:space="preserve"> does not create. There is no independent evidence that balls turn into iguanas or </w:t>
      </w:r>
      <w:r>
        <w:rPr>
          <w:i/>
        </w:rPr>
        <w:t xml:space="preserve">vice versa. </w:t>
      </w:r>
      <w:r>
        <w:t>So, in supposing that H</w:t>
      </w:r>
      <w:r>
        <w:rPr>
          <w:vertAlign w:val="subscript"/>
        </w:rPr>
        <w:t>3</w:t>
      </w:r>
      <w:r>
        <w:t xml:space="preserve"> is correct, we’re supposing </w:t>
      </w:r>
      <w:r>
        <w:rPr>
          <w:i/>
        </w:rPr>
        <w:t>either</w:t>
      </w:r>
      <w:r>
        <w:rPr>
          <w:i/>
          <w:spacing w:val="-2"/>
        </w:rPr>
        <w:t xml:space="preserve"> </w:t>
      </w:r>
      <w:r>
        <w:t>(i) that the physical laws</w:t>
      </w:r>
    </w:p>
    <w:p w14:paraId="7E002072" w14:textId="77777777" w:rsidR="009A58DB" w:rsidRDefault="00000000">
      <w:pPr>
        <w:pStyle w:val="BodyText"/>
        <w:spacing w:before="31" w:line="249" w:lineRule="auto"/>
        <w:ind w:right="359"/>
      </w:pPr>
      <w:r>
        <w:t xml:space="preserve">governing this one situation are very different from those governing other situations </w:t>
      </w:r>
      <w:r>
        <w:rPr>
          <w:i/>
        </w:rPr>
        <w:t xml:space="preserve">or </w:t>
      </w:r>
      <w:r>
        <w:t xml:space="preserve">(ii) that the observational data that we’ve had thus far, which strongly suggests that iguanas </w:t>
      </w:r>
      <w:r>
        <w:rPr>
          <w:i/>
        </w:rPr>
        <w:t xml:space="preserve">don’t </w:t>
      </w:r>
      <w:r>
        <w:t xml:space="preserve">turn into balls or </w:t>
      </w:r>
      <w:r>
        <w:rPr>
          <w:i/>
        </w:rPr>
        <w:t xml:space="preserve">vice versa, </w:t>
      </w:r>
      <w:r>
        <w:t>is very misleading as to the nature of reality. If (i) is the case, the laws of nature, and therefore the very structure of reality, had to undergo an abrupt and unprecedented</w:t>
      </w:r>
      <w:r>
        <w:rPr>
          <w:spacing w:val="60"/>
          <w:w w:val="150"/>
        </w:rPr>
        <w:t xml:space="preserve"> </w:t>
      </w:r>
      <w:r>
        <w:t>change</w:t>
      </w:r>
      <w:r>
        <w:rPr>
          <w:spacing w:val="60"/>
          <w:w w:val="150"/>
        </w:rPr>
        <w:t xml:space="preserve"> </w:t>
      </w:r>
      <w:r>
        <w:t>in</w:t>
      </w:r>
      <w:r>
        <w:rPr>
          <w:spacing w:val="60"/>
          <w:w w:val="150"/>
        </w:rPr>
        <w:t xml:space="preserve"> </w:t>
      </w:r>
      <w:r>
        <w:t>order</w:t>
      </w:r>
      <w:r>
        <w:rPr>
          <w:spacing w:val="60"/>
          <w:w w:val="150"/>
        </w:rPr>
        <w:t xml:space="preserve"> </w:t>
      </w:r>
      <w:r>
        <w:t>for</w:t>
      </w:r>
      <w:r>
        <w:rPr>
          <w:spacing w:val="60"/>
          <w:w w:val="150"/>
        </w:rPr>
        <w:t xml:space="preserve"> </w:t>
      </w:r>
      <w:r>
        <w:t>the</w:t>
      </w:r>
      <w:r>
        <w:rPr>
          <w:spacing w:val="60"/>
          <w:w w:val="150"/>
        </w:rPr>
        <w:t xml:space="preserve"> </w:t>
      </w:r>
      <w:r>
        <w:t>changes</w:t>
      </w:r>
      <w:r>
        <w:rPr>
          <w:spacing w:val="60"/>
          <w:w w:val="150"/>
        </w:rPr>
        <w:t xml:space="preserve"> </w:t>
      </w:r>
      <w:r>
        <w:t>described</w:t>
      </w:r>
      <w:r>
        <w:rPr>
          <w:spacing w:val="61"/>
          <w:w w:val="150"/>
        </w:rPr>
        <w:t xml:space="preserve"> </w:t>
      </w:r>
      <w:r>
        <w:t>by</w:t>
      </w:r>
      <w:r>
        <w:rPr>
          <w:spacing w:val="60"/>
          <w:w w:val="150"/>
        </w:rPr>
        <w:t xml:space="preserve"> </w:t>
      </w:r>
      <w:r>
        <w:t>H</w:t>
      </w:r>
      <w:r>
        <w:rPr>
          <w:vertAlign w:val="subscript"/>
        </w:rPr>
        <w:t>3</w:t>
      </w:r>
      <w:r>
        <w:rPr>
          <w:spacing w:val="59"/>
          <w:w w:val="150"/>
        </w:rPr>
        <w:t xml:space="preserve"> </w:t>
      </w:r>
      <w:r>
        <w:t>to</w:t>
      </w:r>
      <w:r>
        <w:rPr>
          <w:spacing w:val="59"/>
          <w:w w:val="150"/>
        </w:rPr>
        <w:t xml:space="preserve"> </w:t>
      </w:r>
      <w:r>
        <w:rPr>
          <w:spacing w:val="-5"/>
        </w:rPr>
        <w:t>be</w:t>
      </w:r>
    </w:p>
    <w:p w14:paraId="7E002073" w14:textId="77777777" w:rsidR="009A58DB" w:rsidRDefault="00000000">
      <w:pPr>
        <w:pStyle w:val="BodyText"/>
        <w:spacing w:before="67" w:line="249" w:lineRule="auto"/>
        <w:ind w:right="367"/>
      </w:pPr>
      <w:r>
        <w:t>possible. (And given the reasonable, though debatable (not to mention</w:t>
      </w:r>
      <w:r>
        <w:rPr>
          <w:spacing w:val="40"/>
        </w:rPr>
        <w:t xml:space="preserve"> </w:t>
      </w:r>
      <w:r>
        <w:t>vague), supposition that the laws of nature are veritable spatiotemporal structures, it follows that H</w:t>
      </w:r>
      <w:r>
        <w:rPr>
          <w:vertAlign w:val="subscript"/>
        </w:rPr>
        <w:t>3</w:t>
      </w:r>
      <w:r>
        <w:t xml:space="preserve"> fails to eliminate discontinuities in a particularly</w:t>
      </w:r>
    </w:p>
    <w:p w14:paraId="7E002074" w14:textId="77777777" w:rsidR="009A58DB" w:rsidRDefault="00000000">
      <w:pPr>
        <w:pStyle w:val="BodyText"/>
        <w:spacing w:before="64" w:line="249" w:lineRule="auto"/>
        <w:ind w:right="358"/>
      </w:pPr>
      <w:r>
        <w:t>egregious way.) If (ii) is the case, there is so little conformity between the data</w:t>
      </w:r>
      <w:r>
        <w:rPr>
          <w:spacing w:val="-3"/>
        </w:rPr>
        <w:t xml:space="preserve"> </w:t>
      </w:r>
      <w:r>
        <w:t>of</w:t>
      </w:r>
      <w:r>
        <w:rPr>
          <w:spacing w:val="-2"/>
        </w:rPr>
        <w:t xml:space="preserve"> </w:t>
      </w:r>
      <w:r>
        <w:t>observation</w:t>
      </w:r>
      <w:r>
        <w:rPr>
          <w:spacing w:val="-3"/>
        </w:rPr>
        <w:t xml:space="preserve"> </w:t>
      </w:r>
      <w:r>
        <w:t>and</w:t>
      </w:r>
      <w:r>
        <w:rPr>
          <w:spacing w:val="-2"/>
        </w:rPr>
        <w:t xml:space="preserve"> </w:t>
      </w:r>
      <w:r>
        <w:t>the</w:t>
      </w:r>
      <w:r>
        <w:rPr>
          <w:spacing w:val="-3"/>
        </w:rPr>
        <w:t xml:space="preserve"> </w:t>
      </w:r>
      <w:r>
        <w:t>structure</w:t>
      </w:r>
      <w:r>
        <w:rPr>
          <w:spacing w:val="-2"/>
        </w:rPr>
        <w:t xml:space="preserve"> </w:t>
      </w:r>
      <w:r>
        <w:t>of</w:t>
      </w:r>
      <w:r>
        <w:rPr>
          <w:spacing w:val="-2"/>
        </w:rPr>
        <w:t xml:space="preserve"> </w:t>
      </w:r>
      <w:r>
        <w:t>reality</w:t>
      </w:r>
      <w:r>
        <w:rPr>
          <w:spacing w:val="-3"/>
        </w:rPr>
        <w:t xml:space="preserve"> </w:t>
      </w:r>
      <w:r>
        <w:t>that</w:t>
      </w:r>
      <w:r>
        <w:rPr>
          <w:spacing w:val="-2"/>
        </w:rPr>
        <w:t xml:space="preserve"> </w:t>
      </w:r>
      <w:r>
        <w:t>we</w:t>
      </w:r>
      <w:r>
        <w:rPr>
          <w:spacing w:val="-3"/>
        </w:rPr>
        <w:t xml:space="preserve"> </w:t>
      </w:r>
      <w:r>
        <w:t>have</w:t>
      </w:r>
      <w:r>
        <w:rPr>
          <w:spacing w:val="-2"/>
        </w:rPr>
        <w:t xml:space="preserve"> </w:t>
      </w:r>
      <w:r>
        <w:t>no</w:t>
      </w:r>
      <w:r>
        <w:rPr>
          <w:spacing w:val="-3"/>
        </w:rPr>
        <w:t xml:space="preserve"> </w:t>
      </w:r>
      <w:r>
        <w:t>good</w:t>
      </w:r>
      <w:r>
        <w:rPr>
          <w:spacing w:val="-2"/>
        </w:rPr>
        <w:t xml:space="preserve"> </w:t>
      </w:r>
      <w:r>
        <w:t>reason</w:t>
      </w:r>
      <w:r>
        <w:rPr>
          <w:spacing w:val="-2"/>
        </w:rPr>
        <w:t xml:space="preserve"> </w:t>
      </w:r>
      <w:r>
        <w:t>to expect any of our observation-based beliefs, including our belief in (ii) itself, to</w:t>
      </w:r>
      <w:r>
        <w:rPr>
          <w:spacing w:val="40"/>
        </w:rPr>
        <w:t xml:space="preserve"> </w:t>
      </w:r>
      <w:r>
        <w:t>be</w:t>
      </w:r>
      <w:r>
        <w:rPr>
          <w:spacing w:val="40"/>
        </w:rPr>
        <w:t xml:space="preserve"> </w:t>
      </w:r>
      <w:r>
        <w:t>correct.</w:t>
      </w:r>
      <w:r>
        <w:rPr>
          <w:spacing w:val="40"/>
        </w:rPr>
        <w:t xml:space="preserve"> </w:t>
      </w:r>
      <w:r>
        <w:t>Given</w:t>
      </w:r>
      <w:r>
        <w:rPr>
          <w:spacing w:val="40"/>
        </w:rPr>
        <w:t xml:space="preserve"> </w:t>
      </w:r>
      <w:r>
        <w:t>obvious</w:t>
      </w:r>
      <w:r>
        <w:rPr>
          <w:spacing w:val="40"/>
        </w:rPr>
        <w:t xml:space="preserve"> </w:t>
      </w:r>
      <w:r>
        <w:t>extensions</w:t>
      </w:r>
      <w:r>
        <w:rPr>
          <w:spacing w:val="40"/>
        </w:rPr>
        <w:t xml:space="preserve"> </w:t>
      </w:r>
      <w:r>
        <w:t>of</w:t>
      </w:r>
      <w:r>
        <w:rPr>
          <w:spacing w:val="40"/>
        </w:rPr>
        <w:t xml:space="preserve"> </w:t>
      </w:r>
      <w:r>
        <w:t>these</w:t>
      </w:r>
      <w:r>
        <w:rPr>
          <w:spacing w:val="40"/>
        </w:rPr>
        <w:t xml:space="preserve"> </w:t>
      </w:r>
      <w:r>
        <w:t>points,</w:t>
      </w:r>
      <w:r>
        <w:rPr>
          <w:spacing w:val="40"/>
        </w:rPr>
        <w:t xml:space="preserve"> </w:t>
      </w:r>
      <w:r>
        <w:t>it’s</w:t>
      </w:r>
      <w:r>
        <w:rPr>
          <w:spacing w:val="40"/>
        </w:rPr>
        <w:t xml:space="preserve"> </w:t>
      </w:r>
      <w:r>
        <w:t>clear</w:t>
      </w:r>
      <w:r>
        <w:rPr>
          <w:spacing w:val="40"/>
        </w:rPr>
        <w:t xml:space="preserve"> </w:t>
      </w:r>
      <w:r>
        <w:t>that</w:t>
      </w:r>
      <w:r>
        <w:rPr>
          <w:spacing w:val="40"/>
        </w:rPr>
        <w:t xml:space="preserve"> </w:t>
      </w:r>
      <w:r>
        <w:t>H</w:t>
      </w:r>
      <w:r>
        <w:rPr>
          <w:vertAlign w:val="subscript"/>
        </w:rPr>
        <w:t>2</w:t>
      </w:r>
    </w:p>
    <w:p w14:paraId="7E002075" w14:textId="77777777" w:rsidR="009A58DB" w:rsidRDefault="00000000">
      <w:pPr>
        <w:pStyle w:val="BodyText"/>
        <w:spacing w:before="65"/>
      </w:pPr>
      <w:r>
        <w:t>creates</w:t>
      </w:r>
      <w:r>
        <w:rPr>
          <w:spacing w:val="-8"/>
        </w:rPr>
        <w:t xml:space="preserve"> </w:t>
      </w:r>
      <w:r>
        <w:t>similar</w:t>
      </w:r>
      <w:r>
        <w:rPr>
          <w:spacing w:val="-8"/>
        </w:rPr>
        <w:t xml:space="preserve"> </w:t>
      </w:r>
      <w:r>
        <w:t>theoretical</w:t>
      </w:r>
      <w:r>
        <w:rPr>
          <w:spacing w:val="-7"/>
        </w:rPr>
        <w:t xml:space="preserve"> </w:t>
      </w:r>
      <w:r>
        <w:rPr>
          <w:spacing w:val="-2"/>
        </w:rPr>
        <w:t>discontinuities.</w:t>
      </w:r>
    </w:p>
    <w:p w14:paraId="7E002076" w14:textId="77777777" w:rsidR="009A58DB" w:rsidRDefault="00000000">
      <w:pPr>
        <w:pStyle w:val="BodyText"/>
        <w:spacing w:before="15" w:line="292" w:lineRule="auto"/>
        <w:ind w:right="368" w:firstLine="360"/>
      </w:pPr>
      <w:r>
        <w:t>But H</w:t>
      </w:r>
      <w:r>
        <w:rPr>
          <w:vertAlign w:val="subscript"/>
        </w:rPr>
        <w:t>1</w:t>
      </w:r>
      <w:r>
        <w:t xml:space="preserve"> doesn’t have any of these problems. It doesn’t create any of the theoretical</w:t>
      </w:r>
      <w:r>
        <w:rPr>
          <w:spacing w:val="40"/>
        </w:rPr>
        <w:t xml:space="preserve"> </w:t>
      </w:r>
      <w:r>
        <w:t>(or</w:t>
      </w:r>
      <w:r>
        <w:rPr>
          <w:spacing w:val="40"/>
        </w:rPr>
        <w:t xml:space="preserve"> </w:t>
      </w:r>
      <w:r>
        <w:t>spatiotemporal)</w:t>
      </w:r>
      <w:r>
        <w:rPr>
          <w:spacing w:val="40"/>
        </w:rPr>
        <w:t xml:space="preserve"> </w:t>
      </w:r>
      <w:r>
        <w:t>discontinuities</w:t>
      </w:r>
      <w:r>
        <w:rPr>
          <w:spacing w:val="40"/>
        </w:rPr>
        <w:t xml:space="preserve"> </w:t>
      </w:r>
      <w:r>
        <w:t>that</w:t>
      </w:r>
      <w:r>
        <w:rPr>
          <w:spacing w:val="40"/>
        </w:rPr>
        <w:t xml:space="preserve"> </w:t>
      </w:r>
      <w:r>
        <w:t>either</w:t>
      </w:r>
      <w:r>
        <w:rPr>
          <w:spacing w:val="40"/>
        </w:rPr>
        <w:t xml:space="preserve"> </w:t>
      </w:r>
      <w:r>
        <w:t>H</w:t>
      </w:r>
      <w:r>
        <w:rPr>
          <w:vertAlign w:val="subscript"/>
        </w:rPr>
        <w:t>2</w:t>
      </w:r>
      <w:r>
        <w:rPr>
          <w:spacing w:val="40"/>
        </w:rPr>
        <w:t xml:space="preserve"> </w:t>
      </w:r>
      <w:r>
        <w:t>or</w:t>
      </w:r>
      <w:r>
        <w:rPr>
          <w:spacing w:val="40"/>
        </w:rPr>
        <w:t xml:space="preserve"> </w:t>
      </w:r>
      <w:r>
        <w:t>H</w:t>
      </w:r>
      <w:r>
        <w:rPr>
          <w:vertAlign w:val="subscript"/>
        </w:rPr>
        <w:t>3</w:t>
      </w:r>
      <w:r>
        <w:rPr>
          <w:spacing w:val="40"/>
        </w:rPr>
        <w:t xml:space="preserve"> </w:t>
      </w:r>
      <w:r>
        <w:t>creates,</w:t>
      </w:r>
    </w:p>
    <w:p w14:paraId="7E002077" w14:textId="77777777" w:rsidR="009A58DB" w:rsidRDefault="00000000">
      <w:pPr>
        <w:pStyle w:val="BodyText"/>
        <w:spacing w:line="249" w:lineRule="auto"/>
        <w:ind w:right="366"/>
      </w:pPr>
      <w:r>
        <w:t>and</w:t>
      </w:r>
      <w:r>
        <w:rPr>
          <w:spacing w:val="-3"/>
        </w:rPr>
        <w:t xml:space="preserve"> </w:t>
      </w:r>
      <w:r>
        <w:t>it</w:t>
      </w:r>
      <w:r>
        <w:rPr>
          <w:spacing w:val="-3"/>
        </w:rPr>
        <w:t xml:space="preserve"> </w:t>
      </w:r>
      <w:r>
        <w:t>eliminates</w:t>
      </w:r>
      <w:r>
        <w:rPr>
          <w:spacing w:val="-3"/>
        </w:rPr>
        <w:t xml:space="preserve"> </w:t>
      </w:r>
      <w:r>
        <w:t>each</w:t>
      </w:r>
      <w:r>
        <w:rPr>
          <w:spacing w:val="-3"/>
        </w:rPr>
        <w:t xml:space="preserve"> </w:t>
      </w:r>
      <w:r>
        <w:t>of</w:t>
      </w:r>
      <w:r>
        <w:rPr>
          <w:spacing w:val="-3"/>
        </w:rPr>
        <w:t xml:space="preserve"> </w:t>
      </w:r>
      <w:r>
        <w:t>the</w:t>
      </w:r>
      <w:r>
        <w:rPr>
          <w:spacing w:val="-3"/>
        </w:rPr>
        <w:t xml:space="preserve"> </w:t>
      </w:r>
      <w:r>
        <w:t>discontinuities</w:t>
      </w:r>
      <w:r>
        <w:rPr>
          <w:spacing w:val="-3"/>
        </w:rPr>
        <w:t xml:space="preserve"> </w:t>
      </w:r>
      <w:r>
        <w:t>eliminated</w:t>
      </w:r>
      <w:r>
        <w:rPr>
          <w:spacing w:val="-3"/>
        </w:rPr>
        <w:t xml:space="preserve"> </w:t>
      </w:r>
      <w:r>
        <w:t>by</w:t>
      </w:r>
      <w:r>
        <w:rPr>
          <w:spacing w:val="-3"/>
        </w:rPr>
        <w:t xml:space="preserve"> </w:t>
      </w:r>
      <w:r>
        <w:t>either.</w:t>
      </w:r>
      <w:r>
        <w:rPr>
          <w:spacing w:val="-3"/>
        </w:rPr>
        <w:t xml:space="preserve"> </w:t>
      </w:r>
      <w:r>
        <w:t>All</w:t>
      </w:r>
      <w:r>
        <w:rPr>
          <w:spacing w:val="-3"/>
        </w:rPr>
        <w:t xml:space="preserve"> </w:t>
      </w:r>
      <w:r>
        <w:t>of</w:t>
      </w:r>
      <w:r>
        <w:rPr>
          <w:spacing w:val="-3"/>
        </w:rPr>
        <w:t xml:space="preserve"> </w:t>
      </w:r>
      <w:r>
        <w:t xml:space="preserve">which suggests that, just as we proposed, discontinuity-elimination is the essence of </w:t>
      </w:r>
      <w:r>
        <w:rPr>
          <w:spacing w:val="-2"/>
        </w:rPr>
        <w:t>explanation.</w:t>
      </w:r>
    </w:p>
    <w:p w14:paraId="7E002078"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079" w14:textId="77777777" w:rsidR="009A58DB" w:rsidRDefault="00000000">
      <w:pPr>
        <w:pStyle w:val="Heading1"/>
        <w:numPr>
          <w:ilvl w:val="1"/>
          <w:numId w:val="78"/>
        </w:numPr>
        <w:tabs>
          <w:tab w:val="left" w:pos="990"/>
        </w:tabs>
        <w:spacing w:before="58"/>
      </w:pPr>
      <w:r>
        <w:lastRenderedPageBreak/>
        <w:t>Probability</w:t>
      </w:r>
      <w:r>
        <w:rPr>
          <w:spacing w:val="-6"/>
        </w:rPr>
        <w:t xml:space="preserve"> </w:t>
      </w:r>
      <w:r>
        <w:t>an</w:t>
      </w:r>
      <w:r>
        <w:rPr>
          <w:spacing w:val="-6"/>
        </w:rPr>
        <w:t xml:space="preserve"> </w:t>
      </w:r>
      <w:r>
        <w:t>epistemic</w:t>
      </w:r>
      <w:r>
        <w:rPr>
          <w:spacing w:val="-6"/>
        </w:rPr>
        <w:t xml:space="preserve"> </w:t>
      </w:r>
      <w:r>
        <w:rPr>
          <w:spacing w:val="-2"/>
        </w:rPr>
        <w:t>concept</w:t>
      </w:r>
    </w:p>
    <w:p w14:paraId="7E00207A" w14:textId="77777777" w:rsidR="009A58DB" w:rsidRDefault="00000000">
      <w:pPr>
        <w:pStyle w:val="BodyText"/>
        <w:spacing w:before="139"/>
        <w:jc w:val="left"/>
      </w:pPr>
      <w:r>
        <w:t>At</w:t>
      </w:r>
      <w:r>
        <w:rPr>
          <w:spacing w:val="-7"/>
        </w:rPr>
        <w:t xml:space="preserve"> </w:t>
      </w:r>
      <w:r>
        <w:t>time</w:t>
      </w:r>
      <w:r>
        <w:rPr>
          <w:spacing w:val="-4"/>
        </w:rPr>
        <w:t xml:space="preserve"> </w:t>
      </w:r>
      <w:r>
        <w:t>t,</w:t>
      </w:r>
      <w:r>
        <w:rPr>
          <w:spacing w:val="-3"/>
        </w:rPr>
        <w:t xml:space="preserve"> </w:t>
      </w:r>
      <w:r>
        <w:t>a</w:t>
      </w:r>
      <w:r>
        <w:rPr>
          <w:spacing w:val="-4"/>
        </w:rPr>
        <w:t xml:space="preserve"> </w:t>
      </w:r>
      <w:r>
        <w:t>prominent</w:t>
      </w:r>
      <w:r>
        <w:rPr>
          <w:spacing w:val="-4"/>
        </w:rPr>
        <w:t xml:space="preserve"> </w:t>
      </w:r>
      <w:r>
        <w:t>medical</w:t>
      </w:r>
      <w:r>
        <w:rPr>
          <w:spacing w:val="-4"/>
        </w:rPr>
        <w:t xml:space="preserve"> </w:t>
      </w:r>
      <w:r>
        <w:t>researcher</w:t>
      </w:r>
      <w:r>
        <w:rPr>
          <w:spacing w:val="-4"/>
        </w:rPr>
        <w:t xml:space="preserve"> </w:t>
      </w:r>
      <w:r>
        <w:rPr>
          <w:spacing w:val="-2"/>
        </w:rPr>
        <w:t>says:</w:t>
      </w:r>
    </w:p>
    <w:p w14:paraId="7E00207B" w14:textId="77777777" w:rsidR="009A58DB" w:rsidRDefault="00000000">
      <w:pPr>
        <w:pStyle w:val="BodyText"/>
        <w:spacing w:before="120"/>
        <w:jc w:val="left"/>
      </w:pPr>
      <w:r>
        <w:t>(S</w:t>
      </w:r>
      <w:r>
        <w:rPr>
          <w:vertAlign w:val="subscript"/>
        </w:rPr>
        <w:t>1</w:t>
      </w:r>
      <w:r>
        <w:t>)</w:t>
      </w:r>
      <w:r>
        <w:rPr>
          <w:spacing w:val="-2"/>
        </w:rPr>
        <w:t xml:space="preserve"> </w:t>
      </w:r>
      <w:r>
        <w:t>“it’s</w:t>
      </w:r>
      <w:r>
        <w:rPr>
          <w:spacing w:val="-2"/>
        </w:rPr>
        <w:t xml:space="preserve"> </w:t>
      </w:r>
      <w:r>
        <w:t>probable, but</w:t>
      </w:r>
      <w:r>
        <w:rPr>
          <w:spacing w:val="-2"/>
        </w:rPr>
        <w:t xml:space="preserve"> </w:t>
      </w:r>
      <w:r>
        <w:t>not</w:t>
      </w:r>
      <w:r>
        <w:rPr>
          <w:spacing w:val="-2"/>
        </w:rPr>
        <w:t xml:space="preserve"> </w:t>
      </w:r>
      <w:r>
        <w:t>certain, that</w:t>
      </w:r>
      <w:r>
        <w:rPr>
          <w:spacing w:val="-2"/>
        </w:rPr>
        <w:t xml:space="preserve"> </w:t>
      </w:r>
      <w:r>
        <w:t>Socrates</w:t>
      </w:r>
      <w:r>
        <w:rPr>
          <w:spacing w:val="-1"/>
        </w:rPr>
        <w:t xml:space="preserve"> </w:t>
      </w:r>
      <w:r>
        <w:t>had</w:t>
      </w:r>
      <w:r>
        <w:rPr>
          <w:spacing w:val="-1"/>
        </w:rPr>
        <w:t xml:space="preserve"> </w:t>
      </w:r>
      <w:r>
        <w:t>four</w:t>
      </w:r>
      <w:r>
        <w:rPr>
          <w:spacing w:val="-2"/>
        </w:rPr>
        <w:t xml:space="preserve"> kidneys.”</w:t>
      </w:r>
    </w:p>
    <w:p w14:paraId="7E00207C" w14:textId="77777777" w:rsidR="009A58DB" w:rsidRDefault="00000000">
      <w:pPr>
        <w:pStyle w:val="BodyText"/>
        <w:spacing w:before="165" w:line="292" w:lineRule="auto"/>
        <w:ind w:left="720"/>
        <w:jc w:val="left"/>
      </w:pPr>
      <w:r>
        <w:t>Given</w:t>
      </w:r>
      <w:r>
        <w:rPr>
          <w:spacing w:val="29"/>
        </w:rPr>
        <w:t xml:space="preserve"> </w:t>
      </w:r>
      <w:r>
        <w:t>all</w:t>
      </w:r>
      <w:r>
        <w:rPr>
          <w:spacing w:val="29"/>
        </w:rPr>
        <w:t xml:space="preserve"> </w:t>
      </w:r>
      <w:r>
        <w:t>of</w:t>
      </w:r>
      <w:r>
        <w:rPr>
          <w:spacing w:val="29"/>
        </w:rPr>
        <w:t xml:space="preserve"> </w:t>
      </w:r>
      <w:r>
        <w:t>the</w:t>
      </w:r>
      <w:r>
        <w:rPr>
          <w:spacing w:val="29"/>
        </w:rPr>
        <w:t xml:space="preserve"> </w:t>
      </w:r>
      <w:r>
        <w:t>data</w:t>
      </w:r>
      <w:r>
        <w:rPr>
          <w:spacing w:val="29"/>
        </w:rPr>
        <w:t xml:space="preserve"> </w:t>
      </w:r>
      <w:r>
        <w:t>available</w:t>
      </w:r>
      <w:r>
        <w:rPr>
          <w:spacing w:val="29"/>
        </w:rPr>
        <w:t xml:space="preserve"> </w:t>
      </w:r>
      <w:r>
        <w:t>up</w:t>
      </w:r>
      <w:r>
        <w:rPr>
          <w:spacing w:val="29"/>
        </w:rPr>
        <w:t xml:space="preserve"> </w:t>
      </w:r>
      <w:r>
        <w:t>until</w:t>
      </w:r>
      <w:r>
        <w:rPr>
          <w:spacing w:val="29"/>
        </w:rPr>
        <w:t xml:space="preserve"> </w:t>
      </w:r>
      <w:r>
        <w:t>time</w:t>
      </w:r>
      <w:r>
        <w:rPr>
          <w:spacing w:val="29"/>
        </w:rPr>
        <w:t xml:space="preserve"> </w:t>
      </w:r>
      <w:r>
        <w:t>t,</w:t>
      </w:r>
      <w:r>
        <w:rPr>
          <w:spacing w:val="29"/>
        </w:rPr>
        <w:t xml:space="preserve"> </w:t>
      </w:r>
      <w:r>
        <w:t>S</w:t>
      </w:r>
      <w:r>
        <w:rPr>
          <w:vertAlign w:val="subscript"/>
        </w:rPr>
        <w:t>1</w:t>
      </w:r>
      <w:r>
        <w:rPr>
          <w:spacing w:val="30"/>
        </w:rPr>
        <w:t xml:space="preserve"> </w:t>
      </w:r>
      <w:r>
        <w:t>is</w:t>
      </w:r>
      <w:r>
        <w:rPr>
          <w:spacing w:val="31"/>
        </w:rPr>
        <w:t xml:space="preserve"> </w:t>
      </w:r>
      <w:r>
        <w:t>the</w:t>
      </w:r>
      <w:r>
        <w:rPr>
          <w:spacing w:val="31"/>
        </w:rPr>
        <w:t xml:space="preserve"> </w:t>
      </w:r>
      <w:r>
        <w:t>rational</w:t>
      </w:r>
      <w:r>
        <w:rPr>
          <w:spacing w:val="30"/>
        </w:rPr>
        <w:t xml:space="preserve"> </w:t>
      </w:r>
      <w:r>
        <w:t>thing</w:t>
      </w:r>
      <w:r>
        <w:rPr>
          <w:spacing w:val="31"/>
        </w:rPr>
        <w:t xml:space="preserve"> </w:t>
      </w:r>
      <w:r>
        <w:t xml:space="preserve">to </w:t>
      </w:r>
      <w:r>
        <w:rPr>
          <w:spacing w:val="-4"/>
        </w:rPr>
        <w:t>say.</w:t>
      </w:r>
    </w:p>
    <w:p w14:paraId="7E00207D" w14:textId="77777777" w:rsidR="009A58DB" w:rsidRDefault="00000000">
      <w:pPr>
        <w:pStyle w:val="BodyText"/>
        <w:spacing w:line="283" w:lineRule="exact"/>
        <w:ind w:left="720"/>
        <w:jc w:val="left"/>
      </w:pPr>
      <w:r>
        <w:t>More</w:t>
      </w:r>
      <w:r>
        <w:rPr>
          <w:spacing w:val="1"/>
        </w:rPr>
        <w:t xml:space="preserve"> </w:t>
      </w:r>
      <w:r>
        <w:t>data</w:t>
      </w:r>
      <w:r>
        <w:rPr>
          <w:spacing w:val="5"/>
        </w:rPr>
        <w:t xml:space="preserve"> </w:t>
      </w:r>
      <w:r>
        <w:t>becomes</w:t>
      </w:r>
      <w:r>
        <w:rPr>
          <w:spacing w:val="5"/>
        </w:rPr>
        <w:t xml:space="preserve"> </w:t>
      </w:r>
      <w:r>
        <w:t>available.</w:t>
      </w:r>
      <w:r>
        <w:rPr>
          <w:spacing w:val="4"/>
        </w:rPr>
        <w:t xml:space="preserve"> </w:t>
      </w:r>
      <w:r>
        <w:t>The</w:t>
      </w:r>
      <w:r>
        <w:rPr>
          <w:spacing w:val="5"/>
        </w:rPr>
        <w:t xml:space="preserve"> </w:t>
      </w:r>
      <w:r>
        <w:t>researcher</w:t>
      </w:r>
      <w:r>
        <w:rPr>
          <w:spacing w:val="5"/>
        </w:rPr>
        <w:t xml:space="preserve"> </w:t>
      </w:r>
      <w:r>
        <w:t>considers</w:t>
      </w:r>
      <w:r>
        <w:rPr>
          <w:spacing w:val="5"/>
        </w:rPr>
        <w:t xml:space="preserve"> </w:t>
      </w:r>
      <w:r>
        <w:t>it.</w:t>
      </w:r>
      <w:r>
        <w:rPr>
          <w:spacing w:val="4"/>
        </w:rPr>
        <w:t xml:space="preserve"> </w:t>
      </w:r>
      <w:r>
        <w:t>And,</w:t>
      </w:r>
      <w:r>
        <w:rPr>
          <w:spacing w:val="5"/>
        </w:rPr>
        <w:t xml:space="preserve"> </w:t>
      </w:r>
      <w:r>
        <w:t>at</w:t>
      </w:r>
      <w:r>
        <w:rPr>
          <w:spacing w:val="5"/>
        </w:rPr>
        <w:t xml:space="preserve"> </w:t>
      </w:r>
      <w:r>
        <w:t>time</w:t>
      </w:r>
      <w:r>
        <w:rPr>
          <w:spacing w:val="5"/>
        </w:rPr>
        <w:t xml:space="preserve"> </w:t>
      </w:r>
      <w:r>
        <w:rPr>
          <w:spacing w:val="-5"/>
        </w:rPr>
        <w:t>t*,</w:t>
      </w:r>
    </w:p>
    <w:p w14:paraId="7E00207E" w14:textId="77777777" w:rsidR="009A58DB" w:rsidRDefault="00000000">
      <w:pPr>
        <w:pStyle w:val="BodyText"/>
        <w:spacing w:before="15"/>
        <w:ind w:left="720"/>
        <w:jc w:val="left"/>
      </w:pPr>
      <w:r>
        <w:t>that</w:t>
      </w:r>
      <w:r>
        <w:rPr>
          <w:spacing w:val="-6"/>
        </w:rPr>
        <w:t xml:space="preserve"> </w:t>
      </w:r>
      <w:r>
        <w:t>same</w:t>
      </w:r>
      <w:r>
        <w:rPr>
          <w:spacing w:val="-5"/>
        </w:rPr>
        <w:t xml:space="preserve"> </w:t>
      </w:r>
      <w:r>
        <w:t>researcher</w:t>
      </w:r>
      <w:r>
        <w:rPr>
          <w:spacing w:val="-5"/>
        </w:rPr>
        <w:t xml:space="preserve"> </w:t>
      </w:r>
      <w:r>
        <w:rPr>
          <w:spacing w:val="-4"/>
        </w:rPr>
        <w:t>says:</w:t>
      </w:r>
    </w:p>
    <w:p w14:paraId="7E00207F" w14:textId="77777777" w:rsidR="009A58DB" w:rsidRDefault="00000000">
      <w:pPr>
        <w:pStyle w:val="BodyText"/>
        <w:spacing w:before="120"/>
        <w:jc w:val="left"/>
      </w:pPr>
      <w:r>
        <w:t xml:space="preserve">(S </w:t>
      </w:r>
      <w:r>
        <w:rPr>
          <w:vertAlign w:val="subscript"/>
        </w:rPr>
        <w:t>2</w:t>
      </w:r>
      <w:r>
        <w:t>) “Socrates only</w:t>
      </w:r>
      <w:r>
        <w:rPr>
          <w:spacing w:val="2"/>
        </w:rPr>
        <w:t xml:space="preserve"> </w:t>
      </w:r>
      <w:r>
        <w:t>had</w:t>
      </w:r>
      <w:r>
        <w:rPr>
          <w:spacing w:val="1"/>
        </w:rPr>
        <w:t xml:space="preserve"> </w:t>
      </w:r>
      <w:r>
        <w:t>two</w:t>
      </w:r>
      <w:r>
        <w:rPr>
          <w:spacing w:val="1"/>
        </w:rPr>
        <w:t xml:space="preserve"> </w:t>
      </w:r>
      <w:r>
        <w:rPr>
          <w:spacing w:val="-2"/>
        </w:rPr>
        <w:t>kidneys.”</w:t>
      </w:r>
    </w:p>
    <w:p w14:paraId="7E002080" w14:textId="77777777" w:rsidR="009A58DB" w:rsidRDefault="00000000">
      <w:pPr>
        <w:pStyle w:val="BodyText"/>
        <w:spacing w:before="180" w:line="292" w:lineRule="auto"/>
        <w:ind w:left="720" w:right="365"/>
        <w:jc w:val="left"/>
      </w:pPr>
      <w:r>
        <w:t>Given all of the data available up until time t*, S</w:t>
      </w:r>
      <w:r>
        <w:rPr>
          <w:vertAlign w:val="subscript"/>
        </w:rPr>
        <w:t>2</w:t>
      </w:r>
      <w:r>
        <w:t xml:space="preserve"> is the rational thing to</w:t>
      </w:r>
      <w:r>
        <w:rPr>
          <w:spacing w:val="80"/>
        </w:rPr>
        <w:t xml:space="preserve"> </w:t>
      </w:r>
      <w:r>
        <w:rPr>
          <w:spacing w:val="-4"/>
        </w:rPr>
        <w:t>say.</w:t>
      </w:r>
    </w:p>
    <w:p w14:paraId="7E002081" w14:textId="77777777" w:rsidR="009A58DB" w:rsidRDefault="00000000">
      <w:pPr>
        <w:pStyle w:val="BodyText"/>
        <w:spacing w:line="283" w:lineRule="exact"/>
        <w:ind w:left="720"/>
        <w:jc w:val="left"/>
      </w:pPr>
      <w:r>
        <w:t>Question:</w:t>
      </w:r>
      <w:r>
        <w:rPr>
          <w:spacing w:val="-1"/>
        </w:rPr>
        <w:t xml:space="preserve"> </w:t>
      </w:r>
      <w:r>
        <w:t>Given</w:t>
      </w:r>
      <w:r>
        <w:rPr>
          <w:spacing w:val="1"/>
        </w:rPr>
        <w:t xml:space="preserve"> </w:t>
      </w:r>
      <w:r>
        <w:t>that</w:t>
      </w:r>
      <w:r>
        <w:rPr>
          <w:spacing w:val="-1"/>
        </w:rPr>
        <w:t xml:space="preserve"> </w:t>
      </w:r>
      <w:r>
        <w:t>S</w:t>
      </w:r>
      <w:r>
        <w:rPr>
          <w:vertAlign w:val="subscript"/>
        </w:rPr>
        <w:t>2</w:t>
      </w:r>
      <w:r>
        <w:rPr>
          <w:spacing w:val="1"/>
        </w:rPr>
        <w:t xml:space="preserve"> </w:t>
      </w:r>
      <w:r>
        <w:t>is true, does it follow</w:t>
      </w:r>
      <w:r>
        <w:rPr>
          <w:spacing w:val="-1"/>
        </w:rPr>
        <w:t xml:space="preserve"> </w:t>
      </w:r>
      <w:r>
        <w:t>that S</w:t>
      </w:r>
      <w:r>
        <w:rPr>
          <w:vertAlign w:val="subscript"/>
        </w:rPr>
        <w:t>1</w:t>
      </w:r>
      <w:r>
        <w:rPr>
          <w:spacing w:val="1"/>
        </w:rPr>
        <w:t xml:space="preserve"> </w:t>
      </w:r>
      <w:r>
        <w:t>was</w:t>
      </w:r>
      <w:r>
        <w:rPr>
          <w:spacing w:val="-1"/>
        </w:rPr>
        <w:t xml:space="preserve"> </w:t>
      </w:r>
      <w:r>
        <w:t xml:space="preserve">false? No. </w:t>
      </w:r>
      <w:r>
        <w:rPr>
          <w:spacing w:val="-2"/>
        </w:rPr>
        <w:t>Given</w:t>
      </w:r>
    </w:p>
    <w:p w14:paraId="7E002082" w14:textId="77777777" w:rsidR="009A58DB" w:rsidRDefault="00000000">
      <w:pPr>
        <w:pStyle w:val="BodyText"/>
        <w:spacing w:before="75" w:line="271" w:lineRule="auto"/>
        <w:ind w:right="358"/>
      </w:pPr>
      <w:r>
        <w:t xml:space="preserve">the data available to the researcher at t, it </w:t>
      </w:r>
      <w:r>
        <w:rPr>
          <w:i/>
        </w:rPr>
        <w:t>was</w:t>
      </w:r>
      <w:r>
        <w:rPr>
          <w:i/>
          <w:spacing w:val="-4"/>
        </w:rPr>
        <w:t xml:space="preserve"> </w:t>
      </w:r>
      <w:r>
        <w:t>probable that Socrates had four kidneys. Like all probability statements, S</w:t>
      </w:r>
      <w:r>
        <w:rPr>
          <w:vertAlign w:val="subscript"/>
        </w:rPr>
        <w:t>1</w:t>
      </w:r>
      <w:r>
        <w:t xml:space="preserve"> describes a relationship (one of bearing)</w:t>
      </w:r>
      <w:r>
        <w:rPr>
          <w:spacing w:val="8"/>
        </w:rPr>
        <w:t xml:space="preserve"> </w:t>
      </w:r>
      <w:r>
        <w:t>that</w:t>
      </w:r>
      <w:r>
        <w:rPr>
          <w:spacing w:val="9"/>
        </w:rPr>
        <w:t xml:space="preserve"> </w:t>
      </w:r>
      <w:r>
        <w:t>holds</w:t>
      </w:r>
      <w:r>
        <w:rPr>
          <w:spacing w:val="9"/>
        </w:rPr>
        <w:t xml:space="preserve"> </w:t>
      </w:r>
      <w:r>
        <w:t>between</w:t>
      </w:r>
      <w:r>
        <w:rPr>
          <w:spacing w:val="8"/>
        </w:rPr>
        <w:t xml:space="preserve"> </w:t>
      </w:r>
      <w:r>
        <w:t>some</w:t>
      </w:r>
      <w:r>
        <w:rPr>
          <w:spacing w:val="9"/>
        </w:rPr>
        <w:t xml:space="preserve"> </w:t>
      </w:r>
      <w:r>
        <w:t>body</w:t>
      </w:r>
      <w:r>
        <w:rPr>
          <w:spacing w:val="8"/>
        </w:rPr>
        <w:t xml:space="preserve"> </w:t>
      </w:r>
      <w:r>
        <w:t>of</w:t>
      </w:r>
      <w:r>
        <w:rPr>
          <w:spacing w:val="9"/>
        </w:rPr>
        <w:t xml:space="preserve"> </w:t>
      </w:r>
      <w:r>
        <w:t>data</w:t>
      </w:r>
      <w:r>
        <w:rPr>
          <w:spacing w:val="9"/>
        </w:rPr>
        <w:t xml:space="preserve"> </w:t>
      </w:r>
      <w:r>
        <w:t>and</w:t>
      </w:r>
      <w:r>
        <w:rPr>
          <w:spacing w:val="8"/>
        </w:rPr>
        <w:t xml:space="preserve"> </w:t>
      </w:r>
      <w:r>
        <w:t>some</w:t>
      </w:r>
      <w:r>
        <w:rPr>
          <w:spacing w:val="9"/>
        </w:rPr>
        <w:t xml:space="preserve"> </w:t>
      </w:r>
      <w:r>
        <w:t>hypothesis.</w:t>
      </w:r>
      <w:r>
        <w:rPr>
          <w:spacing w:val="9"/>
        </w:rPr>
        <w:t xml:space="preserve"> </w:t>
      </w:r>
      <w:r>
        <w:t>S</w:t>
      </w:r>
      <w:r>
        <w:rPr>
          <w:vertAlign w:val="subscript"/>
        </w:rPr>
        <w:t>1</w:t>
      </w:r>
      <w:r>
        <w:rPr>
          <w:spacing w:val="14"/>
        </w:rPr>
        <w:t xml:space="preserve"> </w:t>
      </w:r>
      <w:r>
        <w:rPr>
          <w:spacing w:val="-4"/>
        </w:rPr>
        <w:t>does</w:t>
      </w:r>
    </w:p>
    <w:p w14:paraId="7E002083" w14:textId="77777777" w:rsidR="009A58DB" w:rsidRDefault="00000000">
      <w:pPr>
        <w:pStyle w:val="BodyText"/>
        <w:spacing w:before="30" w:line="249" w:lineRule="auto"/>
        <w:ind w:right="371"/>
      </w:pPr>
      <w:r>
        <w:rPr>
          <w:i/>
        </w:rPr>
        <w:t xml:space="preserve">not </w:t>
      </w:r>
      <w:r>
        <w:t xml:space="preserve">describe some state of affairs. If it did, it would be to the effect that Socrates had two kidneys </w:t>
      </w:r>
      <w:r>
        <w:rPr>
          <w:i/>
        </w:rPr>
        <w:t xml:space="preserve">to a certain degree, </w:t>
      </w:r>
      <w:r>
        <w:t xml:space="preserve">in which case it would be </w:t>
      </w:r>
      <w:r>
        <w:rPr>
          <w:spacing w:val="-2"/>
        </w:rPr>
        <w:t>meaningless.</w:t>
      </w:r>
    </w:p>
    <w:p w14:paraId="7E002084" w14:textId="77777777" w:rsidR="009A58DB" w:rsidRDefault="00000000">
      <w:pPr>
        <w:pStyle w:val="Heading1"/>
        <w:numPr>
          <w:ilvl w:val="1"/>
          <w:numId w:val="78"/>
        </w:numPr>
        <w:tabs>
          <w:tab w:val="left" w:pos="990"/>
        </w:tabs>
        <w:spacing w:before="192"/>
      </w:pPr>
      <w:r>
        <w:t>Probability</w:t>
      </w:r>
      <w:r>
        <w:rPr>
          <w:spacing w:val="-4"/>
        </w:rPr>
        <w:t xml:space="preserve"> </w:t>
      </w:r>
      <w:r>
        <w:t>a</w:t>
      </w:r>
      <w:r>
        <w:rPr>
          <w:spacing w:val="-4"/>
        </w:rPr>
        <w:t xml:space="preserve"> </w:t>
      </w:r>
      <w:r>
        <w:t>property</w:t>
      </w:r>
      <w:r>
        <w:rPr>
          <w:spacing w:val="-3"/>
        </w:rPr>
        <w:t xml:space="preserve"> </w:t>
      </w:r>
      <w:r>
        <w:t>of</w:t>
      </w:r>
      <w:r>
        <w:rPr>
          <w:spacing w:val="-4"/>
        </w:rPr>
        <w:t xml:space="preserve"> </w:t>
      </w:r>
      <w:r>
        <w:rPr>
          <w:spacing w:val="-2"/>
        </w:rPr>
        <w:t>statements</w:t>
      </w:r>
    </w:p>
    <w:p w14:paraId="7E002085" w14:textId="77777777" w:rsidR="009A58DB" w:rsidRDefault="00000000">
      <w:pPr>
        <w:pStyle w:val="BodyText"/>
        <w:spacing w:before="139" w:line="249" w:lineRule="auto"/>
        <w:ind w:right="358"/>
      </w:pPr>
      <w:r>
        <w:t>Probability is a property of statements, not of states of affairs</w:t>
      </w:r>
      <w:bookmarkStart w:id="455" w:name="_bookmark455"/>
      <w:bookmarkEnd w:id="455"/>
      <w:r>
        <w:t>.</w:t>
      </w:r>
      <w:r>
        <w:rPr>
          <w:color w:val="0562C1"/>
          <w:position w:val="21"/>
          <w:u w:val="single" w:color="0562C1"/>
        </w:rPr>
        <w:t>[337]</w:t>
      </w:r>
      <w:r>
        <w:rPr>
          <w:color w:val="0562C1"/>
          <w:position w:val="21"/>
        </w:rPr>
        <w:t xml:space="preserve"> </w:t>
      </w:r>
      <w:r>
        <w:t>It’s a property of statements to the effect that a certain hypothesis is given a certain amount of support by a certain body of data. So it’s a property of statements that describe bearing-relations. True probability statements correctly describe such relations; false ones incorrectly describe them.</w:t>
      </w:r>
    </w:p>
    <w:p w14:paraId="7E002086" w14:textId="77777777" w:rsidR="009A58DB" w:rsidRDefault="00000000">
      <w:pPr>
        <w:pStyle w:val="BodyText"/>
        <w:spacing w:before="6" w:line="249" w:lineRule="auto"/>
        <w:ind w:right="362" w:firstLine="360"/>
      </w:pPr>
      <w:r>
        <w:t xml:space="preserve">An illustration: Smith tells his friend Brown that he’s going on a tour of Europe. But he’s vague about where he’s going to go, and when. But he’s not </w:t>
      </w:r>
      <w:r>
        <w:rPr>
          <w:i/>
        </w:rPr>
        <w:t xml:space="preserve">completely </w:t>
      </w:r>
      <w:r>
        <w:t>vague; he gives Brown some relevant information. A month after Smith leaves, Brown tells a friend of his that:</w:t>
      </w:r>
    </w:p>
    <w:p w14:paraId="7E002087" w14:textId="77777777" w:rsidR="009A58DB" w:rsidRDefault="00000000">
      <w:pPr>
        <w:pStyle w:val="BodyText"/>
        <w:spacing w:before="110"/>
      </w:pPr>
      <w:r>
        <w:t>(PS</w:t>
      </w:r>
      <w:r>
        <w:rPr>
          <w:vertAlign w:val="subscript"/>
        </w:rPr>
        <w:t>1</w:t>
      </w:r>
      <w:r>
        <w:t>)</w:t>
      </w:r>
      <w:r>
        <w:rPr>
          <w:spacing w:val="-2"/>
        </w:rPr>
        <w:t xml:space="preserve"> </w:t>
      </w:r>
      <w:r>
        <w:t>It’s</w:t>
      </w:r>
      <w:r>
        <w:rPr>
          <w:spacing w:val="-1"/>
        </w:rPr>
        <w:t xml:space="preserve"> </w:t>
      </w:r>
      <w:r>
        <w:t>probable</w:t>
      </w:r>
      <w:r>
        <w:rPr>
          <w:spacing w:val="-2"/>
        </w:rPr>
        <w:t xml:space="preserve"> </w:t>
      </w:r>
      <w:r>
        <w:t>that</w:t>
      </w:r>
      <w:r>
        <w:rPr>
          <w:spacing w:val="-1"/>
        </w:rPr>
        <w:t xml:space="preserve"> </w:t>
      </w:r>
      <w:r>
        <w:t>Smith is</w:t>
      </w:r>
      <w:r>
        <w:rPr>
          <w:spacing w:val="-2"/>
        </w:rPr>
        <w:t xml:space="preserve"> </w:t>
      </w:r>
      <w:r>
        <w:t>in France</w:t>
      </w:r>
      <w:r>
        <w:rPr>
          <w:spacing w:val="-1"/>
        </w:rPr>
        <w:t xml:space="preserve"> </w:t>
      </w:r>
      <w:r>
        <w:t>right</w:t>
      </w:r>
      <w:r>
        <w:rPr>
          <w:spacing w:val="-2"/>
        </w:rPr>
        <w:t xml:space="preserve"> </w:t>
      </w:r>
      <w:r>
        <w:rPr>
          <w:spacing w:val="-4"/>
        </w:rPr>
        <w:t>now.</w:t>
      </w:r>
    </w:p>
    <w:p w14:paraId="7E002088" w14:textId="77777777" w:rsidR="009A58DB" w:rsidRDefault="00000000">
      <w:pPr>
        <w:pStyle w:val="BodyText"/>
        <w:spacing w:before="165" w:line="292" w:lineRule="auto"/>
        <w:ind w:right="359"/>
      </w:pPr>
      <w:r>
        <w:t>PS</w:t>
      </w:r>
      <w:r>
        <w:rPr>
          <w:vertAlign w:val="subscript"/>
        </w:rPr>
        <w:t>1</w:t>
      </w:r>
      <w:r>
        <w:t xml:space="preserve"> is correct. It’s correct because, given the data available to Brown, it’s far more</w:t>
      </w:r>
      <w:r>
        <w:rPr>
          <w:spacing w:val="-3"/>
        </w:rPr>
        <w:t xml:space="preserve"> </w:t>
      </w:r>
      <w:r>
        <w:t>reasonable</w:t>
      </w:r>
      <w:r>
        <w:rPr>
          <w:spacing w:val="-3"/>
        </w:rPr>
        <w:t xml:space="preserve"> </w:t>
      </w:r>
      <w:r>
        <w:t>to</w:t>
      </w:r>
      <w:r>
        <w:rPr>
          <w:spacing w:val="-2"/>
        </w:rPr>
        <w:t xml:space="preserve"> </w:t>
      </w:r>
      <w:r>
        <w:t>believe</w:t>
      </w:r>
      <w:r>
        <w:rPr>
          <w:spacing w:val="-3"/>
        </w:rPr>
        <w:t xml:space="preserve"> </w:t>
      </w:r>
      <w:r>
        <w:t>that</w:t>
      </w:r>
      <w:r>
        <w:rPr>
          <w:spacing w:val="-3"/>
        </w:rPr>
        <w:t xml:space="preserve"> </w:t>
      </w:r>
      <w:r>
        <w:t>Brown</w:t>
      </w:r>
      <w:r>
        <w:rPr>
          <w:spacing w:val="-2"/>
        </w:rPr>
        <w:t xml:space="preserve"> </w:t>
      </w:r>
      <w:r>
        <w:t>is</w:t>
      </w:r>
      <w:r>
        <w:rPr>
          <w:spacing w:val="-3"/>
        </w:rPr>
        <w:t xml:space="preserve"> </w:t>
      </w:r>
      <w:r>
        <w:t>in</w:t>
      </w:r>
      <w:r>
        <w:rPr>
          <w:spacing w:val="-2"/>
        </w:rPr>
        <w:t xml:space="preserve"> </w:t>
      </w:r>
      <w:r>
        <w:t>France</w:t>
      </w:r>
      <w:r>
        <w:rPr>
          <w:spacing w:val="-3"/>
        </w:rPr>
        <w:t xml:space="preserve"> </w:t>
      </w:r>
      <w:r>
        <w:t>than</w:t>
      </w:r>
      <w:r>
        <w:rPr>
          <w:spacing w:val="-2"/>
        </w:rPr>
        <w:t xml:space="preserve"> </w:t>
      </w:r>
      <w:r>
        <w:t>it</w:t>
      </w:r>
      <w:r>
        <w:rPr>
          <w:spacing w:val="-3"/>
        </w:rPr>
        <w:t xml:space="preserve"> </w:t>
      </w:r>
      <w:r>
        <w:t>is</w:t>
      </w:r>
      <w:r>
        <w:rPr>
          <w:spacing w:val="-3"/>
        </w:rPr>
        <w:t xml:space="preserve"> </w:t>
      </w:r>
      <w:r>
        <w:t>to</w:t>
      </w:r>
      <w:r>
        <w:rPr>
          <w:spacing w:val="-2"/>
        </w:rPr>
        <w:t xml:space="preserve"> </w:t>
      </w:r>
      <w:r>
        <w:t>believe</w:t>
      </w:r>
      <w:r>
        <w:rPr>
          <w:spacing w:val="-3"/>
        </w:rPr>
        <w:t xml:space="preserve"> </w:t>
      </w:r>
      <w:r>
        <w:t>that</w:t>
      </w:r>
      <w:r>
        <w:rPr>
          <w:spacing w:val="-3"/>
        </w:rPr>
        <w:t xml:space="preserve"> </w:t>
      </w:r>
      <w:r>
        <w:t>he</w:t>
      </w:r>
    </w:p>
    <w:p w14:paraId="7E002089"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08A" w14:textId="77777777" w:rsidR="009A58DB" w:rsidRDefault="00000000">
      <w:pPr>
        <w:pStyle w:val="BodyText"/>
        <w:spacing w:before="61" w:line="271" w:lineRule="auto"/>
        <w:ind w:right="361"/>
      </w:pPr>
      <w:r>
        <w:lastRenderedPageBreak/>
        <w:t>isn’t.</w:t>
      </w:r>
      <w:r>
        <w:rPr>
          <w:spacing w:val="-1"/>
        </w:rPr>
        <w:t xml:space="preserve"> </w:t>
      </w:r>
      <w:r>
        <w:t>And</w:t>
      </w:r>
      <w:r>
        <w:rPr>
          <w:spacing w:val="-1"/>
        </w:rPr>
        <w:t xml:space="preserve"> </w:t>
      </w:r>
      <w:r>
        <w:t>PS</w:t>
      </w:r>
      <w:r>
        <w:rPr>
          <w:vertAlign w:val="subscript"/>
        </w:rPr>
        <w:t>1</w:t>
      </w:r>
      <w:r>
        <w:rPr>
          <w:spacing w:val="-1"/>
        </w:rPr>
        <w:t xml:space="preserve"> </w:t>
      </w:r>
      <w:r>
        <w:t>is</w:t>
      </w:r>
      <w:r>
        <w:rPr>
          <w:spacing w:val="-2"/>
        </w:rPr>
        <w:t xml:space="preserve"> </w:t>
      </w:r>
      <w:r>
        <w:t>correct</w:t>
      </w:r>
      <w:r>
        <w:rPr>
          <w:spacing w:val="-2"/>
        </w:rPr>
        <w:t xml:space="preserve"> </w:t>
      </w:r>
      <w:r>
        <w:t>even</w:t>
      </w:r>
      <w:r>
        <w:rPr>
          <w:spacing w:val="-1"/>
        </w:rPr>
        <w:t xml:space="preserve"> </w:t>
      </w:r>
      <w:r>
        <w:t>if,</w:t>
      </w:r>
      <w:r>
        <w:rPr>
          <w:spacing w:val="-1"/>
        </w:rPr>
        <w:t xml:space="preserve"> </w:t>
      </w:r>
      <w:r>
        <w:t>at</w:t>
      </w:r>
      <w:r>
        <w:rPr>
          <w:spacing w:val="-2"/>
        </w:rPr>
        <w:t xml:space="preserve"> </w:t>
      </w:r>
      <w:r>
        <w:t>the</w:t>
      </w:r>
      <w:r>
        <w:rPr>
          <w:spacing w:val="-2"/>
        </w:rPr>
        <w:t xml:space="preserve"> </w:t>
      </w:r>
      <w:r>
        <w:t>time,</w:t>
      </w:r>
      <w:r>
        <w:rPr>
          <w:spacing w:val="-1"/>
        </w:rPr>
        <w:t xml:space="preserve"> </w:t>
      </w:r>
      <w:r>
        <w:t>Brown</w:t>
      </w:r>
      <w:r>
        <w:rPr>
          <w:spacing w:val="-1"/>
        </w:rPr>
        <w:t xml:space="preserve"> </w:t>
      </w:r>
      <w:r>
        <w:t>is</w:t>
      </w:r>
      <w:r>
        <w:rPr>
          <w:spacing w:val="-2"/>
        </w:rPr>
        <w:t xml:space="preserve"> </w:t>
      </w:r>
      <w:r>
        <w:t>Spain.</w:t>
      </w:r>
      <w:r>
        <w:rPr>
          <w:spacing w:val="-1"/>
        </w:rPr>
        <w:t xml:space="preserve"> </w:t>
      </w:r>
      <w:r>
        <w:t>It</w:t>
      </w:r>
      <w:r>
        <w:rPr>
          <w:spacing w:val="-2"/>
        </w:rPr>
        <w:t xml:space="preserve"> </w:t>
      </w:r>
      <w:r>
        <w:t>doesn’t</w:t>
      </w:r>
      <w:r>
        <w:rPr>
          <w:spacing w:val="-2"/>
        </w:rPr>
        <w:t xml:space="preserve"> </w:t>
      </w:r>
      <w:r>
        <w:t>matter whether Brown is in France or not. What matters is that, given the available data,</w:t>
      </w:r>
      <w:r>
        <w:rPr>
          <w:spacing w:val="39"/>
        </w:rPr>
        <w:t xml:space="preserve"> </w:t>
      </w:r>
      <w:r>
        <w:t>it’s</w:t>
      </w:r>
      <w:r>
        <w:rPr>
          <w:spacing w:val="39"/>
        </w:rPr>
        <w:t xml:space="preserve"> </w:t>
      </w:r>
      <w:r>
        <w:t>more</w:t>
      </w:r>
      <w:r>
        <w:rPr>
          <w:spacing w:val="39"/>
        </w:rPr>
        <w:t xml:space="preserve"> </w:t>
      </w:r>
      <w:r>
        <w:t>reasonable</w:t>
      </w:r>
      <w:r>
        <w:rPr>
          <w:spacing w:val="39"/>
        </w:rPr>
        <w:t xml:space="preserve"> </w:t>
      </w:r>
      <w:r>
        <w:t>to</w:t>
      </w:r>
      <w:r>
        <w:rPr>
          <w:spacing w:val="40"/>
        </w:rPr>
        <w:t xml:space="preserve"> </w:t>
      </w:r>
      <w:r>
        <w:t>believe</w:t>
      </w:r>
      <w:r>
        <w:rPr>
          <w:spacing w:val="39"/>
        </w:rPr>
        <w:t xml:space="preserve"> </w:t>
      </w:r>
      <w:r>
        <w:t>that</w:t>
      </w:r>
      <w:r>
        <w:rPr>
          <w:spacing w:val="39"/>
        </w:rPr>
        <w:t xml:space="preserve"> </w:t>
      </w:r>
      <w:r>
        <w:t>he</w:t>
      </w:r>
      <w:r>
        <w:rPr>
          <w:spacing w:val="39"/>
        </w:rPr>
        <w:t xml:space="preserve"> </w:t>
      </w:r>
      <w:r>
        <w:t>is</w:t>
      </w:r>
      <w:r>
        <w:rPr>
          <w:spacing w:val="39"/>
        </w:rPr>
        <w:t xml:space="preserve"> </w:t>
      </w:r>
      <w:r>
        <w:t>than</w:t>
      </w:r>
      <w:r>
        <w:rPr>
          <w:spacing w:val="39"/>
        </w:rPr>
        <w:t xml:space="preserve"> </w:t>
      </w:r>
      <w:r>
        <w:t>it</w:t>
      </w:r>
      <w:r>
        <w:rPr>
          <w:spacing w:val="40"/>
        </w:rPr>
        <w:t xml:space="preserve"> </w:t>
      </w:r>
      <w:r>
        <w:t>is</w:t>
      </w:r>
      <w:r>
        <w:rPr>
          <w:spacing w:val="39"/>
        </w:rPr>
        <w:t xml:space="preserve"> </w:t>
      </w:r>
      <w:r>
        <w:t>to</w:t>
      </w:r>
      <w:r>
        <w:rPr>
          <w:spacing w:val="39"/>
        </w:rPr>
        <w:t xml:space="preserve"> </w:t>
      </w:r>
      <w:r>
        <w:t>believe</w:t>
      </w:r>
      <w:r>
        <w:rPr>
          <w:spacing w:val="39"/>
        </w:rPr>
        <w:t xml:space="preserve"> </w:t>
      </w:r>
      <w:r>
        <w:t>that</w:t>
      </w:r>
      <w:r>
        <w:rPr>
          <w:spacing w:val="39"/>
        </w:rPr>
        <w:t xml:space="preserve"> </w:t>
      </w:r>
      <w:r>
        <w:t>he</w:t>
      </w:r>
    </w:p>
    <w:p w14:paraId="7E00208B" w14:textId="77777777" w:rsidR="009A58DB" w:rsidRDefault="00000000">
      <w:pPr>
        <w:pStyle w:val="BodyText"/>
        <w:spacing w:line="316" w:lineRule="exact"/>
        <w:jc w:val="left"/>
      </w:pPr>
      <w:r>
        <w:rPr>
          <w:spacing w:val="-2"/>
        </w:rPr>
        <w:t>isn’t.</w:t>
      </w:r>
    </w:p>
    <w:p w14:paraId="7E00208C" w14:textId="77777777" w:rsidR="009A58DB" w:rsidRDefault="00000000">
      <w:pPr>
        <w:pStyle w:val="BodyText"/>
        <w:spacing w:before="19" w:line="271" w:lineRule="auto"/>
        <w:ind w:right="358" w:firstLine="360"/>
      </w:pPr>
      <w:r>
        <w:t>PS</w:t>
      </w:r>
      <w:r>
        <w:rPr>
          <w:vertAlign w:val="subscript"/>
        </w:rPr>
        <w:t>1</w:t>
      </w:r>
      <w:r>
        <w:t xml:space="preserve"> says that, </w:t>
      </w:r>
      <w:r>
        <w:rPr>
          <w:i/>
        </w:rPr>
        <w:t xml:space="preserve">given </w:t>
      </w:r>
      <w:r>
        <w:t>such and such data, it’s probable that Smith is in France. It’s irrelevant that, from a phonetic viewpoint, there’s no expression of</w:t>
      </w:r>
      <w:r>
        <w:rPr>
          <w:spacing w:val="29"/>
        </w:rPr>
        <w:t xml:space="preserve"> </w:t>
      </w:r>
      <w:r>
        <w:t>the</w:t>
      </w:r>
      <w:r>
        <w:rPr>
          <w:spacing w:val="30"/>
        </w:rPr>
        <w:t xml:space="preserve"> </w:t>
      </w:r>
      <w:r>
        <w:t>form</w:t>
      </w:r>
      <w:r>
        <w:rPr>
          <w:spacing w:val="30"/>
        </w:rPr>
        <w:t xml:space="preserve"> </w:t>
      </w:r>
      <w:r>
        <w:t>“given</w:t>
      </w:r>
      <w:r>
        <w:rPr>
          <w:spacing w:val="30"/>
        </w:rPr>
        <w:t xml:space="preserve"> </w:t>
      </w:r>
      <w:r>
        <w:t>such</w:t>
      </w:r>
      <w:r>
        <w:rPr>
          <w:spacing w:val="30"/>
        </w:rPr>
        <w:t xml:space="preserve"> </w:t>
      </w:r>
      <w:r>
        <w:t>and</w:t>
      </w:r>
      <w:r>
        <w:rPr>
          <w:spacing w:val="30"/>
        </w:rPr>
        <w:t xml:space="preserve"> </w:t>
      </w:r>
      <w:r>
        <w:t>such</w:t>
      </w:r>
      <w:r>
        <w:rPr>
          <w:spacing w:val="29"/>
        </w:rPr>
        <w:t xml:space="preserve"> </w:t>
      </w:r>
      <w:r>
        <w:t>data.”</w:t>
      </w:r>
      <w:r>
        <w:rPr>
          <w:spacing w:val="30"/>
        </w:rPr>
        <w:t xml:space="preserve"> </w:t>
      </w:r>
      <w:r>
        <w:t>From</w:t>
      </w:r>
      <w:r>
        <w:rPr>
          <w:spacing w:val="30"/>
        </w:rPr>
        <w:t xml:space="preserve"> </w:t>
      </w:r>
      <w:r>
        <w:t>a</w:t>
      </w:r>
      <w:r>
        <w:rPr>
          <w:spacing w:val="30"/>
        </w:rPr>
        <w:t xml:space="preserve"> </w:t>
      </w:r>
      <w:r>
        <w:t>logical</w:t>
      </w:r>
      <w:r>
        <w:rPr>
          <w:spacing w:val="30"/>
        </w:rPr>
        <w:t xml:space="preserve"> </w:t>
      </w:r>
      <w:r>
        <w:t>standpoint,</w:t>
      </w:r>
      <w:r>
        <w:rPr>
          <w:spacing w:val="30"/>
        </w:rPr>
        <w:t xml:space="preserve"> </w:t>
      </w:r>
      <w:r>
        <w:t>there</w:t>
      </w:r>
      <w:r>
        <w:rPr>
          <w:spacing w:val="30"/>
        </w:rPr>
        <w:t xml:space="preserve"> </w:t>
      </w:r>
      <w:r>
        <w:rPr>
          <w:spacing w:val="-5"/>
        </w:rPr>
        <w:t>is</w:t>
      </w:r>
    </w:p>
    <w:p w14:paraId="7E00208D" w14:textId="77777777" w:rsidR="009A58DB" w:rsidRDefault="00000000">
      <w:pPr>
        <w:pStyle w:val="BodyText"/>
        <w:spacing w:line="316" w:lineRule="exact"/>
      </w:pPr>
      <w:r>
        <w:t>such</w:t>
      </w:r>
      <w:r>
        <w:rPr>
          <w:spacing w:val="-1"/>
        </w:rPr>
        <w:t xml:space="preserve"> </w:t>
      </w:r>
      <w:r>
        <w:t>an expression</w:t>
      </w:r>
      <w:r>
        <w:rPr>
          <w:spacing w:val="-1"/>
        </w:rPr>
        <w:t xml:space="preserve"> </w:t>
      </w:r>
      <w:r>
        <w:t>(unless</w:t>
      </w:r>
      <w:r>
        <w:rPr>
          <w:spacing w:val="-1"/>
        </w:rPr>
        <w:t xml:space="preserve"> </w:t>
      </w:r>
      <w:r>
        <w:t>PS</w:t>
      </w:r>
      <w:r>
        <w:rPr>
          <w:vertAlign w:val="subscript"/>
        </w:rPr>
        <w:t>1</w:t>
      </w:r>
      <w:r>
        <w:rPr>
          <w:spacing w:val="-1"/>
        </w:rPr>
        <w:t xml:space="preserve"> </w:t>
      </w:r>
      <w:r>
        <w:t>is</w:t>
      </w:r>
      <w:r>
        <w:rPr>
          <w:spacing w:val="-1"/>
        </w:rPr>
        <w:t xml:space="preserve"> </w:t>
      </w:r>
      <w:r>
        <w:t>completely</w:t>
      </w:r>
      <w:r>
        <w:rPr>
          <w:spacing w:val="-1"/>
        </w:rPr>
        <w:t xml:space="preserve"> </w:t>
      </w:r>
      <w:r>
        <w:rPr>
          <w:spacing w:val="-2"/>
        </w:rPr>
        <w:t>meaningless).</w:t>
      </w:r>
    </w:p>
    <w:p w14:paraId="7E00208E" w14:textId="77777777" w:rsidR="009A58DB" w:rsidRDefault="00000000">
      <w:pPr>
        <w:pStyle w:val="BodyText"/>
        <w:spacing w:before="75" w:line="249" w:lineRule="auto"/>
        <w:ind w:right="361" w:firstLine="360"/>
      </w:pPr>
      <w:r>
        <w:t>In general, probability is inherently relational. For this reason, the words “P is probably the case” may be correct when they come out of one person’s mouth and false when they come out of some other person’s mouth. This will happen if the data available to the one person makes P more belief-worthy than</w:t>
      </w:r>
      <w:r>
        <w:rPr>
          <w:spacing w:val="-1"/>
        </w:rPr>
        <w:t xml:space="preserve"> </w:t>
      </w:r>
      <w:r>
        <w:t>not-P</w:t>
      </w:r>
      <w:r>
        <w:rPr>
          <w:spacing w:val="-1"/>
        </w:rPr>
        <w:t xml:space="preserve"> </w:t>
      </w:r>
      <w:r>
        <w:t>and</w:t>
      </w:r>
      <w:r>
        <w:rPr>
          <w:spacing w:val="-1"/>
        </w:rPr>
        <w:t xml:space="preserve"> </w:t>
      </w:r>
      <w:r>
        <w:t>the</w:t>
      </w:r>
      <w:r>
        <w:rPr>
          <w:spacing w:val="-1"/>
        </w:rPr>
        <w:t xml:space="preserve"> </w:t>
      </w:r>
      <w:r>
        <w:t>data</w:t>
      </w:r>
      <w:r>
        <w:rPr>
          <w:spacing w:val="-1"/>
        </w:rPr>
        <w:t xml:space="preserve"> </w:t>
      </w:r>
      <w:r>
        <w:t>available</w:t>
      </w:r>
      <w:r>
        <w:rPr>
          <w:spacing w:val="-1"/>
        </w:rPr>
        <w:t xml:space="preserve"> </w:t>
      </w:r>
      <w:r>
        <w:t>to</w:t>
      </w:r>
      <w:r>
        <w:rPr>
          <w:spacing w:val="-1"/>
        </w:rPr>
        <w:t xml:space="preserve"> </w:t>
      </w:r>
      <w:r>
        <w:t>the</w:t>
      </w:r>
      <w:r>
        <w:rPr>
          <w:spacing w:val="-1"/>
        </w:rPr>
        <w:t xml:space="preserve"> </w:t>
      </w:r>
      <w:r>
        <w:t>other</w:t>
      </w:r>
      <w:r>
        <w:rPr>
          <w:spacing w:val="-1"/>
        </w:rPr>
        <w:t xml:space="preserve"> </w:t>
      </w:r>
      <w:r>
        <w:t>makes</w:t>
      </w:r>
      <w:r>
        <w:rPr>
          <w:spacing w:val="-1"/>
        </w:rPr>
        <w:t xml:space="preserve"> </w:t>
      </w:r>
      <w:r>
        <w:t>not-P</w:t>
      </w:r>
      <w:r>
        <w:rPr>
          <w:spacing w:val="-1"/>
        </w:rPr>
        <w:t xml:space="preserve"> </w:t>
      </w:r>
      <w:r>
        <w:t>more</w:t>
      </w:r>
      <w:r>
        <w:rPr>
          <w:spacing w:val="-1"/>
        </w:rPr>
        <w:t xml:space="preserve"> </w:t>
      </w:r>
      <w:r>
        <w:t>belief-worthy than P.</w:t>
      </w:r>
    </w:p>
    <w:p w14:paraId="7E00208F" w14:textId="77777777" w:rsidR="009A58DB" w:rsidRDefault="00000000">
      <w:pPr>
        <w:pStyle w:val="BodyText"/>
        <w:spacing w:before="7" w:line="249" w:lineRule="auto"/>
        <w:ind w:right="359" w:firstLine="360"/>
      </w:pPr>
      <w:r>
        <w:t>A complete description of the universe would contain no probability statements. Given any statement S (that isn’t a probability statement), such a description would contain either S or not-S. Thus, probability is but “a measure of ignorance,” as Laplace put it. Somebody who knew everything could never correctly describe a proposition as probable but not certain.</w:t>
      </w:r>
    </w:p>
    <w:p w14:paraId="7E002090" w14:textId="77777777" w:rsidR="009A58DB" w:rsidRDefault="00000000">
      <w:pPr>
        <w:pStyle w:val="Heading1"/>
        <w:numPr>
          <w:ilvl w:val="1"/>
          <w:numId w:val="78"/>
        </w:numPr>
        <w:tabs>
          <w:tab w:val="left" w:pos="990"/>
        </w:tabs>
        <w:spacing w:before="194"/>
      </w:pPr>
      <w:r>
        <w:t>Probability</w:t>
      </w:r>
      <w:r>
        <w:rPr>
          <w:spacing w:val="-5"/>
        </w:rPr>
        <w:t xml:space="preserve"> </w:t>
      </w:r>
      <w:r>
        <w:t>not</w:t>
      </w:r>
      <w:r>
        <w:rPr>
          <w:spacing w:val="-5"/>
        </w:rPr>
        <w:t xml:space="preserve"> </w:t>
      </w:r>
      <w:r>
        <w:rPr>
          <w:spacing w:val="-2"/>
        </w:rPr>
        <w:t>subjective</w:t>
      </w:r>
    </w:p>
    <w:p w14:paraId="7E002091" w14:textId="77777777" w:rsidR="009A58DB" w:rsidRDefault="00000000">
      <w:pPr>
        <w:pStyle w:val="BodyText"/>
        <w:spacing w:before="139" w:line="249" w:lineRule="auto"/>
        <w:ind w:right="358"/>
      </w:pPr>
      <w:r>
        <w:t xml:space="preserve">Probability is a mind-independent logical relationship holding among statements. The degree to which a given body of data D confirms a given statement S has nothing to do with anyone’s opinion about anything: D confirms S to that degree whether or not anyone knows it—whether or not anyone exists. Probability statements are </w:t>
      </w:r>
      <w:r>
        <w:rPr>
          <w:i/>
        </w:rPr>
        <w:t xml:space="preserve">useful </w:t>
      </w:r>
      <w:r>
        <w:t>only to the ignorant. (An omniscient being wouldn’t have to bother with them.) But that doesn’t mean it’s only insofar as people are ignorant that they’re true. It means the</w:t>
      </w:r>
      <w:r>
        <w:rPr>
          <w:spacing w:val="40"/>
        </w:rPr>
        <w:t xml:space="preserve"> </w:t>
      </w:r>
      <w:r>
        <w:t>opposite. They’re useful to the ignorant because, when correct, they describe relations that actually hold between what (little) they know and what they’d like to know.</w:t>
      </w:r>
    </w:p>
    <w:p w14:paraId="7E002092" w14:textId="77777777" w:rsidR="009A58DB" w:rsidRDefault="00000000">
      <w:pPr>
        <w:pStyle w:val="BodyText"/>
        <w:spacing w:before="13" w:line="249" w:lineRule="auto"/>
        <w:ind w:right="358" w:firstLine="360"/>
      </w:pPr>
      <w:r>
        <w:t xml:space="preserve">Given a certain body of data, it’s more reasonable to believe P than it is to believe not-P, even though, given that same data, it is </w:t>
      </w:r>
      <w:r>
        <w:rPr>
          <w:i/>
        </w:rPr>
        <w:t xml:space="preserve">not </w:t>
      </w:r>
      <w:r>
        <w:t>reasonable to believe</w:t>
      </w:r>
      <w:r>
        <w:rPr>
          <w:spacing w:val="-1"/>
        </w:rPr>
        <w:t xml:space="preserve"> </w:t>
      </w:r>
      <w:r>
        <w:t>P.</w:t>
      </w:r>
      <w:r>
        <w:rPr>
          <w:spacing w:val="-1"/>
        </w:rPr>
        <w:t xml:space="preserve"> </w:t>
      </w:r>
      <w:r>
        <w:t>To</w:t>
      </w:r>
      <w:r>
        <w:rPr>
          <w:spacing w:val="-1"/>
        </w:rPr>
        <w:t xml:space="preserve"> </w:t>
      </w:r>
      <w:r>
        <w:t>believe</w:t>
      </w:r>
      <w:r>
        <w:rPr>
          <w:spacing w:val="-1"/>
        </w:rPr>
        <w:t xml:space="preserve"> </w:t>
      </w:r>
      <w:r>
        <w:t>P</w:t>
      </w:r>
      <w:r>
        <w:rPr>
          <w:spacing w:val="-1"/>
        </w:rPr>
        <w:t xml:space="preserve"> </w:t>
      </w:r>
      <w:r>
        <w:t>is</w:t>
      </w:r>
      <w:r>
        <w:rPr>
          <w:spacing w:val="-1"/>
        </w:rPr>
        <w:t xml:space="preserve"> </w:t>
      </w:r>
      <w:r>
        <w:t>to</w:t>
      </w:r>
      <w:r>
        <w:rPr>
          <w:spacing w:val="-1"/>
        </w:rPr>
        <w:t xml:space="preserve"> </w:t>
      </w:r>
      <w:r>
        <w:t>be</w:t>
      </w:r>
      <w:r>
        <w:rPr>
          <w:spacing w:val="-1"/>
        </w:rPr>
        <w:t xml:space="preserve"> </w:t>
      </w:r>
      <w:r>
        <w:t>certain</w:t>
      </w:r>
      <w:r>
        <w:rPr>
          <w:spacing w:val="-1"/>
        </w:rPr>
        <w:t xml:space="preserve"> </w:t>
      </w:r>
      <w:r>
        <w:t>that</w:t>
      </w:r>
      <w:r>
        <w:rPr>
          <w:spacing w:val="-1"/>
        </w:rPr>
        <w:t xml:space="preserve"> </w:t>
      </w:r>
      <w:r>
        <w:t>P</w:t>
      </w:r>
      <w:r>
        <w:rPr>
          <w:spacing w:val="-1"/>
        </w:rPr>
        <w:t xml:space="preserve"> </w:t>
      </w:r>
      <w:r>
        <w:t>is</w:t>
      </w:r>
      <w:r>
        <w:rPr>
          <w:spacing w:val="-1"/>
        </w:rPr>
        <w:t xml:space="preserve"> </w:t>
      </w:r>
      <w:r>
        <w:t>correct.</w:t>
      </w:r>
      <w:r>
        <w:rPr>
          <w:spacing w:val="-1"/>
        </w:rPr>
        <w:t xml:space="preserve"> </w:t>
      </w:r>
      <w:r>
        <w:t>The</w:t>
      </w:r>
      <w:r>
        <w:rPr>
          <w:spacing w:val="-1"/>
        </w:rPr>
        <w:t xml:space="preserve"> </w:t>
      </w:r>
      <w:r>
        <w:t>data</w:t>
      </w:r>
      <w:r>
        <w:rPr>
          <w:spacing w:val="-1"/>
        </w:rPr>
        <w:t xml:space="preserve"> </w:t>
      </w:r>
      <w:r>
        <w:t>one</w:t>
      </w:r>
      <w:r>
        <w:rPr>
          <w:spacing w:val="-1"/>
        </w:rPr>
        <w:t xml:space="preserve"> </w:t>
      </w:r>
      <w:r>
        <w:t>has</w:t>
      </w:r>
      <w:r>
        <w:rPr>
          <w:spacing w:val="-1"/>
        </w:rPr>
        <w:t xml:space="preserve"> </w:t>
      </w:r>
      <w:r>
        <w:t>may make</w:t>
      </w:r>
      <w:r>
        <w:rPr>
          <w:spacing w:val="3"/>
        </w:rPr>
        <w:t xml:space="preserve"> </w:t>
      </w:r>
      <w:r>
        <w:t>P</w:t>
      </w:r>
      <w:r>
        <w:rPr>
          <w:spacing w:val="5"/>
        </w:rPr>
        <w:t xml:space="preserve"> </w:t>
      </w:r>
      <w:r>
        <w:rPr>
          <w:i/>
        </w:rPr>
        <w:t>more</w:t>
      </w:r>
      <w:r>
        <w:rPr>
          <w:i/>
          <w:spacing w:val="-3"/>
        </w:rPr>
        <w:t xml:space="preserve"> </w:t>
      </w:r>
      <w:r>
        <w:t>worthy</w:t>
      </w:r>
      <w:r>
        <w:rPr>
          <w:spacing w:val="14"/>
        </w:rPr>
        <w:t xml:space="preserve"> </w:t>
      </w:r>
      <w:r>
        <w:t>of</w:t>
      </w:r>
      <w:r>
        <w:rPr>
          <w:spacing w:val="12"/>
        </w:rPr>
        <w:t xml:space="preserve"> </w:t>
      </w:r>
      <w:r>
        <w:t>belief</w:t>
      </w:r>
      <w:r>
        <w:rPr>
          <w:spacing w:val="12"/>
        </w:rPr>
        <w:t xml:space="preserve"> </w:t>
      </w:r>
      <w:r>
        <w:t>than</w:t>
      </w:r>
      <w:r>
        <w:rPr>
          <w:spacing w:val="13"/>
        </w:rPr>
        <w:t xml:space="preserve"> </w:t>
      </w:r>
      <w:r>
        <w:t>not-P</w:t>
      </w:r>
      <w:r>
        <w:rPr>
          <w:spacing w:val="12"/>
        </w:rPr>
        <w:t xml:space="preserve"> </w:t>
      </w:r>
      <w:r>
        <w:t>without</w:t>
      </w:r>
      <w:r>
        <w:rPr>
          <w:spacing w:val="12"/>
        </w:rPr>
        <w:t xml:space="preserve"> </w:t>
      </w:r>
      <w:r>
        <w:t>making</w:t>
      </w:r>
      <w:r>
        <w:rPr>
          <w:spacing w:val="13"/>
        </w:rPr>
        <w:t xml:space="preserve"> </w:t>
      </w:r>
      <w:r>
        <w:t>P</w:t>
      </w:r>
      <w:r>
        <w:rPr>
          <w:spacing w:val="12"/>
        </w:rPr>
        <w:t xml:space="preserve"> </w:t>
      </w:r>
      <w:r>
        <w:t>worthy</w:t>
      </w:r>
      <w:r>
        <w:rPr>
          <w:spacing w:val="13"/>
        </w:rPr>
        <w:t xml:space="preserve"> </w:t>
      </w:r>
      <w:r>
        <w:t>of</w:t>
      </w:r>
      <w:r>
        <w:rPr>
          <w:spacing w:val="13"/>
        </w:rPr>
        <w:t xml:space="preserve"> </w:t>
      </w:r>
      <w:r>
        <w:rPr>
          <w:spacing w:val="-2"/>
        </w:rPr>
        <w:t>belief.</w:t>
      </w:r>
    </w:p>
    <w:p w14:paraId="7E00209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94" w14:textId="77777777" w:rsidR="009A58DB" w:rsidRDefault="00000000">
      <w:pPr>
        <w:pStyle w:val="BodyText"/>
        <w:spacing w:before="60" w:line="249" w:lineRule="auto"/>
        <w:ind w:right="360"/>
      </w:pPr>
      <w:r>
        <w:lastRenderedPageBreak/>
        <w:t xml:space="preserve">Given the data available to me, it’s more reasonable to believe that my friend Sally is in Washington than it is to believe that she isn’t. But since, given that data, it’s only marginally more likely than not that she’s in Washington, it would be irrational of me to </w:t>
      </w:r>
      <w:r>
        <w:rPr>
          <w:i/>
        </w:rPr>
        <w:t xml:space="preserve">believe </w:t>
      </w:r>
      <w:r>
        <w:t>that she he is.</w:t>
      </w:r>
    </w:p>
    <w:p w14:paraId="7E002095" w14:textId="77777777" w:rsidR="009A58DB" w:rsidRDefault="00000000">
      <w:pPr>
        <w:pStyle w:val="Heading1"/>
        <w:numPr>
          <w:ilvl w:val="1"/>
          <w:numId w:val="78"/>
        </w:numPr>
        <w:tabs>
          <w:tab w:val="left" w:pos="1277"/>
          <w:tab w:val="left" w:pos="1995"/>
          <w:tab w:val="left" w:pos="3320"/>
          <w:tab w:val="left" w:pos="4528"/>
          <w:tab w:val="left" w:pos="5130"/>
          <w:tab w:val="left" w:pos="6456"/>
          <w:tab w:val="left" w:pos="7221"/>
        </w:tabs>
        <w:spacing w:before="198" w:line="244" w:lineRule="auto"/>
        <w:ind w:left="360" w:right="361" w:firstLine="0"/>
      </w:pPr>
      <w:r>
        <w:rPr>
          <w:spacing w:val="-6"/>
        </w:rPr>
        <w:t>Is</w:t>
      </w:r>
      <w:r>
        <w:tab/>
      </w:r>
      <w:r>
        <w:rPr>
          <w:spacing w:val="-2"/>
        </w:rPr>
        <w:t>there</w:t>
      </w:r>
      <w:r>
        <w:tab/>
      </w:r>
      <w:r>
        <w:rPr>
          <w:spacing w:val="-4"/>
        </w:rPr>
        <w:t>such</w:t>
      </w:r>
      <w:r>
        <w:tab/>
      </w:r>
      <w:r>
        <w:rPr>
          <w:spacing w:val="-10"/>
        </w:rPr>
        <w:t>a</w:t>
      </w:r>
      <w:r>
        <w:tab/>
      </w:r>
      <w:r>
        <w:rPr>
          <w:spacing w:val="-2"/>
        </w:rPr>
        <w:t>thing</w:t>
      </w:r>
      <w:r>
        <w:tab/>
      </w:r>
      <w:r>
        <w:rPr>
          <w:spacing w:val="-6"/>
        </w:rPr>
        <w:t>as</w:t>
      </w:r>
      <w:r>
        <w:tab/>
      </w:r>
      <w:r>
        <w:rPr>
          <w:spacing w:val="-2"/>
        </w:rPr>
        <w:t>non-epistemic probability?</w:t>
      </w:r>
    </w:p>
    <w:p w14:paraId="7E002096" w14:textId="77777777" w:rsidR="009A58DB" w:rsidRDefault="00000000">
      <w:pPr>
        <w:pStyle w:val="BodyText"/>
        <w:spacing w:before="131" w:line="249" w:lineRule="auto"/>
        <w:ind w:right="359"/>
      </w:pPr>
      <w:r>
        <w:t>According</w:t>
      </w:r>
      <w:r>
        <w:rPr>
          <w:spacing w:val="-1"/>
        </w:rPr>
        <w:t xml:space="preserve"> </w:t>
      </w:r>
      <w:r>
        <w:t>to</w:t>
      </w:r>
      <w:r>
        <w:rPr>
          <w:spacing w:val="-1"/>
        </w:rPr>
        <w:t xml:space="preserve"> </w:t>
      </w:r>
      <w:r>
        <w:t>some,</w:t>
      </w:r>
      <w:r>
        <w:rPr>
          <w:spacing w:val="-1"/>
        </w:rPr>
        <w:t xml:space="preserve"> </w:t>
      </w:r>
      <w:r>
        <w:t>probability</w:t>
      </w:r>
      <w:r>
        <w:rPr>
          <w:spacing w:val="-1"/>
        </w:rPr>
        <w:t xml:space="preserve"> </w:t>
      </w:r>
      <w:r>
        <w:t>is</w:t>
      </w:r>
      <w:r>
        <w:rPr>
          <w:spacing w:val="-1"/>
        </w:rPr>
        <w:t xml:space="preserve"> </w:t>
      </w:r>
      <w:r>
        <w:t>sometimes</w:t>
      </w:r>
      <w:r>
        <w:rPr>
          <w:spacing w:val="-1"/>
        </w:rPr>
        <w:t xml:space="preserve"> </w:t>
      </w:r>
      <w:r>
        <w:t>a</w:t>
      </w:r>
      <w:r>
        <w:rPr>
          <w:spacing w:val="-1"/>
        </w:rPr>
        <w:t xml:space="preserve"> </w:t>
      </w:r>
      <w:r>
        <w:t>property</w:t>
      </w:r>
      <w:r>
        <w:rPr>
          <w:spacing w:val="-1"/>
        </w:rPr>
        <w:t xml:space="preserve"> </w:t>
      </w:r>
      <w:r>
        <w:t>of</w:t>
      </w:r>
      <w:r>
        <w:rPr>
          <w:spacing w:val="-1"/>
        </w:rPr>
        <w:t xml:space="preserve"> </w:t>
      </w:r>
      <w:r>
        <w:t>events,</w:t>
      </w:r>
      <w:r>
        <w:rPr>
          <w:spacing w:val="-1"/>
        </w:rPr>
        <w:t xml:space="preserve"> </w:t>
      </w:r>
      <w:r>
        <w:t>as</w:t>
      </w:r>
      <w:r>
        <w:rPr>
          <w:spacing w:val="-1"/>
        </w:rPr>
        <w:t xml:space="preserve"> </w:t>
      </w:r>
      <w:r>
        <w:t xml:space="preserve">opposed to statements. Here’s the idea. At time t, electron e jumps to a higher orbit. Though the laws of nature didn’t require it to jump, or not to jump, at that time, they did </w:t>
      </w:r>
      <w:r>
        <w:rPr>
          <w:i/>
        </w:rPr>
        <w:t xml:space="preserve">dispose </w:t>
      </w:r>
      <w:r>
        <w:t>it to jump. Here, it is said, we are dealing with a case</w:t>
      </w:r>
      <w:r>
        <w:rPr>
          <w:spacing w:val="40"/>
        </w:rPr>
        <w:t xml:space="preserve"> </w:t>
      </w:r>
      <w:r>
        <w:t xml:space="preserve">of intrinsic, as opposed to evidential, probability. Supposing that one knew everything there was to know </w:t>
      </w:r>
      <w:r>
        <w:rPr>
          <w:i/>
        </w:rPr>
        <w:t>other</w:t>
      </w:r>
      <w:r>
        <w:rPr>
          <w:i/>
          <w:spacing w:val="-3"/>
        </w:rPr>
        <w:t xml:space="preserve"> </w:t>
      </w:r>
      <w:r>
        <w:t xml:space="preserve">than the fact that e jumped orbit at t, one could not on that basis predict with any certainty that e would jump at that time. Under these circumstances, it might be said, it </w:t>
      </w:r>
      <w:r>
        <w:rPr>
          <w:i/>
        </w:rPr>
        <w:t xml:space="preserve">would </w:t>
      </w:r>
      <w:r>
        <w:t>be correct to say that, for reasons having nothing to do with ignorance on anyone’s part, the statement “it is more probable than not that e will jump at t” is correct.</w:t>
      </w:r>
    </w:p>
    <w:p w14:paraId="7E002097" w14:textId="77777777" w:rsidR="009A58DB" w:rsidRDefault="00000000">
      <w:pPr>
        <w:pStyle w:val="BodyText"/>
        <w:spacing w:before="13" w:line="249" w:lineRule="auto"/>
        <w:ind w:right="368" w:firstLine="360"/>
      </w:pPr>
      <w:r>
        <w:t>For argument’s sake, we’ll suppose that there are indeed undetermined events—events that don’t have to happen but do.</w:t>
      </w:r>
    </w:p>
    <w:p w14:paraId="7E002098" w14:textId="77777777" w:rsidR="009A58DB" w:rsidRDefault="00000000">
      <w:pPr>
        <w:pStyle w:val="BodyText"/>
        <w:spacing w:before="2" w:line="249" w:lineRule="auto"/>
        <w:ind w:right="359" w:firstLine="360"/>
      </w:pPr>
      <w:r>
        <w:t>One could argue on the following grounds that intrinsic probability is a kind of evidential probability. Let S be a true statement alleging the occurrence of event E. S has an “intrinsic” probability of greater than 50% iff S</w:t>
      </w:r>
      <w:r>
        <w:rPr>
          <w:position w:val="-7"/>
          <w:sz w:val="22"/>
        </w:rPr>
        <w:t>1</w:t>
      </w:r>
      <w:r>
        <w:t>. . . . S</w:t>
      </w:r>
      <w:r>
        <w:rPr>
          <w:position w:val="-7"/>
          <w:sz w:val="22"/>
        </w:rPr>
        <w:t>n</w:t>
      </w:r>
      <w:r>
        <w:rPr>
          <w:spacing w:val="40"/>
          <w:position w:val="-7"/>
          <w:sz w:val="22"/>
        </w:rPr>
        <w:t xml:space="preserve"> </w:t>
      </w:r>
      <w:r>
        <w:t>make it more likely than not that S, where S</w:t>
      </w:r>
      <w:r>
        <w:rPr>
          <w:position w:val="-7"/>
          <w:sz w:val="22"/>
        </w:rPr>
        <w:t>1</w:t>
      </w:r>
      <w:r>
        <w:rPr>
          <w:spacing w:val="40"/>
          <w:position w:val="-7"/>
          <w:sz w:val="22"/>
        </w:rPr>
        <w:t xml:space="preserve"> </w:t>
      </w:r>
      <w:r>
        <w:t>. . . S</w:t>
      </w:r>
      <w:r>
        <w:rPr>
          <w:position w:val="-7"/>
          <w:sz w:val="22"/>
        </w:rPr>
        <w:t>n</w:t>
      </w:r>
      <w:r>
        <w:rPr>
          <w:spacing w:val="40"/>
          <w:position w:val="-7"/>
          <w:sz w:val="22"/>
        </w:rPr>
        <w:t xml:space="preserve"> </w:t>
      </w:r>
      <w:r>
        <w:t xml:space="preserve">is a list of every true statement </w:t>
      </w:r>
      <w:r>
        <w:rPr>
          <w:i/>
        </w:rPr>
        <w:t xml:space="preserve">that doesn’t </w:t>
      </w:r>
      <w:r>
        <w:t>logically entail S. The idea is that, if you knew</w:t>
      </w:r>
      <w:r>
        <w:rPr>
          <w:spacing w:val="-3"/>
        </w:rPr>
        <w:t xml:space="preserve"> </w:t>
      </w:r>
      <w:r>
        <w:t>everything</w:t>
      </w:r>
      <w:r>
        <w:rPr>
          <w:spacing w:val="-2"/>
        </w:rPr>
        <w:t xml:space="preserve"> </w:t>
      </w:r>
      <w:r>
        <w:t>there</w:t>
      </w:r>
      <w:r>
        <w:rPr>
          <w:spacing w:val="-3"/>
        </w:rPr>
        <w:t xml:space="preserve"> </w:t>
      </w:r>
      <w:r>
        <w:t>was</w:t>
      </w:r>
      <w:r>
        <w:rPr>
          <w:spacing w:val="-3"/>
        </w:rPr>
        <w:t xml:space="preserve"> </w:t>
      </w:r>
      <w:r>
        <w:t>to</w:t>
      </w:r>
      <w:r>
        <w:rPr>
          <w:spacing w:val="-2"/>
        </w:rPr>
        <w:t xml:space="preserve"> </w:t>
      </w:r>
      <w:r>
        <w:t>know</w:t>
      </w:r>
      <w:r>
        <w:rPr>
          <w:spacing w:val="-3"/>
        </w:rPr>
        <w:t xml:space="preserve"> </w:t>
      </w:r>
      <w:r>
        <w:rPr>
          <w:i/>
        </w:rPr>
        <w:t>other</w:t>
      </w:r>
      <w:r>
        <w:rPr>
          <w:i/>
          <w:spacing w:val="-3"/>
        </w:rPr>
        <w:t xml:space="preserve"> </w:t>
      </w:r>
      <w:r>
        <w:rPr>
          <w:i/>
        </w:rPr>
        <w:t>than</w:t>
      </w:r>
      <w:r>
        <w:rPr>
          <w:i/>
          <w:spacing w:val="-2"/>
        </w:rPr>
        <w:t xml:space="preserve"> </w:t>
      </w:r>
      <w:r>
        <w:rPr>
          <w:i/>
        </w:rPr>
        <w:t>the</w:t>
      </w:r>
      <w:r>
        <w:rPr>
          <w:i/>
          <w:spacing w:val="-3"/>
        </w:rPr>
        <w:t xml:space="preserve"> </w:t>
      </w:r>
      <w:r>
        <w:rPr>
          <w:i/>
        </w:rPr>
        <w:t>fact</w:t>
      </w:r>
      <w:r>
        <w:rPr>
          <w:i/>
          <w:spacing w:val="-3"/>
        </w:rPr>
        <w:t xml:space="preserve"> </w:t>
      </w:r>
      <w:r>
        <w:rPr>
          <w:i/>
        </w:rPr>
        <w:t>that</w:t>
      </w:r>
      <w:r>
        <w:rPr>
          <w:i/>
          <w:spacing w:val="-3"/>
        </w:rPr>
        <w:t xml:space="preserve"> </w:t>
      </w:r>
      <w:r>
        <w:rPr>
          <w:i/>
        </w:rPr>
        <w:t>E</w:t>
      </w:r>
      <w:r>
        <w:rPr>
          <w:i/>
          <w:spacing w:val="-3"/>
        </w:rPr>
        <w:t xml:space="preserve"> </w:t>
      </w:r>
      <w:r>
        <w:rPr>
          <w:i/>
        </w:rPr>
        <w:t>jumps</w:t>
      </w:r>
      <w:r>
        <w:rPr>
          <w:i/>
          <w:spacing w:val="-3"/>
        </w:rPr>
        <w:t xml:space="preserve"> </w:t>
      </w:r>
      <w:r>
        <w:rPr>
          <w:i/>
        </w:rPr>
        <w:t>orbit</w:t>
      </w:r>
      <w:r>
        <w:rPr>
          <w:i/>
          <w:spacing w:val="-3"/>
        </w:rPr>
        <w:t xml:space="preserve"> </w:t>
      </w:r>
      <w:r>
        <w:rPr>
          <w:i/>
        </w:rPr>
        <w:t>at</w:t>
      </w:r>
      <w:r>
        <w:rPr>
          <w:i/>
          <w:spacing w:val="-3"/>
        </w:rPr>
        <w:t xml:space="preserve"> </w:t>
      </w:r>
      <w:r>
        <w:rPr>
          <w:i/>
        </w:rPr>
        <w:t xml:space="preserve">t, </w:t>
      </w:r>
      <w:r>
        <w:t>you could not learn more that was relevant to whether E would jump without actually learning whether E would jump. But, it will be said, the story is very different with statements that, as a matter of natural law either must happen</w:t>
      </w:r>
      <w:r>
        <w:rPr>
          <w:spacing w:val="40"/>
        </w:rPr>
        <w:t xml:space="preserve"> </w:t>
      </w:r>
      <w:r>
        <w:t>or cannot happen. Let S* be a true statement falling into this category. No matter</w:t>
      </w:r>
      <w:r>
        <w:rPr>
          <w:spacing w:val="-1"/>
        </w:rPr>
        <w:t xml:space="preserve"> </w:t>
      </w:r>
      <w:r>
        <w:t>how</w:t>
      </w:r>
      <w:r>
        <w:rPr>
          <w:spacing w:val="-1"/>
        </w:rPr>
        <w:t xml:space="preserve"> </w:t>
      </w:r>
      <w:r>
        <w:t>small</w:t>
      </w:r>
      <w:r>
        <w:rPr>
          <w:spacing w:val="-1"/>
        </w:rPr>
        <w:t xml:space="preserve"> </w:t>
      </w:r>
      <w:r>
        <w:t>the</w:t>
      </w:r>
      <w:r>
        <w:rPr>
          <w:spacing w:val="-1"/>
        </w:rPr>
        <w:t xml:space="preserve"> </w:t>
      </w:r>
      <w:r>
        <w:t>likelihood</w:t>
      </w:r>
      <w:r>
        <w:rPr>
          <w:spacing w:val="-1"/>
        </w:rPr>
        <w:t xml:space="preserve"> </w:t>
      </w:r>
      <w:r>
        <w:t>that</w:t>
      </w:r>
      <w:r>
        <w:rPr>
          <w:spacing w:val="-1"/>
        </w:rPr>
        <w:t xml:space="preserve"> </w:t>
      </w:r>
      <w:r>
        <w:t>S*</w:t>
      </w:r>
      <w:r>
        <w:rPr>
          <w:spacing w:val="-1"/>
        </w:rPr>
        <w:t xml:space="preserve"> </w:t>
      </w:r>
      <w:r>
        <w:t>is</w:t>
      </w:r>
      <w:r>
        <w:rPr>
          <w:spacing w:val="-1"/>
        </w:rPr>
        <w:t xml:space="preserve"> </w:t>
      </w:r>
      <w:r>
        <w:t>false,</w:t>
      </w:r>
      <w:r>
        <w:rPr>
          <w:spacing w:val="-1"/>
        </w:rPr>
        <w:t xml:space="preserve"> </w:t>
      </w:r>
      <w:r>
        <w:t>there</w:t>
      </w:r>
      <w:r>
        <w:rPr>
          <w:spacing w:val="-1"/>
        </w:rPr>
        <w:t xml:space="preserve"> </w:t>
      </w:r>
      <w:r>
        <w:t>are</w:t>
      </w:r>
      <w:r>
        <w:rPr>
          <w:spacing w:val="-1"/>
        </w:rPr>
        <w:t xml:space="preserve"> </w:t>
      </w:r>
      <w:r>
        <w:t>true</w:t>
      </w:r>
      <w:r>
        <w:rPr>
          <w:spacing w:val="-1"/>
        </w:rPr>
        <w:t xml:space="preserve"> </w:t>
      </w:r>
      <w:r>
        <w:t>statements</w:t>
      </w:r>
      <w:r>
        <w:rPr>
          <w:spacing w:val="-1"/>
        </w:rPr>
        <w:t xml:space="preserve"> </w:t>
      </w:r>
      <w:r>
        <w:t>that, if conjoined with the truths already known, will shrink that likelihood even further</w:t>
      </w:r>
      <w:r>
        <w:rPr>
          <w:spacing w:val="-4"/>
        </w:rPr>
        <w:t xml:space="preserve"> </w:t>
      </w:r>
      <w:r>
        <w:rPr>
          <w:i/>
        </w:rPr>
        <w:t xml:space="preserve">without eliminating it. </w:t>
      </w:r>
      <w:r>
        <w:t>(It may be that, because of interference effects, it’s impossible to acquire more information that is relevant to whether S* is correct or not without actually learning whether S* is correct or not. But that would only be because those interference effects made it impossible to learn</w:t>
      </w:r>
    </w:p>
    <w:p w14:paraId="7E00209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9A" w14:textId="77777777" w:rsidR="009A58DB" w:rsidRDefault="00000000">
      <w:pPr>
        <w:pStyle w:val="BodyText"/>
        <w:spacing w:before="60" w:line="249" w:lineRule="auto"/>
        <w:ind w:right="358"/>
      </w:pPr>
      <w:r>
        <w:lastRenderedPageBreak/>
        <w:t xml:space="preserve">the truths that would enable you to shrink your margin of doubt.) Thus, intrinsic probability is a kind of evidential probability. One is dealing with intrinsic probability when, setting aside problems relating to interference effects, there </w:t>
      </w:r>
      <w:r>
        <w:rPr>
          <w:i/>
        </w:rPr>
        <w:t xml:space="preserve">is </w:t>
      </w:r>
      <w:r>
        <w:t>a limit to how much, short of learning whether the target statement is true or not, one’s margin of error can be reduced, and one has non-intrinsic evidential probability if there is no such limit.</w:t>
      </w:r>
    </w:p>
    <w:p w14:paraId="7E00209B" w14:textId="77777777" w:rsidR="009A58DB" w:rsidRDefault="00000000">
      <w:pPr>
        <w:pStyle w:val="BodyText"/>
        <w:spacing w:before="12" w:line="249" w:lineRule="auto"/>
        <w:ind w:right="360" w:firstLine="360"/>
      </w:pPr>
      <w:r>
        <w:t>Nonetheless, I’m not convinced that intrinsic probability is, in fact, a form of evidential probability. As before, let S be a true statement alleging the occurrence of some event E that has an intrinsic probability of greater than 50% but less than 100%, and let S</w:t>
      </w:r>
      <w:r>
        <w:rPr>
          <w:vertAlign w:val="subscript"/>
        </w:rPr>
        <w:t>1</w:t>
      </w:r>
      <w:r>
        <w:t xml:space="preserve"> . . . S</w:t>
      </w:r>
      <w:r>
        <w:rPr>
          <w:position w:val="-7"/>
          <w:sz w:val="22"/>
        </w:rPr>
        <w:t>n</w:t>
      </w:r>
      <w:r>
        <w:rPr>
          <w:spacing w:val="40"/>
          <w:position w:val="-7"/>
          <w:sz w:val="22"/>
        </w:rPr>
        <w:t xml:space="preserve"> </w:t>
      </w:r>
      <w:r>
        <w:t>be a list that contains every true statement other than those that entail S. The statement “given S</w:t>
      </w:r>
      <w:r>
        <w:rPr>
          <w:vertAlign w:val="subscript"/>
        </w:rPr>
        <w:t>1</w:t>
      </w:r>
      <w:r>
        <w:t xml:space="preserve"> . . . S</w:t>
      </w:r>
      <w:r>
        <w:rPr>
          <w:position w:val="-7"/>
          <w:sz w:val="22"/>
        </w:rPr>
        <w:t>n</w:t>
      </w:r>
      <w:r>
        <w:t>, S is more probable than not” does not say that, given S</w:t>
      </w:r>
      <w:r>
        <w:rPr>
          <w:vertAlign w:val="subscript"/>
        </w:rPr>
        <w:t>1</w:t>
      </w:r>
      <w:r>
        <w:t xml:space="preserve"> . . . S</w:t>
      </w:r>
      <w:r>
        <w:rPr>
          <w:position w:val="-7"/>
          <w:sz w:val="22"/>
        </w:rPr>
        <w:t>n</w:t>
      </w:r>
      <w:r>
        <w:t xml:space="preserve">, we’re stuck with more questions than answers if we deny S. Were it supposed true that </w:t>
      </w:r>
      <w:r>
        <w:rPr>
          <w:i/>
        </w:rPr>
        <w:t xml:space="preserve">Hamlet </w:t>
      </w:r>
      <w:r>
        <w:t>was written by a levitating cat that, despite being incapable of self-consciousness,</w:t>
      </w:r>
      <w:r>
        <w:rPr>
          <w:spacing w:val="-2"/>
        </w:rPr>
        <w:t xml:space="preserve"> </w:t>
      </w:r>
      <w:r>
        <w:t>was</w:t>
      </w:r>
      <w:r>
        <w:rPr>
          <w:spacing w:val="-2"/>
        </w:rPr>
        <w:t xml:space="preserve"> </w:t>
      </w:r>
      <w:r>
        <w:t>deeply</w:t>
      </w:r>
      <w:r>
        <w:rPr>
          <w:spacing w:val="-2"/>
        </w:rPr>
        <w:t xml:space="preserve"> </w:t>
      </w:r>
      <w:r>
        <w:t>neurotic,</w:t>
      </w:r>
      <w:r>
        <w:rPr>
          <w:spacing w:val="-2"/>
        </w:rPr>
        <w:t xml:space="preserve"> </w:t>
      </w:r>
      <w:r>
        <w:t>all</w:t>
      </w:r>
      <w:r>
        <w:rPr>
          <w:spacing w:val="-2"/>
        </w:rPr>
        <w:t xml:space="preserve"> </w:t>
      </w:r>
      <w:r>
        <w:t>manner</w:t>
      </w:r>
      <w:r>
        <w:rPr>
          <w:spacing w:val="-2"/>
        </w:rPr>
        <w:t xml:space="preserve"> </w:t>
      </w:r>
      <w:r>
        <w:t>of</w:t>
      </w:r>
      <w:r>
        <w:rPr>
          <w:spacing w:val="-2"/>
        </w:rPr>
        <w:t xml:space="preserve"> </w:t>
      </w:r>
      <w:r>
        <w:t>beliefs</w:t>
      </w:r>
      <w:r>
        <w:rPr>
          <w:spacing w:val="-2"/>
        </w:rPr>
        <w:t xml:space="preserve"> </w:t>
      </w:r>
      <w:r>
        <w:t>concerning</w:t>
      </w:r>
      <w:r>
        <w:rPr>
          <w:spacing w:val="-2"/>
        </w:rPr>
        <w:t xml:space="preserve"> </w:t>
      </w:r>
      <w:r>
        <w:t>physics, biology, and psychology would have to be revised. But, assuming the truth of S</w:t>
      </w:r>
      <w:r>
        <w:rPr>
          <w:vertAlign w:val="subscript"/>
        </w:rPr>
        <w:t>1</w:t>
      </w:r>
      <w:r>
        <w:t>. . . S</w:t>
      </w:r>
      <w:r>
        <w:rPr>
          <w:position w:val="-7"/>
          <w:sz w:val="22"/>
        </w:rPr>
        <w:t>n</w:t>
      </w:r>
      <w:r>
        <w:t>, it doesn’t much matter whether S is accepted or rejected. It is, by hypothesis, a free wheel. I must therefore conclude that intrinsic probability, if it exists, is not evidential probability.</w:t>
      </w:r>
    </w:p>
    <w:p w14:paraId="7E00209C" w14:textId="77777777" w:rsidR="009A58DB" w:rsidRDefault="00000000">
      <w:pPr>
        <w:pStyle w:val="BodyText"/>
        <w:spacing w:before="5" w:line="249" w:lineRule="auto"/>
        <w:ind w:right="364" w:firstLine="360"/>
      </w:pPr>
      <w:r>
        <w:t>I</w:t>
      </w:r>
      <w:r>
        <w:rPr>
          <w:spacing w:val="-4"/>
        </w:rPr>
        <w:t xml:space="preserve"> </w:t>
      </w:r>
      <w:r>
        <w:t>leave</w:t>
      </w:r>
      <w:r>
        <w:rPr>
          <w:spacing w:val="-4"/>
        </w:rPr>
        <w:t xml:space="preserve"> </w:t>
      </w:r>
      <w:r>
        <w:t>it</w:t>
      </w:r>
      <w:r>
        <w:rPr>
          <w:spacing w:val="-4"/>
        </w:rPr>
        <w:t xml:space="preserve"> </w:t>
      </w:r>
      <w:r>
        <w:t>to</w:t>
      </w:r>
      <w:r>
        <w:rPr>
          <w:spacing w:val="-3"/>
        </w:rPr>
        <w:t xml:space="preserve"> </w:t>
      </w:r>
      <w:r>
        <w:t>the</w:t>
      </w:r>
      <w:r>
        <w:rPr>
          <w:spacing w:val="-4"/>
        </w:rPr>
        <w:t xml:space="preserve"> </w:t>
      </w:r>
      <w:r>
        <w:t>reader</w:t>
      </w:r>
      <w:r>
        <w:rPr>
          <w:spacing w:val="-4"/>
        </w:rPr>
        <w:t xml:space="preserve"> </w:t>
      </w:r>
      <w:r>
        <w:t>as</w:t>
      </w:r>
      <w:r>
        <w:rPr>
          <w:spacing w:val="-4"/>
        </w:rPr>
        <w:t xml:space="preserve"> </w:t>
      </w:r>
      <w:r>
        <w:t>an</w:t>
      </w:r>
      <w:r>
        <w:rPr>
          <w:spacing w:val="-3"/>
        </w:rPr>
        <w:t xml:space="preserve"> </w:t>
      </w:r>
      <w:r>
        <w:t>exercise</w:t>
      </w:r>
      <w:r>
        <w:rPr>
          <w:spacing w:val="-4"/>
        </w:rPr>
        <w:t xml:space="preserve"> </w:t>
      </w:r>
      <w:r>
        <w:t>to</w:t>
      </w:r>
      <w:r>
        <w:rPr>
          <w:spacing w:val="-3"/>
        </w:rPr>
        <w:t xml:space="preserve"> </w:t>
      </w:r>
      <w:r>
        <w:t>say</w:t>
      </w:r>
      <w:r>
        <w:rPr>
          <w:spacing w:val="-3"/>
        </w:rPr>
        <w:t xml:space="preserve"> </w:t>
      </w:r>
      <w:r>
        <w:t>why</w:t>
      </w:r>
      <w:r>
        <w:rPr>
          <w:spacing w:val="-3"/>
        </w:rPr>
        <w:t xml:space="preserve"> </w:t>
      </w:r>
      <w:r>
        <w:t>intrinsic</w:t>
      </w:r>
      <w:r>
        <w:rPr>
          <w:spacing w:val="-4"/>
        </w:rPr>
        <w:t xml:space="preserve"> </w:t>
      </w:r>
      <w:r>
        <w:t>probability</w:t>
      </w:r>
      <w:r>
        <w:rPr>
          <w:spacing w:val="-3"/>
        </w:rPr>
        <w:t xml:space="preserve"> </w:t>
      </w:r>
      <w:r>
        <w:t>is</w:t>
      </w:r>
      <w:r>
        <w:rPr>
          <w:spacing w:val="-4"/>
        </w:rPr>
        <w:t xml:space="preserve"> </w:t>
      </w:r>
      <w:r>
        <w:t>not, contrary to what some might hold, identical with statistical probability; and I also leave it to the reader to say what exactly intrinsic probability is.</w:t>
      </w:r>
    </w:p>
    <w:p w14:paraId="7E00209D" w14:textId="77777777" w:rsidR="009A58DB" w:rsidRDefault="00000000">
      <w:pPr>
        <w:pStyle w:val="Heading1"/>
        <w:numPr>
          <w:ilvl w:val="1"/>
          <w:numId w:val="78"/>
        </w:numPr>
        <w:tabs>
          <w:tab w:val="left" w:pos="990"/>
        </w:tabs>
        <w:spacing w:before="192"/>
      </w:pPr>
      <w:r>
        <w:t>What</w:t>
      </w:r>
      <w:r>
        <w:rPr>
          <w:spacing w:val="-6"/>
        </w:rPr>
        <w:t xml:space="preserve"> </w:t>
      </w:r>
      <w:r>
        <w:t>is</w:t>
      </w:r>
      <w:r>
        <w:rPr>
          <w:spacing w:val="-3"/>
        </w:rPr>
        <w:t xml:space="preserve"> </w:t>
      </w:r>
      <w:r>
        <w:t>it</w:t>
      </w:r>
      <w:r>
        <w:rPr>
          <w:spacing w:val="-3"/>
        </w:rPr>
        <w:t xml:space="preserve"> </w:t>
      </w:r>
      <w:r>
        <w:t>for</w:t>
      </w:r>
      <w:r>
        <w:rPr>
          <w:spacing w:val="-3"/>
        </w:rPr>
        <w:t xml:space="preserve"> </w:t>
      </w:r>
      <w:r>
        <w:t>one</w:t>
      </w:r>
      <w:r>
        <w:rPr>
          <w:spacing w:val="-4"/>
        </w:rPr>
        <w:t xml:space="preserve"> </w:t>
      </w:r>
      <w:r>
        <w:t>statement</w:t>
      </w:r>
      <w:r>
        <w:rPr>
          <w:spacing w:val="-3"/>
        </w:rPr>
        <w:t xml:space="preserve"> </w:t>
      </w:r>
      <w:r>
        <w:t>to</w:t>
      </w:r>
      <w:r>
        <w:rPr>
          <w:spacing w:val="-2"/>
        </w:rPr>
        <w:t xml:space="preserve"> </w:t>
      </w:r>
      <w:r>
        <w:t>confirm</w:t>
      </w:r>
      <w:r>
        <w:rPr>
          <w:spacing w:val="-3"/>
        </w:rPr>
        <w:t xml:space="preserve"> </w:t>
      </w:r>
      <w:r>
        <w:rPr>
          <w:spacing w:val="-2"/>
        </w:rPr>
        <w:t>another?</w:t>
      </w:r>
    </w:p>
    <w:p w14:paraId="7E00209E" w14:textId="77777777" w:rsidR="009A58DB" w:rsidRDefault="00000000">
      <w:pPr>
        <w:pStyle w:val="BodyText"/>
        <w:spacing w:before="139" w:line="249" w:lineRule="auto"/>
        <w:ind w:right="360"/>
      </w:pPr>
      <w:r>
        <w:t>In this section, we’ll put forth some more reasons to think that explanatory (evidential) probability is not statistical probability. It will help if we start with a summary of our findings thus far.</w:t>
      </w:r>
    </w:p>
    <w:p w14:paraId="7E00209F" w14:textId="77777777" w:rsidR="009A58DB" w:rsidRDefault="00000000">
      <w:pPr>
        <w:pStyle w:val="BodyText"/>
        <w:spacing w:before="4" w:line="249" w:lineRule="auto"/>
        <w:ind w:right="358" w:firstLine="360"/>
      </w:pPr>
      <w:r>
        <w:t xml:space="preserve">Other things being equal, a hypothesis is to be preferred to its negation if and only if more causal anomalousness is created by rejecting it than by accepting it. The degree to which a hypothesis is to be preferred to its negation is directly proportional to the degree to which it does a better job than the other of minimizing the net amount of causal anomalousness in the </w:t>
      </w:r>
      <w:r>
        <w:rPr>
          <w:spacing w:val="-2"/>
        </w:rPr>
        <w:t>world.</w:t>
      </w:r>
    </w:p>
    <w:p w14:paraId="7E0020A0" w14:textId="77777777" w:rsidR="009A58DB" w:rsidRDefault="00000000">
      <w:pPr>
        <w:pStyle w:val="BodyText"/>
        <w:spacing w:before="7" w:line="249" w:lineRule="auto"/>
        <w:ind w:right="364" w:firstLine="360"/>
      </w:pPr>
      <w:r>
        <w:t>Probability is not a statistical notion. The word “probability” has a statistical</w:t>
      </w:r>
      <w:r>
        <w:rPr>
          <w:spacing w:val="58"/>
        </w:rPr>
        <w:t xml:space="preserve"> </w:t>
      </w:r>
      <w:r>
        <w:t>meaning.</w:t>
      </w:r>
      <w:r>
        <w:rPr>
          <w:spacing w:val="58"/>
        </w:rPr>
        <w:t xml:space="preserve"> </w:t>
      </w:r>
      <w:r>
        <w:t>This</w:t>
      </w:r>
      <w:r>
        <w:rPr>
          <w:spacing w:val="58"/>
        </w:rPr>
        <w:t xml:space="preserve"> </w:t>
      </w:r>
      <w:r>
        <w:t>is</w:t>
      </w:r>
      <w:r>
        <w:rPr>
          <w:spacing w:val="58"/>
        </w:rPr>
        <w:t xml:space="preserve"> </w:t>
      </w:r>
      <w:r>
        <w:t>the</w:t>
      </w:r>
      <w:r>
        <w:rPr>
          <w:spacing w:val="58"/>
        </w:rPr>
        <w:t xml:space="preserve"> </w:t>
      </w:r>
      <w:r>
        <w:t>meaning</w:t>
      </w:r>
      <w:r>
        <w:rPr>
          <w:spacing w:val="58"/>
        </w:rPr>
        <w:t xml:space="preserve"> </w:t>
      </w:r>
      <w:r>
        <w:t>that</w:t>
      </w:r>
      <w:r>
        <w:rPr>
          <w:spacing w:val="58"/>
        </w:rPr>
        <w:t xml:space="preserve"> </w:t>
      </w:r>
      <w:r>
        <w:t>it</w:t>
      </w:r>
      <w:r>
        <w:rPr>
          <w:spacing w:val="58"/>
        </w:rPr>
        <w:t xml:space="preserve"> </w:t>
      </w:r>
      <w:r>
        <w:t>has</w:t>
      </w:r>
      <w:r>
        <w:rPr>
          <w:spacing w:val="58"/>
        </w:rPr>
        <w:t xml:space="preserve"> </w:t>
      </w:r>
      <w:r>
        <w:t>in</w:t>
      </w:r>
      <w:r>
        <w:rPr>
          <w:spacing w:val="58"/>
        </w:rPr>
        <w:t xml:space="preserve"> </w:t>
      </w:r>
      <w:r>
        <w:t>the</w:t>
      </w:r>
      <w:r>
        <w:rPr>
          <w:spacing w:val="58"/>
        </w:rPr>
        <w:t xml:space="preserve"> </w:t>
      </w:r>
      <w:r>
        <w:t>statement:</w:t>
      </w:r>
      <w:r>
        <w:rPr>
          <w:spacing w:val="58"/>
        </w:rPr>
        <w:t xml:space="preserve"> </w:t>
      </w:r>
      <w:r>
        <w:rPr>
          <w:spacing w:val="-4"/>
        </w:rPr>
        <w:t>“the</w:t>
      </w:r>
    </w:p>
    <w:p w14:paraId="7E0020A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A2" w14:textId="77777777" w:rsidR="009A58DB" w:rsidRDefault="00000000">
      <w:pPr>
        <w:pStyle w:val="BodyText"/>
        <w:spacing w:before="60" w:line="249" w:lineRule="auto"/>
        <w:ind w:right="365"/>
      </w:pPr>
      <w:r>
        <w:lastRenderedPageBreak/>
        <w:t>chances</w:t>
      </w:r>
      <w:r>
        <w:rPr>
          <w:spacing w:val="-4"/>
        </w:rPr>
        <w:t xml:space="preserve"> </w:t>
      </w:r>
      <w:r>
        <w:t>of</w:t>
      </w:r>
      <w:r>
        <w:rPr>
          <w:spacing w:val="-4"/>
        </w:rPr>
        <w:t xml:space="preserve"> </w:t>
      </w:r>
      <w:r>
        <w:t>a</w:t>
      </w:r>
      <w:r>
        <w:rPr>
          <w:spacing w:val="-4"/>
        </w:rPr>
        <w:t xml:space="preserve"> </w:t>
      </w:r>
      <w:r>
        <w:t>person</w:t>
      </w:r>
      <w:r>
        <w:rPr>
          <w:spacing w:val="-3"/>
        </w:rPr>
        <w:t xml:space="preserve"> </w:t>
      </w:r>
      <w:r>
        <w:t>who’s</w:t>
      </w:r>
      <w:r>
        <w:rPr>
          <w:spacing w:val="-4"/>
        </w:rPr>
        <w:t xml:space="preserve"> </w:t>
      </w:r>
      <w:r>
        <w:t>picked</w:t>
      </w:r>
      <w:r>
        <w:rPr>
          <w:spacing w:val="-3"/>
        </w:rPr>
        <w:t xml:space="preserve"> </w:t>
      </w:r>
      <w:r>
        <w:t>at</w:t>
      </w:r>
      <w:r>
        <w:rPr>
          <w:spacing w:val="-4"/>
        </w:rPr>
        <w:t xml:space="preserve"> </w:t>
      </w:r>
      <w:r>
        <w:t>random</w:t>
      </w:r>
      <w:r>
        <w:rPr>
          <w:spacing w:val="-4"/>
        </w:rPr>
        <w:t xml:space="preserve"> </w:t>
      </w:r>
      <w:r>
        <w:t>having</w:t>
      </w:r>
      <w:r>
        <w:rPr>
          <w:spacing w:val="-3"/>
        </w:rPr>
        <w:t xml:space="preserve"> </w:t>
      </w:r>
      <w:r>
        <w:t>red</w:t>
      </w:r>
      <w:r>
        <w:rPr>
          <w:spacing w:val="-3"/>
        </w:rPr>
        <w:t xml:space="preserve"> </w:t>
      </w:r>
      <w:r>
        <w:t>hair</w:t>
      </w:r>
      <w:r>
        <w:rPr>
          <w:spacing w:val="-4"/>
        </w:rPr>
        <w:t xml:space="preserve"> </w:t>
      </w:r>
      <w:r>
        <w:t>are</w:t>
      </w:r>
      <w:r>
        <w:rPr>
          <w:spacing w:val="-4"/>
        </w:rPr>
        <w:t xml:space="preserve"> </w:t>
      </w:r>
      <w:r>
        <w:t>one</w:t>
      </w:r>
      <w:r>
        <w:rPr>
          <w:spacing w:val="-4"/>
        </w:rPr>
        <w:t xml:space="preserve"> </w:t>
      </w:r>
      <w:r>
        <w:t>in</w:t>
      </w:r>
      <w:r>
        <w:rPr>
          <w:spacing w:val="-3"/>
        </w:rPr>
        <w:t xml:space="preserve"> </w:t>
      </w:r>
      <w:r>
        <w:t>eight.” All this means is that one person in eight has red hair.</w:t>
      </w:r>
    </w:p>
    <w:p w14:paraId="7E0020A3" w14:textId="77777777" w:rsidR="009A58DB" w:rsidRDefault="00000000">
      <w:pPr>
        <w:pStyle w:val="BodyText"/>
        <w:spacing w:before="7" w:line="249" w:lineRule="auto"/>
        <w:ind w:right="371" w:firstLine="360"/>
      </w:pPr>
      <w:r>
        <w:t>But this isn’t the sort of probability that is relevant to explanations. When you say (“SNS” is short for “Smith no show”):</w:t>
      </w:r>
    </w:p>
    <w:p w14:paraId="7E0020A4" w14:textId="77777777" w:rsidR="009A58DB" w:rsidRDefault="00000000">
      <w:pPr>
        <w:pStyle w:val="BodyText"/>
        <w:spacing w:before="108" w:line="249" w:lineRule="auto"/>
        <w:ind w:right="365"/>
      </w:pPr>
      <w:r>
        <w:t>(SNS) “given that Smith hasn’t shown up yet, he’s probably not going to show up at all,”</w:t>
      </w:r>
    </w:p>
    <w:p w14:paraId="7E0020A5" w14:textId="77777777" w:rsidR="009A58DB" w:rsidRDefault="00000000">
      <w:pPr>
        <w:pStyle w:val="BodyText"/>
        <w:spacing w:before="92" w:line="249" w:lineRule="auto"/>
        <w:ind w:right="360" w:firstLine="360"/>
      </w:pPr>
      <w:r>
        <w:t xml:space="preserve">you are </w:t>
      </w:r>
      <w:r>
        <w:rPr>
          <w:i/>
        </w:rPr>
        <w:t>not</w:t>
      </w:r>
      <w:r>
        <w:rPr>
          <w:i/>
          <w:spacing w:val="-3"/>
        </w:rPr>
        <w:t xml:space="preserve"> </w:t>
      </w:r>
      <w:r>
        <w:t>making a statistical statement; you are not saying that in more than 50% of situations like the present one Smith doesn’t show up. SNS</w:t>
      </w:r>
      <w:r>
        <w:rPr>
          <w:spacing w:val="40"/>
        </w:rPr>
        <w:t xml:space="preserve"> </w:t>
      </w:r>
      <w:r>
        <w:t>could</w:t>
      </w:r>
      <w:r>
        <w:rPr>
          <w:spacing w:val="-2"/>
        </w:rPr>
        <w:t xml:space="preserve"> </w:t>
      </w:r>
      <w:r>
        <w:t>be</w:t>
      </w:r>
      <w:r>
        <w:rPr>
          <w:spacing w:val="-2"/>
        </w:rPr>
        <w:t xml:space="preserve"> </w:t>
      </w:r>
      <w:r>
        <w:t>true</w:t>
      </w:r>
      <w:r>
        <w:rPr>
          <w:spacing w:val="-2"/>
        </w:rPr>
        <w:t xml:space="preserve"> </w:t>
      </w:r>
      <w:r>
        <w:t>even</w:t>
      </w:r>
      <w:r>
        <w:rPr>
          <w:spacing w:val="-2"/>
        </w:rPr>
        <w:t xml:space="preserve"> </w:t>
      </w:r>
      <w:r>
        <w:t>if</w:t>
      </w:r>
      <w:r>
        <w:rPr>
          <w:spacing w:val="-2"/>
        </w:rPr>
        <w:t xml:space="preserve"> </w:t>
      </w:r>
      <w:r>
        <w:t>Smith</w:t>
      </w:r>
      <w:r>
        <w:rPr>
          <w:spacing w:val="-2"/>
        </w:rPr>
        <w:t xml:space="preserve"> </w:t>
      </w:r>
      <w:r>
        <w:t>has</w:t>
      </w:r>
      <w:r>
        <w:rPr>
          <w:spacing w:val="-2"/>
        </w:rPr>
        <w:t xml:space="preserve"> </w:t>
      </w:r>
      <w:r>
        <w:t>never</w:t>
      </w:r>
      <w:r>
        <w:rPr>
          <w:spacing w:val="-2"/>
        </w:rPr>
        <w:t xml:space="preserve"> </w:t>
      </w:r>
      <w:r>
        <w:t>failed</w:t>
      </w:r>
      <w:r>
        <w:rPr>
          <w:spacing w:val="-2"/>
        </w:rPr>
        <w:t xml:space="preserve"> </w:t>
      </w:r>
      <w:r>
        <w:t>to</w:t>
      </w:r>
      <w:r>
        <w:rPr>
          <w:spacing w:val="-2"/>
        </w:rPr>
        <w:t xml:space="preserve"> </w:t>
      </w:r>
      <w:r>
        <w:t>show</w:t>
      </w:r>
      <w:r>
        <w:rPr>
          <w:spacing w:val="-2"/>
        </w:rPr>
        <w:t xml:space="preserve"> </w:t>
      </w:r>
      <w:r>
        <w:t>up</w:t>
      </w:r>
      <w:r>
        <w:rPr>
          <w:spacing w:val="-2"/>
        </w:rPr>
        <w:t xml:space="preserve"> </w:t>
      </w:r>
      <w:r>
        <w:t>to</w:t>
      </w:r>
      <w:r>
        <w:rPr>
          <w:spacing w:val="-2"/>
        </w:rPr>
        <w:t xml:space="preserve"> </w:t>
      </w:r>
      <w:r>
        <w:t>anything</w:t>
      </w:r>
      <w:r>
        <w:rPr>
          <w:spacing w:val="-2"/>
        </w:rPr>
        <w:t xml:space="preserve"> </w:t>
      </w:r>
      <w:r>
        <w:t>in</w:t>
      </w:r>
      <w:r>
        <w:rPr>
          <w:spacing w:val="-2"/>
        </w:rPr>
        <w:t xml:space="preserve"> </w:t>
      </w:r>
      <w:r>
        <w:t>his</w:t>
      </w:r>
      <w:r>
        <w:rPr>
          <w:spacing w:val="-2"/>
        </w:rPr>
        <w:t xml:space="preserve"> </w:t>
      </w:r>
      <w:r>
        <w:t xml:space="preserve">life. And it could be false even if, in the past, he’s failed to show up to 90% of his </w:t>
      </w:r>
      <w:r>
        <w:rPr>
          <w:spacing w:val="-2"/>
        </w:rPr>
        <w:t>appointments.</w:t>
      </w:r>
    </w:p>
    <w:p w14:paraId="7E0020A6" w14:textId="77777777" w:rsidR="009A58DB" w:rsidRDefault="00000000">
      <w:pPr>
        <w:pStyle w:val="BodyText"/>
        <w:spacing w:before="6" w:line="249" w:lineRule="auto"/>
        <w:ind w:right="357" w:firstLine="360"/>
      </w:pPr>
      <w:r>
        <w:t xml:space="preserve">Statements affirming the probability of hypotheses seldom even </w:t>
      </w:r>
      <w:r>
        <w:rPr>
          <w:i/>
        </w:rPr>
        <w:t xml:space="preserve">appear </w:t>
      </w:r>
      <w:r>
        <w:t>capable of statistical interpretations. You can know that x is likely to do y in circumstances z without</w:t>
      </w:r>
      <w:r>
        <w:rPr>
          <w:spacing w:val="-1"/>
        </w:rPr>
        <w:t xml:space="preserve"> </w:t>
      </w:r>
      <w:r>
        <w:t>ever having seen x, or anything much like it, do y, or anything much like, in circumstances z, or anything much like them. For example, we have a pretty good idea of what at least some of the consequences of detonating a hydrogen bomb over the South Pole would be, even though nothing much like that has ever occurred.</w:t>
      </w:r>
    </w:p>
    <w:p w14:paraId="7E0020A7" w14:textId="77777777" w:rsidR="009A58DB" w:rsidRDefault="00000000">
      <w:pPr>
        <w:pStyle w:val="BodyText"/>
        <w:spacing w:before="9" w:line="249" w:lineRule="auto"/>
        <w:ind w:right="366" w:firstLine="360"/>
      </w:pPr>
      <w:r>
        <w:t>“But that’s where you’re wrong,” contemporary Humeans say. “You see, it’s only if it’s interpreted in an absurdly narrow way that that the statistical conception of explanation has any of these problems.” And they defend this position by saying that (“SE” stands for “statistical explanation”):</w:t>
      </w:r>
    </w:p>
    <w:p w14:paraId="7E0020A8" w14:textId="77777777" w:rsidR="009A58DB" w:rsidRDefault="00000000">
      <w:pPr>
        <w:pStyle w:val="BodyText"/>
        <w:spacing w:before="110" w:line="249" w:lineRule="auto"/>
        <w:ind w:left="720" w:right="721"/>
      </w:pPr>
      <w:r>
        <w:t xml:space="preserve">(SE) If a hydrogen bomb were detonated over the South Pole, it would by no means be unprecedented. True, we haven’t detonated hydrogen bombs </w:t>
      </w:r>
      <w:r>
        <w:rPr>
          <w:i/>
        </w:rPr>
        <w:t xml:space="preserve">over the South Pole. </w:t>
      </w:r>
      <w:r>
        <w:t xml:space="preserve">In fact, we haven’t detonated </w:t>
      </w:r>
      <w:r>
        <w:rPr>
          <w:i/>
        </w:rPr>
        <w:t xml:space="preserve">hydrogen </w:t>
      </w:r>
      <w:r>
        <w:t xml:space="preserve">bombs anywhere. But we’ve detonated weapons </w:t>
      </w:r>
      <w:r>
        <w:rPr>
          <w:i/>
        </w:rPr>
        <w:t xml:space="preserve">similar </w:t>
      </w:r>
      <w:r>
        <w:t xml:space="preserve">to hydrogen bombs over places </w:t>
      </w:r>
      <w:r>
        <w:rPr>
          <w:i/>
        </w:rPr>
        <w:t xml:space="preserve">similar </w:t>
      </w:r>
      <w:r>
        <w:t>to the South Pole. Given this information,</w:t>
      </w:r>
      <w:r>
        <w:rPr>
          <w:spacing w:val="40"/>
        </w:rPr>
        <w:t xml:space="preserve"> </w:t>
      </w:r>
      <w:r>
        <w:t>we have a pretty good idea of what the consequences would be of detonating a hydrogen bomb over the South Pole.</w:t>
      </w:r>
    </w:p>
    <w:p w14:paraId="7E0020A9" w14:textId="77777777" w:rsidR="009A58DB" w:rsidRDefault="00000000">
      <w:pPr>
        <w:pStyle w:val="BodyText"/>
        <w:spacing w:before="8" w:line="249" w:lineRule="auto"/>
        <w:ind w:left="720" w:right="721" w:firstLine="360"/>
      </w:pPr>
      <w:r>
        <w:t xml:space="preserve">And while you’re right that SNS may be correct even if Smith has never missed an appointment in his life, you’re wrong to conclude that explanation is not to be understood in statistical terms. If one is to be justified in accepting SNS, one doesn’t need to know that </w:t>
      </w:r>
      <w:r>
        <w:rPr>
          <w:i/>
        </w:rPr>
        <w:t xml:space="preserve">Smith </w:t>
      </w:r>
      <w:r>
        <w:t>ever failed to show up to anything; and one doesn’t need to know that what the</w:t>
      </w:r>
      <w:r>
        <w:rPr>
          <w:spacing w:val="40"/>
        </w:rPr>
        <w:t xml:space="preserve"> </w:t>
      </w:r>
      <w:r>
        <w:t>relevant</w:t>
      </w:r>
      <w:r>
        <w:rPr>
          <w:spacing w:val="40"/>
        </w:rPr>
        <w:t xml:space="preserve"> </w:t>
      </w:r>
      <w:r>
        <w:t>individuals,</w:t>
      </w:r>
      <w:r>
        <w:rPr>
          <w:spacing w:val="40"/>
        </w:rPr>
        <w:t xml:space="preserve"> </w:t>
      </w:r>
      <w:r>
        <w:t>whoever</w:t>
      </w:r>
      <w:r>
        <w:rPr>
          <w:spacing w:val="40"/>
        </w:rPr>
        <w:t xml:space="preserve"> </w:t>
      </w:r>
      <w:r>
        <w:t>they</w:t>
      </w:r>
      <w:r>
        <w:rPr>
          <w:spacing w:val="40"/>
        </w:rPr>
        <w:t xml:space="preserve"> </w:t>
      </w:r>
      <w:r>
        <w:t>might</w:t>
      </w:r>
      <w:r>
        <w:rPr>
          <w:spacing w:val="40"/>
        </w:rPr>
        <w:t xml:space="preserve"> </w:t>
      </w:r>
      <w:r>
        <w:t>be,</w:t>
      </w:r>
      <w:r>
        <w:rPr>
          <w:spacing w:val="40"/>
        </w:rPr>
        <w:t xml:space="preserve"> </w:t>
      </w:r>
      <w:r>
        <w:t>failed</w:t>
      </w:r>
      <w:r>
        <w:rPr>
          <w:spacing w:val="40"/>
        </w:rPr>
        <w:t xml:space="preserve"> </w:t>
      </w:r>
      <w:r>
        <w:t>to</w:t>
      </w:r>
      <w:r>
        <w:rPr>
          <w:spacing w:val="40"/>
        </w:rPr>
        <w:t xml:space="preserve"> </w:t>
      </w:r>
      <w:r>
        <w:t>do</w:t>
      </w:r>
      <w:r>
        <w:rPr>
          <w:spacing w:val="40"/>
        </w:rPr>
        <w:t xml:space="preserve"> </w:t>
      </w:r>
      <w:r>
        <w:t>was</w:t>
      </w:r>
      <w:r>
        <w:rPr>
          <w:spacing w:val="40"/>
        </w:rPr>
        <w:t xml:space="preserve"> </w:t>
      </w:r>
      <w:r>
        <w:t>to</w:t>
      </w:r>
    </w:p>
    <w:p w14:paraId="7E0020A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AB" w14:textId="77777777" w:rsidR="009A58DB" w:rsidRDefault="00000000">
      <w:pPr>
        <w:pStyle w:val="BodyText"/>
        <w:spacing w:before="65" w:line="249" w:lineRule="auto"/>
        <w:ind w:left="720" w:right="717"/>
      </w:pPr>
      <w:r>
        <w:lastRenderedPageBreak/>
        <w:t xml:space="preserve">show up. One need only know that people similar (in some respect relevant in the present context) to Smith failed to do something similar (same qualification) to showing up. One need only know that people </w:t>
      </w:r>
      <w:r>
        <w:rPr>
          <w:i/>
        </w:rPr>
        <w:t>like</w:t>
      </w:r>
      <w:r>
        <w:rPr>
          <w:i/>
          <w:spacing w:val="-4"/>
        </w:rPr>
        <w:t xml:space="preserve"> </w:t>
      </w:r>
      <w:r>
        <w:rPr>
          <w:i/>
        </w:rPr>
        <w:t>Smith</w:t>
      </w:r>
      <w:r>
        <w:rPr>
          <w:i/>
          <w:spacing w:val="-3"/>
        </w:rPr>
        <w:t xml:space="preserve"> </w:t>
      </w:r>
      <w:r>
        <w:t>(e.g., people who have serious drug problems) failed in some way</w:t>
      </w:r>
      <w:r>
        <w:rPr>
          <w:spacing w:val="-3"/>
        </w:rPr>
        <w:t xml:space="preserve"> </w:t>
      </w:r>
      <w:r>
        <w:t>that</w:t>
      </w:r>
      <w:r>
        <w:rPr>
          <w:spacing w:val="-4"/>
        </w:rPr>
        <w:t xml:space="preserve"> </w:t>
      </w:r>
      <w:r>
        <w:t>would</w:t>
      </w:r>
      <w:r>
        <w:rPr>
          <w:spacing w:val="-3"/>
        </w:rPr>
        <w:t xml:space="preserve"> </w:t>
      </w:r>
      <w:r>
        <w:t>be</w:t>
      </w:r>
      <w:r>
        <w:rPr>
          <w:spacing w:val="-4"/>
        </w:rPr>
        <w:t xml:space="preserve"> </w:t>
      </w:r>
      <w:r>
        <w:t>comparable</w:t>
      </w:r>
      <w:r>
        <w:rPr>
          <w:spacing w:val="-4"/>
        </w:rPr>
        <w:t xml:space="preserve"> </w:t>
      </w:r>
      <w:r>
        <w:t>to</w:t>
      </w:r>
      <w:r>
        <w:rPr>
          <w:spacing w:val="-3"/>
        </w:rPr>
        <w:t xml:space="preserve"> </w:t>
      </w:r>
      <w:r>
        <w:t>Smith’s</w:t>
      </w:r>
      <w:r>
        <w:rPr>
          <w:spacing w:val="-4"/>
        </w:rPr>
        <w:t xml:space="preserve"> </w:t>
      </w:r>
      <w:r>
        <w:t>failing</w:t>
      </w:r>
      <w:r>
        <w:rPr>
          <w:spacing w:val="-3"/>
        </w:rPr>
        <w:t xml:space="preserve"> </w:t>
      </w:r>
      <w:r>
        <w:t>to</w:t>
      </w:r>
      <w:r>
        <w:rPr>
          <w:spacing w:val="-3"/>
        </w:rPr>
        <w:t xml:space="preserve"> </w:t>
      </w:r>
      <w:r>
        <w:t>show</w:t>
      </w:r>
      <w:r>
        <w:rPr>
          <w:spacing w:val="-4"/>
        </w:rPr>
        <w:t xml:space="preserve"> </w:t>
      </w:r>
      <w:r>
        <w:t>up</w:t>
      </w:r>
      <w:r>
        <w:rPr>
          <w:spacing w:val="-3"/>
        </w:rPr>
        <w:t xml:space="preserve"> </w:t>
      </w:r>
      <w:r>
        <w:t>(e.g.,</w:t>
      </w:r>
      <w:r>
        <w:rPr>
          <w:spacing w:val="-3"/>
        </w:rPr>
        <w:t xml:space="preserve"> </w:t>
      </w:r>
      <w:r>
        <w:t>those people did keep their promises).</w:t>
      </w:r>
    </w:p>
    <w:p w14:paraId="7E0020AC" w14:textId="77777777" w:rsidR="009A58DB" w:rsidRDefault="00000000">
      <w:pPr>
        <w:pStyle w:val="BodyText"/>
        <w:spacing w:before="7" w:line="249" w:lineRule="auto"/>
        <w:ind w:left="720" w:right="723" w:firstLine="360"/>
      </w:pPr>
      <w:r>
        <w:t xml:space="preserve">It’s easy to ridicule the statistical conception of explanation by showing that events </w:t>
      </w:r>
      <w:r>
        <w:rPr>
          <w:i/>
        </w:rPr>
        <w:t xml:space="preserve">exactly like the one being explained </w:t>
      </w:r>
      <w:r>
        <w:t xml:space="preserve">haven’t occurred. But the situation being explained needn’t be a perfect replication of any past situation. It need only be </w:t>
      </w:r>
      <w:r>
        <w:rPr>
          <w:i/>
        </w:rPr>
        <w:t xml:space="preserve">like </w:t>
      </w:r>
      <w:r>
        <w:t>past situations in some very abstract respect.</w:t>
      </w:r>
    </w:p>
    <w:p w14:paraId="7E0020AD" w14:textId="77777777" w:rsidR="009A58DB" w:rsidRDefault="00000000">
      <w:pPr>
        <w:pStyle w:val="BodyText"/>
        <w:spacing w:before="111" w:line="249" w:lineRule="auto"/>
        <w:ind w:right="358" w:firstLine="360"/>
      </w:pPr>
      <w:r>
        <w:t>The problem with this response is that there is no way to understand the concept of “relevant similarity” in statistical terms; and in deciding what is relevantly similar to what, the advocate of SE is drawing on hypotheses that can’t possibly have received any confirmation of a purely statistical kind.</w:t>
      </w:r>
    </w:p>
    <w:p w14:paraId="7E0020AE" w14:textId="77777777" w:rsidR="009A58DB" w:rsidRDefault="00000000">
      <w:pPr>
        <w:pStyle w:val="BodyText"/>
        <w:spacing w:before="5" w:line="249" w:lineRule="auto"/>
        <w:ind w:right="358" w:firstLine="360"/>
      </w:pPr>
      <w:r>
        <w:t>Any</w:t>
      </w:r>
      <w:r>
        <w:rPr>
          <w:spacing w:val="-1"/>
        </w:rPr>
        <w:t xml:space="preserve"> </w:t>
      </w:r>
      <w:r>
        <w:t>two</w:t>
      </w:r>
      <w:r>
        <w:rPr>
          <w:spacing w:val="-1"/>
        </w:rPr>
        <w:t xml:space="preserve"> </w:t>
      </w:r>
      <w:r>
        <w:t>things</w:t>
      </w:r>
      <w:r>
        <w:rPr>
          <w:spacing w:val="-1"/>
        </w:rPr>
        <w:t xml:space="preserve"> </w:t>
      </w:r>
      <w:r>
        <w:t>are</w:t>
      </w:r>
      <w:r>
        <w:rPr>
          <w:spacing w:val="-1"/>
        </w:rPr>
        <w:t xml:space="preserve"> </w:t>
      </w:r>
      <w:r>
        <w:t>similar</w:t>
      </w:r>
      <w:r>
        <w:rPr>
          <w:spacing w:val="-1"/>
        </w:rPr>
        <w:t xml:space="preserve"> </w:t>
      </w:r>
      <w:r>
        <w:t>in</w:t>
      </w:r>
      <w:r>
        <w:rPr>
          <w:spacing w:val="-1"/>
        </w:rPr>
        <w:t xml:space="preserve"> </w:t>
      </w:r>
      <w:r>
        <w:t>some</w:t>
      </w:r>
      <w:r>
        <w:rPr>
          <w:spacing w:val="-1"/>
        </w:rPr>
        <w:t xml:space="preserve"> </w:t>
      </w:r>
      <w:r>
        <w:t>respects</w:t>
      </w:r>
      <w:r>
        <w:rPr>
          <w:spacing w:val="-1"/>
        </w:rPr>
        <w:t xml:space="preserve"> </w:t>
      </w:r>
      <w:r>
        <w:t>and</w:t>
      </w:r>
      <w:r>
        <w:rPr>
          <w:spacing w:val="-1"/>
        </w:rPr>
        <w:t xml:space="preserve"> </w:t>
      </w:r>
      <w:r>
        <w:t>dissimilar</w:t>
      </w:r>
      <w:r>
        <w:rPr>
          <w:spacing w:val="-1"/>
        </w:rPr>
        <w:t xml:space="preserve"> </w:t>
      </w:r>
      <w:r>
        <w:t>in</w:t>
      </w:r>
      <w:r>
        <w:rPr>
          <w:spacing w:val="-1"/>
        </w:rPr>
        <w:t xml:space="preserve"> </w:t>
      </w:r>
      <w:r>
        <w:t>others.</w:t>
      </w:r>
      <w:r>
        <w:rPr>
          <w:spacing w:val="-1"/>
        </w:rPr>
        <w:t xml:space="preserve"> </w:t>
      </w:r>
      <w:r>
        <w:t>Some of these similarities are explanatorily significant, and others are not. It often happens</w:t>
      </w:r>
      <w:r>
        <w:rPr>
          <w:spacing w:val="-2"/>
        </w:rPr>
        <w:t xml:space="preserve"> </w:t>
      </w:r>
      <w:r>
        <w:t>that,</w:t>
      </w:r>
      <w:r>
        <w:rPr>
          <w:spacing w:val="-2"/>
        </w:rPr>
        <w:t xml:space="preserve"> </w:t>
      </w:r>
      <w:r>
        <w:t>despite</w:t>
      </w:r>
      <w:r>
        <w:rPr>
          <w:spacing w:val="-2"/>
        </w:rPr>
        <w:t xml:space="preserve"> </w:t>
      </w:r>
      <w:r>
        <w:t>our</w:t>
      </w:r>
      <w:r>
        <w:rPr>
          <w:spacing w:val="-2"/>
        </w:rPr>
        <w:t xml:space="preserve"> </w:t>
      </w:r>
      <w:r>
        <w:t>not</w:t>
      </w:r>
      <w:r>
        <w:rPr>
          <w:spacing w:val="-2"/>
        </w:rPr>
        <w:t xml:space="preserve"> </w:t>
      </w:r>
      <w:r>
        <w:t>having</w:t>
      </w:r>
      <w:r>
        <w:rPr>
          <w:spacing w:val="-2"/>
        </w:rPr>
        <w:t xml:space="preserve"> </w:t>
      </w:r>
      <w:r>
        <w:t>first</w:t>
      </w:r>
      <w:r>
        <w:rPr>
          <w:spacing w:val="-2"/>
        </w:rPr>
        <w:t xml:space="preserve"> </w:t>
      </w:r>
      <w:r>
        <w:t>conducted</w:t>
      </w:r>
      <w:r>
        <w:rPr>
          <w:spacing w:val="-2"/>
        </w:rPr>
        <w:t xml:space="preserve"> </w:t>
      </w:r>
      <w:r>
        <w:t>context-specific</w:t>
      </w:r>
      <w:r>
        <w:rPr>
          <w:spacing w:val="-2"/>
        </w:rPr>
        <w:t xml:space="preserve"> </w:t>
      </w:r>
      <w:r>
        <w:t xml:space="preserve">research, we can distinguish the relevant from the irrelevant forms of similarity. For example, it’s obvious that, when trying to figure out what the consequences would be of detonating a given bomb over the South Pole, it doesn’t matter whether that bomb is green as opposed to red, but it </w:t>
      </w:r>
      <w:r>
        <w:rPr>
          <w:i/>
        </w:rPr>
        <w:t xml:space="preserve">does </w:t>
      </w:r>
      <w:r>
        <w:t>matter whether it’s</w:t>
      </w:r>
      <w:r>
        <w:rPr>
          <w:spacing w:val="40"/>
        </w:rPr>
        <w:t xml:space="preserve"> </w:t>
      </w:r>
      <w:r>
        <w:t xml:space="preserve">a nuclear as opposed to a non-nuclear bomb. So it’s obvious that a red hydrogen bomb would be much more similar, in the respects relevant in this context, to a green hydrogen bomb than it would be to a red non-nuclear </w:t>
      </w:r>
      <w:r>
        <w:rPr>
          <w:spacing w:val="-2"/>
        </w:rPr>
        <w:t>bomb.</w:t>
      </w:r>
    </w:p>
    <w:p w14:paraId="7E0020AF" w14:textId="77777777" w:rsidR="009A58DB" w:rsidRDefault="00000000">
      <w:pPr>
        <w:pStyle w:val="BodyText"/>
        <w:spacing w:before="14" w:line="249" w:lineRule="auto"/>
        <w:ind w:right="360" w:firstLine="360"/>
      </w:pPr>
      <w:r>
        <w:t>But this wouldn’t be obvious at all if our evidence for it were strictly statistical. Given that, for any two things, one can contrive some respect in which they are similar, it follows that, with a few trivial qualifications, anything can confirm anything to any degree.</w:t>
      </w:r>
    </w:p>
    <w:p w14:paraId="7E0020B0" w14:textId="77777777" w:rsidR="009A58DB" w:rsidRDefault="00000000">
      <w:pPr>
        <w:pStyle w:val="BodyText"/>
        <w:spacing w:before="5" w:line="249" w:lineRule="auto"/>
        <w:ind w:right="359" w:firstLine="360"/>
      </w:pPr>
      <w:r>
        <w:t>This is what Nelson Goodman’s argument shows. (See Section 7.3). Find</w:t>
      </w:r>
      <w:r>
        <w:rPr>
          <w:spacing w:val="40"/>
        </w:rPr>
        <w:t xml:space="preserve"> </w:t>
      </w:r>
      <w:r>
        <w:rPr>
          <w:i/>
        </w:rPr>
        <w:t xml:space="preserve">a </w:t>
      </w:r>
      <w:r>
        <w:t>respect in which green emeralds are similar to blue emeralds, and the fact that, thus far, all emeralds have been green confirms that, after this point, they’ll all be blue. (All green emeralds examined before the present are similar to blue emeralds examined in the future in that they’re all “grue.”)</w:t>
      </w:r>
    </w:p>
    <w:p w14:paraId="7E0020B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B2" w14:textId="77777777" w:rsidR="009A58DB" w:rsidRDefault="00000000">
      <w:pPr>
        <w:pStyle w:val="BodyText"/>
        <w:spacing w:before="65" w:line="249" w:lineRule="auto"/>
        <w:ind w:right="359" w:firstLine="360"/>
      </w:pPr>
      <w:r>
        <w:lastRenderedPageBreak/>
        <w:t xml:space="preserve">Another example: Find </w:t>
      </w:r>
      <w:r>
        <w:rPr>
          <w:i/>
        </w:rPr>
        <w:t xml:space="preserve">a </w:t>
      </w:r>
      <w:r>
        <w:t>respect in which herbivorous brontosauruses resemble cars that aren’t affected in any adverse way by high-speed collisions, and the fact that all brontosauruses were herbivorous confirms that a speed collision won’t damage your car. (Herbivorous brontosauruses are similar to cases of your crashing your new, as of yet unscathed, car in that they are both “carbivorous.” Something is “carbivorous” if it’s either an herbivorous brontosaurus or a car driven by you after the present time that’s involved in a high-speed collision and isn’t damaged by it.”)</w:t>
      </w:r>
    </w:p>
    <w:p w14:paraId="7E0020B3" w14:textId="77777777" w:rsidR="009A58DB" w:rsidRDefault="00000000">
      <w:pPr>
        <w:pStyle w:val="BodyText"/>
        <w:spacing w:before="9" w:line="249" w:lineRule="auto"/>
        <w:ind w:right="358" w:firstLine="360"/>
      </w:pPr>
      <w:r>
        <w:t xml:space="preserve">We know that terms like “grue” and “carbivore” pick out explanatorily hollow properties, and that’s why we don’t base our driving habits on our beliefs about the dietary habits of dinosaurs. We know what to infer and what not to infer </w:t>
      </w:r>
      <w:r>
        <w:rPr>
          <w:i/>
        </w:rPr>
        <w:t xml:space="preserve">only </w:t>
      </w:r>
      <w:r>
        <w:t xml:space="preserve">insofar as we know what kinds of similarity count. A </w:t>
      </w:r>
      <w:r>
        <w:rPr>
          <w:i/>
        </w:rPr>
        <w:t xml:space="preserve">precondition </w:t>
      </w:r>
      <w:r>
        <w:t xml:space="preserve">for making the right inferences is knowing what the relevant kinds of similarity are. Thus, there’s no way that judgments as to what the relevant forms of similarity are could have a strictly statistical basis. (That said, they obviously can and do have a </w:t>
      </w:r>
      <w:r>
        <w:rPr>
          <w:i/>
        </w:rPr>
        <w:t xml:space="preserve">partly </w:t>
      </w:r>
      <w:r>
        <w:t>statistical basis. But that’s not enough to make a go of the statistical</w:t>
      </w:r>
      <w:r>
        <w:rPr>
          <w:spacing w:val="-1"/>
        </w:rPr>
        <w:t xml:space="preserve"> </w:t>
      </w:r>
      <w:r>
        <w:t>model.) The concept</w:t>
      </w:r>
      <w:r>
        <w:rPr>
          <w:spacing w:val="-1"/>
        </w:rPr>
        <w:t xml:space="preserve"> </w:t>
      </w:r>
      <w:r>
        <w:t xml:space="preserve">of probability is to be understood in terms of the concept of explanatory integrity, not that of statistical frequency. The concept of explanatory integrity is to be understood in terms of the concept of </w:t>
      </w:r>
      <w:r>
        <w:rPr>
          <w:i/>
        </w:rPr>
        <w:t xml:space="preserve">causal </w:t>
      </w:r>
      <w:r>
        <w:t>integrity. The concept of causal integrity is to be understood in terms of the concept of continuity of change. One very important</w:t>
      </w:r>
      <w:r>
        <w:rPr>
          <w:spacing w:val="-2"/>
        </w:rPr>
        <w:t xml:space="preserve"> </w:t>
      </w:r>
      <w:r>
        <w:t>kind</w:t>
      </w:r>
      <w:r>
        <w:rPr>
          <w:spacing w:val="-1"/>
        </w:rPr>
        <w:t xml:space="preserve"> </w:t>
      </w:r>
      <w:r>
        <w:t>of</w:t>
      </w:r>
      <w:r>
        <w:rPr>
          <w:spacing w:val="-1"/>
        </w:rPr>
        <w:t xml:space="preserve"> </w:t>
      </w:r>
      <w:r>
        <w:t>change</w:t>
      </w:r>
      <w:r>
        <w:rPr>
          <w:spacing w:val="-1"/>
        </w:rPr>
        <w:t xml:space="preserve"> </w:t>
      </w:r>
      <w:r>
        <w:t>is</w:t>
      </w:r>
      <w:r>
        <w:rPr>
          <w:spacing w:val="-1"/>
        </w:rPr>
        <w:t xml:space="preserve"> </w:t>
      </w:r>
      <w:r>
        <w:t>change</w:t>
      </w:r>
      <w:r>
        <w:rPr>
          <w:spacing w:val="-1"/>
        </w:rPr>
        <w:t xml:space="preserve"> </w:t>
      </w:r>
      <w:r>
        <w:t>of</w:t>
      </w:r>
      <w:r>
        <w:rPr>
          <w:spacing w:val="-1"/>
        </w:rPr>
        <w:t xml:space="preserve"> </w:t>
      </w:r>
      <w:r>
        <w:t>position</w:t>
      </w:r>
      <w:r>
        <w:rPr>
          <w:spacing w:val="-1"/>
        </w:rPr>
        <w:t xml:space="preserve"> </w:t>
      </w:r>
      <w:r>
        <w:t>(motion).</w:t>
      </w:r>
      <w:r>
        <w:rPr>
          <w:spacing w:val="-1"/>
        </w:rPr>
        <w:t xml:space="preserve"> </w:t>
      </w:r>
      <w:r>
        <w:t>But</w:t>
      </w:r>
      <w:r>
        <w:rPr>
          <w:spacing w:val="-1"/>
        </w:rPr>
        <w:t xml:space="preserve"> </w:t>
      </w:r>
      <w:r>
        <w:t>not</w:t>
      </w:r>
      <w:r>
        <w:rPr>
          <w:spacing w:val="-1"/>
        </w:rPr>
        <w:t xml:space="preserve"> </w:t>
      </w:r>
      <w:r>
        <w:t>all</w:t>
      </w:r>
      <w:r>
        <w:rPr>
          <w:spacing w:val="-1"/>
        </w:rPr>
        <w:t xml:space="preserve"> </w:t>
      </w:r>
      <w:r>
        <w:t>change</w:t>
      </w:r>
      <w:r>
        <w:rPr>
          <w:spacing w:val="-1"/>
        </w:rPr>
        <w:t xml:space="preserve"> </w:t>
      </w:r>
      <w:r>
        <w:t xml:space="preserve">is change of position. Changes in temperature aren’t changes in position. Nor are changes in color, shape, or structure. That said, at least some of these forms of change are to be understood </w:t>
      </w:r>
      <w:r>
        <w:rPr>
          <w:i/>
        </w:rPr>
        <w:t xml:space="preserve">in terms of </w:t>
      </w:r>
      <w:r>
        <w:t xml:space="preserve">the concept of change of position. But the same can’t be said of other explanatorily important kinds of change. It can’t be said of higher-order changes (changes in the manner of change), since higher-order changes aren’t </w:t>
      </w:r>
      <w:r>
        <w:rPr>
          <w:i/>
        </w:rPr>
        <w:t xml:space="preserve">spatiotemporal </w:t>
      </w:r>
      <w:r>
        <w:t>changes at all. (A second-order change is a change in a spatiotemporal change; it is not itself a spatiotemporal change, and the same is obviously true of all other higher-order</w:t>
      </w:r>
      <w:r>
        <w:rPr>
          <w:spacing w:val="-1"/>
        </w:rPr>
        <w:t xml:space="preserve"> </w:t>
      </w:r>
      <w:r>
        <w:t>changes.)</w:t>
      </w:r>
      <w:r>
        <w:rPr>
          <w:spacing w:val="-1"/>
        </w:rPr>
        <w:t xml:space="preserve"> </w:t>
      </w:r>
      <w:r>
        <w:t>Earlier</w:t>
      </w:r>
      <w:r>
        <w:rPr>
          <w:spacing w:val="-1"/>
        </w:rPr>
        <w:t xml:space="preserve"> </w:t>
      </w:r>
      <w:r>
        <w:t>we</w:t>
      </w:r>
      <w:r>
        <w:rPr>
          <w:spacing w:val="-1"/>
        </w:rPr>
        <w:t xml:space="preserve"> </w:t>
      </w:r>
      <w:r>
        <w:t>considered</w:t>
      </w:r>
      <w:r>
        <w:rPr>
          <w:spacing w:val="-1"/>
        </w:rPr>
        <w:t xml:space="preserve"> </w:t>
      </w:r>
      <w:r>
        <w:t>some</w:t>
      </w:r>
      <w:r>
        <w:rPr>
          <w:spacing w:val="-1"/>
        </w:rPr>
        <w:t xml:space="preserve"> </w:t>
      </w:r>
      <w:r>
        <w:t>clearly</w:t>
      </w:r>
      <w:r>
        <w:rPr>
          <w:spacing w:val="-1"/>
        </w:rPr>
        <w:t xml:space="preserve"> </w:t>
      </w:r>
      <w:r>
        <w:t>erroneous</w:t>
      </w:r>
      <w:r>
        <w:rPr>
          <w:spacing w:val="-1"/>
        </w:rPr>
        <w:t xml:space="preserve"> </w:t>
      </w:r>
      <w:r>
        <w:t>hypotheses</w:t>
      </w:r>
      <w:r>
        <w:rPr>
          <w:spacing w:val="-1"/>
        </w:rPr>
        <w:t xml:space="preserve"> </w:t>
      </w:r>
      <w:r>
        <w:t>that seemed at first to do just as good a job of preserving continuities as some clearly worthy hypotheses. Had these initial impressions been correct, our analysis of explanation would have been in trouble. But they weren’t correct. When we took a second look, we found that the clearly wrong hypotheses did a much worse job than their meritorious counterparts of dealing with higher-</w:t>
      </w:r>
    </w:p>
    <w:p w14:paraId="7E0020B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B5" w14:textId="77777777" w:rsidR="009A58DB" w:rsidRDefault="00000000">
      <w:pPr>
        <w:pStyle w:val="BodyText"/>
        <w:spacing w:before="65" w:line="249" w:lineRule="auto"/>
        <w:ind w:right="359"/>
      </w:pPr>
      <w:r>
        <w:lastRenderedPageBreak/>
        <w:t>order continuities. And the continuities in question were ones that we already knew to be explanatorily important; they weren’t contrived ad hoc to buttress our theory.</w:t>
      </w:r>
    </w:p>
    <w:p w14:paraId="7E0020B6" w14:textId="77777777" w:rsidR="009A58DB" w:rsidRDefault="009A58DB">
      <w:pPr>
        <w:pStyle w:val="BodyText"/>
        <w:spacing w:before="251"/>
        <w:ind w:left="0"/>
        <w:jc w:val="left"/>
      </w:pPr>
    </w:p>
    <w:p w14:paraId="7E0020B7" w14:textId="77777777" w:rsidR="009A58DB" w:rsidRDefault="00000000">
      <w:pPr>
        <w:pStyle w:val="Heading1"/>
        <w:numPr>
          <w:ilvl w:val="1"/>
          <w:numId w:val="77"/>
        </w:numPr>
        <w:tabs>
          <w:tab w:val="left" w:pos="990"/>
        </w:tabs>
        <w:spacing w:before="0"/>
      </w:pPr>
      <w:r>
        <w:t>The</w:t>
      </w:r>
      <w:r>
        <w:rPr>
          <w:spacing w:val="-3"/>
        </w:rPr>
        <w:t xml:space="preserve"> </w:t>
      </w:r>
      <w:r>
        <w:t>raven</w:t>
      </w:r>
      <w:r>
        <w:rPr>
          <w:spacing w:val="-3"/>
        </w:rPr>
        <w:t xml:space="preserve"> </w:t>
      </w:r>
      <w:r>
        <w:rPr>
          <w:spacing w:val="-2"/>
        </w:rPr>
        <w:t>paradox</w:t>
      </w:r>
    </w:p>
    <w:p w14:paraId="7E0020B8" w14:textId="77777777" w:rsidR="009A58DB" w:rsidRDefault="00000000">
      <w:pPr>
        <w:pStyle w:val="BodyText"/>
        <w:spacing w:before="109" w:line="249" w:lineRule="auto"/>
        <w:ind w:right="362"/>
      </w:pPr>
      <w:r>
        <w:t>Because they don’t grant the existence of causality, except of a degraded and useless kind, Humeans are categorically incapable of producing viable theories of confirmation. One sign of this is that Humean theories of confirmation always have paradoxical consequences.</w:t>
      </w:r>
    </w:p>
    <w:p w14:paraId="7E0020B9" w14:textId="77777777" w:rsidR="009A58DB" w:rsidRDefault="00000000">
      <w:pPr>
        <w:pStyle w:val="BodyText"/>
        <w:spacing w:before="5" w:line="249" w:lineRule="auto"/>
        <w:ind w:firstLine="360"/>
        <w:jc w:val="left"/>
        <w:rPr>
          <w:position w:val="21"/>
        </w:rPr>
      </w:pPr>
      <w:r>
        <w:rPr>
          <w:noProof/>
          <w:position w:val="21"/>
        </w:rPr>
        <mc:AlternateContent>
          <mc:Choice Requires="wps">
            <w:drawing>
              <wp:anchor distT="0" distB="0" distL="0" distR="0" simplePos="0" relativeHeight="15746048" behindDoc="0" locked="0" layoutInCell="1" allowOverlap="1" wp14:anchorId="7E003294" wp14:editId="7E003295">
                <wp:simplePos x="0" y="0"/>
                <wp:positionH relativeFrom="page">
                  <wp:posOffset>5153025</wp:posOffset>
                </wp:positionH>
                <wp:positionV relativeFrom="paragraph">
                  <wp:posOffset>373602</wp:posOffset>
                </wp:positionV>
                <wp:extent cx="1699260" cy="211454"/>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9260" cy="211454"/>
                        </a:xfrm>
                        <a:prstGeom prst="rect">
                          <a:avLst/>
                        </a:prstGeom>
                      </wps:spPr>
                      <wps:txbx>
                        <w:txbxContent>
                          <w:p w14:paraId="7E0032BF" w14:textId="77777777" w:rsidR="009A58DB" w:rsidRDefault="00000000">
                            <w:pPr>
                              <w:pStyle w:val="BodyText"/>
                              <w:spacing w:line="332" w:lineRule="exact"/>
                              <w:ind w:left="0"/>
                              <w:jc w:val="left"/>
                            </w:pPr>
                            <w:r>
                              <w:t>,</w:t>
                            </w:r>
                            <w:r>
                              <w:rPr>
                                <w:spacing w:val="67"/>
                              </w:rPr>
                              <w:t xml:space="preserve"> </w:t>
                            </w:r>
                            <w:r>
                              <w:t>who</w:t>
                            </w:r>
                            <w:r>
                              <w:rPr>
                                <w:spacing w:val="69"/>
                              </w:rPr>
                              <w:t xml:space="preserve"> </w:t>
                            </w:r>
                            <w:r>
                              <w:t>was</w:t>
                            </w:r>
                            <w:r>
                              <w:rPr>
                                <w:spacing w:val="69"/>
                              </w:rPr>
                              <w:t xml:space="preserve"> </w:t>
                            </w:r>
                            <w:r>
                              <w:t>himself</w:t>
                            </w:r>
                            <w:r>
                              <w:rPr>
                                <w:spacing w:val="69"/>
                              </w:rPr>
                              <w:t xml:space="preserve"> </w:t>
                            </w:r>
                            <w:r>
                              <w:rPr>
                                <w:spacing w:val="-10"/>
                              </w:rPr>
                              <w:t>a</w:t>
                            </w:r>
                          </w:p>
                        </w:txbxContent>
                      </wps:txbx>
                      <wps:bodyPr wrap="square" lIns="0" tIns="0" rIns="0" bIns="0" rtlCol="0">
                        <a:noAutofit/>
                      </wps:bodyPr>
                    </wps:wsp>
                  </a:graphicData>
                </a:graphic>
              </wp:anchor>
            </w:drawing>
          </mc:Choice>
          <mc:Fallback>
            <w:pict>
              <v:shape w14:anchorId="7E003294" id="Textbox 35" o:spid="_x0000_s1041" type="#_x0000_t202" style="position:absolute;left:0;text-align:left;margin-left:405.75pt;margin-top:29.4pt;width:133.8pt;height:16.6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" filled="f" stroked="f">
                <v:textbox inset="0,0,0,0">
                  <w:txbxContent>
                    <w:p w14:paraId="7E0032BF" w14:textId="77777777" w:rsidR="009A58DB" w:rsidRDefault="00000000">
                      <w:pPr>
                        <w:pStyle w:val="BodyText"/>
                        <w:spacing w:line="332" w:lineRule="exact"/>
                        <w:ind w:left="0"/>
                        <w:jc w:val="left"/>
                      </w:pPr>
                      <w:r>
                        <w:t>,</w:t>
                      </w:r>
                      <w:r>
                        <w:rPr>
                          <w:spacing w:val="67"/>
                        </w:rPr>
                        <w:t xml:space="preserve"> </w:t>
                      </w:r>
                      <w:r>
                        <w:t>who</w:t>
                      </w:r>
                      <w:r>
                        <w:rPr>
                          <w:spacing w:val="69"/>
                        </w:rPr>
                        <w:t xml:space="preserve"> </w:t>
                      </w:r>
                      <w:r>
                        <w:t>was</w:t>
                      </w:r>
                      <w:r>
                        <w:rPr>
                          <w:spacing w:val="69"/>
                        </w:rPr>
                        <w:t xml:space="preserve"> </w:t>
                      </w:r>
                      <w:r>
                        <w:t>himself</w:t>
                      </w:r>
                      <w:r>
                        <w:rPr>
                          <w:spacing w:val="69"/>
                        </w:rPr>
                        <w:t xml:space="preserve"> </w:t>
                      </w:r>
                      <w:r>
                        <w:rPr>
                          <w:spacing w:val="-10"/>
                        </w:rPr>
                        <w:t>a</w:t>
                      </w:r>
                    </w:p>
                  </w:txbxContent>
                </v:textbox>
                <w10:wrap anchorx="page"/>
              </v:shape>
            </w:pict>
          </mc:Fallback>
        </mc:AlternateContent>
      </w:r>
      <w:r>
        <w:t>The</w:t>
      </w:r>
      <w:r>
        <w:rPr>
          <w:spacing w:val="80"/>
        </w:rPr>
        <w:t xml:space="preserve"> </w:t>
      </w:r>
      <w:r>
        <w:t>most</w:t>
      </w:r>
      <w:r>
        <w:rPr>
          <w:spacing w:val="80"/>
        </w:rPr>
        <w:t xml:space="preserve"> </w:t>
      </w:r>
      <w:r>
        <w:t>famous</w:t>
      </w:r>
      <w:r>
        <w:rPr>
          <w:spacing w:val="80"/>
        </w:rPr>
        <w:t xml:space="preserve"> </w:t>
      </w:r>
      <w:r>
        <w:t>of</w:t>
      </w:r>
      <w:r>
        <w:rPr>
          <w:spacing w:val="80"/>
        </w:rPr>
        <w:t xml:space="preserve"> </w:t>
      </w:r>
      <w:r>
        <w:t>these</w:t>
      </w:r>
      <w:r>
        <w:rPr>
          <w:spacing w:val="80"/>
        </w:rPr>
        <w:t xml:space="preserve"> </w:t>
      </w:r>
      <w:r>
        <w:t>famous</w:t>
      </w:r>
      <w:r>
        <w:rPr>
          <w:spacing w:val="80"/>
        </w:rPr>
        <w:t xml:space="preserve"> </w:t>
      </w:r>
      <w:r>
        <w:t>paradoxes</w:t>
      </w:r>
      <w:r>
        <w:rPr>
          <w:spacing w:val="80"/>
        </w:rPr>
        <w:t xml:space="preserve"> </w:t>
      </w:r>
      <w:r>
        <w:t>is</w:t>
      </w:r>
      <w:r>
        <w:rPr>
          <w:spacing w:val="80"/>
        </w:rPr>
        <w:t xml:space="preserve"> </w:t>
      </w:r>
      <w:r>
        <w:t>the</w:t>
      </w:r>
      <w:r>
        <w:rPr>
          <w:spacing w:val="80"/>
        </w:rPr>
        <w:t xml:space="preserve"> </w:t>
      </w:r>
      <w:r>
        <w:t>so-called</w:t>
      </w:r>
      <w:r>
        <w:rPr>
          <w:spacing w:val="80"/>
        </w:rPr>
        <w:t xml:space="preserve"> </w:t>
      </w:r>
      <w:r>
        <w:t>Raven paradox.</w:t>
      </w:r>
      <w:r>
        <w:rPr>
          <w:spacing w:val="40"/>
        </w:rPr>
        <w:t xml:space="preserve"> </w:t>
      </w:r>
      <w:r>
        <w:t>This</w:t>
      </w:r>
      <w:r>
        <w:rPr>
          <w:spacing w:val="40"/>
        </w:rPr>
        <w:t xml:space="preserve"> </w:t>
      </w:r>
      <w:r>
        <w:t>was</w:t>
      </w:r>
      <w:r>
        <w:rPr>
          <w:spacing w:val="40"/>
        </w:rPr>
        <w:t xml:space="preserve"> </w:t>
      </w:r>
      <w:r>
        <w:t>discovered</w:t>
      </w:r>
      <w:r>
        <w:rPr>
          <w:spacing w:val="40"/>
        </w:rPr>
        <w:t xml:space="preserve"> </w:t>
      </w:r>
      <w:r>
        <w:t>by</w:t>
      </w:r>
      <w:r>
        <w:rPr>
          <w:spacing w:val="40"/>
        </w:rPr>
        <w:t xml:space="preserve"> </w:t>
      </w:r>
      <w:r>
        <w:t>C.G.</w:t>
      </w:r>
      <w:r>
        <w:rPr>
          <w:spacing w:val="40"/>
        </w:rPr>
        <w:t xml:space="preserve"> </w:t>
      </w:r>
      <w:r>
        <w:t>Hempel</w:t>
      </w:r>
      <w:bookmarkStart w:id="456" w:name="_bookmark456"/>
      <w:bookmarkEnd w:id="456"/>
      <w:r>
        <w:rPr>
          <w:color w:val="0562C1"/>
          <w:position w:val="21"/>
          <w:u w:val="single" w:color="0562C1"/>
        </w:rPr>
        <w:t>[338]</w:t>
      </w:r>
    </w:p>
    <w:p w14:paraId="7E0020BA" w14:textId="77777777" w:rsidR="009A58DB" w:rsidRDefault="00000000">
      <w:pPr>
        <w:pStyle w:val="BodyText"/>
        <w:spacing w:before="3" w:line="249" w:lineRule="auto"/>
        <w:ind w:right="368"/>
      </w:pPr>
      <w:r>
        <w:t>hardcore Humean. We’ve already considered Hempel’s unsuccessful, Humean analysis of explanation, and we’ll soon consider Hempel’s equally unsuccessful, Humean attempt to solve the raven paradox.</w:t>
      </w:r>
    </w:p>
    <w:p w14:paraId="7E0020BB" w14:textId="77777777" w:rsidR="009A58DB" w:rsidRDefault="00000000">
      <w:pPr>
        <w:pStyle w:val="BodyText"/>
        <w:spacing w:before="3"/>
        <w:ind w:left="720"/>
      </w:pPr>
      <w:r>
        <w:t>In</w:t>
      </w:r>
      <w:r>
        <w:rPr>
          <w:spacing w:val="-2"/>
        </w:rPr>
        <w:t xml:space="preserve"> </w:t>
      </w:r>
      <w:r>
        <w:t>any</w:t>
      </w:r>
      <w:r>
        <w:rPr>
          <w:spacing w:val="-2"/>
        </w:rPr>
        <w:t xml:space="preserve"> </w:t>
      </w:r>
      <w:r>
        <w:t>case,</w:t>
      </w:r>
      <w:r>
        <w:rPr>
          <w:spacing w:val="-2"/>
        </w:rPr>
        <w:t xml:space="preserve"> </w:t>
      </w:r>
      <w:r>
        <w:t>here</w:t>
      </w:r>
      <w:r>
        <w:rPr>
          <w:spacing w:val="-3"/>
        </w:rPr>
        <w:t xml:space="preserve"> </w:t>
      </w:r>
      <w:r>
        <w:t>is</w:t>
      </w:r>
      <w:r>
        <w:rPr>
          <w:spacing w:val="-3"/>
        </w:rPr>
        <w:t xml:space="preserve"> </w:t>
      </w:r>
      <w:r>
        <w:t>that</w:t>
      </w:r>
      <w:r>
        <w:rPr>
          <w:spacing w:val="-2"/>
        </w:rPr>
        <w:t xml:space="preserve"> paradox:</w:t>
      </w:r>
    </w:p>
    <w:p w14:paraId="7E0020BC" w14:textId="77777777" w:rsidR="009A58DB" w:rsidRDefault="00000000">
      <w:pPr>
        <w:pStyle w:val="BodyText"/>
        <w:spacing w:before="120" w:line="249" w:lineRule="auto"/>
        <w:ind w:left="720" w:right="718"/>
      </w:pPr>
      <w:r>
        <w:t xml:space="preserve">(RP) Logically equivalent sentences are confirmationally equivalent. This means that, if P and Q are logically equivalent, then not only does evidence E confirm P just in case it confirms Q, but E confirms P </w:t>
      </w:r>
      <w:r>
        <w:rPr>
          <w:i/>
        </w:rPr>
        <w:t xml:space="preserve">to degree n </w:t>
      </w:r>
      <w:r>
        <w:t>just in case it confirms Q to that same degree.</w:t>
      </w:r>
    </w:p>
    <w:p w14:paraId="7E0020BD" w14:textId="77777777" w:rsidR="009A58DB" w:rsidRDefault="00000000">
      <w:pPr>
        <w:pStyle w:val="BodyText"/>
        <w:spacing w:before="110"/>
        <w:ind w:left="1080"/>
      </w:pPr>
      <w:r>
        <w:t>The</w:t>
      </w:r>
      <w:r>
        <w:rPr>
          <w:spacing w:val="-2"/>
        </w:rPr>
        <w:t xml:space="preserve"> sentence:</w:t>
      </w:r>
    </w:p>
    <w:p w14:paraId="7E0020BE" w14:textId="77777777" w:rsidR="009A58DB" w:rsidRDefault="00000000">
      <w:pPr>
        <w:pStyle w:val="ListParagraph"/>
        <w:numPr>
          <w:ilvl w:val="2"/>
          <w:numId w:val="77"/>
        </w:numPr>
        <w:tabs>
          <w:tab w:val="left" w:pos="1142"/>
        </w:tabs>
        <w:spacing w:before="105"/>
        <w:ind w:left="1142" w:hanging="422"/>
        <w:jc w:val="both"/>
        <w:rPr>
          <w:sz w:val="30"/>
        </w:rPr>
      </w:pPr>
      <w:r>
        <w:rPr>
          <w:sz w:val="30"/>
        </w:rPr>
        <w:t>“All</w:t>
      </w:r>
      <w:r>
        <w:rPr>
          <w:spacing w:val="-7"/>
          <w:sz w:val="30"/>
        </w:rPr>
        <w:t xml:space="preserve"> </w:t>
      </w:r>
      <w:r>
        <w:rPr>
          <w:sz w:val="30"/>
        </w:rPr>
        <w:t>ravens</w:t>
      </w:r>
      <w:r>
        <w:rPr>
          <w:spacing w:val="-4"/>
          <w:sz w:val="30"/>
        </w:rPr>
        <w:t xml:space="preserve"> </w:t>
      </w:r>
      <w:r>
        <w:rPr>
          <w:sz w:val="30"/>
        </w:rPr>
        <w:t>are</w:t>
      </w:r>
      <w:r>
        <w:rPr>
          <w:spacing w:val="-4"/>
          <w:sz w:val="30"/>
        </w:rPr>
        <w:t xml:space="preserve"> </w:t>
      </w:r>
      <w:r>
        <w:rPr>
          <w:sz w:val="30"/>
        </w:rPr>
        <w:t>black”</w:t>
      </w:r>
      <w:r>
        <w:rPr>
          <w:spacing w:val="-5"/>
          <w:sz w:val="30"/>
        </w:rPr>
        <w:t xml:space="preserve"> </w:t>
      </w:r>
      <w:r>
        <w:rPr>
          <w:sz w:val="30"/>
        </w:rPr>
        <w:t>is</w:t>
      </w:r>
      <w:r>
        <w:rPr>
          <w:spacing w:val="-4"/>
          <w:sz w:val="30"/>
        </w:rPr>
        <w:t xml:space="preserve"> </w:t>
      </w:r>
      <w:r>
        <w:rPr>
          <w:sz w:val="30"/>
        </w:rPr>
        <w:t>logically</w:t>
      </w:r>
      <w:r>
        <w:rPr>
          <w:spacing w:val="-3"/>
          <w:sz w:val="30"/>
        </w:rPr>
        <w:t xml:space="preserve"> </w:t>
      </w:r>
      <w:r>
        <w:rPr>
          <w:sz w:val="30"/>
        </w:rPr>
        <w:t>equivalent</w:t>
      </w:r>
      <w:r>
        <w:rPr>
          <w:spacing w:val="-4"/>
          <w:sz w:val="30"/>
        </w:rPr>
        <w:t xml:space="preserve"> </w:t>
      </w:r>
      <w:r>
        <w:rPr>
          <w:spacing w:val="-2"/>
          <w:sz w:val="30"/>
        </w:rPr>
        <w:t>with:</w:t>
      </w:r>
    </w:p>
    <w:p w14:paraId="7E0020BF" w14:textId="77777777" w:rsidR="009A58DB" w:rsidRDefault="00000000">
      <w:pPr>
        <w:pStyle w:val="ListParagraph"/>
        <w:numPr>
          <w:ilvl w:val="2"/>
          <w:numId w:val="77"/>
        </w:numPr>
        <w:tabs>
          <w:tab w:val="left" w:pos="1142"/>
        </w:tabs>
        <w:spacing w:before="120"/>
        <w:ind w:left="1142" w:hanging="422"/>
        <w:jc w:val="both"/>
        <w:rPr>
          <w:sz w:val="30"/>
        </w:rPr>
      </w:pPr>
      <w:r>
        <w:rPr>
          <w:sz w:val="30"/>
        </w:rPr>
        <w:t>“All</w:t>
      </w:r>
      <w:r>
        <w:rPr>
          <w:spacing w:val="-4"/>
          <w:sz w:val="30"/>
        </w:rPr>
        <w:t xml:space="preserve"> </w:t>
      </w:r>
      <w:r>
        <w:rPr>
          <w:sz w:val="30"/>
        </w:rPr>
        <w:t>non-black</w:t>
      </w:r>
      <w:r>
        <w:rPr>
          <w:spacing w:val="-4"/>
          <w:sz w:val="30"/>
        </w:rPr>
        <w:t xml:space="preserve"> </w:t>
      </w:r>
      <w:r>
        <w:rPr>
          <w:sz w:val="30"/>
        </w:rPr>
        <w:t>things</w:t>
      </w:r>
      <w:r>
        <w:rPr>
          <w:spacing w:val="-4"/>
          <w:sz w:val="30"/>
        </w:rPr>
        <w:t xml:space="preserve"> </w:t>
      </w:r>
      <w:r>
        <w:rPr>
          <w:sz w:val="30"/>
        </w:rPr>
        <w:t>are</w:t>
      </w:r>
      <w:r>
        <w:rPr>
          <w:spacing w:val="-3"/>
          <w:sz w:val="30"/>
        </w:rPr>
        <w:t xml:space="preserve"> </w:t>
      </w:r>
      <w:r>
        <w:rPr>
          <w:sz w:val="30"/>
        </w:rPr>
        <w:t>non-</w:t>
      </w:r>
      <w:r>
        <w:rPr>
          <w:spacing w:val="-2"/>
          <w:sz w:val="30"/>
        </w:rPr>
        <w:t>ravens.”</w:t>
      </w:r>
    </w:p>
    <w:p w14:paraId="7E0020C0" w14:textId="77777777" w:rsidR="009A58DB" w:rsidRDefault="00000000">
      <w:pPr>
        <w:pStyle w:val="BodyText"/>
        <w:spacing w:before="120" w:line="249" w:lineRule="auto"/>
        <w:ind w:left="720" w:right="720"/>
      </w:pPr>
      <w:r>
        <w:t xml:space="preserve">The existence of non-ravens (e.g., pianos, pants, carpet fibers) that are pink or green confirms (2), but does </w:t>
      </w:r>
      <w:r>
        <w:rPr>
          <w:i/>
        </w:rPr>
        <w:t xml:space="preserve">not, </w:t>
      </w:r>
      <w:r>
        <w:t>unless our intuitions are very wrong, confirm (1). So, impossible though it must be, (1) and (2) are logically, but not confirmationally, equivalent.</w:t>
      </w:r>
    </w:p>
    <w:p w14:paraId="7E0020C1" w14:textId="77777777" w:rsidR="009A58DB" w:rsidRDefault="00000000">
      <w:pPr>
        <w:pStyle w:val="BodyText"/>
        <w:spacing w:before="95" w:line="249" w:lineRule="auto"/>
        <w:ind w:left="720" w:right="727" w:firstLine="360"/>
      </w:pPr>
      <w:r>
        <w:t>An analogous paradox is associated with each of many others pairs of logically equivalent sentences. For example:</w:t>
      </w:r>
    </w:p>
    <w:p w14:paraId="7E0020C2" w14:textId="77777777" w:rsidR="009A58DB" w:rsidRDefault="009A58DB">
      <w:pPr>
        <w:pStyle w:val="BodyText"/>
        <w:spacing w:before="123"/>
        <w:ind w:left="0"/>
        <w:jc w:val="left"/>
      </w:pPr>
    </w:p>
    <w:p w14:paraId="7E0020C3" w14:textId="77777777" w:rsidR="009A58DB" w:rsidRDefault="00000000">
      <w:pPr>
        <w:pStyle w:val="ListParagraph"/>
        <w:numPr>
          <w:ilvl w:val="3"/>
          <w:numId w:val="77"/>
        </w:numPr>
        <w:tabs>
          <w:tab w:val="left" w:pos="1435"/>
        </w:tabs>
        <w:spacing w:line="324" w:lineRule="auto"/>
        <w:ind w:right="1036" w:firstLine="720"/>
        <w:rPr>
          <w:sz w:val="30"/>
        </w:rPr>
      </w:pPr>
      <w:r>
        <w:rPr>
          <w:sz w:val="30"/>
        </w:rPr>
        <w:t>“if</w:t>
      </w:r>
      <w:r>
        <w:rPr>
          <w:spacing w:val="-4"/>
          <w:sz w:val="30"/>
        </w:rPr>
        <w:t xml:space="preserve"> </w:t>
      </w:r>
      <w:r>
        <w:rPr>
          <w:sz w:val="30"/>
        </w:rPr>
        <w:t>it’s</w:t>
      </w:r>
      <w:r>
        <w:rPr>
          <w:spacing w:val="-4"/>
          <w:sz w:val="30"/>
        </w:rPr>
        <w:t xml:space="preserve"> </w:t>
      </w:r>
      <w:r>
        <w:rPr>
          <w:sz w:val="30"/>
        </w:rPr>
        <w:t>made</w:t>
      </w:r>
      <w:r>
        <w:rPr>
          <w:spacing w:val="-4"/>
          <w:sz w:val="30"/>
        </w:rPr>
        <w:t xml:space="preserve"> </w:t>
      </w:r>
      <w:r>
        <w:rPr>
          <w:sz w:val="30"/>
        </w:rPr>
        <w:t>of</w:t>
      </w:r>
      <w:r>
        <w:rPr>
          <w:spacing w:val="-4"/>
          <w:sz w:val="30"/>
        </w:rPr>
        <w:t xml:space="preserve"> </w:t>
      </w:r>
      <w:r>
        <w:rPr>
          <w:sz w:val="30"/>
        </w:rPr>
        <w:t>metal</w:t>
      </w:r>
      <w:r>
        <w:rPr>
          <w:spacing w:val="-4"/>
          <w:sz w:val="30"/>
        </w:rPr>
        <w:t xml:space="preserve"> </w:t>
      </w:r>
      <w:r>
        <w:rPr>
          <w:sz w:val="30"/>
        </w:rPr>
        <w:t>and</w:t>
      </w:r>
      <w:r>
        <w:rPr>
          <w:spacing w:val="-3"/>
          <w:sz w:val="30"/>
        </w:rPr>
        <w:t xml:space="preserve"> </w:t>
      </w:r>
      <w:r>
        <w:rPr>
          <w:sz w:val="30"/>
        </w:rPr>
        <w:t>is</w:t>
      </w:r>
      <w:r>
        <w:rPr>
          <w:spacing w:val="-4"/>
          <w:sz w:val="30"/>
        </w:rPr>
        <w:t xml:space="preserve"> </w:t>
      </w:r>
      <w:r>
        <w:rPr>
          <w:sz w:val="30"/>
        </w:rPr>
        <w:t>being</w:t>
      </w:r>
      <w:r>
        <w:rPr>
          <w:spacing w:val="-3"/>
          <w:sz w:val="30"/>
        </w:rPr>
        <w:t xml:space="preserve"> </w:t>
      </w:r>
      <w:r>
        <w:rPr>
          <w:sz w:val="30"/>
        </w:rPr>
        <w:t>heated,</w:t>
      </w:r>
      <w:r>
        <w:rPr>
          <w:spacing w:val="-3"/>
          <w:sz w:val="30"/>
        </w:rPr>
        <w:t xml:space="preserve"> </w:t>
      </w:r>
      <w:r>
        <w:rPr>
          <w:sz w:val="30"/>
        </w:rPr>
        <w:t>then</w:t>
      </w:r>
      <w:r>
        <w:rPr>
          <w:spacing w:val="-3"/>
          <w:sz w:val="30"/>
        </w:rPr>
        <w:t xml:space="preserve"> </w:t>
      </w:r>
      <w:r>
        <w:rPr>
          <w:sz w:val="30"/>
        </w:rPr>
        <w:t>it’s</w:t>
      </w:r>
      <w:r>
        <w:rPr>
          <w:spacing w:val="-4"/>
          <w:sz w:val="30"/>
        </w:rPr>
        <w:t xml:space="preserve"> </w:t>
      </w:r>
      <w:r>
        <w:rPr>
          <w:sz w:val="30"/>
        </w:rPr>
        <w:t>expanding.” is logically equivalent with:</w:t>
      </w:r>
    </w:p>
    <w:p w14:paraId="7E0020C4" w14:textId="77777777" w:rsidR="009A58DB" w:rsidRDefault="009A58DB">
      <w:pPr>
        <w:pStyle w:val="ListParagraph"/>
        <w:spacing w:line="324" w:lineRule="auto"/>
        <w:rPr>
          <w:sz w:val="30"/>
        </w:rPr>
        <w:sectPr w:rsidR="009A58DB">
          <w:pgSz w:w="12240" w:h="15840"/>
          <w:pgMar w:top="1380" w:right="1080" w:bottom="280" w:left="1080" w:header="720" w:footer="720" w:gutter="0"/>
          <w:cols w:space="720"/>
        </w:sectPr>
      </w:pPr>
    </w:p>
    <w:p w14:paraId="7E0020C5" w14:textId="77777777" w:rsidR="009A58DB" w:rsidRDefault="00000000">
      <w:pPr>
        <w:pStyle w:val="ListParagraph"/>
        <w:numPr>
          <w:ilvl w:val="3"/>
          <w:numId w:val="77"/>
        </w:numPr>
        <w:tabs>
          <w:tab w:val="left" w:pos="1559"/>
        </w:tabs>
        <w:spacing w:before="65" w:line="249" w:lineRule="auto"/>
        <w:ind w:left="1080" w:right="363" w:firstLine="0"/>
        <w:jc w:val="both"/>
        <w:rPr>
          <w:sz w:val="30"/>
        </w:rPr>
      </w:pPr>
      <w:r>
        <w:rPr>
          <w:sz w:val="30"/>
        </w:rPr>
        <w:lastRenderedPageBreak/>
        <w:t xml:space="preserve">“if it isn’t expanding, then it isn’t both made of metal and being </w:t>
      </w:r>
      <w:r>
        <w:rPr>
          <w:spacing w:val="-2"/>
          <w:sz w:val="30"/>
        </w:rPr>
        <w:t>heated.”</w:t>
      </w:r>
    </w:p>
    <w:p w14:paraId="7E0020C6" w14:textId="77777777" w:rsidR="009A58DB" w:rsidRDefault="00000000">
      <w:pPr>
        <w:pStyle w:val="BodyText"/>
        <w:spacing w:before="107" w:line="249" w:lineRule="auto"/>
        <w:ind w:left="720" w:right="721" w:firstLine="360"/>
      </w:pPr>
      <w:r>
        <w:t>(ii) is confirmed by the fact that the non-expanding Tupperware in my freezer is not made of metal (or a fortiori of metal that is being heated). But, unless our intuitions are very wrong, that fact provides no support for (i).</w:t>
      </w:r>
    </w:p>
    <w:p w14:paraId="7E0020C7" w14:textId="77777777" w:rsidR="009A58DB" w:rsidRDefault="00000000">
      <w:pPr>
        <w:pStyle w:val="BodyText"/>
        <w:spacing w:before="95" w:line="249" w:lineRule="auto"/>
        <w:ind w:right="359" w:firstLine="360"/>
      </w:pPr>
      <w:r>
        <w:t xml:space="preserve">Some, including Hempel himself, have argued that, our intuitions notwithstanding, the existence of pink pianos </w:t>
      </w:r>
      <w:r>
        <w:rPr>
          <w:i/>
        </w:rPr>
        <w:t xml:space="preserve">does </w:t>
      </w:r>
      <w:r>
        <w:t>confirm (1) to degree n exactly if it confirms (2) to that same degree and that the existence of non-expanding Tupperware in freezers does confirm (i) exactly as much as it confirms (ii). Others have argued that the paradox should be solved by advocating non-standard logics, relative to which logical equivalence doesn’t guarantee confirmational equivalence.</w:t>
      </w:r>
    </w:p>
    <w:p w14:paraId="7E0020C8" w14:textId="77777777" w:rsidR="009A58DB" w:rsidRDefault="00000000">
      <w:pPr>
        <w:pStyle w:val="BodyText"/>
        <w:spacing w:before="9" w:line="249" w:lineRule="auto"/>
        <w:ind w:right="361" w:firstLine="360"/>
      </w:pPr>
      <w:r>
        <w:t>We’ll evaluate these solutions after we put forth our own. It’s clear that, whatever merits these solutions have, they are counterintuitive. And the very idea of logical equivalence not guaranteeing confirmational equivalence is of questionable coherence. But even if it can be shown that an internally consistent logic could be invented relative to which logical and confirmational equivalence pull apart, it seems excessive to throw out classical logic to solve this one problem. Fortunately, the paradox can, I will argue, be solved without going to such lengths.</w:t>
      </w:r>
    </w:p>
    <w:p w14:paraId="7E0020C9" w14:textId="77777777" w:rsidR="009A58DB" w:rsidRDefault="00000000">
      <w:pPr>
        <w:pStyle w:val="Heading1"/>
        <w:numPr>
          <w:ilvl w:val="1"/>
          <w:numId w:val="77"/>
        </w:numPr>
        <w:tabs>
          <w:tab w:val="left" w:pos="1256"/>
          <w:tab w:val="left" w:pos="3541"/>
          <w:tab w:val="left" w:pos="4357"/>
          <w:tab w:val="left" w:pos="7014"/>
          <w:tab w:val="left" w:pos="8924"/>
        </w:tabs>
        <w:spacing w:before="212" w:line="244" w:lineRule="auto"/>
        <w:ind w:left="360" w:right="359" w:firstLine="0"/>
      </w:pPr>
      <w:r>
        <w:rPr>
          <w:spacing w:val="-2"/>
        </w:rPr>
        <w:t>Inductions</w:t>
      </w:r>
      <w:r>
        <w:tab/>
      </w:r>
      <w:r>
        <w:rPr>
          <w:spacing w:val="-6"/>
        </w:rPr>
        <w:t>by</w:t>
      </w:r>
      <w:r>
        <w:tab/>
      </w:r>
      <w:r>
        <w:rPr>
          <w:spacing w:val="-2"/>
        </w:rPr>
        <w:t>enumeration</w:t>
      </w:r>
      <w:r>
        <w:tab/>
      </w:r>
      <w:r>
        <w:rPr>
          <w:spacing w:val="-2"/>
        </w:rPr>
        <w:t>identical</w:t>
      </w:r>
      <w:r>
        <w:tab/>
      </w:r>
      <w:r>
        <w:rPr>
          <w:spacing w:val="-4"/>
        </w:rPr>
        <w:t xml:space="preserve">with </w:t>
      </w:r>
      <w:r>
        <w:t>crypto-inferences to the best explanation</w:t>
      </w:r>
    </w:p>
    <w:p w14:paraId="7E0020CA" w14:textId="77777777" w:rsidR="009A58DB" w:rsidRDefault="00000000">
      <w:pPr>
        <w:pStyle w:val="BodyText"/>
        <w:spacing w:before="132"/>
        <w:jc w:val="left"/>
      </w:pPr>
      <w:r>
        <w:t>In</w:t>
      </w:r>
      <w:r>
        <w:rPr>
          <w:spacing w:val="-5"/>
        </w:rPr>
        <w:t xml:space="preserve"> </w:t>
      </w:r>
      <w:r>
        <w:t>this</w:t>
      </w:r>
      <w:r>
        <w:rPr>
          <w:spacing w:val="-3"/>
        </w:rPr>
        <w:t xml:space="preserve"> </w:t>
      </w:r>
      <w:r>
        <w:t>context,</w:t>
      </w:r>
      <w:r>
        <w:rPr>
          <w:spacing w:val="-2"/>
        </w:rPr>
        <w:t xml:space="preserve"> </w:t>
      </w:r>
      <w:r>
        <w:t>(i)</w:t>
      </w:r>
      <w:r>
        <w:rPr>
          <w:spacing w:val="-3"/>
        </w:rPr>
        <w:t xml:space="preserve"> </w:t>
      </w:r>
      <w:r>
        <w:t>may</w:t>
      </w:r>
      <w:r>
        <w:rPr>
          <w:spacing w:val="-3"/>
        </w:rPr>
        <w:t xml:space="preserve"> </w:t>
      </w:r>
      <w:r>
        <w:t>be</w:t>
      </w:r>
      <w:r>
        <w:rPr>
          <w:spacing w:val="-3"/>
        </w:rPr>
        <w:t xml:space="preserve"> </w:t>
      </w:r>
      <w:r>
        <w:t>treated</w:t>
      </w:r>
      <w:r>
        <w:rPr>
          <w:spacing w:val="-2"/>
        </w:rPr>
        <w:t xml:space="preserve"> </w:t>
      </w:r>
      <w:r>
        <w:t>as</w:t>
      </w:r>
      <w:r>
        <w:rPr>
          <w:spacing w:val="-3"/>
        </w:rPr>
        <w:t xml:space="preserve"> </w:t>
      </w:r>
      <w:r>
        <w:t>saying</w:t>
      </w:r>
      <w:r>
        <w:rPr>
          <w:spacing w:val="-3"/>
        </w:rPr>
        <w:t xml:space="preserve"> </w:t>
      </w:r>
      <w:r>
        <w:t>the</w:t>
      </w:r>
      <w:r>
        <w:rPr>
          <w:spacing w:val="-3"/>
        </w:rPr>
        <w:t xml:space="preserve"> </w:t>
      </w:r>
      <w:r>
        <w:t>same</w:t>
      </w:r>
      <w:r>
        <w:rPr>
          <w:spacing w:val="-3"/>
        </w:rPr>
        <w:t xml:space="preserve"> </w:t>
      </w:r>
      <w:r>
        <w:t>thing</w:t>
      </w:r>
      <w:r>
        <w:rPr>
          <w:spacing w:val="-2"/>
        </w:rPr>
        <w:t xml:space="preserve"> </w:t>
      </w:r>
      <w:r>
        <w:rPr>
          <w:spacing w:val="-5"/>
        </w:rPr>
        <w:t>as:</w:t>
      </w:r>
    </w:p>
    <w:p w14:paraId="7E0020CB" w14:textId="77777777" w:rsidR="009A58DB" w:rsidRDefault="00000000">
      <w:pPr>
        <w:pStyle w:val="BodyText"/>
        <w:spacing w:before="105" w:line="249" w:lineRule="auto"/>
        <w:ind w:right="1488"/>
        <w:jc w:val="left"/>
      </w:pPr>
      <w:r>
        <w:t>(MH) For any x, if x is made of metal and x is being heated, then x is expanding.</w:t>
      </w:r>
    </w:p>
    <w:p w14:paraId="7E0020CC" w14:textId="77777777" w:rsidR="009A58DB" w:rsidRDefault="00000000">
      <w:pPr>
        <w:pStyle w:val="BodyText"/>
        <w:spacing w:before="108"/>
        <w:jc w:val="left"/>
      </w:pPr>
      <w:r>
        <w:t>And</w:t>
      </w:r>
      <w:r>
        <w:rPr>
          <w:spacing w:val="-5"/>
        </w:rPr>
        <w:t xml:space="preserve"> </w:t>
      </w:r>
      <w:r>
        <w:t>(ii)</w:t>
      </w:r>
      <w:r>
        <w:rPr>
          <w:spacing w:val="-3"/>
        </w:rPr>
        <w:t xml:space="preserve"> </w:t>
      </w:r>
      <w:r>
        <w:t>may</w:t>
      </w:r>
      <w:r>
        <w:rPr>
          <w:spacing w:val="-2"/>
        </w:rPr>
        <w:t xml:space="preserve"> </w:t>
      </w:r>
      <w:r>
        <w:t>be</w:t>
      </w:r>
      <w:r>
        <w:rPr>
          <w:spacing w:val="-3"/>
        </w:rPr>
        <w:t xml:space="preserve"> </w:t>
      </w:r>
      <w:r>
        <w:t>treated</w:t>
      </w:r>
      <w:r>
        <w:rPr>
          <w:spacing w:val="-3"/>
        </w:rPr>
        <w:t xml:space="preserve"> </w:t>
      </w:r>
      <w:r>
        <w:t>as</w:t>
      </w:r>
      <w:r>
        <w:rPr>
          <w:spacing w:val="-3"/>
        </w:rPr>
        <w:t xml:space="preserve"> </w:t>
      </w:r>
      <w:r>
        <w:t>saying</w:t>
      </w:r>
      <w:r>
        <w:rPr>
          <w:spacing w:val="-2"/>
        </w:rPr>
        <w:t xml:space="preserve"> </w:t>
      </w:r>
      <w:r>
        <w:t>the</w:t>
      </w:r>
      <w:r>
        <w:rPr>
          <w:spacing w:val="-3"/>
        </w:rPr>
        <w:t xml:space="preserve"> </w:t>
      </w:r>
      <w:r>
        <w:t>same</w:t>
      </w:r>
      <w:r>
        <w:rPr>
          <w:spacing w:val="-3"/>
        </w:rPr>
        <w:t xml:space="preserve"> </w:t>
      </w:r>
      <w:r>
        <w:t>thing</w:t>
      </w:r>
      <w:r>
        <w:rPr>
          <w:spacing w:val="-2"/>
        </w:rPr>
        <w:t xml:space="preserve"> </w:t>
      </w:r>
      <w:r>
        <w:rPr>
          <w:spacing w:val="-5"/>
        </w:rPr>
        <w:t>as:</w:t>
      </w:r>
    </w:p>
    <w:p w14:paraId="7E0020CD" w14:textId="77777777" w:rsidR="009A58DB" w:rsidRDefault="00000000">
      <w:pPr>
        <w:pStyle w:val="BodyText"/>
        <w:spacing w:before="120" w:line="249" w:lineRule="auto"/>
        <w:ind w:right="1340"/>
        <w:jc w:val="left"/>
      </w:pPr>
      <w:r>
        <w:t>(HM)</w:t>
      </w:r>
      <w:r>
        <w:rPr>
          <w:spacing w:val="-1"/>
        </w:rPr>
        <w:t xml:space="preserve"> </w:t>
      </w:r>
      <w:r>
        <w:t>For</w:t>
      </w:r>
      <w:r>
        <w:rPr>
          <w:spacing w:val="-1"/>
        </w:rPr>
        <w:t xml:space="preserve"> </w:t>
      </w:r>
      <w:r>
        <w:t>any</w:t>
      </w:r>
      <w:r>
        <w:rPr>
          <w:spacing w:val="-1"/>
        </w:rPr>
        <w:t xml:space="preserve"> </w:t>
      </w:r>
      <w:r>
        <w:t>x,</w:t>
      </w:r>
      <w:r>
        <w:rPr>
          <w:spacing w:val="-1"/>
        </w:rPr>
        <w:t xml:space="preserve"> </w:t>
      </w:r>
      <w:r>
        <w:t>if</w:t>
      </w:r>
      <w:r>
        <w:rPr>
          <w:spacing w:val="-1"/>
        </w:rPr>
        <w:t xml:space="preserve"> </w:t>
      </w:r>
      <w:r>
        <w:t>x</w:t>
      </w:r>
      <w:r>
        <w:rPr>
          <w:spacing w:val="-1"/>
        </w:rPr>
        <w:t xml:space="preserve"> </w:t>
      </w:r>
      <w:r>
        <w:t>isn’t</w:t>
      </w:r>
      <w:r>
        <w:rPr>
          <w:spacing w:val="-2"/>
        </w:rPr>
        <w:t xml:space="preserve"> </w:t>
      </w:r>
      <w:r>
        <w:t>expanding,</w:t>
      </w:r>
      <w:r>
        <w:rPr>
          <w:spacing w:val="-1"/>
        </w:rPr>
        <w:t xml:space="preserve"> </w:t>
      </w:r>
      <w:r>
        <w:t>then</w:t>
      </w:r>
      <w:r>
        <w:rPr>
          <w:spacing w:val="-1"/>
        </w:rPr>
        <w:t xml:space="preserve"> </w:t>
      </w:r>
      <w:r>
        <w:t>x</w:t>
      </w:r>
      <w:r>
        <w:rPr>
          <w:spacing w:val="-1"/>
        </w:rPr>
        <w:t xml:space="preserve"> </w:t>
      </w:r>
      <w:r>
        <w:t>isn’t</w:t>
      </w:r>
      <w:r>
        <w:rPr>
          <w:spacing w:val="-2"/>
        </w:rPr>
        <w:t xml:space="preserve"> </w:t>
      </w:r>
      <w:r>
        <w:t>made</w:t>
      </w:r>
      <w:r>
        <w:rPr>
          <w:spacing w:val="-1"/>
        </w:rPr>
        <w:t xml:space="preserve"> </w:t>
      </w:r>
      <w:r>
        <w:t>of</w:t>
      </w:r>
      <w:r>
        <w:rPr>
          <w:spacing w:val="-1"/>
        </w:rPr>
        <w:t xml:space="preserve"> </w:t>
      </w:r>
      <w:r>
        <w:t>metal</w:t>
      </w:r>
      <w:r>
        <w:rPr>
          <w:spacing w:val="-1"/>
        </w:rPr>
        <w:t xml:space="preserve"> </w:t>
      </w:r>
      <w:r>
        <w:t>that is being heated.</w:t>
      </w:r>
    </w:p>
    <w:p w14:paraId="7E0020CE" w14:textId="77777777" w:rsidR="009A58DB" w:rsidRDefault="00000000">
      <w:pPr>
        <w:pStyle w:val="BodyText"/>
        <w:spacing w:before="92" w:line="249" w:lineRule="auto"/>
        <w:ind w:right="363" w:firstLine="360"/>
      </w:pPr>
      <w:r>
        <w:t xml:space="preserve">MH can be taken </w:t>
      </w:r>
      <w:r>
        <w:rPr>
          <w:i/>
        </w:rPr>
        <w:t xml:space="preserve">either </w:t>
      </w:r>
      <w:r>
        <w:t xml:space="preserve">to express an “accidental generalization” </w:t>
      </w:r>
      <w:r>
        <w:rPr>
          <w:i/>
        </w:rPr>
        <w:t xml:space="preserve">or </w:t>
      </w:r>
      <w:r>
        <w:t>to express a principled relationship. Taken in the first way, it does nothing more than</w:t>
      </w:r>
      <w:r>
        <w:rPr>
          <w:spacing w:val="80"/>
        </w:rPr>
        <w:t xml:space="preserve"> </w:t>
      </w:r>
      <w:r>
        <w:t>affirm</w:t>
      </w:r>
      <w:r>
        <w:rPr>
          <w:spacing w:val="80"/>
        </w:rPr>
        <w:t xml:space="preserve"> </w:t>
      </w:r>
      <w:r>
        <w:t>a</w:t>
      </w:r>
      <w:r>
        <w:rPr>
          <w:spacing w:val="80"/>
        </w:rPr>
        <w:t xml:space="preserve"> </w:t>
      </w:r>
      <w:r>
        <w:t>purely</w:t>
      </w:r>
      <w:r>
        <w:rPr>
          <w:spacing w:val="80"/>
        </w:rPr>
        <w:t xml:space="preserve"> </w:t>
      </w:r>
      <w:r>
        <w:t>de</w:t>
      </w:r>
      <w:r>
        <w:rPr>
          <w:spacing w:val="80"/>
        </w:rPr>
        <w:t xml:space="preserve"> </w:t>
      </w:r>
      <w:r>
        <w:t>facto</w:t>
      </w:r>
      <w:r>
        <w:rPr>
          <w:spacing w:val="80"/>
        </w:rPr>
        <w:t xml:space="preserve"> </w:t>
      </w:r>
      <w:r>
        <w:t>concomitance</w:t>
      </w:r>
      <w:r>
        <w:rPr>
          <w:spacing w:val="80"/>
        </w:rPr>
        <w:t xml:space="preserve"> </w:t>
      </w:r>
      <w:r>
        <w:t>of</w:t>
      </w:r>
      <w:r>
        <w:rPr>
          <w:spacing w:val="80"/>
        </w:rPr>
        <w:t xml:space="preserve"> </w:t>
      </w:r>
      <w:r>
        <w:t>two</w:t>
      </w:r>
      <w:r>
        <w:rPr>
          <w:spacing w:val="80"/>
        </w:rPr>
        <w:t xml:space="preserve"> </w:t>
      </w:r>
      <w:r>
        <w:t>properties</w:t>
      </w:r>
      <w:r>
        <w:rPr>
          <w:spacing w:val="80"/>
        </w:rPr>
        <w:t xml:space="preserve"> </w:t>
      </w:r>
      <w:r>
        <w:t>(viz.</w:t>
      </w:r>
      <w:r>
        <w:rPr>
          <w:spacing w:val="80"/>
        </w:rPr>
        <w:t xml:space="preserve"> </w:t>
      </w:r>
      <w:r>
        <w:t>the</w:t>
      </w:r>
    </w:p>
    <w:p w14:paraId="7E0020C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D0" w14:textId="77777777" w:rsidR="009A58DB" w:rsidRDefault="00000000">
      <w:pPr>
        <w:pStyle w:val="BodyText"/>
        <w:spacing w:before="61" w:line="249" w:lineRule="auto"/>
        <w:ind w:right="359"/>
      </w:pPr>
      <w:r>
        <w:lastRenderedPageBreak/>
        <w:t xml:space="preserve">property of being heated metal and the property of being something that expands). Taken in the second way, MH seems to say that all heated metal expands, </w:t>
      </w:r>
      <w:r>
        <w:rPr>
          <w:i/>
        </w:rPr>
        <w:t xml:space="preserve">the reason being </w:t>
      </w:r>
      <w:r>
        <w:t>that a thing’s being heated metal provides some kind of nomic basis for its expanding. In this section, we will focus on the first, strictly extensional, reading. In the next, we will focus on the second, nomically committed reading.</w:t>
      </w:r>
    </w:p>
    <w:p w14:paraId="7E0020D1" w14:textId="77777777" w:rsidR="009A58DB" w:rsidRDefault="00000000">
      <w:pPr>
        <w:pStyle w:val="BodyText"/>
        <w:spacing w:before="11" w:line="249" w:lineRule="auto"/>
        <w:ind w:left="720" w:right="359"/>
      </w:pPr>
      <w:r>
        <w:t>Let</w:t>
      </w:r>
      <w:r>
        <w:rPr>
          <w:spacing w:val="-2"/>
        </w:rPr>
        <w:t xml:space="preserve"> </w:t>
      </w:r>
      <w:r>
        <w:t>us</w:t>
      </w:r>
      <w:r>
        <w:rPr>
          <w:spacing w:val="-1"/>
        </w:rPr>
        <w:t xml:space="preserve"> </w:t>
      </w:r>
      <w:r>
        <w:t>paraphrase</w:t>
      </w:r>
      <w:r>
        <w:rPr>
          <w:spacing w:val="-1"/>
        </w:rPr>
        <w:t xml:space="preserve"> </w:t>
      </w:r>
      <w:r>
        <w:t>MH,</w:t>
      </w:r>
      <w:r>
        <w:rPr>
          <w:spacing w:val="-1"/>
        </w:rPr>
        <w:t xml:space="preserve"> </w:t>
      </w:r>
      <w:r>
        <w:t>when</w:t>
      </w:r>
      <w:r>
        <w:rPr>
          <w:spacing w:val="-1"/>
        </w:rPr>
        <w:t xml:space="preserve"> </w:t>
      </w:r>
      <w:r>
        <w:t>it</w:t>
      </w:r>
      <w:r>
        <w:rPr>
          <w:spacing w:val="-1"/>
        </w:rPr>
        <w:t xml:space="preserve"> </w:t>
      </w:r>
      <w:r>
        <w:t>is</w:t>
      </w:r>
      <w:r>
        <w:rPr>
          <w:spacing w:val="-1"/>
        </w:rPr>
        <w:t xml:space="preserve"> </w:t>
      </w:r>
      <w:r>
        <w:t>taken</w:t>
      </w:r>
      <w:r>
        <w:rPr>
          <w:spacing w:val="-1"/>
        </w:rPr>
        <w:t xml:space="preserve"> </w:t>
      </w:r>
      <w:r>
        <w:t>as</w:t>
      </w:r>
      <w:r>
        <w:rPr>
          <w:spacing w:val="-1"/>
        </w:rPr>
        <w:t xml:space="preserve"> </w:t>
      </w:r>
      <w:r>
        <w:t>a</w:t>
      </w:r>
      <w:r>
        <w:rPr>
          <w:spacing w:val="-1"/>
        </w:rPr>
        <w:t xml:space="preserve"> </w:t>
      </w:r>
      <w:r>
        <w:t>purely</w:t>
      </w:r>
      <w:r>
        <w:rPr>
          <w:spacing w:val="-1"/>
        </w:rPr>
        <w:t xml:space="preserve"> </w:t>
      </w:r>
      <w:r>
        <w:t>de</w:t>
      </w:r>
      <w:r>
        <w:rPr>
          <w:spacing w:val="-1"/>
        </w:rPr>
        <w:t xml:space="preserve"> </w:t>
      </w:r>
      <w:r>
        <w:t>facto</w:t>
      </w:r>
      <w:r>
        <w:rPr>
          <w:spacing w:val="-1"/>
        </w:rPr>
        <w:t xml:space="preserve"> </w:t>
      </w:r>
      <w:r>
        <w:t>generalization, as follows:</w:t>
      </w:r>
    </w:p>
    <w:p w14:paraId="7E0020D2" w14:textId="77777777" w:rsidR="009A58DB" w:rsidRDefault="00000000">
      <w:pPr>
        <w:pStyle w:val="BodyText"/>
        <w:spacing w:before="107" w:line="249" w:lineRule="auto"/>
        <w:ind w:right="361"/>
      </w:pPr>
      <w:r>
        <w:t>(MHA</w:t>
      </w:r>
      <w:bookmarkStart w:id="457" w:name="_bookmark457"/>
      <w:bookmarkEnd w:id="457"/>
      <w:r>
        <w:t>)</w:t>
      </w:r>
      <w:r>
        <w:rPr>
          <w:color w:val="0562C1"/>
          <w:position w:val="21"/>
          <w:u w:val="single" w:color="0562C1"/>
        </w:rPr>
        <w:t>[339]</w:t>
      </w:r>
      <w:r>
        <w:rPr>
          <w:color w:val="0562C1"/>
          <w:position w:val="21"/>
        </w:rPr>
        <w:t xml:space="preserve"> </w:t>
      </w:r>
      <w:r>
        <w:t>For any x, if x is made of metal and is being heated, then, by happenstance, x is expanding.</w:t>
      </w:r>
    </w:p>
    <w:p w14:paraId="7E0020D3" w14:textId="77777777" w:rsidR="009A58DB" w:rsidRDefault="00000000">
      <w:pPr>
        <w:pStyle w:val="BodyText"/>
        <w:spacing w:before="93" w:line="249" w:lineRule="auto"/>
        <w:ind w:right="358"/>
      </w:pPr>
      <w:r>
        <w:t>So, in this context, take the operator “by happenstance” to be short for “not because x’s having the first property provides a causal or nomic basis for its having the second.” (By “the first property,” I mean the property mentioned before the “then,” viz. the property of being made of metal that is being heated;</w:t>
      </w:r>
      <w:r>
        <w:rPr>
          <w:spacing w:val="-4"/>
        </w:rPr>
        <w:t xml:space="preserve"> </w:t>
      </w:r>
      <w:r>
        <w:t>and</w:t>
      </w:r>
      <w:r>
        <w:rPr>
          <w:spacing w:val="-3"/>
        </w:rPr>
        <w:t xml:space="preserve"> </w:t>
      </w:r>
      <w:r>
        <w:t>by</w:t>
      </w:r>
      <w:r>
        <w:rPr>
          <w:spacing w:val="-3"/>
        </w:rPr>
        <w:t xml:space="preserve"> </w:t>
      </w:r>
      <w:r>
        <w:t>“the</w:t>
      </w:r>
      <w:r>
        <w:rPr>
          <w:spacing w:val="-4"/>
        </w:rPr>
        <w:t xml:space="preserve"> </w:t>
      </w:r>
      <w:r>
        <w:t>second</w:t>
      </w:r>
      <w:r>
        <w:rPr>
          <w:spacing w:val="-3"/>
        </w:rPr>
        <w:t xml:space="preserve"> </w:t>
      </w:r>
      <w:r>
        <w:t>property,”</w:t>
      </w:r>
      <w:r>
        <w:rPr>
          <w:spacing w:val="-4"/>
        </w:rPr>
        <w:t xml:space="preserve"> </w:t>
      </w:r>
      <w:r>
        <w:t>I</w:t>
      </w:r>
      <w:r>
        <w:rPr>
          <w:spacing w:val="-4"/>
        </w:rPr>
        <w:t xml:space="preserve"> </w:t>
      </w:r>
      <w:r>
        <w:t>mean</w:t>
      </w:r>
      <w:r>
        <w:rPr>
          <w:spacing w:val="-3"/>
        </w:rPr>
        <w:t xml:space="preserve"> </w:t>
      </w:r>
      <w:r>
        <w:t>the</w:t>
      </w:r>
      <w:r>
        <w:rPr>
          <w:spacing w:val="-4"/>
        </w:rPr>
        <w:t xml:space="preserve"> </w:t>
      </w:r>
      <w:r>
        <w:t>property</w:t>
      </w:r>
      <w:r>
        <w:rPr>
          <w:spacing w:val="-3"/>
        </w:rPr>
        <w:t xml:space="preserve"> </w:t>
      </w:r>
      <w:r>
        <w:t>referred</w:t>
      </w:r>
      <w:r>
        <w:rPr>
          <w:spacing w:val="-3"/>
        </w:rPr>
        <w:t xml:space="preserve"> </w:t>
      </w:r>
      <w:r>
        <w:t>to</w:t>
      </w:r>
      <w:r>
        <w:rPr>
          <w:spacing w:val="-3"/>
        </w:rPr>
        <w:t xml:space="preserve"> </w:t>
      </w:r>
      <w:r>
        <w:t>after</w:t>
      </w:r>
      <w:r>
        <w:rPr>
          <w:spacing w:val="-4"/>
        </w:rPr>
        <w:t xml:space="preserve"> </w:t>
      </w:r>
      <w:r>
        <w:t>the “then,” viz. the property of expanding.) We don’t need to worry about whether this corresponds to the usual meaning of “as a matter of happenstance,” since we are using this expression in a stipulative manner.</w:t>
      </w:r>
    </w:p>
    <w:p w14:paraId="7E0020D4" w14:textId="77777777" w:rsidR="009A58DB" w:rsidRDefault="00000000">
      <w:pPr>
        <w:pStyle w:val="BodyText"/>
        <w:spacing w:before="10"/>
        <w:ind w:left="720"/>
      </w:pPr>
      <w:r>
        <w:t>If</w:t>
      </w:r>
      <w:r>
        <w:rPr>
          <w:spacing w:val="8"/>
        </w:rPr>
        <w:t xml:space="preserve"> </w:t>
      </w:r>
      <w:r>
        <w:t>we</w:t>
      </w:r>
      <w:r>
        <w:rPr>
          <w:spacing w:val="8"/>
        </w:rPr>
        <w:t xml:space="preserve"> </w:t>
      </w:r>
      <w:r>
        <w:t>take</w:t>
      </w:r>
      <w:r>
        <w:rPr>
          <w:spacing w:val="9"/>
        </w:rPr>
        <w:t xml:space="preserve"> </w:t>
      </w:r>
      <w:r>
        <w:t>MH</w:t>
      </w:r>
      <w:r>
        <w:rPr>
          <w:spacing w:val="8"/>
        </w:rPr>
        <w:t xml:space="preserve"> </w:t>
      </w:r>
      <w:r>
        <w:t>in</w:t>
      </w:r>
      <w:r>
        <w:rPr>
          <w:spacing w:val="8"/>
        </w:rPr>
        <w:t xml:space="preserve"> </w:t>
      </w:r>
      <w:r>
        <w:t>this</w:t>
      </w:r>
      <w:r>
        <w:rPr>
          <w:spacing w:val="9"/>
        </w:rPr>
        <w:t xml:space="preserve"> </w:t>
      </w:r>
      <w:r>
        <w:t>way—if</w:t>
      </w:r>
      <w:r>
        <w:rPr>
          <w:spacing w:val="8"/>
        </w:rPr>
        <w:t xml:space="preserve"> </w:t>
      </w:r>
      <w:r>
        <w:t>we</w:t>
      </w:r>
      <w:r>
        <w:rPr>
          <w:spacing w:val="9"/>
        </w:rPr>
        <w:t xml:space="preserve"> </w:t>
      </w:r>
      <w:r>
        <w:t>take</w:t>
      </w:r>
      <w:r>
        <w:rPr>
          <w:spacing w:val="8"/>
        </w:rPr>
        <w:t xml:space="preserve"> </w:t>
      </w:r>
      <w:r>
        <w:t>it</w:t>
      </w:r>
      <w:r>
        <w:rPr>
          <w:spacing w:val="8"/>
        </w:rPr>
        <w:t xml:space="preserve"> </w:t>
      </w:r>
      <w:r>
        <w:t>to</w:t>
      </w:r>
      <w:r>
        <w:rPr>
          <w:spacing w:val="9"/>
        </w:rPr>
        <w:t xml:space="preserve"> </w:t>
      </w:r>
      <w:r>
        <w:t>mean</w:t>
      </w:r>
      <w:r>
        <w:rPr>
          <w:spacing w:val="8"/>
        </w:rPr>
        <w:t xml:space="preserve"> </w:t>
      </w:r>
      <w:r>
        <w:t>the</w:t>
      </w:r>
      <w:r>
        <w:rPr>
          <w:spacing w:val="8"/>
        </w:rPr>
        <w:t xml:space="preserve"> </w:t>
      </w:r>
      <w:r>
        <w:t>same</w:t>
      </w:r>
      <w:r>
        <w:rPr>
          <w:spacing w:val="9"/>
        </w:rPr>
        <w:t xml:space="preserve"> </w:t>
      </w:r>
      <w:r>
        <w:t>thing</w:t>
      </w:r>
      <w:r>
        <w:rPr>
          <w:spacing w:val="8"/>
        </w:rPr>
        <w:t xml:space="preserve"> </w:t>
      </w:r>
      <w:r>
        <w:t>as</w:t>
      </w:r>
      <w:r>
        <w:rPr>
          <w:spacing w:val="9"/>
        </w:rPr>
        <w:t xml:space="preserve"> </w:t>
      </w:r>
      <w:r>
        <w:rPr>
          <w:spacing w:val="-5"/>
        </w:rPr>
        <w:t>MHA</w:t>
      </w:r>
    </w:p>
    <w:p w14:paraId="7E0020D5" w14:textId="77777777" w:rsidR="009A58DB" w:rsidRDefault="00000000">
      <w:pPr>
        <w:pStyle w:val="BodyText"/>
        <w:spacing w:before="15" w:line="249" w:lineRule="auto"/>
        <w:ind w:right="359"/>
      </w:pPr>
      <w:r>
        <w:t>—does Hempel’s paradox arise? No. Let phi and psi be any two properties such</w:t>
      </w:r>
      <w:r>
        <w:rPr>
          <w:spacing w:val="-2"/>
        </w:rPr>
        <w:t xml:space="preserve"> </w:t>
      </w:r>
      <w:r>
        <w:t>that</w:t>
      </w:r>
      <w:r>
        <w:rPr>
          <w:spacing w:val="-3"/>
        </w:rPr>
        <w:t xml:space="preserve"> </w:t>
      </w:r>
      <w:r>
        <w:rPr>
          <w:i/>
        </w:rPr>
        <w:t>x</w:t>
      </w:r>
      <w:r>
        <w:rPr>
          <w:i/>
          <w:spacing w:val="-3"/>
        </w:rPr>
        <w:t xml:space="preserve"> </w:t>
      </w:r>
      <w:r>
        <w:rPr>
          <w:i/>
        </w:rPr>
        <w:t>has</w:t>
      </w:r>
      <w:r>
        <w:rPr>
          <w:i/>
          <w:spacing w:val="-3"/>
        </w:rPr>
        <w:t xml:space="preserve"> </w:t>
      </w:r>
      <w:r>
        <w:rPr>
          <w:i/>
        </w:rPr>
        <w:t>psi</w:t>
      </w:r>
      <w:r>
        <w:rPr>
          <w:i/>
          <w:spacing w:val="-3"/>
        </w:rPr>
        <w:t xml:space="preserve"> </w:t>
      </w:r>
      <w:r>
        <w:t xml:space="preserve">isn’t an analytic consequence of </w:t>
      </w:r>
      <w:r>
        <w:rPr>
          <w:i/>
        </w:rPr>
        <w:t xml:space="preserve">x has phi, </w:t>
      </w:r>
      <w:r>
        <w:t>or</w:t>
      </w:r>
      <w:r>
        <w:rPr>
          <w:spacing w:val="-3"/>
        </w:rPr>
        <w:t xml:space="preserve"> </w:t>
      </w:r>
      <w:r>
        <w:rPr>
          <w:i/>
        </w:rPr>
        <w:t xml:space="preserve">vice versa. </w:t>
      </w:r>
      <w:r>
        <w:t>If I know that there is no causal or, more generally, nomic connection between x’s being a phi, on the one hand, and x’s being a psi, on the other, then I have no reason to infer, from x’s being a phi, that x is also a psi. Even if, thus far, every ball withdrawn from the urn has been black, unless I have reason to believe that this concomitance has some basis in natural law or in some</w:t>
      </w:r>
      <w:r>
        <w:rPr>
          <w:spacing w:val="40"/>
        </w:rPr>
        <w:t xml:space="preserve"> </w:t>
      </w:r>
      <w:r>
        <w:t>causal mechanism (e.g., the presence of a force field surrounding the urn that allows entry only to black balls, or some person’s resolute intention to allow no non-black balls into the urn), I must ipso facto regard it as nothing but coincidence that, thus far, every ball withdrawn has been black; and I must therefore</w:t>
      </w:r>
      <w:r>
        <w:rPr>
          <w:spacing w:val="-3"/>
        </w:rPr>
        <w:t xml:space="preserve"> </w:t>
      </w:r>
      <w:r>
        <w:rPr>
          <w:i/>
        </w:rPr>
        <w:t>not</w:t>
      </w:r>
      <w:r>
        <w:rPr>
          <w:i/>
          <w:spacing w:val="-3"/>
        </w:rPr>
        <w:t xml:space="preserve"> </w:t>
      </w:r>
      <w:r>
        <w:t>think it more likely than not that the next ball withdrawn will be black—for</w:t>
      </w:r>
      <w:r>
        <w:rPr>
          <w:spacing w:val="24"/>
        </w:rPr>
        <w:t xml:space="preserve"> </w:t>
      </w:r>
      <w:r>
        <w:t>to</w:t>
      </w:r>
      <w:r>
        <w:rPr>
          <w:spacing w:val="28"/>
        </w:rPr>
        <w:t xml:space="preserve"> </w:t>
      </w:r>
      <w:r>
        <w:t>think</w:t>
      </w:r>
      <w:r>
        <w:rPr>
          <w:spacing w:val="27"/>
        </w:rPr>
        <w:t xml:space="preserve"> </w:t>
      </w:r>
      <w:r>
        <w:t>otherwise</w:t>
      </w:r>
      <w:r>
        <w:rPr>
          <w:spacing w:val="27"/>
        </w:rPr>
        <w:t xml:space="preserve"> </w:t>
      </w:r>
      <w:r>
        <w:t>would</w:t>
      </w:r>
      <w:r>
        <w:rPr>
          <w:spacing w:val="27"/>
        </w:rPr>
        <w:t xml:space="preserve"> </w:t>
      </w:r>
      <w:r>
        <w:t>be</w:t>
      </w:r>
      <w:r>
        <w:rPr>
          <w:spacing w:val="27"/>
        </w:rPr>
        <w:t xml:space="preserve"> </w:t>
      </w:r>
      <w:r>
        <w:t>to</w:t>
      </w:r>
      <w:r>
        <w:rPr>
          <w:spacing w:val="27"/>
        </w:rPr>
        <w:t xml:space="preserve"> </w:t>
      </w:r>
      <w:r>
        <w:t>commit</w:t>
      </w:r>
      <w:r>
        <w:rPr>
          <w:spacing w:val="27"/>
        </w:rPr>
        <w:t xml:space="preserve"> </w:t>
      </w:r>
      <w:r>
        <w:t>the</w:t>
      </w:r>
      <w:r>
        <w:rPr>
          <w:spacing w:val="26"/>
        </w:rPr>
        <w:t xml:space="preserve"> </w:t>
      </w:r>
      <w:r>
        <w:t>Monte</w:t>
      </w:r>
      <w:r>
        <w:rPr>
          <w:spacing w:val="27"/>
        </w:rPr>
        <w:t xml:space="preserve"> </w:t>
      </w:r>
      <w:r>
        <w:t>Carlo</w:t>
      </w:r>
      <w:r>
        <w:rPr>
          <w:spacing w:val="28"/>
        </w:rPr>
        <w:t xml:space="preserve"> </w:t>
      </w:r>
      <w:r>
        <w:rPr>
          <w:spacing w:val="-2"/>
        </w:rPr>
        <w:t>fallacy.</w:t>
      </w:r>
    </w:p>
    <w:p w14:paraId="7E0020D6" w14:textId="77777777" w:rsidR="009A58DB" w:rsidRDefault="00000000">
      <w:pPr>
        <w:spacing w:before="16" w:line="249" w:lineRule="auto"/>
        <w:ind w:left="360" w:right="364"/>
        <w:rPr>
          <w:sz w:val="30"/>
        </w:rPr>
      </w:pPr>
      <w:bookmarkStart w:id="458" w:name="_bookmark458"/>
      <w:bookmarkEnd w:id="458"/>
      <w:r>
        <w:rPr>
          <w:color w:val="0562C1"/>
          <w:position w:val="21"/>
          <w:sz w:val="30"/>
          <w:u w:val="single" w:color="0562C1"/>
        </w:rPr>
        <w:t>[340]</w:t>
      </w:r>
      <w:r>
        <w:rPr>
          <w:color w:val="0562C1"/>
          <w:position w:val="21"/>
          <w:sz w:val="30"/>
        </w:rPr>
        <w:t xml:space="preserve"> </w:t>
      </w:r>
      <w:r>
        <w:rPr>
          <w:sz w:val="30"/>
        </w:rPr>
        <w:t>Thus, supposing</w:t>
      </w:r>
      <w:r>
        <w:rPr>
          <w:spacing w:val="36"/>
          <w:sz w:val="30"/>
        </w:rPr>
        <w:t xml:space="preserve"> </w:t>
      </w:r>
      <w:r>
        <w:rPr>
          <w:sz w:val="30"/>
        </w:rPr>
        <w:t>that,</w:t>
      </w:r>
      <w:r>
        <w:rPr>
          <w:spacing w:val="36"/>
          <w:sz w:val="30"/>
        </w:rPr>
        <w:t xml:space="preserve"> </w:t>
      </w:r>
      <w:r>
        <w:rPr>
          <w:sz w:val="30"/>
        </w:rPr>
        <w:t>in fact,</w:t>
      </w:r>
      <w:r>
        <w:rPr>
          <w:spacing w:val="36"/>
          <w:sz w:val="30"/>
        </w:rPr>
        <w:t xml:space="preserve"> </w:t>
      </w:r>
      <w:r>
        <w:rPr>
          <w:sz w:val="30"/>
        </w:rPr>
        <w:t>this</w:t>
      </w:r>
      <w:r>
        <w:rPr>
          <w:spacing w:val="36"/>
          <w:sz w:val="30"/>
        </w:rPr>
        <w:t xml:space="preserve"> </w:t>
      </w:r>
      <w:r>
        <w:rPr>
          <w:sz w:val="30"/>
        </w:rPr>
        <w:t>concomitance is</w:t>
      </w:r>
      <w:r>
        <w:rPr>
          <w:spacing w:val="36"/>
          <w:sz w:val="30"/>
        </w:rPr>
        <w:t xml:space="preserve"> </w:t>
      </w:r>
      <w:r>
        <w:rPr>
          <w:sz w:val="30"/>
        </w:rPr>
        <w:t>mere</w:t>
      </w:r>
      <w:r>
        <w:rPr>
          <w:spacing w:val="36"/>
          <w:sz w:val="30"/>
        </w:rPr>
        <w:t xml:space="preserve"> </w:t>
      </w:r>
      <w:r>
        <w:rPr>
          <w:sz w:val="30"/>
        </w:rPr>
        <w:t>coincidence, the</w:t>
      </w:r>
      <w:r>
        <w:rPr>
          <w:spacing w:val="62"/>
          <w:sz w:val="30"/>
        </w:rPr>
        <w:t xml:space="preserve"> </w:t>
      </w:r>
      <w:r>
        <w:rPr>
          <w:sz w:val="30"/>
        </w:rPr>
        <w:t>generalization</w:t>
      </w:r>
      <w:r>
        <w:rPr>
          <w:spacing w:val="65"/>
          <w:sz w:val="30"/>
        </w:rPr>
        <w:t xml:space="preserve"> </w:t>
      </w:r>
      <w:r>
        <w:rPr>
          <w:i/>
          <w:sz w:val="30"/>
        </w:rPr>
        <w:t>all</w:t>
      </w:r>
      <w:r>
        <w:rPr>
          <w:i/>
          <w:spacing w:val="69"/>
          <w:sz w:val="30"/>
        </w:rPr>
        <w:t xml:space="preserve"> </w:t>
      </w:r>
      <w:r>
        <w:rPr>
          <w:i/>
          <w:sz w:val="30"/>
        </w:rPr>
        <w:t>the</w:t>
      </w:r>
      <w:r>
        <w:rPr>
          <w:i/>
          <w:spacing w:val="71"/>
          <w:sz w:val="30"/>
        </w:rPr>
        <w:t xml:space="preserve"> </w:t>
      </w:r>
      <w:r>
        <w:rPr>
          <w:i/>
          <w:sz w:val="30"/>
        </w:rPr>
        <w:t>balls</w:t>
      </w:r>
      <w:r>
        <w:rPr>
          <w:i/>
          <w:spacing w:val="71"/>
          <w:sz w:val="30"/>
        </w:rPr>
        <w:t xml:space="preserve"> </w:t>
      </w:r>
      <w:r>
        <w:rPr>
          <w:i/>
          <w:sz w:val="30"/>
        </w:rPr>
        <w:t>in</w:t>
      </w:r>
      <w:r>
        <w:rPr>
          <w:i/>
          <w:spacing w:val="70"/>
          <w:sz w:val="30"/>
        </w:rPr>
        <w:t xml:space="preserve"> </w:t>
      </w:r>
      <w:r>
        <w:rPr>
          <w:i/>
          <w:sz w:val="30"/>
        </w:rPr>
        <w:t>the</w:t>
      </w:r>
      <w:r>
        <w:rPr>
          <w:i/>
          <w:spacing w:val="71"/>
          <w:sz w:val="30"/>
        </w:rPr>
        <w:t xml:space="preserve"> </w:t>
      </w:r>
      <w:r>
        <w:rPr>
          <w:i/>
          <w:sz w:val="30"/>
        </w:rPr>
        <w:t>urn</w:t>
      </w:r>
      <w:r>
        <w:rPr>
          <w:i/>
          <w:spacing w:val="70"/>
          <w:sz w:val="30"/>
        </w:rPr>
        <w:t xml:space="preserve"> </w:t>
      </w:r>
      <w:r>
        <w:rPr>
          <w:i/>
          <w:sz w:val="30"/>
        </w:rPr>
        <w:t>are</w:t>
      </w:r>
      <w:r>
        <w:rPr>
          <w:i/>
          <w:spacing w:val="71"/>
          <w:sz w:val="30"/>
        </w:rPr>
        <w:t xml:space="preserve"> </w:t>
      </w:r>
      <w:r>
        <w:rPr>
          <w:i/>
          <w:sz w:val="30"/>
        </w:rPr>
        <w:t>black</w:t>
      </w:r>
      <w:r>
        <w:rPr>
          <w:i/>
          <w:spacing w:val="71"/>
          <w:sz w:val="30"/>
        </w:rPr>
        <w:t xml:space="preserve"> </w:t>
      </w:r>
      <w:r>
        <w:rPr>
          <w:sz w:val="30"/>
        </w:rPr>
        <w:t>fails</w:t>
      </w:r>
      <w:r>
        <w:rPr>
          <w:spacing w:val="66"/>
          <w:sz w:val="30"/>
        </w:rPr>
        <w:t xml:space="preserve"> </w:t>
      </w:r>
      <w:r>
        <w:rPr>
          <w:sz w:val="30"/>
        </w:rPr>
        <w:t>to</w:t>
      </w:r>
      <w:r>
        <w:rPr>
          <w:spacing w:val="68"/>
          <w:sz w:val="30"/>
        </w:rPr>
        <w:t xml:space="preserve"> </w:t>
      </w:r>
      <w:r>
        <w:rPr>
          <w:sz w:val="30"/>
        </w:rPr>
        <w:t>receive</w:t>
      </w:r>
      <w:r>
        <w:rPr>
          <w:spacing w:val="68"/>
          <w:sz w:val="30"/>
        </w:rPr>
        <w:t xml:space="preserve"> </w:t>
      </w:r>
      <w:r>
        <w:rPr>
          <w:spacing w:val="-5"/>
          <w:sz w:val="30"/>
        </w:rPr>
        <w:t>any</w:t>
      </w:r>
    </w:p>
    <w:p w14:paraId="7E0020D7" w14:textId="77777777" w:rsidR="009A58DB" w:rsidRDefault="009A58DB">
      <w:pPr>
        <w:spacing w:line="249" w:lineRule="auto"/>
        <w:rPr>
          <w:sz w:val="30"/>
        </w:rPr>
        <w:sectPr w:rsidR="009A58DB">
          <w:pgSz w:w="12240" w:h="15840"/>
          <w:pgMar w:top="1380" w:right="1080" w:bottom="280" w:left="1080" w:header="720" w:footer="720" w:gutter="0"/>
          <w:cols w:space="720"/>
        </w:sectPr>
      </w:pPr>
    </w:p>
    <w:p w14:paraId="7E0020D8" w14:textId="77777777" w:rsidR="009A58DB" w:rsidRDefault="00000000">
      <w:pPr>
        <w:spacing w:before="60" w:line="249" w:lineRule="auto"/>
        <w:ind w:left="360" w:right="358"/>
        <w:jc w:val="both"/>
        <w:rPr>
          <w:sz w:val="30"/>
        </w:rPr>
      </w:pPr>
      <w:r>
        <w:rPr>
          <w:sz w:val="30"/>
        </w:rPr>
        <w:lastRenderedPageBreak/>
        <w:t>positive confirmation from its instances.</w:t>
      </w:r>
      <w:bookmarkStart w:id="459" w:name="_bookmark459"/>
      <w:bookmarkEnd w:id="459"/>
      <w:r>
        <w:rPr>
          <w:color w:val="0562C1"/>
          <w:position w:val="21"/>
          <w:sz w:val="30"/>
          <w:u w:val="single" w:color="0562C1"/>
        </w:rPr>
        <w:t>[341]</w:t>
      </w:r>
      <w:r>
        <w:rPr>
          <w:color w:val="0562C1"/>
          <w:position w:val="21"/>
          <w:sz w:val="30"/>
        </w:rPr>
        <w:t xml:space="preserve"> </w:t>
      </w:r>
      <w:r>
        <w:rPr>
          <w:sz w:val="30"/>
        </w:rPr>
        <w:t xml:space="preserve">For the same reason </w:t>
      </w:r>
      <w:r>
        <w:rPr>
          <w:i/>
          <w:sz w:val="30"/>
        </w:rPr>
        <w:t xml:space="preserve">mutatis mutandis, </w:t>
      </w:r>
      <w:r>
        <w:rPr>
          <w:sz w:val="30"/>
        </w:rPr>
        <w:t xml:space="preserve">the statement </w:t>
      </w:r>
      <w:r>
        <w:rPr>
          <w:i/>
          <w:sz w:val="30"/>
        </w:rPr>
        <w:t xml:space="preserve">all non-black things are not balls in the urn, </w:t>
      </w:r>
      <w:r>
        <w:rPr>
          <w:sz w:val="30"/>
        </w:rPr>
        <w:t xml:space="preserve">unless read as having nomic force, fails to receive support from </w:t>
      </w:r>
      <w:r>
        <w:rPr>
          <w:i/>
          <w:sz w:val="30"/>
        </w:rPr>
        <w:t xml:space="preserve">its </w:t>
      </w:r>
      <w:r>
        <w:rPr>
          <w:sz w:val="30"/>
        </w:rPr>
        <w:t>instances.</w:t>
      </w:r>
    </w:p>
    <w:p w14:paraId="7E0020D9" w14:textId="77777777" w:rsidR="009A58DB" w:rsidRDefault="00000000">
      <w:pPr>
        <w:pStyle w:val="BodyText"/>
        <w:spacing w:before="8" w:line="249" w:lineRule="auto"/>
        <w:ind w:firstLine="360"/>
        <w:jc w:val="left"/>
      </w:pPr>
      <w:r>
        <w:t>And,</w:t>
      </w:r>
      <w:r>
        <w:rPr>
          <w:spacing w:val="-2"/>
        </w:rPr>
        <w:t xml:space="preserve"> </w:t>
      </w:r>
      <w:r>
        <w:t>of</w:t>
      </w:r>
      <w:r>
        <w:rPr>
          <w:spacing w:val="-3"/>
        </w:rPr>
        <w:t xml:space="preserve"> </w:t>
      </w:r>
      <w:r>
        <w:t>course,</w:t>
      </w:r>
      <w:r>
        <w:rPr>
          <w:spacing w:val="-2"/>
        </w:rPr>
        <w:t xml:space="preserve"> </w:t>
      </w:r>
      <w:r>
        <w:t>it</w:t>
      </w:r>
      <w:r>
        <w:rPr>
          <w:spacing w:val="-3"/>
        </w:rPr>
        <w:t xml:space="preserve"> </w:t>
      </w:r>
      <w:r>
        <w:t>also</w:t>
      </w:r>
      <w:r>
        <w:rPr>
          <w:spacing w:val="-2"/>
        </w:rPr>
        <w:t xml:space="preserve"> </w:t>
      </w:r>
      <w:r>
        <w:t>follows</w:t>
      </w:r>
      <w:r>
        <w:rPr>
          <w:spacing w:val="-3"/>
        </w:rPr>
        <w:t xml:space="preserve"> </w:t>
      </w:r>
      <w:r>
        <w:t>that</w:t>
      </w:r>
      <w:r>
        <w:rPr>
          <w:spacing w:val="-3"/>
        </w:rPr>
        <w:t xml:space="preserve"> </w:t>
      </w:r>
      <w:r>
        <w:t>HM,</w:t>
      </w:r>
      <w:r>
        <w:rPr>
          <w:spacing w:val="-2"/>
        </w:rPr>
        <w:t xml:space="preserve"> </w:t>
      </w:r>
      <w:r>
        <w:t>if</w:t>
      </w:r>
      <w:r>
        <w:rPr>
          <w:spacing w:val="-3"/>
        </w:rPr>
        <w:t xml:space="preserve"> </w:t>
      </w:r>
      <w:r>
        <w:t>read</w:t>
      </w:r>
      <w:r>
        <w:rPr>
          <w:spacing w:val="-2"/>
        </w:rPr>
        <w:t xml:space="preserve"> </w:t>
      </w:r>
      <w:r>
        <w:t>as</w:t>
      </w:r>
      <w:r>
        <w:rPr>
          <w:spacing w:val="-3"/>
        </w:rPr>
        <w:t xml:space="preserve"> </w:t>
      </w:r>
      <w:r>
        <w:t>doing</w:t>
      </w:r>
      <w:r>
        <w:rPr>
          <w:spacing w:val="-2"/>
        </w:rPr>
        <w:t xml:space="preserve"> </w:t>
      </w:r>
      <w:r>
        <w:t>nothing</w:t>
      </w:r>
      <w:r>
        <w:rPr>
          <w:spacing w:val="-2"/>
        </w:rPr>
        <w:t xml:space="preserve"> </w:t>
      </w:r>
      <w:r>
        <w:t>more</w:t>
      </w:r>
      <w:r>
        <w:rPr>
          <w:spacing w:val="-3"/>
        </w:rPr>
        <w:t xml:space="preserve"> </w:t>
      </w:r>
      <w:r>
        <w:t>than affirming</w:t>
      </w:r>
      <w:r>
        <w:rPr>
          <w:spacing w:val="-4"/>
        </w:rPr>
        <w:t xml:space="preserve"> </w:t>
      </w:r>
      <w:r>
        <w:t>a de facto</w:t>
      </w:r>
      <w:r>
        <w:rPr>
          <w:spacing w:val="-1"/>
        </w:rPr>
        <w:t xml:space="preserve"> </w:t>
      </w:r>
      <w:r>
        <w:t>concomitance, doesn’t</w:t>
      </w:r>
      <w:r>
        <w:rPr>
          <w:spacing w:val="-1"/>
        </w:rPr>
        <w:t xml:space="preserve"> </w:t>
      </w:r>
      <w:r>
        <w:t>receive</w:t>
      </w:r>
      <w:r>
        <w:rPr>
          <w:spacing w:val="-1"/>
        </w:rPr>
        <w:t xml:space="preserve"> </w:t>
      </w:r>
      <w:r>
        <w:t>support</w:t>
      </w:r>
      <w:r>
        <w:rPr>
          <w:spacing w:val="-1"/>
        </w:rPr>
        <w:t xml:space="preserve"> </w:t>
      </w:r>
      <w:r>
        <w:t>from</w:t>
      </w:r>
      <w:r>
        <w:rPr>
          <w:spacing w:val="-1"/>
        </w:rPr>
        <w:t xml:space="preserve"> </w:t>
      </w:r>
      <w:r>
        <w:t xml:space="preserve">its </w:t>
      </w:r>
      <w:r>
        <w:rPr>
          <w:spacing w:val="-2"/>
        </w:rPr>
        <w:t>instances.</w:t>
      </w:r>
    </w:p>
    <w:p w14:paraId="7E0020DA" w14:textId="77777777" w:rsidR="009A58DB" w:rsidRDefault="00000000">
      <w:pPr>
        <w:pStyle w:val="BodyText"/>
        <w:spacing w:before="3"/>
        <w:jc w:val="left"/>
      </w:pPr>
      <w:r>
        <w:rPr>
          <w:spacing w:val="-4"/>
        </w:rPr>
        <w:t>Thus</w:t>
      </w:r>
    </w:p>
    <w:p w14:paraId="7E0020DB" w14:textId="77777777" w:rsidR="009A58DB" w:rsidRDefault="00000000">
      <w:pPr>
        <w:pStyle w:val="BodyText"/>
        <w:spacing w:before="120" w:line="249" w:lineRule="auto"/>
        <w:ind w:right="549"/>
        <w:jc w:val="left"/>
      </w:pPr>
      <w:r>
        <w:t>(HMA) For any x, if x isn’t expanding, then, by happenstance, x isn’t made</w:t>
      </w:r>
      <w:r>
        <w:rPr>
          <w:spacing w:val="40"/>
        </w:rPr>
        <w:t xml:space="preserve"> </w:t>
      </w:r>
      <w:r>
        <w:t>of metal that is being heated,</w:t>
      </w:r>
    </w:p>
    <w:p w14:paraId="7E0020DC" w14:textId="77777777" w:rsidR="009A58DB" w:rsidRDefault="00000000">
      <w:pPr>
        <w:pStyle w:val="BodyText"/>
        <w:spacing w:before="92" w:line="249" w:lineRule="auto"/>
        <w:ind w:right="364"/>
        <w:jc w:val="left"/>
      </w:pPr>
      <w:r>
        <w:t>doesn’t receive support from the fact that the non-expanding Tupperware in my freezer isn’t made of metal that is being heated.</w:t>
      </w:r>
    </w:p>
    <w:p w14:paraId="7E0020DD" w14:textId="77777777" w:rsidR="009A58DB" w:rsidRDefault="00000000">
      <w:pPr>
        <w:pStyle w:val="BodyText"/>
        <w:spacing w:before="3" w:line="249" w:lineRule="auto"/>
        <w:ind w:right="358" w:firstLine="360"/>
      </w:pPr>
      <w:r>
        <w:t>So, if MH and HM are read as having no nomic content—if they are read as doing nothing but expressing de facto concomitances—then, once it is</w:t>
      </w:r>
      <w:r>
        <w:rPr>
          <w:spacing w:val="40"/>
        </w:rPr>
        <w:t xml:space="preserve"> </w:t>
      </w:r>
      <w:r>
        <w:t xml:space="preserve">seen that de facto generalizations don’t receive support from their instances, HM doesn’t even </w:t>
      </w:r>
      <w:r>
        <w:rPr>
          <w:i/>
        </w:rPr>
        <w:t xml:space="preserve">appear </w:t>
      </w:r>
      <w:r>
        <w:t xml:space="preserve">to receive support from the fact the non-expanding Tupperware in my freezer isn’t made of heated metal, and MH doesn’t even </w:t>
      </w:r>
      <w:r>
        <w:rPr>
          <w:i/>
        </w:rPr>
        <w:t>appear</w:t>
      </w:r>
      <w:r>
        <w:rPr>
          <w:i/>
          <w:spacing w:val="-2"/>
        </w:rPr>
        <w:t xml:space="preserve"> </w:t>
      </w:r>
      <w:r>
        <w:t xml:space="preserve">to receive support from the fact that the metal pan I put in the oven is expanding. A fortiori the former fact doesn’t even </w:t>
      </w:r>
      <w:r>
        <w:rPr>
          <w:i/>
        </w:rPr>
        <w:t xml:space="preserve">appear </w:t>
      </w:r>
      <w:r>
        <w:t>to confirm HM more than it does MH, and the latter fact doesn’t even appear to confirm MH more than it does HM.</w:t>
      </w:r>
    </w:p>
    <w:p w14:paraId="7E0020DE" w14:textId="77777777" w:rsidR="009A58DB" w:rsidRDefault="00000000">
      <w:pPr>
        <w:pStyle w:val="BodyText"/>
        <w:spacing w:before="11" w:line="249" w:lineRule="auto"/>
        <w:ind w:right="359" w:firstLine="360"/>
      </w:pPr>
      <w:r>
        <w:t>And we therefore don’t get the kind of (apparent) confirmational non-equivalence that gives rise to Hempel’s paradox. For that paradox depends precisely on its being the case that, despite the (alleged) fact that HM and</w:t>
      </w:r>
      <w:r>
        <w:rPr>
          <w:spacing w:val="40"/>
        </w:rPr>
        <w:t xml:space="preserve"> </w:t>
      </w:r>
      <w:r>
        <w:t>MH are logically equivalent, they are not, or at least appear not to be, confirmationally equivalent. And they appear to be confirmationally non-equivalent only in so far as (e.g.) the existence of a heated, expanding metal objects confirms MH but not HM, and only in so far as (e.g.) the existence of non-expanding,</w:t>
      </w:r>
      <w:r>
        <w:rPr>
          <w:spacing w:val="-2"/>
        </w:rPr>
        <w:t xml:space="preserve"> </w:t>
      </w:r>
      <w:r>
        <w:t>non-heated,</w:t>
      </w:r>
      <w:r>
        <w:rPr>
          <w:spacing w:val="-2"/>
        </w:rPr>
        <w:t xml:space="preserve"> </w:t>
      </w:r>
      <w:r>
        <w:t>non-metal</w:t>
      </w:r>
      <w:r>
        <w:rPr>
          <w:spacing w:val="-2"/>
        </w:rPr>
        <w:t xml:space="preserve"> </w:t>
      </w:r>
      <w:r>
        <w:t>objects</w:t>
      </w:r>
      <w:r>
        <w:rPr>
          <w:spacing w:val="-2"/>
        </w:rPr>
        <w:t xml:space="preserve"> </w:t>
      </w:r>
      <w:r>
        <w:t>confirms</w:t>
      </w:r>
      <w:r>
        <w:rPr>
          <w:spacing w:val="-2"/>
        </w:rPr>
        <w:t xml:space="preserve"> </w:t>
      </w:r>
      <w:r>
        <w:t>HM</w:t>
      </w:r>
      <w:r>
        <w:rPr>
          <w:spacing w:val="-2"/>
        </w:rPr>
        <w:t xml:space="preserve"> </w:t>
      </w:r>
      <w:r>
        <w:t>but</w:t>
      </w:r>
      <w:r>
        <w:rPr>
          <w:spacing w:val="-2"/>
        </w:rPr>
        <w:t xml:space="preserve"> </w:t>
      </w:r>
      <w:r>
        <w:t>not</w:t>
      </w:r>
      <w:r>
        <w:rPr>
          <w:spacing w:val="-2"/>
        </w:rPr>
        <w:t xml:space="preserve"> </w:t>
      </w:r>
      <w:r>
        <w:t>MH.</w:t>
      </w:r>
      <w:r>
        <w:rPr>
          <w:spacing w:val="-2"/>
        </w:rPr>
        <w:t xml:space="preserve"> </w:t>
      </w:r>
      <w:r>
        <w:t>But once it is made clear that de facto generalizations don’t receive support from their instances, it follows that, if MH and HM are read as free of nomic content, nothing even appears to give more support to the one than to the other. And the paradox fails to arise.</w:t>
      </w:r>
    </w:p>
    <w:p w14:paraId="7E0020DF" w14:textId="77777777" w:rsidR="009A58DB" w:rsidRDefault="00000000">
      <w:pPr>
        <w:pStyle w:val="Heading1"/>
        <w:numPr>
          <w:ilvl w:val="1"/>
          <w:numId w:val="77"/>
        </w:numPr>
        <w:tabs>
          <w:tab w:val="left" w:pos="810"/>
          <w:tab w:val="left" w:pos="1256"/>
          <w:tab w:val="left" w:pos="3541"/>
          <w:tab w:val="left" w:pos="4357"/>
          <w:tab w:val="left" w:pos="4447"/>
          <w:tab w:val="left" w:pos="5310"/>
          <w:tab w:val="left" w:pos="6383"/>
          <w:tab w:val="left" w:pos="7014"/>
          <w:tab w:val="left" w:pos="7620"/>
          <w:tab w:val="left" w:pos="8924"/>
        </w:tabs>
        <w:spacing w:before="218" w:line="244" w:lineRule="auto"/>
        <w:ind w:left="810" w:right="358" w:hanging="450"/>
      </w:pPr>
      <w:r>
        <w:rPr>
          <w:spacing w:val="-2"/>
        </w:rPr>
        <w:t>Inductions</w:t>
      </w:r>
      <w:r>
        <w:tab/>
      </w:r>
      <w:r>
        <w:rPr>
          <w:spacing w:val="-6"/>
        </w:rPr>
        <w:t>by</w:t>
      </w:r>
      <w:r>
        <w:tab/>
      </w:r>
      <w:r>
        <w:rPr>
          <w:spacing w:val="-2"/>
        </w:rPr>
        <w:t>enumeration</w:t>
      </w:r>
      <w:r>
        <w:tab/>
      </w:r>
      <w:r>
        <w:rPr>
          <w:spacing w:val="-2"/>
        </w:rPr>
        <w:t>identical</w:t>
      </w:r>
      <w:r>
        <w:tab/>
      </w:r>
      <w:r>
        <w:rPr>
          <w:spacing w:val="-4"/>
        </w:rPr>
        <w:t xml:space="preserve">with </w:t>
      </w:r>
      <w:r>
        <w:rPr>
          <w:spacing w:val="-2"/>
        </w:rPr>
        <w:t>crypto-inferences</w:t>
      </w:r>
      <w:r>
        <w:tab/>
      </w:r>
      <w:r>
        <w:tab/>
      </w:r>
      <w:r>
        <w:rPr>
          <w:spacing w:val="-5"/>
        </w:rPr>
        <w:t>to</w:t>
      </w:r>
      <w:r>
        <w:tab/>
      </w:r>
      <w:r>
        <w:rPr>
          <w:spacing w:val="-5"/>
        </w:rPr>
        <w:t>the</w:t>
      </w:r>
      <w:r>
        <w:tab/>
      </w:r>
      <w:r>
        <w:rPr>
          <w:spacing w:val="-4"/>
        </w:rPr>
        <w:t>best</w:t>
      </w:r>
      <w:r>
        <w:tab/>
      </w:r>
      <w:r>
        <w:rPr>
          <w:spacing w:val="-2"/>
        </w:rPr>
        <w:t>explanation</w:t>
      </w:r>
    </w:p>
    <w:p w14:paraId="7E0020E0" w14:textId="77777777" w:rsidR="009A58DB" w:rsidRDefault="009A58DB">
      <w:pPr>
        <w:pStyle w:val="Heading1"/>
        <w:spacing w:line="244" w:lineRule="auto"/>
        <w:sectPr w:rsidR="009A58DB">
          <w:pgSz w:w="12240" w:h="15840"/>
          <w:pgMar w:top="1380" w:right="1080" w:bottom="280" w:left="1080" w:header="720" w:footer="720" w:gutter="0"/>
          <w:cols w:space="720"/>
        </w:sectPr>
      </w:pPr>
    </w:p>
    <w:p w14:paraId="7E0020E1" w14:textId="77777777" w:rsidR="009A58DB" w:rsidRDefault="00000000">
      <w:pPr>
        <w:spacing w:before="63"/>
        <w:ind w:left="810"/>
        <w:rPr>
          <w:b/>
          <w:sz w:val="42"/>
        </w:rPr>
      </w:pPr>
      <w:r>
        <w:rPr>
          <w:b/>
          <w:spacing w:val="-2"/>
          <w:sz w:val="42"/>
        </w:rPr>
        <w:lastRenderedPageBreak/>
        <w:t>(continued)</w:t>
      </w:r>
    </w:p>
    <w:p w14:paraId="7E0020E2" w14:textId="77777777" w:rsidR="009A58DB" w:rsidRDefault="00000000">
      <w:pPr>
        <w:pStyle w:val="BodyText"/>
        <w:spacing w:before="134" w:line="249" w:lineRule="auto"/>
        <w:ind w:right="359"/>
      </w:pPr>
      <w:r>
        <w:t>So, if Hempel’s paradox is to arise, at least one of MH and NH must be taken as doing more than affirming a de facto concomitance. And it seems that,</w:t>
      </w:r>
      <w:r>
        <w:rPr>
          <w:spacing w:val="40"/>
        </w:rPr>
        <w:t xml:space="preserve"> </w:t>
      </w:r>
      <w:r>
        <w:t xml:space="preserve">thus taken, MH is to the effect that all heated metal expands </w:t>
      </w:r>
      <w:r>
        <w:rPr>
          <w:i/>
        </w:rPr>
        <w:t xml:space="preserve">for the reason that </w:t>
      </w:r>
      <w:r>
        <w:t>a thing’s being metal that is being heated provides some kind of nomic</w:t>
      </w:r>
      <w:r>
        <w:rPr>
          <w:spacing w:val="40"/>
        </w:rPr>
        <w:t xml:space="preserve"> </w:t>
      </w:r>
      <w:r>
        <w:t>or causal basis for its expanding. Let us paraphrase MH, when it is taken in this way, as follows:</w:t>
      </w:r>
    </w:p>
    <w:p w14:paraId="7E0020E3" w14:textId="77777777" w:rsidR="009A58DB" w:rsidRDefault="00000000">
      <w:pPr>
        <w:pStyle w:val="BodyText"/>
        <w:spacing w:before="112" w:line="249" w:lineRule="auto"/>
        <w:ind w:right="368"/>
      </w:pPr>
      <w:r>
        <w:t>(MHN</w:t>
      </w:r>
      <w:bookmarkStart w:id="460" w:name="_bookmark460"/>
      <w:bookmarkEnd w:id="460"/>
      <w:r>
        <w:t>)</w:t>
      </w:r>
      <w:r>
        <w:rPr>
          <w:color w:val="0562C1"/>
          <w:position w:val="21"/>
          <w:u w:val="single" w:color="0562C1"/>
        </w:rPr>
        <w:t>[342]</w:t>
      </w:r>
      <w:r>
        <w:rPr>
          <w:color w:val="0562C1"/>
          <w:spacing w:val="-6"/>
          <w:position w:val="21"/>
        </w:rPr>
        <w:t xml:space="preserve"> </w:t>
      </w:r>
      <w:r>
        <w:t>For any x, if x is made of metal and is being heated, then, as a matter of principle, x is expanding.</w:t>
      </w:r>
    </w:p>
    <w:p w14:paraId="7E0020E4" w14:textId="77777777" w:rsidR="009A58DB" w:rsidRDefault="00000000">
      <w:pPr>
        <w:pStyle w:val="BodyText"/>
        <w:spacing w:before="93" w:line="249" w:lineRule="auto"/>
        <w:ind w:right="357"/>
      </w:pPr>
      <w:r>
        <w:t>So, in this context, take the operator “as a matter of principle” to be short for: “because x’s having the first property provides a causal or nomic basis for its having the second.” Echoing what we said earlier, it is irrelevant this may not correspond very well to the usual meaning of “as a matter of principle,” since we are here using this expression in a stipulative manner.</w:t>
      </w:r>
    </w:p>
    <w:p w14:paraId="7E0020E5" w14:textId="77777777" w:rsidR="009A58DB" w:rsidRDefault="00000000">
      <w:pPr>
        <w:pStyle w:val="BodyText"/>
        <w:spacing w:before="6" w:line="249" w:lineRule="auto"/>
        <w:ind w:right="366" w:firstLine="360"/>
      </w:pPr>
      <w:r>
        <w:t>At this point, we have a choice. We can take HM as having no nomic content—as taking it to have the same import HMA. Or we can take it to</w:t>
      </w:r>
      <w:r>
        <w:rPr>
          <w:spacing w:val="40"/>
        </w:rPr>
        <w:t xml:space="preserve"> </w:t>
      </w:r>
      <w:r>
        <w:t>have nomic content. Let’s consider both options, starting with the first.</w:t>
      </w:r>
    </w:p>
    <w:p w14:paraId="7E0020E6" w14:textId="77777777" w:rsidR="009A58DB" w:rsidRDefault="00000000">
      <w:pPr>
        <w:pStyle w:val="BodyText"/>
        <w:spacing w:before="3" w:line="249" w:lineRule="auto"/>
        <w:ind w:right="361" w:firstLine="360"/>
      </w:pPr>
      <w:r>
        <w:t>Given that MH is taken to do more than affirm a de facto concomitance, if NH</w:t>
      </w:r>
      <w:r>
        <w:rPr>
          <w:spacing w:val="-1"/>
        </w:rPr>
        <w:t xml:space="preserve"> </w:t>
      </w:r>
      <w:r>
        <w:t>is</w:t>
      </w:r>
      <w:r>
        <w:rPr>
          <w:spacing w:val="-1"/>
        </w:rPr>
        <w:t xml:space="preserve"> </w:t>
      </w:r>
      <w:r>
        <w:t>taken</w:t>
      </w:r>
      <w:r>
        <w:rPr>
          <w:spacing w:val="-1"/>
        </w:rPr>
        <w:t xml:space="preserve"> </w:t>
      </w:r>
      <w:r>
        <w:t>to</w:t>
      </w:r>
      <w:r>
        <w:rPr>
          <w:spacing w:val="-1"/>
        </w:rPr>
        <w:t xml:space="preserve"> </w:t>
      </w:r>
      <w:r>
        <w:t>affirm</w:t>
      </w:r>
      <w:r>
        <w:rPr>
          <w:spacing w:val="-2"/>
        </w:rPr>
        <w:t xml:space="preserve"> </w:t>
      </w:r>
      <w:r>
        <w:t>nothing</w:t>
      </w:r>
      <w:r>
        <w:rPr>
          <w:spacing w:val="-1"/>
        </w:rPr>
        <w:t xml:space="preserve"> </w:t>
      </w:r>
      <w:r>
        <w:t>but</w:t>
      </w:r>
      <w:r>
        <w:rPr>
          <w:spacing w:val="-1"/>
        </w:rPr>
        <w:t xml:space="preserve"> </w:t>
      </w:r>
      <w:r>
        <w:t>a</w:t>
      </w:r>
      <w:r>
        <w:rPr>
          <w:spacing w:val="-1"/>
        </w:rPr>
        <w:t xml:space="preserve"> </w:t>
      </w:r>
      <w:r>
        <w:t>de</w:t>
      </w:r>
      <w:r>
        <w:rPr>
          <w:spacing w:val="-1"/>
        </w:rPr>
        <w:t xml:space="preserve"> </w:t>
      </w:r>
      <w:r>
        <w:t>facto</w:t>
      </w:r>
      <w:r>
        <w:rPr>
          <w:spacing w:val="-1"/>
        </w:rPr>
        <w:t xml:space="preserve"> </w:t>
      </w:r>
      <w:r>
        <w:t>concomitance,</w:t>
      </w:r>
      <w:r>
        <w:rPr>
          <w:spacing w:val="-1"/>
        </w:rPr>
        <w:t xml:space="preserve"> </w:t>
      </w:r>
      <w:r>
        <w:t>the</w:t>
      </w:r>
      <w:r>
        <w:rPr>
          <w:spacing w:val="-1"/>
        </w:rPr>
        <w:t xml:space="preserve"> </w:t>
      </w:r>
      <w:r>
        <w:t>two</w:t>
      </w:r>
      <w:r>
        <w:rPr>
          <w:spacing w:val="-1"/>
        </w:rPr>
        <w:t xml:space="preserve"> </w:t>
      </w:r>
      <w:r>
        <w:t>will,</w:t>
      </w:r>
      <w:r>
        <w:rPr>
          <w:spacing w:val="-1"/>
        </w:rPr>
        <w:t xml:space="preserve"> </w:t>
      </w:r>
      <w:r>
        <w:t xml:space="preserve">quite trivially, not be equivalent. For obviously MHN is not equivalent with HMA. The first is committed to its being the case that </w:t>
      </w:r>
      <w:r>
        <w:rPr>
          <w:i/>
        </w:rPr>
        <w:t xml:space="preserve">inter alia </w:t>
      </w:r>
      <w:r>
        <w:t>a thing’s being</w:t>
      </w:r>
      <w:r>
        <w:rPr>
          <w:spacing w:val="40"/>
        </w:rPr>
        <w:t xml:space="preserve"> </w:t>
      </w:r>
      <w:r>
        <w:t>made</w:t>
      </w:r>
      <w:r>
        <w:rPr>
          <w:spacing w:val="-4"/>
        </w:rPr>
        <w:t xml:space="preserve"> </w:t>
      </w:r>
      <w:r>
        <w:t>of</w:t>
      </w:r>
      <w:r>
        <w:rPr>
          <w:spacing w:val="-4"/>
        </w:rPr>
        <w:t xml:space="preserve"> </w:t>
      </w:r>
      <w:r>
        <w:t>heated</w:t>
      </w:r>
      <w:r>
        <w:rPr>
          <w:spacing w:val="-3"/>
        </w:rPr>
        <w:t xml:space="preserve"> </w:t>
      </w:r>
      <w:r>
        <w:t>metal</w:t>
      </w:r>
      <w:r>
        <w:rPr>
          <w:spacing w:val="-4"/>
        </w:rPr>
        <w:t xml:space="preserve"> </w:t>
      </w:r>
      <w:r>
        <w:t>provides</w:t>
      </w:r>
      <w:r>
        <w:rPr>
          <w:spacing w:val="-4"/>
        </w:rPr>
        <w:t xml:space="preserve"> </w:t>
      </w:r>
      <w:r>
        <w:t>some</w:t>
      </w:r>
      <w:r>
        <w:rPr>
          <w:spacing w:val="-4"/>
        </w:rPr>
        <w:t xml:space="preserve"> </w:t>
      </w:r>
      <w:r>
        <w:t>kind</w:t>
      </w:r>
      <w:r>
        <w:rPr>
          <w:spacing w:val="-3"/>
        </w:rPr>
        <w:t xml:space="preserve"> </w:t>
      </w:r>
      <w:r>
        <w:t>of</w:t>
      </w:r>
      <w:r>
        <w:rPr>
          <w:spacing w:val="-4"/>
        </w:rPr>
        <w:t xml:space="preserve"> </w:t>
      </w:r>
      <w:r>
        <w:t>nomic</w:t>
      </w:r>
      <w:r>
        <w:rPr>
          <w:spacing w:val="-4"/>
        </w:rPr>
        <w:t xml:space="preserve"> </w:t>
      </w:r>
      <w:r>
        <w:t>basis</w:t>
      </w:r>
      <w:r>
        <w:rPr>
          <w:spacing w:val="-4"/>
        </w:rPr>
        <w:t xml:space="preserve"> </w:t>
      </w:r>
      <w:r>
        <w:t>for—or,</w:t>
      </w:r>
      <w:r>
        <w:rPr>
          <w:spacing w:val="-3"/>
        </w:rPr>
        <w:t xml:space="preserve"> </w:t>
      </w:r>
      <w:r>
        <w:t>in</w:t>
      </w:r>
      <w:r>
        <w:rPr>
          <w:spacing w:val="-3"/>
        </w:rPr>
        <w:t xml:space="preserve"> </w:t>
      </w:r>
      <w:r>
        <w:t>any</w:t>
      </w:r>
      <w:r>
        <w:rPr>
          <w:spacing w:val="-3"/>
        </w:rPr>
        <w:t xml:space="preserve"> </w:t>
      </w:r>
      <w:r>
        <w:t>case, is nomically or causally connected in some way with—that thing’s expanding. The second isn’t committed to there being any kind of nomic, or otherwise not purely extensional, connection between the property of non-expanding and the property of being made of heated metal. MHN is true only if certain nomic connections hold; HMA can be true in the absence of those connections. So there is no equivalence, or even the appearance of equivalence for that matter.</w:t>
      </w:r>
    </w:p>
    <w:p w14:paraId="7E0020E7" w14:textId="77777777" w:rsidR="009A58DB" w:rsidRDefault="00000000">
      <w:pPr>
        <w:pStyle w:val="BodyText"/>
        <w:spacing w:before="15"/>
        <w:ind w:left="720"/>
      </w:pPr>
      <w:r>
        <w:t>We’ve</w:t>
      </w:r>
      <w:r>
        <w:rPr>
          <w:spacing w:val="10"/>
        </w:rPr>
        <w:t xml:space="preserve"> </w:t>
      </w:r>
      <w:r>
        <w:t>just</w:t>
      </w:r>
      <w:r>
        <w:rPr>
          <w:spacing w:val="12"/>
        </w:rPr>
        <w:t xml:space="preserve"> </w:t>
      </w:r>
      <w:r>
        <w:t>seen</w:t>
      </w:r>
      <w:r>
        <w:rPr>
          <w:spacing w:val="13"/>
        </w:rPr>
        <w:t xml:space="preserve"> </w:t>
      </w:r>
      <w:r>
        <w:t>that,</w:t>
      </w:r>
      <w:r>
        <w:rPr>
          <w:spacing w:val="12"/>
        </w:rPr>
        <w:t xml:space="preserve"> </w:t>
      </w:r>
      <w:r>
        <w:t>if</w:t>
      </w:r>
      <w:r>
        <w:rPr>
          <w:spacing w:val="12"/>
        </w:rPr>
        <w:t xml:space="preserve"> </w:t>
      </w:r>
      <w:r>
        <w:t>we</w:t>
      </w:r>
      <w:r>
        <w:rPr>
          <w:spacing w:val="13"/>
        </w:rPr>
        <w:t xml:space="preserve"> </w:t>
      </w:r>
      <w:r>
        <w:t>take</w:t>
      </w:r>
      <w:r>
        <w:rPr>
          <w:spacing w:val="12"/>
        </w:rPr>
        <w:t xml:space="preserve"> </w:t>
      </w:r>
      <w:r>
        <w:t>MH</w:t>
      </w:r>
      <w:r>
        <w:rPr>
          <w:spacing w:val="12"/>
        </w:rPr>
        <w:t xml:space="preserve"> </w:t>
      </w:r>
      <w:r>
        <w:t>to</w:t>
      </w:r>
      <w:r>
        <w:rPr>
          <w:spacing w:val="13"/>
        </w:rPr>
        <w:t xml:space="preserve"> </w:t>
      </w:r>
      <w:r>
        <w:t>have</w:t>
      </w:r>
      <w:r>
        <w:rPr>
          <w:spacing w:val="12"/>
        </w:rPr>
        <w:t xml:space="preserve"> </w:t>
      </w:r>
      <w:r>
        <w:t>nomic</w:t>
      </w:r>
      <w:r>
        <w:rPr>
          <w:spacing w:val="12"/>
        </w:rPr>
        <w:t xml:space="preserve"> </w:t>
      </w:r>
      <w:r>
        <w:t>force</w:t>
      </w:r>
      <w:r>
        <w:rPr>
          <w:spacing w:val="12"/>
        </w:rPr>
        <w:t xml:space="preserve"> </w:t>
      </w:r>
      <w:r>
        <w:t>(which</w:t>
      </w:r>
      <w:r>
        <w:rPr>
          <w:spacing w:val="13"/>
        </w:rPr>
        <w:t xml:space="preserve"> </w:t>
      </w:r>
      <w:r>
        <w:t>we</w:t>
      </w:r>
      <w:r>
        <w:rPr>
          <w:spacing w:val="12"/>
        </w:rPr>
        <w:t xml:space="preserve"> </w:t>
      </w:r>
      <w:r>
        <w:rPr>
          <w:spacing w:val="-4"/>
        </w:rPr>
        <w:t>must</w:t>
      </w:r>
    </w:p>
    <w:p w14:paraId="7E0020E8" w14:textId="77777777" w:rsidR="009A58DB" w:rsidRDefault="00000000">
      <w:pPr>
        <w:pStyle w:val="BodyText"/>
        <w:spacing w:before="15" w:line="249" w:lineRule="auto"/>
        <w:ind w:right="359"/>
      </w:pPr>
      <w:r>
        <w:t xml:space="preserve">—see above—if Hempel’s paradox is to arise), Hempel’s paradox doesn’t arise if we </w:t>
      </w:r>
      <w:r>
        <w:rPr>
          <w:i/>
        </w:rPr>
        <w:t xml:space="preserve">don’t </w:t>
      </w:r>
      <w:r>
        <w:t>take HM to have nomic content. In other words, if we take HM</w:t>
      </w:r>
      <w:r>
        <w:rPr>
          <w:spacing w:val="-1"/>
        </w:rPr>
        <w:t xml:space="preserve"> </w:t>
      </w:r>
      <w:r>
        <w:t>to</w:t>
      </w:r>
      <w:r>
        <w:rPr>
          <w:spacing w:val="-1"/>
        </w:rPr>
        <w:t xml:space="preserve"> </w:t>
      </w:r>
      <w:r>
        <w:t>do</w:t>
      </w:r>
      <w:r>
        <w:rPr>
          <w:spacing w:val="-1"/>
        </w:rPr>
        <w:t xml:space="preserve"> </w:t>
      </w:r>
      <w:r>
        <w:t>nothing</w:t>
      </w:r>
      <w:r>
        <w:rPr>
          <w:spacing w:val="-1"/>
        </w:rPr>
        <w:t xml:space="preserve"> </w:t>
      </w:r>
      <w:r>
        <w:t>more</w:t>
      </w:r>
      <w:r>
        <w:rPr>
          <w:spacing w:val="-1"/>
        </w:rPr>
        <w:t xml:space="preserve"> </w:t>
      </w:r>
      <w:r>
        <w:t>than</w:t>
      </w:r>
      <w:r>
        <w:rPr>
          <w:spacing w:val="-1"/>
        </w:rPr>
        <w:t xml:space="preserve"> </w:t>
      </w:r>
      <w:r>
        <w:t>affirm</w:t>
      </w:r>
      <w:r>
        <w:rPr>
          <w:spacing w:val="-2"/>
        </w:rPr>
        <w:t xml:space="preserve"> </w:t>
      </w:r>
      <w:r>
        <w:t>a</w:t>
      </w:r>
      <w:r>
        <w:rPr>
          <w:spacing w:val="-1"/>
        </w:rPr>
        <w:t xml:space="preserve"> </w:t>
      </w:r>
      <w:r>
        <w:t>de</w:t>
      </w:r>
      <w:r>
        <w:rPr>
          <w:spacing w:val="-1"/>
        </w:rPr>
        <w:t xml:space="preserve"> </w:t>
      </w:r>
      <w:r>
        <w:t>facto</w:t>
      </w:r>
      <w:r>
        <w:rPr>
          <w:spacing w:val="-1"/>
        </w:rPr>
        <w:t xml:space="preserve"> </w:t>
      </w:r>
      <w:r>
        <w:t>concomitance,</w:t>
      </w:r>
      <w:r>
        <w:rPr>
          <w:spacing w:val="-1"/>
        </w:rPr>
        <w:t xml:space="preserve"> </w:t>
      </w:r>
      <w:r>
        <w:t>then</w:t>
      </w:r>
      <w:r>
        <w:rPr>
          <w:spacing w:val="-1"/>
        </w:rPr>
        <w:t xml:space="preserve"> </w:t>
      </w:r>
      <w:r>
        <w:t>it</w:t>
      </w:r>
      <w:r>
        <w:rPr>
          <w:spacing w:val="-2"/>
        </w:rPr>
        <w:t xml:space="preserve"> </w:t>
      </w:r>
      <w:r>
        <w:t>won’t,</w:t>
      </w:r>
      <w:r>
        <w:rPr>
          <w:spacing w:val="-1"/>
        </w:rPr>
        <w:t xml:space="preserve"> </w:t>
      </w:r>
      <w:r>
        <w:t>as we’ve</w:t>
      </w:r>
      <w:r>
        <w:rPr>
          <w:spacing w:val="24"/>
        </w:rPr>
        <w:t xml:space="preserve"> </w:t>
      </w:r>
      <w:r>
        <w:t>just</w:t>
      </w:r>
      <w:r>
        <w:rPr>
          <w:spacing w:val="25"/>
        </w:rPr>
        <w:t xml:space="preserve"> </w:t>
      </w:r>
      <w:r>
        <w:t>seen,</w:t>
      </w:r>
      <w:r>
        <w:rPr>
          <w:spacing w:val="25"/>
        </w:rPr>
        <w:t xml:space="preserve"> </w:t>
      </w:r>
      <w:r>
        <w:t>even</w:t>
      </w:r>
      <w:r>
        <w:rPr>
          <w:spacing w:val="24"/>
        </w:rPr>
        <w:t xml:space="preserve"> </w:t>
      </w:r>
      <w:r>
        <w:t>appear</w:t>
      </w:r>
      <w:r>
        <w:rPr>
          <w:spacing w:val="25"/>
        </w:rPr>
        <w:t xml:space="preserve"> </w:t>
      </w:r>
      <w:r>
        <w:t>to</w:t>
      </w:r>
      <w:r>
        <w:rPr>
          <w:spacing w:val="25"/>
        </w:rPr>
        <w:t xml:space="preserve"> </w:t>
      </w:r>
      <w:r>
        <w:t>be</w:t>
      </w:r>
      <w:r>
        <w:rPr>
          <w:spacing w:val="24"/>
        </w:rPr>
        <w:t xml:space="preserve"> </w:t>
      </w:r>
      <w:r>
        <w:t>equivalent</w:t>
      </w:r>
      <w:r>
        <w:rPr>
          <w:spacing w:val="25"/>
        </w:rPr>
        <w:t xml:space="preserve"> </w:t>
      </w:r>
      <w:r>
        <w:t>with</w:t>
      </w:r>
      <w:r>
        <w:rPr>
          <w:spacing w:val="25"/>
        </w:rPr>
        <w:t xml:space="preserve"> </w:t>
      </w:r>
      <w:r>
        <w:t>MHN,</w:t>
      </w:r>
      <w:r>
        <w:rPr>
          <w:spacing w:val="24"/>
        </w:rPr>
        <w:t xml:space="preserve"> </w:t>
      </w:r>
      <w:r>
        <w:t>and</w:t>
      </w:r>
      <w:r>
        <w:rPr>
          <w:spacing w:val="25"/>
        </w:rPr>
        <w:t xml:space="preserve"> </w:t>
      </w:r>
      <w:r>
        <w:t>nothing</w:t>
      </w:r>
      <w:r>
        <w:rPr>
          <w:spacing w:val="25"/>
        </w:rPr>
        <w:t xml:space="preserve"> </w:t>
      </w:r>
      <w:r>
        <w:rPr>
          <w:spacing w:val="-4"/>
        </w:rPr>
        <w:t>even</w:t>
      </w:r>
    </w:p>
    <w:p w14:paraId="7E0020E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EA" w14:textId="77777777" w:rsidR="009A58DB" w:rsidRDefault="00000000">
      <w:pPr>
        <w:pStyle w:val="BodyText"/>
        <w:spacing w:before="60" w:line="249" w:lineRule="auto"/>
        <w:ind w:right="365"/>
      </w:pPr>
      <w:r>
        <w:lastRenderedPageBreak/>
        <w:t>resembling Hempel’s paradox arises. So if that paradox is to arise, then we must take HM to have nomic content.</w:t>
      </w:r>
    </w:p>
    <w:p w14:paraId="7E0020EB" w14:textId="77777777" w:rsidR="009A58DB" w:rsidRDefault="00000000">
      <w:pPr>
        <w:pStyle w:val="BodyText"/>
        <w:spacing w:before="7"/>
        <w:ind w:left="720"/>
      </w:pPr>
      <w:r>
        <w:t>In</w:t>
      </w:r>
      <w:r>
        <w:rPr>
          <w:spacing w:val="-2"/>
        </w:rPr>
        <w:t xml:space="preserve"> </w:t>
      </w:r>
      <w:r>
        <w:t>light</w:t>
      </w:r>
      <w:r>
        <w:rPr>
          <w:spacing w:val="-3"/>
        </w:rPr>
        <w:t xml:space="preserve"> </w:t>
      </w:r>
      <w:r>
        <w:t>of</w:t>
      </w:r>
      <w:r>
        <w:rPr>
          <w:spacing w:val="-3"/>
        </w:rPr>
        <w:t xml:space="preserve"> </w:t>
      </w:r>
      <w:r>
        <w:t>this,</w:t>
      </w:r>
      <w:r>
        <w:rPr>
          <w:spacing w:val="-2"/>
        </w:rPr>
        <w:t xml:space="preserve"> </w:t>
      </w:r>
      <w:r>
        <w:t>consider</w:t>
      </w:r>
      <w:r>
        <w:rPr>
          <w:spacing w:val="-3"/>
        </w:rPr>
        <w:t xml:space="preserve"> </w:t>
      </w:r>
      <w:r>
        <w:t>the</w:t>
      </w:r>
      <w:r>
        <w:rPr>
          <w:spacing w:val="-2"/>
        </w:rPr>
        <w:t xml:space="preserve"> sentence:</w:t>
      </w:r>
    </w:p>
    <w:p w14:paraId="7E0020EC" w14:textId="77777777" w:rsidR="009A58DB" w:rsidRDefault="00000000">
      <w:pPr>
        <w:pStyle w:val="BodyText"/>
        <w:spacing w:before="120" w:line="249" w:lineRule="auto"/>
        <w:ind w:right="359"/>
      </w:pPr>
      <w:r>
        <w:t>(HMN) For any x, if x isn’t expanding, then, as a matter of principle, x isn’t made of metal that is being heated,</w:t>
      </w:r>
    </w:p>
    <w:p w14:paraId="7E0020ED" w14:textId="77777777" w:rsidR="009A58DB" w:rsidRDefault="00000000">
      <w:pPr>
        <w:pStyle w:val="BodyText"/>
        <w:spacing w:before="93" w:line="249" w:lineRule="auto"/>
        <w:ind w:right="359" w:firstLine="360"/>
      </w:pPr>
      <w:r>
        <w:t>HMN says that a thing’s not being an expander provides some kind of (partial) nomic basis for its not being heated metal. Of course, the</w:t>
      </w:r>
      <w:r>
        <w:rPr>
          <w:spacing w:val="40"/>
        </w:rPr>
        <w:t xml:space="preserve"> </w:t>
      </w:r>
      <w:r>
        <w:t>relationship that HMN bears to HM is analogous to the relationship that</w:t>
      </w:r>
      <w:r>
        <w:rPr>
          <w:spacing w:val="40"/>
        </w:rPr>
        <w:t xml:space="preserve"> </w:t>
      </w:r>
      <w:r>
        <w:t>MHN bears to MH. But what is most important here is that HMN would be the</w:t>
      </w:r>
      <w:r>
        <w:rPr>
          <w:spacing w:val="-1"/>
        </w:rPr>
        <w:t xml:space="preserve"> </w:t>
      </w:r>
      <w:r>
        <w:t>right</w:t>
      </w:r>
      <w:r>
        <w:rPr>
          <w:spacing w:val="-1"/>
        </w:rPr>
        <w:t xml:space="preserve"> </w:t>
      </w:r>
      <w:r>
        <w:t>way—or,</w:t>
      </w:r>
      <w:r>
        <w:rPr>
          <w:spacing w:val="-1"/>
        </w:rPr>
        <w:t xml:space="preserve"> </w:t>
      </w:r>
      <w:r>
        <w:t>in</w:t>
      </w:r>
      <w:r>
        <w:rPr>
          <w:spacing w:val="-1"/>
        </w:rPr>
        <w:t xml:space="preserve"> </w:t>
      </w:r>
      <w:r>
        <w:t>any</w:t>
      </w:r>
      <w:r>
        <w:rPr>
          <w:spacing w:val="-1"/>
        </w:rPr>
        <w:t xml:space="preserve"> </w:t>
      </w:r>
      <w:r>
        <w:t>case,</w:t>
      </w:r>
      <w:r>
        <w:rPr>
          <w:spacing w:val="-1"/>
        </w:rPr>
        <w:t xml:space="preserve"> </w:t>
      </w:r>
      <w:r>
        <w:t>the</w:t>
      </w:r>
      <w:r>
        <w:rPr>
          <w:spacing w:val="-1"/>
        </w:rPr>
        <w:t xml:space="preserve"> </w:t>
      </w:r>
      <w:r>
        <w:t>(or,</w:t>
      </w:r>
      <w:r>
        <w:rPr>
          <w:spacing w:val="-1"/>
        </w:rPr>
        <w:t xml:space="preserve"> </w:t>
      </w:r>
      <w:r>
        <w:t>at</w:t>
      </w:r>
      <w:r>
        <w:rPr>
          <w:spacing w:val="-1"/>
        </w:rPr>
        <w:t xml:space="preserve"> </w:t>
      </w:r>
      <w:r>
        <w:t>least,</w:t>
      </w:r>
      <w:r>
        <w:rPr>
          <w:spacing w:val="-1"/>
        </w:rPr>
        <w:t xml:space="preserve"> </w:t>
      </w:r>
      <w:r>
        <w:rPr>
          <w:i/>
        </w:rPr>
        <w:t>a</w:t>
      </w:r>
      <w:r>
        <w:t>)</w:t>
      </w:r>
      <w:r>
        <w:rPr>
          <w:spacing w:val="-3"/>
        </w:rPr>
        <w:t xml:space="preserve"> </w:t>
      </w:r>
      <w:r>
        <w:t>natural</w:t>
      </w:r>
      <w:r>
        <w:rPr>
          <w:spacing w:val="-3"/>
        </w:rPr>
        <w:t xml:space="preserve"> </w:t>
      </w:r>
      <w:r>
        <w:t>way—to</w:t>
      </w:r>
      <w:r>
        <w:rPr>
          <w:spacing w:val="-2"/>
        </w:rPr>
        <w:t xml:space="preserve"> </w:t>
      </w:r>
      <w:r>
        <w:t>take</w:t>
      </w:r>
      <w:r>
        <w:rPr>
          <w:spacing w:val="-3"/>
        </w:rPr>
        <w:t xml:space="preserve"> </w:t>
      </w:r>
      <w:r>
        <w:t>HM</w:t>
      </w:r>
      <w:r>
        <w:rPr>
          <w:spacing w:val="-3"/>
        </w:rPr>
        <w:t xml:space="preserve"> </w:t>
      </w:r>
      <w:r>
        <w:rPr>
          <w:i/>
        </w:rPr>
        <w:t xml:space="preserve">if </w:t>
      </w:r>
      <w:r>
        <w:t>the latter were taken to do more than affirm a de facto concomitance between two properties.</w:t>
      </w:r>
    </w:p>
    <w:p w14:paraId="7E0020EE" w14:textId="77777777" w:rsidR="009A58DB" w:rsidRDefault="00000000">
      <w:pPr>
        <w:pStyle w:val="BodyText"/>
        <w:spacing w:before="8" w:line="249" w:lineRule="auto"/>
        <w:ind w:right="359" w:firstLine="360"/>
      </w:pPr>
      <w:r>
        <w:t xml:space="preserve">To clarify this last point, suppose that you are speaking to a friend who is about to drink a large quantity of arsenic but who doesn’t realize that consuming arsenic in large quantities leads to death. You tell him, warningly, “people who consume large quantities of arsenic die soon thereafter.” Here you are obviously not affirming a purely extensional connection between, on the one hand, the property of being a person who drinks large quantities of arsenic at a given time and, on the other hand, the property of being something that dies soon thereafter. What you are saying is that a person x’s drinking large quantities of arsenic at a given time </w:t>
      </w:r>
      <w:r>
        <w:rPr>
          <w:i/>
        </w:rPr>
        <w:t xml:space="preserve">leads to, </w:t>
      </w:r>
      <w:r>
        <w:t xml:space="preserve">or in any case provides some kind of nomic foundation for, x’s dying soon thereafter, </w:t>
      </w:r>
      <w:r>
        <w:rPr>
          <w:i/>
        </w:rPr>
        <w:t xml:space="preserve">that </w:t>
      </w:r>
      <w:r>
        <w:t xml:space="preserve">being why there is a concomitance between the property of being a person who drinks arsenic, on the one hand, and the property of being dead soon thereafter, on the other. That this is the right interpretation is made clear by the fact that you would be </w:t>
      </w:r>
      <w:r>
        <w:rPr>
          <w:i/>
        </w:rPr>
        <w:t>failing</w:t>
      </w:r>
      <w:r>
        <w:rPr>
          <w:i/>
          <w:spacing w:val="-2"/>
        </w:rPr>
        <w:t xml:space="preserve"> </w:t>
      </w:r>
      <w:r>
        <w:t>to warn your friend not to drink the arsenic if you had instead said: “all people who have drunk arsenic died soon thereafter. But that had nothing to do with their drinking arsenic. You see, it turns out that the only people who’ve ever drunk arsenic belong to religious sect X; moreover, all of those people were about to be executed. One of the precepts of X is that, if you are about to be executed, you must drink arsenic in order to get into heaven. And that’s why, thus far, each person who’s consumed arsenic died soon thereafter.</w:t>
      </w:r>
    </w:p>
    <w:p w14:paraId="7E0020EF" w14:textId="77777777" w:rsidR="009A58DB" w:rsidRDefault="00000000">
      <w:pPr>
        <w:pStyle w:val="BodyText"/>
        <w:spacing w:before="26" w:line="249" w:lineRule="auto"/>
        <w:ind w:right="367" w:firstLine="360"/>
      </w:pPr>
      <w:r>
        <w:t>“Just as the most natural way to take “people who drink arsenic die”/”heated metal expands” to do more than affirm a de facto concomitance</w:t>
      </w:r>
    </w:p>
    <w:p w14:paraId="7E0020F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0F1" w14:textId="77777777" w:rsidR="009A58DB" w:rsidRDefault="00000000">
      <w:pPr>
        <w:pStyle w:val="BodyText"/>
        <w:spacing w:before="60" w:line="249" w:lineRule="auto"/>
        <w:ind w:right="357"/>
      </w:pPr>
      <w:r>
        <w:lastRenderedPageBreak/>
        <w:t>is to take it to mean that a person’s drinking arsenic/being heated metal provides some kind of causal or nomic basis for that person’s dying/expanding, so the most natural way to take HM to have nomic force is to take it to mean that a thing’s being a non-expander provides some kind of causal or nomic basis for its not being heated metal. And that is precisely the reading of HM that is embodied in HMN.</w:t>
      </w:r>
    </w:p>
    <w:p w14:paraId="7E0020F2" w14:textId="77777777" w:rsidR="009A58DB" w:rsidRDefault="00000000">
      <w:pPr>
        <w:pStyle w:val="BodyText"/>
        <w:spacing w:before="12" w:line="249" w:lineRule="auto"/>
        <w:ind w:right="363" w:firstLine="360"/>
      </w:pPr>
      <w:r>
        <w:t>HMN</w:t>
      </w:r>
      <w:r>
        <w:rPr>
          <w:spacing w:val="-4"/>
        </w:rPr>
        <w:t xml:space="preserve"> </w:t>
      </w:r>
      <w:r>
        <w:t>is</w:t>
      </w:r>
      <w:r>
        <w:rPr>
          <w:spacing w:val="-4"/>
        </w:rPr>
        <w:t xml:space="preserve"> </w:t>
      </w:r>
      <w:r>
        <w:t>clearly</w:t>
      </w:r>
      <w:r>
        <w:rPr>
          <w:spacing w:val="-3"/>
        </w:rPr>
        <w:t xml:space="preserve"> </w:t>
      </w:r>
      <w:r>
        <w:rPr>
          <w:i/>
        </w:rPr>
        <w:t>not</w:t>
      </w:r>
      <w:r>
        <w:rPr>
          <w:i/>
          <w:spacing w:val="-4"/>
        </w:rPr>
        <w:t xml:space="preserve"> </w:t>
      </w:r>
      <w:r>
        <w:t>equivalent</w:t>
      </w:r>
      <w:r>
        <w:rPr>
          <w:spacing w:val="-4"/>
        </w:rPr>
        <w:t xml:space="preserve"> </w:t>
      </w:r>
      <w:r>
        <w:t>with</w:t>
      </w:r>
      <w:r>
        <w:rPr>
          <w:spacing w:val="-3"/>
        </w:rPr>
        <w:t xml:space="preserve"> </w:t>
      </w:r>
      <w:r>
        <w:t>MHN.</w:t>
      </w:r>
      <w:r>
        <w:rPr>
          <w:spacing w:val="-3"/>
        </w:rPr>
        <w:t xml:space="preserve"> </w:t>
      </w:r>
      <w:r>
        <w:t>Suppose,</w:t>
      </w:r>
      <w:r>
        <w:rPr>
          <w:spacing w:val="-3"/>
        </w:rPr>
        <w:t xml:space="preserve"> </w:t>
      </w:r>
      <w:r>
        <w:t>if</w:t>
      </w:r>
      <w:r>
        <w:rPr>
          <w:spacing w:val="-4"/>
        </w:rPr>
        <w:t xml:space="preserve"> </w:t>
      </w:r>
      <w:r>
        <w:t>only</w:t>
      </w:r>
      <w:r>
        <w:rPr>
          <w:spacing w:val="-3"/>
        </w:rPr>
        <w:t xml:space="preserve"> </w:t>
      </w:r>
      <w:r>
        <w:t>for</w:t>
      </w:r>
      <w:r>
        <w:rPr>
          <w:spacing w:val="-4"/>
        </w:rPr>
        <w:t xml:space="preserve"> </w:t>
      </w:r>
      <w:r>
        <w:t xml:space="preserve">argument’s sake, that a thing’s being made of heated metal </w:t>
      </w:r>
      <w:r>
        <w:rPr>
          <w:i/>
        </w:rPr>
        <w:t xml:space="preserve">causes </w:t>
      </w:r>
      <w:r>
        <w:t>it to expand. So suppose that:</w:t>
      </w:r>
    </w:p>
    <w:p w14:paraId="7E0020F3" w14:textId="77777777" w:rsidR="009A58DB" w:rsidRDefault="009A58DB">
      <w:pPr>
        <w:pStyle w:val="BodyText"/>
        <w:spacing w:before="124"/>
        <w:ind w:left="0"/>
        <w:jc w:val="left"/>
      </w:pPr>
    </w:p>
    <w:p w14:paraId="7E0020F4" w14:textId="77777777" w:rsidR="009A58DB" w:rsidRDefault="00000000">
      <w:pPr>
        <w:pStyle w:val="BodyText"/>
        <w:spacing w:line="249" w:lineRule="auto"/>
        <w:ind w:right="363"/>
      </w:pPr>
      <w:r>
        <w:t xml:space="preserve">(MHC) “as a matter of natural law, x’s being heated metal </w:t>
      </w:r>
      <w:r>
        <w:rPr>
          <w:i/>
        </w:rPr>
        <w:t xml:space="preserve">causes </w:t>
      </w:r>
      <w:r>
        <w:t xml:space="preserve">x to </w:t>
      </w:r>
      <w:r>
        <w:rPr>
          <w:spacing w:val="-2"/>
        </w:rPr>
        <w:t>expand.”</w:t>
      </w:r>
    </w:p>
    <w:p w14:paraId="7E0020F5" w14:textId="77777777" w:rsidR="009A58DB" w:rsidRDefault="009A58DB">
      <w:pPr>
        <w:pStyle w:val="BodyText"/>
        <w:spacing w:before="107"/>
        <w:ind w:left="0"/>
        <w:jc w:val="left"/>
      </w:pPr>
    </w:p>
    <w:p w14:paraId="7E0020F6" w14:textId="77777777" w:rsidR="009A58DB" w:rsidRDefault="00000000">
      <w:pPr>
        <w:pStyle w:val="BodyText"/>
        <w:spacing w:line="249" w:lineRule="auto"/>
        <w:ind w:right="365"/>
      </w:pPr>
      <w:r>
        <w:t>That would certainly be sufficient for the truth of MHN. In light of this, consider the statement that:</w:t>
      </w:r>
    </w:p>
    <w:p w14:paraId="7E0020F7" w14:textId="77777777" w:rsidR="009A58DB" w:rsidRDefault="00000000">
      <w:pPr>
        <w:pStyle w:val="BodyText"/>
        <w:spacing w:before="108" w:line="249" w:lineRule="auto"/>
        <w:ind w:right="361"/>
      </w:pPr>
      <w:r>
        <w:t>(HMC) “as a matter of natural law, x’s not expanding causes x to not be</w:t>
      </w:r>
      <w:r>
        <w:rPr>
          <w:spacing w:val="40"/>
        </w:rPr>
        <w:t xml:space="preserve"> </w:t>
      </w:r>
      <w:r>
        <w:t>metal that is being heated.”</w:t>
      </w:r>
    </w:p>
    <w:p w14:paraId="7E0020F8" w14:textId="77777777" w:rsidR="009A58DB" w:rsidRDefault="00000000">
      <w:pPr>
        <w:spacing w:before="107" w:line="249" w:lineRule="auto"/>
        <w:ind w:left="360" w:right="362"/>
        <w:jc w:val="both"/>
        <w:rPr>
          <w:b/>
          <w:sz w:val="30"/>
        </w:rPr>
      </w:pPr>
      <w:r>
        <w:rPr>
          <w:sz w:val="30"/>
        </w:rPr>
        <w:t>Of</w:t>
      </w:r>
      <w:r>
        <w:rPr>
          <w:spacing w:val="-4"/>
          <w:sz w:val="30"/>
        </w:rPr>
        <w:t xml:space="preserve"> </w:t>
      </w:r>
      <w:r>
        <w:rPr>
          <w:sz w:val="30"/>
        </w:rPr>
        <w:t>course,</w:t>
      </w:r>
      <w:r>
        <w:rPr>
          <w:spacing w:val="-3"/>
          <w:sz w:val="30"/>
        </w:rPr>
        <w:t xml:space="preserve"> </w:t>
      </w:r>
      <w:r>
        <w:rPr>
          <w:sz w:val="30"/>
        </w:rPr>
        <w:t>MHC,</w:t>
      </w:r>
      <w:r>
        <w:rPr>
          <w:spacing w:val="-3"/>
          <w:sz w:val="30"/>
        </w:rPr>
        <w:t xml:space="preserve"> </w:t>
      </w:r>
      <w:r>
        <w:rPr>
          <w:i/>
          <w:sz w:val="30"/>
        </w:rPr>
        <w:t>if</w:t>
      </w:r>
      <w:r>
        <w:rPr>
          <w:i/>
          <w:spacing w:val="-4"/>
          <w:sz w:val="30"/>
        </w:rPr>
        <w:t xml:space="preserve"> </w:t>
      </w:r>
      <w:r>
        <w:rPr>
          <w:i/>
          <w:sz w:val="30"/>
        </w:rPr>
        <w:t>true,</w:t>
      </w:r>
      <w:r>
        <w:rPr>
          <w:i/>
          <w:spacing w:val="-3"/>
          <w:sz w:val="30"/>
        </w:rPr>
        <w:t xml:space="preserve"> </w:t>
      </w:r>
      <w:r>
        <w:rPr>
          <w:sz w:val="30"/>
        </w:rPr>
        <w:t>would be sufficient for the truth of HMN. But MHC is</w:t>
      </w:r>
      <w:r>
        <w:rPr>
          <w:spacing w:val="-4"/>
          <w:sz w:val="30"/>
        </w:rPr>
        <w:t xml:space="preserve"> </w:t>
      </w:r>
      <w:r>
        <w:rPr>
          <w:i/>
          <w:sz w:val="30"/>
        </w:rPr>
        <w:t>not</w:t>
      </w:r>
      <w:r>
        <w:rPr>
          <w:i/>
          <w:spacing w:val="-4"/>
          <w:sz w:val="30"/>
        </w:rPr>
        <w:t xml:space="preserve"> </w:t>
      </w:r>
      <w:r>
        <w:rPr>
          <w:sz w:val="30"/>
        </w:rPr>
        <w:t xml:space="preserve">equivalent with HMC. Suppose it is a law that </w:t>
      </w:r>
      <w:r>
        <w:rPr>
          <w:b/>
          <w:sz w:val="30"/>
        </w:rPr>
        <w:t>x’s being a human who drinks arsenic at t causes x to be dead at some later time t*.</w:t>
      </w:r>
    </w:p>
    <w:p w14:paraId="7E0020F9" w14:textId="77777777" w:rsidR="009A58DB" w:rsidRDefault="00000000">
      <w:pPr>
        <w:spacing w:before="4" w:line="249" w:lineRule="auto"/>
        <w:ind w:left="360" w:right="359"/>
        <w:jc w:val="both"/>
        <w:rPr>
          <w:i/>
          <w:sz w:val="30"/>
        </w:rPr>
      </w:pPr>
      <w:r>
        <w:rPr>
          <w:sz w:val="30"/>
        </w:rPr>
        <w:t xml:space="preserve">This very reasonable and (if refurbished a bit) approximately correct statement obviously doesn’t entail, and therefore isn’t equivalent with, the false and practically incoherent statement that </w:t>
      </w:r>
      <w:r>
        <w:rPr>
          <w:i/>
          <w:sz w:val="30"/>
        </w:rPr>
        <w:t>x’s not being dead t* causes x to be a human who doesn’t drink arsenic at earlier time t.</w:t>
      </w:r>
    </w:p>
    <w:p w14:paraId="7E0020FA" w14:textId="77777777" w:rsidR="009A58DB" w:rsidRDefault="00000000">
      <w:pPr>
        <w:pStyle w:val="BodyText"/>
        <w:spacing w:before="5" w:line="249" w:lineRule="auto"/>
        <w:ind w:right="359" w:firstLine="360"/>
      </w:pPr>
      <w:r>
        <w:t xml:space="preserve">For similar reasons, MHC is not equivalent with HMC. So, since MHC and HMC are sufficient for the truth of, respectively, MHN and HMN, it follows that MHN and HMN are not equivalent: they don’t hold in the same models, the same possible worlds. In fact, whereas MHN, or something similar to it, </w:t>
      </w:r>
      <w:r>
        <w:rPr>
          <w:i/>
        </w:rPr>
        <w:t xml:space="preserve">does </w:t>
      </w:r>
      <w:r>
        <w:t>hold in our world, the same doesn’t go for HMN or anything at all like it.</w:t>
      </w:r>
    </w:p>
    <w:p w14:paraId="7E0020FB" w14:textId="77777777" w:rsidR="009A58DB" w:rsidRDefault="00000000">
      <w:pPr>
        <w:pStyle w:val="Heading1"/>
        <w:numPr>
          <w:ilvl w:val="1"/>
          <w:numId w:val="77"/>
        </w:numPr>
        <w:tabs>
          <w:tab w:val="left" w:pos="810"/>
          <w:tab w:val="left" w:pos="1256"/>
        </w:tabs>
        <w:spacing w:before="195" w:line="244" w:lineRule="auto"/>
        <w:ind w:left="810" w:right="358" w:hanging="450"/>
        <w:jc w:val="both"/>
      </w:pPr>
      <w:r>
        <w:t xml:space="preserve">Inductions by enumeration identical with crypto-inferences to the best explanation </w:t>
      </w:r>
      <w:r>
        <w:rPr>
          <w:spacing w:val="-2"/>
        </w:rPr>
        <w:t>(continued)</w:t>
      </w:r>
    </w:p>
    <w:p w14:paraId="7E0020FC" w14:textId="77777777" w:rsidR="009A58DB" w:rsidRDefault="009A58DB">
      <w:pPr>
        <w:pStyle w:val="Heading1"/>
        <w:spacing w:line="244" w:lineRule="auto"/>
        <w:jc w:val="both"/>
        <w:sectPr w:rsidR="009A58DB">
          <w:pgSz w:w="12240" w:h="15840"/>
          <w:pgMar w:top="1380" w:right="1080" w:bottom="280" w:left="1080" w:header="720" w:footer="720" w:gutter="0"/>
          <w:cols w:space="720"/>
        </w:sectPr>
      </w:pPr>
    </w:p>
    <w:p w14:paraId="7E0020FD" w14:textId="77777777" w:rsidR="009A58DB" w:rsidRDefault="00000000">
      <w:pPr>
        <w:pStyle w:val="BodyText"/>
        <w:spacing w:before="65" w:line="249" w:lineRule="auto"/>
        <w:ind w:right="359"/>
      </w:pPr>
      <w:r>
        <w:lastRenderedPageBreak/>
        <w:t xml:space="preserve">We’ve seen, first, that MH must be read as having some kind of nomic content if Hempel’s paradox is to arise (i.e., if there is to even be the appearance that MH is logically, but not confirmationally, equivalent with HM). And we’ve also asserted that, if MH read as having nomic force, its meaning is given by MHN, and we made the same assumption </w:t>
      </w:r>
      <w:r>
        <w:rPr>
          <w:i/>
        </w:rPr>
        <w:t xml:space="preserve">mutatis mutandis </w:t>
      </w:r>
      <w:r>
        <w:t>about HM.</w:t>
      </w:r>
    </w:p>
    <w:p w14:paraId="7E0020FE" w14:textId="77777777" w:rsidR="009A58DB" w:rsidRDefault="00000000">
      <w:pPr>
        <w:pStyle w:val="BodyText"/>
        <w:spacing w:before="7" w:line="249" w:lineRule="auto"/>
        <w:ind w:right="358" w:firstLine="360"/>
      </w:pPr>
      <w:r>
        <w:t>But, it must be admitted, we have provided no argumentative basis for this assertion, our grounds for it being purely intuitive. Which brings us to our next point, namely, that there is another possible nomic reading of MH:</w:t>
      </w:r>
    </w:p>
    <w:p w14:paraId="7E0020FF" w14:textId="77777777" w:rsidR="009A58DB" w:rsidRDefault="00000000">
      <w:pPr>
        <w:pStyle w:val="BodyText"/>
        <w:spacing w:before="109" w:line="249" w:lineRule="auto"/>
        <w:ind w:right="366"/>
      </w:pPr>
      <w:r>
        <w:t>(MH</w:t>
      </w:r>
      <w:bookmarkStart w:id="461" w:name="_bookmark461"/>
      <w:bookmarkEnd w:id="461"/>
      <w:r>
        <w:t>W</w:t>
      </w:r>
      <w:r>
        <w:rPr>
          <w:color w:val="0562C1"/>
          <w:position w:val="21"/>
          <w:u w:val="single" w:color="0562C1"/>
        </w:rPr>
        <w:t>[343]</w:t>
      </w:r>
      <w:r>
        <w:t>) “thanks to the existence of some kind of nomic (or causal) connection between the two properties about to be mentioned [viz. the property of being heated metal, on the one hand, and the property of expanding, on the other], for all x, if x is heated metal, then x is expanding.”</w:t>
      </w:r>
    </w:p>
    <w:p w14:paraId="7E002100" w14:textId="77777777" w:rsidR="009A58DB" w:rsidRDefault="00000000">
      <w:pPr>
        <w:pStyle w:val="BodyText"/>
        <w:spacing w:before="95" w:line="249" w:lineRule="auto"/>
        <w:ind w:right="369"/>
      </w:pPr>
      <w:r>
        <w:t xml:space="preserve">How is MHN different from MHW? MHN says pretty much the same thing </w:t>
      </w:r>
      <w:r>
        <w:rPr>
          <w:spacing w:val="-4"/>
        </w:rPr>
        <w:t>as:</w:t>
      </w:r>
    </w:p>
    <w:p w14:paraId="7E002101" w14:textId="77777777" w:rsidR="009A58DB" w:rsidRDefault="00000000">
      <w:pPr>
        <w:pStyle w:val="BodyText"/>
        <w:spacing w:before="107" w:line="249" w:lineRule="auto"/>
        <w:ind w:right="365"/>
      </w:pPr>
      <w:r>
        <w:t>(*) for all x, if x is heated metal, then x is expanding, and this is because x’s being heated metal provides a nomic basis for x’s expanding.</w:t>
      </w:r>
    </w:p>
    <w:p w14:paraId="7E002102" w14:textId="77777777" w:rsidR="009A58DB" w:rsidRDefault="00000000">
      <w:pPr>
        <w:pStyle w:val="BodyText"/>
        <w:spacing w:before="108"/>
      </w:pPr>
      <w:r>
        <w:t>By</w:t>
      </w:r>
      <w:r>
        <w:rPr>
          <w:spacing w:val="-3"/>
        </w:rPr>
        <w:t xml:space="preserve"> </w:t>
      </w:r>
      <w:r>
        <w:t>contrast,</w:t>
      </w:r>
      <w:r>
        <w:rPr>
          <w:spacing w:val="-3"/>
        </w:rPr>
        <w:t xml:space="preserve"> </w:t>
      </w:r>
      <w:r>
        <w:t>MHW</w:t>
      </w:r>
      <w:r>
        <w:rPr>
          <w:spacing w:val="-4"/>
        </w:rPr>
        <w:t xml:space="preserve"> </w:t>
      </w:r>
      <w:r>
        <w:t>says</w:t>
      </w:r>
      <w:r>
        <w:rPr>
          <w:spacing w:val="-3"/>
        </w:rPr>
        <w:t xml:space="preserve"> </w:t>
      </w:r>
      <w:r>
        <w:rPr>
          <w:spacing w:val="-4"/>
        </w:rPr>
        <w:t>that:</w:t>
      </w:r>
    </w:p>
    <w:p w14:paraId="7E002103" w14:textId="77777777" w:rsidR="009A58DB" w:rsidRDefault="00000000">
      <w:pPr>
        <w:pStyle w:val="BodyText"/>
        <w:spacing w:before="105" w:line="249" w:lineRule="auto"/>
        <w:ind w:right="357"/>
      </w:pPr>
      <w:r>
        <w:t xml:space="preserve">(^) for all x, if x is heated metal, then x is expanding, and this is because </w:t>
      </w:r>
      <w:r>
        <w:rPr>
          <w:i/>
        </w:rPr>
        <w:t>either</w:t>
      </w:r>
      <w:r>
        <w:rPr>
          <w:i/>
          <w:spacing w:val="-4"/>
        </w:rPr>
        <w:t xml:space="preserve"> </w:t>
      </w:r>
      <w:r>
        <w:t xml:space="preserve">x’s being heated metal provides a nomic basis for x’s expanding </w:t>
      </w:r>
      <w:r>
        <w:rPr>
          <w:i/>
        </w:rPr>
        <w:t xml:space="preserve">or </w:t>
      </w:r>
      <w:r>
        <w:t>x’s expanding provides a nomic basis for x’s being heated metal.</w:t>
      </w:r>
    </w:p>
    <w:p w14:paraId="7E002104" w14:textId="77777777" w:rsidR="009A58DB" w:rsidRDefault="00000000">
      <w:pPr>
        <w:pStyle w:val="BodyText"/>
        <w:spacing w:before="108" w:line="249" w:lineRule="auto"/>
        <w:ind w:right="367"/>
      </w:pPr>
      <w:r>
        <w:t>To be sure, the expression “provides a nomic basis for” is an obscure one, which I’ve done little or nothing to clarify; and it might therefore seem that there is no difference between (*) and (^). But, obscure though that expression may be, (*) and (^) are demonstrably different, and non-equivalent, statements.</w:t>
      </w:r>
    </w:p>
    <w:p w14:paraId="7E002105" w14:textId="77777777" w:rsidR="009A58DB" w:rsidRDefault="00000000">
      <w:pPr>
        <w:pStyle w:val="BodyText"/>
        <w:spacing w:before="6" w:line="249" w:lineRule="auto"/>
        <w:ind w:right="359" w:firstLine="360"/>
      </w:pPr>
      <w:r>
        <w:t xml:space="preserve">It’s true (or so let us suppose, for argument’s sake) that all people who consume large quantities of arsenic die soon thereafter. And this is not an accident: human biology being what it is, the chemical properties of arsenic being what they are, there’s a nomic connection between consuming arsenic and dying. Vague as the expression “provides a nomic basis for” is, would it be correct to say that being a dead human at 3:10 </w:t>
      </w:r>
      <w:r>
        <w:rPr>
          <w:sz w:val="22"/>
        </w:rPr>
        <w:t>P</w:t>
      </w:r>
      <w:r>
        <w:t>.</w:t>
      </w:r>
      <w:r>
        <w:rPr>
          <w:sz w:val="22"/>
        </w:rPr>
        <w:t>M</w:t>
      </w:r>
      <w:r>
        <w:t>. “provides a nomic</w:t>
      </w:r>
      <w:r>
        <w:rPr>
          <w:spacing w:val="40"/>
        </w:rPr>
        <w:t xml:space="preserve"> </w:t>
      </w:r>
      <w:r>
        <w:t>basis</w:t>
      </w:r>
      <w:r>
        <w:rPr>
          <w:spacing w:val="35"/>
        </w:rPr>
        <w:t xml:space="preserve"> </w:t>
      </w:r>
      <w:r>
        <w:t>for”</w:t>
      </w:r>
      <w:r>
        <w:rPr>
          <w:spacing w:val="36"/>
        </w:rPr>
        <w:t xml:space="preserve"> </w:t>
      </w:r>
      <w:r>
        <w:t>being</w:t>
      </w:r>
      <w:r>
        <w:rPr>
          <w:spacing w:val="35"/>
        </w:rPr>
        <w:t xml:space="preserve"> </w:t>
      </w:r>
      <w:r>
        <w:t>a</w:t>
      </w:r>
      <w:r>
        <w:rPr>
          <w:spacing w:val="36"/>
        </w:rPr>
        <w:t xml:space="preserve"> </w:t>
      </w:r>
      <w:r>
        <w:t>person</w:t>
      </w:r>
      <w:r>
        <w:rPr>
          <w:spacing w:val="35"/>
        </w:rPr>
        <w:t xml:space="preserve"> </w:t>
      </w:r>
      <w:r>
        <w:t>who</w:t>
      </w:r>
      <w:r>
        <w:rPr>
          <w:spacing w:val="36"/>
        </w:rPr>
        <w:t xml:space="preserve"> </w:t>
      </w:r>
      <w:r>
        <w:t>drinks</w:t>
      </w:r>
      <w:r>
        <w:rPr>
          <w:spacing w:val="35"/>
        </w:rPr>
        <w:t xml:space="preserve"> </w:t>
      </w:r>
      <w:r>
        <w:t>arsenic</w:t>
      </w:r>
      <w:r>
        <w:rPr>
          <w:spacing w:val="36"/>
        </w:rPr>
        <w:t xml:space="preserve"> </w:t>
      </w:r>
      <w:r>
        <w:t>at</w:t>
      </w:r>
      <w:r>
        <w:rPr>
          <w:spacing w:val="35"/>
        </w:rPr>
        <w:t xml:space="preserve"> </w:t>
      </w:r>
      <w:r>
        <w:t>3:00</w:t>
      </w:r>
      <w:r>
        <w:rPr>
          <w:spacing w:val="36"/>
        </w:rPr>
        <w:t xml:space="preserve"> </w:t>
      </w:r>
      <w:r>
        <w:rPr>
          <w:sz w:val="22"/>
        </w:rPr>
        <w:t>P</w:t>
      </w:r>
      <w:r>
        <w:t>.</w:t>
      </w:r>
      <w:r>
        <w:rPr>
          <w:sz w:val="22"/>
        </w:rPr>
        <w:t>M</w:t>
      </w:r>
      <w:r>
        <w:t>.?</w:t>
      </w:r>
      <w:r>
        <w:rPr>
          <w:spacing w:val="42"/>
        </w:rPr>
        <w:t xml:space="preserve"> </w:t>
      </w:r>
      <w:r>
        <w:t>More</w:t>
      </w:r>
      <w:r>
        <w:rPr>
          <w:spacing w:val="43"/>
        </w:rPr>
        <w:t xml:space="preserve"> </w:t>
      </w:r>
      <w:r>
        <w:rPr>
          <w:spacing w:val="-2"/>
        </w:rPr>
        <w:t>generally,</w:t>
      </w:r>
    </w:p>
    <w:p w14:paraId="7E0021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07" w14:textId="77777777" w:rsidR="009A58DB" w:rsidRDefault="00000000">
      <w:pPr>
        <w:pStyle w:val="BodyText"/>
        <w:spacing w:before="66" w:line="249" w:lineRule="auto"/>
        <w:ind w:right="359"/>
      </w:pPr>
      <w:r>
        <w:lastRenderedPageBreak/>
        <w:t>supposing</w:t>
      </w:r>
      <w:r>
        <w:rPr>
          <w:spacing w:val="-1"/>
        </w:rPr>
        <w:t xml:space="preserve"> </w:t>
      </w:r>
      <w:r>
        <w:t>that</w:t>
      </w:r>
      <w:r>
        <w:rPr>
          <w:spacing w:val="-1"/>
        </w:rPr>
        <w:t xml:space="preserve"> </w:t>
      </w:r>
      <w:r>
        <w:t>x’s</w:t>
      </w:r>
      <w:r>
        <w:rPr>
          <w:spacing w:val="-1"/>
        </w:rPr>
        <w:t xml:space="preserve"> </w:t>
      </w:r>
      <w:r>
        <w:t>having</w:t>
      </w:r>
      <w:r>
        <w:rPr>
          <w:spacing w:val="-1"/>
        </w:rPr>
        <w:t xml:space="preserve"> </w:t>
      </w:r>
      <w:r>
        <w:t>psi</w:t>
      </w:r>
      <w:r>
        <w:rPr>
          <w:spacing w:val="-1"/>
        </w:rPr>
        <w:t xml:space="preserve"> </w:t>
      </w:r>
      <w:r>
        <w:t>at</w:t>
      </w:r>
      <w:r>
        <w:rPr>
          <w:spacing w:val="-1"/>
        </w:rPr>
        <w:t xml:space="preserve"> </w:t>
      </w:r>
      <w:r>
        <w:t>t*</w:t>
      </w:r>
      <w:r>
        <w:rPr>
          <w:spacing w:val="-1"/>
        </w:rPr>
        <w:t xml:space="preserve"> </w:t>
      </w:r>
      <w:r>
        <w:t>is</w:t>
      </w:r>
      <w:r>
        <w:rPr>
          <w:spacing w:val="-1"/>
        </w:rPr>
        <w:t xml:space="preserve"> </w:t>
      </w:r>
      <w:r>
        <w:t>an</w:t>
      </w:r>
      <w:r>
        <w:rPr>
          <w:spacing w:val="-1"/>
        </w:rPr>
        <w:t xml:space="preserve"> </w:t>
      </w:r>
      <w:r>
        <w:rPr>
          <w:i/>
        </w:rPr>
        <w:t>effect</w:t>
      </w:r>
      <w:r>
        <w:rPr>
          <w:i/>
          <w:spacing w:val="-3"/>
        </w:rPr>
        <w:t xml:space="preserve"> </w:t>
      </w:r>
      <w:r>
        <w:t>of x’s having phi at earlier time t, does it make sense to say that x’s having psi at t* provides a nomic basis</w:t>
      </w:r>
      <w:r>
        <w:rPr>
          <w:spacing w:val="40"/>
        </w:rPr>
        <w:t xml:space="preserve"> </w:t>
      </w:r>
      <w:r>
        <w:t>for x’s having phi at t? No. My being obese provides a nomic basis for my having a heart-attack. But surely my having a heart attack doesn’t provide a nomic basis for my being obese. And that’s all we need to know in this context about what it means to say that one thing provides a “nomic basis”</w:t>
      </w:r>
      <w:r>
        <w:rPr>
          <w:spacing w:val="40"/>
        </w:rPr>
        <w:t xml:space="preserve"> </w:t>
      </w:r>
      <w:r>
        <w:t>for another. So let us proceed.</w:t>
      </w:r>
    </w:p>
    <w:p w14:paraId="7E002108" w14:textId="77777777" w:rsidR="009A58DB" w:rsidRDefault="00000000">
      <w:pPr>
        <w:pStyle w:val="BodyText"/>
        <w:spacing w:before="7" w:line="249" w:lineRule="auto"/>
        <w:ind w:right="359" w:firstLine="360"/>
      </w:pPr>
      <w:r>
        <w:t>Suppose that, in possible world W, all things made of heated metal</w:t>
      </w:r>
      <w:r>
        <w:rPr>
          <w:spacing w:val="40"/>
        </w:rPr>
        <w:t xml:space="preserve"> </w:t>
      </w:r>
      <w:r>
        <w:t xml:space="preserve">expand. Further suppose that, in W, x’s being something that is expanding causes x to turn into something that is metal whose temperature is continuously rising and whose volume is constantly increasing. And, to make things simple, suppose that, in W, all things made of heated metal got that way by, at some point in their histories, being things that were expanding. In that case, MHW would be correct in W: for there would, in that world, be a nomic connection between a thing’s being heated metal, on the one hand, and its being something that expands, on the other; moreover, the fact that, in W, all heated metal expands would have a basis in this nomic connection. But it would not, at least not on that account, be correct to say that, in W, a thing’s being made of heated metal provides a nomic basis for its expanding. In W, things expand </w:t>
      </w:r>
      <w:r>
        <w:rPr>
          <w:i/>
        </w:rPr>
        <w:t xml:space="preserve">before </w:t>
      </w:r>
      <w:r>
        <w:t xml:space="preserve">they become expanding heated metal. So, in W, a thing’s being heated metal obviously cannot </w:t>
      </w:r>
      <w:r>
        <w:rPr>
          <w:i/>
        </w:rPr>
        <w:t xml:space="preserve">cause </w:t>
      </w:r>
      <w:r>
        <w:t>it to expand.</w:t>
      </w:r>
    </w:p>
    <w:p w14:paraId="7E002109" w14:textId="77777777" w:rsidR="009A58DB" w:rsidRDefault="00000000">
      <w:pPr>
        <w:pStyle w:val="BodyText"/>
        <w:spacing w:before="17" w:line="249" w:lineRule="auto"/>
        <w:ind w:right="362" w:firstLine="360"/>
      </w:pPr>
      <w:r>
        <w:t xml:space="preserve">But there is a further point: in W, a thing’s expanding is not to be </w:t>
      </w:r>
      <w:r>
        <w:rPr>
          <w:i/>
        </w:rPr>
        <w:t xml:space="preserve">understood in terms of its being heated metal. </w:t>
      </w:r>
      <w:r>
        <w:t xml:space="preserve">It is the other way around. In W, a thing’s expanding is causally </w:t>
      </w:r>
      <w:r>
        <w:rPr>
          <w:i/>
        </w:rPr>
        <w:t xml:space="preserve">and explanatorily </w:t>
      </w:r>
      <w:r>
        <w:t xml:space="preserve">more basic than its being heated metal. In any case, just as (see above) it would be wrong, or at least very odd, to say that being dead at t* provided a </w:t>
      </w:r>
      <w:r>
        <w:rPr>
          <w:i/>
        </w:rPr>
        <w:t xml:space="preserve">nomic basis </w:t>
      </w:r>
      <w:r>
        <w:t xml:space="preserve">for drinking arsenic at earlier time t, it would, for parallel reasons, be wrong to say that, in W, being heated metal provided a nomic basis for being a thing that expands. And this entails that, however vague the expression “provides a nomic basis for” is, * and ^ are, very clearly, </w:t>
      </w:r>
      <w:r>
        <w:rPr>
          <w:i/>
        </w:rPr>
        <w:t xml:space="preserve">not </w:t>
      </w:r>
      <w:r>
        <w:t>equivalent.</w:t>
      </w:r>
    </w:p>
    <w:p w14:paraId="7E00210A" w14:textId="77777777" w:rsidR="009A58DB" w:rsidRDefault="00000000">
      <w:pPr>
        <w:pStyle w:val="Heading1"/>
        <w:numPr>
          <w:ilvl w:val="1"/>
          <w:numId w:val="77"/>
        </w:numPr>
        <w:tabs>
          <w:tab w:val="left" w:pos="990"/>
        </w:tabs>
        <w:spacing w:before="200"/>
      </w:pPr>
      <w:r>
        <w:t>This</w:t>
      </w:r>
      <w:r>
        <w:rPr>
          <w:spacing w:val="-5"/>
        </w:rPr>
        <w:t xml:space="preserve"> </w:t>
      </w:r>
      <w:r>
        <w:t>argument</w:t>
      </w:r>
      <w:r>
        <w:rPr>
          <w:spacing w:val="-5"/>
        </w:rPr>
        <w:t xml:space="preserve"> </w:t>
      </w:r>
      <w:r>
        <w:rPr>
          <w:spacing w:val="-2"/>
        </w:rPr>
        <w:t>concluded</w:t>
      </w:r>
    </w:p>
    <w:p w14:paraId="7E00210B" w14:textId="77777777" w:rsidR="009A58DB" w:rsidRDefault="00000000">
      <w:pPr>
        <w:pStyle w:val="BodyText"/>
        <w:spacing w:before="139" w:line="249" w:lineRule="auto"/>
        <w:ind w:right="365"/>
      </w:pPr>
      <w:r>
        <w:t>First of all, MHW obviously isn’t logically equivalent with HMA: the former does, whereas the latter does not, allege the existence of certain nomic dependencies. More importantly, MHW isn’t equivalent with:</w:t>
      </w:r>
    </w:p>
    <w:p w14:paraId="7E00210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0D" w14:textId="77777777" w:rsidR="009A58DB" w:rsidRDefault="00000000">
      <w:pPr>
        <w:pStyle w:val="BodyText"/>
        <w:spacing w:before="65" w:line="249" w:lineRule="auto"/>
        <w:ind w:right="361"/>
      </w:pPr>
      <w:r>
        <w:lastRenderedPageBreak/>
        <w:t>(HMW) “thanks to the existence of some kind of nomic (or causal) connection between the two properties about to be mentioned [viz. the property of not expanding, on the one hand, and the property of not being heated metal, on the other], for all x, if x is not expanding, then x is not heated metal.”</w:t>
      </w:r>
    </w:p>
    <w:p w14:paraId="7E00210E" w14:textId="77777777" w:rsidR="009A58DB" w:rsidRDefault="00000000">
      <w:pPr>
        <w:pStyle w:val="BodyText"/>
        <w:spacing w:before="111" w:line="249" w:lineRule="auto"/>
        <w:ind w:right="363" w:firstLine="360"/>
      </w:pPr>
      <w:r>
        <w:t xml:space="preserve">Given only that there is a nomic connection between a thing’s having phi and its having psi, it doesn’t follow that there is a nomic connection between a thing’s </w:t>
      </w:r>
      <w:r>
        <w:rPr>
          <w:i/>
        </w:rPr>
        <w:t xml:space="preserve">not </w:t>
      </w:r>
      <w:r>
        <w:t xml:space="preserve">having psi and its </w:t>
      </w:r>
      <w:r>
        <w:rPr>
          <w:i/>
        </w:rPr>
        <w:t xml:space="preserve">not </w:t>
      </w:r>
      <w:r>
        <w:t>having phi. There is a causal, and</w:t>
      </w:r>
      <w:r>
        <w:rPr>
          <w:spacing w:val="40"/>
        </w:rPr>
        <w:t xml:space="preserve"> </w:t>
      </w:r>
      <w:r>
        <w:t>therefore a nomic, connection between Smith’s falling off of tall building X</w:t>
      </w:r>
      <w:r>
        <w:rPr>
          <w:spacing w:val="40"/>
        </w:rPr>
        <w:t xml:space="preserve"> </w:t>
      </w:r>
      <w:r>
        <w:t>at t, on the one hand, and his being dead at later time t*, on the other. Smith’s falling off of X is an event. It is something that makes things happen (e.g., various bones of Smith’s being shattered); and, what is probably a more general notion, it is something in terms of which things can be explained.</w:t>
      </w:r>
    </w:p>
    <w:p w14:paraId="7E00210F" w14:textId="77777777" w:rsidR="009A58DB" w:rsidRDefault="00000000">
      <w:pPr>
        <w:pStyle w:val="BodyText"/>
        <w:spacing w:before="10" w:line="249" w:lineRule="auto"/>
        <w:ind w:right="357" w:firstLine="360"/>
      </w:pPr>
      <w:r>
        <w:t xml:space="preserve">Compare Smith’s situation with Brown’s. Brown does </w:t>
      </w:r>
      <w:r>
        <w:rPr>
          <w:i/>
        </w:rPr>
        <w:t xml:space="preserve">not </w:t>
      </w:r>
      <w:r>
        <w:t>fall off X, or any</w:t>
      </w:r>
      <w:r>
        <w:rPr>
          <w:spacing w:val="-3"/>
        </w:rPr>
        <w:t xml:space="preserve"> </w:t>
      </w:r>
      <w:r>
        <w:t>other</w:t>
      </w:r>
      <w:r>
        <w:rPr>
          <w:spacing w:val="-2"/>
        </w:rPr>
        <w:t xml:space="preserve"> </w:t>
      </w:r>
      <w:r>
        <w:t>building,</w:t>
      </w:r>
      <w:r>
        <w:rPr>
          <w:spacing w:val="-3"/>
        </w:rPr>
        <w:t xml:space="preserve"> </w:t>
      </w:r>
      <w:r>
        <w:t>at</w:t>
      </w:r>
      <w:r>
        <w:rPr>
          <w:spacing w:val="-2"/>
        </w:rPr>
        <w:t xml:space="preserve"> </w:t>
      </w:r>
      <w:r>
        <w:t>t;</w:t>
      </w:r>
      <w:r>
        <w:rPr>
          <w:spacing w:val="-3"/>
        </w:rPr>
        <w:t xml:space="preserve"> </w:t>
      </w:r>
      <w:r>
        <w:t>and</w:t>
      </w:r>
      <w:r>
        <w:rPr>
          <w:spacing w:val="-2"/>
        </w:rPr>
        <w:t xml:space="preserve"> </w:t>
      </w:r>
      <w:r>
        <w:t>Brown</w:t>
      </w:r>
      <w:r>
        <w:rPr>
          <w:spacing w:val="-2"/>
        </w:rPr>
        <w:t xml:space="preserve"> </w:t>
      </w:r>
      <w:r>
        <w:t>is</w:t>
      </w:r>
      <w:r>
        <w:rPr>
          <w:spacing w:val="-3"/>
        </w:rPr>
        <w:t xml:space="preserve"> </w:t>
      </w:r>
      <w:r>
        <w:t>alive</w:t>
      </w:r>
      <w:r>
        <w:rPr>
          <w:spacing w:val="-2"/>
        </w:rPr>
        <w:t xml:space="preserve"> </w:t>
      </w:r>
      <w:r>
        <w:t>and</w:t>
      </w:r>
      <w:r>
        <w:rPr>
          <w:spacing w:val="-3"/>
        </w:rPr>
        <w:t xml:space="preserve"> </w:t>
      </w:r>
      <w:r>
        <w:t>well</w:t>
      </w:r>
      <w:r>
        <w:rPr>
          <w:spacing w:val="-2"/>
        </w:rPr>
        <w:t xml:space="preserve"> </w:t>
      </w:r>
      <w:r>
        <w:t>at</w:t>
      </w:r>
      <w:r>
        <w:rPr>
          <w:spacing w:val="-3"/>
        </w:rPr>
        <w:t xml:space="preserve"> </w:t>
      </w:r>
      <w:r>
        <w:t>t*.</w:t>
      </w:r>
      <w:r>
        <w:rPr>
          <w:spacing w:val="-2"/>
        </w:rPr>
        <w:t xml:space="preserve"> </w:t>
      </w:r>
      <w:r>
        <w:t>Obviously</w:t>
      </w:r>
      <w:r>
        <w:rPr>
          <w:spacing w:val="-2"/>
        </w:rPr>
        <w:t xml:space="preserve"> </w:t>
      </w:r>
      <w:r>
        <w:t xml:space="preserve">Brown’s </w:t>
      </w:r>
      <w:r>
        <w:rPr>
          <w:i/>
        </w:rPr>
        <w:t xml:space="preserve">not </w:t>
      </w:r>
      <w:r>
        <w:t xml:space="preserve">falling off X at t doesn’t </w:t>
      </w:r>
      <w:r>
        <w:rPr>
          <w:i/>
        </w:rPr>
        <w:t xml:space="preserve">cause </w:t>
      </w:r>
      <w:r>
        <w:t xml:space="preserve">Brown to be alive at t*. More generally, Brown’s being alive at t* is not, except perhaps in some extremely derivative sense, to be explained in terms of Brown’s not falling off of X. Whereas Smith’s falling off of X is an event, Brown’s </w:t>
      </w:r>
      <w:r>
        <w:rPr>
          <w:i/>
        </w:rPr>
        <w:t xml:space="preserve">not </w:t>
      </w:r>
      <w:r>
        <w:t xml:space="preserve">falling off of X is </w:t>
      </w:r>
      <w:r>
        <w:rPr>
          <w:i/>
        </w:rPr>
        <w:t xml:space="preserve">not </w:t>
      </w:r>
      <w:r>
        <w:t xml:space="preserve">an event, and it doesn’t consist of events. A chair consists of events (various miniscule displacements of mass-energy), and does a corporation (various actions on the part of sentient beings); so, indeed, does any enduring entity—any structure, any “object,” any non-instantaneous event. But Brown’s </w:t>
      </w:r>
      <w:r>
        <w:rPr>
          <w:i/>
        </w:rPr>
        <w:t xml:space="preserve">not </w:t>
      </w:r>
      <w:r>
        <w:t>falling off X isn’t identical with an event and isn’t constituted by events.</w:t>
      </w:r>
    </w:p>
    <w:p w14:paraId="7E002110" w14:textId="77777777" w:rsidR="009A58DB" w:rsidRDefault="00000000">
      <w:pPr>
        <w:pStyle w:val="BodyText"/>
        <w:spacing w:before="13" w:line="249" w:lineRule="auto"/>
        <w:ind w:right="366" w:firstLine="360"/>
      </w:pPr>
      <w:r>
        <w:t xml:space="preserve">Of course, since it’s a truth, and therefore a “fact,” that Brown did not fall off of X, we might say that the (negative) “fact” of his </w:t>
      </w:r>
      <w:r>
        <w:rPr>
          <w:i/>
        </w:rPr>
        <w:t xml:space="preserve">not </w:t>
      </w:r>
      <w:r>
        <w:t xml:space="preserve">falling off of X exists no less than the (positive) fact of Smith’s falling off of X. But that doesn’t undermine our point that Brown’s </w:t>
      </w:r>
      <w:r>
        <w:rPr>
          <w:i/>
        </w:rPr>
        <w:t xml:space="preserve">not </w:t>
      </w:r>
      <w:r>
        <w:t>falling off of X isn’t identical with, or constituted by, events.</w:t>
      </w:r>
    </w:p>
    <w:p w14:paraId="7E002111" w14:textId="77777777" w:rsidR="009A58DB" w:rsidRDefault="00000000">
      <w:pPr>
        <w:pStyle w:val="BodyText"/>
        <w:spacing w:before="6" w:line="249" w:lineRule="auto"/>
        <w:ind w:right="360" w:firstLine="360"/>
      </w:pPr>
      <w:r>
        <w:t xml:space="preserve">While it is a matter of intense debate what nomic relations are, it is pretty clear they hold only among occupants of the space-time manifold. They clearly hold among events (my pounding the table causes it to break). Maybe they hold among things other than events. Maybe, for example, they hold among conditions. And maybe they hold among objects. But while it is unclear whether </w:t>
      </w:r>
      <w:r>
        <w:rPr>
          <w:i/>
        </w:rPr>
        <w:t>a</w:t>
      </w:r>
      <w:r>
        <w:rPr>
          <w:b/>
          <w:i/>
        </w:rPr>
        <w:t>l</w:t>
      </w:r>
      <w:r>
        <w:rPr>
          <w:b/>
          <w:i/>
          <w:spacing w:val="-3"/>
        </w:rPr>
        <w:t xml:space="preserve"> </w:t>
      </w:r>
      <w:r>
        <w:t xml:space="preserve">spatiotemporal entities stand in nomic relations, it </w:t>
      </w:r>
      <w:r>
        <w:rPr>
          <w:i/>
        </w:rPr>
        <w:t xml:space="preserve">is </w:t>
      </w:r>
      <w:r>
        <w:t>clear</w:t>
      </w:r>
    </w:p>
    <w:p w14:paraId="7E00211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13" w14:textId="77777777" w:rsidR="009A58DB" w:rsidRDefault="00000000">
      <w:pPr>
        <w:pStyle w:val="BodyText"/>
        <w:spacing w:before="70" w:line="249" w:lineRule="auto"/>
        <w:ind w:right="358"/>
      </w:pPr>
      <w:r>
        <w:lastRenderedPageBreak/>
        <w:t xml:space="preserve">that nothing </w:t>
      </w:r>
      <w:r>
        <w:rPr>
          <w:i/>
        </w:rPr>
        <w:t>non</w:t>
      </w:r>
      <w:r>
        <w:t xml:space="preserve">-spatiotemporal stands in them. My pounding the table is nomically connected to the table’s breaking. But my </w:t>
      </w:r>
      <w:r>
        <w:rPr>
          <w:i/>
        </w:rPr>
        <w:t xml:space="preserve">not </w:t>
      </w:r>
      <w:r>
        <w:t xml:space="preserve">destroying Jupiter isn’t nomically related to anything. My pounding the table is an event; it makes things happen; things can be explained in terms of it; it has a place in the tapestry that constitutes the spatiotemporal world. My </w:t>
      </w:r>
      <w:r>
        <w:rPr>
          <w:i/>
        </w:rPr>
        <w:t xml:space="preserve">not </w:t>
      </w:r>
      <w:r>
        <w:t>destroying Jupiter is nowhere in that tapestry, and therefore isn’t fit to stand in nomic relations to anything. There is no event of my not destroying Jupiter. There is thus</w:t>
      </w:r>
      <w:r>
        <w:rPr>
          <w:spacing w:val="-3"/>
        </w:rPr>
        <w:t xml:space="preserve"> </w:t>
      </w:r>
      <w:r>
        <w:t>no</w:t>
      </w:r>
      <w:r>
        <w:rPr>
          <w:spacing w:val="-2"/>
        </w:rPr>
        <w:t xml:space="preserve"> </w:t>
      </w:r>
      <w:r>
        <w:t>condition</w:t>
      </w:r>
      <w:r>
        <w:rPr>
          <w:spacing w:val="-2"/>
        </w:rPr>
        <w:t xml:space="preserve"> </w:t>
      </w:r>
      <w:r>
        <w:t>or</w:t>
      </w:r>
      <w:r>
        <w:rPr>
          <w:spacing w:val="-2"/>
        </w:rPr>
        <w:t xml:space="preserve"> </w:t>
      </w:r>
      <w:r>
        <w:t>object</w:t>
      </w:r>
      <w:r>
        <w:rPr>
          <w:spacing w:val="-2"/>
        </w:rPr>
        <w:t xml:space="preserve"> </w:t>
      </w:r>
      <w:r>
        <w:t>that</w:t>
      </w:r>
      <w:r>
        <w:rPr>
          <w:spacing w:val="-2"/>
        </w:rPr>
        <w:t xml:space="preserve"> </w:t>
      </w:r>
      <w:r>
        <w:t>is</w:t>
      </w:r>
      <w:r>
        <w:rPr>
          <w:spacing w:val="-2"/>
        </w:rPr>
        <w:t xml:space="preserve"> </w:t>
      </w:r>
      <w:r>
        <w:t>constituted</w:t>
      </w:r>
      <w:r>
        <w:rPr>
          <w:spacing w:val="-2"/>
        </w:rPr>
        <w:t xml:space="preserve"> </w:t>
      </w:r>
      <w:r>
        <w:t>to</w:t>
      </w:r>
      <w:r>
        <w:rPr>
          <w:spacing w:val="-2"/>
        </w:rPr>
        <w:t xml:space="preserve"> </w:t>
      </w:r>
      <w:r>
        <w:t>any</w:t>
      </w:r>
      <w:r>
        <w:rPr>
          <w:spacing w:val="-2"/>
        </w:rPr>
        <w:t xml:space="preserve"> </w:t>
      </w:r>
      <w:r>
        <w:t>degree</w:t>
      </w:r>
      <w:r>
        <w:rPr>
          <w:spacing w:val="-2"/>
        </w:rPr>
        <w:t xml:space="preserve"> </w:t>
      </w:r>
      <w:r>
        <w:t>by</w:t>
      </w:r>
      <w:r>
        <w:rPr>
          <w:spacing w:val="-2"/>
        </w:rPr>
        <w:t xml:space="preserve"> </w:t>
      </w:r>
      <w:r>
        <w:t>that</w:t>
      </w:r>
      <w:r>
        <w:rPr>
          <w:spacing w:val="-2"/>
        </w:rPr>
        <w:t xml:space="preserve"> </w:t>
      </w:r>
      <w:r>
        <w:t>non-event. Therefore, it isn’t identical with, or constitutive of, anything that falls within the scope of natural law. It isn’t, therefore, nomically connected to anything.</w:t>
      </w:r>
    </w:p>
    <w:p w14:paraId="7E002114" w14:textId="77777777" w:rsidR="009A58DB" w:rsidRDefault="00000000">
      <w:pPr>
        <w:pStyle w:val="BodyText"/>
        <w:spacing w:before="7" w:line="249" w:lineRule="auto"/>
        <w:ind w:right="357" w:firstLine="360"/>
      </w:pPr>
      <w:r>
        <w:t xml:space="preserve">A thing’s being composed of metal that is of a certain temperature is, in the relevant respects, like my pounding the table. Things are to be explained in terms of it. And, though not itself an “event,” it is </w:t>
      </w:r>
      <w:r>
        <w:rPr>
          <w:i/>
        </w:rPr>
        <w:t xml:space="preserve">constituted </w:t>
      </w:r>
      <w:r>
        <w:t>by various interacting events, all of which occupy space-time. So the skillet’s having a certain temperature, at a given time, is something that can, and indeed obviously must, stand in nomic relations. And the same is true of the skillet’s expanding during a given interval.</w:t>
      </w:r>
    </w:p>
    <w:p w14:paraId="7E002115" w14:textId="77777777" w:rsidR="009A58DB" w:rsidRDefault="00000000">
      <w:pPr>
        <w:pStyle w:val="BodyText"/>
        <w:spacing w:before="9" w:line="249" w:lineRule="auto"/>
        <w:ind w:right="358" w:firstLine="360"/>
      </w:pPr>
      <w:r>
        <w:t xml:space="preserve">But a thing’s </w:t>
      </w:r>
      <w:r>
        <w:rPr>
          <w:i/>
        </w:rPr>
        <w:t xml:space="preserve">not </w:t>
      </w:r>
      <w:r>
        <w:t xml:space="preserve">expanding is, in the relevant respects, like my </w:t>
      </w:r>
      <w:r>
        <w:rPr>
          <w:i/>
        </w:rPr>
        <w:t xml:space="preserve">not </w:t>
      </w:r>
      <w:r>
        <w:t xml:space="preserve">destroying Jupiter, and so is a thing’s </w:t>
      </w:r>
      <w:r>
        <w:rPr>
          <w:i/>
        </w:rPr>
        <w:t xml:space="preserve">not </w:t>
      </w:r>
      <w:r>
        <w:t>being heated metal. So, whereas a thing’s being heated metal is, or at least could be, nomically related to its expanding,</w:t>
      </w:r>
      <w:r>
        <w:rPr>
          <w:spacing w:val="-3"/>
        </w:rPr>
        <w:t xml:space="preserve"> </w:t>
      </w:r>
      <w:r>
        <w:t>it</w:t>
      </w:r>
      <w:r>
        <w:rPr>
          <w:spacing w:val="-4"/>
        </w:rPr>
        <w:t xml:space="preserve"> </w:t>
      </w:r>
      <w:r>
        <w:t>doesn’t</w:t>
      </w:r>
      <w:r>
        <w:rPr>
          <w:spacing w:val="-4"/>
        </w:rPr>
        <w:t xml:space="preserve"> </w:t>
      </w:r>
      <w:r>
        <w:t>follow,</w:t>
      </w:r>
      <w:r>
        <w:rPr>
          <w:spacing w:val="-3"/>
        </w:rPr>
        <w:t xml:space="preserve"> </w:t>
      </w:r>
      <w:r>
        <w:t>and</w:t>
      </w:r>
      <w:r>
        <w:rPr>
          <w:spacing w:val="-3"/>
        </w:rPr>
        <w:t xml:space="preserve"> </w:t>
      </w:r>
      <w:r>
        <w:t>it</w:t>
      </w:r>
      <w:r>
        <w:rPr>
          <w:spacing w:val="-4"/>
        </w:rPr>
        <w:t xml:space="preserve"> </w:t>
      </w:r>
      <w:r>
        <w:t>isn’t</w:t>
      </w:r>
      <w:r>
        <w:rPr>
          <w:spacing w:val="-4"/>
        </w:rPr>
        <w:t xml:space="preserve"> </w:t>
      </w:r>
      <w:r>
        <w:t>the</w:t>
      </w:r>
      <w:r>
        <w:rPr>
          <w:spacing w:val="-4"/>
        </w:rPr>
        <w:t xml:space="preserve"> </w:t>
      </w:r>
      <w:r>
        <w:t>case,</w:t>
      </w:r>
      <w:r>
        <w:rPr>
          <w:spacing w:val="-3"/>
        </w:rPr>
        <w:t xml:space="preserve"> </w:t>
      </w:r>
      <w:r>
        <w:t>that</w:t>
      </w:r>
      <w:r>
        <w:rPr>
          <w:spacing w:val="-4"/>
        </w:rPr>
        <w:t xml:space="preserve"> </w:t>
      </w:r>
      <w:r>
        <w:t>a</w:t>
      </w:r>
      <w:r>
        <w:rPr>
          <w:spacing w:val="-4"/>
        </w:rPr>
        <w:t xml:space="preserve"> </w:t>
      </w:r>
      <w:r>
        <w:t>thing’s</w:t>
      </w:r>
      <w:r>
        <w:rPr>
          <w:spacing w:val="-4"/>
        </w:rPr>
        <w:t xml:space="preserve"> </w:t>
      </w:r>
      <w:r>
        <w:rPr>
          <w:i/>
        </w:rPr>
        <w:t xml:space="preserve">not </w:t>
      </w:r>
      <w:r>
        <w:t xml:space="preserve">expanding could be nomically related to its </w:t>
      </w:r>
      <w:r>
        <w:rPr>
          <w:i/>
        </w:rPr>
        <w:t xml:space="preserve">not </w:t>
      </w:r>
      <w:r>
        <w:t>being heated metal.</w:t>
      </w:r>
    </w:p>
    <w:p w14:paraId="7E002116" w14:textId="77777777" w:rsidR="009A58DB" w:rsidRDefault="00000000">
      <w:pPr>
        <w:pStyle w:val="BodyText"/>
        <w:spacing w:before="6" w:line="249" w:lineRule="auto"/>
        <w:ind w:right="361" w:firstLine="360"/>
      </w:pPr>
      <w:r>
        <w:t xml:space="preserve">These points make it clear why MHW isn’t logically equivalent with HMW. A thing’s being heated metal </w:t>
      </w:r>
      <w:r>
        <w:rPr>
          <w:i/>
        </w:rPr>
        <w:t xml:space="preserve">can </w:t>
      </w:r>
      <w:r>
        <w:t>(and, in fact, must) be nomically related to other things, and the same is true of a thing’s expanding. But a thing’s</w:t>
      </w:r>
      <w:r>
        <w:rPr>
          <w:spacing w:val="-4"/>
        </w:rPr>
        <w:t xml:space="preserve"> </w:t>
      </w:r>
      <w:r>
        <w:rPr>
          <w:i/>
        </w:rPr>
        <w:t xml:space="preserve">not </w:t>
      </w:r>
      <w:r>
        <w:t xml:space="preserve">expanding, like my </w:t>
      </w:r>
      <w:r>
        <w:rPr>
          <w:i/>
        </w:rPr>
        <w:t xml:space="preserve">not </w:t>
      </w:r>
      <w:r>
        <w:t xml:space="preserve">destroying Jupiter, isn’t nomically related to anything, and neither is a thing’s </w:t>
      </w:r>
      <w:r>
        <w:rPr>
          <w:i/>
        </w:rPr>
        <w:t xml:space="preserve">not </w:t>
      </w:r>
      <w:r>
        <w:t>being heated metal. And that’s why, even</w:t>
      </w:r>
      <w:r>
        <w:rPr>
          <w:spacing w:val="-1"/>
        </w:rPr>
        <w:t xml:space="preserve"> </w:t>
      </w:r>
      <w:r>
        <w:t>though,</w:t>
      </w:r>
      <w:r>
        <w:rPr>
          <w:spacing w:val="-1"/>
        </w:rPr>
        <w:t xml:space="preserve"> </w:t>
      </w:r>
      <w:r>
        <w:t>when</w:t>
      </w:r>
      <w:r>
        <w:rPr>
          <w:spacing w:val="-1"/>
        </w:rPr>
        <w:t xml:space="preserve"> </w:t>
      </w:r>
      <w:r>
        <w:t>read</w:t>
      </w:r>
      <w:r>
        <w:rPr>
          <w:spacing w:val="-1"/>
        </w:rPr>
        <w:t xml:space="preserve"> </w:t>
      </w:r>
      <w:r>
        <w:t>as</w:t>
      </w:r>
      <w:r>
        <w:rPr>
          <w:spacing w:val="-1"/>
        </w:rPr>
        <w:t xml:space="preserve"> </w:t>
      </w:r>
      <w:r>
        <w:t>merely</w:t>
      </w:r>
      <w:r>
        <w:rPr>
          <w:spacing w:val="-1"/>
        </w:rPr>
        <w:t xml:space="preserve"> </w:t>
      </w:r>
      <w:r>
        <w:t>affirming</w:t>
      </w:r>
      <w:r>
        <w:rPr>
          <w:spacing w:val="-1"/>
        </w:rPr>
        <w:t xml:space="preserve"> </w:t>
      </w:r>
      <w:r>
        <w:rPr>
          <w:i/>
        </w:rPr>
        <w:t>de</w:t>
      </w:r>
      <w:r>
        <w:rPr>
          <w:i/>
          <w:spacing w:val="-4"/>
        </w:rPr>
        <w:t xml:space="preserve"> </w:t>
      </w:r>
      <w:r>
        <w:rPr>
          <w:i/>
        </w:rPr>
        <w:t>facto</w:t>
      </w:r>
      <w:r>
        <w:rPr>
          <w:i/>
          <w:spacing w:val="-3"/>
        </w:rPr>
        <w:t xml:space="preserve"> </w:t>
      </w:r>
      <w:r>
        <w:rPr>
          <w:i/>
        </w:rPr>
        <w:t>concomitances,</w:t>
      </w:r>
      <w:r>
        <w:rPr>
          <w:i/>
          <w:spacing w:val="-4"/>
        </w:rPr>
        <w:t xml:space="preserve"> </w:t>
      </w:r>
      <w:r>
        <w:t>MH</w:t>
      </w:r>
      <w:r>
        <w:rPr>
          <w:spacing w:val="-4"/>
        </w:rPr>
        <w:t xml:space="preserve"> </w:t>
      </w:r>
      <w:r>
        <w:t xml:space="preserve">and HM are equivalent, they cannot always be intersubstituted </w:t>
      </w:r>
      <w:r>
        <w:rPr>
          <w:i/>
        </w:rPr>
        <w:t xml:space="preserve">salva veritate. </w:t>
      </w:r>
      <w:r>
        <w:t>In particular, they cannot be so intersubstituted in contexts governed by the operator that begins each of MHW and HMW (viz. “‘thanks to the existence of some kind of nomic (or causal) connection between the two properties about to be mentioned”). There is nothing mysterious about this. Many operators don’t permit intersubstitutions of logically equivalent expressions. Logically equivalent sentences can be truth-preservingly intersubstituted in contexts governed by (e.g.) “it is true that,” but not, at least not categorically,</w:t>
      </w:r>
    </w:p>
    <w:p w14:paraId="7E00211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18" w14:textId="77777777" w:rsidR="009A58DB" w:rsidRDefault="00000000">
      <w:pPr>
        <w:pStyle w:val="BodyText"/>
        <w:spacing w:before="65" w:line="249" w:lineRule="auto"/>
        <w:ind w:right="367"/>
      </w:pPr>
      <w:r>
        <w:lastRenderedPageBreak/>
        <w:t>in contexts governed by “Timmy believes that.” The operator “there is a nomic connection between the facts expressed by the antecedent and consequent of the following statement” doesn’t tolerate intersubstitutions of logically equivalent sentences. For, even if:</w:t>
      </w:r>
    </w:p>
    <w:p w14:paraId="7E002119" w14:textId="77777777" w:rsidR="009A58DB" w:rsidRDefault="00000000">
      <w:pPr>
        <w:pStyle w:val="BodyText"/>
        <w:spacing w:before="110" w:line="249" w:lineRule="auto"/>
        <w:ind w:right="367"/>
      </w:pPr>
      <w:r>
        <w:t>(T1) “there is a nomic connection between the facts expressed by the antecedent and consequent of the following statement: if x is heated metal, then x is expanding”</w:t>
      </w:r>
    </w:p>
    <w:p w14:paraId="7E00211A" w14:textId="77777777" w:rsidR="009A58DB" w:rsidRDefault="00000000">
      <w:pPr>
        <w:pStyle w:val="BodyText"/>
        <w:spacing w:before="93"/>
      </w:pPr>
      <w:r>
        <w:t>is</w:t>
      </w:r>
      <w:r>
        <w:rPr>
          <w:spacing w:val="-4"/>
        </w:rPr>
        <w:t xml:space="preserve"> </w:t>
      </w:r>
      <w:r>
        <w:t>true,</w:t>
      </w:r>
      <w:r>
        <w:rPr>
          <w:spacing w:val="-2"/>
        </w:rPr>
        <w:t xml:space="preserve"> </w:t>
      </w:r>
      <w:r>
        <w:t>it</w:t>
      </w:r>
      <w:r>
        <w:rPr>
          <w:spacing w:val="-3"/>
        </w:rPr>
        <w:t xml:space="preserve"> </w:t>
      </w:r>
      <w:r>
        <w:t>doesn’t</w:t>
      </w:r>
      <w:r>
        <w:rPr>
          <w:spacing w:val="-3"/>
        </w:rPr>
        <w:t xml:space="preserve"> </w:t>
      </w:r>
      <w:r>
        <w:t>follow</w:t>
      </w:r>
      <w:r>
        <w:rPr>
          <w:spacing w:val="-3"/>
        </w:rPr>
        <w:t xml:space="preserve"> </w:t>
      </w:r>
      <w:r>
        <w:rPr>
          <w:spacing w:val="-4"/>
        </w:rPr>
        <w:t>that</w:t>
      </w:r>
    </w:p>
    <w:p w14:paraId="7E00211B" w14:textId="77777777" w:rsidR="009A58DB" w:rsidRDefault="00000000">
      <w:pPr>
        <w:pStyle w:val="BodyText"/>
        <w:spacing w:before="120" w:line="249" w:lineRule="auto"/>
        <w:ind w:right="368"/>
      </w:pPr>
      <w:r>
        <w:t>(T2) “there is a nomic connection between the facts expressed by the antecedent and consequent of the following statement: if x isn’t expanding, then x isn’t heated metal”</w:t>
      </w:r>
    </w:p>
    <w:p w14:paraId="7E00211C" w14:textId="77777777" w:rsidR="009A58DB" w:rsidRDefault="00000000">
      <w:pPr>
        <w:pStyle w:val="BodyText"/>
        <w:spacing w:before="109"/>
      </w:pPr>
      <w:r>
        <w:t>is</w:t>
      </w:r>
      <w:r>
        <w:rPr>
          <w:spacing w:val="-6"/>
        </w:rPr>
        <w:t xml:space="preserve"> </w:t>
      </w:r>
      <w:r>
        <w:t>also</w:t>
      </w:r>
      <w:r>
        <w:rPr>
          <w:spacing w:val="-2"/>
        </w:rPr>
        <w:t xml:space="preserve"> </w:t>
      </w:r>
      <w:r>
        <w:t>true.</w:t>
      </w:r>
      <w:r>
        <w:rPr>
          <w:spacing w:val="-2"/>
        </w:rPr>
        <w:t xml:space="preserve"> </w:t>
      </w:r>
      <w:r>
        <w:t>In</w:t>
      </w:r>
      <w:r>
        <w:rPr>
          <w:spacing w:val="-2"/>
        </w:rPr>
        <w:t xml:space="preserve"> </w:t>
      </w:r>
      <w:r>
        <w:t>fact,</w:t>
      </w:r>
      <w:r>
        <w:rPr>
          <w:spacing w:val="-3"/>
        </w:rPr>
        <w:t xml:space="preserve"> </w:t>
      </w:r>
      <w:r>
        <w:t>T1</w:t>
      </w:r>
      <w:r>
        <w:rPr>
          <w:spacing w:val="-2"/>
        </w:rPr>
        <w:t xml:space="preserve"> </w:t>
      </w:r>
      <w:r>
        <w:t>is,</w:t>
      </w:r>
      <w:r>
        <w:rPr>
          <w:spacing w:val="-2"/>
        </w:rPr>
        <w:t xml:space="preserve"> </w:t>
      </w:r>
      <w:r>
        <w:t>for</w:t>
      </w:r>
      <w:r>
        <w:rPr>
          <w:spacing w:val="-3"/>
        </w:rPr>
        <w:t xml:space="preserve"> </w:t>
      </w:r>
      <w:r>
        <w:t>the</w:t>
      </w:r>
      <w:r>
        <w:rPr>
          <w:spacing w:val="-3"/>
        </w:rPr>
        <w:t xml:space="preserve"> </w:t>
      </w:r>
      <w:r>
        <w:t>reasons</w:t>
      </w:r>
      <w:r>
        <w:rPr>
          <w:spacing w:val="-4"/>
        </w:rPr>
        <w:t xml:space="preserve"> </w:t>
      </w:r>
      <w:r>
        <w:t>just</w:t>
      </w:r>
      <w:r>
        <w:rPr>
          <w:spacing w:val="-3"/>
        </w:rPr>
        <w:t xml:space="preserve"> </w:t>
      </w:r>
      <w:r>
        <w:t>given,</w:t>
      </w:r>
      <w:r>
        <w:rPr>
          <w:spacing w:val="-2"/>
        </w:rPr>
        <w:t xml:space="preserve"> </w:t>
      </w:r>
      <w:r>
        <w:t>quite</w:t>
      </w:r>
      <w:r>
        <w:rPr>
          <w:spacing w:val="-3"/>
        </w:rPr>
        <w:t xml:space="preserve"> </w:t>
      </w:r>
      <w:r>
        <w:t>plainly</w:t>
      </w:r>
      <w:r>
        <w:rPr>
          <w:spacing w:val="-2"/>
        </w:rPr>
        <w:t xml:space="preserve"> false.</w:t>
      </w:r>
    </w:p>
    <w:p w14:paraId="7E00211D" w14:textId="77777777" w:rsidR="009A58DB" w:rsidRDefault="00000000">
      <w:pPr>
        <w:pStyle w:val="Heading1"/>
        <w:numPr>
          <w:ilvl w:val="1"/>
          <w:numId w:val="77"/>
        </w:numPr>
        <w:tabs>
          <w:tab w:val="left" w:pos="990"/>
        </w:tabs>
      </w:pPr>
      <w:r>
        <w:t>Hume-internal</w:t>
      </w:r>
      <w:r>
        <w:rPr>
          <w:spacing w:val="-8"/>
        </w:rPr>
        <w:t xml:space="preserve"> </w:t>
      </w:r>
      <w:r>
        <w:t>solutions</w:t>
      </w:r>
      <w:r>
        <w:rPr>
          <w:spacing w:val="-5"/>
        </w:rPr>
        <w:t xml:space="preserve"> </w:t>
      </w:r>
      <w:r>
        <w:t>to</w:t>
      </w:r>
      <w:r>
        <w:rPr>
          <w:spacing w:val="-5"/>
        </w:rPr>
        <w:t xml:space="preserve"> </w:t>
      </w:r>
      <w:r>
        <w:t>the</w:t>
      </w:r>
      <w:r>
        <w:rPr>
          <w:spacing w:val="-5"/>
        </w:rPr>
        <w:t xml:space="preserve"> </w:t>
      </w:r>
      <w:r>
        <w:t>raven</w:t>
      </w:r>
      <w:r>
        <w:rPr>
          <w:spacing w:val="-5"/>
        </w:rPr>
        <w:t xml:space="preserve"> </w:t>
      </w:r>
      <w:r>
        <w:rPr>
          <w:spacing w:val="-2"/>
        </w:rPr>
        <w:t>paradox</w:t>
      </w:r>
    </w:p>
    <w:p w14:paraId="7E00211E" w14:textId="77777777" w:rsidR="009A58DB" w:rsidRDefault="00000000">
      <w:pPr>
        <w:pStyle w:val="BodyText"/>
        <w:spacing w:before="124" w:line="249" w:lineRule="auto"/>
        <w:ind w:right="360"/>
      </w:pPr>
      <w:r>
        <w:t>Quine’s (1977) solution is to say that that logical equivalence doesn’t guarantee</w:t>
      </w:r>
      <w:r>
        <w:rPr>
          <w:spacing w:val="-3"/>
        </w:rPr>
        <w:t xml:space="preserve"> </w:t>
      </w:r>
      <w:r>
        <w:t>confirmational</w:t>
      </w:r>
      <w:r>
        <w:rPr>
          <w:spacing w:val="-3"/>
        </w:rPr>
        <w:t xml:space="preserve"> </w:t>
      </w:r>
      <w:r>
        <w:t>equivalence.</w:t>
      </w:r>
      <w:r>
        <w:rPr>
          <w:spacing w:val="-3"/>
        </w:rPr>
        <w:t xml:space="preserve"> </w:t>
      </w:r>
      <w:r>
        <w:t>This</w:t>
      </w:r>
      <w:r>
        <w:rPr>
          <w:spacing w:val="-3"/>
        </w:rPr>
        <w:t xml:space="preserve"> </w:t>
      </w:r>
      <w:r>
        <w:t>idea</w:t>
      </w:r>
      <w:r>
        <w:rPr>
          <w:spacing w:val="-3"/>
        </w:rPr>
        <w:t xml:space="preserve"> </w:t>
      </w:r>
      <w:r>
        <w:t>is</w:t>
      </w:r>
      <w:r>
        <w:rPr>
          <w:spacing w:val="-3"/>
        </w:rPr>
        <w:t xml:space="preserve"> </w:t>
      </w:r>
      <w:r>
        <w:t>totally</w:t>
      </w:r>
      <w:r>
        <w:rPr>
          <w:spacing w:val="-3"/>
        </w:rPr>
        <w:t xml:space="preserve"> </w:t>
      </w:r>
      <w:r>
        <w:t>incoherent.</w:t>
      </w:r>
      <w:r>
        <w:rPr>
          <w:spacing w:val="-3"/>
        </w:rPr>
        <w:t xml:space="preserve"> </w:t>
      </w:r>
      <w:r>
        <w:t>P</w:t>
      </w:r>
      <w:r>
        <w:rPr>
          <w:spacing w:val="-3"/>
        </w:rPr>
        <w:t xml:space="preserve"> </w:t>
      </w:r>
      <w:r>
        <w:t>and</w:t>
      </w:r>
      <w:r>
        <w:rPr>
          <w:spacing w:val="-3"/>
        </w:rPr>
        <w:t xml:space="preserve"> </w:t>
      </w:r>
      <w:r>
        <w:t>Q are equivalent if they are true in exactly the same worlds. Thus, supposing that P and Q are equivalent, it immediately follows that, given any proposition R, the likelihood of R’s being true in a world where P is true is identical with the likelihood of R’s being true in a world where Q is true. Quine’s proposed solution is thus a non-starter.</w:t>
      </w:r>
    </w:p>
    <w:p w14:paraId="7E00211F" w14:textId="77777777" w:rsidR="009A58DB" w:rsidRDefault="00000000">
      <w:pPr>
        <w:pStyle w:val="BodyText"/>
        <w:spacing w:before="9" w:line="249" w:lineRule="auto"/>
        <w:ind w:right="358" w:firstLine="360"/>
      </w:pPr>
      <w:r>
        <w:t xml:space="preserve">Hempel proposes a different solution. It obviously </w:t>
      </w:r>
      <w:r>
        <w:rPr>
          <w:i/>
        </w:rPr>
        <w:t xml:space="preserve">seems </w:t>
      </w:r>
      <w:r>
        <w:t>as though the existence of a pink piano provides less support for:</w:t>
      </w:r>
    </w:p>
    <w:p w14:paraId="7E002120" w14:textId="77777777" w:rsidR="009A58DB" w:rsidRDefault="00000000">
      <w:pPr>
        <w:pStyle w:val="ListParagraph"/>
        <w:numPr>
          <w:ilvl w:val="2"/>
          <w:numId w:val="77"/>
        </w:numPr>
        <w:tabs>
          <w:tab w:val="left" w:pos="1142"/>
        </w:tabs>
        <w:spacing w:before="212"/>
        <w:ind w:left="1142" w:hanging="422"/>
        <w:jc w:val="both"/>
        <w:rPr>
          <w:sz w:val="30"/>
        </w:rPr>
      </w:pPr>
      <w:r>
        <w:rPr>
          <w:sz w:val="30"/>
        </w:rPr>
        <w:t>“All</w:t>
      </w:r>
      <w:r>
        <w:rPr>
          <w:spacing w:val="-4"/>
          <w:sz w:val="30"/>
        </w:rPr>
        <w:t xml:space="preserve"> </w:t>
      </w:r>
      <w:r>
        <w:rPr>
          <w:sz w:val="30"/>
        </w:rPr>
        <w:t>ravens</w:t>
      </w:r>
      <w:r>
        <w:rPr>
          <w:spacing w:val="-4"/>
          <w:sz w:val="30"/>
        </w:rPr>
        <w:t xml:space="preserve"> </w:t>
      </w:r>
      <w:r>
        <w:rPr>
          <w:sz w:val="30"/>
        </w:rPr>
        <w:t>are</w:t>
      </w:r>
      <w:r>
        <w:rPr>
          <w:spacing w:val="-3"/>
          <w:sz w:val="30"/>
        </w:rPr>
        <w:t xml:space="preserve"> </w:t>
      </w:r>
      <w:r>
        <w:rPr>
          <w:spacing w:val="-2"/>
          <w:sz w:val="30"/>
        </w:rPr>
        <w:t>black”</w:t>
      </w:r>
    </w:p>
    <w:p w14:paraId="7E002121" w14:textId="77777777" w:rsidR="009A58DB" w:rsidRDefault="00000000">
      <w:pPr>
        <w:pStyle w:val="BodyText"/>
        <w:spacing w:before="240" w:line="249" w:lineRule="auto"/>
        <w:ind w:right="365"/>
      </w:pPr>
      <w:r>
        <w:t xml:space="preserve">than does the existence of a black raven. And it obviously </w:t>
      </w:r>
      <w:r>
        <w:rPr>
          <w:i/>
        </w:rPr>
        <w:t xml:space="preserve">seems </w:t>
      </w:r>
      <w:r>
        <w:t>as though the existence of pink pianos provides more support for:</w:t>
      </w:r>
    </w:p>
    <w:p w14:paraId="7E002122" w14:textId="77777777" w:rsidR="009A58DB" w:rsidRDefault="00000000">
      <w:pPr>
        <w:pStyle w:val="ListParagraph"/>
        <w:numPr>
          <w:ilvl w:val="2"/>
          <w:numId w:val="77"/>
        </w:numPr>
        <w:tabs>
          <w:tab w:val="left" w:pos="1142"/>
        </w:tabs>
        <w:spacing w:before="213"/>
        <w:ind w:left="1142" w:hanging="422"/>
        <w:jc w:val="both"/>
        <w:rPr>
          <w:sz w:val="30"/>
        </w:rPr>
      </w:pPr>
      <w:r>
        <w:rPr>
          <w:sz w:val="30"/>
        </w:rPr>
        <w:t>“All</w:t>
      </w:r>
      <w:r>
        <w:rPr>
          <w:spacing w:val="-4"/>
          <w:sz w:val="30"/>
        </w:rPr>
        <w:t xml:space="preserve"> </w:t>
      </w:r>
      <w:r>
        <w:rPr>
          <w:sz w:val="30"/>
        </w:rPr>
        <w:t>non-black</w:t>
      </w:r>
      <w:r>
        <w:rPr>
          <w:spacing w:val="-4"/>
          <w:sz w:val="30"/>
        </w:rPr>
        <w:t xml:space="preserve"> </w:t>
      </w:r>
      <w:r>
        <w:rPr>
          <w:sz w:val="30"/>
        </w:rPr>
        <w:t>things</w:t>
      </w:r>
      <w:r>
        <w:rPr>
          <w:spacing w:val="-4"/>
          <w:sz w:val="30"/>
        </w:rPr>
        <w:t xml:space="preserve"> </w:t>
      </w:r>
      <w:r>
        <w:rPr>
          <w:sz w:val="30"/>
        </w:rPr>
        <w:t>are</w:t>
      </w:r>
      <w:r>
        <w:rPr>
          <w:spacing w:val="-3"/>
          <w:sz w:val="30"/>
        </w:rPr>
        <w:t xml:space="preserve"> </w:t>
      </w:r>
      <w:r>
        <w:rPr>
          <w:sz w:val="30"/>
        </w:rPr>
        <w:t>non-</w:t>
      </w:r>
      <w:r>
        <w:rPr>
          <w:spacing w:val="-2"/>
          <w:sz w:val="30"/>
        </w:rPr>
        <w:t>ravens’</w:t>
      </w:r>
    </w:p>
    <w:p w14:paraId="7E002123" w14:textId="77777777" w:rsidR="009A58DB" w:rsidRDefault="00000000">
      <w:pPr>
        <w:pStyle w:val="BodyText"/>
        <w:spacing w:before="120" w:line="249" w:lineRule="auto"/>
        <w:ind w:right="366"/>
      </w:pPr>
      <w:r>
        <w:t xml:space="preserve">than it does for (1). But, says Hempel, these intuitions are misleading. Under ordinary circumstances, if we know that something is a piano, we almost certainly </w:t>
      </w:r>
      <w:r>
        <w:rPr>
          <w:i/>
        </w:rPr>
        <w:t xml:space="preserve">already </w:t>
      </w:r>
      <w:r>
        <w:t>know that it isn’t a raven.</w:t>
      </w:r>
    </w:p>
    <w:p w14:paraId="7E002124" w14:textId="77777777" w:rsidR="009A58DB" w:rsidRDefault="00000000">
      <w:pPr>
        <w:pStyle w:val="BodyText"/>
        <w:spacing w:before="3" w:line="249" w:lineRule="auto"/>
        <w:ind w:right="368" w:firstLine="360"/>
      </w:pPr>
      <w:r>
        <w:t>But imagine the following. You have bet your friend Smith a $1,000,000 that</w:t>
      </w:r>
      <w:r>
        <w:rPr>
          <w:spacing w:val="12"/>
        </w:rPr>
        <w:t xml:space="preserve"> </w:t>
      </w:r>
      <w:r>
        <w:t>all</w:t>
      </w:r>
      <w:r>
        <w:rPr>
          <w:spacing w:val="16"/>
        </w:rPr>
        <w:t xml:space="preserve"> </w:t>
      </w:r>
      <w:r>
        <w:t>ravens</w:t>
      </w:r>
      <w:r>
        <w:rPr>
          <w:spacing w:val="16"/>
        </w:rPr>
        <w:t xml:space="preserve"> </w:t>
      </w:r>
      <w:r>
        <w:t>are</w:t>
      </w:r>
      <w:r>
        <w:rPr>
          <w:spacing w:val="16"/>
        </w:rPr>
        <w:t xml:space="preserve"> </w:t>
      </w:r>
      <w:r>
        <w:t>black.</w:t>
      </w:r>
      <w:r>
        <w:rPr>
          <w:spacing w:val="16"/>
        </w:rPr>
        <w:t xml:space="preserve"> </w:t>
      </w:r>
      <w:r>
        <w:t>There</w:t>
      </w:r>
      <w:r>
        <w:rPr>
          <w:spacing w:val="16"/>
        </w:rPr>
        <w:t xml:space="preserve"> </w:t>
      </w:r>
      <w:r>
        <w:t>is</w:t>
      </w:r>
      <w:r>
        <w:rPr>
          <w:spacing w:val="16"/>
        </w:rPr>
        <w:t xml:space="preserve"> </w:t>
      </w:r>
      <w:r>
        <w:t>some</w:t>
      </w:r>
      <w:r>
        <w:rPr>
          <w:spacing w:val="16"/>
        </w:rPr>
        <w:t xml:space="preserve"> </w:t>
      </w:r>
      <w:r>
        <w:t>object</w:t>
      </w:r>
      <w:r>
        <w:rPr>
          <w:spacing w:val="16"/>
        </w:rPr>
        <w:t xml:space="preserve"> </w:t>
      </w:r>
      <w:r>
        <w:t>x</w:t>
      </w:r>
      <w:r>
        <w:rPr>
          <w:spacing w:val="16"/>
        </w:rPr>
        <w:t xml:space="preserve"> </w:t>
      </w:r>
      <w:r>
        <w:t>such</w:t>
      </w:r>
      <w:r>
        <w:rPr>
          <w:spacing w:val="16"/>
        </w:rPr>
        <w:t xml:space="preserve"> </w:t>
      </w:r>
      <w:r>
        <w:t>that,</w:t>
      </w:r>
      <w:r>
        <w:rPr>
          <w:spacing w:val="16"/>
        </w:rPr>
        <w:t xml:space="preserve"> </w:t>
      </w:r>
      <w:r>
        <w:t>although</w:t>
      </w:r>
      <w:r>
        <w:rPr>
          <w:spacing w:val="16"/>
        </w:rPr>
        <w:t xml:space="preserve"> </w:t>
      </w:r>
      <w:r>
        <w:t>you</w:t>
      </w:r>
      <w:r>
        <w:rPr>
          <w:spacing w:val="16"/>
        </w:rPr>
        <w:t xml:space="preserve"> </w:t>
      </w:r>
      <w:r>
        <w:rPr>
          <w:spacing w:val="-5"/>
        </w:rPr>
        <w:t>and</w:t>
      </w:r>
    </w:p>
    <w:p w14:paraId="7E00212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26" w14:textId="77777777" w:rsidR="009A58DB" w:rsidRDefault="00000000">
      <w:pPr>
        <w:pStyle w:val="BodyText"/>
        <w:spacing w:before="64" w:line="249" w:lineRule="auto"/>
        <w:ind w:right="360"/>
      </w:pPr>
      <w:r>
        <w:lastRenderedPageBreak/>
        <w:t xml:space="preserve">Smith don’t yet know it, x is a piano. All you know about x is that it’s pink. In that case, when you </w:t>
      </w:r>
      <w:r>
        <w:rPr>
          <w:i/>
        </w:rPr>
        <w:t xml:space="preserve">discover </w:t>
      </w:r>
      <w:r>
        <w:t>that x is a piano, and thus a non-raven, you (but not Smith) will breathe a sigh of relief; and your confidence in (1) will surge, and so, of course, will your confidence in (2).</w:t>
      </w:r>
    </w:p>
    <w:p w14:paraId="7E002127" w14:textId="77777777" w:rsidR="009A58DB" w:rsidRDefault="00000000">
      <w:pPr>
        <w:pStyle w:val="BodyText"/>
        <w:spacing w:before="6"/>
        <w:ind w:left="720"/>
      </w:pPr>
      <w:r>
        <w:t>Now</w:t>
      </w:r>
      <w:r>
        <w:rPr>
          <w:spacing w:val="68"/>
        </w:rPr>
        <w:t xml:space="preserve"> </w:t>
      </w:r>
      <w:r>
        <w:t>imagine</w:t>
      </w:r>
      <w:r>
        <w:rPr>
          <w:spacing w:val="70"/>
        </w:rPr>
        <w:t xml:space="preserve"> </w:t>
      </w:r>
      <w:r>
        <w:t>a</w:t>
      </w:r>
      <w:r>
        <w:rPr>
          <w:spacing w:val="71"/>
        </w:rPr>
        <w:t xml:space="preserve"> </w:t>
      </w:r>
      <w:r>
        <w:t>different</w:t>
      </w:r>
      <w:r>
        <w:rPr>
          <w:spacing w:val="70"/>
        </w:rPr>
        <w:t xml:space="preserve"> </w:t>
      </w:r>
      <w:r>
        <w:t>scenario.</w:t>
      </w:r>
      <w:r>
        <w:rPr>
          <w:spacing w:val="71"/>
        </w:rPr>
        <w:t xml:space="preserve"> </w:t>
      </w:r>
      <w:r>
        <w:t>You</w:t>
      </w:r>
      <w:r>
        <w:rPr>
          <w:spacing w:val="70"/>
        </w:rPr>
        <w:t xml:space="preserve"> </w:t>
      </w:r>
      <w:r>
        <w:t>have</w:t>
      </w:r>
      <w:r>
        <w:rPr>
          <w:spacing w:val="71"/>
        </w:rPr>
        <w:t xml:space="preserve"> </w:t>
      </w:r>
      <w:r>
        <w:t>bet</w:t>
      </w:r>
      <w:r>
        <w:rPr>
          <w:spacing w:val="70"/>
        </w:rPr>
        <w:t xml:space="preserve"> </w:t>
      </w:r>
      <w:r>
        <w:t>your</w:t>
      </w:r>
      <w:r>
        <w:rPr>
          <w:spacing w:val="71"/>
        </w:rPr>
        <w:t xml:space="preserve"> </w:t>
      </w:r>
      <w:r>
        <w:t>friend</w:t>
      </w:r>
      <w:r>
        <w:rPr>
          <w:spacing w:val="70"/>
        </w:rPr>
        <w:t xml:space="preserve"> </w:t>
      </w:r>
      <w:r>
        <w:t>Smith</w:t>
      </w:r>
      <w:r>
        <w:rPr>
          <w:spacing w:val="71"/>
        </w:rPr>
        <w:t xml:space="preserve"> </w:t>
      </w:r>
      <w:r>
        <w:rPr>
          <w:spacing w:val="-10"/>
        </w:rPr>
        <w:t>a</w:t>
      </w:r>
    </w:p>
    <w:p w14:paraId="7E002128" w14:textId="77777777" w:rsidR="009A58DB" w:rsidRDefault="00000000">
      <w:pPr>
        <w:pStyle w:val="BodyText"/>
        <w:spacing w:before="15" w:line="249" w:lineRule="auto"/>
        <w:ind w:right="359"/>
      </w:pPr>
      <w:r>
        <w:t>$1,000,000 that all non-black things are non-ravens. There is some object y such</w:t>
      </w:r>
      <w:r>
        <w:rPr>
          <w:spacing w:val="-2"/>
        </w:rPr>
        <w:t xml:space="preserve"> </w:t>
      </w:r>
      <w:r>
        <w:t>that,</w:t>
      </w:r>
      <w:r>
        <w:rPr>
          <w:spacing w:val="-1"/>
        </w:rPr>
        <w:t xml:space="preserve"> </w:t>
      </w:r>
      <w:r>
        <w:t>although</w:t>
      </w:r>
      <w:r>
        <w:rPr>
          <w:spacing w:val="-2"/>
        </w:rPr>
        <w:t xml:space="preserve"> </w:t>
      </w:r>
      <w:r>
        <w:t>you</w:t>
      </w:r>
      <w:r>
        <w:rPr>
          <w:spacing w:val="-1"/>
        </w:rPr>
        <w:t xml:space="preserve"> </w:t>
      </w:r>
      <w:r>
        <w:t>and</w:t>
      </w:r>
      <w:r>
        <w:rPr>
          <w:spacing w:val="-2"/>
        </w:rPr>
        <w:t xml:space="preserve"> </w:t>
      </w:r>
      <w:r>
        <w:t>Smith</w:t>
      </w:r>
      <w:r>
        <w:rPr>
          <w:spacing w:val="-1"/>
        </w:rPr>
        <w:t xml:space="preserve"> </w:t>
      </w:r>
      <w:r>
        <w:t>don’t</w:t>
      </w:r>
      <w:r>
        <w:rPr>
          <w:spacing w:val="-2"/>
        </w:rPr>
        <w:t xml:space="preserve"> </w:t>
      </w:r>
      <w:r>
        <w:t>yet</w:t>
      </w:r>
      <w:r>
        <w:rPr>
          <w:spacing w:val="-2"/>
        </w:rPr>
        <w:t xml:space="preserve"> </w:t>
      </w:r>
      <w:r>
        <w:t>know</w:t>
      </w:r>
      <w:r>
        <w:rPr>
          <w:spacing w:val="-2"/>
        </w:rPr>
        <w:t xml:space="preserve"> </w:t>
      </w:r>
      <w:r>
        <w:t>it,</w:t>
      </w:r>
      <w:r>
        <w:rPr>
          <w:spacing w:val="-1"/>
        </w:rPr>
        <w:t xml:space="preserve"> </w:t>
      </w:r>
      <w:r>
        <w:t>y</w:t>
      </w:r>
      <w:r>
        <w:rPr>
          <w:spacing w:val="-2"/>
        </w:rPr>
        <w:t xml:space="preserve"> </w:t>
      </w:r>
      <w:r>
        <w:t>is</w:t>
      </w:r>
      <w:r>
        <w:rPr>
          <w:spacing w:val="-1"/>
        </w:rPr>
        <w:t xml:space="preserve"> </w:t>
      </w:r>
      <w:r>
        <w:t>black.</w:t>
      </w:r>
      <w:r>
        <w:rPr>
          <w:spacing w:val="-2"/>
        </w:rPr>
        <w:t xml:space="preserve"> </w:t>
      </w:r>
      <w:r>
        <w:t>All</w:t>
      </w:r>
      <w:r>
        <w:rPr>
          <w:spacing w:val="-2"/>
        </w:rPr>
        <w:t xml:space="preserve"> </w:t>
      </w:r>
      <w:r>
        <w:t>you</w:t>
      </w:r>
      <w:r>
        <w:rPr>
          <w:spacing w:val="-1"/>
        </w:rPr>
        <w:t xml:space="preserve"> </w:t>
      </w:r>
      <w:r>
        <w:t>know about y is that it’s a raven. When you discover that y is black, you will breathe a sigh of relief; and your confidence in (2) will surge, and so, of course, will your confidence in (1).</w:t>
      </w:r>
    </w:p>
    <w:p w14:paraId="7E002129" w14:textId="77777777" w:rsidR="009A58DB" w:rsidRDefault="00000000">
      <w:pPr>
        <w:pStyle w:val="BodyText"/>
        <w:spacing w:before="6" w:line="249" w:lineRule="auto"/>
        <w:ind w:right="364" w:firstLine="360"/>
      </w:pPr>
      <w:r>
        <w:t>Thus, to Hempel, the confirmational disparities between (1) and (2) are illusory. When we imagine ourselves trying to confirm (2), we assume that we are looking at</w:t>
      </w:r>
      <w:r>
        <w:rPr>
          <w:spacing w:val="-1"/>
        </w:rPr>
        <w:t xml:space="preserve"> </w:t>
      </w:r>
      <w:r>
        <w:t>things that</w:t>
      </w:r>
      <w:r>
        <w:rPr>
          <w:spacing w:val="-1"/>
        </w:rPr>
        <w:t xml:space="preserve"> </w:t>
      </w:r>
      <w:r>
        <w:t xml:space="preserve">we </w:t>
      </w:r>
      <w:r>
        <w:rPr>
          <w:i/>
        </w:rPr>
        <w:t>already</w:t>
      </w:r>
      <w:r>
        <w:rPr>
          <w:i/>
          <w:spacing w:val="-2"/>
        </w:rPr>
        <w:t xml:space="preserve"> </w:t>
      </w:r>
      <w:r>
        <w:t xml:space="preserve">know to be non-ravens, but we don’t make the same assumption </w:t>
      </w:r>
      <w:r>
        <w:rPr>
          <w:i/>
        </w:rPr>
        <w:t xml:space="preserve">mutatis mutandis </w:t>
      </w:r>
      <w:r>
        <w:t>when we imagine ourselves to be trying to confirm.</w:t>
      </w:r>
    </w:p>
    <w:p w14:paraId="7E00212A" w14:textId="77777777" w:rsidR="009A58DB" w:rsidRDefault="00000000">
      <w:pPr>
        <w:pStyle w:val="BodyText"/>
        <w:spacing w:before="6" w:line="249" w:lineRule="auto"/>
        <w:ind w:right="358" w:firstLine="360"/>
      </w:pPr>
      <w:r>
        <w:t xml:space="preserve">Hempel’s solution is better than Quine’s, but it’s still no good. The problem is that, if it’s known that there is no nomic or causal relationship between a thing’s being a raven, on the one hand, and its being black, on the other, then there is ipso facto no reason to believe that the next raven you see will be black. Maybe you’ve seen a million ravens, all of them black. It’s doesn’t matter. Unless you have reason to believe that a thing’s being a raven is connected somehow to its being black, you’re guilty of the gambler’s fallacy if, on the basis of that data, you believe that the next raven you see is (likely to be) black. But if you </w:t>
      </w:r>
      <w:r>
        <w:rPr>
          <w:i/>
        </w:rPr>
        <w:t xml:space="preserve">do </w:t>
      </w:r>
      <w:r>
        <w:t>believe that a thing’s being a raven is connected in some way to its being black, then your confidence in (1) is derivative of your confidence in:</w:t>
      </w:r>
    </w:p>
    <w:p w14:paraId="7E00212B" w14:textId="77777777" w:rsidR="009A58DB" w:rsidRDefault="00000000">
      <w:pPr>
        <w:pStyle w:val="BodyText"/>
        <w:spacing w:before="118"/>
      </w:pPr>
      <w:r>
        <w:t>(1*)</w:t>
      </w:r>
      <w:r>
        <w:rPr>
          <w:spacing w:val="-5"/>
        </w:rPr>
        <w:t xml:space="preserve"> </w:t>
      </w:r>
      <w:r>
        <w:t>a</w:t>
      </w:r>
      <w:r>
        <w:rPr>
          <w:spacing w:val="-3"/>
        </w:rPr>
        <w:t xml:space="preserve"> </w:t>
      </w:r>
      <w:r>
        <w:t>thing’s</w:t>
      </w:r>
      <w:r>
        <w:rPr>
          <w:spacing w:val="-2"/>
        </w:rPr>
        <w:t xml:space="preserve"> </w:t>
      </w:r>
      <w:r>
        <w:t>being</w:t>
      </w:r>
      <w:r>
        <w:rPr>
          <w:spacing w:val="-2"/>
        </w:rPr>
        <w:t xml:space="preserve"> </w:t>
      </w:r>
      <w:r>
        <w:t>a</w:t>
      </w:r>
      <w:r>
        <w:rPr>
          <w:spacing w:val="-2"/>
        </w:rPr>
        <w:t xml:space="preserve"> </w:t>
      </w:r>
      <w:r>
        <w:t>raven</w:t>
      </w:r>
      <w:r>
        <w:rPr>
          <w:spacing w:val="-2"/>
        </w:rPr>
        <w:t xml:space="preserve"> </w:t>
      </w:r>
      <w:r>
        <w:t>provides</w:t>
      </w:r>
      <w:r>
        <w:rPr>
          <w:spacing w:val="-2"/>
        </w:rPr>
        <w:t xml:space="preserve"> </w:t>
      </w:r>
      <w:r>
        <w:t>a</w:t>
      </w:r>
      <w:r>
        <w:rPr>
          <w:spacing w:val="-3"/>
        </w:rPr>
        <w:t xml:space="preserve"> </w:t>
      </w:r>
      <w:r>
        <w:t>basis</w:t>
      </w:r>
      <w:r>
        <w:rPr>
          <w:spacing w:val="-2"/>
        </w:rPr>
        <w:t xml:space="preserve"> </w:t>
      </w:r>
      <w:r>
        <w:t>of</w:t>
      </w:r>
      <w:r>
        <w:rPr>
          <w:spacing w:val="-3"/>
        </w:rPr>
        <w:t xml:space="preserve"> </w:t>
      </w:r>
      <w:r>
        <w:t>some</w:t>
      </w:r>
      <w:r>
        <w:rPr>
          <w:spacing w:val="-2"/>
        </w:rPr>
        <w:t xml:space="preserve"> </w:t>
      </w:r>
      <w:r>
        <w:t>kind</w:t>
      </w:r>
      <w:r>
        <w:rPr>
          <w:spacing w:val="-2"/>
        </w:rPr>
        <w:t xml:space="preserve"> </w:t>
      </w:r>
      <w:r>
        <w:t>for</w:t>
      </w:r>
      <w:r>
        <w:rPr>
          <w:spacing w:val="-2"/>
        </w:rPr>
        <w:t xml:space="preserve"> </w:t>
      </w:r>
      <w:r>
        <w:t>its</w:t>
      </w:r>
      <w:r>
        <w:rPr>
          <w:spacing w:val="-3"/>
        </w:rPr>
        <w:t xml:space="preserve"> </w:t>
      </w:r>
      <w:r>
        <w:t>being</w:t>
      </w:r>
      <w:r>
        <w:rPr>
          <w:spacing w:val="-1"/>
        </w:rPr>
        <w:t xml:space="preserve"> </w:t>
      </w:r>
      <w:r>
        <w:rPr>
          <w:spacing w:val="-2"/>
        </w:rPr>
        <w:t>black.</w:t>
      </w:r>
    </w:p>
    <w:p w14:paraId="7E00212C" w14:textId="77777777" w:rsidR="009A58DB" w:rsidRDefault="00000000">
      <w:pPr>
        <w:pStyle w:val="BodyText"/>
        <w:spacing w:before="105" w:line="249" w:lineRule="auto"/>
        <w:ind w:right="370"/>
      </w:pPr>
      <w:r>
        <w:t>(1*) isn’t equivalent with (2*). We’ve already seen why. And we’ve already see why (1*) isn’t equivalent with:</w:t>
      </w:r>
    </w:p>
    <w:p w14:paraId="7E00212D" w14:textId="77777777" w:rsidR="009A58DB" w:rsidRDefault="00000000">
      <w:pPr>
        <w:pStyle w:val="BodyText"/>
        <w:spacing w:before="108" w:line="249" w:lineRule="auto"/>
        <w:ind w:right="362"/>
      </w:pPr>
      <w:r>
        <w:t xml:space="preserve">(2*) a thing’s being non-black provides some kind of a basis for its being a </w:t>
      </w:r>
      <w:r>
        <w:rPr>
          <w:spacing w:val="-2"/>
        </w:rPr>
        <w:t>non-raven.</w:t>
      </w:r>
    </w:p>
    <w:p w14:paraId="7E00212E" w14:textId="77777777" w:rsidR="009A58DB" w:rsidRDefault="00000000">
      <w:pPr>
        <w:pStyle w:val="BodyText"/>
        <w:spacing w:before="107" w:line="249" w:lineRule="auto"/>
        <w:ind w:right="362"/>
      </w:pPr>
      <w:r>
        <w:t>If the existence of a black is raven is to provide any legitimate support for</w:t>
      </w:r>
      <w:r>
        <w:rPr>
          <w:spacing w:val="40"/>
        </w:rPr>
        <w:t xml:space="preserve"> </w:t>
      </w:r>
      <w:r>
        <w:t>(1), there must be a causal or nomic connection between ravenhood and blackness.</w:t>
      </w:r>
      <w:r>
        <w:rPr>
          <w:spacing w:val="40"/>
        </w:rPr>
        <w:t xml:space="preserve"> </w:t>
      </w:r>
      <w:r>
        <w:t>Once</w:t>
      </w:r>
      <w:r>
        <w:rPr>
          <w:spacing w:val="40"/>
        </w:rPr>
        <w:t xml:space="preserve"> </w:t>
      </w:r>
      <w:r>
        <w:t>this</w:t>
      </w:r>
      <w:r>
        <w:rPr>
          <w:spacing w:val="40"/>
        </w:rPr>
        <w:t xml:space="preserve"> </w:t>
      </w:r>
      <w:r>
        <w:t>is</w:t>
      </w:r>
      <w:r>
        <w:rPr>
          <w:spacing w:val="40"/>
        </w:rPr>
        <w:t xml:space="preserve"> </w:t>
      </w:r>
      <w:r>
        <w:t>realized,</w:t>
      </w:r>
      <w:r>
        <w:rPr>
          <w:spacing w:val="40"/>
        </w:rPr>
        <w:t xml:space="preserve"> </w:t>
      </w:r>
      <w:r>
        <w:t>two</w:t>
      </w:r>
      <w:r>
        <w:rPr>
          <w:spacing w:val="40"/>
        </w:rPr>
        <w:t xml:space="preserve"> </w:t>
      </w:r>
      <w:r>
        <w:t>things</w:t>
      </w:r>
      <w:r>
        <w:rPr>
          <w:spacing w:val="40"/>
        </w:rPr>
        <w:t xml:space="preserve"> </w:t>
      </w:r>
      <w:r>
        <w:t>immediately</w:t>
      </w:r>
      <w:r>
        <w:rPr>
          <w:spacing w:val="40"/>
        </w:rPr>
        <w:t xml:space="preserve"> </w:t>
      </w:r>
      <w:r>
        <w:t>become</w:t>
      </w:r>
      <w:r>
        <w:rPr>
          <w:spacing w:val="40"/>
        </w:rPr>
        <w:t xml:space="preserve"> </w:t>
      </w:r>
      <w:r>
        <w:t>obvious.</w:t>
      </w:r>
    </w:p>
    <w:p w14:paraId="7E00212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30" w14:textId="77777777" w:rsidR="009A58DB" w:rsidRDefault="00000000">
      <w:pPr>
        <w:pStyle w:val="BodyText"/>
        <w:spacing w:before="70" w:line="249" w:lineRule="auto"/>
        <w:ind w:right="359"/>
      </w:pPr>
      <w:r>
        <w:lastRenderedPageBreak/>
        <w:t xml:space="preserve">First, Hempel’s solution is spurious, since it presupposes that black ravens can confirm (1) </w:t>
      </w:r>
      <w:r>
        <w:rPr>
          <w:i/>
        </w:rPr>
        <w:t>without</w:t>
      </w:r>
      <w:r>
        <w:rPr>
          <w:i/>
          <w:spacing w:val="-4"/>
        </w:rPr>
        <w:t xml:space="preserve"> </w:t>
      </w:r>
      <w:r>
        <w:t>there being any connection of the sort just described. Second, (1) must be read as having nomic force. Since, thus read, it is no longer equivalent with (2), the paradox vanishes.</w:t>
      </w:r>
    </w:p>
    <w:p w14:paraId="7E002131" w14:textId="77777777" w:rsidR="009A58DB" w:rsidRDefault="00000000">
      <w:pPr>
        <w:pStyle w:val="Heading1"/>
        <w:numPr>
          <w:ilvl w:val="1"/>
          <w:numId w:val="77"/>
        </w:numPr>
        <w:tabs>
          <w:tab w:val="left" w:pos="990"/>
        </w:tabs>
        <w:spacing w:before="188"/>
      </w:pPr>
      <w:r>
        <w:t>These</w:t>
      </w:r>
      <w:r>
        <w:rPr>
          <w:spacing w:val="-6"/>
        </w:rPr>
        <w:t xml:space="preserve"> </w:t>
      </w:r>
      <w:r>
        <w:t>points</w:t>
      </w:r>
      <w:r>
        <w:rPr>
          <w:spacing w:val="-5"/>
        </w:rPr>
        <w:t xml:space="preserve"> </w:t>
      </w:r>
      <w:r>
        <w:t>summed</w:t>
      </w:r>
      <w:r>
        <w:rPr>
          <w:spacing w:val="-5"/>
        </w:rPr>
        <w:t xml:space="preserve"> up</w:t>
      </w:r>
    </w:p>
    <w:p w14:paraId="7E002132" w14:textId="77777777" w:rsidR="009A58DB" w:rsidRDefault="00000000">
      <w:pPr>
        <w:pStyle w:val="BodyText"/>
        <w:spacing w:before="139" w:line="324" w:lineRule="auto"/>
        <w:ind w:right="794"/>
        <w:jc w:val="left"/>
      </w:pPr>
      <w:r>
        <w:t>If</w:t>
      </w:r>
      <w:r>
        <w:rPr>
          <w:spacing w:val="-5"/>
        </w:rPr>
        <w:t xml:space="preserve"> </w:t>
      </w:r>
      <w:r>
        <w:t>read</w:t>
      </w:r>
      <w:r>
        <w:rPr>
          <w:spacing w:val="-4"/>
        </w:rPr>
        <w:t xml:space="preserve"> </w:t>
      </w:r>
      <w:r>
        <w:t>as</w:t>
      </w:r>
      <w:r>
        <w:rPr>
          <w:spacing w:val="-5"/>
        </w:rPr>
        <w:t xml:space="preserve"> </w:t>
      </w:r>
      <w:r>
        <w:t>doing</w:t>
      </w:r>
      <w:r>
        <w:rPr>
          <w:spacing w:val="-4"/>
        </w:rPr>
        <w:t xml:space="preserve"> </w:t>
      </w:r>
      <w:r>
        <w:t>nothing</w:t>
      </w:r>
      <w:r>
        <w:rPr>
          <w:spacing w:val="-4"/>
        </w:rPr>
        <w:t xml:space="preserve"> </w:t>
      </w:r>
      <w:r>
        <w:t>more</w:t>
      </w:r>
      <w:r>
        <w:rPr>
          <w:spacing w:val="-5"/>
        </w:rPr>
        <w:t xml:space="preserve"> </w:t>
      </w:r>
      <w:r>
        <w:t>than</w:t>
      </w:r>
      <w:r>
        <w:rPr>
          <w:spacing w:val="-4"/>
        </w:rPr>
        <w:t xml:space="preserve"> </w:t>
      </w:r>
      <w:r>
        <w:t>affirming</w:t>
      </w:r>
      <w:r>
        <w:rPr>
          <w:spacing w:val="-4"/>
        </w:rPr>
        <w:t xml:space="preserve"> </w:t>
      </w:r>
      <w:r>
        <w:t>de</w:t>
      </w:r>
      <w:r>
        <w:rPr>
          <w:spacing w:val="-5"/>
        </w:rPr>
        <w:t xml:space="preserve"> </w:t>
      </w:r>
      <w:r>
        <w:t>facto</w:t>
      </w:r>
      <w:r>
        <w:rPr>
          <w:spacing w:val="-4"/>
        </w:rPr>
        <w:t xml:space="preserve"> </w:t>
      </w:r>
      <w:r>
        <w:t>concomitances: (MH) if x is made of heated metal, x expands</w:t>
      </w:r>
    </w:p>
    <w:p w14:paraId="7E002133" w14:textId="77777777" w:rsidR="009A58DB" w:rsidRDefault="00000000">
      <w:pPr>
        <w:pStyle w:val="BodyText"/>
        <w:spacing w:line="344" w:lineRule="exact"/>
        <w:jc w:val="left"/>
      </w:pPr>
      <w:r>
        <w:rPr>
          <w:spacing w:val="-5"/>
        </w:rPr>
        <w:t>and</w:t>
      </w:r>
    </w:p>
    <w:p w14:paraId="7E002134" w14:textId="77777777" w:rsidR="009A58DB" w:rsidRDefault="00000000">
      <w:pPr>
        <w:pStyle w:val="BodyText"/>
        <w:spacing w:before="105"/>
      </w:pPr>
      <w:r>
        <w:t>(HM)</w:t>
      </w:r>
      <w:r>
        <w:rPr>
          <w:spacing w:val="-3"/>
        </w:rPr>
        <w:t xml:space="preserve"> </w:t>
      </w:r>
      <w:r>
        <w:t>if</w:t>
      </w:r>
      <w:r>
        <w:rPr>
          <w:spacing w:val="-3"/>
        </w:rPr>
        <w:t xml:space="preserve"> </w:t>
      </w:r>
      <w:r>
        <w:t>x</w:t>
      </w:r>
      <w:r>
        <w:rPr>
          <w:spacing w:val="-2"/>
        </w:rPr>
        <w:t xml:space="preserve"> </w:t>
      </w:r>
      <w:r>
        <w:t>isn’t</w:t>
      </w:r>
      <w:r>
        <w:rPr>
          <w:spacing w:val="-3"/>
        </w:rPr>
        <w:t xml:space="preserve"> </w:t>
      </w:r>
      <w:r>
        <w:t>expanding,</w:t>
      </w:r>
      <w:r>
        <w:rPr>
          <w:spacing w:val="-2"/>
        </w:rPr>
        <w:t xml:space="preserve"> </w:t>
      </w:r>
      <w:r>
        <w:t>x</w:t>
      </w:r>
      <w:r>
        <w:rPr>
          <w:spacing w:val="-2"/>
        </w:rPr>
        <w:t xml:space="preserve"> </w:t>
      </w:r>
      <w:r>
        <w:t>isn’t</w:t>
      </w:r>
      <w:r>
        <w:rPr>
          <w:spacing w:val="-3"/>
        </w:rPr>
        <w:t xml:space="preserve"> </w:t>
      </w:r>
      <w:r>
        <w:t>made</w:t>
      </w:r>
      <w:r>
        <w:rPr>
          <w:spacing w:val="-3"/>
        </w:rPr>
        <w:t xml:space="preserve"> </w:t>
      </w:r>
      <w:r>
        <w:t>of</w:t>
      </w:r>
      <w:r>
        <w:rPr>
          <w:spacing w:val="-3"/>
        </w:rPr>
        <w:t xml:space="preserve"> </w:t>
      </w:r>
      <w:r>
        <w:t>heated</w:t>
      </w:r>
      <w:r>
        <w:rPr>
          <w:spacing w:val="-1"/>
        </w:rPr>
        <w:t xml:space="preserve"> </w:t>
      </w:r>
      <w:r>
        <w:rPr>
          <w:spacing w:val="-2"/>
        </w:rPr>
        <w:t>metal</w:t>
      </w:r>
    </w:p>
    <w:p w14:paraId="7E002135" w14:textId="77777777" w:rsidR="009A58DB" w:rsidRDefault="00000000">
      <w:pPr>
        <w:pStyle w:val="BodyText"/>
        <w:spacing w:before="120" w:line="249" w:lineRule="auto"/>
        <w:ind w:right="358"/>
      </w:pPr>
      <w:r>
        <w:t>don’t receive support—and, to anyone who isn’t guilty of the gambler’s fallacy, don’t even appear to receive support—from their instances and are therefore vacuously confirmationally identical. So, thus read, they are logically</w:t>
      </w:r>
      <w:r>
        <w:rPr>
          <w:spacing w:val="-5"/>
        </w:rPr>
        <w:t xml:space="preserve"> </w:t>
      </w:r>
      <w:r>
        <w:rPr>
          <w:i/>
        </w:rPr>
        <w:t>and,</w:t>
      </w:r>
      <w:r>
        <w:rPr>
          <w:i/>
          <w:spacing w:val="-5"/>
        </w:rPr>
        <w:t xml:space="preserve"> </w:t>
      </w:r>
      <w:r>
        <w:t>quite</w:t>
      </w:r>
      <w:r>
        <w:rPr>
          <w:spacing w:val="-3"/>
        </w:rPr>
        <w:t xml:space="preserve"> </w:t>
      </w:r>
      <w:r>
        <w:t>clearly,</w:t>
      </w:r>
      <w:r>
        <w:rPr>
          <w:spacing w:val="-3"/>
        </w:rPr>
        <w:t xml:space="preserve"> </w:t>
      </w:r>
      <w:r>
        <w:t>confirmationally</w:t>
      </w:r>
      <w:r>
        <w:rPr>
          <w:spacing w:val="-3"/>
        </w:rPr>
        <w:t xml:space="preserve"> </w:t>
      </w:r>
      <w:r>
        <w:t>identical;</w:t>
      </w:r>
      <w:r>
        <w:rPr>
          <w:spacing w:val="-3"/>
        </w:rPr>
        <w:t xml:space="preserve"> </w:t>
      </w:r>
      <w:r>
        <w:t>and</w:t>
      </w:r>
      <w:r>
        <w:rPr>
          <w:spacing w:val="-3"/>
        </w:rPr>
        <w:t xml:space="preserve"> </w:t>
      </w:r>
      <w:r>
        <w:t>Hempel’s</w:t>
      </w:r>
      <w:r>
        <w:rPr>
          <w:spacing w:val="-3"/>
        </w:rPr>
        <w:t xml:space="preserve"> </w:t>
      </w:r>
      <w:r>
        <w:t xml:space="preserve">paradox doesn’t arise. If they are read as doing </w:t>
      </w:r>
      <w:r>
        <w:rPr>
          <w:i/>
        </w:rPr>
        <w:t xml:space="preserve">more </w:t>
      </w:r>
      <w:r>
        <w:t xml:space="preserve">than affirming de facto concomitances, they must be read as alleging, or at least being committed to there being, some kind of nomic connection between the properties in question. But, no matter what nomic readings we give these sentences, they don’t even appear logically equivalent. (This is, to put it very crudely, because logically equivalent sentences cannot, at least not in general, be intersubstituted </w:t>
      </w:r>
      <w:r>
        <w:rPr>
          <w:i/>
        </w:rPr>
        <w:t xml:space="preserve">salva veritate </w:t>
      </w:r>
      <w:r>
        <w:t>in contexts governed by nomic operators; e.g. “there is a nomic connection between the following statements.”) Bottom line: once it is realized that accidental generalizations don’t receive support from their instances, this being the prerogative of principled generalizations, it isn’t possible for Hempel’s paradox even to arise.</w:t>
      </w:r>
    </w:p>
    <w:p w14:paraId="7E00213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37" w14:textId="77777777" w:rsidR="009A58DB" w:rsidRDefault="00000000">
      <w:pPr>
        <w:spacing w:line="503" w:lineRule="exact"/>
        <w:ind w:left="326" w:right="332"/>
        <w:jc w:val="center"/>
        <w:rPr>
          <w:rFonts w:ascii="Calibri Light"/>
          <w:sz w:val="42"/>
        </w:rPr>
      </w:pPr>
      <w:bookmarkStart w:id="462" w:name="_bookmark462"/>
      <w:bookmarkEnd w:id="462"/>
      <w:r>
        <w:rPr>
          <w:rFonts w:ascii="Calibri Light"/>
          <w:sz w:val="42"/>
        </w:rPr>
        <w:lastRenderedPageBreak/>
        <w:t>Chapter</w:t>
      </w:r>
      <w:r>
        <w:rPr>
          <w:rFonts w:ascii="Calibri Light"/>
          <w:spacing w:val="56"/>
          <w:sz w:val="42"/>
        </w:rPr>
        <w:t xml:space="preserve"> </w:t>
      </w:r>
      <w:r>
        <w:rPr>
          <w:rFonts w:ascii="Calibri Light"/>
          <w:spacing w:val="-5"/>
          <w:sz w:val="42"/>
        </w:rPr>
        <w:t>18</w:t>
      </w:r>
    </w:p>
    <w:p w14:paraId="7E002138" w14:textId="77777777" w:rsidR="009A58DB" w:rsidRDefault="00000000">
      <w:pPr>
        <w:spacing w:before="222"/>
        <w:ind w:left="326" w:right="332"/>
        <w:jc w:val="center"/>
        <w:rPr>
          <w:rFonts w:ascii="Calibri Light"/>
          <w:sz w:val="42"/>
        </w:rPr>
      </w:pPr>
      <w:bookmarkStart w:id="463" w:name="_bookmark463"/>
      <w:bookmarkEnd w:id="463"/>
      <w:r>
        <w:rPr>
          <w:rFonts w:ascii="Calibri Light"/>
          <w:sz w:val="42"/>
        </w:rPr>
        <w:t>Modality</w:t>
      </w:r>
      <w:r>
        <w:rPr>
          <w:rFonts w:ascii="Calibri Light"/>
          <w:spacing w:val="60"/>
          <w:sz w:val="42"/>
        </w:rPr>
        <w:t xml:space="preserve"> </w:t>
      </w:r>
      <w:r>
        <w:rPr>
          <w:rFonts w:ascii="Calibri Light"/>
          <w:sz w:val="42"/>
        </w:rPr>
        <w:t>and</w:t>
      </w:r>
      <w:r>
        <w:rPr>
          <w:rFonts w:ascii="Calibri Light"/>
          <w:spacing w:val="60"/>
          <w:sz w:val="42"/>
        </w:rPr>
        <w:t xml:space="preserve"> </w:t>
      </w:r>
      <w:r>
        <w:rPr>
          <w:rFonts w:ascii="Calibri Light"/>
          <w:sz w:val="42"/>
        </w:rPr>
        <w:t>Non-</w:t>
      </w:r>
      <w:r>
        <w:rPr>
          <w:rFonts w:ascii="Calibri Light"/>
          <w:spacing w:val="-2"/>
          <w:sz w:val="42"/>
        </w:rPr>
        <w:t>Existence</w:t>
      </w:r>
    </w:p>
    <w:p w14:paraId="7E002139" w14:textId="77777777" w:rsidR="009A58DB" w:rsidRDefault="00000000">
      <w:pPr>
        <w:pStyle w:val="Heading1"/>
        <w:numPr>
          <w:ilvl w:val="1"/>
          <w:numId w:val="76"/>
        </w:numPr>
        <w:tabs>
          <w:tab w:val="left" w:pos="1367"/>
          <w:tab w:val="left" w:pos="3505"/>
          <w:tab w:val="left" w:pos="4665"/>
          <w:tab w:val="left" w:pos="6968"/>
          <w:tab w:val="left" w:pos="9292"/>
        </w:tabs>
        <w:spacing w:before="185" w:line="244" w:lineRule="auto"/>
        <w:ind w:right="435" w:firstLine="0"/>
      </w:pPr>
      <w:r>
        <w:rPr>
          <w:spacing w:val="-2"/>
        </w:rPr>
        <w:t>Necessity</w:t>
      </w:r>
      <w:r>
        <w:tab/>
      </w:r>
      <w:r>
        <w:rPr>
          <w:spacing w:val="-4"/>
        </w:rPr>
        <w:t>and</w:t>
      </w:r>
      <w:r>
        <w:tab/>
      </w:r>
      <w:r>
        <w:rPr>
          <w:spacing w:val="-2"/>
        </w:rPr>
        <w:t>possibility</w:t>
      </w:r>
      <w:r>
        <w:tab/>
      </w:r>
      <w:r>
        <w:rPr>
          <w:spacing w:val="-2"/>
        </w:rPr>
        <w:t>properties</w:t>
      </w:r>
      <w:r>
        <w:tab/>
      </w:r>
      <w:r>
        <w:rPr>
          <w:spacing w:val="-6"/>
        </w:rPr>
        <w:t xml:space="preserve">of </w:t>
      </w:r>
      <w:r>
        <w:t>statements, not objects</w:t>
      </w:r>
    </w:p>
    <w:p w14:paraId="7E00213A" w14:textId="77777777" w:rsidR="009A58DB" w:rsidRDefault="00000000">
      <w:pPr>
        <w:pStyle w:val="BodyText"/>
        <w:spacing w:before="132" w:line="249" w:lineRule="auto"/>
        <w:ind w:right="365"/>
        <w:jc w:val="left"/>
      </w:pPr>
      <w:r>
        <w:t>A</w:t>
      </w:r>
      <w:r>
        <w:rPr>
          <w:spacing w:val="26"/>
        </w:rPr>
        <w:t xml:space="preserve"> </w:t>
      </w:r>
      <w:r>
        <w:t>modal</w:t>
      </w:r>
      <w:r>
        <w:rPr>
          <w:spacing w:val="25"/>
        </w:rPr>
        <w:t xml:space="preserve"> </w:t>
      </w:r>
      <w:r>
        <w:t>statement</w:t>
      </w:r>
      <w:r>
        <w:rPr>
          <w:spacing w:val="25"/>
        </w:rPr>
        <w:t xml:space="preserve"> </w:t>
      </w:r>
      <w:r>
        <w:t>is</w:t>
      </w:r>
      <w:r>
        <w:rPr>
          <w:spacing w:val="26"/>
        </w:rPr>
        <w:t xml:space="preserve"> </w:t>
      </w:r>
      <w:r>
        <w:t>one</w:t>
      </w:r>
      <w:r>
        <w:rPr>
          <w:spacing w:val="26"/>
        </w:rPr>
        <w:t xml:space="preserve"> </w:t>
      </w:r>
      <w:r>
        <w:t>that</w:t>
      </w:r>
      <w:r>
        <w:rPr>
          <w:spacing w:val="25"/>
        </w:rPr>
        <w:t xml:space="preserve"> </w:t>
      </w:r>
      <w:r>
        <w:t>says</w:t>
      </w:r>
      <w:r>
        <w:rPr>
          <w:spacing w:val="26"/>
        </w:rPr>
        <w:t xml:space="preserve"> </w:t>
      </w:r>
      <w:r>
        <w:t>what</w:t>
      </w:r>
      <w:r>
        <w:rPr>
          <w:spacing w:val="25"/>
        </w:rPr>
        <w:t xml:space="preserve"> </w:t>
      </w:r>
      <w:r>
        <w:rPr>
          <w:i/>
        </w:rPr>
        <w:t xml:space="preserve">could </w:t>
      </w:r>
      <w:r>
        <w:t>be</w:t>
      </w:r>
      <w:r>
        <w:rPr>
          <w:spacing w:val="27"/>
        </w:rPr>
        <w:t xml:space="preserve"> </w:t>
      </w:r>
      <w:r>
        <w:t>the</w:t>
      </w:r>
      <w:r>
        <w:rPr>
          <w:spacing w:val="27"/>
        </w:rPr>
        <w:t xml:space="preserve"> </w:t>
      </w:r>
      <w:r>
        <w:t>case</w:t>
      </w:r>
      <w:r>
        <w:rPr>
          <w:spacing w:val="26"/>
        </w:rPr>
        <w:t xml:space="preserve"> </w:t>
      </w:r>
      <w:r>
        <w:t>or</w:t>
      </w:r>
      <w:r>
        <w:rPr>
          <w:spacing w:val="27"/>
        </w:rPr>
        <w:t xml:space="preserve"> </w:t>
      </w:r>
      <w:r>
        <w:t>what</w:t>
      </w:r>
      <w:r>
        <w:rPr>
          <w:spacing w:val="27"/>
        </w:rPr>
        <w:t xml:space="preserve"> </w:t>
      </w:r>
      <w:r>
        <w:rPr>
          <w:i/>
        </w:rPr>
        <w:t>must</w:t>
      </w:r>
      <w:r>
        <w:rPr>
          <w:i/>
          <w:spacing w:val="26"/>
        </w:rPr>
        <w:t xml:space="preserve"> </w:t>
      </w:r>
      <w:r>
        <w:t>be the case. Here are some examples of such statements:</w:t>
      </w:r>
    </w:p>
    <w:p w14:paraId="7E00213B" w14:textId="77777777" w:rsidR="009A58DB" w:rsidRDefault="009A58DB">
      <w:pPr>
        <w:pStyle w:val="BodyText"/>
        <w:spacing w:before="17"/>
        <w:ind w:left="0"/>
        <w:jc w:val="left"/>
      </w:pPr>
    </w:p>
    <w:p w14:paraId="7E00213C" w14:textId="77777777" w:rsidR="009A58DB" w:rsidRDefault="00000000">
      <w:pPr>
        <w:pStyle w:val="ListParagraph"/>
        <w:numPr>
          <w:ilvl w:val="0"/>
          <w:numId w:val="75"/>
        </w:numPr>
        <w:tabs>
          <w:tab w:val="left" w:pos="857"/>
        </w:tabs>
        <w:ind w:left="857" w:hanging="497"/>
        <w:rPr>
          <w:sz w:val="30"/>
        </w:rPr>
      </w:pPr>
      <w:r>
        <w:rPr>
          <w:sz w:val="30"/>
        </w:rPr>
        <w:t>Triangles</w:t>
      </w:r>
      <w:r>
        <w:rPr>
          <w:spacing w:val="-4"/>
          <w:sz w:val="30"/>
        </w:rPr>
        <w:t xml:space="preserve"> </w:t>
      </w:r>
      <w:r>
        <w:rPr>
          <w:sz w:val="30"/>
        </w:rPr>
        <w:t>must</w:t>
      </w:r>
      <w:r>
        <w:rPr>
          <w:spacing w:val="-4"/>
          <w:sz w:val="30"/>
        </w:rPr>
        <w:t xml:space="preserve"> </w:t>
      </w:r>
      <w:r>
        <w:rPr>
          <w:sz w:val="30"/>
        </w:rPr>
        <w:t>have</w:t>
      </w:r>
      <w:r>
        <w:rPr>
          <w:spacing w:val="-4"/>
          <w:sz w:val="30"/>
        </w:rPr>
        <w:t xml:space="preserve"> </w:t>
      </w:r>
      <w:r>
        <w:rPr>
          <w:sz w:val="30"/>
        </w:rPr>
        <w:t>three</w:t>
      </w:r>
      <w:r>
        <w:rPr>
          <w:spacing w:val="-4"/>
          <w:sz w:val="30"/>
        </w:rPr>
        <w:t xml:space="preserve"> </w:t>
      </w:r>
      <w:r>
        <w:rPr>
          <w:spacing w:val="-2"/>
          <w:sz w:val="30"/>
        </w:rPr>
        <w:t>sides.</w:t>
      </w:r>
    </w:p>
    <w:p w14:paraId="7E00213D" w14:textId="77777777" w:rsidR="009A58DB" w:rsidRDefault="00000000">
      <w:pPr>
        <w:pStyle w:val="ListParagraph"/>
        <w:numPr>
          <w:ilvl w:val="0"/>
          <w:numId w:val="75"/>
        </w:numPr>
        <w:tabs>
          <w:tab w:val="left" w:pos="861"/>
        </w:tabs>
        <w:spacing w:before="15" w:line="249" w:lineRule="auto"/>
        <w:ind w:left="360" w:right="3956" w:firstLine="0"/>
        <w:rPr>
          <w:sz w:val="30"/>
        </w:rPr>
      </w:pPr>
      <w:r>
        <w:rPr>
          <w:sz w:val="30"/>
        </w:rPr>
        <w:t>It’s</w:t>
      </w:r>
      <w:r>
        <w:rPr>
          <w:spacing w:val="-5"/>
          <w:sz w:val="30"/>
        </w:rPr>
        <w:t xml:space="preserve"> </w:t>
      </w:r>
      <w:r>
        <w:rPr>
          <w:sz w:val="30"/>
        </w:rPr>
        <w:t>possible</w:t>
      </w:r>
      <w:r>
        <w:rPr>
          <w:spacing w:val="-5"/>
          <w:sz w:val="30"/>
        </w:rPr>
        <w:t xml:space="preserve"> </w:t>
      </w:r>
      <w:r>
        <w:rPr>
          <w:sz w:val="30"/>
        </w:rPr>
        <w:t>to</w:t>
      </w:r>
      <w:r>
        <w:rPr>
          <w:spacing w:val="-5"/>
          <w:sz w:val="30"/>
        </w:rPr>
        <w:t xml:space="preserve"> </w:t>
      </w:r>
      <w:r>
        <w:rPr>
          <w:sz w:val="30"/>
        </w:rPr>
        <w:t>make</w:t>
      </w:r>
      <w:r>
        <w:rPr>
          <w:spacing w:val="-5"/>
          <w:sz w:val="30"/>
        </w:rPr>
        <w:t xml:space="preserve"> </w:t>
      </w:r>
      <w:r>
        <w:rPr>
          <w:sz w:val="30"/>
        </w:rPr>
        <w:t>money</w:t>
      </w:r>
      <w:r>
        <w:rPr>
          <w:spacing w:val="-5"/>
          <w:sz w:val="30"/>
        </w:rPr>
        <w:t xml:space="preserve"> </w:t>
      </w:r>
      <w:r>
        <w:rPr>
          <w:sz w:val="30"/>
        </w:rPr>
        <w:t>without</w:t>
      </w:r>
      <w:r>
        <w:rPr>
          <w:spacing w:val="-5"/>
          <w:sz w:val="30"/>
        </w:rPr>
        <w:t xml:space="preserve"> </w:t>
      </w:r>
      <w:r>
        <w:rPr>
          <w:sz w:val="30"/>
        </w:rPr>
        <w:t xml:space="preserve">selling </w:t>
      </w:r>
      <w:r>
        <w:rPr>
          <w:spacing w:val="-4"/>
          <w:sz w:val="30"/>
        </w:rPr>
        <w:t>out.</w:t>
      </w:r>
    </w:p>
    <w:p w14:paraId="7E00213E" w14:textId="77777777" w:rsidR="009A58DB" w:rsidRDefault="00000000">
      <w:pPr>
        <w:pStyle w:val="ListParagraph"/>
        <w:numPr>
          <w:ilvl w:val="0"/>
          <w:numId w:val="75"/>
        </w:numPr>
        <w:tabs>
          <w:tab w:val="left" w:pos="1168"/>
          <w:tab w:val="left" w:pos="2312"/>
          <w:tab w:val="left" w:pos="2842"/>
          <w:tab w:val="left" w:pos="3571"/>
          <w:tab w:val="left" w:pos="4666"/>
          <w:tab w:val="left" w:pos="5562"/>
        </w:tabs>
        <w:spacing w:before="3" w:line="249" w:lineRule="auto"/>
        <w:ind w:left="360" w:right="3949" w:firstLine="0"/>
        <w:rPr>
          <w:sz w:val="30"/>
        </w:rPr>
      </w:pPr>
      <w:r>
        <w:rPr>
          <w:spacing w:val="-2"/>
          <w:sz w:val="30"/>
        </w:rPr>
        <w:t>There’s</w:t>
      </w:r>
      <w:r>
        <w:rPr>
          <w:sz w:val="30"/>
        </w:rPr>
        <w:tab/>
      </w:r>
      <w:r>
        <w:rPr>
          <w:spacing w:val="-6"/>
          <w:sz w:val="30"/>
        </w:rPr>
        <w:t>no</w:t>
      </w:r>
      <w:r>
        <w:rPr>
          <w:sz w:val="30"/>
        </w:rPr>
        <w:tab/>
      </w:r>
      <w:r>
        <w:rPr>
          <w:spacing w:val="-4"/>
          <w:sz w:val="30"/>
        </w:rPr>
        <w:t>way</w:t>
      </w:r>
      <w:r>
        <w:rPr>
          <w:sz w:val="30"/>
        </w:rPr>
        <w:tab/>
      </w:r>
      <w:r>
        <w:rPr>
          <w:spacing w:val="-2"/>
          <w:sz w:val="30"/>
        </w:rPr>
        <w:t>anyone</w:t>
      </w:r>
      <w:r>
        <w:rPr>
          <w:sz w:val="30"/>
        </w:rPr>
        <w:tab/>
      </w:r>
      <w:r>
        <w:rPr>
          <w:spacing w:val="-4"/>
          <w:sz w:val="30"/>
        </w:rPr>
        <w:t>could</w:t>
      </w:r>
      <w:r>
        <w:rPr>
          <w:sz w:val="30"/>
        </w:rPr>
        <w:tab/>
      </w:r>
      <w:r>
        <w:rPr>
          <w:spacing w:val="-4"/>
          <w:sz w:val="30"/>
        </w:rPr>
        <w:t xml:space="preserve">have </w:t>
      </w:r>
      <w:r>
        <w:rPr>
          <w:sz w:val="30"/>
        </w:rPr>
        <w:t>survived that fall.</w:t>
      </w:r>
    </w:p>
    <w:p w14:paraId="7E00213F" w14:textId="77777777" w:rsidR="009A58DB" w:rsidRDefault="00000000">
      <w:pPr>
        <w:pStyle w:val="ListParagraph"/>
        <w:numPr>
          <w:ilvl w:val="0"/>
          <w:numId w:val="75"/>
        </w:numPr>
        <w:tabs>
          <w:tab w:val="left" w:pos="857"/>
        </w:tabs>
        <w:spacing w:before="2"/>
        <w:ind w:left="857" w:hanging="497"/>
        <w:rPr>
          <w:sz w:val="30"/>
        </w:rPr>
      </w:pPr>
      <w:r>
        <w:rPr>
          <w:sz w:val="30"/>
        </w:rPr>
        <w:t>Assuming</w:t>
      </w:r>
      <w:r>
        <w:rPr>
          <w:spacing w:val="-5"/>
          <w:sz w:val="30"/>
        </w:rPr>
        <w:t xml:space="preserve"> </w:t>
      </w:r>
      <w:r>
        <w:rPr>
          <w:sz w:val="30"/>
        </w:rPr>
        <w:t>that</w:t>
      </w:r>
      <w:r>
        <w:rPr>
          <w:spacing w:val="-3"/>
          <w:sz w:val="30"/>
        </w:rPr>
        <w:t xml:space="preserve"> </w:t>
      </w:r>
      <w:r>
        <w:rPr>
          <w:sz w:val="30"/>
        </w:rPr>
        <w:t>Bob</w:t>
      </w:r>
      <w:r>
        <w:rPr>
          <w:spacing w:val="-2"/>
          <w:sz w:val="30"/>
        </w:rPr>
        <w:t xml:space="preserve"> </w:t>
      </w:r>
      <w:r>
        <w:rPr>
          <w:sz w:val="30"/>
        </w:rPr>
        <w:t>has</w:t>
      </w:r>
      <w:r>
        <w:rPr>
          <w:spacing w:val="-4"/>
          <w:sz w:val="30"/>
        </w:rPr>
        <w:t xml:space="preserve"> </w:t>
      </w:r>
      <w:r>
        <w:rPr>
          <w:sz w:val="30"/>
        </w:rPr>
        <w:t>fifty</w:t>
      </w:r>
      <w:r>
        <w:rPr>
          <w:spacing w:val="-2"/>
          <w:sz w:val="30"/>
        </w:rPr>
        <w:t xml:space="preserve"> </w:t>
      </w:r>
      <w:r>
        <w:rPr>
          <w:sz w:val="30"/>
        </w:rPr>
        <w:t>cars,</w:t>
      </w:r>
      <w:r>
        <w:rPr>
          <w:spacing w:val="-2"/>
          <w:sz w:val="30"/>
        </w:rPr>
        <w:t xml:space="preserve"> </w:t>
      </w:r>
      <w:r>
        <w:rPr>
          <w:sz w:val="30"/>
        </w:rPr>
        <w:t>he</w:t>
      </w:r>
      <w:r>
        <w:rPr>
          <w:spacing w:val="-3"/>
          <w:sz w:val="30"/>
        </w:rPr>
        <w:t xml:space="preserve"> </w:t>
      </w:r>
      <w:r>
        <w:rPr>
          <w:sz w:val="30"/>
        </w:rPr>
        <w:t>must</w:t>
      </w:r>
      <w:r>
        <w:rPr>
          <w:spacing w:val="-4"/>
          <w:sz w:val="30"/>
        </w:rPr>
        <w:t xml:space="preserve"> </w:t>
      </w:r>
      <w:r>
        <w:rPr>
          <w:sz w:val="30"/>
        </w:rPr>
        <w:t>have</w:t>
      </w:r>
      <w:r>
        <w:rPr>
          <w:spacing w:val="-3"/>
          <w:sz w:val="30"/>
        </w:rPr>
        <w:t xml:space="preserve"> </w:t>
      </w:r>
      <w:r>
        <w:rPr>
          <w:sz w:val="30"/>
        </w:rPr>
        <w:t>at</w:t>
      </w:r>
      <w:r>
        <w:rPr>
          <w:spacing w:val="-3"/>
          <w:sz w:val="30"/>
        </w:rPr>
        <w:t xml:space="preserve"> </w:t>
      </w:r>
      <w:r>
        <w:rPr>
          <w:sz w:val="30"/>
        </w:rPr>
        <w:t>least</w:t>
      </w:r>
      <w:r>
        <w:rPr>
          <w:spacing w:val="-3"/>
          <w:sz w:val="30"/>
        </w:rPr>
        <w:t xml:space="preserve"> </w:t>
      </w:r>
      <w:r>
        <w:rPr>
          <w:sz w:val="30"/>
        </w:rPr>
        <w:t>some</w:t>
      </w:r>
      <w:r>
        <w:rPr>
          <w:spacing w:val="-3"/>
          <w:sz w:val="30"/>
        </w:rPr>
        <w:t xml:space="preserve"> </w:t>
      </w:r>
      <w:r>
        <w:rPr>
          <w:spacing w:val="-2"/>
          <w:sz w:val="30"/>
        </w:rPr>
        <w:t>money.</w:t>
      </w:r>
    </w:p>
    <w:p w14:paraId="7E002140" w14:textId="77777777" w:rsidR="009A58DB" w:rsidRDefault="00000000">
      <w:pPr>
        <w:pStyle w:val="ListParagraph"/>
        <w:numPr>
          <w:ilvl w:val="0"/>
          <w:numId w:val="75"/>
        </w:numPr>
        <w:tabs>
          <w:tab w:val="left" w:pos="938"/>
        </w:tabs>
        <w:spacing w:before="15" w:line="249" w:lineRule="auto"/>
        <w:ind w:left="360" w:right="363" w:firstLine="0"/>
        <w:rPr>
          <w:sz w:val="30"/>
        </w:rPr>
      </w:pPr>
      <w:r>
        <w:rPr>
          <w:sz w:val="30"/>
        </w:rPr>
        <w:t>John’s becoming stronger was an inevitable consequence of his lifting</w:t>
      </w:r>
      <w:r>
        <w:rPr>
          <w:spacing w:val="80"/>
          <w:w w:val="150"/>
          <w:sz w:val="30"/>
        </w:rPr>
        <w:t xml:space="preserve"> </w:t>
      </w:r>
      <w:r>
        <w:rPr>
          <w:sz w:val="30"/>
        </w:rPr>
        <w:t>weights all summer.</w:t>
      </w:r>
    </w:p>
    <w:p w14:paraId="7E002141" w14:textId="77777777" w:rsidR="009A58DB" w:rsidRDefault="009A58DB">
      <w:pPr>
        <w:pStyle w:val="BodyText"/>
        <w:spacing w:before="18"/>
        <w:ind w:left="0"/>
        <w:jc w:val="left"/>
      </w:pPr>
    </w:p>
    <w:p w14:paraId="7E002142" w14:textId="77777777" w:rsidR="009A58DB" w:rsidRDefault="00000000">
      <w:pPr>
        <w:pStyle w:val="BodyText"/>
        <w:spacing w:line="249" w:lineRule="auto"/>
        <w:ind w:right="358" w:firstLine="360"/>
      </w:pPr>
      <w:r>
        <w:t xml:space="preserve">For any proposition P, it’s necessarily the case that P </w:t>
      </w:r>
      <w:r>
        <w:rPr>
          <w:b/>
          <w:i/>
        </w:rPr>
        <w:t xml:space="preserve">iff </w:t>
      </w:r>
      <w:r>
        <w:t xml:space="preserve">it’s not possible that not-P; and it’s possible that P iff it’s not necessarily the case that not-P. (“Iff” is short for “if and only if.”) It’s necessarily the case that Jim is in the barn iff it’s not possible that Jim is not in the barn; and it’s possibly the case that Jim is in the barn iff it’s not necessarily the case that Jim is not in the </w:t>
      </w:r>
      <w:r>
        <w:rPr>
          <w:spacing w:val="-4"/>
        </w:rPr>
        <w:t>barn.</w:t>
      </w:r>
    </w:p>
    <w:p w14:paraId="7E002143" w14:textId="77777777" w:rsidR="009A58DB" w:rsidRDefault="00000000">
      <w:pPr>
        <w:pStyle w:val="BodyText"/>
        <w:spacing w:before="7" w:line="249" w:lineRule="auto"/>
        <w:ind w:right="359" w:firstLine="360"/>
      </w:pPr>
      <w:r>
        <w:t>There are no impossible objects—no objects that couldn’t possibly exist. And there are no possible but non-actual objects— and no objects that could exist but don’t. Possibility and impossibility are properties of propositions, not of objects. For example,</w:t>
      </w:r>
    </w:p>
    <w:p w14:paraId="7E002144" w14:textId="77777777" w:rsidR="009A58DB" w:rsidRDefault="00000000">
      <w:pPr>
        <w:pStyle w:val="ListParagraph"/>
        <w:numPr>
          <w:ilvl w:val="0"/>
          <w:numId w:val="75"/>
        </w:numPr>
        <w:tabs>
          <w:tab w:val="left" w:pos="824"/>
        </w:tabs>
        <w:spacing w:before="110" w:line="249" w:lineRule="auto"/>
        <w:ind w:left="360" w:right="5538" w:firstLine="0"/>
        <w:rPr>
          <w:sz w:val="30"/>
        </w:rPr>
      </w:pPr>
      <w:r>
        <w:rPr>
          <w:sz w:val="30"/>
        </w:rPr>
        <w:t>square</w:t>
      </w:r>
      <w:r>
        <w:rPr>
          <w:spacing w:val="29"/>
          <w:sz w:val="30"/>
        </w:rPr>
        <w:t xml:space="preserve"> </w:t>
      </w:r>
      <w:r>
        <w:rPr>
          <w:sz w:val="30"/>
        </w:rPr>
        <w:t>circles</w:t>
      </w:r>
      <w:r>
        <w:rPr>
          <w:spacing w:val="29"/>
          <w:sz w:val="30"/>
        </w:rPr>
        <w:t xml:space="preserve"> </w:t>
      </w:r>
      <w:r>
        <w:rPr>
          <w:sz w:val="30"/>
        </w:rPr>
        <w:t>cannot</w:t>
      </w:r>
      <w:r>
        <w:rPr>
          <w:spacing w:val="29"/>
          <w:sz w:val="30"/>
        </w:rPr>
        <w:t xml:space="preserve"> </w:t>
      </w:r>
      <w:r>
        <w:rPr>
          <w:sz w:val="30"/>
        </w:rPr>
        <w:t xml:space="preserve">possibly </w:t>
      </w:r>
      <w:r>
        <w:rPr>
          <w:spacing w:val="-2"/>
          <w:sz w:val="30"/>
        </w:rPr>
        <w:t>exist</w:t>
      </w:r>
    </w:p>
    <w:p w14:paraId="7E002145" w14:textId="77777777" w:rsidR="009A58DB" w:rsidRDefault="00000000">
      <w:pPr>
        <w:pStyle w:val="BodyText"/>
        <w:spacing w:before="108"/>
        <w:jc w:val="left"/>
      </w:pPr>
      <w:r>
        <w:t>says</w:t>
      </w:r>
      <w:r>
        <w:rPr>
          <w:spacing w:val="-3"/>
        </w:rPr>
        <w:t xml:space="preserve"> </w:t>
      </w:r>
      <w:r>
        <w:t>that</w:t>
      </w:r>
      <w:r>
        <w:rPr>
          <w:spacing w:val="-3"/>
        </w:rPr>
        <w:t xml:space="preserve"> </w:t>
      </w:r>
      <w:r>
        <w:t>the</w:t>
      </w:r>
      <w:r>
        <w:rPr>
          <w:spacing w:val="-2"/>
        </w:rPr>
        <w:t xml:space="preserve"> proposition</w:t>
      </w:r>
    </w:p>
    <w:p w14:paraId="7E002146" w14:textId="77777777" w:rsidR="009A58DB" w:rsidRDefault="00000000">
      <w:pPr>
        <w:pStyle w:val="ListParagraph"/>
        <w:numPr>
          <w:ilvl w:val="0"/>
          <w:numId w:val="75"/>
        </w:numPr>
        <w:tabs>
          <w:tab w:val="left" w:pos="782"/>
        </w:tabs>
        <w:spacing w:before="105"/>
        <w:ind w:left="782" w:hanging="422"/>
        <w:rPr>
          <w:sz w:val="30"/>
        </w:rPr>
      </w:pPr>
      <w:r>
        <w:rPr>
          <w:sz w:val="30"/>
        </w:rPr>
        <w:t>there</w:t>
      </w:r>
      <w:r>
        <w:rPr>
          <w:spacing w:val="-4"/>
          <w:sz w:val="30"/>
        </w:rPr>
        <w:t xml:space="preserve"> </w:t>
      </w:r>
      <w:r>
        <w:rPr>
          <w:sz w:val="30"/>
        </w:rPr>
        <w:t>are</w:t>
      </w:r>
      <w:r>
        <w:rPr>
          <w:spacing w:val="-4"/>
          <w:sz w:val="30"/>
        </w:rPr>
        <w:t xml:space="preserve"> </w:t>
      </w:r>
      <w:r>
        <w:rPr>
          <w:sz w:val="30"/>
        </w:rPr>
        <w:t>square</w:t>
      </w:r>
      <w:r>
        <w:rPr>
          <w:spacing w:val="-3"/>
          <w:sz w:val="30"/>
        </w:rPr>
        <w:t xml:space="preserve"> </w:t>
      </w:r>
      <w:r>
        <w:rPr>
          <w:spacing w:val="-2"/>
          <w:sz w:val="30"/>
        </w:rPr>
        <w:t>circles</w:t>
      </w:r>
    </w:p>
    <w:p w14:paraId="7E002147" w14:textId="77777777" w:rsidR="009A58DB" w:rsidRDefault="00000000">
      <w:pPr>
        <w:pStyle w:val="BodyText"/>
        <w:spacing w:before="120"/>
        <w:jc w:val="left"/>
      </w:pPr>
      <w:r>
        <w:t>cannot</w:t>
      </w:r>
      <w:r>
        <w:rPr>
          <w:spacing w:val="7"/>
        </w:rPr>
        <w:t xml:space="preserve"> </w:t>
      </w:r>
      <w:r>
        <w:t>possibly</w:t>
      </w:r>
      <w:r>
        <w:rPr>
          <w:spacing w:val="7"/>
        </w:rPr>
        <w:t xml:space="preserve"> </w:t>
      </w:r>
      <w:r>
        <w:t>be</w:t>
      </w:r>
      <w:r>
        <w:rPr>
          <w:spacing w:val="8"/>
        </w:rPr>
        <w:t xml:space="preserve"> </w:t>
      </w:r>
      <w:r>
        <w:t>correct.</w:t>
      </w:r>
      <w:r>
        <w:rPr>
          <w:spacing w:val="7"/>
        </w:rPr>
        <w:t xml:space="preserve"> </w:t>
      </w:r>
      <w:r>
        <w:t>(6)</w:t>
      </w:r>
      <w:r>
        <w:rPr>
          <w:spacing w:val="8"/>
        </w:rPr>
        <w:t xml:space="preserve"> </w:t>
      </w:r>
      <w:r>
        <w:t>doesn’t</w:t>
      </w:r>
      <w:r>
        <w:rPr>
          <w:spacing w:val="8"/>
        </w:rPr>
        <w:t xml:space="preserve"> </w:t>
      </w:r>
      <w:r>
        <w:t>make</w:t>
      </w:r>
      <w:r>
        <w:rPr>
          <w:spacing w:val="7"/>
        </w:rPr>
        <w:t xml:space="preserve"> </w:t>
      </w:r>
      <w:r>
        <w:t>the</w:t>
      </w:r>
      <w:r>
        <w:rPr>
          <w:spacing w:val="8"/>
        </w:rPr>
        <w:t xml:space="preserve"> </w:t>
      </w:r>
      <w:r>
        <w:t>self-contradictory</w:t>
      </w:r>
      <w:r>
        <w:rPr>
          <w:spacing w:val="7"/>
        </w:rPr>
        <w:t xml:space="preserve"> </w:t>
      </w:r>
      <w:r>
        <w:t>claim</w:t>
      </w:r>
      <w:r>
        <w:rPr>
          <w:spacing w:val="8"/>
        </w:rPr>
        <w:t xml:space="preserve"> </w:t>
      </w:r>
      <w:r>
        <w:rPr>
          <w:spacing w:val="-4"/>
        </w:rPr>
        <w:t>that</w:t>
      </w:r>
    </w:p>
    <w:p w14:paraId="7E002148" w14:textId="77777777" w:rsidR="009A58DB" w:rsidRDefault="009A58DB">
      <w:pPr>
        <w:pStyle w:val="BodyText"/>
        <w:jc w:val="left"/>
        <w:sectPr w:rsidR="009A58DB">
          <w:pgSz w:w="12240" w:h="15840"/>
          <w:pgMar w:top="1680" w:right="1080" w:bottom="280" w:left="1080" w:header="720" w:footer="720" w:gutter="0"/>
          <w:cols w:space="720"/>
        </w:sectPr>
      </w:pPr>
    </w:p>
    <w:p w14:paraId="7E002149" w14:textId="77777777" w:rsidR="009A58DB" w:rsidRDefault="00000000">
      <w:pPr>
        <w:pStyle w:val="BodyText"/>
        <w:spacing w:before="65" w:line="249" w:lineRule="auto"/>
        <w:jc w:val="left"/>
      </w:pPr>
      <w:r>
        <w:lastRenderedPageBreak/>
        <w:t>there exists some object x such that x is a square circle and such that x cannot exist. And</w:t>
      </w:r>
    </w:p>
    <w:p w14:paraId="7E00214A" w14:textId="77777777" w:rsidR="009A58DB" w:rsidRDefault="00000000">
      <w:pPr>
        <w:pStyle w:val="ListParagraph"/>
        <w:numPr>
          <w:ilvl w:val="0"/>
          <w:numId w:val="75"/>
        </w:numPr>
        <w:tabs>
          <w:tab w:val="left" w:pos="782"/>
        </w:tabs>
        <w:spacing w:before="107" w:line="312" w:lineRule="auto"/>
        <w:ind w:left="360" w:right="1405" w:firstLine="0"/>
        <w:rPr>
          <w:sz w:val="30"/>
        </w:rPr>
      </w:pPr>
      <w:r>
        <w:rPr>
          <w:sz w:val="30"/>
        </w:rPr>
        <w:t>happiness</w:t>
      </w:r>
      <w:r>
        <w:rPr>
          <w:spacing w:val="-5"/>
          <w:sz w:val="30"/>
        </w:rPr>
        <w:t xml:space="preserve"> </w:t>
      </w:r>
      <w:r>
        <w:rPr>
          <w:sz w:val="30"/>
        </w:rPr>
        <w:t>is</w:t>
      </w:r>
      <w:r>
        <w:rPr>
          <w:spacing w:val="-5"/>
          <w:sz w:val="30"/>
        </w:rPr>
        <w:t xml:space="preserve"> </w:t>
      </w:r>
      <w:r>
        <w:rPr>
          <w:sz w:val="30"/>
        </w:rPr>
        <w:t>a</w:t>
      </w:r>
      <w:r>
        <w:rPr>
          <w:spacing w:val="-5"/>
          <w:sz w:val="30"/>
        </w:rPr>
        <w:t xml:space="preserve"> </w:t>
      </w:r>
      <w:r>
        <w:rPr>
          <w:sz w:val="30"/>
        </w:rPr>
        <w:t>possibility</w:t>
      </w:r>
      <w:r>
        <w:rPr>
          <w:spacing w:val="-4"/>
          <w:sz w:val="30"/>
        </w:rPr>
        <w:t xml:space="preserve"> </w:t>
      </w:r>
      <w:r>
        <w:rPr>
          <w:sz w:val="30"/>
        </w:rPr>
        <w:t>for</w:t>
      </w:r>
      <w:r>
        <w:rPr>
          <w:spacing w:val="-5"/>
          <w:sz w:val="30"/>
        </w:rPr>
        <w:t xml:space="preserve"> </w:t>
      </w:r>
      <w:r>
        <w:rPr>
          <w:sz w:val="30"/>
        </w:rPr>
        <w:t>Jim,</w:t>
      </w:r>
      <w:r>
        <w:rPr>
          <w:spacing w:val="-4"/>
          <w:sz w:val="30"/>
        </w:rPr>
        <w:t xml:space="preserve"> </w:t>
      </w:r>
      <w:r>
        <w:rPr>
          <w:sz w:val="30"/>
        </w:rPr>
        <w:t>even</w:t>
      </w:r>
      <w:r>
        <w:rPr>
          <w:spacing w:val="-4"/>
          <w:sz w:val="30"/>
        </w:rPr>
        <w:t xml:space="preserve"> </w:t>
      </w:r>
      <w:r>
        <w:rPr>
          <w:sz w:val="30"/>
        </w:rPr>
        <w:t>though</w:t>
      </w:r>
      <w:r>
        <w:rPr>
          <w:spacing w:val="-4"/>
          <w:sz w:val="30"/>
        </w:rPr>
        <w:t xml:space="preserve"> </w:t>
      </w:r>
      <w:r>
        <w:rPr>
          <w:sz w:val="30"/>
        </w:rPr>
        <w:t>he’s</w:t>
      </w:r>
      <w:r>
        <w:rPr>
          <w:spacing w:val="-5"/>
          <w:sz w:val="30"/>
        </w:rPr>
        <w:t xml:space="preserve"> </w:t>
      </w:r>
      <w:r>
        <w:rPr>
          <w:sz w:val="30"/>
        </w:rPr>
        <w:t>still</w:t>
      </w:r>
      <w:r>
        <w:rPr>
          <w:spacing w:val="-5"/>
          <w:sz w:val="30"/>
        </w:rPr>
        <w:t xml:space="preserve"> </w:t>
      </w:r>
      <w:r>
        <w:rPr>
          <w:sz w:val="30"/>
        </w:rPr>
        <w:t>miserable says that, even though Jim is now miserable, the proposition</w:t>
      </w:r>
    </w:p>
    <w:p w14:paraId="7E00214B" w14:textId="77777777" w:rsidR="009A58DB" w:rsidRDefault="00000000">
      <w:pPr>
        <w:pStyle w:val="ListParagraph"/>
        <w:numPr>
          <w:ilvl w:val="0"/>
          <w:numId w:val="75"/>
        </w:numPr>
        <w:tabs>
          <w:tab w:val="left" w:pos="782"/>
        </w:tabs>
        <w:spacing w:before="18"/>
        <w:ind w:left="782" w:hanging="422"/>
        <w:rPr>
          <w:sz w:val="30"/>
        </w:rPr>
      </w:pPr>
      <w:r>
        <w:rPr>
          <w:sz w:val="30"/>
        </w:rPr>
        <w:t>Jim</w:t>
      </w:r>
      <w:r>
        <w:rPr>
          <w:spacing w:val="-3"/>
          <w:sz w:val="30"/>
        </w:rPr>
        <w:t xml:space="preserve"> </w:t>
      </w:r>
      <w:r>
        <w:rPr>
          <w:sz w:val="30"/>
        </w:rPr>
        <w:t>is</w:t>
      </w:r>
      <w:r>
        <w:rPr>
          <w:spacing w:val="-2"/>
          <w:sz w:val="30"/>
        </w:rPr>
        <w:t xml:space="preserve"> happy</w:t>
      </w:r>
    </w:p>
    <w:p w14:paraId="7E00214C" w14:textId="77777777" w:rsidR="009A58DB" w:rsidRDefault="00000000">
      <w:pPr>
        <w:pStyle w:val="BodyText"/>
        <w:spacing w:before="120" w:line="249" w:lineRule="auto"/>
        <w:jc w:val="left"/>
      </w:pPr>
      <w:r>
        <w:t>could</w:t>
      </w:r>
      <w:r>
        <w:rPr>
          <w:spacing w:val="-1"/>
        </w:rPr>
        <w:t xml:space="preserve"> </w:t>
      </w:r>
      <w:r>
        <w:t>be</w:t>
      </w:r>
      <w:r>
        <w:rPr>
          <w:spacing w:val="-1"/>
        </w:rPr>
        <w:t xml:space="preserve"> </w:t>
      </w:r>
      <w:r>
        <w:t>true.</w:t>
      </w:r>
      <w:r>
        <w:rPr>
          <w:spacing w:val="-1"/>
        </w:rPr>
        <w:t xml:space="preserve"> </w:t>
      </w:r>
      <w:r>
        <w:t>(8)</w:t>
      </w:r>
      <w:r>
        <w:rPr>
          <w:spacing w:val="-1"/>
        </w:rPr>
        <w:t xml:space="preserve"> </w:t>
      </w:r>
      <w:r>
        <w:t>doesn’t</w:t>
      </w:r>
      <w:r>
        <w:rPr>
          <w:spacing w:val="-2"/>
        </w:rPr>
        <w:t xml:space="preserve"> </w:t>
      </w:r>
      <w:r>
        <w:t>make</w:t>
      </w:r>
      <w:r>
        <w:rPr>
          <w:spacing w:val="-1"/>
        </w:rPr>
        <w:t xml:space="preserve"> </w:t>
      </w:r>
      <w:r>
        <w:t>the</w:t>
      </w:r>
      <w:r>
        <w:rPr>
          <w:spacing w:val="-1"/>
        </w:rPr>
        <w:t xml:space="preserve"> </w:t>
      </w:r>
      <w:r>
        <w:t>absurd</w:t>
      </w:r>
      <w:r>
        <w:rPr>
          <w:spacing w:val="-1"/>
        </w:rPr>
        <w:t xml:space="preserve"> </w:t>
      </w:r>
      <w:r>
        <w:t>claim</w:t>
      </w:r>
      <w:r>
        <w:rPr>
          <w:spacing w:val="-2"/>
        </w:rPr>
        <w:t xml:space="preserve"> </w:t>
      </w:r>
      <w:r>
        <w:t>that</w:t>
      </w:r>
      <w:r>
        <w:rPr>
          <w:spacing w:val="-2"/>
        </w:rPr>
        <w:t xml:space="preserve"> </w:t>
      </w:r>
      <w:r>
        <w:t>there</w:t>
      </w:r>
      <w:r>
        <w:rPr>
          <w:spacing w:val="-1"/>
        </w:rPr>
        <w:t xml:space="preserve"> </w:t>
      </w:r>
      <w:r>
        <w:t>exists</w:t>
      </w:r>
      <w:r>
        <w:rPr>
          <w:spacing w:val="-1"/>
        </w:rPr>
        <w:t xml:space="preserve"> </w:t>
      </w:r>
      <w:r>
        <w:t>some</w:t>
      </w:r>
      <w:r>
        <w:rPr>
          <w:spacing w:val="-1"/>
        </w:rPr>
        <w:t xml:space="preserve"> </w:t>
      </w:r>
      <w:r>
        <w:t>x</w:t>
      </w:r>
      <w:r>
        <w:rPr>
          <w:spacing w:val="-1"/>
        </w:rPr>
        <w:t xml:space="preserve"> </w:t>
      </w:r>
      <w:r>
        <w:t>such that x is Jim’s as of yet nonexistent happiness and such that x could exist.</w:t>
      </w:r>
    </w:p>
    <w:p w14:paraId="7E00214D" w14:textId="77777777" w:rsidR="009A58DB" w:rsidRDefault="00000000">
      <w:pPr>
        <w:pStyle w:val="Heading1"/>
        <w:numPr>
          <w:ilvl w:val="1"/>
          <w:numId w:val="76"/>
        </w:numPr>
        <w:tabs>
          <w:tab w:val="left" w:pos="1250"/>
          <w:tab w:val="left" w:pos="3318"/>
          <w:tab w:val="left" w:pos="4361"/>
          <w:tab w:val="left" w:pos="7152"/>
          <w:tab w:val="left" w:pos="9360"/>
        </w:tabs>
        <w:spacing w:before="191" w:line="244" w:lineRule="auto"/>
        <w:ind w:right="367" w:firstLine="0"/>
      </w:pPr>
      <w:r>
        <w:rPr>
          <w:spacing w:val="-2"/>
        </w:rPr>
        <w:t>Existence</w:t>
      </w:r>
      <w:r>
        <w:tab/>
      </w:r>
      <w:r>
        <w:rPr>
          <w:spacing w:val="-4"/>
        </w:rPr>
        <w:t>and</w:t>
      </w:r>
      <w:r>
        <w:tab/>
      </w:r>
      <w:r>
        <w:rPr>
          <w:spacing w:val="-2"/>
        </w:rPr>
        <w:t>non-existence</w:t>
      </w:r>
      <w:r>
        <w:tab/>
      </w:r>
      <w:r>
        <w:rPr>
          <w:spacing w:val="-2"/>
        </w:rPr>
        <w:t>properties</w:t>
      </w:r>
      <w:r>
        <w:tab/>
      </w:r>
      <w:r>
        <w:rPr>
          <w:spacing w:val="-6"/>
        </w:rPr>
        <w:t xml:space="preserve">of </w:t>
      </w:r>
      <w:r>
        <w:t>propositions, not of objects</w:t>
      </w:r>
    </w:p>
    <w:p w14:paraId="7E00214E" w14:textId="77777777" w:rsidR="009A58DB" w:rsidRDefault="00000000">
      <w:pPr>
        <w:pStyle w:val="BodyText"/>
        <w:spacing w:before="131" w:line="249" w:lineRule="auto"/>
        <w:ind w:right="367"/>
      </w:pPr>
      <w:r>
        <w:t>The points just made concerning the concepts of possibility and impossibility are</w:t>
      </w:r>
      <w:r>
        <w:rPr>
          <w:spacing w:val="-19"/>
        </w:rPr>
        <w:t xml:space="preserve"> </w:t>
      </w:r>
      <w:r>
        <w:t>to</w:t>
      </w:r>
      <w:r>
        <w:rPr>
          <w:spacing w:val="-19"/>
        </w:rPr>
        <w:t xml:space="preserve"> </w:t>
      </w:r>
      <w:r>
        <w:t>be</w:t>
      </w:r>
      <w:r>
        <w:rPr>
          <w:spacing w:val="-19"/>
        </w:rPr>
        <w:t xml:space="preserve"> </w:t>
      </w:r>
      <w:r>
        <w:t>understood</w:t>
      </w:r>
      <w:r>
        <w:rPr>
          <w:spacing w:val="-18"/>
        </w:rPr>
        <w:t xml:space="preserve"> </w:t>
      </w:r>
      <w:r>
        <w:t>in</w:t>
      </w:r>
      <w:r>
        <w:rPr>
          <w:spacing w:val="-19"/>
        </w:rPr>
        <w:t xml:space="preserve"> </w:t>
      </w:r>
      <w:r>
        <w:t>terms</w:t>
      </w:r>
      <w:r>
        <w:rPr>
          <w:spacing w:val="-19"/>
        </w:rPr>
        <w:t xml:space="preserve"> </w:t>
      </w:r>
      <w:r>
        <w:t>of</w:t>
      </w:r>
      <w:r>
        <w:rPr>
          <w:spacing w:val="-19"/>
        </w:rPr>
        <w:t xml:space="preserve"> </w:t>
      </w:r>
      <w:r>
        <w:t>more</w:t>
      </w:r>
      <w:r>
        <w:rPr>
          <w:spacing w:val="-18"/>
        </w:rPr>
        <w:t xml:space="preserve"> </w:t>
      </w:r>
      <w:r>
        <w:t>general</w:t>
      </w:r>
      <w:r>
        <w:rPr>
          <w:spacing w:val="-19"/>
        </w:rPr>
        <w:t xml:space="preserve"> </w:t>
      </w:r>
      <w:r>
        <w:t>points</w:t>
      </w:r>
      <w:r>
        <w:rPr>
          <w:spacing w:val="-19"/>
        </w:rPr>
        <w:t xml:space="preserve"> </w:t>
      </w:r>
      <w:r>
        <w:t>concerning</w:t>
      </w:r>
      <w:r>
        <w:rPr>
          <w:spacing w:val="-19"/>
        </w:rPr>
        <w:t xml:space="preserve"> </w:t>
      </w:r>
      <w:r>
        <w:t>the</w:t>
      </w:r>
      <w:r>
        <w:rPr>
          <w:spacing w:val="-18"/>
        </w:rPr>
        <w:t xml:space="preserve"> </w:t>
      </w:r>
      <w:r>
        <w:t>concepts</w:t>
      </w:r>
      <w:r>
        <w:rPr>
          <w:spacing w:val="-19"/>
        </w:rPr>
        <w:t xml:space="preserve"> </w:t>
      </w:r>
      <w:r>
        <w:t>of existence and non-existence.</w:t>
      </w:r>
    </w:p>
    <w:p w14:paraId="7E00214F" w14:textId="77777777" w:rsidR="009A58DB" w:rsidRDefault="00000000">
      <w:pPr>
        <w:pStyle w:val="BodyText"/>
        <w:spacing w:before="4" w:line="249" w:lineRule="auto"/>
        <w:ind w:right="361" w:firstLine="360"/>
      </w:pPr>
      <w:r>
        <w:rPr>
          <w:spacing w:val="-2"/>
        </w:rPr>
        <w:t>Nothing</w:t>
      </w:r>
      <w:r>
        <w:rPr>
          <w:spacing w:val="-12"/>
        </w:rPr>
        <w:t xml:space="preserve"> </w:t>
      </w:r>
      <w:r>
        <w:rPr>
          <w:spacing w:val="-2"/>
        </w:rPr>
        <w:t>doesn’t</w:t>
      </w:r>
      <w:r>
        <w:rPr>
          <w:spacing w:val="-12"/>
        </w:rPr>
        <w:t xml:space="preserve"> </w:t>
      </w:r>
      <w:r>
        <w:rPr>
          <w:spacing w:val="-2"/>
        </w:rPr>
        <w:t>exist.</w:t>
      </w:r>
      <w:r>
        <w:rPr>
          <w:spacing w:val="-16"/>
        </w:rPr>
        <w:t xml:space="preserve"> </w:t>
      </w:r>
      <w:r>
        <w:rPr>
          <w:spacing w:val="-2"/>
        </w:rPr>
        <w:t>There</w:t>
      </w:r>
      <w:r>
        <w:rPr>
          <w:spacing w:val="-12"/>
        </w:rPr>
        <w:t xml:space="preserve"> </w:t>
      </w:r>
      <w:r>
        <w:rPr>
          <w:spacing w:val="-2"/>
        </w:rPr>
        <w:t>exists</w:t>
      </w:r>
      <w:r>
        <w:rPr>
          <w:spacing w:val="-12"/>
        </w:rPr>
        <w:t xml:space="preserve"> </w:t>
      </w:r>
      <w:r>
        <w:rPr>
          <w:spacing w:val="-2"/>
        </w:rPr>
        <w:t>no</w:t>
      </w:r>
      <w:r>
        <w:rPr>
          <w:spacing w:val="-12"/>
        </w:rPr>
        <w:t xml:space="preserve"> </w:t>
      </w:r>
      <w:r>
        <w:rPr>
          <w:spacing w:val="-2"/>
        </w:rPr>
        <w:t>x</w:t>
      </w:r>
      <w:r>
        <w:rPr>
          <w:spacing w:val="-12"/>
        </w:rPr>
        <w:t xml:space="preserve"> </w:t>
      </w:r>
      <w:r>
        <w:rPr>
          <w:spacing w:val="-2"/>
        </w:rPr>
        <w:t>such</w:t>
      </w:r>
      <w:r>
        <w:rPr>
          <w:spacing w:val="-12"/>
        </w:rPr>
        <w:t xml:space="preserve"> </w:t>
      </w:r>
      <w:r>
        <w:rPr>
          <w:spacing w:val="-2"/>
        </w:rPr>
        <w:t>that</w:t>
      </w:r>
      <w:r>
        <w:rPr>
          <w:spacing w:val="-12"/>
        </w:rPr>
        <w:t xml:space="preserve"> </w:t>
      </w:r>
      <w:r>
        <w:rPr>
          <w:spacing w:val="-2"/>
        </w:rPr>
        <w:t>x</w:t>
      </w:r>
      <w:r>
        <w:rPr>
          <w:spacing w:val="-12"/>
        </w:rPr>
        <w:t xml:space="preserve"> </w:t>
      </w:r>
      <w:r>
        <w:rPr>
          <w:spacing w:val="-2"/>
        </w:rPr>
        <w:t>doesn’t</w:t>
      </w:r>
      <w:r>
        <w:rPr>
          <w:spacing w:val="-12"/>
        </w:rPr>
        <w:t xml:space="preserve"> </w:t>
      </w:r>
      <w:r>
        <w:rPr>
          <w:spacing w:val="-2"/>
        </w:rPr>
        <w:t>exist.</w:t>
      </w:r>
      <w:r>
        <w:rPr>
          <w:spacing w:val="-12"/>
        </w:rPr>
        <w:t xml:space="preserve"> </w:t>
      </w:r>
      <w:r>
        <w:rPr>
          <w:spacing w:val="-2"/>
        </w:rPr>
        <w:t xml:space="preserve">Statements </w:t>
      </w:r>
      <w:r>
        <w:t>that, given their surface-structures, appear to be attribute non-existence to objects</w:t>
      </w:r>
      <w:r>
        <w:rPr>
          <w:spacing w:val="-19"/>
        </w:rPr>
        <w:t xml:space="preserve"> </w:t>
      </w:r>
      <w:r>
        <w:t>in</w:t>
      </w:r>
      <w:r>
        <w:rPr>
          <w:spacing w:val="-19"/>
        </w:rPr>
        <w:t xml:space="preserve"> </w:t>
      </w:r>
      <w:r>
        <w:t>fact</w:t>
      </w:r>
      <w:r>
        <w:rPr>
          <w:spacing w:val="-19"/>
        </w:rPr>
        <w:t xml:space="preserve"> </w:t>
      </w:r>
      <w:r>
        <w:t>attribute</w:t>
      </w:r>
      <w:r>
        <w:rPr>
          <w:spacing w:val="-18"/>
        </w:rPr>
        <w:t xml:space="preserve"> </w:t>
      </w:r>
      <w:r>
        <w:t>falsity</w:t>
      </w:r>
      <w:r>
        <w:rPr>
          <w:spacing w:val="-19"/>
        </w:rPr>
        <w:t xml:space="preserve"> </w:t>
      </w:r>
      <w:r>
        <w:t>to</w:t>
      </w:r>
      <w:r>
        <w:rPr>
          <w:spacing w:val="-19"/>
        </w:rPr>
        <w:t xml:space="preserve"> </w:t>
      </w:r>
      <w:r>
        <w:t>propositions.</w:t>
      </w:r>
      <w:r>
        <w:rPr>
          <w:spacing w:val="-25"/>
        </w:rPr>
        <w:t xml:space="preserve"> </w:t>
      </w:r>
      <w:r>
        <w:t>A</w:t>
      </w:r>
      <w:r>
        <w:rPr>
          <w:spacing w:val="-25"/>
        </w:rPr>
        <w:t xml:space="preserve"> </w:t>
      </w:r>
      <w:r>
        <w:t>story</w:t>
      </w:r>
      <w:r>
        <w:rPr>
          <w:spacing w:val="-19"/>
        </w:rPr>
        <w:t xml:space="preserve"> </w:t>
      </w:r>
      <w:r>
        <w:t>will</w:t>
      </w:r>
      <w:r>
        <w:rPr>
          <w:spacing w:val="-18"/>
        </w:rPr>
        <w:t xml:space="preserve"> </w:t>
      </w:r>
      <w:r>
        <w:t>make</w:t>
      </w:r>
      <w:r>
        <w:rPr>
          <w:spacing w:val="-19"/>
        </w:rPr>
        <w:t xml:space="preserve"> </w:t>
      </w:r>
      <w:r>
        <w:t>this</w:t>
      </w:r>
      <w:r>
        <w:rPr>
          <w:spacing w:val="-19"/>
        </w:rPr>
        <w:t xml:space="preserve"> </w:t>
      </w:r>
      <w:r>
        <w:t>clear.</w:t>
      </w:r>
    </w:p>
    <w:p w14:paraId="7E002150" w14:textId="77777777" w:rsidR="009A58DB" w:rsidRDefault="00000000">
      <w:pPr>
        <w:pStyle w:val="BodyText"/>
        <w:spacing w:before="4" w:line="249" w:lineRule="auto"/>
        <w:ind w:right="358" w:firstLine="360"/>
      </w:pPr>
      <w:r>
        <w:t>An</w:t>
      </w:r>
      <w:r>
        <w:rPr>
          <w:spacing w:val="-3"/>
        </w:rPr>
        <w:t xml:space="preserve"> </w:t>
      </w:r>
      <w:r>
        <w:t>unscrupulous</w:t>
      </w:r>
      <w:r>
        <w:rPr>
          <w:spacing w:val="-3"/>
        </w:rPr>
        <w:t xml:space="preserve"> </w:t>
      </w:r>
      <w:r>
        <w:t>person</w:t>
      </w:r>
      <w:r>
        <w:rPr>
          <w:spacing w:val="-3"/>
        </w:rPr>
        <w:t xml:space="preserve"> </w:t>
      </w:r>
      <w:r>
        <w:t>claims</w:t>
      </w:r>
      <w:r>
        <w:rPr>
          <w:spacing w:val="-3"/>
        </w:rPr>
        <w:t xml:space="preserve"> </w:t>
      </w:r>
      <w:r>
        <w:t>to</w:t>
      </w:r>
      <w:r>
        <w:rPr>
          <w:spacing w:val="-3"/>
        </w:rPr>
        <w:t xml:space="preserve"> </w:t>
      </w:r>
      <w:r>
        <w:t>have</w:t>
      </w:r>
      <w:r>
        <w:rPr>
          <w:spacing w:val="-3"/>
        </w:rPr>
        <w:t xml:space="preserve"> </w:t>
      </w:r>
      <w:r>
        <w:t>been</w:t>
      </w:r>
      <w:r>
        <w:rPr>
          <w:spacing w:val="-3"/>
        </w:rPr>
        <w:t xml:space="preserve"> </w:t>
      </w:r>
      <w:r>
        <w:t>attacked.</w:t>
      </w:r>
      <w:r>
        <w:rPr>
          <w:spacing w:val="-3"/>
        </w:rPr>
        <w:t xml:space="preserve"> </w:t>
      </w:r>
      <w:r>
        <w:t>In</w:t>
      </w:r>
      <w:r>
        <w:rPr>
          <w:spacing w:val="-3"/>
        </w:rPr>
        <w:t xml:space="preserve"> </w:t>
      </w:r>
      <w:r>
        <w:t>reality,</w:t>
      </w:r>
      <w:r>
        <w:rPr>
          <w:spacing w:val="-3"/>
        </w:rPr>
        <w:t xml:space="preserve"> </w:t>
      </w:r>
      <w:r>
        <w:t>he</w:t>
      </w:r>
      <w:r>
        <w:rPr>
          <w:spacing w:val="-3"/>
        </w:rPr>
        <w:t xml:space="preserve"> </w:t>
      </w:r>
      <w:r>
        <w:t>wasn’t attacked; but, for whatever reason, it’s to his advantage for people to believe otherwise.</w:t>
      </w:r>
      <w:r>
        <w:rPr>
          <w:spacing w:val="-8"/>
        </w:rPr>
        <w:t xml:space="preserve"> </w:t>
      </w:r>
      <w:r>
        <w:t>He</w:t>
      </w:r>
      <w:r>
        <w:rPr>
          <w:spacing w:val="-8"/>
        </w:rPr>
        <w:t xml:space="preserve"> </w:t>
      </w:r>
      <w:r>
        <w:t>describes</w:t>
      </w:r>
      <w:r>
        <w:rPr>
          <w:spacing w:val="-8"/>
        </w:rPr>
        <w:t xml:space="preserve"> </w:t>
      </w:r>
      <w:r>
        <w:t>his</w:t>
      </w:r>
      <w:r>
        <w:rPr>
          <w:spacing w:val="-8"/>
        </w:rPr>
        <w:t xml:space="preserve"> </w:t>
      </w:r>
      <w:r>
        <w:t>non-existent</w:t>
      </w:r>
      <w:r>
        <w:rPr>
          <w:spacing w:val="-8"/>
        </w:rPr>
        <w:t xml:space="preserve"> </w:t>
      </w:r>
      <w:r>
        <w:t>assailant</w:t>
      </w:r>
      <w:r>
        <w:rPr>
          <w:spacing w:val="-8"/>
        </w:rPr>
        <w:t xml:space="preserve"> </w:t>
      </w:r>
      <w:r>
        <w:t>to</w:t>
      </w:r>
      <w:r>
        <w:rPr>
          <w:spacing w:val="-8"/>
        </w:rPr>
        <w:t xml:space="preserve"> </w:t>
      </w:r>
      <w:r>
        <w:t>a</w:t>
      </w:r>
      <w:r>
        <w:rPr>
          <w:spacing w:val="-8"/>
        </w:rPr>
        <w:t xml:space="preserve"> </w:t>
      </w:r>
      <w:r>
        <w:t>police</w:t>
      </w:r>
      <w:r>
        <w:rPr>
          <w:spacing w:val="-8"/>
        </w:rPr>
        <w:t xml:space="preserve"> </w:t>
      </w:r>
      <w:r>
        <w:t>sketch</w:t>
      </w:r>
      <w:r>
        <w:rPr>
          <w:spacing w:val="-8"/>
        </w:rPr>
        <w:t xml:space="preserve"> </w:t>
      </w:r>
      <w:r>
        <w:t>artist.</w:t>
      </w:r>
      <w:r>
        <w:rPr>
          <w:spacing w:val="-11"/>
        </w:rPr>
        <w:t xml:space="preserve"> </w:t>
      </w:r>
      <w:r>
        <w:t xml:space="preserve">The </w:t>
      </w:r>
      <w:r>
        <w:rPr>
          <w:spacing w:val="-2"/>
        </w:rPr>
        <w:t>resulting</w:t>
      </w:r>
      <w:r>
        <w:rPr>
          <w:spacing w:val="-11"/>
        </w:rPr>
        <w:t xml:space="preserve"> </w:t>
      </w:r>
      <w:r>
        <w:rPr>
          <w:spacing w:val="-2"/>
        </w:rPr>
        <w:t>sketch</w:t>
      </w:r>
      <w:r>
        <w:rPr>
          <w:spacing w:val="-11"/>
        </w:rPr>
        <w:t xml:space="preserve"> </w:t>
      </w:r>
      <w:r>
        <w:rPr>
          <w:spacing w:val="-2"/>
        </w:rPr>
        <w:t>is</w:t>
      </w:r>
      <w:r>
        <w:rPr>
          <w:spacing w:val="-11"/>
        </w:rPr>
        <w:t xml:space="preserve"> </w:t>
      </w:r>
      <w:r>
        <w:rPr>
          <w:spacing w:val="-2"/>
        </w:rPr>
        <w:t>distributed</w:t>
      </w:r>
      <w:r>
        <w:rPr>
          <w:spacing w:val="-11"/>
        </w:rPr>
        <w:t xml:space="preserve"> </w:t>
      </w:r>
      <w:r>
        <w:rPr>
          <w:spacing w:val="-2"/>
        </w:rPr>
        <w:t>across</w:t>
      </w:r>
      <w:r>
        <w:rPr>
          <w:spacing w:val="-11"/>
        </w:rPr>
        <w:t xml:space="preserve"> </w:t>
      </w:r>
      <w:r>
        <w:rPr>
          <w:spacing w:val="-2"/>
        </w:rPr>
        <w:t>the</w:t>
      </w:r>
      <w:r>
        <w:rPr>
          <w:spacing w:val="-11"/>
        </w:rPr>
        <w:t xml:space="preserve"> </w:t>
      </w:r>
      <w:r>
        <w:rPr>
          <w:spacing w:val="-2"/>
        </w:rPr>
        <w:t>nation.</w:t>
      </w:r>
      <w:r>
        <w:rPr>
          <w:spacing w:val="-10"/>
        </w:rPr>
        <w:t xml:space="preserve"> </w:t>
      </w:r>
      <w:r>
        <w:rPr>
          <w:spacing w:val="-2"/>
        </w:rPr>
        <w:t>If</w:t>
      </w:r>
      <w:r>
        <w:rPr>
          <w:spacing w:val="-10"/>
        </w:rPr>
        <w:t xml:space="preserve"> </w:t>
      </w:r>
      <w:r>
        <w:rPr>
          <w:spacing w:val="-2"/>
        </w:rPr>
        <w:t>we</w:t>
      </w:r>
      <w:r>
        <w:rPr>
          <w:spacing w:val="-10"/>
        </w:rPr>
        <w:t xml:space="preserve"> </w:t>
      </w:r>
      <w:r>
        <w:rPr>
          <w:spacing w:val="-2"/>
        </w:rPr>
        <w:t>say</w:t>
      </w:r>
      <w:r>
        <w:rPr>
          <w:spacing w:val="-10"/>
        </w:rPr>
        <w:t xml:space="preserve"> </w:t>
      </w:r>
      <w:r>
        <w:rPr>
          <w:spacing w:val="-2"/>
        </w:rPr>
        <w:t>that</w:t>
      </w:r>
      <w:r>
        <w:rPr>
          <w:spacing w:val="-11"/>
        </w:rPr>
        <w:t xml:space="preserve"> </w:t>
      </w:r>
      <w:r>
        <w:rPr>
          <w:spacing w:val="-2"/>
        </w:rPr>
        <w:t>the</w:t>
      </w:r>
      <w:r>
        <w:rPr>
          <w:spacing w:val="-10"/>
        </w:rPr>
        <w:t xml:space="preserve"> </w:t>
      </w:r>
      <w:r>
        <w:rPr>
          <w:spacing w:val="-2"/>
        </w:rPr>
        <w:t>sketch</w:t>
      </w:r>
      <w:r>
        <w:rPr>
          <w:spacing w:val="-10"/>
        </w:rPr>
        <w:t xml:space="preserve"> </w:t>
      </w:r>
      <w:r>
        <w:rPr>
          <w:spacing w:val="-2"/>
        </w:rPr>
        <w:t xml:space="preserve">depicts </w:t>
      </w:r>
      <w:r>
        <w:t>a nonexistent person, we’re saying that there exists some person who doesn’t exist</w:t>
      </w:r>
      <w:r>
        <w:rPr>
          <w:spacing w:val="-19"/>
        </w:rPr>
        <w:t xml:space="preserve"> </w:t>
      </w:r>
      <w:r>
        <w:t>who</w:t>
      </w:r>
      <w:r>
        <w:rPr>
          <w:spacing w:val="-19"/>
        </w:rPr>
        <w:t xml:space="preserve"> </w:t>
      </w:r>
      <w:r>
        <w:t>it</w:t>
      </w:r>
      <w:r>
        <w:rPr>
          <w:spacing w:val="-19"/>
        </w:rPr>
        <w:t xml:space="preserve"> </w:t>
      </w:r>
      <w:r>
        <w:t>depicts.</w:t>
      </w:r>
      <w:r>
        <w:rPr>
          <w:spacing w:val="-18"/>
        </w:rPr>
        <w:t xml:space="preserve"> </w:t>
      </w:r>
      <w:r>
        <w:t>But</w:t>
      </w:r>
      <w:r>
        <w:rPr>
          <w:spacing w:val="-19"/>
        </w:rPr>
        <w:t xml:space="preserve"> </w:t>
      </w:r>
      <w:r>
        <w:t>that</w:t>
      </w:r>
      <w:r>
        <w:rPr>
          <w:spacing w:val="-19"/>
        </w:rPr>
        <w:t xml:space="preserve"> </w:t>
      </w:r>
      <w:r>
        <w:t>would</w:t>
      </w:r>
      <w:r>
        <w:rPr>
          <w:spacing w:val="-19"/>
        </w:rPr>
        <w:t xml:space="preserve"> </w:t>
      </w:r>
      <w:r>
        <w:t>be</w:t>
      </w:r>
      <w:r>
        <w:rPr>
          <w:spacing w:val="-18"/>
        </w:rPr>
        <w:t xml:space="preserve"> </w:t>
      </w:r>
      <w:r>
        <w:t>absurd.</w:t>
      </w:r>
      <w:r>
        <w:rPr>
          <w:spacing w:val="-19"/>
        </w:rPr>
        <w:t xml:space="preserve"> </w:t>
      </w:r>
      <w:r>
        <w:t>The</w:t>
      </w:r>
      <w:r>
        <w:rPr>
          <w:spacing w:val="-19"/>
        </w:rPr>
        <w:t xml:space="preserve"> </w:t>
      </w:r>
      <w:r>
        <w:t>sketch</w:t>
      </w:r>
      <w:r>
        <w:rPr>
          <w:spacing w:val="-19"/>
        </w:rPr>
        <w:t xml:space="preserve"> </w:t>
      </w:r>
      <w:r>
        <w:t>is</w:t>
      </w:r>
      <w:r>
        <w:rPr>
          <w:spacing w:val="-18"/>
        </w:rPr>
        <w:t xml:space="preserve"> </w:t>
      </w:r>
      <w:r>
        <w:t>better</w:t>
      </w:r>
      <w:r>
        <w:rPr>
          <w:spacing w:val="-19"/>
        </w:rPr>
        <w:t xml:space="preserve"> </w:t>
      </w:r>
      <w:r>
        <w:t>thought</w:t>
      </w:r>
      <w:r>
        <w:rPr>
          <w:spacing w:val="-19"/>
        </w:rPr>
        <w:t xml:space="preserve"> </w:t>
      </w:r>
      <w:r>
        <w:t>of</w:t>
      </w:r>
      <w:r>
        <w:rPr>
          <w:spacing w:val="-19"/>
        </w:rPr>
        <w:t xml:space="preserve"> </w:t>
      </w:r>
      <w:r>
        <w:t>as saying:</w:t>
      </w:r>
      <w:r>
        <w:rPr>
          <w:spacing w:val="-17"/>
        </w:rPr>
        <w:t xml:space="preserve"> </w:t>
      </w:r>
      <w:r>
        <w:rPr>
          <w:i/>
        </w:rPr>
        <w:t>there is somebody having such and such features,</w:t>
      </w:r>
      <w:r>
        <w:rPr>
          <w:i/>
          <w:spacing w:val="-16"/>
        </w:rPr>
        <w:t xml:space="preserve"> </w:t>
      </w:r>
      <w:r>
        <w:t>these being the features that a person</w:t>
      </w:r>
      <w:r>
        <w:rPr>
          <w:spacing w:val="-18"/>
        </w:rPr>
        <w:t xml:space="preserve"> </w:t>
      </w:r>
      <w:r>
        <w:rPr>
          <w:i/>
        </w:rPr>
        <w:t>would</w:t>
      </w:r>
      <w:r>
        <w:rPr>
          <w:i/>
          <w:spacing w:val="-17"/>
        </w:rPr>
        <w:t xml:space="preserve"> </w:t>
      </w:r>
      <w:r>
        <w:t>have to have</w:t>
      </w:r>
      <w:r>
        <w:rPr>
          <w:spacing w:val="-17"/>
        </w:rPr>
        <w:t xml:space="preserve"> </w:t>
      </w:r>
      <w:r>
        <w:rPr>
          <w:i/>
          <w:spacing w:val="12"/>
        </w:rPr>
        <w:t>if</w:t>
      </w:r>
      <w:r>
        <w:rPr>
          <w:i/>
          <w:spacing w:val="-18"/>
        </w:rPr>
        <w:t xml:space="preserve"> </w:t>
      </w:r>
      <w:r>
        <w:t>he were to fit the sketch. Though false,</w:t>
      </w:r>
      <w:r>
        <w:rPr>
          <w:spacing w:val="-19"/>
        </w:rPr>
        <w:t xml:space="preserve"> </w:t>
      </w:r>
      <w:r>
        <w:t>that</w:t>
      </w:r>
      <w:r>
        <w:rPr>
          <w:spacing w:val="-19"/>
        </w:rPr>
        <w:t xml:space="preserve"> </w:t>
      </w:r>
      <w:r>
        <w:rPr>
          <w:i/>
        </w:rPr>
        <w:t>statement</w:t>
      </w:r>
      <w:r>
        <w:t>—that</w:t>
      </w:r>
      <w:r>
        <w:rPr>
          <w:spacing w:val="-19"/>
        </w:rPr>
        <w:t xml:space="preserve"> </w:t>
      </w:r>
      <w:r>
        <w:rPr>
          <w:b/>
          <w:i/>
        </w:rPr>
        <w:t>existence-claim</w:t>
      </w:r>
      <w:r>
        <w:rPr>
          <w:b/>
          <w:i/>
          <w:spacing w:val="-18"/>
        </w:rPr>
        <w:t xml:space="preserve"> </w:t>
      </w:r>
      <w:r>
        <w:t>obviously</w:t>
      </w:r>
      <w:r>
        <w:rPr>
          <w:spacing w:val="-19"/>
        </w:rPr>
        <w:t xml:space="preserve"> </w:t>
      </w:r>
      <w:r>
        <w:t>exists.</w:t>
      </w:r>
    </w:p>
    <w:p w14:paraId="7E002151" w14:textId="77777777" w:rsidR="009A58DB" w:rsidRDefault="00000000">
      <w:pPr>
        <w:pStyle w:val="BodyText"/>
        <w:spacing w:before="11" w:line="249" w:lineRule="auto"/>
        <w:ind w:right="358" w:firstLine="360"/>
      </w:pPr>
      <w:r>
        <w:t>Similarly, the cartoons that brought Fred Flintstone and Bart Simpson into our</w:t>
      </w:r>
      <w:r>
        <w:rPr>
          <w:spacing w:val="-19"/>
        </w:rPr>
        <w:t xml:space="preserve"> </w:t>
      </w:r>
      <w:r>
        <w:t>homes</w:t>
      </w:r>
      <w:r>
        <w:rPr>
          <w:spacing w:val="-19"/>
        </w:rPr>
        <w:t xml:space="preserve"> </w:t>
      </w:r>
      <w:r>
        <w:t>can</w:t>
      </w:r>
      <w:r>
        <w:rPr>
          <w:spacing w:val="-19"/>
        </w:rPr>
        <w:t xml:space="preserve"> </w:t>
      </w:r>
      <w:r>
        <w:t>be</w:t>
      </w:r>
      <w:r>
        <w:rPr>
          <w:spacing w:val="-18"/>
        </w:rPr>
        <w:t xml:space="preserve"> </w:t>
      </w:r>
      <w:r>
        <w:t>thought</w:t>
      </w:r>
      <w:r>
        <w:rPr>
          <w:spacing w:val="-19"/>
        </w:rPr>
        <w:t xml:space="preserve"> </w:t>
      </w:r>
      <w:r>
        <w:t>of</w:t>
      </w:r>
      <w:r>
        <w:rPr>
          <w:spacing w:val="-19"/>
        </w:rPr>
        <w:t xml:space="preserve"> </w:t>
      </w:r>
      <w:r>
        <w:t>as</w:t>
      </w:r>
      <w:r>
        <w:rPr>
          <w:spacing w:val="-19"/>
        </w:rPr>
        <w:t xml:space="preserve"> </w:t>
      </w:r>
      <w:r>
        <w:t>making</w:t>
      </w:r>
      <w:r>
        <w:rPr>
          <w:spacing w:val="-18"/>
        </w:rPr>
        <w:t xml:space="preserve"> </w:t>
      </w:r>
      <w:r>
        <w:t>false</w:t>
      </w:r>
      <w:r>
        <w:rPr>
          <w:spacing w:val="-19"/>
        </w:rPr>
        <w:t xml:space="preserve"> </w:t>
      </w:r>
      <w:r>
        <w:t>statements</w:t>
      </w:r>
      <w:r>
        <w:rPr>
          <w:spacing w:val="-19"/>
        </w:rPr>
        <w:t xml:space="preserve"> </w:t>
      </w:r>
      <w:r>
        <w:t>of</w:t>
      </w:r>
      <w:r>
        <w:rPr>
          <w:spacing w:val="-18"/>
        </w:rPr>
        <w:t xml:space="preserve"> </w:t>
      </w:r>
      <w:r>
        <w:t>a</w:t>
      </w:r>
      <w:r>
        <w:rPr>
          <w:spacing w:val="-18"/>
        </w:rPr>
        <w:t xml:space="preserve"> </w:t>
      </w:r>
      <w:r>
        <w:t>similar</w:t>
      </w:r>
      <w:r>
        <w:rPr>
          <w:spacing w:val="-18"/>
        </w:rPr>
        <w:t xml:space="preserve"> </w:t>
      </w:r>
      <w:r>
        <w:t>kind.</w:t>
      </w:r>
      <w:r>
        <w:rPr>
          <w:spacing w:val="-18"/>
        </w:rPr>
        <w:t xml:space="preserve"> </w:t>
      </w:r>
      <w:r>
        <w:t>In</w:t>
      </w:r>
      <w:r>
        <w:rPr>
          <w:spacing w:val="-18"/>
        </w:rPr>
        <w:t xml:space="preserve"> </w:t>
      </w:r>
      <w:r>
        <w:t>the case of Fred Flintstone, that statement might be something along the lines of: there</w:t>
      </w:r>
      <w:r>
        <w:rPr>
          <w:spacing w:val="-1"/>
        </w:rPr>
        <w:t xml:space="preserve"> </w:t>
      </w:r>
      <w:r>
        <w:t>exists</w:t>
      </w:r>
      <w:r>
        <w:rPr>
          <w:spacing w:val="-1"/>
        </w:rPr>
        <w:t xml:space="preserve"> </w:t>
      </w:r>
      <w:r>
        <w:t>a</w:t>
      </w:r>
      <w:r>
        <w:rPr>
          <w:spacing w:val="-1"/>
        </w:rPr>
        <w:t xml:space="preserve"> </w:t>
      </w:r>
      <w:r>
        <w:t>boorish</w:t>
      </w:r>
      <w:r>
        <w:rPr>
          <w:spacing w:val="-1"/>
        </w:rPr>
        <w:t xml:space="preserve"> </w:t>
      </w:r>
      <w:r>
        <w:t>man</w:t>
      </w:r>
      <w:r>
        <w:rPr>
          <w:spacing w:val="-1"/>
        </w:rPr>
        <w:t xml:space="preserve"> </w:t>
      </w:r>
      <w:r>
        <w:t>who</w:t>
      </w:r>
      <w:r>
        <w:rPr>
          <w:spacing w:val="-1"/>
        </w:rPr>
        <w:t xml:space="preserve"> </w:t>
      </w:r>
      <w:r>
        <w:t>has</w:t>
      </w:r>
      <w:r>
        <w:rPr>
          <w:spacing w:val="-1"/>
        </w:rPr>
        <w:t xml:space="preserve"> </w:t>
      </w:r>
      <w:r>
        <w:t>pet</w:t>
      </w:r>
      <w:r>
        <w:rPr>
          <w:spacing w:val="-1"/>
        </w:rPr>
        <w:t xml:space="preserve"> </w:t>
      </w:r>
      <w:r>
        <w:t>dinosaur</w:t>
      </w:r>
      <w:r>
        <w:rPr>
          <w:spacing w:val="-1"/>
        </w:rPr>
        <w:t xml:space="preserve"> </w:t>
      </w:r>
      <w:r>
        <w:t>named</w:t>
      </w:r>
      <w:r>
        <w:rPr>
          <w:spacing w:val="-1"/>
        </w:rPr>
        <w:t xml:space="preserve"> </w:t>
      </w:r>
      <w:r>
        <w:t>“Dino,”</w:t>
      </w:r>
      <w:r>
        <w:rPr>
          <w:spacing w:val="-1"/>
        </w:rPr>
        <w:t xml:space="preserve"> </w:t>
      </w:r>
      <w:r>
        <w:t>a</w:t>
      </w:r>
      <w:r>
        <w:rPr>
          <w:spacing w:val="-1"/>
        </w:rPr>
        <w:t xml:space="preserve"> </w:t>
      </w:r>
      <w:r>
        <w:t>wife</w:t>
      </w:r>
      <w:r>
        <w:rPr>
          <w:spacing w:val="-1"/>
        </w:rPr>
        <w:t xml:space="preserve"> </w:t>
      </w:r>
      <w:r>
        <w:t xml:space="preserve">named </w:t>
      </w:r>
      <w:r>
        <w:rPr>
          <w:spacing w:val="-2"/>
        </w:rPr>
        <w:t>“Wilma,”</w:t>
      </w:r>
      <w:r>
        <w:rPr>
          <w:spacing w:val="-15"/>
        </w:rPr>
        <w:t xml:space="preserve"> </w:t>
      </w:r>
      <w:r>
        <w:rPr>
          <w:spacing w:val="-2"/>
        </w:rPr>
        <w:t>etc.</w:t>
      </w:r>
      <w:r>
        <w:rPr>
          <w:spacing w:val="-15"/>
        </w:rPr>
        <w:t xml:space="preserve"> </w:t>
      </w:r>
      <w:r>
        <w:rPr>
          <w:spacing w:val="-2"/>
        </w:rPr>
        <w:t>In</w:t>
      </w:r>
      <w:r>
        <w:rPr>
          <w:spacing w:val="-15"/>
        </w:rPr>
        <w:t xml:space="preserve"> </w:t>
      </w:r>
      <w:r>
        <w:rPr>
          <w:spacing w:val="-2"/>
        </w:rPr>
        <w:t>the</w:t>
      </w:r>
      <w:r>
        <w:rPr>
          <w:spacing w:val="-15"/>
        </w:rPr>
        <w:t xml:space="preserve"> </w:t>
      </w:r>
      <w:r>
        <w:rPr>
          <w:spacing w:val="-2"/>
        </w:rPr>
        <w:t>case</w:t>
      </w:r>
      <w:r>
        <w:rPr>
          <w:spacing w:val="-15"/>
        </w:rPr>
        <w:t xml:space="preserve"> </w:t>
      </w:r>
      <w:r>
        <w:rPr>
          <w:spacing w:val="-2"/>
        </w:rPr>
        <w:t>of</w:t>
      </w:r>
      <w:r>
        <w:rPr>
          <w:spacing w:val="-15"/>
        </w:rPr>
        <w:t xml:space="preserve"> </w:t>
      </w:r>
      <w:r>
        <w:rPr>
          <w:spacing w:val="-2"/>
        </w:rPr>
        <w:t>Bart</w:t>
      </w:r>
      <w:r>
        <w:rPr>
          <w:spacing w:val="-15"/>
        </w:rPr>
        <w:t xml:space="preserve"> </w:t>
      </w:r>
      <w:r>
        <w:rPr>
          <w:spacing w:val="-2"/>
        </w:rPr>
        <w:t>Simpson</w:t>
      </w:r>
      <w:r>
        <w:rPr>
          <w:spacing w:val="-15"/>
        </w:rPr>
        <w:t xml:space="preserve"> </w:t>
      </w:r>
      <w:r>
        <w:rPr>
          <w:spacing w:val="-2"/>
        </w:rPr>
        <w:t>that</w:t>
      </w:r>
      <w:r>
        <w:rPr>
          <w:spacing w:val="-15"/>
        </w:rPr>
        <w:t xml:space="preserve"> </w:t>
      </w:r>
      <w:r>
        <w:rPr>
          <w:spacing w:val="-2"/>
        </w:rPr>
        <w:t>claim</w:t>
      </w:r>
      <w:r>
        <w:rPr>
          <w:spacing w:val="-15"/>
        </w:rPr>
        <w:t xml:space="preserve"> </w:t>
      </w:r>
      <w:r>
        <w:rPr>
          <w:spacing w:val="-2"/>
        </w:rPr>
        <w:t>might</w:t>
      </w:r>
      <w:r>
        <w:rPr>
          <w:spacing w:val="-15"/>
        </w:rPr>
        <w:t xml:space="preserve"> </w:t>
      </w:r>
      <w:r>
        <w:rPr>
          <w:spacing w:val="-2"/>
        </w:rPr>
        <w:t>say</w:t>
      </w:r>
      <w:r>
        <w:rPr>
          <w:spacing w:val="-15"/>
        </w:rPr>
        <w:t xml:space="preserve"> </w:t>
      </w:r>
      <w:r>
        <w:rPr>
          <w:spacing w:val="-2"/>
        </w:rPr>
        <w:t>something</w:t>
      </w:r>
      <w:r>
        <w:rPr>
          <w:spacing w:val="-15"/>
        </w:rPr>
        <w:t xml:space="preserve"> </w:t>
      </w:r>
      <w:r>
        <w:rPr>
          <w:spacing w:val="-2"/>
        </w:rPr>
        <w:t xml:space="preserve">along </w:t>
      </w:r>
      <w:r>
        <w:t>the lines of: “there exists a bratty boy who torments his oafish father with his loveable shenanigans (etc.)” All of these</w:t>
      </w:r>
      <w:r>
        <w:rPr>
          <w:spacing w:val="-19"/>
        </w:rPr>
        <w:t xml:space="preserve"> </w:t>
      </w:r>
      <w:r>
        <w:rPr>
          <w:i/>
        </w:rPr>
        <w:t>statements</w:t>
      </w:r>
      <w:r>
        <w:rPr>
          <w:i/>
          <w:spacing w:val="-19"/>
        </w:rPr>
        <w:t xml:space="preserve"> </w:t>
      </w:r>
      <w:r>
        <w:t>exist; they’re simply not true; nothing answers the descriptions encoded in them. And</w:t>
      </w:r>
      <w:r>
        <w:rPr>
          <w:spacing w:val="-19"/>
        </w:rPr>
        <w:t xml:space="preserve"> </w:t>
      </w:r>
      <w:r>
        <w:rPr>
          <w:i/>
        </w:rPr>
        <w:t>that</w:t>
      </w:r>
      <w:r>
        <w:rPr>
          <w:i/>
          <w:spacing w:val="-18"/>
        </w:rPr>
        <w:t xml:space="preserve"> </w:t>
      </w:r>
      <w:r>
        <w:t>is the real meaning</w:t>
      </w:r>
      <w:r>
        <w:rPr>
          <w:spacing w:val="-5"/>
        </w:rPr>
        <w:t xml:space="preserve"> </w:t>
      </w:r>
      <w:r>
        <w:t>of</w:t>
      </w:r>
      <w:r>
        <w:rPr>
          <w:spacing w:val="-6"/>
        </w:rPr>
        <w:t xml:space="preserve"> </w:t>
      </w:r>
      <w:r>
        <w:t>“Fred</w:t>
      </w:r>
      <w:r>
        <w:rPr>
          <w:spacing w:val="-5"/>
        </w:rPr>
        <w:t xml:space="preserve"> </w:t>
      </w:r>
      <w:r>
        <w:t>Flintstone/Bart</w:t>
      </w:r>
      <w:r>
        <w:rPr>
          <w:spacing w:val="-6"/>
        </w:rPr>
        <w:t xml:space="preserve"> </w:t>
      </w:r>
      <w:r>
        <w:t>Simpson</w:t>
      </w:r>
      <w:r>
        <w:rPr>
          <w:spacing w:val="-5"/>
        </w:rPr>
        <w:t xml:space="preserve"> </w:t>
      </w:r>
      <w:r>
        <w:t>doesn’t</w:t>
      </w:r>
      <w:r>
        <w:rPr>
          <w:spacing w:val="-6"/>
        </w:rPr>
        <w:t xml:space="preserve"> </w:t>
      </w:r>
      <w:r>
        <w:t>exist.”</w:t>
      </w:r>
      <w:r>
        <w:rPr>
          <w:spacing w:val="-9"/>
        </w:rPr>
        <w:t xml:space="preserve"> </w:t>
      </w:r>
      <w:r>
        <w:t>The</w:t>
      </w:r>
      <w:r>
        <w:rPr>
          <w:spacing w:val="-5"/>
        </w:rPr>
        <w:t xml:space="preserve"> </w:t>
      </w:r>
      <w:r>
        <w:t>real</w:t>
      </w:r>
      <w:r>
        <w:rPr>
          <w:spacing w:val="-6"/>
        </w:rPr>
        <w:t xml:space="preserve"> </w:t>
      </w:r>
      <w:r>
        <w:t>meaning</w:t>
      </w:r>
      <w:r>
        <w:rPr>
          <w:spacing w:val="-5"/>
        </w:rPr>
        <w:t xml:space="preserve"> </w:t>
      </w:r>
      <w:r>
        <w:t>is</w:t>
      </w:r>
    </w:p>
    <w:p w14:paraId="7E00215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53" w14:textId="77777777" w:rsidR="009A58DB" w:rsidRDefault="00000000">
      <w:pPr>
        <w:pStyle w:val="BodyText"/>
        <w:spacing w:before="65" w:line="249" w:lineRule="auto"/>
        <w:jc w:val="left"/>
      </w:pPr>
      <w:r>
        <w:lastRenderedPageBreak/>
        <w:t>clearly</w:t>
      </w:r>
      <w:r>
        <w:rPr>
          <w:spacing w:val="-2"/>
        </w:rPr>
        <w:t xml:space="preserve"> </w:t>
      </w:r>
      <w:r>
        <w:t>not</w:t>
      </w:r>
      <w:r>
        <w:rPr>
          <w:spacing w:val="-2"/>
        </w:rPr>
        <w:t xml:space="preserve"> </w:t>
      </w:r>
      <w:r>
        <w:t>some</w:t>
      </w:r>
      <w:r>
        <w:rPr>
          <w:spacing w:val="-2"/>
        </w:rPr>
        <w:t xml:space="preserve"> </w:t>
      </w:r>
      <w:r>
        <w:t>absurd</w:t>
      </w:r>
      <w:r>
        <w:rPr>
          <w:spacing w:val="-2"/>
        </w:rPr>
        <w:t xml:space="preserve"> </w:t>
      </w:r>
      <w:r>
        <w:t>claim</w:t>
      </w:r>
      <w:r>
        <w:rPr>
          <w:spacing w:val="-2"/>
        </w:rPr>
        <w:t xml:space="preserve"> </w:t>
      </w:r>
      <w:r>
        <w:t>to</w:t>
      </w:r>
      <w:r>
        <w:rPr>
          <w:spacing w:val="-2"/>
        </w:rPr>
        <w:t xml:space="preserve"> </w:t>
      </w:r>
      <w:r>
        <w:t>the</w:t>
      </w:r>
      <w:r>
        <w:rPr>
          <w:spacing w:val="-2"/>
        </w:rPr>
        <w:t xml:space="preserve"> </w:t>
      </w:r>
      <w:r>
        <w:t>effect</w:t>
      </w:r>
      <w:r>
        <w:rPr>
          <w:spacing w:val="-2"/>
        </w:rPr>
        <w:t xml:space="preserve"> </w:t>
      </w:r>
      <w:r>
        <w:t>that</w:t>
      </w:r>
      <w:r>
        <w:rPr>
          <w:spacing w:val="-2"/>
        </w:rPr>
        <w:t xml:space="preserve"> </w:t>
      </w:r>
      <w:r>
        <w:t>there</w:t>
      </w:r>
      <w:r>
        <w:rPr>
          <w:spacing w:val="-2"/>
        </w:rPr>
        <w:t xml:space="preserve"> </w:t>
      </w:r>
      <w:r>
        <w:t>exists</w:t>
      </w:r>
      <w:r>
        <w:rPr>
          <w:spacing w:val="-2"/>
        </w:rPr>
        <w:t xml:space="preserve"> </w:t>
      </w:r>
      <w:r>
        <w:t>some</w:t>
      </w:r>
      <w:r>
        <w:rPr>
          <w:spacing w:val="-2"/>
        </w:rPr>
        <w:t xml:space="preserve"> </w:t>
      </w:r>
      <w:r>
        <w:t xml:space="preserve">non-existent </w:t>
      </w:r>
      <w:r>
        <w:rPr>
          <w:spacing w:val="-2"/>
        </w:rPr>
        <w:t>thing.</w:t>
      </w:r>
    </w:p>
    <w:p w14:paraId="7E002154" w14:textId="77777777" w:rsidR="009A58DB" w:rsidRDefault="00000000">
      <w:pPr>
        <w:pStyle w:val="BodyText"/>
        <w:spacing w:before="107" w:line="249" w:lineRule="auto"/>
        <w:jc w:val="left"/>
      </w:pPr>
      <w:r>
        <w:t xml:space="preserve">(E) there exists some object x such that x cannot exist and therefore does not </w:t>
      </w:r>
      <w:r>
        <w:rPr>
          <w:spacing w:val="-2"/>
        </w:rPr>
        <w:t>exist.</w:t>
      </w:r>
    </w:p>
    <w:p w14:paraId="7E002155" w14:textId="77777777" w:rsidR="009A58DB" w:rsidRDefault="00000000">
      <w:pPr>
        <w:pStyle w:val="Heading1"/>
        <w:numPr>
          <w:ilvl w:val="0"/>
          <w:numId w:val="74"/>
        </w:numPr>
        <w:tabs>
          <w:tab w:val="left" w:pos="990"/>
        </w:tabs>
        <w:spacing w:before="86"/>
      </w:pPr>
      <w:r>
        <w:t>Necessity</w:t>
      </w:r>
      <w:r>
        <w:rPr>
          <w:spacing w:val="-5"/>
        </w:rPr>
        <w:t xml:space="preserve"> </w:t>
      </w:r>
      <w:r>
        <w:t>does</w:t>
      </w:r>
      <w:r>
        <w:rPr>
          <w:spacing w:val="-4"/>
        </w:rPr>
        <w:t xml:space="preserve"> </w:t>
      </w:r>
      <w:r>
        <w:t>not</w:t>
      </w:r>
      <w:r>
        <w:rPr>
          <w:spacing w:val="-4"/>
        </w:rPr>
        <w:t xml:space="preserve"> </w:t>
      </w:r>
      <w:r>
        <w:t>come</w:t>
      </w:r>
      <w:r>
        <w:rPr>
          <w:spacing w:val="-4"/>
        </w:rPr>
        <w:t xml:space="preserve"> </w:t>
      </w:r>
      <w:r>
        <w:t>in</w:t>
      </w:r>
      <w:r>
        <w:rPr>
          <w:spacing w:val="-3"/>
        </w:rPr>
        <w:t xml:space="preserve"> </w:t>
      </w:r>
      <w:r>
        <w:rPr>
          <w:spacing w:val="-2"/>
        </w:rPr>
        <w:t>degrees</w:t>
      </w:r>
    </w:p>
    <w:p w14:paraId="7E002156" w14:textId="77777777" w:rsidR="009A58DB" w:rsidRDefault="00000000">
      <w:pPr>
        <w:pStyle w:val="BodyText"/>
        <w:spacing w:before="139"/>
        <w:jc w:val="left"/>
      </w:pPr>
      <w:r>
        <w:t>Here</w:t>
      </w:r>
      <w:r>
        <w:rPr>
          <w:spacing w:val="19"/>
        </w:rPr>
        <w:t xml:space="preserve"> </w:t>
      </w:r>
      <w:r>
        <w:t>is</w:t>
      </w:r>
      <w:r>
        <w:rPr>
          <w:spacing w:val="21"/>
        </w:rPr>
        <w:t xml:space="preserve"> </w:t>
      </w:r>
      <w:r>
        <w:t>a</w:t>
      </w:r>
      <w:r>
        <w:rPr>
          <w:spacing w:val="21"/>
        </w:rPr>
        <w:t xml:space="preserve"> </w:t>
      </w:r>
      <w:r>
        <w:t>view</w:t>
      </w:r>
      <w:r>
        <w:rPr>
          <w:spacing w:val="22"/>
        </w:rPr>
        <w:t xml:space="preserve"> </w:t>
      </w:r>
      <w:r>
        <w:t>about</w:t>
      </w:r>
      <w:r>
        <w:rPr>
          <w:spacing w:val="21"/>
        </w:rPr>
        <w:t xml:space="preserve"> </w:t>
      </w:r>
      <w:r>
        <w:t>modality</w:t>
      </w:r>
      <w:r>
        <w:rPr>
          <w:spacing w:val="21"/>
        </w:rPr>
        <w:t xml:space="preserve"> </w:t>
      </w:r>
      <w:r>
        <w:t>that</w:t>
      </w:r>
      <w:r>
        <w:rPr>
          <w:spacing w:val="21"/>
        </w:rPr>
        <w:t xml:space="preserve"> </w:t>
      </w:r>
      <w:r>
        <w:t>is</w:t>
      </w:r>
      <w:r>
        <w:rPr>
          <w:spacing w:val="22"/>
        </w:rPr>
        <w:t xml:space="preserve"> </w:t>
      </w:r>
      <w:r>
        <w:t>false,</w:t>
      </w:r>
      <w:r>
        <w:rPr>
          <w:spacing w:val="21"/>
        </w:rPr>
        <w:t xml:space="preserve"> </w:t>
      </w:r>
      <w:r>
        <w:t>as</w:t>
      </w:r>
      <w:r>
        <w:rPr>
          <w:spacing w:val="21"/>
        </w:rPr>
        <w:t xml:space="preserve"> </w:t>
      </w:r>
      <w:r>
        <w:t>we’ll</w:t>
      </w:r>
      <w:r>
        <w:rPr>
          <w:spacing w:val="21"/>
        </w:rPr>
        <w:t xml:space="preserve"> </w:t>
      </w:r>
      <w:r>
        <w:t>see</w:t>
      </w:r>
      <w:r>
        <w:rPr>
          <w:spacing w:val="22"/>
        </w:rPr>
        <w:t xml:space="preserve"> </w:t>
      </w:r>
      <w:r>
        <w:t>in</w:t>
      </w:r>
      <w:r>
        <w:rPr>
          <w:spacing w:val="21"/>
        </w:rPr>
        <w:t xml:space="preserve"> </w:t>
      </w:r>
      <w:r>
        <w:t>a</w:t>
      </w:r>
      <w:r>
        <w:rPr>
          <w:spacing w:val="21"/>
        </w:rPr>
        <w:t xml:space="preserve"> </w:t>
      </w:r>
      <w:r>
        <w:t>moment,</w:t>
      </w:r>
      <w:r>
        <w:rPr>
          <w:spacing w:val="21"/>
        </w:rPr>
        <w:t xml:space="preserve"> </w:t>
      </w:r>
      <w:r>
        <w:t>but</w:t>
      </w:r>
      <w:r>
        <w:rPr>
          <w:spacing w:val="22"/>
        </w:rPr>
        <w:t xml:space="preserve"> </w:t>
      </w:r>
      <w:r>
        <w:rPr>
          <w:spacing w:val="-5"/>
        </w:rPr>
        <w:t>is</w:t>
      </w:r>
    </w:p>
    <w:p w14:paraId="7E002157" w14:textId="77777777" w:rsidR="009A58DB" w:rsidRDefault="00000000">
      <w:pPr>
        <w:pStyle w:val="BodyText"/>
        <w:spacing w:before="15" w:line="223" w:lineRule="exact"/>
        <w:ind w:left="0" w:right="833"/>
        <w:jc w:val="center"/>
      </w:pPr>
      <w:bookmarkStart w:id="464" w:name="_bookmark464"/>
      <w:bookmarkEnd w:id="464"/>
      <w:r>
        <w:rPr>
          <w:color w:val="0562C1"/>
          <w:spacing w:val="-2"/>
          <w:u w:val="single" w:color="0562C1"/>
        </w:rPr>
        <w:t>[344]</w:t>
      </w:r>
    </w:p>
    <w:p w14:paraId="7E002158" w14:textId="77777777" w:rsidR="009A58DB" w:rsidRDefault="00000000">
      <w:pPr>
        <w:pStyle w:val="BodyText"/>
        <w:tabs>
          <w:tab w:val="left" w:pos="4935"/>
        </w:tabs>
        <w:spacing w:line="332" w:lineRule="exact"/>
        <w:jc w:val="left"/>
      </w:pPr>
      <w:r>
        <w:rPr>
          <w:spacing w:val="-4"/>
        </w:rPr>
        <w:t>nonetheless</w:t>
      </w:r>
      <w:r>
        <w:rPr>
          <w:spacing w:val="-8"/>
        </w:rPr>
        <w:t xml:space="preserve"> </w:t>
      </w:r>
      <w:r>
        <w:rPr>
          <w:spacing w:val="-4"/>
        </w:rPr>
        <w:t>a</w:t>
      </w:r>
      <w:r>
        <w:rPr>
          <w:spacing w:val="-8"/>
        </w:rPr>
        <w:t xml:space="preserve"> </w:t>
      </w:r>
      <w:r>
        <w:rPr>
          <w:spacing w:val="-4"/>
        </w:rPr>
        <w:t>useful</w:t>
      </w:r>
      <w:r>
        <w:rPr>
          <w:spacing w:val="-9"/>
        </w:rPr>
        <w:t xml:space="preserve"> </w:t>
      </w:r>
      <w:r>
        <w:rPr>
          <w:spacing w:val="-4"/>
        </w:rPr>
        <w:t>starting</w:t>
      </w:r>
      <w:r>
        <w:rPr>
          <w:spacing w:val="-7"/>
        </w:rPr>
        <w:t xml:space="preserve"> </w:t>
      </w:r>
      <w:r>
        <w:rPr>
          <w:spacing w:val="-4"/>
        </w:rPr>
        <w:t>point</w:t>
      </w:r>
      <w:r>
        <w:tab/>
      </w:r>
      <w:r>
        <w:rPr>
          <w:spacing w:val="-10"/>
        </w:rPr>
        <w:t>:</w:t>
      </w:r>
    </w:p>
    <w:p w14:paraId="7E002159" w14:textId="77777777" w:rsidR="009A58DB" w:rsidRDefault="00000000">
      <w:pPr>
        <w:pStyle w:val="BodyText"/>
        <w:spacing w:before="15" w:line="249" w:lineRule="auto"/>
        <w:ind w:left="720" w:right="718"/>
      </w:pPr>
      <w:r>
        <w:t>(DN)</w:t>
      </w:r>
      <w:r>
        <w:rPr>
          <w:spacing w:val="-19"/>
        </w:rPr>
        <w:t xml:space="preserve"> </w:t>
      </w:r>
      <w:r>
        <w:t>There</w:t>
      </w:r>
      <w:r>
        <w:rPr>
          <w:spacing w:val="-19"/>
        </w:rPr>
        <w:t xml:space="preserve"> </w:t>
      </w:r>
      <w:r>
        <w:t>are</w:t>
      </w:r>
      <w:r>
        <w:rPr>
          <w:spacing w:val="-19"/>
        </w:rPr>
        <w:t xml:space="preserve"> </w:t>
      </w:r>
      <w:r>
        <w:t>different</w:t>
      </w:r>
      <w:r>
        <w:rPr>
          <w:spacing w:val="-18"/>
        </w:rPr>
        <w:t xml:space="preserve"> </w:t>
      </w:r>
      <w:r>
        <w:t>degrees</w:t>
      </w:r>
      <w:r>
        <w:rPr>
          <w:spacing w:val="-18"/>
        </w:rPr>
        <w:t xml:space="preserve"> </w:t>
      </w:r>
      <w:r>
        <w:t>of</w:t>
      </w:r>
      <w:r>
        <w:rPr>
          <w:spacing w:val="-18"/>
        </w:rPr>
        <w:t xml:space="preserve"> </w:t>
      </w:r>
      <w:r>
        <w:t>necessity.</w:t>
      </w:r>
      <w:r>
        <w:rPr>
          <w:spacing w:val="-18"/>
        </w:rPr>
        <w:t xml:space="preserve"> </w:t>
      </w:r>
      <w:r>
        <w:t>“Squares</w:t>
      </w:r>
      <w:r>
        <w:rPr>
          <w:spacing w:val="-18"/>
        </w:rPr>
        <w:t xml:space="preserve"> </w:t>
      </w:r>
      <w:r>
        <w:t>have</w:t>
      </w:r>
      <w:r>
        <w:rPr>
          <w:spacing w:val="-18"/>
        </w:rPr>
        <w:t xml:space="preserve"> </w:t>
      </w:r>
      <w:r>
        <w:t>four</w:t>
      </w:r>
      <w:r>
        <w:rPr>
          <w:spacing w:val="-18"/>
        </w:rPr>
        <w:t xml:space="preserve"> </w:t>
      </w:r>
      <w:r>
        <w:t xml:space="preserve">sides.” </w:t>
      </w:r>
      <w:r>
        <w:rPr>
          <w:spacing w:val="-2"/>
        </w:rPr>
        <w:t>This</w:t>
      </w:r>
      <w:r>
        <w:rPr>
          <w:spacing w:val="-17"/>
        </w:rPr>
        <w:t xml:space="preserve"> </w:t>
      </w:r>
      <w:r>
        <w:rPr>
          <w:spacing w:val="-2"/>
        </w:rPr>
        <w:t>is</w:t>
      </w:r>
      <w:r>
        <w:rPr>
          <w:spacing w:val="-17"/>
        </w:rPr>
        <w:t xml:space="preserve"> </w:t>
      </w:r>
      <w:r>
        <w:rPr>
          <w:spacing w:val="-2"/>
        </w:rPr>
        <w:t>necessary</w:t>
      </w:r>
      <w:r>
        <w:rPr>
          <w:spacing w:val="-17"/>
        </w:rPr>
        <w:t xml:space="preserve"> </w:t>
      </w:r>
      <w:r>
        <w:rPr>
          <w:spacing w:val="-2"/>
        </w:rPr>
        <w:t>in</w:t>
      </w:r>
      <w:r>
        <w:rPr>
          <w:spacing w:val="-16"/>
        </w:rPr>
        <w:t xml:space="preserve"> </w:t>
      </w:r>
      <w:r>
        <w:rPr>
          <w:spacing w:val="-2"/>
        </w:rPr>
        <w:t>the</w:t>
      </w:r>
      <w:r>
        <w:rPr>
          <w:spacing w:val="-17"/>
        </w:rPr>
        <w:t xml:space="preserve"> </w:t>
      </w:r>
      <w:r>
        <w:rPr>
          <w:spacing w:val="-2"/>
        </w:rPr>
        <w:t>strongest</w:t>
      </w:r>
      <w:r>
        <w:rPr>
          <w:spacing w:val="-17"/>
        </w:rPr>
        <w:t xml:space="preserve"> </w:t>
      </w:r>
      <w:r>
        <w:rPr>
          <w:spacing w:val="-2"/>
        </w:rPr>
        <w:t>sense.</w:t>
      </w:r>
      <w:r>
        <w:rPr>
          <w:spacing w:val="-17"/>
        </w:rPr>
        <w:t xml:space="preserve"> </w:t>
      </w:r>
      <w:r>
        <w:rPr>
          <w:spacing w:val="-2"/>
        </w:rPr>
        <w:t>The</w:t>
      </w:r>
      <w:r>
        <w:rPr>
          <w:spacing w:val="-16"/>
        </w:rPr>
        <w:t xml:space="preserve"> </w:t>
      </w:r>
      <w:r>
        <w:rPr>
          <w:spacing w:val="-2"/>
        </w:rPr>
        <w:t>very</w:t>
      </w:r>
      <w:r>
        <w:rPr>
          <w:spacing w:val="-17"/>
        </w:rPr>
        <w:t xml:space="preserve"> </w:t>
      </w:r>
      <w:r>
        <w:rPr>
          <w:spacing w:val="-2"/>
        </w:rPr>
        <w:t>idea</w:t>
      </w:r>
      <w:r>
        <w:rPr>
          <w:spacing w:val="-17"/>
        </w:rPr>
        <w:t xml:space="preserve"> </w:t>
      </w:r>
      <w:r>
        <w:rPr>
          <w:spacing w:val="-2"/>
        </w:rPr>
        <w:t>of</w:t>
      </w:r>
      <w:r>
        <w:rPr>
          <w:spacing w:val="-17"/>
        </w:rPr>
        <w:t xml:space="preserve"> </w:t>
      </w:r>
      <w:r>
        <w:rPr>
          <w:spacing w:val="-2"/>
        </w:rPr>
        <w:t>a</w:t>
      </w:r>
      <w:r>
        <w:rPr>
          <w:spacing w:val="-16"/>
        </w:rPr>
        <w:t xml:space="preserve"> </w:t>
      </w:r>
      <w:r>
        <w:rPr>
          <w:spacing w:val="-2"/>
        </w:rPr>
        <w:t>square’s</w:t>
      </w:r>
      <w:r>
        <w:rPr>
          <w:spacing w:val="-17"/>
        </w:rPr>
        <w:t xml:space="preserve"> </w:t>
      </w:r>
      <w:r>
        <w:rPr>
          <w:spacing w:val="-2"/>
        </w:rPr>
        <w:t xml:space="preserve">failing </w:t>
      </w:r>
      <w:r>
        <w:t>to</w:t>
      </w:r>
      <w:r>
        <w:rPr>
          <w:spacing w:val="-2"/>
        </w:rPr>
        <w:t xml:space="preserve"> </w:t>
      </w:r>
      <w:r>
        <w:t>have</w:t>
      </w:r>
      <w:r>
        <w:rPr>
          <w:spacing w:val="-2"/>
        </w:rPr>
        <w:t xml:space="preserve"> </w:t>
      </w:r>
      <w:r>
        <w:t>four</w:t>
      </w:r>
      <w:r>
        <w:rPr>
          <w:spacing w:val="-3"/>
        </w:rPr>
        <w:t xml:space="preserve"> </w:t>
      </w:r>
      <w:r>
        <w:t>sides</w:t>
      </w:r>
      <w:r>
        <w:rPr>
          <w:spacing w:val="-2"/>
        </w:rPr>
        <w:t xml:space="preserve"> </w:t>
      </w:r>
      <w:r>
        <w:t>is</w:t>
      </w:r>
      <w:r>
        <w:rPr>
          <w:spacing w:val="-2"/>
        </w:rPr>
        <w:t xml:space="preserve"> </w:t>
      </w:r>
      <w:r>
        <w:t>an</w:t>
      </w:r>
      <w:r>
        <w:rPr>
          <w:spacing w:val="-2"/>
        </w:rPr>
        <w:t xml:space="preserve"> </w:t>
      </w:r>
      <w:r>
        <w:t>incoherent</w:t>
      </w:r>
      <w:r>
        <w:rPr>
          <w:spacing w:val="-3"/>
        </w:rPr>
        <w:t xml:space="preserve"> </w:t>
      </w:r>
      <w:r>
        <w:t>one.</w:t>
      </w:r>
    </w:p>
    <w:p w14:paraId="7E00215A" w14:textId="77777777" w:rsidR="009A58DB" w:rsidRDefault="00000000">
      <w:pPr>
        <w:pStyle w:val="BodyText"/>
        <w:spacing w:before="3" w:line="249" w:lineRule="auto"/>
        <w:ind w:left="720" w:right="718" w:firstLine="360"/>
      </w:pPr>
      <w:r>
        <w:t>“Metal expands when heated.” This is not</w:t>
      </w:r>
      <w:r>
        <w:rPr>
          <w:spacing w:val="-19"/>
        </w:rPr>
        <w:t xml:space="preserve"> </w:t>
      </w:r>
      <w:r>
        <w:rPr>
          <w:i/>
          <w:spacing w:val="20"/>
        </w:rPr>
        <w:t>as</w:t>
      </w:r>
      <w:r>
        <w:rPr>
          <w:i/>
          <w:spacing w:val="-19"/>
        </w:rPr>
        <w:t xml:space="preserve"> </w:t>
      </w:r>
      <w:r>
        <w:t xml:space="preserve">necessary as “squares have fours sides,” since the idea of a universe in which metal didn’t </w:t>
      </w:r>
      <w:r>
        <w:rPr>
          <w:spacing w:val="-2"/>
        </w:rPr>
        <w:t>expand</w:t>
      </w:r>
      <w:r>
        <w:rPr>
          <w:spacing w:val="-16"/>
        </w:rPr>
        <w:t xml:space="preserve"> </w:t>
      </w:r>
      <w:r>
        <w:rPr>
          <w:spacing w:val="-2"/>
        </w:rPr>
        <w:t>when</w:t>
      </w:r>
      <w:r>
        <w:rPr>
          <w:spacing w:val="-16"/>
        </w:rPr>
        <w:t xml:space="preserve"> </w:t>
      </w:r>
      <w:r>
        <w:rPr>
          <w:spacing w:val="-2"/>
        </w:rPr>
        <w:t>heated</w:t>
      </w:r>
      <w:r>
        <w:rPr>
          <w:spacing w:val="-16"/>
        </w:rPr>
        <w:t xml:space="preserve"> </w:t>
      </w:r>
      <w:r>
        <w:rPr>
          <w:spacing w:val="-2"/>
        </w:rPr>
        <w:t>is</w:t>
      </w:r>
      <w:r>
        <w:rPr>
          <w:spacing w:val="-16"/>
        </w:rPr>
        <w:t xml:space="preserve"> </w:t>
      </w:r>
      <w:r>
        <w:rPr>
          <w:spacing w:val="-2"/>
        </w:rPr>
        <w:t>not</w:t>
      </w:r>
      <w:r>
        <w:rPr>
          <w:spacing w:val="-16"/>
        </w:rPr>
        <w:t xml:space="preserve"> </w:t>
      </w:r>
      <w:r>
        <w:rPr>
          <w:spacing w:val="-2"/>
        </w:rPr>
        <w:t>incoherent.</w:t>
      </w:r>
      <w:r>
        <w:rPr>
          <w:spacing w:val="-16"/>
        </w:rPr>
        <w:t xml:space="preserve"> </w:t>
      </w:r>
      <w:r>
        <w:rPr>
          <w:spacing w:val="-2"/>
        </w:rPr>
        <w:t>But,</w:t>
      </w:r>
      <w:r>
        <w:rPr>
          <w:spacing w:val="-16"/>
        </w:rPr>
        <w:t xml:space="preserve"> </w:t>
      </w:r>
      <w:r>
        <w:rPr>
          <w:spacing w:val="-2"/>
        </w:rPr>
        <w:t>given</w:t>
      </w:r>
      <w:r>
        <w:rPr>
          <w:spacing w:val="-16"/>
        </w:rPr>
        <w:t xml:space="preserve"> </w:t>
      </w:r>
      <w:r>
        <w:rPr>
          <w:spacing w:val="-2"/>
        </w:rPr>
        <w:t>that</w:t>
      </w:r>
      <w:r>
        <w:rPr>
          <w:spacing w:val="-16"/>
        </w:rPr>
        <w:t xml:space="preserve"> </w:t>
      </w:r>
      <w:r>
        <w:rPr>
          <w:spacing w:val="-2"/>
        </w:rPr>
        <w:t>it</w:t>
      </w:r>
      <w:r>
        <w:rPr>
          <w:spacing w:val="-16"/>
        </w:rPr>
        <w:t xml:space="preserve"> </w:t>
      </w:r>
      <w:r>
        <w:rPr>
          <w:spacing w:val="-2"/>
        </w:rPr>
        <w:t>describes</w:t>
      </w:r>
      <w:r>
        <w:rPr>
          <w:spacing w:val="-16"/>
        </w:rPr>
        <w:t xml:space="preserve"> </w:t>
      </w:r>
      <w:r>
        <w:rPr>
          <w:spacing w:val="-2"/>
        </w:rPr>
        <w:t>a</w:t>
      </w:r>
      <w:r>
        <w:rPr>
          <w:spacing w:val="-16"/>
        </w:rPr>
        <w:t xml:space="preserve"> </w:t>
      </w:r>
      <w:r>
        <w:rPr>
          <w:spacing w:val="-2"/>
        </w:rPr>
        <w:t>law</w:t>
      </w:r>
      <w:r>
        <w:rPr>
          <w:spacing w:val="-16"/>
        </w:rPr>
        <w:t xml:space="preserve"> </w:t>
      </w:r>
      <w:r>
        <w:rPr>
          <w:spacing w:val="-2"/>
        </w:rPr>
        <w:t>of physics,</w:t>
      </w:r>
      <w:r>
        <w:rPr>
          <w:spacing w:val="-13"/>
        </w:rPr>
        <w:t xml:space="preserve"> </w:t>
      </w:r>
      <w:r>
        <w:rPr>
          <w:spacing w:val="-2"/>
        </w:rPr>
        <w:t>and</w:t>
      </w:r>
      <w:r>
        <w:rPr>
          <w:spacing w:val="-13"/>
        </w:rPr>
        <w:t xml:space="preserve"> </w:t>
      </w:r>
      <w:r>
        <w:rPr>
          <w:spacing w:val="-2"/>
        </w:rPr>
        <w:t>is</w:t>
      </w:r>
      <w:r>
        <w:rPr>
          <w:spacing w:val="-13"/>
        </w:rPr>
        <w:t xml:space="preserve"> </w:t>
      </w:r>
      <w:r>
        <w:rPr>
          <w:spacing w:val="-2"/>
        </w:rPr>
        <w:t>therefore</w:t>
      </w:r>
      <w:r>
        <w:rPr>
          <w:spacing w:val="-13"/>
        </w:rPr>
        <w:t xml:space="preserve"> </w:t>
      </w:r>
      <w:r>
        <w:rPr>
          <w:spacing w:val="-2"/>
        </w:rPr>
        <w:t>utterly</w:t>
      </w:r>
      <w:r>
        <w:rPr>
          <w:spacing w:val="-13"/>
        </w:rPr>
        <w:t xml:space="preserve"> </w:t>
      </w:r>
      <w:r>
        <w:rPr>
          <w:spacing w:val="-2"/>
        </w:rPr>
        <w:t>unalterable,</w:t>
      </w:r>
      <w:r>
        <w:rPr>
          <w:spacing w:val="-13"/>
        </w:rPr>
        <w:t xml:space="preserve"> </w:t>
      </w:r>
      <w:r>
        <w:rPr>
          <w:spacing w:val="-2"/>
        </w:rPr>
        <w:t>it</w:t>
      </w:r>
      <w:r>
        <w:rPr>
          <w:spacing w:val="-13"/>
        </w:rPr>
        <w:t xml:space="preserve"> </w:t>
      </w:r>
      <w:r>
        <w:rPr>
          <w:spacing w:val="-2"/>
        </w:rPr>
        <w:t>clearly</w:t>
      </w:r>
      <w:r>
        <w:rPr>
          <w:spacing w:val="-13"/>
        </w:rPr>
        <w:t xml:space="preserve"> </w:t>
      </w:r>
      <w:r>
        <w:rPr>
          <w:spacing w:val="-2"/>
        </w:rPr>
        <w:t>has</w:t>
      </w:r>
      <w:r>
        <w:rPr>
          <w:spacing w:val="-12"/>
        </w:rPr>
        <w:t xml:space="preserve"> </w:t>
      </w:r>
      <w:r>
        <w:rPr>
          <w:spacing w:val="-2"/>
        </w:rPr>
        <w:t>a</w:t>
      </w:r>
      <w:r>
        <w:rPr>
          <w:spacing w:val="-12"/>
        </w:rPr>
        <w:t xml:space="preserve"> </w:t>
      </w:r>
      <w:r>
        <w:rPr>
          <w:spacing w:val="-2"/>
        </w:rPr>
        <w:t>high</w:t>
      </w:r>
      <w:r>
        <w:rPr>
          <w:spacing w:val="-12"/>
        </w:rPr>
        <w:t xml:space="preserve"> </w:t>
      </w:r>
      <w:r>
        <w:rPr>
          <w:spacing w:val="-2"/>
        </w:rPr>
        <w:t>degree</w:t>
      </w:r>
      <w:r>
        <w:rPr>
          <w:spacing w:val="-12"/>
        </w:rPr>
        <w:t xml:space="preserve"> </w:t>
      </w:r>
      <w:r>
        <w:rPr>
          <w:spacing w:val="-2"/>
        </w:rPr>
        <w:t>of necessity.</w:t>
      </w:r>
    </w:p>
    <w:p w14:paraId="7E00215B" w14:textId="77777777" w:rsidR="009A58DB" w:rsidRDefault="00000000">
      <w:pPr>
        <w:pStyle w:val="BodyText"/>
        <w:spacing w:before="7" w:line="249" w:lineRule="auto"/>
        <w:ind w:left="720" w:right="718" w:firstLine="360"/>
      </w:pPr>
      <w:r>
        <w:t>“After</w:t>
      </w:r>
      <w:r>
        <w:rPr>
          <w:spacing w:val="-7"/>
        </w:rPr>
        <w:t xml:space="preserve"> </w:t>
      </w:r>
      <w:r>
        <w:t>surgery,</w:t>
      </w:r>
      <w:r>
        <w:rPr>
          <w:spacing w:val="-7"/>
        </w:rPr>
        <w:t xml:space="preserve"> </w:t>
      </w:r>
      <w:r>
        <w:t>people</w:t>
      </w:r>
      <w:r>
        <w:rPr>
          <w:spacing w:val="-7"/>
        </w:rPr>
        <w:t xml:space="preserve"> </w:t>
      </w:r>
      <w:r>
        <w:t>are</w:t>
      </w:r>
      <w:r>
        <w:rPr>
          <w:spacing w:val="-7"/>
        </w:rPr>
        <w:t xml:space="preserve"> </w:t>
      </w:r>
      <w:r>
        <w:t>unusually</w:t>
      </w:r>
      <w:r>
        <w:rPr>
          <w:spacing w:val="-7"/>
        </w:rPr>
        <w:t xml:space="preserve"> </w:t>
      </w:r>
      <w:r>
        <w:t>prone</w:t>
      </w:r>
      <w:r>
        <w:rPr>
          <w:spacing w:val="-7"/>
        </w:rPr>
        <w:t xml:space="preserve"> </w:t>
      </w:r>
      <w:r>
        <w:t>to</w:t>
      </w:r>
      <w:r>
        <w:rPr>
          <w:spacing w:val="-7"/>
        </w:rPr>
        <w:t xml:space="preserve"> </w:t>
      </w:r>
      <w:r>
        <w:t>get</w:t>
      </w:r>
      <w:r>
        <w:rPr>
          <w:spacing w:val="-7"/>
        </w:rPr>
        <w:t xml:space="preserve"> </w:t>
      </w:r>
      <w:r>
        <w:t>infections</w:t>
      </w:r>
      <w:r>
        <w:rPr>
          <w:spacing w:val="-6"/>
        </w:rPr>
        <w:t xml:space="preserve"> </w:t>
      </w:r>
      <w:r>
        <w:t>and</w:t>
      </w:r>
      <w:r>
        <w:rPr>
          <w:spacing w:val="-6"/>
        </w:rPr>
        <w:t xml:space="preserve"> </w:t>
      </w:r>
      <w:r>
        <w:t>must be given antibiotics to stave them off.” There is clearly</w:t>
      </w:r>
      <w:r>
        <w:rPr>
          <w:spacing w:val="-18"/>
        </w:rPr>
        <w:t xml:space="preserve"> </w:t>
      </w:r>
      <w:r>
        <w:rPr>
          <w:i/>
        </w:rPr>
        <w:t>some</w:t>
      </w:r>
      <w:r>
        <w:rPr>
          <w:i/>
          <w:spacing w:val="-17"/>
        </w:rPr>
        <w:t xml:space="preserve"> </w:t>
      </w:r>
      <w:r>
        <w:t xml:space="preserve">sense in which this is necessarily true. An immunologically normal person who </w:t>
      </w:r>
      <w:r>
        <w:rPr>
          <w:i/>
          <w:spacing w:val="24"/>
        </w:rPr>
        <w:t>wasn</w:t>
      </w:r>
      <w:r>
        <w:rPr>
          <w:i/>
          <w:spacing w:val="-19"/>
        </w:rPr>
        <w:t xml:space="preserve"> </w:t>
      </w:r>
      <w:r>
        <w:rPr>
          <w:i/>
        </w:rPr>
        <w:t>’t</w:t>
      </w:r>
      <w:r>
        <w:rPr>
          <w:i/>
          <w:spacing w:val="-19"/>
        </w:rPr>
        <w:t xml:space="preserve"> </w:t>
      </w:r>
      <w:r>
        <w:t>more prone to get infections after surgery is a medical impossibility.</w:t>
      </w:r>
      <w:r>
        <w:rPr>
          <w:spacing w:val="-19"/>
        </w:rPr>
        <w:t xml:space="preserve"> </w:t>
      </w:r>
      <w:r>
        <w:t>And,</w:t>
      </w:r>
      <w:r>
        <w:rPr>
          <w:spacing w:val="-19"/>
        </w:rPr>
        <w:t xml:space="preserve"> </w:t>
      </w:r>
      <w:r>
        <w:t>unless</w:t>
      </w:r>
      <w:r>
        <w:rPr>
          <w:spacing w:val="-19"/>
        </w:rPr>
        <w:t xml:space="preserve"> </w:t>
      </w:r>
      <w:r>
        <w:t>he</w:t>
      </w:r>
      <w:r>
        <w:rPr>
          <w:spacing w:val="-18"/>
        </w:rPr>
        <w:t xml:space="preserve"> </w:t>
      </w:r>
      <w:r>
        <w:t>qualified</w:t>
      </w:r>
      <w:r>
        <w:rPr>
          <w:spacing w:val="-19"/>
        </w:rPr>
        <w:t xml:space="preserve"> </w:t>
      </w:r>
      <w:r>
        <w:t>his</w:t>
      </w:r>
      <w:r>
        <w:rPr>
          <w:spacing w:val="-19"/>
        </w:rPr>
        <w:t xml:space="preserve"> </w:t>
      </w:r>
      <w:r>
        <w:t>point</w:t>
      </w:r>
      <w:r>
        <w:rPr>
          <w:spacing w:val="-19"/>
        </w:rPr>
        <w:t xml:space="preserve"> </w:t>
      </w:r>
      <w:r>
        <w:t>very</w:t>
      </w:r>
      <w:r>
        <w:rPr>
          <w:spacing w:val="-18"/>
        </w:rPr>
        <w:t xml:space="preserve"> </w:t>
      </w:r>
      <w:r>
        <w:t>heavily,</w:t>
      </w:r>
      <w:r>
        <w:rPr>
          <w:spacing w:val="-19"/>
        </w:rPr>
        <w:t xml:space="preserve"> </w:t>
      </w:r>
      <w:r>
        <w:t>a</w:t>
      </w:r>
      <w:r>
        <w:rPr>
          <w:spacing w:val="-19"/>
        </w:rPr>
        <w:t xml:space="preserve"> </w:t>
      </w:r>
      <w:r>
        <w:t>professor of medicine who denied this would be misleading his students. But this statement</w:t>
      </w:r>
      <w:r>
        <w:rPr>
          <w:spacing w:val="-12"/>
        </w:rPr>
        <w:t xml:space="preserve"> </w:t>
      </w:r>
      <w:r>
        <w:t>clearly</w:t>
      </w:r>
      <w:r>
        <w:rPr>
          <w:spacing w:val="-11"/>
        </w:rPr>
        <w:t xml:space="preserve"> </w:t>
      </w:r>
      <w:r>
        <w:t>isn’t</w:t>
      </w:r>
      <w:r>
        <w:rPr>
          <w:spacing w:val="-12"/>
        </w:rPr>
        <w:t xml:space="preserve"> </w:t>
      </w:r>
      <w:r>
        <w:rPr>
          <w:i/>
        </w:rPr>
        <w:t>as</w:t>
      </w:r>
      <w:r>
        <w:rPr>
          <w:i/>
          <w:spacing w:val="-11"/>
        </w:rPr>
        <w:t xml:space="preserve"> </w:t>
      </w:r>
      <w:r>
        <w:t>necessary</w:t>
      </w:r>
      <w:r>
        <w:rPr>
          <w:spacing w:val="-11"/>
        </w:rPr>
        <w:t xml:space="preserve"> </w:t>
      </w:r>
      <w:r>
        <w:t>as</w:t>
      </w:r>
      <w:r>
        <w:rPr>
          <w:spacing w:val="-11"/>
        </w:rPr>
        <w:t xml:space="preserve"> </w:t>
      </w:r>
      <w:r>
        <w:t>the</w:t>
      </w:r>
      <w:r>
        <w:rPr>
          <w:spacing w:val="-11"/>
        </w:rPr>
        <w:t xml:space="preserve"> </w:t>
      </w:r>
      <w:r>
        <w:t>others.</w:t>
      </w:r>
    </w:p>
    <w:p w14:paraId="7E00215C" w14:textId="77777777" w:rsidR="009A58DB" w:rsidRDefault="00000000">
      <w:pPr>
        <w:pStyle w:val="BodyText"/>
        <w:spacing w:before="113" w:line="249" w:lineRule="auto"/>
        <w:ind w:right="362" w:firstLine="360"/>
      </w:pPr>
      <w:r>
        <w:t xml:space="preserve">DN is false. There are only two degrees of necessity: having it completely and lacking it completely. When we say that P is “more necessary” than Q, </w:t>
      </w:r>
      <w:r>
        <w:rPr>
          <w:spacing w:val="-2"/>
        </w:rPr>
        <w:t>we’re</w:t>
      </w:r>
      <w:r>
        <w:rPr>
          <w:spacing w:val="-17"/>
        </w:rPr>
        <w:t xml:space="preserve"> </w:t>
      </w:r>
      <w:r>
        <w:rPr>
          <w:spacing w:val="-2"/>
        </w:rPr>
        <w:t>saying</w:t>
      </w:r>
      <w:r>
        <w:rPr>
          <w:spacing w:val="-17"/>
        </w:rPr>
        <w:t xml:space="preserve"> </w:t>
      </w:r>
      <w:r>
        <w:rPr>
          <w:spacing w:val="-2"/>
        </w:rPr>
        <w:t>something</w:t>
      </w:r>
      <w:r>
        <w:rPr>
          <w:spacing w:val="-17"/>
        </w:rPr>
        <w:t xml:space="preserve"> </w:t>
      </w:r>
      <w:r>
        <w:rPr>
          <w:spacing w:val="-2"/>
        </w:rPr>
        <w:t>about</w:t>
      </w:r>
      <w:r>
        <w:rPr>
          <w:spacing w:val="-16"/>
        </w:rPr>
        <w:t xml:space="preserve"> </w:t>
      </w:r>
      <w:r>
        <w:rPr>
          <w:spacing w:val="-2"/>
        </w:rPr>
        <w:t>the</w:t>
      </w:r>
      <w:r>
        <w:rPr>
          <w:spacing w:val="-17"/>
        </w:rPr>
        <w:t xml:space="preserve"> </w:t>
      </w:r>
      <w:r>
        <w:rPr>
          <w:spacing w:val="-2"/>
        </w:rPr>
        <w:t>conditions</w:t>
      </w:r>
      <w:r>
        <w:rPr>
          <w:spacing w:val="-17"/>
        </w:rPr>
        <w:t xml:space="preserve"> </w:t>
      </w:r>
      <w:r>
        <w:rPr>
          <w:spacing w:val="-2"/>
        </w:rPr>
        <w:t>that</w:t>
      </w:r>
      <w:r>
        <w:rPr>
          <w:spacing w:val="-17"/>
        </w:rPr>
        <w:t xml:space="preserve"> </w:t>
      </w:r>
      <w:r>
        <w:rPr>
          <w:spacing w:val="-2"/>
        </w:rPr>
        <w:t>must</w:t>
      </w:r>
      <w:r>
        <w:rPr>
          <w:spacing w:val="-16"/>
        </w:rPr>
        <w:t xml:space="preserve"> </w:t>
      </w:r>
      <w:r>
        <w:rPr>
          <w:spacing w:val="-2"/>
        </w:rPr>
        <w:t>hold</w:t>
      </w:r>
      <w:r>
        <w:rPr>
          <w:spacing w:val="-17"/>
        </w:rPr>
        <w:t xml:space="preserve"> </w:t>
      </w:r>
      <w:r>
        <w:rPr>
          <w:spacing w:val="-2"/>
        </w:rPr>
        <w:t>for</w:t>
      </w:r>
      <w:r>
        <w:rPr>
          <w:spacing w:val="-17"/>
        </w:rPr>
        <w:t xml:space="preserve"> </w:t>
      </w:r>
      <w:r>
        <w:rPr>
          <w:spacing w:val="-2"/>
        </w:rPr>
        <w:t>those</w:t>
      </w:r>
      <w:r>
        <w:rPr>
          <w:spacing w:val="-17"/>
        </w:rPr>
        <w:t xml:space="preserve"> </w:t>
      </w:r>
      <w:r>
        <w:rPr>
          <w:spacing w:val="-2"/>
        </w:rPr>
        <w:t xml:space="preserve">statements </w:t>
      </w:r>
      <w:r>
        <w:t>to</w:t>
      </w:r>
      <w:r>
        <w:rPr>
          <w:spacing w:val="-15"/>
        </w:rPr>
        <w:t xml:space="preserve"> </w:t>
      </w:r>
      <w:r>
        <w:t>be</w:t>
      </w:r>
      <w:r>
        <w:rPr>
          <w:spacing w:val="-15"/>
        </w:rPr>
        <w:t xml:space="preserve"> </w:t>
      </w:r>
      <w:r>
        <w:t>true;</w:t>
      </w:r>
      <w:r>
        <w:rPr>
          <w:spacing w:val="-15"/>
        </w:rPr>
        <w:t xml:space="preserve"> </w:t>
      </w:r>
      <w:r>
        <w:t>we’re</w:t>
      </w:r>
      <w:r>
        <w:rPr>
          <w:spacing w:val="-15"/>
        </w:rPr>
        <w:t xml:space="preserve"> </w:t>
      </w:r>
      <w:r>
        <w:t>saying</w:t>
      </w:r>
      <w:r>
        <w:rPr>
          <w:spacing w:val="-15"/>
        </w:rPr>
        <w:t xml:space="preserve"> </w:t>
      </w:r>
      <w:r>
        <w:t>that</w:t>
      </w:r>
      <w:r>
        <w:rPr>
          <w:spacing w:val="-15"/>
        </w:rPr>
        <w:t xml:space="preserve"> </w:t>
      </w:r>
      <w:r>
        <w:t>the</w:t>
      </w:r>
      <w:r>
        <w:rPr>
          <w:spacing w:val="-15"/>
        </w:rPr>
        <w:t xml:space="preserve"> </w:t>
      </w:r>
      <w:r>
        <w:t>conditions</w:t>
      </w:r>
      <w:r>
        <w:rPr>
          <w:spacing w:val="-15"/>
        </w:rPr>
        <w:t xml:space="preserve"> </w:t>
      </w:r>
      <w:r>
        <w:t>that</w:t>
      </w:r>
      <w:r>
        <w:rPr>
          <w:spacing w:val="-15"/>
        </w:rPr>
        <w:t xml:space="preserve"> </w:t>
      </w:r>
      <w:r>
        <w:t>must</w:t>
      </w:r>
      <w:r>
        <w:rPr>
          <w:spacing w:val="-15"/>
        </w:rPr>
        <w:t xml:space="preserve"> </w:t>
      </w:r>
      <w:r>
        <w:t>hold</w:t>
      </w:r>
      <w:r>
        <w:rPr>
          <w:spacing w:val="-15"/>
        </w:rPr>
        <w:t xml:space="preserve"> </w:t>
      </w:r>
      <w:r>
        <w:t>for</w:t>
      </w:r>
      <w:r>
        <w:rPr>
          <w:spacing w:val="-15"/>
        </w:rPr>
        <w:t xml:space="preserve"> </w:t>
      </w:r>
      <w:r>
        <w:t>the</w:t>
      </w:r>
      <w:r>
        <w:rPr>
          <w:spacing w:val="-15"/>
        </w:rPr>
        <w:t xml:space="preserve"> </w:t>
      </w:r>
      <w:r>
        <w:t>first</w:t>
      </w:r>
      <w:r>
        <w:rPr>
          <w:spacing w:val="-15"/>
        </w:rPr>
        <w:t xml:space="preserve"> </w:t>
      </w:r>
      <w:r>
        <w:t>to</w:t>
      </w:r>
      <w:r>
        <w:rPr>
          <w:spacing w:val="-15"/>
        </w:rPr>
        <w:t xml:space="preserve"> </w:t>
      </w:r>
      <w:r>
        <w:t>be</w:t>
      </w:r>
      <w:r>
        <w:rPr>
          <w:spacing w:val="-15"/>
        </w:rPr>
        <w:t xml:space="preserve"> </w:t>
      </w:r>
      <w:r>
        <w:t>true are</w:t>
      </w:r>
      <w:r>
        <w:rPr>
          <w:spacing w:val="-4"/>
        </w:rPr>
        <w:t xml:space="preserve"> </w:t>
      </w:r>
      <w:r>
        <w:t>weaker</w:t>
      </w:r>
      <w:r>
        <w:rPr>
          <w:spacing w:val="-4"/>
        </w:rPr>
        <w:t xml:space="preserve"> </w:t>
      </w:r>
      <w:r>
        <w:t>than</w:t>
      </w:r>
      <w:r>
        <w:rPr>
          <w:spacing w:val="-4"/>
        </w:rPr>
        <w:t xml:space="preserve"> </w:t>
      </w:r>
      <w:r>
        <w:t>those</w:t>
      </w:r>
      <w:r>
        <w:rPr>
          <w:spacing w:val="-4"/>
        </w:rPr>
        <w:t xml:space="preserve"> </w:t>
      </w:r>
      <w:r>
        <w:t>that</w:t>
      </w:r>
      <w:r>
        <w:rPr>
          <w:spacing w:val="-4"/>
        </w:rPr>
        <w:t xml:space="preserve"> </w:t>
      </w:r>
      <w:r>
        <w:t>must</w:t>
      </w:r>
      <w:r>
        <w:rPr>
          <w:spacing w:val="-4"/>
        </w:rPr>
        <w:t xml:space="preserve"> </w:t>
      </w:r>
      <w:r>
        <w:t>hold</w:t>
      </w:r>
      <w:r>
        <w:rPr>
          <w:spacing w:val="-4"/>
        </w:rPr>
        <w:t xml:space="preserve"> </w:t>
      </w:r>
      <w:r>
        <w:t>if</w:t>
      </w:r>
      <w:r>
        <w:rPr>
          <w:spacing w:val="-4"/>
        </w:rPr>
        <w:t xml:space="preserve"> </w:t>
      </w:r>
      <w:r>
        <w:t>the</w:t>
      </w:r>
      <w:r>
        <w:rPr>
          <w:spacing w:val="-4"/>
        </w:rPr>
        <w:t xml:space="preserve"> </w:t>
      </w:r>
      <w:r>
        <w:t>second</w:t>
      </w:r>
      <w:r>
        <w:rPr>
          <w:spacing w:val="-4"/>
        </w:rPr>
        <w:t xml:space="preserve"> </w:t>
      </w:r>
      <w:r>
        <w:t>is</w:t>
      </w:r>
      <w:r>
        <w:rPr>
          <w:spacing w:val="-3"/>
        </w:rPr>
        <w:t xml:space="preserve"> </w:t>
      </w:r>
      <w:r>
        <w:t>to</w:t>
      </w:r>
      <w:r>
        <w:rPr>
          <w:spacing w:val="-3"/>
        </w:rPr>
        <w:t xml:space="preserve"> </w:t>
      </w:r>
      <w:r>
        <w:t>be</w:t>
      </w:r>
      <w:r>
        <w:rPr>
          <w:spacing w:val="-3"/>
        </w:rPr>
        <w:t xml:space="preserve"> </w:t>
      </w:r>
      <w:r>
        <w:t>true.</w:t>
      </w:r>
      <w:r>
        <w:rPr>
          <w:spacing w:val="-3"/>
        </w:rPr>
        <w:t xml:space="preserve"> </w:t>
      </w:r>
      <w:r>
        <w:t>“Squares</w:t>
      </w:r>
      <w:r>
        <w:rPr>
          <w:spacing w:val="-3"/>
        </w:rPr>
        <w:t xml:space="preserve"> </w:t>
      </w:r>
      <w:r>
        <w:t>have four sides” is maximally necessary, because it holds</w:t>
      </w:r>
      <w:r>
        <w:rPr>
          <w:spacing w:val="-19"/>
        </w:rPr>
        <w:t xml:space="preserve"> </w:t>
      </w:r>
      <w:r>
        <w:rPr>
          <w:i/>
        </w:rPr>
        <w:t>unconditionally.</w:t>
      </w:r>
      <w:r>
        <w:rPr>
          <w:i/>
          <w:spacing w:val="-19"/>
        </w:rPr>
        <w:t xml:space="preserve"> </w:t>
      </w:r>
      <w:r>
        <w:t>In any universe</w:t>
      </w:r>
      <w:r>
        <w:rPr>
          <w:spacing w:val="-10"/>
        </w:rPr>
        <w:t xml:space="preserve"> </w:t>
      </w:r>
      <w:r>
        <w:t>at</w:t>
      </w:r>
      <w:r>
        <w:rPr>
          <w:spacing w:val="-10"/>
        </w:rPr>
        <w:t xml:space="preserve"> </w:t>
      </w:r>
      <w:r>
        <w:t>all,</w:t>
      </w:r>
      <w:r>
        <w:rPr>
          <w:spacing w:val="-10"/>
        </w:rPr>
        <w:t xml:space="preserve"> </w:t>
      </w:r>
      <w:r>
        <w:t>no</w:t>
      </w:r>
      <w:r>
        <w:rPr>
          <w:spacing w:val="-10"/>
        </w:rPr>
        <w:t xml:space="preserve"> </w:t>
      </w:r>
      <w:r>
        <w:t>matter</w:t>
      </w:r>
      <w:r>
        <w:rPr>
          <w:spacing w:val="-10"/>
        </w:rPr>
        <w:t xml:space="preserve"> </w:t>
      </w:r>
      <w:r>
        <w:t>how</w:t>
      </w:r>
      <w:r>
        <w:rPr>
          <w:spacing w:val="-10"/>
        </w:rPr>
        <w:t xml:space="preserve"> </w:t>
      </w:r>
      <w:r>
        <w:t>mass-energy</w:t>
      </w:r>
      <w:r>
        <w:rPr>
          <w:spacing w:val="-10"/>
        </w:rPr>
        <w:t xml:space="preserve"> </w:t>
      </w:r>
      <w:r>
        <w:t>is</w:t>
      </w:r>
      <w:r>
        <w:rPr>
          <w:spacing w:val="-10"/>
        </w:rPr>
        <w:t xml:space="preserve"> </w:t>
      </w:r>
      <w:r>
        <w:t>distributed</w:t>
      </w:r>
      <w:r>
        <w:rPr>
          <w:spacing w:val="-10"/>
        </w:rPr>
        <w:t xml:space="preserve"> </w:t>
      </w:r>
      <w:r>
        <w:t>in</w:t>
      </w:r>
      <w:r>
        <w:rPr>
          <w:spacing w:val="-10"/>
        </w:rPr>
        <w:t xml:space="preserve"> </w:t>
      </w:r>
      <w:r>
        <w:t>it,</w:t>
      </w:r>
      <w:r>
        <w:rPr>
          <w:spacing w:val="-10"/>
        </w:rPr>
        <w:t xml:space="preserve"> </w:t>
      </w:r>
      <w:r>
        <w:t>that</w:t>
      </w:r>
      <w:r>
        <w:rPr>
          <w:spacing w:val="-10"/>
        </w:rPr>
        <w:t xml:space="preserve"> </w:t>
      </w:r>
      <w:r>
        <w:t>statement</w:t>
      </w:r>
      <w:r>
        <w:rPr>
          <w:spacing w:val="-10"/>
        </w:rPr>
        <w:t xml:space="preserve"> </w:t>
      </w:r>
      <w:r>
        <w:t>is true</w:t>
      </w:r>
      <w:bookmarkStart w:id="465" w:name="_bookmark465"/>
      <w:bookmarkEnd w:id="465"/>
      <w:r>
        <w:t>.</w:t>
      </w:r>
      <w:r>
        <w:rPr>
          <w:color w:val="0562C1"/>
          <w:position w:val="21"/>
          <w:u w:val="single" w:color="0562C1"/>
        </w:rPr>
        <w:t>[345]</w:t>
      </w:r>
      <w:r>
        <w:rPr>
          <w:color w:val="0562C1"/>
          <w:spacing w:val="-10"/>
          <w:position w:val="21"/>
        </w:rPr>
        <w:t xml:space="preserve"> </w:t>
      </w:r>
      <w:r>
        <w:rPr>
          <w:spacing w:val="12"/>
        </w:rPr>
        <w:t>So</w:t>
      </w:r>
      <w:r>
        <w:rPr>
          <w:spacing w:val="-18"/>
        </w:rPr>
        <w:t xml:space="preserve"> </w:t>
      </w:r>
      <w:r>
        <w:rPr>
          <w:i/>
          <w:spacing w:val="13"/>
        </w:rPr>
        <w:t>no</w:t>
      </w:r>
      <w:r>
        <w:rPr>
          <w:i/>
          <w:spacing w:val="-18"/>
        </w:rPr>
        <w:t xml:space="preserve"> </w:t>
      </w:r>
      <w:r>
        <w:t>condition has to be met for that statement to be true. Or, to think</w:t>
      </w:r>
      <w:r>
        <w:rPr>
          <w:spacing w:val="-2"/>
        </w:rPr>
        <w:t xml:space="preserve"> </w:t>
      </w:r>
      <w:r>
        <w:t>of</w:t>
      </w:r>
      <w:r>
        <w:rPr>
          <w:spacing w:val="-2"/>
        </w:rPr>
        <w:t xml:space="preserve"> </w:t>
      </w:r>
      <w:r>
        <w:t>it</w:t>
      </w:r>
      <w:r>
        <w:rPr>
          <w:spacing w:val="-2"/>
        </w:rPr>
        <w:t xml:space="preserve"> </w:t>
      </w:r>
      <w:r>
        <w:t>another</w:t>
      </w:r>
      <w:r>
        <w:rPr>
          <w:spacing w:val="-2"/>
        </w:rPr>
        <w:t xml:space="preserve"> </w:t>
      </w:r>
      <w:r>
        <w:t>way,</w:t>
      </w:r>
      <w:r>
        <w:rPr>
          <w:spacing w:val="-2"/>
        </w:rPr>
        <w:t xml:space="preserve"> </w:t>
      </w:r>
      <w:r>
        <w:t>the</w:t>
      </w:r>
      <w:r>
        <w:rPr>
          <w:spacing w:val="-2"/>
        </w:rPr>
        <w:t xml:space="preserve"> </w:t>
      </w:r>
      <w:r>
        <w:t>only</w:t>
      </w:r>
      <w:r>
        <w:rPr>
          <w:spacing w:val="-2"/>
        </w:rPr>
        <w:t xml:space="preserve"> </w:t>
      </w:r>
      <w:r>
        <w:t>conditions</w:t>
      </w:r>
      <w:r>
        <w:rPr>
          <w:spacing w:val="-2"/>
        </w:rPr>
        <w:t xml:space="preserve"> </w:t>
      </w:r>
      <w:r>
        <w:t>that</w:t>
      </w:r>
      <w:r>
        <w:rPr>
          <w:spacing w:val="-2"/>
        </w:rPr>
        <w:t xml:space="preserve"> </w:t>
      </w:r>
      <w:r>
        <w:t>have</w:t>
      </w:r>
      <w:r>
        <w:rPr>
          <w:spacing w:val="-2"/>
        </w:rPr>
        <w:t xml:space="preserve"> </w:t>
      </w:r>
      <w:r>
        <w:t>to</w:t>
      </w:r>
      <w:r>
        <w:rPr>
          <w:spacing w:val="-2"/>
        </w:rPr>
        <w:t xml:space="preserve"> </w:t>
      </w:r>
      <w:r>
        <w:t>be</w:t>
      </w:r>
      <w:r>
        <w:rPr>
          <w:spacing w:val="-2"/>
        </w:rPr>
        <w:t xml:space="preserve"> </w:t>
      </w:r>
      <w:r>
        <w:t>met</w:t>
      </w:r>
      <w:r>
        <w:rPr>
          <w:spacing w:val="-2"/>
        </w:rPr>
        <w:t xml:space="preserve"> </w:t>
      </w:r>
      <w:r>
        <w:t>are</w:t>
      </w:r>
      <w:r>
        <w:rPr>
          <w:spacing w:val="-2"/>
        </w:rPr>
        <w:t xml:space="preserve"> </w:t>
      </w:r>
      <w:r>
        <w:t>maximally weak:</w:t>
      </w:r>
      <w:r>
        <w:rPr>
          <w:spacing w:val="-9"/>
        </w:rPr>
        <w:t xml:space="preserve"> </w:t>
      </w:r>
      <w:r>
        <w:t>they</w:t>
      </w:r>
      <w:r>
        <w:rPr>
          <w:spacing w:val="-9"/>
        </w:rPr>
        <w:t xml:space="preserve"> </w:t>
      </w:r>
      <w:r>
        <w:t>could</w:t>
      </w:r>
      <w:r>
        <w:rPr>
          <w:spacing w:val="-9"/>
        </w:rPr>
        <w:t xml:space="preserve"> </w:t>
      </w:r>
      <w:r>
        <w:t>be</w:t>
      </w:r>
      <w:r>
        <w:rPr>
          <w:spacing w:val="-9"/>
        </w:rPr>
        <w:t xml:space="preserve"> </w:t>
      </w:r>
      <w:r>
        <w:t>thought</w:t>
      </w:r>
      <w:r>
        <w:rPr>
          <w:spacing w:val="-9"/>
        </w:rPr>
        <w:t xml:space="preserve"> </w:t>
      </w:r>
      <w:r>
        <w:t>of</w:t>
      </w:r>
      <w:r>
        <w:rPr>
          <w:spacing w:val="-9"/>
        </w:rPr>
        <w:t xml:space="preserve"> </w:t>
      </w:r>
      <w:r>
        <w:t>as</w:t>
      </w:r>
      <w:r>
        <w:rPr>
          <w:spacing w:val="-9"/>
        </w:rPr>
        <w:t xml:space="preserve"> </w:t>
      </w:r>
      <w:r>
        <w:t>limiting</w:t>
      </w:r>
      <w:r>
        <w:rPr>
          <w:spacing w:val="-9"/>
        </w:rPr>
        <w:t xml:space="preserve"> </w:t>
      </w:r>
      <w:r>
        <w:t>cases</w:t>
      </w:r>
      <w:r>
        <w:rPr>
          <w:spacing w:val="-9"/>
        </w:rPr>
        <w:t xml:space="preserve"> </w:t>
      </w:r>
      <w:r>
        <w:t>of</w:t>
      </w:r>
      <w:r>
        <w:rPr>
          <w:spacing w:val="-9"/>
        </w:rPr>
        <w:t xml:space="preserve"> </w:t>
      </w:r>
      <w:r>
        <w:t>conditions</w:t>
      </w:r>
      <w:r>
        <w:rPr>
          <w:spacing w:val="-9"/>
        </w:rPr>
        <w:t xml:space="preserve"> </w:t>
      </w:r>
      <w:r>
        <w:t>that</w:t>
      </w:r>
      <w:r>
        <w:rPr>
          <w:spacing w:val="-9"/>
        </w:rPr>
        <w:t xml:space="preserve"> </w:t>
      </w:r>
      <w:r>
        <w:t>are</w:t>
      </w:r>
      <w:r>
        <w:rPr>
          <w:spacing w:val="-9"/>
        </w:rPr>
        <w:t xml:space="preserve"> </w:t>
      </w:r>
      <w:r>
        <w:t>trivially satisfied by any distribution of mass-energy. And to say that “metal expands</w:t>
      </w:r>
    </w:p>
    <w:p w14:paraId="7E00215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5E" w14:textId="77777777" w:rsidR="009A58DB" w:rsidRDefault="00000000">
      <w:pPr>
        <w:pStyle w:val="BodyText"/>
        <w:spacing w:before="65" w:line="249" w:lineRule="auto"/>
        <w:ind w:right="358"/>
      </w:pPr>
      <w:r>
        <w:lastRenderedPageBreak/>
        <w:t xml:space="preserve">when heated” is “less necessary” than “squares have four sides” is to say that </w:t>
      </w:r>
      <w:r>
        <w:rPr>
          <w:spacing w:val="-2"/>
        </w:rPr>
        <w:t>the</w:t>
      </w:r>
      <w:r>
        <w:rPr>
          <w:spacing w:val="-17"/>
        </w:rPr>
        <w:t xml:space="preserve"> </w:t>
      </w:r>
      <w:r>
        <w:rPr>
          <w:spacing w:val="-2"/>
        </w:rPr>
        <w:t>former</w:t>
      </w:r>
      <w:r>
        <w:rPr>
          <w:spacing w:val="-17"/>
        </w:rPr>
        <w:t xml:space="preserve"> </w:t>
      </w:r>
      <w:r>
        <w:rPr>
          <w:spacing w:val="-2"/>
        </w:rPr>
        <w:t>could</w:t>
      </w:r>
      <w:r>
        <w:rPr>
          <w:spacing w:val="-17"/>
        </w:rPr>
        <w:t xml:space="preserve"> </w:t>
      </w:r>
      <w:r>
        <w:rPr>
          <w:spacing w:val="-2"/>
        </w:rPr>
        <w:t>to</w:t>
      </w:r>
      <w:r>
        <w:rPr>
          <w:spacing w:val="-16"/>
        </w:rPr>
        <w:t xml:space="preserve"> </w:t>
      </w:r>
      <w:r>
        <w:rPr>
          <w:spacing w:val="-2"/>
        </w:rPr>
        <w:t>be</w:t>
      </w:r>
      <w:r>
        <w:rPr>
          <w:spacing w:val="-17"/>
        </w:rPr>
        <w:t xml:space="preserve"> </w:t>
      </w:r>
      <w:r>
        <w:rPr>
          <w:spacing w:val="-2"/>
        </w:rPr>
        <w:t>true</w:t>
      </w:r>
      <w:r>
        <w:rPr>
          <w:spacing w:val="-17"/>
        </w:rPr>
        <w:t xml:space="preserve"> </w:t>
      </w:r>
      <w:r>
        <w:rPr>
          <w:spacing w:val="-2"/>
        </w:rPr>
        <w:t>in</w:t>
      </w:r>
      <w:r>
        <w:rPr>
          <w:spacing w:val="-17"/>
        </w:rPr>
        <w:t xml:space="preserve"> </w:t>
      </w:r>
      <w:r>
        <w:rPr>
          <w:spacing w:val="-2"/>
        </w:rPr>
        <w:t>a</w:t>
      </w:r>
      <w:r>
        <w:rPr>
          <w:spacing w:val="-16"/>
        </w:rPr>
        <w:t xml:space="preserve"> </w:t>
      </w:r>
      <w:r>
        <w:rPr>
          <w:spacing w:val="-2"/>
        </w:rPr>
        <w:t>wider</w:t>
      </w:r>
      <w:r>
        <w:rPr>
          <w:spacing w:val="-17"/>
        </w:rPr>
        <w:t xml:space="preserve"> </w:t>
      </w:r>
      <w:r>
        <w:rPr>
          <w:spacing w:val="-2"/>
        </w:rPr>
        <w:t>class</w:t>
      </w:r>
      <w:r>
        <w:rPr>
          <w:spacing w:val="-17"/>
        </w:rPr>
        <w:t xml:space="preserve"> </w:t>
      </w:r>
      <w:r>
        <w:rPr>
          <w:spacing w:val="-2"/>
        </w:rPr>
        <w:t>of</w:t>
      </w:r>
      <w:r>
        <w:rPr>
          <w:spacing w:val="-17"/>
        </w:rPr>
        <w:t xml:space="preserve"> </w:t>
      </w:r>
      <w:r>
        <w:rPr>
          <w:spacing w:val="-2"/>
        </w:rPr>
        <w:t>circumstances</w:t>
      </w:r>
      <w:r>
        <w:rPr>
          <w:spacing w:val="-15"/>
        </w:rPr>
        <w:t xml:space="preserve"> </w:t>
      </w:r>
      <w:r>
        <w:rPr>
          <w:spacing w:val="-2"/>
        </w:rPr>
        <w:t>than</w:t>
      </w:r>
      <w:r>
        <w:rPr>
          <w:spacing w:val="-16"/>
        </w:rPr>
        <w:t xml:space="preserve"> </w:t>
      </w:r>
      <w:r>
        <w:rPr>
          <w:spacing w:val="-2"/>
        </w:rPr>
        <w:t>the</w:t>
      </w:r>
      <w:r>
        <w:rPr>
          <w:spacing w:val="-15"/>
        </w:rPr>
        <w:t xml:space="preserve"> </w:t>
      </w:r>
      <w:r>
        <w:rPr>
          <w:spacing w:val="-2"/>
        </w:rPr>
        <w:t>latter.</w:t>
      </w:r>
      <w:r>
        <w:rPr>
          <w:spacing w:val="-17"/>
        </w:rPr>
        <w:t xml:space="preserve"> </w:t>
      </w:r>
      <w:r>
        <w:rPr>
          <w:spacing w:val="-2"/>
        </w:rPr>
        <w:t xml:space="preserve">And, </w:t>
      </w:r>
      <w:r>
        <w:t>obviously, to say that “after surgery, people are unusually prone to get infections” is “less necessary” than “metal expands when heated” is to say that the former could fail in a wider class of circumstances than the latter. So there aren’t really degrees of necessity. Something is either necessary or it isn’t. But some statements (e.g., “two is bigger than one”) need less help</w:t>
      </w:r>
      <w:r>
        <w:rPr>
          <w:spacing w:val="40"/>
        </w:rPr>
        <w:t xml:space="preserve"> </w:t>
      </w:r>
      <w:r>
        <w:t>from others to be true—those are the “highly necessary” ones. Others (e.g., “people who wear hats are bad drivers”) need a little more help—those are the “less necessary” ones.</w:t>
      </w:r>
    </w:p>
    <w:p w14:paraId="7E00215F" w14:textId="77777777" w:rsidR="009A58DB" w:rsidRDefault="00000000">
      <w:pPr>
        <w:pStyle w:val="Heading1"/>
        <w:numPr>
          <w:ilvl w:val="0"/>
          <w:numId w:val="74"/>
        </w:numPr>
        <w:tabs>
          <w:tab w:val="left" w:pos="990"/>
        </w:tabs>
        <w:spacing w:before="200"/>
      </w:pPr>
      <w:r>
        <w:t>No</w:t>
      </w:r>
      <w:r>
        <w:rPr>
          <w:spacing w:val="-3"/>
        </w:rPr>
        <w:t xml:space="preserve"> </w:t>
      </w:r>
      <w:r>
        <w:t>necessary</w:t>
      </w:r>
      <w:r>
        <w:rPr>
          <w:spacing w:val="-3"/>
        </w:rPr>
        <w:t xml:space="preserve"> </w:t>
      </w:r>
      <w:r>
        <w:t>a</w:t>
      </w:r>
      <w:r>
        <w:rPr>
          <w:spacing w:val="-2"/>
        </w:rPr>
        <w:t xml:space="preserve"> posteriori</w:t>
      </w:r>
    </w:p>
    <w:p w14:paraId="7E002160" w14:textId="77777777" w:rsidR="009A58DB" w:rsidRDefault="00000000">
      <w:pPr>
        <w:pStyle w:val="BodyText"/>
        <w:spacing w:before="139" w:line="249" w:lineRule="auto"/>
        <w:ind w:right="369"/>
      </w:pPr>
      <w:r>
        <w:t>In 1969, Saul Kripke gave a now famous series of lectures in which he</w:t>
      </w:r>
      <w:r>
        <w:rPr>
          <w:spacing w:val="40"/>
        </w:rPr>
        <w:t xml:space="preserve"> </w:t>
      </w:r>
      <w:r>
        <w:t>argued that there are non-analytic necessary truths. Here, in my words, is Kripke’s argument (“KA” for short):</w:t>
      </w:r>
    </w:p>
    <w:p w14:paraId="7E002161" w14:textId="77777777" w:rsidR="009A58DB" w:rsidRDefault="00000000">
      <w:pPr>
        <w:pStyle w:val="BodyText"/>
        <w:spacing w:before="109" w:line="249" w:lineRule="auto"/>
        <w:ind w:left="720" w:right="719"/>
      </w:pPr>
      <w:r>
        <w:t>(KA) The ancients referred to the last celestial body (besides the Sun)</w:t>
      </w:r>
      <w:r>
        <w:rPr>
          <w:spacing w:val="40"/>
        </w:rPr>
        <w:t xml:space="preserve"> </w:t>
      </w:r>
      <w:r>
        <w:t>to disappear from the morning sky as “Phosphorous” (or, to be precise, they referred to it with an expression whose Anglicization is “Phosphorous”), and they referred to the first celestial body to appear</w:t>
      </w:r>
      <w:r>
        <w:rPr>
          <w:spacing w:val="40"/>
        </w:rPr>
        <w:t xml:space="preserve"> </w:t>
      </w:r>
      <w:r>
        <w:t xml:space="preserve">in the evening sky as “Hesperus” (same qualification). The former is Venus and so is the latter, and the former is therefore </w:t>
      </w:r>
      <w:r>
        <w:rPr>
          <w:i/>
        </w:rPr>
        <w:t>identical</w:t>
      </w:r>
      <w:r>
        <w:rPr>
          <w:i/>
          <w:spacing w:val="-3"/>
        </w:rPr>
        <w:t xml:space="preserve"> </w:t>
      </w:r>
      <w:r>
        <w:t xml:space="preserve">with the latter. The ancients didn’t yet know this; and they went for a very long time having no idea that some </w:t>
      </w:r>
      <w:r>
        <w:rPr>
          <w:i/>
        </w:rPr>
        <w:t xml:space="preserve">one </w:t>
      </w:r>
      <w:r>
        <w:t>celestial body appeared in the evening sky before any other and disappeared from the morning sky after</w:t>
      </w:r>
      <w:r>
        <w:rPr>
          <w:spacing w:val="-2"/>
        </w:rPr>
        <w:t xml:space="preserve"> </w:t>
      </w:r>
      <w:r>
        <w:t>any</w:t>
      </w:r>
      <w:r>
        <w:rPr>
          <w:spacing w:val="-2"/>
        </w:rPr>
        <w:t xml:space="preserve"> </w:t>
      </w:r>
      <w:r>
        <w:t>other.</w:t>
      </w:r>
      <w:r>
        <w:rPr>
          <w:spacing w:val="-2"/>
        </w:rPr>
        <w:t xml:space="preserve"> </w:t>
      </w:r>
      <w:r>
        <w:t>But</w:t>
      </w:r>
      <w:r>
        <w:rPr>
          <w:spacing w:val="-2"/>
        </w:rPr>
        <w:t xml:space="preserve"> </w:t>
      </w:r>
      <w:r>
        <w:t>eventually</w:t>
      </w:r>
      <w:r>
        <w:rPr>
          <w:spacing w:val="-2"/>
        </w:rPr>
        <w:t xml:space="preserve"> </w:t>
      </w:r>
      <w:r>
        <w:t>they</w:t>
      </w:r>
      <w:r>
        <w:rPr>
          <w:spacing w:val="-2"/>
        </w:rPr>
        <w:t xml:space="preserve"> </w:t>
      </w:r>
      <w:r>
        <w:t>found</w:t>
      </w:r>
      <w:r>
        <w:rPr>
          <w:spacing w:val="-2"/>
        </w:rPr>
        <w:t xml:space="preserve"> </w:t>
      </w:r>
      <w:r>
        <w:t>this</w:t>
      </w:r>
      <w:r>
        <w:rPr>
          <w:spacing w:val="-2"/>
        </w:rPr>
        <w:t xml:space="preserve"> </w:t>
      </w:r>
      <w:r>
        <w:t>out.</w:t>
      </w:r>
      <w:r>
        <w:rPr>
          <w:spacing w:val="-2"/>
        </w:rPr>
        <w:t xml:space="preserve"> </w:t>
      </w:r>
      <w:r>
        <w:t>What</w:t>
      </w:r>
      <w:r>
        <w:rPr>
          <w:spacing w:val="-2"/>
        </w:rPr>
        <w:t xml:space="preserve"> </w:t>
      </w:r>
      <w:r>
        <w:t>they</w:t>
      </w:r>
      <w:r>
        <w:rPr>
          <w:spacing w:val="-2"/>
        </w:rPr>
        <w:t xml:space="preserve"> </w:t>
      </w:r>
      <w:r>
        <w:t>found</w:t>
      </w:r>
      <w:r>
        <w:rPr>
          <w:spacing w:val="-2"/>
        </w:rPr>
        <w:t xml:space="preserve"> </w:t>
      </w:r>
      <w:r>
        <w:t>out isn’t trivial, of course; it isn’t in the same category as the fact that Hesperus is identical with Hesperus. What they discovered is a non-trivial, empirical fact.</w:t>
      </w:r>
    </w:p>
    <w:p w14:paraId="7E002162" w14:textId="77777777" w:rsidR="009A58DB" w:rsidRDefault="00000000">
      <w:pPr>
        <w:pStyle w:val="BodyText"/>
        <w:spacing w:before="16" w:line="249" w:lineRule="auto"/>
        <w:ind w:left="720" w:right="720" w:firstLine="360"/>
      </w:pPr>
      <w:r>
        <w:t>Henceforth, “FES” and “LMS” will be our abbreviations for the predicates “first celestial body to appear in the evening sky” will be abbreviated</w:t>
      </w:r>
      <w:r>
        <w:rPr>
          <w:spacing w:val="-3"/>
        </w:rPr>
        <w:t xml:space="preserve"> </w:t>
      </w:r>
      <w:r>
        <w:t>as</w:t>
      </w:r>
      <w:r>
        <w:rPr>
          <w:spacing w:val="-3"/>
        </w:rPr>
        <w:t xml:space="preserve"> </w:t>
      </w:r>
      <w:r>
        <w:t>“FES”</w:t>
      </w:r>
      <w:r>
        <w:rPr>
          <w:spacing w:val="-3"/>
        </w:rPr>
        <w:t xml:space="preserve"> </w:t>
      </w:r>
      <w:r>
        <w:t>and,</w:t>
      </w:r>
      <w:r>
        <w:rPr>
          <w:spacing w:val="-3"/>
        </w:rPr>
        <w:t xml:space="preserve"> </w:t>
      </w:r>
      <w:r>
        <w:t>respectively,</w:t>
      </w:r>
      <w:r>
        <w:rPr>
          <w:spacing w:val="-3"/>
        </w:rPr>
        <w:t xml:space="preserve"> </w:t>
      </w:r>
      <w:r>
        <w:t>“last</w:t>
      </w:r>
      <w:r>
        <w:rPr>
          <w:spacing w:val="-3"/>
        </w:rPr>
        <w:t xml:space="preserve"> </w:t>
      </w:r>
      <w:r>
        <w:t>celestial</w:t>
      </w:r>
      <w:r>
        <w:rPr>
          <w:spacing w:val="-3"/>
        </w:rPr>
        <w:t xml:space="preserve"> </w:t>
      </w:r>
      <w:r>
        <w:t>body</w:t>
      </w:r>
      <w:r>
        <w:rPr>
          <w:spacing w:val="-3"/>
        </w:rPr>
        <w:t xml:space="preserve"> </w:t>
      </w:r>
      <w:r>
        <w:t>(besides</w:t>
      </w:r>
      <w:r>
        <w:rPr>
          <w:spacing w:val="-3"/>
        </w:rPr>
        <w:t xml:space="preserve"> </w:t>
      </w:r>
      <w:r>
        <w:t>the Sun) to disappear from the morning sky.”</w:t>
      </w:r>
    </w:p>
    <w:p w14:paraId="7E002163" w14:textId="77777777" w:rsidR="009A58DB" w:rsidRDefault="00000000">
      <w:pPr>
        <w:pStyle w:val="BodyText"/>
        <w:spacing w:before="5" w:line="324" w:lineRule="auto"/>
        <w:ind w:left="720" w:right="2223" w:firstLine="360"/>
        <w:jc w:val="left"/>
      </w:pPr>
      <w:r>
        <w:t>Contrary</w:t>
      </w:r>
      <w:r>
        <w:rPr>
          <w:spacing w:val="-5"/>
        </w:rPr>
        <w:t xml:space="preserve"> </w:t>
      </w:r>
      <w:r>
        <w:t>to</w:t>
      </w:r>
      <w:r>
        <w:rPr>
          <w:spacing w:val="-5"/>
        </w:rPr>
        <w:t xml:space="preserve"> </w:t>
      </w:r>
      <w:r>
        <w:t>what</w:t>
      </w:r>
      <w:r>
        <w:rPr>
          <w:spacing w:val="-6"/>
        </w:rPr>
        <w:t xml:space="preserve"> </w:t>
      </w:r>
      <w:r>
        <w:t>it</w:t>
      </w:r>
      <w:r>
        <w:rPr>
          <w:spacing w:val="-6"/>
        </w:rPr>
        <w:t xml:space="preserve"> </w:t>
      </w:r>
      <w:r>
        <w:t>is</w:t>
      </w:r>
      <w:r>
        <w:rPr>
          <w:spacing w:val="-6"/>
        </w:rPr>
        <w:t xml:space="preserve"> </w:t>
      </w:r>
      <w:r>
        <w:t>extremely</w:t>
      </w:r>
      <w:r>
        <w:rPr>
          <w:spacing w:val="-5"/>
        </w:rPr>
        <w:t xml:space="preserve"> </w:t>
      </w:r>
      <w:r>
        <w:t>tempting</w:t>
      </w:r>
      <w:r>
        <w:rPr>
          <w:spacing w:val="-5"/>
        </w:rPr>
        <w:t xml:space="preserve"> </w:t>
      </w:r>
      <w:r>
        <w:t>to</w:t>
      </w:r>
      <w:r>
        <w:rPr>
          <w:spacing w:val="-5"/>
        </w:rPr>
        <w:t xml:space="preserve"> </w:t>
      </w:r>
      <w:r>
        <w:t>believe: (HI</w:t>
      </w:r>
      <w:bookmarkStart w:id="466" w:name="_bookmark466"/>
      <w:bookmarkEnd w:id="466"/>
      <w:r>
        <w:t>P</w:t>
      </w:r>
      <w:r>
        <w:rPr>
          <w:color w:val="0562C1"/>
          <w:position w:val="21"/>
          <w:u w:val="single" w:color="0562C1"/>
        </w:rPr>
        <w:t>[346]</w:t>
      </w:r>
      <w:r>
        <w:t>) “Hesperus is Phosphorous”</w:t>
      </w:r>
    </w:p>
    <w:p w14:paraId="7E002164" w14:textId="77777777" w:rsidR="009A58DB" w:rsidRDefault="009A58DB">
      <w:pPr>
        <w:pStyle w:val="BodyText"/>
        <w:spacing w:line="324" w:lineRule="auto"/>
        <w:jc w:val="left"/>
        <w:sectPr w:rsidR="009A58DB">
          <w:pgSz w:w="12240" w:h="15840"/>
          <w:pgMar w:top="1380" w:right="1080" w:bottom="280" w:left="1080" w:header="720" w:footer="720" w:gutter="0"/>
          <w:cols w:space="720"/>
        </w:sectPr>
      </w:pPr>
    </w:p>
    <w:p w14:paraId="7E002165" w14:textId="77777777" w:rsidR="009A58DB" w:rsidRDefault="00000000">
      <w:pPr>
        <w:pStyle w:val="BodyText"/>
        <w:spacing w:before="65"/>
        <w:ind w:left="720"/>
        <w:jc w:val="left"/>
      </w:pPr>
      <w:r>
        <w:lastRenderedPageBreak/>
        <w:t>does</w:t>
      </w:r>
      <w:r>
        <w:rPr>
          <w:spacing w:val="-3"/>
        </w:rPr>
        <w:t xml:space="preserve"> </w:t>
      </w:r>
      <w:r>
        <w:rPr>
          <w:i/>
        </w:rPr>
        <w:t>not</w:t>
      </w:r>
      <w:r>
        <w:rPr>
          <w:i/>
          <w:spacing w:val="-3"/>
        </w:rPr>
        <w:t xml:space="preserve"> </w:t>
      </w:r>
      <w:r>
        <w:t>have</w:t>
      </w:r>
      <w:r>
        <w:rPr>
          <w:spacing w:val="-2"/>
        </w:rPr>
        <w:t xml:space="preserve"> </w:t>
      </w:r>
      <w:r>
        <w:t>the</w:t>
      </w:r>
      <w:r>
        <w:rPr>
          <w:spacing w:val="-3"/>
        </w:rPr>
        <w:t xml:space="preserve"> </w:t>
      </w:r>
      <w:r>
        <w:t>same</w:t>
      </w:r>
      <w:r>
        <w:rPr>
          <w:spacing w:val="-3"/>
        </w:rPr>
        <w:t xml:space="preserve"> </w:t>
      </w:r>
      <w:r>
        <w:t>meaning</w:t>
      </w:r>
      <w:r>
        <w:rPr>
          <w:spacing w:val="-1"/>
        </w:rPr>
        <w:t xml:space="preserve"> </w:t>
      </w:r>
      <w:r>
        <w:rPr>
          <w:spacing w:val="-5"/>
        </w:rPr>
        <w:t>as</w:t>
      </w:r>
    </w:p>
    <w:p w14:paraId="7E002166" w14:textId="77777777" w:rsidR="009A58DB" w:rsidRDefault="00000000">
      <w:pPr>
        <w:pStyle w:val="BodyText"/>
        <w:spacing w:before="120"/>
        <w:ind w:left="720"/>
        <w:jc w:val="left"/>
      </w:pPr>
      <w:r>
        <w:t>(S*)</w:t>
      </w:r>
      <w:r>
        <w:rPr>
          <w:spacing w:val="-6"/>
        </w:rPr>
        <w:t xml:space="preserve"> </w:t>
      </w:r>
      <w:r>
        <w:t>“the</w:t>
      </w:r>
      <w:r>
        <w:rPr>
          <w:spacing w:val="-3"/>
        </w:rPr>
        <w:t xml:space="preserve"> </w:t>
      </w:r>
      <w:r>
        <w:t>LMS</w:t>
      </w:r>
      <w:r>
        <w:rPr>
          <w:spacing w:val="-4"/>
        </w:rPr>
        <w:t xml:space="preserve"> </w:t>
      </w:r>
      <w:r>
        <w:t>is</w:t>
      </w:r>
      <w:r>
        <w:rPr>
          <w:spacing w:val="-3"/>
        </w:rPr>
        <w:t xml:space="preserve"> </w:t>
      </w:r>
      <w:r>
        <w:t>identical</w:t>
      </w:r>
      <w:r>
        <w:rPr>
          <w:spacing w:val="-4"/>
        </w:rPr>
        <w:t xml:space="preserve"> </w:t>
      </w:r>
      <w:r>
        <w:t>with</w:t>
      </w:r>
      <w:r>
        <w:rPr>
          <w:spacing w:val="-2"/>
        </w:rPr>
        <w:t xml:space="preserve"> </w:t>
      </w:r>
      <w:r>
        <w:t>the</w:t>
      </w:r>
      <w:r>
        <w:rPr>
          <w:spacing w:val="-3"/>
        </w:rPr>
        <w:t xml:space="preserve"> </w:t>
      </w:r>
      <w:r>
        <w:rPr>
          <w:spacing w:val="-2"/>
        </w:rPr>
        <w:t>FES.”</w:t>
      </w:r>
    </w:p>
    <w:p w14:paraId="7E002167" w14:textId="77777777" w:rsidR="009A58DB" w:rsidRDefault="00000000">
      <w:pPr>
        <w:pStyle w:val="BodyText"/>
        <w:spacing w:before="105"/>
        <w:ind w:left="720"/>
        <w:jc w:val="left"/>
      </w:pPr>
      <w:r>
        <w:t>It</w:t>
      </w:r>
      <w:r>
        <w:rPr>
          <w:spacing w:val="-5"/>
        </w:rPr>
        <w:t xml:space="preserve"> </w:t>
      </w:r>
      <w:r>
        <w:t>will</w:t>
      </w:r>
      <w:r>
        <w:rPr>
          <w:spacing w:val="-3"/>
        </w:rPr>
        <w:t xml:space="preserve"> </w:t>
      </w:r>
      <w:r>
        <w:t>take</w:t>
      </w:r>
      <w:r>
        <w:rPr>
          <w:spacing w:val="-3"/>
        </w:rPr>
        <w:t xml:space="preserve"> </w:t>
      </w:r>
      <w:r>
        <w:t>a</w:t>
      </w:r>
      <w:r>
        <w:rPr>
          <w:spacing w:val="-2"/>
        </w:rPr>
        <w:t xml:space="preserve"> </w:t>
      </w:r>
      <w:r>
        <w:t>moment</w:t>
      </w:r>
      <w:r>
        <w:rPr>
          <w:spacing w:val="-3"/>
        </w:rPr>
        <w:t xml:space="preserve"> </w:t>
      </w:r>
      <w:r>
        <w:t>to</w:t>
      </w:r>
      <w:r>
        <w:rPr>
          <w:spacing w:val="-2"/>
        </w:rPr>
        <w:t xml:space="preserve"> </w:t>
      </w:r>
      <w:r>
        <w:t>make</w:t>
      </w:r>
      <w:r>
        <w:rPr>
          <w:spacing w:val="-3"/>
        </w:rPr>
        <w:t xml:space="preserve"> </w:t>
      </w:r>
      <w:r>
        <w:t>it</w:t>
      </w:r>
      <w:r>
        <w:rPr>
          <w:spacing w:val="-2"/>
        </w:rPr>
        <w:t xml:space="preserve"> </w:t>
      </w:r>
      <w:r>
        <w:t>clear</w:t>
      </w:r>
      <w:r>
        <w:rPr>
          <w:spacing w:val="-3"/>
        </w:rPr>
        <w:t xml:space="preserve"> </w:t>
      </w:r>
      <w:r>
        <w:t>why</w:t>
      </w:r>
      <w:r>
        <w:rPr>
          <w:spacing w:val="-2"/>
        </w:rPr>
        <w:t xml:space="preserve"> </w:t>
      </w:r>
      <w:r>
        <w:t>this</w:t>
      </w:r>
      <w:r>
        <w:rPr>
          <w:spacing w:val="-3"/>
        </w:rPr>
        <w:t xml:space="preserve"> </w:t>
      </w:r>
      <w:r>
        <w:t>is</w:t>
      </w:r>
      <w:r>
        <w:rPr>
          <w:spacing w:val="-2"/>
        </w:rPr>
        <w:t xml:space="preserve"> </w:t>
      </w:r>
      <w:r>
        <w:rPr>
          <w:spacing w:val="-5"/>
        </w:rPr>
        <w:t>so.</w:t>
      </w:r>
    </w:p>
    <w:p w14:paraId="7E002168" w14:textId="77777777" w:rsidR="009A58DB" w:rsidRDefault="00000000">
      <w:pPr>
        <w:pStyle w:val="BodyText"/>
        <w:spacing w:before="15" w:line="249" w:lineRule="auto"/>
        <w:ind w:left="720" w:right="718" w:firstLine="360"/>
      </w:pPr>
      <w:r>
        <w:t>Let P be the proposition expressed by HIP. As we just saw,</w:t>
      </w:r>
      <w:r>
        <w:rPr>
          <w:spacing w:val="40"/>
        </w:rPr>
        <w:t xml:space="preserve"> </w:t>
      </w:r>
      <w:r>
        <w:t>empirical</w:t>
      </w:r>
      <w:r>
        <w:rPr>
          <w:spacing w:val="-2"/>
        </w:rPr>
        <w:t xml:space="preserve"> </w:t>
      </w:r>
      <w:r>
        <w:t>investigation</w:t>
      </w:r>
      <w:r>
        <w:rPr>
          <w:spacing w:val="-1"/>
        </w:rPr>
        <w:t xml:space="preserve"> </w:t>
      </w:r>
      <w:r>
        <w:t>was</w:t>
      </w:r>
      <w:r>
        <w:rPr>
          <w:spacing w:val="-1"/>
        </w:rPr>
        <w:t xml:space="preserve"> </w:t>
      </w:r>
      <w:r>
        <w:t>needed</w:t>
      </w:r>
      <w:r>
        <w:rPr>
          <w:spacing w:val="-1"/>
        </w:rPr>
        <w:t xml:space="preserve"> </w:t>
      </w:r>
      <w:r>
        <w:t>to</w:t>
      </w:r>
      <w:r>
        <w:rPr>
          <w:spacing w:val="-1"/>
        </w:rPr>
        <w:t xml:space="preserve"> </w:t>
      </w:r>
      <w:r>
        <w:t>establish</w:t>
      </w:r>
      <w:r>
        <w:rPr>
          <w:spacing w:val="-1"/>
        </w:rPr>
        <w:t xml:space="preserve"> </w:t>
      </w:r>
      <w:r>
        <w:t>the</w:t>
      </w:r>
      <w:r>
        <w:rPr>
          <w:spacing w:val="-1"/>
        </w:rPr>
        <w:t xml:space="preserve"> </w:t>
      </w:r>
      <w:r>
        <w:t>truth</w:t>
      </w:r>
      <w:r>
        <w:rPr>
          <w:spacing w:val="-1"/>
        </w:rPr>
        <w:t xml:space="preserve"> </w:t>
      </w:r>
      <w:r>
        <w:t>of</w:t>
      </w:r>
      <w:r>
        <w:rPr>
          <w:spacing w:val="-1"/>
        </w:rPr>
        <w:t xml:space="preserve"> </w:t>
      </w:r>
      <w:r>
        <w:t>P;</w:t>
      </w:r>
      <w:r>
        <w:rPr>
          <w:spacing w:val="-1"/>
        </w:rPr>
        <w:t xml:space="preserve"> </w:t>
      </w:r>
      <w:r>
        <w:t>so</w:t>
      </w:r>
      <w:r>
        <w:rPr>
          <w:spacing w:val="-1"/>
        </w:rPr>
        <w:t xml:space="preserve"> </w:t>
      </w:r>
      <w:r>
        <w:t>P</w:t>
      </w:r>
      <w:r>
        <w:rPr>
          <w:spacing w:val="-1"/>
        </w:rPr>
        <w:t xml:space="preserve"> </w:t>
      </w:r>
      <w:r>
        <w:t>is</w:t>
      </w:r>
      <w:r>
        <w:rPr>
          <w:spacing w:val="-1"/>
        </w:rPr>
        <w:t xml:space="preserve"> </w:t>
      </w:r>
      <w:r>
        <w:t>an empirical truth and is therefore non-analytic. It’s important to keep the distinction between HIP and P in mind. The ancients didn’t have any feelings about the English sentence “Hesperus is identical with Hesperus.” And, in making the astronomical discovery that we’ve been discussing, what they found out had nothing to do with HIP—or any other sentence. It was an astronomical, not a linguistic, discovery. This point is crucial.</w:t>
      </w:r>
    </w:p>
    <w:p w14:paraId="7E002169" w14:textId="77777777" w:rsidR="009A58DB" w:rsidRDefault="00000000">
      <w:pPr>
        <w:pStyle w:val="BodyText"/>
        <w:spacing w:before="11" w:line="249" w:lineRule="auto"/>
        <w:ind w:left="720" w:right="720" w:firstLine="360"/>
      </w:pPr>
      <w:r>
        <w:t>Moving on: If HIP has the same meaning as S*, then P is identical with the proposition meant by S*. And the latter is equivalent with the proposition that:</w:t>
      </w:r>
    </w:p>
    <w:p w14:paraId="7E00216A" w14:textId="77777777" w:rsidR="009A58DB" w:rsidRDefault="00000000">
      <w:pPr>
        <w:pStyle w:val="BodyText"/>
        <w:spacing w:before="108" w:line="249" w:lineRule="auto"/>
        <w:ind w:left="720" w:right="365"/>
        <w:jc w:val="left"/>
        <w:rPr>
          <w:position w:val="21"/>
        </w:rPr>
      </w:pPr>
      <w:r>
        <w:t xml:space="preserve">(P*) exactly </w:t>
      </w:r>
      <w:r>
        <w:rPr>
          <w:i/>
        </w:rPr>
        <w:t xml:space="preserve">one </w:t>
      </w:r>
      <w:r>
        <w:t xml:space="preserve">thing is an LMS and exactly one thing is an FES, and nothing that has the one property lacks the other. </w:t>
      </w:r>
      <w:bookmarkStart w:id="467" w:name="_bookmark467"/>
      <w:bookmarkEnd w:id="467"/>
      <w:r>
        <w:rPr>
          <w:color w:val="0562C1"/>
          <w:position w:val="21"/>
          <w:u w:val="single" w:color="0562C1"/>
        </w:rPr>
        <w:t>[347]</w:t>
      </w:r>
    </w:p>
    <w:p w14:paraId="7E00216B" w14:textId="77777777" w:rsidR="009A58DB" w:rsidRDefault="00000000">
      <w:pPr>
        <w:pStyle w:val="BodyText"/>
        <w:spacing w:before="108" w:line="249" w:lineRule="auto"/>
        <w:ind w:left="720" w:right="720"/>
      </w:pPr>
      <w:r>
        <w:t xml:space="preserve">And the same is true of P, supposing that S* and HIP express the same </w:t>
      </w:r>
      <w:r>
        <w:rPr>
          <w:spacing w:val="-2"/>
        </w:rPr>
        <w:t>proposition.</w:t>
      </w:r>
    </w:p>
    <w:p w14:paraId="7E00216C" w14:textId="77777777" w:rsidR="009A58DB" w:rsidRDefault="00000000">
      <w:pPr>
        <w:pStyle w:val="BodyText"/>
        <w:spacing w:before="2" w:line="249" w:lineRule="auto"/>
        <w:ind w:left="720" w:right="718" w:firstLine="360"/>
      </w:pPr>
      <w:r>
        <w:t>In</w:t>
      </w:r>
      <w:r>
        <w:rPr>
          <w:spacing w:val="-4"/>
        </w:rPr>
        <w:t xml:space="preserve"> </w:t>
      </w:r>
      <w:r>
        <w:t>light</w:t>
      </w:r>
      <w:r>
        <w:rPr>
          <w:spacing w:val="-5"/>
        </w:rPr>
        <w:t xml:space="preserve"> </w:t>
      </w:r>
      <w:r>
        <w:t>of</w:t>
      </w:r>
      <w:r>
        <w:rPr>
          <w:spacing w:val="-5"/>
        </w:rPr>
        <w:t xml:space="preserve"> </w:t>
      </w:r>
      <w:r>
        <w:t>these</w:t>
      </w:r>
      <w:r>
        <w:rPr>
          <w:spacing w:val="-5"/>
        </w:rPr>
        <w:t xml:space="preserve"> </w:t>
      </w:r>
      <w:r>
        <w:t>points,</w:t>
      </w:r>
      <w:r>
        <w:rPr>
          <w:spacing w:val="-4"/>
        </w:rPr>
        <w:t xml:space="preserve"> </w:t>
      </w:r>
      <w:r>
        <w:t>consider</w:t>
      </w:r>
      <w:r>
        <w:rPr>
          <w:spacing w:val="-5"/>
        </w:rPr>
        <w:t xml:space="preserve"> </w:t>
      </w:r>
      <w:r>
        <w:t>a</w:t>
      </w:r>
      <w:r>
        <w:rPr>
          <w:spacing w:val="-5"/>
        </w:rPr>
        <w:t xml:space="preserve"> </w:t>
      </w:r>
      <w:r>
        <w:t>world</w:t>
      </w:r>
      <w:r>
        <w:rPr>
          <w:spacing w:val="-4"/>
        </w:rPr>
        <w:t xml:space="preserve"> </w:t>
      </w:r>
      <w:r>
        <w:t>W*</w:t>
      </w:r>
      <w:r>
        <w:rPr>
          <w:spacing w:val="-4"/>
        </w:rPr>
        <w:t xml:space="preserve"> </w:t>
      </w:r>
      <w:r>
        <w:t>satisfying</w:t>
      </w:r>
      <w:r>
        <w:rPr>
          <w:spacing w:val="-4"/>
        </w:rPr>
        <w:t xml:space="preserve"> </w:t>
      </w:r>
      <w:r>
        <w:t>the</w:t>
      </w:r>
      <w:r>
        <w:rPr>
          <w:spacing w:val="-5"/>
        </w:rPr>
        <w:t xml:space="preserve"> </w:t>
      </w:r>
      <w:r>
        <w:t xml:space="preserve">following conditions. W* is </w:t>
      </w:r>
      <w:r>
        <w:rPr>
          <w:i/>
        </w:rPr>
        <w:t xml:space="preserve">semantically </w:t>
      </w:r>
      <w:r>
        <w:t xml:space="preserve">just like our world. (Two worlds or situations are “semantically identical” if the rules that govern word-usage in the one coincide with those that govern it in the other.) So, in W*, people speak English. But, in W*, </w:t>
      </w:r>
      <w:r>
        <w:rPr>
          <w:i/>
        </w:rPr>
        <w:t xml:space="preserve">Venus </w:t>
      </w:r>
      <w:r>
        <w:t>isn’t the LMS or the</w:t>
      </w:r>
      <w:r>
        <w:rPr>
          <w:spacing w:val="40"/>
        </w:rPr>
        <w:t xml:space="preserve"> </w:t>
      </w:r>
      <w:r>
        <w:t xml:space="preserve">FES. In W*, because of some cataclysm that didn’t occur in our world, Mars is the LMS, and Mercury is the FES. So, in W*, “the LMS” picks out Mars, and “the FES” picks out Mercury. This follows from the fact that W* is semantically just like our world. (If John McCain had become President in 2008 instead of Barack Obama, “the U.S. President” would, given the semantic rules that we use, refer to McCain. But, given those very same rules, “Barack Obama” would still refer to Barack Obama. In other words, if x is the person who </w:t>
      </w:r>
      <w:r>
        <w:rPr>
          <w:i/>
        </w:rPr>
        <w:t xml:space="preserve">in our world </w:t>
      </w:r>
      <w:r>
        <w:t>is referred to as “Barack Obama,” “Barack Obama” would refer to</w:t>
      </w:r>
      <w:r>
        <w:rPr>
          <w:spacing w:val="-2"/>
        </w:rPr>
        <w:t xml:space="preserve"> </w:t>
      </w:r>
      <w:r>
        <w:t>x</w:t>
      </w:r>
      <w:r>
        <w:rPr>
          <w:spacing w:val="-2"/>
        </w:rPr>
        <w:t xml:space="preserve"> </w:t>
      </w:r>
      <w:r>
        <w:t>in</w:t>
      </w:r>
      <w:r>
        <w:rPr>
          <w:spacing w:val="-2"/>
        </w:rPr>
        <w:t xml:space="preserve"> </w:t>
      </w:r>
      <w:r>
        <w:t>W*.</w:t>
      </w:r>
      <w:r>
        <w:rPr>
          <w:spacing w:val="-2"/>
        </w:rPr>
        <w:t xml:space="preserve"> </w:t>
      </w:r>
      <w:r>
        <w:t>Similarly,</w:t>
      </w:r>
      <w:r>
        <w:rPr>
          <w:spacing w:val="-2"/>
        </w:rPr>
        <w:t xml:space="preserve"> </w:t>
      </w:r>
      <w:r>
        <w:t>if</w:t>
      </w:r>
      <w:r>
        <w:rPr>
          <w:spacing w:val="-3"/>
        </w:rPr>
        <w:t xml:space="preserve"> </w:t>
      </w:r>
      <w:r>
        <w:t>Mars</w:t>
      </w:r>
      <w:r>
        <w:rPr>
          <w:spacing w:val="-3"/>
        </w:rPr>
        <w:t xml:space="preserve"> </w:t>
      </w:r>
      <w:r>
        <w:t>were</w:t>
      </w:r>
      <w:r>
        <w:rPr>
          <w:spacing w:val="-3"/>
        </w:rPr>
        <w:t xml:space="preserve"> </w:t>
      </w:r>
      <w:r>
        <w:t>the</w:t>
      </w:r>
      <w:r>
        <w:rPr>
          <w:spacing w:val="-3"/>
        </w:rPr>
        <w:t xml:space="preserve"> </w:t>
      </w:r>
      <w:r>
        <w:t>LMS,</w:t>
      </w:r>
      <w:r>
        <w:rPr>
          <w:spacing w:val="-2"/>
        </w:rPr>
        <w:t xml:space="preserve"> </w:t>
      </w:r>
      <w:r>
        <w:t>as</w:t>
      </w:r>
      <w:r>
        <w:rPr>
          <w:spacing w:val="-3"/>
        </w:rPr>
        <w:t xml:space="preserve"> </w:t>
      </w:r>
      <w:r>
        <w:t>opposed</w:t>
      </w:r>
      <w:r>
        <w:rPr>
          <w:spacing w:val="-2"/>
        </w:rPr>
        <w:t xml:space="preserve"> </w:t>
      </w:r>
      <w:r>
        <w:t>to</w:t>
      </w:r>
      <w:r>
        <w:rPr>
          <w:spacing w:val="-2"/>
        </w:rPr>
        <w:t xml:space="preserve"> </w:t>
      </w:r>
      <w:r>
        <w:t>Venus,</w:t>
      </w:r>
      <w:r>
        <w:rPr>
          <w:spacing w:val="-2"/>
        </w:rPr>
        <w:t xml:space="preserve"> </w:t>
      </w:r>
      <w:r>
        <w:t>“the</w:t>
      </w:r>
    </w:p>
    <w:p w14:paraId="7E00216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6E" w14:textId="77777777" w:rsidR="009A58DB" w:rsidRDefault="00000000">
      <w:pPr>
        <w:pStyle w:val="BodyText"/>
        <w:spacing w:before="70" w:line="249" w:lineRule="auto"/>
        <w:ind w:left="720" w:right="719"/>
      </w:pPr>
      <w:r>
        <w:lastRenderedPageBreak/>
        <w:t xml:space="preserve">LMS” would, given the semantic rules that we use, refer to Mars. But given those same rules, “Venus” would still refer to Venus. In other words, if x is the planet that </w:t>
      </w:r>
      <w:r>
        <w:rPr>
          <w:i/>
        </w:rPr>
        <w:t xml:space="preserve">n i our world </w:t>
      </w:r>
      <w:r>
        <w:t>is referred to as “Venus,” “Venus” would refer to x in W*.</w:t>
      </w:r>
    </w:p>
    <w:p w14:paraId="7E00216F" w14:textId="77777777" w:rsidR="009A58DB" w:rsidRDefault="00000000">
      <w:pPr>
        <w:pStyle w:val="BodyText"/>
        <w:spacing w:line="249" w:lineRule="auto"/>
        <w:ind w:left="720" w:right="717" w:firstLine="360"/>
        <w:jc w:val="right"/>
      </w:pPr>
      <w:r>
        <w:t>“Venus,”</w:t>
      </w:r>
      <w:r>
        <w:rPr>
          <w:spacing w:val="40"/>
        </w:rPr>
        <w:t xml:space="preserve"> </w:t>
      </w:r>
      <w:r>
        <w:t>like</w:t>
      </w:r>
      <w:r>
        <w:rPr>
          <w:spacing w:val="40"/>
        </w:rPr>
        <w:t xml:space="preserve"> </w:t>
      </w:r>
      <w:r>
        <w:t>“Barack</w:t>
      </w:r>
      <w:r>
        <w:rPr>
          <w:spacing w:val="40"/>
        </w:rPr>
        <w:t xml:space="preserve"> </w:t>
      </w:r>
      <w:r>
        <w:t>Obama,”</w:t>
      </w:r>
      <w:r>
        <w:rPr>
          <w:spacing w:val="40"/>
        </w:rPr>
        <w:t xml:space="preserve"> </w:t>
      </w:r>
      <w:r>
        <w:t>is</w:t>
      </w:r>
      <w:r>
        <w:rPr>
          <w:spacing w:val="40"/>
        </w:rPr>
        <w:t xml:space="preserve"> </w:t>
      </w:r>
      <w:r>
        <w:t>thus</w:t>
      </w:r>
      <w:r>
        <w:rPr>
          <w:spacing w:val="40"/>
        </w:rPr>
        <w:t xml:space="preserve"> </w:t>
      </w:r>
      <w:r>
        <w:t>a</w:t>
      </w:r>
      <w:r>
        <w:rPr>
          <w:spacing w:val="40"/>
        </w:rPr>
        <w:t xml:space="preserve"> </w:t>
      </w:r>
      <w:r>
        <w:rPr>
          <w:i/>
        </w:rPr>
        <w:t>rigid</w:t>
      </w:r>
      <w:r>
        <w:rPr>
          <w:i/>
          <w:spacing w:val="40"/>
        </w:rPr>
        <w:t xml:space="preserve"> </w:t>
      </w:r>
      <w:r>
        <w:rPr>
          <w:i/>
        </w:rPr>
        <w:t>designator.</w:t>
      </w:r>
      <w:r>
        <w:rPr>
          <w:i/>
          <w:spacing w:val="40"/>
        </w:rPr>
        <w:t xml:space="preserve"> </w:t>
      </w:r>
      <w:r>
        <w:t>If</w:t>
      </w:r>
      <w:r>
        <w:rPr>
          <w:spacing w:val="40"/>
        </w:rPr>
        <w:t xml:space="preserve"> </w:t>
      </w:r>
      <w:r>
        <w:t>x</w:t>
      </w:r>
      <w:r>
        <w:rPr>
          <w:spacing w:val="40"/>
        </w:rPr>
        <w:t xml:space="preserve"> </w:t>
      </w:r>
      <w:r>
        <w:t xml:space="preserve">is what “Venus” </w:t>
      </w:r>
      <w:r>
        <w:rPr>
          <w:i/>
        </w:rPr>
        <w:t xml:space="preserve">in fact </w:t>
      </w:r>
      <w:r>
        <w:t xml:space="preserve">refers to, x is what “Venus” would refer to in </w:t>
      </w:r>
      <w:r>
        <w:rPr>
          <w:i/>
        </w:rPr>
        <w:t xml:space="preserve">any </w:t>
      </w:r>
      <w:r>
        <w:t>world</w:t>
      </w:r>
      <w:r>
        <w:rPr>
          <w:spacing w:val="40"/>
        </w:rPr>
        <w:t xml:space="preserve"> </w:t>
      </w:r>
      <w:r>
        <w:t>semantically</w:t>
      </w:r>
      <w:r>
        <w:rPr>
          <w:spacing w:val="40"/>
        </w:rPr>
        <w:t xml:space="preserve"> </w:t>
      </w:r>
      <w:r>
        <w:t>like</w:t>
      </w:r>
      <w:r>
        <w:rPr>
          <w:spacing w:val="40"/>
        </w:rPr>
        <w:t xml:space="preserve"> </w:t>
      </w:r>
      <w:r>
        <w:t>ours.</w:t>
      </w:r>
      <w:r>
        <w:rPr>
          <w:spacing w:val="40"/>
        </w:rPr>
        <w:t xml:space="preserve"> </w:t>
      </w:r>
      <w:r>
        <w:t>But</w:t>
      </w:r>
      <w:r>
        <w:rPr>
          <w:spacing w:val="40"/>
        </w:rPr>
        <w:t xml:space="preserve"> </w:t>
      </w:r>
      <w:r>
        <w:t>“the</w:t>
      </w:r>
      <w:r>
        <w:rPr>
          <w:spacing w:val="40"/>
        </w:rPr>
        <w:t xml:space="preserve"> </w:t>
      </w:r>
      <w:r>
        <w:t>LMS,”</w:t>
      </w:r>
      <w:r>
        <w:rPr>
          <w:spacing w:val="40"/>
        </w:rPr>
        <w:t xml:space="preserve"> </w:t>
      </w:r>
      <w:r>
        <w:t>like</w:t>
      </w:r>
      <w:r>
        <w:rPr>
          <w:spacing w:val="40"/>
        </w:rPr>
        <w:t xml:space="preserve"> </w:t>
      </w:r>
      <w:r>
        <w:t>“the</w:t>
      </w:r>
      <w:r>
        <w:rPr>
          <w:spacing w:val="40"/>
        </w:rPr>
        <w:t xml:space="preserve"> </w:t>
      </w:r>
      <w:r>
        <w:t>current</w:t>
      </w:r>
      <w:r>
        <w:rPr>
          <w:spacing w:val="40"/>
        </w:rPr>
        <w:t xml:space="preserve"> </w:t>
      </w:r>
      <w:r>
        <w:t>U.S. President,”</w:t>
      </w:r>
      <w:r>
        <w:rPr>
          <w:spacing w:val="40"/>
        </w:rPr>
        <w:t xml:space="preserve"> </w:t>
      </w:r>
      <w:r>
        <w:t>is</w:t>
      </w:r>
      <w:r>
        <w:rPr>
          <w:spacing w:val="40"/>
        </w:rPr>
        <w:t xml:space="preserve"> </w:t>
      </w:r>
      <w:r>
        <w:rPr>
          <w:i/>
        </w:rPr>
        <w:t>not</w:t>
      </w:r>
      <w:r>
        <w:rPr>
          <w:i/>
          <w:spacing w:val="40"/>
        </w:rPr>
        <w:t xml:space="preserve"> </w:t>
      </w:r>
      <w:r>
        <w:t>a</w:t>
      </w:r>
      <w:r>
        <w:rPr>
          <w:spacing w:val="40"/>
        </w:rPr>
        <w:t xml:space="preserve"> </w:t>
      </w:r>
      <w:r>
        <w:t>rigid</w:t>
      </w:r>
      <w:r>
        <w:rPr>
          <w:spacing w:val="40"/>
        </w:rPr>
        <w:t xml:space="preserve"> </w:t>
      </w:r>
      <w:r>
        <w:t>designator;</w:t>
      </w:r>
      <w:r>
        <w:rPr>
          <w:spacing w:val="40"/>
        </w:rPr>
        <w:t xml:space="preserve"> </w:t>
      </w:r>
      <w:r>
        <w:t>it</w:t>
      </w:r>
      <w:r>
        <w:rPr>
          <w:spacing w:val="40"/>
        </w:rPr>
        <w:t xml:space="preserve"> </w:t>
      </w:r>
      <w:r>
        <w:t>refers</w:t>
      </w:r>
      <w:r>
        <w:rPr>
          <w:spacing w:val="40"/>
        </w:rPr>
        <w:t xml:space="preserve"> </w:t>
      </w:r>
      <w:r>
        <w:t>to</w:t>
      </w:r>
      <w:r>
        <w:rPr>
          <w:spacing w:val="40"/>
        </w:rPr>
        <w:t xml:space="preserve"> </w:t>
      </w:r>
      <w:r>
        <w:t>different</w:t>
      </w:r>
      <w:r>
        <w:rPr>
          <w:spacing w:val="40"/>
        </w:rPr>
        <w:t xml:space="preserve"> </w:t>
      </w:r>
      <w:r>
        <w:t>things</w:t>
      </w:r>
      <w:r>
        <w:rPr>
          <w:spacing w:val="40"/>
        </w:rPr>
        <w:t xml:space="preserve"> </w:t>
      </w:r>
      <w:r>
        <w:t>in</w:t>
      </w:r>
      <w:r>
        <w:rPr>
          <w:spacing w:val="80"/>
        </w:rPr>
        <w:t xml:space="preserve"> </w:t>
      </w:r>
      <w:r>
        <w:t>semantically</w:t>
      </w:r>
      <w:r>
        <w:rPr>
          <w:spacing w:val="40"/>
        </w:rPr>
        <w:t xml:space="preserve"> </w:t>
      </w:r>
      <w:r>
        <w:t>identical</w:t>
      </w:r>
      <w:r>
        <w:rPr>
          <w:spacing w:val="40"/>
        </w:rPr>
        <w:t xml:space="preserve"> </w:t>
      </w:r>
      <w:r>
        <w:t>situations.</w:t>
      </w:r>
      <w:r>
        <w:rPr>
          <w:spacing w:val="40"/>
        </w:rPr>
        <w:t xml:space="preserve"> </w:t>
      </w:r>
      <w:r>
        <w:t>(It</w:t>
      </w:r>
      <w:r>
        <w:rPr>
          <w:spacing w:val="40"/>
        </w:rPr>
        <w:t xml:space="preserve"> </w:t>
      </w:r>
      <w:r>
        <w:t>used</w:t>
      </w:r>
      <w:r>
        <w:rPr>
          <w:spacing w:val="40"/>
        </w:rPr>
        <w:t xml:space="preserve"> </w:t>
      </w:r>
      <w:r>
        <w:t>to</w:t>
      </w:r>
      <w:r>
        <w:rPr>
          <w:spacing w:val="40"/>
        </w:rPr>
        <w:t xml:space="preserve"> </w:t>
      </w:r>
      <w:r>
        <w:t>refer</w:t>
      </w:r>
      <w:r>
        <w:rPr>
          <w:spacing w:val="40"/>
        </w:rPr>
        <w:t xml:space="preserve"> </w:t>
      </w:r>
      <w:r>
        <w:t>to</w:t>
      </w:r>
      <w:r>
        <w:rPr>
          <w:spacing w:val="40"/>
        </w:rPr>
        <w:t xml:space="preserve"> </w:t>
      </w:r>
      <w:r>
        <w:t>Carter;</w:t>
      </w:r>
      <w:r>
        <w:rPr>
          <w:spacing w:val="40"/>
        </w:rPr>
        <w:t xml:space="preserve"> </w:t>
      </w:r>
      <w:r>
        <w:t>now</w:t>
      </w:r>
      <w:r>
        <w:rPr>
          <w:spacing w:val="40"/>
        </w:rPr>
        <w:t xml:space="preserve"> </w:t>
      </w:r>
      <w:r>
        <w:t>it</w:t>
      </w:r>
      <w:r>
        <w:rPr>
          <w:spacing w:val="80"/>
        </w:rPr>
        <w:t xml:space="preserve"> </w:t>
      </w:r>
      <w:r>
        <w:t>refers</w:t>
      </w:r>
      <w:r>
        <w:rPr>
          <w:spacing w:val="40"/>
        </w:rPr>
        <w:t xml:space="preserve"> </w:t>
      </w:r>
      <w:r>
        <w:t>to</w:t>
      </w:r>
      <w:r>
        <w:rPr>
          <w:spacing w:val="40"/>
        </w:rPr>
        <w:t xml:space="preserve"> </w:t>
      </w:r>
      <w:r>
        <w:t>Obama.</w:t>
      </w:r>
      <w:r>
        <w:rPr>
          <w:spacing w:val="40"/>
        </w:rPr>
        <w:t xml:space="preserve"> </w:t>
      </w:r>
      <w:r>
        <w:t>But</w:t>
      </w:r>
      <w:r>
        <w:rPr>
          <w:spacing w:val="40"/>
        </w:rPr>
        <w:t xml:space="preserve"> </w:t>
      </w:r>
      <w:r>
        <w:t>the</w:t>
      </w:r>
      <w:r>
        <w:rPr>
          <w:spacing w:val="40"/>
        </w:rPr>
        <w:t xml:space="preserve"> </w:t>
      </w:r>
      <w:r>
        <w:t>semantic</w:t>
      </w:r>
      <w:r>
        <w:rPr>
          <w:spacing w:val="40"/>
        </w:rPr>
        <w:t xml:space="preserve"> </w:t>
      </w:r>
      <w:r>
        <w:t>rules</w:t>
      </w:r>
      <w:r>
        <w:rPr>
          <w:spacing w:val="40"/>
        </w:rPr>
        <w:t xml:space="preserve"> </w:t>
      </w:r>
      <w:r>
        <w:t>governing</w:t>
      </w:r>
      <w:r>
        <w:rPr>
          <w:spacing w:val="40"/>
        </w:rPr>
        <w:t xml:space="preserve"> </w:t>
      </w:r>
      <w:r>
        <w:t>that</w:t>
      </w:r>
      <w:r>
        <w:rPr>
          <w:spacing w:val="40"/>
        </w:rPr>
        <w:t xml:space="preserve"> </w:t>
      </w:r>
      <w:r>
        <w:t>expression</w:t>
      </w:r>
      <w:r>
        <w:rPr>
          <w:spacing w:val="80"/>
        </w:rPr>
        <w:t xml:space="preserve"> </w:t>
      </w:r>
      <w:r>
        <w:t>haven’t</w:t>
      </w:r>
      <w:r>
        <w:rPr>
          <w:spacing w:val="40"/>
        </w:rPr>
        <w:t xml:space="preserve"> </w:t>
      </w:r>
      <w:r>
        <w:t>changed</w:t>
      </w:r>
      <w:r>
        <w:rPr>
          <w:spacing w:val="40"/>
        </w:rPr>
        <w:t xml:space="preserve"> </w:t>
      </w:r>
      <w:r>
        <w:t>in</w:t>
      </w:r>
      <w:r>
        <w:rPr>
          <w:spacing w:val="40"/>
        </w:rPr>
        <w:t xml:space="preserve"> </w:t>
      </w:r>
      <w:r>
        <w:t>the</w:t>
      </w:r>
      <w:r>
        <w:rPr>
          <w:spacing w:val="40"/>
        </w:rPr>
        <w:t xml:space="preserve"> </w:t>
      </w:r>
      <w:r>
        <w:t>least</w:t>
      </w:r>
      <w:r>
        <w:rPr>
          <w:spacing w:val="40"/>
        </w:rPr>
        <w:t xml:space="preserve"> </w:t>
      </w:r>
      <w:r>
        <w:t>in</w:t>
      </w:r>
      <w:r>
        <w:rPr>
          <w:spacing w:val="40"/>
        </w:rPr>
        <w:t xml:space="preserve"> </w:t>
      </w:r>
      <w:r>
        <w:t>the</w:t>
      </w:r>
      <w:r>
        <w:rPr>
          <w:spacing w:val="40"/>
        </w:rPr>
        <w:t xml:space="preserve"> </w:t>
      </w:r>
      <w:r>
        <w:t>mean</w:t>
      </w:r>
      <w:r>
        <w:rPr>
          <w:spacing w:val="40"/>
        </w:rPr>
        <w:t xml:space="preserve"> </w:t>
      </w:r>
      <w:r>
        <w:t>time.)</w:t>
      </w:r>
      <w:r>
        <w:rPr>
          <w:spacing w:val="40"/>
        </w:rPr>
        <w:t xml:space="preserve"> </w:t>
      </w:r>
      <w:r>
        <w:t>In</w:t>
      </w:r>
      <w:r>
        <w:rPr>
          <w:spacing w:val="40"/>
        </w:rPr>
        <w:t xml:space="preserve"> </w:t>
      </w:r>
      <w:r>
        <w:t>general,</w:t>
      </w:r>
      <w:r>
        <w:rPr>
          <w:spacing w:val="40"/>
        </w:rPr>
        <w:t xml:space="preserve"> </w:t>
      </w:r>
      <w:r>
        <w:t>proper</w:t>
      </w:r>
      <w:r>
        <w:rPr>
          <w:spacing w:val="80"/>
          <w:w w:val="150"/>
        </w:rPr>
        <w:t xml:space="preserve"> </w:t>
      </w:r>
      <w:r>
        <w:t>names are rigid designators. “Hesperus” and “Phosphorous” are proper names.</w:t>
      </w:r>
      <w:r>
        <w:rPr>
          <w:spacing w:val="40"/>
        </w:rPr>
        <w:t xml:space="preserve"> </w:t>
      </w:r>
      <w:r>
        <w:t>Therefore,</w:t>
      </w:r>
      <w:r>
        <w:rPr>
          <w:spacing w:val="40"/>
        </w:rPr>
        <w:t xml:space="preserve"> </w:t>
      </w:r>
      <w:r>
        <w:rPr>
          <w:i/>
        </w:rPr>
        <w:t>unlike</w:t>
      </w:r>
      <w:r>
        <w:rPr>
          <w:i/>
          <w:spacing w:val="40"/>
        </w:rPr>
        <w:t xml:space="preserve"> </w:t>
      </w:r>
      <w:r>
        <w:t>“the</w:t>
      </w:r>
      <w:r>
        <w:rPr>
          <w:spacing w:val="40"/>
        </w:rPr>
        <w:t xml:space="preserve"> </w:t>
      </w:r>
      <w:r>
        <w:t>LMS”</w:t>
      </w:r>
      <w:r>
        <w:rPr>
          <w:spacing w:val="40"/>
        </w:rPr>
        <w:t xml:space="preserve"> </w:t>
      </w:r>
      <w:r>
        <w:t>and</w:t>
      </w:r>
      <w:r>
        <w:rPr>
          <w:spacing w:val="40"/>
        </w:rPr>
        <w:t xml:space="preserve"> </w:t>
      </w:r>
      <w:r>
        <w:t>“the</w:t>
      </w:r>
      <w:r>
        <w:rPr>
          <w:spacing w:val="40"/>
        </w:rPr>
        <w:t xml:space="preserve"> </w:t>
      </w:r>
      <w:r>
        <w:t>FES,”</w:t>
      </w:r>
      <w:r>
        <w:rPr>
          <w:spacing w:val="40"/>
        </w:rPr>
        <w:t xml:space="preserve"> </w:t>
      </w:r>
      <w:r>
        <w:t>they</w:t>
      </w:r>
      <w:r>
        <w:rPr>
          <w:spacing w:val="40"/>
        </w:rPr>
        <w:t xml:space="preserve"> </w:t>
      </w:r>
      <w:r>
        <w:t>are</w:t>
      </w:r>
      <w:r>
        <w:rPr>
          <w:spacing w:val="40"/>
        </w:rPr>
        <w:t xml:space="preserve"> </w:t>
      </w:r>
      <w:r>
        <w:t>rigid</w:t>
      </w:r>
      <w:r>
        <w:rPr>
          <w:spacing w:val="40"/>
        </w:rPr>
        <w:t xml:space="preserve"> </w:t>
      </w:r>
      <w:r>
        <w:t>designators.</w:t>
      </w:r>
      <w:r>
        <w:rPr>
          <w:spacing w:val="80"/>
        </w:rPr>
        <w:t xml:space="preserve"> </w:t>
      </w:r>
      <w:r>
        <w:t>So</w:t>
      </w:r>
      <w:r>
        <w:rPr>
          <w:spacing w:val="80"/>
        </w:rPr>
        <w:t xml:space="preserve"> </w:t>
      </w:r>
      <w:r>
        <w:t>as</w:t>
      </w:r>
      <w:r>
        <w:rPr>
          <w:spacing w:val="80"/>
        </w:rPr>
        <w:t xml:space="preserve"> </w:t>
      </w:r>
      <w:r>
        <w:t>long</w:t>
      </w:r>
      <w:r>
        <w:rPr>
          <w:spacing w:val="80"/>
        </w:rPr>
        <w:t xml:space="preserve"> </w:t>
      </w:r>
      <w:r>
        <w:t>as</w:t>
      </w:r>
      <w:r>
        <w:rPr>
          <w:spacing w:val="80"/>
        </w:rPr>
        <w:t xml:space="preserve"> </w:t>
      </w:r>
      <w:r>
        <w:t>the</w:t>
      </w:r>
      <w:r>
        <w:rPr>
          <w:spacing w:val="80"/>
        </w:rPr>
        <w:t xml:space="preserve"> </w:t>
      </w:r>
      <w:r>
        <w:t>semantic</w:t>
      </w:r>
      <w:r>
        <w:rPr>
          <w:spacing w:val="80"/>
        </w:rPr>
        <w:t xml:space="preserve"> </w:t>
      </w:r>
      <w:r>
        <w:t>rules</w:t>
      </w:r>
      <w:r>
        <w:rPr>
          <w:spacing w:val="80"/>
        </w:rPr>
        <w:t xml:space="preserve"> </w:t>
      </w:r>
      <w:r>
        <w:t>of</w:t>
      </w:r>
      <w:r>
        <w:rPr>
          <w:spacing w:val="80"/>
        </w:rPr>
        <w:t xml:space="preserve"> </w:t>
      </w:r>
      <w:r>
        <w:t>English</w:t>
      </w:r>
      <w:r>
        <w:rPr>
          <w:spacing w:val="80"/>
        </w:rPr>
        <w:t xml:space="preserve"> </w:t>
      </w:r>
      <w:r>
        <w:t>haven’t changed, there is some one object x such that (i) each refers to x; and,</w:t>
      </w:r>
      <w:r>
        <w:rPr>
          <w:spacing w:val="40"/>
        </w:rPr>
        <w:t xml:space="preserve"> </w:t>
      </w:r>
      <w:r>
        <w:t>therefore, such that (ii) each of ‹Hesperus has phi› and ‹Phosphorous</w:t>
      </w:r>
      <w:r>
        <w:rPr>
          <w:spacing w:val="80"/>
          <w:w w:val="150"/>
        </w:rPr>
        <w:t xml:space="preserve"> </w:t>
      </w:r>
      <w:r>
        <w:t>has</w:t>
      </w:r>
      <w:r>
        <w:rPr>
          <w:spacing w:val="80"/>
        </w:rPr>
        <w:t xml:space="preserve"> </w:t>
      </w:r>
      <w:r>
        <w:t>phi›</w:t>
      </w:r>
      <w:r>
        <w:rPr>
          <w:spacing w:val="80"/>
        </w:rPr>
        <w:t xml:space="preserve"> </w:t>
      </w:r>
      <w:r>
        <w:t>is</w:t>
      </w:r>
      <w:r>
        <w:rPr>
          <w:spacing w:val="80"/>
        </w:rPr>
        <w:t xml:space="preserve"> </w:t>
      </w:r>
      <w:r>
        <w:t>true</w:t>
      </w:r>
      <w:r>
        <w:rPr>
          <w:spacing w:val="80"/>
        </w:rPr>
        <w:t xml:space="preserve"> </w:t>
      </w:r>
      <w:r>
        <w:t>exactly</w:t>
      </w:r>
      <w:r>
        <w:rPr>
          <w:spacing w:val="80"/>
        </w:rPr>
        <w:t xml:space="preserve"> </w:t>
      </w:r>
      <w:r>
        <w:t>if</w:t>
      </w:r>
      <w:r>
        <w:rPr>
          <w:spacing w:val="80"/>
        </w:rPr>
        <w:t xml:space="preserve"> </w:t>
      </w:r>
      <w:r>
        <w:t>x</w:t>
      </w:r>
      <w:r>
        <w:rPr>
          <w:spacing w:val="80"/>
        </w:rPr>
        <w:t xml:space="preserve"> </w:t>
      </w:r>
      <w:r>
        <w:t>has</w:t>
      </w:r>
      <w:r>
        <w:rPr>
          <w:spacing w:val="80"/>
        </w:rPr>
        <w:t xml:space="preserve"> </w:t>
      </w:r>
      <w:r>
        <w:t>phi,</w:t>
      </w:r>
      <w:r>
        <w:rPr>
          <w:spacing w:val="80"/>
        </w:rPr>
        <w:t xml:space="preserve"> </w:t>
      </w:r>
      <w:r>
        <w:t>a</w:t>
      </w:r>
      <w:r>
        <w:rPr>
          <w:spacing w:val="80"/>
        </w:rPr>
        <w:t xml:space="preserve"> </w:t>
      </w:r>
      <w:r>
        <w:t>corollary</w:t>
      </w:r>
      <w:r>
        <w:rPr>
          <w:spacing w:val="80"/>
        </w:rPr>
        <w:t xml:space="preserve"> </w:t>
      </w:r>
      <w:r>
        <w:t>being</w:t>
      </w:r>
      <w:r>
        <w:rPr>
          <w:spacing w:val="80"/>
        </w:rPr>
        <w:t xml:space="preserve"> </w:t>
      </w:r>
      <w:r>
        <w:t>that</w:t>
      </w:r>
      <w:r>
        <w:rPr>
          <w:spacing w:val="80"/>
        </w:rPr>
        <w:t xml:space="preserve"> </w:t>
      </w:r>
      <w:r>
        <w:t>(iii) “Hesperus is Phosphorous” (HIP) is true exactly if x is identical with x.</w:t>
      </w:r>
    </w:p>
    <w:p w14:paraId="7E002170" w14:textId="77777777" w:rsidR="009A58DB" w:rsidRDefault="00000000">
      <w:pPr>
        <w:pStyle w:val="BodyText"/>
        <w:spacing w:before="17" w:line="249" w:lineRule="auto"/>
        <w:ind w:left="720" w:right="724" w:firstLine="360"/>
      </w:pPr>
      <w:r>
        <w:t xml:space="preserve">It’s obvious that, for any object x, the proposition </w:t>
      </w:r>
      <w:r>
        <w:rPr>
          <w:i/>
        </w:rPr>
        <w:t xml:space="preserve">x is identical with x </w:t>
      </w:r>
      <w:r>
        <w:t xml:space="preserve">is necessarily true. But it’s equally obvious that the proposition expressed by HIP is empirical and, therefore, non-analytic. Therefore, HIP expresses a non-analytic </w:t>
      </w:r>
      <w:r>
        <w:rPr>
          <w:i/>
        </w:rPr>
        <w:t xml:space="preserve">necessary </w:t>
      </w:r>
      <w:r>
        <w:t>truth.</w:t>
      </w:r>
    </w:p>
    <w:p w14:paraId="7E002171" w14:textId="77777777" w:rsidR="009A58DB" w:rsidRDefault="00000000">
      <w:pPr>
        <w:pStyle w:val="Heading1"/>
        <w:numPr>
          <w:ilvl w:val="1"/>
          <w:numId w:val="74"/>
        </w:numPr>
        <w:tabs>
          <w:tab w:val="left" w:pos="990"/>
        </w:tabs>
        <w:spacing w:before="193"/>
      </w:pPr>
      <w:r>
        <w:t>Kripke’s</w:t>
      </w:r>
      <w:r>
        <w:rPr>
          <w:spacing w:val="-7"/>
        </w:rPr>
        <w:t xml:space="preserve"> </w:t>
      </w:r>
      <w:r>
        <w:t>argument</w:t>
      </w:r>
      <w:r>
        <w:rPr>
          <w:spacing w:val="-7"/>
        </w:rPr>
        <w:t xml:space="preserve"> </w:t>
      </w:r>
      <w:r>
        <w:rPr>
          <w:spacing w:val="-2"/>
        </w:rPr>
        <w:t>evaluated</w:t>
      </w:r>
    </w:p>
    <w:p w14:paraId="7E002172" w14:textId="77777777" w:rsidR="009A58DB" w:rsidRDefault="00000000">
      <w:pPr>
        <w:pStyle w:val="BodyText"/>
        <w:spacing w:before="139" w:line="249" w:lineRule="auto"/>
        <w:ind w:right="364"/>
      </w:pPr>
      <w:r>
        <w:t>This argument involves a massive non-sequitur, which the following story exposes. I meet a man. We shake hands. I obviously see what he looks like. He tells me that his name is “Hesperus.” (Without worrying about the details, let’s assume that I know him to be telling me the truth.) In this context, there is some individual x such that I am learning that:</w:t>
      </w:r>
    </w:p>
    <w:p w14:paraId="7E002173" w14:textId="77777777" w:rsidR="009A58DB" w:rsidRDefault="00000000">
      <w:pPr>
        <w:pStyle w:val="BodyText"/>
        <w:spacing w:before="111"/>
      </w:pPr>
      <w:r>
        <w:t>(HX)</w:t>
      </w:r>
      <w:r>
        <w:rPr>
          <w:spacing w:val="-4"/>
        </w:rPr>
        <w:t xml:space="preserve"> </w:t>
      </w:r>
      <w:r>
        <w:t>“Hesperus”</w:t>
      </w:r>
      <w:r>
        <w:rPr>
          <w:spacing w:val="-4"/>
        </w:rPr>
        <w:t xml:space="preserve"> </w:t>
      </w:r>
      <w:r>
        <w:t>is</w:t>
      </w:r>
      <w:r>
        <w:rPr>
          <w:spacing w:val="-4"/>
        </w:rPr>
        <w:t xml:space="preserve"> </w:t>
      </w:r>
      <w:r>
        <w:t>x’s</w:t>
      </w:r>
      <w:r>
        <w:rPr>
          <w:spacing w:val="-4"/>
        </w:rPr>
        <w:t xml:space="preserve"> name.</w:t>
      </w:r>
    </w:p>
    <w:p w14:paraId="7E002174" w14:textId="77777777" w:rsidR="009A58DB" w:rsidRDefault="00000000">
      <w:pPr>
        <w:pStyle w:val="BodyText"/>
        <w:spacing w:before="120" w:line="249" w:lineRule="auto"/>
        <w:ind w:right="362"/>
      </w:pPr>
      <w:r>
        <w:t xml:space="preserve">But </w:t>
      </w:r>
      <w:r>
        <w:rPr>
          <w:i/>
        </w:rPr>
        <w:t xml:space="preserve">what </w:t>
      </w:r>
      <w:r>
        <w:t xml:space="preserve">I am learning must be distinguished from the information </w:t>
      </w:r>
      <w:r>
        <w:rPr>
          <w:i/>
        </w:rPr>
        <w:t xml:space="preserve">through which I am learning it. </w:t>
      </w:r>
      <w:r>
        <w:t>The information relayed to me by my senses isn’t confined to HX. It would be absurd to think otherwise. That information is more along the lines of:</w:t>
      </w:r>
    </w:p>
    <w:p w14:paraId="7E00217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76" w14:textId="77777777" w:rsidR="009A58DB" w:rsidRDefault="00000000">
      <w:pPr>
        <w:pStyle w:val="BodyText"/>
        <w:spacing w:before="65" w:line="249" w:lineRule="auto"/>
        <w:ind w:right="363"/>
      </w:pPr>
      <w:r>
        <w:lastRenderedPageBreak/>
        <w:t xml:space="preserve">(BHX) There is some individual x such that x is standing right in front of me (in my office in Richmond, VA) at this moment (3:00 </w:t>
      </w:r>
      <w:r>
        <w:rPr>
          <w:sz w:val="22"/>
        </w:rPr>
        <w:t>P</w:t>
      </w:r>
      <w:r>
        <w:t>.</w:t>
      </w:r>
      <w:r>
        <w:rPr>
          <w:sz w:val="22"/>
        </w:rPr>
        <w:t>M</w:t>
      </w:r>
      <w:r>
        <w:t>., March 13, 2009) and such that x has such and such characteristics (he has a mustache, he’s over 6-feet tall, etc.) and such that I am being told, by x himself, that “Hesperus” is x’s name.</w:t>
      </w:r>
    </w:p>
    <w:p w14:paraId="7E002177" w14:textId="77777777" w:rsidR="009A58DB" w:rsidRDefault="00000000">
      <w:pPr>
        <w:pStyle w:val="BodyText"/>
        <w:spacing w:before="111" w:line="249" w:lineRule="auto"/>
        <w:ind w:right="358" w:firstLine="360"/>
      </w:pPr>
      <w:r>
        <w:t>So there is some x such that “Hesperus” merely labels x. “Hesperus” doesn’t have for any part of its meaning anything having to do with the property of being over 6 feet, having a mustache, being in this or that place at this</w:t>
      </w:r>
      <w:r>
        <w:rPr>
          <w:spacing w:val="-4"/>
        </w:rPr>
        <w:t xml:space="preserve"> </w:t>
      </w:r>
      <w:r>
        <w:t>or</w:t>
      </w:r>
      <w:r>
        <w:rPr>
          <w:spacing w:val="-4"/>
        </w:rPr>
        <w:t xml:space="preserve"> </w:t>
      </w:r>
      <w:r>
        <w:t>that</w:t>
      </w:r>
      <w:r>
        <w:rPr>
          <w:spacing w:val="-4"/>
        </w:rPr>
        <w:t xml:space="preserve"> </w:t>
      </w:r>
      <w:r>
        <w:t>time.</w:t>
      </w:r>
      <w:r>
        <w:rPr>
          <w:spacing w:val="-3"/>
        </w:rPr>
        <w:t xml:space="preserve"> </w:t>
      </w:r>
      <w:r>
        <w:t>But</w:t>
      </w:r>
      <w:r>
        <w:rPr>
          <w:spacing w:val="-4"/>
        </w:rPr>
        <w:t xml:space="preserve"> </w:t>
      </w:r>
      <w:r>
        <w:t>the</w:t>
      </w:r>
      <w:r>
        <w:rPr>
          <w:spacing w:val="-4"/>
        </w:rPr>
        <w:t xml:space="preserve"> </w:t>
      </w:r>
      <w:r>
        <w:t>information</w:t>
      </w:r>
      <w:r>
        <w:rPr>
          <w:spacing w:val="-3"/>
        </w:rPr>
        <w:t xml:space="preserve"> </w:t>
      </w:r>
      <w:r>
        <w:rPr>
          <w:i/>
        </w:rPr>
        <w:t>through</w:t>
      </w:r>
      <w:r>
        <w:rPr>
          <w:i/>
          <w:spacing w:val="-3"/>
        </w:rPr>
        <w:t xml:space="preserve"> </w:t>
      </w:r>
      <w:r>
        <w:rPr>
          <w:i/>
        </w:rPr>
        <w:t>which</w:t>
      </w:r>
      <w:r>
        <w:rPr>
          <w:i/>
          <w:spacing w:val="-3"/>
        </w:rPr>
        <w:t xml:space="preserve"> </w:t>
      </w:r>
      <w:r>
        <w:t>I</w:t>
      </w:r>
      <w:r>
        <w:rPr>
          <w:spacing w:val="-4"/>
        </w:rPr>
        <w:t xml:space="preserve"> </w:t>
      </w:r>
      <w:r>
        <w:t>learn</w:t>
      </w:r>
      <w:r>
        <w:rPr>
          <w:spacing w:val="-3"/>
        </w:rPr>
        <w:t xml:space="preserve"> </w:t>
      </w:r>
      <w:r>
        <w:t>whom</w:t>
      </w:r>
      <w:r>
        <w:rPr>
          <w:spacing w:val="-4"/>
        </w:rPr>
        <w:t xml:space="preserve"> </w:t>
      </w:r>
      <w:r>
        <w:t>“Hesperus” labels</w:t>
      </w:r>
      <w:r>
        <w:rPr>
          <w:spacing w:val="-5"/>
        </w:rPr>
        <w:t xml:space="preserve"> </w:t>
      </w:r>
      <w:r>
        <w:rPr>
          <w:i/>
        </w:rPr>
        <w:t>does</w:t>
      </w:r>
      <w:r>
        <w:rPr>
          <w:i/>
          <w:spacing w:val="-5"/>
        </w:rPr>
        <w:t xml:space="preserve"> </w:t>
      </w:r>
      <w:r>
        <w:t xml:space="preserve">concern such properties. That information is descriptive; a certain person x is visually represented, and thus described, to me as having certain characteristics (over 6-feet tall, etc.); and, with the help of this information, it is also being made clear to me that “Hesperus” names x. But that descriptive information is not </w:t>
      </w:r>
      <w:r>
        <w:rPr>
          <w:i/>
        </w:rPr>
        <w:t xml:space="preserve">itself </w:t>
      </w:r>
      <w:r>
        <w:t xml:space="preserve">a part of the semantic rule that, with its help, I am learning—that is to say, it is not itself any part of HX. HX is extremely threadbare; it merely puts a label on a certain object. So the just-mentioned descriptive information has no place in the </w:t>
      </w:r>
      <w:r>
        <w:rPr>
          <w:i/>
        </w:rPr>
        <w:t xml:space="preserve">semantics </w:t>
      </w:r>
      <w:r>
        <w:t>of “Hesperus”; its relevance is confined to the pre-semantic act of assigning it to the right</w:t>
      </w:r>
      <w:r>
        <w:rPr>
          <w:spacing w:val="40"/>
        </w:rPr>
        <w:t xml:space="preserve"> </w:t>
      </w:r>
      <w:r>
        <w:t xml:space="preserve">object. That information isn’t semantic; it’s </w:t>
      </w:r>
      <w:r>
        <w:rPr>
          <w:i/>
        </w:rPr>
        <w:t>pre</w:t>
      </w:r>
      <w:r>
        <w:t>-semantic.</w:t>
      </w:r>
    </w:p>
    <w:p w14:paraId="7E002178" w14:textId="77777777" w:rsidR="009A58DB" w:rsidRDefault="00000000">
      <w:pPr>
        <w:pStyle w:val="BodyText"/>
        <w:spacing w:before="17" w:line="249" w:lineRule="auto"/>
        <w:ind w:right="359" w:firstLine="360"/>
      </w:pPr>
      <w:r>
        <w:t>The following evening, I receive a phone call. I don’t recognize the caller’s voice. The caller is obviously using a voice-modulation device,</w:t>
      </w:r>
      <w:r>
        <w:rPr>
          <w:spacing w:val="40"/>
        </w:rPr>
        <w:t xml:space="preserve"> </w:t>
      </w:r>
      <w:r>
        <w:t>giving it a metallic, threatening sound. And threaten is just what he does; for he says “if you don’t move out of town, I’m going to kill you. By the way,</w:t>
      </w:r>
      <w:r>
        <w:rPr>
          <w:spacing w:val="40"/>
        </w:rPr>
        <w:t xml:space="preserve"> </w:t>
      </w:r>
      <w:r>
        <w:t>my name is Phosphorous.” I look at my caller ID; and, sure enough, the call</w:t>
      </w:r>
      <w:r>
        <w:rPr>
          <w:spacing w:val="40"/>
        </w:rPr>
        <w:t xml:space="preserve"> </w:t>
      </w:r>
      <w:r>
        <w:t>is from one “Phosphorous.”</w:t>
      </w:r>
    </w:p>
    <w:p w14:paraId="7E002179" w14:textId="77777777" w:rsidR="009A58DB" w:rsidRDefault="00000000">
      <w:pPr>
        <w:pStyle w:val="BodyText"/>
        <w:spacing w:before="7" w:line="312" w:lineRule="auto"/>
        <w:ind w:right="963" w:firstLine="360"/>
      </w:pPr>
      <w:r>
        <w:t>In</w:t>
      </w:r>
      <w:r>
        <w:rPr>
          <w:spacing w:val="-3"/>
        </w:rPr>
        <w:t xml:space="preserve"> </w:t>
      </w:r>
      <w:r>
        <w:t>this</w:t>
      </w:r>
      <w:r>
        <w:rPr>
          <w:spacing w:val="-4"/>
        </w:rPr>
        <w:t xml:space="preserve"> </w:t>
      </w:r>
      <w:r>
        <w:t>context,</w:t>
      </w:r>
      <w:r>
        <w:rPr>
          <w:spacing w:val="-3"/>
        </w:rPr>
        <w:t xml:space="preserve"> </w:t>
      </w:r>
      <w:r>
        <w:t>there</w:t>
      </w:r>
      <w:r>
        <w:rPr>
          <w:spacing w:val="-4"/>
        </w:rPr>
        <w:t xml:space="preserve"> </w:t>
      </w:r>
      <w:r>
        <w:t>is</w:t>
      </w:r>
      <w:r>
        <w:rPr>
          <w:spacing w:val="-4"/>
        </w:rPr>
        <w:t xml:space="preserve"> </w:t>
      </w:r>
      <w:r>
        <w:t>some</w:t>
      </w:r>
      <w:r>
        <w:rPr>
          <w:spacing w:val="-4"/>
        </w:rPr>
        <w:t xml:space="preserve"> </w:t>
      </w:r>
      <w:r>
        <w:t>individual</w:t>
      </w:r>
      <w:r>
        <w:rPr>
          <w:spacing w:val="-4"/>
        </w:rPr>
        <w:t xml:space="preserve"> </w:t>
      </w:r>
      <w:r>
        <w:t>y</w:t>
      </w:r>
      <w:r>
        <w:rPr>
          <w:spacing w:val="-3"/>
        </w:rPr>
        <w:t xml:space="preserve"> </w:t>
      </w:r>
      <w:r>
        <w:t>such</w:t>
      </w:r>
      <w:r>
        <w:rPr>
          <w:spacing w:val="-3"/>
        </w:rPr>
        <w:t xml:space="preserve"> </w:t>
      </w:r>
      <w:r>
        <w:t>that</w:t>
      </w:r>
      <w:r>
        <w:rPr>
          <w:spacing w:val="-4"/>
        </w:rPr>
        <w:t xml:space="preserve"> </w:t>
      </w:r>
      <w:r>
        <w:t>I</w:t>
      </w:r>
      <w:r>
        <w:rPr>
          <w:spacing w:val="-4"/>
        </w:rPr>
        <w:t xml:space="preserve"> </w:t>
      </w:r>
      <w:r>
        <w:t>am</w:t>
      </w:r>
      <w:r>
        <w:rPr>
          <w:spacing w:val="-4"/>
        </w:rPr>
        <w:t xml:space="preserve"> </w:t>
      </w:r>
      <w:r>
        <w:t>learning</w:t>
      </w:r>
      <w:r>
        <w:rPr>
          <w:spacing w:val="-3"/>
        </w:rPr>
        <w:t xml:space="preserve"> </w:t>
      </w:r>
      <w:r>
        <w:t>that: (PX) “Phosphorous” is y’s name.</w:t>
      </w:r>
    </w:p>
    <w:p w14:paraId="7E00217A" w14:textId="77777777" w:rsidR="009A58DB" w:rsidRDefault="00000000">
      <w:pPr>
        <w:pStyle w:val="BodyText"/>
        <w:spacing w:before="18" w:line="249" w:lineRule="auto"/>
        <w:ind w:right="358"/>
      </w:pPr>
      <w:r>
        <w:t xml:space="preserve">PX merely registers the fact that a certain name is associated with a certain object. It doesn’t say anything (else) </w:t>
      </w:r>
      <w:r>
        <w:rPr>
          <w:i/>
        </w:rPr>
        <w:t>about</w:t>
      </w:r>
      <w:r>
        <w:rPr>
          <w:i/>
          <w:spacing w:val="-3"/>
        </w:rPr>
        <w:t xml:space="preserve"> </w:t>
      </w:r>
      <w:r>
        <w:t xml:space="preserve">that object. It doesn’t say whether that object is tall or short, friendly or unfriendly. PX is exceedingly threadbare. But the information </w:t>
      </w:r>
      <w:r>
        <w:rPr>
          <w:i/>
        </w:rPr>
        <w:t xml:space="preserve">through </w:t>
      </w:r>
      <w:r>
        <w:t xml:space="preserve">which I am learning PX is very different from PX itself. </w:t>
      </w:r>
      <w:r>
        <w:rPr>
          <w:i/>
        </w:rPr>
        <w:t xml:space="preserve">That </w:t>
      </w:r>
      <w:r>
        <w:t xml:space="preserve">information—that </w:t>
      </w:r>
      <w:r>
        <w:rPr>
          <w:i/>
        </w:rPr>
        <w:t>pre</w:t>
      </w:r>
      <w:r>
        <w:t>-semantic information—is along the lines of:</w:t>
      </w:r>
    </w:p>
    <w:p w14:paraId="7E00217B" w14:textId="77777777" w:rsidR="009A58DB" w:rsidRDefault="00000000">
      <w:pPr>
        <w:pStyle w:val="BodyText"/>
        <w:spacing w:before="113"/>
      </w:pPr>
      <w:r>
        <w:t>(BPX)</w:t>
      </w:r>
      <w:r>
        <w:rPr>
          <w:spacing w:val="6"/>
        </w:rPr>
        <w:t xml:space="preserve"> </w:t>
      </w:r>
      <w:r>
        <w:t>There</w:t>
      </w:r>
      <w:r>
        <w:rPr>
          <w:spacing w:val="6"/>
        </w:rPr>
        <w:t xml:space="preserve"> </w:t>
      </w:r>
      <w:r>
        <w:t>is</w:t>
      </w:r>
      <w:r>
        <w:rPr>
          <w:spacing w:val="7"/>
        </w:rPr>
        <w:t xml:space="preserve"> </w:t>
      </w:r>
      <w:r>
        <w:t>some</w:t>
      </w:r>
      <w:r>
        <w:rPr>
          <w:spacing w:val="6"/>
        </w:rPr>
        <w:t xml:space="preserve"> </w:t>
      </w:r>
      <w:r>
        <w:t>individual</w:t>
      </w:r>
      <w:r>
        <w:rPr>
          <w:spacing w:val="7"/>
        </w:rPr>
        <w:t xml:space="preserve"> </w:t>
      </w:r>
      <w:r>
        <w:t>y</w:t>
      </w:r>
      <w:r>
        <w:rPr>
          <w:spacing w:val="6"/>
        </w:rPr>
        <w:t xml:space="preserve"> </w:t>
      </w:r>
      <w:r>
        <w:t>such</w:t>
      </w:r>
      <w:r>
        <w:rPr>
          <w:spacing w:val="6"/>
        </w:rPr>
        <w:t xml:space="preserve"> </w:t>
      </w:r>
      <w:r>
        <w:t>that,</w:t>
      </w:r>
      <w:r>
        <w:rPr>
          <w:spacing w:val="7"/>
        </w:rPr>
        <w:t xml:space="preserve"> </w:t>
      </w:r>
      <w:r>
        <w:t>a</w:t>
      </w:r>
      <w:r>
        <w:rPr>
          <w:spacing w:val="6"/>
        </w:rPr>
        <w:t xml:space="preserve"> </w:t>
      </w:r>
      <w:r>
        <w:t>moment</w:t>
      </w:r>
      <w:r>
        <w:rPr>
          <w:spacing w:val="7"/>
        </w:rPr>
        <w:t xml:space="preserve"> </w:t>
      </w:r>
      <w:r>
        <w:t>ago</w:t>
      </w:r>
      <w:r>
        <w:rPr>
          <w:spacing w:val="6"/>
        </w:rPr>
        <w:t xml:space="preserve"> </w:t>
      </w:r>
      <w:r>
        <w:t>(7:00</w:t>
      </w:r>
      <w:r>
        <w:rPr>
          <w:spacing w:val="6"/>
        </w:rPr>
        <w:t xml:space="preserve"> </w:t>
      </w:r>
      <w:r>
        <w:rPr>
          <w:sz w:val="22"/>
        </w:rPr>
        <w:t>P</w:t>
      </w:r>
      <w:r>
        <w:t>.</w:t>
      </w:r>
      <w:r>
        <w:rPr>
          <w:sz w:val="22"/>
        </w:rPr>
        <w:t>M</w:t>
      </w:r>
      <w:r>
        <w:t>.,</w:t>
      </w:r>
      <w:r>
        <w:rPr>
          <w:spacing w:val="-1"/>
        </w:rPr>
        <w:t xml:space="preserve"> </w:t>
      </w:r>
      <w:r>
        <w:rPr>
          <w:spacing w:val="-2"/>
        </w:rPr>
        <w:t>March</w:t>
      </w:r>
    </w:p>
    <w:p w14:paraId="7E00217C" w14:textId="77777777" w:rsidR="009A58DB" w:rsidRDefault="009A58DB">
      <w:pPr>
        <w:pStyle w:val="BodyText"/>
        <w:sectPr w:rsidR="009A58DB">
          <w:pgSz w:w="12240" w:h="15840"/>
          <w:pgMar w:top="1380" w:right="1080" w:bottom="280" w:left="1080" w:header="720" w:footer="720" w:gutter="0"/>
          <w:cols w:space="720"/>
        </w:sectPr>
      </w:pPr>
    </w:p>
    <w:p w14:paraId="7E00217D" w14:textId="77777777" w:rsidR="009A58DB" w:rsidRDefault="00000000">
      <w:pPr>
        <w:pStyle w:val="BodyText"/>
        <w:spacing w:before="70" w:line="249" w:lineRule="auto"/>
        <w:ind w:right="360"/>
      </w:pPr>
      <w:r>
        <w:lastRenderedPageBreak/>
        <w:t>14, 2009), y rang me; such that, using a voice-modulation device to disguise his voice, y is making threatening statements; and such that I am being told, by y himself, that “Phosphorous” is y’s name.</w:t>
      </w:r>
    </w:p>
    <w:p w14:paraId="7E00217E" w14:textId="77777777" w:rsidR="009A58DB" w:rsidRDefault="00000000">
      <w:pPr>
        <w:pStyle w:val="BodyText"/>
        <w:spacing w:before="103" w:line="249" w:lineRule="auto"/>
        <w:ind w:right="358" w:firstLine="360"/>
      </w:pPr>
      <w:r>
        <w:t>Here must we repeat (</w:t>
      </w:r>
      <w:r>
        <w:rPr>
          <w:i/>
        </w:rPr>
        <w:t>mutatis mutandis</w:t>
      </w:r>
      <w:r>
        <w:t>) what we said a moment ago. There</w:t>
      </w:r>
      <w:r>
        <w:rPr>
          <w:spacing w:val="-3"/>
        </w:rPr>
        <w:t xml:space="preserve"> </w:t>
      </w:r>
      <w:r>
        <w:t>is</w:t>
      </w:r>
      <w:r>
        <w:rPr>
          <w:spacing w:val="-3"/>
        </w:rPr>
        <w:t xml:space="preserve"> </w:t>
      </w:r>
      <w:r>
        <w:t>some</w:t>
      </w:r>
      <w:r>
        <w:rPr>
          <w:spacing w:val="-3"/>
        </w:rPr>
        <w:t xml:space="preserve"> </w:t>
      </w:r>
      <w:r>
        <w:t>y</w:t>
      </w:r>
      <w:r>
        <w:rPr>
          <w:spacing w:val="-3"/>
        </w:rPr>
        <w:t xml:space="preserve"> </w:t>
      </w:r>
      <w:r>
        <w:t>such</w:t>
      </w:r>
      <w:r>
        <w:rPr>
          <w:spacing w:val="-3"/>
        </w:rPr>
        <w:t xml:space="preserve"> </w:t>
      </w:r>
      <w:r>
        <w:t>that</w:t>
      </w:r>
      <w:r>
        <w:rPr>
          <w:spacing w:val="-3"/>
        </w:rPr>
        <w:t xml:space="preserve"> </w:t>
      </w:r>
      <w:r>
        <w:t>“Phosphorous”</w:t>
      </w:r>
      <w:r>
        <w:rPr>
          <w:spacing w:val="-3"/>
        </w:rPr>
        <w:t xml:space="preserve"> </w:t>
      </w:r>
      <w:r>
        <w:t>merely</w:t>
      </w:r>
      <w:r>
        <w:rPr>
          <w:spacing w:val="-3"/>
        </w:rPr>
        <w:t xml:space="preserve"> </w:t>
      </w:r>
      <w:r>
        <w:t>labels</w:t>
      </w:r>
      <w:r>
        <w:rPr>
          <w:spacing w:val="-3"/>
        </w:rPr>
        <w:t xml:space="preserve"> </w:t>
      </w:r>
      <w:r>
        <w:t>y.</w:t>
      </w:r>
      <w:r>
        <w:rPr>
          <w:spacing w:val="-3"/>
        </w:rPr>
        <w:t xml:space="preserve"> </w:t>
      </w:r>
      <w:r>
        <w:t>“Hesperus”</w:t>
      </w:r>
      <w:r>
        <w:rPr>
          <w:spacing w:val="-3"/>
        </w:rPr>
        <w:t xml:space="preserve"> </w:t>
      </w:r>
      <w:r>
        <w:t>doesn’t have for any part of its meaning anything having to do with the property of talking</w:t>
      </w:r>
      <w:r>
        <w:rPr>
          <w:spacing w:val="-2"/>
        </w:rPr>
        <w:t xml:space="preserve"> </w:t>
      </w:r>
      <w:r>
        <w:t>on</w:t>
      </w:r>
      <w:r>
        <w:rPr>
          <w:spacing w:val="-2"/>
        </w:rPr>
        <w:t xml:space="preserve"> </w:t>
      </w:r>
      <w:r>
        <w:t>the</w:t>
      </w:r>
      <w:r>
        <w:rPr>
          <w:spacing w:val="-3"/>
        </w:rPr>
        <w:t xml:space="preserve"> </w:t>
      </w:r>
      <w:r>
        <w:t>phone</w:t>
      </w:r>
      <w:r>
        <w:rPr>
          <w:spacing w:val="-3"/>
        </w:rPr>
        <w:t xml:space="preserve"> </w:t>
      </w:r>
      <w:r>
        <w:t>with</w:t>
      </w:r>
      <w:r>
        <w:rPr>
          <w:spacing w:val="-2"/>
        </w:rPr>
        <w:t xml:space="preserve"> </w:t>
      </w:r>
      <w:r>
        <w:t>me</w:t>
      </w:r>
      <w:r>
        <w:rPr>
          <w:spacing w:val="-3"/>
        </w:rPr>
        <w:t xml:space="preserve"> </w:t>
      </w:r>
      <w:r>
        <w:t>at</w:t>
      </w:r>
      <w:r>
        <w:rPr>
          <w:spacing w:val="-3"/>
        </w:rPr>
        <w:t xml:space="preserve"> </w:t>
      </w:r>
      <w:r>
        <w:t>a</w:t>
      </w:r>
      <w:r>
        <w:rPr>
          <w:spacing w:val="-3"/>
        </w:rPr>
        <w:t xml:space="preserve"> </w:t>
      </w:r>
      <w:r>
        <w:t>certain</w:t>
      </w:r>
      <w:r>
        <w:rPr>
          <w:spacing w:val="-2"/>
        </w:rPr>
        <w:t xml:space="preserve"> </w:t>
      </w:r>
      <w:r>
        <w:t>time,</w:t>
      </w:r>
      <w:r>
        <w:rPr>
          <w:spacing w:val="-2"/>
        </w:rPr>
        <w:t xml:space="preserve"> </w:t>
      </w:r>
      <w:r>
        <w:t>or</w:t>
      </w:r>
      <w:r>
        <w:rPr>
          <w:spacing w:val="-3"/>
        </w:rPr>
        <w:t xml:space="preserve"> </w:t>
      </w:r>
      <w:r>
        <w:t>of</w:t>
      </w:r>
      <w:r>
        <w:rPr>
          <w:spacing w:val="-3"/>
        </w:rPr>
        <w:t xml:space="preserve"> </w:t>
      </w:r>
      <w:r>
        <w:t>using</w:t>
      </w:r>
      <w:r>
        <w:rPr>
          <w:spacing w:val="-2"/>
        </w:rPr>
        <w:t xml:space="preserve"> </w:t>
      </w:r>
      <w:r>
        <w:t>a</w:t>
      </w:r>
      <w:r>
        <w:rPr>
          <w:spacing w:val="-3"/>
        </w:rPr>
        <w:t xml:space="preserve"> </w:t>
      </w:r>
      <w:r>
        <w:t xml:space="preserve">voice-modulation device, or of making threats. But the information </w:t>
      </w:r>
      <w:r>
        <w:rPr>
          <w:i/>
        </w:rPr>
        <w:t xml:space="preserve">through which </w:t>
      </w:r>
      <w:r>
        <w:t xml:space="preserve">I learn who “Phosphorous” labels </w:t>
      </w:r>
      <w:r>
        <w:rPr>
          <w:i/>
        </w:rPr>
        <w:t xml:space="preserve">does </w:t>
      </w:r>
      <w:r>
        <w:t>concern such properties. That information is descriptive;</w:t>
      </w:r>
      <w:r>
        <w:rPr>
          <w:spacing w:val="-3"/>
        </w:rPr>
        <w:t xml:space="preserve"> </w:t>
      </w:r>
      <w:r>
        <w:t>a</w:t>
      </w:r>
      <w:r>
        <w:rPr>
          <w:spacing w:val="-3"/>
        </w:rPr>
        <w:t xml:space="preserve"> </w:t>
      </w:r>
      <w:r>
        <w:t>certain</w:t>
      </w:r>
      <w:r>
        <w:rPr>
          <w:spacing w:val="-3"/>
        </w:rPr>
        <w:t xml:space="preserve"> </w:t>
      </w:r>
      <w:r>
        <w:t>person</w:t>
      </w:r>
      <w:r>
        <w:rPr>
          <w:spacing w:val="-3"/>
        </w:rPr>
        <w:t xml:space="preserve"> </w:t>
      </w:r>
      <w:r>
        <w:t>y</w:t>
      </w:r>
      <w:r>
        <w:rPr>
          <w:spacing w:val="-3"/>
        </w:rPr>
        <w:t xml:space="preserve"> </w:t>
      </w:r>
      <w:r>
        <w:t>is</w:t>
      </w:r>
      <w:r>
        <w:rPr>
          <w:spacing w:val="-3"/>
        </w:rPr>
        <w:t xml:space="preserve"> </w:t>
      </w:r>
      <w:r>
        <w:t>perceptually</w:t>
      </w:r>
      <w:r>
        <w:rPr>
          <w:spacing w:val="-3"/>
        </w:rPr>
        <w:t xml:space="preserve"> </w:t>
      </w:r>
      <w:r>
        <w:t>represented,</w:t>
      </w:r>
      <w:r>
        <w:rPr>
          <w:spacing w:val="-3"/>
        </w:rPr>
        <w:t xml:space="preserve"> </w:t>
      </w:r>
      <w:r>
        <w:t>and</w:t>
      </w:r>
      <w:r>
        <w:rPr>
          <w:spacing w:val="-3"/>
        </w:rPr>
        <w:t xml:space="preserve"> </w:t>
      </w:r>
      <w:r>
        <w:t>thus</w:t>
      </w:r>
      <w:r>
        <w:rPr>
          <w:spacing w:val="-3"/>
        </w:rPr>
        <w:t xml:space="preserve"> </w:t>
      </w:r>
      <w:r>
        <w:t xml:space="preserve">described, to me as having certain characteristics (calling me at a certain time, making certain statements, etc.) and, with the help of this information, it is also being made clear to me that “Phosphorous” names x. But that descriptive information is not </w:t>
      </w:r>
      <w:r>
        <w:rPr>
          <w:i/>
        </w:rPr>
        <w:t xml:space="preserve">itself </w:t>
      </w:r>
      <w:r>
        <w:t xml:space="preserve">a part of the semantic rule that, with its help, I am learning—that is to say, it is not itself any part of PX. PX is extremely threadbare; it merely puts a label on a certain object. So the just-mentioned descriptive information has no place in the </w:t>
      </w:r>
      <w:r>
        <w:rPr>
          <w:i/>
        </w:rPr>
        <w:t xml:space="preserve">semantics </w:t>
      </w:r>
      <w:r>
        <w:t xml:space="preserve">of “Phosphorous,” its relevance is confined to the </w:t>
      </w:r>
      <w:r>
        <w:rPr>
          <w:i/>
        </w:rPr>
        <w:t>pre</w:t>
      </w:r>
      <w:r>
        <w:t xml:space="preserve">-semantic act of assigning it to the right object. That information is entirely </w:t>
      </w:r>
      <w:r>
        <w:rPr>
          <w:i/>
        </w:rPr>
        <w:t>pre</w:t>
      </w:r>
      <w:r>
        <w:t>-semantic.</w:t>
      </w:r>
    </w:p>
    <w:p w14:paraId="7E00217F" w14:textId="77777777" w:rsidR="009A58DB" w:rsidRDefault="00000000">
      <w:pPr>
        <w:pStyle w:val="BodyText"/>
        <w:spacing w:before="20" w:line="249" w:lineRule="auto"/>
        <w:ind w:right="358" w:firstLine="360"/>
      </w:pPr>
      <w:r>
        <w:t xml:space="preserve">But such </w:t>
      </w:r>
      <w:r>
        <w:rPr>
          <w:i/>
        </w:rPr>
        <w:t>pre</w:t>
      </w:r>
      <w:r>
        <w:t xml:space="preserve">-semantic information can have an incalculably profound effect on what is (non-semantically; i.e., non-literally) </w:t>
      </w:r>
      <w:r>
        <w:rPr>
          <w:i/>
        </w:rPr>
        <w:t xml:space="preserve">conveyed </w:t>
      </w:r>
      <w:r>
        <w:t>by utterances. A continuation of our story makes this clear. Right after getting the upsetting phone call, the police call. For some reason, they know about the phone call. They say to me:</w:t>
      </w:r>
    </w:p>
    <w:p w14:paraId="7E002180" w14:textId="77777777" w:rsidR="009A58DB" w:rsidRDefault="00000000">
      <w:pPr>
        <w:pStyle w:val="BodyText"/>
        <w:spacing w:before="96"/>
      </w:pPr>
      <w:r>
        <w:t>(A</w:t>
      </w:r>
      <w:r>
        <w:rPr>
          <w:vertAlign w:val="subscript"/>
        </w:rPr>
        <w:t>1</w:t>
      </w:r>
      <w:r>
        <w:t>)</w:t>
      </w:r>
      <w:r>
        <w:rPr>
          <w:spacing w:val="-1"/>
        </w:rPr>
        <w:t xml:space="preserve"> </w:t>
      </w:r>
      <w:r>
        <w:t>“Phosphorous</w:t>
      </w:r>
      <w:r>
        <w:rPr>
          <w:spacing w:val="-1"/>
        </w:rPr>
        <w:t xml:space="preserve"> </w:t>
      </w:r>
      <w:r>
        <w:t>is</w:t>
      </w:r>
      <w:r>
        <w:rPr>
          <w:spacing w:val="-1"/>
        </w:rPr>
        <w:t xml:space="preserve"> </w:t>
      </w:r>
      <w:r>
        <w:t>a professor</w:t>
      </w:r>
      <w:r>
        <w:rPr>
          <w:spacing w:val="-1"/>
        </w:rPr>
        <w:t xml:space="preserve"> </w:t>
      </w:r>
      <w:r>
        <w:t>of</w:t>
      </w:r>
      <w:r>
        <w:rPr>
          <w:spacing w:val="-1"/>
        </w:rPr>
        <w:t xml:space="preserve"> </w:t>
      </w:r>
      <w:r>
        <w:t>political</w:t>
      </w:r>
      <w:r>
        <w:rPr>
          <w:spacing w:val="-1"/>
        </w:rPr>
        <w:t xml:space="preserve"> </w:t>
      </w:r>
      <w:r>
        <w:rPr>
          <w:spacing w:val="-2"/>
        </w:rPr>
        <w:t>science.”</w:t>
      </w:r>
    </w:p>
    <w:p w14:paraId="7E002181" w14:textId="77777777" w:rsidR="009A58DB" w:rsidRDefault="00000000">
      <w:pPr>
        <w:pStyle w:val="BodyText"/>
        <w:spacing w:before="180" w:line="292" w:lineRule="auto"/>
        <w:ind w:left="615" w:right="380" w:hanging="255"/>
      </w:pPr>
      <w:r>
        <w:t>There is some y such that A</w:t>
      </w:r>
      <w:r>
        <w:rPr>
          <w:vertAlign w:val="subscript"/>
        </w:rPr>
        <w:t>1</w:t>
      </w:r>
      <w:r>
        <w:t xml:space="preserve"> does nothing more than affirm the innocuous proposition that:</w:t>
      </w:r>
    </w:p>
    <w:p w14:paraId="7E002182" w14:textId="77777777" w:rsidR="009A58DB" w:rsidRDefault="00000000">
      <w:pPr>
        <w:pStyle w:val="BodyText"/>
        <w:spacing w:before="43"/>
      </w:pPr>
      <w:r>
        <w:t>(A</w:t>
      </w:r>
      <w:r>
        <w:rPr>
          <w:vertAlign w:val="subscript"/>
        </w:rPr>
        <w:t>2</w:t>
      </w:r>
      <w:r>
        <w:t>)</w:t>
      </w:r>
      <w:r>
        <w:rPr>
          <w:spacing w:val="-1"/>
        </w:rPr>
        <w:t xml:space="preserve"> </w:t>
      </w:r>
      <w:r>
        <w:t>y</w:t>
      </w:r>
      <w:r>
        <w:rPr>
          <w:spacing w:val="1"/>
        </w:rPr>
        <w:t xml:space="preserve"> </w:t>
      </w:r>
      <w:r>
        <w:t>is a professor of political</w:t>
      </w:r>
      <w:r>
        <w:rPr>
          <w:spacing w:val="-1"/>
        </w:rPr>
        <w:t xml:space="preserve"> </w:t>
      </w:r>
      <w:r>
        <w:rPr>
          <w:spacing w:val="-2"/>
        </w:rPr>
        <w:t>science.</w:t>
      </w:r>
    </w:p>
    <w:p w14:paraId="7E002183" w14:textId="77777777" w:rsidR="009A58DB" w:rsidRDefault="00000000">
      <w:pPr>
        <w:pStyle w:val="BodyText"/>
        <w:spacing w:before="165" w:line="249" w:lineRule="auto"/>
        <w:ind w:right="366"/>
      </w:pPr>
      <w:r>
        <w:t>But under the circumstances, what will be conveyed to me is some much richer proposition along the lines of:</w:t>
      </w:r>
    </w:p>
    <w:p w14:paraId="7E002184" w14:textId="77777777" w:rsidR="009A58DB" w:rsidRDefault="00000000">
      <w:pPr>
        <w:pStyle w:val="BodyText"/>
        <w:spacing w:before="108" w:line="271" w:lineRule="auto"/>
        <w:ind w:right="358"/>
      </w:pPr>
      <w:r>
        <w:t>(A</w:t>
      </w:r>
      <w:r>
        <w:rPr>
          <w:vertAlign w:val="subscript"/>
        </w:rPr>
        <w:t>3</w:t>
      </w:r>
      <w:r>
        <w:t>) There is some individual y such that, a little while ago (at around 7:00 P.M., March 14, 2009), y rang me; such that, using a voice-modulation</w:t>
      </w:r>
      <w:r>
        <w:rPr>
          <w:spacing w:val="40"/>
        </w:rPr>
        <w:t xml:space="preserve"> </w:t>
      </w:r>
      <w:r>
        <w:t>device</w:t>
      </w:r>
      <w:r>
        <w:rPr>
          <w:spacing w:val="24"/>
        </w:rPr>
        <w:t xml:space="preserve"> </w:t>
      </w:r>
      <w:r>
        <w:t>to</w:t>
      </w:r>
      <w:r>
        <w:rPr>
          <w:spacing w:val="24"/>
        </w:rPr>
        <w:t xml:space="preserve"> </w:t>
      </w:r>
      <w:r>
        <w:t>disguise</w:t>
      </w:r>
      <w:r>
        <w:rPr>
          <w:spacing w:val="24"/>
        </w:rPr>
        <w:t xml:space="preserve"> </w:t>
      </w:r>
      <w:r>
        <w:t>his</w:t>
      </w:r>
      <w:r>
        <w:rPr>
          <w:spacing w:val="24"/>
        </w:rPr>
        <w:t xml:space="preserve"> </w:t>
      </w:r>
      <w:r>
        <w:t>voice,</w:t>
      </w:r>
      <w:r>
        <w:rPr>
          <w:spacing w:val="24"/>
        </w:rPr>
        <w:t xml:space="preserve"> </w:t>
      </w:r>
      <w:r>
        <w:t>y</w:t>
      </w:r>
      <w:r>
        <w:rPr>
          <w:spacing w:val="24"/>
        </w:rPr>
        <w:t xml:space="preserve"> </w:t>
      </w:r>
      <w:r>
        <w:t>is</w:t>
      </w:r>
      <w:r>
        <w:rPr>
          <w:spacing w:val="24"/>
        </w:rPr>
        <w:t xml:space="preserve"> </w:t>
      </w:r>
      <w:r>
        <w:t>making</w:t>
      </w:r>
      <w:r>
        <w:rPr>
          <w:spacing w:val="24"/>
        </w:rPr>
        <w:t xml:space="preserve"> </w:t>
      </w:r>
      <w:r>
        <w:t>threatening</w:t>
      </w:r>
      <w:r>
        <w:rPr>
          <w:spacing w:val="24"/>
        </w:rPr>
        <w:t xml:space="preserve"> </w:t>
      </w:r>
      <w:r>
        <w:t>statements;</w:t>
      </w:r>
      <w:r>
        <w:rPr>
          <w:spacing w:val="24"/>
        </w:rPr>
        <w:t xml:space="preserve"> </w:t>
      </w:r>
      <w:r>
        <w:t>such</w:t>
      </w:r>
      <w:r>
        <w:rPr>
          <w:spacing w:val="24"/>
        </w:rPr>
        <w:t xml:space="preserve"> </w:t>
      </w:r>
      <w:r>
        <w:t>that</w:t>
      </w:r>
      <w:r>
        <w:rPr>
          <w:spacing w:val="24"/>
        </w:rPr>
        <w:t xml:space="preserve"> </w:t>
      </w:r>
      <w:r>
        <w:t>I</w:t>
      </w:r>
    </w:p>
    <w:p w14:paraId="7E002185"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2186" w14:textId="77777777" w:rsidR="009A58DB" w:rsidRDefault="00000000">
      <w:pPr>
        <w:pStyle w:val="BodyText"/>
        <w:spacing w:before="66" w:line="249" w:lineRule="auto"/>
        <w:ind w:right="364"/>
      </w:pPr>
      <w:r>
        <w:lastRenderedPageBreak/>
        <w:t>am being told, by y himself, that “Phosphorous” is y’s name; and, finally, such that y is a professor of political science.</w:t>
      </w:r>
    </w:p>
    <w:p w14:paraId="7E002187" w14:textId="77777777" w:rsidR="009A58DB" w:rsidRDefault="00000000">
      <w:pPr>
        <w:pStyle w:val="BodyText"/>
        <w:spacing w:before="106" w:line="271" w:lineRule="auto"/>
        <w:ind w:right="359"/>
      </w:pPr>
      <w:r>
        <w:t xml:space="preserve">The pre-semantic information embedded in BPX affects what I </w:t>
      </w:r>
      <w:r>
        <w:rPr>
          <w:i/>
        </w:rPr>
        <w:t xml:space="preserve">take away </w:t>
      </w:r>
      <w:r>
        <w:t>from the policeman’s utterance of L</w:t>
      </w:r>
      <w:r>
        <w:rPr>
          <w:vertAlign w:val="subscript"/>
        </w:rPr>
        <w:t>1</w:t>
      </w:r>
      <w:r>
        <w:t>, even though it is no part of its literal meaning.</w:t>
      </w:r>
      <w:r>
        <w:rPr>
          <w:spacing w:val="-5"/>
        </w:rPr>
        <w:t xml:space="preserve"> </w:t>
      </w:r>
      <w:r>
        <w:t>For</w:t>
      </w:r>
      <w:r>
        <w:rPr>
          <w:spacing w:val="-6"/>
        </w:rPr>
        <w:t xml:space="preserve"> </w:t>
      </w:r>
      <w:r>
        <w:t>exactly</w:t>
      </w:r>
      <w:r>
        <w:rPr>
          <w:spacing w:val="-5"/>
        </w:rPr>
        <w:t xml:space="preserve"> </w:t>
      </w:r>
      <w:r>
        <w:t>similar</w:t>
      </w:r>
      <w:r>
        <w:rPr>
          <w:spacing w:val="-6"/>
        </w:rPr>
        <w:t xml:space="preserve"> </w:t>
      </w:r>
      <w:r>
        <w:t>reasons,</w:t>
      </w:r>
      <w:r>
        <w:rPr>
          <w:spacing w:val="-5"/>
        </w:rPr>
        <w:t xml:space="preserve"> </w:t>
      </w:r>
      <w:r>
        <w:t>the</w:t>
      </w:r>
      <w:r>
        <w:rPr>
          <w:spacing w:val="-6"/>
        </w:rPr>
        <w:t xml:space="preserve"> </w:t>
      </w:r>
      <w:r>
        <w:t>pre-semantic</w:t>
      </w:r>
      <w:r>
        <w:rPr>
          <w:spacing w:val="-6"/>
        </w:rPr>
        <w:t xml:space="preserve"> </w:t>
      </w:r>
      <w:r>
        <w:t>information</w:t>
      </w:r>
      <w:r>
        <w:rPr>
          <w:spacing w:val="-5"/>
        </w:rPr>
        <w:t xml:space="preserve"> </w:t>
      </w:r>
      <w:r>
        <w:t>embedded</w:t>
      </w:r>
    </w:p>
    <w:p w14:paraId="7E002188" w14:textId="77777777" w:rsidR="009A58DB" w:rsidRDefault="00000000">
      <w:pPr>
        <w:pStyle w:val="BodyText"/>
        <w:spacing w:line="316" w:lineRule="exact"/>
      </w:pPr>
      <w:r>
        <w:t>in</w:t>
      </w:r>
      <w:r>
        <w:rPr>
          <w:spacing w:val="-5"/>
        </w:rPr>
        <w:t xml:space="preserve"> </w:t>
      </w:r>
      <w:r>
        <w:t>BHX</w:t>
      </w:r>
      <w:r>
        <w:rPr>
          <w:spacing w:val="-3"/>
        </w:rPr>
        <w:t xml:space="preserve"> </w:t>
      </w:r>
      <w:r>
        <w:t>affects</w:t>
      </w:r>
      <w:r>
        <w:rPr>
          <w:spacing w:val="-3"/>
        </w:rPr>
        <w:t xml:space="preserve"> </w:t>
      </w:r>
      <w:r>
        <w:t>what</w:t>
      </w:r>
      <w:r>
        <w:rPr>
          <w:spacing w:val="-4"/>
        </w:rPr>
        <w:t xml:space="preserve"> </w:t>
      </w:r>
      <w:r>
        <w:t>I</w:t>
      </w:r>
      <w:r>
        <w:rPr>
          <w:spacing w:val="-3"/>
        </w:rPr>
        <w:t xml:space="preserve"> </w:t>
      </w:r>
      <w:r>
        <w:t>would</w:t>
      </w:r>
      <w:r>
        <w:rPr>
          <w:spacing w:val="-2"/>
        </w:rPr>
        <w:t xml:space="preserve"> </w:t>
      </w:r>
      <w:r>
        <w:rPr>
          <w:i/>
        </w:rPr>
        <w:t>take</w:t>
      </w:r>
      <w:r>
        <w:rPr>
          <w:i/>
          <w:spacing w:val="-3"/>
        </w:rPr>
        <w:t xml:space="preserve"> </w:t>
      </w:r>
      <w:r>
        <w:rPr>
          <w:i/>
        </w:rPr>
        <w:t>away</w:t>
      </w:r>
      <w:r>
        <w:rPr>
          <w:i/>
          <w:spacing w:val="-4"/>
        </w:rPr>
        <w:t xml:space="preserve"> </w:t>
      </w:r>
      <w:r>
        <w:t>from</w:t>
      </w:r>
      <w:r>
        <w:rPr>
          <w:spacing w:val="-3"/>
        </w:rPr>
        <w:t xml:space="preserve"> </w:t>
      </w:r>
      <w:r>
        <w:t>an</w:t>
      </w:r>
      <w:r>
        <w:rPr>
          <w:spacing w:val="-2"/>
        </w:rPr>
        <w:t xml:space="preserve"> </w:t>
      </w:r>
      <w:r>
        <w:t>utterance</w:t>
      </w:r>
      <w:r>
        <w:rPr>
          <w:spacing w:val="-3"/>
        </w:rPr>
        <w:t xml:space="preserve"> </w:t>
      </w:r>
      <w:r>
        <w:rPr>
          <w:spacing w:val="-5"/>
        </w:rPr>
        <w:t>of:</w:t>
      </w:r>
    </w:p>
    <w:p w14:paraId="7E002189" w14:textId="77777777" w:rsidR="009A58DB" w:rsidRDefault="00000000">
      <w:pPr>
        <w:pStyle w:val="BodyText"/>
        <w:spacing w:before="105"/>
      </w:pPr>
      <w:r>
        <w:t>(B</w:t>
      </w:r>
      <w:r>
        <w:rPr>
          <w:vertAlign w:val="subscript"/>
        </w:rPr>
        <w:t>1</w:t>
      </w:r>
      <w:r>
        <w:t>)</w:t>
      </w:r>
      <w:r>
        <w:rPr>
          <w:spacing w:val="-1"/>
        </w:rPr>
        <w:t xml:space="preserve"> </w:t>
      </w:r>
      <w:r>
        <w:t>“Hesperus is an</w:t>
      </w:r>
      <w:r>
        <w:rPr>
          <w:spacing w:val="1"/>
        </w:rPr>
        <w:t xml:space="preserve"> </w:t>
      </w:r>
      <w:r>
        <w:t>avid</w:t>
      </w:r>
      <w:r>
        <w:rPr>
          <w:spacing w:val="1"/>
        </w:rPr>
        <w:t xml:space="preserve"> </w:t>
      </w:r>
      <w:r>
        <w:t>tennis</w:t>
      </w:r>
      <w:r>
        <w:rPr>
          <w:spacing w:val="-1"/>
        </w:rPr>
        <w:t xml:space="preserve"> </w:t>
      </w:r>
      <w:r>
        <w:rPr>
          <w:spacing w:val="-2"/>
        </w:rPr>
        <w:t>player.”</w:t>
      </w:r>
    </w:p>
    <w:p w14:paraId="7E00218A" w14:textId="77777777" w:rsidR="009A58DB" w:rsidRDefault="009A58DB">
      <w:pPr>
        <w:pStyle w:val="BodyText"/>
        <w:spacing w:before="195"/>
        <w:ind w:left="0"/>
        <w:jc w:val="left"/>
      </w:pPr>
    </w:p>
    <w:p w14:paraId="7E00218B" w14:textId="77777777" w:rsidR="009A58DB" w:rsidRDefault="00000000">
      <w:pPr>
        <w:pStyle w:val="BodyText"/>
        <w:spacing w:line="292" w:lineRule="auto"/>
        <w:ind w:right="366"/>
      </w:pPr>
      <w:r>
        <w:t>There is some x such that B</w:t>
      </w:r>
      <w:r>
        <w:rPr>
          <w:vertAlign w:val="subscript"/>
        </w:rPr>
        <w:t>1</w:t>
      </w:r>
      <w:r>
        <w:t xml:space="preserve"> does nothing more than affirm the descriptively impoverished proposition that:</w:t>
      </w:r>
    </w:p>
    <w:p w14:paraId="7E00218C" w14:textId="77777777" w:rsidR="009A58DB" w:rsidRDefault="00000000">
      <w:pPr>
        <w:pStyle w:val="BodyText"/>
        <w:spacing w:before="43"/>
      </w:pPr>
      <w:r>
        <w:t>(B</w:t>
      </w:r>
      <w:r>
        <w:rPr>
          <w:vertAlign w:val="subscript"/>
        </w:rPr>
        <w:t>2</w:t>
      </w:r>
      <w:r>
        <w:t>) x</w:t>
      </w:r>
      <w:r>
        <w:rPr>
          <w:spacing w:val="2"/>
        </w:rPr>
        <w:t xml:space="preserve"> </w:t>
      </w:r>
      <w:r>
        <w:t>is</w:t>
      </w:r>
      <w:r>
        <w:rPr>
          <w:spacing w:val="1"/>
        </w:rPr>
        <w:t xml:space="preserve"> </w:t>
      </w:r>
      <w:r>
        <w:t>an</w:t>
      </w:r>
      <w:r>
        <w:rPr>
          <w:spacing w:val="2"/>
        </w:rPr>
        <w:t xml:space="preserve"> </w:t>
      </w:r>
      <w:r>
        <w:t>avid</w:t>
      </w:r>
      <w:r>
        <w:rPr>
          <w:spacing w:val="2"/>
        </w:rPr>
        <w:t xml:space="preserve"> </w:t>
      </w:r>
      <w:r>
        <w:t xml:space="preserve">tennis </w:t>
      </w:r>
      <w:r>
        <w:rPr>
          <w:spacing w:val="-2"/>
        </w:rPr>
        <w:t>player.</w:t>
      </w:r>
    </w:p>
    <w:p w14:paraId="7E00218D" w14:textId="77777777" w:rsidR="009A58DB" w:rsidRDefault="00000000">
      <w:pPr>
        <w:pStyle w:val="BodyText"/>
        <w:spacing w:before="165" w:line="249" w:lineRule="auto"/>
        <w:ind w:right="385" w:firstLine="360"/>
      </w:pPr>
      <w:r>
        <w:t>But under the circumstances, what that utterance conveys to me is some much richer proposition along the lines of:</w:t>
      </w:r>
    </w:p>
    <w:p w14:paraId="7E00218E" w14:textId="77777777" w:rsidR="009A58DB" w:rsidRDefault="00000000">
      <w:pPr>
        <w:pStyle w:val="BodyText"/>
        <w:spacing w:before="108" w:line="271" w:lineRule="auto"/>
        <w:ind w:right="360"/>
      </w:pPr>
      <w:r>
        <w:t>(B</w:t>
      </w:r>
      <w:r>
        <w:rPr>
          <w:vertAlign w:val="subscript"/>
        </w:rPr>
        <w:t>3</w:t>
      </w:r>
      <w:r>
        <w:t>) There is some individual x such, a couple of days ago (March 13, 2009) at about 3:00 P.M., x is standing right in front of me (in my office in Richmond,</w:t>
      </w:r>
      <w:r>
        <w:rPr>
          <w:spacing w:val="63"/>
        </w:rPr>
        <w:t xml:space="preserve"> </w:t>
      </w:r>
      <w:r>
        <w:t>VA);</w:t>
      </w:r>
      <w:r>
        <w:rPr>
          <w:spacing w:val="63"/>
        </w:rPr>
        <w:t xml:space="preserve"> </w:t>
      </w:r>
      <w:r>
        <w:t>such</w:t>
      </w:r>
      <w:r>
        <w:rPr>
          <w:spacing w:val="64"/>
        </w:rPr>
        <w:t xml:space="preserve"> </w:t>
      </w:r>
      <w:r>
        <w:t>that</w:t>
      </w:r>
      <w:r>
        <w:rPr>
          <w:spacing w:val="62"/>
        </w:rPr>
        <w:t xml:space="preserve"> </w:t>
      </w:r>
      <w:r>
        <w:t>x</w:t>
      </w:r>
      <w:r>
        <w:rPr>
          <w:spacing w:val="64"/>
        </w:rPr>
        <w:t xml:space="preserve"> </w:t>
      </w:r>
      <w:r>
        <w:t>has</w:t>
      </w:r>
      <w:r>
        <w:rPr>
          <w:spacing w:val="63"/>
        </w:rPr>
        <w:t xml:space="preserve"> </w:t>
      </w:r>
      <w:r>
        <w:t>such</w:t>
      </w:r>
      <w:r>
        <w:rPr>
          <w:spacing w:val="63"/>
        </w:rPr>
        <w:t xml:space="preserve"> </w:t>
      </w:r>
      <w:r>
        <w:t>and</w:t>
      </w:r>
      <w:r>
        <w:rPr>
          <w:spacing w:val="64"/>
        </w:rPr>
        <w:t xml:space="preserve"> </w:t>
      </w:r>
      <w:r>
        <w:t>such</w:t>
      </w:r>
      <w:r>
        <w:rPr>
          <w:spacing w:val="63"/>
        </w:rPr>
        <w:t xml:space="preserve"> </w:t>
      </w:r>
      <w:r>
        <w:t>characteristics</w:t>
      </w:r>
      <w:r>
        <w:rPr>
          <w:spacing w:val="64"/>
        </w:rPr>
        <w:t xml:space="preserve"> </w:t>
      </w:r>
      <w:r>
        <w:t>(he</w:t>
      </w:r>
      <w:r>
        <w:rPr>
          <w:spacing w:val="63"/>
        </w:rPr>
        <w:t xml:space="preserve"> </w:t>
      </w:r>
      <w:r>
        <w:t>has</w:t>
      </w:r>
      <w:r>
        <w:rPr>
          <w:spacing w:val="64"/>
        </w:rPr>
        <w:t xml:space="preserve"> </w:t>
      </w:r>
      <w:r>
        <w:rPr>
          <w:spacing w:val="-10"/>
        </w:rPr>
        <w:t>a</w:t>
      </w:r>
    </w:p>
    <w:p w14:paraId="7E00218F" w14:textId="77777777" w:rsidR="009A58DB" w:rsidRDefault="00000000">
      <w:pPr>
        <w:pStyle w:val="BodyText"/>
        <w:spacing w:line="316" w:lineRule="exact"/>
      </w:pPr>
      <w:r>
        <w:t>mustache,</w:t>
      </w:r>
      <w:r>
        <w:rPr>
          <w:spacing w:val="23"/>
        </w:rPr>
        <w:t xml:space="preserve"> </w:t>
      </w:r>
      <w:r>
        <w:t>he’s</w:t>
      </w:r>
      <w:r>
        <w:rPr>
          <w:spacing w:val="24"/>
        </w:rPr>
        <w:t xml:space="preserve"> </w:t>
      </w:r>
      <w:r>
        <w:t>over</w:t>
      </w:r>
      <w:r>
        <w:rPr>
          <w:spacing w:val="24"/>
        </w:rPr>
        <w:t xml:space="preserve"> </w:t>
      </w:r>
      <w:r>
        <w:t>6-feet</w:t>
      </w:r>
      <w:r>
        <w:rPr>
          <w:spacing w:val="24"/>
        </w:rPr>
        <w:t xml:space="preserve"> </w:t>
      </w:r>
      <w:r>
        <w:t>tall,</w:t>
      </w:r>
      <w:r>
        <w:rPr>
          <w:spacing w:val="24"/>
        </w:rPr>
        <w:t xml:space="preserve"> </w:t>
      </w:r>
      <w:r>
        <w:t>etc.);</w:t>
      </w:r>
      <w:r>
        <w:rPr>
          <w:spacing w:val="24"/>
        </w:rPr>
        <w:t xml:space="preserve"> </w:t>
      </w:r>
      <w:r>
        <w:t>such</w:t>
      </w:r>
      <w:r>
        <w:rPr>
          <w:spacing w:val="24"/>
        </w:rPr>
        <w:t xml:space="preserve"> </w:t>
      </w:r>
      <w:r>
        <w:t>that</w:t>
      </w:r>
      <w:r>
        <w:rPr>
          <w:spacing w:val="24"/>
        </w:rPr>
        <w:t xml:space="preserve"> </w:t>
      </w:r>
      <w:r>
        <w:t>“Hesperus”</w:t>
      </w:r>
      <w:r>
        <w:rPr>
          <w:spacing w:val="24"/>
        </w:rPr>
        <w:t xml:space="preserve"> </w:t>
      </w:r>
      <w:r>
        <w:t>is</w:t>
      </w:r>
      <w:r>
        <w:rPr>
          <w:spacing w:val="24"/>
        </w:rPr>
        <w:t xml:space="preserve"> </w:t>
      </w:r>
      <w:r>
        <w:t>x’s</w:t>
      </w:r>
      <w:r>
        <w:rPr>
          <w:spacing w:val="24"/>
        </w:rPr>
        <w:t xml:space="preserve"> </w:t>
      </w:r>
      <w:r>
        <w:t>name;</w:t>
      </w:r>
      <w:r>
        <w:rPr>
          <w:spacing w:val="24"/>
        </w:rPr>
        <w:t xml:space="preserve"> </w:t>
      </w:r>
      <w:r>
        <w:rPr>
          <w:spacing w:val="-5"/>
        </w:rPr>
        <w:t>and</w:t>
      </w:r>
    </w:p>
    <w:p w14:paraId="7E002190" w14:textId="77777777" w:rsidR="009A58DB" w:rsidRDefault="00000000">
      <w:pPr>
        <w:pStyle w:val="BodyText"/>
        <w:spacing w:before="15"/>
      </w:pPr>
      <w:r>
        <w:t>such</w:t>
      </w:r>
      <w:r>
        <w:rPr>
          <w:spacing w:val="-3"/>
        </w:rPr>
        <w:t xml:space="preserve"> </w:t>
      </w:r>
      <w:r>
        <w:t>that</w:t>
      </w:r>
      <w:r>
        <w:rPr>
          <w:spacing w:val="-3"/>
        </w:rPr>
        <w:t xml:space="preserve"> </w:t>
      </w:r>
      <w:r>
        <w:t>x</w:t>
      </w:r>
      <w:r>
        <w:rPr>
          <w:spacing w:val="-2"/>
        </w:rPr>
        <w:t xml:space="preserve"> </w:t>
      </w:r>
      <w:r>
        <w:t>is</w:t>
      </w:r>
      <w:r>
        <w:rPr>
          <w:spacing w:val="-4"/>
        </w:rPr>
        <w:t xml:space="preserve"> </w:t>
      </w:r>
      <w:r>
        <w:t>a</w:t>
      </w:r>
      <w:r>
        <w:rPr>
          <w:spacing w:val="-3"/>
        </w:rPr>
        <w:t xml:space="preserve"> </w:t>
      </w:r>
      <w:r>
        <w:t>political</w:t>
      </w:r>
      <w:r>
        <w:rPr>
          <w:spacing w:val="-3"/>
        </w:rPr>
        <w:t xml:space="preserve"> </w:t>
      </w:r>
      <w:r>
        <w:t>science</w:t>
      </w:r>
      <w:r>
        <w:rPr>
          <w:spacing w:val="-3"/>
        </w:rPr>
        <w:t xml:space="preserve"> </w:t>
      </w:r>
      <w:r>
        <w:rPr>
          <w:spacing w:val="-2"/>
        </w:rPr>
        <w:t>professor.</w:t>
      </w:r>
    </w:p>
    <w:p w14:paraId="7E002191" w14:textId="77777777" w:rsidR="009A58DB" w:rsidRDefault="00000000">
      <w:pPr>
        <w:pStyle w:val="BodyText"/>
        <w:spacing w:before="120" w:line="249" w:lineRule="auto"/>
        <w:ind w:right="358" w:firstLine="360"/>
      </w:pPr>
      <w:r>
        <w:t xml:space="preserve">We need only add one finishing touch to our story to see what’s wrong with Kripke’s reasoning. The police arrest Phosphorous. They ask me to come down to the station to talk to them. They point to Phosphorous (who is handcuffed) and say: “that’s Phosphorous.” Phosphorous, I now see, is none other than Hesperus. The man I see is the mustachioed man I met a few days earlier. The police then say: “Phosphorous also goes by the name of Hesperus. His legal name is ‘Hesperus Phosphorous.’ But he tends to introduce himself as either ‘Hesperus’ or ‘Phosphorous.’ In any case, </w:t>
      </w:r>
      <w:r>
        <w:rPr>
          <w:i/>
        </w:rPr>
        <w:t>Hesperus is Phosphorous.</w:t>
      </w:r>
      <w:r>
        <w:t xml:space="preserve">” The italicized sentence is none other than HIP, of </w:t>
      </w:r>
      <w:r>
        <w:rPr>
          <w:spacing w:val="-2"/>
        </w:rPr>
        <w:t>course.</w:t>
      </w:r>
    </w:p>
    <w:p w14:paraId="7E002192" w14:textId="77777777" w:rsidR="009A58DB" w:rsidRDefault="00000000">
      <w:pPr>
        <w:pStyle w:val="BodyText"/>
        <w:spacing w:before="102"/>
        <w:ind w:left="720"/>
        <w:rPr>
          <w:i/>
        </w:rPr>
      </w:pPr>
      <w:r>
        <w:t>Given</w:t>
      </w:r>
      <w:r>
        <w:rPr>
          <w:spacing w:val="54"/>
        </w:rPr>
        <w:t xml:space="preserve"> </w:t>
      </w:r>
      <w:r>
        <w:t>what</w:t>
      </w:r>
      <w:r>
        <w:rPr>
          <w:spacing w:val="54"/>
        </w:rPr>
        <w:t xml:space="preserve"> </w:t>
      </w:r>
      <w:r>
        <w:t>we’ve</w:t>
      </w:r>
      <w:r>
        <w:rPr>
          <w:spacing w:val="54"/>
        </w:rPr>
        <w:t xml:space="preserve"> </w:t>
      </w:r>
      <w:r>
        <w:t>already</w:t>
      </w:r>
      <w:r>
        <w:rPr>
          <w:spacing w:val="55"/>
        </w:rPr>
        <w:t xml:space="preserve"> </w:t>
      </w:r>
      <w:r>
        <w:t>learned,</w:t>
      </w:r>
      <w:r>
        <w:rPr>
          <w:spacing w:val="54"/>
        </w:rPr>
        <w:t xml:space="preserve"> </w:t>
      </w:r>
      <w:r>
        <w:t>it’s</w:t>
      </w:r>
      <w:r>
        <w:rPr>
          <w:spacing w:val="54"/>
        </w:rPr>
        <w:t xml:space="preserve"> </w:t>
      </w:r>
      <w:r>
        <w:t>obvious</w:t>
      </w:r>
      <w:r>
        <w:rPr>
          <w:spacing w:val="54"/>
        </w:rPr>
        <w:t xml:space="preserve"> </w:t>
      </w:r>
      <w:r>
        <w:t>that</w:t>
      </w:r>
      <w:r>
        <w:rPr>
          <w:spacing w:val="55"/>
        </w:rPr>
        <w:t xml:space="preserve"> </w:t>
      </w:r>
      <w:r>
        <w:t>there</w:t>
      </w:r>
      <w:r>
        <w:rPr>
          <w:spacing w:val="54"/>
        </w:rPr>
        <w:t xml:space="preserve"> </w:t>
      </w:r>
      <w:r>
        <w:t>is</w:t>
      </w:r>
      <w:r>
        <w:rPr>
          <w:spacing w:val="54"/>
        </w:rPr>
        <w:t xml:space="preserve"> </w:t>
      </w:r>
      <w:r>
        <w:t>some</w:t>
      </w:r>
      <w:r>
        <w:rPr>
          <w:spacing w:val="55"/>
        </w:rPr>
        <w:t xml:space="preserve"> </w:t>
      </w:r>
      <w:r>
        <w:rPr>
          <w:i/>
          <w:spacing w:val="-5"/>
        </w:rPr>
        <w:t>one</w:t>
      </w:r>
    </w:p>
    <w:p w14:paraId="7E002193" w14:textId="77777777" w:rsidR="009A58DB" w:rsidRDefault="00000000">
      <w:pPr>
        <w:pStyle w:val="BodyText"/>
        <w:spacing w:before="15"/>
      </w:pPr>
      <w:r>
        <w:t>individual</w:t>
      </w:r>
      <w:r>
        <w:rPr>
          <w:spacing w:val="-6"/>
        </w:rPr>
        <w:t xml:space="preserve"> </w:t>
      </w:r>
      <w:r>
        <w:t>z</w:t>
      </w:r>
      <w:r>
        <w:rPr>
          <w:spacing w:val="-3"/>
        </w:rPr>
        <w:t xml:space="preserve"> </w:t>
      </w:r>
      <w:r>
        <w:t>such</w:t>
      </w:r>
      <w:r>
        <w:rPr>
          <w:spacing w:val="-3"/>
        </w:rPr>
        <w:t xml:space="preserve"> </w:t>
      </w:r>
      <w:r>
        <w:t>that</w:t>
      </w:r>
      <w:r>
        <w:rPr>
          <w:spacing w:val="-3"/>
        </w:rPr>
        <w:t xml:space="preserve"> </w:t>
      </w:r>
      <w:r>
        <w:t>this</w:t>
      </w:r>
      <w:r>
        <w:rPr>
          <w:spacing w:val="-3"/>
        </w:rPr>
        <w:t xml:space="preserve"> </w:t>
      </w:r>
      <w:r>
        <w:t>utterance</w:t>
      </w:r>
      <w:r>
        <w:rPr>
          <w:spacing w:val="-4"/>
        </w:rPr>
        <w:t xml:space="preserve"> </w:t>
      </w:r>
      <w:r>
        <w:t>of</w:t>
      </w:r>
      <w:r>
        <w:rPr>
          <w:spacing w:val="-3"/>
        </w:rPr>
        <w:t xml:space="preserve"> </w:t>
      </w:r>
      <w:r>
        <w:t>HIP</w:t>
      </w:r>
      <w:r>
        <w:rPr>
          <w:spacing w:val="-3"/>
        </w:rPr>
        <w:t xml:space="preserve"> </w:t>
      </w:r>
      <w:r>
        <w:t>is</w:t>
      </w:r>
      <w:r>
        <w:rPr>
          <w:spacing w:val="-4"/>
        </w:rPr>
        <w:t xml:space="preserve"> </w:t>
      </w:r>
      <w:r>
        <w:t>true</w:t>
      </w:r>
      <w:r>
        <w:rPr>
          <w:spacing w:val="-3"/>
        </w:rPr>
        <w:t xml:space="preserve"> </w:t>
      </w:r>
      <w:r>
        <w:t>exactly</w:t>
      </w:r>
      <w:r>
        <w:rPr>
          <w:spacing w:val="-2"/>
        </w:rPr>
        <w:t xml:space="preserve"> </w:t>
      </w:r>
      <w:r>
        <w:rPr>
          <w:spacing w:val="-5"/>
        </w:rPr>
        <w:t>if:</w:t>
      </w:r>
    </w:p>
    <w:p w14:paraId="7E002194" w14:textId="77777777" w:rsidR="009A58DB" w:rsidRDefault="00000000">
      <w:pPr>
        <w:pStyle w:val="BodyText"/>
        <w:spacing w:before="120"/>
      </w:pPr>
      <w:r>
        <w:t>(K)</w:t>
      </w:r>
      <w:r>
        <w:rPr>
          <w:spacing w:val="-4"/>
        </w:rPr>
        <w:t xml:space="preserve"> </w:t>
      </w:r>
      <w:r>
        <w:t>z</w:t>
      </w:r>
      <w:r>
        <w:rPr>
          <w:spacing w:val="-3"/>
        </w:rPr>
        <w:t xml:space="preserve"> </w:t>
      </w:r>
      <w:r>
        <w:t>is</w:t>
      </w:r>
      <w:r>
        <w:rPr>
          <w:spacing w:val="-4"/>
        </w:rPr>
        <w:t xml:space="preserve"> </w:t>
      </w:r>
      <w:r>
        <w:t>identical</w:t>
      </w:r>
      <w:r>
        <w:rPr>
          <w:spacing w:val="-3"/>
        </w:rPr>
        <w:t xml:space="preserve"> </w:t>
      </w:r>
      <w:r>
        <w:t>with</w:t>
      </w:r>
      <w:r>
        <w:rPr>
          <w:spacing w:val="-2"/>
        </w:rPr>
        <w:t xml:space="preserve"> </w:t>
      </w:r>
      <w:r>
        <w:rPr>
          <w:spacing w:val="-5"/>
        </w:rPr>
        <w:t>z.</w:t>
      </w:r>
    </w:p>
    <w:p w14:paraId="7E002195" w14:textId="77777777" w:rsidR="009A58DB" w:rsidRDefault="00000000">
      <w:pPr>
        <w:pStyle w:val="BodyText"/>
        <w:spacing w:before="120"/>
        <w:ind w:left="720"/>
      </w:pPr>
      <w:r>
        <w:t>Any</w:t>
      </w:r>
      <w:r>
        <w:rPr>
          <w:spacing w:val="44"/>
        </w:rPr>
        <w:t xml:space="preserve"> </w:t>
      </w:r>
      <w:r>
        <w:t>proposition</w:t>
      </w:r>
      <w:r>
        <w:rPr>
          <w:spacing w:val="47"/>
        </w:rPr>
        <w:t xml:space="preserve"> </w:t>
      </w:r>
      <w:r>
        <w:t>of</w:t>
      </w:r>
      <w:r>
        <w:rPr>
          <w:spacing w:val="47"/>
        </w:rPr>
        <w:t xml:space="preserve"> </w:t>
      </w:r>
      <w:r>
        <w:t>that</w:t>
      </w:r>
      <w:r>
        <w:rPr>
          <w:spacing w:val="47"/>
        </w:rPr>
        <w:t xml:space="preserve"> </w:t>
      </w:r>
      <w:r>
        <w:t>form</w:t>
      </w:r>
      <w:r>
        <w:rPr>
          <w:spacing w:val="46"/>
        </w:rPr>
        <w:t xml:space="preserve"> </w:t>
      </w:r>
      <w:r>
        <w:t>is</w:t>
      </w:r>
      <w:r>
        <w:rPr>
          <w:spacing w:val="47"/>
        </w:rPr>
        <w:t xml:space="preserve"> </w:t>
      </w:r>
      <w:r>
        <w:t>trivial.</w:t>
      </w:r>
      <w:r>
        <w:rPr>
          <w:spacing w:val="47"/>
        </w:rPr>
        <w:t xml:space="preserve"> </w:t>
      </w:r>
      <w:r>
        <w:t>It</w:t>
      </w:r>
      <w:r>
        <w:rPr>
          <w:spacing w:val="47"/>
        </w:rPr>
        <w:t xml:space="preserve"> </w:t>
      </w:r>
      <w:r>
        <w:t>is</w:t>
      </w:r>
      <w:r>
        <w:rPr>
          <w:spacing w:val="47"/>
        </w:rPr>
        <w:t xml:space="preserve"> </w:t>
      </w:r>
      <w:r>
        <w:t>always</w:t>
      </w:r>
      <w:r>
        <w:rPr>
          <w:spacing w:val="46"/>
        </w:rPr>
        <w:t xml:space="preserve"> </w:t>
      </w:r>
      <w:r>
        <w:t>trivial</w:t>
      </w:r>
      <w:r>
        <w:rPr>
          <w:spacing w:val="47"/>
        </w:rPr>
        <w:t xml:space="preserve"> </w:t>
      </w:r>
      <w:r>
        <w:t>to</w:t>
      </w:r>
      <w:r>
        <w:rPr>
          <w:spacing w:val="47"/>
        </w:rPr>
        <w:t xml:space="preserve"> </w:t>
      </w:r>
      <w:r>
        <w:t>say</w:t>
      </w:r>
      <w:r>
        <w:rPr>
          <w:spacing w:val="47"/>
        </w:rPr>
        <w:t xml:space="preserve"> </w:t>
      </w:r>
      <w:r>
        <w:t>of</w:t>
      </w:r>
      <w:r>
        <w:rPr>
          <w:spacing w:val="47"/>
        </w:rPr>
        <w:t xml:space="preserve"> </w:t>
      </w:r>
      <w:r>
        <w:rPr>
          <w:spacing w:val="-5"/>
        </w:rPr>
        <w:t>an</w:t>
      </w:r>
    </w:p>
    <w:p w14:paraId="7E002196" w14:textId="77777777" w:rsidR="009A58DB" w:rsidRDefault="009A58DB">
      <w:pPr>
        <w:pStyle w:val="BodyText"/>
        <w:sectPr w:rsidR="009A58DB">
          <w:pgSz w:w="12240" w:h="15840"/>
          <w:pgMar w:top="1380" w:right="1080" w:bottom="280" w:left="1080" w:header="720" w:footer="720" w:gutter="0"/>
          <w:cols w:space="720"/>
        </w:sectPr>
      </w:pPr>
    </w:p>
    <w:p w14:paraId="7E002197" w14:textId="77777777" w:rsidR="009A58DB" w:rsidRDefault="00000000">
      <w:pPr>
        <w:pStyle w:val="BodyText"/>
        <w:spacing w:before="71" w:line="249" w:lineRule="auto"/>
        <w:ind w:right="358"/>
      </w:pPr>
      <w:r>
        <w:lastRenderedPageBreak/>
        <w:t>object that it is identical with itself. But by obvious extensions of what we said</w:t>
      </w:r>
      <w:r>
        <w:rPr>
          <w:spacing w:val="-3"/>
        </w:rPr>
        <w:t xml:space="preserve"> </w:t>
      </w:r>
      <w:r>
        <w:t>a</w:t>
      </w:r>
      <w:r>
        <w:rPr>
          <w:spacing w:val="-2"/>
        </w:rPr>
        <w:t xml:space="preserve"> </w:t>
      </w:r>
      <w:r>
        <w:t>moment</w:t>
      </w:r>
      <w:r>
        <w:rPr>
          <w:spacing w:val="-3"/>
        </w:rPr>
        <w:t xml:space="preserve"> </w:t>
      </w:r>
      <w:r>
        <w:t>ago,</w:t>
      </w:r>
      <w:r>
        <w:rPr>
          <w:spacing w:val="-2"/>
        </w:rPr>
        <w:t xml:space="preserve"> </w:t>
      </w:r>
      <w:r>
        <w:t>when</w:t>
      </w:r>
      <w:r>
        <w:rPr>
          <w:spacing w:val="-3"/>
        </w:rPr>
        <w:t xml:space="preserve"> </w:t>
      </w:r>
      <w:r>
        <w:t>I</w:t>
      </w:r>
      <w:r>
        <w:rPr>
          <w:spacing w:val="-2"/>
        </w:rPr>
        <w:t xml:space="preserve"> </w:t>
      </w:r>
      <w:r>
        <w:t>hear</w:t>
      </w:r>
      <w:r>
        <w:rPr>
          <w:spacing w:val="-2"/>
        </w:rPr>
        <w:t xml:space="preserve"> </w:t>
      </w:r>
      <w:r>
        <w:t>the</w:t>
      </w:r>
      <w:r>
        <w:rPr>
          <w:spacing w:val="-3"/>
        </w:rPr>
        <w:t xml:space="preserve"> </w:t>
      </w:r>
      <w:r>
        <w:t>policeman’s</w:t>
      </w:r>
      <w:r>
        <w:rPr>
          <w:spacing w:val="-2"/>
        </w:rPr>
        <w:t xml:space="preserve"> </w:t>
      </w:r>
      <w:r>
        <w:t>utterance</w:t>
      </w:r>
      <w:r>
        <w:rPr>
          <w:spacing w:val="-3"/>
        </w:rPr>
        <w:t xml:space="preserve"> </w:t>
      </w:r>
      <w:r>
        <w:t>of</w:t>
      </w:r>
      <w:r>
        <w:rPr>
          <w:spacing w:val="-2"/>
        </w:rPr>
        <w:t xml:space="preserve"> </w:t>
      </w:r>
      <w:r>
        <w:t>HIP,</w:t>
      </w:r>
      <w:r>
        <w:rPr>
          <w:spacing w:val="-3"/>
        </w:rPr>
        <w:t xml:space="preserve"> </w:t>
      </w:r>
      <w:r>
        <w:t>what</w:t>
      </w:r>
      <w:r>
        <w:rPr>
          <w:spacing w:val="-2"/>
        </w:rPr>
        <w:t xml:space="preserve"> </w:t>
      </w:r>
      <w:r>
        <w:t>I</w:t>
      </w:r>
      <w:r>
        <w:rPr>
          <w:spacing w:val="-2"/>
        </w:rPr>
        <w:t xml:space="preserve"> </w:t>
      </w:r>
      <w:r>
        <w:rPr>
          <w:i/>
        </w:rPr>
        <w:t xml:space="preserve">take </w:t>
      </w:r>
      <w:r>
        <w:t xml:space="preserve">away from it—what it (non-literally) </w:t>
      </w:r>
      <w:r>
        <w:rPr>
          <w:i/>
        </w:rPr>
        <w:t xml:space="preserve">conveys </w:t>
      </w:r>
      <w:r>
        <w:t>to me, given the pre-semantic information at my disposal—won’t be at all trivial, as it will be along the lines of:</w:t>
      </w:r>
    </w:p>
    <w:p w14:paraId="7E002198" w14:textId="77777777" w:rsidR="009A58DB" w:rsidRDefault="00000000">
      <w:pPr>
        <w:pStyle w:val="BodyText"/>
        <w:spacing w:before="105" w:line="271" w:lineRule="auto"/>
        <w:ind w:right="358"/>
      </w:pPr>
      <w:r>
        <w:t>(K</w:t>
      </w:r>
      <w:r>
        <w:rPr>
          <w:vertAlign w:val="subscript"/>
        </w:rPr>
        <w:t>2</w:t>
      </w:r>
      <w:r>
        <w:t>) There is some individual x such, a couple of days ago (March 13, 2009) at about 3:00 P.M., x is standing right in front of me (in my office in Richmond,</w:t>
      </w:r>
      <w:r>
        <w:rPr>
          <w:spacing w:val="70"/>
        </w:rPr>
        <w:t xml:space="preserve"> </w:t>
      </w:r>
      <w:r>
        <w:t>VA;</w:t>
      </w:r>
      <w:r>
        <w:rPr>
          <w:spacing w:val="71"/>
        </w:rPr>
        <w:t xml:space="preserve"> </w:t>
      </w:r>
      <w:r>
        <w:t>such</w:t>
      </w:r>
      <w:r>
        <w:rPr>
          <w:spacing w:val="73"/>
        </w:rPr>
        <w:t xml:space="preserve"> </w:t>
      </w:r>
      <w:r>
        <w:t>that</w:t>
      </w:r>
      <w:r>
        <w:rPr>
          <w:spacing w:val="71"/>
        </w:rPr>
        <w:t xml:space="preserve"> </w:t>
      </w:r>
      <w:r>
        <w:t>x</w:t>
      </w:r>
      <w:r>
        <w:rPr>
          <w:spacing w:val="73"/>
        </w:rPr>
        <w:t xml:space="preserve"> </w:t>
      </w:r>
      <w:r>
        <w:t>has</w:t>
      </w:r>
      <w:r>
        <w:rPr>
          <w:spacing w:val="71"/>
        </w:rPr>
        <w:t xml:space="preserve"> </w:t>
      </w:r>
      <w:r>
        <w:t>such</w:t>
      </w:r>
      <w:r>
        <w:rPr>
          <w:spacing w:val="72"/>
        </w:rPr>
        <w:t xml:space="preserve"> </w:t>
      </w:r>
      <w:r>
        <w:t>and</w:t>
      </w:r>
      <w:r>
        <w:rPr>
          <w:spacing w:val="73"/>
        </w:rPr>
        <w:t xml:space="preserve"> </w:t>
      </w:r>
      <w:r>
        <w:t>such</w:t>
      </w:r>
      <w:r>
        <w:rPr>
          <w:spacing w:val="72"/>
        </w:rPr>
        <w:t xml:space="preserve"> </w:t>
      </w:r>
      <w:r>
        <w:t>characteristics</w:t>
      </w:r>
      <w:r>
        <w:rPr>
          <w:spacing w:val="72"/>
        </w:rPr>
        <w:t xml:space="preserve"> </w:t>
      </w:r>
      <w:r>
        <w:t>(he</w:t>
      </w:r>
      <w:r>
        <w:rPr>
          <w:spacing w:val="71"/>
        </w:rPr>
        <w:t xml:space="preserve"> </w:t>
      </w:r>
      <w:r>
        <w:t>has</w:t>
      </w:r>
      <w:r>
        <w:rPr>
          <w:spacing w:val="72"/>
        </w:rPr>
        <w:t xml:space="preserve"> </w:t>
      </w:r>
      <w:r>
        <w:rPr>
          <w:spacing w:val="-10"/>
        </w:rPr>
        <w:t>a</w:t>
      </w:r>
    </w:p>
    <w:p w14:paraId="7E002199" w14:textId="77777777" w:rsidR="009A58DB" w:rsidRDefault="00000000">
      <w:pPr>
        <w:pStyle w:val="BodyText"/>
        <w:spacing w:line="316" w:lineRule="exact"/>
      </w:pPr>
      <w:r>
        <w:t>mustache,</w:t>
      </w:r>
      <w:r>
        <w:rPr>
          <w:spacing w:val="23"/>
        </w:rPr>
        <w:t xml:space="preserve"> </w:t>
      </w:r>
      <w:r>
        <w:t>he’s</w:t>
      </w:r>
      <w:r>
        <w:rPr>
          <w:spacing w:val="24"/>
        </w:rPr>
        <w:t xml:space="preserve"> </w:t>
      </w:r>
      <w:r>
        <w:t>over</w:t>
      </w:r>
      <w:r>
        <w:rPr>
          <w:spacing w:val="24"/>
        </w:rPr>
        <w:t xml:space="preserve"> </w:t>
      </w:r>
      <w:r>
        <w:t>6-feet</w:t>
      </w:r>
      <w:r>
        <w:rPr>
          <w:spacing w:val="24"/>
        </w:rPr>
        <w:t xml:space="preserve"> </w:t>
      </w:r>
      <w:r>
        <w:t>tall,</w:t>
      </w:r>
      <w:r>
        <w:rPr>
          <w:spacing w:val="24"/>
        </w:rPr>
        <w:t xml:space="preserve"> </w:t>
      </w:r>
      <w:r>
        <w:t>etc.);</w:t>
      </w:r>
      <w:r>
        <w:rPr>
          <w:spacing w:val="24"/>
        </w:rPr>
        <w:t xml:space="preserve"> </w:t>
      </w:r>
      <w:r>
        <w:t>such</w:t>
      </w:r>
      <w:r>
        <w:rPr>
          <w:spacing w:val="24"/>
        </w:rPr>
        <w:t xml:space="preserve"> </w:t>
      </w:r>
      <w:r>
        <w:t>that</w:t>
      </w:r>
      <w:r>
        <w:rPr>
          <w:spacing w:val="24"/>
        </w:rPr>
        <w:t xml:space="preserve"> </w:t>
      </w:r>
      <w:r>
        <w:t>“Hesperus”</w:t>
      </w:r>
      <w:r>
        <w:rPr>
          <w:spacing w:val="24"/>
        </w:rPr>
        <w:t xml:space="preserve"> </w:t>
      </w:r>
      <w:r>
        <w:t>is</w:t>
      </w:r>
      <w:r>
        <w:rPr>
          <w:spacing w:val="24"/>
        </w:rPr>
        <w:t xml:space="preserve"> </w:t>
      </w:r>
      <w:r>
        <w:t>x’s</w:t>
      </w:r>
      <w:r>
        <w:rPr>
          <w:spacing w:val="24"/>
        </w:rPr>
        <w:t xml:space="preserve"> </w:t>
      </w:r>
      <w:r>
        <w:t>name;</w:t>
      </w:r>
      <w:r>
        <w:rPr>
          <w:spacing w:val="24"/>
        </w:rPr>
        <w:t xml:space="preserve"> </w:t>
      </w:r>
      <w:r>
        <w:rPr>
          <w:spacing w:val="-5"/>
        </w:rPr>
        <w:t>and</w:t>
      </w:r>
    </w:p>
    <w:p w14:paraId="7E00219A" w14:textId="77777777" w:rsidR="009A58DB" w:rsidRDefault="00000000">
      <w:pPr>
        <w:pStyle w:val="BodyText"/>
        <w:spacing w:before="15" w:line="249" w:lineRule="auto"/>
        <w:ind w:right="359"/>
      </w:pPr>
      <w:r>
        <w:t>such that x is a political science professor; and there is some individual y</w:t>
      </w:r>
      <w:r>
        <w:rPr>
          <w:spacing w:val="40"/>
        </w:rPr>
        <w:t xml:space="preserve"> </w:t>
      </w:r>
      <w:r>
        <w:t xml:space="preserve">such that, a few hours ago (at around 7:00 </w:t>
      </w:r>
      <w:r>
        <w:rPr>
          <w:sz w:val="22"/>
        </w:rPr>
        <w:t>P</w:t>
      </w:r>
      <w:r>
        <w:t>.</w:t>
      </w:r>
      <w:r>
        <w:rPr>
          <w:sz w:val="22"/>
        </w:rPr>
        <w:t>M</w:t>
      </w:r>
      <w:r>
        <w:t xml:space="preserve">., March 14, 2009), y rang me; such that, using a voice-modulation device to disguise his voice, y is making threatening statements; such that I was told by y himself that “Phosphorous” is y’s name; and such that y is a professor of political science; moreover, I have just learned from the police that x </w:t>
      </w:r>
      <w:r>
        <w:rPr>
          <w:i/>
        </w:rPr>
        <w:t xml:space="preserve">is </w:t>
      </w:r>
      <w:r>
        <w:t>y.</w:t>
      </w:r>
    </w:p>
    <w:p w14:paraId="7E00219B" w14:textId="77777777" w:rsidR="009A58DB" w:rsidRDefault="00000000">
      <w:pPr>
        <w:spacing w:before="97" w:line="271" w:lineRule="auto"/>
        <w:ind w:left="360" w:right="359" w:firstLine="360"/>
        <w:jc w:val="both"/>
        <w:rPr>
          <w:sz w:val="30"/>
        </w:rPr>
      </w:pPr>
      <w:r>
        <w:rPr>
          <w:sz w:val="30"/>
        </w:rPr>
        <w:t>K</w:t>
      </w:r>
      <w:r>
        <w:rPr>
          <w:sz w:val="30"/>
          <w:vertAlign w:val="subscript"/>
        </w:rPr>
        <w:t>2</w:t>
      </w:r>
      <w:r>
        <w:rPr>
          <w:spacing w:val="-1"/>
          <w:sz w:val="30"/>
        </w:rPr>
        <w:t xml:space="preserve"> </w:t>
      </w:r>
      <w:r>
        <w:rPr>
          <w:sz w:val="30"/>
        </w:rPr>
        <w:t>is</w:t>
      </w:r>
      <w:r>
        <w:rPr>
          <w:spacing w:val="-2"/>
          <w:sz w:val="30"/>
        </w:rPr>
        <w:t xml:space="preserve"> </w:t>
      </w:r>
      <w:r>
        <w:rPr>
          <w:sz w:val="30"/>
        </w:rPr>
        <w:t>an</w:t>
      </w:r>
      <w:r>
        <w:rPr>
          <w:spacing w:val="-1"/>
          <w:sz w:val="30"/>
        </w:rPr>
        <w:t xml:space="preserve"> </w:t>
      </w:r>
      <w:r>
        <w:rPr>
          <w:sz w:val="30"/>
        </w:rPr>
        <w:t>empirical</w:t>
      </w:r>
      <w:r>
        <w:rPr>
          <w:spacing w:val="-2"/>
          <w:sz w:val="30"/>
        </w:rPr>
        <w:t xml:space="preserve"> </w:t>
      </w:r>
      <w:r>
        <w:rPr>
          <w:sz w:val="30"/>
        </w:rPr>
        <w:t>proposition;</w:t>
      </w:r>
      <w:r>
        <w:rPr>
          <w:spacing w:val="-2"/>
          <w:sz w:val="30"/>
        </w:rPr>
        <w:t xml:space="preserve"> </w:t>
      </w:r>
      <w:r>
        <w:rPr>
          <w:sz w:val="30"/>
        </w:rPr>
        <w:t>it</w:t>
      </w:r>
      <w:r>
        <w:rPr>
          <w:spacing w:val="-2"/>
          <w:sz w:val="30"/>
        </w:rPr>
        <w:t xml:space="preserve"> </w:t>
      </w:r>
      <w:r>
        <w:rPr>
          <w:sz w:val="30"/>
        </w:rPr>
        <w:t>isn’t</w:t>
      </w:r>
      <w:r>
        <w:rPr>
          <w:spacing w:val="-2"/>
          <w:sz w:val="30"/>
        </w:rPr>
        <w:t xml:space="preserve"> </w:t>
      </w:r>
      <w:r>
        <w:rPr>
          <w:sz w:val="30"/>
        </w:rPr>
        <w:t>analytic;</w:t>
      </w:r>
      <w:r>
        <w:rPr>
          <w:spacing w:val="-2"/>
          <w:sz w:val="30"/>
        </w:rPr>
        <w:t xml:space="preserve"> </w:t>
      </w:r>
      <w:r>
        <w:rPr>
          <w:sz w:val="30"/>
        </w:rPr>
        <w:t>a</w:t>
      </w:r>
      <w:r>
        <w:rPr>
          <w:spacing w:val="-2"/>
          <w:sz w:val="30"/>
        </w:rPr>
        <w:t xml:space="preserve"> </w:t>
      </w:r>
      <w:r>
        <w:rPr>
          <w:sz w:val="30"/>
        </w:rPr>
        <w:t>fortiori</w:t>
      </w:r>
      <w:r>
        <w:rPr>
          <w:spacing w:val="-2"/>
          <w:sz w:val="30"/>
        </w:rPr>
        <w:t xml:space="preserve"> </w:t>
      </w:r>
      <w:r>
        <w:rPr>
          <w:sz w:val="30"/>
        </w:rPr>
        <w:t>it</w:t>
      </w:r>
      <w:r>
        <w:rPr>
          <w:spacing w:val="-2"/>
          <w:sz w:val="30"/>
        </w:rPr>
        <w:t xml:space="preserve"> </w:t>
      </w:r>
      <w:r>
        <w:rPr>
          <w:sz w:val="30"/>
        </w:rPr>
        <w:t>isn’t</w:t>
      </w:r>
      <w:r>
        <w:rPr>
          <w:spacing w:val="-2"/>
          <w:sz w:val="30"/>
        </w:rPr>
        <w:t xml:space="preserve"> </w:t>
      </w:r>
      <w:r>
        <w:rPr>
          <w:sz w:val="30"/>
        </w:rPr>
        <w:t>trivial.</w:t>
      </w:r>
      <w:r>
        <w:rPr>
          <w:spacing w:val="-1"/>
          <w:sz w:val="30"/>
        </w:rPr>
        <w:t xml:space="preserve"> </w:t>
      </w:r>
      <w:r>
        <w:rPr>
          <w:i/>
          <w:sz w:val="30"/>
        </w:rPr>
        <w:t xml:space="preserve">But it’s also a contingent truth. </w:t>
      </w:r>
      <w:r>
        <w:rPr>
          <w:sz w:val="30"/>
        </w:rPr>
        <w:t xml:space="preserve">K, on the other hand, </w:t>
      </w:r>
      <w:r>
        <w:rPr>
          <w:i/>
          <w:sz w:val="30"/>
        </w:rPr>
        <w:t>is</w:t>
      </w:r>
      <w:r>
        <w:rPr>
          <w:i/>
          <w:spacing w:val="-3"/>
          <w:sz w:val="30"/>
        </w:rPr>
        <w:t xml:space="preserve"> </w:t>
      </w:r>
      <w:r>
        <w:rPr>
          <w:sz w:val="30"/>
        </w:rPr>
        <w:t xml:space="preserve">a necessary truth. </w:t>
      </w:r>
      <w:r>
        <w:rPr>
          <w:i/>
          <w:sz w:val="30"/>
        </w:rPr>
        <w:t>But it’s also</w:t>
      </w:r>
      <w:r>
        <w:rPr>
          <w:i/>
          <w:spacing w:val="49"/>
          <w:sz w:val="30"/>
        </w:rPr>
        <w:t xml:space="preserve"> </w:t>
      </w:r>
      <w:r>
        <w:rPr>
          <w:i/>
          <w:sz w:val="30"/>
        </w:rPr>
        <w:t>analytic.</w:t>
      </w:r>
      <w:r>
        <w:rPr>
          <w:i/>
          <w:spacing w:val="50"/>
          <w:sz w:val="30"/>
        </w:rPr>
        <w:t xml:space="preserve"> </w:t>
      </w:r>
      <w:r>
        <w:rPr>
          <w:sz w:val="30"/>
        </w:rPr>
        <w:t>So</w:t>
      </w:r>
      <w:r>
        <w:rPr>
          <w:spacing w:val="50"/>
          <w:sz w:val="30"/>
        </w:rPr>
        <w:t xml:space="preserve"> </w:t>
      </w:r>
      <w:r>
        <w:rPr>
          <w:sz w:val="30"/>
        </w:rPr>
        <w:t>we</w:t>
      </w:r>
      <w:r>
        <w:rPr>
          <w:spacing w:val="50"/>
          <w:sz w:val="30"/>
        </w:rPr>
        <w:t xml:space="preserve"> </w:t>
      </w:r>
      <w:r>
        <w:rPr>
          <w:sz w:val="30"/>
        </w:rPr>
        <w:t>don’t</w:t>
      </w:r>
      <w:r>
        <w:rPr>
          <w:spacing w:val="50"/>
          <w:sz w:val="30"/>
        </w:rPr>
        <w:t xml:space="preserve"> </w:t>
      </w:r>
      <w:r>
        <w:rPr>
          <w:sz w:val="30"/>
        </w:rPr>
        <w:t>have</w:t>
      </w:r>
      <w:r>
        <w:rPr>
          <w:spacing w:val="50"/>
          <w:sz w:val="30"/>
        </w:rPr>
        <w:t xml:space="preserve"> </w:t>
      </w:r>
      <w:r>
        <w:rPr>
          <w:i/>
          <w:sz w:val="30"/>
        </w:rPr>
        <w:t>anything</w:t>
      </w:r>
      <w:r>
        <w:rPr>
          <w:i/>
          <w:spacing w:val="42"/>
          <w:sz w:val="30"/>
        </w:rPr>
        <w:t xml:space="preserve"> </w:t>
      </w:r>
      <w:r>
        <w:rPr>
          <w:sz w:val="30"/>
        </w:rPr>
        <w:t>that</w:t>
      </w:r>
      <w:r>
        <w:rPr>
          <w:spacing w:val="54"/>
          <w:sz w:val="30"/>
        </w:rPr>
        <w:t xml:space="preserve"> </w:t>
      </w:r>
      <w:r>
        <w:rPr>
          <w:sz w:val="30"/>
        </w:rPr>
        <w:t>is</w:t>
      </w:r>
      <w:r>
        <w:rPr>
          <w:spacing w:val="54"/>
          <w:sz w:val="30"/>
        </w:rPr>
        <w:t xml:space="preserve"> </w:t>
      </w:r>
      <w:r>
        <w:rPr>
          <w:sz w:val="30"/>
        </w:rPr>
        <w:t>both</w:t>
      </w:r>
      <w:r>
        <w:rPr>
          <w:spacing w:val="54"/>
          <w:sz w:val="30"/>
        </w:rPr>
        <w:t xml:space="preserve"> </w:t>
      </w:r>
      <w:r>
        <w:rPr>
          <w:sz w:val="30"/>
        </w:rPr>
        <w:t>necessary</w:t>
      </w:r>
      <w:r>
        <w:rPr>
          <w:spacing w:val="54"/>
          <w:sz w:val="30"/>
        </w:rPr>
        <w:t xml:space="preserve"> </w:t>
      </w:r>
      <w:r>
        <w:rPr>
          <w:i/>
          <w:sz w:val="30"/>
        </w:rPr>
        <w:t>and</w:t>
      </w:r>
      <w:r>
        <w:rPr>
          <w:i/>
          <w:spacing w:val="58"/>
          <w:sz w:val="30"/>
        </w:rPr>
        <w:t xml:space="preserve"> </w:t>
      </w:r>
      <w:r>
        <w:rPr>
          <w:spacing w:val="-4"/>
          <w:sz w:val="30"/>
        </w:rPr>
        <w:t>non-</w:t>
      </w:r>
    </w:p>
    <w:p w14:paraId="7E00219C" w14:textId="77777777" w:rsidR="009A58DB" w:rsidRDefault="00000000">
      <w:pPr>
        <w:pStyle w:val="BodyText"/>
        <w:spacing w:line="316" w:lineRule="exact"/>
        <w:jc w:val="left"/>
      </w:pPr>
      <w:r>
        <w:rPr>
          <w:spacing w:val="-2"/>
        </w:rPr>
        <w:t>analytic.</w:t>
      </w:r>
    </w:p>
    <w:p w14:paraId="7E00219D" w14:textId="77777777" w:rsidR="009A58DB" w:rsidRDefault="00000000">
      <w:pPr>
        <w:pStyle w:val="BodyText"/>
        <w:spacing w:before="15" w:line="249" w:lineRule="auto"/>
        <w:ind w:right="358" w:firstLine="360"/>
      </w:pPr>
      <w:r>
        <w:t>Kripke and, after him, many others have professed to find many examples of non-analytic necessary truths; but in each case, an exact analogue of the argument just given shows a confusion similar to the one just identified to be at work. In each case, semantics is being confused with pre-semantics. A defense of this claim is provided in Chapter 8.</w:t>
      </w:r>
    </w:p>
    <w:p w14:paraId="7E00219E" w14:textId="77777777" w:rsidR="009A58DB" w:rsidRDefault="00000000">
      <w:pPr>
        <w:pStyle w:val="Heading1"/>
        <w:numPr>
          <w:ilvl w:val="1"/>
          <w:numId w:val="73"/>
        </w:numPr>
        <w:tabs>
          <w:tab w:val="left" w:pos="995"/>
        </w:tabs>
        <w:spacing w:before="209" w:line="244" w:lineRule="auto"/>
        <w:ind w:right="360" w:firstLine="0"/>
      </w:pPr>
      <w:r>
        <w:t>Propositional</w:t>
      </w:r>
      <w:r>
        <w:rPr>
          <w:spacing w:val="-5"/>
        </w:rPr>
        <w:t xml:space="preserve"> </w:t>
      </w:r>
      <w:r>
        <w:t>necessity</w:t>
      </w:r>
      <w:r>
        <w:rPr>
          <w:spacing w:val="-5"/>
        </w:rPr>
        <w:t xml:space="preserve"> </w:t>
      </w:r>
      <w:r>
        <w:t>as</w:t>
      </w:r>
      <w:r>
        <w:rPr>
          <w:spacing w:val="-4"/>
        </w:rPr>
        <w:t xml:space="preserve"> </w:t>
      </w:r>
      <w:r>
        <w:t>microstructural</w:t>
      </w:r>
      <w:r>
        <w:rPr>
          <w:spacing w:val="-5"/>
        </w:rPr>
        <w:t xml:space="preserve"> </w:t>
      </w:r>
      <w:r>
        <w:t>truth: some preliminary concepts</w:t>
      </w:r>
    </w:p>
    <w:p w14:paraId="7E00219F" w14:textId="77777777" w:rsidR="009A58DB" w:rsidRDefault="00000000">
      <w:pPr>
        <w:pStyle w:val="BodyText"/>
        <w:spacing w:before="132" w:line="249" w:lineRule="auto"/>
        <w:ind w:right="359"/>
      </w:pPr>
      <w:r>
        <w:t xml:space="preserve">The main modal concepts are necessity, possibility, impossibility, and </w:t>
      </w:r>
      <w:r>
        <w:rPr>
          <w:spacing w:val="-2"/>
        </w:rPr>
        <w:t>contingency.</w:t>
      </w:r>
      <w:r>
        <w:rPr>
          <w:spacing w:val="-17"/>
        </w:rPr>
        <w:t xml:space="preserve"> </w:t>
      </w:r>
      <w:r>
        <w:rPr>
          <w:spacing w:val="-2"/>
        </w:rPr>
        <w:t>All</w:t>
      </w:r>
      <w:r>
        <w:rPr>
          <w:spacing w:val="-17"/>
        </w:rPr>
        <w:t xml:space="preserve"> </w:t>
      </w:r>
      <w:r>
        <w:rPr>
          <w:spacing w:val="-2"/>
        </w:rPr>
        <w:t>of</w:t>
      </w:r>
      <w:r>
        <w:rPr>
          <w:spacing w:val="-17"/>
        </w:rPr>
        <w:t xml:space="preserve"> </w:t>
      </w:r>
      <w:r>
        <w:rPr>
          <w:spacing w:val="-2"/>
        </w:rPr>
        <w:t>these</w:t>
      </w:r>
      <w:r>
        <w:rPr>
          <w:spacing w:val="-16"/>
        </w:rPr>
        <w:t xml:space="preserve"> </w:t>
      </w:r>
      <w:r>
        <w:rPr>
          <w:spacing w:val="-2"/>
        </w:rPr>
        <w:t>can</w:t>
      </w:r>
      <w:r>
        <w:rPr>
          <w:spacing w:val="-17"/>
        </w:rPr>
        <w:t xml:space="preserve"> </w:t>
      </w:r>
      <w:r>
        <w:rPr>
          <w:spacing w:val="-2"/>
        </w:rPr>
        <w:t>be</w:t>
      </w:r>
      <w:r>
        <w:rPr>
          <w:spacing w:val="-17"/>
        </w:rPr>
        <w:t xml:space="preserve"> </w:t>
      </w:r>
      <w:r>
        <w:rPr>
          <w:spacing w:val="-2"/>
        </w:rPr>
        <w:t>understood</w:t>
      </w:r>
      <w:r>
        <w:rPr>
          <w:spacing w:val="-17"/>
        </w:rPr>
        <w:t xml:space="preserve"> </w:t>
      </w:r>
      <w:r>
        <w:rPr>
          <w:spacing w:val="-2"/>
        </w:rPr>
        <w:t>in</w:t>
      </w:r>
      <w:r>
        <w:rPr>
          <w:spacing w:val="-16"/>
        </w:rPr>
        <w:t xml:space="preserve"> </w:t>
      </w:r>
      <w:r>
        <w:rPr>
          <w:spacing w:val="-2"/>
        </w:rPr>
        <w:t>terms</w:t>
      </w:r>
      <w:r>
        <w:rPr>
          <w:spacing w:val="-17"/>
        </w:rPr>
        <w:t xml:space="preserve"> </w:t>
      </w:r>
      <w:r>
        <w:rPr>
          <w:spacing w:val="-2"/>
        </w:rPr>
        <w:t>of</w:t>
      </w:r>
      <w:r>
        <w:rPr>
          <w:spacing w:val="-17"/>
        </w:rPr>
        <w:t xml:space="preserve"> </w:t>
      </w:r>
      <w:r>
        <w:rPr>
          <w:spacing w:val="-2"/>
        </w:rPr>
        <w:t>the</w:t>
      </w:r>
      <w:r>
        <w:rPr>
          <w:spacing w:val="-17"/>
        </w:rPr>
        <w:t xml:space="preserve"> </w:t>
      </w:r>
      <w:r>
        <w:rPr>
          <w:spacing w:val="-2"/>
        </w:rPr>
        <w:t>concept</w:t>
      </w:r>
      <w:r>
        <w:rPr>
          <w:spacing w:val="-15"/>
        </w:rPr>
        <w:t xml:space="preserve"> </w:t>
      </w:r>
      <w:r>
        <w:rPr>
          <w:spacing w:val="-2"/>
        </w:rPr>
        <w:t>of</w:t>
      </w:r>
      <w:r>
        <w:rPr>
          <w:spacing w:val="-16"/>
        </w:rPr>
        <w:t xml:space="preserve"> </w:t>
      </w:r>
      <w:r>
        <w:rPr>
          <w:spacing w:val="-2"/>
        </w:rPr>
        <w:t xml:space="preserve">necessity. </w:t>
      </w:r>
      <w:r>
        <w:t>P</w:t>
      </w:r>
      <w:r>
        <w:rPr>
          <w:spacing w:val="-19"/>
        </w:rPr>
        <w:t xml:space="preserve"> </w:t>
      </w:r>
      <w:r>
        <w:t>is</w:t>
      </w:r>
      <w:r>
        <w:rPr>
          <w:spacing w:val="-19"/>
        </w:rPr>
        <w:t xml:space="preserve"> </w:t>
      </w:r>
      <w:r>
        <w:t>possible</w:t>
      </w:r>
      <w:r>
        <w:rPr>
          <w:spacing w:val="-19"/>
        </w:rPr>
        <w:t xml:space="preserve"> </w:t>
      </w:r>
      <w:r>
        <w:t>iff</w:t>
      </w:r>
      <w:r>
        <w:rPr>
          <w:spacing w:val="-18"/>
        </w:rPr>
        <w:t xml:space="preserve"> </w:t>
      </w:r>
      <w:r>
        <w:t>not-P</w:t>
      </w:r>
      <w:r>
        <w:rPr>
          <w:spacing w:val="-19"/>
        </w:rPr>
        <w:t xml:space="preserve"> </w:t>
      </w:r>
      <w:r>
        <w:t>isn’t</w:t>
      </w:r>
      <w:r>
        <w:rPr>
          <w:spacing w:val="-19"/>
        </w:rPr>
        <w:t xml:space="preserve"> </w:t>
      </w:r>
      <w:r>
        <w:t>necessary.</w:t>
      </w:r>
      <w:r>
        <w:rPr>
          <w:spacing w:val="-19"/>
        </w:rPr>
        <w:t xml:space="preserve"> </w:t>
      </w:r>
      <w:r>
        <w:t>P</w:t>
      </w:r>
      <w:r>
        <w:rPr>
          <w:spacing w:val="-18"/>
        </w:rPr>
        <w:t xml:space="preserve"> </w:t>
      </w:r>
      <w:r>
        <w:t>is</w:t>
      </w:r>
      <w:r>
        <w:rPr>
          <w:spacing w:val="-19"/>
        </w:rPr>
        <w:t xml:space="preserve"> </w:t>
      </w:r>
      <w:r>
        <w:t>impossible</w:t>
      </w:r>
      <w:r>
        <w:rPr>
          <w:spacing w:val="-19"/>
        </w:rPr>
        <w:t xml:space="preserve"> </w:t>
      </w:r>
      <w:r>
        <w:t>iff</w:t>
      </w:r>
      <w:r>
        <w:rPr>
          <w:spacing w:val="-16"/>
        </w:rPr>
        <w:t xml:space="preserve"> </w:t>
      </w:r>
      <w:r>
        <w:t>not-P</w:t>
      </w:r>
      <w:r>
        <w:rPr>
          <w:spacing w:val="-18"/>
        </w:rPr>
        <w:t xml:space="preserve"> </w:t>
      </w:r>
      <w:r>
        <w:t>is</w:t>
      </w:r>
      <w:r>
        <w:rPr>
          <w:spacing w:val="-15"/>
        </w:rPr>
        <w:t xml:space="preserve"> </w:t>
      </w:r>
      <w:r>
        <w:t>necessary.</w:t>
      </w:r>
      <w:r>
        <w:rPr>
          <w:spacing w:val="-15"/>
        </w:rPr>
        <w:t xml:space="preserve"> </w:t>
      </w:r>
      <w:r>
        <w:t>P</w:t>
      </w:r>
      <w:r>
        <w:rPr>
          <w:spacing w:val="-19"/>
        </w:rPr>
        <w:t xml:space="preserve"> </w:t>
      </w:r>
      <w:r>
        <w:t>is contingent</w:t>
      </w:r>
      <w:r>
        <w:rPr>
          <w:spacing w:val="-16"/>
        </w:rPr>
        <w:t xml:space="preserve"> </w:t>
      </w:r>
      <w:r>
        <w:t>iff</w:t>
      </w:r>
      <w:r>
        <w:rPr>
          <w:spacing w:val="-12"/>
        </w:rPr>
        <w:t xml:space="preserve"> </w:t>
      </w:r>
      <w:r>
        <w:t>neither</w:t>
      </w:r>
      <w:r>
        <w:rPr>
          <w:spacing w:val="-12"/>
        </w:rPr>
        <w:t xml:space="preserve"> </w:t>
      </w:r>
      <w:r>
        <w:t>P</w:t>
      </w:r>
      <w:r>
        <w:rPr>
          <w:spacing w:val="-20"/>
        </w:rPr>
        <w:t xml:space="preserve"> </w:t>
      </w:r>
      <w:r>
        <w:t>nor</w:t>
      </w:r>
      <w:r>
        <w:rPr>
          <w:spacing w:val="-12"/>
        </w:rPr>
        <w:t xml:space="preserve"> </w:t>
      </w:r>
      <w:r>
        <w:t>not-P</w:t>
      </w:r>
      <w:r>
        <w:rPr>
          <w:spacing w:val="-20"/>
        </w:rPr>
        <w:t xml:space="preserve"> </w:t>
      </w:r>
      <w:r>
        <w:t>is</w:t>
      </w:r>
      <w:r>
        <w:rPr>
          <w:spacing w:val="-11"/>
        </w:rPr>
        <w:t xml:space="preserve"> </w:t>
      </w:r>
      <w:r>
        <w:t>necessary.</w:t>
      </w:r>
    </w:p>
    <w:p w14:paraId="7E0021A0" w14:textId="77777777" w:rsidR="009A58DB" w:rsidRDefault="00000000">
      <w:pPr>
        <w:pStyle w:val="BodyText"/>
        <w:spacing w:before="5" w:line="249" w:lineRule="auto"/>
        <w:ind w:right="362" w:firstLine="360"/>
      </w:pPr>
      <w:r>
        <w:t>Whether</w:t>
      </w:r>
      <w:r>
        <w:rPr>
          <w:spacing w:val="-5"/>
        </w:rPr>
        <w:t xml:space="preserve"> </w:t>
      </w:r>
      <w:r>
        <w:t>all</w:t>
      </w:r>
      <w:r>
        <w:rPr>
          <w:spacing w:val="-5"/>
        </w:rPr>
        <w:t xml:space="preserve"> </w:t>
      </w:r>
      <w:r>
        <w:t>modal</w:t>
      </w:r>
      <w:r>
        <w:rPr>
          <w:spacing w:val="-5"/>
        </w:rPr>
        <w:t xml:space="preserve"> </w:t>
      </w:r>
      <w:r>
        <w:t>concepts</w:t>
      </w:r>
      <w:r>
        <w:rPr>
          <w:spacing w:val="-5"/>
        </w:rPr>
        <w:t xml:space="preserve"> </w:t>
      </w:r>
      <w:r>
        <w:t>can</w:t>
      </w:r>
      <w:r>
        <w:rPr>
          <w:spacing w:val="-5"/>
        </w:rPr>
        <w:t xml:space="preserve"> </w:t>
      </w:r>
      <w:r>
        <w:t>be</w:t>
      </w:r>
      <w:r>
        <w:rPr>
          <w:spacing w:val="-5"/>
        </w:rPr>
        <w:t xml:space="preserve"> </w:t>
      </w:r>
      <w:r>
        <w:t>understood</w:t>
      </w:r>
      <w:r>
        <w:rPr>
          <w:spacing w:val="-5"/>
        </w:rPr>
        <w:t xml:space="preserve"> </w:t>
      </w:r>
      <w:r>
        <w:t>in</w:t>
      </w:r>
      <w:r>
        <w:rPr>
          <w:spacing w:val="-5"/>
        </w:rPr>
        <w:t xml:space="preserve"> </w:t>
      </w:r>
      <w:r>
        <w:t>terms</w:t>
      </w:r>
      <w:r>
        <w:rPr>
          <w:spacing w:val="-5"/>
        </w:rPr>
        <w:t xml:space="preserve"> </w:t>
      </w:r>
      <w:r>
        <w:t>of</w:t>
      </w:r>
      <w:r>
        <w:rPr>
          <w:spacing w:val="-5"/>
        </w:rPr>
        <w:t xml:space="preserve"> </w:t>
      </w:r>
      <w:r>
        <w:t>this</w:t>
      </w:r>
      <w:r>
        <w:rPr>
          <w:spacing w:val="-5"/>
        </w:rPr>
        <w:t xml:space="preserve"> </w:t>
      </w:r>
      <w:r>
        <w:t>one</w:t>
      </w:r>
      <w:r>
        <w:rPr>
          <w:spacing w:val="-5"/>
        </w:rPr>
        <w:t xml:space="preserve"> </w:t>
      </w:r>
      <w:r>
        <w:t>concept depends on how inclusive one’s conception of modality is. Like Bas van Fraassen</w:t>
      </w:r>
      <w:r>
        <w:rPr>
          <w:spacing w:val="8"/>
        </w:rPr>
        <w:t xml:space="preserve"> </w:t>
      </w:r>
      <w:r>
        <w:t>(1989),</w:t>
      </w:r>
      <w:r>
        <w:rPr>
          <w:spacing w:val="8"/>
        </w:rPr>
        <w:t xml:space="preserve"> </w:t>
      </w:r>
      <w:r>
        <w:t>I</w:t>
      </w:r>
      <w:r>
        <w:rPr>
          <w:spacing w:val="9"/>
        </w:rPr>
        <w:t xml:space="preserve"> </w:t>
      </w:r>
      <w:r>
        <w:t>believe</w:t>
      </w:r>
      <w:r>
        <w:rPr>
          <w:spacing w:val="8"/>
        </w:rPr>
        <w:t xml:space="preserve"> </w:t>
      </w:r>
      <w:r>
        <w:t>that</w:t>
      </w:r>
      <w:r>
        <w:rPr>
          <w:spacing w:val="8"/>
        </w:rPr>
        <w:t xml:space="preserve"> </w:t>
      </w:r>
      <w:r>
        <w:t>the</w:t>
      </w:r>
      <w:r>
        <w:rPr>
          <w:spacing w:val="9"/>
        </w:rPr>
        <w:t xml:space="preserve"> </w:t>
      </w:r>
      <w:r>
        <w:t>property</w:t>
      </w:r>
      <w:r>
        <w:rPr>
          <w:spacing w:val="8"/>
        </w:rPr>
        <w:t xml:space="preserve"> </w:t>
      </w:r>
      <w:r>
        <w:t>of</w:t>
      </w:r>
      <w:r>
        <w:rPr>
          <w:spacing w:val="9"/>
        </w:rPr>
        <w:t xml:space="preserve"> </w:t>
      </w:r>
      <w:r>
        <w:t>being</w:t>
      </w:r>
      <w:r>
        <w:rPr>
          <w:spacing w:val="8"/>
        </w:rPr>
        <w:t xml:space="preserve"> </w:t>
      </w:r>
      <w:r>
        <w:t>probably</w:t>
      </w:r>
      <w:r>
        <w:rPr>
          <w:spacing w:val="8"/>
        </w:rPr>
        <w:t xml:space="preserve"> </w:t>
      </w:r>
      <w:r>
        <w:t>true</w:t>
      </w:r>
      <w:r>
        <w:rPr>
          <w:spacing w:val="9"/>
        </w:rPr>
        <w:t xml:space="preserve"> </w:t>
      </w:r>
      <w:r>
        <w:t>is</w:t>
      </w:r>
      <w:r>
        <w:rPr>
          <w:spacing w:val="8"/>
        </w:rPr>
        <w:t xml:space="preserve"> </w:t>
      </w:r>
      <w:r>
        <w:t>a</w:t>
      </w:r>
      <w:r>
        <w:rPr>
          <w:spacing w:val="9"/>
        </w:rPr>
        <w:t xml:space="preserve"> </w:t>
      </w:r>
      <w:r>
        <w:rPr>
          <w:spacing w:val="-2"/>
        </w:rPr>
        <w:t>modal</w:t>
      </w:r>
    </w:p>
    <w:p w14:paraId="7E0021A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A2" w14:textId="77777777" w:rsidR="009A58DB" w:rsidRDefault="00000000">
      <w:pPr>
        <w:pStyle w:val="BodyText"/>
        <w:spacing w:before="70" w:line="249" w:lineRule="auto"/>
        <w:ind w:right="354"/>
      </w:pPr>
      <w:r>
        <w:lastRenderedPageBreak/>
        <w:t xml:space="preserve">property—that, indeed, for any number n, the property of being probable to degree n is a modal property. It’s an open question whether the concept of </w:t>
      </w:r>
      <w:r>
        <w:rPr>
          <w:spacing w:val="-2"/>
        </w:rPr>
        <w:t>probable</w:t>
      </w:r>
      <w:r>
        <w:rPr>
          <w:spacing w:val="-17"/>
        </w:rPr>
        <w:t xml:space="preserve"> </w:t>
      </w:r>
      <w:r>
        <w:rPr>
          <w:spacing w:val="-2"/>
        </w:rPr>
        <w:t>truth</w:t>
      </w:r>
      <w:r>
        <w:rPr>
          <w:spacing w:val="-16"/>
        </w:rPr>
        <w:t xml:space="preserve"> </w:t>
      </w:r>
      <w:r>
        <w:rPr>
          <w:spacing w:val="-2"/>
        </w:rPr>
        <w:t>can</w:t>
      </w:r>
      <w:r>
        <w:rPr>
          <w:spacing w:val="-16"/>
        </w:rPr>
        <w:t xml:space="preserve"> </w:t>
      </w:r>
      <w:r>
        <w:rPr>
          <w:spacing w:val="-2"/>
        </w:rPr>
        <w:t>be</w:t>
      </w:r>
      <w:r>
        <w:rPr>
          <w:spacing w:val="-16"/>
        </w:rPr>
        <w:t xml:space="preserve"> </w:t>
      </w:r>
      <w:r>
        <w:rPr>
          <w:spacing w:val="-2"/>
        </w:rPr>
        <w:t>understood</w:t>
      </w:r>
      <w:r>
        <w:rPr>
          <w:spacing w:val="-16"/>
        </w:rPr>
        <w:t xml:space="preserve"> </w:t>
      </w:r>
      <w:r>
        <w:rPr>
          <w:spacing w:val="-2"/>
        </w:rPr>
        <w:t>in</w:t>
      </w:r>
      <w:r>
        <w:rPr>
          <w:spacing w:val="-16"/>
        </w:rPr>
        <w:t xml:space="preserve"> </w:t>
      </w:r>
      <w:r>
        <w:rPr>
          <w:spacing w:val="-2"/>
        </w:rPr>
        <w:t>terms</w:t>
      </w:r>
      <w:r>
        <w:rPr>
          <w:spacing w:val="-16"/>
        </w:rPr>
        <w:t xml:space="preserve"> </w:t>
      </w:r>
      <w:r>
        <w:rPr>
          <w:spacing w:val="-2"/>
        </w:rPr>
        <w:t>of</w:t>
      </w:r>
      <w:r>
        <w:rPr>
          <w:spacing w:val="-16"/>
        </w:rPr>
        <w:t xml:space="preserve"> </w:t>
      </w:r>
      <w:r>
        <w:rPr>
          <w:spacing w:val="-2"/>
        </w:rPr>
        <w:t>that</w:t>
      </w:r>
      <w:r>
        <w:rPr>
          <w:spacing w:val="-16"/>
        </w:rPr>
        <w:t xml:space="preserve"> </w:t>
      </w:r>
      <w:r>
        <w:rPr>
          <w:spacing w:val="-2"/>
        </w:rPr>
        <w:t>necessary</w:t>
      </w:r>
      <w:r>
        <w:rPr>
          <w:spacing w:val="-16"/>
        </w:rPr>
        <w:t xml:space="preserve"> </w:t>
      </w:r>
      <w:r>
        <w:rPr>
          <w:spacing w:val="-2"/>
        </w:rPr>
        <w:t>truth.</w:t>
      </w:r>
      <w:r>
        <w:rPr>
          <w:spacing w:val="-16"/>
        </w:rPr>
        <w:t xml:space="preserve"> </w:t>
      </w:r>
      <w:r>
        <w:rPr>
          <w:spacing w:val="-2"/>
        </w:rPr>
        <w:t>I’m</w:t>
      </w:r>
      <w:r>
        <w:rPr>
          <w:spacing w:val="-16"/>
        </w:rPr>
        <w:t xml:space="preserve"> </w:t>
      </w:r>
      <w:r>
        <w:rPr>
          <w:spacing w:val="-2"/>
        </w:rPr>
        <w:t>inclined</w:t>
      </w:r>
      <w:r>
        <w:rPr>
          <w:spacing w:val="-16"/>
        </w:rPr>
        <w:t xml:space="preserve"> </w:t>
      </w:r>
      <w:r>
        <w:rPr>
          <w:spacing w:val="-2"/>
        </w:rPr>
        <w:t xml:space="preserve">to </w:t>
      </w:r>
      <w:r>
        <w:t>think that it can be, given how natural it is to think of necessity as a limiting case</w:t>
      </w:r>
      <w:r>
        <w:rPr>
          <w:spacing w:val="-1"/>
        </w:rPr>
        <w:t xml:space="preserve"> </w:t>
      </w:r>
      <w:r>
        <w:t>of probable truth. But until this is resolved, it can’t be said that</w:t>
      </w:r>
      <w:r>
        <w:rPr>
          <w:spacing w:val="-19"/>
        </w:rPr>
        <w:t xml:space="preserve"> </w:t>
      </w:r>
      <w:r>
        <w:rPr>
          <w:i/>
        </w:rPr>
        <w:t>all</w:t>
      </w:r>
      <w:r>
        <w:rPr>
          <w:i/>
          <w:spacing w:val="-19"/>
        </w:rPr>
        <w:t xml:space="preserve"> </w:t>
      </w:r>
      <w:r>
        <w:t>modal notions</w:t>
      </w:r>
      <w:r>
        <w:rPr>
          <w:spacing w:val="-16"/>
        </w:rPr>
        <w:t xml:space="preserve"> </w:t>
      </w:r>
      <w:r>
        <w:t>can</w:t>
      </w:r>
      <w:r>
        <w:rPr>
          <w:spacing w:val="-16"/>
        </w:rPr>
        <w:t xml:space="preserve"> </w:t>
      </w:r>
      <w:r>
        <w:t>be</w:t>
      </w:r>
      <w:r>
        <w:rPr>
          <w:spacing w:val="-16"/>
        </w:rPr>
        <w:t xml:space="preserve"> </w:t>
      </w:r>
      <w:r>
        <w:t>understood</w:t>
      </w:r>
      <w:r>
        <w:rPr>
          <w:spacing w:val="-16"/>
        </w:rPr>
        <w:t xml:space="preserve"> </w:t>
      </w:r>
      <w:r>
        <w:t>in</w:t>
      </w:r>
      <w:r>
        <w:rPr>
          <w:spacing w:val="-16"/>
        </w:rPr>
        <w:t xml:space="preserve"> </w:t>
      </w:r>
      <w:r>
        <w:t>terms</w:t>
      </w:r>
      <w:r>
        <w:rPr>
          <w:spacing w:val="-16"/>
        </w:rPr>
        <w:t xml:space="preserve"> </w:t>
      </w:r>
      <w:r>
        <w:t>of</w:t>
      </w:r>
      <w:r>
        <w:rPr>
          <w:spacing w:val="-16"/>
        </w:rPr>
        <w:t xml:space="preserve"> </w:t>
      </w:r>
      <w:r>
        <w:t>the</w:t>
      </w:r>
      <w:r>
        <w:rPr>
          <w:spacing w:val="-16"/>
        </w:rPr>
        <w:t xml:space="preserve"> </w:t>
      </w:r>
      <w:r>
        <w:t>concept</w:t>
      </w:r>
      <w:r>
        <w:rPr>
          <w:spacing w:val="-16"/>
        </w:rPr>
        <w:t xml:space="preserve"> </w:t>
      </w:r>
      <w:r>
        <w:t>of</w:t>
      </w:r>
      <w:r>
        <w:rPr>
          <w:spacing w:val="-16"/>
        </w:rPr>
        <w:t xml:space="preserve"> </w:t>
      </w:r>
      <w:r>
        <w:t>probability.</w:t>
      </w:r>
      <w:r>
        <w:rPr>
          <w:spacing w:val="-16"/>
        </w:rPr>
        <w:t xml:space="preserve"> </w:t>
      </w:r>
      <w:r>
        <w:t>But</w:t>
      </w:r>
      <w:r>
        <w:rPr>
          <w:spacing w:val="-16"/>
        </w:rPr>
        <w:t xml:space="preserve"> </w:t>
      </w:r>
      <w:r>
        <w:t>there’s</w:t>
      </w:r>
      <w:r>
        <w:rPr>
          <w:spacing w:val="-16"/>
        </w:rPr>
        <w:t xml:space="preserve"> </w:t>
      </w:r>
      <w:r>
        <w:t>no denying</w:t>
      </w:r>
      <w:r>
        <w:rPr>
          <w:spacing w:val="-13"/>
        </w:rPr>
        <w:t xml:space="preserve"> </w:t>
      </w:r>
      <w:r>
        <w:t>that</w:t>
      </w:r>
      <w:r>
        <w:rPr>
          <w:spacing w:val="-14"/>
        </w:rPr>
        <w:t xml:space="preserve"> </w:t>
      </w:r>
      <w:r>
        <w:t>necessity</w:t>
      </w:r>
      <w:r>
        <w:rPr>
          <w:spacing w:val="-13"/>
        </w:rPr>
        <w:t xml:space="preserve"> </w:t>
      </w:r>
      <w:r>
        <w:t>is</w:t>
      </w:r>
      <w:r>
        <w:rPr>
          <w:spacing w:val="-13"/>
        </w:rPr>
        <w:t xml:space="preserve"> </w:t>
      </w:r>
      <w:r>
        <w:t>the</w:t>
      </w:r>
      <w:r>
        <w:rPr>
          <w:spacing w:val="-13"/>
        </w:rPr>
        <w:t xml:space="preserve"> </w:t>
      </w:r>
      <w:r>
        <w:t>most</w:t>
      </w:r>
      <w:r>
        <w:rPr>
          <w:spacing w:val="-14"/>
        </w:rPr>
        <w:t xml:space="preserve"> </w:t>
      </w:r>
      <w:r>
        <w:t>important</w:t>
      </w:r>
      <w:r>
        <w:rPr>
          <w:spacing w:val="-14"/>
        </w:rPr>
        <w:t xml:space="preserve"> </w:t>
      </w:r>
      <w:r>
        <w:t>modal</w:t>
      </w:r>
      <w:r>
        <w:rPr>
          <w:spacing w:val="-14"/>
        </w:rPr>
        <w:t xml:space="preserve"> </w:t>
      </w:r>
      <w:r>
        <w:t>concept.</w:t>
      </w:r>
    </w:p>
    <w:p w14:paraId="7E0021A3" w14:textId="77777777" w:rsidR="009A58DB" w:rsidRDefault="00000000">
      <w:pPr>
        <w:pStyle w:val="BodyText"/>
        <w:spacing w:before="3" w:line="249" w:lineRule="auto"/>
        <w:ind w:right="358" w:firstLine="360"/>
      </w:pPr>
      <w:r>
        <w:t>But</w:t>
      </w:r>
      <w:r>
        <w:rPr>
          <w:spacing w:val="40"/>
        </w:rPr>
        <w:t xml:space="preserve"> </w:t>
      </w:r>
      <w:r>
        <w:t>what</w:t>
      </w:r>
      <w:r>
        <w:rPr>
          <w:spacing w:val="-18"/>
        </w:rPr>
        <w:t xml:space="preserve"> </w:t>
      </w:r>
      <w:r>
        <w:rPr>
          <w:i/>
        </w:rPr>
        <w:t>i</w:t>
      </w:r>
      <w:r>
        <w:rPr>
          <w:i/>
          <w:spacing w:val="-15"/>
        </w:rPr>
        <w:t xml:space="preserve"> </w:t>
      </w:r>
      <w:r>
        <w:rPr>
          <w:i/>
        </w:rPr>
        <w:t>s</w:t>
      </w:r>
      <w:r>
        <w:rPr>
          <w:i/>
          <w:spacing w:val="-17"/>
        </w:rPr>
        <w:t xml:space="preserve"> </w:t>
      </w:r>
      <w:r>
        <w:t xml:space="preserve">necessity? One plausible answer is this: necessary truth is </w:t>
      </w:r>
      <w:r>
        <w:rPr>
          <w:spacing w:val="-4"/>
        </w:rPr>
        <w:t>analytic</w:t>
      </w:r>
      <w:r>
        <w:rPr>
          <w:spacing w:val="-7"/>
        </w:rPr>
        <w:t xml:space="preserve"> </w:t>
      </w:r>
      <w:r>
        <w:rPr>
          <w:spacing w:val="-4"/>
        </w:rPr>
        <w:t>truth;</w:t>
      </w:r>
      <w:r>
        <w:rPr>
          <w:spacing w:val="-7"/>
        </w:rPr>
        <w:t xml:space="preserve"> </w:t>
      </w:r>
      <w:r>
        <w:rPr>
          <w:spacing w:val="-4"/>
        </w:rPr>
        <w:t>necessity</w:t>
      </w:r>
      <w:r>
        <w:rPr>
          <w:spacing w:val="-7"/>
        </w:rPr>
        <w:t xml:space="preserve"> </w:t>
      </w:r>
      <w:r>
        <w:rPr>
          <w:spacing w:val="-4"/>
        </w:rPr>
        <w:t>is</w:t>
      </w:r>
      <w:r>
        <w:rPr>
          <w:spacing w:val="-7"/>
        </w:rPr>
        <w:t xml:space="preserve"> </w:t>
      </w:r>
      <w:r>
        <w:rPr>
          <w:spacing w:val="-4"/>
        </w:rPr>
        <w:t>analyticity.</w:t>
      </w:r>
      <w:r>
        <w:rPr>
          <w:spacing w:val="-7"/>
        </w:rPr>
        <w:t xml:space="preserve"> </w:t>
      </w:r>
      <w:r>
        <w:rPr>
          <w:spacing w:val="-4"/>
        </w:rPr>
        <w:t>“Squares</w:t>
      </w:r>
      <w:r>
        <w:rPr>
          <w:spacing w:val="-7"/>
        </w:rPr>
        <w:t xml:space="preserve"> </w:t>
      </w:r>
      <w:r>
        <w:rPr>
          <w:spacing w:val="-4"/>
        </w:rPr>
        <w:t>have</w:t>
      </w:r>
      <w:r>
        <w:rPr>
          <w:spacing w:val="-7"/>
        </w:rPr>
        <w:t xml:space="preserve"> </w:t>
      </w:r>
      <w:r>
        <w:rPr>
          <w:spacing w:val="-4"/>
        </w:rPr>
        <w:t>four</w:t>
      </w:r>
      <w:r>
        <w:rPr>
          <w:spacing w:val="-7"/>
        </w:rPr>
        <w:t xml:space="preserve"> </w:t>
      </w:r>
      <w:r>
        <w:rPr>
          <w:spacing w:val="-4"/>
        </w:rPr>
        <w:t>sides”</w:t>
      </w:r>
      <w:r>
        <w:rPr>
          <w:spacing w:val="-7"/>
        </w:rPr>
        <w:t xml:space="preserve"> </w:t>
      </w:r>
      <w:r>
        <w:rPr>
          <w:spacing w:val="-4"/>
        </w:rPr>
        <w:t>is</w:t>
      </w:r>
      <w:r>
        <w:rPr>
          <w:spacing w:val="-7"/>
        </w:rPr>
        <w:t xml:space="preserve"> </w:t>
      </w:r>
      <w:r>
        <w:rPr>
          <w:spacing w:val="-4"/>
        </w:rPr>
        <w:t>“analytic,”</w:t>
      </w:r>
      <w:r>
        <w:rPr>
          <w:spacing w:val="-7"/>
        </w:rPr>
        <w:t xml:space="preserve"> </w:t>
      </w:r>
      <w:r>
        <w:rPr>
          <w:spacing w:val="-4"/>
        </w:rPr>
        <w:t xml:space="preserve">or </w:t>
      </w:r>
      <w:r>
        <w:t>“analytically</w:t>
      </w:r>
      <w:r>
        <w:rPr>
          <w:spacing w:val="-19"/>
        </w:rPr>
        <w:t xml:space="preserve"> </w:t>
      </w:r>
      <w:r>
        <w:t>true.”</w:t>
      </w:r>
      <w:r>
        <w:rPr>
          <w:spacing w:val="-13"/>
        </w:rPr>
        <w:t xml:space="preserve"> </w:t>
      </w:r>
      <w:r>
        <w:t>Indeed,</w:t>
      </w:r>
      <w:r>
        <w:rPr>
          <w:spacing w:val="-19"/>
        </w:rPr>
        <w:t xml:space="preserve"> </w:t>
      </w:r>
      <w:r>
        <w:rPr>
          <w:i/>
        </w:rPr>
        <w:t>all</w:t>
      </w:r>
      <w:r>
        <w:rPr>
          <w:i/>
          <w:spacing w:val="-18"/>
        </w:rPr>
        <w:t xml:space="preserve"> </w:t>
      </w:r>
      <w:r>
        <w:t>analytically</w:t>
      </w:r>
      <w:r>
        <w:rPr>
          <w:spacing w:val="-15"/>
        </w:rPr>
        <w:t xml:space="preserve"> </w:t>
      </w:r>
      <w:r>
        <w:t>true</w:t>
      </w:r>
      <w:r>
        <w:rPr>
          <w:spacing w:val="-15"/>
        </w:rPr>
        <w:t xml:space="preserve"> </w:t>
      </w:r>
      <w:r>
        <w:t>statements</w:t>
      </w:r>
      <w:r>
        <w:rPr>
          <w:spacing w:val="-15"/>
        </w:rPr>
        <w:t xml:space="preserve"> </w:t>
      </w:r>
      <w:r>
        <w:t>are</w:t>
      </w:r>
      <w:r>
        <w:rPr>
          <w:spacing w:val="-15"/>
        </w:rPr>
        <w:t xml:space="preserve"> </w:t>
      </w:r>
      <w:r>
        <w:t>necessarily</w:t>
      </w:r>
      <w:r>
        <w:rPr>
          <w:spacing w:val="-14"/>
        </w:rPr>
        <w:t xml:space="preserve"> </w:t>
      </w:r>
      <w:r>
        <w:t xml:space="preserve">true. </w:t>
      </w:r>
      <w:r>
        <w:rPr>
          <w:spacing w:val="-2"/>
        </w:rPr>
        <w:t>So</w:t>
      </w:r>
      <w:r>
        <w:rPr>
          <w:spacing w:val="-17"/>
        </w:rPr>
        <w:t xml:space="preserve"> </w:t>
      </w:r>
      <w:r>
        <w:rPr>
          <w:spacing w:val="-2"/>
        </w:rPr>
        <w:t>it’s</w:t>
      </w:r>
      <w:r>
        <w:rPr>
          <w:spacing w:val="-17"/>
        </w:rPr>
        <w:t xml:space="preserve"> </w:t>
      </w:r>
      <w:r>
        <w:rPr>
          <w:spacing w:val="-2"/>
        </w:rPr>
        <w:t>obviously</w:t>
      </w:r>
      <w:r>
        <w:rPr>
          <w:spacing w:val="-17"/>
        </w:rPr>
        <w:t xml:space="preserve"> </w:t>
      </w:r>
      <w:r>
        <w:rPr>
          <w:spacing w:val="-2"/>
        </w:rPr>
        <w:t>worth</w:t>
      </w:r>
      <w:r>
        <w:rPr>
          <w:spacing w:val="-16"/>
        </w:rPr>
        <w:t xml:space="preserve"> </w:t>
      </w:r>
      <w:r>
        <w:rPr>
          <w:spacing w:val="-2"/>
        </w:rPr>
        <w:t>looking</w:t>
      </w:r>
      <w:r>
        <w:rPr>
          <w:spacing w:val="-17"/>
        </w:rPr>
        <w:t xml:space="preserve"> </w:t>
      </w:r>
      <w:r>
        <w:rPr>
          <w:spacing w:val="-2"/>
        </w:rPr>
        <w:t>into</w:t>
      </w:r>
      <w:r>
        <w:rPr>
          <w:spacing w:val="-17"/>
        </w:rPr>
        <w:t xml:space="preserve"> </w:t>
      </w:r>
      <w:r>
        <w:rPr>
          <w:spacing w:val="-2"/>
        </w:rPr>
        <w:t>the</w:t>
      </w:r>
      <w:r>
        <w:rPr>
          <w:spacing w:val="-17"/>
        </w:rPr>
        <w:t xml:space="preserve"> </w:t>
      </w:r>
      <w:r>
        <w:rPr>
          <w:spacing w:val="-2"/>
        </w:rPr>
        <w:t>idea</w:t>
      </w:r>
      <w:r>
        <w:rPr>
          <w:spacing w:val="-16"/>
        </w:rPr>
        <w:t xml:space="preserve"> </w:t>
      </w:r>
      <w:r>
        <w:rPr>
          <w:spacing w:val="-2"/>
        </w:rPr>
        <w:t>necessity</w:t>
      </w:r>
      <w:r>
        <w:rPr>
          <w:spacing w:val="-17"/>
        </w:rPr>
        <w:t xml:space="preserve"> </w:t>
      </w:r>
      <w:r>
        <w:rPr>
          <w:i/>
          <w:spacing w:val="-2"/>
        </w:rPr>
        <w:t>is</w:t>
      </w:r>
      <w:r>
        <w:rPr>
          <w:i/>
          <w:spacing w:val="-17"/>
        </w:rPr>
        <w:t xml:space="preserve"> </w:t>
      </w:r>
      <w:r>
        <w:rPr>
          <w:spacing w:val="-2"/>
        </w:rPr>
        <w:t>analyticity.</w:t>
      </w:r>
      <w:r>
        <w:rPr>
          <w:spacing w:val="-15"/>
        </w:rPr>
        <w:t xml:space="preserve"> </w:t>
      </w:r>
      <w:r>
        <w:rPr>
          <w:spacing w:val="-2"/>
        </w:rPr>
        <w:t>Many</w:t>
      </w:r>
      <w:r>
        <w:rPr>
          <w:spacing w:val="-15"/>
        </w:rPr>
        <w:t xml:space="preserve"> </w:t>
      </w:r>
      <w:r>
        <w:rPr>
          <w:spacing w:val="-2"/>
        </w:rPr>
        <w:t xml:space="preserve">deny </w:t>
      </w:r>
      <w:r>
        <w:t>this (for reasons that we’ll discuss in a moment); but many, including the present author, hold it. But different authors use the word “analytic” to mean different things, and we must make it clear how we will be using it before we can</w:t>
      </w:r>
      <w:r>
        <w:rPr>
          <w:spacing w:val="-15"/>
        </w:rPr>
        <w:t xml:space="preserve"> </w:t>
      </w:r>
      <w:r>
        <w:t>evaluate</w:t>
      </w:r>
      <w:r>
        <w:rPr>
          <w:spacing w:val="-15"/>
        </w:rPr>
        <w:t xml:space="preserve"> </w:t>
      </w:r>
      <w:r>
        <w:t>the</w:t>
      </w:r>
      <w:r>
        <w:rPr>
          <w:spacing w:val="-15"/>
        </w:rPr>
        <w:t xml:space="preserve"> </w:t>
      </w:r>
      <w:r>
        <w:t>proposal</w:t>
      </w:r>
      <w:r>
        <w:rPr>
          <w:spacing w:val="-16"/>
        </w:rPr>
        <w:t xml:space="preserve"> </w:t>
      </w:r>
      <w:r>
        <w:t>that</w:t>
      </w:r>
      <w:r>
        <w:rPr>
          <w:spacing w:val="-16"/>
        </w:rPr>
        <w:t xml:space="preserve"> </w:t>
      </w:r>
      <w:r>
        <w:t>necessary</w:t>
      </w:r>
      <w:r>
        <w:rPr>
          <w:spacing w:val="-15"/>
        </w:rPr>
        <w:t xml:space="preserve"> </w:t>
      </w:r>
      <w:r>
        <w:t>truth</w:t>
      </w:r>
      <w:r>
        <w:rPr>
          <w:spacing w:val="-15"/>
        </w:rPr>
        <w:t xml:space="preserve"> </w:t>
      </w:r>
      <w:r>
        <w:t>is</w:t>
      </w:r>
      <w:r>
        <w:rPr>
          <w:spacing w:val="-15"/>
        </w:rPr>
        <w:t xml:space="preserve"> </w:t>
      </w:r>
      <w:r>
        <w:t>analytic</w:t>
      </w:r>
      <w:r>
        <w:rPr>
          <w:spacing w:val="-15"/>
        </w:rPr>
        <w:t xml:space="preserve"> </w:t>
      </w:r>
      <w:r>
        <w:t>truth.</w:t>
      </w:r>
    </w:p>
    <w:p w14:paraId="7E0021A4" w14:textId="77777777" w:rsidR="009A58DB" w:rsidRDefault="00000000">
      <w:pPr>
        <w:pStyle w:val="BodyText"/>
        <w:spacing w:before="10" w:line="249" w:lineRule="auto"/>
        <w:ind w:right="360" w:firstLine="360"/>
      </w:pPr>
      <w:r>
        <w:rPr>
          <w:spacing w:val="-2"/>
        </w:rPr>
        <w:t>Sometimes</w:t>
      </w:r>
      <w:r>
        <w:rPr>
          <w:spacing w:val="-11"/>
        </w:rPr>
        <w:t xml:space="preserve"> </w:t>
      </w:r>
      <w:r>
        <w:rPr>
          <w:spacing w:val="-2"/>
        </w:rPr>
        <w:t>that</w:t>
      </w:r>
      <w:r>
        <w:rPr>
          <w:spacing w:val="-10"/>
        </w:rPr>
        <w:t xml:space="preserve"> </w:t>
      </w:r>
      <w:r>
        <w:rPr>
          <w:spacing w:val="-2"/>
        </w:rPr>
        <w:t>word</w:t>
      </w:r>
      <w:r>
        <w:rPr>
          <w:spacing w:val="-10"/>
        </w:rPr>
        <w:t xml:space="preserve"> </w:t>
      </w:r>
      <w:r>
        <w:rPr>
          <w:spacing w:val="-2"/>
        </w:rPr>
        <w:t>denotes</w:t>
      </w:r>
      <w:r>
        <w:rPr>
          <w:spacing w:val="-10"/>
        </w:rPr>
        <w:t xml:space="preserve"> </w:t>
      </w:r>
      <w:r>
        <w:rPr>
          <w:spacing w:val="-2"/>
        </w:rPr>
        <w:t>a</w:t>
      </w:r>
      <w:r>
        <w:rPr>
          <w:spacing w:val="-10"/>
        </w:rPr>
        <w:t xml:space="preserve"> </w:t>
      </w:r>
      <w:r>
        <w:rPr>
          <w:spacing w:val="-2"/>
        </w:rPr>
        <w:t>property</w:t>
      </w:r>
      <w:r>
        <w:rPr>
          <w:spacing w:val="-10"/>
        </w:rPr>
        <w:t xml:space="preserve"> </w:t>
      </w:r>
      <w:r>
        <w:rPr>
          <w:spacing w:val="-2"/>
        </w:rPr>
        <w:t>of</w:t>
      </w:r>
      <w:r>
        <w:rPr>
          <w:spacing w:val="-10"/>
        </w:rPr>
        <w:t xml:space="preserve"> </w:t>
      </w:r>
      <w:r>
        <w:rPr>
          <w:spacing w:val="-2"/>
        </w:rPr>
        <w:t>sentences;</w:t>
      </w:r>
      <w:r>
        <w:rPr>
          <w:spacing w:val="-10"/>
        </w:rPr>
        <w:t xml:space="preserve"> </w:t>
      </w:r>
      <w:r>
        <w:rPr>
          <w:spacing w:val="-2"/>
        </w:rPr>
        <w:t>other</w:t>
      </w:r>
      <w:r>
        <w:rPr>
          <w:spacing w:val="-10"/>
        </w:rPr>
        <w:t xml:space="preserve"> </w:t>
      </w:r>
      <w:r>
        <w:rPr>
          <w:spacing w:val="-2"/>
        </w:rPr>
        <w:t>times,</w:t>
      </w:r>
      <w:r>
        <w:rPr>
          <w:spacing w:val="-10"/>
        </w:rPr>
        <w:t xml:space="preserve"> </w:t>
      </w:r>
      <w:r>
        <w:rPr>
          <w:spacing w:val="-2"/>
        </w:rPr>
        <w:t>it</w:t>
      </w:r>
      <w:r>
        <w:rPr>
          <w:spacing w:val="-10"/>
        </w:rPr>
        <w:t xml:space="preserve"> </w:t>
      </w:r>
      <w:r>
        <w:rPr>
          <w:spacing w:val="-2"/>
        </w:rPr>
        <w:t xml:space="preserve">denotes </w:t>
      </w:r>
      <w:r>
        <w:t>a proposition of propositions. A</w:t>
      </w:r>
      <w:r>
        <w:rPr>
          <w:spacing w:val="-19"/>
        </w:rPr>
        <w:t xml:space="preserve"> </w:t>
      </w:r>
      <w:r>
        <w:rPr>
          <w:i/>
        </w:rPr>
        <w:t>sentence</w:t>
      </w:r>
      <w:r>
        <w:rPr>
          <w:i/>
          <w:spacing w:val="-16"/>
        </w:rPr>
        <w:t xml:space="preserve"> </w:t>
      </w:r>
      <w:r>
        <w:t xml:space="preserve">is analytic if, given only what it </w:t>
      </w:r>
      <w:r>
        <w:rPr>
          <w:spacing w:val="-2"/>
        </w:rPr>
        <w:t>means,</w:t>
      </w:r>
      <w:r>
        <w:rPr>
          <w:spacing w:val="-16"/>
        </w:rPr>
        <w:t xml:space="preserve"> </w:t>
      </w:r>
      <w:r>
        <w:rPr>
          <w:spacing w:val="-2"/>
        </w:rPr>
        <w:t>it</w:t>
      </w:r>
      <w:r>
        <w:rPr>
          <w:spacing w:val="-17"/>
        </w:rPr>
        <w:t xml:space="preserve"> </w:t>
      </w:r>
      <w:r>
        <w:rPr>
          <w:spacing w:val="-2"/>
        </w:rPr>
        <w:t>must</w:t>
      </w:r>
      <w:r>
        <w:rPr>
          <w:spacing w:val="-16"/>
        </w:rPr>
        <w:t xml:space="preserve"> </w:t>
      </w:r>
      <w:r>
        <w:rPr>
          <w:spacing w:val="-2"/>
        </w:rPr>
        <w:t>be</w:t>
      </w:r>
      <w:r>
        <w:rPr>
          <w:spacing w:val="-16"/>
        </w:rPr>
        <w:t xml:space="preserve"> </w:t>
      </w:r>
      <w:r>
        <w:rPr>
          <w:spacing w:val="-2"/>
        </w:rPr>
        <w:t>true.</w:t>
      </w:r>
      <w:r>
        <w:rPr>
          <w:spacing w:val="-16"/>
        </w:rPr>
        <w:t xml:space="preserve"> </w:t>
      </w:r>
      <w:r>
        <w:rPr>
          <w:spacing w:val="-2"/>
        </w:rPr>
        <w:t>So</w:t>
      </w:r>
      <w:r>
        <w:rPr>
          <w:spacing w:val="-16"/>
        </w:rPr>
        <w:t xml:space="preserve"> </w:t>
      </w:r>
      <w:r>
        <w:rPr>
          <w:spacing w:val="-2"/>
        </w:rPr>
        <w:t>“squares</w:t>
      </w:r>
      <w:r>
        <w:rPr>
          <w:spacing w:val="-16"/>
        </w:rPr>
        <w:t xml:space="preserve"> </w:t>
      </w:r>
      <w:r>
        <w:rPr>
          <w:spacing w:val="-2"/>
        </w:rPr>
        <w:t>have</w:t>
      </w:r>
      <w:r>
        <w:rPr>
          <w:spacing w:val="-16"/>
        </w:rPr>
        <w:t xml:space="preserve"> </w:t>
      </w:r>
      <w:r>
        <w:rPr>
          <w:spacing w:val="-2"/>
        </w:rPr>
        <w:t>four</w:t>
      </w:r>
      <w:r>
        <w:rPr>
          <w:spacing w:val="-17"/>
        </w:rPr>
        <w:t xml:space="preserve"> </w:t>
      </w:r>
      <w:r>
        <w:rPr>
          <w:spacing w:val="-2"/>
        </w:rPr>
        <w:t>sides”</w:t>
      </w:r>
      <w:r>
        <w:rPr>
          <w:spacing w:val="-16"/>
        </w:rPr>
        <w:t xml:space="preserve"> </w:t>
      </w:r>
      <w:r>
        <w:rPr>
          <w:spacing w:val="-2"/>
        </w:rPr>
        <w:t>is</w:t>
      </w:r>
      <w:r>
        <w:rPr>
          <w:spacing w:val="-16"/>
        </w:rPr>
        <w:t xml:space="preserve"> </w:t>
      </w:r>
      <w:r>
        <w:rPr>
          <w:spacing w:val="-2"/>
        </w:rPr>
        <w:t>analytic.</w:t>
      </w:r>
      <w:r>
        <w:rPr>
          <w:spacing w:val="-16"/>
        </w:rPr>
        <w:t xml:space="preserve"> </w:t>
      </w:r>
      <w:r>
        <w:rPr>
          <w:spacing w:val="-2"/>
        </w:rPr>
        <w:t>Given</w:t>
      </w:r>
      <w:r>
        <w:rPr>
          <w:spacing w:val="-17"/>
        </w:rPr>
        <w:t xml:space="preserve"> </w:t>
      </w:r>
      <w:r>
        <w:rPr>
          <w:i/>
          <w:spacing w:val="-2"/>
        </w:rPr>
        <w:t>only</w:t>
      </w:r>
      <w:r>
        <w:rPr>
          <w:i/>
          <w:spacing w:val="-16"/>
        </w:rPr>
        <w:t xml:space="preserve"> </w:t>
      </w:r>
      <w:r>
        <w:rPr>
          <w:spacing w:val="-2"/>
        </w:rPr>
        <w:t xml:space="preserve">what </w:t>
      </w:r>
      <w:r>
        <w:t>it means, it couldn’t possibly be false. A</w:t>
      </w:r>
      <w:r>
        <w:rPr>
          <w:spacing w:val="-19"/>
        </w:rPr>
        <w:t xml:space="preserve"> </w:t>
      </w:r>
      <w:r>
        <w:rPr>
          <w:i/>
        </w:rPr>
        <w:t>proposition</w:t>
      </w:r>
      <w:r>
        <w:rPr>
          <w:i/>
          <w:spacing w:val="-17"/>
        </w:rPr>
        <w:t xml:space="preserve"> </w:t>
      </w:r>
      <w:r>
        <w:t>is analytic if it’s non-empirically</w:t>
      </w:r>
      <w:r>
        <w:rPr>
          <w:spacing w:val="-19"/>
        </w:rPr>
        <w:t xml:space="preserve"> </w:t>
      </w:r>
      <w:r>
        <w:t>true.</w:t>
      </w:r>
      <w:r>
        <w:rPr>
          <w:spacing w:val="-17"/>
        </w:rPr>
        <w:t xml:space="preserve"> </w:t>
      </w:r>
      <w:r>
        <w:t>So</w:t>
      </w:r>
      <w:r>
        <w:rPr>
          <w:spacing w:val="-11"/>
        </w:rPr>
        <w:t xml:space="preserve"> </w:t>
      </w:r>
      <w:r>
        <w:t>the</w:t>
      </w:r>
      <w:r>
        <w:rPr>
          <w:spacing w:val="-19"/>
        </w:rPr>
        <w:t xml:space="preserve"> </w:t>
      </w:r>
      <w:r>
        <w:rPr>
          <w:i/>
        </w:rPr>
        <w:t>proposition</w:t>
      </w:r>
      <w:r>
        <w:rPr>
          <w:i/>
          <w:spacing w:val="-19"/>
        </w:rPr>
        <w:t xml:space="preserve"> </w:t>
      </w:r>
      <w:r>
        <w:t>that</w:t>
      </w:r>
      <w:r>
        <w:rPr>
          <w:spacing w:val="-11"/>
        </w:rPr>
        <w:t xml:space="preserve"> </w:t>
      </w:r>
      <w:r>
        <w:t>squares</w:t>
      </w:r>
      <w:r>
        <w:rPr>
          <w:spacing w:val="-12"/>
        </w:rPr>
        <w:t xml:space="preserve"> </w:t>
      </w:r>
      <w:r>
        <w:t>have</w:t>
      </w:r>
      <w:r>
        <w:rPr>
          <w:spacing w:val="-12"/>
        </w:rPr>
        <w:t xml:space="preserve"> </w:t>
      </w:r>
      <w:r>
        <w:t>four</w:t>
      </w:r>
      <w:r>
        <w:rPr>
          <w:spacing w:val="-12"/>
        </w:rPr>
        <w:t xml:space="preserve"> </w:t>
      </w:r>
      <w:r>
        <w:t>sides</w:t>
      </w:r>
      <w:r>
        <w:rPr>
          <w:spacing w:val="-12"/>
        </w:rPr>
        <w:t xml:space="preserve"> </w:t>
      </w:r>
      <w:r>
        <w:t>is</w:t>
      </w:r>
      <w:r>
        <w:rPr>
          <w:spacing w:val="-12"/>
        </w:rPr>
        <w:t xml:space="preserve"> </w:t>
      </w:r>
      <w:r>
        <w:t>analytic.</w:t>
      </w:r>
      <w:r>
        <w:rPr>
          <w:spacing w:val="-12"/>
        </w:rPr>
        <w:t xml:space="preserve"> </w:t>
      </w:r>
      <w:r>
        <w:t>No conceivable</w:t>
      </w:r>
      <w:r>
        <w:rPr>
          <w:spacing w:val="-19"/>
        </w:rPr>
        <w:t xml:space="preserve"> </w:t>
      </w:r>
      <w:r>
        <w:t>state</w:t>
      </w:r>
      <w:r>
        <w:rPr>
          <w:spacing w:val="-19"/>
        </w:rPr>
        <w:t xml:space="preserve"> </w:t>
      </w:r>
      <w:r>
        <w:t>of</w:t>
      </w:r>
      <w:r>
        <w:rPr>
          <w:spacing w:val="-19"/>
        </w:rPr>
        <w:t xml:space="preserve"> </w:t>
      </w:r>
      <w:r>
        <w:t>affairs</w:t>
      </w:r>
      <w:r>
        <w:rPr>
          <w:spacing w:val="-18"/>
        </w:rPr>
        <w:t xml:space="preserve"> </w:t>
      </w:r>
      <w:r>
        <w:t>could</w:t>
      </w:r>
      <w:r>
        <w:rPr>
          <w:spacing w:val="-19"/>
        </w:rPr>
        <w:t xml:space="preserve"> </w:t>
      </w:r>
      <w:r>
        <w:t>make</w:t>
      </w:r>
      <w:r>
        <w:rPr>
          <w:spacing w:val="-19"/>
        </w:rPr>
        <w:t xml:space="preserve"> </w:t>
      </w:r>
      <w:r>
        <w:t>it</w:t>
      </w:r>
      <w:r>
        <w:rPr>
          <w:spacing w:val="-19"/>
        </w:rPr>
        <w:t xml:space="preserve"> </w:t>
      </w:r>
      <w:r>
        <w:t>false.</w:t>
      </w:r>
      <w:r>
        <w:rPr>
          <w:spacing w:val="-18"/>
        </w:rPr>
        <w:t xml:space="preserve"> </w:t>
      </w:r>
      <w:r>
        <w:t>We</w:t>
      </w:r>
      <w:r>
        <w:rPr>
          <w:spacing w:val="-19"/>
        </w:rPr>
        <w:t xml:space="preserve"> </w:t>
      </w:r>
      <w:r>
        <w:t>will</w:t>
      </w:r>
      <w:r>
        <w:rPr>
          <w:spacing w:val="-19"/>
        </w:rPr>
        <w:t xml:space="preserve"> </w:t>
      </w:r>
      <w:r>
        <w:t>use</w:t>
      </w:r>
      <w:r>
        <w:rPr>
          <w:spacing w:val="-19"/>
        </w:rPr>
        <w:t xml:space="preserve"> </w:t>
      </w:r>
      <w:r>
        <w:t>the</w:t>
      </w:r>
      <w:r>
        <w:rPr>
          <w:spacing w:val="-18"/>
        </w:rPr>
        <w:t xml:space="preserve"> </w:t>
      </w:r>
      <w:r>
        <w:t>word</w:t>
      </w:r>
      <w:r>
        <w:rPr>
          <w:spacing w:val="-19"/>
        </w:rPr>
        <w:t xml:space="preserve"> </w:t>
      </w:r>
      <w:r>
        <w:t>“analytic” to</w:t>
      </w:r>
      <w:r>
        <w:rPr>
          <w:spacing w:val="-11"/>
        </w:rPr>
        <w:t xml:space="preserve"> </w:t>
      </w:r>
      <w:r>
        <w:t>denote</w:t>
      </w:r>
      <w:r>
        <w:rPr>
          <w:spacing w:val="-11"/>
        </w:rPr>
        <w:t xml:space="preserve"> </w:t>
      </w:r>
      <w:r>
        <w:t>a</w:t>
      </w:r>
      <w:r>
        <w:rPr>
          <w:spacing w:val="-11"/>
        </w:rPr>
        <w:t xml:space="preserve"> </w:t>
      </w:r>
      <w:r>
        <w:t>property</w:t>
      </w:r>
      <w:r>
        <w:rPr>
          <w:spacing w:val="-11"/>
        </w:rPr>
        <w:t xml:space="preserve"> </w:t>
      </w:r>
      <w:r>
        <w:t>of</w:t>
      </w:r>
      <w:r>
        <w:rPr>
          <w:spacing w:val="-12"/>
        </w:rPr>
        <w:t xml:space="preserve"> </w:t>
      </w:r>
      <w:r>
        <w:rPr>
          <w:i/>
        </w:rPr>
        <w:t>propositions,</w:t>
      </w:r>
      <w:r>
        <w:rPr>
          <w:i/>
          <w:spacing w:val="-11"/>
        </w:rPr>
        <w:t xml:space="preserve"> </w:t>
      </w:r>
      <w:r>
        <w:t>not</w:t>
      </w:r>
      <w:r>
        <w:rPr>
          <w:spacing w:val="-12"/>
        </w:rPr>
        <w:t xml:space="preserve"> </w:t>
      </w:r>
      <w:r>
        <w:t>sentences.</w:t>
      </w:r>
    </w:p>
    <w:p w14:paraId="7E0021A5" w14:textId="77777777" w:rsidR="009A58DB" w:rsidRDefault="00000000">
      <w:pPr>
        <w:pStyle w:val="BodyText"/>
        <w:spacing w:before="9" w:line="249" w:lineRule="auto"/>
        <w:ind w:right="358" w:firstLine="360"/>
      </w:pPr>
      <w:r>
        <w:t xml:space="preserve">When examining the concept of analyticity, one must make it clear at the outset whether one is talking about sentences or propositions. Otherwise one won’t be able to produce a coherent analysis of that concept. This is because </w:t>
      </w:r>
      <w:r>
        <w:rPr>
          <w:spacing w:val="-2"/>
        </w:rPr>
        <w:t>there</w:t>
      </w:r>
      <w:r>
        <w:rPr>
          <w:spacing w:val="-9"/>
        </w:rPr>
        <w:t xml:space="preserve"> </w:t>
      </w:r>
      <w:r>
        <w:rPr>
          <w:spacing w:val="-2"/>
        </w:rPr>
        <w:t>are analytically true</w:t>
      </w:r>
      <w:r>
        <w:rPr>
          <w:spacing w:val="-17"/>
        </w:rPr>
        <w:t xml:space="preserve"> </w:t>
      </w:r>
      <w:r>
        <w:rPr>
          <w:i/>
          <w:spacing w:val="-2"/>
        </w:rPr>
        <w:t>sentences</w:t>
      </w:r>
      <w:r>
        <w:rPr>
          <w:i/>
          <w:spacing w:val="-17"/>
        </w:rPr>
        <w:t xml:space="preserve"> </w:t>
      </w:r>
      <w:r>
        <w:rPr>
          <w:spacing w:val="-2"/>
        </w:rPr>
        <w:t>(or, strictly</w:t>
      </w:r>
      <w:r>
        <w:rPr>
          <w:spacing w:val="-3"/>
        </w:rPr>
        <w:t xml:space="preserve"> </w:t>
      </w:r>
      <w:r>
        <w:rPr>
          <w:spacing w:val="-2"/>
        </w:rPr>
        <w:t>speaking,</w:t>
      </w:r>
      <w:r>
        <w:rPr>
          <w:spacing w:val="-3"/>
        </w:rPr>
        <w:t xml:space="preserve"> </w:t>
      </w:r>
      <w:r>
        <w:rPr>
          <w:spacing w:val="-2"/>
        </w:rPr>
        <w:t>sentence-tokens)</w:t>
      </w:r>
      <w:r>
        <w:rPr>
          <w:spacing w:val="-3"/>
        </w:rPr>
        <w:t xml:space="preserve"> </w:t>
      </w:r>
      <w:r>
        <w:rPr>
          <w:spacing w:val="-2"/>
        </w:rPr>
        <w:t xml:space="preserve">that </w:t>
      </w:r>
      <w:r>
        <w:t>have</w:t>
      </w:r>
      <w:r>
        <w:rPr>
          <w:spacing w:val="-19"/>
        </w:rPr>
        <w:t xml:space="preserve"> </w:t>
      </w:r>
      <w:r>
        <w:t>contingent</w:t>
      </w:r>
      <w:r>
        <w:rPr>
          <w:spacing w:val="-18"/>
        </w:rPr>
        <w:t xml:space="preserve"> </w:t>
      </w:r>
      <w:r>
        <w:t>propositions</w:t>
      </w:r>
      <w:r>
        <w:rPr>
          <w:spacing w:val="-19"/>
        </w:rPr>
        <w:t xml:space="preserve"> </w:t>
      </w:r>
      <w:r>
        <w:t>for</w:t>
      </w:r>
      <w:r>
        <w:rPr>
          <w:spacing w:val="-18"/>
        </w:rPr>
        <w:t xml:space="preserve"> </w:t>
      </w:r>
      <w:r>
        <w:t>their</w:t>
      </w:r>
      <w:r>
        <w:rPr>
          <w:spacing w:val="-19"/>
        </w:rPr>
        <w:t xml:space="preserve"> </w:t>
      </w:r>
      <w:r>
        <w:t>meanings.</w:t>
      </w:r>
      <w:r>
        <w:rPr>
          <w:spacing w:val="-18"/>
        </w:rPr>
        <w:t xml:space="preserve"> </w:t>
      </w:r>
      <w:r>
        <w:t>If,</w:t>
      </w:r>
      <w:r>
        <w:rPr>
          <w:spacing w:val="-19"/>
        </w:rPr>
        <w:t xml:space="preserve"> </w:t>
      </w:r>
      <w:r>
        <w:t>at</w:t>
      </w:r>
      <w:r>
        <w:rPr>
          <w:spacing w:val="-18"/>
        </w:rPr>
        <w:t xml:space="preserve"> </w:t>
      </w:r>
      <w:r>
        <w:t>this</w:t>
      </w:r>
      <w:r>
        <w:rPr>
          <w:spacing w:val="-19"/>
        </w:rPr>
        <w:t xml:space="preserve"> </w:t>
      </w:r>
      <w:r>
        <w:t>very</w:t>
      </w:r>
      <w:r>
        <w:rPr>
          <w:spacing w:val="-18"/>
        </w:rPr>
        <w:t xml:space="preserve"> </w:t>
      </w:r>
      <w:r>
        <w:t>moment,</w:t>
      </w:r>
      <w:r>
        <w:rPr>
          <w:spacing w:val="-19"/>
        </w:rPr>
        <w:t xml:space="preserve"> </w:t>
      </w:r>
      <w:r>
        <w:t>I</w:t>
      </w:r>
      <w:r>
        <w:rPr>
          <w:spacing w:val="-18"/>
        </w:rPr>
        <w:t xml:space="preserve"> </w:t>
      </w:r>
      <w:r>
        <w:t>were to say “I am here now,” my utterance couldn’t fail to be true. Given only the semantic rules that assign truth-conditions to that utterance, it’s a logical impossibility that it should be false. But</w:t>
      </w:r>
      <w:r>
        <w:rPr>
          <w:spacing w:val="-19"/>
        </w:rPr>
        <w:t xml:space="preserve"> </w:t>
      </w:r>
      <w:r>
        <w:rPr>
          <w:i/>
        </w:rPr>
        <w:t>what it is that I’m saying</w:t>
      </w:r>
      <w:r>
        <w:rPr>
          <w:i/>
          <w:spacing w:val="-19"/>
        </w:rPr>
        <w:t xml:space="preserve"> </w:t>
      </w:r>
      <w:r>
        <w:t>could very well be false. Given that I am JMK, that I’m in Richmond, and that it’s now March 13, 2009, I am, in producing such an utterance, attributing to JMK the property</w:t>
      </w:r>
      <w:r>
        <w:rPr>
          <w:spacing w:val="-18"/>
        </w:rPr>
        <w:t xml:space="preserve"> </w:t>
      </w:r>
      <w:r>
        <w:t>of</w:t>
      </w:r>
      <w:r>
        <w:rPr>
          <w:spacing w:val="-13"/>
        </w:rPr>
        <w:t xml:space="preserve"> </w:t>
      </w:r>
      <w:r>
        <w:t>being</w:t>
      </w:r>
      <w:r>
        <w:rPr>
          <w:spacing w:val="-13"/>
        </w:rPr>
        <w:t xml:space="preserve"> </w:t>
      </w:r>
      <w:r>
        <w:t>in</w:t>
      </w:r>
      <w:r>
        <w:rPr>
          <w:spacing w:val="-13"/>
        </w:rPr>
        <w:t xml:space="preserve"> </w:t>
      </w:r>
      <w:r>
        <w:t>Richmond,</w:t>
      </w:r>
      <w:r>
        <w:rPr>
          <w:spacing w:val="-16"/>
        </w:rPr>
        <w:t xml:space="preserve"> </w:t>
      </w:r>
      <w:r>
        <w:t>VA,</w:t>
      </w:r>
      <w:r>
        <w:rPr>
          <w:spacing w:val="-13"/>
        </w:rPr>
        <w:t xml:space="preserve"> </w:t>
      </w:r>
      <w:r>
        <w:t>on</w:t>
      </w:r>
      <w:r>
        <w:rPr>
          <w:spacing w:val="-13"/>
        </w:rPr>
        <w:t xml:space="preserve"> </w:t>
      </w:r>
      <w:r>
        <w:t>March</w:t>
      </w:r>
      <w:r>
        <w:rPr>
          <w:spacing w:val="-13"/>
        </w:rPr>
        <w:t xml:space="preserve"> </w:t>
      </w:r>
      <w:r>
        <w:t>13,</w:t>
      </w:r>
      <w:r>
        <w:rPr>
          <w:spacing w:val="-12"/>
        </w:rPr>
        <w:t xml:space="preserve"> </w:t>
      </w:r>
      <w:r>
        <w:t>2009.</w:t>
      </w:r>
      <w:r>
        <w:rPr>
          <w:spacing w:val="-19"/>
        </w:rPr>
        <w:t xml:space="preserve"> </w:t>
      </w:r>
      <w:r>
        <w:t>And,</w:t>
      </w:r>
      <w:r>
        <w:rPr>
          <w:spacing w:val="-12"/>
        </w:rPr>
        <w:t xml:space="preserve"> </w:t>
      </w:r>
      <w:r>
        <w:t>quite</w:t>
      </w:r>
      <w:r>
        <w:rPr>
          <w:spacing w:val="-12"/>
        </w:rPr>
        <w:t xml:space="preserve"> </w:t>
      </w:r>
      <w:r>
        <w:t>obviously, it’s</w:t>
      </w:r>
      <w:r>
        <w:rPr>
          <w:spacing w:val="-19"/>
        </w:rPr>
        <w:t xml:space="preserve"> </w:t>
      </w:r>
      <w:r>
        <w:rPr>
          <w:i/>
        </w:rPr>
        <w:t>not</w:t>
      </w:r>
      <w:r>
        <w:rPr>
          <w:i/>
          <w:spacing w:val="-19"/>
        </w:rPr>
        <w:t xml:space="preserve"> </w:t>
      </w:r>
      <w:r>
        <w:t>a</w:t>
      </w:r>
      <w:r>
        <w:rPr>
          <w:spacing w:val="-14"/>
        </w:rPr>
        <w:t xml:space="preserve"> </w:t>
      </w:r>
      <w:r>
        <w:t>necessary</w:t>
      </w:r>
      <w:r>
        <w:rPr>
          <w:spacing w:val="-10"/>
        </w:rPr>
        <w:t xml:space="preserve"> </w:t>
      </w:r>
      <w:r>
        <w:t>truth</w:t>
      </w:r>
      <w:r>
        <w:rPr>
          <w:spacing w:val="-10"/>
        </w:rPr>
        <w:t xml:space="preserve"> </w:t>
      </w:r>
      <w:r>
        <w:t>that</w:t>
      </w:r>
      <w:r>
        <w:rPr>
          <w:spacing w:val="-10"/>
        </w:rPr>
        <w:t xml:space="preserve"> </w:t>
      </w:r>
      <w:r>
        <w:t>I</w:t>
      </w:r>
      <w:r>
        <w:rPr>
          <w:spacing w:val="-10"/>
        </w:rPr>
        <w:t xml:space="preserve"> </w:t>
      </w:r>
      <w:r>
        <w:t>be</w:t>
      </w:r>
      <w:r>
        <w:rPr>
          <w:spacing w:val="-10"/>
        </w:rPr>
        <w:t xml:space="preserve"> </w:t>
      </w:r>
      <w:r>
        <w:t>in</w:t>
      </w:r>
      <w:r>
        <w:rPr>
          <w:spacing w:val="-10"/>
        </w:rPr>
        <w:t xml:space="preserve"> </w:t>
      </w:r>
      <w:r>
        <w:t>that</w:t>
      </w:r>
      <w:r>
        <w:rPr>
          <w:spacing w:val="-10"/>
        </w:rPr>
        <w:t xml:space="preserve"> </w:t>
      </w:r>
      <w:r>
        <w:t>place</w:t>
      </w:r>
      <w:r>
        <w:rPr>
          <w:spacing w:val="-10"/>
        </w:rPr>
        <w:t xml:space="preserve"> </w:t>
      </w:r>
      <w:r>
        <w:t>at</w:t>
      </w:r>
      <w:r>
        <w:rPr>
          <w:spacing w:val="-10"/>
        </w:rPr>
        <w:t xml:space="preserve"> </w:t>
      </w:r>
      <w:r>
        <w:t>that</w:t>
      </w:r>
      <w:r>
        <w:rPr>
          <w:spacing w:val="-10"/>
        </w:rPr>
        <w:t xml:space="preserve"> </w:t>
      </w:r>
      <w:r>
        <w:t>time.</w:t>
      </w:r>
      <w:r>
        <w:rPr>
          <w:spacing w:val="-10"/>
        </w:rPr>
        <w:t xml:space="preserve"> </w:t>
      </w:r>
      <w:r>
        <w:t>Similarly,</w:t>
      </w:r>
      <w:r>
        <w:rPr>
          <w:spacing w:val="-10"/>
        </w:rPr>
        <w:t xml:space="preserve"> </w:t>
      </w:r>
      <w:r>
        <w:t>if</w:t>
      </w:r>
      <w:r>
        <w:rPr>
          <w:spacing w:val="-10"/>
        </w:rPr>
        <w:t xml:space="preserve"> </w:t>
      </w:r>
      <w:r>
        <w:t>I</w:t>
      </w:r>
      <w:r>
        <w:rPr>
          <w:spacing w:val="-10"/>
        </w:rPr>
        <w:t xml:space="preserve"> </w:t>
      </w:r>
      <w:r>
        <w:t>say</w:t>
      </w:r>
      <w:r>
        <w:rPr>
          <w:spacing w:val="-10"/>
        </w:rPr>
        <w:t xml:space="preserve"> </w:t>
      </w:r>
      <w:r>
        <w:t>“I am</w:t>
      </w:r>
      <w:r>
        <w:rPr>
          <w:spacing w:val="-21"/>
        </w:rPr>
        <w:t xml:space="preserve"> </w:t>
      </w:r>
      <w:r>
        <w:t>not</w:t>
      </w:r>
      <w:r>
        <w:rPr>
          <w:spacing w:val="-19"/>
        </w:rPr>
        <w:t xml:space="preserve"> </w:t>
      </w:r>
      <w:r>
        <w:t>here</w:t>
      </w:r>
      <w:r>
        <w:rPr>
          <w:spacing w:val="-19"/>
        </w:rPr>
        <w:t xml:space="preserve"> </w:t>
      </w:r>
      <w:r>
        <w:t>now,”</w:t>
      </w:r>
      <w:r>
        <w:rPr>
          <w:spacing w:val="-18"/>
        </w:rPr>
        <w:t xml:space="preserve"> </w:t>
      </w:r>
      <w:r>
        <w:t>my</w:t>
      </w:r>
      <w:r>
        <w:rPr>
          <w:spacing w:val="-19"/>
        </w:rPr>
        <w:t xml:space="preserve"> </w:t>
      </w:r>
      <w:r>
        <w:t>utterance</w:t>
      </w:r>
      <w:r>
        <w:rPr>
          <w:spacing w:val="-19"/>
        </w:rPr>
        <w:t xml:space="preserve"> </w:t>
      </w:r>
      <w:r>
        <w:t>is</w:t>
      </w:r>
      <w:r>
        <w:rPr>
          <w:spacing w:val="-19"/>
        </w:rPr>
        <w:t xml:space="preserve"> </w:t>
      </w:r>
      <w:r>
        <w:t>analytically</w:t>
      </w:r>
      <w:r>
        <w:rPr>
          <w:spacing w:val="-18"/>
        </w:rPr>
        <w:t xml:space="preserve"> </w:t>
      </w:r>
      <w:r>
        <w:t>false:</w:t>
      </w:r>
      <w:r>
        <w:rPr>
          <w:spacing w:val="-19"/>
        </w:rPr>
        <w:t xml:space="preserve"> </w:t>
      </w:r>
      <w:r>
        <w:t>given</w:t>
      </w:r>
      <w:r>
        <w:rPr>
          <w:spacing w:val="-19"/>
        </w:rPr>
        <w:t xml:space="preserve"> </w:t>
      </w:r>
      <w:r>
        <w:rPr>
          <w:i/>
        </w:rPr>
        <w:t>only</w:t>
      </w:r>
      <w:r>
        <w:rPr>
          <w:i/>
          <w:spacing w:val="-19"/>
        </w:rPr>
        <w:t xml:space="preserve"> </w:t>
      </w:r>
      <w:r>
        <w:t>its</w:t>
      </w:r>
      <w:r>
        <w:rPr>
          <w:spacing w:val="-18"/>
        </w:rPr>
        <w:t xml:space="preserve"> </w:t>
      </w:r>
      <w:r>
        <w:t>semantics—given only what the semantic rules are that assign truths-conditions to it—it’s</w:t>
      </w:r>
    </w:p>
    <w:p w14:paraId="7E0021A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A7" w14:textId="77777777" w:rsidR="009A58DB" w:rsidRDefault="00000000">
      <w:pPr>
        <w:pStyle w:val="BodyText"/>
        <w:spacing w:before="65" w:line="249" w:lineRule="auto"/>
        <w:ind w:right="360"/>
      </w:pPr>
      <w:r>
        <w:rPr>
          <w:spacing w:val="-2"/>
        </w:rPr>
        <w:lastRenderedPageBreak/>
        <w:t>logically</w:t>
      </w:r>
      <w:r>
        <w:rPr>
          <w:spacing w:val="-17"/>
        </w:rPr>
        <w:t xml:space="preserve"> </w:t>
      </w:r>
      <w:r>
        <w:rPr>
          <w:spacing w:val="-2"/>
        </w:rPr>
        <w:t>impossible</w:t>
      </w:r>
      <w:r>
        <w:rPr>
          <w:spacing w:val="-17"/>
        </w:rPr>
        <w:t xml:space="preserve"> </w:t>
      </w:r>
      <w:r>
        <w:rPr>
          <w:spacing w:val="-2"/>
        </w:rPr>
        <w:t>that</w:t>
      </w:r>
      <w:r>
        <w:rPr>
          <w:spacing w:val="-17"/>
        </w:rPr>
        <w:t xml:space="preserve"> </w:t>
      </w:r>
      <w:r>
        <w:rPr>
          <w:spacing w:val="-2"/>
        </w:rPr>
        <w:t>it</w:t>
      </w:r>
      <w:r>
        <w:rPr>
          <w:spacing w:val="-16"/>
        </w:rPr>
        <w:t xml:space="preserve"> </w:t>
      </w:r>
      <w:r>
        <w:rPr>
          <w:spacing w:val="-2"/>
        </w:rPr>
        <w:t>should</w:t>
      </w:r>
      <w:r>
        <w:rPr>
          <w:spacing w:val="-17"/>
        </w:rPr>
        <w:t xml:space="preserve"> </w:t>
      </w:r>
      <w:r>
        <w:rPr>
          <w:spacing w:val="-2"/>
        </w:rPr>
        <w:t>be</w:t>
      </w:r>
      <w:r>
        <w:rPr>
          <w:spacing w:val="-17"/>
        </w:rPr>
        <w:t xml:space="preserve"> </w:t>
      </w:r>
      <w:r>
        <w:rPr>
          <w:spacing w:val="-2"/>
        </w:rPr>
        <w:t>true.</w:t>
      </w:r>
      <w:r>
        <w:rPr>
          <w:spacing w:val="-17"/>
        </w:rPr>
        <w:t xml:space="preserve"> </w:t>
      </w:r>
      <w:r>
        <w:rPr>
          <w:spacing w:val="-2"/>
        </w:rPr>
        <w:t>But</w:t>
      </w:r>
      <w:r>
        <w:rPr>
          <w:spacing w:val="-16"/>
        </w:rPr>
        <w:t xml:space="preserve"> </w:t>
      </w:r>
      <w:r>
        <w:rPr>
          <w:spacing w:val="-2"/>
        </w:rPr>
        <w:t>what</w:t>
      </w:r>
      <w:r>
        <w:rPr>
          <w:spacing w:val="-17"/>
        </w:rPr>
        <w:t xml:space="preserve"> </w:t>
      </w:r>
      <w:r>
        <w:rPr>
          <w:spacing w:val="-2"/>
        </w:rPr>
        <w:t>it’s</w:t>
      </w:r>
      <w:r>
        <w:rPr>
          <w:spacing w:val="-17"/>
        </w:rPr>
        <w:t xml:space="preserve"> </w:t>
      </w:r>
      <w:r>
        <w:rPr>
          <w:spacing w:val="-2"/>
        </w:rPr>
        <w:t>saying</w:t>
      </w:r>
      <w:r>
        <w:rPr>
          <w:spacing w:val="-17"/>
        </w:rPr>
        <w:t xml:space="preserve"> </w:t>
      </w:r>
      <w:r>
        <w:rPr>
          <w:i/>
          <w:spacing w:val="-2"/>
        </w:rPr>
        <w:t>could</w:t>
      </w:r>
      <w:r>
        <w:rPr>
          <w:i/>
          <w:spacing w:val="-16"/>
        </w:rPr>
        <w:t xml:space="preserve"> </w:t>
      </w:r>
      <w:r>
        <w:rPr>
          <w:spacing w:val="-2"/>
        </w:rPr>
        <w:t>easily</w:t>
      </w:r>
      <w:r>
        <w:rPr>
          <w:spacing w:val="-17"/>
        </w:rPr>
        <w:t xml:space="preserve"> </w:t>
      </w:r>
      <w:r>
        <w:rPr>
          <w:spacing w:val="-2"/>
        </w:rPr>
        <w:t xml:space="preserve">have </w:t>
      </w:r>
      <w:r>
        <w:t>been</w:t>
      </w:r>
      <w:r>
        <w:rPr>
          <w:spacing w:val="-14"/>
        </w:rPr>
        <w:t xml:space="preserve"> </w:t>
      </w:r>
      <w:r>
        <w:t>false;</w:t>
      </w:r>
      <w:r>
        <w:rPr>
          <w:spacing w:val="-14"/>
        </w:rPr>
        <w:t xml:space="preserve"> </w:t>
      </w:r>
      <w:r>
        <w:t>I</w:t>
      </w:r>
      <w:r>
        <w:rPr>
          <w:spacing w:val="-14"/>
        </w:rPr>
        <w:t xml:space="preserve"> </w:t>
      </w:r>
      <w:r>
        <w:t>might</w:t>
      </w:r>
      <w:r>
        <w:rPr>
          <w:spacing w:val="-14"/>
        </w:rPr>
        <w:t xml:space="preserve"> </w:t>
      </w:r>
      <w:r>
        <w:t>not,</w:t>
      </w:r>
      <w:r>
        <w:rPr>
          <w:spacing w:val="-13"/>
        </w:rPr>
        <w:t xml:space="preserve"> </w:t>
      </w:r>
      <w:r>
        <w:t>after</w:t>
      </w:r>
      <w:r>
        <w:rPr>
          <w:spacing w:val="-13"/>
        </w:rPr>
        <w:t xml:space="preserve"> </w:t>
      </w:r>
      <w:r>
        <w:t>all,</w:t>
      </w:r>
      <w:r>
        <w:rPr>
          <w:spacing w:val="-13"/>
        </w:rPr>
        <w:t xml:space="preserve"> </w:t>
      </w:r>
      <w:r>
        <w:t>have</w:t>
      </w:r>
      <w:r>
        <w:rPr>
          <w:spacing w:val="-13"/>
        </w:rPr>
        <w:t xml:space="preserve"> </w:t>
      </w:r>
      <w:r>
        <w:t>been</w:t>
      </w:r>
      <w:r>
        <w:rPr>
          <w:spacing w:val="-13"/>
        </w:rPr>
        <w:t xml:space="preserve"> </w:t>
      </w:r>
      <w:r>
        <w:t>in</w:t>
      </w:r>
      <w:r>
        <w:rPr>
          <w:spacing w:val="-13"/>
        </w:rPr>
        <w:t xml:space="preserve"> </w:t>
      </w:r>
      <w:r>
        <w:t>Richmond,</w:t>
      </w:r>
      <w:r>
        <w:rPr>
          <w:spacing w:val="-18"/>
        </w:rPr>
        <w:t xml:space="preserve"> </w:t>
      </w:r>
      <w:r>
        <w:t>VA,</w:t>
      </w:r>
      <w:r>
        <w:rPr>
          <w:spacing w:val="-13"/>
        </w:rPr>
        <w:t xml:space="preserve"> </w:t>
      </w:r>
      <w:r>
        <w:t>at</w:t>
      </w:r>
      <w:r>
        <w:rPr>
          <w:spacing w:val="-14"/>
        </w:rPr>
        <w:t xml:space="preserve"> </w:t>
      </w:r>
      <w:r>
        <w:t>this</w:t>
      </w:r>
      <w:r>
        <w:rPr>
          <w:spacing w:val="-13"/>
        </w:rPr>
        <w:t xml:space="preserve"> </w:t>
      </w:r>
      <w:r>
        <w:t>very</w:t>
      </w:r>
      <w:r>
        <w:rPr>
          <w:spacing w:val="-13"/>
        </w:rPr>
        <w:t xml:space="preserve"> </w:t>
      </w:r>
      <w:r>
        <w:t>time. It</w:t>
      </w:r>
      <w:r>
        <w:rPr>
          <w:spacing w:val="-18"/>
        </w:rPr>
        <w:t xml:space="preserve"> </w:t>
      </w:r>
      <w:r>
        <w:t>isn’t</w:t>
      </w:r>
      <w:r>
        <w:rPr>
          <w:spacing w:val="-18"/>
        </w:rPr>
        <w:t xml:space="preserve"> </w:t>
      </w:r>
      <w:r>
        <w:t>in</w:t>
      </w:r>
      <w:r>
        <w:rPr>
          <w:spacing w:val="-18"/>
        </w:rPr>
        <w:t xml:space="preserve"> </w:t>
      </w:r>
      <w:r>
        <w:t>virtue</w:t>
      </w:r>
      <w:r>
        <w:rPr>
          <w:spacing w:val="-18"/>
        </w:rPr>
        <w:t xml:space="preserve"> </w:t>
      </w:r>
      <w:r>
        <w:t>of</w:t>
      </w:r>
      <w:r>
        <w:rPr>
          <w:spacing w:val="-18"/>
        </w:rPr>
        <w:t xml:space="preserve"> </w:t>
      </w:r>
      <w:r>
        <w:t>what</w:t>
      </w:r>
      <w:r>
        <w:rPr>
          <w:spacing w:val="-18"/>
        </w:rPr>
        <w:t xml:space="preserve"> </w:t>
      </w:r>
      <w:r>
        <w:t>it’s</w:t>
      </w:r>
      <w:r>
        <w:rPr>
          <w:spacing w:val="-18"/>
        </w:rPr>
        <w:t xml:space="preserve"> </w:t>
      </w:r>
      <w:r>
        <w:t>saying</w:t>
      </w:r>
      <w:r>
        <w:rPr>
          <w:spacing w:val="-18"/>
        </w:rPr>
        <w:t xml:space="preserve"> </w:t>
      </w:r>
      <w:r>
        <w:t>that</w:t>
      </w:r>
      <w:r>
        <w:rPr>
          <w:spacing w:val="-18"/>
        </w:rPr>
        <w:t xml:space="preserve"> </w:t>
      </w:r>
      <w:r>
        <w:t>a</w:t>
      </w:r>
      <w:r>
        <w:rPr>
          <w:spacing w:val="-18"/>
        </w:rPr>
        <w:t xml:space="preserve"> </w:t>
      </w:r>
      <w:r>
        <w:t>given</w:t>
      </w:r>
      <w:r>
        <w:rPr>
          <w:spacing w:val="-18"/>
        </w:rPr>
        <w:t xml:space="preserve"> </w:t>
      </w:r>
      <w:r>
        <w:t>token</w:t>
      </w:r>
      <w:r>
        <w:rPr>
          <w:spacing w:val="-18"/>
        </w:rPr>
        <w:t xml:space="preserve"> </w:t>
      </w:r>
      <w:r>
        <w:t>of</w:t>
      </w:r>
      <w:r>
        <w:rPr>
          <w:spacing w:val="-18"/>
        </w:rPr>
        <w:t xml:space="preserve"> </w:t>
      </w:r>
      <w:r>
        <w:t>“I</w:t>
      </w:r>
      <w:r>
        <w:rPr>
          <w:spacing w:val="-18"/>
        </w:rPr>
        <w:t xml:space="preserve"> </w:t>
      </w:r>
      <w:r>
        <w:t>am</w:t>
      </w:r>
      <w:r>
        <w:rPr>
          <w:spacing w:val="-18"/>
        </w:rPr>
        <w:t xml:space="preserve"> </w:t>
      </w:r>
      <w:r>
        <w:t>here</w:t>
      </w:r>
      <w:r>
        <w:rPr>
          <w:spacing w:val="-18"/>
        </w:rPr>
        <w:t xml:space="preserve"> </w:t>
      </w:r>
      <w:r>
        <w:t>now”</w:t>
      </w:r>
      <w:r>
        <w:rPr>
          <w:spacing w:val="-18"/>
        </w:rPr>
        <w:t xml:space="preserve"> </w:t>
      </w:r>
      <w:r>
        <w:t>(“I</w:t>
      </w:r>
      <w:r>
        <w:rPr>
          <w:spacing w:val="-18"/>
        </w:rPr>
        <w:t xml:space="preserve"> </w:t>
      </w:r>
      <w:r>
        <w:t>am not</w:t>
      </w:r>
      <w:r>
        <w:rPr>
          <w:spacing w:val="-11"/>
        </w:rPr>
        <w:t xml:space="preserve"> </w:t>
      </w:r>
      <w:r>
        <w:t>here</w:t>
      </w:r>
      <w:r>
        <w:rPr>
          <w:spacing w:val="-11"/>
        </w:rPr>
        <w:t xml:space="preserve"> </w:t>
      </w:r>
      <w:r>
        <w:t>now”)</w:t>
      </w:r>
      <w:r>
        <w:rPr>
          <w:spacing w:val="-11"/>
        </w:rPr>
        <w:t xml:space="preserve"> </w:t>
      </w:r>
      <w:r>
        <w:t>must</w:t>
      </w:r>
      <w:r>
        <w:rPr>
          <w:spacing w:val="-11"/>
        </w:rPr>
        <w:t xml:space="preserve"> </w:t>
      </w:r>
      <w:r>
        <w:t>be</w:t>
      </w:r>
      <w:r>
        <w:rPr>
          <w:spacing w:val="-11"/>
        </w:rPr>
        <w:t xml:space="preserve"> </w:t>
      </w:r>
      <w:r>
        <w:t>true</w:t>
      </w:r>
      <w:r>
        <w:rPr>
          <w:spacing w:val="-11"/>
        </w:rPr>
        <w:t xml:space="preserve"> </w:t>
      </w:r>
      <w:r>
        <w:t>(false);</w:t>
      </w:r>
      <w:r>
        <w:rPr>
          <w:spacing w:val="-11"/>
        </w:rPr>
        <w:t xml:space="preserve"> </w:t>
      </w:r>
      <w:r>
        <w:t>it</w:t>
      </w:r>
      <w:r>
        <w:rPr>
          <w:spacing w:val="-11"/>
        </w:rPr>
        <w:t xml:space="preserve"> </w:t>
      </w:r>
      <w:r>
        <w:t>is</w:t>
      </w:r>
      <w:r>
        <w:rPr>
          <w:spacing w:val="-10"/>
        </w:rPr>
        <w:t xml:space="preserve"> </w:t>
      </w:r>
      <w:r>
        <w:t>in</w:t>
      </w:r>
      <w:r>
        <w:rPr>
          <w:spacing w:val="-10"/>
        </w:rPr>
        <w:t xml:space="preserve"> </w:t>
      </w:r>
      <w:r>
        <w:t>virtue</w:t>
      </w:r>
      <w:r>
        <w:rPr>
          <w:spacing w:val="-10"/>
        </w:rPr>
        <w:t xml:space="preserve"> </w:t>
      </w:r>
      <w:r>
        <w:t>of</w:t>
      </w:r>
      <w:r>
        <w:rPr>
          <w:spacing w:val="-10"/>
        </w:rPr>
        <w:t xml:space="preserve"> </w:t>
      </w:r>
      <w:r>
        <w:t>how</w:t>
      </w:r>
      <w:r>
        <w:rPr>
          <w:spacing w:val="-10"/>
        </w:rPr>
        <w:t xml:space="preserve"> </w:t>
      </w:r>
      <w:r>
        <w:t>it</w:t>
      </w:r>
      <w:r>
        <w:rPr>
          <w:spacing w:val="-11"/>
        </w:rPr>
        <w:t xml:space="preserve"> </w:t>
      </w:r>
      <w:r>
        <w:t>is</w:t>
      </w:r>
      <w:r>
        <w:rPr>
          <w:spacing w:val="-10"/>
        </w:rPr>
        <w:t xml:space="preserve"> </w:t>
      </w:r>
      <w:r>
        <w:t>saying</w:t>
      </w:r>
      <w:r>
        <w:rPr>
          <w:spacing w:val="-10"/>
        </w:rPr>
        <w:t xml:space="preserve"> </w:t>
      </w:r>
      <w:r>
        <w:t>it.</w:t>
      </w:r>
      <w:r>
        <w:rPr>
          <w:spacing w:val="-10"/>
        </w:rPr>
        <w:t xml:space="preserve"> </w:t>
      </w:r>
      <w:r>
        <w:t>But</w:t>
      </w:r>
      <w:r>
        <w:rPr>
          <w:spacing w:val="-11"/>
        </w:rPr>
        <w:t xml:space="preserve"> </w:t>
      </w:r>
      <w:r>
        <w:t>it</w:t>
      </w:r>
      <w:r>
        <w:rPr>
          <w:spacing w:val="-19"/>
        </w:rPr>
        <w:t xml:space="preserve"> </w:t>
      </w:r>
      <w:r>
        <w:rPr>
          <w:i/>
        </w:rPr>
        <w:t xml:space="preserve">is </w:t>
      </w:r>
      <w:r>
        <w:t>in</w:t>
      </w:r>
      <w:r>
        <w:rPr>
          <w:spacing w:val="-11"/>
        </w:rPr>
        <w:t xml:space="preserve"> </w:t>
      </w:r>
      <w:r>
        <w:t>virtue</w:t>
      </w:r>
      <w:r>
        <w:rPr>
          <w:spacing w:val="-11"/>
        </w:rPr>
        <w:t xml:space="preserve"> </w:t>
      </w:r>
      <w:r>
        <w:t>of</w:t>
      </w:r>
      <w:r>
        <w:rPr>
          <w:spacing w:val="-11"/>
        </w:rPr>
        <w:t xml:space="preserve"> </w:t>
      </w:r>
      <w:r>
        <w:t>what</w:t>
      </w:r>
      <w:r>
        <w:rPr>
          <w:spacing w:val="-11"/>
        </w:rPr>
        <w:t xml:space="preserve"> </w:t>
      </w:r>
      <w:r>
        <w:t>it</w:t>
      </w:r>
      <w:r>
        <w:rPr>
          <w:spacing w:val="-11"/>
        </w:rPr>
        <w:t xml:space="preserve"> </w:t>
      </w:r>
      <w:r>
        <w:t>is</w:t>
      </w:r>
      <w:r>
        <w:rPr>
          <w:spacing w:val="-11"/>
        </w:rPr>
        <w:t xml:space="preserve"> </w:t>
      </w:r>
      <w:r>
        <w:t>saying</w:t>
      </w:r>
      <w:r>
        <w:rPr>
          <w:spacing w:val="-11"/>
        </w:rPr>
        <w:t xml:space="preserve"> </w:t>
      </w:r>
      <w:r>
        <w:t>that</w:t>
      </w:r>
      <w:r>
        <w:rPr>
          <w:spacing w:val="-11"/>
        </w:rPr>
        <w:t xml:space="preserve"> </w:t>
      </w:r>
      <w:r>
        <w:t>a</w:t>
      </w:r>
      <w:r>
        <w:rPr>
          <w:spacing w:val="-11"/>
        </w:rPr>
        <w:t xml:space="preserve"> </w:t>
      </w:r>
      <w:r>
        <w:t>token</w:t>
      </w:r>
      <w:r>
        <w:rPr>
          <w:spacing w:val="-11"/>
        </w:rPr>
        <w:t xml:space="preserve"> </w:t>
      </w:r>
      <w:r>
        <w:t>of</w:t>
      </w:r>
      <w:r>
        <w:rPr>
          <w:spacing w:val="-11"/>
        </w:rPr>
        <w:t xml:space="preserve"> </w:t>
      </w:r>
      <w:r>
        <w:t>“any</w:t>
      </w:r>
      <w:r>
        <w:rPr>
          <w:spacing w:val="-11"/>
        </w:rPr>
        <w:t xml:space="preserve"> </w:t>
      </w:r>
      <w:r>
        <w:t>case</w:t>
      </w:r>
      <w:r>
        <w:rPr>
          <w:spacing w:val="-11"/>
        </w:rPr>
        <w:t xml:space="preserve"> </w:t>
      </w:r>
      <w:r>
        <w:t>of</w:t>
      </w:r>
      <w:r>
        <w:rPr>
          <w:spacing w:val="-11"/>
        </w:rPr>
        <w:t xml:space="preserve"> </w:t>
      </w:r>
      <w:r>
        <w:t>knowledge</w:t>
      </w:r>
      <w:r>
        <w:rPr>
          <w:spacing w:val="-11"/>
        </w:rPr>
        <w:t xml:space="preserve"> </w:t>
      </w:r>
      <w:r>
        <w:t>is</w:t>
      </w:r>
      <w:r>
        <w:rPr>
          <w:spacing w:val="-11"/>
        </w:rPr>
        <w:t xml:space="preserve"> </w:t>
      </w:r>
      <w:r>
        <w:t>a</w:t>
      </w:r>
      <w:r>
        <w:rPr>
          <w:spacing w:val="-11"/>
        </w:rPr>
        <w:t xml:space="preserve"> </w:t>
      </w:r>
      <w:r>
        <w:t>case</w:t>
      </w:r>
      <w:r>
        <w:rPr>
          <w:spacing w:val="-11"/>
        </w:rPr>
        <w:t xml:space="preserve"> </w:t>
      </w:r>
      <w:r>
        <w:t>of true</w:t>
      </w:r>
      <w:r>
        <w:rPr>
          <w:spacing w:val="-3"/>
        </w:rPr>
        <w:t xml:space="preserve"> </w:t>
      </w:r>
      <w:r>
        <w:t>belief”</w:t>
      </w:r>
      <w:r>
        <w:rPr>
          <w:spacing w:val="-3"/>
        </w:rPr>
        <w:t xml:space="preserve"> </w:t>
      </w:r>
      <w:r>
        <w:t>must</w:t>
      </w:r>
      <w:r>
        <w:rPr>
          <w:spacing w:val="-3"/>
        </w:rPr>
        <w:t xml:space="preserve"> </w:t>
      </w:r>
      <w:r>
        <w:t>be</w:t>
      </w:r>
      <w:r>
        <w:rPr>
          <w:spacing w:val="-3"/>
        </w:rPr>
        <w:t xml:space="preserve"> </w:t>
      </w:r>
      <w:r>
        <w:t>true.</w:t>
      </w:r>
      <w:r>
        <w:rPr>
          <w:spacing w:val="-7"/>
        </w:rPr>
        <w:t xml:space="preserve"> </w:t>
      </w:r>
      <w:r>
        <w:t>This</w:t>
      </w:r>
      <w:r>
        <w:rPr>
          <w:spacing w:val="-3"/>
        </w:rPr>
        <w:t xml:space="preserve"> </w:t>
      </w:r>
      <w:r>
        <w:t>shows</w:t>
      </w:r>
      <w:r>
        <w:rPr>
          <w:spacing w:val="-3"/>
        </w:rPr>
        <w:t xml:space="preserve"> </w:t>
      </w:r>
      <w:r>
        <w:t>that</w:t>
      </w:r>
      <w:r>
        <w:rPr>
          <w:spacing w:val="-3"/>
        </w:rPr>
        <w:t xml:space="preserve"> </w:t>
      </w:r>
      <w:r>
        <w:t>there</w:t>
      </w:r>
      <w:r>
        <w:rPr>
          <w:spacing w:val="-3"/>
        </w:rPr>
        <w:t xml:space="preserve"> </w:t>
      </w:r>
      <w:r>
        <w:t>are</w:t>
      </w:r>
      <w:r>
        <w:rPr>
          <w:spacing w:val="-3"/>
        </w:rPr>
        <w:t xml:space="preserve"> </w:t>
      </w:r>
      <w:r>
        <w:t>two</w:t>
      </w:r>
      <w:r>
        <w:rPr>
          <w:spacing w:val="-3"/>
        </w:rPr>
        <w:t xml:space="preserve"> </w:t>
      </w:r>
      <w:r>
        <w:t>very</w:t>
      </w:r>
      <w:r>
        <w:rPr>
          <w:spacing w:val="-3"/>
        </w:rPr>
        <w:t xml:space="preserve"> </w:t>
      </w:r>
      <w:r>
        <w:t>different</w:t>
      </w:r>
      <w:r>
        <w:rPr>
          <w:spacing w:val="-3"/>
        </w:rPr>
        <w:t xml:space="preserve"> </w:t>
      </w:r>
      <w:r>
        <w:t>kinds</w:t>
      </w:r>
      <w:r>
        <w:rPr>
          <w:spacing w:val="-3"/>
        </w:rPr>
        <w:t xml:space="preserve"> </w:t>
      </w:r>
      <w:r>
        <w:t xml:space="preserve">of </w:t>
      </w:r>
      <w:r>
        <w:rPr>
          <w:spacing w:val="-2"/>
        </w:rPr>
        <w:t>sentence-analyticity.</w:t>
      </w:r>
    </w:p>
    <w:p w14:paraId="7E0021A8" w14:textId="77777777" w:rsidR="009A58DB" w:rsidRDefault="00000000">
      <w:pPr>
        <w:pStyle w:val="BodyText"/>
        <w:spacing w:before="8" w:line="249" w:lineRule="auto"/>
        <w:ind w:right="362" w:firstLine="360"/>
      </w:pPr>
      <w:r>
        <w:rPr>
          <w:spacing w:val="-2"/>
        </w:rPr>
        <w:t>It</w:t>
      </w:r>
      <w:r>
        <w:rPr>
          <w:spacing w:val="-4"/>
        </w:rPr>
        <w:t xml:space="preserve"> </w:t>
      </w:r>
      <w:r>
        <w:rPr>
          <w:spacing w:val="-2"/>
        </w:rPr>
        <w:t>also</w:t>
      </w:r>
      <w:r>
        <w:rPr>
          <w:spacing w:val="-4"/>
        </w:rPr>
        <w:t xml:space="preserve"> </w:t>
      </w:r>
      <w:r>
        <w:rPr>
          <w:spacing w:val="-2"/>
        </w:rPr>
        <w:t>shows</w:t>
      </w:r>
      <w:r>
        <w:rPr>
          <w:spacing w:val="-4"/>
        </w:rPr>
        <w:t xml:space="preserve"> </w:t>
      </w:r>
      <w:r>
        <w:rPr>
          <w:spacing w:val="-2"/>
        </w:rPr>
        <w:t>that</w:t>
      </w:r>
      <w:r>
        <w:rPr>
          <w:spacing w:val="-4"/>
        </w:rPr>
        <w:t xml:space="preserve"> </w:t>
      </w:r>
      <w:r>
        <w:rPr>
          <w:spacing w:val="-2"/>
        </w:rPr>
        <w:t>sentence-analyticity</w:t>
      </w:r>
      <w:r>
        <w:rPr>
          <w:spacing w:val="-4"/>
        </w:rPr>
        <w:t xml:space="preserve"> </w:t>
      </w:r>
      <w:r>
        <w:rPr>
          <w:spacing w:val="-2"/>
        </w:rPr>
        <w:t>diverges</w:t>
      </w:r>
      <w:r>
        <w:rPr>
          <w:spacing w:val="-4"/>
        </w:rPr>
        <w:t xml:space="preserve"> </w:t>
      </w:r>
      <w:r>
        <w:rPr>
          <w:spacing w:val="-2"/>
        </w:rPr>
        <w:t>from</w:t>
      </w:r>
      <w:r>
        <w:rPr>
          <w:spacing w:val="-4"/>
        </w:rPr>
        <w:t xml:space="preserve"> </w:t>
      </w:r>
      <w:r>
        <w:rPr>
          <w:spacing w:val="-2"/>
        </w:rPr>
        <w:t xml:space="preserve">proposition-analyticity </w:t>
      </w:r>
      <w:r>
        <w:t>and, more generally, that sentence-logic diverges from proposition-logic. In other words, the logical relations that propositions bear to one another don’t always</w:t>
      </w:r>
      <w:r>
        <w:rPr>
          <w:spacing w:val="-19"/>
        </w:rPr>
        <w:t xml:space="preserve"> </w:t>
      </w:r>
      <w:r>
        <w:t>parallel</w:t>
      </w:r>
      <w:r>
        <w:rPr>
          <w:spacing w:val="-19"/>
        </w:rPr>
        <w:t xml:space="preserve"> </w:t>
      </w:r>
      <w:r>
        <w:t>the</w:t>
      </w:r>
      <w:r>
        <w:rPr>
          <w:spacing w:val="-18"/>
        </w:rPr>
        <w:t xml:space="preserve"> </w:t>
      </w:r>
      <w:r>
        <w:t>logical</w:t>
      </w:r>
      <w:r>
        <w:rPr>
          <w:spacing w:val="-19"/>
        </w:rPr>
        <w:t xml:space="preserve"> </w:t>
      </w:r>
      <w:r>
        <w:t>relation</w:t>
      </w:r>
      <w:r>
        <w:rPr>
          <w:spacing w:val="-19"/>
        </w:rPr>
        <w:t xml:space="preserve"> </w:t>
      </w:r>
      <w:r>
        <w:t>that</w:t>
      </w:r>
      <w:r>
        <w:rPr>
          <w:spacing w:val="-18"/>
        </w:rPr>
        <w:t xml:space="preserve"> </w:t>
      </w:r>
      <w:r>
        <w:t>the</w:t>
      </w:r>
      <w:r>
        <w:rPr>
          <w:spacing w:val="-19"/>
        </w:rPr>
        <w:t xml:space="preserve"> </w:t>
      </w:r>
      <w:r>
        <w:t>corresponding</w:t>
      </w:r>
      <w:r>
        <w:rPr>
          <w:spacing w:val="-19"/>
        </w:rPr>
        <w:t xml:space="preserve"> </w:t>
      </w:r>
      <w:r>
        <w:t>sentences</w:t>
      </w:r>
      <w:r>
        <w:rPr>
          <w:spacing w:val="-19"/>
        </w:rPr>
        <w:t xml:space="preserve"> </w:t>
      </w:r>
      <w:r>
        <w:t>bear</w:t>
      </w:r>
      <w:r>
        <w:rPr>
          <w:spacing w:val="-18"/>
        </w:rPr>
        <w:t xml:space="preserve"> </w:t>
      </w:r>
      <w:r>
        <w:t>to</w:t>
      </w:r>
      <w:r>
        <w:rPr>
          <w:spacing w:val="-19"/>
        </w:rPr>
        <w:t xml:space="preserve"> </w:t>
      </w:r>
      <w:r>
        <w:t xml:space="preserve">one </w:t>
      </w:r>
      <w:r>
        <w:rPr>
          <w:spacing w:val="-4"/>
        </w:rPr>
        <w:t>another.</w:t>
      </w:r>
      <w:r>
        <w:rPr>
          <w:spacing w:val="-13"/>
        </w:rPr>
        <w:t xml:space="preserve"> </w:t>
      </w:r>
      <w:r>
        <w:rPr>
          <w:spacing w:val="-4"/>
        </w:rPr>
        <w:t>The</w:t>
      </w:r>
      <w:r>
        <w:rPr>
          <w:spacing w:val="-8"/>
        </w:rPr>
        <w:t xml:space="preserve"> </w:t>
      </w:r>
      <w:r>
        <w:rPr>
          <w:spacing w:val="-4"/>
        </w:rPr>
        <w:t>two</w:t>
      </w:r>
      <w:r>
        <w:rPr>
          <w:spacing w:val="-7"/>
        </w:rPr>
        <w:t xml:space="preserve"> </w:t>
      </w:r>
      <w:r>
        <w:rPr>
          <w:spacing w:val="-4"/>
        </w:rPr>
        <w:t>sets</w:t>
      </w:r>
      <w:r>
        <w:rPr>
          <w:spacing w:val="-8"/>
        </w:rPr>
        <w:t xml:space="preserve"> </w:t>
      </w:r>
      <w:r>
        <w:rPr>
          <w:spacing w:val="-4"/>
        </w:rPr>
        <w:t>of</w:t>
      </w:r>
      <w:r>
        <w:rPr>
          <w:spacing w:val="-8"/>
        </w:rPr>
        <w:t xml:space="preserve"> </w:t>
      </w:r>
      <w:r>
        <w:rPr>
          <w:spacing w:val="-4"/>
        </w:rPr>
        <w:t>interrelations</w:t>
      </w:r>
      <w:r>
        <w:rPr>
          <w:spacing w:val="-8"/>
        </w:rPr>
        <w:t xml:space="preserve"> </w:t>
      </w:r>
      <w:r>
        <w:rPr>
          <w:spacing w:val="-4"/>
        </w:rPr>
        <w:t>can</w:t>
      </w:r>
      <w:r>
        <w:rPr>
          <w:spacing w:val="-7"/>
        </w:rPr>
        <w:t xml:space="preserve"> </w:t>
      </w:r>
      <w:r>
        <w:rPr>
          <w:spacing w:val="-4"/>
        </w:rPr>
        <w:t>diverge</w:t>
      </w:r>
      <w:r>
        <w:rPr>
          <w:spacing w:val="-7"/>
        </w:rPr>
        <w:t xml:space="preserve"> </w:t>
      </w:r>
      <w:r>
        <w:rPr>
          <w:spacing w:val="-4"/>
        </w:rPr>
        <w:t>quite</w:t>
      </w:r>
      <w:r>
        <w:rPr>
          <w:spacing w:val="-7"/>
        </w:rPr>
        <w:t xml:space="preserve"> </w:t>
      </w:r>
      <w:r>
        <w:rPr>
          <w:spacing w:val="-4"/>
        </w:rPr>
        <w:t>dramatically.</w:t>
      </w:r>
      <w:r>
        <w:rPr>
          <w:spacing w:val="-7"/>
        </w:rPr>
        <w:t xml:space="preserve"> </w:t>
      </w:r>
      <w:r>
        <w:rPr>
          <w:spacing w:val="-4"/>
        </w:rPr>
        <w:t>(Credit</w:t>
      </w:r>
      <w:r>
        <w:rPr>
          <w:spacing w:val="-7"/>
        </w:rPr>
        <w:t xml:space="preserve"> </w:t>
      </w:r>
      <w:r>
        <w:rPr>
          <w:spacing w:val="-4"/>
        </w:rPr>
        <w:t xml:space="preserve">for </w:t>
      </w:r>
      <w:r>
        <w:rPr>
          <w:spacing w:val="-2"/>
        </w:rPr>
        <w:t>this</w:t>
      </w:r>
      <w:r>
        <w:rPr>
          <w:spacing w:val="-13"/>
        </w:rPr>
        <w:t xml:space="preserve"> </w:t>
      </w:r>
      <w:r>
        <w:rPr>
          <w:spacing w:val="-2"/>
        </w:rPr>
        <w:t>astonishing</w:t>
      </w:r>
      <w:r>
        <w:rPr>
          <w:spacing w:val="-13"/>
        </w:rPr>
        <w:t xml:space="preserve"> </w:t>
      </w:r>
      <w:r>
        <w:rPr>
          <w:spacing w:val="-2"/>
        </w:rPr>
        <w:t>insight</w:t>
      </w:r>
      <w:r>
        <w:rPr>
          <w:spacing w:val="-13"/>
        </w:rPr>
        <w:t xml:space="preserve"> </w:t>
      </w:r>
      <w:r>
        <w:rPr>
          <w:spacing w:val="-2"/>
        </w:rPr>
        <w:t>goes</w:t>
      </w:r>
      <w:r>
        <w:rPr>
          <w:spacing w:val="-13"/>
        </w:rPr>
        <w:t xml:space="preserve"> </w:t>
      </w:r>
      <w:r>
        <w:rPr>
          <w:spacing w:val="-2"/>
        </w:rPr>
        <w:t>entirely</w:t>
      </w:r>
      <w:r>
        <w:rPr>
          <w:spacing w:val="-13"/>
        </w:rPr>
        <w:t xml:space="preserve"> </w:t>
      </w:r>
      <w:r>
        <w:rPr>
          <w:spacing w:val="-2"/>
        </w:rPr>
        <w:t>to</w:t>
      </w:r>
      <w:r>
        <w:rPr>
          <w:spacing w:val="-13"/>
        </w:rPr>
        <w:t xml:space="preserve"> </w:t>
      </w:r>
      <w:r>
        <w:rPr>
          <w:spacing w:val="-2"/>
        </w:rPr>
        <w:t>P.F.</w:t>
      </w:r>
      <w:r>
        <w:rPr>
          <w:spacing w:val="-13"/>
        </w:rPr>
        <w:t xml:space="preserve"> </w:t>
      </w:r>
      <w:r>
        <w:rPr>
          <w:spacing w:val="-2"/>
        </w:rPr>
        <w:t>Strawson.)</w:t>
      </w:r>
      <w:r>
        <w:rPr>
          <w:spacing w:val="-13"/>
        </w:rPr>
        <w:t xml:space="preserve"> </w:t>
      </w:r>
      <w:r>
        <w:rPr>
          <w:spacing w:val="-2"/>
        </w:rPr>
        <w:t>So</w:t>
      </w:r>
      <w:r>
        <w:rPr>
          <w:spacing w:val="-13"/>
        </w:rPr>
        <w:t xml:space="preserve"> </w:t>
      </w:r>
      <w:r>
        <w:rPr>
          <w:spacing w:val="-2"/>
        </w:rPr>
        <w:t>it’s</w:t>
      </w:r>
      <w:r>
        <w:rPr>
          <w:spacing w:val="-13"/>
        </w:rPr>
        <w:t xml:space="preserve"> </w:t>
      </w:r>
      <w:r>
        <w:rPr>
          <w:spacing w:val="-2"/>
        </w:rPr>
        <w:t>important</w:t>
      </w:r>
      <w:r>
        <w:rPr>
          <w:spacing w:val="-13"/>
        </w:rPr>
        <w:t xml:space="preserve"> </w:t>
      </w:r>
      <w:r>
        <w:rPr>
          <w:spacing w:val="-2"/>
        </w:rPr>
        <w:t>to</w:t>
      </w:r>
      <w:r>
        <w:rPr>
          <w:spacing w:val="-13"/>
        </w:rPr>
        <w:t xml:space="preserve"> </w:t>
      </w:r>
      <w:r>
        <w:rPr>
          <w:spacing w:val="-2"/>
        </w:rPr>
        <w:t xml:space="preserve">bear </w:t>
      </w:r>
      <w:r>
        <w:t xml:space="preserve">in mind that, in what follows, the word “analytic” refers to a property of propositions, not sentences. (Later we’ll discuss how it is exactly that </w:t>
      </w:r>
      <w:r>
        <w:rPr>
          <w:spacing w:val="-2"/>
        </w:rPr>
        <w:t>analytically</w:t>
      </w:r>
      <w:r>
        <w:rPr>
          <w:spacing w:val="-13"/>
        </w:rPr>
        <w:t xml:space="preserve"> </w:t>
      </w:r>
      <w:r>
        <w:rPr>
          <w:spacing w:val="-2"/>
        </w:rPr>
        <w:t>true</w:t>
      </w:r>
      <w:r>
        <w:rPr>
          <w:spacing w:val="-13"/>
        </w:rPr>
        <w:t xml:space="preserve"> </w:t>
      </w:r>
      <w:r>
        <w:rPr>
          <w:spacing w:val="-2"/>
        </w:rPr>
        <w:t>(false)</w:t>
      </w:r>
      <w:r>
        <w:rPr>
          <w:spacing w:val="-13"/>
        </w:rPr>
        <w:t xml:space="preserve"> </w:t>
      </w:r>
      <w:r>
        <w:rPr>
          <w:spacing w:val="-2"/>
        </w:rPr>
        <w:t>sentence-tokens</w:t>
      </w:r>
      <w:r>
        <w:rPr>
          <w:spacing w:val="-13"/>
        </w:rPr>
        <w:t xml:space="preserve"> </w:t>
      </w:r>
      <w:r>
        <w:rPr>
          <w:spacing w:val="-2"/>
        </w:rPr>
        <w:t>can</w:t>
      </w:r>
      <w:r>
        <w:rPr>
          <w:spacing w:val="-13"/>
        </w:rPr>
        <w:t xml:space="preserve"> </w:t>
      </w:r>
      <w:r>
        <w:rPr>
          <w:spacing w:val="-2"/>
        </w:rPr>
        <w:t>have</w:t>
      </w:r>
      <w:r>
        <w:rPr>
          <w:spacing w:val="-13"/>
        </w:rPr>
        <w:t xml:space="preserve"> </w:t>
      </w:r>
      <w:r>
        <w:rPr>
          <w:spacing w:val="-2"/>
        </w:rPr>
        <w:t>contingent</w:t>
      </w:r>
      <w:r>
        <w:rPr>
          <w:spacing w:val="-13"/>
        </w:rPr>
        <w:t xml:space="preserve"> </w:t>
      </w:r>
      <w:r>
        <w:rPr>
          <w:spacing w:val="-2"/>
        </w:rPr>
        <w:t>truths</w:t>
      </w:r>
      <w:r>
        <w:rPr>
          <w:spacing w:val="-13"/>
        </w:rPr>
        <w:t xml:space="preserve"> </w:t>
      </w:r>
      <w:r>
        <w:rPr>
          <w:spacing w:val="-2"/>
        </w:rPr>
        <w:t xml:space="preserve">(falsehoods) </w:t>
      </w:r>
      <w:r>
        <w:t>for their meanings.)</w:t>
      </w:r>
    </w:p>
    <w:p w14:paraId="7E0021A9" w14:textId="77777777" w:rsidR="009A58DB" w:rsidRDefault="00000000">
      <w:pPr>
        <w:pStyle w:val="BodyText"/>
        <w:spacing w:before="13" w:line="249" w:lineRule="auto"/>
        <w:ind w:right="358" w:firstLine="360"/>
      </w:pPr>
      <w:r>
        <w:t>The</w:t>
      </w:r>
      <w:r>
        <w:rPr>
          <w:spacing w:val="-15"/>
        </w:rPr>
        <w:t xml:space="preserve"> </w:t>
      </w:r>
      <w:r>
        <w:t>word</w:t>
      </w:r>
      <w:r>
        <w:rPr>
          <w:spacing w:val="-11"/>
        </w:rPr>
        <w:t xml:space="preserve"> </w:t>
      </w:r>
      <w:r>
        <w:t>“analytic”</w:t>
      </w:r>
      <w:r>
        <w:rPr>
          <w:spacing w:val="-11"/>
        </w:rPr>
        <w:t xml:space="preserve"> </w:t>
      </w:r>
      <w:r>
        <w:t>is</w:t>
      </w:r>
      <w:r>
        <w:rPr>
          <w:spacing w:val="-11"/>
        </w:rPr>
        <w:t xml:space="preserve"> </w:t>
      </w:r>
      <w:r>
        <w:t>ambiguous</w:t>
      </w:r>
      <w:r>
        <w:rPr>
          <w:spacing w:val="-11"/>
        </w:rPr>
        <w:t xml:space="preserve"> </w:t>
      </w:r>
      <w:r>
        <w:t>in</w:t>
      </w:r>
      <w:r>
        <w:rPr>
          <w:spacing w:val="-11"/>
        </w:rPr>
        <w:t xml:space="preserve"> </w:t>
      </w:r>
      <w:r>
        <w:t>another,</w:t>
      </w:r>
      <w:r>
        <w:rPr>
          <w:spacing w:val="-11"/>
        </w:rPr>
        <w:t xml:space="preserve"> </w:t>
      </w:r>
      <w:r>
        <w:t>equally</w:t>
      </w:r>
      <w:r>
        <w:rPr>
          <w:spacing w:val="-11"/>
        </w:rPr>
        <w:t xml:space="preserve"> </w:t>
      </w:r>
      <w:r>
        <w:t>important</w:t>
      </w:r>
      <w:r>
        <w:rPr>
          <w:spacing w:val="-11"/>
        </w:rPr>
        <w:t xml:space="preserve"> </w:t>
      </w:r>
      <w:r>
        <w:t>respect.</w:t>
      </w:r>
      <w:r>
        <w:rPr>
          <w:spacing w:val="-19"/>
        </w:rPr>
        <w:t xml:space="preserve"> </w:t>
      </w:r>
      <w:r>
        <w:t>As some philosophers use it, “analytic” is synonymous with “trivial” or “tautologous.”</w:t>
      </w:r>
      <w:r>
        <w:rPr>
          <w:spacing w:val="-16"/>
        </w:rPr>
        <w:t xml:space="preserve"> </w:t>
      </w:r>
      <w:r>
        <w:t>So</w:t>
      </w:r>
      <w:r>
        <w:rPr>
          <w:spacing w:val="-16"/>
        </w:rPr>
        <w:t xml:space="preserve"> </w:t>
      </w:r>
      <w:r>
        <w:t>“there</w:t>
      </w:r>
      <w:r>
        <w:rPr>
          <w:spacing w:val="-16"/>
        </w:rPr>
        <w:t xml:space="preserve"> </w:t>
      </w:r>
      <w:r>
        <w:t>are</w:t>
      </w:r>
      <w:r>
        <w:rPr>
          <w:spacing w:val="-16"/>
        </w:rPr>
        <w:t xml:space="preserve"> </w:t>
      </w:r>
      <w:r>
        <w:t>3</w:t>
      </w:r>
      <w:r>
        <w:rPr>
          <w:spacing w:val="-16"/>
        </w:rPr>
        <w:t xml:space="preserve"> </w:t>
      </w:r>
      <w:r>
        <w:t>feet</w:t>
      </w:r>
      <w:r>
        <w:rPr>
          <w:spacing w:val="-16"/>
        </w:rPr>
        <w:t xml:space="preserve"> </w:t>
      </w:r>
      <w:r>
        <w:t>in</w:t>
      </w:r>
      <w:r>
        <w:rPr>
          <w:spacing w:val="-16"/>
        </w:rPr>
        <w:t xml:space="preserve"> </w:t>
      </w:r>
      <w:r>
        <w:t>a</w:t>
      </w:r>
      <w:r>
        <w:rPr>
          <w:spacing w:val="-16"/>
        </w:rPr>
        <w:t xml:space="preserve"> </w:t>
      </w:r>
      <w:r>
        <w:t>yard”</w:t>
      </w:r>
      <w:r>
        <w:rPr>
          <w:spacing w:val="-16"/>
        </w:rPr>
        <w:t xml:space="preserve"> </w:t>
      </w:r>
      <w:r>
        <w:t>is</w:t>
      </w:r>
      <w:r>
        <w:rPr>
          <w:spacing w:val="-16"/>
        </w:rPr>
        <w:t xml:space="preserve"> </w:t>
      </w:r>
      <w:r>
        <w:t>“analytic”</w:t>
      </w:r>
      <w:r>
        <w:rPr>
          <w:spacing w:val="-16"/>
        </w:rPr>
        <w:t xml:space="preserve"> </w:t>
      </w:r>
      <w:r>
        <w:t>because</w:t>
      </w:r>
      <w:r>
        <w:rPr>
          <w:spacing w:val="-16"/>
        </w:rPr>
        <w:t xml:space="preserve"> </w:t>
      </w:r>
      <w:r>
        <w:t>it’s</w:t>
      </w:r>
      <w:r>
        <w:rPr>
          <w:spacing w:val="-16"/>
        </w:rPr>
        <w:t xml:space="preserve"> </w:t>
      </w:r>
      <w:r>
        <w:t xml:space="preserve">trivial—because, basically, it says nothing. But as other philosophers use that word, </w:t>
      </w:r>
      <w:r>
        <w:rPr>
          <w:spacing w:val="-4"/>
        </w:rPr>
        <w:t>analytic</w:t>
      </w:r>
      <w:r>
        <w:rPr>
          <w:spacing w:val="-8"/>
        </w:rPr>
        <w:t xml:space="preserve"> </w:t>
      </w:r>
      <w:r>
        <w:rPr>
          <w:spacing w:val="-4"/>
        </w:rPr>
        <w:t>truths</w:t>
      </w:r>
      <w:r>
        <w:rPr>
          <w:spacing w:val="-8"/>
        </w:rPr>
        <w:t xml:space="preserve"> </w:t>
      </w:r>
      <w:r>
        <w:rPr>
          <w:spacing w:val="-4"/>
        </w:rPr>
        <w:t>are</w:t>
      </w:r>
      <w:r>
        <w:rPr>
          <w:spacing w:val="-8"/>
        </w:rPr>
        <w:t xml:space="preserve"> </w:t>
      </w:r>
      <w:r>
        <w:rPr>
          <w:spacing w:val="-4"/>
        </w:rPr>
        <w:t>often</w:t>
      </w:r>
      <w:r>
        <w:rPr>
          <w:spacing w:val="-8"/>
        </w:rPr>
        <w:t xml:space="preserve"> </w:t>
      </w:r>
      <w:r>
        <w:rPr>
          <w:spacing w:val="-4"/>
        </w:rPr>
        <w:t>decidedly</w:t>
      </w:r>
      <w:r>
        <w:rPr>
          <w:spacing w:val="-9"/>
        </w:rPr>
        <w:t xml:space="preserve"> </w:t>
      </w:r>
      <w:r>
        <w:rPr>
          <w:i/>
          <w:spacing w:val="-4"/>
        </w:rPr>
        <w:t>non</w:t>
      </w:r>
      <w:r>
        <w:rPr>
          <w:spacing w:val="-4"/>
        </w:rPr>
        <w:t>-trivial—for</w:t>
      </w:r>
      <w:r>
        <w:rPr>
          <w:spacing w:val="-9"/>
        </w:rPr>
        <w:t xml:space="preserve"> </w:t>
      </w:r>
      <w:r>
        <w:rPr>
          <w:spacing w:val="-4"/>
        </w:rPr>
        <w:t>example,</w:t>
      </w:r>
      <w:r>
        <w:rPr>
          <w:spacing w:val="-8"/>
        </w:rPr>
        <w:t xml:space="preserve"> </w:t>
      </w:r>
      <w:r>
        <w:rPr>
          <w:spacing w:val="-4"/>
        </w:rPr>
        <w:t>“a</w:t>
      </w:r>
      <w:r>
        <w:rPr>
          <w:spacing w:val="-8"/>
        </w:rPr>
        <w:t xml:space="preserve"> </w:t>
      </w:r>
      <w:r>
        <w:rPr>
          <w:spacing w:val="-4"/>
        </w:rPr>
        <w:t>class</w:t>
      </w:r>
      <w:r>
        <w:rPr>
          <w:spacing w:val="-8"/>
        </w:rPr>
        <w:t xml:space="preserve"> </w:t>
      </w:r>
      <w:r>
        <w:rPr>
          <w:spacing w:val="-4"/>
        </w:rPr>
        <w:t>is</w:t>
      </w:r>
      <w:r>
        <w:rPr>
          <w:spacing w:val="-8"/>
        </w:rPr>
        <w:t xml:space="preserve"> </w:t>
      </w:r>
      <w:r>
        <w:rPr>
          <w:spacing w:val="-4"/>
        </w:rPr>
        <w:t xml:space="preserve">infinitely </w:t>
      </w:r>
      <w:r>
        <w:t>large</w:t>
      </w:r>
      <w:r>
        <w:rPr>
          <w:spacing w:val="-12"/>
        </w:rPr>
        <w:t xml:space="preserve"> </w:t>
      </w:r>
      <w:r>
        <w:t>exactly</w:t>
      </w:r>
      <w:r>
        <w:rPr>
          <w:spacing w:val="-12"/>
        </w:rPr>
        <w:t xml:space="preserve"> </w:t>
      </w:r>
      <w:r>
        <w:t>if</w:t>
      </w:r>
      <w:r>
        <w:rPr>
          <w:spacing w:val="-12"/>
        </w:rPr>
        <w:t xml:space="preserve"> </w:t>
      </w:r>
      <w:r>
        <w:t>it</w:t>
      </w:r>
      <w:r>
        <w:rPr>
          <w:spacing w:val="-12"/>
        </w:rPr>
        <w:t xml:space="preserve"> </w:t>
      </w:r>
      <w:r>
        <w:t>can</w:t>
      </w:r>
      <w:r>
        <w:rPr>
          <w:spacing w:val="-12"/>
        </w:rPr>
        <w:t xml:space="preserve"> </w:t>
      </w:r>
      <w:r>
        <w:t>be</w:t>
      </w:r>
      <w:r>
        <w:rPr>
          <w:spacing w:val="-12"/>
        </w:rPr>
        <w:t xml:space="preserve"> </w:t>
      </w:r>
      <w:r>
        <w:t>into</w:t>
      </w:r>
      <w:r>
        <w:rPr>
          <w:spacing w:val="-12"/>
        </w:rPr>
        <w:t xml:space="preserve"> </w:t>
      </w:r>
      <w:r>
        <w:t>a</w:t>
      </w:r>
      <w:r>
        <w:rPr>
          <w:spacing w:val="-12"/>
        </w:rPr>
        <w:t xml:space="preserve"> </w:t>
      </w:r>
      <w:r>
        <w:t>one-one</w:t>
      </w:r>
      <w:r>
        <w:rPr>
          <w:spacing w:val="-17"/>
        </w:rPr>
        <w:t xml:space="preserve"> </w:t>
      </w:r>
      <w:r>
        <w:t>correspondence</w:t>
      </w:r>
      <w:r>
        <w:rPr>
          <w:spacing w:val="-7"/>
        </w:rPr>
        <w:t xml:space="preserve"> </w:t>
      </w:r>
      <w:r>
        <w:t>with</w:t>
      </w:r>
      <w:r>
        <w:rPr>
          <w:spacing w:val="-7"/>
        </w:rPr>
        <w:t xml:space="preserve"> </w:t>
      </w:r>
      <w:r>
        <w:t>a</w:t>
      </w:r>
      <w:r>
        <w:rPr>
          <w:spacing w:val="-7"/>
        </w:rPr>
        <w:t xml:space="preserve"> </w:t>
      </w:r>
      <w:r>
        <w:t>proper</w:t>
      </w:r>
      <w:r>
        <w:rPr>
          <w:spacing w:val="-8"/>
        </w:rPr>
        <w:t xml:space="preserve"> </w:t>
      </w:r>
      <w:r>
        <w:t>subset</w:t>
      </w:r>
      <w:r>
        <w:rPr>
          <w:spacing w:val="-8"/>
        </w:rPr>
        <w:t xml:space="preserve"> </w:t>
      </w:r>
      <w:r>
        <w:t xml:space="preserve">of itself.” When non-trivial truths are described as “analytic,” what is meant is that they are non-empirically true. This is what we will mean by it, as earlier </w:t>
      </w:r>
      <w:r>
        <w:rPr>
          <w:spacing w:val="-2"/>
        </w:rPr>
        <w:t>stated.</w:t>
      </w:r>
    </w:p>
    <w:p w14:paraId="7E0021AA" w14:textId="77777777" w:rsidR="009A58DB" w:rsidRDefault="00000000">
      <w:pPr>
        <w:pStyle w:val="BodyText"/>
        <w:spacing w:before="11" w:line="249" w:lineRule="auto"/>
        <w:ind w:right="359" w:firstLine="360"/>
      </w:pPr>
      <w:r>
        <w:t xml:space="preserve">There is one last ambiguity to deal with. As some philosophers use it, the word “analytic” is synonymous with “formally true.” Formal truth is a property of </w:t>
      </w:r>
      <w:r>
        <w:rPr>
          <w:i/>
        </w:rPr>
        <w:t xml:space="preserve">sentences. </w:t>
      </w:r>
      <w:r>
        <w:t>It’s the property of being “syntactically” true.</w:t>
      </w:r>
      <w:bookmarkStart w:id="468" w:name="_bookmark468"/>
      <w:bookmarkEnd w:id="468"/>
      <w:r>
        <w:rPr>
          <w:color w:val="0562C1"/>
          <w:position w:val="21"/>
          <w:u w:val="single" w:color="0562C1"/>
        </w:rPr>
        <w:t>[348]</w:t>
      </w:r>
      <w:r>
        <w:rPr>
          <w:color w:val="0562C1"/>
          <w:position w:val="21"/>
        </w:rPr>
        <w:t xml:space="preserve"> </w:t>
      </w:r>
      <w:r>
        <w:t>A sentence is “syntactically true” if any sentence having the same syntactic form is true. So “either John is tall or John is not tall” is formally true, and thus analytic (in one sense of the word), because every sentence having the form “either P or not-P” is true. This obviously isn’t how we’ll be using the term “analytic,” given that, as previously stated, we’re using it to pick out a property</w:t>
      </w:r>
      <w:r>
        <w:rPr>
          <w:spacing w:val="78"/>
        </w:rPr>
        <w:t xml:space="preserve"> </w:t>
      </w:r>
      <w:r>
        <w:t>of</w:t>
      </w:r>
      <w:r>
        <w:rPr>
          <w:spacing w:val="78"/>
        </w:rPr>
        <w:t xml:space="preserve"> </w:t>
      </w:r>
      <w:r>
        <w:t>propositions,</w:t>
      </w:r>
      <w:r>
        <w:rPr>
          <w:spacing w:val="78"/>
        </w:rPr>
        <w:t xml:space="preserve"> </w:t>
      </w:r>
      <w:r>
        <w:t>not</w:t>
      </w:r>
      <w:r>
        <w:rPr>
          <w:spacing w:val="78"/>
        </w:rPr>
        <w:t xml:space="preserve"> </w:t>
      </w:r>
      <w:r>
        <w:t>sentences.</w:t>
      </w:r>
      <w:r>
        <w:rPr>
          <w:spacing w:val="78"/>
        </w:rPr>
        <w:t xml:space="preserve"> </w:t>
      </w:r>
      <w:r>
        <w:t>(Propositions</w:t>
      </w:r>
      <w:r>
        <w:rPr>
          <w:spacing w:val="78"/>
        </w:rPr>
        <w:t xml:space="preserve"> </w:t>
      </w:r>
      <w:r>
        <w:t>don’t</w:t>
      </w:r>
      <w:r>
        <w:rPr>
          <w:spacing w:val="78"/>
        </w:rPr>
        <w:t xml:space="preserve"> </w:t>
      </w:r>
      <w:r>
        <w:t>have</w:t>
      </w:r>
      <w:r>
        <w:rPr>
          <w:spacing w:val="78"/>
        </w:rPr>
        <w:t xml:space="preserve"> </w:t>
      </w:r>
      <w:r>
        <w:t>syntax.</w:t>
      </w:r>
    </w:p>
    <w:p w14:paraId="7E0021A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AC" w14:textId="77777777" w:rsidR="009A58DB" w:rsidRDefault="00000000">
      <w:pPr>
        <w:pStyle w:val="BodyText"/>
        <w:spacing w:before="65" w:line="249" w:lineRule="auto"/>
        <w:ind w:right="360"/>
      </w:pPr>
      <w:r>
        <w:lastRenderedPageBreak/>
        <w:t xml:space="preserve">Syntax is a property of complex </w:t>
      </w:r>
      <w:r>
        <w:rPr>
          <w:i/>
        </w:rPr>
        <w:t xml:space="preserve">expressions. </w:t>
      </w:r>
      <w:r>
        <w:t>Propositions aren’t</w:t>
      </w:r>
      <w:r>
        <w:rPr>
          <w:spacing w:val="40"/>
        </w:rPr>
        <w:t xml:space="preserve"> </w:t>
      </w:r>
      <w:r>
        <w:rPr>
          <w:spacing w:val="-2"/>
        </w:rPr>
        <w:t>expressions.)</w:t>
      </w:r>
    </w:p>
    <w:p w14:paraId="7E0021AD" w14:textId="77777777" w:rsidR="009A58DB" w:rsidRDefault="00000000">
      <w:pPr>
        <w:pStyle w:val="BodyText"/>
        <w:spacing w:before="2" w:line="249" w:lineRule="auto"/>
        <w:ind w:right="360" w:firstLine="360"/>
      </w:pPr>
      <w:r>
        <w:t>A final note: even though sentence-analyticity diverges from proposition-analyticity, the two ultimately coalesce. What does it mean to say that, although the proposition it encodes is synthetic, a given token of “I am here now”</w:t>
      </w:r>
      <w:r>
        <w:rPr>
          <w:spacing w:val="-1"/>
        </w:rPr>
        <w:t xml:space="preserve"> </w:t>
      </w:r>
      <w:r>
        <w:t>is</w:t>
      </w:r>
      <w:r>
        <w:rPr>
          <w:spacing w:val="-1"/>
        </w:rPr>
        <w:t xml:space="preserve"> </w:t>
      </w:r>
      <w:r>
        <w:t>analytic?</w:t>
      </w:r>
      <w:r>
        <w:rPr>
          <w:spacing w:val="-1"/>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semantic</w:t>
      </w:r>
      <w:r>
        <w:rPr>
          <w:spacing w:val="-1"/>
        </w:rPr>
        <w:t xml:space="preserve"> </w:t>
      </w:r>
      <w:r>
        <w:t>rules</w:t>
      </w:r>
      <w:r>
        <w:rPr>
          <w:spacing w:val="-1"/>
        </w:rPr>
        <w:t xml:space="preserve"> </w:t>
      </w:r>
      <w:r>
        <w:t>of</w:t>
      </w:r>
      <w:r>
        <w:rPr>
          <w:spacing w:val="-1"/>
        </w:rPr>
        <w:t xml:space="preserve"> </w:t>
      </w:r>
      <w:r>
        <w:t>English</w:t>
      </w:r>
      <w:r>
        <w:rPr>
          <w:spacing w:val="-1"/>
        </w:rPr>
        <w:t xml:space="preserve"> </w:t>
      </w:r>
      <w:r>
        <w:t>being</w:t>
      </w:r>
      <w:r>
        <w:rPr>
          <w:spacing w:val="-1"/>
        </w:rPr>
        <w:t xml:space="preserve"> </w:t>
      </w:r>
      <w:r>
        <w:t>what</w:t>
      </w:r>
      <w:r>
        <w:rPr>
          <w:spacing w:val="-1"/>
        </w:rPr>
        <w:t xml:space="preserve"> </w:t>
      </w:r>
      <w:r>
        <w:t>they are, the proposition that any given token of “I am here now” is true is analytic. (Given that any token t</w:t>
      </w:r>
      <w:r>
        <w:rPr>
          <w:vertAlign w:val="subscript"/>
        </w:rPr>
        <w:t>1</w:t>
      </w:r>
      <w:r>
        <w:rPr>
          <w:spacing w:val="2"/>
        </w:rPr>
        <w:t xml:space="preserve"> </w:t>
      </w:r>
      <w:r>
        <w:t>of</w:t>
      </w:r>
      <w:r>
        <w:rPr>
          <w:spacing w:val="1"/>
        </w:rPr>
        <w:t xml:space="preserve"> </w:t>
      </w:r>
      <w:r>
        <w:t>“I”</w:t>
      </w:r>
      <w:r>
        <w:rPr>
          <w:spacing w:val="2"/>
        </w:rPr>
        <w:t xml:space="preserve"> </w:t>
      </w:r>
      <w:r>
        <w:t>refers</w:t>
      </w:r>
      <w:r>
        <w:rPr>
          <w:spacing w:val="1"/>
        </w:rPr>
        <w:t xml:space="preserve"> </w:t>
      </w:r>
      <w:r>
        <w:t>to</w:t>
      </w:r>
      <w:r>
        <w:rPr>
          <w:spacing w:val="1"/>
        </w:rPr>
        <w:t xml:space="preserve"> </w:t>
      </w:r>
      <w:r>
        <w:t>the</w:t>
      </w:r>
      <w:r>
        <w:rPr>
          <w:spacing w:val="2"/>
        </w:rPr>
        <w:t xml:space="preserve"> </w:t>
      </w:r>
      <w:r>
        <w:t>person</w:t>
      </w:r>
      <w:r>
        <w:rPr>
          <w:spacing w:val="1"/>
        </w:rPr>
        <w:t xml:space="preserve"> </w:t>
      </w:r>
      <w:r>
        <w:t>who</w:t>
      </w:r>
      <w:r>
        <w:rPr>
          <w:spacing w:val="2"/>
        </w:rPr>
        <w:t xml:space="preserve"> </w:t>
      </w:r>
      <w:r>
        <w:t>utters</w:t>
      </w:r>
      <w:r>
        <w:rPr>
          <w:spacing w:val="1"/>
        </w:rPr>
        <w:t xml:space="preserve"> </w:t>
      </w:r>
      <w:r>
        <w:t>t</w:t>
      </w:r>
      <w:r>
        <w:rPr>
          <w:vertAlign w:val="subscript"/>
        </w:rPr>
        <w:t>1</w:t>
      </w:r>
      <w:r>
        <w:t>,</w:t>
      </w:r>
      <w:r>
        <w:rPr>
          <w:spacing w:val="15"/>
        </w:rPr>
        <w:t xml:space="preserve"> </w:t>
      </w:r>
      <w:r>
        <w:rPr>
          <w:spacing w:val="-4"/>
        </w:rPr>
        <w:t>that</w:t>
      </w:r>
    </w:p>
    <w:p w14:paraId="7E0021AE" w14:textId="77777777" w:rsidR="009A58DB" w:rsidRDefault="00000000">
      <w:pPr>
        <w:pStyle w:val="BodyText"/>
        <w:spacing w:before="67" w:line="292" w:lineRule="auto"/>
        <w:ind w:right="360"/>
      </w:pPr>
      <w:r>
        <w:t>any token t</w:t>
      </w:r>
      <w:r>
        <w:rPr>
          <w:vertAlign w:val="subscript"/>
        </w:rPr>
        <w:t>2</w:t>
      </w:r>
      <w:r>
        <w:t xml:space="preserve"> of “now” refers to the time at which t</w:t>
      </w:r>
      <w:r>
        <w:rPr>
          <w:vertAlign w:val="subscript"/>
        </w:rPr>
        <w:t>2</w:t>
      </w:r>
      <w:r>
        <w:t xml:space="preserve"> was uttered, and so on, it follows that a token t of “I am here now” couldn’t be false.)</w:t>
      </w:r>
    </w:p>
    <w:p w14:paraId="7E0021AF" w14:textId="77777777" w:rsidR="009A58DB" w:rsidRDefault="00000000">
      <w:pPr>
        <w:pStyle w:val="Heading1"/>
        <w:numPr>
          <w:ilvl w:val="1"/>
          <w:numId w:val="73"/>
        </w:numPr>
        <w:tabs>
          <w:tab w:val="left" w:pos="990"/>
        </w:tabs>
        <w:spacing w:before="52"/>
        <w:ind w:left="990" w:hanging="630"/>
      </w:pPr>
      <w:r>
        <w:t>Propositional</w:t>
      </w:r>
      <w:r>
        <w:rPr>
          <w:spacing w:val="-8"/>
        </w:rPr>
        <w:t xml:space="preserve"> </w:t>
      </w:r>
      <w:r>
        <w:t>necessity</w:t>
      </w:r>
      <w:r>
        <w:rPr>
          <w:spacing w:val="-8"/>
        </w:rPr>
        <w:t xml:space="preserve"> </w:t>
      </w:r>
      <w:r>
        <w:t>as</w:t>
      </w:r>
      <w:r>
        <w:rPr>
          <w:spacing w:val="-8"/>
        </w:rPr>
        <w:t xml:space="preserve"> </w:t>
      </w:r>
      <w:r>
        <w:t>microstructural</w:t>
      </w:r>
      <w:r>
        <w:rPr>
          <w:spacing w:val="-7"/>
        </w:rPr>
        <w:t xml:space="preserve"> </w:t>
      </w:r>
      <w:r>
        <w:rPr>
          <w:spacing w:val="-2"/>
        </w:rPr>
        <w:t>truth</w:t>
      </w:r>
    </w:p>
    <w:p w14:paraId="7E0021B0" w14:textId="77777777" w:rsidR="009A58DB" w:rsidRDefault="00000000">
      <w:pPr>
        <w:pStyle w:val="BodyText"/>
        <w:spacing w:before="139" w:line="333" w:lineRule="auto"/>
        <w:ind w:right="1840"/>
        <w:jc w:val="left"/>
      </w:pPr>
      <w:r>
        <w:t>Analytic</w:t>
      </w:r>
      <w:r>
        <w:rPr>
          <w:spacing w:val="-6"/>
        </w:rPr>
        <w:t xml:space="preserve"> </w:t>
      </w:r>
      <w:r>
        <w:t>propositions</w:t>
      </w:r>
      <w:r>
        <w:rPr>
          <w:spacing w:val="-6"/>
        </w:rPr>
        <w:t xml:space="preserve"> </w:t>
      </w:r>
      <w:r>
        <w:t>are</w:t>
      </w:r>
      <w:r>
        <w:rPr>
          <w:spacing w:val="-6"/>
        </w:rPr>
        <w:t xml:space="preserve"> </w:t>
      </w:r>
      <w:r>
        <w:t>true</w:t>
      </w:r>
      <w:r>
        <w:rPr>
          <w:spacing w:val="-6"/>
        </w:rPr>
        <w:t xml:space="preserve"> </w:t>
      </w:r>
      <w:r>
        <w:t>no</w:t>
      </w:r>
      <w:r>
        <w:rPr>
          <w:spacing w:val="-5"/>
        </w:rPr>
        <w:t xml:space="preserve"> </w:t>
      </w:r>
      <w:r>
        <w:t>matter</w:t>
      </w:r>
      <w:r>
        <w:rPr>
          <w:spacing w:val="-6"/>
        </w:rPr>
        <w:t xml:space="preserve"> </w:t>
      </w:r>
      <w:r>
        <w:t>what.</w:t>
      </w:r>
      <w:r>
        <w:rPr>
          <w:spacing w:val="-5"/>
        </w:rPr>
        <w:t xml:space="preserve"> </w:t>
      </w:r>
      <w:r>
        <w:t>The</w:t>
      </w:r>
      <w:r>
        <w:rPr>
          <w:spacing w:val="-6"/>
        </w:rPr>
        <w:t xml:space="preserve"> </w:t>
      </w:r>
      <w:r>
        <w:t>proposition: (GG) either grass is green or grass is not green</w:t>
      </w:r>
    </w:p>
    <w:p w14:paraId="7E0021B1" w14:textId="77777777" w:rsidR="009A58DB" w:rsidRDefault="00000000">
      <w:pPr>
        <w:pStyle w:val="BodyText"/>
        <w:spacing w:line="331" w:lineRule="exact"/>
        <w:jc w:val="left"/>
      </w:pPr>
      <w:r>
        <w:t>cannot</w:t>
      </w:r>
      <w:r>
        <w:rPr>
          <w:spacing w:val="34"/>
        </w:rPr>
        <w:t xml:space="preserve"> </w:t>
      </w:r>
      <w:r>
        <w:t>fail</w:t>
      </w:r>
      <w:r>
        <w:rPr>
          <w:spacing w:val="37"/>
        </w:rPr>
        <w:t xml:space="preserve"> </w:t>
      </w:r>
      <w:r>
        <w:t>to</w:t>
      </w:r>
      <w:r>
        <w:rPr>
          <w:spacing w:val="37"/>
        </w:rPr>
        <w:t xml:space="preserve"> </w:t>
      </w:r>
      <w:r>
        <w:t>be</w:t>
      </w:r>
      <w:r>
        <w:rPr>
          <w:spacing w:val="37"/>
        </w:rPr>
        <w:t xml:space="preserve"> </w:t>
      </w:r>
      <w:r>
        <w:t>true.</w:t>
      </w:r>
      <w:r>
        <w:rPr>
          <w:spacing w:val="37"/>
        </w:rPr>
        <w:t xml:space="preserve"> </w:t>
      </w:r>
      <w:r>
        <w:t>It</w:t>
      </w:r>
      <w:r>
        <w:rPr>
          <w:spacing w:val="37"/>
        </w:rPr>
        <w:t xml:space="preserve"> </w:t>
      </w:r>
      <w:r>
        <w:t>doesn’t</w:t>
      </w:r>
      <w:r>
        <w:rPr>
          <w:spacing w:val="36"/>
        </w:rPr>
        <w:t xml:space="preserve"> </w:t>
      </w:r>
      <w:r>
        <w:t>matter</w:t>
      </w:r>
      <w:r>
        <w:rPr>
          <w:spacing w:val="37"/>
        </w:rPr>
        <w:t xml:space="preserve"> </w:t>
      </w:r>
      <w:r>
        <w:t>what</w:t>
      </w:r>
      <w:r>
        <w:rPr>
          <w:spacing w:val="37"/>
        </w:rPr>
        <w:t xml:space="preserve"> </w:t>
      </w:r>
      <w:r>
        <w:t>happens</w:t>
      </w:r>
      <w:r>
        <w:rPr>
          <w:spacing w:val="37"/>
        </w:rPr>
        <w:t xml:space="preserve"> </w:t>
      </w:r>
      <w:r>
        <w:t>or</w:t>
      </w:r>
      <w:r>
        <w:rPr>
          <w:spacing w:val="37"/>
        </w:rPr>
        <w:t xml:space="preserve"> </w:t>
      </w:r>
      <w:r>
        <w:t>what</w:t>
      </w:r>
      <w:r>
        <w:rPr>
          <w:spacing w:val="37"/>
        </w:rPr>
        <w:t xml:space="preserve"> </w:t>
      </w:r>
      <w:r>
        <w:t>natural</w:t>
      </w:r>
      <w:r>
        <w:rPr>
          <w:spacing w:val="37"/>
        </w:rPr>
        <w:t xml:space="preserve"> </w:t>
      </w:r>
      <w:r>
        <w:rPr>
          <w:spacing w:val="-4"/>
        </w:rPr>
        <w:t>laws</w:t>
      </w:r>
    </w:p>
    <w:p w14:paraId="7E0021B2" w14:textId="77777777" w:rsidR="009A58DB" w:rsidRDefault="00000000">
      <w:pPr>
        <w:pStyle w:val="BodyText"/>
        <w:spacing w:before="15" w:line="249" w:lineRule="auto"/>
        <w:ind w:right="366"/>
      </w:pPr>
      <w:r>
        <w:t xml:space="preserve">govern what happens. Why is this? What is it about GG that makes it incapable of being false? A natural proposal is to say that GG is </w:t>
      </w:r>
      <w:r>
        <w:rPr>
          <w:i/>
        </w:rPr>
        <w:t xml:space="preserve">structurally </w:t>
      </w:r>
      <w:r>
        <w:t>true. In other words, given what its constituents are, along with how those constituents are put together, it cannot fail to be true. All structural truths are analytic truths. Analytic truth is truth in virtue of structure.</w:t>
      </w:r>
    </w:p>
    <w:p w14:paraId="7E0021B3" w14:textId="77777777" w:rsidR="009A58DB" w:rsidRDefault="00000000">
      <w:pPr>
        <w:pStyle w:val="BodyText"/>
        <w:spacing w:before="6" w:line="249" w:lineRule="auto"/>
        <w:ind w:right="360" w:firstLine="360"/>
      </w:pPr>
      <w:r>
        <w:t xml:space="preserve">This proposal is almost correct, but not quite. Analytic truth is truth in virtue not just of structure but also of </w:t>
      </w:r>
      <w:r>
        <w:rPr>
          <w:i/>
        </w:rPr>
        <w:t>sub</w:t>
      </w:r>
      <w:r>
        <w:t>structure. It isn’t merely in virtue of its structure that:</w:t>
      </w:r>
    </w:p>
    <w:p w14:paraId="7E0021B4" w14:textId="77777777" w:rsidR="009A58DB" w:rsidRDefault="00000000">
      <w:pPr>
        <w:pStyle w:val="BodyText"/>
        <w:spacing w:before="94"/>
      </w:pPr>
      <w:r>
        <w:t>(ACK)</w:t>
      </w:r>
      <w:r>
        <w:rPr>
          <w:spacing w:val="-3"/>
        </w:rPr>
        <w:t xml:space="preserve"> </w:t>
      </w:r>
      <w:r>
        <w:t>any</w:t>
      </w:r>
      <w:r>
        <w:rPr>
          <w:spacing w:val="-2"/>
        </w:rPr>
        <w:t xml:space="preserve"> </w:t>
      </w:r>
      <w:r>
        <w:t>case</w:t>
      </w:r>
      <w:r>
        <w:rPr>
          <w:spacing w:val="-3"/>
        </w:rPr>
        <w:t xml:space="preserve"> </w:t>
      </w:r>
      <w:r>
        <w:t>of</w:t>
      </w:r>
      <w:r>
        <w:rPr>
          <w:spacing w:val="-2"/>
        </w:rPr>
        <w:t xml:space="preserve"> </w:t>
      </w:r>
      <w:r>
        <w:t>knowledge</w:t>
      </w:r>
      <w:r>
        <w:rPr>
          <w:spacing w:val="-3"/>
        </w:rPr>
        <w:t xml:space="preserve"> </w:t>
      </w:r>
      <w:r>
        <w:t>is</w:t>
      </w:r>
      <w:r>
        <w:rPr>
          <w:spacing w:val="-3"/>
        </w:rPr>
        <w:t xml:space="preserve"> </w:t>
      </w:r>
      <w:r>
        <w:t>a</w:t>
      </w:r>
      <w:r>
        <w:rPr>
          <w:spacing w:val="-2"/>
        </w:rPr>
        <w:t xml:space="preserve"> </w:t>
      </w:r>
      <w:r>
        <w:t>case</w:t>
      </w:r>
      <w:r>
        <w:rPr>
          <w:spacing w:val="-3"/>
        </w:rPr>
        <w:t xml:space="preserve"> </w:t>
      </w:r>
      <w:r>
        <w:t>of</w:t>
      </w:r>
      <w:r>
        <w:rPr>
          <w:spacing w:val="-3"/>
        </w:rPr>
        <w:t xml:space="preserve"> </w:t>
      </w:r>
      <w:r>
        <w:t>true</w:t>
      </w:r>
      <w:r>
        <w:rPr>
          <w:spacing w:val="-2"/>
        </w:rPr>
        <w:t xml:space="preserve"> belief</w:t>
      </w:r>
    </w:p>
    <w:p w14:paraId="7E0021B5" w14:textId="77777777" w:rsidR="009A58DB" w:rsidRDefault="00000000">
      <w:pPr>
        <w:pStyle w:val="BodyText"/>
        <w:spacing w:before="120" w:line="249" w:lineRule="auto"/>
        <w:ind w:right="359"/>
      </w:pPr>
      <w:r>
        <w:t xml:space="preserve">is analytic; the structures of its </w:t>
      </w:r>
      <w:r>
        <w:rPr>
          <w:i/>
        </w:rPr>
        <w:t xml:space="preserve">constituents </w:t>
      </w:r>
      <w:r>
        <w:t xml:space="preserve">are involved. Some propositions </w:t>
      </w:r>
      <w:r>
        <w:rPr>
          <w:i/>
        </w:rPr>
        <w:t xml:space="preserve">structurally </w:t>
      </w:r>
      <w:r>
        <w:t xml:space="preserve">just like ACK are false (e.g., any case of knowledge is a case of false belief). At the same time, there are false propositions that are substructurally just like ACK (e.g., “any case of true belief is a case of knowledge”); and it’s obviously because its structure differs from theirs that, unlike those propositions, ACK is analytically true. Analyticity is truth in virtue of structure </w:t>
      </w:r>
      <w:r>
        <w:rPr>
          <w:i/>
        </w:rPr>
        <w:t xml:space="preserve">along </w:t>
      </w:r>
      <w:r>
        <w:t>with substructure. Analytic truth is, as we’ll put it, high-resolution structural truth.</w:t>
      </w:r>
    </w:p>
    <w:p w14:paraId="7E0021B6" w14:textId="77777777" w:rsidR="009A58DB" w:rsidRDefault="00000000">
      <w:pPr>
        <w:pStyle w:val="BodyText"/>
        <w:spacing w:before="10" w:line="249" w:lineRule="auto"/>
        <w:ind w:right="365" w:firstLine="360"/>
      </w:pPr>
      <w:r>
        <w:t>Before</w:t>
      </w:r>
      <w:r>
        <w:rPr>
          <w:spacing w:val="-3"/>
        </w:rPr>
        <w:t xml:space="preserve"> </w:t>
      </w:r>
      <w:r>
        <w:t>we</w:t>
      </w:r>
      <w:r>
        <w:rPr>
          <w:spacing w:val="-2"/>
        </w:rPr>
        <w:t xml:space="preserve"> </w:t>
      </w:r>
      <w:r>
        <w:t>can</w:t>
      </w:r>
      <w:r>
        <w:rPr>
          <w:spacing w:val="-3"/>
        </w:rPr>
        <w:t xml:space="preserve"> </w:t>
      </w:r>
      <w:r>
        <w:t>see</w:t>
      </w:r>
      <w:r>
        <w:rPr>
          <w:spacing w:val="-2"/>
        </w:rPr>
        <w:t xml:space="preserve"> </w:t>
      </w:r>
      <w:r>
        <w:t>what</w:t>
      </w:r>
      <w:r>
        <w:rPr>
          <w:spacing w:val="-3"/>
        </w:rPr>
        <w:t xml:space="preserve"> </w:t>
      </w:r>
      <w:r>
        <w:t>exactly</w:t>
      </w:r>
      <w:r>
        <w:rPr>
          <w:spacing w:val="-2"/>
        </w:rPr>
        <w:t xml:space="preserve"> </w:t>
      </w:r>
      <w:r>
        <w:t>this</w:t>
      </w:r>
      <w:r>
        <w:rPr>
          <w:spacing w:val="-2"/>
        </w:rPr>
        <w:t xml:space="preserve"> </w:t>
      </w:r>
      <w:r>
        <w:t>means,</w:t>
      </w:r>
      <w:r>
        <w:rPr>
          <w:spacing w:val="-3"/>
        </w:rPr>
        <w:t xml:space="preserve"> </w:t>
      </w:r>
      <w:r>
        <w:t>or</w:t>
      </w:r>
      <w:r>
        <w:rPr>
          <w:spacing w:val="-2"/>
        </w:rPr>
        <w:t xml:space="preserve"> </w:t>
      </w:r>
      <w:r>
        <w:t>why</w:t>
      </w:r>
      <w:r>
        <w:rPr>
          <w:spacing w:val="-3"/>
        </w:rPr>
        <w:t xml:space="preserve"> </w:t>
      </w:r>
      <w:r>
        <w:t>it</w:t>
      </w:r>
      <w:r>
        <w:rPr>
          <w:spacing w:val="-2"/>
        </w:rPr>
        <w:t xml:space="preserve"> </w:t>
      </w:r>
      <w:r>
        <w:t>holds,</w:t>
      </w:r>
      <w:r>
        <w:rPr>
          <w:spacing w:val="-3"/>
        </w:rPr>
        <w:t xml:space="preserve"> </w:t>
      </w:r>
      <w:r>
        <w:t>we</w:t>
      </w:r>
      <w:r>
        <w:rPr>
          <w:spacing w:val="-2"/>
        </w:rPr>
        <w:t xml:space="preserve"> </w:t>
      </w:r>
      <w:r>
        <w:t>must</w:t>
      </w:r>
      <w:r>
        <w:rPr>
          <w:spacing w:val="-2"/>
        </w:rPr>
        <w:t xml:space="preserve"> </w:t>
      </w:r>
      <w:r>
        <w:t>make a</w:t>
      </w:r>
      <w:r>
        <w:rPr>
          <w:spacing w:val="36"/>
        </w:rPr>
        <w:t xml:space="preserve">  </w:t>
      </w:r>
      <w:r>
        <w:t>few</w:t>
      </w:r>
      <w:r>
        <w:rPr>
          <w:spacing w:val="36"/>
        </w:rPr>
        <w:t xml:space="preserve">  </w:t>
      </w:r>
      <w:r>
        <w:t>non-controversial,</w:t>
      </w:r>
      <w:r>
        <w:rPr>
          <w:spacing w:val="37"/>
        </w:rPr>
        <w:t xml:space="preserve">  </w:t>
      </w:r>
      <w:r>
        <w:t>but</w:t>
      </w:r>
      <w:r>
        <w:rPr>
          <w:spacing w:val="36"/>
        </w:rPr>
        <w:t xml:space="preserve">  </w:t>
      </w:r>
      <w:r>
        <w:t>also</w:t>
      </w:r>
      <w:r>
        <w:rPr>
          <w:spacing w:val="37"/>
        </w:rPr>
        <w:t xml:space="preserve">  </w:t>
      </w:r>
      <w:r>
        <w:t>non-trivial,</w:t>
      </w:r>
      <w:r>
        <w:rPr>
          <w:spacing w:val="36"/>
        </w:rPr>
        <w:t xml:space="preserve">  </w:t>
      </w:r>
      <w:r>
        <w:t>points</w:t>
      </w:r>
      <w:r>
        <w:rPr>
          <w:spacing w:val="37"/>
        </w:rPr>
        <w:t xml:space="preserve">  </w:t>
      </w:r>
      <w:r>
        <w:t>about</w:t>
      </w:r>
      <w:r>
        <w:rPr>
          <w:spacing w:val="36"/>
        </w:rPr>
        <w:t xml:space="preserve">  </w:t>
      </w:r>
      <w:r>
        <w:rPr>
          <w:spacing w:val="-2"/>
        </w:rPr>
        <w:t>language.</w:t>
      </w:r>
    </w:p>
    <w:p w14:paraId="7E0021B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B8" w14:textId="77777777" w:rsidR="009A58DB" w:rsidRDefault="00000000">
      <w:pPr>
        <w:pStyle w:val="BodyText"/>
        <w:spacing w:before="65" w:line="249" w:lineRule="auto"/>
        <w:ind w:right="358"/>
      </w:pPr>
      <w:r>
        <w:lastRenderedPageBreak/>
        <w:t>Languages</w:t>
      </w:r>
      <w:r>
        <w:rPr>
          <w:spacing w:val="-4"/>
        </w:rPr>
        <w:t xml:space="preserve"> </w:t>
      </w:r>
      <w:r>
        <w:t>are</w:t>
      </w:r>
      <w:r>
        <w:rPr>
          <w:spacing w:val="-4"/>
        </w:rPr>
        <w:t xml:space="preserve"> </w:t>
      </w:r>
      <w:r>
        <w:t>evaluated</w:t>
      </w:r>
      <w:r>
        <w:rPr>
          <w:spacing w:val="-3"/>
        </w:rPr>
        <w:t xml:space="preserve"> </w:t>
      </w:r>
      <w:r>
        <w:t>in</w:t>
      </w:r>
      <w:r>
        <w:rPr>
          <w:spacing w:val="-3"/>
        </w:rPr>
        <w:t xml:space="preserve"> </w:t>
      </w:r>
      <w:r>
        <w:t>terms</w:t>
      </w:r>
      <w:r>
        <w:rPr>
          <w:spacing w:val="-4"/>
        </w:rPr>
        <w:t xml:space="preserve"> </w:t>
      </w:r>
      <w:r>
        <w:t>of</w:t>
      </w:r>
      <w:r>
        <w:rPr>
          <w:spacing w:val="-4"/>
        </w:rPr>
        <w:t xml:space="preserve"> </w:t>
      </w:r>
      <w:r>
        <w:t>how</w:t>
      </w:r>
      <w:r>
        <w:rPr>
          <w:spacing w:val="-4"/>
        </w:rPr>
        <w:t xml:space="preserve"> </w:t>
      </w:r>
      <w:r>
        <w:t>much</w:t>
      </w:r>
      <w:r>
        <w:rPr>
          <w:spacing w:val="-3"/>
        </w:rPr>
        <w:t xml:space="preserve"> </w:t>
      </w:r>
      <w:r>
        <w:rPr>
          <w:i/>
        </w:rPr>
        <w:t>expressive</w:t>
      </w:r>
      <w:r>
        <w:rPr>
          <w:i/>
          <w:spacing w:val="-4"/>
        </w:rPr>
        <w:t xml:space="preserve"> </w:t>
      </w:r>
      <w:r>
        <w:rPr>
          <w:i/>
        </w:rPr>
        <w:t>power</w:t>
      </w:r>
      <w:r>
        <w:rPr>
          <w:i/>
          <w:spacing w:val="-4"/>
        </w:rPr>
        <w:t xml:space="preserve"> </w:t>
      </w:r>
      <w:r>
        <w:t>they</w:t>
      </w:r>
      <w:r>
        <w:rPr>
          <w:spacing w:val="-3"/>
        </w:rPr>
        <w:t xml:space="preserve"> </w:t>
      </w:r>
      <w:r>
        <w:t xml:space="preserve">have—in other words, in terms of how much can be said in them. The expressive power of a language is to be understood not only in terms of how many propositions can be expressed, but also in terms of how </w:t>
      </w:r>
      <w:r>
        <w:rPr>
          <w:i/>
        </w:rPr>
        <w:t xml:space="preserve">varied </w:t>
      </w:r>
      <w:r>
        <w:t xml:space="preserve">those propositions are. A language that can express the propositions </w:t>
      </w:r>
      <w:r>
        <w:rPr>
          <w:i/>
        </w:rPr>
        <w:t xml:space="preserve">snow is white, it is true that snow is white, it is true that it is true that snow is white, </w:t>
      </w:r>
      <w:r>
        <w:t>and so on, can express infinitely many propositions. But its expressive resources are minimal; and some other language that can express only a thousand propositions, not a single one of which entails a single one of the others, will grossly exceed the expressive capabilities of the first. And that’s why, when assessing the expressive potency of a language, the relevant question isn’t so much “how many propositions can it express?” as it is “how much redundancy is there within the set of propositions that it can express?”</w:t>
      </w:r>
    </w:p>
    <w:p w14:paraId="7E0021B9" w14:textId="77777777" w:rsidR="009A58DB" w:rsidRDefault="00000000">
      <w:pPr>
        <w:pStyle w:val="BodyText"/>
        <w:spacing w:before="16" w:line="249" w:lineRule="auto"/>
        <w:ind w:right="357" w:firstLine="360"/>
      </w:pPr>
      <w:r>
        <w:t xml:space="preserve">These points may be obvious, but they have a non-obvious consequence, namely: as a rule, sentential structure mirrors propositional structure; propositions must have structures similar to those of the sentences that represent them. This doesn’t mean that each proposition’s structure is perfectly represented by those of all the sentences that express it. (In fact, this is impossible, given that sentences with different structures can express the same proposition.) It doesn’t even mean that any proposition’s structure is perfectly represented by that of </w:t>
      </w:r>
      <w:r>
        <w:rPr>
          <w:i/>
        </w:rPr>
        <w:t xml:space="preserve">any </w:t>
      </w:r>
      <w:r>
        <w:t xml:space="preserve">of the sentences that express it. Here’s what it does mean: to the extent that the sentences of a given language </w:t>
      </w:r>
      <w:r>
        <w:rPr>
          <w:i/>
        </w:rPr>
        <w:t xml:space="preserve">fail </w:t>
      </w:r>
      <w:r>
        <w:t xml:space="preserve">to mirror the structures of the propositions they express, that language is expressively frozen. So if L and L* are any two languages, then </w:t>
      </w:r>
      <w:r>
        <w:rPr>
          <w:i/>
        </w:rPr>
        <w:t>ceteris paribus</w:t>
      </w:r>
      <w:r>
        <w:rPr>
          <w:i/>
          <w:spacing w:val="-4"/>
        </w:rPr>
        <w:t xml:space="preserve"> </w:t>
      </w:r>
      <w:r>
        <w:t>L’s expressive power exceeds L*s to the extent that the structures of L-sentences do a better job than those of L*-sentences of mirroring the structures of the propositions they represent.</w:t>
      </w:r>
    </w:p>
    <w:p w14:paraId="7E0021BA" w14:textId="77777777" w:rsidR="009A58DB" w:rsidRDefault="00000000">
      <w:pPr>
        <w:pStyle w:val="BodyText"/>
        <w:spacing w:before="17" w:line="249" w:lineRule="auto"/>
        <w:ind w:right="359" w:firstLine="360"/>
      </w:pPr>
      <w:r>
        <w:t>Here’s</w:t>
      </w:r>
      <w:r>
        <w:rPr>
          <w:spacing w:val="-1"/>
        </w:rPr>
        <w:t xml:space="preserve"> </w:t>
      </w:r>
      <w:r>
        <w:t>the</w:t>
      </w:r>
      <w:r>
        <w:rPr>
          <w:spacing w:val="-1"/>
        </w:rPr>
        <w:t xml:space="preserve"> </w:t>
      </w:r>
      <w:r>
        <w:t>idea.</w:t>
      </w:r>
      <w:r>
        <w:rPr>
          <w:spacing w:val="-1"/>
        </w:rPr>
        <w:t xml:space="preserve"> </w:t>
      </w:r>
      <w:r>
        <w:t>Let</w:t>
      </w:r>
      <w:r>
        <w:rPr>
          <w:spacing w:val="-2"/>
        </w:rPr>
        <w:t xml:space="preserve"> </w:t>
      </w:r>
      <w:r>
        <w:t>L*</w:t>
      </w:r>
      <w:r>
        <w:rPr>
          <w:spacing w:val="-1"/>
        </w:rPr>
        <w:t xml:space="preserve"> </w:t>
      </w:r>
      <w:r>
        <w:t>be</w:t>
      </w:r>
      <w:r>
        <w:rPr>
          <w:spacing w:val="-1"/>
        </w:rPr>
        <w:t xml:space="preserve"> </w:t>
      </w:r>
      <w:r>
        <w:t>a</w:t>
      </w:r>
      <w:r>
        <w:rPr>
          <w:spacing w:val="-1"/>
        </w:rPr>
        <w:t xml:space="preserve"> </w:t>
      </w:r>
      <w:r>
        <w:t>language</w:t>
      </w:r>
      <w:r>
        <w:rPr>
          <w:spacing w:val="-1"/>
        </w:rPr>
        <w:t xml:space="preserve"> </w:t>
      </w:r>
      <w:r>
        <w:t>that</w:t>
      </w:r>
      <w:r>
        <w:rPr>
          <w:spacing w:val="-2"/>
        </w:rPr>
        <w:t xml:space="preserve"> </w:t>
      </w:r>
      <w:r>
        <w:t>has</w:t>
      </w:r>
      <w:r>
        <w:rPr>
          <w:spacing w:val="-1"/>
        </w:rPr>
        <w:t xml:space="preserve"> </w:t>
      </w:r>
      <w:r>
        <w:t>only</w:t>
      </w:r>
      <w:r>
        <w:rPr>
          <w:spacing w:val="-1"/>
        </w:rPr>
        <w:t xml:space="preserve"> </w:t>
      </w:r>
      <w:r>
        <w:t>simple</w:t>
      </w:r>
      <w:r>
        <w:rPr>
          <w:spacing w:val="-1"/>
        </w:rPr>
        <w:t xml:space="preserve"> </w:t>
      </w:r>
      <w:r>
        <w:t>symbols.</w:t>
      </w:r>
      <w:r>
        <w:rPr>
          <w:spacing w:val="-1"/>
        </w:rPr>
        <w:t xml:space="preserve"> </w:t>
      </w:r>
      <w:r>
        <w:t>So</w:t>
      </w:r>
      <w:r>
        <w:rPr>
          <w:spacing w:val="-1"/>
        </w:rPr>
        <w:t xml:space="preserve"> </w:t>
      </w:r>
      <w:r>
        <w:t xml:space="preserve">the L*-sentence for “snow is colder than water” is some single, syntactically simple symbol, the same being true of every other L*-sentence. Obviously, there’s no limit to what L* can express, since there’s no limit in principle to how many primitive symbols can belong to a language. But, since each symbol belonging to L* is simple, it’s necessary to </w:t>
      </w:r>
      <w:r>
        <w:rPr>
          <w:i/>
        </w:rPr>
        <w:t xml:space="preserve">add </w:t>
      </w:r>
      <w:r>
        <w:t>a new symbol to L* every time one wants to make a point that isn’t the literal meaning of one of its simple expressions. Nothing could be said in L* that hadn’t been said before:</w:t>
      </w:r>
      <w:r>
        <w:rPr>
          <w:spacing w:val="-4"/>
        </w:rPr>
        <w:t xml:space="preserve"> </w:t>
      </w:r>
      <w:r>
        <w:t>it</w:t>
      </w:r>
      <w:r>
        <w:rPr>
          <w:spacing w:val="-2"/>
        </w:rPr>
        <w:t xml:space="preserve"> </w:t>
      </w:r>
      <w:r>
        <w:t>would</w:t>
      </w:r>
      <w:r>
        <w:rPr>
          <w:spacing w:val="-1"/>
        </w:rPr>
        <w:t xml:space="preserve"> </w:t>
      </w:r>
      <w:r>
        <w:t>be</w:t>
      </w:r>
      <w:r>
        <w:rPr>
          <w:spacing w:val="-1"/>
        </w:rPr>
        <w:t xml:space="preserve"> </w:t>
      </w:r>
      <w:r>
        <w:t>impossible</w:t>
      </w:r>
      <w:r>
        <w:rPr>
          <w:spacing w:val="-1"/>
        </w:rPr>
        <w:t xml:space="preserve"> </w:t>
      </w:r>
      <w:r>
        <w:t>to</w:t>
      </w:r>
      <w:r>
        <w:rPr>
          <w:spacing w:val="-1"/>
        </w:rPr>
        <w:t xml:space="preserve"> </w:t>
      </w:r>
      <w:r>
        <w:t>express</w:t>
      </w:r>
      <w:r>
        <w:rPr>
          <w:spacing w:val="-1"/>
        </w:rPr>
        <w:t xml:space="preserve"> </w:t>
      </w:r>
      <w:r>
        <w:rPr>
          <w:i/>
        </w:rPr>
        <w:t>discoveries.</w:t>
      </w:r>
      <w:r>
        <w:rPr>
          <w:i/>
          <w:spacing w:val="-3"/>
        </w:rPr>
        <w:t xml:space="preserve"> </w:t>
      </w:r>
      <w:r>
        <w:t>Symbols</w:t>
      </w:r>
      <w:r>
        <w:rPr>
          <w:spacing w:val="1"/>
        </w:rPr>
        <w:t xml:space="preserve"> </w:t>
      </w:r>
      <w:r>
        <w:t>would</w:t>
      </w:r>
      <w:r>
        <w:rPr>
          <w:spacing w:val="1"/>
        </w:rPr>
        <w:t xml:space="preserve"> </w:t>
      </w:r>
      <w:r>
        <w:t>have</w:t>
      </w:r>
      <w:r>
        <w:rPr>
          <w:spacing w:val="2"/>
        </w:rPr>
        <w:t xml:space="preserve"> </w:t>
      </w:r>
      <w:r>
        <w:rPr>
          <w:spacing w:val="-5"/>
        </w:rPr>
        <w:t>to</w:t>
      </w:r>
    </w:p>
    <w:p w14:paraId="7E0021B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BC" w14:textId="77777777" w:rsidR="009A58DB" w:rsidRDefault="00000000">
      <w:pPr>
        <w:pStyle w:val="BodyText"/>
        <w:spacing w:before="65" w:line="249" w:lineRule="auto"/>
        <w:ind w:right="358"/>
      </w:pPr>
      <w:r>
        <w:lastRenderedPageBreak/>
        <w:t xml:space="preserve">be added </w:t>
      </w:r>
      <w:r>
        <w:rPr>
          <w:i/>
        </w:rPr>
        <w:t xml:space="preserve">ad hoc </w:t>
      </w:r>
      <w:r>
        <w:t>to say anything new. But given a language L that has many ways of combining its primitive symbols into complex ones, it’s expressive capabilities will dwarf those of L*, so long as the number of primitive expressions belonging to L rises above a certain, extremely small minimum number. L* is totally inflexible. L is highly flexible, and can do a lot with a little.</w:t>
      </w:r>
      <w:r>
        <w:rPr>
          <w:spacing w:val="-1"/>
        </w:rPr>
        <w:t xml:space="preserve"> </w:t>
      </w:r>
      <w:r>
        <w:t>Other</w:t>
      </w:r>
      <w:r>
        <w:rPr>
          <w:spacing w:val="-1"/>
        </w:rPr>
        <w:t xml:space="preserve"> </w:t>
      </w:r>
      <w:r>
        <w:t>things</w:t>
      </w:r>
      <w:r>
        <w:rPr>
          <w:spacing w:val="-1"/>
        </w:rPr>
        <w:t xml:space="preserve"> </w:t>
      </w:r>
      <w:r>
        <w:t>being</w:t>
      </w:r>
      <w:r>
        <w:rPr>
          <w:spacing w:val="-1"/>
        </w:rPr>
        <w:t xml:space="preserve"> </w:t>
      </w:r>
      <w:r>
        <w:t>equal,</w:t>
      </w:r>
      <w:r>
        <w:rPr>
          <w:spacing w:val="-1"/>
        </w:rPr>
        <w:t xml:space="preserve"> </w:t>
      </w:r>
      <w:r>
        <w:t>the</w:t>
      </w:r>
      <w:r>
        <w:rPr>
          <w:spacing w:val="-1"/>
        </w:rPr>
        <w:t xml:space="preserve"> </w:t>
      </w:r>
      <w:r>
        <w:t>extent</w:t>
      </w:r>
      <w:r>
        <w:rPr>
          <w:spacing w:val="-1"/>
        </w:rPr>
        <w:t xml:space="preserve"> </w:t>
      </w:r>
      <w:r>
        <w:t>to</w:t>
      </w:r>
      <w:r>
        <w:rPr>
          <w:spacing w:val="-1"/>
        </w:rPr>
        <w:t xml:space="preserve"> </w:t>
      </w:r>
      <w:r>
        <w:t>which</w:t>
      </w:r>
      <w:r>
        <w:rPr>
          <w:spacing w:val="-1"/>
        </w:rPr>
        <w:t xml:space="preserve"> </w:t>
      </w:r>
      <w:r>
        <w:t>one</w:t>
      </w:r>
      <w:r>
        <w:rPr>
          <w:spacing w:val="-1"/>
        </w:rPr>
        <w:t xml:space="preserve"> </w:t>
      </w:r>
      <w:r>
        <w:t>language’s</w:t>
      </w:r>
      <w:r>
        <w:rPr>
          <w:spacing w:val="-1"/>
        </w:rPr>
        <w:t xml:space="preserve"> </w:t>
      </w:r>
      <w:r>
        <w:t>expressive resources exceed those of another is directly proportional to the extent by which sentences of the one language exceed their counterparts in the other in respect of syntactic complexity.</w:t>
      </w:r>
    </w:p>
    <w:p w14:paraId="7E0021BD" w14:textId="77777777" w:rsidR="009A58DB" w:rsidRDefault="00000000">
      <w:pPr>
        <w:pStyle w:val="BodyText"/>
        <w:spacing w:before="11" w:line="249" w:lineRule="auto"/>
        <w:ind w:right="361" w:firstLine="360"/>
      </w:pPr>
      <w:r>
        <w:t>There is only one viable explanation of this last fact: Syntactic structure mirrors propositional structure. The syntactic devices that endow a language with expressive flexibility correspond to the relations by which propositions are constructed out of their constituents and, in particular, by which propositions are constructed out of other propositions. Thus, we can confidently say that the (syntactic) structures of sentences tend to mirror</w:t>
      </w:r>
      <w:r>
        <w:rPr>
          <w:spacing w:val="40"/>
        </w:rPr>
        <w:t xml:space="preserve"> </w:t>
      </w:r>
      <w:r>
        <w:t>those of the propositions they express.</w:t>
      </w:r>
    </w:p>
    <w:p w14:paraId="7E0021BE" w14:textId="77777777" w:rsidR="009A58DB" w:rsidRDefault="00000000">
      <w:pPr>
        <w:pStyle w:val="Heading1"/>
        <w:numPr>
          <w:ilvl w:val="1"/>
          <w:numId w:val="73"/>
        </w:numPr>
        <w:tabs>
          <w:tab w:val="left" w:pos="990"/>
        </w:tabs>
        <w:spacing w:before="196"/>
        <w:ind w:left="990" w:hanging="630"/>
      </w:pPr>
      <w:r>
        <w:t>Necessity</w:t>
      </w:r>
      <w:r>
        <w:rPr>
          <w:spacing w:val="-7"/>
        </w:rPr>
        <w:t xml:space="preserve"> </w:t>
      </w:r>
      <w:r>
        <w:t>as</w:t>
      </w:r>
      <w:r>
        <w:rPr>
          <w:spacing w:val="-8"/>
        </w:rPr>
        <w:t xml:space="preserve"> </w:t>
      </w:r>
      <w:r>
        <w:t>high-resolution</w:t>
      </w:r>
      <w:r>
        <w:rPr>
          <w:spacing w:val="-8"/>
        </w:rPr>
        <w:t xml:space="preserve"> </w:t>
      </w:r>
      <w:r>
        <w:t>structural</w:t>
      </w:r>
      <w:r>
        <w:rPr>
          <w:spacing w:val="-7"/>
        </w:rPr>
        <w:t xml:space="preserve"> </w:t>
      </w:r>
      <w:r>
        <w:rPr>
          <w:spacing w:val="-2"/>
        </w:rPr>
        <w:t>truth</w:t>
      </w:r>
    </w:p>
    <w:p w14:paraId="7E0021BF" w14:textId="77777777" w:rsidR="009A58DB" w:rsidRDefault="00000000">
      <w:pPr>
        <w:pStyle w:val="BodyText"/>
        <w:spacing w:before="139" w:line="249" w:lineRule="auto"/>
        <w:ind w:right="360"/>
      </w:pPr>
      <w:r>
        <w:t>We can now say what it means to say that analytic truth is high-resolution structural truth. Given the reasoning just presented, the sentence “either grass is green or grass is not green” must have a structure similar to GG. But, by that same reasoning, GG’s structure probably differs from the structure of:</w:t>
      </w:r>
    </w:p>
    <w:p w14:paraId="7E0021C0" w14:textId="77777777" w:rsidR="009A58DB" w:rsidRDefault="00000000">
      <w:pPr>
        <w:pStyle w:val="BodyText"/>
        <w:spacing w:before="110"/>
      </w:pPr>
      <w:r>
        <w:t>(GA)</w:t>
      </w:r>
      <w:r>
        <w:rPr>
          <w:spacing w:val="-3"/>
        </w:rPr>
        <w:t xml:space="preserve"> </w:t>
      </w:r>
      <w:r>
        <w:t>grass</w:t>
      </w:r>
      <w:r>
        <w:rPr>
          <w:spacing w:val="-3"/>
        </w:rPr>
        <w:t xml:space="preserve"> </w:t>
      </w:r>
      <w:r>
        <w:t>is</w:t>
      </w:r>
      <w:r>
        <w:rPr>
          <w:spacing w:val="-3"/>
        </w:rPr>
        <w:t xml:space="preserve"> </w:t>
      </w:r>
      <w:r>
        <w:t>green</w:t>
      </w:r>
      <w:r>
        <w:rPr>
          <w:spacing w:val="-2"/>
        </w:rPr>
        <w:t xml:space="preserve"> </w:t>
      </w:r>
      <w:r>
        <w:t>and</w:t>
      </w:r>
      <w:r>
        <w:rPr>
          <w:spacing w:val="-2"/>
        </w:rPr>
        <w:t xml:space="preserve"> </w:t>
      </w:r>
      <w:r>
        <w:t>grass</w:t>
      </w:r>
      <w:r>
        <w:rPr>
          <w:spacing w:val="-3"/>
        </w:rPr>
        <w:t xml:space="preserve"> </w:t>
      </w:r>
      <w:r>
        <w:t>is</w:t>
      </w:r>
      <w:r>
        <w:rPr>
          <w:spacing w:val="-3"/>
        </w:rPr>
        <w:t xml:space="preserve"> </w:t>
      </w:r>
      <w:r>
        <w:t>not</w:t>
      </w:r>
      <w:r>
        <w:rPr>
          <w:spacing w:val="-2"/>
        </w:rPr>
        <w:t xml:space="preserve"> green.</w:t>
      </w:r>
    </w:p>
    <w:p w14:paraId="7E0021C1" w14:textId="77777777" w:rsidR="009A58DB" w:rsidRDefault="00000000">
      <w:pPr>
        <w:pStyle w:val="BodyText"/>
        <w:spacing w:before="120" w:line="249" w:lineRule="auto"/>
        <w:ind w:right="358"/>
      </w:pPr>
      <w:r>
        <w:t>But GA is not analytically true. (It’s analytically false.) Given that GA is</w:t>
      </w:r>
      <w:r>
        <w:rPr>
          <w:spacing w:val="40"/>
        </w:rPr>
        <w:t xml:space="preserve"> </w:t>
      </w:r>
      <w:r>
        <w:t xml:space="preserve">false and has the same structure as GG, it cannot possibly be solely in virtue of its structure that GG is true. But we don’t just want to give up on the idea that analytic truth is structural truth. An analytically true proposition is </w:t>
      </w:r>
      <w:r>
        <w:rPr>
          <w:i/>
        </w:rPr>
        <w:t>ipso facto</w:t>
      </w:r>
      <w:r>
        <w:rPr>
          <w:i/>
          <w:spacing w:val="40"/>
        </w:rPr>
        <w:t xml:space="preserve"> </w:t>
      </w:r>
      <w:r>
        <w:t xml:space="preserve">true no matter what contingencies obtain. This entails, or strongly suggests, that it is always in virtue of something </w:t>
      </w:r>
      <w:r>
        <w:rPr>
          <w:i/>
        </w:rPr>
        <w:t xml:space="preserve">inherent </w:t>
      </w:r>
      <w:r>
        <w:t xml:space="preserve">in it that a proposition is analytically true, and it’s hard to see how the relevant property could fail to be structural in nature. It’s obvious that, in the case of GA, what’s causing the trouble is that the concept of conjunction (the concept of </w:t>
      </w:r>
      <w:r>
        <w:rPr>
          <w:i/>
        </w:rPr>
        <w:t>and</w:t>
      </w:r>
      <w:r>
        <w:t xml:space="preserve">) is occupying the place that, in GG, is occupied by the concept of disjunction (the concept of </w:t>
      </w:r>
      <w:r>
        <w:rPr>
          <w:i/>
        </w:rPr>
        <w:t>or</w:t>
      </w:r>
      <w:r>
        <w:t>). Taken together, these points suggest that it is in</w:t>
      </w:r>
      <w:r>
        <w:rPr>
          <w:spacing w:val="17"/>
        </w:rPr>
        <w:t xml:space="preserve"> </w:t>
      </w:r>
      <w:r>
        <w:t>virtue</w:t>
      </w:r>
      <w:r>
        <w:rPr>
          <w:spacing w:val="18"/>
        </w:rPr>
        <w:t xml:space="preserve"> </w:t>
      </w:r>
      <w:r>
        <w:t>of</w:t>
      </w:r>
      <w:r>
        <w:rPr>
          <w:spacing w:val="17"/>
        </w:rPr>
        <w:t xml:space="preserve"> </w:t>
      </w:r>
      <w:r>
        <w:t>its</w:t>
      </w:r>
      <w:r>
        <w:rPr>
          <w:spacing w:val="18"/>
        </w:rPr>
        <w:t xml:space="preserve"> </w:t>
      </w:r>
      <w:r>
        <w:t>structure</w:t>
      </w:r>
      <w:r>
        <w:rPr>
          <w:spacing w:val="18"/>
        </w:rPr>
        <w:t xml:space="preserve"> </w:t>
      </w:r>
      <w:r>
        <w:rPr>
          <w:i/>
        </w:rPr>
        <w:t>along</w:t>
      </w:r>
      <w:r>
        <w:rPr>
          <w:i/>
          <w:spacing w:val="19"/>
        </w:rPr>
        <w:t xml:space="preserve"> </w:t>
      </w:r>
      <w:r>
        <w:rPr>
          <w:i/>
        </w:rPr>
        <w:t>with</w:t>
      </w:r>
      <w:r>
        <w:rPr>
          <w:i/>
          <w:spacing w:val="19"/>
        </w:rPr>
        <w:t xml:space="preserve"> </w:t>
      </w:r>
      <w:r>
        <w:t>the</w:t>
      </w:r>
      <w:r>
        <w:rPr>
          <w:spacing w:val="21"/>
        </w:rPr>
        <w:t xml:space="preserve"> </w:t>
      </w:r>
      <w:r>
        <w:t>structure</w:t>
      </w:r>
      <w:r>
        <w:rPr>
          <w:spacing w:val="22"/>
        </w:rPr>
        <w:t xml:space="preserve"> </w:t>
      </w:r>
      <w:r>
        <w:t>of</w:t>
      </w:r>
      <w:r>
        <w:rPr>
          <w:spacing w:val="22"/>
        </w:rPr>
        <w:t xml:space="preserve"> </w:t>
      </w:r>
      <w:r>
        <w:t>one</w:t>
      </w:r>
      <w:r>
        <w:rPr>
          <w:spacing w:val="21"/>
        </w:rPr>
        <w:t xml:space="preserve"> </w:t>
      </w:r>
      <w:r>
        <w:t>of</w:t>
      </w:r>
      <w:r>
        <w:rPr>
          <w:spacing w:val="22"/>
        </w:rPr>
        <w:t xml:space="preserve"> </w:t>
      </w:r>
      <w:r>
        <w:t>its</w:t>
      </w:r>
      <w:r>
        <w:rPr>
          <w:spacing w:val="22"/>
        </w:rPr>
        <w:t xml:space="preserve"> </w:t>
      </w:r>
      <w:r>
        <w:t>constituents—</w:t>
      </w:r>
    </w:p>
    <w:p w14:paraId="7E0021C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C3" w14:textId="77777777" w:rsidR="009A58DB" w:rsidRDefault="00000000">
      <w:pPr>
        <w:pStyle w:val="BodyText"/>
        <w:spacing w:before="70"/>
      </w:pPr>
      <w:r>
        <w:lastRenderedPageBreak/>
        <w:t>viz.</w:t>
      </w:r>
      <w:r>
        <w:rPr>
          <w:spacing w:val="-6"/>
        </w:rPr>
        <w:t xml:space="preserve"> </w:t>
      </w:r>
      <w:r>
        <w:t>the</w:t>
      </w:r>
      <w:r>
        <w:rPr>
          <w:spacing w:val="-4"/>
        </w:rPr>
        <w:t xml:space="preserve"> </w:t>
      </w:r>
      <w:r>
        <w:t>concept</w:t>
      </w:r>
      <w:r>
        <w:rPr>
          <w:spacing w:val="-4"/>
        </w:rPr>
        <w:t xml:space="preserve"> </w:t>
      </w:r>
      <w:r>
        <w:t>of</w:t>
      </w:r>
      <w:r>
        <w:rPr>
          <w:spacing w:val="-3"/>
        </w:rPr>
        <w:t xml:space="preserve"> </w:t>
      </w:r>
      <w:r>
        <w:t>conjunction—that</w:t>
      </w:r>
      <w:r>
        <w:rPr>
          <w:spacing w:val="-4"/>
        </w:rPr>
        <w:t xml:space="preserve"> </w:t>
      </w:r>
      <w:r>
        <w:t>GG</w:t>
      </w:r>
      <w:r>
        <w:rPr>
          <w:spacing w:val="-4"/>
        </w:rPr>
        <w:t xml:space="preserve"> </w:t>
      </w:r>
      <w:r>
        <w:t>is</w:t>
      </w:r>
      <w:r>
        <w:rPr>
          <w:spacing w:val="-4"/>
        </w:rPr>
        <w:t xml:space="preserve"> </w:t>
      </w:r>
      <w:r>
        <w:t>analytically</w:t>
      </w:r>
      <w:r>
        <w:rPr>
          <w:spacing w:val="-3"/>
        </w:rPr>
        <w:t xml:space="preserve"> </w:t>
      </w:r>
      <w:r>
        <w:rPr>
          <w:spacing w:val="-2"/>
        </w:rPr>
        <w:t>true.</w:t>
      </w:r>
    </w:p>
    <w:p w14:paraId="7E0021C4" w14:textId="77777777" w:rsidR="009A58DB" w:rsidRDefault="00000000">
      <w:pPr>
        <w:pStyle w:val="BodyText"/>
        <w:spacing w:before="10" w:line="249" w:lineRule="auto"/>
        <w:ind w:right="365" w:firstLine="360"/>
      </w:pPr>
      <w:r>
        <w:t xml:space="preserve">So it’s not quite right to say that analytic truth is structural truth. At the same time, it isn’t quite right to identify analytic truth with </w:t>
      </w:r>
      <w:r>
        <w:rPr>
          <w:i/>
        </w:rPr>
        <w:t>sub</w:t>
      </w:r>
      <w:r>
        <w:t>structural truth. The proposition:</w:t>
      </w:r>
    </w:p>
    <w:p w14:paraId="7E0021C5" w14:textId="77777777" w:rsidR="009A58DB" w:rsidRDefault="00000000">
      <w:pPr>
        <w:pStyle w:val="BodyText"/>
        <w:spacing w:before="108"/>
      </w:pPr>
      <w:r>
        <w:t>(NG)</w:t>
      </w:r>
      <w:r>
        <w:rPr>
          <w:spacing w:val="-5"/>
        </w:rPr>
        <w:t xml:space="preserve"> </w:t>
      </w:r>
      <w:r>
        <w:t>it’s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grass</w:t>
      </w:r>
      <w:r>
        <w:rPr>
          <w:spacing w:val="-3"/>
        </w:rPr>
        <w:t xml:space="preserve"> </w:t>
      </w:r>
      <w:r>
        <w:t>is</w:t>
      </w:r>
      <w:r>
        <w:rPr>
          <w:spacing w:val="-3"/>
        </w:rPr>
        <w:t xml:space="preserve"> </w:t>
      </w:r>
      <w:r>
        <w:t>green</w:t>
      </w:r>
      <w:r>
        <w:rPr>
          <w:spacing w:val="-2"/>
        </w:rPr>
        <w:t xml:space="preserve"> </w:t>
      </w:r>
      <w:r>
        <w:t>or</w:t>
      </w:r>
      <w:r>
        <w:rPr>
          <w:spacing w:val="-3"/>
        </w:rPr>
        <w:t xml:space="preserve"> </w:t>
      </w:r>
      <w:r>
        <w:t>grass</w:t>
      </w:r>
      <w:r>
        <w:rPr>
          <w:spacing w:val="-3"/>
        </w:rPr>
        <w:t xml:space="preserve"> </w:t>
      </w:r>
      <w:r>
        <w:t>is</w:t>
      </w:r>
      <w:r>
        <w:rPr>
          <w:spacing w:val="-2"/>
        </w:rPr>
        <w:t xml:space="preserve"> green</w:t>
      </w:r>
    </w:p>
    <w:p w14:paraId="7E0021C6" w14:textId="77777777" w:rsidR="009A58DB" w:rsidRDefault="00000000">
      <w:pPr>
        <w:pStyle w:val="BodyText"/>
        <w:spacing w:before="105" w:line="249" w:lineRule="auto"/>
        <w:ind w:right="362"/>
      </w:pPr>
      <w:r>
        <w:t>is equivalent with the proposition that grass is not green. Thus, NG is contingently false. But it has the same constituents as the analytically true GG, and is thus substructurally identical with it, even though it’s structurally very different.</w:t>
      </w:r>
    </w:p>
    <w:p w14:paraId="7E0021C7" w14:textId="77777777" w:rsidR="009A58DB" w:rsidRDefault="00000000">
      <w:pPr>
        <w:pStyle w:val="BodyText"/>
        <w:spacing w:before="5" w:line="249" w:lineRule="auto"/>
        <w:ind w:right="358" w:firstLine="360"/>
        <w:rPr>
          <w:i/>
        </w:rPr>
      </w:pPr>
      <w:r>
        <w:t xml:space="preserve">This suggests that for a proposition to be analytically true is for it to be true in virtue of its structural </w:t>
      </w:r>
      <w:r>
        <w:rPr>
          <w:i/>
        </w:rPr>
        <w:t xml:space="preserve">and </w:t>
      </w:r>
      <w:r>
        <w:t xml:space="preserve">its substructural properties. In other words, given a proposition’s structure along with the structures of its constituents, it’s settled whether or not that proposition is analytically true. Thus, a </w:t>
      </w:r>
      <w:r>
        <w:rPr>
          <w:i/>
        </w:rPr>
        <w:t xml:space="preserve">high-resolution </w:t>
      </w:r>
      <w:r>
        <w:t>representation of a proposition’s structure settles whether or not it’s analytic. (A “low-resolution” representation would be one that failed to disclose</w:t>
      </w:r>
      <w:r>
        <w:rPr>
          <w:spacing w:val="2"/>
        </w:rPr>
        <w:t xml:space="preserve"> </w:t>
      </w:r>
      <w:r>
        <w:t>substructure.)</w:t>
      </w:r>
      <w:r>
        <w:rPr>
          <w:spacing w:val="6"/>
        </w:rPr>
        <w:t xml:space="preserve"> </w:t>
      </w:r>
      <w:r>
        <w:t>Thus,</w:t>
      </w:r>
      <w:r>
        <w:rPr>
          <w:spacing w:val="5"/>
        </w:rPr>
        <w:t xml:space="preserve"> </w:t>
      </w:r>
      <w:r>
        <w:rPr>
          <w:i/>
        </w:rPr>
        <w:t>analytic</w:t>
      </w:r>
      <w:r>
        <w:rPr>
          <w:i/>
          <w:spacing w:val="9"/>
        </w:rPr>
        <w:t xml:space="preserve"> </w:t>
      </w:r>
      <w:r>
        <w:rPr>
          <w:i/>
        </w:rPr>
        <w:t>truth</w:t>
      </w:r>
      <w:r>
        <w:rPr>
          <w:i/>
          <w:spacing w:val="11"/>
        </w:rPr>
        <w:t xml:space="preserve"> </w:t>
      </w:r>
      <w:r>
        <w:rPr>
          <w:i/>
        </w:rPr>
        <w:t>is</w:t>
      </w:r>
      <w:r>
        <w:rPr>
          <w:i/>
          <w:spacing w:val="9"/>
        </w:rPr>
        <w:t xml:space="preserve"> </w:t>
      </w:r>
      <w:r>
        <w:rPr>
          <w:i/>
        </w:rPr>
        <w:t>high-resolution</w:t>
      </w:r>
      <w:r>
        <w:rPr>
          <w:i/>
          <w:spacing w:val="10"/>
        </w:rPr>
        <w:t xml:space="preserve"> </w:t>
      </w:r>
      <w:r>
        <w:rPr>
          <w:i/>
        </w:rPr>
        <w:t>structural</w:t>
      </w:r>
      <w:r>
        <w:rPr>
          <w:i/>
          <w:spacing w:val="10"/>
        </w:rPr>
        <w:t xml:space="preserve"> </w:t>
      </w:r>
      <w:r>
        <w:rPr>
          <w:i/>
          <w:spacing w:val="-2"/>
        </w:rPr>
        <w:t>truth</w:t>
      </w:r>
    </w:p>
    <w:p w14:paraId="7E0021C8" w14:textId="77777777" w:rsidR="009A58DB" w:rsidRDefault="00000000">
      <w:pPr>
        <w:pStyle w:val="BodyText"/>
        <w:spacing w:before="9" w:line="249" w:lineRule="auto"/>
        <w:ind w:right="371"/>
      </w:pPr>
      <w:r>
        <w:t xml:space="preserve">—and so, therefore, is necessary truth, given that it’s identical with analytic </w:t>
      </w:r>
      <w:r>
        <w:rPr>
          <w:spacing w:val="-2"/>
        </w:rPr>
        <w:t>truth.</w:t>
      </w:r>
    </w:p>
    <w:p w14:paraId="7E0021C9" w14:textId="77777777" w:rsidR="009A58DB" w:rsidRDefault="00000000">
      <w:pPr>
        <w:pStyle w:val="Heading1"/>
        <w:numPr>
          <w:ilvl w:val="1"/>
          <w:numId w:val="72"/>
        </w:numPr>
        <w:tabs>
          <w:tab w:val="left" w:pos="1162"/>
          <w:tab w:val="left" w:pos="2839"/>
          <w:tab w:val="left" w:pos="4212"/>
          <w:tab w:val="left" w:pos="4839"/>
          <w:tab w:val="left" w:pos="6679"/>
          <w:tab w:val="left" w:pos="8379"/>
        </w:tabs>
        <w:spacing w:before="205" w:line="244" w:lineRule="auto"/>
        <w:ind w:right="625" w:firstLine="0"/>
      </w:pPr>
      <w:r>
        <w:rPr>
          <w:spacing w:val="-2"/>
        </w:rPr>
        <w:t>Quine’s</w:t>
      </w:r>
      <w:r>
        <w:tab/>
      </w:r>
      <w:r>
        <w:rPr>
          <w:spacing w:val="-2"/>
        </w:rPr>
        <w:t>denial</w:t>
      </w:r>
      <w:r>
        <w:tab/>
      </w:r>
      <w:r>
        <w:rPr>
          <w:spacing w:val="-6"/>
        </w:rPr>
        <w:t>of</w:t>
      </w:r>
      <w:r>
        <w:tab/>
      </w:r>
      <w:r>
        <w:rPr>
          <w:spacing w:val="-2"/>
        </w:rPr>
        <w:t>informal</w:t>
      </w:r>
      <w:r>
        <w:tab/>
      </w:r>
      <w:r>
        <w:rPr>
          <w:spacing w:val="-2"/>
        </w:rPr>
        <w:t>analytic</w:t>
      </w:r>
      <w:r>
        <w:tab/>
      </w:r>
      <w:r>
        <w:rPr>
          <w:spacing w:val="-2"/>
        </w:rPr>
        <w:t xml:space="preserve">truth: </w:t>
      </w:r>
      <w:r>
        <w:t>preliminary concepts</w:t>
      </w:r>
    </w:p>
    <w:p w14:paraId="7E0021CA" w14:textId="77777777" w:rsidR="009A58DB" w:rsidRDefault="00000000">
      <w:pPr>
        <w:pStyle w:val="BodyText"/>
        <w:spacing w:before="132" w:line="249" w:lineRule="auto"/>
        <w:ind w:right="366"/>
      </w:pPr>
      <w:r>
        <w:t xml:space="preserve">In this section, all references to “analytic” truth are to sentential analytic truths; we will be discussing analytically true sentences, not analytically true </w:t>
      </w:r>
      <w:r>
        <w:rPr>
          <w:spacing w:val="-2"/>
        </w:rPr>
        <w:t>propositions.</w:t>
      </w:r>
    </w:p>
    <w:p w14:paraId="7E0021CB" w14:textId="77777777" w:rsidR="009A58DB" w:rsidRDefault="00000000">
      <w:pPr>
        <w:pStyle w:val="BodyText"/>
        <w:spacing w:before="4" w:line="249" w:lineRule="auto"/>
        <w:ind w:right="361" w:firstLine="360"/>
      </w:pPr>
      <w:r>
        <w:t>W.V.O. Quine (1951) says that, with a few trivial exceptions, there is no such</w:t>
      </w:r>
      <w:r>
        <w:rPr>
          <w:spacing w:val="-1"/>
        </w:rPr>
        <w:t xml:space="preserve"> </w:t>
      </w:r>
      <w:r>
        <w:t>thing</w:t>
      </w:r>
      <w:r>
        <w:rPr>
          <w:spacing w:val="-1"/>
        </w:rPr>
        <w:t xml:space="preserve"> </w:t>
      </w:r>
      <w:r>
        <w:t>as</w:t>
      </w:r>
      <w:r>
        <w:rPr>
          <w:spacing w:val="-1"/>
        </w:rPr>
        <w:t xml:space="preserve"> </w:t>
      </w:r>
      <w:r>
        <w:t>sentential</w:t>
      </w:r>
      <w:r>
        <w:rPr>
          <w:spacing w:val="-1"/>
        </w:rPr>
        <w:t xml:space="preserve"> </w:t>
      </w:r>
      <w:r>
        <w:t>analytic</w:t>
      </w:r>
      <w:r>
        <w:rPr>
          <w:spacing w:val="-1"/>
        </w:rPr>
        <w:t xml:space="preserve"> </w:t>
      </w:r>
      <w:r>
        <w:t>truth.</w:t>
      </w:r>
      <w:r>
        <w:rPr>
          <w:spacing w:val="-1"/>
        </w:rPr>
        <w:t xml:space="preserve"> </w:t>
      </w:r>
      <w:r>
        <w:t>To</w:t>
      </w:r>
      <w:r>
        <w:rPr>
          <w:spacing w:val="-1"/>
        </w:rPr>
        <w:t xml:space="preserve"> </w:t>
      </w:r>
      <w:r>
        <w:t>understand</w:t>
      </w:r>
      <w:r>
        <w:rPr>
          <w:spacing w:val="-1"/>
        </w:rPr>
        <w:t xml:space="preserve"> </w:t>
      </w:r>
      <w:r>
        <w:t>exactly</w:t>
      </w:r>
      <w:r>
        <w:rPr>
          <w:spacing w:val="-1"/>
        </w:rPr>
        <w:t xml:space="preserve"> </w:t>
      </w:r>
      <w:r>
        <w:t>what</w:t>
      </w:r>
      <w:r>
        <w:rPr>
          <w:spacing w:val="-1"/>
        </w:rPr>
        <w:t xml:space="preserve"> </w:t>
      </w:r>
      <w:r>
        <w:t>it</w:t>
      </w:r>
      <w:r>
        <w:rPr>
          <w:spacing w:val="-1"/>
        </w:rPr>
        <w:t xml:space="preserve"> </w:t>
      </w:r>
      <w:r>
        <w:t>is</w:t>
      </w:r>
      <w:r>
        <w:rPr>
          <w:spacing w:val="-1"/>
        </w:rPr>
        <w:t xml:space="preserve"> </w:t>
      </w:r>
      <w:r>
        <w:t>that</w:t>
      </w:r>
      <w:r>
        <w:rPr>
          <w:spacing w:val="-1"/>
        </w:rPr>
        <w:t xml:space="preserve"> </w:t>
      </w:r>
      <w:r>
        <w:t>he holds, and why he holds it, we must first make some background points.</w:t>
      </w:r>
    </w:p>
    <w:p w14:paraId="7E0021CC" w14:textId="77777777" w:rsidR="009A58DB" w:rsidRDefault="00000000">
      <w:pPr>
        <w:pStyle w:val="BodyText"/>
        <w:spacing w:before="4"/>
        <w:ind w:left="720"/>
      </w:pPr>
      <w:r>
        <w:t>Consider</w:t>
      </w:r>
      <w:r>
        <w:rPr>
          <w:spacing w:val="-5"/>
        </w:rPr>
        <w:t xml:space="preserve"> </w:t>
      </w:r>
      <w:r>
        <w:t>the</w:t>
      </w:r>
      <w:r>
        <w:rPr>
          <w:spacing w:val="-4"/>
        </w:rPr>
        <w:t xml:space="preserve"> </w:t>
      </w:r>
      <w:r>
        <w:t>following</w:t>
      </w:r>
      <w:r>
        <w:rPr>
          <w:spacing w:val="-3"/>
        </w:rPr>
        <w:t xml:space="preserve"> </w:t>
      </w:r>
      <w:r>
        <w:rPr>
          <w:spacing w:val="-2"/>
        </w:rPr>
        <w:t>sentence:</w:t>
      </w:r>
    </w:p>
    <w:p w14:paraId="7E0021CD" w14:textId="77777777" w:rsidR="009A58DB" w:rsidRDefault="00000000">
      <w:pPr>
        <w:pStyle w:val="BodyText"/>
        <w:spacing w:before="105"/>
      </w:pPr>
      <w:r>
        <w:t>(ST)</w:t>
      </w:r>
      <w:r>
        <w:rPr>
          <w:spacing w:val="-5"/>
        </w:rPr>
        <w:t xml:space="preserve"> </w:t>
      </w:r>
      <w:r>
        <w:t>“if</w:t>
      </w:r>
      <w:r>
        <w:rPr>
          <w:spacing w:val="-3"/>
        </w:rPr>
        <w:t xml:space="preserve"> </w:t>
      </w:r>
      <w:r>
        <w:t>Smith</w:t>
      </w:r>
      <w:r>
        <w:rPr>
          <w:spacing w:val="-2"/>
        </w:rPr>
        <w:t xml:space="preserve"> </w:t>
      </w:r>
      <w:r>
        <w:t>is</w:t>
      </w:r>
      <w:r>
        <w:rPr>
          <w:spacing w:val="-3"/>
        </w:rPr>
        <w:t xml:space="preserve"> </w:t>
      </w:r>
      <w:r>
        <w:t>tall,</w:t>
      </w:r>
      <w:r>
        <w:rPr>
          <w:spacing w:val="-2"/>
        </w:rPr>
        <w:t xml:space="preserve"> </w:t>
      </w:r>
      <w:r>
        <w:t>then</w:t>
      </w:r>
      <w:r>
        <w:rPr>
          <w:spacing w:val="-2"/>
        </w:rPr>
        <w:t xml:space="preserve"> </w:t>
      </w:r>
      <w:r>
        <w:t>it</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Smith</w:t>
      </w:r>
      <w:r>
        <w:rPr>
          <w:spacing w:val="-2"/>
        </w:rPr>
        <w:t xml:space="preserve"> </w:t>
      </w:r>
      <w:r>
        <w:t>is</w:t>
      </w:r>
      <w:r>
        <w:rPr>
          <w:spacing w:val="-3"/>
        </w:rPr>
        <w:t xml:space="preserve"> </w:t>
      </w:r>
      <w:r>
        <w:t>not</w:t>
      </w:r>
      <w:r>
        <w:rPr>
          <w:spacing w:val="-2"/>
        </w:rPr>
        <w:t xml:space="preserve"> tall”</w:t>
      </w:r>
    </w:p>
    <w:p w14:paraId="7E0021CE" w14:textId="77777777" w:rsidR="009A58DB" w:rsidRDefault="00000000">
      <w:pPr>
        <w:pStyle w:val="BodyText"/>
        <w:spacing w:before="120" w:line="249" w:lineRule="auto"/>
        <w:ind w:right="362"/>
      </w:pPr>
      <w:r>
        <w:t xml:space="preserve">Obviously you can’t replace “Smith” with “therefore” or “red.” The result would be syntactically ill-formed nonsense. Thus, such replacements would not be “grammatically admissible.” But you </w:t>
      </w:r>
      <w:r>
        <w:rPr>
          <w:i/>
        </w:rPr>
        <w:t xml:space="preserve">can </w:t>
      </w:r>
      <w:r>
        <w:t xml:space="preserve">replace “Smith” with “Jones” and “that person.” Such replacements </w:t>
      </w:r>
      <w:r>
        <w:rPr>
          <w:i/>
        </w:rPr>
        <w:t xml:space="preserve">would </w:t>
      </w:r>
      <w:r>
        <w:t>be grammatically admissible, that being why:</w:t>
      </w:r>
    </w:p>
    <w:p w14:paraId="7E0021C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D0" w14:textId="77777777" w:rsidR="009A58DB" w:rsidRDefault="00000000">
      <w:pPr>
        <w:pStyle w:val="BodyText"/>
        <w:spacing w:before="65"/>
      </w:pPr>
      <w:r>
        <w:lastRenderedPageBreak/>
        <w:t>(JT)</w:t>
      </w:r>
      <w:r>
        <w:rPr>
          <w:spacing w:val="-5"/>
        </w:rPr>
        <w:t xml:space="preserve"> </w:t>
      </w:r>
      <w:r>
        <w:t>“if</w:t>
      </w:r>
      <w:r>
        <w:rPr>
          <w:spacing w:val="-3"/>
        </w:rPr>
        <w:t xml:space="preserve"> </w:t>
      </w:r>
      <w:r>
        <w:t>Jones</w:t>
      </w:r>
      <w:r>
        <w:rPr>
          <w:spacing w:val="-2"/>
        </w:rPr>
        <w:t xml:space="preserve"> </w:t>
      </w:r>
      <w:r>
        <w:t>is</w:t>
      </w:r>
      <w:r>
        <w:rPr>
          <w:spacing w:val="-3"/>
        </w:rPr>
        <w:t xml:space="preserve"> </w:t>
      </w:r>
      <w:r>
        <w:t>tall,</w:t>
      </w:r>
      <w:r>
        <w:rPr>
          <w:spacing w:val="-2"/>
        </w:rPr>
        <w:t xml:space="preserve"> </w:t>
      </w:r>
      <w:r>
        <w:t>then</w:t>
      </w:r>
      <w:r>
        <w:rPr>
          <w:spacing w:val="-2"/>
        </w:rPr>
        <w:t xml:space="preserve"> </w:t>
      </w:r>
      <w:r>
        <w:t>it</w:t>
      </w:r>
      <w:r>
        <w:rPr>
          <w:spacing w:val="-2"/>
        </w:rPr>
        <w:t xml:space="preserve"> </w:t>
      </w:r>
      <w:r>
        <w:t>is</w:t>
      </w:r>
      <w:r>
        <w:rPr>
          <w:spacing w:val="-3"/>
        </w:rPr>
        <w:t xml:space="preserve"> </w:t>
      </w:r>
      <w:r>
        <w:t>not</w:t>
      </w:r>
      <w:r>
        <w:rPr>
          <w:spacing w:val="-3"/>
        </w:rPr>
        <w:t xml:space="preserve"> </w:t>
      </w:r>
      <w:r>
        <w:t>the</w:t>
      </w:r>
      <w:r>
        <w:rPr>
          <w:spacing w:val="-2"/>
        </w:rPr>
        <w:t xml:space="preserve"> </w:t>
      </w:r>
      <w:r>
        <w:t>case</w:t>
      </w:r>
      <w:r>
        <w:rPr>
          <w:spacing w:val="-3"/>
        </w:rPr>
        <w:t xml:space="preserve"> </w:t>
      </w:r>
      <w:r>
        <w:t>that</w:t>
      </w:r>
      <w:r>
        <w:rPr>
          <w:spacing w:val="-2"/>
        </w:rPr>
        <w:t xml:space="preserve"> </w:t>
      </w:r>
      <w:r>
        <w:t>Jones</w:t>
      </w:r>
      <w:r>
        <w:rPr>
          <w:spacing w:val="-3"/>
        </w:rPr>
        <w:t xml:space="preserve"> </w:t>
      </w:r>
      <w:r>
        <w:t>is</w:t>
      </w:r>
      <w:r>
        <w:rPr>
          <w:spacing w:val="-3"/>
        </w:rPr>
        <w:t xml:space="preserve"> </w:t>
      </w:r>
      <w:r>
        <w:t>not</w:t>
      </w:r>
      <w:r>
        <w:rPr>
          <w:spacing w:val="-2"/>
        </w:rPr>
        <w:t xml:space="preserve"> tall”</w:t>
      </w:r>
    </w:p>
    <w:p w14:paraId="7E0021D1" w14:textId="77777777" w:rsidR="009A58DB" w:rsidRDefault="00000000">
      <w:pPr>
        <w:pStyle w:val="BodyText"/>
        <w:spacing w:before="120"/>
        <w:ind w:left="720"/>
      </w:pPr>
      <w:r>
        <w:t>is</w:t>
      </w:r>
      <w:r>
        <w:rPr>
          <w:spacing w:val="-6"/>
        </w:rPr>
        <w:t xml:space="preserve"> </w:t>
      </w:r>
      <w:r>
        <w:t>a</w:t>
      </w:r>
      <w:r>
        <w:rPr>
          <w:spacing w:val="-5"/>
        </w:rPr>
        <w:t xml:space="preserve"> </w:t>
      </w:r>
      <w:r>
        <w:t>perfectly</w:t>
      </w:r>
      <w:r>
        <w:rPr>
          <w:spacing w:val="-4"/>
        </w:rPr>
        <w:t xml:space="preserve"> </w:t>
      </w:r>
      <w:r>
        <w:t>grammatical</w:t>
      </w:r>
      <w:r>
        <w:rPr>
          <w:spacing w:val="-5"/>
        </w:rPr>
        <w:t xml:space="preserve"> </w:t>
      </w:r>
      <w:r>
        <w:rPr>
          <w:spacing w:val="-2"/>
        </w:rPr>
        <w:t>sentence.</w:t>
      </w:r>
    </w:p>
    <w:p w14:paraId="7E0021D2" w14:textId="77777777" w:rsidR="009A58DB" w:rsidRDefault="00000000">
      <w:pPr>
        <w:pStyle w:val="BodyText"/>
        <w:spacing w:before="15" w:line="249" w:lineRule="auto"/>
        <w:ind w:right="363" w:firstLine="360"/>
      </w:pPr>
      <w:r>
        <w:t xml:space="preserve">JT is what results when the occurrences of “Smith” in it are made </w:t>
      </w:r>
      <w:r>
        <w:rPr>
          <w:i/>
        </w:rPr>
        <w:t xml:space="preserve">uniformly. </w:t>
      </w:r>
      <w:r>
        <w:t xml:space="preserve">In other words, JT is what results when, not just one, but </w:t>
      </w:r>
      <w:r>
        <w:rPr>
          <w:i/>
        </w:rPr>
        <w:t xml:space="preserve">all </w:t>
      </w:r>
      <w:r>
        <w:t xml:space="preserve">of those occurrences are replaced with the same thing. The following sentence, by contrast, is what results when only </w:t>
      </w:r>
      <w:r>
        <w:rPr>
          <w:i/>
        </w:rPr>
        <w:t xml:space="preserve">one </w:t>
      </w:r>
      <w:r>
        <w:t>of the occurrences of “Smith” in ST is replaced with “Jones” (“NU” is short for “not uniform”):</w:t>
      </w:r>
    </w:p>
    <w:p w14:paraId="7E0021D3" w14:textId="77777777" w:rsidR="009A58DB" w:rsidRDefault="00000000">
      <w:pPr>
        <w:pStyle w:val="BodyText"/>
        <w:spacing w:before="96"/>
      </w:pPr>
      <w:r>
        <w:t>(NU)</w:t>
      </w:r>
      <w:r>
        <w:rPr>
          <w:spacing w:val="-5"/>
        </w:rPr>
        <w:t xml:space="preserve"> </w:t>
      </w:r>
      <w:r>
        <w:t>“if</w:t>
      </w:r>
      <w:r>
        <w:rPr>
          <w:spacing w:val="-3"/>
        </w:rPr>
        <w:t xml:space="preserve"> </w:t>
      </w:r>
      <w:r>
        <w:t>Jones</w:t>
      </w:r>
      <w:r>
        <w:rPr>
          <w:spacing w:val="-3"/>
        </w:rPr>
        <w:t xml:space="preserve"> </w:t>
      </w:r>
      <w:r>
        <w:t>is</w:t>
      </w:r>
      <w:r>
        <w:rPr>
          <w:spacing w:val="-2"/>
        </w:rPr>
        <w:t xml:space="preserve"> </w:t>
      </w:r>
      <w:r>
        <w:t>tall,</w:t>
      </w:r>
      <w:r>
        <w:rPr>
          <w:spacing w:val="-2"/>
        </w:rPr>
        <w:t xml:space="preserve"> </w:t>
      </w:r>
      <w:r>
        <w:t>then</w:t>
      </w:r>
      <w:r>
        <w:rPr>
          <w:spacing w:val="-2"/>
        </w:rPr>
        <w:t xml:space="preserve"> </w:t>
      </w:r>
      <w:r>
        <w:t>it</w:t>
      </w:r>
      <w:r>
        <w:rPr>
          <w:spacing w:val="-3"/>
        </w:rPr>
        <w:t xml:space="preserve"> </w:t>
      </w:r>
      <w:r>
        <w:t>is</w:t>
      </w:r>
      <w:r>
        <w:rPr>
          <w:spacing w:val="-2"/>
        </w:rPr>
        <w:t xml:space="preserve"> </w:t>
      </w:r>
      <w:r>
        <w:t>not</w:t>
      </w:r>
      <w:r>
        <w:rPr>
          <w:spacing w:val="-3"/>
        </w:rPr>
        <w:t xml:space="preserve"> </w:t>
      </w:r>
      <w:r>
        <w:t>the</w:t>
      </w:r>
      <w:r>
        <w:rPr>
          <w:spacing w:val="-3"/>
        </w:rPr>
        <w:t xml:space="preserve"> </w:t>
      </w:r>
      <w:r>
        <w:t>case</w:t>
      </w:r>
      <w:r>
        <w:rPr>
          <w:spacing w:val="-3"/>
        </w:rPr>
        <w:t xml:space="preserve"> </w:t>
      </w:r>
      <w:r>
        <w:t>that</w:t>
      </w:r>
      <w:r>
        <w:rPr>
          <w:spacing w:val="-2"/>
        </w:rPr>
        <w:t xml:space="preserve"> </w:t>
      </w:r>
      <w:r>
        <w:t>Jenkins</w:t>
      </w:r>
      <w:r>
        <w:rPr>
          <w:spacing w:val="-3"/>
        </w:rPr>
        <w:t xml:space="preserve"> </w:t>
      </w:r>
      <w:r>
        <w:t>is</w:t>
      </w:r>
      <w:r>
        <w:rPr>
          <w:spacing w:val="-3"/>
        </w:rPr>
        <w:t xml:space="preserve"> </w:t>
      </w:r>
      <w:r>
        <w:t>not</w:t>
      </w:r>
      <w:r>
        <w:rPr>
          <w:spacing w:val="-2"/>
        </w:rPr>
        <w:t xml:space="preserve"> tall.”</w:t>
      </w:r>
    </w:p>
    <w:p w14:paraId="7E0021D4" w14:textId="77777777" w:rsidR="009A58DB" w:rsidRDefault="00000000">
      <w:pPr>
        <w:pStyle w:val="BodyText"/>
        <w:spacing w:before="120" w:line="249" w:lineRule="auto"/>
        <w:ind w:right="359" w:firstLine="360"/>
      </w:pPr>
      <w:r>
        <w:t>Thus, a syntactically well-formed sentence S cannot be false if it is the result of uniformly replacing the occurrences in ST of “Smith” (or, for reasons analogous to those just given, of “tall”) with some other expression.</w:t>
      </w:r>
    </w:p>
    <w:p w14:paraId="7E0021D5" w14:textId="77777777" w:rsidR="009A58DB" w:rsidRDefault="00000000">
      <w:pPr>
        <w:pStyle w:val="BodyText"/>
        <w:spacing w:before="4" w:line="249" w:lineRule="auto"/>
        <w:ind w:right="359" w:firstLine="360"/>
      </w:pPr>
      <w:r>
        <w:t xml:space="preserve">In general, a sentence S is </w:t>
      </w:r>
      <w:r>
        <w:rPr>
          <w:i/>
        </w:rPr>
        <w:t>forma</w:t>
      </w:r>
      <w:r>
        <w:rPr>
          <w:b/>
          <w:i/>
        </w:rPr>
        <w:t>l</w:t>
      </w:r>
      <w:r>
        <w:rPr>
          <w:i/>
        </w:rPr>
        <w:t xml:space="preserve">y </w:t>
      </w:r>
      <w:r>
        <w:t>true if there is some expression E occurring in S such that no syntactically well-formed sentence S* is false if S*</w:t>
      </w:r>
      <w:r>
        <w:rPr>
          <w:spacing w:val="-1"/>
        </w:rPr>
        <w:t xml:space="preserve"> </w:t>
      </w:r>
      <w:r>
        <w:t>is</w:t>
      </w:r>
      <w:r>
        <w:rPr>
          <w:spacing w:val="-1"/>
        </w:rPr>
        <w:t xml:space="preserve"> </w:t>
      </w:r>
      <w:r>
        <w:t>what</w:t>
      </w:r>
      <w:r>
        <w:rPr>
          <w:spacing w:val="-2"/>
        </w:rPr>
        <w:t xml:space="preserve"> </w:t>
      </w:r>
      <w:r>
        <w:t>results</w:t>
      </w:r>
      <w:r>
        <w:rPr>
          <w:spacing w:val="-1"/>
        </w:rPr>
        <w:t xml:space="preserve"> </w:t>
      </w:r>
      <w:r>
        <w:t>when</w:t>
      </w:r>
      <w:r>
        <w:rPr>
          <w:spacing w:val="-1"/>
        </w:rPr>
        <w:t xml:space="preserve"> </w:t>
      </w:r>
      <w:r>
        <w:t>the</w:t>
      </w:r>
      <w:r>
        <w:rPr>
          <w:spacing w:val="-1"/>
        </w:rPr>
        <w:t xml:space="preserve"> </w:t>
      </w:r>
      <w:r>
        <w:t>occurrences</w:t>
      </w:r>
      <w:r>
        <w:rPr>
          <w:spacing w:val="-1"/>
        </w:rPr>
        <w:t xml:space="preserve"> </w:t>
      </w:r>
      <w:r>
        <w:t>in</w:t>
      </w:r>
      <w:r>
        <w:rPr>
          <w:spacing w:val="-1"/>
        </w:rPr>
        <w:t xml:space="preserve"> </w:t>
      </w:r>
      <w:r>
        <w:t>S</w:t>
      </w:r>
      <w:r>
        <w:rPr>
          <w:spacing w:val="-2"/>
        </w:rPr>
        <w:t xml:space="preserve"> </w:t>
      </w:r>
      <w:r>
        <w:t>of</w:t>
      </w:r>
      <w:r>
        <w:rPr>
          <w:spacing w:val="-1"/>
        </w:rPr>
        <w:t xml:space="preserve"> </w:t>
      </w:r>
      <w:r>
        <w:t>E</w:t>
      </w:r>
      <w:r>
        <w:rPr>
          <w:spacing w:val="-2"/>
        </w:rPr>
        <w:t xml:space="preserve"> </w:t>
      </w:r>
      <w:r>
        <w:t>are</w:t>
      </w:r>
      <w:r>
        <w:rPr>
          <w:spacing w:val="-1"/>
        </w:rPr>
        <w:t xml:space="preserve"> </w:t>
      </w:r>
      <w:r>
        <w:t>uniformly</w:t>
      </w:r>
      <w:r>
        <w:rPr>
          <w:spacing w:val="-1"/>
        </w:rPr>
        <w:t xml:space="preserve"> </w:t>
      </w:r>
      <w:r>
        <w:t>replaced</w:t>
      </w:r>
      <w:r>
        <w:rPr>
          <w:spacing w:val="-1"/>
        </w:rPr>
        <w:t xml:space="preserve"> </w:t>
      </w:r>
      <w:r>
        <w:t>with occurrences of some other expression.</w:t>
      </w:r>
    </w:p>
    <w:p w14:paraId="7E0021D6" w14:textId="77777777" w:rsidR="009A58DB" w:rsidRDefault="00000000">
      <w:pPr>
        <w:pStyle w:val="BodyText"/>
        <w:spacing w:before="4" w:line="249" w:lineRule="auto"/>
        <w:ind w:right="363" w:firstLine="360"/>
      </w:pPr>
      <w:r>
        <w:t xml:space="preserve">It’s generally held—and the present author himself holds this—that there are </w:t>
      </w:r>
      <w:r>
        <w:rPr>
          <w:i/>
        </w:rPr>
        <w:t xml:space="preserve">informal </w:t>
      </w:r>
      <w:r>
        <w:t>analytic truths. Consider, for example, the following sentence (“JTB” is short for “justified true belief”):</w:t>
      </w:r>
    </w:p>
    <w:p w14:paraId="7E0021D7" w14:textId="77777777" w:rsidR="009A58DB" w:rsidRDefault="00000000">
      <w:pPr>
        <w:pStyle w:val="BodyText"/>
        <w:spacing w:before="109"/>
      </w:pPr>
      <w:r>
        <w:t>(JTB)</w:t>
      </w:r>
      <w:r>
        <w:rPr>
          <w:spacing w:val="-4"/>
        </w:rPr>
        <w:t xml:space="preserve"> </w:t>
      </w:r>
      <w:r>
        <w:t>“one</w:t>
      </w:r>
      <w:r>
        <w:rPr>
          <w:spacing w:val="-4"/>
        </w:rPr>
        <w:t xml:space="preserve"> </w:t>
      </w:r>
      <w:r>
        <w:t>can’t</w:t>
      </w:r>
      <w:r>
        <w:rPr>
          <w:spacing w:val="-4"/>
        </w:rPr>
        <w:t xml:space="preserve"> </w:t>
      </w:r>
      <w:r>
        <w:t>know</w:t>
      </w:r>
      <w:r>
        <w:rPr>
          <w:spacing w:val="-4"/>
        </w:rPr>
        <w:t xml:space="preserve"> </w:t>
      </w:r>
      <w:r>
        <w:t>something</w:t>
      </w:r>
      <w:r>
        <w:rPr>
          <w:spacing w:val="-3"/>
        </w:rPr>
        <w:t xml:space="preserve"> </w:t>
      </w:r>
      <w:r>
        <w:t>without</w:t>
      </w:r>
      <w:r>
        <w:rPr>
          <w:spacing w:val="-4"/>
        </w:rPr>
        <w:t xml:space="preserve"> </w:t>
      </w:r>
      <w:r>
        <w:t>believing</w:t>
      </w:r>
      <w:r>
        <w:rPr>
          <w:spacing w:val="-3"/>
        </w:rPr>
        <w:t xml:space="preserve"> </w:t>
      </w:r>
      <w:r>
        <w:rPr>
          <w:spacing w:val="-4"/>
        </w:rPr>
        <w:t>it.”</w:t>
      </w:r>
    </w:p>
    <w:p w14:paraId="7E0021D8" w14:textId="77777777" w:rsidR="009A58DB" w:rsidRDefault="00000000">
      <w:pPr>
        <w:pStyle w:val="BodyText"/>
        <w:spacing w:before="105" w:line="249" w:lineRule="auto"/>
        <w:ind w:right="360"/>
      </w:pPr>
      <w:r>
        <w:t xml:space="preserve">JTB is analytically true. Given </w:t>
      </w:r>
      <w:r>
        <w:rPr>
          <w:i/>
        </w:rPr>
        <w:t xml:space="preserve">only </w:t>
      </w:r>
      <w:r>
        <w:t>a knowledge of what it means, one</w:t>
      </w:r>
      <w:r>
        <w:rPr>
          <w:spacing w:val="40"/>
        </w:rPr>
        <w:t xml:space="preserve"> </w:t>
      </w:r>
      <w:r>
        <w:t xml:space="preserve">knows (or is in a position to know) that it is true. It isn’t like “there are nine planets,” which, if true, can be established only on the basis of experimental data. No—JTB is </w:t>
      </w:r>
      <w:r>
        <w:rPr>
          <w:i/>
        </w:rPr>
        <w:t>inherently</w:t>
      </w:r>
      <w:r>
        <w:rPr>
          <w:i/>
          <w:spacing w:val="-3"/>
        </w:rPr>
        <w:t xml:space="preserve"> </w:t>
      </w:r>
      <w:r>
        <w:t xml:space="preserve">true. The denial of it (“one </w:t>
      </w:r>
      <w:r>
        <w:rPr>
          <w:i/>
        </w:rPr>
        <w:t>can</w:t>
      </w:r>
      <w:r>
        <w:rPr>
          <w:i/>
          <w:spacing w:val="-3"/>
        </w:rPr>
        <w:t xml:space="preserve"> </w:t>
      </w:r>
      <w:r>
        <w:t>know something without</w:t>
      </w:r>
      <w:r>
        <w:rPr>
          <w:spacing w:val="-1"/>
        </w:rPr>
        <w:t xml:space="preserve"> </w:t>
      </w:r>
      <w:r>
        <w:t>believing</w:t>
      </w:r>
      <w:r>
        <w:rPr>
          <w:spacing w:val="-1"/>
        </w:rPr>
        <w:t xml:space="preserve"> </w:t>
      </w:r>
      <w:r>
        <w:t>it”)</w:t>
      </w:r>
      <w:r>
        <w:rPr>
          <w:spacing w:val="-1"/>
        </w:rPr>
        <w:t xml:space="preserve"> </w:t>
      </w:r>
      <w:r>
        <w:t>is</w:t>
      </w:r>
      <w:r>
        <w:rPr>
          <w:spacing w:val="-1"/>
        </w:rPr>
        <w:t xml:space="preserve"> </w:t>
      </w:r>
      <w:r>
        <w:t>prevented,</w:t>
      </w:r>
      <w:r>
        <w:rPr>
          <w:spacing w:val="-1"/>
        </w:rPr>
        <w:t xml:space="preserve"> </w:t>
      </w:r>
      <w:r>
        <w:t>by</w:t>
      </w:r>
      <w:r>
        <w:rPr>
          <w:spacing w:val="-1"/>
        </w:rPr>
        <w:t xml:space="preserve"> </w:t>
      </w:r>
      <w:r>
        <w:t>its</w:t>
      </w:r>
      <w:r>
        <w:rPr>
          <w:spacing w:val="-1"/>
        </w:rPr>
        <w:t xml:space="preserve"> </w:t>
      </w:r>
      <w:r>
        <w:t>very</w:t>
      </w:r>
      <w:r>
        <w:rPr>
          <w:spacing w:val="-1"/>
        </w:rPr>
        <w:t xml:space="preserve"> </w:t>
      </w:r>
      <w:r>
        <w:t>own</w:t>
      </w:r>
      <w:r>
        <w:rPr>
          <w:spacing w:val="-1"/>
        </w:rPr>
        <w:t xml:space="preserve"> </w:t>
      </w:r>
      <w:r>
        <w:t>meaning,</w:t>
      </w:r>
      <w:r>
        <w:rPr>
          <w:spacing w:val="-1"/>
        </w:rPr>
        <w:t xml:space="preserve"> </w:t>
      </w:r>
      <w:r>
        <w:t>from</w:t>
      </w:r>
      <w:r>
        <w:rPr>
          <w:spacing w:val="-1"/>
        </w:rPr>
        <w:t xml:space="preserve"> </w:t>
      </w:r>
      <w:r>
        <w:t>being</w:t>
      </w:r>
      <w:r>
        <w:rPr>
          <w:spacing w:val="-1"/>
        </w:rPr>
        <w:t xml:space="preserve"> </w:t>
      </w:r>
      <w:r>
        <w:t xml:space="preserve">true; and it (JTB) is </w:t>
      </w:r>
      <w:r>
        <w:rPr>
          <w:i/>
        </w:rPr>
        <w:t xml:space="preserve">required </w:t>
      </w:r>
      <w:r>
        <w:t>by its very own meaning to be true.</w:t>
      </w:r>
    </w:p>
    <w:p w14:paraId="7E0021D9" w14:textId="77777777" w:rsidR="009A58DB" w:rsidRDefault="00000000">
      <w:pPr>
        <w:pStyle w:val="BodyText"/>
        <w:spacing w:before="8" w:line="249" w:lineRule="auto"/>
        <w:ind w:right="360" w:firstLine="360"/>
      </w:pPr>
      <w:r>
        <w:t>But</w:t>
      </w:r>
      <w:r>
        <w:rPr>
          <w:spacing w:val="-3"/>
        </w:rPr>
        <w:t xml:space="preserve"> </w:t>
      </w:r>
      <w:r>
        <w:t>JTB</w:t>
      </w:r>
      <w:r>
        <w:rPr>
          <w:spacing w:val="-3"/>
        </w:rPr>
        <w:t xml:space="preserve"> </w:t>
      </w:r>
      <w:r>
        <w:t>isn’t</w:t>
      </w:r>
      <w:r>
        <w:rPr>
          <w:spacing w:val="-3"/>
        </w:rPr>
        <w:t xml:space="preserve"> </w:t>
      </w:r>
      <w:r>
        <w:rPr>
          <w:i/>
        </w:rPr>
        <w:t>formally</w:t>
      </w:r>
      <w:r>
        <w:rPr>
          <w:i/>
          <w:spacing w:val="-3"/>
        </w:rPr>
        <w:t xml:space="preserve"> </w:t>
      </w:r>
      <w:r>
        <w:t xml:space="preserve">true. If you replace “know” with “doubt,” the result is a false sentence. In fact, given </w:t>
      </w:r>
      <w:r>
        <w:rPr>
          <w:i/>
        </w:rPr>
        <w:t xml:space="preserve">any </w:t>
      </w:r>
      <w:r>
        <w:t>expression in JTB, replacing it (in a uniform and grammatically admissible manner) with some other expression results in falsehood. For example, the sentence “one can’t deny something without affirming it” is a false sentence that results from replacements of the sort just described.</w:t>
      </w:r>
    </w:p>
    <w:p w14:paraId="7E0021DA" w14:textId="77777777" w:rsidR="009A58DB" w:rsidRDefault="00000000">
      <w:pPr>
        <w:pStyle w:val="BodyText"/>
        <w:spacing w:before="7" w:line="249" w:lineRule="auto"/>
        <w:ind w:right="358" w:firstLine="360"/>
      </w:pPr>
      <w:r>
        <w:t>It seems pretty clear, then, that there are informal analytic truths. And this is what most analytic philosophers hold, including the present author. But Quine denies it. Quine thinks that, apart from formal analytic truths, there are</w:t>
      </w:r>
    </w:p>
    <w:p w14:paraId="7E0021D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DC" w14:textId="77777777" w:rsidR="009A58DB" w:rsidRDefault="00000000">
      <w:pPr>
        <w:pStyle w:val="BodyText"/>
        <w:spacing w:before="60"/>
      </w:pPr>
      <w:r>
        <w:rPr>
          <w:i/>
        </w:rPr>
        <w:lastRenderedPageBreak/>
        <w:t>no</w:t>
      </w:r>
      <w:r>
        <w:rPr>
          <w:i/>
          <w:spacing w:val="-5"/>
        </w:rPr>
        <w:t xml:space="preserve"> </w:t>
      </w:r>
      <w:r>
        <w:t>analytic</w:t>
      </w:r>
      <w:r>
        <w:rPr>
          <w:spacing w:val="-2"/>
        </w:rPr>
        <w:t xml:space="preserve"> </w:t>
      </w:r>
      <w:r>
        <w:t>truths.</w:t>
      </w:r>
      <w:r>
        <w:rPr>
          <w:spacing w:val="-3"/>
        </w:rPr>
        <w:t xml:space="preserve"> </w:t>
      </w:r>
      <w:r>
        <w:t>This</w:t>
      </w:r>
      <w:r>
        <w:rPr>
          <w:spacing w:val="-3"/>
        </w:rPr>
        <w:t xml:space="preserve"> </w:t>
      </w:r>
      <w:r>
        <w:t>thesis</w:t>
      </w:r>
      <w:r>
        <w:rPr>
          <w:spacing w:val="-2"/>
        </w:rPr>
        <w:t xml:space="preserve"> </w:t>
      </w:r>
      <w:r>
        <w:t>of</w:t>
      </w:r>
      <w:r>
        <w:rPr>
          <w:spacing w:val="-3"/>
        </w:rPr>
        <w:t xml:space="preserve"> </w:t>
      </w:r>
      <w:r>
        <w:t>his</w:t>
      </w:r>
      <w:r>
        <w:rPr>
          <w:spacing w:val="-3"/>
        </w:rPr>
        <w:t xml:space="preserve"> </w:t>
      </w:r>
      <w:r>
        <w:t>is</w:t>
      </w:r>
      <w:r>
        <w:rPr>
          <w:spacing w:val="-3"/>
        </w:rPr>
        <w:t xml:space="preserve"> </w:t>
      </w:r>
      <w:r>
        <w:t>famous,</w:t>
      </w:r>
      <w:r>
        <w:rPr>
          <w:spacing w:val="-2"/>
        </w:rPr>
        <w:t xml:space="preserve"> </w:t>
      </w:r>
      <w:r>
        <w:t>and</w:t>
      </w:r>
      <w:r>
        <w:rPr>
          <w:spacing w:val="-3"/>
        </w:rPr>
        <w:t xml:space="preserve"> </w:t>
      </w:r>
      <w:r>
        <w:t>so</w:t>
      </w:r>
      <w:r>
        <w:rPr>
          <w:spacing w:val="-2"/>
        </w:rPr>
        <w:t xml:space="preserve"> </w:t>
      </w:r>
      <w:r>
        <w:t>is</w:t>
      </w:r>
      <w:r>
        <w:rPr>
          <w:spacing w:val="-3"/>
        </w:rPr>
        <w:t xml:space="preserve"> </w:t>
      </w:r>
      <w:r>
        <w:t>his</w:t>
      </w:r>
      <w:r>
        <w:rPr>
          <w:spacing w:val="-3"/>
        </w:rPr>
        <w:t xml:space="preserve"> </w:t>
      </w:r>
      <w:r>
        <w:t>argument</w:t>
      </w:r>
      <w:r>
        <w:rPr>
          <w:spacing w:val="-2"/>
        </w:rPr>
        <w:t xml:space="preserve"> </w:t>
      </w:r>
      <w:r>
        <w:t>for</w:t>
      </w:r>
      <w:r>
        <w:rPr>
          <w:spacing w:val="-3"/>
        </w:rPr>
        <w:t xml:space="preserve"> </w:t>
      </w:r>
      <w:r>
        <w:rPr>
          <w:spacing w:val="-5"/>
        </w:rPr>
        <w:t>it.</w:t>
      </w:r>
    </w:p>
    <w:p w14:paraId="7E0021DD" w14:textId="77777777" w:rsidR="009A58DB" w:rsidRDefault="00000000">
      <w:pPr>
        <w:pStyle w:val="Heading1"/>
        <w:numPr>
          <w:ilvl w:val="1"/>
          <w:numId w:val="72"/>
        </w:numPr>
        <w:tabs>
          <w:tab w:val="left" w:pos="990"/>
        </w:tabs>
        <w:spacing w:before="208"/>
        <w:ind w:left="990" w:hanging="630"/>
        <w:jc w:val="both"/>
      </w:pPr>
      <w:r>
        <w:t>Quine’s</w:t>
      </w:r>
      <w:r>
        <w:rPr>
          <w:spacing w:val="-7"/>
        </w:rPr>
        <w:t xml:space="preserve"> </w:t>
      </w:r>
      <w:r>
        <w:t>denial</w:t>
      </w:r>
      <w:r>
        <w:rPr>
          <w:spacing w:val="-5"/>
        </w:rPr>
        <w:t xml:space="preserve"> </w:t>
      </w:r>
      <w:r>
        <w:t>of</w:t>
      </w:r>
      <w:r>
        <w:rPr>
          <w:spacing w:val="-5"/>
        </w:rPr>
        <w:t xml:space="preserve"> </w:t>
      </w:r>
      <w:r>
        <w:t>informal</w:t>
      </w:r>
      <w:r>
        <w:rPr>
          <w:spacing w:val="-5"/>
        </w:rPr>
        <w:t xml:space="preserve"> </w:t>
      </w:r>
      <w:r>
        <w:t>analytic</w:t>
      </w:r>
      <w:r>
        <w:rPr>
          <w:spacing w:val="-4"/>
        </w:rPr>
        <w:t xml:space="preserve"> </w:t>
      </w:r>
      <w:r>
        <w:rPr>
          <w:spacing w:val="-2"/>
        </w:rPr>
        <w:t>truth</w:t>
      </w:r>
    </w:p>
    <w:p w14:paraId="7E0021DE" w14:textId="77777777" w:rsidR="009A58DB" w:rsidRDefault="00000000">
      <w:pPr>
        <w:pStyle w:val="BodyText"/>
        <w:spacing w:before="139"/>
      </w:pPr>
      <w:r>
        <w:t>Here</w:t>
      </w:r>
      <w:r>
        <w:rPr>
          <w:spacing w:val="-6"/>
        </w:rPr>
        <w:t xml:space="preserve"> </w:t>
      </w:r>
      <w:r>
        <w:t>is</w:t>
      </w:r>
      <w:r>
        <w:rPr>
          <w:spacing w:val="-4"/>
        </w:rPr>
        <w:t xml:space="preserve"> </w:t>
      </w:r>
      <w:r>
        <w:t>Quine’s</w:t>
      </w:r>
      <w:r>
        <w:rPr>
          <w:spacing w:val="-4"/>
        </w:rPr>
        <w:t xml:space="preserve"> </w:t>
      </w:r>
      <w:r>
        <w:t>argument.</w:t>
      </w:r>
      <w:r>
        <w:rPr>
          <w:spacing w:val="-4"/>
        </w:rPr>
        <w:t xml:space="preserve"> </w:t>
      </w:r>
      <w:r>
        <w:t>Consider</w:t>
      </w:r>
      <w:r>
        <w:rPr>
          <w:spacing w:val="-3"/>
        </w:rPr>
        <w:t xml:space="preserve"> </w:t>
      </w:r>
      <w:r>
        <w:t>the</w:t>
      </w:r>
      <w:r>
        <w:rPr>
          <w:spacing w:val="-4"/>
        </w:rPr>
        <w:t xml:space="preserve"> </w:t>
      </w:r>
      <w:r>
        <w:rPr>
          <w:spacing w:val="-2"/>
        </w:rPr>
        <w:t>sentence:</w:t>
      </w:r>
    </w:p>
    <w:p w14:paraId="7E0021DF" w14:textId="77777777" w:rsidR="009A58DB" w:rsidRDefault="00000000">
      <w:pPr>
        <w:pStyle w:val="BodyText"/>
        <w:spacing w:before="120"/>
      </w:pPr>
      <w:r>
        <w:t>(B)</w:t>
      </w:r>
      <w:r>
        <w:rPr>
          <w:spacing w:val="-7"/>
        </w:rPr>
        <w:t xml:space="preserve"> </w:t>
      </w:r>
      <w:r>
        <w:t>Bachelors</w:t>
      </w:r>
      <w:r>
        <w:rPr>
          <w:spacing w:val="-5"/>
        </w:rPr>
        <w:t xml:space="preserve"> </w:t>
      </w:r>
      <w:r>
        <w:t>are</w:t>
      </w:r>
      <w:r>
        <w:rPr>
          <w:spacing w:val="-5"/>
        </w:rPr>
        <w:t xml:space="preserve"> </w:t>
      </w:r>
      <w:r>
        <w:t>unmarried</w:t>
      </w:r>
      <w:r>
        <w:rPr>
          <w:spacing w:val="-4"/>
        </w:rPr>
        <w:t xml:space="preserve"> men.</w:t>
      </w:r>
    </w:p>
    <w:p w14:paraId="7E0021E0" w14:textId="77777777" w:rsidR="009A58DB" w:rsidRDefault="00000000">
      <w:pPr>
        <w:pStyle w:val="BodyText"/>
        <w:spacing w:before="120" w:line="249" w:lineRule="auto"/>
        <w:ind w:right="358"/>
      </w:pPr>
      <w:r>
        <w:t xml:space="preserve">If any sentence is analytic, (B) is one of them. According to Quine, if (B) is analytic, that is in virtue of the fact that “bachelor” and “unmarried man” are synonyms. Quine says that </w:t>
      </w:r>
      <w:r>
        <w:rPr>
          <w:i/>
        </w:rPr>
        <w:t xml:space="preserve">whenever </w:t>
      </w:r>
      <w:r>
        <w:t>a sentence is analytic, that is because it holds entirely in virtue of some synonymy relation.</w:t>
      </w:r>
    </w:p>
    <w:p w14:paraId="7E0021E1" w14:textId="77777777" w:rsidR="009A58DB" w:rsidRDefault="00000000">
      <w:pPr>
        <w:pStyle w:val="BodyText"/>
        <w:spacing w:before="5" w:line="249" w:lineRule="auto"/>
        <w:ind w:right="361" w:firstLine="360"/>
      </w:pPr>
      <w:r>
        <w:t>Quine then asks the following question: What is it for two expressions to be synonyms? Quine gives the following (correct) response: It is for them to be such that inter-substitutions of them preserve meaning. “Foe” and</w:t>
      </w:r>
      <w:r>
        <w:rPr>
          <w:spacing w:val="40"/>
        </w:rPr>
        <w:t xml:space="preserve"> </w:t>
      </w:r>
      <w:r>
        <w:t>“enemy” are synonymous because you cannot change sentence meaning by replacing “foe” with “enemy.” Put another way, “foe” and “enemy” mean the same thing because, if a sentence S contains an occurrence of “foe,” and that occurrence is replaced with an occurrence of “enemy,” the resulting sentence has the same meaning as S.</w:t>
      </w:r>
    </w:p>
    <w:p w14:paraId="7E0021E2" w14:textId="77777777" w:rsidR="009A58DB" w:rsidRDefault="00000000">
      <w:pPr>
        <w:pStyle w:val="BodyText"/>
        <w:spacing w:before="10" w:line="249" w:lineRule="auto"/>
        <w:ind w:right="357" w:firstLine="360"/>
      </w:pPr>
      <w:r>
        <w:t>Let me explain what this last sentence means. Consider the sentence: “Smith is a foe.” Now replace the word “foe” with “enemy.” What results is “Smith is an enemy.” The sentence “Smith is an enemy” has precisely the same meaning as “Smith is a foe.”</w:t>
      </w:r>
    </w:p>
    <w:p w14:paraId="7E0021E3" w14:textId="77777777" w:rsidR="009A58DB" w:rsidRDefault="00000000">
      <w:pPr>
        <w:pStyle w:val="BodyText"/>
        <w:spacing w:before="4" w:line="249" w:lineRule="auto"/>
        <w:ind w:right="361" w:firstLine="360"/>
      </w:pPr>
      <w:r>
        <w:t>Let</w:t>
      </w:r>
      <w:r>
        <w:rPr>
          <w:spacing w:val="-1"/>
        </w:rPr>
        <w:t xml:space="preserve"> </w:t>
      </w:r>
      <w:r>
        <w:t>S</w:t>
      </w:r>
      <w:r>
        <w:rPr>
          <w:spacing w:val="-1"/>
        </w:rPr>
        <w:t xml:space="preserve"> </w:t>
      </w:r>
      <w:r>
        <w:t>and S* be</w:t>
      </w:r>
      <w:r>
        <w:rPr>
          <w:spacing w:val="-1"/>
        </w:rPr>
        <w:t xml:space="preserve"> </w:t>
      </w:r>
      <w:r>
        <w:rPr>
          <w:i/>
        </w:rPr>
        <w:t>any</w:t>
      </w:r>
      <w:r>
        <w:rPr>
          <w:i/>
          <w:spacing w:val="-3"/>
        </w:rPr>
        <w:t xml:space="preserve"> </w:t>
      </w:r>
      <w:r>
        <w:t>two</w:t>
      </w:r>
      <w:r>
        <w:rPr>
          <w:spacing w:val="-1"/>
        </w:rPr>
        <w:t xml:space="preserve"> </w:t>
      </w:r>
      <w:r>
        <w:t>sentences</w:t>
      </w:r>
      <w:r>
        <w:rPr>
          <w:spacing w:val="-1"/>
        </w:rPr>
        <w:t xml:space="preserve"> </w:t>
      </w:r>
      <w:r>
        <w:t>that</w:t>
      </w:r>
      <w:r>
        <w:rPr>
          <w:spacing w:val="-1"/>
        </w:rPr>
        <w:t xml:space="preserve"> </w:t>
      </w:r>
      <w:r>
        <w:t>are</w:t>
      </w:r>
      <w:r>
        <w:rPr>
          <w:spacing w:val="-1"/>
        </w:rPr>
        <w:t xml:space="preserve"> </w:t>
      </w:r>
      <w:r>
        <w:t>exactly</w:t>
      </w:r>
      <w:r>
        <w:rPr>
          <w:spacing w:val="-1"/>
        </w:rPr>
        <w:t xml:space="preserve"> </w:t>
      </w:r>
      <w:r>
        <w:t>alike</w:t>
      </w:r>
      <w:r>
        <w:rPr>
          <w:spacing w:val="-1"/>
        </w:rPr>
        <w:t xml:space="preserve"> </w:t>
      </w:r>
      <w:r>
        <w:rPr>
          <w:i/>
        </w:rPr>
        <w:t>except</w:t>
      </w:r>
      <w:r>
        <w:rPr>
          <w:i/>
          <w:spacing w:val="-4"/>
        </w:rPr>
        <w:t xml:space="preserve"> </w:t>
      </w:r>
      <w:r>
        <w:t xml:space="preserve">for the fact that, in the place where S contains the word “foe,” S* contains the word “enemy.” What we just said about “Smith is an enemy” and “Smith is a foe” is true of S and S*. And that is why “foe” and “enemy” are synonyms. Inter-substituting synonyms doesn’t change sentence-meaning—and for two expressions to be synonymous just </w:t>
      </w:r>
      <w:r>
        <w:rPr>
          <w:i/>
        </w:rPr>
        <w:t xml:space="preserve">is </w:t>
      </w:r>
      <w:r>
        <w:t>for them to be such that inter-substituting them doesn’t ever change sentence-meaning.</w:t>
      </w:r>
    </w:p>
    <w:p w14:paraId="7E0021E4" w14:textId="77777777" w:rsidR="009A58DB" w:rsidRDefault="00000000">
      <w:pPr>
        <w:pStyle w:val="BodyText"/>
        <w:spacing w:before="9" w:line="249" w:lineRule="auto"/>
        <w:ind w:right="363" w:firstLine="360"/>
      </w:pPr>
      <w:r>
        <w:t xml:space="preserve">But, Quine asks, what is it for two sentences to have the same “meaning”? What is it for “Smith is an enemy” and “Smith is a foe” to mean the same thing? According to Quine, for two statements to have the same meaning is for them to be </w:t>
      </w:r>
      <w:r>
        <w:rPr>
          <w:i/>
        </w:rPr>
        <w:t xml:space="preserve">analytically equivalent. </w:t>
      </w:r>
      <w:r>
        <w:t>In other words, it is for them to entail, and be entailed by, exactly the same statements.</w:t>
      </w:r>
    </w:p>
    <w:p w14:paraId="7E0021E5" w14:textId="77777777" w:rsidR="009A58DB" w:rsidRDefault="00000000">
      <w:pPr>
        <w:pStyle w:val="BodyText"/>
        <w:spacing w:before="6" w:line="249" w:lineRule="auto"/>
        <w:ind w:right="360" w:firstLine="360"/>
      </w:pPr>
      <w:r>
        <w:t>Let me illustrate this last point. “Smith is an enemy” entails “Smith is somebody</w:t>
      </w:r>
      <w:r>
        <w:rPr>
          <w:spacing w:val="5"/>
        </w:rPr>
        <w:t xml:space="preserve"> </w:t>
      </w:r>
      <w:r>
        <w:t>who</w:t>
      </w:r>
      <w:r>
        <w:rPr>
          <w:spacing w:val="8"/>
        </w:rPr>
        <w:t xml:space="preserve"> </w:t>
      </w:r>
      <w:r>
        <w:t>is</w:t>
      </w:r>
      <w:r>
        <w:rPr>
          <w:spacing w:val="8"/>
        </w:rPr>
        <w:t xml:space="preserve"> </w:t>
      </w:r>
      <w:r>
        <w:t>attempting</w:t>
      </w:r>
      <w:r>
        <w:rPr>
          <w:spacing w:val="7"/>
        </w:rPr>
        <w:t xml:space="preserve"> </w:t>
      </w:r>
      <w:r>
        <w:t>to</w:t>
      </w:r>
      <w:r>
        <w:rPr>
          <w:spacing w:val="8"/>
        </w:rPr>
        <w:t xml:space="preserve"> </w:t>
      </w:r>
      <w:r>
        <w:t>do</w:t>
      </w:r>
      <w:r>
        <w:rPr>
          <w:spacing w:val="8"/>
        </w:rPr>
        <w:t xml:space="preserve"> </w:t>
      </w:r>
      <w:r>
        <w:t>me</w:t>
      </w:r>
      <w:r>
        <w:rPr>
          <w:spacing w:val="7"/>
        </w:rPr>
        <w:t xml:space="preserve"> </w:t>
      </w:r>
      <w:r>
        <w:t>ill,”</w:t>
      </w:r>
      <w:r>
        <w:rPr>
          <w:spacing w:val="9"/>
        </w:rPr>
        <w:t xml:space="preserve"> </w:t>
      </w:r>
      <w:r>
        <w:t>and</w:t>
      </w:r>
      <w:r>
        <w:rPr>
          <w:spacing w:val="7"/>
        </w:rPr>
        <w:t xml:space="preserve"> </w:t>
      </w:r>
      <w:r>
        <w:t>so</w:t>
      </w:r>
      <w:r>
        <w:rPr>
          <w:spacing w:val="8"/>
        </w:rPr>
        <w:t xml:space="preserve"> </w:t>
      </w:r>
      <w:r>
        <w:t>does</w:t>
      </w:r>
      <w:r>
        <w:rPr>
          <w:spacing w:val="8"/>
        </w:rPr>
        <w:t xml:space="preserve"> </w:t>
      </w:r>
      <w:r>
        <w:t>“Smith</w:t>
      </w:r>
      <w:r>
        <w:rPr>
          <w:spacing w:val="7"/>
        </w:rPr>
        <w:t xml:space="preserve"> </w:t>
      </w:r>
      <w:r>
        <w:t>is</w:t>
      </w:r>
      <w:r>
        <w:rPr>
          <w:spacing w:val="8"/>
        </w:rPr>
        <w:t xml:space="preserve"> </w:t>
      </w:r>
      <w:r>
        <w:t>a</w:t>
      </w:r>
      <w:r>
        <w:rPr>
          <w:spacing w:val="8"/>
        </w:rPr>
        <w:t xml:space="preserve"> </w:t>
      </w:r>
      <w:r>
        <w:t>foe.”</w:t>
      </w:r>
      <w:r>
        <w:rPr>
          <w:spacing w:val="9"/>
        </w:rPr>
        <w:t xml:space="preserve"> </w:t>
      </w:r>
      <w:r>
        <w:rPr>
          <w:spacing w:val="-5"/>
        </w:rPr>
        <w:t>The</w:t>
      </w:r>
    </w:p>
    <w:p w14:paraId="7E0021E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E7" w14:textId="77777777" w:rsidR="009A58DB" w:rsidRDefault="00000000">
      <w:pPr>
        <w:pStyle w:val="BodyText"/>
        <w:spacing w:before="70" w:line="249" w:lineRule="auto"/>
        <w:ind w:right="358"/>
      </w:pPr>
      <w:r>
        <w:lastRenderedPageBreak/>
        <w:t xml:space="preserve">statement “Smith is somebody whose sole objective in life is to make my life as unpleasant as possible” entails “Smith is an enemy,” and it </w:t>
      </w:r>
      <w:r>
        <w:rPr>
          <w:i/>
        </w:rPr>
        <w:t xml:space="preserve">also </w:t>
      </w:r>
      <w:r>
        <w:t xml:space="preserve">entails “Smith is a foe.” Given </w:t>
      </w:r>
      <w:r>
        <w:rPr>
          <w:i/>
        </w:rPr>
        <w:t xml:space="preserve">any </w:t>
      </w:r>
      <w:r>
        <w:t xml:space="preserve">statement S that entails “Smith is an enemy,” S </w:t>
      </w:r>
      <w:r>
        <w:rPr>
          <w:i/>
        </w:rPr>
        <w:t>also</w:t>
      </w:r>
      <w:r>
        <w:rPr>
          <w:i/>
          <w:spacing w:val="-2"/>
        </w:rPr>
        <w:t xml:space="preserve"> </w:t>
      </w:r>
      <w:r>
        <w:t xml:space="preserve">entails “Smith is a foe”; and given </w:t>
      </w:r>
      <w:r>
        <w:rPr>
          <w:i/>
        </w:rPr>
        <w:t xml:space="preserve">any </w:t>
      </w:r>
      <w:r>
        <w:t xml:space="preserve">statement S* such that “Smith is an enemy” entails S*, “Smith is a foe” </w:t>
      </w:r>
      <w:r>
        <w:rPr>
          <w:i/>
        </w:rPr>
        <w:t xml:space="preserve">also </w:t>
      </w:r>
      <w:r>
        <w:t>entails S*. Thus, “Smith is an enemy” and “Smith is a foe” entail, and are entailed by, exactly the same statements—and that, according to Quine, is what it is for them to have the same meaning.</w:t>
      </w:r>
    </w:p>
    <w:p w14:paraId="7E0021E8" w14:textId="77777777" w:rsidR="009A58DB" w:rsidRDefault="00000000">
      <w:pPr>
        <w:pStyle w:val="BodyText"/>
        <w:spacing w:before="4" w:line="249" w:lineRule="auto"/>
        <w:ind w:right="366" w:firstLine="360"/>
      </w:pPr>
      <w:r>
        <w:t>But notice that we have gone in a circle. We defined analyticity in terms</w:t>
      </w:r>
      <w:r>
        <w:rPr>
          <w:spacing w:val="40"/>
        </w:rPr>
        <w:t xml:space="preserve"> </w:t>
      </w:r>
      <w:r>
        <w:t>of synonymy. A recap will make this clear:</w:t>
      </w:r>
    </w:p>
    <w:p w14:paraId="7E0021E9" w14:textId="77777777" w:rsidR="009A58DB" w:rsidRDefault="00000000">
      <w:pPr>
        <w:pStyle w:val="ListParagraph"/>
        <w:numPr>
          <w:ilvl w:val="0"/>
          <w:numId w:val="71"/>
        </w:numPr>
        <w:tabs>
          <w:tab w:val="left" w:pos="720"/>
          <w:tab w:val="left" w:pos="903"/>
        </w:tabs>
        <w:spacing w:before="138" w:line="256" w:lineRule="auto"/>
        <w:ind w:right="363" w:hanging="360"/>
        <w:jc w:val="both"/>
        <w:rPr>
          <w:sz w:val="30"/>
        </w:rPr>
      </w:pPr>
      <w:r>
        <w:rPr>
          <w:sz w:val="30"/>
        </w:rPr>
        <w:tab/>
        <w:t>(B) is analytic because “bachelor” and “unmarried man” are synonyms: in general, if a sentence is analytic, that is because it holds true entirely in virtue of some synonymy relation.</w:t>
      </w:r>
    </w:p>
    <w:p w14:paraId="7E0021EA" w14:textId="77777777" w:rsidR="009A58DB" w:rsidRDefault="00000000">
      <w:pPr>
        <w:pStyle w:val="BodyText"/>
        <w:spacing w:before="78"/>
      </w:pPr>
      <w:r>
        <w:t>We</w:t>
      </w:r>
      <w:r>
        <w:rPr>
          <w:spacing w:val="-6"/>
        </w:rPr>
        <w:t xml:space="preserve"> </w:t>
      </w:r>
      <w:r>
        <w:t>then</w:t>
      </w:r>
      <w:r>
        <w:rPr>
          <w:spacing w:val="-2"/>
        </w:rPr>
        <w:t xml:space="preserve"> </w:t>
      </w:r>
      <w:r>
        <w:t>defined</w:t>
      </w:r>
      <w:r>
        <w:rPr>
          <w:spacing w:val="-2"/>
        </w:rPr>
        <w:t xml:space="preserve"> </w:t>
      </w:r>
      <w:r>
        <w:t>synonymy</w:t>
      </w:r>
      <w:r>
        <w:rPr>
          <w:spacing w:val="-2"/>
        </w:rPr>
        <w:t xml:space="preserve"> </w:t>
      </w:r>
      <w:r>
        <w:t>in</w:t>
      </w:r>
      <w:r>
        <w:rPr>
          <w:spacing w:val="-3"/>
        </w:rPr>
        <w:t xml:space="preserve"> </w:t>
      </w:r>
      <w:r>
        <w:t>terms</w:t>
      </w:r>
      <w:r>
        <w:rPr>
          <w:spacing w:val="-3"/>
        </w:rPr>
        <w:t xml:space="preserve"> </w:t>
      </w:r>
      <w:r>
        <w:t>of</w:t>
      </w:r>
      <w:r>
        <w:rPr>
          <w:spacing w:val="-3"/>
        </w:rPr>
        <w:t xml:space="preserve"> </w:t>
      </w:r>
      <w:r>
        <w:t>sameness</w:t>
      </w:r>
      <w:r>
        <w:rPr>
          <w:spacing w:val="-3"/>
        </w:rPr>
        <w:t xml:space="preserve"> </w:t>
      </w:r>
      <w:r>
        <w:t>of</w:t>
      </w:r>
      <w:r>
        <w:rPr>
          <w:spacing w:val="-3"/>
        </w:rPr>
        <w:t xml:space="preserve"> </w:t>
      </w:r>
      <w:r>
        <w:rPr>
          <w:spacing w:val="-2"/>
        </w:rPr>
        <w:t>meaning:</w:t>
      </w:r>
    </w:p>
    <w:p w14:paraId="7E0021EB" w14:textId="77777777" w:rsidR="009A58DB" w:rsidRDefault="00000000">
      <w:pPr>
        <w:pStyle w:val="ListParagraph"/>
        <w:numPr>
          <w:ilvl w:val="0"/>
          <w:numId w:val="71"/>
        </w:numPr>
        <w:tabs>
          <w:tab w:val="left" w:pos="888"/>
        </w:tabs>
        <w:spacing w:before="150" w:line="261" w:lineRule="auto"/>
        <w:ind w:left="360" w:right="361" w:firstLine="0"/>
        <w:jc w:val="both"/>
        <w:rPr>
          <w:sz w:val="30"/>
        </w:rPr>
      </w:pPr>
      <w:r>
        <w:rPr>
          <w:sz w:val="30"/>
        </w:rPr>
        <w:t>For two expressions to be synonymous is for them to be such that inter-substitutions of them preserve sentence meaning.</w:t>
      </w:r>
    </w:p>
    <w:p w14:paraId="7E0021EC" w14:textId="77777777" w:rsidR="009A58DB" w:rsidRDefault="00000000">
      <w:pPr>
        <w:pStyle w:val="BodyText"/>
        <w:spacing w:before="88"/>
      </w:pPr>
      <w:r>
        <w:t>But</w:t>
      </w:r>
      <w:r>
        <w:rPr>
          <w:spacing w:val="-6"/>
        </w:rPr>
        <w:t xml:space="preserve"> </w:t>
      </w:r>
      <w:r>
        <w:t>we</w:t>
      </w:r>
      <w:r>
        <w:rPr>
          <w:spacing w:val="-3"/>
        </w:rPr>
        <w:t xml:space="preserve"> </w:t>
      </w:r>
      <w:r>
        <w:t>then</w:t>
      </w:r>
      <w:r>
        <w:rPr>
          <w:spacing w:val="-2"/>
        </w:rPr>
        <w:t xml:space="preserve"> </w:t>
      </w:r>
      <w:r>
        <w:t>defined</w:t>
      </w:r>
      <w:r>
        <w:rPr>
          <w:spacing w:val="-3"/>
        </w:rPr>
        <w:t xml:space="preserve"> </w:t>
      </w:r>
      <w:r>
        <w:t>sameness</w:t>
      </w:r>
      <w:r>
        <w:rPr>
          <w:spacing w:val="-3"/>
        </w:rPr>
        <w:t xml:space="preserve"> </w:t>
      </w:r>
      <w:r>
        <w:t>of</w:t>
      </w:r>
      <w:r>
        <w:rPr>
          <w:spacing w:val="-3"/>
        </w:rPr>
        <w:t xml:space="preserve"> </w:t>
      </w:r>
      <w:r>
        <w:t>meaning</w:t>
      </w:r>
      <w:r>
        <w:rPr>
          <w:spacing w:val="-3"/>
        </w:rPr>
        <w:t xml:space="preserve"> </w:t>
      </w:r>
      <w:r>
        <w:t>in</w:t>
      </w:r>
      <w:r>
        <w:rPr>
          <w:spacing w:val="-2"/>
        </w:rPr>
        <w:t xml:space="preserve"> </w:t>
      </w:r>
      <w:r>
        <w:t>terms</w:t>
      </w:r>
      <w:r>
        <w:rPr>
          <w:spacing w:val="-3"/>
        </w:rPr>
        <w:t xml:space="preserve"> </w:t>
      </w:r>
      <w:r>
        <w:t>of</w:t>
      </w:r>
      <w:r>
        <w:rPr>
          <w:spacing w:val="-3"/>
        </w:rPr>
        <w:t xml:space="preserve"> </w:t>
      </w:r>
      <w:r>
        <w:rPr>
          <w:spacing w:val="-2"/>
        </w:rPr>
        <w:t>analyticity:</w:t>
      </w:r>
    </w:p>
    <w:p w14:paraId="7E0021ED" w14:textId="77777777" w:rsidR="009A58DB" w:rsidRDefault="00000000">
      <w:pPr>
        <w:pStyle w:val="ListParagraph"/>
        <w:numPr>
          <w:ilvl w:val="0"/>
          <w:numId w:val="71"/>
        </w:numPr>
        <w:tabs>
          <w:tab w:val="left" w:pos="720"/>
          <w:tab w:val="left" w:pos="1113"/>
        </w:tabs>
        <w:spacing w:before="135" w:line="256" w:lineRule="auto"/>
        <w:ind w:right="363" w:hanging="360"/>
        <w:jc w:val="both"/>
        <w:rPr>
          <w:sz w:val="30"/>
        </w:rPr>
      </w:pPr>
      <w:r>
        <w:rPr>
          <w:sz w:val="30"/>
        </w:rPr>
        <w:tab/>
        <w:t xml:space="preserve">For two statements to have the same meaning is for them to be </w:t>
      </w:r>
      <w:r>
        <w:rPr>
          <w:i/>
          <w:sz w:val="30"/>
        </w:rPr>
        <w:t xml:space="preserve">analytically equivalent. </w:t>
      </w:r>
      <w:r>
        <w:rPr>
          <w:sz w:val="30"/>
        </w:rPr>
        <w:t>In other words, it is for them to entail, and be entailed by, exactly the same statements.</w:t>
      </w:r>
    </w:p>
    <w:p w14:paraId="7E0021EE" w14:textId="77777777" w:rsidR="009A58DB" w:rsidRDefault="00000000">
      <w:pPr>
        <w:pStyle w:val="BodyText"/>
        <w:spacing w:before="92" w:line="249" w:lineRule="auto"/>
        <w:ind w:right="358"/>
      </w:pPr>
      <w:r>
        <w:t>1 defines analyticity in terms of 2 and, thus, in terms of synonymy. 2 defines synonymy in terms of 3, and thus in terms of analyticity. Thus, analyticity</w:t>
      </w:r>
      <w:r>
        <w:rPr>
          <w:spacing w:val="40"/>
        </w:rPr>
        <w:t xml:space="preserve"> </w:t>
      </w:r>
      <w:r>
        <w:t>has been defined in terms of itself. We have gone in a vicious circle. Thus, Quine concludes, the concept of analyticity is viciously circular and therefore incoherent and, consequently, there is no such thing as analytic truth: all truths are synthetic.</w:t>
      </w:r>
    </w:p>
    <w:p w14:paraId="7E0021EF" w14:textId="77777777" w:rsidR="009A58DB" w:rsidRDefault="00000000">
      <w:pPr>
        <w:pStyle w:val="Heading1"/>
        <w:numPr>
          <w:ilvl w:val="1"/>
          <w:numId w:val="72"/>
        </w:numPr>
        <w:tabs>
          <w:tab w:val="left" w:pos="990"/>
        </w:tabs>
        <w:spacing w:before="196"/>
        <w:ind w:left="990" w:hanging="630"/>
        <w:jc w:val="both"/>
      </w:pPr>
      <w:r>
        <w:t>Evaluating</w:t>
      </w:r>
      <w:r>
        <w:rPr>
          <w:spacing w:val="-9"/>
        </w:rPr>
        <w:t xml:space="preserve"> </w:t>
      </w:r>
      <w:r>
        <w:t>Quine’s</w:t>
      </w:r>
      <w:r>
        <w:rPr>
          <w:spacing w:val="-6"/>
        </w:rPr>
        <w:t xml:space="preserve"> </w:t>
      </w:r>
      <w:r>
        <w:rPr>
          <w:spacing w:val="-2"/>
        </w:rPr>
        <w:t>argument</w:t>
      </w:r>
    </w:p>
    <w:p w14:paraId="7E0021F0" w14:textId="77777777" w:rsidR="009A58DB" w:rsidRDefault="00000000">
      <w:pPr>
        <w:pStyle w:val="BodyText"/>
        <w:spacing w:before="139" w:line="249" w:lineRule="auto"/>
        <w:ind w:right="371"/>
      </w:pPr>
      <w:r>
        <w:t>First of all, Quine is wrong to hold that analyticity is to be understood in terms of synonymy. Consider the sentence:</w:t>
      </w:r>
    </w:p>
    <w:p w14:paraId="7E0021F1" w14:textId="77777777" w:rsidR="009A58DB" w:rsidRDefault="00000000">
      <w:pPr>
        <w:pStyle w:val="BodyText"/>
        <w:spacing w:before="107" w:line="271" w:lineRule="auto"/>
        <w:ind w:right="358"/>
      </w:pPr>
      <w:r>
        <w:t>(T) The unique number n such that n = 2 if the interior angles of a Euclidean triangle add up to 180° and n = 3 otherwise is identical with the unique number m such that 9</w:t>
      </w:r>
      <w:r>
        <w:rPr>
          <w:vertAlign w:val="superscript"/>
        </w:rPr>
        <w:t>m</w:t>
      </w:r>
      <w:r>
        <w:rPr>
          <w:spacing w:val="-2"/>
        </w:rPr>
        <w:t xml:space="preserve"> </w:t>
      </w:r>
      <w:r>
        <w:t>= 90 minus 9.</w:t>
      </w:r>
    </w:p>
    <w:p w14:paraId="7E0021F2" w14:textId="77777777" w:rsidR="009A58DB" w:rsidRDefault="009A58DB">
      <w:pPr>
        <w:pStyle w:val="BodyText"/>
        <w:spacing w:line="271" w:lineRule="auto"/>
        <w:sectPr w:rsidR="009A58DB">
          <w:pgSz w:w="12240" w:h="15840"/>
          <w:pgMar w:top="1380" w:right="1080" w:bottom="280" w:left="1080" w:header="720" w:footer="720" w:gutter="0"/>
          <w:cols w:space="720"/>
        </w:sectPr>
      </w:pPr>
    </w:p>
    <w:p w14:paraId="7E0021F3" w14:textId="77777777" w:rsidR="009A58DB" w:rsidRDefault="00000000">
      <w:pPr>
        <w:pStyle w:val="BodyText"/>
        <w:spacing w:before="65" w:line="249" w:lineRule="auto"/>
        <w:ind w:right="361"/>
      </w:pPr>
      <w:r>
        <w:lastRenderedPageBreak/>
        <w:t>(T) is analytic. It isn’t empirical. No empirical knowledge, over and above such</w:t>
      </w:r>
      <w:r>
        <w:rPr>
          <w:spacing w:val="-3"/>
        </w:rPr>
        <w:t xml:space="preserve"> </w:t>
      </w:r>
      <w:r>
        <w:t>as</w:t>
      </w:r>
      <w:r>
        <w:rPr>
          <w:spacing w:val="-4"/>
        </w:rPr>
        <w:t xml:space="preserve"> </w:t>
      </w:r>
      <w:r>
        <w:t>is</w:t>
      </w:r>
      <w:r>
        <w:rPr>
          <w:spacing w:val="-4"/>
        </w:rPr>
        <w:t xml:space="preserve"> </w:t>
      </w:r>
      <w:r>
        <w:t>needed</w:t>
      </w:r>
      <w:r>
        <w:rPr>
          <w:spacing w:val="-3"/>
        </w:rPr>
        <w:t xml:space="preserve"> </w:t>
      </w:r>
      <w:r>
        <w:t>to</w:t>
      </w:r>
      <w:r>
        <w:rPr>
          <w:spacing w:val="-3"/>
        </w:rPr>
        <w:t xml:space="preserve"> </w:t>
      </w:r>
      <w:r>
        <w:t>know</w:t>
      </w:r>
      <w:r>
        <w:rPr>
          <w:spacing w:val="-4"/>
        </w:rPr>
        <w:t xml:space="preserve"> </w:t>
      </w:r>
      <w:r>
        <w:t>what</w:t>
      </w:r>
      <w:r>
        <w:rPr>
          <w:spacing w:val="-4"/>
        </w:rPr>
        <w:t xml:space="preserve"> </w:t>
      </w:r>
      <w:r>
        <w:t>meaning</w:t>
      </w:r>
      <w:r>
        <w:rPr>
          <w:spacing w:val="-3"/>
        </w:rPr>
        <w:t xml:space="preserve"> </w:t>
      </w:r>
      <w:r>
        <w:t>it</w:t>
      </w:r>
      <w:r>
        <w:rPr>
          <w:spacing w:val="-4"/>
        </w:rPr>
        <w:t xml:space="preserve"> </w:t>
      </w:r>
      <w:r>
        <w:t>bears,</w:t>
      </w:r>
      <w:r>
        <w:rPr>
          <w:spacing w:val="-3"/>
        </w:rPr>
        <w:t xml:space="preserve"> </w:t>
      </w:r>
      <w:r>
        <w:t>is</w:t>
      </w:r>
      <w:r>
        <w:rPr>
          <w:spacing w:val="-4"/>
        </w:rPr>
        <w:t xml:space="preserve"> </w:t>
      </w:r>
      <w:r>
        <w:t>required</w:t>
      </w:r>
      <w:r>
        <w:rPr>
          <w:spacing w:val="-3"/>
        </w:rPr>
        <w:t xml:space="preserve"> </w:t>
      </w:r>
      <w:r>
        <w:t>to</w:t>
      </w:r>
      <w:r>
        <w:rPr>
          <w:spacing w:val="-3"/>
        </w:rPr>
        <w:t xml:space="preserve"> </w:t>
      </w:r>
      <w:r>
        <w:t>know</w:t>
      </w:r>
      <w:r>
        <w:rPr>
          <w:spacing w:val="-4"/>
        </w:rPr>
        <w:t xml:space="preserve"> </w:t>
      </w:r>
      <w:r>
        <w:t xml:space="preserve">whether it’s true. So it’s true in virtue of what it means and is thus analytic. (To be sure, unlike some analytic sentences, it isn’t </w:t>
      </w:r>
      <w:r>
        <w:rPr>
          <w:i/>
        </w:rPr>
        <w:t>formally</w:t>
      </w:r>
      <w:r>
        <w:rPr>
          <w:i/>
          <w:spacing w:val="-3"/>
        </w:rPr>
        <w:t xml:space="preserve"> </w:t>
      </w:r>
      <w:r>
        <w:t>true. But since the very thing that Quine is trying to show is that there is no informal analytic truth,</w:t>
      </w:r>
      <w:r>
        <w:rPr>
          <w:spacing w:val="40"/>
        </w:rPr>
        <w:t xml:space="preserve"> </w:t>
      </w:r>
      <w:r>
        <w:t>he cannot, without assuming the truth of the very thing he’s trying to show, claim on those grounds that T is not analytic.) So if Quine is right, T holds in virtue of some synonymy relation. What, in this case, would the relevant synonyms be? Presumably they would be:</w:t>
      </w:r>
    </w:p>
    <w:p w14:paraId="7E0021F4" w14:textId="77777777" w:rsidR="009A58DB" w:rsidRDefault="00000000">
      <w:pPr>
        <w:pStyle w:val="BodyText"/>
        <w:spacing w:before="116" w:line="249" w:lineRule="auto"/>
        <w:jc w:val="left"/>
      </w:pPr>
      <w:r>
        <w:t>(*) “the unique number n such that n = 2 if the interior angles of a Euclidean triangle add up to 180° and n = 3 otherwise”</w:t>
      </w:r>
    </w:p>
    <w:p w14:paraId="7E0021F5" w14:textId="77777777" w:rsidR="009A58DB" w:rsidRDefault="00000000">
      <w:pPr>
        <w:pStyle w:val="BodyText"/>
        <w:spacing w:before="92"/>
        <w:jc w:val="left"/>
      </w:pPr>
      <w:r>
        <w:rPr>
          <w:spacing w:val="-5"/>
        </w:rPr>
        <w:t>and</w:t>
      </w:r>
    </w:p>
    <w:p w14:paraId="7E0021F6" w14:textId="77777777" w:rsidR="009A58DB" w:rsidRDefault="00000000">
      <w:pPr>
        <w:pStyle w:val="BodyText"/>
        <w:spacing w:before="135"/>
        <w:jc w:val="left"/>
      </w:pPr>
      <w:r>
        <w:t>(#) “the</w:t>
      </w:r>
      <w:r>
        <w:rPr>
          <w:spacing w:val="1"/>
        </w:rPr>
        <w:t xml:space="preserve"> </w:t>
      </w:r>
      <w:r>
        <w:t>unique</w:t>
      </w:r>
      <w:r>
        <w:rPr>
          <w:spacing w:val="1"/>
        </w:rPr>
        <w:t xml:space="preserve"> </w:t>
      </w:r>
      <w:r>
        <w:t>number m</w:t>
      </w:r>
      <w:r>
        <w:rPr>
          <w:spacing w:val="1"/>
        </w:rPr>
        <w:t xml:space="preserve"> </w:t>
      </w:r>
      <w:r>
        <w:t>such</w:t>
      </w:r>
      <w:r>
        <w:rPr>
          <w:spacing w:val="2"/>
        </w:rPr>
        <w:t xml:space="preserve"> </w:t>
      </w:r>
      <w:r>
        <w:t>that 9</w:t>
      </w:r>
      <w:r>
        <w:rPr>
          <w:vertAlign w:val="superscript"/>
        </w:rPr>
        <w:t>m</w:t>
      </w:r>
      <w:r>
        <w:rPr>
          <w:spacing w:val="-17"/>
        </w:rPr>
        <w:t xml:space="preserve"> </w:t>
      </w:r>
      <w:r>
        <w:t>= 90</w:t>
      </w:r>
      <w:r>
        <w:rPr>
          <w:spacing w:val="2"/>
        </w:rPr>
        <w:t xml:space="preserve"> </w:t>
      </w:r>
      <w:r>
        <w:t>minus</w:t>
      </w:r>
      <w:r>
        <w:rPr>
          <w:spacing w:val="1"/>
        </w:rPr>
        <w:t xml:space="preserve"> </w:t>
      </w:r>
      <w:r>
        <w:rPr>
          <w:spacing w:val="-5"/>
        </w:rPr>
        <w:t>9.”</w:t>
      </w:r>
    </w:p>
    <w:p w14:paraId="7E0021F7" w14:textId="77777777" w:rsidR="009A58DB" w:rsidRDefault="00000000">
      <w:pPr>
        <w:pStyle w:val="BodyText"/>
        <w:spacing w:before="120" w:line="249" w:lineRule="auto"/>
        <w:ind w:right="360" w:firstLine="360"/>
      </w:pPr>
      <w:r>
        <w:t xml:space="preserve">But, even though they </w:t>
      </w:r>
      <w:r>
        <w:rPr>
          <w:i/>
        </w:rPr>
        <w:t>refer</w:t>
      </w:r>
      <w:r>
        <w:rPr>
          <w:i/>
          <w:spacing w:val="-3"/>
        </w:rPr>
        <w:t xml:space="preserve"> </w:t>
      </w:r>
      <w:r>
        <w:t xml:space="preserve">to the same thing (namely, the number two), * and # obviously don’t have the same </w:t>
      </w:r>
      <w:r>
        <w:rPr>
          <w:i/>
        </w:rPr>
        <w:t>meaning;</w:t>
      </w:r>
      <w:r>
        <w:rPr>
          <w:i/>
          <w:spacing w:val="-2"/>
        </w:rPr>
        <w:t xml:space="preserve"> </w:t>
      </w:r>
      <w:r>
        <w:t>and Quine is therefore wrong to say that, if there are analytic truths, they always hold in virtue of</w:t>
      </w:r>
      <w:r>
        <w:rPr>
          <w:spacing w:val="40"/>
        </w:rPr>
        <w:t xml:space="preserve"> </w:t>
      </w:r>
      <w:r>
        <w:t>synonymy relations.</w:t>
      </w:r>
    </w:p>
    <w:p w14:paraId="7E0021F8" w14:textId="77777777" w:rsidR="009A58DB" w:rsidRDefault="00000000">
      <w:pPr>
        <w:pStyle w:val="Heading1"/>
        <w:numPr>
          <w:ilvl w:val="1"/>
          <w:numId w:val="72"/>
        </w:numPr>
        <w:tabs>
          <w:tab w:val="left" w:pos="1047"/>
        </w:tabs>
        <w:spacing w:before="193" w:line="244" w:lineRule="auto"/>
        <w:ind w:right="359" w:firstLine="0"/>
        <w:jc w:val="both"/>
      </w:pPr>
      <w:r>
        <w:t>Analytic truth non-circularly definable as non-empirical truth</w:t>
      </w:r>
    </w:p>
    <w:p w14:paraId="7E0021F9" w14:textId="77777777" w:rsidR="009A58DB" w:rsidRDefault="00000000">
      <w:pPr>
        <w:pStyle w:val="BodyText"/>
        <w:spacing w:before="132" w:line="249" w:lineRule="auto"/>
        <w:ind w:right="358"/>
      </w:pPr>
      <w:r>
        <w:t xml:space="preserve">Quine’s larger point seems to be that there is no non-circular definition of the term “analytic truth.” But that is false: a sentence is analytic if (a) it is true and (b) it does not hold in virtue of </w:t>
      </w:r>
      <w:r>
        <w:rPr>
          <w:i/>
        </w:rPr>
        <w:t>empirical</w:t>
      </w:r>
      <w:r>
        <w:rPr>
          <w:i/>
          <w:spacing w:val="-4"/>
        </w:rPr>
        <w:t xml:space="preserve"> </w:t>
      </w:r>
      <w:r>
        <w:t xml:space="preserve">facts. Put simply: analytic truth is non-empirical truth. “Circles are figures of uniform curvature” is true and, moreover, it holds, not in virtue of empirical facts (i.e., not in virtue of how objects are </w:t>
      </w:r>
      <w:r>
        <w:rPr>
          <w:i/>
        </w:rPr>
        <w:t xml:space="preserve">in fact </w:t>
      </w:r>
      <w:r>
        <w:t xml:space="preserve">shaped), but in virtue of facts about the structures of the properties </w:t>
      </w:r>
      <w:r>
        <w:rPr>
          <w:i/>
        </w:rPr>
        <w:t xml:space="preserve">circle, curvature, </w:t>
      </w:r>
      <w:r>
        <w:t>and so on. Of course, being a nominalist, Quine would reject the idea that there are non-empirical truths. (After all, a nominalist believes that everything is spatiotemporal: there are no platonic entities and thus no properties.) But in attempting to establish that all truths are</w:t>
      </w:r>
      <w:r>
        <w:rPr>
          <w:spacing w:val="-4"/>
        </w:rPr>
        <w:t xml:space="preserve"> </w:t>
      </w:r>
      <w:r>
        <w:t>synthetic,</w:t>
      </w:r>
      <w:r>
        <w:rPr>
          <w:spacing w:val="-3"/>
        </w:rPr>
        <w:t xml:space="preserve"> </w:t>
      </w:r>
      <w:r>
        <w:t>Quine</w:t>
      </w:r>
      <w:r>
        <w:rPr>
          <w:spacing w:val="-4"/>
        </w:rPr>
        <w:t xml:space="preserve"> </w:t>
      </w:r>
      <w:r>
        <w:t>is,</w:t>
      </w:r>
      <w:r>
        <w:rPr>
          <w:spacing w:val="-3"/>
        </w:rPr>
        <w:t xml:space="preserve"> </w:t>
      </w:r>
      <w:r>
        <w:t>in</w:t>
      </w:r>
      <w:r>
        <w:rPr>
          <w:spacing w:val="-3"/>
        </w:rPr>
        <w:t xml:space="preserve"> </w:t>
      </w:r>
      <w:r>
        <w:t>effect,</w:t>
      </w:r>
      <w:r>
        <w:rPr>
          <w:spacing w:val="-3"/>
        </w:rPr>
        <w:t xml:space="preserve"> </w:t>
      </w:r>
      <w:r>
        <w:t>trying</w:t>
      </w:r>
      <w:r>
        <w:rPr>
          <w:spacing w:val="-3"/>
        </w:rPr>
        <w:t xml:space="preserve"> </w:t>
      </w:r>
      <w:r>
        <w:t>to</w:t>
      </w:r>
      <w:r>
        <w:rPr>
          <w:spacing w:val="-4"/>
        </w:rPr>
        <w:t xml:space="preserve"> </w:t>
      </w:r>
      <w:r>
        <w:rPr>
          <w:i/>
        </w:rPr>
        <w:t>establish</w:t>
      </w:r>
      <w:r>
        <w:rPr>
          <w:i/>
          <w:spacing w:val="-3"/>
        </w:rPr>
        <w:t xml:space="preserve"> </w:t>
      </w:r>
      <w:r>
        <w:t>that</w:t>
      </w:r>
      <w:r>
        <w:rPr>
          <w:spacing w:val="-4"/>
        </w:rPr>
        <w:t xml:space="preserve"> </w:t>
      </w:r>
      <w:r>
        <w:t>there</w:t>
      </w:r>
      <w:r>
        <w:rPr>
          <w:spacing w:val="-4"/>
        </w:rPr>
        <w:t xml:space="preserve"> </w:t>
      </w:r>
      <w:r>
        <w:t>are</w:t>
      </w:r>
      <w:r>
        <w:rPr>
          <w:spacing w:val="-4"/>
        </w:rPr>
        <w:t xml:space="preserve"> </w:t>
      </w:r>
      <w:r>
        <w:t>no</w:t>
      </w:r>
      <w:r>
        <w:rPr>
          <w:spacing w:val="-3"/>
        </w:rPr>
        <w:t xml:space="preserve"> </w:t>
      </w:r>
      <w:r>
        <w:t>empirical truths. For an empirical truth is, by definition, one that can be learned only through</w:t>
      </w:r>
      <w:r>
        <w:rPr>
          <w:spacing w:val="-1"/>
        </w:rPr>
        <w:t xml:space="preserve"> </w:t>
      </w:r>
      <w:r>
        <w:t>observation</w:t>
      </w:r>
      <w:r>
        <w:rPr>
          <w:spacing w:val="-1"/>
        </w:rPr>
        <w:t xml:space="preserve"> </w:t>
      </w:r>
      <w:r>
        <w:t>and</w:t>
      </w:r>
      <w:r>
        <w:rPr>
          <w:spacing w:val="-1"/>
        </w:rPr>
        <w:t xml:space="preserve"> </w:t>
      </w:r>
      <w:r>
        <w:t>therefore</w:t>
      </w:r>
      <w:r>
        <w:rPr>
          <w:spacing w:val="-1"/>
        </w:rPr>
        <w:t xml:space="preserve"> </w:t>
      </w:r>
      <w:r>
        <w:t>cannot</w:t>
      </w:r>
      <w:r>
        <w:rPr>
          <w:spacing w:val="-1"/>
        </w:rPr>
        <w:t xml:space="preserve"> </w:t>
      </w:r>
      <w:r>
        <w:t>be</w:t>
      </w:r>
      <w:r>
        <w:rPr>
          <w:spacing w:val="-1"/>
        </w:rPr>
        <w:t xml:space="preserve"> </w:t>
      </w:r>
      <w:r>
        <w:t>learned</w:t>
      </w:r>
      <w:r>
        <w:rPr>
          <w:spacing w:val="-1"/>
        </w:rPr>
        <w:t xml:space="preserve"> </w:t>
      </w:r>
      <w:r>
        <w:t>through</w:t>
      </w:r>
      <w:r>
        <w:rPr>
          <w:spacing w:val="-1"/>
        </w:rPr>
        <w:t xml:space="preserve"> </w:t>
      </w:r>
      <w:r>
        <w:t>any</w:t>
      </w:r>
      <w:r>
        <w:rPr>
          <w:spacing w:val="-1"/>
        </w:rPr>
        <w:t xml:space="preserve"> </w:t>
      </w:r>
      <w:r>
        <w:t>non-sensory modality</w:t>
      </w:r>
      <w:r>
        <w:rPr>
          <w:spacing w:val="25"/>
        </w:rPr>
        <w:t xml:space="preserve"> </w:t>
      </w:r>
      <w:r>
        <w:t>such</w:t>
      </w:r>
      <w:r>
        <w:rPr>
          <w:spacing w:val="28"/>
        </w:rPr>
        <w:t xml:space="preserve"> </w:t>
      </w:r>
      <w:r>
        <w:t>as</w:t>
      </w:r>
      <w:r>
        <w:rPr>
          <w:spacing w:val="26"/>
        </w:rPr>
        <w:t xml:space="preserve"> </w:t>
      </w:r>
      <w:r>
        <w:t>conceptual</w:t>
      </w:r>
      <w:r>
        <w:rPr>
          <w:spacing w:val="27"/>
        </w:rPr>
        <w:t xml:space="preserve"> </w:t>
      </w:r>
      <w:r>
        <w:t>analysis.</w:t>
      </w:r>
      <w:r>
        <w:rPr>
          <w:spacing w:val="27"/>
        </w:rPr>
        <w:t xml:space="preserve"> </w:t>
      </w:r>
      <w:r>
        <w:t>So</w:t>
      </w:r>
      <w:r>
        <w:rPr>
          <w:spacing w:val="28"/>
        </w:rPr>
        <w:t xml:space="preserve"> </w:t>
      </w:r>
      <w:r>
        <w:t>Quine</w:t>
      </w:r>
      <w:r>
        <w:rPr>
          <w:spacing w:val="26"/>
        </w:rPr>
        <w:t xml:space="preserve"> </w:t>
      </w:r>
      <w:r>
        <w:t>would</w:t>
      </w:r>
      <w:r>
        <w:rPr>
          <w:spacing w:val="28"/>
        </w:rPr>
        <w:t xml:space="preserve"> </w:t>
      </w:r>
      <w:r>
        <w:t>be</w:t>
      </w:r>
      <w:r>
        <w:rPr>
          <w:spacing w:val="26"/>
        </w:rPr>
        <w:t xml:space="preserve"> </w:t>
      </w:r>
      <w:r>
        <w:t>guilty</w:t>
      </w:r>
      <w:r>
        <w:rPr>
          <w:spacing w:val="28"/>
        </w:rPr>
        <w:t xml:space="preserve"> </w:t>
      </w:r>
      <w:r>
        <w:t>of</w:t>
      </w:r>
      <w:r>
        <w:rPr>
          <w:spacing w:val="27"/>
        </w:rPr>
        <w:t xml:space="preserve"> </w:t>
      </w:r>
      <w:r>
        <w:rPr>
          <w:spacing w:val="-2"/>
        </w:rPr>
        <w:t>begging</w:t>
      </w:r>
    </w:p>
    <w:p w14:paraId="7E0021F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1FB" w14:textId="77777777" w:rsidR="009A58DB" w:rsidRDefault="00000000">
      <w:pPr>
        <w:pStyle w:val="BodyText"/>
        <w:spacing w:before="65" w:line="249" w:lineRule="auto"/>
        <w:ind w:right="364"/>
      </w:pPr>
      <w:r>
        <w:lastRenderedPageBreak/>
        <w:t>the question were he to say that, since all truth is empirical, it is not an option to define “analytic” as “non-empirically true.”</w:t>
      </w:r>
    </w:p>
    <w:p w14:paraId="7E0021FC" w14:textId="77777777" w:rsidR="009A58DB" w:rsidRDefault="00000000">
      <w:pPr>
        <w:pStyle w:val="Heading1"/>
        <w:numPr>
          <w:ilvl w:val="1"/>
          <w:numId w:val="72"/>
        </w:numPr>
        <w:tabs>
          <w:tab w:val="left" w:pos="990"/>
        </w:tabs>
        <w:spacing w:before="190"/>
        <w:ind w:left="990" w:hanging="630"/>
      </w:pPr>
      <w:r>
        <w:t>Quine’s</w:t>
      </w:r>
      <w:r>
        <w:rPr>
          <w:spacing w:val="-11"/>
        </w:rPr>
        <w:t xml:space="preserve"> </w:t>
      </w:r>
      <w:r>
        <w:t>position</w:t>
      </w:r>
      <w:r>
        <w:rPr>
          <w:spacing w:val="-9"/>
        </w:rPr>
        <w:t xml:space="preserve"> </w:t>
      </w:r>
      <w:r>
        <w:t>self-</w:t>
      </w:r>
      <w:r>
        <w:rPr>
          <w:spacing w:val="-2"/>
        </w:rPr>
        <w:t>defeating</w:t>
      </w:r>
    </w:p>
    <w:p w14:paraId="7E0021FD" w14:textId="77777777" w:rsidR="009A58DB" w:rsidRDefault="00000000">
      <w:pPr>
        <w:pStyle w:val="BodyText"/>
        <w:spacing w:before="139"/>
        <w:jc w:val="left"/>
      </w:pPr>
      <w:r>
        <w:t>Also,</w:t>
      </w:r>
      <w:r>
        <w:rPr>
          <w:spacing w:val="2"/>
        </w:rPr>
        <w:t xml:space="preserve"> </w:t>
      </w:r>
      <w:r>
        <w:t>the</w:t>
      </w:r>
      <w:r>
        <w:rPr>
          <w:spacing w:val="5"/>
        </w:rPr>
        <w:t xml:space="preserve"> </w:t>
      </w:r>
      <w:r>
        <w:t>view</w:t>
      </w:r>
      <w:r>
        <w:rPr>
          <w:spacing w:val="6"/>
        </w:rPr>
        <w:t xml:space="preserve"> </w:t>
      </w:r>
      <w:r>
        <w:t>that</w:t>
      </w:r>
      <w:r>
        <w:rPr>
          <w:spacing w:val="5"/>
        </w:rPr>
        <w:t xml:space="preserve"> </w:t>
      </w:r>
      <w:r>
        <w:t>there</w:t>
      </w:r>
      <w:r>
        <w:rPr>
          <w:spacing w:val="6"/>
        </w:rPr>
        <w:t xml:space="preserve"> </w:t>
      </w:r>
      <w:r>
        <w:t>are</w:t>
      </w:r>
      <w:r>
        <w:rPr>
          <w:spacing w:val="4"/>
        </w:rPr>
        <w:t xml:space="preserve"> </w:t>
      </w:r>
      <w:r>
        <w:t>no</w:t>
      </w:r>
      <w:r>
        <w:rPr>
          <w:spacing w:val="5"/>
        </w:rPr>
        <w:t xml:space="preserve"> </w:t>
      </w:r>
      <w:r>
        <w:t>analytic</w:t>
      </w:r>
      <w:r>
        <w:rPr>
          <w:spacing w:val="6"/>
        </w:rPr>
        <w:t xml:space="preserve"> </w:t>
      </w:r>
      <w:r>
        <w:t>statements</w:t>
      </w:r>
      <w:r>
        <w:rPr>
          <w:spacing w:val="5"/>
        </w:rPr>
        <w:t xml:space="preserve"> </w:t>
      </w:r>
      <w:r>
        <w:t>is</w:t>
      </w:r>
      <w:r>
        <w:rPr>
          <w:spacing w:val="6"/>
        </w:rPr>
        <w:t xml:space="preserve"> </w:t>
      </w:r>
      <w:r>
        <w:t>self-</w:t>
      </w:r>
      <w:r>
        <w:rPr>
          <w:spacing w:val="-2"/>
        </w:rPr>
        <w:t>defeating.</w:t>
      </w:r>
    </w:p>
    <w:p w14:paraId="7E0021FE" w14:textId="77777777" w:rsidR="009A58DB" w:rsidRDefault="00000000">
      <w:pPr>
        <w:pStyle w:val="BodyText"/>
        <w:spacing w:before="15"/>
        <w:jc w:val="left"/>
      </w:pPr>
      <w:bookmarkStart w:id="469" w:name="_bookmark469"/>
      <w:bookmarkEnd w:id="469"/>
      <w:r>
        <w:rPr>
          <w:color w:val="0562C1"/>
          <w:position w:val="21"/>
          <w:u w:val="single" w:color="0562C1"/>
        </w:rPr>
        <w:t>[349]</w:t>
      </w:r>
      <w:r>
        <w:rPr>
          <w:color w:val="0562C1"/>
          <w:spacing w:val="-2"/>
          <w:position w:val="21"/>
        </w:rPr>
        <w:t xml:space="preserve"> </w:t>
      </w:r>
      <w:r>
        <w:t>The</w:t>
      </w:r>
      <w:r>
        <w:rPr>
          <w:spacing w:val="-2"/>
        </w:rPr>
        <w:t xml:space="preserve"> statement:</w:t>
      </w:r>
    </w:p>
    <w:p w14:paraId="7E0021FF" w14:textId="77777777" w:rsidR="009A58DB" w:rsidRDefault="00000000">
      <w:pPr>
        <w:pStyle w:val="BodyText"/>
        <w:spacing w:before="120" w:line="324" w:lineRule="auto"/>
        <w:ind w:right="5135"/>
        <w:jc w:val="left"/>
      </w:pPr>
      <w:r>
        <w:t>(^)</w:t>
      </w:r>
      <w:r>
        <w:rPr>
          <w:spacing w:val="-9"/>
        </w:rPr>
        <w:t xml:space="preserve"> </w:t>
      </w:r>
      <w:r>
        <w:t>There</w:t>
      </w:r>
      <w:r>
        <w:rPr>
          <w:spacing w:val="-9"/>
        </w:rPr>
        <w:t xml:space="preserve"> </w:t>
      </w:r>
      <w:r>
        <w:t>are</w:t>
      </w:r>
      <w:r>
        <w:rPr>
          <w:spacing w:val="-9"/>
        </w:rPr>
        <w:t xml:space="preserve"> </w:t>
      </w:r>
      <w:r>
        <w:t>no</w:t>
      </w:r>
      <w:r>
        <w:rPr>
          <w:spacing w:val="-8"/>
        </w:rPr>
        <w:t xml:space="preserve"> </w:t>
      </w:r>
      <w:r>
        <w:t>empirical</w:t>
      </w:r>
      <w:r>
        <w:rPr>
          <w:spacing w:val="-9"/>
        </w:rPr>
        <w:t xml:space="preserve"> </w:t>
      </w:r>
      <w:r>
        <w:t>statements is equivalent to the statement:</w:t>
      </w:r>
    </w:p>
    <w:p w14:paraId="7E002200" w14:textId="77777777" w:rsidR="009A58DB" w:rsidRDefault="00000000">
      <w:pPr>
        <w:spacing w:line="329" w:lineRule="exact"/>
        <w:ind w:left="360"/>
        <w:rPr>
          <w:sz w:val="30"/>
        </w:rPr>
      </w:pPr>
      <w:r>
        <w:rPr>
          <w:sz w:val="30"/>
        </w:rPr>
        <w:t>(^^)</w:t>
      </w:r>
      <w:r>
        <w:rPr>
          <w:spacing w:val="-2"/>
          <w:sz w:val="30"/>
        </w:rPr>
        <w:t xml:space="preserve"> </w:t>
      </w:r>
      <w:r>
        <w:rPr>
          <w:sz w:val="30"/>
        </w:rPr>
        <w:t>for</w:t>
      </w:r>
      <w:r>
        <w:rPr>
          <w:spacing w:val="1"/>
          <w:sz w:val="30"/>
        </w:rPr>
        <w:t xml:space="preserve"> </w:t>
      </w:r>
      <w:r>
        <w:rPr>
          <w:sz w:val="30"/>
        </w:rPr>
        <w:t>all</w:t>
      </w:r>
      <w:r>
        <w:rPr>
          <w:spacing w:val="1"/>
          <w:sz w:val="30"/>
        </w:rPr>
        <w:t xml:space="preserve"> </w:t>
      </w:r>
      <w:r>
        <w:rPr>
          <w:sz w:val="30"/>
        </w:rPr>
        <w:t>values</w:t>
      </w:r>
      <w:r>
        <w:rPr>
          <w:spacing w:val="1"/>
          <w:sz w:val="30"/>
        </w:rPr>
        <w:t xml:space="preserve"> </w:t>
      </w:r>
      <w:r>
        <w:rPr>
          <w:sz w:val="30"/>
        </w:rPr>
        <w:t>of S,</w:t>
      </w:r>
      <w:r>
        <w:rPr>
          <w:spacing w:val="1"/>
          <w:sz w:val="30"/>
        </w:rPr>
        <w:t xml:space="preserve"> </w:t>
      </w:r>
      <w:r>
        <w:rPr>
          <w:sz w:val="30"/>
        </w:rPr>
        <w:t>the</w:t>
      </w:r>
      <w:r>
        <w:rPr>
          <w:spacing w:val="1"/>
          <w:sz w:val="30"/>
        </w:rPr>
        <w:t xml:space="preserve"> </w:t>
      </w:r>
      <w:r>
        <w:rPr>
          <w:sz w:val="30"/>
        </w:rPr>
        <w:t>statement</w:t>
      </w:r>
      <w:r>
        <w:rPr>
          <w:spacing w:val="1"/>
          <w:sz w:val="30"/>
        </w:rPr>
        <w:t xml:space="preserve"> </w:t>
      </w:r>
      <w:r>
        <w:rPr>
          <w:i/>
          <w:sz w:val="30"/>
        </w:rPr>
        <w:t>nothing follows</w:t>
      </w:r>
      <w:r>
        <w:rPr>
          <w:i/>
          <w:spacing w:val="1"/>
          <w:sz w:val="30"/>
        </w:rPr>
        <w:t xml:space="preserve"> </w:t>
      </w:r>
      <w:r>
        <w:rPr>
          <w:i/>
          <w:sz w:val="30"/>
        </w:rPr>
        <w:t>from</w:t>
      </w:r>
      <w:r>
        <w:rPr>
          <w:i/>
          <w:spacing w:val="1"/>
          <w:sz w:val="30"/>
        </w:rPr>
        <w:t xml:space="preserve"> </w:t>
      </w:r>
      <w:r>
        <w:rPr>
          <w:i/>
          <w:sz w:val="30"/>
        </w:rPr>
        <w:t>S</w:t>
      </w:r>
      <w:r>
        <w:rPr>
          <w:i/>
          <w:spacing w:val="1"/>
          <w:sz w:val="30"/>
        </w:rPr>
        <w:t xml:space="preserve"> </w:t>
      </w:r>
      <w:r>
        <w:rPr>
          <w:sz w:val="30"/>
        </w:rPr>
        <w:t>follows</w:t>
      </w:r>
      <w:r>
        <w:rPr>
          <w:spacing w:val="-3"/>
          <w:sz w:val="30"/>
        </w:rPr>
        <w:t xml:space="preserve"> </w:t>
      </w:r>
      <w:r>
        <w:rPr>
          <w:sz w:val="30"/>
        </w:rPr>
        <w:t>from</w:t>
      </w:r>
      <w:r>
        <w:rPr>
          <w:spacing w:val="-3"/>
          <w:sz w:val="30"/>
        </w:rPr>
        <w:t xml:space="preserve"> </w:t>
      </w:r>
      <w:r>
        <w:rPr>
          <w:spacing w:val="-5"/>
          <w:sz w:val="30"/>
        </w:rPr>
        <w:t>the</w:t>
      </w:r>
    </w:p>
    <w:p w14:paraId="7E002201" w14:textId="77777777" w:rsidR="009A58DB" w:rsidRDefault="00000000">
      <w:pPr>
        <w:spacing w:before="15"/>
        <w:ind w:left="360"/>
        <w:rPr>
          <w:i/>
          <w:sz w:val="30"/>
        </w:rPr>
      </w:pPr>
      <w:r>
        <w:rPr>
          <w:sz w:val="30"/>
        </w:rPr>
        <w:t>statement</w:t>
      </w:r>
      <w:r>
        <w:rPr>
          <w:spacing w:val="-3"/>
          <w:sz w:val="30"/>
        </w:rPr>
        <w:t xml:space="preserve"> </w:t>
      </w:r>
      <w:r>
        <w:rPr>
          <w:i/>
          <w:sz w:val="30"/>
        </w:rPr>
        <w:t>S</w:t>
      </w:r>
      <w:r>
        <w:rPr>
          <w:i/>
          <w:spacing w:val="-2"/>
          <w:sz w:val="30"/>
        </w:rPr>
        <w:t xml:space="preserve"> </w:t>
      </w:r>
      <w:r>
        <w:rPr>
          <w:i/>
          <w:sz w:val="30"/>
        </w:rPr>
        <w:t>is</w:t>
      </w:r>
      <w:r>
        <w:rPr>
          <w:i/>
          <w:spacing w:val="-3"/>
          <w:sz w:val="30"/>
        </w:rPr>
        <w:t xml:space="preserve"> </w:t>
      </w:r>
      <w:r>
        <w:rPr>
          <w:i/>
          <w:sz w:val="30"/>
        </w:rPr>
        <w:t>a</w:t>
      </w:r>
      <w:r>
        <w:rPr>
          <w:i/>
          <w:spacing w:val="-2"/>
          <w:sz w:val="30"/>
        </w:rPr>
        <w:t xml:space="preserve"> statement.</w:t>
      </w:r>
    </w:p>
    <w:p w14:paraId="7E002202" w14:textId="77777777" w:rsidR="009A58DB" w:rsidRDefault="00000000">
      <w:pPr>
        <w:pStyle w:val="BodyText"/>
        <w:spacing w:before="120" w:line="249" w:lineRule="auto"/>
        <w:ind w:right="360"/>
      </w:pPr>
      <w:r>
        <w:t>In other words, if you say that there are no analytic statements, you are</w:t>
      </w:r>
      <w:r>
        <w:rPr>
          <w:spacing w:val="40"/>
        </w:rPr>
        <w:t xml:space="preserve"> </w:t>
      </w:r>
      <w:r>
        <w:t xml:space="preserve">saying that nothing follows from any statement. But if you say </w:t>
      </w:r>
      <w:r>
        <w:rPr>
          <w:i/>
        </w:rPr>
        <w:t xml:space="preserve">that, </w:t>
      </w:r>
      <w:r>
        <w:t xml:space="preserve">then you are saying that the statement </w:t>
      </w:r>
      <w:r>
        <w:rPr>
          <w:i/>
        </w:rPr>
        <w:t xml:space="preserve">nothing follows from S </w:t>
      </w:r>
      <w:r>
        <w:t xml:space="preserve">follows from the statement </w:t>
      </w:r>
      <w:r>
        <w:rPr>
          <w:i/>
        </w:rPr>
        <w:t xml:space="preserve">S is a statement. </w:t>
      </w:r>
      <w:r>
        <w:t>Thus, the view that there is no analytic truth</w:t>
      </w:r>
      <w:r>
        <w:rPr>
          <w:spacing w:val="40"/>
        </w:rPr>
        <w:t xml:space="preserve"> </w:t>
      </w:r>
      <w:r>
        <w:t xml:space="preserve">entails that </w:t>
      </w:r>
      <w:r>
        <w:rPr>
          <w:i/>
        </w:rPr>
        <w:t xml:space="preserve">there is </w:t>
      </w:r>
      <w:r>
        <w:t>analytic truth, and is therefore self-refuting.</w:t>
      </w:r>
    </w:p>
    <w:p w14:paraId="7E002203" w14:textId="77777777" w:rsidR="009A58DB" w:rsidRDefault="00000000">
      <w:pPr>
        <w:pStyle w:val="Heading1"/>
        <w:numPr>
          <w:ilvl w:val="1"/>
          <w:numId w:val="72"/>
        </w:numPr>
        <w:tabs>
          <w:tab w:val="left" w:pos="1054"/>
        </w:tabs>
        <w:spacing w:before="194" w:line="244" w:lineRule="auto"/>
        <w:ind w:right="427" w:firstLine="0"/>
      </w:pPr>
      <w:r>
        <w:t>Why</w:t>
      </w:r>
      <w:r>
        <w:rPr>
          <w:spacing w:val="40"/>
        </w:rPr>
        <w:t xml:space="preserve"> </w:t>
      </w:r>
      <w:r>
        <w:t>Quine’s</w:t>
      </w:r>
      <w:r>
        <w:rPr>
          <w:spacing w:val="40"/>
        </w:rPr>
        <w:t xml:space="preserve"> </w:t>
      </w:r>
      <w:r>
        <w:t>position</w:t>
      </w:r>
      <w:r>
        <w:rPr>
          <w:spacing w:val="40"/>
        </w:rPr>
        <w:t xml:space="preserve"> </w:t>
      </w:r>
      <w:r>
        <w:t>entails</w:t>
      </w:r>
      <w:r>
        <w:rPr>
          <w:spacing w:val="40"/>
        </w:rPr>
        <w:t xml:space="preserve"> </w:t>
      </w:r>
      <w:r>
        <w:t>that</w:t>
      </w:r>
      <w:r>
        <w:rPr>
          <w:spacing w:val="40"/>
        </w:rPr>
        <w:t xml:space="preserve"> </w:t>
      </w:r>
      <w:r>
        <w:t>nothing</w:t>
      </w:r>
      <w:r>
        <w:rPr>
          <w:spacing w:val="40"/>
        </w:rPr>
        <w:t xml:space="preserve"> </w:t>
      </w:r>
      <w:r>
        <w:t>can confirm anything</w:t>
      </w:r>
    </w:p>
    <w:p w14:paraId="7E002204" w14:textId="77777777" w:rsidR="009A58DB" w:rsidRDefault="00000000">
      <w:pPr>
        <w:pStyle w:val="BodyText"/>
        <w:spacing w:before="132" w:line="249" w:lineRule="auto"/>
        <w:ind w:right="358"/>
      </w:pPr>
      <w:r>
        <w:t>There is another reason to hold that, contrary to what Quine says, there are in fact analytic truths. To say that there is no analytic truth is to say that all truths are empirical truths. For the sake of argument, let us suppose that all truths</w:t>
      </w:r>
      <w:r>
        <w:rPr>
          <w:spacing w:val="8"/>
        </w:rPr>
        <w:t xml:space="preserve"> </w:t>
      </w:r>
      <w:r>
        <w:t>are</w:t>
      </w:r>
      <w:r>
        <w:rPr>
          <w:spacing w:val="9"/>
        </w:rPr>
        <w:t xml:space="preserve"> </w:t>
      </w:r>
      <w:r>
        <w:t>indeed</w:t>
      </w:r>
      <w:r>
        <w:rPr>
          <w:spacing w:val="8"/>
        </w:rPr>
        <w:t xml:space="preserve"> </w:t>
      </w:r>
      <w:r>
        <w:t>empirical.</w:t>
      </w:r>
      <w:r>
        <w:rPr>
          <w:spacing w:val="10"/>
        </w:rPr>
        <w:t xml:space="preserve"> </w:t>
      </w:r>
      <w:r>
        <w:t>In</w:t>
      </w:r>
      <w:r>
        <w:rPr>
          <w:spacing w:val="9"/>
        </w:rPr>
        <w:t xml:space="preserve"> </w:t>
      </w:r>
      <w:r>
        <w:t>that</w:t>
      </w:r>
      <w:r>
        <w:rPr>
          <w:spacing w:val="8"/>
        </w:rPr>
        <w:t xml:space="preserve"> </w:t>
      </w:r>
      <w:r>
        <w:t>case,</w:t>
      </w:r>
      <w:r>
        <w:rPr>
          <w:spacing w:val="9"/>
        </w:rPr>
        <w:t xml:space="preserve"> </w:t>
      </w:r>
      <w:r>
        <w:t>given</w:t>
      </w:r>
      <w:r>
        <w:rPr>
          <w:spacing w:val="9"/>
        </w:rPr>
        <w:t xml:space="preserve"> </w:t>
      </w:r>
      <w:r>
        <w:t>any</w:t>
      </w:r>
      <w:r>
        <w:rPr>
          <w:spacing w:val="9"/>
        </w:rPr>
        <w:t xml:space="preserve"> </w:t>
      </w:r>
      <w:r>
        <w:t>two</w:t>
      </w:r>
      <w:r>
        <w:rPr>
          <w:spacing w:val="10"/>
        </w:rPr>
        <w:t xml:space="preserve"> </w:t>
      </w:r>
      <w:r>
        <w:t>statements</w:t>
      </w:r>
      <w:r>
        <w:rPr>
          <w:spacing w:val="8"/>
        </w:rPr>
        <w:t xml:space="preserve"> </w:t>
      </w:r>
      <w:r>
        <w:t>S</w:t>
      </w:r>
      <w:r>
        <w:rPr>
          <w:vertAlign w:val="subscript"/>
        </w:rPr>
        <w:t>1</w:t>
      </w:r>
      <w:r>
        <w:rPr>
          <w:spacing w:val="14"/>
        </w:rPr>
        <w:t xml:space="preserve"> </w:t>
      </w:r>
      <w:r>
        <w:t>and</w:t>
      </w:r>
      <w:r>
        <w:rPr>
          <w:spacing w:val="13"/>
        </w:rPr>
        <w:t xml:space="preserve"> </w:t>
      </w:r>
      <w:r>
        <w:rPr>
          <w:spacing w:val="-5"/>
        </w:rPr>
        <w:t>S</w:t>
      </w:r>
      <w:r>
        <w:rPr>
          <w:spacing w:val="-5"/>
          <w:vertAlign w:val="subscript"/>
        </w:rPr>
        <w:t>2</w:t>
      </w:r>
      <w:r>
        <w:rPr>
          <w:spacing w:val="-5"/>
        </w:rPr>
        <w:t>,</w:t>
      </w:r>
    </w:p>
    <w:p w14:paraId="7E002205" w14:textId="77777777" w:rsidR="009A58DB" w:rsidRDefault="00000000">
      <w:pPr>
        <w:pStyle w:val="BodyText"/>
        <w:spacing w:before="65"/>
      </w:pPr>
      <w:r>
        <w:t>it</w:t>
      </w:r>
      <w:r>
        <w:rPr>
          <w:spacing w:val="15"/>
        </w:rPr>
        <w:t xml:space="preserve"> </w:t>
      </w:r>
      <w:r>
        <w:t>would</w:t>
      </w:r>
      <w:r>
        <w:rPr>
          <w:spacing w:val="15"/>
        </w:rPr>
        <w:t xml:space="preserve"> </w:t>
      </w:r>
      <w:r>
        <w:t>be</w:t>
      </w:r>
      <w:r>
        <w:rPr>
          <w:spacing w:val="16"/>
        </w:rPr>
        <w:t xml:space="preserve"> </w:t>
      </w:r>
      <w:r>
        <w:t>an</w:t>
      </w:r>
      <w:r>
        <w:rPr>
          <w:spacing w:val="15"/>
        </w:rPr>
        <w:t xml:space="preserve"> </w:t>
      </w:r>
      <w:r>
        <w:rPr>
          <w:i/>
        </w:rPr>
        <w:t>empirical</w:t>
      </w:r>
      <w:r>
        <w:rPr>
          <w:i/>
          <w:spacing w:val="12"/>
        </w:rPr>
        <w:t xml:space="preserve"> </w:t>
      </w:r>
      <w:r>
        <w:t>question—one</w:t>
      </w:r>
      <w:r>
        <w:rPr>
          <w:spacing w:val="17"/>
        </w:rPr>
        <w:t xml:space="preserve"> </w:t>
      </w:r>
      <w:r>
        <w:t>to</w:t>
      </w:r>
      <w:r>
        <w:rPr>
          <w:spacing w:val="18"/>
        </w:rPr>
        <w:t xml:space="preserve"> </w:t>
      </w:r>
      <w:r>
        <w:t>be</w:t>
      </w:r>
      <w:r>
        <w:rPr>
          <w:spacing w:val="18"/>
        </w:rPr>
        <w:t xml:space="preserve"> </w:t>
      </w:r>
      <w:r>
        <w:t>decided</w:t>
      </w:r>
      <w:r>
        <w:rPr>
          <w:spacing w:val="18"/>
        </w:rPr>
        <w:t xml:space="preserve"> </w:t>
      </w:r>
      <w:r>
        <w:t>observational</w:t>
      </w:r>
      <w:r>
        <w:rPr>
          <w:spacing w:val="18"/>
        </w:rPr>
        <w:t xml:space="preserve"> </w:t>
      </w:r>
      <w:r>
        <w:rPr>
          <w:spacing w:val="-2"/>
        </w:rPr>
        <w:t>grounds</w:t>
      </w:r>
    </w:p>
    <w:p w14:paraId="7E002206" w14:textId="77777777" w:rsidR="009A58DB" w:rsidRDefault="00000000">
      <w:pPr>
        <w:pStyle w:val="BodyText"/>
        <w:spacing w:before="15" w:line="249" w:lineRule="auto"/>
        <w:ind w:right="362"/>
      </w:pPr>
      <w:r>
        <w:t>—whether</w:t>
      </w:r>
      <w:r>
        <w:rPr>
          <w:spacing w:val="-3"/>
        </w:rPr>
        <w:t xml:space="preserve"> </w:t>
      </w:r>
      <w:r>
        <w:t>S</w:t>
      </w:r>
      <w:r>
        <w:rPr>
          <w:position w:val="-7"/>
          <w:sz w:val="22"/>
        </w:rPr>
        <w:t xml:space="preserve">1 </w:t>
      </w:r>
      <w:r>
        <w:t>supported</w:t>
      </w:r>
      <w:r>
        <w:rPr>
          <w:spacing w:val="-2"/>
        </w:rPr>
        <w:t xml:space="preserve"> </w:t>
      </w:r>
      <w:r>
        <w:t>S</w:t>
      </w:r>
      <w:r>
        <w:rPr>
          <w:position w:val="-7"/>
          <w:sz w:val="22"/>
        </w:rPr>
        <w:t>2</w:t>
      </w:r>
      <w:r>
        <w:t>;</w:t>
      </w:r>
      <w:r>
        <w:rPr>
          <w:spacing w:val="-3"/>
        </w:rPr>
        <w:t xml:space="preserve"> </w:t>
      </w:r>
      <w:r>
        <w:t>and,</w:t>
      </w:r>
      <w:r>
        <w:rPr>
          <w:spacing w:val="-2"/>
        </w:rPr>
        <w:t xml:space="preserve"> </w:t>
      </w:r>
      <w:r>
        <w:t>supposing</w:t>
      </w:r>
      <w:r>
        <w:rPr>
          <w:spacing w:val="-2"/>
        </w:rPr>
        <w:t xml:space="preserve"> </w:t>
      </w:r>
      <w:r>
        <w:t>that</w:t>
      </w:r>
      <w:r>
        <w:rPr>
          <w:spacing w:val="-3"/>
        </w:rPr>
        <w:t xml:space="preserve"> </w:t>
      </w:r>
      <w:r>
        <w:t>S</w:t>
      </w:r>
      <w:r>
        <w:rPr>
          <w:position w:val="-7"/>
          <w:sz w:val="22"/>
        </w:rPr>
        <w:t xml:space="preserve">1 </w:t>
      </w:r>
      <w:r>
        <w:t>did</w:t>
      </w:r>
      <w:r>
        <w:rPr>
          <w:spacing w:val="-2"/>
        </w:rPr>
        <w:t xml:space="preserve"> </w:t>
      </w:r>
      <w:r>
        <w:t>support</w:t>
      </w:r>
      <w:r>
        <w:rPr>
          <w:spacing w:val="-3"/>
        </w:rPr>
        <w:t xml:space="preserve"> </w:t>
      </w:r>
      <w:r>
        <w:t>S</w:t>
      </w:r>
      <w:r>
        <w:rPr>
          <w:position w:val="-7"/>
          <w:sz w:val="22"/>
        </w:rPr>
        <w:t>2</w:t>
      </w:r>
      <w:r>
        <w:t>,</w:t>
      </w:r>
      <w:r>
        <w:rPr>
          <w:spacing w:val="-2"/>
        </w:rPr>
        <w:t xml:space="preserve"> </w:t>
      </w:r>
      <w:r>
        <w:t>it</w:t>
      </w:r>
      <w:r>
        <w:rPr>
          <w:spacing w:val="-3"/>
        </w:rPr>
        <w:t xml:space="preserve"> </w:t>
      </w:r>
      <w:r>
        <w:t>would</w:t>
      </w:r>
      <w:r>
        <w:rPr>
          <w:spacing w:val="-2"/>
        </w:rPr>
        <w:t xml:space="preserve"> </w:t>
      </w:r>
      <w:r>
        <w:t>be an empirical question to what degree it did so.</w:t>
      </w:r>
    </w:p>
    <w:p w14:paraId="7E002207" w14:textId="77777777" w:rsidR="009A58DB" w:rsidRDefault="00000000">
      <w:pPr>
        <w:pStyle w:val="BodyText"/>
        <w:spacing w:before="105" w:line="292" w:lineRule="auto"/>
        <w:ind w:right="360"/>
      </w:pPr>
      <w:r>
        <w:t>This means that, for any values m</w:t>
      </w:r>
      <w:r>
        <w:rPr>
          <w:vertAlign w:val="subscript"/>
        </w:rPr>
        <w:t>1</w:t>
      </w:r>
      <w:r>
        <w:t xml:space="preserve"> and m</w:t>
      </w:r>
      <w:r>
        <w:rPr>
          <w:vertAlign w:val="subscript"/>
        </w:rPr>
        <w:t>2</w:t>
      </w:r>
      <w:r>
        <w:t>, and for any observations A</w:t>
      </w:r>
      <w:r>
        <w:rPr>
          <w:vertAlign w:val="subscript"/>
        </w:rPr>
        <w:t>1</w:t>
      </w:r>
      <w:r>
        <w:t xml:space="preserve"> . . . A</w:t>
      </w:r>
      <w:r>
        <w:rPr>
          <w:position w:val="-7"/>
          <w:sz w:val="22"/>
        </w:rPr>
        <w:t>n</w:t>
      </w:r>
      <w:r>
        <w:t>, it would be an empirical question whether or not:</w:t>
      </w:r>
    </w:p>
    <w:p w14:paraId="7E002208" w14:textId="77777777" w:rsidR="009A58DB" w:rsidRDefault="00000000">
      <w:pPr>
        <w:pStyle w:val="BodyText"/>
        <w:spacing w:before="40" w:line="249" w:lineRule="auto"/>
        <w:ind w:left="570" w:right="361" w:hanging="210"/>
      </w:pPr>
      <w:r>
        <w:t>(S</w:t>
      </w:r>
      <w:r>
        <w:rPr>
          <w:position w:val="-7"/>
          <w:sz w:val="22"/>
        </w:rPr>
        <w:t>3</w:t>
      </w:r>
      <w:r>
        <w:t>) Observations A</w:t>
      </w:r>
      <w:r>
        <w:rPr>
          <w:position w:val="-7"/>
          <w:sz w:val="22"/>
        </w:rPr>
        <w:t xml:space="preserve">1 </w:t>
      </w:r>
      <w:r>
        <w:t>. . . A</w:t>
      </w:r>
      <w:r>
        <w:rPr>
          <w:position w:val="-7"/>
          <w:sz w:val="22"/>
        </w:rPr>
        <w:t xml:space="preserve">n </w:t>
      </w:r>
      <w:r>
        <w:t>confirm to degree m1 that S</w:t>
      </w:r>
      <w:r>
        <w:rPr>
          <w:position w:val="-7"/>
          <w:sz w:val="22"/>
        </w:rPr>
        <w:t>1</w:t>
      </w:r>
      <w:r>
        <w:rPr>
          <w:spacing w:val="40"/>
          <w:position w:val="-7"/>
          <w:sz w:val="22"/>
        </w:rPr>
        <w:t xml:space="preserve"> </w:t>
      </w:r>
      <w:r>
        <w:t>confirms S</w:t>
      </w:r>
      <w:r>
        <w:rPr>
          <w:position w:val="-7"/>
          <w:sz w:val="22"/>
        </w:rPr>
        <w:t>2</w:t>
      </w:r>
      <w:r>
        <w:rPr>
          <w:spacing w:val="40"/>
          <w:position w:val="-7"/>
          <w:sz w:val="22"/>
        </w:rPr>
        <w:t xml:space="preserve"> </w:t>
      </w:r>
      <w:r>
        <w:t>to degree m</w:t>
      </w:r>
      <w:r>
        <w:rPr>
          <w:vertAlign w:val="subscript"/>
        </w:rPr>
        <w:t>2</w:t>
      </w:r>
      <w:r>
        <w:t>,</w:t>
      </w:r>
    </w:p>
    <w:p w14:paraId="7E002209" w14:textId="77777777" w:rsidR="009A58DB" w:rsidRDefault="00000000">
      <w:pPr>
        <w:pStyle w:val="BodyText"/>
        <w:spacing w:before="150" w:line="292" w:lineRule="auto"/>
        <w:ind w:right="364"/>
      </w:pPr>
      <w:r>
        <w:t>were correct. And it means that, for any value m</w:t>
      </w:r>
      <w:r>
        <w:rPr>
          <w:vertAlign w:val="subscript"/>
        </w:rPr>
        <w:t>3</w:t>
      </w:r>
      <w:r>
        <w:t>, and for any observations</w:t>
      </w:r>
      <w:r>
        <w:rPr>
          <w:spacing w:val="40"/>
        </w:rPr>
        <w:t xml:space="preserve"> </w:t>
      </w:r>
      <w:r>
        <w:t>B</w:t>
      </w:r>
      <w:r>
        <w:rPr>
          <w:vertAlign w:val="subscript"/>
        </w:rPr>
        <w:t>1</w:t>
      </w:r>
      <w:r>
        <w:t xml:space="preserve"> . . . B</w:t>
      </w:r>
      <w:r>
        <w:rPr>
          <w:position w:val="-7"/>
          <w:sz w:val="22"/>
        </w:rPr>
        <w:t>o</w:t>
      </w:r>
      <w:r>
        <w:t>, it would be an empirical question whether or not:</w:t>
      </w:r>
    </w:p>
    <w:p w14:paraId="7E00220A"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20B" w14:textId="77777777" w:rsidR="009A58DB" w:rsidRDefault="00000000">
      <w:pPr>
        <w:pStyle w:val="BodyText"/>
        <w:spacing w:before="65" w:line="249" w:lineRule="auto"/>
        <w:ind w:right="361"/>
      </w:pPr>
      <w:r>
        <w:lastRenderedPageBreak/>
        <w:t>(S</w:t>
      </w:r>
      <w:r>
        <w:rPr>
          <w:position w:val="-7"/>
          <w:sz w:val="22"/>
        </w:rPr>
        <w:t>4</w:t>
      </w:r>
      <w:r>
        <w:t>) observations B</w:t>
      </w:r>
      <w:r>
        <w:rPr>
          <w:position w:val="-7"/>
          <w:sz w:val="22"/>
        </w:rPr>
        <w:t>1</w:t>
      </w:r>
      <w:r>
        <w:rPr>
          <w:spacing w:val="40"/>
          <w:position w:val="-7"/>
          <w:sz w:val="22"/>
        </w:rPr>
        <w:t xml:space="preserve"> </w:t>
      </w:r>
      <w:r>
        <w:t>. . . B</w:t>
      </w:r>
      <w:r>
        <w:rPr>
          <w:position w:val="-7"/>
          <w:sz w:val="22"/>
        </w:rPr>
        <w:t>o</w:t>
      </w:r>
      <w:r>
        <w:t>, confirm to degree m</w:t>
      </w:r>
      <w:r>
        <w:rPr>
          <w:position w:val="-7"/>
          <w:sz w:val="22"/>
        </w:rPr>
        <w:t>3</w:t>
      </w:r>
      <w:r>
        <w:rPr>
          <w:spacing w:val="40"/>
          <w:position w:val="-7"/>
          <w:sz w:val="22"/>
        </w:rPr>
        <w:t xml:space="preserve"> </w:t>
      </w:r>
      <w:r>
        <w:t>that observations A</w:t>
      </w:r>
      <w:r>
        <w:rPr>
          <w:position w:val="-7"/>
          <w:sz w:val="22"/>
        </w:rPr>
        <w:t>1</w:t>
      </w:r>
      <w:r>
        <w:rPr>
          <w:spacing w:val="40"/>
          <w:position w:val="-7"/>
          <w:sz w:val="22"/>
        </w:rPr>
        <w:t xml:space="preserve"> </w:t>
      </w:r>
      <w:r>
        <w:t>. . . A</w:t>
      </w:r>
      <w:r>
        <w:rPr>
          <w:position w:val="-7"/>
          <w:sz w:val="22"/>
        </w:rPr>
        <w:t>n</w:t>
      </w:r>
      <w:r>
        <w:rPr>
          <w:spacing w:val="33"/>
          <w:position w:val="-7"/>
          <w:sz w:val="22"/>
        </w:rPr>
        <w:t xml:space="preserve"> </w:t>
      </w:r>
      <w:r>
        <w:t>confirm to degree m1 that S</w:t>
      </w:r>
      <w:r>
        <w:rPr>
          <w:position w:val="-7"/>
          <w:sz w:val="22"/>
        </w:rPr>
        <w:t>1</w:t>
      </w:r>
      <w:r>
        <w:rPr>
          <w:spacing w:val="33"/>
          <w:position w:val="-7"/>
          <w:sz w:val="22"/>
        </w:rPr>
        <w:t xml:space="preserve"> </w:t>
      </w:r>
      <w:r>
        <w:t>confirms S</w:t>
      </w:r>
      <w:r>
        <w:rPr>
          <w:position w:val="-7"/>
          <w:sz w:val="22"/>
        </w:rPr>
        <w:t>2</w:t>
      </w:r>
      <w:r>
        <w:rPr>
          <w:spacing w:val="33"/>
          <w:position w:val="-7"/>
          <w:sz w:val="22"/>
        </w:rPr>
        <w:t xml:space="preserve"> </w:t>
      </w:r>
      <w:r>
        <w:t>to degree m</w:t>
      </w:r>
      <w:r>
        <w:rPr>
          <w:position w:val="-7"/>
          <w:sz w:val="22"/>
        </w:rPr>
        <w:t>2</w:t>
      </w:r>
      <w:r>
        <w:t>,</w:t>
      </w:r>
    </w:p>
    <w:p w14:paraId="7E00220C" w14:textId="77777777" w:rsidR="009A58DB" w:rsidRDefault="00000000">
      <w:pPr>
        <w:pStyle w:val="BodyText"/>
        <w:spacing w:before="102" w:line="249" w:lineRule="auto"/>
        <w:ind w:right="361"/>
      </w:pPr>
      <w:r>
        <w:t xml:space="preserve">were correct. And so on </w:t>
      </w:r>
      <w:r>
        <w:rPr>
          <w:i/>
        </w:rPr>
        <w:t xml:space="preserve">ad infinitum. </w:t>
      </w:r>
      <w:r>
        <w:t>Thus, the supposition that all truth is empirical is viciously regressive. Thus, if there is no analytic truth—that is, if all truth were empirical, then nothing could confirm anything and, as Laurence Bonjour (1998) puts it, all inquiry would “grind to a halt.”</w:t>
      </w:r>
    </w:p>
    <w:p w14:paraId="7E00220D" w14:textId="77777777" w:rsidR="009A58DB" w:rsidRDefault="00000000">
      <w:pPr>
        <w:pStyle w:val="Heading1"/>
        <w:numPr>
          <w:ilvl w:val="1"/>
          <w:numId w:val="70"/>
        </w:numPr>
        <w:tabs>
          <w:tab w:val="left" w:pos="990"/>
        </w:tabs>
        <w:spacing w:before="193"/>
      </w:pPr>
      <w:r>
        <w:t>Why</w:t>
      </w:r>
      <w:r>
        <w:rPr>
          <w:spacing w:val="-6"/>
        </w:rPr>
        <w:t xml:space="preserve"> </w:t>
      </w:r>
      <w:r>
        <w:t>there</w:t>
      </w:r>
      <w:r>
        <w:rPr>
          <w:spacing w:val="-5"/>
        </w:rPr>
        <w:t xml:space="preserve"> </w:t>
      </w:r>
      <w:r>
        <w:t>are</w:t>
      </w:r>
      <w:r>
        <w:rPr>
          <w:spacing w:val="-4"/>
        </w:rPr>
        <w:t xml:space="preserve"> </w:t>
      </w:r>
      <w:r>
        <w:t>necessarily</w:t>
      </w:r>
      <w:r>
        <w:rPr>
          <w:spacing w:val="-4"/>
        </w:rPr>
        <w:t xml:space="preserve"> </w:t>
      </w:r>
      <w:r>
        <w:t>true</w:t>
      </w:r>
      <w:r>
        <w:rPr>
          <w:spacing w:val="-4"/>
        </w:rPr>
        <w:t xml:space="preserve"> </w:t>
      </w:r>
      <w:r>
        <w:rPr>
          <w:spacing w:val="-2"/>
        </w:rPr>
        <w:t>propositions</w:t>
      </w:r>
    </w:p>
    <w:p w14:paraId="7E00220E" w14:textId="77777777" w:rsidR="009A58DB" w:rsidRDefault="00000000">
      <w:pPr>
        <w:pStyle w:val="BodyText"/>
        <w:spacing w:before="139" w:line="249" w:lineRule="auto"/>
        <w:ind w:right="360"/>
      </w:pPr>
      <w:r>
        <w:t>First a terminological point: If a proposition is true, but it isn’t necessarily true, it is “contingently true,” or just “contingent”; and if a proposition is false, but it isn’t necessarily false, it is “contingently false.”</w:t>
      </w:r>
    </w:p>
    <w:p w14:paraId="7E00220F" w14:textId="77777777" w:rsidR="009A58DB" w:rsidRDefault="00000000">
      <w:pPr>
        <w:pStyle w:val="BodyText"/>
        <w:spacing w:before="3" w:line="249" w:lineRule="auto"/>
        <w:ind w:right="358" w:firstLine="360"/>
      </w:pPr>
      <w:r>
        <w:t xml:space="preserve">It seems clear that </w:t>
      </w:r>
      <w:r>
        <w:rPr>
          <w:i/>
        </w:rPr>
        <w:t xml:space="preserve">some </w:t>
      </w:r>
      <w:r>
        <w:t xml:space="preserve">truths are contingent. Gore </w:t>
      </w:r>
      <w:r>
        <w:rPr>
          <w:i/>
        </w:rPr>
        <w:t xml:space="preserve">might </w:t>
      </w:r>
      <w:r>
        <w:t>have become President</w:t>
      </w:r>
      <w:r>
        <w:rPr>
          <w:spacing w:val="-1"/>
        </w:rPr>
        <w:t xml:space="preserve"> </w:t>
      </w:r>
      <w:r>
        <w:t>in</w:t>
      </w:r>
      <w:r>
        <w:rPr>
          <w:spacing w:val="-1"/>
        </w:rPr>
        <w:t xml:space="preserve"> </w:t>
      </w:r>
      <w:r>
        <w:t>2001.</w:t>
      </w:r>
      <w:r>
        <w:rPr>
          <w:spacing w:val="-1"/>
        </w:rPr>
        <w:t xml:space="preserve"> </w:t>
      </w:r>
      <w:r>
        <w:t>He</w:t>
      </w:r>
      <w:r>
        <w:rPr>
          <w:spacing w:val="-1"/>
        </w:rPr>
        <w:t xml:space="preserve"> </w:t>
      </w:r>
      <w:r>
        <w:t>didn’t.</w:t>
      </w:r>
      <w:r>
        <w:rPr>
          <w:spacing w:val="-1"/>
        </w:rPr>
        <w:t xml:space="preserve"> </w:t>
      </w:r>
      <w:r>
        <w:t>Bush</w:t>
      </w:r>
      <w:r>
        <w:rPr>
          <w:spacing w:val="-1"/>
        </w:rPr>
        <w:t xml:space="preserve"> </w:t>
      </w:r>
      <w:r>
        <w:t>became</w:t>
      </w:r>
      <w:r>
        <w:rPr>
          <w:spacing w:val="-1"/>
        </w:rPr>
        <w:t xml:space="preserve"> </w:t>
      </w:r>
      <w:r>
        <w:t>President</w:t>
      </w:r>
      <w:r>
        <w:rPr>
          <w:spacing w:val="-1"/>
        </w:rPr>
        <w:t xml:space="preserve"> </w:t>
      </w:r>
      <w:r>
        <w:t>instead.</w:t>
      </w:r>
      <w:r>
        <w:rPr>
          <w:spacing w:val="-1"/>
        </w:rPr>
        <w:t xml:space="preserve"> </w:t>
      </w:r>
      <w:r>
        <w:t>But</w:t>
      </w:r>
      <w:r>
        <w:rPr>
          <w:spacing w:val="-1"/>
        </w:rPr>
        <w:t xml:space="preserve"> </w:t>
      </w:r>
      <w:r>
        <w:t>Bush</w:t>
      </w:r>
      <w:r>
        <w:rPr>
          <w:spacing w:val="-1"/>
        </w:rPr>
        <w:t xml:space="preserve"> </w:t>
      </w:r>
      <w:r>
        <w:t xml:space="preserve">didn’t </w:t>
      </w:r>
      <w:r>
        <w:rPr>
          <w:i/>
        </w:rPr>
        <w:t xml:space="preserve">have </w:t>
      </w:r>
      <w:r>
        <w:t xml:space="preserve">to become President. So it’s a contingent truth that Bush became President. In general, things don’t </w:t>
      </w:r>
      <w:r>
        <w:rPr>
          <w:i/>
        </w:rPr>
        <w:t>have</w:t>
      </w:r>
      <w:r>
        <w:rPr>
          <w:i/>
          <w:spacing w:val="-3"/>
        </w:rPr>
        <w:t xml:space="preserve"> </w:t>
      </w:r>
      <w:r>
        <w:t>to be the way they are; they could be different.</w:t>
      </w:r>
      <w:r>
        <w:rPr>
          <w:spacing w:val="-2"/>
        </w:rPr>
        <w:t xml:space="preserve"> </w:t>
      </w:r>
      <w:r>
        <w:t>In</w:t>
      </w:r>
      <w:r>
        <w:rPr>
          <w:spacing w:val="-1"/>
        </w:rPr>
        <w:t xml:space="preserve"> </w:t>
      </w:r>
      <w:r>
        <w:t>any</w:t>
      </w:r>
      <w:r>
        <w:rPr>
          <w:spacing w:val="-2"/>
        </w:rPr>
        <w:t xml:space="preserve"> </w:t>
      </w:r>
      <w:r>
        <w:t>case,</w:t>
      </w:r>
      <w:r>
        <w:rPr>
          <w:spacing w:val="-1"/>
        </w:rPr>
        <w:t xml:space="preserve"> </w:t>
      </w:r>
      <w:r>
        <w:t>this</w:t>
      </w:r>
      <w:r>
        <w:rPr>
          <w:spacing w:val="-2"/>
        </w:rPr>
        <w:t xml:space="preserve"> </w:t>
      </w:r>
      <w:r>
        <w:t>is</w:t>
      </w:r>
      <w:r>
        <w:rPr>
          <w:spacing w:val="-1"/>
        </w:rPr>
        <w:t xml:space="preserve"> </w:t>
      </w:r>
      <w:r>
        <w:t>what</w:t>
      </w:r>
      <w:r>
        <w:rPr>
          <w:spacing w:val="-2"/>
        </w:rPr>
        <w:t xml:space="preserve"> </w:t>
      </w:r>
      <w:r>
        <w:t>we</w:t>
      </w:r>
      <w:r>
        <w:rPr>
          <w:spacing w:val="-1"/>
        </w:rPr>
        <w:t xml:space="preserve"> </w:t>
      </w:r>
      <w:r>
        <w:t>think,</w:t>
      </w:r>
      <w:r>
        <w:rPr>
          <w:spacing w:val="-2"/>
        </w:rPr>
        <w:t xml:space="preserve"> </w:t>
      </w:r>
      <w:r>
        <w:t>and</w:t>
      </w:r>
      <w:r>
        <w:rPr>
          <w:spacing w:val="-1"/>
        </w:rPr>
        <w:t xml:space="preserve"> </w:t>
      </w:r>
      <w:r>
        <w:t>it’s</w:t>
      </w:r>
      <w:r>
        <w:rPr>
          <w:spacing w:val="-2"/>
        </w:rPr>
        <w:t xml:space="preserve"> </w:t>
      </w:r>
      <w:r>
        <w:t>what</w:t>
      </w:r>
      <w:r>
        <w:rPr>
          <w:spacing w:val="-2"/>
        </w:rPr>
        <w:t xml:space="preserve"> </w:t>
      </w:r>
      <w:r>
        <w:t>we’ll</w:t>
      </w:r>
      <w:r>
        <w:rPr>
          <w:spacing w:val="-2"/>
        </w:rPr>
        <w:t xml:space="preserve"> </w:t>
      </w:r>
      <w:r>
        <w:t>assume</w:t>
      </w:r>
      <w:r>
        <w:rPr>
          <w:spacing w:val="-1"/>
        </w:rPr>
        <w:t xml:space="preserve"> </w:t>
      </w:r>
      <w:r>
        <w:t>in</w:t>
      </w:r>
      <w:r>
        <w:rPr>
          <w:spacing w:val="-1"/>
        </w:rPr>
        <w:t xml:space="preserve"> </w:t>
      </w:r>
      <w:r>
        <w:t xml:space="preserve">this </w:t>
      </w:r>
      <w:r>
        <w:rPr>
          <w:spacing w:val="-2"/>
        </w:rPr>
        <w:t>context.</w:t>
      </w:r>
    </w:p>
    <w:p w14:paraId="7E002210" w14:textId="77777777" w:rsidR="009A58DB" w:rsidRDefault="00000000">
      <w:pPr>
        <w:pStyle w:val="BodyText"/>
        <w:spacing w:before="8" w:line="249" w:lineRule="auto"/>
        <w:ind w:right="358" w:firstLine="360"/>
      </w:pPr>
      <w:r>
        <w:t xml:space="preserve">Given this assumption, we must ask the following question: Are any propositions necessarily true? Yes. Why is this? Because the assumption that no propositions are necessarily true is self-undermining. Let me now explain </w:t>
      </w:r>
      <w:r>
        <w:rPr>
          <w:spacing w:val="-4"/>
        </w:rPr>
        <w:t>why.</w:t>
      </w:r>
    </w:p>
    <w:p w14:paraId="7E002211" w14:textId="77777777" w:rsidR="009A58DB" w:rsidRDefault="00000000">
      <w:pPr>
        <w:pStyle w:val="BodyText"/>
        <w:spacing w:before="5" w:line="324" w:lineRule="auto"/>
        <w:ind w:right="4621" w:firstLine="360"/>
      </w:pPr>
      <w:r>
        <w:t>For argument’s sake, suppose that: (NN)</w:t>
      </w:r>
      <w:r>
        <w:rPr>
          <w:spacing w:val="-5"/>
        </w:rPr>
        <w:t xml:space="preserve"> </w:t>
      </w:r>
      <w:r>
        <w:t>No</w:t>
      </w:r>
      <w:r>
        <w:rPr>
          <w:spacing w:val="-5"/>
        </w:rPr>
        <w:t xml:space="preserve"> </w:t>
      </w:r>
      <w:r>
        <w:t>propositions</w:t>
      </w:r>
      <w:r>
        <w:rPr>
          <w:spacing w:val="-4"/>
        </w:rPr>
        <w:t xml:space="preserve"> </w:t>
      </w:r>
      <w:r>
        <w:t>are</w:t>
      </w:r>
      <w:r>
        <w:rPr>
          <w:spacing w:val="-5"/>
        </w:rPr>
        <w:t xml:space="preserve"> </w:t>
      </w:r>
      <w:r>
        <w:t>necessarily</w:t>
      </w:r>
      <w:r>
        <w:rPr>
          <w:spacing w:val="-4"/>
        </w:rPr>
        <w:t xml:space="preserve"> </w:t>
      </w:r>
      <w:r>
        <w:rPr>
          <w:spacing w:val="-2"/>
        </w:rPr>
        <w:t>true.</w:t>
      </w:r>
    </w:p>
    <w:p w14:paraId="7E002212" w14:textId="77777777" w:rsidR="009A58DB" w:rsidRDefault="00000000">
      <w:pPr>
        <w:pStyle w:val="BodyText"/>
        <w:spacing w:line="329" w:lineRule="exact"/>
        <w:ind w:left="720"/>
      </w:pPr>
      <w:r>
        <w:t>First</w:t>
      </w:r>
      <w:r>
        <w:rPr>
          <w:spacing w:val="40"/>
        </w:rPr>
        <w:t xml:space="preserve"> </w:t>
      </w:r>
      <w:r>
        <w:t>of</w:t>
      </w:r>
      <w:r>
        <w:rPr>
          <w:spacing w:val="40"/>
        </w:rPr>
        <w:t xml:space="preserve"> </w:t>
      </w:r>
      <w:r>
        <w:t>all,</w:t>
      </w:r>
      <w:r>
        <w:rPr>
          <w:spacing w:val="40"/>
        </w:rPr>
        <w:t xml:space="preserve"> </w:t>
      </w:r>
      <w:r>
        <w:t>is</w:t>
      </w:r>
      <w:r>
        <w:rPr>
          <w:spacing w:val="40"/>
        </w:rPr>
        <w:t xml:space="preserve"> </w:t>
      </w:r>
      <w:r>
        <w:t>NN</w:t>
      </w:r>
      <w:r>
        <w:rPr>
          <w:spacing w:val="40"/>
        </w:rPr>
        <w:t xml:space="preserve"> </w:t>
      </w:r>
      <w:r>
        <w:t>itself</w:t>
      </w:r>
      <w:r>
        <w:rPr>
          <w:spacing w:val="41"/>
        </w:rPr>
        <w:t xml:space="preserve"> </w:t>
      </w:r>
      <w:r>
        <w:t>necessarily</w:t>
      </w:r>
      <w:r>
        <w:rPr>
          <w:spacing w:val="40"/>
        </w:rPr>
        <w:t xml:space="preserve"> </w:t>
      </w:r>
      <w:r>
        <w:t>true</w:t>
      </w:r>
      <w:r>
        <w:rPr>
          <w:spacing w:val="40"/>
        </w:rPr>
        <w:t xml:space="preserve"> </w:t>
      </w:r>
      <w:r>
        <w:t>or</w:t>
      </w:r>
      <w:r>
        <w:rPr>
          <w:spacing w:val="40"/>
        </w:rPr>
        <w:t xml:space="preserve"> </w:t>
      </w:r>
      <w:r>
        <w:t>not?</w:t>
      </w:r>
      <w:r>
        <w:rPr>
          <w:spacing w:val="40"/>
        </w:rPr>
        <w:t xml:space="preserve"> </w:t>
      </w:r>
      <w:r>
        <w:t>It</w:t>
      </w:r>
      <w:r>
        <w:rPr>
          <w:spacing w:val="41"/>
        </w:rPr>
        <w:t xml:space="preserve"> </w:t>
      </w:r>
      <w:r>
        <w:t>has</w:t>
      </w:r>
      <w:r>
        <w:rPr>
          <w:spacing w:val="40"/>
        </w:rPr>
        <w:t xml:space="preserve"> </w:t>
      </w:r>
      <w:r>
        <w:t>to</w:t>
      </w:r>
      <w:r>
        <w:rPr>
          <w:spacing w:val="40"/>
        </w:rPr>
        <w:t xml:space="preserve"> </w:t>
      </w:r>
      <w:r>
        <w:t>be</w:t>
      </w:r>
      <w:r>
        <w:rPr>
          <w:spacing w:val="40"/>
        </w:rPr>
        <w:t xml:space="preserve"> </w:t>
      </w:r>
      <w:r>
        <w:t>one</w:t>
      </w:r>
      <w:r>
        <w:rPr>
          <w:spacing w:val="40"/>
        </w:rPr>
        <w:t xml:space="preserve"> </w:t>
      </w:r>
      <w:r>
        <w:t>or</w:t>
      </w:r>
      <w:r>
        <w:rPr>
          <w:spacing w:val="41"/>
        </w:rPr>
        <w:t xml:space="preserve"> </w:t>
      </w:r>
      <w:r>
        <w:rPr>
          <w:spacing w:val="-5"/>
        </w:rPr>
        <w:t>the</w:t>
      </w:r>
    </w:p>
    <w:p w14:paraId="7E002213" w14:textId="77777777" w:rsidR="009A58DB" w:rsidRDefault="00000000">
      <w:pPr>
        <w:pStyle w:val="BodyText"/>
        <w:spacing w:before="15" w:line="249" w:lineRule="auto"/>
        <w:ind w:right="360"/>
      </w:pPr>
      <w:r>
        <w:t xml:space="preserve">other. If NN is a necessary truth, it’s a counterexample to itself and is therefore false. So let’s suppose for argument’s sake that NN is contingently true. In that case, it </w:t>
      </w:r>
      <w:r>
        <w:rPr>
          <w:i/>
        </w:rPr>
        <w:t xml:space="preserve">could </w:t>
      </w:r>
      <w:r>
        <w:t xml:space="preserve">be false. In other words, there is some possible world W where some proposition P is necessarily true. A proposition is necessarily true iff it’s true in all possible worlds. So given that P is necessarily true in W, it follows that P is true in </w:t>
      </w:r>
      <w:r>
        <w:rPr>
          <w:i/>
        </w:rPr>
        <w:t xml:space="preserve">every </w:t>
      </w:r>
      <w:r>
        <w:t xml:space="preserve">world. Thus, P is true in our world, and P is true in every world. Thus, P is </w:t>
      </w:r>
      <w:r>
        <w:rPr>
          <w:i/>
        </w:rPr>
        <w:t xml:space="preserve">necessarily </w:t>
      </w:r>
      <w:r>
        <w:t>true in our world, and NN is therefore false. To sum up: NN is self-defeating if it’s necessarily true, and NN is self-defeating if it’s true but not necessarily so. Therefore, NN is false.</w:t>
      </w:r>
    </w:p>
    <w:p w14:paraId="7E00221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15" w14:textId="77777777" w:rsidR="009A58DB" w:rsidRDefault="00000000">
      <w:pPr>
        <w:pStyle w:val="BodyText"/>
        <w:spacing w:before="65" w:line="249" w:lineRule="auto"/>
        <w:ind w:right="357" w:firstLine="360"/>
      </w:pPr>
      <w:r>
        <w:lastRenderedPageBreak/>
        <w:t xml:space="preserve">A similar argument: if NN is true, then the statement (i) “P isn’t necessarily true” necessarily follows the statement (ii) “P is a proposition,” and it is therefore a necessary </w:t>
      </w:r>
      <w:r>
        <w:rPr>
          <w:i/>
        </w:rPr>
        <w:t xml:space="preserve">truth </w:t>
      </w:r>
      <w:r>
        <w:t>that (i) isn’t false if (ii) is true. So NN cannot be true unless it’s false, and it’s therefore false.</w:t>
      </w:r>
    </w:p>
    <w:p w14:paraId="7E002216" w14:textId="77777777" w:rsidR="009A58DB" w:rsidRDefault="00000000">
      <w:pPr>
        <w:pStyle w:val="Heading1"/>
        <w:numPr>
          <w:ilvl w:val="1"/>
          <w:numId w:val="70"/>
        </w:numPr>
        <w:tabs>
          <w:tab w:val="left" w:pos="900"/>
          <w:tab w:val="left" w:pos="1013"/>
        </w:tabs>
        <w:spacing w:before="193" w:line="244" w:lineRule="auto"/>
        <w:ind w:left="900" w:right="365" w:hanging="540"/>
      </w:pPr>
      <w:r>
        <w:tab/>
        <w:t>Knowledge of necessary truth a prerequisite for knowledge of contingent truth</w:t>
      </w:r>
    </w:p>
    <w:p w14:paraId="7E002217" w14:textId="77777777" w:rsidR="009A58DB" w:rsidRDefault="00000000">
      <w:pPr>
        <w:pStyle w:val="BodyText"/>
        <w:spacing w:before="131" w:line="249" w:lineRule="auto"/>
        <w:ind w:right="358"/>
      </w:pPr>
      <w:r>
        <w:t>Nonetheless, some philosophers have denied that there are necessary propositions. We just considered Quine’s argument for this. Given how contrived that argument is, how lacking in logical integrity and devoid of intuitive force, it’s hard to believe that Quine’s rejection of necessary truth was based entirely on it. Quine, one would suspect, must have had some pre-existing agenda and he constructed that argument in the hopes that it would legitimate that agenda.</w:t>
      </w:r>
    </w:p>
    <w:p w14:paraId="7E002218" w14:textId="77777777" w:rsidR="009A58DB" w:rsidRDefault="00000000">
      <w:pPr>
        <w:pStyle w:val="BodyText"/>
        <w:spacing w:before="9" w:line="249" w:lineRule="auto"/>
        <w:ind w:right="362" w:firstLine="360"/>
      </w:pPr>
      <w:r>
        <w:t>Such suspicions would be correct. Throughout his long career, Quine was unrelenting in his advocacy of a particularly extreme form of empiricism.</w:t>
      </w:r>
    </w:p>
    <w:p w14:paraId="7E002219" w14:textId="77777777" w:rsidR="009A58DB" w:rsidRDefault="00000000">
      <w:pPr>
        <w:pStyle w:val="BodyText"/>
        <w:spacing w:before="2" w:line="249" w:lineRule="auto"/>
        <w:ind w:right="358" w:firstLine="360"/>
      </w:pPr>
      <w:r>
        <w:t>To understand Quine’s empiricism, we must note a fact about empiricism in general. Empiricism says that you know only what your senses are telling you. Unless you assume the truth of principles that cannot be learned empirically, you can’t show that your perceptions correspond to any transperceptual reality. For this reason, empiricism tends to collapse into idealism, this being why Berkeley, who has a hardcore empiricist, was also</w:t>
      </w:r>
      <w:r>
        <w:rPr>
          <w:spacing w:val="40"/>
        </w:rPr>
        <w:t xml:space="preserve"> </w:t>
      </w:r>
      <w:r>
        <w:t>an idealist.</w:t>
      </w:r>
    </w:p>
    <w:p w14:paraId="7E00221A" w14:textId="77777777" w:rsidR="009A58DB" w:rsidRDefault="00000000">
      <w:pPr>
        <w:pStyle w:val="BodyText"/>
        <w:spacing w:before="9" w:line="249" w:lineRule="auto"/>
        <w:ind w:right="357" w:firstLine="360"/>
      </w:pPr>
      <w:r>
        <w:t>Quine’s empiricism is in some ways antithetical to Berkeley’s empiricism. Berkeley was led by his empiricism to deny the non-mental. Quine was led</w:t>
      </w:r>
      <w:r>
        <w:rPr>
          <w:spacing w:val="40"/>
        </w:rPr>
        <w:t xml:space="preserve"> </w:t>
      </w:r>
      <w:r>
        <w:t xml:space="preserve">by his empiricism to deny the mental. According to Quine, there is no observational evidence of mental states. One sees bodies. One </w:t>
      </w:r>
      <w:r>
        <w:rPr>
          <w:i/>
        </w:rPr>
        <w:t xml:space="preserve">doesn’t </w:t>
      </w:r>
      <w:r>
        <w:t xml:space="preserve">see or otherwise sense-perceive mental states. Quine’s position is that mental states either don’t exist or are identical with the bodily behaviors that we ordinarily, and wrongly in Quine’s view, believe to be </w:t>
      </w:r>
      <w:r>
        <w:rPr>
          <w:i/>
        </w:rPr>
        <w:t xml:space="preserve">expressions </w:t>
      </w:r>
      <w:r>
        <w:t>of mental states. Thus, Quine was a behaviorist. (In Chapter 12, it is shown why behaviorism is false.)</w:t>
      </w:r>
    </w:p>
    <w:p w14:paraId="7E00221B" w14:textId="77777777" w:rsidR="009A58DB" w:rsidRDefault="00000000">
      <w:pPr>
        <w:pStyle w:val="BodyText"/>
        <w:spacing w:before="11" w:line="249" w:lineRule="auto"/>
        <w:ind w:right="359" w:firstLine="360"/>
      </w:pPr>
      <w:r>
        <w:t>Quine also held that there is no a priori knowledge. There is, he believed, no knowledge that is hardwired into us and that regulates the intake and subsequent</w:t>
      </w:r>
      <w:r>
        <w:rPr>
          <w:spacing w:val="32"/>
        </w:rPr>
        <w:t xml:space="preserve"> </w:t>
      </w:r>
      <w:r>
        <w:t>processing</w:t>
      </w:r>
      <w:r>
        <w:rPr>
          <w:spacing w:val="32"/>
        </w:rPr>
        <w:t xml:space="preserve"> </w:t>
      </w:r>
      <w:r>
        <w:t>of</w:t>
      </w:r>
      <w:r>
        <w:rPr>
          <w:spacing w:val="33"/>
        </w:rPr>
        <w:t xml:space="preserve"> </w:t>
      </w:r>
      <w:r>
        <w:t>sensory</w:t>
      </w:r>
      <w:r>
        <w:rPr>
          <w:spacing w:val="32"/>
        </w:rPr>
        <w:t xml:space="preserve"> </w:t>
      </w:r>
      <w:r>
        <w:t>information.</w:t>
      </w:r>
      <w:r>
        <w:rPr>
          <w:spacing w:val="32"/>
        </w:rPr>
        <w:t xml:space="preserve"> </w:t>
      </w:r>
      <w:r>
        <w:t>Quine</w:t>
      </w:r>
      <w:r>
        <w:rPr>
          <w:spacing w:val="33"/>
        </w:rPr>
        <w:t xml:space="preserve"> </w:t>
      </w:r>
      <w:r>
        <w:t>also</w:t>
      </w:r>
      <w:r>
        <w:rPr>
          <w:spacing w:val="32"/>
        </w:rPr>
        <w:t xml:space="preserve"> </w:t>
      </w:r>
      <w:r>
        <w:t>believed</w:t>
      </w:r>
      <w:r>
        <w:rPr>
          <w:spacing w:val="32"/>
        </w:rPr>
        <w:t xml:space="preserve"> </w:t>
      </w:r>
      <w:r>
        <w:t>that</w:t>
      </w:r>
      <w:r>
        <w:rPr>
          <w:spacing w:val="33"/>
        </w:rPr>
        <w:t xml:space="preserve"> </w:t>
      </w:r>
      <w:r>
        <w:rPr>
          <w:spacing w:val="-5"/>
        </w:rPr>
        <w:t>our</w:t>
      </w:r>
    </w:p>
    <w:p w14:paraId="7E00221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1D" w14:textId="77777777" w:rsidR="009A58DB" w:rsidRDefault="00000000">
      <w:pPr>
        <w:pStyle w:val="BodyText"/>
        <w:spacing w:before="60" w:line="249" w:lineRule="auto"/>
        <w:ind w:right="360"/>
      </w:pPr>
      <w:r>
        <w:lastRenderedPageBreak/>
        <w:t>linguistic behavior can be explained on the assumption that, at birth, we are blank</w:t>
      </w:r>
      <w:r>
        <w:rPr>
          <w:spacing w:val="-1"/>
        </w:rPr>
        <w:t xml:space="preserve"> </w:t>
      </w:r>
      <w:r>
        <w:t>slates</w:t>
      </w:r>
      <w:r>
        <w:rPr>
          <w:spacing w:val="-1"/>
        </w:rPr>
        <w:t xml:space="preserve"> </w:t>
      </w:r>
      <w:r>
        <w:t>and</w:t>
      </w:r>
      <w:r>
        <w:rPr>
          <w:spacing w:val="-1"/>
        </w:rPr>
        <w:t xml:space="preserve"> </w:t>
      </w:r>
      <w:r>
        <w:t>that</w:t>
      </w:r>
      <w:r>
        <w:rPr>
          <w:spacing w:val="-1"/>
        </w:rPr>
        <w:t xml:space="preserve"> </w:t>
      </w:r>
      <w:r>
        <w:t>it</w:t>
      </w:r>
      <w:r>
        <w:rPr>
          <w:spacing w:val="-1"/>
        </w:rPr>
        <w:t xml:space="preserve"> </w:t>
      </w:r>
      <w:r>
        <w:t>is</w:t>
      </w:r>
      <w:r>
        <w:rPr>
          <w:spacing w:val="-1"/>
        </w:rPr>
        <w:t xml:space="preserve"> </w:t>
      </w:r>
      <w:r>
        <w:t>entirely</w:t>
      </w:r>
      <w:r>
        <w:rPr>
          <w:spacing w:val="-1"/>
        </w:rPr>
        <w:t xml:space="preserve"> </w:t>
      </w:r>
      <w:r>
        <w:t>through</w:t>
      </w:r>
      <w:r>
        <w:rPr>
          <w:spacing w:val="-1"/>
        </w:rPr>
        <w:t xml:space="preserve"> </w:t>
      </w:r>
      <w:r>
        <w:t>a</w:t>
      </w:r>
      <w:r>
        <w:rPr>
          <w:spacing w:val="-1"/>
        </w:rPr>
        <w:t xml:space="preserve"> </w:t>
      </w:r>
      <w:r>
        <w:t>process</w:t>
      </w:r>
      <w:r>
        <w:rPr>
          <w:spacing w:val="-1"/>
        </w:rPr>
        <w:t xml:space="preserve"> </w:t>
      </w:r>
      <w:r>
        <w:t>of</w:t>
      </w:r>
      <w:r>
        <w:rPr>
          <w:spacing w:val="-1"/>
        </w:rPr>
        <w:t xml:space="preserve"> </w:t>
      </w:r>
      <w:r>
        <w:t>Pavlovian</w:t>
      </w:r>
      <w:r>
        <w:rPr>
          <w:spacing w:val="-1"/>
        </w:rPr>
        <w:t xml:space="preserve"> </w:t>
      </w:r>
      <w:r>
        <w:t>conditioning that we come to use words in the way we do.</w:t>
      </w:r>
    </w:p>
    <w:p w14:paraId="7E00221E" w14:textId="77777777" w:rsidR="009A58DB" w:rsidRDefault="00000000">
      <w:pPr>
        <w:pStyle w:val="BodyText"/>
        <w:spacing w:before="8" w:line="249" w:lineRule="auto"/>
        <w:ind w:right="358" w:firstLine="360"/>
      </w:pPr>
      <w:r>
        <w:t>This</w:t>
      </w:r>
      <w:r>
        <w:rPr>
          <w:spacing w:val="-4"/>
        </w:rPr>
        <w:t xml:space="preserve"> </w:t>
      </w:r>
      <w:r>
        <w:t>doctrine</w:t>
      </w:r>
      <w:r>
        <w:rPr>
          <w:spacing w:val="-4"/>
        </w:rPr>
        <w:t xml:space="preserve"> </w:t>
      </w:r>
      <w:r>
        <w:t>is</w:t>
      </w:r>
      <w:r>
        <w:rPr>
          <w:spacing w:val="-4"/>
        </w:rPr>
        <w:t xml:space="preserve"> </w:t>
      </w:r>
      <w:r>
        <w:rPr>
          <w:i/>
        </w:rPr>
        <w:t>also</w:t>
      </w:r>
      <w:r>
        <w:rPr>
          <w:i/>
          <w:spacing w:val="-3"/>
        </w:rPr>
        <w:t xml:space="preserve"> </w:t>
      </w:r>
      <w:r>
        <w:t>known</w:t>
      </w:r>
      <w:r>
        <w:rPr>
          <w:spacing w:val="-1"/>
        </w:rPr>
        <w:t xml:space="preserve"> </w:t>
      </w:r>
      <w:r>
        <w:t>as “behaviorism.” Behaviorism</w:t>
      </w:r>
      <w:r>
        <w:rPr>
          <w:spacing w:val="-1"/>
        </w:rPr>
        <w:t xml:space="preserve"> </w:t>
      </w:r>
      <w:r>
        <w:t>in</w:t>
      </w:r>
      <w:r>
        <w:rPr>
          <w:spacing w:val="-1"/>
        </w:rPr>
        <w:t xml:space="preserve"> </w:t>
      </w:r>
      <w:r>
        <w:rPr>
          <w:i/>
        </w:rPr>
        <w:t>this</w:t>
      </w:r>
      <w:r>
        <w:rPr>
          <w:i/>
          <w:spacing w:val="-3"/>
        </w:rPr>
        <w:t xml:space="preserve"> </w:t>
      </w:r>
      <w:r>
        <w:t>sense</w:t>
      </w:r>
      <w:r>
        <w:rPr>
          <w:spacing w:val="-4"/>
        </w:rPr>
        <w:t xml:space="preserve"> </w:t>
      </w:r>
      <w:r>
        <w:t xml:space="preserve">is a psychological theory that tries to answer the question “how does a human being learn to speak a language?” Behaviorism in the other sense is a philosophical theory that tries to answer the question “what are mental states?” To avoid confusion, I’ll refer to the first doctrine as “linguistic </w:t>
      </w:r>
      <w:r>
        <w:rPr>
          <w:spacing w:val="-2"/>
        </w:rPr>
        <w:t>behaviorism.”</w:t>
      </w:r>
    </w:p>
    <w:p w14:paraId="7E00221F" w14:textId="77777777" w:rsidR="009A58DB" w:rsidRDefault="00000000">
      <w:pPr>
        <w:pStyle w:val="BodyText"/>
        <w:spacing w:before="8" w:line="249" w:lineRule="auto"/>
        <w:ind w:right="361" w:firstLine="360"/>
      </w:pPr>
      <w:r>
        <w:t xml:space="preserve">Linguistic behaviorism is incoherent. To say “that’s a fire” and </w:t>
      </w:r>
      <w:r>
        <w:rPr>
          <w:i/>
        </w:rPr>
        <w:t xml:space="preserve">mean </w:t>
      </w:r>
      <w:r>
        <w:t>it, I must have beliefs as to what that expression means and as to what circumstances</w:t>
      </w:r>
      <w:r>
        <w:rPr>
          <w:spacing w:val="-1"/>
        </w:rPr>
        <w:t xml:space="preserve"> </w:t>
      </w:r>
      <w:r>
        <w:t>would</w:t>
      </w:r>
      <w:r>
        <w:rPr>
          <w:spacing w:val="-1"/>
        </w:rPr>
        <w:t xml:space="preserve"> </w:t>
      </w:r>
      <w:r>
        <w:t>warrant</w:t>
      </w:r>
      <w:r>
        <w:rPr>
          <w:spacing w:val="-1"/>
        </w:rPr>
        <w:t xml:space="preserve"> </w:t>
      </w:r>
      <w:r>
        <w:t>my</w:t>
      </w:r>
      <w:r>
        <w:rPr>
          <w:spacing w:val="-1"/>
        </w:rPr>
        <w:t xml:space="preserve"> </w:t>
      </w:r>
      <w:r>
        <w:t>uttering</w:t>
      </w:r>
      <w:r>
        <w:rPr>
          <w:spacing w:val="-1"/>
        </w:rPr>
        <w:t xml:space="preserve"> </w:t>
      </w:r>
      <w:r>
        <w:t>it.</w:t>
      </w:r>
      <w:r>
        <w:rPr>
          <w:spacing w:val="-1"/>
        </w:rPr>
        <w:t xml:space="preserve"> </w:t>
      </w:r>
      <w:r>
        <w:t>If</w:t>
      </w:r>
      <w:r>
        <w:rPr>
          <w:spacing w:val="-1"/>
        </w:rPr>
        <w:t xml:space="preserve"> </w:t>
      </w:r>
      <w:r>
        <w:t>I</w:t>
      </w:r>
      <w:r>
        <w:rPr>
          <w:spacing w:val="-1"/>
        </w:rPr>
        <w:t xml:space="preserve"> </w:t>
      </w:r>
      <w:r>
        <w:t>reflexively</w:t>
      </w:r>
      <w:r>
        <w:rPr>
          <w:spacing w:val="-1"/>
        </w:rPr>
        <w:t xml:space="preserve"> </w:t>
      </w:r>
      <w:r>
        <w:t>bark</w:t>
      </w:r>
      <w:r>
        <w:rPr>
          <w:spacing w:val="-1"/>
        </w:rPr>
        <w:t xml:space="preserve"> </w:t>
      </w:r>
      <w:r>
        <w:t>it</w:t>
      </w:r>
      <w:r>
        <w:rPr>
          <w:spacing w:val="-1"/>
        </w:rPr>
        <w:t xml:space="preserve"> </w:t>
      </w:r>
      <w:r>
        <w:t>out</w:t>
      </w:r>
      <w:r>
        <w:rPr>
          <w:spacing w:val="-1"/>
        </w:rPr>
        <w:t xml:space="preserve"> </w:t>
      </w:r>
      <w:r>
        <w:t>when</w:t>
      </w:r>
      <w:r>
        <w:rPr>
          <w:spacing w:val="-1"/>
        </w:rPr>
        <w:t xml:space="preserve"> </w:t>
      </w:r>
      <w:r>
        <w:t>I see a fire, I’m no more affirming that there’s a fire than I am if I start sweating in response to the heat given off by a nearby fire. These points are substantiated in Chapter 4.</w:t>
      </w:r>
    </w:p>
    <w:p w14:paraId="7E002220" w14:textId="77777777" w:rsidR="009A58DB" w:rsidRDefault="00000000">
      <w:pPr>
        <w:pStyle w:val="BodyText"/>
        <w:spacing w:before="7" w:line="249" w:lineRule="auto"/>
        <w:ind w:right="359" w:firstLine="360"/>
      </w:pPr>
      <w:r>
        <w:t xml:space="preserve">Also, in 1957, Noam Chomsky published his groundbreaking work </w:t>
      </w:r>
      <w:r>
        <w:rPr>
          <w:i/>
        </w:rPr>
        <w:t xml:space="preserve">Syntactic Structures, </w:t>
      </w:r>
      <w:r>
        <w:t xml:space="preserve">which, along with the many other important works that Chomsky was soon to publish, made it clear that Quine’s linguistic behaviorism simply didn’t model the relevant facts. Chomsky proposed an alternative theory, according to which inborn cognitive structures are largely, though obviously not entirely, determinative of how we learn and use language. Unlike Quine’s theory, Chomsky’s is splendidly borne out by the </w:t>
      </w:r>
      <w:r>
        <w:rPr>
          <w:spacing w:val="-2"/>
        </w:rPr>
        <w:t>facts.</w:t>
      </w:r>
    </w:p>
    <w:p w14:paraId="7E002221" w14:textId="77777777" w:rsidR="009A58DB" w:rsidRDefault="00000000">
      <w:pPr>
        <w:pStyle w:val="BodyText"/>
        <w:spacing w:before="10" w:line="249" w:lineRule="auto"/>
        <w:ind w:right="359" w:firstLine="360"/>
      </w:pPr>
      <w:r>
        <w:t xml:space="preserve">Quine and others accused Chomsky of putting forth a priori theories that lacked an adequate empirical grounding. This is both false and confused. It’s true that </w:t>
      </w:r>
      <w:r>
        <w:rPr>
          <w:i/>
        </w:rPr>
        <w:t xml:space="preserve">according </w:t>
      </w:r>
      <w:r>
        <w:t>to Chomsky’s theory we have a priori knowledge. But it doesn’t follow that Chomsky’s theory is itself a priori. Chomsky’s theory is based on empirical data; and, unlike Quine’s theory, it fits that data. And</w:t>
      </w:r>
      <w:r>
        <w:rPr>
          <w:spacing w:val="40"/>
        </w:rPr>
        <w:t xml:space="preserve"> </w:t>
      </w:r>
      <w:r>
        <w:t>even though, according to Quine’s theory, there is no a priori knowledge, it doesn’t follow that Quine’s theory is itself empirically well-founded. It isn’t. It’s rooted in the a priori, and easily disconfirmed, presumption that all psychological phenomena are to be explained in the same way as the salivating of Pavlov’s dog.</w:t>
      </w:r>
    </w:p>
    <w:p w14:paraId="7E002222" w14:textId="77777777" w:rsidR="009A58DB" w:rsidRDefault="00000000">
      <w:pPr>
        <w:pStyle w:val="BodyText"/>
        <w:spacing w:before="12" w:line="249" w:lineRule="auto"/>
        <w:ind w:right="358" w:firstLine="360"/>
      </w:pPr>
      <w:r>
        <w:t>One of the great ironies of empiricism is that it’s one of the most unempirical theories of all time. People learn languages. Dogs don’t. A dog wouldn’t</w:t>
      </w:r>
      <w:r>
        <w:rPr>
          <w:spacing w:val="40"/>
        </w:rPr>
        <w:t xml:space="preserve"> </w:t>
      </w:r>
      <w:r>
        <w:t>even</w:t>
      </w:r>
      <w:r>
        <w:rPr>
          <w:spacing w:val="40"/>
        </w:rPr>
        <w:t xml:space="preserve"> </w:t>
      </w:r>
      <w:r>
        <w:t>learn</w:t>
      </w:r>
      <w:r>
        <w:rPr>
          <w:spacing w:val="40"/>
        </w:rPr>
        <w:t xml:space="preserve"> </w:t>
      </w:r>
      <w:r>
        <w:t>the</w:t>
      </w:r>
      <w:r>
        <w:rPr>
          <w:spacing w:val="40"/>
        </w:rPr>
        <w:t xml:space="preserve"> </w:t>
      </w:r>
      <w:r>
        <w:t>rudiments</w:t>
      </w:r>
      <w:r>
        <w:rPr>
          <w:spacing w:val="40"/>
        </w:rPr>
        <w:t xml:space="preserve"> </w:t>
      </w:r>
      <w:r>
        <w:t>of</w:t>
      </w:r>
      <w:r>
        <w:rPr>
          <w:spacing w:val="40"/>
        </w:rPr>
        <w:t xml:space="preserve"> </w:t>
      </w:r>
      <w:r>
        <w:t>a</w:t>
      </w:r>
      <w:r>
        <w:rPr>
          <w:spacing w:val="40"/>
        </w:rPr>
        <w:t xml:space="preserve"> </w:t>
      </w:r>
      <w:r>
        <w:t>language</w:t>
      </w:r>
      <w:r>
        <w:rPr>
          <w:spacing w:val="40"/>
        </w:rPr>
        <w:t xml:space="preserve"> </w:t>
      </w:r>
      <w:r>
        <w:t>were</w:t>
      </w:r>
      <w:r>
        <w:rPr>
          <w:spacing w:val="40"/>
        </w:rPr>
        <w:t xml:space="preserve"> </w:t>
      </w:r>
      <w:r>
        <w:t>it</w:t>
      </w:r>
      <w:r>
        <w:rPr>
          <w:spacing w:val="40"/>
        </w:rPr>
        <w:t xml:space="preserve"> </w:t>
      </w:r>
      <w:r>
        <w:t>to</w:t>
      </w:r>
      <w:r>
        <w:rPr>
          <w:spacing w:val="40"/>
        </w:rPr>
        <w:t xml:space="preserve"> </w:t>
      </w:r>
      <w:r>
        <w:t>experience</w:t>
      </w:r>
      <w:r>
        <w:rPr>
          <w:spacing w:val="40"/>
        </w:rPr>
        <w:t xml:space="preserve"> </w:t>
      </w:r>
      <w:r>
        <w:t>the</w:t>
      </w:r>
    </w:p>
    <w:p w14:paraId="7E00222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24" w14:textId="77777777" w:rsidR="009A58DB" w:rsidRDefault="00000000">
      <w:pPr>
        <w:pStyle w:val="BodyText"/>
        <w:spacing w:before="65" w:line="249" w:lineRule="auto"/>
        <w:ind w:right="365"/>
      </w:pPr>
      <w:r>
        <w:lastRenderedPageBreak/>
        <w:t xml:space="preserve">sensory simulations that enable a human being to master one. This shows that, unlike dogs, human beings are endowed with innate cognitive structures that enable them to derive an integrated and complex body of knowledge from such stimulations. The same point </w:t>
      </w:r>
      <w:r>
        <w:rPr>
          <w:i/>
        </w:rPr>
        <w:t xml:space="preserve">mutatis mutandis </w:t>
      </w:r>
      <w:r>
        <w:t>holds of any cognitive skill that human beings can acquire that animals cannot.</w:t>
      </w:r>
      <w:r>
        <w:rPr>
          <w:spacing w:val="40"/>
        </w:rPr>
        <w:t xml:space="preserve"> </w:t>
      </w:r>
      <w:r>
        <w:t>Empiricism is therefore inconsistent with empirical evidence of the most blatant and widespread kind.</w:t>
      </w:r>
    </w:p>
    <w:p w14:paraId="7E002225" w14:textId="77777777" w:rsidR="009A58DB" w:rsidRDefault="00000000">
      <w:pPr>
        <w:pStyle w:val="BodyText"/>
        <w:spacing w:before="8" w:line="249" w:lineRule="auto"/>
        <w:ind w:right="357" w:firstLine="360"/>
        <w:rPr>
          <w:position w:val="21"/>
        </w:rPr>
      </w:pPr>
      <w:r>
        <w:t>In</w:t>
      </w:r>
      <w:r>
        <w:rPr>
          <w:spacing w:val="-1"/>
        </w:rPr>
        <w:t xml:space="preserve"> </w:t>
      </w:r>
      <w:r>
        <w:t>any</w:t>
      </w:r>
      <w:r>
        <w:rPr>
          <w:spacing w:val="-1"/>
        </w:rPr>
        <w:t xml:space="preserve"> </w:t>
      </w:r>
      <w:r>
        <w:t>case,</w:t>
      </w:r>
      <w:r>
        <w:rPr>
          <w:spacing w:val="-1"/>
        </w:rPr>
        <w:t xml:space="preserve"> </w:t>
      </w:r>
      <w:r>
        <w:t>despite</w:t>
      </w:r>
      <w:r>
        <w:rPr>
          <w:spacing w:val="-1"/>
        </w:rPr>
        <w:t xml:space="preserve"> </w:t>
      </w:r>
      <w:r>
        <w:t>the</w:t>
      </w:r>
      <w:r>
        <w:rPr>
          <w:spacing w:val="-1"/>
        </w:rPr>
        <w:t xml:space="preserve"> </w:t>
      </w:r>
      <w:r>
        <w:t>vast</w:t>
      </w:r>
      <w:r>
        <w:rPr>
          <w:spacing w:val="-1"/>
        </w:rPr>
        <w:t xml:space="preserve"> </w:t>
      </w:r>
      <w:r>
        <w:t>and</w:t>
      </w:r>
      <w:r>
        <w:rPr>
          <w:spacing w:val="-1"/>
        </w:rPr>
        <w:t xml:space="preserve"> </w:t>
      </w:r>
      <w:r>
        <w:t>ever-growing</w:t>
      </w:r>
      <w:r>
        <w:rPr>
          <w:spacing w:val="-1"/>
        </w:rPr>
        <w:t xml:space="preserve"> </w:t>
      </w:r>
      <w:r>
        <w:t>body</w:t>
      </w:r>
      <w:r>
        <w:rPr>
          <w:spacing w:val="-1"/>
        </w:rPr>
        <w:t xml:space="preserve"> </w:t>
      </w:r>
      <w:r>
        <w:t>of</w:t>
      </w:r>
      <w:r>
        <w:rPr>
          <w:spacing w:val="-1"/>
        </w:rPr>
        <w:t xml:space="preserve"> </w:t>
      </w:r>
      <w:r>
        <w:t>evidence</w:t>
      </w:r>
      <w:r>
        <w:rPr>
          <w:spacing w:val="-1"/>
        </w:rPr>
        <w:t xml:space="preserve"> </w:t>
      </w:r>
      <w:r>
        <w:t>in</w:t>
      </w:r>
      <w:r>
        <w:rPr>
          <w:spacing w:val="-1"/>
        </w:rPr>
        <w:t xml:space="preserve"> </w:t>
      </w:r>
      <w:r>
        <w:t>support of Chomsky’s anti-Quinean views, Quine stuck to his guns, and in the 45 years that passed between the publication of Syntactic Structures and his death, Quine didn’t soften his position. Not only did he not concede that Chomsky was at all right; he didn’t even concede that mental entities even exist, except to the (non-existent) extent to which they can be identified with overt behaviors.</w:t>
      </w:r>
      <w:bookmarkStart w:id="470" w:name="_bookmark470"/>
      <w:bookmarkEnd w:id="470"/>
      <w:r>
        <w:rPr>
          <w:color w:val="0562C1"/>
          <w:position w:val="21"/>
          <w:u w:val="single" w:color="0562C1"/>
        </w:rPr>
        <w:t>[350]</w:t>
      </w:r>
    </w:p>
    <w:p w14:paraId="7E002226" w14:textId="77777777" w:rsidR="009A58DB" w:rsidRDefault="00000000">
      <w:pPr>
        <w:pStyle w:val="BodyText"/>
        <w:spacing w:before="9" w:line="249" w:lineRule="auto"/>
        <w:ind w:right="359" w:firstLine="360"/>
      </w:pPr>
      <w:r>
        <w:t xml:space="preserve">In any case, it’s clear that Quine’s rejection of analytic truth wasn’t the effect, but was instead the cause, of his acceptance of the bizarre and unwieldy argument of his that we considered earlier. Quine obviously produced that argument </w:t>
      </w:r>
      <w:r>
        <w:rPr>
          <w:i/>
        </w:rPr>
        <w:t>ad hoc</w:t>
      </w:r>
      <w:r>
        <w:t>, hoping to give his idiosyncratic form of empiricism a solid foundation. Quine’s real reason for denying the existence of analytic truth lay in his staunch empiricism. All philosophers, and indeed non-philosophers, who deny the existence of analytic truth do so because</w:t>
      </w:r>
      <w:r>
        <w:rPr>
          <w:spacing w:val="40"/>
        </w:rPr>
        <w:t xml:space="preserve"> </w:t>
      </w:r>
      <w:r>
        <w:t>they are staunch empiricists.</w:t>
      </w:r>
    </w:p>
    <w:p w14:paraId="7E002227" w14:textId="77777777" w:rsidR="009A58DB" w:rsidRDefault="00000000">
      <w:pPr>
        <w:pStyle w:val="BodyText"/>
        <w:spacing w:before="10" w:line="249" w:lineRule="auto"/>
        <w:ind w:right="363" w:firstLine="360"/>
      </w:pPr>
      <w:r>
        <w:t>Thus, when authors deny that there are necessary truths, the underlying sentiment, if not the immediately operative rationale, is this:</w:t>
      </w:r>
    </w:p>
    <w:p w14:paraId="7E002228" w14:textId="77777777" w:rsidR="009A58DB" w:rsidRDefault="00000000">
      <w:pPr>
        <w:pStyle w:val="BodyText"/>
        <w:spacing w:before="107" w:line="249" w:lineRule="auto"/>
        <w:ind w:left="720" w:right="721"/>
      </w:pPr>
      <w:r>
        <w:t>(NT) If they exist, necessary truths hold no matter what. They hold no matter</w:t>
      </w:r>
      <w:r>
        <w:rPr>
          <w:spacing w:val="-4"/>
        </w:rPr>
        <w:t xml:space="preserve"> </w:t>
      </w:r>
      <w:r>
        <w:t>how</w:t>
      </w:r>
      <w:r>
        <w:rPr>
          <w:spacing w:val="-5"/>
        </w:rPr>
        <w:t xml:space="preserve"> </w:t>
      </w:r>
      <w:r>
        <w:t>the</w:t>
      </w:r>
      <w:r>
        <w:rPr>
          <w:spacing w:val="-4"/>
        </w:rPr>
        <w:t xml:space="preserve"> </w:t>
      </w:r>
      <w:r>
        <w:t>world</w:t>
      </w:r>
      <w:r>
        <w:rPr>
          <w:spacing w:val="-4"/>
        </w:rPr>
        <w:t xml:space="preserve"> </w:t>
      </w:r>
      <w:r>
        <w:t>is</w:t>
      </w:r>
      <w:r>
        <w:rPr>
          <w:spacing w:val="-4"/>
        </w:rPr>
        <w:t xml:space="preserve"> </w:t>
      </w:r>
      <w:r>
        <w:t>and,</w:t>
      </w:r>
      <w:r>
        <w:rPr>
          <w:spacing w:val="-4"/>
        </w:rPr>
        <w:t xml:space="preserve"> </w:t>
      </w:r>
      <w:r>
        <w:t>therefore,</w:t>
      </w:r>
      <w:r>
        <w:rPr>
          <w:spacing w:val="-4"/>
        </w:rPr>
        <w:t xml:space="preserve"> </w:t>
      </w:r>
      <w:r>
        <w:t>no</w:t>
      </w:r>
      <w:r>
        <w:rPr>
          <w:spacing w:val="-4"/>
        </w:rPr>
        <w:t xml:space="preserve"> </w:t>
      </w:r>
      <w:r>
        <w:t>matter</w:t>
      </w:r>
      <w:r>
        <w:rPr>
          <w:spacing w:val="-4"/>
        </w:rPr>
        <w:t xml:space="preserve"> </w:t>
      </w:r>
      <w:r>
        <w:t>what</w:t>
      </w:r>
      <w:r>
        <w:rPr>
          <w:spacing w:val="-5"/>
        </w:rPr>
        <w:t xml:space="preserve"> </w:t>
      </w:r>
      <w:r>
        <w:t>observations</w:t>
      </w:r>
      <w:r>
        <w:rPr>
          <w:spacing w:val="-4"/>
        </w:rPr>
        <w:t xml:space="preserve"> </w:t>
      </w:r>
      <w:r>
        <w:t xml:space="preserve">one has. So, if they exist, they can be known </w:t>
      </w:r>
      <w:r>
        <w:rPr>
          <w:i/>
        </w:rPr>
        <w:t xml:space="preserve">independently </w:t>
      </w:r>
      <w:r>
        <w:t>of observation. But it’s unscientific to think that anything could be known in any way other than through empirical observations. Therefore, there are no necessary truths.</w:t>
      </w:r>
    </w:p>
    <w:p w14:paraId="7E002229" w14:textId="77777777" w:rsidR="009A58DB" w:rsidRDefault="00000000">
      <w:pPr>
        <w:pStyle w:val="Heading1"/>
        <w:numPr>
          <w:ilvl w:val="1"/>
          <w:numId w:val="70"/>
        </w:numPr>
        <w:tabs>
          <w:tab w:val="left" w:pos="990"/>
        </w:tabs>
        <w:spacing w:before="196"/>
      </w:pPr>
      <w:r>
        <w:t>Why</w:t>
      </w:r>
      <w:r>
        <w:rPr>
          <w:spacing w:val="-1"/>
        </w:rPr>
        <w:t xml:space="preserve"> </w:t>
      </w:r>
      <w:r>
        <w:t>NT</w:t>
      </w:r>
      <w:r>
        <w:rPr>
          <w:spacing w:val="-2"/>
        </w:rPr>
        <w:t xml:space="preserve"> </w:t>
      </w:r>
      <w:r>
        <w:t>is</w:t>
      </w:r>
      <w:r>
        <w:rPr>
          <w:spacing w:val="-2"/>
        </w:rPr>
        <w:t xml:space="preserve"> </w:t>
      </w:r>
      <w:r>
        <w:t>a</w:t>
      </w:r>
      <w:r>
        <w:rPr>
          <w:spacing w:val="-1"/>
        </w:rPr>
        <w:t xml:space="preserve"> </w:t>
      </w:r>
      <w:r>
        <w:t>bad</w:t>
      </w:r>
      <w:r>
        <w:rPr>
          <w:spacing w:val="-1"/>
        </w:rPr>
        <w:t xml:space="preserve"> </w:t>
      </w:r>
      <w:r>
        <w:rPr>
          <w:spacing w:val="-2"/>
        </w:rPr>
        <w:t>argument</w:t>
      </w:r>
    </w:p>
    <w:p w14:paraId="7E00222A" w14:textId="77777777" w:rsidR="009A58DB" w:rsidRDefault="00000000">
      <w:pPr>
        <w:pStyle w:val="BodyText"/>
        <w:spacing w:before="139" w:line="249" w:lineRule="auto"/>
        <w:ind w:right="359"/>
      </w:pPr>
      <w:r>
        <w:t>All knowledge of the spatiotemporal world is rooted in observation. But there’s</w:t>
      </w:r>
      <w:r>
        <w:rPr>
          <w:spacing w:val="-2"/>
        </w:rPr>
        <w:t xml:space="preserve"> </w:t>
      </w:r>
      <w:r>
        <w:t>more</w:t>
      </w:r>
      <w:r>
        <w:rPr>
          <w:spacing w:val="-2"/>
        </w:rPr>
        <w:t xml:space="preserve"> </w:t>
      </w:r>
      <w:r>
        <w:t>to</w:t>
      </w:r>
      <w:r>
        <w:rPr>
          <w:spacing w:val="-2"/>
        </w:rPr>
        <w:t xml:space="preserve"> </w:t>
      </w:r>
      <w:r>
        <w:t>doing</w:t>
      </w:r>
      <w:r>
        <w:rPr>
          <w:spacing w:val="-2"/>
        </w:rPr>
        <w:t xml:space="preserve"> </w:t>
      </w:r>
      <w:r>
        <w:t>science</w:t>
      </w:r>
      <w:r>
        <w:rPr>
          <w:spacing w:val="-2"/>
        </w:rPr>
        <w:t xml:space="preserve"> </w:t>
      </w:r>
      <w:r>
        <w:t>than</w:t>
      </w:r>
      <w:r>
        <w:rPr>
          <w:spacing w:val="-2"/>
        </w:rPr>
        <w:t xml:space="preserve"> </w:t>
      </w:r>
      <w:r>
        <w:t>making</w:t>
      </w:r>
      <w:r>
        <w:rPr>
          <w:spacing w:val="-2"/>
        </w:rPr>
        <w:t xml:space="preserve"> </w:t>
      </w:r>
      <w:r>
        <w:t>observations.</w:t>
      </w:r>
      <w:r>
        <w:rPr>
          <w:spacing w:val="-2"/>
        </w:rPr>
        <w:t xml:space="preserve"> </w:t>
      </w:r>
      <w:r>
        <w:t>The</w:t>
      </w:r>
      <w:r>
        <w:rPr>
          <w:spacing w:val="-2"/>
        </w:rPr>
        <w:t xml:space="preserve"> </w:t>
      </w:r>
      <w:r>
        <w:t>observations</w:t>
      </w:r>
      <w:r>
        <w:rPr>
          <w:spacing w:val="-2"/>
        </w:rPr>
        <w:t xml:space="preserve"> </w:t>
      </w:r>
      <w:r>
        <w:t>are</w:t>
      </w:r>
    </w:p>
    <w:p w14:paraId="7E00222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2C" w14:textId="77777777" w:rsidR="009A58DB" w:rsidRDefault="00000000">
      <w:pPr>
        <w:pStyle w:val="BodyText"/>
        <w:spacing w:before="65" w:line="249" w:lineRule="auto"/>
        <w:ind w:right="363"/>
      </w:pPr>
      <w:r>
        <w:lastRenderedPageBreak/>
        <w:t>only a means to an end, the end being the acquisition of theoretical knowledge. We’ll now see that non-observational knowledge is a precondition for theoretical knowledge and also that it is always necessary truths that are known non-observationally.</w:t>
      </w:r>
    </w:p>
    <w:p w14:paraId="7E00222D" w14:textId="77777777" w:rsidR="009A58DB" w:rsidRDefault="00000000">
      <w:pPr>
        <w:pStyle w:val="BodyText"/>
        <w:spacing w:before="5" w:line="249" w:lineRule="auto"/>
        <w:ind w:right="359" w:firstLine="360"/>
      </w:pPr>
      <w:r>
        <w:t>Our senses give us raw data. Raw data is the foundation of all empirical knowledge. But data cannot interpret itself. And even if it could, it wouldn’t relieve of you of the burden of having to interpret the data for yourself. For argument’s</w:t>
      </w:r>
      <w:r>
        <w:rPr>
          <w:spacing w:val="-4"/>
        </w:rPr>
        <w:t xml:space="preserve"> </w:t>
      </w:r>
      <w:r>
        <w:t>sake,</w:t>
      </w:r>
      <w:r>
        <w:rPr>
          <w:spacing w:val="-3"/>
        </w:rPr>
        <w:t xml:space="preserve"> </w:t>
      </w:r>
      <w:r>
        <w:t>suppose</w:t>
      </w:r>
      <w:r>
        <w:rPr>
          <w:spacing w:val="-4"/>
        </w:rPr>
        <w:t xml:space="preserve"> </w:t>
      </w:r>
      <w:r>
        <w:t>that</w:t>
      </w:r>
      <w:r>
        <w:rPr>
          <w:spacing w:val="-4"/>
        </w:rPr>
        <w:t xml:space="preserve"> </w:t>
      </w:r>
      <w:r>
        <w:t>the</w:t>
      </w:r>
      <w:r>
        <w:rPr>
          <w:spacing w:val="-4"/>
        </w:rPr>
        <w:t xml:space="preserve"> </w:t>
      </w:r>
      <w:r>
        <w:t>data</w:t>
      </w:r>
      <w:r>
        <w:rPr>
          <w:spacing w:val="-4"/>
        </w:rPr>
        <w:t xml:space="preserve"> </w:t>
      </w:r>
      <w:r>
        <w:t>were</w:t>
      </w:r>
      <w:r>
        <w:rPr>
          <w:spacing w:val="-4"/>
        </w:rPr>
        <w:t xml:space="preserve"> </w:t>
      </w:r>
      <w:r>
        <w:t>self-interpreting,</w:t>
      </w:r>
      <w:r>
        <w:rPr>
          <w:spacing w:val="-3"/>
        </w:rPr>
        <w:t xml:space="preserve"> </w:t>
      </w:r>
      <w:r>
        <w:t>and</w:t>
      </w:r>
      <w:r>
        <w:rPr>
          <w:spacing w:val="-3"/>
        </w:rPr>
        <w:t xml:space="preserve"> </w:t>
      </w:r>
      <w:r>
        <w:t>that</w:t>
      </w:r>
      <w:r>
        <w:rPr>
          <w:spacing w:val="-4"/>
        </w:rPr>
        <w:t xml:space="preserve"> </w:t>
      </w:r>
      <w:r>
        <w:t>its</w:t>
      </w:r>
      <w:r>
        <w:rPr>
          <w:spacing w:val="-4"/>
        </w:rPr>
        <w:t xml:space="preserve"> </w:t>
      </w:r>
      <w:r>
        <w:t>self-interpretations were disclosed to you in periodic reports. Any such report would</w:t>
      </w:r>
      <w:r>
        <w:rPr>
          <w:spacing w:val="-3"/>
        </w:rPr>
        <w:t xml:space="preserve"> </w:t>
      </w:r>
      <w:r>
        <w:rPr>
          <w:i/>
        </w:rPr>
        <w:t xml:space="preserve">itself </w:t>
      </w:r>
      <w:r>
        <w:t xml:space="preserve">be given to you in terms of raw data that you’d have to analyze; so you couldn’t even understand the report unless you already knew how to interpret the data. Second, once you did understand the report, you’d have no good reason to trust it unless you could find some independent corroboration for it. Finding such corroboration would involve coming up with your own interpretation of the data and seeing how well it matched the interpretation in the report. So even if </w:t>
      </w:r>
      <w:r>
        <w:rPr>
          <w:i/>
        </w:rPr>
        <w:t xml:space="preserve">per impossible </w:t>
      </w:r>
      <w:r>
        <w:t>perceptual data could self-interpret, one could</w:t>
      </w:r>
      <w:r>
        <w:rPr>
          <w:spacing w:val="-2"/>
        </w:rPr>
        <w:t xml:space="preserve"> </w:t>
      </w:r>
      <w:r>
        <w:t>learn</w:t>
      </w:r>
      <w:r>
        <w:rPr>
          <w:spacing w:val="-1"/>
        </w:rPr>
        <w:t xml:space="preserve"> </w:t>
      </w:r>
      <w:r>
        <w:t>nothing</w:t>
      </w:r>
      <w:r>
        <w:rPr>
          <w:spacing w:val="-1"/>
        </w:rPr>
        <w:t xml:space="preserve"> </w:t>
      </w:r>
      <w:r>
        <w:t>about</w:t>
      </w:r>
      <w:r>
        <w:rPr>
          <w:spacing w:val="-2"/>
        </w:rPr>
        <w:t xml:space="preserve"> </w:t>
      </w:r>
      <w:r>
        <w:t>the</w:t>
      </w:r>
      <w:r>
        <w:rPr>
          <w:spacing w:val="-2"/>
        </w:rPr>
        <w:t xml:space="preserve"> </w:t>
      </w:r>
      <w:r>
        <w:t>external</w:t>
      </w:r>
      <w:r>
        <w:rPr>
          <w:spacing w:val="-2"/>
        </w:rPr>
        <w:t xml:space="preserve"> </w:t>
      </w:r>
      <w:r>
        <w:t>world</w:t>
      </w:r>
      <w:r>
        <w:rPr>
          <w:spacing w:val="-1"/>
        </w:rPr>
        <w:t xml:space="preserve"> </w:t>
      </w:r>
      <w:r>
        <w:t>from</w:t>
      </w:r>
      <w:r>
        <w:rPr>
          <w:spacing w:val="-2"/>
        </w:rPr>
        <w:t xml:space="preserve"> </w:t>
      </w:r>
      <w:r>
        <w:t>those</w:t>
      </w:r>
      <w:r>
        <w:rPr>
          <w:spacing w:val="-1"/>
        </w:rPr>
        <w:t xml:space="preserve"> </w:t>
      </w:r>
      <w:r>
        <w:t>interpretations</w:t>
      </w:r>
      <w:r>
        <w:rPr>
          <w:spacing w:val="-1"/>
        </w:rPr>
        <w:t xml:space="preserve"> </w:t>
      </w:r>
      <w:r>
        <w:t>unless one could interpret the data for oneself. It is, therefore, totally incoherent to suppose that one could know on the basis of observation alone how to interpret the data of observation; and since it’s totally incoherent to suppose that one could have theoretical or, therefore, scientific knowledge without interpreting the data, it is totally incoherent to suppose that any science should</w:t>
      </w:r>
      <w:r>
        <w:rPr>
          <w:spacing w:val="-3"/>
        </w:rPr>
        <w:t xml:space="preserve"> </w:t>
      </w:r>
      <w:r>
        <w:t>be</w:t>
      </w:r>
      <w:r>
        <w:rPr>
          <w:spacing w:val="-4"/>
        </w:rPr>
        <w:t xml:space="preserve"> </w:t>
      </w:r>
      <w:r>
        <w:rPr>
          <w:i/>
        </w:rPr>
        <w:t>strictly</w:t>
      </w:r>
      <w:r>
        <w:rPr>
          <w:i/>
          <w:spacing w:val="-4"/>
        </w:rPr>
        <w:t xml:space="preserve"> </w:t>
      </w:r>
      <w:r>
        <w:t>observation-based. There is necessarily a non-observational component to the acquisition of scientific knowledge.</w:t>
      </w:r>
    </w:p>
    <w:p w14:paraId="7E00222E" w14:textId="77777777" w:rsidR="009A58DB" w:rsidRDefault="00000000">
      <w:pPr>
        <w:pStyle w:val="BodyText"/>
        <w:spacing w:before="24" w:line="249" w:lineRule="auto"/>
        <w:ind w:right="358" w:firstLine="360"/>
      </w:pPr>
      <w:r>
        <w:t>Interpreting data involves being able to discern abstract resemblances between different concrete situations. Doing this, in its turn, involves knowing</w:t>
      </w:r>
      <w:r>
        <w:rPr>
          <w:spacing w:val="-3"/>
        </w:rPr>
        <w:t xml:space="preserve"> </w:t>
      </w:r>
      <w:r>
        <w:t>necessary</w:t>
      </w:r>
      <w:r>
        <w:rPr>
          <w:spacing w:val="-3"/>
        </w:rPr>
        <w:t xml:space="preserve"> </w:t>
      </w:r>
      <w:r>
        <w:t>truths.</w:t>
      </w:r>
      <w:r>
        <w:rPr>
          <w:spacing w:val="-3"/>
        </w:rPr>
        <w:t xml:space="preserve"> </w:t>
      </w:r>
      <w:r>
        <w:t>Seeing</w:t>
      </w:r>
      <w:r>
        <w:rPr>
          <w:spacing w:val="-3"/>
        </w:rPr>
        <w:t xml:space="preserve"> </w:t>
      </w:r>
      <w:r>
        <w:t>that</w:t>
      </w:r>
      <w:r>
        <w:rPr>
          <w:spacing w:val="-4"/>
        </w:rPr>
        <w:t xml:space="preserve"> </w:t>
      </w:r>
      <w:r>
        <w:t>two</w:t>
      </w:r>
      <w:r>
        <w:rPr>
          <w:spacing w:val="-3"/>
        </w:rPr>
        <w:t xml:space="preserve"> </w:t>
      </w:r>
      <w:r>
        <w:t>objects</w:t>
      </w:r>
      <w:r>
        <w:rPr>
          <w:spacing w:val="-4"/>
        </w:rPr>
        <w:t xml:space="preserve"> </w:t>
      </w:r>
      <w:r>
        <w:t>are</w:t>
      </w:r>
      <w:r>
        <w:rPr>
          <w:spacing w:val="-4"/>
        </w:rPr>
        <w:t xml:space="preserve"> </w:t>
      </w:r>
      <w:r>
        <w:t>alike</w:t>
      </w:r>
      <w:r>
        <w:rPr>
          <w:spacing w:val="-4"/>
        </w:rPr>
        <w:t xml:space="preserve"> </w:t>
      </w:r>
      <w:r>
        <w:t>in</w:t>
      </w:r>
      <w:r>
        <w:rPr>
          <w:spacing w:val="-3"/>
        </w:rPr>
        <w:t xml:space="preserve"> </w:t>
      </w:r>
      <w:r>
        <w:t>respect</w:t>
      </w:r>
      <w:r>
        <w:rPr>
          <w:spacing w:val="-4"/>
        </w:rPr>
        <w:t xml:space="preserve"> </w:t>
      </w:r>
      <w:r>
        <w:t>of</w:t>
      </w:r>
      <w:r>
        <w:rPr>
          <w:spacing w:val="-4"/>
        </w:rPr>
        <w:t xml:space="preserve"> </w:t>
      </w:r>
      <w:r>
        <w:t xml:space="preserve">(e.g.) their shape involves seeing that they fulfill conditions that, if not </w:t>
      </w:r>
      <w:r>
        <w:rPr>
          <w:i/>
        </w:rPr>
        <w:t xml:space="preserve">fulfilled </w:t>
      </w:r>
      <w:r>
        <w:t xml:space="preserve">by an object, necessarily preclude it from having the shape in question. Seeing that otherwise dissimilar objects x and y are both square-shaped involves knowing that, were an object to have more sides than x or y, it would </w:t>
      </w:r>
      <w:r>
        <w:rPr>
          <w:i/>
        </w:rPr>
        <w:t>for</w:t>
      </w:r>
      <w:r>
        <w:rPr>
          <w:i/>
          <w:spacing w:val="-3"/>
        </w:rPr>
        <w:t xml:space="preserve"> </w:t>
      </w:r>
      <w:r>
        <w:rPr>
          <w:i/>
        </w:rPr>
        <w:t>that very</w:t>
      </w:r>
      <w:r>
        <w:rPr>
          <w:i/>
          <w:spacing w:val="-3"/>
        </w:rPr>
        <w:t xml:space="preserve"> </w:t>
      </w:r>
      <w:r>
        <w:rPr>
          <w:i/>
        </w:rPr>
        <w:t>reason</w:t>
      </w:r>
      <w:r>
        <w:rPr>
          <w:i/>
          <w:spacing w:val="-3"/>
        </w:rPr>
        <w:t xml:space="preserve"> </w:t>
      </w:r>
      <w:r>
        <w:t xml:space="preserve">fail to have the same shape as them, and it also involves knowing that, if an object had a different color from x or y, it would not </w:t>
      </w:r>
      <w:r>
        <w:rPr>
          <w:i/>
        </w:rPr>
        <w:t>for that very reason</w:t>
      </w:r>
      <w:r>
        <w:rPr>
          <w:i/>
          <w:spacing w:val="-2"/>
        </w:rPr>
        <w:t xml:space="preserve"> </w:t>
      </w:r>
      <w:r>
        <w:t>fail</w:t>
      </w:r>
      <w:r>
        <w:rPr>
          <w:spacing w:val="-1"/>
        </w:rPr>
        <w:t xml:space="preserve"> </w:t>
      </w:r>
      <w:r>
        <w:t>to have</w:t>
      </w:r>
      <w:r>
        <w:rPr>
          <w:spacing w:val="-1"/>
        </w:rPr>
        <w:t xml:space="preserve"> </w:t>
      </w:r>
      <w:r>
        <w:t>the same</w:t>
      </w:r>
      <w:r>
        <w:rPr>
          <w:spacing w:val="-1"/>
        </w:rPr>
        <w:t xml:space="preserve"> </w:t>
      </w:r>
      <w:r>
        <w:t>shape as</w:t>
      </w:r>
      <w:r>
        <w:rPr>
          <w:spacing w:val="-1"/>
        </w:rPr>
        <w:t xml:space="preserve"> </w:t>
      </w:r>
      <w:r>
        <w:t>them. One</w:t>
      </w:r>
      <w:r>
        <w:rPr>
          <w:spacing w:val="-1"/>
        </w:rPr>
        <w:t xml:space="preserve"> </w:t>
      </w:r>
      <w:r>
        <w:t>can’t</w:t>
      </w:r>
      <w:r>
        <w:rPr>
          <w:spacing w:val="-1"/>
        </w:rPr>
        <w:t xml:space="preserve"> </w:t>
      </w:r>
      <w:r>
        <w:t>know</w:t>
      </w:r>
      <w:r>
        <w:rPr>
          <w:spacing w:val="-1"/>
        </w:rPr>
        <w:t xml:space="preserve"> </w:t>
      </w:r>
      <w:r>
        <w:t>that</w:t>
      </w:r>
      <w:r>
        <w:rPr>
          <w:spacing w:val="-1"/>
        </w:rPr>
        <w:t xml:space="preserve"> </w:t>
      </w:r>
      <w:r>
        <w:t>x</w:t>
      </w:r>
      <w:r>
        <w:rPr>
          <w:spacing w:val="-1"/>
        </w:rPr>
        <w:t xml:space="preserve"> </w:t>
      </w:r>
      <w:r>
        <w:t xml:space="preserve">and y have the same shape unless one knows that an object’s having four sides </w:t>
      </w:r>
      <w:r>
        <w:rPr>
          <w:i/>
        </w:rPr>
        <w:t>necessarily</w:t>
      </w:r>
      <w:r>
        <w:rPr>
          <w:i/>
          <w:spacing w:val="26"/>
        </w:rPr>
        <w:t xml:space="preserve"> </w:t>
      </w:r>
      <w:r>
        <w:t>disqualifies</w:t>
      </w:r>
      <w:r>
        <w:rPr>
          <w:spacing w:val="39"/>
        </w:rPr>
        <w:t xml:space="preserve"> </w:t>
      </w:r>
      <w:r>
        <w:t>it</w:t>
      </w:r>
      <w:r>
        <w:rPr>
          <w:spacing w:val="38"/>
        </w:rPr>
        <w:t xml:space="preserve"> </w:t>
      </w:r>
      <w:r>
        <w:t>from</w:t>
      </w:r>
      <w:r>
        <w:rPr>
          <w:spacing w:val="38"/>
        </w:rPr>
        <w:t xml:space="preserve"> </w:t>
      </w:r>
      <w:r>
        <w:t>being</w:t>
      </w:r>
      <w:r>
        <w:rPr>
          <w:spacing w:val="39"/>
        </w:rPr>
        <w:t xml:space="preserve"> </w:t>
      </w:r>
      <w:r>
        <w:t>shape-identical</w:t>
      </w:r>
      <w:r>
        <w:rPr>
          <w:spacing w:val="38"/>
        </w:rPr>
        <w:t xml:space="preserve"> </w:t>
      </w:r>
      <w:r>
        <w:t>with</w:t>
      </w:r>
      <w:r>
        <w:rPr>
          <w:spacing w:val="39"/>
        </w:rPr>
        <w:t xml:space="preserve"> </w:t>
      </w:r>
      <w:r>
        <w:t>those</w:t>
      </w:r>
      <w:r>
        <w:rPr>
          <w:spacing w:val="39"/>
        </w:rPr>
        <w:t xml:space="preserve"> </w:t>
      </w:r>
      <w:r>
        <w:t>objects.</w:t>
      </w:r>
      <w:r>
        <w:rPr>
          <w:spacing w:val="39"/>
        </w:rPr>
        <w:t xml:space="preserve"> </w:t>
      </w:r>
      <w:r>
        <w:t>In</w:t>
      </w:r>
    </w:p>
    <w:p w14:paraId="7E00222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30" w14:textId="77777777" w:rsidR="009A58DB" w:rsidRDefault="00000000">
      <w:pPr>
        <w:pStyle w:val="BodyText"/>
        <w:spacing w:before="65" w:line="249" w:lineRule="auto"/>
        <w:ind w:right="364"/>
      </w:pPr>
      <w:r>
        <w:lastRenderedPageBreak/>
        <w:t xml:space="preserve">general, one cannot discern </w:t>
      </w:r>
      <w:r>
        <w:rPr>
          <w:i/>
        </w:rPr>
        <w:t xml:space="preserve">any </w:t>
      </w:r>
      <w:r>
        <w:t xml:space="preserve">abstract similarities between </w:t>
      </w:r>
      <w:r>
        <w:rPr>
          <w:i/>
        </w:rPr>
        <w:t xml:space="preserve">any </w:t>
      </w:r>
      <w:r>
        <w:t xml:space="preserve">two concrete situations unless one knows, for at least some property, what conditions </w:t>
      </w:r>
      <w:r>
        <w:rPr>
          <w:i/>
        </w:rPr>
        <w:t xml:space="preserve">must </w:t>
      </w:r>
      <w:r>
        <w:t>be fulfilled if a given object is to have that property. So knowledge of necessary truths is a precondition for being able to recognize resemblances between things. Since knowledge of such resemblances is the first, and the most rudimentary phase, of scientific endeavor, it is radically incoherent to suppose that there should be any scientific knowledge without knowledge of at least some necessary truths.</w:t>
      </w:r>
    </w:p>
    <w:p w14:paraId="7E002231" w14:textId="77777777" w:rsidR="009A58DB" w:rsidRDefault="00000000">
      <w:pPr>
        <w:pStyle w:val="BodyText"/>
        <w:spacing w:before="9" w:line="249" w:lineRule="auto"/>
        <w:ind w:right="361" w:firstLine="360"/>
      </w:pPr>
      <w:r>
        <w:t xml:space="preserve">W.V.O. Quine tried to provide a rigorous proof of NT. We considered this proof in Sections 5.0–5.5 of the present chapter and found it to be wanting. But notice that the very idea of trying to </w:t>
      </w:r>
      <w:r>
        <w:rPr>
          <w:i/>
        </w:rPr>
        <w:t xml:space="preserve">prove </w:t>
      </w:r>
      <w:r>
        <w:t xml:space="preserve">that contention is a self-defeating one. For there are no proofs if all truth is contingent, since proving something is showing that it </w:t>
      </w:r>
      <w:r>
        <w:rPr>
          <w:i/>
        </w:rPr>
        <w:t xml:space="preserve">must </w:t>
      </w:r>
      <w:r>
        <w:t>be the case. (More accurately, to prove conclusion C on the basis of premises P is to show it to be necessarily true that if P, then C.) Thus, to prove NN to be true is to prove it to be false. So a certain incoherence is embedded in the very idea of trying to show that there are no necessary statements.</w:t>
      </w:r>
    </w:p>
    <w:p w14:paraId="7E002232" w14:textId="77777777" w:rsidR="009A58DB" w:rsidRDefault="00000000">
      <w:pPr>
        <w:pStyle w:val="Heading1"/>
        <w:numPr>
          <w:ilvl w:val="1"/>
          <w:numId w:val="69"/>
        </w:numPr>
        <w:tabs>
          <w:tab w:val="left" w:pos="990"/>
        </w:tabs>
        <w:spacing w:before="200"/>
      </w:pPr>
      <w:r>
        <w:t>Analytic</w:t>
      </w:r>
      <w:r>
        <w:rPr>
          <w:spacing w:val="-7"/>
        </w:rPr>
        <w:t xml:space="preserve"> </w:t>
      </w:r>
      <w:r>
        <w:t>truth</w:t>
      </w:r>
      <w:r>
        <w:rPr>
          <w:spacing w:val="-4"/>
        </w:rPr>
        <w:t xml:space="preserve"> </w:t>
      </w:r>
      <w:r>
        <w:t>vs.</w:t>
      </w:r>
      <w:r>
        <w:rPr>
          <w:spacing w:val="-3"/>
        </w:rPr>
        <w:t xml:space="preserve"> </w:t>
      </w:r>
      <w:r>
        <w:t>formal</w:t>
      </w:r>
      <w:r>
        <w:rPr>
          <w:spacing w:val="-4"/>
        </w:rPr>
        <w:t xml:space="preserve"> </w:t>
      </w:r>
      <w:r>
        <w:rPr>
          <w:spacing w:val="-2"/>
        </w:rPr>
        <w:t>truth</w:t>
      </w:r>
    </w:p>
    <w:p w14:paraId="7E002233" w14:textId="77777777" w:rsidR="009A58DB" w:rsidRDefault="00000000">
      <w:pPr>
        <w:pStyle w:val="BodyText"/>
        <w:spacing w:before="139" w:line="249" w:lineRule="auto"/>
        <w:ind w:right="358"/>
      </w:pPr>
      <w:r>
        <w:t>Formal truth isn’t analytic truth. We’ll discuss this in this section, and we’ll also see what exactly it means to describe a truth as “formal.” A statement is analytically true if its negation is incoherent. “Squares have four sides” is analytic. Why? Because “squares don’t have four sides” is incoherent, and so is “anything that is literate is animate.” The reason being that it makes no sense to suppose that squares might fail to have four sides or that literate beings might fail to be animate.</w:t>
      </w:r>
    </w:p>
    <w:p w14:paraId="7E002234" w14:textId="77777777" w:rsidR="009A58DB" w:rsidRDefault="00000000">
      <w:pPr>
        <w:pStyle w:val="BodyText"/>
        <w:spacing w:before="8" w:line="249" w:lineRule="auto"/>
        <w:ind w:right="363" w:firstLine="360"/>
      </w:pPr>
      <w:r>
        <w:t>“Right now, in 2009, Barack Obama is the U.S. President” is a non-analytic truth. This is because “Barack Obama is not President in 2009,” though false, makes sense. If that sentence didn’t make sense, then in 2007 it wouldn’t have been reasonable to wonder whether Obama would be</w:t>
      </w:r>
      <w:r>
        <w:rPr>
          <w:spacing w:val="40"/>
        </w:rPr>
        <w:t xml:space="preserve"> </w:t>
      </w:r>
      <w:r>
        <w:t>President in 2009. But it was.</w:t>
      </w:r>
    </w:p>
    <w:p w14:paraId="7E002235" w14:textId="77777777" w:rsidR="009A58DB" w:rsidRDefault="00000000">
      <w:pPr>
        <w:pStyle w:val="BodyText"/>
        <w:spacing w:before="6" w:line="249" w:lineRule="auto"/>
        <w:ind w:right="362" w:firstLine="360"/>
      </w:pPr>
      <w:r>
        <w:t xml:space="preserve">Non-analytic truths are </w:t>
      </w:r>
      <w:r>
        <w:rPr>
          <w:b/>
          <w:i/>
        </w:rPr>
        <w:t>empirical</w:t>
      </w:r>
      <w:r>
        <w:rPr>
          <w:b/>
          <w:i/>
          <w:spacing w:val="-4"/>
        </w:rPr>
        <w:t xml:space="preserve"> </w:t>
      </w:r>
      <w:r>
        <w:t>truths. An empirical truth is one that can be known only through sensory observation. It is only on the basis of sense-perception that one can know that Barack Obama is currently the U.S. President.</w:t>
      </w:r>
      <w:r>
        <w:rPr>
          <w:spacing w:val="80"/>
        </w:rPr>
        <w:t xml:space="preserve"> </w:t>
      </w:r>
      <w:r>
        <w:t>That</w:t>
      </w:r>
      <w:r>
        <w:rPr>
          <w:spacing w:val="80"/>
        </w:rPr>
        <w:t xml:space="preserve"> </w:t>
      </w:r>
      <w:r>
        <w:t>is</w:t>
      </w:r>
      <w:r>
        <w:rPr>
          <w:spacing w:val="80"/>
        </w:rPr>
        <w:t xml:space="preserve"> </w:t>
      </w:r>
      <w:r>
        <w:t>why</w:t>
      </w:r>
      <w:r>
        <w:rPr>
          <w:spacing w:val="80"/>
        </w:rPr>
        <w:t xml:space="preserve"> </w:t>
      </w:r>
      <w:r>
        <w:t>“Barack</w:t>
      </w:r>
      <w:r>
        <w:rPr>
          <w:spacing w:val="80"/>
        </w:rPr>
        <w:t xml:space="preserve"> </w:t>
      </w:r>
      <w:r>
        <w:t>Obama</w:t>
      </w:r>
      <w:r>
        <w:rPr>
          <w:spacing w:val="80"/>
        </w:rPr>
        <w:t xml:space="preserve"> </w:t>
      </w:r>
      <w:r>
        <w:t>is</w:t>
      </w:r>
      <w:r>
        <w:rPr>
          <w:spacing w:val="80"/>
        </w:rPr>
        <w:t xml:space="preserve"> </w:t>
      </w:r>
      <w:r>
        <w:t>currently</w:t>
      </w:r>
      <w:r>
        <w:rPr>
          <w:spacing w:val="80"/>
        </w:rPr>
        <w:t xml:space="preserve"> </w:t>
      </w:r>
      <w:r>
        <w:t>the</w:t>
      </w:r>
      <w:r>
        <w:rPr>
          <w:spacing w:val="80"/>
        </w:rPr>
        <w:t xml:space="preserve"> </w:t>
      </w:r>
      <w:r>
        <w:t>U.S.</w:t>
      </w:r>
      <w:r>
        <w:rPr>
          <w:spacing w:val="80"/>
        </w:rPr>
        <w:t xml:space="preserve"> </w:t>
      </w:r>
      <w:r>
        <w:t>President”</w:t>
      </w:r>
    </w:p>
    <w:p w14:paraId="7E00223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37" w14:textId="77777777" w:rsidR="009A58DB" w:rsidRDefault="00000000">
      <w:pPr>
        <w:pStyle w:val="BodyText"/>
        <w:spacing w:before="60" w:line="249" w:lineRule="auto"/>
        <w:ind w:right="363"/>
      </w:pPr>
      <w:r>
        <w:lastRenderedPageBreak/>
        <w:t xml:space="preserve">expresses an empirical truth. But it is entirely through insight into its meaning, and into its </w:t>
      </w:r>
      <w:r>
        <w:rPr>
          <w:i/>
        </w:rPr>
        <w:t>entailment-relations,</w:t>
      </w:r>
      <w:r>
        <w:rPr>
          <w:i/>
          <w:spacing w:val="-3"/>
        </w:rPr>
        <w:t xml:space="preserve"> </w:t>
      </w:r>
      <w:r>
        <w:t>that one knows that nothing could be to be identical with itself; that being why that truth is analytic.</w:t>
      </w:r>
    </w:p>
    <w:p w14:paraId="7E002238" w14:textId="77777777" w:rsidR="009A58DB" w:rsidRDefault="00000000">
      <w:pPr>
        <w:spacing w:before="8" w:line="249" w:lineRule="auto"/>
        <w:ind w:left="360" w:right="360" w:firstLine="360"/>
        <w:jc w:val="both"/>
        <w:rPr>
          <w:sz w:val="30"/>
        </w:rPr>
      </w:pPr>
      <w:r>
        <w:rPr>
          <w:sz w:val="30"/>
        </w:rPr>
        <w:t xml:space="preserve">In the </w:t>
      </w:r>
      <w:r>
        <w:rPr>
          <w:i/>
          <w:sz w:val="30"/>
        </w:rPr>
        <w:t xml:space="preserve">Critique of Pure Reason, </w:t>
      </w:r>
      <w:r>
        <w:rPr>
          <w:sz w:val="30"/>
        </w:rPr>
        <w:t xml:space="preserve">Immanuel Kant (1724–1804) infamously claimed that there are non-analytic (or, as he referred to them, </w:t>
      </w:r>
      <w:r>
        <w:rPr>
          <w:i/>
          <w:sz w:val="30"/>
        </w:rPr>
        <w:t>synthetic</w:t>
      </w:r>
      <w:r>
        <w:rPr>
          <w:sz w:val="30"/>
        </w:rPr>
        <w:t xml:space="preserve">) truths that can be learned in a </w:t>
      </w:r>
      <w:r>
        <w:rPr>
          <w:i/>
          <w:sz w:val="30"/>
        </w:rPr>
        <w:t xml:space="preserve">non-observational manner. </w:t>
      </w:r>
      <w:r>
        <w:rPr>
          <w:sz w:val="30"/>
        </w:rPr>
        <w:t>He was wrong, as we’ll see in Section 9.2.</w:t>
      </w:r>
    </w:p>
    <w:p w14:paraId="7E002239" w14:textId="77777777" w:rsidR="009A58DB" w:rsidRDefault="00000000">
      <w:pPr>
        <w:pStyle w:val="Heading1"/>
        <w:numPr>
          <w:ilvl w:val="1"/>
          <w:numId w:val="69"/>
        </w:numPr>
        <w:tabs>
          <w:tab w:val="left" w:pos="990"/>
        </w:tabs>
        <w:spacing w:before="193"/>
      </w:pPr>
      <w:r>
        <w:t>Empirical</w:t>
      </w:r>
      <w:r>
        <w:rPr>
          <w:spacing w:val="-8"/>
        </w:rPr>
        <w:t xml:space="preserve"> </w:t>
      </w:r>
      <w:r>
        <w:t>vs.</w:t>
      </w:r>
      <w:r>
        <w:rPr>
          <w:spacing w:val="-8"/>
        </w:rPr>
        <w:t xml:space="preserve"> </w:t>
      </w:r>
      <w:r>
        <w:t>pseudo-empirical</w:t>
      </w:r>
      <w:r>
        <w:rPr>
          <w:spacing w:val="-7"/>
        </w:rPr>
        <w:t xml:space="preserve"> </w:t>
      </w:r>
      <w:r>
        <w:rPr>
          <w:spacing w:val="-2"/>
        </w:rPr>
        <w:t>truth</w:t>
      </w:r>
    </w:p>
    <w:p w14:paraId="7E00223A" w14:textId="77777777" w:rsidR="009A58DB" w:rsidRDefault="00000000">
      <w:pPr>
        <w:pStyle w:val="BodyText"/>
        <w:spacing w:before="139" w:line="249" w:lineRule="auto"/>
        <w:ind w:right="368"/>
      </w:pPr>
      <w:r>
        <w:t xml:space="preserve">One must distinguish genuine empirical knowledge from analytic knowledge the acquisition of which is </w:t>
      </w:r>
      <w:r>
        <w:rPr>
          <w:i/>
        </w:rPr>
        <w:t xml:space="preserve">triggered </w:t>
      </w:r>
      <w:r>
        <w:t>by empirical knowledge. Consider the principle that:</w:t>
      </w:r>
    </w:p>
    <w:p w14:paraId="7E00223B" w14:textId="77777777" w:rsidR="009A58DB" w:rsidRDefault="00000000">
      <w:pPr>
        <w:pStyle w:val="BodyText"/>
        <w:spacing w:before="109"/>
      </w:pPr>
      <w:r>
        <w:t>(D</w:t>
      </w:r>
      <w:bookmarkStart w:id="471" w:name="_bookmark471"/>
      <w:bookmarkEnd w:id="471"/>
      <w:r>
        <w:t>N</w:t>
      </w:r>
      <w:r>
        <w:rPr>
          <w:color w:val="0562C1"/>
          <w:position w:val="21"/>
          <w:u w:val="single" w:color="0562C1"/>
        </w:rPr>
        <w:t>[351]</w:t>
      </w:r>
      <w:r>
        <w:t>)</w:t>
      </w:r>
      <w:r>
        <w:rPr>
          <w:spacing w:val="-6"/>
        </w:rPr>
        <w:t xml:space="preserve"> </w:t>
      </w:r>
      <w:r>
        <w:t>if</w:t>
      </w:r>
      <w:r>
        <w:rPr>
          <w:spacing w:val="-4"/>
        </w:rPr>
        <w:t xml:space="preserve"> </w:t>
      </w:r>
      <w:r>
        <w:t>a</w:t>
      </w:r>
      <w:r>
        <w:rPr>
          <w:spacing w:val="-3"/>
        </w:rPr>
        <w:t xml:space="preserve"> </w:t>
      </w:r>
      <w:r>
        <w:t>statement</w:t>
      </w:r>
      <w:r>
        <w:rPr>
          <w:spacing w:val="-4"/>
        </w:rPr>
        <w:t xml:space="preserve"> </w:t>
      </w:r>
      <w:r>
        <w:t>is</w:t>
      </w:r>
      <w:r>
        <w:rPr>
          <w:spacing w:val="-3"/>
        </w:rPr>
        <w:t xml:space="preserve"> </w:t>
      </w:r>
      <w:r>
        <w:t>false,</w:t>
      </w:r>
      <w:r>
        <w:rPr>
          <w:spacing w:val="-3"/>
        </w:rPr>
        <w:t xml:space="preserve"> </w:t>
      </w:r>
      <w:r>
        <w:t>then</w:t>
      </w:r>
      <w:r>
        <w:rPr>
          <w:spacing w:val="-2"/>
        </w:rPr>
        <w:t xml:space="preserve"> </w:t>
      </w:r>
      <w:r>
        <w:t>the</w:t>
      </w:r>
      <w:r>
        <w:rPr>
          <w:spacing w:val="-4"/>
        </w:rPr>
        <w:t xml:space="preserve"> </w:t>
      </w:r>
      <w:r>
        <w:t>negation</w:t>
      </w:r>
      <w:r>
        <w:rPr>
          <w:spacing w:val="-2"/>
        </w:rPr>
        <w:t xml:space="preserve"> </w:t>
      </w:r>
      <w:r>
        <w:t>of</w:t>
      </w:r>
      <w:r>
        <w:rPr>
          <w:spacing w:val="-4"/>
        </w:rPr>
        <w:t xml:space="preserve"> </w:t>
      </w:r>
      <w:r>
        <w:t>its</w:t>
      </w:r>
      <w:r>
        <w:rPr>
          <w:spacing w:val="-3"/>
        </w:rPr>
        <w:t xml:space="preserve"> </w:t>
      </w:r>
      <w:r>
        <w:t>negation</w:t>
      </w:r>
      <w:r>
        <w:rPr>
          <w:spacing w:val="-3"/>
        </w:rPr>
        <w:t xml:space="preserve"> </w:t>
      </w:r>
      <w:r>
        <w:t>is</w:t>
      </w:r>
      <w:r>
        <w:rPr>
          <w:spacing w:val="-3"/>
        </w:rPr>
        <w:t xml:space="preserve"> </w:t>
      </w:r>
      <w:r>
        <w:rPr>
          <w:spacing w:val="-2"/>
        </w:rPr>
        <w:t>false.</w:t>
      </w:r>
    </w:p>
    <w:p w14:paraId="7E00223C" w14:textId="77777777" w:rsidR="009A58DB" w:rsidRDefault="00000000">
      <w:pPr>
        <w:pStyle w:val="BodyText"/>
        <w:spacing w:before="120" w:line="249" w:lineRule="auto"/>
        <w:ind w:right="368"/>
      </w:pPr>
      <w:r>
        <w:t>For example, if Smith is in Richmond, then it is false that Smith is not in Richmond. DN is one of the cornerstones of logic.</w:t>
      </w:r>
    </w:p>
    <w:p w14:paraId="7E00223D" w14:textId="77777777" w:rsidR="009A58DB" w:rsidRDefault="00000000">
      <w:pPr>
        <w:pStyle w:val="BodyText"/>
        <w:spacing w:before="2" w:line="249" w:lineRule="auto"/>
        <w:ind w:right="361" w:firstLine="360"/>
        <w:rPr>
          <w:position w:val="21"/>
        </w:rPr>
      </w:pPr>
      <w:r>
        <w:t xml:space="preserve">Learning DN may involve hearing or reading, and therefore seeing, some affirmation of it. But you don’t learn DN empirically—that is, it isn’t through sensory observation that you learn it. But, if you know DN, it is because you see that, given its meaning, it would make no sense to deny it. Sense-perceptions may well have been needed to </w:t>
      </w:r>
      <w:r>
        <w:rPr>
          <w:i/>
        </w:rPr>
        <w:t xml:space="preserve">initiate </w:t>
      </w:r>
      <w:r>
        <w:t xml:space="preserve">or </w:t>
      </w:r>
      <w:r>
        <w:rPr>
          <w:i/>
        </w:rPr>
        <w:t xml:space="preserve">trigger </w:t>
      </w:r>
      <w:r>
        <w:t>the reflections</w:t>
      </w:r>
      <w:r>
        <w:rPr>
          <w:spacing w:val="40"/>
        </w:rPr>
        <w:t xml:space="preserve"> </w:t>
      </w:r>
      <w:r>
        <w:t xml:space="preserve">on the basis of which you learned DN. But such sense-perceptions were themselves no part of that discovery process. They were part of the </w:t>
      </w:r>
      <w:r>
        <w:rPr>
          <w:i/>
        </w:rPr>
        <w:t>pre</w:t>
      </w:r>
      <w:r>
        <w:t xml:space="preserve">-discovery process—much as turning the ignition in a car is part of the </w:t>
      </w:r>
      <w:r>
        <w:rPr>
          <w:i/>
        </w:rPr>
        <w:t>pre</w:t>
      </w:r>
      <w:r>
        <w:t>-journey, and not the journey proper</w:t>
      </w:r>
      <w:bookmarkStart w:id="472" w:name="_bookmark472"/>
      <w:bookmarkEnd w:id="472"/>
      <w:r>
        <w:t>.</w:t>
      </w:r>
      <w:r>
        <w:rPr>
          <w:color w:val="0562C1"/>
          <w:position w:val="21"/>
          <w:u w:val="single" w:color="0562C1"/>
        </w:rPr>
        <w:t>[352]</w:t>
      </w:r>
    </w:p>
    <w:p w14:paraId="7E00223E" w14:textId="77777777" w:rsidR="009A58DB" w:rsidRDefault="00000000">
      <w:pPr>
        <w:pStyle w:val="BodyText"/>
        <w:spacing w:before="12" w:line="249" w:lineRule="auto"/>
        <w:ind w:right="359" w:firstLine="360"/>
      </w:pPr>
      <w:r>
        <w:t xml:space="preserve">Given a true statement S, there is a simple test for determining whether it is empirical or analytic. If, in order to </w:t>
      </w:r>
      <w:r>
        <w:rPr>
          <w:i/>
        </w:rPr>
        <w:t xml:space="preserve">justify </w:t>
      </w:r>
      <w:r>
        <w:t>acceptance of S, you must cite empirical data, it’s empirical. To justify your acceptance of the statement that Smith has gained 20 pounds in the last year, you must cite empirical data (e.g., sense-perceptions that you have had of Smith or of affirmations on the part of reliable sources as to Smith’s weight situation). But your acceptance of DN can be justified only by insight into its meaning; it cannot possibly be justified on observational grounds. Of course, one might justify one’s acceptant</w:t>
      </w:r>
      <w:r>
        <w:rPr>
          <w:spacing w:val="-2"/>
        </w:rPr>
        <w:t xml:space="preserve"> </w:t>
      </w:r>
      <w:r>
        <w:t>of</w:t>
      </w:r>
      <w:r>
        <w:rPr>
          <w:spacing w:val="-1"/>
        </w:rPr>
        <w:t xml:space="preserve"> </w:t>
      </w:r>
      <w:r>
        <w:t>DN</w:t>
      </w:r>
      <w:r>
        <w:rPr>
          <w:spacing w:val="-1"/>
        </w:rPr>
        <w:t xml:space="preserve"> </w:t>
      </w:r>
      <w:r>
        <w:t>by</w:t>
      </w:r>
      <w:r>
        <w:rPr>
          <w:spacing w:val="-1"/>
        </w:rPr>
        <w:t xml:space="preserve"> </w:t>
      </w:r>
      <w:r>
        <w:t>citing</w:t>
      </w:r>
      <w:r>
        <w:rPr>
          <w:spacing w:val="-1"/>
        </w:rPr>
        <w:t xml:space="preserve"> </w:t>
      </w:r>
      <w:r>
        <w:t>the</w:t>
      </w:r>
      <w:r>
        <w:rPr>
          <w:spacing w:val="-1"/>
        </w:rPr>
        <w:t xml:space="preserve"> </w:t>
      </w:r>
      <w:r>
        <w:t>fact</w:t>
      </w:r>
      <w:r>
        <w:rPr>
          <w:spacing w:val="-2"/>
        </w:rPr>
        <w:t xml:space="preserve"> </w:t>
      </w:r>
      <w:r>
        <w:t>that</w:t>
      </w:r>
      <w:r>
        <w:rPr>
          <w:spacing w:val="-1"/>
        </w:rPr>
        <w:t xml:space="preserve"> </w:t>
      </w:r>
      <w:r>
        <w:t>one</w:t>
      </w:r>
      <w:r>
        <w:rPr>
          <w:spacing w:val="-1"/>
        </w:rPr>
        <w:t xml:space="preserve"> </w:t>
      </w:r>
      <w:r>
        <w:t>has</w:t>
      </w:r>
      <w:r>
        <w:rPr>
          <w:spacing w:val="-1"/>
        </w:rPr>
        <w:t xml:space="preserve"> </w:t>
      </w:r>
      <w:r>
        <w:t>heard</w:t>
      </w:r>
      <w:r>
        <w:rPr>
          <w:spacing w:val="-1"/>
        </w:rPr>
        <w:t xml:space="preserve"> </w:t>
      </w:r>
      <w:r>
        <w:t>some</w:t>
      </w:r>
      <w:r>
        <w:rPr>
          <w:spacing w:val="-1"/>
        </w:rPr>
        <w:t xml:space="preserve"> </w:t>
      </w:r>
      <w:r>
        <w:t>authority</w:t>
      </w:r>
      <w:r>
        <w:rPr>
          <w:spacing w:val="-1"/>
        </w:rPr>
        <w:t xml:space="preserve"> </w:t>
      </w:r>
      <w:r>
        <w:t>affirm</w:t>
      </w:r>
      <w:r>
        <w:rPr>
          <w:spacing w:val="-1"/>
        </w:rPr>
        <w:t xml:space="preserve"> </w:t>
      </w:r>
      <w:r>
        <w:t>it; and,</w:t>
      </w:r>
      <w:r>
        <w:rPr>
          <w:spacing w:val="21"/>
        </w:rPr>
        <w:t xml:space="preserve"> </w:t>
      </w:r>
      <w:r>
        <w:t>of</w:t>
      </w:r>
      <w:r>
        <w:rPr>
          <w:spacing w:val="21"/>
        </w:rPr>
        <w:t xml:space="preserve"> </w:t>
      </w:r>
      <w:r>
        <w:t>course,</w:t>
      </w:r>
      <w:r>
        <w:rPr>
          <w:spacing w:val="21"/>
        </w:rPr>
        <w:t xml:space="preserve"> </w:t>
      </w:r>
      <w:r>
        <w:t>one’s</w:t>
      </w:r>
      <w:r>
        <w:rPr>
          <w:spacing w:val="21"/>
        </w:rPr>
        <w:t xml:space="preserve"> </w:t>
      </w:r>
      <w:r>
        <w:t>knowledge</w:t>
      </w:r>
      <w:r>
        <w:rPr>
          <w:spacing w:val="21"/>
        </w:rPr>
        <w:t xml:space="preserve"> </w:t>
      </w:r>
      <w:r>
        <w:t>of</w:t>
      </w:r>
      <w:r>
        <w:rPr>
          <w:spacing w:val="21"/>
        </w:rPr>
        <w:t xml:space="preserve"> </w:t>
      </w:r>
      <w:r>
        <w:t>that</w:t>
      </w:r>
      <w:r>
        <w:rPr>
          <w:spacing w:val="21"/>
        </w:rPr>
        <w:t xml:space="preserve"> </w:t>
      </w:r>
      <w:r>
        <w:t>fact</w:t>
      </w:r>
      <w:r>
        <w:rPr>
          <w:spacing w:val="21"/>
        </w:rPr>
        <w:t xml:space="preserve"> </w:t>
      </w:r>
      <w:r>
        <w:t>is</w:t>
      </w:r>
      <w:r>
        <w:rPr>
          <w:spacing w:val="21"/>
        </w:rPr>
        <w:t xml:space="preserve"> </w:t>
      </w:r>
      <w:r>
        <w:t>observation-based.</w:t>
      </w:r>
      <w:r>
        <w:rPr>
          <w:spacing w:val="21"/>
        </w:rPr>
        <w:t xml:space="preserve"> </w:t>
      </w:r>
      <w:r>
        <w:t>But</w:t>
      </w:r>
      <w:r>
        <w:rPr>
          <w:spacing w:val="21"/>
        </w:rPr>
        <w:t xml:space="preserve"> </w:t>
      </w:r>
      <w:r>
        <w:t>those</w:t>
      </w:r>
    </w:p>
    <w:p w14:paraId="7E00223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40" w14:textId="77777777" w:rsidR="009A58DB" w:rsidRDefault="00000000">
      <w:pPr>
        <w:pStyle w:val="BodyText"/>
        <w:spacing w:before="70" w:line="249" w:lineRule="auto"/>
        <w:ind w:right="359"/>
      </w:pPr>
      <w:r>
        <w:lastRenderedPageBreak/>
        <w:t xml:space="preserve">observations justify DN </w:t>
      </w:r>
      <w:r>
        <w:rPr>
          <w:i/>
        </w:rPr>
        <w:t xml:space="preserve">only </w:t>
      </w:r>
      <w:r>
        <w:t>to the extent that the authority figures in question understand why, for reasons that lie entirely in DN’s content and having nothing to with anything one perceives, that statement must be true. Testimony-based</w:t>
      </w:r>
      <w:r>
        <w:rPr>
          <w:spacing w:val="-2"/>
        </w:rPr>
        <w:t xml:space="preserve"> </w:t>
      </w:r>
      <w:r>
        <w:t>knowledge</w:t>
      </w:r>
      <w:r>
        <w:rPr>
          <w:spacing w:val="-2"/>
        </w:rPr>
        <w:t xml:space="preserve"> </w:t>
      </w:r>
      <w:r>
        <w:t>of</w:t>
      </w:r>
      <w:r>
        <w:rPr>
          <w:spacing w:val="-2"/>
        </w:rPr>
        <w:t xml:space="preserve"> </w:t>
      </w:r>
      <w:r>
        <w:t>analytic</w:t>
      </w:r>
      <w:r>
        <w:rPr>
          <w:spacing w:val="-2"/>
        </w:rPr>
        <w:t xml:space="preserve"> </w:t>
      </w:r>
      <w:r>
        <w:t>truths,</w:t>
      </w:r>
      <w:r>
        <w:rPr>
          <w:spacing w:val="-2"/>
        </w:rPr>
        <w:t xml:space="preserve"> </w:t>
      </w:r>
      <w:r>
        <w:t>if</w:t>
      </w:r>
      <w:r>
        <w:rPr>
          <w:spacing w:val="-2"/>
        </w:rPr>
        <w:t xml:space="preserve"> </w:t>
      </w:r>
      <w:r>
        <w:t>it</w:t>
      </w:r>
      <w:r>
        <w:rPr>
          <w:spacing w:val="-2"/>
        </w:rPr>
        <w:t xml:space="preserve"> </w:t>
      </w:r>
      <w:r>
        <w:t>exists,</w:t>
      </w:r>
      <w:r>
        <w:rPr>
          <w:spacing w:val="-2"/>
        </w:rPr>
        <w:t xml:space="preserve"> </w:t>
      </w:r>
      <w:r>
        <w:t>is</w:t>
      </w:r>
      <w:r>
        <w:rPr>
          <w:spacing w:val="-2"/>
        </w:rPr>
        <w:t xml:space="preserve"> </w:t>
      </w:r>
      <w:r>
        <w:t>parasitic</w:t>
      </w:r>
      <w:r>
        <w:rPr>
          <w:spacing w:val="-2"/>
        </w:rPr>
        <w:t xml:space="preserve"> </w:t>
      </w:r>
      <w:r>
        <w:t>on</w:t>
      </w:r>
      <w:r>
        <w:rPr>
          <w:spacing w:val="-2"/>
        </w:rPr>
        <w:t xml:space="preserve"> </w:t>
      </w:r>
      <w:r>
        <w:t>non-observational knowledge of them.</w:t>
      </w:r>
    </w:p>
    <w:p w14:paraId="7E002241" w14:textId="77777777" w:rsidR="009A58DB" w:rsidRDefault="00000000">
      <w:pPr>
        <w:pStyle w:val="BodyText"/>
        <w:spacing w:before="1" w:line="249" w:lineRule="auto"/>
        <w:ind w:right="361" w:firstLine="360"/>
      </w:pPr>
      <w:r>
        <w:t>And it’s doubtful whether such knowledge really exists. If I don’t understand why DN is true, and I accept it only because somebody I trust does</w:t>
      </w:r>
      <w:r>
        <w:rPr>
          <w:spacing w:val="-3"/>
        </w:rPr>
        <w:t xml:space="preserve"> </w:t>
      </w:r>
      <w:r>
        <w:t>so,</w:t>
      </w:r>
      <w:r>
        <w:rPr>
          <w:spacing w:val="-2"/>
        </w:rPr>
        <w:t xml:space="preserve"> </w:t>
      </w:r>
      <w:r>
        <w:t>then</w:t>
      </w:r>
      <w:r>
        <w:rPr>
          <w:spacing w:val="-2"/>
        </w:rPr>
        <w:t xml:space="preserve"> </w:t>
      </w:r>
      <w:r>
        <w:t>I</w:t>
      </w:r>
      <w:r>
        <w:rPr>
          <w:spacing w:val="-3"/>
        </w:rPr>
        <w:t xml:space="preserve"> </w:t>
      </w:r>
      <w:r>
        <w:t>don’t</w:t>
      </w:r>
      <w:r>
        <w:rPr>
          <w:spacing w:val="-3"/>
        </w:rPr>
        <w:t xml:space="preserve"> </w:t>
      </w:r>
      <w:r>
        <w:t>really</w:t>
      </w:r>
      <w:r>
        <w:rPr>
          <w:spacing w:val="-2"/>
        </w:rPr>
        <w:t xml:space="preserve"> </w:t>
      </w:r>
      <w:r>
        <w:t>know</w:t>
      </w:r>
      <w:r>
        <w:rPr>
          <w:spacing w:val="-3"/>
        </w:rPr>
        <w:t xml:space="preserve"> </w:t>
      </w:r>
      <w:r>
        <w:t>it.</w:t>
      </w:r>
      <w:r>
        <w:rPr>
          <w:spacing w:val="-2"/>
        </w:rPr>
        <w:t xml:space="preserve"> </w:t>
      </w:r>
      <w:r>
        <w:t>What</w:t>
      </w:r>
      <w:r>
        <w:rPr>
          <w:spacing w:val="-3"/>
        </w:rPr>
        <w:t xml:space="preserve"> </w:t>
      </w:r>
      <w:r>
        <w:rPr>
          <w:i/>
        </w:rPr>
        <w:t>I</w:t>
      </w:r>
      <w:r>
        <w:rPr>
          <w:i/>
          <w:spacing w:val="-3"/>
        </w:rPr>
        <w:t xml:space="preserve"> </w:t>
      </w:r>
      <w:r>
        <w:t>accept</w:t>
      </w:r>
      <w:r>
        <w:rPr>
          <w:spacing w:val="-3"/>
        </w:rPr>
        <w:t xml:space="preserve"> </w:t>
      </w:r>
      <w:r>
        <w:t>is</w:t>
      </w:r>
      <w:r>
        <w:rPr>
          <w:spacing w:val="-3"/>
        </w:rPr>
        <w:t xml:space="preserve"> </w:t>
      </w:r>
      <w:r>
        <w:t>not,</w:t>
      </w:r>
      <w:r>
        <w:rPr>
          <w:spacing w:val="-2"/>
        </w:rPr>
        <w:t xml:space="preserve"> </w:t>
      </w:r>
      <w:r>
        <w:t>it</w:t>
      </w:r>
      <w:r>
        <w:rPr>
          <w:spacing w:val="-3"/>
        </w:rPr>
        <w:t xml:space="preserve"> </w:t>
      </w:r>
      <w:r>
        <w:t>seems</w:t>
      </w:r>
      <w:r>
        <w:rPr>
          <w:spacing w:val="-3"/>
        </w:rPr>
        <w:t xml:space="preserve"> </w:t>
      </w:r>
      <w:r>
        <w:t>to</w:t>
      </w:r>
      <w:r>
        <w:rPr>
          <w:spacing w:val="-2"/>
        </w:rPr>
        <w:t xml:space="preserve"> </w:t>
      </w:r>
      <w:r>
        <w:t>me,</w:t>
      </w:r>
      <w:r>
        <w:rPr>
          <w:spacing w:val="-2"/>
        </w:rPr>
        <w:t xml:space="preserve"> </w:t>
      </w:r>
      <w:r>
        <w:t>quite what the authority figure in question accepts. That person really accepts DN. But what I accept isn’t DN, and is instead some statement along the lines of: “since so and so is authoritative, and since so and so affirmed DN, that statement is probably right”—which, unlike DN itself, is empirical.</w:t>
      </w:r>
    </w:p>
    <w:p w14:paraId="7E002242" w14:textId="77777777" w:rsidR="009A58DB" w:rsidRDefault="00000000">
      <w:pPr>
        <w:pStyle w:val="BodyText"/>
        <w:spacing w:before="8" w:line="249" w:lineRule="auto"/>
        <w:ind w:right="357" w:firstLine="360"/>
      </w:pPr>
      <w:r>
        <w:t xml:space="preserve">Sense-perception adds to one’s knowledge in two different ways. In some cases, it does so by </w:t>
      </w:r>
      <w:r>
        <w:rPr>
          <w:i/>
        </w:rPr>
        <w:t>transmitting</w:t>
      </w:r>
      <w:r>
        <w:rPr>
          <w:i/>
          <w:spacing w:val="-3"/>
        </w:rPr>
        <w:t xml:space="preserve"> </w:t>
      </w:r>
      <w:r>
        <w:t xml:space="preserve">information about the external world. If I see Jim playing soccer, my visual perception adds to my knowledge by transmitting to me the correct message that Jim is playing soccer. In other cases, sense-perception merely </w:t>
      </w:r>
      <w:r>
        <w:rPr>
          <w:i/>
        </w:rPr>
        <w:t xml:space="preserve">activates </w:t>
      </w:r>
      <w:r>
        <w:t xml:space="preserve">some purely ratiocinative process. The ratiocination-activating role of sense-perceptions must be distinguished from its information-transmitting role. </w:t>
      </w:r>
      <w:r>
        <w:rPr>
          <w:b/>
        </w:rPr>
        <w:t xml:space="preserve">Empiricism, </w:t>
      </w:r>
      <w:r>
        <w:t>the doctrine that all knowledge is derived from the senses, is based on a failure to make this distinction. See Chapter 13.</w:t>
      </w:r>
    </w:p>
    <w:p w14:paraId="7E002243" w14:textId="77777777" w:rsidR="009A58DB" w:rsidRDefault="00000000">
      <w:pPr>
        <w:pStyle w:val="Heading1"/>
        <w:numPr>
          <w:ilvl w:val="1"/>
          <w:numId w:val="69"/>
        </w:numPr>
        <w:tabs>
          <w:tab w:val="left" w:pos="810"/>
          <w:tab w:val="left" w:pos="1067"/>
        </w:tabs>
        <w:spacing w:before="199" w:line="244" w:lineRule="auto"/>
        <w:ind w:left="810" w:right="367" w:hanging="450"/>
        <w:jc w:val="both"/>
      </w:pPr>
      <w:r>
        <w:t xml:space="preserve">Analytic knowledge of principles vs. empirical knowledge of the fact that certain sentences </w:t>
      </w:r>
      <w:r>
        <w:rPr>
          <w:i/>
        </w:rPr>
        <w:t xml:space="preserve">express </w:t>
      </w:r>
      <w:r>
        <w:t>those principles</w:t>
      </w:r>
    </w:p>
    <w:p w14:paraId="7E002244" w14:textId="77777777" w:rsidR="009A58DB" w:rsidRDefault="00000000">
      <w:pPr>
        <w:pStyle w:val="BodyText"/>
        <w:spacing w:before="135" w:line="249" w:lineRule="auto"/>
        <w:ind w:right="359"/>
      </w:pPr>
      <w:r>
        <w:t xml:space="preserve">It’s an empirical fact that the </w:t>
      </w:r>
      <w:r>
        <w:rPr>
          <w:i/>
        </w:rPr>
        <w:t xml:space="preserve">sentence </w:t>
      </w:r>
      <w:r>
        <w:t>“squares have four sides” means what it does. Those sounds could mean anything. They could mean that squares don’t have four sides or that everybody owns a Rolls Royce. A brilliant extraterrestrial could reasonably wonder what that sentence means. But such</w:t>
      </w:r>
      <w:r>
        <w:rPr>
          <w:spacing w:val="40"/>
        </w:rPr>
        <w:t xml:space="preserve"> </w:t>
      </w:r>
      <w:r>
        <w:t xml:space="preserve">a being could </w:t>
      </w:r>
      <w:r>
        <w:rPr>
          <w:i/>
        </w:rPr>
        <w:t xml:space="preserve">not </w:t>
      </w:r>
      <w:r>
        <w:t xml:space="preserve">reasonably wonder whether squares have four sides. Thus, it’s an </w:t>
      </w:r>
      <w:r>
        <w:rPr>
          <w:i/>
        </w:rPr>
        <w:t xml:space="preserve">empirical </w:t>
      </w:r>
      <w:r>
        <w:t xml:space="preserve">truth that the </w:t>
      </w:r>
      <w:r>
        <w:rPr>
          <w:i/>
        </w:rPr>
        <w:t xml:space="preserve">sentence </w:t>
      </w:r>
      <w:r>
        <w:t>“squares have four sides” is to the effect that squares have four sides. But it’s an analytic, non-empirical fact</w:t>
      </w:r>
      <w:r>
        <w:rPr>
          <w:spacing w:val="40"/>
        </w:rPr>
        <w:t xml:space="preserve"> </w:t>
      </w:r>
      <w:r>
        <w:t>that squares have four sides.</w:t>
      </w:r>
    </w:p>
    <w:p w14:paraId="7E002245" w14:textId="77777777" w:rsidR="009A58DB" w:rsidRDefault="00000000">
      <w:pPr>
        <w:pStyle w:val="Heading1"/>
        <w:numPr>
          <w:ilvl w:val="1"/>
          <w:numId w:val="69"/>
        </w:numPr>
        <w:tabs>
          <w:tab w:val="left" w:pos="990"/>
        </w:tabs>
        <w:spacing w:before="212"/>
      </w:pPr>
      <w:r>
        <w:t>Analyticity</w:t>
      </w:r>
      <w:r>
        <w:rPr>
          <w:spacing w:val="-5"/>
        </w:rPr>
        <w:t xml:space="preserve"> </w:t>
      </w:r>
      <w:r>
        <w:t>vs.</w:t>
      </w:r>
      <w:r>
        <w:rPr>
          <w:spacing w:val="-4"/>
        </w:rPr>
        <w:t xml:space="preserve"> </w:t>
      </w:r>
      <w:r>
        <w:rPr>
          <w:spacing w:val="-2"/>
        </w:rPr>
        <w:t>triviality</w:t>
      </w:r>
    </w:p>
    <w:p w14:paraId="7E002246" w14:textId="77777777" w:rsidR="009A58DB" w:rsidRDefault="009A58DB">
      <w:pPr>
        <w:pStyle w:val="Heading1"/>
        <w:sectPr w:rsidR="009A58DB">
          <w:pgSz w:w="12240" w:h="15840"/>
          <w:pgMar w:top="1380" w:right="1080" w:bottom="280" w:left="1080" w:header="720" w:footer="720" w:gutter="0"/>
          <w:cols w:space="720"/>
        </w:sectPr>
      </w:pPr>
    </w:p>
    <w:p w14:paraId="7E002247" w14:textId="77777777" w:rsidR="009A58DB" w:rsidRDefault="00000000">
      <w:pPr>
        <w:pStyle w:val="BodyText"/>
        <w:spacing w:before="65" w:line="249" w:lineRule="auto"/>
        <w:ind w:right="359"/>
      </w:pPr>
      <w:r>
        <w:lastRenderedPageBreak/>
        <w:t xml:space="preserve">The concept of analytic truth is typically </w:t>
      </w:r>
      <w:r>
        <w:rPr>
          <w:i/>
        </w:rPr>
        <w:t>illustrated</w:t>
      </w:r>
      <w:r>
        <w:rPr>
          <w:i/>
          <w:spacing w:val="-5"/>
        </w:rPr>
        <w:t xml:space="preserve"> </w:t>
      </w:r>
      <w:r>
        <w:t xml:space="preserve">in connection with trivial statements (e.g., “any given thing is identical with itself”). But there are </w:t>
      </w:r>
      <w:r>
        <w:rPr>
          <w:b/>
          <w:i/>
        </w:rPr>
        <w:t xml:space="preserve">non-trivial </w:t>
      </w:r>
      <w:r>
        <w:t>analytic truths. Here are some examples:</w:t>
      </w:r>
    </w:p>
    <w:p w14:paraId="7E002248" w14:textId="77777777" w:rsidR="009A58DB" w:rsidRDefault="00000000">
      <w:pPr>
        <w:pStyle w:val="BodyText"/>
        <w:spacing w:before="108" w:line="249" w:lineRule="auto"/>
        <w:ind w:right="359"/>
      </w:pPr>
      <w:r>
        <w:t>* Given only that an institution is flourishing, it cannot be inferred that the individuals composing it are flourishing; and given that the individuals composing an institution are flourishing, it cannot be inferred that the institution itself is flourishing.</w:t>
      </w:r>
    </w:p>
    <w:p w14:paraId="7E002249" w14:textId="77777777" w:rsidR="009A58DB" w:rsidRDefault="00000000">
      <w:pPr>
        <w:pStyle w:val="BodyText"/>
        <w:spacing w:before="5" w:line="249" w:lineRule="auto"/>
        <w:ind w:right="1116"/>
      </w:pPr>
      <w:r>
        <w:t>*No finite set can be put into a one-one correspondence with a proper subset of itself.</w:t>
      </w:r>
    </w:p>
    <w:p w14:paraId="7E00224A" w14:textId="77777777" w:rsidR="009A58DB" w:rsidRDefault="00000000">
      <w:pPr>
        <w:pStyle w:val="BodyText"/>
        <w:spacing w:before="3" w:line="249" w:lineRule="auto"/>
        <w:ind w:right="1111"/>
      </w:pPr>
      <w:r>
        <w:t>*Any infinite set can be put into a one-one correspondence with a proper subset of itself. *Anything sentient is, at any given point, unaware of at least some of its mental states.</w:t>
      </w:r>
    </w:p>
    <w:p w14:paraId="7E00224B" w14:textId="77777777" w:rsidR="009A58DB" w:rsidRDefault="00000000">
      <w:pPr>
        <w:pStyle w:val="BodyText"/>
        <w:spacing w:before="3"/>
      </w:pPr>
      <w:r>
        <w:t>*There</w:t>
      </w:r>
      <w:r>
        <w:rPr>
          <w:spacing w:val="-6"/>
        </w:rPr>
        <w:t xml:space="preserve"> </w:t>
      </w:r>
      <w:r>
        <w:t>are</w:t>
      </w:r>
      <w:r>
        <w:rPr>
          <w:spacing w:val="-4"/>
        </w:rPr>
        <w:t xml:space="preserve"> </w:t>
      </w:r>
      <w:r>
        <w:t>cases</w:t>
      </w:r>
      <w:r>
        <w:rPr>
          <w:spacing w:val="-3"/>
        </w:rPr>
        <w:t xml:space="preserve"> </w:t>
      </w:r>
      <w:r>
        <w:t>of</w:t>
      </w:r>
      <w:r>
        <w:rPr>
          <w:spacing w:val="-4"/>
        </w:rPr>
        <w:t xml:space="preserve"> </w:t>
      </w:r>
      <w:r>
        <w:t>justified</w:t>
      </w:r>
      <w:r>
        <w:rPr>
          <w:spacing w:val="-3"/>
        </w:rPr>
        <w:t xml:space="preserve"> </w:t>
      </w:r>
      <w:r>
        <w:t>true</w:t>
      </w:r>
      <w:r>
        <w:rPr>
          <w:spacing w:val="-3"/>
        </w:rPr>
        <w:t xml:space="preserve"> </w:t>
      </w:r>
      <w:r>
        <w:t>belief</w:t>
      </w:r>
      <w:r>
        <w:rPr>
          <w:spacing w:val="-4"/>
        </w:rPr>
        <w:t xml:space="preserve"> </w:t>
      </w:r>
      <w:r>
        <w:t>that</w:t>
      </w:r>
      <w:r>
        <w:rPr>
          <w:spacing w:val="-3"/>
        </w:rPr>
        <w:t xml:space="preserve"> </w:t>
      </w:r>
      <w:r>
        <w:t>are</w:t>
      </w:r>
      <w:r>
        <w:rPr>
          <w:spacing w:val="-4"/>
        </w:rPr>
        <w:t xml:space="preserve"> </w:t>
      </w:r>
      <w:r>
        <w:t>not</w:t>
      </w:r>
      <w:r>
        <w:rPr>
          <w:spacing w:val="-3"/>
        </w:rPr>
        <w:t xml:space="preserve"> </w:t>
      </w:r>
      <w:r>
        <w:rPr>
          <w:spacing w:val="-2"/>
        </w:rPr>
        <w:t>knowledge.</w:t>
      </w:r>
    </w:p>
    <w:p w14:paraId="7E00224C" w14:textId="77777777" w:rsidR="009A58DB" w:rsidRDefault="00000000">
      <w:pPr>
        <w:pStyle w:val="BodyText"/>
        <w:spacing w:before="15"/>
      </w:pPr>
      <w:r>
        <w:t>*There</w:t>
      </w:r>
      <w:r>
        <w:rPr>
          <w:spacing w:val="-6"/>
        </w:rPr>
        <w:t xml:space="preserve"> </w:t>
      </w:r>
      <w:r>
        <w:t>are</w:t>
      </w:r>
      <w:r>
        <w:rPr>
          <w:spacing w:val="-4"/>
        </w:rPr>
        <w:t xml:space="preserve"> </w:t>
      </w:r>
      <w:r>
        <w:t>continuous</w:t>
      </w:r>
      <w:r>
        <w:rPr>
          <w:spacing w:val="-4"/>
        </w:rPr>
        <w:t xml:space="preserve"> </w:t>
      </w:r>
      <w:r>
        <w:t>functions</w:t>
      </w:r>
      <w:r>
        <w:rPr>
          <w:spacing w:val="-4"/>
        </w:rPr>
        <w:t xml:space="preserve"> </w:t>
      </w:r>
      <w:r>
        <w:t>that</w:t>
      </w:r>
      <w:r>
        <w:rPr>
          <w:spacing w:val="-4"/>
        </w:rPr>
        <w:t xml:space="preserve"> </w:t>
      </w:r>
      <w:r>
        <w:t>cannot</w:t>
      </w:r>
      <w:r>
        <w:rPr>
          <w:spacing w:val="-4"/>
        </w:rPr>
        <w:t xml:space="preserve"> </w:t>
      </w:r>
      <w:r>
        <w:t>be</w:t>
      </w:r>
      <w:r>
        <w:rPr>
          <w:spacing w:val="-4"/>
        </w:rPr>
        <w:t xml:space="preserve"> </w:t>
      </w:r>
      <w:r>
        <w:t>differentiated</w:t>
      </w:r>
      <w:r>
        <w:rPr>
          <w:spacing w:val="-3"/>
        </w:rPr>
        <w:t xml:space="preserve"> </w:t>
      </w:r>
      <w:r>
        <w:t>at</w:t>
      </w:r>
      <w:r>
        <w:rPr>
          <w:spacing w:val="-4"/>
        </w:rPr>
        <w:t xml:space="preserve"> </w:t>
      </w:r>
      <w:r>
        <w:t>any</w:t>
      </w:r>
      <w:r>
        <w:rPr>
          <w:spacing w:val="-2"/>
        </w:rPr>
        <w:t xml:space="preserve"> point.</w:t>
      </w:r>
    </w:p>
    <w:p w14:paraId="7E00224D" w14:textId="77777777" w:rsidR="009A58DB" w:rsidRDefault="00000000">
      <w:pPr>
        <w:pStyle w:val="BodyText"/>
        <w:spacing w:before="15" w:line="249" w:lineRule="auto"/>
        <w:ind w:right="359"/>
      </w:pPr>
      <w:r>
        <w:t>*Two objects that cannot enter into causal relations with each other cannot have spatial or temporal positions relative to each other.</w:t>
      </w:r>
    </w:p>
    <w:p w14:paraId="7E00224E" w14:textId="77777777" w:rsidR="009A58DB" w:rsidRDefault="00000000">
      <w:pPr>
        <w:pStyle w:val="BodyText"/>
        <w:spacing w:before="93" w:line="249" w:lineRule="auto"/>
        <w:ind w:right="367" w:firstLine="360"/>
      </w:pPr>
      <w:r>
        <w:t>Also, it’s an analytic truth, and also a non-trivial one, that there are non-trivial analytic truths. We saw this in Chapters 1 and 7.</w:t>
      </w:r>
    </w:p>
    <w:p w14:paraId="7E00224F" w14:textId="77777777" w:rsidR="009A58DB" w:rsidRDefault="00000000">
      <w:pPr>
        <w:pStyle w:val="Heading1"/>
        <w:numPr>
          <w:ilvl w:val="1"/>
          <w:numId w:val="69"/>
        </w:numPr>
        <w:tabs>
          <w:tab w:val="left" w:pos="1017"/>
        </w:tabs>
        <w:spacing w:before="205" w:line="244" w:lineRule="auto"/>
        <w:ind w:left="360" w:right="358" w:firstLine="0"/>
        <w:jc w:val="both"/>
      </w:pPr>
      <w:r>
        <w:t>No synthetic non-empirical truths: an outline of an argument</w:t>
      </w:r>
    </w:p>
    <w:p w14:paraId="7E002250" w14:textId="77777777" w:rsidR="009A58DB" w:rsidRDefault="00000000">
      <w:pPr>
        <w:spacing w:before="132" w:line="249" w:lineRule="auto"/>
        <w:ind w:left="360" w:right="359"/>
        <w:jc w:val="both"/>
        <w:rPr>
          <w:sz w:val="30"/>
        </w:rPr>
      </w:pPr>
      <w:r>
        <w:rPr>
          <w:sz w:val="30"/>
        </w:rPr>
        <w:t xml:space="preserve">In the </w:t>
      </w:r>
      <w:r>
        <w:rPr>
          <w:i/>
          <w:sz w:val="30"/>
        </w:rPr>
        <w:t xml:space="preserve">Critique of Pure Reason </w:t>
      </w:r>
      <w:r>
        <w:rPr>
          <w:sz w:val="30"/>
        </w:rPr>
        <w:t xml:space="preserve">Kant claimed that there are non-analytic (or, as he called them, </w:t>
      </w:r>
      <w:r>
        <w:rPr>
          <w:i/>
          <w:sz w:val="30"/>
        </w:rPr>
        <w:t>synthetic</w:t>
      </w:r>
      <w:r>
        <w:rPr>
          <w:sz w:val="30"/>
        </w:rPr>
        <w:t xml:space="preserve">) truths that can be learned in a </w:t>
      </w:r>
      <w:r>
        <w:rPr>
          <w:i/>
          <w:sz w:val="30"/>
        </w:rPr>
        <w:t>non-observational manner</w:t>
      </w:r>
      <w:bookmarkStart w:id="473" w:name="_bookmark473"/>
      <w:bookmarkEnd w:id="473"/>
      <w:r>
        <w:rPr>
          <w:i/>
          <w:sz w:val="30"/>
        </w:rPr>
        <w:t>.</w:t>
      </w:r>
      <w:r>
        <w:rPr>
          <w:b/>
          <w:i/>
          <w:color w:val="0562C1"/>
          <w:position w:val="21"/>
          <w:sz w:val="30"/>
          <w:u w:val="single" w:color="0562C1"/>
        </w:rPr>
        <w:t>[353]</w:t>
      </w:r>
      <w:r>
        <w:rPr>
          <w:b/>
          <w:i/>
          <w:color w:val="0562C1"/>
          <w:spacing w:val="-11"/>
          <w:position w:val="21"/>
          <w:sz w:val="30"/>
        </w:rPr>
        <w:t xml:space="preserve"> </w:t>
      </w:r>
      <w:r>
        <w:rPr>
          <w:sz w:val="30"/>
        </w:rPr>
        <w:t>He was wrong. To say why, we must first define some terms.</w:t>
      </w:r>
    </w:p>
    <w:p w14:paraId="7E002251" w14:textId="77777777" w:rsidR="009A58DB" w:rsidRDefault="00000000">
      <w:pPr>
        <w:pStyle w:val="BodyText"/>
        <w:spacing w:before="4" w:line="249" w:lineRule="auto"/>
        <w:ind w:right="362" w:firstLine="360"/>
      </w:pPr>
      <w:r>
        <w:t xml:space="preserve">The </w:t>
      </w:r>
      <w:r>
        <w:rPr>
          <w:b/>
          <w:i/>
        </w:rPr>
        <w:t xml:space="preserve">negation </w:t>
      </w:r>
      <w:r>
        <w:t xml:space="preserve">of a statement P is not-P. (The negation of </w:t>
      </w:r>
      <w:r>
        <w:rPr>
          <w:i/>
        </w:rPr>
        <w:t xml:space="preserve">snow is white </w:t>
      </w:r>
      <w:r>
        <w:t xml:space="preserve">is </w:t>
      </w:r>
      <w:r>
        <w:rPr>
          <w:i/>
        </w:rPr>
        <w:t>snow is not white.</w:t>
      </w:r>
      <w:r>
        <w:t xml:space="preserve">) A statement is </w:t>
      </w:r>
      <w:r>
        <w:rPr>
          <w:b/>
          <w:i/>
        </w:rPr>
        <w:t xml:space="preserve">coherent </w:t>
      </w:r>
      <w:r>
        <w:t xml:space="preserve">if what it says isn’t ruled out solely by considerations of how things </w:t>
      </w:r>
      <w:r>
        <w:rPr>
          <w:i/>
        </w:rPr>
        <w:t xml:space="preserve">must </w:t>
      </w:r>
      <w:r>
        <w:t>be. An analytic statement is one whose negation is incoherent. (It’s analytic that triangles have three sides, since a triangle’s having four sides can be ruled out entirely on the basis of consideration of how things must be.)</w:t>
      </w:r>
    </w:p>
    <w:p w14:paraId="7E002252" w14:textId="77777777" w:rsidR="009A58DB" w:rsidRDefault="00000000">
      <w:pPr>
        <w:pStyle w:val="BodyText"/>
        <w:spacing w:before="7" w:line="249" w:lineRule="auto"/>
        <w:ind w:right="360" w:firstLine="360"/>
      </w:pPr>
      <w:r>
        <w:t>Now for the argument. A statement may be non-analytic either because its negation is analytically true (</w:t>
      </w:r>
      <w:r>
        <w:rPr>
          <w:i/>
        </w:rPr>
        <w:t xml:space="preserve">triangles don’t have four sides </w:t>
      </w:r>
      <w:r>
        <w:t>is non-analytic for this reason) or because both it and its negation are coherent (</w:t>
      </w:r>
      <w:r>
        <w:rPr>
          <w:i/>
        </w:rPr>
        <w:t>JMK is in Richmond</w:t>
      </w:r>
      <w:r>
        <w:rPr>
          <w:i/>
          <w:spacing w:val="71"/>
        </w:rPr>
        <w:t xml:space="preserve"> </w:t>
      </w:r>
      <w:r>
        <w:t>is</w:t>
      </w:r>
      <w:r>
        <w:rPr>
          <w:spacing w:val="76"/>
        </w:rPr>
        <w:t xml:space="preserve"> </w:t>
      </w:r>
      <w:r>
        <w:t>non-analytic</w:t>
      </w:r>
      <w:r>
        <w:rPr>
          <w:spacing w:val="76"/>
        </w:rPr>
        <w:t xml:space="preserve"> </w:t>
      </w:r>
      <w:r>
        <w:t>for</w:t>
      </w:r>
      <w:r>
        <w:rPr>
          <w:spacing w:val="77"/>
        </w:rPr>
        <w:t xml:space="preserve"> </w:t>
      </w:r>
      <w:r>
        <w:t>this</w:t>
      </w:r>
      <w:r>
        <w:rPr>
          <w:spacing w:val="76"/>
        </w:rPr>
        <w:t xml:space="preserve"> </w:t>
      </w:r>
      <w:r>
        <w:t>reason).</w:t>
      </w:r>
      <w:r>
        <w:rPr>
          <w:spacing w:val="76"/>
        </w:rPr>
        <w:t xml:space="preserve"> </w:t>
      </w:r>
      <w:r>
        <w:t>A</w:t>
      </w:r>
      <w:r>
        <w:rPr>
          <w:spacing w:val="77"/>
        </w:rPr>
        <w:t xml:space="preserve"> </w:t>
      </w:r>
      <w:r>
        <w:t>statement</w:t>
      </w:r>
      <w:r>
        <w:rPr>
          <w:spacing w:val="76"/>
        </w:rPr>
        <w:t xml:space="preserve"> </w:t>
      </w:r>
      <w:r>
        <w:t>that</w:t>
      </w:r>
      <w:r>
        <w:rPr>
          <w:spacing w:val="76"/>
        </w:rPr>
        <w:t xml:space="preserve"> </w:t>
      </w:r>
      <w:r>
        <w:t>satisfies</w:t>
      </w:r>
      <w:r>
        <w:rPr>
          <w:spacing w:val="77"/>
        </w:rPr>
        <w:t xml:space="preserve"> </w:t>
      </w:r>
      <w:r>
        <w:t>the</w:t>
      </w:r>
    </w:p>
    <w:p w14:paraId="7E00225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54" w14:textId="77777777" w:rsidR="009A58DB" w:rsidRDefault="00000000">
      <w:pPr>
        <w:pStyle w:val="BodyText"/>
        <w:spacing w:before="70" w:line="249" w:lineRule="auto"/>
        <w:ind w:right="358"/>
      </w:pPr>
      <w:r>
        <w:lastRenderedPageBreak/>
        <w:t xml:space="preserve">second condition cannot be known to be false (or true) merely on the basis of how things must be, and can known to be false (or true) only on the basis of how things are. How things are can be known only through observation. Anything so known is </w:t>
      </w:r>
      <w:r>
        <w:rPr>
          <w:i/>
        </w:rPr>
        <w:t>ipso facto</w:t>
      </w:r>
      <w:r>
        <w:rPr>
          <w:i/>
          <w:spacing w:val="40"/>
        </w:rPr>
        <w:t xml:space="preserve"> </w:t>
      </w:r>
      <w:r>
        <w:t xml:space="preserve">empirical. So any non-analytic truth is </w:t>
      </w:r>
      <w:r>
        <w:rPr>
          <w:spacing w:val="-2"/>
        </w:rPr>
        <w:t>empirical.</w:t>
      </w:r>
    </w:p>
    <w:p w14:paraId="7E002255" w14:textId="77777777" w:rsidR="009A58DB" w:rsidRDefault="00000000">
      <w:pPr>
        <w:pStyle w:val="BodyText"/>
        <w:spacing w:before="1"/>
        <w:ind w:left="720"/>
      </w:pPr>
      <w:r>
        <w:t>A</w:t>
      </w:r>
      <w:r>
        <w:rPr>
          <w:spacing w:val="-6"/>
        </w:rPr>
        <w:t xml:space="preserve"> </w:t>
      </w:r>
      <w:r>
        <w:t>much</w:t>
      </w:r>
      <w:r>
        <w:rPr>
          <w:spacing w:val="-2"/>
        </w:rPr>
        <w:t xml:space="preserve"> </w:t>
      </w:r>
      <w:r>
        <w:t>more</w:t>
      </w:r>
      <w:r>
        <w:rPr>
          <w:spacing w:val="-3"/>
        </w:rPr>
        <w:t xml:space="preserve"> </w:t>
      </w:r>
      <w:r>
        <w:t>developed</w:t>
      </w:r>
      <w:r>
        <w:rPr>
          <w:spacing w:val="-2"/>
        </w:rPr>
        <w:t xml:space="preserve"> </w:t>
      </w:r>
      <w:r>
        <w:t>version</w:t>
      </w:r>
      <w:r>
        <w:rPr>
          <w:spacing w:val="-2"/>
        </w:rPr>
        <w:t xml:space="preserve"> </w:t>
      </w:r>
      <w:r>
        <w:t>of</w:t>
      </w:r>
      <w:r>
        <w:rPr>
          <w:spacing w:val="-4"/>
        </w:rPr>
        <w:t xml:space="preserve"> </w:t>
      </w:r>
      <w:r>
        <w:t>this</w:t>
      </w:r>
      <w:r>
        <w:rPr>
          <w:spacing w:val="-3"/>
        </w:rPr>
        <w:t xml:space="preserve"> </w:t>
      </w:r>
      <w:r>
        <w:t>argument</w:t>
      </w:r>
      <w:r>
        <w:rPr>
          <w:spacing w:val="-3"/>
        </w:rPr>
        <w:t xml:space="preserve"> </w:t>
      </w:r>
      <w:r>
        <w:t>is</w:t>
      </w:r>
      <w:r>
        <w:rPr>
          <w:spacing w:val="-3"/>
        </w:rPr>
        <w:t xml:space="preserve"> </w:t>
      </w:r>
      <w:r>
        <w:t>given</w:t>
      </w:r>
      <w:r>
        <w:rPr>
          <w:spacing w:val="-2"/>
        </w:rPr>
        <w:t xml:space="preserve"> </w:t>
      </w:r>
      <w:r>
        <w:t>in</w:t>
      </w:r>
      <w:r>
        <w:rPr>
          <w:spacing w:val="-2"/>
        </w:rPr>
        <w:t xml:space="preserve"> </w:t>
      </w:r>
      <w:r>
        <w:t>Chapter</w:t>
      </w:r>
      <w:r>
        <w:rPr>
          <w:spacing w:val="-3"/>
        </w:rPr>
        <w:t xml:space="preserve"> </w:t>
      </w:r>
      <w:r>
        <w:rPr>
          <w:spacing w:val="-5"/>
        </w:rPr>
        <w:t>18.</w:t>
      </w:r>
    </w:p>
    <w:p w14:paraId="7E002256" w14:textId="77777777" w:rsidR="009A58DB" w:rsidRDefault="00000000">
      <w:pPr>
        <w:pStyle w:val="Heading1"/>
        <w:numPr>
          <w:ilvl w:val="1"/>
          <w:numId w:val="69"/>
        </w:numPr>
        <w:tabs>
          <w:tab w:val="left" w:pos="990"/>
        </w:tabs>
      </w:pPr>
      <w:r>
        <w:t>Formal</w:t>
      </w:r>
      <w:r>
        <w:rPr>
          <w:spacing w:val="-4"/>
        </w:rPr>
        <w:t xml:space="preserve"> </w:t>
      </w:r>
      <w:r>
        <w:rPr>
          <w:spacing w:val="-2"/>
        </w:rPr>
        <w:t>truth</w:t>
      </w:r>
    </w:p>
    <w:p w14:paraId="7E002257" w14:textId="77777777" w:rsidR="009A58DB" w:rsidRDefault="00000000">
      <w:pPr>
        <w:pStyle w:val="BodyText"/>
        <w:spacing w:before="139" w:line="249" w:lineRule="auto"/>
        <w:ind w:right="358"/>
      </w:pPr>
      <w:r>
        <w:t xml:space="preserve">The concept of </w:t>
      </w:r>
      <w:r>
        <w:rPr>
          <w:i/>
        </w:rPr>
        <w:t xml:space="preserve">formal truth </w:t>
      </w:r>
      <w:r>
        <w:t>has an important place in philosophical inquiry.</w:t>
      </w:r>
      <w:r>
        <w:rPr>
          <w:spacing w:val="40"/>
        </w:rPr>
        <w:t xml:space="preserve"> </w:t>
      </w:r>
      <w:r>
        <w:t>It is sometimes propositions that are described as “formally true.” But this is quite rare, and it’s almost always expressions that are so described. To the extent that formal truth is a property of expressions, it must be a property of sentence-</w:t>
      </w:r>
      <w:r>
        <w:rPr>
          <w:i/>
        </w:rPr>
        <w:t xml:space="preserve">tokens, </w:t>
      </w:r>
      <w:r>
        <w:t>not of sentence-types, since the latter, as we saw in Chapter 4, are never true or false. And, in what follows, we must bear in mind that, so far as any expressions are formally true, it is sentence-tokens, not sentence-</w:t>
      </w:r>
      <w:r>
        <w:rPr>
          <w:spacing w:val="-2"/>
        </w:rPr>
        <w:t>types.</w:t>
      </w:r>
    </w:p>
    <w:p w14:paraId="7E002258" w14:textId="77777777" w:rsidR="009A58DB" w:rsidRDefault="00000000">
      <w:pPr>
        <w:pStyle w:val="BodyText"/>
        <w:spacing w:before="10" w:line="249" w:lineRule="auto"/>
        <w:ind w:left="720" w:right="364"/>
      </w:pPr>
      <w:r>
        <w:t>Here are some examples of sentence-types whose tokens would universally be agreed to be “formally true”:</w:t>
      </w:r>
    </w:p>
    <w:p w14:paraId="7E002259" w14:textId="77777777" w:rsidR="009A58DB" w:rsidRDefault="00000000">
      <w:pPr>
        <w:pStyle w:val="ListParagraph"/>
        <w:numPr>
          <w:ilvl w:val="0"/>
          <w:numId w:val="68"/>
        </w:numPr>
        <w:tabs>
          <w:tab w:val="left" w:pos="782"/>
        </w:tabs>
        <w:spacing w:before="107"/>
        <w:ind w:left="782" w:hanging="422"/>
        <w:rPr>
          <w:sz w:val="30"/>
        </w:rPr>
      </w:pPr>
      <w:r>
        <w:rPr>
          <w:sz w:val="30"/>
        </w:rPr>
        <w:t>If</w:t>
      </w:r>
      <w:r>
        <w:rPr>
          <w:spacing w:val="-5"/>
          <w:sz w:val="30"/>
        </w:rPr>
        <w:t xml:space="preserve"> </w:t>
      </w:r>
      <w:r>
        <w:rPr>
          <w:sz w:val="30"/>
        </w:rPr>
        <w:t>Bill</w:t>
      </w:r>
      <w:r>
        <w:rPr>
          <w:spacing w:val="-3"/>
          <w:sz w:val="30"/>
        </w:rPr>
        <w:t xml:space="preserve"> </w:t>
      </w:r>
      <w:r>
        <w:rPr>
          <w:sz w:val="30"/>
        </w:rPr>
        <w:t>is</w:t>
      </w:r>
      <w:r>
        <w:rPr>
          <w:spacing w:val="-2"/>
          <w:sz w:val="30"/>
        </w:rPr>
        <w:t xml:space="preserve"> </w:t>
      </w:r>
      <w:r>
        <w:rPr>
          <w:sz w:val="30"/>
        </w:rPr>
        <w:t>tall,</w:t>
      </w:r>
      <w:r>
        <w:rPr>
          <w:spacing w:val="-2"/>
          <w:sz w:val="30"/>
        </w:rPr>
        <w:t xml:space="preserve"> </w:t>
      </w:r>
      <w:r>
        <w:rPr>
          <w:sz w:val="30"/>
        </w:rPr>
        <w:t>then</w:t>
      </w:r>
      <w:r>
        <w:rPr>
          <w:spacing w:val="-2"/>
          <w:sz w:val="30"/>
        </w:rPr>
        <w:t xml:space="preserve"> </w:t>
      </w:r>
      <w:r>
        <w:rPr>
          <w:sz w:val="30"/>
        </w:rPr>
        <w:t>it</w:t>
      </w:r>
      <w:r>
        <w:rPr>
          <w:spacing w:val="-2"/>
          <w:sz w:val="30"/>
        </w:rPr>
        <w:t xml:space="preserve"> </w:t>
      </w:r>
      <w:r>
        <w:rPr>
          <w:sz w:val="30"/>
        </w:rPr>
        <w:t>is</w:t>
      </w:r>
      <w:r>
        <w:rPr>
          <w:spacing w:val="-3"/>
          <w:sz w:val="30"/>
        </w:rPr>
        <w:t xml:space="preserve"> </w:t>
      </w:r>
      <w:r>
        <w:rPr>
          <w:sz w:val="30"/>
        </w:rPr>
        <w:t>not</w:t>
      </w:r>
      <w:r>
        <w:rPr>
          <w:spacing w:val="-3"/>
          <w:sz w:val="30"/>
        </w:rPr>
        <w:t xml:space="preserve"> </w:t>
      </w:r>
      <w:r>
        <w:rPr>
          <w:sz w:val="30"/>
        </w:rPr>
        <w:t>the</w:t>
      </w:r>
      <w:r>
        <w:rPr>
          <w:spacing w:val="-2"/>
          <w:sz w:val="30"/>
        </w:rPr>
        <w:t xml:space="preserve"> </w:t>
      </w:r>
      <w:r>
        <w:rPr>
          <w:sz w:val="30"/>
        </w:rPr>
        <w:t>case</w:t>
      </w:r>
      <w:r>
        <w:rPr>
          <w:spacing w:val="-3"/>
          <w:sz w:val="30"/>
        </w:rPr>
        <w:t xml:space="preserve"> </w:t>
      </w:r>
      <w:r>
        <w:rPr>
          <w:sz w:val="30"/>
        </w:rPr>
        <w:t>that</w:t>
      </w:r>
      <w:r>
        <w:rPr>
          <w:spacing w:val="-3"/>
          <w:sz w:val="30"/>
        </w:rPr>
        <w:t xml:space="preserve"> </w:t>
      </w:r>
      <w:r>
        <w:rPr>
          <w:sz w:val="30"/>
        </w:rPr>
        <w:t>Bill</w:t>
      </w:r>
      <w:r>
        <w:rPr>
          <w:spacing w:val="-2"/>
          <w:sz w:val="30"/>
        </w:rPr>
        <w:t xml:space="preserve"> </w:t>
      </w:r>
      <w:r>
        <w:rPr>
          <w:sz w:val="30"/>
        </w:rPr>
        <w:t>is</w:t>
      </w:r>
      <w:r>
        <w:rPr>
          <w:spacing w:val="-3"/>
          <w:sz w:val="30"/>
        </w:rPr>
        <w:t xml:space="preserve"> </w:t>
      </w:r>
      <w:r>
        <w:rPr>
          <w:sz w:val="30"/>
        </w:rPr>
        <w:t>not</w:t>
      </w:r>
      <w:r>
        <w:rPr>
          <w:spacing w:val="-2"/>
          <w:sz w:val="30"/>
        </w:rPr>
        <w:t xml:space="preserve"> tall.</w:t>
      </w:r>
    </w:p>
    <w:p w14:paraId="7E00225A" w14:textId="77777777" w:rsidR="009A58DB" w:rsidRDefault="00000000">
      <w:pPr>
        <w:pStyle w:val="ListParagraph"/>
        <w:numPr>
          <w:ilvl w:val="0"/>
          <w:numId w:val="68"/>
        </w:numPr>
        <w:tabs>
          <w:tab w:val="left" w:pos="782"/>
        </w:tabs>
        <w:spacing w:before="15"/>
        <w:ind w:left="782" w:hanging="422"/>
        <w:rPr>
          <w:sz w:val="30"/>
        </w:rPr>
      </w:pPr>
      <w:r>
        <w:rPr>
          <w:sz w:val="30"/>
        </w:rPr>
        <w:t>If</w:t>
      </w:r>
      <w:r>
        <w:rPr>
          <w:spacing w:val="-5"/>
          <w:sz w:val="30"/>
        </w:rPr>
        <w:t xml:space="preserve"> </w:t>
      </w:r>
      <w:r>
        <w:rPr>
          <w:sz w:val="30"/>
        </w:rPr>
        <w:t>everything</w:t>
      </w:r>
      <w:r>
        <w:rPr>
          <w:spacing w:val="-2"/>
          <w:sz w:val="30"/>
        </w:rPr>
        <w:t xml:space="preserve"> </w:t>
      </w:r>
      <w:r>
        <w:rPr>
          <w:sz w:val="30"/>
        </w:rPr>
        <w:t>has</w:t>
      </w:r>
      <w:r>
        <w:rPr>
          <w:spacing w:val="-3"/>
          <w:sz w:val="30"/>
        </w:rPr>
        <w:t xml:space="preserve"> </w:t>
      </w:r>
      <w:r>
        <w:rPr>
          <w:sz w:val="30"/>
        </w:rPr>
        <w:t>a</w:t>
      </w:r>
      <w:r>
        <w:rPr>
          <w:spacing w:val="-3"/>
          <w:sz w:val="30"/>
        </w:rPr>
        <w:t xml:space="preserve"> </w:t>
      </w:r>
      <w:r>
        <w:rPr>
          <w:sz w:val="30"/>
        </w:rPr>
        <w:t>given</w:t>
      </w:r>
      <w:r>
        <w:rPr>
          <w:spacing w:val="-2"/>
          <w:sz w:val="30"/>
        </w:rPr>
        <w:t xml:space="preserve"> </w:t>
      </w:r>
      <w:r>
        <w:rPr>
          <w:sz w:val="30"/>
        </w:rPr>
        <w:t>property,</w:t>
      </w:r>
      <w:r>
        <w:rPr>
          <w:spacing w:val="-2"/>
          <w:sz w:val="30"/>
        </w:rPr>
        <w:t xml:space="preserve"> </w:t>
      </w:r>
      <w:r>
        <w:rPr>
          <w:sz w:val="30"/>
        </w:rPr>
        <w:t>then</w:t>
      </w:r>
      <w:r>
        <w:rPr>
          <w:spacing w:val="-2"/>
          <w:sz w:val="30"/>
        </w:rPr>
        <w:t xml:space="preserve"> </w:t>
      </w:r>
      <w:r>
        <w:rPr>
          <w:sz w:val="30"/>
        </w:rPr>
        <w:t>any</w:t>
      </w:r>
      <w:r>
        <w:rPr>
          <w:spacing w:val="-2"/>
          <w:sz w:val="30"/>
        </w:rPr>
        <w:t xml:space="preserve"> </w:t>
      </w:r>
      <w:r>
        <w:rPr>
          <w:sz w:val="30"/>
        </w:rPr>
        <w:t>given</w:t>
      </w:r>
      <w:r>
        <w:rPr>
          <w:spacing w:val="-2"/>
          <w:sz w:val="30"/>
        </w:rPr>
        <w:t xml:space="preserve"> </w:t>
      </w:r>
      <w:r>
        <w:rPr>
          <w:sz w:val="30"/>
        </w:rPr>
        <w:t>thing</w:t>
      </w:r>
      <w:r>
        <w:rPr>
          <w:spacing w:val="-2"/>
          <w:sz w:val="30"/>
        </w:rPr>
        <w:t xml:space="preserve"> </w:t>
      </w:r>
      <w:r>
        <w:rPr>
          <w:sz w:val="30"/>
        </w:rPr>
        <w:t>has</w:t>
      </w:r>
      <w:r>
        <w:rPr>
          <w:spacing w:val="-3"/>
          <w:sz w:val="30"/>
        </w:rPr>
        <w:t xml:space="preserve"> </w:t>
      </w:r>
      <w:r>
        <w:rPr>
          <w:sz w:val="30"/>
        </w:rPr>
        <w:t>that</w:t>
      </w:r>
      <w:r>
        <w:rPr>
          <w:spacing w:val="-2"/>
          <w:sz w:val="30"/>
        </w:rPr>
        <w:t xml:space="preserve"> property.</w:t>
      </w:r>
    </w:p>
    <w:p w14:paraId="7E00225B" w14:textId="77777777" w:rsidR="009A58DB" w:rsidRDefault="00000000">
      <w:pPr>
        <w:pStyle w:val="ListParagraph"/>
        <w:numPr>
          <w:ilvl w:val="0"/>
          <w:numId w:val="68"/>
        </w:numPr>
        <w:tabs>
          <w:tab w:val="left" w:pos="782"/>
        </w:tabs>
        <w:spacing w:before="15"/>
        <w:ind w:left="782" w:hanging="422"/>
        <w:rPr>
          <w:sz w:val="30"/>
        </w:rPr>
      </w:pPr>
      <w:r>
        <w:rPr>
          <w:sz w:val="30"/>
        </w:rPr>
        <w:t>If</w:t>
      </w:r>
      <w:r>
        <w:rPr>
          <w:spacing w:val="-5"/>
          <w:sz w:val="30"/>
        </w:rPr>
        <w:t xml:space="preserve"> </w:t>
      </w:r>
      <w:r>
        <w:rPr>
          <w:sz w:val="30"/>
        </w:rPr>
        <w:t>all</w:t>
      </w:r>
      <w:r>
        <w:rPr>
          <w:spacing w:val="-3"/>
          <w:sz w:val="30"/>
        </w:rPr>
        <w:t xml:space="preserve"> </w:t>
      </w:r>
      <w:r>
        <w:rPr>
          <w:sz w:val="30"/>
        </w:rPr>
        <w:t>F’s</w:t>
      </w:r>
      <w:r>
        <w:rPr>
          <w:spacing w:val="-3"/>
          <w:sz w:val="30"/>
        </w:rPr>
        <w:t xml:space="preserve"> </w:t>
      </w:r>
      <w:r>
        <w:rPr>
          <w:sz w:val="30"/>
        </w:rPr>
        <w:t>are</w:t>
      </w:r>
      <w:r>
        <w:rPr>
          <w:spacing w:val="-2"/>
          <w:sz w:val="30"/>
        </w:rPr>
        <w:t xml:space="preserve"> </w:t>
      </w:r>
      <w:r>
        <w:rPr>
          <w:sz w:val="30"/>
        </w:rPr>
        <w:t>G’s,</w:t>
      </w:r>
      <w:r>
        <w:rPr>
          <w:spacing w:val="-2"/>
          <w:sz w:val="30"/>
        </w:rPr>
        <w:t xml:space="preserve"> </w:t>
      </w:r>
      <w:r>
        <w:rPr>
          <w:sz w:val="30"/>
        </w:rPr>
        <w:t>and</w:t>
      </w:r>
      <w:r>
        <w:rPr>
          <w:spacing w:val="-2"/>
          <w:sz w:val="30"/>
        </w:rPr>
        <w:t xml:space="preserve"> </w:t>
      </w:r>
      <w:r>
        <w:rPr>
          <w:sz w:val="30"/>
        </w:rPr>
        <w:t>no</w:t>
      </w:r>
      <w:r>
        <w:rPr>
          <w:spacing w:val="-1"/>
          <w:sz w:val="30"/>
        </w:rPr>
        <w:t xml:space="preserve"> </w:t>
      </w:r>
      <w:r>
        <w:rPr>
          <w:sz w:val="30"/>
        </w:rPr>
        <w:t>G’s</w:t>
      </w:r>
      <w:r>
        <w:rPr>
          <w:spacing w:val="-3"/>
          <w:sz w:val="30"/>
        </w:rPr>
        <w:t xml:space="preserve"> </w:t>
      </w:r>
      <w:r>
        <w:rPr>
          <w:sz w:val="30"/>
        </w:rPr>
        <w:t>are</w:t>
      </w:r>
      <w:r>
        <w:rPr>
          <w:spacing w:val="-3"/>
          <w:sz w:val="30"/>
        </w:rPr>
        <w:t xml:space="preserve"> </w:t>
      </w:r>
      <w:r>
        <w:rPr>
          <w:sz w:val="30"/>
        </w:rPr>
        <w:t>H’s,</w:t>
      </w:r>
      <w:r>
        <w:rPr>
          <w:spacing w:val="-2"/>
          <w:sz w:val="30"/>
        </w:rPr>
        <w:t xml:space="preserve"> </w:t>
      </w:r>
      <w:r>
        <w:rPr>
          <w:sz w:val="30"/>
        </w:rPr>
        <w:t>then</w:t>
      </w:r>
      <w:r>
        <w:rPr>
          <w:spacing w:val="-1"/>
          <w:sz w:val="30"/>
        </w:rPr>
        <w:t xml:space="preserve"> </w:t>
      </w:r>
      <w:r>
        <w:rPr>
          <w:sz w:val="30"/>
        </w:rPr>
        <w:t>no</w:t>
      </w:r>
      <w:r>
        <w:rPr>
          <w:spacing w:val="-2"/>
          <w:sz w:val="30"/>
        </w:rPr>
        <w:t xml:space="preserve"> </w:t>
      </w:r>
      <w:r>
        <w:rPr>
          <w:sz w:val="30"/>
        </w:rPr>
        <w:t>F’s</w:t>
      </w:r>
      <w:r>
        <w:rPr>
          <w:spacing w:val="-3"/>
          <w:sz w:val="30"/>
        </w:rPr>
        <w:t xml:space="preserve"> </w:t>
      </w:r>
      <w:r>
        <w:rPr>
          <w:sz w:val="30"/>
        </w:rPr>
        <w:t>are</w:t>
      </w:r>
      <w:r>
        <w:rPr>
          <w:spacing w:val="-2"/>
          <w:sz w:val="30"/>
        </w:rPr>
        <w:t xml:space="preserve"> </w:t>
      </w:r>
      <w:r>
        <w:rPr>
          <w:spacing w:val="-4"/>
          <w:sz w:val="30"/>
        </w:rPr>
        <w:t>H’s.</w:t>
      </w:r>
    </w:p>
    <w:p w14:paraId="7E00225C" w14:textId="77777777" w:rsidR="009A58DB" w:rsidRDefault="00000000">
      <w:pPr>
        <w:pStyle w:val="ListParagraph"/>
        <w:numPr>
          <w:ilvl w:val="0"/>
          <w:numId w:val="68"/>
        </w:numPr>
        <w:tabs>
          <w:tab w:val="left" w:pos="782"/>
        </w:tabs>
        <w:spacing w:before="15"/>
        <w:ind w:left="782" w:hanging="422"/>
        <w:rPr>
          <w:sz w:val="30"/>
        </w:rPr>
      </w:pPr>
      <w:r>
        <w:rPr>
          <w:sz w:val="30"/>
        </w:rPr>
        <w:t>Either</w:t>
      </w:r>
      <w:r>
        <w:rPr>
          <w:spacing w:val="-4"/>
          <w:sz w:val="30"/>
        </w:rPr>
        <w:t xml:space="preserve"> </w:t>
      </w:r>
      <w:r>
        <w:rPr>
          <w:sz w:val="30"/>
        </w:rPr>
        <w:t>Helsinki</w:t>
      </w:r>
      <w:r>
        <w:rPr>
          <w:spacing w:val="-3"/>
          <w:sz w:val="30"/>
        </w:rPr>
        <w:t xml:space="preserve"> </w:t>
      </w:r>
      <w:r>
        <w:rPr>
          <w:sz w:val="30"/>
        </w:rPr>
        <w:t>is</w:t>
      </w:r>
      <w:r>
        <w:rPr>
          <w:spacing w:val="-3"/>
          <w:sz w:val="30"/>
        </w:rPr>
        <w:t xml:space="preserve"> </w:t>
      </w:r>
      <w:r>
        <w:rPr>
          <w:sz w:val="30"/>
        </w:rPr>
        <w:t>in</w:t>
      </w:r>
      <w:r>
        <w:rPr>
          <w:spacing w:val="-2"/>
          <w:sz w:val="30"/>
        </w:rPr>
        <w:t xml:space="preserve"> </w:t>
      </w:r>
      <w:r>
        <w:rPr>
          <w:sz w:val="30"/>
        </w:rPr>
        <w:t>Finland</w:t>
      </w:r>
      <w:r>
        <w:rPr>
          <w:spacing w:val="-3"/>
          <w:sz w:val="30"/>
        </w:rPr>
        <w:t xml:space="preserve"> </w:t>
      </w:r>
      <w:r>
        <w:rPr>
          <w:sz w:val="30"/>
        </w:rPr>
        <w:t>or</w:t>
      </w:r>
      <w:r>
        <w:rPr>
          <w:spacing w:val="-3"/>
          <w:sz w:val="30"/>
        </w:rPr>
        <w:t xml:space="preserve"> </w:t>
      </w:r>
      <w:r>
        <w:rPr>
          <w:sz w:val="30"/>
        </w:rPr>
        <w:t>Helsinki</w:t>
      </w:r>
      <w:r>
        <w:rPr>
          <w:spacing w:val="-3"/>
          <w:sz w:val="30"/>
        </w:rPr>
        <w:t xml:space="preserve"> </w:t>
      </w:r>
      <w:r>
        <w:rPr>
          <w:sz w:val="30"/>
        </w:rPr>
        <w:t>is</w:t>
      </w:r>
      <w:r>
        <w:rPr>
          <w:spacing w:val="-3"/>
          <w:sz w:val="30"/>
        </w:rPr>
        <w:t xml:space="preserve"> </w:t>
      </w:r>
      <w:r>
        <w:rPr>
          <w:sz w:val="30"/>
        </w:rPr>
        <w:t>not</w:t>
      </w:r>
      <w:r>
        <w:rPr>
          <w:spacing w:val="-3"/>
          <w:sz w:val="30"/>
        </w:rPr>
        <w:t xml:space="preserve"> </w:t>
      </w:r>
      <w:r>
        <w:rPr>
          <w:sz w:val="30"/>
        </w:rPr>
        <w:t>in</w:t>
      </w:r>
      <w:r>
        <w:rPr>
          <w:spacing w:val="-2"/>
          <w:sz w:val="30"/>
        </w:rPr>
        <w:t xml:space="preserve"> Finland.</w:t>
      </w:r>
    </w:p>
    <w:p w14:paraId="7E00225D" w14:textId="77777777" w:rsidR="009A58DB" w:rsidRDefault="00000000">
      <w:pPr>
        <w:pStyle w:val="BodyText"/>
        <w:spacing w:before="120" w:line="249" w:lineRule="auto"/>
        <w:ind w:right="359" w:firstLine="360"/>
      </w:pPr>
      <w:r>
        <w:t>We</w:t>
      </w:r>
      <w:r>
        <w:rPr>
          <w:spacing w:val="-1"/>
        </w:rPr>
        <w:t xml:space="preserve"> </w:t>
      </w:r>
      <w:r>
        <w:t>saw</w:t>
      </w:r>
      <w:r>
        <w:rPr>
          <w:spacing w:val="-1"/>
        </w:rPr>
        <w:t xml:space="preserve"> </w:t>
      </w:r>
      <w:r>
        <w:t>in</w:t>
      </w:r>
      <w:r>
        <w:rPr>
          <w:spacing w:val="-1"/>
        </w:rPr>
        <w:t xml:space="preserve"> </w:t>
      </w:r>
      <w:r>
        <w:t>Chapter</w:t>
      </w:r>
      <w:r>
        <w:rPr>
          <w:spacing w:val="-1"/>
        </w:rPr>
        <w:t xml:space="preserve"> </w:t>
      </w:r>
      <w:r>
        <w:t>4</w:t>
      </w:r>
      <w:r>
        <w:rPr>
          <w:spacing w:val="-1"/>
        </w:rPr>
        <w:t xml:space="preserve"> </w:t>
      </w:r>
      <w:r>
        <w:t>that</w:t>
      </w:r>
      <w:r>
        <w:rPr>
          <w:spacing w:val="-1"/>
        </w:rPr>
        <w:t xml:space="preserve"> </w:t>
      </w:r>
      <w:r>
        <w:t>sentence-tokens</w:t>
      </w:r>
      <w:r>
        <w:rPr>
          <w:spacing w:val="-1"/>
        </w:rPr>
        <w:t xml:space="preserve"> </w:t>
      </w:r>
      <w:r>
        <w:t>are</w:t>
      </w:r>
      <w:r>
        <w:rPr>
          <w:spacing w:val="-1"/>
        </w:rPr>
        <w:t xml:space="preserve"> </w:t>
      </w:r>
      <w:r>
        <w:t>the</w:t>
      </w:r>
      <w:r>
        <w:rPr>
          <w:spacing w:val="-1"/>
        </w:rPr>
        <w:t xml:space="preserve"> </w:t>
      </w:r>
      <w:r>
        <w:t>only</w:t>
      </w:r>
      <w:r>
        <w:rPr>
          <w:spacing w:val="-1"/>
        </w:rPr>
        <w:t xml:space="preserve"> </w:t>
      </w:r>
      <w:r>
        <w:t>expressions</w:t>
      </w:r>
      <w:r>
        <w:rPr>
          <w:spacing w:val="-1"/>
        </w:rPr>
        <w:t xml:space="preserve"> </w:t>
      </w:r>
      <w:r>
        <w:t>that</w:t>
      </w:r>
      <w:r>
        <w:rPr>
          <w:spacing w:val="-1"/>
        </w:rPr>
        <w:t xml:space="preserve"> </w:t>
      </w:r>
      <w:r>
        <w:t xml:space="preserve">are true or false—that sentence-types are neither, since their meanings are rules that assign truths and falsehoods to their tokens, and aren’t truths or falsehoods per se. But to avoid verbosity, we’ll often speak as though sentence-types per se can be formally true. So we’ll say, for example, “(1) is formally true,” and we’ll discuss the conditions that “sentences” must satisfy to be formally true. But it’s crucial to bear in mind that this is </w:t>
      </w:r>
      <w:r>
        <w:rPr>
          <w:i/>
        </w:rPr>
        <w:t xml:space="preserve">only </w:t>
      </w:r>
      <w:r>
        <w:t>an expedient way of talking about sentence-</w:t>
      </w:r>
      <w:r>
        <w:rPr>
          <w:i/>
        </w:rPr>
        <w:t>tokens</w:t>
      </w:r>
      <w:r>
        <w:t xml:space="preserve">—of saying that </w:t>
      </w:r>
      <w:r>
        <w:rPr>
          <w:i/>
        </w:rPr>
        <w:t xml:space="preserve">tokens </w:t>
      </w:r>
      <w:r>
        <w:t>of (1) are formally true, etc.</w:t>
      </w:r>
    </w:p>
    <w:p w14:paraId="7E00225E" w14:textId="77777777" w:rsidR="009A58DB" w:rsidRDefault="00000000">
      <w:pPr>
        <w:pStyle w:val="BodyText"/>
        <w:spacing w:before="11" w:line="249" w:lineRule="auto"/>
        <w:ind w:right="361" w:firstLine="360"/>
      </w:pPr>
      <w:r>
        <w:t>What is “formal truth”? What does it mean to describe (1), for example, as “formally</w:t>
      </w:r>
      <w:r>
        <w:rPr>
          <w:spacing w:val="-2"/>
        </w:rPr>
        <w:t xml:space="preserve"> </w:t>
      </w:r>
      <w:r>
        <w:t>true”?</w:t>
      </w:r>
      <w:r>
        <w:rPr>
          <w:spacing w:val="-2"/>
        </w:rPr>
        <w:t xml:space="preserve"> </w:t>
      </w:r>
      <w:r>
        <w:t>Here’s</w:t>
      </w:r>
      <w:r>
        <w:rPr>
          <w:spacing w:val="-2"/>
        </w:rPr>
        <w:t xml:space="preserve"> </w:t>
      </w:r>
      <w:r>
        <w:t>the</w:t>
      </w:r>
      <w:r>
        <w:rPr>
          <w:spacing w:val="-2"/>
        </w:rPr>
        <w:t xml:space="preserve"> </w:t>
      </w:r>
      <w:r>
        <w:t>canonical</w:t>
      </w:r>
      <w:r>
        <w:rPr>
          <w:spacing w:val="-2"/>
        </w:rPr>
        <w:t xml:space="preserve"> </w:t>
      </w:r>
      <w:r>
        <w:t>answer</w:t>
      </w:r>
      <w:r>
        <w:rPr>
          <w:spacing w:val="-2"/>
        </w:rPr>
        <w:t xml:space="preserve"> </w:t>
      </w:r>
      <w:r>
        <w:t>(“FT”</w:t>
      </w:r>
      <w:r>
        <w:rPr>
          <w:spacing w:val="-2"/>
        </w:rPr>
        <w:t xml:space="preserve"> </w:t>
      </w:r>
      <w:r>
        <w:t>stands</w:t>
      </w:r>
      <w:r>
        <w:rPr>
          <w:spacing w:val="-2"/>
        </w:rPr>
        <w:t xml:space="preserve"> </w:t>
      </w:r>
      <w:r>
        <w:t>for</w:t>
      </w:r>
      <w:r>
        <w:rPr>
          <w:spacing w:val="-2"/>
        </w:rPr>
        <w:t xml:space="preserve"> </w:t>
      </w:r>
      <w:r>
        <w:t>“formal</w:t>
      </w:r>
      <w:r>
        <w:rPr>
          <w:spacing w:val="-2"/>
        </w:rPr>
        <w:t xml:space="preserve"> </w:t>
      </w:r>
      <w:r>
        <w:t>truth,” of course):</w:t>
      </w:r>
    </w:p>
    <w:p w14:paraId="7E0022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60" w14:textId="77777777" w:rsidR="009A58DB" w:rsidRDefault="00000000">
      <w:pPr>
        <w:pStyle w:val="BodyText"/>
        <w:spacing w:before="65" w:line="249" w:lineRule="auto"/>
        <w:ind w:right="359"/>
      </w:pPr>
      <w:r>
        <w:lastRenderedPageBreak/>
        <w:t xml:space="preserve">(FT) Formal truth is </w:t>
      </w:r>
      <w:r>
        <w:rPr>
          <w:i/>
        </w:rPr>
        <w:t xml:space="preserve">syntactic </w:t>
      </w:r>
      <w:r>
        <w:t>truth. A sentence is “syntactically true” if, given only its syntactic structure, it cannot fail to be true. Thus, a sentence is formally true if no sentence having the same syntactic structure is false.</w:t>
      </w:r>
    </w:p>
    <w:p w14:paraId="7E002261" w14:textId="77777777" w:rsidR="009A58DB" w:rsidRDefault="00000000">
      <w:pPr>
        <w:pStyle w:val="BodyText"/>
        <w:spacing w:before="108" w:line="249" w:lineRule="auto"/>
        <w:ind w:right="358" w:firstLine="360"/>
      </w:pPr>
      <w:r>
        <w:t xml:space="preserve">FT cannot be accepted. A linguist would say that (1) “grass is green or grass is not green” has the same syntax as (2) “grass is green and grass is not green.” As linguists use the word “syntax,” two expressions have the same syntax if the way in which the one is built out of its parts is identical with the way in which the other is built out of </w:t>
      </w:r>
      <w:r>
        <w:rPr>
          <w:i/>
        </w:rPr>
        <w:t>its</w:t>
      </w:r>
      <w:r>
        <w:rPr>
          <w:i/>
          <w:spacing w:val="-2"/>
        </w:rPr>
        <w:t xml:space="preserve"> </w:t>
      </w:r>
      <w:r>
        <w:t xml:space="preserve">parts. For example, “Bill hates Ted” and “Laura loves Sally,” though having very different meanings, have the same </w:t>
      </w:r>
      <w:r>
        <w:rPr>
          <w:i/>
        </w:rPr>
        <w:t xml:space="preserve">syntax, </w:t>
      </w:r>
      <w:r>
        <w:t>the reason being that they’re structurally identical. The one is built</w:t>
      </w:r>
      <w:r>
        <w:rPr>
          <w:spacing w:val="-2"/>
        </w:rPr>
        <w:t xml:space="preserve"> </w:t>
      </w:r>
      <w:r>
        <w:t>out</w:t>
      </w:r>
      <w:r>
        <w:rPr>
          <w:spacing w:val="-2"/>
        </w:rPr>
        <w:t xml:space="preserve"> </w:t>
      </w:r>
      <w:r>
        <w:t>of</w:t>
      </w:r>
      <w:r>
        <w:rPr>
          <w:spacing w:val="-2"/>
        </w:rPr>
        <w:t xml:space="preserve"> </w:t>
      </w:r>
      <w:r>
        <w:t>its</w:t>
      </w:r>
      <w:r>
        <w:rPr>
          <w:spacing w:val="-2"/>
        </w:rPr>
        <w:t xml:space="preserve"> </w:t>
      </w:r>
      <w:r>
        <w:t>simple</w:t>
      </w:r>
      <w:r>
        <w:rPr>
          <w:spacing w:val="-2"/>
        </w:rPr>
        <w:t xml:space="preserve"> </w:t>
      </w:r>
      <w:r>
        <w:t>constituents</w:t>
      </w:r>
      <w:r>
        <w:rPr>
          <w:spacing w:val="-2"/>
        </w:rPr>
        <w:t xml:space="preserve"> </w:t>
      </w:r>
      <w:r>
        <w:t>in</w:t>
      </w:r>
      <w:r>
        <w:rPr>
          <w:spacing w:val="-2"/>
        </w:rPr>
        <w:t xml:space="preserve"> </w:t>
      </w:r>
      <w:r>
        <w:t>the</w:t>
      </w:r>
      <w:r>
        <w:rPr>
          <w:spacing w:val="-2"/>
        </w:rPr>
        <w:t xml:space="preserve"> </w:t>
      </w:r>
      <w:r>
        <w:t>very</w:t>
      </w:r>
      <w:r>
        <w:rPr>
          <w:spacing w:val="-2"/>
        </w:rPr>
        <w:t xml:space="preserve"> </w:t>
      </w:r>
      <w:r>
        <w:t>way</w:t>
      </w:r>
      <w:r>
        <w:rPr>
          <w:spacing w:val="-2"/>
        </w:rPr>
        <w:t xml:space="preserve"> </w:t>
      </w:r>
      <w:r>
        <w:t>that</w:t>
      </w:r>
      <w:r>
        <w:rPr>
          <w:spacing w:val="-2"/>
        </w:rPr>
        <w:t xml:space="preserve"> </w:t>
      </w:r>
      <w:r>
        <w:t>the</w:t>
      </w:r>
      <w:r>
        <w:rPr>
          <w:spacing w:val="-2"/>
        </w:rPr>
        <w:t xml:space="preserve"> </w:t>
      </w:r>
      <w:r>
        <w:t>other</w:t>
      </w:r>
      <w:r>
        <w:rPr>
          <w:spacing w:val="-2"/>
        </w:rPr>
        <w:t xml:space="preserve"> </w:t>
      </w:r>
      <w:r>
        <w:t>is</w:t>
      </w:r>
      <w:r>
        <w:rPr>
          <w:spacing w:val="-2"/>
        </w:rPr>
        <w:t xml:space="preserve"> </w:t>
      </w:r>
      <w:r>
        <w:t>built</w:t>
      </w:r>
      <w:r>
        <w:rPr>
          <w:spacing w:val="-2"/>
        </w:rPr>
        <w:t xml:space="preserve"> </w:t>
      </w:r>
      <w:r>
        <w:t>out</w:t>
      </w:r>
      <w:r>
        <w:rPr>
          <w:spacing w:val="-2"/>
        </w:rPr>
        <w:t xml:space="preserve"> </w:t>
      </w:r>
      <w:r>
        <w:t xml:space="preserve">of </w:t>
      </w:r>
      <w:r>
        <w:rPr>
          <w:i/>
        </w:rPr>
        <w:t xml:space="preserve">its </w:t>
      </w:r>
      <w:r>
        <w:t>constituents. Thus, it isn’t because of any structural differences between them that they have different meanings.</w:t>
      </w:r>
    </w:p>
    <w:p w14:paraId="7E002262" w14:textId="77777777" w:rsidR="009A58DB" w:rsidRDefault="00000000">
      <w:pPr>
        <w:pStyle w:val="BodyText"/>
        <w:spacing w:before="13" w:line="249" w:lineRule="auto"/>
        <w:ind w:right="357" w:firstLine="360"/>
      </w:pPr>
      <w:r>
        <w:t xml:space="preserve">The relevant difference is </w:t>
      </w:r>
      <w:r>
        <w:rPr>
          <w:i/>
        </w:rPr>
        <w:t>sub</w:t>
      </w:r>
      <w:r>
        <w:t xml:space="preserve">structural. It lies in the fact that the </w:t>
      </w:r>
      <w:r>
        <w:rPr>
          <w:i/>
        </w:rPr>
        <w:t xml:space="preserve">meaning </w:t>
      </w:r>
      <w:r>
        <w:t xml:space="preserve">of “and” is different from that of “or.” So the difference between (1) and (2) is like the difference between “John is tall” and “Mary is short”: it lies entirely in the fact that the primitive, semantically unstructured constituents of the one have different meanings from their counterparts in the other. Thus, relative to what </w:t>
      </w:r>
      <w:r>
        <w:rPr>
          <w:i/>
        </w:rPr>
        <w:t>linguists</w:t>
      </w:r>
      <w:r>
        <w:rPr>
          <w:i/>
          <w:spacing w:val="-4"/>
        </w:rPr>
        <w:t xml:space="preserve"> </w:t>
      </w:r>
      <w:r>
        <w:t>mean by “syntax” (and “syntactic,” etc.), it’s a non-starter</w:t>
      </w:r>
      <w:r>
        <w:rPr>
          <w:spacing w:val="-3"/>
        </w:rPr>
        <w:t xml:space="preserve"> </w:t>
      </w:r>
      <w:r>
        <w:t>to</w:t>
      </w:r>
      <w:r>
        <w:rPr>
          <w:spacing w:val="-3"/>
        </w:rPr>
        <w:t xml:space="preserve"> </w:t>
      </w:r>
      <w:r>
        <w:t>say</w:t>
      </w:r>
      <w:r>
        <w:rPr>
          <w:spacing w:val="-3"/>
        </w:rPr>
        <w:t xml:space="preserve"> </w:t>
      </w:r>
      <w:r>
        <w:t>that</w:t>
      </w:r>
      <w:r>
        <w:rPr>
          <w:spacing w:val="-3"/>
        </w:rPr>
        <w:t xml:space="preserve"> </w:t>
      </w:r>
      <w:r>
        <w:t>“formal</w:t>
      </w:r>
      <w:r>
        <w:rPr>
          <w:spacing w:val="-3"/>
        </w:rPr>
        <w:t xml:space="preserve"> </w:t>
      </w:r>
      <w:r>
        <w:t>truth”</w:t>
      </w:r>
      <w:r>
        <w:rPr>
          <w:spacing w:val="-3"/>
        </w:rPr>
        <w:t xml:space="preserve"> </w:t>
      </w:r>
      <w:r>
        <w:t>is</w:t>
      </w:r>
      <w:r>
        <w:rPr>
          <w:spacing w:val="-3"/>
        </w:rPr>
        <w:t xml:space="preserve"> </w:t>
      </w:r>
      <w:r>
        <w:t>syntactic</w:t>
      </w:r>
      <w:r>
        <w:rPr>
          <w:spacing w:val="-3"/>
        </w:rPr>
        <w:t xml:space="preserve"> </w:t>
      </w:r>
      <w:r>
        <w:t>truth.</w:t>
      </w:r>
      <w:r>
        <w:rPr>
          <w:spacing w:val="-3"/>
        </w:rPr>
        <w:t xml:space="preserve"> </w:t>
      </w:r>
      <w:r>
        <w:t>Logicians</w:t>
      </w:r>
      <w:r>
        <w:rPr>
          <w:spacing w:val="-3"/>
        </w:rPr>
        <w:t xml:space="preserve"> </w:t>
      </w:r>
      <w:r>
        <w:t>and</w:t>
      </w:r>
      <w:r>
        <w:rPr>
          <w:spacing w:val="-3"/>
        </w:rPr>
        <w:t xml:space="preserve"> </w:t>
      </w:r>
      <w:r>
        <w:t xml:space="preserve">philosophers obviously have in mind some very different understanding of the word “syntax” when they identify “formal” truth with “syntactic” truth. They </w:t>
      </w:r>
      <w:r>
        <w:rPr>
          <w:i/>
        </w:rPr>
        <w:t xml:space="preserve">don’t </w:t>
      </w:r>
      <w:r>
        <w:t xml:space="preserve">have in mind sentential (or phrasal) structure. What </w:t>
      </w:r>
      <w:r>
        <w:rPr>
          <w:i/>
        </w:rPr>
        <w:t xml:space="preserve">do </w:t>
      </w:r>
      <w:r>
        <w:t>they have in mind? What do philosophers mean when they say that a formally true sentence is one that holds entirely in virtue of its “syntax”? What do they mean when they describe some statement as a “formal truth”?</w:t>
      </w:r>
    </w:p>
    <w:p w14:paraId="7E002263" w14:textId="77777777" w:rsidR="009A58DB" w:rsidRDefault="00000000">
      <w:pPr>
        <w:pStyle w:val="Heading1"/>
        <w:numPr>
          <w:ilvl w:val="2"/>
          <w:numId w:val="69"/>
        </w:numPr>
        <w:tabs>
          <w:tab w:val="left" w:pos="1305"/>
        </w:tabs>
        <w:spacing w:before="204"/>
        <w:jc w:val="both"/>
      </w:pPr>
      <w:r>
        <w:t>Quine</w:t>
      </w:r>
      <w:r>
        <w:rPr>
          <w:spacing w:val="-4"/>
        </w:rPr>
        <w:t xml:space="preserve"> </w:t>
      </w:r>
      <w:r>
        <w:t>on</w:t>
      </w:r>
      <w:r>
        <w:rPr>
          <w:spacing w:val="-3"/>
        </w:rPr>
        <w:t xml:space="preserve"> </w:t>
      </w:r>
      <w:r>
        <w:t>formal</w:t>
      </w:r>
      <w:r>
        <w:rPr>
          <w:spacing w:val="-3"/>
        </w:rPr>
        <w:t xml:space="preserve"> </w:t>
      </w:r>
      <w:r>
        <w:rPr>
          <w:spacing w:val="-2"/>
        </w:rPr>
        <w:t>truth</w:t>
      </w:r>
    </w:p>
    <w:p w14:paraId="7E002264" w14:textId="77777777" w:rsidR="009A58DB" w:rsidRDefault="00000000">
      <w:pPr>
        <w:pStyle w:val="BodyText"/>
        <w:spacing w:before="139" w:line="249" w:lineRule="auto"/>
        <w:ind w:right="358"/>
      </w:pPr>
      <w:r>
        <w:t xml:space="preserve">W.V.O. Quine (1908–2000) gave a characteristically intelligent and straightforward answer to this important question: a sentence S is formally true if, given any expression in S that isn’t a </w:t>
      </w:r>
      <w:r>
        <w:rPr>
          <w:i/>
        </w:rPr>
        <w:t xml:space="preserve">logical constant, </w:t>
      </w:r>
      <w:r>
        <w:t>it isn’t possible to produce a false sentence by replacing that expression with another expression of the appropriate grammatical category. A “logical constant” is an expression on the following list: “if . . . then . . . ,” “either . . . or . . . ,” “not,”</w:t>
      </w:r>
      <w:r>
        <w:rPr>
          <w:spacing w:val="-4"/>
        </w:rPr>
        <w:t xml:space="preserve"> </w:t>
      </w:r>
      <w:r>
        <w:t>“for</w:t>
      </w:r>
      <w:r>
        <w:rPr>
          <w:spacing w:val="-4"/>
        </w:rPr>
        <w:t xml:space="preserve"> </w:t>
      </w:r>
      <w:r>
        <w:t>all,”</w:t>
      </w:r>
      <w:r>
        <w:rPr>
          <w:spacing w:val="-4"/>
        </w:rPr>
        <w:t xml:space="preserve"> </w:t>
      </w:r>
      <w:r>
        <w:t>“for</w:t>
      </w:r>
      <w:r>
        <w:rPr>
          <w:spacing w:val="-4"/>
        </w:rPr>
        <w:t xml:space="preserve"> </w:t>
      </w:r>
      <w:r>
        <w:t>some,”</w:t>
      </w:r>
      <w:r>
        <w:rPr>
          <w:spacing w:val="-4"/>
        </w:rPr>
        <w:t xml:space="preserve"> </w:t>
      </w:r>
      <w:r>
        <w:t>“=”—and</w:t>
      </w:r>
      <w:r>
        <w:rPr>
          <w:spacing w:val="-3"/>
        </w:rPr>
        <w:t xml:space="preserve"> </w:t>
      </w:r>
      <w:r>
        <w:t>any</w:t>
      </w:r>
      <w:r>
        <w:rPr>
          <w:spacing w:val="-3"/>
        </w:rPr>
        <w:t xml:space="preserve"> </w:t>
      </w:r>
      <w:r>
        <w:t>obvious</w:t>
      </w:r>
      <w:r>
        <w:rPr>
          <w:spacing w:val="-4"/>
        </w:rPr>
        <w:t xml:space="preserve"> </w:t>
      </w:r>
      <w:r>
        <w:t>derivatives</w:t>
      </w:r>
      <w:r>
        <w:rPr>
          <w:spacing w:val="-4"/>
        </w:rPr>
        <w:t xml:space="preserve"> </w:t>
      </w:r>
      <w:r>
        <w:t>of</w:t>
      </w:r>
      <w:r>
        <w:rPr>
          <w:spacing w:val="-4"/>
        </w:rPr>
        <w:t xml:space="preserve"> </w:t>
      </w:r>
      <w:r>
        <w:t>any</w:t>
      </w:r>
      <w:r>
        <w:rPr>
          <w:spacing w:val="-3"/>
        </w:rPr>
        <w:t xml:space="preserve"> </w:t>
      </w:r>
      <w:r>
        <w:t>of</w:t>
      </w:r>
      <w:r>
        <w:rPr>
          <w:spacing w:val="-4"/>
        </w:rPr>
        <w:t xml:space="preserve"> </w:t>
      </w:r>
      <w:r>
        <w:t>these</w:t>
      </w:r>
    </w:p>
    <w:p w14:paraId="7E00226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66" w14:textId="77777777" w:rsidR="009A58DB" w:rsidRDefault="00000000">
      <w:pPr>
        <w:pStyle w:val="BodyText"/>
        <w:spacing w:before="65" w:line="249" w:lineRule="auto"/>
        <w:jc w:val="left"/>
      </w:pPr>
      <w:r>
        <w:lastRenderedPageBreak/>
        <w:t>expressions</w:t>
      </w:r>
      <w:r>
        <w:rPr>
          <w:spacing w:val="36"/>
        </w:rPr>
        <w:t xml:space="preserve"> </w:t>
      </w:r>
      <w:r>
        <w:t>(e.g.,</w:t>
      </w:r>
      <w:r>
        <w:rPr>
          <w:spacing w:val="37"/>
        </w:rPr>
        <w:t xml:space="preserve"> </w:t>
      </w:r>
      <w:r>
        <w:t>“is</w:t>
      </w:r>
      <w:r>
        <w:rPr>
          <w:spacing w:val="37"/>
        </w:rPr>
        <w:t xml:space="preserve"> </w:t>
      </w:r>
      <w:r>
        <w:t>identical</w:t>
      </w:r>
      <w:r>
        <w:rPr>
          <w:spacing w:val="36"/>
        </w:rPr>
        <w:t xml:space="preserve"> </w:t>
      </w:r>
      <w:r>
        <w:t>with,”</w:t>
      </w:r>
      <w:r>
        <w:rPr>
          <w:spacing w:val="37"/>
        </w:rPr>
        <w:t xml:space="preserve"> </w:t>
      </w:r>
      <w:r>
        <w:t>“given</w:t>
      </w:r>
      <w:r>
        <w:rPr>
          <w:spacing w:val="37"/>
        </w:rPr>
        <w:t xml:space="preserve"> </w:t>
      </w:r>
      <w:r>
        <w:t>any,”</w:t>
      </w:r>
      <w:r>
        <w:rPr>
          <w:spacing w:val="36"/>
        </w:rPr>
        <w:t xml:space="preserve"> </w:t>
      </w:r>
      <w:r>
        <w:t>“it</w:t>
      </w:r>
      <w:r>
        <w:rPr>
          <w:spacing w:val="36"/>
        </w:rPr>
        <w:t xml:space="preserve"> </w:t>
      </w:r>
      <w:r>
        <w:t>is</w:t>
      </w:r>
      <w:r>
        <w:rPr>
          <w:spacing w:val="36"/>
        </w:rPr>
        <w:t xml:space="preserve"> </w:t>
      </w:r>
      <w:r>
        <w:t>not</w:t>
      </w:r>
      <w:r>
        <w:rPr>
          <w:spacing w:val="36"/>
        </w:rPr>
        <w:t xml:space="preserve"> </w:t>
      </w:r>
      <w:r>
        <w:t>the</w:t>
      </w:r>
      <w:r>
        <w:rPr>
          <w:spacing w:val="37"/>
        </w:rPr>
        <w:t xml:space="preserve"> </w:t>
      </w:r>
      <w:r>
        <w:t>case</w:t>
      </w:r>
      <w:r>
        <w:rPr>
          <w:spacing w:val="37"/>
        </w:rPr>
        <w:t xml:space="preserve"> </w:t>
      </w:r>
      <w:r>
        <w:t xml:space="preserve">that,” </w:t>
      </w:r>
      <w:r>
        <w:rPr>
          <w:spacing w:val="-2"/>
          <w:position w:val="-20"/>
        </w:rPr>
        <w:t>etc.</w:t>
      </w:r>
      <w:bookmarkStart w:id="474" w:name="_bookmark474"/>
      <w:bookmarkEnd w:id="474"/>
      <w:r>
        <w:rPr>
          <w:spacing w:val="-2"/>
          <w:position w:val="-20"/>
        </w:rPr>
        <w:t>)</w:t>
      </w:r>
      <w:r>
        <w:rPr>
          <w:color w:val="0562C1"/>
          <w:spacing w:val="-2"/>
          <w:u w:val="single" w:color="0562C1"/>
        </w:rPr>
        <w:t>[354]</w:t>
      </w:r>
    </w:p>
    <w:p w14:paraId="7E002267" w14:textId="77777777" w:rsidR="009A58DB" w:rsidRDefault="00000000">
      <w:pPr>
        <w:pStyle w:val="BodyText"/>
        <w:spacing w:before="2" w:line="249" w:lineRule="auto"/>
        <w:ind w:right="362" w:firstLine="360"/>
      </w:pPr>
      <w:r>
        <w:t xml:space="preserve">Consider the sentence “grass is green or grass is not green.” Replacing “grass” with “fire” or “Bob” results in a truth, as does replacing “green” with “cool” or “voluminous.” (It’s assumed that the replacements are uniformly made: if a single occurrence of “grass” is replaced with “fire,” so is every other such occurrence.) Given any expression in (1) </w:t>
      </w:r>
      <w:r>
        <w:rPr>
          <w:i/>
        </w:rPr>
        <w:t xml:space="preserve">other </w:t>
      </w:r>
      <w:r>
        <w:t>than the logical constants in it (viz. “either . . . or . . .” and “not”), replacing that expression with another belonging to the same grammatical category results in truth.</w:t>
      </w:r>
    </w:p>
    <w:p w14:paraId="7E002268" w14:textId="77777777" w:rsidR="009A58DB" w:rsidRDefault="00000000">
      <w:pPr>
        <w:pStyle w:val="BodyText"/>
        <w:spacing w:before="9" w:line="249" w:lineRule="auto"/>
        <w:ind w:right="358" w:firstLine="360"/>
      </w:pPr>
      <w:r>
        <w:t xml:space="preserve">There are two problems with Quine’s analysis. First, it doesn’t say what is so special about those items; it doesn’t say what these so-called “logical constants” have in common with one another that other expressions </w:t>
      </w:r>
      <w:r>
        <w:rPr>
          <w:i/>
        </w:rPr>
        <w:t xml:space="preserve">not </w:t>
      </w:r>
      <w:r>
        <w:t>on</w:t>
      </w:r>
      <w:r>
        <w:rPr>
          <w:spacing w:val="40"/>
        </w:rPr>
        <w:t xml:space="preserve"> </w:t>
      </w:r>
      <w:r>
        <w:t xml:space="preserve">the list </w:t>
      </w:r>
      <w:r>
        <w:rPr>
          <w:i/>
        </w:rPr>
        <w:t xml:space="preserve">don’t </w:t>
      </w:r>
      <w:r>
        <w:t>have in common with them. And until that information is provided, there’s nothing to prevent one from extending that list in arbitrary ways.</w:t>
      </w:r>
      <w:r>
        <w:rPr>
          <w:spacing w:val="-3"/>
        </w:rPr>
        <w:t xml:space="preserve"> </w:t>
      </w:r>
      <w:r>
        <w:t>Unless</w:t>
      </w:r>
      <w:r>
        <w:rPr>
          <w:spacing w:val="-2"/>
        </w:rPr>
        <w:t xml:space="preserve"> </w:t>
      </w:r>
      <w:r>
        <w:t>that</w:t>
      </w:r>
      <w:r>
        <w:rPr>
          <w:spacing w:val="-3"/>
        </w:rPr>
        <w:t xml:space="preserve"> </w:t>
      </w:r>
      <w:r>
        <w:t>list</w:t>
      </w:r>
      <w:r>
        <w:rPr>
          <w:spacing w:val="-2"/>
        </w:rPr>
        <w:t xml:space="preserve"> </w:t>
      </w:r>
      <w:r>
        <w:t>was</w:t>
      </w:r>
      <w:r>
        <w:rPr>
          <w:spacing w:val="-3"/>
        </w:rPr>
        <w:t xml:space="preserve"> </w:t>
      </w:r>
      <w:r>
        <w:t>generated</w:t>
      </w:r>
      <w:r>
        <w:rPr>
          <w:spacing w:val="-2"/>
        </w:rPr>
        <w:t xml:space="preserve"> </w:t>
      </w:r>
      <w:r>
        <w:t>by</w:t>
      </w:r>
      <w:r>
        <w:rPr>
          <w:spacing w:val="-2"/>
        </w:rPr>
        <w:t xml:space="preserve"> </w:t>
      </w:r>
      <w:r>
        <w:t>some</w:t>
      </w:r>
      <w:r>
        <w:rPr>
          <w:spacing w:val="-3"/>
        </w:rPr>
        <w:t xml:space="preserve"> </w:t>
      </w:r>
      <w:r>
        <w:t>rule,</w:t>
      </w:r>
      <w:r>
        <w:rPr>
          <w:spacing w:val="-2"/>
        </w:rPr>
        <w:t xml:space="preserve"> </w:t>
      </w:r>
      <w:r>
        <w:t>anything</w:t>
      </w:r>
      <w:r>
        <w:rPr>
          <w:spacing w:val="-3"/>
        </w:rPr>
        <w:t xml:space="preserve"> </w:t>
      </w:r>
      <w:r>
        <w:t>can</w:t>
      </w:r>
      <w:r>
        <w:rPr>
          <w:spacing w:val="-2"/>
        </w:rPr>
        <w:t xml:space="preserve"> </w:t>
      </w:r>
      <w:r>
        <w:t>be</w:t>
      </w:r>
      <w:r>
        <w:rPr>
          <w:spacing w:val="-3"/>
        </w:rPr>
        <w:t xml:space="preserve"> </w:t>
      </w:r>
      <w:r>
        <w:t>added</w:t>
      </w:r>
      <w:r>
        <w:rPr>
          <w:spacing w:val="-2"/>
        </w:rPr>
        <w:t xml:space="preserve"> </w:t>
      </w:r>
      <w:r>
        <w:t>to</w:t>
      </w:r>
      <w:r>
        <w:rPr>
          <w:spacing w:val="-2"/>
        </w:rPr>
        <w:t xml:space="preserve"> </w:t>
      </w:r>
      <w:r>
        <w:t>it without</w:t>
      </w:r>
      <w:r>
        <w:rPr>
          <w:spacing w:val="-2"/>
        </w:rPr>
        <w:t xml:space="preserve"> </w:t>
      </w:r>
      <w:r>
        <w:t>diminishing</w:t>
      </w:r>
      <w:r>
        <w:rPr>
          <w:spacing w:val="-1"/>
        </w:rPr>
        <w:t xml:space="preserve"> </w:t>
      </w:r>
      <w:r>
        <w:t>its</w:t>
      </w:r>
      <w:r>
        <w:rPr>
          <w:spacing w:val="-1"/>
        </w:rPr>
        <w:t xml:space="preserve"> </w:t>
      </w:r>
      <w:r>
        <w:t>integrity,</w:t>
      </w:r>
      <w:r>
        <w:rPr>
          <w:spacing w:val="-1"/>
        </w:rPr>
        <w:t xml:space="preserve"> </w:t>
      </w:r>
      <w:r>
        <w:t>since</w:t>
      </w:r>
      <w:r>
        <w:rPr>
          <w:spacing w:val="-1"/>
        </w:rPr>
        <w:t xml:space="preserve"> </w:t>
      </w:r>
      <w:r>
        <w:t>it</w:t>
      </w:r>
      <w:r>
        <w:rPr>
          <w:spacing w:val="-1"/>
        </w:rPr>
        <w:t xml:space="preserve"> </w:t>
      </w:r>
      <w:r>
        <w:t>has</w:t>
      </w:r>
      <w:r>
        <w:rPr>
          <w:spacing w:val="-1"/>
        </w:rPr>
        <w:t xml:space="preserve"> </w:t>
      </w:r>
      <w:r>
        <w:t>no</w:t>
      </w:r>
      <w:r>
        <w:rPr>
          <w:spacing w:val="-1"/>
        </w:rPr>
        <w:t xml:space="preserve"> </w:t>
      </w:r>
      <w:r>
        <w:t>integrity</w:t>
      </w:r>
      <w:r>
        <w:rPr>
          <w:spacing w:val="-1"/>
        </w:rPr>
        <w:t xml:space="preserve"> </w:t>
      </w:r>
      <w:r>
        <w:t>to</w:t>
      </w:r>
      <w:r>
        <w:rPr>
          <w:spacing w:val="-1"/>
        </w:rPr>
        <w:t xml:space="preserve"> </w:t>
      </w:r>
      <w:r>
        <w:t>begin</w:t>
      </w:r>
      <w:r>
        <w:rPr>
          <w:spacing w:val="-1"/>
        </w:rPr>
        <w:t xml:space="preserve"> </w:t>
      </w:r>
      <w:r>
        <w:t>with.</w:t>
      </w:r>
      <w:r>
        <w:rPr>
          <w:spacing w:val="-1"/>
        </w:rPr>
        <w:t xml:space="preserve"> </w:t>
      </w:r>
      <w:r>
        <w:t>But</w:t>
      </w:r>
      <w:r>
        <w:rPr>
          <w:spacing w:val="-1"/>
        </w:rPr>
        <w:t xml:space="preserve"> </w:t>
      </w:r>
      <w:r>
        <w:t>if it was generated by some rule, then Quine’s answer fails to identify it and thus fails to say what formal truth is.</w:t>
      </w:r>
    </w:p>
    <w:p w14:paraId="7E002269" w14:textId="77777777" w:rsidR="009A58DB" w:rsidRDefault="00000000">
      <w:pPr>
        <w:pStyle w:val="BodyText"/>
        <w:spacing w:before="11" w:line="249" w:lineRule="auto"/>
        <w:ind w:right="359" w:firstLine="360"/>
      </w:pPr>
      <w:r>
        <w:t xml:space="preserve">An analogy may help. When asked to define the expression “number,” I simply </w:t>
      </w:r>
      <w:r>
        <w:rPr>
          <w:i/>
        </w:rPr>
        <w:t xml:space="preserve">list </w:t>
      </w:r>
      <w:r>
        <w:t>the various different kinds of numbers (“real,” “whole,”</w:t>
      </w:r>
      <w:r>
        <w:rPr>
          <w:spacing w:val="40"/>
        </w:rPr>
        <w:t xml:space="preserve"> </w:t>
      </w:r>
      <w:r>
        <w:t xml:space="preserve">“rational,” “imaginary,” etc.). Have I answered the question? No. Even though I’ve listed the various different kinds of numbers, I haven’t said what numbers are, and I thus haven’t provided any </w:t>
      </w:r>
      <w:r>
        <w:rPr>
          <w:i/>
        </w:rPr>
        <w:t xml:space="preserve">reason </w:t>
      </w:r>
      <w:r>
        <w:t>why fractions are on</w:t>
      </w:r>
      <w:r>
        <w:rPr>
          <w:spacing w:val="40"/>
        </w:rPr>
        <w:t xml:space="preserve"> </w:t>
      </w:r>
      <w:r>
        <w:t>that list but birds are not. Accordingly, my answer doesn’t give anyone a reason not to extend that list as he or she pleases—not to decide that birds</w:t>
      </w:r>
      <w:r>
        <w:rPr>
          <w:spacing w:val="40"/>
        </w:rPr>
        <w:t xml:space="preserve"> </w:t>
      </w:r>
      <w:r>
        <w:t xml:space="preserve">and rocks are numbers. Of course, nobody </w:t>
      </w:r>
      <w:r>
        <w:rPr>
          <w:i/>
        </w:rPr>
        <w:t xml:space="preserve">would </w:t>
      </w:r>
      <w:r>
        <w:t xml:space="preserve">extend the list in such an absurd way. But that’s only because our intuitions strongly suggest that there is </w:t>
      </w:r>
      <w:r>
        <w:rPr>
          <w:i/>
        </w:rPr>
        <w:t xml:space="preserve">some </w:t>
      </w:r>
      <w:r>
        <w:t>characteristic had in common by reals, rationals, etc., that birds and rocks don’t have.</w:t>
      </w:r>
    </w:p>
    <w:p w14:paraId="7E00226A" w14:textId="77777777" w:rsidR="009A58DB" w:rsidRDefault="00000000">
      <w:pPr>
        <w:pStyle w:val="BodyText"/>
        <w:spacing w:before="13" w:line="249" w:lineRule="auto"/>
        <w:ind w:right="359" w:firstLine="360"/>
      </w:pPr>
      <w:r>
        <w:t>Second, there are truths not covered by Quine’s analysis that don’t appear to differ in any relevant respect from those covered by that analysis. Many modal statements are in this category—for example, “if it’s necessarily the case</w:t>
      </w:r>
      <w:r>
        <w:rPr>
          <w:spacing w:val="-1"/>
        </w:rPr>
        <w:t xml:space="preserve"> </w:t>
      </w:r>
      <w:r>
        <w:t>that</w:t>
      </w:r>
      <w:r>
        <w:rPr>
          <w:spacing w:val="-1"/>
        </w:rPr>
        <w:t xml:space="preserve"> </w:t>
      </w:r>
      <w:r>
        <w:t>Smith</w:t>
      </w:r>
      <w:r>
        <w:rPr>
          <w:spacing w:val="-1"/>
        </w:rPr>
        <w:t xml:space="preserve"> </w:t>
      </w:r>
      <w:r>
        <w:t>is</w:t>
      </w:r>
      <w:r>
        <w:rPr>
          <w:spacing w:val="-1"/>
        </w:rPr>
        <w:t xml:space="preserve"> </w:t>
      </w:r>
      <w:r>
        <w:t>a</w:t>
      </w:r>
      <w:r>
        <w:rPr>
          <w:spacing w:val="-1"/>
        </w:rPr>
        <w:t xml:space="preserve"> </w:t>
      </w:r>
      <w:r>
        <w:t>mammal</w:t>
      </w:r>
      <w:r>
        <w:rPr>
          <w:spacing w:val="-1"/>
        </w:rPr>
        <w:t xml:space="preserve"> </w:t>
      </w:r>
      <w:r>
        <w:t>if</w:t>
      </w:r>
      <w:r>
        <w:rPr>
          <w:spacing w:val="-1"/>
        </w:rPr>
        <w:t xml:space="preserve"> </w:t>
      </w:r>
      <w:r>
        <w:t>Smith</w:t>
      </w:r>
      <w:r>
        <w:rPr>
          <w:spacing w:val="-1"/>
        </w:rPr>
        <w:t xml:space="preserve"> </w:t>
      </w:r>
      <w:r>
        <w:t>is</w:t>
      </w:r>
      <w:r>
        <w:rPr>
          <w:spacing w:val="-1"/>
        </w:rPr>
        <w:t xml:space="preserve"> </w:t>
      </w:r>
      <w:r>
        <w:t>a</w:t>
      </w:r>
      <w:r>
        <w:rPr>
          <w:spacing w:val="-1"/>
        </w:rPr>
        <w:t xml:space="preserve"> </w:t>
      </w:r>
      <w:r>
        <w:t>dog,</w:t>
      </w:r>
      <w:r>
        <w:rPr>
          <w:spacing w:val="-1"/>
        </w:rPr>
        <w:t xml:space="preserve"> </w:t>
      </w:r>
      <w:r>
        <w:t>then</w:t>
      </w:r>
      <w:r>
        <w:rPr>
          <w:spacing w:val="-1"/>
        </w:rPr>
        <w:t xml:space="preserve"> </w:t>
      </w:r>
      <w:r>
        <w:t>if</w:t>
      </w:r>
      <w:r>
        <w:rPr>
          <w:spacing w:val="-1"/>
        </w:rPr>
        <w:t xml:space="preserve"> </w:t>
      </w:r>
      <w:r>
        <w:t>it’s</w:t>
      </w:r>
      <w:r>
        <w:rPr>
          <w:spacing w:val="-1"/>
        </w:rPr>
        <w:t xml:space="preserve"> </w:t>
      </w:r>
      <w:r>
        <w:t>necessarily</w:t>
      </w:r>
      <w:r>
        <w:rPr>
          <w:spacing w:val="-1"/>
        </w:rPr>
        <w:t xml:space="preserve"> </w:t>
      </w:r>
      <w:r>
        <w:t>the</w:t>
      </w:r>
      <w:r>
        <w:rPr>
          <w:spacing w:val="-1"/>
        </w:rPr>
        <w:t xml:space="preserve"> </w:t>
      </w:r>
      <w:r>
        <w:t>case that</w:t>
      </w:r>
      <w:r>
        <w:rPr>
          <w:spacing w:val="-1"/>
        </w:rPr>
        <w:t xml:space="preserve"> </w:t>
      </w:r>
      <w:r>
        <w:t>Smith is a mammal</w:t>
      </w:r>
      <w:r>
        <w:rPr>
          <w:spacing w:val="-1"/>
        </w:rPr>
        <w:t xml:space="preserve"> </w:t>
      </w:r>
      <w:r>
        <w:t>if</w:t>
      </w:r>
      <w:r>
        <w:rPr>
          <w:spacing w:val="-1"/>
        </w:rPr>
        <w:t xml:space="preserve"> </w:t>
      </w:r>
      <w:r>
        <w:t>it’s necessarily the case that</w:t>
      </w:r>
      <w:r>
        <w:rPr>
          <w:spacing w:val="-1"/>
        </w:rPr>
        <w:t xml:space="preserve"> </w:t>
      </w:r>
      <w:r>
        <w:t>Smith is a dog.” There doesn’t</w:t>
      </w:r>
      <w:r>
        <w:rPr>
          <w:spacing w:val="34"/>
        </w:rPr>
        <w:t xml:space="preserve"> </w:t>
      </w:r>
      <w:r>
        <w:t>seem</w:t>
      </w:r>
      <w:r>
        <w:rPr>
          <w:spacing w:val="34"/>
        </w:rPr>
        <w:t xml:space="preserve"> </w:t>
      </w:r>
      <w:r>
        <w:t>to</w:t>
      </w:r>
      <w:r>
        <w:rPr>
          <w:spacing w:val="34"/>
        </w:rPr>
        <w:t xml:space="preserve"> </w:t>
      </w:r>
      <w:r>
        <w:t>be</w:t>
      </w:r>
      <w:r>
        <w:rPr>
          <w:spacing w:val="34"/>
        </w:rPr>
        <w:t xml:space="preserve"> </w:t>
      </w:r>
      <w:r>
        <w:t>any</w:t>
      </w:r>
      <w:r>
        <w:rPr>
          <w:spacing w:val="34"/>
        </w:rPr>
        <w:t xml:space="preserve"> </w:t>
      </w:r>
      <w:r>
        <w:t>relevant</w:t>
      </w:r>
      <w:r>
        <w:rPr>
          <w:spacing w:val="34"/>
        </w:rPr>
        <w:t xml:space="preserve"> </w:t>
      </w:r>
      <w:r>
        <w:t>difference</w:t>
      </w:r>
      <w:r>
        <w:rPr>
          <w:spacing w:val="34"/>
        </w:rPr>
        <w:t xml:space="preserve"> </w:t>
      </w:r>
      <w:r>
        <w:t>between</w:t>
      </w:r>
      <w:r>
        <w:rPr>
          <w:spacing w:val="34"/>
        </w:rPr>
        <w:t xml:space="preserve"> </w:t>
      </w:r>
      <w:r>
        <w:rPr>
          <w:i/>
        </w:rPr>
        <w:t>that</w:t>
      </w:r>
      <w:r>
        <w:rPr>
          <w:i/>
          <w:spacing w:val="26"/>
        </w:rPr>
        <w:t xml:space="preserve"> </w:t>
      </w:r>
      <w:r>
        <w:t>statement</w:t>
      </w:r>
      <w:r>
        <w:rPr>
          <w:spacing w:val="40"/>
        </w:rPr>
        <w:t xml:space="preserve"> </w:t>
      </w:r>
      <w:r>
        <w:t>and</w:t>
      </w:r>
      <w:r>
        <w:rPr>
          <w:spacing w:val="40"/>
        </w:rPr>
        <w:t xml:space="preserve"> </w:t>
      </w:r>
      <w:r>
        <w:t>one</w:t>
      </w:r>
    </w:p>
    <w:p w14:paraId="7E00226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6C" w14:textId="77777777" w:rsidR="009A58DB" w:rsidRDefault="00000000">
      <w:pPr>
        <w:pStyle w:val="BodyText"/>
        <w:spacing w:before="65" w:line="249" w:lineRule="auto"/>
        <w:ind w:right="359"/>
      </w:pPr>
      <w:r>
        <w:lastRenderedPageBreak/>
        <w:t>that conforms to Quine’s analysis—for example, “if Smith is a mammal if Smith is a dog, and Smith is an animal if Smith is mammal, then Smith is an animal if Smith is a dog.” So there doesn’t seem to be any good reason why “necessarily,” unlike “if . . . then . . . ,” doesn’t make it onto Quine’s list.</w:t>
      </w:r>
    </w:p>
    <w:p w14:paraId="7E00226D" w14:textId="77777777" w:rsidR="009A58DB" w:rsidRDefault="00000000">
      <w:pPr>
        <w:pStyle w:val="BodyText"/>
        <w:spacing w:before="5" w:line="249" w:lineRule="auto"/>
        <w:ind w:right="364" w:firstLine="360"/>
      </w:pPr>
      <w:r>
        <w:t>Of</w:t>
      </w:r>
      <w:r>
        <w:rPr>
          <w:spacing w:val="-4"/>
        </w:rPr>
        <w:t xml:space="preserve"> </w:t>
      </w:r>
      <w:r>
        <w:t>course,</w:t>
      </w:r>
      <w:r>
        <w:rPr>
          <w:spacing w:val="-3"/>
        </w:rPr>
        <w:t xml:space="preserve"> </w:t>
      </w:r>
      <w:r>
        <w:t>one</w:t>
      </w:r>
      <w:r>
        <w:rPr>
          <w:spacing w:val="-4"/>
        </w:rPr>
        <w:t xml:space="preserve"> </w:t>
      </w:r>
      <w:r>
        <w:t>could</w:t>
      </w:r>
      <w:r>
        <w:rPr>
          <w:spacing w:val="-3"/>
        </w:rPr>
        <w:t xml:space="preserve"> </w:t>
      </w:r>
      <w:r>
        <w:t>deal</w:t>
      </w:r>
      <w:r>
        <w:rPr>
          <w:spacing w:val="-4"/>
        </w:rPr>
        <w:t xml:space="preserve"> </w:t>
      </w:r>
      <w:r>
        <w:t>with</w:t>
      </w:r>
      <w:r>
        <w:rPr>
          <w:spacing w:val="-3"/>
        </w:rPr>
        <w:t xml:space="preserve"> </w:t>
      </w:r>
      <w:r>
        <w:t>this</w:t>
      </w:r>
      <w:r>
        <w:rPr>
          <w:spacing w:val="-4"/>
        </w:rPr>
        <w:t xml:space="preserve"> </w:t>
      </w:r>
      <w:r>
        <w:t>by</w:t>
      </w:r>
      <w:r>
        <w:rPr>
          <w:spacing w:val="-3"/>
        </w:rPr>
        <w:t xml:space="preserve"> </w:t>
      </w:r>
      <w:r>
        <w:t>adding</w:t>
      </w:r>
      <w:r>
        <w:rPr>
          <w:spacing w:val="-3"/>
        </w:rPr>
        <w:t xml:space="preserve"> </w:t>
      </w:r>
      <w:r>
        <w:t>“necessarily”</w:t>
      </w:r>
      <w:r>
        <w:rPr>
          <w:spacing w:val="-4"/>
        </w:rPr>
        <w:t xml:space="preserve"> </w:t>
      </w:r>
      <w:r>
        <w:t>to</w:t>
      </w:r>
      <w:r>
        <w:rPr>
          <w:spacing w:val="-3"/>
        </w:rPr>
        <w:t xml:space="preserve"> </w:t>
      </w:r>
      <w:r>
        <w:t>that</w:t>
      </w:r>
      <w:r>
        <w:rPr>
          <w:spacing w:val="-4"/>
        </w:rPr>
        <w:t xml:space="preserve"> </w:t>
      </w:r>
      <w:r>
        <w:t>list.</w:t>
      </w:r>
      <w:r>
        <w:rPr>
          <w:spacing w:val="-3"/>
        </w:rPr>
        <w:t xml:space="preserve"> </w:t>
      </w:r>
      <w:r>
        <w:t xml:space="preserve">But then we’d have to ask: “what makes </w:t>
      </w:r>
      <w:r>
        <w:rPr>
          <w:i/>
        </w:rPr>
        <w:t xml:space="preserve">that </w:t>
      </w:r>
      <w:r>
        <w:t>extension of the list legitimate?,” bringing us back to the criticism made a moment ago.</w:t>
      </w:r>
    </w:p>
    <w:p w14:paraId="7E00226E" w14:textId="77777777" w:rsidR="009A58DB" w:rsidRDefault="00000000">
      <w:pPr>
        <w:pStyle w:val="ListParagraph"/>
        <w:numPr>
          <w:ilvl w:val="2"/>
          <w:numId w:val="69"/>
        </w:numPr>
        <w:tabs>
          <w:tab w:val="left" w:pos="1305"/>
        </w:tabs>
        <w:spacing w:before="191"/>
        <w:rPr>
          <w:b/>
          <w:sz w:val="42"/>
        </w:rPr>
      </w:pPr>
      <w:r>
        <w:rPr>
          <w:b/>
          <w:sz w:val="42"/>
        </w:rPr>
        <w:t>Why</w:t>
      </w:r>
      <w:r>
        <w:rPr>
          <w:b/>
          <w:spacing w:val="-6"/>
          <w:sz w:val="42"/>
        </w:rPr>
        <w:t xml:space="preserve"> </w:t>
      </w:r>
      <w:r>
        <w:rPr>
          <w:b/>
          <w:sz w:val="42"/>
        </w:rPr>
        <w:t>formal</w:t>
      </w:r>
      <w:r>
        <w:rPr>
          <w:b/>
          <w:spacing w:val="-5"/>
          <w:sz w:val="42"/>
        </w:rPr>
        <w:t xml:space="preserve"> </w:t>
      </w:r>
      <w:r>
        <w:rPr>
          <w:b/>
          <w:sz w:val="42"/>
        </w:rPr>
        <w:t>truth</w:t>
      </w:r>
      <w:r>
        <w:rPr>
          <w:b/>
          <w:spacing w:val="-4"/>
          <w:sz w:val="42"/>
        </w:rPr>
        <w:t xml:space="preserve"> </w:t>
      </w:r>
      <w:r>
        <w:rPr>
          <w:b/>
          <w:sz w:val="42"/>
        </w:rPr>
        <w:t>≠</w:t>
      </w:r>
      <w:r>
        <w:rPr>
          <w:b/>
          <w:spacing w:val="-5"/>
          <w:sz w:val="42"/>
        </w:rPr>
        <w:t xml:space="preserve"> </w:t>
      </w:r>
      <w:r>
        <w:rPr>
          <w:b/>
          <w:sz w:val="42"/>
        </w:rPr>
        <w:t>topic-neutral</w:t>
      </w:r>
      <w:r>
        <w:rPr>
          <w:b/>
          <w:spacing w:val="-4"/>
          <w:sz w:val="42"/>
        </w:rPr>
        <w:t xml:space="preserve"> </w:t>
      </w:r>
      <w:r>
        <w:rPr>
          <w:b/>
          <w:spacing w:val="-2"/>
          <w:sz w:val="42"/>
        </w:rPr>
        <w:t>truth</w:t>
      </w:r>
    </w:p>
    <w:p w14:paraId="7E00226F" w14:textId="77777777" w:rsidR="009A58DB" w:rsidRDefault="00000000">
      <w:pPr>
        <w:pStyle w:val="BodyText"/>
        <w:spacing w:before="139" w:line="249" w:lineRule="auto"/>
        <w:ind w:right="360"/>
      </w:pPr>
      <w:r>
        <w:rPr>
          <w:rFonts w:ascii="Liberation Serif" w:hAnsi="Liberation Serif"/>
        </w:rPr>
        <w:t xml:space="preserve">Some have argued that formal truth is maximally generic, or “topic-neutral,” truth. The idea is that </w:t>
      </w:r>
      <w:r>
        <w:t>“x = x” is logically true because it’s completely</w:t>
      </w:r>
      <w:r>
        <w:rPr>
          <w:spacing w:val="40"/>
        </w:rPr>
        <w:t xml:space="preserve"> </w:t>
      </w:r>
      <w:r>
        <w:t xml:space="preserve">general: it doesn’t belong to any one discipline and is presupposed by all of </w:t>
      </w:r>
      <w:r>
        <w:rPr>
          <w:spacing w:val="-2"/>
          <w:position w:val="-20"/>
        </w:rPr>
        <w:t>them.</w:t>
      </w:r>
      <w:bookmarkStart w:id="475" w:name="_bookmark475"/>
      <w:bookmarkEnd w:id="475"/>
      <w:r>
        <w:rPr>
          <w:color w:val="0562C1"/>
          <w:spacing w:val="-2"/>
          <w:u w:val="single" w:color="0562C1"/>
        </w:rPr>
        <w:t>[355]</w:t>
      </w:r>
    </w:p>
    <w:p w14:paraId="7E002270" w14:textId="77777777" w:rsidR="009A58DB" w:rsidRDefault="00000000">
      <w:pPr>
        <w:pStyle w:val="BodyText"/>
        <w:spacing w:before="5" w:line="249" w:lineRule="auto"/>
        <w:ind w:right="361" w:firstLine="360"/>
      </w:pPr>
      <w:r>
        <w:t>But this doesn’t work. There are maximally generic truths that aren’t formal—for example, “nothing can wholly pre-exist itself,” “nothing spatiotemporal can lack causal properties,” “nothing non-spatiotemporal can have causal properties,” “inductive inference isn’t an appropriate method of reasoning for non-empirical disciplines.” Given any one of these sentences, it’s easy to show that there are false sentences having the same syntactic form. For example, the first of those sentences has the same form as “nothing spatiotemporal can have causal properties,” which is obviously false.</w:t>
      </w:r>
    </w:p>
    <w:p w14:paraId="7E002271" w14:textId="77777777" w:rsidR="009A58DB" w:rsidRDefault="00000000">
      <w:pPr>
        <w:pStyle w:val="BodyText"/>
        <w:spacing w:before="10" w:line="249" w:lineRule="auto"/>
        <w:ind w:right="360" w:firstLine="360"/>
      </w:pPr>
      <w:r>
        <w:t xml:space="preserve">One could argue that these truths </w:t>
      </w:r>
      <w:r>
        <w:rPr>
          <w:i/>
        </w:rPr>
        <w:t xml:space="preserve">aren’t </w:t>
      </w:r>
      <w:r>
        <w:t>sufficiently generic. But then it would be very unclear what exactly “sufficiently generic” meant in this context, and the suspicion would arise that, so far as it had any coherent meaning, “sufficiently generic” meant “not a counterexample to this particular theory of formal truth.”</w:t>
      </w:r>
    </w:p>
    <w:p w14:paraId="7E002272" w14:textId="77777777" w:rsidR="009A58DB" w:rsidRDefault="00000000">
      <w:pPr>
        <w:pStyle w:val="BodyText"/>
        <w:spacing w:before="6" w:line="249" w:lineRule="auto"/>
        <w:ind w:right="358" w:firstLine="360"/>
      </w:pPr>
      <w:r>
        <w:t xml:space="preserve">Also, whether a sentence expresses a generic truth has nothing to do with its form. The truth expressed by “if everything has a given property, then any given thing has that property” is surely a maximally generic one. But that truth could obviously be expressed by a primitive, syntactically unstructured symbol. In fact, there is </w:t>
      </w:r>
      <w:r>
        <w:rPr>
          <w:i/>
        </w:rPr>
        <w:t xml:space="preserve">no </w:t>
      </w:r>
      <w:r>
        <w:t xml:space="preserve">form that sentences must have if they are to express that truth or any other. So, if “formal truth” is taken to be a characteristic of </w:t>
      </w:r>
      <w:r>
        <w:rPr>
          <w:i/>
        </w:rPr>
        <w:t xml:space="preserve">expressions </w:t>
      </w:r>
      <w:r>
        <w:t>of some kind, then it’s simply false to identify “formal truth” with “maximally generic” truth. And if “formal truth” isn’t meant in this way, then it’s simply irrelevant to our current inquiry.</w:t>
      </w:r>
    </w:p>
    <w:p w14:paraId="7E00227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74" w14:textId="77777777" w:rsidR="009A58DB" w:rsidRDefault="00000000">
      <w:pPr>
        <w:pStyle w:val="Heading1"/>
        <w:numPr>
          <w:ilvl w:val="2"/>
          <w:numId w:val="69"/>
        </w:numPr>
        <w:tabs>
          <w:tab w:val="left" w:pos="1305"/>
        </w:tabs>
        <w:spacing w:before="58"/>
        <w:jc w:val="both"/>
      </w:pPr>
      <w:r>
        <w:lastRenderedPageBreak/>
        <w:t>An</w:t>
      </w:r>
      <w:r>
        <w:rPr>
          <w:spacing w:val="-6"/>
        </w:rPr>
        <w:t xml:space="preserve"> </w:t>
      </w:r>
      <w:r>
        <w:t>alternative</w:t>
      </w:r>
      <w:r>
        <w:rPr>
          <w:spacing w:val="-4"/>
        </w:rPr>
        <w:t xml:space="preserve"> </w:t>
      </w:r>
      <w:r>
        <w:t>analysis</w:t>
      </w:r>
      <w:r>
        <w:rPr>
          <w:spacing w:val="-4"/>
        </w:rPr>
        <w:t xml:space="preserve"> </w:t>
      </w:r>
      <w:r>
        <w:t>of</w:t>
      </w:r>
      <w:r>
        <w:rPr>
          <w:spacing w:val="-4"/>
        </w:rPr>
        <w:t xml:space="preserve"> </w:t>
      </w:r>
      <w:r>
        <w:t>formal</w:t>
      </w:r>
      <w:r>
        <w:rPr>
          <w:spacing w:val="-4"/>
        </w:rPr>
        <w:t xml:space="preserve"> </w:t>
      </w:r>
      <w:r>
        <w:rPr>
          <w:spacing w:val="-2"/>
        </w:rPr>
        <w:t>truth</w:t>
      </w:r>
    </w:p>
    <w:p w14:paraId="7E002275" w14:textId="77777777" w:rsidR="009A58DB" w:rsidRDefault="00000000">
      <w:pPr>
        <w:pStyle w:val="BodyText"/>
        <w:spacing w:before="139" w:line="249" w:lineRule="auto"/>
        <w:ind w:right="357"/>
      </w:pPr>
      <w:r>
        <w:t>A sentence is formally true if it is an instance of an open-sentence that is true for all values of its free variables. (An “open-sentence” is an expression that contains a free variable, and is therefore neither true nor false, but is otherwise just like a sentence. So “x is tall” is an open-sentence</w:t>
      </w:r>
      <w:bookmarkStart w:id="476" w:name="_bookmark476"/>
      <w:bookmarkEnd w:id="476"/>
      <w:r>
        <w:t>.</w:t>
      </w:r>
      <w:r>
        <w:rPr>
          <w:color w:val="0562C1"/>
          <w:position w:val="21"/>
          <w:u w:val="single" w:color="0562C1"/>
        </w:rPr>
        <w:t>[356]</w:t>
      </w:r>
      <w:r>
        <w:t xml:space="preserve">) For </w:t>
      </w:r>
      <w:r>
        <w:rPr>
          <w:spacing w:val="-2"/>
        </w:rPr>
        <w:t>example:</w:t>
      </w:r>
    </w:p>
    <w:p w14:paraId="7E002276" w14:textId="77777777" w:rsidR="009A58DB" w:rsidRDefault="00000000">
      <w:pPr>
        <w:pStyle w:val="ListParagraph"/>
        <w:numPr>
          <w:ilvl w:val="0"/>
          <w:numId w:val="68"/>
        </w:numPr>
        <w:tabs>
          <w:tab w:val="left" w:pos="782"/>
        </w:tabs>
        <w:spacing w:before="111"/>
        <w:ind w:left="782" w:hanging="422"/>
        <w:jc w:val="both"/>
        <w:rPr>
          <w:sz w:val="30"/>
        </w:rPr>
      </w:pPr>
      <w:r>
        <w:rPr>
          <w:sz w:val="30"/>
        </w:rPr>
        <w:t>“If</w:t>
      </w:r>
      <w:r>
        <w:rPr>
          <w:spacing w:val="-5"/>
          <w:sz w:val="30"/>
        </w:rPr>
        <w:t xml:space="preserve"> </w:t>
      </w:r>
      <w:r>
        <w:rPr>
          <w:sz w:val="30"/>
        </w:rPr>
        <w:t>Smith</w:t>
      </w:r>
      <w:r>
        <w:rPr>
          <w:spacing w:val="-2"/>
          <w:sz w:val="30"/>
        </w:rPr>
        <w:t xml:space="preserve"> </w:t>
      </w:r>
      <w:r>
        <w:rPr>
          <w:sz w:val="30"/>
        </w:rPr>
        <w:t>is</w:t>
      </w:r>
      <w:r>
        <w:rPr>
          <w:spacing w:val="-3"/>
          <w:sz w:val="30"/>
        </w:rPr>
        <w:t xml:space="preserve"> </w:t>
      </w:r>
      <w:r>
        <w:rPr>
          <w:sz w:val="30"/>
        </w:rPr>
        <w:t>at</w:t>
      </w:r>
      <w:r>
        <w:rPr>
          <w:spacing w:val="-3"/>
          <w:sz w:val="30"/>
        </w:rPr>
        <w:t xml:space="preserve"> </w:t>
      </w:r>
      <w:r>
        <w:rPr>
          <w:sz w:val="30"/>
        </w:rPr>
        <w:t>home,</w:t>
      </w:r>
      <w:r>
        <w:rPr>
          <w:spacing w:val="-2"/>
          <w:sz w:val="30"/>
        </w:rPr>
        <w:t xml:space="preserve"> </w:t>
      </w:r>
      <w:r>
        <w:rPr>
          <w:sz w:val="30"/>
        </w:rPr>
        <w:t>then</w:t>
      </w:r>
      <w:r>
        <w:rPr>
          <w:spacing w:val="-1"/>
          <w:sz w:val="30"/>
        </w:rPr>
        <w:t xml:space="preserve"> </w:t>
      </w:r>
      <w:r>
        <w:rPr>
          <w:sz w:val="30"/>
        </w:rPr>
        <w:t>it’s</w:t>
      </w:r>
      <w:r>
        <w:rPr>
          <w:spacing w:val="-3"/>
          <w:sz w:val="30"/>
        </w:rPr>
        <w:t xml:space="preserve"> </w:t>
      </w:r>
      <w:r>
        <w:rPr>
          <w:sz w:val="30"/>
        </w:rPr>
        <w:t>not</w:t>
      </w:r>
      <w:r>
        <w:rPr>
          <w:spacing w:val="-3"/>
          <w:sz w:val="30"/>
        </w:rPr>
        <w:t xml:space="preserve"> </w:t>
      </w:r>
      <w:r>
        <w:rPr>
          <w:sz w:val="30"/>
        </w:rPr>
        <w:t>the</w:t>
      </w:r>
      <w:r>
        <w:rPr>
          <w:spacing w:val="-3"/>
          <w:sz w:val="30"/>
        </w:rPr>
        <w:t xml:space="preserve"> </w:t>
      </w:r>
      <w:r>
        <w:rPr>
          <w:sz w:val="30"/>
        </w:rPr>
        <w:t>case</w:t>
      </w:r>
      <w:r>
        <w:rPr>
          <w:spacing w:val="-2"/>
          <w:sz w:val="30"/>
        </w:rPr>
        <w:t xml:space="preserve"> </w:t>
      </w:r>
      <w:r>
        <w:rPr>
          <w:sz w:val="30"/>
        </w:rPr>
        <w:t>that</w:t>
      </w:r>
      <w:r>
        <w:rPr>
          <w:spacing w:val="-3"/>
          <w:sz w:val="30"/>
        </w:rPr>
        <w:t xml:space="preserve"> </w:t>
      </w:r>
      <w:r>
        <w:rPr>
          <w:sz w:val="30"/>
        </w:rPr>
        <w:t>Smith</w:t>
      </w:r>
      <w:r>
        <w:rPr>
          <w:spacing w:val="-2"/>
          <w:sz w:val="30"/>
        </w:rPr>
        <w:t xml:space="preserve"> </w:t>
      </w:r>
      <w:r>
        <w:rPr>
          <w:sz w:val="30"/>
        </w:rPr>
        <w:t>is</w:t>
      </w:r>
      <w:r>
        <w:rPr>
          <w:spacing w:val="-3"/>
          <w:sz w:val="30"/>
        </w:rPr>
        <w:t xml:space="preserve"> </w:t>
      </w:r>
      <w:r>
        <w:rPr>
          <w:sz w:val="30"/>
        </w:rPr>
        <w:t>not</w:t>
      </w:r>
      <w:r>
        <w:rPr>
          <w:spacing w:val="-3"/>
          <w:sz w:val="30"/>
        </w:rPr>
        <w:t xml:space="preserve"> </w:t>
      </w:r>
      <w:r>
        <w:rPr>
          <w:sz w:val="30"/>
        </w:rPr>
        <w:t>at</w:t>
      </w:r>
      <w:r>
        <w:rPr>
          <w:spacing w:val="-2"/>
          <w:sz w:val="30"/>
        </w:rPr>
        <w:t xml:space="preserve"> home”</w:t>
      </w:r>
    </w:p>
    <w:p w14:paraId="7E002277" w14:textId="77777777" w:rsidR="009A58DB" w:rsidRDefault="00000000">
      <w:pPr>
        <w:pStyle w:val="BodyText"/>
        <w:spacing w:before="105" w:line="249" w:lineRule="auto"/>
        <w:ind w:right="359"/>
      </w:pPr>
      <w:r>
        <w:t>is a formal truth because it’s an instance of the open-sentence “if x is phi,</w:t>
      </w:r>
      <w:r>
        <w:rPr>
          <w:spacing w:val="40"/>
        </w:rPr>
        <w:t xml:space="preserve"> </w:t>
      </w:r>
      <w:r>
        <w:t>then it’s not the case that x is not phi,” which is true for all values of x.</w:t>
      </w:r>
      <w:r>
        <w:rPr>
          <w:spacing w:val="40"/>
        </w:rPr>
        <w:t xml:space="preserve"> </w:t>
      </w:r>
      <w:r>
        <w:t>(We’ll see that (5) is an instance of many such open-sentences. But its being an instance of just one is enough for its being formally true.) Given any formal truth, the same holds.</w:t>
      </w:r>
    </w:p>
    <w:p w14:paraId="7E002278" w14:textId="77777777" w:rsidR="009A58DB" w:rsidRDefault="00000000">
      <w:pPr>
        <w:pStyle w:val="BodyText"/>
        <w:spacing w:before="111" w:line="249" w:lineRule="auto"/>
        <w:ind w:right="366" w:firstLine="360"/>
      </w:pPr>
      <w:r>
        <w:t xml:space="preserve">If an open-sentence is true for all values of its variables, we’ll say that it’s “universally true.” So “x = x” is universally true (that being why “Smith = Smith” is “formally” true). It must be kept in mind that this is just an abbreviation. “x = x” is neither true nor false. No open sentence is true or </w:t>
      </w:r>
      <w:r>
        <w:rPr>
          <w:spacing w:val="-2"/>
        </w:rPr>
        <w:t>false.</w:t>
      </w:r>
    </w:p>
    <w:p w14:paraId="7E002279" w14:textId="77777777" w:rsidR="009A58DB" w:rsidRDefault="00000000">
      <w:pPr>
        <w:pStyle w:val="BodyText"/>
        <w:spacing w:before="6"/>
        <w:ind w:left="720"/>
      </w:pPr>
      <w:r>
        <w:t>In</w:t>
      </w:r>
      <w:r>
        <w:rPr>
          <w:spacing w:val="-5"/>
        </w:rPr>
        <w:t xml:space="preserve"> </w:t>
      </w:r>
      <w:r>
        <w:t>light</w:t>
      </w:r>
      <w:r>
        <w:rPr>
          <w:spacing w:val="-3"/>
        </w:rPr>
        <w:t xml:space="preserve"> </w:t>
      </w:r>
      <w:r>
        <w:t>of</w:t>
      </w:r>
      <w:r>
        <w:rPr>
          <w:spacing w:val="-4"/>
        </w:rPr>
        <w:t xml:space="preserve"> </w:t>
      </w:r>
      <w:r>
        <w:t>these</w:t>
      </w:r>
      <w:r>
        <w:rPr>
          <w:spacing w:val="-3"/>
        </w:rPr>
        <w:t xml:space="preserve"> </w:t>
      </w:r>
      <w:r>
        <w:t>points,</w:t>
      </w:r>
      <w:r>
        <w:rPr>
          <w:spacing w:val="-2"/>
        </w:rPr>
        <w:t xml:space="preserve"> </w:t>
      </w:r>
      <w:r>
        <w:t>consider</w:t>
      </w:r>
      <w:r>
        <w:rPr>
          <w:spacing w:val="-4"/>
        </w:rPr>
        <w:t xml:space="preserve"> </w:t>
      </w:r>
      <w:r>
        <w:t>the</w:t>
      </w:r>
      <w:r>
        <w:rPr>
          <w:spacing w:val="-3"/>
        </w:rPr>
        <w:t xml:space="preserve"> </w:t>
      </w:r>
      <w:r>
        <w:t>following</w:t>
      </w:r>
      <w:r>
        <w:rPr>
          <w:spacing w:val="-2"/>
        </w:rPr>
        <w:t xml:space="preserve"> expressions:</w:t>
      </w:r>
    </w:p>
    <w:p w14:paraId="7E00227A" w14:textId="77777777" w:rsidR="009A58DB" w:rsidRDefault="00000000">
      <w:pPr>
        <w:pStyle w:val="ListParagraph"/>
        <w:numPr>
          <w:ilvl w:val="0"/>
          <w:numId w:val="67"/>
        </w:numPr>
        <w:tabs>
          <w:tab w:val="left" w:pos="857"/>
        </w:tabs>
        <w:spacing w:before="120"/>
        <w:ind w:left="857" w:hanging="497"/>
        <w:rPr>
          <w:sz w:val="30"/>
        </w:rPr>
      </w:pPr>
      <w:r>
        <w:rPr>
          <w:sz w:val="30"/>
        </w:rPr>
        <w:t>Bill</w:t>
      </w:r>
      <w:r>
        <w:rPr>
          <w:spacing w:val="-4"/>
          <w:sz w:val="30"/>
        </w:rPr>
        <w:t xml:space="preserve"> </w:t>
      </w:r>
      <w:r>
        <w:rPr>
          <w:sz w:val="30"/>
        </w:rPr>
        <w:t>Gates</w:t>
      </w:r>
      <w:r>
        <w:rPr>
          <w:spacing w:val="-4"/>
          <w:sz w:val="30"/>
        </w:rPr>
        <w:t xml:space="preserve"> </w:t>
      </w:r>
      <w:r>
        <w:rPr>
          <w:sz w:val="30"/>
        </w:rPr>
        <w:t>is</w:t>
      </w:r>
      <w:r>
        <w:rPr>
          <w:spacing w:val="-3"/>
          <w:sz w:val="30"/>
        </w:rPr>
        <w:t xml:space="preserve"> </w:t>
      </w:r>
      <w:r>
        <w:rPr>
          <w:spacing w:val="-2"/>
          <w:sz w:val="30"/>
        </w:rPr>
        <w:t>wealthy.</w:t>
      </w:r>
    </w:p>
    <w:p w14:paraId="7E00227B" w14:textId="77777777" w:rsidR="009A58DB" w:rsidRDefault="00000000">
      <w:pPr>
        <w:pStyle w:val="ListParagraph"/>
        <w:numPr>
          <w:ilvl w:val="0"/>
          <w:numId w:val="67"/>
        </w:numPr>
        <w:tabs>
          <w:tab w:val="left" w:pos="857"/>
        </w:tabs>
        <w:spacing w:before="15"/>
        <w:ind w:left="857" w:hanging="497"/>
        <w:rPr>
          <w:sz w:val="30"/>
        </w:rPr>
      </w:pPr>
      <w:r>
        <w:rPr>
          <w:sz w:val="30"/>
        </w:rPr>
        <w:t>x</w:t>
      </w:r>
      <w:r>
        <w:rPr>
          <w:spacing w:val="-1"/>
          <w:sz w:val="30"/>
        </w:rPr>
        <w:t xml:space="preserve"> </w:t>
      </w:r>
      <w:r>
        <w:rPr>
          <w:sz w:val="30"/>
        </w:rPr>
        <w:t>is</w:t>
      </w:r>
      <w:r>
        <w:rPr>
          <w:spacing w:val="-1"/>
          <w:sz w:val="30"/>
        </w:rPr>
        <w:t xml:space="preserve"> </w:t>
      </w:r>
      <w:r>
        <w:rPr>
          <w:spacing w:val="-2"/>
          <w:sz w:val="30"/>
        </w:rPr>
        <w:t>wealthy.</w:t>
      </w:r>
    </w:p>
    <w:p w14:paraId="7E00227C" w14:textId="77777777" w:rsidR="009A58DB" w:rsidRDefault="00000000">
      <w:pPr>
        <w:pStyle w:val="ListParagraph"/>
        <w:numPr>
          <w:ilvl w:val="0"/>
          <w:numId w:val="67"/>
        </w:numPr>
        <w:tabs>
          <w:tab w:val="left" w:pos="857"/>
        </w:tabs>
        <w:spacing w:before="15"/>
        <w:ind w:left="857" w:hanging="497"/>
        <w:rPr>
          <w:sz w:val="30"/>
        </w:rPr>
      </w:pPr>
      <w:r>
        <w:rPr>
          <w:sz w:val="30"/>
        </w:rPr>
        <w:t>Bill</w:t>
      </w:r>
      <w:r>
        <w:rPr>
          <w:spacing w:val="-4"/>
          <w:sz w:val="30"/>
        </w:rPr>
        <w:t xml:space="preserve"> </w:t>
      </w:r>
      <w:r>
        <w:rPr>
          <w:sz w:val="30"/>
        </w:rPr>
        <w:t>Gates</w:t>
      </w:r>
      <w:r>
        <w:rPr>
          <w:spacing w:val="-4"/>
          <w:sz w:val="30"/>
        </w:rPr>
        <w:t xml:space="preserve"> </w:t>
      </w:r>
      <w:r>
        <w:rPr>
          <w:sz w:val="30"/>
        </w:rPr>
        <w:t>is</w:t>
      </w:r>
      <w:r>
        <w:rPr>
          <w:spacing w:val="-3"/>
          <w:sz w:val="30"/>
        </w:rPr>
        <w:t xml:space="preserve"> </w:t>
      </w:r>
      <w:r>
        <w:rPr>
          <w:spacing w:val="-4"/>
          <w:sz w:val="30"/>
        </w:rPr>
        <w:t>phi.</w:t>
      </w:r>
    </w:p>
    <w:p w14:paraId="7E00227D" w14:textId="77777777" w:rsidR="009A58DB" w:rsidRDefault="00000000">
      <w:pPr>
        <w:pStyle w:val="ListParagraph"/>
        <w:numPr>
          <w:ilvl w:val="0"/>
          <w:numId w:val="67"/>
        </w:numPr>
        <w:tabs>
          <w:tab w:val="left" w:pos="857"/>
        </w:tabs>
        <w:spacing w:before="15"/>
        <w:ind w:left="857" w:hanging="497"/>
        <w:rPr>
          <w:sz w:val="30"/>
        </w:rPr>
      </w:pPr>
      <w:r>
        <w:rPr>
          <w:sz w:val="30"/>
        </w:rPr>
        <w:t>x</w:t>
      </w:r>
      <w:r>
        <w:rPr>
          <w:spacing w:val="-1"/>
          <w:sz w:val="30"/>
        </w:rPr>
        <w:t xml:space="preserve"> </w:t>
      </w:r>
      <w:r>
        <w:rPr>
          <w:sz w:val="30"/>
        </w:rPr>
        <w:t>is</w:t>
      </w:r>
      <w:r>
        <w:rPr>
          <w:spacing w:val="-1"/>
          <w:sz w:val="30"/>
        </w:rPr>
        <w:t xml:space="preserve"> </w:t>
      </w:r>
      <w:r>
        <w:rPr>
          <w:spacing w:val="-4"/>
          <w:sz w:val="30"/>
        </w:rPr>
        <w:t>phi.</w:t>
      </w:r>
    </w:p>
    <w:p w14:paraId="7E00227E" w14:textId="77777777" w:rsidR="009A58DB" w:rsidRDefault="00000000">
      <w:pPr>
        <w:pStyle w:val="BodyText"/>
        <w:spacing w:before="105" w:line="249" w:lineRule="auto"/>
        <w:ind w:right="361" w:firstLine="360"/>
      </w:pPr>
      <w:r>
        <w:t>(1) is a true sentence. (2)–(4) are neither true nor false. Given (1), (2) is what results when “Bill Gates” is replaced with a variable, (3) is what results when “wealthy” is replaced with a variable, and (4) is what results when both are replaced with variables. (See Chapter 7.) Of course, actual sentences are formed out of these open-sentences by replacing the variables in (6)–(9) with constants. In each case, this procedure may yield either a true sentence or a false one. For example, replacing the variable in (2) with “Bill Gates” yields</w:t>
      </w:r>
      <w:r>
        <w:rPr>
          <w:spacing w:val="40"/>
        </w:rPr>
        <w:t xml:space="preserve"> </w:t>
      </w:r>
      <w:r>
        <w:t>a truth and replacing it with “Mike Smith,” the name of an impecunious friend of mine, yields a falsehood.</w:t>
      </w:r>
    </w:p>
    <w:p w14:paraId="7E00227F" w14:textId="77777777" w:rsidR="009A58DB" w:rsidRDefault="00000000">
      <w:pPr>
        <w:pStyle w:val="BodyText"/>
        <w:spacing w:before="11"/>
        <w:ind w:left="720"/>
      </w:pPr>
      <w:r>
        <w:t>Bearing</w:t>
      </w:r>
      <w:r>
        <w:rPr>
          <w:spacing w:val="-5"/>
        </w:rPr>
        <w:t xml:space="preserve"> </w:t>
      </w:r>
      <w:r>
        <w:t>these</w:t>
      </w:r>
      <w:r>
        <w:rPr>
          <w:spacing w:val="-4"/>
        </w:rPr>
        <w:t xml:space="preserve"> </w:t>
      </w:r>
      <w:r>
        <w:t>points</w:t>
      </w:r>
      <w:r>
        <w:rPr>
          <w:spacing w:val="-4"/>
        </w:rPr>
        <w:t xml:space="preserve"> </w:t>
      </w:r>
      <w:r>
        <w:t>in</w:t>
      </w:r>
      <w:r>
        <w:rPr>
          <w:spacing w:val="-3"/>
        </w:rPr>
        <w:t xml:space="preserve"> </w:t>
      </w:r>
      <w:r>
        <w:t>mind,</w:t>
      </w:r>
      <w:r>
        <w:rPr>
          <w:spacing w:val="-3"/>
        </w:rPr>
        <w:t xml:space="preserve"> </w:t>
      </w:r>
      <w:r>
        <w:t>consider</w:t>
      </w:r>
      <w:r>
        <w:rPr>
          <w:spacing w:val="-4"/>
        </w:rPr>
        <w:t xml:space="preserve"> </w:t>
      </w:r>
      <w:r>
        <w:t>the</w:t>
      </w:r>
      <w:r>
        <w:rPr>
          <w:spacing w:val="-4"/>
        </w:rPr>
        <w:t xml:space="preserve"> </w:t>
      </w:r>
      <w:r>
        <w:t>following</w:t>
      </w:r>
      <w:r>
        <w:rPr>
          <w:spacing w:val="-2"/>
        </w:rPr>
        <w:t xml:space="preserve"> expressions:</w:t>
      </w:r>
    </w:p>
    <w:p w14:paraId="7E002280" w14:textId="77777777" w:rsidR="009A58DB" w:rsidRDefault="00000000">
      <w:pPr>
        <w:pStyle w:val="ListParagraph"/>
        <w:numPr>
          <w:ilvl w:val="0"/>
          <w:numId w:val="67"/>
        </w:numPr>
        <w:tabs>
          <w:tab w:val="left" w:pos="857"/>
        </w:tabs>
        <w:spacing w:before="120"/>
        <w:ind w:left="857" w:hanging="497"/>
        <w:jc w:val="both"/>
        <w:rPr>
          <w:sz w:val="30"/>
        </w:rPr>
      </w:pPr>
      <w:r>
        <w:rPr>
          <w:sz w:val="30"/>
        </w:rPr>
        <w:t>If</w:t>
      </w:r>
      <w:r>
        <w:rPr>
          <w:spacing w:val="-5"/>
          <w:sz w:val="30"/>
        </w:rPr>
        <w:t xml:space="preserve"> </w:t>
      </w:r>
      <w:r>
        <w:rPr>
          <w:sz w:val="30"/>
        </w:rPr>
        <w:t>Smith</w:t>
      </w:r>
      <w:r>
        <w:rPr>
          <w:spacing w:val="-2"/>
          <w:sz w:val="30"/>
        </w:rPr>
        <w:t xml:space="preserve"> </w:t>
      </w:r>
      <w:r>
        <w:rPr>
          <w:sz w:val="30"/>
        </w:rPr>
        <w:t>is</w:t>
      </w:r>
      <w:r>
        <w:rPr>
          <w:spacing w:val="-3"/>
          <w:sz w:val="30"/>
        </w:rPr>
        <w:t xml:space="preserve"> </w:t>
      </w:r>
      <w:r>
        <w:rPr>
          <w:sz w:val="30"/>
        </w:rPr>
        <w:t>at</w:t>
      </w:r>
      <w:r>
        <w:rPr>
          <w:spacing w:val="-2"/>
          <w:sz w:val="30"/>
        </w:rPr>
        <w:t xml:space="preserve"> </w:t>
      </w:r>
      <w:r>
        <w:rPr>
          <w:sz w:val="30"/>
        </w:rPr>
        <w:t>home,</w:t>
      </w:r>
      <w:r>
        <w:rPr>
          <w:spacing w:val="-2"/>
          <w:sz w:val="30"/>
        </w:rPr>
        <w:t xml:space="preserve"> </w:t>
      </w:r>
      <w:r>
        <w:rPr>
          <w:sz w:val="30"/>
        </w:rPr>
        <w:t>then</w:t>
      </w:r>
      <w:r>
        <w:rPr>
          <w:spacing w:val="-2"/>
          <w:sz w:val="30"/>
        </w:rPr>
        <w:t xml:space="preserve"> </w:t>
      </w:r>
      <w:r>
        <w:rPr>
          <w:sz w:val="30"/>
        </w:rPr>
        <w:t>it’s</w:t>
      </w:r>
      <w:r>
        <w:rPr>
          <w:spacing w:val="-3"/>
          <w:sz w:val="30"/>
        </w:rPr>
        <w:t xml:space="preserve"> </w:t>
      </w:r>
      <w:r>
        <w:rPr>
          <w:sz w:val="30"/>
        </w:rPr>
        <w:t>not</w:t>
      </w:r>
      <w:r>
        <w:rPr>
          <w:spacing w:val="-2"/>
          <w:sz w:val="30"/>
        </w:rPr>
        <w:t xml:space="preserve"> </w:t>
      </w:r>
      <w:r>
        <w:rPr>
          <w:sz w:val="30"/>
        </w:rPr>
        <w:t>the</w:t>
      </w:r>
      <w:r>
        <w:rPr>
          <w:spacing w:val="-3"/>
          <w:sz w:val="30"/>
        </w:rPr>
        <w:t xml:space="preserve"> </w:t>
      </w:r>
      <w:r>
        <w:rPr>
          <w:sz w:val="30"/>
        </w:rPr>
        <w:t>case</w:t>
      </w:r>
      <w:r>
        <w:rPr>
          <w:spacing w:val="-3"/>
          <w:sz w:val="30"/>
        </w:rPr>
        <w:t xml:space="preserve"> </w:t>
      </w:r>
      <w:r>
        <w:rPr>
          <w:sz w:val="30"/>
        </w:rPr>
        <w:t>that</w:t>
      </w:r>
      <w:r>
        <w:rPr>
          <w:spacing w:val="-3"/>
          <w:sz w:val="30"/>
        </w:rPr>
        <w:t xml:space="preserve"> </w:t>
      </w:r>
      <w:r>
        <w:rPr>
          <w:sz w:val="30"/>
        </w:rPr>
        <w:t>Smith</w:t>
      </w:r>
      <w:r>
        <w:rPr>
          <w:spacing w:val="-1"/>
          <w:sz w:val="30"/>
        </w:rPr>
        <w:t xml:space="preserve"> </w:t>
      </w:r>
      <w:r>
        <w:rPr>
          <w:sz w:val="30"/>
        </w:rPr>
        <w:t>is</w:t>
      </w:r>
      <w:r>
        <w:rPr>
          <w:spacing w:val="-3"/>
          <w:sz w:val="30"/>
        </w:rPr>
        <w:t xml:space="preserve"> </w:t>
      </w:r>
      <w:r>
        <w:rPr>
          <w:sz w:val="30"/>
        </w:rPr>
        <w:t>not</w:t>
      </w:r>
      <w:r>
        <w:rPr>
          <w:spacing w:val="-3"/>
          <w:sz w:val="30"/>
        </w:rPr>
        <w:t xml:space="preserve"> </w:t>
      </w:r>
      <w:r>
        <w:rPr>
          <w:sz w:val="30"/>
        </w:rPr>
        <w:t>at</w:t>
      </w:r>
      <w:r>
        <w:rPr>
          <w:spacing w:val="-2"/>
          <w:sz w:val="30"/>
        </w:rPr>
        <w:t xml:space="preserve"> home.</w:t>
      </w:r>
    </w:p>
    <w:p w14:paraId="7E002281" w14:textId="77777777" w:rsidR="009A58DB" w:rsidRDefault="009A58DB">
      <w:pPr>
        <w:pStyle w:val="ListParagraph"/>
        <w:jc w:val="both"/>
        <w:rPr>
          <w:sz w:val="30"/>
        </w:rPr>
        <w:sectPr w:rsidR="009A58DB">
          <w:pgSz w:w="12240" w:h="15840"/>
          <w:pgMar w:top="1380" w:right="1080" w:bottom="280" w:left="1080" w:header="720" w:footer="720" w:gutter="0"/>
          <w:cols w:space="720"/>
        </w:sectPr>
      </w:pPr>
    </w:p>
    <w:p w14:paraId="7E002282" w14:textId="77777777" w:rsidR="009A58DB" w:rsidRDefault="00000000">
      <w:pPr>
        <w:pStyle w:val="ListParagraph"/>
        <w:numPr>
          <w:ilvl w:val="0"/>
          <w:numId w:val="67"/>
        </w:numPr>
        <w:tabs>
          <w:tab w:val="left" w:pos="857"/>
        </w:tabs>
        <w:spacing w:before="65"/>
        <w:ind w:left="857" w:hanging="497"/>
        <w:rPr>
          <w:sz w:val="30"/>
        </w:rPr>
      </w:pPr>
      <w:r>
        <w:rPr>
          <w:sz w:val="30"/>
        </w:rPr>
        <w:lastRenderedPageBreak/>
        <w:t>If</w:t>
      </w:r>
      <w:r>
        <w:rPr>
          <w:spacing w:val="-5"/>
          <w:sz w:val="30"/>
        </w:rPr>
        <w:t xml:space="preserve"> </w:t>
      </w:r>
      <w:r>
        <w:rPr>
          <w:sz w:val="30"/>
        </w:rPr>
        <w:t>x</w:t>
      </w:r>
      <w:r>
        <w:rPr>
          <w:spacing w:val="-1"/>
          <w:sz w:val="30"/>
        </w:rPr>
        <w:t xml:space="preserve"> </w:t>
      </w:r>
      <w:r>
        <w:rPr>
          <w:sz w:val="30"/>
        </w:rPr>
        <w:t>is</w:t>
      </w:r>
      <w:r>
        <w:rPr>
          <w:spacing w:val="-2"/>
          <w:sz w:val="30"/>
        </w:rPr>
        <w:t xml:space="preserve"> </w:t>
      </w:r>
      <w:r>
        <w:rPr>
          <w:sz w:val="30"/>
        </w:rPr>
        <w:t>at</w:t>
      </w:r>
      <w:r>
        <w:rPr>
          <w:spacing w:val="-2"/>
          <w:sz w:val="30"/>
        </w:rPr>
        <w:t xml:space="preserve"> </w:t>
      </w:r>
      <w:r>
        <w:rPr>
          <w:sz w:val="30"/>
        </w:rPr>
        <w:t>home,</w:t>
      </w:r>
      <w:r>
        <w:rPr>
          <w:spacing w:val="-2"/>
          <w:sz w:val="30"/>
        </w:rPr>
        <w:t xml:space="preserve"> </w:t>
      </w:r>
      <w:r>
        <w:rPr>
          <w:sz w:val="30"/>
        </w:rPr>
        <w:t>then</w:t>
      </w:r>
      <w:r>
        <w:rPr>
          <w:spacing w:val="-1"/>
          <w:sz w:val="30"/>
        </w:rPr>
        <w:t xml:space="preserve"> </w:t>
      </w:r>
      <w:r>
        <w:rPr>
          <w:sz w:val="30"/>
        </w:rPr>
        <w:t>it’s</w:t>
      </w:r>
      <w:r>
        <w:rPr>
          <w:spacing w:val="-2"/>
          <w:sz w:val="30"/>
        </w:rPr>
        <w:t xml:space="preserve"> </w:t>
      </w:r>
      <w:r>
        <w:rPr>
          <w:sz w:val="30"/>
        </w:rPr>
        <w:t>not</w:t>
      </w:r>
      <w:r>
        <w:rPr>
          <w:spacing w:val="-2"/>
          <w:sz w:val="30"/>
        </w:rPr>
        <w:t xml:space="preserve"> </w:t>
      </w:r>
      <w:r>
        <w:rPr>
          <w:sz w:val="30"/>
        </w:rPr>
        <w:t>the</w:t>
      </w:r>
      <w:r>
        <w:rPr>
          <w:spacing w:val="-2"/>
          <w:sz w:val="30"/>
        </w:rPr>
        <w:t xml:space="preserve"> </w:t>
      </w:r>
      <w:r>
        <w:rPr>
          <w:sz w:val="30"/>
        </w:rPr>
        <w:t>case</w:t>
      </w:r>
      <w:r>
        <w:rPr>
          <w:spacing w:val="-2"/>
          <w:sz w:val="30"/>
        </w:rPr>
        <w:t xml:space="preserve"> </w:t>
      </w:r>
      <w:r>
        <w:rPr>
          <w:sz w:val="30"/>
        </w:rPr>
        <w:t>that</w:t>
      </w:r>
      <w:r>
        <w:rPr>
          <w:spacing w:val="-3"/>
          <w:sz w:val="30"/>
        </w:rPr>
        <w:t xml:space="preserve"> </w:t>
      </w:r>
      <w:r>
        <w:rPr>
          <w:sz w:val="30"/>
        </w:rPr>
        <w:t>x</w:t>
      </w:r>
      <w:r>
        <w:rPr>
          <w:spacing w:val="-1"/>
          <w:sz w:val="30"/>
        </w:rPr>
        <w:t xml:space="preserve"> </w:t>
      </w:r>
      <w:r>
        <w:rPr>
          <w:sz w:val="30"/>
        </w:rPr>
        <w:t>is</w:t>
      </w:r>
      <w:r>
        <w:rPr>
          <w:spacing w:val="-2"/>
          <w:sz w:val="30"/>
        </w:rPr>
        <w:t xml:space="preserve"> </w:t>
      </w:r>
      <w:r>
        <w:rPr>
          <w:sz w:val="30"/>
        </w:rPr>
        <w:t>not</w:t>
      </w:r>
      <w:r>
        <w:rPr>
          <w:spacing w:val="-2"/>
          <w:sz w:val="30"/>
        </w:rPr>
        <w:t xml:space="preserve"> </w:t>
      </w:r>
      <w:r>
        <w:rPr>
          <w:sz w:val="30"/>
        </w:rPr>
        <w:t>at</w:t>
      </w:r>
      <w:r>
        <w:rPr>
          <w:spacing w:val="-2"/>
          <w:sz w:val="30"/>
        </w:rPr>
        <w:t xml:space="preserve"> home.</w:t>
      </w:r>
    </w:p>
    <w:p w14:paraId="7E002283" w14:textId="77777777" w:rsidR="009A58DB" w:rsidRDefault="00000000">
      <w:pPr>
        <w:pStyle w:val="ListParagraph"/>
        <w:numPr>
          <w:ilvl w:val="0"/>
          <w:numId w:val="67"/>
        </w:numPr>
        <w:tabs>
          <w:tab w:val="left" w:pos="857"/>
        </w:tabs>
        <w:spacing w:before="15"/>
        <w:ind w:left="857" w:hanging="497"/>
        <w:rPr>
          <w:sz w:val="30"/>
        </w:rPr>
      </w:pPr>
      <w:r>
        <w:rPr>
          <w:sz w:val="30"/>
        </w:rPr>
        <w:t>If</w:t>
      </w:r>
      <w:r>
        <w:rPr>
          <w:spacing w:val="-5"/>
          <w:sz w:val="30"/>
        </w:rPr>
        <w:t xml:space="preserve"> </w:t>
      </w:r>
      <w:r>
        <w:rPr>
          <w:sz w:val="30"/>
        </w:rPr>
        <w:t>Smith</w:t>
      </w:r>
      <w:r>
        <w:rPr>
          <w:spacing w:val="-2"/>
          <w:sz w:val="30"/>
        </w:rPr>
        <w:t xml:space="preserve"> </w:t>
      </w:r>
      <w:r>
        <w:rPr>
          <w:sz w:val="30"/>
        </w:rPr>
        <w:t>is</w:t>
      </w:r>
      <w:r>
        <w:rPr>
          <w:spacing w:val="-3"/>
          <w:sz w:val="30"/>
        </w:rPr>
        <w:t xml:space="preserve"> </w:t>
      </w:r>
      <w:r>
        <w:rPr>
          <w:sz w:val="30"/>
        </w:rPr>
        <w:t>phi,</w:t>
      </w:r>
      <w:r>
        <w:rPr>
          <w:spacing w:val="-2"/>
          <w:sz w:val="30"/>
        </w:rPr>
        <w:t xml:space="preserve"> </w:t>
      </w:r>
      <w:r>
        <w:rPr>
          <w:sz w:val="30"/>
        </w:rPr>
        <w:t>then</w:t>
      </w:r>
      <w:r>
        <w:rPr>
          <w:spacing w:val="-1"/>
          <w:sz w:val="30"/>
        </w:rPr>
        <w:t xml:space="preserve"> </w:t>
      </w:r>
      <w:r>
        <w:rPr>
          <w:sz w:val="30"/>
        </w:rPr>
        <w:t>it’s</w:t>
      </w:r>
      <w:r>
        <w:rPr>
          <w:spacing w:val="-3"/>
          <w:sz w:val="30"/>
        </w:rPr>
        <w:t xml:space="preserve"> </w:t>
      </w:r>
      <w:r>
        <w:rPr>
          <w:sz w:val="30"/>
        </w:rPr>
        <w:t>not</w:t>
      </w:r>
      <w:r>
        <w:rPr>
          <w:spacing w:val="-3"/>
          <w:sz w:val="30"/>
        </w:rPr>
        <w:t xml:space="preserve"> </w:t>
      </w:r>
      <w:r>
        <w:rPr>
          <w:sz w:val="30"/>
        </w:rPr>
        <w:t>the</w:t>
      </w:r>
      <w:r>
        <w:rPr>
          <w:spacing w:val="-3"/>
          <w:sz w:val="30"/>
        </w:rPr>
        <w:t xml:space="preserve"> </w:t>
      </w:r>
      <w:r>
        <w:rPr>
          <w:sz w:val="30"/>
        </w:rPr>
        <w:t>case</w:t>
      </w:r>
      <w:r>
        <w:rPr>
          <w:spacing w:val="-2"/>
          <w:sz w:val="30"/>
        </w:rPr>
        <w:t xml:space="preserve"> </w:t>
      </w:r>
      <w:r>
        <w:rPr>
          <w:sz w:val="30"/>
        </w:rPr>
        <w:t>that</w:t>
      </w:r>
      <w:r>
        <w:rPr>
          <w:spacing w:val="-3"/>
          <w:sz w:val="30"/>
        </w:rPr>
        <w:t xml:space="preserve"> </w:t>
      </w:r>
      <w:r>
        <w:rPr>
          <w:sz w:val="30"/>
        </w:rPr>
        <w:t>Smith</w:t>
      </w:r>
      <w:r>
        <w:rPr>
          <w:spacing w:val="-2"/>
          <w:sz w:val="30"/>
        </w:rPr>
        <w:t xml:space="preserve"> </w:t>
      </w:r>
      <w:r>
        <w:rPr>
          <w:sz w:val="30"/>
        </w:rPr>
        <w:t>is</w:t>
      </w:r>
      <w:r>
        <w:rPr>
          <w:spacing w:val="-3"/>
          <w:sz w:val="30"/>
        </w:rPr>
        <w:t xml:space="preserve"> </w:t>
      </w:r>
      <w:r>
        <w:rPr>
          <w:sz w:val="30"/>
        </w:rPr>
        <w:t>not</w:t>
      </w:r>
      <w:r>
        <w:rPr>
          <w:spacing w:val="-2"/>
          <w:sz w:val="30"/>
        </w:rPr>
        <w:t xml:space="preserve"> </w:t>
      </w:r>
      <w:r>
        <w:rPr>
          <w:spacing w:val="-4"/>
          <w:sz w:val="30"/>
        </w:rPr>
        <w:t>phi.</w:t>
      </w:r>
    </w:p>
    <w:p w14:paraId="7E002284" w14:textId="77777777" w:rsidR="009A58DB" w:rsidRDefault="00000000">
      <w:pPr>
        <w:pStyle w:val="ListParagraph"/>
        <w:numPr>
          <w:ilvl w:val="0"/>
          <w:numId w:val="67"/>
        </w:numPr>
        <w:tabs>
          <w:tab w:val="left" w:pos="857"/>
        </w:tabs>
        <w:spacing w:before="15"/>
        <w:ind w:left="857" w:hanging="497"/>
        <w:rPr>
          <w:sz w:val="30"/>
        </w:rPr>
      </w:pPr>
      <w:r>
        <w:rPr>
          <w:sz w:val="30"/>
        </w:rPr>
        <w:t>If</w:t>
      </w:r>
      <w:r>
        <w:rPr>
          <w:spacing w:val="-3"/>
          <w:sz w:val="30"/>
        </w:rPr>
        <w:t xml:space="preserve"> </w:t>
      </w:r>
      <w:r>
        <w:rPr>
          <w:sz w:val="30"/>
        </w:rPr>
        <w:t>x</w:t>
      </w:r>
      <w:r>
        <w:rPr>
          <w:spacing w:val="-1"/>
          <w:sz w:val="30"/>
        </w:rPr>
        <w:t xml:space="preserve"> </w:t>
      </w:r>
      <w:r>
        <w:rPr>
          <w:sz w:val="30"/>
        </w:rPr>
        <w:t>is</w:t>
      </w:r>
      <w:r>
        <w:rPr>
          <w:spacing w:val="-2"/>
          <w:sz w:val="30"/>
        </w:rPr>
        <w:t xml:space="preserve"> </w:t>
      </w:r>
      <w:r>
        <w:rPr>
          <w:sz w:val="30"/>
        </w:rPr>
        <w:t>phi,</w:t>
      </w:r>
      <w:r>
        <w:rPr>
          <w:spacing w:val="-1"/>
          <w:sz w:val="30"/>
        </w:rPr>
        <w:t xml:space="preserve"> </w:t>
      </w:r>
      <w:r>
        <w:rPr>
          <w:sz w:val="30"/>
        </w:rPr>
        <w:t>then</w:t>
      </w:r>
      <w:r>
        <w:rPr>
          <w:spacing w:val="-1"/>
          <w:sz w:val="30"/>
        </w:rPr>
        <w:t xml:space="preserve"> </w:t>
      </w:r>
      <w:r>
        <w:rPr>
          <w:sz w:val="30"/>
        </w:rPr>
        <w:t>it’s</w:t>
      </w:r>
      <w:r>
        <w:rPr>
          <w:spacing w:val="-2"/>
          <w:sz w:val="30"/>
        </w:rPr>
        <w:t xml:space="preserve"> </w:t>
      </w:r>
      <w:r>
        <w:rPr>
          <w:sz w:val="30"/>
        </w:rPr>
        <w:t>not</w:t>
      </w:r>
      <w:r>
        <w:rPr>
          <w:spacing w:val="-3"/>
          <w:sz w:val="30"/>
        </w:rPr>
        <w:t xml:space="preserve"> </w:t>
      </w:r>
      <w:r>
        <w:rPr>
          <w:sz w:val="30"/>
        </w:rPr>
        <w:t>the</w:t>
      </w:r>
      <w:r>
        <w:rPr>
          <w:spacing w:val="-2"/>
          <w:sz w:val="30"/>
        </w:rPr>
        <w:t xml:space="preserve"> </w:t>
      </w:r>
      <w:r>
        <w:rPr>
          <w:sz w:val="30"/>
        </w:rPr>
        <w:t>case</w:t>
      </w:r>
      <w:r>
        <w:rPr>
          <w:spacing w:val="-2"/>
          <w:sz w:val="30"/>
        </w:rPr>
        <w:t xml:space="preserve"> </w:t>
      </w:r>
      <w:r>
        <w:rPr>
          <w:sz w:val="30"/>
        </w:rPr>
        <w:t>that</w:t>
      </w:r>
      <w:r>
        <w:rPr>
          <w:spacing w:val="-2"/>
          <w:sz w:val="30"/>
        </w:rPr>
        <w:t xml:space="preserve"> </w:t>
      </w:r>
      <w:r>
        <w:rPr>
          <w:sz w:val="30"/>
        </w:rPr>
        <w:t>x</w:t>
      </w:r>
      <w:r>
        <w:rPr>
          <w:spacing w:val="-1"/>
          <w:sz w:val="30"/>
        </w:rPr>
        <w:t xml:space="preserve"> </w:t>
      </w:r>
      <w:r>
        <w:rPr>
          <w:sz w:val="30"/>
        </w:rPr>
        <w:t>is</w:t>
      </w:r>
      <w:r>
        <w:rPr>
          <w:spacing w:val="-2"/>
          <w:sz w:val="30"/>
        </w:rPr>
        <w:t xml:space="preserve"> </w:t>
      </w:r>
      <w:r>
        <w:rPr>
          <w:sz w:val="30"/>
        </w:rPr>
        <w:t>not</w:t>
      </w:r>
      <w:r>
        <w:rPr>
          <w:spacing w:val="-2"/>
          <w:sz w:val="30"/>
        </w:rPr>
        <w:t xml:space="preserve"> </w:t>
      </w:r>
      <w:r>
        <w:rPr>
          <w:spacing w:val="-4"/>
          <w:sz w:val="30"/>
        </w:rPr>
        <w:t>phi.</w:t>
      </w:r>
    </w:p>
    <w:p w14:paraId="7E002285" w14:textId="77777777" w:rsidR="009A58DB" w:rsidRDefault="00000000">
      <w:pPr>
        <w:pStyle w:val="ListParagraph"/>
        <w:numPr>
          <w:ilvl w:val="0"/>
          <w:numId w:val="67"/>
        </w:numPr>
        <w:tabs>
          <w:tab w:val="left" w:pos="857"/>
        </w:tabs>
        <w:spacing w:before="15"/>
        <w:ind w:left="857" w:hanging="497"/>
        <w:rPr>
          <w:sz w:val="30"/>
        </w:rPr>
      </w:pPr>
      <w:r>
        <w:rPr>
          <w:sz w:val="30"/>
        </w:rPr>
        <w:t>If</w:t>
      </w:r>
      <w:r>
        <w:rPr>
          <w:spacing w:val="-5"/>
          <w:sz w:val="30"/>
        </w:rPr>
        <w:t xml:space="preserve"> </w:t>
      </w:r>
      <w:r>
        <w:rPr>
          <w:sz w:val="30"/>
        </w:rPr>
        <w:t>P,</w:t>
      </w:r>
      <w:r>
        <w:rPr>
          <w:spacing w:val="-2"/>
          <w:sz w:val="30"/>
        </w:rPr>
        <w:t xml:space="preserve"> </w:t>
      </w:r>
      <w:r>
        <w:rPr>
          <w:sz w:val="30"/>
        </w:rPr>
        <w:t>then</w:t>
      </w:r>
      <w:r>
        <w:rPr>
          <w:spacing w:val="-2"/>
          <w:sz w:val="30"/>
        </w:rPr>
        <w:t xml:space="preserve"> </w:t>
      </w:r>
      <w:r>
        <w:rPr>
          <w:sz w:val="30"/>
        </w:rPr>
        <w:t>it’s</w:t>
      </w:r>
      <w:r>
        <w:rPr>
          <w:spacing w:val="-3"/>
          <w:sz w:val="30"/>
        </w:rPr>
        <w:t xml:space="preserve"> </w:t>
      </w:r>
      <w:r>
        <w:rPr>
          <w:sz w:val="30"/>
        </w:rPr>
        <w:t>not</w:t>
      </w:r>
      <w:r>
        <w:rPr>
          <w:spacing w:val="-3"/>
          <w:sz w:val="30"/>
        </w:rPr>
        <w:t xml:space="preserve"> </w:t>
      </w:r>
      <w:r>
        <w:rPr>
          <w:sz w:val="30"/>
        </w:rPr>
        <w:t>the</w:t>
      </w:r>
      <w:r>
        <w:rPr>
          <w:spacing w:val="-3"/>
          <w:sz w:val="30"/>
        </w:rPr>
        <w:t xml:space="preserve"> </w:t>
      </w:r>
      <w:r>
        <w:rPr>
          <w:sz w:val="30"/>
        </w:rPr>
        <w:t>case</w:t>
      </w:r>
      <w:r>
        <w:rPr>
          <w:spacing w:val="-3"/>
          <w:sz w:val="30"/>
        </w:rPr>
        <w:t xml:space="preserve"> </w:t>
      </w:r>
      <w:r>
        <w:rPr>
          <w:sz w:val="30"/>
        </w:rPr>
        <w:t>that</w:t>
      </w:r>
      <w:r>
        <w:rPr>
          <w:spacing w:val="-2"/>
          <w:sz w:val="30"/>
        </w:rPr>
        <w:t xml:space="preserve"> </w:t>
      </w:r>
      <w:r>
        <w:rPr>
          <w:sz w:val="30"/>
        </w:rPr>
        <w:t>not-</w:t>
      </w:r>
      <w:r>
        <w:rPr>
          <w:spacing w:val="-5"/>
          <w:sz w:val="30"/>
        </w:rPr>
        <w:t>P.</w:t>
      </w:r>
    </w:p>
    <w:p w14:paraId="7E002286" w14:textId="77777777" w:rsidR="009A58DB" w:rsidRDefault="00000000">
      <w:pPr>
        <w:pStyle w:val="BodyText"/>
        <w:spacing w:before="120" w:line="249" w:lineRule="auto"/>
        <w:ind w:right="358" w:firstLine="360"/>
      </w:pPr>
      <w:r>
        <w:t>Each</w:t>
      </w:r>
      <w:r>
        <w:rPr>
          <w:spacing w:val="-1"/>
        </w:rPr>
        <w:t xml:space="preserve"> </w:t>
      </w:r>
      <w:r>
        <w:t>of</w:t>
      </w:r>
      <w:r>
        <w:rPr>
          <w:spacing w:val="-1"/>
        </w:rPr>
        <w:t xml:space="preserve"> </w:t>
      </w:r>
      <w:r>
        <w:t>(6)–(9)</w:t>
      </w:r>
      <w:r>
        <w:rPr>
          <w:spacing w:val="-1"/>
        </w:rPr>
        <w:t xml:space="preserve"> </w:t>
      </w:r>
      <w:r>
        <w:t>is</w:t>
      </w:r>
      <w:r>
        <w:rPr>
          <w:spacing w:val="-1"/>
        </w:rPr>
        <w:t xml:space="preserve"> </w:t>
      </w:r>
      <w:r>
        <w:t>formed</w:t>
      </w:r>
      <w:r>
        <w:rPr>
          <w:spacing w:val="-1"/>
        </w:rPr>
        <w:t xml:space="preserve"> </w:t>
      </w:r>
      <w:r>
        <w:t>by</w:t>
      </w:r>
      <w:r>
        <w:rPr>
          <w:spacing w:val="-1"/>
        </w:rPr>
        <w:t xml:space="preserve"> </w:t>
      </w:r>
      <w:r>
        <w:t>replacing</w:t>
      </w:r>
      <w:r>
        <w:rPr>
          <w:spacing w:val="-1"/>
        </w:rPr>
        <w:t xml:space="preserve"> </w:t>
      </w:r>
      <w:r>
        <w:t>one</w:t>
      </w:r>
      <w:r>
        <w:rPr>
          <w:spacing w:val="-1"/>
        </w:rPr>
        <w:t xml:space="preserve"> </w:t>
      </w:r>
      <w:r>
        <w:t>or</w:t>
      </w:r>
      <w:r>
        <w:rPr>
          <w:spacing w:val="-1"/>
        </w:rPr>
        <w:t xml:space="preserve"> </w:t>
      </w:r>
      <w:r>
        <w:t>more</w:t>
      </w:r>
      <w:r>
        <w:rPr>
          <w:spacing w:val="-1"/>
        </w:rPr>
        <w:t xml:space="preserve"> </w:t>
      </w:r>
      <w:r>
        <w:t>expressions</w:t>
      </w:r>
      <w:r>
        <w:rPr>
          <w:spacing w:val="-1"/>
        </w:rPr>
        <w:t xml:space="preserve"> </w:t>
      </w:r>
      <w:r>
        <w:t>in</w:t>
      </w:r>
      <w:r>
        <w:rPr>
          <w:spacing w:val="-1"/>
        </w:rPr>
        <w:t xml:space="preserve"> </w:t>
      </w:r>
      <w:r>
        <w:t>(5)</w:t>
      </w:r>
      <w:r>
        <w:rPr>
          <w:spacing w:val="-1"/>
        </w:rPr>
        <w:t xml:space="preserve"> </w:t>
      </w:r>
      <w:r>
        <w:t>with a variable. And the following sentences result when, in each case, the variables are bound by universal quantifiers.</w:t>
      </w:r>
    </w:p>
    <w:p w14:paraId="7E002287" w14:textId="77777777" w:rsidR="009A58DB" w:rsidRDefault="00000000">
      <w:pPr>
        <w:pStyle w:val="BodyText"/>
        <w:spacing w:before="93" w:line="249" w:lineRule="auto"/>
        <w:ind w:right="365"/>
        <w:jc w:val="left"/>
      </w:pPr>
      <w:r>
        <w:t>(6UG) For any individual x, if x is at home, then it’s not the case that x is not at home.</w:t>
      </w:r>
    </w:p>
    <w:p w14:paraId="7E002288" w14:textId="77777777" w:rsidR="009A58DB" w:rsidRDefault="00000000">
      <w:pPr>
        <w:pStyle w:val="BodyText"/>
        <w:spacing w:before="3" w:line="249" w:lineRule="auto"/>
        <w:ind w:right="422"/>
        <w:jc w:val="left"/>
      </w:pPr>
      <w:r>
        <w:t>(7UG) For any property phi, if Smith is phi, then it’s not the case that Smith</w:t>
      </w:r>
      <w:r>
        <w:rPr>
          <w:spacing w:val="40"/>
        </w:rPr>
        <w:t xml:space="preserve"> </w:t>
      </w:r>
      <w:r>
        <w:t>is not phi.</w:t>
      </w:r>
    </w:p>
    <w:p w14:paraId="7E002289" w14:textId="77777777" w:rsidR="009A58DB" w:rsidRDefault="00000000">
      <w:pPr>
        <w:pStyle w:val="BodyText"/>
        <w:spacing w:before="2" w:line="249" w:lineRule="auto"/>
        <w:ind w:right="364"/>
        <w:jc w:val="left"/>
      </w:pPr>
      <w:r>
        <w:t>(8UG) For any individual x and any property phi, if x is phi, then it’s not the case that x is not phi.</w:t>
      </w:r>
    </w:p>
    <w:p w14:paraId="7E00228A" w14:textId="77777777" w:rsidR="009A58DB" w:rsidRDefault="00000000">
      <w:pPr>
        <w:pStyle w:val="BodyText"/>
        <w:spacing w:before="3"/>
        <w:jc w:val="left"/>
      </w:pPr>
      <w:r>
        <w:t>(9UG)</w:t>
      </w:r>
      <w:r>
        <w:rPr>
          <w:spacing w:val="-5"/>
        </w:rPr>
        <w:t xml:space="preserve"> </w:t>
      </w:r>
      <w:r>
        <w:t>For</w:t>
      </w:r>
      <w:r>
        <w:rPr>
          <w:spacing w:val="-3"/>
        </w:rPr>
        <w:t xml:space="preserve"> </w:t>
      </w:r>
      <w:r>
        <w:t>any</w:t>
      </w:r>
      <w:r>
        <w:rPr>
          <w:spacing w:val="-2"/>
        </w:rPr>
        <w:t xml:space="preserve"> </w:t>
      </w:r>
      <w:r>
        <w:t>proposition</w:t>
      </w:r>
      <w:r>
        <w:rPr>
          <w:spacing w:val="-3"/>
        </w:rPr>
        <w:t xml:space="preserve"> </w:t>
      </w:r>
      <w:r>
        <w:t>P,</w:t>
      </w:r>
      <w:r>
        <w:rPr>
          <w:spacing w:val="-2"/>
        </w:rPr>
        <w:t xml:space="preserve"> </w:t>
      </w:r>
      <w:r>
        <w:t>if</w:t>
      </w:r>
      <w:r>
        <w:rPr>
          <w:spacing w:val="-3"/>
        </w:rPr>
        <w:t xml:space="preserve"> </w:t>
      </w:r>
      <w:r>
        <w:t>P,</w:t>
      </w:r>
      <w:r>
        <w:rPr>
          <w:spacing w:val="-2"/>
        </w:rPr>
        <w:t xml:space="preserve"> </w:t>
      </w:r>
      <w:r>
        <w:t>then</w:t>
      </w:r>
      <w:r>
        <w:rPr>
          <w:spacing w:val="-2"/>
        </w:rPr>
        <w:t xml:space="preserve"> </w:t>
      </w:r>
      <w:r>
        <w:t>it’s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2"/>
        </w:rPr>
        <w:t xml:space="preserve"> </w:t>
      </w:r>
      <w:r>
        <w:t>not-</w:t>
      </w:r>
      <w:r>
        <w:rPr>
          <w:spacing w:val="-5"/>
        </w:rPr>
        <w:t>P.</w:t>
      </w:r>
    </w:p>
    <w:p w14:paraId="7E00228B" w14:textId="77777777" w:rsidR="009A58DB" w:rsidRDefault="00000000">
      <w:pPr>
        <w:pStyle w:val="BodyText"/>
        <w:spacing w:before="120" w:line="249" w:lineRule="auto"/>
        <w:ind w:firstLine="360"/>
        <w:jc w:val="left"/>
      </w:pPr>
      <w:r>
        <w:t>This</w:t>
      </w:r>
      <w:r>
        <w:rPr>
          <w:spacing w:val="69"/>
        </w:rPr>
        <w:t xml:space="preserve"> </w:t>
      </w:r>
      <w:r>
        <w:t>suggests</w:t>
      </w:r>
      <w:r>
        <w:rPr>
          <w:spacing w:val="69"/>
        </w:rPr>
        <w:t xml:space="preserve"> </w:t>
      </w:r>
      <w:r>
        <w:t>that</w:t>
      </w:r>
      <w:r>
        <w:rPr>
          <w:spacing w:val="69"/>
        </w:rPr>
        <w:t xml:space="preserve"> </w:t>
      </w:r>
      <w:r>
        <w:t>a</w:t>
      </w:r>
      <w:r>
        <w:rPr>
          <w:spacing w:val="69"/>
        </w:rPr>
        <w:t xml:space="preserve"> </w:t>
      </w:r>
      <w:r>
        <w:t>sentence</w:t>
      </w:r>
      <w:r>
        <w:rPr>
          <w:spacing w:val="69"/>
        </w:rPr>
        <w:t xml:space="preserve"> </w:t>
      </w:r>
      <w:r>
        <w:t>is</w:t>
      </w:r>
      <w:r>
        <w:rPr>
          <w:spacing w:val="69"/>
        </w:rPr>
        <w:t xml:space="preserve"> </w:t>
      </w:r>
      <w:r>
        <w:t>formally</w:t>
      </w:r>
      <w:r>
        <w:rPr>
          <w:spacing w:val="69"/>
        </w:rPr>
        <w:t xml:space="preserve"> </w:t>
      </w:r>
      <w:r>
        <w:t>true</w:t>
      </w:r>
      <w:r>
        <w:rPr>
          <w:spacing w:val="69"/>
        </w:rPr>
        <w:t xml:space="preserve"> </w:t>
      </w:r>
      <w:r>
        <w:t>if</w:t>
      </w:r>
      <w:r>
        <w:rPr>
          <w:spacing w:val="69"/>
        </w:rPr>
        <w:t xml:space="preserve"> </w:t>
      </w:r>
      <w:r>
        <w:t>it’s</w:t>
      </w:r>
      <w:r>
        <w:rPr>
          <w:spacing w:val="69"/>
        </w:rPr>
        <w:t xml:space="preserve"> </w:t>
      </w:r>
      <w:r>
        <w:t>an</w:t>
      </w:r>
      <w:r>
        <w:rPr>
          <w:spacing w:val="69"/>
        </w:rPr>
        <w:t xml:space="preserve"> </w:t>
      </w:r>
      <w:r>
        <w:t>instance</w:t>
      </w:r>
      <w:r>
        <w:rPr>
          <w:spacing w:val="69"/>
        </w:rPr>
        <w:t xml:space="preserve"> </w:t>
      </w:r>
      <w:r>
        <w:t>of</w:t>
      </w:r>
      <w:r>
        <w:rPr>
          <w:spacing w:val="69"/>
        </w:rPr>
        <w:t xml:space="preserve"> </w:t>
      </w:r>
      <w:r>
        <w:t>a universally true open-sentence.</w:t>
      </w:r>
    </w:p>
    <w:p w14:paraId="7E00228C" w14:textId="77777777" w:rsidR="009A58DB" w:rsidRDefault="00000000">
      <w:pPr>
        <w:pStyle w:val="BodyText"/>
        <w:spacing w:before="2"/>
        <w:ind w:left="720"/>
        <w:jc w:val="left"/>
      </w:pPr>
      <w:r>
        <w:t>To</w:t>
      </w:r>
      <w:r>
        <w:rPr>
          <w:spacing w:val="-3"/>
        </w:rPr>
        <w:t xml:space="preserve"> </w:t>
      </w:r>
      <w:r>
        <w:t>take</w:t>
      </w:r>
      <w:r>
        <w:rPr>
          <w:spacing w:val="-2"/>
        </w:rPr>
        <w:t xml:space="preserve"> </w:t>
      </w:r>
      <w:r>
        <w:t>another</w:t>
      </w:r>
      <w:r>
        <w:rPr>
          <w:spacing w:val="-3"/>
        </w:rPr>
        <w:t xml:space="preserve"> </w:t>
      </w:r>
      <w:r>
        <w:rPr>
          <w:spacing w:val="-2"/>
        </w:rPr>
        <w:t>example:</w:t>
      </w:r>
    </w:p>
    <w:p w14:paraId="7E00228D" w14:textId="77777777" w:rsidR="009A58DB" w:rsidRDefault="00000000">
      <w:pPr>
        <w:pStyle w:val="ListParagraph"/>
        <w:numPr>
          <w:ilvl w:val="0"/>
          <w:numId w:val="67"/>
        </w:numPr>
        <w:tabs>
          <w:tab w:val="left" w:pos="810"/>
          <w:tab w:val="left" w:pos="934"/>
        </w:tabs>
        <w:spacing w:before="120" w:line="249" w:lineRule="auto"/>
        <w:ind w:left="810" w:right="366" w:hanging="450"/>
        <w:jc w:val="both"/>
        <w:rPr>
          <w:sz w:val="30"/>
        </w:rPr>
      </w:pPr>
      <w:r>
        <w:rPr>
          <w:sz w:val="30"/>
        </w:rPr>
        <w:t>If</w:t>
      </w:r>
      <w:r>
        <w:rPr>
          <w:spacing w:val="-1"/>
          <w:sz w:val="30"/>
        </w:rPr>
        <w:t xml:space="preserve"> </w:t>
      </w:r>
      <w:r>
        <w:rPr>
          <w:sz w:val="30"/>
        </w:rPr>
        <w:t>it’s</w:t>
      </w:r>
      <w:r>
        <w:rPr>
          <w:spacing w:val="-1"/>
          <w:sz w:val="30"/>
        </w:rPr>
        <w:t xml:space="preserve"> </w:t>
      </w:r>
      <w:r>
        <w:rPr>
          <w:sz w:val="30"/>
        </w:rPr>
        <w:t>necessarily</w:t>
      </w:r>
      <w:r>
        <w:rPr>
          <w:spacing w:val="-1"/>
          <w:sz w:val="30"/>
        </w:rPr>
        <w:t xml:space="preserve"> </w:t>
      </w:r>
      <w:r>
        <w:rPr>
          <w:sz w:val="30"/>
        </w:rPr>
        <w:t>the</w:t>
      </w:r>
      <w:r>
        <w:rPr>
          <w:spacing w:val="-1"/>
          <w:sz w:val="30"/>
        </w:rPr>
        <w:t xml:space="preserve"> </w:t>
      </w:r>
      <w:r>
        <w:rPr>
          <w:sz w:val="30"/>
        </w:rPr>
        <w:t>case</w:t>
      </w:r>
      <w:r>
        <w:rPr>
          <w:spacing w:val="-1"/>
          <w:sz w:val="30"/>
        </w:rPr>
        <w:t xml:space="preserve"> </w:t>
      </w:r>
      <w:r>
        <w:rPr>
          <w:sz w:val="30"/>
        </w:rPr>
        <w:t>that</w:t>
      </w:r>
      <w:r>
        <w:rPr>
          <w:spacing w:val="-1"/>
          <w:sz w:val="30"/>
        </w:rPr>
        <w:t xml:space="preserve"> </w:t>
      </w:r>
      <w:r>
        <w:rPr>
          <w:sz w:val="30"/>
        </w:rPr>
        <w:t>Smith</w:t>
      </w:r>
      <w:r>
        <w:rPr>
          <w:spacing w:val="-1"/>
          <w:sz w:val="30"/>
        </w:rPr>
        <w:t xml:space="preserve"> </w:t>
      </w:r>
      <w:r>
        <w:rPr>
          <w:sz w:val="30"/>
        </w:rPr>
        <w:t>is</w:t>
      </w:r>
      <w:r>
        <w:rPr>
          <w:spacing w:val="-1"/>
          <w:sz w:val="30"/>
        </w:rPr>
        <w:t xml:space="preserve"> </w:t>
      </w:r>
      <w:r>
        <w:rPr>
          <w:sz w:val="30"/>
        </w:rPr>
        <w:t>a</w:t>
      </w:r>
      <w:r>
        <w:rPr>
          <w:spacing w:val="-1"/>
          <w:sz w:val="30"/>
        </w:rPr>
        <w:t xml:space="preserve"> </w:t>
      </w:r>
      <w:r>
        <w:rPr>
          <w:sz w:val="30"/>
        </w:rPr>
        <w:t>mammal</w:t>
      </w:r>
      <w:r>
        <w:rPr>
          <w:spacing w:val="-1"/>
          <w:sz w:val="30"/>
        </w:rPr>
        <w:t xml:space="preserve"> </w:t>
      </w:r>
      <w:r>
        <w:rPr>
          <w:sz w:val="30"/>
        </w:rPr>
        <w:t>if</w:t>
      </w:r>
      <w:r>
        <w:rPr>
          <w:spacing w:val="-1"/>
          <w:sz w:val="30"/>
        </w:rPr>
        <w:t xml:space="preserve"> </w:t>
      </w:r>
      <w:r>
        <w:rPr>
          <w:sz w:val="30"/>
        </w:rPr>
        <w:t>Smith</w:t>
      </w:r>
      <w:r>
        <w:rPr>
          <w:spacing w:val="-1"/>
          <w:sz w:val="30"/>
        </w:rPr>
        <w:t xml:space="preserve"> </w:t>
      </w:r>
      <w:r>
        <w:rPr>
          <w:sz w:val="30"/>
        </w:rPr>
        <w:t>is</w:t>
      </w:r>
      <w:r>
        <w:rPr>
          <w:spacing w:val="-1"/>
          <w:sz w:val="30"/>
        </w:rPr>
        <w:t xml:space="preserve"> </w:t>
      </w:r>
      <w:r>
        <w:rPr>
          <w:sz w:val="30"/>
        </w:rPr>
        <w:t>a</w:t>
      </w:r>
      <w:r>
        <w:rPr>
          <w:spacing w:val="-1"/>
          <w:sz w:val="30"/>
        </w:rPr>
        <w:t xml:space="preserve"> </w:t>
      </w:r>
      <w:r>
        <w:rPr>
          <w:sz w:val="30"/>
        </w:rPr>
        <w:t>dog,</w:t>
      </w:r>
      <w:r>
        <w:rPr>
          <w:spacing w:val="-1"/>
          <w:sz w:val="30"/>
        </w:rPr>
        <w:t xml:space="preserve"> </w:t>
      </w:r>
      <w:r>
        <w:rPr>
          <w:sz w:val="30"/>
        </w:rPr>
        <w:t>then it’s</w:t>
      </w:r>
      <w:r>
        <w:rPr>
          <w:spacing w:val="-4"/>
          <w:sz w:val="30"/>
        </w:rPr>
        <w:t xml:space="preserve"> </w:t>
      </w:r>
      <w:r>
        <w:rPr>
          <w:sz w:val="30"/>
        </w:rPr>
        <w:t>necessarily</w:t>
      </w:r>
      <w:r>
        <w:rPr>
          <w:spacing w:val="-3"/>
          <w:sz w:val="30"/>
        </w:rPr>
        <w:t xml:space="preserve"> </w:t>
      </w:r>
      <w:r>
        <w:rPr>
          <w:sz w:val="30"/>
        </w:rPr>
        <w:t>the</w:t>
      </w:r>
      <w:r>
        <w:rPr>
          <w:spacing w:val="-4"/>
          <w:sz w:val="30"/>
        </w:rPr>
        <w:t xml:space="preserve"> </w:t>
      </w:r>
      <w:r>
        <w:rPr>
          <w:sz w:val="30"/>
        </w:rPr>
        <w:t>case</w:t>
      </w:r>
      <w:r>
        <w:rPr>
          <w:spacing w:val="-4"/>
          <w:sz w:val="30"/>
        </w:rPr>
        <w:t xml:space="preserve"> </w:t>
      </w:r>
      <w:r>
        <w:rPr>
          <w:sz w:val="30"/>
        </w:rPr>
        <w:t>that</w:t>
      </w:r>
      <w:r>
        <w:rPr>
          <w:spacing w:val="-4"/>
          <w:sz w:val="30"/>
        </w:rPr>
        <w:t xml:space="preserve"> </w:t>
      </w:r>
      <w:r>
        <w:rPr>
          <w:sz w:val="30"/>
        </w:rPr>
        <w:t>Smith</w:t>
      </w:r>
      <w:r>
        <w:rPr>
          <w:spacing w:val="-3"/>
          <w:sz w:val="30"/>
        </w:rPr>
        <w:t xml:space="preserve"> </w:t>
      </w:r>
      <w:r>
        <w:rPr>
          <w:sz w:val="30"/>
        </w:rPr>
        <w:t>is</w:t>
      </w:r>
      <w:r>
        <w:rPr>
          <w:spacing w:val="-4"/>
          <w:sz w:val="30"/>
        </w:rPr>
        <w:t xml:space="preserve"> </w:t>
      </w:r>
      <w:r>
        <w:rPr>
          <w:sz w:val="30"/>
        </w:rPr>
        <w:t>a</w:t>
      </w:r>
      <w:r>
        <w:rPr>
          <w:spacing w:val="-4"/>
          <w:sz w:val="30"/>
        </w:rPr>
        <w:t xml:space="preserve"> </w:t>
      </w:r>
      <w:r>
        <w:rPr>
          <w:sz w:val="30"/>
        </w:rPr>
        <w:t>mammal</w:t>
      </w:r>
      <w:r>
        <w:rPr>
          <w:spacing w:val="-4"/>
          <w:sz w:val="30"/>
        </w:rPr>
        <w:t xml:space="preserve"> </w:t>
      </w:r>
      <w:r>
        <w:rPr>
          <w:sz w:val="30"/>
        </w:rPr>
        <w:t>if</w:t>
      </w:r>
      <w:r>
        <w:rPr>
          <w:spacing w:val="-4"/>
          <w:sz w:val="30"/>
        </w:rPr>
        <w:t xml:space="preserve"> </w:t>
      </w:r>
      <w:r>
        <w:rPr>
          <w:sz w:val="30"/>
        </w:rPr>
        <w:t>it’s</w:t>
      </w:r>
      <w:r>
        <w:rPr>
          <w:spacing w:val="-4"/>
          <w:sz w:val="30"/>
        </w:rPr>
        <w:t xml:space="preserve"> </w:t>
      </w:r>
      <w:r>
        <w:rPr>
          <w:sz w:val="30"/>
        </w:rPr>
        <w:t>necessarily</w:t>
      </w:r>
      <w:r>
        <w:rPr>
          <w:spacing w:val="-3"/>
          <w:sz w:val="30"/>
        </w:rPr>
        <w:t xml:space="preserve"> </w:t>
      </w:r>
      <w:r>
        <w:rPr>
          <w:sz w:val="30"/>
        </w:rPr>
        <w:t>the</w:t>
      </w:r>
      <w:r>
        <w:rPr>
          <w:spacing w:val="-4"/>
          <w:sz w:val="30"/>
        </w:rPr>
        <w:t xml:space="preserve"> </w:t>
      </w:r>
      <w:r>
        <w:rPr>
          <w:sz w:val="30"/>
        </w:rPr>
        <w:t>case that Smith is a dog</w:t>
      </w:r>
    </w:p>
    <w:p w14:paraId="7E00228E" w14:textId="77777777" w:rsidR="009A58DB" w:rsidRDefault="00000000">
      <w:pPr>
        <w:pStyle w:val="BodyText"/>
        <w:spacing w:before="94" w:line="249" w:lineRule="auto"/>
        <w:ind w:right="364"/>
      </w:pPr>
      <w:r>
        <w:t xml:space="preserve">is formally true, because it’s an instance of the following universally correct </w:t>
      </w:r>
      <w:r>
        <w:rPr>
          <w:spacing w:val="-2"/>
        </w:rPr>
        <w:t>open-sentences:</w:t>
      </w:r>
    </w:p>
    <w:p w14:paraId="7E00228F" w14:textId="77777777" w:rsidR="009A58DB" w:rsidRDefault="00000000">
      <w:pPr>
        <w:pStyle w:val="ListParagraph"/>
        <w:numPr>
          <w:ilvl w:val="0"/>
          <w:numId w:val="67"/>
        </w:numPr>
        <w:tabs>
          <w:tab w:val="left" w:pos="810"/>
          <w:tab w:val="left" w:pos="974"/>
        </w:tabs>
        <w:spacing w:before="107" w:line="249" w:lineRule="auto"/>
        <w:ind w:left="810" w:right="366" w:hanging="450"/>
        <w:jc w:val="both"/>
        <w:rPr>
          <w:sz w:val="30"/>
        </w:rPr>
      </w:pPr>
      <w:r>
        <w:rPr>
          <w:sz w:val="30"/>
        </w:rPr>
        <w:t>If it’s necessarily the case that x is a mammal if x is a dog, then it’s necessarily</w:t>
      </w:r>
      <w:r>
        <w:rPr>
          <w:spacing w:val="-3"/>
          <w:sz w:val="30"/>
        </w:rPr>
        <w:t xml:space="preserve"> </w:t>
      </w:r>
      <w:r>
        <w:rPr>
          <w:sz w:val="30"/>
        </w:rPr>
        <w:t>the</w:t>
      </w:r>
      <w:r>
        <w:rPr>
          <w:spacing w:val="-4"/>
          <w:sz w:val="30"/>
        </w:rPr>
        <w:t xml:space="preserve"> </w:t>
      </w:r>
      <w:r>
        <w:rPr>
          <w:sz w:val="30"/>
        </w:rPr>
        <w:t>case</w:t>
      </w:r>
      <w:r>
        <w:rPr>
          <w:spacing w:val="-4"/>
          <w:sz w:val="30"/>
        </w:rPr>
        <w:t xml:space="preserve"> </w:t>
      </w:r>
      <w:r>
        <w:rPr>
          <w:sz w:val="30"/>
        </w:rPr>
        <w:t>that</w:t>
      </w:r>
      <w:r>
        <w:rPr>
          <w:spacing w:val="-4"/>
          <w:sz w:val="30"/>
        </w:rPr>
        <w:t xml:space="preserve"> </w:t>
      </w:r>
      <w:r>
        <w:rPr>
          <w:sz w:val="30"/>
        </w:rPr>
        <w:t>x</w:t>
      </w:r>
      <w:r>
        <w:rPr>
          <w:spacing w:val="-3"/>
          <w:sz w:val="30"/>
        </w:rPr>
        <w:t xml:space="preserve"> </w:t>
      </w:r>
      <w:r>
        <w:rPr>
          <w:sz w:val="30"/>
        </w:rPr>
        <w:t>is</w:t>
      </w:r>
      <w:r>
        <w:rPr>
          <w:spacing w:val="-4"/>
          <w:sz w:val="30"/>
        </w:rPr>
        <w:t xml:space="preserve"> </w:t>
      </w:r>
      <w:r>
        <w:rPr>
          <w:sz w:val="30"/>
        </w:rPr>
        <w:t>a</w:t>
      </w:r>
      <w:r>
        <w:rPr>
          <w:spacing w:val="-4"/>
          <w:sz w:val="30"/>
        </w:rPr>
        <w:t xml:space="preserve"> </w:t>
      </w:r>
      <w:r>
        <w:rPr>
          <w:sz w:val="30"/>
        </w:rPr>
        <w:t>mammal</w:t>
      </w:r>
      <w:r>
        <w:rPr>
          <w:spacing w:val="-4"/>
          <w:sz w:val="30"/>
        </w:rPr>
        <w:t xml:space="preserve"> </w:t>
      </w:r>
      <w:r>
        <w:rPr>
          <w:sz w:val="30"/>
        </w:rPr>
        <w:t>if</w:t>
      </w:r>
      <w:r>
        <w:rPr>
          <w:spacing w:val="-4"/>
          <w:sz w:val="30"/>
        </w:rPr>
        <w:t xml:space="preserve"> </w:t>
      </w:r>
      <w:r>
        <w:rPr>
          <w:sz w:val="30"/>
        </w:rPr>
        <w:t>it’s</w:t>
      </w:r>
      <w:r>
        <w:rPr>
          <w:spacing w:val="-4"/>
          <w:sz w:val="30"/>
        </w:rPr>
        <w:t xml:space="preserve"> </w:t>
      </w:r>
      <w:r>
        <w:rPr>
          <w:sz w:val="30"/>
        </w:rPr>
        <w:t>necessarily</w:t>
      </w:r>
      <w:r>
        <w:rPr>
          <w:spacing w:val="-3"/>
          <w:sz w:val="30"/>
        </w:rPr>
        <w:t xml:space="preserve"> </w:t>
      </w:r>
      <w:r>
        <w:rPr>
          <w:sz w:val="30"/>
        </w:rPr>
        <w:t>the</w:t>
      </w:r>
      <w:r>
        <w:rPr>
          <w:spacing w:val="-4"/>
          <w:sz w:val="30"/>
        </w:rPr>
        <w:t xml:space="preserve"> </w:t>
      </w:r>
      <w:r>
        <w:rPr>
          <w:sz w:val="30"/>
        </w:rPr>
        <w:t>case</w:t>
      </w:r>
      <w:r>
        <w:rPr>
          <w:spacing w:val="-4"/>
          <w:sz w:val="30"/>
        </w:rPr>
        <w:t xml:space="preserve"> </w:t>
      </w:r>
      <w:r>
        <w:rPr>
          <w:sz w:val="30"/>
        </w:rPr>
        <w:t>that</w:t>
      </w:r>
      <w:r>
        <w:rPr>
          <w:spacing w:val="-4"/>
          <w:sz w:val="30"/>
        </w:rPr>
        <w:t xml:space="preserve"> </w:t>
      </w:r>
      <w:r>
        <w:rPr>
          <w:sz w:val="30"/>
        </w:rPr>
        <w:t>x</w:t>
      </w:r>
      <w:r>
        <w:rPr>
          <w:spacing w:val="-3"/>
          <w:sz w:val="30"/>
        </w:rPr>
        <w:t xml:space="preserve"> </w:t>
      </w:r>
      <w:r>
        <w:rPr>
          <w:sz w:val="30"/>
        </w:rPr>
        <w:t>is a dog.</w:t>
      </w:r>
    </w:p>
    <w:p w14:paraId="7E002290" w14:textId="77777777" w:rsidR="009A58DB" w:rsidRDefault="00000000">
      <w:pPr>
        <w:pStyle w:val="ListParagraph"/>
        <w:numPr>
          <w:ilvl w:val="0"/>
          <w:numId w:val="67"/>
        </w:numPr>
        <w:tabs>
          <w:tab w:val="left" w:pos="810"/>
          <w:tab w:val="left" w:pos="1014"/>
        </w:tabs>
        <w:spacing w:before="4" w:line="249" w:lineRule="auto"/>
        <w:ind w:left="810" w:right="359" w:hanging="450"/>
        <w:jc w:val="both"/>
        <w:rPr>
          <w:sz w:val="30"/>
        </w:rPr>
      </w:pPr>
      <w:r>
        <w:rPr>
          <w:sz w:val="30"/>
        </w:rPr>
        <w:t>If it’s necessarily the case that Smith is a mammal if P, then it’s necessarily the case that Smith is a mammal if it’s necessarily the case that P.</w:t>
      </w:r>
    </w:p>
    <w:p w14:paraId="7E002291" w14:textId="77777777" w:rsidR="009A58DB" w:rsidRDefault="00000000">
      <w:pPr>
        <w:pStyle w:val="ListParagraph"/>
        <w:numPr>
          <w:ilvl w:val="0"/>
          <w:numId w:val="67"/>
        </w:numPr>
        <w:tabs>
          <w:tab w:val="left" w:pos="810"/>
          <w:tab w:val="left" w:pos="950"/>
        </w:tabs>
        <w:spacing w:before="4" w:line="249" w:lineRule="auto"/>
        <w:ind w:left="810" w:right="371" w:hanging="450"/>
        <w:jc w:val="both"/>
        <w:rPr>
          <w:sz w:val="30"/>
        </w:rPr>
      </w:pPr>
      <w:r>
        <w:rPr>
          <w:sz w:val="30"/>
        </w:rPr>
        <w:t>If it’s necessarily the case that Q if P, then it’s necessarily the case that</w:t>
      </w:r>
      <w:r>
        <w:rPr>
          <w:spacing w:val="40"/>
          <w:sz w:val="30"/>
        </w:rPr>
        <w:t xml:space="preserve"> </w:t>
      </w:r>
      <w:r>
        <w:rPr>
          <w:sz w:val="30"/>
        </w:rPr>
        <w:t>Q if it’s necessarily the case that P.</w:t>
      </w:r>
    </w:p>
    <w:p w14:paraId="7E002292" w14:textId="77777777" w:rsidR="009A58DB" w:rsidRDefault="00000000">
      <w:pPr>
        <w:pStyle w:val="Heading1"/>
        <w:numPr>
          <w:ilvl w:val="2"/>
          <w:numId w:val="69"/>
        </w:numPr>
        <w:tabs>
          <w:tab w:val="left" w:pos="1305"/>
        </w:tabs>
        <w:spacing w:before="190"/>
      </w:pPr>
      <w:r>
        <w:t>What</w:t>
      </w:r>
      <w:r>
        <w:rPr>
          <w:spacing w:val="-3"/>
        </w:rPr>
        <w:t xml:space="preserve"> </w:t>
      </w:r>
      <w:r>
        <w:t>is</w:t>
      </w:r>
      <w:r>
        <w:rPr>
          <w:spacing w:val="-2"/>
        </w:rPr>
        <w:t xml:space="preserve"> </w:t>
      </w:r>
      <w:r>
        <w:t>a</w:t>
      </w:r>
      <w:r>
        <w:rPr>
          <w:spacing w:val="-1"/>
        </w:rPr>
        <w:t xml:space="preserve"> </w:t>
      </w:r>
      <w:r>
        <w:t>logical</w:t>
      </w:r>
      <w:r>
        <w:rPr>
          <w:spacing w:val="-2"/>
        </w:rPr>
        <w:t xml:space="preserve"> constant?</w:t>
      </w:r>
    </w:p>
    <w:p w14:paraId="7E002293" w14:textId="77777777" w:rsidR="009A58DB" w:rsidRDefault="00000000">
      <w:pPr>
        <w:pStyle w:val="BodyText"/>
        <w:spacing w:before="139" w:line="249" w:lineRule="auto"/>
        <w:ind w:right="366"/>
      </w:pPr>
      <w:r>
        <w:t>Quine’s</w:t>
      </w:r>
      <w:r>
        <w:rPr>
          <w:spacing w:val="-3"/>
        </w:rPr>
        <w:t xml:space="preserve"> </w:t>
      </w:r>
      <w:r>
        <w:t>analysis,</w:t>
      </w:r>
      <w:r>
        <w:rPr>
          <w:spacing w:val="-2"/>
        </w:rPr>
        <w:t xml:space="preserve"> </w:t>
      </w:r>
      <w:r>
        <w:t>we</w:t>
      </w:r>
      <w:r>
        <w:rPr>
          <w:spacing w:val="-2"/>
        </w:rPr>
        <w:t xml:space="preserve"> </w:t>
      </w:r>
      <w:r>
        <w:t>noted,</w:t>
      </w:r>
      <w:r>
        <w:rPr>
          <w:spacing w:val="-2"/>
        </w:rPr>
        <w:t xml:space="preserve"> </w:t>
      </w:r>
      <w:r>
        <w:t>is</w:t>
      </w:r>
      <w:r>
        <w:rPr>
          <w:spacing w:val="-2"/>
        </w:rPr>
        <w:t xml:space="preserve"> </w:t>
      </w:r>
      <w:r>
        <w:t>vitiated</w:t>
      </w:r>
      <w:r>
        <w:rPr>
          <w:spacing w:val="-2"/>
        </w:rPr>
        <w:t xml:space="preserve"> </w:t>
      </w:r>
      <w:r>
        <w:t>by</w:t>
      </w:r>
      <w:r>
        <w:rPr>
          <w:spacing w:val="-2"/>
        </w:rPr>
        <w:t xml:space="preserve"> </w:t>
      </w:r>
      <w:r>
        <w:t>his</w:t>
      </w:r>
      <w:r>
        <w:rPr>
          <w:spacing w:val="-2"/>
        </w:rPr>
        <w:t xml:space="preserve"> </w:t>
      </w:r>
      <w:r>
        <w:t>failing</w:t>
      </w:r>
      <w:r>
        <w:rPr>
          <w:spacing w:val="-2"/>
        </w:rPr>
        <w:t xml:space="preserve"> </w:t>
      </w:r>
      <w:r>
        <w:t>to</w:t>
      </w:r>
      <w:r>
        <w:rPr>
          <w:spacing w:val="-2"/>
        </w:rPr>
        <w:t xml:space="preserve"> </w:t>
      </w:r>
      <w:r>
        <w:t>say</w:t>
      </w:r>
      <w:r>
        <w:rPr>
          <w:spacing w:val="-2"/>
        </w:rPr>
        <w:t xml:space="preserve"> </w:t>
      </w:r>
      <w:r>
        <w:t>what</w:t>
      </w:r>
      <w:r>
        <w:rPr>
          <w:spacing w:val="-2"/>
        </w:rPr>
        <w:t xml:space="preserve"> </w:t>
      </w:r>
      <w:r>
        <w:t>conditions</w:t>
      </w:r>
      <w:r>
        <w:rPr>
          <w:spacing w:val="-2"/>
        </w:rPr>
        <w:t xml:space="preserve"> </w:t>
      </w:r>
      <w:r>
        <w:t>an expression</w:t>
      </w:r>
      <w:r>
        <w:rPr>
          <w:spacing w:val="61"/>
        </w:rPr>
        <w:t xml:space="preserve"> </w:t>
      </w:r>
      <w:r>
        <w:t>must</w:t>
      </w:r>
      <w:r>
        <w:rPr>
          <w:spacing w:val="61"/>
        </w:rPr>
        <w:t xml:space="preserve"> </w:t>
      </w:r>
      <w:r>
        <w:t>satisfy</w:t>
      </w:r>
      <w:r>
        <w:rPr>
          <w:spacing w:val="62"/>
        </w:rPr>
        <w:t xml:space="preserve"> </w:t>
      </w:r>
      <w:r>
        <w:t>to</w:t>
      </w:r>
      <w:r>
        <w:rPr>
          <w:spacing w:val="61"/>
        </w:rPr>
        <w:t xml:space="preserve"> </w:t>
      </w:r>
      <w:r>
        <w:t>be</w:t>
      </w:r>
      <w:r>
        <w:rPr>
          <w:spacing w:val="61"/>
        </w:rPr>
        <w:t xml:space="preserve"> </w:t>
      </w:r>
      <w:r>
        <w:t>a</w:t>
      </w:r>
      <w:r>
        <w:rPr>
          <w:spacing w:val="62"/>
        </w:rPr>
        <w:t xml:space="preserve"> </w:t>
      </w:r>
      <w:r>
        <w:t>“logical</w:t>
      </w:r>
      <w:r>
        <w:rPr>
          <w:spacing w:val="61"/>
        </w:rPr>
        <w:t xml:space="preserve"> </w:t>
      </w:r>
      <w:r>
        <w:t>constant.”</w:t>
      </w:r>
      <w:r>
        <w:rPr>
          <w:spacing w:val="61"/>
        </w:rPr>
        <w:t xml:space="preserve"> </w:t>
      </w:r>
      <w:r>
        <w:t>We</w:t>
      </w:r>
      <w:r>
        <w:rPr>
          <w:spacing w:val="62"/>
        </w:rPr>
        <w:t xml:space="preserve"> </w:t>
      </w:r>
      <w:r>
        <w:t>are</w:t>
      </w:r>
      <w:r>
        <w:rPr>
          <w:spacing w:val="61"/>
        </w:rPr>
        <w:t xml:space="preserve"> </w:t>
      </w:r>
      <w:r>
        <w:t>in</w:t>
      </w:r>
      <w:r>
        <w:rPr>
          <w:spacing w:val="61"/>
        </w:rPr>
        <w:t xml:space="preserve"> </w:t>
      </w:r>
      <w:r>
        <w:t>position</w:t>
      </w:r>
      <w:r>
        <w:rPr>
          <w:spacing w:val="62"/>
        </w:rPr>
        <w:t xml:space="preserve"> </w:t>
      </w:r>
      <w:r>
        <w:t>to</w:t>
      </w:r>
    </w:p>
    <w:p w14:paraId="7E00229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95" w14:textId="77777777" w:rsidR="009A58DB" w:rsidRDefault="00000000">
      <w:pPr>
        <w:pStyle w:val="BodyText"/>
        <w:spacing w:before="61" w:line="249" w:lineRule="auto"/>
        <w:ind w:right="363"/>
      </w:pPr>
      <w:r>
        <w:lastRenderedPageBreak/>
        <w:t>provide this information. The expressions “not” and “if . . . then . . .” are on Quine’s list of logical constants, and those expressions occur in:</w:t>
      </w:r>
    </w:p>
    <w:p w14:paraId="7E002296" w14:textId="77777777" w:rsidR="009A58DB" w:rsidRDefault="00000000">
      <w:pPr>
        <w:pStyle w:val="BodyText"/>
        <w:spacing w:before="111"/>
      </w:pPr>
      <w:r>
        <w:t>(5)</w:t>
      </w:r>
      <w:r>
        <w:rPr>
          <w:spacing w:val="-5"/>
        </w:rPr>
        <w:t xml:space="preserve"> </w:t>
      </w:r>
      <w:r>
        <w:t>“If</w:t>
      </w:r>
      <w:r>
        <w:rPr>
          <w:spacing w:val="-3"/>
        </w:rPr>
        <w:t xml:space="preserve"> </w:t>
      </w:r>
      <w:r>
        <w:t>Smith</w:t>
      </w:r>
      <w:r>
        <w:rPr>
          <w:spacing w:val="-2"/>
        </w:rPr>
        <w:t xml:space="preserve"> </w:t>
      </w:r>
      <w:r>
        <w:t>is</w:t>
      </w:r>
      <w:r>
        <w:rPr>
          <w:spacing w:val="-2"/>
        </w:rPr>
        <w:t xml:space="preserve"> </w:t>
      </w:r>
      <w:r>
        <w:t>at</w:t>
      </w:r>
      <w:r>
        <w:rPr>
          <w:spacing w:val="-3"/>
        </w:rPr>
        <w:t xml:space="preserve"> </w:t>
      </w:r>
      <w:r>
        <w:t>home,</w:t>
      </w:r>
      <w:r>
        <w:rPr>
          <w:spacing w:val="-2"/>
        </w:rPr>
        <w:t xml:space="preserve"> </w:t>
      </w:r>
      <w:r>
        <w:t>then</w:t>
      </w:r>
      <w:r>
        <w:rPr>
          <w:spacing w:val="-2"/>
        </w:rPr>
        <w:t xml:space="preserve"> </w:t>
      </w:r>
      <w:r>
        <w:t>it’s</w:t>
      </w:r>
      <w:r>
        <w:rPr>
          <w:spacing w:val="-3"/>
        </w:rPr>
        <w:t xml:space="preserve"> </w:t>
      </w:r>
      <w:r>
        <w:t>not</w:t>
      </w:r>
      <w:r>
        <w:rPr>
          <w:spacing w:val="-2"/>
        </w:rPr>
        <w:t xml:space="preserve"> </w:t>
      </w:r>
      <w:r>
        <w:t>the</w:t>
      </w:r>
      <w:r>
        <w:rPr>
          <w:spacing w:val="-3"/>
        </w:rPr>
        <w:t xml:space="preserve"> </w:t>
      </w:r>
      <w:r>
        <w:t>case</w:t>
      </w:r>
      <w:r>
        <w:rPr>
          <w:spacing w:val="-3"/>
        </w:rPr>
        <w:t xml:space="preserve"> </w:t>
      </w:r>
      <w:r>
        <w:t>that</w:t>
      </w:r>
      <w:r>
        <w:rPr>
          <w:spacing w:val="-2"/>
        </w:rPr>
        <w:t xml:space="preserve"> </w:t>
      </w:r>
      <w:r>
        <w:t>Smith</w:t>
      </w:r>
      <w:r>
        <w:rPr>
          <w:spacing w:val="-2"/>
        </w:rPr>
        <w:t xml:space="preserve"> </w:t>
      </w:r>
      <w:r>
        <w:t>is</w:t>
      </w:r>
      <w:r>
        <w:rPr>
          <w:spacing w:val="-3"/>
        </w:rPr>
        <w:t xml:space="preserve"> </w:t>
      </w:r>
      <w:r>
        <w:t>not</w:t>
      </w:r>
      <w:r>
        <w:rPr>
          <w:spacing w:val="-3"/>
        </w:rPr>
        <w:t xml:space="preserve"> </w:t>
      </w:r>
      <w:r>
        <w:t>at</w:t>
      </w:r>
      <w:r>
        <w:rPr>
          <w:spacing w:val="-2"/>
        </w:rPr>
        <w:t xml:space="preserve"> home.”</w:t>
      </w:r>
    </w:p>
    <w:p w14:paraId="7E002297" w14:textId="77777777" w:rsidR="009A58DB" w:rsidRDefault="00000000">
      <w:pPr>
        <w:pStyle w:val="BodyText"/>
        <w:spacing w:before="105" w:line="249" w:lineRule="auto"/>
        <w:ind w:right="360"/>
      </w:pPr>
      <w:r>
        <w:t>Before</w:t>
      </w:r>
      <w:r>
        <w:rPr>
          <w:spacing w:val="-1"/>
        </w:rPr>
        <w:t xml:space="preserve"> </w:t>
      </w:r>
      <w:r>
        <w:t>we</w:t>
      </w:r>
      <w:r>
        <w:rPr>
          <w:spacing w:val="-1"/>
        </w:rPr>
        <w:t xml:space="preserve"> </w:t>
      </w:r>
      <w:r>
        <w:t>proceed,</w:t>
      </w:r>
      <w:r>
        <w:rPr>
          <w:spacing w:val="-1"/>
        </w:rPr>
        <w:t xml:space="preserve"> </w:t>
      </w:r>
      <w:r>
        <w:t>we</w:t>
      </w:r>
      <w:r>
        <w:rPr>
          <w:spacing w:val="-1"/>
        </w:rPr>
        <w:t xml:space="preserve"> </w:t>
      </w:r>
      <w:r>
        <w:t>have</w:t>
      </w:r>
      <w:r>
        <w:rPr>
          <w:spacing w:val="-1"/>
        </w:rPr>
        <w:t xml:space="preserve"> </w:t>
      </w:r>
      <w:r>
        <w:t>to</w:t>
      </w:r>
      <w:r>
        <w:rPr>
          <w:spacing w:val="-1"/>
        </w:rPr>
        <w:t xml:space="preserve"> </w:t>
      </w:r>
      <w:r>
        <w:t>make</w:t>
      </w:r>
      <w:r>
        <w:rPr>
          <w:spacing w:val="-1"/>
        </w:rPr>
        <w:t xml:space="preserve"> </w:t>
      </w:r>
      <w:r>
        <w:t>a</w:t>
      </w:r>
      <w:r>
        <w:rPr>
          <w:spacing w:val="-1"/>
        </w:rPr>
        <w:t xml:space="preserve"> </w:t>
      </w:r>
      <w:r>
        <w:t>couple</w:t>
      </w:r>
      <w:r>
        <w:rPr>
          <w:spacing w:val="-1"/>
        </w:rPr>
        <w:t xml:space="preserve"> </w:t>
      </w:r>
      <w:r>
        <w:t>of</w:t>
      </w:r>
      <w:r>
        <w:rPr>
          <w:spacing w:val="-1"/>
        </w:rPr>
        <w:t xml:space="preserve"> </w:t>
      </w:r>
      <w:r>
        <w:t>points</w:t>
      </w:r>
      <w:r>
        <w:rPr>
          <w:spacing w:val="-1"/>
        </w:rPr>
        <w:t xml:space="preserve"> </w:t>
      </w:r>
      <w:r>
        <w:t>about</w:t>
      </w:r>
      <w:r>
        <w:rPr>
          <w:spacing w:val="-2"/>
        </w:rPr>
        <w:t xml:space="preserve"> </w:t>
      </w:r>
      <w:r>
        <w:t>the</w:t>
      </w:r>
      <w:r>
        <w:rPr>
          <w:spacing w:val="-1"/>
        </w:rPr>
        <w:t xml:space="preserve"> </w:t>
      </w:r>
      <w:r>
        <w:t>word</w:t>
      </w:r>
      <w:r>
        <w:rPr>
          <w:spacing w:val="-1"/>
        </w:rPr>
        <w:t xml:space="preserve"> </w:t>
      </w:r>
      <w:r>
        <w:t xml:space="preserve">“not.” That word </w:t>
      </w:r>
      <w:r>
        <w:rPr>
          <w:i/>
        </w:rPr>
        <w:t xml:space="preserve">what </w:t>
      </w:r>
      <w:r>
        <w:t xml:space="preserve">is known as a “sentence-level operator”: it’s an expression that forms sentences out of sentences—it forms “snow is not white” out of “snow is white.” It isn’t often that sentence-level operators are replaced with variables. But not only </w:t>
      </w:r>
      <w:r>
        <w:rPr>
          <w:i/>
        </w:rPr>
        <w:t xml:space="preserve">can </w:t>
      </w:r>
      <w:r>
        <w:t xml:space="preserve">such replacements be made; they must be made. Otherwise, it would be impossible to express any generalization about sentence-level connectives. (Logicians and linguists often make statements about whole classes of sentence-level connectives, and such statements involve replacements of this kind, since they have the form: “given </w:t>
      </w:r>
      <w:r>
        <w:rPr>
          <w:i/>
        </w:rPr>
        <w:t xml:space="preserve">any </w:t>
      </w:r>
      <w:r>
        <w:t>sentence level connective X . . .”) In fact, we’re about to state just such a principle right now.</w:t>
      </w:r>
    </w:p>
    <w:p w14:paraId="7E002298" w14:textId="77777777" w:rsidR="009A58DB" w:rsidRDefault="00000000">
      <w:pPr>
        <w:pStyle w:val="BodyText"/>
        <w:spacing w:before="119"/>
        <w:ind w:left="720"/>
      </w:pPr>
      <w:r>
        <w:t>Given</w:t>
      </w:r>
      <w:r>
        <w:rPr>
          <w:spacing w:val="-5"/>
        </w:rPr>
        <w:t xml:space="preserve"> </w:t>
      </w:r>
      <w:r>
        <w:t>(5),</w:t>
      </w:r>
      <w:r>
        <w:rPr>
          <w:spacing w:val="-3"/>
        </w:rPr>
        <w:t xml:space="preserve"> </w:t>
      </w:r>
      <w:r>
        <w:t>if</w:t>
      </w:r>
      <w:r>
        <w:rPr>
          <w:spacing w:val="-3"/>
        </w:rPr>
        <w:t xml:space="preserve"> </w:t>
      </w:r>
      <w:r>
        <w:t>we</w:t>
      </w:r>
      <w:r>
        <w:rPr>
          <w:spacing w:val="-4"/>
        </w:rPr>
        <w:t xml:space="preserve"> </w:t>
      </w:r>
      <w:r>
        <w:t>replace</w:t>
      </w:r>
      <w:r>
        <w:rPr>
          <w:spacing w:val="-3"/>
        </w:rPr>
        <w:t xml:space="preserve"> </w:t>
      </w:r>
      <w:r>
        <w:t>“not”</w:t>
      </w:r>
      <w:r>
        <w:rPr>
          <w:spacing w:val="-4"/>
        </w:rPr>
        <w:t xml:space="preserve"> </w:t>
      </w:r>
      <w:r>
        <w:t>with</w:t>
      </w:r>
      <w:r>
        <w:rPr>
          <w:spacing w:val="-2"/>
        </w:rPr>
        <w:t xml:space="preserve"> </w:t>
      </w:r>
      <w:r>
        <w:t>a</w:t>
      </w:r>
      <w:r>
        <w:rPr>
          <w:spacing w:val="-4"/>
        </w:rPr>
        <w:t xml:space="preserve"> </w:t>
      </w:r>
      <w:r>
        <w:t>variable,</w:t>
      </w:r>
      <w:r>
        <w:rPr>
          <w:spacing w:val="-2"/>
        </w:rPr>
        <w:t xml:space="preserve"> </w:t>
      </w:r>
      <w:r>
        <w:t>the</w:t>
      </w:r>
      <w:r>
        <w:rPr>
          <w:spacing w:val="-4"/>
        </w:rPr>
        <w:t xml:space="preserve"> </w:t>
      </w:r>
      <w:r>
        <w:t>result</w:t>
      </w:r>
      <w:r>
        <w:rPr>
          <w:spacing w:val="-3"/>
        </w:rPr>
        <w:t xml:space="preserve"> </w:t>
      </w:r>
      <w:r>
        <w:rPr>
          <w:spacing w:val="-5"/>
        </w:rPr>
        <w:t>is:</w:t>
      </w:r>
    </w:p>
    <w:p w14:paraId="7E002299" w14:textId="77777777" w:rsidR="009A58DB" w:rsidRDefault="00000000">
      <w:pPr>
        <w:pStyle w:val="BodyText"/>
        <w:spacing w:before="120"/>
      </w:pPr>
      <w:r>
        <w:t>(5X)</w:t>
      </w:r>
      <w:r>
        <w:rPr>
          <w:spacing w:val="-5"/>
        </w:rPr>
        <w:t xml:space="preserve"> </w:t>
      </w:r>
      <w:r>
        <w:t>“If</w:t>
      </w:r>
      <w:r>
        <w:rPr>
          <w:spacing w:val="-3"/>
        </w:rPr>
        <w:t xml:space="preserve"> </w:t>
      </w:r>
      <w:r>
        <w:t>Smith</w:t>
      </w:r>
      <w:r>
        <w:rPr>
          <w:spacing w:val="-2"/>
        </w:rPr>
        <w:t xml:space="preserve"> </w:t>
      </w:r>
      <w:r>
        <w:t>is</w:t>
      </w:r>
      <w:r>
        <w:rPr>
          <w:spacing w:val="-3"/>
        </w:rPr>
        <w:t xml:space="preserve"> </w:t>
      </w:r>
      <w:r>
        <w:t>at</w:t>
      </w:r>
      <w:r>
        <w:rPr>
          <w:spacing w:val="-3"/>
        </w:rPr>
        <w:t xml:space="preserve"> </w:t>
      </w:r>
      <w:r>
        <w:t>home,</w:t>
      </w:r>
      <w:r>
        <w:rPr>
          <w:spacing w:val="-1"/>
        </w:rPr>
        <w:t xml:space="preserve"> </w:t>
      </w:r>
      <w:r>
        <w:t>then</w:t>
      </w:r>
      <w:r>
        <w:rPr>
          <w:spacing w:val="-2"/>
        </w:rPr>
        <w:t xml:space="preserve"> </w:t>
      </w:r>
      <w:r>
        <w:t>it’s</w:t>
      </w:r>
      <w:r>
        <w:rPr>
          <w:spacing w:val="-3"/>
        </w:rPr>
        <w:t xml:space="preserve"> </w:t>
      </w:r>
      <w:r>
        <w:t>X</w:t>
      </w:r>
      <w:r>
        <w:rPr>
          <w:spacing w:val="-3"/>
        </w:rPr>
        <w:t xml:space="preserve"> </w:t>
      </w:r>
      <w:r>
        <w:t>the</w:t>
      </w:r>
      <w:r>
        <w:rPr>
          <w:spacing w:val="-3"/>
        </w:rPr>
        <w:t xml:space="preserve"> </w:t>
      </w:r>
      <w:r>
        <w:t>case</w:t>
      </w:r>
      <w:r>
        <w:rPr>
          <w:spacing w:val="-2"/>
        </w:rPr>
        <w:t xml:space="preserve"> </w:t>
      </w:r>
      <w:r>
        <w:t>that</w:t>
      </w:r>
      <w:r>
        <w:rPr>
          <w:spacing w:val="-3"/>
        </w:rPr>
        <w:t xml:space="preserve"> </w:t>
      </w:r>
      <w:r>
        <w:t>Smith</w:t>
      </w:r>
      <w:r>
        <w:rPr>
          <w:spacing w:val="-2"/>
        </w:rPr>
        <w:t xml:space="preserve"> </w:t>
      </w:r>
      <w:r>
        <w:t>is</w:t>
      </w:r>
      <w:r>
        <w:rPr>
          <w:spacing w:val="-3"/>
        </w:rPr>
        <w:t xml:space="preserve"> </w:t>
      </w:r>
      <w:r>
        <w:t>X</w:t>
      </w:r>
      <w:r>
        <w:rPr>
          <w:spacing w:val="-3"/>
        </w:rPr>
        <w:t xml:space="preserve"> </w:t>
      </w:r>
      <w:r>
        <w:t>at</w:t>
      </w:r>
      <w:r>
        <w:rPr>
          <w:spacing w:val="-2"/>
        </w:rPr>
        <w:t xml:space="preserve"> home.”</w:t>
      </w:r>
    </w:p>
    <w:p w14:paraId="7E00229A" w14:textId="77777777" w:rsidR="009A58DB" w:rsidRDefault="00000000">
      <w:pPr>
        <w:pStyle w:val="BodyText"/>
        <w:spacing w:before="105" w:line="249" w:lineRule="auto"/>
        <w:ind w:right="365"/>
      </w:pPr>
      <w:r>
        <w:t>If we bind the free variable with a universal quantifier of the appropriate</w:t>
      </w:r>
      <w:r>
        <w:rPr>
          <w:spacing w:val="40"/>
        </w:rPr>
        <w:t xml:space="preserve"> </w:t>
      </w:r>
      <w:r>
        <w:t>kind, the result is:</w:t>
      </w:r>
    </w:p>
    <w:p w14:paraId="7E00229B" w14:textId="77777777" w:rsidR="009A58DB" w:rsidRDefault="00000000">
      <w:pPr>
        <w:pStyle w:val="BodyText"/>
        <w:spacing w:before="107" w:line="249" w:lineRule="auto"/>
        <w:ind w:right="362"/>
      </w:pPr>
      <w:r>
        <w:t>(5XUG) “Given any sentence-level operator X, if Smith is at home, then it’s X the case that Smith is X at home,</w:t>
      </w:r>
    </w:p>
    <w:p w14:paraId="7E00229C" w14:textId="77777777" w:rsidR="009A58DB" w:rsidRDefault="00000000">
      <w:pPr>
        <w:pStyle w:val="BodyText"/>
        <w:spacing w:before="108" w:line="249" w:lineRule="auto"/>
        <w:ind w:right="364"/>
      </w:pPr>
      <w:r>
        <w:t>which is false, the reason being that some sentence-level operators lack the relevant property. An example of such an operator is the word “necessarily.” When this word replaces the variable in (5X), the result is:</w:t>
      </w:r>
    </w:p>
    <w:p w14:paraId="7E00229D" w14:textId="77777777" w:rsidR="009A58DB" w:rsidRDefault="00000000">
      <w:pPr>
        <w:pStyle w:val="BodyText"/>
        <w:spacing w:before="93" w:line="249" w:lineRule="auto"/>
        <w:ind w:right="358"/>
      </w:pPr>
      <w:r>
        <w:t>(5XN) “If Smith is at home, then it’s necessarily the case that Smith is necessarily at home,”</w:t>
      </w:r>
    </w:p>
    <w:p w14:paraId="7E00229E" w14:textId="77777777" w:rsidR="009A58DB" w:rsidRDefault="00000000">
      <w:pPr>
        <w:pStyle w:val="BodyText"/>
        <w:spacing w:before="108"/>
      </w:pPr>
      <w:r>
        <w:t>which</w:t>
      </w:r>
      <w:r>
        <w:rPr>
          <w:spacing w:val="-3"/>
        </w:rPr>
        <w:t xml:space="preserve"> </w:t>
      </w:r>
      <w:r>
        <w:t>is</w:t>
      </w:r>
      <w:r>
        <w:rPr>
          <w:spacing w:val="-2"/>
        </w:rPr>
        <w:t xml:space="preserve"> false.</w:t>
      </w:r>
    </w:p>
    <w:p w14:paraId="7E00229F" w14:textId="77777777" w:rsidR="009A58DB" w:rsidRDefault="00000000">
      <w:pPr>
        <w:pStyle w:val="BodyText"/>
        <w:spacing w:before="15" w:line="249" w:lineRule="auto"/>
        <w:ind w:right="359" w:firstLine="360"/>
      </w:pPr>
      <w:r>
        <w:t xml:space="preserve">Another expression on Quine’s list that occurs in (5) is “if . . . then . . .” This expression, like “not,” is a sentence-level operator. But whereas “not” is a </w:t>
      </w:r>
      <w:r>
        <w:rPr>
          <w:i/>
        </w:rPr>
        <w:t>one</w:t>
      </w:r>
      <w:r>
        <w:t xml:space="preserve">-placed sentence-connective, “if . . . then . . .” is a </w:t>
      </w:r>
      <w:r>
        <w:rPr>
          <w:i/>
        </w:rPr>
        <w:t xml:space="preserve">two-place </w:t>
      </w:r>
      <w:r>
        <w:t>sentence connective. So, whereas “not” assigns sentences to single sentences, “if . . . then . . .” assigns sentences to ordered pairs of sentences. Given the ordered pair &lt;Toby is a dog, Toby is a mammal&gt;, “if . . . then . . .” yields the sentence: “if Toby is a dog, then Toby is a mammal.”</w:t>
      </w:r>
    </w:p>
    <w:p w14:paraId="7E0022A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A1" w14:textId="77777777" w:rsidR="009A58DB" w:rsidRDefault="00000000">
      <w:pPr>
        <w:pStyle w:val="BodyText"/>
        <w:spacing w:before="65" w:line="249" w:lineRule="auto"/>
        <w:ind w:right="358" w:firstLine="360"/>
      </w:pPr>
      <w:r>
        <w:lastRenderedPageBreak/>
        <w:t>Everything just said about “not” is true of it. If it’s replaced with a variable, which is then bound by a universal quantifier of the appropriate kind, the result is:</w:t>
      </w:r>
    </w:p>
    <w:p w14:paraId="7E0022A2" w14:textId="77777777" w:rsidR="009A58DB" w:rsidRDefault="00000000">
      <w:pPr>
        <w:pStyle w:val="BodyText"/>
        <w:spacing w:before="108" w:line="249" w:lineRule="auto"/>
        <w:ind w:right="366"/>
      </w:pPr>
      <w:r>
        <w:t>(5IT) For any two-place sentence-connective X &lt;Smith is at home, it’s not</w:t>
      </w:r>
      <w:r>
        <w:rPr>
          <w:spacing w:val="40"/>
        </w:rPr>
        <w:t xml:space="preserve"> </w:t>
      </w:r>
      <w:r>
        <w:t>the case that Smith is not at home&gt;</w:t>
      </w:r>
    </w:p>
    <w:p w14:paraId="7E0022A3" w14:textId="77777777" w:rsidR="009A58DB" w:rsidRDefault="00000000">
      <w:pPr>
        <w:pStyle w:val="BodyText"/>
        <w:spacing w:before="93" w:line="249" w:lineRule="auto"/>
        <w:ind w:right="358"/>
      </w:pPr>
      <w:r>
        <w:t>But (5IT) is simply false. Let C be a two-place sentence-level operator defined as follows: Given two propositions (or sentences) P and Q, C(P,Q) is true exactly if P is incompatible with Q. In that case:</w:t>
      </w:r>
    </w:p>
    <w:p w14:paraId="7E0022A4" w14:textId="77777777" w:rsidR="009A58DB" w:rsidRDefault="00000000">
      <w:pPr>
        <w:pStyle w:val="BodyText"/>
        <w:spacing w:before="16" w:line="466" w:lineRule="exact"/>
        <w:ind w:right="1426"/>
      </w:pPr>
      <w:r>
        <w:t>(5C)</w:t>
      </w:r>
      <w:r>
        <w:rPr>
          <w:spacing w:val="-4"/>
        </w:rPr>
        <w:t xml:space="preserve"> </w:t>
      </w:r>
      <w:r>
        <w:t>C&lt;Smith</w:t>
      </w:r>
      <w:r>
        <w:rPr>
          <w:spacing w:val="-3"/>
        </w:rPr>
        <w:t xml:space="preserve"> </w:t>
      </w:r>
      <w:r>
        <w:t>is</w:t>
      </w:r>
      <w:r>
        <w:rPr>
          <w:spacing w:val="-4"/>
        </w:rPr>
        <w:t xml:space="preserve"> </w:t>
      </w:r>
      <w:r>
        <w:t>at</w:t>
      </w:r>
      <w:r>
        <w:rPr>
          <w:spacing w:val="-4"/>
        </w:rPr>
        <w:t xml:space="preserve"> </w:t>
      </w:r>
      <w:r>
        <w:t>home,</w:t>
      </w:r>
      <w:r>
        <w:rPr>
          <w:spacing w:val="-3"/>
        </w:rPr>
        <w:t xml:space="preserve"> </w:t>
      </w:r>
      <w:r>
        <w:t>it’s</w:t>
      </w:r>
      <w:r>
        <w:rPr>
          <w:spacing w:val="-4"/>
        </w:rPr>
        <w:t xml:space="preserve"> </w:t>
      </w:r>
      <w:r>
        <w:t>not</w:t>
      </w:r>
      <w:r>
        <w:rPr>
          <w:spacing w:val="-4"/>
        </w:rPr>
        <w:t xml:space="preserve"> </w:t>
      </w:r>
      <w:r>
        <w:t>the</w:t>
      </w:r>
      <w:r>
        <w:rPr>
          <w:spacing w:val="-4"/>
        </w:rPr>
        <w:t xml:space="preserve"> </w:t>
      </w:r>
      <w:r>
        <w:t>case</w:t>
      </w:r>
      <w:r>
        <w:rPr>
          <w:spacing w:val="-4"/>
        </w:rPr>
        <w:t xml:space="preserve"> </w:t>
      </w:r>
      <w:r>
        <w:t>that</w:t>
      </w:r>
      <w:r>
        <w:rPr>
          <w:spacing w:val="-4"/>
        </w:rPr>
        <w:t xml:space="preserve"> </w:t>
      </w:r>
      <w:r>
        <w:t>Smith</w:t>
      </w:r>
      <w:r>
        <w:rPr>
          <w:spacing w:val="-3"/>
        </w:rPr>
        <w:t xml:space="preserve"> </w:t>
      </w:r>
      <w:r>
        <w:t>is</w:t>
      </w:r>
      <w:r>
        <w:rPr>
          <w:spacing w:val="-4"/>
        </w:rPr>
        <w:t xml:space="preserve"> </w:t>
      </w:r>
      <w:r>
        <w:t>not</w:t>
      </w:r>
      <w:r>
        <w:rPr>
          <w:spacing w:val="-4"/>
        </w:rPr>
        <w:t xml:space="preserve"> </w:t>
      </w:r>
      <w:r>
        <w:t>at</w:t>
      </w:r>
      <w:r>
        <w:rPr>
          <w:spacing w:val="-4"/>
        </w:rPr>
        <w:t xml:space="preserve"> </w:t>
      </w:r>
      <w:r>
        <w:t>home&gt; is false.</w:t>
      </w:r>
    </w:p>
    <w:p w14:paraId="7E0022A5" w14:textId="77777777" w:rsidR="009A58DB" w:rsidRDefault="00000000">
      <w:pPr>
        <w:pStyle w:val="BodyText"/>
        <w:spacing w:line="331" w:lineRule="exact"/>
        <w:ind w:left="720"/>
      </w:pPr>
      <w:r>
        <w:t>What</w:t>
      </w:r>
      <w:r>
        <w:rPr>
          <w:spacing w:val="6"/>
        </w:rPr>
        <w:t xml:space="preserve"> </w:t>
      </w:r>
      <w:r>
        <w:t>we</w:t>
      </w:r>
      <w:r>
        <w:rPr>
          <w:spacing w:val="9"/>
        </w:rPr>
        <w:t xml:space="preserve"> </w:t>
      </w:r>
      <w:r>
        <w:t>just</w:t>
      </w:r>
      <w:r>
        <w:rPr>
          <w:spacing w:val="9"/>
        </w:rPr>
        <w:t xml:space="preserve"> </w:t>
      </w:r>
      <w:r>
        <w:t>said</w:t>
      </w:r>
      <w:r>
        <w:rPr>
          <w:spacing w:val="9"/>
        </w:rPr>
        <w:t xml:space="preserve"> </w:t>
      </w:r>
      <w:r>
        <w:t>about</w:t>
      </w:r>
      <w:r>
        <w:rPr>
          <w:spacing w:val="9"/>
        </w:rPr>
        <w:t xml:space="preserve"> </w:t>
      </w:r>
      <w:r>
        <w:t>“not”</w:t>
      </w:r>
      <w:r>
        <w:rPr>
          <w:spacing w:val="9"/>
        </w:rPr>
        <w:t xml:space="preserve"> </w:t>
      </w:r>
      <w:r>
        <w:t>and</w:t>
      </w:r>
      <w:r>
        <w:rPr>
          <w:spacing w:val="9"/>
        </w:rPr>
        <w:t xml:space="preserve"> </w:t>
      </w:r>
      <w:r>
        <w:t>“if</w:t>
      </w:r>
      <w:r>
        <w:rPr>
          <w:spacing w:val="9"/>
        </w:rPr>
        <w:t xml:space="preserve"> </w:t>
      </w:r>
      <w:r>
        <w:t>.</w:t>
      </w:r>
      <w:r>
        <w:rPr>
          <w:spacing w:val="9"/>
        </w:rPr>
        <w:t xml:space="preserve"> </w:t>
      </w:r>
      <w:r>
        <w:t>.</w:t>
      </w:r>
      <w:r>
        <w:rPr>
          <w:spacing w:val="9"/>
        </w:rPr>
        <w:t xml:space="preserve"> </w:t>
      </w:r>
      <w:r>
        <w:t>.</w:t>
      </w:r>
      <w:r>
        <w:rPr>
          <w:spacing w:val="8"/>
        </w:rPr>
        <w:t xml:space="preserve"> </w:t>
      </w:r>
      <w:r>
        <w:t>then</w:t>
      </w:r>
      <w:r>
        <w:rPr>
          <w:spacing w:val="9"/>
        </w:rPr>
        <w:t xml:space="preserve"> </w:t>
      </w:r>
      <w:r>
        <w:t>.</w:t>
      </w:r>
      <w:r>
        <w:rPr>
          <w:spacing w:val="9"/>
        </w:rPr>
        <w:t xml:space="preserve"> </w:t>
      </w:r>
      <w:r>
        <w:t>.</w:t>
      </w:r>
      <w:r>
        <w:rPr>
          <w:spacing w:val="9"/>
        </w:rPr>
        <w:t xml:space="preserve"> </w:t>
      </w:r>
      <w:r>
        <w:t>.”</w:t>
      </w:r>
      <w:r>
        <w:rPr>
          <w:spacing w:val="9"/>
        </w:rPr>
        <w:t xml:space="preserve"> </w:t>
      </w:r>
      <w:r>
        <w:t>is</w:t>
      </w:r>
      <w:r>
        <w:rPr>
          <w:spacing w:val="9"/>
        </w:rPr>
        <w:t xml:space="preserve"> </w:t>
      </w:r>
      <w:r>
        <w:t>true</w:t>
      </w:r>
      <w:r>
        <w:rPr>
          <w:spacing w:val="9"/>
        </w:rPr>
        <w:t xml:space="preserve"> </w:t>
      </w:r>
      <w:r>
        <w:t>of</w:t>
      </w:r>
      <w:r>
        <w:rPr>
          <w:spacing w:val="9"/>
        </w:rPr>
        <w:t xml:space="preserve"> </w:t>
      </w:r>
      <w:r>
        <w:t>all</w:t>
      </w:r>
      <w:r>
        <w:rPr>
          <w:spacing w:val="9"/>
        </w:rPr>
        <w:t xml:space="preserve"> </w:t>
      </w:r>
      <w:r>
        <w:t>the</w:t>
      </w:r>
      <w:r>
        <w:rPr>
          <w:spacing w:val="9"/>
        </w:rPr>
        <w:t xml:space="preserve"> </w:t>
      </w:r>
      <w:r>
        <w:rPr>
          <w:spacing w:val="-2"/>
        </w:rPr>
        <w:t>other</w:t>
      </w:r>
    </w:p>
    <w:p w14:paraId="7E0022A6" w14:textId="77777777" w:rsidR="009A58DB" w:rsidRDefault="00000000">
      <w:pPr>
        <w:pStyle w:val="BodyText"/>
        <w:spacing w:before="15" w:line="249" w:lineRule="auto"/>
        <w:ind w:right="359"/>
      </w:pPr>
      <w:r>
        <w:t>items on Quine’s list of “logical constants.” And it’s true of many other expressions that Quine did not personally include on that list but that, according to many, nonetheless belong on it. (For example, some hold that “necessarily” and “possibly” belong on that list.) This suggests that, when Quine judged an expression to be a “logical constant,” he did so on the (cogent) grounds that replacing occurrences of it with variables</w:t>
      </w:r>
      <w:r>
        <w:rPr>
          <w:spacing w:val="40"/>
        </w:rPr>
        <w:t xml:space="preserve"> </w:t>
      </w:r>
      <w:r>
        <w:t>systematically failed to yield universally true open-sentences.</w:t>
      </w:r>
    </w:p>
    <w:p w14:paraId="7E0022A7" w14:textId="77777777" w:rsidR="009A58DB" w:rsidRDefault="00000000">
      <w:pPr>
        <w:pStyle w:val="BodyText"/>
        <w:spacing w:before="8" w:line="249" w:lineRule="auto"/>
        <w:ind w:right="371" w:firstLine="360"/>
      </w:pPr>
      <w:r>
        <w:t>This suggests that the following definition of “logical constant” might be the right one (we’ll soon see that it’s only approximately right):</w:t>
      </w:r>
    </w:p>
    <w:p w14:paraId="7E0022A8" w14:textId="77777777" w:rsidR="009A58DB" w:rsidRDefault="00000000">
      <w:pPr>
        <w:pStyle w:val="BodyText"/>
        <w:spacing w:before="93" w:line="249" w:lineRule="auto"/>
        <w:ind w:right="372"/>
        <w:jc w:val="left"/>
      </w:pPr>
      <w:r>
        <w:t>(L</w:t>
      </w:r>
      <w:bookmarkStart w:id="477" w:name="_bookmark477"/>
      <w:bookmarkEnd w:id="477"/>
      <w:r>
        <w:t>C</w:t>
      </w:r>
      <w:r>
        <w:rPr>
          <w:color w:val="0562C1"/>
          <w:position w:val="21"/>
          <w:u w:val="single" w:color="0562C1"/>
        </w:rPr>
        <w:t>[357]</w:t>
      </w:r>
      <w:r>
        <w:t>) an expression E to be a “logical constant” is for there to be some</w:t>
      </w:r>
      <w:r>
        <w:rPr>
          <w:spacing w:val="40"/>
        </w:rPr>
        <w:t xml:space="preserve"> </w:t>
      </w:r>
      <w:r>
        <w:t>universally-true open sentence that contains E.</w:t>
      </w:r>
    </w:p>
    <w:p w14:paraId="7E0022A9" w14:textId="77777777" w:rsidR="009A58DB" w:rsidRDefault="00000000">
      <w:pPr>
        <w:pStyle w:val="BodyText"/>
        <w:spacing w:before="107" w:line="324" w:lineRule="auto"/>
        <w:ind w:right="365"/>
        <w:jc w:val="left"/>
        <w:rPr>
          <w:position w:val="21"/>
        </w:rPr>
      </w:pPr>
      <w:r>
        <w:t>LC</w:t>
      </w:r>
      <w:r>
        <w:rPr>
          <w:spacing w:val="-4"/>
        </w:rPr>
        <w:t xml:space="preserve"> </w:t>
      </w:r>
      <w:r>
        <w:t>is</w:t>
      </w:r>
      <w:r>
        <w:rPr>
          <w:spacing w:val="-4"/>
        </w:rPr>
        <w:t xml:space="preserve"> </w:t>
      </w:r>
      <w:r>
        <w:t>close</w:t>
      </w:r>
      <w:r>
        <w:rPr>
          <w:spacing w:val="-4"/>
        </w:rPr>
        <w:t xml:space="preserve"> </w:t>
      </w:r>
      <w:r>
        <w:t>to</w:t>
      </w:r>
      <w:r>
        <w:rPr>
          <w:spacing w:val="-3"/>
        </w:rPr>
        <w:t xml:space="preserve"> </w:t>
      </w:r>
      <w:r>
        <w:t>the</w:t>
      </w:r>
      <w:r>
        <w:rPr>
          <w:spacing w:val="-4"/>
        </w:rPr>
        <w:t xml:space="preserve"> </w:t>
      </w:r>
      <w:r>
        <w:t>truth,</w:t>
      </w:r>
      <w:r>
        <w:rPr>
          <w:spacing w:val="-3"/>
        </w:rPr>
        <w:t xml:space="preserve"> </w:t>
      </w:r>
      <w:r>
        <w:t>but</w:t>
      </w:r>
      <w:r>
        <w:rPr>
          <w:spacing w:val="-4"/>
        </w:rPr>
        <w:t xml:space="preserve"> </w:t>
      </w:r>
      <w:r>
        <w:t>it</w:t>
      </w:r>
      <w:r>
        <w:rPr>
          <w:spacing w:val="-4"/>
        </w:rPr>
        <w:t xml:space="preserve"> </w:t>
      </w:r>
      <w:r>
        <w:t>falls</w:t>
      </w:r>
      <w:r>
        <w:rPr>
          <w:spacing w:val="-4"/>
        </w:rPr>
        <w:t xml:space="preserve"> </w:t>
      </w:r>
      <w:r>
        <w:t>just</w:t>
      </w:r>
      <w:r>
        <w:rPr>
          <w:spacing w:val="-4"/>
        </w:rPr>
        <w:t xml:space="preserve"> </w:t>
      </w:r>
      <w:r>
        <w:t>short.</w:t>
      </w:r>
      <w:r>
        <w:rPr>
          <w:spacing w:val="-3"/>
        </w:rPr>
        <w:t xml:space="preserve"> </w:t>
      </w:r>
      <w:r>
        <w:t>Consider</w:t>
      </w:r>
      <w:r>
        <w:rPr>
          <w:spacing w:val="-4"/>
        </w:rPr>
        <w:t xml:space="preserve"> </w:t>
      </w:r>
      <w:r>
        <w:t>the</w:t>
      </w:r>
      <w:r>
        <w:rPr>
          <w:spacing w:val="-4"/>
        </w:rPr>
        <w:t xml:space="preserve"> </w:t>
      </w:r>
      <w:r>
        <w:t>open-sentence: (#)‹If P and Q and grass is green, then grass is green.</w:t>
      </w:r>
      <w:bookmarkStart w:id="478" w:name="_bookmark478"/>
      <w:bookmarkEnd w:id="478"/>
      <w:r>
        <w:t>›</w:t>
      </w:r>
      <w:r>
        <w:rPr>
          <w:color w:val="0562C1"/>
          <w:position w:val="21"/>
          <w:u w:val="single" w:color="0562C1"/>
        </w:rPr>
        <w:t>[358]</w:t>
      </w:r>
    </w:p>
    <w:p w14:paraId="7E0022AA" w14:textId="77777777" w:rsidR="009A58DB" w:rsidRDefault="00000000">
      <w:pPr>
        <w:pStyle w:val="BodyText"/>
        <w:spacing w:line="329" w:lineRule="exact"/>
        <w:jc w:val="left"/>
      </w:pPr>
      <w:r>
        <w:t>(#)</w:t>
      </w:r>
      <w:r>
        <w:rPr>
          <w:spacing w:val="14"/>
        </w:rPr>
        <w:t xml:space="preserve"> </w:t>
      </w:r>
      <w:r>
        <w:t>is</w:t>
      </w:r>
      <w:r>
        <w:rPr>
          <w:spacing w:val="16"/>
        </w:rPr>
        <w:t xml:space="preserve"> </w:t>
      </w:r>
      <w:r>
        <w:t>universally</w:t>
      </w:r>
      <w:r>
        <w:rPr>
          <w:spacing w:val="16"/>
        </w:rPr>
        <w:t xml:space="preserve"> </w:t>
      </w:r>
      <w:r>
        <w:t>true.</w:t>
      </w:r>
      <w:r>
        <w:rPr>
          <w:spacing w:val="16"/>
        </w:rPr>
        <w:t xml:space="preserve"> </w:t>
      </w:r>
      <w:r>
        <w:t>But,</w:t>
      </w:r>
      <w:r>
        <w:rPr>
          <w:spacing w:val="17"/>
        </w:rPr>
        <w:t xml:space="preserve"> </w:t>
      </w:r>
      <w:r>
        <w:t>since</w:t>
      </w:r>
      <w:r>
        <w:rPr>
          <w:spacing w:val="16"/>
        </w:rPr>
        <w:t xml:space="preserve"> </w:t>
      </w:r>
      <w:r>
        <w:t>“grass</w:t>
      </w:r>
      <w:r>
        <w:rPr>
          <w:spacing w:val="16"/>
        </w:rPr>
        <w:t xml:space="preserve"> </w:t>
      </w:r>
      <w:r>
        <w:t>is</w:t>
      </w:r>
      <w:r>
        <w:rPr>
          <w:spacing w:val="16"/>
        </w:rPr>
        <w:t xml:space="preserve"> </w:t>
      </w:r>
      <w:r>
        <w:t>green”</w:t>
      </w:r>
      <w:r>
        <w:rPr>
          <w:spacing w:val="17"/>
        </w:rPr>
        <w:t xml:space="preserve"> </w:t>
      </w:r>
      <w:r>
        <w:t>isn’t</w:t>
      </w:r>
      <w:r>
        <w:rPr>
          <w:spacing w:val="16"/>
        </w:rPr>
        <w:t xml:space="preserve"> </w:t>
      </w:r>
      <w:r>
        <w:t>a</w:t>
      </w:r>
      <w:r>
        <w:rPr>
          <w:spacing w:val="16"/>
        </w:rPr>
        <w:t xml:space="preserve"> </w:t>
      </w:r>
      <w:r>
        <w:t>logical</w:t>
      </w:r>
      <w:r>
        <w:rPr>
          <w:spacing w:val="16"/>
        </w:rPr>
        <w:t xml:space="preserve"> </w:t>
      </w:r>
      <w:r>
        <w:t>constant</w:t>
      </w:r>
      <w:r>
        <w:rPr>
          <w:spacing w:val="17"/>
        </w:rPr>
        <w:t xml:space="preserve"> </w:t>
      </w:r>
      <w:r>
        <w:rPr>
          <w:spacing w:val="-5"/>
        </w:rPr>
        <w:t>(*)</w:t>
      </w:r>
    </w:p>
    <w:p w14:paraId="7E0022AB" w14:textId="77777777" w:rsidR="009A58DB" w:rsidRDefault="00000000">
      <w:pPr>
        <w:pStyle w:val="BodyText"/>
        <w:spacing w:before="15" w:line="324" w:lineRule="auto"/>
        <w:jc w:val="left"/>
      </w:pPr>
      <w:r>
        <w:t>is</w:t>
      </w:r>
      <w:r>
        <w:rPr>
          <w:spacing w:val="-4"/>
        </w:rPr>
        <w:t xml:space="preserve"> </w:t>
      </w:r>
      <w:r>
        <w:t>false.</w:t>
      </w:r>
      <w:r>
        <w:rPr>
          <w:spacing w:val="-3"/>
        </w:rPr>
        <w:t xml:space="preserve"> </w:t>
      </w:r>
      <w:r>
        <w:t>But,</w:t>
      </w:r>
      <w:r>
        <w:rPr>
          <w:spacing w:val="-3"/>
        </w:rPr>
        <w:t xml:space="preserve"> </w:t>
      </w:r>
      <w:r>
        <w:t>apart</w:t>
      </w:r>
      <w:r>
        <w:rPr>
          <w:spacing w:val="-4"/>
        </w:rPr>
        <w:t xml:space="preserve"> </w:t>
      </w:r>
      <w:r>
        <w:t>from</w:t>
      </w:r>
      <w:r>
        <w:rPr>
          <w:spacing w:val="-4"/>
        </w:rPr>
        <w:t xml:space="preserve"> </w:t>
      </w:r>
      <w:r>
        <w:t>“P,”</w:t>
      </w:r>
      <w:r>
        <w:rPr>
          <w:spacing w:val="-4"/>
        </w:rPr>
        <w:t xml:space="preserve"> </w:t>
      </w:r>
      <w:r>
        <w:t>“Q,”</w:t>
      </w:r>
      <w:r>
        <w:rPr>
          <w:spacing w:val="-4"/>
        </w:rPr>
        <w:t xml:space="preserve"> </w:t>
      </w:r>
      <w:r>
        <w:t>and</w:t>
      </w:r>
      <w:r>
        <w:rPr>
          <w:spacing w:val="-3"/>
        </w:rPr>
        <w:t xml:space="preserve"> </w:t>
      </w:r>
      <w:r>
        <w:t>“R,”</w:t>
      </w:r>
      <w:r>
        <w:rPr>
          <w:spacing w:val="-4"/>
        </w:rPr>
        <w:t xml:space="preserve"> </w:t>
      </w:r>
      <w:r>
        <w:t>all</w:t>
      </w:r>
      <w:r>
        <w:rPr>
          <w:spacing w:val="-4"/>
        </w:rPr>
        <w:t xml:space="preserve"> </w:t>
      </w:r>
      <w:r>
        <w:t>the</w:t>
      </w:r>
      <w:r>
        <w:rPr>
          <w:spacing w:val="-4"/>
        </w:rPr>
        <w:t xml:space="preserve"> </w:t>
      </w:r>
      <w:r>
        <w:t>expressions</w:t>
      </w:r>
      <w:r>
        <w:rPr>
          <w:spacing w:val="-4"/>
        </w:rPr>
        <w:t xml:space="preserve"> </w:t>
      </w:r>
      <w:r>
        <w:t>occurring</w:t>
      </w:r>
      <w:r>
        <w:rPr>
          <w:spacing w:val="-3"/>
        </w:rPr>
        <w:t xml:space="preserve"> </w:t>
      </w:r>
      <w:r>
        <w:t>in: (##)‹If P and Q and R, then R.›</w:t>
      </w:r>
    </w:p>
    <w:p w14:paraId="7E0022AC" w14:textId="77777777" w:rsidR="009A58DB" w:rsidRDefault="00000000">
      <w:pPr>
        <w:pStyle w:val="BodyText"/>
        <w:spacing w:line="249" w:lineRule="auto"/>
        <w:ind w:right="362"/>
      </w:pPr>
      <w:r>
        <w:t xml:space="preserve">are logical constants. (##) is universally true, and it contains no expressions that, when replaced with free-variables, result in some </w:t>
      </w:r>
      <w:r>
        <w:rPr>
          <w:i/>
        </w:rPr>
        <w:t xml:space="preserve">other </w:t>
      </w:r>
      <w:r>
        <w:t>open sentence that is universally true. If a universally true open sentence contains no such variables, let us say that it is “pure.” This shows that a “logical constant” is any</w:t>
      </w:r>
      <w:r>
        <w:rPr>
          <w:spacing w:val="38"/>
        </w:rPr>
        <w:t xml:space="preserve"> </w:t>
      </w:r>
      <w:r>
        <w:t>expression</w:t>
      </w:r>
      <w:r>
        <w:rPr>
          <w:spacing w:val="38"/>
        </w:rPr>
        <w:t xml:space="preserve"> </w:t>
      </w:r>
      <w:r>
        <w:t>other</w:t>
      </w:r>
      <w:r>
        <w:rPr>
          <w:spacing w:val="38"/>
        </w:rPr>
        <w:t xml:space="preserve"> </w:t>
      </w:r>
      <w:r>
        <w:t>than</w:t>
      </w:r>
      <w:r>
        <w:rPr>
          <w:spacing w:val="38"/>
        </w:rPr>
        <w:t xml:space="preserve"> </w:t>
      </w:r>
      <w:r>
        <w:t>a</w:t>
      </w:r>
      <w:r>
        <w:rPr>
          <w:spacing w:val="38"/>
        </w:rPr>
        <w:t xml:space="preserve"> </w:t>
      </w:r>
      <w:r>
        <w:t>variable</w:t>
      </w:r>
      <w:r>
        <w:rPr>
          <w:spacing w:val="38"/>
        </w:rPr>
        <w:t xml:space="preserve"> </w:t>
      </w:r>
      <w:r>
        <w:t>that</w:t>
      </w:r>
      <w:r>
        <w:rPr>
          <w:spacing w:val="38"/>
        </w:rPr>
        <w:t xml:space="preserve"> </w:t>
      </w:r>
      <w:r>
        <w:t>occurs</w:t>
      </w:r>
      <w:r>
        <w:rPr>
          <w:spacing w:val="38"/>
        </w:rPr>
        <w:t xml:space="preserve"> </w:t>
      </w:r>
      <w:r>
        <w:t>in</w:t>
      </w:r>
      <w:r>
        <w:rPr>
          <w:spacing w:val="38"/>
        </w:rPr>
        <w:t xml:space="preserve"> </w:t>
      </w:r>
      <w:r>
        <w:t>a</w:t>
      </w:r>
      <w:r>
        <w:rPr>
          <w:spacing w:val="38"/>
        </w:rPr>
        <w:t xml:space="preserve"> </w:t>
      </w:r>
      <w:r>
        <w:t>pure,</w:t>
      </w:r>
      <w:r>
        <w:rPr>
          <w:spacing w:val="38"/>
        </w:rPr>
        <w:t xml:space="preserve"> </w:t>
      </w:r>
      <w:r>
        <w:t>universally</w:t>
      </w:r>
      <w:r>
        <w:rPr>
          <w:spacing w:val="38"/>
        </w:rPr>
        <w:t xml:space="preserve"> </w:t>
      </w:r>
      <w:r>
        <w:t>true</w:t>
      </w:r>
    </w:p>
    <w:p w14:paraId="7E0022A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AE" w14:textId="77777777" w:rsidR="009A58DB" w:rsidRDefault="00000000">
      <w:pPr>
        <w:pStyle w:val="BodyText"/>
        <w:spacing w:before="71"/>
        <w:jc w:val="left"/>
      </w:pPr>
      <w:r>
        <w:rPr>
          <w:spacing w:val="-2"/>
        </w:rPr>
        <w:lastRenderedPageBreak/>
        <w:t>open-sentence.</w:t>
      </w:r>
    </w:p>
    <w:p w14:paraId="7E0022AF" w14:textId="77777777" w:rsidR="009A58DB" w:rsidRDefault="00000000">
      <w:pPr>
        <w:pStyle w:val="ListParagraph"/>
        <w:numPr>
          <w:ilvl w:val="1"/>
          <w:numId w:val="69"/>
        </w:numPr>
        <w:tabs>
          <w:tab w:val="left" w:pos="990"/>
        </w:tabs>
        <w:spacing w:before="197"/>
        <w:jc w:val="both"/>
        <w:rPr>
          <w:b/>
          <w:sz w:val="42"/>
        </w:rPr>
      </w:pPr>
      <w:r>
        <w:rPr>
          <w:b/>
          <w:sz w:val="42"/>
        </w:rPr>
        <w:t>analytic</w:t>
      </w:r>
      <w:r>
        <w:rPr>
          <w:b/>
          <w:spacing w:val="-4"/>
          <w:sz w:val="42"/>
        </w:rPr>
        <w:t xml:space="preserve"> </w:t>
      </w:r>
      <w:r>
        <w:rPr>
          <w:b/>
          <w:sz w:val="42"/>
        </w:rPr>
        <w:t>truth</w:t>
      </w:r>
      <w:r>
        <w:rPr>
          <w:b/>
          <w:spacing w:val="-4"/>
          <w:sz w:val="42"/>
        </w:rPr>
        <w:t xml:space="preserve"> </w:t>
      </w:r>
      <w:r>
        <w:rPr>
          <w:b/>
          <w:sz w:val="42"/>
        </w:rPr>
        <w:t>≠</w:t>
      </w:r>
      <w:r>
        <w:rPr>
          <w:b/>
          <w:spacing w:val="-4"/>
          <w:sz w:val="42"/>
        </w:rPr>
        <w:t xml:space="preserve"> </w:t>
      </w:r>
      <w:r>
        <w:rPr>
          <w:b/>
          <w:sz w:val="42"/>
        </w:rPr>
        <w:t>formal</w:t>
      </w:r>
      <w:r>
        <w:rPr>
          <w:b/>
          <w:spacing w:val="-3"/>
          <w:sz w:val="42"/>
        </w:rPr>
        <w:t xml:space="preserve"> </w:t>
      </w:r>
      <w:r>
        <w:rPr>
          <w:b/>
          <w:spacing w:val="-2"/>
          <w:sz w:val="42"/>
        </w:rPr>
        <w:t>truth</w:t>
      </w:r>
    </w:p>
    <w:p w14:paraId="7E0022B0" w14:textId="77777777" w:rsidR="009A58DB" w:rsidRDefault="00000000">
      <w:pPr>
        <w:pStyle w:val="BodyText"/>
        <w:spacing w:before="139" w:line="249" w:lineRule="auto"/>
        <w:ind w:right="357"/>
      </w:pPr>
      <w:r>
        <w:t xml:space="preserve">As we discussed in Chapter 1, the two main contentions of Wittgenstein’s </w:t>
      </w:r>
      <w:r>
        <w:rPr>
          <w:i/>
        </w:rPr>
        <w:t xml:space="preserve">Tractatus Logico-philosophicus </w:t>
      </w:r>
      <w:r>
        <w:t>(TLP) are (i) that all non-empirical truths are tautologous (definitional truths; e.g., “a fortnight is a period of two weeks”) and (ii) that all non-tautologous truths are observation-reports.</w:t>
      </w:r>
    </w:p>
    <w:p w14:paraId="7E0022B1" w14:textId="77777777" w:rsidR="009A58DB" w:rsidRDefault="00000000">
      <w:pPr>
        <w:pStyle w:val="BodyText"/>
        <w:spacing w:before="5" w:line="249" w:lineRule="auto"/>
        <w:ind w:right="359" w:firstLine="360"/>
      </w:pPr>
      <w:r>
        <w:t>In Chapter 1, we saw why each contention is false. Given the points just made, we are in a position to put forth another reason to reject (i) and, therewith, to reject a third contention of the TLP, viz. that all formal truth is analytic truth and, therefore, that all entailment is formal entailment. Both claims are false.</w:t>
      </w:r>
    </w:p>
    <w:p w14:paraId="7E0022B2" w14:textId="77777777" w:rsidR="009A58DB" w:rsidRDefault="00000000">
      <w:pPr>
        <w:pStyle w:val="BodyText"/>
        <w:spacing w:before="111" w:line="249" w:lineRule="auto"/>
        <w:ind w:left="720" w:right="372"/>
      </w:pPr>
      <w:r>
        <w:t>‹If</w:t>
      </w:r>
      <w:r>
        <w:rPr>
          <w:spacing w:val="-3"/>
        </w:rPr>
        <w:t xml:space="preserve"> </w:t>
      </w:r>
      <w:r>
        <w:t>P</w:t>
      </w:r>
      <w:r>
        <w:rPr>
          <w:spacing w:val="-3"/>
        </w:rPr>
        <w:t xml:space="preserve"> </w:t>
      </w:r>
      <w:r>
        <w:t>and</w:t>
      </w:r>
      <w:r>
        <w:rPr>
          <w:spacing w:val="-2"/>
        </w:rPr>
        <w:t xml:space="preserve"> </w:t>
      </w:r>
      <w:r>
        <w:t>Q</w:t>
      </w:r>
      <w:r>
        <w:rPr>
          <w:spacing w:val="-3"/>
        </w:rPr>
        <w:t xml:space="preserve"> </w:t>
      </w:r>
      <w:r>
        <w:t>and</w:t>
      </w:r>
      <w:r>
        <w:rPr>
          <w:spacing w:val="-2"/>
        </w:rPr>
        <w:t xml:space="preserve"> </w:t>
      </w:r>
      <w:r>
        <w:t>R,</w:t>
      </w:r>
      <w:r>
        <w:rPr>
          <w:spacing w:val="-2"/>
        </w:rPr>
        <w:t xml:space="preserve"> </w:t>
      </w:r>
      <w:r>
        <w:t>then</w:t>
      </w:r>
      <w:r>
        <w:rPr>
          <w:spacing w:val="-2"/>
        </w:rPr>
        <w:t xml:space="preserve"> </w:t>
      </w:r>
      <w:r>
        <w:t>R›</w:t>
      </w:r>
      <w:r>
        <w:rPr>
          <w:spacing w:val="-3"/>
        </w:rPr>
        <w:t xml:space="preserve"> </w:t>
      </w:r>
      <w:r>
        <w:t>is</w:t>
      </w:r>
      <w:r>
        <w:rPr>
          <w:spacing w:val="-3"/>
        </w:rPr>
        <w:t xml:space="preserve"> </w:t>
      </w:r>
      <w:r>
        <w:t>true</w:t>
      </w:r>
      <w:r>
        <w:rPr>
          <w:spacing w:val="-3"/>
        </w:rPr>
        <w:t xml:space="preserve"> </w:t>
      </w:r>
      <w:r>
        <w:t>for</w:t>
      </w:r>
      <w:r>
        <w:rPr>
          <w:spacing w:val="-3"/>
        </w:rPr>
        <w:t xml:space="preserve"> </w:t>
      </w:r>
      <w:r>
        <w:t>all</w:t>
      </w:r>
      <w:r>
        <w:rPr>
          <w:spacing w:val="-3"/>
        </w:rPr>
        <w:t xml:space="preserve"> </w:t>
      </w:r>
      <w:r>
        <w:t>values</w:t>
      </w:r>
      <w:r>
        <w:rPr>
          <w:spacing w:val="-3"/>
        </w:rPr>
        <w:t xml:space="preserve"> </w:t>
      </w:r>
      <w:r>
        <w:t>of</w:t>
      </w:r>
      <w:r>
        <w:rPr>
          <w:spacing w:val="-3"/>
        </w:rPr>
        <w:t xml:space="preserve"> </w:t>
      </w:r>
      <w:r>
        <w:t>its</w:t>
      </w:r>
      <w:r>
        <w:rPr>
          <w:spacing w:val="-3"/>
        </w:rPr>
        <w:t xml:space="preserve"> </w:t>
      </w:r>
      <w:r>
        <w:t>variables.</w:t>
      </w:r>
      <w:r>
        <w:rPr>
          <w:spacing w:val="-2"/>
        </w:rPr>
        <w:t xml:space="preserve"> </w:t>
      </w:r>
      <w:r>
        <w:t>This</w:t>
      </w:r>
      <w:r>
        <w:rPr>
          <w:spacing w:val="-3"/>
        </w:rPr>
        <w:t xml:space="preserve"> </w:t>
      </w:r>
      <w:r>
        <w:t xml:space="preserve">means </w:t>
      </w:r>
      <w:r>
        <w:rPr>
          <w:spacing w:val="-2"/>
        </w:rPr>
        <w:t>that:</w:t>
      </w:r>
    </w:p>
    <w:p w14:paraId="7E0022B3" w14:textId="77777777" w:rsidR="009A58DB" w:rsidRDefault="00000000">
      <w:pPr>
        <w:pStyle w:val="BodyText"/>
        <w:spacing w:before="107"/>
      </w:pPr>
      <w:r>
        <w:t>(A)</w:t>
      </w:r>
      <w:r>
        <w:rPr>
          <w:spacing w:val="-5"/>
        </w:rPr>
        <w:t xml:space="preserve"> </w:t>
      </w:r>
      <w:r>
        <w:t>For</w:t>
      </w:r>
      <w:r>
        <w:rPr>
          <w:spacing w:val="-2"/>
        </w:rPr>
        <w:t xml:space="preserve"> </w:t>
      </w:r>
      <w:r>
        <w:t>any</w:t>
      </w:r>
      <w:r>
        <w:rPr>
          <w:spacing w:val="-1"/>
        </w:rPr>
        <w:t xml:space="preserve"> </w:t>
      </w:r>
      <w:r>
        <w:t>propositions</w:t>
      </w:r>
      <w:r>
        <w:rPr>
          <w:spacing w:val="-3"/>
        </w:rPr>
        <w:t xml:space="preserve"> </w:t>
      </w:r>
      <w:r>
        <w:t>P,</w:t>
      </w:r>
      <w:r>
        <w:rPr>
          <w:spacing w:val="-1"/>
        </w:rPr>
        <w:t xml:space="preserve"> </w:t>
      </w:r>
      <w:r>
        <w:t>Q,</w:t>
      </w:r>
      <w:r>
        <w:rPr>
          <w:spacing w:val="-1"/>
        </w:rPr>
        <w:t xml:space="preserve"> </w:t>
      </w:r>
      <w:r>
        <w:t>and</w:t>
      </w:r>
      <w:r>
        <w:rPr>
          <w:spacing w:val="-1"/>
        </w:rPr>
        <w:t xml:space="preserve"> </w:t>
      </w:r>
      <w:r>
        <w:t>R,</w:t>
      </w:r>
      <w:r>
        <w:rPr>
          <w:spacing w:val="-2"/>
        </w:rPr>
        <w:t xml:space="preserve"> </w:t>
      </w:r>
      <w:r>
        <w:t>if</w:t>
      </w:r>
      <w:r>
        <w:rPr>
          <w:spacing w:val="-2"/>
        </w:rPr>
        <w:t xml:space="preserve"> </w:t>
      </w:r>
      <w:r>
        <w:t>P</w:t>
      </w:r>
      <w:r>
        <w:rPr>
          <w:spacing w:val="-2"/>
        </w:rPr>
        <w:t xml:space="preserve"> </w:t>
      </w:r>
      <w:r>
        <w:t>and</w:t>
      </w:r>
      <w:r>
        <w:rPr>
          <w:spacing w:val="-1"/>
        </w:rPr>
        <w:t xml:space="preserve"> </w:t>
      </w:r>
      <w:r>
        <w:t>Q</w:t>
      </w:r>
      <w:r>
        <w:rPr>
          <w:spacing w:val="-3"/>
        </w:rPr>
        <w:t xml:space="preserve"> </w:t>
      </w:r>
      <w:r>
        <w:t>and</w:t>
      </w:r>
      <w:r>
        <w:rPr>
          <w:spacing w:val="-1"/>
        </w:rPr>
        <w:t xml:space="preserve"> </w:t>
      </w:r>
      <w:r>
        <w:t>R,</w:t>
      </w:r>
      <w:r>
        <w:rPr>
          <w:spacing w:val="-1"/>
        </w:rPr>
        <w:t xml:space="preserve"> </w:t>
      </w:r>
      <w:r>
        <w:t>then</w:t>
      </w:r>
      <w:r>
        <w:rPr>
          <w:spacing w:val="-1"/>
        </w:rPr>
        <w:t xml:space="preserve"> </w:t>
      </w:r>
      <w:r>
        <w:rPr>
          <w:spacing w:val="-5"/>
        </w:rPr>
        <w:t>R.</w:t>
      </w:r>
    </w:p>
    <w:p w14:paraId="7E0022B4" w14:textId="77777777" w:rsidR="009A58DB" w:rsidRDefault="00000000">
      <w:pPr>
        <w:pStyle w:val="BodyText"/>
        <w:spacing w:before="105" w:line="249" w:lineRule="auto"/>
        <w:ind w:right="361"/>
      </w:pPr>
      <w:r>
        <w:t>But, (A) is not itself a formal truth. (A) is true, of course. But it is not in virtue of its being an instance of a universally true open-sentence that it’s true. For it isn’t an instance of such a sentence. Any open-sentence of which</w:t>
      </w:r>
    </w:p>
    <w:p w14:paraId="7E0022B5" w14:textId="77777777" w:rsidR="009A58DB" w:rsidRDefault="00000000">
      <w:pPr>
        <w:pStyle w:val="BodyText"/>
        <w:spacing w:before="4"/>
      </w:pPr>
      <w:r>
        <w:t>(A)</w:t>
      </w:r>
      <w:r>
        <w:rPr>
          <w:spacing w:val="-3"/>
        </w:rPr>
        <w:t xml:space="preserve"> </w:t>
      </w:r>
      <w:r>
        <w:t>is</w:t>
      </w:r>
      <w:r>
        <w:rPr>
          <w:spacing w:val="-2"/>
        </w:rPr>
        <w:t xml:space="preserve"> </w:t>
      </w:r>
      <w:r>
        <w:t>an</w:t>
      </w:r>
      <w:r>
        <w:rPr>
          <w:spacing w:val="-2"/>
        </w:rPr>
        <w:t xml:space="preserve"> </w:t>
      </w:r>
      <w:r>
        <w:t>instance</w:t>
      </w:r>
      <w:r>
        <w:rPr>
          <w:spacing w:val="-2"/>
        </w:rPr>
        <w:t xml:space="preserve"> </w:t>
      </w:r>
      <w:r>
        <w:t>is</w:t>
      </w:r>
      <w:r>
        <w:rPr>
          <w:spacing w:val="-3"/>
        </w:rPr>
        <w:t xml:space="preserve"> </w:t>
      </w:r>
      <w:r>
        <w:t>one</w:t>
      </w:r>
      <w:r>
        <w:rPr>
          <w:spacing w:val="-2"/>
        </w:rPr>
        <w:t xml:space="preserve"> </w:t>
      </w:r>
      <w:r>
        <w:t>of</w:t>
      </w:r>
      <w:r>
        <w:rPr>
          <w:spacing w:val="-2"/>
        </w:rPr>
        <w:t xml:space="preserve"> which:</w:t>
      </w:r>
    </w:p>
    <w:p w14:paraId="7E0022B6" w14:textId="77777777" w:rsidR="009A58DB" w:rsidRDefault="00000000">
      <w:pPr>
        <w:pStyle w:val="BodyText"/>
        <w:spacing w:before="120"/>
      </w:pPr>
      <w:r>
        <w:t>(B)</w:t>
      </w:r>
      <w:r>
        <w:rPr>
          <w:spacing w:val="-5"/>
        </w:rPr>
        <w:t xml:space="preserve"> </w:t>
      </w:r>
      <w:r>
        <w:t>For</w:t>
      </w:r>
      <w:r>
        <w:rPr>
          <w:spacing w:val="-2"/>
        </w:rPr>
        <w:t xml:space="preserve"> </w:t>
      </w:r>
      <w:r>
        <w:t>no</w:t>
      </w:r>
      <w:r>
        <w:rPr>
          <w:spacing w:val="-1"/>
        </w:rPr>
        <w:t xml:space="preserve"> </w:t>
      </w:r>
      <w:r>
        <w:t>propositions</w:t>
      </w:r>
      <w:r>
        <w:rPr>
          <w:spacing w:val="-2"/>
        </w:rPr>
        <w:t xml:space="preserve"> </w:t>
      </w:r>
      <w:r>
        <w:t>P,</w:t>
      </w:r>
      <w:r>
        <w:rPr>
          <w:spacing w:val="-1"/>
        </w:rPr>
        <w:t xml:space="preserve"> </w:t>
      </w:r>
      <w:r>
        <w:t>Q,</w:t>
      </w:r>
      <w:r>
        <w:rPr>
          <w:spacing w:val="-2"/>
        </w:rPr>
        <w:t xml:space="preserve"> </w:t>
      </w:r>
      <w:r>
        <w:t>and</w:t>
      </w:r>
      <w:r>
        <w:rPr>
          <w:spacing w:val="-1"/>
        </w:rPr>
        <w:t xml:space="preserve"> </w:t>
      </w:r>
      <w:r>
        <w:t>R,</w:t>
      </w:r>
      <w:r>
        <w:rPr>
          <w:spacing w:val="-1"/>
        </w:rPr>
        <w:t xml:space="preserve"> </w:t>
      </w:r>
      <w:r>
        <w:t>if</w:t>
      </w:r>
      <w:r>
        <w:rPr>
          <w:spacing w:val="-2"/>
        </w:rPr>
        <w:t xml:space="preserve"> </w:t>
      </w:r>
      <w:r>
        <w:t>P</w:t>
      </w:r>
      <w:r>
        <w:rPr>
          <w:spacing w:val="-2"/>
        </w:rPr>
        <w:t xml:space="preserve"> </w:t>
      </w:r>
      <w:r>
        <w:t>and</w:t>
      </w:r>
      <w:r>
        <w:rPr>
          <w:spacing w:val="-2"/>
        </w:rPr>
        <w:t xml:space="preserve"> </w:t>
      </w:r>
      <w:r>
        <w:t>Q</w:t>
      </w:r>
      <w:r>
        <w:rPr>
          <w:spacing w:val="-2"/>
        </w:rPr>
        <w:t xml:space="preserve"> </w:t>
      </w:r>
      <w:r>
        <w:t>and</w:t>
      </w:r>
      <w:r>
        <w:rPr>
          <w:spacing w:val="-1"/>
        </w:rPr>
        <w:t xml:space="preserve"> </w:t>
      </w:r>
      <w:r>
        <w:t>R,</w:t>
      </w:r>
      <w:r>
        <w:rPr>
          <w:spacing w:val="-1"/>
        </w:rPr>
        <w:t xml:space="preserve"> </w:t>
      </w:r>
      <w:r>
        <w:t>then</w:t>
      </w:r>
      <w:r>
        <w:rPr>
          <w:spacing w:val="-1"/>
        </w:rPr>
        <w:t xml:space="preserve"> </w:t>
      </w:r>
      <w:r>
        <w:rPr>
          <w:spacing w:val="-5"/>
        </w:rPr>
        <w:t>R,</w:t>
      </w:r>
    </w:p>
    <w:p w14:paraId="7E0022B7" w14:textId="77777777" w:rsidR="009A58DB" w:rsidRDefault="00000000">
      <w:pPr>
        <w:pStyle w:val="BodyText"/>
        <w:spacing w:before="120" w:line="249" w:lineRule="auto"/>
        <w:ind w:right="371"/>
      </w:pPr>
      <w:r>
        <w:t>which is obviously false. Since (B) is an instance of any open-sentence of which (+) is an instance, the latter is not formally true.</w:t>
      </w:r>
    </w:p>
    <w:p w14:paraId="7E0022B8" w14:textId="77777777" w:rsidR="009A58DB" w:rsidRDefault="00000000">
      <w:pPr>
        <w:pStyle w:val="BodyText"/>
        <w:spacing w:before="2" w:line="249" w:lineRule="auto"/>
        <w:ind w:right="362" w:firstLine="360"/>
      </w:pPr>
      <w:r>
        <w:t xml:space="preserve">It is in virtue not only of its form, but also of what is meant by “for any propositions P, Q, and Q” that (A) is true. (A) and (B) have the same form. What distinguishes them is that, in the place where (B) contains an occurrence of one expression (“for </w:t>
      </w:r>
      <w:r>
        <w:rPr>
          <w:i/>
        </w:rPr>
        <w:t xml:space="preserve">no </w:t>
      </w:r>
      <w:r>
        <w:t xml:space="preserve">propositions P, Q, and R”), (A) contains an expression with a different meaning (“for </w:t>
      </w:r>
      <w:r>
        <w:rPr>
          <w:i/>
        </w:rPr>
        <w:t xml:space="preserve">any </w:t>
      </w:r>
      <w:r>
        <w:t>propositions P, Q, and R”).</w:t>
      </w:r>
    </w:p>
    <w:p w14:paraId="7E0022B9" w14:textId="77777777" w:rsidR="009A58DB" w:rsidRDefault="00000000">
      <w:pPr>
        <w:spacing w:before="8" w:line="249" w:lineRule="auto"/>
        <w:ind w:left="360" w:right="365" w:firstLine="360"/>
        <w:jc w:val="both"/>
        <w:rPr>
          <w:i/>
          <w:sz w:val="30"/>
        </w:rPr>
      </w:pPr>
      <w:r>
        <w:rPr>
          <w:sz w:val="30"/>
        </w:rPr>
        <w:t xml:space="preserve">So the fact that A is, whereas B is not, analytic cannot possibly be chalked up to the fact that one is, whereas the other is not, formally true. Thus, </w:t>
      </w:r>
      <w:r>
        <w:rPr>
          <w:i/>
          <w:sz w:val="30"/>
        </w:rPr>
        <w:t>not</w:t>
      </w:r>
      <w:r>
        <w:rPr>
          <w:i/>
          <w:spacing w:val="-3"/>
          <w:sz w:val="30"/>
        </w:rPr>
        <w:t xml:space="preserve"> </w:t>
      </w:r>
      <w:r>
        <w:rPr>
          <w:i/>
          <w:sz w:val="30"/>
        </w:rPr>
        <w:t>all analytic truth is formal truth.</w:t>
      </w:r>
    </w:p>
    <w:p w14:paraId="7E0022BA" w14:textId="77777777" w:rsidR="009A58DB" w:rsidRDefault="00000000">
      <w:pPr>
        <w:pStyle w:val="BodyText"/>
        <w:spacing w:before="4" w:line="249" w:lineRule="auto"/>
        <w:ind w:right="364" w:firstLine="360"/>
      </w:pPr>
      <w:r>
        <w:t>In the TLP, Wittgenstein</w:t>
      </w:r>
      <w:bookmarkStart w:id="479" w:name="_bookmark479"/>
      <w:bookmarkEnd w:id="479"/>
      <w:r>
        <w:rPr>
          <w:color w:val="0562C1"/>
          <w:position w:val="21"/>
          <w:u w:val="single" w:color="0562C1"/>
        </w:rPr>
        <w:t>[359]</w:t>
      </w:r>
      <w:r>
        <w:rPr>
          <w:color w:val="0562C1"/>
          <w:position w:val="21"/>
        </w:rPr>
        <w:t xml:space="preserve"> </w:t>
      </w:r>
      <w:r>
        <w:t xml:space="preserve">says that all analytic truth </w:t>
      </w:r>
      <w:r>
        <w:rPr>
          <w:i/>
        </w:rPr>
        <w:t xml:space="preserve">is </w:t>
      </w:r>
      <w:r>
        <w:t>formal truth. Wittgenstein</w:t>
      </w:r>
      <w:r>
        <w:rPr>
          <w:spacing w:val="39"/>
        </w:rPr>
        <w:t xml:space="preserve"> </w:t>
      </w:r>
      <w:r>
        <w:t>is</w:t>
      </w:r>
      <w:r>
        <w:rPr>
          <w:spacing w:val="39"/>
        </w:rPr>
        <w:t xml:space="preserve"> </w:t>
      </w:r>
      <w:r>
        <w:t>wrong,</w:t>
      </w:r>
      <w:r>
        <w:rPr>
          <w:spacing w:val="39"/>
        </w:rPr>
        <w:t xml:space="preserve"> </w:t>
      </w:r>
      <w:r>
        <w:t>for</w:t>
      </w:r>
      <w:r>
        <w:rPr>
          <w:spacing w:val="39"/>
        </w:rPr>
        <w:t xml:space="preserve"> </w:t>
      </w:r>
      <w:r>
        <w:t>the</w:t>
      </w:r>
      <w:r>
        <w:rPr>
          <w:spacing w:val="39"/>
        </w:rPr>
        <w:t xml:space="preserve"> </w:t>
      </w:r>
      <w:r>
        <w:t>reasons</w:t>
      </w:r>
      <w:r>
        <w:rPr>
          <w:spacing w:val="39"/>
        </w:rPr>
        <w:t xml:space="preserve"> </w:t>
      </w:r>
      <w:r>
        <w:t>just</w:t>
      </w:r>
      <w:r>
        <w:rPr>
          <w:spacing w:val="39"/>
        </w:rPr>
        <w:t xml:space="preserve"> </w:t>
      </w:r>
      <w:r>
        <w:t>given.</w:t>
      </w:r>
      <w:r>
        <w:rPr>
          <w:spacing w:val="39"/>
        </w:rPr>
        <w:t xml:space="preserve"> </w:t>
      </w:r>
      <w:r>
        <w:t>Also,</w:t>
      </w:r>
      <w:r>
        <w:rPr>
          <w:spacing w:val="39"/>
        </w:rPr>
        <w:t xml:space="preserve"> </w:t>
      </w:r>
      <w:r>
        <w:t>even</w:t>
      </w:r>
      <w:r>
        <w:rPr>
          <w:spacing w:val="39"/>
        </w:rPr>
        <w:t xml:space="preserve"> </w:t>
      </w:r>
      <w:r>
        <w:t>if</w:t>
      </w:r>
      <w:r>
        <w:rPr>
          <w:spacing w:val="39"/>
        </w:rPr>
        <w:t xml:space="preserve"> </w:t>
      </w:r>
      <w:r>
        <w:t>there</w:t>
      </w:r>
      <w:r>
        <w:rPr>
          <w:spacing w:val="39"/>
        </w:rPr>
        <w:t xml:space="preserve"> </w:t>
      </w:r>
      <w:r>
        <w:t>were</w:t>
      </w:r>
    </w:p>
    <w:p w14:paraId="7E0022B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BC" w14:textId="77777777" w:rsidR="009A58DB" w:rsidRDefault="00000000">
      <w:pPr>
        <w:pStyle w:val="BodyText"/>
        <w:spacing w:before="70" w:line="249" w:lineRule="auto"/>
        <w:jc w:val="left"/>
      </w:pPr>
      <w:r>
        <w:lastRenderedPageBreak/>
        <w:t>some</w:t>
      </w:r>
      <w:r>
        <w:rPr>
          <w:spacing w:val="40"/>
        </w:rPr>
        <w:t xml:space="preserve"> </w:t>
      </w:r>
      <w:r>
        <w:t>formally</w:t>
      </w:r>
      <w:r>
        <w:rPr>
          <w:spacing w:val="40"/>
        </w:rPr>
        <w:t xml:space="preserve"> </w:t>
      </w:r>
      <w:r>
        <w:t>true</w:t>
      </w:r>
      <w:r>
        <w:rPr>
          <w:spacing w:val="40"/>
        </w:rPr>
        <w:t xml:space="preserve"> </w:t>
      </w:r>
      <w:r>
        <w:t>sentence</w:t>
      </w:r>
      <w:r>
        <w:rPr>
          <w:spacing w:val="40"/>
        </w:rPr>
        <w:t xml:space="preserve"> </w:t>
      </w:r>
      <w:r>
        <w:t>S</w:t>
      </w:r>
      <w:r>
        <w:rPr>
          <w:spacing w:val="40"/>
        </w:rPr>
        <w:t xml:space="preserve"> </w:t>
      </w:r>
      <w:r>
        <w:t>such</w:t>
      </w:r>
      <w:r>
        <w:rPr>
          <w:spacing w:val="40"/>
        </w:rPr>
        <w:t xml:space="preserve"> </w:t>
      </w:r>
      <w:r>
        <w:t>that</w:t>
      </w:r>
      <w:r>
        <w:rPr>
          <w:spacing w:val="40"/>
        </w:rPr>
        <w:t xml:space="preserve"> </w:t>
      </w:r>
      <w:r>
        <w:t>S</w:t>
      </w:r>
      <w:r>
        <w:rPr>
          <w:spacing w:val="40"/>
        </w:rPr>
        <w:t xml:space="preserve"> </w:t>
      </w:r>
      <w:r>
        <w:t>was</w:t>
      </w:r>
      <w:r>
        <w:rPr>
          <w:spacing w:val="40"/>
        </w:rPr>
        <w:t xml:space="preserve"> </w:t>
      </w:r>
      <w:r>
        <w:t>equivalent</w:t>
      </w:r>
      <w:r>
        <w:rPr>
          <w:spacing w:val="40"/>
        </w:rPr>
        <w:t xml:space="preserve"> </w:t>
      </w:r>
      <w:r>
        <w:t>with</w:t>
      </w:r>
      <w:r>
        <w:rPr>
          <w:spacing w:val="40"/>
        </w:rPr>
        <w:t xml:space="preserve"> </w:t>
      </w:r>
      <w:r>
        <w:t>(A),</w:t>
      </w:r>
      <w:r>
        <w:rPr>
          <w:spacing w:val="40"/>
        </w:rPr>
        <w:t xml:space="preserve"> </w:t>
      </w:r>
      <w:r>
        <w:t>the</w:t>
      </w:r>
      <w:r>
        <w:rPr>
          <w:spacing w:val="80"/>
          <w:w w:val="150"/>
        </w:rPr>
        <w:t xml:space="preserve"> </w:t>
      </w:r>
      <w:r>
        <w:rPr>
          <w:spacing w:val="-2"/>
        </w:rPr>
        <w:t>statement:</w:t>
      </w:r>
    </w:p>
    <w:p w14:paraId="7E0022BD" w14:textId="77777777" w:rsidR="009A58DB" w:rsidRDefault="00000000">
      <w:pPr>
        <w:pStyle w:val="BodyText"/>
        <w:spacing w:before="102"/>
        <w:jc w:val="left"/>
      </w:pPr>
      <w:r>
        <w:t>(C)</w:t>
      </w:r>
      <w:r>
        <w:rPr>
          <w:spacing w:val="-4"/>
        </w:rPr>
        <w:t xml:space="preserve"> </w:t>
      </w:r>
      <w:r>
        <w:t>‹S</w:t>
      </w:r>
      <w:r>
        <w:rPr>
          <w:spacing w:val="-3"/>
        </w:rPr>
        <w:t xml:space="preserve"> </w:t>
      </w:r>
      <w:r>
        <w:t>is</w:t>
      </w:r>
      <w:r>
        <w:rPr>
          <w:spacing w:val="-4"/>
        </w:rPr>
        <w:t xml:space="preserve"> </w:t>
      </w:r>
      <w:r>
        <w:t>equivalent</w:t>
      </w:r>
      <w:r>
        <w:rPr>
          <w:spacing w:val="-3"/>
        </w:rPr>
        <w:t xml:space="preserve"> </w:t>
      </w:r>
      <w:r>
        <w:t>with</w:t>
      </w:r>
      <w:r>
        <w:rPr>
          <w:spacing w:val="-2"/>
        </w:rPr>
        <w:t xml:space="preserve"> </w:t>
      </w:r>
      <w:r>
        <w:rPr>
          <w:spacing w:val="-5"/>
        </w:rPr>
        <w:t>A.›</w:t>
      </w:r>
    </w:p>
    <w:p w14:paraId="7E0022BE" w14:textId="77777777" w:rsidR="009A58DB" w:rsidRDefault="00000000">
      <w:pPr>
        <w:pStyle w:val="BodyText"/>
        <w:spacing w:before="105" w:line="249" w:lineRule="auto"/>
        <w:ind w:right="364"/>
        <w:jc w:val="left"/>
      </w:pPr>
      <w:r>
        <w:t>would</w:t>
      </w:r>
      <w:r>
        <w:rPr>
          <w:spacing w:val="-2"/>
        </w:rPr>
        <w:t xml:space="preserve"> </w:t>
      </w:r>
      <w:r>
        <w:t>not</w:t>
      </w:r>
      <w:r>
        <w:rPr>
          <w:spacing w:val="-3"/>
        </w:rPr>
        <w:t xml:space="preserve"> </w:t>
      </w:r>
      <w:r>
        <w:rPr>
          <w:i/>
        </w:rPr>
        <w:t>itself</w:t>
      </w:r>
      <w:r>
        <w:rPr>
          <w:i/>
          <w:spacing w:val="-3"/>
        </w:rPr>
        <w:t xml:space="preserve"> </w:t>
      </w:r>
      <w:r>
        <w:t>be a formal truth. To be a formal truth is to be a consequence of an informally true universal generalization. The statement that:</w:t>
      </w:r>
    </w:p>
    <w:p w14:paraId="7E0022BF" w14:textId="77777777" w:rsidR="009A58DB" w:rsidRDefault="00000000">
      <w:pPr>
        <w:pStyle w:val="BodyText"/>
        <w:spacing w:before="108"/>
        <w:jc w:val="left"/>
      </w:pPr>
      <w:r>
        <w:t>(%)</w:t>
      </w:r>
      <w:r>
        <w:rPr>
          <w:spacing w:val="-5"/>
        </w:rPr>
        <w:t xml:space="preserve"> </w:t>
      </w:r>
      <w:r>
        <w:t>If</w:t>
      </w:r>
      <w:r>
        <w:rPr>
          <w:spacing w:val="-3"/>
        </w:rPr>
        <w:t xml:space="preserve"> </w:t>
      </w:r>
      <w:r>
        <w:t>grass</w:t>
      </w:r>
      <w:r>
        <w:rPr>
          <w:spacing w:val="-3"/>
        </w:rPr>
        <w:t xml:space="preserve"> </w:t>
      </w:r>
      <w:r>
        <w:t>is</w:t>
      </w:r>
      <w:r>
        <w:rPr>
          <w:spacing w:val="-3"/>
        </w:rPr>
        <w:t xml:space="preserve"> </w:t>
      </w:r>
      <w:r>
        <w:t>green</w:t>
      </w:r>
      <w:r>
        <w:rPr>
          <w:spacing w:val="-2"/>
        </w:rPr>
        <w:t xml:space="preserve"> </w:t>
      </w:r>
      <w:r>
        <w:t>and</w:t>
      </w:r>
      <w:r>
        <w:rPr>
          <w:spacing w:val="-2"/>
        </w:rPr>
        <w:t xml:space="preserve"> </w:t>
      </w:r>
      <w:r>
        <w:t>snow</w:t>
      </w:r>
      <w:r>
        <w:rPr>
          <w:spacing w:val="-3"/>
        </w:rPr>
        <w:t xml:space="preserve"> </w:t>
      </w:r>
      <w:r>
        <w:t>is</w:t>
      </w:r>
      <w:r>
        <w:rPr>
          <w:spacing w:val="-3"/>
        </w:rPr>
        <w:t xml:space="preserve"> </w:t>
      </w:r>
      <w:r>
        <w:t>white</w:t>
      </w:r>
      <w:r>
        <w:rPr>
          <w:spacing w:val="-3"/>
        </w:rPr>
        <w:t xml:space="preserve"> </w:t>
      </w:r>
      <w:r>
        <w:t>and</w:t>
      </w:r>
      <w:r>
        <w:rPr>
          <w:spacing w:val="-2"/>
        </w:rPr>
        <w:t xml:space="preserve"> </w:t>
      </w:r>
      <w:r>
        <w:t>roses</w:t>
      </w:r>
      <w:r>
        <w:rPr>
          <w:spacing w:val="-3"/>
        </w:rPr>
        <w:t xml:space="preserve"> </w:t>
      </w:r>
      <w:r>
        <w:t>are</w:t>
      </w:r>
      <w:r>
        <w:rPr>
          <w:spacing w:val="-3"/>
        </w:rPr>
        <w:t xml:space="preserve"> </w:t>
      </w:r>
      <w:r>
        <w:t>red,</w:t>
      </w:r>
      <w:r>
        <w:rPr>
          <w:spacing w:val="-2"/>
        </w:rPr>
        <w:t xml:space="preserve"> </w:t>
      </w:r>
      <w:r>
        <w:t>then</w:t>
      </w:r>
      <w:r>
        <w:rPr>
          <w:spacing w:val="-2"/>
        </w:rPr>
        <w:t xml:space="preserve"> </w:t>
      </w:r>
      <w:r>
        <w:t>roses</w:t>
      </w:r>
      <w:r>
        <w:rPr>
          <w:spacing w:val="-3"/>
        </w:rPr>
        <w:t xml:space="preserve"> </w:t>
      </w:r>
      <w:r>
        <w:t>are</w:t>
      </w:r>
      <w:r>
        <w:rPr>
          <w:spacing w:val="-2"/>
        </w:rPr>
        <w:t xml:space="preserve"> </w:t>
      </w:r>
      <w:r>
        <w:rPr>
          <w:spacing w:val="-5"/>
        </w:rPr>
        <w:t>red</w:t>
      </w:r>
    </w:p>
    <w:p w14:paraId="7E0022C0" w14:textId="77777777" w:rsidR="009A58DB" w:rsidRDefault="00000000">
      <w:pPr>
        <w:pStyle w:val="BodyText"/>
        <w:spacing w:before="120" w:line="249" w:lineRule="auto"/>
        <w:jc w:val="left"/>
      </w:pPr>
      <w:r>
        <w:t>is</w:t>
      </w:r>
      <w:r>
        <w:rPr>
          <w:spacing w:val="40"/>
        </w:rPr>
        <w:t xml:space="preserve"> </w:t>
      </w:r>
      <w:r>
        <w:t>a</w:t>
      </w:r>
      <w:r>
        <w:rPr>
          <w:spacing w:val="40"/>
        </w:rPr>
        <w:t xml:space="preserve"> </w:t>
      </w:r>
      <w:r>
        <w:t>formal</w:t>
      </w:r>
      <w:r>
        <w:rPr>
          <w:spacing w:val="40"/>
        </w:rPr>
        <w:t xml:space="preserve"> </w:t>
      </w:r>
      <w:r>
        <w:t>truth</w:t>
      </w:r>
      <w:r>
        <w:rPr>
          <w:spacing w:val="40"/>
        </w:rPr>
        <w:t xml:space="preserve"> </w:t>
      </w:r>
      <w:r>
        <w:t>because</w:t>
      </w:r>
      <w:r>
        <w:rPr>
          <w:spacing w:val="40"/>
        </w:rPr>
        <w:t xml:space="preserve"> </w:t>
      </w:r>
      <w:r>
        <w:t>it</w:t>
      </w:r>
      <w:r>
        <w:rPr>
          <w:spacing w:val="40"/>
        </w:rPr>
        <w:t xml:space="preserve"> </w:t>
      </w:r>
      <w:r>
        <w:t>is</w:t>
      </w:r>
      <w:r>
        <w:rPr>
          <w:spacing w:val="40"/>
        </w:rPr>
        <w:t xml:space="preserve"> </w:t>
      </w:r>
      <w:r>
        <w:t>a</w:t>
      </w:r>
      <w:r>
        <w:rPr>
          <w:spacing w:val="40"/>
        </w:rPr>
        <w:t xml:space="preserve"> </w:t>
      </w:r>
      <w:r>
        <w:t>consequence</w:t>
      </w:r>
      <w:r>
        <w:rPr>
          <w:spacing w:val="40"/>
        </w:rPr>
        <w:t xml:space="preserve"> </w:t>
      </w:r>
      <w:r>
        <w:t>of</w:t>
      </w:r>
      <w:r>
        <w:rPr>
          <w:spacing w:val="40"/>
        </w:rPr>
        <w:t xml:space="preserve"> </w:t>
      </w:r>
      <w:r>
        <w:t>(A).</w:t>
      </w:r>
      <w:r>
        <w:rPr>
          <w:spacing w:val="40"/>
        </w:rPr>
        <w:t xml:space="preserve"> </w:t>
      </w:r>
      <w:r>
        <w:t>Thus,</w:t>
      </w:r>
      <w:r>
        <w:rPr>
          <w:spacing w:val="40"/>
        </w:rPr>
        <w:t xml:space="preserve"> </w:t>
      </w:r>
      <w:r>
        <w:t>Wittgenstein’s thesis that all analytic truth is formal truth is not only wrong but incoherent.</w:t>
      </w:r>
    </w:p>
    <w:p w14:paraId="7E0022C1" w14:textId="77777777" w:rsidR="009A58DB" w:rsidRDefault="00000000">
      <w:pPr>
        <w:pStyle w:val="BodyText"/>
        <w:spacing w:before="2" w:line="312" w:lineRule="auto"/>
        <w:ind w:right="2290" w:firstLine="360"/>
        <w:jc w:val="left"/>
      </w:pPr>
      <w:r>
        <w:t>Here is another illustration of that fact. The sentence: (JTB)</w:t>
      </w:r>
      <w:r>
        <w:rPr>
          <w:spacing w:val="-4"/>
        </w:rPr>
        <w:t xml:space="preserve"> </w:t>
      </w:r>
      <w:r>
        <w:t>any</w:t>
      </w:r>
      <w:r>
        <w:rPr>
          <w:spacing w:val="-3"/>
        </w:rPr>
        <w:t xml:space="preserve"> </w:t>
      </w:r>
      <w:r>
        <w:t>case</w:t>
      </w:r>
      <w:r>
        <w:rPr>
          <w:spacing w:val="-4"/>
        </w:rPr>
        <w:t xml:space="preserve"> </w:t>
      </w:r>
      <w:r>
        <w:t>of</w:t>
      </w:r>
      <w:r>
        <w:rPr>
          <w:spacing w:val="-4"/>
        </w:rPr>
        <w:t xml:space="preserve"> </w:t>
      </w:r>
      <w:r>
        <w:t>knowledge</w:t>
      </w:r>
      <w:r>
        <w:rPr>
          <w:spacing w:val="-4"/>
        </w:rPr>
        <w:t xml:space="preserve"> </w:t>
      </w:r>
      <w:r>
        <w:t>is</w:t>
      </w:r>
      <w:r>
        <w:rPr>
          <w:spacing w:val="-4"/>
        </w:rPr>
        <w:t xml:space="preserve"> </w:t>
      </w:r>
      <w:r>
        <w:t>a</w:t>
      </w:r>
      <w:r>
        <w:rPr>
          <w:spacing w:val="-4"/>
        </w:rPr>
        <w:t xml:space="preserve"> </w:t>
      </w:r>
      <w:r>
        <w:t>case</w:t>
      </w:r>
      <w:r>
        <w:rPr>
          <w:spacing w:val="-4"/>
        </w:rPr>
        <w:t xml:space="preserve"> </w:t>
      </w:r>
      <w:r>
        <w:t>of</w:t>
      </w:r>
      <w:r>
        <w:rPr>
          <w:spacing w:val="-4"/>
        </w:rPr>
        <w:t xml:space="preserve"> </w:t>
      </w:r>
      <w:r>
        <w:t>justified</w:t>
      </w:r>
      <w:r>
        <w:rPr>
          <w:spacing w:val="-3"/>
        </w:rPr>
        <w:t xml:space="preserve"> </w:t>
      </w:r>
      <w:r>
        <w:t>true</w:t>
      </w:r>
      <w:r>
        <w:rPr>
          <w:spacing w:val="-4"/>
        </w:rPr>
        <w:t xml:space="preserve"> </w:t>
      </w:r>
      <w:r>
        <w:t>belief</w:t>
      </w:r>
    </w:p>
    <w:p w14:paraId="7E0022C2" w14:textId="77777777" w:rsidR="009A58DB" w:rsidRDefault="00000000">
      <w:pPr>
        <w:pStyle w:val="BodyText"/>
        <w:spacing w:before="18" w:line="249" w:lineRule="auto"/>
        <w:ind w:right="718"/>
        <w:jc w:val="left"/>
      </w:pPr>
      <w:r>
        <w:t>is</w:t>
      </w:r>
      <w:r>
        <w:rPr>
          <w:spacing w:val="27"/>
        </w:rPr>
        <w:t xml:space="preserve"> </w:t>
      </w:r>
      <w:r>
        <w:t>an</w:t>
      </w:r>
      <w:r>
        <w:rPr>
          <w:spacing w:val="28"/>
        </w:rPr>
        <w:t xml:space="preserve"> </w:t>
      </w:r>
      <w:r>
        <w:t>analytic,</w:t>
      </w:r>
      <w:r>
        <w:rPr>
          <w:spacing w:val="27"/>
        </w:rPr>
        <w:t xml:space="preserve"> </w:t>
      </w:r>
      <w:r>
        <w:t>not</w:t>
      </w:r>
      <w:r>
        <w:rPr>
          <w:spacing w:val="28"/>
        </w:rPr>
        <w:t xml:space="preserve"> </w:t>
      </w:r>
      <w:r>
        <w:t>an</w:t>
      </w:r>
      <w:r>
        <w:rPr>
          <w:spacing w:val="27"/>
        </w:rPr>
        <w:t xml:space="preserve"> </w:t>
      </w:r>
      <w:r>
        <w:t>empirical,</w:t>
      </w:r>
      <w:r>
        <w:rPr>
          <w:spacing w:val="28"/>
        </w:rPr>
        <w:t xml:space="preserve"> </w:t>
      </w:r>
      <w:r>
        <w:t>truth.</w:t>
      </w:r>
      <w:r>
        <w:rPr>
          <w:spacing w:val="28"/>
        </w:rPr>
        <w:t xml:space="preserve"> </w:t>
      </w:r>
      <w:r>
        <w:t>But</w:t>
      </w:r>
      <w:r>
        <w:rPr>
          <w:spacing w:val="27"/>
        </w:rPr>
        <w:t xml:space="preserve"> </w:t>
      </w:r>
      <w:r>
        <w:t>it</w:t>
      </w:r>
      <w:r>
        <w:rPr>
          <w:spacing w:val="28"/>
        </w:rPr>
        <w:t xml:space="preserve"> </w:t>
      </w:r>
      <w:r>
        <w:t>isn’t</w:t>
      </w:r>
      <w:r>
        <w:rPr>
          <w:spacing w:val="27"/>
        </w:rPr>
        <w:t xml:space="preserve"> </w:t>
      </w:r>
      <w:r>
        <w:t>a</w:t>
      </w:r>
      <w:r>
        <w:rPr>
          <w:spacing w:val="28"/>
        </w:rPr>
        <w:t xml:space="preserve"> </w:t>
      </w:r>
      <w:r>
        <w:t>formal</w:t>
      </w:r>
      <w:r>
        <w:rPr>
          <w:spacing w:val="27"/>
        </w:rPr>
        <w:t xml:space="preserve"> </w:t>
      </w:r>
      <w:r>
        <w:t>truth,</w:t>
      </w:r>
      <w:r>
        <w:rPr>
          <w:spacing w:val="28"/>
        </w:rPr>
        <w:t xml:space="preserve"> </w:t>
      </w:r>
      <w:r>
        <w:t>since</w:t>
      </w:r>
      <w:r>
        <w:rPr>
          <w:spacing w:val="28"/>
        </w:rPr>
        <w:t xml:space="preserve"> </w:t>
      </w:r>
      <w:r>
        <w:t>it has the same form as</w:t>
      </w:r>
    </w:p>
    <w:p w14:paraId="7E0022C3" w14:textId="77777777" w:rsidR="009A58DB" w:rsidRDefault="00000000">
      <w:pPr>
        <w:pStyle w:val="BodyText"/>
        <w:spacing w:before="3" w:line="450" w:lineRule="atLeast"/>
        <w:ind w:right="1840"/>
        <w:jc w:val="left"/>
      </w:pPr>
      <w:r>
        <w:t>(NTB)</w:t>
      </w:r>
      <w:r>
        <w:rPr>
          <w:spacing w:val="-4"/>
        </w:rPr>
        <w:t xml:space="preserve"> </w:t>
      </w:r>
      <w:r>
        <w:t>any</w:t>
      </w:r>
      <w:r>
        <w:rPr>
          <w:spacing w:val="-3"/>
        </w:rPr>
        <w:t xml:space="preserve"> </w:t>
      </w:r>
      <w:r>
        <w:t>case</w:t>
      </w:r>
      <w:r>
        <w:rPr>
          <w:spacing w:val="-4"/>
        </w:rPr>
        <w:t xml:space="preserve"> </w:t>
      </w:r>
      <w:r>
        <w:t>of</w:t>
      </w:r>
      <w:r>
        <w:rPr>
          <w:spacing w:val="-4"/>
        </w:rPr>
        <w:t xml:space="preserve"> </w:t>
      </w:r>
      <w:r>
        <w:t>knowledge</w:t>
      </w:r>
      <w:r>
        <w:rPr>
          <w:spacing w:val="-4"/>
        </w:rPr>
        <w:t xml:space="preserve"> </w:t>
      </w:r>
      <w:r>
        <w:t>is</w:t>
      </w:r>
      <w:r>
        <w:rPr>
          <w:spacing w:val="-4"/>
        </w:rPr>
        <w:t xml:space="preserve"> </w:t>
      </w:r>
      <w:r>
        <w:t>a</w:t>
      </w:r>
      <w:r>
        <w:rPr>
          <w:spacing w:val="-4"/>
        </w:rPr>
        <w:t xml:space="preserve"> </w:t>
      </w:r>
      <w:r>
        <w:t>case</w:t>
      </w:r>
      <w:r>
        <w:rPr>
          <w:spacing w:val="-4"/>
        </w:rPr>
        <w:t xml:space="preserve"> </w:t>
      </w:r>
      <w:r>
        <w:t>of</w:t>
      </w:r>
      <w:r>
        <w:rPr>
          <w:spacing w:val="-4"/>
        </w:rPr>
        <w:t xml:space="preserve"> </w:t>
      </w:r>
      <w:r>
        <w:t>unjustified</w:t>
      </w:r>
      <w:r>
        <w:rPr>
          <w:spacing w:val="-3"/>
        </w:rPr>
        <w:t xml:space="preserve"> </w:t>
      </w:r>
      <w:r>
        <w:t>false</w:t>
      </w:r>
      <w:r>
        <w:rPr>
          <w:spacing w:val="-4"/>
        </w:rPr>
        <w:t xml:space="preserve"> </w:t>
      </w:r>
      <w:r>
        <w:t>belief, which is false.</w:t>
      </w:r>
    </w:p>
    <w:p w14:paraId="7E0022C4" w14:textId="77777777" w:rsidR="009A58DB" w:rsidRDefault="00000000">
      <w:pPr>
        <w:pStyle w:val="BodyText"/>
        <w:spacing w:before="15" w:line="249" w:lineRule="auto"/>
        <w:ind w:right="360" w:firstLine="360"/>
      </w:pPr>
      <w:r>
        <w:t xml:space="preserve">Wittgenstein grants that there </w:t>
      </w:r>
      <w:r>
        <w:rPr>
          <w:i/>
        </w:rPr>
        <w:t xml:space="preserve">seem </w:t>
      </w:r>
      <w:r>
        <w:t>to be analytically true sentences that aren’t formally true. But he denies that there are really are such sentences. Here is what he says:</w:t>
      </w:r>
    </w:p>
    <w:p w14:paraId="7E0022C5" w14:textId="77777777" w:rsidR="009A58DB" w:rsidRDefault="00000000">
      <w:pPr>
        <w:pStyle w:val="BodyText"/>
        <w:spacing w:before="108" w:line="249" w:lineRule="auto"/>
        <w:ind w:left="720" w:right="2648"/>
      </w:pPr>
      <w:r>
        <w:t>(AF</w:t>
      </w:r>
      <w:bookmarkStart w:id="480" w:name="_bookmark480"/>
      <w:bookmarkEnd w:id="480"/>
      <w:r>
        <w:t>T</w:t>
      </w:r>
      <w:r>
        <w:rPr>
          <w:color w:val="0562C1"/>
          <w:position w:val="21"/>
          <w:u w:val="single" w:color="0562C1"/>
        </w:rPr>
        <w:t>[360]</w:t>
      </w:r>
      <w:r>
        <w:t xml:space="preserve">) Though it </w:t>
      </w:r>
      <w:r>
        <w:rPr>
          <w:i/>
        </w:rPr>
        <w:t xml:space="preserve">seems </w:t>
      </w:r>
      <w:r>
        <w:t>not to be formally true,</w:t>
      </w:r>
      <w:r>
        <w:rPr>
          <w:spacing w:val="40"/>
        </w:rPr>
        <w:t xml:space="preserve"> </w:t>
      </w:r>
      <w:r>
        <w:t>the sentence</w:t>
      </w:r>
    </w:p>
    <w:p w14:paraId="7E0022C6" w14:textId="77777777" w:rsidR="009A58DB" w:rsidRDefault="00000000">
      <w:pPr>
        <w:pStyle w:val="BodyText"/>
        <w:spacing w:before="108" w:line="249" w:lineRule="auto"/>
        <w:ind w:left="720" w:right="2652"/>
      </w:pPr>
      <w:r>
        <w:t xml:space="preserve">(JTB) “any case of knowledge is a case of justified true </w:t>
      </w:r>
      <w:r>
        <w:rPr>
          <w:spacing w:val="-2"/>
        </w:rPr>
        <w:t>belief”</w:t>
      </w:r>
    </w:p>
    <w:p w14:paraId="7E0022C7" w14:textId="77777777" w:rsidR="009A58DB" w:rsidRDefault="00000000">
      <w:pPr>
        <w:pStyle w:val="BodyText"/>
        <w:spacing w:before="92" w:line="249" w:lineRule="auto"/>
        <w:ind w:right="2652" w:firstLine="360"/>
      </w:pPr>
      <w:r>
        <w:rPr>
          <w:i/>
        </w:rPr>
        <w:t xml:space="preserve">is </w:t>
      </w:r>
      <w:r>
        <w:t>in fact formally true, the reason being that it is an abbreviation of</w:t>
      </w:r>
    </w:p>
    <w:p w14:paraId="7E0022C8" w14:textId="77777777" w:rsidR="009A58DB" w:rsidRDefault="00000000">
      <w:pPr>
        <w:pStyle w:val="BodyText"/>
        <w:spacing w:before="108" w:line="249" w:lineRule="auto"/>
        <w:ind w:left="720" w:right="371"/>
      </w:pPr>
      <w:r>
        <w:t>(JTBF) “any case of non-accidentally true, justified belief is a case of justified true belief,”</w:t>
      </w:r>
    </w:p>
    <w:p w14:paraId="7E0022C9" w14:textId="77777777" w:rsidR="009A58DB" w:rsidRDefault="00000000">
      <w:pPr>
        <w:pStyle w:val="BodyText"/>
        <w:spacing w:before="107"/>
        <w:ind w:left="720"/>
      </w:pPr>
      <w:r>
        <w:t>or,</w:t>
      </w:r>
      <w:r>
        <w:rPr>
          <w:spacing w:val="-5"/>
        </w:rPr>
        <w:t xml:space="preserve"> </w:t>
      </w:r>
      <w:r>
        <w:t>at</w:t>
      </w:r>
      <w:r>
        <w:rPr>
          <w:spacing w:val="-3"/>
        </w:rPr>
        <w:t xml:space="preserve"> </w:t>
      </w:r>
      <w:r>
        <w:t>any</w:t>
      </w:r>
      <w:r>
        <w:rPr>
          <w:spacing w:val="-2"/>
        </w:rPr>
        <w:t xml:space="preserve"> </w:t>
      </w:r>
      <w:r>
        <w:t>rate,</w:t>
      </w:r>
      <w:r>
        <w:rPr>
          <w:spacing w:val="-2"/>
        </w:rPr>
        <w:t xml:space="preserve"> </w:t>
      </w:r>
      <w:r>
        <w:t>of</w:t>
      </w:r>
      <w:r>
        <w:rPr>
          <w:spacing w:val="-3"/>
        </w:rPr>
        <w:t xml:space="preserve"> </w:t>
      </w:r>
      <w:r>
        <w:t>some</w:t>
      </w:r>
      <w:r>
        <w:rPr>
          <w:spacing w:val="-3"/>
        </w:rPr>
        <w:t xml:space="preserve"> </w:t>
      </w:r>
      <w:r>
        <w:t>other</w:t>
      </w:r>
      <w:r>
        <w:rPr>
          <w:spacing w:val="-3"/>
        </w:rPr>
        <w:t xml:space="preserve"> </w:t>
      </w:r>
      <w:r>
        <w:t>formally</w:t>
      </w:r>
      <w:r>
        <w:rPr>
          <w:spacing w:val="-2"/>
        </w:rPr>
        <w:t xml:space="preserve"> </w:t>
      </w:r>
      <w:r>
        <w:t>true</w:t>
      </w:r>
      <w:r>
        <w:rPr>
          <w:spacing w:val="-3"/>
        </w:rPr>
        <w:t xml:space="preserve"> </w:t>
      </w:r>
      <w:r>
        <w:rPr>
          <w:spacing w:val="-2"/>
        </w:rPr>
        <w:t>sentence.</w:t>
      </w:r>
    </w:p>
    <w:p w14:paraId="7E0022CA" w14:textId="77777777" w:rsidR="009A58DB" w:rsidRDefault="00000000">
      <w:pPr>
        <w:pStyle w:val="BodyText"/>
        <w:spacing w:before="105" w:line="249" w:lineRule="auto"/>
        <w:ind w:right="358" w:firstLine="360"/>
      </w:pPr>
      <w:r>
        <w:t xml:space="preserve">AFT is false. JTB is not JTBF in disguise. They express different propositions. JTB is informative. JTBF is not. One can accept the proposition meant by the one without accepting the proposition meant by the other. JTB and JTBF express </w:t>
      </w:r>
      <w:r>
        <w:rPr>
          <w:i/>
        </w:rPr>
        <w:t>equivalent</w:t>
      </w:r>
      <w:r>
        <w:rPr>
          <w:i/>
          <w:spacing w:val="-4"/>
        </w:rPr>
        <w:t xml:space="preserve"> </w:t>
      </w:r>
      <w:r>
        <w:t>propositions (assuming, as we are, that JTBF is correct). But if JTB is to be a mere abbreviation of JTBF, both must express</w:t>
      </w:r>
    </w:p>
    <w:p w14:paraId="7E0022C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CC" w14:textId="77777777" w:rsidR="009A58DB" w:rsidRDefault="00000000">
      <w:pPr>
        <w:pStyle w:val="BodyText"/>
        <w:spacing w:before="62"/>
      </w:pPr>
      <w:r>
        <w:lastRenderedPageBreak/>
        <w:t>the</w:t>
      </w:r>
      <w:r>
        <w:rPr>
          <w:spacing w:val="-6"/>
        </w:rPr>
        <w:t xml:space="preserve"> </w:t>
      </w:r>
      <w:r>
        <w:t>very</w:t>
      </w:r>
      <w:r>
        <w:rPr>
          <w:spacing w:val="-2"/>
        </w:rPr>
        <w:t xml:space="preserve"> </w:t>
      </w:r>
      <w:r>
        <w:t>same</w:t>
      </w:r>
      <w:r>
        <w:rPr>
          <w:spacing w:val="-3"/>
        </w:rPr>
        <w:t xml:space="preserve"> </w:t>
      </w:r>
      <w:r>
        <w:t>proposition.</w:t>
      </w:r>
      <w:r>
        <w:rPr>
          <w:spacing w:val="-2"/>
        </w:rPr>
        <w:t xml:space="preserve"> </w:t>
      </w:r>
      <w:r>
        <w:t>They</w:t>
      </w:r>
      <w:r>
        <w:rPr>
          <w:spacing w:val="-2"/>
        </w:rPr>
        <w:t xml:space="preserve"> </w:t>
      </w:r>
      <w:r>
        <w:t>don’t;</w:t>
      </w:r>
      <w:r>
        <w:rPr>
          <w:spacing w:val="-3"/>
        </w:rPr>
        <w:t xml:space="preserve"> </w:t>
      </w:r>
      <w:r>
        <w:t>so</w:t>
      </w:r>
      <w:r>
        <w:rPr>
          <w:spacing w:val="-2"/>
        </w:rPr>
        <w:t xml:space="preserve"> </w:t>
      </w:r>
      <w:r>
        <w:t>AFT</w:t>
      </w:r>
      <w:r>
        <w:rPr>
          <w:spacing w:val="-3"/>
        </w:rPr>
        <w:t xml:space="preserve"> </w:t>
      </w:r>
      <w:r>
        <w:t>is</w:t>
      </w:r>
      <w:r>
        <w:rPr>
          <w:spacing w:val="-3"/>
        </w:rPr>
        <w:t xml:space="preserve"> </w:t>
      </w:r>
      <w:r>
        <w:rPr>
          <w:spacing w:val="-2"/>
        </w:rPr>
        <w:t>wrong.</w:t>
      </w:r>
    </w:p>
    <w:p w14:paraId="7E0022CD" w14:textId="77777777" w:rsidR="009A58DB" w:rsidRDefault="00000000">
      <w:pPr>
        <w:pStyle w:val="BodyText"/>
        <w:spacing w:before="18" w:line="249" w:lineRule="auto"/>
        <w:ind w:right="365" w:firstLine="360"/>
      </w:pPr>
      <w:r>
        <w:t>According to AFT, any given informal analytic truth can be turned into a formal truth by replacing expressions with analytic definitions of themselves</w:t>
      </w:r>
    </w:p>
    <w:p w14:paraId="7E0022CE" w14:textId="77777777" w:rsidR="009A58DB" w:rsidRDefault="00000000">
      <w:pPr>
        <w:pStyle w:val="BodyText"/>
        <w:spacing w:before="2" w:line="249" w:lineRule="auto"/>
        <w:ind w:right="367"/>
      </w:pPr>
      <w:r>
        <w:t>—by replacing “circle” with “closed planar figure of uniform curvature,” etc. But</w:t>
      </w:r>
      <w:r>
        <w:rPr>
          <w:spacing w:val="-2"/>
        </w:rPr>
        <w:t xml:space="preserve"> </w:t>
      </w:r>
      <w:r>
        <w:t>such</w:t>
      </w:r>
      <w:r>
        <w:rPr>
          <w:spacing w:val="-1"/>
        </w:rPr>
        <w:t xml:space="preserve"> </w:t>
      </w:r>
      <w:r>
        <w:t>a</w:t>
      </w:r>
      <w:r>
        <w:rPr>
          <w:spacing w:val="-1"/>
        </w:rPr>
        <w:t xml:space="preserve"> </w:t>
      </w:r>
      <w:r>
        <w:t>formalization</w:t>
      </w:r>
      <w:r>
        <w:rPr>
          <w:spacing w:val="-1"/>
        </w:rPr>
        <w:t xml:space="preserve"> </w:t>
      </w:r>
      <w:r>
        <w:t>would</w:t>
      </w:r>
      <w:r>
        <w:rPr>
          <w:spacing w:val="-1"/>
        </w:rPr>
        <w:t xml:space="preserve"> </w:t>
      </w:r>
      <w:r>
        <w:rPr>
          <w:i/>
        </w:rPr>
        <w:t>presuppose</w:t>
      </w:r>
      <w:r>
        <w:rPr>
          <w:i/>
          <w:spacing w:val="-4"/>
        </w:rPr>
        <w:t xml:space="preserve"> </w:t>
      </w:r>
      <w:r>
        <w:t>the</w:t>
      </w:r>
      <w:r>
        <w:rPr>
          <w:spacing w:val="-2"/>
        </w:rPr>
        <w:t xml:space="preserve"> </w:t>
      </w:r>
      <w:r>
        <w:t>correctness</w:t>
      </w:r>
      <w:r>
        <w:rPr>
          <w:spacing w:val="-1"/>
        </w:rPr>
        <w:t xml:space="preserve"> </w:t>
      </w:r>
      <w:r>
        <w:t>of</w:t>
      </w:r>
      <w:r>
        <w:rPr>
          <w:spacing w:val="-2"/>
        </w:rPr>
        <w:t xml:space="preserve"> </w:t>
      </w:r>
      <w:r>
        <w:t>all</w:t>
      </w:r>
      <w:r>
        <w:rPr>
          <w:spacing w:val="-2"/>
        </w:rPr>
        <w:t xml:space="preserve"> </w:t>
      </w:r>
      <w:r>
        <w:t>the</w:t>
      </w:r>
      <w:r>
        <w:rPr>
          <w:spacing w:val="-2"/>
        </w:rPr>
        <w:t xml:space="preserve"> </w:t>
      </w:r>
      <w:r>
        <w:t xml:space="preserve">analyses involved. And none of those analyses would be expressed by formal truths. JTBF is indeed formal. But it doesn’t express an analysis. What </w:t>
      </w:r>
      <w:r>
        <w:rPr>
          <w:i/>
        </w:rPr>
        <w:t>does</w:t>
      </w:r>
      <w:r>
        <w:rPr>
          <w:i/>
          <w:spacing w:val="-3"/>
        </w:rPr>
        <w:t xml:space="preserve"> </w:t>
      </w:r>
      <w:r>
        <w:t>express an analysis (or so we will suppose for argument’s sake) is:</w:t>
      </w:r>
    </w:p>
    <w:p w14:paraId="7E0022CF" w14:textId="77777777" w:rsidR="009A58DB" w:rsidRDefault="00000000">
      <w:pPr>
        <w:pStyle w:val="BodyText"/>
        <w:spacing w:before="111" w:line="249" w:lineRule="auto"/>
        <w:ind w:right="362"/>
      </w:pPr>
      <w:r>
        <w:t xml:space="preserve">(JTBA) “any case of knowledge is a case of non-accidentally true, justified </w:t>
      </w:r>
      <w:r>
        <w:rPr>
          <w:spacing w:val="-2"/>
        </w:rPr>
        <w:t>belief.”</w:t>
      </w:r>
    </w:p>
    <w:p w14:paraId="7E0022D0" w14:textId="77777777" w:rsidR="009A58DB" w:rsidRDefault="00000000">
      <w:pPr>
        <w:pStyle w:val="BodyText"/>
        <w:spacing w:before="93" w:line="249" w:lineRule="auto"/>
        <w:ind w:right="357" w:firstLine="360"/>
      </w:pPr>
      <w:r>
        <w:t xml:space="preserve">But JTBA isn’t </w:t>
      </w:r>
      <w:r>
        <w:rPr>
          <w:i/>
        </w:rPr>
        <w:t>formally</w:t>
      </w:r>
      <w:r>
        <w:rPr>
          <w:i/>
          <w:spacing w:val="-4"/>
        </w:rPr>
        <w:t xml:space="preserve"> </w:t>
      </w:r>
      <w:r>
        <w:t>true, the reason being there are formally identical false statements (for example, “any case of knowledge is a case of accidentally true, unjustified belief”).</w:t>
      </w:r>
    </w:p>
    <w:p w14:paraId="7E0022D1" w14:textId="77777777" w:rsidR="009A58DB" w:rsidRDefault="00000000">
      <w:pPr>
        <w:pStyle w:val="Heading1"/>
        <w:numPr>
          <w:ilvl w:val="1"/>
          <w:numId w:val="69"/>
        </w:numPr>
        <w:tabs>
          <w:tab w:val="left" w:pos="1029"/>
        </w:tabs>
        <w:spacing w:before="206" w:line="244" w:lineRule="auto"/>
        <w:ind w:left="360" w:right="370" w:firstLine="0"/>
      </w:pPr>
      <w:r>
        <w:t xml:space="preserve">Conceptual analyses never expressed by formal </w:t>
      </w:r>
      <w:r>
        <w:rPr>
          <w:spacing w:val="-2"/>
        </w:rPr>
        <w:t>truths</w:t>
      </w:r>
    </w:p>
    <w:p w14:paraId="7E0022D2" w14:textId="77777777" w:rsidR="009A58DB" w:rsidRDefault="00000000">
      <w:pPr>
        <w:spacing w:before="132"/>
        <w:ind w:left="360"/>
        <w:jc w:val="both"/>
        <w:rPr>
          <w:sz w:val="30"/>
        </w:rPr>
      </w:pPr>
      <w:r>
        <w:rPr>
          <w:sz w:val="30"/>
        </w:rPr>
        <w:t>A</w:t>
      </w:r>
      <w:r>
        <w:rPr>
          <w:spacing w:val="38"/>
          <w:sz w:val="30"/>
        </w:rPr>
        <w:t xml:space="preserve"> </w:t>
      </w:r>
      <w:r>
        <w:rPr>
          <w:b/>
          <w:i/>
          <w:sz w:val="30"/>
        </w:rPr>
        <w:t>conceptual</w:t>
      </w:r>
      <w:r>
        <w:rPr>
          <w:b/>
          <w:i/>
          <w:spacing w:val="41"/>
          <w:sz w:val="30"/>
        </w:rPr>
        <w:t xml:space="preserve"> </w:t>
      </w:r>
      <w:r>
        <w:rPr>
          <w:b/>
          <w:i/>
          <w:sz w:val="30"/>
        </w:rPr>
        <w:t>analysis</w:t>
      </w:r>
      <w:r>
        <w:rPr>
          <w:b/>
          <w:i/>
          <w:spacing w:val="42"/>
          <w:sz w:val="30"/>
        </w:rPr>
        <w:t xml:space="preserve"> </w:t>
      </w:r>
      <w:r>
        <w:rPr>
          <w:sz w:val="30"/>
        </w:rPr>
        <w:t>is</w:t>
      </w:r>
      <w:r>
        <w:rPr>
          <w:spacing w:val="40"/>
          <w:sz w:val="30"/>
        </w:rPr>
        <w:t xml:space="preserve"> </w:t>
      </w:r>
      <w:r>
        <w:rPr>
          <w:sz w:val="30"/>
        </w:rPr>
        <w:t>a</w:t>
      </w:r>
      <w:r>
        <w:rPr>
          <w:spacing w:val="41"/>
          <w:sz w:val="30"/>
        </w:rPr>
        <w:t xml:space="preserve"> </w:t>
      </w:r>
      <w:r>
        <w:rPr>
          <w:sz w:val="30"/>
        </w:rPr>
        <w:t>non-empirical,</w:t>
      </w:r>
      <w:r>
        <w:rPr>
          <w:spacing w:val="42"/>
          <w:sz w:val="30"/>
        </w:rPr>
        <w:t xml:space="preserve"> </w:t>
      </w:r>
      <w:r>
        <w:rPr>
          <w:sz w:val="30"/>
        </w:rPr>
        <w:t>non-trivial</w:t>
      </w:r>
      <w:r>
        <w:rPr>
          <w:spacing w:val="40"/>
          <w:sz w:val="30"/>
        </w:rPr>
        <w:t xml:space="preserve"> </w:t>
      </w:r>
      <w:r>
        <w:rPr>
          <w:sz w:val="30"/>
        </w:rPr>
        <w:t>sentence</w:t>
      </w:r>
      <w:r>
        <w:rPr>
          <w:spacing w:val="41"/>
          <w:sz w:val="30"/>
        </w:rPr>
        <w:t xml:space="preserve"> </w:t>
      </w:r>
      <w:r>
        <w:rPr>
          <w:sz w:val="30"/>
        </w:rPr>
        <w:t>of</w:t>
      </w:r>
      <w:r>
        <w:rPr>
          <w:spacing w:val="41"/>
          <w:sz w:val="30"/>
        </w:rPr>
        <w:t xml:space="preserve"> </w:t>
      </w:r>
      <w:r>
        <w:rPr>
          <w:sz w:val="30"/>
        </w:rPr>
        <w:t>the</w:t>
      </w:r>
      <w:r>
        <w:rPr>
          <w:spacing w:val="41"/>
          <w:sz w:val="30"/>
        </w:rPr>
        <w:t xml:space="preserve"> </w:t>
      </w:r>
      <w:r>
        <w:rPr>
          <w:spacing w:val="-4"/>
          <w:sz w:val="30"/>
        </w:rPr>
        <w:t>form</w:t>
      </w:r>
    </w:p>
    <w:p w14:paraId="7E0022D3" w14:textId="77777777" w:rsidR="009A58DB" w:rsidRDefault="00000000">
      <w:pPr>
        <w:pStyle w:val="BodyText"/>
        <w:spacing w:before="15" w:line="249" w:lineRule="auto"/>
        <w:ind w:right="367"/>
      </w:pPr>
      <w:r>
        <w:t>‹C</w:t>
      </w:r>
      <w:r>
        <w:rPr>
          <w:position w:val="-7"/>
          <w:sz w:val="22"/>
        </w:rPr>
        <w:t xml:space="preserve">1 </w:t>
      </w:r>
      <w:r>
        <w:t>is fulfilled if and only if C</w:t>
      </w:r>
      <w:r>
        <w:rPr>
          <w:position w:val="-7"/>
          <w:sz w:val="22"/>
        </w:rPr>
        <w:t>2</w:t>
      </w:r>
      <w:r>
        <w:t>›, where C</w:t>
      </w:r>
      <w:r>
        <w:rPr>
          <w:position w:val="-7"/>
          <w:sz w:val="22"/>
        </w:rPr>
        <w:t xml:space="preserve">1 </w:t>
      </w:r>
      <w:r>
        <w:t>and C</w:t>
      </w:r>
      <w:r>
        <w:rPr>
          <w:position w:val="-7"/>
          <w:sz w:val="22"/>
        </w:rPr>
        <w:t xml:space="preserve">2 </w:t>
      </w:r>
      <w:r>
        <w:t>are conditions. (The sentence “condition C is fulfilled” is synonymous with “property P isn’t instantiated.”) Thus:</w:t>
      </w:r>
    </w:p>
    <w:p w14:paraId="7E0022D4" w14:textId="77777777" w:rsidR="009A58DB" w:rsidRDefault="00000000">
      <w:pPr>
        <w:pStyle w:val="BodyText"/>
        <w:spacing w:before="91" w:line="249" w:lineRule="auto"/>
        <w:ind w:right="365"/>
      </w:pPr>
      <w:r>
        <w:t xml:space="preserve">(CK) x is a circle if and only if x is a closed planar figure of uniform </w:t>
      </w:r>
      <w:r>
        <w:rPr>
          <w:spacing w:val="-2"/>
        </w:rPr>
        <w:t>curvature</w:t>
      </w:r>
    </w:p>
    <w:p w14:paraId="7E0022D5" w14:textId="77777777" w:rsidR="009A58DB" w:rsidRDefault="00000000">
      <w:pPr>
        <w:pStyle w:val="BodyText"/>
        <w:spacing w:before="108"/>
      </w:pPr>
      <w:r>
        <w:t>is</w:t>
      </w:r>
      <w:r>
        <w:rPr>
          <w:spacing w:val="-6"/>
        </w:rPr>
        <w:t xml:space="preserve"> </w:t>
      </w:r>
      <w:r>
        <w:t>a</w:t>
      </w:r>
      <w:r>
        <w:rPr>
          <w:spacing w:val="-3"/>
        </w:rPr>
        <w:t xml:space="preserve"> </w:t>
      </w:r>
      <w:r>
        <w:t>conceptual</w:t>
      </w:r>
      <w:r>
        <w:rPr>
          <w:spacing w:val="-3"/>
        </w:rPr>
        <w:t xml:space="preserve"> </w:t>
      </w:r>
      <w:r>
        <w:t>analysis,</w:t>
      </w:r>
      <w:r>
        <w:rPr>
          <w:spacing w:val="-3"/>
        </w:rPr>
        <w:t xml:space="preserve"> </w:t>
      </w:r>
      <w:r>
        <w:t>and</w:t>
      </w:r>
      <w:r>
        <w:rPr>
          <w:spacing w:val="-2"/>
        </w:rPr>
        <w:t xml:space="preserve"> </w:t>
      </w:r>
      <w:r>
        <w:t>so</w:t>
      </w:r>
      <w:r>
        <w:rPr>
          <w:spacing w:val="-2"/>
        </w:rPr>
        <w:t xml:space="preserve"> </w:t>
      </w:r>
      <w:r>
        <w:rPr>
          <w:spacing w:val="-5"/>
        </w:rPr>
        <w:t>is</w:t>
      </w:r>
    </w:p>
    <w:p w14:paraId="7E0022D6" w14:textId="77777777" w:rsidR="009A58DB" w:rsidRDefault="00000000">
      <w:pPr>
        <w:pStyle w:val="BodyText"/>
        <w:spacing w:before="120" w:line="249" w:lineRule="auto"/>
        <w:ind w:right="367"/>
      </w:pPr>
      <w:r>
        <w:t>(CK*) x is a closed planar figure of uniform curvature iff , for some plane P and some point D on P, x is the area bounded by every point on P that is a fixed distance from D.</w:t>
      </w:r>
    </w:p>
    <w:p w14:paraId="7E0022D7" w14:textId="77777777" w:rsidR="009A58DB" w:rsidRDefault="00000000">
      <w:pPr>
        <w:pStyle w:val="BodyText"/>
        <w:spacing w:before="93"/>
      </w:pPr>
      <w:r>
        <w:t>Neither</w:t>
      </w:r>
      <w:r>
        <w:rPr>
          <w:spacing w:val="-3"/>
        </w:rPr>
        <w:t xml:space="preserve"> </w:t>
      </w:r>
      <w:r>
        <w:t>CK</w:t>
      </w:r>
      <w:r>
        <w:rPr>
          <w:spacing w:val="-3"/>
        </w:rPr>
        <w:t xml:space="preserve"> </w:t>
      </w:r>
      <w:r>
        <w:t>nor</w:t>
      </w:r>
      <w:r>
        <w:rPr>
          <w:spacing w:val="-3"/>
        </w:rPr>
        <w:t xml:space="preserve"> </w:t>
      </w:r>
      <w:r>
        <w:t>CK*</w:t>
      </w:r>
      <w:r>
        <w:rPr>
          <w:spacing w:val="-2"/>
        </w:rPr>
        <w:t xml:space="preserve"> </w:t>
      </w:r>
      <w:r>
        <w:t>is</w:t>
      </w:r>
      <w:r>
        <w:rPr>
          <w:spacing w:val="-3"/>
        </w:rPr>
        <w:t xml:space="preserve"> </w:t>
      </w:r>
      <w:r>
        <w:t>a</w:t>
      </w:r>
      <w:r>
        <w:rPr>
          <w:spacing w:val="-3"/>
        </w:rPr>
        <w:t xml:space="preserve"> </w:t>
      </w:r>
      <w:r>
        <w:t>formal</w:t>
      </w:r>
      <w:r>
        <w:rPr>
          <w:spacing w:val="-2"/>
        </w:rPr>
        <w:t xml:space="preserve"> truth.</w:t>
      </w:r>
    </w:p>
    <w:p w14:paraId="7E0022D8" w14:textId="77777777" w:rsidR="009A58DB" w:rsidRDefault="00000000">
      <w:pPr>
        <w:pStyle w:val="BodyText"/>
        <w:spacing w:before="15" w:line="249" w:lineRule="auto"/>
        <w:ind w:right="361" w:firstLine="360"/>
      </w:pPr>
      <w:r>
        <w:rPr>
          <w:i/>
        </w:rPr>
        <w:t>No</w:t>
      </w:r>
      <w:r>
        <w:rPr>
          <w:i/>
          <w:spacing w:val="-4"/>
        </w:rPr>
        <w:t xml:space="preserve"> </w:t>
      </w:r>
      <w:r>
        <w:t>conceptual</w:t>
      </w:r>
      <w:r>
        <w:rPr>
          <w:spacing w:val="-5"/>
        </w:rPr>
        <w:t xml:space="preserve"> </w:t>
      </w:r>
      <w:r>
        <w:t>analysis</w:t>
      </w:r>
      <w:r>
        <w:rPr>
          <w:spacing w:val="-5"/>
        </w:rPr>
        <w:t xml:space="preserve"> </w:t>
      </w:r>
      <w:r>
        <w:t>is</w:t>
      </w:r>
      <w:r>
        <w:rPr>
          <w:spacing w:val="-5"/>
        </w:rPr>
        <w:t xml:space="preserve"> </w:t>
      </w:r>
      <w:r>
        <w:t>formally</w:t>
      </w:r>
      <w:r>
        <w:rPr>
          <w:spacing w:val="-4"/>
        </w:rPr>
        <w:t xml:space="preserve"> </w:t>
      </w:r>
      <w:r>
        <w:t>true.</w:t>
      </w:r>
      <w:r>
        <w:rPr>
          <w:spacing w:val="-4"/>
        </w:rPr>
        <w:t xml:space="preserve"> </w:t>
      </w:r>
      <w:r>
        <w:t>Conceptual</w:t>
      </w:r>
      <w:r>
        <w:rPr>
          <w:spacing w:val="-5"/>
        </w:rPr>
        <w:t xml:space="preserve"> </w:t>
      </w:r>
      <w:r>
        <w:t>analyses</w:t>
      </w:r>
      <w:r>
        <w:rPr>
          <w:spacing w:val="-5"/>
        </w:rPr>
        <w:t xml:space="preserve"> </w:t>
      </w:r>
      <w:r>
        <w:t>are</w:t>
      </w:r>
      <w:r>
        <w:rPr>
          <w:spacing w:val="-5"/>
        </w:rPr>
        <w:t xml:space="preserve"> </w:t>
      </w:r>
      <w:r>
        <w:t>expressed by analytic statements, and analytic statements either: (i) coincide with informal, analytic universal generalizations or (ii) are instances of such generalizations. If (i), they’re obviously not formally true. But any statement that is an instance of some informal, analytic universal generalization is trivial, and is therefore not analytic. For example, % is a consequence of (A),</w:t>
      </w:r>
    </w:p>
    <w:p w14:paraId="7E0022D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DA" w14:textId="77777777" w:rsidR="009A58DB" w:rsidRDefault="00000000">
      <w:pPr>
        <w:pStyle w:val="BodyText"/>
        <w:spacing w:before="61"/>
        <w:jc w:val="left"/>
      </w:pPr>
      <w:r>
        <w:lastRenderedPageBreak/>
        <w:t>and</w:t>
      </w:r>
      <w:r>
        <w:rPr>
          <w:spacing w:val="-3"/>
        </w:rPr>
        <w:t xml:space="preserve"> </w:t>
      </w:r>
      <w:r>
        <w:t>%</w:t>
      </w:r>
      <w:r>
        <w:rPr>
          <w:spacing w:val="-2"/>
        </w:rPr>
        <w:t xml:space="preserve"> </w:t>
      </w:r>
      <w:r>
        <w:t>is</w:t>
      </w:r>
      <w:r>
        <w:rPr>
          <w:spacing w:val="-3"/>
        </w:rPr>
        <w:t xml:space="preserve"> </w:t>
      </w:r>
      <w:r>
        <w:t>clearly</w:t>
      </w:r>
      <w:r>
        <w:rPr>
          <w:spacing w:val="-2"/>
        </w:rPr>
        <w:t xml:space="preserve"> trivial.</w:t>
      </w:r>
    </w:p>
    <w:p w14:paraId="7E0022DB" w14:textId="77777777" w:rsidR="009A58DB" w:rsidRDefault="009A58DB">
      <w:pPr>
        <w:pStyle w:val="BodyText"/>
        <w:jc w:val="left"/>
        <w:sectPr w:rsidR="009A58DB">
          <w:pgSz w:w="12240" w:h="15840"/>
          <w:pgMar w:top="1380" w:right="1080" w:bottom="280" w:left="1080" w:header="720" w:footer="720" w:gutter="0"/>
          <w:cols w:space="720"/>
        </w:sectPr>
      </w:pPr>
    </w:p>
    <w:p w14:paraId="7E0022DC" w14:textId="77777777" w:rsidR="009A58DB" w:rsidRDefault="009A58DB">
      <w:pPr>
        <w:pStyle w:val="BodyText"/>
        <w:spacing w:before="4"/>
        <w:ind w:left="0"/>
        <w:jc w:val="left"/>
        <w:rPr>
          <w:sz w:val="17"/>
        </w:rPr>
      </w:pPr>
    </w:p>
    <w:p w14:paraId="7E0022DD"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2DE" w14:textId="77777777" w:rsidR="009A58DB" w:rsidRDefault="00000000">
      <w:pPr>
        <w:spacing w:line="503" w:lineRule="exact"/>
        <w:ind w:left="326" w:right="332"/>
        <w:jc w:val="center"/>
        <w:rPr>
          <w:rFonts w:ascii="Calibri Light"/>
          <w:sz w:val="42"/>
        </w:rPr>
      </w:pPr>
      <w:bookmarkStart w:id="481" w:name="_bookmark481"/>
      <w:bookmarkEnd w:id="481"/>
      <w:r>
        <w:rPr>
          <w:rFonts w:ascii="Calibri Light"/>
          <w:sz w:val="42"/>
        </w:rPr>
        <w:lastRenderedPageBreak/>
        <w:t>PART</w:t>
      </w:r>
      <w:r>
        <w:rPr>
          <w:rFonts w:ascii="Calibri Light"/>
          <w:spacing w:val="32"/>
          <w:sz w:val="42"/>
        </w:rPr>
        <w:t xml:space="preserve"> </w:t>
      </w:r>
      <w:r>
        <w:rPr>
          <w:rFonts w:ascii="Calibri Light"/>
          <w:spacing w:val="-10"/>
          <w:sz w:val="42"/>
        </w:rPr>
        <w:t>V</w:t>
      </w:r>
    </w:p>
    <w:p w14:paraId="7E0022DF" w14:textId="77777777" w:rsidR="009A58DB" w:rsidRDefault="009A58DB">
      <w:pPr>
        <w:pStyle w:val="BodyText"/>
        <w:spacing w:before="444"/>
        <w:ind w:left="0"/>
        <w:jc w:val="left"/>
        <w:rPr>
          <w:rFonts w:ascii="Calibri Light"/>
          <w:sz w:val="42"/>
        </w:rPr>
      </w:pPr>
    </w:p>
    <w:p w14:paraId="7E0022E0" w14:textId="77777777" w:rsidR="009A58DB" w:rsidRDefault="00000000">
      <w:pPr>
        <w:ind w:left="326" w:right="332"/>
        <w:jc w:val="center"/>
        <w:rPr>
          <w:rFonts w:ascii="Calibri Light"/>
          <w:sz w:val="42"/>
        </w:rPr>
      </w:pPr>
      <w:bookmarkStart w:id="482" w:name="_bookmark482"/>
      <w:bookmarkEnd w:id="482"/>
      <w:r>
        <w:rPr>
          <w:rFonts w:ascii="Calibri Light"/>
          <w:sz w:val="42"/>
        </w:rPr>
        <w:t>Ethics</w:t>
      </w:r>
      <w:r>
        <w:rPr>
          <w:rFonts w:ascii="Calibri Light"/>
          <w:spacing w:val="36"/>
          <w:sz w:val="42"/>
        </w:rPr>
        <w:t xml:space="preserve"> </w:t>
      </w:r>
      <w:r>
        <w:rPr>
          <w:rFonts w:ascii="Calibri Light"/>
          <w:sz w:val="42"/>
        </w:rPr>
        <w:t>and</w:t>
      </w:r>
      <w:r>
        <w:rPr>
          <w:rFonts w:ascii="Calibri Light"/>
          <w:spacing w:val="36"/>
          <w:sz w:val="42"/>
        </w:rPr>
        <w:t xml:space="preserve"> </w:t>
      </w:r>
      <w:r>
        <w:rPr>
          <w:rFonts w:ascii="Calibri Light"/>
          <w:spacing w:val="-2"/>
          <w:sz w:val="42"/>
        </w:rPr>
        <w:t>Religion</w:t>
      </w:r>
    </w:p>
    <w:p w14:paraId="7E0022E1" w14:textId="77777777" w:rsidR="009A58DB" w:rsidRDefault="009A58DB">
      <w:pPr>
        <w:jc w:val="center"/>
        <w:rPr>
          <w:rFonts w:ascii="Calibri Light"/>
          <w:sz w:val="42"/>
        </w:rPr>
        <w:sectPr w:rsidR="009A58DB">
          <w:pgSz w:w="12240" w:h="15840"/>
          <w:pgMar w:top="1680" w:right="1080" w:bottom="280" w:left="1080" w:header="720" w:footer="720" w:gutter="0"/>
          <w:cols w:space="720"/>
        </w:sectPr>
      </w:pPr>
    </w:p>
    <w:p w14:paraId="7E0022E2" w14:textId="77777777" w:rsidR="009A58DB" w:rsidRDefault="009A58DB">
      <w:pPr>
        <w:pStyle w:val="BodyText"/>
        <w:spacing w:before="4"/>
        <w:ind w:left="0"/>
        <w:jc w:val="left"/>
        <w:rPr>
          <w:rFonts w:ascii="Calibri Light"/>
          <w:sz w:val="16"/>
        </w:rPr>
      </w:pPr>
    </w:p>
    <w:p w14:paraId="7E0022E3" w14:textId="77777777" w:rsidR="009A58DB" w:rsidRDefault="009A58DB">
      <w:pPr>
        <w:pStyle w:val="BodyText"/>
        <w:jc w:val="left"/>
        <w:rPr>
          <w:rFonts w:ascii="Calibri Light"/>
          <w:sz w:val="16"/>
        </w:rPr>
        <w:sectPr w:rsidR="009A58DB">
          <w:pgSz w:w="12240" w:h="15840"/>
          <w:pgMar w:top="1820" w:right="1080" w:bottom="280" w:left="1080" w:header="720" w:footer="720" w:gutter="0"/>
          <w:cols w:space="720"/>
        </w:sectPr>
      </w:pPr>
    </w:p>
    <w:p w14:paraId="7E0022E4" w14:textId="77777777" w:rsidR="009A58DB" w:rsidRDefault="00000000">
      <w:pPr>
        <w:spacing w:line="503" w:lineRule="exact"/>
        <w:ind w:left="326" w:right="332"/>
        <w:jc w:val="center"/>
        <w:rPr>
          <w:rFonts w:ascii="Calibri Light"/>
          <w:sz w:val="42"/>
        </w:rPr>
      </w:pPr>
      <w:bookmarkStart w:id="483" w:name="_bookmark483"/>
      <w:bookmarkEnd w:id="483"/>
      <w:r>
        <w:rPr>
          <w:rFonts w:ascii="Calibri Light"/>
          <w:sz w:val="42"/>
        </w:rPr>
        <w:lastRenderedPageBreak/>
        <w:t>Chapter</w:t>
      </w:r>
      <w:r>
        <w:rPr>
          <w:rFonts w:ascii="Calibri Light"/>
          <w:spacing w:val="56"/>
          <w:sz w:val="42"/>
        </w:rPr>
        <w:t xml:space="preserve"> </w:t>
      </w:r>
      <w:r>
        <w:rPr>
          <w:rFonts w:ascii="Calibri Light"/>
          <w:spacing w:val="-5"/>
          <w:sz w:val="42"/>
        </w:rPr>
        <w:t>19</w:t>
      </w:r>
    </w:p>
    <w:p w14:paraId="7E0022E5" w14:textId="77777777" w:rsidR="009A58DB" w:rsidRDefault="00000000">
      <w:pPr>
        <w:spacing w:before="222"/>
        <w:ind w:left="326" w:right="332"/>
        <w:jc w:val="center"/>
        <w:rPr>
          <w:rFonts w:ascii="Calibri Light"/>
          <w:sz w:val="42"/>
        </w:rPr>
      </w:pPr>
      <w:bookmarkStart w:id="484" w:name="_bookmark484"/>
      <w:bookmarkEnd w:id="484"/>
      <w:r>
        <w:rPr>
          <w:rFonts w:ascii="Calibri Light"/>
          <w:sz w:val="42"/>
        </w:rPr>
        <w:t>Some</w:t>
      </w:r>
      <w:r>
        <w:rPr>
          <w:rFonts w:ascii="Calibri Light"/>
          <w:spacing w:val="54"/>
          <w:sz w:val="42"/>
        </w:rPr>
        <w:t xml:space="preserve"> </w:t>
      </w:r>
      <w:r>
        <w:rPr>
          <w:rFonts w:ascii="Calibri Light"/>
          <w:sz w:val="42"/>
        </w:rPr>
        <w:t>Fundamental</w:t>
      </w:r>
      <w:r>
        <w:rPr>
          <w:rFonts w:ascii="Calibri Light"/>
          <w:spacing w:val="56"/>
          <w:sz w:val="42"/>
        </w:rPr>
        <w:t xml:space="preserve"> </w:t>
      </w:r>
      <w:r>
        <w:rPr>
          <w:rFonts w:ascii="Calibri Light"/>
          <w:sz w:val="42"/>
        </w:rPr>
        <w:t>Principles</w:t>
      </w:r>
      <w:r>
        <w:rPr>
          <w:rFonts w:ascii="Calibri Light"/>
          <w:spacing w:val="56"/>
          <w:sz w:val="42"/>
        </w:rPr>
        <w:t xml:space="preserve"> </w:t>
      </w:r>
      <w:r>
        <w:rPr>
          <w:rFonts w:ascii="Calibri Light"/>
          <w:sz w:val="42"/>
        </w:rPr>
        <w:t>Relating</w:t>
      </w:r>
      <w:r>
        <w:rPr>
          <w:rFonts w:ascii="Calibri Light"/>
          <w:spacing w:val="56"/>
          <w:sz w:val="42"/>
        </w:rPr>
        <w:t xml:space="preserve"> </w:t>
      </w:r>
      <w:r>
        <w:rPr>
          <w:rFonts w:ascii="Calibri Light"/>
          <w:sz w:val="42"/>
        </w:rPr>
        <w:t>to</w:t>
      </w:r>
      <w:r>
        <w:rPr>
          <w:rFonts w:ascii="Calibri Light"/>
          <w:spacing w:val="56"/>
          <w:sz w:val="42"/>
        </w:rPr>
        <w:t xml:space="preserve"> </w:t>
      </w:r>
      <w:r>
        <w:rPr>
          <w:rFonts w:ascii="Calibri Light"/>
          <w:spacing w:val="-2"/>
          <w:sz w:val="42"/>
        </w:rPr>
        <w:t>Ethics</w:t>
      </w:r>
    </w:p>
    <w:p w14:paraId="7E0022E6" w14:textId="77777777" w:rsidR="009A58DB" w:rsidRDefault="00000000">
      <w:pPr>
        <w:pStyle w:val="Heading1"/>
        <w:numPr>
          <w:ilvl w:val="0"/>
          <w:numId w:val="66"/>
        </w:numPr>
        <w:tabs>
          <w:tab w:val="left" w:pos="1409"/>
        </w:tabs>
        <w:spacing w:before="185"/>
        <w:ind w:left="1409" w:hanging="1049"/>
      </w:pPr>
      <w:r>
        <w:t>What</w:t>
      </w:r>
      <w:r>
        <w:rPr>
          <w:spacing w:val="-2"/>
        </w:rPr>
        <w:t xml:space="preserve"> </w:t>
      </w:r>
      <w:r>
        <w:t>is</w:t>
      </w:r>
      <w:r>
        <w:rPr>
          <w:spacing w:val="-2"/>
        </w:rPr>
        <w:t xml:space="preserve"> ethics?</w:t>
      </w:r>
    </w:p>
    <w:p w14:paraId="7E0022E7" w14:textId="77777777" w:rsidR="009A58DB" w:rsidRDefault="00000000">
      <w:pPr>
        <w:pStyle w:val="BodyText"/>
        <w:spacing w:before="139" w:line="249" w:lineRule="auto"/>
        <w:ind w:right="359"/>
      </w:pPr>
      <w:r>
        <w:t xml:space="preserve">There are two kinds of statements: </w:t>
      </w:r>
      <w:r>
        <w:rPr>
          <w:b/>
          <w:i/>
        </w:rPr>
        <w:t xml:space="preserve">normative </w:t>
      </w:r>
      <w:r>
        <w:t xml:space="preserve">and </w:t>
      </w:r>
      <w:r>
        <w:rPr>
          <w:b/>
          <w:i/>
        </w:rPr>
        <w:t xml:space="preserve">descriptive. </w:t>
      </w:r>
      <w:r>
        <w:t>A descriptive statement is one to the effect that such and such is the case. Descriptive statements don’t express value-judgments. Examples of such statements are “Smith is over 6-feet tall” and “grass is green.”</w:t>
      </w:r>
    </w:p>
    <w:p w14:paraId="7E0022E8" w14:textId="77777777" w:rsidR="009A58DB" w:rsidRDefault="00000000">
      <w:pPr>
        <w:pStyle w:val="BodyText"/>
        <w:spacing w:before="5" w:line="249" w:lineRule="auto"/>
        <w:ind w:right="363" w:firstLine="360"/>
      </w:pPr>
      <w:r>
        <w:t xml:space="preserve">A normative statement is one that </w:t>
      </w:r>
      <w:r>
        <w:rPr>
          <w:i/>
        </w:rPr>
        <w:t xml:space="preserve">does </w:t>
      </w:r>
      <w:r>
        <w:t xml:space="preserve">express a value-judgment; such a statement is one to the effect that such and such falls either short of, or satisfies, or exceeds some </w:t>
      </w:r>
      <w:r>
        <w:rPr>
          <w:i/>
        </w:rPr>
        <w:t xml:space="preserve">standard </w:t>
      </w:r>
      <w:r>
        <w:t xml:space="preserve">or </w:t>
      </w:r>
      <w:r>
        <w:rPr>
          <w:i/>
        </w:rPr>
        <w:t xml:space="preserve">norm. </w:t>
      </w:r>
      <w:r>
        <w:t xml:space="preserve">Examples are “it was evil of Hitler to commit genocide,” “it is wrong to steal,” “it is commendable to give money to charity,” “Smith was acting valiantly in saving the drowning </w:t>
      </w:r>
      <w:r>
        <w:rPr>
          <w:spacing w:val="-2"/>
        </w:rPr>
        <w:t>toddler.”</w:t>
      </w:r>
    </w:p>
    <w:p w14:paraId="7E0022E9" w14:textId="77777777" w:rsidR="009A58DB" w:rsidRDefault="00000000">
      <w:pPr>
        <w:pStyle w:val="BodyText"/>
        <w:spacing w:before="7" w:line="249" w:lineRule="auto"/>
        <w:ind w:right="360" w:firstLine="360"/>
      </w:pPr>
      <w:r>
        <w:t xml:space="preserve">A normative category is one that occurs only in normative judgments. Examples of such categories are </w:t>
      </w:r>
      <w:r>
        <w:rPr>
          <w:i/>
        </w:rPr>
        <w:t xml:space="preserve">good, bad, just, unjust, valiant, noble, wicked, depraved, commendable, </w:t>
      </w:r>
      <w:r>
        <w:t xml:space="preserve">and </w:t>
      </w:r>
      <w:r>
        <w:rPr>
          <w:i/>
        </w:rPr>
        <w:t xml:space="preserve">condemnable. </w:t>
      </w:r>
      <w:r>
        <w:t>Ethics is the discipline that attempts to clarify the structures of these concepts—that attempts to state as clearly as possible the conditions that things must satisfy to fall under them. So ethics attempts to make explicit exactly what conditions an act must satisfy to be praiseworthy or that an institution must satisfy to be just.</w:t>
      </w:r>
    </w:p>
    <w:p w14:paraId="7E0022EA" w14:textId="77777777" w:rsidR="009A58DB" w:rsidRDefault="00000000">
      <w:pPr>
        <w:pStyle w:val="Heading1"/>
        <w:numPr>
          <w:ilvl w:val="0"/>
          <w:numId w:val="66"/>
        </w:numPr>
        <w:tabs>
          <w:tab w:val="left" w:pos="1867"/>
        </w:tabs>
        <w:spacing w:before="212" w:line="244" w:lineRule="auto"/>
        <w:ind w:left="360" w:right="369" w:firstLine="0"/>
      </w:pPr>
      <w:r>
        <w:t>Two</w:t>
      </w:r>
      <w:r>
        <w:rPr>
          <w:spacing w:val="40"/>
        </w:rPr>
        <w:t xml:space="preserve"> </w:t>
      </w:r>
      <w:r>
        <w:t>kinds</w:t>
      </w:r>
      <w:r>
        <w:rPr>
          <w:spacing w:val="40"/>
        </w:rPr>
        <w:t xml:space="preserve"> </w:t>
      </w:r>
      <w:r>
        <w:t>of</w:t>
      </w:r>
      <w:r>
        <w:rPr>
          <w:spacing w:val="40"/>
        </w:rPr>
        <w:t xml:space="preserve"> </w:t>
      </w:r>
      <w:r>
        <w:t>goodness:</w:t>
      </w:r>
      <w:r>
        <w:rPr>
          <w:spacing w:val="40"/>
        </w:rPr>
        <w:t xml:space="preserve"> </w:t>
      </w:r>
      <w:r>
        <w:t>instrumental</w:t>
      </w:r>
      <w:r>
        <w:rPr>
          <w:spacing w:val="40"/>
        </w:rPr>
        <w:t xml:space="preserve"> </w:t>
      </w:r>
      <w:r>
        <w:t xml:space="preserve">and </w:t>
      </w:r>
      <w:r>
        <w:rPr>
          <w:spacing w:val="-2"/>
        </w:rPr>
        <w:t>intrinsic</w:t>
      </w:r>
    </w:p>
    <w:p w14:paraId="7E0022EB" w14:textId="77777777" w:rsidR="009A58DB" w:rsidRDefault="00000000">
      <w:pPr>
        <w:pStyle w:val="BodyText"/>
        <w:spacing w:before="132" w:line="249" w:lineRule="auto"/>
        <w:ind w:right="369"/>
      </w:pPr>
      <w:r>
        <w:t>The</w:t>
      </w:r>
      <w:r>
        <w:rPr>
          <w:spacing w:val="-1"/>
        </w:rPr>
        <w:t xml:space="preserve"> </w:t>
      </w:r>
      <w:r>
        <w:t>most</w:t>
      </w:r>
      <w:r>
        <w:rPr>
          <w:spacing w:val="-1"/>
        </w:rPr>
        <w:t xml:space="preserve"> </w:t>
      </w:r>
      <w:r>
        <w:t>important</w:t>
      </w:r>
      <w:r>
        <w:rPr>
          <w:spacing w:val="-1"/>
        </w:rPr>
        <w:t xml:space="preserve"> </w:t>
      </w:r>
      <w:r>
        <w:t>normative</w:t>
      </w:r>
      <w:r>
        <w:rPr>
          <w:spacing w:val="-1"/>
        </w:rPr>
        <w:t xml:space="preserve"> </w:t>
      </w:r>
      <w:r>
        <w:t>terms</w:t>
      </w:r>
      <w:r>
        <w:rPr>
          <w:spacing w:val="-1"/>
        </w:rPr>
        <w:t xml:space="preserve"> </w:t>
      </w:r>
      <w:r>
        <w:t>are</w:t>
      </w:r>
      <w:r>
        <w:rPr>
          <w:spacing w:val="-1"/>
        </w:rPr>
        <w:t xml:space="preserve"> </w:t>
      </w:r>
      <w:r>
        <w:t>“good”</w:t>
      </w:r>
      <w:r>
        <w:rPr>
          <w:spacing w:val="-1"/>
        </w:rPr>
        <w:t xml:space="preserve"> </w:t>
      </w:r>
      <w:r>
        <w:t>and</w:t>
      </w:r>
      <w:r>
        <w:rPr>
          <w:spacing w:val="-1"/>
        </w:rPr>
        <w:t xml:space="preserve"> </w:t>
      </w:r>
      <w:r>
        <w:t>“bad.”</w:t>
      </w:r>
      <w:r>
        <w:rPr>
          <w:spacing w:val="-1"/>
        </w:rPr>
        <w:t xml:space="preserve"> </w:t>
      </w:r>
      <w:r>
        <w:t>But</w:t>
      </w:r>
      <w:r>
        <w:rPr>
          <w:spacing w:val="-1"/>
        </w:rPr>
        <w:t xml:space="preserve"> </w:t>
      </w:r>
      <w:r>
        <w:t>here</w:t>
      </w:r>
      <w:r>
        <w:rPr>
          <w:spacing w:val="-1"/>
        </w:rPr>
        <w:t xml:space="preserve"> </w:t>
      </w:r>
      <w:r>
        <w:t>we</w:t>
      </w:r>
      <w:r>
        <w:rPr>
          <w:spacing w:val="-1"/>
        </w:rPr>
        <w:t xml:space="preserve"> </w:t>
      </w:r>
      <w:r>
        <w:t xml:space="preserve">must be careful. For each of these terms is </w:t>
      </w:r>
      <w:r>
        <w:rPr>
          <w:i/>
        </w:rPr>
        <w:t>ambiguous</w:t>
      </w:r>
      <w:r>
        <w:t>—that</w:t>
      </w:r>
      <w:r>
        <w:rPr>
          <w:spacing w:val="-1"/>
        </w:rPr>
        <w:t xml:space="preserve"> </w:t>
      </w:r>
      <w:r>
        <w:t>is, each has more</w:t>
      </w:r>
      <w:r>
        <w:rPr>
          <w:spacing w:val="-1"/>
        </w:rPr>
        <w:t xml:space="preserve"> </w:t>
      </w:r>
      <w:r>
        <w:t xml:space="preserve">than one meaning, and each has </w:t>
      </w:r>
      <w:r>
        <w:rPr>
          <w:i/>
        </w:rPr>
        <w:t xml:space="preserve">both </w:t>
      </w:r>
      <w:r>
        <w:t xml:space="preserve">normative </w:t>
      </w:r>
      <w:r>
        <w:rPr>
          <w:i/>
        </w:rPr>
        <w:t xml:space="preserve">and </w:t>
      </w:r>
      <w:r>
        <w:t>non-normative (descriptive) meanings. Let us start with the word “good.”</w:t>
      </w:r>
    </w:p>
    <w:p w14:paraId="7E0022EC" w14:textId="77777777" w:rsidR="009A58DB" w:rsidRDefault="00000000">
      <w:pPr>
        <w:pStyle w:val="BodyText"/>
        <w:spacing w:before="5" w:line="249" w:lineRule="auto"/>
        <w:ind w:right="361" w:firstLine="360"/>
      </w:pPr>
      <w:r>
        <w:t>There</w:t>
      </w:r>
      <w:r>
        <w:rPr>
          <w:spacing w:val="-4"/>
        </w:rPr>
        <w:t xml:space="preserve"> </w:t>
      </w:r>
      <w:r>
        <w:t>are</w:t>
      </w:r>
      <w:r>
        <w:rPr>
          <w:spacing w:val="-4"/>
        </w:rPr>
        <w:t xml:space="preserve"> </w:t>
      </w:r>
      <w:r>
        <w:t>two</w:t>
      </w:r>
      <w:r>
        <w:rPr>
          <w:spacing w:val="-4"/>
        </w:rPr>
        <w:t xml:space="preserve"> </w:t>
      </w:r>
      <w:r>
        <w:t>kinds</w:t>
      </w:r>
      <w:r>
        <w:rPr>
          <w:spacing w:val="-4"/>
        </w:rPr>
        <w:t xml:space="preserve"> </w:t>
      </w:r>
      <w:r>
        <w:t>of</w:t>
      </w:r>
      <w:r>
        <w:rPr>
          <w:spacing w:val="-4"/>
        </w:rPr>
        <w:t xml:space="preserve"> </w:t>
      </w:r>
      <w:r>
        <w:t>goodness:</w:t>
      </w:r>
      <w:r>
        <w:rPr>
          <w:spacing w:val="-4"/>
        </w:rPr>
        <w:t xml:space="preserve"> </w:t>
      </w:r>
      <w:r>
        <w:rPr>
          <w:i/>
        </w:rPr>
        <w:t>instrumental</w:t>
      </w:r>
      <w:r>
        <w:rPr>
          <w:i/>
          <w:spacing w:val="-4"/>
        </w:rPr>
        <w:t xml:space="preserve"> </w:t>
      </w:r>
      <w:r>
        <w:t>good</w:t>
      </w:r>
      <w:r>
        <w:rPr>
          <w:spacing w:val="-4"/>
        </w:rPr>
        <w:t xml:space="preserve"> </w:t>
      </w:r>
      <w:r>
        <w:t>and</w:t>
      </w:r>
      <w:r>
        <w:rPr>
          <w:spacing w:val="-4"/>
        </w:rPr>
        <w:t xml:space="preserve"> </w:t>
      </w:r>
      <w:r>
        <w:rPr>
          <w:i/>
        </w:rPr>
        <w:t>intrinsic</w:t>
      </w:r>
      <w:r>
        <w:rPr>
          <w:i/>
          <w:spacing w:val="-4"/>
        </w:rPr>
        <w:t xml:space="preserve"> </w:t>
      </w:r>
      <w:r>
        <w:t>good.</w:t>
      </w:r>
      <w:r>
        <w:rPr>
          <w:spacing w:val="-4"/>
        </w:rPr>
        <w:t xml:space="preserve"> </w:t>
      </w:r>
      <w:r>
        <w:t>To say that an act is instrumentally good is to say that it has consequences that are</w:t>
      </w:r>
      <w:r>
        <w:rPr>
          <w:spacing w:val="-1"/>
        </w:rPr>
        <w:t xml:space="preserve"> </w:t>
      </w:r>
      <w:r>
        <w:t>desired by, or</w:t>
      </w:r>
      <w:r>
        <w:rPr>
          <w:spacing w:val="-1"/>
        </w:rPr>
        <w:t xml:space="preserve"> </w:t>
      </w:r>
      <w:r>
        <w:t>to</w:t>
      </w:r>
      <w:r>
        <w:rPr>
          <w:spacing w:val="-1"/>
        </w:rPr>
        <w:t xml:space="preserve"> </w:t>
      </w:r>
      <w:r>
        <w:t>the advantage of, the agent. (The</w:t>
      </w:r>
      <w:r>
        <w:rPr>
          <w:spacing w:val="-1"/>
        </w:rPr>
        <w:t xml:space="preserve"> </w:t>
      </w:r>
      <w:r>
        <w:t>agent</w:t>
      </w:r>
      <w:r>
        <w:rPr>
          <w:spacing w:val="-1"/>
        </w:rPr>
        <w:t xml:space="preserve"> </w:t>
      </w:r>
      <w:r>
        <w:t>is the person who commits the act.) So if my sole objective is to make money, it is instrumentally</w:t>
      </w:r>
      <w:r>
        <w:rPr>
          <w:spacing w:val="27"/>
        </w:rPr>
        <w:t xml:space="preserve"> </w:t>
      </w:r>
      <w:r>
        <w:t>good,</w:t>
      </w:r>
      <w:r>
        <w:rPr>
          <w:spacing w:val="28"/>
        </w:rPr>
        <w:t xml:space="preserve"> </w:t>
      </w:r>
      <w:r>
        <w:t>at</w:t>
      </w:r>
      <w:r>
        <w:rPr>
          <w:spacing w:val="28"/>
        </w:rPr>
        <w:t xml:space="preserve"> </w:t>
      </w:r>
      <w:r>
        <w:t>least</w:t>
      </w:r>
      <w:r>
        <w:rPr>
          <w:spacing w:val="28"/>
        </w:rPr>
        <w:t xml:space="preserve"> </w:t>
      </w:r>
      <w:r>
        <w:t>as</w:t>
      </w:r>
      <w:r>
        <w:rPr>
          <w:spacing w:val="28"/>
        </w:rPr>
        <w:t xml:space="preserve"> </w:t>
      </w:r>
      <w:r>
        <w:t>far</w:t>
      </w:r>
      <w:r>
        <w:rPr>
          <w:spacing w:val="28"/>
        </w:rPr>
        <w:t xml:space="preserve"> </w:t>
      </w:r>
      <w:r>
        <w:t>as</w:t>
      </w:r>
      <w:r>
        <w:rPr>
          <w:spacing w:val="28"/>
        </w:rPr>
        <w:t xml:space="preserve"> </w:t>
      </w:r>
      <w:r>
        <w:t>my</w:t>
      </w:r>
      <w:r>
        <w:rPr>
          <w:spacing w:val="28"/>
        </w:rPr>
        <w:t xml:space="preserve"> </w:t>
      </w:r>
      <w:r>
        <w:t>interests</w:t>
      </w:r>
      <w:r>
        <w:rPr>
          <w:spacing w:val="28"/>
        </w:rPr>
        <w:t xml:space="preserve"> </w:t>
      </w:r>
      <w:r>
        <w:t>are</w:t>
      </w:r>
      <w:r>
        <w:rPr>
          <w:spacing w:val="28"/>
        </w:rPr>
        <w:t xml:space="preserve"> </w:t>
      </w:r>
      <w:r>
        <w:t>concerned,</w:t>
      </w:r>
      <w:r>
        <w:rPr>
          <w:spacing w:val="28"/>
        </w:rPr>
        <w:t xml:space="preserve"> </w:t>
      </w:r>
      <w:r>
        <w:t>to</w:t>
      </w:r>
      <w:r>
        <w:rPr>
          <w:spacing w:val="28"/>
        </w:rPr>
        <w:t xml:space="preserve"> </w:t>
      </w:r>
      <w:r>
        <w:t>steal</w:t>
      </w:r>
      <w:r>
        <w:rPr>
          <w:spacing w:val="28"/>
        </w:rPr>
        <w:t xml:space="preserve"> </w:t>
      </w:r>
      <w:r>
        <w:t>a</w:t>
      </w:r>
    </w:p>
    <w:p w14:paraId="7E0022ED"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2EE" w14:textId="77777777" w:rsidR="009A58DB" w:rsidRDefault="00000000">
      <w:pPr>
        <w:pStyle w:val="BodyText"/>
        <w:spacing w:before="70" w:line="249" w:lineRule="auto"/>
        <w:ind w:right="358"/>
      </w:pPr>
      <w:r>
        <w:lastRenderedPageBreak/>
        <w:t xml:space="preserve">million dollars from a local orphanage (provided that I don’t get caught or otherwise get into trouble for doing so). So stealing money from the orphanage is </w:t>
      </w:r>
      <w:r>
        <w:rPr>
          <w:i/>
        </w:rPr>
        <w:t xml:space="preserve">instrumentally </w:t>
      </w:r>
      <w:r>
        <w:t xml:space="preserve">good. That is to say, it is </w:t>
      </w:r>
      <w:r>
        <w:rPr>
          <w:i/>
        </w:rPr>
        <w:t xml:space="preserve">useful: </w:t>
      </w:r>
      <w:r>
        <w:t xml:space="preserve">it has consequences that are to my advantage; it is in my </w:t>
      </w:r>
      <w:r>
        <w:rPr>
          <w:i/>
        </w:rPr>
        <w:t xml:space="preserve">practical </w:t>
      </w:r>
      <w:r>
        <w:t>interest to act in that way.</w:t>
      </w:r>
    </w:p>
    <w:p w14:paraId="7E0022EF" w14:textId="77777777" w:rsidR="009A58DB" w:rsidRDefault="00000000">
      <w:pPr>
        <w:pStyle w:val="BodyText"/>
        <w:spacing w:before="1" w:line="249" w:lineRule="auto"/>
        <w:ind w:right="364" w:firstLine="360"/>
      </w:pPr>
      <w:r>
        <w:t xml:space="preserve">At the same time, of course, stealing money from a charity is not </w:t>
      </w:r>
      <w:r>
        <w:rPr>
          <w:i/>
        </w:rPr>
        <w:t xml:space="preserve">ethically </w:t>
      </w:r>
      <w:r>
        <w:t>good.</w:t>
      </w:r>
      <w:r>
        <w:rPr>
          <w:spacing w:val="-2"/>
        </w:rPr>
        <w:t xml:space="preserve"> </w:t>
      </w:r>
      <w:r>
        <w:t>It</w:t>
      </w:r>
      <w:r>
        <w:rPr>
          <w:spacing w:val="-3"/>
        </w:rPr>
        <w:t xml:space="preserve"> </w:t>
      </w:r>
      <w:r>
        <w:t>is</w:t>
      </w:r>
      <w:r>
        <w:rPr>
          <w:spacing w:val="-3"/>
        </w:rPr>
        <w:t xml:space="preserve"> </w:t>
      </w:r>
      <w:r>
        <w:t>good</w:t>
      </w:r>
      <w:r>
        <w:rPr>
          <w:spacing w:val="-2"/>
        </w:rPr>
        <w:t xml:space="preserve"> </w:t>
      </w:r>
      <w:r>
        <w:rPr>
          <w:i/>
        </w:rPr>
        <w:t>only</w:t>
      </w:r>
      <w:r>
        <w:rPr>
          <w:i/>
          <w:spacing w:val="-3"/>
        </w:rPr>
        <w:t xml:space="preserve"> </w:t>
      </w:r>
      <w:r>
        <w:t>in</w:t>
      </w:r>
      <w:r>
        <w:rPr>
          <w:spacing w:val="-2"/>
        </w:rPr>
        <w:t xml:space="preserve"> </w:t>
      </w:r>
      <w:r>
        <w:t>a</w:t>
      </w:r>
      <w:r>
        <w:rPr>
          <w:spacing w:val="-3"/>
        </w:rPr>
        <w:t xml:space="preserve"> </w:t>
      </w:r>
      <w:r>
        <w:t>practical,</w:t>
      </w:r>
      <w:r>
        <w:rPr>
          <w:spacing w:val="-2"/>
        </w:rPr>
        <w:t xml:space="preserve"> </w:t>
      </w:r>
      <w:r>
        <w:t>instrumental</w:t>
      </w:r>
      <w:r>
        <w:rPr>
          <w:spacing w:val="-3"/>
        </w:rPr>
        <w:t xml:space="preserve"> </w:t>
      </w:r>
      <w:r>
        <w:t>sense.</w:t>
      </w:r>
      <w:r>
        <w:rPr>
          <w:spacing w:val="-2"/>
        </w:rPr>
        <w:t xml:space="preserve"> </w:t>
      </w:r>
      <w:r>
        <w:t>It</w:t>
      </w:r>
      <w:r>
        <w:rPr>
          <w:spacing w:val="-3"/>
        </w:rPr>
        <w:t xml:space="preserve"> </w:t>
      </w:r>
      <w:r>
        <w:t>is</w:t>
      </w:r>
      <w:r>
        <w:rPr>
          <w:spacing w:val="-3"/>
        </w:rPr>
        <w:t xml:space="preserve"> </w:t>
      </w:r>
      <w:r>
        <w:t>not</w:t>
      </w:r>
      <w:r>
        <w:rPr>
          <w:spacing w:val="-3"/>
        </w:rPr>
        <w:t xml:space="preserve"> </w:t>
      </w:r>
      <w:r>
        <w:t>good</w:t>
      </w:r>
      <w:r>
        <w:rPr>
          <w:spacing w:val="-2"/>
        </w:rPr>
        <w:t xml:space="preserve"> </w:t>
      </w:r>
      <w:r>
        <w:t>in</w:t>
      </w:r>
      <w:r>
        <w:rPr>
          <w:spacing w:val="-2"/>
        </w:rPr>
        <w:t xml:space="preserve"> </w:t>
      </w:r>
      <w:r>
        <w:t>a</w:t>
      </w:r>
      <w:r>
        <w:rPr>
          <w:spacing w:val="-3"/>
        </w:rPr>
        <w:t xml:space="preserve"> </w:t>
      </w:r>
      <w:r>
        <w:rPr>
          <w:i/>
        </w:rPr>
        <w:t>non</w:t>
      </w:r>
      <w:r>
        <w:t>-instrumental sense.</w:t>
      </w:r>
    </w:p>
    <w:p w14:paraId="7E0022F0" w14:textId="77777777" w:rsidR="009A58DB" w:rsidRDefault="00000000">
      <w:pPr>
        <w:pStyle w:val="BodyText"/>
        <w:spacing w:before="3" w:line="249" w:lineRule="auto"/>
        <w:ind w:right="358" w:firstLine="360"/>
        <w:rPr>
          <w:i/>
        </w:rPr>
      </w:pPr>
      <w:r>
        <w:t xml:space="preserve">If something is good in a non-instrumental sense, it is </w:t>
      </w:r>
      <w:r>
        <w:rPr>
          <w:i/>
        </w:rPr>
        <w:t xml:space="preserve">intrinsically </w:t>
      </w:r>
      <w:r>
        <w:t xml:space="preserve">good. Ethics is concerned with </w:t>
      </w:r>
      <w:r>
        <w:rPr>
          <w:i/>
        </w:rPr>
        <w:t xml:space="preserve">intrinsic </w:t>
      </w:r>
      <w:r>
        <w:t>goodness. It attempts to answer the</w:t>
      </w:r>
      <w:r>
        <w:rPr>
          <w:spacing w:val="40"/>
        </w:rPr>
        <w:t xml:space="preserve"> </w:t>
      </w:r>
      <w:r>
        <w:t xml:space="preserve">question “which things are </w:t>
      </w:r>
      <w:r>
        <w:rPr>
          <w:i/>
        </w:rPr>
        <w:t xml:space="preserve">intrinsically </w:t>
      </w:r>
      <w:r>
        <w:t>good?</w:t>
      </w:r>
      <w:bookmarkStart w:id="485" w:name="_bookmark485"/>
      <w:bookmarkEnd w:id="485"/>
      <w:r>
        <w:t>”</w:t>
      </w:r>
      <w:r>
        <w:rPr>
          <w:color w:val="0562C1"/>
          <w:position w:val="21"/>
          <w:u w:val="single" w:color="0562C1"/>
        </w:rPr>
        <w:t>[361]</w:t>
      </w:r>
      <w:r>
        <w:rPr>
          <w:color w:val="0562C1"/>
          <w:position w:val="21"/>
        </w:rPr>
        <w:t xml:space="preserve"> </w:t>
      </w:r>
      <w:r>
        <w:t xml:space="preserve">Ethics is not interested in instrumental (i.e., strategic or pragmatic) goodness. Ethics is not interested in identifying ways that thieves can steal more or ways that crooked politicians can acquire more power. Ethics is interested in identifying those courses of action, and those states of affairs, that are good </w:t>
      </w:r>
      <w:r>
        <w:rPr>
          <w:i/>
        </w:rPr>
        <w:t>even if their consequences are disregarded.</w:t>
      </w:r>
    </w:p>
    <w:p w14:paraId="7E0022F1" w14:textId="77777777" w:rsidR="009A58DB" w:rsidRDefault="00000000">
      <w:pPr>
        <w:pStyle w:val="BodyText"/>
        <w:spacing w:before="10" w:line="249" w:lineRule="auto"/>
        <w:ind w:right="358" w:firstLine="360"/>
      </w:pPr>
      <w:r>
        <w:t xml:space="preserve">There are many views as to which things have intrinsic value. But here are </w:t>
      </w:r>
      <w:r>
        <w:rPr>
          <w:spacing w:val="-2"/>
        </w:rPr>
        <w:t>some</w:t>
      </w:r>
      <w:r>
        <w:rPr>
          <w:spacing w:val="-14"/>
        </w:rPr>
        <w:t xml:space="preserve"> </w:t>
      </w:r>
      <w:r>
        <w:rPr>
          <w:spacing w:val="-2"/>
        </w:rPr>
        <w:t>things</w:t>
      </w:r>
      <w:r>
        <w:rPr>
          <w:spacing w:val="-14"/>
        </w:rPr>
        <w:t xml:space="preserve"> </w:t>
      </w:r>
      <w:r>
        <w:rPr>
          <w:spacing w:val="-2"/>
        </w:rPr>
        <w:t>that</w:t>
      </w:r>
      <w:r>
        <w:rPr>
          <w:spacing w:val="-14"/>
        </w:rPr>
        <w:t xml:space="preserve"> </w:t>
      </w:r>
      <w:r>
        <w:rPr>
          <w:spacing w:val="-2"/>
        </w:rPr>
        <w:t>many</w:t>
      </w:r>
      <w:r>
        <w:rPr>
          <w:spacing w:val="-14"/>
        </w:rPr>
        <w:t xml:space="preserve"> </w:t>
      </w:r>
      <w:r>
        <w:rPr>
          <w:spacing w:val="-2"/>
        </w:rPr>
        <w:t>ethicists,</w:t>
      </w:r>
      <w:r>
        <w:rPr>
          <w:spacing w:val="-14"/>
        </w:rPr>
        <w:t xml:space="preserve"> </w:t>
      </w:r>
      <w:r>
        <w:rPr>
          <w:spacing w:val="-2"/>
        </w:rPr>
        <w:t>though</w:t>
      </w:r>
      <w:r>
        <w:rPr>
          <w:spacing w:val="-14"/>
        </w:rPr>
        <w:t xml:space="preserve"> </w:t>
      </w:r>
      <w:r>
        <w:rPr>
          <w:spacing w:val="-2"/>
        </w:rPr>
        <w:t>not</w:t>
      </w:r>
      <w:r>
        <w:rPr>
          <w:spacing w:val="-14"/>
        </w:rPr>
        <w:t xml:space="preserve"> </w:t>
      </w:r>
      <w:r>
        <w:rPr>
          <w:spacing w:val="-2"/>
        </w:rPr>
        <w:t>all,</w:t>
      </w:r>
      <w:r>
        <w:rPr>
          <w:spacing w:val="-14"/>
        </w:rPr>
        <w:t xml:space="preserve"> </w:t>
      </w:r>
      <w:r>
        <w:rPr>
          <w:spacing w:val="-2"/>
        </w:rPr>
        <w:t>believe</w:t>
      </w:r>
      <w:r>
        <w:rPr>
          <w:spacing w:val="-14"/>
        </w:rPr>
        <w:t xml:space="preserve"> </w:t>
      </w:r>
      <w:r>
        <w:rPr>
          <w:spacing w:val="-2"/>
        </w:rPr>
        <w:t>to</w:t>
      </w:r>
      <w:r>
        <w:rPr>
          <w:spacing w:val="-14"/>
        </w:rPr>
        <w:t xml:space="preserve"> </w:t>
      </w:r>
      <w:r>
        <w:rPr>
          <w:spacing w:val="-2"/>
        </w:rPr>
        <w:t>fall</w:t>
      </w:r>
      <w:r>
        <w:rPr>
          <w:spacing w:val="-14"/>
        </w:rPr>
        <w:t xml:space="preserve"> </w:t>
      </w:r>
      <w:r>
        <w:rPr>
          <w:spacing w:val="-2"/>
        </w:rPr>
        <w:t>into</w:t>
      </w:r>
      <w:r>
        <w:rPr>
          <w:spacing w:val="-14"/>
        </w:rPr>
        <w:t xml:space="preserve"> </w:t>
      </w:r>
      <w:r>
        <w:rPr>
          <w:spacing w:val="-2"/>
        </w:rPr>
        <w:t>that</w:t>
      </w:r>
      <w:r>
        <w:rPr>
          <w:spacing w:val="-14"/>
        </w:rPr>
        <w:t xml:space="preserve"> </w:t>
      </w:r>
      <w:r>
        <w:rPr>
          <w:spacing w:val="-2"/>
        </w:rPr>
        <w:t xml:space="preserve">category: </w:t>
      </w:r>
      <w:r>
        <w:rPr>
          <w:spacing w:val="-6"/>
        </w:rPr>
        <w:t>happiness,</w:t>
      </w:r>
      <w:r>
        <w:rPr>
          <w:spacing w:val="-8"/>
        </w:rPr>
        <w:t xml:space="preserve"> </w:t>
      </w:r>
      <w:r>
        <w:rPr>
          <w:spacing w:val="-6"/>
        </w:rPr>
        <w:t>intelligence,</w:t>
      </w:r>
      <w:r>
        <w:rPr>
          <w:spacing w:val="-8"/>
        </w:rPr>
        <w:t xml:space="preserve"> </w:t>
      </w:r>
      <w:r>
        <w:rPr>
          <w:spacing w:val="-6"/>
        </w:rPr>
        <w:t>benevolence,</w:t>
      </w:r>
      <w:r>
        <w:rPr>
          <w:spacing w:val="-8"/>
        </w:rPr>
        <w:t xml:space="preserve"> </w:t>
      </w:r>
      <w:r>
        <w:rPr>
          <w:spacing w:val="-6"/>
        </w:rPr>
        <w:t>honesty</w:t>
      </w:r>
      <w:r>
        <w:rPr>
          <w:spacing w:val="-8"/>
        </w:rPr>
        <w:t xml:space="preserve"> </w:t>
      </w:r>
      <w:r>
        <w:rPr>
          <w:spacing w:val="-6"/>
        </w:rPr>
        <w:t>(both</w:t>
      </w:r>
      <w:r>
        <w:rPr>
          <w:spacing w:val="-8"/>
        </w:rPr>
        <w:t xml:space="preserve"> </w:t>
      </w:r>
      <w:r>
        <w:rPr>
          <w:spacing w:val="-6"/>
        </w:rPr>
        <w:t>with</w:t>
      </w:r>
      <w:r>
        <w:rPr>
          <w:spacing w:val="-8"/>
        </w:rPr>
        <w:t xml:space="preserve"> </w:t>
      </w:r>
      <w:r>
        <w:rPr>
          <w:spacing w:val="-6"/>
        </w:rPr>
        <w:t>oneself</w:t>
      </w:r>
      <w:r>
        <w:rPr>
          <w:spacing w:val="-8"/>
        </w:rPr>
        <w:t xml:space="preserve"> </w:t>
      </w:r>
      <w:r>
        <w:rPr>
          <w:spacing w:val="-6"/>
        </w:rPr>
        <w:t>and</w:t>
      </w:r>
      <w:r>
        <w:rPr>
          <w:spacing w:val="-8"/>
        </w:rPr>
        <w:t xml:space="preserve"> </w:t>
      </w:r>
      <w:r>
        <w:rPr>
          <w:spacing w:val="-6"/>
        </w:rPr>
        <w:t xml:space="preserve">with others), </w:t>
      </w:r>
      <w:r>
        <w:t>loyalty,</w:t>
      </w:r>
      <w:r>
        <w:rPr>
          <w:spacing w:val="-9"/>
        </w:rPr>
        <w:t xml:space="preserve"> </w:t>
      </w:r>
      <w:r>
        <w:t>pleasure,</w:t>
      </w:r>
      <w:r>
        <w:rPr>
          <w:spacing w:val="-9"/>
        </w:rPr>
        <w:t xml:space="preserve"> </w:t>
      </w:r>
      <w:r>
        <w:t>life</w:t>
      </w:r>
      <w:r>
        <w:rPr>
          <w:spacing w:val="-9"/>
        </w:rPr>
        <w:t xml:space="preserve"> </w:t>
      </w:r>
      <w:r>
        <w:t>(being</w:t>
      </w:r>
      <w:r>
        <w:rPr>
          <w:spacing w:val="-9"/>
        </w:rPr>
        <w:t xml:space="preserve"> </w:t>
      </w:r>
      <w:r>
        <w:t>alive</w:t>
      </w:r>
      <w:r>
        <w:rPr>
          <w:spacing w:val="-9"/>
        </w:rPr>
        <w:t xml:space="preserve"> </w:t>
      </w:r>
      <w:r>
        <w:t>is</w:t>
      </w:r>
      <w:r>
        <w:rPr>
          <w:spacing w:val="-9"/>
        </w:rPr>
        <w:t xml:space="preserve"> </w:t>
      </w:r>
      <w:r>
        <w:t>a</w:t>
      </w:r>
      <w:r>
        <w:rPr>
          <w:spacing w:val="-9"/>
        </w:rPr>
        <w:t xml:space="preserve"> </w:t>
      </w:r>
      <w:r>
        <w:t>good</w:t>
      </w:r>
      <w:r>
        <w:rPr>
          <w:spacing w:val="-9"/>
        </w:rPr>
        <w:t xml:space="preserve"> </w:t>
      </w:r>
      <w:r>
        <w:t>thing,</w:t>
      </w:r>
      <w:r>
        <w:rPr>
          <w:spacing w:val="-9"/>
        </w:rPr>
        <w:t xml:space="preserve"> </w:t>
      </w:r>
      <w:r>
        <w:t>even</w:t>
      </w:r>
      <w:r>
        <w:rPr>
          <w:spacing w:val="-9"/>
        </w:rPr>
        <w:t xml:space="preserve"> </w:t>
      </w:r>
      <w:r>
        <w:t>though</w:t>
      </w:r>
      <w:r>
        <w:rPr>
          <w:spacing w:val="-9"/>
        </w:rPr>
        <w:t xml:space="preserve"> </w:t>
      </w:r>
      <w:r>
        <w:t>life</w:t>
      </w:r>
      <w:r>
        <w:rPr>
          <w:spacing w:val="-9"/>
        </w:rPr>
        <w:t xml:space="preserve"> </w:t>
      </w:r>
      <w:r>
        <w:t>has</w:t>
      </w:r>
      <w:r>
        <w:rPr>
          <w:spacing w:val="-9"/>
        </w:rPr>
        <w:t xml:space="preserve"> </w:t>
      </w:r>
      <w:r>
        <w:t>its</w:t>
      </w:r>
      <w:r>
        <w:rPr>
          <w:spacing w:val="-9"/>
        </w:rPr>
        <w:t xml:space="preserve"> </w:t>
      </w:r>
      <w:r>
        <w:t>less-</w:t>
      </w:r>
      <w:r>
        <w:rPr>
          <w:spacing w:val="-6"/>
        </w:rPr>
        <w:t>than-stellar</w:t>
      </w:r>
      <w:r>
        <w:rPr>
          <w:spacing w:val="-10"/>
        </w:rPr>
        <w:t xml:space="preserve"> </w:t>
      </w:r>
      <w:r>
        <w:rPr>
          <w:spacing w:val="-6"/>
        </w:rPr>
        <w:t>moments),</w:t>
      </w:r>
      <w:r>
        <w:rPr>
          <w:spacing w:val="-10"/>
        </w:rPr>
        <w:t xml:space="preserve"> </w:t>
      </w:r>
      <w:r>
        <w:rPr>
          <w:spacing w:val="-6"/>
        </w:rPr>
        <w:t>friendship,</w:t>
      </w:r>
      <w:r>
        <w:rPr>
          <w:spacing w:val="-10"/>
        </w:rPr>
        <w:t xml:space="preserve"> </w:t>
      </w:r>
      <w:r>
        <w:rPr>
          <w:spacing w:val="-6"/>
        </w:rPr>
        <w:t>compassion,</w:t>
      </w:r>
      <w:r>
        <w:rPr>
          <w:spacing w:val="-10"/>
        </w:rPr>
        <w:t xml:space="preserve"> </w:t>
      </w:r>
      <w:r>
        <w:rPr>
          <w:spacing w:val="-6"/>
        </w:rPr>
        <w:t>enthusiasm</w:t>
      </w:r>
      <w:r>
        <w:rPr>
          <w:spacing w:val="-10"/>
        </w:rPr>
        <w:t xml:space="preserve"> </w:t>
      </w:r>
      <w:r>
        <w:rPr>
          <w:spacing w:val="-6"/>
        </w:rPr>
        <w:t>for</w:t>
      </w:r>
      <w:r>
        <w:rPr>
          <w:spacing w:val="-10"/>
        </w:rPr>
        <w:t xml:space="preserve"> </w:t>
      </w:r>
      <w:r>
        <w:rPr>
          <w:spacing w:val="-6"/>
        </w:rPr>
        <w:t>one’s</w:t>
      </w:r>
      <w:r>
        <w:rPr>
          <w:spacing w:val="-10"/>
        </w:rPr>
        <w:t xml:space="preserve"> </w:t>
      </w:r>
      <w:r>
        <w:rPr>
          <w:spacing w:val="-6"/>
        </w:rPr>
        <w:t>work</w:t>
      </w:r>
      <w:r>
        <w:rPr>
          <w:spacing w:val="-10"/>
        </w:rPr>
        <w:t xml:space="preserve"> </w:t>
      </w:r>
      <w:r>
        <w:rPr>
          <w:spacing w:val="-6"/>
        </w:rPr>
        <w:t>and</w:t>
      </w:r>
      <w:r>
        <w:rPr>
          <w:spacing w:val="-10"/>
        </w:rPr>
        <w:t xml:space="preserve"> </w:t>
      </w:r>
      <w:r>
        <w:rPr>
          <w:spacing w:val="-6"/>
        </w:rPr>
        <w:t xml:space="preserve">for </w:t>
      </w:r>
      <w:r>
        <w:rPr>
          <w:spacing w:val="-4"/>
        </w:rPr>
        <w:t>life</w:t>
      </w:r>
      <w:r>
        <w:rPr>
          <w:spacing w:val="-14"/>
        </w:rPr>
        <w:t xml:space="preserve"> </w:t>
      </w:r>
      <w:r>
        <w:rPr>
          <w:spacing w:val="-4"/>
        </w:rPr>
        <w:t>in</w:t>
      </w:r>
      <w:r>
        <w:rPr>
          <w:spacing w:val="-14"/>
        </w:rPr>
        <w:t xml:space="preserve"> </w:t>
      </w:r>
      <w:r>
        <w:rPr>
          <w:spacing w:val="-4"/>
        </w:rPr>
        <w:t>general,</w:t>
      </w:r>
      <w:r>
        <w:rPr>
          <w:spacing w:val="-14"/>
        </w:rPr>
        <w:t xml:space="preserve"> </w:t>
      </w:r>
      <w:r>
        <w:rPr>
          <w:spacing w:val="-4"/>
        </w:rPr>
        <w:t>and</w:t>
      </w:r>
      <w:r>
        <w:rPr>
          <w:spacing w:val="-14"/>
        </w:rPr>
        <w:t xml:space="preserve"> </w:t>
      </w:r>
      <w:r>
        <w:rPr>
          <w:spacing w:val="-4"/>
        </w:rPr>
        <w:t>freedom.</w:t>
      </w:r>
      <w:r>
        <w:rPr>
          <w:spacing w:val="-14"/>
        </w:rPr>
        <w:t xml:space="preserve"> </w:t>
      </w:r>
      <w:r>
        <w:rPr>
          <w:spacing w:val="-4"/>
        </w:rPr>
        <w:t>It</w:t>
      </w:r>
      <w:r>
        <w:rPr>
          <w:spacing w:val="-14"/>
        </w:rPr>
        <w:t xml:space="preserve"> </w:t>
      </w:r>
      <w:r>
        <w:rPr>
          <w:spacing w:val="-4"/>
        </w:rPr>
        <w:t>should</w:t>
      </w:r>
      <w:r>
        <w:rPr>
          <w:spacing w:val="-14"/>
        </w:rPr>
        <w:t xml:space="preserve"> </w:t>
      </w:r>
      <w:r>
        <w:rPr>
          <w:spacing w:val="-4"/>
        </w:rPr>
        <w:t>be</w:t>
      </w:r>
      <w:r>
        <w:rPr>
          <w:spacing w:val="-14"/>
        </w:rPr>
        <w:t xml:space="preserve"> </w:t>
      </w:r>
      <w:r>
        <w:rPr>
          <w:spacing w:val="-4"/>
        </w:rPr>
        <w:t>pointed</w:t>
      </w:r>
      <w:r>
        <w:rPr>
          <w:spacing w:val="-14"/>
        </w:rPr>
        <w:t xml:space="preserve"> </w:t>
      </w:r>
      <w:r>
        <w:rPr>
          <w:spacing w:val="-4"/>
        </w:rPr>
        <w:t>out</w:t>
      </w:r>
      <w:r>
        <w:rPr>
          <w:spacing w:val="-14"/>
        </w:rPr>
        <w:t xml:space="preserve"> </w:t>
      </w:r>
      <w:r>
        <w:rPr>
          <w:spacing w:val="-4"/>
        </w:rPr>
        <w:t>that</w:t>
      </w:r>
      <w:r>
        <w:rPr>
          <w:spacing w:val="-14"/>
        </w:rPr>
        <w:t xml:space="preserve"> </w:t>
      </w:r>
      <w:r>
        <w:rPr>
          <w:spacing w:val="-4"/>
        </w:rPr>
        <w:t>there</w:t>
      </w:r>
      <w:r>
        <w:rPr>
          <w:spacing w:val="-14"/>
        </w:rPr>
        <w:t xml:space="preserve"> </w:t>
      </w:r>
      <w:r>
        <w:rPr>
          <w:spacing w:val="-4"/>
        </w:rPr>
        <w:t>are</w:t>
      </w:r>
      <w:r>
        <w:rPr>
          <w:spacing w:val="-14"/>
        </w:rPr>
        <w:t xml:space="preserve"> </w:t>
      </w:r>
      <w:r>
        <w:rPr>
          <w:spacing w:val="-4"/>
        </w:rPr>
        <w:t>different</w:t>
      </w:r>
      <w:r>
        <w:rPr>
          <w:spacing w:val="-14"/>
        </w:rPr>
        <w:t xml:space="preserve"> </w:t>
      </w:r>
      <w:r>
        <w:rPr>
          <w:spacing w:val="-4"/>
        </w:rPr>
        <w:t xml:space="preserve">kinds </w:t>
      </w:r>
      <w:r>
        <w:rPr>
          <w:spacing w:val="-2"/>
        </w:rPr>
        <w:t>of</w:t>
      </w:r>
      <w:r>
        <w:rPr>
          <w:spacing w:val="-17"/>
        </w:rPr>
        <w:t xml:space="preserve"> </w:t>
      </w:r>
      <w:r>
        <w:rPr>
          <w:spacing w:val="-2"/>
        </w:rPr>
        <w:t>freedom:</w:t>
      </w:r>
      <w:r>
        <w:rPr>
          <w:spacing w:val="-17"/>
        </w:rPr>
        <w:t xml:space="preserve"> </w:t>
      </w:r>
      <w:r>
        <w:rPr>
          <w:spacing w:val="-2"/>
        </w:rPr>
        <w:t>there</w:t>
      </w:r>
      <w:r>
        <w:rPr>
          <w:spacing w:val="-17"/>
        </w:rPr>
        <w:t xml:space="preserve"> </w:t>
      </w:r>
      <w:r>
        <w:rPr>
          <w:spacing w:val="-2"/>
        </w:rPr>
        <w:t>is</w:t>
      </w:r>
      <w:r>
        <w:rPr>
          <w:spacing w:val="-16"/>
        </w:rPr>
        <w:t xml:space="preserve"> </w:t>
      </w:r>
      <w:r>
        <w:rPr>
          <w:spacing w:val="-2"/>
        </w:rPr>
        <w:t>freedom</w:t>
      </w:r>
      <w:r>
        <w:rPr>
          <w:spacing w:val="-17"/>
        </w:rPr>
        <w:t xml:space="preserve"> </w:t>
      </w:r>
      <w:r>
        <w:rPr>
          <w:spacing w:val="-2"/>
        </w:rPr>
        <w:t>from</w:t>
      </w:r>
      <w:r>
        <w:rPr>
          <w:spacing w:val="-17"/>
        </w:rPr>
        <w:t xml:space="preserve"> </w:t>
      </w:r>
      <w:r>
        <w:rPr>
          <w:i/>
          <w:spacing w:val="-2"/>
        </w:rPr>
        <w:t>external,</w:t>
      </w:r>
      <w:r>
        <w:rPr>
          <w:i/>
          <w:spacing w:val="-17"/>
        </w:rPr>
        <w:t xml:space="preserve"> </w:t>
      </w:r>
      <w:r>
        <w:rPr>
          <w:spacing w:val="-2"/>
        </w:rPr>
        <w:t>physical</w:t>
      </w:r>
      <w:r>
        <w:rPr>
          <w:spacing w:val="-16"/>
        </w:rPr>
        <w:t xml:space="preserve"> </w:t>
      </w:r>
      <w:r>
        <w:rPr>
          <w:spacing w:val="-2"/>
        </w:rPr>
        <w:t>coercion</w:t>
      </w:r>
      <w:r>
        <w:rPr>
          <w:spacing w:val="-15"/>
        </w:rPr>
        <w:t xml:space="preserve"> </w:t>
      </w:r>
      <w:r>
        <w:rPr>
          <w:spacing w:val="-2"/>
        </w:rPr>
        <w:t>(this</w:t>
      </w:r>
      <w:r>
        <w:rPr>
          <w:spacing w:val="-14"/>
        </w:rPr>
        <w:t xml:space="preserve"> </w:t>
      </w:r>
      <w:r>
        <w:rPr>
          <w:spacing w:val="-2"/>
        </w:rPr>
        <w:t>is</w:t>
      </w:r>
      <w:r>
        <w:rPr>
          <w:spacing w:val="-14"/>
        </w:rPr>
        <w:t xml:space="preserve"> </w:t>
      </w:r>
      <w:r>
        <w:rPr>
          <w:spacing w:val="-2"/>
        </w:rPr>
        <w:t>the</w:t>
      </w:r>
      <w:r>
        <w:rPr>
          <w:spacing w:val="-14"/>
        </w:rPr>
        <w:t xml:space="preserve"> </w:t>
      </w:r>
      <w:r>
        <w:rPr>
          <w:spacing w:val="-2"/>
        </w:rPr>
        <w:t>kind</w:t>
      </w:r>
      <w:r>
        <w:rPr>
          <w:spacing w:val="-14"/>
        </w:rPr>
        <w:t xml:space="preserve"> </w:t>
      </w:r>
      <w:r>
        <w:rPr>
          <w:spacing w:val="-2"/>
        </w:rPr>
        <w:t xml:space="preserve">of </w:t>
      </w:r>
      <w:r>
        <w:t>freedom</w:t>
      </w:r>
      <w:r>
        <w:rPr>
          <w:spacing w:val="-17"/>
        </w:rPr>
        <w:t xml:space="preserve"> </w:t>
      </w:r>
      <w:r>
        <w:t>one</w:t>
      </w:r>
      <w:r>
        <w:rPr>
          <w:spacing w:val="-16"/>
        </w:rPr>
        <w:t xml:space="preserve"> </w:t>
      </w:r>
      <w:r>
        <w:t>has</w:t>
      </w:r>
      <w:r>
        <w:rPr>
          <w:spacing w:val="-16"/>
        </w:rPr>
        <w:t xml:space="preserve"> </w:t>
      </w:r>
      <w:r>
        <w:t>in</w:t>
      </w:r>
      <w:r>
        <w:rPr>
          <w:spacing w:val="-16"/>
        </w:rPr>
        <w:t xml:space="preserve"> </w:t>
      </w:r>
      <w:r>
        <w:t>virtue</w:t>
      </w:r>
      <w:r>
        <w:rPr>
          <w:spacing w:val="-16"/>
        </w:rPr>
        <w:t xml:space="preserve"> </w:t>
      </w:r>
      <w:r>
        <w:t>of</w:t>
      </w:r>
      <w:r>
        <w:rPr>
          <w:spacing w:val="-16"/>
        </w:rPr>
        <w:t xml:space="preserve"> </w:t>
      </w:r>
      <w:r>
        <w:t>not</w:t>
      </w:r>
      <w:r>
        <w:rPr>
          <w:spacing w:val="-16"/>
        </w:rPr>
        <w:t xml:space="preserve"> </w:t>
      </w:r>
      <w:r>
        <w:t>being</w:t>
      </w:r>
      <w:r>
        <w:rPr>
          <w:spacing w:val="-16"/>
        </w:rPr>
        <w:t xml:space="preserve"> </w:t>
      </w:r>
      <w:r>
        <w:t>in</w:t>
      </w:r>
      <w:r>
        <w:rPr>
          <w:spacing w:val="-16"/>
        </w:rPr>
        <w:t xml:space="preserve"> </w:t>
      </w:r>
      <w:r>
        <w:t>a</w:t>
      </w:r>
      <w:r>
        <w:rPr>
          <w:spacing w:val="-16"/>
        </w:rPr>
        <w:t xml:space="preserve"> </w:t>
      </w:r>
      <w:r>
        <w:t>jail</w:t>
      </w:r>
      <w:r>
        <w:rPr>
          <w:spacing w:val="-16"/>
        </w:rPr>
        <w:t xml:space="preserve"> </w:t>
      </w:r>
      <w:r>
        <w:t>cell);</w:t>
      </w:r>
      <w:r>
        <w:rPr>
          <w:spacing w:val="-16"/>
        </w:rPr>
        <w:t xml:space="preserve"> </w:t>
      </w:r>
      <w:r>
        <w:t>there</w:t>
      </w:r>
      <w:r>
        <w:rPr>
          <w:spacing w:val="-16"/>
        </w:rPr>
        <w:t xml:space="preserve"> </w:t>
      </w:r>
      <w:r>
        <w:t>is</w:t>
      </w:r>
      <w:r>
        <w:rPr>
          <w:spacing w:val="-16"/>
        </w:rPr>
        <w:t xml:space="preserve"> </w:t>
      </w:r>
      <w:r>
        <w:t>emotional</w:t>
      </w:r>
      <w:r>
        <w:rPr>
          <w:spacing w:val="-16"/>
        </w:rPr>
        <w:t xml:space="preserve"> </w:t>
      </w:r>
      <w:r>
        <w:t>freedom (this</w:t>
      </w:r>
      <w:r>
        <w:rPr>
          <w:spacing w:val="-19"/>
        </w:rPr>
        <w:t xml:space="preserve"> </w:t>
      </w:r>
      <w:r>
        <w:t>is</w:t>
      </w:r>
      <w:r>
        <w:rPr>
          <w:spacing w:val="-19"/>
        </w:rPr>
        <w:t xml:space="preserve"> </w:t>
      </w:r>
      <w:r>
        <w:t>the</w:t>
      </w:r>
      <w:r>
        <w:rPr>
          <w:spacing w:val="-19"/>
        </w:rPr>
        <w:t xml:space="preserve"> </w:t>
      </w:r>
      <w:r>
        <w:t>kind</w:t>
      </w:r>
      <w:r>
        <w:rPr>
          <w:spacing w:val="-18"/>
        </w:rPr>
        <w:t xml:space="preserve"> </w:t>
      </w:r>
      <w:r>
        <w:t>of</w:t>
      </w:r>
      <w:r>
        <w:rPr>
          <w:spacing w:val="-19"/>
        </w:rPr>
        <w:t xml:space="preserve"> </w:t>
      </w:r>
      <w:r>
        <w:t>freedom</w:t>
      </w:r>
      <w:r>
        <w:rPr>
          <w:spacing w:val="-19"/>
        </w:rPr>
        <w:t xml:space="preserve"> </w:t>
      </w:r>
      <w:r>
        <w:t>one</w:t>
      </w:r>
      <w:r>
        <w:rPr>
          <w:spacing w:val="-19"/>
        </w:rPr>
        <w:t xml:space="preserve"> </w:t>
      </w:r>
      <w:r>
        <w:t>has</w:t>
      </w:r>
      <w:r>
        <w:rPr>
          <w:spacing w:val="-18"/>
        </w:rPr>
        <w:t xml:space="preserve"> </w:t>
      </w:r>
      <w:r>
        <w:t>in</w:t>
      </w:r>
      <w:r>
        <w:rPr>
          <w:spacing w:val="-19"/>
        </w:rPr>
        <w:t xml:space="preserve"> </w:t>
      </w:r>
      <w:r>
        <w:t>virtue</w:t>
      </w:r>
      <w:r>
        <w:rPr>
          <w:spacing w:val="-19"/>
        </w:rPr>
        <w:t xml:space="preserve"> </w:t>
      </w:r>
      <w:r>
        <w:t>of</w:t>
      </w:r>
      <w:r>
        <w:rPr>
          <w:spacing w:val="-19"/>
        </w:rPr>
        <w:t xml:space="preserve"> </w:t>
      </w:r>
      <w:r>
        <w:t>not</w:t>
      </w:r>
      <w:r>
        <w:rPr>
          <w:spacing w:val="-18"/>
        </w:rPr>
        <w:t xml:space="preserve"> </w:t>
      </w:r>
      <w:r>
        <w:t>being</w:t>
      </w:r>
      <w:r>
        <w:rPr>
          <w:spacing w:val="-19"/>
        </w:rPr>
        <w:t xml:space="preserve"> </w:t>
      </w:r>
      <w:r>
        <w:t>dominated</w:t>
      </w:r>
      <w:r>
        <w:rPr>
          <w:spacing w:val="-19"/>
        </w:rPr>
        <w:t xml:space="preserve"> </w:t>
      </w:r>
      <w:r>
        <w:t>by</w:t>
      </w:r>
      <w:r>
        <w:rPr>
          <w:spacing w:val="-19"/>
        </w:rPr>
        <w:t xml:space="preserve"> </w:t>
      </w:r>
      <w:r>
        <w:t xml:space="preserve">internal, </w:t>
      </w:r>
      <w:r>
        <w:rPr>
          <w:spacing w:val="-4"/>
        </w:rPr>
        <w:t>psychological</w:t>
      </w:r>
      <w:r>
        <w:rPr>
          <w:spacing w:val="-14"/>
        </w:rPr>
        <w:t xml:space="preserve"> </w:t>
      </w:r>
      <w:r>
        <w:rPr>
          <w:spacing w:val="-4"/>
        </w:rPr>
        <w:t>compulsion);</w:t>
      </w:r>
      <w:r>
        <w:rPr>
          <w:spacing w:val="-14"/>
        </w:rPr>
        <w:t xml:space="preserve"> </w:t>
      </w:r>
      <w:r>
        <w:rPr>
          <w:spacing w:val="-4"/>
        </w:rPr>
        <w:t>and</w:t>
      </w:r>
      <w:r>
        <w:rPr>
          <w:spacing w:val="-13"/>
        </w:rPr>
        <w:t xml:space="preserve"> </w:t>
      </w:r>
      <w:r>
        <w:rPr>
          <w:spacing w:val="-4"/>
        </w:rPr>
        <w:t>there</w:t>
      </w:r>
      <w:r>
        <w:rPr>
          <w:spacing w:val="-13"/>
        </w:rPr>
        <w:t xml:space="preserve"> </w:t>
      </w:r>
      <w:r>
        <w:rPr>
          <w:spacing w:val="-4"/>
        </w:rPr>
        <w:t>is</w:t>
      </w:r>
      <w:r>
        <w:rPr>
          <w:spacing w:val="-13"/>
        </w:rPr>
        <w:t xml:space="preserve"> </w:t>
      </w:r>
      <w:r>
        <w:rPr>
          <w:spacing w:val="-4"/>
        </w:rPr>
        <w:t>also</w:t>
      </w:r>
      <w:r>
        <w:rPr>
          <w:spacing w:val="-13"/>
        </w:rPr>
        <w:t xml:space="preserve"> </w:t>
      </w:r>
      <w:r>
        <w:rPr>
          <w:spacing w:val="-4"/>
        </w:rPr>
        <w:t>intellectual</w:t>
      </w:r>
      <w:r>
        <w:rPr>
          <w:spacing w:val="-14"/>
        </w:rPr>
        <w:t xml:space="preserve"> </w:t>
      </w:r>
      <w:r>
        <w:rPr>
          <w:spacing w:val="-4"/>
        </w:rPr>
        <w:t>freedom</w:t>
      </w:r>
      <w:r>
        <w:rPr>
          <w:spacing w:val="-14"/>
        </w:rPr>
        <w:t xml:space="preserve"> </w:t>
      </w:r>
      <w:r>
        <w:rPr>
          <w:spacing w:val="-4"/>
        </w:rPr>
        <w:t>(this</w:t>
      </w:r>
      <w:r>
        <w:rPr>
          <w:spacing w:val="-13"/>
        </w:rPr>
        <w:t xml:space="preserve"> </w:t>
      </w:r>
      <w:r>
        <w:rPr>
          <w:spacing w:val="-4"/>
        </w:rPr>
        <w:t>is</w:t>
      </w:r>
      <w:r>
        <w:rPr>
          <w:spacing w:val="-13"/>
        </w:rPr>
        <w:t xml:space="preserve"> </w:t>
      </w:r>
      <w:r>
        <w:rPr>
          <w:spacing w:val="-4"/>
        </w:rPr>
        <w:t>the</w:t>
      </w:r>
      <w:r>
        <w:rPr>
          <w:spacing w:val="-13"/>
        </w:rPr>
        <w:t xml:space="preserve"> </w:t>
      </w:r>
      <w:r>
        <w:rPr>
          <w:spacing w:val="-4"/>
        </w:rPr>
        <w:t xml:space="preserve">kind </w:t>
      </w:r>
      <w:r>
        <w:t>of</w:t>
      </w:r>
      <w:r>
        <w:rPr>
          <w:spacing w:val="-11"/>
        </w:rPr>
        <w:t xml:space="preserve"> </w:t>
      </w:r>
      <w:r>
        <w:t>freedom</w:t>
      </w:r>
      <w:r>
        <w:rPr>
          <w:spacing w:val="-11"/>
        </w:rPr>
        <w:t xml:space="preserve"> </w:t>
      </w:r>
      <w:r>
        <w:t>one</w:t>
      </w:r>
      <w:r>
        <w:rPr>
          <w:spacing w:val="-11"/>
        </w:rPr>
        <w:t xml:space="preserve"> </w:t>
      </w:r>
      <w:r>
        <w:t>has</w:t>
      </w:r>
      <w:r>
        <w:rPr>
          <w:spacing w:val="-11"/>
        </w:rPr>
        <w:t xml:space="preserve"> </w:t>
      </w:r>
      <w:r>
        <w:t>by</w:t>
      </w:r>
      <w:r>
        <w:rPr>
          <w:spacing w:val="-11"/>
        </w:rPr>
        <w:t xml:space="preserve"> </w:t>
      </w:r>
      <w:r>
        <w:t>virtue</w:t>
      </w:r>
      <w:r>
        <w:rPr>
          <w:spacing w:val="-11"/>
        </w:rPr>
        <w:t xml:space="preserve"> </w:t>
      </w:r>
      <w:r>
        <w:t>of</w:t>
      </w:r>
      <w:r>
        <w:rPr>
          <w:spacing w:val="-11"/>
        </w:rPr>
        <w:t xml:space="preserve"> </w:t>
      </w:r>
      <w:r>
        <w:t>being</w:t>
      </w:r>
      <w:r>
        <w:rPr>
          <w:spacing w:val="-11"/>
        </w:rPr>
        <w:t xml:space="preserve"> </w:t>
      </w:r>
      <w:r>
        <w:t>able</w:t>
      </w:r>
    </w:p>
    <w:p w14:paraId="7E0022F2" w14:textId="77777777" w:rsidR="009A58DB" w:rsidRDefault="00000000">
      <w:pPr>
        <w:pStyle w:val="BodyText"/>
        <w:spacing w:before="14" w:line="249" w:lineRule="auto"/>
        <w:ind w:right="372"/>
      </w:pPr>
      <w:r>
        <w:t>to figure things</w:t>
      </w:r>
      <w:r>
        <w:rPr>
          <w:spacing w:val="-18"/>
        </w:rPr>
        <w:t xml:space="preserve"> </w:t>
      </w:r>
      <w:r>
        <w:t>out for oneself, as opposed to slavishly relying on hearsay). I leave it open whether there are other kinds of freedom.</w:t>
      </w:r>
    </w:p>
    <w:p w14:paraId="7E0022F3" w14:textId="77777777" w:rsidR="009A58DB" w:rsidRDefault="00000000">
      <w:pPr>
        <w:pStyle w:val="BodyText"/>
        <w:spacing w:before="2" w:line="249" w:lineRule="auto"/>
        <w:ind w:right="358" w:firstLine="360"/>
      </w:pPr>
      <w:r>
        <w:t>Helping a person in need, in cases where doing so is not to one’s own practical advantage, is intrinsically good. Having an expansive consciousness is intrinsically good. Playing a musical instrument is intrinsically good. (It is also instrumentally good—no pun intended—since, as psychologists have recently discovered, it promotes neural plasticity.) Being honest with people, when it would be more convenient to lie, is intrinsically good.</w:t>
      </w:r>
    </w:p>
    <w:p w14:paraId="7E0022F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2F5" w14:textId="77777777" w:rsidR="009A58DB" w:rsidRDefault="00000000">
      <w:pPr>
        <w:pStyle w:val="BodyText"/>
        <w:spacing w:before="65" w:line="249" w:lineRule="auto"/>
        <w:ind w:right="360" w:firstLine="360"/>
      </w:pPr>
      <w:r>
        <w:lastRenderedPageBreak/>
        <w:t>I</w:t>
      </w:r>
      <w:r>
        <w:rPr>
          <w:spacing w:val="-1"/>
        </w:rPr>
        <w:t xml:space="preserve"> </w:t>
      </w:r>
      <w:r>
        <w:t>wish to emphasize that</w:t>
      </w:r>
      <w:r>
        <w:rPr>
          <w:spacing w:val="-1"/>
        </w:rPr>
        <w:t xml:space="preserve"> </w:t>
      </w:r>
      <w:r>
        <w:t>it</w:t>
      </w:r>
      <w:r>
        <w:rPr>
          <w:spacing w:val="-1"/>
        </w:rPr>
        <w:t xml:space="preserve"> </w:t>
      </w:r>
      <w:r>
        <w:t>would be hard to find</w:t>
      </w:r>
      <w:r>
        <w:rPr>
          <w:spacing w:val="-1"/>
        </w:rPr>
        <w:t xml:space="preserve"> </w:t>
      </w:r>
      <w:r>
        <w:t>two ethicists who were in complete agreement as to which things were intrinsically good. But the tentative, and perhaps partial, list just given makes it clear what, at least approximately, is meant by the expression “intrinsic good.”</w:t>
      </w:r>
    </w:p>
    <w:p w14:paraId="7E0022F6" w14:textId="77777777" w:rsidR="009A58DB" w:rsidRDefault="00000000">
      <w:pPr>
        <w:pStyle w:val="Heading1"/>
        <w:numPr>
          <w:ilvl w:val="1"/>
          <w:numId w:val="66"/>
        </w:numPr>
        <w:tabs>
          <w:tab w:val="left" w:pos="2059"/>
        </w:tabs>
        <w:spacing w:before="193" w:line="244" w:lineRule="auto"/>
        <w:ind w:right="360" w:firstLine="0"/>
      </w:pPr>
      <w:r>
        <w:t>Instrumental</w:t>
      </w:r>
      <w:r>
        <w:rPr>
          <w:spacing w:val="80"/>
        </w:rPr>
        <w:t xml:space="preserve"> </w:t>
      </w:r>
      <w:r>
        <w:t>and</w:t>
      </w:r>
      <w:r>
        <w:rPr>
          <w:spacing w:val="80"/>
        </w:rPr>
        <w:t xml:space="preserve"> </w:t>
      </w:r>
      <w:r>
        <w:t>intrinsic</w:t>
      </w:r>
      <w:r>
        <w:rPr>
          <w:spacing w:val="80"/>
        </w:rPr>
        <w:t xml:space="preserve"> </w:t>
      </w:r>
      <w:r>
        <w:t>goodness</w:t>
      </w:r>
      <w:r>
        <w:rPr>
          <w:spacing w:val="80"/>
        </w:rPr>
        <w:t xml:space="preserve"> </w:t>
      </w:r>
      <w:r>
        <w:t>not mutually exclusive</w:t>
      </w:r>
    </w:p>
    <w:p w14:paraId="7E0022F7" w14:textId="77777777" w:rsidR="009A58DB" w:rsidRDefault="00000000">
      <w:pPr>
        <w:pStyle w:val="BodyText"/>
        <w:spacing w:before="131" w:line="249" w:lineRule="auto"/>
        <w:ind w:right="359"/>
      </w:pPr>
      <w:r>
        <w:t xml:space="preserve">Having a sharp intellect is both an intrinsic good </w:t>
      </w:r>
      <w:r>
        <w:rPr>
          <w:i/>
        </w:rPr>
        <w:t xml:space="preserve">and </w:t>
      </w:r>
      <w:r>
        <w:t xml:space="preserve">an instrumental good. Having intelligence is an instrumental good, since it can obviously improve one’s strategic position and, more generally, can have good consequences. But the goodness of being intelligent exceeds any practical advantage that it might bring to one. What we just said about intelligence is true of happiness, of pleasure, of friendship, and of honesty. All of these things can be instrumental goods, since they can have good consequences. (Of course, they can also have bad consequences: sometimes the worst thing you can do is be honest. But, undeniably, honest is </w:t>
      </w:r>
      <w:r>
        <w:rPr>
          <w:i/>
        </w:rPr>
        <w:t xml:space="preserve">sometimes </w:t>
      </w:r>
      <w:r>
        <w:t>an instrumental good: in general, if people know you’re truthful, they’re more likely to help you out.) At the same time, all of these things are good in and of themselves. To take another example: being happy tends to give one the confidence to act in ways that are to one’s strategic advantage. But the value of happiness obviously exceeds the strategic advantages it may bring one. Bottom line: something can be both instrumentally and intrinsically good.</w:t>
      </w:r>
    </w:p>
    <w:p w14:paraId="7E0022F8" w14:textId="77777777" w:rsidR="009A58DB" w:rsidRDefault="00000000">
      <w:pPr>
        <w:pStyle w:val="Heading1"/>
        <w:numPr>
          <w:ilvl w:val="1"/>
          <w:numId w:val="65"/>
        </w:numPr>
        <w:tabs>
          <w:tab w:val="left" w:pos="1080"/>
          <w:tab w:val="left" w:pos="1491"/>
        </w:tabs>
        <w:spacing w:before="222" w:line="244" w:lineRule="auto"/>
        <w:ind w:right="361" w:hanging="720"/>
        <w:jc w:val="both"/>
      </w:pPr>
      <w:r>
        <w:tab/>
        <w:t xml:space="preserve">More meanings of the word “good’: goodness vs. commendableness, badness vs. </w:t>
      </w:r>
      <w:r>
        <w:rPr>
          <w:spacing w:val="-2"/>
        </w:rPr>
        <w:t>condemnableness</w:t>
      </w:r>
    </w:p>
    <w:p w14:paraId="7E0022F9" w14:textId="77777777" w:rsidR="009A58DB" w:rsidRDefault="00000000">
      <w:pPr>
        <w:pStyle w:val="BodyText"/>
        <w:spacing w:before="134" w:line="249" w:lineRule="auto"/>
        <w:ind w:right="359"/>
        <w:rPr>
          <w:i/>
        </w:rPr>
      </w:pPr>
      <w:r>
        <w:t xml:space="preserve">We just saw that the expression “good” is ambiguous between “instrumental good” and “intrinsic good.” But the expression “intrinsic good” is </w:t>
      </w:r>
      <w:r>
        <w:rPr>
          <w:i/>
        </w:rPr>
        <w:t xml:space="preserve">itself </w:t>
      </w:r>
      <w:r>
        <w:t xml:space="preserve">ambiguous. (It is common in philosophy to encounter ambiguities within ambiguities.) Some things that are intrinsically good are </w:t>
      </w:r>
      <w:r>
        <w:rPr>
          <w:i/>
        </w:rPr>
        <w:t>commendable</w:t>
      </w:r>
      <w:r>
        <w:t xml:space="preserve">—that is, they deserve </w:t>
      </w:r>
      <w:r>
        <w:rPr>
          <w:i/>
        </w:rPr>
        <w:t xml:space="preserve">praise. </w:t>
      </w:r>
      <w:r>
        <w:t xml:space="preserve">And some things that are intrinsically good </w:t>
      </w:r>
      <w:r>
        <w:rPr>
          <w:i/>
        </w:rPr>
        <w:t xml:space="preserve">do not </w:t>
      </w:r>
      <w:r>
        <w:t xml:space="preserve">deserve praise. In, fact, as we’ll soon see, some intrinsic goods, paradoxical though it may sound, deserve </w:t>
      </w:r>
      <w:r>
        <w:rPr>
          <w:i/>
        </w:rPr>
        <w:t>censure</w:t>
      </w:r>
      <w:r>
        <w:t xml:space="preserve">—that is they are to be </w:t>
      </w:r>
      <w:r>
        <w:rPr>
          <w:i/>
        </w:rPr>
        <w:t>disapproved of.</w:t>
      </w:r>
    </w:p>
    <w:p w14:paraId="7E0022FA" w14:textId="77777777" w:rsidR="009A58DB" w:rsidRDefault="00000000">
      <w:pPr>
        <w:pStyle w:val="BodyText"/>
        <w:spacing w:before="9"/>
        <w:ind w:left="720"/>
      </w:pPr>
      <w:r>
        <w:t>For</w:t>
      </w:r>
      <w:r>
        <w:rPr>
          <w:spacing w:val="15"/>
        </w:rPr>
        <w:t xml:space="preserve"> </w:t>
      </w:r>
      <w:r>
        <w:t>example,</w:t>
      </w:r>
      <w:r>
        <w:rPr>
          <w:spacing w:val="17"/>
        </w:rPr>
        <w:t xml:space="preserve"> </w:t>
      </w:r>
      <w:r>
        <w:t>happiness</w:t>
      </w:r>
      <w:r>
        <w:rPr>
          <w:spacing w:val="18"/>
        </w:rPr>
        <w:t xml:space="preserve"> </w:t>
      </w:r>
      <w:r>
        <w:t>is</w:t>
      </w:r>
      <w:r>
        <w:rPr>
          <w:spacing w:val="17"/>
        </w:rPr>
        <w:t xml:space="preserve"> </w:t>
      </w:r>
      <w:r>
        <w:t>intrinsically</w:t>
      </w:r>
      <w:r>
        <w:rPr>
          <w:spacing w:val="18"/>
        </w:rPr>
        <w:t xml:space="preserve"> </w:t>
      </w:r>
      <w:r>
        <w:t>good,</w:t>
      </w:r>
      <w:r>
        <w:rPr>
          <w:spacing w:val="17"/>
        </w:rPr>
        <w:t xml:space="preserve"> </w:t>
      </w:r>
      <w:r>
        <w:t>as</w:t>
      </w:r>
      <w:r>
        <w:rPr>
          <w:spacing w:val="18"/>
        </w:rPr>
        <w:t xml:space="preserve"> </w:t>
      </w:r>
      <w:r>
        <w:t>we</w:t>
      </w:r>
      <w:r>
        <w:rPr>
          <w:spacing w:val="17"/>
        </w:rPr>
        <w:t xml:space="preserve"> </w:t>
      </w:r>
      <w:r>
        <w:t>just</w:t>
      </w:r>
      <w:r>
        <w:rPr>
          <w:spacing w:val="18"/>
        </w:rPr>
        <w:t xml:space="preserve"> </w:t>
      </w:r>
      <w:r>
        <w:t>noted.</w:t>
      </w:r>
      <w:r>
        <w:rPr>
          <w:spacing w:val="17"/>
        </w:rPr>
        <w:t xml:space="preserve"> </w:t>
      </w:r>
      <w:r>
        <w:t>Of</w:t>
      </w:r>
      <w:r>
        <w:rPr>
          <w:spacing w:val="18"/>
        </w:rPr>
        <w:t xml:space="preserve"> </w:t>
      </w:r>
      <w:r>
        <w:rPr>
          <w:spacing w:val="-2"/>
        </w:rPr>
        <w:t>course,</w:t>
      </w:r>
    </w:p>
    <w:p w14:paraId="7E0022FB" w14:textId="77777777" w:rsidR="009A58DB" w:rsidRDefault="009A58DB">
      <w:pPr>
        <w:pStyle w:val="BodyText"/>
        <w:sectPr w:rsidR="009A58DB">
          <w:pgSz w:w="12240" w:h="15840"/>
          <w:pgMar w:top="1380" w:right="1080" w:bottom="280" w:left="1080" w:header="720" w:footer="720" w:gutter="0"/>
          <w:cols w:space="720"/>
        </w:sectPr>
      </w:pPr>
    </w:p>
    <w:p w14:paraId="7E0022FC" w14:textId="77777777" w:rsidR="009A58DB" w:rsidRDefault="00000000">
      <w:pPr>
        <w:pStyle w:val="BodyText"/>
        <w:spacing w:before="70" w:line="249" w:lineRule="auto"/>
        <w:ind w:right="368"/>
      </w:pPr>
      <w:r>
        <w:lastRenderedPageBreak/>
        <w:t>being happy may have good consequences. But a person’s happiness has a goodness that cannot be identified with the good consequences, if any there be, that it brings to that person.</w:t>
      </w:r>
    </w:p>
    <w:p w14:paraId="7E0022FD" w14:textId="77777777" w:rsidR="009A58DB" w:rsidRDefault="00000000">
      <w:pPr>
        <w:pStyle w:val="BodyText"/>
        <w:spacing w:line="249" w:lineRule="auto"/>
        <w:ind w:right="358" w:firstLine="360"/>
      </w:pPr>
      <w:r>
        <w:t>But does a happy person necessarily deserve</w:t>
      </w:r>
      <w:r>
        <w:rPr>
          <w:spacing w:val="-17"/>
        </w:rPr>
        <w:t xml:space="preserve"> </w:t>
      </w:r>
      <w:r>
        <w:rPr>
          <w:i/>
          <w:spacing w:val="11"/>
        </w:rPr>
        <w:t>praise</w:t>
      </w:r>
      <w:r>
        <w:rPr>
          <w:i/>
          <w:spacing w:val="-16"/>
        </w:rPr>
        <w:t xml:space="preserve"> </w:t>
      </w:r>
      <w:r>
        <w:t xml:space="preserve">for being happy? </w:t>
      </w:r>
      <w:r>
        <w:rPr>
          <w:spacing w:val="-2"/>
        </w:rPr>
        <w:t>Supposing</w:t>
      </w:r>
      <w:r>
        <w:rPr>
          <w:spacing w:val="-17"/>
        </w:rPr>
        <w:t xml:space="preserve"> </w:t>
      </w:r>
      <w:r>
        <w:rPr>
          <w:spacing w:val="-2"/>
        </w:rPr>
        <w:t>that</w:t>
      </w:r>
      <w:r>
        <w:rPr>
          <w:spacing w:val="-17"/>
        </w:rPr>
        <w:t xml:space="preserve"> </w:t>
      </w:r>
      <w:r>
        <w:rPr>
          <w:spacing w:val="-2"/>
        </w:rPr>
        <w:t>Smith</w:t>
      </w:r>
      <w:r>
        <w:rPr>
          <w:spacing w:val="-17"/>
        </w:rPr>
        <w:t xml:space="preserve"> </w:t>
      </w:r>
      <w:r>
        <w:rPr>
          <w:spacing w:val="-2"/>
        </w:rPr>
        <w:t>is</w:t>
      </w:r>
      <w:r>
        <w:rPr>
          <w:spacing w:val="-16"/>
        </w:rPr>
        <w:t xml:space="preserve"> </w:t>
      </w:r>
      <w:r>
        <w:rPr>
          <w:spacing w:val="-2"/>
        </w:rPr>
        <w:t>somebody</w:t>
      </w:r>
      <w:r>
        <w:rPr>
          <w:spacing w:val="-17"/>
        </w:rPr>
        <w:t xml:space="preserve"> </w:t>
      </w:r>
      <w:r>
        <w:rPr>
          <w:spacing w:val="-2"/>
        </w:rPr>
        <w:t>who</w:t>
      </w:r>
      <w:r>
        <w:rPr>
          <w:spacing w:val="-17"/>
        </w:rPr>
        <w:t xml:space="preserve"> </w:t>
      </w:r>
      <w:r>
        <w:rPr>
          <w:spacing w:val="-2"/>
        </w:rPr>
        <w:t>is</w:t>
      </w:r>
      <w:r>
        <w:rPr>
          <w:spacing w:val="-17"/>
        </w:rPr>
        <w:t xml:space="preserve"> </w:t>
      </w:r>
      <w:r>
        <w:rPr>
          <w:spacing w:val="-2"/>
        </w:rPr>
        <w:t>just</w:t>
      </w:r>
      <w:r>
        <w:rPr>
          <w:spacing w:val="-16"/>
        </w:rPr>
        <w:t xml:space="preserve"> </w:t>
      </w:r>
      <w:r>
        <w:rPr>
          <w:spacing w:val="-2"/>
        </w:rPr>
        <w:t>naturally</w:t>
      </w:r>
      <w:r>
        <w:rPr>
          <w:spacing w:val="-17"/>
        </w:rPr>
        <w:t xml:space="preserve"> </w:t>
      </w:r>
      <w:r>
        <w:rPr>
          <w:spacing w:val="-2"/>
        </w:rPr>
        <w:t>chipper,</w:t>
      </w:r>
      <w:r>
        <w:rPr>
          <w:spacing w:val="-17"/>
        </w:rPr>
        <w:t xml:space="preserve"> </w:t>
      </w:r>
      <w:r>
        <w:rPr>
          <w:spacing w:val="-2"/>
        </w:rPr>
        <w:t>it’s</w:t>
      </w:r>
      <w:r>
        <w:rPr>
          <w:spacing w:val="-17"/>
        </w:rPr>
        <w:t xml:space="preserve"> </w:t>
      </w:r>
      <w:r>
        <w:rPr>
          <w:spacing w:val="-2"/>
        </w:rPr>
        <w:t>obviously</w:t>
      </w:r>
      <w:r>
        <w:rPr>
          <w:spacing w:val="-16"/>
        </w:rPr>
        <w:t xml:space="preserve"> </w:t>
      </w:r>
      <w:r>
        <w:rPr>
          <w:spacing w:val="-2"/>
        </w:rPr>
        <w:t xml:space="preserve">a </w:t>
      </w:r>
      <w:r>
        <w:t>good</w:t>
      </w:r>
      <w:r>
        <w:rPr>
          <w:spacing w:val="-19"/>
        </w:rPr>
        <w:t xml:space="preserve"> </w:t>
      </w:r>
      <w:r>
        <w:t>thing—nay,</w:t>
      </w:r>
      <w:r>
        <w:rPr>
          <w:spacing w:val="-19"/>
        </w:rPr>
        <w:t xml:space="preserve"> </w:t>
      </w:r>
      <w:r>
        <w:t>an</w:t>
      </w:r>
      <w:r>
        <w:rPr>
          <w:spacing w:val="-19"/>
        </w:rPr>
        <w:t xml:space="preserve"> </w:t>
      </w:r>
      <w:r>
        <w:t>intrinsically</w:t>
      </w:r>
      <w:r>
        <w:rPr>
          <w:spacing w:val="-18"/>
        </w:rPr>
        <w:t xml:space="preserve"> </w:t>
      </w:r>
      <w:r>
        <w:t>good</w:t>
      </w:r>
      <w:r>
        <w:rPr>
          <w:spacing w:val="-19"/>
        </w:rPr>
        <w:t xml:space="preserve"> </w:t>
      </w:r>
      <w:r>
        <w:t>thing—that</w:t>
      </w:r>
      <w:r>
        <w:rPr>
          <w:spacing w:val="-19"/>
        </w:rPr>
        <w:t xml:space="preserve"> </w:t>
      </w:r>
      <w:r>
        <w:t>Smith</w:t>
      </w:r>
      <w:r>
        <w:rPr>
          <w:spacing w:val="-19"/>
        </w:rPr>
        <w:t xml:space="preserve"> </w:t>
      </w:r>
      <w:r>
        <w:t>is</w:t>
      </w:r>
      <w:r>
        <w:rPr>
          <w:spacing w:val="-18"/>
        </w:rPr>
        <w:t xml:space="preserve"> </w:t>
      </w:r>
      <w:r>
        <w:t>in</w:t>
      </w:r>
      <w:r>
        <w:rPr>
          <w:spacing w:val="-19"/>
        </w:rPr>
        <w:t xml:space="preserve"> </w:t>
      </w:r>
      <w:r>
        <w:t>good</w:t>
      </w:r>
      <w:r>
        <w:rPr>
          <w:spacing w:val="-19"/>
        </w:rPr>
        <w:t xml:space="preserve"> </w:t>
      </w:r>
      <w:r>
        <w:t>spirits.</w:t>
      </w:r>
      <w:r>
        <w:rPr>
          <w:spacing w:val="-19"/>
        </w:rPr>
        <w:t xml:space="preserve"> </w:t>
      </w:r>
      <w:r>
        <w:t>The more</w:t>
      </w:r>
      <w:r>
        <w:rPr>
          <w:spacing w:val="-13"/>
        </w:rPr>
        <w:t xml:space="preserve"> </w:t>
      </w:r>
      <w:r>
        <w:t>happiness,</w:t>
      </w:r>
      <w:r>
        <w:rPr>
          <w:spacing w:val="-13"/>
        </w:rPr>
        <w:t xml:space="preserve"> </w:t>
      </w:r>
      <w:r>
        <w:t>the</w:t>
      </w:r>
      <w:r>
        <w:rPr>
          <w:spacing w:val="-13"/>
        </w:rPr>
        <w:t xml:space="preserve"> </w:t>
      </w:r>
      <w:r>
        <w:t>better,</w:t>
      </w:r>
      <w:r>
        <w:rPr>
          <w:spacing w:val="-13"/>
        </w:rPr>
        <w:t xml:space="preserve"> </w:t>
      </w:r>
      <w:r>
        <w:t>after</w:t>
      </w:r>
      <w:r>
        <w:rPr>
          <w:spacing w:val="-13"/>
        </w:rPr>
        <w:t xml:space="preserve"> </w:t>
      </w:r>
      <w:r>
        <w:t>all.</w:t>
      </w:r>
      <w:r>
        <w:rPr>
          <w:spacing w:val="-13"/>
        </w:rPr>
        <w:t xml:space="preserve"> </w:t>
      </w:r>
      <w:r>
        <w:t>But</w:t>
      </w:r>
      <w:r>
        <w:rPr>
          <w:spacing w:val="-13"/>
        </w:rPr>
        <w:t xml:space="preserve"> </w:t>
      </w:r>
      <w:r>
        <w:t>Smith</w:t>
      </w:r>
      <w:r>
        <w:rPr>
          <w:spacing w:val="-13"/>
        </w:rPr>
        <w:t xml:space="preserve"> </w:t>
      </w:r>
      <w:r>
        <w:t>doesn’t</w:t>
      </w:r>
      <w:r>
        <w:rPr>
          <w:spacing w:val="-13"/>
        </w:rPr>
        <w:t xml:space="preserve"> </w:t>
      </w:r>
      <w:r>
        <w:t>necessarily</w:t>
      </w:r>
      <w:r>
        <w:rPr>
          <w:spacing w:val="-13"/>
        </w:rPr>
        <w:t xml:space="preserve"> </w:t>
      </w:r>
      <w:r>
        <w:t>deserve</w:t>
      </w:r>
      <w:r>
        <w:rPr>
          <w:spacing w:val="-13"/>
        </w:rPr>
        <w:t xml:space="preserve"> </w:t>
      </w:r>
      <w:r>
        <w:t xml:space="preserve">any </w:t>
      </w:r>
      <w:r>
        <w:rPr>
          <w:i/>
        </w:rPr>
        <w:t>praise</w:t>
      </w:r>
      <w:r>
        <w:rPr>
          <w:i/>
          <w:spacing w:val="-19"/>
        </w:rPr>
        <w:t xml:space="preserve"> </w:t>
      </w:r>
      <w:r>
        <w:t>for</w:t>
      </w:r>
      <w:r>
        <w:rPr>
          <w:spacing w:val="-19"/>
        </w:rPr>
        <w:t xml:space="preserve"> </w:t>
      </w:r>
      <w:r>
        <w:t>being</w:t>
      </w:r>
      <w:r>
        <w:rPr>
          <w:spacing w:val="-19"/>
        </w:rPr>
        <w:t xml:space="preserve"> </w:t>
      </w:r>
      <w:r>
        <w:t>happy.</w:t>
      </w:r>
      <w:r>
        <w:rPr>
          <w:spacing w:val="-18"/>
        </w:rPr>
        <w:t xml:space="preserve"> </w:t>
      </w:r>
      <w:r>
        <w:t>It</w:t>
      </w:r>
      <w:r>
        <w:rPr>
          <w:spacing w:val="-19"/>
        </w:rPr>
        <w:t xml:space="preserve"> </w:t>
      </w:r>
      <w:r>
        <w:t>could</w:t>
      </w:r>
      <w:r>
        <w:rPr>
          <w:spacing w:val="-19"/>
        </w:rPr>
        <w:t xml:space="preserve"> </w:t>
      </w:r>
      <w:r>
        <w:t>be</w:t>
      </w:r>
      <w:r>
        <w:rPr>
          <w:spacing w:val="-19"/>
        </w:rPr>
        <w:t xml:space="preserve"> </w:t>
      </w:r>
      <w:r>
        <w:t>he</w:t>
      </w:r>
      <w:r>
        <w:rPr>
          <w:spacing w:val="-18"/>
        </w:rPr>
        <w:t xml:space="preserve"> </w:t>
      </w:r>
      <w:r>
        <w:t>is</w:t>
      </w:r>
      <w:r>
        <w:rPr>
          <w:spacing w:val="-19"/>
        </w:rPr>
        <w:t xml:space="preserve"> </w:t>
      </w:r>
      <w:r>
        <w:t>just</w:t>
      </w:r>
      <w:r>
        <w:rPr>
          <w:spacing w:val="-18"/>
        </w:rPr>
        <w:t xml:space="preserve"> </w:t>
      </w:r>
      <w:r>
        <w:t>naturally</w:t>
      </w:r>
      <w:r>
        <w:rPr>
          <w:spacing w:val="-18"/>
        </w:rPr>
        <w:t xml:space="preserve"> </w:t>
      </w:r>
      <w:r>
        <w:t>happy</w:t>
      </w:r>
      <w:r>
        <w:rPr>
          <w:spacing w:val="-18"/>
        </w:rPr>
        <w:t xml:space="preserve"> </w:t>
      </w:r>
      <w:r>
        <w:t>and</w:t>
      </w:r>
      <w:r>
        <w:rPr>
          <w:spacing w:val="-18"/>
        </w:rPr>
        <w:t xml:space="preserve"> </w:t>
      </w:r>
      <w:r>
        <w:t>that</w:t>
      </w:r>
      <w:r>
        <w:rPr>
          <w:spacing w:val="-18"/>
        </w:rPr>
        <w:t xml:space="preserve"> </w:t>
      </w:r>
      <w:r>
        <w:t>he</w:t>
      </w:r>
      <w:r>
        <w:rPr>
          <w:spacing w:val="-18"/>
        </w:rPr>
        <w:t xml:space="preserve"> </w:t>
      </w:r>
      <w:r>
        <w:t>doesn’t have</w:t>
      </w:r>
      <w:r>
        <w:rPr>
          <w:spacing w:val="-21"/>
        </w:rPr>
        <w:t xml:space="preserve"> </w:t>
      </w:r>
      <w:r>
        <w:t>to</w:t>
      </w:r>
      <w:r>
        <w:rPr>
          <w:spacing w:val="-19"/>
        </w:rPr>
        <w:t xml:space="preserve"> </w:t>
      </w:r>
      <w:r>
        <w:t>make</w:t>
      </w:r>
      <w:r>
        <w:rPr>
          <w:spacing w:val="-19"/>
        </w:rPr>
        <w:t xml:space="preserve"> </w:t>
      </w:r>
      <w:r>
        <w:t>any</w:t>
      </w:r>
      <w:r>
        <w:rPr>
          <w:spacing w:val="-18"/>
        </w:rPr>
        <w:t xml:space="preserve"> </w:t>
      </w:r>
      <w:r>
        <w:t>special</w:t>
      </w:r>
      <w:r>
        <w:rPr>
          <w:spacing w:val="-19"/>
        </w:rPr>
        <w:t xml:space="preserve"> </w:t>
      </w:r>
      <w:r>
        <w:t>effort</w:t>
      </w:r>
      <w:r>
        <w:rPr>
          <w:spacing w:val="-19"/>
        </w:rPr>
        <w:t xml:space="preserve"> </w:t>
      </w:r>
      <w:r>
        <w:t>or</w:t>
      </w:r>
      <w:r>
        <w:rPr>
          <w:spacing w:val="-19"/>
        </w:rPr>
        <w:t xml:space="preserve"> </w:t>
      </w:r>
      <w:r>
        <w:t>do</w:t>
      </w:r>
      <w:r>
        <w:rPr>
          <w:spacing w:val="-18"/>
        </w:rPr>
        <w:t xml:space="preserve"> </w:t>
      </w:r>
      <w:r>
        <w:t>anything</w:t>
      </w:r>
      <w:r>
        <w:rPr>
          <w:spacing w:val="-19"/>
        </w:rPr>
        <w:t xml:space="preserve"> </w:t>
      </w:r>
      <w:r>
        <w:t>particularly</w:t>
      </w:r>
      <w:r>
        <w:rPr>
          <w:spacing w:val="-19"/>
        </w:rPr>
        <w:t xml:space="preserve"> </w:t>
      </w:r>
      <w:r>
        <w:t>estimable,</w:t>
      </w:r>
      <w:r>
        <w:rPr>
          <w:spacing w:val="-19"/>
        </w:rPr>
        <w:t xml:space="preserve"> </w:t>
      </w:r>
      <w:r>
        <w:t>to</w:t>
      </w:r>
      <w:r>
        <w:rPr>
          <w:spacing w:val="-18"/>
        </w:rPr>
        <w:t xml:space="preserve"> </w:t>
      </w:r>
      <w:r>
        <w:t>remain happy</w:t>
      </w:r>
      <w:r>
        <w:rPr>
          <w:spacing w:val="-13"/>
        </w:rPr>
        <w:t xml:space="preserve"> </w:t>
      </w:r>
      <w:r>
        <w:t>or,</w:t>
      </w:r>
      <w:r>
        <w:rPr>
          <w:spacing w:val="-13"/>
        </w:rPr>
        <w:t xml:space="preserve"> </w:t>
      </w:r>
      <w:r>
        <w:t>if</w:t>
      </w:r>
      <w:r>
        <w:rPr>
          <w:spacing w:val="-13"/>
        </w:rPr>
        <w:t xml:space="preserve"> </w:t>
      </w:r>
      <w:r>
        <w:t>he</w:t>
      </w:r>
      <w:r>
        <w:rPr>
          <w:spacing w:val="-13"/>
        </w:rPr>
        <w:t xml:space="preserve"> </w:t>
      </w:r>
      <w:r>
        <w:t>happens</w:t>
      </w:r>
      <w:r>
        <w:rPr>
          <w:spacing w:val="-13"/>
        </w:rPr>
        <w:t xml:space="preserve"> </w:t>
      </w:r>
      <w:r>
        <w:t>to</w:t>
      </w:r>
      <w:r>
        <w:rPr>
          <w:spacing w:val="-13"/>
        </w:rPr>
        <w:t xml:space="preserve"> </w:t>
      </w:r>
      <w:r>
        <w:t>become</w:t>
      </w:r>
      <w:r>
        <w:rPr>
          <w:spacing w:val="-13"/>
        </w:rPr>
        <w:t xml:space="preserve"> </w:t>
      </w:r>
      <w:r>
        <w:t>blue,</w:t>
      </w:r>
      <w:r>
        <w:rPr>
          <w:spacing w:val="-13"/>
        </w:rPr>
        <w:t xml:space="preserve"> </w:t>
      </w:r>
      <w:r>
        <w:t>to</w:t>
      </w:r>
      <w:r>
        <w:rPr>
          <w:spacing w:val="-13"/>
        </w:rPr>
        <w:t xml:space="preserve"> </w:t>
      </w:r>
      <w:r>
        <w:t>become</w:t>
      </w:r>
      <w:r>
        <w:rPr>
          <w:spacing w:val="-13"/>
        </w:rPr>
        <w:t xml:space="preserve"> </w:t>
      </w:r>
      <w:r>
        <w:t>happy</w:t>
      </w:r>
      <w:r>
        <w:rPr>
          <w:spacing w:val="-13"/>
        </w:rPr>
        <w:t xml:space="preserve"> </w:t>
      </w:r>
      <w:r>
        <w:t>again.</w:t>
      </w:r>
      <w:r>
        <w:rPr>
          <w:spacing w:val="-13"/>
        </w:rPr>
        <w:t xml:space="preserve"> </w:t>
      </w:r>
      <w:r>
        <w:t>Of</w:t>
      </w:r>
      <w:r>
        <w:rPr>
          <w:spacing w:val="-13"/>
        </w:rPr>
        <w:t xml:space="preserve"> </w:t>
      </w:r>
      <w:r>
        <w:t>course,</w:t>
      </w:r>
      <w:r>
        <w:rPr>
          <w:spacing w:val="-13"/>
        </w:rPr>
        <w:t xml:space="preserve"> </w:t>
      </w:r>
      <w:r>
        <w:t xml:space="preserve">it’s </w:t>
      </w:r>
      <w:r>
        <w:rPr>
          <w:i/>
        </w:rPr>
        <w:t>possible</w:t>
      </w:r>
      <w:r>
        <w:rPr>
          <w:i/>
          <w:spacing w:val="-19"/>
        </w:rPr>
        <w:t xml:space="preserve"> </w:t>
      </w:r>
      <w:r>
        <w:t>that Smith has to commit noble deeds to be happy—that he’s deeply depressed</w:t>
      </w:r>
      <w:r>
        <w:rPr>
          <w:spacing w:val="-15"/>
        </w:rPr>
        <w:t xml:space="preserve"> </w:t>
      </w:r>
      <w:r>
        <w:rPr>
          <w:i/>
          <w:spacing w:val="11"/>
        </w:rPr>
        <w:t>unless</w:t>
      </w:r>
      <w:r>
        <w:rPr>
          <w:i/>
          <w:spacing w:val="-15"/>
        </w:rPr>
        <w:t xml:space="preserve"> </w:t>
      </w:r>
      <w:r>
        <w:t>he has recently done something good. It’s possible, for example,</w:t>
      </w:r>
      <w:r>
        <w:rPr>
          <w:spacing w:val="-16"/>
        </w:rPr>
        <w:t xml:space="preserve"> </w:t>
      </w:r>
      <w:r>
        <w:t>that</w:t>
      </w:r>
      <w:r>
        <w:rPr>
          <w:spacing w:val="-16"/>
        </w:rPr>
        <w:t xml:space="preserve"> </w:t>
      </w:r>
      <w:r>
        <w:t>Smith</w:t>
      </w:r>
      <w:r>
        <w:rPr>
          <w:spacing w:val="-16"/>
        </w:rPr>
        <w:t xml:space="preserve"> </w:t>
      </w:r>
      <w:r>
        <w:t>will</w:t>
      </w:r>
      <w:r>
        <w:rPr>
          <w:spacing w:val="-16"/>
        </w:rPr>
        <w:t xml:space="preserve"> </w:t>
      </w:r>
      <w:r>
        <w:t>fall</w:t>
      </w:r>
      <w:r>
        <w:rPr>
          <w:spacing w:val="-16"/>
        </w:rPr>
        <w:t xml:space="preserve"> </w:t>
      </w:r>
      <w:r>
        <w:t>into</w:t>
      </w:r>
      <w:r>
        <w:rPr>
          <w:spacing w:val="-16"/>
        </w:rPr>
        <w:t xml:space="preserve"> </w:t>
      </w:r>
      <w:r>
        <w:t>a</w:t>
      </w:r>
      <w:r>
        <w:rPr>
          <w:spacing w:val="-16"/>
        </w:rPr>
        <w:t xml:space="preserve"> </w:t>
      </w:r>
      <w:r>
        <w:t>deep</w:t>
      </w:r>
      <w:r>
        <w:rPr>
          <w:spacing w:val="-16"/>
        </w:rPr>
        <w:t xml:space="preserve"> </w:t>
      </w:r>
      <w:r>
        <w:t>depression</w:t>
      </w:r>
      <w:r>
        <w:rPr>
          <w:spacing w:val="-16"/>
        </w:rPr>
        <w:t xml:space="preserve"> </w:t>
      </w:r>
      <w:r>
        <w:t>unless</w:t>
      </w:r>
      <w:r>
        <w:rPr>
          <w:spacing w:val="-16"/>
        </w:rPr>
        <w:t xml:space="preserve"> </w:t>
      </w:r>
      <w:r>
        <w:t>he</w:t>
      </w:r>
      <w:r>
        <w:rPr>
          <w:spacing w:val="-16"/>
        </w:rPr>
        <w:t xml:space="preserve"> </w:t>
      </w:r>
      <w:r>
        <w:t>has</w:t>
      </w:r>
      <w:r>
        <w:rPr>
          <w:spacing w:val="-16"/>
        </w:rPr>
        <w:t xml:space="preserve"> </w:t>
      </w:r>
      <w:r>
        <w:t>just</w:t>
      </w:r>
      <w:r>
        <w:rPr>
          <w:spacing w:val="-16"/>
        </w:rPr>
        <w:t xml:space="preserve"> </w:t>
      </w:r>
      <w:r>
        <w:t>saved</w:t>
      </w:r>
      <w:r>
        <w:rPr>
          <w:spacing w:val="-16"/>
        </w:rPr>
        <w:t xml:space="preserve"> </w:t>
      </w:r>
      <w:r>
        <w:t xml:space="preserve">the life of a drowning child or helped a child learn to read, or some such. But it’s </w:t>
      </w:r>
      <w:r>
        <w:rPr>
          <w:spacing w:val="-2"/>
        </w:rPr>
        <w:t>also</w:t>
      </w:r>
      <w:r>
        <w:rPr>
          <w:spacing w:val="-11"/>
        </w:rPr>
        <w:t xml:space="preserve"> </w:t>
      </w:r>
      <w:r>
        <w:rPr>
          <w:spacing w:val="-2"/>
        </w:rPr>
        <w:t>possible—and,</w:t>
      </w:r>
      <w:r>
        <w:rPr>
          <w:spacing w:val="-11"/>
        </w:rPr>
        <w:t xml:space="preserve"> </w:t>
      </w:r>
      <w:r>
        <w:rPr>
          <w:spacing w:val="-2"/>
        </w:rPr>
        <w:t>if</w:t>
      </w:r>
      <w:r>
        <w:rPr>
          <w:spacing w:val="-11"/>
        </w:rPr>
        <w:t xml:space="preserve"> </w:t>
      </w:r>
      <w:r>
        <w:rPr>
          <w:spacing w:val="-2"/>
        </w:rPr>
        <w:t>Smith</w:t>
      </w:r>
      <w:r>
        <w:rPr>
          <w:spacing w:val="-11"/>
        </w:rPr>
        <w:t xml:space="preserve"> </w:t>
      </w:r>
      <w:r>
        <w:rPr>
          <w:spacing w:val="-2"/>
        </w:rPr>
        <w:t>is</w:t>
      </w:r>
      <w:r>
        <w:rPr>
          <w:spacing w:val="-11"/>
        </w:rPr>
        <w:t xml:space="preserve"> </w:t>
      </w:r>
      <w:r>
        <w:rPr>
          <w:spacing w:val="-2"/>
        </w:rPr>
        <w:t>like</w:t>
      </w:r>
      <w:r>
        <w:rPr>
          <w:spacing w:val="-11"/>
        </w:rPr>
        <w:t xml:space="preserve"> </w:t>
      </w:r>
      <w:r>
        <w:rPr>
          <w:spacing w:val="-2"/>
        </w:rPr>
        <w:t>most</w:t>
      </w:r>
      <w:r>
        <w:rPr>
          <w:spacing w:val="-11"/>
        </w:rPr>
        <w:t xml:space="preserve"> </w:t>
      </w:r>
      <w:r>
        <w:rPr>
          <w:spacing w:val="-2"/>
        </w:rPr>
        <w:t>people,</w:t>
      </w:r>
      <w:r>
        <w:rPr>
          <w:spacing w:val="-11"/>
        </w:rPr>
        <w:t xml:space="preserve"> </w:t>
      </w:r>
      <w:r>
        <w:rPr>
          <w:spacing w:val="-2"/>
        </w:rPr>
        <w:t>fairly</w:t>
      </w:r>
      <w:r>
        <w:rPr>
          <w:spacing w:val="-11"/>
        </w:rPr>
        <w:t xml:space="preserve"> </w:t>
      </w:r>
      <w:r>
        <w:rPr>
          <w:spacing w:val="-2"/>
        </w:rPr>
        <w:t>probable—that</w:t>
      </w:r>
      <w:r>
        <w:rPr>
          <w:spacing w:val="-11"/>
        </w:rPr>
        <w:t xml:space="preserve"> </w:t>
      </w:r>
      <w:r>
        <w:rPr>
          <w:spacing w:val="-2"/>
        </w:rPr>
        <w:t>his</w:t>
      </w:r>
      <w:r>
        <w:rPr>
          <w:spacing w:val="-11"/>
        </w:rPr>
        <w:t xml:space="preserve"> </w:t>
      </w:r>
      <w:r>
        <w:rPr>
          <w:spacing w:val="-2"/>
        </w:rPr>
        <w:t xml:space="preserve">being </w:t>
      </w:r>
      <w:r>
        <w:t xml:space="preserve">happy is not in general a consequence of his doing something praiseworthy. </w:t>
      </w:r>
      <w:r>
        <w:rPr>
          <w:spacing w:val="-2"/>
        </w:rPr>
        <w:t>Maybe</w:t>
      </w:r>
      <w:r>
        <w:rPr>
          <w:spacing w:val="-17"/>
        </w:rPr>
        <w:t xml:space="preserve"> </w:t>
      </w:r>
      <w:r>
        <w:rPr>
          <w:spacing w:val="-2"/>
        </w:rPr>
        <w:t>Smith’s</w:t>
      </w:r>
      <w:r>
        <w:rPr>
          <w:spacing w:val="-17"/>
        </w:rPr>
        <w:t xml:space="preserve"> </w:t>
      </w:r>
      <w:r>
        <w:rPr>
          <w:spacing w:val="-2"/>
        </w:rPr>
        <w:t>endocrinal</w:t>
      </w:r>
      <w:r>
        <w:rPr>
          <w:spacing w:val="-17"/>
        </w:rPr>
        <w:t xml:space="preserve"> </w:t>
      </w:r>
      <w:r>
        <w:rPr>
          <w:spacing w:val="-2"/>
        </w:rPr>
        <w:t>system</w:t>
      </w:r>
      <w:r>
        <w:rPr>
          <w:spacing w:val="-16"/>
        </w:rPr>
        <w:t xml:space="preserve"> </w:t>
      </w:r>
      <w:r>
        <w:rPr>
          <w:spacing w:val="-2"/>
        </w:rPr>
        <w:t>just</w:t>
      </w:r>
      <w:r>
        <w:rPr>
          <w:spacing w:val="-17"/>
        </w:rPr>
        <w:t xml:space="preserve"> </w:t>
      </w:r>
      <w:r>
        <w:rPr>
          <w:spacing w:val="-2"/>
        </w:rPr>
        <w:t>happens</w:t>
      </w:r>
      <w:r>
        <w:rPr>
          <w:spacing w:val="-17"/>
        </w:rPr>
        <w:t xml:space="preserve"> </w:t>
      </w:r>
      <w:r>
        <w:rPr>
          <w:spacing w:val="-2"/>
        </w:rPr>
        <w:t>to</w:t>
      </w:r>
      <w:r>
        <w:rPr>
          <w:spacing w:val="-17"/>
        </w:rPr>
        <w:t xml:space="preserve"> </w:t>
      </w:r>
      <w:r>
        <w:rPr>
          <w:spacing w:val="-2"/>
        </w:rPr>
        <w:t>manufacture</w:t>
      </w:r>
      <w:r>
        <w:rPr>
          <w:spacing w:val="-16"/>
        </w:rPr>
        <w:t xml:space="preserve"> </w:t>
      </w:r>
      <w:r>
        <w:rPr>
          <w:spacing w:val="-2"/>
        </w:rPr>
        <w:t>happy</w:t>
      </w:r>
      <w:r>
        <w:rPr>
          <w:spacing w:val="-17"/>
        </w:rPr>
        <w:t xml:space="preserve"> </w:t>
      </w:r>
      <w:r>
        <w:rPr>
          <w:spacing w:val="-2"/>
        </w:rPr>
        <w:t xml:space="preserve">hormones </w:t>
      </w:r>
      <w:r>
        <w:t>all the time; maybe Smith is happy</w:t>
      </w:r>
      <w:r>
        <w:rPr>
          <w:spacing w:val="-8"/>
        </w:rPr>
        <w:t xml:space="preserve"> </w:t>
      </w:r>
      <w:r>
        <w:t>because he’s very shrewd at sidestepping the various social and professional landmines that less cunning people are likely</w:t>
      </w:r>
      <w:r>
        <w:rPr>
          <w:spacing w:val="40"/>
        </w:rPr>
        <w:t xml:space="preserve"> </w:t>
      </w:r>
      <w:r>
        <w:t>to</w:t>
      </w:r>
      <w:r>
        <w:rPr>
          <w:spacing w:val="40"/>
        </w:rPr>
        <w:t xml:space="preserve"> </w:t>
      </w:r>
      <w:r>
        <w:t>step</w:t>
      </w:r>
      <w:r>
        <w:rPr>
          <w:spacing w:val="40"/>
        </w:rPr>
        <w:t xml:space="preserve"> </w:t>
      </w:r>
      <w:r>
        <w:t>on;</w:t>
      </w:r>
      <w:r>
        <w:rPr>
          <w:spacing w:val="40"/>
        </w:rPr>
        <w:t xml:space="preserve"> </w:t>
      </w:r>
      <w:r>
        <w:t>maybe</w:t>
      </w:r>
      <w:r>
        <w:rPr>
          <w:spacing w:val="40"/>
        </w:rPr>
        <w:t xml:space="preserve"> </w:t>
      </w:r>
      <w:r>
        <w:t>Smith</w:t>
      </w:r>
      <w:r>
        <w:rPr>
          <w:spacing w:val="40"/>
        </w:rPr>
        <w:t xml:space="preserve"> </w:t>
      </w:r>
      <w:r>
        <w:t>is</w:t>
      </w:r>
      <w:r>
        <w:rPr>
          <w:spacing w:val="40"/>
        </w:rPr>
        <w:t xml:space="preserve"> </w:t>
      </w:r>
      <w:r>
        <w:t>evil</w:t>
      </w:r>
      <w:r>
        <w:rPr>
          <w:spacing w:val="40"/>
        </w:rPr>
        <w:t xml:space="preserve"> </w:t>
      </w:r>
      <w:r>
        <w:t>and</w:t>
      </w:r>
      <w:r>
        <w:rPr>
          <w:spacing w:val="40"/>
        </w:rPr>
        <w:t xml:space="preserve"> </w:t>
      </w:r>
      <w:r>
        <w:t>he</w:t>
      </w:r>
      <w:r>
        <w:rPr>
          <w:spacing w:val="40"/>
        </w:rPr>
        <w:t xml:space="preserve"> </w:t>
      </w:r>
      <w:r>
        <w:t>has</w:t>
      </w:r>
      <w:r>
        <w:rPr>
          <w:spacing w:val="40"/>
        </w:rPr>
        <w:t xml:space="preserve"> </w:t>
      </w:r>
      <w:r>
        <w:t>found</w:t>
      </w:r>
      <w:r>
        <w:rPr>
          <w:spacing w:val="40"/>
        </w:rPr>
        <w:t xml:space="preserve"> </w:t>
      </w:r>
      <w:r>
        <w:t>a</w:t>
      </w:r>
      <w:r>
        <w:rPr>
          <w:spacing w:val="40"/>
        </w:rPr>
        <w:t xml:space="preserve"> </w:t>
      </w:r>
      <w:r>
        <w:t>way</w:t>
      </w:r>
      <w:r>
        <w:rPr>
          <w:spacing w:val="40"/>
        </w:rPr>
        <w:t xml:space="preserve"> </w:t>
      </w:r>
      <w:r>
        <w:t>to</w:t>
      </w:r>
      <w:r>
        <w:rPr>
          <w:spacing w:val="40"/>
        </w:rPr>
        <w:t xml:space="preserve"> </w:t>
      </w:r>
      <w:r>
        <w:t>commit evil</w:t>
      </w:r>
      <w:r>
        <w:rPr>
          <w:spacing w:val="40"/>
        </w:rPr>
        <w:t xml:space="preserve"> </w:t>
      </w:r>
      <w:r>
        <w:t>acts,</w:t>
      </w:r>
      <w:r>
        <w:rPr>
          <w:spacing w:val="40"/>
        </w:rPr>
        <w:t xml:space="preserve"> </w:t>
      </w:r>
      <w:r>
        <w:t>and</w:t>
      </w:r>
      <w:r>
        <w:rPr>
          <w:spacing w:val="40"/>
        </w:rPr>
        <w:t xml:space="preserve"> </w:t>
      </w:r>
      <w:r>
        <w:t>thus</w:t>
      </w:r>
      <w:r>
        <w:rPr>
          <w:spacing w:val="40"/>
        </w:rPr>
        <w:t xml:space="preserve"> </w:t>
      </w:r>
      <w:r>
        <w:t>to</w:t>
      </w:r>
      <w:r>
        <w:rPr>
          <w:spacing w:val="40"/>
        </w:rPr>
        <w:t xml:space="preserve"> </w:t>
      </w:r>
      <w:r>
        <w:t>make</w:t>
      </w:r>
      <w:r>
        <w:rPr>
          <w:spacing w:val="40"/>
        </w:rPr>
        <w:t xml:space="preserve"> </w:t>
      </w:r>
      <w:r>
        <w:t>himself</w:t>
      </w:r>
      <w:r>
        <w:rPr>
          <w:spacing w:val="40"/>
        </w:rPr>
        <w:t xml:space="preserve"> </w:t>
      </w:r>
      <w:r>
        <w:t>happy,</w:t>
      </w:r>
      <w:r>
        <w:rPr>
          <w:spacing w:val="40"/>
        </w:rPr>
        <w:t xml:space="preserve"> </w:t>
      </w:r>
      <w:r>
        <w:t>without</w:t>
      </w:r>
      <w:r>
        <w:rPr>
          <w:spacing w:val="40"/>
        </w:rPr>
        <w:t xml:space="preserve"> </w:t>
      </w:r>
      <w:r>
        <w:t>getting</w:t>
      </w:r>
      <w:r>
        <w:rPr>
          <w:spacing w:val="40"/>
        </w:rPr>
        <w:t xml:space="preserve"> </w:t>
      </w:r>
      <w:r>
        <w:t>in</w:t>
      </w:r>
      <w:r>
        <w:rPr>
          <w:spacing w:val="40"/>
        </w:rPr>
        <w:t xml:space="preserve"> </w:t>
      </w:r>
      <w:r>
        <w:t>trouble. There are a lot of reasons why</w:t>
      </w:r>
    </w:p>
    <w:p w14:paraId="7E0022FE" w14:textId="77777777" w:rsidR="009A58DB" w:rsidRDefault="00000000">
      <w:pPr>
        <w:pStyle w:val="BodyText"/>
        <w:spacing w:before="22" w:line="249" w:lineRule="auto"/>
        <w:ind w:right="367"/>
      </w:pPr>
      <w:r>
        <w:t xml:space="preserve">Smith might be happy. And, undeniably, Smith’s happiness is a good thing. But it is by no means something that is </w:t>
      </w:r>
      <w:r>
        <w:rPr>
          <w:i/>
        </w:rPr>
        <w:t xml:space="preserve">in all cases </w:t>
      </w:r>
      <w:r>
        <w:t>praiseworthy.</w:t>
      </w:r>
    </w:p>
    <w:p w14:paraId="7E0022FF" w14:textId="77777777" w:rsidR="009A58DB" w:rsidRDefault="00000000">
      <w:pPr>
        <w:pStyle w:val="BodyText"/>
        <w:spacing w:before="2" w:line="249" w:lineRule="auto"/>
        <w:ind w:right="359" w:firstLine="360"/>
      </w:pPr>
      <w:r>
        <w:t xml:space="preserve">To take a more stark example, the happiness of a rabbit is a good thing. But, given their cognitive limitations, rabbits are not capable of acting in a praiseworthy manner. To be sure, it’s </w:t>
      </w:r>
      <w:r>
        <w:rPr>
          <w:i/>
        </w:rPr>
        <w:t xml:space="preserve">good </w:t>
      </w:r>
      <w:r>
        <w:t xml:space="preserve">that they’re happy (when they’re happy). But, good though a rabbit’s happiness is, the rabbit doesn’t deserve praise for being happy—it isn’t in the same category as Gandhi or Mother Teresa. So happiness is non-instrumentally good, while at the same time not being </w:t>
      </w:r>
      <w:r>
        <w:rPr>
          <w:i/>
        </w:rPr>
        <w:t xml:space="preserve">commendable. </w:t>
      </w:r>
      <w:r>
        <w:t>(“Commendable” is a synonym for “praiseworthy.”)</w:t>
      </w:r>
    </w:p>
    <w:p w14:paraId="7E002300" w14:textId="77777777" w:rsidR="009A58DB" w:rsidRDefault="00000000">
      <w:pPr>
        <w:pStyle w:val="BodyText"/>
        <w:spacing w:before="9" w:line="249" w:lineRule="auto"/>
        <w:ind w:right="358" w:firstLine="360"/>
      </w:pPr>
      <w:r>
        <w:t xml:space="preserve">But, of course, some intrinsically good things </w:t>
      </w:r>
      <w:r>
        <w:rPr>
          <w:i/>
        </w:rPr>
        <w:t xml:space="preserve">are </w:t>
      </w:r>
      <w:r>
        <w:t xml:space="preserve">praiseworthy. Suppose that Jones spends a great deal of time and energy working for a charity and that he does so knowing he does not reap any kind of practical benefit from his labors. Jones’ behavior is obviously praiseworthy—that is, it is </w:t>
      </w:r>
      <w:r>
        <w:rPr>
          <w:i/>
        </w:rPr>
        <w:t xml:space="preserve">commendable, </w:t>
      </w:r>
      <w:r>
        <w:t>and it is also intrinsically good.</w:t>
      </w:r>
    </w:p>
    <w:p w14:paraId="7E00230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02" w14:textId="77777777" w:rsidR="009A58DB" w:rsidRDefault="00000000">
      <w:pPr>
        <w:pStyle w:val="BodyText"/>
        <w:spacing w:before="65" w:line="249" w:lineRule="auto"/>
        <w:ind w:right="359" w:firstLine="360"/>
      </w:pPr>
      <w:r>
        <w:lastRenderedPageBreak/>
        <w:t>Another</w:t>
      </w:r>
      <w:r>
        <w:rPr>
          <w:spacing w:val="-1"/>
        </w:rPr>
        <w:t xml:space="preserve"> </w:t>
      </w:r>
      <w:r>
        <w:t>example:</w:t>
      </w:r>
      <w:r>
        <w:rPr>
          <w:spacing w:val="-1"/>
        </w:rPr>
        <w:t xml:space="preserve"> </w:t>
      </w:r>
      <w:r>
        <w:t>Suppose</w:t>
      </w:r>
      <w:r>
        <w:rPr>
          <w:spacing w:val="-1"/>
        </w:rPr>
        <w:t xml:space="preserve"> </w:t>
      </w:r>
      <w:r>
        <w:t>that</w:t>
      </w:r>
      <w:r>
        <w:rPr>
          <w:spacing w:val="-1"/>
        </w:rPr>
        <w:t xml:space="preserve"> </w:t>
      </w:r>
      <w:r>
        <w:t>Smith</w:t>
      </w:r>
      <w:r>
        <w:rPr>
          <w:spacing w:val="-1"/>
        </w:rPr>
        <w:t xml:space="preserve"> </w:t>
      </w:r>
      <w:r>
        <w:t>is</w:t>
      </w:r>
      <w:r>
        <w:rPr>
          <w:spacing w:val="-1"/>
        </w:rPr>
        <w:t xml:space="preserve"> </w:t>
      </w:r>
      <w:r>
        <w:t>a</w:t>
      </w:r>
      <w:r>
        <w:rPr>
          <w:spacing w:val="-1"/>
        </w:rPr>
        <w:t xml:space="preserve"> </w:t>
      </w:r>
      <w:r>
        <w:t>naturally</w:t>
      </w:r>
      <w:r>
        <w:rPr>
          <w:spacing w:val="-1"/>
        </w:rPr>
        <w:t xml:space="preserve"> </w:t>
      </w:r>
      <w:r>
        <w:t>talented</w:t>
      </w:r>
      <w:r>
        <w:rPr>
          <w:spacing w:val="-1"/>
        </w:rPr>
        <w:t xml:space="preserve"> </w:t>
      </w:r>
      <w:r>
        <w:t>musician</w:t>
      </w:r>
      <w:r>
        <w:rPr>
          <w:spacing w:val="-1"/>
        </w:rPr>
        <w:t xml:space="preserve"> </w:t>
      </w:r>
      <w:r>
        <w:t xml:space="preserve">who plays the piano very well. Suppose, in fact, that Smith is blessed with so much native talent that he never had to work hard to play the piano well—it just came to him naturally. Smith’s musical talent is intrinsically good, as is the happiness it brings him. But Smith doesn’t deserve any </w:t>
      </w:r>
      <w:r>
        <w:rPr>
          <w:i/>
        </w:rPr>
        <w:t xml:space="preserve">praise </w:t>
      </w:r>
      <w:r>
        <w:t>for happening to have been blessed with this talent. (How could he deserve</w:t>
      </w:r>
      <w:r>
        <w:rPr>
          <w:spacing w:val="40"/>
        </w:rPr>
        <w:t xml:space="preserve"> </w:t>
      </w:r>
      <w:r>
        <w:t>praise for the occurrence of something over which he has no control?) It’s good that he has such talent. But he doesn’t deserve to be praised for it in the way in which Mother Teresa deserves to be praised for her good works.</w:t>
      </w:r>
    </w:p>
    <w:p w14:paraId="7E002303" w14:textId="77777777" w:rsidR="009A58DB" w:rsidRDefault="00000000">
      <w:pPr>
        <w:pStyle w:val="BodyText"/>
        <w:spacing w:before="11" w:line="249" w:lineRule="auto"/>
        <w:ind w:right="364" w:firstLine="360"/>
      </w:pPr>
      <w:r>
        <w:t>Bottom line: there are two kinds of intrinsic goods—those which are commendable and those which are not.</w:t>
      </w:r>
    </w:p>
    <w:p w14:paraId="7E002304" w14:textId="77777777" w:rsidR="009A58DB" w:rsidRDefault="00000000">
      <w:pPr>
        <w:pStyle w:val="Heading1"/>
        <w:numPr>
          <w:ilvl w:val="1"/>
          <w:numId w:val="65"/>
        </w:numPr>
        <w:tabs>
          <w:tab w:val="left" w:pos="1409"/>
        </w:tabs>
        <w:spacing w:before="190"/>
        <w:ind w:left="1409" w:hanging="1049"/>
      </w:pPr>
      <w:r>
        <w:t>Two</w:t>
      </w:r>
      <w:r>
        <w:rPr>
          <w:spacing w:val="-6"/>
        </w:rPr>
        <w:t xml:space="preserve"> </w:t>
      </w:r>
      <w:r>
        <w:t>kinds</w:t>
      </w:r>
      <w:r>
        <w:rPr>
          <w:spacing w:val="-5"/>
        </w:rPr>
        <w:t xml:space="preserve"> </w:t>
      </w:r>
      <w:r>
        <w:t>of</w:t>
      </w:r>
      <w:r>
        <w:rPr>
          <w:spacing w:val="-4"/>
        </w:rPr>
        <w:t xml:space="preserve"> </w:t>
      </w:r>
      <w:r>
        <w:t>intrinsic</w:t>
      </w:r>
      <w:r>
        <w:rPr>
          <w:spacing w:val="-4"/>
        </w:rPr>
        <w:t xml:space="preserve"> </w:t>
      </w:r>
      <w:r>
        <w:rPr>
          <w:spacing w:val="-2"/>
        </w:rPr>
        <w:t>badness</w:t>
      </w:r>
    </w:p>
    <w:p w14:paraId="7E002305" w14:textId="77777777" w:rsidR="009A58DB" w:rsidRDefault="00000000">
      <w:pPr>
        <w:pStyle w:val="BodyText"/>
        <w:spacing w:before="139" w:line="249" w:lineRule="auto"/>
        <w:ind w:right="370"/>
      </w:pPr>
      <w:r>
        <w:t>Just as there are two kinds of intrinsic goodness, so there are two kinds of intrinsic badness.</w:t>
      </w:r>
    </w:p>
    <w:p w14:paraId="7E002306" w14:textId="77777777" w:rsidR="009A58DB" w:rsidRDefault="00000000">
      <w:pPr>
        <w:pStyle w:val="BodyText"/>
        <w:spacing w:before="3" w:line="249" w:lineRule="auto"/>
        <w:ind w:right="360" w:firstLine="360"/>
      </w:pPr>
      <w:r>
        <w:t>It’s</w:t>
      </w:r>
      <w:r>
        <w:rPr>
          <w:spacing w:val="-1"/>
        </w:rPr>
        <w:t xml:space="preserve"> </w:t>
      </w:r>
      <w:r>
        <w:t>obviously</w:t>
      </w:r>
      <w:r>
        <w:rPr>
          <w:spacing w:val="-1"/>
        </w:rPr>
        <w:t xml:space="preserve"> </w:t>
      </w:r>
      <w:r>
        <w:t>bad</w:t>
      </w:r>
      <w:r>
        <w:rPr>
          <w:spacing w:val="-1"/>
        </w:rPr>
        <w:t xml:space="preserve"> </w:t>
      </w:r>
      <w:r>
        <w:t>to</w:t>
      </w:r>
      <w:r>
        <w:rPr>
          <w:spacing w:val="-1"/>
        </w:rPr>
        <w:t xml:space="preserve"> </w:t>
      </w:r>
      <w:r>
        <w:t>be</w:t>
      </w:r>
      <w:r>
        <w:rPr>
          <w:spacing w:val="-1"/>
        </w:rPr>
        <w:t xml:space="preserve"> </w:t>
      </w:r>
      <w:r>
        <w:t>unhappy.</w:t>
      </w:r>
      <w:r>
        <w:rPr>
          <w:spacing w:val="-1"/>
        </w:rPr>
        <w:t xml:space="preserve"> </w:t>
      </w:r>
      <w:r>
        <w:t>And</w:t>
      </w:r>
      <w:r>
        <w:rPr>
          <w:spacing w:val="-1"/>
        </w:rPr>
        <w:t xml:space="preserve"> </w:t>
      </w:r>
      <w:r>
        <w:t>the</w:t>
      </w:r>
      <w:r>
        <w:rPr>
          <w:spacing w:val="-1"/>
        </w:rPr>
        <w:t xml:space="preserve"> </w:t>
      </w:r>
      <w:r>
        <w:t>badness</w:t>
      </w:r>
      <w:r>
        <w:rPr>
          <w:spacing w:val="-1"/>
        </w:rPr>
        <w:t xml:space="preserve"> </w:t>
      </w:r>
      <w:r>
        <w:t>in</w:t>
      </w:r>
      <w:r>
        <w:rPr>
          <w:spacing w:val="-1"/>
        </w:rPr>
        <w:t xml:space="preserve"> </w:t>
      </w:r>
      <w:r>
        <w:t>question</w:t>
      </w:r>
      <w:r>
        <w:rPr>
          <w:spacing w:val="-1"/>
        </w:rPr>
        <w:t xml:space="preserve"> </w:t>
      </w:r>
      <w:r>
        <w:t>is</w:t>
      </w:r>
      <w:r>
        <w:rPr>
          <w:spacing w:val="-1"/>
        </w:rPr>
        <w:t xml:space="preserve"> </w:t>
      </w:r>
      <w:r>
        <w:t>clearly</w:t>
      </w:r>
      <w:r>
        <w:rPr>
          <w:spacing w:val="-1"/>
        </w:rPr>
        <w:t xml:space="preserve"> </w:t>
      </w:r>
      <w:r>
        <w:t xml:space="preserve">of a non-instrumental, and therefore intrinsic, nature. In any case, even if unhappiness is instrumentally bad (i.e., even if it has bad </w:t>
      </w:r>
      <w:r>
        <w:rPr>
          <w:i/>
        </w:rPr>
        <w:t xml:space="preserve">consequences </w:t>
      </w:r>
      <w:r>
        <w:t xml:space="preserve">for those who suffer from it) it is also, quite clearly, bad in and of itself: being unhappy is bad even if it doesn’t bring about misfortunes </w:t>
      </w:r>
      <w:r>
        <w:rPr>
          <w:i/>
        </w:rPr>
        <w:t xml:space="preserve">other </w:t>
      </w:r>
      <w:r>
        <w:t xml:space="preserve">than happiness. So even in cases where unhappiness has bad consequences (e.g., it might weaken one’s immune system or alienate potential benefactors), it is </w:t>
      </w:r>
      <w:r>
        <w:rPr>
          <w:i/>
        </w:rPr>
        <w:t xml:space="preserve">also, </w:t>
      </w:r>
      <w:r>
        <w:t>in such cases, intrinsically bad.</w:t>
      </w:r>
    </w:p>
    <w:p w14:paraId="7E002307" w14:textId="77777777" w:rsidR="009A58DB" w:rsidRDefault="00000000">
      <w:pPr>
        <w:pStyle w:val="BodyText"/>
        <w:spacing w:before="10" w:line="249" w:lineRule="auto"/>
        <w:ind w:right="358" w:firstLine="360"/>
      </w:pPr>
      <w:r>
        <w:t xml:space="preserve">At the same time, one does not, at least not in all cases, deserve to be </w:t>
      </w:r>
      <w:r>
        <w:rPr>
          <w:i/>
        </w:rPr>
        <w:t xml:space="preserve">censured </w:t>
      </w:r>
      <w:r>
        <w:t>for being unhappy. Somebody who is grieving the loss of a loved one</w:t>
      </w:r>
      <w:r>
        <w:rPr>
          <w:spacing w:val="-3"/>
        </w:rPr>
        <w:t xml:space="preserve"> </w:t>
      </w:r>
      <w:r>
        <w:t>doesn’t</w:t>
      </w:r>
      <w:r>
        <w:rPr>
          <w:spacing w:val="-3"/>
        </w:rPr>
        <w:t xml:space="preserve"> </w:t>
      </w:r>
      <w:r>
        <w:t>deserve</w:t>
      </w:r>
      <w:r>
        <w:rPr>
          <w:spacing w:val="-3"/>
        </w:rPr>
        <w:t xml:space="preserve"> </w:t>
      </w:r>
      <w:r>
        <w:t>to</w:t>
      </w:r>
      <w:r>
        <w:rPr>
          <w:spacing w:val="-3"/>
        </w:rPr>
        <w:t xml:space="preserve"> </w:t>
      </w:r>
      <w:r>
        <w:t>be</w:t>
      </w:r>
      <w:r>
        <w:rPr>
          <w:spacing w:val="-3"/>
        </w:rPr>
        <w:t xml:space="preserve"> </w:t>
      </w:r>
      <w:r>
        <w:t>reprimanded</w:t>
      </w:r>
      <w:r>
        <w:rPr>
          <w:spacing w:val="-3"/>
        </w:rPr>
        <w:t xml:space="preserve"> </w:t>
      </w:r>
      <w:r>
        <w:t>for</w:t>
      </w:r>
      <w:r>
        <w:rPr>
          <w:spacing w:val="-3"/>
        </w:rPr>
        <w:t xml:space="preserve"> </w:t>
      </w:r>
      <w:r>
        <w:t>having</w:t>
      </w:r>
      <w:r>
        <w:rPr>
          <w:spacing w:val="-3"/>
        </w:rPr>
        <w:t xml:space="preserve"> </w:t>
      </w:r>
      <w:r>
        <w:t>that</w:t>
      </w:r>
      <w:r>
        <w:rPr>
          <w:spacing w:val="-3"/>
        </w:rPr>
        <w:t xml:space="preserve"> </w:t>
      </w:r>
      <w:r>
        <w:t>emotion.</w:t>
      </w:r>
      <w:r>
        <w:rPr>
          <w:spacing w:val="-3"/>
        </w:rPr>
        <w:t xml:space="preserve"> </w:t>
      </w:r>
      <w:r>
        <w:t>If</w:t>
      </w:r>
      <w:r>
        <w:rPr>
          <w:spacing w:val="-3"/>
        </w:rPr>
        <w:t xml:space="preserve"> </w:t>
      </w:r>
      <w:r>
        <w:t>anything,</w:t>
      </w:r>
      <w:r>
        <w:rPr>
          <w:spacing w:val="-3"/>
        </w:rPr>
        <w:t xml:space="preserve"> </w:t>
      </w:r>
      <w:r>
        <w:t xml:space="preserve">if somebody </w:t>
      </w:r>
      <w:r>
        <w:rPr>
          <w:i/>
        </w:rPr>
        <w:t xml:space="preserve">failed </w:t>
      </w:r>
      <w:r>
        <w:t xml:space="preserve">to grieve the loss of a loved one, they ought to be censured for </w:t>
      </w:r>
      <w:r>
        <w:rPr>
          <w:i/>
        </w:rPr>
        <w:t xml:space="preserve">that. </w:t>
      </w:r>
      <w:r>
        <w:t>(Only a monster would feel nothing in response to the death of a beloved child or spouse.)</w:t>
      </w:r>
    </w:p>
    <w:p w14:paraId="7E002308" w14:textId="77777777" w:rsidR="009A58DB" w:rsidRDefault="00000000">
      <w:pPr>
        <w:pStyle w:val="BodyText"/>
        <w:spacing w:before="7" w:line="249" w:lineRule="auto"/>
        <w:ind w:right="364" w:firstLine="360"/>
      </w:pPr>
      <w:r>
        <w:t xml:space="preserve">That said, some intrinsically bad things obviously </w:t>
      </w:r>
      <w:r>
        <w:rPr>
          <w:i/>
        </w:rPr>
        <w:t>do</w:t>
      </w:r>
      <w:r>
        <w:rPr>
          <w:i/>
          <w:spacing w:val="-4"/>
        </w:rPr>
        <w:t xml:space="preserve"> </w:t>
      </w:r>
      <w:r>
        <w:t>warrant censure (i.e., they</w:t>
      </w:r>
      <w:r>
        <w:rPr>
          <w:spacing w:val="-4"/>
        </w:rPr>
        <w:t xml:space="preserve"> </w:t>
      </w:r>
      <w:r>
        <w:t>are</w:t>
      </w:r>
      <w:r>
        <w:rPr>
          <w:spacing w:val="-4"/>
        </w:rPr>
        <w:t xml:space="preserve"> </w:t>
      </w:r>
      <w:r>
        <w:rPr>
          <w:i/>
        </w:rPr>
        <w:t>condemnable</w:t>
      </w:r>
      <w:r>
        <w:t xml:space="preserve">). Causing somebody else to suffer, for no good reason, is intrinsically bad </w:t>
      </w:r>
      <w:r>
        <w:rPr>
          <w:i/>
        </w:rPr>
        <w:t xml:space="preserve">and </w:t>
      </w:r>
      <w:r>
        <w:t>it is condemnable.</w:t>
      </w:r>
    </w:p>
    <w:p w14:paraId="7E002309" w14:textId="77777777" w:rsidR="009A58DB" w:rsidRDefault="00000000">
      <w:pPr>
        <w:pStyle w:val="BodyText"/>
        <w:spacing w:before="4" w:line="249" w:lineRule="auto"/>
        <w:ind w:right="359" w:firstLine="360"/>
      </w:pPr>
      <w:r>
        <w:t>Bottom line: some, but not all, intrinsically bad things warrant censure (i.e., are condemnable); and, therefore, “intrinsically bad” is not, at least not always, identical with “worthy of condemnation.”</w:t>
      </w:r>
    </w:p>
    <w:p w14:paraId="7E00230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0B" w14:textId="77777777" w:rsidR="009A58DB" w:rsidRDefault="00000000">
      <w:pPr>
        <w:pStyle w:val="Heading1"/>
        <w:numPr>
          <w:ilvl w:val="0"/>
          <w:numId w:val="64"/>
        </w:numPr>
        <w:tabs>
          <w:tab w:val="left" w:pos="2047"/>
        </w:tabs>
        <w:spacing w:before="58" w:line="244" w:lineRule="auto"/>
        <w:ind w:right="362" w:firstLine="0"/>
      </w:pPr>
      <w:r>
        <w:lastRenderedPageBreak/>
        <w:t>The</w:t>
      </w:r>
      <w:r>
        <w:rPr>
          <w:spacing w:val="80"/>
        </w:rPr>
        <w:t xml:space="preserve"> </w:t>
      </w:r>
      <w:r>
        <w:t>morally</w:t>
      </w:r>
      <w:r>
        <w:rPr>
          <w:spacing w:val="80"/>
        </w:rPr>
        <w:t xml:space="preserve"> </w:t>
      </w:r>
      <w:r>
        <w:t>complex</w:t>
      </w:r>
      <w:r>
        <w:rPr>
          <w:spacing w:val="80"/>
        </w:rPr>
        <w:t xml:space="preserve"> </w:t>
      </w:r>
      <w:r>
        <w:t>structure</w:t>
      </w:r>
      <w:r>
        <w:rPr>
          <w:spacing w:val="80"/>
        </w:rPr>
        <w:t xml:space="preserve"> </w:t>
      </w:r>
      <w:r>
        <w:t>of</w:t>
      </w:r>
      <w:r>
        <w:rPr>
          <w:spacing w:val="80"/>
        </w:rPr>
        <w:t xml:space="preserve"> </w:t>
      </w:r>
      <w:r>
        <w:t xml:space="preserve">some </w:t>
      </w:r>
      <w:r>
        <w:rPr>
          <w:spacing w:val="-2"/>
        </w:rPr>
        <w:t>situations</w:t>
      </w:r>
    </w:p>
    <w:p w14:paraId="7E00230C" w14:textId="77777777" w:rsidR="009A58DB" w:rsidRDefault="00000000">
      <w:pPr>
        <w:pStyle w:val="BodyText"/>
        <w:spacing w:before="131" w:line="249" w:lineRule="auto"/>
        <w:ind w:right="360"/>
      </w:pPr>
      <w:r>
        <w:t>A single act or state of affairs can be intrinsically good in one respect and intrinsically bad in some other respect. Suppose that I am playing the piano, that I’m doing so very well, and that I’m taking pleasure in it. Surely that is an intrinsic good. But suppose that, because I’m playing the piano, I am waking up my very sick roommate, who needs his sleep, and that I am aware of the harm that I am doing to my roommate. In that case, my piano playing, though an intrinsic good, is condemnable. It is wrong, but it is also intrinsically good. This may seem like a paradox, but it isn’t. The reason it isn’t a paradox is that, as we’ll see in a moment, “wrong” is not the opposite of “good”; in other words, wrongness is not the absence of goodness. And this is closely related to another fact that we’ll soon discuss, namely, that “right” is not identical with “good.”</w:t>
      </w:r>
    </w:p>
    <w:p w14:paraId="7E00230D" w14:textId="77777777" w:rsidR="009A58DB" w:rsidRDefault="00000000">
      <w:pPr>
        <w:pStyle w:val="BodyText"/>
        <w:spacing w:before="15" w:line="249" w:lineRule="auto"/>
        <w:ind w:right="359" w:firstLine="360"/>
      </w:pPr>
      <w:r>
        <w:t xml:space="preserve">A given act can be </w:t>
      </w:r>
      <w:r>
        <w:rPr>
          <w:i/>
        </w:rPr>
        <w:t xml:space="preserve">both </w:t>
      </w:r>
      <w:r>
        <w:t xml:space="preserve">condemnable </w:t>
      </w:r>
      <w:r>
        <w:rPr>
          <w:i/>
        </w:rPr>
        <w:t xml:space="preserve">and </w:t>
      </w:r>
      <w:r>
        <w:t>commendable. Suppose that Jones, who is an exceptionally tough and vindictive fellow, insults Smith and that Green, who is a friend of Smith’s, savagely beats Jones to avenge Smith’s honor. (Let us assume that Green’s act is motivated only by loyalty</w:t>
      </w:r>
      <w:r>
        <w:rPr>
          <w:spacing w:val="40"/>
        </w:rPr>
        <w:t xml:space="preserve"> </w:t>
      </w:r>
      <w:r>
        <w:t>to Smith and there is no element of self-interest in it.) Green’s act is commendable, because it is an act of loyalty and courage. But it is also condemnable, because it is an act of excessive and unnecessary violence.</w:t>
      </w:r>
    </w:p>
    <w:p w14:paraId="7E00230E" w14:textId="77777777" w:rsidR="009A58DB" w:rsidRDefault="00000000">
      <w:pPr>
        <w:pStyle w:val="Heading1"/>
        <w:numPr>
          <w:ilvl w:val="0"/>
          <w:numId w:val="64"/>
        </w:numPr>
        <w:tabs>
          <w:tab w:val="left" w:pos="2301"/>
          <w:tab w:val="left" w:pos="3284"/>
          <w:tab w:val="left" w:pos="5993"/>
          <w:tab w:val="left" w:pos="8001"/>
          <w:tab w:val="left" w:pos="8634"/>
        </w:tabs>
        <w:spacing w:before="197" w:line="244" w:lineRule="auto"/>
        <w:ind w:right="370" w:firstLine="0"/>
      </w:pPr>
      <w:r>
        <w:rPr>
          <w:spacing w:val="-4"/>
        </w:rPr>
        <w:t>The</w:t>
      </w:r>
      <w:r>
        <w:tab/>
      </w:r>
      <w:r>
        <w:rPr>
          <w:spacing w:val="-2"/>
        </w:rPr>
        <w:t>non-privative</w:t>
      </w:r>
      <w:r>
        <w:tab/>
      </w:r>
      <w:r>
        <w:rPr>
          <w:spacing w:val="-2"/>
        </w:rPr>
        <w:t>character</w:t>
      </w:r>
      <w:r>
        <w:tab/>
      </w:r>
      <w:r>
        <w:rPr>
          <w:spacing w:val="-6"/>
        </w:rPr>
        <w:t>of</w:t>
      </w:r>
      <w:r>
        <w:tab/>
      </w:r>
      <w:r>
        <w:rPr>
          <w:spacing w:val="-2"/>
        </w:rPr>
        <w:t>moral attributes</w:t>
      </w:r>
    </w:p>
    <w:p w14:paraId="7E00230F" w14:textId="77777777" w:rsidR="009A58DB" w:rsidRDefault="00000000">
      <w:pPr>
        <w:pStyle w:val="BodyText"/>
        <w:spacing w:before="132" w:line="249" w:lineRule="auto"/>
        <w:ind w:right="359"/>
      </w:pPr>
      <w:r>
        <w:t xml:space="preserve">Despite what first appearances might suggest, there is nothing paradoxical about the fact that a given act can be both commendable and condemnable. This is because for something to have the property of being commendable is not for it to </w:t>
      </w:r>
      <w:r>
        <w:rPr>
          <w:i/>
        </w:rPr>
        <w:t>lack</w:t>
      </w:r>
      <w:r>
        <w:rPr>
          <w:i/>
          <w:spacing w:val="-3"/>
        </w:rPr>
        <w:t xml:space="preserve"> </w:t>
      </w:r>
      <w:r>
        <w:t xml:space="preserve">the property of condemnable, and for something to have the property of being condemnable is not for it to </w:t>
      </w:r>
      <w:r>
        <w:rPr>
          <w:i/>
        </w:rPr>
        <w:t xml:space="preserve">lack </w:t>
      </w:r>
      <w:r>
        <w:t xml:space="preserve">the property of commendable. Neither property is “privative”; they are both “positive” properties. A “privative” property is one that a thing has when it’s </w:t>
      </w:r>
      <w:r>
        <w:rPr>
          <w:i/>
        </w:rPr>
        <w:t xml:space="preserve">missing </w:t>
      </w:r>
      <w:r>
        <w:t xml:space="preserve">something. A “positive” property is one that a thing has when it has an </w:t>
      </w:r>
      <w:r>
        <w:rPr>
          <w:i/>
        </w:rPr>
        <w:t xml:space="preserve">extra </w:t>
      </w:r>
      <w:r>
        <w:rPr>
          <w:spacing w:val="-2"/>
        </w:rPr>
        <w:t>something.</w:t>
      </w:r>
    </w:p>
    <w:p w14:paraId="7E002310" w14:textId="77777777" w:rsidR="009A58DB" w:rsidRDefault="00000000">
      <w:pPr>
        <w:pStyle w:val="BodyText"/>
        <w:spacing w:before="11"/>
        <w:ind w:left="720"/>
      </w:pPr>
      <w:r>
        <w:t>For</w:t>
      </w:r>
      <w:r>
        <w:rPr>
          <w:spacing w:val="-5"/>
        </w:rPr>
        <w:t xml:space="preserve"> </w:t>
      </w:r>
      <w:r>
        <w:t>something</w:t>
      </w:r>
      <w:r>
        <w:rPr>
          <w:spacing w:val="-2"/>
        </w:rPr>
        <w:t xml:space="preserve"> </w:t>
      </w:r>
      <w:r>
        <w:t>to</w:t>
      </w:r>
      <w:r>
        <w:rPr>
          <w:spacing w:val="-1"/>
        </w:rPr>
        <w:t xml:space="preserve"> </w:t>
      </w:r>
      <w:r>
        <w:t>be</w:t>
      </w:r>
      <w:r>
        <w:rPr>
          <w:spacing w:val="-3"/>
        </w:rPr>
        <w:t xml:space="preserve"> </w:t>
      </w:r>
      <w:r>
        <w:t>cold</w:t>
      </w:r>
      <w:r>
        <w:rPr>
          <w:spacing w:val="-2"/>
        </w:rPr>
        <w:t xml:space="preserve"> </w:t>
      </w:r>
      <w:r>
        <w:t>is</w:t>
      </w:r>
      <w:r>
        <w:rPr>
          <w:spacing w:val="-2"/>
        </w:rPr>
        <w:t xml:space="preserve"> </w:t>
      </w:r>
      <w:r>
        <w:t>for</w:t>
      </w:r>
      <w:r>
        <w:rPr>
          <w:spacing w:val="-3"/>
        </w:rPr>
        <w:t xml:space="preserve"> </w:t>
      </w:r>
      <w:r>
        <w:t>it</w:t>
      </w:r>
      <w:r>
        <w:rPr>
          <w:spacing w:val="-2"/>
        </w:rPr>
        <w:t xml:space="preserve"> </w:t>
      </w:r>
      <w:r>
        <w:t>to</w:t>
      </w:r>
      <w:r>
        <w:rPr>
          <w:spacing w:val="-2"/>
        </w:rPr>
        <w:t xml:space="preserve"> </w:t>
      </w:r>
      <w:r>
        <w:rPr>
          <w:i/>
        </w:rPr>
        <w:t>lack</w:t>
      </w:r>
      <w:r>
        <w:rPr>
          <w:i/>
          <w:spacing w:val="-3"/>
        </w:rPr>
        <w:t xml:space="preserve"> </w:t>
      </w:r>
      <w:r>
        <w:t>heat.</w:t>
      </w:r>
      <w:r>
        <w:rPr>
          <w:spacing w:val="-1"/>
        </w:rPr>
        <w:t xml:space="preserve"> </w:t>
      </w:r>
      <w:r>
        <w:t>For</w:t>
      </w:r>
      <w:r>
        <w:rPr>
          <w:spacing w:val="-3"/>
        </w:rPr>
        <w:t xml:space="preserve"> </w:t>
      </w:r>
      <w:r>
        <w:t>something</w:t>
      </w:r>
      <w:r>
        <w:rPr>
          <w:spacing w:val="-2"/>
        </w:rPr>
        <w:t xml:space="preserve"> </w:t>
      </w:r>
      <w:r>
        <w:t>to</w:t>
      </w:r>
      <w:r>
        <w:rPr>
          <w:spacing w:val="-1"/>
        </w:rPr>
        <w:t xml:space="preserve"> </w:t>
      </w:r>
      <w:r>
        <w:t>be</w:t>
      </w:r>
      <w:r>
        <w:rPr>
          <w:spacing w:val="-3"/>
        </w:rPr>
        <w:t xml:space="preserve"> </w:t>
      </w:r>
      <w:r>
        <w:t>dumb</w:t>
      </w:r>
      <w:r>
        <w:rPr>
          <w:spacing w:val="-1"/>
        </w:rPr>
        <w:t xml:space="preserve"> </w:t>
      </w:r>
      <w:r>
        <w:rPr>
          <w:spacing w:val="-5"/>
        </w:rPr>
        <w:t>is</w:t>
      </w:r>
    </w:p>
    <w:p w14:paraId="7E002311" w14:textId="77777777" w:rsidR="009A58DB" w:rsidRDefault="009A58DB">
      <w:pPr>
        <w:pStyle w:val="BodyText"/>
        <w:sectPr w:rsidR="009A58DB">
          <w:pgSz w:w="12240" w:h="15840"/>
          <w:pgMar w:top="1380" w:right="1080" w:bottom="280" w:left="1080" w:header="720" w:footer="720" w:gutter="0"/>
          <w:cols w:space="720"/>
        </w:sectPr>
      </w:pPr>
    </w:p>
    <w:p w14:paraId="7E002312" w14:textId="77777777" w:rsidR="009A58DB" w:rsidRDefault="00000000">
      <w:pPr>
        <w:pStyle w:val="BodyText"/>
        <w:spacing w:before="60" w:line="249" w:lineRule="auto"/>
        <w:ind w:right="360"/>
      </w:pPr>
      <w:r>
        <w:lastRenderedPageBreak/>
        <w:t>for</w:t>
      </w:r>
      <w:r>
        <w:rPr>
          <w:spacing w:val="-3"/>
        </w:rPr>
        <w:t xml:space="preserve"> </w:t>
      </w:r>
      <w:r>
        <w:t>it</w:t>
      </w:r>
      <w:r>
        <w:rPr>
          <w:spacing w:val="-3"/>
        </w:rPr>
        <w:t xml:space="preserve"> </w:t>
      </w:r>
      <w:r>
        <w:t>to</w:t>
      </w:r>
      <w:r>
        <w:rPr>
          <w:spacing w:val="-2"/>
        </w:rPr>
        <w:t xml:space="preserve"> </w:t>
      </w:r>
      <w:r>
        <w:rPr>
          <w:i/>
        </w:rPr>
        <w:t>lack</w:t>
      </w:r>
      <w:r>
        <w:rPr>
          <w:i/>
          <w:spacing w:val="-3"/>
        </w:rPr>
        <w:t xml:space="preserve"> </w:t>
      </w:r>
      <w:r>
        <w:t>intelligence.</w:t>
      </w:r>
      <w:r>
        <w:rPr>
          <w:spacing w:val="-2"/>
        </w:rPr>
        <w:t xml:space="preserve"> </w:t>
      </w:r>
      <w:r>
        <w:t>For</w:t>
      </w:r>
      <w:r>
        <w:rPr>
          <w:spacing w:val="-2"/>
        </w:rPr>
        <w:t xml:space="preserve"> </w:t>
      </w:r>
      <w:r>
        <w:t>something</w:t>
      </w:r>
      <w:r>
        <w:rPr>
          <w:spacing w:val="-2"/>
        </w:rPr>
        <w:t xml:space="preserve"> </w:t>
      </w:r>
      <w:r>
        <w:t>to</w:t>
      </w:r>
      <w:r>
        <w:rPr>
          <w:spacing w:val="-2"/>
        </w:rPr>
        <w:t xml:space="preserve"> </w:t>
      </w:r>
      <w:r>
        <w:t>be</w:t>
      </w:r>
      <w:r>
        <w:rPr>
          <w:spacing w:val="-2"/>
        </w:rPr>
        <w:t xml:space="preserve"> </w:t>
      </w:r>
      <w:r>
        <w:t>poor</w:t>
      </w:r>
      <w:r>
        <w:rPr>
          <w:spacing w:val="-2"/>
        </w:rPr>
        <w:t xml:space="preserve"> </w:t>
      </w:r>
      <w:r>
        <w:t>is</w:t>
      </w:r>
      <w:r>
        <w:rPr>
          <w:spacing w:val="-2"/>
        </w:rPr>
        <w:t xml:space="preserve"> </w:t>
      </w:r>
      <w:r>
        <w:t>for</w:t>
      </w:r>
      <w:r>
        <w:rPr>
          <w:spacing w:val="-2"/>
        </w:rPr>
        <w:t xml:space="preserve"> </w:t>
      </w:r>
      <w:r>
        <w:t>it</w:t>
      </w:r>
      <w:r>
        <w:rPr>
          <w:spacing w:val="-2"/>
        </w:rPr>
        <w:t xml:space="preserve"> </w:t>
      </w:r>
      <w:r>
        <w:t>to</w:t>
      </w:r>
      <w:r>
        <w:rPr>
          <w:spacing w:val="-2"/>
        </w:rPr>
        <w:t xml:space="preserve"> </w:t>
      </w:r>
      <w:r>
        <w:rPr>
          <w:i/>
        </w:rPr>
        <w:t>lack</w:t>
      </w:r>
      <w:r>
        <w:rPr>
          <w:i/>
          <w:spacing w:val="-3"/>
        </w:rPr>
        <w:t xml:space="preserve"> </w:t>
      </w:r>
      <w:r>
        <w:t xml:space="preserve">money. To be dumb or cold or poor is to </w:t>
      </w:r>
      <w:r>
        <w:rPr>
          <w:i/>
        </w:rPr>
        <w:t>lack</w:t>
      </w:r>
      <w:r>
        <w:rPr>
          <w:i/>
          <w:spacing w:val="-3"/>
        </w:rPr>
        <w:t xml:space="preserve"> </w:t>
      </w:r>
      <w:r>
        <w:t xml:space="preserve">something. There are many properties like this: in other words, where many properties are concerned, having them is identical with </w:t>
      </w:r>
      <w:r>
        <w:rPr>
          <w:i/>
        </w:rPr>
        <w:t xml:space="preserve">failing </w:t>
      </w:r>
      <w:r>
        <w:t>to have some other property.</w:t>
      </w:r>
    </w:p>
    <w:p w14:paraId="7E002313" w14:textId="77777777" w:rsidR="009A58DB" w:rsidRDefault="00000000">
      <w:pPr>
        <w:pStyle w:val="BodyText"/>
        <w:spacing w:before="10" w:line="249" w:lineRule="auto"/>
        <w:ind w:right="359" w:firstLine="360"/>
      </w:pPr>
      <w:r>
        <w:t xml:space="preserve">A property that is </w:t>
      </w:r>
      <w:r>
        <w:rPr>
          <w:i/>
        </w:rPr>
        <w:t xml:space="preserve">not </w:t>
      </w:r>
      <w:r>
        <w:t xml:space="preserve">privative is “positive.” For something to be hot or smart or rich is not for it to </w:t>
      </w:r>
      <w:r>
        <w:rPr>
          <w:i/>
        </w:rPr>
        <w:t>lack</w:t>
      </w:r>
      <w:r>
        <w:rPr>
          <w:i/>
          <w:spacing w:val="-3"/>
        </w:rPr>
        <w:t xml:space="preserve"> </w:t>
      </w:r>
      <w:r>
        <w:t xml:space="preserve">anything. On the contrary, it is for it to </w:t>
      </w:r>
      <w:r>
        <w:rPr>
          <w:i/>
        </w:rPr>
        <w:t xml:space="preserve">have </w:t>
      </w:r>
      <w:r>
        <w:t xml:space="preserve">something. That is why these are “positive,” as opposed to “privative,” properties. Another illustration: for a drink to be sugary is for it to </w:t>
      </w:r>
      <w:r>
        <w:rPr>
          <w:i/>
        </w:rPr>
        <w:t xml:space="preserve">have </w:t>
      </w:r>
      <w:r>
        <w:t xml:space="preserve">something extra in it. That is why the property of being sugary is positive, as opposed to privative. By contrast, for a drink to be sugar-free is for it to </w:t>
      </w:r>
      <w:r>
        <w:rPr>
          <w:i/>
        </w:rPr>
        <w:t>fail</w:t>
      </w:r>
      <w:r>
        <w:rPr>
          <w:i/>
          <w:spacing w:val="40"/>
        </w:rPr>
        <w:t xml:space="preserve"> </w:t>
      </w:r>
      <w:r>
        <w:t>to have something; that is why the property of being sugar-free is privative,</w:t>
      </w:r>
      <w:r>
        <w:rPr>
          <w:spacing w:val="40"/>
        </w:rPr>
        <w:t xml:space="preserve"> </w:t>
      </w:r>
      <w:r>
        <w:t>as opposed to positive.</w:t>
      </w:r>
    </w:p>
    <w:p w14:paraId="7E002314" w14:textId="77777777" w:rsidR="009A58DB" w:rsidRDefault="00000000">
      <w:pPr>
        <w:pStyle w:val="BodyText"/>
        <w:spacing w:before="9" w:line="249" w:lineRule="auto"/>
        <w:ind w:right="359" w:firstLine="360"/>
      </w:pPr>
      <w:r>
        <w:t xml:space="preserve">The property of being condemnable is not privative; it is a positive property. (It is, of course, not positive in the </w:t>
      </w:r>
      <w:r>
        <w:rPr>
          <w:i/>
        </w:rPr>
        <w:t xml:space="preserve">moral </w:t>
      </w:r>
      <w:r>
        <w:t xml:space="preserve">sense. It is positive in a strictly logical sense that has no specific connection to morality.) Just as the property of being poisonous is in no way privative and is therefore a positive property (in the relevant, strictly logical sense of the word “positive”), so the property of being condemnable is in no way privative and is therefore a positive property (same qualification). And the property of being commendable is </w:t>
      </w:r>
      <w:r>
        <w:rPr>
          <w:i/>
        </w:rPr>
        <w:t xml:space="preserve">also </w:t>
      </w:r>
      <w:r>
        <w:t>positive. Thus, the presence of neither property is identical with the absence of some other property; more specifically, the presence of neither is identical with the absence of the other. That is why</w:t>
      </w:r>
      <w:r>
        <w:rPr>
          <w:spacing w:val="40"/>
        </w:rPr>
        <w:t xml:space="preserve"> </w:t>
      </w:r>
      <w:r>
        <w:t xml:space="preserve">both properties can be present in some one thing (in some one act or state of affairs), which is why a given act can be </w:t>
      </w:r>
      <w:r>
        <w:rPr>
          <w:i/>
        </w:rPr>
        <w:t xml:space="preserve">both </w:t>
      </w:r>
      <w:r>
        <w:t xml:space="preserve">commendable </w:t>
      </w:r>
      <w:r>
        <w:rPr>
          <w:i/>
        </w:rPr>
        <w:t xml:space="preserve">and </w:t>
      </w:r>
      <w:r>
        <w:rPr>
          <w:spacing w:val="-2"/>
        </w:rPr>
        <w:t>condemnable.</w:t>
      </w:r>
    </w:p>
    <w:p w14:paraId="7E002315" w14:textId="77777777" w:rsidR="009A58DB" w:rsidRDefault="00000000">
      <w:pPr>
        <w:pStyle w:val="BodyText"/>
        <w:spacing w:before="16" w:line="249" w:lineRule="auto"/>
        <w:ind w:right="361" w:firstLine="360"/>
      </w:pPr>
      <w:r>
        <w:t xml:space="preserve">People tend to describe acts as </w:t>
      </w:r>
      <w:r>
        <w:rPr>
          <w:i/>
        </w:rPr>
        <w:t xml:space="preserve">either </w:t>
      </w:r>
      <w:r>
        <w:t xml:space="preserve">“good” or “bad,” and they have a certain resistance to characterizing them as </w:t>
      </w:r>
      <w:r>
        <w:rPr>
          <w:i/>
        </w:rPr>
        <w:t xml:space="preserve">both </w:t>
      </w:r>
      <w:r>
        <w:t xml:space="preserve">good </w:t>
      </w:r>
      <w:r>
        <w:rPr>
          <w:i/>
        </w:rPr>
        <w:t xml:space="preserve">and </w:t>
      </w:r>
      <w:r>
        <w:t xml:space="preserve">bad. This, I think, is partly because people make the mistake of thinking that badness is the </w:t>
      </w:r>
      <w:r>
        <w:rPr>
          <w:i/>
        </w:rPr>
        <w:t xml:space="preserve">absence </w:t>
      </w:r>
      <w:r>
        <w:t xml:space="preserve">of goodness. It is not: badness, like goodness, is the </w:t>
      </w:r>
      <w:r>
        <w:rPr>
          <w:i/>
        </w:rPr>
        <w:t xml:space="preserve">presence </w:t>
      </w:r>
      <w:r>
        <w:t xml:space="preserve">of something. A rock </w:t>
      </w:r>
      <w:r>
        <w:rPr>
          <w:i/>
        </w:rPr>
        <w:t xml:space="preserve">lacks </w:t>
      </w:r>
      <w:r>
        <w:t xml:space="preserve">goodness. But rocks aren’t </w:t>
      </w:r>
      <w:r>
        <w:rPr>
          <w:i/>
        </w:rPr>
        <w:t xml:space="preserve">bad. </w:t>
      </w:r>
      <w:r>
        <w:t>They’re neither</w:t>
      </w:r>
      <w:r>
        <w:rPr>
          <w:spacing w:val="40"/>
        </w:rPr>
        <w:t xml:space="preserve"> </w:t>
      </w:r>
      <w:r>
        <w:t xml:space="preserve">good nor bad. To be bad, it isn’t enough to </w:t>
      </w:r>
      <w:r>
        <w:rPr>
          <w:i/>
        </w:rPr>
        <w:t xml:space="preserve">lack </w:t>
      </w:r>
      <w:r>
        <w:t xml:space="preserve">something; one must have something extra. Hitler was bad. And he was bad because he had something that rocks don’t have—he had ill-will and a willingness to act on it. So it wasn’t Hitler’s </w:t>
      </w:r>
      <w:r>
        <w:rPr>
          <w:i/>
        </w:rPr>
        <w:t>lacking</w:t>
      </w:r>
      <w:r>
        <w:rPr>
          <w:i/>
          <w:spacing w:val="-3"/>
        </w:rPr>
        <w:t xml:space="preserve"> </w:t>
      </w:r>
      <w:r>
        <w:t>something that made him bad. On the contrary, it was his having an extra something that did so. To sum up, people tend to think that</w:t>
      </w:r>
      <w:r>
        <w:rPr>
          <w:spacing w:val="71"/>
        </w:rPr>
        <w:t xml:space="preserve"> </w:t>
      </w:r>
      <w:r>
        <w:t>good</w:t>
      </w:r>
      <w:r>
        <w:rPr>
          <w:spacing w:val="71"/>
        </w:rPr>
        <w:t xml:space="preserve"> </w:t>
      </w:r>
      <w:r>
        <w:t>and</w:t>
      </w:r>
      <w:r>
        <w:rPr>
          <w:spacing w:val="71"/>
        </w:rPr>
        <w:t xml:space="preserve"> </w:t>
      </w:r>
      <w:r>
        <w:t>bad</w:t>
      </w:r>
      <w:r>
        <w:rPr>
          <w:spacing w:val="71"/>
        </w:rPr>
        <w:t xml:space="preserve"> </w:t>
      </w:r>
      <w:r>
        <w:t>cannot</w:t>
      </w:r>
      <w:r>
        <w:rPr>
          <w:spacing w:val="71"/>
        </w:rPr>
        <w:t xml:space="preserve"> </w:t>
      </w:r>
      <w:r>
        <w:t>co-exist</w:t>
      </w:r>
      <w:r>
        <w:rPr>
          <w:spacing w:val="71"/>
        </w:rPr>
        <w:t xml:space="preserve"> </w:t>
      </w:r>
      <w:r>
        <w:t>in</w:t>
      </w:r>
      <w:r>
        <w:rPr>
          <w:spacing w:val="71"/>
        </w:rPr>
        <w:t xml:space="preserve"> </w:t>
      </w:r>
      <w:r>
        <w:t>the</w:t>
      </w:r>
      <w:r>
        <w:rPr>
          <w:spacing w:val="71"/>
        </w:rPr>
        <w:t xml:space="preserve"> </w:t>
      </w:r>
      <w:r>
        <w:t>same</w:t>
      </w:r>
      <w:r>
        <w:rPr>
          <w:spacing w:val="71"/>
        </w:rPr>
        <w:t xml:space="preserve"> </w:t>
      </w:r>
      <w:r>
        <w:t>person,</w:t>
      </w:r>
      <w:r>
        <w:rPr>
          <w:spacing w:val="71"/>
        </w:rPr>
        <w:t xml:space="preserve"> </w:t>
      </w:r>
      <w:r>
        <w:t>or</w:t>
      </w:r>
      <w:r>
        <w:rPr>
          <w:spacing w:val="71"/>
        </w:rPr>
        <w:t xml:space="preserve"> </w:t>
      </w:r>
      <w:r>
        <w:t>the</w:t>
      </w:r>
      <w:r>
        <w:rPr>
          <w:spacing w:val="71"/>
        </w:rPr>
        <w:t xml:space="preserve"> </w:t>
      </w:r>
      <w:r>
        <w:t>same</w:t>
      </w:r>
      <w:r>
        <w:rPr>
          <w:spacing w:val="72"/>
        </w:rPr>
        <w:t xml:space="preserve"> </w:t>
      </w:r>
      <w:r>
        <w:t>act,</w:t>
      </w:r>
    </w:p>
    <w:p w14:paraId="7E00231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17" w14:textId="77777777" w:rsidR="009A58DB" w:rsidRDefault="00000000">
      <w:pPr>
        <w:pStyle w:val="BodyText"/>
        <w:spacing w:before="65" w:line="249" w:lineRule="auto"/>
        <w:ind w:right="371"/>
      </w:pPr>
      <w:r>
        <w:lastRenderedPageBreak/>
        <w:t>because they wrongly think that good is the absence of bad and that badness is the absence of good.</w:t>
      </w:r>
    </w:p>
    <w:p w14:paraId="7E002318" w14:textId="77777777" w:rsidR="009A58DB" w:rsidRDefault="00000000">
      <w:pPr>
        <w:pStyle w:val="BodyText"/>
        <w:spacing w:before="2" w:line="249" w:lineRule="auto"/>
        <w:ind w:right="359" w:firstLine="360"/>
      </w:pPr>
      <w:r>
        <w:t>But there is another, probably more important reason why people fail to appreciate the highly ambiguous nature of morality. People tend, especially where</w:t>
      </w:r>
      <w:r>
        <w:rPr>
          <w:spacing w:val="-3"/>
        </w:rPr>
        <w:t xml:space="preserve"> </w:t>
      </w:r>
      <w:r>
        <w:t>moral</w:t>
      </w:r>
      <w:r>
        <w:rPr>
          <w:spacing w:val="-3"/>
        </w:rPr>
        <w:t xml:space="preserve"> </w:t>
      </w:r>
      <w:r>
        <w:t>and</w:t>
      </w:r>
      <w:r>
        <w:rPr>
          <w:spacing w:val="-3"/>
        </w:rPr>
        <w:t xml:space="preserve"> </w:t>
      </w:r>
      <w:r>
        <w:t>emotional</w:t>
      </w:r>
      <w:r>
        <w:rPr>
          <w:spacing w:val="-3"/>
        </w:rPr>
        <w:t xml:space="preserve"> </w:t>
      </w:r>
      <w:r>
        <w:t>issues</w:t>
      </w:r>
      <w:r>
        <w:rPr>
          <w:spacing w:val="-3"/>
        </w:rPr>
        <w:t xml:space="preserve"> </w:t>
      </w:r>
      <w:r>
        <w:t>are</w:t>
      </w:r>
      <w:r>
        <w:rPr>
          <w:spacing w:val="-3"/>
        </w:rPr>
        <w:t xml:space="preserve"> </w:t>
      </w:r>
      <w:r>
        <w:t>concerned,</w:t>
      </w:r>
      <w:r>
        <w:rPr>
          <w:spacing w:val="-3"/>
        </w:rPr>
        <w:t xml:space="preserve"> </w:t>
      </w:r>
      <w:r>
        <w:t>to</w:t>
      </w:r>
      <w:r>
        <w:rPr>
          <w:spacing w:val="-3"/>
        </w:rPr>
        <w:t xml:space="preserve"> </w:t>
      </w:r>
      <w:r>
        <w:t>think</w:t>
      </w:r>
      <w:r>
        <w:rPr>
          <w:spacing w:val="-3"/>
        </w:rPr>
        <w:t xml:space="preserve"> </w:t>
      </w:r>
      <w:r>
        <w:t>in</w:t>
      </w:r>
      <w:r>
        <w:rPr>
          <w:spacing w:val="-3"/>
        </w:rPr>
        <w:t xml:space="preserve"> </w:t>
      </w:r>
      <w:r>
        <w:t>an</w:t>
      </w:r>
      <w:r>
        <w:rPr>
          <w:spacing w:val="-3"/>
        </w:rPr>
        <w:t xml:space="preserve"> </w:t>
      </w:r>
      <w:r>
        <w:t>unrealistically binary</w:t>
      </w:r>
      <w:r>
        <w:rPr>
          <w:spacing w:val="-1"/>
        </w:rPr>
        <w:t xml:space="preserve"> </w:t>
      </w:r>
      <w:r>
        <w:t>way.</w:t>
      </w:r>
      <w:r>
        <w:rPr>
          <w:spacing w:val="-1"/>
        </w:rPr>
        <w:t xml:space="preserve"> </w:t>
      </w:r>
      <w:r>
        <w:t>If</w:t>
      </w:r>
      <w:r>
        <w:rPr>
          <w:spacing w:val="-1"/>
        </w:rPr>
        <w:t xml:space="preserve"> </w:t>
      </w:r>
      <w:r>
        <w:t>I</w:t>
      </w:r>
      <w:r>
        <w:rPr>
          <w:spacing w:val="-1"/>
        </w:rPr>
        <w:t xml:space="preserve"> </w:t>
      </w:r>
      <w:r>
        <w:t>had</w:t>
      </w:r>
      <w:r>
        <w:rPr>
          <w:spacing w:val="-2"/>
        </w:rPr>
        <w:t xml:space="preserve"> </w:t>
      </w:r>
      <w:r>
        <w:t>to</w:t>
      </w:r>
      <w:r>
        <w:rPr>
          <w:spacing w:val="-1"/>
        </w:rPr>
        <w:t xml:space="preserve"> </w:t>
      </w:r>
      <w:r>
        <w:t>hazard</w:t>
      </w:r>
      <w:r>
        <w:rPr>
          <w:spacing w:val="-1"/>
        </w:rPr>
        <w:t xml:space="preserve"> </w:t>
      </w:r>
      <w:r>
        <w:t>a</w:t>
      </w:r>
      <w:r>
        <w:rPr>
          <w:spacing w:val="-1"/>
        </w:rPr>
        <w:t xml:space="preserve"> </w:t>
      </w:r>
      <w:r>
        <w:t>guess</w:t>
      </w:r>
      <w:r>
        <w:rPr>
          <w:spacing w:val="-1"/>
        </w:rPr>
        <w:t xml:space="preserve"> </w:t>
      </w:r>
      <w:r>
        <w:t>as</w:t>
      </w:r>
      <w:r>
        <w:rPr>
          <w:spacing w:val="-2"/>
        </w:rPr>
        <w:t xml:space="preserve"> </w:t>
      </w:r>
      <w:r>
        <w:t>to</w:t>
      </w:r>
      <w:r>
        <w:rPr>
          <w:spacing w:val="-1"/>
        </w:rPr>
        <w:t xml:space="preserve"> </w:t>
      </w:r>
      <w:r>
        <w:t>why</w:t>
      </w:r>
      <w:r>
        <w:rPr>
          <w:spacing w:val="-1"/>
        </w:rPr>
        <w:t xml:space="preserve"> </w:t>
      </w:r>
      <w:r>
        <w:t>this</w:t>
      </w:r>
      <w:r>
        <w:rPr>
          <w:spacing w:val="-1"/>
        </w:rPr>
        <w:t xml:space="preserve"> </w:t>
      </w:r>
      <w:r>
        <w:t>is</w:t>
      </w:r>
      <w:r>
        <w:rPr>
          <w:spacing w:val="-1"/>
        </w:rPr>
        <w:t xml:space="preserve"> </w:t>
      </w:r>
      <w:r>
        <w:t>so,</w:t>
      </w:r>
      <w:r>
        <w:rPr>
          <w:spacing w:val="-2"/>
        </w:rPr>
        <w:t xml:space="preserve"> </w:t>
      </w:r>
      <w:r>
        <w:t>it</w:t>
      </w:r>
      <w:r>
        <w:rPr>
          <w:spacing w:val="-1"/>
        </w:rPr>
        <w:t xml:space="preserve"> </w:t>
      </w:r>
      <w:r>
        <w:t>would</w:t>
      </w:r>
      <w:r>
        <w:rPr>
          <w:spacing w:val="-1"/>
        </w:rPr>
        <w:t xml:space="preserve"> </w:t>
      </w:r>
      <w:r>
        <w:t>be</w:t>
      </w:r>
      <w:r>
        <w:rPr>
          <w:spacing w:val="-1"/>
        </w:rPr>
        <w:t xml:space="preserve"> </w:t>
      </w:r>
      <w:r>
        <w:t>that</w:t>
      </w:r>
      <w:r>
        <w:rPr>
          <w:spacing w:val="-1"/>
        </w:rPr>
        <w:t xml:space="preserve"> </w:t>
      </w:r>
      <w:r>
        <w:t>it’s simply easier—less demanding of energy, intelligence, and reflection—to describe other people either as monsters or as heroes, and that it is therefore easier to take very simple and uniform positions with respect to their actions. (Also, by thinking in binary terms, one shields oneself from ugly and painful realities about oneself and about others. It's emotionally easier to see the world as divided into saints and ghouls than it is to see everyone, including oneself, as part-ghoul, part-saint.) In any case, what is important here is that this desire for simplicity, whatever its psychological basis, is not consistent with the actual moral structure of most acts.</w:t>
      </w:r>
    </w:p>
    <w:p w14:paraId="7E002319" w14:textId="77777777" w:rsidR="009A58DB" w:rsidRDefault="00000000">
      <w:pPr>
        <w:pStyle w:val="Heading1"/>
        <w:numPr>
          <w:ilvl w:val="0"/>
          <w:numId w:val="64"/>
        </w:numPr>
        <w:tabs>
          <w:tab w:val="left" w:pos="1455"/>
        </w:tabs>
        <w:spacing w:before="204" w:line="244" w:lineRule="auto"/>
        <w:ind w:right="365" w:firstLine="0"/>
        <w:jc w:val="both"/>
      </w:pPr>
      <w:r>
        <w:t xml:space="preserve">A corollary of the non-binary nature of moral attributes: Moral obligations have a dimension of </w:t>
      </w:r>
      <w:r>
        <w:rPr>
          <w:spacing w:val="-2"/>
        </w:rPr>
        <w:t>weight</w:t>
      </w:r>
    </w:p>
    <w:p w14:paraId="7E00231A" w14:textId="77777777" w:rsidR="009A58DB" w:rsidRDefault="00000000">
      <w:pPr>
        <w:pStyle w:val="BodyText"/>
        <w:spacing w:before="134" w:line="249" w:lineRule="auto"/>
        <w:ind w:right="357"/>
      </w:pPr>
      <w:r>
        <w:t>Moral obligations are not “binary”; they come in degrees. And some obligations are therefore stronger than others. If I promise to meet you for lunch, I have an obligation to show up. But that obligation is not as strong as my obligation to show up to the classes that I’m paid by this university to teach. And the latter obligation is not as strong as the President’s obligation</w:t>
      </w:r>
      <w:r>
        <w:rPr>
          <w:spacing w:val="40"/>
        </w:rPr>
        <w:t xml:space="preserve"> </w:t>
      </w:r>
      <w:r>
        <w:t>to serve the interests of his 300 million constituents.</w:t>
      </w:r>
    </w:p>
    <w:p w14:paraId="7E00231B" w14:textId="77777777" w:rsidR="009A58DB" w:rsidRDefault="00000000">
      <w:pPr>
        <w:pStyle w:val="BodyText"/>
        <w:spacing w:before="8" w:line="249" w:lineRule="auto"/>
        <w:ind w:right="362" w:firstLine="360"/>
      </w:pPr>
      <w:r>
        <w:t>A related point is that there are degrees of wrongness. It is wrong of me not to show up to a lunch date I promised to show up to; it is more wrong of me not to show up to a class I’m supposed to teach; and it is even more</w:t>
      </w:r>
      <w:r>
        <w:rPr>
          <w:spacing w:val="40"/>
        </w:rPr>
        <w:t xml:space="preserve"> </w:t>
      </w:r>
      <w:r>
        <w:t>wrong for a head of state to violate the trust of his constituents.</w:t>
      </w:r>
    </w:p>
    <w:p w14:paraId="7E00231C" w14:textId="77777777" w:rsidR="009A58DB" w:rsidRDefault="00000000">
      <w:pPr>
        <w:pStyle w:val="ListParagraph"/>
        <w:numPr>
          <w:ilvl w:val="1"/>
          <w:numId w:val="64"/>
        </w:numPr>
        <w:tabs>
          <w:tab w:val="left" w:pos="1485"/>
        </w:tabs>
        <w:spacing w:before="207" w:line="244" w:lineRule="auto"/>
        <w:ind w:right="371" w:firstLine="0"/>
        <w:jc w:val="both"/>
        <w:rPr>
          <w:b/>
          <w:sz w:val="42"/>
        </w:rPr>
      </w:pPr>
      <w:r>
        <w:rPr>
          <w:b/>
          <w:sz w:val="42"/>
        </w:rPr>
        <w:t xml:space="preserve">For one moral obligation to </w:t>
      </w:r>
      <w:r>
        <w:rPr>
          <w:b/>
          <w:i/>
          <w:sz w:val="42"/>
        </w:rPr>
        <w:t xml:space="preserve">outweigh </w:t>
      </w:r>
      <w:r>
        <w:rPr>
          <w:b/>
          <w:sz w:val="42"/>
        </w:rPr>
        <w:t xml:space="preserve">another is not for it to </w:t>
      </w:r>
      <w:r>
        <w:rPr>
          <w:b/>
          <w:i/>
          <w:sz w:val="42"/>
        </w:rPr>
        <w:t xml:space="preserve">cancel </w:t>
      </w:r>
      <w:r>
        <w:rPr>
          <w:b/>
          <w:sz w:val="42"/>
        </w:rPr>
        <w:t>it</w:t>
      </w:r>
    </w:p>
    <w:p w14:paraId="7E00231D" w14:textId="77777777" w:rsidR="009A58DB" w:rsidRDefault="00000000">
      <w:pPr>
        <w:pStyle w:val="BodyText"/>
        <w:spacing w:before="132" w:line="249" w:lineRule="auto"/>
        <w:ind w:right="364"/>
      </w:pPr>
      <w:r>
        <w:t>Oftentimes, we have conflicting obligations. The following story will make this</w:t>
      </w:r>
      <w:r>
        <w:rPr>
          <w:spacing w:val="19"/>
        </w:rPr>
        <w:t xml:space="preserve"> </w:t>
      </w:r>
      <w:r>
        <w:t>clear.</w:t>
      </w:r>
      <w:r>
        <w:rPr>
          <w:spacing w:val="19"/>
        </w:rPr>
        <w:t xml:space="preserve"> </w:t>
      </w:r>
      <w:r>
        <w:t>My</w:t>
      </w:r>
      <w:r>
        <w:rPr>
          <w:spacing w:val="19"/>
        </w:rPr>
        <w:t xml:space="preserve"> </w:t>
      </w:r>
      <w:r>
        <w:t>best</w:t>
      </w:r>
      <w:r>
        <w:rPr>
          <w:spacing w:val="19"/>
        </w:rPr>
        <w:t xml:space="preserve"> </w:t>
      </w:r>
      <w:r>
        <w:t>friend,</w:t>
      </w:r>
      <w:r>
        <w:rPr>
          <w:spacing w:val="19"/>
        </w:rPr>
        <w:t xml:space="preserve"> </w:t>
      </w:r>
      <w:r>
        <w:t>who</w:t>
      </w:r>
      <w:r>
        <w:rPr>
          <w:spacing w:val="19"/>
        </w:rPr>
        <w:t xml:space="preserve"> </w:t>
      </w:r>
      <w:r>
        <w:t>has</w:t>
      </w:r>
      <w:r>
        <w:rPr>
          <w:spacing w:val="19"/>
        </w:rPr>
        <w:t xml:space="preserve"> </w:t>
      </w:r>
      <w:r>
        <w:t>always</w:t>
      </w:r>
      <w:r>
        <w:rPr>
          <w:spacing w:val="19"/>
        </w:rPr>
        <w:t xml:space="preserve"> </w:t>
      </w:r>
      <w:r>
        <w:t>been</w:t>
      </w:r>
      <w:r>
        <w:rPr>
          <w:spacing w:val="19"/>
        </w:rPr>
        <w:t xml:space="preserve"> </w:t>
      </w:r>
      <w:r>
        <w:t>kind</w:t>
      </w:r>
      <w:r>
        <w:rPr>
          <w:spacing w:val="19"/>
        </w:rPr>
        <w:t xml:space="preserve"> </w:t>
      </w:r>
      <w:r>
        <w:t>to</w:t>
      </w:r>
      <w:r>
        <w:rPr>
          <w:spacing w:val="19"/>
        </w:rPr>
        <w:t xml:space="preserve"> </w:t>
      </w:r>
      <w:r>
        <w:t>me,</w:t>
      </w:r>
      <w:r>
        <w:rPr>
          <w:spacing w:val="19"/>
        </w:rPr>
        <w:t xml:space="preserve"> </w:t>
      </w:r>
      <w:r>
        <w:t>has</w:t>
      </w:r>
      <w:r>
        <w:rPr>
          <w:spacing w:val="19"/>
        </w:rPr>
        <w:t xml:space="preserve"> </w:t>
      </w:r>
      <w:r>
        <w:t>one</w:t>
      </w:r>
      <w:r>
        <w:rPr>
          <w:spacing w:val="20"/>
        </w:rPr>
        <w:t xml:space="preserve"> </w:t>
      </w:r>
      <w:r>
        <w:rPr>
          <w:spacing w:val="-2"/>
        </w:rPr>
        <w:t>million</w:t>
      </w:r>
    </w:p>
    <w:p w14:paraId="7E00231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1F" w14:textId="77777777" w:rsidR="009A58DB" w:rsidRDefault="00000000">
      <w:pPr>
        <w:pStyle w:val="BodyText"/>
        <w:spacing w:before="70" w:line="249" w:lineRule="auto"/>
        <w:ind w:right="360"/>
      </w:pPr>
      <w:r>
        <w:lastRenderedPageBreak/>
        <w:t>dollars in a safe to which I have access. Of course, I have a moral obligation not to steal that money; for, were I to steal it, I’d be harming somebody</w:t>
      </w:r>
      <w:r>
        <w:rPr>
          <w:spacing w:val="40"/>
        </w:rPr>
        <w:t xml:space="preserve"> </w:t>
      </w:r>
      <w:r>
        <w:t xml:space="preserve">who’s been very decent to me, and also violating that person’s trust in me. Unfortunately, I may not have the option of honoring this moral obligation. I have five young children, all of whom desperately need to undergo very expensive medical treatment. By the time I could legitimately make the money needed to fund their treatment, they would have died, and the only way to get my hands on the needed funds is to steal my best friend’s money. So I have a choice: steal the money or let me children die. There is no third </w:t>
      </w:r>
      <w:r>
        <w:rPr>
          <w:spacing w:val="-2"/>
        </w:rPr>
        <w:t>option.</w:t>
      </w:r>
    </w:p>
    <w:p w14:paraId="7E002320" w14:textId="77777777" w:rsidR="009A58DB" w:rsidRDefault="00000000">
      <w:pPr>
        <w:pStyle w:val="BodyText"/>
        <w:spacing w:before="7" w:line="249" w:lineRule="auto"/>
        <w:ind w:right="358" w:firstLine="360"/>
      </w:pPr>
      <w:r>
        <w:t xml:space="preserve">I obviously have a moral obligation—one that is </w:t>
      </w:r>
      <w:r>
        <w:rPr>
          <w:i/>
        </w:rPr>
        <w:t xml:space="preserve">even stronger </w:t>
      </w:r>
      <w:r>
        <w:t xml:space="preserve">than my obligation not to steal my friend’s money—to get them the care that they need. I’m in a real jam here. If I steal my friend’s money, I’m violating his trust and friendship. If I </w:t>
      </w:r>
      <w:r>
        <w:rPr>
          <w:i/>
        </w:rPr>
        <w:t xml:space="preserve">don’t </w:t>
      </w:r>
      <w:r>
        <w:t>steal his money, I’m violating my</w:t>
      </w:r>
      <w:r>
        <w:rPr>
          <w:spacing w:val="40"/>
        </w:rPr>
        <w:t xml:space="preserve"> </w:t>
      </w:r>
      <w:r>
        <w:t>responsibility to help my children.</w:t>
      </w:r>
    </w:p>
    <w:p w14:paraId="7E002321" w14:textId="77777777" w:rsidR="009A58DB" w:rsidRDefault="00000000">
      <w:pPr>
        <w:pStyle w:val="BodyText"/>
        <w:spacing w:before="6" w:line="249" w:lineRule="auto"/>
        <w:ind w:right="358" w:firstLine="360"/>
      </w:pPr>
      <w:r>
        <w:t>Under</w:t>
      </w:r>
      <w:r>
        <w:rPr>
          <w:spacing w:val="-2"/>
        </w:rPr>
        <w:t xml:space="preserve"> </w:t>
      </w:r>
      <w:r>
        <w:t>the</w:t>
      </w:r>
      <w:r>
        <w:rPr>
          <w:spacing w:val="-2"/>
        </w:rPr>
        <w:t xml:space="preserve"> </w:t>
      </w:r>
      <w:r>
        <w:t>circumstances,</w:t>
      </w:r>
      <w:r>
        <w:rPr>
          <w:spacing w:val="-2"/>
        </w:rPr>
        <w:t xml:space="preserve"> </w:t>
      </w:r>
      <w:r>
        <w:t>the</w:t>
      </w:r>
      <w:r>
        <w:rPr>
          <w:spacing w:val="-2"/>
        </w:rPr>
        <w:t xml:space="preserve"> </w:t>
      </w:r>
      <w:r>
        <w:t>right</w:t>
      </w:r>
      <w:r>
        <w:rPr>
          <w:spacing w:val="-2"/>
        </w:rPr>
        <w:t xml:space="preserve"> </w:t>
      </w:r>
      <w:r>
        <w:t>thing</w:t>
      </w:r>
      <w:r>
        <w:rPr>
          <w:spacing w:val="-2"/>
        </w:rPr>
        <w:t xml:space="preserve"> </w:t>
      </w:r>
      <w:r>
        <w:t>to</w:t>
      </w:r>
      <w:r>
        <w:rPr>
          <w:spacing w:val="-2"/>
        </w:rPr>
        <w:t xml:space="preserve"> </w:t>
      </w:r>
      <w:r>
        <w:t>do—that</w:t>
      </w:r>
      <w:r>
        <w:rPr>
          <w:spacing w:val="-2"/>
        </w:rPr>
        <w:t xml:space="preserve"> </w:t>
      </w:r>
      <w:r>
        <w:t>is,</w:t>
      </w:r>
      <w:r>
        <w:rPr>
          <w:spacing w:val="-2"/>
        </w:rPr>
        <w:t xml:space="preserve"> </w:t>
      </w:r>
      <w:r>
        <w:t>the</w:t>
      </w:r>
      <w:r>
        <w:rPr>
          <w:spacing w:val="-2"/>
        </w:rPr>
        <w:t xml:space="preserve"> </w:t>
      </w:r>
      <w:r>
        <w:rPr>
          <w:i/>
        </w:rPr>
        <w:t xml:space="preserve">least bad </w:t>
      </w:r>
      <w:r>
        <w:t xml:space="preserve">thing, the lesser of two evils—is to steal the money. After all, the moral value of saving five children exceeds the moral value of not stealing my friend’s money. But that doesn’t mean that my obligation not to steal my friend’s money ceases to exist. It </w:t>
      </w:r>
      <w:r>
        <w:rPr>
          <w:i/>
        </w:rPr>
        <w:t xml:space="preserve">does </w:t>
      </w:r>
      <w:r>
        <w:t xml:space="preserve">still exist. In stealing from my friend, I am doing something to him that he has a right </w:t>
      </w:r>
      <w:r>
        <w:rPr>
          <w:i/>
        </w:rPr>
        <w:t>not</w:t>
      </w:r>
      <w:r>
        <w:rPr>
          <w:i/>
          <w:spacing w:val="-3"/>
        </w:rPr>
        <w:t xml:space="preserve"> </w:t>
      </w:r>
      <w:r>
        <w:t>to undergo and that I therefore have an obligation not to make happen. Basically, obligations that are outweighed by other, more powerful obligations do not on that account cease to exist.</w:t>
      </w:r>
    </w:p>
    <w:p w14:paraId="7E002322" w14:textId="77777777" w:rsidR="009A58DB" w:rsidRDefault="00000000">
      <w:pPr>
        <w:pStyle w:val="ListParagraph"/>
        <w:numPr>
          <w:ilvl w:val="1"/>
          <w:numId w:val="64"/>
        </w:numPr>
        <w:tabs>
          <w:tab w:val="left" w:pos="1409"/>
        </w:tabs>
        <w:spacing w:before="199"/>
        <w:ind w:left="1409" w:hanging="1049"/>
        <w:rPr>
          <w:b/>
          <w:sz w:val="42"/>
        </w:rPr>
      </w:pPr>
      <w:r>
        <w:rPr>
          <w:b/>
          <w:sz w:val="42"/>
        </w:rPr>
        <w:t>“right”</w:t>
      </w:r>
      <w:r>
        <w:rPr>
          <w:b/>
          <w:spacing w:val="-2"/>
          <w:sz w:val="42"/>
        </w:rPr>
        <w:t xml:space="preserve"> </w:t>
      </w:r>
      <w:r>
        <w:rPr>
          <w:sz w:val="42"/>
        </w:rPr>
        <w:t>≠</w:t>
      </w:r>
      <w:r>
        <w:rPr>
          <w:spacing w:val="-3"/>
          <w:sz w:val="42"/>
        </w:rPr>
        <w:t xml:space="preserve"> </w:t>
      </w:r>
      <w:r>
        <w:rPr>
          <w:b/>
          <w:sz w:val="42"/>
        </w:rPr>
        <w:t>“good”,</w:t>
      </w:r>
      <w:r>
        <w:rPr>
          <w:b/>
          <w:spacing w:val="-2"/>
          <w:sz w:val="42"/>
        </w:rPr>
        <w:t xml:space="preserve"> </w:t>
      </w:r>
      <w:r>
        <w:rPr>
          <w:b/>
          <w:sz w:val="42"/>
        </w:rPr>
        <w:t>“right”</w:t>
      </w:r>
      <w:r>
        <w:rPr>
          <w:b/>
          <w:spacing w:val="-3"/>
          <w:sz w:val="42"/>
        </w:rPr>
        <w:t xml:space="preserve"> </w:t>
      </w:r>
      <w:r>
        <w:rPr>
          <w:b/>
          <w:sz w:val="42"/>
        </w:rPr>
        <w:t>=</w:t>
      </w:r>
      <w:r>
        <w:rPr>
          <w:b/>
          <w:spacing w:val="-2"/>
          <w:sz w:val="42"/>
        </w:rPr>
        <w:t xml:space="preserve"> </w:t>
      </w:r>
      <w:r>
        <w:rPr>
          <w:b/>
          <w:sz w:val="42"/>
        </w:rPr>
        <w:t>“least</w:t>
      </w:r>
      <w:r>
        <w:rPr>
          <w:b/>
          <w:spacing w:val="-3"/>
          <w:sz w:val="42"/>
        </w:rPr>
        <w:t xml:space="preserve"> </w:t>
      </w:r>
      <w:r>
        <w:rPr>
          <w:b/>
          <w:spacing w:val="-4"/>
          <w:sz w:val="42"/>
        </w:rPr>
        <w:t>bad”</w:t>
      </w:r>
    </w:p>
    <w:p w14:paraId="7E002323" w14:textId="77777777" w:rsidR="009A58DB" w:rsidRDefault="00000000">
      <w:pPr>
        <w:pStyle w:val="BodyText"/>
        <w:spacing w:before="139" w:line="249" w:lineRule="auto"/>
        <w:ind w:right="358"/>
      </w:pPr>
      <w:r>
        <w:t>Under</w:t>
      </w:r>
      <w:r>
        <w:rPr>
          <w:spacing w:val="-3"/>
        </w:rPr>
        <w:t xml:space="preserve"> </w:t>
      </w:r>
      <w:r>
        <w:t>the</w:t>
      </w:r>
      <w:r>
        <w:rPr>
          <w:spacing w:val="-2"/>
        </w:rPr>
        <w:t xml:space="preserve"> </w:t>
      </w:r>
      <w:r>
        <w:t>circumstances</w:t>
      </w:r>
      <w:r>
        <w:rPr>
          <w:spacing w:val="-2"/>
        </w:rPr>
        <w:t xml:space="preserve"> </w:t>
      </w:r>
      <w:r>
        <w:t>described</w:t>
      </w:r>
      <w:r>
        <w:rPr>
          <w:spacing w:val="-2"/>
        </w:rPr>
        <w:t xml:space="preserve"> </w:t>
      </w:r>
      <w:r>
        <w:t>a</w:t>
      </w:r>
      <w:r>
        <w:rPr>
          <w:spacing w:val="-2"/>
        </w:rPr>
        <w:t xml:space="preserve"> </w:t>
      </w:r>
      <w:r>
        <w:t>moment</w:t>
      </w:r>
      <w:r>
        <w:rPr>
          <w:spacing w:val="-2"/>
        </w:rPr>
        <w:t xml:space="preserve"> </w:t>
      </w:r>
      <w:r>
        <w:t>ago,</w:t>
      </w:r>
      <w:r>
        <w:rPr>
          <w:spacing w:val="-2"/>
        </w:rPr>
        <w:t xml:space="preserve"> </w:t>
      </w:r>
      <w:r>
        <w:t>the</w:t>
      </w:r>
      <w:r>
        <w:rPr>
          <w:spacing w:val="-2"/>
        </w:rPr>
        <w:t xml:space="preserve"> </w:t>
      </w:r>
      <w:r>
        <w:t>“right”</w:t>
      </w:r>
      <w:r>
        <w:rPr>
          <w:spacing w:val="-2"/>
        </w:rPr>
        <w:t xml:space="preserve"> </w:t>
      </w:r>
      <w:r>
        <w:t>thing</w:t>
      </w:r>
      <w:r>
        <w:rPr>
          <w:spacing w:val="-2"/>
        </w:rPr>
        <w:t xml:space="preserve"> </w:t>
      </w:r>
      <w:r>
        <w:t>to</w:t>
      </w:r>
      <w:r>
        <w:rPr>
          <w:spacing w:val="-2"/>
        </w:rPr>
        <w:t xml:space="preserve"> </w:t>
      </w:r>
      <w:r>
        <w:t>do</w:t>
      </w:r>
      <w:r>
        <w:rPr>
          <w:spacing w:val="-2"/>
        </w:rPr>
        <w:t xml:space="preserve"> </w:t>
      </w:r>
      <w:r>
        <w:t>is</w:t>
      </w:r>
      <w:r>
        <w:rPr>
          <w:spacing w:val="-2"/>
        </w:rPr>
        <w:t xml:space="preserve"> </w:t>
      </w:r>
      <w:r>
        <w:t xml:space="preserve">to steal my friend’s money, the reason being that, if I don’t do this, my children will die. But stealing my friend’s money is clearly </w:t>
      </w:r>
      <w:r>
        <w:rPr>
          <w:i/>
        </w:rPr>
        <w:t xml:space="preserve">the lesser of two evils. </w:t>
      </w:r>
      <w:r>
        <w:t xml:space="preserve">In other words, it is a bad thing, a terrible thing—but the alternative is even worse. So what makes it right to steal my friend’s money is not that doing so is a positive good; it is that doing so is the </w:t>
      </w:r>
      <w:r>
        <w:rPr>
          <w:i/>
        </w:rPr>
        <w:t xml:space="preserve">least bad </w:t>
      </w:r>
      <w:r>
        <w:t>option available under the circumstances. In general, what we mean by “the right course of action”</w:t>
      </w:r>
      <w:r>
        <w:rPr>
          <w:spacing w:val="40"/>
        </w:rPr>
        <w:t xml:space="preserve"> </w:t>
      </w:r>
      <w:r>
        <w:t xml:space="preserve">is the </w:t>
      </w:r>
      <w:r>
        <w:rPr>
          <w:i/>
        </w:rPr>
        <w:t xml:space="preserve">least bad </w:t>
      </w:r>
      <w:r>
        <w:t>course of action that the circumstances permit.</w:t>
      </w:r>
    </w:p>
    <w:p w14:paraId="7E00232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25" w14:textId="77777777" w:rsidR="009A58DB" w:rsidRDefault="00000000">
      <w:pPr>
        <w:pStyle w:val="ListParagraph"/>
        <w:numPr>
          <w:ilvl w:val="1"/>
          <w:numId w:val="64"/>
        </w:numPr>
        <w:tabs>
          <w:tab w:val="left" w:pos="1409"/>
        </w:tabs>
        <w:spacing w:before="58"/>
        <w:ind w:left="1409" w:hanging="1049"/>
        <w:rPr>
          <w:b/>
          <w:sz w:val="42"/>
        </w:rPr>
      </w:pPr>
      <w:r>
        <w:rPr>
          <w:b/>
          <w:sz w:val="42"/>
        </w:rPr>
        <w:lastRenderedPageBreak/>
        <w:t>“wrong”</w:t>
      </w:r>
      <w:r>
        <w:rPr>
          <w:b/>
          <w:spacing w:val="-4"/>
          <w:sz w:val="42"/>
        </w:rPr>
        <w:t xml:space="preserve"> </w:t>
      </w:r>
      <w:r>
        <w:rPr>
          <w:sz w:val="42"/>
        </w:rPr>
        <w:t>≠</w:t>
      </w:r>
      <w:r>
        <w:rPr>
          <w:spacing w:val="-3"/>
          <w:sz w:val="42"/>
        </w:rPr>
        <w:t xml:space="preserve"> </w:t>
      </w:r>
      <w:r>
        <w:rPr>
          <w:b/>
          <w:sz w:val="42"/>
        </w:rPr>
        <w:t>“bad”,</w:t>
      </w:r>
      <w:r>
        <w:rPr>
          <w:b/>
          <w:spacing w:val="-2"/>
          <w:sz w:val="42"/>
        </w:rPr>
        <w:t xml:space="preserve"> </w:t>
      </w:r>
      <w:r>
        <w:rPr>
          <w:b/>
          <w:sz w:val="42"/>
        </w:rPr>
        <w:t>“wrong”</w:t>
      </w:r>
      <w:r>
        <w:rPr>
          <w:b/>
          <w:spacing w:val="-2"/>
          <w:sz w:val="42"/>
        </w:rPr>
        <w:t xml:space="preserve"> </w:t>
      </w:r>
      <w:r>
        <w:rPr>
          <w:b/>
          <w:sz w:val="42"/>
        </w:rPr>
        <w:t>=</w:t>
      </w:r>
      <w:r>
        <w:rPr>
          <w:b/>
          <w:spacing w:val="-3"/>
          <w:sz w:val="42"/>
        </w:rPr>
        <w:t xml:space="preserve"> </w:t>
      </w:r>
      <w:r>
        <w:rPr>
          <w:b/>
          <w:sz w:val="42"/>
        </w:rPr>
        <w:t>“least</w:t>
      </w:r>
      <w:r>
        <w:rPr>
          <w:b/>
          <w:spacing w:val="-2"/>
          <w:sz w:val="42"/>
        </w:rPr>
        <w:t xml:space="preserve"> good”</w:t>
      </w:r>
    </w:p>
    <w:p w14:paraId="7E002326" w14:textId="77777777" w:rsidR="009A58DB" w:rsidRDefault="00000000">
      <w:pPr>
        <w:pStyle w:val="BodyText"/>
        <w:spacing w:before="139" w:line="249" w:lineRule="auto"/>
        <w:ind w:right="359"/>
      </w:pPr>
      <w:r>
        <w:t>For</w:t>
      </w:r>
      <w:r>
        <w:rPr>
          <w:spacing w:val="35"/>
        </w:rPr>
        <w:t xml:space="preserve"> </w:t>
      </w:r>
      <w:r>
        <w:t>similar</w:t>
      </w:r>
      <w:r>
        <w:rPr>
          <w:spacing w:val="35"/>
        </w:rPr>
        <w:t xml:space="preserve"> </w:t>
      </w:r>
      <w:r>
        <w:t>reasons,</w:t>
      </w:r>
      <w:r>
        <w:rPr>
          <w:spacing w:val="35"/>
        </w:rPr>
        <w:t xml:space="preserve"> </w:t>
      </w:r>
      <w:r>
        <w:t>the</w:t>
      </w:r>
      <w:r>
        <w:rPr>
          <w:spacing w:val="35"/>
        </w:rPr>
        <w:t xml:space="preserve"> </w:t>
      </w:r>
      <w:r>
        <w:t>“wrong”</w:t>
      </w:r>
      <w:r>
        <w:rPr>
          <w:spacing w:val="35"/>
        </w:rPr>
        <w:t xml:space="preserve"> </w:t>
      </w:r>
      <w:r>
        <w:t>thing</w:t>
      </w:r>
      <w:r>
        <w:rPr>
          <w:spacing w:val="35"/>
        </w:rPr>
        <w:t xml:space="preserve"> </w:t>
      </w:r>
      <w:r>
        <w:t>to</w:t>
      </w:r>
      <w:r>
        <w:rPr>
          <w:spacing w:val="35"/>
        </w:rPr>
        <w:t xml:space="preserve"> </w:t>
      </w:r>
      <w:r>
        <w:t>do</w:t>
      </w:r>
      <w:r>
        <w:rPr>
          <w:spacing w:val="35"/>
        </w:rPr>
        <w:t xml:space="preserve"> </w:t>
      </w:r>
      <w:r>
        <w:t>is</w:t>
      </w:r>
      <w:r>
        <w:rPr>
          <w:spacing w:val="35"/>
        </w:rPr>
        <w:t xml:space="preserve"> </w:t>
      </w:r>
      <w:r>
        <w:t>not</w:t>
      </w:r>
      <w:r>
        <w:rPr>
          <w:spacing w:val="35"/>
        </w:rPr>
        <w:t xml:space="preserve"> </w:t>
      </w:r>
      <w:r>
        <w:t>necessarily</w:t>
      </w:r>
      <w:r>
        <w:rPr>
          <w:spacing w:val="35"/>
        </w:rPr>
        <w:t xml:space="preserve"> </w:t>
      </w:r>
      <w:r>
        <w:t>a</w:t>
      </w:r>
      <w:r>
        <w:rPr>
          <w:spacing w:val="30"/>
        </w:rPr>
        <w:t xml:space="preserve"> </w:t>
      </w:r>
      <w:r>
        <w:rPr>
          <w:i/>
        </w:rPr>
        <w:t>bad</w:t>
      </w:r>
      <w:r>
        <w:rPr>
          <w:i/>
          <w:spacing w:val="30"/>
        </w:rPr>
        <w:t xml:space="preserve"> </w:t>
      </w:r>
      <w:r>
        <w:t>thing to</w:t>
      </w:r>
      <w:r>
        <w:rPr>
          <w:spacing w:val="40"/>
        </w:rPr>
        <w:t xml:space="preserve"> </w:t>
      </w:r>
      <w:r>
        <w:t>do.</w:t>
      </w:r>
      <w:r>
        <w:rPr>
          <w:spacing w:val="40"/>
        </w:rPr>
        <w:t xml:space="preserve"> </w:t>
      </w:r>
      <w:r>
        <w:t>For</w:t>
      </w:r>
      <w:r>
        <w:rPr>
          <w:spacing w:val="40"/>
        </w:rPr>
        <w:t xml:space="preserve"> </w:t>
      </w:r>
      <w:r>
        <w:t>a</w:t>
      </w:r>
      <w:r>
        <w:rPr>
          <w:spacing w:val="40"/>
        </w:rPr>
        <w:t xml:space="preserve"> </w:t>
      </w:r>
      <w:r>
        <w:t>course</w:t>
      </w:r>
      <w:r>
        <w:rPr>
          <w:spacing w:val="40"/>
        </w:rPr>
        <w:t xml:space="preserve"> </w:t>
      </w:r>
      <w:r>
        <w:t>of</w:t>
      </w:r>
      <w:r>
        <w:rPr>
          <w:spacing w:val="40"/>
        </w:rPr>
        <w:t xml:space="preserve"> </w:t>
      </w:r>
      <w:r>
        <w:t>action</w:t>
      </w:r>
      <w:r>
        <w:rPr>
          <w:spacing w:val="40"/>
        </w:rPr>
        <w:t xml:space="preserve"> </w:t>
      </w:r>
      <w:r>
        <w:t>to</w:t>
      </w:r>
      <w:r>
        <w:rPr>
          <w:spacing w:val="40"/>
        </w:rPr>
        <w:t xml:space="preserve"> </w:t>
      </w:r>
      <w:r>
        <w:t>be</w:t>
      </w:r>
      <w:r>
        <w:rPr>
          <w:spacing w:val="40"/>
        </w:rPr>
        <w:t xml:space="preserve"> </w:t>
      </w:r>
      <w:r>
        <w:t>wrong</w:t>
      </w:r>
      <w:r>
        <w:rPr>
          <w:spacing w:val="40"/>
        </w:rPr>
        <w:t xml:space="preserve"> </w:t>
      </w:r>
      <w:r>
        <w:t>is</w:t>
      </w:r>
      <w:r>
        <w:rPr>
          <w:spacing w:val="40"/>
        </w:rPr>
        <w:t xml:space="preserve"> </w:t>
      </w:r>
      <w:r>
        <w:t>for</w:t>
      </w:r>
      <w:r>
        <w:rPr>
          <w:spacing w:val="40"/>
        </w:rPr>
        <w:t xml:space="preserve"> </w:t>
      </w:r>
      <w:r>
        <w:t>it</w:t>
      </w:r>
      <w:r>
        <w:rPr>
          <w:spacing w:val="40"/>
        </w:rPr>
        <w:t xml:space="preserve"> </w:t>
      </w:r>
      <w:r>
        <w:t>to</w:t>
      </w:r>
      <w:r>
        <w:rPr>
          <w:spacing w:val="40"/>
        </w:rPr>
        <w:t xml:space="preserve"> </w:t>
      </w:r>
      <w:r>
        <w:t>be</w:t>
      </w:r>
      <w:r>
        <w:rPr>
          <w:spacing w:val="40"/>
        </w:rPr>
        <w:t xml:space="preserve"> </w:t>
      </w:r>
      <w:r>
        <w:t xml:space="preserve">the </w:t>
      </w:r>
      <w:r>
        <w:rPr>
          <w:i/>
        </w:rPr>
        <w:t>least</w:t>
      </w:r>
      <w:r>
        <w:rPr>
          <w:i/>
          <w:spacing w:val="40"/>
        </w:rPr>
        <w:t xml:space="preserve"> </w:t>
      </w:r>
      <w:r>
        <w:rPr>
          <w:i/>
        </w:rPr>
        <w:t xml:space="preserve">good </w:t>
      </w:r>
      <w:r>
        <w:t>possible course of action. Suppose that I am in a situation where, for some reason or other, there are only three possible courses of action available to me:</w:t>
      </w:r>
      <w:r>
        <w:rPr>
          <w:spacing w:val="39"/>
        </w:rPr>
        <w:t xml:space="preserve"> </w:t>
      </w:r>
      <w:r>
        <w:t>(i)</w:t>
      </w:r>
      <w:r>
        <w:rPr>
          <w:spacing w:val="39"/>
        </w:rPr>
        <w:t xml:space="preserve"> </w:t>
      </w:r>
      <w:r>
        <w:t>I</w:t>
      </w:r>
      <w:r>
        <w:rPr>
          <w:spacing w:val="39"/>
        </w:rPr>
        <w:t xml:space="preserve"> </w:t>
      </w:r>
      <w:r>
        <w:t>can</w:t>
      </w:r>
      <w:r>
        <w:rPr>
          <w:spacing w:val="39"/>
        </w:rPr>
        <w:t xml:space="preserve"> </w:t>
      </w:r>
      <w:r>
        <w:t>save</w:t>
      </w:r>
      <w:r>
        <w:rPr>
          <w:spacing w:val="39"/>
        </w:rPr>
        <w:t xml:space="preserve"> </w:t>
      </w:r>
      <w:r>
        <w:t>the</w:t>
      </w:r>
      <w:r>
        <w:rPr>
          <w:spacing w:val="39"/>
        </w:rPr>
        <w:t xml:space="preserve"> </w:t>
      </w:r>
      <w:r>
        <w:t>lives</w:t>
      </w:r>
      <w:r>
        <w:rPr>
          <w:spacing w:val="39"/>
        </w:rPr>
        <w:t xml:space="preserve"> </w:t>
      </w:r>
      <w:r>
        <w:t>of</w:t>
      </w:r>
      <w:r>
        <w:rPr>
          <w:spacing w:val="39"/>
        </w:rPr>
        <w:t xml:space="preserve"> </w:t>
      </w:r>
      <w:r>
        <w:t>individuals</w:t>
      </w:r>
      <w:r>
        <w:rPr>
          <w:spacing w:val="39"/>
        </w:rPr>
        <w:t xml:space="preserve"> </w:t>
      </w:r>
      <w:r>
        <w:t>M</w:t>
      </w:r>
      <w:r>
        <w:rPr>
          <w:position w:val="-7"/>
          <w:sz w:val="22"/>
        </w:rPr>
        <w:t>1</w:t>
      </w:r>
      <w:r>
        <w:rPr>
          <w:spacing w:val="40"/>
          <w:position w:val="-7"/>
          <w:sz w:val="22"/>
        </w:rPr>
        <w:t xml:space="preserve"> </w:t>
      </w:r>
      <w:r>
        <w:t>.</w:t>
      </w:r>
      <w:r>
        <w:rPr>
          <w:spacing w:val="40"/>
        </w:rPr>
        <w:t xml:space="preserve"> </w:t>
      </w:r>
      <w:r>
        <w:t>.</w:t>
      </w:r>
      <w:r>
        <w:rPr>
          <w:spacing w:val="40"/>
        </w:rPr>
        <w:t xml:space="preserve"> </w:t>
      </w:r>
      <w:r>
        <w:t>.</w:t>
      </w:r>
      <w:r>
        <w:rPr>
          <w:spacing w:val="40"/>
        </w:rPr>
        <w:t xml:space="preserve"> </w:t>
      </w:r>
      <w:r>
        <w:t>M</w:t>
      </w:r>
      <w:r>
        <w:rPr>
          <w:position w:val="-7"/>
          <w:sz w:val="22"/>
        </w:rPr>
        <w:t>10</w:t>
      </w:r>
      <w:r>
        <w:t>;</w:t>
      </w:r>
      <w:r>
        <w:rPr>
          <w:spacing w:val="40"/>
        </w:rPr>
        <w:t xml:space="preserve"> </w:t>
      </w:r>
      <w:r>
        <w:t>(ii)</w:t>
      </w:r>
      <w:r>
        <w:rPr>
          <w:spacing w:val="40"/>
        </w:rPr>
        <w:t xml:space="preserve"> </w:t>
      </w:r>
      <w:r>
        <w:t>I</w:t>
      </w:r>
      <w:r>
        <w:rPr>
          <w:spacing w:val="40"/>
        </w:rPr>
        <w:t xml:space="preserve"> </w:t>
      </w:r>
      <w:r>
        <w:t>can</w:t>
      </w:r>
      <w:r>
        <w:rPr>
          <w:spacing w:val="40"/>
        </w:rPr>
        <w:t xml:space="preserve"> </w:t>
      </w:r>
      <w:r>
        <w:t>save</w:t>
      </w:r>
      <w:r>
        <w:rPr>
          <w:spacing w:val="40"/>
        </w:rPr>
        <w:t xml:space="preserve"> </w:t>
      </w:r>
      <w:r>
        <w:t>the lives of individuals M</w:t>
      </w:r>
      <w:r>
        <w:rPr>
          <w:position w:val="-7"/>
          <w:sz w:val="22"/>
        </w:rPr>
        <w:t>11</w:t>
      </w:r>
      <w:r>
        <w:rPr>
          <w:spacing w:val="40"/>
          <w:position w:val="-7"/>
          <w:sz w:val="22"/>
        </w:rPr>
        <w:t xml:space="preserve"> </w:t>
      </w:r>
      <w:r>
        <w:t>. . . M</w:t>
      </w:r>
      <w:r>
        <w:rPr>
          <w:position w:val="-7"/>
          <w:sz w:val="22"/>
        </w:rPr>
        <w:t>15</w:t>
      </w:r>
      <w:r>
        <w:t>; (iii) I can save the lives of individuals</w:t>
      </w:r>
      <w:r>
        <w:rPr>
          <w:spacing w:val="40"/>
        </w:rPr>
        <w:t xml:space="preserve"> </w:t>
      </w:r>
      <w:r>
        <w:t>M16–M17. In other words, my choices are (i) save 10 people, but let 7</w:t>
      </w:r>
      <w:r>
        <w:rPr>
          <w:spacing w:val="80"/>
        </w:rPr>
        <w:t xml:space="preserve"> </w:t>
      </w:r>
      <w:r>
        <w:t>people</w:t>
      </w:r>
      <w:r>
        <w:rPr>
          <w:spacing w:val="39"/>
        </w:rPr>
        <w:t xml:space="preserve"> </w:t>
      </w:r>
      <w:r>
        <w:t>die;</w:t>
      </w:r>
      <w:r>
        <w:rPr>
          <w:spacing w:val="39"/>
        </w:rPr>
        <w:t xml:space="preserve"> </w:t>
      </w:r>
      <w:r>
        <w:t>(ii)</w:t>
      </w:r>
      <w:r>
        <w:rPr>
          <w:spacing w:val="39"/>
        </w:rPr>
        <w:t xml:space="preserve"> </w:t>
      </w:r>
      <w:r>
        <w:t>save</w:t>
      </w:r>
      <w:r>
        <w:rPr>
          <w:spacing w:val="39"/>
        </w:rPr>
        <w:t xml:space="preserve"> </w:t>
      </w:r>
      <w:r>
        <w:t>5</w:t>
      </w:r>
      <w:r>
        <w:rPr>
          <w:spacing w:val="39"/>
        </w:rPr>
        <w:t xml:space="preserve"> </w:t>
      </w:r>
      <w:r>
        <w:t>people,</w:t>
      </w:r>
      <w:r>
        <w:rPr>
          <w:spacing w:val="39"/>
        </w:rPr>
        <w:t xml:space="preserve"> </w:t>
      </w:r>
      <w:r>
        <w:t>but</w:t>
      </w:r>
      <w:r>
        <w:rPr>
          <w:spacing w:val="39"/>
        </w:rPr>
        <w:t xml:space="preserve"> </w:t>
      </w:r>
      <w:r>
        <w:t>let</w:t>
      </w:r>
      <w:r>
        <w:rPr>
          <w:spacing w:val="39"/>
        </w:rPr>
        <w:t xml:space="preserve"> </w:t>
      </w:r>
      <w:r>
        <w:t>12</w:t>
      </w:r>
      <w:r>
        <w:rPr>
          <w:spacing w:val="39"/>
        </w:rPr>
        <w:t xml:space="preserve"> </w:t>
      </w:r>
      <w:r>
        <w:t>people</w:t>
      </w:r>
      <w:r>
        <w:rPr>
          <w:spacing w:val="39"/>
        </w:rPr>
        <w:t xml:space="preserve"> </w:t>
      </w:r>
      <w:r>
        <w:t>die;</w:t>
      </w:r>
      <w:r>
        <w:rPr>
          <w:spacing w:val="39"/>
        </w:rPr>
        <w:t xml:space="preserve"> </w:t>
      </w:r>
      <w:r>
        <w:t>or</w:t>
      </w:r>
      <w:r>
        <w:rPr>
          <w:spacing w:val="39"/>
        </w:rPr>
        <w:t xml:space="preserve"> </w:t>
      </w:r>
      <w:r>
        <w:t>save</w:t>
      </w:r>
      <w:r>
        <w:rPr>
          <w:spacing w:val="39"/>
        </w:rPr>
        <w:t xml:space="preserve"> </w:t>
      </w:r>
      <w:r>
        <w:t>1</w:t>
      </w:r>
      <w:r>
        <w:rPr>
          <w:spacing w:val="39"/>
        </w:rPr>
        <w:t xml:space="preserve"> </w:t>
      </w:r>
      <w:r>
        <w:t>person,</w:t>
      </w:r>
      <w:r>
        <w:rPr>
          <w:spacing w:val="39"/>
        </w:rPr>
        <w:t xml:space="preserve"> </w:t>
      </w:r>
      <w:r>
        <w:t>but let</w:t>
      </w:r>
      <w:r>
        <w:rPr>
          <w:spacing w:val="33"/>
        </w:rPr>
        <w:t xml:space="preserve"> </w:t>
      </w:r>
      <w:r>
        <w:t>16</w:t>
      </w:r>
      <w:r>
        <w:rPr>
          <w:spacing w:val="34"/>
        </w:rPr>
        <w:t xml:space="preserve"> </w:t>
      </w:r>
      <w:r>
        <w:t>people</w:t>
      </w:r>
      <w:r>
        <w:rPr>
          <w:spacing w:val="33"/>
        </w:rPr>
        <w:t xml:space="preserve"> </w:t>
      </w:r>
      <w:r>
        <w:t>die.</w:t>
      </w:r>
      <w:r>
        <w:rPr>
          <w:spacing w:val="80"/>
          <w:w w:val="150"/>
        </w:rPr>
        <w:t xml:space="preserve"> </w:t>
      </w:r>
      <w:r>
        <w:t>(Let</w:t>
      </w:r>
      <w:r>
        <w:rPr>
          <w:spacing w:val="34"/>
        </w:rPr>
        <w:t xml:space="preserve"> </w:t>
      </w:r>
      <w:r>
        <w:t>us</w:t>
      </w:r>
      <w:r>
        <w:rPr>
          <w:spacing w:val="34"/>
        </w:rPr>
        <w:t xml:space="preserve"> </w:t>
      </w:r>
      <w:r>
        <w:t>suppose</w:t>
      </w:r>
      <w:r>
        <w:rPr>
          <w:spacing w:val="34"/>
        </w:rPr>
        <w:t xml:space="preserve"> </w:t>
      </w:r>
      <w:r>
        <w:t>that</w:t>
      </w:r>
      <w:r>
        <w:rPr>
          <w:spacing w:val="34"/>
        </w:rPr>
        <w:t xml:space="preserve"> </w:t>
      </w:r>
      <w:r>
        <w:t>the</w:t>
      </w:r>
      <w:r>
        <w:rPr>
          <w:spacing w:val="34"/>
        </w:rPr>
        <w:t xml:space="preserve"> </w:t>
      </w:r>
      <w:r>
        <w:t>individuals</w:t>
      </w:r>
      <w:r>
        <w:rPr>
          <w:spacing w:val="34"/>
        </w:rPr>
        <w:t xml:space="preserve"> </w:t>
      </w:r>
      <w:r>
        <w:t>composing</w:t>
      </w:r>
      <w:r>
        <w:rPr>
          <w:spacing w:val="34"/>
        </w:rPr>
        <w:t xml:space="preserve"> </w:t>
      </w:r>
      <w:r>
        <w:t>any</w:t>
      </w:r>
      <w:r>
        <w:rPr>
          <w:spacing w:val="34"/>
        </w:rPr>
        <w:t xml:space="preserve"> </w:t>
      </w:r>
      <w:r>
        <w:t xml:space="preserve">one </w:t>
      </w:r>
      <w:r>
        <w:rPr>
          <w:spacing w:val="-6"/>
        </w:rPr>
        <w:t>of</w:t>
      </w:r>
    </w:p>
    <w:p w14:paraId="7E002327" w14:textId="77777777" w:rsidR="009A58DB" w:rsidRDefault="00000000">
      <w:pPr>
        <w:pStyle w:val="BodyText"/>
        <w:spacing w:before="7" w:line="249" w:lineRule="auto"/>
        <w:ind w:right="366"/>
      </w:pPr>
      <w:r>
        <w:t>these groups are no better or worse, no more and no less worthy of life, than the individuals composing either of the other two groups.) If I save the lives of M</w:t>
      </w:r>
      <w:r>
        <w:rPr>
          <w:position w:val="-7"/>
          <w:sz w:val="22"/>
        </w:rPr>
        <w:t>16</w:t>
      </w:r>
      <w:r>
        <w:t>–M</w:t>
      </w:r>
      <w:r>
        <w:rPr>
          <w:position w:val="-7"/>
          <w:sz w:val="22"/>
        </w:rPr>
        <w:t>17</w:t>
      </w:r>
      <w:r>
        <w:t xml:space="preserve">, I am obviously doing a good thing; for it is obviously good to save lives. But I’m still doing the </w:t>
      </w:r>
      <w:r>
        <w:rPr>
          <w:i/>
        </w:rPr>
        <w:t xml:space="preserve">wrong </w:t>
      </w:r>
      <w:r>
        <w:t>thing, since it would obviously be better to save M</w:t>
      </w:r>
      <w:r>
        <w:rPr>
          <w:position w:val="-7"/>
          <w:sz w:val="22"/>
        </w:rPr>
        <w:t>1</w:t>
      </w:r>
      <w:r>
        <w:rPr>
          <w:spacing w:val="40"/>
          <w:position w:val="-7"/>
          <w:sz w:val="22"/>
        </w:rPr>
        <w:t xml:space="preserve"> </w:t>
      </w:r>
      <w:r>
        <w:t>. . . M</w:t>
      </w:r>
      <w:r>
        <w:rPr>
          <w:position w:val="-7"/>
          <w:sz w:val="22"/>
        </w:rPr>
        <w:t>10</w:t>
      </w:r>
      <w:r>
        <w:t xml:space="preserve">. After all, the more people saved, the better (assuming, as we are, that the relevant individuals are all of comparable </w:t>
      </w:r>
      <w:r>
        <w:rPr>
          <w:spacing w:val="-2"/>
        </w:rPr>
        <w:t>value).</w:t>
      </w:r>
    </w:p>
    <w:p w14:paraId="7E002328" w14:textId="77777777" w:rsidR="009A58DB" w:rsidRDefault="00000000">
      <w:pPr>
        <w:pStyle w:val="Heading1"/>
        <w:numPr>
          <w:ilvl w:val="0"/>
          <w:numId w:val="63"/>
        </w:numPr>
        <w:tabs>
          <w:tab w:val="left" w:pos="1409"/>
        </w:tabs>
        <w:spacing w:before="191"/>
        <w:ind w:left="1409" w:hanging="1049"/>
      </w:pPr>
      <w:r>
        <w:t>“Ought”</w:t>
      </w:r>
      <w:r>
        <w:rPr>
          <w:spacing w:val="-6"/>
        </w:rPr>
        <w:t xml:space="preserve"> </w:t>
      </w:r>
      <w:r>
        <w:t>implies</w:t>
      </w:r>
      <w:r>
        <w:rPr>
          <w:spacing w:val="-5"/>
        </w:rPr>
        <w:t xml:space="preserve"> </w:t>
      </w:r>
      <w:r>
        <w:rPr>
          <w:spacing w:val="-4"/>
        </w:rPr>
        <w:t>“can”</w:t>
      </w:r>
    </w:p>
    <w:p w14:paraId="7E002329" w14:textId="77777777" w:rsidR="009A58DB" w:rsidRDefault="00000000">
      <w:pPr>
        <w:pStyle w:val="BodyText"/>
        <w:spacing w:before="139" w:line="249" w:lineRule="auto"/>
        <w:ind w:right="358"/>
      </w:pPr>
      <w:r>
        <w:t xml:space="preserve">It is a generally accepted principle of ethics that one has an obligation to do something only if one </w:t>
      </w:r>
      <w:r>
        <w:rPr>
          <w:i/>
        </w:rPr>
        <w:t xml:space="preserve">can </w:t>
      </w:r>
      <w:r>
        <w:t xml:space="preserve">do it. One ought to do something only if one can do it—“ought” implies “can.” Here’s the idea. Because it isn’t within my power to heal every sick person on the planet, I have no obligation do so; and I have an obligation to treat my students fairly only because it </w:t>
      </w:r>
      <w:r>
        <w:rPr>
          <w:i/>
        </w:rPr>
        <w:t xml:space="preserve">is </w:t>
      </w:r>
      <w:r>
        <w:t>within my power to do so.</w:t>
      </w:r>
    </w:p>
    <w:p w14:paraId="7E00232A" w14:textId="77777777" w:rsidR="009A58DB" w:rsidRDefault="00000000">
      <w:pPr>
        <w:pStyle w:val="BodyText"/>
        <w:spacing w:before="7" w:line="249" w:lineRule="auto"/>
        <w:ind w:right="359" w:firstLine="360"/>
      </w:pPr>
      <w:r>
        <w:t xml:space="preserve">There is much truth in the principle that “ought” implies “can.” But, in light of what we said a moment ago, this principle must be taken with a grain of salt. We saw that there are circumstances where one has multiple conflicting obligations—where one has an obligation to X </w:t>
      </w:r>
      <w:r>
        <w:rPr>
          <w:i/>
        </w:rPr>
        <w:t xml:space="preserve">and </w:t>
      </w:r>
      <w:r>
        <w:t xml:space="preserve">Y </w:t>
      </w:r>
      <w:r>
        <w:rPr>
          <w:i/>
        </w:rPr>
        <w:t xml:space="preserve">and </w:t>
      </w:r>
      <w:r>
        <w:t xml:space="preserve">Z, but where it isn’t possible for one to do </w:t>
      </w:r>
      <w:r>
        <w:rPr>
          <w:i/>
        </w:rPr>
        <w:t xml:space="preserve">all </w:t>
      </w:r>
      <w:r>
        <w:t xml:space="preserve">of those things. Under such circumstances, one </w:t>
      </w:r>
      <w:r>
        <w:rPr>
          <w:i/>
        </w:rPr>
        <w:t>ought</w:t>
      </w:r>
      <w:r>
        <w:rPr>
          <w:i/>
          <w:spacing w:val="-3"/>
        </w:rPr>
        <w:t xml:space="preserve"> </w:t>
      </w:r>
      <w:r>
        <w:t xml:space="preserve">to do something (namely, X </w:t>
      </w:r>
      <w:r>
        <w:rPr>
          <w:i/>
        </w:rPr>
        <w:t xml:space="preserve">and </w:t>
      </w:r>
      <w:r>
        <w:t xml:space="preserve">Y </w:t>
      </w:r>
      <w:r>
        <w:rPr>
          <w:i/>
        </w:rPr>
        <w:t xml:space="preserve">and </w:t>
      </w:r>
      <w:r>
        <w:t>Z) that one cannot do, showing it isn’t strictly correct to say that “ought” implies “can.”</w:t>
      </w:r>
    </w:p>
    <w:p w14:paraId="7E00232B" w14:textId="77777777" w:rsidR="009A58DB" w:rsidRDefault="00000000">
      <w:pPr>
        <w:pStyle w:val="BodyText"/>
        <w:spacing w:before="9"/>
        <w:ind w:left="720"/>
      </w:pPr>
      <w:r>
        <w:t>But</w:t>
      </w:r>
      <w:r>
        <w:rPr>
          <w:spacing w:val="44"/>
        </w:rPr>
        <w:t xml:space="preserve"> </w:t>
      </w:r>
      <w:r>
        <w:t>that</w:t>
      </w:r>
      <w:r>
        <w:rPr>
          <w:spacing w:val="44"/>
        </w:rPr>
        <w:t xml:space="preserve"> </w:t>
      </w:r>
      <w:r>
        <w:t>principle</w:t>
      </w:r>
      <w:r>
        <w:rPr>
          <w:spacing w:val="45"/>
        </w:rPr>
        <w:t xml:space="preserve"> </w:t>
      </w:r>
      <w:r>
        <w:t>has</w:t>
      </w:r>
      <w:r>
        <w:rPr>
          <w:spacing w:val="44"/>
        </w:rPr>
        <w:t xml:space="preserve"> </w:t>
      </w:r>
      <w:r>
        <w:t>not</w:t>
      </w:r>
      <w:r>
        <w:rPr>
          <w:spacing w:val="45"/>
        </w:rPr>
        <w:t xml:space="preserve"> </w:t>
      </w:r>
      <w:r>
        <w:t>been</w:t>
      </w:r>
      <w:r>
        <w:rPr>
          <w:spacing w:val="44"/>
        </w:rPr>
        <w:t xml:space="preserve"> </w:t>
      </w:r>
      <w:r>
        <w:t>proven</w:t>
      </w:r>
      <w:r>
        <w:rPr>
          <w:spacing w:val="45"/>
        </w:rPr>
        <w:t xml:space="preserve"> </w:t>
      </w:r>
      <w:r>
        <w:t>completely</w:t>
      </w:r>
      <w:r>
        <w:rPr>
          <w:spacing w:val="44"/>
        </w:rPr>
        <w:t xml:space="preserve"> </w:t>
      </w:r>
      <w:r>
        <w:t>false.</w:t>
      </w:r>
      <w:r>
        <w:rPr>
          <w:spacing w:val="45"/>
        </w:rPr>
        <w:t xml:space="preserve"> </w:t>
      </w:r>
      <w:r>
        <w:t>For,</w:t>
      </w:r>
      <w:r>
        <w:rPr>
          <w:spacing w:val="44"/>
        </w:rPr>
        <w:t xml:space="preserve"> </w:t>
      </w:r>
      <w:r>
        <w:t>under</w:t>
      </w:r>
      <w:r>
        <w:rPr>
          <w:spacing w:val="45"/>
        </w:rPr>
        <w:t xml:space="preserve"> </w:t>
      </w:r>
      <w:r>
        <w:rPr>
          <w:spacing w:val="-5"/>
        </w:rPr>
        <w:t>the</w:t>
      </w:r>
    </w:p>
    <w:p w14:paraId="7E00232C" w14:textId="77777777" w:rsidR="009A58DB" w:rsidRDefault="009A58DB">
      <w:pPr>
        <w:pStyle w:val="BodyText"/>
        <w:sectPr w:rsidR="009A58DB">
          <w:pgSz w:w="12240" w:h="15840"/>
          <w:pgMar w:top="1380" w:right="1080" w:bottom="280" w:left="1080" w:header="720" w:footer="720" w:gutter="0"/>
          <w:cols w:space="720"/>
        </w:sectPr>
      </w:pPr>
    </w:p>
    <w:p w14:paraId="7E00232D" w14:textId="77777777" w:rsidR="009A58DB" w:rsidRDefault="00000000">
      <w:pPr>
        <w:pStyle w:val="BodyText"/>
        <w:spacing w:before="60" w:line="249" w:lineRule="auto"/>
        <w:ind w:right="366"/>
      </w:pPr>
      <w:r>
        <w:lastRenderedPageBreak/>
        <w:t xml:space="preserve">circumstances just described, there is no </w:t>
      </w:r>
      <w:r>
        <w:rPr>
          <w:i/>
        </w:rPr>
        <w:t xml:space="preserve">single </w:t>
      </w:r>
      <w:r>
        <w:t xml:space="preserve">course of action that one ought to carry out that it isn’t within one’s power to carry out. It </w:t>
      </w:r>
      <w:r>
        <w:rPr>
          <w:i/>
        </w:rPr>
        <w:t xml:space="preserve">is </w:t>
      </w:r>
      <w:r>
        <w:t>in my power not to steal my friend’s money (even though it’s not in my power to discharge</w:t>
      </w:r>
      <w:r>
        <w:rPr>
          <w:spacing w:val="-4"/>
        </w:rPr>
        <w:t xml:space="preserve"> </w:t>
      </w:r>
      <w:r>
        <w:rPr>
          <w:i/>
        </w:rPr>
        <w:t>that</w:t>
      </w:r>
      <w:r>
        <w:rPr>
          <w:i/>
          <w:spacing w:val="-4"/>
        </w:rPr>
        <w:t xml:space="preserve"> </w:t>
      </w:r>
      <w:r>
        <w:t>obligation</w:t>
      </w:r>
      <w:r>
        <w:rPr>
          <w:spacing w:val="-3"/>
        </w:rPr>
        <w:t xml:space="preserve"> </w:t>
      </w:r>
      <w:r>
        <w:rPr>
          <w:i/>
        </w:rPr>
        <w:t>and</w:t>
      </w:r>
      <w:r>
        <w:rPr>
          <w:i/>
          <w:spacing w:val="-3"/>
        </w:rPr>
        <w:t xml:space="preserve"> </w:t>
      </w:r>
      <w:r>
        <w:t>my obligation to save my children); and it does seem that, if that conditions weren’t met, I wouldn’t have an obligation not to steal my friend’s money.</w:t>
      </w:r>
    </w:p>
    <w:p w14:paraId="7E00232E" w14:textId="77777777" w:rsidR="009A58DB" w:rsidRDefault="00000000">
      <w:pPr>
        <w:pStyle w:val="ListParagraph"/>
        <w:numPr>
          <w:ilvl w:val="0"/>
          <w:numId w:val="63"/>
        </w:numPr>
        <w:tabs>
          <w:tab w:val="left" w:pos="1409"/>
        </w:tabs>
        <w:spacing w:before="200"/>
        <w:ind w:left="1409" w:hanging="1049"/>
        <w:rPr>
          <w:b/>
          <w:sz w:val="42"/>
        </w:rPr>
      </w:pPr>
      <w:r>
        <w:rPr>
          <w:b/>
          <w:sz w:val="42"/>
        </w:rPr>
        <w:t>Legality</w:t>
      </w:r>
      <w:r>
        <w:rPr>
          <w:b/>
          <w:spacing w:val="-3"/>
          <w:sz w:val="42"/>
        </w:rPr>
        <w:t xml:space="preserve"> </w:t>
      </w:r>
      <w:r>
        <w:rPr>
          <w:sz w:val="42"/>
        </w:rPr>
        <w:t>≠</w:t>
      </w:r>
      <w:r>
        <w:rPr>
          <w:spacing w:val="-3"/>
          <w:sz w:val="42"/>
        </w:rPr>
        <w:t xml:space="preserve"> </w:t>
      </w:r>
      <w:r>
        <w:rPr>
          <w:b/>
          <w:spacing w:val="-2"/>
          <w:sz w:val="42"/>
        </w:rPr>
        <w:t>morality</w:t>
      </w:r>
    </w:p>
    <w:p w14:paraId="7E00232F" w14:textId="77777777" w:rsidR="009A58DB" w:rsidRDefault="00000000">
      <w:pPr>
        <w:pStyle w:val="BodyText"/>
        <w:spacing w:before="139" w:line="249" w:lineRule="auto"/>
        <w:ind w:right="361"/>
      </w:pPr>
      <w:r>
        <w:t>There are, or at least can be, acts which are legal, even legally required,</w:t>
      </w:r>
      <w:r>
        <w:rPr>
          <w:spacing w:val="40"/>
        </w:rPr>
        <w:t xml:space="preserve"> </w:t>
      </w:r>
      <w:r>
        <w:t xml:space="preserve">which are immoral. In this country, before the Civil War, it was legal to have slaves, and it was </w:t>
      </w:r>
      <w:r>
        <w:rPr>
          <w:i/>
        </w:rPr>
        <w:t xml:space="preserve">illegal </w:t>
      </w:r>
      <w:r>
        <w:t>to set another person’s slaves free. But it is exceedingly immoral to have slaves and exceedingly moral to set slaves free.</w:t>
      </w:r>
    </w:p>
    <w:p w14:paraId="7E002330" w14:textId="77777777" w:rsidR="009A58DB" w:rsidRDefault="00000000">
      <w:pPr>
        <w:pStyle w:val="BodyText"/>
        <w:spacing w:before="5" w:line="249" w:lineRule="auto"/>
        <w:ind w:right="368" w:firstLine="360"/>
      </w:pPr>
      <w:r>
        <w:t>At the same time, legality and morality often overlap. It is illegal to kill people (except in self-defense), and it’s also immoral to do so (same qualification). It is a delicate question how exactly legality and morality are related. See Chapter 27 for a discussion of this issue.</w:t>
      </w:r>
    </w:p>
    <w:p w14:paraId="7E002331" w14:textId="77777777" w:rsidR="009A58DB" w:rsidRDefault="00000000">
      <w:pPr>
        <w:pStyle w:val="ListParagraph"/>
        <w:numPr>
          <w:ilvl w:val="0"/>
          <w:numId w:val="63"/>
        </w:numPr>
        <w:tabs>
          <w:tab w:val="left" w:pos="1507"/>
        </w:tabs>
        <w:spacing w:before="208"/>
        <w:ind w:left="1507" w:hanging="1147"/>
        <w:rPr>
          <w:sz w:val="42"/>
        </w:rPr>
      </w:pPr>
      <w:r>
        <w:rPr>
          <w:b/>
          <w:sz w:val="42"/>
        </w:rPr>
        <w:t>The</w:t>
      </w:r>
      <w:r>
        <w:rPr>
          <w:b/>
          <w:spacing w:val="14"/>
          <w:sz w:val="42"/>
        </w:rPr>
        <w:t xml:space="preserve"> </w:t>
      </w:r>
      <w:r>
        <w:rPr>
          <w:b/>
          <w:sz w:val="42"/>
        </w:rPr>
        <w:t>moral</w:t>
      </w:r>
      <w:r>
        <w:rPr>
          <w:b/>
          <w:spacing w:val="17"/>
          <w:sz w:val="42"/>
        </w:rPr>
        <w:t xml:space="preserve"> </w:t>
      </w:r>
      <w:r>
        <w:rPr>
          <w:b/>
          <w:sz w:val="42"/>
        </w:rPr>
        <w:t>status</w:t>
      </w:r>
      <w:r>
        <w:rPr>
          <w:b/>
          <w:spacing w:val="16"/>
          <w:sz w:val="42"/>
        </w:rPr>
        <w:t xml:space="preserve"> </w:t>
      </w:r>
      <w:r>
        <w:rPr>
          <w:b/>
          <w:sz w:val="42"/>
        </w:rPr>
        <w:t>of</w:t>
      </w:r>
      <w:r>
        <w:rPr>
          <w:b/>
          <w:spacing w:val="17"/>
          <w:sz w:val="42"/>
        </w:rPr>
        <w:t xml:space="preserve"> </w:t>
      </w:r>
      <w:r>
        <w:rPr>
          <w:b/>
          <w:sz w:val="42"/>
        </w:rPr>
        <w:t>passing</w:t>
      </w:r>
      <w:r>
        <w:rPr>
          <w:b/>
          <w:spacing w:val="17"/>
          <w:sz w:val="42"/>
        </w:rPr>
        <w:t xml:space="preserve"> </w:t>
      </w:r>
      <w:r>
        <w:rPr>
          <w:b/>
          <w:sz w:val="42"/>
        </w:rPr>
        <w:t>judgment</w:t>
      </w:r>
      <w:r>
        <w:rPr>
          <w:b/>
          <w:spacing w:val="16"/>
          <w:sz w:val="42"/>
        </w:rPr>
        <w:t xml:space="preserve"> </w:t>
      </w:r>
      <w:r>
        <w:rPr>
          <w:b/>
          <w:sz w:val="42"/>
        </w:rPr>
        <w:t>on</w:t>
      </w:r>
      <w:r>
        <w:rPr>
          <w:b/>
          <w:spacing w:val="17"/>
          <w:sz w:val="42"/>
        </w:rPr>
        <w:t xml:space="preserve"> </w:t>
      </w:r>
      <w:r>
        <w:rPr>
          <w:b/>
          <w:sz w:val="42"/>
        </w:rPr>
        <w:t>X</w:t>
      </w:r>
      <w:r>
        <w:rPr>
          <w:b/>
          <w:spacing w:val="17"/>
          <w:sz w:val="42"/>
        </w:rPr>
        <w:t xml:space="preserve"> </w:t>
      </w:r>
      <w:r>
        <w:rPr>
          <w:spacing w:val="-10"/>
          <w:sz w:val="42"/>
        </w:rPr>
        <w:t>≠</w:t>
      </w:r>
    </w:p>
    <w:p w14:paraId="7E002332" w14:textId="77777777" w:rsidR="009A58DB" w:rsidRDefault="00000000">
      <w:pPr>
        <w:pStyle w:val="Heading1"/>
        <w:spacing w:before="12"/>
        <w:ind w:left="1080" w:firstLine="0"/>
      </w:pPr>
      <w:r>
        <w:t>to</w:t>
      </w:r>
      <w:r>
        <w:rPr>
          <w:spacing w:val="-2"/>
        </w:rPr>
        <w:t xml:space="preserve"> </w:t>
      </w:r>
      <w:r>
        <w:t>the</w:t>
      </w:r>
      <w:r>
        <w:rPr>
          <w:spacing w:val="-2"/>
        </w:rPr>
        <w:t xml:space="preserve"> </w:t>
      </w:r>
      <w:r>
        <w:t>moral</w:t>
      </w:r>
      <w:r>
        <w:rPr>
          <w:spacing w:val="-3"/>
        </w:rPr>
        <w:t xml:space="preserve"> </w:t>
      </w:r>
      <w:r>
        <w:t>status</w:t>
      </w:r>
      <w:r>
        <w:rPr>
          <w:spacing w:val="-2"/>
        </w:rPr>
        <w:t xml:space="preserve"> </w:t>
      </w:r>
      <w:r>
        <w:t>of</w:t>
      </w:r>
      <w:r>
        <w:rPr>
          <w:spacing w:val="-3"/>
        </w:rPr>
        <w:t xml:space="preserve"> </w:t>
      </w:r>
      <w:r>
        <w:t>X</w:t>
      </w:r>
      <w:r>
        <w:rPr>
          <w:spacing w:val="-2"/>
        </w:rPr>
        <w:t xml:space="preserve"> itself</w:t>
      </w:r>
    </w:p>
    <w:p w14:paraId="7E002333" w14:textId="77777777" w:rsidR="009A58DB" w:rsidRDefault="00000000">
      <w:pPr>
        <w:pStyle w:val="BodyText"/>
        <w:spacing w:before="139" w:line="249" w:lineRule="auto"/>
        <w:ind w:right="359"/>
      </w:pPr>
      <w:r>
        <w:t xml:space="preserve">Given only that some object </w:t>
      </w:r>
      <w:r>
        <w:rPr>
          <w:i/>
        </w:rPr>
        <w:t xml:space="preserve">in fact </w:t>
      </w:r>
      <w:r>
        <w:t>weighs 200 pounds, I don’t necessarily know, or therefore have the right to say, that it has that weight. After all, I might not have enough information to make that judgment. Given only that some statement is correct, I don’t necessarily have the right to make it. I have that right only if I have good reason to believe that it is correct. And I may simply not have enough evidence to make that call.</w:t>
      </w:r>
    </w:p>
    <w:p w14:paraId="7E002334" w14:textId="77777777" w:rsidR="009A58DB" w:rsidRDefault="00000000">
      <w:pPr>
        <w:pStyle w:val="BodyText"/>
        <w:spacing w:before="7" w:line="249" w:lineRule="auto"/>
        <w:ind w:right="358" w:firstLine="360"/>
      </w:pPr>
      <w:r>
        <w:t xml:space="preserve">This principle has an important ethical consequence. Jones, let us suppose, is on trial for a murder that he </w:t>
      </w:r>
      <w:r>
        <w:rPr>
          <w:i/>
        </w:rPr>
        <w:t xml:space="preserve">in fact </w:t>
      </w:r>
      <w:r>
        <w:t xml:space="preserve">committed. But the jury doesn’t have enough information to convict Jones. The jury just doesn’t know whether Jones is guilty. Jones’ act is condemnable. Murder is wrong, after all. But the jury doesn’t </w:t>
      </w:r>
      <w:r>
        <w:rPr>
          <w:i/>
        </w:rPr>
        <w:t xml:space="preserve">know </w:t>
      </w:r>
      <w:r>
        <w:t>that Jones committed murder; and the jury therefore doesn’t have the right to convict Jones. It would be condemnable of the jury to do so. It is wrong to convict a person that one doesn’t know to be guilty, even if that person is guilty.</w:t>
      </w:r>
    </w:p>
    <w:p w14:paraId="7E002335" w14:textId="77777777" w:rsidR="009A58DB" w:rsidRDefault="00000000">
      <w:pPr>
        <w:pStyle w:val="BodyText"/>
        <w:spacing w:before="10" w:line="249" w:lineRule="auto"/>
        <w:ind w:right="368" w:firstLine="360"/>
      </w:pPr>
      <w:r>
        <w:rPr>
          <w:spacing w:val="-8"/>
        </w:rPr>
        <w:t>For</w:t>
      </w:r>
      <w:r>
        <w:rPr>
          <w:spacing w:val="-10"/>
        </w:rPr>
        <w:t xml:space="preserve"> </w:t>
      </w:r>
      <w:r>
        <w:rPr>
          <w:spacing w:val="-8"/>
        </w:rPr>
        <w:t>similar</w:t>
      </w:r>
      <w:r>
        <w:rPr>
          <w:spacing w:val="-9"/>
        </w:rPr>
        <w:t xml:space="preserve"> </w:t>
      </w:r>
      <w:r>
        <w:rPr>
          <w:spacing w:val="-8"/>
        </w:rPr>
        <w:t>reasons,</w:t>
      </w:r>
      <w:r>
        <w:rPr>
          <w:spacing w:val="-9"/>
        </w:rPr>
        <w:t xml:space="preserve"> </w:t>
      </w:r>
      <w:r>
        <w:rPr>
          <w:spacing w:val="-8"/>
        </w:rPr>
        <w:t>even</w:t>
      </w:r>
      <w:r>
        <w:rPr>
          <w:spacing w:val="-9"/>
        </w:rPr>
        <w:t xml:space="preserve"> </w:t>
      </w:r>
      <w:r>
        <w:rPr>
          <w:spacing w:val="-8"/>
        </w:rPr>
        <w:t>if</w:t>
      </w:r>
      <w:r>
        <w:rPr>
          <w:spacing w:val="-9"/>
        </w:rPr>
        <w:t xml:space="preserve"> </w:t>
      </w:r>
      <w:r>
        <w:rPr>
          <w:spacing w:val="-8"/>
        </w:rPr>
        <w:t>an</w:t>
      </w:r>
      <w:r>
        <w:rPr>
          <w:spacing w:val="-9"/>
        </w:rPr>
        <w:t xml:space="preserve"> </w:t>
      </w:r>
      <w:r>
        <w:rPr>
          <w:spacing w:val="-8"/>
        </w:rPr>
        <w:t>act</w:t>
      </w:r>
      <w:r>
        <w:rPr>
          <w:spacing w:val="-11"/>
        </w:rPr>
        <w:t xml:space="preserve"> </w:t>
      </w:r>
      <w:r>
        <w:rPr>
          <w:i/>
          <w:spacing w:val="-8"/>
        </w:rPr>
        <w:t>is</w:t>
      </w:r>
      <w:r>
        <w:rPr>
          <w:i/>
          <w:spacing w:val="-11"/>
        </w:rPr>
        <w:t xml:space="preserve"> </w:t>
      </w:r>
      <w:r>
        <w:rPr>
          <w:spacing w:val="-8"/>
        </w:rPr>
        <w:t xml:space="preserve">condemnable, one doesn’t necessarily have </w:t>
      </w:r>
      <w:r>
        <w:t>the</w:t>
      </w:r>
      <w:r>
        <w:rPr>
          <w:spacing w:val="29"/>
        </w:rPr>
        <w:t xml:space="preserve"> </w:t>
      </w:r>
      <w:r>
        <w:t>right</w:t>
      </w:r>
      <w:r>
        <w:rPr>
          <w:spacing w:val="31"/>
        </w:rPr>
        <w:t xml:space="preserve"> </w:t>
      </w:r>
      <w:r>
        <w:t>to</w:t>
      </w:r>
      <w:r>
        <w:rPr>
          <w:spacing w:val="32"/>
        </w:rPr>
        <w:t xml:space="preserve"> </w:t>
      </w:r>
      <w:r>
        <w:t>describe</w:t>
      </w:r>
      <w:r>
        <w:rPr>
          <w:spacing w:val="31"/>
        </w:rPr>
        <w:t xml:space="preserve"> </w:t>
      </w:r>
      <w:r>
        <w:t>it</w:t>
      </w:r>
      <w:r>
        <w:rPr>
          <w:spacing w:val="32"/>
        </w:rPr>
        <w:t xml:space="preserve"> </w:t>
      </w:r>
      <w:r>
        <w:t>as</w:t>
      </w:r>
      <w:r>
        <w:rPr>
          <w:spacing w:val="32"/>
        </w:rPr>
        <w:t xml:space="preserve"> </w:t>
      </w:r>
      <w:r>
        <w:t>such.</w:t>
      </w:r>
      <w:r>
        <w:rPr>
          <w:spacing w:val="32"/>
        </w:rPr>
        <w:t xml:space="preserve"> </w:t>
      </w:r>
      <w:r>
        <w:t>One</w:t>
      </w:r>
      <w:r>
        <w:rPr>
          <w:spacing w:val="33"/>
        </w:rPr>
        <w:t xml:space="preserve"> </w:t>
      </w:r>
      <w:r>
        <w:t>has</w:t>
      </w:r>
      <w:r>
        <w:rPr>
          <w:spacing w:val="32"/>
        </w:rPr>
        <w:t xml:space="preserve"> </w:t>
      </w:r>
      <w:r>
        <w:t>that</w:t>
      </w:r>
      <w:r>
        <w:rPr>
          <w:spacing w:val="32"/>
        </w:rPr>
        <w:t xml:space="preserve"> </w:t>
      </w:r>
      <w:r>
        <w:t>right</w:t>
      </w:r>
      <w:r>
        <w:rPr>
          <w:spacing w:val="32"/>
        </w:rPr>
        <w:t xml:space="preserve"> </w:t>
      </w:r>
      <w:r>
        <w:t>only</w:t>
      </w:r>
      <w:r>
        <w:rPr>
          <w:spacing w:val="33"/>
        </w:rPr>
        <w:t xml:space="preserve"> </w:t>
      </w:r>
      <w:r>
        <w:t>if</w:t>
      </w:r>
      <w:r>
        <w:rPr>
          <w:spacing w:val="32"/>
        </w:rPr>
        <w:t xml:space="preserve"> </w:t>
      </w:r>
      <w:r>
        <w:t>one</w:t>
      </w:r>
      <w:r>
        <w:rPr>
          <w:spacing w:val="32"/>
        </w:rPr>
        <w:t xml:space="preserve"> </w:t>
      </w:r>
      <w:r>
        <w:t>has</w:t>
      </w:r>
      <w:r>
        <w:rPr>
          <w:spacing w:val="33"/>
        </w:rPr>
        <w:t xml:space="preserve"> </w:t>
      </w:r>
      <w:r>
        <w:rPr>
          <w:spacing w:val="-8"/>
        </w:rPr>
        <w:t>sufficient</w:t>
      </w:r>
    </w:p>
    <w:p w14:paraId="7E00233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37" w14:textId="77777777" w:rsidR="009A58DB" w:rsidRDefault="00000000">
      <w:pPr>
        <w:pStyle w:val="BodyText"/>
        <w:spacing w:before="70"/>
      </w:pPr>
      <w:r>
        <w:rPr>
          <w:spacing w:val="-8"/>
        </w:rPr>
        <w:lastRenderedPageBreak/>
        <w:t>information</w:t>
      </w:r>
      <w:r>
        <w:rPr>
          <w:spacing w:val="-10"/>
        </w:rPr>
        <w:t xml:space="preserve"> </w:t>
      </w:r>
      <w:r>
        <w:rPr>
          <w:spacing w:val="-8"/>
        </w:rPr>
        <w:t>about</w:t>
      </w:r>
      <w:r>
        <w:rPr>
          <w:spacing w:val="-11"/>
        </w:rPr>
        <w:t xml:space="preserve"> </w:t>
      </w:r>
      <w:r>
        <w:rPr>
          <w:spacing w:val="-8"/>
        </w:rPr>
        <w:t>the</w:t>
      </w:r>
      <w:r>
        <w:rPr>
          <w:spacing w:val="-10"/>
        </w:rPr>
        <w:t xml:space="preserve"> </w:t>
      </w:r>
      <w:r>
        <w:rPr>
          <w:spacing w:val="-8"/>
        </w:rPr>
        <w:t>act.</w:t>
      </w:r>
      <w:r>
        <w:rPr>
          <w:spacing w:val="-9"/>
        </w:rPr>
        <w:t xml:space="preserve"> </w:t>
      </w:r>
      <w:r>
        <w:rPr>
          <w:spacing w:val="-8"/>
        </w:rPr>
        <w:t>If,</w:t>
      </w:r>
      <w:r>
        <w:rPr>
          <w:spacing w:val="-10"/>
        </w:rPr>
        <w:t xml:space="preserve"> </w:t>
      </w:r>
      <w:r>
        <w:rPr>
          <w:spacing w:val="-8"/>
        </w:rPr>
        <w:t>without</w:t>
      </w:r>
      <w:r>
        <w:rPr>
          <w:spacing w:val="-11"/>
        </w:rPr>
        <w:t xml:space="preserve"> </w:t>
      </w:r>
      <w:r>
        <w:rPr>
          <w:spacing w:val="-8"/>
        </w:rPr>
        <w:t>having</w:t>
      </w:r>
      <w:r>
        <w:rPr>
          <w:spacing w:val="-10"/>
        </w:rPr>
        <w:t xml:space="preserve"> </w:t>
      </w:r>
      <w:r>
        <w:rPr>
          <w:spacing w:val="-8"/>
        </w:rPr>
        <w:t>such</w:t>
      </w:r>
      <w:r>
        <w:rPr>
          <w:spacing w:val="-9"/>
        </w:rPr>
        <w:t xml:space="preserve"> </w:t>
      </w:r>
      <w:r>
        <w:rPr>
          <w:spacing w:val="-8"/>
        </w:rPr>
        <w:t>information,</w:t>
      </w:r>
    </w:p>
    <w:p w14:paraId="7E002338" w14:textId="77777777" w:rsidR="009A58DB" w:rsidRDefault="00000000">
      <w:pPr>
        <w:pStyle w:val="BodyText"/>
        <w:spacing w:before="10" w:line="249" w:lineRule="auto"/>
        <w:ind w:right="359"/>
      </w:pPr>
      <w:r>
        <w:t>one condemns it, then one is oneself acting condemnably; for one is making an accusation that one doesn’t know to be correct, even though, by coincidence,</w:t>
      </w:r>
      <w:r>
        <w:rPr>
          <w:spacing w:val="-3"/>
        </w:rPr>
        <w:t xml:space="preserve"> </w:t>
      </w:r>
      <w:r>
        <w:t>it</w:t>
      </w:r>
      <w:r>
        <w:rPr>
          <w:spacing w:val="-4"/>
        </w:rPr>
        <w:t xml:space="preserve"> </w:t>
      </w:r>
      <w:r>
        <w:rPr>
          <w:i/>
        </w:rPr>
        <w:t>is</w:t>
      </w:r>
      <w:r>
        <w:rPr>
          <w:i/>
          <w:spacing w:val="-4"/>
        </w:rPr>
        <w:t xml:space="preserve"> </w:t>
      </w:r>
      <w:r>
        <w:t xml:space="preserve">correct. Bottom line: it can be condemnable to condemn the </w:t>
      </w:r>
      <w:r>
        <w:rPr>
          <w:spacing w:val="-2"/>
        </w:rPr>
        <w:t>condemnable.</w:t>
      </w:r>
    </w:p>
    <w:p w14:paraId="7E002339" w14:textId="77777777" w:rsidR="009A58DB" w:rsidRDefault="00000000">
      <w:pPr>
        <w:pStyle w:val="Heading1"/>
        <w:numPr>
          <w:ilvl w:val="0"/>
          <w:numId w:val="63"/>
        </w:numPr>
        <w:tabs>
          <w:tab w:val="left" w:pos="1421"/>
        </w:tabs>
        <w:spacing w:before="193" w:line="244" w:lineRule="auto"/>
        <w:ind w:left="360" w:right="366" w:firstLine="0"/>
      </w:pPr>
      <w:r>
        <w:t>The</w:t>
      </w:r>
      <w:r>
        <w:rPr>
          <w:spacing w:val="-1"/>
        </w:rPr>
        <w:t xml:space="preserve"> </w:t>
      </w:r>
      <w:r>
        <w:t>goodness</w:t>
      </w:r>
      <w:r>
        <w:rPr>
          <w:spacing w:val="-1"/>
        </w:rPr>
        <w:t xml:space="preserve"> </w:t>
      </w:r>
      <w:r>
        <w:t>of</w:t>
      </w:r>
      <w:r>
        <w:rPr>
          <w:spacing w:val="-1"/>
        </w:rPr>
        <w:t xml:space="preserve"> </w:t>
      </w:r>
      <w:r>
        <w:t>the</w:t>
      </w:r>
      <w:r>
        <w:rPr>
          <w:spacing w:val="-1"/>
        </w:rPr>
        <w:t xml:space="preserve"> </w:t>
      </w:r>
      <w:r>
        <w:t>act</w:t>
      </w:r>
      <w:r>
        <w:rPr>
          <w:spacing w:val="-1"/>
        </w:rPr>
        <w:t xml:space="preserve"> </w:t>
      </w:r>
      <w:r>
        <w:t>vs.</w:t>
      </w:r>
      <w:r>
        <w:rPr>
          <w:spacing w:val="-1"/>
        </w:rPr>
        <w:t xml:space="preserve"> </w:t>
      </w:r>
      <w:r>
        <w:t>the</w:t>
      </w:r>
      <w:r>
        <w:rPr>
          <w:spacing w:val="-1"/>
        </w:rPr>
        <w:t xml:space="preserve"> </w:t>
      </w:r>
      <w:r>
        <w:t>goodness</w:t>
      </w:r>
      <w:r>
        <w:rPr>
          <w:spacing w:val="-1"/>
        </w:rPr>
        <w:t xml:space="preserve"> </w:t>
      </w:r>
      <w:r>
        <w:t>of</w:t>
      </w:r>
      <w:r>
        <w:rPr>
          <w:spacing w:val="-1"/>
        </w:rPr>
        <w:t xml:space="preserve"> </w:t>
      </w:r>
      <w:r>
        <w:t xml:space="preserve">the </w:t>
      </w:r>
      <w:r>
        <w:rPr>
          <w:spacing w:val="-2"/>
        </w:rPr>
        <w:t>agent</w:t>
      </w:r>
    </w:p>
    <w:p w14:paraId="7E00233A" w14:textId="77777777" w:rsidR="009A58DB" w:rsidRDefault="00000000">
      <w:pPr>
        <w:pStyle w:val="BodyText"/>
        <w:spacing w:before="131" w:line="249" w:lineRule="auto"/>
        <w:ind w:right="361"/>
      </w:pPr>
      <w:r>
        <w:t>Whether somebody deserves to be commended for an act depends, not on whether it actually was the right act, but on whether it was the agent’s intention to perform the right act. And whether somebody deserves to be reprimanded</w:t>
      </w:r>
      <w:r>
        <w:rPr>
          <w:spacing w:val="-1"/>
        </w:rPr>
        <w:t xml:space="preserve"> </w:t>
      </w:r>
      <w:r>
        <w:t>for</w:t>
      </w:r>
      <w:r>
        <w:rPr>
          <w:spacing w:val="-1"/>
        </w:rPr>
        <w:t xml:space="preserve"> </w:t>
      </w:r>
      <w:r>
        <w:t>an</w:t>
      </w:r>
      <w:r>
        <w:rPr>
          <w:spacing w:val="-1"/>
        </w:rPr>
        <w:t xml:space="preserve"> </w:t>
      </w:r>
      <w:r>
        <w:t>act</w:t>
      </w:r>
      <w:r>
        <w:rPr>
          <w:spacing w:val="-1"/>
        </w:rPr>
        <w:t xml:space="preserve"> </w:t>
      </w:r>
      <w:r>
        <w:t>depends,</w:t>
      </w:r>
      <w:r>
        <w:rPr>
          <w:spacing w:val="-1"/>
        </w:rPr>
        <w:t xml:space="preserve"> </w:t>
      </w:r>
      <w:r>
        <w:t>not</w:t>
      </w:r>
      <w:r>
        <w:rPr>
          <w:spacing w:val="-1"/>
        </w:rPr>
        <w:t xml:space="preserve"> </w:t>
      </w:r>
      <w:r>
        <w:t>on</w:t>
      </w:r>
      <w:r>
        <w:rPr>
          <w:spacing w:val="-1"/>
        </w:rPr>
        <w:t xml:space="preserve"> </w:t>
      </w:r>
      <w:r>
        <w:t>whether</w:t>
      </w:r>
      <w:r>
        <w:rPr>
          <w:spacing w:val="-1"/>
        </w:rPr>
        <w:t xml:space="preserve"> </w:t>
      </w:r>
      <w:r>
        <w:t>it</w:t>
      </w:r>
      <w:r>
        <w:rPr>
          <w:spacing w:val="-1"/>
        </w:rPr>
        <w:t xml:space="preserve"> </w:t>
      </w:r>
      <w:r>
        <w:t>actually</w:t>
      </w:r>
      <w:r>
        <w:rPr>
          <w:spacing w:val="-1"/>
        </w:rPr>
        <w:t xml:space="preserve"> </w:t>
      </w:r>
      <w:r>
        <w:t>was</w:t>
      </w:r>
      <w:r>
        <w:rPr>
          <w:spacing w:val="-1"/>
        </w:rPr>
        <w:t xml:space="preserve"> </w:t>
      </w:r>
      <w:r>
        <w:t>the</w:t>
      </w:r>
      <w:r>
        <w:rPr>
          <w:spacing w:val="-1"/>
        </w:rPr>
        <w:t xml:space="preserve"> </w:t>
      </w:r>
      <w:r>
        <w:t>wrong</w:t>
      </w:r>
      <w:r>
        <w:rPr>
          <w:spacing w:val="-1"/>
        </w:rPr>
        <w:t xml:space="preserve"> </w:t>
      </w:r>
      <w:r>
        <w:t>act, but on whether it was the agent’s intention to perform the wrong act.</w:t>
      </w:r>
    </w:p>
    <w:p w14:paraId="7E00233B" w14:textId="77777777" w:rsidR="009A58DB" w:rsidRDefault="00000000">
      <w:pPr>
        <w:pStyle w:val="BodyText"/>
        <w:spacing w:before="6" w:line="249" w:lineRule="auto"/>
        <w:ind w:right="359" w:firstLine="360"/>
      </w:pPr>
      <w:r>
        <w:t>Suppose that Kathy is a very decent person who is a mother of five. Because she’s read all the right parenting magazines, she knows that feeding her</w:t>
      </w:r>
      <w:r>
        <w:rPr>
          <w:spacing w:val="-2"/>
        </w:rPr>
        <w:t xml:space="preserve"> </w:t>
      </w:r>
      <w:r>
        <w:t>children</w:t>
      </w:r>
      <w:r>
        <w:rPr>
          <w:spacing w:val="-2"/>
        </w:rPr>
        <w:t xml:space="preserve"> </w:t>
      </w:r>
      <w:r>
        <w:t>nutritional</w:t>
      </w:r>
      <w:r>
        <w:rPr>
          <w:spacing w:val="-2"/>
        </w:rPr>
        <w:t xml:space="preserve"> </w:t>
      </w:r>
      <w:r>
        <w:t>supplement</w:t>
      </w:r>
      <w:r>
        <w:rPr>
          <w:spacing w:val="-2"/>
        </w:rPr>
        <w:t xml:space="preserve"> </w:t>
      </w:r>
      <w:r>
        <w:t>X</w:t>
      </w:r>
      <w:r>
        <w:rPr>
          <w:spacing w:val="-2"/>
        </w:rPr>
        <w:t xml:space="preserve"> </w:t>
      </w:r>
      <w:r>
        <w:t>will</w:t>
      </w:r>
      <w:r>
        <w:rPr>
          <w:spacing w:val="-2"/>
        </w:rPr>
        <w:t xml:space="preserve"> </w:t>
      </w:r>
      <w:r>
        <w:t>make</w:t>
      </w:r>
      <w:r>
        <w:rPr>
          <w:spacing w:val="-2"/>
        </w:rPr>
        <w:t xml:space="preserve"> </w:t>
      </w:r>
      <w:r>
        <w:t>them</w:t>
      </w:r>
      <w:r>
        <w:rPr>
          <w:spacing w:val="-2"/>
        </w:rPr>
        <w:t xml:space="preserve"> </w:t>
      </w:r>
      <w:r>
        <w:t>healthy,</w:t>
      </w:r>
      <w:r>
        <w:rPr>
          <w:spacing w:val="-2"/>
        </w:rPr>
        <w:t xml:space="preserve"> </w:t>
      </w:r>
      <w:r>
        <w:t>happy,</w:t>
      </w:r>
      <w:r>
        <w:rPr>
          <w:spacing w:val="-2"/>
        </w:rPr>
        <w:t xml:space="preserve"> </w:t>
      </w:r>
      <w:r>
        <w:t>etc.</w:t>
      </w:r>
      <w:r>
        <w:rPr>
          <w:spacing w:val="-2"/>
        </w:rPr>
        <w:t xml:space="preserve"> </w:t>
      </w:r>
      <w:r>
        <w:t>So, even</w:t>
      </w:r>
      <w:r>
        <w:rPr>
          <w:spacing w:val="-2"/>
        </w:rPr>
        <w:t xml:space="preserve"> </w:t>
      </w:r>
      <w:r>
        <w:t>though</w:t>
      </w:r>
      <w:r>
        <w:rPr>
          <w:spacing w:val="-2"/>
        </w:rPr>
        <w:t xml:space="preserve"> </w:t>
      </w:r>
      <w:r>
        <w:t>X</w:t>
      </w:r>
      <w:r>
        <w:rPr>
          <w:spacing w:val="-3"/>
        </w:rPr>
        <w:t xml:space="preserve"> </w:t>
      </w:r>
      <w:r>
        <w:t>is</w:t>
      </w:r>
      <w:r>
        <w:rPr>
          <w:spacing w:val="-3"/>
        </w:rPr>
        <w:t xml:space="preserve"> </w:t>
      </w:r>
      <w:r>
        <w:t>expensive,</w:t>
      </w:r>
      <w:r>
        <w:rPr>
          <w:spacing w:val="-2"/>
        </w:rPr>
        <w:t xml:space="preserve"> </w:t>
      </w:r>
      <w:r>
        <w:t>she</w:t>
      </w:r>
      <w:r>
        <w:rPr>
          <w:spacing w:val="-3"/>
        </w:rPr>
        <w:t xml:space="preserve"> </w:t>
      </w:r>
      <w:r>
        <w:t>works</w:t>
      </w:r>
      <w:r>
        <w:rPr>
          <w:spacing w:val="-3"/>
        </w:rPr>
        <w:t xml:space="preserve"> </w:t>
      </w:r>
      <w:r>
        <w:t>extra</w:t>
      </w:r>
      <w:r>
        <w:rPr>
          <w:spacing w:val="-3"/>
        </w:rPr>
        <w:t xml:space="preserve"> </w:t>
      </w:r>
      <w:r>
        <w:t>hours,</w:t>
      </w:r>
      <w:r>
        <w:rPr>
          <w:spacing w:val="-2"/>
        </w:rPr>
        <w:t xml:space="preserve"> </w:t>
      </w:r>
      <w:r>
        <w:t>buys</w:t>
      </w:r>
      <w:r>
        <w:rPr>
          <w:spacing w:val="-3"/>
        </w:rPr>
        <w:t xml:space="preserve"> </w:t>
      </w:r>
      <w:r>
        <w:t>it,</w:t>
      </w:r>
      <w:r>
        <w:rPr>
          <w:spacing w:val="-2"/>
        </w:rPr>
        <w:t xml:space="preserve"> </w:t>
      </w:r>
      <w:r>
        <w:t>and</w:t>
      </w:r>
      <w:r>
        <w:rPr>
          <w:spacing w:val="-2"/>
        </w:rPr>
        <w:t xml:space="preserve"> </w:t>
      </w:r>
      <w:r>
        <w:t>feeds</w:t>
      </w:r>
      <w:r>
        <w:rPr>
          <w:spacing w:val="-3"/>
        </w:rPr>
        <w:t xml:space="preserve"> </w:t>
      </w:r>
      <w:r>
        <w:t>it</w:t>
      </w:r>
      <w:r>
        <w:rPr>
          <w:spacing w:val="-3"/>
        </w:rPr>
        <w:t xml:space="preserve"> </w:t>
      </w:r>
      <w:r>
        <w:t>to</w:t>
      </w:r>
      <w:r>
        <w:rPr>
          <w:spacing w:val="-2"/>
        </w:rPr>
        <w:t xml:space="preserve"> </w:t>
      </w:r>
      <w:r>
        <w:t>her children. And, as a result, they are happy, healthy, etc.</w:t>
      </w:r>
    </w:p>
    <w:p w14:paraId="7E00233C" w14:textId="77777777" w:rsidR="009A58DB" w:rsidRDefault="00000000">
      <w:pPr>
        <w:pStyle w:val="BodyText"/>
        <w:spacing w:before="7" w:line="249" w:lineRule="auto"/>
        <w:ind w:right="370" w:firstLine="360"/>
      </w:pPr>
      <w:r>
        <w:t>Obviously Kathy deserves commendation. She did the right thing; moreover, it was her intention to do so—that is, it didn’t happen by accident.</w:t>
      </w:r>
    </w:p>
    <w:p w14:paraId="7E00233D" w14:textId="77777777" w:rsidR="009A58DB" w:rsidRDefault="00000000">
      <w:pPr>
        <w:pStyle w:val="BodyText"/>
        <w:spacing w:before="2" w:line="249" w:lineRule="auto"/>
        <w:ind w:right="359" w:firstLine="360"/>
      </w:pPr>
      <w:r>
        <w:t>Now let’s consider a different case. Like Kathy, Mary is a mother of five who</w:t>
      </w:r>
      <w:r>
        <w:rPr>
          <w:spacing w:val="-1"/>
        </w:rPr>
        <w:t xml:space="preserve"> </w:t>
      </w:r>
      <w:r>
        <w:t>wants</w:t>
      </w:r>
      <w:r>
        <w:rPr>
          <w:spacing w:val="-1"/>
        </w:rPr>
        <w:t xml:space="preserve"> </w:t>
      </w:r>
      <w:r>
        <w:t>to</w:t>
      </w:r>
      <w:r>
        <w:rPr>
          <w:spacing w:val="-1"/>
        </w:rPr>
        <w:t xml:space="preserve"> </w:t>
      </w:r>
      <w:r>
        <w:t>benefit</w:t>
      </w:r>
      <w:r>
        <w:rPr>
          <w:spacing w:val="-1"/>
        </w:rPr>
        <w:t xml:space="preserve"> </w:t>
      </w:r>
      <w:r>
        <w:t>her</w:t>
      </w:r>
      <w:r>
        <w:rPr>
          <w:spacing w:val="-1"/>
        </w:rPr>
        <w:t xml:space="preserve"> </w:t>
      </w:r>
      <w:r>
        <w:t>children</w:t>
      </w:r>
      <w:r>
        <w:rPr>
          <w:spacing w:val="-1"/>
        </w:rPr>
        <w:t xml:space="preserve"> </w:t>
      </w:r>
      <w:r>
        <w:t>and</w:t>
      </w:r>
      <w:r>
        <w:rPr>
          <w:spacing w:val="-1"/>
        </w:rPr>
        <w:t xml:space="preserve"> </w:t>
      </w:r>
      <w:r>
        <w:t>reads</w:t>
      </w:r>
      <w:r>
        <w:rPr>
          <w:spacing w:val="-1"/>
        </w:rPr>
        <w:t xml:space="preserve"> </w:t>
      </w:r>
      <w:r>
        <w:t>all</w:t>
      </w:r>
      <w:r>
        <w:rPr>
          <w:spacing w:val="-1"/>
        </w:rPr>
        <w:t xml:space="preserve"> </w:t>
      </w:r>
      <w:r>
        <w:t>the</w:t>
      </w:r>
      <w:r>
        <w:rPr>
          <w:spacing w:val="-1"/>
        </w:rPr>
        <w:t xml:space="preserve"> </w:t>
      </w:r>
      <w:r>
        <w:t>right</w:t>
      </w:r>
      <w:r>
        <w:rPr>
          <w:spacing w:val="-1"/>
        </w:rPr>
        <w:t xml:space="preserve"> </w:t>
      </w:r>
      <w:r>
        <w:t>parenting</w:t>
      </w:r>
      <w:r>
        <w:rPr>
          <w:spacing w:val="-1"/>
        </w:rPr>
        <w:t xml:space="preserve"> </w:t>
      </w:r>
      <w:r>
        <w:t>magazines. Given the evidence at Mary’s disposal, the most reasonable conclusion for</w:t>
      </w:r>
      <w:r>
        <w:rPr>
          <w:spacing w:val="40"/>
        </w:rPr>
        <w:t xml:space="preserve"> </w:t>
      </w:r>
      <w:r>
        <w:t>her to draw is that she should feed nutritional supplement Y to her children. It’s expensive; but Mary works extra hours to pay for it. And she buys it and feeds it to her kids. Bottom line: Mary is psychologically just like Kathy. Her intentions are exactly the same as Kathy’s. So far, so good.</w:t>
      </w:r>
    </w:p>
    <w:p w14:paraId="7E00233E" w14:textId="77777777" w:rsidR="009A58DB" w:rsidRDefault="00000000">
      <w:pPr>
        <w:pStyle w:val="BodyText"/>
        <w:spacing w:before="9" w:line="249" w:lineRule="auto"/>
        <w:ind w:right="360" w:firstLine="360"/>
      </w:pPr>
      <w:r>
        <w:t>But there’s a problem. It turns out that, despite all the advertising and the FDA-run tests, Y is lethal. (It doesn’t kill instantly, taking years to do so, and that is why it wasn’t previously realized how dangerous it was.) So, after a couple of years, all of Mary’s children die.</w:t>
      </w:r>
    </w:p>
    <w:p w14:paraId="7E00233F" w14:textId="77777777" w:rsidR="009A58DB" w:rsidRDefault="00000000">
      <w:pPr>
        <w:pStyle w:val="BodyText"/>
        <w:spacing w:before="5" w:line="249" w:lineRule="auto"/>
        <w:ind w:right="358" w:firstLine="360"/>
      </w:pPr>
      <w:r>
        <w:t xml:space="preserve">It’s obvious that Mary didn’t do “the right thing.” In other words, she didn’t act in a way that maximized human welfare and minimized violations of human rights. But is Mary </w:t>
      </w:r>
      <w:r>
        <w:rPr>
          <w:i/>
        </w:rPr>
        <w:t xml:space="preserve">morally </w:t>
      </w:r>
      <w:r>
        <w:t>worse than Kathy? In other words, is Mary</w:t>
      </w:r>
      <w:r>
        <w:rPr>
          <w:spacing w:val="1"/>
        </w:rPr>
        <w:t xml:space="preserve"> </w:t>
      </w:r>
      <w:r>
        <w:t>to</w:t>
      </w:r>
      <w:r>
        <w:rPr>
          <w:spacing w:val="2"/>
        </w:rPr>
        <w:t xml:space="preserve"> </w:t>
      </w:r>
      <w:r>
        <w:t>be</w:t>
      </w:r>
      <w:r>
        <w:rPr>
          <w:spacing w:val="3"/>
        </w:rPr>
        <w:t xml:space="preserve"> </w:t>
      </w:r>
      <w:r>
        <w:rPr>
          <w:i/>
        </w:rPr>
        <w:t>judged</w:t>
      </w:r>
      <w:r>
        <w:rPr>
          <w:i/>
          <w:spacing w:val="-2"/>
        </w:rPr>
        <w:t xml:space="preserve"> </w:t>
      </w:r>
      <w:r>
        <w:t>more</w:t>
      </w:r>
      <w:r>
        <w:rPr>
          <w:spacing w:val="5"/>
        </w:rPr>
        <w:t xml:space="preserve"> </w:t>
      </w:r>
      <w:r>
        <w:t>harshly</w:t>
      </w:r>
      <w:r>
        <w:rPr>
          <w:spacing w:val="5"/>
        </w:rPr>
        <w:t xml:space="preserve"> </w:t>
      </w:r>
      <w:r>
        <w:t>than</w:t>
      </w:r>
      <w:r>
        <w:rPr>
          <w:spacing w:val="5"/>
        </w:rPr>
        <w:t xml:space="preserve"> </w:t>
      </w:r>
      <w:r>
        <w:t>Kathy?</w:t>
      </w:r>
      <w:r>
        <w:rPr>
          <w:spacing w:val="5"/>
        </w:rPr>
        <w:t xml:space="preserve"> </w:t>
      </w:r>
      <w:r>
        <w:t>In</w:t>
      </w:r>
      <w:r>
        <w:rPr>
          <w:spacing w:val="4"/>
        </w:rPr>
        <w:t xml:space="preserve"> </w:t>
      </w:r>
      <w:r>
        <w:t>fact,</w:t>
      </w:r>
      <w:r>
        <w:rPr>
          <w:spacing w:val="5"/>
        </w:rPr>
        <w:t xml:space="preserve"> </w:t>
      </w:r>
      <w:r>
        <w:t>is</w:t>
      </w:r>
      <w:r>
        <w:rPr>
          <w:spacing w:val="5"/>
        </w:rPr>
        <w:t xml:space="preserve"> </w:t>
      </w:r>
      <w:r>
        <w:t>Mary</w:t>
      </w:r>
      <w:r>
        <w:rPr>
          <w:spacing w:val="5"/>
        </w:rPr>
        <w:t xml:space="preserve"> </w:t>
      </w:r>
      <w:r>
        <w:t>any</w:t>
      </w:r>
      <w:r>
        <w:rPr>
          <w:spacing w:val="5"/>
        </w:rPr>
        <w:t xml:space="preserve"> </w:t>
      </w:r>
      <w:r>
        <w:t>less</w:t>
      </w:r>
      <w:r>
        <w:rPr>
          <w:spacing w:val="5"/>
        </w:rPr>
        <w:t xml:space="preserve"> </w:t>
      </w:r>
      <w:r>
        <w:rPr>
          <w:spacing w:val="-2"/>
        </w:rPr>
        <w:t>worthy</w:t>
      </w:r>
    </w:p>
    <w:p w14:paraId="7E00234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41" w14:textId="77777777" w:rsidR="009A58DB" w:rsidRDefault="00000000">
      <w:pPr>
        <w:pStyle w:val="BodyText"/>
        <w:spacing w:before="60"/>
      </w:pPr>
      <w:r>
        <w:lastRenderedPageBreak/>
        <w:t>of</w:t>
      </w:r>
      <w:r>
        <w:rPr>
          <w:spacing w:val="-3"/>
        </w:rPr>
        <w:t xml:space="preserve"> </w:t>
      </w:r>
      <w:r>
        <w:t>praise</w:t>
      </w:r>
      <w:r>
        <w:rPr>
          <w:spacing w:val="-3"/>
        </w:rPr>
        <w:t xml:space="preserve"> </w:t>
      </w:r>
      <w:r>
        <w:t>than</w:t>
      </w:r>
      <w:r>
        <w:rPr>
          <w:spacing w:val="-2"/>
        </w:rPr>
        <w:t xml:space="preserve"> Kathy?</w:t>
      </w:r>
    </w:p>
    <w:p w14:paraId="7E002342" w14:textId="77777777" w:rsidR="009A58DB" w:rsidRDefault="00000000">
      <w:pPr>
        <w:pStyle w:val="BodyText"/>
        <w:spacing w:before="20" w:line="249" w:lineRule="auto"/>
        <w:ind w:right="362" w:firstLine="360"/>
      </w:pPr>
      <w:r>
        <w:t>No.</w:t>
      </w:r>
      <w:r>
        <w:rPr>
          <w:spacing w:val="-4"/>
        </w:rPr>
        <w:t xml:space="preserve"> </w:t>
      </w:r>
      <w:r>
        <w:t>Mary’s</w:t>
      </w:r>
      <w:r>
        <w:rPr>
          <w:spacing w:val="-5"/>
        </w:rPr>
        <w:t xml:space="preserve"> </w:t>
      </w:r>
      <w:r>
        <w:t>intentions</w:t>
      </w:r>
      <w:r>
        <w:rPr>
          <w:spacing w:val="-5"/>
        </w:rPr>
        <w:t xml:space="preserve"> </w:t>
      </w:r>
      <w:r>
        <w:t>are</w:t>
      </w:r>
      <w:r>
        <w:rPr>
          <w:spacing w:val="-5"/>
        </w:rPr>
        <w:t xml:space="preserve"> </w:t>
      </w:r>
      <w:r>
        <w:t>exactly</w:t>
      </w:r>
      <w:r>
        <w:rPr>
          <w:spacing w:val="-4"/>
        </w:rPr>
        <w:t xml:space="preserve"> </w:t>
      </w:r>
      <w:r>
        <w:t>like</w:t>
      </w:r>
      <w:r>
        <w:rPr>
          <w:spacing w:val="-5"/>
        </w:rPr>
        <w:t xml:space="preserve"> </w:t>
      </w:r>
      <w:r>
        <w:t>Kathy’s.</w:t>
      </w:r>
      <w:r>
        <w:rPr>
          <w:spacing w:val="-4"/>
        </w:rPr>
        <w:t xml:space="preserve"> </w:t>
      </w:r>
      <w:r>
        <w:t>The</w:t>
      </w:r>
      <w:r>
        <w:rPr>
          <w:spacing w:val="-5"/>
        </w:rPr>
        <w:t xml:space="preserve"> </w:t>
      </w:r>
      <w:r>
        <w:t>difference</w:t>
      </w:r>
      <w:r>
        <w:rPr>
          <w:spacing w:val="-5"/>
        </w:rPr>
        <w:t xml:space="preserve"> </w:t>
      </w:r>
      <w:r>
        <w:t>between</w:t>
      </w:r>
      <w:r>
        <w:rPr>
          <w:spacing w:val="-4"/>
        </w:rPr>
        <w:t xml:space="preserve"> </w:t>
      </w:r>
      <w:r>
        <w:t>the two is that Mary, through no fault of her own, was fed faulty information. Mary, like Kathy, did everything she could to bring about a morally optimal outcome. The difference between Mary and Kathy is that, while the world met Kathy half-way, it didn’t meet Mary half-way. For that reason, they are equally worthy of praise, even though the one, but not the other, made something happen that should not have happened.</w:t>
      </w:r>
    </w:p>
    <w:p w14:paraId="7E002343" w14:textId="77777777" w:rsidR="009A58DB" w:rsidRDefault="00000000">
      <w:pPr>
        <w:pStyle w:val="BodyText"/>
        <w:spacing w:before="8" w:line="249" w:lineRule="auto"/>
        <w:ind w:right="359" w:firstLine="360"/>
      </w:pPr>
      <w:r>
        <w:t>Third case scenario: Betty is a mother of five. Her intention is to kill her children. (She finds that being a mother is boring and wants to be done with it.) On the basis of careful research, she concludes that feeding her children substance Z will kill them and, moreover, won’t be detectable by forensic scientists. (Z is a toxic powder that looks and tastes like sugar.) So she feeds Z to her children. But what the researchers didn’t know, and what Betty therefore never found out, is that, although Z is usually fatal, it has extremely positive health effects when consumed by children of a certain very rare blood type. Betty’s children happen to be of this blood type. So, because they consume Z, they live happily ever after.</w:t>
      </w:r>
    </w:p>
    <w:p w14:paraId="7E002344" w14:textId="77777777" w:rsidR="009A58DB" w:rsidRDefault="00000000">
      <w:pPr>
        <w:pStyle w:val="BodyText"/>
        <w:spacing w:before="13" w:line="249" w:lineRule="auto"/>
        <w:ind w:right="359" w:firstLine="360"/>
      </w:pPr>
      <w:r>
        <w:t xml:space="preserve">Betty brought about a good state of affairs—one where everybody (except herself) was happy. But does Betty deserve praise? No. In fact, Betty clearly deserves condemnation of the most severe kind. But how can that be, given that she brought about a good state of affairs? Because, even though she ended up doing good, it was not her </w:t>
      </w:r>
      <w:r>
        <w:rPr>
          <w:i/>
        </w:rPr>
        <w:t>intention</w:t>
      </w:r>
      <w:r>
        <w:rPr>
          <w:i/>
          <w:spacing w:val="-2"/>
        </w:rPr>
        <w:t xml:space="preserve"> </w:t>
      </w:r>
      <w:r>
        <w:t xml:space="preserve">to do so. It was her </w:t>
      </w:r>
      <w:r>
        <w:rPr>
          <w:i/>
        </w:rPr>
        <w:t xml:space="preserve">intention </w:t>
      </w:r>
      <w:r>
        <w:t>to do evil. So she deserves no praise and in fact deserves condemnation.</w:t>
      </w:r>
    </w:p>
    <w:p w14:paraId="7E002345" w14:textId="77777777" w:rsidR="009A58DB" w:rsidRDefault="00000000">
      <w:pPr>
        <w:pStyle w:val="BodyText"/>
        <w:spacing w:before="7" w:line="249" w:lineRule="auto"/>
        <w:ind w:right="361" w:firstLine="360"/>
      </w:pPr>
      <w:r>
        <w:t xml:space="preserve">Thus, whether an agent deserves praise or censure depends, not on what she or he </w:t>
      </w:r>
      <w:r>
        <w:rPr>
          <w:i/>
        </w:rPr>
        <w:t xml:space="preserve">in fact </w:t>
      </w:r>
      <w:r>
        <w:t xml:space="preserve">brings about, but on what it is her/his </w:t>
      </w:r>
      <w:r>
        <w:rPr>
          <w:i/>
        </w:rPr>
        <w:t xml:space="preserve">intention </w:t>
      </w:r>
      <w:r>
        <w:t xml:space="preserve">to bring </w:t>
      </w:r>
      <w:r>
        <w:rPr>
          <w:spacing w:val="-2"/>
        </w:rPr>
        <w:t>about.</w:t>
      </w:r>
    </w:p>
    <w:p w14:paraId="7E002346" w14:textId="77777777" w:rsidR="009A58DB" w:rsidRDefault="00000000">
      <w:pPr>
        <w:pStyle w:val="Heading1"/>
        <w:numPr>
          <w:ilvl w:val="0"/>
          <w:numId w:val="63"/>
        </w:numPr>
        <w:tabs>
          <w:tab w:val="left" w:pos="1764"/>
        </w:tabs>
        <w:spacing w:before="192" w:line="244" w:lineRule="auto"/>
        <w:ind w:left="360" w:right="364" w:firstLine="0"/>
        <w:jc w:val="both"/>
      </w:pPr>
      <w:r>
        <w:t>Why many legal systems (including ours) punish attempted crimes less severely than successfully carried out crimes</w:t>
      </w:r>
    </w:p>
    <w:p w14:paraId="7E002347" w14:textId="77777777" w:rsidR="009A58DB" w:rsidRDefault="00000000">
      <w:pPr>
        <w:pStyle w:val="BodyText"/>
        <w:spacing w:before="134" w:line="249" w:lineRule="auto"/>
        <w:ind w:right="360"/>
      </w:pPr>
      <w:r>
        <w:t>Attempted murder is punished less severely than actual murder. Why? Because failure to carry a plan out successfully oftentimes (though not always) suggests that the person’s heart wasn’t really in it. If Smith is a smart</w:t>
      </w:r>
    </w:p>
    <w:p w14:paraId="7E00234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49" w14:textId="77777777" w:rsidR="009A58DB" w:rsidRDefault="00000000">
      <w:pPr>
        <w:pStyle w:val="BodyText"/>
        <w:spacing w:before="60" w:line="249" w:lineRule="auto"/>
        <w:ind w:right="358"/>
      </w:pPr>
      <w:r>
        <w:lastRenderedPageBreak/>
        <w:t>guy who flunks out of law school 10 times, it’s a distinct possibility that Smith’s heart isn’t really in it. If somebody tries to commit murder but fails, it’s a possibility that he was of two minds about it. And that might explain why Smith failed to carry out the crime. When he pulled the trigger, let us suppose, his gun jammed. But his gun wouldn’t have jammed if, before</w:t>
      </w:r>
      <w:r>
        <w:rPr>
          <w:spacing w:val="40"/>
        </w:rPr>
        <w:t xml:space="preserve"> </w:t>
      </w:r>
      <w:r>
        <w:t>trying to commit the crime, he had made sure that it worked. Had it been Smith’s resolute intention to carry out the crime, then he might, very</w:t>
      </w:r>
      <w:r>
        <w:rPr>
          <w:spacing w:val="40"/>
        </w:rPr>
        <w:t xml:space="preserve"> </w:t>
      </w:r>
      <w:r>
        <w:t>possibly, have made sure that his gun did work. And, supposing that Smith did in fact have reservations about committing the murder, it’s a distinct possibility that those reservations were of a moral nature. (It’s also possible, of course, that those reservations were of a purely strategic nature.)</w:t>
      </w:r>
    </w:p>
    <w:p w14:paraId="7E00234A" w14:textId="77777777" w:rsidR="009A58DB" w:rsidRDefault="00000000">
      <w:pPr>
        <w:pStyle w:val="BodyText"/>
        <w:spacing w:before="18" w:line="249" w:lineRule="auto"/>
        <w:ind w:right="361" w:firstLine="360"/>
      </w:pPr>
      <w:r>
        <w:t xml:space="preserve">So failure to carry out a crime sometimes, though obviously not always, results from a certain unwillingness to go through with it; and such an unwillingness sometimes, though not always, results from </w:t>
      </w:r>
      <w:r>
        <w:rPr>
          <w:i/>
        </w:rPr>
        <w:t xml:space="preserve">moral </w:t>
      </w:r>
      <w:r>
        <w:t>reservations that one has about the crime.</w:t>
      </w:r>
    </w:p>
    <w:p w14:paraId="7E00234B" w14:textId="77777777" w:rsidR="009A58DB" w:rsidRDefault="00000000">
      <w:pPr>
        <w:pStyle w:val="BodyText"/>
        <w:spacing w:before="5" w:line="249" w:lineRule="auto"/>
        <w:ind w:right="358" w:firstLine="360"/>
      </w:pPr>
      <w:r>
        <w:t>The reason, therefore, why the criminal justice system does not punish would-be murderers as severely as actual murderers is that would-be murderers oftentimes are not as intent on committing murder as actual murderers. So the criminal justice system’s position here is consistent with the view, argued for previously, that it is agent’s intention, as opposed to the result of that intention, that determines how he ought to be judged.</w:t>
      </w:r>
    </w:p>
    <w:p w14:paraId="7E00234C" w14:textId="77777777" w:rsidR="009A58DB" w:rsidRDefault="00000000">
      <w:pPr>
        <w:pStyle w:val="BodyText"/>
        <w:spacing w:before="7" w:line="249" w:lineRule="auto"/>
        <w:ind w:right="359" w:firstLine="360"/>
      </w:pPr>
      <w:r>
        <w:t>For similar reasons, failure to go through with some projected good deed may</w:t>
      </w:r>
      <w:r>
        <w:rPr>
          <w:spacing w:val="-1"/>
        </w:rPr>
        <w:t xml:space="preserve"> </w:t>
      </w:r>
      <w:r>
        <w:t>show that</w:t>
      </w:r>
      <w:r>
        <w:rPr>
          <w:spacing w:val="-1"/>
        </w:rPr>
        <w:t xml:space="preserve"> </w:t>
      </w:r>
      <w:r>
        <w:t>one does</w:t>
      </w:r>
      <w:r>
        <w:rPr>
          <w:spacing w:val="-1"/>
        </w:rPr>
        <w:t xml:space="preserve"> </w:t>
      </w:r>
      <w:r>
        <w:t>not</w:t>
      </w:r>
      <w:r>
        <w:rPr>
          <w:spacing w:val="-1"/>
        </w:rPr>
        <w:t xml:space="preserve"> </w:t>
      </w:r>
      <w:r>
        <w:t>really</w:t>
      </w:r>
      <w:r>
        <w:rPr>
          <w:spacing w:val="-1"/>
        </w:rPr>
        <w:t xml:space="preserve"> </w:t>
      </w:r>
      <w:r>
        <w:t>want</w:t>
      </w:r>
      <w:r>
        <w:rPr>
          <w:spacing w:val="-1"/>
        </w:rPr>
        <w:t xml:space="preserve"> </w:t>
      </w:r>
      <w:r>
        <w:t>to</w:t>
      </w:r>
      <w:r>
        <w:rPr>
          <w:spacing w:val="-1"/>
        </w:rPr>
        <w:t xml:space="preserve"> </w:t>
      </w:r>
      <w:r>
        <w:t>perform</w:t>
      </w:r>
      <w:r>
        <w:rPr>
          <w:spacing w:val="-1"/>
        </w:rPr>
        <w:t xml:space="preserve"> </w:t>
      </w:r>
      <w:r>
        <w:t>it.</w:t>
      </w:r>
      <w:r>
        <w:rPr>
          <w:spacing w:val="-1"/>
        </w:rPr>
        <w:t xml:space="preserve"> </w:t>
      </w:r>
      <w:r>
        <w:t>Let</w:t>
      </w:r>
      <w:r>
        <w:rPr>
          <w:spacing w:val="-1"/>
        </w:rPr>
        <w:t xml:space="preserve"> </w:t>
      </w:r>
      <w:r>
        <w:t>us</w:t>
      </w:r>
      <w:r>
        <w:rPr>
          <w:spacing w:val="-1"/>
        </w:rPr>
        <w:t xml:space="preserve"> </w:t>
      </w:r>
      <w:r>
        <w:t>suppose that</w:t>
      </w:r>
      <w:r>
        <w:rPr>
          <w:spacing w:val="-1"/>
        </w:rPr>
        <w:t xml:space="preserve"> </w:t>
      </w:r>
      <w:r>
        <w:t>you agree to visit your ailing aunt, who loves your company but who you find extremely tiresome. Every time you are scheduled to visit her, there is some kind</w:t>
      </w:r>
      <w:r>
        <w:rPr>
          <w:spacing w:val="-3"/>
        </w:rPr>
        <w:t xml:space="preserve"> </w:t>
      </w:r>
      <w:r>
        <w:t>of</w:t>
      </w:r>
      <w:r>
        <w:rPr>
          <w:spacing w:val="-2"/>
        </w:rPr>
        <w:t xml:space="preserve"> </w:t>
      </w:r>
      <w:r>
        <w:t>problem.</w:t>
      </w:r>
      <w:r>
        <w:rPr>
          <w:spacing w:val="-3"/>
        </w:rPr>
        <w:t xml:space="preserve"> </w:t>
      </w:r>
      <w:r>
        <w:t>You</w:t>
      </w:r>
      <w:r>
        <w:rPr>
          <w:spacing w:val="-2"/>
        </w:rPr>
        <w:t xml:space="preserve"> </w:t>
      </w:r>
      <w:r>
        <w:t>lose</w:t>
      </w:r>
      <w:r>
        <w:rPr>
          <w:spacing w:val="-3"/>
        </w:rPr>
        <w:t xml:space="preserve"> </w:t>
      </w:r>
      <w:r>
        <w:t>your</w:t>
      </w:r>
      <w:r>
        <w:rPr>
          <w:spacing w:val="-2"/>
        </w:rPr>
        <w:t xml:space="preserve"> </w:t>
      </w:r>
      <w:r>
        <w:t>car</w:t>
      </w:r>
      <w:r>
        <w:rPr>
          <w:spacing w:val="-2"/>
        </w:rPr>
        <w:t xml:space="preserve"> </w:t>
      </w:r>
      <w:r>
        <w:t>keys.</w:t>
      </w:r>
      <w:r>
        <w:rPr>
          <w:spacing w:val="-3"/>
        </w:rPr>
        <w:t xml:space="preserve"> </w:t>
      </w:r>
      <w:r>
        <w:t>You</w:t>
      </w:r>
      <w:r>
        <w:rPr>
          <w:spacing w:val="-2"/>
        </w:rPr>
        <w:t xml:space="preserve"> </w:t>
      </w:r>
      <w:r>
        <w:t>are</w:t>
      </w:r>
      <w:r>
        <w:rPr>
          <w:spacing w:val="-3"/>
        </w:rPr>
        <w:t xml:space="preserve"> </w:t>
      </w:r>
      <w:r>
        <w:t>overwhelmed</w:t>
      </w:r>
      <w:r>
        <w:rPr>
          <w:spacing w:val="-2"/>
        </w:rPr>
        <w:t xml:space="preserve"> </w:t>
      </w:r>
      <w:r>
        <w:t>by</w:t>
      </w:r>
      <w:r>
        <w:rPr>
          <w:spacing w:val="-3"/>
        </w:rPr>
        <w:t xml:space="preserve"> </w:t>
      </w:r>
      <w:r>
        <w:t>a</w:t>
      </w:r>
      <w:r>
        <w:rPr>
          <w:spacing w:val="-2"/>
        </w:rPr>
        <w:t xml:space="preserve"> </w:t>
      </w:r>
      <w:r>
        <w:t>desire</w:t>
      </w:r>
      <w:r>
        <w:rPr>
          <w:spacing w:val="-2"/>
        </w:rPr>
        <w:t xml:space="preserve"> </w:t>
      </w:r>
      <w:r>
        <w:t xml:space="preserve">to clean your house. You finally find the inspiration to write the first chapter of your novel. These problems are real: you really do lose your car keys; you really do, at long last, know how to begin your novel; and so on. And you are not responsible, at least not consciously, for any of these last-minute problems. They just seem to spring up. Nonetheless, the fact that they always do spring up, taken together with the fact that you really hate visiting your aunt, is suggestive. It suggests that, deep down, you </w:t>
      </w:r>
      <w:r>
        <w:rPr>
          <w:i/>
        </w:rPr>
        <w:t xml:space="preserve">don’t </w:t>
      </w:r>
      <w:r>
        <w:t>want to visit your aunt. It suggests that your intention to visit your aunt is a feeble one.</w:t>
      </w:r>
    </w:p>
    <w:p w14:paraId="7E00234D" w14:textId="77777777" w:rsidR="009A58DB" w:rsidRDefault="00000000">
      <w:pPr>
        <w:pStyle w:val="BodyText"/>
        <w:spacing w:before="16" w:line="249" w:lineRule="auto"/>
        <w:ind w:right="362" w:firstLine="360"/>
      </w:pPr>
      <w:r>
        <w:t xml:space="preserve">This explains why people who </w:t>
      </w:r>
      <w:r>
        <w:rPr>
          <w:i/>
        </w:rPr>
        <w:t xml:space="preserve">succeed </w:t>
      </w:r>
      <w:r>
        <w:t>in carrying out projected good deeds are given more commendation than those who simply attempt to carry</w:t>
      </w:r>
    </w:p>
    <w:p w14:paraId="7E00234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4F" w14:textId="77777777" w:rsidR="009A58DB" w:rsidRDefault="00000000">
      <w:pPr>
        <w:pStyle w:val="BodyText"/>
        <w:spacing w:before="65" w:line="249" w:lineRule="auto"/>
        <w:ind w:right="359"/>
      </w:pPr>
      <w:r>
        <w:lastRenderedPageBreak/>
        <w:t>them out. Failure to carry out a good deed often (though not always) results from a lack of willingness to carry it out—from, in other words, an insufficiently resolute good intention. At some level, people are aware of this fact, that being why would-be do-gooders receive less commendation than actual do-gooders.</w:t>
      </w:r>
    </w:p>
    <w:p w14:paraId="7E002350" w14:textId="77777777" w:rsidR="009A58DB" w:rsidRDefault="00000000">
      <w:pPr>
        <w:pStyle w:val="BodyText"/>
        <w:spacing w:before="6" w:line="249" w:lineRule="auto"/>
        <w:ind w:right="358" w:firstLine="360"/>
      </w:pPr>
      <w:r>
        <w:t xml:space="preserve">So while it’s true, as we saw in the previous section, that two people who have </w:t>
      </w:r>
      <w:r>
        <w:rPr>
          <w:i/>
        </w:rPr>
        <w:t xml:space="preserve">precisely the same intentions </w:t>
      </w:r>
      <w:r>
        <w:t xml:space="preserve">deserve precisely the same amount of praise or blame, even if one of them succeeds in carrying out his intentions and the other fails, it’s still probably a good idea, as a general rule, to punish attempted murderers, arsonists, etc., less severely than their successful counterparts. For, in general, those who </w:t>
      </w:r>
      <w:r>
        <w:rPr>
          <w:i/>
        </w:rPr>
        <w:t xml:space="preserve">successfully </w:t>
      </w:r>
      <w:r>
        <w:t xml:space="preserve">carry out these crimes are less conflicted about whether they want to succeed in their nefarious </w:t>
      </w:r>
      <w:r>
        <w:rPr>
          <w:spacing w:val="-2"/>
        </w:rPr>
        <w:t>endeavors.</w:t>
      </w:r>
    </w:p>
    <w:p w14:paraId="7E002351" w14:textId="77777777" w:rsidR="009A58DB" w:rsidRDefault="00000000">
      <w:pPr>
        <w:pStyle w:val="Heading1"/>
        <w:numPr>
          <w:ilvl w:val="0"/>
          <w:numId w:val="63"/>
        </w:numPr>
        <w:tabs>
          <w:tab w:val="left" w:pos="1243"/>
        </w:tabs>
        <w:spacing w:before="198"/>
        <w:ind w:left="1243" w:hanging="883"/>
      </w:pPr>
      <w:r>
        <w:t>Aren’t</w:t>
      </w:r>
      <w:r>
        <w:rPr>
          <w:spacing w:val="37"/>
        </w:rPr>
        <w:t xml:space="preserve"> </w:t>
      </w:r>
      <w:r>
        <w:t>there</w:t>
      </w:r>
      <w:r>
        <w:rPr>
          <w:spacing w:val="40"/>
        </w:rPr>
        <w:t xml:space="preserve"> </w:t>
      </w:r>
      <w:r>
        <w:t>people</w:t>
      </w:r>
      <w:r>
        <w:rPr>
          <w:spacing w:val="41"/>
        </w:rPr>
        <w:t xml:space="preserve"> </w:t>
      </w:r>
      <w:r>
        <w:t>who</w:t>
      </w:r>
      <w:r>
        <w:rPr>
          <w:spacing w:val="40"/>
        </w:rPr>
        <w:t xml:space="preserve"> </w:t>
      </w:r>
      <w:r>
        <w:t>are</w:t>
      </w:r>
      <w:r>
        <w:rPr>
          <w:spacing w:val="41"/>
        </w:rPr>
        <w:t xml:space="preserve"> </w:t>
      </w:r>
      <w:r>
        <w:t>to</w:t>
      </w:r>
      <w:r>
        <w:rPr>
          <w:spacing w:val="40"/>
        </w:rPr>
        <w:t xml:space="preserve"> </w:t>
      </w:r>
      <w:r>
        <w:t>be</w:t>
      </w:r>
      <w:r>
        <w:rPr>
          <w:spacing w:val="41"/>
        </w:rPr>
        <w:t xml:space="preserve"> </w:t>
      </w:r>
      <w:r>
        <w:rPr>
          <w:spacing w:val="-2"/>
        </w:rPr>
        <w:t>condemned</w:t>
      </w:r>
    </w:p>
    <w:p w14:paraId="7E002352" w14:textId="77777777" w:rsidR="009A58DB" w:rsidRDefault="00000000">
      <w:pPr>
        <w:spacing w:before="12"/>
        <w:ind w:left="975"/>
        <w:rPr>
          <w:b/>
          <w:sz w:val="42"/>
        </w:rPr>
      </w:pPr>
      <w:r>
        <w:rPr>
          <w:b/>
          <w:i/>
          <w:sz w:val="42"/>
        </w:rPr>
        <w:t>even</w:t>
      </w:r>
      <w:r>
        <w:rPr>
          <w:b/>
          <w:i/>
          <w:spacing w:val="-6"/>
          <w:sz w:val="42"/>
        </w:rPr>
        <w:t xml:space="preserve"> </w:t>
      </w:r>
      <w:r>
        <w:rPr>
          <w:b/>
          <w:i/>
          <w:sz w:val="42"/>
        </w:rPr>
        <w:t>though</w:t>
      </w:r>
      <w:r>
        <w:rPr>
          <w:b/>
          <w:i/>
          <w:spacing w:val="-4"/>
          <w:sz w:val="42"/>
        </w:rPr>
        <w:t xml:space="preserve"> </w:t>
      </w:r>
      <w:r>
        <w:rPr>
          <w:b/>
          <w:sz w:val="42"/>
        </w:rPr>
        <w:t>it</w:t>
      </w:r>
      <w:r>
        <w:rPr>
          <w:b/>
          <w:spacing w:val="-3"/>
          <w:sz w:val="42"/>
        </w:rPr>
        <w:t xml:space="preserve"> </w:t>
      </w:r>
      <w:r>
        <w:rPr>
          <w:b/>
          <w:sz w:val="42"/>
        </w:rPr>
        <w:t>is</w:t>
      </w:r>
      <w:r>
        <w:rPr>
          <w:b/>
          <w:spacing w:val="-4"/>
          <w:sz w:val="42"/>
        </w:rPr>
        <w:t xml:space="preserve"> </w:t>
      </w:r>
      <w:r>
        <w:rPr>
          <w:b/>
          <w:sz w:val="42"/>
        </w:rPr>
        <w:t>their</w:t>
      </w:r>
      <w:r>
        <w:rPr>
          <w:b/>
          <w:spacing w:val="-4"/>
          <w:sz w:val="42"/>
        </w:rPr>
        <w:t xml:space="preserve"> </w:t>
      </w:r>
      <w:r>
        <w:rPr>
          <w:b/>
          <w:sz w:val="42"/>
        </w:rPr>
        <w:t>intention</w:t>
      </w:r>
      <w:r>
        <w:rPr>
          <w:b/>
          <w:spacing w:val="-3"/>
          <w:sz w:val="42"/>
        </w:rPr>
        <w:t xml:space="preserve"> </w:t>
      </w:r>
      <w:r>
        <w:rPr>
          <w:b/>
          <w:sz w:val="42"/>
        </w:rPr>
        <w:t>to</w:t>
      </w:r>
      <w:r>
        <w:rPr>
          <w:b/>
          <w:spacing w:val="-3"/>
          <w:sz w:val="42"/>
        </w:rPr>
        <w:t xml:space="preserve"> </w:t>
      </w:r>
      <w:r>
        <w:rPr>
          <w:b/>
          <w:sz w:val="42"/>
        </w:rPr>
        <w:t>do</w:t>
      </w:r>
      <w:r>
        <w:rPr>
          <w:b/>
          <w:spacing w:val="-2"/>
          <w:sz w:val="42"/>
        </w:rPr>
        <w:t xml:space="preserve"> good?</w:t>
      </w:r>
    </w:p>
    <w:p w14:paraId="7E002353" w14:textId="77777777" w:rsidR="009A58DB" w:rsidRDefault="00000000">
      <w:pPr>
        <w:pStyle w:val="BodyText"/>
        <w:spacing w:before="139" w:line="249" w:lineRule="auto"/>
        <w:ind w:right="358"/>
      </w:pPr>
      <w:r>
        <w:t>It is generally agreed that Hitler’s acts were wrong and that Hitler deserves to be condemned for them. “But,” it is often asked, “wasn’t it nonetheless Hitler’s</w:t>
      </w:r>
      <w:r>
        <w:rPr>
          <w:spacing w:val="-1"/>
        </w:rPr>
        <w:t xml:space="preserve"> </w:t>
      </w:r>
      <w:r>
        <w:t>intention</w:t>
      </w:r>
      <w:r>
        <w:rPr>
          <w:spacing w:val="-1"/>
        </w:rPr>
        <w:t xml:space="preserve"> </w:t>
      </w:r>
      <w:r>
        <w:t>to</w:t>
      </w:r>
      <w:r>
        <w:rPr>
          <w:spacing w:val="-1"/>
        </w:rPr>
        <w:t xml:space="preserve"> </w:t>
      </w:r>
      <w:r>
        <w:t>do</w:t>
      </w:r>
      <w:r>
        <w:rPr>
          <w:spacing w:val="-1"/>
        </w:rPr>
        <w:t xml:space="preserve"> </w:t>
      </w:r>
      <w:r>
        <w:t>good?</w:t>
      </w:r>
      <w:r>
        <w:rPr>
          <w:spacing w:val="-1"/>
        </w:rPr>
        <w:t xml:space="preserve"> </w:t>
      </w:r>
      <w:r>
        <w:t>His</w:t>
      </w:r>
      <w:r>
        <w:rPr>
          <w:spacing w:val="-1"/>
        </w:rPr>
        <w:t xml:space="preserve"> </w:t>
      </w:r>
      <w:r>
        <w:t>efforts</w:t>
      </w:r>
      <w:r>
        <w:rPr>
          <w:spacing w:val="-1"/>
        </w:rPr>
        <w:t xml:space="preserve"> </w:t>
      </w:r>
      <w:r>
        <w:t>were,</w:t>
      </w:r>
      <w:r>
        <w:rPr>
          <w:spacing w:val="-1"/>
        </w:rPr>
        <w:t xml:space="preserve"> </w:t>
      </w:r>
      <w:r>
        <w:t>of</w:t>
      </w:r>
      <w:r>
        <w:rPr>
          <w:spacing w:val="-1"/>
        </w:rPr>
        <w:t xml:space="preserve"> </w:t>
      </w:r>
      <w:r>
        <w:t>course,</w:t>
      </w:r>
      <w:r>
        <w:rPr>
          <w:spacing w:val="-1"/>
        </w:rPr>
        <w:t xml:space="preserve"> </w:t>
      </w:r>
      <w:r>
        <w:t>misguided.</w:t>
      </w:r>
      <w:r>
        <w:rPr>
          <w:spacing w:val="-1"/>
        </w:rPr>
        <w:t xml:space="preserve"> </w:t>
      </w:r>
      <w:r>
        <w:t>But</w:t>
      </w:r>
      <w:r>
        <w:rPr>
          <w:spacing w:val="-1"/>
        </w:rPr>
        <w:t xml:space="preserve"> </w:t>
      </w:r>
      <w:r>
        <w:t xml:space="preserve">that doesn’t mean that he didn’t have good intentions. And, supposing that he did have good intentions, isn’t that inconsistent with your [Prof. Kuczynski’s] point that it is on the basis of one’s </w:t>
      </w:r>
      <w:r>
        <w:rPr>
          <w:i/>
        </w:rPr>
        <w:t xml:space="preserve">intentions, </w:t>
      </w:r>
      <w:r>
        <w:t>not one’s deeds, that one deserves condemnation?”</w:t>
      </w:r>
    </w:p>
    <w:p w14:paraId="7E002354" w14:textId="77777777" w:rsidR="009A58DB" w:rsidRDefault="00000000">
      <w:pPr>
        <w:pStyle w:val="BodyText"/>
        <w:spacing w:before="8" w:line="249" w:lineRule="auto"/>
        <w:ind w:right="358" w:firstLine="360"/>
      </w:pPr>
      <w:r>
        <w:t xml:space="preserve">My response is that it pretty clearly was </w:t>
      </w:r>
      <w:r>
        <w:rPr>
          <w:i/>
        </w:rPr>
        <w:t xml:space="preserve">not </w:t>
      </w:r>
      <w:r>
        <w:t>Hitler’s intention to do good. (In any case, if he did have such an intention, it was grossly outweighed by other intentions.) Obviously when he was giving speeches, he didn’t say “it’s my intention to do evil. Thanks a lot, you’ve been a great crowd.” But that tells</w:t>
      </w:r>
      <w:r>
        <w:rPr>
          <w:spacing w:val="-4"/>
        </w:rPr>
        <w:t xml:space="preserve"> </w:t>
      </w:r>
      <w:r>
        <w:t>us</w:t>
      </w:r>
      <w:r>
        <w:rPr>
          <w:spacing w:val="-4"/>
        </w:rPr>
        <w:t xml:space="preserve"> </w:t>
      </w:r>
      <w:r>
        <w:t>nothing</w:t>
      </w:r>
      <w:r>
        <w:rPr>
          <w:spacing w:val="-3"/>
        </w:rPr>
        <w:t xml:space="preserve"> </w:t>
      </w:r>
      <w:r>
        <w:t>about</w:t>
      </w:r>
      <w:r>
        <w:rPr>
          <w:spacing w:val="-4"/>
        </w:rPr>
        <w:t xml:space="preserve"> </w:t>
      </w:r>
      <w:r>
        <w:t>what</w:t>
      </w:r>
      <w:r>
        <w:rPr>
          <w:spacing w:val="-4"/>
        </w:rPr>
        <w:t xml:space="preserve"> </w:t>
      </w:r>
      <w:r>
        <w:t>his</w:t>
      </w:r>
      <w:r>
        <w:rPr>
          <w:spacing w:val="-4"/>
        </w:rPr>
        <w:t xml:space="preserve"> </w:t>
      </w:r>
      <w:r>
        <w:t>intentions</w:t>
      </w:r>
      <w:r>
        <w:rPr>
          <w:spacing w:val="-4"/>
        </w:rPr>
        <w:t xml:space="preserve"> </w:t>
      </w:r>
      <w:r>
        <w:t>really</w:t>
      </w:r>
      <w:r>
        <w:rPr>
          <w:spacing w:val="-3"/>
        </w:rPr>
        <w:t xml:space="preserve"> </w:t>
      </w:r>
      <w:r>
        <w:t>were.</w:t>
      </w:r>
      <w:r>
        <w:rPr>
          <w:spacing w:val="-3"/>
        </w:rPr>
        <w:t xml:space="preserve"> </w:t>
      </w:r>
      <w:r>
        <w:t>And</w:t>
      </w:r>
      <w:r>
        <w:rPr>
          <w:spacing w:val="-3"/>
        </w:rPr>
        <w:t xml:space="preserve"> </w:t>
      </w:r>
      <w:r>
        <w:t>given</w:t>
      </w:r>
      <w:r>
        <w:rPr>
          <w:spacing w:val="-3"/>
        </w:rPr>
        <w:t xml:space="preserve"> </w:t>
      </w:r>
      <w:r>
        <w:t>how</w:t>
      </w:r>
      <w:r>
        <w:rPr>
          <w:spacing w:val="-4"/>
        </w:rPr>
        <w:t xml:space="preserve"> </w:t>
      </w:r>
      <w:r>
        <w:t>obvious it is to anyone of normal, or even minimal, intelligence that gratuitous torture and murder are wrong, it’s not feasible to suppose that, as a rule, Hitler’s intentions were good ones.</w:t>
      </w:r>
    </w:p>
    <w:p w14:paraId="7E002355" w14:textId="77777777" w:rsidR="009A58DB" w:rsidRDefault="00000000">
      <w:pPr>
        <w:pStyle w:val="Heading1"/>
        <w:numPr>
          <w:ilvl w:val="0"/>
          <w:numId w:val="63"/>
        </w:numPr>
        <w:tabs>
          <w:tab w:val="left" w:pos="1409"/>
        </w:tabs>
        <w:spacing w:before="213"/>
        <w:ind w:left="1409" w:hanging="1049"/>
      </w:pPr>
      <w:r>
        <w:t>Can</w:t>
      </w:r>
      <w:r>
        <w:rPr>
          <w:spacing w:val="-6"/>
        </w:rPr>
        <w:t xml:space="preserve"> </w:t>
      </w:r>
      <w:r>
        <w:t>one</w:t>
      </w:r>
      <w:r>
        <w:rPr>
          <w:spacing w:val="-4"/>
        </w:rPr>
        <w:t xml:space="preserve"> </w:t>
      </w:r>
      <w:r>
        <w:t>act</w:t>
      </w:r>
      <w:r>
        <w:rPr>
          <w:spacing w:val="-3"/>
        </w:rPr>
        <w:t xml:space="preserve"> </w:t>
      </w:r>
      <w:r>
        <w:t>immorally</w:t>
      </w:r>
      <w:r>
        <w:rPr>
          <w:spacing w:val="-3"/>
        </w:rPr>
        <w:t xml:space="preserve"> </w:t>
      </w:r>
      <w:r>
        <w:t>towards</w:t>
      </w:r>
      <w:r>
        <w:rPr>
          <w:spacing w:val="-3"/>
        </w:rPr>
        <w:t xml:space="preserve"> </w:t>
      </w:r>
      <w:r>
        <w:rPr>
          <w:spacing w:val="-2"/>
        </w:rPr>
        <w:t>oneself?</w:t>
      </w:r>
    </w:p>
    <w:p w14:paraId="7E002356" w14:textId="77777777" w:rsidR="009A58DB" w:rsidRDefault="00000000">
      <w:pPr>
        <w:pStyle w:val="BodyText"/>
        <w:spacing w:before="139" w:line="249" w:lineRule="auto"/>
        <w:ind w:right="365"/>
      </w:pPr>
      <w:r>
        <w:t>This is a controversial issue; but my feeling is “yes.” One can sell oneself short; one act self-destructively. One can do things to oneself that it is one’s</w:t>
      </w:r>
    </w:p>
    <w:p w14:paraId="7E00235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58" w14:textId="77777777" w:rsidR="009A58DB" w:rsidRDefault="00000000">
      <w:pPr>
        <w:pStyle w:val="BodyText"/>
        <w:spacing w:before="70"/>
      </w:pPr>
      <w:r>
        <w:lastRenderedPageBreak/>
        <w:t>right</w:t>
      </w:r>
      <w:r>
        <w:rPr>
          <w:spacing w:val="-2"/>
        </w:rPr>
        <w:t xml:space="preserve"> </w:t>
      </w:r>
      <w:r>
        <w:t>not</w:t>
      </w:r>
      <w:r>
        <w:rPr>
          <w:spacing w:val="-2"/>
        </w:rPr>
        <w:t xml:space="preserve"> </w:t>
      </w:r>
      <w:r>
        <w:t>to</w:t>
      </w:r>
      <w:r>
        <w:rPr>
          <w:spacing w:val="-1"/>
        </w:rPr>
        <w:t xml:space="preserve"> </w:t>
      </w:r>
      <w:r>
        <w:rPr>
          <w:spacing w:val="-2"/>
        </w:rPr>
        <w:t>undergo.</w:t>
      </w:r>
    </w:p>
    <w:p w14:paraId="7E002359" w14:textId="77777777" w:rsidR="009A58DB" w:rsidRDefault="00000000">
      <w:pPr>
        <w:pStyle w:val="BodyText"/>
        <w:spacing w:before="10" w:line="249" w:lineRule="auto"/>
        <w:ind w:right="362" w:firstLine="360"/>
      </w:pPr>
      <w:r>
        <w:t xml:space="preserve">There are many ways to do this: being too easy on oneself (permitting oneself every kind of excess imaginable: drugs, binge-eating, etc.); being too </w:t>
      </w:r>
      <w:r>
        <w:rPr>
          <w:i/>
        </w:rPr>
        <w:t xml:space="preserve">hard </w:t>
      </w:r>
      <w:r>
        <w:t xml:space="preserve">on oneself (pushing oneself </w:t>
      </w:r>
      <w:r>
        <w:rPr>
          <w:i/>
        </w:rPr>
        <w:t xml:space="preserve">too </w:t>
      </w:r>
      <w:r>
        <w:t>hard, setting excessively high standards). This list is far from complete.</w:t>
      </w:r>
    </w:p>
    <w:p w14:paraId="7E00235A" w14:textId="77777777" w:rsidR="009A58DB" w:rsidRDefault="00000000">
      <w:pPr>
        <w:pStyle w:val="BodyText"/>
        <w:spacing w:before="5" w:line="249" w:lineRule="auto"/>
        <w:ind w:right="363" w:firstLine="360"/>
      </w:pPr>
      <w:r>
        <w:t>This</w:t>
      </w:r>
      <w:r>
        <w:rPr>
          <w:spacing w:val="-4"/>
        </w:rPr>
        <w:t xml:space="preserve"> </w:t>
      </w:r>
      <w:r>
        <w:t>is</w:t>
      </w:r>
      <w:r>
        <w:rPr>
          <w:spacing w:val="-4"/>
        </w:rPr>
        <w:t xml:space="preserve"> </w:t>
      </w:r>
      <w:r>
        <w:t>not</w:t>
      </w:r>
      <w:r>
        <w:rPr>
          <w:spacing w:val="-4"/>
        </w:rPr>
        <w:t xml:space="preserve"> </w:t>
      </w:r>
      <w:r>
        <w:t>to</w:t>
      </w:r>
      <w:r>
        <w:rPr>
          <w:spacing w:val="-3"/>
        </w:rPr>
        <w:t xml:space="preserve"> </w:t>
      </w:r>
      <w:r>
        <w:t>say</w:t>
      </w:r>
      <w:r>
        <w:rPr>
          <w:spacing w:val="-3"/>
        </w:rPr>
        <w:t xml:space="preserve"> </w:t>
      </w:r>
      <w:r>
        <w:t>that</w:t>
      </w:r>
      <w:r>
        <w:rPr>
          <w:spacing w:val="-4"/>
        </w:rPr>
        <w:t xml:space="preserve"> </w:t>
      </w:r>
      <w:r>
        <w:t>people</w:t>
      </w:r>
      <w:r>
        <w:rPr>
          <w:spacing w:val="-4"/>
        </w:rPr>
        <w:t xml:space="preserve"> </w:t>
      </w:r>
      <w:r>
        <w:t>who</w:t>
      </w:r>
      <w:r>
        <w:rPr>
          <w:spacing w:val="-3"/>
        </w:rPr>
        <w:t xml:space="preserve"> </w:t>
      </w:r>
      <w:r>
        <w:t>hurt</w:t>
      </w:r>
      <w:r>
        <w:rPr>
          <w:spacing w:val="-4"/>
        </w:rPr>
        <w:t xml:space="preserve"> </w:t>
      </w:r>
      <w:r>
        <w:t>themselves</w:t>
      </w:r>
      <w:r>
        <w:rPr>
          <w:spacing w:val="-4"/>
        </w:rPr>
        <w:t xml:space="preserve"> </w:t>
      </w:r>
      <w:r>
        <w:t>are</w:t>
      </w:r>
      <w:r>
        <w:rPr>
          <w:spacing w:val="-4"/>
        </w:rPr>
        <w:t xml:space="preserve"> </w:t>
      </w:r>
      <w:r>
        <w:t>ethically</w:t>
      </w:r>
      <w:r>
        <w:rPr>
          <w:spacing w:val="-3"/>
        </w:rPr>
        <w:t xml:space="preserve"> </w:t>
      </w:r>
      <w:r>
        <w:t>in</w:t>
      </w:r>
      <w:r>
        <w:rPr>
          <w:spacing w:val="-3"/>
        </w:rPr>
        <w:t xml:space="preserve"> </w:t>
      </w:r>
      <w:r>
        <w:t>the</w:t>
      </w:r>
      <w:r>
        <w:rPr>
          <w:spacing w:val="-4"/>
        </w:rPr>
        <w:t xml:space="preserve"> </w:t>
      </w:r>
      <w:r>
        <w:t>same category as people who hurt others. People who hurt themselves are often (though by no means always) hyper-principled, whereas people who hurt others are often (though by no means always) lacking in principle.</w:t>
      </w:r>
    </w:p>
    <w:p w14:paraId="7E00235B" w14:textId="77777777" w:rsidR="009A58DB" w:rsidRDefault="00000000">
      <w:pPr>
        <w:pStyle w:val="BodyText"/>
        <w:spacing w:before="4" w:line="249" w:lineRule="auto"/>
        <w:ind w:right="357" w:firstLine="360"/>
      </w:pPr>
      <w:r>
        <w:t xml:space="preserve">“But you just said that people who hurt themselves are behaving immorally. And that is surely inconsistent with your statement that such people are, at least sometimes, hyper-principled.” Given only that an act is principle-driven, it doesn’t follow that it isn’t wrong or even evil. There are many kinds of ethical principles—and not all of them are good. For example, some people felt that it was their ethical duty to support Hitler, no matter what. This was </w:t>
      </w:r>
      <w:r>
        <w:rPr>
          <w:i/>
        </w:rPr>
        <w:t xml:space="preserve">an </w:t>
      </w:r>
      <w:r>
        <w:t xml:space="preserve">ethical principle—it just wasn’t a good one. By acting in accordance with similarly misguided ethical principles, people may hurt </w:t>
      </w:r>
      <w:r>
        <w:rPr>
          <w:spacing w:val="-2"/>
        </w:rPr>
        <w:t>themselves.</w:t>
      </w:r>
    </w:p>
    <w:p w14:paraId="7E00235C" w14:textId="77777777" w:rsidR="009A58DB" w:rsidRDefault="00000000">
      <w:pPr>
        <w:pStyle w:val="BodyText"/>
        <w:spacing w:before="12" w:line="249" w:lineRule="auto"/>
        <w:ind w:right="360" w:firstLine="360"/>
      </w:pPr>
      <w:r>
        <w:t>It seems true, as a general rule, that people who hurt others deserve to be punished, whereas those who hurt themselves do not. It is concluded from</w:t>
      </w:r>
      <w:r>
        <w:rPr>
          <w:spacing w:val="40"/>
        </w:rPr>
        <w:t xml:space="preserve"> </w:t>
      </w:r>
      <w:r>
        <w:t xml:space="preserve">this that self-destructive behavior is not </w:t>
      </w:r>
      <w:r>
        <w:rPr>
          <w:i/>
        </w:rPr>
        <w:t xml:space="preserve">immoral, </w:t>
      </w:r>
      <w:r>
        <w:t>even though it may be bad in some other way.</w:t>
      </w:r>
    </w:p>
    <w:p w14:paraId="7E00235D" w14:textId="77777777" w:rsidR="009A58DB" w:rsidRDefault="00000000">
      <w:pPr>
        <w:pStyle w:val="BodyText"/>
        <w:spacing w:before="4" w:line="249" w:lineRule="auto"/>
        <w:ind w:right="357" w:firstLine="360"/>
      </w:pPr>
      <w:r>
        <w:t xml:space="preserve">This argument is less than probative. Whether somebody deserves punishment is not a function </w:t>
      </w:r>
      <w:r>
        <w:rPr>
          <w:i/>
        </w:rPr>
        <w:t xml:space="preserve">solely </w:t>
      </w:r>
      <w:r>
        <w:t>of whether they’ve done wrong. If the good done by punishing someone is grossly outweighed by the bad that it does, then it may, at least in some cases, be ethically wrong to punish them. Suppose that little Timmy stole a cookie. It was not good of him to do this. But suppose that, because of difficult life circumstances, little Timmy is emotionally very fragile and needs TLC (tender loving care), and that, if punished, he would completely break down. Under this circumstance, it would probably be better to give him a pass.</w:t>
      </w:r>
    </w:p>
    <w:p w14:paraId="7E00235E" w14:textId="77777777" w:rsidR="009A58DB" w:rsidRDefault="00000000">
      <w:pPr>
        <w:pStyle w:val="BodyText"/>
        <w:spacing w:before="12" w:line="249" w:lineRule="auto"/>
        <w:ind w:right="358" w:firstLine="360"/>
      </w:pPr>
      <w:r>
        <w:t>If</w:t>
      </w:r>
      <w:r>
        <w:rPr>
          <w:spacing w:val="-4"/>
        </w:rPr>
        <w:t xml:space="preserve"> </w:t>
      </w:r>
      <w:r>
        <w:t>we</w:t>
      </w:r>
      <w:r>
        <w:rPr>
          <w:spacing w:val="-4"/>
        </w:rPr>
        <w:t xml:space="preserve"> </w:t>
      </w:r>
      <w:r>
        <w:t>were</w:t>
      </w:r>
      <w:r>
        <w:rPr>
          <w:spacing w:val="-4"/>
        </w:rPr>
        <w:t xml:space="preserve"> </w:t>
      </w:r>
      <w:r>
        <w:t>to</w:t>
      </w:r>
      <w:r>
        <w:rPr>
          <w:spacing w:val="-3"/>
        </w:rPr>
        <w:t xml:space="preserve"> </w:t>
      </w:r>
      <w:r>
        <w:rPr>
          <w:i/>
        </w:rPr>
        <w:t>punish</w:t>
      </w:r>
      <w:r>
        <w:rPr>
          <w:i/>
          <w:spacing w:val="-3"/>
        </w:rPr>
        <w:t xml:space="preserve"> </w:t>
      </w:r>
      <w:r>
        <w:t xml:space="preserve">people who are </w:t>
      </w:r>
      <w:r>
        <w:rPr>
          <w:i/>
        </w:rPr>
        <w:t>already</w:t>
      </w:r>
      <w:r>
        <w:rPr>
          <w:i/>
          <w:spacing w:val="-4"/>
        </w:rPr>
        <w:t xml:space="preserve"> </w:t>
      </w:r>
      <w:r>
        <w:t>hurting themselves—who are already punishing themselves—we’d be adding insult to injury. First of all, self-destructive behavior is its own punishment; so an externally-imposed punishment would be redundant. Second, by punishing such a person, we’d be</w:t>
      </w:r>
      <w:r>
        <w:rPr>
          <w:spacing w:val="29"/>
        </w:rPr>
        <w:t xml:space="preserve"> </w:t>
      </w:r>
      <w:r>
        <w:t>violating</w:t>
      </w:r>
      <w:r>
        <w:rPr>
          <w:spacing w:val="29"/>
        </w:rPr>
        <w:t xml:space="preserve"> </w:t>
      </w:r>
      <w:r>
        <w:t>their</w:t>
      </w:r>
      <w:r>
        <w:rPr>
          <w:spacing w:val="29"/>
        </w:rPr>
        <w:t xml:space="preserve"> </w:t>
      </w:r>
      <w:r>
        <w:t>autonomy</w:t>
      </w:r>
      <w:r>
        <w:rPr>
          <w:spacing w:val="29"/>
        </w:rPr>
        <w:t xml:space="preserve"> </w:t>
      </w:r>
      <w:r>
        <w:t>(their</w:t>
      </w:r>
      <w:r>
        <w:rPr>
          <w:spacing w:val="29"/>
        </w:rPr>
        <w:t xml:space="preserve"> </w:t>
      </w:r>
      <w:r>
        <w:t>right</w:t>
      </w:r>
      <w:r>
        <w:rPr>
          <w:spacing w:val="29"/>
        </w:rPr>
        <w:t xml:space="preserve"> </w:t>
      </w:r>
      <w:r>
        <w:t>to</w:t>
      </w:r>
      <w:r>
        <w:rPr>
          <w:spacing w:val="29"/>
        </w:rPr>
        <w:t xml:space="preserve"> </w:t>
      </w:r>
      <w:r>
        <w:t>determine</w:t>
      </w:r>
      <w:r>
        <w:rPr>
          <w:spacing w:val="29"/>
        </w:rPr>
        <w:t xml:space="preserve"> </w:t>
      </w:r>
      <w:r>
        <w:t>their</w:t>
      </w:r>
      <w:r>
        <w:rPr>
          <w:spacing w:val="29"/>
        </w:rPr>
        <w:t xml:space="preserve"> </w:t>
      </w:r>
      <w:r>
        <w:t>own</w:t>
      </w:r>
      <w:r>
        <w:rPr>
          <w:spacing w:val="29"/>
        </w:rPr>
        <w:t xml:space="preserve"> </w:t>
      </w:r>
      <w:r>
        <w:t>fate),</w:t>
      </w:r>
      <w:r>
        <w:rPr>
          <w:spacing w:val="29"/>
        </w:rPr>
        <w:t xml:space="preserve"> </w:t>
      </w:r>
      <w:r>
        <w:t>which</w:t>
      </w:r>
    </w:p>
    <w:p w14:paraId="7E0023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60" w14:textId="77777777" w:rsidR="009A58DB" w:rsidRDefault="00000000">
      <w:pPr>
        <w:pStyle w:val="BodyText"/>
        <w:spacing w:before="65"/>
      </w:pPr>
      <w:r>
        <w:lastRenderedPageBreak/>
        <w:t>might</w:t>
      </w:r>
      <w:r>
        <w:rPr>
          <w:spacing w:val="-6"/>
        </w:rPr>
        <w:t xml:space="preserve"> </w:t>
      </w:r>
      <w:r>
        <w:t>be</w:t>
      </w:r>
      <w:r>
        <w:rPr>
          <w:spacing w:val="-4"/>
        </w:rPr>
        <w:t xml:space="preserve"> </w:t>
      </w:r>
      <w:r>
        <w:t>ethically</w:t>
      </w:r>
      <w:r>
        <w:rPr>
          <w:spacing w:val="-2"/>
        </w:rPr>
        <w:t xml:space="preserve"> </w:t>
      </w:r>
      <w:r>
        <w:t>worse</w:t>
      </w:r>
      <w:r>
        <w:rPr>
          <w:spacing w:val="-4"/>
        </w:rPr>
        <w:t xml:space="preserve"> </w:t>
      </w:r>
      <w:r>
        <w:t>than</w:t>
      </w:r>
      <w:r>
        <w:rPr>
          <w:spacing w:val="-3"/>
        </w:rPr>
        <w:t xml:space="preserve"> </w:t>
      </w:r>
      <w:r>
        <w:t>they</w:t>
      </w:r>
      <w:r>
        <w:rPr>
          <w:spacing w:val="-2"/>
        </w:rPr>
        <w:t xml:space="preserve"> </w:t>
      </w:r>
      <w:r>
        <w:rPr>
          <w:spacing w:val="-4"/>
        </w:rPr>
        <w:t>did.</w:t>
      </w:r>
    </w:p>
    <w:p w14:paraId="7E002361" w14:textId="77777777" w:rsidR="009A58DB" w:rsidRDefault="00000000">
      <w:pPr>
        <w:pStyle w:val="BodyText"/>
        <w:spacing w:before="15" w:line="249" w:lineRule="auto"/>
        <w:ind w:right="368" w:firstLine="360"/>
      </w:pPr>
      <w:r>
        <w:t xml:space="preserve">In Chapter 22, it is argued that </w:t>
      </w:r>
      <w:r>
        <w:rPr>
          <w:i/>
        </w:rPr>
        <w:t xml:space="preserve">after a fashion </w:t>
      </w:r>
      <w:r>
        <w:t>all acts of immorality are acts of immorality towards oneself.</w:t>
      </w:r>
    </w:p>
    <w:p w14:paraId="7E002362" w14:textId="77777777" w:rsidR="009A58DB" w:rsidRDefault="00000000">
      <w:pPr>
        <w:pStyle w:val="Heading1"/>
        <w:numPr>
          <w:ilvl w:val="0"/>
          <w:numId w:val="63"/>
        </w:numPr>
        <w:tabs>
          <w:tab w:val="left" w:pos="1409"/>
        </w:tabs>
        <w:spacing w:before="190"/>
        <w:ind w:left="1409" w:hanging="1049"/>
      </w:pPr>
      <w:r>
        <w:t>Some</w:t>
      </w:r>
      <w:r>
        <w:rPr>
          <w:spacing w:val="-6"/>
        </w:rPr>
        <w:t xml:space="preserve"> </w:t>
      </w:r>
      <w:r>
        <w:t>metaethical</w:t>
      </w:r>
      <w:r>
        <w:rPr>
          <w:spacing w:val="-6"/>
        </w:rPr>
        <w:t xml:space="preserve"> </w:t>
      </w:r>
      <w:r>
        <w:rPr>
          <w:spacing w:val="-2"/>
        </w:rPr>
        <w:t>principles</w:t>
      </w:r>
    </w:p>
    <w:p w14:paraId="7E002363" w14:textId="77777777" w:rsidR="009A58DB" w:rsidRDefault="00000000">
      <w:pPr>
        <w:pStyle w:val="BodyText"/>
        <w:spacing w:before="139" w:line="249" w:lineRule="auto"/>
        <w:ind w:right="364"/>
      </w:pPr>
      <w:r>
        <w:t>Metaethics is the discipline that says what, if anything, ethical statements mean.</w:t>
      </w:r>
      <w:r>
        <w:rPr>
          <w:spacing w:val="-3"/>
        </w:rPr>
        <w:t xml:space="preserve"> </w:t>
      </w:r>
      <w:r>
        <w:t>A</w:t>
      </w:r>
      <w:r>
        <w:rPr>
          <w:spacing w:val="-3"/>
        </w:rPr>
        <w:t xml:space="preserve"> </w:t>
      </w:r>
      <w:r>
        <w:t>“valuative”</w:t>
      </w:r>
      <w:r>
        <w:rPr>
          <w:spacing w:val="-3"/>
        </w:rPr>
        <w:t xml:space="preserve"> </w:t>
      </w:r>
      <w:r>
        <w:t>statement</w:t>
      </w:r>
      <w:r>
        <w:rPr>
          <w:spacing w:val="-3"/>
        </w:rPr>
        <w:t xml:space="preserve"> </w:t>
      </w:r>
      <w:r>
        <w:t>is</w:t>
      </w:r>
      <w:r>
        <w:rPr>
          <w:spacing w:val="-3"/>
        </w:rPr>
        <w:t xml:space="preserve"> </w:t>
      </w:r>
      <w:r>
        <w:t>one</w:t>
      </w:r>
      <w:r>
        <w:rPr>
          <w:spacing w:val="-3"/>
        </w:rPr>
        <w:t xml:space="preserve"> </w:t>
      </w:r>
      <w:r>
        <w:t>that</w:t>
      </w:r>
      <w:r>
        <w:rPr>
          <w:spacing w:val="-3"/>
        </w:rPr>
        <w:t xml:space="preserve"> </w:t>
      </w:r>
      <w:r>
        <w:t>expresses</w:t>
      </w:r>
      <w:r>
        <w:rPr>
          <w:spacing w:val="-3"/>
        </w:rPr>
        <w:t xml:space="preserve"> </w:t>
      </w:r>
      <w:r>
        <w:t>a</w:t>
      </w:r>
      <w:r>
        <w:rPr>
          <w:spacing w:val="-3"/>
        </w:rPr>
        <w:t xml:space="preserve"> </w:t>
      </w:r>
      <w:r>
        <w:t>value-judgment;</w:t>
      </w:r>
      <w:r>
        <w:rPr>
          <w:spacing w:val="-3"/>
        </w:rPr>
        <w:t xml:space="preserve"> </w:t>
      </w:r>
      <w:r>
        <w:t>that</w:t>
      </w:r>
      <w:r>
        <w:rPr>
          <w:spacing w:val="-3"/>
        </w:rPr>
        <w:t xml:space="preserve"> </w:t>
      </w:r>
      <w:r>
        <w:t>is, it is one that says something should (or should not) be done, or that</w:t>
      </w:r>
      <w:r>
        <w:rPr>
          <w:spacing w:val="40"/>
        </w:rPr>
        <w:t xml:space="preserve"> </w:t>
      </w:r>
      <w:r>
        <w:t>something is (or is not) good. Basically “valuative” means the same thing as “ethical” or “having ethical content.”</w:t>
      </w:r>
    </w:p>
    <w:p w14:paraId="7E002364" w14:textId="77777777" w:rsidR="009A58DB" w:rsidRDefault="00000000">
      <w:pPr>
        <w:pStyle w:val="BodyText"/>
        <w:spacing w:before="6" w:line="249" w:lineRule="auto"/>
        <w:ind w:right="361" w:firstLine="360"/>
      </w:pPr>
      <w:r>
        <w:t>We’ll now discuss six metaethical principles. Principles 4–6 are correct; principle 3 is approximately, though perhaps not exactly, correct; and principles 1 and 2 are false, even though they are very popular to this day.</w:t>
      </w:r>
    </w:p>
    <w:p w14:paraId="7E002365" w14:textId="77777777" w:rsidR="009A58DB" w:rsidRDefault="00000000">
      <w:pPr>
        <w:pStyle w:val="Heading1"/>
        <w:numPr>
          <w:ilvl w:val="1"/>
          <w:numId w:val="63"/>
        </w:numPr>
        <w:tabs>
          <w:tab w:val="left" w:pos="1409"/>
        </w:tabs>
        <w:spacing w:before="207"/>
        <w:ind w:left="1409" w:hanging="1049"/>
      </w:pPr>
      <w:r>
        <w:t>You</w:t>
      </w:r>
      <w:r>
        <w:rPr>
          <w:spacing w:val="-3"/>
        </w:rPr>
        <w:t xml:space="preserve"> </w:t>
      </w:r>
      <w:r>
        <w:t>can’t</w:t>
      </w:r>
      <w:r>
        <w:rPr>
          <w:spacing w:val="-3"/>
        </w:rPr>
        <w:t xml:space="preserve"> </w:t>
      </w:r>
      <w:r>
        <w:t>derive</w:t>
      </w:r>
      <w:r>
        <w:rPr>
          <w:spacing w:val="-3"/>
        </w:rPr>
        <w:t xml:space="preserve"> </w:t>
      </w:r>
      <w:r>
        <w:t>an</w:t>
      </w:r>
      <w:r>
        <w:rPr>
          <w:spacing w:val="-3"/>
        </w:rPr>
        <w:t xml:space="preserve"> </w:t>
      </w:r>
      <w:r>
        <w:t>“ought”</w:t>
      </w:r>
      <w:r>
        <w:rPr>
          <w:spacing w:val="-2"/>
        </w:rPr>
        <w:t xml:space="preserve"> </w:t>
      </w:r>
      <w:r>
        <w:t>from</w:t>
      </w:r>
      <w:r>
        <w:rPr>
          <w:spacing w:val="-3"/>
        </w:rPr>
        <w:t xml:space="preserve"> </w:t>
      </w:r>
      <w:r>
        <w:t>an</w:t>
      </w:r>
      <w:r>
        <w:rPr>
          <w:spacing w:val="-2"/>
        </w:rPr>
        <w:t xml:space="preserve"> </w:t>
      </w:r>
      <w:r>
        <w:rPr>
          <w:spacing w:val="-4"/>
        </w:rPr>
        <w:t>“is”</w:t>
      </w:r>
    </w:p>
    <w:p w14:paraId="7E002366" w14:textId="77777777" w:rsidR="009A58DB" w:rsidRDefault="00000000">
      <w:pPr>
        <w:pStyle w:val="BodyText"/>
        <w:spacing w:before="139" w:line="249" w:lineRule="auto"/>
        <w:ind w:right="363"/>
      </w:pPr>
      <w:r>
        <w:t>This means that, if you had a list of all the true non-valuative statements, you could not, on that basis, justifiably make any valuative statements. You could not say “it is obligatory that you do (or not do) x.”</w:t>
      </w:r>
    </w:p>
    <w:p w14:paraId="7E002367" w14:textId="77777777" w:rsidR="009A58DB" w:rsidRDefault="00000000">
      <w:pPr>
        <w:pStyle w:val="BodyText"/>
        <w:spacing w:before="4" w:line="249" w:lineRule="auto"/>
        <w:ind w:right="360" w:firstLine="360"/>
      </w:pPr>
      <w:r>
        <w:t xml:space="preserve">Though widely accepted, this principle may well be false. According to one widely accepted moral doctrine, “x is a good act” means that x makes people happier than the alternative possible courses available. According to another moral doctrine, it means that x promotes the actualization of human potential to a greater degree than the alternative possible courses of action </w:t>
      </w:r>
      <w:r>
        <w:rPr>
          <w:spacing w:val="-2"/>
        </w:rPr>
        <w:t>available.”</w:t>
      </w:r>
    </w:p>
    <w:p w14:paraId="7E002368" w14:textId="77777777" w:rsidR="009A58DB" w:rsidRDefault="00000000">
      <w:pPr>
        <w:pStyle w:val="BodyText"/>
        <w:spacing w:before="7" w:line="249" w:lineRule="auto"/>
        <w:ind w:right="360" w:firstLine="360"/>
      </w:pPr>
      <w:r>
        <w:t xml:space="preserve">If either of these doctrines, or anything at all like either of them, is on target, then an “ought” </w:t>
      </w:r>
      <w:r>
        <w:rPr>
          <w:i/>
        </w:rPr>
        <w:t>can</w:t>
      </w:r>
      <w:r>
        <w:rPr>
          <w:i/>
          <w:spacing w:val="-2"/>
        </w:rPr>
        <w:t xml:space="preserve"> </w:t>
      </w:r>
      <w:r>
        <w:t xml:space="preserve">be inferred from “is,” since “x is what ought to be done” </w:t>
      </w:r>
      <w:r>
        <w:rPr>
          <w:i/>
        </w:rPr>
        <w:t xml:space="preserve">can </w:t>
      </w:r>
      <w:r>
        <w:t>be inferred from “x is more likely than the other possible courses of action to maximize happiness/the actualization of human potential.”</w:t>
      </w:r>
    </w:p>
    <w:p w14:paraId="7E002369" w14:textId="77777777" w:rsidR="009A58DB" w:rsidRDefault="00000000">
      <w:pPr>
        <w:pStyle w:val="Heading1"/>
        <w:numPr>
          <w:ilvl w:val="1"/>
          <w:numId w:val="63"/>
        </w:numPr>
        <w:tabs>
          <w:tab w:val="left" w:pos="1409"/>
        </w:tabs>
        <w:spacing w:before="193"/>
        <w:ind w:left="1409" w:hanging="1049"/>
      </w:pPr>
      <w:r>
        <w:t>Moore’s</w:t>
      </w:r>
      <w:r>
        <w:rPr>
          <w:spacing w:val="-8"/>
        </w:rPr>
        <w:t xml:space="preserve"> </w:t>
      </w:r>
      <w:r>
        <w:t>“open</w:t>
      </w:r>
      <w:r>
        <w:rPr>
          <w:spacing w:val="-5"/>
        </w:rPr>
        <w:t xml:space="preserve"> </w:t>
      </w:r>
      <w:r>
        <w:t>question”</w:t>
      </w:r>
      <w:r>
        <w:rPr>
          <w:spacing w:val="-4"/>
        </w:rPr>
        <w:t xml:space="preserve"> </w:t>
      </w:r>
      <w:r>
        <w:rPr>
          <w:spacing w:val="-2"/>
        </w:rPr>
        <w:t>argument</w:t>
      </w:r>
    </w:p>
    <w:p w14:paraId="7E00236A" w14:textId="77777777" w:rsidR="009A58DB" w:rsidRDefault="00000000">
      <w:pPr>
        <w:pStyle w:val="BodyText"/>
        <w:spacing w:before="139" w:line="249" w:lineRule="auto"/>
        <w:ind w:right="359"/>
      </w:pPr>
      <w:r>
        <w:t>Moore argued that, no matter how many truths of a purely descriptive, non-moral nature you know, you don’t have enough information to make any moral judgments.</w:t>
      </w:r>
    </w:p>
    <w:p w14:paraId="7E00236B" w14:textId="77777777" w:rsidR="009A58DB" w:rsidRDefault="00000000">
      <w:pPr>
        <w:pStyle w:val="BodyText"/>
        <w:spacing w:before="4" w:line="249" w:lineRule="auto"/>
        <w:ind w:right="367" w:firstLine="360"/>
      </w:pPr>
      <w:r>
        <w:t xml:space="preserve">Here is his argument. Premise: No matter how many </w:t>
      </w:r>
      <w:r>
        <w:rPr>
          <w:i/>
        </w:rPr>
        <w:t xml:space="preserve">valuative </w:t>
      </w:r>
      <w:r>
        <w:t>truths you know</w:t>
      </w:r>
      <w:r>
        <w:rPr>
          <w:spacing w:val="69"/>
        </w:rPr>
        <w:t xml:space="preserve"> </w:t>
      </w:r>
      <w:r>
        <w:t>about</w:t>
      </w:r>
      <w:r>
        <w:rPr>
          <w:spacing w:val="70"/>
        </w:rPr>
        <w:t xml:space="preserve"> </w:t>
      </w:r>
      <w:r>
        <w:t>x,</w:t>
      </w:r>
      <w:r>
        <w:rPr>
          <w:spacing w:val="69"/>
        </w:rPr>
        <w:t xml:space="preserve"> </w:t>
      </w:r>
      <w:r>
        <w:t>it</w:t>
      </w:r>
      <w:r>
        <w:rPr>
          <w:spacing w:val="70"/>
        </w:rPr>
        <w:t xml:space="preserve"> </w:t>
      </w:r>
      <w:r>
        <w:t>remains</w:t>
      </w:r>
      <w:r>
        <w:rPr>
          <w:spacing w:val="69"/>
        </w:rPr>
        <w:t xml:space="preserve"> </w:t>
      </w:r>
      <w:r>
        <w:t>an</w:t>
      </w:r>
      <w:r>
        <w:rPr>
          <w:spacing w:val="70"/>
        </w:rPr>
        <w:t xml:space="preserve"> </w:t>
      </w:r>
      <w:r>
        <w:t>“open</w:t>
      </w:r>
      <w:r>
        <w:rPr>
          <w:spacing w:val="69"/>
        </w:rPr>
        <w:t xml:space="preserve"> </w:t>
      </w:r>
      <w:r>
        <w:t>question”</w:t>
      </w:r>
      <w:r>
        <w:rPr>
          <w:spacing w:val="70"/>
        </w:rPr>
        <w:t xml:space="preserve"> </w:t>
      </w:r>
      <w:r>
        <w:t>whether</w:t>
      </w:r>
      <w:r>
        <w:rPr>
          <w:spacing w:val="69"/>
        </w:rPr>
        <w:t xml:space="preserve"> </w:t>
      </w:r>
      <w:r>
        <w:t>x</w:t>
      </w:r>
      <w:r>
        <w:rPr>
          <w:spacing w:val="70"/>
        </w:rPr>
        <w:t xml:space="preserve"> </w:t>
      </w:r>
      <w:r>
        <w:t>is</w:t>
      </w:r>
      <w:r>
        <w:rPr>
          <w:spacing w:val="69"/>
        </w:rPr>
        <w:t xml:space="preserve"> </w:t>
      </w:r>
      <w:r>
        <w:t>good</w:t>
      </w:r>
      <w:r>
        <w:rPr>
          <w:spacing w:val="70"/>
        </w:rPr>
        <w:t xml:space="preserve"> </w:t>
      </w:r>
      <w:r>
        <w:t>or</w:t>
      </w:r>
      <w:r>
        <w:rPr>
          <w:spacing w:val="70"/>
        </w:rPr>
        <w:t xml:space="preserve"> </w:t>
      </w:r>
      <w:r>
        <w:rPr>
          <w:spacing w:val="-4"/>
        </w:rPr>
        <w:t>not.</w:t>
      </w:r>
    </w:p>
    <w:p w14:paraId="7E00236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6D" w14:textId="77777777" w:rsidR="009A58DB" w:rsidRDefault="00000000">
      <w:pPr>
        <w:pStyle w:val="BodyText"/>
        <w:spacing w:before="65" w:line="249" w:lineRule="auto"/>
        <w:ind w:right="371"/>
      </w:pPr>
      <w:r>
        <w:lastRenderedPageBreak/>
        <w:t>Conclusion: Ethical truths are not identical with, or otherwise “reducible to,” factual statements.</w:t>
      </w:r>
    </w:p>
    <w:p w14:paraId="7E00236E" w14:textId="77777777" w:rsidR="009A58DB" w:rsidRDefault="00000000">
      <w:pPr>
        <w:pStyle w:val="BodyText"/>
        <w:spacing w:before="2" w:line="249" w:lineRule="auto"/>
        <w:ind w:right="358" w:firstLine="360"/>
      </w:pPr>
      <w:r>
        <w:t>Analysis of Moore’s argument: Premise 1, as we just saw, is false. (In any case,</w:t>
      </w:r>
      <w:r>
        <w:rPr>
          <w:spacing w:val="-2"/>
        </w:rPr>
        <w:t xml:space="preserve"> </w:t>
      </w:r>
      <w:r>
        <w:t>it</w:t>
      </w:r>
      <w:r>
        <w:rPr>
          <w:spacing w:val="-3"/>
        </w:rPr>
        <w:t xml:space="preserve"> </w:t>
      </w:r>
      <w:r>
        <w:t>is</w:t>
      </w:r>
      <w:r>
        <w:rPr>
          <w:spacing w:val="-3"/>
        </w:rPr>
        <w:t xml:space="preserve"> </w:t>
      </w:r>
      <w:r>
        <w:t>false</w:t>
      </w:r>
      <w:r>
        <w:rPr>
          <w:spacing w:val="-3"/>
        </w:rPr>
        <w:t xml:space="preserve"> </w:t>
      </w:r>
      <w:r>
        <w:t>if</w:t>
      </w:r>
      <w:r>
        <w:rPr>
          <w:spacing w:val="-3"/>
        </w:rPr>
        <w:t xml:space="preserve"> </w:t>
      </w:r>
      <w:r>
        <w:t>there</w:t>
      </w:r>
      <w:r>
        <w:rPr>
          <w:spacing w:val="-3"/>
        </w:rPr>
        <w:t xml:space="preserve"> </w:t>
      </w:r>
      <w:r>
        <w:t>is</w:t>
      </w:r>
      <w:r>
        <w:rPr>
          <w:spacing w:val="-3"/>
        </w:rPr>
        <w:t xml:space="preserve"> </w:t>
      </w:r>
      <w:r>
        <w:t>any</w:t>
      </w:r>
      <w:r>
        <w:rPr>
          <w:spacing w:val="-2"/>
        </w:rPr>
        <w:t xml:space="preserve"> </w:t>
      </w:r>
      <w:r>
        <w:t>truth</w:t>
      </w:r>
      <w:r>
        <w:rPr>
          <w:spacing w:val="-2"/>
        </w:rPr>
        <w:t xml:space="preserve"> </w:t>
      </w:r>
      <w:r>
        <w:t>to</w:t>
      </w:r>
      <w:r>
        <w:rPr>
          <w:spacing w:val="-2"/>
        </w:rPr>
        <w:t xml:space="preserve"> </w:t>
      </w:r>
      <w:r>
        <w:t>the</w:t>
      </w:r>
      <w:r>
        <w:rPr>
          <w:spacing w:val="-3"/>
        </w:rPr>
        <w:t xml:space="preserve"> </w:t>
      </w:r>
      <w:r>
        <w:t>thesis</w:t>
      </w:r>
      <w:r>
        <w:rPr>
          <w:spacing w:val="-3"/>
        </w:rPr>
        <w:t xml:space="preserve"> </w:t>
      </w:r>
      <w:r>
        <w:t>that</w:t>
      </w:r>
      <w:r>
        <w:rPr>
          <w:spacing w:val="-3"/>
        </w:rPr>
        <w:t xml:space="preserve"> </w:t>
      </w:r>
      <w:r>
        <w:t>acts</w:t>
      </w:r>
      <w:r>
        <w:rPr>
          <w:spacing w:val="-3"/>
        </w:rPr>
        <w:t xml:space="preserve"> </w:t>
      </w:r>
      <w:r>
        <w:t>are</w:t>
      </w:r>
      <w:r>
        <w:rPr>
          <w:spacing w:val="-3"/>
        </w:rPr>
        <w:t xml:space="preserve"> </w:t>
      </w:r>
      <w:r>
        <w:t>good</w:t>
      </w:r>
      <w:r>
        <w:rPr>
          <w:spacing w:val="-2"/>
        </w:rPr>
        <w:t xml:space="preserve"> </w:t>
      </w:r>
      <w:r>
        <w:t>to</w:t>
      </w:r>
      <w:r>
        <w:rPr>
          <w:spacing w:val="-2"/>
        </w:rPr>
        <w:t xml:space="preserve"> </w:t>
      </w:r>
      <w:r>
        <w:t>the</w:t>
      </w:r>
      <w:r>
        <w:rPr>
          <w:spacing w:val="-3"/>
        </w:rPr>
        <w:t xml:space="preserve"> </w:t>
      </w:r>
      <w:r>
        <w:t xml:space="preserve">extent that they maximize happiness or enable people to develop their inborn </w:t>
      </w:r>
      <w:r>
        <w:rPr>
          <w:spacing w:val="-2"/>
        </w:rPr>
        <w:t>potential.)</w:t>
      </w:r>
    </w:p>
    <w:p w14:paraId="7E00236F" w14:textId="77777777" w:rsidR="009A58DB" w:rsidRDefault="00000000">
      <w:pPr>
        <w:pStyle w:val="BodyText"/>
        <w:spacing w:before="5" w:line="249" w:lineRule="auto"/>
        <w:ind w:right="358" w:firstLine="360"/>
      </w:pPr>
      <w:r>
        <w:t xml:space="preserve">In any case, Premise 1 is deeply implausible. If I know that x is a person who kills others for fun and delights in their pain and never does anything for anybody, then it is </w:t>
      </w:r>
      <w:r>
        <w:rPr>
          <w:i/>
        </w:rPr>
        <w:t xml:space="preserve">not </w:t>
      </w:r>
      <w:r>
        <w:t>an open question whether x is good. Bottom line: Moore’s argument is no good.</w:t>
      </w:r>
    </w:p>
    <w:p w14:paraId="7E002370" w14:textId="77777777" w:rsidR="009A58DB" w:rsidRDefault="00000000">
      <w:pPr>
        <w:pStyle w:val="Heading3"/>
        <w:numPr>
          <w:ilvl w:val="2"/>
          <w:numId w:val="63"/>
        </w:numPr>
        <w:tabs>
          <w:tab w:val="left" w:pos="1394"/>
        </w:tabs>
        <w:spacing w:before="103"/>
        <w:ind w:left="1394" w:hanging="1034"/>
        <w:jc w:val="both"/>
      </w:pPr>
      <w:r>
        <w:t>Commentary</w:t>
      </w:r>
      <w:r>
        <w:rPr>
          <w:spacing w:val="6"/>
        </w:rPr>
        <w:t xml:space="preserve"> </w:t>
      </w:r>
      <w:r>
        <w:t>on</w:t>
      </w:r>
      <w:r>
        <w:rPr>
          <w:spacing w:val="6"/>
        </w:rPr>
        <w:t xml:space="preserve"> </w:t>
      </w:r>
      <w:r>
        <w:t>the</w:t>
      </w:r>
      <w:r>
        <w:rPr>
          <w:spacing w:val="7"/>
        </w:rPr>
        <w:t xml:space="preserve"> </w:t>
      </w:r>
      <w:r>
        <w:t>last</w:t>
      </w:r>
      <w:r>
        <w:rPr>
          <w:spacing w:val="6"/>
        </w:rPr>
        <w:t xml:space="preserve"> </w:t>
      </w:r>
      <w:r>
        <w:t>two</w:t>
      </w:r>
      <w:r>
        <w:rPr>
          <w:spacing w:val="6"/>
        </w:rPr>
        <w:t xml:space="preserve"> </w:t>
      </w:r>
      <w:r>
        <w:rPr>
          <w:spacing w:val="-2"/>
        </w:rPr>
        <w:t>principles</w:t>
      </w:r>
    </w:p>
    <w:p w14:paraId="7E002371" w14:textId="77777777" w:rsidR="009A58DB" w:rsidRDefault="00000000">
      <w:pPr>
        <w:pStyle w:val="BodyText"/>
        <w:spacing w:before="81" w:line="249" w:lineRule="auto"/>
        <w:ind w:right="361"/>
      </w:pPr>
      <w:r>
        <w:t>If Jones tortures babies for fun, feels no remorse about it, frames somebody else for his misdeeds, etc., Jones’ acts, and Jones himself, are obviously bad. So why did Moore think that, even if we have all of this information, it’s an “open question” whether Jones’ acts are good or bad?</w:t>
      </w:r>
    </w:p>
    <w:p w14:paraId="7E002372" w14:textId="77777777" w:rsidR="009A58DB" w:rsidRDefault="00000000">
      <w:pPr>
        <w:pStyle w:val="BodyText"/>
        <w:spacing w:before="5" w:line="249" w:lineRule="auto"/>
        <w:ind w:right="359" w:firstLine="360"/>
      </w:pPr>
      <w:r>
        <w:t>I think it’s because, like many other philosophers, Moore didn’t have a very good grasp of the concept of entailment. It’s often said that P entails Q only if there is nothing in Q that isn’t in P. Entailment, it is said, is “non-ampliative.” It doesn’t add to what you know.</w:t>
      </w:r>
    </w:p>
    <w:p w14:paraId="7E002373" w14:textId="77777777" w:rsidR="009A58DB" w:rsidRDefault="00000000">
      <w:pPr>
        <w:pStyle w:val="BodyText"/>
        <w:spacing w:before="5" w:line="249" w:lineRule="auto"/>
        <w:ind w:right="358" w:firstLine="360"/>
      </w:pPr>
      <w:r>
        <w:t xml:space="preserve">But this is false. Entailment </w:t>
      </w:r>
      <w:r>
        <w:rPr>
          <w:i/>
        </w:rPr>
        <w:t>is</w:t>
      </w:r>
      <w:r>
        <w:rPr>
          <w:i/>
          <w:spacing w:val="-2"/>
        </w:rPr>
        <w:t xml:space="preserve"> </w:t>
      </w:r>
      <w:r>
        <w:t xml:space="preserve">ampliative. To be sure there are </w:t>
      </w:r>
      <w:r>
        <w:rPr>
          <w:i/>
        </w:rPr>
        <w:t xml:space="preserve">some </w:t>
      </w:r>
      <w:r>
        <w:t>cases where it isn’t (e.g., “if P and Q, then Q”), but these are more the exception than the rule. The fact that 1 + 1 = 2 entails that there are continuous functions</w:t>
      </w:r>
      <w:r>
        <w:rPr>
          <w:spacing w:val="-3"/>
        </w:rPr>
        <w:t xml:space="preserve"> </w:t>
      </w:r>
      <w:r>
        <w:t>that</w:t>
      </w:r>
      <w:r>
        <w:rPr>
          <w:spacing w:val="-2"/>
        </w:rPr>
        <w:t xml:space="preserve"> </w:t>
      </w:r>
      <w:r>
        <w:t>cannot</w:t>
      </w:r>
      <w:r>
        <w:rPr>
          <w:spacing w:val="-2"/>
        </w:rPr>
        <w:t xml:space="preserve"> </w:t>
      </w:r>
      <w:r>
        <w:t>be</w:t>
      </w:r>
      <w:r>
        <w:rPr>
          <w:spacing w:val="-2"/>
        </w:rPr>
        <w:t xml:space="preserve"> </w:t>
      </w:r>
      <w:r>
        <w:t>differentiated</w:t>
      </w:r>
      <w:r>
        <w:rPr>
          <w:spacing w:val="-2"/>
        </w:rPr>
        <w:t xml:space="preserve"> </w:t>
      </w:r>
      <w:r>
        <w:t>at</w:t>
      </w:r>
      <w:r>
        <w:rPr>
          <w:spacing w:val="-2"/>
        </w:rPr>
        <w:t xml:space="preserve"> </w:t>
      </w:r>
      <w:r>
        <w:t>any</w:t>
      </w:r>
      <w:r>
        <w:rPr>
          <w:spacing w:val="-2"/>
        </w:rPr>
        <w:t xml:space="preserve"> </w:t>
      </w:r>
      <w:r>
        <w:t>point.</w:t>
      </w:r>
      <w:r>
        <w:rPr>
          <w:spacing w:val="-2"/>
        </w:rPr>
        <w:t xml:space="preserve"> </w:t>
      </w:r>
      <w:r>
        <w:t>It</w:t>
      </w:r>
      <w:r>
        <w:rPr>
          <w:spacing w:val="-2"/>
        </w:rPr>
        <w:t xml:space="preserve"> </w:t>
      </w:r>
      <w:r>
        <w:t>also</w:t>
      </w:r>
      <w:r>
        <w:rPr>
          <w:spacing w:val="-2"/>
        </w:rPr>
        <w:t xml:space="preserve"> </w:t>
      </w:r>
      <w:r>
        <w:t>entails</w:t>
      </w:r>
      <w:r>
        <w:rPr>
          <w:spacing w:val="-2"/>
        </w:rPr>
        <w:t xml:space="preserve"> </w:t>
      </w:r>
      <w:r>
        <w:t>that</w:t>
      </w:r>
      <w:r>
        <w:rPr>
          <w:spacing w:val="-2"/>
        </w:rPr>
        <w:t xml:space="preserve"> </w:t>
      </w:r>
      <w:r>
        <w:t>space</w:t>
      </w:r>
      <w:r>
        <w:rPr>
          <w:spacing w:val="-2"/>
        </w:rPr>
        <w:t xml:space="preserve"> </w:t>
      </w:r>
      <w:r>
        <w:t>is metrically amorphous. This is not to mention that, if we were barred from making deductions, it would be impossible to organize our raw experiences into organized theories. So if it were really true that deduction doesn’t increase knowledge, it would follow that people who draw inferences know no more than those who don’t and just live in the moment—that our Pleistocene ancestors are as knowledgeable as we are. But that’s absurdities. And yet the conception of entailment underlying Moore’s argument, as well as</w:t>
      </w:r>
      <w:r>
        <w:rPr>
          <w:spacing w:val="32"/>
        </w:rPr>
        <w:t xml:space="preserve"> </w:t>
      </w:r>
      <w:r>
        <w:t>Hume’s,</w:t>
      </w:r>
      <w:r>
        <w:rPr>
          <w:spacing w:val="34"/>
        </w:rPr>
        <w:t xml:space="preserve"> </w:t>
      </w:r>
      <w:r>
        <w:t>generates</w:t>
      </w:r>
      <w:r>
        <w:rPr>
          <w:spacing w:val="34"/>
        </w:rPr>
        <w:t xml:space="preserve"> </w:t>
      </w:r>
      <w:r>
        <w:t>precisely</w:t>
      </w:r>
      <w:r>
        <w:rPr>
          <w:spacing w:val="34"/>
        </w:rPr>
        <w:t xml:space="preserve"> </w:t>
      </w:r>
      <w:r>
        <w:t>these</w:t>
      </w:r>
      <w:r>
        <w:rPr>
          <w:spacing w:val="34"/>
        </w:rPr>
        <w:t xml:space="preserve"> </w:t>
      </w:r>
      <w:r>
        <w:t>absurdities.</w:t>
      </w:r>
      <w:r>
        <w:rPr>
          <w:spacing w:val="34"/>
        </w:rPr>
        <w:t xml:space="preserve"> </w:t>
      </w:r>
      <w:r>
        <w:t>See</w:t>
      </w:r>
      <w:r>
        <w:rPr>
          <w:spacing w:val="34"/>
        </w:rPr>
        <w:t xml:space="preserve"> </w:t>
      </w:r>
      <w:r>
        <w:t>Appendix</w:t>
      </w:r>
      <w:r>
        <w:rPr>
          <w:spacing w:val="34"/>
        </w:rPr>
        <w:t xml:space="preserve"> </w:t>
      </w:r>
      <w:r>
        <w:t>1,</w:t>
      </w:r>
      <w:r>
        <w:rPr>
          <w:spacing w:val="35"/>
        </w:rPr>
        <w:t xml:space="preserve"> </w:t>
      </w:r>
      <w:r>
        <w:rPr>
          <w:spacing w:val="-2"/>
        </w:rPr>
        <w:t>Sections</w:t>
      </w:r>
    </w:p>
    <w:p w14:paraId="7E002374" w14:textId="77777777" w:rsidR="009A58DB" w:rsidRDefault="00000000">
      <w:pPr>
        <w:pStyle w:val="BodyText"/>
        <w:spacing w:before="15" w:line="249" w:lineRule="auto"/>
        <w:ind w:right="365"/>
      </w:pPr>
      <w:r>
        <w:t>3.1–3.9</w:t>
      </w:r>
      <w:r>
        <w:rPr>
          <w:spacing w:val="-3"/>
        </w:rPr>
        <w:t xml:space="preserve"> </w:t>
      </w:r>
      <w:r>
        <w:t>for</w:t>
      </w:r>
      <w:r>
        <w:rPr>
          <w:spacing w:val="-2"/>
        </w:rPr>
        <w:t xml:space="preserve"> </w:t>
      </w:r>
      <w:r>
        <w:t>a</w:t>
      </w:r>
      <w:r>
        <w:rPr>
          <w:spacing w:val="-3"/>
        </w:rPr>
        <w:t xml:space="preserve"> </w:t>
      </w:r>
      <w:r>
        <w:t>discussion</w:t>
      </w:r>
      <w:r>
        <w:rPr>
          <w:spacing w:val="-2"/>
        </w:rPr>
        <w:t xml:space="preserve"> </w:t>
      </w:r>
      <w:r>
        <w:t>of</w:t>
      </w:r>
      <w:r>
        <w:rPr>
          <w:spacing w:val="-3"/>
        </w:rPr>
        <w:t xml:space="preserve"> </w:t>
      </w:r>
      <w:r>
        <w:t>why,</w:t>
      </w:r>
      <w:r>
        <w:rPr>
          <w:spacing w:val="-2"/>
        </w:rPr>
        <w:t xml:space="preserve"> </w:t>
      </w:r>
      <w:r>
        <w:t>contrary</w:t>
      </w:r>
      <w:r>
        <w:rPr>
          <w:spacing w:val="-2"/>
        </w:rPr>
        <w:t xml:space="preserve"> </w:t>
      </w:r>
      <w:r>
        <w:t>to</w:t>
      </w:r>
      <w:r>
        <w:rPr>
          <w:spacing w:val="-3"/>
        </w:rPr>
        <w:t xml:space="preserve"> </w:t>
      </w:r>
      <w:r>
        <w:t>what</w:t>
      </w:r>
      <w:r>
        <w:rPr>
          <w:spacing w:val="-2"/>
        </w:rPr>
        <w:t xml:space="preserve"> </w:t>
      </w:r>
      <w:r>
        <w:t>is</w:t>
      </w:r>
      <w:r>
        <w:rPr>
          <w:spacing w:val="-3"/>
        </w:rPr>
        <w:t xml:space="preserve"> </w:t>
      </w:r>
      <w:r>
        <w:t>often</w:t>
      </w:r>
      <w:r>
        <w:rPr>
          <w:spacing w:val="-2"/>
        </w:rPr>
        <w:t xml:space="preserve"> </w:t>
      </w:r>
      <w:r>
        <w:t>said</w:t>
      </w:r>
      <w:r>
        <w:rPr>
          <w:spacing w:val="-3"/>
        </w:rPr>
        <w:t xml:space="preserve"> </w:t>
      </w:r>
      <w:r>
        <w:t>in</w:t>
      </w:r>
      <w:r>
        <w:rPr>
          <w:spacing w:val="-2"/>
        </w:rPr>
        <w:t xml:space="preserve"> </w:t>
      </w:r>
      <w:r>
        <w:t>textbooks</w:t>
      </w:r>
      <w:r>
        <w:rPr>
          <w:spacing w:val="-2"/>
        </w:rPr>
        <w:t xml:space="preserve"> </w:t>
      </w:r>
      <w:r>
        <w:t>on critical thinking, entailment/deductive inference is ampliative. Also see Chapter 1, Sections 6.0–7.0, and Chapter 18, Sections 7.0–7.7.</w:t>
      </w:r>
    </w:p>
    <w:p w14:paraId="7E00237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76" w14:textId="77777777" w:rsidR="009A58DB" w:rsidRDefault="00000000">
      <w:pPr>
        <w:pStyle w:val="Heading1"/>
        <w:numPr>
          <w:ilvl w:val="1"/>
          <w:numId w:val="63"/>
        </w:numPr>
        <w:tabs>
          <w:tab w:val="left" w:pos="1409"/>
        </w:tabs>
        <w:spacing w:before="58"/>
        <w:ind w:left="1409" w:hanging="1049"/>
      </w:pPr>
      <w:r>
        <w:lastRenderedPageBreak/>
        <w:t>“Ought”</w:t>
      </w:r>
      <w:r>
        <w:rPr>
          <w:spacing w:val="-6"/>
        </w:rPr>
        <w:t xml:space="preserve"> </w:t>
      </w:r>
      <w:r>
        <w:t>implies</w:t>
      </w:r>
      <w:r>
        <w:rPr>
          <w:spacing w:val="-5"/>
        </w:rPr>
        <w:t xml:space="preserve"> </w:t>
      </w:r>
      <w:r>
        <w:rPr>
          <w:spacing w:val="-4"/>
        </w:rPr>
        <w:t>“can”</w:t>
      </w:r>
    </w:p>
    <w:p w14:paraId="7E002377" w14:textId="77777777" w:rsidR="009A58DB" w:rsidRDefault="00000000">
      <w:pPr>
        <w:pStyle w:val="BodyText"/>
        <w:spacing w:before="139" w:line="249" w:lineRule="auto"/>
        <w:ind w:right="361"/>
      </w:pPr>
      <w:r>
        <w:t xml:space="preserve">In other words, if you can’t do it, you have no obligation to do it. If the Earth is about to be hit by a giant meteor, I have no obligation to stop it, since I </w:t>
      </w:r>
      <w:r>
        <w:rPr>
          <w:i/>
        </w:rPr>
        <w:t xml:space="preserve">can’t </w:t>
      </w:r>
      <w:r>
        <w:t>stop it. If I could, I probably would have such an obligation. But I cannot reasonably be expected to do what doesn’t lie within my power.</w:t>
      </w:r>
    </w:p>
    <w:p w14:paraId="7E002378" w14:textId="77777777" w:rsidR="009A58DB" w:rsidRDefault="00000000">
      <w:pPr>
        <w:pStyle w:val="BodyText"/>
        <w:spacing w:before="5" w:line="249" w:lineRule="auto"/>
        <w:ind w:right="363" w:firstLine="360"/>
      </w:pPr>
      <w:r>
        <w:t>Unlike (1) and (2), (3) is at least partly correct—maybe even 100% correct.</w:t>
      </w:r>
      <w:r>
        <w:rPr>
          <w:spacing w:val="18"/>
        </w:rPr>
        <w:t xml:space="preserve"> </w:t>
      </w:r>
      <w:r>
        <w:t>But</w:t>
      </w:r>
      <w:r>
        <w:rPr>
          <w:spacing w:val="21"/>
        </w:rPr>
        <w:t xml:space="preserve"> </w:t>
      </w:r>
      <w:r>
        <w:t>there</w:t>
      </w:r>
      <w:r>
        <w:rPr>
          <w:spacing w:val="22"/>
        </w:rPr>
        <w:t xml:space="preserve"> </w:t>
      </w:r>
      <w:r>
        <w:t>is</w:t>
      </w:r>
      <w:r>
        <w:rPr>
          <w:spacing w:val="21"/>
        </w:rPr>
        <w:t xml:space="preserve"> </w:t>
      </w:r>
      <w:r>
        <w:t>still</w:t>
      </w:r>
      <w:r>
        <w:rPr>
          <w:spacing w:val="22"/>
        </w:rPr>
        <w:t xml:space="preserve"> </w:t>
      </w:r>
      <w:r>
        <w:rPr>
          <w:i/>
        </w:rPr>
        <w:t>some</w:t>
      </w:r>
      <w:r>
        <w:rPr>
          <w:i/>
          <w:spacing w:val="13"/>
        </w:rPr>
        <w:t xml:space="preserve"> </w:t>
      </w:r>
      <w:r>
        <w:t>reason</w:t>
      </w:r>
      <w:r>
        <w:rPr>
          <w:spacing w:val="25"/>
        </w:rPr>
        <w:t xml:space="preserve"> </w:t>
      </w:r>
      <w:r>
        <w:t>to</w:t>
      </w:r>
      <w:r>
        <w:rPr>
          <w:spacing w:val="26"/>
        </w:rPr>
        <w:t xml:space="preserve"> </w:t>
      </w:r>
      <w:r>
        <w:t>doubt</w:t>
      </w:r>
      <w:r>
        <w:rPr>
          <w:spacing w:val="25"/>
        </w:rPr>
        <w:t xml:space="preserve"> </w:t>
      </w:r>
      <w:r>
        <w:t>it.</w:t>
      </w:r>
      <w:r>
        <w:rPr>
          <w:spacing w:val="26"/>
        </w:rPr>
        <w:t xml:space="preserve"> </w:t>
      </w:r>
      <w:r>
        <w:t>Suppose</w:t>
      </w:r>
      <w:r>
        <w:rPr>
          <w:spacing w:val="26"/>
        </w:rPr>
        <w:t xml:space="preserve"> </w:t>
      </w:r>
      <w:r>
        <w:t>that</w:t>
      </w:r>
      <w:r>
        <w:rPr>
          <w:spacing w:val="25"/>
        </w:rPr>
        <w:t xml:space="preserve"> </w:t>
      </w:r>
      <w:r>
        <w:t>you</w:t>
      </w:r>
      <w:r>
        <w:rPr>
          <w:spacing w:val="26"/>
        </w:rPr>
        <w:t xml:space="preserve"> </w:t>
      </w:r>
      <w:r>
        <w:t>give</w:t>
      </w:r>
      <w:r>
        <w:rPr>
          <w:spacing w:val="26"/>
        </w:rPr>
        <w:t xml:space="preserve"> </w:t>
      </w:r>
      <w:r>
        <w:rPr>
          <w:spacing w:val="-5"/>
        </w:rPr>
        <w:t>me</w:t>
      </w:r>
    </w:p>
    <w:p w14:paraId="7E002379" w14:textId="77777777" w:rsidR="009A58DB" w:rsidRDefault="00000000">
      <w:pPr>
        <w:pStyle w:val="BodyText"/>
        <w:spacing w:before="2" w:line="249" w:lineRule="auto"/>
        <w:ind w:right="359"/>
      </w:pPr>
      <w:r>
        <w:t>$10,000 to move some rocks for you. Before I move the rocks, I spend the money.</w:t>
      </w:r>
      <w:r>
        <w:rPr>
          <w:spacing w:val="-2"/>
        </w:rPr>
        <w:t xml:space="preserve"> </w:t>
      </w:r>
      <w:r>
        <w:t>Then,</w:t>
      </w:r>
      <w:r>
        <w:rPr>
          <w:spacing w:val="-2"/>
        </w:rPr>
        <w:t xml:space="preserve"> </w:t>
      </w:r>
      <w:r>
        <w:t>when</w:t>
      </w:r>
      <w:r>
        <w:rPr>
          <w:spacing w:val="-2"/>
        </w:rPr>
        <w:t xml:space="preserve"> </w:t>
      </w:r>
      <w:r>
        <w:t>I</w:t>
      </w:r>
      <w:r>
        <w:rPr>
          <w:spacing w:val="-2"/>
        </w:rPr>
        <w:t xml:space="preserve"> </w:t>
      </w:r>
      <w:r>
        <w:t>try</w:t>
      </w:r>
      <w:r>
        <w:rPr>
          <w:spacing w:val="-2"/>
        </w:rPr>
        <w:t xml:space="preserve"> </w:t>
      </w:r>
      <w:r>
        <w:t>to</w:t>
      </w:r>
      <w:r>
        <w:rPr>
          <w:spacing w:val="-2"/>
        </w:rPr>
        <w:t xml:space="preserve"> </w:t>
      </w:r>
      <w:r>
        <w:t>move</w:t>
      </w:r>
      <w:r>
        <w:rPr>
          <w:spacing w:val="-2"/>
        </w:rPr>
        <w:t xml:space="preserve"> </w:t>
      </w:r>
      <w:r>
        <w:t>the</w:t>
      </w:r>
      <w:r>
        <w:rPr>
          <w:spacing w:val="-2"/>
        </w:rPr>
        <w:t xml:space="preserve"> </w:t>
      </w:r>
      <w:r>
        <w:t>rocks,</w:t>
      </w:r>
      <w:r>
        <w:rPr>
          <w:spacing w:val="-2"/>
        </w:rPr>
        <w:t xml:space="preserve"> </w:t>
      </w:r>
      <w:r>
        <w:t>it</w:t>
      </w:r>
      <w:r>
        <w:rPr>
          <w:spacing w:val="-2"/>
        </w:rPr>
        <w:t xml:space="preserve"> </w:t>
      </w:r>
      <w:r>
        <w:t>turns</w:t>
      </w:r>
      <w:r>
        <w:rPr>
          <w:spacing w:val="-2"/>
        </w:rPr>
        <w:t xml:space="preserve"> </w:t>
      </w:r>
      <w:r>
        <w:t>out</w:t>
      </w:r>
      <w:r>
        <w:rPr>
          <w:spacing w:val="-2"/>
        </w:rPr>
        <w:t xml:space="preserve"> </w:t>
      </w:r>
      <w:r>
        <w:t>I</w:t>
      </w:r>
      <w:r>
        <w:rPr>
          <w:spacing w:val="-2"/>
        </w:rPr>
        <w:t xml:space="preserve"> </w:t>
      </w:r>
      <w:r>
        <w:t>can’t.</w:t>
      </w:r>
      <w:r>
        <w:rPr>
          <w:spacing w:val="-2"/>
        </w:rPr>
        <w:t xml:space="preserve"> </w:t>
      </w:r>
      <w:r>
        <w:t>I’m</w:t>
      </w:r>
      <w:r>
        <w:rPr>
          <w:spacing w:val="-2"/>
        </w:rPr>
        <w:t xml:space="preserve"> </w:t>
      </w:r>
      <w:r>
        <w:t>not</w:t>
      </w:r>
      <w:r>
        <w:rPr>
          <w:spacing w:val="-2"/>
        </w:rPr>
        <w:t xml:space="preserve"> </w:t>
      </w:r>
      <w:r>
        <w:t>strong enough (or my truck doesn’t have enough horse power, or whatever). It still seems that I have an obligation to move the rocks (or to refund the money—but</w:t>
      </w:r>
      <w:r>
        <w:rPr>
          <w:spacing w:val="-3"/>
        </w:rPr>
        <w:t xml:space="preserve"> </w:t>
      </w:r>
      <w:r>
        <w:t>maybe</w:t>
      </w:r>
      <w:r>
        <w:rPr>
          <w:spacing w:val="-3"/>
        </w:rPr>
        <w:t xml:space="preserve"> </w:t>
      </w:r>
      <w:r>
        <w:t>I</w:t>
      </w:r>
      <w:r>
        <w:rPr>
          <w:spacing w:val="-3"/>
        </w:rPr>
        <w:t xml:space="preserve"> </w:t>
      </w:r>
      <w:r>
        <w:t>can</w:t>
      </w:r>
      <w:r>
        <w:rPr>
          <w:spacing w:val="-2"/>
        </w:rPr>
        <w:t xml:space="preserve"> </w:t>
      </w:r>
      <w:r>
        <w:t>no</w:t>
      </w:r>
      <w:r>
        <w:rPr>
          <w:spacing w:val="-2"/>
        </w:rPr>
        <w:t xml:space="preserve"> </w:t>
      </w:r>
      <w:r>
        <w:t>more</w:t>
      </w:r>
      <w:r>
        <w:rPr>
          <w:spacing w:val="-3"/>
        </w:rPr>
        <w:t xml:space="preserve"> </w:t>
      </w:r>
      <w:r>
        <w:t>refund</w:t>
      </w:r>
      <w:r>
        <w:rPr>
          <w:spacing w:val="-2"/>
        </w:rPr>
        <w:t xml:space="preserve"> </w:t>
      </w:r>
      <w:r>
        <w:t>the</w:t>
      </w:r>
      <w:r>
        <w:rPr>
          <w:spacing w:val="-3"/>
        </w:rPr>
        <w:t xml:space="preserve"> </w:t>
      </w:r>
      <w:r>
        <w:t>money</w:t>
      </w:r>
      <w:r>
        <w:rPr>
          <w:spacing w:val="-2"/>
        </w:rPr>
        <w:t xml:space="preserve"> </w:t>
      </w:r>
      <w:r>
        <w:t>than</w:t>
      </w:r>
      <w:r>
        <w:rPr>
          <w:spacing w:val="-2"/>
        </w:rPr>
        <w:t xml:space="preserve"> </w:t>
      </w:r>
      <w:r>
        <w:t>I</w:t>
      </w:r>
      <w:r>
        <w:rPr>
          <w:spacing w:val="-3"/>
        </w:rPr>
        <w:t xml:space="preserve"> </w:t>
      </w:r>
      <w:r>
        <w:t>can</w:t>
      </w:r>
      <w:r>
        <w:rPr>
          <w:spacing w:val="-2"/>
        </w:rPr>
        <w:t xml:space="preserve"> </w:t>
      </w:r>
      <w:r>
        <w:t>move</w:t>
      </w:r>
      <w:r>
        <w:rPr>
          <w:spacing w:val="-3"/>
        </w:rPr>
        <w:t xml:space="preserve"> </w:t>
      </w:r>
      <w:r>
        <w:t>the</w:t>
      </w:r>
      <w:r>
        <w:rPr>
          <w:spacing w:val="-3"/>
        </w:rPr>
        <w:t xml:space="preserve"> </w:t>
      </w:r>
      <w:r>
        <w:t>rocks).</w:t>
      </w:r>
      <w:r>
        <w:rPr>
          <w:spacing w:val="-2"/>
        </w:rPr>
        <w:t xml:space="preserve"> </w:t>
      </w:r>
      <w:r>
        <w:t>In</w:t>
      </w:r>
      <w:r>
        <w:rPr>
          <w:spacing w:val="-2"/>
        </w:rPr>
        <w:t xml:space="preserve"> </w:t>
      </w:r>
      <w:r>
        <w:t>any case, (3) is at least approximately correct.</w:t>
      </w:r>
    </w:p>
    <w:p w14:paraId="7E00237A" w14:textId="77777777" w:rsidR="009A58DB" w:rsidRDefault="00000000">
      <w:pPr>
        <w:pStyle w:val="Heading1"/>
        <w:numPr>
          <w:ilvl w:val="1"/>
          <w:numId w:val="63"/>
        </w:numPr>
        <w:tabs>
          <w:tab w:val="left" w:pos="1466"/>
        </w:tabs>
        <w:spacing w:before="195" w:line="244" w:lineRule="auto"/>
        <w:ind w:left="360" w:right="367" w:firstLine="0"/>
      </w:pPr>
      <w:r>
        <w:t>Genetic questions must be distinguished from normative questions</w:t>
      </w:r>
    </w:p>
    <w:p w14:paraId="7E00237B" w14:textId="77777777" w:rsidR="009A58DB" w:rsidRDefault="00000000">
      <w:pPr>
        <w:pStyle w:val="BodyText"/>
        <w:spacing w:before="132" w:line="249" w:lineRule="auto"/>
        <w:ind w:right="358"/>
        <w:rPr>
          <w:i/>
        </w:rPr>
      </w:pPr>
      <w:r>
        <w:t>Suppose that, as legend has it, Newton came up with the inverse square law (the law that shows how the gravitational attraction between two bodies can be determined on the basis of their masses and the distance between them) as a result of being hit on the head by an apple. The fact that Newton’s hypothesis</w:t>
      </w:r>
      <w:r>
        <w:rPr>
          <w:spacing w:val="-2"/>
        </w:rPr>
        <w:t xml:space="preserve"> </w:t>
      </w:r>
      <w:r>
        <w:t>had</w:t>
      </w:r>
      <w:r>
        <w:rPr>
          <w:spacing w:val="-2"/>
        </w:rPr>
        <w:t xml:space="preserve"> </w:t>
      </w:r>
      <w:r>
        <w:t>such</w:t>
      </w:r>
      <w:r>
        <w:rPr>
          <w:spacing w:val="-2"/>
        </w:rPr>
        <w:t xml:space="preserve"> </w:t>
      </w:r>
      <w:r>
        <w:t>a</w:t>
      </w:r>
      <w:r>
        <w:rPr>
          <w:spacing w:val="-2"/>
        </w:rPr>
        <w:t xml:space="preserve"> </w:t>
      </w:r>
      <w:r>
        <w:t>random</w:t>
      </w:r>
      <w:r>
        <w:rPr>
          <w:spacing w:val="-2"/>
        </w:rPr>
        <w:t xml:space="preserve"> </w:t>
      </w:r>
      <w:r>
        <w:t>and</w:t>
      </w:r>
      <w:r>
        <w:rPr>
          <w:spacing w:val="-2"/>
        </w:rPr>
        <w:t xml:space="preserve"> </w:t>
      </w:r>
      <w:r>
        <w:t>ignominious</w:t>
      </w:r>
      <w:r>
        <w:rPr>
          <w:spacing w:val="-2"/>
        </w:rPr>
        <w:t xml:space="preserve"> </w:t>
      </w:r>
      <w:r>
        <w:t>origin</w:t>
      </w:r>
      <w:r>
        <w:rPr>
          <w:spacing w:val="-2"/>
        </w:rPr>
        <w:t xml:space="preserve"> </w:t>
      </w:r>
      <w:r>
        <w:t>is</w:t>
      </w:r>
      <w:r>
        <w:rPr>
          <w:spacing w:val="-2"/>
        </w:rPr>
        <w:t xml:space="preserve"> </w:t>
      </w:r>
      <w:r>
        <w:t>irrelevant</w:t>
      </w:r>
      <w:r>
        <w:rPr>
          <w:spacing w:val="-2"/>
        </w:rPr>
        <w:t xml:space="preserve"> </w:t>
      </w:r>
      <w:r>
        <w:t>to</w:t>
      </w:r>
      <w:r>
        <w:rPr>
          <w:spacing w:val="-2"/>
        </w:rPr>
        <w:t xml:space="preserve"> </w:t>
      </w:r>
      <w:r>
        <w:t xml:space="preserve">whether it is correct or not. Whether an idea is correct has to do </w:t>
      </w:r>
      <w:r>
        <w:rPr>
          <w:i/>
        </w:rPr>
        <w:t>solely</w:t>
      </w:r>
      <w:r>
        <w:rPr>
          <w:i/>
          <w:spacing w:val="-2"/>
        </w:rPr>
        <w:t xml:space="preserve"> </w:t>
      </w:r>
      <w:r>
        <w:t xml:space="preserve">with whether it corresponds to the facts. </w:t>
      </w:r>
      <w:r>
        <w:rPr>
          <w:i/>
        </w:rPr>
        <w:t xml:space="preserve">How </w:t>
      </w:r>
      <w:r>
        <w:t xml:space="preserve">it came about, and who came up with it, are totally irrelevant. Of course, if somebody comes up with an idea as a result of a logical process of reasoning, that may make it more likely than not to be correct. But an idea’s being generated in a logical manner isn’t what </w:t>
      </w:r>
      <w:r>
        <w:rPr>
          <w:i/>
        </w:rPr>
        <w:t>makes</w:t>
      </w:r>
      <w:r>
        <w:rPr>
          <w:i/>
          <w:spacing w:val="-3"/>
        </w:rPr>
        <w:t xml:space="preserve"> </w:t>
      </w:r>
      <w:r>
        <w:t xml:space="preserve">it correct. What </w:t>
      </w:r>
      <w:r>
        <w:rPr>
          <w:i/>
        </w:rPr>
        <w:t xml:space="preserve">makes </w:t>
      </w:r>
      <w:r>
        <w:t xml:space="preserve">it correct is its fitting the facts. And ideas that are generated in a logical manner can fail to fit the facts, and ideas that are generated in an illogical manner can fit them perfectly well. Oftentimes, of course, people </w:t>
      </w:r>
      <w:r>
        <w:rPr>
          <w:i/>
        </w:rPr>
        <w:t>do</w:t>
      </w:r>
      <w:r>
        <w:rPr>
          <w:i/>
          <w:spacing w:val="-3"/>
        </w:rPr>
        <w:t xml:space="preserve"> </w:t>
      </w:r>
      <w:r>
        <w:t xml:space="preserve">judge beliefs correct or otherwise meritorious on the basis, not of how well they fit the facts, but on the basis of how they originated. In making such a judgment, one commits the </w:t>
      </w:r>
      <w:r>
        <w:rPr>
          <w:i/>
        </w:rPr>
        <w:t>genetic fallacy.</w:t>
      </w:r>
    </w:p>
    <w:p w14:paraId="7E00237C" w14:textId="77777777" w:rsidR="009A58DB" w:rsidRDefault="00000000">
      <w:pPr>
        <w:pStyle w:val="BodyText"/>
        <w:spacing w:before="20" w:line="249" w:lineRule="auto"/>
        <w:ind w:right="366" w:firstLine="360"/>
      </w:pPr>
      <w:r>
        <w:t>How does all this relate to morality? Suppose, for argument’s sake, that our ethical views derive from ancient religious beliefs that are no longer held</w:t>
      </w:r>
    </w:p>
    <w:p w14:paraId="7E00237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7E" w14:textId="77777777" w:rsidR="009A58DB" w:rsidRDefault="00000000">
      <w:pPr>
        <w:pStyle w:val="BodyText"/>
        <w:spacing w:before="60" w:line="249" w:lineRule="auto"/>
        <w:ind w:right="358"/>
      </w:pPr>
      <w:r>
        <w:lastRenderedPageBreak/>
        <w:t xml:space="preserve">by anyone. Suppose anthropologists discovered that our ethical views on torture (e.g., that torturing infants is wrong) were ultimately derived from a belief that was widely held 500,000 years ago to the effect that the Great Volcano god abhorred infant torture. Would that invalidate our belief that torturing infants is wrong? No. It would show that our </w:t>
      </w:r>
      <w:r>
        <w:rPr>
          <w:i/>
        </w:rPr>
        <w:t xml:space="preserve">grounds </w:t>
      </w:r>
      <w:r>
        <w:t>for having</w:t>
      </w:r>
      <w:r>
        <w:rPr>
          <w:spacing w:val="40"/>
        </w:rPr>
        <w:t xml:space="preserve"> </w:t>
      </w:r>
      <w:r>
        <w:t xml:space="preserve">this belief are not good ones. (In any case, it would show this </w:t>
      </w:r>
      <w:r>
        <w:rPr>
          <w:i/>
        </w:rPr>
        <w:t xml:space="preserve">provided </w:t>
      </w:r>
      <w:r>
        <w:t>that our original grounds for having it—viz. our beliefs concerning a certain non-existent Volcano god—hadn’t been replaced with other, more logical reasons for believing it.) But people can have very bad grounds for perfectly correct beliefs, and they can have very good grounds for wrong beliefs. So the question “is belief X true?” must at all costs be separated from the question “what is the origin of belief X?”</w:t>
      </w:r>
    </w:p>
    <w:p w14:paraId="7E00237F" w14:textId="77777777" w:rsidR="009A58DB" w:rsidRDefault="00000000">
      <w:pPr>
        <w:pStyle w:val="BodyText"/>
        <w:spacing w:before="19" w:line="249" w:lineRule="auto"/>
        <w:ind w:right="353" w:firstLine="360"/>
        <w:jc w:val="right"/>
      </w:pPr>
      <w:r>
        <w:t>There is another point of relevance. (This point develops a parenthetical</w:t>
      </w:r>
      <w:r>
        <w:rPr>
          <w:spacing w:val="80"/>
          <w:w w:val="150"/>
        </w:rPr>
        <w:t xml:space="preserve"> </w:t>
      </w:r>
      <w:r>
        <w:t>remark made a moment ago.) Oftentimes one’s original reasons for believing something</w:t>
      </w:r>
      <w:r>
        <w:rPr>
          <w:spacing w:val="40"/>
        </w:rPr>
        <w:t xml:space="preserve"> </w:t>
      </w:r>
      <w:r>
        <w:t>are</w:t>
      </w:r>
      <w:r>
        <w:rPr>
          <w:spacing w:val="40"/>
        </w:rPr>
        <w:t xml:space="preserve"> </w:t>
      </w:r>
      <w:r>
        <w:t>irrational</w:t>
      </w:r>
      <w:r>
        <w:rPr>
          <w:spacing w:val="40"/>
        </w:rPr>
        <w:t xml:space="preserve"> </w:t>
      </w:r>
      <w:r>
        <w:t>or,</w:t>
      </w:r>
      <w:r>
        <w:rPr>
          <w:spacing w:val="40"/>
        </w:rPr>
        <w:t xml:space="preserve"> </w:t>
      </w:r>
      <w:r>
        <w:t>at</w:t>
      </w:r>
      <w:r>
        <w:rPr>
          <w:spacing w:val="40"/>
        </w:rPr>
        <w:t xml:space="preserve"> </w:t>
      </w:r>
      <w:r>
        <w:t>any</w:t>
      </w:r>
      <w:r>
        <w:rPr>
          <w:spacing w:val="40"/>
        </w:rPr>
        <w:t xml:space="preserve"> </w:t>
      </w:r>
      <w:r>
        <w:t>rate,</w:t>
      </w:r>
      <w:r>
        <w:rPr>
          <w:spacing w:val="40"/>
        </w:rPr>
        <w:t xml:space="preserve"> </w:t>
      </w:r>
      <w:r>
        <w:t>less</w:t>
      </w:r>
      <w:r>
        <w:rPr>
          <w:spacing w:val="40"/>
        </w:rPr>
        <w:t xml:space="preserve"> </w:t>
      </w:r>
      <w:r>
        <w:t>than</w:t>
      </w:r>
      <w:r>
        <w:rPr>
          <w:spacing w:val="40"/>
        </w:rPr>
        <w:t xml:space="preserve"> </w:t>
      </w:r>
      <w:r>
        <w:t>cogent.</w:t>
      </w:r>
      <w:r>
        <w:rPr>
          <w:spacing w:val="40"/>
        </w:rPr>
        <w:t xml:space="preserve"> </w:t>
      </w:r>
      <w:r>
        <w:t>There</w:t>
      </w:r>
      <w:r>
        <w:rPr>
          <w:spacing w:val="40"/>
        </w:rPr>
        <w:t xml:space="preserve"> </w:t>
      </w:r>
      <w:r>
        <w:t>are</w:t>
      </w:r>
      <w:r>
        <w:rPr>
          <w:spacing w:val="40"/>
        </w:rPr>
        <w:t xml:space="preserve"> </w:t>
      </w:r>
      <w:r>
        <w:t>many reasons why one might believe that the Earth is round. Suppose that 3-year</w:t>
      </w:r>
      <w:r>
        <w:rPr>
          <w:spacing w:val="80"/>
          <w:w w:val="150"/>
        </w:rPr>
        <w:t xml:space="preserve"> </w:t>
      </w:r>
      <w:r>
        <w:t>old Tim believes it because he likes the Earth and, since he also likes round</w:t>
      </w:r>
      <w:r>
        <w:rPr>
          <w:spacing w:val="40"/>
        </w:rPr>
        <w:t xml:space="preserve"> </w:t>
      </w:r>
      <w:r>
        <w:t>objects, he infers that the Earth must be round. That would be a bad reason</w:t>
      </w:r>
      <w:r>
        <w:rPr>
          <w:spacing w:val="80"/>
          <w:w w:val="150"/>
        </w:rPr>
        <w:t xml:space="preserve"> </w:t>
      </w:r>
      <w:r>
        <w:t>for believing that the Earth is round. But the belief itself is still correct. And, in due course, Tim may replace his initial, bad reason for having that belief</w:t>
      </w:r>
      <w:r>
        <w:rPr>
          <w:spacing w:val="80"/>
        </w:rPr>
        <w:t xml:space="preserve"> </w:t>
      </w:r>
      <w:r>
        <w:t>with</w:t>
      </w:r>
      <w:r>
        <w:rPr>
          <w:spacing w:val="31"/>
        </w:rPr>
        <w:t xml:space="preserve"> </w:t>
      </w:r>
      <w:r>
        <w:t>a</w:t>
      </w:r>
      <w:r>
        <w:rPr>
          <w:spacing w:val="31"/>
        </w:rPr>
        <w:t xml:space="preserve"> </w:t>
      </w:r>
      <w:r>
        <w:t>good</w:t>
      </w:r>
      <w:r>
        <w:rPr>
          <w:spacing w:val="31"/>
        </w:rPr>
        <w:t xml:space="preserve"> </w:t>
      </w:r>
      <w:r>
        <w:t>reason.</w:t>
      </w:r>
      <w:r>
        <w:rPr>
          <w:spacing w:val="31"/>
        </w:rPr>
        <w:t xml:space="preserve"> </w:t>
      </w:r>
      <w:r>
        <w:t>So,</w:t>
      </w:r>
      <w:r>
        <w:rPr>
          <w:spacing w:val="31"/>
        </w:rPr>
        <w:t xml:space="preserve"> </w:t>
      </w:r>
      <w:r>
        <w:t>on</w:t>
      </w:r>
      <w:r>
        <w:rPr>
          <w:spacing w:val="31"/>
        </w:rPr>
        <w:t xml:space="preserve"> </w:t>
      </w:r>
      <w:r>
        <w:t>the</w:t>
      </w:r>
      <w:r>
        <w:rPr>
          <w:spacing w:val="31"/>
        </w:rPr>
        <w:t xml:space="preserve"> </w:t>
      </w:r>
      <w:r>
        <w:t>basis</w:t>
      </w:r>
      <w:r>
        <w:rPr>
          <w:spacing w:val="31"/>
        </w:rPr>
        <w:t xml:space="preserve"> </w:t>
      </w:r>
      <w:r>
        <w:t>of</w:t>
      </w:r>
      <w:r>
        <w:rPr>
          <w:spacing w:val="31"/>
        </w:rPr>
        <w:t xml:space="preserve"> </w:t>
      </w:r>
      <w:r>
        <w:t>reliable</w:t>
      </w:r>
      <w:r>
        <w:rPr>
          <w:spacing w:val="31"/>
        </w:rPr>
        <w:t xml:space="preserve"> </w:t>
      </w:r>
      <w:r>
        <w:t>reportage</w:t>
      </w:r>
      <w:r>
        <w:rPr>
          <w:spacing w:val="31"/>
        </w:rPr>
        <w:t xml:space="preserve"> </w:t>
      </w:r>
      <w:r>
        <w:t>and</w:t>
      </w:r>
      <w:r>
        <w:rPr>
          <w:spacing w:val="31"/>
        </w:rPr>
        <w:t xml:space="preserve"> </w:t>
      </w:r>
      <w:r>
        <w:t xml:space="preserve">astronomical calculations, Tim comes to have a </w:t>
      </w:r>
      <w:r>
        <w:rPr>
          <w:i/>
        </w:rPr>
        <w:t xml:space="preserve">rational </w:t>
      </w:r>
      <w:r>
        <w:t xml:space="preserve">basis for having his correct—but previously illegitimately arrived at—belief concerning the shape of the Earth. This happens a great deal in morality. Many of our moral beliefs are simply </w:t>
      </w:r>
      <w:r>
        <w:rPr>
          <w:i/>
        </w:rPr>
        <w:t>forced</w:t>
      </w:r>
      <w:r>
        <w:rPr>
          <w:i/>
          <w:spacing w:val="-19"/>
        </w:rPr>
        <w:t xml:space="preserve"> </w:t>
      </w:r>
      <w:r>
        <w:t xml:space="preserve">on us, in the process of our being acculturated. One is punished if one steals, and not punished, and maybe even rewarded, if one doesn’t. The only </w:t>
      </w:r>
      <w:r>
        <w:rPr>
          <w:spacing w:val="-2"/>
        </w:rPr>
        <w:t>beliefs</w:t>
      </w:r>
      <w:r>
        <w:rPr>
          <w:spacing w:val="-14"/>
        </w:rPr>
        <w:t xml:space="preserve"> </w:t>
      </w:r>
      <w:r>
        <w:rPr>
          <w:spacing w:val="-2"/>
        </w:rPr>
        <w:t>that</w:t>
      </w:r>
      <w:r>
        <w:rPr>
          <w:spacing w:val="-14"/>
        </w:rPr>
        <w:t xml:space="preserve"> </w:t>
      </w:r>
      <w:r>
        <w:rPr>
          <w:spacing w:val="-2"/>
        </w:rPr>
        <w:t>have</w:t>
      </w:r>
      <w:r>
        <w:rPr>
          <w:spacing w:val="-14"/>
        </w:rPr>
        <w:t xml:space="preserve"> </w:t>
      </w:r>
      <w:r>
        <w:rPr>
          <w:spacing w:val="-2"/>
        </w:rPr>
        <w:t>legitimate</w:t>
      </w:r>
      <w:r>
        <w:rPr>
          <w:spacing w:val="-14"/>
        </w:rPr>
        <w:t xml:space="preserve"> </w:t>
      </w:r>
      <w:r>
        <w:rPr>
          <w:spacing w:val="-2"/>
        </w:rPr>
        <w:t>foundations</w:t>
      </w:r>
      <w:r>
        <w:rPr>
          <w:spacing w:val="-14"/>
        </w:rPr>
        <w:t xml:space="preserve"> </w:t>
      </w:r>
      <w:r>
        <w:rPr>
          <w:spacing w:val="-2"/>
        </w:rPr>
        <w:t>are</w:t>
      </w:r>
      <w:r>
        <w:rPr>
          <w:spacing w:val="-14"/>
        </w:rPr>
        <w:t xml:space="preserve"> </w:t>
      </w:r>
      <w:r>
        <w:rPr>
          <w:spacing w:val="-2"/>
        </w:rPr>
        <w:t>those</w:t>
      </w:r>
      <w:r>
        <w:rPr>
          <w:spacing w:val="-14"/>
        </w:rPr>
        <w:t xml:space="preserve"> </w:t>
      </w:r>
      <w:r>
        <w:rPr>
          <w:spacing w:val="-2"/>
        </w:rPr>
        <w:t>that</w:t>
      </w:r>
      <w:r>
        <w:rPr>
          <w:spacing w:val="-14"/>
        </w:rPr>
        <w:t xml:space="preserve"> </w:t>
      </w:r>
      <w:r>
        <w:rPr>
          <w:spacing w:val="-2"/>
        </w:rPr>
        <w:t>are</w:t>
      </w:r>
      <w:r>
        <w:rPr>
          <w:spacing w:val="-14"/>
        </w:rPr>
        <w:t xml:space="preserve"> </w:t>
      </w:r>
      <w:r>
        <w:rPr>
          <w:spacing w:val="-2"/>
        </w:rPr>
        <w:t>based</w:t>
      </w:r>
      <w:r>
        <w:rPr>
          <w:spacing w:val="-14"/>
        </w:rPr>
        <w:t xml:space="preserve"> </w:t>
      </w:r>
      <w:r>
        <w:rPr>
          <w:spacing w:val="-2"/>
        </w:rPr>
        <w:t>on</w:t>
      </w:r>
      <w:r>
        <w:rPr>
          <w:spacing w:val="-14"/>
        </w:rPr>
        <w:t xml:space="preserve"> </w:t>
      </w:r>
      <w:r>
        <w:rPr>
          <w:spacing w:val="-2"/>
        </w:rPr>
        <w:t>evidence</w:t>
      </w:r>
      <w:r>
        <w:rPr>
          <w:spacing w:val="-14"/>
        </w:rPr>
        <w:t xml:space="preserve"> </w:t>
      </w:r>
      <w:r>
        <w:rPr>
          <w:spacing w:val="-2"/>
        </w:rPr>
        <w:t>and reason;</w:t>
      </w:r>
      <w:r>
        <w:rPr>
          <w:spacing w:val="-17"/>
        </w:rPr>
        <w:t xml:space="preserve"> </w:t>
      </w:r>
      <w:r>
        <w:rPr>
          <w:spacing w:val="-2"/>
        </w:rPr>
        <w:t>and</w:t>
      </w:r>
      <w:r>
        <w:rPr>
          <w:spacing w:val="-17"/>
        </w:rPr>
        <w:t xml:space="preserve"> </w:t>
      </w:r>
      <w:r>
        <w:rPr>
          <w:spacing w:val="-2"/>
        </w:rPr>
        <w:t>no</w:t>
      </w:r>
      <w:r>
        <w:rPr>
          <w:spacing w:val="-17"/>
        </w:rPr>
        <w:t xml:space="preserve"> </w:t>
      </w:r>
      <w:r>
        <w:rPr>
          <w:spacing w:val="-2"/>
        </w:rPr>
        <w:t>belief</w:t>
      </w:r>
      <w:r>
        <w:rPr>
          <w:spacing w:val="-16"/>
        </w:rPr>
        <w:t xml:space="preserve"> </w:t>
      </w:r>
      <w:r>
        <w:rPr>
          <w:spacing w:val="-2"/>
        </w:rPr>
        <w:t>that</w:t>
      </w:r>
      <w:r>
        <w:rPr>
          <w:spacing w:val="-17"/>
        </w:rPr>
        <w:t xml:space="preserve"> </w:t>
      </w:r>
      <w:r>
        <w:rPr>
          <w:spacing w:val="-2"/>
        </w:rPr>
        <w:t>one</w:t>
      </w:r>
      <w:r>
        <w:rPr>
          <w:spacing w:val="-17"/>
        </w:rPr>
        <w:t xml:space="preserve"> </w:t>
      </w:r>
      <w:r>
        <w:rPr>
          <w:spacing w:val="-2"/>
        </w:rPr>
        <w:t>is</w:t>
      </w:r>
      <w:r>
        <w:rPr>
          <w:spacing w:val="-17"/>
        </w:rPr>
        <w:t xml:space="preserve"> </w:t>
      </w:r>
      <w:r>
        <w:rPr>
          <w:spacing w:val="-2"/>
        </w:rPr>
        <w:t>forced</w:t>
      </w:r>
      <w:r>
        <w:rPr>
          <w:spacing w:val="-16"/>
        </w:rPr>
        <w:t xml:space="preserve"> </w:t>
      </w:r>
      <w:r>
        <w:rPr>
          <w:spacing w:val="-2"/>
        </w:rPr>
        <w:t>to</w:t>
      </w:r>
      <w:r>
        <w:rPr>
          <w:spacing w:val="-17"/>
        </w:rPr>
        <w:t xml:space="preserve"> </w:t>
      </w:r>
      <w:r>
        <w:rPr>
          <w:spacing w:val="-2"/>
        </w:rPr>
        <w:t>have,</w:t>
      </w:r>
      <w:r>
        <w:rPr>
          <w:spacing w:val="-17"/>
        </w:rPr>
        <w:t xml:space="preserve"> </w:t>
      </w:r>
      <w:r>
        <w:rPr>
          <w:spacing w:val="-2"/>
        </w:rPr>
        <w:t>or</w:t>
      </w:r>
      <w:r>
        <w:rPr>
          <w:spacing w:val="-17"/>
        </w:rPr>
        <w:t xml:space="preserve"> </w:t>
      </w:r>
      <w:r>
        <w:rPr>
          <w:spacing w:val="-2"/>
        </w:rPr>
        <w:t>that</w:t>
      </w:r>
      <w:r>
        <w:rPr>
          <w:spacing w:val="-16"/>
        </w:rPr>
        <w:t xml:space="preserve"> </w:t>
      </w:r>
      <w:r>
        <w:rPr>
          <w:spacing w:val="-2"/>
        </w:rPr>
        <w:t>one</w:t>
      </w:r>
      <w:r>
        <w:rPr>
          <w:spacing w:val="-17"/>
        </w:rPr>
        <w:t xml:space="preserve"> </w:t>
      </w:r>
      <w:r>
        <w:rPr>
          <w:spacing w:val="-2"/>
        </w:rPr>
        <w:t>is</w:t>
      </w:r>
      <w:r>
        <w:rPr>
          <w:spacing w:val="-17"/>
        </w:rPr>
        <w:t xml:space="preserve"> </w:t>
      </w:r>
      <w:r>
        <w:rPr>
          <w:spacing w:val="-2"/>
        </w:rPr>
        <w:t>conditioned</w:t>
      </w:r>
      <w:r>
        <w:rPr>
          <w:spacing w:val="-17"/>
        </w:rPr>
        <w:t xml:space="preserve"> </w:t>
      </w:r>
      <w:r>
        <w:rPr>
          <w:spacing w:val="-2"/>
        </w:rPr>
        <w:t>to</w:t>
      </w:r>
      <w:r>
        <w:rPr>
          <w:spacing w:val="-16"/>
        </w:rPr>
        <w:t xml:space="preserve"> </w:t>
      </w:r>
      <w:r>
        <w:rPr>
          <w:spacing w:val="-2"/>
        </w:rPr>
        <w:t xml:space="preserve">have </w:t>
      </w:r>
      <w:r>
        <w:t xml:space="preserve">through a system of punishments and rewards, has such a basis. Nonetheless, </w:t>
      </w:r>
      <w:r>
        <w:rPr>
          <w:spacing w:val="-2"/>
        </w:rPr>
        <w:t>those</w:t>
      </w:r>
      <w:r>
        <w:rPr>
          <w:spacing w:val="-13"/>
        </w:rPr>
        <w:t xml:space="preserve"> </w:t>
      </w:r>
      <w:r>
        <w:rPr>
          <w:spacing w:val="-2"/>
        </w:rPr>
        <w:t>beliefs</w:t>
      </w:r>
      <w:r>
        <w:rPr>
          <w:spacing w:val="-13"/>
        </w:rPr>
        <w:t xml:space="preserve"> </w:t>
      </w:r>
      <w:r>
        <w:rPr>
          <w:spacing w:val="-2"/>
        </w:rPr>
        <w:t>of</w:t>
      </w:r>
      <w:r>
        <w:rPr>
          <w:spacing w:val="-13"/>
        </w:rPr>
        <w:t xml:space="preserve"> </w:t>
      </w:r>
      <w:r>
        <w:rPr>
          <w:spacing w:val="-2"/>
        </w:rPr>
        <w:t>ours</w:t>
      </w:r>
      <w:r>
        <w:rPr>
          <w:spacing w:val="-13"/>
        </w:rPr>
        <w:t xml:space="preserve"> </w:t>
      </w:r>
      <w:r>
        <w:rPr>
          <w:spacing w:val="-2"/>
        </w:rPr>
        <w:t>that</w:t>
      </w:r>
      <w:r>
        <w:rPr>
          <w:spacing w:val="-13"/>
        </w:rPr>
        <w:t xml:space="preserve"> </w:t>
      </w:r>
      <w:r>
        <w:rPr>
          <w:spacing w:val="-2"/>
        </w:rPr>
        <w:t>result</w:t>
      </w:r>
      <w:r>
        <w:rPr>
          <w:spacing w:val="-13"/>
        </w:rPr>
        <w:t xml:space="preserve"> </w:t>
      </w:r>
      <w:r>
        <w:rPr>
          <w:spacing w:val="-2"/>
        </w:rPr>
        <w:t>from</w:t>
      </w:r>
      <w:r>
        <w:rPr>
          <w:spacing w:val="-13"/>
        </w:rPr>
        <w:t xml:space="preserve"> </w:t>
      </w:r>
      <w:r>
        <w:rPr>
          <w:spacing w:val="-2"/>
        </w:rPr>
        <w:t>cultural</w:t>
      </w:r>
      <w:r>
        <w:rPr>
          <w:spacing w:val="-13"/>
        </w:rPr>
        <w:t xml:space="preserve"> </w:t>
      </w:r>
      <w:r>
        <w:rPr>
          <w:spacing w:val="-2"/>
        </w:rPr>
        <w:t>conditioning</w:t>
      </w:r>
      <w:r>
        <w:rPr>
          <w:spacing w:val="-13"/>
        </w:rPr>
        <w:t xml:space="preserve"> </w:t>
      </w:r>
      <w:r>
        <w:rPr>
          <w:spacing w:val="-2"/>
        </w:rPr>
        <w:t>sometimes</w:t>
      </w:r>
      <w:r>
        <w:rPr>
          <w:spacing w:val="-13"/>
        </w:rPr>
        <w:t xml:space="preserve"> </w:t>
      </w:r>
      <w:r>
        <w:rPr>
          <w:spacing w:val="-2"/>
        </w:rPr>
        <w:t>turn</w:t>
      </w:r>
      <w:r>
        <w:rPr>
          <w:spacing w:val="-13"/>
        </w:rPr>
        <w:t xml:space="preserve"> </w:t>
      </w:r>
      <w:r>
        <w:rPr>
          <w:spacing w:val="-2"/>
        </w:rPr>
        <w:t>out</w:t>
      </w:r>
      <w:r>
        <w:rPr>
          <w:spacing w:val="-13"/>
        </w:rPr>
        <w:t xml:space="preserve"> </w:t>
      </w:r>
      <w:r>
        <w:rPr>
          <w:spacing w:val="-2"/>
        </w:rPr>
        <w:t xml:space="preserve">to </w:t>
      </w:r>
      <w:r>
        <w:rPr>
          <w:spacing w:val="-6"/>
        </w:rPr>
        <w:t>be</w:t>
      </w:r>
      <w:r>
        <w:rPr>
          <w:spacing w:val="-7"/>
        </w:rPr>
        <w:t xml:space="preserve"> </w:t>
      </w:r>
      <w:r>
        <w:rPr>
          <w:spacing w:val="-6"/>
        </w:rPr>
        <w:t xml:space="preserve">justifiable and even correct. So </w:t>
      </w:r>
      <w:r>
        <w:rPr>
          <w:i/>
          <w:spacing w:val="-6"/>
        </w:rPr>
        <w:t>given only</w:t>
      </w:r>
      <w:r>
        <w:rPr>
          <w:i/>
          <w:spacing w:val="-7"/>
        </w:rPr>
        <w:t xml:space="preserve"> </w:t>
      </w:r>
      <w:r>
        <w:rPr>
          <w:spacing w:val="-6"/>
        </w:rPr>
        <w:t>that one is coerced or conditioned or</w:t>
      </w:r>
    </w:p>
    <w:p w14:paraId="7E002380" w14:textId="77777777" w:rsidR="009A58DB" w:rsidRDefault="00000000">
      <w:pPr>
        <w:pStyle w:val="BodyText"/>
        <w:spacing w:before="24"/>
        <w:jc w:val="left"/>
      </w:pPr>
      <w:r>
        <w:rPr>
          <w:spacing w:val="-4"/>
        </w:rPr>
        <w:t>even</w:t>
      </w:r>
    </w:p>
    <w:p w14:paraId="7E002381" w14:textId="77777777" w:rsidR="009A58DB" w:rsidRDefault="00000000">
      <w:pPr>
        <w:pStyle w:val="BodyText"/>
        <w:spacing w:before="15" w:line="249" w:lineRule="auto"/>
        <w:ind w:right="358"/>
      </w:pPr>
      <w:r>
        <w:t xml:space="preserve">brainwashed into having a certain moral position, it doesn’t follow that that position is false. (Nor does it follow that it’s correct.) And this is because, as we said earlier, </w:t>
      </w:r>
      <w:r>
        <w:rPr>
          <w:i/>
        </w:rPr>
        <w:t xml:space="preserve">how </w:t>
      </w:r>
      <w:r>
        <w:t>a belief is arrived at is separate from whether it’s true.</w:t>
      </w:r>
    </w:p>
    <w:p w14:paraId="7E002382" w14:textId="77777777" w:rsidR="009A58DB" w:rsidRDefault="00000000">
      <w:pPr>
        <w:pStyle w:val="BodyText"/>
        <w:spacing w:before="3"/>
        <w:ind w:left="720"/>
      </w:pPr>
      <w:r>
        <w:t>That</w:t>
      </w:r>
      <w:r>
        <w:rPr>
          <w:spacing w:val="-1"/>
        </w:rPr>
        <w:t xml:space="preserve"> </w:t>
      </w:r>
      <w:r>
        <w:t>said,</w:t>
      </w:r>
      <w:r>
        <w:rPr>
          <w:spacing w:val="1"/>
        </w:rPr>
        <w:t xml:space="preserve"> </w:t>
      </w:r>
      <w:r>
        <w:t>views</w:t>
      </w:r>
      <w:r>
        <w:rPr>
          <w:spacing w:val="1"/>
        </w:rPr>
        <w:t xml:space="preserve"> </w:t>
      </w:r>
      <w:r>
        <w:t xml:space="preserve">that are </w:t>
      </w:r>
      <w:r>
        <w:rPr>
          <w:i/>
        </w:rPr>
        <w:t>in</w:t>
      </w:r>
      <w:r>
        <w:rPr>
          <w:i/>
          <w:spacing w:val="-2"/>
        </w:rPr>
        <w:t xml:space="preserve"> </w:t>
      </w:r>
      <w:r>
        <w:rPr>
          <w:i/>
        </w:rPr>
        <w:t>fact</w:t>
      </w:r>
      <w:r>
        <w:rPr>
          <w:i/>
          <w:spacing w:val="-4"/>
        </w:rPr>
        <w:t xml:space="preserve"> </w:t>
      </w:r>
      <w:r>
        <w:t>arrived</w:t>
      </w:r>
      <w:r>
        <w:rPr>
          <w:spacing w:val="4"/>
        </w:rPr>
        <w:t xml:space="preserve"> </w:t>
      </w:r>
      <w:r>
        <w:t>at</w:t>
      </w:r>
      <w:r>
        <w:rPr>
          <w:spacing w:val="4"/>
        </w:rPr>
        <w:t xml:space="preserve"> </w:t>
      </w:r>
      <w:r>
        <w:t>for</w:t>
      </w:r>
      <w:r>
        <w:rPr>
          <w:spacing w:val="4"/>
        </w:rPr>
        <w:t xml:space="preserve"> </w:t>
      </w:r>
      <w:r>
        <w:t>reasons</w:t>
      </w:r>
      <w:r>
        <w:rPr>
          <w:spacing w:val="3"/>
        </w:rPr>
        <w:t xml:space="preserve"> </w:t>
      </w:r>
      <w:r>
        <w:t>having</w:t>
      </w:r>
      <w:r>
        <w:rPr>
          <w:spacing w:val="4"/>
        </w:rPr>
        <w:t xml:space="preserve"> </w:t>
      </w:r>
      <w:r>
        <w:t>nothing</w:t>
      </w:r>
      <w:r>
        <w:rPr>
          <w:spacing w:val="4"/>
        </w:rPr>
        <w:t xml:space="preserve"> </w:t>
      </w:r>
      <w:r>
        <w:t>to</w:t>
      </w:r>
      <w:r>
        <w:rPr>
          <w:spacing w:val="4"/>
        </w:rPr>
        <w:t xml:space="preserve"> </w:t>
      </w:r>
      <w:r>
        <w:rPr>
          <w:spacing w:val="-5"/>
        </w:rPr>
        <w:t>do</w:t>
      </w:r>
    </w:p>
    <w:p w14:paraId="7E002383" w14:textId="77777777" w:rsidR="009A58DB" w:rsidRDefault="009A58DB">
      <w:pPr>
        <w:pStyle w:val="BodyText"/>
        <w:sectPr w:rsidR="009A58DB">
          <w:pgSz w:w="12240" w:h="15840"/>
          <w:pgMar w:top="1380" w:right="1080" w:bottom="280" w:left="1080" w:header="720" w:footer="720" w:gutter="0"/>
          <w:cols w:space="720"/>
        </w:sectPr>
      </w:pPr>
    </w:p>
    <w:p w14:paraId="7E002384" w14:textId="77777777" w:rsidR="009A58DB" w:rsidRDefault="00000000">
      <w:pPr>
        <w:pStyle w:val="BodyText"/>
        <w:spacing w:before="65" w:line="249" w:lineRule="auto"/>
        <w:ind w:right="360"/>
      </w:pPr>
      <w:r>
        <w:lastRenderedPageBreak/>
        <w:t xml:space="preserve">with God, religion, or tradition are often </w:t>
      </w:r>
      <w:r>
        <w:rPr>
          <w:i/>
        </w:rPr>
        <w:t xml:space="preserve">claimed </w:t>
      </w:r>
      <w:r>
        <w:t xml:space="preserve">to have divine origins. Whenever somebody says that God told them that He wants such and such, we have no way of authenticating such a claim, and no reason to believe it, </w:t>
      </w:r>
      <w:r>
        <w:rPr>
          <w:i/>
        </w:rPr>
        <w:t xml:space="preserve">independently </w:t>
      </w:r>
      <w:r>
        <w:t>of our preexisting views as to the merits of such and such. So given a case where it is generally believed that God told so and so that x is good</w:t>
      </w:r>
      <w:r>
        <w:rPr>
          <w:spacing w:val="-2"/>
        </w:rPr>
        <w:t xml:space="preserve"> </w:t>
      </w:r>
      <w:r>
        <w:t>(or</w:t>
      </w:r>
      <w:r>
        <w:rPr>
          <w:spacing w:val="-1"/>
        </w:rPr>
        <w:t xml:space="preserve"> </w:t>
      </w:r>
      <w:r>
        <w:t>bad),</w:t>
      </w:r>
      <w:r>
        <w:rPr>
          <w:spacing w:val="-2"/>
        </w:rPr>
        <w:t xml:space="preserve"> </w:t>
      </w:r>
      <w:r>
        <w:t>it’s</w:t>
      </w:r>
      <w:r>
        <w:rPr>
          <w:spacing w:val="-1"/>
        </w:rPr>
        <w:t xml:space="preserve"> </w:t>
      </w:r>
      <w:r>
        <w:t>only</w:t>
      </w:r>
      <w:r>
        <w:rPr>
          <w:spacing w:val="-2"/>
        </w:rPr>
        <w:t xml:space="preserve"> </w:t>
      </w:r>
      <w:r>
        <w:t>because</w:t>
      </w:r>
      <w:r>
        <w:rPr>
          <w:spacing w:val="-1"/>
        </w:rPr>
        <w:t xml:space="preserve"> </w:t>
      </w:r>
      <w:r>
        <w:t>people</w:t>
      </w:r>
      <w:r>
        <w:rPr>
          <w:spacing w:val="-1"/>
        </w:rPr>
        <w:t xml:space="preserve"> </w:t>
      </w:r>
      <w:r>
        <w:t>already</w:t>
      </w:r>
      <w:r>
        <w:rPr>
          <w:spacing w:val="-2"/>
        </w:rPr>
        <w:t xml:space="preserve"> </w:t>
      </w:r>
      <w:r>
        <w:t>had</w:t>
      </w:r>
      <w:r>
        <w:rPr>
          <w:spacing w:val="-1"/>
        </w:rPr>
        <w:t xml:space="preserve"> </w:t>
      </w:r>
      <w:r>
        <w:t>views</w:t>
      </w:r>
      <w:r>
        <w:rPr>
          <w:spacing w:val="-2"/>
        </w:rPr>
        <w:t xml:space="preserve"> </w:t>
      </w:r>
      <w:r>
        <w:t>as</w:t>
      </w:r>
      <w:r>
        <w:rPr>
          <w:spacing w:val="-1"/>
        </w:rPr>
        <w:t xml:space="preserve"> </w:t>
      </w:r>
      <w:r>
        <w:t>to</w:t>
      </w:r>
      <w:r>
        <w:rPr>
          <w:spacing w:val="-2"/>
        </w:rPr>
        <w:t xml:space="preserve"> </w:t>
      </w:r>
      <w:r>
        <w:t>x’s</w:t>
      </w:r>
      <w:r>
        <w:rPr>
          <w:spacing w:val="-1"/>
        </w:rPr>
        <w:t xml:space="preserve"> </w:t>
      </w:r>
      <w:r>
        <w:t>merits</w:t>
      </w:r>
      <w:r>
        <w:rPr>
          <w:spacing w:val="-1"/>
        </w:rPr>
        <w:t xml:space="preserve"> </w:t>
      </w:r>
      <w:r>
        <w:t xml:space="preserve">that they’re willing to believe that God actually said that to so and so. (If you tell people that God told you to destroy hospitals, nobody will believe you, the reason being that people already believe that destroying hospitals is evil and, therefore, that God wouldn’t say otherwise. If you tell people that God told you to be kind to others, a few people might actually believe you, the reason being that people already believe that being kind to others is good and, therefore, that God might actually say as much.) And those views will in many cases, though not all, be of a logical kind. But, if you convince people that God told you that x must be done, you’ll get a lot more takers than you will if you tell people that your Herculean intellect told it to you. For this reason many supposed instances of the genetic fallacy aren’t instances of it at </w:t>
      </w:r>
      <w:r>
        <w:rPr>
          <w:spacing w:val="-4"/>
        </w:rPr>
        <w:t>all.</w:t>
      </w:r>
    </w:p>
    <w:p w14:paraId="7E002385" w14:textId="77777777" w:rsidR="009A58DB" w:rsidRDefault="00000000">
      <w:pPr>
        <w:pStyle w:val="Heading1"/>
        <w:numPr>
          <w:ilvl w:val="1"/>
          <w:numId w:val="63"/>
        </w:numPr>
        <w:tabs>
          <w:tab w:val="left" w:pos="1080"/>
          <w:tab w:val="left" w:pos="1957"/>
        </w:tabs>
        <w:spacing w:before="210" w:line="244" w:lineRule="auto"/>
        <w:ind w:left="1080" w:right="367" w:hanging="720"/>
        <w:jc w:val="both"/>
        <w:rPr>
          <w:i/>
        </w:rPr>
      </w:pPr>
      <w:r>
        <w:t xml:space="preserve">Questions concerning the </w:t>
      </w:r>
      <w:r>
        <w:rPr>
          <w:i/>
        </w:rPr>
        <w:t xml:space="preserve">use </w:t>
      </w:r>
      <w:r>
        <w:t xml:space="preserve">to which supposed moral truths are put must be separated from questions concerning morality </w:t>
      </w:r>
      <w:r>
        <w:rPr>
          <w:i/>
        </w:rPr>
        <w:t>per se</w:t>
      </w:r>
    </w:p>
    <w:p w14:paraId="7E002386" w14:textId="77777777" w:rsidR="009A58DB" w:rsidRDefault="00000000">
      <w:pPr>
        <w:pStyle w:val="BodyText"/>
        <w:spacing w:before="136" w:line="249" w:lineRule="auto"/>
        <w:ind w:right="358"/>
      </w:pPr>
      <w:r>
        <w:t>There is no denying that many moral statements are pure propaganda—that they are cynical manipulations the purpose of which is, not to promote the interests</w:t>
      </w:r>
      <w:r>
        <w:rPr>
          <w:spacing w:val="-3"/>
        </w:rPr>
        <w:t xml:space="preserve"> </w:t>
      </w:r>
      <w:r>
        <w:t>of</w:t>
      </w:r>
      <w:r>
        <w:rPr>
          <w:spacing w:val="-3"/>
        </w:rPr>
        <w:t xml:space="preserve"> </w:t>
      </w:r>
      <w:r>
        <w:t>justice,</w:t>
      </w:r>
      <w:r>
        <w:rPr>
          <w:spacing w:val="-3"/>
        </w:rPr>
        <w:t xml:space="preserve"> </w:t>
      </w:r>
      <w:r>
        <w:t>but</w:t>
      </w:r>
      <w:r>
        <w:rPr>
          <w:spacing w:val="-3"/>
        </w:rPr>
        <w:t xml:space="preserve"> </w:t>
      </w:r>
      <w:r>
        <w:t>to</w:t>
      </w:r>
      <w:r>
        <w:rPr>
          <w:spacing w:val="-3"/>
        </w:rPr>
        <w:t xml:space="preserve"> </w:t>
      </w:r>
      <w:r>
        <w:t>advance</w:t>
      </w:r>
      <w:r>
        <w:rPr>
          <w:spacing w:val="-3"/>
        </w:rPr>
        <w:t xml:space="preserve"> </w:t>
      </w:r>
      <w:r>
        <w:t>the</w:t>
      </w:r>
      <w:r>
        <w:rPr>
          <w:spacing w:val="-3"/>
        </w:rPr>
        <w:t xml:space="preserve"> </w:t>
      </w:r>
      <w:r>
        <w:t>private</w:t>
      </w:r>
      <w:r>
        <w:rPr>
          <w:spacing w:val="-3"/>
        </w:rPr>
        <w:t xml:space="preserve"> </w:t>
      </w:r>
      <w:r>
        <w:t>agenda</w:t>
      </w:r>
      <w:r>
        <w:rPr>
          <w:spacing w:val="-3"/>
        </w:rPr>
        <w:t xml:space="preserve"> </w:t>
      </w:r>
      <w:r>
        <w:t>of</w:t>
      </w:r>
      <w:r>
        <w:rPr>
          <w:spacing w:val="-3"/>
        </w:rPr>
        <w:t xml:space="preserve"> </w:t>
      </w:r>
      <w:r>
        <w:t>some</w:t>
      </w:r>
      <w:r>
        <w:rPr>
          <w:spacing w:val="-3"/>
        </w:rPr>
        <w:t xml:space="preserve"> </w:t>
      </w:r>
      <w:r>
        <w:t>nefarious</w:t>
      </w:r>
      <w:r>
        <w:rPr>
          <w:spacing w:val="-3"/>
        </w:rPr>
        <w:t xml:space="preserve"> </w:t>
      </w:r>
      <w:r>
        <w:t xml:space="preserve">party. Sometimes </w:t>
      </w:r>
      <w:r>
        <w:rPr>
          <w:i/>
        </w:rPr>
        <w:t xml:space="preserve">correct </w:t>
      </w:r>
      <w:r>
        <w:t>moral statements can be put to evil use. There have been many occasions when, in order to give credibility to some evil program, a politician invoked a legitimate ethical principle. For example, Stalin, in his efforts</w:t>
      </w:r>
      <w:r>
        <w:rPr>
          <w:spacing w:val="-2"/>
        </w:rPr>
        <w:t xml:space="preserve"> </w:t>
      </w:r>
      <w:r>
        <w:t>to</w:t>
      </w:r>
      <w:r>
        <w:rPr>
          <w:spacing w:val="-2"/>
        </w:rPr>
        <w:t xml:space="preserve"> </w:t>
      </w:r>
      <w:r>
        <w:t>become</w:t>
      </w:r>
      <w:r>
        <w:rPr>
          <w:spacing w:val="-2"/>
        </w:rPr>
        <w:t xml:space="preserve"> </w:t>
      </w:r>
      <w:r>
        <w:t>the</w:t>
      </w:r>
      <w:r>
        <w:rPr>
          <w:spacing w:val="-2"/>
        </w:rPr>
        <w:t xml:space="preserve"> </w:t>
      </w:r>
      <w:r>
        <w:t>Supreme</w:t>
      </w:r>
      <w:r>
        <w:rPr>
          <w:spacing w:val="-2"/>
        </w:rPr>
        <w:t xml:space="preserve"> </w:t>
      </w:r>
      <w:r>
        <w:t>Leader</w:t>
      </w:r>
      <w:r>
        <w:rPr>
          <w:spacing w:val="-2"/>
        </w:rPr>
        <w:t xml:space="preserve"> </w:t>
      </w:r>
      <w:r>
        <w:t>of</w:t>
      </w:r>
      <w:r>
        <w:rPr>
          <w:spacing w:val="-2"/>
        </w:rPr>
        <w:t xml:space="preserve"> </w:t>
      </w:r>
      <w:r>
        <w:t>the</w:t>
      </w:r>
      <w:r>
        <w:rPr>
          <w:spacing w:val="-2"/>
        </w:rPr>
        <w:t xml:space="preserve"> </w:t>
      </w:r>
      <w:r>
        <w:t>Soviet</w:t>
      </w:r>
      <w:r>
        <w:rPr>
          <w:spacing w:val="-2"/>
        </w:rPr>
        <w:t xml:space="preserve"> </w:t>
      </w:r>
      <w:r>
        <w:t>Union,</w:t>
      </w:r>
      <w:r>
        <w:rPr>
          <w:spacing w:val="-2"/>
        </w:rPr>
        <w:t xml:space="preserve"> </w:t>
      </w:r>
      <w:r>
        <w:t>often</w:t>
      </w:r>
      <w:r>
        <w:rPr>
          <w:spacing w:val="-2"/>
        </w:rPr>
        <w:t xml:space="preserve"> </w:t>
      </w:r>
      <w:r>
        <w:t>talked</w:t>
      </w:r>
      <w:r>
        <w:rPr>
          <w:spacing w:val="-2"/>
        </w:rPr>
        <w:t xml:space="preserve"> </w:t>
      </w:r>
      <w:r>
        <w:t xml:space="preserve">about how important it was to have mercy for one’s political rivals. Of course, being merciful </w:t>
      </w:r>
      <w:r>
        <w:rPr>
          <w:i/>
        </w:rPr>
        <w:t xml:space="preserve">is </w:t>
      </w:r>
      <w:r>
        <w:t xml:space="preserve">a good thing, but it doesn’t follow that Stalin was doing a good thing </w:t>
      </w:r>
      <w:r>
        <w:rPr>
          <w:i/>
        </w:rPr>
        <w:t xml:space="preserve">in citing that principle. </w:t>
      </w:r>
      <w:r>
        <w:t>For his citing it was deceptive, even though</w:t>
      </w:r>
      <w:r>
        <w:rPr>
          <w:spacing w:val="29"/>
        </w:rPr>
        <w:t xml:space="preserve"> </w:t>
      </w:r>
      <w:r>
        <w:t>the</w:t>
      </w:r>
      <w:r>
        <w:rPr>
          <w:spacing w:val="29"/>
        </w:rPr>
        <w:t xml:space="preserve"> </w:t>
      </w:r>
      <w:r>
        <w:t>vehicle</w:t>
      </w:r>
      <w:r>
        <w:rPr>
          <w:spacing w:val="29"/>
        </w:rPr>
        <w:t xml:space="preserve"> </w:t>
      </w:r>
      <w:r>
        <w:t>for</w:t>
      </w:r>
      <w:r>
        <w:rPr>
          <w:spacing w:val="29"/>
        </w:rPr>
        <w:t xml:space="preserve"> </w:t>
      </w:r>
      <w:r>
        <w:t>the</w:t>
      </w:r>
      <w:r>
        <w:rPr>
          <w:spacing w:val="29"/>
        </w:rPr>
        <w:t xml:space="preserve"> </w:t>
      </w:r>
      <w:r>
        <w:t>deception</w:t>
      </w:r>
      <w:r>
        <w:rPr>
          <w:spacing w:val="29"/>
        </w:rPr>
        <w:t xml:space="preserve"> </w:t>
      </w:r>
      <w:r>
        <w:t>was</w:t>
      </w:r>
      <w:r>
        <w:rPr>
          <w:spacing w:val="29"/>
        </w:rPr>
        <w:t xml:space="preserve"> </w:t>
      </w:r>
      <w:r>
        <w:t>a</w:t>
      </w:r>
      <w:r>
        <w:rPr>
          <w:spacing w:val="29"/>
        </w:rPr>
        <w:t xml:space="preserve"> </w:t>
      </w:r>
      <w:r>
        <w:t>correct</w:t>
      </w:r>
      <w:r>
        <w:rPr>
          <w:spacing w:val="29"/>
        </w:rPr>
        <w:t xml:space="preserve"> </w:t>
      </w:r>
      <w:r>
        <w:t>(or,</w:t>
      </w:r>
      <w:r>
        <w:rPr>
          <w:spacing w:val="29"/>
        </w:rPr>
        <w:t xml:space="preserve"> </w:t>
      </w:r>
      <w:r>
        <w:t>at</w:t>
      </w:r>
      <w:r>
        <w:rPr>
          <w:spacing w:val="29"/>
        </w:rPr>
        <w:t xml:space="preserve"> </w:t>
      </w:r>
      <w:r>
        <w:t>least,</w:t>
      </w:r>
      <w:r>
        <w:rPr>
          <w:spacing w:val="29"/>
        </w:rPr>
        <w:t xml:space="preserve"> </w:t>
      </w:r>
      <w:r>
        <w:t>a</w:t>
      </w:r>
      <w:r>
        <w:rPr>
          <w:spacing w:val="29"/>
        </w:rPr>
        <w:t xml:space="preserve"> </w:t>
      </w:r>
      <w:r>
        <w:t>plausible)</w:t>
      </w:r>
    </w:p>
    <w:p w14:paraId="7E00238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88" w14:textId="77777777" w:rsidR="009A58DB" w:rsidRDefault="00000000">
      <w:pPr>
        <w:pStyle w:val="BodyText"/>
        <w:spacing w:before="60"/>
        <w:jc w:val="left"/>
      </w:pPr>
      <w:r>
        <w:rPr>
          <w:spacing w:val="-4"/>
        </w:rPr>
        <w:lastRenderedPageBreak/>
        <w:t>one.</w:t>
      </w:r>
    </w:p>
    <w:p w14:paraId="7E002389" w14:textId="77777777" w:rsidR="009A58DB" w:rsidRDefault="00000000">
      <w:pPr>
        <w:pStyle w:val="BodyText"/>
        <w:spacing w:before="20" w:line="249" w:lineRule="auto"/>
        <w:ind w:right="361" w:firstLine="360"/>
      </w:pPr>
      <w:r>
        <w:t xml:space="preserve">At the same time, much of what is represented as moral truth is moral falsehood. What people say is right may be wrong, and what they say is wrong may be right. But it doesn’t follow that there’s no moral truth. Given only that what is </w:t>
      </w:r>
      <w:r>
        <w:rPr>
          <w:i/>
        </w:rPr>
        <w:t xml:space="preserve">alleged </w:t>
      </w:r>
      <w:r>
        <w:t>to be moral truth (e.g., by self-interested actors)</w:t>
      </w:r>
      <w:r>
        <w:rPr>
          <w:spacing w:val="40"/>
        </w:rPr>
        <w:t xml:space="preserve"> </w:t>
      </w:r>
      <w:r>
        <w:t>isn’t moral truth, it doesn’t follow that there is no moral truth—just as, given that alleged physical laws aren’t always actual physical laws, it doesn’t</w:t>
      </w:r>
      <w:r>
        <w:rPr>
          <w:spacing w:val="40"/>
        </w:rPr>
        <w:t xml:space="preserve"> </w:t>
      </w:r>
      <w:r>
        <w:t>follow that there are no physical laws.</w:t>
      </w:r>
    </w:p>
    <w:p w14:paraId="7E00238A" w14:textId="77777777" w:rsidR="009A58DB" w:rsidRDefault="00000000">
      <w:pPr>
        <w:pStyle w:val="Heading1"/>
        <w:numPr>
          <w:ilvl w:val="1"/>
          <w:numId w:val="63"/>
        </w:numPr>
        <w:tabs>
          <w:tab w:val="left" w:pos="1080"/>
          <w:tab w:val="left" w:pos="1962"/>
        </w:tabs>
        <w:spacing w:before="196" w:line="244" w:lineRule="auto"/>
        <w:ind w:left="1080" w:right="358" w:hanging="720"/>
        <w:jc w:val="both"/>
      </w:pPr>
      <w:r>
        <w:t>Questions concerning morality must be separated from questions concerning the implementation of moral principles</w:t>
      </w:r>
    </w:p>
    <w:p w14:paraId="7E00238B" w14:textId="77777777" w:rsidR="009A58DB" w:rsidRDefault="00000000">
      <w:pPr>
        <w:pStyle w:val="BodyText"/>
        <w:spacing w:before="134" w:line="249" w:lineRule="auto"/>
        <w:ind w:right="358"/>
      </w:pPr>
      <w:r>
        <w:t>It is often argued that morality has no objective basis, the reason being that, supposedly, it’s a human creation. Why is it thought to be a human creation? Because, we are told, morality came into existence a few thousand years ago. At some point, hominids started regulating their conduct in accordance with moral principles. And it is inferred from this that it was at that point that morality was created. Basically, the argument is that, since there was a time when people started being moral, it follows that morality is a human creation and therefore has no objective basis.</w:t>
      </w:r>
    </w:p>
    <w:p w14:paraId="7E00238C" w14:textId="77777777" w:rsidR="009A58DB" w:rsidRDefault="00000000">
      <w:pPr>
        <w:pStyle w:val="BodyText"/>
        <w:spacing w:before="10" w:line="249" w:lineRule="auto"/>
        <w:ind w:right="358" w:firstLine="360"/>
      </w:pPr>
      <w:r>
        <w:t>This argument involves two fallacies. There was a time when people first became aware of the fact that the Earth is round; but the Earth was round</w:t>
      </w:r>
      <w:r>
        <w:rPr>
          <w:spacing w:val="40"/>
        </w:rPr>
        <w:t xml:space="preserve"> </w:t>
      </w:r>
      <w:r>
        <w:t xml:space="preserve">long before then. Similarly, given only that, at some time, people became </w:t>
      </w:r>
      <w:r>
        <w:rPr>
          <w:i/>
        </w:rPr>
        <w:t xml:space="preserve">aware </w:t>
      </w:r>
      <w:r>
        <w:t xml:space="preserve">of moral truths, it doesn’t follow that moral truths were </w:t>
      </w:r>
      <w:r>
        <w:rPr>
          <w:i/>
        </w:rPr>
        <w:t xml:space="preserve">invented </w:t>
      </w:r>
      <w:r>
        <w:t>at</w:t>
      </w:r>
      <w:r>
        <w:rPr>
          <w:spacing w:val="40"/>
        </w:rPr>
        <w:t xml:space="preserve"> </w:t>
      </w:r>
      <w:r>
        <w:t>that point.</w:t>
      </w:r>
    </w:p>
    <w:p w14:paraId="7E00238D" w14:textId="77777777" w:rsidR="009A58DB" w:rsidRDefault="00000000">
      <w:pPr>
        <w:pStyle w:val="BodyText"/>
        <w:spacing w:before="6" w:line="249" w:lineRule="auto"/>
        <w:ind w:right="362" w:firstLine="360"/>
      </w:pPr>
      <w:r>
        <w:t>The other mistake this argument makes is to confuse moral laws with their social implementation. Moral principles are not social rules. Laws in the moral sense are not like laws in the legal sense. There can be no laws in the legal sense in the absence of social institutions. But even in a context where there</w:t>
      </w:r>
      <w:r>
        <w:rPr>
          <w:spacing w:val="-3"/>
        </w:rPr>
        <w:t xml:space="preserve"> </w:t>
      </w:r>
      <w:r>
        <w:t>is</w:t>
      </w:r>
      <w:r>
        <w:rPr>
          <w:spacing w:val="-3"/>
        </w:rPr>
        <w:t xml:space="preserve"> </w:t>
      </w:r>
      <w:r>
        <w:t>no</w:t>
      </w:r>
      <w:r>
        <w:rPr>
          <w:spacing w:val="-2"/>
        </w:rPr>
        <w:t xml:space="preserve"> </w:t>
      </w:r>
      <w:r>
        <w:t>society,</w:t>
      </w:r>
      <w:r>
        <w:rPr>
          <w:spacing w:val="-2"/>
        </w:rPr>
        <w:t xml:space="preserve"> </w:t>
      </w:r>
      <w:r>
        <w:t>it</w:t>
      </w:r>
      <w:r>
        <w:rPr>
          <w:spacing w:val="-3"/>
        </w:rPr>
        <w:t xml:space="preserve"> </w:t>
      </w:r>
      <w:r>
        <w:t>is</w:t>
      </w:r>
      <w:r>
        <w:rPr>
          <w:spacing w:val="-3"/>
        </w:rPr>
        <w:t xml:space="preserve"> </w:t>
      </w:r>
      <w:r>
        <w:t>still</w:t>
      </w:r>
      <w:r>
        <w:rPr>
          <w:spacing w:val="-3"/>
        </w:rPr>
        <w:t xml:space="preserve"> </w:t>
      </w:r>
      <w:r>
        <w:t>wrong</w:t>
      </w:r>
      <w:r>
        <w:rPr>
          <w:spacing w:val="-2"/>
        </w:rPr>
        <w:t xml:space="preserve"> </w:t>
      </w:r>
      <w:r>
        <w:t>to</w:t>
      </w:r>
      <w:r>
        <w:rPr>
          <w:spacing w:val="-2"/>
        </w:rPr>
        <w:t xml:space="preserve"> </w:t>
      </w:r>
      <w:r>
        <w:t>gouge</w:t>
      </w:r>
      <w:r>
        <w:rPr>
          <w:spacing w:val="-3"/>
        </w:rPr>
        <w:t xml:space="preserve"> </w:t>
      </w:r>
      <w:r>
        <w:t>somebody’s</w:t>
      </w:r>
      <w:r>
        <w:rPr>
          <w:spacing w:val="-3"/>
        </w:rPr>
        <w:t xml:space="preserve"> </w:t>
      </w:r>
      <w:r>
        <w:t>eyes</w:t>
      </w:r>
      <w:r>
        <w:rPr>
          <w:spacing w:val="-3"/>
        </w:rPr>
        <w:t xml:space="preserve"> </w:t>
      </w:r>
      <w:r>
        <w:t>out</w:t>
      </w:r>
      <w:r>
        <w:rPr>
          <w:spacing w:val="-3"/>
        </w:rPr>
        <w:t xml:space="preserve"> </w:t>
      </w:r>
      <w:r>
        <w:t>for</w:t>
      </w:r>
      <w:r>
        <w:rPr>
          <w:spacing w:val="-3"/>
        </w:rPr>
        <w:t xml:space="preserve"> </w:t>
      </w:r>
      <w:r>
        <w:t>fun.</w:t>
      </w:r>
      <w:r>
        <w:rPr>
          <w:spacing w:val="-2"/>
        </w:rPr>
        <w:t xml:space="preserve"> </w:t>
      </w:r>
      <w:r>
        <w:t xml:space="preserve">The social institutions that </w:t>
      </w:r>
      <w:r>
        <w:rPr>
          <w:i/>
        </w:rPr>
        <w:t xml:space="preserve">implement </w:t>
      </w:r>
      <w:r>
        <w:t xml:space="preserve">moral principles—that </w:t>
      </w:r>
      <w:r>
        <w:rPr>
          <w:i/>
        </w:rPr>
        <w:t xml:space="preserve">enforce </w:t>
      </w:r>
      <w:r>
        <w:t>them—obviously came into existence at some point in time and also obviously depend for their existence on human artifice. But it doesn’t follow that moral principles</w:t>
      </w:r>
      <w:r>
        <w:rPr>
          <w:spacing w:val="40"/>
        </w:rPr>
        <w:t xml:space="preserve"> </w:t>
      </w:r>
      <w:r>
        <w:t>themselves</w:t>
      </w:r>
      <w:r>
        <w:rPr>
          <w:spacing w:val="40"/>
        </w:rPr>
        <w:t xml:space="preserve"> </w:t>
      </w:r>
      <w:r>
        <w:t>came</w:t>
      </w:r>
      <w:r>
        <w:rPr>
          <w:spacing w:val="40"/>
        </w:rPr>
        <w:t xml:space="preserve"> </w:t>
      </w:r>
      <w:r>
        <w:t>into</w:t>
      </w:r>
      <w:r>
        <w:rPr>
          <w:spacing w:val="40"/>
        </w:rPr>
        <w:t xml:space="preserve"> </w:t>
      </w:r>
      <w:r>
        <w:t>existence</w:t>
      </w:r>
      <w:r>
        <w:rPr>
          <w:spacing w:val="40"/>
        </w:rPr>
        <w:t xml:space="preserve"> </w:t>
      </w:r>
      <w:r>
        <w:t>at</w:t>
      </w:r>
      <w:r>
        <w:rPr>
          <w:spacing w:val="40"/>
        </w:rPr>
        <w:t xml:space="preserve"> </w:t>
      </w:r>
      <w:r>
        <w:t>that</w:t>
      </w:r>
      <w:r>
        <w:rPr>
          <w:spacing w:val="40"/>
        </w:rPr>
        <w:t xml:space="preserve"> </w:t>
      </w:r>
      <w:r>
        <w:t>point.</w:t>
      </w:r>
      <w:r>
        <w:rPr>
          <w:spacing w:val="40"/>
        </w:rPr>
        <w:t xml:space="preserve"> </w:t>
      </w:r>
      <w:r>
        <w:t>It</w:t>
      </w:r>
      <w:r>
        <w:rPr>
          <w:spacing w:val="40"/>
        </w:rPr>
        <w:t xml:space="preserve"> </w:t>
      </w:r>
      <w:r>
        <w:t>wasn’t</w:t>
      </w:r>
      <w:r>
        <w:rPr>
          <w:spacing w:val="40"/>
        </w:rPr>
        <w:t xml:space="preserve"> </w:t>
      </w:r>
      <w:r>
        <w:t>until</w:t>
      </w:r>
      <w:r>
        <w:rPr>
          <w:spacing w:val="40"/>
        </w:rPr>
        <w:t xml:space="preserve"> </w:t>
      </w:r>
      <w:r>
        <w:t>the</w:t>
      </w:r>
    </w:p>
    <w:p w14:paraId="7E00238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8F" w14:textId="77777777" w:rsidR="009A58DB" w:rsidRDefault="00000000">
      <w:pPr>
        <w:pStyle w:val="BodyText"/>
        <w:spacing w:before="60" w:line="249" w:lineRule="auto"/>
        <w:ind w:right="358"/>
      </w:pPr>
      <w:r>
        <w:lastRenderedPageBreak/>
        <w:t xml:space="preserve">1800s that machines (calculators) were built that </w:t>
      </w:r>
      <w:r>
        <w:rPr>
          <w:i/>
        </w:rPr>
        <w:t xml:space="preserve">implemented </w:t>
      </w:r>
      <w:r>
        <w:t>the laws of arithmetic; but those laws existed long before those machines ever did. So even though those machines are the products of human artifice, it doesn’t follow that the same is true of the principles they implement.</w:t>
      </w:r>
    </w:p>
    <w:p w14:paraId="7E002390" w14:textId="77777777" w:rsidR="009A58DB" w:rsidRDefault="00000000">
      <w:pPr>
        <w:pStyle w:val="Heading1"/>
        <w:numPr>
          <w:ilvl w:val="0"/>
          <w:numId w:val="63"/>
        </w:numPr>
        <w:tabs>
          <w:tab w:val="left" w:pos="1409"/>
        </w:tabs>
        <w:spacing w:before="198"/>
        <w:ind w:left="1409" w:hanging="1049"/>
      </w:pPr>
      <w:r>
        <w:t>Some</w:t>
      </w:r>
      <w:r>
        <w:rPr>
          <w:spacing w:val="-6"/>
        </w:rPr>
        <w:t xml:space="preserve"> </w:t>
      </w:r>
      <w:r>
        <w:t>bad</w:t>
      </w:r>
      <w:r>
        <w:rPr>
          <w:spacing w:val="-4"/>
        </w:rPr>
        <w:t xml:space="preserve"> </w:t>
      </w:r>
      <w:r>
        <w:t>reasons</w:t>
      </w:r>
      <w:r>
        <w:rPr>
          <w:spacing w:val="-4"/>
        </w:rPr>
        <w:t xml:space="preserve"> </w:t>
      </w:r>
      <w:r>
        <w:t>to</w:t>
      </w:r>
      <w:r>
        <w:rPr>
          <w:spacing w:val="-3"/>
        </w:rPr>
        <w:t xml:space="preserve"> </w:t>
      </w:r>
      <w:r>
        <w:t>reject</w:t>
      </w:r>
      <w:r>
        <w:rPr>
          <w:spacing w:val="-4"/>
        </w:rPr>
        <w:t xml:space="preserve"> </w:t>
      </w:r>
      <w:r>
        <w:t>ethical</w:t>
      </w:r>
      <w:r>
        <w:rPr>
          <w:spacing w:val="-4"/>
        </w:rPr>
        <w:t xml:space="preserve"> </w:t>
      </w:r>
      <w:r>
        <w:rPr>
          <w:spacing w:val="-2"/>
        </w:rPr>
        <w:t>realism</w:t>
      </w:r>
    </w:p>
    <w:p w14:paraId="7E002391" w14:textId="77777777" w:rsidR="009A58DB" w:rsidRDefault="00000000">
      <w:pPr>
        <w:pStyle w:val="BodyText"/>
        <w:spacing w:before="139" w:line="249" w:lineRule="auto"/>
        <w:ind w:right="366"/>
      </w:pPr>
      <w:r>
        <w:t>There appears to be less agreement in ethics than in other disciplines. From this it is concluded that ethical statements merely express “opinions” that have no objective basis and, consequently, either don’t mean anything or are categorically false.</w:t>
      </w:r>
    </w:p>
    <w:p w14:paraId="7E002392" w14:textId="77777777" w:rsidR="009A58DB" w:rsidRDefault="00000000">
      <w:pPr>
        <w:pStyle w:val="BodyText"/>
        <w:spacing w:before="5" w:line="249" w:lineRule="auto"/>
        <w:ind w:right="358" w:firstLine="360"/>
      </w:pPr>
      <w:r>
        <w:t>But</w:t>
      </w:r>
      <w:r>
        <w:rPr>
          <w:spacing w:val="-2"/>
        </w:rPr>
        <w:t xml:space="preserve"> </w:t>
      </w:r>
      <w:r>
        <w:t>there</w:t>
      </w:r>
      <w:r>
        <w:rPr>
          <w:spacing w:val="-1"/>
        </w:rPr>
        <w:t xml:space="preserve"> </w:t>
      </w:r>
      <w:r>
        <w:t>are</w:t>
      </w:r>
      <w:r>
        <w:rPr>
          <w:spacing w:val="-1"/>
        </w:rPr>
        <w:t xml:space="preserve"> </w:t>
      </w:r>
      <w:r>
        <w:t>at</w:t>
      </w:r>
      <w:r>
        <w:rPr>
          <w:spacing w:val="-2"/>
        </w:rPr>
        <w:t xml:space="preserve"> </w:t>
      </w:r>
      <w:r>
        <w:t>least</w:t>
      </w:r>
      <w:r>
        <w:rPr>
          <w:spacing w:val="-2"/>
        </w:rPr>
        <w:t xml:space="preserve"> </w:t>
      </w:r>
      <w:r>
        <w:t>four</w:t>
      </w:r>
      <w:r>
        <w:rPr>
          <w:spacing w:val="-1"/>
        </w:rPr>
        <w:t xml:space="preserve"> </w:t>
      </w:r>
      <w:r>
        <w:t>reasons</w:t>
      </w:r>
      <w:r>
        <w:rPr>
          <w:spacing w:val="-1"/>
        </w:rPr>
        <w:t xml:space="preserve"> </w:t>
      </w:r>
      <w:r>
        <w:t>why</w:t>
      </w:r>
      <w:r>
        <w:rPr>
          <w:spacing w:val="-1"/>
        </w:rPr>
        <w:t xml:space="preserve"> </w:t>
      </w:r>
      <w:r>
        <w:t>this</w:t>
      </w:r>
      <w:r>
        <w:rPr>
          <w:spacing w:val="-1"/>
        </w:rPr>
        <w:t xml:space="preserve"> </w:t>
      </w:r>
      <w:r>
        <w:t>is</w:t>
      </w:r>
      <w:r>
        <w:rPr>
          <w:spacing w:val="-1"/>
        </w:rPr>
        <w:t xml:space="preserve"> </w:t>
      </w:r>
      <w:r>
        <w:t>not</w:t>
      </w:r>
      <w:r>
        <w:rPr>
          <w:spacing w:val="-2"/>
        </w:rPr>
        <w:t xml:space="preserve"> </w:t>
      </w:r>
      <w:r>
        <w:t>good</w:t>
      </w:r>
      <w:r>
        <w:rPr>
          <w:spacing w:val="-1"/>
        </w:rPr>
        <w:t xml:space="preserve"> </w:t>
      </w:r>
      <w:r>
        <w:t>reasoning.</w:t>
      </w:r>
      <w:r>
        <w:rPr>
          <w:spacing w:val="-1"/>
        </w:rPr>
        <w:t xml:space="preserve"> </w:t>
      </w:r>
      <w:r>
        <w:t>(i)</w:t>
      </w:r>
      <w:r>
        <w:rPr>
          <w:spacing w:val="-1"/>
        </w:rPr>
        <w:t xml:space="preserve"> </w:t>
      </w:r>
      <w:r>
        <w:t xml:space="preserve">There is a great deal of disagreement where strictly factual issues are concerned. (ii) Even though there will be </w:t>
      </w:r>
      <w:r>
        <w:rPr>
          <w:i/>
        </w:rPr>
        <w:t xml:space="preserve">more </w:t>
      </w:r>
      <w:r>
        <w:t xml:space="preserve">disagreement in ethics than in other disciplines, that doesn’t show that ethical statements always lack an objective basis; for at least certain kinds of disagreement actually </w:t>
      </w:r>
      <w:r>
        <w:rPr>
          <w:i/>
        </w:rPr>
        <w:t xml:space="preserve">presuppose </w:t>
      </w:r>
      <w:r>
        <w:t xml:space="preserve">the existence of objective fact, and there is some evidence that ethical disagreement falls into this category. (iii) There </w:t>
      </w:r>
      <w:r>
        <w:rPr>
          <w:i/>
        </w:rPr>
        <w:t xml:space="preserve">is </w:t>
      </w:r>
      <w:r>
        <w:t>a great deal of agreement where ethical issues are concerned, the belief to the contrary being based largely on misleading appearances. (iv) Much of the disagreement within ethics concerns matters of fact, as opposed to matters of value.</w:t>
      </w:r>
    </w:p>
    <w:p w14:paraId="7E002393" w14:textId="77777777" w:rsidR="009A58DB" w:rsidRDefault="00000000">
      <w:pPr>
        <w:pStyle w:val="BodyText"/>
        <w:spacing w:before="12"/>
        <w:ind w:left="720"/>
      </w:pPr>
      <w:r>
        <w:t>Let</w:t>
      </w:r>
      <w:r>
        <w:rPr>
          <w:spacing w:val="-4"/>
        </w:rPr>
        <w:t xml:space="preserve"> </w:t>
      </w:r>
      <w:r>
        <w:t>us</w:t>
      </w:r>
      <w:r>
        <w:rPr>
          <w:spacing w:val="-3"/>
        </w:rPr>
        <w:t xml:space="preserve"> </w:t>
      </w:r>
      <w:r>
        <w:t>discuss</w:t>
      </w:r>
      <w:r>
        <w:rPr>
          <w:spacing w:val="-4"/>
        </w:rPr>
        <w:t xml:space="preserve"> </w:t>
      </w:r>
      <w:r>
        <w:t>each</w:t>
      </w:r>
      <w:r>
        <w:rPr>
          <w:spacing w:val="-2"/>
        </w:rPr>
        <w:t xml:space="preserve"> </w:t>
      </w:r>
      <w:r>
        <w:t>of</w:t>
      </w:r>
      <w:r>
        <w:rPr>
          <w:spacing w:val="-3"/>
        </w:rPr>
        <w:t xml:space="preserve"> </w:t>
      </w:r>
      <w:r>
        <w:t>(i)–</w:t>
      </w:r>
      <w:r>
        <w:rPr>
          <w:spacing w:val="-4"/>
        </w:rPr>
        <w:t>(iv).</w:t>
      </w:r>
    </w:p>
    <w:p w14:paraId="7E002394" w14:textId="77777777" w:rsidR="009A58DB" w:rsidRDefault="00000000">
      <w:pPr>
        <w:pStyle w:val="Heading1"/>
        <w:numPr>
          <w:ilvl w:val="1"/>
          <w:numId w:val="63"/>
        </w:numPr>
        <w:tabs>
          <w:tab w:val="left" w:pos="1409"/>
        </w:tabs>
        <w:spacing w:before="218"/>
        <w:ind w:left="1409" w:hanging="1049"/>
      </w:pPr>
      <w:r>
        <w:t>Discussion</w:t>
      </w:r>
      <w:r>
        <w:rPr>
          <w:spacing w:val="-5"/>
        </w:rPr>
        <w:t xml:space="preserve"> </w:t>
      </w:r>
      <w:r>
        <w:t>of</w:t>
      </w:r>
      <w:r>
        <w:rPr>
          <w:spacing w:val="-5"/>
        </w:rPr>
        <w:t xml:space="preserve"> (i)</w:t>
      </w:r>
    </w:p>
    <w:p w14:paraId="7E002395" w14:textId="77777777" w:rsidR="009A58DB" w:rsidRDefault="00000000">
      <w:pPr>
        <w:pStyle w:val="BodyText"/>
        <w:spacing w:before="139"/>
      </w:pPr>
      <w:r>
        <w:t>Consider</w:t>
      </w:r>
      <w:r>
        <w:rPr>
          <w:spacing w:val="-4"/>
        </w:rPr>
        <w:t xml:space="preserve"> </w:t>
      </w:r>
      <w:r>
        <w:t>the</w:t>
      </w:r>
      <w:r>
        <w:rPr>
          <w:spacing w:val="-3"/>
        </w:rPr>
        <w:t xml:space="preserve"> </w:t>
      </w:r>
      <w:r>
        <w:rPr>
          <w:spacing w:val="-2"/>
        </w:rPr>
        <w:t>statement:</w:t>
      </w:r>
    </w:p>
    <w:p w14:paraId="7E002396" w14:textId="77777777" w:rsidR="009A58DB" w:rsidRDefault="009A58DB">
      <w:pPr>
        <w:pStyle w:val="BodyText"/>
        <w:spacing w:before="30"/>
        <w:ind w:left="0"/>
        <w:jc w:val="left"/>
      </w:pPr>
    </w:p>
    <w:p w14:paraId="7E002397" w14:textId="77777777" w:rsidR="009A58DB" w:rsidRDefault="00000000">
      <w:pPr>
        <w:pStyle w:val="BodyText"/>
        <w:spacing w:line="249" w:lineRule="auto"/>
        <w:ind w:right="365"/>
      </w:pPr>
      <w:r>
        <w:t>(KV) If Kennedy hadn’t been assassinated, the United States would have pulled out of Vietnam before 1970.</w:t>
      </w:r>
    </w:p>
    <w:p w14:paraId="7E002398" w14:textId="77777777" w:rsidR="009A58DB" w:rsidRDefault="009A58DB">
      <w:pPr>
        <w:pStyle w:val="BodyText"/>
        <w:spacing w:before="17"/>
        <w:ind w:left="0"/>
        <w:jc w:val="left"/>
      </w:pPr>
    </w:p>
    <w:p w14:paraId="7E002399" w14:textId="77777777" w:rsidR="009A58DB" w:rsidRDefault="00000000">
      <w:pPr>
        <w:pStyle w:val="BodyText"/>
        <w:spacing w:line="249" w:lineRule="auto"/>
        <w:ind w:right="358" w:firstLine="360"/>
      </w:pPr>
      <w:r>
        <w:t>KV is not a valuative statement—it doesn’t express a value-judgment. It affirms the existence of a causal relation. It is to the effect that, for reasons of natural</w:t>
      </w:r>
      <w:r>
        <w:rPr>
          <w:spacing w:val="-1"/>
        </w:rPr>
        <w:t xml:space="preserve"> </w:t>
      </w:r>
      <w:r>
        <w:t>law,</w:t>
      </w:r>
      <w:r>
        <w:rPr>
          <w:spacing w:val="-1"/>
        </w:rPr>
        <w:t xml:space="preserve"> </w:t>
      </w:r>
      <w:r>
        <w:t>one</w:t>
      </w:r>
      <w:r>
        <w:rPr>
          <w:spacing w:val="-1"/>
        </w:rPr>
        <w:t xml:space="preserve"> </w:t>
      </w:r>
      <w:r>
        <w:t>state</w:t>
      </w:r>
      <w:r>
        <w:rPr>
          <w:spacing w:val="-1"/>
        </w:rPr>
        <w:t xml:space="preserve"> </w:t>
      </w:r>
      <w:r>
        <w:t>of</w:t>
      </w:r>
      <w:r>
        <w:rPr>
          <w:spacing w:val="-1"/>
        </w:rPr>
        <w:t xml:space="preserve"> </w:t>
      </w:r>
      <w:r>
        <w:t>affairs</w:t>
      </w:r>
      <w:r>
        <w:rPr>
          <w:spacing w:val="-1"/>
        </w:rPr>
        <w:t xml:space="preserve"> </w:t>
      </w:r>
      <w:r>
        <w:t>(Kennedy’s</w:t>
      </w:r>
      <w:r>
        <w:rPr>
          <w:spacing w:val="-1"/>
        </w:rPr>
        <w:t xml:space="preserve"> </w:t>
      </w:r>
      <w:r>
        <w:t>continuing</w:t>
      </w:r>
      <w:r>
        <w:rPr>
          <w:spacing w:val="-1"/>
        </w:rPr>
        <w:t xml:space="preserve"> </w:t>
      </w:r>
      <w:r>
        <w:t>to</w:t>
      </w:r>
      <w:r>
        <w:rPr>
          <w:spacing w:val="-1"/>
        </w:rPr>
        <w:t xml:space="preserve"> </w:t>
      </w:r>
      <w:r>
        <w:t>be</w:t>
      </w:r>
      <w:r>
        <w:rPr>
          <w:spacing w:val="-1"/>
        </w:rPr>
        <w:t xml:space="preserve"> </w:t>
      </w:r>
      <w:r>
        <w:t>President)</w:t>
      </w:r>
      <w:r>
        <w:rPr>
          <w:spacing w:val="-1"/>
        </w:rPr>
        <w:t xml:space="preserve"> </w:t>
      </w:r>
      <w:r>
        <w:t>would bring about another (the United States’ pulling out of Vietnam before 1970).</w:t>
      </w:r>
    </w:p>
    <w:p w14:paraId="7E00239A" w14:textId="77777777" w:rsidR="009A58DB" w:rsidRDefault="00000000">
      <w:pPr>
        <w:pStyle w:val="BodyText"/>
        <w:spacing w:before="5" w:line="249" w:lineRule="auto"/>
        <w:ind w:right="361" w:firstLine="360"/>
      </w:pPr>
      <w:r>
        <w:t>It is exceedingly difficult to know whether KV is an accurate statement or not, and I doubt that there is anything approaching unanimity concerning it. But surely it isn’t just a “matter of opinion.”</w:t>
      </w:r>
    </w:p>
    <w:p w14:paraId="7E00239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9C" w14:textId="77777777" w:rsidR="009A58DB" w:rsidRDefault="00000000">
      <w:pPr>
        <w:pStyle w:val="BodyText"/>
        <w:spacing w:before="65" w:line="249" w:lineRule="auto"/>
        <w:ind w:right="363" w:firstLine="360"/>
      </w:pPr>
      <w:r>
        <w:lastRenderedPageBreak/>
        <w:t xml:space="preserve">Further, whether KV is true or not can be </w:t>
      </w:r>
      <w:r>
        <w:rPr>
          <w:i/>
        </w:rPr>
        <w:t xml:space="preserve">rationally debated. </w:t>
      </w:r>
      <w:r>
        <w:t xml:space="preserve">This point is crucial. One mark of a statement that is either true or false is that it makes sense to cite </w:t>
      </w:r>
      <w:r>
        <w:rPr>
          <w:i/>
        </w:rPr>
        <w:t xml:space="preserve">reasons </w:t>
      </w:r>
      <w:r>
        <w:t>for or against it. If I say:</w:t>
      </w:r>
    </w:p>
    <w:p w14:paraId="7E00239D" w14:textId="77777777" w:rsidR="009A58DB" w:rsidRDefault="009A58DB">
      <w:pPr>
        <w:pStyle w:val="BodyText"/>
        <w:spacing w:before="18"/>
        <w:ind w:left="0"/>
        <w:jc w:val="left"/>
      </w:pPr>
    </w:p>
    <w:p w14:paraId="7E00239E" w14:textId="77777777" w:rsidR="009A58DB" w:rsidRDefault="00000000">
      <w:pPr>
        <w:pStyle w:val="BodyText"/>
      </w:pPr>
      <w:r>
        <w:t>(CB)</w:t>
      </w:r>
      <w:r>
        <w:rPr>
          <w:spacing w:val="-7"/>
        </w:rPr>
        <w:t xml:space="preserve"> </w:t>
      </w:r>
      <w:r>
        <w:t>“chocolate</w:t>
      </w:r>
      <w:r>
        <w:rPr>
          <w:spacing w:val="-4"/>
        </w:rPr>
        <w:t xml:space="preserve"> </w:t>
      </w:r>
      <w:r>
        <w:t>ice</w:t>
      </w:r>
      <w:r>
        <w:rPr>
          <w:spacing w:val="-4"/>
        </w:rPr>
        <w:t xml:space="preserve"> </w:t>
      </w:r>
      <w:r>
        <w:t>cream</w:t>
      </w:r>
      <w:r>
        <w:rPr>
          <w:spacing w:val="-4"/>
        </w:rPr>
        <w:t xml:space="preserve"> </w:t>
      </w:r>
      <w:r>
        <w:t>is</w:t>
      </w:r>
      <w:r>
        <w:rPr>
          <w:spacing w:val="-4"/>
        </w:rPr>
        <w:t xml:space="preserve"> </w:t>
      </w:r>
      <w:r>
        <w:t>better</w:t>
      </w:r>
      <w:r>
        <w:rPr>
          <w:spacing w:val="-4"/>
        </w:rPr>
        <w:t xml:space="preserve"> </w:t>
      </w:r>
      <w:r>
        <w:t>than</w:t>
      </w:r>
      <w:r>
        <w:rPr>
          <w:spacing w:val="-3"/>
        </w:rPr>
        <w:t xml:space="preserve"> </w:t>
      </w:r>
      <w:r>
        <w:rPr>
          <w:spacing w:val="-2"/>
        </w:rPr>
        <w:t>vanilla,”</w:t>
      </w:r>
    </w:p>
    <w:p w14:paraId="7E00239F" w14:textId="77777777" w:rsidR="009A58DB" w:rsidRDefault="009A58DB">
      <w:pPr>
        <w:pStyle w:val="BodyText"/>
        <w:spacing w:before="30"/>
        <w:ind w:left="0"/>
        <w:jc w:val="left"/>
      </w:pPr>
    </w:p>
    <w:p w14:paraId="7E0023A0" w14:textId="77777777" w:rsidR="009A58DB" w:rsidRDefault="00000000">
      <w:pPr>
        <w:pStyle w:val="BodyText"/>
        <w:spacing w:line="249" w:lineRule="auto"/>
        <w:ind w:right="360"/>
      </w:pPr>
      <w:r>
        <w:t>there isn’t much I can do to defend my position. (In this context, “better”</w:t>
      </w:r>
      <w:r>
        <w:rPr>
          <w:spacing w:val="40"/>
        </w:rPr>
        <w:t xml:space="preserve"> </w:t>
      </w:r>
      <w:r>
        <w:t xml:space="preserve">isn’t intended to mean </w:t>
      </w:r>
      <w:r>
        <w:rPr>
          <w:i/>
        </w:rPr>
        <w:t xml:space="preserve">nutritionally </w:t>
      </w:r>
      <w:r>
        <w:t xml:space="preserve">better; for it can be debated whether chocolate ice cream is more nutritious than vanilla.) Of course, I can say “I </w:t>
      </w:r>
      <w:r>
        <w:rPr>
          <w:i/>
        </w:rPr>
        <w:t xml:space="preserve">like </w:t>
      </w:r>
      <w:r>
        <w:t>chocolate more than I like vanilla.” But that doesn’t provide very much support for my original statement.</w:t>
      </w:r>
    </w:p>
    <w:p w14:paraId="7E0023A1" w14:textId="77777777" w:rsidR="009A58DB" w:rsidRDefault="00000000">
      <w:pPr>
        <w:pStyle w:val="BodyText"/>
        <w:spacing w:before="7" w:line="249" w:lineRule="auto"/>
        <w:ind w:right="358" w:firstLine="360"/>
      </w:pPr>
      <w:r>
        <w:t>KV is not like CB. For one can easily cite reasons for or against KV. One can</w:t>
      </w:r>
      <w:r>
        <w:rPr>
          <w:spacing w:val="-3"/>
        </w:rPr>
        <w:t xml:space="preserve"> </w:t>
      </w:r>
      <w:r>
        <w:t>say,</w:t>
      </w:r>
      <w:r>
        <w:rPr>
          <w:spacing w:val="-3"/>
        </w:rPr>
        <w:t xml:space="preserve"> </w:t>
      </w:r>
      <w:r>
        <w:t>“just</w:t>
      </w:r>
      <w:r>
        <w:rPr>
          <w:spacing w:val="-4"/>
        </w:rPr>
        <w:t xml:space="preserve"> </w:t>
      </w:r>
      <w:r>
        <w:t>prior</w:t>
      </w:r>
      <w:r>
        <w:rPr>
          <w:spacing w:val="-4"/>
        </w:rPr>
        <w:t xml:space="preserve"> </w:t>
      </w:r>
      <w:r>
        <w:t>to</w:t>
      </w:r>
      <w:r>
        <w:rPr>
          <w:spacing w:val="-3"/>
        </w:rPr>
        <w:t xml:space="preserve"> </w:t>
      </w:r>
      <w:r>
        <w:t>being</w:t>
      </w:r>
      <w:r>
        <w:rPr>
          <w:spacing w:val="-3"/>
        </w:rPr>
        <w:t xml:space="preserve"> </w:t>
      </w:r>
      <w:r>
        <w:t>assassinated,</w:t>
      </w:r>
      <w:r>
        <w:rPr>
          <w:spacing w:val="-3"/>
        </w:rPr>
        <w:t xml:space="preserve"> </w:t>
      </w:r>
      <w:r>
        <w:t>JKF</w:t>
      </w:r>
      <w:r>
        <w:rPr>
          <w:spacing w:val="-4"/>
        </w:rPr>
        <w:t xml:space="preserve"> </w:t>
      </w:r>
      <w:r>
        <w:t>wrote</w:t>
      </w:r>
      <w:r>
        <w:rPr>
          <w:spacing w:val="-4"/>
        </w:rPr>
        <w:t xml:space="preserve"> </w:t>
      </w:r>
      <w:r>
        <w:t>a</w:t>
      </w:r>
      <w:r>
        <w:rPr>
          <w:spacing w:val="-4"/>
        </w:rPr>
        <w:t xml:space="preserve"> </w:t>
      </w:r>
      <w:r>
        <w:t>speech</w:t>
      </w:r>
      <w:r>
        <w:rPr>
          <w:spacing w:val="-3"/>
        </w:rPr>
        <w:t xml:space="preserve"> </w:t>
      </w:r>
      <w:r>
        <w:t>that</w:t>
      </w:r>
      <w:r>
        <w:rPr>
          <w:spacing w:val="-4"/>
        </w:rPr>
        <w:t xml:space="preserve"> </w:t>
      </w:r>
      <w:r>
        <w:t>he</w:t>
      </w:r>
      <w:r>
        <w:rPr>
          <w:spacing w:val="-4"/>
        </w:rPr>
        <w:t xml:space="preserve"> </w:t>
      </w:r>
      <w:r>
        <w:t>intended to deliver to Congress explaining why he thought it urgent to pull out of Vietnam.” Or one can say “recently uncovered documents show that, in</w:t>
      </w:r>
      <w:r>
        <w:rPr>
          <w:spacing w:val="40"/>
        </w:rPr>
        <w:t xml:space="preserve"> </w:t>
      </w:r>
      <w:r>
        <w:t>LBJ’s view, the United States would cease to be a world power if they pulled out of Vietnam; and those documents also show that he and JFK disagreed about this.” And so on.</w:t>
      </w:r>
    </w:p>
    <w:p w14:paraId="7E0023A2" w14:textId="77777777" w:rsidR="009A58DB" w:rsidRDefault="00000000">
      <w:pPr>
        <w:pStyle w:val="BodyText"/>
        <w:spacing w:before="8" w:line="249" w:lineRule="auto"/>
        <w:ind w:right="366" w:firstLine="360"/>
      </w:pPr>
      <w:r>
        <w:t xml:space="preserve">So, difficult though it may be to adjudicate, KV can be evaluated </w:t>
      </w:r>
      <w:r>
        <w:rPr>
          <w:i/>
        </w:rPr>
        <w:t>in</w:t>
      </w:r>
      <w:r>
        <w:rPr>
          <w:i/>
          <w:spacing w:val="-3"/>
        </w:rPr>
        <w:t xml:space="preserve"> </w:t>
      </w:r>
      <w:r>
        <w:rPr>
          <w:i/>
        </w:rPr>
        <w:t xml:space="preserve">terms of </w:t>
      </w:r>
      <w:r>
        <w:t>its agreement, or lack thereof, with objective facts (e.g., with documents, video footage, people’s memories, etc.).</w:t>
      </w:r>
    </w:p>
    <w:p w14:paraId="7E0023A3" w14:textId="77777777" w:rsidR="009A58DB" w:rsidRDefault="00000000">
      <w:pPr>
        <w:pStyle w:val="BodyText"/>
        <w:spacing w:before="4" w:line="249" w:lineRule="auto"/>
        <w:ind w:right="359" w:firstLine="360"/>
      </w:pPr>
      <w:r>
        <w:t xml:space="preserve">If a statement’s truth or falsehood is to be established </w:t>
      </w:r>
      <w:r>
        <w:rPr>
          <w:i/>
        </w:rPr>
        <w:t xml:space="preserve">on the basis of </w:t>
      </w:r>
      <w:r>
        <w:t>objective fact, that strongly suggests that the statement itself is one of fact, as opposed to “mere opinion.” This is because, if a statement stands if the facts are one way and fails if they aren’t that way, then that statement says, or at least implies, that the facts are that way. And, in that case, that statement has factual content.</w:t>
      </w:r>
    </w:p>
    <w:p w14:paraId="7E0023A4" w14:textId="77777777" w:rsidR="009A58DB" w:rsidRDefault="00000000">
      <w:pPr>
        <w:pStyle w:val="BodyText"/>
        <w:spacing w:before="7" w:line="249" w:lineRule="auto"/>
        <w:ind w:right="357" w:firstLine="360"/>
      </w:pPr>
      <w:r>
        <w:t>Bottom line: any position that can be rationally disputed is likely to have an objective basis. KV can be rationally disputed, and that’s why it’s not a matter of “mere opinion.” CB cannot, and that’s why it is a matter of “mere opinion” or “preference.”</w:t>
      </w:r>
    </w:p>
    <w:p w14:paraId="7E0023A5" w14:textId="77777777" w:rsidR="009A58DB" w:rsidRDefault="00000000">
      <w:pPr>
        <w:pStyle w:val="Heading1"/>
        <w:numPr>
          <w:ilvl w:val="1"/>
          <w:numId w:val="63"/>
        </w:numPr>
        <w:tabs>
          <w:tab w:val="left" w:pos="1409"/>
        </w:tabs>
        <w:spacing w:before="193"/>
        <w:ind w:left="1409" w:hanging="1049"/>
      </w:pPr>
      <w:r>
        <w:t>Discussion</w:t>
      </w:r>
      <w:r>
        <w:rPr>
          <w:spacing w:val="-5"/>
        </w:rPr>
        <w:t xml:space="preserve"> </w:t>
      </w:r>
      <w:r>
        <w:t>of</w:t>
      </w:r>
      <w:r>
        <w:rPr>
          <w:spacing w:val="-5"/>
        </w:rPr>
        <w:t xml:space="preserve"> </w:t>
      </w:r>
      <w:r>
        <w:rPr>
          <w:spacing w:val="-4"/>
        </w:rPr>
        <w:t>(ii)</w:t>
      </w:r>
    </w:p>
    <w:p w14:paraId="7E0023A6" w14:textId="77777777" w:rsidR="009A58DB" w:rsidRDefault="00000000">
      <w:pPr>
        <w:pStyle w:val="BodyText"/>
        <w:spacing w:before="139" w:line="249" w:lineRule="auto"/>
        <w:ind w:right="358"/>
      </w:pPr>
      <w:r>
        <w:t>Can ethical positions be rationally disputed? Yes. Let us suppose that A and</w:t>
      </w:r>
      <w:r>
        <w:rPr>
          <w:spacing w:val="40"/>
        </w:rPr>
        <w:t xml:space="preserve"> </w:t>
      </w:r>
      <w:r>
        <w:t>B disagree about whether gay marriage is ethical. A would certainly make at</w:t>
      </w:r>
    </w:p>
    <w:p w14:paraId="7E0023A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A8" w14:textId="77777777" w:rsidR="009A58DB" w:rsidRDefault="00000000">
      <w:pPr>
        <w:pStyle w:val="BodyText"/>
        <w:spacing w:before="60" w:line="249" w:lineRule="auto"/>
        <w:ind w:right="361"/>
      </w:pPr>
      <w:r>
        <w:lastRenderedPageBreak/>
        <w:t xml:space="preserve">least some case for gay marriage if he were to demonstrate that gay marriage, when it exists, is as likely to be based on love as heterosexual marriages. And B would undermine A’s case and would also make a case of his own </w:t>
      </w:r>
      <w:r>
        <w:rPr>
          <w:i/>
        </w:rPr>
        <w:t xml:space="preserve">against </w:t>
      </w:r>
      <w:r>
        <w:t xml:space="preserve">gay marriage, if he were to show that, in fact, gay marriages are (or, if they were to exist, would be) less likely than straight marriages to be based on enduring feelings of love. Another way that B could make a case </w:t>
      </w:r>
      <w:r>
        <w:rPr>
          <w:i/>
        </w:rPr>
        <w:t>against</w:t>
      </w:r>
      <w:r>
        <w:rPr>
          <w:i/>
          <w:spacing w:val="-3"/>
        </w:rPr>
        <w:t xml:space="preserve"> </w:t>
      </w:r>
      <w:r>
        <w:t>gay marriage would be to show that, if it were condoned, the result would be a disintegration of practices that are necessary for the continued existence of any society. By the same token, if A could show that gay marriage would not have such a consequence, and that it might actually have the opposite consequence, then A would not only undermine B’s case but would also</w:t>
      </w:r>
      <w:r>
        <w:rPr>
          <w:spacing w:val="40"/>
        </w:rPr>
        <w:t xml:space="preserve"> </w:t>
      </w:r>
      <w:r>
        <w:t xml:space="preserve">make a case </w:t>
      </w:r>
      <w:r>
        <w:rPr>
          <w:i/>
        </w:rPr>
        <w:t xml:space="preserve">for </w:t>
      </w:r>
      <w:r>
        <w:t>gay marriage.</w:t>
      </w:r>
    </w:p>
    <w:p w14:paraId="7E0023A9" w14:textId="77777777" w:rsidR="009A58DB" w:rsidRDefault="00000000">
      <w:pPr>
        <w:pStyle w:val="BodyText"/>
        <w:spacing w:before="19" w:line="249" w:lineRule="auto"/>
        <w:ind w:right="359" w:firstLine="360"/>
      </w:pPr>
      <w:r>
        <w:t xml:space="preserve">The point is that whether gay marriage is right or wrong depends largely on purely </w:t>
      </w:r>
      <w:r>
        <w:rPr>
          <w:i/>
        </w:rPr>
        <w:t xml:space="preserve">factual </w:t>
      </w:r>
      <w:r>
        <w:t>issues. The question “would gay marriage, if condoned,</w:t>
      </w:r>
      <w:r>
        <w:rPr>
          <w:spacing w:val="40"/>
        </w:rPr>
        <w:t xml:space="preserve"> </w:t>
      </w:r>
      <w:r>
        <w:t>lead to the disintegration of social infrastructure?” is a strictly causal question. What it asks is whether a certain cause-effect relation exists. And the question “are gay marriages as likely to be based on enduring feelings of love as heterosexual marriages?” is a question of psychological fact; it is a question that would be of an interest to a psychologist who had no desire at all to make value-judgments. In section (iv), we will provide two additional illustrations of the idea that ethical debates often turn on questions of fact</w:t>
      </w:r>
      <w:r>
        <w:rPr>
          <w:spacing w:val="40"/>
        </w:rPr>
        <w:t xml:space="preserve"> </w:t>
      </w:r>
      <w:r>
        <w:t>and, for that reason, are themselves questions of fact.</w:t>
      </w:r>
    </w:p>
    <w:p w14:paraId="7E0023AA" w14:textId="77777777" w:rsidR="009A58DB" w:rsidRDefault="00000000">
      <w:pPr>
        <w:pStyle w:val="Heading1"/>
        <w:numPr>
          <w:ilvl w:val="1"/>
          <w:numId w:val="63"/>
        </w:numPr>
        <w:tabs>
          <w:tab w:val="left" w:pos="1409"/>
        </w:tabs>
        <w:spacing w:before="201"/>
        <w:ind w:left="1409" w:hanging="1049"/>
      </w:pPr>
      <w:r>
        <w:t>Discussion</w:t>
      </w:r>
      <w:r>
        <w:rPr>
          <w:spacing w:val="-5"/>
        </w:rPr>
        <w:t xml:space="preserve"> </w:t>
      </w:r>
      <w:r>
        <w:t>of</w:t>
      </w:r>
      <w:r>
        <w:rPr>
          <w:spacing w:val="-5"/>
        </w:rPr>
        <w:t xml:space="preserve"> </w:t>
      </w:r>
      <w:r>
        <w:rPr>
          <w:spacing w:val="-2"/>
        </w:rPr>
        <w:t>(iii)</w:t>
      </w:r>
    </w:p>
    <w:p w14:paraId="7E0023AB" w14:textId="77777777" w:rsidR="009A58DB" w:rsidRDefault="00000000">
      <w:pPr>
        <w:pStyle w:val="BodyText"/>
        <w:spacing w:before="139" w:line="249" w:lineRule="auto"/>
        <w:ind w:right="362"/>
      </w:pPr>
      <w:r>
        <w:t>Obviously, there are fierce, and also unending, disputes in ethics. Is abortion moral? Was it moral of the United States to go into Iraq? Is corporal punishment moral? These questions may be debated for centuries to come.</w:t>
      </w:r>
    </w:p>
    <w:p w14:paraId="7E0023AC" w14:textId="77777777" w:rsidR="009A58DB" w:rsidRDefault="00000000">
      <w:pPr>
        <w:pStyle w:val="BodyText"/>
        <w:spacing w:before="3" w:line="249" w:lineRule="auto"/>
        <w:ind w:right="359" w:firstLine="360"/>
      </w:pPr>
      <w:r>
        <w:t>But there are many moral matters concerning which there isn’t serious dispute. Is it morally okay to torture babies for the sheer fun of it? No. Is it morally obligatory to give all of one’s money to charity? No. Is it praiseworthy (i.e., morally excellent) to give much of one’s money to charity (when there is no practical incentive to do so)? Yes.</w:t>
      </w:r>
    </w:p>
    <w:p w14:paraId="7E0023AD" w14:textId="77777777" w:rsidR="009A58DB" w:rsidRDefault="00000000">
      <w:pPr>
        <w:pStyle w:val="BodyText"/>
        <w:spacing w:before="7" w:line="249" w:lineRule="auto"/>
        <w:ind w:right="362" w:firstLine="360"/>
      </w:pPr>
      <w:r>
        <w:t xml:space="preserve">These questions may seem trivial. But, if so, that’s precisely because it is so clear how they are to be answered. The illusion that there is </w:t>
      </w:r>
      <w:r>
        <w:rPr>
          <w:i/>
        </w:rPr>
        <w:t xml:space="preserve">no </w:t>
      </w:r>
      <w:r>
        <w:t>moral agreement—when, in fact, such agreement is less the exception than the rule</w:t>
      </w:r>
    </w:p>
    <w:p w14:paraId="7E0023A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AF" w14:textId="77777777" w:rsidR="009A58DB" w:rsidRDefault="00000000">
      <w:pPr>
        <w:pStyle w:val="BodyText"/>
        <w:spacing w:before="60" w:line="249" w:lineRule="auto"/>
        <w:ind w:right="363"/>
      </w:pPr>
      <w:r>
        <w:lastRenderedPageBreak/>
        <w:t>—is that an ethical issue isn’t worth discussing anymore if there is universal agreement about it. For this reason, the only ethical issues that are worth discussing</w:t>
      </w:r>
      <w:r>
        <w:rPr>
          <w:spacing w:val="-1"/>
        </w:rPr>
        <w:t xml:space="preserve"> </w:t>
      </w:r>
      <w:r>
        <w:t>are</w:t>
      </w:r>
      <w:r>
        <w:rPr>
          <w:spacing w:val="-1"/>
        </w:rPr>
        <w:t xml:space="preserve"> </w:t>
      </w:r>
      <w:r>
        <w:t>the</w:t>
      </w:r>
      <w:r>
        <w:rPr>
          <w:spacing w:val="-1"/>
        </w:rPr>
        <w:t xml:space="preserve"> </w:t>
      </w:r>
      <w:r>
        <w:t>ones</w:t>
      </w:r>
      <w:r>
        <w:rPr>
          <w:spacing w:val="-1"/>
        </w:rPr>
        <w:t xml:space="preserve"> </w:t>
      </w:r>
      <w:r>
        <w:t>that</w:t>
      </w:r>
      <w:r>
        <w:rPr>
          <w:spacing w:val="-1"/>
        </w:rPr>
        <w:t xml:space="preserve"> </w:t>
      </w:r>
      <w:r>
        <w:t>haven’t</w:t>
      </w:r>
      <w:r>
        <w:rPr>
          <w:spacing w:val="-1"/>
        </w:rPr>
        <w:t xml:space="preserve"> </w:t>
      </w:r>
      <w:r>
        <w:t>been</w:t>
      </w:r>
      <w:r>
        <w:rPr>
          <w:spacing w:val="-1"/>
        </w:rPr>
        <w:t xml:space="preserve"> </w:t>
      </w:r>
      <w:r>
        <w:t>solved,</w:t>
      </w:r>
      <w:r>
        <w:rPr>
          <w:spacing w:val="-1"/>
        </w:rPr>
        <w:t xml:space="preserve"> </w:t>
      </w:r>
      <w:r>
        <w:t>giving</w:t>
      </w:r>
      <w:r>
        <w:rPr>
          <w:spacing w:val="-1"/>
        </w:rPr>
        <w:t xml:space="preserve"> </w:t>
      </w:r>
      <w:r>
        <w:t>rise</w:t>
      </w:r>
      <w:r>
        <w:rPr>
          <w:spacing w:val="-1"/>
        </w:rPr>
        <w:t xml:space="preserve"> </w:t>
      </w:r>
      <w:r>
        <w:t>to</w:t>
      </w:r>
      <w:r>
        <w:rPr>
          <w:spacing w:val="-1"/>
        </w:rPr>
        <w:t xml:space="preserve"> </w:t>
      </w:r>
      <w:r>
        <w:t>the</w:t>
      </w:r>
      <w:r>
        <w:rPr>
          <w:spacing w:val="-1"/>
        </w:rPr>
        <w:t xml:space="preserve"> </w:t>
      </w:r>
      <w:r>
        <w:t>misleading appearance that there is no ethical agreement.</w:t>
      </w:r>
    </w:p>
    <w:p w14:paraId="7E0023B0" w14:textId="77777777" w:rsidR="009A58DB" w:rsidRDefault="00000000">
      <w:pPr>
        <w:pStyle w:val="Heading1"/>
        <w:numPr>
          <w:ilvl w:val="1"/>
          <w:numId w:val="63"/>
        </w:numPr>
        <w:tabs>
          <w:tab w:val="left" w:pos="1409"/>
        </w:tabs>
        <w:spacing w:before="198"/>
        <w:ind w:left="1409" w:hanging="1049"/>
      </w:pPr>
      <w:r>
        <w:t>Discussion</w:t>
      </w:r>
      <w:r>
        <w:rPr>
          <w:spacing w:val="-5"/>
        </w:rPr>
        <w:t xml:space="preserve"> </w:t>
      </w:r>
      <w:r>
        <w:t>of</w:t>
      </w:r>
      <w:r>
        <w:rPr>
          <w:spacing w:val="-5"/>
        </w:rPr>
        <w:t xml:space="preserve"> </w:t>
      </w:r>
      <w:r>
        <w:rPr>
          <w:spacing w:val="-4"/>
        </w:rPr>
        <w:t>(iv)</w:t>
      </w:r>
    </w:p>
    <w:p w14:paraId="7E0023B1" w14:textId="77777777" w:rsidR="009A58DB" w:rsidRDefault="00000000">
      <w:pPr>
        <w:pStyle w:val="BodyText"/>
        <w:spacing w:before="139" w:line="249" w:lineRule="auto"/>
        <w:ind w:right="363"/>
      </w:pPr>
      <w:r>
        <w:t>Nonetheless, I wouldn’t go so far as to deny that there is more disagreement in ethics than in most other disciplines. Nor would I deny that the basis of the disagreement is deeper. But, so far as that is true, it isn’t because there are no ethical facts; it is because, in ethical discussions, people often shy away from making it 100% clear what, precisely, they are arguing for.</w:t>
      </w:r>
    </w:p>
    <w:p w14:paraId="7E0023B2" w14:textId="77777777" w:rsidR="009A58DB" w:rsidRDefault="00000000">
      <w:pPr>
        <w:pStyle w:val="BodyText"/>
        <w:spacing w:before="6" w:line="249" w:lineRule="auto"/>
        <w:ind w:right="358" w:firstLine="360"/>
      </w:pPr>
      <w:r>
        <w:t>When we were discussing (i), we saw that if it is possible to cite reasons for or against a viewpoint, then that viewpoint, if correct, has an objective basis. If you know that Smith murdered Jones, then you are able to provide reasons why I should believe you. Maybe you can show me video footage of Smith doing the deed. Maybe you can remind me of how often Smith fumed about Jones. Maybe you can show me legal documents that make it clear that Smith stood to make a lot of money if Jones died.</w:t>
      </w:r>
    </w:p>
    <w:p w14:paraId="7E0023B3" w14:textId="77777777" w:rsidR="009A58DB" w:rsidRDefault="00000000">
      <w:pPr>
        <w:pStyle w:val="BodyText"/>
        <w:spacing w:before="8" w:line="249" w:lineRule="auto"/>
        <w:ind w:right="360" w:firstLine="360"/>
      </w:pPr>
      <w:r>
        <w:t>By this reasoning, if the merits of ethical positions can be rationally disputed, then it is probable that ethical positions, when correct, have an objective basis. So can ethical positions be rationally debated? Can one cite reasons for and against them?</w:t>
      </w:r>
    </w:p>
    <w:p w14:paraId="7E0023B4" w14:textId="77777777" w:rsidR="009A58DB" w:rsidRDefault="00000000">
      <w:pPr>
        <w:pStyle w:val="BodyText"/>
        <w:spacing w:before="5" w:line="249" w:lineRule="auto"/>
        <w:ind w:right="359" w:firstLine="360"/>
      </w:pPr>
      <w:r>
        <w:t>Yes. We saw this a moment ago when discussing marriage. Here is</w:t>
      </w:r>
      <w:r>
        <w:rPr>
          <w:spacing w:val="40"/>
        </w:rPr>
        <w:t xml:space="preserve"> </w:t>
      </w:r>
      <w:r>
        <w:t>another example. Is the death penalty right or wrong? People disagree about this. But even among those who disagree, there is considerable debate as to what</w:t>
      </w:r>
      <w:r>
        <w:rPr>
          <w:spacing w:val="-3"/>
        </w:rPr>
        <w:t xml:space="preserve"> </w:t>
      </w:r>
      <w:r>
        <w:rPr>
          <w:i/>
        </w:rPr>
        <w:t>would</w:t>
      </w:r>
      <w:r>
        <w:rPr>
          <w:i/>
          <w:spacing w:val="-3"/>
        </w:rPr>
        <w:t xml:space="preserve"> </w:t>
      </w:r>
      <w:r>
        <w:t xml:space="preserve">have to hold </w:t>
      </w:r>
      <w:r>
        <w:rPr>
          <w:i/>
        </w:rPr>
        <w:t xml:space="preserve">in order for </w:t>
      </w:r>
      <w:r>
        <w:t>the death penalty to be justified. So, for example, if it were made clear that the death penalty systematically led to the execution of innocent people, then most people would agree that the death penalty was not right. The question “how many innocent people are executed for crimes they didn’t commit?” is a strictly factual question. And a lot of the debate over the ethical integrity of death penalty depends on how this strictly factual question is answered.</w:t>
      </w:r>
    </w:p>
    <w:p w14:paraId="7E0023B5" w14:textId="77777777" w:rsidR="009A58DB" w:rsidRDefault="00000000">
      <w:pPr>
        <w:pStyle w:val="BodyText"/>
        <w:spacing w:before="13" w:line="249" w:lineRule="auto"/>
        <w:ind w:right="365" w:firstLine="360"/>
      </w:pPr>
      <w:r>
        <w:t>Suppose it turned out that the death penalty made governments less likely to invest in social policies that would prevent the commission of capital offences</w:t>
      </w:r>
      <w:r>
        <w:rPr>
          <w:spacing w:val="15"/>
        </w:rPr>
        <w:t xml:space="preserve"> </w:t>
      </w:r>
      <w:r>
        <w:t>in</w:t>
      </w:r>
      <w:r>
        <w:rPr>
          <w:spacing w:val="15"/>
        </w:rPr>
        <w:t xml:space="preserve"> </w:t>
      </w:r>
      <w:r>
        <w:t>the</w:t>
      </w:r>
      <w:r>
        <w:rPr>
          <w:spacing w:val="15"/>
        </w:rPr>
        <w:t xml:space="preserve"> </w:t>
      </w:r>
      <w:r>
        <w:t>first</w:t>
      </w:r>
      <w:r>
        <w:rPr>
          <w:spacing w:val="14"/>
        </w:rPr>
        <w:t xml:space="preserve"> </w:t>
      </w:r>
      <w:r>
        <w:t>place.</w:t>
      </w:r>
      <w:r>
        <w:rPr>
          <w:spacing w:val="15"/>
        </w:rPr>
        <w:t xml:space="preserve"> </w:t>
      </w:r>
      <w:r>
        <w:t>In</w:t>
      </w:r>
      <w:r>
        <w:rPr>
          <w:spacing w:val="15"/>
        </w:rPr>
        <w:t xml:space="preserve"> </w:t>
      </w:r>
      <w:r>
        <w:t>that</w:t>
      </w:r>
      <w:r>
        <w:rPr>
          <w:spacing w:val="15"/>
        </w:rPr>
        <w:t xml:space="preserve"> </w:t>
      </w:r>
      <w:r>
        <w:t>case,</w:t>
      </w:r>
      <w:r>
        <w:rPr>
          <w:spacing w:val="15"/>
        </w:rPr>
        <w:t xml:space="preserve"> </w:t>
      </w:r>
      <w:r>
        <w:t>the</w:t>
      </w:r>
      <w:r>
        <w:rPr>
          <w:spacing w:val="15"/>
        </w:rPr>
        <w:t xml:space="preserve"> </w:t>
      </w:r>
      <w:r>
        <w:t>vast</w:t>
      </w:r>
      <w:r>
        <w:rPr>
          <w:spacing w:val="15"/>
        </w:rPr>
        <w:t xml:space="preserve"> </w:t>
      </w:r>
      <w:r>
        <w:t>majority</w:t>
      </w:r>
      <w:r>
        <w:rPr>
          <w:spacing w:val="15"/>
        </w:rPr>
        <w:t xml:space="preserve"> </w:t>
      </w:r>
      <w:r>
        <w:t>of</w:t>
      </w:r>
      <w:r>
        <w:rPr>
          <w:spacing w:val="15"/>
        </w:rPr>
        <w:t xml:space="preserve"> </w:t>
      </w:r>
      <w:r>
        <w:t>people</w:t>
      </w:r>
      <w:r>
        <w:rPr>
          <w:spacing w:val="15"/>
        </w:rPr>
        <w:t xml:space="preserve"> </w:t>
      </w:r>
      <w:r>
        <w:t>who</w:t>
      </w:r>
      <w:r>
        <w:rPr>
          <w:spacing w:val="15"/>
        </w:rPr>
        <w:t xml:space="preserve"> </w:t>
      </w:r>
      <w:r>
        <w:t>now</w:t>
      </w:r>
    </w:p>
    <w:p w14:paraId="7E0023B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B7" w14:textId="77777777" w:rsidR="009A58DB" w:rsidRDefault="00000000">
      <w:pPr>
        <w:pStyle w:val="BodyText"/>
        <w:spacing w:before="60" w:line="249" w:lineRule="auto"/>
        <w:ind w:right="358"/>
      </w:pPr>
      <w:r>
        <w:lastRenderedPageBreak/>
        <w:t>support the death penalty as justified would probably cease to do so. (Of course,</w:t>
      </w:r>
      <w:r>
        <w:rPr>
          <w:spacing w:val="-1"/>
        </w:rPr>
        <w:t xml:space="preserve"> </w:t>
      </w:r>
      <w:r>
        <w:t>there</w:t>
      </w:r>
      <w:r>
        <w:rPr>
          <w:spacing w:val="-1"/>
        </w:rPr>
        <w:t xml:space="preserve"> </w:t>
      </w:r>
      <w:r>
        <w:t>would</w:t>
      </w:r>
      <w:r>
        <w:rPr>
          <w:spacing w:val="-1"/>
        </w:rPr>
        <w:t xml:space="preserve"> </w:t>
      </w:r>
      <w:r>
        <w:t>be</w:t>
      </w:r>
      <w:r>
        <w:rPr>
          <w:spacing w:val="-1"/>
        </w:rPr>
        <w:t xml:space="preserve"> </w:t>
      </w:r>
      <w:r>
        <w:t>a</w:t>
      </w:r>
      <w:r>
        <w:rPr>
          <w:spacing w:val="-1"/>
        </w:rPr>
        <w:t xml:space="preserve"> </w:t>
      </w:r>
      <w:r>
        <w:t>few</w:t>
      </w:r>
      <w:r>
        <w:rPr>
          <w:spacing w:val="-1"/>
        </w:rPr>
        <w:t xml:space="preserve"> </w:t>
      </w:r>
      <w:r>
        <w:t>holdouts.</w:t>
      </w:r>
      <w:r>
        <w:rPr>
          <w:spacing w:val="-1"/>
        </w:rPr>
        <w:t xml:space="preserve"> </w:t>
      </w:r>
      <w:r>
        <w:t>But</w:t>
      </w:r>
      <w:r>
        <w:rPr>
          <w:spacing w:val="-1"/>
        </w:rPr>
        <w:t xml:space="preserve"> </w:t>
      </w:r>
      <w:r>
        <w:t>that</w:t>
      </w:r>
      <w:r>
        <w:rPr>
          <w:spacing w:val="-1"/>
        </w:rPr>
        <w:t xml:space="preserve"> </w:t>
      </w:r>
      <w:r>
        <w:t>doesn’t</w:t>
      </w:r>
      <w:r>
        <w:rPr>
          <w:spacing w:val="-1"/>
        </w:rPr>
        <w:t xml:space="preserve"> </w:t>
      </w:r>
      <w:r>
        <w:t>mean</w:t>
      </w:r>
      <w:r>
        <w:rPr>
          <w:spacing w:val="-1"/>
        </w:rPr>
        <w:t xml:space="preserve"> </w:t>
      </w:r>
      <w:r>
        <w:t>anything.</w:t>
      </w:r>
      <w:r>
        <w:rPr>
          <w:spacing w:val="-1"/>
        </w:rPr>
        <w:t xml:space="preserve"> </w:t>
      </w:r>
      <w:r>
        <w:t xml:space="preserve">There are still people who think the Earth is flat.) It is a strictly factual question of whether the death penalty inhibits, encourages, or is neutral with respect to the implementation of policies that discourage the commission of murder and other capital offenses. So, as before, we see that, to the extent that it’s hard to decide whether the death penalty is good or bad, that’s because certain purely </w:t>
      </w:r>
      <w:r>
        <w:rPr>
          <w:i/>
        </w:rPr>
        <w:t xml:space="preserve">factual </w:t>
      </w:r>
      <w:r>
        <w:t>issues are hard to decide (e.g., it’s hard to know exactly what sociological effects the death penalty has). So the seemingly unending nature of this ethical debate has to do, not with there being no fact of the matter, but with there being relevant facts that aren’t yet in evidence.</w:t>
      </w:r>
    </w:p>
    <w:p w14:paraId="7E0023B8" w14:textId="77777777" w:rsidR="009A58DB" w:rsidRDefault="00000000">
      <w:pPr>
        <w:pStyle w:val="BodyText"/>
        <w:spacing w:before="18" w:line="249" w:lineRule="auto"/>
        <w:ind w:right="359" w:firstLine="360"/>
      </w:pPr>
      <w:r>
        <w:t>Another example: It’s fiercely debated whether abortion is moral or immoral. But notice that the debate often turns on questions of fact. Does the fetus</w:t>
      </w:r>
      <w:r>
        <w:rPr>
          <w:spacing w:val="-1"/>
        </w:rPr>
        <w:t xml:space="preserve"> </w:t>
      </w:r>
      <w:r>
        <w:t>have a</w:t>
      </w:r>
      <w:r>
        <w:rPr>
          <w:spacing w:val="-1"/>
        </w:rPr>
        <w:t xml:space="preserve"> </w:t>
      </w:r>
      <w:r>
        <w:t>mind? Can</w:t>
      </w:r>
      <w:r>
        <w:rPr>
          <w:spacing w:val="-1"/>
        </w:rPr>
        <w:t xml:space="preserve"> </w:t>
      </w:r>
      <w:r>
        <w:t>it</w:t>
      </w:r>
      <w:r>
        <w:rPr>
          <w:spacing w:val="-1"/>
        </w:rPr>
        <w:t xml:space="preserve"> </w:t>
      </w:r>
      <w:r>
        <w:t>feel</w:t>
      </w:r>
      <w:r>
        <w:rPr>
          <w:spacing w:val="-1"/>
        </w:rPr>
        <w:t xml:space="preserve"> </w:t>
      </w:r>
      <w:r>
        <w:t>pain? Does</w:t>
      </w:r>
      <w:r>
        <w:rPr>
          <w:spacing w:val="-1"/>
        </w:rPr>
        <w:t xml:space="preserve"> </w:t>
      </w:r>
      <w:r>
        <w:t>it, at</w:t>
      </w:r>
      <w:r>
        <w:rPr>
          <w:spacing w:val="-1"/>
        </w:rPr>
        <w:t xml:space="preserve"> </w:t>
      </w:r>
      <w:r>
        <w:t>some level,</w:t>
      </w:r>
      <w:r>
        <w:rPr>
          <w:spacing w:val="-1"/>
        </w:rPr>
        <w:t xml:space="preserve"> </w:t>
      </w:r>
      <w:r>
        <w:t>feel</w:t>
      </w:r>
      <w:r>
        <w:rPr>
          <w:spacing w:val="-1"/>
        </w:rPr>
        <w:t xml:space="preserve"> </w:t>
      </w:r>
      <w:r>
        <w:t xml:space="preserve">an attachment to its mother and would it consequently feel an extreme sense of betrayal were it to find out that it was in the process of being aborted? These are factual questions about the fetus’s psychological state (or lack thereof). And I think that many (though probably not all) pro-choicers, were they to find out that fetuses clearly had minds would change their position. By the same token, many pro-lifers would change their minds were they to find out that fetuses clearly had no minds at all and were not otherwise comparable to </w:t>
      </w:r>
      <w:r>
        <w:rPr>
          <w:i/>
        </w:rPr>
        <w:t>bona</w:t>
      </w:r>
      <w:r>
        <w:rPr>
          <w:i/>
          <w:spacing w:val="-3"/>
        </w:rPr>
        <w:t xml:space="preserve"> </w:t>
      </w:r>
      <w:r>
        <w:rPr>
          <w:i/>
        </w:rPr>
        <w:t xml:space="preserve">fide </w:t>
      </w:r>
      <w:r>
        <w:t xml:space="preserve">human beings. When pro-lifers are asked to defend their view, they do so by citing (supposed) evidence that aborted fetuses have minds and, in particular, can feel both emotional and physical pain during the act of abortion. And when pro-choicers are asked to defend </w:t>
      </w:r>
      <w:r>
        <w:rPr>
          <w:i/>
        </w:rPr>
        <w:t xml:space="preserve">their </w:t>
      </w:r>
      <w:r>
        <w:t>position, they cite (supposed) evidence that fetuses don’t have the neural wherewithal to have minds. So, while there is no denying that the debate over the merits of abortion has a more incessant, and also bitter, quality than debates about the structure of the hydrogen atom, much of the debate over abortion, and possibly all of it, does seem to turn on strictly factual questions.</w:t>
      </w:r>
    </w:p>
    <w:p w14:paraId="7E0023B9" w14:textId="77777777" w:rsidR="009A58DB" w:rsidRDefault="00000000">
      <w:pPr>
        <w:pStyle w:val="Heading1"/>
        <w:numPr>
          <w:ilvl w:val="0"/>
          <w:numId w:val="63"/>
        </w:numPr>
        <w:tabs>
          <w:tab w:val="left" w:pos="1409"/>
        </w:tabs>
        <w:spacing w:before="212"/>
        <w:ind w:left="1409" w:hanging="1049"/>
      </w:pPr>
      <w:r>
        <w:t>What</w:t>
      </w:r>
      <w:r>
        <w:rPr>
          <w:spacing w:val="-4"/>
        </w:rPr>
        <w:t xml:space="preserve"> </w:t>
      </w:r>
      <w:r>
        <w:t>are</w:t>
      </w:r>
      <w:r>
        <w:rPr>
          <w:spacing w:val="-3"/>
        </w:rPr>
        <w:t xml:space="preserve"> </w:t>
      </w:r>
      <w:r>
        <w:t>ethical</w:t>
      </w:r>
      <w:r>
        <w:rPr>
          <w:spacing w:val="-3"/>
        </w:rPr>
        <w:t xml:space="preserve"> </w:t>
      </w:r>
      <w:r>
        <w:rPr>
          <w:spacing w:val="-2"/>
        </w:rPr>
        <w:t>truths?</w:t>
      </w:r>
    </w:p>
    <w:p w14:paraId="7E0023BA" w14:textId="77777777" w:rsidR="009A58DB" w:rsidRDefault="00000000">
      <w:pPr>
        <w:pStyle w:val="BodyText"/>
        <w:spacing w:before="139" w:line="249" w:lineRule="auto"/>
        <w:ind w:right="366"/>
      </w:pPr>
      <w:r>
        <w:t>We’re not in a position to answer this question right now. (An answer to this question is proposed and defended in Chapter 22.) But the points just made may point us in the right general direction.</w:t>
      </w:r>
    </w:p>
    <w:p w14:paraId="7E0023B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BC" w14:textId="77777777" w:rsidR="009A58DB" w:rsidRDefault="00000000">
      <w:pPr>
        <w:pStyle w:val="BodyText"/>
        <w:spacing w:before="65" w:line="249" w:lineRule="auto"/>
        <w:ind w:right="365" w:firstLine="360"/>
      </w:pPr>
      <w:r>
        <w:lastRenderedPageBreak/>
        <w:t>We just saw that ethical contentions often have a heavy, albeit implicit, factual</w:t>
      </w:r>
      <w:r>
        <w:rPr>
          <w:spacing w:val="-5"/>
        </w:rPr>
        <w:t xml:space="preserve"> </w:t>
      </w:r>
      <w:r>
        <w:t>component.</w:t>
      </w:r>
      <w:r>
        <w:rPr>
          <w:spacing w:val="-4"/>
        </w:rPr>
        <w:t xml:space="preserve"> </w:t>
      </w:r>
      <w:r>
        <w:t>This</w:t>
      </w:r>
      <w:r>
        <w:rPr>
          <w:spacing w:val="-5"/>
        </w:rPr>
        <w:t xml:space="preserve"> </w:t>
      </w:r>
      <w:r>
        <w:t>suggests</w:t>
      </w:r>
      <w:r>
        <w:rPr>
          <w:spacing w:val="-5"/>
        </w:rPr>
        <w:t xml:space="preserve"> </w:t>
      </w:r>
      <w:r>
        <w:t>that</w:t>
      </w:r>
      <w:r>
        <w:rPr>
          <w:spacing w:val="-5"/>
        </w:rPr>
        <w:t xml:space="preserve"> </w:t>
      </w:r>
      <w:r>
        <w:t>ethical</w:t>
      </w:r>
      <w:r>
        <w:rPr>
          <w:spacing w:val="-5"/>
        </w:rPr>
        <w:t xml:space="preserve"> </w:t>
      </w:r>
      <w:r>
        <w:t>assertions</w:t>
      </w:r>
      <w:r>
        <w:rPr>
          <w:spacing w:val="-5"/>
        </w:rPr>
        <w:t xml:space="preserve"> </w:t>
      </w:r>
      <w:r>
        <w:rPr>
          <w:i/>
        </w:rPr>
        <w:t>are</w:t>
      </w:r>
      <w:r>
        <w:rPr>
          <w:i/>
          <w:spacing w:val="-4"/>
        </w:rPr>
        <w:t xml:space="preserve"> </w:t>
      </w:r>
      <w:r>
        <w:t>factual</w:t>
      </w:r>
      <w:r>
        <w:rPr>
          <w:spacing w:val="-5"/>
        </w:rPr>
        <w:t xml:space="preserve"> </w:t>
      </w:r>
      <w:r>
        <w:t>assertions, albeit disguised ones.</w:t>
      </w:r>
    </w:p>
    <w:p w14:paraId="7E0023BD" w14:textId="77777777" w:rsidR="009A58DB" w:rsidRDefault="00000000">
      <w:pPr>
        <w:pStyle w:val="BodyText"/>
        <w:spacing w:before="3" w:line="249" w:lineRule="auto"/>
        <w:ind w:right="363" w:firstLine="360"/>
      </w:pPr>
      <w:r>
        <w:t xml:space="preserve">This view has been taken. According to one version of it, which is known as “utilitarianism,” good things are those that bring about happiness and bad things are those that diminish happiness. (Not the happiness of any </w:t>
      </w:r>
      <w:r>
        <w:rPr>
          <w:i/>
        </w:rPr>
        <w:t xml:space="preserve">one </w:t>
      </w:r>
      <w:r>
        <w:t xml:space="preserve">person, but the happiness of </w:t>
      </w:r>
      <w:r>
        <w:rPr>
          <w:i/>
        </w:rPr>
        <w:t>everybody.</w:t>
      </w:r>
      <w:r>
        <w:t>) So a utilitarian would say universal health care is morally good if it increases happiness, morally bad if it decreases it, and morally neutral if it does neither.</w:t>
      </w:r>
    </w:p>
    <w:p w14:paraId="7E0023BE" w14:textId="77777777" w:rsidR="009A58DB" w:rsidRDefault="00000000">
      <w:pPr>
        <w:pStyle w:val="BodyText"/>
        <w:spacing w:before="8" w:line="249" w:lineRule="auto"/>
        <w:ind w:right="364" w:firstLine="360"/>
      </w:pPr>
      <w:r>
        <w:rPr>
          <w:spacing w:val="-2"/>
        </w:rPr>
        <w:t>We’ll</w:t>
      </w:r>
      <w:r>
        <w:rPr>
          <w:spacing w:val="-12"/>
        </w:rPr>
        <w:t xml:space="preserve"> </w:t>
      </w:r>
      <w:r>
        <w:rPr>
          <w:spacing w:val="-2"/>
        </w:rPr>
        <w:t>discuss</w:t>
      </w:r>
      <w:r>
        <w:rPr>
          <w:spacing w:val="-12"/>
        </w:rPr>
        <w:t xml:space="preserve"> </w:t>
      </w:r>
      <w:r>
        <w:rPr>
          <w:spacing w:val="-2"/>
        </w:rPr>
        <w:t>utilitarianism</w:t>
      </w:r>
      <w:r>
        <w:rPr>
          <w:spacing w:val="-12"/>
        </w:rPr>
        <w:t xml:space="preserve"> </w:t>
      </w:r>
      <w:r>
        <w:rPr>
          <w:spacing w:val="-2"/>
        </w:rPr>
        <w:t>in</w:t>
      </w:r>
      <w:r>
        <w:rPr>
          <w:spacing w:val="-12"/>
        </w:rPr>
        <w:t xml:space="preserve"> </w:t>
      </w:r>
      <w:r>
        <w:rPr>
          <w:spacing w:val="-2"/>
        </w:rPr>
        <w:t>Chapter</w:t>
      </w:r>
      <w:r>
        <w:rPr>
          <w:spacing w:val="-12"/>
        </w:rPr>
        <w:t xml:space="preserve"> </w:t>
      </w:r>
      <w:r>
        <w:rPr>
          <w:spacing w:val="-2"/>
        </w:rPr>
        <w:t>24.</w:t>
      </w:r>
      <w:r>
        <w:rPr>
          <w:spacing w:val="-12"/>
        </w:rPr>
        <w:t xml:space="preserve"> </w:t>
      </w:r>
      <w:r>
        <w:rPr>
          <w:spacing w:val="-2"/>
        </w:rPr>
        <w:t>But</w:t>
      </w:r>
      <w:r>
        <w:rPr>
          <w:spacing w:val="-12"/>
        </w:rPr>
        <w:t xml:space="preserve"> </w:t>
      </w:r>
      <w:r>
        <w:rPr>
          <w:spacing w:val="-2"/>
        </w:rPr>
        <w:t>a</w:t>
      </w:r>
      <w:r>
        <w:rPr>
          <w:spacing w:val="-12"/>
        </w:rPr>
        <w:t xml:space="preserve"> </w:t>
      </w:r>
      <w:r>
        <w:rPr>
          <w:spacing w:val="-2"/>
        </w:rPr>
        <w:t>couple</w:t>
      </w:r>
      <w:r>
        <w:rPr>
          <w:spacing w:val="-12"/>
        </w:rPr>
        <w:t xml:space="preserve"> </w:t>
      </w:r>
      <w:r>
        <w:rPr>
          <w:spacing w:val="-2"/>
        </w:rPr>
        <w:t>of</w:t>
      </w:r>
      <w:r>
        <w:rPr>
          <w:spacing w:val="-12"/>
        </w:rPr>
        <w:t xml:space="preserve"> </w:t>
      </w:r>
      <w:r>
        <w:rPr>
          <w:spacing w:val="-2"/>
        </w:rPr>
        <w:t>points</w:t>
      </w:r>
      <w:r>
        <w:rPr>
          <w:spacing w:val="-12"/>
        </w:rPr>
        <w:t xml:space="preserve"> </w:t>
      </w:r>
      <w:r>
        <w:rPr>
          <w:spacing w:val="-2"/>
        </w:rPr>
        <w:t>about</w:t>
      </w:r>
      <w:r>
        <w:rPr>
          <w:spacing w:val="-12"/>
        </w:rPr>
        <w:t xml:space="preserve"> </w:t>
      </w:r>
      <w:r>
        <w:rPr>
          <w:spacing w:val="-2"/>
        </w:rPr>
        <w:t>it</w:t>
      </w:r>
      <w:r>
        <w:rPr>
          <w:spacing w:val="-12"/>
        </w:rPr>
        <w:t xml:space="preserve"> </w:t>
      </w:r>
      <w:r>
        <w:rPr>
          <w:spacing w:val="-2"/>
        </w:rPr>
        <w:t xml:space="preserve">are </w:t>
      </w:r>
      <w:r>
        <w:t>relevant in this context. First, it can’t be all wrong.</w:t>
      </w:r>
      <w:r>
        <w:rPr>
          <w:spacing w:val="40"/>
        </w:rPr>
        <w:t xml:space="preserve"> </w:t>
      </w:r>
      <w:r>
        <w:t>It’s hard to believe that something</w:t>
      </w:r>
      <w:r>
        <w:rPr>
          <w:spacing w:val="-19"/>
        </w:rPr>
        <w:t xml:space="preserve"> </w:t>
      </w:r>
      <w:r>
        <w:t>that</w:t>
      </w:r>
      <w:r>
        <w:rPr>
          <w:spacing w:val="-19"/>
        </w:rPr>
        <w:t xml:space="preserve"> </w:t>
      </w:r>
      <w:r>
        <w:t>made</w:t>
      </w:r>
      <w:r>
        <w:rPr>
          <w:spacing w:val="-19"/>
        </w:rPr>
        <w:t xml:space="preserve"> </w:t>
      </w:r>
      <w:r>
        <w:t>everybody</w:t>
      </w:r>
      <w:r>
        <w:rPr>
          <w:spacing w:val="-18"/>
        </w:rPr>
        <w:t xml:space="preserve"> </w:t>
      </w:r>
      <w:r>
        <w:t>miserable</w:t>
      </w:r>
      <w:r>
        <w:rPr>
          <w:spacing w:val="-19"/>
        </w:rPr>
        <w:t xml:space="preserve"> </w:t>
      </w:r>
      <w:r>
        <w:t>would</w:t>
      </w:r>
      <w:r>
        <w:rPr>
          <w:spacing w:val="-19"/>
        </w:rPr>
        <w:t xml:space="preserve"> </w:t>
      </w:r>
      <w:r>
        <w:t>be</w:t>
      </w:r>
      <w:r>
        <w:rPr>
          <w:spacing w:val="-19"/>
        </w:rPr>
        <w:t xml:space="preserve"> </w:t>
      </w:r>
      <w:r>
        <w:t>good</w:t>
      </w:r>
    </w:p>
    <w:p w14:paraId="7E0023BF" w14:textId="77777777" w:rsidR="009A58DB" w:rsidRDefault="00000000">
      <w:pPr>
        <w:pStyle w:val="BodyText"/>
        <w:spacing w:before="3" w:line="249" w:lineRule="auto"/>
        <w:ind w:right="358"/>
      </w:pPr>
      <w:r>
        <w:t>or that</w:t>
      </w:r>
      <w:r>
        <w:rPr>
          <w:spacing w:val="-16"/>
        </w:rPr>
        <w:t xml:space="preserve"> </w:t>
      </w:r>
      <w:r>
        <w:t>something that made everybody happy would be bad. The question “does x make people happier, unhappier, or neither?” is a strictly factual question. Whether Smith is happy or not has nothing to do with my opinion</w:t>
      </w:r>
      <w:r>
        <w:rPr>
          <w:spacing w:val="40"/>
        </w:rPr>
        <w:t xml:space="preserve"> </w:t>
      </w:r>
      <w:r>
        <w:t xml:space="preserve">or anyone else’s. (It doesn’t even have to do with Smith’s opinion. His opinion is more likely to be accurate, than other people’s, but if it’s correct, that’s because it’s rooted in the relevant facts. In fact, Smith’s opinion as to whether he was happy </w:t>
      </w:r>
      <w:r>
        <w:rPr>
          <w:i/>
        </w:rPr>
        <w:t xml:space="preserve">wouldn’t </w:t>
      </w:r>
      <w:r>
        <w:t>be more likely to be accurate than anyone else’s</w:t>
      </w:r>
      <w:r>
        <w:rPr>
          <w:spacing w:val="-2"/>
        </w:rPr>
        <w:t xml:space="preserve"> </w:t>
      </w:r>
      <w:r>
        <w:t>if</w:t>
      </w:r>
      <w:r>
        <w:rPr>
          <w:spacing w:val="-2"/>
        </w:rPr>
        <w:t xml:space="preserve"> </w:t>
      </w:r>
      <w:r>
        <w:t>it</w:t>
      </w:r>
      <w:r>
        <w:rPr>
          <w:spacing w:val="-2"/>
        </w:rPr>
        <w:t xml:space="preserve"> </w:t>
      </w:r>
      <w:r>
        <w:t>were</w:t>
      </w:r>
      <w:r>
        <w:rPr>
          <w:spacing w:val="-1"/>
        </w:rPr>
        <w:t xml:space="preserve"> </w:t>
      </w:r>
      <w:r>
        <w:t>just</w:t>
      </w:r>
      <w:r>
        <w:rPr>
          <w:spacing w:val="-2"/>
        </w:rPr>
        <w:t xml:space="preserve"> </w:t>
      </w:r>
      <w:r>
        <w:t>a</w:t>
      </w:r>
      <w:r>
        <w:rPr>
          <w:spacing w:val="-2"/>
        </w:rPr>
        <w:t xml:space="preserve"> </w:t>
      </w:r>
      <w:r>
        <w:t>“matter</w:t>
      </w:r>
      <w:r>
        <w:rPr>
          <w:spacing w:val="-2"/>
        </w:rPr>
        <w:t xml:space="preserve"> </w:t>
      </w:r>
      <w:r>
        <w:t>of</w:t>
      </w:r>
      <w:r>
        <w:rPr>
          <w:spacing w:val="-1"/>
        </w:rPr>
        <w:t xml:space="preserve"> </w:t>
      </w:r>
      <w:r>
        <w:t>opinion”</w:t>
      </w:r>
      <w:r>
        <w:rPr>
          <w:spacing w:val="-2"/>
        </w:rPr>
        <w:t xml:space="preserve"> </w:t>
      </w:r>
      <w:r>
        <w:t>whether</w:t>
      </w:r>
      <w:r>
        <w:rPr>
          <w:spacing w:val="-2"/>
        </w:rPr>
        <w:t xml:space="preserve"> </w:t>
      </w:r>
      <w:r>
        <w:t>he</w:t>
      </w:r>
      <w:r>
        <w:rPr>
          <w:spacing w:val="-2"/>
        </w:rPr>
        <w:t xml:space="preserve"> </w:t>
      </w:r>
      <w:r>
        <w:t>were</w:t>
      </w:r>
      <w:r>
        <w:rPr>
          <w:spacing w:val="-1"/>
        </w:rPr>
        <w:t xml:space="preserve"> </w:t>
      </w:r>
      <w:r>
        <w:t>happy</w:t>
      </w:r>
      <w:r>
        <w:rPr>
          <w:spacing w:val="-2"/>
        </w:rPr>
        <w:t xml:space="preserve"> </w:t>
      </w:r>
      <w:r>
        <w:t>or</w:t>
      </w:r>
      <w:r>
        <w:rPr>
          <w:spacing w:val="-2"/>
        </w:rPr>
        <w:t xml:space="preserve"> </w:t>
      </w:r>
      <w:r>
        <w:t>not.)</w:t>
      </w:r>
      <w:r>
        <w:rPr>
          <w:spacing w:val="-1"/>
        </w:rPr>
        <w:t xml:space="preserve"> </w:t>
      </w:r>
      <w:r>
        <w:t>The question “how happy is so and so, if at all?” is a strictly factual question, and ethical judgments are not a “matter of opinion” if utilitarianism is correct.</w:t>
      </w:r>
    </w:p>
    <w:p w14:paraId="7E0023C0" w14:textId="77777777" w:rsidR="009A58DB" w:rsidRDefault="00000000">
      <w:pPr>
        <w:pStyle w:val="BodyText"/>
        <w:spacing w:before="13" w:line="249" w:lineRule="auto"/>
        <w:ind w:right="358" w:firstLine="360"/>
      </w:pPr>
      <w:r>
        <w:t>According to another view, for something to be good is for it to be identical with, or logically required by, a practice on which human</w:t>
      </w:r>
      <w:r>
        <w:rPr>
          <w:spacing w:val="40"/>
        </w:rPr>
        <w:t xml:space="preserve"> </w:t>
      </w:r>
      <w:r>
        <w:rPr>
          <w:i/>
        </w:rPr>
        <w:t xml:space="preserve">flourishing </w:t>
      </w:r>
      <w:r>
        <w:t>depends. By “human flourishing” is meant the actualization of human abilities. So, according to the view in question, if you have an innate talent for writing fiction, then you are flourishing insofar as you are putting that talent to use and failing to flourish insofar as you are not. It’s a question of fact whether so and so is putting his innate musical ability to good use. Given any creature and any inborn ability on its part, it’s a question of fact to what extent, if any, it’s using that ability. And it’s a question of fact to what extent a given act on your part or anybody else’s promotes or thwarts the expression of inborn ability. So if the just-descried moral view is correct, moral questions are factual questions. “Is x good?” is identical with the question</w:t>
      </w:r>
      <w:r>
        <w:rPr>
          <w:spacing w:val="51"/>
        </w:rPr>
        <w:t xml:space="preserve">  </w:t>
      </w:r>
      <w:r>
        <w:t>“does</w:t>
      </w:r>
      <w:r>
        <w:rPr>
          <w:spacing w:val="52"/>
        </w:rPr>
        <w:t xml:space="preserve">  </w:t>
      </w:r>
      <w:r>
        <w:t>x</w:t>
      </w:r>
      <w:r>
        <w:rPr>
          <w:spacing w:val="52"/>
        </w:rPr>
        <w:t xml:space="preserve">  </w:t>
      </w:r>
      <w:r>
        <w:t>promote</w:t>
      </w:r>
      <w:r>
        <w:rPr>
          <w:spacing w:val="52"/>
        </w:rPr>
        <w:t xml:space="preserve">  </w:t>
      </w:r>
      <w:r>
        <w:t>or</w:t>
      </w:r>
      <w:r>
        <w:rPr>
          <w:spacing w:val="52"/>
        </w:rPr>
        <w:t xml:space="preserve">  </w:t>
      </w:r>
      <w:r>
        <w:t>thwart</w:t>
      </w:r>
      <w:r>
        <w:rPr>
          <w:spacing w:val="52"/>
        </w:rPr>
        <w:t xml:space="preserve">  </w:t>
      </w:r>
      <w:r>
        <w:t>the</w:t>
      </w:r>
      <w:r>
        <w:rPr>
          <w:spacing w:val="52"/>
        </w:rPr>
        <w:t xml:space="preserve">  </w:t>
      </w:r>
      <w:r>
        <w:t>development</w:t>
      </w:r>
      <w:r>
        <w:rPr>
          <w:spacing w:val="52"/>
        </w:rPr>
        <w:t xml:space="preserve">  </w:t>
      </w:r>
      <w:r>
        <w:t>of</w:t>
      </w:r>
      <w:r>
        <w:rPr>
          <w:spacing w:val="52"/>
        </w:rPr>
        <w:t xml:space="preserve">  </w:t>
      </w:r>
      <w:r>
        <w:rPr>
          <w:spacing w:val="-2"/>
        </w:rPr>
        <w:t>people’s</w:t>
      </w:r>
    </w:p>
    <w:p w14:paraId="7E0023C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C2" w14:textId="77777777" w:rsidR="009A58DB" w:rsidRDefault="00000000">
      <w:pPr>
        <w:pStyle w:val="BodyText"/>
        <w:spacing w:before="65"/>
        <w:jc w:val="left"/>
        <w:rPr>
          <w:position w:val="21"/>
        </w:rPr>
      </w:pPr>
      <w:r>
        <w:rPr>
          <w:spacing w:val="-2"/>
        </w:rPr>
        <w:lastRenderedPageBreak/>
        <w:t>abilities?</w:t>
      </w:r>
      <w:bookmarkStart w:id="486" w:name="_bookmark486"/>
      <w:bookmarkEnd w:id="486"/>
      <w:r>
        <w:rPr>
          <w:spacing w:val="-2"/>
        </w:rPr>
        <w:t>”</w:t>
      </w:r>
      <w:r>
        <w:rPr>
          <w:color w:val="0562C1"/>
          <w:spacing w:val="-2"/>
          <w:position w:val="21"/>
          <w:u w:val="single" w:color="0562C1"/>
        </w:rPr>
        <w:t>[362]</w:t>
      </w:r>
    </w:p>
    <w:p w14:paraId="7E0023C3" w14:textId="77777777" w:rsidR="009A58DB" w:rsidRDefault="009A58DB">
      <w:pPr>
        <w:pStyle w:val="BodyText"/>
        <w:jc w:val="left"/>
        <w:rPr>
          <w:position w:val="21"/>
        </w:rPr>
        <w:sectPr w:rsidR="009A58DB">
          <w:pgSz w:w="12240" w:h="15840"/>
          <w:pgMar w:top="1380" w:right="1080" w:bottom="280" w:left="1080" w:header="720" w:footer="720" w:gutter="0"/>
          <w:cols w:space="720"/>
        </w:sectPr>
      </w:pPr>
    </w:p>
    <w:p w14:paraId="7E0023C4" w14:textId="77777777" w:rsidR="009A58DB" w:rsidRDefault="009A58DB">
      <w:pPr>
        <w:pStyle w:val="BodyText"/>
        <w:spacing w:before="4"/>
        <w:ind w:left="0"/>
        <w:jc w:val="left"/>
        <w:rPr>
          <w:sz w:val="17"/>
        </w:rPr>
      </w:pPr>
    </w:p>
    <w:p w14:paraId="7E0023C5"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3C6" w14:textId="77777777" w:rsidR="009A58DB" w:rsidRDefault="00000000">
      <w:pPr>
        <w:spacing w:line="503" w:lineRule="exact"/>
        <w:ind w:left="326" w:right="332"/>
        <w:jc w:val="center"/>
        <w:rPr>
          <w:rFonts w:ascii="Calibri Light"/>
          <w:sz w:val="42"/>
        </w:rPr>
      </w:pPr>
      <w:bookmarkStart w:id="487" w:name="_bookmark487"/>
      <w:bookmarkEnd w:id="487"/>
      <w:r>
        <w:rPr>
          <w:rFonts w:ascii="Calibri Light"/>
          <w:sz w:val="42"/>
        </w:rPr>
        <w:lastRenderedPageBreak/>
        <w:t>Chapter</w:t>
      </w:r>
      <w:r>
        <w:rPr>
          <w:rFonts w:ascii="Calibri Light"/>
          <w:spacing w:val="56"/>
          <w:sz w:val="42"/>
        </w:rPr>
        <w:t xml:space="preserve"> </w:t>
      </w:r>
      <w:r>
        <w:rPr>
          <w:rFonts w:ascii="Calibri Light"/>
          <w:spacing w:val="-5"/>
          <w:sz w:val="42"/>
        </w:rPr>
        <w:t>20</w:t>
      </w:r>
    </w:p>
    <w:p w14:paraId="7E0023C7" w14:textId="77777777" w:rsidR="009A58DB" w:rsidRDefault="00000000">
      <w:pPr>
        <w:spacing w:before="222"/>
        <w:ind w:left="326" w:right="332"/>
        <w:jc w:val="center"/>
        <w:rPr>
          <w:rFonts w:ascii="Calibri Light"/>
          <w:sz w:val="42"/>
        </w:rPr>
      </w:pPr>
      <w:bookmarkStart w:id="488" w:name="_bookmark488"/>
      <w:bookmarkEnd w:id="488"/>
      <w:r>
        <w:rPr>
          <w:rFonts w:ascii="Calibri Light"/>
          <w:spacing w:val="-2"/>
          <w:sz w:val="42"/>
        </w:rPr>
        <w:t>Emotivism</w:t>
      </w:r>
    </w:p>
    <w:p w14:paraId="7E0023C8" w14:textId="77777777" w:rsidR="009A58DB" w:rsidRDefault="00000000">
      <w:pPr>
        <w:pStyle w:val="Heading1"/>
        <w:numPr>
          <w:ilvl w:val="0"/>
          <w:numId w:val="62"/>
        </w:numPr>
        <w:tabs>
          <w:tab w:val="left" w:pos="1409"/>
        </w:tabs>
        <w:spacing w:before="185"/>
        <w:ind w:left="1409" w:hanging="1049"/>
      </w:pPr>
      <w:r>
        <w:t>Are</w:t>
      </w:r>
      <w:r>
        <w:rPr>
          <w:spacing w:val="-9"/>
        </w:rPr>
        <w:t xml:space="preserve"> </w:t>
      </w:r>
      <w:r>
        <w:t>value-judgments</w:t>
      </w:r>
      <w:r>
        <w:rPr>
          <w:spacing w:val="-6"/>
        </w:rPr>
        <w:t xml:space="preserve"> </w:t>
      </w:r>
      <w:r>
        <w:t>expressions</w:t>
      </w:r>
      <w:r>
        <w:rPr>
          <w:spacing w:val="-6"/>
        </w:rPr>
        <w:t xml:space="preserve"> </w:t>
      </w:r>
      <w:r>
        <w:t>of</w:t>
      </w:r>
      <w:r>
        <w:rPr>
          <w:spacing w:val="-6"/>
        </w:rPr>
        <w:t xml:space="preserve"> </w:t>
      </w:r>
      <w:r>
        <w:rPr>
          <w:spacing w:val="-2"/>
        </w:rPr>
        <w:t>emotion?</w:t>
      </w:r>
    </w:p>
    <w:p w14:paraId="7E0023C9" w14:textId="77777777" w:rsidR="009A58DB" w:rsidRDefault="00000000">
      <w:pPr>
        <w:pStyle w:val="BodyText"/>
        <w:spacing w:before="139" w:line="249" w:lineRule="auto"/>
        <w:ind w:right="360"/>
      </w:pPr>
      <w:r>
        <w:t>According to som</w:t>
      </w:r>
      <w:bookmarkStart w:id="489" w:name="_bookmark489"/>
      <w:bookmarkEnd w:id="489"/>
      <w:r>
        <w:t>e</w:t>
      </w:r>
      <w:r>
        <w:rPr>
          <w:color w:val="0562C1"/>
          <w:position w:val="21"/>
          <w:u w:val="single" w:color="0562C1"/>
        </w:rPr>
        <w:t>[363]</w:t>
      </w:r>
      <w:r>
        <w:t>, it is inherent in the nature of ethical pronouncements</w:t>
      </w:r>
      <w:r>
        <w:rPr>
          <w:spacing w:val="-5"/>
        </w:rPr>
        <w:t xml:space="preserve"> </w:t>
      </w:r>
      <w:r>
        <w:t>that,</w:t>
      </w:r>
      <w:r>
        <w:rPr>
          <w:spacing w:val="-4"/>
        </w:rPr>
        <w:t xml:space="preserve"> </w:t>
      </w:r>
      <w:r>
        <w:t>when</w:t>
      </w:r>
      <w:r>
        <w:rPr>
          <w:spacing w:val="-4"/>
        </w:rPr>
        <w:t xml:space="preserve"> </w:t>
      </w:r>
      <w:r>
        <w:t>made</w:t>
      </w:r>
      <w:r>
        <w:rPr>
          <w:spacing w:val="-5"/>
        </w:rPr>
        <w:t xml:space="preserve"> </w:t>
      </w:r>
      <w:r>
        <w:t>sincerely,</w:t>
      </w:r>
      <w:r>
        <w:rPr>
          <w:spacing w:val="-4"/>
        </w:rPr>
        <w:t xml:space="preserve"> </w:t>
      </w:r>
      <w:r>
        <w:t>they</w:t>
      </w:r>
      <w:r>
        <w:rPr>
          <w:spacing w:val="-4"/>
        </w:rPr>
        <w:t xml:space="preserve"> </w:t>
      </w:r>
      <w:r>
        <w:t>express</w:t>
      </w:r>
      <w:r>
        <w:rPr>
          <w:spacing w:val="-5"/>
        </w:rPr>
        <w:t xml:space="preserve"> </w:t>
      </w:r>
      <w:r>
        <w:t>feelings</w:t>
      </w:r>
      <w:r>
        <w:rPr>
          <w:spacing w:val="-5"/>
        </w:rPr>
        <w:t xml:space="preserve"> </w:t>
      </w:r>
      <w:r>
        <w:t>or</w:t>
      </w:r>
      <w:r>
        <w:rPr>
          <w:spacing w:val="-5"/>
        </w:rPr>
        <w:t xml:space="preserve"> </w:t>
      </w:r>
      <w:r>
        <w:t xml:space="preserve">emotions of some kind. Given only that you’ve sincerely said “that rock weighs over 100 pounds,” nothing can be concluded about how you feel about the rock’s weight. It’s unknown whether you’re happy about it, sad about it, or neither. But, so it is said, if you say “Larry is a bad man,” your statement, if sincere, must embody feelings of some kind concerning Larry’s deeds or character. If you feel nothing either way, you’re guilty of insincerity in uttering that sentence, and are in the same category as somebody who hates opera who says “I absolutely </w:t>
      </w:r>
      <w:r>
        <w:rPr>
          <w:i/>
        </w:rPr>
        <w:t xml:space="preserve">adore </w:t>
      </w:r>
      <w:r>
        <w:t>opera.”</w:t>
      </w:r>
    </w:p>
    <w:p w14:paraId="7E0023CA" w14:textId="77777777" w:rsidR="009A58DB" w:rsidRDefault="00000000">
      <w:pPr>
        <w:pStyle w:val="BodyText"/>
        <w:spacing w:before="12" w:line="249" w:lineRule="auto"/>
        <w:ind w:right="358" w:firstLine="360"/>
      </w:pPr>
      <w:r>
        <w:t>If correct, these points suggest that moral “judgments” are nothing more than expressions of sentiment. If you say “Larry is a bad man,” you’re just venting your negative feelings about Larry, and you’re no more saying something true or false than you would be if you scowled at Larry. By the same logic, when you say “Mother Teresa was a good person,” you are no more saying something true or false than you would be if you gave Mother Teresa a loving hug.</w:t>
      </w:r>
    </w:p>
    <w:p w14:paraId="7E0023CB" w14:textId="77777777" w:rsidR="009A58DB" w:rsidRDefault="00000000">
      <w:pPr>
        <w:pStyle w:val="BodyText"/>
        <w:spacing w:before="9" w:line="249" w:lineRule="auto"/>
        <w:ind w:right="359" w:firstLine="360"/>
        <w:rPr>
          <w:position w:val="21"/>
        </w:rPr>
      </w:pPr>
      <w:r>
        <w:t>Thus, ethical statements express emotions, not judgments. “Stealing is wrong” is just a way of saying “boo stealing!” and saying “giving money to charity</w:t>
      </w:r>
      <w:r>
        <w:rPr>
          <w:spacing w:val="-1"/>
        </w:rPr>
        <w:t xml:space="preserve"> </w:t>
      </w:r>
      <w:r>
        <w:t>is</w:t>
      </w:r>
      <w:r>
        <w:rPr>
          <w:spacing w:val="-1"/>
        </w:rPr>
        <w:t xml:space="preserve"> </w:t>
      </w:r>
      <w:r>
        <w:t>good”</w:t>
      </w:r>
      <w:r>
        <w:rPr>
          <w:spacing w:val="-1"/>
        </w:rPr>
        <w:t xml:space="preserve"> </w:t>
      </w:r>
      <w:r>
        <w:t>is</w:t>
      </w:r>
      <w:r>
        <w:rPr>
          <w:spacing w:val="-1"/>
        </w:rPr>
        <w:t xml:space="preserve"> </w:t>
      </w:r>
      <w:r>
        <w:t>just</w:t>
      </w:r>
      <w:r>
        <w:rPr>
          <w:spacing w:val="-2"/>
        </w:rPr>
        <w:t xml:space="preserve"> </w:t>
      </w:r>
      <w:r>
        <w:t>a</w:t>
      </w:r>
      <w:r>
        <w:rPr>
          <w:spacing w:val="-1"/>
        </w:rPr>
        <w:t xml:space="preserve"> </w:t>
      </w:r>
      <w:r>
        <w:t>way</w:t>
      </w:r>
      <w:r>
        <w:rPr>
          <w:spacing w:val="-1"/>
        </w:rPr>
        <w:t xml:space="preserve"> </w:t>
      </w:r>
      <w:r>
        <w:t>of</w:t>
      </w:r>
      <w:r>
        <w:rPr>
          <w:spacing w:val="-1"/>
        </w:rPr>
        <w:t xml:space="preserve"> </w:t>
      </w:r>
      <w:r>
        <w:t>saying</w:t>
      </w:r>
      <w:r>
        <w:rPr>
          <w:spacing w:val="-1"/>
        </w:rPr>
        <w:t xml:space="preserve"> </w:t>
      </w:r>
      <w:r>
        <w:t>“hurray</w:t>
      </w:r>
      <w:r>
        <w:rPr>
          <w:spacing w:val="-1"/>
        </w:rPr>
        <w:t xml:space="preserve"> </w:t>
      </w:r>
      <w:r>
        <w:t>giving</w:t>
      </w:r>
      <w:r>
        <w:rPr>
          <w:spacing w:val="-1"/>
        </w:rPr>
        <w:t xml:space="preserve"> </w:t>
      </w:r>
      <w:r>
        <w:t>money</w:t>
      </w:r>
      <w:r>
        <w:rPr>
          <w:spacing w:val="-1"/>
        </w:rPr>
        <w:t xml:space="preserve"> </w:t>
      </w:r>
      <w:r>
        <w:t>to</w:t>
      </w:r>
      <w:r>
        <w:rPr>
          <w:spacing w:val="-1"/>
        </w:rPr>
        <w:t xml:space="preserve"> </w:t>
      </w:r>
      <w:r>
        <w:t>charity!”</w:t>
      </w:r>
      <w:r>
        <w:rPr>
          <w:spacing w:val="-1"/>
        </w:rPr>
        <w:t xml:space="preserve"> </w:t>
      </w:r>
      <w:r>
        <w:t>So-called moral “judgments” thus turn out to be nothing more than expressions of feeling and, therefore, to say nothing at all about the world. Consequently, there are no moral truths and no moral falsehoods</w:t>
      </w:r>
      <w:bookmarkStart w:id="490" w:name="_bookmark490"/>
      <w:bookmarkEnd w:id="490"/>
      <w:r>
        <w:t>.</w:t>
      </w:r>
      <w:r>
        <w:rPr>
          <w:color w:val="0562C1"/>
          <w:position w:val="21"/>
          <w:u w:val="single" w:color="0562C1"/>
        </w:rPr>
        <w:t>[364]</w:t>
      </w:r>
    </w:p>
    <w:p w14:paraId="7E0023CC" w14:textId="77777777" w:rsidR="009A58DB" w:rsidRDefault="00000000">
      <w:pPr>
        <w:pStyle w:val="Heading1"/>
        <w:numPr>
          <w:ilvl w:val="0"/>
          <w:numId w:val="62"/>
        </w:numPr>
        <w:tabs>
          <w:tab w:val="left" w:pos="1409"/>
        </w:tabs>
        <w:spacing w:before="210" w:line="244" w:lineRule="auto"/>
        <w:ind w:left="360" w:right="901" w:firstLine="0"/>
      </w:pPr>
      <w:r>
        <w:t>Why</w:t>
      </w:r>
      <w:r>
        <w:rPr>
          <w:spacing w:val="-10"/>
        </w:rPr>
        <w:t xml:space="preserve"> </w:t>
      </w:r>
      <w:r>
        <w:t>value-judgments</w:t>
      </w:r>
      <w:r>
        <w:rPr>
          <w:spacing w:val="-11"/>
        </w:rPr>
        <w:t xml:space="preserve"> </w:t>
      </w:r>
      <w:r>
        <w:t>aren’t</w:t>
      </w:r>
      <w:r>
        <w:rPr>
          <w:spacing w:val="-11"/>
        </w:rPr>
        <w:t xml:space="preserve"> </w:t>
      </w:r>
      <w:r>
        <w:t>expressions</w:t>
      </w:r>
      <w:r>
        <w:rPr>
          <w:spacing w:val="-11"/>
        </w:rPr>
        <w:t xml:space="preserve"> </w:t>
      </w:r>
      <w:r>
        <w:t xml:space="preserve">of </w:t>
      </w:r>
      <w:r>
        <w:rPr>
          <w:spacing w:val="-2"/>
        </w:rPr>
        <w:t>emotion</w:t>
      </w:r>
    </w:p>
    <w:p w14:paraId="7E0023CD" w14:textId="77777777" w:rsidR="009A58DB" w:rsidRDefault="00000000">
      <w:pPr>
        <w:pStyle w:val="BodyText"/>
        <w:spacing w:before="132"/>
      </w:pPr>
      <w:r>
        <w:t>It’s</w:t>
      </w:r>
      <w:r>
        <w:rPr>
          <w:spacing w:val="18"/>
        </w:rPr>
        <w:t xml:space="preserve"> </w:t>
      </w:r>
      <w:r>
        <w:t>simply</w:t>
      </w:r>
      <w:r>
        <w:rPr>
          <w:spacing w:val="20"/>
        </w:rPr>
        <w:t xml:space="preserve"> </w:t>
      </w:r>
      <w:r>
        <w:t>false</w:t>
      </w:r>
      <w:r>
        <w:rPr>
          <w:spacing w:val="18"/>
        </w:rPr>
        <w:t xml:space="preserve"> </w:t>
      </w:r>
      <w:r>
        <w:t>that</w:t>
      </w:r>
      <w:r>
        <w:rPr>
          <w:spacing w:val="19"/>
        </w:rPr>
        <w:t xml:space="preserve"> </w:t>
      </w:r>
      <w:r>
        <w:t>saying</w:t>
      </w:r>
      <w:r>
        <w:rPr>
          <w:spacing w:val="18"/>
        </w:rPr>
        <w:t xml:space="preserve"> </w:t>
      </w:r>
      <w:r>
        <w:t>“x</w:t>
      </w:r>
      <w:r>
        <w:rPr>
          <w:spacing w:val="20"/>
        </w:rPr>
        <w:t xml:space="preserve"> </w:t>
      </w:r>
      <w:r>
        <w:t>is</w:t>
      </w:r>
      <w:r>
        <w:rPr>
          <w:spacing w:val="18"/>
        </w:rPr>
        <w:t xml:space="preserve"> </w:t>
      </w:r>
      <w:r>
        <w:t>good”</w:t>
      </w:r>
      <w:r>
        <w:rPr>
          <w:spacing w:val="20"/>
        </w:rPr>
        <w:t xml:space="preserve"> </w:t>
      </w:r>
      <w:r>
        <w:t>is</w:t>
      </w:r>
      <w:r>
        <w:rPr>
          <w:spacing w:val="18"/>
        </w:rPr>
        <w:t xml:space="preserve"> </w:t>
      </w:r>
      <w:r>
        <w:t>tantamount</w:t>
      </w:r>
      <w:r>
        <w:rPr>
          <w:spacing w:val="19"/>
        </w:rPr>
        <w:t xml:space="preserve"> </w:t>
      </w:r>
      <w:r>
        <w:t>to</w:t>
      </w:r>
      <w:r>
        <w:rPr>
          <w:spacing w:val="18"/>
        </w:rPr>
        <w:t xml:space="preserve"> </w:t>
      </w:r>
      <w:r>
        <w:t>saying</w:t>
      </w:r>
      <w:r>
        <w:rPr>
          <w:spacing w:val="20"/>
        </w:rPr>
        <w:t xml:space="preserve"> </w:t>
      </w:r>
      <w:r>
        <w:t>“hurray</w:t>
      </w:r>
      <w:r>
        <w:rPr>
          <w:spacing w:val="20"/>
        </w:rPr>
        <w:t xml:space="preserve"> </w:t>
      </w:r>
      <w:r>
        <w:rPr>
          <w:spacing w:val="-5"/>
        </w:rPr>
        <w:t>x!”</w:t>
      </w:r>
    </w:p>
    <w:p w14:paraId="7E0023CE" w14:textId="77777777" w:rsidR="009A58DB" w:rsidRDefault="009A58DB">
      <w:pPr>
        <w:pStyle w:val="BodyText"/>
        <w:sectPr w:rsidR="009A58DB">
          <w:pgSz w:w="12240" w:h="15840"/>
          <w:pgMar w:top="1680" w:right="1080" w:bottom="280" w:left="1080" w:header="720" w:footer="720" w:gutter="0"/>
          <w:cols w:space="720"/>
        </w:sectPr>
      </w:pPr>
    </w:p>
    <w:p w14:paraId="7E0023CF" w14:textId="77777777" w:rsidR="009A58DB" w:rsidRDefault="00000000">
      <w:pPr>
        <w:pStyle w:val="BodyText"/>
        <w:spacing w:before="70" w:line="249" w:lineRule="auto"/>
        <w:ind w:right="361"/>
      </w:pPr>
      <w:r>
        <w:lastRenderedPageBreak/>
        <w:t>It’s obvious that a competent speaker of English can sincerely say “Cotton Mathe</w:t>
      </w:r>
      <w:bookmarkStart w:id="491" w:name="_bookmark491"/>
      <w:bookmarkEnd w:id="491"/>
      <w:r>
        <w:t>r</w:t>
      </w:r>
      <w:r>
        <w:rPr>
          <w:color w:val="0562C1"/>
          <w:position w:val="21"/>
          <w:u w:val="single" w:color="0562C1"/>
        </w:rPr>
        <w:t>[365]</w:t>
      </w:r>
      <w:r>
        <w:rPr>
          <w:color w:val="0562C1"/>
          <w:position w:val="21"/>
        </w:rPr>
        <w:t xml:space="preserve"> </w:t>
      </w:r>
      <w:r>
        <w:t xml:space="preserve">was a good man” without personally having any emotion in connection with Cotton Mather. It’s clear that people can </w:t>
      </w:r>
      <w:r>
        <w:rPr>
          <w:i/>
        </w:rPr>
        <w:t xml:space="preserve">coolly </w:t>
      </w:r>
      <w:r>
        <w:t>make moral judgments. In fact, an emotion-driven judgment is, to that extent, not an ethical judgment—or, in any case, not an unbiased one.</w:t>
      </w:r>
    </w:p>
    <w:p w14:paraId="7E0023D0" w14:textId="77777777" w:rsidR="009A58DB" w:rsidRDefault="00000000">
      <w:pPr>
        <w:pStyle w:val="BodyText"/>
        <w:spacing w:before="1" w:line="249" w:lineRule="auto"/>
        <w:ind w:right="358" w:firstLine="360"/>
      </w:pPr>
      <w:r>
        <w:t>One often makes positive moral judgments about people and things that bring them displeasure. There are people who I dislike whose noble acts</w:t>
      </w:r>
      <w:r>
        <w:rPr>
          <w:spacing w:val="40"/>
        </w:rPr>
        <w:t xml:space="preserve"> </w:t>
      </w:r>
      <w:r>
        <w:t>make me want to wretch. But, when not clouded by personal sentiment, I do judge that those acts are good. And when I say “in doing X, so and so did the right thing,” I’m not saying “hurray X.” In all likelihood, I’m wearing a</w:t>
      </w:r>
      <w:r>
        <w:rPr>
          <w:spacing w:val="40"/>
        </w:rPr>
        <w:t xml:space="preserve"> </w:t>
      </w:r>
      <w:r>
        <w:t>frown when I grudgingly express this positive judgment.</w:t>
      </w:r>
    </w:p>
    <w:p w14:paraId="7E0023D1" w14:textId="77777777" w:rsidR="009A58DB" w:rsidRDefault="00000000">
      <w:pPr>
        <w:pStyle w:val="BodyText"/>
        <w:spacing w:before="7" w:line="249" w:lineRule="auto"/>
        <w:ind w:right="362" w:firstLine="360"/>
      </w:pPr>
      <w:r>
        <w:t>But</w:t>
      </w:r>
      <w:r>
        <w:rPr>
          <w:spacing w:val="-4"/>
        </w:rPr>
        <w:t xml:space="preserve"> </w:t>
      </w:r>
      <w:r>
        <w:t>how</w:t>
      </w:r>
      <w:r>
        <w:rPr>
          <w:spacing w:val="-4"/>
        </w:rPr>
        <w:t xml:space="preserve"> </w:t>
      </w:r>
      <w:r>
        <w:t>is</w:t>
      </w:r>
      <w:r>
        <w:rPr>
          <w:spacing w:val="-4"/>
        </w:rPr>
        <w:t xml:space="preserve"> </w:t>
      </w:r>
      <w:r>
        <w:t>this</w:t>
      </w:r>
      <w:r>
        <w:rPr>
          <w:spacing w:val="-4"/>
        </w:rPr>
        <w:t xml:space="preserve"> </w:t>
      </w:r>
      <w:r>
        <w:t>to</w:t>
      </w:r>
      <w:r>
        <w:rPr>
          <w:spacing w:val="-3"/>
        </w:rPr>
        <w:t xml:space="preserve"> </w:t>
      </w:r>
      <w:r>
        <w:t>be</w:t>
      </w:r>
      <w:r>
        <w:rPr>
          <w:spacing w:val="-4"/>
        </w:rPr>
        <w:t xml:space="preserve"> </w:t>
      </w:r>
      <w:r>
        <w:t>reconciled</w:t>
      </w:r>
      <w:r>
        <w:rPr>
          <w:spacing w:val="-3"/>
        </w:rPr>
        <w:t xml:space="preserve"> </w:t>
      </w:r>
      <w:r>
        <w:t>with</w:t>
      </w:r>
      <w:r>
        <w:rPr>
          <w:spacing w:val="-3"/>
        </w:rPr>
        <w:t xml:space="preserve"> </w:t>
      </w:r>
      <w:r>
        <w:t>the</w:t>
      </w:r>
      <w:r>
        <w:rPr>
          <w:spacing w:val="-4"/>
        </w:rPr>
        <w:t xml:space="preserve"> </w:t>
      </w:r>
      <w:r>
        <w:t>emotivist’s</w:t>
      </w:r>
      <w:r>
        <w:rPr>
          <w:spacing w:val="-4"/>
        </w:rPr>
        <w:t xml:space="preserve"> </w:t>
      </w:r>
      <w:r>
        <w:t>contention</w:t>
      </w:r>
      <w:r>
        <w:rPr>
          <w:spacing w:val="-3"/>
        </w:rPr>
        <w:t xml:space="preserve"> </w:t>
      </w:r>
      <w:r>
        <w:t>that</w:t>
      </w:r>
      <w:r>
        <w:rPr>
          <w:spacing w:val="-4"/>
        </w:rPr>
        <w:t xml:space="preserve"> </w:t>
      </w:r>
      <w:r>
        <w:t>ethical statements express emotion? David Hume (1739, 1751) provided a compelling answer to this question, which may be summarized as follows:</w:t>
      </w:r>
    </w:p>
    <w:p w14:paraId="7E0023D2" w14:textId="77777777" w:rsidR="009A58DB" w:rsidRDefault="009A58DB">
      <w:pPr>
        <w:pStyle w:val="BodyText"/>
        <w:spacing w:before="19"/>
        <w:ind w:left="0"/>
        <w:jc w:val="left"/>
      </w:pPr>
    </w:p>
    <w:p w14:paraId="7E0023D3" w14:textId="77777777" w:rsidR="009A58DB" w:rsidRDefault="00000000">
      <w:pPr>
        <w:pStyle w:val="BodyText"/>
        <w:spacing w:line="249" w:lineRule="auto"/>
        <w:ind w:left="720" w:right="718"/>
      </w:pPr>
      <w:r>
        <w:t>(H</w:t>
      </w:r>
      <w:bookmarkStart w:id="492" w:name="_bookmark492"/>
      <w:bookmarkEnd w:id="492"/>
      <w:r>
        <w:t>A</w:t>
      </w:r>
      <w:r>
        <w:rPr>
          <w:color w:val="0562C1"/>
          <w:position w:val="21"/>
          <w:u w:val="single" w:color="0562C1"/>
        </w:rPr>
        <w:t>[366]</w:t>
      </w:r>
      <w:r>
        <w:t xml:space="preserve">) The nature of moral judgment can be understood in terms of a fact about art. In general, people regard artistic works that bring them pleasure as “good” and they regard works that fail to bring pleasure, or bring displeasure, as “bad.” This suggests that, when said of a work of art, “x is good” means “x gives me pleasure,” and “x is bad” means “x fails to give me pleasure.” To be good, in the artistic sense, is to bring </w:t>
      </w:r>
      <w:r>
        <w:rPr>
          <w:spacing w:val="-2"/>
        </w:rPr>
        <w:t>pleasure.</w:t>
      </w:r>
    </w:p>
    <w:p w14:paraId="7E0023D4" w14:textId="77777777" w:rsidR="009A58DB" w:rsidRDefault="00000000">
      <w:pPr>
        <w:pStyle w:val="BodyText"/>
        <w:spacing w:before="8" w:line="249" w:lineRule="auto"/>
        <w:ind w:left="720" w:right="726" w:firstLine="360"/>
      </w:pPr>
      <w:r>
        <w:t>But this analysis cannot quite be right. People can, without self-contradiction,</w:t>
      </w:r>
      <w:r>
        <w:rPr>
          <w:spacing w:val="-19"/>
        </w:rPr>
        <w:t xml:space="preserve"> </w:t>
      </w:r>
      <w:r>
        <w:t>judge</w:t>
      </w:r>
      <w:r>
        <w:rPr>
          <w:spacing w:val="-19"/>
        </w:rPr>
        <w:t xml:space="preserve"> </w:t>
      </w:r>
      <w:r>
        <w:t>that</w:t>
      </w:r>
      <w:r>
        <w:rPr>
          <w:spacing w:val="-19"/>
        </w:rPr>
        <w:t xml:space="preserve"> </w:t>
      </w:r>
      <w:r>
        <w:t>works</w:t>
      </w:r>
      <w:r>
        <w:rPr>
          <w:spacing w:val="-18"/>
        </w:rPr>
        <w:t xml:space="preserve"> </w:t>
      </w:r>
      <w:r>
        <w:t>that</w:t>
      </w:r>
      <w:r>
        <w:rPr>
          <w:spacing w:val="-19"/>
        </w:rPr>
        <w:t xml:space="preserve"> </w:t>
      </w:r>
      <w:r>
        <w:t>don’t</w:t>
      </w:r>
      <w:r>
        <w:rPr>
          <w:spacing w:val="-19"/>
        </w:rPr>
        <w:t xml:space="preserve"> </w:t>
      </w:r>
      <w:r>
        <w:t>bring</w:t>
      </w:r>
      <w:r>
        <w:rPr>
          <w:spacing w:val="-19"/>
        </w:rPr>
        <w:t xml:space="preserve"> </w:t>
      </w:r>
      <w:r>
        <w:t>them</w:t>
      </w:r>
      <w:r>
        <w:rPr>
          <w:spacing w:val="-18"/>
        </w:rPr>
        <w:t xml:space="preserve"> </w:t>
      </w:r>
      <w:r>
        <w:t>pleasure</w:t>
      </w:r>
      <w:r>
        <w:rPr>
          <w:spacing w:val="-19"/>
        </w:rPr>
        <w:t xml:space="preserve"> </w:t>
      </w:r>
      <w:r>
        <w:t>are</w:t>
      </w:r>
      <w:r>
        <w:rPr>
          <w:spacing w:val="-19"/>
        </w:rPr>
        <w:t xml:space="preserve"> </w:t>
      </w:r>
      <w:r>
        <w:t>“good” and</w:t>
      </w:r>
      <w:r>
        <w:rPr>
          <w:spacing w:val="-19"/>
        </w:rPr>
        <w:t xml:space="preserve"> </w:t>
      </w:r>
      <w:r>
        <w:t>works</w:t>
      </w:r>
      <w:r>
        <w:rPr>
          <w:spacing w:val="-19"/>
        </w:rPr>
        <w:t xml:space="preserve"> </w:t>
      </w:r>
      <w:r>
        <w:t>that</w:t>
      </w:r>
      <w:r>
        <w:rPr>
          <w:spacing w:val="-19"/>
        </w:rPr>
        <w:t xml:space="preserve"> </w:t>
      </w:r>
      <w:r>
        <w:t>don’t</w:t>
      </w:r>
      <w:r>
        <w:rPr>
          <w:spacing w:val="-18"/>
        </w:rPr>
        <w:t xml:space="preserve"> </w:t>
      </w:r>
      <w:r>
        <w:t>do</w:t>
      </w:r>
      <w:r>
        <w:rPr>
          <w:spacing w:val="-19"/>
        </w:rPr>
        <w:t xml:space="preserve"> </w:t>
      </w:r>
      <w:r>
        <w:t>so,</w:t>
      </w:r>
      <w:r>
        <w:rPr>
          <w:spacing w:val="-19"/>
        </w:rPr>
        <w:t xml:space="preserve"> </w:t>
      </w:r>
      <w:r>
        <w:t>or</w:t>
      </w:r>
      <w:r>
        <w:rPr>
          <w:spacing w:val="-19"/>
        </w:rPr>
        <w:t xml:space="preserve"> </w:t>
      </w:r>
      <w:r>
        <w:t>bring</w:t>
      </w:r>
      <w:r>
        <w:rPr>
          <w:spacing w:val="-18"/>
        </w:rPr>
        <w:t xml:space="preserve"> </w:t>
      </w:r>
      <w:r>
        <w:t>them</w:t>
      </w:r>
      <w:r>
        <w:rPr>
          <w:spacing w:val="-19"/>
        </w:rPr>
        <w:t xml:space="preserve"> </w:t>
      </w:r>
      <w:r>
        <w:t>displeasure,</w:t>
      </w:r>
      <w:r>
        <w:rPr>
          <w:spacing w:val="-19"/>
        </w:rPr>
        <w:t xml:space="preserve"> </w:t>
      </w:r>
      <w:r>
        <w:t>are</w:t>
      </w:r>
    </w:p>
    <w:p w14:paraId="7E0023D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D6" w14:textId="77777777" w:rsidR="009A58DB" w:rsidRDefault="00000000">
      <w:pPr>
        <w:pStyle w:val="BodyText"/>
        <w:spacing w:before="65" w:line="249" w:lineRule="auto"/>
        <w:ind w:left="720" w:right="727"/>
      </w:pPr>
      <w:r>
        <w:lastRenderedPageBreak/>
        <w:t xml:space="preserve">“bad.” This happens when people know that they </w:t>
      </w:r>
      <w:r>
        <w:rPr>
          <w:i/>
        </w:rPr>
        <w:t xml:space="preserve">would </w:t>
      </w:r>
      <w:r>
        <w:t xml:space="preserve">like a given work were it not for the inhibiting influence of some plainly irrelevant </w:t>
      </w:r>
      <w:r>
        <w:rPr>
          <w:spacing w:val="-2"/>
        </w:rPr>
        <w:t>factor.</w:t>
      </w:r>
    </w:p>
    <w:p w14:paraId="7E0023D7" w14:textId="77777777" w:rsidR="009A58DB" w:rsidRDefault="00000000">
      <w:pPr>
        <w:pStyle w:val="BodyText"/>
        <w:spacing w:before="3" w:line="249" w:lineRule="auto"/>
        <w:ind w:left="720" w:right="718" w:firstLine="360"/>
      </w:pPr>
      <w:r>
        <w:t>A story may help. Smith is a marvelous composer, and you know this. But you also detest Smith. One day you hear a performance of one of his works, and the experience is torture. But you know that, were it not for the fact that you don’t like Smith, hearing that work would be exquisitely pleasurable. So you know that it’s good, even though, because of this random fact about your past, it doesn’t bring you pleasure. And you also know that, so far as other people’s music appreciation isn’t similarly blunted by such person-specific idiosyncrasies, they would derive pleasure from listening to this work of Smith’s. In general, when people describe a work of art as “good,” they mean that, setting aside irrelevancies of the sort just described, it brings people pleasure.</w:t>
      </w:r>
    </w:p>
    <w:p w14:paraId="7E0023D8" w14:textId="77777777" w:rsidR="009A58DB" w:rsidRDefault="00000000">
      <w:pPr>
        <w:pStyle w:val="BodyText"/>
        <w:spacing w:before="15" w:line="249" w:lineRule="auto"/>
        <w:ind w:left="720" w:right="718" w:firstLine="360"/>
      </w:pPr>
      <w:r>
        <w:t xml:space="preserve">The same thing </w:t>
      </w:r>
      <w:r>
        <w:rPr>
          <w:i/>
        </w:rPr>
        <w:t xml:space="preserve">mutatis mutandis </w:t>
      </w:r>
      <w:r>
        <w:t>holds in the moral sphere. In general, people regard acts that bring them happiness as “moral” and regard acts that bring them unhappiness as “immoral.” People act “immorally” when they beat you, and they act “morally” when they help you. But, of course, people sometimes regard things that bring them no pleasure, or even displeasure, as “moral”; and they sometimes regard things that bring them acute pleasure as “immoral.” Many a person has committed heinous crimes and then commended the government for putting him in jail. In many such cases, if not all of them, the person is condemning acts that he obviously committed because doing so was itself enjoyable or was expected to bring him happiness down the line, and he is also commending an act on the government’s part that will bring him untold misery.</w:t>
      </w:r>
    </w:p>
    <w:p w14:paraId="7E0023D9" w14:textId="77777777" w:rsidR="009A58DB" w:rsidRDefault="00000000">
      <w:pPr>
        <w:pStyle w:val="BodyText"/>
        <w:spacing w:before="16" w:line="249" w:lineRule="auto"/>
        <w:ind w:left="720" w:right="719" w:firstLine="360"/>
      </w:pPr>
      <w:r>
        <w:t>But how is this possible, if, as we’ve seen reason to believe, for x to be good is for x to increase happiness? Because “x is good” means “x makes people happy to the extent so far as individual-specific, non-transferable facts about them aren’t a factor.” So the condemned prisoner who praises the government for putting him away knows that, were his circumstances not so abnormal, the government’s putting him away</w:t>
      </w:r>
      <w:r>
        <w:rPr>
          <w:spacing w:val="31"/>
        </w:rPr>
        <w:t xml:space="preserve"> </w:t>
      </w:r>
      <w:r>
        <w:t>would</w:t>
      </w:r>
      <w:r>
        <w:rPr>
          <w:spacing w:val="33"/>
        </w:rPr>
        <w:t xml:space="preserve"> </w:t>
      </w:r>
      <w:r>
        <w:t>let</w:t>
      </w:r>
      <w:r>
        <w:rPr>
          <w:spacing w:val="33"/>
        </w:rPr>
        <w:t xml:space="preserve"> </w:t>
      </w:r>
      <w:r>
        <w:t>him</w:t>
      </w:r>
      <w:r>
        <w:rPr>
          <w:spacing w:val="33"/>
        </w:rPr>
        <w:t xml:space="preserve"> </w:t>
      </w:r>
      <w:r>
        <w:t>sleep</w:t>
      </w:r>
      <w:r>
        <w:rPr>
          <w:spacing w:val="33"/>
        </w:rPr>
        <w:t xml:space="preserve"> </w:t>
      </w:r>
      <w:r>
        <w:t>easier</w:t>
      </w:r>
      <w:r>
        <w:rPr>
          <w:spacing w:val="33"/>
        </w:rPr>
        <w:t xml:space="preserve"> </w:t>
      </w:r>
      <w:r>
        <w:t>at</w:t>
      </w:r>
      <w:r>
        <w:rPr>
          <w:spacing w:val="33"/>
        </w:rPr>
        <w:t xml:space="preserve"> </w:t>
      </w:r>
      <w:r>
        <w:t>night</w:t>
      </w:r>
      <w:r>
        <w:rPr>
          <w:spacing w:val="33"/>
        </w:rPr>
        <w:t xml:space="preserve"> </w:t>
      </w:r>
      <w:r>
        <w:t>(and</w:t>
      </w:r>
      <w:r>
        <w:rPr>
          <w:spacing w:val="33"/>
        </w:rPr>
        <w:t xml:space="preserve"> </w:t>
      </w:r>
      <w:r>
        <w:t>its</w:t>
      </w:r>
      <w:r>
        <w:rPr>
          <w:spacing w:val="33"/>
        </w:rPr>
        <w:t xml:space="preserve"> </w:t>
      </w:r>
      <w:r>
        <w:t>not</w:t>
      </w:r>
      <w:r>
        <w:rPr>
          <w:spacing w:val="33"/>
        </w:rPr>
        <w:t xml:space="preserve"> </w:t>
      </w:r>
      <w:r>
        <w:t>doing</w:t>
      </w:r>
      <w:r>
        <w:rPr>
          <w:spacing w:val="33"/>
        </w:rPr>
        <w:t xml:space="preserve"> </w:t>
      </w:r>
      <w:r>
        <w:t>so</w:t>
      </w:r>
      <w:r>
        <w:rPr>
          <w:spacing w:val="34"/>
        </w:rPr>
        <w:t xml:space="preserve"> </w:t>
      </w:r>
      <w:r>
        <w:rPr>
          <w:spacing w:val="-2"/>
        </w:rPr>
        <w:t>would</w:t>
      </w:r>
    </w:p>
    <w:p w14:paraId="7E0023DA"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3DB" w14:textId="77777777" w:rsidR="009A58DB" w:rsidRDefault="00000000">
      <w:pPr>
        <w:pStyle w:val="BodyText"/>
        <w:spacing w:before="65"/>
        <w:ind w:left="720"/>
        <w:jc w:val="left"/>
      </w:pPr>
      <w:r>
        <w:lastRenderedPageBreak/>
        <w:t>keep</w:t>
      </w:r>
      <w:r>
        <w:rPr>
          <w:spacing w:val="-2"/>
        </w:rPr>
        <w:t xml:space="preserve"> </w:t>
      </w:r>
      <w:r>
        <w:t>him</w:t>
      </w:r>
      <w:r>
        <w:rPr>
          <w:spacing w:val="-3"/>
        </w:rPr>
        <w:t xml:space="preserve"> </w:t>
      </w:r>
      <w:r>
        <w:t>awake</w:t>
      </w:r>
      <w:r>
        <w:rPr>
          <w:spacing w:val="-3"/>
        </w:rPr>
        <w:t xml:space="preserve"> </w:t>
      </w:r>
      <w:r>
        <w:t>in</w:t>
      </w:r>
      <w:r>
        <w:rPr>
          <w:spacing w:val="-1"/>
        </w:rPr>
        <w:t xml:space="preserve"> </w:t>
      </w:r>
      <w:r>
        <w:rPr>
          <w:spacing w:val="-2"/>
        </w:rPr>
        <w:t>terror).</w:t>
      </w:r>
    </w:p>
    <w:p w14:paraId="7E0023DC" w14:textId="77777777" w:rsidR="009A58DB" w:rsidRDefault="009A58DB">
      <w:pPr>
        <w:pStyle w:val="BodyText"/>
        <w:spacing w:before="29"/>
        <w:ind w:left="0"/>
        <w:jc w:val="left"/>
      </w:pPr>
    </w:p>
    <w:p w14:paraId="7E0023DD" w14:textId="77777777" w:rsidR="009A58DB" w:rsidRDefault="00000000">
      <w:pPr>
        <w:pStyle w:val="BodyText"/>
        <w:spacing w:before="1" w:line="249" w:lineRule="auto"/>
        <w:ind w:right="358" w:firstLine="360"/>
      </w:pPr>
      <w:r>
        <w:t>Hume’s powerful argument shows that, if it is to be credible, emotivism must be changed; and it also makes it clear how to change it. Since, as Hume points out, a person can judge that</w:t>
      </w:r>
      <w:r>
        <w:rPr>
          <w:spacing w:val="-1"/>
        </w:rPr>
        <w:t xml:space="preserve"> </w:t>
      </w:r>
      <w:r>
        <w:t>something is good even if that</w:t>
      </w:r>
      <w:r>
        <w:rPr>
          <w:spacing w:val="-1"/>
        </w:rPr>
        <w:t xml:space="preserve"> </w:t>
      </w:r>
      <w:r>
        <w:t xml:space="preserve">thing brings him misery, it follows that, in direct opposition to what the emotivist holds, saying “x is good” cannot possibly be the same thing as expressing one’s happiness about x. But “x is good” </w:t>
      </w:r>
      <w:r>
        <w:rPr>
          <w:i/>
        </w:rPr>
        <w:t xml:space="preserve">is </w:t>
      </w:r>
      <w:r>
        <w:t xml:space="preserve">plausibly seen as expressing the speaker’s belief that x is happiness-conducive (i.e., that </w:t>
      </w:r>
      <w:r>
        <w:rPr>
          <w:i/>
        </w:rPr>
        <w:t xml:space="preserve">ceteris paribus </w:t>
      </w:r>
      <w:r>
        <w:t>x brings happiness). So, when modified along these lines, emotivism would be the view that “x is good” means “x is happiness-conducive.”</w:t>
      </w:r>
    </w:p>
    <w:p w14:paraId="7E0023DE" w14:textId="77777777" w:rsidR="009A58DB" w:rsidRDefault="00000000">
      <w:pPr>
        <w:pStyle w:val="BodyText"/>
        <w:spacing w:before="11" w:line="249" w:lineRule="auto"/>
        <w:ind w:right="367" w:firstLine="360"/>
      </w:pPr>
      <w:r>
        <w:t>But, thus modified, emotivism is blatantly false. If it expresses any belief, “x is good” is either true or false. A fortiori it’s either true or false if it expresses the speaker’s belief that x makes him happy to the extent that his idiosyncrasies aren’t getting in the way. The essence of emotivism is that “x is good” expresses a feeling, as opposed to a judgment, and therefore doesn’t say anything true or false. So emotivism collapses into its opposite if it’s modified along the lines suggested by Hume.</w:t>
      </w:r>
    </w:p>
    <w:p w14:paraId="7E0023DF" w14:textId="77777777" w:rsidR="009A58DB" w:rsidRDefault="00000000">
      <w:pPr>
        <w:pStyle w:val="BodyText"/>
        <w:spacing w:before="8" w:line="249" w:lineRule="auto"/>
        <w:ind w:right="359" w:firstLine="360"/>
      </w:pPr>
      <w:r>
        <w:t>Notice that, thus modified, emotivism coincides with utilitarianism. (This is the doctrine that an act is good to the extent that it maximizes happiness and bad to the extent that minimizes it. See Chapter 24.)</w:t>
      </w:r>
    </w:p>
    <w:p w14:paraId="7E0023E0" w14:textId="77777777" w:rsidR="009A58DB" w:rsidRDefault="00000000">
      <w:pPr>
        <w:pStyle w:val="BodyText"/>
        <w:spacing w:before="4" w:line="249" w:lineRule="auto"/>
        <w:ind w:right="361" w:firstLine="360"/>
      </w:pPr>
      <w:r>
        <w:t xml:space="preserve">What is more, HA is viciously circular. If I hear a beautiful piece by Chopin and I judge that others </w:t>
      </w:r>
      <w:r>
        <w:rPr>
          <w:i/>
        </w:rPr>
        <w:t xml:space="preserve">would </w:t>
      </w:r>
      <w:r>
        <w:t>take pleasure in it, I am assuming that others, were they to hear it, weren’t drunk when they did so, and that the</w:t>
      </w:r>
      <w:r>
        <w:rPr>
          <w:spacing w:val="40"/>
        </w:rPr>
        <w:t xml:space="preserve"> </w:t>
      </w:r>
      <w:r>
        <w:t xml:space="preserve">parts of their brain responsible for musical enjoyment hadn’t been destroyed. Any piece of music might fail to elicit a pleasurable response from any given person, </w:t>
      </w:r>
      <w:r>
        <w:rPr>
          <w:i/>
        </w:rPr>
        <w:t xml:space="preserve">provided </w:t>
      </w:r>
      <w:r>
        <w:t xml:space="preserve">that the latter were damaged in some such way. Thus, in assuming that others </w:t>
      </w:r>
      <w:r>
        <w:rPr>
          <w:i/>
        </w:rPr>
        <w:t>would</w:t>
      </w:r>
      <w:r>
        <w:rPr>
          <w:i/>
          <w:spacing w:val="-3"/>
        </w:rPr>
        <w:t xml:space="preserve"> </w:t>
      </w:r>
      <w:r>
        <w:t xml:space="preserve">like a given piece of music, what I’m assuming is that others would enjoy it </w:t>
      </w:r>
      <w:r>
        <w:rPr>
          <w:i/>
        </w:rPr>
        <w:t xml:space="preserve">provided </w:t>
      </w:r>
      <w:r>
        <w:t>that they weren’t damaged—</w:t>
      </w:r>
      <w:r>
        <w:rPr>
          <w:i/>
        </w:rPr>
        <w:t xml:space="preserve">provided, </w:t>
      </w:r>
      <w:r>
        <w:t>in other words that they weren’t for some reason incapable of seeing its merits.</w:t>
      </w:r>
    </w:p>
    <w:p w14:paraId="7E0023E1" w14:textId="77777777" w:rsidR="009A58DB" w:rsidRDefault="00000000">
      <w:pPr>
        <w:pStyle w:val="BodyText"/>
        <w:spacing w:before="11" w:line="249" w:lineRule="auto"/>
        <w:ind w:right="367" w:firstLine="360"/>
      </w:pPr>
      <w:r>
        <w:t>“But saying that drunkenness or injury or some such made somebody incapable of enjoying the piece is different from saying that it made them incapable of seeing its merits.”</w:t>
      </w:r>
    </w:p>
    <w:p w14:paraId="7E0023E2" w14:textId="77777777" w:rsidR="009A58DB" w:rsidRDefault="00000000">
      <w:pPr>
        <w:pStyle w:val="BodyText"/>
        <w:spacing w:before="4" w:line="249" w:lineRule="auto"/>
        <w:ind w:right="364" w:firstLine="360"/>
      </w:pPr>
      <w:r>
        <w:t xml:space="preserve">Is it? Suppose that a blow to the head makes Smith incapable of enjoying </w:t>
      </w:r>
      <w:r>
        <w:rPr>
          <w:spacing w:val="-4"/>
        </w:rPr>
        <w:t>music</w:t>
      </w:r>
      <w:r>
        <w:rPr>
          <w:spacing w:val="-15"/>
        </w:rPr>
        <w:t xml:space="preserve"> </w:t>
      </w:r>
      <w:r>
        <w:rPr>
          <w:spacing w:val="-4"/>
        </w:rPr>
        <w:t>but</w:t>
      </w:r>
      <w:r>
        <w:rPr>
          <w:spacing w:val="-15"/>
        </w:rPr>
        <w:t xml:space="preserve"> </w:t>
      </w:r>
      <w:r>
        <w:rPr>
          <w:spacing w:val="-4"/>
        </w:rPr>
        <w:t>doesn’t</w:t>
      </w:r>
      <w:r>
        <w:rPr>
          <w:spacing w:val="-15"/>
        </w:rPr>
        <w:t xml:space="preserve"> </w:t>
      </w:r>
      <w:r>
        <w:rPr>
          <w:spacing w:val="-4"/>
        </w:rPr>
        <w:t>otherwise</w:t>
      </w:r>
      <w:r>
        <w:rPr>
          <w:spacing w:val="-14"/>
        </w:rPr>
        <w:t xml:space="preserve"> </w:t>
      </w:r>
      <w:r>
        <w:rPr>
          <w:spacing w:val="-4"/>
        </w:rPr>
        <w:t>change</w:t>
      </w:r>
      <w:r>
        <w:rPr>
          <w:spacing w:val="-15"/>
        </w:rPr>
        <w:t xml:space="preserve"> </w:t>
      </w:r>
      <w:r>
        <w:rPr>
          <w:spacing w:val="-4"/>
        </w:rPr>
        <w:t>him.</w:t>
      </w:r>
      <w:r>
        <w:rPr>
          <w:spacing w:val="-15"/>
        </w:rPr>
        <w:t xml:space="preserve"> </w:t>
      </w:r>
      <w:r>
        <w:rPr>
          <w:spacing w:val="-4"/>
        </w:rPr>
        <w:t>We’d</w:t>
      </w:r>
      <w:r>
        <w:rPr>
          <w:spacing w:val="-15"/>
        </w:rPr>
        <w:t xml:space="preserve"> </w:t>
      </w:r>
      <w:r>
        <w:rPr>
          <w:spacing w:val="-4"/>
        </w:rPr>
        <w:t>say</w:t>
      </w:r>
      <w:r>
        <w:rPr>
          <w:spacing w:val="-14"/>
        </w:rPr>
        <w:t xml:space="preserve"> </w:t>
      </w:r>
      <w:r>
        <w:rPr>
          <w:spacing w:val="-4"/>
        </w:rPr>
        <w:t>that</w:t>
      </w:r>
      <w:r>
        <w:rPr>
          <w:spacing w:val="-15"/>
        </w:rPr>
        <w:t xml:space="preserve"> </w:t>
      </w:r>
      <w:r>
        <w:rPr>
          <w:spacing w:val="-4"/>
        </w:rPr>
        <w:t>Smith</w:t>
      </w:r>
      <w:r>
        <w:rPr>
          <w:spacing w:val="-15"/>
        </w:rPr>
        <w:t xml:space="preserve"> </w:t>
      </w:r>
      <w:r>
        <w:rPr>
          <w:spacing w:val="-4"/>
        </w:rPr>
        <w:t>had</w:t>
      </w:r>
      <w:r>
        <w:rPr>
          <w:spacing w:val="-15"/>
        </w:rPr>
        <w:t xml:space="preserve"> </w:t>
      </w:r>
      <w:r>
        <w:rPr>
          <w:spacing w:val="-4"/>
        </w:rPr>
        <w:t>been</w:t>
      </w:r>
      <w:r>
        <w:rPr>
          <w:spacing w:val="-14"/>
        </w:rPr>
        <w:t xml:space="preserve"> </w:t>
      </w:r>
      <w:r>
        <w:rPr>
          <w:spacing w:val="-4"/>
        </w:rPr>
        <w:t xml:space="preserve">damaged </w:t>
      </w:r>
      <w:r>
        <w:t>by</w:t>
      </w:r>
      <w:r>
        <w:rPr>
          <w:spacing w:val="-19"/>
        </w:rPr>
        <w:t xml:space="preserve"> </w:t>
      </w:r>
      <w:r>
        <w:t>the</w:t>
      </w:r>
      <w:r>
        <w:rPr>
          <w:spacing w:val="-19"/>
        </w:rPr>
        <w:t xml:space="preserve"> </w:t>
      </w:r>
      <w:r>
        <w:t>blow.</w:t>
      </w:r>
      <w:r>
        <w:rPr>
          <w:spacing w:val="-19"/>
        </w:rPr>
        <w:t xml:space="preserve"> </w:t>
      </w:r>
      <w:r>
        <w:t>But</w:t>
      </w:r>
      <w:r>
        <w:rPr>
          <w:spacing w:val="-18"/>
        </w:rPr>
        <w:t xml:space="preserve"> </w:t>
      </w:r>
      <w:r>
        <w:t>if</w:t>
      </w:r>
      <w:r>
        <w:rPr>
          <w:spacing w:val="-19"/>
        </w:rPr>
        <w:t xml:space="preserve"> </w:t>
      </w:r>
      <w:r>
        <w:t>his</w:t>
      </w:r>
      <w:r>
        <w:rPr>
          <w:spacing w:val="-19"/>
        </w:rPr>
        <w:t xml:space="preserve"> </w:t>
      </w:r>
      <w:r>
        <w:t>previous</w:t>
      </w:r>
      <w:r>
        <w:rPr>
          <w:spacing w:val="-19"/>
        </w:rPr>
        <w:t xml:space="preserve"> </w:t>
      </w:r>
      <w:r>
        <w:t>enjoyment</w:t>
      </w:r>
      <w:r>
        <w:rPr>
          <w:spacing w:val="-18"/>
        </w:rPr>
        <w:t xml:space="preserve"> </w:t>
      </w:r>
      <w:r>
        <w:t>of</w:t>
      </w:r>
      <w:r>
        <w:rPr>
          <w:spacing w:val="-19"/>
        </w:rPr>
        <w:t xml:space="preserve"> </w:t>
      </w:r>
      <w:r>
        <w:t>music</w:t>
      </w:r>
      <w:r>
        <w:rPr>
          <w:spacing w:val="-19"/>
        </w:rPr>
        <w:t xml:space="preserve"> </w:t>
      </w:r>
      <w:r>
        <w:t>had</w:t>
      </w:r>
    </w:p>
    <w:p w14:paraId="7E0023E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E4" w14:textId="77777777" w:rsidR="009A58DB" w:rsidRDefault="00000000">
      <w:pPr>
        <w:pStyle w:val="BodyText"/>
        <w:spacing w:before="65" w:line="249" w:lineRule="auto"/>
        <w:ind w:right="358"/>
      </w:pPr>
      <w:r>
        <w:lastRenderedPageBreak/>
        <w:t>no basis in the music itself—if it didn‘t derive from his being sensitive to it actual</w:t>
      </w:r>
      <w:r>
        <w:rPr>
          <w:spacing w:val="-1"/>
        </w:rPr>
        <w:t xml:space="preserve"> </w:t>
      </w:r>
      <w:r>
        <w:t>virtues—it would</w:t>
      </w:r>
      <w:r>
        <w:rPr>
          <w:spacing w:val="-1"/>
        </w:rPr>
        <w:t xml:space="preserve"> </w:t>
      </w:r>
      <w:r>
        <w:t>be wrong</w:t>
      </w:r>
      <w:r>
        <w:rPr>
          <w:spacing w:val="-1"/>
        </w:rPr>
        <w:t xml:space="preserve"> </w:t>
      </w:r>
      <w:r>
        <w:t>to say</w:t>
      </w:r>
      <w:r>
        <w:rPr>
          <w:spacing w:val="-1"/>
        </w:rPr>
        <w:t xml:space="preserve"> </w:t>
      </w:r>
      <w:r>
        <w:t>that Smith</w:t>
      </w:r>
      <w:r>
        <w:rPr>
          <w:spacing w:val="-1"/>
        </w:rPr>
        <w:t xml:space="preserve"> </w:t>
      </w:r>
      <w:r>
        <w:t>had been</w:t>
      </w:r>
      <w:r>
        <w:rPr>
          <w:spacing w:val="-1"/>
        </w:rPr>
        <w:t xml:space="preserve"> </w:t>
      </w:r>
      <w:r>
        <w:t>damaged in</w:t>
      </w:r>
      <w:r>
        <w:rPr>
          <w:spacing w:val="-1"/>
        </w:rPr>
        <w:t xml:space="preserve"> </w:t>
      </w:r>
      <w:r>
        <w:t>any way. On the contrary, we’d have to say that the blow had made him better. If his previous enjoyment of music had nothing to do with anything inherent in the music, his enjoyment of it was pure projection. But now, thanks to the blow, he doesn’t respond to music in this delusional way. But since Smith obviously wasn’t enhanced by the blow, and since he obviously was diminished by it, we have to say that his previous enjoyment of it did involve some awareness on his part of its merits.</w:t>
      </w:r>
    </w:p>
    <w:p w14:paraId="7E0023E5" w14:textId="77777777" w:rsidR="009A58DB" w:rsidRDefault="00000000">
      <w:pPr>
        <w:pStyle w:val="BodyText"/>
        <w:spacing w:before="11" w:line="249" w:lineRule="auto"/>
        <w:ind w:right="358" w:firstLine="360"/>
        <w:rPr>
          <w:i/>
        </w:rPr>
      </w:pPr>
      <w:r>
        <w:t xml:space="preserve">It’s crucial to distinguish between enjoying something, on the one hand, and being caused by it to experience pleasure, on the other. Given only that my hearing Chopin’s ballad in G-minor gives me pleasure, it doesn’t follow that I’m enjoying it. Maybe I know that my arch-nemesis Jones, who is in the room, hates it and, to my extreme delight, is in agony because it’s blaring from the speakers. Here the G-minor ballad is causing me joy; but I’m not enjoying </w:t>
      </w:r>
      <w:r>
        <w:rPr>
          <w:i/>
        </w:rPr>
        <w:t>it.</w:t>
      </w:r>
    </w:p>
    <w:p w14:paraId="7E0023E6" w14:textId="77777777" w:rsidR="009A58DB" w:rsidRDefault="00000000">
      <w:pPr>
        <w:pStyle w:val="BodyText"/>
        <w:spacing w:before="8" w:line="249" w:lineRule="auto"/>
        <w:ind w:right="361" w:firstLine="360"/>
      </w:pPr>
      <w:r>
        <w:t xml:space="preserve">There’s a difference between being </w:t>
      </w:r>
      <w:r>
        <w:rPr>
          <w:i/>
        </w:rPr>
        <w:t xml:space="preserve">caused </w:t>
      </w:r>
      <w:r>
        <w:t xml:space="preserve">to feel good by X, on the one hand, and </w:t>
      </w:r>
      <w:r>
        <w:rPr>
          <w:i/>
        </w:rPr>
        <w:t xml:space="preserve">enjoying </w:t>
      </w:r>
      <w:r>
        <w:t>X, on the other. When this distinction is given its due, emotivism collapses, and so does every form of value-nihilism. (By “value-nihilism” I mean any doctrine to the effect that “x is good” either means nothing or means that x is liked or otherwise looked upon favorably by some person</w:t>
      </w:r>
      <w:r>
        <w:rPr>
          <w:spacing w:val="-1"/>
        </w:rPr>
        <w:t xml:space="preserve"> </w:t>
      </w:r>
      <w:r>
        <w:t>or</w:t>
      </w:r>
      <w:r>
        <w:rPr>
          <w:spacing w:val="-1"/>
        </w:rPr>
        <w:t xml:space="preserve"> </w:t>
      </w:r>
      <w:r>
        <w:t>group.)</w:t>
      </w:r>
      <w:r>
        <w:rPr>
          <w:spacing w:val="-1"/>
        </w:rPr>
        <w:t xml:space="preserve"> </w:t>
      </w:r>
      <w:r>
        <w:t>There</w:t>
      </w:r>
      <w:r>
        <w:rPr>
          <w:spacing w:val="-1"/>
        </w:rPr>
        <w:t xml:space="preserve"> </w:t>
      </w:r>
      <w:r>
        <w:t>are</w:t>
      </w:r>
      <w:r>
        <w:rPr>
          <w:spacing w:val="-1"/>
        </w:rPr>
        <w:t xml:space="preserve"> </w:t>
      </w:r>
      <w:r>
        <w:t>a</w:t>
      </w:r>
      <w:r>
        <w:rPr>
          <w:spacing w:val="-1"/>
        </w:rPr>
        <w:t xml:space="preserve"> </w:t>
      </w:r>
      <w:r>
        <w:t>lot</w:t>
      </w:r>
      <w:r>
        <w:rPr>
          <w:spacing w:val="-2"/>
        </w:rPr>
        <w:t xml:space="preserve"> </w:t>
      </w:r>
      <w:r>
        <w:t>of</w:t>
      </w:r>
      <w:r>
        <w:rPr>
          <w:spacing w:val="-1"/>
        </w:rPr>
        <w:t xml:space="preserve"> </w:t>
      </w:r>
      <w:r>
        <w:t>reasons</w:t>
      </w:r>
      <w:r>
        <w:rPr>
          <w:spacing w:val="-1"/>
        </w:rPr>
        <w:t xml:space="preserve"> </w:t>
      </w:r>
      <w:r>
        <w:t>why</w:t>
      </w:r>
      <w:r>
        <w:rPr>
          <w:spacing w:val="-1"/>
        </w:rPr>
        <w:t xml:space="preserve"> </w:t>
      </w:r>
      <w:r>
        <w:t>some</w:t>
      </w:r>
      <w:r>
        <w:rPr>
          <w:spacing w:val="-1"/>
        </w:rPr>
        <w:t xml:space="preserve"> </w:t>
      </w:r>
      <w:r>
        <w:t>object</w:t>
      </w:r>
      <w:r>
        <w:rPr>
          <w:spacing w:val="-2"/>
        </w:rPr>
        <w:t xml:space="preserve"> </w:t>
      </w:r>
      <w:r>
        <w:t>might</w:t>
      </w:r>
      <w:r>
        <w:rPr>
          <w:spacing w:val="-2"/>
        </w:rPr>
        <w:t xml:space="preserve"> </w:t>
      </w:r>
      <w:r>
        <w:t>make</w:t>
      </w:r>
      <w:r>
        <w:rPr>
          <w:spacing w:val="-1"/>
        </w:rPr>
        <w:t xml:space="preserve"> </w:t>
      </w:r>
      <w:r>
        <w:t>you feel good. Not all of those reasons are of an aesthetic nature.</w:t>
      </w:r>
    </w:p>
    <w:p w14:paraId="7E0023E7" w14:textId="77777777" w:rsidR="009A58DB" w:rsidRDefault="00000000">
      <w:pPr>
        <w:pStyle w:val="BodyText"/>
        <w:spacing w:before="9" w:line="249" w:lineRule="auto"/>
        <w:ind w:right="358" w:firstLine="360"/>
      </w:pPr>
      <w:r>
        <w:t>A story will help make this clear. Smith owns a Picasso. He hangs it in his front hall, where visitors are bound to see it. The fact that it’s there makes him</w:t>
      </w:r>
      <w:r>
        <w:rPr>
          <w:spacing w:val="-3"/>
        </w:rPr>
        <w:t xml:space="preserve"> </w:t>
      </w:r>
      <w:r>
        <w:t>feel</w:t>
      </w:r>
      <w:r>
        <w:rPr>
          <w:spacing w:val="-3"/>
        </w:rPr>
        <w:t xml:space="preserve"> </w:t>
      </w:r>
      <w:r>
        <w:t>good.</w:t>
      </w:r>
      <w:r>
        <w:rPr>
          <w:spacing w:val="-2"/>
        </w:rPr>
        <w:t xml:space="preserve"> </w:t>
      </w:r>
      <w:r>
        <w:t>It</w:t>
      </w:r>
      <w:r>
        <w:rPr>
          <w:spacing w:val="-3"/>
        </w:rPr>
        <w:t xml:space="preserve"> </w:t>
      </w:r>
      <w:r>
        <w:t>makes</w:t>
      </w:r>
      <w:r>
        <w:rPr>
          <w:spacing w:val="-3"/>
        </w:rPr>
        <w:t xml:space="preserve"> </w:t>
      </w:r>
      <w:r>
        <w:t>him</w:t>
      </w:r>
      <w:r>
        <w:rPr>
          <w:spacing w:val="-3"/>
        </w:rPr>
        <w:t xml:space="preserve"> </w:t>
      </w:r>
      <w:r>
        <w:t>feel</w:t>
      </w:r>
      <w:r>
        <w:rPr>
          <w:spacing w:val="-3"/>
        </w:rPr>
        <w:t xml:space="preserve"> </w:t>
      </w:r>
      <w:r>
        <w:t>good</w:t>
      </w:r>
      <w:r>
        <w:rPr>
          <w:spacing w:val="-2"/>
        </w:rPr>
        <w:t xml:space="preserve"> </w:t>
      </w:r>
      <w:r>
        <w:rPr>
          <w:i/>
        </w:rPr>
        <w:t>not</w:t>
      </w:r>
      <w:r>
        <w:rPr>
          <w:i/>
          <w:spacing w:val="-3"/>
        </w:rPr>
        <w:t xml:space="preserve"> </w:t>
      </w:r>
      <w:r>
        <w:t>because it’s a great</w:t>
      </w:r>
      <w:r>
        <w:rPr>
          <w:spacing w:val="-1"/>
        </w:rPr>
        <w:t xml:space="preserve"> </w:t>
      </w:r>
      <w:r>
        <w:t>work of art, but because he believes that having it will improve his status and, therefore, his professional and romantic prospects. Smith neither likes nor dislikes the painting per se. In general, Smith neither likes nor dislikes art in general. He doesn’t understand it. As far as he can tell, paintings are just discolorations</w:t>
      </w:r>
      <w:r>
        <w:rPr>
          <w:spacing w:val="40"/>
        </w:rPr>
        <w:t xml:space="preserve"> </w:t>
      </w:r>
      <w:r>
        <w:t>on a canvas.</w:t>
      </w:r>
    </w:p>
    <w:p w14:paraId="7E0023E8" w14:textId="77777777" w:rsidR="009A58DB" w:rsidRDefault="00000000">
      <w:pPr>
        <w:pStyle w:val="BodyText"/>
        <w:spacing w:before="10" w:line="249" w:lineRule="auto"/>
        <w:ind w:right="358" w:firstLine="360"/>
      </w:pPr>
      <w:r>
        <w:t xml:space="preserve">The Picasso makes Smith feel good. So his reaction to it is “hurray painting by Picasso that’s hanging on my wall!” But this reaction isn’t an </w:t>
      </w:r>
      <w:r>
        <w:rPr>
          <w:i/>
        </w:rPr>
        <w:t xml:space="preserve">aesthetic </w:t>
      </w:r>
      <w:r>
        <w:t xml:space="preserve">reaction. In other words, supposing that X is that painting, it isn’t </w:t>
      </w:r>
      <w:r>
        <w:rPr>
          <w:i/>
        </w:rPr>
        <w:t xml:space="preserve">X’s being a work of art </w:t>
      </w:r>
      <w:r>
        <w:t>that makes him feel good. What makes him feel good</w:t>
      </w:r>
    </w:p>
    <w:p w14:paraId="7E0023E9"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3EA" w14:textId="77777777" w:rsidR="009A58DB" w:rsidRDefault="00000000">
      <w:pPr>
        <w:pStyle w:val="BodyText"/>
        <w:spacing w:before="65" w:line="249" w:lineRule="auto"/>
        <w:ind w:right="360"/>
      </w:pPr>
      <w:r>
        <w:lastRenderedPageBreak/>
        <w:t>is X’s being something that will get him a promotion, and X’s being something that will improve his social status, and so on.</w:t>
      </w:r>
    </w:p>
    <w:p w14:paraId="7E0023EB" w14:textId="77777777" w:rsidR="009A58DB" w:rsidRDefault="00000000">
      <w:pPr>
        <w:pStyle w:val="BodyText"/>
        <w:spacing w:before="2" w:line="249" w:lineRule="auto"/>
        <w:ind w:right="359" w:firstLine="360"/>
      </w:pPr>
      <w:r>
        <w:t xml:space="preserve">Here a couple of points about causality may be helpful. No </w:t>
      </w:r>
      <w:r>
        <w:rPr>
          <w:i/>
        </w:rPr>
        <w:t xml:space="preserve">thing </w:t>
      </w:r>
      <w:r>
        <w:t xml:space="preserve">does any causal work. What </w:t>
      </w:r>
      <w:r>
        <w:rPr>
          <w:i/>
        </w:rPr>
        <w:t xml:space="preserve">does </w:t>
      </w:r>
      <w:r>
        <w:t>do causal work is some thing’s having some property.</w:t>
      </w:r>
      <w:r>
        <w:rPr>
          <w:spacing w:val="-1"/>
        </w:rPr>
        <w:t xml:space="preserve"> </w:t>
      </w:r>
      <w:r>
        <w:t>The</w:t>
      </w:r>
      <w:r>
        <w:rPr>
          <w:spacing w:val="-1"/>
        </w:rPr>
        <w:t xml:space="preserve"> </w:t>
      </w:r>
      <w:r>
        <w:t>stovetop’s</w:t>
      </w:r>
      <w:r>
        <w:rPr>
          <w:spacing w:val="-1"/>
        </w:rPr>
        <w:t xml:space="preserve"> </w:t>
      </w:r>
      <w:r>
        <w:t>being</w:t>
      </w:r>
      <w:r>
        <w:rPr>
          <w:spacing w:val="-1"/>
        </w:rPr>
        <w:t xml:space="preserve"> </w:t>
      </w:r>
      <w:r>
        <w:t>hot</w:t>
      </w:r>
      <w:r>
        <w:rPr>
          <w:spacing w:val="-1"/>
        </w:rPr>
        <w:t xml:space="preserve"> </w:t>
      </w:r>
      <w:r>
        <w:t>is</w:t>
      </w:r>
      <w:r>
        <w:rPr>
          <w:spacing w:val="-1"/>
        </w:rPr>
        <w:t xml:space="preserve"> </w:t>
      </w:r>
      <w:r>
        <w:t>what</w:t>
      </w:r>
      <w:r>
        <w:rPr>
          <w:spacing w:val="-2"/>
        </w:rPr>
        <w:t xml:space="preserve"> </w:t>
      </w:r>
      <w:r>
        <w:t>burns</w:t>
      </w:r>
      <w:r>
        <w:rPr>
          <w:spacing w:val="-1"/>
        </w:rPr>
        <w:t xml:space="preserve"> </w:t>
      </w:r>
      <w:r>
        <w:t>my</w:t>
      </w:r>
      <w:r>
        <w:rPr>
          <w:spacing w:val="-1"/>
        </w:rPr>
        <w:t xml:space="preserve"> </w:t>
      </w:r>
      <w:r>
        <w:t>hand;</w:t>
      </w:r>
      <w:r>
        <w:rPr>
          <w:spacing w:val="-1"/>
        </w:rPr>
        <w:t xml:space="preserve"> </w:t>
      </w:r>
      <w:r>
        <w:t>the</w:t>
      </w:r>
      <w:r>
        <w:rPr>
          <w:spacing w:val="-1"/>
        </w:rPr>
        <w:t xml:space="preserve"> </w:t>
      </w:r>
      <w:r>
        <w:t>stovetop</w:t>
      </w:r>
      <w:r>
        <w:rPr>
          <w:spacing w:val="-1"/>
        </w:rPr>
        <w:t xml:space="preserve"> </w:t>
      </w:r>
      <w:r>
        <w:t>per</w:t>
      </w:r>
      <w:r>
        <w:rPr>
          <w:spacing w:val="-1"/>
        </w:rPr>
        <w:t xml:space="preserve"> </w:t>
      </w:r>
      <w:r>
        <w:t>se does nothing.</w:t>
      </w:r>
    </w:p>
    <w:p w14:paraId="7E0023EC" w14:textId="77777777" w:rsidR="009A58DB" w:rsidRDefault="00000000">
      <w:pPr>
        <w:pStyle w:val="BodyText"/>
        <w:spacing w:before="5" w:line="249" w:lineRule="auto"/>
        <w:ind w:right="359" w:firstLine="360"/>
      </w:pPr>
      <w:r>
        <w:t xml:space="preserve">Bearing this in mind, let us turn our attention back to Smith’s painting, which we’ll continue to call “X.” X per se does nothing. X’s having this or that property is what does the causal work. It is X’s being impressive to employers that gets Smith the promotion. X per se does nothing. And supposing that Jones has a genuinely </w:t>
      </w:r>
      <w:r>
        <w:rPr>
          <w:i/>
        </w:rPr>
        <w:t xml:space="preserve">aesthetic </w:t>
      </w:r>
      <w:r>
        <w:t>reaction to X, what makes Jones feel good is X’s having certain artistic merits.</w:t>
      </w:r>
    </w:p>
    <w:p w14:paraId="7E0023ED" w14:textId="77777777" w:rsidR="009A58DB" w:rsidRDefault="00000000">
      <w:pPr>
        <w:pStyle w:val="BodyText"/>
        <w:spacing w:before="7" w:line="249" w:lineRule="auto"/>
        <w:ind w:right="359" w:firstLine="360"/>
      </w:pPr>
      <w:r>
        <w:t xml:space="preserve">An aesthetic reaction is one that is driven by a thing’s </w:t>
      </w:r>
      <w:r>
        <w:rPr>
          <w:i/>
        </w:rPr>
        <w:t xml:space="preserve">being a work of art. </w:t>
      </w:r>
      <w:r>
        <w:t>In other words, it is one that is driven by a thing’s having such and such aesthetic properties. So to the extent that there are aesthetic reactions, there are aesthetic facts—there are cases of things having such and such aesthetic properties. But once it’s granted that there are aesthetic facts, the theory that “for x to be good is for me (or someone else) to like it” collapses. If there are aesthetic facts, we can be wrong about them, just as we can be wrong about anything else. If there are aesthetic facts, our feelings may or may not do them justice. So if there are aesthetic facts, value-nihilism is false, at least as far as aesthetic properties are concerned.</w:t>
      </w:r>
    </w:p>
    <w:p w14:paraId="7E0023EE" w14:textId="77777777" w:rsidR="009A58DB" w:rsidRDefault="00000000">
      <w:pPr>
        <w:pStyle w:val="BodyText"/>
        <w:spacing w:before="13" w:line="249" w:lineRule="auto"/>
        <w:ind w:right="358" w:firstLine="360"/>
      </w:pPr>
      <w:r>
        <w:t xml:space="preserve">“But that’s preposterous,” it will be said. “Everyone knows the old saying: ‘there’s no disputing taste.’ Your position embodies a failure to see the deep wisdom in that saying. In saying that there are aesthetic facts—that some paintings are better than others, that some musical works are ‘more correct’ than others, and so on—you are, in effect, saying that there are paintings, works of music, novels, and so on, that people </w:t>
      </w:r>
      <w:r>
        <w:rPr>
          <w:i/>
        </w:rPr>
        <w:t xml:space="preserve">should </w:t>
      </w:r>
      <w:r>
        <w:t>like. In addition to being ludicrous, that view is potentially very dangerous.”</w:t>
      </w:r>
    </w:p>
    <w:p w14:paraId="7E0023EF" w14:textId="77777777" w:rsidR="009A58DB" w:rsidRDefault="00000000">
      <w:pPr>
        <w:pStyle w:val="BodyText"/>
        <w:spacing w:before="8" w:line="249" w:lineRule="auto"/>
        <w:ind w:right="358" w:firstLine="360"/>
      </w:pPr>
      <w:r>
        <w:t xml:space="preserve">This viewpoint embodies several confusions. First of all, given only that there are aesthetic facts, it doesn’t follow that, given </w:t>
      </w:r>
      <w:r>
        <w:rPr>
          <w:i/>
        </w:rPr>
        <w:t xml:space="preserve">any </w:t>
      </w:r>
      <w:r>
        <w:t>two works of musical works, it doesn’t follow that one is better than the other or that they’re equally meritorious; in other words, it doesn’t follow that they are capable of being meaningfully compared. (In this context, take my use of the term</w:t>
      </w:r>
      <w:r>
        <w:rPr>
          <w:spacing w:val="-4"/>
        </w:rPr>
        <w:t xml:space="preserve"> </w:t>
      </w:r>
      <w:r>
        <w:t>“musical</w:t>
      </w:r>
      <w:r>
        <w:rPr>
          <w:spacing w:val="-4"/>
        </w:rPr>
        <w:t xml:space="preserve"> </w:t>
      </w:r>
      <w:r>
        <w:t>work”</w:t>
      </w:r>
      <w:r>
        <w:rPr>
          <w:spacing w:val="-4"/>
        </w:rPr>
        <w:t xml:space="preserve"> </w:t>
      </w:r>
      <w:r>
        <w:t>to</w:t>
      </w:r>
      <w:r>
        <w:rPr>
          <w:spacing w:val="-3"/>
        </w:rPr>
        <w:t xml:space="preserve"> </w:t>
      </w:r>
      <w:r>
        <w:t>be</w:t>
      </w:r>
      <w:r>
        <w:rPr>
          <w:spacing w:val="-4"/>
        </w:rPr>
        <w:t xml:space="preserve"> </w:t>
      </w:r>
      <w:r>
        <w:t>short-hand</w:t>
      </w:r>
      <w:r>
        <w:rPr>
          <w:spacing w:val="-3"/>
        </w:rPr>
        <w:t xml:space="preserve"> </w:t>
      </w:r>
      <w:r>
        <w:t>for</w:t>
      </w:r>
      <w:r>
        <w:rPr>
          <w:spacing w:val="-4"/>
        </w:rPr>
        <w:t xml:space="preserve"> </w:t>
      </w:r>
      <w:r>
        <w:t>“musical</w:t>
      </w:r>
      <w:r>
        <w:rPr>
          <w:spacing w:val="-4"/>
        </w:rPr>
        <w:t xml:space="preserve"> </w:t>
      </w:r>
      <w:r>
        <w:t>work</w:t>
      </w:r>
      <w:r>
        <w:rPr>
          <w:spacing w:val="-3"/>
        </w:rPr>
        <w:t xml:space="preserve"> </w:t>
      </w:r>
      <w:r>
        <w:rPr>
          <w:i/>
        </w:rPr>
        <w:t>or</w:t>
      </w:r>
      <w:r>
        <w:rPr>
          <w:i/>
          <w:spacing w:val="-4"/>
        </w:rPr>
        <w:t xml:space="preserve"> </w:t>
      </w:r>
      <w:r>
        <w:t>novel</w:t>
      </w:r>
      <w:r>
        <w:rPr>
          <w:spacing w:val="-4"/>
        </w:rPr>
        <w:t xml:space="preserve"> </w:t>
      </w:r>
      <w:r>
        <w:rPr>
          <w:i/>
        </w:rPr>
        <w:t>or</w:t>
      </w:r>
      <w:r>
        <w:rPr>
          <w:i/>
          <w:spacing w:val="-4"/>
        </w:rPr>
        <w:t xml:space="preserve"> </w:t>
      </w:r>
      <w:r>
        <w:t>painting, etc.”) Musical works have to be understood on their own terms. Beethoven’s</w:t>
      </w:r>
    </w:p>
    <w:p w14:paraId="7E0023F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3F1" w14:textId="77777777" w:rsidR="009A58DB" w:rsidRDefault="00000000">
      <w:pPr>
        <w:pStyle w:val="BodyText"/>
        <w:spacing w:before="65" w:line="249" w:lineRule="auto"/>
        <w:ind w:right="365"/>
        <w:jc w:val="left"/>
      </w:pPr>
      <w:r>
        <w:lastRenderedPageBreak/>
        <w:t>24th piano sonata (in F# major) is good; so is Tchaikovsky’s violin concerto; so is “Dark Side of the Moon,” by Pink Floyd.</w:t>
      </w:r>
    </w:p>
    <w:p w14:paraId="7E0023F2"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3F3" w14:textId="77777777" w:rsidR="009A58DB" w:rsidRDefault="00000000">
      <w:pPr>
        <w:pStyle w:val="BodyText"/>
        <w:spacing w:before="65" w:line="249" w:lineRule="auto"/>
        <w:ind w:right="361" w:firstLine="360"/>
      </w:pPr>
      <w:r>
        <w:lastRenderedPageBreak/>
        <w:t>But given any two of those musical works, they are good in non-comparable ways. (The goodness of any one of them is “incommensurable,” as some ethicists put it, with the goodness of either of the others.)</w:t>
      </w:r>
    </w:p>
    <w:p w14:paraId="7E0023F4" w14:textId="77777777" w:rsidR="009A58DB" w:rsidRDefault="00000000">
      <w:pPr>
        <w:pStyle w:val="BodyText"/>
        <w:spacing w:before="3" w:line="249" w:lineRule="auto"/>
        <w:ind w:right="361" w:firstLine="360"/>
      </w:pPr>
      <w:r>
        <w:t xml:space="preserve">That doesn’t mean that every musical work is as good as every other musical work. “Dark Side of the Moon” isn’t </w:t>
      </w:r>
      <w:r>
        <w:rPr>
          <w:i/>
        </w:rPr>
        <w:t xml:space="preserve">supposed </w:t>
      </w:r>
      <w:r>
        <w:t>to be good in the</w:t>
      </w:r>
      <w:r>
        <w:rPr>
          <w:spacing w:val="40"/>
        </w:rPr>
        <w:t xml:space="preserve"> </w:t>
      </w:r>
      <w:r>
        <w:t>same</w:t>
      </w:r>
      <w:r>
        <w:rPr>
          <w:spacing w:val="-4"/>
        </w:rPr>
        <w:t xml:space="preserve"> </w:t>
      </w:r>
      <w:r>
        <w:t>way</w:t>
      </w:r>
      <w:r>
        <w:rPr>
          <w:spacing w:val="-3"/>
        </w:rPr>
        <w:t xml:space="preserve"> </w:t>
      </w:r>
      <w:r>
        <w:t>as</w:t>
      </w:r>
      <w:r>
        <w:rPr>
          <w:spacing w:val="-4"/>
        </w:rPr>
        <w:t xml:space="preserve"> </w:t>
      </w:r>
      <w:r>
        <w:t>Beethoven’s</w:t>
      </w:r>
      <w:r>
        <w:rPr>
          <w:spacing w:val="-4"/>
        </w:rPr>
        <w:t xml:space="preserve"> </w:t>
      </w:r>
      <w:r>
        <w:t>24th</w:t>
      </w:r>
      <w:r>
        <w:rPr>
          <w:spacing w:val="-3"/>
        </w:rPr>
        <w:t xml:space="preserve"> </w:t>
      </w:r>
      <w:r>
        <w:t>Sonata;</w:t>
      </w:r>
      <w:r>
        <w:rPr>
          <w:spacing w:val="-4"/>
        </w:rPr>
        <w:t xml:space="preserve"> </w:t>
      </w:r>
      <w:r>
        <w:t>and</w:t>
      </w:r>
      <w:r>
        <w:rPr>
          <w:spacing w:val="-3"/>
        </w:rPr>
        <w:t xml:space="preserve"> </w:t>
      </w:r>
      <w:r>
        <w:t>that</w:t>
      </w:r>
      <w:r>
        <w:rPr>
          <w:spacing w:val="-4"/>
        </w:rPr>
        <w:t xml:space="preserve"> </w:t>
      </w:r>
      <w:r>
        <w:t>sonata</w:t>
      </w:r>
      <w:r>
        <w:rPr>
          <w:spacing w:val="-4"/>
        </w:rPr>
        <w:t xml:space="preserve"> </w:t>
      </w:r>
      <w:r>
        <w:t>is</w:t>
      </w:r>
      <w:r>
        <w:rPr>
          <w:spacing w:val="-4"/>
        </w:rPr>
        <w:t xml:space="preserve"> </w:t>
      </w:r>
      <w:r>
        <w:rPr>
          <w:i/>
        </w:rPr>
        <w:t>supposed</w:t>
      </w:r>
      <w:r>
        <w:rPr>
          <w:i/>
          <w:spacing w:val="-3"/>
        </w:rPr>
        <w:t xml:space="preserve"> </w:t>
      </w:r>
      <w:r>
        <w:t>to</w:t>
      </w:r>
      <w:r>
        <w:rPr>
          <w:spacing w:val="-3"/>
        </w:rPr>
        <w:t xml:space="preserve"> </w:t>
      </w:r>
      <w:r>
        <w:t>be</w:t>
      </w:r>
      <w:r>
        <w:rPr>
          <w:spacing w:val="-4"/>
        </w:rPr>
        <w:t xml:space="preserve"> </w:t>
      </w:r>
      <w:r>
        <w:t xml:space="preserve">good in the same way as Tchaikovsky’s violin concerto. But there </w:t>
      </w:r>
      <w:r>
        <w:rPr>
          <w:i/>
        </w:rPr>
        <w:t xml:space="preserve">are </w:t>
      </w:r>
      <w:r>
        <w:t xml:space="preserve">works that </w:t>
      </w:r>
      <w:r>
        <w:rPr>
          <w:i/>
        </w:rPr>
        <w:t xml:space="preserve">are </w:t>
      </w:r>
      <w:r>
        <w:t xml:space="preserve">supposed to be good in the same way as Beethoven’s 24th sonata but, at the same time, </w:t>
      </w:r>
      <w:r>
        <w:rPr>
          <w:i/>
        </w:rPr>
        <w:t>aren’t</w:t>
      </w:r>
      <w:r>
        <w:rPr>
          <w:i/>
          <w:spacing w:val="-3"/>
        </w:rPr>
        <w:t xml:space="preserve"> </w:t>
      </w:r>
      <w:r>
        <w:t xml:space="preserve">good in that way, at least not to the same degree. (Any one of Clementi’s piano sonatas would be an example.) There </w:t>
      </w:r>
      <w:r>
        <w:rPr>
          <w:i/>
        </w:rPr>
        <w:t xml:space="preserve">are </w:t>
      </w:r>
      <w:r>
        <w:t xml:space="preserve">musical works that, given the genre to which they belong, are supposed to be good in the same way as “Dark Side of the Moon”, but </w:t>
      </w:r>
      <w:r>
        <w:rPr>
          <w:i/>
        </w:rPr>
        <w:t xml:space="preserve">aren’t </w:t>
      </w:r>
      <w:r>
        <w:t>good in that way, at least to the same degree. (An example would be “Beast of Burden” by the Rolling Stones, which even the Rolling Stones themselves would admit isn’t one of their better songs and isn’t as good as “Dark Side of the Moon.”)</w:t>
      </w:r>
    </w:p>
    <w:p w14:paraId="7E0023F5" w14:textId="77777777" w:rsidR="009A58DB" w:rsidRDefault="00000000">
      <w:pPr>
        <w:pStyle w:val="BodyText"/>
        <w:spacing w:before="15" w:line="249" w:lineRule="auto"/>
        <w:ind w:right="360" w:firstLine="360"/>
      </w:pPr>
      <w:r>
        <w:t xml:space="preserve">In any case, it’s patently obvious that some composers are better than others. I used to compose. I was better at it than the other people in my high school. But when I moved beyond the pathetically narrow horizons of my high school existence, I found that I was seriously outclassed. I wish I could compose like Mozart (or Roger Daltry); but I cannot. Many a musician wishes that he were a better composer than he is. And no such musician can coherently believe that no musical work is better than any other. For if all musical works were equal merit, then </w:t>
      </w:r>
      <w:r>
        <w:rPr>
          <w:i/>
        </w:rPr>
        <w:t>ex</w:t>
      </w:r>
      <w:r>
        <w:rPr>
          <w:i/>
          <w:spacing w:val="-3"/>
        </w:rPr>
        <w:t xml:space="preserve"> </w:t>
      </w:r>
      <w:r>
        <w:rPr>
          <w:i/>
        </w:rPr>
        <w:t>hypothesi</w:t>
      </w:r>
      <w:r>
        <w:rPr>
          <w:i/>
          <w:spacing w:val="-3"/>
        </w:rPr>
        <w:t xml:space="preserve"> </w:t>
      </w:r>
      <w:r>
        <w:t>all composers would be of equal merit.</w:t>
      </w:r>
    </w:p>
    <w:p w14:paraId="7E0023F6" w14:textId="77777777" w:rsidR="009A58DB" w:rsidRDefault="00000000">
      <w:pPr>
        <w:pStyle w:val="BodyText"/>
        <w:spacing w:before="11" w:line="249" w:lineRule="auto"/>
        <w:ind w:right="362" w:firstLine="360"/>
      </w:pPr>
      <w:r>
        <w:t>Moral nihilism fails for much the same reasons that aesthetic nihilism</w:t>
      </w:r>
      <w:r>
        <w:rPr>
          <w:spacing w:val="40"/>
        </w:rPr>
        <w:t xml:space="preserve"> </w:t>
      </w:r>
      <w:r>
        <w:t xml:space="preserve">fails. I see wealthy person X give money to poor person Y. Let’s refer to this situation as S. S makes me feel good. It makes me feel so good, in fact, that I go so far as to say “hurray S!” Given only that S makes me feel good, it doesn’t follow that I’m having a </w:t>
      </w:r>
      <w:r>
        <w:rPr>
          <w:i/>
        </w:rPr>
        <w:t xml:space="preserve">moral </w:t>
      </w:r>
      <w:r>
        <w:t xml:space="preserve">reaction to S. Maybe I just happened to like the way that the crisp green of X’s money contrasts with the cool blue of the sky. Maybe some fact about X’s posture shows me that some anatomical theory of mine is correct. Given only that I </w:t>
      </w:r>
      <w:r>
        <w:rPr>
          <w:i/>
        </w:rPr>
        <w:t xml:space="preserve">like </w:t>
      </w:r>
      <w:r>
        <w:t xml:space="preserve">S, it doesn’t follow that I’m having a </w:t>
      </w:r>
      <w:r>
        <w:rPr>
          <w:i/>
        </w:rPr>
        <w:t>moral</w:t>
      </w:r>
      <w:r>
        <w:rPr>
          <w:i/>
          <w:spacing w:val="-3"/>
        </w:rPr>
        <w:t xml:space="preserve"> </w:t>
      </w:r>
      <w:r>
        <w:t xml:space="preserve">response to it. It’s only if S’s having such and such </w:t>
      </w:r>
      <w:r>
        <w:rPr>
          <w:i/>
        </w:rPr>
        <w:t xml:space="preserve">moral </w:t>
      </w:r>
      <w:r>
        <w:t xml:space="preserve">properties is what brings me joy that my liking S is a moral reaction to it. So my exclaiming “hurray S!” expresses a </w:t>
      </w:r>
      <w:r>
        <w:rPr>
          <w:i/>
        </w:rPr>
        <w:t xml:space="preserve">moral </w:t>
      </w:r>
      <w:r>
        <w:t>reaction</w:t>
      </w:r>
      <w:r>
        <w:rPr>
          <w:spacing w:val="19"/>
        </w:rPr>
        <w:t xml:space="preserve"> </w:t>
      </w:r>
      <w:r>
        <w:t>to</w:t>
      </w:r>
      <w:r>
        <w:rPr>
          <w:spacing w:val="19"/>
        </w:rPr>
        <w:t xml:space="preserve"> </w:t>
      </w:r>
      <w:r>
        <w:t>S</w:t>
      </w:r>
    </w:p>
    <w:p w14:paraId="7E0023F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3F8" w14:textId="77777777" w:rsidR="009A58DB" w:rsidRDefault="00000000">
      <w:pPr>
        <w:pStyle w:val="BodyText"/>
        <w:spacing w:before="65" w:line="249" w:lineRule="auto"/>
        <w:ind w:right="361"/>
      </w:pPr>
      <w:r>
        <w:lastRenderedPageBreak/>
        <w:t>only to the extent that S’s being a moral fact is what evokes the emotion thereby</w:t>
      </w:r>
      <w:r>
        <w:rPr>
          <w:spacing w:val="-1"/>
        </w:rPr>
        <w:t xml:space="preserve"> </w:t>
      </w:r>
      <w:r>
        <w:t>expressed.</w:t>
      </w:r>
      <w:r>
        <w:rPr>
          <w:spacing w:val="-1"/>
        </w:rPr>
        <w:t xml:space="preserve"> </w:t>
      </w:r>
      <w:r>
        <w:t>In</w:t>
      </w:r>
      <w:r>
        <w:rPr>
          <w:spacing w:val="-1"/>
        </w:rPr>
        <w:t xml:space="preserve"> </w:t>
      </w:r>
      <w:r>
        <w:t>general,</w:t>
      </w:r>
      <w:r>
        <w:rPr>
          <w:spacing w:val="-1"/>
        </w:rPr>
        <w:t xml:space="preserve"> </w:t>
      </w:r>
      <w:r>
        <w:t>there</w:t>
      </w:r>
      <w:r>
        <w:rPr>
          <w:spacing w:val="-1"/>
        </w:rPr>
        <w:t xml:space="preserve"> </w:t>
      </w:r>
      <w:r>
        <w:t>are</w:t>
      </w:r>
      <w:r>
        <w:rPr>
          <w:spacing w:val="-1"/>
        </w:rPr>
        <w:t xml:space="preserve"> </w:t>
      </w:r>
      <w:r>
        <w:t>moral</w:t>
      </w:r>
      <w:r>
        <w:rPr>
          <w:spacing w:val="-1"/>
        </w:rPr>
        <w:t xml:space="preserve"> </w:t>
      </w:r>
      <w:r>
        <w:t>reactions</w:t>
      </w:r>
      <w:r>
        <w:rPr>
          <w:spacing w:val="-1"/>
        </w:rPr>
        <w:t xml:space="preserve"> </w:t>
      </w:r>
      <w:r>
        <w:t>only</w:t>
      </w:r>
      <w:r>
        <w:rPr>
          <w:spacing w:val="-1"/>
        </w:rPr>
        <w:t xml:space="preserve"> </w:t>
      </w:r>
      <w:r>
        <w:t>to</w:t>
      </w:r>
      <w:r>
        <w:rPr>
          <w:spacing w:val="-1"/>
        </w:rPr>
        <w:t xml:space="preserve"> </w:t>
      </w:r>
      <w:r>
        <w:t>the</w:t>
      </w:r>
      <w:r>
        <w:rPr>
          <w:spacing w:val="-1"/>
        </w:rPr>
        <w:t xml:space="preserve"> </w:t>
      </w:r>
      <w:r>
        <w:t>extent</w:t>
      </w:r>
      <w:r>
        <w:rPr>
          <w:spacing w:val="-1"/>
        </w:rPr>
        <w:t xml:space="preserve"> </w:t>
      </w:r>
      <w:r>
        <w:t>that there are moral facts. If there are moral facts, our feelings may or may not do them justice; and emotivism completely collapses.</w:t>
      </w:r>
    </w:p>
    <w:p w14:paraId="7E0023F9" w14:textId="77777777" w:rsidR="009A58DB" w:rsidRDefault="00000000">
      <w:pPr>
        <w:pStyle w:val="BodyText"/>
        <w:spacing w:before="5"/>
        <w:ind w:left="720"/>
      </w:pPr>
      <w:r>
        <w:t>But</w:t>
      </w:r>
      <w:r>
        <w:rPr>
          <w:spacing w:val="-5"/>
        </w:rPr>
        <w:t xml:space="preserve"> </w:t>
      </w:r>
      <w:r>
        <w:t>we</w:t>
      </w:r>
      <w:r>
        <w:rPr>
          <w:spacing w:val="-3"/>
        </w:rPr>
        <w:t xml:space="preserve"> </w:t>
      </w:r>
      <w:r>
        <w:t>have</w:t>
      </w:r>
      <w:r>
        <w:rPr>
          <w:spacing w:val="-3"/>
        </w:rPr>
        <w:t xml:space="preserve"> </w:t>
      </w:r>
      <w:r>
        <w:t>yet</w:t>
      </w:r>
      <w:r>
        <w:rPr>
          <w:spacing w:val="-3"/>
        </w:rPr>
        <w:t xml:space="preserve"> </w:t>
      </w:r>
      <w:r>
        <w:t>to</w:t>
      </w:r>
      <w:r>
        <w:rPr>
          <w:spacing w:val="-2"/>
        </w:rPr>
        <w:t xml:space="preserve"> </w:t>
      </w:r>
      <w:r>
        <w:t>state</w:t>
      </w:r>
      <w:r>
        <w:rPr>
          <w:spacing w:val="-3"/>
        </w:rPr>
        <w:t xml:space="preserve"> </w:t>
      </w:r>
      <w:r>
        <w:t>the</w:t>
      </w:r>
      <w:r>
        <w:rPr>
          <w:spacing w:val="-3"/>
        </w:rPr>
        <w:t xml:space="preserve"> </w:t>
      </w:r>
      <w:r>
        <w:t>most</w:t>
      </w:r>
      <w:r>
        <w:rPr>
          <w:spacing w:val="-3"/>
        </w:rPr>
        <w:t xml:space="preserve"> </w:t>
      </w:r>
      <w:r>
        <w:t>basic</w:t>
      </w:r>
      <w:r>
        <w:rPr>
          <w:spacing w:val="-3"/>
        </w:rPr>
        <w:t xml:space="preserve"> </w:t>
      </w:r>
      <w:r>
        <w:t>problem</w:t>
      </w:r>
      <w:r>
        <w:rPr>
          <w:spacing w:val="-3"/>
        </w:rPr>
        <w:t xml:space="preserve"> </w:t>
      </w:r>
      <w:r>
        <w:t>with</w:t>
      </w:r>
      <w:r>
        <w:rPr>
          <w:spacing w:val="-1"/>
        </w:rPr>
        <w:t xml:space="preserve"> </w:t>
      </w:r>
      <w:r>
        <w:rPr>
          <w:spacing w:val="-2"/>
        </w:rPr>
        <w:t>emotivism.</w:t>
      </w:r>
    </w:p>
    <w:p w14:paraId="7E0023FA" w14:textId="77777777" w:rsidR="009A58DB" w:rsidRDefault="00000000">
      <w:pPr>
        <w:pStyle w:val="Heading1"/>
        <w:numPr>
          <w:ilvl w:val="0"/>
          <w:numId w:val="62"/>
        </w:numPr>
        <w:tabs>
          <w:tab w:val="left" w:pos="1409"/>
        </w:tabs>
        <w:spacing w:line="244" w:lineRule="auto"/>
        <w:ind w:left="360" w:right="716" w:firstLine="0"/>
      </w:pPr>
      <w:r>
        <w:t>The</w:t>
      </w:r>
      <w:r>
        <w:rPr>
          <w:spacing w:val="-7"/>
        </w:rPr>
        <w:t xml:space="preserve"> </w:t>
      </w:r>
      <w:r>
        <w:t>most</w:t>
      </w:r>
      <w:r>
        <w:rPr>
          <w:spacing w:val="-7"/>
        </w:rPr>
        <w:t xml:space="preserve"> </w:t>
      </w:r>
      <w:r>
        <w:t>basic</w:t>
      </w:r>
      <w:r>
        <w:rPr>
          <w:spacing w:val="-7"/>
        </w:rPr>
        <w:t xml:space="preserve"> </w:t>
      </w:r>
      <w:r>
        <w:t>problem</w:t>
      </w:r>
      <w:r>
        <w:rPr>
          <w:spacing w:val="-7"/>
        </w:rPr>
        <w:t xml:space="preserve"> </w:t>
      </w:r>
      <w:r>
        <w:t>with</w:t>
      </w:r>
      <w:r>
        <w:rPr>
          <w:spacing w:val="-7"/>
        </w:rPr>
        <w:t xml:space="preserve"> </w:t>
      </w:r>
      <w:r>
        <w:t>emotivism:</w:t>
      </w:r>
      <w:r>
        <w:rPr>
          <w:spacing w:val="-7"/>
        </w:rPr>
        <w:t xml:space="preserve"> </w:t>
      </w:r>
      <w:r>
        <w:t>the doxastic nature of emotion</w:t>
      </w:r>
    </w:p>
    <w:p w14:paraId="7E0023FB" w14:textId="77777777" w:rsidR="009A58DB" w:rsidRDefault="00000000">
      <w:pPr>
        <w:pStyle w:val="BodyText"/>
        <w:spacing w:before="131" w:line="249" w:lineRule="auto"/>
        <w:ind w:right="359"/>
      </w:pPr>
      <w:r>
        <w:t xml:space="preserve">Our sense-perceptions represent the world as being a certain way. Some are accurate; some are not. But, whether accurate or not, sense-perceptions always depict or represent the world as being a certain way; they always “say something about it.” By this I mean only that, like a spoken or written statement, they have “truth-conditions”: they’re accurate </w:t>
      </w:r>
      <w:r>
        <w:rPr>
          <w:b/>
          <w:i/>
        </w:rPr>
        <w:t xml:space="preserve">iff </w:t>
      </w:r>
      <w:r>
        <w:t>the world satisfies certain conditions.</w:t>
      </w:r>
    </w:p>
    <w:p w14:paraId="7E0023FC" w14:textId="77777777" w:rsidR="009A58DB" w:rsidRDefault="00000000">
      <w:pPr>
        <w:pStyle w:val="BodyText"/>
        <w:spacing w:before="8" w:line="249" w:lineRule="auto"/>
        <w:ind w:right="358" w:firstLine="360"/>
      </w:pPr>
      <w:r>
        <w:t>The same thing is true of thought. Some of our thoughts are true; some are false; some are a mixture of truth and falsehood. But, whether true or false, our thoughts always represent things as being a certain way; they always say something about the world.</w:t>
      </w:r>
    </w:p>
    <w:p w14:paraId="7E0023FD" w14:textId="77777777" w:rsidR="009A58DB" w:rsidRDefault="00000000">
      <w:pPr>
        <w:pStyle w:val="BodyText"/>
        <w:spacing w:before="5" w:line="249" w:lineRule="auto"/>
        <w:ind w:right="357" w:firstLine="360"/>
      </w:pPr>
      <w:r>
        <w:t xml:space="preserve">Do </w:t>
      </w:r>
      <w:r>
        <w:rPr>
          <w:i/>
        </w:rPr>
        <w:t xml:space="preserve">emotions </w:t>
      </w:r>
      <w:r>
        <w:t>say anything about the world? Are they, in this respect, like perceptions and beliefs? “Surely not!” it is said:</w:t>
      </w:r>
    </w:p>
    <w:p w14:paraId="7E0023FE" w14:textId="77777777" w:rsidR="009A58DB" w:rsidRDefault="009A58DB">
      <w:pPr>
        <w:pStyle w:val="BodyText"/>
        <w:spacing w:before="17"/>
        <w:ind w:left="0"/>
        <w:jc w:val="left"/>
      </w:pPr>
    </w:p>
    <w:p w14:paraId="7E0023FF" w14:textId="77777777" w:rsidR="009A58DB" w:rsidRDefault="00000000">
      <w:pPr>
        <w:pStyle w:val="BodyText"/>
        <w:spacing w:line="249" w:lineRule="auto"/>
        <w:ind w:left="720" w:right="720" w:firstLine="360"/>
      </w:pPr>
      <w:r>
        <w:t>Emotions can be healthy or unhealthy, but they cannot be true or false.</w:t>
      </w:r>
      <w:r>
        <w:rPr>
          <w:spacing w:val="-1"/>
        </w:rPr>
        <w:t xml:space="preserve"> </w:t>
      </w:r>
      <w:r>
        <w:t>It’s</w:t>
      </w:r>
      <w:r>
        <w:rPr>
          <w:spacing w:val="-1"/>
        </w:rPr>
        <w:t xml:space="preserve"> </w:t>
      </w:r>
      <w:r>
        <w:t>not</w:t>
      </w:r>
      <w:r>
        <w:rPr>
          <w:spacing w:val="-2"/>
        </w:rPr>
        <w:t xml:space="preserve"> </w:t>
      </w:r>
      <w:r>
        <w:t>as</w:t>
      </w:r>
      <w:r>
        <w:rPr>
          <w:spacing w:val="-1"/>
        </w:rPr>
        <w:t xml:space="preserve"> </w:t>
      </w:r>
      <w:r>
        <w:t>though,</w:t>
      </w:r>
      <w:r>
        <w:rPr>
          <w:spacing w:val="-1"/>
        </w:rPr>
        <w:t xml:space="preserve"> </w:t>
      </w:r>
      <w:r>
        <w:t>by</w:t>
      </w:r>
      <w:r>
        <w:rPr>
          <w:spacing w:val="-1"/>
        </w:rPr>
        <w:t xml:space="preserve"> </w:t>
      </w:r>
      <w:r>
        <w:t>virtue</w:t>
      </w:r>
      <w:r>
        <w:rPr>
          <w:spacing w:val="-1"/>
        </w:rPr>
        <w:t xml:space="preserve"> </w:t>
      </w:r>
      <w:r>
        <w:t>of</w:t>
      </w:r>
      <w:r>
        <w:rPr>
          <w:spacing w:val="-1"/>
        </w:rPr>
        <w:t xml:space="preserve"> </w:t>
      </w:r>
      <w:r>
        <w:t>being</w:t>
      </w:r>
      <w:r>
        <w:rPr>
          <w:spacing w:val="-1"/>
        </w:rPr>
        <w:t xml:space="preserve"> </w:t>
      </w:r>
      <w:r>
        <w:t>happy</w:t>
      </w:r>
      <w:r>
        <w:rPr>
          <w:spacing w:val="-1"/>
        </w:rPr>
        <w:t xml:space="preserve"> </w:t>
      </w:r>
      <w:r>
        <w:t>or</w:t>
      </w:r>
      <w:r>
        <w:rPr>
          <w:spacing w:val="-1"/>
        </w:rPr>
        <w:t xml:space="preserve"> </w:t>
      </w:r>
      <w:r>
        <w:t>sad,</w:t>
      </w:r>
      <w:r>
        <w:rPr>
          <w:spacing w:val="-1"/>
        </w:rPr>
        <w:t xml:space="preserve"> </w:t>
      </w:r>
      <w:r>
        <w:t>you’re</w:t>
      </w:r>
      <w:r>
        <w:rPr>
          <w:spacing w:val="-1"/>
        </w:rPr>
        <w:t xml:space="preserve"> </w:t>
      </w:r>
      <w:r>
        <w:t>right</w:t>
      </w:r>
      <w:r>
        <w:rPr>
          <w:spacing w:val="-1"/>
        </w:rPr>
        <w:t xml:space="preserve"> </w:t>
      </w:r>
      <w:r>
        <w:t>or wrong about anything. You can be happy that Tim left home, sad about it, or neither. But none of these feelings is any more accurate than any of the others, even though some may be more pleasant or more adaptive. In general, emotions are neither true nor false, neither accurate nor inaccurate.</w:t>
      </w:r>
    </w:p>
    <w:p w14:paraId="7E002400" w14:textId="77777777" w:rsidR="009A58DB" w:rsidRDefault="00000000">
      <w:pPr>
        <w:pStyle w:val="BodyText"/>
        <w:spacing w:before="9" w:line="249" w:lineRule="auto"/>
        <w:ind w:left="720" w:right="718" w:firstLine="360"/>
      </w:pPr>
      <w:r>
        <w:t>Of</w:t>
      </w:r>
      <w:r>
        <w:rPr>
          <w:spacing w:val="-2"/>
        </w:rPr>
        <w:t xml:space="preserve"> </w:t>
      </w:r>
      <w:r>
        <w:t>course,</w:t>
      </w:r>
      <w:r>
        <w:rPr>
          <w:spacing w:val="-2"/>
        </w:rPr>
        <w:t xml:space="preserve"> </w:t>
      </w:r>
      <w:r>
        <w:t>emotions</w:t>
      </w:r>
      <w:r>
        <w:rPr>
          <w:spacing w:val="-2"/>
        </w:rPr>
        <w:t xml:space="preserve"> </w:t>
      </w:r>
      <w:r>
        <w:t>typically</w:t>
      </w:r>
      <w:r>
        <w:rPr>
          <w:spacing w:val="-2"/>
        </w:rPr>
        <w:t xml:space="preserve"> </w:t>
      </w:r>
      <w:r>
        <w:t>involve</w:t>
      </w:r>
      <w:r>
        <w:rPr>
          <w:spacing w:val="-2"/>
        </w:rPr>
        <w:t xml:space="preserve"> </w:t>
      </w:r>
      <w:r>
        <w:t>presuppositions</w:t>
      </w:r>
      <w:r>
        <w:rPr>
          <w:spacing w:val="-2"/>
        </w:rPr>
        <w:t xml:space="preserve"> </w:t>
      </w:r>
      <w:r>
        <w:t>about</w:t>
      </w:r>
      <w:r>
        <w:rPr>
          <w:spacing w:val="-3"/>
        </w:rPr>
        <w:t xml:space="preserve"> </w:t>
      </w:r>
      <w:r>
        <w:t>how</w:t>
      </w:r>
      <w:r>
        <w:rPr>
          <w:spacing w:val="-2"/>
        </w:rPr>
        <w:t xml:space="preserve"> </w:t>
      </w:r>
      <w:r>
        <w:t>the world is. You cannot be angry</w:t>
      </w:r>
      <w:r>
        <w:rPr>
          <w:spacing w:val="-12"/>
        </w:rPr>
        <w:t xml:space="preserve"> </w:t>
      </w:r>
      <w:r>
        <w:rPr>
          <w:i/>
        </w:rPr>
        <w:t>that Tim stole your bicycle</w:t>
      </w:r>
      <w:r>
        <w:rPr>
          <w:i/>
          <w:spacing w:val="-12"/>
        </w:rPr>
        <w:t xml:space="preserve"> </w:t>
      </w:r>
      <w:r>
        <w:t>unless you believe that Tim stole your bicycle.</w:t>
      </w:r>
      <w:r>
        <w:rPr>
          <w:spacing w:val="-4"/>
        </w:rPr>
        <w:t xml:space="preserve"> </w:t>
      </w:r>
      <w:r>
        <w:t>You cannot</w:t>
      </w:r>
      <w:r>
        <w:rPr>
          <w:spacing w:val="-14"/>
        </w:rPr>
        <w:t xml:space="preserve"> </w:t>
      </w:r>
      <w:r>
        <w:t xml:space="preserve">be happy </w:t>
      </w:r>
      <w:r>
        <w:rPr>
          <w:i/>
        </w:rPr>
        <w:t>that Sally got married</w:t>
      </w:r>
      <w:r>
        <w:rPr>
          <w:i/>
          <w:spacing w:val="-3"/>
        </w:rPr>
        <w:t xml:space="preserve"> </w:t>
      </w:r>
      <w:r>
        <w:t>unless</w:t>
      </w:r>
      <w:r>
        <w:rPr>
          <w:spacing w:val="-1"/>
        </w:rPr>
        <w:t xml:space="preserve"> </w:t>
      </w:r>
      <w:r>
        <w:t>you</w:t>
      </w:r>
      <w:r>
        <w:rPr>
          <w:spacing w:val="-1"/>
        </w:rPr>
        <w:t xml:space="preserve"> </w:t>
      </w:r>
      <w:r>
        <w:t>believe</w:t>
      </w:r>
      <w:r>
        <w:rPr>
          <w:spacing w:val="-1"/>
        </w:rPr>
        <w:t xml:space="preserve"> </w:t>
      </w:r>
      <w:r>
        <w:t>that</w:t>
      </w:r>
      <w:r>
        <w:rPr>
          <w:spacing w:val="-1"/>
        </w:rPr>
        <w:t xml:space="preserve"> </w:t>
      </w:r>
      <w:r>
        <w:rPr>
          <w:i/>
        </w:rPr>
        <w:t xml:space="preserve">Sally got married. </w:t>
      </w:r>
      <w:r>
        <w:t xml:space="preserve">And, of course, your belief that Tim stole your bicycle is either true or false, as is your belief that Sally got married. But your </w:t>
      </w:r>
      <w:r>
        <w:rPr>
          <w:i/>
        </w:rPr>
        <w:t xml:space="preserve">anger </w:t>
      </w:r>
      <w:r>
        <w:t>at Tim’s (supposed) act of theft isn’t true or false, and neither is your happiness about Sally’s nuptials.</w:t>
      </w:r>
    </w:p>
    <w:p w14:paraId="7E00240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02" w14:textId="77777777" w:rsidR="009A58DB" w:rsidRDefault="00000000">
      <w:pPr>
        <w:pStyle w:val="BodyText"/>
        <w:spacing w:before="65" w:line="249" w:lineRule="auto"/>
        <w:ind w:left="720" w:right="718" w:firstLine="360"/>
      </w:pPr>
      <w:r>
        <w:lastRenderedPageBreak/>
        <w:t xml:space="preserve">Emotions </w:t>
      </w:r>
      <w:r>
        <w:rPr>
          <w:i/>
        </w:rPr>
        <w:t xml:space="preserve">presuppose </w:t>
      </w:r>
      <w:r>
        <w:t>beliefs; but emotions aren’t themselves</w:t>
      </w:r>
      <w:r>
        <w:rPr>
          <w:spacing w:val="40"/>
        </w:rPr>
        <w:t xml:space="preserve"> </w:t>
      </w:r>
      <w:r>
        <w:t xml:space="preserve">beliefs. If you’re happy, you’re happy </w:t>
      </w:r>
      <w:r>
        <w:rPr>
          <w:i/>
        </w:rPr>
        <w:t>that such and such is the case.</w:t>
      </w:r>
      <w:r>
        <w:rPr>
          <w:i/>
          <w:spacing w:val="40"/>
        </w:rPr>
        <w:t xml:space="preserve"> </w:t>
      </w:r>
      <w:r>
        <w:t xml:space="preserve">So you’re happiness presupposes that you believe that such and such is the case. But, while that belief is either true or false, your happiness about it is neither. The same is true of all other emotions. If you’re worried, you’re worried that such and such might happen and you therefore believe it possible that such and such might happen. This </w:t>
      </w:r>
      <w:r>
        <w:rPr>
          <w:i/>
        </w:rPr>
        <w:t xml:space="preserve">belief </w:t>
      </w:r>
      <w:r>
        <w:t xml:space="preserve">may or may not be correct. (Your worry is “well-grounded” if that belief is correct, and it’s otherwise not well-grounded. But your worry itself is not true or false.) So, whatever it is that your being worried </w:t>
      </w:r>
      <w:r>
        <w:rPr>
          <w:i/>
        </w:rPr>
        <w:t xml:space="preserve">adds </w:t>
      </w:r>
      <w:r>
        <w:t>to your belief, it isn’t something true or false. What it adds may be important from a personal viewpoint; but it’s neither here nor there as far as your knowledge of the world is concerned.</w:t>
      </w:r>
    </w:p>
    <w:p w14:paraId="7E002403" w14:textId="77777777" w:rsidR="009A58DB" w:rsidRDefault="009A58DB">
      <w:pPr>
        <w:pStyle w:val="BodyText"/>
        <w:spacing w:before="30"/>
        <w:ind w:left="0"/>
        <w:jc w:val="left"/>
      </w:pPr>
    </w:p>
    <w:p w14:paraId="7E002404" w14:textId="77777777" w:rsidR="009A58DB" w:rsidRDefault="00000000">
      <w:pPr>
        <w:pStyle w:val="BodyText"/>
        <w:spacing w:before="1" w:line="249" w:lineRule="auto"/>
        <w:ind w:right="361" w:firstLine="360"/>
        <w:rPr>
          <w:i/>
        </w:rPr>
      </w:pPr>
      <w:r>
        <w:t xml:space="preserve">The position just described was advocated by David Hume, and we’ll henceforth refer to it as “Hume’s view.” Hume’s view, we will now see, is totally false. Emotions </w:t>
      </w:r>
      <w:r>
        <w:rPr>
          <w:i/>
        </w:rPr>
        <w:t xml:space="preserve">are </w:t>
      </w:r>
      <w:r>
        <w:t xml:space="preserve">true or false. The reason is that, counterintuitive though it may seem, </w:t>
      </w:r>
      <w:r>
        <w:rPr>
          <w:i/>
        </w:rPr>
        <w:t>emotions are beliefs.</w:t>
      </w:r>
    </w:p>
    <w:p w14:paraId="7E002405" w14:textId="77777777" w:rsidR="009A58DB" w:rsidRDefault="00000000">
      <w:pPr>
        <w:pStyle w:val="BodyText"/>
        <w:spacing w:before="5" w:line="249" w:lineRule="auto"/>
        <w:ind w:right="362" w:firstLine="360"/>
        <w:rPr>
          <w:i/>
        </w:rPr>
      </w:pPr>
      <w:r>
        <w:t xml:space="preserve">If you have a headache, you’ll happily take a pill to get rid of it. We don’t see it as strange for someone to take a pill to get rid of an unpleasant </w:t>
      </w:r>
      <w:r>
        <w:rPr>
          <w:i/>
        </w:rPr>
        <w:t xml:space="preserve">feeling. </w:t>
      </w:r>
      <w:r>
        <w:t xml:space="preserve">We don’t feel that they’re self-lobotomizing. But that </w:t>
      </w:r>
      <w:r>
        <w:rPr>
          <w:i/>
        </w:rPr>
        <w:t xml:space="preserve">is </w:t>
      </w:r>
      <w:r>
        <w:t xml:space="preserve">how we’d regard somebody who took a pill that wiped away all his unpleasant </w:t>
      </w:r>
      <w:r>
        <w:rPr>
          <w:i/>
        </w:rPr>
        <w:t>emotions.</w:t>
      </w:r>
    </w:p>
    <w:p w14:paraId="7E002406" w14:textId="77777777" w:rsidR="009A58DB" w:rsidRDefault="00000000">
      <w:pPr>
        <w:pStyle w:val="BodyText"/>
        <w:spacing w:before="4" w:line="249" w:lineRule="auto"/>
        <w:ind w:right="364" w:firstLine="360"/>
      </w:pPr>
      <w:r>
        <w:t>Your child has been kidnapped. You suspect that he’s still alive. You</w:t>
      </w:r>
      <w:r>
        <w:rPr>
          <w:spacing w:val="40"/>
        </w:rPr>
        <w:t xml:space="preserve"> </w:t>
      </w:r>
      <w:r>
        <w:t>don’t know who the kidnapper is or where he’s keeping your child, and neither do the police. The police are not pursuing obvious leads and seem not to be doing much to find your child. You are angry at them, but you’re 10 times angrier at the kidnapper.</w:t>
      </w:r>
    </w:p>
    <w:p w14:paraId="7E002407" w14:textId="77777777" w:rsidR="009A58DB" w:rsidRDefault="00000000">
      <w:pPr>
        <w:pStyle w:val="BodyText"/>
        <w:spacing w:before="7" w:line="249" w:lineRule="auto"/>
        <w:ind w:right="369" w:firstLine="360"/>
      </w:pPr>
      <w:r>
        <w:t>By sheer coincidence, a friend of yours—a physician and world-renowned biochemist—has invented a pill you can take that will get rid of your anger. The pill has no side effects and it won’t cost you anything.</w:t>
      </w:r>
    </w:p>
    <w:p w14:paraId="7E002408" w14:textId="77777777" w:rsidR="009A58DB" w:rsidRDefault="00000000">
      <w:pPr>
        <w:pStyle w:val="BodyText"/>
        <w:spacing w:before="3" w:line="249" w:lineRule="auto"/>
        <w:ind w:right="358" w:firstLine="360"/>
      </w:pPr>
      <w:r>
        <w:t>Would you take it? Probably not. Would your attitude towards taking it be comparable to your attitude towards taking an aspirin to get rid of a headache? Definitely not. What you want isn’t to get rid of the emotion.</w:t>
      </w:r>
      <w:r>
        <w:rPr>
          <w:spacing w:val="40"/>
        </w:rPr>
        <w:t xml:space="preserve"> </w:t>
      </w:r>
      <w:r>
        <w:t xml:space="preserve">What you want is for the police to find your child. It’s true that, if they find him, your anger will vanish or assume other, milder forms. But it isn’t </w:t>
      </w:r>
      <w:r>
        <w:rPr>
          <w:i/>
        </w:rPr>
        <w:t>because</w:t>
      </w:r>
      <w:r>
        <w:rPr>
          <w:i/>
          <w:spacing w:val="27"/>
        </w:rPr>
        <w:t xml:space="preserve"> </w:t>
      </w:r>
      <w:r>
        <w:t>you</w:t>
      </w:r>
      <w:r>
        <w:rPr>
          <w:spacing w:val="35"/>
        </w:rPr>
        <w:t xml:space="preserve"> </w:t>
      </w:r>
      <w:r>
        <w:t>want</w:t>
      </w:r>
      <w:r>
        <w:rPr>
          <w:spacing w:val="35"/>
        </w:rPr>
        <w:t xml:space="preserve"> </w:t>
      </w:r>
      <w:r>
        <w:t>to</w:t>
      </w:r>
      <w:r>
        <w:rPr>
          <w:spacing w:val="34"/>
        </w:rPr>
        <w:t xml:space="preserve"> </w:t>
      </w:r>
      <w:r>
        <w:t>get</w:t>
      </w:r>
      <w:r>
        <w:rPr>
          <w:spacing w:val="35"/>
        </w:rPr>
        <w:t xml:space="preserve"> </w:t>
      </w:r>
      <w:r>
        <w:t>rid</w:t>
      </w:r>
      <w:r>
        <w:rPr>
          <w:spacing w:val="35"/>
        </w:rPr>
        <w:t xml:space="preserve"> </w:t>
      </w:r>
      <w:r>
        <w:t>of</w:t>
      </w:r>
      <w:r>
        <w:rPr>
          <w:spacing w:val="34"/>
        </w:rPr>
        <w:t xml:space="preserve"> </w:t>
      </w:r>
      <w:r>
        <w:t>your</w:t>
      </w:r>
      <w:r>
        <w:rPr>
          <w:spacing w:val="35"/>
        </w:rPr>
        <w:t xml:space="preserve"> </w:t>
      </w:r>
      <w:r>
        <w:t>anger</w:t>
      </w:r>
      <w:r>
        <w:rPr>
          <w:spacing w:val="35"/>
        </w:rPr>
        <w:t xml:space="preserve"> </w:t>
      </w:r>
      <w:r>
        <w:t>that</w:t>
      </w:r>
      <w:r>
        <w:rPr>
          <w:spacing w:val="34"/>
        </w:rPr>
        <w:t xml:space="preserve"> </w:t>
      </w:r>
      <w:r>
        <w:t>you</w:t>
      </w:r>
      <w:r>
        <w:rPr>
          <w:spacing w:val="35"/>
        </w:rPr>
        <w:t xml:space="preserve"> </w:t>
      </w:r>
      <w:r>
        <w:t>want</w:t>
      </w:r>
      <w:r>
        <w:rPr>
          <w:spacing w:val="35"/>
        </w:rPr>
        <w:t xml:space="preserve"> </w:t>
      </w:r>
      <w:r>
        <w:t>the</w:t>
      </w:r>
      <w:r>
        <w:rPr>
          <w:spacing w:val="34"/>
        </w:rPr>
        <w:t xml:space="preserve"> </w:t>
      </w:r>
      <w:r>
        <w:t>police</w:t>
      </w:r>
      <w:r>
        <w:rPr>
          <w:spacing w:val="35"/>
        </w:rPr>
        <w:t xml:space="preserve"> </w:t>
      </w:r>
      <w:r>
        <w:t>to</w:t>
      </w:r>
      <w:r>
        <w:rPr>
          <w:spacing w:val="35"/>
        </w:rPr>
        <w:t xml:space="preserve"> </w:t>
      </w:r>
      <w:r>
        <w:rPr>
          <w:spacing w:val="-4"/>
        </w:rPr>
        <w:t>find</w:t>
      </w:r>
    </w:p>
    <w:p w14:paraId="7E00240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0A" w14:textId="77777777" w:rsidR="009A58DB" w:rsidRDefault="00000000">
      <w:pPr>
        <w:pStyle w:val="BodyText"/>
        <w:spacing w:before="65" w:line="249" w:lineRule="auto"/>
        <w:ind w:right="358"/>
      </w:pPr>
      <w:r>
        <w:lastRenderedPageBreak/>
        <w:t>your</w:t>
      </w:r>
      <w:r>
        <w:rPr>
          <w:spacing w:val="-2"/>
        </w:rPr>
        <w:t xml:space="preserve"> </w:t>
      </w:r>
      <w:r>
        <w:t>child.</w:t>
      </w:r>
      <w:r>
        <w:rPr>
          <w:spacing w:val="-2"/>
        </w:rPr>
        <w:t xml:space="preserve"> </w:t>
      </w:r>
      <w:r>
        <w:t>For</w:t>
      </w:r>
      <w:r>
        <w:rPr>
          <w:spacing w:val="-2"/>
        </w:rPr>
        <w:t xml:space="preserve"> </w:t>
      </w:r>
      <w:r>
        <w:t>if</w:t>
      </w:r>
      <w:r>
        <w:rPr>
          <w:spacing w:val="-2"/>
        </w:rPr>
        <w:t xml:space="preserve"> </w:t>
      </w:r>
      <w:r>
        <w:t>it</w:t>
      </w:r>
      <w:r>
        <w:rPr>
          <w:spacing w:val="-2"/>
        </w:rPr>
        <w:t xml:space="preserve"> </w:t>
      </w:r>
      <w:r>
        <w:t>were,</w:t>
      </w:r>
      <w:r>
        <w:rPr>
          <w:spacing w:val="-2"/>
        </w:rPr>
        <w:t xml:space="preserve"> </w:t>
      </w:r>
      <w:r>
        <w:t>then</w:t>
      </w:r>
      <w:r>
        <w:rPr>
          <w:spacing w:val="-2"/>
        </w:rPr>
        <w:t xml:space="preserve"> </w:t>
      </w:r>
      <w:r>
        <w:t>their</w:t>
      </w:r>
      <w:r>
        <w:rPr>
          <w:spacing w:val="-2"/>
        </w:rPr>
        <w:t xml:space="preserve"> </w:t>
      </w:r>
      <w:r>
        <w:t>finding</w:t>
      </w:r>
      <w:r>
        <w:rPr>
          <w:spacing w:val="-2"/>
        </w:rPr>
        <w:t xml:space="preserve"> </w:t>
      </w:r>
      <w:r>
        <w:t>the</w:t>
      </w:r>
      <w:r>
        <w:rPr>
          <w:spacing w:val="-2"/>
        </w:rPr>
        <w:t xml:space="preserve"> </w:t>
      </w:r>
      <w:r>
        <w:t>child</w:t>
      </w:r>
      <w:r>
        <w:rPr>
          <w:spacing w:val="-2"/>
        </w:rPr>
        <w:t xml:space="preserve"> </w:t>
      </w:r>
      <w:r>
        <w:t>would</w:t>
      </w:r>
      <w:r>
        <w:rPr>
          <w:spacing w:val="-2"/>
        </w:rPr>
        <w:t xml:space="preserve"> </w:t>
      </w:r>
      <w:r>
        <w:t>just</w:t>
      </w:r>
      <w:r>
        <w:rPr>
          <w:spacing w:val="-2"/>
        </w:rPr>
        <w:t xml:space="preserve"> </w:t>
      </w:r>
      <w:r>
        <w:t>be</w:t>
      </w:r>
      <w:r>
        <w:rPr>
          <w:spacing w:val="-2"/>
        </w:rPr>
        <w:t xml:space="preserve"> </w:t>
      </w:r>
      <w:r>
        <w:t>a</w:t>
      </w:r>
      <w:r>
        <w:rPr>
          <w:spacing w:val="-2"/>
        </w:rPr>
        <w:t xml:space="preserve"> </w:t>
      </w:r>
      <w:r>
        <w:t>means</w:t>
      </w:r>
      <w:r>
        <w:rPr>
          <w:spacing w:val="-2"/>
        </w:rPr>
        <w:t xml:space="preserve"> </w:t>
      </w:r>
      <w:r>
        <w:t xml:space="preserve">to that end, in which case you’d just as soon take the pill as you would have them find your child. But that isn’t what you’d do. If you had to choose between taking the pill and having the police find your child, you would, without any doubt, choose the latter. You’d even be willing to endure an intensification of your anger if you thought it might make it more likely that your child would be found. So your desire to find your child is </w:t>
      </w:r>
      <w:r>
        <w:rPr>
          <w:i/>
        </w:rPr>
        <w:t>not</w:t>
      </w:r>
      <w:r>
        <w:rPr>
          <w:i/>
          <w:spacing w:val="-2"/>
        </w:rPr>
        <w:t xml:space="preserve"> </w:t>
      </w:r>
      <w:r>
        <w:t>a desire to make your anger go away.</w:t>
      </w:r>
    </w:p>
    <w:p w14:paraId="7E00240B" w14:textId="77777777" w:rsidR="009A58DB" w:rsidRDefault="00000000">
      <w:pPr>
        <w:pStyle w:val="BodyText"/>
        <w:spacing w:before="9" w:line="249" w:lineRule="auto"/>
        <w:ind w:right="360" w:firstLine="360"/>
      </w:pPr>
      <w:r>
        <w:t>In general, what people want isn’t to extinguish the unpleasant emotions they</w:t>
      </w:r>
      <w:r>
        <w:rPr>
          <w:spacing w:val="-3"/>
        </w:rPr>
        <w:t xml:space="preserve"> </w:t>
      </w:r>
      <w:r>
        <w:t>have.</w:t>
      </w:r>
      <w:r>
        <w:rPr>
          <w:spacing w:val="-3"/>
        </w:rPr>
        <w:t xml:space="preserve"> </w:t>
      </w:r>
      <w:r>
        <w:t>What</w:t>
      </w:r>
      <w:r>
        <w:rPr>
          <w:spacing w:val="-3"/>
        </w:rPr>
        <w:t xml:space="preserve"> </w:t>
      </w:r>
      <w:r>
        <w:t>they</w:t>
      </w:r>
      <w:r>
        <w:rPr>
          <w:spacing w:val="-3"/>
        </w:rPr>
        <w:t xml:space="preserve"> </w:t>
      </w:r>
      <w:r>
        <w:t>want</w:t>
      </w:r>
      <w:r>
        <w:rPr>
          <w:spacing w:val="-3"/>
        </w:rPr>
        <w:t xml:space="preserve"> </w:t>
      </w:r>
      <w:r>
        <w:t>is</w:t>
      </w:r>
      <w:r>
        <w:rPr>
          <w:spacing w:val="-4"/>
        </w:rPr>
        <w:t xml:space="preserve"> </w:t>
      </w:r>
      <w:r>
        <w:t>to</w:t>
      </w:r>
      <w:r>
        <w:rPr>
          <w:spacing w:val="-3"/>
        </w:rPr>
        <w:t xml:space="preserve"> </w:t>
      </w:r>
      <w:r>
        <w:t>change</w:t>
      </w:r>
      <w:r>
        <w:rPr>
          <w:spacing w:val="-3"/>
        </w:rPr>
        <w:t xml:space="preserve"> </w:t>
      </w:r>
      <w:r>
        <w:t>their</w:t>
      </w:r>
      <w:r>
        <w:rPr>
          <w:spacing w:val="-4"/>
        </w:rPr>
        <w:t xml:space="preserve"> </w:t>
      </w:r>
      <w:r>
        <w:t>circumstances</w:t>
      </w:r>
      <w:r>
        <w:rPr>
          <w:spacing w:val="-3"/>
        </w:rPr>
        <w:t xml:space="preserve"> </w:t>
      </w:r>
      <w:r>
        <w:t>in</w:t>
      </w:r>
      <w:r>
        <w:rPr>
          <w:spacing w:val="-3"/>
        </w:rPr>
        <w:t xml:space="preserve"> </w:t>
      </w:r>
      <w:r>
        <w:t>such</w:t>
      </w:r>
      <w:r>
        <w:rPr>
          <w:spacing w:val="-3"/>
        </w:rPr>
        <w:t xml:space="preserve"> </w:t>
      </w:r>
      <w:r>
        <w:t>a</w:t>
      </w:r>
      <w:r>
        <w:rPr>
          <w:spacing w:val="-3"/>
        </w:rPr>
        <w:t xml:space="preserve"> </w:t>
      </w:r>
      <w:r>
        <w:t>way</w:t>
      </w:r>
      <w:r>
        <w:rPr>
          <w:spacing w:val="-3"/>
        </w:rPr>
        <w:t xml:space="preserve"> </w:t>
      </w:r>
      <w:r>
        <w:t>that their unpleasant emotions no longer have a basis in them. People don’t want to “zap” their anger or hate or pessimism. They want the world to change in such a way that those emotions cease to be appropriate to it.</w:t>
      </w:r>
    </w:p>
    <w:p w14:paraId="7E00240C" w14:textId="77777777" w:rsidR="009A58DB" w:rsidRDefault="00000000">
      <w:pPr>
        <w:pStyle w:val="BodyText"/>
        <w:spacing w:before="7" w:line="249" w:lineRule="auto"/>
        <w:ind w:right="359" w:firstLine="360"/>
      </w:pPr>
      <w:r>
        <w:t xml:space="preserve">In this respect, the attitude that people have towards their emotions is similar to the attitude they have towards their senses. People want to see beauty, not ugliness. But they want to see beauty </w:t>
      </w:r>
      <w:r>
        <w:rPr>
          <w:i/>
        </w:rPr>
        <w:t>because it’s really there</w:t>
      </w:r>
      <w:r>
        <w:t>—not</w:t>
      </w:r>
      <w:r>
        <w:rPr>
          <w:spacing w:val="-1"/>
        </w:rPr>
        <w:t xml:space="preserve"> </w:t>
      </w:r>
      <w:r>
        <w:t>because they took a pill that</w:t>
      </w:r>
      <w:r>
        <w:rPr>
          <w:spacing w:val="-1"/>
        </w:rPr>
        <w:t xml:space="preserve"> </w:t>
      </w:r>
      <w:r>
        <w:t>made them see a pristine forest-stream</w:t>
      </w:r>
      <w:r>
        <w:rPr>
          <w:spacing w:val="-1"/>
        </w:rPr>
        <w:t xml:space="preserve"> </w:t>
      </w:r>
      <w:r>
        <w:t>where there was actually a rivulet of septic gutter water. And people want to feel joy. But they want to feel it because their circumstances warrant it—not because they took a pill that tricked them into feeling joyous in sorrow-warranting circumstances.</w:t>
      </w:r>
    </w:p>
    <w:p w14:paraId="7E00240D" w14:textId="77777777" w:rsidR="009A58DB" w:rsidRDefault="00000000">
      <w:pPr>
        <w:pStyle w:val="BodyText"/>
        <w:spacing w:before="9" w:line="249" w:lineRule="auto"/>
        <w:ind w:right="360" w:firstLine="360"/>
      </w:pPr>
      <w:r>
        <w:t xml:space="preserve">Like a sense-perception or thought, an emotion must have an object. You can’t </w:t>
      </w:r>
      <w:r>
        <w:rPr>
          <w:i/>
        </w:rPr>
        <w:t xml:space="preserve">just </w:t>
      </w:r>
      <w:r>
        <w:t xml:space="preserve">be angry. You’re angry at your boss </w:t>
      </w:r>
      <w:r>
        <w:rPr>
          <w:i/>
        </w:rPr>
        <w:t xml:space="preserve">for </w:t>
      </w:r>
      <w:r>
        <w:t xml:space="preserve">giving someone else the promotion. You’re angry at Tim for stealing your bicycle. Your anger is therefore </w:t>
      </w:r>
      <w:r>
        <w:rPr>
          <w:i/>
        </w:rPr>
        <w:t xml:space="preserve">about </w:t>
      </w:r>
      <w:r>
        <w:t>something—it’s about your boss’s snubbing you or Tim’s robbing you.</w:t>
      </w:r>
    </w:p>
    <w:p w14:paraId="7E00240E" w14:textId="77777777" w:rsidR="009A58DB" w:rsidRDefault="00000000">
      <w:pPr>
        <w:pStyle w:val="BodyText"/>
        <w:spacing w:before="7" w:line="249" w:lineRule="auto"/>
        <w:ind w:right="359" w:firstLine="360"/>
      </w:pPr>
      <w:r>
        <w:t xml:space="preserve">The same thing </w:t>
      </w:r>
      <w:r>
        <w:rPr>
          <w:i/>
        </w:rPr>
        <w:t xml:space="preserve">mutatis mutandis </w:t>
      </w:r>
      <w:r>
        <w:t xml:space="preserve">is true of all emotions. You’re not </w:t>
      </w:r>
      <w:r>
        <w:rPr>
          <w:i/>
        </w:rPr>
        <w:t xml:space="preserve">just </w:t>
      </w:r>
      <w:r>
        <w:t>remorseful;</w:t>
      </w:r>
      <w:r>
        <w:rPr>
          <w:spacing w:val="-4"/>
        </w:rPr>
        <w:t xml:space="preserve"> </w:t>
      </w:r>
      <w:r>
        <w:t>you’re</w:t>
      </w:r>
      <w:r>
        <w:rPr>
          <w:spacing w:val="-4"/>
        </w:rPr>
        <w:t xml:space="preserve"> </w:t>
      </w:r>
      <w:r>
        <w:t>remorseful</w:t>
      </w:r>
      <w:r>
        <w:rPr>
          <w:spacing w:val="-4"/>
        </w:rPr>
        <w:t xml:space="preserve"> </w:t>
      </w:r>
      <w:r>
        <w:rPr>
          <w:i/>
        </w:rPr>
        <w:t>that</w:t>
      </w:r>
      <w:r>
        <w:rPr>
          <w:i/>
          <w:spacing w:val="-4"/>
        </w:rPr>
        <w:t xml:space="preserve"> </w:t>
      </w:r>
      <w:r>
        <w:t xml:space="preserve">you sold your wife’s jewelry to buy drugs. And you’re not </w:t>
      </w:r>
      <w:r>
        <w:rPr>
          <w:i/>
        </w:rPr>
        <w:t xml:space="preserve">just </w:t>
      </w:r>
      <w:r>
        <w:t xml:space="preserve">relieved; you’re relieved </w:t>
      </w:r>
      <w:r>
        <w:rPr>
          <w:i/>
        </w:rPr>
        <w:t xml:space="preserve">that </w:t>
      </w:r>
      <w:r>
        <w:t>she’s not pressing charges.</w:t>
      </w:r>
    </w:p>
    <w:p w14:paraId="7E00240F" w14:textId="77777777" w:rsidR="009A58DB" w:rsidRDefault="00000000">
      <w:pPr>
        <w:pStyle w:val="Heading1"/>
        <w:numPr>
          <w:ilvl w:val="1"/>
          <w:numId w:val="62"/>
        </w:numPr>
        <w:tabs>
          <w:tab w:val="left" w:pos="1409"/>
        </w:tabs>
        <w:spacing w:before="191"/>
        <w:ind w:left="1409" w:hanging="1049"/>
      </w:pPr>
      <w:r>
        <w:t>The</w:t>
      </w:r>
      <w:r>
        <w:rPr>
          <w:spacing w:val="-7"/>
        </w:rPr>
        <w:t xml:space="preserve"> </w:t>
      </w:r>
      <w:r>
        <w:t>contentfulness</w:t>
      </w:r>
      <w:r>
        <w:rPr>
          <w:spacing w:val="-5"/>
        </w:rPr>
        <w:t xml:space="preserve"> </w:t>
      </w:r>
      <w:r>
        <w:t>of</w:t>
      </w:r>
      <w:r>
        <w:rPr>
          <w:spacing w:val="-5"/>
        </w:rPr>
        <w:t xml:space="preserve"> </w:t>
      </w:r>
      <w:r>
        <w:t>emotions</w:t>
      </w:r>
      <w:r>
        <w:rPr>
          <w:spacing w:val="-5"/>
        </w:rPr>
        <w:t xml:space="preserve"> </w:t>
      </w:r>
      <w:r>
        <w:rPr>
          <w:i/>
        </w:rPr>
        <w:t>qua</w:t>
      </w:r>
      <w:r>
        <w:rPr>
          <w:i/>
          <w:spacing w:val="-4"/>
        </w:rPr>
        <w:t xml:space="preserve"> </w:t>
      </w:r>
      <w:r>
        <w:rPr>
          <w:spacing w:val="-2"/>
        </w:rPr>
        <w:t>emotions</w:t>
      </w:r>
    </w:p>
    <w:p w14:paraId="7E002410" w14:textId="77777777" w:rsidR="009A58DB" w:rsidRDefault="00000000">
      <w:pPr>
        <w:pStyle w:val="BodyText"/>
        <w:spacing w:before="139" w:line="249" w:lineRule="auto"/>
        <w:ind w:right="358"/>
      </w:pPr>
      <w:r>
        <w:t xml:space="preserve">As previously stated, emotions have propositional complements. You’re not just angry; you’re angry </w:t>
      </w:r>
      <w:r>
        <w:rPr>
          <w:i/>
        </w:rPr>
        <w:t>that</w:t>
      </w:r>
      <w:r>
        <w:rPr>
          <w:i/>
          <w:spacing w:val="-4"/>
        </w:rPr>
        <w:t xml:space="preserve"> </w:t>
      </w:r>
      <w:r>
        <w:t xml:space="preserve">Tim stole your bicycle. Your anger at Tim isn’t </w:t>
      </w:r>
      <w:r>
        <w:rPr>
          <w:i/>
        </w:rPr>
        <w:t>identical</w:t>
      </w:r>
      <w:r>
        <w:rPr>
          <w:i/>
          <w:spacing w:val="-4"/>
        </w:rPr>
        <w:t xml:space="preserve"> </w:t>
      </w:r>
      <w:r>
        <w:t>with your belief that he stole your bicycle. After all, you could have that belief without being angry at him. At the same time, you’re being angry</w:t>
      </w:r>
    </w:p>
    <w:p w14:paraId="7E00241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12" w14:textId="77777777" w:rsidR="009A58DB" w:rsidRDefault="00000000">
      <w:pPr>
        <w:pStyle w:val="BodyText"/>
        <w:spacing w:before="60" w:line="249" w:lineRule="auto"/>
        <w:ind w:right="363"/>
      </w:pPr>
      <w:r>
        <w:lastRenderedPageBreak/>
        <w:t>at him for doing this necessarily involves your having that belief. So one component of your anger at Tim is your belief that he stole your bicycle. But there’s some second component to your anger. What is it?</w:t>
      </w:r>
    </w:p>
    <w:p w14:paraId="7E002413" w14:textId="77777777" w:rsidR="009A58DB" w:rsidRDefault="00000000">
      <w:pPr>
        <w:pStyle w:val="BodyText"/>
        <w:spacing w:before="8" w:line="249" w:lineRule="auto"/>
        <w:ind w:right="358" w:firstLine="360"/>
      </w:pPr>
      <w:r>
        <w:t xml:space="preserve">Since, of course, it’s this second component that separates simply believing something from emoting about it, it’s tempting to think that this second component, unlike the first, isn’t true or false and, therefore, that it is nothing more than a </w:t>
      </w:r>
      <w:r>
        <w:rPr>
          <w:i/>
        </w:rPr>
        <w:t xml:space="preserve">feeling </w:t>
      </w:r>
      <w:r>
        <w:t>of some kind. So, according to this view, your anger at Tim consists in (1) your belief that he stole your bicycle plus (2) a negative feeling associated with his doing so.</w:t>
      </w:r>
    </w:p>
    <w:p w14:paraId="7E002414" w14:textId="77777777" w:rsidR="009A58DB" w:rsidRDefault="00000000">
      <w:pPr>
        <w:pStyle w:val="BodyText"/>
        <w:spacing w:before="8" w:line="249" w:lineRule="auto"/>
        <w:ind w:right="364" w:firstLine="360"/>
        <w:rPr>
          <w:i/>
        </w:rPr>
      </w:pPr>
      <w:r>
        <w:t xml:space="preserve">But how is the second thing “associated with” the first? First of all, the mode of association cannot be purely </w:t>
      </w:r>
      <w:r>
        <w:rPr>
          <w:i/>
        </w:rPr>
        <w:t xml:space="preserve">causal. </w:t>
      </w:r>
      <w:r>
        <w:t xml:space="preserve">If, because of some anatomical quirk of yours, your belief that you had decent and loving parents caused you to have gastric distress, it wouldn’t follow that you were </w:t>
      </w:r>
      <w:r>
        <w:rPr>
          <w:i/>
        </w:rPr>
        <w:t>angry that your parents were loving ones.</w:t>
      </w:r>
    </w:p>
    <w:p w14:paraId="7E002415" w14:textId="77777777" w:rsidR="009A58DB" w:rsidRDefault="00000000">
      <w:pPr>
        <w:pStyle w:val="BodyText"/>
        <w:spacing w:before="6" w:line="249" w:lineRule="auto"/>
        <w:ind w:right="360" w:firstLine="360"/>
      </w:pPr>
      <w:r>
        <w:t xml:space="preserve">To generalize this point, given only that x is what </w:t>
      </w:r>
      <w:r>
        <w:rPr>
          <w:i/>
        </w:rPr>
        <w:t xml:space="preserve">caused </w:t>
      </w:r>
      <w:r>
        <w:t xml:space="preserve">so and so to be distressed, it doesn’t follow that x is what so and so is distressed </w:t>
      </w:r>
      <w:r>
        <w:rPr>
          <w:i/>
        </w:rPr>
        <w:t>about.</w:t>
      </w:r>
      <w:r>
        <w:rPr>
          <w:i/>
          <w:spacing w:val="-2"/>
        </w:rPr>
        <w:t xml:space="preserve"> </w:t>
      </w:r>
      <w:r>
        <w:t>Even more</w:t>
      </w:r>
      <w:r>
        <w:rPr>
          <w:spacing w:val="-1"/>
        </w:rPr>
        <w:t xml:space="preserve"> </w:t>
      </w:r>
      <w:r>
        <w:t>generally,</w:t>
      </w:r>
      <w:r>
        <w:rPr>
          <w:spacing w:val="-1"/>
        </w:rPr>
        <w:t xml:space="preserve"> </w:t>
      </w:r>
      <w:r>
        <w:t>given</w:t>
      </w:r>
      <w:r>
        <w:rPr>
          <w:spacing w:val="-1"/>
        </w:rPr>
        <w:t xml:space="preserve"> </w:t>
      </w:r>
      <w:r>
        <w:t>only</w:t>
      </w:r>
      <w:r>
        <w:rPr>
          <w:spacing w:val="-1"/>
        </w:rPr>
        <w:t xml:space="preserve"> </w:t>
      </w:r>
      <w:r>
        <w:t>that</w:t>
      </w:r>
      <w:r>
        <w:rPr>
          <w:spacing w:val="-1"/>
        </w:rPr>
        <w:t xml:space="preserve"> </w:t>
      </w:r>
      <w:r>
        <w:t>x</w:t>
      </w:r>
      <w:r>
        <w:rPr>
          <w:spacing w:val="-1"/>
        </w:rPr>
        <w:t xml:space="preserve"> </w:t>
      </w:r>
      <w:r>
        <w:t>is</w:t>
      </w:r>
      <w:r>
        <w:rPr>
          <w:spacing w:val="-1"/>
        </w:rPr>
        <w:t xml:space="preserve"> </w:t>
      </w:r>
      <w:r>
        <w:t>what</w:t>
      </w:r>
      <w:r>
        <w:rPr>
          <w:spacing w:val="-1"/>
        </w:rPr>
        <w:t xml:space="preserve"> </w:t>
      </w:r>
      <w:r>
        <w:rPr>
          <w:i/>
        </w:rPr>
        <w:t>caused</w:t>
      </w:r>
      <w:r>
        <w:rPr>
          <w:i/>
          <w:spacing w:val="-2"/>
        </w:rPr>
        <w:t xml:space="preserve"> </w:t>
      </w:r>
      <w:r>
        <w:t xml:space="preserve">so and so to have emotion y, it doesn’t follow that x is what, by virtue of having y, so and so is emoting </w:t>
      </w:r>
      <w:r>
        <w:rPr>
          <w:i/>
        </w:rPr>
        <w:t xml:space="preserve">about. </w:t>
      </w:r>
      <w:r>
        <w:t>The statement:</w:t>
      </w:r>
    </w:p>
    <w:p w14:paraId="7E002416" w14:textId="77777777" w:rsidR="009A58DB" w:rsidRDefault="00000000">
      <w:pPr>
        <w:pStyle w:val="ListParagraph"/>
        <w:numPr>
          <w:ilvl w:val="0"/>
          <w:numId w:val="61"/>
        </w:numPr>
        <w:tabs>
          <w:tab w:val="left" w:pos="848"/>
        </w:tabs>
        <w:spacing w:before="111" w:line="312" w:lineRule="auto"/>
        <w:ind w:right="4761" w:firstLine="0"/>
        <w:rPr>
          <w:sz w:val="30"/>
        </w:rPr>
      </w:pPr>
      <w:r>
        <w:rPr>
          <w:sz w:val="30"/>
        </w:rPr>
        <w:t>x</w:t>
      </w:r>
      <w:r>
        <w:rPr>
          <w:spacing w:val="-5"/>
          <w:sz w:val="30"/>
        </w:rPr>
        <w:t xml:space="preserve"> </w:t>
      </w:r>
      <w:r>
        <w:rPr>
          <w:sz w:val="30"/>
        </w:rPr>
        <w:t>caused</w:t>
      </w:r>
      <w:r>
        <w:rPr>
          <w:spacing w:val="-5"/>
          <w:sz w:val="30"/>
        </w:rPr>
        <w:t xml:space="preserve"> </w:t>
      </w:r>
      <w:r>
        <w:rPr>
          <w:sz w:val="30"/>
        </w:rPr>
        <w:t>so</w:t>
      </w:r>
      <w:r>
        <w:rPr>
          <w:spacing w:val="-5"/>
          <w:sz w:val="30"/>
        </w:rPr>
        <w:t xml:space="preserve"> </w:t>
      </w:r>
      <w:r>
        <w:rPr>
          <w:sz w:val="30"/>
        </w:rPr>
        <w:t>and</w:t>
      </w:r>
      <w:r>
        <w:rPr>
          <w:spacing w:val="-5"/>
          <w:sz w:val="30"/>
        </w:rPr>
        <w:t xml:space="preserve"> </w:t>
      </w:r>
      <w:r>
        <w:rPr>
          <w:sz w:val="30"/>
        </w:rPr>
        <w:t>so</w:t>
      </w:r>
      <w:r>
        <w:rPr>
          <w:spacing w:val="-5"/>
          <w:sz w:val="30"/>
        </w:rPr>
        <w:t xml:space="preserve"> </w:t>
      </w:r>
      <w:r>
        <w:rPr>
          <w:sz w:val="30"/>
        </w:rPr>
        <w:t>to</w:t>
      </w:r>
      <w:r>
        <w:rPr>
          <w:spacing w:val="-5"/>
          <w:sz w:val="30"/>
        </w:rPr>
        <w:t xml:space="preserve"> </w:t>
      </w:r>
      <w:r>
        <w:rPr>
          <w:sz w:val="30"/>
        </w:rPr>
        <w:t>have</w:t>
      </w:r>
      <w:r>
        <w:rPr>
          <w:spacing w:val="-6"/>
          <w:sz w:val="30"/>
        </w:rPr>
        <w:t xml:space="preserve"> </w:t>
      </w:r>
      <w:r>
        <w:rPr>
          <w:sz w:val="30"/>
        </w:rPr>
        <w:t>emotion</w:t>
      </w:r>
      <w:r>
        <w:rPr>
          <w:spacing w:val="-5"/>
          <w:sz w:val="30"/>
        </w:rPr>
        <w:t xml:space="preserve"> </w:t>
      </w:r>
      <w:r>
        <w:rPr>
          <w:sz w:val="30"/>
        </w:rPr>
        <w:t>y doesn’t say the same thing as</w:t>
      </w:r>
    </w:p>
    <w:p w14:paraId="7E002417" w14:textId="77777777" w:rsidR="009A58DB" w:rsidRDefault="00000000">
      <w:pPr>
        <w:pStyle w:val="ListParagraph"/>
        <w:numPr>
          <w:ilvl w:val="0"/>
          <w:numId w:val="61"/>
        </w:numPr>
        <w:tabs>
          <w:tab w:val="left" w:pos="831"/>
        </w:tabs>
        <w:spacing w:before="18"/>
        <w:ind w:left="831" w:hanging="471"/>
        <w:rPr>
          <w:sz w:val="30"/>
        </w:rPr>
      </w:pPr>
      <w:r>
        <w:rPr>
          <w:sz w:val="30"/>
        </w:rPr>
        <w:t>in</w:t>
      </w:r>
      <w:r>
        <w:rPr>
          <w:spacing w:val="-4"/>
          <w:sz w:val="30"/>
        </w:rPr>
        <w:t xml:space="preserve"> </w:t>
      </w:r>
      <w:r>
        <w:rPr>
          <w:sz w:val="30"/>
        </w:rPr>
        <w:t>having</w:t>
      </w:r>
      <w:r>
        <w:rPr>
          <w:spacing w:val="-2"/>
          <w:sz w:val="30"/>
        </w:rPr>
        <w:t xml:space="preserve"> </w:t>
      </w:r>
      <w:r>
        <w:rPr>
          <w:sz w:val="30"/>
        </w:rPr>
        <w:t>emotion</w:t>
      </w:r>
      <w:r>
        <w:rPr>
          <w:spacing w:val="-1"/>
          <w:sz w:val="30"/>
        </w:rPr>
        <w:t xml:space="preserve"> </w:t>
      </w:r>
      <w:r>
        <w:rPr>
          <w:sz w:val="30"/>
        </w:rPr>
        <w:t>y,</w:t>
      </w:r>
      <w:r>
        <w:rPr>
          <w:spacing w:val="-2"/>
          <w:sz w:val="30"/>
        </w:rPr>
        <w:t xml:space="preserve"> </w:t>
      </w:r>
      <w:r>
        <w:rPr>
          <w:sz w:val="30"/>
        </w:rPr>
        <w:t>so</w:t>
      </w:r>
      <w:r>
        <w:rPr>
          <w:spacing w:val="-2"/>
          <w:sz w:val="30"/>
        </w:rPr>
        <w:t xml:space="preserve"> </w:t>
      </w:r>
      <w:r>
        <w:rPr>
          <w:sz w:val="30"/>
        </w:rPr>
        <w:t>and</w:t>
      </w:r>
      <w:r>
        <w:rPr>
          <w:spacing w:val="-1"/>
          <w:sz w:val="30"/>
        </w:rPr>
        <w:t xml:space="preserve"> </w:t>
      </w:r>
      <w:r>
        <w:rPr>
          <w:sz w:val="30"/>
        </w:rPr>
        <w:t>so</w:t>
      </w:r>
      <w:r>
        <w:rPr>
          <w:spacing w:val="-2"/>
          <w:sz w:val="30"/>
        </w:rPr>
        <w:t xml:space="preserve"> </w:t>
      </w:r>
      <w:r>
        <w:rPr>
          <w:sz w:val="30"/>
        </w:rPr>
        <w:t>is</w:t>
      </w:r>
      <w:r>
        <w:rPr>
          <w:spacing w:val="-2"/>
          <w:sz w:val="30"/>
        </w:rPr>
        <w:t xml:space="preserve"> </w:t>
      </w:r>
      <w:r>
        <w:rPr>
          <w:sz w:val="30"/>
        </w:rPr>
        <w:t>emoting</w:t>
      </w:r>
      <w:r>
        <w:rPr>
          <w:spacing w:val="-2"/>
          <w:sz w:val="30"/>
        </w:rPr>
        <w:t xml:space="preserve"> </w:t>
      </w:r>
      <w:r>
        <w:rPr>
          <w:sz w:val="30"/>
        </w:rPr>
        <w:t>about</w:t>
      </w:r>
      <w:r>
        <w:rPr>
          <w:spacing w:val="-2"/>
          <w:sz w:val="30"/>
        </w:rPr>
        <w:t xml:space="preserve"> </w:t>
      </w:r>
      <w:r>
        <w:rPr>
          <w:spacing w:val="-5"/>
          <w:sz w:val="30"/>
        </w:rPr>
        <w:t>x.</w:t>
      </w:r>
    </w:p>
    <w:p w14:paraId="7E002418" w14:textId="77777777" w:rsidR="009A58DB" w:rsidRDefault="00000000">
      <w:pPr>
        <w:pStyle w:val="Heading1"/>
        <w:numPr>
          <w:ilvl w:val="1"/>
          <w:numId w:val="62"/>
        </w:numPr>
        <w:tabs>
          <w:tab w:val="left" w:pos="1409"/>
        </w:tabs>
        <w:ind w:left="1409" w:hanging="1049"/>
      </w:pPr>
      <w:r>
        <w:t>What</w:t>
      </w:r>
      <w:r>
        <w:rPr>
          <w:spacing w:val="-4"/>
        </w:rPr>
        <w:t xml:space="preserve"> </w:t>
      </w:r>
      <w:r>
        <w:t>emotions</w:t>
      </w:r>
      <w:r>
        <w:rPr>
          <w:spacing w:val="-4"/>
        </w:rPr>
        <w:t xml:space="preserve"> </w:t>
      </w:r>
      <w:r>
        <w:rPr>
          <w:spacing w:val="-5"/>
        </w:rPr>
        <w:t>are</w:t>
      </w:r>
    </w:p>
    <w:p w14:paraId="7E002419" w14:textId="77777777" w:rsidR="009A58DB" w:rsidRDefault="00000000">
      <w:pPr>
        <w:pStyle w:val="BodyText"/>
        <w:spacing w:before="139" w:line="249" w:lineRule="auto"/>
        <w:ind w:right="358"/>
      </w:pPr>
      <w:r>
        <w:t>Taken in conjunction with the last point, a story from my own adolescence will help make it clear what emotions actually are. When I played soccer in high school, one of my team-mates, who we’ll call “Ben,” had a rather</w:t>
      </w:r>
      <w:r>
        <w:rPr>
          <w:spacing w:val="40"/>
        </w:rPr>
        <w:t xml:space="preserve"> </w:t>
      </w:r>
      <w:r>
        <w:t>serious respiratory disorder, which caused his lungs to fill up with fluid whenever he did vigorous exercise for more than a few minutes. But Ben was an ardent soccer player, and he played as much as his condition would</w:t>
      </w:r>
      <w:r>
        <w:rPr>
          <w:spacing w:val="40"/>
        </w:rPr>
        <w:t xml:space="preserve"> </w:t>
      </w:r>
      <w:r>
        <w:t>permit. During a match, he’d play for as long as he could, and then he’d have to take a time out to let his lungs drain, during which time he experienced painful, wracking coughs.</w:t>
      </w:r>
    </w:p>
    <w:p w14:paraId="7E00241A" w14:textId="77777777" w:rsidR="009A58DB" w:rsidRDefault="00000000">
      <w:pPr>
        <w:pStyle w:val="BodyText"/>
        <w:spacing w:before="11"/>
        <w:ind w:left="720"/>
      </w:pPr>
      <w:r>
        <w:t>During these</w:t>
      </w:r>
      <w:r>
        <w:rPr>
          <w:spacing w:val="3"/>
        </w:rPr>
        <w:t xml:space="preserve"> </w:t>
      </w:r>
      <w:r>
        <w:t>time-outs,</w:t>
      </w:r>
      <w:r>
        <w:rPr>
          <w:spacing w:val="2"/>
        </w:rPr>
        <w:t xml:space="preserve"> </w:t>
      </w:r>
      <w:r>
        <w:t>Ben</w:t>
      </w:r>
      <w:r>
        <w:rPr>
          <w:spacing w:val="3"/>
        </w:rPr>
        <w:t xml:space="preserve"> </w:t>
      </w:r>
      <w:r>
        <w:t>was</w:t>
      </w:r>
      <w:r>
        <w:rPr>
          <w:spacing w:val="2"/>
        </w:rPr>
        <w:t xml:space="preserve"> </w:t>
      </w:r>
      <w:r>
        <w:t>upset.</w:t>
      </w:r>
      <w:r>
        <w:rPr>
          <w:spacing w:val="3"/>
        </w:rPr>
        <w:t xml:space="preserve"> </w:t>
      </w:r>
      <w:r>
        <w:t>He</w:t>
      </w:r>
      <w:r>
        <w:rPr>
          <w:spacing w:val="2"/>
        </w:rPr>
        <w:t xml:space="preserve"> </w:t>
      </w:r>
      <w:r>
        <w:t>was</w:t>
      </w:r>
      <w:r>
        <w:rPr>
          <w:spacing w:val="3"/>
        </w:rPr>
        <w:t xml:space="preserve"> </w:t>
      </w:r>
      <w:r>
        <w:t>upset</w:t>
      </w:r>
      <w:r>
        <w:rPr>
          <w:spacing w:val="2"/>
        </w:rPr>
        <w:t xml:space="preserve"> </w:t>
      </w:r>
      <w:r>
        <w:t>about</w:t>
      </w:r>
      <w:r>
        <w:rPr>
          <w:spacing w:val="3"/>
        </w:rPr>
        <w:t xml:space="preserve"> </w:t>
      </w:r>
      <w:r>
        <w:t>his</w:t>
      </w:r>
      <w:r>
        <w:rPr>
          <w:spacing w:val="3"/>
        </w:rPr>
        <w:t xml:space="preserve"> </w:t>
      </w:r>
      <w:r>
        <w:rPr>
          <w:spacing w:val="-2"/>
        </w:rPr>
        <w:t>symptoms,</w:t>
      </w:r>
    </w:p>
    <w:p w14:paraId="7E00241B" w14:textId="77777777" w:rsidR="009A58DB" w:rsidRDefault="009A58DB">
      <w:pPr>
        <w:pStyle w:val="BodyText"/>
        <w:sectPr w:rsidR="009A58DB">
          <w:pgSz w:w="12240" w:h="15840"/>
          <w:pgMar w:top="1380" w:right="1080" w:bottom="280" w:left="1080" w:header="720" w:footer="720" w:gutter="0"/>
          <w:cols w:space="720"/>
        </w:sectPr>
      </w:pPr>
    </w:p>
    <w:p w14:paraId="7E00241C" w14:textId="77777777" w:rsidR="009A58DB" w:rsidRDefault="00000000">
      <w:pPr>
        <w:pStyle w:val="BodyText"/>
        <w:spacing w:before="60" w:line="249" w:lineRule="auto"/>
        <w:ind w:right="361"/>
      </w:pPr>
      <w:r>
        <w:lastRenderedPageBreak/>
        <w:t xml:space="preserve">about his inability to breathe properly, etc. Of course, it was playing soccer that set off these symptoms. But he wasn’t upset </w:t>
      </w:r>
      <w:r>
        <w:rPr>
          <w:i/>
        </w:rPr>
        <w:t xml:space="preserve">that he had played soccer. </w:t>
      </w:r>
      <w:r>
        <w:t>That was the one thing he was happy about. This confirms that having a negative</w:t>
      </w:r>
      <w:r>
        <w:rPr>
          <w:spacing w:val="-3"/>
        </w:rPr>
        <w:t xml:space="preserve"> </w:t>
      </w:r>
      <w:r>
        <w:t>emotion</w:t>
      </w:r>
      <w:r>
        <w:rPr>
          <w:spacing w:val="-3"/>
        </w:rPr>
        <w:t xml:space="preserve"> </w:t>
      </w:r>
      <w:r>
        <w:rPr>
          <w:i/>
        </w:rPr>
        <w:t>about</w:t>
      </w:r>
      <w:r>
        <w:rPr>
          <w:i/>
          <w:spacing w:val="-3"/>
        </w:rPr>
        <w:t xml:space="preserve"> </w:t>
      </w:r>
      <w:r>
        <w:t>X</w:t>
      </w:r>
      <w:r>
        <w:rPr>
          <w:spacing w:val="-2"/>
        </w:rPr>
        <w:t xml:space="preserve"> </w:t>
      </w:r>
      <w:r>
        <w:t>isn’t</w:t>
      </w:r>
      <w:r>
        <w:rPr>
          <w:spacing w:val="-2"/>
        </w:rPr>
        <w:t xml:space="preserve"> </w:t>
      </w:r>
      <w:r>
        <w:t>the</w:t>
      </w:r>
      <w:r>
        <w:rPr>
          <w:spacing w:val="-2"/>
        </w:rPr>
        <w:t xml:space="preserve"> </w:t>
      </w:r>
      <w:r>
        <w:t>same</w:t>
      </w:r>
      <w:r>
        <w:rPr>
          <w:spacing w:val="-2"/>
        </w:rPr>
        <w:t xml:space="preserve"> </w:t>
      </w:r>
      <w:r>
        <w:t>thing</w:t>
      </w:r>
      <w:r>
        <w:rPr>
          <w:spacing w:val="-2"/>
        </w:rPr>
        <w:t xml:space="preserve"> </w:t>
      </w:r>
      <w:r>
        <w:t>as</w:t>
      </w:r>
      <w:r>
        <w:rPr>
          <w:spacing w:val="-2"/>
        </w:rPr>
        <w:t xml:space="preserve"> </w:t>
      </w:r>
      <w:r>
        <w:t>being</w:t>
      </w:r>
      <w:r>
        <w:rPr>
          <w:spacing w:val="-2"/>
        </w:rPr>
        <w:t xml:space="preserve"> </w:t>
      </w:r>
      <w:r>
        <w:t>caused</w:t>
      </w:r>
      <w:r>
        <w:rPr>
          <w:spacing w:val="-2"/>
        </w:rPr>
        <w:t xml:space="preserve"> </w:t>
      </w:r>
      <w:r>
        <w:t>by</w:t>
      </w:r>
      <w:r>
        <w:rPr>
          <w:spacing w:val="-2"/>
        </w:rPr>
        <w:t xml:space="preserve"> </w:t>
      </w:r>
      <w:r>
        <w:t>X</w:t>
      </w:r>
      <w:r>
        <w:rPr>
          <w:spacing w:val="-2"/>
        </w:rPr>
        <w:t xml:space="preserve"> </w:t>
      </w:r>
      <w:r>
        <w:t>to</w:t>
      </w:r>
      <w:r>
        <w:rPr>
          <w:spacing w:val="-2"/>
        </w:rPr>
        <w:t xml:space="preserve"> </w:t>
      </w:r>
      <w:r>
        <w:t>have</w:t>
      </w:r>
      <w:r>
        <w:rPr>
          <w:spacing w:val="-2"/>
        </w:rPr>
        <w:t xml:space="preserve"> </w:t>
      </w:r>
      <w:r>
        <w:t>a negative</w:t>
      </w:r>
      <w:r>
        <w:rPr>
          <w:spacing w:val="-1"/>
        </w:rPr>
        <w:t xml:space="preserve"> </w:t>
      </w:r>
      <w:r>
        <w:t>emotion.</w:t>
      </w:r>
      <w:r>
        <w:rPr>
          <w:spacing w:val="-1"/>
        </w:rPr>
        <w:t xml:space="preserve"> </w:t>
      </w:r>
      <w:r>
        <w:t>What upset</w:t>
      </w:r>
      <w:r>
        <w:rPr>
          <w:spacing w:val="-1"/>
        </w:rPr>
        <w:t xml:space="preserve"> </w:t>
      </w:r>
      <w:r>
        <w:t>Ben was</w:t>
      </w:r>
      <w:r>
        <w:rPr>
          <w:spacing w:val="-1"/>
        </w:rPr>
        <w:t xml:space="preserve"> </w:t>
      </w:r>
      <w:r>
        <w:t>that his</w:t>
      </w:r>
      <w:r>
        <w:rPr>
          <w:spacing w:val="-1"/>
        </w:rPr>
        <w:t xml:space="preserve"> </w:t>
      </w:r>
      <w:r>
        <w:t>doing something</w:t>
      </w:r>
      <w:r>
        <w:rPr>
          <w:spacing w:val="-1"/>
        </w:rPr>
        <w:t xml:space="preserve"> </w:t>
      </w:r>
      <w:r>
        <w:t xml:space="preserve">which </w:t>
      </w:r>
      <w:r>
        <w:rPr>
          <w:i/>
        </w:rPr>
        <w:t xml:space="preserve">didn’t </w:t>
      </w:r>
      <w:r>
        <w:t xml:space="preserve">upset him caused him such unpleasantness. Another thing he was upset about was that his illness prevented him from playing soccer as much as he wanted </w:t>
      </w:r>
      <w:r>
        <w:rPr>
          <w:spacing w:val="-4"/>
        </w:rPr>
        <w:t>to.</w:t>
      </w:r>
    </w:p>
    <w:p w14:paraId="7E00241D" w14:textId="77777777" w:rsidR="009A58DB" w:rsidRDefault="00000000">
      <w:pPr>
        <w:spacing w:before="14" w:line="249" w:lineRule="auto"/>
        <w:ind w:left="360" w:right="364" w:firstLine="360"/>
        <w:jc w:val="both"/>
        <w:rPr>
          <w:i/>
          <w:sz w:val="30"/>
        </w:rPr>
      </w:pPr>
      <w:r>
        <w:rPr>
          <w:sz w:val="30"/>
        </w:rPr>
        <w:t xml:space="preserve">Ben would obviously be happy if he were cured of his illness and could therefore play soccer without any problems. But he wouldn’t </w:t>
      </w:r>
      <w:r>
        <w:rPr>
          <w:i/>
          <w:sz w:val="30"/>
        </w:rPr>
        <w:t xml:space="preserve">just </w:t>
      </w:r>
      <w:r>
        <w:rPr>
          <w:sz w:val="30"/>
        </w:rPr>
        <w:t xml:space="preserve">be happy. He’d be happy </w:t>
      </w:r>
      <w:r>
        <w:rPr>
          <w:i/>
          <w:sz w:val="30"/>
        </w:rPr>
        <w:t xml:space="preserve">that he could play soccer without any problems; </w:t>
      </w:r>
      <w:r>
        <w:rPr>
          <w:sz w:val="30"/>
        </w:rPr>
        <w:t xml:space="preserve">he’d be happy </w:t>
      </w:r>
      <w:r>
        <w:rPr>
          <w:i/>
          <w:sz w:val="30"/>
        </w:rPr>
        <w:t>that he was no longer prevented from doing what he wanted to do.</w:t>
      </w:r>
    </w:p>
    <w:p w14:paraId="7E00241E" w14:textId="77777777" w:rsidR="009A58DB" w:rsidRDefault="00000000">
      <w:pPr>
        <w:pStyle w:val="BodyText"/>
        <w:spacing w:before="5" w:line="249" w:lineRule="auto"/>
        <w:ind w:right="358" w:firstLine="360"/>
        <w:jc w:val="right"/>
      </w:pPr>
      <w:r>
        <w:t xml:space="preserve">I therefore propose that </w:t>
      </w:r>
      <w:r>
        <w:rPr>
          <w:i/>
        </w:rPr>
        <w:t xml:space="preserve">Ben’s being happy under that circumstance would be identical with his recognizing that he could do something he wanted to do. </w:t>
      </w:r>
      <w:r>
        <w:t>Consider</w:t>
      </w:r>
      <w:r>
        <w:rPr>
          <w:spacing w:val="40"/>
        </w:rPr>
        <w:t xml:space="preserve"> </w:t>
      </w:r>
      <w:r>
        <w:t>an</w:t>
      </w:r>
      <w:r>
        <w:rPr>
          <w:spacing w:val="40"/>
        </w:rPr>
        <w:t xml:space="preserve"> </w:t>
      </w:r>
      <w:r>
        <w:t>alternative</w:t>
      </w:r>
      <w:r>
        <w:rPr>
          <w:spacing w:val="40"/>
        </w:rPr>
        <w:t xml:space="preserve"> </w:t>
      </w:r>
      <w:r>
        <w:t>universe</w:t>
      </w:r>
      <w:r>
        <w:rPr>
          <w:spacing w:val="40"/>
        </w:rPr>
        <w:t xml:space="preserve"> </w:t>
      </w:r>
      <w:r>
        <w:t>W</w:t>
      </w:r>
      <w:r>
        <w:rPr>
          <w:spacing w:val="40"/>
        </w:rPr>
        <w:t xml:space="preserve"> </w:t>
      </w:r>
      <w:r>
        <w:t>where</w:t>
      </w:r>
      <w:r>
        <w:rPr>
          <w:spacing w:val="40"/>
        </w:rPr>
        <w:t xml:space="preserve"> </w:t>
      </w:r>
      <w:r>
        <w:t>Ben</w:t>
      </w:r>
      <w:r>
        <w:rPr>
          <w:spacing w:val="40"/>
        </w:rPr>
        <w:t xml:space="preserve"> </w:t>
      </w:r>
      <w:r>
        <w:t>is</w:t>
      </w:r>
      <w:r>
        <w:rPr>
          <w:spacing w:val="40"/>
        </w:rPr>
        <w:t xml:space="preserve"> </w:t>
      </w:r>
      <w:r>
        <w:t>exactly</w:t>
      </w:r>
      <w:r>
        <w:rPr>
          <w:spacing w:val="40"/>
        </w:rPr>
        <w:t xml:space="preserve"> </w:t>
      </w:r>
      <w:r>
        <w:t>as</w:t>
      </w:r>
      <w:r>
        <w:rPr>
          <w:spacing w:val="40"/>
        </w:rPr>
        <w:t xml:space="preserve"> </w:t>
      </w:r>
      <w:r>
        <w:t>he</w:t>
      </w:r>
      <w:r>
        <w:rPr>
          <w:spacing w:val="40"/>
        </w:rPr>
        <w:t xml:space="preserve"> </w:t>
      </w:r>
      <w:r>
        <w:t>is</w:t>
      </w:r>
      <w:r>
        <w:rPr>
          <w:spacing w:val="40"/>
        </w:rPr>
        <w:t xml:space="preserve"> </w:t>
      </w:r>
      <w:r>
        <w:t xml:space="preserve">here, </w:t>
      </w:r>
      <w:r>
        <w:rPr>
          <w:i/>
        </w:rPr>
        <w:t>except</w:t>
      </w:r>
      <w:r>
        <w:rPr>
          <w:i/>
          <w:spacing w:val="40"/>
        </w:rPr>
        <w:t xml:space="preserve"> </w:t>
      </w:r>
      <w:r>
        <w:t>that</w:t>
      </w:r>
      <w:r>
        <w:rPr>
          <w:spacing w:val="69"/>
        </w:rPr>
        <w:t xml:space="preserve"> </w:t>
      </w:r>
      <w:r>
        <w:t>he</w:t>
      </w:r>
      <w:r>
        <w:rPr>
          <w:spacing w:val="69"/>
        </w:rPr>
        <w:t xml:space="preserve"> </w:t>
      </w:r>
      <w:r>
        <w:t>doesn’t</w:t>
      </w:r>
      <w:r>
        <w:rPr>
          <w:spacing w:val="69"/>
        </w:rPr>
        <w:t xml:space="preserve"> </w:t>
      </w:r>
      <w:r>
        <w:t>have</w:t>
      </w:r>
      <w:r>
        <w:rPr>
          <w:spacing w:val="69"/>
        </w:rPr>
        <w:t xml:space="preserve"> </w:t>
      </w:r>
      <w:r>
        <w:t>any</w:t>
      </w:r>
      <w:r>
        <w:rPr>
          <w:spacing w:val="69"/>
        </w:rPr>
        <w:t xml:space="preserve"> </w:t>
      </w:r>
      <w:r>
        <w:t>desire</w:t>
      </w:r>
      <w:r>
        <w:rPr>
          <w:spacing w:val="69"/>
        </w:rPr>
        <w:t xml:space="preserve"> </w:t>
      </w:r>
      <w:r>
        <w:t>to</w:t>
      </w:r>
      <w:r>
        <w:rPr>
          <w:spacing w:val="69"/>
        </w:rPr>
        <w:t xml:space="preserve"> </w:t>
      </w:r>
      <w:r>
        <w:t>play</w:t>
      </w:r>
      <w:r>
        <w:rPr>
          <w:spacing w:val="69"/>
        </w:rPr>
        <w:t xml:space="preserve"> </w:t>
      </w:r>
      <w:r>
        <w:t>soccer</w:t>
      </w:r>
      <w:r>
        <w:rPr>
          <w:spacing w:val="69"/>
        </w:rPr>
        <w:t xml:space="preserve"> </w:t>
      </w:r>
      <w:r>
        <w:t>(or</w:t>
      </w:r>
      <w:r>
        <w:rPr>
          <w:spacing w:val="69"/>
        </w:rPr>
        <w:t xml:space="preserve"> </w:t>
      </w:r>
      <w:r>
        <w:t>to</w:t>
      </w:r>
      <w:r>
        <w:rPr>
          <w:spacing w:val="69"/>
        </w:rPr>
        <w:t xml:space="preserve"> </w:t>
      </w:r>
      <w:r>
        <w:t>do</w:t>
      </w:r>
      <w:r>
        <w:rPr>
          <w:spacing w:val="69"/>
        </w:rPr>
        <w:t xml:space="preserve"> </w:t>
      </w:r>
      <w:r>
        <w:t>or</w:t>
      </w:r>
      <w:r>
        <w:rPr>
          <w:spacing w:val="69"/>
        </w:rPr>
        <w:t xml:space="preserve"> </w:t>
      </w:r>
      <w:r>
        <w:t xml:space="preserve">have anything for which playing soccer is a necessary prerequisite). In W, Ben has the earlier-described malady and he’s unhappy about it, but he isn’t </w:t>
      </w:r>
      <w:r>
        <w:rPr>
          <w:i/>
        </w:rPr>
        <w:t>unhappy that</w:t>
      </w:r>
      <w:r>
        <w:rPr>
          <w:i/>
          <w:spacing w:val="40"/>
        </w:rPr>
        <w:t xml:space="preserve"> </w:t>
      </w:r>
      <w:r>
        <w:rPr>
          <w:i/>
        </w:rPr>
        <w:t>it</w:t>
      </w:r>
      <w:r>
        <w:rPr>
          <w:i/>
          <w:spacing w:val="40"/>
        </w:rPr>
        <w:t xml:space="preserve"> </w:t>
      </w:r>
      <w:r>
        <w:rPr>
          <w:i/>
        </w:rPr>
        <w:t>prevents</w:t>
      </w:r>
      <w:r>
        <w:rPr>
          <w:i/>
          <w:spacing w:val="40"/>
        </w:rPr>
        <w:t xml:space="preserve"> </w:t>
      </w:r>
      <w:r>
        <w:rPr>
          <w:i/>
        </w:rPr>
        <w:t>him</w:t>
      </w:r>
      <w:r>
        <w:rPr>
          <w:i/>
          <w:spacing w:val="40"/>
        </w:rPr>
        <w:t xml:space="preserve"> </w:t>
      </w:r>
      <w:r>
        <w:rPr>
          <w:i/>
        </w:rPr>
        <w:t>from</w:t>
      </w:r>
      <w:r>
        <w:rPr>
          <w:i/>
          <w:spacing w:val="40"/>
        </w:rPr>
        <w:t xml:space="preserve"> </w:t>
      </w:r>
      <w:r>
        <w:rPr>
          <w:i/>
        </w:rPr>
        <w:t>playing</w:t>
      </w:r>
      <w:r>
        <w:rPr>
          <w:i/>
          <w:spacing w:val="40"/>
        </w:rPr>
        <w:t xml:space="preserve"> </w:t>
      </w:r>
      <w:r>
        <w:rPr>
          <w:i/>
        </w:rPr>
        <w:t>soccer.</w:t>
      </w:r>
      <w:r>
        <w:rPr>
          <w:i/>
          <w:spacing w:val="40"/>
        </w:rPr>
        <w:t xml:space="preserve"> </w:t>
      </w:r>
      <w:r>
        <w:t>In</w:t>
      </w:r>
      <w:r>
        <w:rPr>
          <w:spacing w:val="40"/>
        </w:rPr>
        <w:t xml:space="preserve"> </w:t>
      </w:r>
      <w:r>
        <w:t>W,</w:t>
      </w:r>
      <w:r>
        <w:rPr>
          <w:spacing w:val="40"/>
        </w:rPr>
        <w:t xml:space="preserve"> </w:t>
      </w:r>
      <w:r>
        <w:t>he</w:t>
      </w:r>
      <w:r>
        <w:rPr>
          <w:spacing w:val="40"/>
        </w:rPr>
        <w:t xml:space="preserve"> </w:t>
      </w:r>
      <w:r>
        <w:t>never</w:t>
      </w:r>
      <w:r>
        <w:rPr>
          <w:spacing w:val="40"/>
        </w:rPr>
        <w:t xml:space="preserve"> </w:t>
      </w:r>
      <w:r>
        <w:t>wanted</w:t>
      </w:r>
      <w:r>
        <w:rPr>
          <w:spacing w:val="40"/>
        </w:rPr>
        <w:t xml:space="preserve"> </w:t>
      </w:r>
      <w:r>
        <w:t>to</w:t>
      </w:r>
      <w:r>
        <w:rPr>
          <w:spacing w:val="40"/>
        </w:rPr>
        <w:t xml:space="preserve"> </w:t>
      </w:r>
      <w:r>
        <w:t>play soccer in the first place. In W, there’s no desire that he has that, in not being able</w:t>
      </w:r>
      <w:r>
        <w:rPr>
          <w:spacing w:val="26"/>
        </w:rPr>
        <w:t xml:space="preserve"> </w:t>
      </w:r>
      <w:r>
        <w:t>to</w:t>
      </w:r>
      <w:r>
        <w:rPr>
          <w:spacing w:val="26"/>
        </w:rPr>
        <w:t xml:space="preserve"> </w:t>
      </w:r>
      <w:r>
        <w:t>play</w:t>
      </w:r>
      <w:r>
        <w:rPr>
          <w:spacing w:val="27"/>
        </w:rPr>
        <w:t xml:space="preserve"> </w:t>
      </w:r>
      <w:r>
        <w:t>soccer,</w:t>
      </w:r>
      <w:r>
        <w:rPr>
          <w:spacing w:val="26"/>
        </w:rPr>
        <w:t xml:space="preserve"> </w:t>
      </w:r>
      <w:r>
        <w:t>he</w:t>
      </w:r>
      <w:r>
        <w:rPr>
          <w:spacing w:val="27"/>
        </w:rPr>
        <w:t xml:space="preserve"> </w:t>
      </w:r>
      <w:r>
        <w:t>cannot</w:t>
      </w:r>
      <w:r>
        <w:rPr>
          <w:spacing w:val="26"/>
        </w:rPr>
        <w:t xml:space="preserve"> </w:t>
      </w:r>
      <w:r>
        <w:t>gratify.</w:t>
      </w:r>
      <w:r>
        <w:rPr>
          <w:spacing w:val="27"/>
        </w:rPr>
        <w:t xml:space="preserve"> </w:t>
      </w:r>
      <w:r>
        <w:t>So</w:t>
      </w:r>
      <w:r>
        <w:rPr>
          <w:spacing w:val="26"/>
        </w:rPr>
        <w:t xml:space="preserve"> </w:t>
      </w:r>
      <w:r>
        <w:t>when</w:t>
      </w:r>
      <w:r>
        <w:rPr>
          <w:spacing w:val="26"/>
        </w:rPr>
        <w:t xml:space="preserve"> </w:t>
      </w:r>
      <w:r>
        <w:t>he</w:t>
      </w:r>
      <w:r>
        <w:rPr>
          <w:spacing w:val="27"/>
        </w:rPr>
        <w:t xml:space="preserve"> </w:t>
      </w:r>
      <w:r>
        <w:t>finds</w:t>
      </w:r>
      <w:r>
        <w:rPr>
          <w:spacing w:val="26"/>
        </w:rPr>
        <w:t xml:space="preserve"> </w:t>
      </w:r>
      <w:r>
        <w:t>out</w:t>
      </w:r>
      <w:r>
        <w:rPr>
          <w:spacing w:val="26"/>
        </w:rPr>
        <w:t xml:space="preserve"> </w:t>
      </w:r>
      <w:r>
        <w:t>that</w:t>
      </w:r>
      <w:r>
        <w:rPr>
          <w:spacing w:val="26"/>
        </w:rPr>
        <w:t xml:space="preserve"> </w:t>
      </w:r>
      <w:r>
        <w:t>he’s</w:t>
      </w:r>
      <w:r>
        <w:rPr>
          <w:spacing w:val="27"/>
        </w:rPr>
        <w:t xml:space="preserve"> </w:t>
      </w:r>
      <w:r>
        <w:t>cured and, therefore, can now play soccer, he won’t realize that he can now gratify</w:t>
      </w:r>
      <w:r>
        <w:rPr>
          <w:spacing w:val="40"/>
        </w:rPr>
        <w:t xml:space="preserve"> </w:t>
      </w:r>
      <w:r>
        <w:t>a previously frustrated desire to play soccer. The reason he won’t realize it is that</w:t>
      </w:r>
      <w:r>
        <w:rPr>
          <w:spacing w:val="5"/>
        </w:rPr>
        <w:t xml:space="preserve"> </w:t>
      </w:r>
      <w:r>
        <w:t>there’s</w:t>
      </w:r>
      <w:r>
        <w:rPr>
          <w:spacing w:val="6"/>
        </w:rPr>
        <w:t xml:space="preserve"> </w:t>
      </w:r>
      <w:r>
        <w:t>nothing</w:t>
      </w:r>
      <w:r>
        <w:rPr>
          <w:spacing w:val="3"/>
        </w:rPr>
        <w:t xml:space="preserve"> </w:t>
      </w:r>
      <w:r>
        <w:t>to</w:t>
      </w:r>
      <w:r>
        <w:rPr>
          <w:spacing w:val="3"/>
        </w:rPr>
        <w:t xml:space="preserve"> </w:t>
      </w:r>
      <w:r>
        <w:t>realize,</w:t>
      </w:r>
      <w:r>
        <w:rPr>
          <w:spacing w:val="3"/>
        </w:rPr>
        <w:t xml:space="preserve"> </w:t>
      </w:r>
      <w:r>
        <w:t>since</w:t>
      </w:r>
      <w:r>
        <w:rPr>
          <w:spacing w:val="3"/>
        </w:rPr>
        <w:t xml:space="preserve"> </w:t>
      </w:r>
      <w:r>
        <w:t>he</w:t>
      </w:r>
      <w:r>
        <w:rPr>
          <w:spacing w:val="3"/>
        </w:rPr>
        <w:t xml:space="preserve"> </w:t>
      </w:r>
      <w:r>
        <w:t>doesn’t</w:t>
      </w:r>
      <w:r>
        <w:rPr>
          <w:spacing w:val="3"/>
        </w:rPr>
        <w:t xml:space="preserve"> </w:t>
      </w:r>
      <w:r>
        <w:t>have</w:t>
      </w:r>
      <w:r>
        <w:rPr>
          <w:spacing w:val="3"/>
        </w:rPr>
        <w:t xml:space="preserve"> </w:t>
      </w:r>
      <w:r>
        <w:t>that</w:t>
      </w:r>
      <w:r>
        <w:rPr>
          <w:spacing w:val="3"/>
        </w:rPr>
        <w:t xml:space="preserve"> </w:t>
      </w:r>
      <w:r>
        <w:t>desire</w:t>
      </w:r>
      <w:r>
        <w:rPr>
          <w:spacing w:val="3"/>
        </w:rPr>
        <w:t xml:space="preserve"> </w:t>
      </w:r>
      <w:r>
        <w:t>to</w:t>
      </w:r>
      <w:r>
        <w:rPr>
          <w:spacing w:val="3"/>
        </w:rPr>
        <w:t xml:space="preserve"> </w:t>
      </w:r>
      <w:r>
        <w:t>begin</w:t>
      </w:r>
      <w:r>
        <w:rPr>
          <w:spacing w:val="3"/>
        </w:rPr>
        <w:t xml:space="preserve"> </w:t>
      </w:r>
      <w:r>
        <w:rPr>
          <w:spacing w:val="-2"/>
        </w:rPr>
        <w:t>with.</w:t>
      </w:r>
    </w:p>
    <w:p w14:paraId="7E00241F" w14:textId="77777777" w:rsidR="009A58DB" w:rsidRDefault="00000000">
      <w:pPr>
        <w:pStyle w:val="BodyText"/>
        <w:spacing w:before="15"/>
        <w:jc w:val="left"/>
      </w:pPr>
      <w:r>
        <w:t>Thus,</w:t>
      </w:r>
      <w:r>
        <w:rPr>
          <w:spacing w:val="-14"/>
        </w:rPr>
        <w:t xml:space="preserve"> </w:t>
      </w:r>
      <w:r>
        <w:t>a</w:t>
      </w:r>
      <w:r>
        <w:rPr>
          <w:spacing w:val="-14"/>
        </w:rPr>
        <w:t xml:space="preserve"> </w:t>
      </w:r>
      <w:r>
        <w:t>necessary</w:t>
      </w:r>
      <w:r>
        <w:rPr>
          <w:spacing w:val="-13"/>
        </w:rPr>
        <w:t xml:space="preserve"> </w:t>
      </w:r>
      <w:r>
        <w:t>condition</w:t>
      </w:r>
      <w:r>
        <w:rPr>
          <w:spacing w:val="-14"/>
        </w:rPr>
        <w:t xml:space="preserve"> </w:t>
      </w:r>
      <w:r>
        <w:t>for</w:t>
      </w:r>
      <w:r>
        <w:rPr>
          <w:spacing w:val="-13"/>
        </w:rPr>
        <w:t xml:space="preserve"> </w:t>
      </w:r>
      <w:r>
        <w:rPr>
          <w:spacing w:val="-4"/>
        </w:rPr>
        <w:t>Ben’s</w:t>
      </w:r>
    </w:p>
    <w:p w14:paraId="7E002420" w14:textId="77777777" w:rsidR="009A58DB" w:rsidRDefault="00000000">
      <w:pPr>
        <w:pStyle w:val="BodyText"/>
        <w:spacing w:before="15" w:line="249" w:lineRule="auto"/>
        <w:ind w:right="364"/>
        <w:jc w:val="left"/>
        <w:rPr>
          <w:position w:val="21"/>
        </w:rPr>
      </w:pPr>
      <w:r>
        <w:t>being</w:t>
      </w:r>
      <w:r>
        <w:rPr>
          <w:spacing w:val="27"/>
        </w:rPr>
        <w:t xml:space="preserve"> </w:t>
      </w:r>
      <w:r>
        <w:t>happy</w:t>
      </w:r>
      <w:r>
        <w:rPr>
          <w:spacing w:val="27"/>
        </w:rPr>
        <w:t xml:space="preserve"> </w:t>
      </w:r>
      <w:r>
        <w:t>that</w:t>
      </w:r>
      <w:r>
        <w:rPr>
          <w:spacing w:val="26"/>
        </w:rPr>
        <w:t xml:space="preserve"> </w:t>
      </w:r>
      <w:r>
        <w:t>he</w:t>
      </w:r>
      <w:r>
        <w:rPr>
          <w:spacing w:val="26"/>
        </w:rPr>
        <w:t xml:space="preserve"> </w:t>
      </w:r>
      <w:r>
        <w:t>can</w:t>
      </w:r>
      <w:r>
        <w:rPr>
          <w:spacing w:val="27"/>
        </w:rPr>
        <w:t xml:space="preserve"> </w:t>
      </w:r>
      <w:r>
        <w:t>play</w:t>
      </w:r>
      <w:r>
        <w:rPr>
          <w:spacing w:val="27"/>
        </w:rPr>
        <w:t xml:space="preserve"> </w:t>
      </w:r>
      <w:r>
        <w:t>soccer</w:t>
      </w:r>
      <w:r>
        <w:rPr>
          <w:spacing w:val="26"/>
        </w:rPr>
        <w:t xml:space="preserve"> </w:t>
      </w:r>
      <w:r>
        <w:t>is</w:t>
      </w:r>
      <w:r>
        <w:rPr>
          <w:spacing w:val="26"/>
        </w:rPr>
        <w:t xml:space="preserve"> </w:t>
      </w:r>
      <w:r>
        <w:t>that</w:t>
      </w:r>
      <w:r>
        <w:rPr>
          <w:spacing w:val="26"/>
        </w:rPr>
        <w:t xml:space="preserve"> </w:t>
      </w:r>
      <w:r>
        <w:t>he</w:t>
      </w:r>
      <w:r>
        <w:rPr>
          <w:spacing w:val="26"/>
        </w:rPr>
        <w:t xml:space="preserve"> </w:t>
      </w:r>
      <w:r>
        <w:t>knows</w:t>
      </w:r>
      <w:r>
        <w:rPr>
          <w:spacing w:val="26"/>
        </w:rPr>
        <w:t xml:space="preserve"> </w:t>
      </w:r>
      <w:r>
        <w:t>himself</w:t>
      </w:r>
      <w:r>
        <w:rPr>
          <w:spacing w:val="26"/>
        </w:rPr>
        <w:t xml:space="preserve"> </w:t>
      </w:r>
      <w:r>
        <w:t>to</w:t>
      </w:r>
      <w:r>
        <w:rPr>
          <w:spacing w:val="27"/>
        </w:rPr>
        <w:t xml:space="preserve"> </w:t>
      </w:r>
      <w:r>
        <w:t>have</w:t>
      </w:r>
      <w:r>
        <w:rPr>
          <w:spacing w:val="26"/>
        </w:rPr>
        <w:t xml:space="preserve"> </w:t>
      </w:r>
      <w:r>
        <w:t>some desire that, in now being able to play soccer, he is able to gratify</w:t>
      </w:r>
      <w:bookmarkStart w:id="493" w:name="_bookmark493"/>
      <w:bookmarkEnd w:id="493"/>
      <w:r>
        <w:t>.</w:t>
      </w:r>
      <w:r>
        <w:rPr>
          <w:color w:val="0562C1"/>
          <w:position w:val="21"/>
          <w:u w:val="single" w:color="0562C1"/>
        </w:rPr>
        <w:t>[367]</w:t>
      </w:r>
    </w:p>
    <w:p w14:paraId="7E002421" w14:textId="77777777" w:rsidR="009A58DB" w:rsidRDefault="00000000">
      <w:pPr>
        <w:pStyle w:val="BodyText"/>
        <w:spacing w:before="3" w:line="249" w:lineRule="auto"/>
        <w:ind w:right="359" w:firstLine="360"/>
      </w:pPr>
      <w:r>
        <w:t xml:space="preserve">It’s also a </w:t>
      </w:r>
      <w:r>
        <w:rPr>
          <w:i/>
        </w:rPr>
        <w:t xml:space="preserve">sufficient condition. </w:t>
      </w:r>
      <w:r>
        <w:t>To see this, let’s turn our thoughts back to the real world, where, sadly, Ben has an ardent desire to play soccer that his illness</w:t>
      </w:r>
      <w:r>
        <w:rPr>
          <w:spacing w:val="-3"/>
        </w:rPr>
        <w:t xml:space="preserve"> </w:t>
      </w:r>
      <w:r>
        <w:t>prevents</w:t>
      </w:r>
      <w:r>
        <w:rPr>
          <w:spacing w:val="-3"/>
        </w:rPr>
        <w:t xml:space="preserve"> </w:t>
      </w:r>
      <w:r>
        <w:t>him</w:t>
      </w:r>
      <w:r>
        <w:rPr>
          <w:spacing w:val="-3"/>
        </w:rPr>
        <w:t xml:space="preserve"> </w:t>
      </w:r>
      <w:r>
        <w:t>from</w:t>
      </w:r>
      <w:r>
        <w:rPr>
          <w:spacing w:val="-3"/>
        </w:rPr>
        <w:t xml:space="preserve"> </w:t>
      </w:r>
      <w:r>
        <w:t>gratifying.</w:t>
      </w:r>
      <w:r>
        <w:rPr>
          <w:spacing w:val="-3"/>
        </w:rPr>
        <w:t xml:space="preserve"> </w:t>
      </w:r>
      <w:r>
        <w:t>If,</w:t>
      </w:r>
      <w:r>
        <w:rPr>
          <w:spacing w:val="-3"/>
        </w:rPr>
        <w:t xml:space="preserve"> </w:t>
      </w:r>
      <w:r>
        <w:t>in</w:t>
      </w:r>
      <w:r>
        <w:rPr>
          <w:spacing w:val="-3"/>
        </w:rPr>
        <w:t xml:space="preserve"> </w:t>
      </w:r>
      <w:r>
        <w:t>actuality,</w:t>
      </w:r>
      <w:r>
        <w:rPr>
          <w:spacing w:val="-3"/>
        </w:rPr>
        <w:t xml:space="preserve"> </w:t>
      </w:r>
      <w:r>
        <w:t>Ben</w:t>
      </w:r>
      <w:r>
        <w:rPr>
          <w:spacing w:val="-3"/>
        </w:rPr>
        <w:t xml:space="preserve"> </w:t>
      </w:r>
      <w:r>
        <w:t>were</w:t>
      </w:r>
      <w:r>
        <w:rPr>
          <w:spacing w:val="-3"/>
        </w:rPr>
        <w:t xml:space="preserve"> </w:t>
      </w:r>
      <w:r>
        <w:t>suddenly</w:t>
      </w:r>
      <w:r>
        <w:rPr>
          <w:spacing w:val="-3"/>
        </w:rPr>
        <w:t xml:space="preserve"> </w:t>
      </w:r>
      <w:r>
        <w:t>cured of his illness, and he thus realized he could fulfill his life’s dream of playing soccer,</w:t>
      </w:r>
      <w:r>
        <w:rPr>
          <w:spacing w:val="-2"/>
        </w:rPr>
        <w:t xml:space="preserve"> </w:t>
      </w:r>
      <w:r>
        <w:t>could</w:t>
      </w:r>
      <w:r>
        <w:rPr>
          <w:spacing w:val="-2"/>
        </w:rPr>
        <w:t xml:space="preserve"> </w:t>
      </w:r>
      <w:r>
        <w:t>he</w:t>
      </w:r>
      <w:r>
        <w:rPr>
          <w:spacing w:val="-3"/>
        </w:rPr>
        <w:t xml:space="preserve"> </w:t>
      </w:r>
      <w:r>
        <w:t>possibly</w:t>
      </w:r>
      <w:r>
        <w:rPr>
          <w:spacing w:val="-2"/>
        </w:rPr>
        <w:t xml:space="preserve"> </w:t>
      </w:r>
      <w:r>
        <w:rPr>
          <w:i/>
        </w:rPr>
        <w:t>not</w:t>
      </w:r>
      <w:r>
        <w:rPr>
          <w:i/>
          <w:spacing w:val="-3"/>
        </w:rPr>
        <w:t xml:space="preserve"> </w:t>
      </w:r>
      <w:r>
        <w:t>be</w:t>
      </w:r>
      <w:r>
        <w:rPr>
          <w:spacing w:val="-3"/>
        </w:rPr>
        <w:t xml:space="preserve"> </w:t>
      </w:r>
      <w:r>
        <w:t>happy?</w:t>
      </w:r>
      <w:r>
        <w:rPr>
          <w:spacing w:val="-3"/>
        </w:rPr>
        <w:t xml:space="preserve"> </w:t>
      </w:r>
      <w:r>
        <w:t>No,</w:t>
      </w:r>
      <w:r>
        <w:rPr>
          <w:spacing w:val="-2"/>
        </w:rPr>
        <w:t xml:space="preserve"> </w:t>
      </w:r>
      <w:r>
        <w:t>and</w:t>
      </w:r>
      <w:r>
        <w:rPr>
          <w:spacing w:val="-2"/>
        </w:rPr>
        <w:t xml:space="preserve"> </w:t>
      </w:r>
      <w:r>
        <w:t>it</w:t>
      </w:r>
      <w:r>
        <w:rPr>
          <w:spacing w:val="-3"/>
        </w:rPr>
        <w:t xml:space="preserve"> </w:t>
      </w:r>
      <w:r>
        <w:t>would</w:t>
      </w:r>
      <w:r>
        <w:rPr>
          <w:spacing w:val="-2"/>
        </w:rPr>
        <w:t xml:space="preserve"> </w:t>
      </w:r>
      <w:r>
        <w:t>be</w:t>
      </w:r>
      <w:r>
        <w:rPr>
          <w:spacing w:val="-3"/>
        </w:rPr>
        <w:t xml:space="preserve"> </w:t>
      </w:r>
      <w:r>
        <w:t>incoherent</w:t>
      </w:r>
      <w:r>
        <w:rPr>
          <w:spacing w:val="-3"/>
        </w:rPr>
        <w:t xml:space="preserve"> </w:t>
      </w:r>
      <w:r>
        <w:t>to</w:t>
      </w:r>
      <w:r>
        <w:rPr>
          <w:spacing w:val="-2"/>
        </w:rPr>
        <w:t xml:space="preserve"> </w:t>
      </w:r>
      <w:r>
        <w:t xml:space="preserve">say </w:t>
      </w:r>
      <w:r>
        <w:rPr>
          <w:spacing w:val="-2"/>
        </w:rPr>
        <w:t>otherwise.</w:t>
      </w:r>
    </w:p>
    <w:p w14:paraId="7E002422" w14:textId="77777777" w:rsidR="009A58DB" w:rsidRDefault="00000000">
      <w:pPr>
        <w:pStyle w:val="BodyText"/>
        <w:spacing w:before="7" w:line="249" w:lineRule="auto"/>
        <w:ind w:right="364" w:firstLine="360"/>
      </w:pPr>
      <w:r>
        <w:t>Thus, a necessary and sufficient condition for Ben’s being happy that he can</w:t>
      </w:r>
      <w:r>
        <w:rPr>
          <w:spacing w:val="33"/>
        </w:rPr>
        <w:t xml:space="preserve"> </w:t>
      </w:r>
      <w:r>
        <w:t>now</w:t>
      </w:r>
      <w:r>
        <w:rPr>
          <w:spacing w:val="33"/>
        </w:rPr>
        <w:t xml:space="preserve"> </w:t>
      </w:r>
      <w:r>
        <w:t>play</w:t>
      </w:r>
      <w:r>
        <w:rPr>
          <w:spacing w:val="33"/>
        </w:rPr>
        <w:t xml:space="preserve"> </w:t>
      </w:r>
      <w:r>
        <w:t>soccer</w:t>
      </w:r>
      <w:r>
        <w:rPr>
          <w:spacing w:val="33"/>
        </w:rPr>
        <w:t xml:space="preserve"> </w:t>
      </w:r>
      <w:r>
        <w:t>is</w:t>
      </w:r>
      <w:r>
        <w:rPr>
          <w:spacing w:val="33"/>
        </w:rPr>
        <w:t xml:space="preserve"> </w:t>
      </w:r>
      <w:r>
        <w:t>he</w:t>
      </w:r>
      <w:r>
        <w:rPr>
          <w:spacing w:val="33"/>
        </w:rPr>
        <w:t xml:space="preserve"> </w:t>
      </w:r>
      <w:r>
        <w:t>knows</w:t>
      </w:r>
      <w:r>
        <w:rPr>
          <w:spacing w:val="33"/>
        </w:rPr>
        <w:t xml:space="preserve"> </w:t>
      </w:r>
      <w:r>
        <w:t>himself</w:t>
      </w:r>
      <w:r>
        <w:rPr>
          <w:spacing w:val="33"/>
        </w:rPr>
        <w:t xml:space="preserve"> </w:t>
      </w:r>
      <w:r>
        <w:t>to</w:t>
      </w:r>
      <w:r>
        <w:rPr>
          <w:spacing w:val="33"/>
        </w:rPr>
        <w:t xml:space="preserve"> </w:t>
      </w:r>
      <w:r>
        <w:t>have</w:t>
      </w:r>
      <w:r>
        <w:rPr>
          <w:spacing w:val="33"/>
        </w:rPr>
        <w:t xml:space="preserve"> </w:t>
      </w:r>
      <w:r>
        <w:t>some</w:t>
      </w:r>
      <w:r>
        <w:rPr>
          <w:spacing w:val="33"/>
        </w:rPr>
        <w:t xml:space="preserve"> </w:t>
      </w:r>
      <w:r>
        <w:t>desire</w:t>
      </w:r>
      <w:r>
        <w:rPr>
          <w:spacing w:val="33"/>
        </w:rPr>
        <w:t xml:space="preserve"> </w:t>
      </w:r>
      <w:r>
        <w:t>that,</w:t>
      </w:r>
      <w:r>
        <w:rPr>
          <w:spacing w:val="33"/>
        </w:rPr>
        <w:t xml:space="preserve"> </w:t>
      </w:r>
      <w:r>
        <w:t>in</w:t>
      </w:r>
      <w:r>
        <w:rPr>
          <w:spacing w:val="34"/>
        </w:rPr>
        <w:t xml:space="preserve"> </w:t>
      </w:r>
      <w:r>
        <w:rPr>
          <w:spacing w:val="-5"/>
        </w:rPr>
        <w:t>now</w:t>
      </w:r>
    </w:p>
    <w:p w14:paraId="7E00242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24" w14:textId="77777777" w:rsidR="009A58DB" w:rsidRDefault="00000000">
      <w:pPr>
        <w:pStyle w:val="BodyText"/>
        <w:spacing w:before="65" w:line="249" w:lineRule="auto"/>
        <w:ind w:right="363"/>
      </w:pPr>
      <w:r>
        <w:lastRenderedPageBreak/>
        <w:t xml:space="preserve">being able to play soccer, he is able to gratify. Ben’s being happy that he can play soccer </w:t>
      </w:r>
      <w:r>
        <w:rPr>
          <w:i/>
        </w:rPr>
        <w:t xml:space="preserve">is </w:t>
      </w:r>
      <w:r>
        <w:t>his recognition that, in now being able to play soccer, he can now gratify an otherwise ungratifiable desire.</w:t>
      </w:r>
    </w:p>
    <w:p w14:paraId="7E002425" w14:textId="77777777" w:rsidR="009A58DB" w:rsidRDefault="00000000">
      <w:pPr>
        <w:pStyle w:val="Heading1"/>
        <w:numPr>
          <w:ilvl w:val="1"/>
          <w:numId w:val="62"/>
        </w:numPr>
        <w:tabs>
          <w:tab w:val="left" w:pos="1409"/>
        </w:tabs>
        <w:spacing w:before="191"/>
        <w:ind w:left="1409" w:hanging="1049"/>
      </w:pPr>
      <w:r>
        <w:t>What</w:t>
      </w:r>
      <w:r>
        <w:rPr>
          <w:spacing w:val="-4"/>
        </w:rPr>
        <w:t xml:space="preserve"> </w:t>
      </w:r>
      <w:r>
        <w:t>emotions</w:t>
      </w:r>
      <w:r>
        <w:rPr>
          <w:spacing w:val="-3"/>
        </w:rPr>
        <w:t xml:space="preserve"> </w:t>
      </w:r>
      <w:r>
        <w:t>are</w:t>
      </w:r>
      <w:r>
        <w:rPr>
          <w:spacing w:val="-3"/>
        </w:rPr>
        <w:t xml:space="preserve"> </w:t>
      </w:r>
      <w:r>
        <w:rPr>
          <w:spacing w:val="-2"/>
        </w:rPr>
        <w:t>(continued)</w:t>
      </w:r>
    </w:p>
    <w:p w14:paraId="7E002426" w14:textId="77777777" w:rsidR="009A58DB" w:rsidRDefault="00000000">
      <w:pPr>
        <w:pStyle w:val="BodyText"/>
        <w:spacing w:before="139" w:line="249" w:lineRule="auto"/>
        <w:ind w:right="362"/>
      </w:pPr>
      <w:r>
        <w:t>This analysis is easily extended to apply to all emotions. Another story will help us do this. You’ve invited your father to come visit you. But there’s a chance that your malignant, sociopathic step-mother (his second wife) may come along with him. (If she comes, you won’t kick her out, since doing so will alienate your father, which you don’t want to do.) You thus fear that she will come.</w:t>
      </w:r>
    </w:p>
    <w:p w14:paraId="7E002427" w14:textId="77777777" w:rsidR="009A58DB" w:rsidRDefault="00000000">
      <w:pPr>
        <w:pStyle w:val="BodyText"/>
        <w:spacing w:before="8" w:line="249" w:lineRule="auto"/>
        <w:ind w:right="358" w:firstLine="360"/>
      </w:pPr>
      <w:r>
        <w:t>Why is her coming bad? Why do you fear it? You wouldn’t fear her coming if there were nothing that you wanted that, so you believe, her</w:t>
      </w:r>
      <w:r>
        <w:rPr>
          <w:spacing w:val="40"/>
        </w:rPr>
        <w:t xml:space="preserve"> </w:t>
      </w:r>
      <w:r>
        <w:t>coming would be likely to prevent. Imagine that you were totally convinced that</w:t>
      </w:r>
      <w:r>
        <w:rPr>
          <w:spacing w:val="-3"/>
        </w:rPr>
        <w:t xml:space="preserve"> </w:t>
      </w:r>
      <w:r>
        <w:t>her</w:t>
      </w:r>
      <w:r>
        <w:rPr>
          <w:spacing w:val="-3"/>
        </w:rPr>
        <w:t xml:space="preserve"> </w:t>
      </w:r>
      <w:r>
        <w:t>coming</w:t>
      </w:r>
      <w:r>
        <w:rPr>
          <w:spacing w:val="-3"/>
        </w:rPr>
        <w:t xml:space="preserve"> </w:t>
      </w:r>
      <w:r>
        <w:t>wouldn’t</w:t>
      </w:r>
      <w:r>
        <w:rPr>
          <w:spacing w:val="-3"/>
        </w:rPr>
        <w:t xml:space="preserve"> </w:t>
      </w:r>
      <w:r>
        <w:t>jeopardize</w:t>
      </w:r>
      <w:r>
        <w:rPr>
          <w:spacing w:val="-3"/>
        </w:rPr>
        <w:t xml:space="preserve"> </w:t>
      </w:r>
      <w:r>
        <w:t>anything</w:t>
      </w:r>
      <w:r>
        <w:rPr>
          <w:spacing w:val="-3"/>
        </w:rPr>
        <w:t xml:space="preserve"> </w:t>
      </w:r>
      <w:r>
        <w:t>that</w:t>
      </w:r>
      <w:r>
        <w:rPr>
          <w:spacing w:val="-3"/>
        </w:rPr>
        <w:t xml:space="preserve"> </w:t>
      </w:r>
      <w:r>
        <w:t>you</w:t>
      </w:r>
      <w:r>
        <w:rPr>
          <w:spacing w:val="-3"/>
        </w:rPr>
        <w:t xml:space="preserve"> </w:t>
      </w:r>
      <w:r>
        <w:t>hoped</w:t>
      </w:r>
      <w:r>
        <w:rPr>
          <w:spacing w:val="-3"/>
        </w:rPr>
        <w:t xml:space="preserve"> </w:t>
      </w:r>
      <w:r>
        <w:t>to</w:t>
      </w:r>
      <w:r>
        <w:rPr>
          <w:spacing w:val="-3"/>
        </w:rPr>
        <w:t xml:space="preserve"> </w:t>
      </w:r>
      <w:r>
        <w:t xml:space="preserve">happen—that it wouldn’t prevent you from having bonding moments with your father, or having a beer with him while talking about the good old days, etc. Under that circumstance, could you </w:t>
      </w:r>
      <w:r>
        <w:rPr>
          <w:i/>
        </w:rPr>
        <w:t xml:space="preserve">fear that </w:t>
      </w:r>
      <w:r>
        <w:t>your step-mother would come?</w:t>
      </w:r>
    </w:p>
    <w:p w14:paraId="7E002428" w14:textId="77777777" w:rsidR="009A58DB" w:rsidRDefault="00000000">
      <w:pPr>
        <w:pStyle w:val="BodyText"/>
        <w:spacing w:before="8" w:line="249" w:lineRule="auto"/>
        <w:ind w:right="361" w:firstLine="360"/>
      </w:pPr>
      <w:r>
        <w:t>No.</w:t>
      </w:r>
      <w:r>
        <w:rPr>
          <w:spacing w:val="-2"/>
        </w:rPr>
        <w:t xml:space="preserve"> </w:t>
      </w:r>
      <w:r>
        <w:t>You</w:t>
      </w:r>
      <w:r>
        <w:rPr>
          <w:spacing w:val="-2"/>
        </w:rPr>
        <w:t xml:space="preserve"> </w:t>
      </w:r>
      <w:r>
        <w:t>could</w:t>
      </w:r>
      <w:r>
        <w:rPr>
          <w:spacing w:val="-2"/>
        </w:rPr>
        <w:t xml:space="preserve"> </w:t>
      </w:r>
      <w:r>
        <w:t>believe</w:t>
      </w:r>
      <w:r>
        <w:rPr>
          <w:spacing w:val="-3"/>
        </w:rPr>
        <w:t xml:space="preserve"> </w:t>
      </w:r>
      <w:r>
        <w:t>it,</w:t>
      </w:r>
      <w:r>
        <w:rPr>
          <w:spacing w:val="-2"/>
        </w:rPr>
        <w:t xml:space="preserve"> </w:t>
      </w:r>
      <w:r>
        <w:t>but</w:t>
      </w:r>
      <w:r>
        <w:rPr>
          <w:spacing w:val="-3"/>
        </w:rPr>
        <w:t xml:space="preserve"> </w:t>
      </w:r>
      <w:r>
        <w:t>not</w:t>
      </w:r>
      <w:r>
        <w:rPr>
          <w:spacing w:val="-3"/>
        </w:rPr>
        <w:t xml:space="preserve"> </w:t>
      </w:r>
      <w:r>
        <w:t>fear</w:t>
      </w:r>
      <w:r>
        <w:rPr>
          <w:spacing w:val="-3"/>
        </w:rPr>
        <w:t xml:space="preserve"> </w:t>
      </w:r>
      <w:r>
        <w:t>it.</w:t>
      </w:r>
      <w:r>
        <w:rPr>
          <w:spacing w:val="-2"/>
        </w:rPr>
        <w:t xml:space="preserve"> </w:t>
      </w:r>
      <w:r>
        <w:t>This</w:t>
      </w:r>
      <w:r>
        <w:rPr>
          <w:spacing w:val="-3"/>
        </w:rPr>
        <w:t xml:space="preserve"> </w:t>
      </w:r>
      <w:r>
        <w:t>is</w:t>
      </w:r>
      <w:r>
        <w:rPr>
          <w:spacing w:val="-3"/>
        </w:rPr>
        <w:t xml:space="preserve"> </w:t>
      </w:r>
      <w:r>
        <w:t>because</w:t>
      </w:r>
      <w:r>
        <w:rPr>
          <w:spacing w:val="-3"/>
        </w:rPr>
        <w:t xml:space="preserve"> </w:t>
      </w:r>
      <w:r>
        <w:t>to</w:t>
      </w:r>
      <w:r>
        <w:rPr>
          <w:spacing w:val="-2"/>
        </w:rPr>
        <w:t xml:space="preserve"> </w:t>
      </w:r>
      <w:r>
        <w:t>fear</w:t>
      </w:r>
      <w:r>
        <w:rPr>
          <w:spacing w:val="-3"/>
        </w:rPr>
        <w:t xml:space="preserve"> </w:t>
      </w:r>
      <w:r>
        <w:t>her</w:t>
      </w:r>
      <w:r>
        <w:rPr>
          <w:spacing w:val="-3"/>
        </w:rPr>
        <w:t xml:space="preserve"> </w:t>
      </w:r>
      <w:r>
        <w:t xml:space="preserve">coming </w:t>
      </w:r>
      <w:r>
        <w:rPr>
          <w:i/>
        </w:rPr>
        <w:t xml:space="preserve">is </w:t>
      </w:r>
      <w:r>
        <w:t xml:space="preserve">to believe that something you want is jeopardized by the, in your view, distinct possibility of her coming. So, to fear her coming </w:t>
      </w:r>
      <w:r>
        <w:rPr>
          <w:i/>
        </w:rPr>
        <w:t>is</w:t>
      </w:r>
      <w:r>
        <w:rPr>
          <w:i/>
          <w:spacing w:val="-3"/>
        </w:rPr>
        <w:t xml:space="preserve"> </w:t>
      </w:r>
      <w:r>
        <w:t>for you to believe that her coming would frustrate some desire of yours.</w:t>
      </w:r>
    </w:p>
    <w:p w14:paraId="7E002429" w14:textId="77777777" w:rsidR="009A58DB" w:rsidRDefault="00000000">
      <w:pPr>
        <w:pStyle w:val="BodyText"/>
        <w:spacing w:before="5" w:line="249" w:lineRule="auto"/>
        <w:ind w:right="359" w:firstLine="360"/>
      </w:pPr>
      <w:r>
        <w:t xml:space="preserve">Of course, you may be wrong about this; it could be that she does come and everything turns out fine. But that’s consistent with our point that your fearing her possible visit involves your believing, not necessarily correctly, that her coming would make something you want impossible and would thus thwart a desire of yours. And it actually bears out our main point, this being: emotions </w:t>
      </w:r>
      <w:r>
        <w:rPr>
          <w:i/>
        </w:rPr>
        <w:t xml:space="preserve">are </w:t>
      </w:r>
      <w:r>
        <w:t>true or false, since emotions are beliefs of sorts.</w:t>
      </w:r>
    </w:p>
    <w:p w14:paraId="7E00242A" w14:textId="77777777" w:rsidR="009A58DB" w:rsidRDefault="00000000">
      <w:pPr>
        <w:pStyle w:val="BodyText"/>
        <w:spacing w:before="8" w:line="249" w:lineRule="auto"/>
        <w:ind w:right="360" w:firstLine="360"/>
      </w:pPr>
      <w:r>
        <w:t>Emotions, then, are beliefs about the prospects of gratifying desires that one has. If the belief is that the prospects are good, the emotion is a positive one (e.g., jubilation, relief). If the belief is that those prospects are bad, it’s a negative one (e.g., anger, remorse).</w:t>
      </w:r>
    </w:p>
    <w:p w14:paraId="7E00242B" w14:textId="77777777" w:rsidR="009A58DB" w:rsidRDefault="00000000">
      <w:pPr>
        <w:pStyle w:val="Heading1"/>
        <w:numPr>
          <w:ilvl w:val="1"/>
          <w:numId w:val="60"/>
        </w:numPr>
        <w:tabs>
          <w:tab w:val="left" w:pos="1409"/>
        </w:tabs>
        <w:spacing w:before="208"/>
        <w:ind w:left="1409" w:hanging="1049"/>
      </w:pPr>
      <w:r>
        <w:t>Geach’s</w:t>
      </w:r>
      <w:r>
        <w:rPr>
          <w:spacing w:val="-9"/>
        </w:rPr>
        <w:t xml:space="preserve"> </w:t>
      </w:r>
      <w:r>
        <w:t>anti-emotivist</w:t>
      </w:r>
      <w:r>
        <w:rPr>
          <w:spacing w:val="-8"/>
        </w:rPr>
        <w:t xml:space="preserve"> </w:t>
      </w:r>
      <w:r>
        <w:rPr>
          <w:spacing w:val="-2"/>
        </w:rPr>
        <w:t>argument</w:t>
      </w:r>
    </w:p>
    <w:p w14:paraId="7E00242C" w14:textId="77777777" w:rsidR="009A58DB" w:rsidRDefault="00000000">
      <w:pPr>
        <w:pStyle w:val="BodyText"/>
        <w:spacing w:before="139"/>
      </w:pPr>
      <w:r>
        <w:t>Peter</w:t>
      </w:r>
      <w:r>
        <w:rPr>
          <w:spacing w:val="8"/>
        </w:rPr>
        <w:t xml:space="preserve"> </w:t>
      </w:r>
      <w:r>
        <w:t>Geach</w:t>
      </w:r>
      <w:r>
        <w:rPr>
          <w:spacing w:val="10"/>
        </w:rPr>
        <w:t xml:space="preserve"> </w:t>
      </w:r>
      <w:r>
        <w:t>put</w:t>
      </w:r>
      <w:r>
        <w:rPr>
          <w:spacing w:val="10"/>
        </w:rPr>
        <w:t xml:space="preserve"> </w:t>
      </w:r>
      <w:r>
        <w:t>forth</w:t>
      </w:r>
      <w:r>
        <w:rPr>
          <w:spacing w:val="10"/>
        </w:rPr>
        <w:t xml:space="preserve"> </w:t>
      </w:r>
      <w:r>
        <w:t>the</w:t>
      </w:r>
      <w:r>
        <w:rPr>
          <w:spacing w:val="10"/>
        </w:rPr>
        <w:t xml:space="preserve"> </w:t>
      </w:r>
      <w:r>
        <w:t>following,</w:t>
      </w:r>
      <w:r>
        <w:rPr>
          <w:spacing w:val="10"/>
        </w:rPr>
        <w:t xml:space="preserve"> </w:t>
      </w:r>
      <w:r>
        <w:t>very</w:t>
      </w:r>
      <w:r>
        <w:rPr>
          <w:spacing w:val="10"/>
        </w:rPr>
        <w:t xml:space="preserve"> </w:t>
      </w:r>
      <w:r>
        <w:t>clever</w:t>
      </w:r>
      <w:r>
        <w:rPr>
          <w:spacing w:val="10"/>
        </w:rPr>
        <w:t xml:space="preserve"> </w:t>
      </w:r>
      <w:r>
        <w:t>argument</w:t>
      </w:r>
      <w:r>
        <w:rPr>
          <w:spacing w:val="10"/>
        </w:rPr>
        <w:t xml:space="preserve"> </w:t>
      </w:r>
      <w:r>
        <w:t>against</w:t>
      </w:r>
      <w:r>
        <w:rPr>
          <w:spacing w:val="10"/>
        </w:rPr>
        <w:t xml:space="preserve"> </w:t>
      </w:r>
      <w:r>
        <w:rPr>
          <w:spacing w:val="-2"/>
        </w:rPr>
        <w:t>emotivism</w:t>
      </w:r>
    </w:p>
    <w:p w14:paraId="7E00242D" w14:textId="77777777" w:rsidR="009A58DB" w:rsidRDefault="009A58DB">
      <w:pPr>
        <w:pStyle w:val="BodyText"/>
        <w:sectPr w:rsidR="009A58DB">
          <w:pgSz w:w="12240" w:h="15840"/>
          <w:pgMar w:top="1380" w:right="1080" w:bottom="280" w:left="1080" w:header="720" w:footer="720" w:gutter="0"/>
          <w:cols w:space="720"/>
        </w:sectPr>
      </w:pPr>
    </w:p>
    <w:p w14:paraId="7E00242E" w14:textId="77777777" w:rsidR="009A58DB" w:rsidRDefault="00000000">
      <w:pPr>
        <w:pStyle w:val="BodyText"/>
        <w:spacing w:before="70"/>
        <w:jc w:val="left"/>
      </w:pPr>
      <w:r>
        <w:lastRenderedPageBreak/>
        <w:t>(“GA”</w:t>
      </w:r>
      <w:r>
        <w:rPr>
          <w:spacing w:val="-7"/>
        </w:rPr>
        <w:t xml:space="preserve"> </w:t>
      </w:r>
      <w:r>
        <w:t>stands</w:t>
      </w:r>
      <w:r>
        <w:rPr>
          <w:spacing w:val="-4"/>
        </w:rPr>
        <w:t xml:space="preserve"> </w:t>
      </w:r>
      <w:r>
        <w:t>for</w:t>
      </w:r>
      <w:r>
        <w:rPr>
          <w:spacing w:val="-5"/>
        </w:rPr>
        <w:t xml:space="preserve"> </w:t>
      </w:r>
      <w:r>
        <w:t>“Geach’s</w:t>
      </w:r>
      <w:r>
        <w:rPr>
          <w:spacing w:val="-4"/>
        </w:rPr>
        <w:t xml:space="preserve"> </w:t>
      </w:r>
      <w:r>
        <w:rPr>
          <w:spacing w:val="-2"/>
        </w:rPr>
        <w:t>argument”):</w:t>
      </w:r>
    </w:p>
    <w:p w14:paraId="7E00242F" w14:textId="77777777" w:rsidR="009A58DB" w:rsidRDefault="009A58DB">
      <w:pPr>
        <w:pStyle w:val="BodyText"/>
        <w:spacing w:before="24"/>
        <w:ind w:left="0"/>
        <w:jc w:val="left"/>
      </w:pPr>
    </w:p>
    <w:p w14:paraId="7E002430" w14:textId="77777777" w:rsidR="009A58DB" w:rsidRDefault="00000000">
      <w:pPr>
        <w:pStyle w:val="BodyText"/>
        <w:spacing w:before="1" w:line="249" w:lineRule="auto"/>
        <w:ind w:left="720" w:right="728"/>
      </w:pPr>
      <w:r>
        <w:t>(GA) Suppose that emotivism is correct. Suppose that saying “stealing is wrong” is, as far as its content is concerned, no different from saying “boo stealing!” and that saying “giving money to the needy is good” is the same as saying “hurray giving money to charity!” In that case:</w:t>
      </w:r>
    </w:p>
    <w:p w14:paraId="7E002431" w14:textId="77777777" w:rsidR="009A58DB" w:rsidRDefault="009A58DB">
      <w:pPr>
        <w:pStyle w:val="BodyText"/>
        <w:spacing w:before="19"/>
        <w:ind w:left="0"/>
        <w:jc w:val="left"/>
      </w:pPr>
    </w:p>
    <w:p w14:paraId="7E002432" w14:textId="77777777" w:rsidR="009A58DB" w:rsidRDefault="00000000">
      <w:pPr>
        <w:pStyle w:val="ListParagraph"/>
        <w:numPr>
          <w:ilvl w:val="2"/>
          <w:numId w:val="60"/>
        </w:numPr>
        <w:tabs>
          <w:tab w:val="left" w:pos="1202"/>
        </w:tabs>
        <w:spacing w:before="1" w:line="249" w:lineRule="auto"/>
        <w:ind w:right="723" w:firstLine="0"/>
        <w:rPr>
          <w:sz w:val="30"/>
        </w:rPr>
      </w:pPr>
      <w:r>
        <w:rPr>
          <w:sz w:val="30"/>
        </w:rPr>
        <w:t>“If</w:t>
      </w:r>
      <w:r>
        <w:rPr>
          <w:spacing w:val="40"/>
          <w:sz w:val="30"/>
        </w:rPr>
        <w:t xml:space="preserve"> </w:t>
      </w:r>
      <w:r>
        <w:rPr>
          <w:i/>
          <w:sz w:val="30"/>
        </w:rPr>
        <w:t>stealing</w:t>
      </w:r>
      <w:r>
        <w:rPr>
          <w:i/>
          <w:spacing w:val="40"/>
          <w:sz w:val="30"/>
        </w:rPr>
        <w:t xml:space="preserve"> </w:t>
      </w:r>
      <w:r>
        <w:rPr>
          <w:i/>
          <w:sz w:val="30"/>
        </w:rPr>
        <w:t>is</w:t>
      </w:r>
      <w:r>
        <w:rPr>
          <w:i/>
          <w:spacing w:val="40"/>
          <w:sz w:val="30"/>
        </w:rPr>
        <w:t xml:space="preserve"> </w:t>
      </w:r>
      <w:r>
        <w:rPr>
          <w:i/>
          <w:sz w:val="30"/>
        </w:rPr>
        <w:t>wrong,</w:t>
      </w:r>
      <w:r>
        <w:rPr>
          <w:i/>
          <w:spacing w:val="40"/>
          <w:sz w:val="30"/>
        </w:rPr>
        <w:t xml:space="preserve"> </w:t>
      </w:r>
      <w:r>
        <w:rPr>
          <w:sz w:val="30"/>
        </w:rPr>
        <w:t>then</w:t>
      </w:r>
      <w:r>
        <w:rPr>
          <w:spacing w:val="40"/>
          <w:sz w:val="30"/>
        </w:rPr>
        <w:t xml:space="preserve"> </w:t>
      </w:r>
      <w:r>
        <w:rPr>
          <w:sz w:val="30"/>
        </w:rPr>
        <w:t>getting</w:t>
      </w:r>
      <w:r>
        <w:rPr>
          <w:spacing w:val="40"/>
          <w:sz w:val="30"/>
        </w:rPr>
        <w:t xml:space="preserve"> </w:t>
      </w:r>
      <w:r>
        <w:rPr>
          <w:sz w:val="30"/>
        </w:rPr>
        <w:t>your</w:t>
      </w:r>
      <w:r>
        <w:rPr>
          <w:spacing w:val="40"/>
          <w:sz w:val="30"/>
        </w:rPr>
        <w:t xml:space="preserve"> </w:t>
      </w:r>
      <w:r>
        <w:rPr>
          <w:sz w:val="30"/>
        </w:rPr>
        <w:t>little</w:t>
      </w:r>
      <w:r>
        <w:rPr>
          <w:spacing w:val="40"/>
          <w:sz w:val="30"/>
        </w:rPr>
        <w:t xml:space="preserve"> </w:t>
      </w:r>
      <w:r>
        <w:rPr>
          <w:sz w:val="30"/>
        </w:rPr>
        <w:t>brother</w:t>
      </w:r>
      <w:r>
        <w:rPr>
          <w:spacing w:val="40"/>
          <w:sz w:val="30"/>
        </w:rPr>
        <w:t xml:space="preserve"> </w:t>
      </w:r>
      <w:r>
        <w:rPr>
          <w:sz w:val="30"/>
        </w:rPr>
        <w:t>to</w:t>
      </w:r>
      <w:r>
        <w:rPr>
          <w:spacing w:val="40"/>
          <w:sz w:val="30"/>
        </w:rPr>
        <w:t xml:space="preserve"> </w:t>
      </w:r>
      <w:r>
        <w:rPr>
          <w:sz w:val="30"/>
        </w:rPr>
        <w:t>steal</w:t>
      </w:r>
      <w:r>
        <w:rPr>
          <w:spacing w:val="40"/>
          <w:sz w:val="30"/>
        </w:rPr>
        <w:t xml:space="preserve"> </w:t>
      </w:r>
      <w:r>
        <w:rPr>
          <w:sz w:val="30"/>
        </w:rPr>
        <w:t xml:space="preserve">is </w:t>
      </w:r>
      <w:r>
        <w:rPr>
          <w:spacing w:val="-2"/>
          <w:sz w:val="30"/>
        </w:rPr>
        <w:t>wrong”</w:t>
      </w:r>
    </w:p>
    <w:p w14:paraId="7E002433" w14:textId="77777777" w:rsidR="009A58DB" w:rsidRDefault="009A58DB">
      <w:pPr>
        <w:pStyle w:val="BodyText"/>
        <w:spacing w:before="17"/>
        <w:ind w:left="0"/>
        <w:jc w:val="left"/>
      </w:pPr>
    </w:p>
    <w:p w14:paraId="7E002434" w14:textId="77777777" w:rsidR="009A58DB" w:rsidRDefault="00000000">
      <w:pPr>
        <w:pStyle w:val="BodyText"/>
        <w:spacing w:line="249" w:lineRule="auto"/>
        <w:ind w:left="720" w:right="724"/>
      </w:pPr>
      <w:r>
        <w:t>has the same meaning (or, if you prefer, is characterized by the same lack of meaning) as:</w:t>
      </w:r>
    </w:p>
    <w:p w14:paraId="7E002435" w14:textId="77777777" w:rsidR="009A58DB" w:rsidRDefault="009A58DB">
      <w:pPr>
        <w:pStyle w:val="BodyText"/>
        <w:spacing w:before="17"/>
        <w:ind w:left="0"/>
        <w:jc w:val="left"/>
      </w:pPr>
    </w:p>
    <w:p w14:paraId="7E002436" w14:textId="77777777" w:rsidR="009A58DB" w:rsidRDefault="00000000">
      <w:pPr>
        <w:pStyle w:val="ListParagraph"/>
        <w:numPr>
          <w:ilvl w:val="2"/>
          <w:numId w:val="60"/>
        </w:numPr>
        <w:tabs>
          <w:tab w:val="left" w:pos="1142"/>
        </w:tabs>
        <w:spacing w:before="1"/>
        <w:ind w:left="1142" w:hanging="422"/>
        <w:rPr>
          <w:sz w:val="30"/>
        </w:rPr>
      </w:pPr>
      <w:r>
        <w:rPr>
          <w:sz w:val="30"/>
        </w:rPr>
        <w:t>“If</w:t>
      </w:r>
      <w:r>
        <w:rPr>
          <w:spacing w:val="-6"/>
          <w:sz w:val="30"/>
        </w:rPr>
        <w:t xml:space="preserve"> </w:t>
      </w:r>
      <w:r>
        <w:rPr>
          <w:i/>
          <w:sz w:val="30"/>
        </w:rPr>
        <w:t>boo</w:t>
      </w:r>
      <w:r>
        <w:rPr>
          <w:i/>
          <w:spacing w:val="-3"/>
          <w:sz w:val="30"/>
        </w:rPr>
        <w:t xml:space="preserve"> </w:t>
      </w:r>
      <w:r>
        <w:rPr>
          <w:i/>
          <w:sz w:val="30"/>
        </w:rPr>
        <w:t>stealing!,</w:t>
      </w:r>
      <w:r>
        <w:rPr>
          <w:i/>
          <w:spacing w:val="-2"/>
          <w:sz w:val="30"/>
        </w:rPr>
        <w:t xml:space="preserve"> </w:t>
      </w:r>
      <w:r>
        <w:rPr>
          <w:sz w:val="30"/>
        </w:rPr>
        <w:t>then</w:t>
      </w:r>
      <w:r>
        <w:rPr>
          <w:spacing w:val="-3"/>
          <w:sz w:val="30"/>
        </w:rPr>
        <w:t xml:space="preserve"> </w:t>
      </w:r>
      <w:r>
        <w:rPr>
          <w:sz w:val="30"/>
        </w:rPr>
        <w:t>getting</w:t>
      </w:r>
      <w:r>
        <w:rPr>
          <w:spacing w:val="-2"/>
          <w:sz w:val="30"/>
        </w:rPr>
        <w:t xml:space="preserve"> </w:t>
      </w:r>
      <w:r>
        <w:rPr>
          <w:sz w:val="30"/>
        </w:rPr>
        <w:t>your</w:t>
      </w:r>
      <w:r>
        <w:rPr>
          <w:spacing w:val="-4"/>
          <w:sz w:val="30"/>
        </w:rPr>
        <w:t xml:space="preserve"> </w:t>
      </w:r>
      <w:r>
        <w:rPr>
          <w:sz w:val="30"/>
        </w:rPr>
        <w:t>little</w:t>
      </w:r>
      <w:r>
        <w:rPr>
          <w:spacing w:val="-3"/>
          <w:sz w:val="30"/>
        </w:rPr>
        <w:t xml:space="preserve"> </w:t>
      </w:r>
      <w:r>
        <w:rPr>
          <w:sz w:val="30"/>
        </w:rPr>
        <w:t>brother</w:t>
      </w:r>
      <w:r>
        <w:rPr>
          <w:spacing w:val="-4"/>
          <w:sz w:val="30"/>
        </w:rPr>
        <w:t xml:space="preserve"> </w:t>
      </w:r>
      <w:r>
        <w:rPr>
          <w:sz w:val="30"/>
        </w:rPr>
        <w:t>to</w:t>
      </w:r>
      <w:r>
        <w:rPr>
          <w:spacing w:val="-2"/>
          <w:sz w:val="30"/>
        </w:rPr>
        <w:t xml:space="preserve"> </w:t>
      </w:r>
      <w:r>
        <w:rPr>
          <w:sz w:val="30"/>
        </w:rPr>
        <w:t>steal</w:t>
      </w:r>
      <w:r>
        <w:rPr>
          <w:spacing w:val="-4"/>
          <w:sz w:val="30"/>
        </w:rPr>
        <w:t xml:space="preserve"> </w:t>
      </w:r>
      <w:r>
        <w:rPr>
          <w:sz w:val="30"/>
        </w:rPr>
        <w:t>is</w:t>
      </w:r>
      <w:r>
        <w:rPr>
          <w:spacing w:val="-3"/>
          <w:sz w:val="30"/>
        </w:rPr>
        <w:t xml:space="preserve"> </w:t>
      </w:r>
      <w:r>
        <w:rPr>
          <w:spacing w:val="-2"/>
          <w:sz w:val="30"/>
        </w:rPr>
        <w:t>wrong.”</w:t>
      </w:r>
    </w:p>
    <w:p w14:paraId="7E002437" w14:textId="77777777" w:rsidR="009A58DB" w:rsidRDefault="009A58DB">
      <w:pPr>
        <w:pStyle w:val="BodyText"/>
        <w:spacing w:before="29"/>
        <w:ind w:left="0"/>
        <w:jc w:val="left"/>
      </w:pPr>
    </w:p>
    <w:p w14:paraId="7E002438" w14:textId="77777777" w:rsidR="009A58DB" w:rsidRDefault="00000000">
      <w:pPr>
        <w:pStyle w:val="BodyText"/>
        <w:spacing w:before="1" w:line="249" w:lineRule="auto"/>
        <w:ind w:left="720" w:right="719"/>
      </w:pPr>
      <w:r>
        <w:t>Here’s</w:t>
      </w:r>
      <w:r>
        <w:rPr>
          <w:spacing w:val="-16"/>
        </w:rPr>
        <w:t xml:space="preserve"> </w:t>
      </w:r>
      <w:r>
        <w:t>the</w:t>
      </w:r>
      <w:r>
        <w:rPr>
          <w:spacing w:val="-16"/>
        </w:rPr>
        <w:t xml:space="preserve"> </w:t>
      </w:r>
      <w:r>
        <w:t>idea.</w:t>
      </w:r>
      <w:r>
        <w:rPr>
          <w:spacing w:val="-16"/>
        </w:rPr>
        <w:t xml:space="preserve"> </w:t>
      </w:r>
      <w:r>
        <w:t>(2)</w:t>
      </w:r>
      <w:r>
        <w:rPr>
          <w:spacing w:val="-16"/>
        </w:rPr>
        <w:t xml:space="preserve"> </w:t>
      </w:r>
      <w:r>
        <w:t>is</w:t>
      </w:r>
      <w:r>
        <w:rPr>
          <w:spacing w:val="-16"/>
        </w:rPr>
        <w:t xml:space="preserve"> </w:t>
      </w:r>
      <w:r>
        <w:t>just</w:t>
      </w:r>
      <w:r>
        <w:rPr>
          <w:spacing w:val="-16"/>
        </w:rPr>
        <w:t xml:space="preserve"> </w:t>
      </w:r>
      <w:r>
        <w:t>like</w:t>
      </w:r>
      <w:r>
        <w:rPr>
          <w:spacing w:val="-16"/>
        </w:rPr>
        <w:t xml:space="preserve"> </w:t>
      </w:r>
      <w:r>
        <w:t>(1),</w:t>
      </w:r>
      <w:r>
        <w:rPr>
          <w:spacing w:val="-16"/>
        </w:rPr>
        <w:t xml:space="preserve"> </w:t>
      </w:r>
      <w:r>
        <w:t>except</w:t>
      </w:r>
      <w:r>
        <w:rPr>
          <w:spacing w:val="-16"/>
        </w:rPr>
        <w:t xml:space="preserve"> </w:t>
      </w:r>
      <w:r>
        <w:t>that</w:t>
      </w:r>
      <w:r>
        <w:rPr>
          <w:spacing w:val="-16"/>
        </w:rPr>
        <w:t xml:space="preserve"> </w:t>
      </w:r>
      <w:r>
        <w:t>(2)</w:t>
      </w:r>
      <w:r>
        <w:rPr>
          <w:spacing w:val="-16"/>
        </w:rPr>
        <w:t xml:space="preserve"> </w:t>
      </w:r>
      <w:r>
        <w:t>contains</w:t>
      </w:r>
      <w:r>
        <w:rPr>
          <w:spacing w:val="-16"/>
        </w:rPr>
        <w:t xml:space="preserve"> </w:t>
      </w:r>
      <w:r>
        <w:t>the</w:t>
      </w:r>
      <w:r>
        <w:rPr>
          <w:spacing w:val="-16"/>
        </w:rPr>
        <w:t xml:space="preserve"> </w:t>
      </w:r>
      <w:r>
        <w:t>expression “boo</w:t>
      </w:r>
      <w:r>
        <w:rPr>
          <w:spacing w:val="-19"/>
        </w:rPr>
        <w:t xml:space="preserve"> </w:t>
      </w:r>
      <w:r>
        <w:t>stealing!”</w:t>
      </w:r>
      <w:r>
        <w:rPr>
          <w:spacing w:val="-19"/>
        </w:rPr>
        <w:t xml:space="preserve"> </w:t>
      </w:r>
      <w:r>
        <w:t>in</w:t>
      </w:r>
      <w:r>
        <w:rPr>
          <w:spacing w:val="-19"/>
        </w:rPr>
        <w:t xml:space="preserve"> </w:t>
      </w:r>
      <w:r>
        <w:t>the</w:t>
      </w:r>
      <w:r>
        <w:rPr>
          <w:spacing w:val="-18"/>
        </w:rPr>
        <w:t xml:space="preserve"> </w:t>
      </w:r>
      <w:r>
        <w:t>place</w:t>
      </w:r>
      <w:r>
        <w:rPr>
          <w:spacing w:val="-19"/>
        </w:rPr>
        <w:t xml:space="preserve"> </w:t>
      </w:r>
      <w:r>
        <w:t>where</w:t>
      </w:r>
      <w:r>
        <w:rPr>
          <w:spacing w:val="-19"/>
        </w:rPr>
        <w:t xml:space="preserve"> </w:t>
      </w:r>
      <w:r>
        <w:t>(1)</w:t>
      </w:r>
      <w:r>
        <w:rPr>
          <w:spacing w:val="-19"/>
        </w:rPr>
        <w:t xml:space="preserve"> </w:t>
      </w:r>
      <w:r>
        <w:t>contains</w:t>
      </w:r>
      <w:r>
        <w:rPr>
          <w:spacing w:val="-18"/>
        </w:rPr>
        <w:t xml:space="preserve"> </w:t>
      </w:r>
      <w:r>
        <w:t>the</w:t>
      </w:r>
      <w:r>
        <w:rPr>
          <w:spacing w:val="-19"/>
        </w:rPr>
        <w:t xml:space="preserve"> </w:t>
      </w:r>
      <w:r>
        <w:t>expression</w:t>
      </w:r>
      <w:r>
        <w:rPr>
          <w:spacing w:val="-19"/>
        </w:rPr>
        <w:t xml:space="preserve"> </w:t>
      </w:r>
      <w:r>
        <w:t>“stealing</w:t>
      </w:r>
      <w:r>
        <w:rPr>
          <w:spacing w:val="-19"/>
        </w:rPr>
        <w:t xml:space="preserve"> </w:t>
      </w:r>
      <w:r>
        <w:t>is wrong.”</w:t>
      </w:r>
      <w:r>
        <w:rPr>
          <w:spacing w:val="39"/>
        </w:rPr>
        <w:t xml:space="preserve"> </w:t>
      </w:r>
      <w:r>
        <w:t>The</w:t>
      </w:r>
      <w:r>
        <w:rPr>
          <w:spacing w:val="-19"/>
        </w:rPr>
        <w:t xml:space="preserve"> </w:t>
      </w:r>
      <w:r>
        <w:t>emotivist</w:t>
      </w:r>
      <w:r>
        <w:rPr>
          <w:spacing w:val="-19"/>
        </w:rPr>
        <w:t xml:space="preserve"> </w:t>
      </w:r>
      <w:r>
        <w:t>says</w:t>
      </w:r>
      <w:r>
        <w:rPr>
          <w:spacing w:val="-18"/>
        </w:rPr>
        <w:t xml:space="preserve"> </w:t>
      </w:r>
      <w:r>
        <w:t>the</w:t>
      </w:r>
      <w:r>
        <w:rPr>
          <w:spacing w:val="-19"/>
        </w:rPr>
        <w:t xml:space="preserve"> </w:t>
      </w:r>
      <w:r>
        <w:t>underlined</w:t>
      </w:r>
      <w:r>
        <w:rPr>
          <w:spacing w:val="-19"/>
        </w:rPr>
        <w:t xml:space="preserve"> </w:t>
      </w:r>
      <w:r>
        <w:t>part</w:t>
      </w:r>
      <w:r>
        <w:rPr>
          <w:spacing w:val="-18"/>
        </w:rPr>
        <w:t xml:space="preserve"> </w:t>
      </w:r>
      <w:r>
        <w:t>of</w:t>
      </w:r>
      <w:r>
        <w:rPr>
          <w:spacing w:val="-19"/>
        </w:rPr>
        <w:t xml:space="preserve"> </w:t>
      </w:r>
      <w:r>
        <w:t>(1)</w:t>
      </w:r>
    </w:p>
    <w:p w14:paraId="7E00243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3A" w14:textId="77777777" w:rsidR="009A58DB" w:rsidRDefault="00000000">
      <w:pPr>
        <w:pStyle w:val="BodyText"/>
        <w:spacing w:before="65" w:line="249" w:lineRule="auto"/>
        <w:ind w:left="720" w:right="718"/>
      </w:pPr>
      <w:r>
        <w:lastRenderedPageBreak/>
        <w:t>has the same meaning (or lack thereof) as the underlined part of (2). Replacing an expression with a synonymous expression doesn’t turn meaning into nonsense; replacing the occurrence of “enemy” in “Smith is Brown’s enemy” with the word “foe” results in “Smith is Brown’s foe,” which is as meaningful as the first sentence and, in fact, has the very</w:t>
      </w:r>
      <w:r>
        <w:rPr>
          <w:spacing w:val="-3"/>
        </w:rPr>
        <w:t xml:space="preserve"> </w:t>
      </w:r>
      <w:r>
        <w:t>same</w:t>
      </w:r>
      <w:r>
        <w:rPr>
          <w:spacing w:val="-3"/>
        </w:rPr>
        <w:t xml:space="preserve"> </w:t>
      </w:r>
      <w:r>
        <w:t>meaning</w:t>
      </w:r>
      <w:r>
        <w:rPr>
          <w:spacing w:val="-3"/>
        </w:rPr>
        <w:t xml:space="preserve"> </w:t>
      </w:r>
      <w:r>
        <w:t>as</w:t>
      </w:r>
      <w:r>
        <w:rPr>
          <w:spacing w:val="-3"/>
        </w:rPr>
        <w:t xml:space="preserve"> </w:t>
      </w:r>
      <w:r>
        <w:t>it.</w:t>
      </w:r>
      <w:r>
        <w:rPr>
          <w:spacing w:val="-3"/>
        </w:rPr>
        <w:t xml:space="preserve"> </w:t>
      </w:r>
      <w:r>
        <w:t>But</w:t>
      </w:r>
      <w:r>
        <w:rPr>
          <w:spacing w:val="-3"/>
        </w:rPr>
        <w:t xml:space="preserve"> </w:t>
      </w:r>
      <w:r>
        <w:t>whereas</w:t>
      </w:r>
      <w:r>
        <w:rPr>
          <w:spacing w:val="-3"/>
        </w:rPr>
        <w:t xml:space="preserve"> </w:t>
      </w:r>
      <w:r>
        <w:t>(1)</w:t>
      </w:r>
      <w:r>
        <w:rPr>
          <w:spacing w:val="-3"/>
        </w:rPr>
        <w:t xml:space="preserve"> </w:t>
      </w:r>
      <w:r>
        <w:t>is</w:t>
      </w:r>
      <w:r>
        <w:rPr>
          <w:spacing w:val="-3"/>
        </w:rPr>
        <w:t xml:space="preserve"> </w:t>
      </w:r>
      <w:r>
        <w:t>obviously</w:t>
      </w:r>
      <w:r>
        <w:rPr>
          <w:spacing w:val="-3"/>
        </w:rPr>
        <w:t xml:space="preserve"> </w:t>
      </w:r>
      <w:r>
        <w:t xml:space="preserve">meaningful—not necessarily </w:t>
      </w:r>
      <w:r>
        <w:rPr>
          <w:i/>
        </w:rPr>
        <w:t xml:space="preserve">true, </w:t>
      </w:r>
      <w:r>
        <w:t xml:space="preserve">but meaningful—(2) is complete nonsense. Thus, the underlined expressions are not synonymous, and the emotivist is wrong to say otherwise. Given any emotivist “translation” of any moral statement, an exactly analogous argument shows that translation to be </w:t>
      </w:r>
      <w:r>
        <w:rPr>
          <w:spacing w:val="-2"/>
        </w:rPr>
        <w:t>wrong.</w:t>
      </w:r>
    </w:p>
    <w:p w14:paraId="7E00243B" w14:textId="77777777" w:rsidR="009A58DB" w:rsidRDefault="00000000">
      <w:pPr>
        <w:pStyle w:val="Heading1"/>
        <w:numPr>
          <w:ilvl w:val="1"/>
          <w:numId w:val="60"/>
        </w:numPr>
        <w:tabs>
          <w:tab w:val="left" w:pos="1410"/>
        </w:tabs>
        <w:spacing w:before="201"/>
        <w:jc w:val="both"/>
      </w:pPr>
      <w:r>
        <w:t>Evaluating</w:t>
      </w:r>
      <w:r>
        <w:rPr>
          <w:spacing w:val="-6"/>
        </w:rPr>
        <w:t xml:space="preserve"> </w:t>
      </w:r>
      <w:r>
        <w:t>Geach’s</w:t>
      </w:r>
      <w:r>
        <w:rPr>
          <w:spacing w:val="-6"/>
        </w:rPr>
        <w:t xml:space="preserve"> </w:t>
      </w:r>
      <w:r>
        <w:rPr>
          <w:spacing w:val="-2"/>
        </w:rPr>
        <w:t>argument</w:t>
      </w:r>
    </w:p>
    <w:p w14:paraId="7E00243C" w14:textId="77777777" w:rsidR="009A58DB" w:rsidRDefault="00000000">
      <w:pPr>
        <w:pStyle w:val="BodyText"/>
        <w:spacing w:before="139" w:line="249" w:lineRule="auto"/>
        <w:ind w:right="358"/>
      </w:pPr>
      <w:r>
        <w:t xml:space="preserve">I’ve argued that emotions </w:t>
      </w:r>
      <w:r>
        <w:rPr>
          <w:i/>
        </w:rPr>
        <w:t xml:space="preserve">are </w:t>
      </w:r>
      <w:r>
        <w:t xml:space="preserve">beliefs. Let’s suppose that, after 10 years of your being an unremittingly good friend to him, Smith turns his back on you. He does this to curry favor with his boss. You’re outraged and appalled; your contempt for Smith is boundless. These emotions, I have argued, </w:t>
      </w:r>
      <w:r>
        <w:rPr>
          <w:i/>
        </w:rPr>
        <w:t xml:space="preserve">are </w:t>
      </w:r>
      <w:r>
        <w:t xml:space="preserve">beliefs. Like all emotions, they are, I have argued, beliefs about desires of yours. Your outrage, for example, might be identical with your belief that Smith’s behavior thwarted your desire for a relationship in which certain rules of decency were observed. For expository reasons, let’s suppose this to be the </w:t>
      </w:r>
      <w:r>
        <w:rPr>
          <w:spacing w:val="-2"/>
        </w:rPr>
        <w:t>case.</w:t>
      </w:r>
    </w:p>
    <w:p w14:paraId="7E00243D" w14:textId="77777777" w:rsidR="009A58DB" w:rsidRDefault="00000000">
      <w:pPr>
        <w:pStyle w:val="BodyText"/>
        <w:spacing w:before="11" w:line="249" w:lineRule="auto"/>
        <w:ind w:right="364" w:firstLine="360"/>
      </w:pPr>
      <w:r>
        <w:t>Let’s also suppose that your outrage is initially expressed by your throwing a chair across the room while yelling “aarrr!” Finally, let us suppose, if only for argument’s sake, that my analysis of emotion is correct. I wish to make it clear that, given this supposition, your yelling “AAARR!” while throwing a chair across the room expresses the aforementioned belief.</w:t>
      </w:r>
    </w:p>
    <w:p w14:paraId="7E00243E" w14:textId="77777777" w:rsidR="009A58DB" w:rsidRDefault="00000000">
      <w:pPr>
        <w:pStyle w:val="BodyText"/>
        <w:spacing w:before="6" w:line="249" w:lineRule="auto"/>
        <w:ind w:right="359" w:firstLine="360"/>
      </w:pPr>
      <w:r>
        <w:t>Question: Given all of these suppositions, does it follow that, when they are uttered by you, the following two sentences have the same meaning?</w:t>
      </w:r>
    </w:p>
    <w:p w14:paraId="7E00243F" w14:textId="77777777" w:rsidR="009A58DB" w:rsidRDefault="009A58DB">
      <w:pPr>
        <w:pStyle w:val="BodyText"/>
        <w:spacing w:before="18"/>
        <w:ind w:left="0"/>
        <w:jc w:val="left"/>
      </w:pPr>
    </w:p>
    <w:p w14:paraId="7E002440" w14:textId="77777777" w:rsidR="009A58DB" w:rsidRDefault="00000000">
      <w:pPr>
        <w:pStyle w:val="ListParagraph"/>
        <w:numPr>
          <w:ilvl w:val="0"/>
          <w:numId w:val="86"/>
        </w:numPr>
        <w:tabs>
          <w:tab w:val="left" w:pos="805"/>
        </w:tabs>
        <w:spacing w:line="249" w:lineRule="auto"/>
        <w:ind w:left="360" w:right="360" w:firstLine="0"/>
        <w:jc w:val="both"/>
        <w:rPr>
          <w:sz w:val="30"/>
        </w:rPr>
      </w:pPr>
      <w:r>
        <w:rPr>
          <w:sz w:val="30"/>
        </w:rPr>
        <w:t xml:space="preserve">“If </w:t>
      </w:r>
      <w:r>
        <w:rPr>
          <w:i/>
          <w:sz w:val="30"/>
        </w:rPr>
        <w:t>I believe that Smith’s behavior thwarted my desire for a relationship</w:t>
      </w:r>
      <w:r>
        <w:rPr>
          <w:i/>
          <w:spacing w:val="40"/>
          <w:sz w:val="30"/>
        </w:rPr>
        <w:t xml:space="preserve"> </w:t>
      </w:r>
      <w:r>
        <w:rPr>
          <w:i/>
          <w:sz w:val="30"/>
        </w:rPr>
        <w:t xml:space="preserve">in which certain rules were observed, </w:t>
      </w:r>
      <w:r>
        <w:rPr>
          <w:sz w:val="30"/>
        </w:rPr>
        <w:t>then I believe that Smith’s behavior thwarted at least one desire of mine.”</w:t>
      </w:r>
    </w:p>
    <w:p w14:paraId="7E002441" w14:textId="77777777" w:rsidR="009A58DB" w:rsidRDefault="009A58DB">
      <w:pPr>
        <w:pStyle w:val="ListParagraph"/>
        <w:spacing w:line="249" w:lineRule="auto"/>
        <w:jc w:val="both"/>
        <w:rPr>
          <w:sz w:val="30"/>
        </w:rPr>
        <w:sectPr w:rsidR="009A58DB">
          <w:pgSz w:w="12240" w:h="15840"/>
          <w:pgMar w:top="1740" w:right="1080" w:bottom="280" w:left="1080" w:header="720" w:footer="720" w:gutter="0"/>
          <w:cols w:space="720"/>
        </w:sectPr>
      </w:pPr>
    </w:p>
    <w:p w14:paraId="7E002442" w14:textId="77777777" w:rsidR="009A58DB" w:rsidRDefault="00000000">
      <w:pPr>
        <w:pStyle w:val="ListParagraph"/>
        <w:numPr>
          <w:ilvl w:val="0"/>
          <w:numId w:val="86"/>
        </w:numPr>
        <w:tabs>
          <w:tab w:val="left" w:pos="792"/>
        </w:tabs>
        <w:spacing w:before="65" w:line="249" w:lineRule="auto"/>
        <w:ind w:left="360" w:right="369" w:firstLine="0"/>
        <w:rPr>
          <w:sz w:val="30"/>
        </w:rPr>
      </w:pPr>
      <w:r>
        <w:rPr>
          <w:sz w:val="30"/>
        </w:rPr>
        <w:lastRenderedPageBreak/>
        <w:t>“If AAAARRR! [accompanied by you throwing a chair across the room], then I believe that Smith’s behavior thwarted at least one desire of mine.”</w:t>
      </w:r>
    </w:p>
    <w:p w14:paraId="7E002443" w14:textId="77777777" w:rsidR="009A58DB" w:rsidRDefault="009A58DB">
      <w:pPr>
        <w:pStyle w:val="BodyText"/>
        <w:spacing w:before="17"/>
        <w:ind w:left="0"/>
        <w:jc w:val="left"/>
      </w:pPr>
    </w:p>
    <w:p w14:paraId="7E002444" w14:textId="77777777" w:rsidR="009A58DB" w:rsidRDefault="00000000">
      <w:pPr>
        <w:pStyle w:val="BodyText"/>
        <w:spacing w:line="249" w:lineRule="auto"/>
        <w:ind w:right="358"/>
      </w:pPr>
      <w:r>
        <w:t>No it does not. A belief can be expressed in a lot of different ways. Your belief that 1 + 1 = 2 can be expressed by your choosing to buy certain stocks as opposed to others, by your deciding not to jog an extra mile in the rain, by your saying “1 + 1 = 2,” by your pounding your chest with pride (after it’s announced on television that your staggering mathematical insight was verified by M.I.T. mathematicians), and in any number of other ways. Similarly, your belief that Smith’s conduct thwarted your desire can be expressed by your uttering certain sentences (e.g., the underlined part of (1)), or by your throwing chairs and bellowing.</w:t>
      </w:r>
    </w:p>
    <w:p w14:paraId="7E002445" w14:textId="77777777" w:rsidR="009A58DB" w:rsidRDefault="00000000">
      <w:pPr>
        <w:pStyle w:val="BodyText"/>
        <w:spacing w:before="11" w:line="249" w:lineRule="auto"/>
        <w:ind w:right="359" w:firstLine="360"/>
      </w:pPr>
      <w:r>
        <w:t xml:space="preserve">Any given attitudes can be expressed in many different ways. One’s love for another is expressed in many ways; and the same is true of anything else that one might feel for a person or thing—hatred, admiration, contempt, fear, envy, respect, and so on. If, as I’m proposing, emotions are beliefs, they can be expressed through grammatical utterances and meaningless gesticulations and facial contortions. Which makes it obvious that Geach’s argument fails if emotions are beliefs. Which, in its turn, shows that it makes a strong, unargued, and probably false assumption. Which, finally, shows that it’s </w:t>
      </w:r>
      <w:r>
        <w:rPr>
          <w:spacing w:val="-2"/>
        </w:rPr>
        <w:t>spurious.</w:t>
      </w:r>
    </w:p>
    <w:p w14:paraId="7E00244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47" w14:textId="77777777" w:rsidR="009A58DB" w:rsidRDefault="00000000">
      <w:pPr>
        <w:spacing w:line="503" w:lineRule="exact"/>
        <w:ind w:left="326" w:right="332"/>
        <w:jc w:val="center"/>
        <w:rPr>
          <w:rFonts w:ascii="Calibri Light"/>
          <w:sz w:val="42"/>
        </w:rPr>
      </w:pPr>
      <w:bookmarkStart w:id="494" w:name="_bookmark494"/>
      <w:bookmarkEnd w:id="494"/>
      <w:r>
        <w:rPr>
          <w:rFonts w:ascii="Calibri Light"/>
          <w:sz w:val="42"/>
        </w:rPr>
        <w:lastRenderedPageBreak/>
        <w:t>Chapter</w:t>
      </w:r>
      <w:r>
        <w:rPr>
          <w:rFonts w:ascii="Calibri Light"/>
          <w:spacing w:val="56"/>
          <w:sz w:val="42"/>
        </w:rPr>
        <w:t xml:space="preserve"> </w:t>
      </w:r>
      <w:r>
        <w:rPr>
          <w:rFonts w:ascii="Calibri Light"/>
          <w:spacing w:val="-5"/>
          <w:sz w:val="42"/>
        </w:rPr>
        <w:t>21</w:t>
      </w:r>
    </w:p>
    <w:p w14:paraId="7E002448" w14:textId="77777777" w:rsidR="009A58DB" w:rsidRDefault="00000000">
      <w:pPr>
        <w:spacing w:before="222"/>
        <w:ind w:left="326" w:right="332"/>
        <w:jc w:val="center"/>
        <w:rPr>
          <w:rFonts w:ascii="Calibri Light"/>
          <w:sz w:val="42"/>
        </w:rPr>
      </w:pPr>
      <w:bookmarkStart w:id="495" w:name="_bookmark495"/>
      <w:bookmarkEnd w:id="495"/>
      <w:r>
        <w:rPr>
          <w:rFonts w:ascii="Calibri Light"/>
          <w:sz w:val="42"/>
        </w:rPr>
        <w:t>Moral</w:t>
      </w:r>
      <w:r>
        <w:rPr>
          <w:rFonts w:ascii="Calibri Light"/>
          <w:spacing w:val="56"/>
          <w:sz w:val="42"/>
        </w:rPr>
        <w:t xml:space="preserve"> </w:t>
      </w:r>
      <w:r>
        <w:rPr>
          <w:rFonts w:ascii="Calibri Light"/>
          <w:sz w:val="42"/>
        </w:rPr>
        <w:t>Conventionalism</w:t>
      </w:r>
      <w:r>
        <w:rPr>
          <w:rFonts w:ascii="Calibri Light"/>
          <w:spacing w:val="56"/>
          <w:sz w:val="42"/>
        </w:rPr>
        <w:t xml:space="preserve"> </w:t>
      </w:r>
      <w:r>
        <w:rPr>
          <w:rFonts w:ascii="Calibri Light"/>
          <w:sz w:val="42"/>
        </w:rPr>
        <w:t>and</w:t>
      </w:r>
      <w:r>
        <w:rPr>
          <w:rFonts w:ascii="Calibri Light"/>
          <w:spacing w:val="56"/>
          <w:sz w:val="42"/>
        </w:rPr>
        <w:t xml:space="preserve"> </w:t>
      </w:r>
      <w:r>
        <w:rPr>
          <w:rFonts w:ascii="Calibri Light"/>
          <w:sz w:val="42"/>
        </w:rPr>
        <w:t>Moral</w:t>
      </w:r>
      <w:r>
        <w:rPr>
          <w:rFonts w:ascii="Calibri Light"/>
          <w:spacing w:val="56"/>
          <w:sz w:val="42"/>
        </w:rPr>
        <w:t xml:space="preserve"> </w:t>
      </w:r>
      <w:r>
        <w:rPr>
          <w:rFonts w:ascii="Calibri Light"/>
          <w:spacing w:val="-2"/>
          <w:sz w:val="42"/>
        </w:rPr>
        <w:t>Nihilism</w:t>
      </w:r>
    </w:p>
    <w:p w14:paraId="7E002449" w14:textId="77777777" w:rsidR="009A58DB" w:rsidRDefault="00000000">
      <w:pPr>
        <w:pStyle w:val="BodyText"/>
        <w:spacing w:before="417" w:line="249" w:lineRule="auto"/>
        <w:ind w:right="360"/>
      </w:pPr>
      <w:r>
        <w:t>In this chapter, we will consider six arguments for the position that moral truths either don’t exist or do exist but only in some degraded sense.</w:t>
      </w:r>
    </w:p>
    <w:p w14:paraId="7E00244A" w14:textId="77777777" w:rsidR="009A58DB" w:rsidRDefault="009A58DB">
      <w:pPr>
        <w:pStyle w:val="BodyText"/>
        <w:spacing w:before="17"/>
        <w:ind w:left="0"/>
        <w:jc w:val="left"/>
      </w:pPr>
    </w:p>
    <w:p w14:paraId="7E00244B" w14:textId="77777777" w:rsidR="009A58DB" w:rsidRDefault="00000000">
      <w:pPr>
        <w:pStyle w:val="BodyText"/>
        <w:spacing w:before="1" w:line="249" w:lineRule="auto"/>
        <w:ind w:left="720" w:right="723"/>
      </w:pPr>
      <w:r>
        <w:rPr>
          <w:b/>
          <w:i/>
        </w:rPr>
        <w:t xml:space="preserve">Argument #1: </w:t>
      </w:r>
      <w:r>
        <w:t>It’s preposterous to suppose that there were any moral laws before there were people. Therefore, such laws, if they exist, are human creations—just like the laws created by a nation’s legislature. A nation’s laws are for its legislature to create and modify. Similarly, moral laws are for us to create and modify.</w:t>
      </w:r>
    </w:p>
    <w:p w14:paraId="7E00244C" w14:textId="77777777" w:rsidR="009A58DB" w:rsidRDefault="00000000">
      <w:pPr>
        <w:pStyle w:val="BodyText"/>
        <w:spacing w:before="6" w:line="249" w:lineRule="auto"/>
        <w:ind w:left="720" w:right="719" w:firstLine="360"/>
      </w:pPr>
      <w:r>
        <w:t>Whether an act is good or bad depends on what the laws of morality are. Thus, given that we create those laws, we decide what is good and what is bad. If polygamy is bad, it’s because we created a moral law prohibiting it. If it isn’t bad, it’s because we didn’t create such a law. It is therefore a matter of convention, not of fact, that keeping promises is good and having multiple spouses is bad.</w:t>
      </w:r>
    </w:p>
    <w:p w14:paraId="7E00244D" w14:textId="77777777" w:rsidR="009A58DB" w:rsidRDefault="009A58DB">
      <w:pPr>
        <w:pStyle w:val="BodyText"/>
        <w:spacing w:before="22"/>
        <w:ind w:left="0"/>
        <w:jc w:val="left"/>
      </w:pPr>
    </w:p>
    <w:p w14:paraId="7E00244E" w14:textId="77777777" w:rsidR="009A58DB" w:rsidRDefault="00000000">
      <w:pPr>
        <w:pStyle w:val="BodyText"/>
        <w:spacing w:line="249" w:lineRule="auto"/>
        <w:ind w:right="360"/>
      </w:pPr>
      <w:r>
        <w:rPr>
          <w:b/>
          <w:i/>
        </w:rPr>
        <w:t xml:space="preserve">Analysis of argument #1 </w:t>
      </w:r>
      <w:r>
        <w:t xml:space="preserve">For argument’s sake, let’s suppose that, just as the argument says, there were no moral laws before there were human beings (or intelligent beings of some other kind). It doesn’t follow that human beings </w:t>
      </w:r>
      <w:r>
        <w:rPr>
          <w:i/>
        </w:rPr>
        <w:t xml:space="preserve">created </w:t>
      </w:r>
      <w:r>
        <w:t>them; nor does it follow that morality is in any way a matter of opinion. There are biological (anatomical, physiological) truths about people; and there were obviously no such truths before there were people. But biological truth isn’t “relative” or “subjective” or anything of the sort.</w:t>
      </w:r>
    </w:p>
    <w:p w14:paraId="7E00244F" w14:textId="77777777" w:rsidR="009A58DB" w:rsidRDefault="00000000">
      <w:pPr>
        <w:pStyle w:val="BodyText"/>
        <w:spacing w:before="9" w:line="249" w:lineRule="auto"/>
        <w:ind w:right="358" w:firstLine="360"/>
      </w:pPr>
      <w:r>
        <w:t>But the parallel between morality and human biology goes much deeper than this. We come into this world with biological and psychological structures that, although capable of being changed within certain narrow limits, are otherwise quite fixed. These structures being what they are, we are easily damaged and we also need certain things to flourish. Morality is to be understood</w:t>
      </w:r>
      <w:r>
        <w:rPr>
          <w:spacing w:val="-2"/>
        </w:rPr>
        <w:t xml:space="preserve"> </w:t>
      </w:r>
      <w:r>
        <w:t>in</w:t>
      </w:r>
      <w:r>
        <w:rPr>
          <w:spacing w:val="-1"/>
        </w:rPr>
        <w:t xml:space="preserve"> </w:t>
      </w:r>
      <w:r>
        <w:t>terms</w:t>
      </w:r>
      <w:r>
        <w:rPr>
          <w:spacing w:val="-2"/>
        </w:rPr>
        <w:t xml:space="preserve"> </w:t>
      </w:r>
      <w:r>
        <w:t>of</w:t>
      </w:r>
      <w:r>
        <w:rPr>
          <w:spacing w:val="-1"/>
        </w:rPr>
        <w:t xml:space="preserve"> </w:t>
      </w:r>
      <w:r>
        <w:t>these</w:t>
      </w:r>
      <w:r>
        <w:rPr>
          <w:spacing w:val="-2"/>
        </w:rPr>
        <w:t xml:space="preserve"> </w:t>
      </w:r>
      <w:r>
        <w:t>needs</w:t>
      </w:r>
      <w:r>
        <w:rPr>
          <w:spacing w:val="-1"/>
        </w:rPr>
        <w:t xml:space="preserve"> </w:t>
      </w:r>
      <w:r>
        <w:t>of</w:t>
      </w:r>
      <w:r>
        <w:rPr>
          <w:spacing w:val="-1"/>
        </w:rPr>
        <w:t xml:space="preserve"> </w:t>
      </w:r>
      <w:r>
        <w:t>ours:</w:t>
      </w:r>
      <w:r>
        <w:rPr>
          <w:spacing w:val="-2"/>
        </w:rPr>
        <w:t xml:space="preserve"> </w:t>
      </w:r>
      <w:r>
        <w:t>it</w:t>
      </w:r>
      <w:r>
        <w:rPr>
          <w:spacing w:val="-1"/>
        </w:rPr>
        <w:t xml:space="preserve"> </w:t>
      </w:r>
      <w:r>
        <w:t>is</w:t>
      </w:r>
      <w:r>
        <w:rPr>
          <w:spacing w:val="-2"/>
        </w:rPr>
        <w:t xml:space="preserve"> </w:t>
      </w:r>
      <w:r>
        <w:t>fixed</w:t>
      </w:r>
      <w:r>
        <w:rPr>
          <w:spacing w:val="-1"/>
        </w:rPr>
        <w:t xml:space="preserve"> </w:t>
      </w:r>
      <w:r>
        <w:t>by</w:t>
      </w:r>
      <w:r>
        <w:rPr>
          <w:spacing w:val="-2"/>
        </w:rPr>
        <w:t xml:space="preserve"> </w:t>
      </w:r>
      <w:r>
        <w:t>them.</w:t>
      </w:r>
      <w:r>
        <w:rPr>
          <w:spacing w:val="-1"/>
        </w:rPr>
        <w:t xml:space="preserve"> </w:t>
      </w:r>
      <w:r>
        <w:t>What</w:t>
      </w:r>
      <w:r>
        <w:rPr>
          <w:spacing w:val="-1"/>
        </w:rPr>
        <w:t xml:space="preserve"> </w:t>
      </w:r>
      <w:r>
        <w:t>damages us is immoral, and so is what prevents us from flourishing. What heals us is moral, and so is what facilitates our flourishing.</w:t>
      </w:r>
    </w:p>
    <w:p w14:paraId="7E002450"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451" w14:textId="77777777" w:rsidR="009A58DB" w:rsidRDefault="00000000">
      <w:pPr>
        <w:pStyle w:val="BodyText"/>
        <w:spacing w:before="65" w:line="249" w:lineRule="auto"/>
        <w:ind w:right="362" w:firstLine="360"/>
      </w:pPr>
      <w:r>
        <w:lastRenderedPageBreak/>
        <w:t xml:space="preserve">Moral truths </w:t>
      </w:r>
      <w:r>
        <w:rPr>
          <w:b/>
          <w:i/>
        </w:rPr>
        <w:t xml:space="preserve">supervene </w:t>
      </w:r>
      <w:r>
        <w:t>on psychological and biological truths. Two situations that are identical in respect of their non-moral (descriptive) characteristics cannot possibly differ in respect of their moral characteristics.</w:t>
      </w:r>
    </w:p>
    <w:p w14:paraId="7E002452" w14:textId="77777777" w:rsidR="009A58DB" w:rsidRDefault="00000000">
      <w:pPr>
        <w:pStyle w:val="BodyText"/>
        <w:spacing w:before="3" w:line="249" w:lineRule="auto"/>
        <w:ind w:right="362"/>
      </w:pPr>
      <w:bookmarkStart w:id="496" w:name="_bookmark496"/>
      <w:bookmarkEnd w:id="496"/>
      <w:r>
        <w:rPr>
          <w:color w:val="0562C1"/>
          <w:position w:val="21"/>
          <w:u w:val="single" w:color="0562C1"/>
        </w:rPr>
        <w:t>[368]</w:t>
      </w:r>
      <w:r>
        <w:rPr>
          <w:color w:val="0562C1"/>
          <w:position w:val="21"/>
        </w:rPr>
        <w:t xml:space="preserve"> </w:t>
      </w:r>
      <w:r>
        <w:t xml:space="preserve">Once the physical, physiological, and psychological facts are fixed, so are the moral facts. This strongly suggests that </w:t>
      </w:r>
      <w:r>
        <w:rPr>
          <w:i/>
        </w:rPr>
        <w:t xml:space="preserve">are </w:t>
      </w:r>
      <w:r>
        <w:t xml:space="preserve">psychological and biological truths—that they are truths to the effect that certain things will damage people and others will augment them. (So far as it’s moral to damage people, it’s </w:t>
      </w:r>
      <w:r>
        <w:rPr>
          <w:i/>
        </w:rPr>
        <w:t>only</w:t>
      </w:r>
      <w:r>
        <w:rPr>
          <w:i/>
          <w:spacing w:val="-4"/>
        </w:rPr>
        <w:t xml:space="preserve"> </w:t>
      </w:r>
      <w:r>
        <w:t>to the extent that doing so is necessary to prevent them from being damaged in some more significant way.)</w:t>
      </w:r>
    </w:p>
    <w:p w14:paraId="7E002453" w14:textId="77777777" w:rsidR="009A58DB" w:rsidRDefault="00000000">
      <w:pPr>
        <w:pStyle w:val="BodyText"/>
        <w:spacing w:before="8"/>
        <w:ind w:left="720"/>
      </w:pPr>
      <w:r>
        <w:t>There</w:t>
      </w:r>
      <w:r>
        <w:rPr>
          <w:spacing w:val="-6"/>
        </w:rPr>
        <w:t xml:space="preserve"> </w:t>
      </w:r>
      <w:r>
        <w:t>are,</w:t>
      </w:r>
      <w:r>
        <w:rPr>
          <w:spacing w:val="-4"/>
        </w:rPr>
        <w:t xml:space="preserve"> </w:t>
      </w:r>
      <w:r>
        <w:t>of</w:t>
      </w:r>
      <w:r>
        <w:rPr>
          <w:spacing w:val="-3"/>
        </w:rPr>
        <w:t xml:space="preserve"> </w:t>
      </w:r>
      <w:r>
        <w:t>course,</w:t>
      </w:r>
      <w:r>
        <w:rPr>
          <w:spacing w:val="-4"/>
        </w:rPr>
        <w:t xml:space="preserve"> </w:t>
      </w:r>
      <w:r>
        <w:t>different</w:t>
      </w:r>
      <w:r>
        <w:rPr>
          <w:spacing w:val="-4"/>
        </w:rPr>
        <w:t xml:space="preserve"> </w:t>
      </w:r>
      <w:r>
        <w:t>views</w:t>
      </w:r>
      <w:r>
        <w:rPr>
          <w:spacing w:val="-3"/>
        </w:rPr>
        <w:t xml:space="preserve"> </w:t>
      </w:r>
      <w:r>
        <w:t>as</w:t>
      </w:r>
      <w:r>
        <w:rPr>
          <w:spacing w:val="-4"/>
        </w:rPr>
        <w:t xml:space="preserve"> </w:t>
      </w:r>
      <w:r>
        <w:t>to</w:t>
      </w:r>
      <w:r>
        <w:rPr>
          <w:spacing w:val="-4"/>
        </w:rPr>
        <w:t xml:space="preserve"> </w:t>
      </w:r>
      <w:r>
        <w:t>what</w:t>
      </w:r>
      <w:r>
        <w:rPr>
          <w:spacing w:val="-4"/>
        </w:rPr>
        <w:t xml:space="preserve"> </w:t>
      </w:r>
      <w:r>
        <w:t>constitutes</w:t>
      </w:r>
      <w:r>
        <w:rPr>
          <w:spacing w:val="-3"/>
        </w:rPr>
        <w:t xml:space="preserve"> </w:t>
      </w:r>
      <w:r>
        <w:rPr>
          <w:spacing w:val="-2"/>
        </w:rPr>
        <w:t>morality.</w:t>
      </w:r>
    </w:p>
    <w:p w14:paraId="7E002454" w14:textId="77777777" w:rsidR="009A58DB" w:rsidRDefault="00000000">
      <w:pPr>
        <w:pStyle w:val="BodyText"/>
        <w:spacing w:before="15" w:line="249" w:lineRule="auto"/>
        <w:ind w:right="361" w:firstLine="360"/>
      </w:pPr>
      <w:r>
        <w:t>Given the fact that, at their core, human biology and psychology are relatively</w:t>
      </w:r>
      <w:r>
        <w:rPr>
          <w:spacing w:val="-1"/>
        </w:rPr>
        <w:t xml:space="preserve"> </w:t>
      </w:r>
      <w:r>
        <w:t>invariant,</w:t>
      </w:r>
      <w:r>
        <w:rPr>
          <w:spacing w:val="-1"/>
        </w:rPr>
        <w:t xml:space="preserve"> </w:t>
      </w:r>
      <w:r>
        <w:t>the</w:t>
      </w:r>
      <w:r>
        <w:rPr>
          <w:spacing w:val="-1"/>
        </w:rPr>
        <w:t xml:space="preserve"> </w:t>
      </w:r>
      <w:r>
        <w:t>fact</w:t>
      </w:r>
      <w:r>
        <w:rPr>
          <w:spacing w:val="-1"/>
        </w:rPr>
        <w:t xml:space="preserve"> </w:t>
      </w:r>
      <w:r>
        <w:t>that</w:t>
      </w:r>
      <w:r>
        <w:rPr>
          <w:spacing w:val="-1"/>
        </w:rPr>
        <w:t xml:space="preserve"> </w:t>
      </w:r>
      <w:r>
        <w:t>there</w:t>
      </w:r>
      <w:r>
        <w:rPr>
          <w:spacing w:val="-1"/>
        </w:rPr>
        <w:t xml:space="preserve"> </w:t>
      </w:r>
      <w:r>
        <w:t>are</w:t>
      </w:r>
      <w:r>
        <w:rPr>
          <w:spacing w:val="-1"/>
        </w:rPr>
        <w:t xml:space="preserve"> </w:t>
      </w:r>
      <w:r>
        <w:t>many</w:t>
      </w:r>
      <w:r>
        <w:rPr>
          <w:spacing w:val="-1"/>
        </w:rPr>
        <w:t xml:space="preserve"> </w:t>
      </w:r>
      <w:r>
        <w:t>different</w:t>
      </w:r>
      <w:r>
        <w:rPr>
          <w:spacing w:val="-1"/>
        </w:rPr>
        <w:t xml:space="preserve"> </w:t>
      </w:r>
      <w:r>
        <w:t>ethical</w:t>
      </w:r>
      <w:r>
        <w:rPr>
          <w:spacing w:val="-1"/>
        </w:rPr>
        <w:t xml:space="preserve"> </w:t>
      </w:r>
      <w:r>
        <w:t>systems</w:t>
      </w:r>
      <w:r>
        <w:rPr>
          <w:spacing w:val="-1"/>
        </w:rPr>
        <w:t xml:space="preserve"> </w:t>
      </w:r>
      <w:r>
        <w:t xml:space="preserve">calls into question my contention that morality is fixed by facts about our biology and psychology. And the fact that many of these moral codes are punitive, both to their own adherents </w:t>
      </w:r>
      <w:r>
        <w:rPr>
          <w:i/>
        </w:rPr>
        <w:t xml:space="preserve">and </w:t>
      </w:r>
      <w:r>
        <w:t xml:space="preserve">to those who are on the receiving end of the conduct of their adherents, casts further doubt on the viability of my </w:t>
      </w:r>
      <w:r>
        <w:rPr>
          <w:spacing w:val="-2"/>
        </w:rPr>
        <w:t>contention.</w:t>
      </w:r>
    </w:p>
    <w:p w14:paraId="7E002455" w14:textId="77777777" w:rsidR="009A58DB" w:rsidRDefault="00000000">
      <w:pPr>
        <w:pStyle w:val="BodyText"/>
        <w:spacing w:before="8" w:line="249" w:lineRule="auto"/>
        <w:ind w:right="361" w:firstLine="360"/>
      </w:pPr>
      <w:r>
        <w:t xml:space="preserve">But given only that there different views as to what is moral, it doesn’t follow that all of them are right. Some of them seem quite wrong. The Nazis had a moral code. It was a bad one; the ethical precepts it embodied were false. Many other moral codes are bad and, therefore, embody false ethical precepts. As for the fact that many moral codes are punitive (in the double-edged way just described), that is easily reconciled with my thesis. Left to his own devices, the individual behaves in ways that are radically anti-social. Therefore, a non-restrictive, non-punitive moral code is one that gives people no protection against their brethren and that therefore fails of its purpose. As for the fact that some moral codes are </w:t>
      </w:r>
      <w:r>
        <w:rPr>
          <w:i/>
        </w:rPr>
        <w:t xml:space="preserve">more </w:t>
      </w:r>
      <w:r>
        <w:t>punitive than they have to be,</w:t>
      </w:r>
      <w:r>
        <w:rPr>
          <w:spacing w:val="40"/>
        </w:rPr>
        <w:t xml:space="preserve"> </w:t>
      </w:r>
      <w:r>
        <w:t>that is easily explained in terms of the fact that moral censure is one of the outlets for aggression and antipathy that doesn’t jeopardize the social order.</w:t>
      </w:r>
    </w:p>
    <w:p w14:paraId="7E00245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57" w14:textId="77777777" w:rsidR="009A58DB" w:rsidRDefault="00000000">
      <w:pPr>
        <w:pStyle w:val="BodyText"/>
        <w:spacing w:before="65" w:line="249" w:lineRule="auto"/>
        <w:ind w:right="359" w:firstLine="360"/>
      </w:pPr>
      <w:r>
        <w:lastRenderedPageBreak/>
        <w:t xml:space="preserve">We have both moral and also strategic obligations to </w:t>
      </w:r>
      <w:r>
        <w:rPr>
          <w:i/>
        </w:rPr>
        <w:t xml:space="preserve">tolerate </w:t>
      </w:r>
      <w:r>
        <w:t>different moral views. Given only that individual (or nation or culture) X has an excellent</w:t>
      </w:r>
      <w:r>
        <w:rPr>
          <w:spacing w:val="-2"/>
        </w:rPr>
        <w:t xml:space="preserve"> </w:t>
      </w:r>
      <w:r>
        <w:t>moral</w:t>
      </w:r>
      <w:r>
        <w:rPr>
          <w:spacing w:val="-2"/>
        </w:rPr>
        <w:t xml:space="preserve"> </w:t>
      </w:r>
      <w:r>
        <w:t>code</w:t>
      </w:r>
      <w:r>
        <w:rPr>
          <w:spacing w:val="-2"/>
        </w:rPr>
        <w:t xml:space="preserve"> </w:t>
      </w:r>
      <w:r>
        <w:t>and</w:t>
      </w:r>
      <w:r>
        <w:rPr>
          <w:spacing w:val="-2"/>
        </w:rPr>
        <w:t xml:space="preserve"> </w:t>
      </w:r>
      <w:r>
        <w:t>Y</w:t>
      </w:r>
      <w:r>
        <w:rPr>
          <w:spacing w:val="-2"/>
        </w:rPr>
        <w:t xml:space="preserve"> </w:t>
      </w:r>
      <w:r>
        <w:t>has</w:t>
      </w:r>
      <w:r>
        <w:rPr>
          <w:spacing w:val="-2"/>
        </w:rPr>
        <w:t xml:space="preserve"> </w:t>
      </w:r>
      <w:r>
        <w:t>a</w:t>
      </w:r>
      <w:r>
        <w:rPr>
          <w:spacing w:val="-2"/>
        </w:rPr>
        <w:t xml:space="preserve"> </w:t>
      </w:r>
      <w:r>
        <w:t>bad</w:t>
      </w:r>
      <w:r>
        <w:rPr>
          <w:spacing w:val="-2"/>
        </w:rPr>
        <w:t xml:space="preserve"> </w:t>
      </w:r>
      <w:r>
        <w:t>moral</w:t>
      </w:r>
      <w:r>
        <w:rPr>
          <w:spacing w:val="-2"/>
        </w:rPr>
        <w:t xml:space="preserve"> </w:t>
      </w:r>
      <w:r>
        <w:t>code,</w:t>
      </w:r>
      <w:r>
        <w:rPr>
          <w:spacing w:val="-2"/>
        </w:rPr>
        <w:t xml:space="preserve"> </w:t>
      </w:r>
      <w:r>
        <w:t>it</w:t>
      </w:r>
      <w:r>
        <w:rPr>
          <w:spacing w:val="-2"/>
        </w:rPr>
        <w:t xml:space="preserve"> </w:t>
      </w:r>
      <w:r>
        <w:t>doesn’t</w:t>
      </w:r>
      <w:r>
        <w:rPr>
          <w:spacing w:val="-2"/>
        </w:rPr>
        <w:t xml:space="preserve"> </w:t>
      </w:r>
      <w:r>
        <w:t>follow</w:t>
      </w:r>
      <w:r>
        <w:rPr>
          <w:spacing w:val="-2"/>
        </w:rPr>
        <w:t xml:space="preserve"> </w:t>
      </w:r>
      <w:r>
        <w:t>that</w:t>
      </w:r>
      <w:r>
        <w:rPr>
          <w:spacing w:val="-2"/>
        </w:rPr>
        <w:t xml:space="preserve"> </w:t>
      </w:r>
      <w:r>
        <w:t>X</w:t>
      </w:r>
      <w:r>
        <w:rPr>
          <w:spacing w:val="-2"/>
        </w:rPr>
        <w:t xml:space="preserve"> </w:t>
      </w:r>
      <w:r>
        <w:t>can force his moral code on Y; it doesn’t follow that X has the right to intercede in Y’s affairs. For it may be that the damage done to people by intervening in their affairs is greater than the damage that such an intervention would prevent. If we launch a wholesale invasion on a country, so as to prevent its otherwise superb president from being mean to his children, we’ll do more harm than good; and what we’re doing is immoral, even if, thanks to it, the president’s children are never again mistreated.</w:t>
      </w:r>
    </w:p>
    <w:p w14:paraId="7E002458" w14:textId="77777777" w:rsidR="009A58DB" w:rsidRDefault="00000000">
      <w:pPr>
        <w:pStyle w:val="BodyText"/>
        <w:spacing w:before="12" w:line="249" w:lineRule="auto"/>
        <w:ind w:right="359" w:firstLine="360"/>
      </w:pPr>
      <w:r>
        <w:t>There’s another reason why it can be immoral to be intolerant of what is immoral. People can’t flourish without having a certain amount of freedom. Therefore, it is wrong to inhibit other people’s freedom (except in so far as such abridgments are necessary to prevent other, greater ones). Were X to force its moral views on Y, the resulting abridgment of Y’s freedom might be more immoral than the misbehavior on Y’s part that it was X’s intention to stop. And in that case, X’s intervention would be immoral, even though Y’s moral code was itself immoral.</w:t>
      </w:r>
    </w:p>
    <w:p w14:paraId="7E002459" w14:textId="77777777" w:rsidR="009A58DB" w:rsidRDefault="00000000">
      <w:pPr>
        <w:spacing w:before="10" w:line="249" w:lineRule="auto"/>
        <w:ind w:left="360" w:right="369" w:firstLine="360"/>
        <w:jc w:val="both"/>
        <w:rPr>
          <w:sz w:val="30"/>
        </w:rPr>
      </w:pPr>
      <w:r>
        <w:rPr>
          <w:b/>
          <w:i/>
          <w:sz w:val="30"/>
        </w:rPr>
        <w:t xml:space="preserve">Moral principles as conditional truths </w:t>
      </w:r>
      <w:r>
        <w:rPr>
          <w:sz w:val="30"/>
        </w:rPr>
        <w:t>Thus, far we’ve conceded to Argument #1 that moral truths don’t pre-exist human beings. But there’s no need to make that concession.</w:t>
      </w:r>
    </w:p>
    <w:p w14:paraId="7E00245A" w14:textId="77777777" w:rsidR="009A58DB" w:rsidRDefault="00000000">
      <w:pPr>
        <w:pStyle w:val="BodyText"/>
        <w:spacing w:before="3" w:line="249" w:lineRule="auto"/>
        <w:ind w:right="360" w:firstLine="360"/>
      </w:pPr>
      <w:r>
        <w:t xml:space="preserve">Let “PBS” be our short-hand way of referring to our psychological-biological structure. Moral principles can be seen as being to the effect that </w:t>
      </w:r>
      <w:r>
        <w:rPr>
          <w:i/>
        </w:rPr>
        <w:t xml:space="preserve">if </w:t>
      </w:r>
      <w:r>
        <w:t xml:space="preserve">there were creatures having PBS, </w:t>
      </w:r>
      <w:r>
        <w:rPr>
          <w:i/>
        </w:rPr>
        <w:t xml:space="preserve">then </w:t>
      </w:r>
      <w:r>
        <w:t>it would follow that treating those creatures in certain ways would be wrong while treating them in certain other ways would be right.</w:t>
      </w:r>
    </w:p>
    <w:p w14:paraId="7E00245B" w14:textId="77777777" w:rsidR="009A58DB" w:rsidRDefault="00000000">
      <w:pPr>
        <w:pStyle w:val="BodyText"/>
        <w:spacing w:before="7" w:line="249" w:lineRule="auto"/>
        <w:ind w:right="359" w:firstLine="360"/>
      </w:pPr>
      <w:r>
        <w:t>Suppose that strange evolutionary turn creates creatures that, although not biologically human, are friendly and are capable of connecting with human beings</w:t>
      </w:r>
      <w:r>
        <w:rPr>
          <w:spacing w:val="-2"/>
        </w:rPr>
        <w:t xml:space="preserve"> </w:t>
      </w:r>
      <w:r>
        <w:t>in</w:t>
      </w:r>
      <w:r>
        <w:rPr>
          <w:spacing w:val="-2"/>
        </w:rPr>
        <w:t xml:space="preserve"> </w:t>
      </w:r>
      <w:r>
        <w:t>an</w:t>
      </w:r>
      <w:r>
        <w:rPr>
          <w:spacing w:val="-2"/>
        </w:rPr>
        <w:t xml:space="preserve"> </w:t>
      </w:r>
      <w:r>
        <w:t>emotionally</w:t>
      </w:r>
      <w:r>
        <w:rPr>
          <w:spacing w:val="-2"/>
        </w:rPr>
        <w:t xml:space="preserve"> </w:t>
      </w:r>
      <w:r>
        <w:t>meaningful</w:t>
      </w:r>
      <w:r>
        <w:rPr>
          <w:spacing w:val="-2"/>
        </w:rPr>
        <w:t xml:space="preserve"> </w:t>
      </w:r>
      <w:r>
        <w:t>way</w:t>
      </w:r>
      <w:r>
        <w:rPr>
          <w:spacing w:val="-2"/>
        </w:rPr>
        <w:t xml:space="preserve"> </w:t>
      </w:r>
      <w:r>
        <w:t>(e.g.,</w:t>
      </w:r>
      <w:r>
        <w:rPr>
          <w:spacing w:val="-2"/>
        </w:rPr>
        <w:t xml:space="preserve"> </w:t>
      </w:r>
      <w:r>
        <w:t>they</w:t>
      </w:r>
      <w:r>
        <w:rPr>
          <w:spacing w:val="-2"/>
        </w:rPr>
        <w:t xml:space="preserve"> </w:t>
      </w:r>
      <w:r>
        <w:t>would</w:t>
      </w:r>
      <w:r>
        <w:rPr>
          <w:spacing w:val="-2"/>
        </w:rPr>
        <w:t xml:space="preserve"> </w:t>
      </w:r>
      <w:r>
        <w:t>care</w:t>
      </w:r>
      <w:r>
        <w:rPr>
          <w:spacing w:val="-2"/>
        </w:rPr>
        <w:t xml:space="preserve"> </w:t>
      </w:r>
      <w:r>
        <w:t>about</w:t>
      </w:r>
      <w:r>
        <w:rPr>
          <w:spacing w:val="-2"/>
        </w:rPr>
        <w:t xml:space="preserve"> </w:t>
      </w:r>
      <w:r>
        <w:t xml:space="preserve">people, come to trust them, etc.). Even, so far as we know, though such creatures do not </w:t>
      </w:r>
      <w:r>
        <w:rPr>
          <w:i/>
        </w:rPr>
        <w:t xml:space="preserve">now </w:t>
      </w:r>
      <w:r>
        <w:t xml:space="preserve">exist, we know that it </w:t>
      </w:r>
      <w:r>
        <w:rPr>
          <w:i/>
        </w:rPr>
        <w:t xml:space="preserve">would </w:t>
      </w:r>
      <w:r>
        <w:t xml:space="preserve">be wrong to cause them unnecessary suffering; we know that it </w:t>
      </w:r>
      <w:r>
        <w:rPr>
          <w:i/>
        </w:rPr>
        <w:t xml:space="preserve">would </w:t>
      </w:r>
      <w:r>
        <w:t>be wrong to alter the condition of such a creature in a painful or damaging way.</w:t>
      </w:r>
    </w:p>
    <w:p w14:paraId="7E00245C" w14:textId="77777777" w:rsidR="009A58DB" w:rsidRDefault="00000000">
      <w:pPr>
        <w:spacing w:before="8" w:line="249" w:lineRule="auto"/>
        <w:ind w:left="360" w:right="365" w:firstLine="360"/>
        <w:jc w:val="both"/>
        <w:rPr>
          <w:sz w:val="30"/>
        </w:rPr>
      </w:pPr>
      <w:r>
        <w:rPr>
          <w:sz w:val="30"/>
        </w:rPr>
        <w:t xml:space="preserve">By the same token, enslaving human beings was wrong </w:t>
      </w:r>
      <w:r>
        <w:rPr>
          <w:i/>
          <w:sz w:val="30"/>
        </w:rPr>
        <w:t>even before there were</w:t>
      </w:r>
      <w:r>
        <w:rPr>
          <w:i/>
          <w:spacing w:val="62"/>
          <w:sz w:val="30"/>
        </w:rPr>
        <w:t xml:space="preserve"> </w:t>
      </w:r>
      <w:r>
        <w:rPr>
          <w:i/>
          <w:sz w:val="30"/>
        </w:rPr>
        <w:t>people.</w:t>
      </w:r>
      <w:r>
        <w:rPr>
          <w:i/>
          <w:spacing w:val="64"/>
          <w:sz w:val="30"/>
        </w:rPr>
        <w:t xml:space="preserve"> </w:t>
      </w:r>
      <w:r>
        <w:rPr>
          <w:sz w:val="30"/>
        </w:rPr>
        <w:t>The</w:t>
      </w:r>
      <w:r>
        <w:rPr>
          <w:spacing w:val="70"/>
          <w:sz w:val="30"/>
        </w:rPr>
        <w:t xml:space="preserve"> </w:t>
      </w:r>
      <w:r>
        <w:rPr>
          <w:sz w:val="30"/>
        </w:rPr>
        <w:t>principle</w:t>
      </w:r>
      <w:r>
        <w:rPr>
          <w:spacing w:val="70"/>
          <w:sz w:val="30"/>
        </w:rPr>
        <w:t xml:space="preserve"> </w:t>
      </w:r>
      <w:r>
        <w:rPr>
          <w:sz w:val="30"/>
        </w:rPr>
        <w:t>that</w:t>
      </w:r>
      <w:r>
        <w:rPr>
          <w:spacing w:val="70"/>
          <w:sz w:val="30"/>
        </w:rPr>
        <w:t xml:space="preserve"> </w:t>
      </w:r>
      <w:r>
        <w:rPr>
          <w:sz w:val="30"/>
        </w:rPr>
        <w:t>enslaving</w:t>
      </w:r>
      <w:r>
        <w:rPr>
          <w:spacing w:val="70"/>
          <w:sz w:val="30"/>
        </w:rPr>
        <w:t xml:space="preserve"> </w:t>
      </w:r>
      <w:r>
        <w:rPr>
          <w:sz w:val="30"/>
        </w:rPr>
        <w:t>another</w:t>
      </w:r>
      <w:r>
        <w:rPr>
          <w:spacing w:val="70"/>
          <w:sz w:val="30"/>
        </w:rPr>
        <w:t xml:space="preserve"> </w:t>
      </w:r>
      <w:r>
        <w:rPr>
          <w:sz w:val="30"/>
        </w:rPr>
        <w:t>person</w:t>
      </w:r>
      <w:r>
        <w:rPr>
          <w:spacing w:val="70"/>
          <w:sz w:val="30"/>
        </w:rPr>
        <w:t xml:space="preserve"> </w:t>
      </w:r>
      <w:r>
        <w:rPr>
          <w:sz w:val="30"/>
        </w:rPr>
        <w:t>is</w:t>
      </w:r>
      <w:r>
        <w:rPr>
          <w:spacing w:val="70"/>
          <w:sz w:val="30"/>
        </w:rPr>
        <w:t xml:space="preserve"> </w:t>
      </w:r>
      <w:r>
        <w:rPr>
          <w:sz w:val="30"/>
        </w:rPr>
        <w:t>wrong.</w:t>
      </w:r>
      <w:r>
        <w:rPr>
          <w:spacing w:val="71"/>
          <w:sz w:val="30"/>
        </w:rPr>
        <w:t xml:space="preserve"> </w:t>
      </w:r>
      <w:r>
        <w:rPr>
          <w:spacing w:val="-4"/>
          <w:sz w:val="30"/>
        </w:rPr>
        <w:t>That</w:t>
      </w:r>
    </w:p>
    <w:p w14:paraId="7E00245D" w14:textId="77777777" w:rsidR="009A58DB" w:rsidRDefault="009A58DB">
      <w:pPr>
        <w:spacing w:line="249" w:lineRule="auto"/>
        <w:jc w:val="both"/>
        <w:rPr>
          <w:sz w:val="30"/>
        </w:rPr>
        <w:sectPr w:rsidR="009A58DB">
          <w:pgSz w:w="12240" w:h="15840"/>
          <w:pgMar w:top="1740" w:right="1080" w:bottom="280" w:left="1080" w:header="720" w:footer="720" w:gutter="0"/>
          <w:cols w:space="720"/>
        </w:sectPr>
      </w:pPr>
    </w:p>
    <w:p w14:paraId="7E00245E" w14:textId="77777777" w:rsidR="009A58DB" w:rsidRDefault="00000000">
      <w:pPr>
        <w:pStyle w:val="BodyText"/>
        <w:spacing w:before="65" w:line="249" w:lineRule="auto"/>
        <w:ind w:right="368"/>
      </w:pPr>
      <w:r>
        <w:lastRenderedPageBreak/>
        <w:t xml:space="preserve">principle can be seen to the effect that, </w:t>
      </w:r>
      <w:r>
        <w:rPr>
          <w:i/>
        </w:rPr>
        <w:t xml:space="preserve">if </w:t>
      </w:r>
      <w:r>
        <w:t>there are entities with PBS, they shouldn’t be enslaved.</w:t>
      </w:r>
    </w:p>
    <w:p w14:paraId="7E00245F" w14:textId="77777777" w:rsidR="009A58DB" w:rsidRDefault="00000000">
      <w:pPr>
        <w:pStyle w:val="BodyText"/>
        <w:spacing w:before="2" w:line="249" w:lineRule="auto"/>
        <w:ind w:right="362" w:firstLine="360"/>
      </w:pPr>
      <w:r>
        <w:t>Hypothetical truths hold of whether or not either the antecedent or the consequent is true. Even if Smith has no money, it’s true that “</w:t>
      </w:r>
      <w:r>
        <w:rPr>
          <w:i/>
        </w:rPr>
        <w:t>if</w:t>
      </w:r>
      <w:r>
        <w:rPr>
          <w:i/>
          <w:spacing w:val="-3"/>
        </w:rPr>
        <w:t xml:space="preserve"> </w:t>
      </w:r>
      <w:r>
        <w:t xml:space="preserve">Smith has a million dollars, </w:t>
      </w:r>
      <w:r>
        <w:rPr>
          <w:i/>
        </w:rPr>
        <w:t>then</w:t>
      </w:r>
      <w:r>
        <w:rPr>
          <w:i/>
          <w:spacing w:val="-3"/>
        </w:rPr>
        <w:t xml:space="preserve"> </w:t>
      </w:r>
      <w:r>
        <w:t>he has more than twenty dollars.” So while it’s true that, before there were people, the antecedent of (e.g.) ‘</w:t>
      </w:r>
      <w:r>
        <w:rPr>
          <w:i/>
        </w:rPr>
        <w:t xml:space="preserve">if </w:t>
      </w:r>
      <w:r>
        <w:t>there are people, they shouldn’t enslave one another’ was false, it doesn’t follow that the whole hypothetical was false.</w:t>
      </w:r>
    </w:p>
    <w:p w14:paraId="7E002460" w14:textId="77777777" w:rsidR="009A58DB" w:rsidRDefault="00000000">
      <w:pPr>
        <w:pStyle w:val="BodyText"/>
        <w:spacing w:before="7" w:line="249" w:lineRule="auto"/>
        <w:ind w:right="359" w:firstLine="360"/>
      </w:pPr>
      <w:r>
        <w:t>It may seem strange to say that, before there were people, there would be truths, even hypothetical ones, about them. But this feeling is totally unfounded. Many hypothetical truths concern things that not only don’t exist but, for reasons of physical law, couldn’t possibly exist, for reasons of physical law. Consider the statement:</w:t>
      </w:r>
    </w:p>
    <w:p w14:paraId="7E002461" w14:textId="77777777" w:rsidR="009A58DB" w:rsidRDefault="00000000">
      <w:pPr>
        <w:pStyle w:val="BodyText"/>
        <w:spacing w:before="7" w:line="249" w:lineRule="auto"/>
        <w:ind w:right="361" w:firstLine="360"/>
      </w:pPr>
      <w:r>
        <w:t>“Euclidean triangles have interior angles adding up to 180°.” Even though it</w:t>
      </w:r>
      <w:r>
        <w:rPr>
          <w:spacing w:val="-2"/>
        </w:rPr>
        <w:t xml:space="preserve"> </w:t>
      </w:r>
      <w:r>
        <w:t>doesn’t</w:t>
      </w:r>
      <w:r>
        <w:rPr>
          <w:spacing w:val="-1"/>
        </w:rPr>
        <w:t xml:space="preserve"> </w:t>
      </w:r>
      <w:r>
        <w:t>look</w:t>
      </w:r>
      <w:r>
        <w:rPr>
          <w:spacing w:val="-1"/>
        </w:rPr>
        <w:t xml:space="preserve"> </w:t>
      </w:r>
      <w:r>
        <w:t>like</w:t>
      </w:r>
      <w:r>
        <w:rPr>
          <w:spacing w:val="-1"/>
        </w:rPr>
        <w:t xml:space="preserve"> </w:t>
      </w:r>
      <w:r>
        <w:t>one,</w:t>
      </w:r>
      <w:r>
        <w:rPr>
          <w:spacing w:val="-1"/>
        </w:rPr>
        <w:t xml:space="preserve"> </w:t>
      </w:r>
      <w:r>
        <w:t>that</w:t>
      </w:r>
      <w:r>
        <w:rPr>
          <w:spacing w:val="-1"/>
        </w:rPr>
        <w:t xml:space="preserve"> </w:t>
      </w:r>
      <w:r>
        <w:t>statement</w:t>
      </w:r>
      <w:r>
        <w:rPr>
          <w:spacing w:val="-2"/>
        </w:rPr>
        <w:t xml:space="preserve"> </w:t>
      </w:r>
      <w:r>
        <w:t>is</w:t>
      </w:r>
      <w:r>
        <w:rPr>
          <w:spacing w:val="-1"/>
        </w:rPr>
        <w:t xml:space="preserve"> </w:t>
      </w:r>
      <w:r>
        <w:t>a</w:t>
      </w:r>
      <w:r>
        <w:rPr>
          <w:spacing w:val="-1"/>
        </w:rPr>
        <w:t xml:space="preserve"> </w:t>
      </w:r>
      <w:r>
        <w:t>hypothetical,</w:t>
      </w:r>
      <w:r>
        <w:rPr>
          <w:spacing w:val="-1"/>
        </w:rPr>
        <w:t xml:space="preserve"> </w:t>
      </w:r>
      <w:r>
        <w:t>since</w:t>
      </w:r>
      <w:r>
        <w:rPr>
          <w:spacing w:val="-1"/>
        </w:rPr>
        <w:t xml:space="preserve"> </w:t>
      </w:r>
      <w:r>
        <w:t>it’s</w:t>
      </w:r>
      <w:r>
        <w:rPr>
          <w:spacing w:val="-1"/>
        </w:rPr>
        <w:t xml:space="preserve"> </w:t>
      </w:r>
      <w:r>
        <w:t>meaning</w:t>
      </w:r>
      <w:r>
        <w:rPr>
          <w:spacing w:val="-1"/>
        </w:rPr>
        <w:t xml:space="preserve"> </w:t>
      </w:r>
      <w:r>
        <w:t xml:space="preserve">is: </w:t>
      </w:r>
      <w:r>
        <w:rPr>
          <w:i/>
        </w:rPr>
        <w:t>if</w:t>
      </w:r>
      <w:r>
        <w:rPr>
          <w:i/>
          <w:spacing w:val="-3"/>
        </w:rPr>
        <w:t xml:space="preserve"> </w:t>
      </w:r>
      <w:r>
        <w:t xml:space="preserve">x is a Euclidean triangle, </w:t>
      </w:r>
      <w:r>
        <w:rPr>
          <w:i/>
        </w:rPr>
        <w:t>then</w:t>
      </w:r>
      <w:r>
        <w:rPr>
          <w:i/>
          <w:spacing w:val="-2"/>
        </w:rPr>
        <w:t xml:space="preserve"> </w:t>
      </w:r>
      <w:r>
        <w:t>x has interior angles adding up to 180°</w:t>
      </w:r>
      <w:bookmarkStart w:id="497" w:name="_bookmark497"/>
      <w:bookmarkEnd w:id="497"/>
      <w:r>
        <w:t>.</w:t>
      </w:r>
      <w:r>
        <w:rPr>
          <w:color w:val="0562C1"/>
          <w:position w:val="21"/>
          <w:u w:val="single" w:color="0562C1"/>
        </w:rPr>
        <w:t>[369]</w:t>
      </w:r>
      <w:r>
        <w:rPr>
          <w:color w:val="0562C1"/>
          <w:position w:val="21"/>
        </w:rPr>
        <w:t xml:space="preserve"> </w:t>
      </w:r>
      <w:r>
        <w:t>The existence of Euclidean triangles is physically impossible; the structure of space prohibits it</w:t>
      </w:r>
      <w:bookmarkStart w:id="498" w:name="_bookmark498"/>
      <w:bookmarkEnd w:id="498"/>
      <w:r>
        <w:t>.</w:t>
      </w:r>
      <w:r>
        <w:rPr>
          <w:color w:val="0562C1"/>
          <w:position w:val="21"/>
          <w:u w:val="single" w:color="0562C1"/>
        </w:rPr>
        <w:t>[370]</w:t>
      </w:r>
      <w:r>
        <w:rPr>
          <w:color w:val="0562C1"/>
          <w:position w:val="21"/>
        </w:rPr>
        <w:t xml:space="preserve"> </w:t>
      </w:r>
      <w:r>
        <w:t>Human beings are, quite obviously, physically possible; so it’s not clear why, in a person-free world, principles like “if there are people, they shouldn’t be enslaved” wouldn’t be correct.</w:t>
      </w:r>
    </w:p>
    <w:p w14:paraId="7E002462" w14:textId="77777777" w:rsidR="009A58DB" w:rsidRDefault="00000000">
      <w:pPr>
        <w:pStyle w:val="BodyText"/>
        <w:spacing w:before="8" w:line="249" w:lineRule="auto"/>
        <w:ind w:right="367" w:firstLine="360"/>
      </w:pPr>
      <w:r>
        <w:t>To see exactly why Argument #1 is wrong, it is necessary to make two distinctions,</w:t>
      </w:r>
      <w:r>
        <w:rPr>
          <w:spacing w:val="-3"/>
        </w:rPr>
        <w:t xml:space="preserve"> </w:t>
      </w:r>
      <w:r>
        <w:t>namely:</w:t>
      </w:r>
      <w:r>
        <w:rPr>
          <w:spacing w:val="-3"/>
        </w:rPr>
        <w:t xml:space="preserve"> </w:t>
      </w:r>
      <w:r>
        <w:t>(i)</w:t>
      </w:r>
      <w:r>
        <w:rPr>
          <w:spacing w:val="-3"/>
        </w:rPr>
        <w:t xml:space="preserve"> </w:t>
      </w:r>
      <w:r>
        <w:t>the</w:t>
      </w:r>
      <w:r>
        <w:rPr>
          <w:spacing w:val="-3"/>
        </w:rPr>
        <w:t xml:space="preserve"> </w:t>
      </w:r>
      <w:r>
        <w:t>distinction</w:t>
      </w:r>
      <w:r>
        <w:rPr>
          <w:spacing w:val="-3"/>
        </w:rPr>
        <w:t xml:space="preserve"> </w:t>
      </w:r>
      <w:r>
        <w:t>between</w:t>
      </w:r>
      <w:r>
        <w:rPr>
          <w:spacing w:val="-3"/>
        </w:rPr>
        <w:t xml:space="preserve"> </w:t>
      </w:r>
      <w:r>
        <w:t>a</w:t>
      </w:r>
      <w:r>
        <w:rPr>
          <w:spacing w:val="-3"/>
        </w:rPr>
        <w:t xml:space="preserve"> </w:t>
      </w:r>
      <w:r>
        <w:t>moral</w:t>
      </w:r>
      <w:r>
        <w:rPr>
          <w:spacing w:val="-3"/>
        </w:rPr>
        <w:t xml:space="preserve"> </w:t>
      </w:r>
      <w:r>
        <w:t>law’s</w:t>
      </w:r>
      <w:r>
        <w:rPr>
          <w:spacing w:val="-3"/>
        </w:rPr>
        <w:t xml:space="preserve"> </w:t>
      </w:r>
      <w:r>
        <w:t>existing,</w:t>
      </w:r>
      <w:r>
        <w:rPr>
          <w:spacing w:val="-3"/>
        </w:rPr>
        <w:t xml:space="preserve"> </w:t>
      </w:r>
      <w:r>
        <w:t>on</w:t>
      </w:r>
      <w:r>
        <w:rPr>
          <w:spacing w:val="-3"/>
        </w:rPr>
        <w:t xml:space="preserve"> </w:t>
      </w:r>
      <w:r>
        <w:t>the one hand, and its being known, on the other; and (ii) the distinction between moral law’s being known from its being implemented.</w:t>
      </w:r>
    </w:p>
    <w:p w14:paraId="7E002463" w14:textId="77777777" w:rsidR="009A58DB" w:rsidRDefault="00000000">
      <w:pPr>
        <w:pStyle w:val="BodyText"/>
        <w:spacing w:before="5" w:line="249" w:lineRule="auto"/>
        <w:ind w:right="358" w:firstLine="360"/>
      </w:pPr>
      <w:r>
        <w:t xml:space="preserve">Suppose that, at some point in time, it wasn’t felt that slavery was wrong; and further suppose that, at the time, slaves were so damaged by their condition that they felt it to be a perfectly just one. Does it follow from these suppositions that slavery wasn’t wrong? Is one person’s brutalization of another morally right just because both parties happen to accept some spurious rationalization of it? Surely not. This entails that a moral law can exist </w:t>
      </w:r>
      <w:r>
        <w:rPr>
          <w:i/>
        </w:rPr>
        <w:t xml:space="preserve">without </w:t>
      </w:r>
      <w:r>
        <w:t>being known. Since we’d always know the laws of morality if we created them, it follows that we don’t create them.</w:t>
      </w:r>
    </w:p>
    <w:p w14:paraId="7E002464" w14:textId="77777777" w:rsidR="009A58DB" w:rsidRDefault="00000000">
      <w:pPr>
        <w:pStyle w:val="BodyText"/>
        <w:spacing w:before="10" w:line="249" w:lineRule="auto"/>
        <w:ind w:right="360" w:firstLine="360"/>
      </w:pPr>
      <w:r>
        <w:rPr>
          <w:spacing w:val="-4"/>
        </w:rPr>
        <w:t>Realistically,</w:t>
      </w:r>
      <w:r>
        <w:rPr>
          <w:spacing w:val="-15"/>
        </w:rPr>
        <w:t xml:space="preserve"> </w:t>
      </w:r>
      <w:r>
        <w:rPr>
          <w:spacing w:val="-4"/>
        </w:rPr>
        <w:t>slave-owners probably</w:t>
      </w:r>
      <w:r>
        <w:rPr>
          <w:spacing w:val="-15"/>
        </w:rPr>
        <w:t xml:space="preserve"> </w:t>
      </w:r>
      <w:r>
        <w:rPr>
          <w:i/>
          <w:spacing w:val="-4"/>
        </w:rPr>
        <w:t>did</w:t>
      </w:r>
      <w:r>
        <w:rPr>
          <w:i/>
          <w:spacing w:val="-15"/>
        </w:rPr>
        <w:t xml:space="preserve"> </w:t>
      </w:r>
      <w:r>
        <w:rPr>
          <w:spacing w:val="-4"/>
        </w:rPr>
        <w:t>know that slavery was wrong. (They may</w:t>
      </w:r>
      <w:r>
        <w:rPr>
          <w:spacing w:val="-17"/>
        </w:rPr>
        <w:t xml:space="preserve"> </w:t>
      </w:r>
      <w:r>
        <w:rPr>
          <w:spacing w:val="-4"/>
        </w:rPr>
        <w:t>not</w:t>
      </w:r>
      <w:r>
        <w:rPr>
          <w:spacing w:val="-14"/>
        </w:rPr>
        <w:t xml:space="preserve"> </w:t>
      </w:r>
      <w:r>
        <w:rPr>
          <w:spacing w:val="-4"/>
        </w:rPr>
        <w:t>have</w:t>
      </w:r>
      <w:r>
        <w:rPr>
          <w:spacing w:val="-14"/>
        </w:rPr>
        <w:t xml:space="preserve"> </w:t>
      </w:r>
      <w:r>
        <w:rPr>
          <w:i/>
          <w:spacing w:val="-4"/>
        </w:rPr>
        <w:t>said</w:t>
      </w:r>
      <w:r>
        <w:rPr>
          <w:i/>
          <w:spacing w:val="-14"/>
        </w:rPr>
        <w:t xml:space="preserve"> </w:t>
      </w:r>
      <w:r>
        <w:rPr>
          <w:spacing w:val="-4"/>
        </w:rPr>
        <w:t>it</w:t>
      </w:r>
      <w:r>
        <w:rPr>
          <w:spacing w:val="-15"/>
        </w:rPr>
        <w:t xml:space="preserve"> </w:t>
      </w:r>
      <w:r>
        <w:rPr>
          <w:spacing w:val="-4"/>
        </w:rPr>
        <w:t>was</w:t>
      </w:r>
      <w:r>
        <w:rPr>
          <w:spacing w:val="-14"/>
        </w:rPr>
        <w:t xml:space="preserve"> </w:t>
      </w:r>
      <w:r>
        <w:rPr>
          <w:spacing w:val="-4"/>
        </w:rPr>
        <w:t>wrong.</w:t>
      </w:r>
      <w:r>
        <w:rPr>
          <w:spacing w:val="-14"/>
        </w:rPr>
        <w:t xml:space="preserve"> </w:t>
      </w:r>
      <w:r>
        <w:rPr>
          <w:spacing w:val="-4"/>
        </w:rPr>
        <w:t>But</w:t>
      </w:r>
      <w:r>
        <w:rPr>
          <w:spacing w:val="-14"/>
        </w:rPr>
        <w:t xml:space="preserve"> </w:t>
      </w:r>
      <w:r>
        <w:rPr>
          <w:spacing w:val="-4"/>
        </w:rPr>
        <w:t>so</w:t>
      </w:r>
      <w:r>
        <w:rPr>
          <w:spacing w:val="-15"/>
        </w:rPr>
        <w:t xml:space="preserve"> </w:t>
      </w:r>
      <w:r>
        <w:rPr>
          <w:spacing w:val="-4"/>
        </w:rPr>
        <w:t>what?</w:t>
      </w:r>
      <w:r>
        <w:rPr>
          <w:spacing w:val="-14"/>
        </w:rPr>
        <w:t xml:space="preserve"> </w:t>
      </w:r>
      <w:r>
        <w:rPr>
          <w:spacing w:val="-4"/>
        </w:rPr>
        <w:t>People</w:t>
      </w:r>
      <w:r>
        <w:rPr>
          <w:spacing w:val="-14"/>
        </w:rPr>
        <w:t xml:space="preserve"> </w:t>
      </w:r>
      <w:r>
        <w:rPr>
          <w:spacing w:val="-4"/>
        </w:rPr>
        <w:t>lie</w:t>
      </w:r>
      <w:r>
        <w:rPr>
          <w:spacing w:val="-14"/>
        </w:rPr>
        <w:t xml:space="preserve"> </w:t>
      </w:r>
      <w:r>
        <w:rPr>
          <w:spacing w:val="-4"/>
        </w:rPr>
        <w:t>all</w:t>
      </w:r>
      <w:r>
        <w:rPr>
          <w:spacing w:val="-15"/>
        </w:rPr>
        <w:t xml:space="preserve"> </w:t>
      </w:r>
      <w:r>
        <w:rPr>
          <w:spacing w:val="-4"/>
        </w:rPr>
        <w:t>the</w:t>
      </w:r>
      <w:r>
        <w:rPr>
          <w:spacing w:val="-14"/>
        </w:rPr>
        <w:t xml:space="preserve"> </w:t>
      </w:r>
      <w:r>
        <w:rPr>
          <w:spacing w:val="-4"/>
        </w:rPr>
        <w:t>time,</w:t>
      </w:r>
      <w:r>
        <w:rPr>
          <w:spacing w:val="-14"/>
        </w:rPr>
        <w:t xml:space="preserve"> </w:t>
      </w:r>
      <w:r>
        <w:rPr>
          <w:spacing w:val="-4"/>
        </w:rPr>
        <w:t>especially</w:t>
      </w:r>
      <w:r>
        <w:rPr>
          <w:spacing w:val="-14"/>
        </w:rPr>
        <w:t xml:space="preserve"> </w:t>
      </w:r>
      <w:r>
        <w:rPr>
          <w:spacing w:val="-5"/>
        </w:rPr>
        <w:t>if</w:t>
      </w:r>
    </w:p>
    <w:p w14:paraId="7E00246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66" w14:textId="77777777" w:rsidR="009A58DB" w:rsidRDefault="00000000">
      <w:pPr>
        <w:pStyle w:val="BodyText"/>
        <w:spacing w:before="65" w:line="249" w:lineRule="auto"/>
        <w:ind w:right="359"/>
      </w:pPr>
      <w:r>
        <w:lastRenderedPageBreak/>
        <w:t>it’s</w:t>
      </w:r>
      <w:r>
        <w:rPr>
          <w:spacing w:val="-15"/>
        </w:rPr>
        <w:t xml:space="preserve"> </w:t>
      </w:r>
      <w:r>
        <w:t>in</w:t>
      </w:r>
      <w:r>
        <w:rPr>
          <w:spacing w:val="-15"/>
        </w:rPr>
        <w:t xml:space="preserve"> </w:t>
      </w:r>
      <w:r>
        <w:t>their</w:t>
      </w:r>
      <w:r>
        <w:rPr>
          <w:spacing w:val="-15"/>
        </w:rPr>
        <w:t xml:space="preserve"> </w:t>
      </w:r>
      <w:r>
        <w:t>economic</w:t>
      </w:r>
      <w:r>
        <w:rPr>
          <w:spacing w:val="-15"/>
        </w:rPr>
        <w:t xml:space="preserve"> </w:t>
      </w:r>
      <w:r>
        <w:t>self-interest</w:t>
      </w:r>
      <w:r>
        <w:rPr>
          <w:spacing w:val="-15"/>
        </w:rPr>
        <w:t xml:space="preserve"> </w:t>
      </w:r>
      <w:r>
        <w:t>to</w:t>
      </w:r>
      <w:r>
        <w:rPr>
          <w:spacing w:val="-15"/>
        </w:rPr>
        <w:t xml:space="preserve"> </w:t>
      </w:r>
      <w:r>
        <w:t>do</w:t>
      </w:r>
      <w:r>
        <w:rPr>
          <w:spacing w:val="-15"/>
        </w:rPr>
        <w:t xml:space="preserve"> </w:t>
      </w:r>
      <w:r>
        <w:t>so.)</w:t>
      </w:r>
      <w:r>
        <w:rPr>
          <w:spacing w:val="-15"/>
        </w:rPr>
        <w:t xml:space="preserve"> </w:t>
      </w:r>
      <w:r>
        <w:t>If</w:t>
      </w:r>
      <w:r>
        <w:rPr>
          <w:spacing w:val="-15"/>
        </w:rPr>
        <w:t xml:space="preserve"> </w:t>
      </w:r>
      <w:r>
        <w:t>people</w:t>
      </w:r>
      <w:r>
        <w:rPr>
          <w:spacing w:val="-15"/>
        </w:rPr>
        <w:t xml:space="preserve"> </w:t>
      </w:r>
      <w:r>
        <w:t>in</w:t>
      </w:r>
      <w:r>
        <w:rPr>
          <w:spacing w:val="-15"/>
        </w:rPr>
        <w:t xml:space="preserve"> </w:t>
      </w:r>
      <w:r>
        <w:t>a</w:t>
      </w:r>
      <w:r>
        <w:rPr>
          <w:spacing w:val="-15"/>
        </w:rPr>
        <w:t xml:space="preserve"> </w:t>
      </w:r>
      <w:r>
        <w:t>given</w:t>
      </w:r>
      <w:r>
        <w:rPr>
          <w:spacing w:val="-15"/>
        </w:rPr>
        <w:t xml:space="preserve"> </w:t>
      </w:r>
      <w:r>
        <w:t>society</w:t>
      </w:r>
      <w:r>
        <w:rPr>
          <w:spacing w:val="-15"/>
        </w:rPr>
        <w:t xml:space="preserve"> </w:t>
      </w:r>
      <w:r>
        <w:t xml:space="preserve">believe </w:t>
      </w:r>
      <w:r>
        <w:rPr>
          <w:spacing w:val="-4"/>
        </w:rPr>
        <w:t>themselves</w:t>
      </w:r>
      <w:r>
        <w:rPr>
          <w:spacing w:val="-12"/>
        </w:rPr>
        <w:t xml:space="preserve"> </w:t>
      </w:r>
      <w:r>
        <w:rPr>
          <w:spacing w:val="-4"/>
        </w:rPr>
        <w:t>to</w:t>
      </w:r>
      <w:r>
        <w:rPr>
          <w:spacing w:val="-12"/>
        </w:rPr>
        <w:t xml:space="preserve"> </w:t>
      </w:r>
      <w:r>
        <w:rPr>
          <w:spacing w:val="-4"/>
        </w:rPr>
        <w:t>derive</w:t>
      </w:r>
      <w:r>
        <w:rPr>
          <w:spacing w:val="-12"/>
        </w:rPr>
        <w:t xml:space="preserve"> </w:t>
      </w:r>
      <w:r>
        <w:rPr>
          <w:spacing w:val="-4"/>
        </w:rPr>
        <w:t>enormous</w:t>
      </w:r>
      <w:r>
        <w:rPr>
          <w:spacing w:val="-12"/>
        </w:rPr>
        <w:t xml:space="preserve"> </w:t>
      </w:r>
      <w:r>
        <w:rPr>
          <w:spacing w:val="-4"/>
        </w:rPr>
        <w:t>benefits</w:t>
      </w:r>
      <w:r>
        <w:rPr>
          <w:spacing w:val="-12"/>
        </w:rPr>
        <w:t xml:space="preserve"> </w:t>
      </w:r>
      <w:r>
        <w:rPr>
          <w:spacing w:val="-4"/>
        </w:rPr>
        <w:t>from</w:t>
      </w:r>
      <w:r>
        <w:rPr>
          <w:spacing w:val="-12"/>
        </w:rPr>
        <w:t xml:space="preserve"> </w:t>
      </w:r>
      <w:r>
        <w:rPr>
          <w:spacing w:val="-4"/>
        </w:rPr>
        <w:t>a</w:t>
      </w:r>
      <w:r>
        <w:rPr>
          <w:spacing w:val="-12"/>
        </w:rPr>
        <w:t xml:space="preserve"> </w:t>
      </w:r>
      <w:r>
        <w:rPr>
          <w:spacing w:val="-4"/>
        </w:rPr>
        <w:t>practice,</w:t>
      </w:r>
      <w:r>
        <w:rPr>
          <w:spacing w:val="-12"/>
        </w:rPr>
        <w:t xml:space="preserve"> </w:t>
      </w:r>
      <w:r>
        <w:rPr>
          <w:spacing w:val="-4"/>
        </w:rPr>
        <w:t>they’re</w:t>
      </w:r>
      <w:r>
        <w:rPr>
          <w:spacing w:val="-12"/>
        </w:rPr>
        <w:t xml:space="preserve"> </w:t>
      </w:r>
      <w:r>
        <w:rPr>
          <w:spacing w:val="-4"/>
        </w:rPr>
        <w:t>not</w:t>
      </w:r>
      <w:r>
        <w:rPr>
          <w:spacing w:val="-12"/>
        </w:rPr>
        <w:t xml:space="preserve"> </w:t>
      </w:r>
      <w:r>
        <w:rPr>
          <w:spacing w:val="-4"/>
        </w:rPr>
        <w:t>likely</w:t>
      </w:r>
      <w:r>
        <w:rPr>
          <w:spacing w:val="-12"/>
        </w:rPr>
        <w:t xml:space="preserve"> </w:t>
      </w:r>
      <w:r>
        <w:rPr>
          <w:spacing w:val="-4"/>
        </w:rPr>
        <w:t>to</w:t>
      </w:r>
      <w:r>
        <w:rPr>
          <w:spacing w:val="-12"/>
        </w:rPr>
        <w:t xml:space="preserve"> </w:t>
      </w:r>
      <w:r>
        <w:rPr>
          <w:spacing w:val="-4"/>
        </w:rPr>
        <w:t>stop it,</w:t>
      </w:r>
      <w:r>
        <w:rPr>
          <w:spacing w:val="-15"/>
        </w:rPr>
        <w:t xml:space="preserve"> </w:t>
      </w:r>
      <w:r>
        <w:rPr>
          <w:spacing w:val="-4"/>
        </w:rPr>
        <w:t>even</w:t>
      </w:r>
      <w:r>
        <w:rPr>
          <w:spacing w:val="-15"/>
        </w:rPr>
        <w:t xml:space="preserve"> </w:t>
      </w:r>
      <w:r>
        <w:rPr>
          <w:spacing w:val="-4"/>
        </w:rPr>
        <w:t>if</w:t>
      </w:r>
      <w:r>
        <w:rPr>
          <w:spacing w:val="-15"/>
        </w:rPr>
        <w:t xml:space="preserve"> </w:t>
      </w:r>
      <w:r>
        <w:rPr>
          <w:spacing w:val="-4"/>
        </w:rPr>
        <w:t>they</w:t>
      </w:r>
      <w:r>
        <w:rPr>
          <w:spacing w:val="-14"/>
        </w:rPr>
        <w:t xml:space="preserve"> </w:t>
      </w:r>
      <w:r>
        <w:rPr>
          <w:spacing w:val="-4"/>
        </w:rPr>
        <w:t>see</w:t>
      </w:r>
      <w:r>
        <w:rPr>
          <w:spacing w:val="-15"/>
        </w:rPr>
        <w:t xml:space="preserve"> </w:t>
      </w:r>
      <w:r>
        <w:rPr>
          <w:spacing w:val="-4"/>
        </w:rPr>
        <w:t>it</w:t>
      </w:r>
      <w:r>
        <w:rPr>
          <w:spacing w:val="-15"/>
        </w:rPr>
        <w:t xml:space="preserve"> </w:t>
      </w:r>
      <w:r>
        <w:rPr>
          <w:spacing w:val="-4"/>
        </w:rPr>
        <w:t>as</w:t>
      </w:r>
      <w:r>
        <w:rPr>
          <w:spacing w:val="-15"/>
        </w:rPr>
        <w:t xml:space="preserve"> </w:t>
      </w:r>
      <w:r>
        <w:rPr>
          <w:spacing w:val="-4"/>
        </w:rPr>
        <w:t>deeply</w:t>
      </w:r>
      <w:r>
        <w:rPr>
          <w:spacing w:val="-14"/>
        </w:rPr>
        <w:t xml:space="preserve"> </w:t>
      </w:r>
      <w:r>
        <w:rPr>
          <w:spacing w:val="-4"/>
        </w:rPr>
        <w:t>immoral.</w:t>
      </w:r>
      <w:r>
        <w:rPr>
          <w:spacing w:val="-15"/>
        </w:rPr>
        <w:t xml:space="preserve"> </w:t>
      </w:r>
      <w:r>
        <w:rPr>
          <w:spacing w:val="-4"/>
        </w:rPr>
        <w:t>Slave-owners</w:t>
      </w:r>
      <w:r>
        <w:rPr>
          <w:spacing w:val="-15"/>
        </w:rPr>
        <w:t xml:space="preserve"> </w:t>
      </w:r>
      <w:r>
        <w:rPr>
          <w:spacing w:val="-4"/>
        </w:rPr>
        <w:t>benefit</w:t>
      </w:r>
      <w:r>
        <w:rPr>
          <w:spacing w:val="-15"/>
        </w:rPr>
        <w:t xml:space="preserve"> </w:t>
      </w:r>
      <w:r>
        <w:rPr>
          <w:spacing w:val="-4"/>
        </w:rPr>
        <w:t>from</w:t>
      </w:r>
      <w:r>
        <w:rPr>
          <w:spacing w:val="-14"/>
        </w:rPr>
        <w:t xml:space="preserve"> </w:t>
      </w:r>
      <w:r>
        <w:rPr>
          <w:spacing w:val="-4"/>
        </w:rPr>
        <w:t>the</w:t>
      </w:r>
      <w:r>
        <w:rPr>
          <w:spacing w:val="-15"/>
        </w:rPr>
        <w:t xml:space="preserve"> </w:t>
      </w:r>
      <w:r>
        <w:rPr>
          <w:spacing w:val="-4"/>
        </w:rPr>
        <w:t xml:space="preserve">institution </w:t>
      </w:r>
      <w:r>
        <w:t>of</w:t>
      </w:r>
      <w:r>
        <w:rPr>
          <w:spacing w:val="-4"/>
        </w:rPr>
        <w:t xml:space="preserve"> </w:t>
      </w:r>
      <w:r>
        <w:t>slavery.</w:t>
      </w:r>
      <w:r>
        <w:rPr>
          <w:spacing w:val="-4"/>
        </w:rPr>
        <w:t xml:space="preserve"> </w:t>
      </w:r>
      <w:r>
        <w:t>So</w:t>
      </w:r>
      <w:r>
        <w:rPr>
          <w:spacing w:val="-4"/>
        </w:rPr>
        <w:t xml:space="preserve"> </w:t>
      </w:r>
      <w:r>
        <w:t>they</w:t>
      </w:r>
      <w:r>
        <w:rPr>
          <w:spacing w:val="-4"/>
        </w:rPr>
        <w:t xml:space="preserve"> </w:t>
      </w:r>
      <w:r>
        <w:t>have</w:t>
      </w:r>
      <w:r>
        <w:rPr>
          <w:spacing w:val="-4"/>
        </w:rPr>
        <w:t xml:space="preserve"> </w:t>
      </w:r>
      <w:r>
        <w:t>no</w:t>
      </w:r>
    </w:p>
    <w:p w14:paraId="7E002467" w14:textId="77777777" w:rsidR="009A58DB" w:rsidRDefault="00000000">
      <w:pPr>
        <w:pStyle w:val="BodyText"/>
        <w:spacing w:before="5" w:line="249" w:lineRule="auto"/>
        <w:ind w:right="363"/>
      </w:pPr>
      <w:r>
        <w:t>reason</w:t>
      </w:r>
      <w:r>
        <w:rPr>
          <w:spacing w:val="-3"/>
        </w:rPr>
        <w:t xml:space="preserve"> </w:t>
      </w:r>
      <w:r>
        <w:t>to condemn it. They thus have a strong incentive to construct spurious rationalizations as to why slavery isn’t always wrong. If, while continuing to have slaves, slave-owners brazenly admitted that slavery was evil they would mobilize otherwise inert abolitionist forces. If they don’t admit this, and instead rationalize what they’re doing, a thin but powerful margin of doubt will keep some of these forces at bay, and will also enable themselves to live with themselves.</w:t>
      </w:r>
    </w:p>
    <w:p w14:paraId="7E002468" w14:textId="77777777" w:rsidR="009A58DB" w:rsidRDefault="00000000">
      <w:pPr>
        <w:pStyle w:val="BodyText"/>
        <w:spacing w:before="8" w:line="249" w:lineRule="auto"/>
        <w:ind w:right="360" w:firstLine="360"/>
      </w:pPr>
      <w:r>
        <w:t>It’s often convenient for</w:t>
      </w:r>
      <w:r>
        <w:rPr>
          <w:spacing w:val="-1"/>
        </w:rPr>
        <w:t xml:space="preserve"> </w:t>
      </w:r>
      <w:r>
        <w:t xml:space="preserve">people to turn a blind eye to moral truths. For this reason, moral laws, even when known, aren’t always </w:t>
      </w:r>
      <w:r>
        <w:rPr>
          <w:i/>
        </w:rPr>
        <w:t xml:space="preserve">implemented </w:t>
      </w:r>
      <w:r>
        <w:t>and also aren’t explicitly endorsed.</w:t>
      </w:r>
    </w:p>
    <w:p w14:paraId="7E002469" w14:textId="77777777" w:rsidR="009A58DB" w:rsidRDefault="00000000">
      <w:pPr>
        <w:pStyle w:val="BodyText"/>
        <w:spacing w:before="4" w:line="249" w:lineRule="auto"/>
        <w:ind w:right="370" w:firstLine="360"/>
      </w:pPr>
      <w:r>
        <w:t xml:space="preserve">It follows that moral laws aren’t conventions. Conventions cannot fail to be implemented. It cannot be a convention that people wear green hats on Sunday unless people </w:t>
      </w:r>
      <w:r>
        <w:rPr>
          <w:i/>
        </w:rPr>
        <w:t xml:space="preserve">actually </w:t>
      </w:r>
      <w:r>
        <w:t>do so.</w:t>
      </w:r>
    </w:p>
    <w:p w14:paraId="7E00246A" w14:textId="77777777" w:rsidR="009A58DB" w:rsidRDefault="009A58DB">
      <w:pPr>
        <w:pStyle w:val="BodyText"/>
        <w:spacing w:before="18"/>
        <w:ind w:left="0"/>
        <w:jc w:val="left"/>
      </w:pPr>
    </w:p>
    <w:p w14:paraId="7E00246B" w14:textId="77777777" w:rsidR="009A58DB" w:rsidRDefault="00000000">
      <w:pPr>
        <w:spacing w:before="1" w:line="249" w:lineRule="auto"/>
        <w:ind w:left="720" w:right="724"/>
        <w:jc w:val="both"/>
        <w:rPr>
          <w:sz w:val="30"/>
        </w:rPr>
      </w:pPr>
      <w:r>
        <w:rPr>
          <w:b/>
          <w:i/>
          <w:sz w:val="30"/>
        </w:rPr>
        <w:t xml:space="preserve">Argument #2: </w:t>
      </w:r>
      <w:r>
        <w:rPr>
          <w:i/>
          <w:sz w:val="30"/>
        </w:rPr>
        <w:t xml:space="preserve">The argument from cultural relativism. </w:t>
      </w:r>
      <w:r>
        <w:rPr>
          <w:sz w:val="30"/>
        </w:rPr>
        <w:t>Moral convictions vary from culture to culture. In some cultures, polygamy is accepted. In others, it isn’t.</w:t>
      </w:r>
    </w:p>
    <w:p w14:paraId="7E00246C" w14:textId="77777777" w:rsidR="009A58DB" w:rsidRDefault="00000000">
      <w:pPr>
        <w:pStyle w:val="BodyText"/>
        <w:spacing w:before="3" w:line="249" w:lineRule="auto"/>
        <w:ind w:left="720" w:right="719" w:firstLine="360"/>
      </w:pPr>
      <w:r>
        <w:t>One possibility is that, given an ethical divergence between two cultures, one of those cultures must be wrong. So, just as two people can’t disagree about whether Helsinki is the capital of Finland without at least one of those people being wrong, so two cultures can’t have different ethical viewpoints without at least one of them being wrong.</w:t>
      </w:r>
    </w:p>
    <w:p w14:paraId="7E00246D" w14:textId="77777777" w:rsidR="009A58DB" w:rsidRDefault="00000000">
      <w:pPr>
        <w:pStyle w:val="BodyText"/>
        <w:spacing w:before="6" w:line="249" w:lineRule="auto"/>
        <w:ind w:left="720" w:right="718" w:firstLine="360"/>
      </w:pPr>
      <w:r>
        <w:t>Another possibility is that, when two cultures disagree in this way, neither is right and neither is wrong. One culture likes polygamy. The other doesn’t. And that’s the end of it.</w:t>
      </w:r>
    </w:p>
    <w:p w14:paraId="7E00246E" w14:textId="77777777" w:rsidR="009A58DB" w:rsidRDefault="00000000">
      <w:pPr>
        <w:pStyle w:val="BodyText"/>
        <w:spacing w:before="4" w:line="249" w:lineRule="auto"/>
        <w:ind w:left="720" w:right="728" w:firstLine="360"/>
      </w:pPr>
      <w:r>
        <w:t>The</w:t>
      </w:r>
      <w:r>
        <w:rPr>
          <w:spacing w:val="-4"/>
        </w:rPr>
        <w:t xml:space="preserve"> </w:t>
      </w:r>
      <w:r>
        <w:t>first</w:t>
      </w:r>
      <w:r>
        <w:rPr>
          <w:spacing w:val="-4"/>
        </w:rPr>
        <w:t xml:space="preserve"> </w:t>
      </w:r>
      <w:r>
        <w:t>option</w:t>
      </w:r>
      <w:r>
        <w:rPr>
          <w:spacing w:val="-3"/>
        </w:rPr>
        <w:t xml:space="preserve"> </w:t>
      </w:r>
      <w:r>
        <w:t>is</w:t>
      </w:r>
      <w:r>
        <w:rPr>
          <w:spacing w:val="-4"/>
        </w:rPr>
        <w:t xml:space="preserve"> </w:t>
      </w:r>
      <w:r>
        <w:t>implausible.</w:t>
      </w:r>
      <w:r>
        <w:rPr>
          <w:spacing w:val="-3"/>
        </w:rPr>
        <w:t xml:space="preserve"> </w:t>
      </w:r>
      <w:r>
        <w:t>If</w:t>
      </w:r>
      <w:r>
        <w:rPr>
          <w:spacing w:val="-4"/>
        </w:rPr>
        <w:t xml:space="preserve"> </w:t>
      </w:r>
      <w:r>
        <w:t>I</w:t>
      </w:r>
      <w:r>
        <w:rPr>
          <w:spacing w:val="-4"/>
        </w:rPr>
        <w:t xml:space="preserve"> </w:t>
      </w:r>
      <w:r>
        <w:t>like</w:t>
      </w:r>
      <w:r>
        <w:rPr>
          <w:spacing w:val="-4"/>
        </w:rPr>
        <w:t xml:space="preserve"> </w:t>
      </w:r>
      <w:r>
        <w:t>tennis,</w:t>
      </w:r>
      <w:r>
        <w:rPr>
          <w:spacing w:val="-3"/>
        </w:rPr>
        <w:t xml:space="preserve"> </w:t>
      </w:r>
      <w:r>
        <w:t>and</w:t>
      </w:r>
      <w:r>
        <w:rPr>
          <w:spacing w:val="-3"/>
        </w:rPr>
        <w:t xml:space="preserve"> </w:t>
      </w:r>
      <w:r>
        <w:t>you</w:t>
      </w:r>
      <w:r>
        <w:rPr>
          <w:spacing w:val="-3"/>
        </w:rPr>
        <w:t xml:space="preserve"> </w:t>
      </w:r>
      <w:r>
        <w:t>prefer</w:t>
      </w:r>
      <w:r>
        <w:rPr>
          <w:spacing w:val="-4"/>
        </w:rPr>
        <w:t xml:space="preserve"> </w:t>
      </w:r>
      <w:r>
        <w:t>soccer, it</w:t>
      </w:r>
      <w:r>
        <w:rPr>
          <w:spacing w:val="-2"/>
        </w:rPr>
        <w:t xml:space="preserve"> </w:t>
      </w:r>
      <w:r>
        <w:t>makes</w:t>
      </w:r>
      <w:r>
        <w:rPr>
          <w:spacing w:val="-2"/>
        </w:rPr>
        <w:t xml:space="preserve"> </w:t>
      </w:r>
      <w:r>
        <w:t>no</w:t>
      </w:r>
      <w:r>
        <w:rPr>
          <w:spacing w:val="-2"/>
        </w:rPr>
        <w:t xml:space="preserve"> </w:t>
      </w:r>
      <w:r>
        <w:t>sense</w:t>
      </w:r>
      <w:r>
        <w:rPr>
          <w:spacing w:val="-2"/>
        </w:rPr>
        <w:t xml:space="preserve"> </w:t>
      </w:r>
      <w:r>
        <w:t>to</w:t>
      </w:r>
      <w:r>
        <w:rPr>
          <w:spacing w:val="-2"/>
        </w:rPr>
        <w:t xml:space="preserve"> </w:t>
      </w:r>
      <w:r>
        <w:t>say</w:t>
      </w:r>
      <w:r>
        <w:rPr>
          <w:spacing w:val="-2"/>
        </w:rPr>
        <w:t xml:space="preserve"> </w:t>
      </w:r>
      <w:r>
        <w:t>that</w:t>
      </w:r>
      <w:r>
        <w:rPr>
          <w:spacing w:val="-2"/>
        </w:rPr>
        <w:t xml:space="preserve"> </w:t>
      </w:r>
      <w:r>
        <w:t>one</w:t>
      </w:r>
      <w:r>
        <w:rPr>
          <w:spacing w:val="-2"/>
        </w:rPr>
        <w:t xml:space="preserve"> </w:t>
      </w:r>
      <w:r>
        <w:t>of</w:t>
      </w:r>
      <w:r>
        <w:rPr>
          <w:spacing w:val="-2"/>
        </w:rPr>
        <w:t xml:space="preserve"> </w:t>
      </w:r>
      <w:r>
        <w:t>us</w:t>
      </w:r>
      <w:r>
        <w:rPr>
          <w:spacing w:val="-2"/>
        </w:rPr>
        <w:t xml:space="preserve"> </w:t>
      </w:r>
      <w:r>
        <w:t>is</w:t>
      </w:r>
      <w:r>
        <w:rPr>
          <w:spacing w:val="-2"/>
        </w:rPr>
        <w:t xml:space="preserve"> </w:t>
      </w:r>
      <w:r>
        <w:t>right</w:t>
      </w:r>
      <w:r>
        <w:rPr>
          <w:spacing w:val="-2"/>
        </w:rPr>
        <w:t xml:space="preserve"> </w:t>
      </w:r>
      <w:r>
        <w:t>and</w:t>
      </w:r>
      <w:r>
        <w:rPr>
          <w:spacing w:val="-2"/>
        </w:rPr>
        <w:t xml:space="preserve"> </w:t>
      </w:r>
      <w:r>
        <w:t>the</w:t>
      </w:r>
      <w:r>
        <w:rPr>
          <w:spacing w:val="-2"/>
        </w:rPr>
        <w:t xml:space="preserve"> </w:t>
      </w:r>
      <w:r>
        <w:t>other</w:t>
      </w:r>
      <w:r>
        <w:rPr>
          <w:spacing w:val="-2"/>
        </w:rPr>
        <w:t xml:space="preserve"> </w:t>
      </w:r>
      <w:r>
        <w:t>is</w:t>
      </w:r>
      <w:r>
        <w:rPr>
          <w:spacing w:val="-2"/>
        </w:rPr>
        <w:t xml:space="preserve"> </w:t>
      </w:r>
      <w:r>
        <w:t>wrong.</w:t>
      </w:r>
      <w:r>
        <w:rPr>
          <w:spacing w:val="-2"/>
        </w:rPr>
        <w:t xml:space="preserve"> </w:t>
      </w:r>
      <w:r>
        <w:t>If culture X likes polygamy and Y does not, it makes equally little sense to say that one of them is right and the other wrong.</w:t>
      </w:r>
    </w:p>
    <w:p w14:paraId="7E00246F" w14:textId="77777777" w:rsidR="009A58DB" w:rsidRDefault="00000000">
      <w:pPr>
        <w:pStyle w:val="BodyText"/>
        <w:spacing w:before="5" w:line="249" w:lineRule="auto"/>
        <w:ind w:left="720" w:right="718" w:firstLine="360"/>
      </w:pPr>
      <w:r>
        <w:t xml:space="preserve">So the second option must be the right one. When cultures diverge ethically, neither is right and neither is wrong. But if there were moral </w:t>
      </w:r>
      <w:r>
        <w:rPr>
          <w:i/>
        </w:rPr>
        <w:t>facts,</w:t>
      </w:r>
      <w:r>
        <w:rPr>
          <w:i/>
          <w:spacing w:val="65"/>
          <w:w w:val="150"/>
        </w:rPr>
        <w:t xml:space="preserve"> </w:t>
      </w:r>
      <w:r>
        <w:t>somebody</w:t>
      </w:r>
      <w:r>
        <w:rPr>
          <w:spacing w:val="66"/>
          <w:w w:val="150"/>
        </w:rPr>
        <w:t xml:space="preserve"> </w:t>
      </w:r>
      <w:r>
        <w:t>would</w:t>
      </w:r>
      <w:r>
        <w:rPr>
          <w:spacing w:val="65"/>
          <w:w w:val="150"/>
        </w:rPr>
        <w:t xml:space="preserve"> </w:t>
      </w:r>
      <w:r>
        <w:t>be</w:t>
      </w:r>
      <w:r>
        <w:rPr>
          <w:spacing w:val="65"/>
          <w:w w:val="150"/>
        </w:rPr>
        <w:t xml:space="preserve"> </w:t>
      </w:r>
      <w:r>
        <w:t>right</w:t>
      </w:r>
      <w:r>
        <w:rPr>
          <w:spacing w:val="65"/>
          <w:w w:val="150"/>
        </w:rPr>
        <w:t xml:space="preserve"> </w:t>
      </w:r>
      <w:r>
        <w:t>and</w:t>
      </w:r>
      <w:r>
        <w:rPr>
          <w:spacing w:val="65"/>
          <w:w w:val="150"/>
        </w:rPr>
        <w:t xml:space="preserve"> </w:t>
      </w:r>
      <w:r>
        <w:t>somebody</w:t>
      </w:r>
      <w:r>
        <w:rPr>
          <w:spacing w:val="66"/>
          <w:w w:val="150"/>
        </w:rPr>
        <w:t xml:space="preserve"> </w:t>
      </w:r>
      <w:r>
        <w:t>would</w:t>
      </w:r>
      <w:r>
        <w:rPr>
          <w:spacing w:val="65"/>
          <w:w w:val="150"/>
        </w:rPr>
        <w:t xml:space="preserve"> </w:t>
      </w:r>
      <w:r>
        <w:t>be</w:t>
      </w:r>
      <w:r>
        <w:rPr>
          <w:spacing w:val="65"/>
          <w:w w:val="150"/>
        </w:rPr>
        <w:t xml:space="preserve"> </w:t>
      </w:r>
      <w:r>
        <w:rPr>
          <w:spacing w:val="-2"/>
        </w:rPr>
        <w:t>wrong.</w:t>
      </w:r>
    </w:p>
    <w:p w14:paraId="7E00247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71" w14:textId="77777777" w:rsidR="009A58DB" w:rsidRDefault="00000000">
      <w:pPr>
        <w:pStyle w:val="BodyText"/>
        <w:spacing w:before="65"/>
        <w:ind w:left="720"/>
        <w:jc w:val="left"/>
      </w:pPr>
      <w:r>
        <w:lastRenderedPageBreak/>
        <w:t>Therefore,</w:t>
      </w:r>
      <w:r>
        <w:rPr>
          <w:spacing w:val="-4"/>
        </w:rPr>
        <w:t xml:space="preserve"> </w:t>
      </w:r>
      <w:r>
        <w:t>there</w:t>
      </w:r>
      <w:r>
        <w:rPr>
          <w:spacing w:val="-3"/>
        </w:rPr>
        <w:t xml:space="preserve"> </w:t>
      </w:r>
      <w:r>
        <w:t>are</w:t>
      </w:r>
      <w:r>
        <w:rPr>
          <w:spacing w:val="-4"/>
        </w:rPr>
        <w:t xml:space="preserve"> </w:t>
      </w:r>
      <w:r>
        <w:t>no</w:t>
      </w:r>
      <w:r>
        <w:rPr>
          <w:spacing w:val="-4"/>
        </w:rPr>
        <w:t xml:space="preserve"> </w:t>
      </w:r>
      <w:r>
        <w:t>moral</w:t>
      </w:r>
      <w:r>
        <w:rPr>
          <w:spacing w:val="-3"/>
        </w:rPr>
        <w:t xml:space="preserve"> </w:t>
      </w:r>
      <w:r>
        <w:rPr>
          <w:spacing w:val="-2"/>
        </w:rPr>
        <w:t>facts.</w:t>
      </w:r>
    </w:p>
    <w:p w14:paraId="7E002472" w14:textId="77777777" w:rsidR="009A58DB" w:rsidRDefault="009A58DB">
      <w:pPr>
        <w:pStyle w:val="BodyText"/>
        <w:spacing w:before="29"/>
        <w:ind w:left="0"/>
        <w:jc w:val="left"/>
      </w:pPr>
    </w:p>
    <w:p w14:paraId="7E002473" w14:textId="77777777" w:rsidR="009A58DB" w:rsidRDefault="00000000">
      <w:pPr>
        <w:pStyle w:val="BodyText"/>
        <w:spacing w:before="1" w:line="249" w:lineRule="auto"/>
        <w:ind w:right="361"/>
      </w:pPr>
      <w:r>
        <w:rPr>
          <w:b/>
          <w:i/>
        </w:rPr>
        <w:t xml:space="preserve">Analysis of Argument #2 </w:t>
      </w:r>
      <w:r>
        <w:t>First of all, people knowingly do all sorts of immoral</w:t>
      </w:r>
      <w:r>
        <w:rPr>
          <w:spacing w:val="-2"/>
        </w:rPr>
        <w:t xml:space="preserve"> </w:t>
      </w:r>
      <w:r>
        <w:t>things.</w:t>
      </w:r>
      <w:r>
        <w:rPr>
          <w:spacing w:val="-2"/>
        </w:rPr>
        <w:t xml:space="preserve"> </w:t>
      </w:r>
      <w:r>
        <w:t>So</w:t>
      </w:r>
      <w:r>
        <w:rPr>
          <w:spacing w:val="-2"/>
        </w:rPr>
        <w:t xml:space="preserve"> </w:t>
      </w:r>
      <w:r>
        <w:t>given</w:t>
      </w:r>
      <w:r>
        <w:rPr>
          <w:spacing w:val="-1"/>
        </w:rPr>
        <w:t xml:space="preserve"> </w:t>
      </w:r>
      <w:r>
        <w:t>only</w:t>
      </w:r>
      <w:r>
        <w:rPr>
          <w:spacing w:val="-2"/>
        </w:rPr>
        <w:t xml:space="preserve"> </w:t>
      </w:r>
      <w:r>
        <w:t>that</w:t>
      </w:r>
      <w:r>
        <w:rPr>
          <w:spacing w:val="-2"/>
        </w:rPr>
        <w:t xml:space="preserve"> </w:t>
      </w:r>
      <w:r>
        <w:t>such</w:t>
      </w:r>
      <w:r>
        <w:rPr>
          <w:spacing w:val="-2"/>
        </w:rPr>
        <w:t xml:space="preserve"> </w:t>
      </w:r>
      <w:r>
        <w:t>and</w:t>
      </w:r>
      <w:r>
        <w:rPr>
          <w:spacing w:val="-1"/>
        </w:rPr>
        <w:t xml:space="preserve"> </w:t>
      </w:r>
      <w:r>
        <w:t>such</w:t>
      </w:r>
      <w:r>
        <w:rPr>
          <w:spacing w:val="-2"/>
        </w:rPr>
        <w:t xml:space="preserve"> </w:t>
      </w:r>
      <w:r>
        <w:t>is</w:t>
      </w:r>
      <w:r>
        <w:rPr>
          <w:spacing w:val="-2"/>
        </w:rPr>
        <w:t xml:space="preserve"> </w:t>
      </w:r>
      <w:r>
        <w:t>done</w:t>
      </w:r>
      <w:r>
        <w:rPr>
          <w:spacing w:val="-2"/>
        </w:rPr>
        <w:t xml:space="preserve"> </w:t>
      </w:r>
      <w:r>
        <w:t>in</w:t>
      </w:r>
      <w:r>
        <w:rPr>
          <w:spacing w:val="-1"/>
        </w:rPr>
        <w:t xml:space="preserve"> </w:t>
      </w:r>
      <w:r>
        <w:t>a</w:t>
      </w:r>
      <w:r>
        <w:rPr>
          <w:spacing w:val="-2"/>
        </w:rPr>
        <w:t xml:space="preserve"> </w:t>
      </w:r>
      <w:r>
        <w:t>given</w:t>
      </w:r>
      <w:r>
        <w:rPr>
          <w:spacing w:val="-2"/>
        </w:rPr>
        <w:t xml:space="preserve"> </w:t>
      </w:r>
      <w:r>
        <w:t>culture,</w:t>
      </w:r>
      <w:r>
        <w:rPr>
          <w:spacing w:val="-1"/>
        </w:rPr>
        <w:t xml:space="preserve"> </w:t>
      </w:r>
      <w:r>
        <w:t xml:space="preserve">it doesn’t follow that people in that culture think that it’s right to do such and </w:t>
      </w:r>
      <w:r>
        <w:rPr>
          <w:spacing w:val="-4"/>
        </w:rPr>
        <w:t>such.</w:t>
      </w:r>
    </w:p>
    <w:p w14:paraId="7E002474" w14:textId="77777777" w:rsidR="009A58DB" w:rsidRDefault="00000000">
      <w:pPr>
        <w:pStyle w:val="BodyText"/>
        <w:spacing w:before="5" w:line="249" w:lineRule="auto"/>
        <w:ind w:right="359" w:firstLine="360"/>
      </w:pPr>
      <w:r>
        <w:t xml:space="preserve">Second, people who know that what they’re doing is wrong don’t always admit it. In fact, they’re exceptionally likely to lie about it. So given only that two cultures diverge in what they </w:t>
      </w:r>
      <w:r>
        <w:rPr>
          <w:i/>
        </w:rPr>
        <w:t xml:space="preserve">claim </w:t>
      </w:r>
      <w:r>
        <w:t xml:space="preserve">to regard as moral, it doesn’t follow that there’s any </w:t>
      </w:r>
      <w:r>
        <w:rPr>
          <w:i/>
        </w:rPr>
        <w:t>actual</w:t>
      </w:r>
      <w:r>
        <w:rPr>
          <w:i/>
          <w:spacing w:val="-4"/>
        </w:rPr>
        <w:t xml:space="preserve"> </w:t>
      </w:r>
      <w:r>
        <w:t xml:space="preserve">divergence of moral outlook. Given only that, in some culture, it’s officially legitimate to own people of a certain race or gender, it doesn’t follow that people in that culture generally think it’s good. It could just mean that the people who benefit from this custom have the power to keep it going and believe (correctly, no doubt) that it’ll be easier for them to do so if, they provide some specious ethical basis for it. If, instead, they brazenly admit that what they’re doing is wrong but </w:t>
      </w:r>
      <w:r>
        <w:rPr>
          <w:i/>
        </w:rPr>
        <w:t xml:space="preserve">still </w:t>
      </w:r>
      <w:r>
        <w:t>insist on doing it, they’ll lose many would-be supporters and will soon have to forego the practice in question.</w:t>
      </w:r>
    </w:p>
    <w:p w14:paraId="7E002475" w14:textId="77777777" w:rsidR="009A58DB" w:rsidRDefault="00000000">
      <w:pPr>
        <w:pStyle w:val="BodyText"/>
        <w:spacing w:before="14" w:line="249" w:lineRule="auto"/>
        <w:ind w:right="359" w:firstLine="360"/>
      </w:pPr>
      <w:r>
        <w:t>Also, sometimes apparent moral disagreements are disagreements as to how to implement a shared moral value. If people in culture X think that beating children prevents them from becoming effective adults, whereas people in Y think that beating is necessary to make them become effective adults, then the moral value (</w:t>
      </w:r>
      <w:r>
        <w:rPr>
          <w:i/>
        </w:rPr>
        <w:t>you should help your children become effective adults</w:t>
      </w:r>
      <w:r>
        <w:t>) that underlies the acceptance of child-beating in X coincides with the value that underlies the prohibition of it in Y.</w:t>
      </w:r>
    </w:p>
    <w:p w14:paraId="7E002476" w14:textId="77777777" w:rsidR="009A58DB" w:rsidRDefault="00000000">
      <w:pPr>
        <w:pStyle w:val="BodyText"/>
        <w:spacing w:before="9" w:line="249" w:lineRule="auto"/>
        <w:ind w:right="358" w:firstLine="360"/>
      </w:pPr>
      <w:r>
        <w:t>Having said all this, let’s suppose that sometimes different cultures really do have different values. Does it follow that no cultures are ever, in any respects</w:t>
      </w:r>
      <w:r>
        <w:rPr>
          <w:spacing w:val="-1"/>
        </w:rPr>
        <w:t xml:space="preserve"> </w:t>
      </w:r>
      <w:r>
        <w:t>at</w:t>
      </w:r>
      <w:r>
        <w:rPr>
          <w:spacing w:val="-1"/>
        </w:rPr>
        <w:t xml:space="preserve"> </w:t>
      </w:r>
      <w:r>
        <w:t>all,</w:t>
      </w:r>
      <w:r>
        <w:rPr>
          <w:spacing w:val="-1"/>
        </w:rPr>
        <w:t xml:space="preserve"> </w:t>
      </w:r>
      <w:r>
        <w:t>morally more</w:t>
      </w:r>
      <w:r>
        <w:rPr>
          <w:spacing w:val="-1"/>
        </w:rPr>
        <w:t xml:space="preserve"> </w:t>
      </w:r>
      <w:r>
        <w:t>in the</w:t>
      </w:r>
      <w:r>
        <w:rPr>
          <w:spacing w:val="-1"/>
        </w:rPr>
        <w:t xml:space="preserve"> </w:t>
      </w:r>
      <w:r>
        <w:t>right</w:t>
      </w:r>
      <w:r>
        <w:rPr>
          <w:spacing w:val="-1"/>
        </w:rPr>
        <w:t xml:space="preserve"> </w:t>
      </w:r>
      <w:r>
        <w:t>than</w:t>
      </w:r>
      <w:r>
        <w:rPr>
          <w:spacing w:val="-1"/>
        </w:rPr>
        <w:t xml:space="preserve"> </w:t>
      </w:r>
      <w:r>
        <w:t>others? It</w:t>
      </w:r>
      <w:r>
        <w:rPr>
          <w:spacing w:val="-1"/>
        </w:rPr>
        <w:t xml:space="preserve"> </w:t>
      </w:r>
      <w:r>
        <w:t>does not,</w:t>
      </w:r>
      <w:r>
        <w:rPr>
          <w:spacing w:val="-1"/>
        </w:rPr>
        <w:t xml:space="preserve"> </w:t>
      </w:r>
      <w:r>
        <w:t>and it</w:t>
      </w:r>
      <w:r>
        <w:rPr>
          <w:spacing w:val="-1"/>
        </w:rPr>
        <w:t xml:space="preserve"> </w:t>
      </w:r>
      <w:r>
        <w:t>would be incoherent to say otherwise. Culture X tries to wipe out Culture Y. X has no good reason for doing this. (Y isn’t a threat to X. Invading Y won’t stimulate X’s economy. And so on.)What is a cultural relativist to say? If he says</w:t>
      </w:r>
      <w:r>
        <w:rPr>
          <w:spacing w:val="-1"/>
        </w:rPr>
        <w:t xml:space="preserve"> </w:t>
      </w:r>
      <w:r>
        <w:t>that</w:t>
      </w:r>
      <w:r>
        <w:rPr>
          <w:spacing w:val="-1"/>
        </w:rPr>
        <w:t xml:space="preserve"> </w:t>
      </w:r>
      <w:r>
        <w:t>it’s</w:t>
      </w:r>
      <w:r>
        <w:rPr>
          <w:spacing w:val="-1"/>
        </w:rPr>
        <w:t xml:space="preserve"> </w:t>
      </w:r>
      <w:r>
        <w:t>wrong,</w:t>
      </w:r>
      <w:r>
        <w:rPr>
          <w:spacing w:val="-1"/>
        </w:rPr>
        <w:t xml:space="preserve"> </w:t>
      </w:r>
      <w:r>
        <w:t>he’s</w:t>
      </w:r>
      <w:r>
        <w:rPr>
          <w:spacing w:val="-1"/>
        </w:rPr>
        <w:t xml:space="preserve"> </w:t>
      </w:r>
      <w:r>
        <w:t>conceding</w:t>
      </w:r>
      <w:r>
        <w:rPr>
          <w:spacing w:val="-1"/>
        </w:rPr>
        <w:t xml:space="preserve"> </w:t>
      </w:r>
      <w:r>
        <w:t>that</w:t>
      </w:r>
      <w:r>
        <w:rPr>
          <w:spacing w:val="-1"/>
        </w:rPr>
        <w:t xml:space="preserve"> </w:t>
      </w:r>
      <w:r>
        <w:t>there</w:t>
      </w:r>
      <w:r>
        <w:rPr>
          <w:spacing w:val="-1"/>
        </w:rPr>
        <w:t xml:space="preserve"> </w:t>
      </w:r>
      <w:r>
        <w:t>is</w:t>
      </w:r>
      <w:r>
        <w:rPr>
          <w:spacing w:val="-1"/>
        </w:rPr>
        <w:t xml:space="preserve"> </w:t>
      </w:r>
      <w:r>
        <w:t>an</w:t>
      </w:r>
      <w:r>
        <w:rPr>
          <w:spacing w:val="-1"/>
        </w:rPr>
        <w:t xml:space="preserve"> </w:t>
      </w:r>
      <w:r>
        <w:t>intercultural</w:t>
      </w:r>
      <w:r>
        <w:rPr>
          <w:spacing w:val="-1"/>
        </w:rPr>
        <w:t xml:space="preserve"> </w:t>
      </w:r>
      <w:r>
        <w:t>value-system and is thus undermining his own position. If he denies that it’s wrong, he’s saying nothing that one culture does to another is wrong. If correct, this position entails that there’s nothing wrong with obliterating a culture and its value</w:t>
      </w:r>
      <w:r>
        <w:rPr>
          <w:spacing w:val="20"/>
        </w:rPr>
        <w:t xml:space="preserve"> </w:t>
      </w:r>
      <w:r>
        <w:t>system</w:t>
      </w:r>
      <w:r>
        <w:rPr>
          <w:spacing w:val="20"/>
        </w:rPr>
        <w:t xml:space="preserve"> </w:t>
      </w:r>
      <w:r>
        <w:t>with</w:t>
      </w:r>
      <w:r>
        <w:rPr>
          <w:spacing w:val="20"/>
        </w:rPr>
        <w:t xml:space="preserve"> </w:t>
      </w:r>
      <w:r>
        <w:t>it.</w:t>
      </w:r>
      <w:r>
        <w:rPr>
          <w:spacing w:val="20"/>
        </w:rPr>
        <w:t xml:space="preserve"> </w:t>
      </w:r>
      <w:r>
        <w:t>And</w:t>
      </w:r>
      <w:r>
        <w:rPr>
          <w:spacing w:val="20"/>
        </w:rPr>
        <w:t xml:space="preserve"> </w:t>
      </w:r>
      <w:r>
        <w:t>this,</w:t>
      </w:r>
      <w:r>
        <w:rPr>
          <w:spacing w:val="20"/>
        </w:rPr>
        <w:t xml:space="preserve"> </w:t>
      </w:r>
      <w:r>
        <w:t>in</w:t>
      </w:r>
      <w:r>
        <w:rPr>
          <w:spacing w:val="20"/>
        </w:rPr>
        <w:t xml:space="preserve"> </w:t>
      </w:r>
      <w:r>
        <w:t>its</w:t>
      </w:r>
      <w:r>
        <w:rPr>
          <w:spacing w:val="20"/>
        </w:rPr>
        <w:t xml:space="preserve"> </w:t>
      </w:r>
      <w:r>
        <w:t>turn,</w:t>
      </w:r>
      <w:r>
        <w:rPr>
          <w:spacing w:val="20"/>
        </w:rPr>
        <w:t xml:space="preserve"> </w:t>
      </w:r>
      <w:r>
        <w:t>entails</w:t>
      </w:r>
      <w:r>
        <w:rPr>
          <w:spacing w:val="20"/>
        </w:rPr>
        <w:t xml:space="preserve"> </w:t>
      </w:r>
      <w:r>
        <w:t>that</w:t>
      </w:r>
      <w:r>
        <w:rPr>
          <w:spacing w:val="20"/>
        </w:rPr>
        <w:t xml:space="preserve"> </w:t>
      </w:r>
      <w:r>
        <w:t>a</w:t>
      </w:r>
      <w:r>
        <w:rPr>
          <w:spacing w:val="20"/>
        </w:rPr>
        <w:t xml:space="preserve"> </w:t>
      </w:r>
      <w:r>
        <w:t>culture’s</w:t>
      </w:r>
      <w:r>
        <w:rPr>
          <w:spacing w:val="20"/>
        </w:rPr>
        <w:t xml:space="preserve"> </w:t>
      </w:r>
      <w:r>
        <w:t>morality</w:t>
      </w:r>
      <w:r>
        <w:rPr>
          <w:spacing w:val="20"/>
        </w:rPr>
        <w:t xml:space="preserve"> </w:t>
      </w:r>
      <w:r>
        <w:t>is</w:t>
      </w:r>
    </w:p>
    <w:p w14:paraId="7E00247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78" w14:textId="77777777" w:rsidR="009A58DB" w:rsidRDefault="00000000">
      <w:pPr>
        <w:pStyle w:val="BodyText"/>
        <w:spacing w:before="65" w:line="249" w:lineRule="auto"/>
        <w:ind w:right="359"/>
        <w:rPr>
          <w:position w:val="21"/>
        </w:rPr>
      </w:pPr>
      <w:r>
        <w:lastRenderedPageBreak/>
        <w:t>no more valid than its army is powerful. In other words, might makes right. But this is the antithesis of the sentiment of tolerance that (supposedly) underlies acceptance of cultural relativism. Thus, cultural relativism is self-defeating and therefore false.</w:t>
      </w:r>
      <w:bookmarkStart w:id="499" w:name="_bookmark499"/>
      <w:bookmarkEnd w:id="499"/>
      <w:r>
        <w:rPr>
          <w:color w:val="0562C1"/>
          <w:position w:val="21"/>
          <w:u w:val="single" w:color="0562C1"/>
        </w:rPr>
        <w:t>[371]</w:t>
      </w:r>
    </w:p>
    <w:p w14:paraId="7E002479" w14:textId="77777777" w:rsidR="009A58DB" w:rsidRDefault="00000000">
      <w:pPr>
        <w:spacing w:before="102" w:line="249" w:lineRule="auto"/>
        <w:ind w:left="360" w:right="359"/>
        <w:jc w:val="both"/>
        <w:rPr>
          <w:b/>
          <w:i/>
          <w:sz w:val="34"/>
        </w:rPr>
      </w:pPr>
      <w:r>
        <w:rPr>
          <w:b/>
          <w:i/>
          <w:sz w:val="34"/>
        </w:rPr>
        <w:t xml:space="preserve">What they do in culture X is wrong </w:t>
      </w:r>
      <w:r>
        <w:rPr>
          <w:sz w:val="34"/>
        </w:rPr>
        <w:t xml:space="preserve">≠ </w:t>
      </w:r>
      <w:r>
        <w:rPr>
          <w:b/>
          <w:i/>
          <w:sz w:val="34"/>
        </w:rPr>
        <w:t>we have the right to stop them from doing it</w:t>
      </w:r>
    </w:p>
    <w:p w14:paraId="7E00247A" w14:textId="77777777" w:rsidR="009A58DB" w:rsidRDefault="00000000">
      <w:pPr>
        <w:pStyle w:val="BodyText"/>
        <w:spacing w:before="64" w:line="249" w:lineRule="auto"/>
        <w:ind w:right="359" w:firstLine="360"/>
      </w:pPr>
      <w:r>
        <w:t>Given only that some culture engages in a practice that we know to be wrong, it doesn’t follow that we have the right to intercede. First of all, the cure can be worse than the disease. The Dictator of Country X, let us assume, beats his wife. This is immoral. But if we were to invade X to prevent this, the result could be a breakdown in order that was followed by a flood of murders,</w:t>
      </w:r>
      <w:r>
        <w:rPr>
          <w:spacing w:val="-2"/>
        </w:rPr>
        <w:t xml:space="preserve"> </w:t>
      </w:r>
      <w:r>
        <w:t>rapes,</w:t>
      </w:r>
      <w:r>
        <w:rPr>
          <w:spacing w:val="-2"/>
        </w:rPr>
        <w:t xml:space="preserve"> </w:t>
      </w:r>
      <w:r>
        <w:t>etc.,</w:t>
      </w:r>
      <w:r>
        <w:rPr>
          <w:spacing w:val="-2"/>
        </w:rPr>
        <w:t xml:space="preserve"> </w:t>
      </w:r>
      <w:r>
        <w:t>which,</w:t>
      </w:r>
      <w:r>
        <w:rPr>
          <w:spacing w:val="-2"/>
        </w:rPr>
        <w:t xml:space="preserve"> </w:t>
      </w:r>
      <w:r>
        <w:t>collectively,</w:t>
      </w:r>
      <w:r>
        <w:rPr>
          <w:spacing w:val="-2"/>
        </w:rPr>
        <w:t xml:space="preserve"> </w:t>
      </w:r>
      <w:r>
        <w:t>would</w:t>
      </w:r>
      <w:r>
        <w:rPr>
          <w:spacing w:val="-2"/>
        </w:rPr>
        <w:t xml:space="preserve"> </w:t>
      </w:r>
      <w:r>
        <w:t>make</w:t>
      </w:r>
      <w:r>
        <w:rPr>
          <w:spacing w:val="-2"/>
        </w:rPr>
        <w:t xml:space="preserve"> </w:t>
      </w:r>
      <w:r>
        <w:t>for</w:t>
      </w:r>
      <w:r>
        <w:rPr>
          <w:spacing w:val="-2"/>
        </w:rPr>
        <w:t xml:space="preserve"> </w:t>
      </w:r>
      <w:r>
        <w:t>a</w:t>
      </w:r>
      <w:r>
        <w:rPr>
          <w:spacing w:val="-2"/>
        </w:rPr>
        <w:t xml:space="preserve"> </w:t>
      </w:r>
      <w:r>
        <w:t>situation</w:t>
      </w:r>
      <w:r>
        <w:rPr>
          <w:spacing w:val="-2"/>
        </w:rPr>
        <w:t xml:space="preserve"> </w:t>
      </w:r>
      <w:r>
        <w:t>far</w:t>
      </w:r>
      <w:r>
        <w:rPr>
          <w:spacing w:val="-2"/>
        </w:rPr>
        <w:t xml:space="preserve"> </w:t>
      </w:r>
      <w:r>
        <w:t>worse than the one we were trying to correct.</w:t>
      </w:r>
    </w:p>
    <w:p w14:paraId="7E00247B" w14:textId="77777777" w:rsidR="009A58DB" w:rsidRDefault="00000000">
      <w:pPr>
        <w:pStyle w:val="BodyText"/>
        <w:spacing w:before="9" w:line="249" w:lineRule="auto"/>
        <w:ind w:right="357" w:firstLine="360"/>
      </w:pPr>
      <w:r>
        <w:t xml:space="preserve">When we make predictions about a country, we tend to rely heavily on knowledge of regularity-conducive structures, such as governments and other stable institutions. When a country is invaded, those institutions are </w:t>
      </w:r>
      <w:r>
        <w:rPr>
          <w:i/>
        </w:rPr>
        <w:t xml:space="preserve">ex hypothesi </w:t>
      </w:r>
      <w:r>
        <w:t>undermined. Therefore, our methods for predicting occurrences in that</w:t>
      </w:r>
      <w:r>
        <w:rPr>
          <w:spacing w:val="-2"/>
        </w:rPr>
        <w:t xml:space="preserve"> </w:t>
      </w:r>
      <w:r>
        <w:t>county</w:t>
      </w:r>
      <w:r>
        <w:rPr>
          <w:spacing w:val="-2"/>
        </w:rPr>
        <w:t xml:space="preserve"> </w:t>
      </w:r>
      <w:r>
        <w:t>cease</w:t>
      </w:r>
      <w:r>
        <w:rPr>
          <w:spacing w:val="-2"/>
        </w:rPr>
        <w:t xml:space="preserve"> </w:t>
      </w:r>
      <w:r>
        <w:t>to</w:t>
      </w:r>
      <w:r>
        <w:rPr>
          <w:spacing w:val="-2"/>
        </w:rPr>
        <w:t xml:space="preserve"> </w:t>
      </w:r>
      <w:r>
        <w:t>be</w:t>
      </w:r>
      <w:r>
        <w:rPr>
          <w:spacing w:val="-2"/>
        </w:rPr>
        <w:t xml:space="preserve"> </w:t>
      </w:r>
      <w:r>
        <w:t>reliable.</w:t>
      </w:r>
      <w:r>
        <w:rPr>
          <w:spacing w:val="-2"/>
        </w:rPr>
        <w:t xml:space="preserve"> </w:t>
      </w:r>
      <w:r>
        <w:t>An</w:t>
      </w:r>
      <w:r>
        <w:rPr>
          <w:spacing w:val="-2"/>
        </w:rPr>
        <w:t xml:space="preserve"> </w:t>
      </w:r>
      <w:r>
        <w:t>intervention</w:t>
      </w:r>
      <w:r>
        <w:rPr>
          <w:spacing w:val="-2"/>
        </w:rPr>
        <w:t xml:space="preserve"> </w:t>
      </w:r>
      <w:r>
        <w:t>isn’t</w:t>
      </w:r>
      <w:r>
        <w:rPr>
          <w:spacing w:val="-2"/>
        </w:rPr>
        <w:t xml:space="preserve"> </w:t>
      </w:r>
      <w:r>
        <w:t>justified</w:t>
      </w:r>
      <w:r>
        <w:rPr>
          <w:spacing w:val="-2"/>
        </w:rPr>
        <w:t xml:space="preserve"> </w:t>
      </w:r>
      <w:r>
        <w:t>unless</w:t>
      </w:r>
      <w:r>
        <w:rPr>
          <w:spacing w:val="-2"/>
        </w:rPr>
        <w:t xml:space="preserve"> </w:t>
      </w:r>
      <w:r>
        <w:t>there’s</w:t>
      </w:r>
      <w:r>
        <w:rPr>
          <w:spacing w:val="-2"/>
        </w:rPr>
        <w:t xml:space="preserve"> </w:t>
      </w:r>
      <w:r>
        <w:t>a reasonable expectation that the post-intervention situation is better than the pre-intervention one. Since interventions make it hard to have such expectations, it follows that they are often unjustified.</w:t>
      </w:r>
    </w:p>
    <w:p w14:paraId="7E00247C" w14:textId="77777777" w:rsidR="009A58DB" w:rsidRDefault="00000000">
      <w:pPr>
        <w:pStyle w:val="BodyText"/>
        <w:spacing w:before="10" w:line="249" w:lineRule="auto"/>
        <w:ind w:right="358" w:firstLine="360"/>
      </w:pPr>
      <w:r>
        <w:t xml:space="preserve">So it’s one thing to say that </w:t>
      </w:r>
      <w:r>
        <w:rPr>
          <w:i/>
        </w:rPr>
        <w:t xml:space="preserve">we </w:t>
      </w:r>
      <w:r>
        <w:t>have the right to change X if female circumcision</w:t>
      </w:r>
      <w:r>
        <w:rPr>
          <w:spacing w:val="-3"/>
        </w:rPr>
        <w:t xml:space="preserve"> </w:t>
      </w:r>
      <w:r>
        <w:t>is</w:t>
      </w:r>
      <w:r>
        <w:rPr>
          <w:spacing w:val="-4"/>
        </w:rPr>
        <w:t xml:space="preserve"> </w:t>
      </w:r>
      <w:r>
        <w:t>common</w:t>
      </w:r>
      <w:r>
        <w:rPr>
          <w:spacing w:val="-3"/>
        </w:rPr>
        <w:t xml:space="preserve"> </w:t>
      </w:r>
      <w:r>
        <w:t>practice</w:t>
      </w:r>
      <w:r>
        <w:rPr>
          <w:spacing w:val="-4"/>
        </w:rPr>
        <w:t xml:space="preserve"> </w:t>
      </w:r>
      <w:r>
        <w:t>there.</w:t>
      </w:r>
      <w:r>
        <w:rPr>
          <w:spacing w:val="-3"/>
        </w:rPr>
        <w:t xml:space="preserve"> </w:t>
      </w:r>
      <w:r>
        <w:t>It’s</w:t>
      </w:r>
      <w:r>
        <w:rPr>
          <w:spacing w:val="-4"/>
        </w:rPr>
        <w:t xml:space="preserve"> </w:t>
      </w:r>
      <w:r>
        <w:t>a</w:t>
      </w:r>
      <w:r>
        <w:rPr>
          <w:spacing w:val="-4"/>
        </w:rPr>
        <w:t xml:space="preserve"> </w:t>
      </w:r>
      <w:r>
        <w:t>very</w:t>
      </w:r>
      <w:r>
        <w:rPr>
          <w:spacing w:val="-3"/>
        </w:rPr>
        <w:t xml:space="preserve"> </w:t>
      </w:r>
      <w:r>
        <w:t>different</w:t>
      </w:r>
      <w:r>
        <w:rPr>
          <w:spacing w:val="-4"/>
        </w:rPr>
        <w:t xml:space="preserve"> </w:t>
      </w:r>
      <w:r>
        <w:t>thing</w:t>
      </w:r>
      <w:r>
        <w:rPr>
          <w:spacing w:val="-3"/>
        </w:rPr>
        <w:t xml:space="preserve"> </w:t>
      </w:r>
      <w:r>
        <w:t>to</w:t>
      </w:r>
      <w:r>
        <w:rPr>
          <w:spacing w:val="-3"/>
        </w:rPr>
        <w:t xml:space="preserve"> </w:t>
      </w:r>
      <w:r>
        <w:t>say</w:t>
      </w:r>
      <w:r>
        <w:rPr>
          <w:spacing w:val="-3"/>
        </w:rPr>
        <w:t xml:space="preserve"> </w:t>
      </w:r>
      <w:r>
        <w:t>that</w:t>
      </w:r>
      <w:r>
        <w:rPr>
          <w:spacing w:val="-4"/>
        </w:rPr>
        <w:t xml:space="preserve"> </w:t>
      </w:r>
      <w:r>
        <w:t xml:space="preserve">it is </w:t>
      </w:r>
      <w:r>
        <w:rPr>
          <w:i/>
        </w:rPr>
        <w:t xml:space="preserve">right </w:t>
      </w:r>
      <w:r>
        <w:t xml:space="preserve">of X to countenance this abominable practice. A failure to see that these are entirely different propositions underlies the view that whatever goes on within a nation’s (or culture’s) borders is </w:t>
      </w:r>
      <w:r>
        <w:rPr>
          <w:i/>
        </w:rPr>
        <w:t>ipso facto</w:t>
      </w:r>
      <w:r>
        <w:rPr>
          <w:i/>
          <w:spacing w:val="40"/>
        </w:rPr>
        <w:t xml:space="preserve"> </w:t>
      </w:r>
      <w:r>
        <w:t>morally good.</w:t>
      </w:r>
    </w:p>
    <w:p w14:paraId="7E00247D" w14:textId="77777777" w:rsidR="009A58DB" w:rsidRDefault="00000000">
      <w:pPr>
        <w:pStyle w:val="BodyText"/>
        <w:spacing w:before="6" w:line="249" w:lineRule="auto"/>
        <w:ind w:right="358" w:firstLine="360"/>
      </w:pPr>
      <w:r>
        <w:t>Another relevant point is that no person and no nation would have much autonomy if it weren’t allowed to do anything wrong. Nobody would have much freedom under a government that micromanaged individual morality, and no nation would have much freedom under an international government that micromanaged national morality. It’s obvious that autonomy is a good thing. Since a precondition for personal or national autonomy is being allowed,</w:t>
      </w:r>
      <w:r>
        <w:rPr>
          <w:spacing w:val="-1"/>
        </w:rPr>
        <w:t xml:space="preserve"> </w:t>
      </w:r>
      <w:r>
        <w:t>within</w:t>
      </w:r>
      <w:r>
        <w:rPr>
          <w:spacing w:val="-1"/>
        </w:rPr>
        <w:t xml:space="preserve"> </w:t>
      </w:r>
      <w:r>
        <w:t>limits,</w:t>
      </w:r>
      <w:r>
        <w:rPr>
          <w:spacing w:val="-1"/>
        </w:rPr>
        <w:t xml:space="preserve"> </w:t>
      </w:r>
      <w:r>
        <w:t>to</w:t>
      </w:r>
      <w:r>
        <w:rPr>
          <w:spacing w:val="-1"/>
        </w:rPr>
        <w:t xml:space="preserve"> </w:t>
      </w:r>
      <w:r>
        <w:t>do</w:t>
      </w:r>
      <w:r>
        <w:rPr>
          <w:spacing w:val="-1"/>
        </w:rPr>
        <w:t xml:space="preserve"> </w:t>
      </w:r>
      <w:r>
        <w:t>wrong,</w:t>
      </w:r>
      <w:r>
        <w:rPr>
          <w:spacing w:val="-1"/>
        </w:rPr>
        <w:t xml:space="preserve"> </w:t>
      </w:r>
      <w:r>
        <w:t>it</w:t>
      </w:r>
      <w:r>
        <w:rPr>
          <w:spacing w:val="-2"/>
        </w:rPr>
        <w:t xml:space="preserve"> </w:t>
      </w:r>
      <w:r>
        <w:t>follows</w:t>
      </w:r>
      <w:r>
        <w:rPr>
          <w:spacing w:val="-1"/>
        </w:rPr>
        <w:t xml:space="preserve"> </w:t>
      </w:r>
      <w:r>
        <w:t>that</w:t>
      </w:r>
      <w:r>
        <w:rPr>
          <w:spacing w:val="-1"/>
        </w:rPr>
        <w:t xml:space="preserve"> </w:t>
      </w:r>
      <w:r>
        <w:t>one</w:t>
      </w:r>
      <w:r>
        <w:rPr>
          <w:spacing w:val="-1"/>
        </w:rPr>
        <w:t xml:space="preserve"> </w:t>
      </w:r>
      <w:r>
        <w:t>can</w:t>
      </w:r>
      <w:r>
        <w:rPr>
          <w:spacing w:val="-1"/>
        </w:rPr>
        <w:t xml:space="preserve"> </w:t>
      </w:r>
      <w:r>
        <w:t>have</w:t>
      </w:r>
      <w:r>
        <w:rPr>
          <w:spacing w:val="-1"/>
        </w:rPr>
        <w:t xml:space="preserve"> </w:t>
      </w:r>
      <w:r>
        <w:t>an</w:t>
      </w:r>
      <w:r>
        <w:rPr>
          <w:spacing w:val="-1"/>
        </w:rPr>
        <w:t xml:space="preserve"> </w:t>
      </w:r>
      <w:r>
        <w:t>obligation to</w:t>
      </w:r>
      <w:r>
        <w:rPr>
          <w:spacing w:val="11"/>
        </w:rPr>
        <w:t xml:space="preserve"> </w:t>
      </w:r>
      <w:r>
        <w:rPr>
          <w:i/>
        </w:rPr>
        <w:t>refrain</w:t>
      </w:r>
      <w:r>
        <w:rPr>
          <w:i/>
          <w:spacing w:val="13"/>
        </w:rPr>
        <w:t xml:space="preserve"> </w:t>
      </w:r>
      <w:r>
        <w:t>from</w:t>
      </w:r>
      <w:r>
        <w:rPr>
          <w:spacing w:val="24"/>
        </w:rPr>
        <w:t xml:space="preserve"> </w:t>
      </w:r>
      <w:r>
        <w:t>preventing</w:t>
      </w:r>
      <w:r>
        <w:rPr>
          <w:spacing w:val="24"/>
        </w:rPr>
        <w:t xml:space="preserve"> </w:t>
      </w:r>
      <w:r>
        <w:t>acts</w:t>
      </w:r>
      <w:r>
        <w:rPr>
          <w:spacing w:val="24"/>
        </w:rPr>
        <w:t xml:space="preserve"> </w:t>
      </w:r>
      <w:r>
        <w:t>that</w:t>
      </w:r>
      <w:r>
        <w:rPr>
          <w:spacing w:val="23"/>
        </w:rPr>
        <w:t xml:space="preserve"> </w:t>
      </w:r>
      <w:r>
        <w:t>one</w:t>
      </w:r>
      <w:r>
        <w:rPr>
          <w:spacing w:val="25"/>
        </w:rPr>
        <w:t xml:space="preserve"> </w:t>
      </w:r>
      <w:r>
        <w:rPr>
          <w:i/>
        </w:rPr>
        <w:t>knows</w:t>
      </w:r>
      <w:r>
        <w:rPr>
          <w:i/>
          <w:spacing w:val="27"/>
        </w:rPr>
        <w:t xml:space="preserve"> </w:t>
      </w:r>
      <w:r>
        <w:t>to</w:t>
      </w:r>
      <w:r>
        <w:rPr>
          <w:spacing w:val="28"/>
        </w:rPr>
        <w:t xml:space="preserve"> </w:t>
      </w:r>
      <w:r>
        <w:t>be</w:t>
      </w:r>
      <w:r>
        <w:rPr>
          <w:spacing w:val="27"/>
        </w:rPr>
        <w:t xml:space="preserve"> </w:t>
      </w:r>
      <w:r>
        <w:t>wrong.</w:t>
      </w:r>
      <w:r>
        <w:rPr>
          <w:spacing w:val="28"/>
        </w:rPr>
        <w:t xml:space="preserve"> </w:t>
      </w:r>
      <w:r>
        <w:t>This</w:t>
      </w:r>
      <w:r>
        <w:rPr>
          <w:spacing w:val="27"/>
        </w:rPr>
        <w:t xml:space="preserve"> </w:t>
      </w:r>
      <w:r>
        <w:t>shows</w:t>
      </w:r>
      <w:r>
        <w:rPr>
          <w:spacing w:val="27"/>
        </w:rPr>
        <w:t xml:space="preserve"> </w:t>
      </w:r>
      <w:r>
        <w:rPr>
          <w:spacing w:val="-5"/>
        </w:rPr>
        <w:t>the</w:t>
      </w:r>
    </w:p>
    <w:p w14:paraId="7E00247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7F" w14:textId="77777777" w:rsidR="009A58DB" w:rsidRDefault="00000000">
      <w:pPr>
        <w:pStyle w:val="BodyText"/>
        <w:spacing w:before="70" w:line="249" w:lineRule="auto"/>
        <w:ind w:right="364"/>
      </w:pPr>
      <w:r>
        <w:lastRenderedPageBreak/>
        <w:t>spuriousness of the inference from “what so and so is doing is wrong” to “we have the right to stop so and so from doing it.”</w:t>
      </w:r>
    </w:p>
    <w:p w14:paraId="7E002480" w14:textId="77777777" w:rsidR="009A58DB" w:rsidRDefault="009A58DB">
      <w:pPr>
        <w:pStyle w:val="BodyText"/>
        <w:spacing w:before="12"/>
        <w:ind w:left="0"/>
        <w:jc w:val="left"/>
      </w:pPr>
    </w:p>
    <w:p w14:paraId="7E002481" w14:textId="77777777" w:rsidR="009A58DB" w:rsidRDefault="00000000">
      <w:pPr>
        <w:pStyle w:val="BodyText"/>
        <w:spacing w:line="249" w:lineRule="auto"/>
        <w:ind w:left="720" w:right="358"/>
      </w:pPr>
      <w:r>
        <w:rPr>
          <w:b/>
          <w:i/>
        </w:rPr>
        <w:t xml:space="preserve">Argument #3 </w:t>
      </w:r>
      <w:r>
        <w:t>Science has no use for moral facts. No accurate scientific description of the world, no matter how exhaustive, would ever mention them. It would mention atoms and protons, but not instances of</w:t>
      </w:r>
      <w:r>
        <w:rPr>
          <w:spacing w:val="40"/>
        </w:rPr>
        <w:t xml:space="preserve"> </w:t>
      </w:r>
      <w:r>
        <w:t>wickedness or decency; and, while it would describe things as having positive or negative charges, it wouldn’t describe anything as being right or wrong. Since moral facts have no place in any scientific description of reality, we have no reason to grant their existence and every reason to</w:t>
      </w:r>
      <w:r>
        <w:rPr>
          <w:spacing w:val="40"/>
        </w:rPr>
        <w:t xml:space="preserve"> </w:t>
      </w:r>
      <w:r>
        <w:t>deny it.</w:t>
      </w:r>
    </w:p>
    <w:p w14:paraId="7E002482" w14:textId="77777777" w:rsidR="009A58DB" w:rsidRDefault="009A58DB">
      <w:pPr>
        <w:pStyle w:val="BodyText"/>
        <w:spacing w:before="25"/>
        <w:ind w:left="0"/>
        <w:jc w:val="left"/>
      </w:pPr>
    </w:p>
    <w:p w14:paraId="7E002483" w14:textId="77777777" w:rsidR="009A58DB" w:rsidRDefault="00000000">
      <w:pPr>
        <w:pStyle w:val="BodyText"/>
        <w:spacing w:line="249" w:lineRule="auto"/>
        <w:ind w:right="358"/>
      </w:pPr>
      <w:r>
        <w:rPr>
          <w:b/>
          <w:i/>
        </w:rPr>
        <w:t xml:space="preserve">Analysis of Argument #3 </w:t>
      </w:r>
      <w:r>
        <w:t xml:space="preserve">If ethical facts </w:t>
      </w:r>
      <w:r>
        <w:rPr>
          <w:i/>
        </w:rPr>
        <w:t xml:space="preserve">are </w:t>
      </w:r>
      <w:r>
        <w:t xml:space="preserve">natural facts, then science </w:t>
      </w:r>
      <w:r>
        <w:rPr>
          <w:i/>
        </w:rPr>
        <w:t xml:space="preserve">does </w:t>
      </w:r>
      <w:r>
        <w:t xml:space="preserve">need to grant their existence. According to </w:t>
      </w:r>
      <w:r>
        <w:rPr>
          <w:b/>
          <w:i/>
        </w:rPr>
        <w:t xml:space="preserve">utilitarianism, </w:t>
      </w:r>
      <w:r>
        <w:t xml:space="preserve">an act is good to the extent that it promotes happiness and bad to the extent that it promotes unhappiness. According </w:t>
      </w:r>
      <w:r>
        <w:rPr>
          <w:b/>
          <w:i/>
        </w:rPr>
        <w:t xml:space="preserve">virtue theory, </w:t>
      </w:r>
      <w:r>
        <w:t>an act is good to the extent that it promotes the development of inborn potential and bad to the extent that it prevents it</w:t>
      </w:r>
      <w:bookmarkStart w:id="500" w:name="_bookmark500"/>
      <w:bookmarkEnd w:id="500"/>
      <w:r>
        <w:t>.</w:t>
      </w:r>
      <w:r>
        <w:rPr>
          <w:color w:val="0562C1"/>
          <w:position w:val="21"/>
          <w:u w:val="single" w:color="0562C1"/>
        </w:rPr>
        <w:t>[372]</w:t>
      </w:r>
      <w:r>
        <w:rPr>
          <w:color w:val="0562C1"/>
          <w:position w:val="21"/>
        </w:rPr>
        <w:t xml:space="preserve"> </w:t>
      </w:r>
      <w:r>
        <w:t xml:space="preserve">Science doesn’t deny that some acts do more than others in the way of creating happiness or encouraging the development of inborn potential. So if these doctrines are right, moral facts </w:t>
      </w:r>
      <w:r>
        <w:rPr>
          <w:i/>
        </w:rPr>
        <w:t xml:space="preserve">are </w:t>
      </w:r>
      <w:r>
        <w:t xml:space="preserve">natural facts and, therefore, must be countenanced by science. Utilitarianism identifies goodness with the property of being happiness conducive and, therefore, with something whose instances fall within the scope of natural science. The same thing </w:t>
      </w:r>
      <w:r>
        <w:rPr>
          <w:i/>
        </w:rPr>
        <w:t xml:space="preserve">mutatis mutandis </w:t>
      </w:r>
      <w:r>
        <w:t xml:space="preserve">is true of virtue theory and, indeed, of most ethical </w:t>
      </w:r>
      <w:r>
        <w:rPr>
          <w:spacing w:val="-2"/>
        </w:rPr>
        <w:t>theories.</w:t>
      </w:r>
    </w:p>
    <w:p w14:paraId="7E002484" w14:textId="77777777" w:rsidR="009A58DB" w:rsidRDefault="00000000">
      <w:pPr>
        <w:pStyle w:val="BodyText"/>
        <w:spacing w:before="16" w:line="249" w:lineRule="auto"/>
        <w:ind w:right="358" w:firstLine="360"/>
      </w:pPr>
      <w:r>
        <w:t xml:space="preserve">Those who advocate #4 seem to believe that, if two sentences describe some one fact, they must be synonymous. They seem to think that if “x is good” registered the same fact as some sentence belonging to physics or biology, it would be </w:t>
      </w:r>
      <w:r>
        <w:rPr>
          <w:i/>
        </w:rPr>
        <w:t xml:space="preserve">synonymous </w:t>
      </w:r>
      <w:r>
        <w:t>with such a sentence</w:t>
      </w:r>
      <w:bookmarkStart w:id="501" w:name="_bookmark501"/>
      <w:bookmarkEnd w:id="501"/>
      <w:r>
        <w:t>.</w:t>
      </w:r>
      <w:r>
        <w:rPr>
          <w:color w:val="0562C1"/>
          <w:position w:val="21"/>
          <w:u w:val="single" w:color="0562C1"/>
        </w:rPr>
        <w:t>[373]</w:t>
      </w:r>
      <w:r>
        <w:rPr>
          <w:color w:val="0562C1"/>
          <w:position w:val="21"/>
        </w:rPr>
        <w:t xml:space="preserve"> </w:t>
      </w:r>
      <w:r>
        <w:t>That isn’t true. The fact registered by “Smith has two cars” is identical with the fact registered</w:t>
      </w:r>
      <w:r>
        <w:rPr>
          <w:spacing w:val="-1"/>
        </w:rPr>
        <w:t xml:space="preserve"> </w:t>
      </w:r>
      <w:r>
        <w:t>by</w:t>
      </w:r>
      <w:r>
        <w:rPr>
          <w:spacing w:val="-1"/>
        </w:rPr>
        <w:t xml:space="preserve"> </w:t>
      </w:r>
      <w:r>
        <w:t>“if</w:t>
      </w:r>
      <w:r>
        <w:rPr>
          <w:spacing w:val="-1"/>
        </w:rPr>
        <w:t xml:space="preserve"> </w:t>
      </w:r>
      <w:r>
        <w:t>n</w:t>
      </w:r>
      <w:r>
        <w:rPr>
          <w:spacing w:val="-1"/>
        </w:rPr>
        <w:t xml:space="preserve"> </w:t>
      </w:r>
      <w:r>
        <w:t>is</w:t>
      </w:r>
      <w:r>
        <w:rPr>
          <w:spacing w:val="-1"/>
        </w:rPr>
        <w:t xml:space="preserve"> </w:t>
      </w:r>
      <w:r>
        <w:t>a</w:t>
      </w:r>
      <w:r>
        <w:rPr>
          <w:spacing w:val="-1"/>
        </w:rPr>
        <w:t xml:space="preserve"> </w:t>
      </w:r>
      <w:r>
        <w:t>number</w:t>
      </w:r>
      <w:r>
        <w:rPr>
          <w:spacing w:val="-1"/>
        </w:rPr>
        <w:t xml:space="preserve"> </w:t>
      </w:r>
      <w:r>
        <w:t>such</w:t>
      </w:r>
      <w:r>
        <w:rPr>
          <w:spacing w:val="-1"/>
        </w:rPr>
        <w:t xml:space="preserve"> </w:t>
      </w:r>
      <w:r>
        <w:t>that</w:t>
      </w:r>
      <w:r>
        <w:rPr>
          <w:spacing w:val="-1"/>
        </w:rPr>
        <w:t xml:space="preserve"> </w:t>
      </w:r>
      <w:r>
        <w:t>n</w:t>
      </w:r>
      <w:r>
        <w:rPr>
          <w:spacing w:val="-1"/>
        </w:rPr>
        <w:t xml:space="preserve"> </w:t>
      </w:r>
      <w:r>
        <w:t>=</w:t>
      </w:r>
      <w:r>
        <w:rPr>
          <w:spacing w:val="-1"/>
        </w:rPr>
        <w:t xml:space="preserve"> </w:t>
      </w:r>
      <w:r>
        <w:t>2</w:t>
      </w:r>
      <w:r>
        <w:rPr>
          <w:spacing w:val="-1"/>
        </w:rPr>
        <w:t xml:space="preserve"> </w:t>
      </w:r>
      <w:r>
        <w:t>iff</w:t>
      </w:r>
      <w:r>
        <w:rPr>
          <w:spacing w:val="-1"/>
        </w:rPr>
        <w:t xml:space="preserve"> </w:t>
      </w:r>
      <w:r>
        <w:t>arithmetic</w:t>
      </w:r>
      <w:r>
        <w:rPr>
          <w:spacing w:val="-1"/>
        </w:rPr>
        <w:t xml:space="preserve"> </w:t>
      </w:r>
      <w:r>
        <w:t>is</w:t>
      </w:r>
      <w:r>
        <w:rPr>
          <w:spacing w:val="-1"/>
        </w:rPr>
        <w:t xml:space="preserve"> </w:t>
      </w:r>
      <w:r>
        <w:t>incomplete</w:t>
      </w:r>
      <w:r>
        <w:rPr>
          <w:spacing w:val="-1"/>
        </w:rPr>
        <w:t xml:space="preserve"> </w:t>
      </w:r>
      <w:r>
        <w:t>and such that n = 3 otherwise, it follows that Smith has n cars.” But those sentences aren’t synonymous.</w:t>
      </w:r>
    </w:p>
    <w:p w14:paraId="7E00248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86" w14:textId="77777777" w:rsidR="009A58DB" w:rsidRDefault="00000000">
      <w:pPr>
        <w:pStyle w:val="BodyText"/>
        <w:spacing w:before="65" w:line="249" w:lineRule="auto"/>
        <w:ind w:left="720" w:right="360"/>
      </w:pPr>
      <w:r>
        <w:rPr>
          <w:b/>
          <w:i/>
        </w:rPr>
        <w:lastRenderedPageBreak/>
        <w:t xml:space="preserve">Argument #4 </w:t>
      </w:r>
      <w:r>
        <w:t>“Abortion is morally wrong” means “abortions shouldn’t occur’; and “keeping promises is morally right” means “promises should be kept.” “Smith is wrong to beat his children” means “in beating his children, Smith is doing something he shouldn’t do”; and “Smith is right</w:t>
      </w:r>
      <w:r>
        <w:rPr>
          <w:spacing w:val="40"/>
        </w:rPr>
        <w:t xml:space="preserve"> </w:t>
      </w:r>
      <w:r>
        <w:t>to tend to his ailing mother” means “in tending to his ailing mother, Smith is</w:t>
      </w:r>
      <w:r>
        <w:rPr>
          <w:spacing w:val="-3"/>
        </w:rPr>
        <w:t xml:space="preserve"> </w:t>
      </w:r>
      <w:r>
        <w:t>acting</w:t>
      </w:r>
      <w:r>
        <w:rPr>
          <w:spacing w:val="-2"/>
        </w:rPr>
        <w:t xml:space="preserve"> </w:t>
      </w:r>
      <w:r>
        <w:t>as</w:t>
      </w:r>
      <w:r>
        <w:rPr>
          <w:spacing w:val="-3"/>
        </w:rPr>
        <w:t xml:space="preserve"> </w:t>
      </w:r>
      <w:r>
        <w:t>he</w:t>
      </w:r>
      <w:r>
        <w:rPr>
          <w:spacing w:val="-3"/>
        </w:rPr>
        <w:t xml:space="preserve"> </w:t>
      </w:r>
      <w:r>
        <w:t>should.”</w:t>
      </w:r>
      <w:r>
        <w:rPr>
          <w:spacing w:val="-3"/>
        </w:rPr>
        <w:t xml:space="preserve"> </w:t>
      </w:r>
      <w:r>
        <w:t>In</w:t>
      </w:r>
      <w:r>
        <w:rPr>
          <w:spacing w:val="-2"/>
        </w:rPr>
        <w:t xml:space="preserve"> </w:t>
      </w:r>
      <w:r>
        <w:t>general,</w:t>
      </w:r>
      <w:r>
        <w:rPr>
          <w:spacing w:val="-2"/>
        </w:rPr>
        <w:t xml:space="preserve"> </w:t>
      </w:r>
      <w:r>
        <w:t>setting</w:t>
      </w:r>
      <w:r>
        <w:rPr>
          <w:spacing w:val="-2"/>
        </w:rPr>
        <w:t xml:space="preserve"> </w:t>
      </w:r>
      <w:r>
        <w:t>aside</w:t>
      </w:r>
      <w:r>
        <w:rPr>
          <w:spacing w:val="-3"/>
        </w:rPr>
        <w:t xml:space="preserve"> </w:t>
      </w:r>
      <w:r>
        <w:t>a</w:t>
      </w:r>
      <w:r>
        <w:rPr>
          <w:spacing w:val="-3"/>
        </w:rPr>
        <w:t xml:space="preserve"> </w:t>
      </w:r>
      <w:r>
        <w:t>few</w:t>
      </w:r>
      <w:r>
        <w:rPr>
          <w:spacing w:val="-3"/>
        </w:rPr>
        <w:t xml:space="preserve"> </w:t>
      </w:r>
      <w:r>
        <w:t>nuances,</w:t>
      </w:r>
      <w:r>
        <w:rPr>
          <w:spacing w:val="-2"/>
        </w:rPr>
        <w:t xml:space="preserve"> </w:t>
      </w:r>
      <w:r>
        <w:t>“x</w:t>
      </w:r>
      <w:r>
        <w:rPr>
          <w:spacing w:val="-2"/>
        </w:rPr>
        <w:t xml:space="preserve"> </w:t>
      </w:r>
      <w:r>
        <w:t>is</w:t>
      </w:r>
      <w:r>
        <w:rPr>
          <w:spacing w:val="-3"/>
        </w:rPr>
        <w:t xml:space="preserve"> </w:t>
      </w:r>
      <w:r>
        <w:t>good” means</w:t>
      </w:r>
      <w:r>
        <w:rPr>
          <w:spacing w:val="-4"/>
        </w:rPr>
        <w:t xml:space="preserve"> </w:t>
      </w:r>
      <w:r>
        <w:t>“x</w:t>
      </w:r>
      <w:r>
        <w:rPr>
          <w:spacing w:val="-3"/>
        </w:rPr>
        <w:t xml:space="preserve"> </w:t>
      </w:r>
      <w:r>
        <w:t>should</w:t>
      </w:r>
      <w:r>
        <w:rPr>
          <w:spacing w:val="-3"/>
        </w:rPr>
        <w:t xml:space="preserve"> </w:t>
      </w:r>
      <w:r>
        <w:t>exist</w:t>
      </w:r>
      <w:r>
        <w:rPr>
          <w:spacing w:val="-4"/>
        </w:rPr>
        <w:t xml:space="preserve"> </w:t>
      </w:r>
      <w:r>
        <w:t>(or</w:t>
      </w:r>
      <w:r>
        <w:rPr>
          <w:spacing w:val="-4"/>
        </w:rPr>
        <w:t xml:space="preserve"> </w:t>
      </w:r>
      <w:r>
        <w:t>occur)”</w:t>
      </w:r>
      <w:r>
        <w:rPr>
          <w:spacing w:val="-4"/>
        </w:rPr>
        <w:t xml:space="preserve"> </w:t>
      </w:r>
      <w:r>
        <w:t>and</w:t>
      </w:r>
      <w:r>
        <w:rPr>
          <w:spacing w:val="-3"/>
        </w:rPr>
        <w:t xml:space="preserve"> </w:t>
      </w:r>
      <w:r>
        <w:t>“x</w:t>
      </w:r>
      <w:r>
        <w:rPr>
          <w:spacing w:val="-3"/>
        </w:rPr>
        <w:t xml:space="preserve"> </w:t>
      </w:r>
      <w:r>
        <w:t>is</w:t>
      </w:r>
      <w:r>
        <w:rPr>
          <w:spacing w:val="-4"/>
        </w:rPr>
        <w:t xml:space="preserve"> </w:t>
      </w:r>
      <w:r>
        <w:t>bad”</w:t>
      </w:r>
      <w:r>
        <w:rPr>
          <w:spacing w:val="-4"/>
        </w:rPr>
        <w:t xml:space="preserve"> </w:t>
      </w:r>
      <w:r>
        <w:t>means</w:t>
      </w:r>
      <w:r>
        <w:rPr>
          <w:spacing w:val="-4"/>
        </w:rPr>
        <w:t xml:space="preserve"> </w:t>
      </w:r>
      <w:r>
        <w:t>“x</w:t>
      </w:r>
      <w:r>
        <w:rPr>
          <w:spacing w:val="-3"/>
        </w:rPr>
        <w:t xml:space="preserve"> </w:t>
      </w:r>
      <w:r>
        <w:t>should</w:t>
      </w:r>
      <w:r>
        <w:rPr>
          <w:spacing w:val="-3"/>
        </w:rPr>
        <w:t xml:space="preserve"> </w:t>
      </w:r>
      <w:r>
        <w:t>not</w:t>
      </w:r>
      <w:r>
        <w:rPr>
          <w:spacing w:val="-4"/>
        </w:rPr>
        <w:t xml:space="preserve"> </w:t>
      </w:r>
      <w:r>
        <w:t>exist (or occur).”</w:t>
      </w:r>
    </w:p>
    <w:p w14:paraId="7E002487" w14:textId="77777777" w:rsidR="009A58DB" w:rsidRDefault="00000000">
      <w:pPr>
        <w:pStyle w:val="BodyText"/>
        <w:spacing w:before="9" w:line="249" w:lineRule="auto"/>
        <w:ind w:left="720" w:right="362" w:firstLine="360"/>
      </w:pPr>
      <w:r>
        <w:t>So far as a statement</w:t>
      </w:r>
      <w:r>
        <w:rPr>
          <w:spacing w:val="-1"/>
        </w:rPr>
        <w:t xml:space="preserve"> </w:t>
      </w:r>
      <w:r>
        <w:t>fails to say that</w:t>
      </w:r>
      <w:r>
        <w:rPr>
          <w:spacing w:val="-1"/>
        </w:rPr>
        <w:t xml:space="preserve"> </w:t>
      </w:r>
      <w:r>
        <w:t>something should or should not be the case, it isn’t an ethical statement. “Smith is tending to his ailing mother” isn’t an ethical statement, since it doesn’t say that anything</w:t>
      </w:r>
      <w:r>
        <w:rPr>
          <w:spacing w:val="40"/>
        </w:rPr>
        <w:t xml:space="preserve"> </w:t>
      </w:r>
      <w:r>
        <w:t xml:space="preserve">should or should not occur. So far as a statement </w:t>
      </w:r>
      <w:r>
        <w:rPr>
          <w:i/>
        </w:rPr>
        <w:t xml:space="preserve">does </w:t>
      </w:r>
      <w:r>
        <w:t xml:space="preserve">say that something should or should not occur, it </w:t>
      </w:r>
      <w:r>
        <w:rPr>
          <w:i/>
        </w:rPr>
        <w:t xml:space="preserve">is </w:t>
      </w:r>
      <w:r>
        <w:t xml:space="preserve">an ethical statement. “Smith is right to tend to his ailing mother” is an ethical statement, since it says that, in tending to his mother, Smith is acting as he should. Thus, ethical statements say what </w:t>
      </w:r>
      <w:r>
        <w:rPr>
          <w:i/>
        </w:rPr>
        <w:t xml:space="preserve">should </w:t>
      </w:r>
      <w:r>
        <w:t xml:space="preserve">occur, not what </w:t>
      </w:r>
      <w:r>
        <w:rPr>
          <w:i/>
        </w:rPr>
        <w:t xml:space="preserve">does </w:t>
      </w:r>
      <w:r>
        <w:t>occur.</w:t>
      </w:r>
    </w:p>
    <w:p w14:paraId="7E002488" w14:textId="77777777" w:rsidR="009A58DB" w:rsidRDefault="00000000">
      <w:pPr>
        <w:pStyle w:val="BodyText"/>
        <w:spacing w:before="10" w:line="249" w:lineRule="auto"/>
        <w:ind w:left="720" w:right="358" w:firstLine="360"/>
      </w:pPr>
      <w:r>
        <w:t>But reality is described by saying what there is, not what there should be. If true, “Smith killed Jones” describes reality; it says what happened. So far as “Smith was wrong to kill Jones” describes reality, it says the same</w:t>
      </w:r>
      <w:r>
        <w:rPr>
          <w:spacing w:val="-1"/>
        </w:rPr>
        <w:t xml:space="preserve"> </w:t>
      </w:r>
      <w:r>
        <w:t>thing</w:t>
      </w:r>
      <w:r>
        <w:rPr>
          <w:spacing w:val="-1"/>
        </w:rPr>
        <w:t xml:space="preserve"> </w:t>
      </w:r>
      <w:r>
        <w:t>as</w:t>
      </w:r>
      <w:r>
        <w:rPr>
          <w:spacing w:val="-1"/>
        </w:rPr>
        <w:t xml:space="preserve"> </w:t>
      </w:r>
      <w:r>
        <w:t>“Smith</w:t>
      </w:r>
      <w:r>
        <w:rPr>
          <w:spacing w:val="-1"/>
        </w:rPr>
        <w:t xml:space="preserve"> </w:t>
      </w:r>
      <w:r>
        <w:t>killed</w:t>
      </w:r>
      <w:r>
        <w:rPr>
          <w:spacing w:val="-1"/>
        </w:rPr>
        <w:t xml:space="preserve"> </w:t>
      </w:r>
      <w:r>
        <w:t>Jones.”</w:t>
      </w:r>
      <w:r>
        <w:rPr>
          <w:spacing w:val="-1"/>
        </w:rPr>
        <w:t xml:space="preserve"> </w:t>
      </w:r>
      <w:r>
        <w:t>So</w:t>
      </w:r>
      <w:r>
        <w:rPr>
          <w:spacing w:val="-1"/>
        </w:rPr>
        <w:t xml:space="preserve"> </w:t>
      </w:r>
      <w:r>
        <w:t>far</w:t>
      </w:r>
      <w:r>
        <w:rPr>
          <w:spacing w:val="-1"/>
        </w:rPr>
        <w:t xml:space="preserve"> </w:t>
      </w:r>
      <w:r>
        <w:t>as</w:t>
      </w:r>
      <w:r>
        <w:rPr>
          <w:spacing w:val="-1"/>
        </w:rPr>
        <w:t xml:space="preserve"> </w:t>
      </w:r>
      <w:r>
        <w:t>it</w:t>
      </w:r>
      <w:r>
        <w:rPr>
          <w:spacing w:val="-2"/>
        </w:rPr>
        <w:t xml:space="preserve"> </w:t>
      </w:r>
      <w:r>
        <w:t>doesn’t</w:t>
      </w:r>
      <w:r>
        <w:rPr>
          <w:spacing w:val="-2"/>
        </w:rPr>
        <w:t xml:space="preserve"> </w:t>
      </w:r>
      <w:r>
        <w:t>say</w:t>
      </w:r>
      <w:r>
        <w:rPr>
          <w:spacing w:val="-1"/>
        </w:rPr>
        <w:t xml:space="preserve"> </w:t>
      </w:r>
      <w:r>
        <w:t>the</w:t>
      </w:r>
      <w:r>
        <w:rPr>
          <w:spacing w:val="-1"/>
        </w:rPr>
        <w:t xml:space="preserve"> </w:t>
      </w:r>
      <w:r>
        <w:t>same</w:t>
      </w:r>
      <w:r>
        <w:rPr>
          <w:spacing w:val="-1"/>
        </w:rPr>
        <w:t xml:space="preserve"> </w:t>
      </w:r>
      <w:r>
        <w:t>thing, it doesn’t describe reality and therefore says nothing. So “Smith was wrong to kill Jones” says nothing not also said by “Smith killed Jones.” In general, “x exists and x should (or should not) exist” says nothing not said by “x exists.” Therefore “x exists and is good” says nothing not said by “x exists,” and neither does “x exists and x is bad.” The words “x is bad” and “x is good” add nothing; so they say nothing. And since they say nothing, they say nothing true or false. “x is good” isn’t true or false, and neither is “x is bad.” Ethical “statements” aren’t true or false and therefore aren’t even statements. They’re pseudo-statements, not real ones.</w:t>
      </w:r>
    </w:p>
    <w:p w14:paraId="7E002489" w14:textId="77777777" w:rsidR="009A58DB" w:rsidRDefault="009A58DB">
      <w:pPr>
        <w:pStyle w:val="BodyText"/>
        <w:spacing w:before="36"/>
        <w:ind w:left="0"/>
        <w:jc w:val="left"/>
      </w:pPr>
    </w:p>
    <w:p w14:paraId="7E00248A" w14:textId="77777777" w:rsidR="009A58DB" w:rsidRDefault="00000000">
      <w:pPr>
        <w:pStyle w:val="BodyText"/>
        <w:spacing w:line="249" w:lineRule="auto"/>
        <w:ind w:right="359"/>
      </w:pPr>
      <w:r>
        <w:rPr>
          <w:b/>
          <w:i/>
        </w:rPr>
        <w:t>Analysis of Argument #4</w:t>
      </w:r>
      <w:bookmarkStart w:id="502" w:name="_bookmark502"/>
      <w:bookmarkEnd w:id="502"/>
      <w:r>
        <w:rPr>
          <w:b/>
          <w:color w:val="0562C1"/>
          <w:position w:val="22"/>
          <w:u w:val="single" w:color="0562C1"/>
        </w:rPr>
        <w:t>[374]</w:t>
      </w:r>
      <w:r>
        <w:rPr>
          <w:b/>
          <w:color w:val="0562C1"/>
          <w:position w:val="22"/>
        </w:rPr>
        <w:t xml:space="preserve"> </w:t>
      </w:r>
      <w:r>
        <w:t xml:space="preserve">Moral imperatives are </w:t>
      </w:r>
      <w:r>
        <w:rPr>
          <w:b/>
          <w:i/>
        </w:rPr>
        <w:t xml:space="preserve">hypothetical </w:t>
      </w:r>
      <w:r>
        <w:t xml:space="preserve">imperatives. A hypothetical imperative is one of the form: </w:t>
      </w:r>
      <w:r>
        <w:rPr>
          <w:i/>
        </w:rPr>
        <w:t xml:space="preserve">given </w:t>
      </w:r>
      <w:r>
        <w:t>that you want x, you should do y. Hypothetical imperatives always fall within the scope of natural science, as we will now see.</w:t>
      </w:r>
    </w:p>
    <w:p w14:paraId="7E00248B" w14:textId="77777777" w:rsidR="009A58DB" w:rsidRDefault="00000000">
      <w:pPr>
        <w:pStyle w:val="BodyText"/>
        <w:spacing w:before="5"/>
        <w:ind w:left="720"/>
      </w:pPr>
      <w:r>
        <w:t>You</w:t>
      </w:r>
      <w:r>
        <w:rPr>
          <w:spacing w:val="40"/>
        </w:rPr>
        <w:t xml:space="preserve"> </w:t>
      </w:r>
      <w:r>
        <w:t>cannot</w:t>
      </w:r>
      <w:r>
        <w:rPr>
          <w:spacing w:val="40"/>
        </w:rPr>
        <w:t xml:space="preserve"> </w:t>
      </w:r>
      <w:r>
        <w:t>give</w:t>
      </w:r>
      <w:r>
        <w:rPr>
          <w:spacing w:val="40"/>
        </w:rPr>
        <w:t xml:space="preserve"> </w:t>
      </w:r>
      <w:r>
        <w:t>an</w:t>
      </w:r>
      <w:r>
        <w:rPr>
          <w:spacing w:val="40"/>
        </w:rPr>
        <w:t xml:space="preserve"> </w:t>
      </w:r>
      <w:r>
        <w:t>amoral</w:t>
      </w:r>
      <w:r>
        <w:rPr>
          <w:spacing w:val="40"/>
        </w:rPr>
        <w:t xml:space="preserve"> </w:t>
      </w:r>
      <w:r>
        <w:t>person</w:t>
      </w:r>
      <w:r>
        <w:rPr>
          <w:spacing w:val="41"/>
        </w:rPr>
        <w:t xml:space="preserve"> </w:t>
      </w:r>
      <w:r>
        <w:t>any</w:t>
      </w:r>
      <w:r>
        <w:rPr>
          <w:spacing w:val="40"/>
        </w:rPr>
        <w:t xml:space="preserve"> </w:t>
      </w:r>
      <w:r>
        <w:t>good</w:t>
      </w:r>
      <w:r>
        <w:rPr>
          <w:spacing w:val="40"/>
        </w:rPr>
        <w:t xml:space="preserve"> </w:t>
      </w:r>
      <w:r>
        <w:t>reason</w:t>
      </w:r>
      <w:r>
        <w:rPr>
          <w:spacing w:val="40"/>
        </w:rPr>
        <w:t xml:space="preserve"> </w:t>
      </w:r>
      <w:r>
        <w:t>to</w:t>
      </w:r>
      <w:r>
        <w:rPr>
          <w:spacing w:val="40"/>
        </w:rPr>
        <w:t xml:space="preserve"> </w:t>
      </w:r>
      <w:r>
        <w:t>be</w:t>
      </w:r>
      <w:r>
        <w:rPr>
          <w:spacing w:val="40"/>
        </w:rPr>
        <w:t xml:space="preserve"> </w:t>
      </w:r>
      <w:r>
        <w:t>moral.</w:t>
      </w:r>
      <w:r>
        <w:rPr>
          <w:spacing w:val="41"/>
        </w:rPr>
        <w:t xml:space="preserve"> </w:t>
      </w:r>
      <w:r>
        <w:rPr>
          <w:spacing w:val="-2"/>
        </w:rPr>
        <w:t>Given</w:t>
      </w:r>
    </w:p>
    <w:p w14:paraId="7E00248C" w14:textId="77777777" w:rsidR="009A58DB" w:rsidRDefault="009A58DB">
      <w:pPr>
        <w:pStyle w:val="BodyText"/>
        <w:sectPr w:rsidR="009A58DB">
          <w:pgSz w:w="12240" w:h="15840"/>
          <w:pgMar w:top="1380" w:right="1080" w:bottom="280" w:left="1080" w:header="720" w:footer="720" w:gutter="0"/>
          <w:cols w:space="720"/>
        </w:sectPr>
      </w:pPr>
    </w:p>
    <w:p w14:paraId="7E00248D" w14:textId="77777777" w:rsidR="009A58DB" w:rsidRDefault="00000000">
      <w:pPr>
        <w:pStyle w:val="BodyText"/>
        <w:spacing w:before="65" w:line="249" w:lineRule="auto"/>
        <w:ind w:right="359"/>
      </w:pPr>
      <w:r>
        <w:lastRenderedPageBreak/>
        <w:t xml:space="preserve">that he is amoral and that his values radiate from that fact, it would be deeply irrational of him to heed your injunction to be moral. Of course, it’s sometimes to one’s practical advantage for one’s </w:t>
      </w:r>
      <w:r>
        <w:rPr>
          <w:i/>
        </w:rPr>
        <w:t xml:space="preserve">behavior </w:t>
      </w:r>
      <w:r>
        <w:t>to coincide with that</w:t>
      </w:r>
      <w:r>
        <w:rPr>
          <w:spacing w:val="-1"/>
        </w:rPr>
        <w:t xml:space="preserve"> </w:t>
      </w:r>
      <w:r>
        <w:t>of a moral</w:t>
      </w:r>
      <w:r>
        <w:rPr>
          <w:spacing w:val="-1"/>
        </w:rPr>
        <w:t xml:space="preserve"> </w:t>
      </w:r>
      <w:r>
        <w:t>person’s. But that’s</w:t>
      </w:r>
      <w:r>
        <w:rPr>
          <w:spacing w:val="-1"/>
        </w:rPr>
        <w:t xml:space="preserve"> </w:t>
      </w:r>
      <w:r>
        <w:t>irrelevant, since an</w:t>
      </w:r>
      <w:r>
        <w:rPr>
          <w:spacing w:val="-1"/>
        </w:rPr>
        <w:t xml:space="preserve"> </w:t>
      </w:r>
      <w:r>
        <w:t>act done for</w:t>
      </w:r>
      <w:r>
        <w:rPr>
          <w:spacing w:val="-1"/>
        </w:rPr>
        <w:t xml:space="preserve"> </w:t>
      </w:r>
      <w:r>
        <w:t>prudential reasons isn’t a moral act, even if it’s externally indistinguishable from one.</w:t>
      </w:r>
    </w:p>
    <w:p w14:paraId="7E00248E" w14:textId="77777777" w:rsidR="009A58DB" w:rsidRDefault="00000000">
      <w:pPr>
        <w:pStyle w:val="BodyText"/>
        <w:spacing w:before="6"/>
        <w:ind w:left="720"/>
        <w:rPr>
          <w:i/>
        </w:rPr>
      </w:pPr>
      <w:r>
        <w:t>Any</w:t>
      </w:r>
      <w:r>
        <w:rPr>
          <w:spacing w:val="30"/>
        </w:rPr>
        <w:t xml:space="preserve"> </w:t>
      </w:r>
      <w:r>
        <w:t>reason</w:t>
      </w:r>
      <w:r>
        <w:rPr>
          <w:spacing w:val="33"/>
        </w:rPr>
        <w:t xml:space="preserve"> </w:t>
      </w:r>
      <w:r>
        <w:t>that</w:t>
      </w:r>
      <w:r>
        <w:rPr>
          <w:spacing w:val="32"/>
        </w:rPr>
        <w:t xml:space="preserve"> </w:t>
      </w:r>
      <w:r>
        <w:t>anyone</w:t>
      </w:r>
      <w:r>
        <w:rPr>
          <w:spacing w:val="33"/>
        </w:rPr>
        <w:t xml:space="preserve"> </w:t>
      </w:r>
      <w:r>
        <w:t>has</w:t>
      </w:r>
      <w:r>
        <w:rPr>
          <w:spacing w:val="33"/>
        </w:rPr>
        <w:t xml:space="preserve"> </w:t>
      </w:r>
      <w:r>
        <w:t>to</w:t>
      </w:r>
      <w:r>
        <w:rPr>
          <w:spacing w:val="32"/>
        </w:rPr>
        <w:t xml:space="preserve"> </w:t>
      </w:r>
      <w:r>
        <w:t>be</w:t>
      </w:r>
      <w:r>
        <w:rPr>
          <w:spacing w:val="33"/>
        </w:rPr>
        <w:t xml:space="preserve"> </w:t>
      </w:r>
      <w:r>
        <w:t>moral</w:t>
      </w:r>
      <w:r>
        <w:rPr>
          <w:spacing w:val="32"/>
        </w:rPr>
        <w:t xml:space="preserve"> </w:t>
      </w:r>
      <w:r>
        <w:t>is</w:t>
      </w:r>
      <w:r>
        <w:rPr>
          <w:spacing w:val="33"/>
        </w:rPr>
        <w:t xml:space="preserve"> </w:t>
      </w:r>
      <w:r>
        <w:t>thus</w:t>
      </w:r>
      <w:r>
        <w:rPr>
          <w:spacing w:val="33"/>
        </w:rPr>
        <w:t xml:space="preserve"> </w:t>
      </w:r>
      <w:r>
        <w:t>of</w:t>
      </w:r>
      <w:r>
        <w:rPr>
          <w:spacing w:val="32"/>
        </w:rPr>
        <w:t xml:space="preserve"> </w:t>
      </w:r>
      <w:r>
        <w:t>a</w:t>
      </w:r>
      <w:r>
        <w:rPr>
          <w:spacing w:val="33"/>
        </w:rPr>
        <w:t xml:space="preserve"> </w:t>
      </w:r>
      <w:r>
        <w:t>purely</w:t>
      </w:r>
      <w:r>
        <w:rPr>
          <w:spacing w:val="33"/>
        </w:rPr>
        <w:t xml:space="preserve"> </w:t>
      </w:r>
      <w:r>
        <w:rPr>
          <w:i/>
          <w:spacing w:val="-2"/>
        </w:rPr>
        <w:t>hypothetical</w:t>
      </w:r>
    </w:p>
    <w:p w14:paraId="7E00248F" w14:textId="77777777" w:rsidR="009A58DB" w:rsidRDefault="00000000">
      <w:pPr>
        <w:pStyle w:val="BodyText"/>
        <w:spacing w:before="15"/>
      </w:pPr>
      <w:r>
        <w:t>nature</w:t>
      </w:r>
      <w:r>
        <w:rPr>
          <w:spacing w:val="-5"/>
        </w:rPr>
        <w:t xml:space="preserve"> </w:t>
      </w:r>
      <w:r>
        <w:t>and</w:t>
      </w:r>
      <w:r>
        <w:rPr>
          <w:spacing w:val="-2"/>
        </w:rPr>
        <w:t xml:space="preserve"> </w:t>
      </w:r>
      <w:r>
        <w:t>is</w:t>
      </w:r>
      <w:r>
        <w:rPr>
          <w:spacing w:val="-3"/>
        </w:rPr>
        <w:t xml:space="preserve"> </w:t>
      </w:r>
      <w:r>
        <w:t>expressed</w:t>
      </w:r>
      <w:r>
        <w:rPr>
          <w:spacing w:val="-2"/>
        </w:rPr>
        <w:t xml:space="preserve"> </w:t>
      </w:r>
      <w:r>
        <w:t>by</w:t>
      </w:r>
      <w:r>
        <w:rPr>
          <w:spacing w:val="-2"/>
        </w:rPr>
        <w:t xml:space="preserve"> </w:t>
      </w:r>
      <w:r>
        <w:t>a</w:t>
      </w:r>
      <w:r>
        <w:rPr>
          <w:spacing w:val="-3"/>
        </w:rPr>
        <w:t xml:space="preserve"> </w:t>
      </w:r>
      <w:r>
        <w:t>sentence</w:t>
      </w:r>
      <w:r>
        <w:rPr>
          <w:spacing w:val="-3"/>
        </w:rPr>
        <w:t xml:space="preserve"> </w:t>
      </w:r>
      <w:r>
        <w:t>of</w:t>
      </w:r>
      <w:r>
        <w:rPr>
          <w:spacing w:val="-3"/>
        </w:rPr>
        <w:t xml:space="preserve"> </w:t>
      </w:r>
      <w:r>
        <w:t>the</w:t>
      </w:r>
      <w:r>
        <w:rPr>
          <w:spacing w:val="-2"/>
        </w:rPr>
        <w:t xml:space="preserve"> form:</w:t>
      </w:r>
    </w:p>
    <w:p w14:paraId="7E002490" w14:textId="77777777" w:rsidR="009A58DB" w:rsidRDefault="009A58DB">
      <w:pPr>
        <w:pStyle w:val="BodyText"/>
        <w:spacing w:before="30"/>
        <w:ind w:left="0"/>
        <w:jc w:val="left"/>
      </w:pPr>
    </w:p>
    <w:p w14:paraId="7E002491" w14:textId="77777777" w:rsidR="009A58DB" w:rsidRDefault="00000000">
      <w:pPr>
        <w:pStyle w:val="ListParagraph"/>
        <w:numPr>
          <w:ilvl w:val="0"/>
          <w:numId w:val="59"/>
        </w:numPr>
        <w:tabs>
          <w:tab w:val="left" w:pos="715"/>
        </w:tabs>
        <w:ind w:left="715" w:hanging="355"/>
        <w:rPr>
          <w:sz w:val="30"/>
        </w:rPr>
      </w:pPr>
      <w:r>
        <w:rPr>
          <w:i/>
          <w:sz w:val="30"/>
        </w:rPr>
        <w:t>Given</w:t>
      </w:r>
      <w:r>
        <w:rPr>
          <w:i/>
          <w:spacing w:val="-2"/>
          <w:sz w:val="30"/>
        </w:rPr>
        <w:t xml:space="preserve"> </w:t>
      </w:r>
      <w:r>
        <w:rPr>
          <w:sz w:val="30"/>
        </w:rPr>
        <w:t>that</w:t>
      </w:r>
      <w:r>
        <w:rPr>
          <w:spacing w:val="-3"/>
          <w:sz w:val="30"/>
        </w:rPr>
        <w:t xml:space="preserve"> </w:t>
      </w:r>
      <w:r>
        <w:rPr>
          <w:sz w:val="30"/>
        </w:rPr>
        <w:t>your</w:t>
      </w:r>
      <w:r>
        <w:rPr>
          <w:spacing w:val="-3"/>
          <w:sz w:val="30"/>
        </w:rPr>
        <w:t xml:space="preserve"> </w:t>
      </w:r>
      <w:r>
        <w:rPr>
          <w:sz w:val="30"/>
        </w:rPr>
        <w:t>objective</w:t>
      </w:r>
      <w:r>
        <w:rPr>
          <w:spacing w:val="-2"/>
          <w:sz w:val="30"/>
        </w:rPr>
        <w:t xml:space="preserve"> </w:t>
      </w:r>
      <w:r>
        <w:rPr>
          <w:sz w:val="30"/>
        </w:rPr>
        <w:t>is</w:t>
      </w:r>
      <w:r>
        <w:rPr>
          <w:spacing w:val="-3"/>
          <w:sz w:val="30"/>
        </w:rPr>
        <w:t xml:space="preserve"> </w:t>
      </w:r>
      <w:r>
        <w:rPr>
          <w:sz w:val="30"/>
        </w:rPr>
        <w:t>to</w:t>
      </w:r>
      <w:r>
        <w:rPr>
          <w:spacing w:val="-2"/>
          <w:sz w:val="30"/>
        </w:rPr>
        <w:t xml:space="preserve"> </w:t>
      </w:r>
      <w:r>
        <w:rPr>
          <w:sz w:val="30"/>
        </w:rPr>
        <w:t>be</w:t>
      </w:r>
      <w:r>
        <w:rPr>
          <w:spacing w:val="-3"/>
          <w:sz w:val="30"/>
        </w:rPr>
        <w:t xml:space="preserve"> </w:t>
      </w:r>
      <w:r>
        <w:rPr>
          <w:sz w:val="30"/>
        </w:rPr>
        <w:t>moral,</w:t>
      </w:r>
      <w:r>
        <w:rPr>
          <w:spacing w:val="-1"/>
          <w:sz w:val="30"/>
        </w:rPr>
        <w:t xml:space="preserve"> </w:t>
      </w:r>
      <w:r>
        <w:rPr>
          <w:sz w:val="30"/>
        </w:rPr>
        <w:t>you</w:t>
      </w:r>
      <w:r>
        <w:rPr>
          <w:spacing w:val="-2"/>
          <w:sz w:val="30"/>
        </w:rPr>
        <w:t xml:space="preserve"> </w:t>
      </w:r>
      <w:r>
        <w:rPr>
          <w:sz w:val="30"/>
        </w:rPr>
        <w:t>should</w:t>
      </w:r>
      <w:r>
        <w:rPr>
          <w:spacing w:val="-2"/>
          <w:sz w:val="30"/>
        </w:rPr>
        <w:t xml:space="preserve"> </w:t>
      </w:r>
      <w:r>
        <w:rPr>
          <w:sz w:val="30"/>
        </w:rPr>
        <w:t>do</w:t>
      </w:r>
      <w:r>
        <w:rPr>
          <w:spacing w:val="-1"/>
          <w:sz w:val="30"/>
        </w:rPr>
        <w:t xml:space="preserve"> </w:t>
      </w:r>
      <w:r>
        <w:rPr>
          <w:spacing w:val="-5"/>
          <w:sz w:val="30"/>
        </w:rPr>
        <w:t>X.</w:t>
      </w:r>
    </w:p>
    <w:p w14:paraId="7E002492" w14:textId="77777777" w:rsidR="009A58DB" w:rsidRDefault="009A58DB">
      <w:pPr>
        <w:pStyle w:val="BodyText"/>
        <w:spacing w:before="30"/>
        <w:ind w:left="0"/>
        <w:jc w:val="left"/>
      </w:pPr>
    </w:p>
    <w:p w14:paraId="7E002493" w14:textId="77777777" w:rsidR="009A58DB" w:rsidRDefault="00000000">
      <w:pPr>
        <w:pStyle w:val="BodyText"/>
        <w:spacing w:line="249" w:lineRule="auto"/>
        <w:ind w:right="361"/>
      </w:pPr>
      <w:r>
        <w:t xml:space="preserve">Different ethicists have different views as to what X is. According to utilitarians, X is what maximizes happiness. If utilitarianism is right, then (i) </w:t>
      </w:r>
      <w:r>
        <w:rPr>
          <w:spacing w:val="-2"/>
        </w:rPr>
        <w:t>means:</w:t>
      </w:r>
    </w:p>
    <w:p w14:paraId="7E002494" w14:textId="77777777" w:rsidR="009A58DB" w:rsidRDefault="009A58DB">
      <w:pPr>
        <w:pStyle w:val="BodyText"/>
        <w:spacing w:before="18"/>
        <w:ind w:left="0"/>
        <w:jc w:val="left"/>
      </w:pPr>
    </w:p>
    <w:p w14:paraId="7E002495" w14:textId="77777777" w:rsidR="009A58DB" w:rsidRDefault="00000000">
      <w:pPr>
        <w:pStyle w:val="ListParagraph"/>
        <w:numPr>
          <w:ilvl w:val="0"/>
          <w:numId w:val="59"/>
        </w:numPr>
        <w:tabs>
          <w:tab w:val="left" w:pos="797"/>
        </w:tabs>
        <w:spacing w:before="1"/>
        <w:ind w:left="797" w:hanging="437"/>
        <w:rPr>
          <w:sz w:val="30"/>
        </w:rPr>
      </w:pPr>
      <w:r>
        <w:rPr>
          <w:sz w:val="30"/>
        </w:rPr>
        <w:t>Given</w:t>
      </w:r>
      <w:r>
        <w:rPr>
          <w:spacing w:val="-5"/>
          <w:sz w:val="30"/>
        </w:rPr>
        <w:t xml:space="preserve"> </w:t>
      </w:r>
      <w:r>
        <w:rPr>
          <w:sz w:val="30"/>
        </w:rPr>
        <w:t>that</w:t>
      </w:r>
      <w:r>
        <w:rPr>
          <w:spacing w:val="-3"/>
          <w:sz w:val="30"/>
        </w:rPr>
        <w:t xml:space="preserve"> </w:t>
      </w:r>
      <w:r>
        <w:rPr>
          <w:sz w:val="30"/>
        </w:rPr>
        <w:t>your</w:t>
      </w:r>
      <w:r>
        <w:rPr>
          <w:spacing w:val="-3"/>
          <w:sz w:val="30"/>
        </w:rPr>
        <w:t xml:space="preserve"> </w:t>
      </w:r>
      <w:r>
        <w:rPr>
          <w:sz w:val="30"/>
        </w:rPr>
        <w:t>objective</w:t>
      </w:r>
      <w:r>
        <w:rPr>
          <w:spacing w:val="-4"/>
          <w:sz w:val="30"/>
        </w:rPr>
        <w:t xml:space="preserve"> </w:t>
      </w:r>
      <w:r>
        <w:rPr>
          <w:sz w:val="30"/>
        </w:rPr>
        <w:t>is</w:t>
      </w:r>
      <w:r>
        <w:rPr>
          <w:spacing w:val="-3"/>
          <w:sz w:val="30"/>
        </w:rPr>
        <w:t xml:space="preserve"> </w:t>
      </w:r>
      <w:r>
        <w:rPr>
          <w:sz w:val="30"/>
        </w:rPr>
        <w:t>to</w:t>
      </w:r>
      <w:r>
        <w:rPr>
          <w:spacing w:val="-2"/>
          <w:sz w:val="30"/>
        </w:rPr>
        <w:t xml:space="preserve"> </w:t>
      </w:r>
      <w:r>
        <w:rPr>
          <w:sz w:val="30"/>
        </w:rPr>
        <w:t>maximize</w:t>
      </w:r>
      <w:r>
        <w:rPr>
          <w:spacing w:val="-3"/>
          <w:sz w:val="30"/>
        </w:rPr>
        <w:t xml:space="preserve"> </w:t>
      </w:r>
      <w:r>
        <w:rPr>
          <w:sz w:val="30"/>
        </w:rPr>
        <w:t>happiness,</w:t>
      </w:r>
      <w:r>
        <w:rPr>
          <w:spacing w:val="-3"/>
          <w:sz w:val="30"/>
        </w:rPr>
        <w:t xml:space="preserve"> </w:t>
      </w:r>
      <w:r>
        <w:rPr>
          <w:sz w:val="30"/>
        </w:rPr>
        <w:t>you</w:t>
      </w:r>
      <w:r>
        <w:rPr>
          <w:spacing w:val="-2"/>
          <w:sz w:val="30"/>
        </w:rPr>
        <w:t xml:space="preserve"> </w:t>
      </w:r>
      <w:r>
        <w:rPr>
          <w:sz w:val="30"/>
        </w:rPr>
        <w:t>should</w:t>
      </w:r>
      <w:r>
        <w:rPr>
          <w:spacing w:val="-2"/>
          <w:sz w:val="30"/>
        </w:rPr>
        <w:t xml:space="preserve"> </w:t>
      </w:r>
      <w:r>
        <w:rPr>
          <w:sz w:val="30"/>
        </w:rPr>
        <w:t>do</w:t>
      </w:r>
      <w:r>
        <w:rPr>
          <w:spacing w:val="-2"/>
          <w:sz w:val="30"/>
        </w:rPr>
        <w:t xml:space="preserve"> </w:t>
      </w:r>
      <w:r>
        <w:rPr>
          <w:spacing w:val="-5"/>
          <w:sz w:val="30"/>
        </w:rPr>
        <w:t>X.</w:t>
      </w:r>
    </w:p>
    <w:p w14:paraId="7E002496" w14:textId="77777777" w:rsidR="009A58DB" w:rsidRDefault="009A58DB">
      <w:pPr>
        <w:pStyle w:val="BodyText"/>
        <w:spacing w:before="30"/>
        <w:ind w:left="0"/>
        <w:jc w:val="left"/>
      </w:pPr>
    </w:p>
    <w:p w14:paraId="7E002497" w14:textId="77777777" w:rsidR="009A58DB" w:rsidRDefault="00000000">
      <w:pPr>
        <w:pStyle w:val="ListParagraph"/>
        <w:numPr>
          <w:ilvl w:val="0"/>
          <w:numId w:val="58"/>
        </w:numPr>
        <w:tabs>
          <w:tab w:val="left" w:pos="797"/>
        </w:tabs>
        <w:ind w:left="797" w:hanging="437"/>
        <w:rPr>
          <w:sz w:val="30"/>
        </w:rPr>
      </w:pPr>
      <w:r>
        <w:rPr>
          <w:sz w:val="30"/>
        </w:rPr>
        <w:t>is</w:t>
      </w:r>
      <w:r>
        <w:rPr>
          <w:spacing w:val="-6"/>
          <w:sz w:val="30"/>
        </w:rPr>
        <w:t xml:space="preserve"> </w:t>
      </w:r>
      <w:r>
        <w:rPr>
          <w:sz w:val="30"/>
        </w:rPr>
        <w:t>just</w:t>
      </w:r>
      <w:r>
        <w:rPr>
          <w:spacing w:val="-4"/>
          <w:sz w:val="30"/>
        </w:rPr>
        <w:t xml:space="preserve"> </w:t>
      </w:r>
      <w:r>
        <w:rPr>
          <w:sz w:val="30"/>
        </w:rPr>
        <w:t>a</w:t>
      </w:r>
      <w:r>
        <w:rPr>
          <w:spacing w:val="-4"/>
          <w:sz w:val="30"/>
        </w:rPr>
        <w:t xml:space="preserve"> </w:t>
      </w:r>
      <w:r>
        <w:rPr>
          <w:sz w:val="30"/>
        </w:rPr>
        <w:t>garden</w:t>
      </w:r>
      <w:r>
        <w:rPr>
          <w:spacing w:val="-3"/>
          <w:sz w:val="30"/>
        </w:rPr>
        <w:t xml:space="preserve"> </w:t>
      </w:r>
      <w:r>
        <w:rPr>
          <w:sz w:val="30"/>
        </w:rPr>
        <w:t>variety</w:t>
      </w:r>
      <w:r>
        <w:rPr>
          <w:spacing w:val="-4"/>
          <w:sz w:val="30"/>
        </w:rPr>
        <w:t xml:space="preserve"> </w:t>
      </w:r>
      <w:r>
        <w:rPr>
          <w:sz w:val="30"/>
        </w:rPr>
        <w:t>causal</w:t>
      </w:r>
      <w:r>
        <w:rPr>
          <w:spacing w:val="-3"/>
          <w:sz w:val="30"/>
        </w:rPr>
        <w:t xml:space="preserve"> </w:t>
      </w:r>
      <w:r>
        <w:rPr>
          <w:sz w:val="30"/>
        </w:rPr>
        <w:t>statement,</w:t>
      </w:r>
      <w:r>
        <w:rPr>
          <w:spacing w:val="-4"/>
          <w:sz w:val="30"/>
        </w:rPr>
        <w:t xml:space="preserve"> </w:t>
      </w:r>
      <w:r>
        <w:rPr>
          <w:sz w:val="30"/>
        </w:rPr>
        <w:t>since</w:t>
      </w:r>
      <w:r>
        <w:rPr>
          <w:spacing w:val="-4"/>
          <w:sz w:val="30"/>
        </w:rPr>
        <w:t xml:space="preserve"> </w:t>
      </w:r>
      <w:r>
        <w:rPr>
          <w:sz w:val="30"/>
        </w:rPr>
        <w:t>it’s</w:t>
      </w:r>
      <w:r>
        <w:rPr>
          <w:spacing w:val="-3"/>
          <w:sz w:val="30"/>
        </w:rPr>
        <w:t xml:space="preserve"> </w:t>
      </w:r>
      <w:r>
        <w:rPr>
          <w:sz w:val="30"/>
        </w:rPr>
        <w:t>to</w:t>
      </w:r>
      <w:r>
        <w:rPr>
          <w:spacing w:val="-4"/>
          <w:sz w:val="30"/>
        </w:rPr>
        <w:t xml:space="preserve"> </w:t>
      </w:r>
      <w:r>
        <w:rPr>
          <w:sz w:val="30"/>
        </w:rPr>
        <w:t>the</w:t>
      </w:r>
      <w:r>
        <w:rPr>
          <w:spacing w:val="-4"/>
          <w:sz w:val="30"/>
        </w:rPr>
        <w:t xml:space="preserve"> </w:t>
      </w:r>
      <w:r>
        <w:rPr>
          <w:sz w:val="30"/>
        </w:rPr>
        <w:t>effect</w:t>
      </w:r>
      <w:r>
        <w:rPr>
          <w:spacing w:val="-3"/>
          <w:sz w:val="30"/>
        </w:rPr>
        <w:t xml:space="preserve"> </w:t>
      </w:r>
      <w:r>
        <w:rPr>
          <w:spacing w:val="-2"/>
          <w:sz w:val="30"/>
        </w:rPr>
        <w:t>that:</w:t>
      </w:r>
    </w:p>
    <w:p w14:paraId="7E002498" w14:textId="77777777" w:rsidR="009A58DB" w:rsidRDefault="009A58DB">
      <w:pPr>
        <w:pStyle w:val="BodyText"/>
        <w:spacing w:before="30"/>
        <w:ind w:left="0"/>
        <w:jc w:val="left"/>
      </w:pPr>
    </w:p>
    <w:p w14:paraId="7E002499" w14:textId="77777777" w:rsidR="009A58DB" w:rsidRDefault="00000000">
      <w:pPr>
        <w:pStyle w:val="ListParagraph"/>
        <w:numPr>
          <w:ilvl w:val="0"/>
          <w:numId w:val="58"/>
        </w:numPr>
        <w:tabs>
          <w:tab w:val="left" w:pos="915"/>
        </w:tabs>
        <w:spacing w:line="249" w:lineRule="auto"/>
        <w:ind w:left="360" w:right="367" w:firstLine="0"/>
        <w:rPr>
          <w:sz w:val="30"/>
        </w:rPr>
      </w:pPr>
      <w:r>
        <w:rPr>
          <w:sz w:val="30"/>
        </w:rPr>
        <w:t>Not</w:t>
      </w:r>
      <w:r>
        <w:rPr>
          <w:spacing w:val="32"/>
          <w:sz w:val="30"/>
        </w:rPr>
        <w:t xml:space="preserve"> </w:t>
      </w:r>
      <w:r>
        <w:rPr>
          <w:sz w:val="30"/>
        </w:rPr>
        <w:t>doing</w:t>
      </w:r>
      <w:r>
        <w:rPr>
          <w:spacing w:val="32"/>
          <w:sz w:val="30"/>
        </w:rPr>
        <w:t xml:space="preserve"> </w:t>
      </w:r>
      <w:r>
        <w:rPr>
          <w:sz w:val="30"/>
        </w:rPr>
        <w:t>X</w:t>
      </w:r>
      <w:r>
        <w:rPr>
          <w:spacing w:val="32"/>
          <w:sz w:val="30"/>
        </w:rPr>
        <w:t xml:space="preserve"> </w:t>
      </w:r>
      <w:r>
        <w:rPr>
          <w:sz w:val="30"/>
        </w:rPr>
        <w:t>will</w:t>
      </w:r>
      <w:r>
        <w:rPr>
          <w:spacing w:val="32"/>
          <w:sz w:val="30"/>
        </w:rPr>
        <w:t xml:space="preserve"> </w:t>
      </w:r>
      <w:r>
        <w:rPr>
          <w:sz w:val="30"/>
        </w:rPr>
        <w:t>have</w:t>
      </w:r>
      <w:r>
        <w:rPr>
          <w:spacing w:val="32"/>
          <w:sz w:val="30"/>
        </w:rPr>
        <w:t xml:space="preserve"> </w:t>
      </w:r>
      <w:r>
        <w:rPr>
          <w:sz w:val="30"/>
        </w:rPr>
        <w:t>the</w:t>
      </w:r>
      <w:r>
        <w:rPr>
          <w:spacing w:val="32"/>
          <w:sz w:val="30"/>
        </w:rPr>
        <w:t xml:space="preserve"> </w:t>
      </w:r>
      <w:r>
        <w:rPr>
          <w:sz w:val="30"/>
        </w:rPr>
        <w:t>consequence</w:t>
      </w:r>
      <w:r>
        <w:rPr>
          <w:spacing w:val="32"/>
          <w:sz w:val="30"/>
        </w:rPr>
        <w:t xml:space="preserve"> </w:t>
      </w:r>
      <w:r>
        <w:rPr>
          <w:sz w:val="30"/>
        </w:rPr>
        <w:t>that</w:t>
      </w:r>
      <w:r>
        <w:rPr>
          <w:spacing w:val="32"/>
          <w:sz w:val="30"/>
        </w:rPr>
        <w:t xml:space="preserve"> </w:t>
      </w:r>
      <w:r>
        <w:rPr>
          <w:sz w:val="30"/>
        </w:rPr>
        <w:t>people</w:t>
      </w:r>
      <w:r>
        <w:rPr>
          <w:spacing w:val="32"/>
          <w:sz w:val="30"/>
        </w:rPr>
        <w:t xml:space="preserve"> </w:t>
      </w:r>
      <w:r>
        <w:rPr>
          <w:sz w:val="30"/>
        </w:rPr>
        <w:t>aren’t</w:t>
      </w:r>
      <w:r>
        <w:rPr>
          <w:spacing w:val="32"/>
          <w:sz w:val="30"/>
        </w:rPr>
        <w:t xml:space="preserve"> </w:t>
      </w:r>
      <w:r>
        <w:rPr>
          <w:sz w:val="30"/>
        </w:rPr>
        <w:t>as</w:t>
      </w:r>
      <w:r>
        <w:rPr>
          <w:spacing w:val="32"/>
          <w:sz w:val="30"/>
        </w:rPr>
        <w:t xml:space="preserve"> </w:t>
      </w:r>
      <w:r>
        <w:rPr>
          <w:sz w:val="30"/>
        </w:rPr>
        <w:t>happy</w:t>
      </w:r>
      <w:r>
        <w:rPr>
          <w:spacing w:val="32"/>
          <w:sz w:val="30"/>
        </w:rPr>
        <w:t xml:space="preserve"> </w:t>
      </w:r>
      <w:r>
        <w:rPr>
          <w:sz w:val="30"/>
        </w:rPr>
        <w:t>as they would otherwise be.</w:t>
      </w:r>
    </w:p>
    <w:p w14:paraId="7E00249A" w14:textId="77777777" w:rsidR="009A58DB" w:rsidRDefault="009A58DB">
      <w:pPr>
        <w:pStyle w:val="BodyText"/>
        <w:spacing w:before="17"/>
        <w:ind w:left="0"/>
        <w:jc w:val="left"/>
      </w:pPr>
    </w:p>
    <w:p w14:paraId="7E00249B" w14:textId="77777777" w:rsidR="009A58DB" w:rsidRDefault="00000000">
      <w:pPr>
        <w:pStyle w:val="BodyText"/>
        <w:spacing w:line="249" w:lineRule="auto"/>
        <w:ind w:right="364"/>
      </w:pPr>
      <w:r>
        <w:t xml:space="preserve">Thus, the “shoulds” of ethics are like the shoulds of engineering. The </w:t>
      </w:r>
      <w:r>
        <w:rPr>
          <w:spacing w:val="-2"/>
        </w:rPr>
        <w:t>statement:</w:t>
      </w:r>
    </w:p>
    <w:p w14:paraId="7E00249C" w14:textId="77777777" w:rsidR="009A58DB" w:rsidRDefault="009A58DB">
      <w:pPr>
        <w:pStyle w:val="BodyText"/>
        <w:spacing w:before="18"/>
        <w:ind w:left="0"/>
        <w:jc w:val="left"/>
      </w:pPr>
    </w:p>
    <w:p w14:paraId="7E00249D" w14:textId="77777777" w:rsidR="009A58DB" w:rsidRDefault="00000000">
      <w:pPr>
        <w:pStyle w:val="ListParagraph"/>
        <w:numPr>
          <w:ilvl w:val="0"/>
          <w:numId w:val="58"/>
        </w:numPr>
        <w:tabs>
          <w:tab w:val="left" w:pos="880"/>
        </w:tabs>
        <w:spacing w:line="249" w:lineRule="auto"/>
        <w:ind w:left="360" w:right="364" w:firstLine="0"/>
        <w:rPr>
          <w:sz w:val="30"/>
        </w:rPr>
      </w:pPr>
      <w:r>
        <w:rPr>
          <w:i/>
          <w:sz w:val="30"/>
        </w:rPr>
        <w:t xml:space="preserve">Given </w:t>
      </w:r>
      <w:r>
        <w:rPr>
          <w:sz w:val="30"/>
        </w:rPr>
        <w:t>that your objective is to construct a sturdy bridge, you should use material X</w:t>
      </w:r>
    </w:p>
    <w:p w14:paraId="7E00249E" w14:textId="77777777" w:rsidR="009A58DB" w:rsidRDefault="009A58DB">
      <w:pPr>
        <w:pStyle w:val="BodyText"/>
        <w:spacing w:before="17"/>
        <w:ind w:left="0"/>
        <w:jc w:val="left"/>
      </w:pPr>
    </w:p>
    <w:p w14:paraId="7E00249F" w14:textId="77777777" w:rsidR="009A58DB" w:rsidRDefault="00000000">
      <w:pPr>
        <w:pStyle w:val="BodyText"/>
      </w:pPr>
      <w:r>
        <w:t>is</w:t>
      </w:r>
      <w:r>
        <w:rPr>
          <w:spacing w:val="-3"/>
        </w:rPr>
        <w:t xml:space="preserve"> </w:t>
      </w:r>
      <w:r>
        <w:t>a</w:t>
      </w:r>
      <w:r>
        <w:rPr>
          <w:spacing w:val="-3"/>
        </w:rPr>
        <w:t xml:space="preserve"> </w:t>
      </w:r>
      <w:r>
        <w:t>way</w:t>
      </w:r>
      <w:r>
        <w:rPr>
          <w:spacing w:val="-2"/>
        </w:rPr>
        <w:t xml:space="preserve"> </w:t>
      </w:r>
      <w:r>
        <w:t>of</w:t>
      </w:r>
      <w:r>
        <w:rPr>
          <w:spacing w:val="-3"/>
        </w:rPr>
        <w:t xml:space="preserve"> </w:t>
      </w:r>
      <w:r>
        <w:t>making</w:t>
      </w:r>
      <w:r>
        <w:rPr>
          <w:spacing w:val="-2"/>
        </w:rPr>
        <w:t xml:space="preserve"> </w:t>
      </w:r>
      <w:r>
        <w:t>the</w:t>
      </w:r>
      <w:r>
        <w:rPr>
          <w:spacing w:val="-3"/>
        </w:rPr>
        <w:t xml:space="preserve"> </w:t>
      </w:r>
      <w:r>
        <w:t>purely</w:t>
      </w:r>
      <w:r>
        <w:rPr>
          <w:spacing w:val="-3"/>
        </w:rPr>
        <w:t xml:space="preserve"> </w:t>
      </w:r>
      <w:r>
        <w:t>causal</w:t>
      </w:r>
      <w:r>
        <w:rPr>
          <w:spacing w:val="-2"/>
        </w:rPr>
        <w:t xml:space="preserve"> </w:t>
      </w:r>
      <w:r>
        <w:t>claim</w:t>
      </w:r>
      <w:r>
        <w:rPr>
          <w:spacing w:val="-3"/>
        </w:rPr>
        <w:t xml:space="preserve"> </w:t>
      </w:r>
      <w:r>
        <w:rPr>
          <w:spacing w:val="-2"/>
        </w:rPr>
        <w:t>that:</w:t>
      </w:r>
    </w:p>
    <w:p w14:paraId="7E0024A0" w14:textId="77777777" w:rsidR="009A58DB" w:rsidRDefault="009A58DB">
      <w:pPr>
        <w:pStyle w:val="BodyText"/>
        <w:spacing w:before="30"/>
        <w:ind w:left="0"/>
        <w:jc w:val="left"/>
      </w:pPr>
    </w:p>
    <w:p w14:paraId="7E0024A1" w14:textId="77777777" w:rsidR="009A58DB" w:rsidRDefault="00000000">
      <w:pPr>
        <w:pStyle w:val="ListParagraph"/>
        <w:numPr>
          <w:ilvl w:val="0"/>
          <w:numId w:val="58"/>
        </w:numPr>
        <w:tabs>
          <w:tab w:val="left" w:pos="816"/>
        </w:tabs>
        <w:spacing w:line="249" w:lineRule="auto"/>
        <w:ind w:left="360" w:right="364" w:firstLine="0"/>
        <w:rPr>
          <w:sz w:val="30"/>
        </w:rPr>
      </w:pPr>
      <w:r>
        <w:rPr>
          <w:sz w:val="30"/>
        </w:rPr>
        <w:t>Not</w:t>
      </w:r>
      <w:r>
        <w:rPr>
          <w:spacing w:val="30"/>
          <w:sz w:val="30"/>
        </w:rPr>
        <w:t xml:space="preserve"> </w:t>
      </w:r>
      <w:r>
        <w:rPr>
          <w:sz w:val="30"/>
        </w:rPr>
        <w:t>using</w:t>
      </w:r>
      <w:r>
        <w:rPr>
          <w:spacing w:val="30"/>
          <w:sz w:val="30"/>
        </w:rPr>
        <w:t xml:space="preserve"> </w:t>
      </w:r>
      <w:r>
        <w:rPr>
          <w:sz w:val="30"/>
        </w:rPr>
        <w:t>material</w:t>
      </w:r>
      <w:r>
        <w:rPr>
          <w:spacing w:val="30"/>
          <w:sz w:val="30"/>
        </w:rPr>
        <w:t xml:space="preserve"> </w:t>
      </w:r>
      <w:r>
        <w:rPr>
          <w:sz w:val="30"/>
        </w:rPr>
        <w:t>X</w:t>
      </w:r>
      <w:r>
        <w:rPr>
          <w:spacing w:val="30"/>
          <w:sz w:val="30"/>
        </w:rPr>
        <w:t xml:space="preserve"> </w:t>
      </w:r>
      <w:r>
        <w:rPr>
          <w:sz w:val="30"/>
        </w:rPr>
        <w:t>will</w:t>
      </w:r>
      <w:r>
        <w:rPr>
          <w:spacing w:val="30"/>
          <w:sz w:val="30"/>
        </w:rPr>
        <w:t xml:space="preserve"> </w:t>
      </w:r>
      <w:r>
        <w:rPr>
          <w:sz w:val="30"/>
        </w:rPr>
        <w:t>have</w:t>
      </w:r>
      <w:r>
        <w:rPr>
          <w:spacing w:val="30"/>
          <w:sz w:val="30"/>
        </w:rPr>
        <w:t xml:space="preserve"> </w:t>
      </w:r>
      <w:r>
        <w:rPr>
          <w:sz w:val="30"/>
        </w:rPr>
        <w:t>the</w:t>
      </w:r>
      <w:r>
        <w:rPr>
          <w:spacing w:val="30"/>
          <w:sz w:val="30"/>
        </w:rPr>
        <w:t xml:space="preserve"> </w:t>
      </w:r>
      <w:r>
        <w:rPr>
          <w:sz w:val="30"/>
        </w:rPr>
        <w:t>consequence</w:t>
      </w:r>
      <w:r>
        <w:rPr>
          <w:spacing w:val="30"/>
          <w:sz w:val="30"/>
        </w:rPr>
        <w:t xml:space="preserve"> </w:t>
      </w:r>
      <w:r>
        <w:rPr>
          <w:sz w:val="30"/>
        </w:rPr>
        <w:t>that</w:t>
      </w:r>
      <w:r>
        <w:rPr>
          <w:spacing w:val="30"/>
          <w:sz w:val="30"/>
        </w:rPr>
        <w:t xml:space="preserve"> </w:t>
      </w:r>
      <w:r>
        <w:rPr>
          <w:sz w:val="30"/>
        </w:rPr>
        <w:t>the</w:t>
      </w:r>
      <w:r>
        <w:rPr>
          <w:spacing w:val="30"/>
          <w:sz w:val="30"/>
        </w:rPr>
        <w:t xml:space="preserve"> </w:t>
      </w:r>
      <w:r>
        <w:rPr>
          <w:sz w:val="30"/>
        </w:rPr>
        <w:t>bridge</w:t>
      </w:r>
      <w:r>
        <w:rPr>
          <w:spacing w:val="30"/>
          <w:sz w:val="30"/>
        </w:rPr>
        <w:t xml:space="preserve"> </w:t>
      </w:r>
      <w:r>
        <w:rPr>
          <w:sz w:val="30"/>
        </w:rPr>
        <w:t>isn’t</w:t>
      </w:r>
      <w:r>
        <w:rPr>
          <w:spacing w:val="30"/>
          <w:sz w:val="30"/>
        </w:rPr>
        <w:t xml:space="preserve"> </w:t>
      </w:r>
      <w:r>
        <w:rPr>
          <w:sz w:val="30"/>
        </w:rPr>
        <w:t>as sturdy as it would otherwise be.</w:t>
      </w:r>
    </w:p>
    <w:p w14:paraId="7E0024A2" w14:textId="77777777" w:rsidR="009A58DB" w:rsidRDefault="009A58DB">
      <w:pPr>
        <w:pStyle w:val="BodyText"/>
        <w:spacing w:before="18"/>
        <w:ind w:left="0"/>
        <w:jc w:val="left"/>
      </w:pPr>
    </w:p>
    <w:p w14:paraId="7E0024A3" w14:textId="77777777" w:rsidR="009A58DB" w:rsidRDefault="00000000">
      <w:pPr>
        <w:pStyle w:val="BodyText"/>
        <w:spacing w:line="249" w:lineRule="auto"/>
        <w:ind w:right="360"/>
      </w:pPr>
      <w:r>
        <w:t>Many</w:t>
      </w:r>
      <w:r>
        <w:rPr>
          <w:spacing w:val="-3"/>
        </w:rPr>
        <w:t xml:space="preserve"> </w:t>
      </w:r>
      <w:r>
        <w:t>ethicists</w:t>
      </w:r>
      <w:r>
        <w:rPr>
          <w:spacing w:val="-3"/>
        </w:rPr>
        <w:t xml:space="preserve"> </w:t>
      </w:r>
      <w:r>
        <w:t>reject</w:t>
      </w:r>
      <w:r>
        <w:rPr>
          <w:spacing w:val="-3"/>
        </w:rPr>
        <w:t xml:space="preserve"> </w:t>
      </w:r>
      <w:r>
        <w:t>utilitarianism.</w:t>
      </w:r>
      <w:r>
        <w:rPr>
          <w:spacing w:val="-3"/>
        </w:rPr>
        <w:t xml:space="preserve"> </w:t>
      </w:r>
      <w:r>
        <w:t>But</w:t>
      </w:r>
      <w:r>
        <w:rPr>
          <w:spacing w:val="-3"/>
        </w:rPr>
        <w:t xml:space="preserve"> </w:t>
      </w:r>
      <w:r>
        <w:t>given</w:t>
      </w:r>
      <w:r>
        <w:rPr>
          <w:spacing w:val="-3"/>
        </w:rPr>
        <w:t xml:space="preserve"> </w:t>
      </w:r>
      <w:r>
        <w:t>practically</w:t>
      </w:r>
      <w:r>
        <w:rPr>
          <w:spacing w:val="-3"/>
        </w:rPr>
        <w:t xml:space="preserve"> </w:t>
      </w:r>
      <w:r>
        <w:t>any</w:t>
      </w:r>
      <w:r>
        <w:rPr>
          <w:spacing w:val="-3"/>
        </w:rPr>
        <w:t xml:space="preserve"> </w:t>
      </w:r>
      <w:r>
        <w:t>ethical</w:t>
      </w:r>
      <w:r>
        <w:rPr>
          <w:spacing w:val="-3"/>
        </w:rPr>
        <w:t xml:space="preserve"> </w:t>
      </w:r>
      <w:r>
        <w:t>theory,</w:t>
      </w:r>
      <w:r>
        <w:rPr>
          <w:spacing w:val="-3"/>
        </w:rPr>
        <w:t xml:space="preserve"> </w:t>
      </w:r>
      <w:r>
        <w:t>a consequence of its being correct is that its moral imperatives become garden-variety causal statements, and thus fall within the scope of natural science.</w:t>
      </w:r>
    </w:p>
    <w:p w14:paraId="7E0024A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A5" w14:textId="77777777" w:rsidR="009A58DB" w:rsidRDefault="00000000">
      <w:pPr>
        <w:pStyle w:val="BodyText"/>
        <w:spacing w:before="65" w:line="249" w:lineRule="auto"/>
        <w:ind w:left="720" w:right="362"/>
      </w:pPr>
      <w:r>
        <w:rPr>
          <w:b/>
          <w:i/>
        </w:rPr>
        <w:lastRenderedPageBreak/>
        <w:t xml:space="preserve">Argument #5 </w:t>
      </w:r>
      <w:r>
        <w:t xml:space="preserve">Ethical statements have a property that sets them apart from all others: if understood and believed true, ethical statements </w:t>
      </w:r>
      <w:r>
        <w:rPr>
          <w:i/>
        </w:rPr>
        <w:t xml:space="preserve">necessarily </w:t>
      </w:r>
      <w:r>
        <w:t>incline one towards certain actions. If you really understand and agree</w:t>
      </w:r>
      <w:r>
        <w:rPr>
          <w:spacing w:val="40"/>
        </w:rPr>
        <w:t xml:space="preserve"> </w:t>
      </w:r>
      <w:r>
        <w:t>with the principle that you should keep promises, you cannot fail to have an inclination to keep your promises.</w:t>
      </w:r>
    </w:p>
    <w:p w14:paraId="7E0024A6" w14:textId="77777777" w:rsidR="009A58DB" w:rsidRDefault="00000000">
      <w:pPr>
        <w:pStyle w:val="BodyText"/>
        <w:spacing w:before="6" w:line="249" w:lineRule="auto"/>
        <w:ind w:left="720" w:right="358" w:firstLine="360"/>
      </w:pPr>
      <w:r>
        <w:t xml:space="preserve">This doesn’t mean that you necessarily </w:t>
      </w:r>
      <w:r>
        <w:rPr>
          <w:i/>
        </w:rPr>
        <w:t xml:space="preserve">will </w:t>
      </w:r>
      <w:r>
        <w:t>keep your promises. You may have other inclinations that override your inclination to keep your promises.</w:t>
      </w:r>
      <w:r>
        <w:rPr>
          <w:spacing w:val="-1"/>
        </w:rPr>
        <w:t xml:space="preserve"> </w:t>
      </w:r>
      <w:r>
        <w:t>For</w:t>
      </w:r>
      <w:r>
        <w:rPr>
          <w:spacing w:val="-1"/>
        </w:rPr>
        <w:t xml:space="preserve"> </w:t>
      </w:r>
      <w:r>
        <w:t>example,</w:t>
      </w:r>
      <w:r>
        <w:rPr>
          <w:spacing w:val="-1"/>
        </w:rPr>
        <w:t xml:space="preserve"> </w:t>
      </w:r>
      <w:r>
        <w:t>given</w:t>
      </w:r>
      <w:r>
        <w:rPr>
          <w:spacing w:val="-1"/>
        </w:rPr>
        <w:t xml:space="preserve"> </w:t>
      </w:r>
      <w:r>
        <w:t>your</w:t>
      </w:r>
      <w:r>
        <w:rPr>
          <w:spacing w:val="-1"/>
        </w:rPr>
        <w:t xml:space="preserve"> </w:t>
      </w:r>
      <w:r>
        <w:t>burning</w:t>
      </w:r>
      <w:r>
        <w:rPr>
          <w:spacing w:val="-1"/>
        </w:rPr>
        <w:t xml:space="preserve"> </w:t>
      </w:r>
      <w:r>
        <w:t>wish</w:t>
      </w:r>
      <w:r>
        <w:rPr>
          <w:spacing w:val="-1"/>
        </w:rPr>
        <w:t xml:space="preserve"> </w:t>
      </w:r>
      <w:r>
        <w:t>to</w:t>
      </w:r>
      <w:r>
        <w:rPr>
          <w:spacing w:val="-1"/>
        </w:rPr>
        <w:t xml:space="preserve"> </w:t>
      </w:r>
      <w:r>
        <w:t>be</w:t>
      </w:r>
      <w:r>
        <w:rPr>
          <w:spacing w:val="-1"/>
        </w:rPr>
        <w:t xml:space="preserve"> </w:t>
      </w:r>
      <w:r>
        <w:t>a</w:t>
      </w:r>
      <w:r>
        <w:rPr>
          <w:spacing w:val="-1"/>
        </w:rPr>
        <w:t xml:space="preserve"> </w:t>
      </w:r>
      <w:r>
        <w:t>millionaire</w:t>
      </w:r>
      <w:r>
        <w:rPr>
          <w:spacing w:val="-1"/>
        </w:rPr>
        <w:t xml:space="preserve"> </w:t>
      </w:r>
      <w:r>
        <w:t>by</w:t>
      </w:r>
      <w:r>
        <w:rPr>
          <w:spacing w:val="-1"/>
        </w:rPr>
        <w:t xml:space="preserve"> </w:t>
      </w:r>
      <w:r>
        <w:t>age 40, along with your correct belief that this wish of yours won’t come true if you’re utterly scrupulous, you may choose not to keep your promises, even though you wish that circumstances didn’t force you to break them. But</w:t>
      </w:r>
      <w:r>
        <w:rPr>
          <w:spacing w:val="-3"/>
        </w:rPr>
        <w:t xml:space="preserve"> </w:t>
      </w:r>
      <w:r>
        <w:t>if</w:t>
      </w:r>
      <w:r>
        <w:rPr>
          <w:spacing w:val="-3"/>
        </w:rPr>
        <w:t xml:space="preserve"> </w:t>
      </w:r>
      <w:r>
        <w:t>you</w:t>
      </w:r>
      <w:r>
        <w:rPr>
          <w:spacing w:val="-2"/>
        </w:rPr>
        <w:t xml:space="preserve"> </w:t>
      </w:r>
      <w:r>
        <w:t>have</w:t>
      </w:r>
      <w:r>
        <w:rPr>
          <w:spacing w:val="-3"/>
        </w:rPr>
        <w:t xml:space="preserve"> </w:t>
      </w:r>
      <w:r>
        <w:rPr>
          <w:i/>
        </w:rPr>
        <w:t>no</w:t>
      </w:r>
      <w:r>
        <w:rPr>
          <w:i/>
          <w:spacing w:val="-2"/>
        </w:rPr>
        <w:t xml:space="preserve"> </w:t>
      </w:r>
      <w:r>
        <w:t>inclination</w:t>
      </w:r>
      <w:r>
        <w:rPr>
          <w:spacing w:val="-1"/>
        </w:rPr>
        <w:t xml:space="preserve"> </w:t>
      </w:r>
      <w:r>
        <w:t>to</w:t>
      </w:r>
      <w:r>
        <w:rPr>
          <w:spacing w:val="-1"/>
        </w:rPr>
        <w:t xml:space="preserve"> </w:t>
      </w:r>
      <w:r>
        <w:t>keep</w:t>
      </w:r>
      <w:r>
        <w:rPr>
          <w:spacing w:val="-1"/>
        </w:rPr>
        <w:t xml:space="preserve"> </w:t>
      </w:r>
      <w:r>
        <w:t>your</w:t>
      </w:r>
      <w:r>
        <w:rPr>
          <w:spacing w:val="-1"/>
        </w:rPr>
        <w:t xml:space="preserve"> </w:t>
      </w:r>
      <w:r>
        <w:t>promises,</w:t>
      </w:r>
      <w:r>
        <w:rPr>
          <w:spacing w:val="-1"/>
        </w:rPr>
        <w:t xml:space="preserve"> </w:t>
      </w:r>
      <w:r>
        <w:t>then</w:t>
      </w:r>
      <w:r>
        <w:rPr>
          <w:spacing w:val="-1"/>
        </w:rPr>
        <w:t xml:space="preserve"> </w:t>
      </w:r>
      <w:r>
        <w:t>you</w:t>
      </w:r>
      <w:r>
        <w:rPr>
          <w:spacing w:val="-1"/>
        </w:rPr>
        <w:t xml:space="preserve"> </w:t>
      </w:r>
      <w:r>
        <w:t>either</w:t>
      </w:r>
      <w:r>
        <w:rPr>
          <w:spacing w:val="-1"/>
        </w:rPr>
        <w:t xml:space="preserve"> </w:t>
      </w:r>
      <w:r>
        <w:t>don’t understand the principle that you should do so or you don’t really agree with it.</w:t>
      </w:r>
    </w:p>
    <w:p w14:paraId="7E0024A7" w14:textId="77777777" w:rsidR="009A58DB" w:rsidRDefault="00000000">
      <w:pPr>
        <w:pStyle w:val="BodyText"/>
        <w:spacing w:before="11" w:line="249" w:lineRule="auto"/>
        <w:ind w:left="720" w:right="358" w:firstLine="360"/>
      </w:pPr>
      <w:r>
        <w:t>So far as this appears false, it’s because it’s easy for people who don’t understand or agree with ethical principles to impersonate those who do. Somebody who, while not having a shred of ethical insight, knows the right talking points can easily pass for somebody who not only understands, but also accepts, the precept that one should keep one’s promises. Be that as it may, what is relevant here is that wherever there’s actual understanding and acceptance of an ethical principle, there is, for that very reason, an inclination to act in accordance with that principle.</w:t>
      </w:r>
    </w:p>
    <w:p w14:paraId="7E0024A8" w14:textId="77777777" w:rsidR="009A58DB" w:rsidRDefault="00000000">
      <w:pPr>
        <w:pStyle w:val="BodyText"/>
        <w:spacing w:before="10" w:line="249" w:lineRule="auto"/>
        <w:ind w:left="720" w:right="360" w:firstLine="360"/>
      </w:pPr>
      <w:r>
        <w:t>Descriptive statements don’t have this feature. You can fully understand and accept any descriptive statement without having any inclination to do anything. You can understand and concede the truth of the statement “if the button is pushed, many will die and those who don’t will</w:t>
      </w:r>
      <w:r>
        <w:rPr>
          <w:spacing w:val="-2"/>
        </w:rPr>
        <w:t xml:space="preserve"> </w:t>
      </w:r>
      <w:r>
        <w:t>be</w:t>
      </w:r>
      <w:r>
        <w:rPr>
          <w:spacing w:val="-1"/>
        </w:rPr>
        <w:t xml:space="preserve"> </w:t>
      </w:r>
      <w:r>
        <w:t>miserable;</w:t>
      </w:r>
      <w:r>
        <w:rPr>
          <w:spacing w:val="-1"/>
        </w:rPr>
        <w:t xml:space="preserve"> </w:t>
      </w:r>
      <w:r>
        <w:t>if</w:t>
      </w:r>
      <w:r>
        <w:rPr>
          <w:spacing w:val="-1"/>
        </w:rPr>
        <w:t xml:space="preserve"> </w:t>
      </w:r>
      <w:r>
        <w:t>it</w:t>
      </w:r>
      <w:r>
        <w:rPr>
          <w:spacing w:val="-1"/>
        </w:rPr>
        <w:t xml:space="preserve"> </w:t>
      </w:r>
      <w:r>
        <w:t>isn’t</w:t>
      </w:r>
      <w:r>
        <w:rPr>
          <w:spacing w:val="-1"/>
        </w:rPr>
        <w:t xml:space="preserve"> </w:t>
      </w:r>
      <w:r>
        <w:t>pushed,</w:t>
      </w:r>
      <w:r>
        <w:rPr>
          <w:spacing w:val="-1"/>
        </w:rPr>
        <w:t xml:space="preserve"> </w:t>
      </w:r>
      <w:r>
        <w:t>nobody</w:t>
      </w:r>
      <w:r>
        <w:rPr>
          <w:spacing w:val="-1"/>
        </w:rPr>
        <w:t xml:space="preserve"> </w:t>
      </w:r>
      <w:r>
        <w:t>will</w:t>
      </w:r>
      <w:r>
        <w:rPr>
          <w:spacing w:val="-1"/>
        </w:rPr>
        <w:t xml:space="preserve"> </w:t>
      </w:r>
      <w:r>
        <w:t>die</w:t>
      </w:r>
      <w:r>
        <w:rPr>
          <w:spacing w:val="-1"/>
        </w:rPr>
        <w:t xml:space="preserve"> </w:t>
      </w:r>
      <w:r>
        <w:t>and</w:t>
      </w:r>
      <w:r>
        <w:rPr>
          <w:spacing w:val="-1"/>
        </w:rPr>
        <w:t xml:space="preserve"> </w:t>
      </w:r>
      <w:r>
        <w:t>everybody</w:t>
      </w:r>
      <w:r>
        <w:rPr>
          <w:spacing w:val="-1"/>
        </w:rPr>
        <w:t xml:space="preserve"> </w:t>
      </w:r>
      <w:r>
        <w:t>will</w:t>
      </w:r>
      <w:r>
        <w:rPr>
          <w:spacing w:val="-1"/>
        </w:rPr>
        <w:t xml:space="preserve"> </w:t>
      </w:r>
      <w:r>
        <w:t>be happy”</w:t>
      </w:r>
      <w:r>
        <w:rPr>
          <w:spacing w:val="-3"/>
        </w:rPr>
        <w:t xml:space="preserve"> </w:t>
      </w:r>
      <w:r>
        <w:t>without</w:t>
      </w:r>
      <w:r>
        <w:rPr>
          <w:spacing w:val="-3"/>
        </w:rPr>
        <w:t xml:space="preserve"> </w:t>
      </w:r>
      <w:r>
        <w:t>having</w:t>
      </w:r>
      <w:r>
        <w:rPr>
          <w:spacing w:val="-3"/>
        </w:rPr>
        <w:t xml:space="preserve"> </w:t>
      </w:r>
      <w:r>
        <w:t>the</w:t>
      </w:r>
      <w:r>
        <w:rPr>
          <w:spacing w:val="-3"/>
        </w:rPr>
        <w:t xml:space="preserve"> </w:t>
      </w:r>
      <w:r>
        <w:t>slightest</w:t>
      </w:r>
      <w:r>
        <w:rPr>
          <w:spacing w:val="-3"/>
        </w:rPr>
        <w:t xml:space="preserve"> </w:t>
      </w:r>
      <w:r>
        <w:t>inclination</w:t>
      </w:r>
      <w:r>
        <w:rPr>
          <w:spacing w:val="-3"/>
        </w:rPr>
        <w:t xml:space="preserve"> </w:t>
      </w:r>
      <w:r>
        <w:t>to</w:t>
      </w:r>
      <w:r>
        <w:rPr>
          <w:spacing w:val="-3"/>
        </w:rPr>
        <w:t xml:space="preserve"> </w:t>
      </w:r>
      <w:r>
        <w:t>abstain</w:t>
      </w:r>
      <w:r>
        <w:rPr>
          <w:spacing w:val="-3"/>
        </w:rPr>
        <w:t xml:space="preserve"> </w:t>
      </w:r>
      <w:r>
        <w:t>from</w:t>
      </w:r>
      <w:r>
        <w:rPr>
          <w:spacing w:val="-3"/>
        </w:rPr>
        <w:t xml:space="preserve"> </w:t>
      </w:r>
      <w:r>
        <w:t>pushing</w:t>
      </w:r>
      <w:r>
        <w:rPr>
          <w:spacing w:val="-3"/>
        </w:rPr>
        <w:t xml:space="preserve"> </w:t>
      </w:r>
      <w:r>
        <w:t>the button. But you can’t understand “you morally shouldn’t push the button (since, e.g., it will kill innocent people)” without having such an inclination. So descriptive statements lack, whereas ethical statements have, the property that, if understood and believed true, they necessarily impel one towards certain acts.</w:t>
      </w:r>
    </w:p>
    <w:p w14:paraId="7E0024A9" w14:textId="77777777" w:rsidR="009A58DB" w:rsidRDefault="00000000">
      <w:pPr>
        <w:pStyle w:val="BodyText"/>
        <w:spacing w:before="13" w:line="249" w:lineRule="auto"/>
        <w:ind w:left="720" w:right="362" w:firstLine="360"/>
      </w:pPr>
      <w:r>
        <w:t>Since correct ethical statements, supposing them to exist, necessarily incline those who understand and agree with them to behave in certain ways,</w:t>
      </w:r>
      <w:r>
        <w:rPr>
          <w:spacing w:val="67"/>
        </w:rPr>
        <w:t xml:space="preserve"> </w:t>
      </w:r>
      <w:r>
        <w:t>and</w:t>
      </w:r>
      <w:r>
        <w:rPr>
          <w:spacing w:val="67"/>
        </w:rPr>
        <w:t xml:space="preserve"> </w:t>
      </w:r>
      <w:r>
        <w:t>since</w:t>
      </w:r>
      <w:r>
        <w:rPr>
          <w:spacing w:val="67"/>
        </w:rPr>
        <w:t xml:space="preserve"> </w:t>
      </w:r>
      <w:r>
        <w:t>descriptive</w:t>
      </w:r>
      <w:r>
        <w:rPr>
          <w:spacing w:val="67"/>
        </w:rPr>
        <w:t xml:space="preserve"> </w:t>
      </w:r>
      <w:r>
        <w:t>statements</w:t>
      </w:r>
      <w:r>
        <w:rPr>
          <w:spacing w:val="68"/>
        </w:rPr>
        <w:t xml:space="preserve"> </w:t>
      </w:r>
      <w:r>
        <w:rPr>
          <w:i/>
        </w:rPr>
        <w:t>don’t</w:t>
      </w:r>
      <w:r>
        <w:rPr>
          <w:i/>
          <w:spacing w:val="70"/>
        </w:rPr>
        <w:t xml:space="preserve"> </w:t>
      </w:r>
      <w:r>
        <w:t>have</w:t>
      </w:r>
      <w:r>
        <w:rPr>
          <w:spacing w:val="70"/>
        </w:rPr>
        <w:t xml:space="preserve"> </w:t>
      </w:r>
      <w:r>
        <w:t>this</w:t>
      </w:r>
      <w:r>
        <w:rPr>
          <w:spacing w:val="70"/>
        </w:rPr>
        <w:t xml:space="preserve"> </w:t>
      </w:r>
      <w:r>
        <w:t>feature,</w:t>
      </w:r>
      <w:r>
        <w:rPr>
          <w:spacing w:val="71"/>
        </w:rPr>
        <w:t xml:space="preserve"> </w:t>
      </w:r>
      <w:r>
        <w:t>ethical</w:t>
      </w:r>
    </w:p>
    <w:p w14:paraId="7E0024A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AB" w14:textId="77777777" w:rsidR="009A58DB" w:rsidRDefault="00000000">
      <w:pPr>
        <w:pStyle w:val="BodyText"/>
        <w:spacing w:before="65" w:line="249" w:lineRule="auto"/>
        <w:ind w:left="720" w:right="359"/>
        <w:rPr>
          <w:i/>
        </w:rPr>
      </w:pPr>
      <w:r>
        <w:lastRenderedPageBreak/>
        <w:t>statements aren’t descriptive statements. This means that ethical</w:t>
      </w:r>
      <w:r>
        <w:rPr>
          <w:spacing w:val="40"/>
        </w:rPr>
        <w:t xml:space="preserve"> </w:t>
      </w:r>
      <w:r>
        <w:t xml:space="preserve">statements don’t describe the world—that, in other words, they don’t say how things are. This means that they don’t say </w:t>
      </w:r>
      <w:r>
        <w:rPr>
          <w:i/>
        </w:rPr>
        <w:t>anything.</w:t>
      </w:r>
    </w:p>
    <w:p w14:paraId="7E0024AC" w14:textId="77777777" w:rsidR="009A58DB" w:rsidRDefault="009A58DB">
      <w:pPr>
        <w:pStyle w:val="BodyText"/>
        <w:spacing w:before="18"/>
        <w:ind w:left="0"/>
        <w:jc w:val="left"/>
        <w:rPr>
          <w:i/>
        </w:rPr>
      </w:pPr>
    </w:p>
    <w:p w14:paraId="7E0024AD" w14:textId="77777777" w:rsidR="009A58DB" w:rsidRDefault="00000000">
      <w:pPr>
        <w:pStyle w:val="BodyText"/>
        <w:spacing w:line="249" w:lineRule="auto"/>
        <w:ind w:right="359"/>
      </w:pPr>
      <w:r>
        <w:rPr>
          <w:b/>
          <w:i/>
        </w:rPr>
        <w:t xml:space="preserve">Analysis of Argument #5 </w:t>
      </w:r>
      <w:r>
        <w:t xml:space="preserve">Contrary to what this argument assumes, ethical statements </w:t>
      </w:r>
      <w:r>
        <w:rPr>
          <w:i/>
        </w:rPr>
        <w:t xml:space="preserve">don’t </w:t>
      </w:r>
      <w:r>
        <w:t>necessarily incline those who agree with them to behave in certain ways. And, contrary to what this argument assumes, so far as ethical statements</w:t>
      </w:r>
      <w:r>
        <w:rPr>
          <w:spacing w:val="-4"/>
        </w:rPr>
        <w:t xml:space="preserve"> </w:t>
      </w:r>
      <w:r>
        <w:rPr>
          <w:i/>
        </w:rPr>
        <w:t>do</w:t>
      </w:r>
      <w:r>
        <w:rPr>
          <w:i/>
          <w:spacing w:val="-3"/>
        </w:rPr>
        <w:t xml:space="preserve"> </w:t>
      </w:r>
      <w:r>
        <w:t xml:space="preserve">incline people who agree with them to behave in certain ways, it is </w:t>
      </w:r>
      <w:r>
        <w:rPr>
          <w:i/>
        </w:rPr>
        <w:t xml:space="preserve">only </w:t>
      </w:r>
      <w:r>
        <w:t>to the extent that such statements are descriptive in nature.</w:t>
      </w:r>
    </w:p>
    <w:p w14:paraId="7E0024AE" w14:textId="77777777" w:rsidR="009A58DB" w:rsidRDefault="00000000">
      <w:pPr>
        <w:pStyle w:val="BodyText"/>
        <w:spacing w:before="6" w:line="249" w:lineRule="auto"/>
        <w:ind w:right="368" w:firstLine="360"/>
        <w:rPr>
          <w:position w:val="21"/>
        </w:rPr>
      </w:pPr>
      <w:r>
        <w:t>Many people do things they know to be ethically wrong, and oftentimes haven’t the slightest inclination not to do them. In many cases, it is the very fact that those acts are wrong that gives them their appeal.</w:t>
      </w:r>
      <w:bookmarkStart w:id="503" w:name="_bookmark503"/>
      <w:bookmarkEnd w:id="503"/>
      <w:r>
        <w:rPr>
          <w:color w:val="0562C1"/>
          <w:position w:val="21"/>
          <w:u w:val="single" w:color="0562C1"/>
        </w:rPr>
        <w:t>[375]</w:t>
      </w:r>
    </w:p>
    <w:p w14:paraId="7E0024AF" w14:textId="77777777" w:rsidR="009A58DB" w:rsidRDefault="00000000">
      <w:pPr>
        <w:pStyle w:val="BodyText"/>
        <w:spacing w:before="4" w:line="249" w:lineRule="auto"/>
        <w:ind w:right="361" w:firstLine="360"/>
      </w:pPr>
      <w:r>
        <w:t xml:space="preserve">So far as I know, there is no empirical evidence that, whenever somebody deliberately violates an ethical norm, he did it </w:t>
      </w:r>
      <w:r>
        <w:rPr>
          <w:i/>
        </w:rPr>
        <w:t>despite</w:t>
      </w:r>
      <w:r>
        <w:rPr>
          <w:i/>
          <w:spacing w:val="-3"/>
        </w:rPr>
        <w:t xml:space="preserve"> </w:t>
      </w:r>
      <w:r>
        <w:t>the pull of some desire to comply with that norm. Certainly, the norm-violators themselves aren’t always conscious of there being any such pull. Sometimes they are; sometimes they aren’t.</w:t>
      </w:r>
    </w:p>
    <w:p w14:paraId="7E0024B0" w14:textId="77777777" w:rsidR="009A58DB" w:rsidRDefault="00000000">
      <w:pPr>
        <w:pStyle w:val="BodyText"/>
        <w:spacing w:before="6" w:line="249" w:lineRule="auto"/>
        <w:ind w:right="357" w:firstLine="360"/>
      </w:pPr>
      <w:r>
        <w:t>I’d be very surprised if criminologists and psychologists had found such a pull to be operating in the unconscious of every norm-breaker who wasn’t consciously aware of it. People have no wish to turn a blind eye to what is good in themselves or, therefore, to suppress their knowledge of their</w:t>
      </w:r>
      <w:r>
        <w:rPr>
          <w:spacing w:val="40"/>
        </w:rPr>
        <w:t xml:space="preserve"> </w:t>
      </w:r>
      <w:r>
        <w:t xml:space="preserve">virtuous impulses. It is the ugly, evil impulses that they don’t want to know about and that they have an incentive to conceal from themselves (and, of course, from others). People </w:t>
      </w:r>
      <w:r>
        <w:rPr>
          <w:i/>
        </w:rPr>
        <w:t xml:space="preserve">want </w:t>
      </w:r>
      <w:r>
        <w:t>to believe that they’re motivated by noble impulses and aren’t motivated by ignoble ones. Therefore, the former impulses</w:t>
      </w:r>
      <w:r>
        <w:rPr>
          <w:spacing w:val="-3"/>
        </w:rPr>
        <w:t xml:space="preserve"> </w:t>
      </w:r>
      <w:r>
        <w:t>are</w:t>
      </w:r>
      <w:r>
        <w:rPr>
          <w:spacing w:val="-3"/>
        </w:rPr>
        <w:t xml:space="preserve"> </w:t>
      </w:r>
      <w:r>
        <w:t>the</w:t>
      </w:r>
      <w:r>
        <w:rPr>
          <w:spacing w:val="-3"/>
        </w:rPr>
        <w:t xml:space="preserve"> </w:t>
      </w:r>
      <w:r>
        <w:t>least</w:t>
      </w:r>
      <w:r>
        <w:rPr>
          <w:spacing w:val="-3"/>
        </w:rPr>
        <w:t xml:space="preserve"> </w:t>
      </w:r>
      <w:r>
        <w:t>likely,</w:t>
      </w:r>
      <w:r>
        <w:rPr>
          <w:spacing w:val="-3"/>
        </w:rPr>
        <w:t xml:space="preserve"> </w:t>
      </w:r>
      <w:r>
        <w:t>and</w:t>
      </w:r>
      <w:r>
        <w:rPr>
          <w:spacing w:val="-3"/>
        </w:rPr>
        <w:t xml:space="preserve"> </w:t>
      </w:r>
      <w:r>
        <w:t>the</w:t>
      </w:r>
      <w:r>
        <w:rPr>
          <w:spacing w:val="-3"/>
        </w:rPr>
        <w:t xml:space="preserve"> </w:t>
      </w:r>
      <w:r>
        <w:t>latter</w:t>
      </w:r>
      <w:r>
        <w:rPr>
          <w:spacing w:val="-3"/>
        </w:rPr>
        <w:t xml:space="preserve"> </w:t>
      </w:r>
      <w:r>
        <w:t>are</w:t>
      </w:r>
      <w:r>
        <w:rPr>
          <w:spacing w:val="-3"/>
        </w:rPr>
        <w:t xml:space="preserve"> </w:t>
      </w:r>
      <w:r>
        <w:t>the</w:t>
      </w:r>
      <w:r>
        <w:rPr>
          <w:spacing w:val="-3"/>
        </w:rPr>
        <w:t xml:space="preserve"> </w:t>
      </w:r>
      <w:r>
        <w:t>most</w:t>
      </w:r>
      <w:r>
        <w:rPr>
          <w:spacing w:val="-3"/>
        </w:rPr>
        <w:t xml:space="preserve"> </w:t>
      </w:r>
      <w:r>
        <w:t>likely,</w:t>
      </w:r>
      <w:r>
        <w:rPr>
          <w:spacing w:val="-3"/>
        </w:rPr>
        <w:t xml:space="preserve"> </w:t>
      </w:r>
      <w:r>
        <w:t>to</w:t>
      </w:r>
      <w:r>
        <w:rPr>
          <w:spacing w:val="-3"/>
        </w:rPr>
        <w:t xml:space="preserve"> </w:t>
      </w:r>
      <w:r>
        <w:t>end</w:t>
      </w:r>
      <w:r>
        <w:rPr>
          <w:spacing w:val="-3"/>
        </w:rPr>
        <w:t xml:space="preserve"> </w:t>
      </w:r>
      <w:r>
        <w:t>up</w:t>
      </w:r>
      <w:r>
        <w:rPr>
          <w:spacing w:val="-3"/>
        </w:rPr>
        <w:t xml:space="preserve"> </w:t>
      </w:r>
      <w:r>
        <w:t>in</w:t>
      </w:r>
      <w:r>
        <w:rPr>
          <w:spacing w:val="-3"/>
        </w:rPr>
        <w:t xml:space="preserve"> </w:t>
      </w:r>
      <w:r>
        <w:t xml:space="preserve">the </w:t>
      </w:r>
      <w:r>
        <w:rPr>
          <w:spacing w:val="-2"/>
        </w:rPr>
        <w:t>unconscious.</w:t>
      </w:r>
    </w:p>
    <w:p w14:paraId="7E0024B1" w14:textId="77777777" w:rsidR="009A58DB" w:rsidRDefault="00000000">
      <w:pPr>
        <w:pStyle w:val="BodyText"/>
        <w:spacing w:before="13" w:line="249" w:lineRule="auto"/>
        <w:ind w:right="364" w:firstLine="360"/>
      </w:pPr>
      <w:r>
        <w:t xml:space="preserve">The wrong path is the easy path. Unethical acts are acts of giving in. A person’s default mode is to act unethically. This doesn’t mean that all people are all totally immoral or even that </w:t>
      </w:r>
      <w:r>
        <w:rPr>
          <w:i/>
        </w:rPr>
        <w:t>any</w:t>
      </w:r>
      <w:r>
        <w:rPr>
          <w:i/>
          <w:spacing w:val="-3"/>
        </w:rPr>
        <w:t xml:space="preserve"> </w:t>
      </w:r>
      <w:r>
        <w:t xml:space="preserve">of them are. To be immoral is not for one’s </w:t>
      </w:r>
      <w:r>
        <w:rPr>
          <w:i/>
        </w:rPr>
        <w:t>default</w:t>
      </w:r>
      <w:r>
        <w:t xml:space="preserve">-mode to be immoral action. It is for one to allow that mode to be operationalized; and few people allow it to be </w:t>
      </w:r>
      <w:r>
        <w:rPr>
          <w:i/>
        </w:rPr>
        <w:t xml:space="preserve">completely </w:t>
      </w:r>
      <w:r>
        <w:t>operationalized, though many come close.</w:t>
      </w:r>
    </w:p>
    <w:p w14:paraId="7E0024B2" w14:textId="77777777" w:rsidR="009A58DB" w:rsidRDefault="00000000">
      <w:pPr>
        <w:pStyle w:val="BodyText"/>
        <w:spacing w:before="7" w:line="249" w:lineRule="auto"/>
        <w:ind w:right="360" w:firstLine="360"/>
      </w:pPr>
      <w:r>
        <w:rPr>
          <w:spacing w:val="-6"/>
        </w:rPr>
        <w:t>“Absolute</w:t>
      </w:r>
      <w:r>
        <w:rPr>
          <w:spacing w:val="-13"/>
        </w:rPr>
        <w:t xml:space="preserve"> </w:t>
      </w:r>
      <w:r>
        <w:rPr>
          <w:spacing w:val="-6"/>
        </w:rPr>
        <w:t>power corrupts absolutely,” as Lord</w:t>
      </w:r>
      <w:r>
        <w:rPr>
          <w:spacing w:val="-13"/>
        </w:rPr>
        <w:t xml:space="preserve"> </w:t>
      </w:r>
      <w:r>
        <w:rPr>
          <w:spacing w:val="-6"/>
        </w:rPr>
        <w:t>Acton said.</w:t>
      </w:r>
      <w:r>
        <w:rPr>
          <w:spacing w:val="-11"/>
        </w:rPr>
        <w:t xml:space="preserve"> </w:t>
      </w:r>
      <w:r>
        <w:rPr>
          <w:spacing w:val="-6"/>
        </w:rPr>
        <w:t xml:space="preserve">When people don’t </w:t>
      </w:r>
      <w:r>
        <w:t>have</w:t>
      </w:r>
      <w:r>
        <w:rPr>
          <w:spacing w:val="7"/>
        </w:rPr>
        <w:t xml:space="preserve"> </w:t>
      </w:r>
      <w:r>
        <w:t>to</w:t>
      </w:r>
      <w:r>
        <w:rPr>
          <w:spacing w:val="8"/>
        </w:rPr>
        <w:t xml:space="preserve"> </w:t>
      </w:r>
      <w:r>
        <w:t>act</w:t>
      </w:r>
      <w:r>
        <w:rPr>
          <w:spacing w:val="7"/>
        </w:rPr>
        <w:t xml:space="preserve"> </w:t>
      </w:r>
      <w:r>
        <w:t>morally,</w:t>
      </w:r>
      <w:r>
        <w:rPr>
          <w:spacing w:val="8"/>
        </w:rPr>
        <w:t xml:space="preserve"> </w:t>
      </w:r>
      <w:r>
        <w:t>they</w:t>
      </w:r>
      <w:r>
        <w:rPr>
          <w:spacing w:val="9"/>
        </w:rPr>
        <w:t xml:space="preserve"> </w:t>
      </w:r>
      <w:r>
        <w:t>don’t.</w:t>
      </w:r>
      <w:r>
        <w:rPr>
          <w:spacing w:val="3"/>
        </w:rPr>
        <w:t xml:space="preserve"> </w:t>
      </w:r>
      <w:r>
        <w:t>Why</w:t>
      </w:r>
      <w:r>
        <w:rPr>
          <w:spacing w:val="8"/>
        </w:rPr>
        <w:t xml:space="preserve"> </w:t>
      </w:r>
      <w:r>
        <w:t>not?</w:t>
      </w:r>
      <w:r>
        <w:rPr>
          <w:spacing w:val="7"/>
        </w:rPr>
        <w:t xml:space="preserve"> </w:t>
      </w:r>
      <w:r>
        <w:t>Because</w:t>
      </w:r>
      <w:r>
        <w:rPr>
          <w:spacing w:val="8"/>
        </w:rPr>
        <w:t xml:space="preserve"> </w:t>
      </w:r>
      <w:r>
        <w:t>they</w:t>
      </w:r>
      <w:r>
        <w:rPr>
          <w:spacing w:val="8"/>
        </w:rPr>
        <w:t xml:space="preserve"> </w:t>
      </w:r>
      <w:r>
        <w:t>don’t</w:t>
      </w:r>
      <w:r>
        <w:rPr>
          <w:spacing w:val="8"/>
        </w:rPr>
        <w:t xml:space="preserve"> </w:t>
      </w:r>
      <w:r>
        <w:t>want</w:t>
      </w:r>
      <w:r>
        <w:rPr>
          <w:spacing w:val="8"/>
        </w:rPr>
        <w:t xml:space="preserve"> </w:t>
      </w:r>
      <w:r>
        <w:t>to.</w:t>
      </w:r>
      <w:r>
        <w:rPr>
          <w:spacing w:val="8"/>
        </w:rPr>
        <w:t xml:space="preserve"> </w:t>
      </w:r>
      <w:r>
        <w:t>So</w:t>
      </w:r>
      <w:r>
        <w:rPr>
          <w:spacing w:val="9"/>
        </w:rPr>
        <w:t xml:space="preserve"> </w:t>
      </w:r>
      <w:r>
        <w:rPr>
          <w:spacing w:val="-9"/>
        </w:rPr>
        <w:t>it’s</w:t>
      </w:r>
    </w:p>
    <w:p w14:paraId="7E0024B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B4" w14:textId="77777777" w:rsidR="009A58DB" w:rsidRDefault="00000000">
      <w:pPr>
        <w:pStyle w:val="BodyText"/>
        <w:spacing w:before="65"/>
      </w:pPr>
      <w:r>
        <w:rPr>
          <w:spacing w:val="-6"/>
        </w:rPr>
        <w:lastRenderedPageBreak/>
        <w:t>simply not psychologically accurate to say that no sooner</w:t>
      </w:r>
    </w:p>
    <w:p w14:paraId="7E0024B5" w14:textId="77777777" w:rsidR="009A58DB" w:rsidRDefault="00000000">
      <w:pPr>
        <w:pStyle w:val="BodyText"/>
        <w:spacing w:before="15" w:line="249" w:lineRule="auto"/>
        <w:ind w:right="358"/>
      </w:pPr>
      <w:r>
        <w:t>is an ethical principle understood than one is disinclined to violate it. Indeed, the idea that we’re irresistibly drawn towards ethical behavior is so contrary to so many obvious realities that a fair amount of wishful thinking must underlie acceptance of it. The ethical is what you don’t want to do. If you wanted to do it, it wouldn’t be ethical anymore; it would just be another form of recreation, albeit one that, like friendship and certain other forms of intimacy, happened to conduce to the welfare of others.</w:t>
      </w:r>
    </w:p>
    <w:p w14:paraId="7E0024B6" w14:textId="77777777" w:rsidR="009A58DB" w:rsidRDefault="00000000">
      <w:pPr>
        <w:pStyle w:val="BodyText"/>
        <w:spacing w:before="8" w:line="249" w:lineRule="auto"/>
        <w:ind w:right="359" w:firstLine="360"/>
      </w:pPr>
      <w:r>
        <w:t>Also, contrary to what Argument #5 assumes, it’s only to the extent that one</w:t>
      </w:r>
      <w:r>
        <w:rPr>
          <w:spacing w:val="-3"/>
        </w:rPr>
        <w:t xml:space="preserve"> </w:t>
      </w:r>
      <w:r>
        <w:t>has</w:t>
      </w:r>
      <w:r>
        <w:rPr>
          <w:spacing w:val="-3"/>
        </w:rPr>
        <w:t xml:space="preserve"> </w:t>
      </w:r>
      <w:r>
        <w:t>beliefs</w:t>
      </w:r>
      <w:r>
        <w:rPr>
          <w:spacing w:val="-3"/>
        </w:rPr>
        <w:t xml:space="preserve"> </w:t>
      </w:r>
      <w:r>
        <w:t>as</w:t>
      </w:r>
      <w:r>
        <w:rPr>
          <w:spacing w:val="-3"/>
        </w:rPr>
        <w:t xml:space="preserve"> </w:t>
      </w:r>
      <w:r>
        <w:t>to</w:t>
      </w:r>
      <w:r>
        <w:rPr>
          <w:spacing w:val="-2"/>
        </w:rPr>
        <w:t xml:space="preserve"> </w:t>
      </w:r>
      <w:r>
        <w:t>the</w:t>
      </w:r>
      <w:r>
        <w:rPr>
          <w:spacing w:val="-3"/>
        </w:rPr>
        <w:t xml:space="preserve"> </w:t>
      </w:r>
      <w:r>
        <w:t>consequences</w:t>
      </w:r>
      <w:r>
        <w:rPr>
          <w:spacing w:val="-3"/>
        </w:rPr>
        <w:t xml:space="preserve"> </w:t>
      </w:r>
      <w:r>
        <w:t>of</w:t>
      </w:r>
      <w:r>
        <w:rPr>
          <w:spacing w:val="-3"/>
        </w:rPr>
        <w:t xml:space="preserve"> </w:t>
      </w:r>
      <w:r>
        <w:t>a</w:t>
      </w:r>
      <w:r>
        <w:rPr>
          <w:spacing w:val="-3"/>
        </w:rPr>
        <w:t xml:space="preserve"> </w:t>
      </w:r>
      <w:r>
        <w:t>given</w:t>
      </w:r>
      <w:r>
        <w:rPr>
          <w:spacing w:val="-2"/>
        </w:rPr>
        <w:t xml:space="preserve"> </w:t>
      </w:r>
      <w:r>
        <w:t>act</w:t>
      </w:r>
      <w:r>
        <w:rPr>
          <w:spacing w:val="-3"/>
        </w:rPr>
        <w:t xml:space="preserve"> </w:t>
      </w:r>
      <w:r>
        <w:t>that</w:t>
      </w:r>
      <w:r>
        <w:rPr>
          <w:spacing w:val="-3"/>
        </w:rPr>
        <w:t xml:space="preserve"> </w:t>
      </w:r>
      <w:r>
        <w:t>one</w:t>
      </w:r>
      <w:r>
        <w:rPr>
          <w:spacing w:val="-3"/>
        </w:rPr>
        <w:t xml:space="preserve"> </w:t>
      </w:r>
      <w:r>
        <w:t>feels</w:t>
      </w:r>
      <w:r>
        <w:rPr>
          <w:spacing w:val="-3"/>
        </w:rPr>
        <w:t xml:space="preserve"> </w:t>
      </w:r>
      <w:r>
        <w:t xml:space="preserve">compelled, morally or otherwise, to perform it. You feel compelled to give money to charity X only to the extent that you believe that, in so doing, you’d be alleviating hunger (or some such). Knowledge of moral truths compels action only to the extent that it coincides with knowledge of descriptive truths. So the extent that it’s true to say that, if there are moral truths, knowledge of them compels action, it’s only because moral truths coincide with descriptive </w:t>
      </w:r>
      <w:r>
        <w:rPr>
          <w:spacing w:val="-2"/>
        </w:rPr>
        <w:t>truths.</w:t>
      </w:r>
    </w:p>
    <w:p w14:paraId="7E0024B7" w14:textId="77777777" w:rsidR="009A58DB" w:rsidRDefault="009A58DB">
      <w:pPr>
        <w:pStyle w:val="BodyText"/>
        <w:spacing w:before="26"/>
        <w:ind w:left="0"/>
        <w:jc w:val="left"/>
      </w:pPr>
    </w:p>
    <w:p w14:paraId="7E0024B8" w14:textId="77777777" w:rsidR="009A58DB" w:rsidRDefault="00000000">
      <w:pPr>
        <w:pStyle w:val="BodyText"/>
        <w:spacing w:line="249" w:lineRule="auto"/>
        <w:ind w:left="720" w:right="358"/>
      </w:pPr>
      <w:r>
        <w:rPr>
          <w:b/>
          <w:i/>
        </w:rPr>
        <w:t xml:space="preserve">Argument #6 </w:t>
      </w:r>
      <w:r>
        <w:t>Ethical statements are nothing more than instruments of propaganda. They are ways of tricking people into accepting existing distributions of power and wealth. In Hitler’s Germany, obeying the Führer was “good” and disobeying him was “bad”; killing Jews was “right” and protecting them was “wrong.” In Stalin’s Russia, questioning the Communist Party was “the ultimate treachery,” and blindly following its dictates was “the highest excellence.” In capitalist countries, governmental regulation of private property is often described as “a gross violation of one’s most fundamental human rights,” even if such</w:t>
      </w:r>
      <w:r>
        <w:rPr>
          <w:spacing w:val="40"/>
        </w:rPr>
        <w:t xml:space="preserve"> </w:t>
      </w:r>
      <w:r>
        <w:t xml:space="preserve">regulation is needed to provide basic services for many people. By the same token, there’s “nothing wrong” with adding more millions to one’s already large fortune, even if doing so involves impoverishing others, stripping them of opportunities, and generally diminishing their quality of </w:t>
      </w:r>
      <w:r>
        <w:rPr>
          <w:spacing w:val="-2"/>
        </w:rPr>
        <w:t>life.</w:t>
      </w:r>
    </w:p>
    <w:p w14:paraId="7E0024B9" w14:textId="77777777" w:rsidR="009A58DB" w:rsidRDefault="00000000">
      <w:pPr>
        <w:pStyle w:val="BodyText"/>
        <w:spacing w:before="18" w:line="249" w:lineRule="auto"/>
        <w:ind w:left="720" w:right="361"/>
      </w:pPr>
      <w:r>
        <w:t>These statements endorse values that support existing power structures. They trick the have-nots into helping the haves; and they do it by condemning acts that would help the have-nots and by praising acts that would</w:t>
      </w:r>
      <w:r>
        <w:rPr>
          <w:spacing w:val="24"/>
        </w:rPr>
        <w:t xml:space="preserve"> </w:t>
      </w:r>
      <w:r>
        <w:t>help</w:t>
      </w:r>
      <w:r>
        <w:rPr>
          <w:spacing w:val="27"/>
        </w:rPr>
        <w:t xml:space="preserve"> </w:t>
      </w:r>
      <w:r>
        <w:t>the</w:t>
      </w:r>
      <w:r>
        <w:rPr>
          <w:spacing w:val="26"/>
        </w:rPr>
        <w:t xml:space="preserve"> </w:t>
      </w:r>
      <w:r>
        <w:t>haves.</w:t>
      </w:r>
      <w:r>
        <w:rPr>
          <w:spacing w:val="27"/>
        </w:rPr>
        <w:t xml:space="preserve"> </w:t>
      </w:r>
      <w:r>
        <w:t>In</w:t>
      </w:r>
      <w:r>
        <w:rPr>
          <w:spacing w:val="27"/>
        </w:rPr>
        <w:t xml:space="preserve"> </w:t>
      </w:r>
      <w:r>
        <w:t>general,</w:t>
      </w:r>
      <w:r>
        <w:rPr>
          <w:spacing w:val="27"/>
        </w:rPr>
        <w:t xml:space="preserve"> </w:t>
      </w:r>
      <w:r>
        <w:t>ethical</w:t>
      </w:r>
      <w:r>
        <w:rPr>
          <w:spacing w:val="26"/>
        </w:rPr>
        <w:t xml:space="preserve"> </w:t>
      </w:r>
      <w:r>
        <w:t>codes</w:t>
      </w:r>
      <w:r>
        <w:rPr>
          <w:spacing w:val="26"/>
        </w:rPr>
        <w:t xml:space="preserve"> </w:t>
      </w:r>
      <w:r>
        <w:t>manipulate</w:t>
      </w:r>
      <w:r>
        <w:rPr>
          <w:spacing w:val="26"/>
        </w:rPr>
        <w:t xml:space="preserve"> </w:t>
      </w:r>
      <w:r>
        <w:t>the</w:t>
      </w:r>
      <w:r>
        <w:rPr>
          <w:spacing w:val="26"/>
        </w:rPr>
        <w:t xml:space="preserve"> </w:t>
      </w:r>
      <w:r>
        <w:t>have-</w:t>
      </w:r>
      <w:r>
        <w:rPr>
          <w:spacing w:val="-4"/>
        </w:rPr>
        <w:t>nots</w:t>
      </w:r>
    </w:p>
    <w:p w14:paraId="7E0024B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BB" w14:textId="77777777" w:rsidR="009A58DB" w:rsidRDefault="00000000">
      <w:pPr>
        <w:pStyle w:val="BodyText"/>
        <w:spacing w:before="65" w:line="249" w:lineRule="auto"/>
        <w:ind w:left="720" w:right="363"/>
      </w:pPr>
      <w:r>
        <w:lastRenderedPageBreak/>
        <w:t>into hurting themselves and helping the haves. This is their function, and they discharge this function by representing injustice as justice. So ethical pronouncements are manipulative lies, cynical propaganda, not noble truths or indeed truths of any kind.</w:t>
      </w:r>
    </w:p>
    <w:p w14:paraId="7E0024BC" w14:textId="77777777" w:rsidR="009A58DB" w:rsidRDefault="009A58DB">
      <w:pPr>
        <w:pStyle w:val="BodyText"/>
        <w:spacing w:before="19"/>
        <w:ind w:left="0"/>
        <w:jc w:val="left"/>
      </w:pPr>
    </w:p>
    <w:p w14:paraId="7E0024BD" w14:textId="77777777" w:rsidR="009A58DB" w:rsidRDefault="00000000">
      <w:pPr>
        <w:pStyle w:val="BodyText"/>
        <w:spacing w:before="1" w:line="249" w:lineRule="auto"/>
        <w:ind w:right="361"/>
      </w:pPr>
      <w:r>
        <w:rPr>
          <w:b/>
          <w:i/>
        </w:rPr>
        <w:t xml:space="preserve">Analysis of Argument #6 </w:t>
      </w:r>
      <w:r>
        <w:t xml:space="preserve">Not everything that everyone describes as moral is moral. The Nazis </w:t>
      </w:r>
      <w:r>
        <w:rPr>
          <w:i/>
        </w:rPr>
        <w:t xml:space="preserve">said </w:t>
      </w:r>
      <w:r>
        <w:t>that obeying Hitler was the supreme ethical</w:t>
      </w:r>
      <w:r>
        <w:rPr>
          <w:spacing w:val="40"/>
        </w:rPr>
        <w:t xml:space="preserve"> </w:t>
      </w:r>
      <w:r>
        <w:t xml:space="preserve">imperative. But they were wrong, and most of them knew it. So, while it’s true that people’s </w:t>
      </w:r>
      <w:r>
        <w:rPr>
          <w:i/>
        </w:rPr>
        <w:t xml:space="preserve">claims </w:t>
      </w:r>
      <w:r>
        <w:t xml:space="preserve">about morality are often bogus propaganda, it doesn’t follow that </w:t>
      </w:r>
      <w:r>
        <w:rPr>
          <w:i/>
        </w:rPr>
        <w:t xml:space="preserve">actual </w:t>
      </w:r>
      <w:r>
        <w:t>morality is anything of the sort.</w:t>
      </w:r>
    </w:p>
    <w:p w14:paraId="7E0024BE" w14:textId="77777777" w:rsidR="009A58DB" w:rsidRDefault="00000000">
      <w:pPr>
        <w:pStyle w:val="BodyText"/>
        <w:spacing w:before="6" w:line="249" w:lineRule="auto"/>
        <w:ind w:right="359" w:firstLine="360"/>
      </w:pPr>
      <w:r>
        <w:t xml:space="preserve">Also, one can </w:t>
      </w:r>
      <w:r>
        <w:rPr>
          <w:i/>
        </w:rPr>
        <w:t>use</w:t>
      </w:r>
      <w:r>
        <w:rPr>
          <w:i/>
          <w:spacing w:val="-3"/>
        </w:rPr>
        <w:t xml:space="preserve"> </w:t>
      </w:r>
      <w:r>
        <w:t>a legitimate ethical principle for some evil purpose. If a police officer bludgeons somebody to death for speeding, and then justifies it by saying that speeding must be punished to keep our highways safe, he’s putting</w:t>
      </w:r>
      <w:r>
        <w:rPr>
          <w:spacing w:val="-2"/>
        </w:rPr>
        <w:t xml:space="preserve"> </w:t>
      </w:r>
      <w:r>
        <w:t>a</w:t>
      </w:r>
      <w:r>
        <w:rPr>
          <w:spacing w:val="-1"/>
        </w:rPr>
        <w:t xml:space="preserve"> </w:t>
      </w:r>
      <w:r>
        <w:t>good</w:t>
      </w:r>
      <w:r>
        <w:rPr>
          <w:spacing w:val="-1"/>
        </w:rPr>
        <w:t xml:space="preserve"> </w:t>
      </w:r>
      <w:r>
        <w:t>moral</w:t>
      </w:r>
      <w:r>
        <w:rPr>
          <w:spacing w:val="-2"/>
        </w:rPr>
        <w:t xml:space="preserve"> </w:t>
      </w:r>
      <w:r>
        <w:t>principle</w:t>
      </w:r>
      <w:r>
        <w:rPr>
          <w:spacing w:val="-2"/>
        </w:rPr>
        <w:t xml:space="preserve"> </w:t>
      </w:r>
      <w:r>
        <w:t>(people</w:t>
      </w:r>
      <w:r>
        <w:rPr>
          <w:spacing w:val="-2"/>
        </w:rPr>
        <w:t xml:space="preserve"> </w:t>
      </w:r>
      <w:r>
        <w:t>shouldn’t</w:t>
      </w:r>
      <w:r>
        <w:rPr>
          <w:spacing w:val="-2"/>
        </w:rPr>
        <w:t xml:space="preserve"> </w:t>
      </w:r>
      <w:r>
        <w:t>speed</w:t>
      </w:r>
      <w:r>
        <w:rPr>
          <w:spacing w:val="-1"/>
        </w:rPr>
        <w:t xml:space="preserve"> </w:t>
      </w:r>
      <w:r>
        <w:t>or</w:t>
      </w:r>
      <w:r>
        <w:rPr>
          <w:spacing w:val="-2"/>
        </w:rPr>
        <w:t xml:space="preserve"> </w:t>
      </w:r>
      <w:r>
        <w:t>otherwise</w:t>
      </w:r>
      <w:r>
        <w:rPr>
          <w:spacing w:val="-1"/>
        </w:rPr>
        <w:t xml:space="preserve"> </w:t>
      </w:r>
      <w:r>
        <w:t xml:space="preserve">endanger the welfare of others) to evil use. Evil regimes (e.g., that of Stalin) go out of their way to find legitimate moral underpinnings for their nefarious policies. So given only that moral principles can be </w:t>
      </w:r>
      <w:r>
        <w:rPr>
          <w:i/>
        </w:rPr>
        <w:t xml:space="preserve">used </w:t>
      </w:r>
      <w:r>
        <w:t xml:space="preserve">to trick the have-nots into acquiescing to their condition, it doesn’t follow that moral principles are </w:t>
      </w:r>
      <w:r>
        <w:rPr>
          <w:i/>
        </w:rPr>
        <w:t xml:space="preserve">themselves </w:t>
      </w:r>
      <w:r>
        <w:t>to be identified with such trickery.</w:t>
      </w:r>
    </w:p>
    <w:p w14:paraId="7E0024B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C0" w14:textId="77777777" w:rsidR="009A58DB" w:rsidRDefault="00000000">
      <w:pPr>
        <w:spacing w:line="503" w:lineRule="exact"/>
        <w:ind w:left="326" w:right="332"/>
        <w:jc w:val="center"/>
        <w:rPr>
          <w:rFonts w:ascii="Calibri Light"/>
          <w:sz w:val="42"/>
        </w:rPr>
      </w:pPr>
      <w:bookmarkStart w:id="504" w:name="_bookmark504"/>
      <w:bookmarkEnd w:id="504"/>
      <w:r>
        <w:rPr>
          <w:rFonts w:ascii="Calibri Light"/>
          <w:sz w:val="42"/>
        </w:rPr>
        <w:lastRenderedPageBreak/>
        <w:t>Chapter</w:t>
      </w:r>
      <w:r>
        <w:rPr>
          <w:rFonts w:ascii="Calibri Light"/>
          <w:spacing w:val="56"/>
          <w:sz w:val="42"/>
        </w:rPr>
        <w:t xml:space="preserve"> </w:t>
      </w:r>
      <w:r>
        <w:rPr>
          <w:rFonts w:ascii="Calibri Light"/>
          <w:spacing w:val="-5"/>
          <w:sz w:val="42"/>
        </w:rPr>
        <w:t>22</w:t>
      </w:r>
    </w:p>
    <w:p w14:paraId="7E0024C1" w14:textId="77777777" w:rsidR="009A58DB" w:rsidRDefault="00000000">
      <w:pPr>
        <w:spacing w:before="234" w:line="232" w:lineRule="auto"/>
        <w:ind w:left="326" w:right="332"/>
        <w:jc w:val="center"/>
        <w:rPr>
          <w:rFonts w:ascii="Calibri Light"/>
          <w:sz w:val="42"/>
        </w:rPr>
      </w:pPr>
      <w:bookmarkStart w:id="505" w:name="_bookmark505"/>
      <w:bookmarkEnd w:id="505"/>
      <w:r>
        <w:rPr>
          <w:rFonts w:ascii="Calibri Light"/>
          <w:sz w:val="42"/>
        </w:rPr>
        <w:t>The Nature of Subjecthood and the Connection</w:t>
      </w:r>
      <w:r>
        <w:rPr>
          <w:rFonts w:ascii="Calibri Light"/>
          <w:spacing w:val="80"/>
          <w:sz w:val="42"/>
        </w:rPr>
        <w:t xml:space="preserve"> </w:t>
      </w:r>
      <w:r>
        <w:rPr>
          <w:rFonts w:ascii="Calibri Light"/>
          <w:sz w:val="42"/>
        </w:rPr>
        <w:t>between</w:t>
      </w:r>
      <w:r>
        <w:rPr>
          <w:rFonts w:ascii="Calibri Light"/>
          <w:spacing w:val="40"/>
          <w:sz w:val="42"/>
        </w:rPr>
        <w:t xml:space="preserve"> </w:t>
      </w:r>
      <w:r>
        <w:rPr>
          <w:rFonts w:ascii="Calibri Light"/>
          <w:sz w:val="42"/>
        </w:rPr>
        <w:t>Self-Interest</w:t>
      </w:r>
      <w:r>
        <w:rPr>
          <w:rFonts w:ascii="Calibri Light"/>
          <w:spacing w:val="40"/>
          <w:sz w:val="42"/>
        </w:rPr>
        <w:t xml:space="preserve"> </w:t>
      </w:r>
      <w:r>
        <w:rPr>
          <w:rFonts w:ascii="Calibri Light"/>
          <w:sz w:val="42"/>
        </w:rPr>
        <w:t>and</w:t>
      </w:r>
      <w:r>
        <w:rPr>
          <w:rFonts w:ascii="Calibri Light"/>
          <w:spacing w:val="40"/>
          <w:sz w:val="42"/>
        </w:rPr>
        <w:t xml:space="preserve"> </w:t>
      </w:r>
      <w:r>
        <w:rPr>
          <w:rFonts w:ascii="Calibri Light"/>
          <w:sz w:val="42"/>
        </w:rPr>
        <w:t>Morality</w:t>
      </w:r>
    </w:p>
    <w:p w14:paraId="7E0024C2" w14:textId="77777777" w:rsidR="009A58DB" w:rsidRDefault="00000000">
      <w:pPr>
        <w:pStyle w:val="Heading1"/>
        <w:numPr>
          <w:ilvl w:val="1"/>
          <w:numId w:val="57"/>
        </w:numPr>
        <w:tabs>
          <w:tab w:val="left" w:pos="1949"/>
        </w:tabs>
        <w:spacing w:before="186" w:line="244" w:lineRule="auto"/>
        <w:ind w:right="360" w:firstLine="0"/>
      </w:pPr>
      <w:r>
        <w:t>Practical</w:t>
      </w:r>
      <w:r>
        <w:rPr>
          <w:spacing w:val="40"/>
        </w:rPr>
        <w:t xml:space="preserve"> </w:t>
      </w:r>
      <w:r>
        <w:t>vs.</w:t>
      </w:r>
      <w:r>
        <w:rPr>
          <w:spacing w:val="40"/>
        </w:rPr>
        <w:t xml:space="preserve"> </w:t>
      </w:r>
      <w:r>
        <w:t>categorical</w:t>
      </w:r>
      <w:r>
        <w:rPr>
          <w:spacing w:val="40"/>
        </w:rPr>
        <w:t xml:space="preserve"> </w:t>
      </w:r>
      <w:r>
        <w:t>incentives</w:t>
      </w:r>
      <w:r>
        <w:rPr>
          <w:spacing w:val="40"/>
        </w:rPr>
        <w:t xml:space="preserve"> </w:t>
      </w:r>
      <w:r>
        <w:t>to</w:t>
      </w:r>
      <w:r>
        <w:rPr>
          <w:spacing w:val="40"/>
        </w:rPr>
        <w:t xml:space="preserve"> </w:t>
      </w:r>
      <w:r>
        <w:t>act</w:t>
      </w:r>
      <w:r>
        <w:rPr>
          <w:spacing w:val="80"/>
        </w:rPr>
        <w:t xml:space="preserve"> </w:t>
      </w:r>
      <w:r>
        <w:rPr>
          <w:spacing w:val="-2"/>
        </w:rPr>
        <w:t>morally</w:t>
      </w:r>
    </w:p>
    <w:p w14:paraId="7E0024C3" w14:textId="77777777" w:rsidR="009A58DB" w:rsidRDefault="00000000">
      <w:pPr>
        <w:pStyle w:val="BodyText"/>
        <w:spacing w:before="132" w:line="249" w:lineRule="auto"/>
        <w:ind w:right="366"/>
      </w:pPr>
      <w:r>
        <w:t>There</w:t>
      </w:r>
      <w:r>
        <w:rPr>
          <w:spacing w:val="-4"/>
        </w:rPr>
        <w:t xml:space="preserve"> </w:t>
      </w:r>
      <w:r>
        <w:t>are</w:t>
      </w:r>
      <w:r>
        <w:rPr>
          <w:spacing w:val="-4"/>
        </w:rPr>
        <w:t xml:space="preserve"> </w:t>
      </w:r>
      <w:r>
        <w:t>often</w:t>
      </w:r>
      <w:r>
        <w:rPr>
          <w:spacing w:val="-3"/>
        </w:rPr>
        <w:t xml:space="preserve"> </w:t>
      </w:r>
      <w:r>
        <w:t>pragmatic</w:t>
      </w:r>
      <w:r>
        <w:rPr>
          <w:spacing w:val="-4"/>
        </w:rPr>
        <w:t xml:space="preserve"> </w:t>
      </w:r>
      <w:r>
        <w:t>incentives</w:t>
      </w:r>
      <w:r>
        <w:rPr>
          <w:spacing w:val="-4"/>
        </w:rPr>
        <w:t xml:space="preserve"> </w:t>
      </w:r>
      <w:r>
        <w:t>to</w:t>
      </w:r>
      <w:r>
        <w:rPr>
          <w:spacing w:val="-3"/>
        </w:rPr>
        <w:t xml:space="preserve"> </w:t>
      </w:r>
      <w:r>
        <w:t>act</w:t>
      </w:r>
      <w:r>
        <w:rPr>
          <w:spacing w:val="-4"/>
        </w:rPr>
        <w:t xml:space="preserve"> </w:t>
      </w:r>
      <w:r>
        <w:t>morally.</w:t>
      </w:r>
      <w:r>
        <w:rPr>
          <w:spacing w:val="-3"/>
        </w:rPr>
        <w:t xml:space="preserve"> </w:t>
      </w:r>
      <w:r>
        <w:t>In</w:t>
      </w:r>
      <w:r>
        <w:rPr>
          <w:spacing w:val="-3"/>
        </w:rPr>
        <w:t xml:space="preserve"> </w:t>
      </w:r>
      <w:r>
        <w:t>order</w:t>
      </w:r>
      <w:r>
        <w:rPr>
          <w:spacing w:val="-4"/>
        </w:rPr>
        <w:t xml:space="preserve"> </w:t>
      </w:r>
      <w:r>
        <w:t>to</w:t>
      </w:r>
      <w:r>
        <w:rPr>
          <w:spacing w:val="-3"/>
        </w:rPr>
        <w:t xml:space="preserve"> </w:t>
      </w:r>
      <w:r>
        <w:t>stay</w:t>
      </w:r>
      <w:r>
        <w:rPr>
          <w:spacing w:val="-3"/>
        </w:rPr>
        <w:t xml:space="preserve"> </w:t>
      </w:r>
      <w:r>
        <w:t>out</w:t>
      </w:r>
      <w:r>
        <w:rPr>
          <w:spacing w:val="-4"/>
        </w:rPr>
        <w:t xml:space="preserve"> </w:t>
      </w:r>
      <w:r>
        <w:t>of</w:t>
      </w:r>
      <w:r>
        <w:rPr>
          <w:spacing w:val="-4"/>
        </w:rPr>
        <w:t xml:space="preserve"> </w:t>
      </w:r>
      <w:r>
        <w:t>jail or</w:t>
      </w:r>
      <w:r>
        <w:rPr>
          <w:spacing w:val="-1"/>
        </w:rPr>
        <w:t xml:space="preserve"> </w:t>
      </w:r>
      <w:r>
        <w:t>to</w:t>
      </w:r>
      <w:r>
        <w:rPr>
          <w:spacing w:val="-1"/>
        </w:rPr>
        <w:t xml:space="preserve"> </w:t>
      </w:r>
      <w:r>
        <w:t>move</w:t>
      </w:r>
      <w:r>
        <w:rPr>
          <w:spacing w:val="-1"/>
        </w:rPr>
        <w:t xml:space="preserve"> </w:t>
      </w:r>
      <w:r>
        <w:t>up</w:t>
      </w:r>
      <w:r>
        <w:rPr>
          <w:spacing w:val="-1"/>
        </w:rPr>
        <w:t xml:space="preserve"> </w:t>
      </w:r>
      <w:r>
        <w:t>the</w:t>
      </w:r>
      <w:r>
        <w:rPr>
          <w:spacing w:val="-1"/>
        </w:rPr>
        <w:t xml:space="preserve"> </w:t>
      </w:r>
      <w:r>
        <w:t>corporate</w:t>
      </w:r>
      <w:r>
        <w:rPr>
          <w:spacing w:val="-1"/>
        </w:rPr>
        <w:t xml:space="preserve"> </w:t>
      </w:r>
      <w:r>
        <w:t>ladder,</w:t>
      </w:r>
      <w:r>
        <w:rPr>
          <w:spacing w:val="-1"/>
        </w:rPr>
        <w:t xml:space="preserve"> </w:t>
      </w:r>
      <w:r>
        <w:t>it</w:t>
      </w:r>
      <w:r>
        <w:rPr>
          <w:spacing w:val="-2"/>
        </w:rPr>
        <w:t xml:space="preserve"> </w:t>
      </w:r>
      <w:r>
        <w:t>may</w:t>
      </w:r>
      <w:r>
        <w:rPr>
          <w:spacing w:val="-1"/>
        </w:rPr>
        <w:t xml:space="preserve"> </w:t>
      </w:r>
      <w:r>
        <w:t>be</w:t>
      </w:r>
      <w:r>
        <w:rPr>
          <w:spacing w:val="-1"/>
        </w:rPr>
        <w:t xml:space="preserve"> </w:t>
      </w:r>
      <w:r>
        <w:t>necessary</w:t>
      </w:r>
      <w:r>
        <w:rPr>
          <w:spacing w:val="-1"/>
        </w:rPr>
        <w:t xml:space="preserve"> </w:t>
      </w:r>
      <w:r>
        <w:t>at</w:t>
      </w:r>
      <w:r>
        <w:rPr>
          <w:spacing w:val="-2"/>
        </w:rPr>
        <w:t xml:space="preserve"> </w:t>
      </w:r>
      <w:r>
        <w:t>certain</w:t>
      </w:r>
      <w:r>
        <w:rPr>
          <w:spacing w:val="-1"/>
        </w:rPr>
        <w:t xml:space="preserve"> </w:t>
      </w:r>
      <w:r>
        <w:t>junctures</w:t>
      </w:r>
      <w:r>
        <w:rPr>
          <w:spacing w:val="-1"/>
        </w:rPr>
        <w:t xml:space="preserve"> </w:t>
      </w:r>
      <w:r>
        <w:t xml:space="preserve">to act morally. But </w:t>
      </w:r>
      <w:r>
        <w:rPr>
          <w:i/>
        </w:rPr>
        <w:t xml:space="preserve">setting aside </w:t>
      </w:r>
      <w:r>
        <w:t xml:space="preserve">such pragmatic considerations, is it in one’s interest to act morally? In other words, is it </w:t>
      </w:r>
      <w:r>
        <w:rPr>
          <w:i/>
        </w:rPr>
        <w:t xml:space="preserve">categorically </w:t>
      </w:r>
      <w:r>
        <w:t>in one’s interest to do so? The purpose of this chapter is to answer that question. That answer is</w:t>
      </w:r>
      <w:r>
        <w:rPr>
          <w:spacing w:val="40"/>
        </w:rPr>
        <w:t xml:space="preserve"> </w:t>
      </w:r>
      <w:r>
        <w:t>a very qualified “yes.”</w:t>
      </w:r>
    </w:p>
    <w:p w14:paraId="7E0024C4" w14:textId="77777777" w:rsidR="009A58DB" w:rsidRDefault="00000000">
      <w:pPr>
        <w:pStyle w:val="Heading1"/>
        <w:numPr>
          <w:ilvl w:val="1"/>
          <w:numId w:val="57"/>
        </w:numPr>
        <w:tabs>
          <w:tab w:val="left" w:pos="1409"/>
        </w:tabs>
        <w:spacing w:before="210"/>
        <w:ind w:left="1409" w:hanging="1049"/>
      </w:pPr>
      <w:r>
        <w:t>Why</w:t>
      </w:r>
      <w:r>
        <w:rPr>
          <w:spacing w:val="-4"/>
        </w:rPr>
        <w:t xml:space="preserve"> </w:t>
      </w:r>
      <w:r>
        <w:t>it’s</w:t>
      </w:r>
      <w:r>
        <w:rPr>
          <w:spacing w:val="-3"/>
        </w:rPr>
        <w:t xml:space="preserve"> </w:t>
      </w:r>
      <w:r>
        <w:t>to</w:t>
      </w:r>
      <w:r>
        <w:rPr>
          <w:spacing w:val="-2"/>
        </w:rPr>
        <w:t xml:space="preserve"> </w:t>
      </w:r>
      <w:r>
        <w:t>one’s</w:t>
      </w:r>
      <w:r>
        <w:rPr>
          <w:spacing w:val="-3"/>
        </w:rPr>
        <w:t xml:space="preserve"> </w:t>
      </w:r>
      <w:r>
        <w:t>advantage</w:t>
      </w:r>
      <w:r>
        <w:rPr>
          <w:spacing w:val="-3"/>
        </w:rPr>
        <w:t xml:space="preserve"> </w:t>
      </w:r>
      <w:r>
        <w:t>to</w:t>
      </w:r>
      <w:r>
        <w:rPr>
          <w:spacing w:val="-2"/>
        </w:rPr>
        <w:t xml:space="preserve"> </w:t>
      </w:r>
      <w:r>
        <w:t>be</w:t>
      </w:r>
      <w:r>
        <w:rPr>
          <w:spacing w:val="-2"/>
        </w:rPr>
        <w:t xml:space="preserve"> immoral</w:t>
      </w:r>
    </w:p>
    <w:p w14:paraId="7E0024C5" w14:textId="77777777" w:rsidR="009A58DB" w:rsidRDefault="00000000">
      <w:pPr>
        <w:pStyle w:val="BodyText"/>
        <w:spacing w:before="139" w:line="249" w:lineRule="auto"/>
        <w:ind w:right="363"/>
      </w:pPr>
      <w:r>
        <w:t>The very purpose of the laws we create is to incentivize moral conduct and to dis-incentivize immoral conduct. Murder, assault, rape, theft, extortion, and other</w:t>
      </w:r>
      <w:r>
        <w:rPr>
          <w:spacing w:val="-1"/>
        </w:rPr>
        <w:t xml:space="preserve"> </w:t>
      </w:r>
      <w:r>
        <w:t>immoral</w:t>
      </w:r>
      <w:r>
        <w:rPr>
          <w:spacing w:val="-1"/>
        </w:rPr>
        <w:t xml:space="preserve"> </w:t>
      </w:r>
      <w:r>
        <w:t>acts</w:t>
      </w:r>
      <w:r>
        <w:rPr>
          <w:spacing w:val="-1"/>
        </w:rPr>
        <w:t xml:space="preserve"> </w:t>
      </w:r>
      <w:r>
        <w:t>are</w:t>
      </w:r>
      <w:r>
        <w:rPr>
          <w:spacing w:val="-1"/>
        </w:rPr>
        <w:t xml:space="preserve"> </w:t>
      </w:r>
      <w:r>
        <w:t>severely</w:t>
      </w:r>
      <w:r>
        <w:rPr>
          <w:spacing w:val="-1"/>
        </w:rPr>
        <w:t xml:space="preserve"> </w:t>
      </w:r>
      <w:r>
        <w:t>punished.</w:t>
      </w:r>
      <w:r>
        <w:rPr>
          <w:spacing w:val="-1"/>
        </w:rPr>
        <w:t xml:space="preserve"> </w:t>
      </w:r>
      <w:r>
        <w:t>Becasue</w:t>
      </w:r>
      <w:r>
        <w:rPr>
          <w:spacing w:val="-1"/>
        </w:rPr>
        <w:t xml:space="preserve"> </w:t>
      </w:r>
      <w:r>
        <w:t>in</w:t>
      </w:r>
      <w:r>
        <w:rPr>
          <w:spacing w:val="-1"/>
        </w:rPr>
        <w:t xml:space="preserve"> </w:t>
      </w:r>
      <w:r>
        <w:t>its</w:t>
      </w:r>
      <w:r>
        <w:rPr>
          <w:spacing w:val="-1"/>
        </w:rPr>
        <w:t xml:space="preserve"> </w:t>
      </w:r>
      <w:r>
        <w:t>more</w:t>
      </w:r>
      <w:r>
        <w:rPr>
          <w:spacing w:val="-1"/>
        </w:rPr>
        <w:t xml:space="preserve"> </w:t>
      </w:r>
      <w:r>
        <w:t>extreme</w:t>
      </w:r>
      <w:r>
        <w:rPr>
          <w:spacing w:val="-1"/>
        </w:rPr>
        <w:t xml:space="preserve"> </w:t>
      </w:r>
      <w:r>
        <w:t>forms, non-cooperation with others is therefore punished by law, the pursuits that</w:t>
      </w:r>
      <w:r>
        <w:rPr>
          <w:spacing w:val="40"/>
        </w:rPr>
        <w:t xml:space="preserve"> </w:t>
      </w:r>
      <w:r>
        <w:t>are legally available to one tend to involve behaviors that are, to some degree at least, conducive to the welfare of others. And, of course, even when it isn’t required by law, it’s often to one’s practical advantage to treat others in an ethical manner.</w:t>
      </w:r>
    </w:p>
    <w:p w14:paraId="7E0024C6" w14:textId="77777777" w:rsidR="009A58DB" w:rsidRDefault="00000000">
      <w:pPr>
        <w:pStyle w:val="BodyText"/>
        <w:spacing w:before="10" w:line="249" w:lineRule="auto"/>
        <w:ind w:right="366" w:firstLine="360"/>
      </w:pPr>
      <w:r>
        <w:t>But, quite obviously, it’s also frequently to one’s advantage to act immorally towards others. It’s usually to one’s advantage to curry favor with those in power. Those in power want you to serve their interests, and their interests are seldom those of morality.</w:t>
      </w:r>
    </w:p>
    <w:p w14:paraId="7E0024C7" w14:textId="77777777" w:rsidR="009A58DB" w:rsidRDefault="00000000">
      <w:pPr>
        <w:pStyle w:val="Heading1"/>
        <w:numPr>
          <w:ilvl w:val="1"/>
          <w:numId w:val="57"/>
        </w:numPr>
        <w:tabs>
          <w:tab w:val="left" w:pos="1080"/>
          <w:tab w:val="left" w:pos="2018"/>
        </w:tabs>
        <w:spacing w:before="193" w:line="244" w:lineRule="auto"/>
        <w:ind w:left="1080" w:right="367" w:hanging="720"/>
      </w:pPr>
      <w:r>
        <w:tab/>
        <w:t>Some</w:t>
      </w:r>
      <w:r>
        <w:rPr>
          <w:spacing w:val="80"/>
        </w:rPr>
        <w:t xml:space="preserve"> </w:t>
      </w:r>
      <w:r>
        <w:t>intrinsic</w:t>
      </w:r>
      <w:r>
        <w:rPr>
          <w:spacing w:val="80"/>
        </w:rPr>
        <w:t xml:space="preserve"> </w:t>
      </w:r>
      <w:r>
        <w:t>and</w:t>
      </w:r>
      <w:r>
        <w:rPr>
          <w:spacing w:val="80"/>
        </w:rPr>
        <w:t xml:space="preserve"> </w:t>
      </w:r>
      <w:r>
        <w:t>extrinsic</w:t>
      </w:r>
      <w:r>
        <w:rPr>
          <w:spacing w:val="80"/>
        </w:rPr>
        <w:t xml:space="preserve"> </w:t>
      </w:r>
      <w:r>
        <w:t>connections between happiness and immorality</w:t>
      </w:r>
    </w:p>
    <w:p w14:paraId="7E0024C8" w14:textId="77777777" w:rsidR="009A58DB" w:rsidRDefault="00000000">
      <w:pPr>
        <w:pStyle w:val="BodyText"/>
        <w:spacing w:before="132" w:line="249" w:lineRule="auto"/>
        <w:ind w:right="370"/>
      </w:pPr>
      <w:r>
        <w:t xml:space="preserve">No viable legal system could possibly dis-incentivize </w:t>
      </w:r>
      <w:r>
        <w:rPr>
          <w:i/>
        </w:rPr>
        <w:t xml:space="preserve">all </w:t>
      </w:r>
      <w:r>
        <w:t xml:space="preserve">immoral behavior. Laws are blunt instruments. And they </w:t>
      </w:r>
      <w:r>
        <w:rPr>
          <w:i/>
        </w:rPr>
        <w:t>should</w:t>
      </w:r>
      <w:r>
        <w:rPr>
          <w:i/>
          <w:spacing w:val="-3"/>
        </w:rPr>
        <w:t xml:space="preserve"> </w:t>
      </w:r>
      <w:r>
        <w:t>be blunt instruments, at least in some ways. A legal system that eliminated all forms of immorality would, in</w:t>
      </w:r>
    </w:p>
    <w:p w14:paraId="7E0024C9"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4CA" w14:textId="77777777" w:rsidR="009A58DB" w:rsidRDefault="00000000">
      <w:pPr>
        <w:pStyle w:val="BodyText"/>
        <w:spacing w:before="65" w:line="249" w:lineRule="auto"/>
        <w:ind w:right="359"/>
      </w:pPr>
      <w:r>
        <w:lastRenderedPageBreak/>
        <w:t>so doing, penalize all forms of aggressive, anti-social, and self-interested behavior, except in the relatively few cases where it benefited others.</w:t>
      </w:r>
    </w:p>
    <w:p w14:paraId="7E0024CB" w14:textId="77777777" w:rsidR="009A58DB" w:rsidRDefault="00000000">
      <w:pPr>
        <w:pStyle w:val="BodyText"/>
        <w:spacing w:before="2" w:line="249" w:lineRule="auto"/>
        <w:ind w:right="359" w:firstLine="360"/>
      </w:pPr>
      <w:r>
        <w:t>This means that, were all human conduct to fall within the scope of such a legal system, there would be no heroes, only zeros. There would be no Beethovens, no Einsteins, no Freuds (Sigmund or Anna), no Mendelssohns (Felix or Fanny), no Emily Dickinsons, no Madame Curies, and no Emily Brontes. There would be no geniuses, no conquerors—only gutless, faceless, brainless bureaucrats. This is because, more often than not, a certain amount of aggression and narcissism underlies great accomplishment. In a world of completely moral people, there would be no innovators, no creators—only milquetoast do-gooders and innocuous squares.</w:t>
      </w:r>
    </w:p>
    <w:p w14:paraId="7E0024CC" w14:textId="77777777" w:rsidR="009A58DB" w:rsidRDefault="00000000">
      <w:pPr>
        <w:pStyle w:val="BodyText"/>
        <w:spacing w:before="11" w:line="249" w:lineRule="auto"/>
        <w:ind w:right="363" w:firstLine="360"/>
      </w:pPr>
      <w:r>
        <w:t xml:space="preserve">To be sure, in a world governed such a legal system, there would be no murder, theft, etc. But it wouldn’t be a good world, since nobody would flourish in it. Nothing is more evil than preventing people from flourishing. Given that a </w:t>
      </w:r>
      <w:r>
        <w:rPr>
          <w:i/>
        </w:rPr>
        <w:t xml:space="preserve">certain </w:t>
      </w:r>
      <w:r>
        <w:t>degree of immorality is inherent in practically any great accomplishment, it follows that a legal system that made it completely impossible to act at all immorally would itself be supremely immoral.</w:t>
      </w:r>
    </w:p>
    <w:p w14:paraId="7E0024CD" w14:textId="77777777" w:rsidR="009A58DB" w:rsidRDefault="00000000">
      <w:pPr>
        <w:pStyle w:val="BodyText"/>
        <w:spacing w:before="8" w:line="249" w:lineRule="auto"/>
        <w:ind w:right="286" w:firstLine="360"/>
        <w:jc w:val="left"/>
      </w:pPr>
      <w:r>
        <w:t>Also,</w:t>
      </w:r>
      <w:r>
        <w:rPr>
          <w:spacing w:val="-14"/>
        </w:rPr>
        <w:t xml:space="preserve"> </w:t>
      </w:r>
      <w:r>
        <w:t>people</w:t>
      </w:r>
      <w:r>
        <w:rPr>
          <w:spacing w:val="-14"/>
        </w:rPr>
        <w:t xml:space="preserve"> </w:t>
      </w:r>
      <w:r>
        <w:t>living</w:t>
      </w:r>
      <w:r>
        <w:rPr>
          <w:spacing w:val="-14"/>
        </w:rPr>
        <w:t xml:space="preserve"> </w:t>
      </w:r>
      <w:r>
        <w:t>under</w:t>
      </w:r>
      <w:r>
        <w:rPr>
          <w:spacing w:val="-14"/>
        </w:rPr>
        <w:t xml:space="preserve"> </w:t>
      </w:r>
      <w:r>
        <w:t>the</w:t>
      </w:r>
      <w:r>
        <w:rPr>
          <w:spacing w:val="-14"/>
        </w:rPr>
        <w:t xml:space="preserve"> </w:t>
      </w:r>
      <w:r>
        <w:t>jurisdiction</w:t>
      </w:r>
      <w:r>
        <w:rPr>
          <w:spacing w:val="-14"/>
        </w:rPr>
        <w:t xml:space="preserve"> </w:t>
      </w:r>
      <w:r>
        <w:t>of</w:t>
      </w:r>
      <w:r>
        <w:rPr>
          <w:spacing w:val="-14"/>
        </w:rPr>
        <w:t xml:space="preserve"> </w:t>
      </w:r>
      <w:r>
        <w:t>such</w:t>
      </w:r>
      <w:r>
        <w:rPr>
          <w:spacing w:val="-14"/>
        </w:rPr>
        <w:t xml:space="preserve"> </w:t>
      </w:r>
      <w:r>
        <w:t>a</w:t>
      </w:r>
      <w:r>
        <w:rPr>
          <w:spacing w:val="-14"/>
        </w:rPr>
        <w:t xml:space="preserve"> </w:t>
      </w:r>
      <w:r>
        <w:t>legal</w:t>
      </w:r>
      <w:r>
        <w:rPr>
          <w:spacing w:val="-14"/>
        </w:rPr>
        <w:t xml:space="preserve"> </w:t>
      </w:r>
      <w:r>
        <w:t>system</w:t>
      </w:r>
      <w:r>
        <w:rPr>
          <w:spacing w:val="-14"/>
        </w:rPr>
        <w:t xml:space="preserve"> </w:t>
      </w:r>
      <w:r>
        <w:t>would</w:t>
      </w:r>
      <w:r>
        <w:rPr>
          <w:spacing w:val="-14"/>
        </w:rPr>
        <w:t xml:space="preserve"> </w:t>
      </w:r>
      <w:r>
        <w:t xml:space="preserve">have </w:t>
      </w:r>
      <w:r>
        <w:rPr>
          <w:spacing w:val="-6"/>
        </w:rPr>
        <w:t>no</w:t>
      </w:r>
      <w:r>
        <w:rPr>
          <w:spacing w:val="-9"/>
        </w:rPr>
        <w:t xml:space="preserve"> </w:t>
      </w:r>
      <w:r>
        <w:rPr>
          <w:spacing w:val="-6"/>
        </w:rPr>
        <w:t>freedom</w:t>
      </w:r>
      <w:r>
        <w:rPr>
          <w:spacing w:val="-9"/>
        </w:rPr>
        <w:t xml:space="preserve"> </w:t>
      </w:r>
      <w:r>
        <w:rPr>
          <w:spacing w:val="-6"/>
        </w:rPr>
        <w:t>of</w:t>
      </w:r>
      <w:r>
        <w:rPr>
          <w:spacing w:val="-9"/>
        </w:rPr>
        <w:t xml:space="preserve"> </w:t>
      </w:r>
      <w:r>
        <w:rPr>
          <w:spacing w:val="-6"/>
        </w:rPr>
        <w:t>choice.</w:t>
      </w:r>
      <w:r>
        <w:rPr>
          <w:spacing w:val="-27"/>
        </w:rPr>
        <w:t xml:space="preserve"> </w:t>
      </w:r>
      <w:r>
        <w:rPr>
          <w:spacing w:val="-6"/>
        </w:rPr>
        <w:t>A</w:t>
      </w:r>
      <w:r>
        <w:rPr>
          <w:spacing w:val="-27"/>
        </w:rPr>
        <w:t xml:space="preserve"> </w:t>
      </w:r>
      <w:r>
        <w:rPr>
          <w:spacing w:val="-6"/>
        </w:rPr>
        <w:t>world</w:t>
      </w:r>
      <w:r>
        <w:rPr>
          <w:spacing w:val="-9"/>
        </w:rPr>
        <w:t xml:space="preserve"> </w:t>
      </w:r>
      <w:r>
        <w:rPr>
          <w:spacing w:val="-6"/>
        </w:rPr>
        <w:t>where</w:t>
      </w:r>
      <w:r>
        <w:rPr>
          <w:spacing w:val="-9"/>
        </w:rPr>
        <w:t xml:space="preserve"> </w:t>
      </w:r>
      <w:r>
        <w:rPr>
          <w:spacing w:val="-6"/>
        </w:rPr>
        <w:t>it</w:t>
      </w:r>
      <w:r>
        <w:rPr>
          <w:spacing w:val="-9"/>
        </w:rPr>
        <w:t xml:space="preserve"> </w:t>
      </w:r>
      <w:r>
        <w:rPr>
          <w:spacing w:val="-6"/>
        </w:rPr>
        <w:t>isn’t</w:t>
      </w:r>
      <w:r>
        <w:rPr>
          <w:spacing w:val="-9"/>
        </w:rPr>
        <w:t xml:space="preserve"> </w:t>
      </w:r>
      <w:r>
        <w:rPr>
          <w:spacing w:val="-6"/>
        </w:rPr>
        <w:t>even</w:t>
      </w:r>
      <w:r>
        <w:rPr>
          <w:spacing w:val="-9"/>
        </w:rPr>
        <w:t xml:space="preserve"> </w:t>
      </w:r>
      <w:r>
        <w:rPr>
          <w:spacing w:val="-6"/>
        </w:rPr>
        <w:t>one’s</w:t>
      </w:r>
      <w:r>
        <w:rPr>
          <w:spacing w:val="-9"/>
        </w:rPr>
        <w:t xml:space="preserve"> </w:t>
      </w:r>
      <w:r>
        <w:rPr>
          <w:spacing w:val="-6"/>
        </w:rPr>
        <w:t>option</w:t>
      </w:r>
      <w:r>
        <w:rPr>
          <w:spacing w:val="-9"/>
        </w:rPr>
        <w:t xml:space="preserve"> </w:t>
      </w:r>
      <w:r>
        <w:rPr>
          <w:spacing w:val="-6"/>
        </w:rPr>
        <w:t>to</w:t>
      </w:r>
      <w:r>
        <w:rPr>
          <w:spacing w:val="-9"/>
        </w:rPr>
        <w:t xml:space="preserve"> </w:t>
      </w:r>
      <w:r>
        <w:rPr>
          <w:spacing w:val="-6"/>
        </w:rPr>
        <w:t>act</w:t>
      </w:r>
      <w:r>
        <w:rPr>
          <w:spacing w:val="-9"/>
        </w:rPr>
        <w:t xml:space="preserve"> </w:t>
      </w:r>
      <w:r>
        <w:rPr>
          <w:spacing w:val="-6"/>
        </w:rPr>
        <w:t>immorally</w:t>
      </w:r>
      <w:r>
        <w:rPr>
          <w:spacing w:val="-9"/>
        </w:rPr>
        <w:t xml:space="preserve"> </w:t>
      </w:r>
      <w:r>
        <w:rPr>
          <w:spacing w:val="-6"/>
        </w:rPr>
        <w:t xml:space="preserve">is </w:t>
      </w:r>
      <w:r>
        <w:rPr>
          <w:spacing w:val="-4"/>
        </w:rPr>
        <w:t>a</w:t>
      </w:r>
      <w:r>
        <w:rPr>
          <w:spacing w:val="-15"/>
        </w:rPr>
        <w:t xml:space="preserve"> </w:t>
      </w:r>
      <w:r>
        <w:rPr>
          <w:spacing w:val="-4"/>
        </w:rPr>
        <w:t>world</w:t>
      </w:r>
      <w:r>
        <w:rPr>
          <w:spacing w:val="-15"/>
        </w:rPr>
        <w:t xml:space="preserve"> </w:t>
      </w:r>
      <w:r>
        <w:rPr>
          <w:spacing w:val="-4"/>
        </w:rPr>
        <w:t>where</w:t>
      </w:r>
      <w:r>
        <w:rPr>
          <w:spacing w:val="-15"/>
        </w:rPr>
        <w:t xml:space="preserve"> </w:t>
      </w:r>
      <w:r>
        <w:rPr>
          <w:spacing w:val="-4"/>
        </w:rPr>
        <w:t>one</w:t>
      </w:r>
      <w:r>
        <w:rPr>
          <w:spacing w:val="-14"/>
        </w:rPr>
        <w:t xml:space="preserve"> </w:t>
      </w:r>
      <w:r>
        <w:rPr>
          <w:spacing w:val="-4"/>
        </w:rPr>
        <w:t>doesn’t</w:t>
      </w:r>
      <w:r>
        <w:rPr>
          <w:spacing w:val="-15"/>
        </w:rPr>
        <w:t xml:space="preserve"> </w:t>
      </w:r>
      <w:r>
        <w:rPr>
          <w:spacing w:val="-4"/>
        </w:rPr>
        <w:t>have</w:t>
      </w:r>
      <w:r>
        <w:rPr>
          <w:spacing w:val="-15"/>
        </w:rPr>
        <w:t xml:space="preserve"> </w:t>
      </w:r>
      <w:r>
        <w:rPr>
          <w:i/>
          <w:spacing w:val="-4"/>
        </w:rPr>
        <w:t>any</w:t>
      </w:r>
      <w:r>
        <w:rPr>
          <w:i/>
          <w:spacing w:val="-15"/>
        </w:rPr>
        <w:t xml:space="preserve"> </w:t>
      </w:r>
      <w:r>
        <w:rPr>
          <w:spacing w:val="-4"/>
        </w:rPr>
        <w:t>options.</w:t>
      </w:r>
      <w:r>
        <w:rPr>
          <w:spacing w:val="-14"/>
        </w:rPr>
        <w:t xml:space="preserve"> </w:t>
      </w:r>
      <w:r>
        <w:rPr>
          <w:spacing w:val="-4"/>
        </w:rPr>
        <w:t>Such</w:t>
      </w:r>
      <w:r>
        <w:rPr>
          <w:spacing w:val="-15"/>
        </w:rPr>
        <w:t xml:space="preserve"> </w:t>
      </w:r>
      <w:r>
        <w:rPr>
          <w:spacing w:val="-4"/>
        </w:rPr>
        <w:t>a</w:t>
      </w:r>
      <w:r>
        <w:rPr>
          <w:spacing w:val="-15"/>
        </w:rPr>
        <w:t xml:space="preserve"> </w:t>
      </w:r>
      <w:r>
        <w:rPr>
          <w:spacing w:val="-4"/>
        </w:rPr>
        <w:t>world</w:t>
      </w:r>
      <w:r>
        <w:rPr>
          <w:spacing w:val="-15"/>
        </w:rPr>
        <w:t xml:space="preserve"> </w:t>
      </w:r>
      <w:r>
        <w:rPr>
          <w:spacing w:val="-4"/>
        </w:rPr>
        <w:t>obviously</w:t>
      </w:r>
      <w:r>
        <w:rPr>
          <w:spacing w:val="-14"/>
        </w:rPr>
        <w:t xml:space="preserve"> </w:t>
      </w:r>
      <w:r>
        <w:rPr>
          <w:spacing w:val="-4"/>
        </w:rPr>
        <w:t>wouldn’t</w:t>
      </w:r>
      <w:r>
        <w:rPr>
          <w:spacing w:val="-15"/>
        </w:rPr>
        <w:t xml:space="preserve"> </w:t>
      </w:r>
      <w:r>
        <w:rPr>
          <w:spacing w:val="-4"/>
        </w:rPr>
        <w:t xml:space="preserve">be </w:t>
      </w:r>
      <w:r>
        <w:t>a</w:t>
      </w:r>
      <w:r>
        <w:rPr>
          <w:spacing w:val="-8"/>
        </w:rPr>
        <w:t xml:space="preserve"> </w:t>
      </w:r>
      <w:r>
        <w:t>good</w:t>
      </w:r>
      <w:r>
        <w:rPr>
          <w:spacing w:val="-8"/>
        </w:rPr>
        <w:t xml:space="preserve"> </w:t>
      </w:r>
      <w:r>
        <w:t>one.</w:t>
      </w:r>
      <w:r>
        <w:rPr>
          <w:spacing w:val="-15"/>
        </w:rPr>
        <w:t xml:space="preserve"> </w:t>
      </w:r>
      <w:r>
        <w:t>Therefore, a legal</w:t>
      </w:r>
      <w:r>
        <w:rPr>
          <w:spacing w:val="-3"/>
        </w:rPr>
        <w:t xml:space="preserve"> </w:t>
      </w:r>
      <w:r>
        <w:t>system that made all</w:t>
      </w:r>
      <w:r>
        <w:rPr>
          <w:spacing w:val="-3"/>
        </w:rPr>
        <w:t xml:space="preserve"> </w:t>
      </w:r>
      <w:r>
        <w:t>immorality impossible would</w:t>
      </w:r>
      <w:r>
        <w:rPr>
          <w:spacing w:val="28"/>
        </w:rPr>
        <w:t xml:space="preserve"> </w:t>
      </w:r>
      <w:r>
        <w:t>strip</w:t>
      </w:r>
      <w:r>
        <w:rPr>
          <w:spacing w:val="40"/>
        </w:rPr>
        <w:t xml:space="preserve"> </w:t>
      </w:r>
      <w:r>
        <w:t>people</w:t>
      </w:r>
      <w:r>
        <w:rPr>
          <w:spacing w:val="40"/>
        </w:rPr>
        <w:t xml:space="preserve"> </w:t>
      </w:r>
      <w:r>
        <w:t>of</w:t>
      </w:r>
      <w:r>
        <w:rPr>
          <w:spacing w:val="40"/>
        </w:rPr>
        <w:t xml:space="preserve"> </w:t>
      </w:r>
      <w:r>
        <w:t>their</w:t>
      </w:r>
      <w:r>
        <w:rPr>
          <w:spacing w:val="40"/>
        </w:rPr>
        <w:t xml:space="preserve"> </w:t>
      </w:r>
      <w:r>
        <w:t>autonomy,</w:t>
      </w:r>
      <w:r>
        <w:rPr>
          <w:spacing w:val="40"/>
        </w:rPr>
        <w:t xml:space="preserve"> </w:t>
      </w:r>
      <w:r>
        <w:t>and,</w:t>
      </w:r>
      <w:r>
        <w:rPr>
          <w:spacing w:val="40"/>
        </w:rPr>
        <w:t xml:space="preserve"> </w:t>
      </w:r>
      <w:r>
        <w:t>for</w:t>
      </w:r>
      <w:r>
        <w:rPr>
          <w:spacing w:val="40"/>
        </w:rPr>
        <w:t xml:space="preserve"> </w:t>
      </w:r>
      <w:r>
        <w:t>this</w:t>
      </w:r>
      <w:r>
        <w:rPr>
          <w:spacing w:val="40"/>
        </w:rPr>
        <w:t xml:space="preserve"> </w:t>
      </w:r>
      <w:r>
        <w:t>reason,</w:t>
      </w:r>
      <w:r>
        <w:rPr>
          <w:spacing w:val="40"/>
        </w:rPr>
        <w:t xml:space="preserve"> </w:t>
      </w:r>
      <w:r>
        <w:t>would</w:t>
      </w:r>
      <w:r>
        <w:rPr>
          <w:spacing w:val="40"/>
        </w:rPr>
        <w:t xml:space="preserve"> </w:t>
      </w:r>
      <w:r>
        <w:t>itself</w:t>
      </w:r>
      <w:r>
        <w:rPr>
          <w:spacing w:val="40"/>
        </w:rPr>
        <w:t xml:space="preserve"> </w:t>
      </w:r>
      <w:r>
        <w:t>be immoral. Thus, there is at best a circumstantial connection between morality and</w:t>
      </w:r>
      <w:r>
        <w:rPr>
          <w:spacing w:val="80"/>
        </w:rPr>
        <w:t xml:space="preserve"> </w:t>
      </w:r>
      <w:r>
        <w:t>self-interest:</w:t>
      </w:r>
      <w:r>
        <w:rPr>
          <w:spacing w:val="80"/>
        </w:rPr>
        <w:t xml:space="preserve"> </w:t>
      </w:r>
      <w:r>
        <w:t>in</w:t>
      </w:r>
      <w:r>
        <w:rPr>
          <w:spacing w:val="80"/>
        </w:rPr>
        <w:t xml:space="preserve"> </w:t>
      </w:r>
      <w:r>
        <w:t>some</w:t>
      </w:r>
      <w:r>
        <w:rPr>
          <w:spacing w:val="80"/>
        </w:rPr>
        <w:t xml:space="preserve"> </w:t>
      </w:r>
      <w:r>
        <w:t>circumstances</w:t>
      </w:r>
      <w:r>
        <w:rPr>
          <w:spacing w:val="80"/>
        </w:rPr>
        <w:t xml:space="preserve"> </w:t>
      </w:r>
      <w:r>
        <w:t>it</w:t>
      </w:r>
      <w:r>
        <w:rPr>
          <w:spacing w:val="80"/>
        </w:rPr>
        <w:t xml:space="preserve"> </w:t>
      </w:r>
      <w:r>
        <w:t>is</w:t>
      </w:r>
      <w:r>
        <w:rPr>
          <w:spacing w:val="80"/>
        </w:rPr>
        <w:t xml:space="preserve"> </w:t>
      </w:r>
      <w:r>
        <w:t>to</w:t>
      </w:r>
      <w:r>
        <w:rPr>
          <w:spacing w:val="80"/>
        </w:rPr>
        <w:t xml:space="preserve"> </w:t>
      </w:r>
      <w:r>
        <w:t>one’s</w:t>
      </w:r>
      <w:r>
        <w:rPr>
          <w:spacing w:val="80"/>
        </w:rPr>
        <w:t xml:space="preserve"> </w:t>
      </w:r>
      <w:r>
        <w:t>advantage</w:t>
      </w:r>
      <w:r>
        <w:rPr>
          <w:spacing w:val="80"/>
        </w:rPr>
        <w:t xml:space="preserve"> </w:t>
      </w:r>
      <w:r>
        <w:t>to</w:t>
      </w:r>
      <w:r>
        <w:rPr>
          <w:spacing w:val="80"/>
        </w:rPr>
        <w:t xml:space="preserve"> </w:t>
      </w:r>
      <w:r>
        <w:t>act morally; in others it isn’t.</w:t>
      </w:r>
    </w:p>
    <w:p w14:paraId="7E0024CE" w14:textId="77777777" w:rsidR="009A58DB" w:rsidRDefault="00000000">
      <w:pPr>
        <w:pStyle w:val="BodyText"/>
        <w:spacing w:before="9" w:line="249" w:lineRule="auto"/>
        <w:ind w:right="363" w:firstLine="360"/>
      </w:pPr>
      <w:r>
        <w:t>But even this seemingly modest statement exaggerates the connection between morality and self-interest. So far as one’s reason for behaving ethically is that it is to one’s advantage to do so, one’s behavior has no moral worth and, therefore, is not itself moral.</w:t>
      </w:r>
    </w:p>
    <w:p w14:paraId="7E0024CF" w14:textId="77777777" w:rsidR="009A58DB" w:rsidRDefault="00000000">
      <w:pPr>
        <w:pStyle w:val="BodyText"/>
        <w:spacing w:before="5" w:line="249" w:lineRule="auto"/>
        <w:ind w:right="359" w:firstLine="360"/>
      </w:pPr>
      <w:r>
        <w:t>A</w:t>
      </w:r>
      <w:r>
        <w:rPr>
          <w:spacing w:val="-3"/>
        </w:rPr>
        <w:t xml:space="preserve"> </w:t>
      </w:r>
      <w:r>
        <w:t>story</w:t>
      </w:r>
      <w:r>
        <w:rPr>
          <w:spacing w:val="-2"/>
        </w:rPr>
        <w:t xml:space="preserve"> </w:t>
      </w:r>
      <w:r>
        <w:t>will</w:t>
      </w:r>
      <w:r>
        <w:rPr>
          <w:spacing w:val="-3"/>
        </w:rPr>
        <w:t xml:space="preserve"> </w:t>
      </w:r>
      <w:r>
        <w:t>make</w:t>
      </w:r>
      <w:r>
        <w:rPr>
          <w:spacing w:val="-3"/>
        </w:rPr>
        <w:t xml:space="preserve"> </w:t>
      </w:r>
      <w:r>
        <w:t>it</w:t>
      </w:r>
      <w:r>
        <w:rPr>
          <w:spacing w:val="-3"/>
        </w:rPr>
        <w:t xml:space="preserve"> </w:t>
      </w:r>
      <w:r>
        <w:t>clear</w:t>
      </w:r>
      <w:r>
        <w:rPr>
          <w:spacing w:val="-3"/>
        </w:rPr>
        <w:t xml:space="preserve"> </w:t>
      </w:r>
      <w:r>
        <w:t>why</w:t>
      </w:r>
      <w:r>
        <w:rPr>
          <w:spacing w:val="-2"/>
        </w:rPr>
        <w:t xml:space="preserve"> </w:t>
      </w:r>
      <w:r>
        <w:t>this</w:t>
      </w:r>
      <w:r>
        <w:rPr>
          <w:spacing w:val="-3"/>
        </w:rPr>
        <w:t xml:space="preserve"> </w:t>
      </w:r>
      <w:r>
        <w:t>is</w:t>
      </w:r>
      <w:r>
        <w:rPr>
          <w:spacing w:val="-3"/>
        </w:rPr>
        <w:t xml:space="preserve"> </w:t>
      </w:r>
      <w:r>
        <w:t>so.</w:t>
      </w:r>
      <w:r>
        <w:rPr>
          <w:spacing w:val="-2"/>
        </w:rPr>
        <w:t xml:space="preserve"> </w:t>
      </w:r>
      <w:r>
        <w:t>Brown</w:t>
      </w:r>
      <w:r>
        <w:rPr>
          <w:spacing w:val="-2"/>
        </w:rPr>
        <w:t xml:space="preserve"> </w:t>
      </w:r>
      <w:r>
        <w:t>is</w:t>
      </w:r>
      <w:r>
        <w:rPr>
          <w:spacing w:val="-3"/>
        </w:rPr>
        <w:t xml:space="preserve"> </w:t>
      </w:r>
      <w:r>
        <w:t>a</w:t>
      </w:r>
      <w:r>
        <w:rPr>
          <w:spacing w:val="-3"/>
        </w:rPr>
        <w:t xml:space="preserve"> </w:t>
      </w:r>
      <w:r>
        <w:t>sadist</w:t>
      </w:r>
      <w:r>
        <w:rPr>
          <w:spacing w:val="-3"/>
        </w:rPr>
        <w:t xml:space="preserve"> </w:t>
      </w:r>
      <w:r>
        <w:t>and</w:t>
      </w:r>
      <w:r>
        <w:rPr>
          <w:spacing w:val="-2"/>
        </w:rPr>
        <w:t xml:space="preserve"> </w:t>
      </w:r>
      <w:r>
        <w:t>serial</w:t>
      </w:r>
      <w:r>
        <w:rPr>
          <w:spacing w:val="-3"/>
        </w:rPr>
        <w:t xml:space="preserve"> </w:t>
      </w:r>
      <w:r>
        <w:t>killer. His sadism and wish to hurt others is surpassed only by his wish to save his own skin. Brown is drafted into the military during wartime. He is put to work as an interrogator, torturer, and executioner. He doesn’t know whether he’s serving the interests of justice in discharging his professional responsibilities, and were he to find out that he was not, that would only enhance his love of his job.</w:t>
      </w:r>
    </w:p>
    <w:p w14:paraId="7E0024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D1" w14:textId="77777777" w:rsidR="009A58DB" w:rsidRDefault="00000000">
      <w:pPr>
        <w:pStyle w:val="BodyText"/>
        <w:spacing w:before="65" w:line="249" w:lineRule="auto"/>
        <w:ind w:right="358" w:firstLine="360"/>
      </w:pPr>
      <w:r>
        <w:lastRenderedPageBreak/>
        <w:t>As it happens, a successful job-performance on Brown’s part will have very</w:t>
      </w:r>
      <w:r>
        <w:rPr>
          <w:spacing w:val="-3"/>
        </w:rPr>
        <w:t xml:space="preserve"> </w:t>
      </w:r>
      <w:r>
        <w:t>positive</w:t>
      </w:r>
      <w:r>
        <w:rPr>
          <w:spacing w:val="-2"/>
        </w:rPr>
        <w:t xml:space="preserve"> </w:t>
      </w:r>
      <w:r>
        <w:t>consequences</w:t>
      </w:r>
      <w:r>
        <w:rPr>
          <w:spacing w:val="-2"/>
        </w:rPr>
        <w:t xml:space="preserve"> </w:t>
      </w:r>
      <w:r>
        <w:t>not</w:t>
      </w:r>
      <w:r>
        <w:rPr>
          <w:spacing w:val="-2"/>
        </w:rPr>
        <w:t xml:space="preserve"> </w:t>
      </w:r>
      <w:r>
        <w:t>just</w:t>
      </w:r>
      <w:r>
        <w:rPr>
          <w:spacing w:val="-2"/>
        </w:rPr>
        <w:t xml:space="preserve"> </w:t>
      </w:r>
      <w:r>
        <w:t>for</w:t>
      </w:r>
      <w:r>
        <w:rPr>
          <w:spacing w:val="-2"/>
        </w:rPr>
        <w:t xml:space="preserve"> </w:t>
      </w:r>
      <w:r>
        <w:t>his</w:t>
      </w:r>
      <w:r>
        <w:rPr>
          <w:spacing w:val="-2"/>
        </w:rPr>
        <w:t xml:space="preserve"> </w:t>
      </w:r>
      <w:r>
        <w:t>fellow</w:t>
      </w:r>
      <w:r>
        <w:rPr>
          <w:spacing w:val="-2"/>
        </w:rPr>
        <w:t xml:space="preserve"> </w:t>
      </w:r>
      <w:r>
        <w:t>citizens</w:t>
      </w:r>
      <w:r>
        <w:rPr>
          <w:spacing w:val="-2"/>
        </w:rPr>
        <w:t xml:space="preserve"> </w:t>
      </w:r>
      <w:r>
        <w:t>but</w:t>
      </w:r>
      <w:r>
        <w:rPr>
          <w:spacing w:val="-2"/>
        </w:rPr>
        <w:t xml:space="preserve"> </w:t>
      </w:r>
      <w:r>
        <w:t>for</w:t>
      </w:r>
      <w:r>
        <w:rPr>
          <w:spacing w:val="-2"/>
        </w:rPr>
        <w:t xml:space="preserve"> </w:t>
      </w:r>
      <w:r>
        <w:t>the</w:t>
      </w:r>
      <w:r>
        <w:rPr>
          <w:spacing w:val="-2"/>
        </w:rPr>
        <w:t xml:space="preserve"> </w:t>
      </w:r>
      <w:r>
        <w:t>world</w:t>
      </w:r>
      <w:r>
        <w:rPr>
          <w:spacing w:val="-2"/>
        </w:rPr>
        <w:t xml:space="preserve"> </w:t>
      </w:r>
      <w:r>
        <w:t>in general. His country is a liberal, tolerant, peaceful democracy. It was invaded by a totalitarian, intolerant nation whose intention is to reduce the citizens of every country besides its own to a condition of slavery. For this reason, if Brown’s country were to lose the war, humanity would revert to a condition of barbarism. And because of the particularly barbaric methods employed by the invading country, Brown’s nation is itself forced to act barbarically in order to protect itself. Therefore, sadly, Brown’s country, and people the world over, need Brown to do his job and do it well.</w:t>
      </w:r>
    </w:p>
    <w:p w14:paraId="7E0024D2" w14:textId="77777777" w:rsidR="009A58DB" w:rsidRDefault="00000000">
      <w:pPr>
        <w:pStyle w:val="BodyText"/>
        <w:spacing w:before="12" w:line="249" w:lineRule="auto"/>
        <w:ind w:right="360" w:firstLine="360"/>
      </w:pPr>
      <w:r>
        <w:t>And he does. But Brown’s excellent job performance is fueled by hate and ill-will, not by a love of justice. Brown wants to hurt people, and his job is</w:t>
      </w:r>
      <w:r>
        <w:rPr>
          <w:spacing w:val="40"/>
        </w:rPr>
        <w:t xml:space="preserve"> </w:t>
      </w:r>
      <w:r>
        <w:t>the only outlet he has for this urge. Brown’s love of his work would diminish were</w:t>
      </w:r>
      <w:r>
        <w:rPr>
          <w:spacing w:val="-1"/>
        </w:rPr>
        <w:t xml:space="preserve"> </w:t>
      </w:r>
      <w:r>
        <w:t>he</w:t>
      </w:r>
      <w:r>
        <w:rPr>
          <w:spacing w:val="-1"/>
        </w:rPr>
        <w:t xml:space="preserve"> </w:t>
      </w:r>
      <w:r>
        <w:t>to</w:t>
      </w:r>
      <w:r>
        <w:rPr>
          <w:spacing w:val="-1"/>
        </w:rPr>
        <w:t xml:space="preserve"> </w:t>
      </w:r>
      <w:r>
        <w:t>find</w:t>
      </w:r>
      <w:r>
        <w:rPr>
          <w:spacing w:val="-1"/>
        </w:rPr>
        <w:t xml:space="preserve"> </w:t>
      </w:r>
      <w:r>
        <w:t>out</w:t>
      </w:r>
      <w:r>
        <w:rPr>
          <w:spacing w:val="-1"/>
        </w:rPr>
        <w:t xml:space="preserve"> </w:t>
      </w:r>
      <w:r>
        <w:t>that</w:t>
      </w:r>
      <w:r>
        <w:rPr>
          <w:spacing w:val="-1"/>
        </w:rPr>
        <w:t xml:space="preserve"> </w:t>
      </w:r>
      <w:r>
        <w:t>it</w:t>
      </w:r>
      <w:r>
        <w:rPr>
          <w:spacing w:val="-1"/>
        </w:rPr>
        <w:t xml:space="preserve"> </w:t>
      </w:r>
      <w:r>
        <w:t>improved</w:t>
      </w:r>
      <w:r>
        <w:rPr>
          <w:spacing w:val="-1"/>
        </w:rPr>
        <w:t xml:space="preserve"> </w:t>
      </w:r>
      <w:r>
        <w:t>the</w:t>
      </w:r>
      <w:r>
        <w:rPr>
          <w:spacing w:val="-1"/>
        </w:rPr>
        <w:t xml:space="preserve"> </w:t>
      </w:r>
      <w:r>
        <w:t>human</w:t>
      </w:r>
      <w:r>
        <w:rPr>
          <w:spacing w:val="-1"/>
        </w:rPr>
        <w:t xml:space="preserve"> </w:t>
      </w:r>
      <w:r>
        <w:t>condition,</w:t>
      </w:r>
      <w:r>
        <w:rPr>
          <w:spacing w:val="-1"/>
        </w:rPr>
        <w:t xml:space="preserve"> </w:t>
      </w:r>
      <w:r>
        <w:t>and</w:t>
      </w:r>
      <w:r>
        <w:rPr>
          <w:spacing w:val="-1"/>
        </w:rPr>
        <w:t xml:space="preserve"> </w:t>
      </w:r>
      <w:r>
        <w:t>that</w:t>
      </w:r>
      <w:r>
        <w:rPr>
          <w:spacing w:val="-1"/>
        </w:rPr>
        <w:t xml:space="preserve"> </w:t>
      </w:r>
      <w:r>
        <w:t>love</w:t>
      </w:r>
      <w:r>
        <w:rPr>
          <w:spacing w:val="-1"/>
        </w:rPr>
        <w:t xml:space="preserve"> </w:t>
      </w:r>
      <w:r>
        <w:t>would become more intense were he to find out that it worsened it.</w:t>
      </w:r>
    </w:p>
    <w:p w14:paraId="7E0024D3" w14:textId="77777777" w:rsidR="009A58DB" w:rsidRDefault="00000000">
      <w:pPr>
        <w:pStyle w:val="BodyText"/>
        <w:spacing w:before="6" w:line="249" w:lineRule="auto"/>
        <w:ind w:right="359" w:firstLine="360"/>
      </w:pPr>
      <w:r>
        <w:t>In doing his job, Brown isn’t acting in a morally meritorious fashion, the reason being that his conduct isn’t driven by a desire to do the right thing. Brown is acting morally only in the sense that his overt behavior coincides with that of somebody who is acting ethically. But Brown’s despicable motives drain his behavior of all moral worth, and there is a sense in which his behavior, though behaviorally indistinguishable from moral behavior, is not itself at all moral. In general, unless the agent’s intention is to act</w:t>
      </w:r>
      <w:r>
        <w:rPr>
          <w:spacing w:val="40"/>
        </w:rPr>
        <w:t xml:space="preserve"> </w:t>
      </w:r>
      <w:r>
        <w:t>morally, his behavior is not moral, even if, from an external point of view, it is indistinguishable from moral conduct.</w:t>
      </w:r>
    </w:p>
    <w:p w14:paraId="7E0024D4" w14:textId="77777777" w:rsidR="009A58DB" w:rsidRDefault="00000000">
      <w:pPr>
        <w:pStyle w:val="Heading1"/>
        <w:numPr>
          <w:ilvl w:val="1"/>
          <w:numId w:val="57"/>
        </w:numPr>
        <w:tabs>
          <w:tab w:val="left" w:pos="1409"/>
        </w:tabs>
        <w:spacing w:before="199"/>
        <w:ind w:left="1409" w:hanging="1049"/>
      </w:pPr>
      <w:r>
        <w:t>Why</w:t>
      </w:r>
      <w:r>
        <w:rPr>
          <w:spacing w:val="-2"/>
        </w:rPr>
        <w:t xml:space="preserve"> </w:t>
      </w:r>
      <w:r>
        <w:t>it</w:t>
      </w:r>
      <w:r>
        <w:rPr>
          <w:spacing w:val="-2"/>
        </w:rPr>
        <w:t xml:space="preserve"> </w:t>
      </w:r>
      <w:r>
        <w:t>is</w:t>
      </w:r>
      <w:r>
        <w:rPr>
          <w:spacing w:val="-3"/>
        </w:rPr>
        <w:t xml:space="preserve"> </w:t>
      </w:r>
      <w:r>
        <w:t>to</w:t>
      </w:r>
      <w:r>
        <w:rPr>
          <w:spacing w:val="-1"/>
        </w:rPr>
        <w:t xml:space="preserve"> </w:t>
      </w:r>
      <w:r>
        <w:t>one’s</w:t>
      </w:r>
      <w:r>
        <w:rPr>
          <w:spacing w:val="-3"/>
        </w:rPr>
        <w:t xml:space="preserve"> </w:t>
      </w:r>
      <w:r>
        <w:t>advantage</w:t>
      </w:r>
      <w:r>
        <w:rPr>
          <w:spacing w:val="-2"/>
        </w:rPr>
        <w:t xml:space="preserve"> </w:t>
      </w:r>
      <w:r>
        <w:t>to</w:t>
      </w:r>
      <w:r>
        <w:rPr>
          <w:spacing w:val="-2"/>
        </w:rPr>
        <w:t xml:space="preserve"> </w:t>
      </w:r>
      <w:r>
        <w:t>be</w:t>
      </w:r>
      <w:r>
        <w:rPr>
          <w:spacing w:val="-2"/>
        </w:rPr>
        <w:t xml:space="preserve"> immoral</w:t>
      </w:r>
    </w:p>
    <w:p w14:paraId="7E0024D5" w14:textId="77777777" w:rsidR="009A58DB" w:rsidRDefault="00000000">
      <w:pPr>
        <w:pStyle w:val="BodyText"/>
        <w:spacing w:before="139" w:line="249" w:lineRule="auto"/>
        <w:ind w:right="360"/>
      </w:pPr>
      <w:r>
        <w:t xml:space="preserve">All publicly accepted systems of morality are to the effect that, with a few narrowly defined exceptions, </w:t>
      </w:r>
      <w:r>
        <w:rPr>
          <w:i/>
        </w:rPr>
        <w:t>no</w:t>
      </w:r>
      <w:r>
        <w:rPr>
          <w:i/>
          <w:spacing w:val="-2"/>
        </w:rPr>
        <w:t xml:space="preserve"> </w:t>
      </w:r>
      <w:r>
        <w:t>act that it is to one’s advantage to perform is permissible if it involves hurting someone else.</w:t>
      </w:r>
    </w:p>
    <w:p w14:paraId="7E0024D6" w14:textId="77777777" w:rsidR="009A58DB" w:rsidRDefault="00000000">
      <w:pPr>
        <w:pStyle w:val="BodyText"/>
        <w:spacing w:before="4" w:line="249" w:lineRule="auto"/>
        <w:ind w:right="358" w:firstLine="360"/>
      </w:pPr>
      <w:r>
        <w:t xml:space="preserve">That’s why there are deeply moral people who are unhappy </w:t>
      </w:r>
      <w:r>
        <w:rPr>
          <w:i/>
        </w:rPr>
        <w:t xml:space="preserve">for the very reason </w:t>
      </w:r>
      <w:r>
        <w:t xml:space="preserve">that they are so moral. The “moral” person, almost by definition, grossly undervalues his own needs and aspirations, and the moral act is often the one that is the most self-undermining and inimical to one’s own welfare. Thus, many people would be much happier if they were less moral. And even though I’ll argue that </w:t>
      </w:r>
      <w:r>
        <w:rPr>
          <w:i/>
        </w:rPr>
        <w:t xml:space="preserve">some </w:t>
      </w:r>
      <w:r>
        <w:t xml:space="preserve">morality, of a </w:t>
      </w:r>
      <w:r>
        <w:rPr>
          <w:i/>
        </w:rPr>
        <w:t xml:space="preserve">certain </w:t>
      </w:r>
      <w:r>
        <w:t>kind, is inherent in success</w:t>
      </w:r>
    </w:p>
    <w:p w14:paraId="7E0024D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D8" w14:textId="77777777" w:rsidR="009A58DB" w:rsidRDefault="00000000">
      <w:pPr>
        <w:pStyle w:val="BodyText"/>
        <w:spacing w:before="60" w:line="249" w:lineRule="auto"/>
        <w:ind w:right="360"/>
      </w:pPr>
      <w:r>
        <w:lastRenderedPageBreak/>
        <w:t xml:space="preserve">and even subject hood, it’s patently obvious that </w:t>
      </w:r>
      <w:r>
        <w:rPr>
          <w:i/>
        </w:rPr>
        <w:t xml:space="preserve">too </w:t>
      </w:r>
      <w:r>
        <w:t>much morality hobbles people. It turns them into weaklings and conformists who can’t act without receiving the approval of others. Since that approval depends more on the needs of the would-be approval-giver than it does on the needs of the person seeking approval, the result is that too much morality-driven deference to others turns one into a cripple.</w:t>
      </w:r>
    </w:p>
    <w:p w14:paraId="7E0024D9" w14:textId="77777777" w:rsidR="009A58DB" w:rsidRDefault="00000000">
      <w:pPr>
        <w:pStyle w:val="BodyText"/>
        <w:spacing w:before="12" w:line="249" w:lineRule="auto"/>
        <w:ind w:right="359" w:firstLine="360"/>
      </w:pPr>
      <w:r>
        <w:t xml:space="preserve">But there’s a deeper, less circumstantial connection between hyper-morality and unhappiness. A precondition for being profoundly moral is having a punitive and restrictive conscience: a conscience that allows one to do, feel, or think as one wishes </w:t>
      </w:r>
      <w:r>
        <w:rPr>
          <w:i/>
        </w:rPr>
        <w:t>only</w:t>
      </w:r>
      <w:r>
        <w:rPr>
          <w:i/>
          <w:spacing w:val="-4"/>
        </w:rPr>
        <w:t xml:space="preserve"> </w:t>
      </w:r>
      <w:r>
        <w:t>under</w:t>
      </w:r>
      <w:r>
        <w:rPr>
          <w:spacing w:val="10"/>
        </w:rPr>
        <w:t xml:space="preserve"> </w:t>
      </w:r>
      <w:r>
        <w:t>narrowly</w:t>
      </w:r>
      <w:r>
        <w:rPr>
          <w:spacing w:val="11"/>
        </w:rPr>
        <w:t xml:space="preserve"> </w:t>
      </w:r>
      <w:r>
        <w:t>defined</w:t>
      </w:r>
      <w:r>
        <w:rPr>
          <w:spacing w:val="11"/>
        </w:rPr>
        <w:t xml:space="preserve"> </w:t>
      </w:r>
      <w:r>
        <w:t xml:space="preserve">circumstances—a conscience that holds one’s own psychological needs, and therefore one’s very self, in the deepest contempt. The conscience of a deeply moral person, therefore, is one that embodies an attitude of hate, contempt, and aggression towards a facet of oneself. Thus, the essence of morality—or of hyper-morality, in any case—is a certain self-hate. Since nobody </w:t>
      </w:r>
      <w:r>
        <w:rPr>
          <w:i/>
        </w:rPr>
        <w:t>not</w:t>
      </w:r>
      <w:r>
        <w:rPr>
          <w:i/>
          <w:spacing w:val="-3"/>
        </w:rPr>
        <w:t xml:space="preserve"> </w:t>
      </w:r>
      <w:r>
        <w:t>weighed</w:t>
      </w:r>
      <w:r>
        <w:rPr>
          <w:spacing w:val="-2"/>
        </w:rPr>
        <w:t xml:space="preserve"> </w:t>
      </w:r>
      <w:r>
        <w:t>down by such a conscience can embody a life of pure morality, perfect morality isn’t even compatible with happiness. A fortiori it isn’t a necessary or a sufficient condition for it.</w:t>
      </w:r>
    </w:p>
    <w:p w14:paraId="7E0024DA" w14:textId="77777777" w:rsidR="009A58DB" w:rsidRDefault="00000000">
      <w:pPr>
        <w:pStyle w:val="BodyText"/>
        <w:spacing w:before="15" w:line="249" w:lineRule="auto"/>
        <w:ind w:right="360" w:firstLine="360"/>
      </w:pPr>
      <w:r>
        <w:rPr>
          <w:spacing w:val="-4"/>
        </w:rPr>
        <w:t>There</w:t>
      </w:r>
      <w:r>
        <w:rPr>
          <w:spacing w:val="-10"/>
        </w:rPr>
        <w:t xml:space="preserve"> </w:t>
      </w:r>
      <w:r>
        <w:rPr>
          <w:spacing w:val="-4"/>
        </w:rPr>
        <w:t>are</w:t>
      </w:r>
      <w:r>
        <w:rPr>
          <w:spacing w:val="-10"/>
        </w:rPr>
        <w:t xml:space="preserve"> </w:t>
      </w:r>
      <w:r>
        <w:rPr>
          <w:spacing w:val="-4"/>
        </w:rPr>
        <w:t>many</w:t>
      </w:r>
      <w:r>
        <w:rPr>
          <w:spacing w:val="-10"/>
        </w:rPr>
        <w:t xml:space="preserve"> </w:t>
      </w:r>
      <w:r>
        <w:rPr>
          <w:spacing w:val="-4"/>
        </w:rPr>
        <w:t>deeply</w:t>
      </w:r>
      <w:r>
        <w:rPr>
          <w:spacing w:val="-10"/>
        </w:rPr>
        <w:t xml:space="preserve"> </w:t>
      </w:r>
      <w:r>
        <w:rPr>
          <w:spacing w:val="-4"/>
        </w:rPr>
        <w:t>immoral</w:t>
      </w:r>
      <w:r>
        <w:rPr>
          <w:spacing w:val="-10"/>
        </w:rPr>
        <w:t xml:space="preserve"> </w:t>
      </w:r>
      <w:r>
        <w:rPr>
          <w:spacing w:val="-4"/>
        </w:rPr>
        <w:t>people</w:t>
      </w:r>
      <w:r>
        <w:rPr>
          <w:spacing w:val="-10"/>
        </w:rPr>
        <w:t xml:space="preserve"> </w:t>
      </w:r>
      <w:r>
        <w:rPr>
          <w:spacing w:val="-4"/>
        </w:rPr>
        <w:t>who</w:t>
      </w:r>
      <w:r>
        <w:rPr>
          <w:spacing w:val="-10"/>
        </w:rPr>
        <w:t xml:space="preserve"> </w:t>
      </w:r>
      <w:r>
        <w:rPr>
          <w:spacing w:val="-4"/>
        </w:rPr>
        <w:t>are</w:t>
      </w:r>
      <w:r>
        <w:rPr>
          <w:spacing w:val="-10"/>
        </w:rPr>
        <w:t xml:space="preserve"> </w:t>
      </w:r>
      <w:r>
        <w:rPr>
          <w:spacing w:val="-4"/>
        </w:rPr>
        <w:t>truly</w:t>
      </w:r>
      <w:r>
        <w:rPr>
          <w:spacing w:val="-10"/>
        </w:rPr>
        <w:t xml:space="preserve"> </w:t>
      </w:r>
      <w:r>
        <w:rPr>
          <w:spacing w:val="-4"/>
        </w:rPr>
        <w:t>happy.</w:t>
      </w:r>
      <w:r>
        <w:rPr>
          <w:spacing w:val="-10"/>
        </w:rPr>
        <w:t xml:space="preserve"> </w:t>
      </w:r>
      <w:r>
        <w:rPr>
          <w:spacing w:val="-4"/>
        </w:rPr>
        <w:t>Of</w:t>
      </w:r>
      <w:r>
        <w:rPr>
          <w:spacing w:val="-10"/>
        </w:rPr>
        <w:t xml:space="preserve"> </w:t>
      </w:r>
      <w:r>
        <w:rPr>
          <w:spacing w:val="-4"/>
        </w:rPr>
        <w:t>course,</w:t>
      </w:r>
      <w:r>
        <w:rPr>
          <w:spacing w:val="-10"/>
        </w:rPr>
        <w:t xml:space="preserve"> </w:t>
      </w:r>
      <w:r>
        <w:rPr>
          <w:spacing w:val="-4"/>
        </w:rPr>
        <w:t xml:space="preserve">some </w:t>
      </w:r>
      <w:r>
        <w:t>immoral</w:t>
      </w:r>
      <w:r>
        <w:rPr>
          <w:spacing w:val="-19"/>
        </w:rPr>
        <w:t xml:space="preserve"> </w:t>
      </w:r>
      <w:r>
        <w:t>people</w:t>
      </w:r>
      <w:r>
        <w:rPr>
          <w:spacing w:val="-13"/>
        </w:rPr>
        <w:t xml:space="preserve"> </w:t>
      </w:r>
      <w:r>
        <w:t>are</w:t>
      </w:r>
      <w:r>
        <w:rPr>
          <w:spacing w:val="-19"/>
        </w:rPr>
        <w:t xml:space="preserve"> </w:t>
      </w:r>
      <w:r>
        <w:t>wracked</w:t>
      </w:r>
      <w:r>
        <w:rPr>
          <w:spacing w:val="-15"/>
        </w:rPr>
        <w:t xml:space="preserve"> </w:t>
      </w:r>
      <w:r>
        <w:t>by</w:t>
      </w:r>
      <w:r>
        <w:rPr>
          <w:spacing w:val="-16"/>
        </w:rPr>
        <w:t xml:space="preserve"> </w:t>
      </w:r>
      <w:r>
        <w:t>self-loathing.</w:t>
      </w:r>
      <w:r>
        <w:rPr>
          <w:spacing w:val="-19"/>
        </w:rPr>
        <w:t xml:space="preserve"> </w:t>
      </w:r>
      <w:r>
        <w:t>They’re</w:t>
      </w:r>
      <w:r>
        <w:rPr>
          <w:spacing w:val="-16"/>
        </w:rPr>
        <w:t xml:space="preserve"> </w:t>
      </w:r>
      <w:r>
        <w:t>appalled</w:t>
      </w:r>
      <w:r>
        <w:rPr>
          <w:spacing w:val="-16"/>
        </w:rPr>
        <w:t xml:space="preserve"> </w:t>
      </w:r>
      <w:r>
        <w:t>at</w:t>
      </w:r>
      <w:r>
        <w:rPr>
          <w:spacing w:val="-16"/>
        </w:rPr>
        <w:t xml:space="preserve"> </w:t>
      </w:r>
      <w:r>
        <w:t>who</w:t>
      </w:r>
      <w:r>
        <w:rPr>
          <w:spacing w:val="-16"/>
        </w:rPr>
        <w:t xml:space="preserve"> </w:t>
      </w:r>
      <w:r>
        <w:t>they</w:t>
      </w:r>
      <w:r>
        <w:rPr>
          <w:spacing w:val="-16"/>
        </w:rPr>
        <w:t xml:space="preserve"> </w:t>
      </w:r>
      <w:r>
        <w:t>are and what they do. They mask their</w:t>
      </w:r>
      <w:r>
        <w:rPr>
          <w:spacing w:val="-19"/>
        </w:rPr>
        <w:t xml:space="preserve"> </w:t>
      </w:r>
      <w:r>
        <w:t>self-hatred with cheap thrills and meaningless validations extorted from lickspittles. But some people who, in</w:t>
      </w:r>
      <w:r>
        <w:rPr>
          <w:spacing w:val="40"/>
        </w:rPr>
        <w:t xml:space="preserve"> </w:t>
      </w:r>
      <w:r>
        <w:t>at least some respects, are quite evil are in fact happy. They don’t simply feel good; they aren’t experiencing the fake happiness that comes with self-deception and cheap pleasures. They are authentically, integratedly happy.</w:t>
      </w:r>
    </w:p>
    <w:p w14:paraId="7E0024DB" w14:textId="77777777" w:rsidR="009A58DB" w:rsidRDefault="00000000">
      <w:pPr>
        <w:pStyle w:val="Heading1"/>
        <w:tabs>
          <w:tab w:val="left" w:pos="1409"/>
        </w:tabs>
        <w:spacing w:before="196"/>
        <w:ind w:left="360" w:firstLine="0"/>
      </w:pPr>
      <w:r>
        <w:rPr>
          <w:spacing w:val="-5"/>
        </w:rPr>
        <w:t>2.0</w:t>
      </w:r>
      <w:r>
        <w:tab/>
        <w:t>Why</w:t>
      </w:r>
      <w:r>
        <w:rPr>
          <w:spacing w:val="-4"/>
        </w:rPr>
        <w:t xml:space="preserve"> </w:t>
      </w:r>
      <w:r>
        <w:t>it’s</w:t>
      </w:r>
      <w:r>
        <w:rPr>
          <w:spacing w:val="-3"/>
        </w:rPr>
        <w:t xml:space="preserve"> </w:t>
      </w:r>
      <w:r>
        <w:t>to</w:t>
      </w:r>
      <w:r>
        <w:rPr>
          <w:spacing w:val="-2"/>
        </w:rPr>
        <w:t xml:space="preserve"> </w:t>
      </w:r>
      <w:r>
        <w:t>one’s</w:t>
      </w:r>
      <w:r>
        <w:rPr>
          <w:spacing w:val="-3"/>
        </w:rPr>
        <w:t xml:space="preserve"> </w:t>
      </w:r>
      <w:r>
        <w:t>advantage</w:t>
      </w:r>
      <w:r>
        <w:rPr>
          <w:spacing w:val="-3"/>
        </w:rPr>
        <w:t xml:space="preserve"> </w:t>
      </w:r>
      <w:r>
        <w:t>to</w:t>
      </w:r>
      <w:r>
        <w:rPr>
          <w:spacing w:val="-2"/>
        </w:rPr>
        <w:t xml:space="preserve"> </w:t>
      </w:r>
      <w:r>
        <w:t>be</w:t>
      </w:r>
      <w:r>
        <w:rPr>
          <w:spacing w:val="-2"/>
        </w:rPr>
        <w:t xml:space="preserve"> moral</w:t>
      </w:r>
    </w:p>
    <w:p w14:paraId="7E0024DC" w14:textId="77777777" w:rsidR="009A58DB" w:rsidRDefault="00000000">
      <w:pPr>
        <w:pStyle w:val="BodyText"/>
        <w:spacing w:before="139" w:line="249" w:lineRule="auto"/>
        <w:ind w:right="362"/>
      </w:pPr>
      <w:r>
        <w:t xml:space="preserve">Given these facts, the obvious judgment to make is that morality is </w:t>
      </w:r>
      <w:r>
        <w:rPr>
          <w:i/>
        </w:rPr>
        <w:t xml:space="preserve">not </w:t>
      </w:r>
      <w:r>
        <w:t xml:space="preserve">inherent in happiness. But such a judgment would be a shallow one. Being happy consists, at least in part, in judging that one’s life conforms to some ideal that one has and, therefore, that it is in compliance with some </w:t>
      </w:r>
      <w:r>
        <w:rPr>
          <w:i/>
        </w:rPr>
        <w:t xml:space="preserve">value. </w:t>
      </w:r>
      <w:r>
        <w:t xml:space="preserve">Happiness isn’t so much a feeling as it is a conviction that how one is coincides with how, relative to </w:t>
      </w:r>
      <w:r>
        <w:rPr>
          <w:i/>
        </w:rPr>
        <w:t xml:space="preserve">some </w:t>
      </w:r>
      <w:r>
        <w:t>value system or other, one should be. Thus, the concept of happiness must be understood at least partly in valuative terms. It is a moral concept.</w:t>
      </w:r>
    </w:p>
    <w:p w14:paraId="7E0024D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DE" w14:textId="77777777" w:rsidR="009A58DB" w:rsidRDefault="00000000">
      <w:pPr>
        <w:pStyle w:val="BodyText"/>
        <w:spacing w:before="65"/>
        <w:ind w:left="720"/>
        <w:jc w:val="left"/>
      </w:pPr>
      <w:r>
        <w:lastRenderedPageBreak/>
        <w:t>There</w:t>
      </w:r>
      <w:r>
        <w:rPr>
          <w:spacing w:val="17"/>
        </w:rPr>
        <w:t xml:space="preserve"> </w:t>
      </w:r>
      <w:r>
        <w:t>is</w:t>
      </w:r>
      <w:r>
        <w:rPr>
          <w:spacing w:val="19"/>
        </w:rPr>
        <w:t xml:space="preserve"> </w:t>
      </w:r>
      <w:r>
        <w:t>happiness</w:t>
      </w:r>
      <w:r>
        <w:rPr>
          <w:spacing w:val="20"/>
        </w:rPr>
        <w:t xml:space="preserve"> </w:t>
      </w:r>
      <w:r>
        <w:t>only</w:t>
      </w:r>
      <w:r>
        <w:rPr>
          <w:spacing w:val="19"/>
        </w:rPr>
        <w:t xml:space="preserve"> </w:t>
      </w:r>
      <w:r>
        <w:t>where</w:t>
      </w:r>
      <w:r>
        <w:rPr>
          <w:spacing w:val="20"/>
        </w:rPr>
        <w:t xml:space="preserve"> </w:t>
      </w:r>
      <w:r>
        <w:t>there</w:t>
      </w:r>
      <w:r>
        <w:rPr>
          <w:spacing w:val="19"/>
        </w:rPr>
        <w:t xml:space="preserve"> </w:t>
      </w:r>
      <w:r>
        <w:t>is</w:t>
      </w:r>
      <w:r>
        <w:rPr>
          <w:spacing w:val="19"/>
        </w:rPr>
        <w:t xml:space="preserve"> </w:t>
      </w:r>
      <w:r>
        <w:t>an</w:t>
      </w:r>
      <w:r>
        <w:rPr>
          <w:spacing w:val="20"/>
        </w:rPr>
        <w:t xml:space="preserve"> </w:t>
      </w:r>
      <w:r>
        <w:t>enduring</w:t>
      </w:r>
      <w:r>
        <w:rPr>
          <w:spacing w:val="19"/>
        </w:rPr>
        <w:t xml:space="preserve"> </w:t>
      </w:r>
      <w:r>
        <w:t>psychological</w:t>
      </w:r>
      <w:r>
        <w:rPr>
          <w:spacing w:val="20"/>
        </w:rPr>
        <w:t xml:space="preserve"> </w:t>
      </w:r>
      <w:r>
        <w:rPr>
          <w:spacing w:val="-2"/>
        </w:rPr>
        <w:t>subject</w:t>
      </w:r>
    </w:p>
    <w:p w14:paraId="7E0024DF" w14:textId="77777777" w:rsidR="009A58DB" w:rsidRDefault="00000000">
      <w:pPr>
        <w:pStyle w:val="BodyText"/>
        <w:spacing w:before="15" w:line="249" w:lineRule="auto"/>
        <w:ind w:right="358"/>
        <w:rPr>
          <w:position w:val="21"/>
        </w:rPr>
      </w:pPr>
      <w:r>
        <w:t>—a mere body is not enough. There is an enduring subject only where there</w:t>
      </w:r>
      <w:r>
        <w:rPr>
          <w:spacing w:val="40"/>
        </w:rPr>
        <w:t xml:space="preserve"> </w:t>
      </w:r>
      <w:r>
        <w:t>is a certain degree of self-consciousness</w:t>
      </w:r>
      <w:bookmarkStart w:id="506" w:name="_bookmark506"/>
      <w:bookmarkEnd w:id="506"/>
      <w:r>
        <w:t>.</w:t>
      </w:r>
      <w:r>
        <w:rPr>
          <w:color w:val="0562C1"/>
          <w:position w:val="21"/>
          <w:u w:val="single" w:color="0562C1"/>
        </w:rPr>
        <w:t>[376]</w:t>
      </w:r>
      <w:r>
        <w:rPr>
          <w:color w:val="0562C1"/>
          <w:position w:val="21"/>
        </w:rPr>
        <w:t xml:space="preserve"> </w:t>
      </w:r>
      <w:r>
        <w:t xml:space="preserve">More specifically, for there to be a subject—what Harry Frankfurt refers to as a </w:t>
      </w:r>
      <w:r>
        <w:rPr>
          <w:i/>
        </w:rPr>
        <w:t>person</w:t>
      </w:r>
      <w:r>
        <w:t>—there must be an alignment of higher-order desires with lower-order desires</w:t>
      </w:r>
      <w:bookmarkStart w:id="507" w:name="_bookmark507"/>
      <w:bookmarkEnd w:id="507"/>
      <w:r>
        <w:t>.</w:t>
      </w:r>
      <w:r>
        <w:rPr>
          <w:color w:val="0562C1"/>
          <w:position w:val="21"/>
          <w:u w:val="single" w:color="0562C1"/>
        </w:rPr>
        <w:t>[377]</w:t>
      </w:r>
    </w:p>
    <w:p w14:paraId="7E0024E0" w14:textId="77777777" w:rsidR="009A58DB" w:rsidRDefault="00000000">
      <w:pPr>
        <w:pStyle w:val="BodyText"/>
        <w:spacing w:before="5" w:line="249" w:lineRule="auto"/>
        <w:ind w:right="358" w:firstLine="360"/>
      </w:pPr>
      <w:r>
        <w:t xml:space="preserve">You have a flabby, pitiful physique. If you go for a jog right now, you’ll trim down. If you eat a bucket of ice cream, you’ll flab out. You give into lassitude and eat the ice cream. You’re ashamed. The fact that you’re ashamed means that, in your own eyes, you’ve done something wrong. You’ve fallen short of an ideal. You’ve failed to live up to your own </w:t>
      </w:r>
      <w:r>
        <w:rPr>
          <w:i/>
        </w:rPr>
        <w:t xml:space="preserve">values, </w:t>
      </w:r>
      <w:r>
        <w:t>and you are thus unhappy. (In any case, you’re unhappy vis-à-vis this particular situation, though perhaps not in general.)</w:t>
      </w:r>
    </w:p>
    <w:p w14:paraId="7E0024E1" w14:textId="77777777" w:rsidR="009A58DB" w:rsidRDefault="00000000">
      <w:pPr>
        <w:pStyle w:val="BodyText"/>
        <w:spacing w:before="8" w:line="249" w:lineRule="auto"/>
        <w:ind w:right="366" w:firstLine="360"/>
      </w:pPr>
      <w:r>
        <w:t>To move forward, let’s modify the story just told. As before, you want a trim physique and are confronted with the same choice as before. But this time, you go for the jog. You are proud of yourself, and you’re also delighted at the fact that, thanks to your self-control, you are that much closer to your objective. You are happy (vis-à-vis this situation).</w:t>
      </w:r>
    </w:p>
    <w:p w14:paraId="7E0024E2" w14:textId="77777777" w:rsidR="009A58DB" w:rsidRDefault="00000000">
      <w:pPr>
        <w:pStyle w:val="BodyText"/>
        <w:spacing w:before="6" w:line="249" w:lineRule="auto"/>
        <w:ind w:right="365" w:firstLine="360"/>
      </w:pPr>
      <w:r>
        <w:t xml:space="preserve">Thus, it is only to the extent that a creature </w:t>
      </w:r>
      <w:r>
        <w:rPr>
          <w:i/>
        </w:rPr>
        <w:t xml:space="preserve">values </w:t>
      </w:r>
      <w:r>
        <w:t xml:space="preserve">things that it makes sense to describe it as happy or unhappy. Anything that values anything </w:t>
      </w:r>
      <w:r>
        <w:rPr>
          <w:i/>
        </w:rPr>
        <w:t>ipso facto</w:t>
      </w:r>
      <w:r>
        <w:rPr>
          <w:i/>
          <w:spacing w:val="80"/>
        </w:rPr>
        <w:t xml:space="preserve"> </w:t>
      </w:r>
      <w:r>
        <w:t>has a value system and thus a morality. And to be happy, a creature must not only have such a value system, but comply with it.</w:t>
      </w:r>
    </w:p>
    <w:p w14:paraId="7E0024E3" w14:textId="77777777" w:rsidR="009A58DB" w:rsidRDefault="00000000">
      <w:pPr>
        <w:pStyle w:val="BodyText"/>
        <w:spacing w:before="5" w:line="249" w:lineRule="auto"/>
        <w:ind w:right="365" w:firstLine="360"/>
      </w:pPr>
      <w:r>
        <w:t>This</w:t>
      </w:r>
      <w:r>
        <w:rPr>
          <w:spacing w:val="-1"/>
        </w:rPr>
        <w:t xml:space="preserve"> </w:t>
      </w:r>
      <w:r>
        <w:t>doesn’t</w:t>
      </w:r>
      <w:r>
        <w:rPr>
          <w:spacing w:val="-1"/>
        </w:rPr>
        <w:t xml:space="preserve"> </w:t>
      </w:r>
      <w:r>
        <w:t>mean</w:t>
      </w:r>
      <w:r>
        <w:rPr>
          <w:spacing w:val="-1"/>
        </w:rPr>
        <w:t xml:space="preserve"> </w:t>
      </w:r>
      <w:r>
        <w:t>that,</w:t>
      </w:r>
      <w:r>
        <w:rPr>
          <w:spacing w:val="-1"/>
        </w:rPr>
        <w:t xml:space="preserve"> </w:t>
      </w:r>
      <w:r>
        <w:t>in</w:t>
      </w:r>
      <w:r>
        <w:rPr>
          <w:spacing w:val="-1"/>
        </w:rPr>
        <w:t xml:space="preserve"> </w:t>
      </w:r>
      <w:r>
        <w:t>order</w:t>
      </w:r>
      <w:r>
        <w:rPr>
          <w:spacing w:val="-1"/>
        </w:rPr>
        <w:t xml:space="preserve"> </w:t>
      </w:r>
      <w:r>
        <w:t>to</w:t>
      </w:r>
      <w:r>
        <w:rPr>
          <w:spacing w:val="-1"/>
        </w:rPr>
        <w:t xml:space="preserve"> </w:t>
      </w:r>
      <w:r>
        <w:t>be</w:t>
      </w:r>
      <w:r>
        <w:rPr>
          <w:spacing w:val="-1"/>
        </w:rPr>
        <w:t xml:space="preserve"> </w:t>
      </w:r>
      <w:r>
        <w:t>happy,</w:t>
      </w:r>
      <w:r>
        <w:rPr>
          <w:spacing w:val="-1"/>
        </w:rPr>
        <w:t xml:space="preserve"> </w:t>
      </w:r>
      <w:r>
        <w:t>one</w:t>
      </w:r>
      <w:r>
        <w:rPr>
          <w:spacing w:val="-1"/>
        </w:rPr>
        <w:t xml:space="preserve"> </w:t>
      </w:r>
      <w:r>
        <w:t>must</w:t>
      </w:r>
      <w:r>
        <w:rPr>
          <w:spacing w:val="-1"/>
        </w:rPr>
        <w:t xml:space="preserve"> </w:t>
      </w:r>
      <w:r>
        <w:t>comply</w:t>
      </w:r>
      <w:r>
        <w:rPr>
          <w:spacing w:val="-1"/>
        </w:rPr>
        <w:t xml:space="preserve"> </w:t>
      </w:r>
      <w:r>
        <w:t>with</w:t>
      </w:r>
      <w:r>
        <w:rPr>
          <w:spacing w:val="-1"/>
        </w:rPr>
        <w:t xml:space="preserve"> </w:t>
      </w:r>
      <w:r>
        <w:rPr>
          <w:i/>
        </w:rPr>
        <w:t>all</w:t>
      </w:r>
      <w:r>
        <w:rPr>
          <w:i/>
          <w:spacing w:val="-4"/>
        </w:rPr>
        <w:t xml:space="preserve"> </w:t>
      </w:r>
      <w:r>
        <w:t xml:space="preserve">the value systems that one countenances. Any non-sociopathic human being sincerely countenances many values that he couldn’t comply with completely without obliterating any chance of being happy. But a given creature’s condition is one of happiness, as opposed to mere pleasantness, </w:t>
      </w:r>
      <w:r>
        <w:rPr>
          <w:i/>
        </w:rPr>
        <w:t xml:space="preserve">only </w:t>
      </w:r>
      <w:r>
        <w:t>if it’s living</w:t>
      </w:r>
      <w:r>
        <w:rPr>
          <w:spacing w:val="-3"/>
        </w:rPr>
        <w:t xml:space="preserve"> </w:t>
      </w:r>
      <w:r>
        <w:t>up</w:t>
      </w:r>
      <w:r>
        <w:rPr>
          <w:spacing w:val="-3"/>
        </w:rPr>
        <w:t xml:space="preserve"> </w:t>
      </w:r>
      <w:r>
        <w:t>to</w:t>
      </w:r>
      <w:r>
        <w:rPr>
          <w:spacing w:val="-3"/>
        </w:rPr>
        <w:t xml:space="preserve"> </w:t>
      </w:r>
      <w:r>
        <w:t>certain</w:t>
      </w:r>
      <w:r>
        <w:rPr>
          <w:spacing w:val="-3"/>
        </w:rPr>
        <w:t xml:space="preserve"> </w:t>
      </w:r>
      <w:r>
        <w:t>values</w:t>
      </w:r>
      <w:r>
        <w:rPr>
          <w:spacing w:val="-4"/>
        </w:rPr>
        <w:t xml:space="preserve"> </w:t>
      </w:r>
      <w:r>
        <w:t>that</w:t>
      </w:r>
      <w:r>
        <w:rPr>
          <w:spacing w:val="-4"/>
        </w:rPr>
        <w:t xml:space="preserve"> </w:t>
      </w:r>
      <w:r>
        <w:t>it</w:t>
      </w:r>
      <w:r>
        <w:rPr>
          <w:spacing w:val="-4"/>
        </w:rPr>
        <w:t xml:space="preserve"> </w:t>
      </w:r>
      <w:r>
        <w:t>has;</w:t>
      </w:r>
      <w:r>
        <w:rPr>
          <w:spacing w:val="-4"/>
        </w:rPr>
        <w:t xml:space="preserve"> </w:t>
      </w:r>
      <w:r>
        <w:t>and</w:t>
      </w:r>
      <w:r>
        <w:rPr>
          <w:spacing w:val="-3"/>
        </w:rPr>
        <w:t xml:space="preserve"> </w:t>
      </w:r>
      <w:r>
        <w:t>such</w:t>
      </w:r>
      <w:r>
        <w:rPr>
          <w:spacing w:val="-3"/>
        </w:rPr>
        <w:t xml:space="preserve"> </w:t>
      </w:r>
      <w:r>
        <w:t>a</w:t>
      </w:r>
      <w:r>
        <w:rPr>
          <w:spacing w:val="-4"/>
        </w:rPr>
        <w:t xml:space="preserve"> </w:t>
      </w:r>
      <w:r>
        <w:t>creature’s</w:t>
      </w:r>
      <w:r>
        <w:rPr>
          <w:spacing w:val="-4"/>
        </w:rPr>
        <w:t xml:space="preserve"> </w:t>
      </w:r>
      <w:r>
        <w:t>condition</w:t>
      </w:r>
      <w:r>
        <w:rPr>
          <w:spacing w:val="-3"/>
        </w:rPr>
        <w:t xml:space="preserve"> </w:t>
      </w:r>
      <w:r>
        <w:t>is</w:t>
      </w:r>
      <w:r>
        <w:rPr>
          <w:spacing w:val="-4"/>
        </w:rPr>
        <w:t xml:space="preserve"> </w:t>
      </w:r>
      <w:r>
        <w:t>one</w:t>
      </w:r>
      <w:r>
        <w:rPr>
          <w:spacing w:val="-4"/>
        </w:rPr>
        <w:t xml:space="preserve"> </w:t>
      </w:r>
      <w:r>
        <w:t xml:space="preserve">of unhappiness, as opposed to mere unpleasantness, </w:t>
      </w:r>
      <w:r>
        <w:rPr>
          <w:i/>
        </w:rPr>
        <w:t xml:space="preserve">only </w:t>
      </w:r>
      <w:r>
        <w:t>if it is falling short of certain values that it has.</w:t>
      </w:r>
    </w:p>
    <w:p w14:paraId="7E0024E4" w14:textId="77777777" w:rsidR="009A58DB" w:rsidRDefault="00000000">
      <w:pPr>
        <w:pStyle w:val="Heading1"/>
        <w:numPr>
          <w:ilvl w:val="1"/>
          <w:numId w:val="56"/>
        </w:numPr>
        <w:tabs>
          <w:tab w:val="left" w:pos="1918"/>
        </w:tabs>
        <w:spacing w:before="198" w:line="244" w:lineRule="auto"/>
        <w:ind w:right="361" w:firstLine="0"/>
      </w:pPr>
      <w:r>
        <w:t>Necessary</w:t>
      </w:r>
      <w:r>
        <w:rPr>
          <w:spacing w:val="40"/>
        </w:rPr>
        <w:t xml:space="preserve"> </w:t>
      </w:r>
      <w:r>
        <w:t>versus</w:t>
      </w:r>
      <w:r>
        <w:rPr>
          <w:spacing w:val="40"/>
        </w:rPr>
        <w:t xml:space="preserve"> </w:t>
      </w:r>
      <w:r>
        <w:t>sufficient</w:t>
      </w:r>
      <w:r>
        <w:rPr>
          <w:spacing w:val="40"/>
        </w:rPr>
        <w:t xml:space="preserve"> </w:t>
      </w:r>
      <w:r>
        <w:t>conditions</w:t>
      </w:r>
      <w:r>
        <w:rPr>
          <w:spacing w:val="40"/>
        </w:rPr>
        <w:t xml:space="preserve"> </w:t>
      </w:r>
      <w:r>
        <w:t xml:space="preserve">for </w:t>
      </w:r>
      <w:r>
        <w:rPr>
          <w:spacing w:val="-2"/>
        </w:rPr>
        <w:t>happiness</w:t>
      </w:r>
    </w:p>
    <w:p w14:paraId="7E0024E5" w14:textId="77777777" w:rsidR="009A58DB" w:rsidRDefault="00000000">
      <w:pPr>
        <w:pStyle w:val="BodyText"/>
        <w:spacing w:before="132"/>
      </w:pPr>
      <w:r>
        <w:t>In</w:t>
      </w:r>
      <w:r>
        <w:rPr>
          <w:spacing w:val="-4"/>
        </w:rPr>
        <w:t xml:space="preserve"> </w:t>
      </w:r>
      <w:r>
        <w:t>order</w:t>
      </w:r>
      <w:r>
        <w:rPr>
          <w:spacing w:val="-2"/>
        </w:rPr>
        <w:t xml:space="preserve"> </w:t>
      </w:r>
      <w:r>
        <w:t>to</w:t>
      </w:r>
      <w:r>
        <w:rPr>
          <w:spacing w:val="-1"/>
        </w:rPr>
        <w:t xml:space="preserve"> </w:t>
      </w:r>
      <w:r>
        <w:t>be</w:t>
      </w:r>
      <w:r>
        <w:rPr>
          <w:spacing w:val="-2"/>
        </w:rPr>
        <w:t xml:space="preserve"> </w:t>
      </w:r>
      <w:r>
        <w:t>happy,</w:t>
      </w:r>
      <w:r>
        <w:rPr>
          <w:spacing w:val="-1"/>
        </w:rPr>
        <w:t xml:space="preserve"> </w:t>
      </w:r>
      <w:r>
        <w:t>is</w:t>
      </w:r>
      <w:r>
        <w:rPr>
          <w:spacing w:val="-2"/>
        </w:rPr>
        <w:t xml:space="preserve"> </w:t>
      </w:r>
      <w:r>
        <w:t>it</w:t>
      </w:r>
      <w:r>
        <w:rPr>
          <w:spacing w:val="-2"/>
        </w:rPr>
        <w:t xml:space="preserve"> </w:t>
      </w:r>
      <w:r>
        <w:t>enough</w:t>
      </w:r>
      <w:r>
        <w:rPr>
          <w:spacing w:val="-1"/>
        </w:rPr>
        <w:t xml:space="preserve"> </w:t>
      </w:r>
      <w:r>
        <w:t>that</w:t>
      </w:r>
      <w:r>
        <w:rPr>
          <w:spacing w:val="-2"/>
        </w:rPr>
        <w:t xml:space="preserve"> </w:t>
      </w:r>
      <w:r>
        <w:t>one</w:t>
      </w:r>
      <w:r>
        <w:rPr>
          <w:spacing w:val="-2"/>
        </w:rPr>
        <w:t xml:space="preserve"> </w:t>
      </w:r>
      <w:r>
        <w:t>live</w:t>
      </w:r>
      <w:r>
        <w:rPr>
          <w:spacing w:val="-2"/>
        </w:rPr>
        <w:t xml:space="preserve"> </w:t>
      </w:r>
      <w:r>
        <w:t>up</w:t>
      </w:r>
      <w:r>
        <w:rPr>
          <w:spacing w:val="-1"/>
        </w:rPr>
        <w:t xml:space="preserve"> </w:t>
      </w:r>
      <w:r>
        <w:t>to</w:t>
      </w:r>
      <w:r>
        <w:rPr>
          <w:spacing w:val="-1"/>
        </w:rPr>
        <w:t xml:space="preserve"> </w:t>
      </w:r>
      <w:r>
        <w:t>one’s</w:t>
      </w:r>
      <w:r>
        <w:rPr>
          <w:spacing w:val="-2"/>
        </w:rPr>
        <w:t xml:space="preserve"> values?</w:t>
      </w:r>
    </w:p>
    <w:p w14:paraId="7E0024E6" w14:textId="77777777" w:rsidR="009A58DB" w:rsidRDefault="00000000">
      <w:pPr>
        <w:pStyle w:val="BodyText"/>
        <w:spacing w:before="15"/>
      </w:pPr>
      <w:r>
        <w:t>Yes.</w:t>
      </w:r>
      <w:r>
        <w:rPr>
          <w:spacing w:val="18"/>
        </w:rPr>
        <w:t xml:space="preserve"> </w:t>
      </w:r>
      <w:r>
        <w:t>But</w:t>
      </w:r>
      <w:r>
        <w:rPr>
          <w:spacing w:val="18"/>
        </w:rPr>
        <w:t xml:space="preserve"> </w:t>
      </w:r>
      <w:r>
        <w:t>it’s</w:t>
      </w:r>
      <w:r>
        <w:rPr>
          <w:spacing w:val="19"/>
        </w:rPr>
        <w:t xml:space="preserve"> </w:t>
      </w:r>
      <w:r>
        <w:t>easy</w:t>
      </w:r>
      <w:r>
        <w:rPr>
          <w:spacing w:val="18"/>
        </w:rPr>
        <w:t xml:space="preserve"> </w:t>
      </w:r>
      <w:r>
        <w:t>to</w:t>
      </w:r>
      <w:r>
        <w:rPr>
          <w:spacing w:val="18"/>
        </w:rPr>
        <w:t xml:space="preserve"> </w:t>
      </w:r>
      <w:r>
        <w:t>see</w:t>
      </w:r>
      <w:r>
        <w:rPr>
          <w:spacing w:val="19"/>
        </w:rPr>
        <w:t xml:space="preserve"> </w:t>
      </w:r>
      <w:r>
        <w:t>why</w:t>
      </w:r>
      <w:r>
        <w:rPr>
          <w:spacing w:val="18"/>
        </w:rPr>
        <w:t xml:space="preserve"> </w:t>
      </w:r>
      <w:r>
        <w:t>one</w:t>
      </w:r>
      <w:r>
        <w:rPr>
          <w:spacing w:val="18"/>
        </w:rPr>
        <w:t xml:space="preserve"> </w:t>
      </w:r>
      <w:r>
        <w:t>might</w:t>
      </w:r>
      <w:r>
        <w:rPr>
          <w:spacing w:val="19"/>
        </w:rPr>
        <w:t xml:space="preserve"> </w:t>
      </w:r>
      <w:r>
        <w:t>initially</w:t>
      </w:r>
      <w:r>
        <w:rPr>
          <w:spacing w:val="18"/>
        </w:rPr>
        <w:t xml:space="preserve"> </w:t>
      </w:r>
      <w:r>
        <w:t>think</w:t>
      </w:r>
      <w:r>
        <w:rPr>
          <w:spacing w:val="18"/>
        </w:rPr>
        <w:t xml:space="preserve"> </w:t>
      </w:r>
      <w:r>
        <w:t>otherwise.</w:t>
      </w:r>
      <w:r>
        <w:rPr>
          <w:spacing w:val="19"/>
        </w:rPr>
        <w:t xml:space="preserve"> </w:t>
      </w:r>
      <w:r>
        <w:rPr>
          <w:spacing w:val="-2"/>
        </w:rPr>
        <w:t>Happiness</w:t>
      </w:r>
    </w:p>
    <w:p w14:paraId="7E0024E7" w14:textId="77777777" w:rsidR="009A58DB" w:rsidRDefault="009A58DB">
      <w:pPr>
        <w:pStyle w:val="BodyText"/>
        <w:sectPr w:rsidR="009A58DB">
          <w:pgSz w:w="12240" w:h="15840"/>
          <w:pgMar w:top="1380" w:right="1080" w:bottom="280" w:left="1080" w:header="720" w:footer="720" w:gutter="0"/>
          <w:cols w:space="720"/>
        </w:sectPr>
      </w:pPr>
    </w:p>
    <w:p w14:paraId="7E0024E8" w14:textId="77777777" w:rsidR="009A58DB" w:rsidRDefault="00000000">
      <w:pPr>
        <w:pStyle w:val="BodyText"/>
        <w:spacing w:before="60" w:line="249" w:lineRule="auto"/>
        <w:ind w:right="364"/>
      </w:pPr>
      <w:r>
        <w:lastRenderedPageBreak/>
        <w:t xml:space="preserve">is partly based on what one </w:t>
      </w:r>
      <w:r>
        <w:rPr>
          <w:i/>
        </w:rPr>
        <w:t xml:space="preserve">does </w:t>
      </w:r>
      <w:r>
        <w:t xml:space="preserve">and, therefore, on things that are within one’s control. But it’s also based on things that aren’t always in one’s control (e.g., one’s physical health). Being happy involves </w:t>
      </w:r>
      <w:r>
        <w:rPr>
          <w:i/>
        </w:rPr>
        <w:t>behaving</w:t>
      </w:r>
      <w:r>
        <w:rPr>
          <w:i/>
          <w:spacing w:val="-3"/>
        </w:rPr>
        <w:t xml:space="preserve"> </w:t>
      </w:r>
      <w:r>
        <w:t>in ways that one approves</w:t>
      </w:r>
      <w:r>
        <w:rPr>
          <w:spacing w:val="-4"/>
        </w:rPr>
        <w:t xml:space="preserve"> </w:t>
      </w:r>
      <w:r>
        <w:t>of—it</w:t>
      </w:r>
      <w:r>
        <w:rPr>
          <w:spacing w:val="-4"/>
        </w:rPr>
        <w:t xml:space="preserve"> </w:t>
      </w:r>
      <w:r>
        <w:t>involves</w:t>
      </w:r>
      <w:r>
        <w:rPr>
          <w:spacing w:val="-4"/>
        </w:rPr>
        <w:t xml:space="preserve"> </w:t>
      </w:r>
      <w:r>
        <w:rPr>
          <w:i/>
        </w:rPr>
        <w:t>doing</w:t>
      </w:r>
      <w:r>
        <w:rPr>
          <w:i/>
          <w:spacing w:val="-4"/>
        </w:rPr>
        <w:t xml:space="preserve"> </w:t>
      </w:r>
      <w:r>
        <w:t xml:space="preserve">the things that one believes it important to do. But it also involves </w:t>
      </w:r>
      <w:r>
        <w:rPr>
          <w:i/>
        </w:rPr>
        <w:t xml:space="preserve">being </w:t>
      </w:r>
      <w:r>
        <w:t>the way one wants to be, and it isn’t always up to one to be, or not to be, in the requisite ways.</w:t>
      </w:r>
    </w:p>
    <w:p w14:paraId="7E0024E9" w14:textId="77777777" w:rsidR="009A58DB" w:rsidRDefault="00000000">
      <w:pPr>
        <w:pStyle w:val="BodyText"/>
        <w:spacing w:before="12" w:line="249" w:lineRule="auto"/>
        <w:ind w:right="359" w:firstLine="360"/>
      </w:pPr>
      <w:r>
        <w:t>Smith is a great novelist who has fully capitalized on his talent. But, through no fault of his own, he has a terrible, chronic illness, which causes him constant pain. Is Smith happy? No. Is that because our analysis of happiness is wrong? Is that because we were wrong to identify happiness</w:t>
      </w:r>
      <w:r>
        <w:rPr>
          <w:spacing w:val="40"/>
        </w:rPr>
        <w:t xml:space="preserve"> </w:t>
      </w:r>
      <w:r>
        <w:t>with a condition in one’s actual self is in alignment with one’s idealized self? No.</w:t>
      </w:r>
      <w:r>
        <w:rPr>
          <w:spacing w:val="-1"/>
        </w:rPr>
        <w:t xml:space="preserve"> </w:t>
      </w:r>
      <w:r>
        <w:t>It’s</w:t>
      </w:r>
      <w:r>
        <w:rPr>
          <w:spacing w:val="-1"/>
        </w:rPr>
        <w:t xml:space="preserve"> </w:t>
      </w:r>
      <w:r>
        <w:t>because</w:t>
      </w:r>
      <w:r>
        <w:rPr>
          <w:spacing w:val="-1"/>
        </w:rPr>
        <w:t xml:space="preserve"> </w:t>
      </w:r>
      <w:r>
        <w:t>that</w:t>
      </w:r>
      <w:r>
        <w:rPr>
          <w:spacing w:val="-2"/>
        </w:rPr>
        <w:t xml:space="preserve"> </w:t>
      </w:r>
      <w:r>
        <w:t>alignment</w:t>
      </w:r>
      <w:r>
        <w:rPr>
          <w:spacing w:val="-2"/>
        </w:rPr>
        <w:t xml:space="preserve"> </w:t>
      </w:r>
      <w:r>
        <w:t>depends,</w:t>
      </w:r>
      <w:r>
        <w:rPr>
          <w:spacing w:val="-1"/>
        </w:rPr>
        <w:t xml:space="preserve"> </w:t>
      </w:r>
      <w:r>
        <w:t>not</w:t>
      </w:r>
      <w:r>
        <w:rPr>
          <w:spacing w:val="-1"/>
        </w:rPr>
        <w:t xml:space="preserve"> </w:t>
      </w:r>
      <w:r>
        <w:rPr>
          <w:i/>
        </w:rPr>
        <w:t>just</w:t>
      </w:r>
      <w:r>
        <w:rPr>
          <w:i/>
          <w:spacing w:val="-4"/>
        </w:rPr>
        <w:t xml:space="preserve"> </w:t>
      </w:r>
      <w:r>
        <w:t>on</w:t>
      </w:r>
      <w:r>
        <w:rPr>
          <w:spacing w:val="-1"/>
        </w:rPr>
        <w:t xml:space="preserve"> </w:t>
      </w:r>
      <w:r>
        <w:t>one’s actions, but</w:t>
      </w:r>
      <w:r>
        <w:rPr>
          <w:spacing w:val="-1"/>
        </w:rPr>
        <w:t xml:space="preserve"> </w:t>
      </w:r>
      <w:r>
        <w:t>also</w:t>
      </w:r>
      <w:r>
        <w:rPr>
          <w:spacing w:val="-1"/>
        </w:rPr>
        <w:t xml:space="preserve"> </w:t>
      </w:r>
      <w:r>
        <w:t>on things that one may not be able to control (e.g., physical health).</w:t>
      </w:r>
    </w:p>
    <w:p w14:paraId="7E0024EA" w14:textId="77777777" w:rsidR="009A58DB" w:rsidRDefault="00000000">
      <w:pPr>
        <w:pStyle w:val="BodyText"/>
        <w:spacing w:before="9" w:line="249" w:lineRule="auto"/>
        <w:ind w:right="357" w:firstLine="360"/>
      </w:pPr>
      <w:r>
        <w:t xml:space="preserve">So, while it is a fact that one must feel good to be happy, this is perfectly </w:t>
      </w:r>
      <w:r>
        <w:rPr>
          <w:spacing w:val="-2"/>
        </w:rPr>
        <w:t>consistent</w:t>
      </w:r>
      <w:r>
        <w:rPr>
          <w:spacing w:val="-17"/>
        </w:rPr>
        <w:t xml:space="preserve"> </w:t>
      </w:r>
      <w:r>
        <w:rPr>
          <w:spacing w:val="-2"/>
        </w:rPr>
        <w:t>with</w:t>
      </w:r>
      <w:r>
        <w:rPr>
          <w:spacing w:val="-17"/>
        </w:rPr>
        <w:t xml:space="preserve"> </w:t>
      </w:r>
      <w:r>
        <w:rPr>
          <w:spacing w:val="-2"/>
        </w:rPr>
        <w:t>our</w:t>
      </w:r>
      <w:r>
        <w:rPr>
          <w:spacing w:val="-15"/>
        </w:rPr>
        <w:t xml:space="preserve"> </w:t>
      </w:r>
      <w:r>
        <w:rPr>
          <w:spacing w:val="-2"/>
        </w:rPr>
        <w:t>analysis.</w:t>
      </w:r>
      <w:r>
        <w:rPr>
          <w:spacing w:val="-17"/>
        </w:rPr>
        <w:t xml:space="preserve"> </w:t>
      </w:r>
      <w:r>
        <w:rPr>
          <w:spacing w:val="-2"/>
        </w:rPr>
        <w:t>According</w:t>
      </w:r>
      <w:r>
        <w:rPr>
          <w:spacing w:val="-14"/>
        </w:rPr>
        <w:t xml:space="preserve"> </w:t>
      </w:r>
      <w:r>
        <w:rPr>
          <w:spacing w:val="-2"/>
        </w:rPr>
        <w:t>to</w:t>
      </w:r>
      <w:r>
        <w:rPr>
          <w:spacing w:val="-14"/>
        </w:rPr>
        <w:t xml:space="preserve"> </w:t>
      </w:r>
      <w:r>
        <w:rPr>
          <w:spacing w:val="-2"/>
        </w:rPr>
        <w:t>that</w:t>
      </w:r>
      <w:r>
        <w:rPr>
          <w:spacing w:val="-14"/>
        </w:rPr>
        <w:t xml:space="preserve"> </w:t>
      </w:r>
      <w:r>
        <w:rPr>
          <w:spacing w:val="-2"/>
        </w:rPr>
        <w:t>analysis,</w:t>
      </w:r>
      <w:r>
        <w:rPr>
          <w:spacing w:val="-14"/>
        </w:rPr>
        <w:t xml:space="preserve"> </w:t>
      </w:r>
      <w:r>
        <w:rPr>
          <w:spacing w:val="-2"/>
        </w:rPr>
        <w:t>being</w:t>
      </w:r>
      <w:r>
        <w:rPr>
          <w:spacing w:val="-14"/>
        </w:rPr>
        <w:t xml:space="preserve"> </w:t>
      </w:r>
      <w:r>
        <w:rPr>
          <w:spacing w:val="-2"/>
        </w:rPr>
        <w:t>happy</w:t>
      </w:r>
      <w:r>
        <w:rPr>
          <w:spacing w:val="-14"/>
        </w:rPr>
        <w:t xml:space="preserve"> </w:t>
      </w:r>
      <w:r>
        <w:rPr>
          <w:spacing w:val="-2"/>
        </w:rPr>
        <w:t>is</w:t>
      </w:r>
      <w:r>
        <w:rPr>
          <w:spacing w:val="-14"/>
        </w:rPr>
        <w:t xml:space="preserve"> </w:t>
      </w:r>
      <w:r>
        <w:rPr>
          <w:spacing w:val="-2"/>
        </w:rPr>
        <w:t xml:space="preserve">identical </w:t>
      </w:r>
      <w:r>
        <w:rPr>
          <w:spacing w:val="-6"/>
        </w:rPr>
        <w:t>with,</w:t>
      </w:r>
      <w:r>
        <w:rPr>
          <w:spacing w:val="-8"/>
        </w:rPr>
        <w:t xml:space="preserve"> </w:t>
      </w:r>
      <w:r>
        <w:rPr>
          <w:spacing w:val="-6"/>
        </w:rPr>
        <w:t>or</w:t>
      </w:r>
      <w:r>
        <w:rPr>
          <w:spacing w:val="-8"/>
        </w:rPr>
        <w:t xml:space="preserve"> </w:t>
      </w:r>
      <w:r>
        <w:rPr>
          <w:spacing w:val="-6"/>
        </w:rPr>
        <w:t>at</w:t>
      </w:r>
      <w:r>
        <w:rPr>
          <w:spacing w:val="-8"/>
        </w:rPr>
        <w:t xml:space="preserve"> </w:t>
      </w:r>
      <w:r>
        <w:rPr>
          <w:spacing w:val="-6"/>
        </w:rPr>
        <w:t>least</w:t>
      </w:r>
      <w:r>
        <w:rPr>
          <w:spacing w:val="-8"/>
        </w:rPr>
        <w:t xml:space="preserve"> </w:t>
      </w:r>
      <w:r>
        <w:rPr>
          <w:spacing w:val="-6"/>
        </w:rPr>
        <w:t>involves,</w:t>
      </w:r>
      <w:r>
        <w:rPr>
          <w:spacing w:val="-8"/>
        </w:rPr>
        <w:t xml:space="preserve"> </w:t>
      </w:r>
      <w:r>
        <w:rPr>
          <w:spacing w:val="-6"/>
        </w:rPr>
        <w:t>having</w:t>
      </w:r>
      <w:r>
        <w:rPr>
          <w:spacing w:val="-8"/>
        </w:rPr>
        <w:t xml:space="preserve"> </w:t>
      </w:r>
      <w:r>
        <w:rPr>
          <w:spacing w:val="-6"/>
        </w:rPr>
        <w:t>the</w:t>
      </w:r>
      <w:r>
        <w:rPr>
          <w:spacing w:val="-8"/>
        </w:rPr>
        <w:t xml:space="preserve"> </w:t>
      </w:r>
      <w:r>
        <w:rPr>
          <w:spacing w:val="-6"/>
        </w:rPr>
        <w:t>conviction</w:t>
      </w:r>
      <w:r>
        <w:rPr>
          <w:spacing w:val="-8"/>
        </w:rPr>
        <w:t xml:space="preserve"> </w:t>
      </w:r>
      <w:r>
        <w:rPr>
          <w:spacing w:val="-6"/>
        </w:rPr>
        <w:t>that</w:t>
      </w:r>
      <w:r>
        <w:rPr>
          <w:spacing w:val="-8"/>
        </w:rPr>
        <w:t xml:space="preserve"> </w:t>
      </w:r>
      <w:r>
        <w:rPr>
          <w:spacing w:val="-6"/>
        </w:rPr>
        <w:t>one</w:t>
      </w:r>
      <w:r>
        <w:rPr>
          <w:spacing w:val="-8"/>
        </w:rPr>
        <w:t xml:space="preserve"> </w:t>
      </w:r>
      <w:r>
        <w:rPr>
          <w:spacing w:val="-6"/>
        </w:rPr>
        <w:t>is</w:t>
      </w:r>
      <w:r>
        <w:rPr>
          <w:spacing w:val="-8"/>
        </w:rPr>
        <w:t xml:space="preserve"> </w:t>
      </w:r>
      <w:r>
        <w:rPr>
          <w:spacing w:val="-6"/>
        </w:rPr>
        <w:t>as</w:t>
      </w:r>
      <w:r>
        <w:rPr>
          <w:spacing w:val="-8"/>
        </w:rPr>
        <w:t xml:space="preserve"> </w:t>
      </w:r>
      <w:r>
        <w:rPr>
          <w:spacing w:val="-6"/>
        </w:rPr>
        <w:t>one</w:t>
      </w:r>
      <w:r>
        <w:rPr>
          <w:spacing w:val="-8"/>
        </w:rPr>
        <w:t xml:space="preserve"> </w:t>
      </w:r>
      <w:r>
        <w:rPr>
          <w:spacing w:val="-6"/>
        </w:rPr>
        <w:t>wants</w:t>
      </w:r>
      <w:r>
        <w:rPr>
          <w:spacing w:val="-8"/>
        </w:rPr>
        <w:t xml:space="preserve"> </w:t>
      </w:r>
      <w:r>
        <w:rPr>
          <w:spacing w:val="-6"/>
        </w:rPr>
        <w:t>oneself</w:t>
      </w:r>
      <w:r>
        <w:rPr>
          <w:spacing w:val="-8"/>
        </w:rPr>
        <w:t xml:space="preserve"> </w:t>
      </w:r>
      <w:r>
        <w:rPr>
          <w:spacing w:val="-6"/>
        </w:rPr>
        <w:t xml:space="preserve">to </w:t>
      </w:r>
      <w:r>
        <w:rPr>
          <w:spacing w:val="-2"/>
        </w:rPr>
        <w:t>be.</w:t>
      </w:r>
      <w:r>
        <w:rPr>
          <w:spacing w:val="-15"/>
        </w:rPr>
        <w:t xml:space="preserve"> </w:t>
      </w:r>
      <w:r>
        <w:rPr>
          <w:spacing w:val="-2"/>
        </w:rPr>
        <w:t>Smith</w:t>
      </w:r>
      <w:r>
        <w:rPr>
          <w:spacing w:val="-15"/>
        </w:rPr>
        <w:t xml:space="preserve"> </w:t>
      </w:r>
      <w:r>
        <w:rPr>
          <w:spacing w:val="-2"/>
        </w:rPr>
        <w:t>wants</w:t>
      </w:r>
      <w:r>
        <w:rPr>
          <w:spacing w:val="-15"/>
        </w:rPr>
        <w:t xml:space="preserve"> </w:t>
      </w:r>
      <w:r>
        <w:rPr>
          <w:spacing w:val="-2"/>
        </w:rPr>
        <w:t>his</w:t>
      </w:r>
      <w:r>
        <w:rPr>
          <w:spacing w:val="-15"/>
        </w:rPr>
        <w:t xml:space="preserve"> </w:t>
      </w:r>
      <w:r>
        <w:rPr>
          <w:spacing w:val="-2"/>
        </w:rPr>
        <w:t>body</w:t>
      </w:r>
      <w:r>
        <w:rPr>
          <w:spacing w:val="-15"/>
        </w:rPr>
        <w:t xml:space="preserve"> </w:t>
      </w:r>
      <w:r>
        <w:rPr>
          <w:spacing w:val="-2"/>
        </w:rPr>
        <w:t>to</w:t>
      </w:r>
      <w:r>
        <w:rPr>
          <w:spacing w:val="-15"/>
        </w:rPr>
        <w:t xml:space="preserve"> </w:t>
      </w:r>
      <w:r>
        <w:rPr>
          <w:spacing w:val="-2"/>
        </w:rPr>
        <w:t>be</w:t>
      </w:r>
      <w:r>
        <w:rPr>
          <w:spacing w:val="-15"/>
        </w:rPr>
        <w:t xml:space="preserve"> </w:t>
      </w:r>
      <w:r>
        <w:rPr>
          <w:spacing w:val="-2"/>
        </w:rPr>
        <w:t>healthy—but</w:t>
      </w:r>
      <w:r>
        <w:rPr>
          <w:spacing w:val="-15"/>
        </w:rPr>
        <w:t xml:space="preserve"> </w:t>
      </w:r>
      <w:r>
        <w:rPr>
          <w:spacing w:val="-2"/>
        </w:rPr>
        <w:t>his</w:t>
      </w:r>
      <w:r>
        <w:rPr>
          <w:spacing w:val="-15"/>
        </w:rPr>
        <w:t xml:space="preserve"> </w:t>
      </w:r>
      <w:r>
        <w:rPr>
          <w:spacing w:val="-2"/>
        </w:rPr>
        <w:t>body</w:t>
      </w:r>
      <w:r>
        <w:rPr>
          <w:spacing w:val="-15"/>
        </w:rPr>
        <w:t xml:space="preserve"> </w:t>
      </w:r>
      <w:r>
        <w:rPr>
          <w:spacing w:val="-2"/>
        </w:rPr>
        <w:t>isn’t</w:t>
      </w:r>
      <w:r>
        <w:rPr>
          <w:spacing w:val="-15"/>
        </w:rPr>
        <w:t xml:space="preserve"> </w:t>
      </w:r>
      <w:r>
        <w:rPr>
          <w:spacing w:val="-2"/>
        </w:rPr>
        <w:t>healthy.</w:t>
      </w:r>
      <w:r>
        <w:rPr>
          <w:spacing w:val="-15"/>
        </w:rPr>
        <w:t xml:space="preserve"> </w:t>
      </w:r>
      <w:r>
        <w:rPr>
          <w:spacing w:val="-2"/>
        </w:rPr>
        <w:t>He</w:t>
      </w:r>
      <w:r>
        <w:rPr>
          <w:spacing w:val="-15"/>
        </w:rPr>
        <w:t xml:space="preserve"> </w:t>
      </w:r>
      <w:r>
        <w:rPr>
          <w:spacing w:val="-2"/>
        </w:rPr>
        <w:t>wants</w:t>
      </w:r>
      <w:r>
        <w:rPr>
          <w:spacing w:val="-15"/>
        </w:rPr>
        <w:t xml:space="preserve"> </w:t>
      </w:r>
      <w:r>
        <w:rPr>
          <w:spacing w:val="-2"/>
        </w:rPr>
        <w:t>to</w:t>
      </w:r>
    </w:p>
    <w:p w14:paraId="7E0024E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4EC" w14:textId="77777777" w:rsidR="009A58DB" w:rsidRDefault="00000000">
      <w:pPr>
        <w:pStyle w:val="BodyText"/>
        <w:spacing w:before="65" w:line="249" w:lineRule="auto"/>
        <w:ind w:right="369"/>
      </w:pPr>
      <w:r>
        <w:lastRenderedPageBreak/>
        <w:t>be free of pain—but he’s wracked with pain.</w:t>
      </w:r>
      <w:bookmarkStart w:id="508" w:name="_bookmark508"/>
      <w:bookmarkEnd w:id="508"/>
      <w:r>
        <w:rPr>
          <w:color w:val="0562C1"/>
          <w:position w:val="21"/>
          <w:u w:val="single" w:color="0562C1"/>
        </w:rPr>
        <w:t>[378]</w:t>
      </w:r>
      <w:r>
        <w:rPr>
          <w:color w:val="0562C1"/>
          <w:position w:val="21"/>
        </w:rPr>
        <w:t xml:space="preserve"> </w:t>
      </w:r>
      <w:r>
        <w:t>So he falls short of his</w:t>
      </w:r>
      <w:r>
        <w:rPr>
          <w:spacing w:val="40"/>
        </w:rPr>
        <w:t xml:space="preserve"> </w:t>
      </w:r>
      <w:r>
        <w:t>own benchmarks. It’s irrelevant that it isn’t his fault.</w:t>
      </w:r>
    </w:p>
    <w:p w14:paraId="7E0024ED" w14:textId="77777777" w:rsidR="009A58DB" w:rsidRDefault="00000000">
      <w:pPr>
        <w:pStyle w:val="Heading1"/>
        <w:numPr>
          <w:ilvl w:val="1"/>
          <w:numId w:val="56"/>
        </w:numPr>
        <w:tabs>
          <w:tab w:val="left" w:pos="1080"/>
          <w:tab w:val="left" w:pos="1785"/>
        </w:tabs>
        <w:spacing w:before="190" w:line="244" w:lineRule="auto"/>
        <w:ind w:left="1080" w:right="359" w:hanging="720"/>
        <w:jc w:val="both"/>
      </w:pPr>
      <w:r>
        <w:tab/>
        <w:t xml:space="preserve">Happiness as an underlying structure that must be distinguished from the positive </w:t>
      </w:r>
      <w:r>
        <w:rPr>
          <w:i/>
        </w:rPr>
        <w:t xml:space="preserve">feelings </w:t>
      </w:r>
      <w:r>
        <w:t>to which it gives rise</w:t>
      </w:r>
    </w:p>
    <w:p w14:paraId="7E0024EE" w14:textId="77777777" w:rsidR="009A58DB" w:rsidRDefault="00000000">
      <w:pPr>
        <w:pStyle w:val="BodyText"/>
        <w:spacing w:before="134" w:line="249" w:lineRule="auto"/>
        <w:ind w:right="359"/>
      </w:pPr>
      <w:r>
        <w:t>One can be happy in some respects and unhappy in others. Smith is justly proud of his work and he finds his work exquisitely pleasurable. His constant physical</w:t>
      </w:r>
      <w:r>
        <w:rPr>
          <w:spacing w:val="-2"/>
        </w:rPr>
        <w:t xml:space="preserve"> </w:t>
      </w:r>
      <w:r>
        <w:t>pain</w:t>
      </w:r>
      <w:r>
        <w:rPr>
          <w:spacing w:val="-1"/>
        </w:rPr>
        <w:t xml:space="preserve"> </w:t>
      </w:r>
      <w:r>
        <w:t>obviously</w:t>
      </w:r>
      <w:r>
        <w:rPr>
          <w:spacing w:val="-1"/>
        </w:rPr>
        <w:t xml:space="preserve"> </w:t>
      </w:r>
      <w:r>
        <w:t>diminishes</w:t>
      </w:r>
      <w:r>
        <w:rPr>
          <w:spacing w:val="-1"/>
        </w:rPr>
        <w:t xml:space="preserve"> </w:t>
      </w:r>
      <w:r>
        <w:t>the</w:t>
      </w:r>
      <w:r>
        <w:rPr>
          <w:spacing w:val="-1"/>
        </w:rPr>
        <w:t xml:space="preserve"> </w:t>
      </w:r>
      <w:r>
        <w:t>quality</w:t>
      </w:r>
      <w:r>
        <w:rPr>
          <w:spacing w:val="-1"/>
        </w:rPr>
        <w:t xml:space="preserve"> </w:t>
      </w:r>
      <w:r>
        <w:t>of</w:t>
      </w:r>
      <w:r>
        <w:rPr>
          <w:spacing w:val="-1"/>
        </w:rPr>
        <w:t xml:space="preserve"> </w:t>
      </w:r>
      <w:r>
        <w:t>his</w:t>
      </w:r>
      <w:r>
        <w:rPr>
          <w:spacing w:val="-1"/>
        </w:rPr>
        <w:t xml:space="preserve"> </w:t>
      </w:r>
      <w:r>
        <w:t>life.</w:t>
      </w:r>
      <w:r>
        <w:rPr>
          <w:spacing w:val="-1"/>
        </w:rPr>
        <w:t xml:space="preserve"> </w:t>
      </w:r>
      <w:r>
        <w:t>But</w:t>
      </w:r>
      <w:r>
        <w:rPr>
          <w:spacing w:val="-1"/>
        </w:rPr>
        <w:t xml:space="preserve"> </w:t>
      </w:r>
      <w:r>
        <w:t>does</w:t>
      </w:r>
      <w:r>
        <w:rPr>
          <w:spacing w:val="-1"/>
        </w:rPr>
        <w:t xml:space="preserve"> </w:t>
      </w:r>
      <w:r>
        <w:t>it</w:t>
      </w:r>
      <w:r>
        <w:rPr>
          <w:spacing w:val="-1"/>
        </w:rPr>
        <w:t xml:space="preserve"> </w:t>
      </w:r>
      <w:r>
        <w:t>drain</w:t>
      </w:r>
      <w:r>
        <w:rPr>
          <w:spacing w:val="-1"/>
        </w:rPr>
        <w:t xml:space="preserve"> </w:t>
      </w:r>
      <w:r>
        <w:rPr>
          <w:i/>
        </w:rPr>
        <w:t xml:space="preserve">all </w:t>
      </w:r>
      <w:r>
        <w:t>happiness from it?</w:t>
      </w:r>
    </w:p>
    <w:p w14:paraId="7E0024EF" w14:textId="77777777" w:rsidR="009A58DB" w:rsidRDefault="00000000">
      <w:pPr>
        <w:pStyle w:val="BodyText"/>
        <w:spacing w:before="5" w:line="249" w:lineRule="auto"/>
        <w:ind w:right="361" w:firstLine="360"/>
      </w:pPr>
      <w:r>
        <w:t>It does not follow. It’s also possible that Smith is happy vis-à-vis his work but</w:t>
      </w:r>
      <w:r>
        <w:rPr>
          <w:spacing w:val="-2"/>
        </w:rPr>
        <w:t xml:space="preserve"> </w:t>
      </w:r>
      <w:r>
        <w:t>not</w:t>
      </w:r>
      <w:r>
        <w:rPr>
          <w:spacing w:val="-2"/>
        </w:rPr>
        <w:t xml:space="preserve"> </w:t>
      </w:r>
      <w:r>
        <w:t>vis-à-vis</w:t>
      </w:r>
      <w:r>
        <w:rPr>
          <w:spacing w:val="-2"/>
        </w:rPr>
        <w:t xml:space="preserve"> </w:t>
      </w:r>
      <w:r>
        <w:t>his</w:t>
      </w:r>
      <w:r>
        <w:rPr>
          <w:spacing w:val="-2"/>
        </w:rPr>
        <w:t xml:space="preserve"> </w:t>
      </w:r>
      <w:r>
        <w:t>health</w:t>
      </w:r>
      <w:r>
        <w:rPr>
          <w:spacing w:val="-2"/>
        </w:rPr>
        <w:t xml:space="preserve"> </w:t>
      </w:r>
      <w:r>
        <w:t>situation.</w:t>
      </w:r>
      <w:r>
        <w:rPr>
          <w:spacing w:val="-2"/>
        </w:rPr>
        <w:t xml:space="preserve"> </w:t>
      </w:r>
      <w:r>
        <w:t>“But</w:t>
      </w:r>
      <w:r>
        <w:rPr>
          <w:spacing w:val="-2"/>
        </w:rPr>
        <w:t xml:space="preserve"> </w:t>
      </w:r>
      <w:r>
        <w:t>that’s</w:t>
      </w:r>
      <w:r>
        <w:rPr>
          <w:spacing w:val="-2"/>
        </w:rPr>
        <w:t xml:space="preserve"> </w:t>
      </w:r>
      <w:r>
        <w:t>preposterous,”</w:t>
      </w:r>
      <w:r>
        <w:rPr>
          <w:spacing w:val="-2"/>
        </w:rPr>
        <w:t xml:space="preserve"> </w:t>
      </w:r>
      <w:r>
        <w:t>it</w:t>
      </w:r>
      <w:r>
        <w:rPr>
          <w:spacing w:val="-2"/>
        </w:rPr>
        <w:t xml:space="preserve"> </w:t>
      </w:r>
      <w:r>
        <w:t>will</w:t>
      </w:r>
      <w:r>
        <w:rPr>
          <w:spacing w:val="-2"/>
        </w:rPr>
        <w:t xml:space="preserve"> </w:t>
      </w:r>
      <w:r>
        <w:t>be</w:t>
      </w:r>
      <w:r>
        <w:rPr>
          <w:spacing w:val="-2"/>
        </w:rPr>
        <w:t xml:space="preserve"> </w:t>
      </w:r>
      <w:r>
        <w:t xml:space="preserve">said. “Happiness is a </w:t>
      </w:r>
      <w:r>
        <w:rPr>
          <w:i/>
        </w:rPr>
        <w:t xml:space="preserve">feeling. </w:t>
      </w:r>
      <w:r>
        <w:t>You’re either happy or you aren’t. And Smith isn’t happy. That’s why he’s wailing all the time.”</w:t>
      </w:r>
    </w:p>
    <w:p w14:paraId="7E0024F0" w14:textId="77777777" w:rsidR="009A58DB" w:rsidRDefault="00000000">
      <w:pPr>
        <w:pStyle w:val="BodyText"/>
        <w:spacing w:before="5" w:line="249" w:lineRule="auto"/>
        <w:ind w:right="358" w:firstLine="360"/>
      </w:pPr>
      <w:r>
        <w:t>Some mental entities are structures. Others are events or states that occur within the limits set by such structures but, unlike them, are fundamentally ephemeral. Beliefs and values are structures. So are personality traits.</w:t>
      </w:r>
    </w:p>
    <w:p w14:paraId="7E0024F1" w14:textId="77777777" w:rsidR="009A58DB" w:rsidRDefault="00000000">
      <w:pPr>
        <w:pStyle w:val="BodyText"/>
        <w:spacing w:before="4" w:line="249" w:lineRule="auto"/>
        <w:ind w:right="358" w:firstLine="360"/>
      </w:pPr>
      <w:r>
        <w:t xml:space="preserve">These things can change, of course. One’s beliefs, even one’s personality, can change. But they’re not happenings. Joy and pleasure are in a different category. They’re passing states. Unlike one’s knowledge that 1 + 1 = 2, they’re not structures, not even ephemeral ones. They’re structure-internal </w:t>
      </w:r>
      <w:r>
        <w:rPr>
          <w:spacing w:val="-2"/>
        </w:rPr>
        <w:t>events.</w:t>
      </w:r>
    </w:p>
    <w:p w14:paraId="7E0024F2" w14:textId="77777777" w:rsidR="009A58DB" w:rsidRDefault="00000000">
      <w:pPr>
        <w:pStyle w:val="BodyText"/>
        <w:spacing w:before="6" w:line="249" w:lineRule="auto"/>
        <w:ind w:right="358" w:firstLine="360"/>
      </w:pPr>
      <w:r>
        <w:t>Happiness is a structure, not a feeling. In this respect it’s more like one’s knowledge that 1 + 1 = 2 than it is like a passing feeling of joy. Mental structures are expressed by mental happenings and also by overt behaviors. But one’s knowledge that 1 + 1 = 2 can’t be identified with any of the events or passing conditions to which it gives rise. And while happiness is likely to give rise to joy and pleasure, it can no more be identified with them than one’s belief that 1 + 1 = 2 can be identified with one’s recognition that Bill has two cars (given your just-acquired knowledge that he has one car in Idaho, a second car in Montana, and no other cars). Just as that recognition is an effect of, and is therefore distinct from, that knowledge, so joy and pleasure are effects of happiness, and are therefore distinct from it.</w:t>
      </w:r>
    </w:p>
    <w:p w14:paraId="7E0024F3"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4F4" w14:textId="77777777" w:rsidR="009A58DB" w:rsidRDefault="00000000">
      <w:pPr>
        <w:pStyle w:val="BodyText"/>
        <w:spacing w:before="65" w:line="249" w:lineRule="auto"/>
        <w:ind w:right="359" w:firstLine="360"/>
      </w:pPr>
      <w:r>
        <w:lastRenderedPageBreak/>
        <w:t xml:space="preserve">Given that happiness is a structure, it no longer seems unreasonable to say </w:t>
      </w:r>
      <w:r>
        <w:rPr>
          <w:i/>
        </w:rPr>
        <w:t xml:space="preserve">either </w:t>
      </w:r>
      <w:r>
        <w:t xml:space="preserve">that one can be happy in some respects while being unhappy in others </w:t>
      </w:r>
      <w:r>
        <w:rPr>
          <w:i/>
        </w:rPr>
        <w:t>or</w:t>
      </w:r>
      <w:r>
        <w:rPr>
          <w:i/>
          <w:spacing w:val="-4"/>
        </w:rPr>
        <w:t xml:space="preserve"> </w:t>
      </w:r>
      <w:r>
        <w:t xml:space="preserve">that happiness is a </w:t>
      </w:r>
      <w:r>
        <w:rPr>
          <w:i/>
        </w:rPr>
        <w:t>judgment.</w:t>
      </w:r>
      <w:r>
        <w:rPr>
          <w:i/>
          <w:spacing w:val="-3"/>
        </w:rPr>
        <w:t xml:space="preserve"> </w:t>
      </w:r>
      <w:r>
        <w:t xml:space="preserve">(In this context, by “judgment,” I don’t mean the </w:t>
      </w:r>
      <w:r>
        <w:rPr>
          <w:i/>
        </w:rPr>
        <w:t xml:space="preserve">act </w:t>
      </w:r>
      <w:r>
        <w:t xml:space="preserve">of judgment. I mean that enduring conviction that one has as a result of a judgment in whose correctness one firmly believes.) Judgments, and therefore value-judgments, are not feelings. They are mental structures, not mental events or transient mental conditions, even though they obviously </w:t>
      </w:r>
      <w:r>
        <w:rPr>
          <w:i/>
        </w:rPr>
        <w:t xml:space="preserve">result </w:t>
      </w:r>
      <w:r>
        <w:t>in such events and conditions.</w:t>
      </w:r>
    </w:p>
    <w:p w14:paraId="7E0024F5" w14:textId="77777777" w:rsidR="009A58DB" w:rsidRDefault="00000000">
      <w:pPr>
        <w:pStyle w:val="BodyText"/>
        <w:spacing w:before="9" w:line="249" w:lineRule="auto"/>
        <w:ind w:right="359" w:firstLine="360"/>
      </w:pPr>
      <w:r>
        <w:t>Therefore, value-judgments can result in joy, sadness, pleasure, and displeasure. And a positive value-judgment about oneself would, for obvious reasons, be likely to result in pleasant feelings, and a negative one would be likely to result in unpleasant feelings. Thus, the thesis that (un)happiness is, or at least consists in part of, a value-judgment about oneself is consistent with the tight connection between happiness, on the one hand, and feelings of (dis)pleasure, etc., on the other.</w:t>
      </w:r>
    </w:p>
    <w:p w14:paraId="7E0024F6" w14:textId="77777777" w:rsidR="009A58DB" w:rsidRDefault="00000000">
      <w:pPr>
        <w:pStyle w:val="BodyText"/>
        <w:spacing w:before="9" w:line="249" w:lineRule="auto"/>
        <w:ind w:right="362" w:firstLine="360"/>
      </w:pPr>
      <w:r>
        <w:t>Moreover, that thesis is consistent with the supposition that one can be happy in some respects (e.g., about one’s literary accomplishments) and unhappy in others (e.g., one’s health or family situation). For one can obviously judge that one’s life meets or exceeds certain standards, while falling short of others.</w:t>
      </w:r>
    </w:p>
    <w:p w14:paraId="7E0024F7" w14:textId="77777777" w:rsidR="009A58DB" w:rsidRDefault="00000000">
      <w:pPr>
        <w:pStyle w:val="Heading1"/>
        <w:numPr>
          <w:ilvl w:val="1"/>
          <w:numId w:val="56"/>
        </w:numPr>
        <w:tabs>
          <w:tab w:val="left" w:pos="1080"/>
          <w:tab w:val="left" w:pos="1801"/>
        </w:tabs>
        <w:spacing w:before="194" w:line="244" w:lineRule="auto"/>
        <w:ind w:left="1080" w:right="359" w:hanging="720"/>
        <w:jc w:val="both"/>
      </w:pPr>
      <w:r>
        <w:tab/>
        <w:t>Subjecthood a precondition for happiness; self-consciousness a precondition for subjecthood; norm-drivenness a precondition for self-consciousness</w:t>
      </w:r>
    </w:p>
    <w:p w14:paraId="7E0024F8" w14:textId="77777777" w:rsidR="009A58DB" w:rsidRDefault="00000000">
      <w:pPr>
        <w:pStyle w:val="BodyText"/>
        <w:spacing w:before="137" w:line="249" w:lineRule="auto"/>
        <w:ind w:right="359"/>
      </w:pPr>
      <w:r>
        <w:t>We</w:t>
      </w:r>
      <w:r>
        <w:rPr>
          <w:spacing w:val="-14"/>
        </w:rPr>
        <w:t xml:space="preserve"> </w:t>
      </w:r>
      <w:r>
        <w:t>have</w:t>
      </w:r>
      <w:r>
        <w:rPr>
          <w:spacing w:val="-14"/>
        </w:rPr>
        <w:t xml:space="preserve"> </w:t>
      </w:r>
      <w:r>
        <w:t>values,</w:t>
      </w:r>
      <w:r>
        <w:rPr>
          <w:spacing w:val="-14"/>
        </w:rPr>
        <w:t xml:space="preserve"> </w:t>
      </w:r>
      <w:r>
        <w:t>and</w:t>
      </w:r>
      <w:r>
        <w:rPr>
          <w:spacing w:val="-14"/>
        </w:rPr>
        <w:t xml:space="preserve"> </w:t>
      </w:r>
      <w:r>
        <w:t>in</w:t>
      </w:r>
      <w:r>
        <w:rPr>
          <w:spacing w:val="-14"/>
        </w:rPr>
        <w:t xml:space="preserve"> </w:t>
      </w:r>
      <w:r>
        <w:t>many</w:t>
      </w:r>
      <w:r>
        <w:rPr>
          <w:spacing w:val="-14"/>
        </w:rPr>
        <w:t xml:space="preserve"> </w:t>
      </w:r>
      <w:r>
        <w:t>cases</w:t>
      </w:r>
      <w:r>
        <w:rPr>
          <w:spacing w:val="-14"/>
        </w:rPr>
        <w:t xml:space="preserve"> </w:t>
      </w:r>
      <w:r>
        <w:t>our</w:t>
      </w:r>
      <w:r>
        <w:rPr>
          <w:spacing w:val="-14"/>
        </w:rPr>
        <w:t xml:space="preserve"> </w:t>
      </w:r>
      <w:r>
        <w:t>actions</w:t>
      </w:r>
      <w:r>
        <w:rPr>
          <w:spacing w:val="-14"/>
        </w:rPr>
        <w:t xml:space="preserve"> </w:t>
      </w:r>
      <w:r>
        <w:t>are</w:t>
      </w:r>
      <w:r>
        <w:rPr>
          <w:spacing w:val="-14"/>
        </w:rPr>
        <w:t xml:space="preserve"> </w:t>
      </w:r>
      <w:r>
        <w:t>driven</w:t>
      </w:r>
      <w:r>
        <w:rPr>
          <w:spacing w:val="-14"/>
        </w:rPr>
        <w:t xml:space="preserve"> </w:t>
      </w:r>
      <w:r>
        <w:t>by</w:t>
      </w:r>
      <w:r>
        <w:rPr>
          <w:spacing w:val="-14"/>
        </w:rPr>
        <w:t xml:space="preserve"> </w:t>
      </w:r>
      <w:r>
        <w:t>the</w:t>
      </w:r>
      <w:r>
        <w:rPr>
          <w:spacing w:val="-14"/>
        </w:rPr>
        <w:t xml:space="preserve"> </w:t>
      </w:r>
      <w:r>
        <w:t>values</w:t>
      </w:r>
      <w:r>
        <w:rPr>
          <w:spacing w:val="-14"/>
        </w:rPr>
        <w:t xml:space="preserve"> </w:t>
      </w:r>
      <w:r>
        <w:t>that</w:t>
      </w:r>
      <w:r>
        <w:rPr>
          <w:spacing w:val="-14"/>
        </w:rPr>
        <w:t xml:space="preserve"> </w:t>
      </w:r>
      <w:r>
        <w:t>we have.</w:t>
      </w:r>
      <w:r>
        <w:rPr>
          <w:spacing w:val="-19"/>
        </w:rPr>
        <w:t xml:space="preserve"> </w:t>
      </w:r>
      <w:r>
        <w:t>There</w:t>
      </w:r>
      <w:r>
        <w:rPr>
          <w:spacing w:val="-19"/>
        </w:rPr>
        <w:t xml:space="preserve"> </w:t>
      </w:r>
      <w:r>
        <w:t>is</w:t>
      </w:r>
      <w:r>
        <w:rPr>
          <w:spacing w:val="-19"/>
        </w:rPr>
        <w:t xml:space="preserve"> </w:t>
      </w:r>
      <w:r>
        <w:t>a</w:t>
      </w:r>
      <w:r>
        <w:rPr>
          <w:spacing w:val="-18"/>
        </w:rPr>
        <w:t xml:space="preserve"> </w:t>
      </w:r>
      <w:r>
        <w:t>gap</w:t>
      </w:r>
      <w:r>
        <w:rPr>
          <w:spacing w:val="-19"/>
        </w:rPr>
        <w:t xml:space="preserve"> </w:t>
      </w:r>
      <w:r>
        <w:t>between</w:t>
      </w:r>
      <w:r>
        <w:rPr>
          <w:spacing w:val="-19"/>
        </w:rPr>
        <w:t xml:space="preserve"> </w:t>
      </w:r>
      <w:r>
        <w:t>what</w:t>
      </w:r>
      <w:r>
        <w:rPr>
          <w:spacing w:val="-19"/>
        </w:rPr>
        <w:t xml:space="preserve"> </w:t>
      </w:r>
      <w:r>
        <w:t>we</w:t>
      </w:r>
      <w:r>
        <w:rPr>
          <w:spacing w:val="-18"/>
        </w:rPr>
        <w:t xml:space="preserve"> </w:t>
      </w:r>
      <w:r>
        <w:t>want,</w:t>
      </w:r>
      <w:r>
        <w:rPr>
          <w:spacing w:val="-19"/>
        </w:rPr>
        <w:t xml:space="preserve"> </w:t>
      </w:r>
      <w:r>
        <w:t>and</w:t>
      </w:r>
      <w:r>
        <w:rPr>
          <w:spacing w:val="-19"/>
        </w:rPr>
        <w:t xml:space="preserve"> </w:t>
      </w:r>
      <w:r>
        <w:t>therefore</w:t>
      </w:r>
      <w:r>
        <w:rPr>
          <w:spacing w:val="-19"/>
        </w:rPr>
        <w:t xml:space="preserve"> </w:t>
      </w:r>
      <w:r>
        <w:t>value,</w:t>
      </w:r>
      <w:r>
        <w:rPr>
          <w:spacing w:val="-18"/>
        </w:rPr>
        <w:t xml:space="preserve"> </w:t>
      </w:r>
      <w:r>
        <w:t>and</w:t>
      </w:r>
      <w:r>
        <w:rPr>
          <w:spacing w:val="-19"/>
        </w:rPr>
        <w:t xml:space="preserve"> </w:t>
      </w:r>
      <w:r>
        <w:t>what</w:t>
      </w:r>
      <w:r>
        <w:rPr>
          <w:spacing w:val="-19"/>
        </w:rPr>
        <w:t xml:space="preserve"> </w:t>
      </w:r>
      <w:r>
        <w:t xml:space="preserve">there </w:t>
      </w:r>
      <w:r>
        <w:rPr>
          <w:spacing w:val="-4"/>
        </w:rPr>
        <w:t>is.</w:t>
      </w:r>
      <w:r>
        <w:rPr>
          <w:spacing w:val="-15"/>
        </w:rPr>
        <w:t xml:space="preserve"> </w:t>
      </w:r>
      <w:r>
        <w:rPr>
          <w:spacing w:val="-4"/>
        </w:rPr>
        <w:t>Wishing</w:t>
      </w:r>
      <w:r>
        <w:rPr>
          <w:spacing w:val="-15"/>
        </w:rPr>
        <w:t xml:space="preserve"> </w:t>
      </w:r>
      <w:r>
        <w:rPr>
          <w:spacing w:val="-4"/>
        </w:rPr>
        <w:t>to</w:t>
      </w:r>
      <w:r>
        <w:rPr>
          <w:spacing w:val="-14"/>
        </w:rPr>
        <w:t xml:space="preserve"> </w:t>
      </w:r>
      <w:r>
        <w:rPr>
          <w:spacing w:val="-4"/>
        </w:rPr>
        <w:t>narrow</w:t>
      </w:r>
      <w:r>
        <w:rPr>
          <w:spacing w:val="-13"/>
        </w:rPr>
        <w:t xml:space="preserve"> </w:t>
      </w:r>
      <w:r>
        <w:rPr>
          <w:spacing w:val="-4"/>
        </w:rPr>
        <w:t>the</w:t>
      </w:r>
      <w:r>
        <w:rPr>
          <w:spacing w:val="-13"/>
        </w:rPr>
        <w:t xml:space="preserve"> </w:t>
      </w:r>
      <w:r>
        <w:rPr>
          <w:spacing w:val="-4"/>
        </w:rPr>
        <w:t>gap,</w:t>
      </w:r>
      <w:r>
        <w:rPr>
          <w:spacing w:val="-13"/>
        </w:rPr>
        <w:t xml:space="preserve"> </w:t>
      </w:r>
      <w:r>
        <w:rPr>
          <w:spacing w:val="-4"/>
        </w:rPr>
        <w:t>we</w:t>
      </w:r>
      <w:r>
        <w:rPr>
          <w:spacing w:val="-13"/>
        </w:rPr>
        <w:t xml:space="preserve"> </w:t>
      </w:r>
      <w:r>
        <w:rPr>
          <w:spacing w:val="-4"/>
        </w:rPr>
        <w:t>act.</w:t>
      </w:r>
      <w:r>
        <w:rPr>
          <w:spacing w:val="-13"/>
        </w:rPr>
        <w:t xml:space="preserve"> </w:t>
      </w:r>
      <w:r>
        <w:rPr>
          <w:spacing w:val="-4"/>
        </w:rPr>
        <w:t>If</w:t>
      </w:r>
      <w:r>
        <w:rPr>
          <w:spacing w:val="-13"/>
        </w:rPr>
        <w:t xml:space="preserve"> </w:t>
      </w:r>
      <w:r>
        <w:rPr>
          <w:spacing w:val="-4"/>
        </w:rPr>
        <w:t>an</w:t>
      </w:r>
      <w:r>
        <w:rPr>
          <w:spacing w:val="-13"/>
        </w:rPr>
        <w:t xml:space="preserve"> </w:t>
      </w:r>
      <w:r>
        <w:rPr>
          <w:spacing w:val="-4"/>
        </w:rPr>
        <w:t>act</w:t>
      </w:r>
      <w:r>
        <w:rPr>
          <w:spacing w:val="-13"/>
        </w:rPr>
        <w:t xml:space="preserve"> </w:t>
      </w:r>
      <w:r>
        <w:rPr>
          <w:spacing w:val="-4"/>
        </w:rPr>
        <w:t>is</w:t>
      </w:r>
      <w:r>
        <w:rPr>
          <w:spacing w:val="-13"/>
        </w:rPr>
        <w:t xml:space="preserve"> </w:t>
      </w:r>
      <w:r>
        <w:rPr>
          <w:spacing w:val="-4"/>
        </w:rPr>
        <w:t>driven</w:t>
      </w:r>
      <w:r>
        <w:rPr>
          <w:spacing w:val="-13"/>
        </w:rPr>
        <w:t xml:space="preserve"> </w:t>
      </w:r>
      <w:r>
        <w:rPr>
          <w:spacing w:val="-4"/>
        </w:rPr>
        <w:t>by</w:t>
      </w:r>
      <w:r>
        <w:rPr>
          <w:spacing w:val="-13"/>
        </w:rPr>
        <w:t xml:space="preserve"> </w:t>
      </w:r>
      <w:r>
        <w:rPr>
          <w:spacing w:val="-4"/>
        </w:rPr>
        <w:t>a</w:t>
      </w:r>
      <w:r>
        <w:rPr>
          <w:spacing w:val="-13"/>
        </w:rPr>
        <w:t xml:space="preserve"> </w:t>
      </w:r>
      <w:r>
        <w:rPr>
          <w:spacing w:val="-4"/>
        </w:rPr>
        <w:t>wish</w:t>
      </w:r>
      <w:r>
        <w:rPr>
          <w:spacing w:val="-13"/>
        </w:rPr>
        <w:t xml:space="preserve"> </w:t>
      </w:r>
      <w:r>
        <w:rPr>
          <w:spacing w:val="-4"/>
        </w:rPr>
        <w:t>to</w:t>
      </w:r>
      <w:r>
        <w:rPr>
          <w:spacing w:val="-13"/>
        </w:rPr>
        <w:t xml:space="preserve"> </w:t>
      </w:r>
      <w:r>
        <w:rPr>
          <w:spacing w:val="-4"/>
        </w:rPr>
        <w:t>make</w:t>
      </w:r>
      <w:r>
        <w:rPr>
          <w:spacing w:val="-13"/>
        </w:rPr>
        <w:t xml:space="preserve"> </w:t>
      </w:r>
      <w:r>
        <w:rPr>
          <w:spacing w:val="-4"/>
        </w:rPr>
        <w:t xml:space="preserve">reality </w:t>
      </w:r>
      <w:r>
        <w:rPr>
          <w:spacing w:val="-6"/>
        </w:rPr>
        <w:t>conform</w:t>
      </w:r>
      <w:r>
        <w:rPr>
          <w:spacing w:val="-11"/>
        </w:rPr>
        <w:t xml:space="preserve"> </w:t>
      </w:r>
      <w:r>
        <w:rPr>
          <w:spacing w:val="-6"/>
        </w:rPr>
        <w:t>in</w:t>
      </w:r>
      <w:r>
        <w:rPr>
          <w:spacing w:val="-9"/>
        </w:rPr>
        <w:t xml:space="preserve"> </w:t>
      </w:r>
      <w:r>
        <w:rPr>
          <w:spacing w:val="-6"/>
        </w:rPr>
        <w:t>some</w:t>
      </w:r>
      <w:r>
        <w:rPr>
          <w:spacing w:val="-9"/>
        </w:rPr>
        <w:t xml:space="preserve"> </w:t>
      </w:r>
      <w:r>
        <w:rPr>
          <w:spacing w:val="-6"/>
        </w:rPr>
        <w:t>respect</w:t>
      </w:r>
      <w:r>
        <w:rPr>
          <w:spacing w:val="-9"/>
        </w:rPr>
        <w:t xml:space="preserve"> </w:t>
      </w:r>
      <w:r>
        <w:rPr>
          <w:spacing w:val="-6"/>
        </w:rPr>
        <w:t>to</w:t>
      </w:r>
      <w:r>
        <w:rPr>
          <w:spacing w:val="-9"/>
        </w:rPr>
        <w:t xml:space="preserve"> </w:t>
      </w:r>
      <w:r>
        <w:rPr>
          <w:spacing w:val="-6"/>
        </w:rPr>
        <w:t>a</w:t>
      </w:r>
      <w:r>
        <w:rPr>
          <w:spacing w:val="-9"/>
        </w:rPr>
        <w:t xml:space="preserve"> </w:t>
      </w:r>
      <w:r>
        <w:rPr>
          <w:spacing w:val="-6"/>
        </w:rPr>
        <w:t>value,</w:t>
      </w:r>
      <w:r>
        <w:rPr>
          <w:spacing w:val="-9"/>
        </w:rPr>
        <w:t xml:space="preserve"> </w:t>
      </w:r>
      <w:r>
        <w:rPr>
          <w:spacing w:val="-6"/>
        </w:rPr>
        <w:t>let</w:t>
      </w:r>
      <w:r>
        <w:rPr>
          <w:spacing w:val="-9"/>
        </w:rPr>
        <w:t xml:space="preserve"> </w:t>
      </w:r>
      <w:r>
        <w:rPr>
          <w:spacing w:val="-6"/>
        </w:rPr>
        <w:t>us</w:t>
      </w:r>
      <w:r>
        <w:rPr>
          <w:spacing w:val="-9"/>
        </w:rPr>
        <w:t xml:space="preserve"> </w:t>
      </w:r>
      <w:r>
        <w:rPr>
          <w:spacing w:val="-6"/>
        </w:rPr>
        <w:t>say</w:t>
      </w:r>
      <w:r>
        <w:rPr>
          <w:spacing w:val="-9"/>
        </w:rPr>
        <w:t xml:space="preserve"> </w:t>
      </w:r>
      <w:r>
        <w:rPr>
          <w:spacing w:val="-6"/>
        </w:rPr>
        <w:t>that</w:t>
      </w:r>
      <w:r>
        <w:rPr>
          <w:spacing w:val="-9"/>
        </w:rPr>
        <w:t xml:space="preserve"> </w:t>
      </w:r>
      <w:r>
        <w:rPr>
          <w:spacing w:val="-6"/>
        </w:rPr>
        <w:t>is</w:t>
      </w:r>
      <w:r>
        <w:rPr>
          <w:spacing w:val="-9"/>
        </w:rPr>
        <w:t xml:space="preserve"> </w:t>
      </w:r>
      <w:r>
        <w:rPr>
          <w:spacing w:val="-6"/>
        </w:rPr>
        <w:t>“value-driven.”</w:t>
      </w:r>
      <w:r>
        <w:rPr>
          <w:spacing w:val="-13"/>
        </w:rPr>
        <w:t xml:space="preserve"> </w:t>
      </w:r>
      <w:r>
        <w:rPr>
          <w:spacing w:val="-6"/>
        </w:rPr>
        <w:t>We’ll</w:t>
      </w:r>
      <w:r>
        <w:rPr>
          <w:spacing w:val="-9"/>
        </w:rPr>
        <w:t xml:space="preserve"> </w:t>
      </w:r>
      <w:r>
        <w:rPr>
          <w:spacing w:val="-6"/>
        </w:rPr>
        <w:t>use</w:t>
      </w:r>
      <w:r>
        <w:rPr>
          <w:spacing w:val="-9"/>
        </w:rPr>
        <w:t xml:space="preserve"> </w:t>
      </w:r>
      <w:r>
        <w:rPr>
          <w:spacing w:val="-6"/>
        </w:rPr>
        <w:t xml:space="preserve">the </w:t>
      </w:r>
      <w:r>
        <w:t>same</w:t>
      </w:r>
      <w:r>
        <w:rPr>
          <w:spacing w:val="-19"/>
        </w:rPr>
        <w:t xml:space="preserve"> </w:t>
      </w:r>
      <w:r>
        <w:t>term</w:t>
      </w:r>
      <w:r>
        <w:rPr>
          <w:spacing w:val="-17"/>
        </w:rPr>
        <w:t xml:space="preserve"> </w:t>
      </w:r>
      <w:r>
        <w:t>to</w:t>
      </w:r>
      <w:r>
        <w:rPr>
          <w:spacing w:val="-7"/>
        </w:rPr>
        <w:t xml:space="preserve"> </w:t>
      </w:r>
      <w:r>
        <w:t>describe</w:t>
      </w:r>
      <w:r>
        <w:rPr>
          <w:spacing w:val="-7"/>
        </w:rPr>
        <w:t xml:space="preserve"> </w:t>
      </w:r>
      <w:r>
        <w:t>the</w:t>
      </w:r>
      <w:r>
        <w:rPr>
          <w:spacing w:val="-7"/>
        </w:rPr>
        <w:t xml:space="preserve"> </w:t>
      </w:r>
      <w:r>
        <w:t>thoughts</w:t>
      </w:r>
      <w:r>
        <w:rPr>
          <w:spacing w:val="-7"/>
        </w:rPr>
        <w:t xml:space="preserve"> </w:t>
      </w:r>
      <w:r>
        <w:t>out</w:t>
      </w:r>
      <w:r>
        <w:rPr>
          <w:spacing w:val="-7"/>
        </w:rPr>
        <w:t xml:space="preserve"> </w:t>
      </w:r>
      <w:r>
        <w:t>of</w:t>
      </w:r>
      <w:r>
        <w:rPr>
          <w:spacing w:val="-7"/>
        </w:rPr>
        <w:t xml:space="preserve"> </w:t>
      </w:r>
      <w:r>
        <w:t>which</w:t>
      </w:r>
      <w:r>
        <w:rPr>
          <w:spacing w:val="-19"/>
        </w:rPr>
        <w:t xml:space="preserve"> </w:t>
      </w:r>
      <w:r>
        <w:t>value-driven</w:t>
      </w:r>
      <w:r>
        <w:rPr>
          <w:spacing w:val="-8"/>
        </w:rPr>
        <w:t xml:space="preserve"> </w:t>
      </w:r>
      <w:r>
        <w:t>acts</w:t>
      </w:r>
      <w:r>
        <w:rPr>
          <w:spacing w:val="-8"/>
        </w:rPr>
        <w:t xml:space="preserve"> </w:t>
      </w:r>
      <w:r>
        <w:t>arise.</w:t>
      </w:r>
      <w:r>
        <w:rPr>
          <w:spacing w:val="-8"/>
        </w:rPr>
        <w:t xml:space="preserve"> </w:t>
      </w:r>
      <w:r>
        <w:t>In</w:t>
      </w:r>
      <w:r>
        <w:rPr>
          <w:spacing w:val="-8"/>
        </w:rPr>
        <w:t xml:space="preserve"> </w:t>
      </w:r>
      <w:r>
        <w:t xml:space="preserve">this </w:t>
      </w:r>
      <w:r>
        <w:rPr>
          <w:spacing w:val="-2"/>
        </w:rPr>
        <w:t>section,</w:t>
      </w:r>
      <w:r>
        <w:rPr>
          <w:spacing w:val="-14"/>
        </w:rPr>
        <w:t xml:space="preserve"> </w:t>
      </w:r>
      <w:r>
        <w:rPr>
          <w:spacing w:val="-2"/>
        </w:rPr>
        <w:t>we’ll</w:t>
      </w:r>
      <w:r>
        <w:rPr>
          <w:spacing w:val="-15"/>
        </w:rPr>
        <w:t xml:space="preserve"> </w:t>
      </w:r>
      <w:r>
        <w:rPr>
          <w:spacing w:val="-2"/>
        </w:rPr>
        <w:t>see</w:t>
      </w:r>
      <w:r>
        <w:rPr>
          <w:spacing w:val="-14"/>
        </w:rPr>
        <w:t xml:space="preserve"> </w:t>
      </w:r>
      <w:r>
        <w:rPr>
          <w:spacing w:val="-2"/>
        </w:rPr>
        <w:t>that</w:t>
      </w:r>
      <w:r>
        <w:rPr>
          <w:spacing w:val="-15"/>
        </w:rPr>
        <w:t xml:space="preserve"> </w:t>
      </w:r>
      <w:r>
        <w:rPr>
          <w:spacing w:val="-2"/>
        </w:rPr>
        <w:t>it</w:t>
      </w:r>
      <w:r>
        <w:rPr>
          <w:spacing w:val="-15"/>
        </w:rPr>
        <w:t xml:space="preserve"> </w:t>
      </w:r>
      <w:r>
        <w:rPr>
          <w:spacing w:val="-2"/>
        </w:rPr>
        <w:t>is</w:t>
      </w:r>
      <w:r>
        <w:rPr>
          <w:spacing w:val="-14"/>
        </w:rPr>
        <w:t xml:space="preserve"> </w:t>
      </w:r>
      <w:r>
        <w:rPr>
          <w:spacing w:val="-2"/>
        </w:rPr>
        <w:t>inherent</w:t>
      </w:r>
    </w:p>
    <w:p w14:paraId="7E0024F9" w14:textId="77777777" w:rsidR="009A58DB" w:rsidRDefault="00000000">
      <w:pPr>
        <w:pStyle w:val="BodyText"/>
        <w:spacing w:before="7" w:line="249" w:lineRule="auto"/>
        <w:ind w:right="369"/>
      </w:pPr>
      <w:r>
        <w:t>in the concept of action that it be value-driven, and we’ll also see that value-drivenness is of the essence of subjecthood.</w:t>
      </w:r>
    </w:p>
    <w:p w14:paraId="7E0024FA" w14:textId="77777777" w:rsidR="009A58DB" w:rsidRDefault="00000000">
      <w:pPr>
        <w:pStyle w:val="BodyText"/>
        <w:spacing w:before="3"/>
        <w:ind w:left="720"/>
      </w:pPr>
      <w:r>
        <w:t>Rocks</w:t>
      </w:r>
      <w:r>
        <w:rPr>
          <w:spacing w:val="70"/>
          <w:w w:val="150"/>
        </w:rPr>
        <w:t xml:space="preserve"> </w:t>
      </w:r>
      <w:r>
        <w:t>can’t</w:t>
      </w:r>
      <w:r>
        <w:rPr>
          <w:spacing w:val="72"/>
          <w:w w:val="150"/>
        </w:rPr>
        <w:t xml:space="preserve"> </w:t>
      </w:r>
      <w:r>
        <w:t>be</w:t>
      </w:r>
      <w:r>
        <w:rPr>
          <w:spacing w:val="72"/>
          <w:w w:val="150"/>
        </w:rPr>
        <w:t xml:space="preserve"> </w:t>
      </w:r>
      <w:r>
        <w:t>happy.</w:t>
      </w:r>
      <w:r>
        <w:rPr>
          <w:spacing w:val="72"/>
          <w:w w:val="150"/>
        </w:rPr>
        <w:t xml:space="preserve"> </w:t>
      </w:r>
      <w:r>
        <w:t>Why</w:t>
      </w:r>
      <w:r>
        <w:rPr>
          <w:spacing w:val="73"/>
          <w:w w:val="150"/>
        </w:rPr>
        <w:t xml:space="preserve"> </w:t>
      </w:r>
      <w:r>
        <w:t>not?</w:t>
      </w:r>
      <w:r>
        <w:rPr>
          <w:spacing w:val="72"/>
          <w:w w:val="150"/>
        </w:rPr>
        <w:t xml:space="preserve"> </w:t>
      </w:r>
      <w:r>
        <w:t>For</w:t>
      </w:r>
      <w:r>
        <w:rPr>
          <w:spacing w:val="72"/>
          <w:w w:val="150"/>
        </w:rPr>
        <w:t xml:space="preserve"> </w:t>
      </w:r>
      <w:r>
        <w:t>starters,</w:t>
      </w:r>
      <w:r>
        <w:rPr>
          <w:spacing w:val="72"/>
          <w:w w:val="150"/>
        </w:rPr>
        <w:t xml:space="preserve"> </w:t>
      </w:r>
      <w:r>
        <w:t>they</w:t>
      </w:r>
      <w:r>
        <w:rPr>
          <w:spacing w:val="72"/>
          <w:w w:val="150"/>
        </w:rPr>
        <w:t xml:space="preserve"> </w:t>
      </w:r>
      <w:r>
        <w:t>aren’t</w:t>
      </w:r>
      <w:r>
        <w:rPr>
          <w:spacing w:val="73"/>
          <w:w w:val="150"/>
        </w:rPr>
        <w:t xml:space="preserve"> </w:t>
      </w:r>
      <w:r>
        <w:rPr>
          <w:spacing w:val="-2"/>
        </w:rPr>
        <w:t>sentient.</w:t>
      </w:r>
    </w:p>
    <w:p w14:paraId="7E0024FB" w14:textId="77777777" w:rsidR="009A58DB" w:rsidRDefault="009A58DB">
      <w:pPr>
        <w:pStyle w:val="BodyText"/>
        <w:sectPr w:rsidR="009A58DB">
          <w:pgSz w:w="12240" w:h="15840"/>
          <w:pgMar w:top="1380" w:right="1080" w:bottom="280" w:left="1080" w:header="720" w:footer="720" w:gutter="0"/>
          <w:cols w:space="720"/>
        </w:sectPr>
      </w:pPr>
    </w:p>
    <w:p w14:paraId="7E0024FC" w14:textId="77777777" w:rsidR="009A58DB" w:rsidRDefault="00000000">
      <w:pPr>
        <w:pStyle w:val="BodyText"/>
        <w:spacing w:before="60" w:line="249" w:lineRule="auto"/>
        <w:ind w:right="358"/>
      </w:pPr>
      <w:r>
        <w:lastRenderedPageBreak/>
        <w:t xml:space="preserve">Sentience is necessary for happiness. But it isn’t sufficient. Not all animate beings can be happy. Only animate beings meeting certain conditions have that privilege. Not all animate beings are </w:t>
      </w:r>
      <w:r>
        <w:rPr>
          <w:i/>
        </w:rPr>
        <w:t xml:space="preserve">subjects. </w:t>
      </w:r>
      <w:r>
        <w:t xml:space="preserve">The difference between animate beings that are subjects and those that are not is that the former, unlike the latter, are able to regulate their own lives according to </w:t>
      </w:r>
      <w:r>
        <w:rPr>
          <w:i/>
        </w:rPr>
        <w:t xml:space="preserve">values </w:t>
      </w:r>
      <w:r>
        <w:t>that they have. As we’ll see, a certain degree of self-consciousness is needed to meet this condition.</w:t>
      </w:r>
    </w:p>
    <w:p w14:paraId="7E0024FD" w14:textId="77777777" w:rsidR="009A58DB" w:rsidRDefault="00000000">
      <w:pPr>
        <w:pStyle w:val="BodyText"/>
        <w:spacing w:before="13" w:line="249" w:lineRule="auto"/>
        <w:ind w:right="359" w:firstLine="360"/>
      </w:pPr>
      <w:r>
        <w:t>We are inclined to think that non-human animals (e.g., cats, dogs, hamsters)</w:t>
      </w:r>
      <w:r>
        <w:rPr>
          <w:spacing w:val="-3"/>
        </w:rPr>
        <w:t xml:space="preserve"> </w:t>
      </w:r>
      <w:r>
        <w:t>are</w:t>
      </w:r>
      <w:r>
        <w:rPr>
          <w:spacing w:val="-3"/>
        </w:rPr>
        <w:t xml:space="preserve"> </w:t>
      </w:r>
      <w:r>
        <w:t>without</w:t>
      </w:r>
      <w:r>
        <w:rPr>
          <w:spacing w:val="-3"/>
        </w:rPr>
        <w:t xml:space="preserve"> </w:t>
      </w:r>
      <w:r>
        <w:t>values.</w:t>
      </w:r>
      <w:r>
        <w:rPr>
          <w:spacing w:val="-3"/>
        </w:rPr>
        <w:t xml:space="preserve"> </w:t>
      </w:r>
      <w:r>
        <w:t>This</w:t>
      </w:r>
      <w:r>
        <w:rPr>
          <w:spacing w:val="-3"/>
        </w:rPr>
        <w:t xml:space="preserve"> </w:t>
      </w:r>
      <w:r>
        <w:t>isn’t</w:t>
      </w:r>
      <w:r>
        <w:rPr>
          <w:spacing w:val="-3"/>
        </w:rPr>
        <w:t xml:space="preserve"> </w:t>
      </w:r>
      <w:r>
        <w:t>true.</w:t>
      </w:r>
      <w:r>
        <w:rPr>
          <w:spacing w:val="-3"/>
        </w:rPr>
        <w:t xml:space="preserve"> </w:t>
      </w:r>
      <w:r>
        <w:t>There</w:t>
      </w:r>
      <w:r>
        <w:rPr>
          <w:spacing w:val="-3"/>
        </w:rPr>
        <w:t xml:space="preserve"> </w:t>
      </w:r>
      <w:r>
        <w:t>are</w:t>
      </w:r>
      <w:r>
        <w:rPr>
          <w:spacing w:val="-3"/>
        </w:rPr>
        <w:t xml:space="preserve"> </w:t>
      </w:r>
      <w:r>
        <w:t>certain</w:t>
      </w:r>
      <w:r>
        <w:rPr>
          <w:spacing w:val="-3"/>
        </w:rPr>
        <w:t xml:space="preserve"> </w:t>
      </w:r>
      <w:r>
        <w:t>kinds</w:t>
      </w:r>
      <w:r>
        <w:rPr>
          <w:spacing w:val="-3"/>
        </w:rPr>
        <w:t xml:space="preserve"> </w:t>
      </w:r>
      <w:r>
        <w:t>of</w:t>
      </w:r>
      <w:r>
        <w:rPr>
          <w:spacing w:val="-3"/>
        </w:rPr>
        <w:t xml:space="preserve"> </w:t>
      </w:r>
      <w:r>
        <w:t>values that they lack that we have. But it is inherent in the very nature of</w:t>
      </w:r>
      <w:r>
        <w:rPr>
          <w:spacing w:val="40"/>
        </w:rPr>
        <w:t xml:space="preserve"> </w:t>
      </w:r>
      <w:r>
        <w:t>subjecthood that its activity be value-driven. Cats, dogs, etc., are indeed subjects. (Not all animate creatures are subjects.)</w:t>
      </w:r>
    </w:p>
    <w:p w14:paraId="7E0024FE" w14:textId="77777777" w:rsidR="009A58DB" w:rsidRDefault="00000000">
      <w:pPr>
        <w:pStyle w:val="BodyText"/>
        <w:spacing w:before="6" w:line="249" w:lineRule="auto"/>
        <w:ind w:right="362" w:firstLine="360"/>
      </w:pPr>
      <w:r>
        <w:t>We’re also inclined to think that they are completely lacking in self-consciousness. This isn’t true. Echoing what we just said, there is an important kind of self-consciousness that we have that they lack. But in order for a series of mental states to have the cohesiveness needed to constitute a single mind, as opposed to a mere sequence of mental states, it is necessary that some of them embody some awareness of some of the others.</w:t>
      </w:r>
    </w:p>
    <w:p w14:paraId="7E0024FF" w14:textId="77777777" w:rsidR="009A58DB" w:rsidRDefault="00000000">
      <w:pPr>
        <w:pStyle w:val="BodyText"/>
        <w:spacing w:before="8" w:line="249" w:lineRule="auto"/>
        <w:ind w:right="357" w:firstLine="360"/>
      </w:pPr>
      <w:r>
        <w:t>Let X be a creature of one-thousandth your intelligence that is constantly happy. X’s life consists of one ecstasy after another. But none of these ecstasies embodies any intelligence, any connectedness to other life-forms, any connectedness to any ideals or values. X’s life is a series of one-dimensional pleasures after another.</w:t>
      </w:r>
    </w:p>
    <w:p w14:paraId="7E002500" w14:textId="77777777" w:rsidR="009A58DB" w:rsidRDefault="00000000">
      <w:pPr>
        <w:pStyle w:val="BodyText"/>
        <w:spacing w:before="6" w:line="271" w:lineRule="auto"/>
        <w:ind w:right="365" w:firstLine="360"/>
      </w:pPr>
      <w:r>
        <w:t>Further, let us suppose, these experiences don’t build on one another. X feels good at time t</w:t>
      </w:r>
      <w:r>
        <w:rPr>
          <w:vertAlign w:val="subscript"/>
        </w:rPr>
        <w:t>1</w:t>
      </w:r>
      <w:r>
        <w:t>; it feels good again at time t</w:t>
      </w:r>
      <w:r>
        <w:rPr>
          <w:vertAlign w:val="subscript"/>
        </w:rPr>
        <w:t>2</w:t>
      </w:r>
      <w:r>
        <w:t>; and again at time t</w:t>
      </w:r>
      <w:r>
        <w:rPr>
          <w:vertAlign w:val="subscript"/>
        </w:rPr>
        <w:t>3</w:t>
      </w:r>
      <w:r>
        <w:t>; and</w:t>
      </w:r>
      <w:r>
        <w:rPr>
          <w:spacing w:val="80"/>
        </w:rPr>
        <w:t xml:space="preserve"> </w:t>
      </w:r>
      <w:r>
        <w:t>so</w:t>
      </w:r>
      <w:r>
        <w:rPr>
          <w:spacing w:val="15"/>
        </w:rPr>
        <w:t xml:space="preserve"> </w:t>
      </w:r>
      <w:r>
        <w:t>on.</w:t>
      </w:r>
      <w:r>
        <w:rPr>
          <w:spacing w:val="18"/>
        </w:rPr>
        <w:t xml:space="preserve"> </w:t>
      </w:r>
      <w:r>
        <w:t>It</w:t>
      </w:r>
      <w:r>
        <w:rPr>
          <w:spacing w:val="17"/>
        </w:rPr>
        <w:t xml:space="preserve"> </w:t>
      </w:r>
      <w:r>
        <w:t>may</w:t>
      </w:r>
      <w:r>
        <w:rPr>
          <w:spacing w:val="18"/>
        </w:rPr>
        <w:t xml:space="preserve"> </w:t>
      </w:r>
      <w:r>
        <w:t>be</w:t>
      </w:r>
      <w:r>
        <w:rPr>
          <w:spacing w:val="17"/>
        </w:rPr>
        <w:t xml:space="preserve"> </w:t>
      </w:r>
      <w:r>
        <w:t>that</w:t>
      </w:r>
      <w:r>
        <w:rPr>
          <w:spacing w:val="18"/>
        </w:rPr>
        <w:t xml:space="preserve"> </w:t>
      </w:r>
      <w:r>
        <w:t>X</w:t>
      </w:r>
      <w:r>
        <w:rPr>
          <w:spacing w:val="17"/>
        </w:rPr>
        <w:t xml:space="preserve"> </w:t>
      </w:r>
      <w:r>
        <w:t>feels</w:t>
      </w:r>
      <w:r>
        <w:rPr>
          <w:spacing w:val="18"/>
        </w:rPr>
        <w:t xml:space="preserve"> </w:t>
      </w:r>
      <w:r>
        <w:t>good</w:t>
      </w:r>
      <w:r>
        <w:rPr>
          <w:spacing w:val="17"/>
        </w:rPr>
        <w:t xml:space="preserve"> </w:t>
      </w:r>
      <w:r>
        <w:t>in</w:t>
      </w:r>
      <w:r>
        <w:rPr>
          <w:spacing w:val="18"/>
        </w:rPr>
        <w:t xml:space="preserve"> </w:t>
      </w:r>
      <w:r>
        <w:t>different</w:t>
      </w:r>
      <w:r>
        <w:rPr>
          <w:spacing w:val="17"/>
        </w:rPr>
        <w:t xml:space="preserve"> </w:t>
      </w:r>
      <w:r>
        <w:t>ways</w:t>
      </w:r>
      <w:r>
        <w:rPr>
          <w:spacing w:val="18"/>
        </w:rPr>
        <w:t xml:space="preserve"> </w:t>
      </w:r>
      <w:r>
        <w:t>on</w:t>
      </w:r>
      <w:r>
        <w:rPr>
          <w:spacing w:val="17"/>
        </w:rPr>
        <w:t xml:space="preserve"> </w:t>
      </w:r>
      <w:r>
        <w:t>all</w:t>
      </w:r>
      <w:r>
        <w:rPr>
          <w:spacing w:val="18"/>
        </w:rPr>
        <w:t xml:space="preserve"> </w:t>
      </w:r>
      <w:r>
        <w:t>of</w:t>
      </w:r>
      <w:r>
        <w:rPr>
          <w:spacing w:val="17"/>
        </w:rPr>
        <w:t xml:space="preserve"> </w:t>
      </w:r>
      <w:r>
        <w:t>these</w:t>
      </w:r>
      <w:r>
        <w:rPr>
          <w:spacing w:val="18"/>
        </w:rPr>
        <w:t xml:space="preserve"> </w:t>
      </w:r>
      <w:r>
        <w:rPr>
          <w:spacing w:val="-2"/>
        </w:rPr>
        <w:t>different</w:t>
      </w:r>
    </w:p>
    <w:p w14:paraId="7E002501" w14:textId="77777777" w:rsidR="009A58DB" w:rsidRDefault="00000000">
      <w:pPr>
        <w:pStyle w:val="BodyText"/>
        <w:spacing w:line="316" w:lineRule="exact"/>
      </w:pPr>
      <w:r>
        <w:t>occasions.</w:t>
      </w:r>
      <w:r>
        <w:rPr>
          <w:spacing w:val="68"/>
        </w:rPr>
        <w:t xml:space="preserve"> </w:t>
      </w:r>
      <w:r>
        <w:t>Maybe</w:t>
      </w:r>
      <w:r>
        <w:rPr>
          <w:spacing w:val="69"/>
        </w:rPr>
        <w:t xml:space="preserve"> </w:t>
      </w:r>
      <w:r>
        <w:t>at</w:t>
      </w:r>
      <w:r>
        <w:rPr>
          <w:spacing w:val="69"/>
        </w:rPr>
        <w:t xml:space="preserve"> </w:t>
      </w:r>
      <w:r>
        <w:t>t</w:t>
      </w:r>
      <w:r>
        <w:rPr>
          <w:vertAlign w:val="subscript"/>
        </w:rPr>
        <w:t>1</w:t>
      </w:r>
      <w:r>
        <w:rPr>
          <w:spacing w:val="69"/>
        </w:rPr>
        <w:t xml:space="preserve"> </w:t>
      </w:r>
      <w:r>
        <w:t>it</w:t>
      </w:r>
      <w:r>
        <w:rPr>
          <w:spacing w:val="69"/>
        </w:rPr>
        <w:t xml:space="preserve"> </w:t>
      </w:r>
      <w:r>
        <w:t>feels</w:t>
      </w:r>
      <w:r>
        <w:rPr>
          <w:spacing w:val="70"/>
        </w:rPr>
        <w:t xml:space="preserve"> </w:t>
      </w:r>
      <w:r>
        <w:t>good</w:t>
      </w:r>
      <w:r>
        <w:rPr>
          <w:spacing w:val="69"/>
        </w:rPr>
        <w:t xml:space="preserve"> </w:t>
      </w:r>
      <w:r>
        <w:t>in</w:t>
      </w:r>
      <w:r>
        <w:rPr>
          <w:spacing w:val="70"/>
        </w:rPr>
        <w:t xml:space="preserve"> </w:t>
      </w:r>
      <w:r>
        <w:t>the</w:t>
      </w:r>
      <w:r>
        <w:rPr>
          <w:spacing w:val="69"/>
        </w:rPr>
        <w:t xml:space="preserve"> </w:t>
      </w:r>
      <w:r>
        <w:t>way</w:t>
      </w:r>
      <w:r>
        <w:rPr>
          <w:spacing w:val="69"/>
        </w:rPr>
        <w:t xml:space="preserve"> </w:t>
      </w:r>
      <w:r>
        <w:t>that</w:t>
      </w:r>
      <w:r>
        <w:rPr>
          <w:spacing w:val="70"/>
        </w:rPr>
        <w:t xml:space="preserve"> </w:t>
      </w:r>
      <w:r>
        <w:t>somebody</w:t>
      </w:r>
      <w:r>
        <w:rPr>
          <w:spacing w:val="69"/>
        </w:rPr>
        <w:t xml:space="preserve"> </w:t>
      </w:r>
      <w:r>
        <w:t>eating</w:t>
      </w:r>
      <w:r>
        <w:rPr>
          <w:spacing w:val="69"/>
        </w:rPr>
        <w:t xml:space="preserve"> </w:t>
      </w:r>
      <w:r>
        <w:rPr>
          <w:spacing w:val="-10"/>
        </w:rPr>
        <w:t>a</w:t>
      </w:r>
    </w:p>
    <w:p w14:paraId="7E002502" w14:textId="77777777" w:rsidR="009A58DB" w:rsidRDefault="00000000">
      <w:pPr>
        <w:pStyle w:val="BodyText"/>
        <w:spacing w:before="75" w:line="271" w:lineRule="auto"/>
        <w:ind w:right="362"/>
      </w:pPr>
      <w:r>
        <w:t>delicious chocolate bar feels good. Maybe at time t</w:t>
      </w:r>
      <w:r>
        <w:rPr>
          <w:vertAlign w:val="subscript"/>
        </w:rPr>
        <w:t>2</w:t>
      </w:r>
      <w:r>
        <w:t>, it feels good in the way that stepping into a hot bath feels good. And so on. But it doesn’t synthesize these</w:t>
      </w:r>
      <w:r>
        <w:rPr>
          <w:spacing w:val="4"/>
        </w:rPr>
        <w:t xml:space="preserve"> </w:t>
      </w:r>
      <w:r>
        <w:t>various</w:t>
      </w:r>
      <w:r>
        <w:rPr>
          <w:spacing w:val="8"/>
        </w:rPr>
        <w:t xml:space="preserve"> </w:t>
      </w:r>
      <w:r>
        <w:t>experiences;</w:t>
      </w:r>
      <w:r>
        <w:rPr>
          <w:spacing w:val="7"/>
        </w:rPr>
        <w:t xml:space="preserve"> </w:t>
      </w:r>
      <w:r>
        <w:t>it</w:t>
      </w:r>
      <w:r>
        <w:rPr>
          <w:spacing w:val="7"/>
        </w:rPr>
        <w:t xml:space="preserve"> </w:t>
      </w:r>
      <w:r>
        <w:t>does</w:t>
      </w:r>
      <w:r>
        <w:rPr>
          <w:spacing w:val="7"/>
        </w:rPr>
        <w:t xml:space="preserve"> </w:t>
      </w:r>
      <w:r>
        <w:t>not,</w:t>
      </w:r>
      <w:r>
        <w:rPr>
          <w:spacing w:val="8"/>
        </w:rPr>
        <w:t xml:space="preserve"> </w:t>
      </w:r>
      <w:r>
        <w:t>on</w:t>
      </w:r>
      <w:r>
        <w:rPr>
          <w:spacing w:val="7"/>
        </w:rPr>
        <w:t xml:space="preserve"> </w:t>
      </w:r>
      <w:r>
        <w:t>the</w:t>
      </w:r>
      <w:r>
        <w:rPr>
          <w:spacing w:val="8"/>
        </w:rPr>
        <w:t xml:space="preserve"> </w:t>
      </w:r>
      <w:r>
        <w:t>basis</w:t>
      </w:r>
      <w:r>
        <w:rPr>
          <w:spacing w:val="6"/>
        </w:rPr>
        <w:t xml:space="preserve"> </w:t>
      </w:r>
      <w:r>
        <w:t>of</w:t>
      </w:r>
      <w:r>
        <w:rPr>
          <w:spacing w:val="8"/>
        </w:rPr>
        <w:t xml:space="preserve"> </w:t>
      </w:r>
      <w:r>
        <w:t>them,</w:t>
      </w:r>
      <w:r>
        <w:rPr>
          <w:spacing w:val="8"/>
        </w:rPr>
        <w:t xml:space="preserve"> </w:t>
      </w:r>
      <w:r>
        <w:t>define</w:t>
      </w:r>
      <w:r>
        <w:rPr>
          <w:spacing w:val="7"/>
        </w:rPr>
        <w:t xml:space="preserve"> </w:t>
      </w:r>
      <w:r>
        <w:rPr>
          <w:spacing w:val="-2"/>
        </w:rPr>
        <w:t>objectives</w:t>
      </w:r>
    </w:p>
    <w:p w14:paraId="7E002503" w14:textId="77777777" w:rsidR="009A58DB" w:rsidRDefault="00000000">
      <w:pPr>
        <w:pStyle w:val="BodyText"/>
        <w:spacing w:line="316" w:lineRule="exact"/>
      </w:pPr>
      <w:r>
        <w:t>for</w:t>
      </w:r>
      <w:r>
        <w:rPr>
          <w:spacing w:val="8"/>
        </w:rPr>
        <w:t xml:space="preserve"> </w:t>
      </w:r>
      <w:r>
        <w:t>itself</w:t>
      </w:r>
      <w:r>
        <w:rPr>
          <w:spacing w:val="10"/>
        </w:rPr>
        <w:t xml:space="preserve"> </w:t>
      </w:r>
      <w:r>
        <w:t>that</w:t>
      </w:r>
      <w:r>
        <w:rPr>
          <w:spacing w:val="10"/>
        </w:rPr>
        <w:t xml:space="preserve"> </w:t>
      </w:r>
      <w:r>
        <w:t>it</w:t>
      </w:r>
      <w:r>
        <w:rPr>
          <w:spacing w:val="10"/>
        </w:rPr>
        <w:t xml:space="preserve"> </w:t>
      </w:r>
      <w:r>
        <w:t>then</w:t>
      </w:r>
      <w:r>
        <w:rPr>
          <w:spacing w:val="10"/>
        </w:rPr>
        <w:t xml:space="preserve"> </w:t>
      </w:r>
      <w:r>
        <w:t>attempts</w:t>
      </w:r>
      <w:r>
        <w:rPr>
          <w:spacing w:val="10"/>
        </w:rPr>
        <w:t xml:space="preserve"> </w:t>
      </w:r>
      <w:r>
        <w:t>to</w:t>
      </w:r>
      <w:r>
        <w:rPr>
          <w:spacing w:val="11"/>
        </w:rPr>
        <w:t xml:space="preserve"> </w:t>
      </w:r>
      <w:r>
        <w:t>realize.</w:t>
      </w:r>
      <w:r>
        <w:rPr>
          <w:spacing w:val="10"/>
        </w:rPr>
        <w:t xml:space="preserve"> </w:t>
      </w:r>
      <w:r>
        <w:t>No—everything</w:t>
      </w:r>
      <w:r>
        <w:rPr>
          <w:spacing w:val="10"/>
        </w:rPr>
        <w:t xml:space="preserve"> </w:t>
      </w:r>
      <w:r>
        <w:t>is</w:t>
      </w:r>
      <w:r>
        <w:rPr>
          <w:spacing w:val="10"/>
        </w:rPr>
        <w:t xml:space="preserve"> </w:t>
      </w:r>
      <w:r>
        <w:t>handed</w:t>
      </w:r>
      <w:r>
        <w:rPr>
          <w:spacing w:val="10"/>
        </w:rPr>
        <w:t xml:space="preserve"> </w:t>
      </w:r>
      <w:r>
        <w:t>to</w:t>
      </w:r>
      <w:r>
        <w:rPr>
          <w:spacing w:val="10"/>
        </w:rPr>
        <w:t xml:space="preserve"> </w:t>
      </w:r>
      <w:r>
        <w:t>it.</w:t>
      </w:r>
      <w:r>
        <w:rPr>
          <w:spacing w:val="12"/>
        </w:rPr>
        <w:t xml:space="preserve"> </w:t>
      </w:r>
      <w:r>
        <w:rPr>
          <w:spacing w:val="-4"/>
        </w:rPr>
        <w:t>Life</w:t>
      </w:r>
    </w:p>
    <w:p w14:paraId="7E002504" w14:textId="77777777" w:rsidR="009A58DB" w:rsidRDefault="00000000">
      <w:pPr>
        <w:pStyle w:val="BodyText"/>
        <w:spacing w:before="15" w:line="249" w:lineRule="auto"/>
        <w:ind w:right="365"/>
      </w:pPr>
      <w:r>
        <w:t xml:space="preserve">is just one good feeling after another. It doesn’t have to aspire towards anything. Nor does it want to. Nor indeed does it want </w:t>
      </w:r>
      <w:r>
        <w:rPr>
          <w:i/>
        </w:rPr>
        <w:t>anything.</w:t>
      </w:r>
      <w:r>
        <w:rPr>
          <w:i/>
          <w:spacing w:val="-2"/>
        </w:rPr>
        <w:t xml:space="preserve"> </w:t>
      </w:r>
      <w:r>
        <w:t xml:space="preserve">X just </w:t>
      </w:r>
      <w:r>
        <w:rPr>
          <w:i/>
        </w:rPr>
        <w:t xml:space="preserve">feels. </w:t>
      </w:r>
      <w:r>
        <w:t>And it feels good. But not just good—ecstatic.</w:t>
      </w:r>
    </w:p>
    <w:p w14:paraId="7E002505" w14:textId="77777777" w:rsidR="009A58DB" w:rsidRDefault="00000000">
      <w:pPr>
        <w:pStyle w:val="BodyText"/>
        <w:spacing w:before="4"/>
        <w:ind w:left="720"/>
      </w:pPr>
      <w:r>
        <w:t>But is</w:t>
      </w:r>
      <w:r>
        <w:rPr>
          <w:spacing w:val="2"/>
        </w:rPr>
        <w:t xml:space="preserve"> </w:t>
      </w:r>
      <w:r>
        <w:t>it</w:t>
      </w:r>
      <w:r>
        <w:rPr>
          <w:spacing w:val="4"/>
        </w:rPr>
        <w:t xml:space="preserve"> </w:t>
      </w:r>
      <w:r>
        <w:rPr>
          <w:i/>
        </w:rPr>
        <w:t>happy?</w:t>
      </w:r>
      <w:r>
        <w:rPr>
          <w:i/>
          <w:spacing w:val="-2"/>
        </w:rPr>
        <w:t xml:space="preserve"> </w:t>
      </w:r>
      <w:r>
        <w:t>X</w:t>
      </w:r>
      <w:r>
        <w:rPr>
          <w:spacing w:val="6"/>
        </w:rPr>
        <w:t xml:space="preserve"> </w:t>
      </w:r>
      <w:r>
        <w:t>isn’t</w:t>
      </w:r>
      <w:r>
        <w:rPr>
          <w:spacing w:val="5"/>
        </w:rPr>
        <w:t xml:space="preserve"> </w:t>
      </w:r>
      <w:r>
        <w:rPr>
          <w:i/>
        </w:rPr>
        <w:t>un</w:t>
      </w:r>
      <w:r>
        <w:t>happy.</w:t>
      </w:r>
      <w:r>
        <w:rPr>
          <w:spacing w:val="11"/>
        </w:rPr>
        <w:t xml:space="preserve"> </w:t>
      </w:r>
      <w:r>
        <w:t>But</w:t>
      </w:r>
      <w:r>
        <w:rPr>
          <w:spacing w:val="11"/>
        </w:rPr>
        <w:t xml:space="preserve"> </w:t>
      </w:r>
      <w:r>
        <w:t>it</w:t>
      </w:r>
      <w:r>
        <w:rPr>
          <w:spacing w:val="10"/>
        </w:rPr>
        <w:t xml:space="preserve"> </w:t>
      </w:r>
      <w:r>
        <w:t>isn’t</w:t>
      </w:r>
      <w:r>
        <w:rPr>
          <w:spacing w:val="10"/>
        </w:rPr>
        <w:t xml:space="preserve"> </w:t>
      </w:r>
      <w:r>
        <w:t>happy</w:t>
      </w:r>
      <w:r>
        <w:rPr>
          <w:spacing w:val="12"/>
        </w:rPr>
        <w:t xml:space="preserve"> </w:t>
      </w:r>
      <w:r>
        <w:t>either.</w:t>
      </w:r>
      <w:r>
        <w:rPr>
          <w:spacing w:val="11"/>
        </w:rPr>
        <w:t xml:space="preserve"> </w:t>
      </w:r>
      <w:r>
        <w:t>The</w:t>
      </w:r>
      <w:r>
        <w:rPr>
          <w:spacing w:val="11"/>
        </w:rPr>
        <w:t xml:space="preserve"> </w:t>
      </w:r>
      <w:r>
        <w:t>concept</w:t>
      </w:r>
      <w:r>
        <w:rPr>
          <w:spacing w:val="11"/>
        </w:rPr>
        <w:t xml:space="preserve"> </w:t>
      </w:r>
      <w:r>
        <w:rPr>
          <w:spacing w:val="-5"/>
        </w:rPr>
        <w:t>of</w:t>
      </w:r>
    </w:p>
    <w:p w14:paraId="7E002506" w14:textId="77777777" w:rsidR="009A58DB" w:rsidRDefault="009A58DB">
      <w:pPr>
        <w:pStyle w:val="BodyText"/>
        <w:sectPr w:rsidR="009A58DB">
          <w:pgSz w:w="12240" w:h="15840"/>
          <w:pgMar w:top="1380" w:right="1080" w:bottom="280" w:left="1080" w:header="720" w:footer="720" w:gutter="0"/>
          <w:cols w:space="720"/>
        </w:sectPr>
      </w:pPr>
    </w:p>
    <w:p w14:paraId="7E002507" w14:textId="77777777" w:rsidR="009A58DB" w:rsidRDefault="00000000">
      <w:pPr>
        <w:pStyle w:val="BodyText"/>
        <w:spacing w:before="65" w:line="249" w:lineRule="auto"/>
        <w:ind w:right="358"/>
      </w:pPr>
      <w:r>
        <w:lastRenderedPageBreak/>
        <w:t>happiness is inapplicable. Rocks are neither happy nor unhappy. They don’t meet the prerequisites for happiness or unhappiness. One such prerequisite is being animate. Rocks don’t satisfy that condition. X does. But there are other such prerequisites that X fails to fulfill.</w:t>
      </w:r>
    </w:p>
    <w:p w14:paraId="7E002508" w14:textId="77777777" w:rsidR="009A58DB" w:rsidRDefault="00000000">
      <w:pPr>
        <w:pStyle w:val="BodyText"/>
        <w:spacing w:before="5" w:line="249" w:lineRule="auto"/>
        <w:ind w:right="359" w:firstLine="360"/>
      </w:pPr>
      <w:r>
        <w:t xml:space="preserve">What’s missing? First of all, it isn’t clear what “X” refers to. “Joe Biden” refers to a person. That person has a body, and that body is integrally involved in that person’s existence. But “Joe Biden” refers to the </w:t>
      </w:r>
      <w:r>
        <w:rPr>
          <w:i/>
        </w:rPr>
        <w:t xml:space="preserve">person </w:t>
      </w:r>
      <w:r>
        <w:t>whose</w:t>
      </w:r>
      <w:r>
        <w:rPr>
          <w:spacing w:val="-2"/>
        </w:rPr>
        <w:t xml:space="preserve"> </w:t>
      </w:r>
      <w:r>
        <w:t>existence</w:t>
      </w:r>
      <w:r>
        <w:rPr>
          <w:spacing w:val="-1"/>
        </w:rPr>
        <w:t xml:space="preserve"> </w:t>
      </w:r>
      <w:r>
        <w:t>is</w:t>
      </w:r>
      <w:r>
        <w:rPr>
          <w:spacing w:val="-2"/>
        </w:rPr>
        <w:t xml:space="preserve"> </w:t>
      </w:r>
      <w:r>
        <w:t>maintained,</w:t>
      </w:r>
      <w:r>
        <w:rPr>
          <w:spacing w:val="-1"/>
        </w:rPr>
        <w:t xml:space="preserve"> </w:t>
      </w:r>
      <w:r>
        <w:t>in</w:t>
      </w:r>
      <w:r>
        <w:rPr>
          <w:spacing w:val="-2"/>
        </w:rPr>
        <w:t xml:space="preserve"> </w:t>
      </w:r>
      <w:r>
        <w:t>some</w:t>
      </w:r>
      <w:r>
        <w:rPr>
          <w:spacing w:val="-1"/>
        </w:rPr>
        <w:t xml:space="preserve"> </w:t>
      </w:r>
      <w:r>
        <w:t>way</w:t>
      </w:r>
      <w:r>
        <w:rPr>
          <w:spacing w:val="-1"/>
        </w:rPr>
        <w:t xml:space="preserve"> </w:t>
      </w:r>
      <w:r>
        <w:t>or</w:t>
      </w:r>
      <w:r>
        <w:rPr>
          <w:spacing w:val="-2"/>
        </w:rPr>
        <w:t xml:space="preserve"> </w:t>
      </w:r>
      <w:r>
        <w:t>other,</w:t>
      </w:r>
      <w:r>
        <w:rPr>
          <w:spacing w:val="-1"/>
        </w:rPr>
        <w:t xml:space="preserve"> </w:t>
      </w:r>
      <w:r>
        <w:t>by</w:t>
      </w:r>
      <w:r>
        <w:rPr>
          <w:spacing w:val="-2"/>
        </w:rPr>
        <w:t xml:space="preserve"> </w:t>
      </w:r>
      <w:r>
        <w:t>that</w:t>
      </w:r>
      <w:r>
        <w:rPr>
          <w:spacing w:val="-1"/>
        </w:rPr>
        <w:t xml:space="preserve"> </w:t>
      </w:r>
      <w:r>
        <w:t>body,</w:t>
      </w:r>
      <w:r>
        <w:rPr>
          <w:spacing w:val="-2"/>
        </w:rPr>
        <w:t xml:space="preserve"> </w:t>
      </w:r>
      <w:r>
        <w:t>not</w:t>
      </w:r>
      <w:r>
        <w:rPr>
          <w:spacing w:val="-1"/>
        </w:rPr>
        <w:t xml:space="preserve"> </w:t>
      </w:r>
      <w:r>
        <w:t>to</w:t>
      </w:r>
      <w:r>
        <w:rPr>
          <w:spacing w:val="-1"/>
        </w:rPr>
        <w:t xml:space="preserve"> </w:t>
      </w:r>
      <w:r>
        <w:t>that body per se. If that body had been born without a brain, surely Joe Biden would never have existed (or so I argue in Chapter 16). And if that body slips into a vegetative coma, and it’s known beyond any doubt that there is no possibility of any resumption of mental functioning, Joe Biden is “gone,” in some</w:t>
      </w:r>
      <w:r>
        <w:rPr>
          <w:spacing w:val="-4"/>
        </w:rPr>
        <w:t xml:space="preserve"> </w:t>
      </w:r>
      <w:r>
        <w:t>very</w:t>
      </w:r>
      <w:r>
        <w:rPr>
          <w:spacing w:val="-3"/>
        </w:rPr>
        <w:t xml:space="preserve"> </w:t>
      </w:r>
      <w:r>
        <w:t>significant</w:t>
      </w:r>
      <w:r>
        <w:rPr>
          <w:spacing w:val="-4"/>
        </w:rPr>
        <w:t xml:space="preserve"> </w:t>
      </w:r>
      <w:r>
        <w:t>sense.</w:t>
      </w:r>
      <w:r>
        <w:rPr>
          <w:spacing w:val="-3"/>
        </w:rPr>
        <w:t xml:space="preserve"> </w:t>
      </w:r>
      <w:r>
        <w:t>But</w:t>
      </w:r>
      <w:r>
        <w:rPr>
          <w:spacing w:val="-4"/>
        </w:rPr>
        <w:t xml:space="preserve"> </w:t>
      </w:r>
      <w:r>
        <w:t>the</w:t>
      </w:r>
      <w:r>
        <w:rPr>
          <w:spacing w:val="-4"/>
        </w:rPr>
        <w:t xml:space="preserve"> </w:t>
      </w:r>
      <w:r>
        <w:t>body</w:t>
      </w:r>
      <w:r>
        <w:rPr>
          <w:spacing w:val="-3"/>
        </w:rPr>
        <w:t xml:space="preserve"> </w:t>
      </w:r>
      <w:r>
        <w:t>isn’t</w:t>
      </w:r>
      <w:r>
        <w:rPr>
          <w:spacing w:val="-4"/>
        </w:rPr>
        <w:t xml:space="preserve"> </w:t>
      </w:r>
      <w:r>
        <w:t>gone.</w:t>
      </w:r>
      <w:r>
        <w:rPr>
          <w:spacing w:val="-3"/>
        </w:rPr>
        <w:t xml:space="preserve"> </w:t>
      </w:r>
      <w:r>
        <w:t>So</w:t>
      </w:r>
      <w:r>
        <w:rPr>
          <w:spacing w:val="-3"/>
        </w:rPr>
        <w:t xml:space="preserve"> </w:t>
      </w:r>
      <w:r>
        <w:t>“Joe</w:t>
      </w:r>
      <w:r>
        <w:rPr>
          <w:spacing w:val="-4"/>
        </w:rPr>
        <w:t xml:space="preserve"> </w:t>
      </w:r>
      <w:r>
        <w:t>Biden”</w:t>
      </w:r>
      <w:r>
        <w:rPr>
          <w:spacing w:val="-4"/>
        </w:rPr>
        <w:t xml:space="preserve"> </w:t>
      </w:r>
      <w:r>
        <w:t>does</w:t>
      </w:r>
      <w:r>
        <w:rPr>
          <w:spacing w:val="-4"/>
        </w:rPr>
        <w:t xml:space="preserve"> </w:t>
      </w:r>
      <w:r>
        <w:t>not refer</w:t>
      </w:r>
      <w:r>
        <w:rPr>
          <w:spacing w:val="-1"/>
        </w:rPr>
        <w:t xml:space="preserve"> </w:t>
      </w:r>
      <w:r>
        <w:t>to</w:t>
      </w:r>
      <w:r>
        <w:rPr>
          <w:spacing w:val="-1"/>
        </w:rPr>
        <w:t xml:space="preserve"> </w:t>
      </w:r>
      <w:r>
        <w:t>a</w:t>
      </w:r>
      <w:r>
        <w:rPr>
          <w:spacing w:val="-1"/>
        </w:rPr>
        <w:t xml:space="preserve"> </w:t>
      </w:r>
      <w:r>
        <w:t>body,</w:t>
      </w:r>
      <w:r>
        <w:rPr>
          <w:spacing w:val="-1"/>
        </w:rPr>
        <w:t xml:space="preserve"> </w:t>
      </w:r>
      <w:r>
        <w:t>but</w:t>
      </w:r>
      <w:r>
        <w:rPr>
          <w:spacing w:val="-1"/>
        </w:rPr>
        <w:t xml:space="preserve"> </w:t>
      </w:r>
      <w:r>
        <w:t>to</w:t>
      </w:r>
      <w:r>
        <w:rPr>
          <w:spacing w:val="-1"/>
        </w:rPr>
        <w:t xml:space="preserve"> </w:t>
      </w:r>
      <w:r>
        <w:t>a</w:t>
      </w:r>
      <w:r>
        <w:rPr>
          <w:spacing w:val="-1"/>
        </w:rPr>
        <w:t xml:space="preserve"> </w:t>
      </w:r>
      <w:r>
        <w:t>person—an</w:t>
      </w:r>
      <w:r>
        <w:rPr>
          <w:spacing w:val="-1"/>
        </w:rPr>
        <w:t xml:space="preserve"> </w:t>
      </w:r>
      <w:r>
        <w:t>animate</w:t>
      </w:r>
      <w:r>
        <w:rPr>
          <w:spacing w:val="-1"/>
        </w:rPr>
        <w:t xml:space="preserve"> </w:t>
      </w:r>
      <w:r>
        <w:t>entity—that</w:t>
      </w:r>
      <w:r>
        <w:rPr>
          <w:spacing w:val="-1"/>
        </w:rPr>
        <w:t xml:space="preserve"> </w:t>
      </w:r>
      <w:r>
        <w:t>depends</w:t>
      </w:r>
      <w:r>
        <w:rPr>
          <w:spacing w:val="-1"/>
        </w:rPr>
        <w:t xml:space="preserve"> </w:t>
      </w:r>
      <w:r>
        <w:t>on</w:t>
      </w:r>
      <w:r>
        <w:rPr>
          <w:spacing w:val="-1"/>
        </w:rPr>
        <w:t xml:space="preserve"> </w:t>
      </w:r>
      <w:r>
        <w:t>a</w:t>
      </w:r>
      <w:r>
        <w:rPr>
          <w:spacing w:val="-1"/>
        </w:rPr>
        <w:t xml:space="preserve"> </w:t>
      </w:r>
      <w:r>
        <w:t>certain body. (“Joe Biden” refers to an embodied person. But it doesn’t refer to a body. Joe Biden’s body will outlast Joe Biden, sadly.)</w:t>
      </w:r>
    </w:p>
    <w:p w14:paraId="7E002509" w14:textId="77777777" w:rsidR="009A58DB" w:rsidRDefault="00000000">
      <w:pPr>
        <w:pStyle w:val="BodyText"/>
        <w:spacing w:before="14" w:line="249" w:lineRule="auto"/>
        <w:ind w:right="358" w:firstLine="360"/>
      </w:pPr>
      <w:r>
        <w:t>We give names to pets. And in most cases these names typically function like “Joe Biden.” “Fido” doesn’t refer to a body; it refers to an embodied presence—a</w:t>
      </w:r>
      <w:r>
        <w:rPr>
          <w:spacing w:val="-5"/>
        </w:rPr>
        <w:t xml:space="preserve"> </w:t>
      </w:r>
      <w:r>
        <w:t>friendly</w:t>
      </w:r>
      <w:r>
        <w:rPr>
          <w:spacing w:val="-4"/>
        </w:rPr>
        <w:t xml:space="preserve"> </w:t>
      </w:r>
      <w:r>
        <w:t>canine</w:t>
      </w:r>
      <w:r>
        <w:rPr>
          <w:spacing w:val="-5"/>
        </w:rPr>
        <w:t xml:space="preserve"> </w:t>
      </w:r>
      <w:r>
        <w:t>“personality”</w:t>
      </w:r>
      <w:r>
        <w:rPr>
          <w:spacing w:val="-5"/>
        </w:rPr>
        <w:t xml:space="preserve"> </w:t>
      </w:r>
      <w:r>
        <w:t>that,</w:t>
      </w:r>
      <w:r>
        <w:rPr>
          <w:spacing w:val="-4"/>
        </w:rPr>
        <w:t xml:space="preserve"> </w:t>
      </w:r>
      <w:r>
        <w:t>like</w:t>
      </w:r>
      <w:r>
        <w:rPr>
          <w:spacing w:val="-5"/>
        </w:rPr>
        <w:t xml:space="preserve"> </w:t>
      </w:r>
      <w:r>
        <w:t>my</w:t>
      </w:r>
      <w:r>
        <w:rPr>
          <w:spacing w:val="-4"/>
        </w:rPr>
        <w:t xml:space="preserve"> </w:t>
      </w:r>
      <w:r>
        <w:t>personality</w:t>
      </w:r>
      <w:r>
        <w:rPr>
          <w:spacing w:val="-4"/>
        </w:rPr>
        <w:t xml:space="preserve"> </w:t>
      </w:r>
      <w:r>
        <w:t>and</w:t>
      </w:r>
      <w:r>
        <w:rPr>
          <w:spacing w:val="-4"/>
        </w:rPr>
        <w:t xml:space="preserve"> </w:t>
      </w:r>
      <w:r>
        <w:t>yours, depends for its existence in some important way on that of a certain body.</w:t>
      </w:r>
    </w:p>
    <w:p w14:paraId="7E00250A" w14:textId="77777777" w:rsidR="009A58DB" w:rsidRDefault="00000000">
      <w:pPr>
        <w:pStyle w:val="BodyText"/>
        <w:spacing w:before="5" w:line="249" w:lineRule="auto"/>
        <w:ind w:right="362" w:firstLine="360"/>
      </w:pPr>
      <w:r>
        <w:t>Oftentimes, we use proper names to refer to purely physical entities. We give names to mountains, valleys, bays, rocks, trees, geysers, waterfalls, etc. Such names aren’t referring to things that, like you and me, are embodied; such names refer to the bodies themselves, not to the things that have them. So “Mt. Everest” refers, not to something embodied in a certain wrinkle of the Earth’s surface, but to that wrinkle itself; and that name thus seems to be functioning in a very different way from “Joe Biden” and “Fido.”</w:t>
      </w:r>
    </w:p>
    <w:p w14:paraId="7E00250B" w14:textId="77777777" w:rsidR="009A58DB" w:rsidRDefault="00000000">
      <w:pPr>
        <w:pStyle w:val="BodyText"/>
        <w:spacing w:before="9" w:line="249" w:lineRule="auto"/>
        <w:ind w:right="358" w:firstLine="360"/>
      </w:pPr>
      <w:r>
        <w:t xml:space="preserve">How is “X” functioning? It’s obvious that some </w:t>
      </w:r>
      <w:r>
        <w:rPr>
          <w:i/>
        </w:rPr>
        <w:t>body</w:t>
      </w:r>
      <w:r>
        <w:rPr>
          <w:i/>
          <w:spacing w:val="-4"/>
        </w:rPr>
        <w:t xml:space="preserve"> </w:t>
      </w:r>
      <w:r>
        <w:t xml:space="preserve">is associated with X in some way; and that body could obviously be given a name. But is there something that </w:t>
      </w:r>
      <w:r>
        <w:rPr>
          <w:i/>
        </w:rPr>
        <w:t>has</w:t>
      </w:r>
      <w:r>
        <w:rPr>
          <w:i/>
          <w:spacing w:val="-3"/>
        </w:rPr>
        <w:t xml:space="preserve"> </w:t>
      </w:r>
      <w:r>
        <w:t xml:space="preserve">that body, in the way that you have your body and I have </w:t>
      </w:r>
      <w:r>
        <w:rPr>
          <w:spacing w:val="-2"/>
        </w:rPr>
        <w:t>mine?</w:t>
      </w:r>
    </w:p>
    <w:p w14:paraId="7E00250C" w14:textId="77777777" w:rsidR="009A58DB" w:rsidRDefault="00000000">
      <w:pPr>
        <w:pStyle w:val="BodyText"/>
        <w:spacing w:before="5" w:line="249" w:lineRule="auto"/>
        <w:ind w:right="358" w:firstLine="360"/>
      </w:pPr>
      <w:r>
        <w:t xml:space="preserve">How is “X” functioning? It’s obvious that some </w:t>
      </w:r>
      <w:r>
        <w:rPr>
          <w:i/>
        </w:rPr>
        <w:t>body</w:t>
      </w:r>
      <w:r>
        <w:rPr>
          <w:i/>
          <w:spacing w:val="-4"/>
        </w:rPr>
        <w:t xml:space="preserve"> </w:t>
      </w:r>
      <w:r>
        <w:t xml:space="preserve">is associated with X in some way. And, of course, that body could be given a name. But is there something that </w:t>
      </w:r>
      <w:r>
        <w:rPr>
          <w:i/>
        </w:rPr>
        <w:t>has</w:t>
      </w:r>
      <w:r>
        <w:rPr>
          <w:i/>
          <w:spacing w:val="-3"/>
        </w:rPr>
        <w:t xml:space="preserve"> </w:t>
      </w:r>
      <w:r>
        <w:t xml:space="preserve">that body, in the way that you have your body and I have </w:t>
      </w:r>
      <w:r>
        <w:rPr>
          <w:spacing w:val="-2"/>
        </w:rPr>
        <w:t>mine?</w:t>
      </w:r>
    </w:p>
    <w:p w14:paraId="7E00250D" w14:textId="77777777" w:rsidR="009A58DB" w:rsidRDefault="00000000">
      <w:pPr>
        <w:pStyle w:val="BodyText"/>
        <w:spacing w:before="5"/>
        <w:ind w:left="720"/>
      </w:pPr>
      <w:r>
        <w:t>We</w:t>
      </w:r>
      <w:r>
        <w:rPr>
          <w:spacing w:val="39"/>
        </w:rPr>
        <w:t xml:space="preserve"> </w:t>
      </w:r>
      <w:r>
        <w:t>must</w:t>
      </w:r>
      <w:r>
        <w:rPr>
          <w:spacing w:val="39"/>
        </w:rPr>
        <w:t xml:space="preserve"> </w:t>
      </w:r>
      <w:r>
        <w:t>take</w:t>
      </w:r>
      <w:r>
        <w:rPr>
          <w:spacing w:val="39"/>
        </w:rPr>
        <w:t xml:space="preserve"> </w:t>
      </w:r>
      <w:r>
        <w:t>care</w:t>
      </w:r>
      <w:r>
        <w:rPr>
          <w:spacing w:val="39"/>
        </w:rPr>
        <w:t xml:space="preserve"> </w:t>
      </w:r>
      <w:r>
        <w:t>not</w:t>
      </w:r>
      <w:r>
        <w:rPr>
          <w:spacing w:val="39"/>
        </w:rPr>
        <w:t xml:space="preserve"> </w:t>
      </w:r>
      <w:r>
        <w:t>to</w:t>
      </w:r>
      <w:r>
        <w:rPr>
          <w:spacing w:val="39"/>
        </w:rPr>
        <w:t xml:space="preserve"> </w:t>
      </w:r>
      <w:r>
        <w:t>impute</w:t>
      </w:r>
      <w:r>
        <w:rPr>
          <w:spacing w:val="40"/>
        </w:rPr>
        <w:t xml:space="preserve"> </w:t>
      </w:r>
      <w:r>
        <w:t>our</w:t>
      </w:r>
      <w:r>
        <w:rPr>
          <w:spacing w:val="39"/>
        </w:rPr>
        <w:t xml:space="preserve"> </w:t>
      </w:r>
      <w:r>
        <w:t>mental</w:t>
      </w:r>
      <w:r>
        <w:rPr>
          <w:spacing w:val="39"/>
        </w:rPr>
        <w:t xml:space="preserve"> </w:t>
      </w:r>
      <w:r>
        <w:t>states</w:t>
      </w:r>
      <w:r>
        <w:rPr>
          <w:spacing w:val="39"/>
        </w:rPr>
        <w:t xml:space="preserve"> </w:t>
      </w:r>
      <w:r>
        <w:t>to</w:t>
      </w:r>
      <w:r>
        <w:rPr>
          <w:spacing w:val="39"/>
        </w:rPr>
        <w:t xml:space="preserve"> </w:t>
      </w:r>
      <w:r>
        <w:t>X.</w:t>
      </w:r>
      <w:r>
        <w:rPr>
          <w:spacing w:val="39"/>
        </w:rPr>
        <w:t xml:space="preserve"> </w:t>
      </w:r>
      <w:r>
        <w:t>When</w:t>
      </w:r>
      <w:r>
        <w:rPr>
          <w:spacing w:val="39"/>
        </w:rPr>
        <w:t xml:space="preserve"> </w:t>
      </w:r>
      <w:r>
        <w:rPr>
          <w:i/>
        </w:rPr>
        <w:t>we</w:t>
      </w:r>
      <w:r>
        <w:rPr>
          <w:i/>
          <w:spacing w:val="43"/>
        </w:rPr>
        <w:t xml:space="preserve"> </w:t>
      </w:r>
      <w:r>
        <w:rPr>
          <w:spacing w:val="-4"/>
        </w:rPr>
        <w:t>feel</w:t>
      </w:r>
    </w:p>
    <w:p w14:paraId="7E00250E" w14:textId="77777777" w:rsidR="009A58DB" w:rsidRDefault="009A58DB">
      <w:pPr>
        <w:pStyle w:val="BodyText"/>
        <w:sectPr w:rsidR="009A58DB">
          <w:pgSz w:w="12240" w:h="15840"/>
          <w:pgMar w:top="1380" w:right="1080" w:bottom="280" w:left="1080" w:header="720" w:footer="720" w:gutter="0"/>
          <w:cols w:space="720"/>
        </w:sectPr>
      </w:pPr>
    </w:p>
    <w:p w14:paraId="7E00250F" w14:textId="77777777" w:rsidR="009A58DB" w:rsidRDefault="00000000">
      <w:pPr>
        <w:pStyle w:val="BodyText"/>
        <w:spacing w:before="65" w:line="249" w:lineRule="auto"/>
        <w:ind w:right="359"/>
      </w:pPr>
      <w:r>
        <w:lastRenderedPageBreak/>
        <w:t>pleasure,</w:t>
      </w:r>
      <w:r>
        <w:rPr>
          <w:spacing w:val="-3"/>
        </w:rPr>
        <w:t xml:space="preserve"> </w:t>
      </w:r>
      <w:r>
        <w:t>we</w:t>
      </w:r>
      <w:r>
        <w:rPr>
          <w:spacing w:val="-4"/>
        </w:rPr>
        <w:t xml:space="preserve"> </w:t>
      </w:r>
      <w:r>
        <w:t>don’t</w:t>
      </w:r>
      <w:r>
        <w:rPr>
          <w:spacing w:val="-4"/>
        </w:rPr>
        <w:t xml:space="preserve"> </w:t>
      </w:r>
      <w:r>
        <w:rPr>
          <w:i/>
        </w:rPr>
        <w:t>just</w:t>
      </w:r>
      <w:r>
        <w:rPr>
          <w:i/>
          <w:spacing w:val="-4"/>
        </w:rPr>
        <w:t xml:space="preserve"> </w:t>
      </w:r>
      <w:r>
        <w:t>feel pleasure. We put that feeling into a larger context. We think about where it came from; what it’s leading to; what it accompanies, how it bears on our objectives; whether we should feel guilty about it; whether it’s a healthy or an unhealthy development; whether other people can tell that we’re feeling it; whether, supposing it pleasurable, we’ll be able to recreate it; whether we’ll</w:t>
      </w:r>
      <w:r>
        <w:rPr>
          <w:spacing w:val="-1"/>
        </w:rPr>
        <w:t xml:space="preserve"> </w:t>
      </w:r>
      <w:r>
        <w:t>be able to recreate it without</w:t>
      </w:r>
      <w:r>
        <w:rPr>
          <w:spacing w:val="-1"/>
        </w:rPr>
        <w:t xml:space="preserve"> </w:t>
      </w:r>
      <w:r>
        <w:t>jeopardizing the welfare of people we care about (or who don’t care about but feel we</w:t>
      </w:r>
      <w:r>
        <w:rPr>
          <w:spacing w:val="40"/>
        </w:rPr>
        <w:t xml:space="preserve"> </w:t>
      </w:r>
      <w:r>
        <w:t>have a moral obligation towards); etc.</w:t>
      </w:r>
    </w:p>
    <w:p w14:paraId="7E002510" w14:textId="77777777" w:rsidR="009A58DB" w:rsidRDefault="00000000">
      <w:pPr>
        <w:pStyle w:val="BodyText"/>
        <w:spacing w:before="9" w:line="249" w:lineRule="auto"/>
        <w:ind w:right="358" w:firstLine="360"/>
      </w:pPr>
      <w:r>
        <w:t xml:space="preserve">When </w:t>
      </w:r>
      <w:r>
        <w:rPr>
          <w:i/>
        </w:rPr>
        <w:t xml:space="preserve">we </w:t>
      </w:r>
      <w:r>
        <w:t>have an experience, even one we consider base or trivial, we look it at through the lens of a preexisting structure, formed partly on the basis of other experiences, and that experience may, in its turn, become a part of such a structure. If it’s exceptionally (un)pleasant, we’ll try to remember what caused it so as to (not) recreate it.</w:t>
      </w:r>
    </w:p>
    <w:p w14:paraId="7E002511" w14:textId="77777777" w:rsidR="009A58DB" w:rsidRDefault="00000000">
      <w:pPr>
        <w:pStyle w:val="BodyText"/>
        <w:spacing w:before="7" w:line="249" w:lineRule="auto"/>
        <w:ind w:right="358" w:firstLine="360"/>
      </w:pPr>
      <w:r>
        <w:t>Our mental lives are therefore cumulative; and inherent in this cumulativeness is a certain self-consciousness. It is sometimes said that only human beings are self-conscious. If this is true, it is only in a narrow sense of the word “self-conscious.” The mental life of a dog or a cat is obviously cumulative in much the same way as ours. Because dogs and cats aren’t as good at we are at thinking abstractly, what they know is much more tightly tethered to their perceptual experiences than what we know is tethered to ours. But their psychological lives don’t consist of mutually disconnected, isolated mental episodes. Like us, they learn, develop attitudes, and have desires. And, possibly, they even have objectives.</w:t>
      </w:r>
    </w:p>
    <w:p w14:paraId="7E002512" w14:textId="77777777" w:rsidR="009A58DB" w:rsidRDefault="00000000">
      <w:pPr>
        <w:pStyle w:val="BodyText"/>
        <w:spacing w:before="12" w:line="249" w:lineRule="auto"/>
        <w:ind w:right="360" w:firstLine="360"/>
      </w:pPr>
      <w:r>
        <w:t>But none of this holds of X. In X’s case, one state is followed by another; and</w:t>
      </w:r>
      <w:r>
        <w:rPr>
          <w:spacing w:val="-2"/>
        </w:rPr>
        <w:t xml:space="preserve"> </w:t>
      </w:r>
      <w:r>
        <w:t>that</w:t>
      </w:r>
      <w:r>
        <w:rPr>
          <w:spacing w:val="-2"/>
        </w:rPr>
        <w:t xml:space="preserve"> </w:t>
      </w:r>
      <w:r>
        <w:t>one</w:t>
      </w:r>
      <w:r>
        <w:rPr>
          <w:spacing w:val="-2"/>
        </w:rPr>
        <w:t xml:space="preserve"> </w:t>
      </w:r>
      <w:r>
        <w:t>is</w:t>
      </w:r>
      <w:r>
        <w:rPr>
          <w:spacing w:val="-1"/>
        </w:rPr>
        <w:t xml:space="preserve"> </w:t>
      </w:r>
      <w:r>
        <w:t>followed</w:t>
      </w:r>
      <w:r>
        <w:rPr>
          <w:spacing w:val="-2"/>
        </w:rPr>
        <w:t xml:space="preserve"> </w:t>
      </w:r>
      <w:r>
        <w:t>by</w:t>
      </w:r>
      <w:r>
        <w:rPr>
          <w:spacing w:val="-1"/>
        </w:rPr>
        <w:t xml:space="preserve"> </w:t>
      </w:r>
      <w:r>
        <w:t>a</w:t>
      </w:r>
      <w:r>
        <w:rPr>
          <w:spacing w:val="-2"/>
        </w:rPr>
        <w:t xml:space="preserve"> </w:t>
      </w:r>
      <w:r>
        <w:t>third;</w:t>
      </w:r>
      <w:r>
        <w:rPr>
          <w:spacing w:val="-2"/>
        </w:rPr>
        <w:t xml:space="preserve"> </w:t>
      </w:r>
      <w:r>
        <w:t>and</w:t>
      </w:r>
      <w:r>
        <w:rPr>
          <w:spacing w:val="-2"/>
        </w:rPr>
        <w:t xml:space="preserve"> </w:t>
      </w:r>
      <w:r>
        <w:t>so</w:t>
      </w:r>
      <w:r>
        <w:rPr>
          <w:spacing w:val="-1"/>
        </w:rPr>
        <w:t xml:space="preserve"> </w:t>
      </w:r>
      <w:r>
        <w:t>on</w:t>
      </w:r>
      <w:r>
        <w:rPr>
          <w:spacing w:val="-2"/>
        </w:rPr>
        <w:t xml:space="preserve"> </w:t>
      </w:r>
      <w:r>
        <w:t>indefinitely.</w:t>
      </w:r>
      <w:r>
        <w:rPr>
          <w:spacing w:val="-1"/>
        </w:rPr>
        <w:t xml:space="preserve"> </w:t>
      </w:r>
      <w:r>
        <w:t>But</w:t>
      </w:r>
      <w:r>
        <w:rPr>
          <w:spacing w:val="-2"/>
        </w:rPr>
        <w:t xml:space="preserve"> </w:t>
      </w:r>
      <w:r>
        <w:t>X’s</w:t>
      </w:r>
      <w:r>
        <w:rPr>
          <w:spacing w:val="-1"/>
        </w:rPr>
        <w:t xml:space="preserve"> </w:t>
      </w:r>
      <w:r>
        <w:t>mental</w:t>
      </w:r>
      <w:r>
        <w:rPr>
          <w:spacing w:val="-2"/>
        </w:rPr>
        <w:t xml:space="preserve"> </w:t>
      </w:r>
      <w:r>
        <w:t xml:space="preserve">life isn’t cumulative, at least not in the sense just described. True—X is animate. In any case, the body associated with the expression “X” is animated by certain mental states. But it isn’t so clear that there is a subject </w:t>
      </w:r>
      <w:r>
        <w:rPr>
          <w:i/>
        </w:rPr>
        <w:t xml:space="preserve">in </w:t>
      </w:r>
      <w:r>
        <w:t>that</w:t>
      </w:r>
      <w:r>
        <w:rPr>
          <w:spacing w:val="26"/>
        </w:rPr>
        <w:t xml:space="preserve"> </w:t>
      </w:r>
      <w:r>
        <w:t xml:space="preserve">body. In fact, there seems </w:t>
      </w:r>
      <w:r>
        <w:rPr>
          <w:i/>
        </w:rPr>
        <w:t xml:space="preserve">not </w:t>
      </w:r>
      <w:r>
        <w:t>to be.</w:t>
      </w:r>
    </w:p>
    <w:p w14:paraId="7E002513" w14:textId="77777777" w:rsidR="009A58DB" w:rsidRDefault="00000000">
      <w:pPr>
        <w:pStyle w:val="BodyText"/>
        <w:spacing w:before="7" w:line="249" w:lineRule="auto"/>
        <w:ind w:right="358" w:firstLine="360"/>
      </w:pPr>
      <w:r>
        <w:t xml:space="preserve">For there to be a subject, it isn’t enough that there be mental events. There must be a structure that not only responds to these events but does so in accordance with views as to how it </w:t>
      </w:r>
      <w:r>
        <w:rPr>
          <w:i/>
        </w:rPr>
        <w:t xml:space="preserve">should </w:t>
      </w:r>
      <w:r>
        <w:t xml:space="preserve">respond to them. Mere sequences of mental events are not enough for subject-hood. </w:t>
      </w:r>
      <w:r>
        <w:rPr>
          <w:i/>
        </w:rPr>
        <w:t xml:space="preserve">For a subject to exist, mental events must be responded to in a norm-driven manner. </w:t>
      </w:r>
      <w:r>
        <w:t>(This claim is crucial and will be clarified and defended in a moment.) And it is only where there</w:t>
      </w:r>
      <w:r>
        <w:rPr>
          <w:spacing w:val="-2"/>
        </w:rPr>
        <w:t xml:space="preserve"> </w:t>
      </w:r>
      <w:r>
        <w:t>is</w:t>
      </w:r>
      <w:r>
        <w:rPr>
          <w:spacing w:val="-2"/>
        </w:rPr>
        <w:t xml:space="preserve"> </w:t>
      </w:r>
      <w:r>
        <w:t>self-consciousness</w:t>
      </w:r>
      <w:r>
        <w:rPr>
          <w:spacing w:val="-2"/>
        </w:rPr>
        <w:t xml:space="preserve"> </w:t>
      </w:r>
      <w:r>
        <w:t>that</w:t>
      </w:r>
      <w:r>
        <w:rPr>
          <w:spacing w:val="-2"/>
        </w:rPr>
        <w:t xml:space="preserve"> </w:t>
      </w:r>
      <w:r>
        <w:t>norm-driven</w:t>
      </w:r>
      <w:r>
        <w:rPr>
          <w:spacing w:val="-2"/>
        </w:rPr>
        <w:t xml:space="preserve"> </w:t>
      </w:r>
      <w:r>
        <w:t>responses</w:t>
      </w:r>
      <w:r>
        <w:rPr>
          <w:spacing w:val="-2"/>
        </w:rPr>
        <w:t xml:space="preserve"> </w:t>
      </w:r>
      <w:r>
        <w:t>are</w:t>
      </w:r>
      <w:r>
        <w:rPr>
          <w:spacing w:val="-2"/>
        </w:rPr>
        <w:t xml:space="preserve"> </w:t>
      </w:r>
      <w:r>
        <w:t>possible.</w:t>
      </w:r>
      <w:r>
        <w:rPr>
          <w:spacing w:val="-2"/>
        </w:rPr>
        <w:t xml:space="preserve"> </w:t>
      </w:r>
      <w:r>
        <w:t>It</w:t>
      </w:r>
      <w:r>
        <w:rPr>
          <w:spacing w:val="-2"/>
        </w:rPr>
        <w:t xml:space="preserve"> </w:t>
      </w:r>
      <w:r>
        <w:t>follows</w:t>
      </w:r>
    </w:p>
    <w:p w14:paraId="7E00251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15" w14:textId="77777777" w:rsidR="009A58DB" w:rsidRDefault="00000000">
      <w:pPr>
        <w:pStyle w:val="BodyText"/>
        <w:spacing w:before="65"/>
      </w:pPr>
      <w:r>
        <w:lastRenderedPageBreak/>
        <w:t>that</w:t>
      </w:r>
      <w:r>
        <w:rPr>
          <w:spacing w:val="-7"/>
        </w:rPr>
        <w:t xml:space="preserve"> </w:t>
      </w:r>
      <w:r>
        <w:t>norm-drivenness</w:t>
      </w:r>
      <w:r>
        <w:rPr>
          <w:spacing w:val="-5"/>
        </w:rPr>
        <w:t xml:space="preserve"> </w:t>
      </w:r>
      <w:r>
        <w:t>is</w:t>
      </w:r>
      <w:r>
        <w:rPr>
          <w:spacing w:val="-4"/>
        </w:rPr>
        <w:t xml:space="preserve"> </w:t>
      </w:r>
      <w:r>
        <w:t>constitutive</w:t>
      </w:r>
      <w:r>
        <w:rPr>
          <w:spacing w:val="-5"/>
        </w:rPr>
        <w:t xml:space="preserve"> </w:t>
      </w:r>
      <w:r>
        <w:t>of</w:t>
      </w:r>
      <w:r>
        <w:rPr>
          <w:spacing w:val="-4"/>
        </w:rPr>
        <w:t xml:space="preserve"> </w:t>
      </w:r>
      <w:r>
        <w:rPr>
          <w:spacing w:val="-2"/>
        </w:rPr>
        <w:t>subjecthood.</w:t>
      </w:r>
    </w:p>
    <w:p w14:paraId="7E002516" w14:textId="77777777" w:rsidR="009A58DB" w:rsidRDefault="00000000">
      <w:pPr>
        <w:pStyle w:val="Heading3"/>
        <w:numPr>
          <w:ilvl w:val="2"/>
          <w:numId w:val="56"/>
        </w:numPr>
        <w:tabs>
          <w:tab w:val="left" w:pos="1395"/>
        </w:tabs>
        <w:spacing w:before="112"/>
        <w:jc w:val="both"/>
      </w:pPr>
      <w:r>
        <w:t>A</w:t>
      </w:r>
      <w:r>
        <w:rPr>
          <w:spacing w:val="4"/>
        </w:rPr>
        <w:t xml:space="preserve"> </w:t>
      </w:r>
      <w:r>
        <w:t>defense</w:t>
      </w:r>
      <w:r>
        <w:rPr>
          <w:spacing w:val="5"/>
        </w:rPr>
        <w:t xml:space="preserve"> </w:t>
      </w:r>
      <w:r>
        <w:t>of</w:t>
      </w:r>
      <w:r>
        <w:rPr>
          <w:spacing w:val="4"/>
        </w:rPr>
        <w:t xml:space="preserve"> </w:t>
      </w:r>
      <w:r>
        <w:t>the</w:t>
      </w:r>
      <w:r>
        <w:rPr>
          <w:spacing w:val="5"/>
        </w:rPr>
        <w:t xml:space="preserve"> </w:t>
      </w:r>
      <w:r>
        <w:t>italicized</w:t>
      </w:r>
      <w:r>
        <w:rPr>
          <w:spacing w:val="4"/>
        </w:rPr>
        <w:t xml:space="preserve"> </w:t>
      </w:r>
      <w:r>
        <w:rPr>
          <w:spacing w:val="-4"/>
        </w:rPr>
        <w:t>claim</w:t>
      </w:r>
    </w:p>
    <w:p w14:paraId="7E002517" w14:textId="77777777" w:rsidR="009A58DB" w:rsidRDefault="00000000">
      <w:pPr>
        <w:pStyle w:val="BodyText"/>
        <w:spacing w:before="82" w:line="249" w:lineRule="auto"/>
        <w:ind w:right="367"/>
      </w:pPr>
      <w:r>
        <w:t xml:space="preserve">It’s one thing for your </w:t>
      </w:r>
      <w:r>
        <w:rPr>
          <w:i/>
        </w:rPr>
        <w:t xml:space="preserve">belief </w:t>
      </w:r>
      <w:r>
        <w:t xml:space="preserve">that Max has four cars to be the cause of your belief that Max has more than two cars. It’s a very different thing for your </w:t>
      </w:r>
      <w:r>
        <w:rPr>
          <w:i/>
        </w:rPr>
        <w:t xml:space="preserve">believing </w:t>
      </w:r>
      <w:r>
        <w:t>that Max has four cars to lead to your believing that he has more than two cars.</w:t>
      </w:r>
    </w:p>
    <w:p w14:paraId="7E002518" w14:textId="77777777" w:rsidR="009A58DB" w:rsidRDefault="00000000">
      <w:pPr>
        <w:pStyle w:val="BodyText"/>
        <w:spacing w:before="5" w:line="271" w:lineRule="auto"/>
        <w:ind w:right="358" w:firstLine="360"/>
      </w:pPr>
      <w:r>
        <w:t>A story will make this clear. At time t, you learn that your friend Max has exactly four cars. Let M</w:t>
      </w:r>
      <w:r>
        <w:rPr>
          <w:vertAlign w:val="subscript"/>
        </w:rPr>
        <w:t>1</w:t>
      </w:r>
      <w:r>
        <w:t xml:space="preserve"> be this belief. At time t*, you come to believe that Max</w:t>
      </w:r>
      <w:r>
        <w:rPr>
          <w:spacing w:val="33"/>
        </w:rPr>
        <w:t xml:space="preserve"> </w:t>
      </w:r>
      <w:r>
        <w:t>has</w:t>
      </w:r>
      <w:r>
        <w:rPr>
          <w:spacing w:val="33"/>
        </w:rPr>
        <w:t xml:space="preserve"> </w:t>
      </w:r>
      <w:r>
        <w:t>more</w:t>
      </w:r>
      <w:r>
        <w:rPr>
          <w:spacing w:val="33"/>
        </w:rPr>
        <w:t xml:space="preserve"> </w:t>
      </w:r>
      <w:r>
        <w:t>than</w:t>
      </w:r>
      <w:r>
        <w:rPr>
          <w:spacing w:val="33"/>
        </w:rPr>
        <w:t xml:space="preserve"> </w:t>
      </w:r>
      <w:r>
        <w:t>two</w:t>
      </w:r>
      <w:r>
        <w:rPr>
          <w:spacing w:val="33"/>
        </w:rPr>
        <w:t xml:space="preserve"> </w:t>
      </w:r>
      <w:r>
        <w:t>cars.</w:t>
      </w:r>
      <w:r>
        <w:rPr>
          <w:spacing w:val="33"/>
        </w:rPr>
        <w:t xml:space="preserve"> </w:t>
      </w:r>
      <w:r>
        <w:t>Let</w:t>
      </w:r>
      <w:r>
        <w:rPr>
          <w:spacing w:val="33"/>
        </w:rPr>
        <w:t xml:space="preserve"> </w:t>
      </w:r>
      <w:r>
        <w:t>M</w:t>
      </w:r>
      <w:r>
        <w:rPr>
          <w:vertAlign w:val="subscript"/>
        </w:rPr>
        <w:t>2</w:t>
      </w:r>
      <w:r>
        <w:rPr>
          <w:spacing w:val="33"/>
        </w:rPr>
        <w:t xml:space="preserve"> </w:t>
      </w:r>
      <w:r>
        <w:t>be</w:t>
      </w:r>
      <w:r>
        <w:rPr>
          <w:spacing w:val="33"/>
        </w:rPr>
        <w:t xml:space="preserve"> </w:t>
      </w:r>
      <w:r>
        <w:t>the</w:t>
      </w:r>
      <w:r>
        <w:rPr>
          <w:spacing w:val="33"/>
        </w:rPr>
        <w:t xml:space="preserve"> </w:t>
      </w:r>
      <w:r>
        <w:t>mental</w:t>
      </w:r>
      <w:r>
        <w:rPr>
          <w:spacing w:val="33"/>
        </w:rPr>
        <w:t xml:space="preserve"> </w:t>
      </w:r>
      <w:r>
        <w:t>event</w:t>
      </w:r>
      <w:r>
        <w:rPr>
          <w:spacing w:val="33"/>
        </w:rPr>
        <w:t xml:space="preserve"> </w:t>
      </w:r>
      <w:r>
        <w:t>involved</w:t>
      </w:r>
      <w:r>
        <w:rPr>
          <w:spacing w:val="33"/>
        </w:rPr>
        <w:t xml:space="preserve"> </w:t>
      </w:r>
      <w:r>
        <w:t>in</w:t>
      </w:r>
      <w:r>
        <w:rPr>
          <w:spacing w:val="33"/>
        </w:rPr>
        <w:t xml:space="preserve"> </w:t>
      </w:r>
      <w:r>
        <w:t>your</w:t>
      </w:r>
    </w:p>
    <w:p w14:paraId="7E002519" w14:textId="77777777" w:rsidR="009A58DB" w:rsidRDefault="00000000">
      <w:pPr>
        <w:spacing w:before="30"/>
        <w:ind w:left="360"/>
        <w:jc w:val="both"/>
        <w:rPr>
          <w:sz w:val="30"/>
        </w:rPr>
      </w:pPr>
      <w:r>
        <w:rPr>
          <w:sz w:val="30"/>
        </w:rPr>
        <w:t>learning</w:t>
      </w:r>
      <w:r>
        <w:rPr>
          <w:spacing w:val="-4"/>
          <w:sz w:val="30"/>
        </w:rPr>
        <w:t xml:space="preserve"> </w:t>
      </w:r>
      <w:r>
        <w:rPr>
          <w:i/>
          <w:sz w:val="30"/>
        </w:rPr>
        <w:t>this</w:t>
      </w:r>
      <w:r>
        <w:rPr>
          <w:i/>
          <w:spacing w:val="-4"/>
          <w:sz w:val="30"/>
        </w:rPr>
        <w:t xml:space="preserve"> </w:t>
      </w:r>
      <w:r>
        <w:rPr>
          <w:spacing w:val="-2"/>
          <w:sz w:val="30"/>
        </w:rPr>
        <w:t>fact.</w:t>
      </w:r>
    </w:p>
    <w:p w14:paraId="7E00251A" w14:textId="77777777" w:rsidR="009A58DB" w:rsidRDefault="00000000">
      <w:pPr>
        <w:pStyle w:val="BodyText"/>
        <w:spacing w:before="15" w:line="292" w:lineRule="auto"/>
        <w:ind w:right="361" w:firstLine="360"/>
      </w:pPr>
      <w:r>
        <w:t>M</w:t>
      </w:r>
      <w:r>
        <w:rPr>
          <w:vertAlign w:val="subscript"/>
        </w:rPr>
        <w:t>1</w:t>
      </w:r>
      <w:r>
        <w:t xml:space="preserve"> and M</w:t>
      </w:r>
      <w:r>
        <w:rPr>
          <w:vertAlign w:val="subscript"/>
        </w:rPr>
        <w:t>2</w:t>
      </w:r>
      <w:r>
        <w:t xml:space="preserve"> are presumably identical with, or constituted by some brain-structures of some kind. Let B</w:t>
      </w:r>
      <w:r>
        <w:rPr>
          <w:vertAlign w:val="subscript"/>
        </w:rPr>
        <w:t>1</w:t>
      </w:r>
      <w:r>
        <w:t xml:space="preserve"> and B</w:t>
      </w:r>
      <w:r>
        <w:rPr>
          <w:vertAlign w:val="subscript"/>
        </w:rPr>
        <w:t>2</w:t>
      </w:r>
      <w:r>
        <w:t xml:space="preserve"> be these brain-structures.</w:t>
      </w:r>
    </w:p>
    <w:p w14:paraId="7E00251B" w14:textId="77777777" w:rsidR="009A58DB" w:rsidRDefault="00000000">
      <w:pPr>
        <w:pStyle w:val="BodyText"/>
        <w:spacing w:line="271" w:lineRule="auto"/>
        <w:ind w:right="359" w:firstLine="360"/>
      </w:pPr>
      <w:r>
        <w:t>B</w:t>
      </w:r>
      <w:r>
        <w:rPr>
          <w:vertAlign w:val="subscript"/>
        </w:rPr>
        <w:t>1</w:t>
      </w:r>
      <w:r>
        <w:t xml:space="preserve"> has many properties. It has the property of mediating a belief of a certain kind. But it also has various non-psychological properties. Some of these</w:t>
      </w:r>
      <w:r>
        <w:rPr>
          <w:spacing w:val="23"/>
        </w:rPr>
        <w:t xml:space="preserve"> </w:t>
      </w:r>
      <w:r>
        <w:t>properties</w:t>
      </w:r>
      <w:r>
        <w:rPr>
          <w:spacing w:val="23"/>
        </w:rPr>
        <w:t xml:space="preserve"> </w:t>
      </w:r>
      <w:r>
        <w:t>are</w:t>
      </w:r>
      <w:r>
        <w:rPr>
          <w:spacing w:val="23"/>
        </w:rPr>
        <w:t xml:space="preserve"> </w:t>
      </w:r>
      <w:r>
        <w:t>such</w:t>
      </w:r>
      <w:r>
        <w:rPr>
          <w:spacing w:val="23"/>
        </w:rPr>
        <w:t xml:space="preserve"> </w:t>
      </w:r>
      <w:r>
        <w:t>that,</w:t>
      </w:r>
      <w:r>
        <w:rPr>
          <w:spacing w:val="23"/>
        </w:rPr>
        <w:t xml:space="preserve"> </w:t>
      </w:r>
      <w:r>
        <w:t>if</w:t>
      </w:r>
      <w:r>
        <w:rPr>
          <w:spacing w:val="23"/>
        </w:rPr>
        <w:t xml:space="preserve"> </w:t>
      </w:r>
      <w:r>
        <w:t>B</w:t>
      </w:r>
      <w:r>
        <w:rPr>
          <w:vertAlign w:val="subscript"/>
        </w:rPr>
        <w:t>1</w:t>
      </w:r>
      <w:r>
        <w:rPr>
          <w:spacing w:val="21"/>
        </w:rPr>
        <w:t xml:space="preserve"> </w:t>
      </w:r>
      <w:r>
        <w:t>didn’t</w:t>
      </w:r>
      <w:r>
        <w:rPr>
          <w:spacing w:val="23"/>
        </w:rPr>
        <w:t xml:space="preserve"> </w:t>
      </w:r>
      <w:r>
        <w:t>have</w:t>
      </w:r>
      <w:r>
        <w:rPr>
          <w:spacing w:val="23"/>
        </w:rPr>
        <w:t xml:space="preserve"> </w:t>
      </w:r>
      <w:r>
        <w:t>them,</w:t>
      </w:r>
      <w:r>
        <w:rPr>
          <w:spacing w:val="23"/>
        </w:rPr>
        <w:t xml:space="preserve"> </w:t>
      </w:r>
      <w:r>
        <w:t>it</w:t>
      </w:r>
      <w:r>
        <w:rPr>
          <w:spacing w:val="23"/>
        </w:rPr>
        <w:t xml:space="preserve"> </w:t>
      </w:r>
      <w:r>
        <w:t>would</w:t>
      </w:r>
      <w:r>
        <w:rPr>
          <w:spacing w:val="23"/>
        </w:rPr>
        <w:t xml:space="preserve"> </w:t>
      </w:r>
      <w:r>
        <w:t>for</w:t>
      </w:r>
      <w:r>
        <w:rPr>
          <w:spacing w:val="23"/>
        </w:rPr>
        <w:t xml:space="preserve"> </w:t>
      </w:r>
      <w:r>
        <w:t>that</w:t>
      </w:r>
      <w:r>
        <w:rPr>
          <w:spacing w:val="23"/>
        </w:rPr>
        <w:t xml:space="preserve"> </w:t>
      </w:r>
      <w:r>
        <w:t>very</w:t>
      </w:r>
    </w:p>
    <w:p w14:paraId="7E00251C" w14:textId="77777777" w:rsidR="009A58DB" w:rsidRDefault="00000000">
      <w:pPr>
        <w:pStyle w:val="BodyText"/>
        <w:spacing w:before="29" w:line="271" w:lineRule="auto"/>
        <w:ind w:right="359"/>
      </w:pPr>
      <w:r>
        <w:t>reason be incapable of mediating a mental entity of any kind, let alone a belief that Max has four cars. But others are such that, were B</w:t>
      </w:r>
      <w:r>
        <w:rPr>
          <w:vertAlign w:val="subscript"/>
        </w:rPr>
        <w:t>1</w:t>
      </w:r>
      <w:r>
        <w:t xml:space="preserve"> to lack them,</w:t>
      </w:r>
      <w:r>
        <w:rPr>
          <w:spacing w:val="40"/>
        </w:rPr>
        <w:t xml:space="preserve"> </w:t>
      </w:r>
      <w:r>
        <w:t>it</w:t>
      </w:r>
      <w:r>
        <w:rPr>
          <w:spacing w:val="39"/>
        </w:rPr>
        <w:t xml:space="preserve"> </w:t>
      </w:r>
      <w:r>
        <w:t>would</w:t>
      </w:r>
      <w:r>
        <w:rPr>
          <w:spacing w:val="40"/>
        </w:rPr>
        <w:t xml:space="preserve"> </w:t>
      </w:r>
      <w:r>
        <w:t>not,</w:t>
      </w:r>
      <w:r>
        <w:rPr>
          <w:spacing w:val="40"/>
        </w:rPr>
        <w:t xml:space="preserve"> </w:t>
      </w:r>
      <w:r>
        <w:t>at</w:t>
      </w:r>
      <w:r>
        <w:rPr>
          <w:spacing w:val="40"/>
        </w:rPr>
        <w:t xml:space="preserve"> </w:t>
      </w:r>
      <w:r>
        <w:t>least</w:t>
      </w:r>
      <w:r>
        <w:rPr>
          <w:spacing w:val="39"/>
        </w:rPr>
        <w:t xml:space="preserve"> </w:t>
      </w:r>
      <w:r>
        <w:t>not</w:t>
      </w:r>
      <w:r>
        <w:rPr>
          <w:spacing w:val="40"/>
        </w:rPr>
        <w:t xml:space="preserve"> </w:t>
      </w:r>
      <w:r>
        <w:t>for</w:t>
      </w:r>
      <w:r>
        <w:rPr>
          <w:spacing w:val="40"/>
        </w:rPr>
        <w:t xml:space="preserve"> </w:t>
      </w:r>
      <w:r>
        <w:t>that</w:t>
      </w:r>
      <w:r>
        <w:rPr>
          <w:spacing w:val="40"/>
        </w:rPr>
        <w:t xml:space="preserve"> </w:t>
      </w:r>
      <w:r>
        <w:t>reason</w:t>
      </w:r>
      <w:r>
        <w:rPr>
          <w:spacing w:val="39"/>
        </w:rPr>
        <w:t xml:space="preserve"> </w:t>
      </w:r>
      <w:r>
        <w:t>alone,</w:t>
      </w:r>
      <w:r>
        <w:rPr>
          <w:spacing w:val="40"/>
        </w:rPr>
        <w:t xml:space="preserve"> </w:t>
      </w:r>
      <w:r>
        <w:t>undergo</w:t>
      </w:r>
      <w:r>
        <w:rPr>
          <w:spacing w:val="40"/>
        </w:rPr>
        <w:t xml:space="preserve"> </w:t>
      </w:r>
      <w:r>
        <w:t>any</w:t>
      </w:r>
      <w:r>
        <w:rPr>
          <w:spacing w:val="40"/>
        </w:rPr>
        <w:t xml:space="preserve"> </w:t>
      </w:r>
      <w:r>
        <w:rPr>
          <w:spacing w:val="-2"/>
        </w:rPr>
        <w:t>psychological</w:t>
      </w:r>
    </w:p>
    <w:p w14:paraId="7E00251D" w14:textId="77777777" w:rsidR="009A58DB" w:rsidRDefault="00000000">
      <w:pPr>
        <w:pStyle w:val="BodyText"/>
        <w:spacing w:line="316" w:lineRule="exact"/>
      </w:pPr>
      <w:r>
        <w:t>change</w:t>
      </w:r>
      <w:r>
        <w:rPr>
          <w:spacing w:val="78"/>
          <w:w w:val="150"/>
        </w:rPr>
        <w:t xml:space="preserve"> </w:t>
      </w:r>
      <w:r>
        <w:t>at</w:t>
      </w:r>
      <w:r>
        <w:rPr>
          <w:spacing w:val="78"/>
          <w:w w:val="150"/>
        </w:rPr>
        <w:t xml:space="preserve"> </w:t>
      </w:r>
      <w:r>
        <w:t>all.</w:t>
      </w:r>
      <w:r>
        <w:rPr>
          <w:spacing w:val="78"/>
          <w:w w:val="150"/>
        </w:rPr>
        <w:t xml:space="preserve"> </w:t>
      </w:r>
      <w:r>
        <w:t>Let</w:t>
      </w:r>
      <w:r>
        <w:rPr>
          <w:spacing w:val="79"/>
          <w:w w:val="150"/>
        </w:rPr>
        <w:t xml:space="preserve"> </w:t>
      </w:r>
      <w:r>
        <w:t>n</w:t>
      </w:r>
      <w:r>
        <w:rPr>
          <w:spacing w:val="78"/>
          <w:w w:val="150"/>
        </w:rPr>
        <w:t xml:space="preserve"> </w:t>
      </w:r>
      <w:r>
        <w:t>be</w:t>
      </w:r>
      <w:r>
        <w:rPr>
          <w:spacing w:val="78"/>
          <w:w w:val="150"/>
        </w:rPr>
        <w:t xml:space="preserve"> </w:t>
      </w:r>
      <w:r>
        <w:t>B</w:t>
      </w:r>
      <w:r>
        <w:rPr>
          <w:vertAlign w:val="subscript"/>
        </w:rPr>
        <w:t>1</w:t>
      </w:r>
      <w:r>
        <w:t>’s</w:t>
      </w:r>
      <w:r>
        <w:rPr>
          <w:spacing w:val="22"/>
        </w:rPr>
        <w:t xml:space="preserve">  </w:t>
      </w:r>
      <w:r>
        <w:t>exact</w:t>
      </w:r>
      <w:r>
        <w:rPr>
          <w:spacing w:val="23"/>
        </w:rPr>
        <w:t xml:space="preserve">  </w:t>
      </w:r>
      <w:r>
        <w:t>temperature,</w:t>
      </w:r>
      <w:r>
        <w:rPr>
          <w:spacing w:val="22"/>
        </w:rPr>
        <w:t xml:space="preserve">  </w:t>
      </w:r>
      <w:r>
        <w:t>and</w:t>
      </w:r>
      <w:r>
        <w:rPr>
          <w:spacing w:val="23"/>
        </w:rPr>
        <w:t xml:space="preserve">  </w:t>
      </w:r>
      <w:r>
        <w:t>let</w:t>
      </w:r>
      <w:r>
        <w:rPr>
          <w:spacing w:val="22"/>
        </w:rPr>
        <w:t xml:space="preserve">  </w:t>
      </w:r>
      <w:r>
        <w:t>m</w:t>
      </w:r>
      <w:r>
        <w:rPr>
          <w:spacing w:val="23"/>
        </w:rPr>
        <w:t xml:space="preserve">  </w:t>
      </w:r>
      <w:r>
        <w:t>be</w:t>
      </w:r>
      <w:r>
        <w:rPr>
          <w:spacing w:val="22"/>
        </w:rPr>
        <w:t xml:space="preserve">  </w:t>
      </w:r>
      <w:r>
        <w:rPr>
          <w:spacing w:val="-4"/>
        </w:rPr>
        <w:t>some</w:t>
      </w:r>
    </w:p>
    <w:p w14:paraId="7E00251E" w14:textId="77777777" w:rsidR="009A58DB" w:rsidRDefault="00000000">
      <w:pPr>
        <w:pStyle w:val="BodyText"/>
        <w:spacing w:before="75" w:line="271" w:lineRule="auto"/>
        <w:ind w:right="371"/>
        <w:rPr>
          <w:i/>
        </w:rPr>
      </w:pPr>
      <w:r>
        <w:t>temperature that is only one millionth of a degree greater than n. Were B</w:t>
      </w:r>
      <w:r>
        <w:rPr>
          <w:vertAlign w:val="subscript"/>
        </w:rPr>
        <w:t>1</w:t>
      </w:r>
      <w:r>
        <w:t>’s temperature to shift from n to m, it would not, in virtue of that fact, change</w:t>
      </w:r>
      <w:r>
        <w:rPr>
          <w:spacing w:val="80"/>
          <w:w w:val="150"/>
        </w:rPr>
        <w:t xml:space="preserve"> </w:t>
      </w:r>
      <w:r>
        <w:t>in</w:t>
      </w:r>
      <w:r>
        <w:rPr>
          <w:spacing w:val="23"/>
        </w:rPr>
        <w:t xml:space="preserve"> </w:t>
      </w:r>
      <w:r>
        <w:t>respect</w:t>
      </w:r>
      <w:r>
        <w:rPr>
          <w:spacing w:val="23"/>
        </w:rPr>
        <w:t xml:space="preserve"> </w:t>
      </w:r>
      <w:r>
        <w:t>of</w:t>
      </w:r>
      <w:r>
        <w:rPr>
          <w:spacing w:val="23"/>
        </w:rPr>
        <w:t xml:space="preserve"> </w:t>
      </w:r>
      <w:r>
        <w:t>its</w:t>
      </w:r>
      <w:r>
        <w:rPr>
          <w:spacing w:val="23"/>
        </w:rPr>
        <w:t xml:space="preserve"> </w:t>
      </w:r>
      <w:r>
        <w:t>psychological</w:t>
      </w:r>
      <w:r>
        <w:rPr>
          <w:spacing w:val="23"/>
        </w:rPr>
        <w:t xml:space="preserve"> </w:t>
      </w:r>
      <w:r>
        <w:t>characteristics. Thus,</w:t>
      </w:r>
      <w:r>
        <w:rPr>
          <w:spacing w:val="23"/>
        </w:rPr>
        <w:t xml:space="preserve"> </w:t>
      </w:r>
      <w:r>
        <w:t>B</w:t>
      </w:r>
      <w:r>
        <w:rPr>
          <w:vertAlign w:val="subscript"/>
        </w:rPr>
        <w:t>1</w:t>
      </w:r>
      <w:r>
        <w:t>’s</w:t>
      </w:r>
      <w:r>
        <w:rPr>
          <w:spacing w:val="25"/>
        </w:rPr>
        <w:t xml:space="preserve"> </w:t>
      </w:r>
      <w:r>
        <w:t>having</w:t>
      </w:r>
      <w:r>
        <w:rPr>
          <w:spacing w:val="25"/>
        </w:rPr>
        <w:t xml:space="preserve"> </w:t>
      </w:r>
      <w:r>
        <w:t xml:space="preserve">some </w:t>
      </w:r>
      <w:r>
        <w:rPr>
          <w:i/>
        </w:rPr>
        <w:t>exact</w:t>
      </w:r>
    </w:p>
    <w:p w14:paraId="7E00251F" w14:textId="77777777" w:rsidR="009A58DB" w:rsidRDefault="00000000">
      <w:pPr>
        <w:pStyle w:val="BodyText"/>
        <w:spacing w:before="31" w:line="271" w:lineRule="auto"/>
        <w:ind w:right="359"/>
      </w:pPr>
      <w:r>
        <w:t>temperature</w:t>
      </w:r>
      <w:r>
        <w:rPr>
          <w:spacing w:val="23"/>
        </w:rPr>
        <w:t xml:space="preserve"> </w:t>
      </w:r>
      <w:r>
        <w:t>is</w:t>
      </w:r>
      <w:r>
        <w:rPr>
          <w:spacing w:val="23"/>
        </w:rPr>
        <w:t xml:space="preserve"> </w:t>
      </w:r>
      <w:r>
        <w:t>irrelevant</w:t>
      </w:r>
      <w:r>
        <w:rPr>
          <w:spacing w:val="23"/>
        </w:rPr>
        <w:t xml:space="preserve"> </w:t>
      </w:r>
      <w:r>
        <w:t>to</w:t>
      </w:r>
      <w:r>
        <w:rPr>
          <w:spacing w:val="23"/>
        </w:rPr>
        <w:t xml:space="preserve"> </w:t>
      </w:r>
      <w:r>
        <w:t>its</w:t>
      </w:r>
      <w:r>
        <w:rPr>
          <w:spacing w:val="23"/>
        </w:rPr>
        <w:t xml:space="preserve"> </w:t>
      </w:r>
      <w:r>
        <w:t>being</w:t>
      </w:r>
      <w:r>
        <w:rPr>
          <w:spacing w:val="23"/>
        </w:rPr>
        <w:t xml:space="preserve"> </w:t>
      </w:r>
      <w:r>
        <w:t>a</w:t>
      </w:r>
      <w:r>
        <w:rPr>
          <w:spacing w:val="23"/>
        </w:rPr>
        <w:t xml:space="preserve"> </w:t>
      </w:r>
      <w:r>
        <w:t>belief</w:t>
      </w:r>
      <w:r>
        <w:rPr>
          <w:spacing w:val="23"/>
        </w:rPr>
        <w:t xml:space="preserve"> </w:t>
      </w:r>
      <w:r>
        <w:t>that</w:t>
      </w:r>
      <w:r>
        <w:rPr>
          <w:spacing w:val="23"/>
        </w:rPr>
        <w:t xml:space="preserve"> </w:t>
      </w:r>
      <w:r>
        <w:t>Max</w:t>
      </w:r>
      <w:r>
        <w:rPr>
          <w:spacing w:val="23"/>
        </w:rPr>
        <w:t xml:space="preserve"> </w:t>
      </w:r>
      <w:r>
        <w:t>has</w:t>
      </w:r>
      <w:r>
        <w:rPr>
          <w:spacing w:val="23"/>
        </w:rPr>
        <w:t xml:space="preserve"> </w:t>
      </w:r>
      <w:r>
        <w:t>four</w:t>
      </w:r>
      <w:r>
        <w:rPr>
          <w:spacing w:val="23"/>
        </w:rPr>
        <w:t xml:space="preserve"> </w:t>
      </w:r>
      <w:r>
        <w:t>cars,</w:t>
      </w:r>
      <w:r>
        <w:rPr>
          <w:spacing w:val="23"/>
        </w:rPr>
        <w:t xml:space="preserve"> </w:t>
      </w:r>
      <w:r>
        <w:t>and</w:t>
      </w:r>
      <w:r>
        <w:rPr>
          <w:spacing w:val="23"/>
        </w:rPr>
        <w:t xml:space="preserve"> </w:t>
      </w:r>
      <w:r>
        <w:t>so is</w:t>
      </w:r>
      <w:r>
        <w:rPr>
          <w:spacing w:val="40"/>
        </w:rPr>
        <w:t xml:space="preserve"> </w:t>
      </w:r>
      <w:r>
        <w:t>B</w:t>
      </w:r>
      <w:r>
        <w:rPr>
          <w:vertAlign w:val="subscript"/>
        </w:rPr>
        <w:t>1</w:t>
      </w:r>
      <w:r>
        <w:t>’s</w:t>
      </w:r>
      <w:r>
        <w:rPr>
          <w:spacing w:val="40"/>
        </w:rPr>
        <w:t xml:space="preserve"> </w:t>
      </w:r>
      <w:r>
        <w:t>having</w:t>
      </w:r>
      <w:r>
        <w:rPr>
          <w:spacing w:val="40"/>
        </w:rPr>
        <w:t xml:space="preserve"> </w:t>
      </w:r>
      <w:r>
        <w:t xml:space="preserve">some </w:t>
      </w:r>
      <w:r>
        <w:rPr>
          <w:i/>
        </w:rPr>
        <w:t xml:space="preserve">specific </w:t>
      </w:r>
      <w:r>
        <w:t>shape</w:t>
      </w:r>
      <w:r>
        <w:rPr>
          <w:spacing w:val="80"/>
        </w:rPr>
        <w:t xml:space="preserve"> </w:t>
      </w:r>
      <w:r>
        <w:t xml:space="preserve">or </w:t>
      </w:r>
      <w:r>
        <w:rPr>
          <w:i/>
        </w:rPr>
        <w:t xml:space="preserve">specific </w:t>
      </w:r>
      <w:r>
        <w:t>microstructure. The</w:t>
      </w:r>
      <w:r>
        <w:rPr>
          <w:spacing w:val="40"/>
        </w:rPr>
        <w:t xml:space="preserve"> </w:t>
      </w:r>
      <w:r>
        <w:t>same thing</w:t>
      </w:r>
      <w:r>
        <w:rPr>
          <w:spacing w:val="40"/>
        </w:rPr>
        <w:t xml:space="preserve"> </w:t>
      </w:r>
      <w:r>
        <w:t>is</w:t>
      </w:r>
      <w:r>
        <w:rPr>
          <w:spacing w:val="40"/>
        </w:rPr>
        <w:t xml:space="preserve"> </w:t>
      </w:r>
      <w:r>
        <w:t>true</w:t>
      </w:r>
      <w:r>
        <w:rPr>
          <w:spacing w:val="40"/>
        </w:rPr>
        <w:t xml:space="preserve"> </w:t>
      </w:r>
      <w:r>
        <w:t>of</w:t>
      </w:r>
      <w:r>
        <w:rPr>
          <w:spacing w:val="40"/>
        </w:rPr>
        <w:t xml:space="preserve"> </w:t>
      </w:r>
      <w:r>
        <w:t>B</w:t>
      </w:r>
      <w:r>
        <w:rPr>
          <w:vertAlign w:val="subscript"/>
        </w:rPr>
        <w:t>2</w:t>
      </w:r>
      <w:r>
        <w:rPr>
          <w:spacing w:val="40"/>
        </w:rPr>
        <w:t xml:space="preserve"> </w:t>
      </w:r>
      <w:r>
        <w:t>and,</w:t>
      </w:r>
      <w:r>
        <w:rPr>
          <w:spacing w:val="40"/>
        </w:rPr>
        <w:t xml:space="preserve"> </w:t>
      </w:r>
      <w:r>
        <w:t>indeed,</w:t>
      </w:r>
      <w:r>
        <w:rPr>
          <w:spacing w:val="40"/>
        </w:rPr>
        <w:t xml:space="preserve"> </w:t>
      </w:r>
      <w:r>
        <w:t>of</w:t>
      </w:r>
      <w:r>
        <w:rPr>
          <w:spacing w:val="40"/>
        </w:rPr>
        <w:t xml:space="preserve"> </w:t>
      </w:r>
      <w:r>
        <w:t>any</w:t>
      </w:r>
      <w:r>
        <w:rPr>
          <w:spacing w:val="40"/>
        </w:rPr>
        <w:t xml:space="preserve"> </w:t>
      </w:r>
      <w:r>
        <w:t>physical</w:t>
      </w:r>
      <w:r>
        <w:rPr>
          <w:spacing w:val="40"/>
        </w:rPr>
        <w:t xml:space="preserve"> </w:t>
      </w:r>
      <w:r>
        <w:t>entity</w:t>
      </w:r>
      <w:r>
        <w:rPr>
          <w:spacing w:val="40"/>
        </w:rPr>
        <w:t xml:space="preserve"> </w:t>
      </w:r>
      <w:r>
        <w:t>that</w:t>
      </w:r>
      <w:r>
        <w:rPr>
          <w:spacing w:val="40"/>
        </w:rPr>
        <w:t xml:space="preserve"> </w:t>
      </w:r>
      <w:r>
        <w:t>mediates</w:t>
      </w:r>
      <w:r>
        <w:rPr>
          <w:spacing w:val="40"/>
        </w:rPr>
        <w:t xml:space="preserve"> </w:t>
      </w:r>
      <w:r>
        <w:t>some</w:t>
      </w:r>
    </w:p>
    <w:p w14:paraId="7E002520" w14:textId="77777777" w:rsidR="009A58DB" w:rsidRDefault="00000000">
      <w:pPr>
        <w:pStyle w:val="BodyText"/>
        <w:spacing w:before="30"/>
      </w:pPr>
      <w:r>
        <w:t>mental</w:t>
      </w:r>
      <w:r>
        <w:rPr>
          <w:spacing w:val="-3"/>
        </w:rPr>
        <w:t xml:space="preserve"> </w:t>
      </w:r>
      <w:r>
        <w:t>event</w:t>
      </w:r>
      <w:r>
        <w:rPr>
          <w:spacing w:val="-3"/>
        </w:rPr>
        <w:t xml:space="preserve"> </w:t>
      </w:r>
      <w:r>
        <w:t>or</w:t>
      </w:r>
      <w:r>
        <w:rPr>
          <w:spacing w:val="-3"/>
        </w:rPr>
        <w:t xml:space="preserve"> </w:t>
      </w:r>
      <w:r>
        <w:rPr>
          <w:spacing w:val="-2"/>
        </w:rPr>
        <w:t>condition.</w:t>
      </w:r>
    </w:p>
    <w:p w14:paraId="7E002521" w14:textId="77777777" w:rsidR="009A58DB" w:rsidRDefault="00000000">
      <w:pPr>
        <w:pStyle w:val="BodyText"/>
        <w:spacing w:before="15" w:line="271" w:lineRule="auto"/>
        <w:ind w:right="361" w:firstLine="360"/>
      </w:pPr>
      <w:r>
        <w:t>During what follows, we’ll suppose that B</w:t>
      </w:r>
      <w:r>
        <w:rPr>
          <w:vertAlign w:val="subscript"/>
        </w:rPr>
        <w:t>1</w:t>
      </w:r>
      <w:r>
        <w:t xml:space="preserve"> has shape X and that it’s having that exact shape has nothing to do with its mediating a belief that Max four cars.</w:t>
      </w:r>
    </w:p>
    <w:p w14:paraId="7E002522" w14:textId="77777777" w:rsidR="009A58DB" w:rsidRDefault="00000000">
      <w:pPr>
        <w:pStyle w:val="BodyText"/>
        <w:spacing w:line="316" w:lineRule="exact"/>
        <w:ind w:left="720"/>
      </w:pPr>
      <w:r>
        <w:t>At</w:t>
      </w:r>
      <w:r>
        <w:rPr>
          <w:spacing w:val="8"/>
        </w:rPr>
        <w:t xml:space="preserve"> </w:t>
      </w:r>
      <w:r>
        <w:t>time</w:t>
      </w:r>
      <w:r>
        <w:rPr>
          <w:spacing w:val="9"/>
        </w:rPr>
        <w:t xml:space="preserve"> </w:t>
      </w:r>
      <w:r>
        <w:t>t*,</w:t>
      </w:r>
      <w:r>
        <w:rPr>
          <w:spacing w:val="9"/>
        </w:rPr>
        <w:t xml:space="preserve"> </w:t>
      </w:r>
      <w:r>
        <w:t>because</w:t>
      </w:r>
      <w:r>
        <w:rPr>
          <w:spacing w:val="9"/>
        </w:rPr>
        <w:t xml:space="preserve"> </w:t>
      </w:r>
      <w:r>
        <w:t>of</w:t>
      </w:r>
      <w:r>
        <w:rPr>
          <w:spacing w:val="8"/>
        </w:rPr>
        <w:t xml:space="preserve"> </w:t>
      </w:r>
      <w:r>
        <w:t>some</w:t>
      </w:r>
      <w:r>
        <w:rPr>
          <w:spacing w:val="9"/>
        </w:rPr>
        <w:t xml:space="preserve"> </w:t>
      </w:r>
      <w:r>
        <w:t>strange</w:t>
      </w:r>
      <w:r>
        <w:rPr>
          <w:spacing w:val="9"/>
        </w:rPr>
        <w:t xml:space="preserve"> </w:t>
      </w:r>
      <w:r>
        <w:t>quirk</w:t>
      </w:r>
      <w:r>
        <w:rPr>
          <w:spacing w:val="9"/>
        </w:rPr>
        <w:t xml:space="preserve"> </w:t>
      </w:r>
      <w:r>
        <w:t>on</w:t>
      </w:r>
      <w:r>
        <w:rPr>
          <w:spacing w:val="8"/>
        </w:rPr>
        <w:t xml:space="preserve"> </w:t>
      </w:r>
      <w:r>
        <w:t>your</w:t>
      </w:r>
      <w:r>
        <w:rPr>
          <w:spacing w:val="9"/>
        </w:rPr>
        <w:t xml:space="preserve"> </w:t>
      </w:r>
      <w:r>
        <w:t>part,</w:t>
      </w:r>
      <w:r>
        <w:rPr>
          <w:spacing w:val="9"/>
        </w:rPr>
        <w:t xml:space="preserve"> </w:t>
      </w:r>
      <w:r>
        <w:t>B</w:t>
      </w:r>
      <w:r>
        <w:rPr>
          <w:vertAlign w:val="subscript"/>
        </w:rPr>
        <w:t>1</w:t>
      </w:r>
      <w:r>
        <w:t>’s</w:t>
      </w:r>
      <w:r>
        <w:rPr>
          <w:spacing w:val="7"/>
        </w:rPr>
        <w:t xml:space="preserve"> </w:t>
      </w:r>
      <w:r>
        <w:t>having</w:t>
      </w:r>
      <w:r>
        <w:rPr>
          <w:spacing w:val="6"/>
        </w:rPr>
        <w:t xml:space="preserve"> </w:t>
      </w:r>
      <w:r>
        <w:rPr>
          <w:spacing w:val="-2"/>
        </w:rPr>
        <w:t>shape</w:t>
      </w:r>
    </w:p>
    <w:p w14:paraId="7E002523" w14:textId="77777777" w:rsidR="009A58DB" w:rsidRDefault="00000000">
      <w:pPr>
        <w:pStyle w:val="BodyText"/>
        <w:spacing w:before="75" w:line="292" w:lineRule="auto"/>
        <w:ind w:right="359"/>
      </w:pPr>
      <w:r>
        <w:t>X—</w:t>
      </w:r>
      <w:r>
        <w:rPr>
          <w:i/>
        </w:rPr>
        <w:t xml:space="preserve">not </w:t>
      </w:r>
      <w:r>
        <w:t>its being a belief that Max has four cars—brings about M</w:t>
      </w:r>
      <w:r>
        <w:rPr>
          <w:vertAlign w:val="subscript"/>
        </w:rPr>
        <w:t>2</w:t>
      </w:r>
      <w:r>
        <w:t>. (The</w:t>
      </w:r>
      <w:r>
        <w:rPr>
          <w:spacing w:val="40"/>
        </w:rPr>
        <w:t xml:space="preserve"> </w:t>
      </w:r>
      <w:r>
        <w:t>exact nature of the causal connection doesn’t matter. But, if it helps, we may</w:t>
      </w:r>
    </w:p>
    <w:p w14:paraId="7E002524"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525" w14:textId="77777777" w:rsidR="009A58DB" w:rsidRDefault="00000000">
      <w:pPr>
        <w:pStyle w:val="BodyText"/>
        <w:spacing w:before="70" w:line="271" w:lineRule="auto"/>
        <w:ind w:right="362"/>
      </w:pPr>
      <w:r>
        <w:lastRenderedPageBreak/>
        <w:t>suppose that, because of its shape, B</w:t>
      </w:r>
      <w:r>
        <w:rPr>
          <w:vertAlign w:val="subscript"/>
        </w:rPr>
        <w:t>1</w:t>
      </w:r>
      <w:r>
        <w:t xml:space="preserve"> sets off a migraine which, because it is so intense, leads to your having hallucinations of Max showing you titles to three cars of his.)</w:t>
      </w:r>
    </w:p>
    <w:p w14:paraId="7E002526" w14:textId="77777777" w:rsidR="009A58DB" w:rsidRDefault="00000000">
      <w:pPr>
        <w:pStyle w:val="BodyText"/>
        <w:spacing w:line="373" w:lineRule="exact"/>
        <w:ind w:left="720"/>
      </w:pPr>
      <w:r>
        <w:t>B</w:t>
      </w:r>
      <w:r>
        <w:rPr>
          <w:position w:val="-7"/>
          <w:sz w:val="22"/>
        </w:rPr>
        <w:t>1</w:t>
      </w:r>
      <w:r>
        <w:rPr>
          <w:spacing w:val="22"/>
          <w:position w:val="-7"/>
          <w:sz w:val="22"/>
        </w:rPr>
        <w:t xml:space="preserve"> </w:t>
      </w:r>
      <w:r>
        <w:t>brought</w:t>
      </w:r>
      <w:r>
        <w:rPr>
          <w:spacing w:val="3"/>
        </w:rPr>
        <w:t xml:space="preserve"> </w:t>
      </w:r>
      <w:r>
        <w:t>about</w:t>
      </w:r>
      <w:r>
        <w:rPr>
          <w:spacing w:val="3"/>
        </w:rPr>
        <w:t xml:space="preserve"> </w:t>
      </w:r>
      <w:r>
        <w:t>B</w:t>
      </w:r>
      <w:r>
        <w:rPr>
          <w:position w:val="-7"/>
          <w:sz w:val="22"/>
        </w:rPr>
        <w:t>2</w:t>
      </w:r>
      <w:r>
        <w:t>.</w:t>
      </w:r>
      <w:r>
        <w:rPr>
          <w:spacing w:val="-1"/>
        </w:rPr>
        <w:t xml:space="preserve"> </w:t>
      </w:r>
      <w:r>
        <w:t>B</w:t>
      </w:r>
      <w:r>
        <w:rPr>
          <w:position w:val="-7"/>
          <w:sz w:val="22"/>
        </w:rPr>
        <w:t>1</w:t>
      </w:r>
      <w:r>
        <w:rPr>
          <w:spacing w:val="19"/>
          <w:position w:val="-7"/>
          <w:sz w:val="22"/>
        </w:rPr>
        <w:t xml:space="preserve"> </w:t>
      </w:r>
      <w:r>
        <w:t>and</w:t>
      </w:r>
      <w:r>
        <w:rPr>
          <w:spacing w:val="-2"/>
        </w:rPr>
        <w:t xml:space="preserve"> </w:t>
      </w:r>
      <w:r>
        <w:t>B</w:t>
      </w:r>
      <w:r>
        <w:rPr>
          <w:position w:val="-7"/>
          <w:sz w:val="22"/>
        </w:rPr>
        <w:t>2</w:t>
      </w:r>
      <w:r>
        <w:rPr>
          <w:spacing w:val="25"/>
          <w:position w:val="-7"/>
          <w:sz w:val="22"/>
        </w:rPr>
        <w:t xml:space="preserve"> </w:t>
      </w:r>
      <w:r>
        <w:t>are,</w:t>
      </w:r>
      <w:r>
        <w:rPr>
          <w:spacing w:val="4"/>
        </w:rPr>
        <w:t xml:space="preserve"> </w:t>
      </w:r>
      <w:r>
        <w:t>respectively,</w:t>
      </w:r>
      <w:r>
        <w:rPr>
          <w:spacing w:val="5"/>
        </w:rPr>
        <w:t xml:space="preserve"> </w:t>
      </w:r>
      <w:r>
        <w:t>your</w:t>
      </w:r>
      <w:r>
        <w:rPr>
          <w:spacing w:val="5"/>
        </w:rPr>
        <w:t xml:space="preserve"> </w:t>
      </w:r>
      <w:r>
        <w:t>belief</w:t>
      </w:r>
      <w:r>
        <w:rPr>
          <w:spacing w:val="4"/>
        </w:rPr>
        <w:t xml:space="preserve"> </w:t>
      </w:r>
      <w:r>
        <w:t>that</w:t>
      </w:r>
      <w:r>
        <w:rPr>
          <w:spacing w:val="5"/>
        </w:rPr>
        <w:t xml:space="preserve"> </w:t>
      </w:r>
      <w:r>
        <w:t>Max</w:t>
      </w:r>
      <w:r>
        <w:rPr>
          <w:spacing w:val="4"/>
        </w:rPr>
        <w:t xml:space="preserve"> </w:t>
      </w:r>
      <w:r>
        <w:rPr>
          <w:spacing w:val="-5"/>
        </w:rPr>
        <w:t>has</w:t>
      </w:r>
    </w:p>
    <w:p w14:paraId="7E002527" w14:textId="77777777" w:rsidR="009A58DB" w:rsidRDefault="00000000">
      <w:pPr>
        <w:pStyle w:val="BodyText"/>
        <w:spacing w:before="12" w:line="249" w:lineRule="auto"/>
        <w:ind w:right="358"/>
        <w:rPr>
          <w:i/>
        </w:rPr>
      </w:pPr>
      <w:r>
        <w:t>four cars and your belief that he has more than two cars. So your belief that Max has four cars brought about your belief that he has more than two cars. But</w:t>
      </w:r>
      <w:r>
        <w:rPr>
          <w:spacing w:val="-1"/>
        </w:rPr>
        <w:t xml:space="preserve"> </w:t>
      </w:r>
      <w:r>
        <w:t>B</w:t>
      </w:r>
      <w:r>
        <w:rPr>
          <w:vertAlign w:val="subscript"/>
        </w:rPr>
        <w:t>1</w:t>
      </w:r>
      <w:r>
        <w:t xml:space="preserve">’s </w:t>
      </w:r>
      <w:r>
        <w:rPr>
          <w:i/>
        </w:rPr>
        <w:t xml:space="preserve">being </w:t>
      </w:r>
      <w:r>
        <w:t>a</w:t>
      </w:r>
      <w:r>
        <w:rPr>
          <w:spacing w:val="9"/>
        </w:rPr>
        <w:t xml:space="preserve"> </w:t>
      </w:r>
      <w:r>
        <w:t>belief</w:t>
      </w:r>
      <w:r>
        <w:rPr>
          <w:spacing w:val="8"/>
        </w:rPr>
        <w:t xml:space="preserve"> </w:t>
      </w:r>
      <w:r>
        <w:t>that</w:t>
      </w:r>
      <w:r>
        <w:rPr>
          <w:spacing w:val="9"/>
        </w:rPr>
        <w:t xml:space="preserve"> </w:t>
      </w:r>
      <w:r>
        <w:t>Max</w:t>
      </w:r>
      <w:r>
        <w:rPr>
          <w:spacing w:val="9"/>
        </w:rPr>
        <w:t xml:space="preserve"> </w:t>
      </w:r>
      <w:r>
        <w:t>has</w:t>
      </w:r>
      <w:r>
        <w:rPr>
          <w:spacing w:val="9"/>
        </w:rPr>
        <w:t xml:space="preserve"> </w:t>
      </w:r>
      <w:r>
        <w:t>four</w:t>
      </w:r>
      <w:r>
        <w:rPr>
          <w:spacing w:val="9"/>
        </w:rPr>
        <w:t xml:space="preserve"> </w:t>
      </w:r>
      <w:r>
        <w:t>cars</w:t>
      </w:r>
      <w:r>
        <w:rPr>
          <w:spacing w:val="9"/>
        </w:rPr>
        <w:t xml:space="preserve"> </w:t>
      </w:r>
      <w:r>
        <w:t>had</w:t>
      </w:r>
      <w:r>
        <w:rPr>
          <w:spacing w:val="8"/>
        </w:rPr>
        <w:t xml:space="preserve"> </w:t>
      </w:r>
      <w:r>
        <w:t>nothing</w:t>
      </w:r>
      <w:r>
        <w:rPr>
          <w:spacing w:val="9"/>
        </w:rPr>
        <w:t xml:space="preserve"> </w:t>
      </w:r>
      <w:r>
        <w:t>to</w:t>
      </w:r>
      <w:r>
        <w:rPr>
          <w:spacing w:val="9"/>
        </w:rPr>
        <w:t xml:space="preserve"> </w:t>
      </w:r>
      <w:r>
        <w:t>do</w:t>
      </w:r>
      <w:r>
        <w:rPr>
          <w:spacing w:val="9"/>
        </w:rPr>
        <w:t xml:space="preserve"> </w:t>
      </w:r>
      <w:r>
        <w:t>with</w:t>
      </w:r>
      <w:r>
        <w:rPr>
          <w:spacing w:val="9"/>
        </w:rPr>
        <w:t xml:space="preserve"> </w:t>
      </w:r>
      <w:r>
        <w:t>B</w:t>
      </w:r>
      <w:r>
        <w:rPr>
          <w:vertAlign w:val="subscript"/>
        </w:rPr>
        <w:t>2</w:t>
      </w:r>
      <w:r>
        <w:rPr>
          <w:spacing w:val="8"/>
        </w:rPr>
        <w:t xml:space="preserve"> </w:t>
      </w:r>
      <w:r>
        <w:t>or</w:t>
      </w:r>
      <w:r>
        <w:rPr>
          <w:spacing w:val="7"/>
        </w:rPr>
        <w:t xml:space="preserve"> </w:t>
      </w:r>
      <w:r>
        <w:rPr>
          <w:i/>
          <w:spacing w:val="-10"/>
        </w:rPr>
        <w:t>a</w:t>
      </w:r>
    </w:p>
    <w:p w14:paraId="7E002528" w14:textId="77777777" w:rsidR="009A58DB" w:rsidRDefault="00000000">
      <w:pPr>
        <w:pStyle w:val="BodyText"/>
        <w:spacing w:before="64" w:line="271" w:lineRule="auto"/>
        <w:ind w:right="367"/>
      </w:pPr>
      <w:r>
        <w:rPr>
          <w:i/>
        </w:rPr>
        <w:t xml:space="preserve">fortiori </w:t>
      </w:r>
      <w:r>
        <w:t>with B</w:t>
      </w:r>
      <w:r>
        <w:rPr>
          <w:vertAlign w:val="subscript"/>
        </w:rPr>
        <w:t>2</w:t>
      </w:r>
      <w:r>
        <w:t xml:space="preserve">’s being a belief of any sort. So your believing that Max has four cars has nothing to do with your believing that he has more than two </w:t>
      </w:r>
      <w:r>
        <w:rPr>
          <w:spacing w:val="-2"/>
        </w:rPr>
        <w:t>cars.</w:t>
      </w:r>
    </w:p>
    <w:p w14:paraId="7E002529" w14:textId="77777777" w:rsidR="009A58DB" w:rsidRDefault="00000000">
      <w:pPr>
        <w:pStyle w:val="BodyText"/>
        <w:spacing w:line="316" w:lineRule="exact"/>
        <w:ind w:left="720"/>
      </w:pPr>
      <w:r>
        <w:t>A</w:t>
      </w:r>
      <w:r>
        <w:rPr>
          <w:spacing w:val="-3"/>
        </w:rPr>
        <w:t xml:space="preserve"> </w:t>
      </w:r>
      <w:r>
        <w:t>second</w:t>
      </w:r>
      <w:r>
        <w:rPr>
          <w:spacing w:val="-3"/>
        </w:rPr>
        <w:t xml:space="preserve"> </w:t>
      </w:r>
      <w:r>
        <w:t>story</w:t>
      </w:r>
      <w:r>
        <w:rPr>
          <w:spacing w:val="-2"/>
        </w:rPr>
        <w:t xml:space="preserve"> </w:t>
      </w:r>
      <w:r>
        <w:t>will</w:t>
      </w:r>
      <w:r>
        <w:rPr>
          <w:spacing w:val="-2"/>
        </w:rPr>
        <w:t xml:space="preserve"> </w:t>
      </w:r>
      <w:r>
        <w:t>clarify</w:t>
      </w:r>
      <w:r>
        <w:rPr>
          <w:spacing w:val="-2"/>
        </w:rPr>
        <w:t xml:space="preserve"> </w:t>
      </w:r>
      <w:r>
        <w:t>the</w:t>
      </w:r>
      <w:r>
        <w:rPr>
          <w:spacing w:val="-3"/>
        </w:rPr>
        <w:t xml:space="preserve"> </w:t>
      </w:r>
      <w:r>
        <w:t>first.</w:t>
      </w:r>
      <w:r>
        <w:rPr>
          <w:spacing w:val="-2"/>
        </w:rPr>
        <w:t xml:space="preserve"> </w:t>
      </w:r>
      <w:r>
        <w:t>I</w:t>
      </w:r>
      <w:r>
        <w:rPr>
          <w:spacing w:val="-2"/>
        </w:rPr>
        <w:t xml:space="preserve"> </w:t>
      </w:r>
      <w:r>
        <w:t>learn</w:t>
      </w:r>
      <w:r>
        <w:rPr>
          <w:spacing w:val="-2"/>
        </w:rPr>
        <w:t xml:space="preserve"> </w:t>
      </w:r>
      <w:r>
        <w:t>that</w:t>
      </w:r>
      <w:r>
        <w:rPr>
          <w:spacing w:val="-3"/>
        </w:rPr>
        <w:t xml:space="preserve"> </w:t>
      </w:r>
      <w:r>
        <w:t>Max</w:t>
      </w:r>
      <w:r>
        <w:rPr>
          <w:spacing w:val="-2"/>
        </w:rPr>
        <w:t xml:space="preserve"> </w:t>
      </w:r>
      <w:r>
        <w:t>has</w:t>
      </w:r>
      <w:r>
        <w:rPr>
          <w:spacing w:val="-2"/>
        </w:rPr>
        <w:t xml:space="preserve"> </w:t>
      </w:r>
      <w:r>
        <w:t>four</w:t>
      </w:r>
      <w:r>
        <w:rPr>
          <w:spacing w:val="-2"/>
        </w:rPr>
        <w:t xml:space="preserve"> </w:t>
      </w:r>
      <w:r>
        <w:t>cars.</w:t>
      </w:r>
      <w:r>
        <w:rPr>
          <w:spacing w:val="-3"/>
        </w:rPr>
        <w:t xml:space="preserve"> </w:t>
      </w:r>
      <w:r>
        <w:t>(Let</w:t>
      </w:r>
      <w:r>
        <w:rPr>
          <w:spacing w:val="-1"/>
        </w:rPr>
        <w:t xml:space="preserve"> </w:t>
      </w:r>
      <w:r>
        <w:rPr>
          <w:spacing w:val="-5"/>
        </w:rPr>
        <w:t>M</w:t>
      </w:r>
      <w:r>
        <w:rPr>
          <w:spacing w:val="-5"/>
          <w:vertAlign w:val="subscript"/>
        </w:rPr>
        <w:t>3</w:t>
      </w:r>
    </w:p>
    <w:p w14:paraId="7E00252A" w14:textId="77777777" w:rsidR="009A58DB" w:rsidRDefault="00000000">
      <w:pPr>
        <w:pStyle w:val="BodyText"/>
        <w:spacing w:before="75" w:line="249" w:lineRule="auto"/>
        <w:ind w:right="358"/>
      </w:pPr>
      <w:r>
        <w:t>be my belief that Max has four cars.) I am jealous. Out of jealousy, I try to throw a rock at one Max’s cars. I miss. The rock hits Smith in the head. (Smith is some person who happens to know Max.) The resulting head-trauma leads Smith to believe that Max has more than two cars. The connection</w:t>
      </w:r>
      <w:r>
        <w:rPr>
          <w:spacing w:val="60"/>
        </w:rPr>
        <w:t xml:space="preserve"> </w:t>
      </w:r>
      <w:r>
        <w:t>between</w:t>
      </w:r>
      <w:r>
        <w:rPr>
          <w:spacing w:val="61"/>
        </w:rPr>
        <w:t xml:space="preserve"> </w:t>
      </w:r>
      <w:r>
        <w:t>M</w:t>
      </w:r>
      <w:r>
        <w:rPr>
          <w:vertAlign w:val="subscript"/>
        </w:rPr>
        <w:t>1</w:t>
      </w:r>
      <w:r>
        <w:rPr>
          <w:spacing w:val="61"/>
        </w:rPr>
        <w:t xml:space="preserve"> </w:t>
      </w:r>
      <w:r>
        <w:t>and</w:t>
      </w:r>
      <w:r>
        <w:rPr>
          <w:spacing w:val="60"/>
        </w:rPr>
        <w:t xml:space="preserve"> </w:t>
      </w:r>
      <w:r>
        <w:t>M</w:t>
      </w:r>
      <w:r>
        <w:rPr>
          <w:vertAlign w:val="subscript"/>
        </w:rPr>
        <w:t>2</w:t>
      </w:r>
      <w:r>
        <w:rPr>
          <w:spacing w:val="65"/>
        </w:rPr>
        <w:t xml:space="preserve"> </w:t>
      </w:r>
      <w:r>
        <w:t>is</w:t>
      </w:r>
      <w:r>
        <w:rPr>
          <w:spacing w:val="65"/>
        </w:rPr>
        <w:t xml:space="preserve"> </w:t>
      </w:r>
      <w:r>
        <w:t>similar</w:t>
      </w:r>
      <w:r>
        <w:rPr>
          <w:spacing w:val="65"/>
        </w:rPr>
        <w:t xml:space="preserve"> </w:t>
      </w:r>
      <w:r>
        <w:t>to</w:t>
      </w:r>
      <w:r>
        <w:rPr>
          <w:spacing w:val="64"/>
        </w:rPr>
        <w:t xml:space="preserve"> </w:t>
      </w:r>
      <w:r>
        <w:t>the</w:t>
      </w:r>
      <w:r>
        <w:rPr>
          <w:spacing w:val="65"/>
        </w:rPr>
        <w:t xml:space="preserve"> </w:t>
      </w:r>
      <w:r>
        <w:t>connection</w:t>
      </w:r>
      <w:r>
        <w:rPr>
          <w:spacing w:val="65"/>
        </w:rPr>
        <w:t xml:space="preserve"> </w:t>
      </w:r>
      <w:r>
        <w:t>between</w:t>
      </w:r>
      <w:r>
        <w:rPr>
          <w:spacing w:val="64"/>
        </w:rPr>
        <w:t xml:space="preserve"> </w:t>
      </w:r>
      <w:r>
        <w:rPr>
          <w:spacing w:val="-5"/>
        </w:rPr>
        <w:t>my</w:t>
      </w:r>
    </w:p>
    <w:p w14:paraId="7E00252B" w14:textId="77777777" w:rsidR="009A58DB" w:rsidRDefault="00000000">
      <w:pPr>
        <w:pStyle w:val="BodyText"/>
        <w:spacing w:before="66" w:line="249" w:lineRule="auto"/>
        <w:ind w:right="360"/>
      </w:pPr>
      <w:r>
        <w:t>belief that Max has four cars and your consequent belief that he has more</w:t>
      </w:r>
      <w:r>
        <w:rPr>
          <w:spacing w:val="40"/>
        </w:rPr>
        <w:t xml:space="preserve"> </w:t>
      </w:r>
      <w:r>
        <w:t>than two cars.</w:t>
      </w:r>
    </w:p>
    <w:p w14:paraId="7E00252C" w14:textId="77777777" w:rsidR="009A58DB" w:rsidRDefault="00000000">
      <w:pPr>
        <w:pStyle w:val="BodyText"/>
        <w:spacing w:before="2" w:line="271" w:lineRule="auto"/>
        <w:ind w:right="359" w:firstLine="360"/>
      </w:pPr>
      <w:r>
        <w:t>Of course, M</w:t>
      </w:r>
      <w:r>
        <w:rPr>
          <w:position w:val="-7"/>
          <w:sz w:val="22"/>
        </w:rPr>
        <w:t>1</w:t>
      </w:r>
      <w:r>
        <w:rPr>
          <w:spacing w:val="40"/>
          <w:position w:val="-7"/>
          <w:sz w:val="22"/>
        </w:rPr>
        <w:t xml:space="preserve"> </w:t>
      </w:r>
      <w:r>
        <w:t>and M</w:t>
      </w:r>
      <w:r>
        <w:rPr>
          <w:position w:val="-7"/>
          <w:sz w:val="22"/>
        </w:rPr>
        <w:t>2</w:t>
      </w:r>
      <w:r>
        <w:rPr>
          <w:spacing w:val="40"/>
          <w:position w:val="-7"/>
          <w:sz w:val="22"/>
        </w:rPr>
        <w:t xml:space="preserve"> </w:t>
      </w:r>
      <w:r>
        <w:t>belong to the same mind, whereas M</w:t>
      </w:r>
      <w:r>
        <w:rPr>
          <w:position w:val="-7"/>
          <w:sz w:val="22"/>
        </w:rPr>
        <w:t>3</w:t>
      </w:r>
      <w:r>
        <w:rPr>
          <w:spacing w:val="40"/>
          <w:position w:val="-7"/>
          <w:sz w:val="22"/>
        </w:rPr>
        <w:t xml:space="preserve"> </w:t>
      </w:r>
      <w:r>
        <w:t>and M</w:t>
      </w:r>
      <w:r>
        <w:rPr>
          <w:position w:val="-7"/>
          <w:sz w:val="22"/>
        </w:rPr>
        <w:t xml:space="preserve">4 </w:t>
      </w:r>
      <w:r>
        <w:t xml:space="preserve">don’t. But it isn’t </w:t>
      </w:r>
      <w:r>
        <w:rPr>
          <w:i/>
        </w:rPr>
        <w:t xml:space="preserve">because </w:t>
      </w:r>
      <w:r>
        <w:t>M</w:t>
      </w:r>
      <w:r>
        <w:rPr>
          <w:vertAlign w:val="subscript"/>
        </w:rPr>
        <w:t>1</w:t>
      </w:r>
      <w:r>
        <w:t xml:space="preserve"> brings M</w:t>
      </w:r>
      <w:r>
        <w:rPr>
          <w:vertAlign w:val="subscript"/>
        </w:rPr>
        <w:t>2</w:t>
      </w:r>
      <w:r>
        <w:t xml:space="preserve"> about that they belong to the same mind.</w:t>
      </w:r>
      <w:r>
        <w:rPr>
          <w:spacing w:val="16"/>
        </w:rPr>
        <w:t xml:space="preserve"> </w:t>
      </w:r>
      <w:r>
        <w:t>M</w:t>
      </w:r>
      <w:r>
        <w:rPr>
          <w:vertAlign w:val="subscript"/>
        </w:rPr>
        <w:t>3</w:t>
      </w:r>
      <w:r>
        <w:rPr>
          <w:spacing w:val="16"/>
        </w:rPr>
        <w:t xml:space="preserve"> </w:t>
      </w:r>
      <w:r>
        <w:t>brings</w:t>
      </w:r>
      <w:r>
        <w:rPr>
          <w:spacing w:val="15"/>
        </w:rPr>
        <w:t xml:space="preserve"> </w:t>
      </w:r>
      <w:r>
        <w:t>M</w:t>
      </w:r>
      <w:r>
        <w:rPr>
          <w:vertAlign w:val="subscript"/>
        </w:rPr>
        <w:t>4</w:t>
      </w:r>
      <w:r>
        <w:rPr>
          <w:spacing w:val="22"/>
        </w:rPr>
        <w:t xml:space="preserve"> </w:t>
      </w:r>
      <w:r>
        <w:t>about,</w:t>
      </w:r>
      <w:r>
        <w:rPr>
          <w:spacing w:val="21"/>
        </w:rPr>
        <w:t xml:space="preserve"> </w:t>
      </w:r>
      <w:r>
        <w:t>but</w:t>
      </w:r>
      <w:r>
        <w:rPr>
          <w:spacing w:val="21"/>
        </w:rPr>
        <w:t xml:space="preserve"> </w:t>
      </w:r>
      <w:r>
        <w:t>they</w:t>
      </w:r>
      <w:r>
        <w:rPr>
          <w:spacing w:val="22"/>
        </w:rPr>
        <w:t xml:space="preserve"> </w:t>
      </w:r>
      <w:r>
        <w:t>don’t</w:t>
      </w:r>
      <w:r>
        <w:rPr>
          <w:spacing w:val="21"/>
        </w:rPr>
        <w:t xml:space="preserve"> </w:t>
      </w:r>
      <w:r>
        <w:t>belong</w:t>
      </w:r>
      <w:r>
        <w:rPr>
          <w:spacing w:val="22"/>
        </w:rPr>
        <w:t xml:space="preserve"> </w:t>
      </w:r>
      <w:r>
        <w:t>to</w:t>
      </w:r>
      <w:r>
        <w:rPr>
          <w:spacing w:val="21"/>
        </w:rPr>
        <w:t xml:space="preserve"> </w:t>
      </w:r>
      <w:r>
        <w:t>the</w:t>
      </w:r>
      <w:r>
        <w:rPr>
          <w:spacing w:val="21"/>
        </w:rPr>
        <w:t xml:space="preserve"> </w:t>
      </w:r>
      <w:r>
        <w:t>same</w:t>
      </w:r>
      <w:r>
        <w:rPr>
          <w:spacing w:val="22"/>
        </w:rPr>
        <w:t xml:space="preserve"> </w:t>
      </w:r>
      <w:r>
        <w:t>mind.</w:t>
      </w:r>
      <w:r>
        <w:rPr>
          <w:spacing w:val="21"/>
        </w:rPr>
        <w:t xml:space="preserve"> </w:t>
      </w:r>
      <w:r>
        <w:t>So</w:t>
      </w:r>
      <w:r>
        <w:rPr>
          <w:spacing w:val="21"/>
        </w:rPr>
        <w:t xml:space="preserve"> </w:t>
      </w:r>
      <w:r>
        <w:rPr>
          <w:spacing w:val="-5"/>
        </w:rPr>
        <w:t>why</w:t>
      </w:r>
    </w:p>
    <w:p w14:paraId="7E00252D" w14:textId="77777777" w:rsidR="009A58DB" w:rsidRDefault="00000000">
      <w:pPr>
        <w:pStyle w:val="BodyText"/>
        <w:spacing w:before="28"/>
      </w:pPr>
      <w:r>
        <w:t>do</w:t>
      </w:r>
      <w:r>
        <w:rPr>
          <w:spacing w:val="-1"/>
        </w:rPr>
        <w:t xml:space="preserve"> </w:t>
      </w:r>
      <w:r>
        <w:t>M</w:t>
      </w:r>
      <w:r>
        <w:rPr>
          <w:position w:val="-7"/>
          <w:sz w:val="22"/>
        </w:rPr>
        <w:t>1</w:t>
      </w:r>
      <w:r>
        <w:rPr>
          <w:spacing w:val="19"/>
          <w:position w:val="-7"/>
          <w:sz w:val="22"/>
        </w:rPr>
        <w:t xml:space="preserve"> </w:t>
      </w:r>
      <w:r>
        <w:t>and</w:t>
      </w:r>
      <w:r>
        <w:rPr>
          <w:spacing w:val="-1"/>
        </w:rPr>
        <w:t xml:space="preserve"> </w:t>
      </w:r>
      <w:r>
        <w:t>M</w:t>
      </w:r>
      <w:r>
        <w:rPr>
          <w:position w:val="-7"/>
          <w:sz w:val="22"/>
        </w:rPr>
        <w:t>2</w:t>
      </w:r>
      <w:r>
        <w:rPr>
          <w:spacing w:val="20"/>
          <w:position w:val="-7"/>
          <w:sz w:val="22"/>
        </w:rPr>
        <w:t xml:space="preserve"> </w:t>
      </w:r>
      <w:r>
        <w:t>belong</w:t>
      </w:r>
      <w:r>
        <w:rPr>
          <w:spacing w:val="-1"/>
        </w:rPr>
        <w:t xml:space="preserve"> </w:t>
      </w:r>
      <w:r>
        <w:t>to</w:t>
      </w:r>
      <w:r>
        <w:rPr>
          <w:spacing w:val="-1"/>
        </w:rPr>
        <w:t xml:space="preserve"> </w:t>
      </w:r>
      <w:r>
        <w:t>the</w:t>
      </w:r>
      <w:r>
        <w:rPr>
          <w:spacing w:val="-1"/>
        </w:rPr>
        <w:t xml:space="preserve"> </w:t>
      </w:r>
      <w:r>
        <w:t>same</w:t>
      </w:r>
      <w:r>
        <w:rPr>
          <w:spacing w:val="-2"/>
        </w:rPr>
        <w:t xml:space="preserve"> mind?</w:t>
      </w:r>
    </w:p>
    <w:p w14:paraId="7E00252E" w14:textId="77777777" w:rsidR="009A58DB" w:rsidRDefault="00000000">
      <w:pPr>
        <w:pStyle w:val="BodyText"/>
        <w:spacing w:before="13" w:line="292" w:lineRule="auto"/>
        <w:ind w:right="368" w:firstLine="360"/>
      </w:pPr>
      <w:r>
        <w:t>“M</w:t>
      </w:r>
      <w:r>
        <w:rPr>
          <w:vertAlign w:val="subscript"/>
        </w:rPr>
        <w:t>1</w:t>
      </w:r>
      <w:r>
        <w:t xml:space="preserve"> and M</w:t>
      </w:r>
      <w:r>
        <w:rPr>
          <w:vertAlign w:val="subscript"/>
        </w:rPr>
        <w:t>2</w:t>
      </w:r>
      <w:r>
        <w:t xml:space="preserve"> are identical with events that occur in the same </w:t>
      </w:r>
      <w:r>
        <w:rPr>
          <w:i/>
        </w:rPr>
        <w:t xml:space="preserve">brain. </w:t>
      </w:r>
      <w:r>
        <w:t>And that’s why they belong to the same mind.”</w:t>
      </w:r>
    </w:p>
    <w:p w14:paraId="7E00252F" w14:textId="77777777" w:rsidR="009A58DB" w:rsidRDefault="00000000">
      <w:pPr>
        <w:pStyle w:val="BodyText"/>
        <w:spacing w:line="283" w:lineRule="exact"/>
        <w:ind w:left="720"/>
      </w:pPr>
      <w:r>
        <w:t>That’s</w:t>
      </w:r>
      <w:r>
        <w:rPr>
          <w:spacing w:val="11"/>
        </w:rPr>
        <w:t xml:space="preserve"> </w:t>
      </w:r>
      <w:r>
        <w:t>not</w:t>
      </w:r>
      <w:r>
        <w:rPr>
          <w:spacing w:val="12"/>
        </w:rPr>
        <w:t xml:space="preserve"> </w:t>
      </w:r>
      <w:r>
        <w:t>a</w:t>
      </w:r>
      <w:r>
        <w:rPr>
          <w:spacing w:val="11"/>
        </w:rPr>
        <w:t xml:space="preserve"> </w:t>
      </w:r>
      <w:r>
        <w:t>very</w:t>
      </w:r>
      <w:r>
        <w:rPr>
          <w:spacing w:val="13"/>
        </w:rPr>
        <w:t xml:space="preserve"> </w:t>
      </w:r>
      <w:r>
        <w:t>good</w:t>
      </w:r>
      <w:r>
        <w:rPr>
          <w:spacing w:val="12"/>
        </w:rPr>
        <w:t xml:space="preserve"> </w:t>
      </w:r>
      <w:r>
        <w:t>answer.</w:t>
      </w:r>
      <w:r>
        <w:rPr>
          <w:spacing w:val="13"/>
        </w:rPr>
        <w:t xml:space="preserve"> </w:t>
      </w:r>
      <w:r>
        <w:t>A</w:t>
      </w:r>
      <w:r>
        <w:rPr>
          <w:spacing w:val="12"/>
        </w:rPr>
        <w:t xml:space="preserve"> </w:t>
      </w:r>
      <w:r>
        <w:t>given</w:t>
      </w:r>
      <w:r>
        <w:rPr>
          <w:spacing w:val="12"/>
        </w:rPr>
        <w:t xml:space="preserve"> </w:t>
      </w:r>
      <w:r>
        <w:t>brain</w:t>
      </w:r>
      <w:r>
        <w:rPr>
          <w:spacing w:val="13"/>
        </w:rPr>
        <w:t xml:space="preserve"> </w:t>
      </w:r>
      <w:r>
        <w:t>could,</w:t>
      </w:r>
      <w:r>
        <w:rPr>
          <w:spacing w:val="12"/>
        </w:rPr>
        <w:t xml:space="preserve"> </w:t>
      </w:r>
      <w:r>
        <w:t>theoretically</w:t>
      </w:r>
      <w:r>
        <w:rPr>
          <w:spacing w:val="13"/>
        </w:rPr>
        <w:t xml:space="preserve"> </w:t>
      </w:r>
      <w:r>
        <w:t>at</w:t>
      </w:r>
      <w:r>
        <w:rPr>
          <w:spacing w:val="12"/>
        </w:rPr>
        <w:t xml:space="preserve"> </w:t>
      </w:r>
      <w:r>
        <w:rPr>
          <w:spacing w:val="-2"/>
        </w:rPr>
        <w:t>least,</w:t>
      </w:r>
    </w:p>
    <w:p w14:paraId="7E002530" w14:textId="77777777" w:rsidR="009A58DB" w:rsidRDefault="00000000">
      <w:pPr>
        <w:pStyle w:val="BodyText"/>
        <w:spacing w:before="15" w:line="249" w:lineRule="auto"/>
        <w:ind w:right="359"/>
      </w:pPr>
      <w:r>
        <w:t xml:space="preserve">house different minds. It may be that, in actuality, no brain houses two different minds. But it’s clearly an empirical question. There’s nothing conceptually wrong with the idea. In fact, there is some experimental evidence that, at least arguably, suggests that different minds </w:t>
      </w:r>
      <w:r>
        <w:rPr>
          <w:i/>
        </w:rPr>
        <w:t xml:space="preserve">can </w:t>
      </w:r>
      <w:r>
        <w:t>co-occupy some one brain.</w:t>
      </w:r>
      <w:bookmarkStart w:id="509" w:name="_bookmark509"/>
      <w:bookmarkEnd w:id="509"/>
      <w:r>
        <w:rPr>
          <w:color w:val="0562C1"/>
          <w:position w:val="21"/>
          <w:u w:val="single" w:color="0562C1"/>
        </w:rPr>
        <w:t>[379]</w:t>
      </w:r>
      <w:r>
        <w:rPr>
          <w:color w:val="0562C1"/>
          <w:position w:val="21"/>
        </w:rPr>
        <w:t xml:space="preserve"> </w:t>
      </w:r>
      <w:r>
        <w:t>That same evidence suggests that, were it not for the existence of quite fragile neural structures, the subject housed by a given brain would powder into a multiplicity of distinct subjects.</w:t>
      </w:r>
    </w:p>
    <w:p w14:paraId="7E002531" w14:textId="77777777" w:rsidR="009A58DB" w:rsidRDefault="00000000">
      <w:pPr>
        <w:pStyle w:val="BodyText"/>
        <w:spacing w:before="8"/>
        <w:ind w:left="720"/>
      </w:pPr>
      <w:r>
        <w:t>Second,</w:t>
      </w:r>
      <w:r>
        <w:rPr>
          <w:spacing w:val="24"/>
        </w:rPr>
        <w:t xml:space="preserve"> </w:t>
      </w:r>
      <w:r>
        <w:t>the</w:t>
      </w:r>
      <w:r>
        <w:rPr>
          <w:spacing w:val="25"/>
        </w:rPr>
        <w:t xml:space="preserve"> </w:t>
      </w:r>
      <w:r>
        <w:t>reason</w:t>
      </w:r>
      <w:r>
        <w:rPr>
          <w:spacing w:val="25"/>
        </w:rPr>
        <w:t xml:space="preserve"> </w:t>
      </w:r>
      <w:r>
        <w:t>that</w:t>
      </w:r>
      <w:r>
        <w:rPr>
          <w:spacing w:val="25"/>
        </w:rPr>
        <w:t xml:space="preserve"> </w:t>
      </w:r>
      <w:r>
        <w:t>we</w:t>
      </w:r>
      <w:r>
        <w:rPr>
          <w:spacing w:val="24"/>
        </w:rPr>
        <w:t xml:space="preserve"> </w:t>
      </w:r>
      <w:r>
        <w:t>see</w:t>
      </w:r>
      <w:r>
        <w:rPr>
          <w:spacing w:val="25"/>
        </w:rPr>
        <w:t xml:space="preserve"> </w:t>
      </w:r>
      <w:r>
        <w:t>brains</w:t>
      </w:r>
      <w:r>
        <w:rPr>
          <w:spacing w:val="25"/>
        </w:rPr>
        <w:t xml:space="preserve"> </w:t>
      </w:r>
      <w:r>
        <w:t>as</w:t>
      </w:r>
      <w:r>
        <w:rPr>
          <w:spacing w:val="25"/>
        </w:rPr>
        <w:t xml:space="preserve"> </w:t>
      </w:r>
      <w:r>
        <w:t>constitutive</w:t>
      </w:r>
      <w:r>
        <w:rPr>
          <w:spacing w:val="24"/>
        </w:rPr>
        <w:t xml:space="preserve"> </w:t>
      </w:r>
      <w:r>
        <w:t>of</w:t>
      </w:r>
      <w:r>
        <w:rPr>
          <w:spacing w:val="25"/>
        </w:rPr>
        <w:t xml:space="preserve"> </w:t>
      </w:r>
      <w:r>
        <w:t>minds</w:t>
      </w:r>
      <w:r>
        <w:rPr>
          <w:spacing w:val="25"/>
        </w:rPr>
        <w:t xml:space="preserve"> </w:t>
      </w:r>
      <w:r>
        <w:t>is</w:t>
      </w:r>
      <w:r>
        <w:rPr>
          <w:spacing w:val="25"/>
        </w:rPr>
        <w:t xml:space="preserve"> </w:t>
      </w:r>
      <w:r>
        <w:t>that</w:t>
      </w:r>
      <w:r>
        <w:rPr>
          <w:spacing w:val="25"/>
        </w:rPr>
        <w:t xml:space="preserve"> </w:t>
      </w:r>
      <w:r>
        <w:rPr>
          <w:spacing w:val="-5"/>
        </w:rPr>
        <w:t>we</w:t>
      </w:r>
    </w:p>
    <w:p w14:paraId="7E002532" w14:textId="77777777" w:rsidR="009A58DB" w:rsidRDefault="009A58DB">
      <w:pPr>
        <w:pStyle w:val="BodyText"/>
        <w:sectPr w:rsidR="009A58DB">
          <w:pgSz w:w="12240" w:h="15840"/>
          <w:pgMar w:top="1380" w:right="1080" w:bottom="280" w:left="1080" w:header="720" w:footer="720" w:gutter="0"/>
          <w:cols w:space="720"/>
        </w:sectPr>
      </w:pPr>
    </w:p>
    <w:p w14:paraId="7E002533" w14:textId="77777777" w:rsidR="009A58DB" w:rsidRDefault="00000000">
      <w:pPr>
        <w:pStyle w:val="BodyText"/>
        <w:spacing w:before="65" w:line="249" w:lineRule="auto"/>
        <w:ind w:right="358"/>
      </w:pPr>
      <w:r>
        <w:lastRenderedPageBreak/>
        <w:t>know on independent grounds that the mental events mediated by a given brain</w:t>
      </w:r>
      <w:r>
        <w:rPr>
          <w:spacing w:val="-3"/>
        </w:rPr>
        <w:t xml:space="preserve"> </w:t>
      </w:r>
      <w:r>
        <w:t>tend</w:t>
      </w:r>
      <w:r>
        <w:rPr>
          <w:spacing w:val="-3"/>
        </w:rPr>
        <w:t xml:space="preserve"> </w:t>
      </w:r>
      <w:r>
        <w:t>to</w:t>
      </w:r>
      <w:r>
        <w:rPr>
          <w:spacing w:val="-3"/>
        </w:rPr>
        <w:t xml:space="preserve"> </w:t>
      </w:r>
      <w:r>
        <w:t>constitute</w:t>
      </w:r>
      <w:r>
        <w:rPr>
          <w:spacing w:val="-4"/>
        </w:rPr>
        <w:t xml:space="preserve"> </w:t>
      </w:r>
      <w:r>
        <w:t>some</w:t>
      </w:r>
      <w:r>
        <w:rPr>
          <w:spacing w:val="-4"/>
        </w:rPr>
        <w:t xml:space="preserve"> </w:t>
      </w:r>
      <w:r>
        <w:t>one</w:t>
      </w:r>
      <w:r>
        <w:rPr>
          <w:spacing w:val="-4"/>
        </w:rPr>
        <w:t xml:space="preserve"> </w:t>
      </w:r>
      <w:r>
        <w:t>mind.</w:t>
      </w:r>
      <w:r>
        <w:rPr>
          <w:spacing w:val="-3"/>
        </w:rPr>
        <w:t xml:space="preserve"> </w:t>
      </w:r>
      <w:r>
        <w:t>In</w:t>
      </w:r>
      <w:r>
        <w:rPr>
          <w:spacing w:val="-3"/>
        </w:rPr>
        <w:t xml:space="preserve"> </w:t>
      </w:r>
      <w:r>
        <w:t>the</w:t>
      </w:r>
      <w:r>
        <w:rPr>
          <w:spacing w:val="-4"/>
        </w:rPr>
        <w:t xml:space="preserve"> </w:t>
      </w:r>
      <w:r>
        <w:t>(1987)</w:t>
      </w:r>
      <w:r>
        <w:rPr>
          <w:spacing w:val="-4"/>
        </w:rPr>
        <w:t xml:space="preserve"> </w:t>
      </w:r>
      <w:r>
        <w:t>movie</w:t>
      </w:r>
      <w:r>
        <w:rPr>
          <w:spacing w:val="-4"/>
        </w:rPr>
        <w:t xml:space="preserve"> </w:t>
      </w:r>
      <w:r>
        <w:rPr>
          <w:i/>
        </w:rPr>
        <w:t>Like</w:t>
      </w:r>
      <w:r>
        <w:rPr>
          <w:i/>
          <w:spacing w:val="-4"/>
        </w:rPr>
        <w:t xml:space="preserve"> </w:t>
      </w:r>
      <w:r>
        <w:rPr>
          <w:i/>
        </w:rPr>
        <w:t>Father,</w:t>
      </w:r>
      <w:r>
        <w:rPr>
          <w:i/>
          <w:spacing w:val="-3"/>
        </w:rPr>
        <w:t xml:space="preserve"> </w:t>
      </w:r>
      <w:r>
        <w:rPr>
          <w:i/>
        </w:rPr>
        <w:t>Like Son,</w:t>
      </w:r>
      <w:r>
        <w:rPr>
          <w:i/>
          <w:spacing w:val="-3"/>
        </w:rPr>
        <w:t xml:space="preserve"> </w:t>
      </w:r>
      <w:r>
        <w:t xml:space="preserve">a stodgy father (played by Dudley Moore) switches bodies with his fun-loving son (played by Kurt Cameron). Events of this kind may well be impossible; but they aren’t impossible in the same way that square circles are impossible. That is to say, they are not </w:t>
      </w:r>
      <w:r>
        <w:rPr>
          <w:i/>
        </w:rPr>
        <w:t xml:space="preserve">logically </w:t>
      </w:r>
      <w:r>
        <w:t xml:space="preserve">impossible. I’m pretty sure that I won’t wake up in somebody else’s body tomorrow. But that belief of mine isn’t in the same category as my belief that there are no square circles. The former, unlike the latter, is an empirical belief. I cannot coherently imagine having had life-experiences that would warrant my believing that there are square circles. I </w:t>
      </w:r>
      <w:r>
        <w:rPr>
          <w:i/>
        </w:rPr>
        <w:t>can</w:t>
      </w:r>
      <w:r>
        <w:rPr>
          <w:i/>
          <w:spacing w:val="-4"/>
        </w:rPr>
        <w:t xml:space="preserve"> </w:t>
      </w:r>
      <w:r>
        <w:t>coherently imagine having had life-experiences that</w:t>
      </w:r>
      <w:r>
        <w:rPr>
          <w:spacing w:val="-3"/>
        </w:rPr>
        <w:t xml:space="preserve"> </w:t>
      </w:r>
      <w:r>
        <w:t>would</w:t>
      </w:r>
      <w:r>
        <w:rPr>
          <w:spacing w:val="-2"/>
        </w:rPr>
        <w:t xml:space="preserve"> </w:t>
      </w:r>
      <w:r>
        <w:t>warrant</w:t>
      </w:r>
      <w:r>
        <w:rPr>
          <w:spacing w:val="-3"/>
        </w:rPr>
        <w:t xml:space="preserve"> </w:t>
      </w:r>
      <w:r>
        <w:t>my</w:t>
      </w:r>
      <w:r>
        <w:rPr>
          <w:spacing w:val="-2"/>
        </w:rPr>
        <w:t xml:space="preserve"> </w:t>
      </w:r>
      <w:r>
        <w:t>believing</w:t>
      </w:r>
      <w:r>
        <w:rPr>
          <w:spacing w:val="-3"/>
        </w:rPr>
        <w:t xml:space="preserve"> </w:t>
      </w:r>
      <w:r>
        <w:t>that</w:t>
      </w:r>
      <w:r>
        <w:rPr>
          <w:spacing w:val="-2"/>
        </w:rPr>
        <w:t xml:space="preserve"> </w:t>
      </w:r>
      <w:r>
        <w:t>I’d</w:t>
      </w:r>
      <w:r>
        <w:rPr>
          <w:spacing w:val="-2"/>
        </w:rPr>
        <w:t xml:space="preserve"> </w:t>
      </w:r>
      <w:r>
        <w:t>wake</w:t>
      </w:r>
      <w:r>
        <w:rPr>
          <w:spacing w:val="-3"/>
        </w:rPr>
        <w:t xml:space="preserve"> </w:t>
      </w:r>
      <w:r>
        <w:t>up</w:t>
      </w:r>
      <w:r>
        <w:rPr>
          <w:spacing w:val="-2"/>
        </w:rPr>
        <w:t xml:space="preserve"> </w:t>
      </w:r>
      <w:r>
        <w:t>in</w:t>
      </w:r>
      <w:r>
        <w:rPr>
          <w:spacing w:val="-3"/>
        </w:rPr>
        <w:t xml:space="preserve"> </w:t>
      </w:r>
      <w:r>
        <w:t>a</w:t>
      </w:r>
      <w:r>
        <w:rPr>
          <w:spacing w:val="-2"/>
        </w:rPr>
        <w:t xml:space="preserve"> </w:t>
      </w:r>
      <w:r>
        <w:t>body</w:t>
      </w:r>
      <w:r>
        <w:rPr>
          <w:spacing w:val="-3"/>
        </w:rPr>
        <w:t xml:space="preserve"> </w:t>
      </w:r>
      <w:r>
        <w:t>different</w:t>
      </w:r>
      <w:r>
        <w:rPr>
          <w:spacing w:val="-2"/>
        </w:rPr>
        <w:t xml:space="preserve"> </w:t>
      </w:r>
      <w:r>
        <w:t>from</w:t>
      </w:r>
      <w:r>
        <w:rPr>
          <w:spacing w:val="-2"/>
        </w:rPr>
        <w:t xml:space="preserve"> </w:t>
      </w:r>
      <w:r>
        <w:t>the one I now occupy. And were events of this kind to happen, we wouldn’t see brains as individuative of minds. This means that brains are individuative of minds only in a parasitic sense; which, in its turn, means that, ultimately, brains aren’t individuative of minds at all.</w:t>
      </w:r>
    </w:p>
    <w:p w14:paraId="7E002534" w14:textId="77777777" w:rsidR="009A58DB" w:rsidRDefault="00000000">
      <w:pPr>
        <w:pStyle w:val="BodyText"/>
        <w:spacing w:before="19" w:line="271" w:lineRule="auto"/>
        <w:ind w:right="358" w:firstLine="360"/>
      </w:pPr>
      <w:r>
        <w:t>“Maybe the reason that M</w:t>
      </w:r>
      <w:r>
        <w:rPr>
          <w:vertAlign w:val="subscript"/>
        </w:rPr>
        <w:t>1</w:t>
      </w:r>
      <w:r>
        <w:t xml:space="preserve"> and M</w:t>
      </w:r>
      <w:r>
        <w:rPr>
          <w:vertAlign w:val="subscript"/>
        </w:rPr>
        <w:t>2</w:t>
      </w:r>
      <w:r>
        <w:t xml:space="preserve"> belong to the same mind is that they belong to the same body.” This answer fails for the same reason as the previous one.</w:t>
      </w:r>
    </w:p>
    <w:p w14:paraId="7E002535" w14:textId="77777777" w:rsidR="009A58DB" w:rsidRDefault="00000000">
      <w:pPr>
        <w:pStyle w:val="BodyText"/>
        <w:spacing w:line="378" w:lineRule="exact"/>
        <w:ind w:left="720"/>
      </w:pPr>
      <w:r>
        <w:t>“Maybe</w:t>
      </w:r>
      <w:r>
        <w:rPr>
          <w:spacing w:val="-3"/>
        </w:rPr>
        <w:t xml:space="preserve"> </w:t>
      </w:r>
      <w:r>
        <w:t>the</w:t>
      </w:r>
      <w:r>
        <w:rPr>
          <w:spacing w:val="-2"/>
        </w:rPr>
        <w:t xml:space="preserve"> </w:t>
      </w:r>
      <w:r>
        <w:t>reason</w:t>
      </w:r>
      <w:r>
        <w:rPr>
          <w:spacing w:val="-1"/>
        </w:rPr>
        <w:t xml:space="preserve"> </w:t>
      </w:r>
      <w:r>
        <w:t>that</w:t>
      </w:r>
      <w:r>
        <w:rPr>
          <w:spacing w:val="-3"/>
        </w:rPr>
        <w:t xml:space="preserve"> </w:t>
      </w:r>
      <w:r>
        <w:t>M</w:t>
      </w:r>
      <w:r>
        <w:rPr>
          <w:position w:val="-7"/>
          <w:sz w:val="22"/>
        </w:rPr>
        <w:t>1</w:t>
      </w:r>
      <w:r>
        <w:rPr>
          <w:spacing w:val="19"/>
          <w:position w:val="-7"/>
          <w:sz w:val="22"/>
        </w:rPr>
        <w:t xml:space="preserve"> </w:t>
      </w:r>
      <w:r>
        <w:t>and</w:t>
      </w:r>
      <w:r>
        <w:rPr>
          <w:spacing w:val="-1"/>
        </w:rPr>
        <w:t xml:space="preserve"> </w:t>
      </w:r>
      <w:r>
        <w:t>M</w:t>
      </w:r>
      <w:r>
        <w:rPr>
          <w:position w:val="-7"/>
          <w:sz w:val="22"/>
        </w:rPr>
        <w:t>2</w:t>
      </w:r>
      <w:r>
        <w:rPr>
          <w:spacing w:val="18"/>
          <w:position w:val="-7"/>
          <w:sz w:val="22"/>
        </w:rPr>
        <w:t xml:space="preserve"> </w:t>
      </w:r>
      <w:r>
        <w:t>belong</w:t>
      </w:r>
      <w:r>
        <w:rPr>
          <w:spacing w:val="-1"/>
        </w:rPr>
        <w:t xml:space="preserve"> </w:t>
      </w:r>
      <w:r>
        <w:t>to</w:t>
      </w:r>
      <w:r>
        <w:rPr>
          <w:spacing w:val="-1"/>
        </w:rPr>
        <w:t xml:space="preserve"> </w:t>
      </w:r>
      <w:r>
        <w:t>the</w:t>
      </w:r>
      <w:r>
        <w:rPr>
          <w:spacing w:val="-2"/>
        </w:rPr>
        <w:t xml:space="preserve"> </w:t>
      </w:r>
      <w:r>
        <w:t>same</w:t>
      </w:r>
      <w:r>
        <w:rPr>
          <w:spacing w:val="-3"/>
        </w:rPr>
        <w:t xml:space="preserve"> </w:t>
      </w:r>
      <w:r>
        <w:t>mind</w:t>
      </w:r>
      <w:r>
        <w:rPr>
          <w:spacing w:val="-1"/>
        </w:rPr>
        <w:t xml:space="preserve"> </w:t>
      </w:r>
      <w:r>
        <w:t>is</w:t>
      </w:r>
      <w:r>
        <w:rPr>
          <w:spacing w:val="-2"/>
        </w:rPr>
        <w:t xml:space="preserve"> </w:t>
      </w:r>
      <w:r>
        <w:t>that</w:t>
      </w:r>
      <w:r>
        <w:rPr>
          <w:spacing w:val="-3"/>
        </w:rPr>
        <w:t xml:space="preserve"> </w:t>
      </w:r>
      <w:r>
        <w:t>M</w:t>
      </w:r>
      <w:r>
        <w:rPr>
          <w:position w:val="-7"/>
          <w:sz w:val="22"/>
        </w:rPr>
        <w:t>1</w:t>
      </w:r>
      <w:r>
        <w:rPr>
          <w:spacing w:val="19"/>
          <w:position w:val="-7"/>
          <w:sz w:val="22"/>
        </w:rPr>
        <w:t xml:space="preserve"> </w:t>
      </w:r>
      <w:r>
        <w:rPr>
          <w:spacing w:val="-5"/>
        </w:rPr>
        <w:t>and</w:t>
      </w:r>
    </w:p>
    <w:p w14:paraId="7E002536" w14:textId="77777777" w:rsidR="009A58DB" w:rsidRDefault="00000000">
      <w:pPr>
        <w:pStyle w:val="BodyText"/>
        <w:spacing w:before="13"/>
      </w:pPr>
      <w:r>
        <w:t>M</w:t>
      </w:r>
      <w:r>
        <w:rPr>
          <w:vertAlign w:val="subscript"/>
        </w:rPr>
        <w:t>2</w:t>
      </w:r>
      <w:r>
        <w:rPr>
          <w:spacing w:val="2"/>
        </w:rPr>
        <w:t xml:space="preserve"> </w:t>
      </w:r>
      <w:r>
        <w:t>belong</w:t>
      </w:r>
      <w:r>
        <w:rPr>
          <w:spacing w:val="2"/>
        </w:rPr>
        <w:t xml:space="preserve"> </w:t>
      </w:r>
      <w:r>
        <w:t>to</w:t>
      </w:r>
      <w:r>
        <w:rPr>
          <w:spacing w:val="3"/>
        </w:rPr>
        <w:t xml:space="preserve"> </w:t>
      </w:r>
      <w:r>
        <w:t>the</w:t>
      </w:r>
      <w:r>
        <w:rPr>
          <w:spacing w:val="1"/>
        </w:rPr>
        <w:t xml:space="preserve"> </w:t>
      </w:r>
      <w:r>
        <w:t>same</w:t>
      </w:r>
      <w:r>
        <w:rPr>
          <w:spacing w:val="1"/>
        </w:rPr>
        <w:t xml:space="preserve"> </w:t>
      </w:r>
      <w:r>
        <w:rPr>
          <w:spacing w:val="-2"/>
        </w:rPr>
        <w:t>soul.”</w:t>
      </w:r>
    </w:p>
    <w:p w14:paraId="7E002537" w14:textId="77777777" w:rsidR="009A58DB" w:rsidRDefault="00000000">
      <w:pPr>
        <w:pStyle w:val="BodyText"/>
        <w:spacing w:before="75" w:line="249" w:lineRule="auto"/>
        <w:ind w:right="365" w:firstLine="360"/>
      </w:pPr>
      <w:r>
        <w:t>This</w:t>
      </w:r>
      <w:r>
        <w:rPr>
          <w:spacing w:val="-3"/>
        </w:rPr>
        <w:t xml:space="preserve"> </w:t>
      </w:r>
      <w:r>
        <w:t>answer</w:t>
      </w:r>
      <w:r>
        <w:rPr>
          <w:spacing w:val="-2"/>
        </w:rPr>
        <w:t xml:space="preserve"> </w:t>
      </w:r>
      <w:r>
        <w:t>is</w:t>
      </w:r>
      <w:r>
        <w:rPr>
          <w:spacing w:val="-3"/>
        </w:rPr>
        <w:t xml:space="preserve"> </w:t>
      </w:r>
      <w:r>
        <w:t>vacant,</w:t>
      </w:r>
      <w:r>
        <w:rPr>
          <w:spacing w:val="-2"/>
        </w:rPr>
        <w:t xml:space="preserve"> </w:t>
      </w:r>
      <w:r>
        <w:t>since</w:t>
      </w:r>
      <w:r>
        <w:rPr>
          <w:spacing w:val="-3"/>
        </w:rPr>
        <w:t xml:space="preserve"> </w:t>
      </w:r>
      <w:r>
        <w:t>for</w:t>
      </w:r>
      <w:r>
        <w:rPr>
          <w:spacing w:val="-2"/>
        </w:rPr>
        <w:t xml:space="preserve"> </w:t>
      </w:r>
      <w:r>
        <w:t>two</w:t>
      </w:r>
      <w:r>
        <w:rPr>
          <w:spacing w:val="-2"/>
        </w:rPr>
        <w:t xml:space="preserve"> </w:t>
      </w:r>
      <w:r>
        <w:t>events</w:t>
      </w:r>
      <w:r>
        <w:rPr>
          <w:spacing w:val="-3"/>
        </w:rPr>
        <w:t xml:space="preserve"> </w:t>
      </w:r>
      <w:r>
        <w:t>to</w:t>
      </w:r>
      <w:r>
        <w:rPr>
          <w:spacing w:val="-2"/>
        </w:rPr>
        <w:t xml:space="preserve"> </w:t>
      </w:r>
      <w:r>
        <w:t>“belong</w:t>
      </w:r>
      <w:r>
        <w:rPr>
          <w:spacing w:val="-3"/>
        </w:rPr>
        <w:t xml:space="preserve"> </w:t>
      </w:r>
      <w:r>
        <w:t>to</w:t>
      </w:r>
      <w:r>
        <w:rPr>
          <w:spacing w:val="-2"/>
        </w:rPr>
        <w:t xml:space="preserve"> </w:t>
      </w:r>
      <w:r>
        <w:t>the</w:t>
      </w:r>
      <w:r>
        <w:rPr>
          <w:spacing w:val="-3"/>
        </w:rPr>
        <w:t xml:space="preserve"> </w:t>
      </w:r>
      <w:r>
        <w:t>same</w:t>
      </w:r>
      <w:r>
        <w:rPr>
          <w:spacing w:val="-2"/>
        </w:rPr>
        <w:t xml:space="preserve"> </w:t>
      </w:r>
      <w:r>
        <w:t>soul”</w:t>
      </w:r>
      <w:r>
        <w:rPr>
          <w:spacing w:val="-2"/>
        </w:rPr>
        <w:t xml:space="preserve"> </w:t>
      </w:r>
      <w:r>
        <w:t>is, tautologously, for them to belong to the same mind.</w:t>
      </w:r>
    </w:p>
    <w:p w14:paraId="7E002538" w14:textId="77777777" w:rsidR="009A58DB" w:rsidRDefault="00000000">
      <w:pPr>
        <w:pStyle w:val="BodyText"/>
        <w:spacing w:before="2" w:line="249" w:lineRule="auto"/>
        <w:ind w:right="364" w:firstLine="360"/>
      </w:pPr>
      <w:r>
        <w:t>“Maybe the reason that M</w:t>
      </w:r>
      <w:r>
        <w:rPr>
          <w:position w:val="-7"/>
          <w:sz w:val="22"/>
        </w:rPr>
        <w:t xml:space="preserve">1 </w:t>
      </w:r>
      <w:r>
        <w:t>and M</w:t>
      </w:r>
      <w:r>
        <w:rPr>
          <w:position w:val="-7"/>
          <w:sz w:val="22"/>
        </w:rPr>
        <w:t xml:space="preserve">2 </w:t>
      </w:r>
      <w:r>
        <w:t>belong to the same mind is that M</w:t>
      </w:r>
      <w:r>
        <w:rPr>
          <w:position w:val="-7"/>
          <w:sz w:val="22"/>
        </w:rPr>
        <w:t xml:space="preserve">1 </w:t>
      </w:r>
      <w:r>
        <w:t>causes M</w:t>
      </w:r>
      <w:r>
        <w:rPr>
          <w:vertAlign w:val="subscript"/>
        </w:rPr>
        <w:t>2</w:t>
      </w:r>
      <w:r>
        <w:t xml:space="preserve"> to occur.”</w:t>
      </w:r>
    </w:p>
    <w:p w14:paraId="7E002539" w14:textId="77777777" w:rsidR="009A58DB" w:rsidRDefault="00000000">
      <w:pPr>
        <w:pStyle w:val="BodyText"/>
        <w:spacing w:before="60" w:line="249" w:lineRule="auto"/>
        <w:ind w:right="357" w:firstLine="360"/>
      </w:pPr>
      <w:r>
        <w:t>But M</w:t>
      </w:r>
      <w:r>
        <w:rPr>
          <w:position w:val="-7"/>
          <w:sz w:val="22"/>
        </w:rPr>
        <w:t>3</w:t>
      </w:r>
      <w:r>
        <w:rPr>
          <w:spacing w:val="40"/>
          <w:position w:val="-7"/>
          <w:sz w:val="22"/>
        </w:rPr>
        <w:t xml:space="preserve"> </w:t>
      </w:r>
      <w:r>
        <w:t>causes M</w:t>
      </w:r>
      <w:r>
        <w:rPr>
          <w:position w:val="-7"/>
          <w:sz w:val="22"/>
        </w:rPr>
        <w:t>4</w:t>
      </w:r>
      <w:r>
        <w:rPr>
          <w:spacing w:val="40"/>
          <w:position w:val="-7"/>
          <w:sz w:val="22"/>
        </w:rPr>
        <w:t xml:space="preserve"> </w:t>
      </w:r>
      <w:r>
        <w:t>to occur, and M</w:t>
      </w:r>
      <w:r>
        <w:rPr>
          <w:position w:val="-7"/>
          <w:sz w:val="22"/>
        </w:rPr>
        <w:t>3</w:t>
      </w:r>
      <w:r>
        <w:rPr>
          <w:spacing w:val="40"/>
          <w:position w:val="-7"/>
          <w:sz w:val="22"/>
        </w:rPr>
        <w:t xml:space="preserve"> </w:t>
      </w:r>
      <w:r>
        <w:t>and M</w:t>
      </w:r>
      <w:r>
        <w:rPr>
          <w:position w:val="-7"/>
          <w:sz w:val="22"/>
        </w:rPr>
        <w:t>4</w:t>
      </w:r>
      <w:r>
        <w:rPr>
          <w:spacing w:val="40"/>
          <w:position w:val="-7"/>
          <w:sz w:val="22"/>
        </w:rPr>
        <w:t xml:space="preserve"> </w:t>
      </w:r>
      <w:r>
        <w:t>belong to different minds. Also, within a single mind, there can be simultaneous, and therefore causally unconnected events. And, also not everything that went in my mind at age three is causally connected to everything that goes in it now.</w:t>
      </w:r>
    </w:p>
    <w:p w14:paraId="7E00253A" w14:textId="77777777" w:rsidR="009A58DB" w:rsidRDefault="00000000">
      <w:pPr>
        <w:pStyle w:val="BodyText"/>
        <w:spacing w:before="2" w:line="271" w:lineRule="auto"/>
        <w:ind w:right="361" w:firstLine="360"/>
      </w:pPr>
      <w:r>
        <w:t>Nonetheless, this last answer is on the right track, as another story will make clear. I come to believe that Max has four cars. (Let M</w:t>
      </w:r>
      <w:r>
        <w:rPr>
          <w:vertAlign w:val="subscript"/>
        </w:rPr>
        <w:t>5</w:t>
      </w:r>
      <w:r>
        <w:t xml:space="preserve"> be this event, and</w:t>
      </w:r>
      <w:r>
        <w:rPr>
          <w:spacing w:val="29"/>
        </w:rPr>
        <w:t xml:space="preserve"> </w:t>
      </w:r>
      <w:r>
        <w:t>let</w:t>
      </w:r>
      <w:r>
        <w:rPr>
          <w:spacing w:val="28"/>
        </w:rPr>
        <w:t xml:space="preserve"> </w:t>
      </w:r>
      <w:r>
        <w:t>B</w:t>
      </w:r>
      <w:r>
        <w:rPr>
          <w:vertAlign w:val="subscript"/>
        </w:rPr>
        <w:t>5</w:t>
      </w:r>
      <w:r>
        <w:rPr>
          <w:spacing w:val="29"/>
        </w:rPr>
        <w:t xml:space="preserve"> </w:t>
      </w:r>
      <w:r>
        <w:t>be</w:t>
      </w:r>
      <w:r>
        <w:rPr>
          <w:spacing w:val="28"/>
        </w:rPr>
        <w:t xml:space="preserve"> </w:t>
      </w:r>
      <w:r>
        <w:t>the</w:t>
      </w:r>
      <w:r>
        <w:rPr>
          <w:spacing w:val="28"/>
        </w:rPr>
        <w:t xml:space="preserve"> </w:t>
      </w:r>
      <w:r>
        <w:t>brain-entity</w:t>
      </w:r>
      <w:r>
        <w:rPr>
          <w:spacing w:val="29"/>
        </w:rPr>
        <w:t xml:space="preserve"> </w:t>
      </w:r>
      <w:r>
        <w:t>with</w:t>
      </w:r>
      <w:r>
        <w:rPr>
          <w:spacing w:val="29"/>
        </w:rPr>
        <w:t xml:space="preserve"> </w:t>
      </w:r>
      <w:r>
        <w:t>which</w:t>
      </w:r>
      <w:r>
        <w:rPr>
          <w:spacing w:val="29"/>
        </w:rPr>
        <w:t xml:space="preserve"> </w:t>
      </w:r>
      <w:r>
        <w:t>it</w:t>
      </w:r>
      <w:r>
        <w:rPr>
          <w:spacing w:val="28"/>
        </w:rPr>
        <w:t xml:space="preserve"> </w:t>
      </w:r>
      <w:r>
        <w:t>is</w:t>
      </w:r>
      <w:r>
        <w:rPr>
          <w:spacing w:val="28"/>
        </w:rPr>
        <w:t xml:space="preserve"> </w:t>
      </w:r>
      <w:r>
        <w:t>identical.)</w:t>
      </w:r>
      <w:r>
        <w:rPr>
          <w:spacing w:val="28"/>
        </w:rPr>
        <w:t xml:space="preserve"> </w:t>
      </w:r>
      <w:r>
        <w:t>I</w:t>
      </w:r>
      <w:r>
        <w:rPr>
          <w:spacing w:val="28"/>
        </w:rPr>
        <w:t xml:space="preserve"> </w:t>
      </w:r>
      <w:r>
        <w:t>validly</w:t>
      </w:r>
      <w:r>
        <w:rPr>
          <w:spacing w:val="29"/>
        </w:rPr>
        <w:t xml:space="preserve"> </w:t>
      </w:r>
      <w:r>
        <w:t>infer</w:t>
      </w:r>
      <w:r>
        <w:rPr>
          <w:spacing w:val="28"/>
        </w:rPr>
        <w:t xml:space="preserve"> </w:t>
      </w:r>
      <w:r>
        <w:t>that</w:t>
      </w:r>
    </w:p>
    <w:p w14:paraId="7E00253B" w14:textId="77777777" w:rsidR="009A58DB" w:rsidRDefault="00000000">
      <w:pPr>
        <w:pStyle w:val="BodyText"/>
        <w:spacing w:before="31" w:line="292" w:lineRule="auto"/>
        <w:ind w:right="365"/>
      </w:pPr>
      <w:r>
        <w:t>Max has more than two cars. (Let M</w:t>
      </w:r>
      <w:r>
        <w:rPr>
          <w:vertAlign w:val="subscript"/>
        </w:rPr>
        <w:t>6</w:t>
      </w:r>
      <w:r>
        <w:t xml:space="preserve"> be this belief and let B</w:t>
      </w:r>
      <w:r>
        <w:rPr>
          <w:vertAlign w:val="subscript"/>
        </w:rPr>
        <w:t>6</w:t>
      </w:r>
      <w:r>
        <w:t xml:space="preserve"> be the brain-entity</w:t>
      </w:r>
      <w:r>
        <w:rPr>
          <w:spacing w:val="40"/>
        </w:rPr>
        <w:t xml:space="preserve"> </w:t>
      </w:r>
      <w:r>
        <w:t>identical</w:t>
      </w:r>
      <w:r>
        <w:rPr>
          <w:spacing w:val="40"/>
        </w:rPr>
        <w:t xml:space="preserve"> </w:t>
      </w:r>
      <w:r>
        <w:t>therewith.)</w:t>
      </w:r>
      <w:r>
        <w:rPr>
          <w:spacing w:val="40"/>
        </w:rPr>
        <w:t xml:space="preserve"> </w:t>
      </w:r>
      <w:r>
        <w:t>In</w:t>
      </w:r>
      <w:r>
        <w:rPr>
          <w:spacing w:val="40"/>
        </w:rPr>
        <w:t xml:space="preserve"> </w:t>
      </w:r>
      <w:r>
        <w:t>this</w:t>
      </w:r>
      <w:r>
        <w:rPr>
          <w:spacing w:val="40"/>
        </w:rPr>
        <w:t xml:space="preserve"> </w:t>
      </w:r>
      <w:r>
        <w:t>case,</w:t>
      </w:r>
      <w:r>
        <w:rPr>
          <w:spacing w:val="40"/>
        </w:rPr>
        <w:t xml:space="preserve"> </w:t>
      </w:r>
      <w:r>
        <w:t>my</w:t>
      </w:r>
      <w:r>
        <w:rPr>
          <w:spacing w:val="40"/>
        </w:rPr>
        <w:t xml:space="preserve"> </w:t>
      </w:r>
      <w:r>
        <w:t>belief</w:t>
      </w:r>
      <w:r>
        <w:rPr>
          <w:spacing w:val="40"/>
        </w:rPr>
        <w:t xml:space="preserve"> </w:t>
      </w:r>
      <w:r>
        <w:t>that</w:t>
      </w:r>
      <w:r>
        <w:rPr>
          <w:spacing w:val="40"/>
        </w:rPr>
        <w:t xml:space="preserve"> </w:t>
      </w:r>
      <w:r>
        <w:t>Max</w:t>
      </w:r>
      <w:r>
        <w:rPr>
          <w:spacing w:val="40"/>
        </w:rPr>
        <w:t xml:space="preserve"> </w:t>
      </w:r>
      <w:r>
        <w:t>has</w:t>
      </w:r>
      <w:r>
        <w:rPr>
          <w:spacing w:val="40"/>
        </w:rPr>
        <w:t xml:space="preserve"> </w:t>
      </w:r>
      <w:r>
        <w:t>four</w:t>
      </w:r>
      <w:r>
        <w:rPr>
          <w:spacing w:val="40"/>
        </w:rPr>
        <w:t xml:space="preserve"> </w:t>
      </w:r>
      <w:r>
        <w:t>cars</w:t>
      </w:r>
    </w:p>
    <w:p w14:paraId="7E00253C"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53D" w14:textId="77777777" w:rsidR="009A58DB" w:rsidRDefault="00000000">
      <w:pPr>
        <w:pStyle w:val="BodyText"/>
        <w:spacing w:before="65" w:line="249" w:lineRule="auto"/>
        <w:ind w:right="365"/>
      </w:pPr>
      <w:r>
        <w:lastRenderedPageBreak/>
        <w:t xml:space="preserve">brings about my belief that Max has more than two cars, and—what is different, as we have seen—my </w:t>
      </w:r>
      <w:r>
        <w:rPr>
          <w:i/>
        </w:rPr>
        <w:t>believing</w:t>
      </w:r>
      <w:r>
        <w:rPr>
          <w:i/>
          <w:spacing w:val="-3"/>
        </w:rPr>
        <w:t xml:space="preserve"> </w:t>
      </w:r>
      <w:r>
        <w:t>that Max has four cars brings about my believing that Max has more than two cars.</w:t>
      </w:r>
    </w:p>
    <w:p w14:paraId="7E00253E" w14:textId="77777777" w:rsidR="009A58DB" w:rsidRDefault="00000000">
      <w:pPr>
        <w:pStyle w:val="BodyText"/>
        <w:spacing w:before="3" w:line="249" w:lineRule="auto"/>
        <w:ind w:right="359" w:firstLine="360"/>
      </w:pPr>
      <w:r>
        <w:t xml:space="preserve">But there’s more to it than that. It wasn’t in some haphazard or unprincipled way that my believing the one thing led to my believing the other. My believing that Max has four cars could have led to a jealousyinduced psychotic break during which I had hallucinations of Max showing me the titles to three cars of his. For argument’s sake, let’s suppose that, on the basis of those hallucinations, I believed that Max had more than two cars. Under those circumstances, my (pre-hallucination) belief that Max had four cars would indeed have led to my belief that Max has more than two cars. But the transition from the one belief to the other wouldn’t have been </w:t>
      </w:r>
      <w:r>
        <w:rPr>
          <w:spacing w:val="-2"/>
        </w:rPr>
        <w:t>driven.</w:t>
      </w:r>
    </w:p>
    <w:p w14:paraId="7E00253F" w14:textId="77777777" w:rsidR="009A58DB" w:rsidRDefault="00000000">
      <w:pPr>
        <w:pStyle w:val="BodyText"/>
        <w:spacing w:before="13" w:line="249" w:lineRule="auto"/>
        <w:ind w:right="358" w:firstLine="360"/>
        <w:rPr>
          <w:i/>
        </w:rPr>
      </w:pPr>
      <w:r>
        <w:t xml:space="preserve">But that isn’t what happened. In actuality I knew that Max had four cars and, driven by an understanding of the implications of the fact, I rightly inferred that Max must have more than two cars. That transition was </w:t>
      </w:r>
      <w:r>
        <w:rPr>
          <w:i/>
        </w:rPr>
        <w:t>norm</w:t>
      </w:r>
      <w:r>
        <w:t>-driven. I recognized that Max must have more than two cars, given that he</w:t>
      </w:r>
      <w:r>
        <w:rPr>
          <w:spacing w:val="40"/>
        </w:rPr>
        <w:t xml:space="preserve"> </w:t>
      </w:r>
      <w:r>
        <w:t>has</w:t>
      </w:r>
      <w:r>
        <w:rPr>
          <w:spacing w:val="38"/>
        </w:rPr>
        <w:t xml:space="preserve"> </w:t>
      </w:r>
      <w:r>
        <w:t>four;</w:t>
      </w:r>
      <w:r>
        <w:rPr>
          <w:spacing w:val="38"/>
        </w:rPr>
        <w:t xml:space="preserve"> </w:t>
      </w:r>
      <w:r>
        <w:t>it</w:t>
      </w:r>
      <w:r>
        <w:rPr>
          <w:spacing w:val="38"/>
        </w:rPr>
        <w:t xml:space="preserve"> </w:t>
      </w:r>
      <w:r>
        <w:t>was</w:t>
      </w:r>
      <w:r>
        <w:rPr>
          <w:spacing w:val="39"/>
        </w:rPr>
        <w:t xml:space="preserve"> </w:t>
      </w:r>
      <w:r>
        <w:t>by</w:t>
      </w:r>
      <w:r>
        <w:rPr>
          <w:spacing w:val="38"/>
        </w:rPr>
        <w:t xml:space="preserve"> </w:t>
      </w:r>
      <w:r>
        <w:t>way</w:t>
      </w:r>
      <w:r>
        <w:rPr>
          <w:spacing w:val="38"/>
        </w:rPr>
        <w:t xml:space="preserve"> </w:t>
      </w:r>
      <w:r>
        <w:t>of</w:t>
      </w:r>
      <w:r>
        <w:rPr>
          <w:spacing w:val="38"/>
        </w:rPr>
        <w:t xml:space="preserve"> </w:t>
      </w:r>
      <w:r>
        <w:t>this</w:t>
      </w:r>
      <w:r>
        <w:rPr>
          <w:spacing w:val="39"/>
        </w:rPr>
        <w:t xml:space="preserve"> </w:t>
      </w:r>
      <w:r>
        <w:t>recognition</w:t>
      </w:r>
      <w:r>
        <w:rPr>
          <w:spacing w:val="38"/>
        </w:rPr>
        <w:t xml:space="preserve"> </w:t>
      </w:r>
      <w:r>
        <w:t>that</w:t>
      </w:r>
      <w:r>
        <w:rPr>
          <w:spacing w:val="38"/>
        </w:rPr>
        <w:t xml:space="preserve"> </w:t>
      </w:r>
      <w:r>
        <w:t>M</w:t>
      </w:r>
      <w:r>
        <w:rPr>
          <w:vertAlign w:val="subscript"/>
        </w:rPr>
        <w:t>1</w:t>
      </w:r>
      <w:r>
        <w:rPr>
          <w:spacing w:val="36"/>
        </w:rPr>
        <w:t xml:space="preserve"> </w:t>
      </w:r>
      <w:r>
        <w:t>brought</w:t>
      </w:r>
      <w:r>
        <w:rPr>
          <w:spacing w:val="35"/>
        </w:rPr>
        <w:t xml:space="preserve"> </w:t>
      </w:r>
      <w:r>
        <w:t>about</w:t>
      </w:r>
      <w:r>
        <w:rPr>
          <w:spacing w:val="36"/>
        </w:rPr>
        <w:t xml:space="preserve"> </w:t>
      </w:r>
      <w:r>
        <w:t>M</w:t>
      </w:r>
      <w:r>
        <w:rPr>
          <w:vertAlign w:val="subscript"/>
        </w:rPr>
        <w:t>2</w:t>
      </w:r>
      <w:r>
        <w:t>,</w:t>
      </w:r>
      <w:r>
        <w:rPr>
          <w:spacing w:val="46"/>
        </w:rPr>
        <w:t xml:space="preserve"> </w:t>
      </w:r>
      <w:r>
        <w:rPr>
          <w:i/>
          <w:spacing w:val="-4"/>
        </w:rPr>
        <w:t>this</w:t>
      </w:r>
    </w:p>
    <w:p w14:paraId="7E002540" w14:textId="77777777" w:rsidR="009A58DB" w:rsidRDefault="00000000">
      <w:pPr>
        <w:pStyle w:val="BodyText"/>
        <w:spacing w:before="66"/>
      </w:pPr>
      <w:r>
        <w:t>being</w:t>
      </w:r>
      <w:r>
        <w:rPr>
          <w:spacing w:val="-4"/>
        </w:rPr>
        <w:t xml:space="preserve"> </w:t>
      </w:r>
      <w:r>
        <w:t>why</w:t>
      </w:r>
      <w:r>
        <w:rPr>
          <w:spacing w:val="-3"/>
        </w:rPr>
        <w:t xml:space="preserve"> </w:t>
      </w:r>
      <w:r>
        <w:t>that</w:t>
      </w:r>
      <w:r>
        <w:rPr>
          <w:spacing w:val="-5"/>
        </w:rPr>
        <w:t xml:space="preserve"> </w:t>
      </w:r>
      <w:r>
        <w:t>transition</w:t>
      </w:r>
      <w:r>
        <w:rPr>
          <w:spacing w:val="-3"/>
        </w:rPr>
        <w:t xml:space="preserve"> </w:t>
      </w:r>
      <w:r>
        <w:t>was</w:t>
      </w:r>
      <w:r>
        <w:rPr>
          <w:spacing w:val="-4"/>
        </w:rPr>
        <w:t xml:space="preserve"> </w:t>
      </w:r>
      <w:r>
        <w:t>norm-</w:t>
      </w:r>
      <w:r>
        <w:rPr>
          <w:spacing w:val="-2"/>
        </w:rPr>
        <w:t>driven.</w:t>
      </w:r>
    </w:p>
    <w:p w14:paraId="7E002541" w14:textId="77777777" w:rsidR="009A58DB" w:rsidRDefault="00000000">
      <w:pPr>
        <w:pStyle w:val="BodyText"/>
        <w:spacing w:before="15" w:line="249" w:lineRule="auto"/>
        <w:ind w:right="363" w:firstLine="360"/>
      </w:pPr>
      <w:r>
        <w:t>People make invalid inferences of course. But those are norm-driven. (They’re driven by the wrong norms.) I believe that all dogs are mammals</w:t>
      </w:r>
      <w:r>
        <w:rPr>
          <w:spacing w:val="40"/>
        </w:rPr>
        <w:t xml:space="preserve"> </w:t>
      </w:r>
      <w:r>
        <w:t>and invalidly infer from this that all mammals are dogs. This inference, though invalid, is norm-driven. The norm just happens to be a bad one.</w:t>
      </w:r>
    </w:p>
    <w:p w14:paraId="7E002542" w14:textId="77777777" w:rsidR="009A58DB" w:rsidRDefault="00000000">
      <w:pPr>
        <w:pStyle w:val="BodyText"/>
        <w:spacing w:before="5" w:line="271" w:lineRule="auto"/>
        <w:ind w:right="362" w:firstLine="360"/>
      </w:pPr>
      <w:r>
        <w:t>There are norm-driven interactions only where there is self-consciousness. Consider the inference leading from M</w:t>
      </w:r>
      <w:r>
        <w:rPr>
          <w:vertAlign w:val="subscript"/>
        </w:rPr>
        <w:t>5</w:t>
      </w:r>
      <w:r>
        <w:t xml:space="preserve"> to M</w:t>
      </w:r>
      <w:r>
        <w:rPr>
          <w:vertAlign w:val="subscript"/>
        </w:rPr>
        <w:t>6</w:t>
      </w:r>
      <w:r>
        <w:t>. An awareness of M</w:t>
      </w:r>
      <w:r>
        <w:rPr>
          <w:vertAlign w:val="subscript"/>
        </w:rPr>
        <w:t>5</w:t>
      </w:r>
      <w:r>
        <w:t>’s content was</w:t>
      </w:r>
      <w:r>
        <w:rPr>
          <w:spacing w:val="12"/>
        </w:rPr>
        <w:t xml:space="preserve"> </w:t>
      </w:r>
      <w:r>
        <w:t>involved,</w:t>
      </w:r>
      <w:r>
        <w:rPr>
          <w:spacing w:val="14"/>
        </w:rPr>
        <w:t xml:space="preserve"> </w:t>
      </w:r>
      <w:r>
        <w:t>and</w:t>
      </w:r>
      <w:r>
        <w:rPr>
          <w:spacing w:val="14"/>
        </w:rPr>
        <w:t xml:space="preserve"> </w:t>
      </w:r>
      <w:r>
        <w:t>so</w:t>
      </w:r>
      <w:r>
        <w:rPr>
          <w:spacing w:val="14"/>
        </w:rPr>
        <w:t xml:space="preserve"> </w:t>
      </w:r>
      <w:r>
        <w:t>was</w:t>
      </w:r>
      <w:r>
        <w:rPr>
          <w:spacing w:val="14"/>
        </w:rPr>
        <w:t xml:space="preserve"> </w:t>
      </w:r>
      <w:r>
        <w:t>an</w:t>
      </w:r>
      <w:r>
        <w:rPr>
          <w:spacing w:val="14"/>
        </w:rPr>
        <w:t xml:space="preserve"> </w:t>
      </w:r>
      <w:r>
        <w:t>awareness</w:t>
      </w:r>
      <w:r>
        <w:rPr>
          <w:spacing w:val="13"/>
        </w:rPr>
        <w:t xml:space="preserve"> </w:t>
      </w:r>
      <w:r>
        <w:t>of</w:t>
      </w:r>
      <w:r>
        <w:rPr>
          <w:spacing w:val="14"/>
        </w:rPr>
        <w:t xml:space="preserve"> </w:t>
      </w:r>
      <w:r>
        <w:t>what,</w:t>
      </w:r>
      <w:r>
        <w:rPr>
          <w:spacing w:val="14"/>
        </w:rPr>
        <w:t xml:space="preserve"> </w:t>
      </w:r>
      <w:r>
        <w:t>given</w:t>
      </w:r>
      <w:r>
        <w:rPr>
          <w:spacing w:val="14"/>
        </w:rPr>
        <w:t xml:space="preserve"> </w:t>
      </w:r>
      <w:r>
        <w:t>that</w:t>
      </w:r>
      <w:r>
        <w:rPr>
          <w:spacing w:val="14"/>
        </w:rPr>
        <w:t xml:space="preserve"> </w:t>
      </w:r>
      <w:r>
        <w:t>content,</w:t>
      </w:r>
      <w:r>
        <w:rPr>
          <w:spacing w:val="14"/>
        </w:rPr>
        <w:t xml:space="preserve"> </w:t>
      </w:r>
      <w:r>
        <w:t>ought</w:t>
      </w:r>
      <w:r>
        <w:rPr>
          <w:spacing w:val="14"/>
        </w:rPr>
        <w:t xml:space="preserve"> </w:t>
      </w:r>
      <w:r>
        <w:rPr>
          <w:spacing w:val="-5"/>
        </w:rPr>
        <w:t>to</w:t>
      </w:r>
    </w:p>
    <w:p w14:paraId="7E002543" w14:textId="77777777" w:rsidR="009A58DB" w:rsidRDefault="00000000">
      <w:pPr>
        <w:pStyle w:val="BodyText"/>
        <w:spacing w:line="316" w:lineRule="exact"/>
      </w:pPr>
      <w:r>
        <w:t>be</w:t>
      </w:r>
      <w:r>
        <w:rPr>
          <w:spacing w:val="53"/>
        </w:rPr>
        <w:t xml:space="preserve"> </w:t>
      </w:r>
      <w:r>
        <w:t>believed.</w:t>
      </w:r>
      <w:r>
        <w:rPr>
          <w:spacing w:val="53"/>
        </w:rPr>
        <w:t xml:space="preserve"> </w:t>
      </w:r>
      <w:r>
        <w:t>M</w:t>
      </w:r>
      <w:r>
        <w:rPr>
          <w:vertAlign w:val="subscript"/>
        </w:rPr>
        <w:t>6</w:t>
      </w:r>
      <w:r>
        <w:t>’s</w:t>
      </w:r>
      <w:r>
        <w:rPr>
          <w:spacing w:val="55"/>
        </w:rPr>
        <w:t xml:space="preserve"> </w:t>
      </w:r>
      <w:r>
        <w:t>being</w:t>
      </w:r>
      <w:r>
        <w:rPr>
          <w:spacing w:val="57"/>
        </w:rPr>
        <w:t xml:space="preserve"> </w:t>
      </w:r>
      <w:r>
        <w:t>a</w:t>
      </w:r>
      <w:r>
        <w:rPr>
          <w:spacing w:val="56"/>
        </w:rPr>
        <w:t xml:space="preserve"> </w:t>
      </w:r>
      <w:r>
        <w:t>norm-driven</w:t>
      </w:r>
      <w:r>
        <w:rPr>
          <w:spacing w:val="56"/>
        </w:rPr>
        <w:t xml:space="preserve"> </w:t>
      </w:r>
      <w:r>
        <w:t>response</w:t>
      </w:r>
      <w:r>
        <w:rPr>
          <w:spacing w:val="56"/>
        </w:rPr>
        <w:t xml:space="preserve"> </w:t>
      </w:r>
      <w:r>
        <w:t>to</w:t>
      </w:r>
      <w:r>
        <w:rPr>
          <w:spacing w:val="56"/>
        </w:rPr>
        <w:t xml:space="preserve"> </w:t>
      </w:r>
      <w:r>
        <w:t>M</w:t>
      </w:r>
      <w:r>
        <w:rPr>
          <w:vertAlign w:val="subscript"/>
        </w:rPr>
        <w:t>5</w:t>
      </w:r>
      <w:r>
        <w:rPr>
          <w:spacing w:val="62"/>
        </w:rPr>
        <w:t xml:space="preserve"> </w:t>
      </w:r>
      <w:r>
        <w:t>thus</w:t>
      </w:r>
      <w:r>
        <w:rPr>
          <w:spacing w:val="60"/>
        </w:rPr>
        <w:t xml:space="preserve"> </w:t>
      </w:r>
      <w:r>
        <w:t>involved</w:t>
      </w:r>
      <w:r>
        <w:rPr>
          <w:spacing w:val="61"/>
        </w:rPr>
        <w:t xml:space="preserve"> </w:t>
      </w:r>
      <w:r>
        <w:rPr>
          <w:spacing w:val="-5"/>
        </w:rPr>
        <w:t>one</w:t>
      </w:r>
    </w:p>
    <w:p w14:paraId="7E002544" w14:textId="77777777" w:rsidR="009A58DB" w:rsidRDefault="00000000">
      <w:pPr>
        <w:pStyle w:val="BodyText"/>
        <w:spacing w:before="75" w:line="249" w:lineRule="auto"/>
        <w:ind w:right="370"/>
      </w:pPr>
      <w:r>
        <w:t>mental event of mine embodying an awareness of the content of some other mental event of mine.</w:t>
      </w:r>
    </w:p>
    <w:p w14:paraId="7E002545" w14:textId="77777777" w:rsidR="009A58DB" w:rsidRDefault="00000000">
      <w:pPr>
        <w:pStyle w:val="BodyText"/>
        <w:spacing w:before="2" w:line="249" w:lineRule="auto"/>
        <w:ind w:right="367" w:firstLine="360"/>
      </w:pPr>
      <w:r>
        <w:t>My eating cow’s brain and finding it repellant leads to my avoiding eating cow brain and also to my avoiding things that, I believe, are likely to involve my eating cow brain (e.g., it leads to my declining dinner-invitations that I’d otherwise accept).</w:t>
      </w:r>
    </w:p>
    <w:p w14:paraId="7E002546" w14:textId="77777777" w:rsidR="009A58DB" w:rsidRDefault="00000000">
      <w:pPr>
        <w:pStyle w:val="BodyText"/>
        <w:spacing w:before="5" w:line="249" w:lineRule="auto"/>
        <w:ind w:right="360" w:firstLine="360"/>
      </w:pPr>
      <w:r>
        <w:t>These developments are driven by a knowledge on my part of norms. I know</w:t>
      </w:r>
      <w:r>
        <w:rPr>
          <w:spacing w:val="65"/>
        </w:rPr>
        <w:t xml:space="preserve"> </w:t>
      </w:r>
      <w:r>
        <w:t>that</w:t>
      </w:r>
      <w:r>
        <w:rPr>
          <w:spacing w:val="65"/>
        </w:rPr>
        <w:t xml:space="preserve"> </w:t>
      </w:r>
      <w:r>
        <w:t>I</w:t>
      </w:r>
      <w:r>
        <w:rPr>
          <w:spacing w:val="65"/>
        </w:rPr>
        <w:t xml:space="preserve"> </w:t>
      </w:r>
      <w:r>
        <w:t>don’t</w:t>
      </w:r>
      <w:r>
        <w:rPr>
          <w:spacing w:val="65"/>
        </w:rPr>
        <w:t xml:space="preserve"> </w:t>
      </w:r>
      <w:r>
        <w:t>want</w:t>
      </w:r>
      <w:r>
        <w:rPr>
          <w:spacing w:val="65"/>
        </w:rPr>
        <w:t xml:space="preserve"> </w:t>
      </w:r>
      <w:r>
        <w:t>a</w:t>
      </w:r>
      <w:r>
        <w:rPr>
          <w:spacing w:val="65"/>
        </w:rPr>
        <w:t xml:space="preserve"> </w:t>
      </w:r>
      <w:r>
        <w:t>repeat</w:t>
      </w:r>
      <w:r>
        <w:rPr>
          <w:spacing w:val="65"/>
        </w:rPr>
        <w:t xml:space="preserve"> </w:t>
      </w:r>
      <w:r>
        <w:t>of</w:t>
      </w:r>
      <w:r>
        <w:rPr>
          <w:spacing w:val="65"/>
        </w:rPr>
        <w:t xml:space="preserve"> </w:t>
      </w:r>
      <w:r>
        <w:t>that</w:t>
      </w:r>
      <w:r>
        <w:rPr>
          <w:spacing w:val="65"/>
        </w:rPr>
        <w:t xml:space="preserve"> </w:t>
      </w:r>
      <w:r>
        <w:t>horrible</w:t>
      </w:r>
      <w:r>
        <w:rPr>
          <w:spacing w:val="65"/>
        </w:rPr>
        <w:t xml:space="preserve"> </w:t>
      </w:r>
      <w:r>
        <w:t>experience.</w:t>
      </w:r>
      <w:r>
        <w:rPr>
          <w:spacing w:val="65"/>
        </w:rPr>
        <w:t xml:space="preserve"> </w:t>
      </w:r>
      <w:r>
        <w:t>I</w:t>
      </w:r>
      <w:r>
        <w:rPr>
          <w:spacing w:val="65"/>
        </w:rPr>
        <w:t xml:space="preserve"> </w:t>
      </w:r>
      <w:r>
        <w:t>infer</w:t>
      </w:r>
      <w:r>
        <w:rPr>
          <w:spacing w:val="65"/>
        </w:rPr>
        <w:t xml:space="preserve"> </w:t>
      </w:r>
      <w:r>
        <w:t>in</w:t>
      </w:r>
      <w:r>
        <w:rPr>
          <w:spacing w:val="65"/>
        </w:rPr>
        <w:t xml:space="preserve"> </w:t>
      </w:r>
      <w:r>
        <w:t>a</w:t>
      </w:r>
    </w:p>
    <w:p w14:paraId="7E00254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48" w14:textId="77777777" w:rsidR="009A58DB" w:rsidRDefault="00000000">
      <w:pPr>
        <w:pStyle w:val="BodyText"/>
        <w:spacing w:before="65" w:line="249" w:lineRule="auto"/>
        <w:ind w:right="359"/>
      </w:pPr>
      <w:r>
        <w:lastRenderedPageBreak/>
        <w:t>reasonable, and therefore norm-driven, manner that, if I eat cow-brain again,</w:t>
      </w:r>
      <w:r>
        <w:rPr>
          <w:spacing w:val="40"/>
        </w:rPr>
        <w:t xml:space="preserve"> </w:t>
      </w:r>
      <w:r>
        <w:t>I will re-experience the horror. My fear of eating cow-brain embodies that legitimate inference. My making that inference involves forming a belief as</w:t>
      </w:r>
      <w:r>
        <w:rPr>
          <w:spacing w:val="40"/>
        </w:rPr>
        <w:t xml:space="preserve"> </w:t>
      </w:r>
      <w:r>
        <w:t>to</w:t>
      </w:r>
      <w:r>
        <w:rPr>
          <w:spacing w:val="-2"/>
        </w:rPr>
        <w:t xml:space="preserve"> </w:t>
      </w:r>
      <w:r>
        <w:t>what</w:t>
      </w:r>
      <w:r>
        <w:rPr>
          <w:spacing w:val="-3"/>
        </w:rPr>
        <w:t xml:space="preserve"> </w:t>
      </w:r>
      <w:r>
        <w:t>I</w:t>
      </w:r>
      <w:r>
        <w:rPr>
          <w:spacing w:val="-3"/>
        </w:rPr>
        <w:t xml:space="preserve"> </w:t>
      </w:r>
      <w:r>
        <w:t>should</w:t>
      </w:r>
      <w:r>
        <w:rPr>
          <w:spacing w:val="-2"/>
        </w:rPr>
        <w:t xml:space="preserve"> </w:t>
      </w:r>
      <w:r>
        <w:t>do</w:t>
      </w:r>
      <w:r>
        <w:rPr>
          <w:spacing w:val="-2"/>
        </w:rPr>
        <w:t xml:space="preserve"> </w:t>
      </w:r>
      <w:r>
        <w:rPr>
          <w:i/>
        </w:rPr>
        <w:t>given</w:t>
      </w:r>
      <w:r>
        <w:rPr>
          <w:i/>
          <w:spacing w:val="-2"/>
        </w:rPr>
        <w:t xml:space="preserve"> </w:t>
      </w:r>
      <w:r>
        <w:t>what</w:t>
      </w:r>
      <w:r>
        <w:rPr>
          <w:spacing w:val="-3"/>
        </w:rPr>
        <w:t xml:space="preserve"> </w:t>
      </w:r>
      <w:r>
        <w:t>it</w:t>
      </w:r>
      <w:r>
        <w:rPr>
          <w:spacing w:val="-3"/>
        </w:rPr>
        <w:t xml:space="preserve"> </w:t>
      </w:r>
      <w:r>
        <w:t>is</w:t>
      </w:r>
      <w:r>
        <w:rPr>
          <w:spacing w:val="-3"/>
        </w:rPr>
        <w:t xml:space="preserve"> </w:t>
      </w:r>
      <w:r>
        <w:t>that</w:t>
      </w:r>
      <w:r>
        <w:rPr>
          <w:spacing w:val="-3"/>
        </w:rPr>
        <w:t xml:space="preserve"> </w:t>
      </w:r>
      <w:r>
        <w:t>I</w:t>
      </w:r>
      <w:r>
        <w:rPr>
          <w:spacing w:val="-3"/>
        </w:rPr>
        <w:t xml:space="preserve"> </w:t>
      </w:r>
      <w:r>
        <w:t>want</w:t>
      </w:r>
      <w:r>
        <w:rPr>
          <w:spacing w:val="-3"/>
        </w:rPr>
        <w:t xml:space="preserve"> </w:t>
      </w:r>
      <w:r>
        <w:t>(viz.</w:t>
      </w:r>
      <w:r>
        <w:rPr>
          <w:spacing w:val="-2"/>
        </w:rPr>
        <w:t xml:space="preserve"> </w:t>
      </w:r>
      <w:r>
        <w:t>to</w:t>
      </w:r>
      <w:r>
        <w:rPr>
          <w:spacing w:val="-2"/>
        </w:rPr>
        <w:t xml:space="preserve"> </w:t>
      </w:r>
      <w:r>
        <w:t>not</w:t>
      </w:r>
      <w:r>
        <w:rPr>
          <w:spacing w:val="-3"/>
        </w:rPr>
        <w:t xml:space="preserve"> </w:t>
      </w:r>
      <w:r>
        <w:t>undergo</w:t>
      </w:r>
      <w:r>
        <w:rPr>
          <w:spacing w:val="-2"/>
        </w:rPr>
        <w:t xml:space="preserve"> </w:t>
      </w:r>
      <w:r>
        <w:t>a</w:t>
      </w:r>
      <w:r>
        <w:rPr>
          <w:spacing w:val="-3"/>
        </w:rPr>
        <w:t xml:space="preserve"> </w:t>
      </w:r>
      <w:r>
        <w:t>repeat</w:t>
      </w:r>
      <w:r>
        <w:rPr>
          <w:spacing w:val="-3"/>
        </w:rPr>
        <w:t xml:space="preserve"> </w:t>
      </w:r>
      <w:r>
        <w:t>of that</w:t>
      </w:r>
      <w:r>
        <w:rPr>
          <w:spacing w:val="-3"/>
        </w:rPr>
        <w:t xml:space="preserve"> </w:t>
      </w:r>
      <w:r>
        <w:t>horrible</w:t>
      </w:r>
      <w:r>
        <w:rPr>
          <w:spacing w:val="-3"/>
        </w:rPr>
        <w:t xml:space="preserve"> </w:t>
      </w:r>
      <w:r>
        <w:t>experience)</w:t>
      </w:r>
      <w:r>
        <w:rPr>
          <w:spacing w:val="-3"/>
        </w:rPr>
        <w:t xml:space="preserve"> </w:t>
      </w:r>
      <w:r>
        <w:t>and</w:t>
      </w:r>
      <w:r>
        <w:rPr>
          <w:spacing w:val="-2"/>
        </w:rPr>
        <w:t xml:space="preserve"> </w:t>
      </w:r>
      <w:r>
        <w:rPr>
          <w:i/>
        </w:rPr>
        <w:t>given</w:t>
      </w:r>
      <w:r>
        <w:rPr>
          <w:i/>
          <w:spacing w:val="-2"/>
        </w:rPr>
        <w:t xml:space="preserve"> </w:t>
      </w:r>
      <w:r>
        <w:t>what</w:t>
      </w:r>
      <w:r>
        <w:rPr>
          <w:spacing w:val="-3"/>
        </w:rPr>
        <w:t xml:space="preserve"> </w:t>
      </w:r>
      <w:r>
        <w:t>it</w:t>
      </w:r>
      <w:r>
        <w:rPr>
          <w:spacing w:val="-3"/>
        </w:rPr>
        <w:t xml:space="preserve"> </w:t>
      </w:r>
      <w:r>
        <w:t>is</w:t>
      </w:r>
      <w:r>
        <w:rPr>
          <w:spacing w:val="-3"/>
        </w:rPr>
        <w:t xml:space="preserve"> </w:t>
      </w:r>
      <w:r>
        <w:t>that</w:t>
      </w:r>
      <w:r>
        <w:rPr>
          <w:spacing w:val="-3"/>
        </w:rPr>
        <w:t xml:space="preserve"> </w:t>
      </w:r>
      <w:r>
        <w:t>I</w:t>
      </w:r>
      <w:r>
        <w:rPr>
          <w:spacing w:val="-3"/>
        </w:rPr>
        <w:t xml:space="preserve"> </w:t>
      </w:r>
      <w:r>
        <w:t>believe</w:t>
      </w:r>
      <w:r>
        <w:rPr>
          <w:spacing w:val="-3"/>
        </w:rPr>
        <w:t xml:space="preserve"> </w:t>
      </w:r>
      <w:r>
        <w:t>(viz.</w:t>
      </w:r>
      <w:r>
        <w:rPr>
          <w:spacing w:val="-2"/>
        </w:rPr>
        <w:t xml:space="preserve"> </w:t>
      </w:r>
      <w:r>
        <w:t>that,</w:t>
      </w:r>
      <w:r>
        <w:rPr>
          <w:spacing w:val="-2"/>
        </w:rPr>
        <w:t xml:space="preserve"> </w:t>
      </w:r>
      <w:r>
        <w:t>were</w:t>
      </w:r>
      <w:r>
        <w:rPr>
          <w:spacing w:val="-3"/>
        </w:rPr>
        <w:t xml:space="preserve"> </w:t>
      </w:r>
      <w:r>
        <w:t>I</w:t>
      </w:r>
      <w:r>
        <w:rPr>
          <w:spacing w:val="-3"/>
        </w:rPr>
        <w:t xml:space="preserve"> </w:t>
      </w:r>
      <w:r>
        <w:t>to eat cowbrain again, I’d probably undergo a repeat of that experience). Thus, that inference, and the reaction at whose center it lies, involves a certain self-</w:t>
      </w:r>
      <w:r>
        <w:rPr>
          <w:spacing w:val="-2"/>
        </w:rPr>
        <w:t>consciousness.</w:t>
      </w:r>
    </w:p>
    <w:p w14:paraId="7E002549" w14:textId="77777777" w:rsidR="009A58DB" w:rsidRDefault="00000000">
      <w:pPr>
        <w:pStyle w:val="BodyText"/>
        <w:spacing w:before="9" w:line="249" w:lineRule="auto"/>
        <w:ind w:right="360" w:firstLine="360"/>
      </w:pPr>
      <w:r>
        <w:t xml:space="preserve">Whenever one mental state is </w:t>
      </w:r>
      <w:r>
        <w:rPr>
          <w:i/>
        </w:rPr>
        <w:t xml:space="preserve">based on </w:t>
      </w:r>
      <w:r>
        <w:t>another, the first embodies a content-driven response to the second, and it also, for that very reason, embodies a norm-driven response to it. I hate eating cow-brains. I believe</w:t>
      </w:r>
      <w:r>
        <w:rPr>
          <w:spacing w:val="40"/>
        </w:rPr>
        <w:t xml:space="preserve"> </w:t>
      </w:r>
      <w:r>
        <w:t xml:space="preserve">that I’ll be forced to eat cow-brains if I get within a ten-mile radius of Sally’s house. I become nervous when the car I’m in, which Sally’s friend Mary is driving, suddenly and unexpectedly veers in the direction of Sally’s house. My nervousness is </w:t>
      </w:r>
      <w:r>
        <w:rPr>
          <w:i/>
        </w:rPr>
        <w:t xml:space="preserve">based on </w:t>
      </w:r>
      <w:r>
        <w:t>my belief that I’ll have to eat cow-brains if I get too close to Sally’s house. (Part of what this means, though not all of it, is that,</w:t>
      </w:r>
      <w:r>
        <w:rPr>
          <w:spacing w:val="15"/>
        </w:rPr>
        <w:t xml:space="preserve"> </w:t>
      </w:r>
      <w:r>
        <w:t>if</w:t>
      </w:r>
      <w:r>
        <w:rPr>
          <w:spacing w:val="15"/>
        </w:rPr>
        <w:t xml:space="preserve"> </w:t>
      </w:r>
      <w:r>
        <w:t>B</w:t>
      </w:r>
      <w:r>
        <w:rPr>
          <w:vertAlign w:val="subscript"/>
        </w:rPr>
        <w:t>7</w:t>
      </w:r>
      <w:r>
        <w:rPr>
          <w:spacing w:val="19"/>
        </w:rPr>
        <w:t xml:space="preserve"> </w:t>
      </w:r>
      <w:r>
        <w:t>is</w:t>
      </w:r>
      <w:r>
        <w:rPr>
          <w:spacing w:val="20"/>
        </w:rPr>
        <w:t xml:space="preserve"> </w:t>
      </w:r>
      <w:r>
        <w:t>that</w:t>
      </w:r>
      <w:r>
        <w:rPr>
          <w:spacing w:val="20"/>
        </w:rPr>
        <w:t xml:space="preserve"> </w:t>
      </w:r>
      <w:r>
        <w:t>belief</w:t>
      </w:r>
      <w:r>
        <w:rPr>
          <w:spacing w:val="19"/>
        </w:rPr>
        <w:t xml:space="preserve"> </w:t>
      </w:r>
      <w:r>
        <w:t>of</w:t>
      </w:r>
      <w:r>
        <w:rPr>
          <w:spacing w:val="20"/>
        </w:rPr>
        <w:t xml:space="preserve"> </w:t>
      </w:r>
      <w:r>
        <w:t>mine</w:t>
      </w:r>
      <w:r>
        <w:rPr>
          <w:spacing w:val="19"/>
        </w:rPr>
        <w:t xml:space="preserve"> </w:t>
      </w:r>
      <w:r>
        <w:t>and</w:t>
      </w:r>
      <w:r>
        <w:rPr>
          <w:spacing w:val="20"/>
        </w:rPr>
        <w:t xml:space="preserve"> </w:t>
      </w:r>
      <w:r>
        <w:t>B</w:t>
      </w:r>
      <w:r>
        <w:rPr>
          <w:vertAlign w:val="subscript"/>
        </w:rPr>
        <w:t>8</w:t>
      </w:r>
      <w:r>
        <w:rPr>
          <w:spacing w:val="20"/>
        </w:rPr>
        <w:t xml:space="preserve"> </w:t>
      </w:r>
      <w:r>
        <w:t>is</w:t>
      </w:r>
      <w:r>
        <w:rPr>
          <w:spacing w:val="19"/>
        </w:rPr>
        <w:t xml:space="preserve"> </w:t>
      </w:r>
      <w:r>
        <w:t>my</w:t>
      </w:r>
      <w:r>
        <w:rPr>
          <w:spacing w:val="20"/>
        </w:rPr>
        <w:t xml:space="preserve"> </w:t>
      </w:r>
      <w:r>
        <w:t>feeling</w:t>
      </w:r>
      <w:r>
        <w:rPr>
          <w:spacing w:val="20"/>
        </w:rPr>
        <w:t xml:space="preserve"> </w:t>
      </w:r>
      <w:r>
        <w:t>of</w:t>
      </w:r>
      <w:r>
        <w:rPr>
          <w:spacing w:val="19"/>
        </w:rPr>
        <w:t xml:space="preserve"> </w:t>
      </w:r>
      <w:r>
        <w:t>nervousness,</w:t>
      </w:r>
      <w:r>
        <w:rPr>
          <w:spacing w:val="20"/>
        </w:rPr>
        <w:t xml:space="preserve"> </w:t>
      </w:r>
      <w:r>
        <w:t>it</w:t>
      </w:r>
      <w:r>
        <w:rPr>
          <w:spacing w:val="19"/>
        </w:rPr>
        <w:t xml:space="preserve"> </w:t>
      </w:r>
      <w:r>
        <w:rPr>
          <w:spacing w:val="-2"/>
        </w:rPr>
        <w:t>isn’t</w:t>
      </w:r>
    </w:p>
    <w:p w14:paraId="7E00254A" w14:textId="77777777" w:rsidR="009A58DB" w:rsidRDefault="00000000">
      <w:pPr>
        <w:pStyle w:val="BodyText"/>
        <w:spacing w:before="72" w:line="292" w:lineRule="auto"/>
        <w:ind w:right="362"/>
      </w:pPr>
      <w:r>
        <w:t>B</w:t>
      </w:r>
      <w:r>
        <w:rPr>
          <w:vertAlign w:val="subscript"/>
        </w:rPr>
        <w:t>7</w:t>
      </w:r>
      <w:r>
        <w:t>’s having this or that shape or mass or color that brings about, and is instead</w:t>
      </w:r>
      <w:r>
        <w:rPr>
          <w:spacing w:val="-1"/>
        </w:rPr>
        <w:t xml:space="preserve"> </w:t>
      </w:r>
      <w:r>
        <w:t>B</w:t>
      </w:r>
      <w:r>
        <w:rPr>
          <w:vertAlign w:val="subscript"/>
        </w:rPr>
        <w:t>7</w:t>
      </w:r>
      <w:r>
        <w:t>’s having a certain content that does so.) To say that it’s “based on</w:t>
      </w:r>
    </w:p>
    <w:p w14:paraId="7E00254B" w14:textId="77777777" w:rsidR="009A58DB" w:rsidRDefault="00000000">
      <w:pPr>
        <w:pStyle w:val="BodyText"/>
        <w:spacing w:line="271" w:lineRule="auto"/>
        <w:ind w:right="362"/>
      </w:pPr>
      <w:r>
        <w:t xml:space="preserve">it” is to say that it embodies a view—not necessarily a good one—as to how one </w:t>
      </w:r>
      <w:r>
        <w:rPr>
          <w:i/>
        </w:rPr>
        <w:t xml:space="preserve">ought </w:t>
      </w:r>
      <w:r>
        <w:t>to react to the (mis)information embodied in it. So for B</w:t>
      </w:r>
      <w:r>
        <w:rPr>
          <w:vertAlign w:val="subscript"/>
        </w:rPr>
        <w:t>8</w:t>
      </w:r>
      <w:r>
        <w:t xml:space="preserve"> to be “based</w:t>
      </w:r>
      <w:r>
        <w:rPr>
          <w:spacing w:val="30"/>
        </w:rPr>
        <w:t xml:space="preserve"> </w:t>
      </w:r>
      <w:r>
        <w:t>on”</w:t>
      </w:r>
      <w:r>
        <w:rPr>
          <w:spacing w:val="29"/>
        </w:rPr>
        <w:t xml:space="preserve"> </w:t>
      </w:r>
      <w:r>
        <w:t>B</w:t>
      </w:r>
      <w:r>
        <w:rPr>
          <w:vertAlign w:val="subscript"/>
        </w:rPr>
        <w:t>7</w:t>
      </w:r>
      <w:r>
        <w:rPr>
          <w:spacing w:val="36"/>
        </w:rPr>
        <w:t xml:space="preserve"> </w:t>
      </w:r>
      <w:r>
        <w:t>is</w:t>
      </w:r>
      <w:r>
        <w:rPr>
          <w:spacing w:val="36"/>
        </w:rPr>
        <w:t xml:space="preserve"> </w:t>
      </w:r>
      <w:r>
        <w:t>for</w:t>
      </w:r>
      <w:r>
        <w:rPr>
          <w:spacing w:val="36"/>
        </w:rPr>
        <w:t xml:space="preserve"> </w:t>
      </w:r>
      <w:r>
        <w:t>the</w:t>
      </w:r>
      <w:r>
        <w:rPr>
          <w:spacing w:val="37"/>
        </w:rPr>
        <w:t xml:space="preserve"> </w:t>
      </w:r>
      <w:r>
        <w:t>former</w:t>
      </w:r>
      <w:r>
        <w:rPr>
          <w:spacing w:val="36"/>
        </w:rPr>
        <w:t xml:space="preserve"> </w:t>
      </w:r>
      <w:r>
        <w:t>to</w:t>
      </w:r>
      <w:r>
        <w:rPr>
          <w:spacing w:val="37"/>
        </w:rPr>
        <w:t xml:space="preserve"> </w:t>
      </w:r>
      <w:r>
        <w:t>be,</w:t>
      </w:r>
      <w:r>
        <w:rPr>
          <w:spacing w:val="36"/>
        </w:rPr>
        <w:t xml:space="preserve"> </w:t>
      </w:r>
      <w:r>
        <w:t>or</w:t>
      </w:r>
      <w:r>
        <w:rPr>
          <w:spacing w:val="36"/>
        </w:rPr>
        <w:t xml:space="preserve"> </w:t>
      </w:r>
      <w:r>
        <w:t>embody,</w:t>
      </w:r>
      <w:r>
        <w:rPr>
          <w:spacing w:val="36"/>
        </w:rPr>
        <w:t xml:space="preserve"> </w:t>
      </w:r>
      <w:r>
        <w:t>the</w:t>
      </w:r>
      <w:r>
        <w:rPr>
          <w:spacing w:val="37"/>
        </w:rPr>
        <w:t xml:space="preserve"> </w:t>
      </w:r>
      <w:r>
        <w:t>outcome</w:t>
      </w:r>
      <w:r>
        <w:rPr>
          <w:spacing w:val="36"/>
        </w:rPr>
        <w:t xml:space="preserve"> </w:t>
      </w:r>
      <w:r>
        <w:t>of</w:t>
      </w:r>
      <w:r>
        <w:rPr>
          <w:spacing w:val="36"/>
        </w:rPr>
        <w:t xml:space="preserve"> </w:t>
      </w:r>
      <w:r>
        <w:t>a</w:t>
      </w:r>
      <w:r>
        <w:rPr>
          <w:spacing w:val="37"/>
        </w:rPr>
        <w:t xml:space="preserve"> </w:t>
      </w:r>
      <w:r>
        <w:rPr>
          <w:spacing w:val="-2"/>
        </w:rPr>
        <w:t>norm-</w:t>
      </w:r>
    </w:p>
    <w:p w14:paraId="7E00254C" w14:textId="77777777" w:rsidR="009A58DB" w:rsidRDefault="00000000">
      <w:pPr>
        <w:pStyle w:val="BodyText"/>
        <w:spacing w:before="28" w:line="249" w:lineRule="auto"/>
        <w:ind w:right="364"/>
      </w:pPr>
      <w:r>
        <w:t>driven response to the latter. In general, content-driven reactions are norm-driven reactions.</w:t>
      </w:r>
    </w:p>
    <w:p w14:paraId="7E00254D" w14:textId="77777777" w:rsidR="009A58DB" w:rsidRDefault="00000000">
      <w:pPr>
        <w:pStyle w:val="BodyText"/>
        <w:spacing w:before="3" w:line="249" w:lineRule="auto"/>
        <w:ind w:right="359" w:firstLine="360"/>
      </w:pPr>
      <w:r>
        <w:t>Given</w:t>
      </w:r>
      <w:r>
        <w:rPr>
          <w:spacing w:val="40"/>
        </w:rPr>
        <w:t xml:space="preserve"> </w:t>
      </w:r>
      <w:r>
        <w:t>a</w:t>
      </w:r>
      <w:r>
        <w:rPr>
          <w:spacing w:val="40"/>
        </w:rPr>
        <w:t xml:space="preserve"> </w:t>
      </w:r>
      <w:r>
        <w:t>set</w:t>
      </w:r>
      <w:r>
        <w:rPr>
          <w:spacing w:val="40"/>
        </w:rPr>
        <w:t xml:space="preserve"> </w:t>
      </w:r>
      <w:r>
        <w:t>of</w:t>
      </w:r>
      <w:r>
        <w:rPr>
          <w:spacing w:val="40"/>
        </w:rPr>
        <w:t xml:space="preserve"> </w:t>
      </w:r>
      <w:r>
        <w:t>mental</w:t>
      </w:r>
      <w:r>
        <w:rPr>
          <w:spacing w:val="40"/>
        </w:rPr>
        <w:t xml:space="preserve"> </w:t>
      </w:r>
      <w:r>
        <w:t>events,</w:t>
      </w:r>
      <w:r>
        <w:rPr>
          <w:spacing w:val="40"/>
        </w:rPr>
        <w:t xml:space="preserve"> </w:t>
      </w:r>
      <w:r>
        <w:t>none</w:t>
      </w:r>
      <w:r>
        <w:rPr>
          <w:spacing w:val="40"/>
        </w:rPr>
        <w:t xml:space="preserve"> </w:t>
      </w:r>
      <w:r>
        <w:t>of</w:t>
      </w:r>
      <w:r>
        <w:rPr>
          <w:spacing w:val="40"/>
        </w:rPr>
        <w:t xml:space="preserve"> </w:t>
      </w:r>
      <w:r>
        <w:t>which</w:t>
      </w:r>
      <w:r>
        <w:rPr>
          <w:spacing w:val="40"/>
        </w:rPr>
        <w:t xml:space="preserve"> </w:t>
      </w:r>
      <w:r>
        <w:t>was</w:t>
      </w:r>
      <w:r>
        <w:rPr>
          <w:spacing w:val="40"/>
        </w:rPr>
        <w:t xml:space="preserve"> </w:t>
      </w:r>
      <w:r>
        <w:t>a</w:t>
      </w:r>
      <w:r>
        <w:rPr>
          <w:spacing w:val="40"/>
        </w:rPr>
        <w:t xml:space="preserve"> </w:t>
      </w:r>
      <w:r>
        <w:t>norm-driven response to any of the others, those events would not collectively form a single</w:t>
      </w:r>
      <w:r>
        <w:rPr>
          <w:spacing w:val="40"/>
        </w:rPr>
        <w:t xml:space="preserve"> </w:t>
      </w:r>
      <w:r>
        <w:t>mind</w:t>
      </w:r>
      <w:r>
        <w:rPr>
          <w:spacing w:val="40"/>
        </w:rPr>
        <w:t xml:space="preserve"> </w:t>
      </w:r>
      <w:r>
        <w:t>or</w:t>
      </w:r>
      <w:r>
        <w:rPr>
          <w:spacing w:val="40"/>
        </w:rPr>
        <w:t xml:space="preserve"> </w:t>
      </w:r>
      <w:r>
        <w:t>subject.</w:t>
      </w:r>
      <w:r>
        <w:rPr>
          <w:spacing w:val="40"/>
        </w:rPr>
        <w:t xml:space="preserve"> </w:t>
      </w:r>
      <w:r>
        <w:t>There</w:t>
      </w:r>
      <w:r>
        <w:rPr>
          <w:spacing w:val="40"/>
        </w:rPr>
        <w:t xml:space="preserve"> </w:t>
      </w:r>
      <w:r>
        <w:t>are</w:t>
      </w:r>
      <w:r>
        <w:rPr>
          <w:spacing w:val="40"/>
        </w:rPr>
        <w:t xml:space="preserve"> </w:t>
      </w:r>
      <w:r>
        <w:t>no</w:t>
      </w:r>
      <w:r>
        <w:rPr>
          <w:spacing w:val="40"/>
        </w:rPr>
        <w:t xml:space="preserve"> </w:t>
      </w:r>
      <w:r>
        <w:t>content-driven</w:t>
      </w:r>
      <w:r>
        <w:rPr>
          <w:spacing w:val="40"/>
        </w:rPr>
        <w:t xml:space="preserve"> </w:t>
      </w:r>
      <w:r>
        <w:t>reactions</w:t>
      </w:r>
      <w:r>
        <w:rPr>
          <w:spacing w:val="40"/>
        </w:rPr>
        <w:t xml:space="preserve"> </w:t>
      </w:r>
      <w:r>
        <w:t>where</w:t>
      </w:r>
      <w:r>
        <w:rPr>
          <w:spacing w:val="40"/>
        </w:rPr>
        <w:t xml:space="preserve"> </w:t>
      </w:r>
      <w:r>
        <w:t>there are</w:t>
      </w:r>
      <w:r>
        <w:rPr>
          <w:spacing w:val="40"/>
        </w:rPr>
        <w:t xml:space="preserve"> </w:t>
      </w:r>
      <w:r>
        <w:t>no</w:t>
      </w:r>
      <w:r>
        <w:rPr>
          <w:spacing w:val="40"/>
        </w:rPr>
        <w:t xml:space="preserve"> </w:t>
      </w:r>
      <w:r>
        <w:t>norm-driven</w:t>
      </w:r>
      <w:r>
        <w:rPr>
          <w:spacing w:val="40"/>
        </w:rPr>
        <w:t xml:space="preserve"> </w:t>
      </w:r>
      <w:r>
        <w:t>reactions.</w:t>
      </w:r>
      <w:r>
        <w:rPr>
          <w:spacing w:val="40"/>
        </w:rPr>
        <w:t xml:space="preserve"> </w:t>
      </w:r>
      <w:r>
        <w:t>Where</w:t>
      </w:r>
      <w:r>
        <w:rPr>
          <w:spacing w:val="40"/>
        </w:rPr>
        <w:t xml:space="preserve"> </w:t>
      </w:r>
      <w:r>
        <w:t>there</w:t>
      </w:r>
      <w:r>
        <w:rPr>
          <w:spacing w:val="40"/>
        </w:rPr>
        <w:t xml:space="preserve"> </w:t>
      </w:r>
      <w:r>
        <w:t>are</w:t>
      </w:r>
      <w:r>
        <w:rPr>
          <w:spacing w:val="40"/>
        </w:rPr>
        <w:t xml:space="preserve"> </w:t>
      </w:r>
      <w:r>
        <w:t>no</w:t>
      </w:r>
      <w:r>
        <w:rPr>
          <w:spacing w:val="40"/>
        </w:rPr>
        <w:t xml:space="preserve"> </w:t>
      </w:r>
      <w:r>
        <w:t>content-driven</w:t>
      </w:r>
      <w:r>
        <w:rPr>
          <w:spacing w:val="80"/>
          <w:w w:val="150"/>
        </w:rPr>
        <w:t xml:space="preserve"> </w:t>
      </w:r>
      <w:r>
        <w:t>reactions,</w:t>
      </w:r>
      <w:r>
        <w:rPr>
          <w:spacing w:val="40"/>
        </w:rPr>
        <w:t xml:space="preserve"> </w:t>
      </w:r>
      <w:r>
        <w:t>nothing</w:t>
      </w:r>
      <w:r>
        <w:rPr>
          <w:spacing w:val="40"/>
        </w:rPr>
        <w:t xml:space="preserve"> </w:t>
      </w:r>
      <w:r>
        <w:t>has</w:t>
      </w:r>
      <w:r>
        <w:rPr>
          <w:spacing w:val="40"/>
        </w:rPr>
        <w:t xml:space="preserve"> </w:t>
      </w:r>
      <w:r>
        <w:t>anything</w:t>
      </w:r>
      <w:r>
        <w:rPr>
          <w:spacing w:val="40"/>
        </w:rPr>
        <w:t xml:space="preserve"> </w:t>
      </w:r>
      <w:r>
        <w:t>to</w:t>
      </w:r>
      <w:r>
        <w:rPr>
          <w:spacing w:val="40"/>
        </w:rPr>
        <w:t xml:space="preserve"> </w:t>
      </w:r>
      <w:r>
        <w:t>do</w:t>
      </w:r>
      <w:r>
        <w:rPr>
          <w:spacing w:val="40"/>
        </w:rPr>
        <w:t xml:space="preserve"> </w:t>
      </w:r>
      <w:r>
        <w:t>with</w:t>
      </w:r>
      <w:r>
        <w:rPr>
          <w:spacing w:val="40"/>
        </w:rPr>
        <w:t xml:space="preserve"> </w:t>
      </w:r>
      <w:r>
        <w:t>anything</w:t>
      </w:r>
      <w:r>
        <w:rPr>
          <w:spacing w:val="40"/>
        </w:rPr>
        <w:t xml:space="preserve"> </w:t>
      </w:r>
      <w:r>
        <w:t>else.</w:t>
      </w:r>
      <w:r>
        <w:rPr>
          <w:spacing w:val="40"/>
        </w:rPr>
        <w:t xml:space="preserve"> </w:t>
      </w:r>
      <w:r>
        <w:t>Let</w:t>
      </w:r>
      <w:r>
        <w:rPr>
          <w:spacing w:val="40"/>
        </w:rPr>
        <w:t xml:space="preserve"> </w:t>
      </w:r>
      <w:r>
        <w:t>m</w:t>
      </w:r>
      <w:r>
        <w:rPr>
          <w:vertAlign w:val="subscript"/>
        </w:rPr>
        <w:t>1</w:t>
      </w:r>
      <w:r>
        <w:t>...m</w:t>
      </w:r>
      <w:r>
        <w:rPr>
          <w:position w:val="-7"/>
          <w:sz w:val="22"/>
        </w:rPr>
        <w:t>n</w:t>
      </w:r>
      <w:r>
        <w:rPr>
          <w:spacing w:val="40"/>
          <w:position w:val="-7"/>
          <w:sz w:val="22"/>
        </w:rPr>
        <w:t xml:space="preserve"> </w:t>
      </w:r>
      <w:r>
        <w:t>be</w:t>
      </w:r>
      <w:r>
        <w:rPr>
          <w:spacing w:val="40"/>
        </w:rPr>
        <w:t xml:space="preserve"> </w:t>
      </w:r>
      <w:r>
        <w:t>a set</w:t>
      </w:r>
      <w:r>
        <w:rPr>
          <w:spacing w:val="36"/>
        </w:rPr>
        <w:t xml:space="preserve"> </w:t>
      </w:r>
      <w:r>
        <w:t>of</w:t>
      </w:r>
      <w:r>
        <w:rPr>
          <w:spacing w:val="36"/>
        </w:rPr>
        <w:t xml:space="preserve"> </w:t>
      </w:r>
      <w:r>
        <w:t>mental</w:t>
      </w:r>
      <w:r>
        <w:rPr>
          <w:spacing w:val="36"/>
        </w:rPr>
        <w:t xml:space="preserve"> </w:t>
      </w:r>
      <w:r>
        <w:t>events</w:t>
      </w:r>
      <w:r>
        <w:rPr>
          <w:spacing w:val="36"/>
        </w:rPr>
        <w:t xml:space="preserve"> </w:t>
      </w:r>
      <w:r>
        <w:t>having</w:t>
      </w:r>
      <w:r>
        <w:rPr>
          <w:spacing w:val="36"/>
        </w:rPr>
        <w:t xml:space="preserve"> </w:t>
      </w:r>
      <w:r>
        <w:t>contents</w:t>
      </w:r>
      <w:r>
        <w:rPr>
          <w:spacing w:val="36"/>
        </w:rPr>
        <w:t xml:space="preserve"> </w:t>
      </w:r>
      <w:r>
        <w:t>c</w:t>
      </w:r>
      <w:r>
        <w:rPr>
          <w:vertAlign w:val="subscript"/>
        </w:rPr>
        <w:t>1</w:t>
      </w:r>
      <w:r>
        <w:t>...c</w:t>
      </w:r>
      <w:r>
        <w:rPr>
          <w:position w:val="-7"/>
          <w:sz w:val="22"/>
        </w:rPr>
        <w:t>n</w:t>
      </w:r>
      <w:r>
        <w:t>.</w:t>
      </w:r>
      <w:r>
        <w:rPr>
          <w:spacing w:val="36"/>
        </w:rPr>
        <w:t xml:space="preserve"> </w:t>
      </w:r>
      <w:r>
        <w:t>(So</w:t>
      </w:r>
      <w:r>
        <w:rPr>
          <w:spacing w:val="36"/>
        </w:rPr>
        <w:t xml:space="preserve"> </w:t>
      </w:r>
      <w:r>
        <w:t>if</w:t>
      </w:r>
      <w:r>
        <w:rPr>
          <w:spacing w:val="36"/>
        </w:rPr>
        <w:t xml:space="preserve"> </w:t>
      </w:r>
      <w:r>
        <w:t>m</w:t>
      </w:r>
      <w:r>
        <w:rPr>
          <w:vertAlign w:val="subscript"/>
        </w:rPr>
        <w:t>1</w:t>
      </w:r>
      <w:r>
        <w:rPr>
          <w:spacing w:val="30"/>
        </w:rPr>
        <w:t xml:space="preserve"> </w:t>
      </w:r>
      <w:r>
        <w:t>is</w:t>
      </w:r>
      <w:r>
        <w:rPr>
          <w:spacing w:val="37"/>
        </w:rPr>
        <w:t xml:space="preserve"> </w:t>
      </w:r>
      <w:r>
        <w:t>a</w:t>
      </w:r>
      <w:r>
        <w:rPr>
          <w:spacing w:val="37"/>
        </w:rPr>
        <w:t xml:space="preserve"> </w:t>
      </w:r>
      <w:r>
        <w:t>belief</w:t>
      </w:r>
      <w:r>
        <w:rPr>
          <w:spacing w:val="37"/>
        </w:rPr>
        <w:t xml:space="preserve"> </w:t>
      </w:r>
      <w:r>
        <w:t>that</w:t>
      </w:r>
      <w:r>
        <w:rPr>
          <w:spacing w:val="37"/>
        </w:rPr>
        <w:t xml:space="preserve"> </w:t>
      </w:r>
      <w:r>
        <w:t>grass is</w:t>
      </w:r>
      <w:r>
        <w:rPr>
          <w:spacing w:val="40"/>
        </w:rPr>
        <w:t xml:space="preserve"> </w:t>
      </w:r>
      <w:r>
        <w:t>green,</w:t>
      </w:r>
      <w:r>
        <w:rPr>
          <w:spacing w:val="40"/>
        </w:rPr>
        <w:t xml:space="preserve"> </w:t>
      </w:r>
      <w:r>
        <w:t>then</w:t>
      </w:r>
      <w:r>
        <w:rPr>
          <w:spacing w:val="40"/>
        </w:rPr>
        <w:t xml:space="preserve"> </w:t>
      </w:r>
      <w:r>
        <w:t>m</w:t>
      </w:r>
      <w:r>
        <w:rPr>
          <w:vertAlign w:val="subscript"/>
        </w:rPr>
        <w:t>1</w:t>
      </w:r>
      <w:r>
        <w:t>’s</w:t>
      </w:r>
      <w:r>
        <w:rPr>
          <w:spacing w:val="40"/>
        </w:rPr>
        <w:t xml:space="preserve"> </w:t>
      </w:r>
      <w:r>
        <w:t>content</w:t>
      </w:r>
      <w:r>
        <w:rPr>
          <w:spacing w:val="40"/>
        </w:rPr>
        <w:t xml:space="preserve"> </w:t>
      </w:r>
      <w:r>
        <w:t>is</w:t>
      </w:r>
      <w:r>
        <w:rPr>
          <w:spacing w:val="40"/>
        </w:rPr>
        <w:t xml:space="preserve"> </w:t>
      </w:r>
      <w:r>
        <w:t>the</w:t>
      </w:r>
      <w:r>
        <w:rPr>
          <w:spacing w:val="40"/>
        </w:rPr>
        <w:t xml:space="preserve"> </w:t>
      </w:r>
      <w:r>
        <w:t>proposition</w:t>
      </w:r>
      <w:r>
        <w:rPr>
          <w:spacing w:val="40"/>
        </w:rPr>
        <w:t xml:space="preserve"> </w:t>
      </w:r>
      <w:r>
        <w:t>that</w:t>
      </w:r>
      <w:r>
        <w:rPr>
          <w:spacing w:val="40"/>
        </w:rPr>
        <w:t xml:space="preserve"> </w:t>
      </w:r>
      <w:r>
        <w:t>grass</w:t>
      </w:r>
      <w:r>
        <w:rPr>
          <w:spacing w:val="40"/>
        </w:rPr>
        <w:t xml:space="preserve"> </w:t>
      </w:r>
      <w:r>
        <w:t>is</w:t>
      </w:r>
      <w:r>
        <w:rPr>
          <w:spacing w:val="40"/>
        </w:rPr>
        <w:t xml:space="preserve"> </w:t>
      </w:r>
      <w:r>
        <w:t>green.)</w:t>
      </w:r>
      <w:r>
        <w:rPr>
          <w:spacing w:val="29"/>
        </w:rPr>
        <w:t xml:space="preserve"> </w:t>
      </w:r>
      <w:r>
        <w:t>And</w:t>
      </w:r>
      <w:r>
        <w:rPr>
          <w:spacing w:val="40"/>
        </w:rPr>
        <w:t xml:space="preserve"> </w:t>
      </w:r>
      <w:r>
        <w:t>let</w:t>
      </w:r>
    </w:p>
    <w:p w14:paraId="7E00254E" w14:textId="77777777" w:rsidR="009A58DB" w:rsidRDefault="00000000">
      <w:pPr>
        <w:spacing w:before="63" w:line="249" w:lineRule="auto"/>
        <w:ind w:left="360" w:right="361"/>
        <w:jc w:val="both"/>
        <w:rPr>
          <w:i/>
          <w:sz w:val="30"/>
        </w:rPr>
      </w:pPr>
      <w:r>
        <w:rPr>
          <w:sz w:val="30"/>
        </w:rPr>
        <w:t>b</w:t>
      </w:r>
      <w:r>
        <w:rPr>
          <w:position w:val="-7"/>
        </w:rPr>
        <w:t>1</w:t>
      </w:r>
      <w:r>
        <w:rPr>
          <w:sz w:val="30"/>
        </w:rPr>
        <w:t>...b</w:t>
      </w:r>
      <w:r>
        <w:rPr>
          <w:position w:val="-7"/>
        </w:rPr>
        <w:t>n</w:t>
      </w:r>
      <w:r>
        <w:rPr>
          <w:spacing w:val="40"/>
          <w:position w:val="-7"/>
        </w:rPr>
        <w:t xml:space="preserve"> </w:t>
      </w:r>
      <w:r>
        <w:rPr>
          <w:sz w:val="30"/>
        </w:rPr>
        <w:t>the</w:t>
      </w:r>
      <w:r>
        <w:rPr>
          <w:spacing w:val="40"/>
          <w:sz w:val="30"/>
        </w:rPr>
        <w:t xml:space="preserve"> </w:t>
      </w:r>
      <w:r>
        <w:rPr>
          <w:sz w:val="30"/>
        </w:rPr>
        <w:t>corresponding</w:t>
      </w:r>
      <w:r>
        <w:rPr>
          <w:spacing w:val="40"/>
          <w:sz w:val="30"/>
        </w:rPr>
        <w:t xml:space="preserve"> </w:t>
      </w:r>
      <w:r>
        <w:rPr>
          <w:sz w:val="30"/>
        </w:rPr>
        <w:t>brain-entities.</w:t>
      </w:r>
      <w:r>
        <w:rPr>
          <w:spacing w:val="40"/>
          <w:sz w:val="30"/>
        </w:rPr>
        <w:t xml:space="preserve"> </w:t>
      </w:r>
      <w:r>
        <w:rPr>
          <w:sz w:val="30"/>
        </w:rPr>
        <w:t>Even</w:t>
      </w:r>
      <w:r>
        <w:rPr>
          <w:spacing w:val="40"/>
          <w:sz w:val="30"/>
        </w:rPr>
        <w:t xml:space="preserve"> </w:t>
      </w:r>
      <w:r>
        <w:rPr>
          <w:sz w:val="30"/>
        </w:rPr>
        <w:t>if</w:t>
      </w:r>
      <w:r>
        <w:rPr>
          <w:spacing w:val="40"/>
          <w:sz w:val="30"/>
        </w:rPr>
        <w:t xml:space="preserve"> </w:t>
      </w:r>
      <w:r>
        <w:rPr>
          <w:sz w:val="30"/>
        </w:rPr>
        <w:t>b</w:t>
      </w:r>
      <w:r>
        <w:rPr>
          <w:position w:val="-7"/>
        </w:rPr>
        <w:t>1</w:t>
      </w:r>
      <w:r>
        <w:rPr>
          <w:spacing w:val="40"/>
          <w:position w:val="-7"/>
        </w:rPr>
        <w:t xml:space="preserve"> </w:t>
      </w:r>
      <w:r>
        <w:rPr>
          <w:sz w:val="30"/>
        </w:rPr>
        <w:t>is</w:t>
      </w:r>
      <w:r>
        <w:rPr>
          <w:spacing w:val="40"/>
          <w:sz w:val="30"/>
        </w:rPr>
        <w:t xml:space="preserve"> </w:t>
      </w:r>
      <w:r>
        <w:rPr>
          <w:sz w:val="30"/>
        </w:rPr>
        <w:t>what</w:t>
      </w:r>
      <w:r>
        <w:rPr>
          <w:spacing w:val="40"/>
          <w:sz w:val="30"/>
        </w:rPr>
        <w:t xml:space="preserve"> </w:t>
      </w:r>
      <w:r>
        <w:rPr>
          <w:sz w:val="30"/>
        </w:rPr>
        <w:t>causes</w:t>
      </w:r>
      <w:r>
        <w:rPr>
          <w:spacing w:val="40"/>
          <w:sz w:val="30"/>
        </w:rPr>
        <w:t xml:space="preserve"> </w:t>
      </w:r>
      <w:r>
        <w:rPr>
          <w:sz w:val="30"/>
        </w:rPr>
        <w:t>b</w:t>
      </w:r>
      <w:r>
        <w:rPr>
          <w:position w:val="-7"/>
        </w:rPr>
        <w:t>2</w:t>
      </w:r>
      <w:r>
        <w:rPr>
          <w:spacing w:val="40"/>
          <w:position w:val="-7"/>
        </w:rPr>
        <w:t xml:space="preserve"> </w:t>
      </w:r>
      <w:r>
        <w:rPr>
          <w:sz w:val="30"/>
        </w:rPr>
        <w:t>to occur, and b</w:t>
      </w:r>
      <w:r>
        <w:rPr>
          <w:position w:val="-7"/>
        </w:rPr>
        <w:t xml:space="preserve">2 </w:t>
      </w:r>
      <w:r>
        <w:rPr>
          <w:sz w:val="30"/>
        </w:rPr>
        <w:t>is what causes b</w:t>
      </w:r>
      <w:r>
        <w:rPr>
          <w:position w:val="-7"/>
        </w:rPr>
        <w:t xml:space="preserve">3 </w:t>
      </w:r>
      <w:r>
        <w:rPr>
          <w:sz w:val="30"/>
        </w:rPr>
        <w:t>t occur, and so on, so long as b</w:t>
      </w:r>
      <w:r>
        <w:rPr>
          <w:position w:val="-7"/>
        </w:rPr>
        <w:t>37</w:t>
      </w:r>
      <w:r>
        <w:rPr>
          <w:sz w:val="30"/>
        </w:rPr>
        <w:t xml:space="preserve">’s </w:t>
      </w:r>
      <w:r>
        <w:rPr>
          <w:i/>
          <w:sz w:val="30"/>
        </w:rPr>
        <w:t>being a belief</w:t>
      </w:r>
      <w:r>
        <w:rPr>
          <w:i/>
          <w:spacing w:val="47"/>
          <w:sz w:val="30"/>
        </w:rPr>
        <w:t xml:space="preserve"> </w:t>
      </w:r>
      <w:r>
        <w:rPr>
          <w:i/>
          <w:sz w:val="30"/>
        </w:rPr>
        <w:t>that</w:t>
      </w:r>
      <w:r>
        <w:rPr>
          <w:i/>
          <w:spacing w:val="48"/>
          <w:sz w:val="30"/>
        </w:rPr>
        <w:t xml:space="preserve"> </w:t>
      </w:r>
      <w:r>
        <w:rPr>
          <w:i/>
          <w:sz w:val="30"/>
        </w:rPr>
        <w:t>arsenic</w:t>
      </w:r>
      <w:r>
        <w:rPr>
          <w:i/>
          <w:spacing w:val="49"/>
          <w:sz w:val="30"/>
        </w:rPr>
        <w:t xml:space="preserve"> </w:t>
      </w:r>
      <w:r>
        <w:rPr>
          <w:i/>
          <w:sz w:val="30"/>
        </w:rPr>
        <w:t>is</w:t>
      </w:r>
      <w:r>
        <w:rPr>
          <w:i/>
          <w:spacing w:val="49"/>
          <w:sz w:val="30"/>
        </w:rPr>
        <w:t xml:space="preserve"> </w:t>
      </w:r>
      <w:r>
        <w:rPr>
          <w:i/>
          <w:sz w:val="30"/>
        </w:rPr>
        <w:t>poisonous</w:t>
      </w:r>
      <w:r>
        <w:rPr>
          <w:i/>
          <w:spacing w:val="49"/>
          <w:sz w:val="30"/>
        </w:rPr>
        <w:t xml:space="preserve"> </w:t>
      </w:r>
      <w:r>
        <w:rPr>
          <w:sz w:val="30"/>
        </w:rPr>
        <w:t>isn’t</w:t>
      </w:r>
      <w:r>
        <w:rPr>
          <w:spacing w:val="44"/>
          <w:sz w:val="30"/>
        </w:rPr>
        <w:t xml:space="preserve"> </w:t>
      </w:r>
      <w:r>
        <w:rPr>
          <w:sz w:val="30"/>
        </w:rPr>
        <w:t>related</w:t>
      </w:r>
      <w:r>
        <w:rPr>
          <w:spacing w:val="46"/>
          <w:sz w:val="30"/>
        </w:rPr>
        <w:t xml:space="preserve"> </w:t>
      </w:r>
      <w:r>
        <w:rPr>
          <w:sz w:val="30"/>
        </w:rPr>
        <w:t>to</w:t>
      </w:r>
      <w:r>
        <w:rPr>
          <w:spacing w:val="46"/>
          <w:sz w:val="30"/>
        </w:rPr>
        <w:t xml:space="preserve"> </w:t>
      </w:r>
      <w:r>
        <w:rPr>
          <w:sz w:val="30"/>
        </w:rPr>
        <w:t>b</w:t>
      </w:r>
      <w:r>
        <w:rPr>
          <w:sz w:val="30"/>
          <w:vertAlign w:val="subscript"/>
        </w:rPr>
        <w:t>86</w:t>
      </w:r>
      <w:r>
        <w:rPr>
          <w:sz w:val="30"/>
        </w:rPr>
        <w:t>’s</w:t>
      </w:r>
      <w:r>
        <w:rPr>
          <w:spacing w:val="45"/>
          <w:sz w:val="30"/>
        </w:rPr>
        <w:t xml:space="preserve"> </w:t>
      </w:r>
      <w:r>
        <w:rPr>
          <w:i/>
          <w:sz w:val="30"/>
        </w:rPr>
        <w:t>being</w:t>
      </w:r>
      <w:r>
        <w:rPr>
          <w:i/>
          <w:spacing w:val="55"/>
          <w:sz w:val="30"/>
        </w:rPr>
        <w:t xml:space="preserve"> </w:t>
      </w:r>
      <w:r>
        <w:rPr>
          <w:i/>
          <w:sz w:val="30"/>
        </w:rPr>
        <w:t>an</w:t>
      </w:r>
      <w:r>
        <w:rPr>
          <w:i/>
          <w:spacing w:val="56"/>
          <w:sz w:val="30"/>
        </w:rPr>
        <w:t xml:space="preserve"> </w:t>
      </w:r>
      <w:r>
        <w:rPr>
          <w:i/>
          <w:sz w:val="30"/>
        </w:rPr>
        <w:t>intention</w:t>
      </w:r>
      <w:r>
        <w:rPr>
          <w:i/>
          <w:spacing w:val="55"/>
          <w:sz w:val="30"/>
        </w:rPr>
        <w:t xml:space="preserve"> </w:t>
      </w:r>
      <w:r>
        <w:rPr>
          <w:i/>
          <w:spacing w:val="-5"/>
          <w:sz w:val="30"/>
        </w:rPr>
        <w:t>to</w:t>
      </w:r>
    </w:p>
    <w:p w14:paraId="7E00254F" w14:textId="77777777" w:rsidR="009A58DB" w:rsidRDefault="009A58DB">
      <w:pPr>
        <w:spacing w:line="249" w:lineRule="auto"/>
        <w:jc w:val="both"/>
        <w:rPr>
          <w:i/>
          <w:sz w:val="30"/>
        </w:rPr>
        <w:sectPr w:rsidR="009A58DB">
          <w:pgSz w:w="12240" w:h="15840"/>
          <w:pgMar w:top="1380" w:right="1080" w:bottom="280" w:left="1080" w:header="720" w:footer="720" w:gutter="0"/>
          <w:cols w:space="720"/>
        </w:sectPr>
      </w:pPr>
    </w:p>
    <w:p w14:paraId="7E002550" w14:textId="77777777" w:rsidR="009A58DB" w:rsidRDefault="00000000">
      <w:pPr>
        <w:pStyle w:val="BodyText"/>
        <w:spacing w:before="65" w:line="249" w:lineRule="auto"/>
        <w:ind w:right="358"/>
      </w:pPr>
      <w:r>
        <w:rPr>
          <w:i/>
        </w:rPr>
        <w:lastRenderedPageBreak/>
        <w:t>avoid drinking the contents of the bottle labeled WARNING: CONTAINS ARSENIC</w:t>
      </w:r>
      <w:r>
        <w:t>—so long as, in general, bi’s having content ci has nothing to do with bk’s having content ck—then, even though those brain-states are causally (inter)connected, the corresponding mental states have nothing to do with one another. Thus, where there are no content-driven reactions, no mental state has anything to do with any other. Mental states cohere, and</w:t>
      </w:r>
      <w:r>
        <w:rPr>
          <w:spacing w:val="40"/>
        </w:rPr>
        <w:t xml:space="preserve"> </w:t>
      </w:r>
      <w:r>
        <w:t xml:space="preserve">form a single subject, only if some of them are content-driven responses to others. This means that there are subjects only where there are content-driven and therefore norm-driven reactions. So norm-drivenness is the essence of subjecthood. The essence of subjecthood is thus a concern for what </w:t>
      </w:r>
      <w:r>
        <w:rPr>
          <w:i/>
        </w:rPr>
        <w:t xml:space="preserve">ought </w:t>
      </w:r>
      <w:r>
        <w:t>to be the case.</w:t>
      </w:r>
    </w:p>
    <w:p w14:paraId="7E002551" w14:textId="77777777" w:rsidR="009A58DB" w:rsidRDefault="00000000">
      <w:pPr>
        <w:pStyle w:val="BodyText"/>
        <w:spacing w:before="13" w:line="249" w:lineRule="auto"/>
        <w:ind w:left="720" w:right="2611"/>
      </w:pPr>
      <w:r>
        <w:t>“But</w:t>
      </w:r>
      <w:r>
        <w:rPr>
          <w:spacing w:val="-5"/>
        </w:rPr>
        <w:t xml:space="preserve"> </w:t>
      </w:r>
      <w:r>
        <w:t>the</w:t>
      </w:r>
      <w:r>
        <w:rPr>
          <w:spacing w:val="-5"/>
        </w:rPr>
        <w:t xml:space="preserve"> </w:t>
      </w:r>
      <w:r>
        <w:t>‘ought’</w:t>
      </w:r>
      <w:r>
        <w:rPr>
          <w:spacing w:val="-5"/>
        </w:rPr>
        <w:t xml:space="preserve"> </w:t>
      </w:r>
      <w:r>
        <w:t>in</w:t>
      </w:r>
      <w:r>
        <w:rPr>
          <w:spacing w:val="-4"/>
        </w:rPr>
        <w:t xml:space="preserve"> </w:t>
      </w:r>
      <w:r>
        <w:t>question</w:t>
      </w:r>
      <w:r>
        <w:rPr>
          <w:spacing w:val="-4"/>
        </w:rPr>
        <w:t xml:space="preserve"> </w:t>
      </w:r>
      <w:r>
        <w:t>surely</w:t>
      </w:r>
      <w:r>
        <w:rPr>
          <w:spacing w:val="-4"/>
        </w:rPr>
        <w:t xml:space="preserve"> </w:t>
      </w:r>
      <w:r>
        <w:t>isn’t</w:t>
      </w:r>
      <w:r>
        <w:rPr>
          <w:spacing w:val="-5"/>
        </w:rPr>
        <w:t xml:space="preserve"> </w:t>
      </w:r>
      <w:r>
        <w:t>a</w:t>
      </w:r>
      <w:r>
        <w:rPr>
          <w:spacing w:val="-5"/>
        </w:rPr>
        <w:t xml:space="preserve"> </w:t>
      </w:r>
      <w:r>
        <w:rPr>
          <w:i/>
        </w:rPr>
        <w:t>moral</w:t>
      </w:r>
      <w:r>
        <w:rPr>
          <w:i/>
          <w:spacing w:val="-5"/>
        </w:rPr>
        <w:t xml:space="preserve"> </w:t>
      </w:r>
      <w:r>
        <w:t>ought.” Why not?</w:t>
      </w:r>
    </w:p>
    <w:p w14:paraId="7E002552" w14:textId="77777777" w:rsidR="009A58DB" w:rsidRDefault="00000000">
      <w:pPr>
        <w:pStyle w:val="BodyText"/>
        <w:spacing w:before="3" w:line="249" w:lineRule="auto"/>
        <w:ind w:right="366" w:firstLine="360"/>
      </w:pPr>
      <w:r>
        <w:t>“Because legitimate inferences—i.e., inferences that embody due regard for the appropriate norms—can be made for purely self-interested reasons. One can use one’s mathematical skill to steal money, etc.”</w:t>
      </w:r>
    </w:p>
    <w:p w14:paraId="7E002553" w14:textId="77777777" w:rsidR="009A58DB" w:rsidRDefault="00000000">
      <w:pPr>
        <w:pStyle w:val="BodyText"/>
        <w:spacing w:before="3" w:line="249" w:lineRule="auto"/>
        <w:ind w:right="363" w:firstLine="360"/>
      </w:pPr>
      <w:r>
        <w:t>There’s</w:t>
      </w:r>
      <w:r>
        <w:rPr>
          <w:spacing w:val="-5"/>
        </w:rPr>
        <w:t xml:space="preserve"> </w:t>
      </w:r>
      <w:r>
        <w:t>no</w:t>
      </w:r>
      <w:r>
        <w:rPr>
          <w:spacing w:val="-4"/>
        </w:rPr>
        <w:t xml:space="preserve"> </w:t>
      </w:r>
      <w:r>
        <w:t>denying</w:t>
      </w:r>
      <w:r>
        <w:rPr>
          <w:spacing w:val="-4"/>
        </w:rPr>
        <w:t xml:space="preserve"> </w:t>
      </w:r>
      <w:r>
        <w:t>that</w:t>
      </w:r>
      <w:r>
        <w:rPr>
          <w:spacing w:val="-5"/>
        </w:rPr>
        <w:t xml:space="preserve"> </w:t>
      </w:r>
      <w:r>
        <w:t>profoundly</w:t>
      </w:r>
      <w:r>
        <w:rPr>
          <w:spacing w:val="-4"/>
        </w:rPr>
        <w:t xml:space="preserve"> </w:t>
      </w:r>
      <w:r>
        <w:t>evil</w:t>
      </w:r>
      <w:r>
        <w:rPr>
          <w:spacing w:val="-5"/>
        </w:rPr>
        <w:t xml:space="preserve"> </w:t>
      </w:r>
      <w:r>
        <w:t>people</w:t>
      </w:r>
      <w:r>
        <w:rPr>
          <w:spacing w:val="-5"/>
        </w:rPr>
        <w:t xml:space="preserve"> </w:t>
      </w:r>
      <w:r>
        <w:t>can</w:t>
      </w:r>
      <w:r>
        <w:rPr>
          <w:spacing w:val="-4"/>
        </w:rPr>
        <w:t xml:space="preserve"> </w:t>
      </w:r>
      <w:r>
        <w:t>be</w:t>
      </w:r>
      <w:r>
        <w:rPr>
          <w:spacing w:val="-5"/>
        </w:rPr>
        <w:t xml:space="preserve"> </w:t>
      </w:r>
      <w:r>
        <w:t>very</w:t>
      </w:r>
      <w:r>
        <w:rPr>
          <w:spacing w:val="-4"/>
        </w:rPr>
        <w:t xml:space="preserve"> </w:t>
      </w:r>
      <w:r>
        <w:t>intelligent.</w:t>
      </w:r>
      <w:r>
        <w:rPr>
          <w:spacing w:val="-4"/>
        </w:rPr>
        <w:t xml:space="preserve"> </w:t>
      </w:r>
      <w:r>
        <w:t>But we’ll</w:t>
      </w:r>
      <w:r>
        <w:rPr>
          <w:spacing w:val="-4"/>
        </w:rPr>
        <w:t xml:space="preserve"> </w:t>
      </w:r>
      <w:r>
        <w:t>see</w:t>
      </w:r>
      <w:r>
        <w:rPr>
          <w:spacing w:val="-4"/>
        </w:rPr>
        <w:t xml:space="preserve"> </w:t>
      </w:r>
      <w:r>
        <w:t>that</w:t>
      </w:r>
      <w:r>
        <w:rPr>
          <w:spacing w:val="-4"/>
        </w:rPr>
        <w:t xml:space="preserve"> </w:t>
      </w:r>
      <w:r>
        <w:t>norm-drivenness</w:t>
      </w:r>
      <w:r>
        <w:rPr>
          <w:spacing w:val="-4"/>
        </w:rPr>
        <w:t xml:space="preserve"> </w:t>
      </w:r>
      <w:r>
        <w:t>in</w:t>
      </w:r>
      <w:r>
        <w:rPr>
          <w:spacing w:val="-3"/>
        </w:rPr>
        <w:t xml:space="preserve"> </w:t>
      </w:r>
      <w:r>
        <w:t>the</w:t>
      </w:r>
      <w:r>
        <w:rPr>
          <w:spacing w:val="-4"/>
        </w:rPr>
        <w:t xml:space="preserve"> </w:t>
      </w:r>
      <w:r>
        <w:rPr>
          <w:i/>
        </w:rPr>
        <w:t>moral</w:t>
      </w:r>
      <w:r>
        <w:rPr>
          <w:i/>
          <w:spacing w:val="-4"/>
        </w:rPr>
        <w:t xml:space="preserve"> </w:t>
      </w:r>
      <w:r>
        <w:t>sense</w:t>
      </w:r>
      <w:r>
        <w:rPr>
          <w:spacing w:val="-4"/>
        </w:rPr>
        <w:t xml:space="preserve"> </w:t>
      </w:r>
      <w:r>
        <w:t>is</w:t>
      </w:r>
      <w:r>
        <w:rPr>
          <w:spacing w:val="-4"/>
        </w:rPr>
        <w:t xml:space="preserve"> </w:t>
      </w:r>
      <w:r>
        <w:t>to</w:t>
      </w:r>
      <w:r>
        <w:rPr>
          <w:spacing w:val="-3"/>
        </w:rPr>
        <w:t xml:space="preserve"> </w:t>
      </w:r>
      <w:r>
        <w:t>be</w:t>
      </w:r>
      <w:r>
        <w:rPr>
          <w:spacing w:val="-4"/>
        </w:rPr>
        <w:t xml:space="preserve"> </w:t>
      </w:r>
      <w:r>
        <w:t>understood</w:t>
      </w:r>
      <w:r>
        <w:rPr>
          <w:spacing w:val="-3"/>
        </w:rPr>
        <w:t xml:space="preserve"> </w:t>
      </w:r>
      <w:r>
        <w:t>in</w:t>
      </w:r>
      <w:r>
        <w:rPr>
          <w:spacing w:val="-3"/>
        </w:rPr>
        <w:t xml:space="preserve"> </w:t>
      </w:r>
      <w:r>
        <w:t xml:space="preserve">terms of narrower form of norm-drivenness that we’ve seen to be constitutive of </w:t>
      </w:r>
      <w:r>
        <w:rPr>
          <w:spacing w:val="-2"/>
        </w:rPr>
        <w:t>subjecthood.</w:t>
      </w:r>
    </w:p>
    <w:p w14:paraId="7E002554" w14:textId="77777777" w:rsidR="009A58DB" w:rsidRDefault="00000000">
      <w:pPr>
        <w:pStyle w:val="BodyText"/>
        <w:spacing w:before="5" w:line="249" w:lineRule="auto"/>
        <w:ind w:right="358" w:firstLine="360"/>
      </w:pPr>
      <w:r>
        <w:t>One last point: Isn’t my aversion to eating cow brains purely an emotional or instinctual reacting to my unpleasant dining experience? Yes—but only because instinctual and emotional reactions are norm-driven. The difference between a “cool, logical reaction” and “a subjective, emotion-driven</w:t>
      </w:r>
      <w:r>
        <w:rPr>
          <w:spacing w:val="40"/>
        </w:rPr>
        <w:t xml:space="preserve"> </w:t>
      </w:r>
      <w:r>
        <w:t>reaction”</w:t>
      </w:r>
      <w:r>
        <w:rPr>
          <w:spacing w:val="-3"/>
        </w:rPr>
        <w:t xml:space="preserve"> </w:t>
      </w:r>
      <w:r>
        <w:t>isn’t</w:t>
      </w:r>
      <w:r>
        <w:rPr>
          <w:spacing w:val="-3"/>
        </w:rPr>
        <w:t xml:space="preserve"> </w:t>
      </w:r>
      <w:r>
        <w:t>that</w:t>
      </w:r>
      <w:r>
        <w:rPr>
          <w:spacing w:val="-3"/>
        </w:rPr>
        <w:t xml:space="preserve"> </w:t>
      </w:r>
      <w:r>
        <w:t>the</w:t>
      </w:r>
      <w:r>
        <w:rPr>
          <w:spacing w:val="-3"/>
        </w:rPr>
        <w:t xml:space="preserve"> </w:t>
      </w:r>
      <w:r>
        <w:t>latter</w:t>
      </w:r>
      <w:r>
        <w:rPr>
          <w:spacing w:val="-3"/>
        </w:rPr>
        <w:t xml:space="preserve"> </w:t>
      </w:r>
      <w:r>
        <w:t>isn’t</w:t>
      </w:r>
      <w:r>
        <w:rPr>
          <w:spacing w:val="-3"/>
        </w:rPr>
        <w:t xml:space="preserve"> </w:t>
      </w:r>
      <w:r>
        <w:t>norm-driven,</w:t>
      </w:r>
      <w:r>
        <w:rPr>
          <w:spacing w:val="-2"/>
        </w:rPr>
        <w:t xml:space="preserve"> </w:t>
      </w:r>
      <w:r>
        <w:t>whereas</w:t>
      </w:r>
      <w:r>
        <w:rPr>
          <w:spacing w:val="-3"/>
        </w:rPr>
        <w:t xml:space="preserve"> </w:t>
      </w:r>
      <w:r>
        <w:t>the</w:t>
      </w:r>
      <w:r>
        <w:rPr>
          <w:spacing w:val="-3"/>
        </w:rPr>
        <w:t xml:space="preserve"> </w:t>
      </w:r>
      <w:r>
        <w:t>former</w:t>
      </w:r>
      <w:r>
        <w:rPr>
          <w:spacing w:val="-3"/>
        </w:rPr>
        <w:t xml:space="preserve"> </w:t>
      </w:r>
      <w:r>
        <w:t>is;</w:t>
      </w:r>
      <w:r>
        <w:rPr>
          <w:spacing w:val="-3"/>
        </w:rPr>
        <w:t xml:space="preserve"> </w:t>
      </w:r>
      <w:r>
        <w:t>it’s</w:t>
      </w:r>
      <w:r>
        <w:rPr>
          <w:spacing w:val="-3"/>
        </w:rPr>
        <w:t xml:space="preserve"> </w:t>
      </w:r>
      <w:r>
        <w:t xml:space="preserve">that the latter is driven by a norm that, were one not blinded by passion, one would question. If, driven by fear and hate, Smith decides that Larry must be dangerous, the reason being that Larry has the same hair color as Larry’s evil brother-in-law, Larry’s emotion-driven reaction is norm-driven. The problem is that the norm isn’t a good one. A reaction that isn’t driven by </w:t>
      </w:r>
      <w:r>
        <w:rPr>
          <w:i/>
        </w:rPr>
        <w:t xml:space="preserve">any </w:t>
      </w:r>
      <w:r>
        <w:t xml:space="preserve">norm isn’t prejudiced, the reason being that prejudice </w:t>
      </w:r>
      <w:r>
        <w:rPr>
          <w:i/>
        </w:rPr>
        <w:t xml:space="preserve">is </w:t>
      </w:r>
      <w:r>
        <w:t xml:space="preserve">acceptance of illegitimate norms. If a reaction is emotional and otherwise ‘irrational’, it is for that very reason, norm-driven. (I put “irrational” in scare-quotes since I don’t believe that emotional reactions are necessarily irrational ones. They </w:t>
      </w:r>
      <w:r>
        <w:rPr>
          <w:i/>
        </w:rPr>
        <w:t xml:space="preserve">can </w:t>
      </w:r>
      <w:r>
        <w:t>be irrational,</w:t>
      </w:r>
      <w:r>
        <w:rPr>
          <w:spacing w:val="40"/>
        </w:rPr>
        <w:t xml:space="preserve"> </w:t>
      </w:r>
      <w:r>
        <w:t>of</w:t>
      </w:r>
      <w:r>
        <w:rPr>
          <w:spacing w:val="40"/>
        </w:rPr>
        <w:t xml:space="preserve"> </w:t>
      </w:r>
      <w:r>
        <w:t>course</w:t>
      </w:r>
      <w:bookmarkStart w:id="510" w:name="_bookmark510"/>
      <w:bookmarkEnd w:id="510"/>
      <w:r>
        <w:t>.</w:t>
      </w:r>
      <w:r>
        <w:rPr>
          <w:color w:val="0562C1"/>
          <w:position w:val="21"/>
          <w:u w:val="single" w:color="0562C1"/>
        </w:rPr>
        <w:t>[380]</w:t>
      </w:r>
      <w:r>
        <w:rPr>
          <w:color w:val="0562C1"/>
          <w:spacing w:val="40"/>
          <w:position w:val="21"/>
        </w:rPr>
        <w:t xml:space="preserve"> </w:t>
      </w:r>
      <w:r>
        <w:t>But</w:t>
      </w:r>
      <w:r>
        <w:rPr>
          <w:spacing w:val="40"/>
        </w:rPr>
        <w:t xml:space="preserve"> </w:t>
      </w:r>
      <w:r>
        <w:t>emotions</w:t>
      </w:r>
      <w:r>
        <w:rPr>
          <w:spacing w:val="40"/>
        </w:rPr>
        <w:t xml:space="preserve"> </w:t>
      </w:r>
      <w:r>
        <w:t>can</w:t>
      </w:r>
      <w:r>
        <w:rPr>
          <w:spacing w:val="40"/>
        </w:rPr>
        <w:t xml:space="preserve"> </w:t>
      </w:r>
      <w:r>
        <w:t>give</w:t>
      </w:r>
      <w:r>
        <w:rPr>
          <w:spacing w:val="40"/>
        </w:rPr>
        <w:t xml:space="preserve"> </w:t>
      </w:r>
      <w:r>
        <w:t>one</w:t>
      </w:r>
      <w:r>
        <w:rPr>
          <w:spacing w:val="40"/>
        </w:rPr>
        <w:t xml:space="preserve"> </w:t>
      </w:r>
      <w:r>
        <w:t>conscious</w:t>
      </w:r>
      <w:r>
        <w:rPr>
          <w:spacing w:val="40"/>
        </w:rPr>
        <w:t xml:space="preserve"> </w:t>
      </w:r>
      <w:r>
        <w:t>access</w:t>
      </w:r>
      <w:r>
        <w:rPr>
          <w:spacing w:val="40"/>
        </w:rPr>
        <w:t xml:space="preserve"> </w:t>
      </w:r>
      <w:r>
        <w:t>to</w:t>
      </w:r>
    </w:p>
    <w:p w14:paraId="7E00255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56" w14:textId="77777777" w:rsidR="009A58DB" w:rsidRDefault="00000000">
      <w:pPr>
        <w:pStyle w:val="BodyText"/>
        <w:spacing w:before="65" w:line="249" w:lineRule="auto"/>
        <w:ind w:right="372"/>
      </w:pPr>
      <w:r>
        <w:lastRenderedPageBreak/>
        <w:t>insights that would otherwise be submerged in one’s unconscious. See Chapter 20.)</w:t>
      </w:r>
    </w:p>
    <w:p w14:paraId="7E002557" w14:textId="77777777" w:rsidR="009A58DB" w:rsidRDefault="00000000">
      <w:pPr>
        <w:pStyle w:val="Heading1"/>
        <w:numPr>
          <w:ilvl w:val="1"/>
          <w:numId w:val="56"/>
        </w:numPr>
        <w:tabs>
          <w:tab w:val="left" w:pos="1080"/>
          <w:tab w:val="left" w:pos="1443"/>
        </w:tabs>
        <w:spacing w:before="190" w:line="244" w:lineRule="auto"/>
        <w:ind w:left="1080" w:right="360" w:hanging="720"/>
        <w:jc w:val="both"/>
      </w:pPr>
      <w:r>
        <w:tab/>
        <w:t>Why an excessively narrow conception of self-consciousness obscures the nature of subjecthood and morality</w:t>
      </w:r>
    </w:p>
    <w:p w14:paraId="7E002558" w14:textId="77777777" w:rsidR="009A58DB" w:rsidRDefault="00000000">
      <w:pPr>
        <w:pStyle w:val="BodyText"/>
        <w:spacing w:before="134" w:line="249" w:lineRule="auto"/>
        <w:ind w:right="358"/>
      </w:pPr>
      <w:r>
        <w:t>Animals are obviously capable of self-consciousness of the kind just described</w:t>
      </w:r>
      <w:bookmarkStart w:id="511" w:name="_bookmark511"/>
      <w:bookmarkEnd w:id="511"/>
      <w:r>
        <w:t>.</w:t>
      </w:r>
      <w:r>
        <w:rPr>
          <w:color w:val="0562C1"/>
          <w:position w:val="21"/>
          <w:u w:val="single" w:color="0562C1"/>
        </w:rPr>
        <w:t>[381]</w:t>
      </w:r>
      <w:r>
        <w:rPr>
          <w:color w:val="0562C1"/>
          <w:position w:val="21"/>
        </w:rPr>
        <w:t xml:space="preserve"> </w:t>
      </w:r>
      <w:r>
        <w:t xml:space="preserve">Animals don’t simply </w:t>
      </w:r>
      <w:r>
        <w:rPr>
          <w:i/>
        </w:rPr>
        <w:t xml:space="preserve">react </w:t>
      </w:r>
      <w:r>
        <w:t>to their experiences; their reactions are hewed to the contents of those experiences and embody the same sort of sensitivity to the demands of normativity embodied in our reactions to our experiences. Of course, we are in some respects more intelligent than animals. We’re obviously better at thinking abstractly than they are. But an animal’s experience has the relevant sort of cumulativeness and,</w:t>
      </w:r>
      <w:r>
        <w:rPr>
          <w:spacing w:val="-3"/>
        </w:rPr>
        <w:t xml:space="preserve"> </w:t>
      </w:r>
      <w:r>
        <w:t>therefore,</w:t>
      </w:r>
      <w:r>
        <w:rPr>
          <w:spacing w:val="-3"/>
        </w:rPr>
        <w:t xml:space="preserve"> </w:t>
      </w:r>
      <w:r>
        <w:t>embodies</w:t>
      </w:r>
      <w:r>
        <w:rPr>
          <w:spacing w:val="-4"/>
        </w:rPr>
        <w:t xml:space="preserve"> </w:t>
      </w:r>
      <w:r>
        <w:t>the</w:t>
      </w:r>
      <w:r>
        <w:rPr>
          <w:spacing w:val="-4"/>
        </w:rPr>
        <w:t xml:space="preserve"> </w:t>
      </w:r>
      <w:r>
        <w:t>relevant</w:t>
      </w:r>
      <w:r>
        <w:rPr>
          <w:spacing w:val="-4"/>
        </w:rPr>
        <w:t xml:space="preserve"> </w:t>
      </w:r>
      <w:r>
        <w:t>sort</w:t>
      </w:r>
      <w:r>
        <w:rPr>
          <w:spacing w:val="-4"/>
        </w:rPr>
        <w:t xml:space="preserve"> </w:t>
      </w:r>
      <w:r>
        <w:t>of</w:t>
      </w:r>
      <w:r>
        <w:rPr>
          <w:spacing w:val="-4"/>
        </w:rPr>
        <w:t xml:space="preserve"> </w:t>
      </w:r>
      <w:r>
        <w:t>self-consciousness,</w:t>
      </w:r>
      <w:r>
        <w:rPr>
          <w:spacing w:val="-3"/>
        </w:rPr>
        <w:t xml:space="preserve"> </w:t>
      </w:r>
      <w:r>
        <w:t>which</w:t>
      </w:r>
      <w:r>
        <w:rPr>
          <w:spacing w:val="-3"/>
        </w:rPr>
        <w:t xml:space="preserve"> </w:t>
      </w:r>
      <w:r>
        <w:t>is</w:t>
      </w:r>
      <w:r>
        <w:rPr>
          <w:spacing w:val="-4"/>
        </w:rPr>
        <w:t xml:space="preserve"> </w:t>
      </w:r>
      <w:r>
        <w:t>why animals clearly are subjects.</w:t>
      </w:r>
    </w:p>
    <w:p w14:paraId="7E002559" w14:textId="77777777" w:rsidR="009A58DB" w:rsidRDefault="00000000">
      <w:pPr>
        <w:pStyle w:val="BodyText"/>
        <w:spacing w:before="11" w:line="249" w:lineRule="auto"/>
        <w:ind w:right="363" w:firstLine="360"/>
      </w:pPr>
      <w:r>
        <w:t>Most</w:t>
      </w:r>
      <w:r>
        <w:rPr>
          <w:spacing w:val="-4"/>
        </w:rPr>
        <w:t xml:space="preserve"> </w:t>
      </w:r>
      <w:r>
        <w:t>non-human</w:t>
      </w:r>
      <w:r>
        <w:rPr>
          <w:spacing w:val="-3"/>
        </w:rPr>
        <w:t xml:space="preserve"> </w:t>
      </w:r>
      <w:r>
        <w:t>animals,</w:t>
      </w:r>
      <w:r>
        <w:rPr>
          <w:spacing w:val="-3"/>
        </w:rPr>
        <w:t xml:space="preserve"> </w:t>
      </w:r>
      <w:r>
        <w:t>maybe</w:t>
      </w:r>
      <w:r>
        <w:rPr>
          <w:spacing w:val="-4"/>
        </w:rPr>
        <w:t xml:space="preserve"> </w:t>
      </w:r>
      <w:r>
        <w:t>all</w:t>
      </w:r>
      <w:r>
        <w:rPr>
          <w:spacing w:val="-4"/>
        </w:rPr>
        <w:t xml:space="preserve"> </w:t>
      </w:r>
      <w:r>
        <w:t>of</w:t>
      </w:r>
      <w:r>
        <w:rPr>
          <w:spacing w:val="-4"/>
        </w:rPr>
        <w:t xml:space="preserve"> </w:t>
      </w:r>
      <w:r>
        <w:t>them,</w:t>
      </w:r>
      <w:r>
        <w:rPr>
          <w:spacing w:val="-3"/>
        </w:rPr>
        <w:t xml:space="preserve"> </w:t>
      </w:r>
      <w:r>
        <w:t>clearly</w:t>
      </w:r>
      <w:r>
        <w:rPr>
          <w:spacing w:val="-3"/>
        </w:rPr>
        <w:t xml:space="preserve"> </w:t>
      </w:r>
      <w:r>
        <w:t>lack</w:t>
      </w:r>
      <w:r>
        <w:rPr>
          <w:spacing w:val="-3"/>
        </w:rPr>
        <w:t xml:space="preserve"> </w:t>
      </w:r>
      <w:r>
        <w:t>a</w:t>
      </w:r>
      <w:r>
        <w:rPr>
          <w:spacing w:val="-4"/>
        </w:rPr>
        <w:t xml:space="preserve"> </w:t>
      </w:r>
      <w:r>
        <w:rPr>
          <w:i/>
        </w:rPr>
        <w:t>certain</w:t>
      </w:r>
      <w:r>
        <w:rPr>
          <w:i/>
          <w:spacing w:val="-3"/>
        </w:rPr>
        <w:t xml:space="preserve"> </w:t>
      </w:r>
      <w:r>
        <w:t>kind</w:t>
      </w:r>
      <w:r>
        <w:rPr>
          <w:spacing w:val="-3"/>
        </w:rPr>
        <w:t xml:space="preserve"> </w:t>
      </w:r>
      <w:r>
        <w:t xml:space="preserve">of self-consciousness that we have. But they don’t lack the kind needed for subjecthood. But X </w:t>
      </w:r>
      <w:r>
        <w:rPr>
          <w:i/>
        </w:rPr>
        <w:t xml:space="preserve">does </w:t>
      </w:r>
      <w:r>
        <w:t xml:space="preserve">lack just that. And that’s why X isn’t really a subject. There’s a body, and there are mental states. But there’s no subject that occupies that body that “has” those mental states. </w:t>
      </w:r>
      <w:r>
        <w:rPr>
          <w:i/>
        </w:rPr>
        <w:t xml:space="preserve">Nothing </w:t>
      </w:r>
      <w:r>
        <w:t xml:space="preserve">has them. They happen </w:t>
      </w:r>
      <w:r>
        <w:rPr>
          <w:i/>
        </w:rPr>
        <w:t xml:space="preserve">in </w:t>
      </w:r>
      <w:r>
        <w:t xml:space="preserve">a body, but they don’t happen </w:t>
      </w:r>
      <w:r>
        <w:rPr>
          <w:i/>
        </w:rPr>
        <w:t xml:space="preserve">to, </w:t>
      </w:r>
      <w:r>
        <w:t xml:space="preserve">or belong </w:t>
      </w:r>
      <w:r>
        <w:rPr>
          <w:i/>
        </w:rPr>
        <w:t xml:space="preserve">to, </w:t>
      </w:r>
      <w:r>
        <w:t>anything. They just happen.</w:t>
      </w:r>
    </w:p>
    <w:p w14:paraId="7E00255A" w14:textId="77777777" w:rsidR="009A58DB" w:rsidRDefault="00000000">
      <w:pPr>
        <w:pStyle w:val="BodyText"/>
        <w:spacing w:before="9" w:line="249" w:lineRule="auto"/>
        <w:ind w:right="358" w:firstLine="360"/>
      </w:pPr>
      <w:r>
        <w:t>X</w:t>
      </w:r>
      <w:r>
        <w:rPr>
          <w:spacing w:val="-4"/>
        </w:rPr>
        <w:t xml:space="preserve"> </w:t>
      </w:r>
      <w:r>
        <w:t>isn’t</w:t>
      </w:r>
      <w:r>
        <w:rPr>
          <w:spacing w:val="-4"/>
        </w:rPr>
        <w:t xml:space="preserve"> </w:t>
      </w:r>
      <w:r>
        <w:t>a</w:t>
      </w:r>
      <w:r>
        <w:rPr>
          <w:spacing w:val="-4"/>
        </w:rPr>
        <w:t xml:space="preserve"> </w:t>
      </w:r>
      <w:r>
        <w:t>subject.</w:t>
      </w:r>
      <w:r>
        <w:rPr>
          <w:spacing w:val="-3"/>
        </w:rPr>
        <w:t xml:space="preserve"> </w:t>
      </w:r>
      <w:r>
        <w:t>You</w:t>
      </w:r>
      <w:r>
        <w:rPr>
          <w:spacing w:val="-3"/>
        </w:rPr>
        <w:t xml:space="preserve"> </w:t>
      </w:r>
      <w:r>
        <w:t>are.</w:t>
      </w:r>
      <w:r>
        <w:rPr>
          <w:spacing w:val="-3"/>
        </w:rPr>
        <w:t xml:space="preserve"> </w:t>
      </w:r>
      <w:r>
        <w:t>What’s</w:t>
      </w:r>
      <w:r>
        <w:rPr>
          <w:spacing w:val="-4"/>
        </w:rPr>
        <w:t xml:space="preserve"> </w:t>
      </w:r>
      <w:r>
        <w:t>the</w:t>
      </w:r>
      <w:r>
        <w:rPr>
          <w:spacing w:val="-4"/>
        </w:rPr>
        <w:t xml:space="preserve"> </w:t>
      </w:r>
      <w:r>
        <w:t>difference?</w:t>
      </w:r>
      <w:r>
        <w:rPr>
          <w:spacing w:val="-4"/>
        </w:rPr>
        <w:t xml:space="preserve"> </w:t>
      </w:r>
      <w:r>
        <w:t>X’s</w:t>
      </w:r>
      <w:r>
        <w:rPr>
          <w:spacing w:val="-4"/>
        </w:rPr>
        <w:t xml:space="preserve"> </w:t>
      </w:r>
      <w:r>
        <w:t>mental</w:t>
      </w:r>
      <w:r>
        <w:rPr>
          <w:spacing w:val="-4"/>
        </w:rPr>
        <w:t xml:space="preserve"> </w:t>
      </w:r>
      <w:r>
        <w:t>states</w:t>
      </w:r>
      <w:r>
        <w:rPr>
          <w:spacing w:val="-4"/>
        </w:rPr>
        <w:t xml:space="preserve"> </w:t>
      </w:r>
      <w:r>
        <w:t>merely succeed one another. There are, or may be, causal relations between them; X’s</w:t>
      </w:r>
      <w:r>
        <w:rPr>
          <w:spacing w:val="15"/>
        </w:rPr>
        <w:t xml:space="preserve"> </w:t>
      </w:r>
      <w:r>
        <w:t>having</w:t>
      </w:r>
      <w:r>
        <w:rPr>
          <w:spacing w:val="16"/>
        </w:rPr>
        <w:t xml:space="preserve"> </w:t>
      </w:r>
      <w:r>
        <w:t>a</w:t>
      </w:r>
      <w:r>
        <w:rPr>
          <w:spacing w:val="16"/>
        </w:rPr>
        <w:t xml:space="preserve"> </w:t>
      </w:r>
      <w:r>
        <w:t>certain</w:t>
      </w:r>
      <w:r>
        <w:rPr>
          <w:spacing w:val="16"/>
        </w:rPr>
        <w:t xml:space="preserve"> </w:t>
      </w:r>
      <w:r>
        <w:t>feeling</w:t>
      </w:r>
      <w:r>
        <w:rPr>
          <w:spacing w:val="16"/>
        </w:rPr>
        <w:t xml:space="preserve"> </w:t>
      </w:r>
      <w:r>
        <w:t>at</w:t>
      </w:r>
      <w:r>
        <w:rPr>
          <w:spacing w:val="16"/>
        </w:rPr>
        <w:t xml:space="preserve"> </w:t>
      </w:r>
      <w:r>
        <w:t>t</w:t>
      </w:r>
      <w:r>
        <w:rPr>
          <w:vertAlign w:val="subscript"/>
        </w:rPr>
        <w:t>1</w:t>
      </w:r>
      <w:r>
        <w:rPr>
          <w:spacing w:val="18"/>
        </w:rPr>
        <w:t xml:space="preserve"> </w:t>
      </w:r>
      <w:r>
        <w:t>may</w:t>
      </w:r>
      <w:r>
        <w:rPr>
          <w:spacing w:val="18"/>
        </w:rPr>
        <w:t xml:space="preserve"> </w:t>
      </w:r>
      <w:r>
        <w:t>cause</w:t>
      </w:r>
      <w:r>
        <w:rPr>
          <w:spacing w:val="18"/>
        </w:rPr>
        <w:t xml:space="preserve"> </w:t>
      </w:r>
      <w:r>
        <w:t>it</w:t>
      </w:r>
      <w:r>
        <w:rPr>
          <w:spacing w:val="18"/>
        </w:rPr>
        <w:t xml:space="preserve"> </w:t>
      </w:r>
      <w:r>
        <w:t>to</w:t>
      </w:r>
      <w:r>
        <w:rPr>
          <w:spacing w:val="18"/>
        </w:rPr>
        <w:t xml:space="preserve"> </w:t>
      </w:r>
      <w:r>
        <w:t>have</w:t>
      </w:r>
      <w:r>
        <w:rPr>
          <w:spacing w:val="18"/>
        </w:rPr>
        <w:t xml:space="preserve"> </w:t>
      </w:r>
      <w:r>
        <w:t>a</w:t>
      </w:r>
      <w:r>
        <w:rPr>
          <w:spacing w:val="18"/>
        </w:rPr>
        <w:t xml:space="preserve"> </w:t>
      </w:r>
      <w:r>
        <w:t>certain</w:t>
      </w:r>
      <w:r>
        <w:rPr>
          <w:spacing w:val="18"/>
        </w:rPr>
        <w:t xml:space="preserve"> </w:t>
      </w:r>
      <w:r>
        <w:t>feeling</w:t>
      </w:r>
      <w:r>
        <w:rPr>
          <w:spacing w:val="18"/>
        </w:rPr>
        <w:t xml:space="preserve"> </w:t>
      </w:r>
      <w:r>
        <w:t>at</w:t>
      </w:r>
      <w:r>
        <w:rPr>
          <w:spacing w:val="17"/>
        </w:rPr>
        <w:t xml:space="preserve"> </w:t>
      </w:r>
      <w:r>
        <w:rPr>
          <w:spacing w:val="-5"/>
        </w:rPr>
        <w:t>t</w:t>
      </w:r>
      <w:r>
        <w:rPr>
          <w:spacing w:val="-5"/>
          <w:vertAlign w:val="subscript"/>
        </w:rPr>
        <w:t>2</w:t>
      </w:r>
      <w:r>
        <w:rPr>
          <w:spacing w:val="-5"/>
        </w:rPr>
        <w:t>.</w:t>
      </w:r>
    </w:p>
    <w:p w14:paraId="7E00255B" w14:textId="77777777" w:rsidR="009A58DB" w:rsidRDefault="00000000">
      <w:pPr>
        <w:pStyle w:val="BodyText"/>
        <w:spacing w:before="64" w:line="249" w:lineRule="auto"/>
        <w:ind w:right="359"/>
      </w:pPr>
      <w:r>
        <w:t>But these causal relations aren’t normative in nature; given a particular mental state M had by X, the nature of the mental states following it isn’t a function</w:t>
      </w:r>
      <w:r>
        <w:rPr>
          <w:spacing w:val="-2"/>
        </w:rPr>
        <w:t xml:space="preserve"> </w:t>
      </w:r>
      <w:r>
        <w:t>of</w:t>
      </w:r>
      <w:r>
        <w:rPr>
          <w:spacing w:val="-3"/>
        </w:rPr>
        <w:t xml:space="preserve"> </w:t>
      </w:r>
      <w:r>
        <w:t>M’s</w:t>
      </w:r>
      <w:r>
        <w:rPr>
          <w:spacing w:val="-3"/>
        </w:rPr>
        <w:t xml:space="preserve"> </w:t>
      </w:r>
      <w:r>
        <w:rPr>
          <w:i/>
        </w:rPr>
        <w:t>content.</w:t>
      </w:r>
      <w:r>
        <w:rPr>
          <w:i/>
          <w:spacing w:val="-2"/>
        </w:rPr>
        <w:t xml:space="preserve"> </w:t>
      </w:r>
      <w:r>
        <w:t>Suppose that</w:t>
      </w:r>
      <w:r>
        <w:rPr>
          <w:spacing w:val="-1"/>
        </w:rPr>
        <w:t xml:space="preserve"> </w:t>
      </w:r>
      <w:r>
        <w:t>X is in mental</w:t>
      </w:r>
      <w:r>
        <w:rPr>
          <w:spacing w:val="-1"/>
        </w:rPr>
        <w:t xml:space="preserve"> </w:t>
      </w:r>
      <w:r>
        <w:t>states M</w:t>
      </w:r>
      <w:r>
        <w:rPr>
          <w:vertAlign w:val="subscript"/>
        </w:rPr>
        <w:t>1</w:t>
      </w:r>
      <w:r>
        <w:t>...M</w:t>
      </w:r>
      <w:r>
        <w:rPr>
          <w:position w:val="-7"/>
          <w:sz w:val="22"/>
        </w:rPr>
        <w:t>n</w:t>
      </w:r>
      <w:r>
        <w:rPr>
          <w:spacing w:val="25"/>
          <w:position w:val="-7"/>
          <w:sz w:val="22"/>
        </w:rPr>
        <w:t xml:space="preserve"> </w:t>
      </w:r>
      <w:r>
        <w:t>and times t</w:t>
      </w:r>
      <w:r>
        <w:rPr>
          <w:position w:val="-7"/>
          <w:sz w:val="22"/>
        </w:rPr>
        <w:t>1</w:t>
      </w:r>
      <w:r>
        <w:t>...t</w:t>
      </w:r>
      <w:r>
        <w:rPr>
          <w:position w:val="-7"/>
          <w:sz w:val="22"/>
        </w:rPr>
        <w:t>n</w:t>
      </w:r>
      <w:r>
        <w:t>, respectively. M</w:t>
      </w:r>
      <w:r>
        <w:rPr>
          <w:position w:val="-7"/>
          <w:sz w:val="22"/>
        </w:rPr>
        <w:t xml:space="preserve">1 </w:t>
      </w:r>
      <w:r>
        <w:t xml:space="preserve">may </w:t>
      </w:r>
      <w:r>
        <w:rPr>
          <w:i/>
        </w:rPr>
        <w:t xml:space="preserve">cause </w:t>
      </w:r>
      <w:r>
        <w:t>M</w:t>
      </w:r>
      <w:r>
        <w:rPr>
          <w:position w:val="-7"/>
          <w:sz w:val="22"/>
        </w:rPr>
        <w:t xml:space="preserve">2 </w:t>
      </w:r>
      <w:r>
        <w:t>to occur, and M</w:t>
      </w:r>
      <w:r>
        <w:rPr>
          <w:position w:val="-7"/>
          <w:sz w:val="22"/>
        </w:rPr>
        <w:t xml:space="preserve">2 </w:t>
      </w:r>
      <w:r>
        <w:t xml:space="preserve">may </w:t>
      </w:r>
      <w:r>
        <w:rPr>
          <w:i/>
        </w:rPr>
        <w:t xml:space="preserve">cause </w:t>
      </w:r>
      <w:r>
        <w:t>M</w:t>
      </w:r>
      <w:r>
        <w:rPr>
          <w:position w:val="-7"/>
          <w:sz w:val="22"/>
        </w:rPr>
        <w:t>3</w:t>
      </w:r>
      <w:r>
        <w:rPr>
          <w:spacing w:val="40"/>
          <w:position w:val="-7"/>
          <w:sz w:val="22"/>
        </w:rPr>
        <w:t xml:space="preserve"> </w:t>
      </w:r>
      <w:r>
        <w:t>to occur, and so on. But that isn’t enough for these states to be constitutive of some</w:t>
      </w:r>
      <w:r>
        <w:rPr>
          <w:spacing w:val="57"/>
        </w:rPr>
        <w:t xml:space="preserve"> </w:t>
      </w:r>
      <w:r>
        <w:t>one</w:t>
      </w:r>
      <w:r>
        <w:rPr>
          <w:spacing w:val="58"/>
        </w:rPr>
        <w:t xml:space="preserve"> </w:t>
      </w:r>
      <w:r>
        <w:t>subject.</w:t>
      </w:r>
      <w:r>
        <w:rPr>
          <w:spacing w:val="59"/>
        </w:rPr>
        <w:t xml:space="preserve"> </w:t>
      </w:r>
      <w:r>
        <w:t>Unless</w:t>
      </w:r>
      <w:r>
        <w:rPr>
          <w:spacing w:val="58"/>
        </w:rPr>
        <w:t xml:space="preserve"> </w:t>
      </w:r>
      <w:r>
        <w:t>some</w:t>
      </w:r>
      <w:r>
        <w:rPr>
          <w:spacing w:val="58"/>
        </w:rPr>
        <w:t xml:space="preserve"> </w:t>
      </w:r>
      <w:r>
        <w:t>awareness</w:t>
      </w:r>
      <w:r>
        <w:rPr>
          <w:spacing w:val="58"/>
        </w:rPr>
        <w:t xml:space="preserve"> </w:t>
      </w:r>
      <w:r>
        <w:t>of</w:t>
      </w:r>
      <w:r>
        <w:rPr>
          <w:spacing w:val="58"/>
        </w:rPr>
        <w:t xml:space="preserve"> </w:t>
      </w:r>
      <w:r>
        <w:t>what,</w:t>
      </w:r>
      <w:r>
        <w:rPr>
          <w:spacing w:val="59"/>
        </w:rPr>
        <w:t xml:space="preserve"> </w:t>
      </w:r>
      <w:r>
        <w:t>givenM</w:t>
      </w:r>
      <w:r>
        <w:rPr>
          <w:vertAlign w:val="subscript"/>
        </w:rPr>
        <w:t>1</w:t>
      </w:r>
      <w:r>
        <w:t>’s</w:t>
      </w:r>
      <w:r>
        <w:rPr>
          <w:spacing w:val="58"/>
        </w:rPr>
        <w:t xml:space="preserve"> </w:t>
      </w:r>
      <w:r>
        <w:rPr>
          <w:i/>
        </w:rPr>
        <w:t>content,</w:t>
      </w:r>
      <w:r>
        <w:rPr>
          <w:i/>
          <w:spacing w:val="57"/>
        </w:rPr>
        <w:t xml:space="preserve"> </w:t>
      </w:r>
      <w:r>
        <w:rPr>
          <w:spacing w:val="-5"/>
        </w:rPr>
        <w:t>is</w:t>
      </w:r>
    </w:p>
    <w:p w14:paraId="7E00255C" w14:textId="77777777" w:rsidR="009A58DB" w:rsidRDefault="00000000">
      <w:pPr>
        <w:pStyle w:val="BodyText"/>
        <w:spacing w:before="62" w:line="292" w:lineRule="auto"/>
        <w:ind w:right="368"/>
      </w:pPr>
      <w:r>
        <w:rPr>
          <w:i/>
        </w:rPr>
        <w:t xml:space="preserve">appropriate </w:t>
      </w:r>
      <w:r>
        <w:t>is involved in M</w:t>
      </w:r>
      <w:r>
        <w:rPr>
          <w:vertAlign w:val="subscript"/>
        </w:rPr>
        <w:t>1</w:t>
      </w:r>
      <w:r>
        <w:t>’s bringing M</w:t>
      </w:r>
      <w:r>
        <w:rPr>
          <w:vertAlign w:val="subscript"/>
        </w:rPr>
        <w:t>2</w:t>
      </w:r>
      <w:r>
        <w:t xml:space="preserve"> into existence, the sequence consisting</w:t>
      </w:r>
      <w:r>
        <w:rPr>
          <w:spacing w:val="-3"/>
        </w:rPr>
        <w:t xml:space="preserve"> </w:t>
      </w:r>
      <w:r>
        <w:t>of those two events</w:t>
      </w:r>
      <w:r>
        <w:rPr>
          <w:spacing w:val="-1"/>
        </w:rPr>
        <w:t xml:space="preserve"> </w:t>
      </w:r>
      <w:r>
        <w:t xml:space="preserve">is </w:t>
      </w:r>
      <w:r>
        <w:rPr>
          <w:i/>
        </w:rPr>
        <w:t>just</w:t>
      </w:r>
      <w:r>
        <w:rPr>
          <w:i/>
          <w:spacing w:val="-3"/>
        </w:rPr>
        <w:t xml:space="preserve"> </w:t>
      </w:r>
      <w:r>
        <w:t>a</w:t>
      </w:r>
      <w:r>
        <w:rPr>
          <w:spacing w:val="2"/>
        </w:rPr>
        <w:t xml:space="preserve"> </w:t>
      </w:r>
      <w:r>
        <w:t>sequence;</w:t>
      </w:r>
      <w:r>
        <w:rPr>
          <w:spacing w:val="2"/>
        </w:rPr>
        <w:t xml:space="preserve"> </w:t>
      </w:r>
      <w:r>
        <w:t>those</w:t>
      </w:r>
      <w:r>
        <w:rPr>
          <w:spacing w:val="2"/>
        </w:rPr>
        <w:t xml:space="preserve"> </w:t>
      </w:r>
      <w:r>
        <w:t>two</w:t>
      </w:r>
      <w:r>
        <w:rPr>
          <w:spacing w:val="2"/>
        </w:rPr>
        <w:t xml:space="preserve"> </w:t>
      </w:r>
      <w:r>
        <w:t>events</w:t>
      </w:r>
      <w:r>
        <w:rPr>
          <w:spacing w:val="2"/>
        </w:rPr>
        <w:t xml:space="preserve"> </w:t>
      </w:r>
      <w:r>
        <w:t>don’t</w:t>
      </w:r>
      <w:r>
        <w:rPr>
          <w:spacing w:val="3"/>
        </w:rPr>
        <w:t xml:space="preserve"> </w:t>
      </w:r>
      <w:r>
        <w:rPr>
          <w:spacing w:val="-4"/>
        </w:rPr>
        <w:t>form</w:t>
      </w:r>
    </w:p>
    <w:p w14:paraId="7E00255D"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55E" w14:textId="77777777" w:rsidR="009A58DB" w:rsidRDefault="00000000">
      <w:pPr>
        <w:pStyle w:val="BodyText"/>
        <w:spacing w:before="60" w:line="249" w:lineRule="auto"/>
        <w:ind w:right="358"/>
      </w:pPr>
      <w:r>
        <w:lastRenderedPageBreak/>
        <w:t xml:space="preserve">some one mind. They’re just two distinct mental states that are associated with some body. For a multiplicity of mental states associated with some one body to constitute a single mind, it is necessary that an awareness of what is </w:t>
      </w:r>
      <w:r>
        <w:rPr>
          <w:i/>
        </w:rPr>
        <w:t xml:space="preserve">appropriate </w:t>
      </w:r>
      <w:r>
        <w:t xml:space="preserve">given the </w:t>
      </w:r>
      <w:r>
        <w:rPr>
          <w:i/>
        </w:rPr>
        <w:t xml:space="preserve">contents </w:t>
      </w:r>
      <w:r>
        <w:t xml:space="preserve">of existing mental states—of, in other words, what is </w:t>
      </w:r>
      <w:r>
        <w:rPr>
          <w:i/>
        </w:rPr>
        <w:t xml:space="preserve">demanded </w:t>
      </w:r>
      <w:r>
        <w:t xml:space="preserve">by the contents of those states—be what drives the sequence of events associated with this body. Thus, it is necessary not only that those states be causally, but also </w:t>
      </w:r>
      <w:r>
        <w:rPr>
          <w:i/>
        </w:rPr>
        <w:t xml:space="preserve">normatively, </w:t>
      </w:r>
      <w:r>
        <w:t xml:space="preserve">cohesive. Their mutual causal relations must embody a sensitivity to norms and, therefore, to value. Value-drivenness is the glue that makes a multiplicity of otherwise disconnected mental states constitute a single subject. So wherever there is a </w:t>
      </w:r>
      <w:r>
        <w:rPr>
          <w:i/>
        </w:rPr>
        <w:t>subject</w:t>
      </w:r>
      <w:r>
        <w:t xml:space="preserve">—as opposed to a sequence of mental states that, although associated with some body, don’t jointly form a single mind—there is sensitivity to value. The essence of subjecthood is sensitivity to value and, therefore, to a kind of proto-morality, if not a </w:t>
      </w:r>
      <w:r>
        <w:rPr>
          <w:i/>
        </w:rPr>
        <w:t xml:space="preserve">bona fide </w:t>
      </w:r>
      <w:r>
        <w:t>morality. Morality thus has much deeper roots than we are inclined to think. When it is said that only human beings have values, that is either false or what is being said is that only</w:t>
      </w:r>
      <w:r>
        <w:rPr>
          <w:spacing w:val="40"/>
        </w:rPr>
        <w:t xml:space="preserve"> </w:t>
      </w:r>
      <w:r>
        <w:t xml:space="preserve">human beings have values of some very specific kind. For there to be a subject, it isn’t enough that a multiplicity of different mental states be associated with some one body. It is necessary that those states cohere, not just causally, but normatively. Thus, a sensitivity to value, and thus a kind of morality, lies at the root of </w:t>
      </w:r>
      <w:r>
        <w:rPr>
          <w:i/>
        </w:rPr>
        <w:t xml:space="preserve">all </w:t>
      </w:r>
      <w:r>
        <w:t>subjecthood.</w:t>
      </w:r>
    </w:p>
    <w:p w14:paraId="7E00255F" w14:textId="77777777" w:rsidR="009A58DB" w:rsidRDefault="00000000">
      <w:pPr>
        <w:pStyle w:val="ListParagraph"/>
        <w:numPr>
          <w:ilvl w:val="1"/>
          <w:numId w:val="56"/>
        </w:numPr>
        <w:tabs>
          <w:tab w:val="left" w:pos="1409"/>
        </w:tabs>
        <w:spacing w:before="218"/>
        <w:ind w:left="1409" w:hanging="1049"/>
        <w:rPr>
          <w:b/>
          <w:sz w:val="42"/>
        </w:rPr>
      </w:pPr>
      <w:r>
        <w:rPr>
          <w:b/>
          <w:sz w:val="42"/>
        </w:rPr>
        <w:t>Morality</w:t>
      </w:r>
      <w:r>
        <w:rPr>
          <w:b/>
          <w:spacing w:val="-6"/>
          <w:sz w:val="42"/>
        </w:rPr>
        <w:t xml:space="preserve"> </w:t>
      </w:r>
      <w:r>
        <w:rPr>
          <w:b/>
          <w:sz w:val="42"/>
        </w:rPr>
        <w:t>=</w:t>
      </w:r>
      <w:r>
        <w:rPr>
          <w:b/>
          <w:spacing w:val="-5"/>
          <w:sz w:val="42"/>
        </w:rPr>
        <w:t xml:space="preserve"> </w:t>
      </w:r>
      <w:r>
        <w:rPr>
          <w:b/>
          <w:sz w:val="42"/>
        </w:rPr>
        <w:t>respect</w:t>
      </w:r>
      <w:r>
        <w:rPr>
          <w:b/>
          <w:spacing w:val="-4"/>
          <w:sz w:val="42"/>
        </w:rPr>
        <w:t xml:space="preserve"> </w:t>
      </w:r>
      <w:r>
        <w:rPr>
          <w:b/>
          <w:sz w:val="42"/>
        </w:rPr>
        <w:t>for</w:t>
      </w:r>
      <w:r>
        <w:rPr>
          <w:b/>
          <w:spacing w:val="-4"/>
          <w:sz w:val="42"/>
        </w:rPr>
        <w:t xml:space="preserve"> </w:t>
      </w:r>
      <w:r>
        <w:rPr>
          <w:b/>
          <w:sz w:val="42"/>
        </w:rPr>
        <w:t>subjects</w:t>
      </w:r>
      <w:r>
        <w:rPr>
          <w:b/>
          <w:spacing w:val="-5"/>
          <w:sz w:val="42"/>
        </w:rPr>
        <w:t xml:space="preserve"> </w:t>
      </w:r>
      <w:r>
        <w:rPr>
          <w:b/>
          <w:sz w:val="42"/>
        </w:rPr>
        <w:t>qua</w:t>
      </w:r>
      <w:r>
        <w:rPr>
          <w:b/>
          <w:spacing w:val="-3"/>
          <w:sz w:val="42"/>
        </w:rPr>
        <w:t xml:space="preserve"> </w:t>
      </w:r>
      <w:r>
        <w:rPr>
          <w:b/>
          <w:spacing w:val="-2"/>
          <w:sz w:val="42"/>
        </w:rPr>
        <w:t>subjects</w:t>
      </w:r>
    </w:p>
    <w:p w14:paraId="7E002560" w14:textId="77777777" w:rsidR="009A58DB" w:rsidRDefault="00000000">
      <w:pPr>
        <w:pStyle w:val="BodyText"/>
        <w:spacing w:before="140" w:line="249" w:lineRule="auto"/>
        <w:ind w:right="361"/>
      </w:pPr>
      <w:r>
        <w:t>“But not all values are moral values,” it will be said. “Ted Bundy valued killing people. But that wasn’t a moral value.” This is false. Morality is about respect for subjects. Moral values are those that must be complied with if subjects are to be allowed to exist—if, in other words, multiplicities of</w:t>
      </w:r>
      <w:r>
        <w:rPr>
          <w:spacing w:val="40"/>
        </w:rPr>
        <w:t xml:space="preserve"> </w:t>
      </w:r>
      <w:r>
        <w:t xml:space="preserve">mental states are to have the integrity needed for them to constitute single minds. Moral values are therefore to be understood in terms of the values embedded in </w:t>
      </w:r>
      <w:r>
        <w:rPr>
          <w:i/>
        </w:rPr>
        <w:t xml:space="preserve">any </w:t>
      </w:r>
      <w:r>
        <w:t xml:space="preserve">such multiplicity of mental states. Let us turn to this right </w:t>
      </w:r>
      <w:r>
        <w:rPr>
          <w:spacing w:val="-4"/>
        </w:rPr>
        <w:t>now.</w:t>
      </w:r>
    </w:p>
    <w:p w14:paraId="7E002561" w14:textId="77777777" w:rsidR="009A58DB" w:rsidRDefault="00000000">
      <w:pPr>
        <w:pStyle w:val="Heading1"/>
        <w:numPr>
          <w:ilvl w:val="1"/>
          <w:numId w:val="56"/>
        </w:numPr>
        <w:tabs>
          <w:tab w:val="left" w:pos="1766"/>
        </w:tabs>
        <w:spacing w:before="212" w:line="244" w:lineRule="auto"/>
        <w:ind w:right="360" w:firstLine="0"/>
      </w:pPr>
      <w:r>
        <w:t>Flourishing</w:t>
      </w:r>
      <w:r>
        <w:rPr>
          <w:spacing w:val="40"/>
        </w:rPr>
        <w:t xml:space="preserve"> </w:t>
      </w:r>
      <w:r>
        <w:t>as</w:t>
      </w:r>
      <w:r>
        <w:rPr>
          <w:spacing w:val="40"/>
        </w:rPr>
        <w:t xml:space="preserve"> </w:t>
      </w:r>
      <w:r>
        <w:t>the</w:t>
      </w:r>
      <w:r>
        <w:rPr>
          <w:spacing w:val="40"/>
        </w:rPr>
        <w:t xml:space="preserve"> </w:t>
      </w:r>
      <w:r>
        <w:t>one</w:t>
      </w:r>
      <w:r>
        <w:rPr>
          <w:spacing w:val="40"/>
        </w:rPr>
        <w:t xml:space="preserve"> </w:t>
      </w:r>
      <w:r>
        <w:t>thing</w:t>
      </w:r>
      <w:r>
        <w:rPr>
          <w:spacing w:val="40"/>
        </w:rPr>
        <w:t xml:space="preserve"> </w:t>
      </w:r>
      <w:r>
        <w:t>that</w:t>
      </w:r>
      <w:r>
        <w:rPr>
          <w:spacing w:val="40"/>
        </w:rPr>
        <w:t xml:space="preserve"> </w:t>
      </w:r>
      <w:r>
        <w:t>has</w:t>
      </w:r>
      <w:r>
        <w:rPr>
          <w:spacing w:val="40"/>
        </w:rPr>
        <w:t xml:space="preserve"> </w:t>
      </w:r>
      <w:r>
        <w:t>non-derivative moral value</w:t>
      </w:r>
    </w:p>
    <w:p w14:paraId="7E002562" w14:textId="77777777" w:rsidR="009A58DB" w:rsidRDefault="00000000">
      <w:pPr>
        <w:pStyle w:val="BodyText"/>
        <w:spacing w:before="132"/>
      </w:pPr>
      <w:r>
        <w:t>Let’s</w:t>
      </w:r>
      <w:r>
        <w:rPr>
          <w:spacing w:val="34"/>
        </w:rPr>
        <w:t xml:space="preserve"> </w:t>
      </w:r>
      <w:r>
        <w:t>start</w:t>
      </w:r>
      <w:r>
        <w:rPr>
          <w:spacing w:val="36"/>
        </w:rPr>
        <w:t xml:space="preserve"> </w:t>
      </w:r>
      <w:r>
        <w:t>with</w:t>
      </w:r>
      <w:r>
        <w:rPr>
          <w:spacing w:val="37"/>
        </w:rPr>
        <w:t xml:space="preserve"> </w:t>
      </w:r>
      <w:r>
        <w:t>a</w:t>
      </w:r>
      <w:r>
        <w:rPr>
          <w:spacing w:val="36"/>
        </w:rPr>
        <w:t xml:space="preserve"> </w:t>
      </w:r>
      <w:r>
        <w:t>story.</w:t>
      </w:r>
      <w:r>
        <w:rPr>
          <w:spacing w:val="36"/>
        </w:rPr>
        <w:t xml:space="preserve"> </w:t>
      </w:r>
      <w:r>
        <w:t>Smith</w:t>
      </w:r>
      <w:r>
        <w:rPr>
          <w:spacing w:val="37"/>
        </w:rPr>
        <w:t xml:space="preserve"> </w:t>
      </w:r>
      <w:r>
        <w:t>would</w:t>
      </w:r>
      <w:r>
        <w:rPr>
          <w:spacing w:val="36"/>
        </w:rPr>
        <w:t xml:space="preserve"> </w:t>
      </w:r>
      <w:r>
        <w:t>very</w:t>
      </w:r>
      <w:r>
        <w:rPr>
          <w:spacing w:val="37"/>
        </w:rPr>
        <w:t xml:space="preserve"> </w:t>
      </w:r>
      <w:r>
        <w:t>much</w:t>
      </w:r>
      <w:r>
        <w:rPr>
          <w:spacing w:val="36"/>
        </w:rPr>
        <w:t xml:space="preserve"> </w:t>
      </w:r>
      <w:r>
        <w:t>like</w:t>
      </w:r>
      <w:r>
        <w:rPr>
          <w:spacing w:val="36"/>
        </w:rPr>
        <w:t xml:space="preserve"> </w:t>
      </w:r>
      <w:r>
        <w:t>to</w:t>
      </w:r>
      <w:r>
        <w:rPr>
          <w:spacing w:val="37"/>
        </w:rPr>
        <w:t xml:space="preserve"> </w:t>
      </w:r>
      <w:r>
        <w:t>write</w:t>
      </w:r>
      <w:r>
        <w:rPr>
          <w:spacing w:val="36"/>
        </w:rPr>
        <w:t xml:space="preserve"> </w:t>
      </w:r>
      <w:r>
        <w:t>novels.</w:t>
      </w:r>
      <w:r>
        <w:rPr>
          <w:spacing w:val="37"/>
        </w:rPr>
        <w:t xml:space="preserve"> </w:t>
      </w:r>
      <w:r>
        <w:rPr>
          <w:spacing w:val="-4"/>
        </w:rPr>
        <w:t>He’s</w:t>
      </w:r>
    </w:p>
    <w:p w14:paraId="7E002563" w14:textId="77777777" w:rsidR="009A58DB" w:rsidRDefault="009A58DB">
      <w:pPr>
        <w:pStyle w:val="BodyText"/>
        <w:sectPr w:rsidR="009A58DB">
          <w:pgSz w:w="12240" w:h="15840"/>
          <w:pgMar w:top="1380" w:right="1080" w:bottom="280" w:left="1080" w:header="720" w:footer="720" w:gutter="0"/>
          <w:cols w:space="720"/>
        </w:sectPr>
      </w:pPr>
    </w:p>
    <w:p w14:paraId="7E002564" w14:textId="77777777" w:rsidR="009A58DB" w:rsidRDefault="00000000">
      <w:pPr>
        <w:pStyle w:val="BodyText"/>
        <w:spacing w:before="70" w:line="249" w:lineRule="auto"/>
        <w:ind w:right="362"/>
      </w:pPr>
      <w:r>
        <w:lastRenderedPageBreak/>
        <w:t>extremely talented. He’d be happy if he spent his days writing. But Smith feels that, if he were to do so, he’d be acting immorally. “There are so many people who are suffering,” he tells himself, “so many people who don’t have food, water, plumbing, etc. So how can I justify writing novels all day, when others are deprived in such fundamental ways? Wouldn’t my doing so be nothing more than callous self-indulgence?”</w:t>
      </w:r>
    </w:p>
    <w:p w14:paraId="7E002565" w14:textId="77777777" w:rsidR="009A58DB" w:rsidRDefault="00000000">
      <w:pPr>
        <w:pStyle w:val="BodyText"/>
        <w:spacing w:before="2" w:line="249" w:lineRule="auto"/>
        <w:ind w:right="361" w:firstLine="360"/>
      </w:pPr>
      <w:r>
        <w:t>Driven</w:t>
      </w:r>
      <w:r>
        <w:rPr>
          <w:spacing w:val="-1"/>
        </w:rPr>
        <w:t xml:space="preserve"> </w:t>
      </w:r>
      <w:r>
        <w:t>by</w:t>
      </w:r>
      <w:r>
        <w:rPr>
          <w:spacing w:val="-1"/>
        </w:rPr>
        <w:t xml:space="preserve"> </w:t>
      </w:r>
      <w:r>
        <w:t>his</w:t>
      </w:r>
      <w:r>
        <w:rPr>
          <w:spacing w:val="-1"/>
        </w:rPr>
        <w:t xml:space="preserve"> </w:t>
      </w:r>
      <w:r>
        <w:t>admirable</w:t>
      </w:r>
      <w:r>
        <w:rPr>
          <w:spacing w:val="-1"/>
        </w:rPr>
        <w:t xml:space="preserve"> </w:t>
      </w:r>
      <w:r>
        <w:t>concern</w:t>
      </w:r>
      <w:r>
        <w:rPr>
          <w:spacing w:val="-1"/>
        </w:rPr>
        <w:t xml:space="preserve"> </w:t>
      </w:r>
      <w:r>
        <w:t>for</w:t>
      </w:r>
      <w:r>
        <w:rPr>
          <w:spacing w:val="-1"/>
        </w:rPr>
        <w:t xml:space="preserve"> </w:t>
      </w:r>
      <w:r>
        <w:t>the</w:t>
      </w:r>
      <w:r>
        <w:rPr>
          <w:spacing w:val="-1"/>
        </w:rPr>
        <w:t xml:space="preserve"> </w:t>
      </w:r>
      <w:r>
        <w:t>dictates</w:t>
      </w:r>
      <w:r>
        <w:rPr>
          <w:spacing w:val="-1"/>
        </w:rPr>
        <w:t xml:space="preserve"> </w:t>
      </w:r>
      <w:r>
        <w:t>of</w:t>
      </w:r>
      <w:r>
        <w:rPr>
          <w:spacing w:val="-1"/>
        </w:rPr>
        <w:t xml:space="preserve"> </w:t>
      </w:r>
      <w:r>
        <w:t>morality,</w:t>
      </w:r>
      <w:r>
        <w:rPr>
          <w:spacing w:val="-1"/>
        </w:rPr>
        <w:t xml:space="preserve"> </w:t>
      </w:r>
      <w:r>
        <w:t>Smith</w:t>
      </w:r>
      <w:r>
        <w:rPr>
          <w:spacing w:val="-1"/>
        </w:rPr>
        <w:t xml:space="preserve"> </w:t>
      </w:r>
      <w:r>
        <w:t>spends his days installing sewage systems in poor countries, giving food to the hungry, etc. He doesn’t find this stimulating or enjoyable. He hates it in fact, and his life is a living hell. He does it because he believes (rightly, no doubt) that, in doing it, he is acting morally.</w:t>
      </w:r>
    </w:p>
    <w:p w14:paraId="7E002566" w14:textId="77777777" w:rsidR="009A58DB" w:rsidRDefault="00000000">
      <w:pPr>
        <w:pStyle w:val="BodyText"/>
        <w:spacing w:before="6" w:line="249" w:lineRule="auto"/>
        <w:ind w:right="358" w:firstLine="360"/>
      </w:pPr>
      <w:r>
        <w:t>Smith’s situation isn’t representative of that of all altruists. Most people who dedicate their lives to the welfare of others find it fulfilling; for them, helping</w:t>
      </w:r>
      <w:r>
        <w:rPr>
          <w:spacing w:val="-2"/>
        </w:rPr>
        <w:t xml:space="preserve"> </w:t>
      </w:r>
      <w:r>
        <w:t>others</w:t>
      </w:r>
      <w:r>
        <w:rPr>
          <w:spacing w:val="-1"/>
        </w:rPr>
        <w:t xml:space="preserve"> </w:t>
      </w:r>
      <w:r>
        <w:t>is</w:t>
      </w:r>
      <w:r>
        <w:rPr>
          <w:spacing w:val="-2"/>
        </w:rPr>
        <w:t xml:space="preserve"> </w:t>
      </w:r>
      <w:r>
        <w:t>what</w:t>
      </w:r>
      <w:r>
        <w:rPr>
          <w:spacing w:val="-2"/>
        </w:rPr>
        <w:t xml:space="preserve"> </w:t>
      </w:r>
      <w:r>
        <w:t>novel</w:t>
      </w:r>
      <w:r>
        <w:rPr>
          <w:spacing w:val="-2"/>
        </w:rPr>
        <w:t xml:space="preserve"> </w:t>
      </w:r>
      <w:r>
        <w:t>writing</w:t>
      </w:r>
      <w:r>
        <w:rPr>
          <w:spacing w:val="-1"/>
        </w:rPr>
        <w:t xml:space="preserve"> </w:t>
      </w:r>
      <w:r>
        <w:t>is</w:t>
      </w:r>
      <w:r>
        <w:rPr>
          <w:spacing w:val="-2"/>
        </w:rPr>
        <w:t xml:space="preserve"> </w:t>
      </w:r>
      <w:r>
        <w:t>(or</w:t>
      </w:r>
      <w:r>
        <w:rPr>
          <w:spacing w:val="-1"/>
        </w:rPr>
        <w:t xml:space="preserve"> </w:t>
      </w:r>
      <w:r>
        <w:t>would</w:t>
      </w:r>
      <w:r>
        <w:rPr>
          <w:spacing w:val="-2"/>
        </w:rPr>
        <w:t xml:space="preserve"> </w:t>
      </w:r>
      <w:r>
        <w:t>be,</w:t>
      </w:r>
      <w:r>
        <w:rPr>
          <w:spacing w:val="-1"/>
        </w:rPr>
        <w:t xml:space="preserve"> </w:t>
      </w:r>
      <w:r>
        <w:t>were</w:t>
      </w:r>
      <w:r>
        <w:rPr>
          <w:spacing w:val="-2"/>
        </w:rPr>
        <w:t xml:space="preserve"> </w:t>
      </w:r>
      <w:r>
        <w:t>he</w:t>
      </w:r>
      <w:r>
        <w:rPr>
          <w:spacing w:val="-1"/>
        </w:rPr>
        <w:t xml:space="preserve"> </w:t>
      </w:r>
      <w:r>
        <w:t>to</w:t>
      </w:r>
      <w:r>
        <w:rPr>
          <w:spacing w:val="-2"/>
        </w:rPr>
        <w:t xml:space="preserve"> </w:t>
      </w:r>
      <w:r>
        <w:t>let</w:t>
      </w:r>
      <w:r>
        <w:rPr>
          <w:spacing w:val="-2"/>
        </w:rPr>
        <w:t xml:space="preserve"> </w:t>
      </w:r>
      <w:r>
        <w:t>himself</w:t>
      </w:r>
      <w:r>
        <w:rPr>
          <w:spacing w:val="-1"/>
        </w:rPr>
        <w:t xml:space="preserve"> </w:t>
      </w:r>
      <w:r>
        <w:t xml:space="preserve">do it) for Smith. But Smith isn’t one of these people. Smith’s life doesn’t “work for him,” as some self-help gurus say. He knows intellectually that what he’s doing is morally good. But from the viewpoint that is embodied in his </w:t>
      </w:r>
      <w:r>
        <w:rPr>
          <w:i/>
        </w:rPr>
        <w:t>emotions,</w:t>
      </w:r>
      <w:r>
        <w:rPr>
          <w:i/>
          <w:spacing w:val="-3"/>
        </w:rPr>
        <w:t xml:space="preserve"> </w:t>
      </w:r>
      <w:r>
        <w:t xml:space="preserve">as opposed to the viewpoint embodied in his intellectual </w:t>
      </w:r>
      <w:r>
        <w:rPr>
          <w:i/>
        </w:rPr>
        <w:t xml:space="preserve">judgments </w:t>
      </w:r>
      <w:r>
        <w:t>as</w:t>
      </w:r>
      <w:r>
        <w:rPr>
          <w:spacing w:val="-1"/>
        </w:rPr>
        <w:t xml:space="preserve"> </w:t>
      </w:r>
      <w:r>
        <w:t>to</w:t>
      </w:r>
      <w:r>
        <w:rPr>
          <w:spacing w:val="-1"/>
        </w:rPr>
        <w:t xml:space="preserve"> </w:t>
      </w:r>
      <w:r>
        <w:t>what</w:t>
      </w:r>
      <w:r>
        <w:rPr>
          <w:spacing w:val="-1"/>
        </w:rPr>
        <w:t xml:space="preserve"> </w:t>
      </w:r>
      <w:r>
        <w:t>is</w:t>
      </w:r>
      <w:r>
        <w:rPr>
          <w:spacing w:val="-1"/>
        </w:rPr>
        <w:t xml:space="preserve"> </w:t>
      </w:r>
      <w:r>
        <w:t>moral,</w:t>
      </w:r>
      <w:r>
        <w:rPr>
          <w:spacing w:val="-1"/>
        </w:rPr>
        <w:t xml:space="preserve"> </w:t>
      </w:r>
      <w:r>
        <w:t>his</w:t>
      </w:r>
      <w:r>
        <w:rPr>
          <w:spacing w:val="-1"/>
        </w:rPr>
        <w:t xml:space="preserve"> </w:t>
      </w:r>
      <w:r>
        <w:t>life</w:t>
      </w:r>
      <w:r>
        <w:rPr>
          <w:spacing w:val="-1"/>
        </w:rPr>
        <w:t xml:space="preserve"> </w:t>
      </w:r>
      <w:r>
        <w:t>is</w:t>
      </w:r>
      <w:r>
        <w:rPr>
          <w:spacing w:val="-1"/>
        </w:rPr>
        <w:t xml:space="preserve"> </w:t>
      </w:r>
      <w:r>
        <w:t>a</w:t>
      </w:r>
      <w:r>
        <w:rPr>
          <w:spacing w:val="-1"/>
        </w:rPr>
        <w:t xml:space="preserve"> </w:t>
      </w:r>
      <w:r>
        <w:t>waking</w:t>
      </w:r>
      <w:r>
        <w:rPr>
          <w:spacing w:val="-1"/>
        </w:rPr>
        <w:t xml:space="preserve"> </w:t>
      </w:r>
      <w:r>
        <w:t>death.</w:t>
      </w:r>
      <w:r>
        <w:rPr>
          <w:spacing w:val="-1"/>
        </w:rPr>
        <w:t xml:space="preserve"> </w:t>
      </w:r>
      <w:r>
        <w:t>And</w:t>
      </w:r>
      <w:r>
        <w:rPr>
          <w:spacing w:val="-1"/>
        </w:rPr>
        <w:t xml:space="preserve"> </w:t>
      </w:r>
      <w:r>
        <w:rPr>
          <w:i/>
        </w:rPr>
        <w:t>his</w:t>
      </w:r>
      <w:r>
        <w:rPr>
          <w:i/>
          <w:spacing w:val="-3"/>
        </w:rPr>
        <w:t xml:space="preserve"> </w:t>
      </w:r>
      <w:r>
        <w:t>viewpoint is that of his heart. His intellect embodies a viewpoint that, despite his best efforts, he could never make his own.</w:t>
      </w:r>
    </w:p>
    <w:p w14:paraId="7E002567" w14:textId="77777777" w:rsidR="009A58DB" w:rsidRDefault="00000000">
      <w:pPr>
        <w:pStyle w:val="BodyText"/>
        <w:spacing w:before="12" w:line="249" w:lineRule="auto"/>
        <w:ind w:right="359" w:firstLine="360"/>
      </w:pPr>
      <w:r>
        <w:t xml:space="preserve">Let’s contrast Smith’s situation with Brown’s. Like Smith, Brown is a talented novelist. But unlike Smith, Brown permits himself to write novels. As a result, he is happy; his life “works” for him. Unlike Smith, Brown is a self-interested scoundrel. He doesn’t care about others. This isn’t because he </w:t>
      </w:r>
      <w:r>
        <w:rPr>
          <w:i/>
        </w:rPr>
        <w:t xml:space="preserve">can’t </w:t>
      </w:r>
      <w:r>
        <w:t>care about others. Every now and then he develops feelings for</w:t>
      </w:r>
      <w:r>
        <w:rPr>
          <w:spacing w:val="40"/>
        </w:rPr>
        <w:t xml:space="preserve"> </w:t>
      </w:r>
      <w:r>
        <w:t>someone and cares about that person. So, although he’s a self-involved narcissist, he isn’t so emotionally stunted that he can’t have the degree of empathy requisite to have meaningful and fulfilling relations with others. In fact, his social and romantic life is very fulfilling. But when it comes to people who fall outside the sphere of his personal relations, his attitude is a cold and calculating one. Where such people are concerned, he does what he has to do and doesn’t worry about the consequences.</w:t>
      </w:r>
    </w:p>
    <w:p w14:paraId="7E002568" w14:textId="77777777" w:rsidR="009A58DB" w:rsidRDefault="00000000">
      <w:pPr>
        <w:pStyle w:val="BodyText"/>
        <w:spacing w:before="15" w:line="249" w:lineRule="auto"/>
        <w:ind w:right="359" w:firstLine="360"/>
      </w:pPr>
      <w:r>
        <w:t>Because Brown has allowed himself to pursue his dream of novel writing, and because, as a result, he’s allowed himself to develop his talent for it, he wakes up every morning with a smile. He’s happy to greet the day. He looks</w:t>
      </w:r>
    </w:p>
    <w:p w14:paraId="7E00256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6A" w14:textId="77777777" w:rsidR="009A58DB" w:rsidRDefault="00000000">
      <w:pPr>
        <w:pStyle w:val="BodyText"/>
        <w:spacing w:before="65"/>
      </w:pPr>
      <w:r>
        <w:lastRenderedPageBreak/>
        <w:t>forward</w:t>
      </w:r>
      <w:r>
        <w:rPr>
          <w:spacing w:val="-3"/>
        </w:rPr>
        <w:t xml:space="preserve"> </w:t>
      </w:r>
      <w:r>
        <w:t>to</w:t>
      </w:r>
      <w:r>
        <w:rPr>
          <w:spacing w:val="-3"/>
        </w:rPr>
        <w:t xml:space="preserve"> </w:t>
      </w:r>
      <w:r>
        <w:t>another</w:t>
      </w:r>
      <w:r>
        <w:rPr>
          <w:spacing w:val="-4"/>
        </w:rPr>
        <w:t xml:space="preserve"> </w:t>
      </w:r>
      <w:r>
        <w:t>day’s</w:t>
      </w:r>
      <w:r>
        <w:rPr>
          <w:spacing w:val="-3"/>
        </w:rPr>
        <w:t xml:space="preserve"> </w:t>
      </w:r>
      <w:r>
        <w:rPr>
          <w:spacing w:val="-4"/>
        </w:rPr>
        <w:t>work.</w:t>
      </w:r>
    </w:p>
    <w:p w14:paraId="7E00256B" w14:textId="77777777" w:rsidR="009A58DB" w:rsidRDefault="00000000">
      <w:pPr>
        <w:pStyle w:val="BodyText"/>
        <w:spacing w:before="15" w:line="249" w:lineRule="auto"/>
        <w:ind w:right="358" w:firstLine="360"/>
      </w:pPr>
      <w:r>
        <w:t xml:space="preserve">Although Brown is a selfish swine, he </w:t>
      </w:r>
      <w:r>
        <w:rPr>
          <w:i/>
        </w:rPr>
        <w:t xml:space="preserve">does </w:t>
      </w:r>
      <w:r>
        <w:t>have artistic integrity. He wants his work to be as good as it can be. To this end, he listens very carefully</w:t>
      </w:r>
      <w:r>
        <w:rPr>
          <w:spacing w:val="-3"/>
        </w:rPr>
        <w:t xml:space="preserve"> </w:t>
      </w:r>
      <w:r>
        <w:t>to</w:t>
      </w:r>
      <w:r>
        <w:rPr>
          <w:spacing w:val="-2"/>
        </w:rPr>
        <w:t xml:space="preserve"> </w:t>
      </w:r>
      <w:r>
        <w:t>what</w:t>
      </w:r>
      <w:r>
        <w:rPr>
          <w:spacing w:val="-3"/>
        </w:rPr>
        <w:t xml:space="preserve"> </w:t>
      </w:r>
      <w:r>
        <w:t>even</w:t>
      </w:r>
      <w:r>
        <w:rPr>
          <w:spacing w:val="-2"/>
        </w:rPr>
        <w:t xml:space="preserve"> </w:t>
      </w:r>
      <w:r>
        <w:t>his</w:t>
      </w:r>
      <w:r>
        <w:rPr>
          <w:spacing w:val="-3"/>
        </w:rPr>
        <w:t xml:space="preserve"> </w:t>
      </w:r>
      <w:r>
        <w:t>most</w:t>
      </w:r>
      <w:r>
        <w:rPr>
          <w:spacing w:val="-2"/>
        </w:rPr>
        <w:t xml:space="preserve"> </w:t>
      </w:r>
      <w:r>
        <w:t>hostile</w:t>
      </w:r>
      <w:r>
        <w:rPr>
          <w:spacing w:val="-2"/>
        </w:rPr>
        <w:t xml:space="preserve"> </w:t>
      </w:r>
      <w:r>
        <w:t>critics</w:t>
      </w:r>
      <w:r>
        <w:rPr>
          <w:spacing w:val="-3"/>
        </w:rPr>
        <w:t xml:space="preserve"> </w:t>
      </w:r>
      <w:r>
        <w:t>have</w:t>
      </w:r>
      <w:r>
        <w:rPr>
          <w:spacing w:val="-2"/>
        </w:rPr>
        <w:t xml:space="preserve"> </w:t>
      </w:r>
      <w:r>
        <w:t>to</w:t>
      </w:r>
      <w:r>
        <w:rPr>
          <w:spacing w:val="-3"/>
        </w:rPr>
        <w:t xml:space="preserve"> </w:t>
      </w:r>
      <w:r>
        <w:t>say</w:t>
      </w:r>
      <w:r>
        <w:rPr>
          <w:spacing w:val="-2"/>
        </w:rPr>
        <w:t xml:space="preserve"> </w:t>
      </w:r>
      <w:r>
        <w:t>and</w:t>
      </w:r>
      <w:r>
        <w:rPr>
          <w:spacing w:val="-3"/>
        </w:rPr>
        <w:t xml:space="preserve"> </w:t>
      </w:r>
      <w:r>
        <w:t>makes</w:t>
      </w:r>
      <w:r>
        <w:rPr>
          <w:spacing w:val="-2"/>
        </w:rPr>
        <w:t xml:space="preserve"> </w:t>
      </w:r>
      <w:r>
        <w:t>a</w:t>
      </w:r>
      <w:r>
        <w:rPr>
          <w:spacing w:val="-2"/>
        </w:rPr>
        <w:t xml:space="preserve"> </w:t>
      </w:r>
      <w:r>
        <w:t xml:space="preserve">serious effort to incorporate their points into his work (at least when those points have merit and aren’t mere vituperations). So Brown is legitimate </w:t>
      </w:r>
      <w:r>
        <w:rPr>
          <w:i/>
        </w:rPr>
        <w:t xml:space="preserve">at what he does. </w:t>
      </w:r>
      <w:r>
        <w:t xml:space="preserve">It may be that he isn’t </w:t>
      </w:r>
      <w:r>
        <w:rPr>
          <w:i/>
        </w:rPr>
        <w:t xml:space="preserve">morally </w:t>
      </w:r>
      <w:r>
        <w:t>legitimate. But, as a novelist, he isn’t a fraud; he’s the real deal.</w:t>
      </w:r>
    </w:p>
    <w:p w14:paraId="7E00256C" w14:textId="77777777" w:rsidR="009A58DB" w:rsidRDefault="00000000">
      <w:pPr>
        <w:pStyle w:val="BodyText"/>
        <w:spacing w:before="8" w:line="249" w:lineRule="auto"/>
        <w:ind w:right="363" w:firstLine="360"/>
      </w:pPr>
      <w:r>
        <w:t>Whose life is better, Smith’s or Brown’s? It’s obvious that Smith’s life is the</w:t>
      </w:r>
      <w:r>
        <w:rPr>
          <w:spacing w:val="-4"/>
        </w:rPr>
        <w:t xml:space="preserve"> </w:t>
      </w:r>
      <w:r>
        <w:rPr>
          <w:i/>
        </w:rPr>
        <w:t>morally</w:t>
      </w:r>
      <w:r>
        <w:rPr>
          <w:i/>
          <w:spacing w:val="-4"/>
        </w:rPr>
        <w:t xml:space="preserve"> </w:t>
      </w:r>
      <w:r>
        <w:t>better one. But what I’m asking is: whose life is actually a richer, better, less empty one? The answer is clear: Brown’s. It would be nice if Smith’s life were the better one. But it isn’t. Brown has a good life. Smith does not.</w:t>
      </w:r>
    </w:p>
    <w:p w14:paraId="7E00256D" w14:textId="77777777" w:rsidR="009A58DB" w:rsidRDefault="00000000">
      <w:pPr>
        <w:pStyle w:val="BodyText"/>
        <w:spacing w:before="6" w:line="249" w:lineRule="auto"/>
        <w:ind w:right="362" w:firstLine="360"/>
      </w:pPr>
      <w:r>
        <w:t xml:space="preserve">Smith’s life is </w:t>
      </w:r>
      <w:r>
        <w:rPr>
          <w:i/>
        </w:rPr>
        <w:t xml:space="preserve">morally </w:t>
      </w:r>
      <w:r>
        <w:t>good, of course. But it isn’t good in the relevant way—in the way that is relevant to his welfare, his flourishing. In being morally good, Smith’s life is conforming to a standard that is totally external to itself—that has no basis in its own logic. Smith’s life is a bad one, and not just bad in a narrowly hedonistic sense. A certain degree of asceticism and self-discipline is needed to accomplish anything of value. But there is a difference between self-discipline and self-torture. Brown is self-disciplined. He works hard to hone his skills as a novelist. It is this self-discipline that prevents Brown from spending his days consuming mind-bending narcotics and</w:t>
      </w:r>
      <w:r>
        <w:rPr>
          <w:spacing w:val="-4"/>
        </w:rPr>
        <w:t xml:space="preserve"> </w:t>
      </w:r>
      <w:r>
        <w:t>indulging</w:t>
      </w:r>
      <w:r>
        <w:rPr>
          <w:spacing w:val="-4"/>
        </w:rPr>
        <w:t xml:space="preserve"> </w:t>
      </w:r>
      <w:r>
        <w:t>in</w:t>
      </w:r>
      <w:r>
        <w:rPr>
          <w:spacing w:val="-4"/>
        </w:rPr>
        <w:t xml:space="preserve"> </w:t>
      </w:r>
      <w:r>
        <w:t>other</w:t>
      </w:r>
      <w:r>
        <w:rPr>
          <w:spacing w:val="-5"/>
        </w:rPr>
        <w:t xml:space="preserve"> </w:t>
      </w:r>
      <w:r>
        <w:t>hedonistic,</w:t>
      </w:r>
      <w:r>
        <w:rPr>
          <w:spacing w:val="-4"/>
        </w:rPr>
        <w:t xml:space="preserve"> </w:t>
      </w:r>
      <w:r>
        <w:t>debauched</w:t>
      </w:r>
      <w:r>
        <w:rPr>
          <w:spacing w:val="-4"/>
        </w:rPr>
        <w:t xml:space="preserve"> </w:t>
      </w:r>
      <w:r>
        <w:t>pleasures</w:t>
      </w:r>
      <w:r>
        <w:rPr>
          <w:spacing w:val="-5"/>
        </w:rPr>
        <w:t xml:space="preserve"> </w:t>
      </w:r>
      <w:r>
        <w:t>that</w:t>
      </w:r>
      <w:r>
        <w:rPr>
          <w:spacing w:val="-5"/>
        </w:rPr>
        <w:t xml:space="preserve"> </w:t>
      </w:r>
      <w:r>
        <w:t>would</w:t>
      </w:r>
      <w:r>
        <w:rPr>
          <w:spacing w:val="-4"/>
        </w:rPr>
        <w:t xml:space="preserve"> </w:t>
      </w:r>
      <w:r>
        <w:t>weaken</w:t>
      </w:r>
      <w:r>
        <w:rPr>
          <w:spacing w:val="-4"/>
        </w:rPr>
        <w:t xml:space="preserve"> </w:t>
      </w:r>
      <w:r>
        <w:t>his artistic ability and thus reduce him as a human being.</w:t>
      </w:r>
    </w:p>
    <w:p w14:paraId="7E00256E" w14:textId="77777777" w:rsidR="009A58DB" w:rsidRDefault="00000000">
      <w:pPr>
        <w:pStyle w:val="BodyText"/>
        <w:spacing w:before="14" w:line="249" w:lineRule="auto"/>
        <w:ind w:right="359" w:firstLine="360"/>
      </w:pPr>
      <w:r>
        <w:t>Like Brown, Smith is self-disciplined. But he’s self-disciplined in a different way. Brown’s self-discipline is about making the sacrifices needed to be a great novelist and, thus, to flourish. Smith’s self-discipline is about</w:t>
      </w:r>
      <w:r>
        <w:rPr>
          <w:spacing w:val="40"/>
        </w:rPr>
        <w:t xml:space="preserve"> </w:t>
      </w:r>
      <w:r>
        <w:rPr>
          <w:i/>
        </w:rPr>
        <w:t xml:space="preserve">not </w:t>
      </w:r>
      <w:r>
        <w:t>doing what he has to do to flourish; it’s about denying who he is, not enhancing it. And while Smith is obviously a person of principle and must be admired for that, his life is not a good one.</w:t>
      </w:r>
    </w:p>
    <w:p w14:paraId="7E00256F" w14:textId="77777777" w:rsidR="009A58DB" w:rsidRDefault="00000000">
      <w:pPr>
        <w:pStyle w:val="Heading1"/>
        <w:numPr>
          <w:ilvl w:val="1"/>
          <w:numId w:val="56"/>
        </w:numPr>
        <w:tabs>
          <w:tab w:val="left" w:pos="1080"/>
          <w:tab w:val="left" w:pos="1744"/>
        </w:tabs>
        <w:spacing w:before="195" w:line="244" w:lineRule="auto"/>
        <w:ind w:left="1080" w:right="359" w:hanging="720"/>
        <w:jc w:val="both"/>
      </w:pPr>
      <w:r>
        <w:tab/>
        <w:t xml:space="preserve">The good life—one in which one is true to one’s self, not to external conceptions of </w:t>
      </w:r>
      <w:r>
        <w:rPr>
          <w:spacing w:val="-2"/>
        </w:rPr>
        <w:t>morality</w:t>
      </w:r>
    </w:p>
    <w:p w14:paraId="7E002570" w14:textId="77777777" w:rsidR="009A58DB" w:rsidRDefault="009A58DB">
      <w:pPr>
        <w:pStyle w:val="Heading1"/>
        <w:spacing w:line="244" w:lineRule="auto"/>
        <w:jc w:val="both"/>
        <w:sectPr w:rsidR="009A58DB">
          <w:pgSz w:w="12240" w:h="15840"/>
          <w:pgMar w:top="1380" w:right="1080" w:bottom="280" w:left="1080" w:header="720" w:footer="720" w:gutter="0"/>
          <w:cols w:space="720"/>
        </w:sectPr>
      </w:pPr>
    </w:p>
    <w:p w14:paraId="7E002571" w14:textId="77777777" w:rsidR="009A58DB" w:rsidRDefault="00000000">
      <w:pPr>
        <w:pStyle w:val="BodyText"/>
        <w:spacing w:before="65" w:line="249" w:lineRule="auto"/>
        <w:ind w:right="358"/>
      </w:pPr>
      <w:r>
        <w:lastRenderedPageBreak/>
        <w:t>Some ethicists have tried to show that, ultimately, lives such as Brown’s are hollow and that lives such as Smith’s are meaningful and good. But the facts don’t bear this out. Having a good life is about having a life that is true to who you are. Smith’s life is about being untrue to who he is; the conceit underlying his every action is that his own desires and, therefore, the very</w:t>
      </w:r>
      <w:r>
        <w:rPr>
          <w:spacing w:val="40"/>
        </w:rPr>
        <w:t xml:space="preserve"> </w:t>
      </w:r>
      <w:r>
        <w:t>self they spring from, are an abomination. No one who sees who he is as an abomination and spends his life penalizing himself has a good life, no matter how much joy his self-flagellations bring to others.</w:t>
      </w:r>
    </w:p>
    <w:p w14:paraId="7E002572" w14:textId="77777777" w:rsidR="009A58DB" w:rsidRDefault="00000000">
      <w:pPr>
        <w:pStyle w:val="BodyText"/>
        <w:spacing w:before="9" w:line="249" w:lineRule="auto"/>
        <w:ind w:right="363" w:firstLine="360"/>
      </w:pPr>
      <w:r>
        <w:t>It isn’t ethical to demand of people that they suppress their true selves. An ethical system that does so is an evil one. Since it is the purpose of an ethical system to promote good, not evil, any such ethical system is an incoherent one. And yet most ethical systems are in fact evil and incoherent in exactly this</w:t>
      </w:r>
      <w:r>
        <w:rPr>
          <w:spacing w:val="-5"/>
        </w:rPr>
        <w:t xml:space="preserve"> </w:t>
      </w:r>
      <w:r>
        <w:t>way.</w:t>
      </w:r>
      <w:r>
        <w:rPr>
          <w:spacing w:val="-4"/>
        </w:rPr>
        <w:t xml:space="preserve"> </w:t>
      </w:r>
      <w:r>
        <w:t>The</w:t>
      </w:r>
      <w:r>
        <w:rPr>
          <w:spacing w:val="-5"/>
        </w:rPr>
        <w:t xml:space="preserve"> </w:t>
      </w:r>
      <w:r>
        <w:t>subject’s</w:t>
      </w:r>
      <w:r>
        <w:rPr>
          <w:spacing w:val="-5"/>
        </w:rPr>
        <w:t xml:space="preserve"> </w:t>
      </w:r>
      <w:r>
        <w:t>own</w:t>
      </w:r>
      <w:r>
        <w:rPr>
          <w:spacing w:val="-4"/>
        </w:rPr>
        <w:t xml:space="preserve"> </w:t>
      </w:r>
      <w:r>
        <w:t>aspirations,</w:t>
      </w:r>
      <w:r>
        <w:rPr>
          <w:spacing w:val="-4"/>
        </w:rPr>
        <w:t xml:space="preserve"> </w:t>
      </w:r>
      <w:r>
        <w:t>though</w:t>
      </w:r>
      <w:r>
        <w:rPr>
          <w:spacing w:val="-4"/>
        </w:rPr>
        <w:t xml:space="preserve"> </w:t>
      </w:r>
      <w:r>
        <w:t>sometimes</w:t>
      </w:r>
      <w:r>
        <w:rPr>
          <w:spacing w:val="-5"/>
        </w:rPr>
        <w:t xml:space="preserve"> </w:t>
      </w:r>
      <w:r>
        <w:rPr>
          <w:i/>
        </w:rPr>
        <w:t>tolerated,</w:t>
      </w:r>
      <w:r>
        <w:rPr>
          <w:i/>
          <w:spacing w:val="-4"/>
        </w:rPr>
        <w:t xml:space="preserve"> </w:t>
      </w:r>
      <w:r>
        <w:t>are</w:t>
      </w:r>
      <w:r>
        <w:rPr>
          <w:spacing w:val="-5"/>
        </w:rPr>
        <w:t xml:space="preserve"> </w:t>
      </w:r>
      <w:r>
        <w:t xml:space="preserve">seen as having no </w:t>
      </w:r>
      <w:r>
        <w:rPr>
          <w:i/>
        </w:rPr>
        <w:t xml:space="preserve">moral </w:t>
      </w:r>
      <w:r>
        <w:t>value; all that counts form a moral perspective is what one does for others.</w:t>
      </w:r>
    </w:p>
    <w:p w14:paraId="7E002573" w14:textId="77777777" w:rsidR="009A58DB" w:rsidRDefault="00000000">
      <w:pPr>
        <w:pStyle w:val="BodyText"/>
        <w:spacing w:before="9" w:line="249" w:lineRule="auto"/>
        <w:ind w:right="359" w:firstLine="360"/>
      </w:pPr>
      <w:r>
        <w:t xml:space="preserve">“But what if people’s true selves are evil? In </w:t>
      </w:r>
      <w:r>
        <w:rPr>
          <w:i/>
        </w:rPr>
        <w:t xml:space="preserve">that </w:t>
      </w:r>
      <w:r>
        <w:t>case, surely, an ethical system that demands a suppression of self needn’t be an incoherent one.” Supposing (i) that we’re evil and (ii) that this fact about us is inherent in who we really are, then (iii) a viable ethical system mustn’t attempt to excise it from us, and must instead find a relatively harmless way of redirecting it. An ethical system must be rejected if one must mutilate oneself to comply with</w:t>
      </w:r>
      <w:r>
        <w:rPr>
          <w:spacing w:val="40"/>
        </w:rPr>
        <w:t xml:space="preserve"> </w:t>
      </w:r>
      <w:r>
        <w:rPr>
          <w:spacing w:val="-4"/>
        </w:rPr>
        <w:t>it.</w:t>
      </w:r>
    </w:p>
    <w:p w14:paraId="7E002574" w14:textId="77777777" w:rsidR="009A58DB" w:rsidRDefault="00000000">
      <w:pPr>
        <w:pStyle w:val="BodyText"/>
        <w:spacing w:before="9" w:line="249" w:lineRule="auto"/>
        <w:ind w:right="358" w:firstLine="360"/>
      </w:pPr>
      <w:r>
        <w:t>It should also be kept in mind that, if a given ethical system mutilates</w:t>
      </w:r>
      <w:r>
        <w:rPr>
          <w:spacing w:val="40"/>
        </w:rPr>
        <w:t xml:space="preserve"> </w:t>
      </w:r>
      <w:r>
        <w:t xml:space="preserve">those who try to comply with it, those who advocate that system are probably well aware of that fact, and their advocacy of that system is almost assuredly rooted in their wish to hurt and diminish other human beings. (Moral censure is one of the few outlets for aggression permitted us by civilized existence.) It’s a distinct possibility that, given what human beings are, </w:t>
      </w:r>
      <w:r>
        <w:rPr>
          <w:i/>
        </w:rPr>
        <w:t xml:space="preserve">no </w:t>
      </w:r>
      <w:r>
        <w:t>completely coherent ethical system is a viable one. It may be that, if people are to be prevented from destroying one another, they must be restrained by ethical systems</w:t>
      </w:r>
      <w:r>
        <w:rPr>
          <w:spacing w:val="-1"/>
        </w:rPr>
        <w:t xml:space="preserve"> </w:t>
      </w:r>
      <w:r>
        <w:t>that</w:t>
      </w:r>
      <w:r>
        <w:rPr>
          <w:spacing w:val="-1"/>
        </w:rPr>
        <w:t xml:space="preserve"> </w:t>
      </w:r>
      <w:r>
        <w:t>diminish</w:t>
      </w:r>
      <w:r>
        <w:rPr>
          <w:spacing w:val="-1"/>
        </w:rPr>
        <w:t xml:space="preserve"> </w:t>
      </w:r>
      <w:r>
        <w:t>them—by</w:t>
      </w:r>
      <w:r>
        <w:rPr>
          <w:spacing w:val="-1"/>
        </w:rPr>
        <w:t xml:space="preserve"> </w:t>
      </w:r>
      <w:r>
        <w:t>ethical</w:t>
      </w:r>
      <w:r>
        <w:rPr>
          <w:spacing w:val="-1"/>
        </w:rPr>
        <w:t xml:space="preserve"> </w:t>
      </w:r>
      <w:r>
        <w:t>systems</w:t>
      </w:r>
      <w:r>
        <w:rPr>
          <w:spacing w:val="-1"/>
        </w:rPr>
        <w:t xml:space="preserve"> </w:t>
      </w:r>
      <w:r>
        <w:t>that</w:t>
      </w:r>
      <w:r>
        <w:rPr>
          <w:spacing w:val="-1"/>
        </w:rPr>
        <w:t xml:space="preserve"> </w:t>
      </w:r>
      <w:r>
        <w:t>are</w:t>
      </w:r>
      <w:r>
        <w:rPr>
          <w:spacing w:val="-1"/>
        </w:rPr>
        <w:t xml:space="preserve"> </w:t>
      </w:r>
      <w:r>
        <w:t>themselves</w:t>
      </w:r>
      <w:r>
        <w:rPr>
          <w:spacing w:val="-1"/>
        </w:rPr>
        <w:t xml:space="preserve"> </w:t>
      </w:r>
      <w:r>
        <w:t xml:space="preserve">unethical and, therefore, incoherent. But, speaking from the viewpoint of logic, as opposed to practicality, no ethical system that requires people to obliterate themselves, even partially, can be regarded as a coherent one. Ultimately, the </w:t>
      </w:r>
      <w:r>
        <w:rPr>
          <w:i/>
        </w:rPr>
        <w:t xml:space="preserve">only </w:t>
      </w:r>
      <w:r>
        <w:t>thing of value is flourishing. A life, such as Smith’s, that is “moral” is, sadly,</w:t>
      </w:r>
      <w:r>
        <w:rPr>
          <w:spacing w:val="72"/>
          <w:w w:val="150"/>
        </w:rPr>
        <w:t xml:space="preserve"> </w:t>
      </w:r>
      <w:r>
        <w:t>a</w:t>
      </w:r>
      <w:r>
        <w:rPr>
          <w:spacing w:val="72"/>
          <w:w w:val="150"/>
        </w:rPr>
        <w:t xml:space="preserve"> </w:t>
      </w:r>
      <w:r>
        <w:t>worthless</w:t>
      </w:r>
      <w:r>
        <w:rPr>
          <w:spacing w:val="73"/>
          <w:w w:val="150"/>
        </w:rPr>
        <w:t xml:space="preserve"> </w:t>
      </w:r>
      <w:r>
        <w:t>one.</w:t>
      </w:r>
      <w:r>
        <w:rPr>
          <w:spacing w:val="72"/>
          <w:w w:val="150"/>
        </w:rPr>
        <w:t xml:space="preserve"> </w:t>
      </w:r>
      <w:r>
        <w:t>A</w:t>
      </w:r>
      <w:r>
        <w:rPr>
          <w:spacing w:val="73"/>
          <w:w w:val="150"/>
        </w:rPr>
        <w:t xml:space="preserve"> </w:t>
      </w:r>
      <w:r>
        <w:t>life</w:t>
      </w:r>
      <w:r>
        <w:rPr>
          <w:spacing w:val="72"/>
          <w:w w:val="150"/>
        </w:rPr>
        <w:t xml:space="preserve"> </w:t>
      </w:r>
      <w:r>
        <w:t>of</w:t>
      </w:r>
      <w:r>
        <w:rPr>
          <w:spacing w:val="72"/>
          <w:w w:val="150"/>
        </w:rPr>
        <w:t xml:space="preserve"> </w:t>
      </w:r>
      <w:r>
        <w:t>self-denial—not</w:t>
      </w:r>
      <w:r>
        <w:rPr>
          <w:spacing w:val="73"/>
          <w:w w:val="150"/>
        </w:rPr>
        <w:t xml:space="preserve"> </w:t>
      </w:r>
      <w:r>
        <w:t>of</w:t>
      </w:r>
      <w:r>
        <w:rPr>
          <w:spacing w:val="72"/>
          <w:w w:val="150"/>
        </w:rPr>
        <w:t xml:space="preserve"> </w:t>
      </w:r>
      <w:r>
        <w:t>appropriate</w:t>
      </w:r>
      <w:r>
        <w:rPr>
          <w:spacing w:val="73"/>
          <w:w w:val="150"/>
        </w:rPr>
        <w:t xml:space="preserve"> </w:t>
      </w:r>
      <w:r>
        <w:t>self-</w:t>
      </w:r>
    </w:p>
    <w:p w14:paraId="7E00257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76" w14:textId="77777777" w:rsidR="009A58DB" w:rsidRDefault="00000000">
      <w:pPr>
        <w:pStyle w:val="BodyText"/>
        <w:spacing w:before="65" w:line="249" w:lineRule="auto"/>
        <w:ind w:right="362"/>
      </w:pPr>
      <w:r>
        <w:lastRenderedPageBreak/>
        <w:t>discipline, but of self-effacement—is, for that very reason, constructed</w:t>
      </w:r>
      <w:r>
        <w:rPr>
          <w:spacing w:val="40"/>
        </w:rPr>
        <w:t xml:space="preserve"> </w:t>
      </w:r>
      <w:r>
        <w:t>around the premise that it itself is worthless and, for that reason, aspires to validate that premise through continual self-denigration.</w:t>
      </w:r>
    </w:p>
    <w:p w14:paraId="7E002577" w14:textId="77777777" w:rsidR="009A58DB" w:rsidRDefault="00000000">
      <w:pPr>
        <w:pStyle w:val="ListParagraph"/>
        <w:numPr>
          <w:ilvl w:val="1"/>
          <w:numId w:val="56"/>
        </w:numPr>
        <w:tabs>
          <w:tab w:val="left" w:pos="1409"/>
        </w:tabs>
        <w:spacing w:before="191"/>
        <w:ind w:left="1409" w:hanging="1049"/>
        <w:rPr>
          <w:b/>
          <w:sz w:val="42"/>
        </w:rPr>
      </w:pPr>
      <w:r>
        <w:rPr>
          <w:b/>
          <w:sz w:val="42"/>
        </w:rPr>
        <w:t>Flourishing</w:t>
      </w:r>
      <w:r>
        <w:rPr>
          <w:b/>
          <w:spacing w:val="-8"/>
          <w:sz w:val="42"/>
        </w:rPr>
        <w:t xml:space="preserve"> </w:t>
      </w:r>
      <w:r>
        <w:rPr>
          <w:sz w:val="42"/>
        </w:rPr>
        <w:t>≠</w:t>
      </w:r>
      <w:r>
        <w:rPr>
          <w:spacing w:val="-7"/>
          <w:sz w:val="42"/>
        </w:rPr>
        <w:t xml:space="preserve"> </w:t>
      </w:r>
      <w:r>
        <w:rPr>
          <w:b/>
          <w:sz w:val="42"/>
        </w:rPr>
        <w:t>self-</w:t>
      </w:r>
      <w:r>
        <w:rPr>
          <w:b/>
          <w:spacing w:val="-2"/>
          <w:sz w:val="42"/>
        </w:rPr>
        <w:t>indulgence</w:t>
      </w:r>
    </w:p>
    <w:p w14:paraId="7E002578" w14:textId="77777777" w:rsidR="009A58DB" w:rsidRDefault="00000000">
      <w:pPr>
        <w:pStyle w:val="BodyText"/>
        <w:spacing w:before="139" w:line="249" w:lineRule="auto"/>
        <w:ind w:right="359"/>
      </w:pPr>
      <w:r>
        <w:t xml:space="preserve">No moral system can be viable if it fails to distinguish flourishing, which obviously has moral value, from mere self-indulgence, which does not. No moral system can be viable if the central premise of it is that, to have a life worth living, one must negate who one is. The central tenet of any viable moral theory is that, ultimately, the one and only thing that is of value is </w:t>
      </w:r>
      <w:r>
        <w:rPr>
          <w:spacing w:val="-2"/>
        </w:rPr>
        <w:t>flourishing.</w:t>
      </w:r>
    </w:p>
    <w:p w14:paraId="7E002579" w14:textId="77777777" w:rsidR="009A58DB" w:rsidRDefault="00000000">
      <w:pPr>
        <w:pStyle w:val="BodyText"/>
        <w:spacing w:before="8" w:line="249" w:lineRule="auto"/>
        <w:ind w:right="360" w:firstLine="360"/>
      </w:pPr>
      <w:r>
        <w:t xml:space="preserve">In many cases, flourishing involves helping others. Most people, in order to have good lives, have to be connected to others in cooperative and supportive ways. And for many people, flourishing means spending one’s days in the service of others. But that isn’t what it means to everyone. And if it isn’t what it means to you, your dedicating your life to an ethic of altruism, though laudable, will strip your life of any </w:t>
      </w:r>
      <w:r>
        <w:rPr>
          <w:i/>
        </w:rPr>
        <w:t>intrinsic</w:t>
      </w:r>
      <w:r>
        <w:rPr>
          <w:i/>
          <w:spacing w:val="-3"/>
        </w:rPr>
        <w:t xml:space="preserve"> </w:t>
      </w:r>
      <w:r>
        <w:t>value. Your life will still have</w:t>
      </w:r>
      <w:r>
        <w:rPr>
          <w:spacing w:val="-3"/>
        </w:rPr>
        <w:t xml:space="preserve"> </w:t>
      </w:r>
      <w:r>
        <w:rPr>
          <w:i/>
        </w:rPr>
        <w:t>value;</w:t>
      </w:r>
      <w:r>
        <w:rPr>
          <w:i/>
          <w:spacing w:val="-3"/>
        </w:rPr>
        <w:t xml:space="preserve"> </w:t>
      </w:r>
      <w:r>
        <w:t xml:space="preserve">it will still have </w:t>
      </w:r>
      <w:r>
        <w:rPr>
          <w:i/>
        </w:rPr>
        <w:t>moral</w:t>
      </w:r>
      <w:r>
        <w:rPr>
          <w:i/>
          <w:spacing w:val="-3"/>
        </w:rPr>
        <w:t xml:space="preserve"> </w:t>
      </w:r>
      <w:r>
        <w:t>value. But its value will lie in the fact that it makes it easier for others to flourish. Any value that it has will lies in the benefits it yields. It itself will be a horror.</w:t>
      </w:r>
    </w:p>
    <w:p w14:paraId="7E00257A" w14:textId="77777777" w:rsidR="009A58DB" w:rsidRDefault="00000000">
      <w:pPr>
        <w:pStyle w:val="BodyText"/>
        <w:spacing w:before="11" w:line="249" w:lineRule="auto"/>
        <w:ind w:right="361" w:firstLine="360"/>
      </w:pPr>
      <w:r>
        <w:t xml:space="preserve">What is generally described as “morality” is </w:t>
      </w:r>
      <w:r>
        <w:rPr>
          <w:i/>
        </w:rPr>
        <w:t xml:space="preserve">a </w:t>
      </w:r>
      <w:r>
        <w:t xml:space="preserve">kind of morality—a very important kind. But, contrary to what is generally alleged, it is actually a derivative form of morality. Non-derivative moral value lies in flourishing—nothing else. It is only a derivative, instrumental sort of moral value that lies in altruism (except in so far as people flourish by being altruistic—which most do to </w:t>
      </w:r>
      <w:r>
        <w:rPr>
          <w:i/>
        </w:rPr>
        <w:t xml:space="preserve">some </w:t>
      </w:r>
      <w:r>
        <w:t>extent, and some to a very great extent). We will now develop this idea.</w:t>
      </w:r>
    </w:p>
    <w:p w14:paraId="7E00257B" w14:textId="77777777" w:rsidR="009A58DB" w:rsidRDefault="00000000">
      <w:pPr>
        <w:pStyle w:val="Heading1"/>
        <w:numPr>
          <w:ilvl w:val="1"/>
          <w:numId w:val="55"/>
        </w:numPr>
        <w:tabs>
          <w:tab w:val="left" w:pos="1922"/>
        </w:tabs>
        <w:spacing w:before="211" w:line="244" w:lineRule="auto"/>
        <w:ind w:right="371" w:firstLine="0"/>
      </w:pPr>
      <w:r>
        <w:t>The</w:t>
      </w:r>
      <w:r>
        <w:rPr>
          <w:spacing w:val="80"/>
        </w:rPr>
        <w:t xml:space="preserve"> </w:t>
      </w:r>
      <w:r>
        <w:t>morality</w:t>
      </w:r>
      <w:r>
        <w:rPr>
          <w:spacing w:val="80"/>
        </w:rPr>
        <w:t xml:space="preserve"> </w:t>
      </w:r>
      <w:r>
        <w:t>of</w:t>
      </w:r>
      <w:r>
        <w:rPr>
          <w:spacing w:val="80"/>
        </w:rPr>
        <w:t xml:space="preserve"> </w:t>
      </w:r>
      <w:r>
        <w:t>duty</w:t>
      </w:r>
      <w:r>
        <w:rPr>
          <w:spacing w:val="80"/>
        </w:rPr>
        <w:t xml:space="preserve"> </w:t>
      </w:r>
      <w:r>
        <w:t>vs.</w:t>
      </w:r>
      <w:r>
        <w:rPr>
          <w:spacing w:val="80"/>
        </w:rPr>
        <w:t xml:space="preserve"> </w:t>
      </w:r>
      <w:r>
        <w:t>the</w:t>
      </w:r>
      <w:r>
        <w:rPr>
          <w:spacing w:val="80"/>
        </w:rPr>
        <w:t xml:space="preserve"> </w:t>
      </w:r>
      <w:r>
        <w:t>morality</w:t>
      </w:r>
      <w:r>
        <w:rPr>
          <w:spacing w:val="80"/>
        </w:rPr>
        <w:t xml:space="preserve"> </w:t>
      </w:r>
      <w:r>
        <w:t xml:space="preserve">of </w:t>
      </w:r>
      <w:r>
        <w:rPr>
          <w:spacing w:val="-2"/>
        </w:rPr>
        <w:t>aspiration</w:t>
      </w:r>
    </w:p>
    <w:p w14:paraId="7E00257C" w14:textId="77777777" w:rsidR="009A58DB" w:rsidRDefault="00000000">
      <w:pPr>
        <w:pStyle w:val="BodyText"/>
        <w:spacing w:before="207" w:line="249" w:lineRule="auto"/>
        <w:ind w:right="364"/>
      </w:pPr>
      <w:r>
        <w:t>Some ethicists distinguish between what they call “the morality of duty” and “the</w:t>
      </w:r>
      <w:r>
        <w:rPr>
          <w:spacing w:val="-1"/>
        </w:rPr>
        <w:t xml:space="preserve"> </w:t>
      </w:r>
      <w:r>
        <w:t>morality</w:t>
      </w:r>
      <w:r>
        <w:rPr>
          <w:spacing w:val="-1"/>
        </w:rPr>
        <w:t xml:space="preserve"> </w:t>
      </w:r>
      <w:r>
        <w:t>of</w:t>
      </w:r>
      <w:r>
        <w:rPr>
          <w:spacing w:val="-1"/>
        </w:rPr>
        <w:t xml:space="preserve"> </w:t>
      </w:r>
      <w:r>
        <w:t>aspiration.”</w:t>
      </w:r>
      <w:r>
        <w:rPr>
          <w:spacing w:val="-1"/>
        </w:rPr>
        <w:t xml:space="preserve"> </w:t>
      </w:r>
      <w:r>
        <w:t>The</w:t>
      </w:r>
      <w:r>
        <w:rPr>
          <w:spacing w:val="-1"/>
        </w:rPr>
        <w:t xml:space="preserve"> </w:t>
      </w:r>
      <w:r>
        <w:t>morality</w:t>
      </w:r>
      <w:r>
        <w:rPr>
          <w:spacing w:val="-1"/>
        </w:rPr>
        <w:t xml:space="preserve"> </w:t>
      </w:r>
      <w:r>
        <w:t>of</w:t>
      </w:r>
      <w:r>
        <w:rPr>
          <w:spacing w:val="-1"/>
        </w:rPr>
        <w:t xml:space="preserve"> </w:t>
      </w:r>
      <w:r>
        <w:t>duty</w:t>
      </w:r>
      <w:r>
        <w:rPr>
          <w:spacing w:val="-1"/>
        </w:rPr>
        <w:t xml:space="preserve"> </w:t>
      </w:r>
      <w:r>
        <w:t>is</w:t>
      </w:r>
      <w:r>
        <w:rPr>
          <w:spacing w:val="-1"/>
        </w:rPr>
        <w:t xml:space="preserve"> </w:t>
      </w:r>
      <w:r>
        <w:t>what</w:t>
      </w:r>
      <w:r>
        <w:rPr>
          <w:spacing w:val="-1"/>
        </w:rPr>
        <w:t xml:space="preserve"> </w:t>
      </w:r>
      <w:r>
        <w:t>would</w:t>
      </w:r>
      <w:r>
        <w:rPr>
          <w:spacing w:val="-1"/>
        </w:rPr>
        <w:t xml:space="preserve"> </w:t>
      </w:r>
      <w:r>
        <w:t>ordinarily</w:t>
      </w:r>
      <w:r>
        <w:rPr>
          <w:spacing w:val="-1"/>
        </w:rPr>
        <w:t xml:space="preserve"> </w:t>
      </w:r>
      <w:r>
        <w:t>be described as morality. It consists of the directives that forbid us, except under special circumstances, from killing, stealing, lying, etc.</w:t>
      </w:r>
    </w:p>
    <w:p w14:paraId="7E00257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7E" w14:textId="77777777" w:rsidR="009A58DB" w:rsidRDefault="00000000">
      <w:pPr>
        <w:pStyle w:val="BodyText"/>
        <w:spacing w:before="65" w:line="249" w:lineRule="auto"/>
        <w:ind w:right="359" w:firstLine="360"/>
      </w:pPr>
      <w:r>
        <w:lastRenderedPageBreak/>
        <w:t xml:space="preserve">The so-called morality of aspiration is a very different sort of thing. It consists of the directives that one must follow if one is to have a good life—a life that is good in the sense in which </w:t>
      </w:r>
      <w:r>
        <w:rPr>
          <w:i/>
        </w:rPr>
        <w:t xml:space="preserve">Brown’s </w:t>
      </w:r>
      <w:r>
        <w:t xml:space="preserve">life is good, not in the alienated sense in which </w:t>
      </w:r>
      <w:r>
        <w:rPr>
          <w:i/>
        </w:rPr>
        <w:t xml:space="preserve">Smith’s </w:t>
      </w:r>
      <w:r>
        <w:t>life is good.</w:t>
      </w:r>
    </w:p>
    <w:p w14:paraId="7E00257F" w14:textId="77777777" w:rsidR="009A58DB" w:rsidRDefault="00000000">
      <w:pPr>
        <w:pStyle w:val="BodyText"/>
        <w:spacing w:before="5" w:line="249" w:lineRule="auto"/>
        <w:ind w:right="358" w:firstLine="360"/>
      </w:pPr>
      <w:r>
        <w:t>Two</w:t>
      </w:r>
      <w:r>
        <w:rPr>
          <w:spacing w:val="-2"/>
        </w:rPr>
        <w:t xml:space="preserve"> </w:t>
      </w:r>
      <w:r>
        <w:t>questions</w:t>
      </w:r>
      <w:r>
        <w:rPr>
          <w:spacing w:val="-2"/>
        </w:rPr>
        <w:t xml:space="preserve"> </w:t>
      </w:r>
      <w:r>
        <w:t>arise.</w:t>
      </w:r>
      <w:r>
        <w:rPr>
          <w:spacing w:val="-2"/>
        </w:rPr>
        <w:t xml:space="preserve"> </w:t>
      </w:r>
      <w:r>
        <w:t>First,</w:t>
      </w:r>
      <w:r>
        <w:rPr>
          <w:spacing w:val="-2"/>
        </w:rPr>
        <w:t xml:space="preserve"> </w:t>
      </w:r>
      <w:r>
        <w:t>is</w:t>
      </w:r>
      <w:r>
        <w:rPr>
          <w:spacing w:val="-2"/>
        </w:rPr>
        <w:t xml:space="preserve"> </w:t>
      </w:r>
      <w:r>
        <w:t>it</w:t>
      </w:r>
      <w:r>
        <w:rPr>
          <w:spacing w:val="-2"/>
        </w:rPr>
        <w:t xml:space="preserve"> </w:t>
      </w:r>
      <w:r>
        <w:t>right</w:t>
      </w:r>
      <w:r>
        <w:rPr>
          <w:spacing w:val="-2"/>
        </w:rPr>
        <w:t xml:space="preserve"> </w:t>
      </w:r>
      <w:r>
        <w:t>to</w:t>
      </w:r>
      <w:r>
        <w:rPr>
          <w:spacing w:val="-2"/>
        </w:rPr>
        <w:t xml:space="preserve"> </w:t>
      </w:r>
      <w:r>
        <w:t>speak</w:t>
      </w:r>
      <w:r>
        <w:rPr>
          <w:spacing w:val="-2"/>
        </w:rPr>
        <w:t xml:space="preserve"> </w:t>
      </w:r>
      <w:r>
        <w:t>of</w:t>
      </w:r>
      <w:r>
        <w:rPr>
          <w:spacing w:val="-2"/>
        </w:rPr>
        <w:t xml:space="preserve"> </w:t>
      </w:r>
      <w:r>
        <w:t>the</w:t>
      </w:r>
      <w:r>
        <w:rPr>
          <w:spacing w:val="-2"/>
        </w:rPr>
        <w:t xml:space="preserve"> </w:t>
      </w:r>
      <w:r>
        <w:rPr>
          <w:i/>
        </w:rPr>
        <w:t>morality</w:t>
      </w:r>
      <w:r>
        <w:rPr>
          <w:i/>
          <w:spacing w:val="-4"/>
        </w:rPr>
        <w:t xml:space="preserve"> </w:t>
      </w:r>
      <w:r>
        <w:t>of aspiration? Given how different the so-called “morality” of aspiration is from the acts of self-sacrifice that we would customarily see as paragons of morality—nay, given how antithetical the two are—it is by no means obvious that, in the expression “the morality of aspiration,” the word “morality” shouldn’t be replaced with some other.</w:t>
      </w:r>
    </w:p>
    <w:p w14:paraId="7E002580" w14:textId="77777777" w:rsidR="009A58DB" w:rsidRDefault="00000000">
      <w:pPr>
        <w:pStyle w:val="BodyText"/>
        <w:spacing w:before="7" w:line="249" w:lineRule="auto"/>
        <w:ind w:right="359" w:firstLine="360"/>
      </w:pPr>
      <w:r>
        <w:t xml:space="preserve">Second, what is the connection between these two sorts of morality (or, if the morality of aspiration isn’t really a morality at all, between these two things)? Do the two sorts of morality ever coalesce? Is compliance with the morality of duty </w:t>
      </w:r>
      <w:r>
        <w:rPr>
          <w:i/>
        </w:rPr>
        <w:t xml:space="preserve">necessary </w:t>
      </w:r>
      <w:r>
        <w:t xml:space="preserve">for flourishing (that is, for compliance with the morality of aspiration)? Or, on the contrary, are they incompatible? Or are any connections between them, whether positive or negative, purely </w:t>
      </w:r>
      <w:r>
        <w:rPr>
          <w:spacing w:val="-2"/>
        </w:rPr>
        <w:t>circumstantial?</w:t>
      </w:r>
    </w:p>
    <w:p w14:paraId="7E002581" w14:textId="77777777" w:rsidR="009A58DB" w:rsidRDefault="00000000">
      <w:pPr>
        <w:pStyle w:val="BodyText"/>
        <w:spacing w:before="9" w:line="249" w:lineRule="auto"/>
        <w:ind w:right="358" w:firstLine="360"/>
      </w:pPr>
      <w:r>
        <w:t xml:space="preserve">We’ve already answered the first question—the answer to it is “yes.” We saw this when discussing Smith and Brown. Smith’s life is one of constant torment. He is a person of talent and goodness who is rewarded for his troubles with unending distress. So far as his life has any value, it lies in the fact that it brings joy to others. Thus, given what Smith has chosen to do with his life, his life per se is worthless, its only value being that it conduces to the welfare of others. Smith himself admits this—in his actions, if not his words. In persistently disregarding his own needs, he’s saying: “I live but for others; my own life is but a means to their ends.” Which is a way of saying: “my life has no intrinsic value and, therefore, no </w:t>
      </w:r>
      <w:r>
        <w:rPr>
          <w:i/>
        </w:rPr>
        <w:t xml:space="preserve">real </w:t>
      </w:r>
      <w:r>
        <w:t>value.”</w:t>
      </w:r>
    </w:p>
    <w:p w14:paraId="7E002582" w14:textId="77777777" w:rsidR="009A58DB" w:rsidRDefault="00000000">
      <w:pPr>
        <w:pStyle w:val="BodyText"/>
        <w:spacing w:before="12" w:line="249" w:lineRule="auto"/>
        <w:ind w:right="358" w:firstLine="360"/>
      </w:pPr>
      <w:r>
        <w:t xml:space="preserve">The only </w:t>
      </w:r>
      <w:r>
        <w:rPr>
          <w:i/>
        </w:rPr>
        <w:t>intrinsically</w:t>
      </w:r>
      <w:r>
        <w:rPr>
          <w:i/>
          <w:spacing w:val="-2"/>
        </w:rPr>
        <w:t xml:space="preserve"> </w:t>
      </w:r>
      <w:r>
        <w:t>valuable thing is flourishing. (It follows that what is intrinsically valuable for me is different from what is intrinsically valuable</w:t>
      </w:r>
      <w:r>
        <w:rPr>
          <w:spacing w:val="40"/>
        </w:rPr>
        <w:t xml:space="preserve"> </w:t>
      </w:r>
      <w:r>
        <w:t>for you. My flourishing is what is intrinsically valuable for me; your flourishing is what is intrinsically valuable for you.) Acting morally at least sometimes consists of acting in a way that’s conducive to the flourishing of others. This is a given. It would therefore make no sense to say that flourishing itself has no value. In other words, the following statement makes no sens</w:t>
      </w:r>
      <w:bookmarkStart w:id="512" w:name="_bookmark512"/>
      <w:bookmarkEnd w:id="512"/>
      <w:r>
        <w:t>e</w:t>
      </w:r>
      <w:r>
        <w:rPr>
          <w:color w:val="0562C1"/>
          <w:position w:val="21"/>
          <w:u w:val="single" w:color="0562C1"/>
        </w:rPr>
        <w:t>[382]</w:t>
      </w:r>
      <w:r>
        <w:t>:</w:t>
      </w:r>
    </w:p>
    <w:p w14:paraId="7E00258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84" w14:textId="77777777" w:rsidR="009A58DB" w:rsidRDefault="00000000">
      <w:pPr>
        <w:pStyle w:val="BodyText"/>
        <w:spacing w:before="65" w:line="249" w:lineRule="auto"/>
        <w:ind w:right="371"/>
      </w:pPr>
      <w:r>
        <w:lastRenderedPageBreak/>
        <w:t>(MC) It is morally valuable to help others flourishing; but a person’s flourishing does not itself have moral worth.</w:t>
      </w:r>
    </w:p>
    <w:p w14:paraId="7E002585" w14:textId="77777777" w:rsidR="009A58DB" w:rsidRDefault="009A58DB">
      <w:pPr>
        <w:pStyle w:val="BodyText"/>
        <w:spacing w:before="17"/>
        <w:ind w:left="0"/>
        <w:jc w:val="left"/>
      </w:pPr>
    </w:p>
    <w:p w14:paraId="7E002586" w14:textId="77777777" w:rsidR="009A58DB" w:rsidRDefault="00000000">
      <w:pPr>
        <w:pStyle w:val="BodyText"/>
        <w:spacing w:line="249" w:lineRule="auto"/>
        <w:ind w:right="358"/>
      </w:pPr>
      <w:r>
        <w:rPr>
          <w:i/>
        </w:rPr>
        <w:t>If</w:t>
      </w:r>
      <w:r>
        <w:rPr>
          <w:i/>
          <w:spacing w:val="-4"/>
        </w:rPr>
        <w:t xml:space="preserve"> </w:t>
      </w:r>
      <w:r>
        <w:t>helping</w:t>
      </w:r>
      <w:r>
        <w:rPr>
          <w:spacing w:val="-1"/>
        </w:rPr>
        <w:t xml:space="preserve"> </w:t>
      </w:r>
      <w:r>
        <w:t>others</w:t>
      </w:r>
      <w:r>
        <w:rPr>
          <w:spacing w:val="-1"/>
        </w:rPr>
        <w:t xml:space="preserve"> </w:t>
      </w:r>
      <w:r>
        <w:t>flourish</w:t>
      </w:r>
      <w:r>
        <w:rPr>
          <w:spacing w:val="-1"/>
        </w:rPr>
        <w:t xml:space="preserve"> </w:t>
      </w:r>
      <w:r>
        <w:t>has</w:t>
      </w:r>
      <w:r>
        <w:rPr>
          <w:spacing w:val="-1"/>
        </w:rPr>
        <w:t xml:space="preserve"> </w:t>
      </w:r>
      <w:r>
        <w:t>moral</w:t>
      </w:r>
      <w:r>
        <w:rPr>
          <w:spacing w:val="-1"/>
        </w:rPr>
        <w:t xml:space="preserve"> </w:t>
      </w:r>
      <w:r>
        <w:t>value,</w:t>
      </w:r>
      <w:r>
        <w:rPr>
          <w:spacing w:val="-1"/>
        </w:rPr>
        <w:t xml:space="preserve"> </w:t>
      </w:r>
      <w:r>
        <w:t>which</w:t>
      </w:r>
      <w:r>
        <w:rPr>
          <w:spacing w:val="-1"/>
        </w:rPr>
        <w:t xml:space="preserve"> </w:t>
      </w:r>
      <w:r>
        <w:t>it</w:t>
      </w:r>
      <w:r>
        <w:rPr>
          <w:spacing w:val="-1"/>
        </w:rPr>
        <w:t xml:space="preserve"> </w:t>
      </w:r>
      <w:r>
        <w:t>obviously</w:t>
      </w:r>
      <w:r>
        <w:rPr>
          <w:spacing w:val="-1"/>
        </w:rPr>
        <w:t xml:space="preserve"> </w:t>
      </w:r>
      <w:r>
        <w:t>does,</w:t>
      </w:r>
      <w:r>
        <w:rPr>
          <w:spacing w:val="-1"/>
        </w:rPr>
        <w:t xml:space="preserve"> </w:t>
      </w:r>
      <w:r>
        <w:t>that</w:t>
      </w:r>
      <w:r>
        <w:rPr>
          <w:spacing w:val="-1"/>
        </w:rPr>
        <w:t xml:space="preserve"> </w:t>
      </w:r>
      <w:r>
        <w:t>moral value must be derivative of the moral value had by flourishing itself. MC is therefore comparable to the statement:</w:t>
      </w:r>
    </w:p>
    <w:p w14:paraId="7E002587" w14:textId="77777777" w:rsidR="009A58DB" w:rsidRDefault="009A58DB">
      <w:pPr>
        <w:pStyle w:val="BodyText"/>
        <w:spacing w:before="19"/>
        <w:ind w:left="0"/>
        <w:jc w:val="left"/>
      </w:pPr>
    </w:p>
    <w:p w14:paraId="7E002588" w14:textId="77777777" w:rsidR="009A58DB" w:rsidRDefault="00000000">
      <w:pPr>
        <w:pStyle w:val="BodyText"/>
        <w:spacing w:line="249" w:lineRule="auto"/>
        <w:ind w:right="361"/>
      </w:pPr>
      <w:r>
        <w:t>(MC*) Effective medicines have value, the reason being that it enables</w:t>
      </w:r>
      <w:r>
        <w:rPr>
          <w:spacing w:val="40"/>
        </w:rPr>
        <w:t xml:space="preserve"> </w:t>
      </w:r>
      <w:r>
        <w:t xml:space="preserve">people to have good health. But good health does not </w:t>
      </w:r>
      <w:r>
        <w:rPr>
          <w:i/>
        </w:rPr>
        <w:t xml:space="preserve">itself </w:t>
      </w:r>
      <w:r>
        <w:t>value.</w:t>
      </w:r>
    </w:p>
    <w:p w14:paraId="7E002589" w14:textId="77777777" w:rsidR="009A58DB" w:rsidRDefault="009A58DB">
      <w:pPr>
        <w:pStyle w:val="BodyText"/>
        <w:spacing w:before="17"/>
        <w:ind w:left="0"/>
        <w:jc w:val="left"/>
      </w:pPr>
    </w:p>
    <w:p w14:paraId="7E00258A" w14:textId="77777777" w:rsidR="009A58DB" w:rsidRDefault="00000000">
      <w:pPr>
        <w:pStyle w:val="BodyText"/>
      </w:pPr>
      <w:r>
        <w:t>MC*</w:t>
      </w:r>
      <w:r>
        <w:rPr>
          <w:spacing w:val="-3"/>
        </w:rPr>
        <w:t xml:space="preserve"> </w:t>
      </w:r>
      <w:r>
        <w:t>is</w:t>
      </w:r>
      <w:r>
        <w:rPr>
          <w:spacing w:val="-3"/>
        </w:rPr>
        <w:t xml:space="preserve"> </w:t>
      </w:r>
      <w:r>
        <w:t>nonsense;</w:t>
      </w:r>
      <w:r>
        <w:rPr>
          <w:spacing w:val="-4"/>
        </w:rPr>
        <w:t xml:space="preserve"> </w:t>
      </w:r>
      <w:r>
        <w:t>and</w:t>
      </w:r>
      <w:r>
        <w:rPr>
          <w:spacing w:val="-2"/>
        </w:rPr>
        <w:t xml:space="preserve"> </w:t>
      </w:r>
      <w:r>
        <w:t>so,</w:t>
      </w:r>
      <w:r>
        <w:rPr>
          <w:spacing w:val="-3"/>
        </w:rPr>
        <w:t xml:space="preserve"> </w:t>
      </w:r>
      <w:r>
        <w:t>therefore,</w:t>
      </w:r>
      <w:r>
        <w:rPr>
          <w:spacing w:val="-2"/>
        </w:rPr>
        <w:t xml:space="preserve"> </w:t>
      </w:r>
      <w:r>
        <w:t>is</w:t>
      </w:r>
      <w:r>
        <w:rPr>
          <w:spacing w:val="-3"/>
        </w:rPr>
        <w:t xml:space="preserve"> </w:t>
      </w:r>
      <w:r>
        <w:rPr>
          <w:spacing w:val="-5"/>
        </w:rPr>
        <w:t>MC.</w:t>
      </w:r>
    </w:p>
    <w:p w14:paraId="7E00258B" w14:textId="77777777" w:rsidR="009A58DB" w:rsidRDefault="00000000">
      <w:pPr>
        <w:pStyle w:val="Heading1"/>
        <w:numPr>
          <w:ilvl w:val="1"/>
          <w:numId w:val="55"/>
        </w:numPr>
        <w:tabs>
          <w:tab w:val="left" w:pos="1873"/>
        </w:tabs>
        <w:spacing w:line="244" w:lineRule="auto"/>
        <w:ind w:right="371" w:firstLine="0"/>
      </w:pPr>
      <w:r>
        <w:t>The</w:t>
      </w:r>
      <w:r>
        <w:rPr>
          <w:spacing w:val="40"/>
        </w:rPr>
        <w:t xml:space="preserve"> </w:t>
      </w:r>
      <w:r>
        <w:t>connection</w:t>
      </w:r>
      <w:r>
        <w:rPr>
          <w:spacing w:val="40"/>
        </w:rPr>
        <w:t xml:space="preserve"> </w:t>
      </w:r>
      <w:r>
        <w:t>between</w:t>
      </w:r>
      <w:r>
        <w:rPr>
          <w:spacing w:val="40"/>
        </w:rPr>
        <w:t xml:space="preserve"> </w:t>
      </w:r>
      <w:r>
        <w:t>the</w:t>
      </w:r>
      <w:r>
        <w:rPr>
          <w:spacing w:val="40"/>
        </w:rPr>
        <w:t xml:space="preserve"> </w:t>
      </w:r>
      <w:r>
        <w:t>two</w:t>
      </w:r>
      <w:r>
        <w:rPr>
          <w:spacing w:val="40"/>
        </w:rPr>
        <w:t xml:space="preserve"> </w:t>
      </w:r>
      <w:r>
        <w:t>kinds</w:t>
      </w:r>
      <w:r>
        <w:rPr>
          <w:spacing w:val="40"/>
        </w:rPr>
        <w:t xml:space="preserve"> </w:t>
      </w:r>
      <w:r>
        <w:t>of</w:t>
      </w:r>
      <w:r>
        <w:rPr>
          <w:spacing w:val="40"/>
        </w:rPr>
        <w:t xml:space="preserve"> </w:t>
      </w:r>
      <w:r>
        <w:rPr>
          <w:spacing w:val="-2"/>
        </w:rPr>
        <w:t>morality</w:t>
      </w:r>
    </w:p>
    <w:p w14:paraId="7E00258C" w14:textId="77777777" w:rsidR="009A58DB" w:rsidRDefault="00000000">
      <w:pPr>
        <w:pStyle w:val="BodyText"/>
        <w:spacing w:before="132" w:line="249" w:lineRule="auto"/>
        <w:ind w:right="365"/>
      </w:pPr>
      <w:r>
        <w:t>But we have to yet answer the question: “what is the connection between the morality of duty and the morality of aspiration?” Let us turn to this now.</w:t>
      </w:r>
    </w:p>
    <w:p w14:paraId="7E00258D" w14:textId="77777777" w:rsidR="009A58DB" w:rsidRDefault="00000000">
      <w:pPr>
        <w:pStyle w:val="BodyText"/>
        <w:spacing w:before="3" w:line="249" w:lineRule="auto"/>
        <w:ind w:right="360" w:firstLine="360"/>
      </w:pPr>
      <w:r>
        <w:t>Acts that we typically describe as “immoral” are those that are incompatible with the interests of others. “Immoral” acts disrupt a social equilibrium on which people depend. Acts that we typically describe as “moral” are those that don’t violate the interests of others. But “immorality” can’t</w:t>
      </w:r>
      <w:r>
        <w:rPr>
          <w:spacing w:val="-3"/>
        </w:rPr>
        <w:t xml:space="preserve"> </w:t>
      </w:r>
      <w:r>
        <w:t>be</w:t>
      </w:r>
      <w:r>
        <w:rPr>
          <w:spacing w:val="-3"/>
        </w:rPr>
        <w:t xml:space="preserve"> </w:t>
      </w:r>
      <w:r>
        <w:t>defined</w:t>
      </w:r>
      <w:r>
        <w:rPr>
          <w:spacing w:val="-3"/>
        </w:rPr>
        <w:t xml:space="preserve"> </w:t>
      </w:r>
      <w:r>
        <w:t>as</w:t>
      </w:r>
      <w:r>
        <w:rPr>
          <w:spacing w:val="-3"/>
        </w:rPr>
        <w:t xml:space="preserve"> </w:t>
      </w:r>
      <w:r>
        <w:t>“the</w:t>
      </w:r>
      <w:r>
        <w:rPr>
          <w:spacing w:val="-3"/>
        </w:rPr>
        <w:t xml:space="preserve"> </w:t>
      </w:r>
      <w:r>
        <w:t>thwarting</w:t>
      </w:r>
      <w:r>
        <w:rPr>
          <w:spacing w:val="-3"/>
        </w:rPr>
        <w:t xml:space="preserve"> </w:t>
      </w:r>
      <w:r>
        <w:t>of</w:t>
      </w:r>
      <w:r>
        <w:rPr>
          <w:spacing w:val="-3"/>
        </w:rPr>
        <w:t xml:space="preserve"> </w:t>
      </w:r>
      <w:r>
        <w:t>other</w:t>
      </w:r>
      <w:r>
        <w:rPr>
          <w:spacing w:val="-3"/>
        </w:rPr>
        <w:t xml:space="preserve"> </w:t>
      </w:r>
      <w:r>
        <w:t>people’s</w:t>
      </w:r>
      <w:r>
        <w:rPr>
          <w:spacing w:val="-3"/>
        </w:rPr>
        <w:t xml:space="preserve"> </w:t>
      </w:r>
      <w:r>
        <w:t>interests”;</w:t>
      </w:r>
      <w:r>
        <w:rPr>
          <w:spacing w:val="-3"/>
        </w:rPr>
        <w:t xml:space="preserve"> </w:t>
      </w:r>
      <w:r>
        <w:t>there’s</w:t>
      </w:r>
      <w:r>
        <w:rPr>
          <w:spacing w:val="-3"/>
        </w:rPr>
        <w:t xml:space="preserve"> </w:t>
      </w:r>
      <w:r>
        <w:t>more</w:t>
      </w:r>
      <w:r>
        <w:rPr>
          <w:spacing w:val="-3"/>
        </w:rPr>
        <w:t xml:space="preserve"> </w:t>
      </w:r>
      <w:r>
        <w:t xml:space="preserve">to it than that, and the same thing </w:t>
      </w:r>
      <w:r>
        <w:rPr>
          <w:i/>
        </w:rPr>
        <w:t xml:space="preserve">mutatis mutandis </w:t>
      </w:r>
      <w:r>
        <w:t xml:space="preserve">is true of the term </w:t>
      </w:r>
      <w:r>
        <w:rPr>
          <w:spacing w:val="-2"/>
        </w:rPr>
        <w:t>“morality.”</w:t>
      </w:r>
    </w:p>
    <w:p w14:paraId="7E00258E" w14:textId="77777777" w:rsidR="009A58DB" w:rsidRDefault="00000000">
      <w:pPr>
        <w:pStyle w:val="BodyText"/>
        <w:spacing w:before="8" w:line="249" w:lineRule="auto"/>
        <w:ind w:right="358" w:firstLine="360"/>
      </w:pPr>
      <w:r>
        <w:t xml:space="preserve">Smith is a person. He is a valued member of the community. I personally like him. But I kill him. Why? Because I want his money so that I can buy a third yacht. My killing Smith is “immoral.” But why? Is it because I violated the interests of another human being? That’s surely a very important part of the answer. But it isn’t the whole answer. A judge who sentences a serial killer to a prison sentence violates the interest of another human. So does a police officer who arrests somebody who is trying to shoot children in playground. But these acts aren’t immoral. On the contrary, they’re very </w:t>
      </w:r>
      <w:r>
        <w:rPr>
          <w:spacing w:val="-2"/>
        </w:rPr>
        <w:t>moral.</w:t>
      </w:r>
    </w:p>
    <w:p w14:paraId="7E00258F" w14:textId="77777777" w:rsidR="009A58DB" w:rsidRDefault="00000000">
      <w:pPr>
        <w:pStyle w:val="BodyText"/>
        <w:spacing w:before="11" w:line="249" w:lineRule="auto"/>
        <w:ind w:right="359" w:firstLine="360"/>
      </w:pPr>
      <w:r>
        <w:t>In killing Smith, I’m undermining the integrity of social institutions on which</w:t>
      </w:r>
      <w:r>
        <w:rPr>
          <w:spacing w:val="40"/>
        </w:rPr>
        <w:t xml:space="preserve"> </w:t>
      </w:r>
      <w:r>
        <w:t>the</w:t>
      </w:r>
      <w:r>
        <w:rPr>
          <w:spacing w:val="40"/>
        </w:rPr>
        <w:t xml:space="preserve"> </w:t>
      </w:r>
      <w:r>
        <w:t>happiness</w:t>
      </w:r>
      <w:r>
        <w:rPr>
          <w:spacing w:val="40"/>
        </w:rPr>
        <w:t xml:space="preserve"> </w:t>
      </w:r>
      <w:r>
        <w:t>and</w:t>
      </w:r>
      <w:r>
        <w:rPr>
          <w:spacing w:val="40"/>
        </w:rPr>
        <w:t xml:space="preserve"> </w:t>
      </w:r>
      <w:r>
        <w:t>welfare</w:t>
      </w:r>
      <w:r>
        <w:rPr>
          <w:spacing w:val="40"/>
        </w:rPr>
        <w:t xml:space="preserve"> </w:t>
      </w:r>
      <w:r>
        <w:t>of</w:t>
      </w:r>
      <w:r>
        <w:rPr>
          <w:spacing w:val="40"/>
        </w:rPr>
        <w:t xml:space="preserve"> </w:t>
      </w:r>
      <w:r>
        <w:t>people</w:t>
      </w:r>
      <w:r>
        <w:rPr>
          <w:spacing w:val="40"/>
        </w:rPr>
        <w:t xml:space="preserve"> </w:t>
      </w:r>
      <w:r>
        <w:t>in</w:t>
      </w:r>
      <w:r>
        <w:rPr>
          <w:spacing w:val="40"/>
        </w:rPr>
        <w:t xml:space="preserve"> </w:t>
      </w:r>
      <w:r>
        <w:t>general</w:t>
      </w:r>
      <w:r>
        <w:rPr>
          <w:spacing w:val="40"/>
        </w:rPr>
        <w:t xml:space="preserve"> </w:t>
      </w:r>
      <w:r>
        <w:t>depend.</w:t>
      </w:r>
      <w:r>
        <w:rPr>
          <w:spacing w:val="40"/>
        </w:rPr>
        <w:t xml:space="preserve"> </w:t>
      </w:r>
      <w:r>
        <w:t>That’s</w:t>
      </w:r>
      <w:r>
        <w:rPr>
          <w:spacing w:val="40"/>
        </w:rPr>
        <w:t xml:space="preserve"> </w:t>
      </w:r>
      <w:r>
        <w:t>why</w:t>
      </w:r>
    </w:p>
    <w:p w14:paraId="7E002590"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591" w14:textId="77777777" w:rsidR="009A58DB" w:rsidRDefault="00000000">
      <w:pPr>
        <w:pStyle w:val="BodyText"/>
        <w:spacing w:before="60" w:line="249" w:lineRule="auto"/>
        <w:ind w:right="360"/>
      </w:pPr>
      <w:r>
        <w:lastRenderedPageBreak/>
        <w:t>what</w:t>
      </w:r>
      <w:r>
        <w:rPr>
          <w:spacing w:val="-1"/>
        </w:rPr>
        <w:t xml:space="preserve"> </w:t>
      </w:r>
      <w:r>
        <w:t>I’m</w:t>
      </w:r>
      <w:r>
        <w:rPr>
          <w:spacing w:val="-1"/>
        </w:rPr>
        <w:t xml:space="preserve"> </w:t>
      </w:r>
      <w:r>
        <w:t>doing</w:t>
      </w:r>
      <w:r>
        <w:rPr>
          <w:spacing w:val="-1"/>
        </w:rPr>
        <w:t xml:space="preserve"> </w:t>
      </w:r>
      <w:r>
        <w:t>is</w:t>
      </w:r>
      <w:r>
        <w:rPr>
          <w:spacing w:val="-1"/>
        </w:rPr>
        <w:t xml:space="preserve"> </w:t>
      </w:r>
      <w:r>
        <w:t>immoral.</w:t>
      </w:r>
      <w:r>
        <w:rPr>
          <w:spacing w:val="-1"/>
        </w:rPr>
        <w:t xml:space="preserve"> </w:t>
      </w:r>
      <w:r>
        <w:t>In</w:t>
      </w:r>
      <w:r>
        <w:rPr>
          <w:spacing w:val="-1"/>
        </w:rPr>
        <w:t xml:space="preserve"> </w:t>
      </w:r>
      <w:r>
        <w:t>killing</w:t>
      </w:r>
      <w:r>
        <w:rPr>
          <w:spacing w:val="-1"/>
        </w:rPr>
        <w:t xml:space="preserve"> </w:t>
      </w:r>
      <w:r>
        <w:t>the</w:t>
      </w:r>
      <w:r>
        <w:rPr>
          <w:spacing w:val="-1"/>
        </w:rPr>
        <w:t xml:space="preserve"> </w:t>
      </w:r>
      <w:r>
        <w:t>deranged</w:t>
      </w:r>
      <w:r>
        <w:rPr>
          <w:spacing w:val="-1"/>
        </w:rPr>
        <w:t xml:space="preserve"> </w:t>
      </w:r>
      <w:r>
        <w:t>gunman,</w:t>
      </w:r>
      <w:r>
        <w:rPr>
          <w:spacing w:val="-1"/>
        </w:rPr>
        <w:t xml:space="preserve"> </w:t>
      </w:r>
      <w:r>
        <w:t>the</w:t>
      </w:r>
      <w:r>
        <w:rPr>
          <w:spacing w:val="-1"/>
        </w:rPr>
        <w:t xml:space="preserve"> </w:t>
      </w:r>
      <w:r>
        <w:t>police</w:t>
      </w:r>
      <w:r>
        <w:rPr>
          <w:spacing w:val="-1"/>
        </w:rPr>
        <w:t xml:space="preserve"> </w:t>
      </w:r>
      <w:r>
        <w:t>officer is protecting those very institutions. That’s why what he’s doing is moral.</w:t>
      </w:r>
    </w:p>
    <w:p w14:paraId="7E002592" w14:textId="77777777" w:rsidR="009A58DB" w:rsidRDefault="00000000">
      <w:pPr>
        <w:pStyle w:val="Heading1"/>
        <w:numPr>
          <w:ilvl w:val="1"/>
          <w:numId w:val="55"/>
        </w:numPr>
        <w:tabs>
          <w:tab w:val="left" w:pos="1080"/>
          <w:tab w:val="left" w:pos="1568"/>
        </w:tabs>
        <w:spacing w:before="195" w:line="244" w:lineRule="auto"/>
        <w:ind w:left="1080" w:right="358" w:hanging="720"/>
      </w:pPr>
      <w:r>
        <w:tab/>
        <w:t>Why flourishing depends instrumentally and also constitutively on social institutions</w:t>
      </w:r>
    </w:p>
    <w:p w14:paraId="7E002593" w14:textId="77777777" w:rsidR="009A58DB" w:rsidRDefault="00000000">
      <w:pPr>
        <w:pStyle w:val="BodyText"/>
        <w:spacing w:before="132" w:line="249" w:lineRule="auto"/>
        <w:ind w:right="359"/>
      </w:pPr>
      <w:r>
        <w:t>Consider the aspirations that people in fact have. They want to be caretakers, heads of state, physicians, nurses, psychotherapists, engineers, historians, novelists, composers, artists, art-critics, literary critics, military officers, police-officers, lawyers, judges, and writers of philosophical treatises. All of these pursuits would be impossible were it not for social infrastructure. One reason for this is that nobody would live long enough to write any philosophical treatises or, for that matter, to educate a person for a long enough period to give that person the ability to write such treatises.</w:t>
      </w:r>
    </w:p>
    <w:p w14:paraId="7E002594" w14:textId="77777777" w:rsidR="009A58DB" w:rsidRDefault="00000000">
      <w:pPr>
        <w:pStyle w:val="BodyText"/>
        <w:spacing w:before="10" w:line="249" w:lineRule="auto"/>
        <w:ind w:right="358" w:firstLine="360"/>
      </w:pPr>
      <w:r>
        <w:t>Another, deeper reason is that none of those aspirations would mean anything in a condition of lawlessness. Wanting to be a judge or a civil engineer</w:t>
      </w:r>
      <w:r>
        <w:rPr>
          <w:spacing w:val="-1"/>
        </w:rPr>
        <w:t xml:space="preserve"> </w:t>
      </w:r>
      <w:r>
        <w:t>in</w:t>
      </w:r>
      <w:r>
        <w:rPr>
          <w:spacing w:val="-1"/>
        </w:rPr>
        <w:t xml:space="preserve"> </w:t>
      </w:r>
      <w:r>
        <w:t>a</w:t>
      </w:r>
      <w:r>
        <w:rPr>
          <w:spacing w:val="-1"/>
        </w:rPr>
        <w:t xml:space="preserve"> </w:t>
      </w:r>
      <w:r>
        <w:t>state</w:t>
      </w:r>
      <w:r>
        <w:rPr>
          <w:spacing w:val="-1"/>
        </w:rPr>
        <w:t xml:space="preserve"> </w:t>
      </w:r>
      <w:r>
        <w:t>of</w:t>
      </w:r>
      <w:r>
        <w:rPr>
          <w:spacing w:val="-1"/>
        </w:rPr>
        <w:t xml:space="preserve"> </w:t>
      </w:r>
      <w:r>
        <w:t>anarchy</w:t>
      </w:r>
      <w:r>
        <w:rPr>
          <w:spacing w:val="-1"/>
        </w:rPr>
        <w:t xml:space="preserve"> </w:t>
      </w:r>
      <w:r>
        <w:t>would</w:t>
      </w:r>
      <w:r>
        <w:rPr>
          <w:spacing w:val="-1"/>
        </w:rPr>
        <w:t xml:space="preserve"> </w:t>
      </w:r>
      <w:r>
        <w:t>be</w:t>
      </w:r>
      <w:r>
        <w:rPr>
          <w:spacing w:val="-1"/>
        </w:rPr>
        <w:t xml:space="preserve"> </w:t>
      </w:r>
      <w:r>
        <w:t>like</w:t>
      </w:r>
      <w:r>
        <w:rPr>
          <w:spacing w:val="-1"/>
        </w:rPr>
        <w:t xml:space="preserve"> </w:t>
      </w:r>
      <w:r>
        <w:t>wanting</w:t>
      </w:r>
      <w:r>
        <w:rPr>
          <w:spacing w:val="-1"/>
        </w:rPr>
        <w:t xml:space="preserve"> </w:t>
      </w:r>
      <w:r>
        <w:t>to</w:t>
      </w:r>
      <w:r>
        <w:rPr>
          <w:spacing w:val="-1"/>
        </w:rPr>
        <w:t xml:space="preserve"> </w:t>
      </w:r>
      <w:r>
        <w:t>be</w:t>
      </w:r>
      <w:r>
        <w:rPr>
          <w:spacing w:val="-1"/>
        </w:rPr>
        <w:t xml:space="preserve"> </w:t>
      </w:r>
      <w:r>
        <w:t>a</w:t>
      </w:r>
      <w:r>
        <w:rPr>
          <w:spacing w:val="-1"/>
        </w:rPr>
        <w:t xml:space="preserve"> </w:t>
      </w:r>
      <w:r>
        <w:t>father</w:t>
      </w:r>
      <w:r>
        <w:rPr>
          <w:spacing w:val="-1"/>
        </w:rPr>
        <w:t xml:space="preserve"> </w:t>
      </w:r>
      <w:r>
        <w:t>but</w:t>
      </w:r>
      <w:r>
        <w:rPr>
          <w:spacing w:val="-1"/>
        </w:rPr>
        <w:t xml:space="preserve"> </w:t>
      </w:r>
      <w:r>
        <w:t>to</w:t>
      </w:r>
      <w:r>
        <w:rPr>
          <w:spacing w:val="-1"/>
        </w:rPr>
        <w:t xml:space="preserve"> </w:t>
      </w:r>
      <w:r>
        <w:t>have no children. The existence of social structures is constitutive of personal identity.</w:t>
      </w:r>
      <w:r>
        <w:rPr>
          <w:spacing w:val="-1"/>
        </w:rPr>
        <w:t xml:space="preserve"> </w:t>
      </w:r>
      <w:r>
        <w:t>The</w:t>
      </w:r>
      <w:r>
        <w:rPr>
          <w:spacing w:val="-1"/>
        </w:rPr>
        <w:t xml:space="preserve"> </w:t>
      </w:r>
      <w:r>
        <w:t>aspirations</w:t>
      </w:r>
      <w:r>
        <w:rPr>
          <w:spacing w:val="-1"/>
        </w:rPr>
        <w:t xml:space="preserve"> </w:t>
      </w:r>
      <w:r>
        <w:t>that</w:t>
      </w:r>
      <w:r>
        <w:rPr>
          <w:spacing w:val="-1"/>
        </w:rPr>
        <w:t xml:space="preserve"> </w:t>
      </w:r>
      <w:r>
        <w:t>we</w:t>
      </w:r>
      <w:r>
        <w:rPr>
          <w:spacing w:val="-1"/>
        </w:rPr>
        <w:t xml:space="preserve"> </w:t>
      </w:r>
      <w:r>
        <w:t>identify</w:t>
      </w:r>
      <w:r>
        <w:rPr>
          <w:spacing w:val="-1"/>
        </w:rPr>
        <w:t xml:space="preserve"> </w:t>
      </w:r>
      <w:r>
        <w:t>with</w:t>
      </w:r>
      <w:r>
        <w:rPr>
          <w:spacing w:val="-1"/>
        </w:rPr>
        <w:t xml:space="preserve"> </w:t>
      </w:r>
      <w:r>
        <w:t>and</w:t>
      </w:r>
      <w:r>
        <w:rPr>
          <w:spacing w:val="-1"/>
        </w:rPr>
        <w:t xml:space="preserve"> </w:t>
      </w:r>
      <w:r>
        <w:t>that</w:t>
      </w:r>
      <w:r>
        <w:rPr>
          <w:spacing w:val="-1"/>
        </w:rPr>
        <w:t xml:space="preserve"> </w:t>
      </w:r>
      <w:r>
        <w:t>give</w:t>
      </w:r>
      <w:r>
        <w:rPr>
          <w:spacing w:val="-1"/>
        </w:rPr>
        <w:t xml:space="preserve"> </w:t>
      </w:r>
      <w:r>
        <w:t>our</w:t>
      </w:r>
      <w:r>
        <w:rPr>
          <w:spacing w:val="-1"/>
        </w:rPr>
        <w:t xml:space="preserve"> </w:t>
      </w:r>
      <w:r>
        <w:t>lives</w:t>
      </w:r>
      <w:r>
        <w:rPr>
          <w:spacing w:val="-1"/>
        </w:rPr>
        <w:t xml:space="preserve"> </w:t>
      </w:r>
      <w:r>
        <w:t>meaning are always defined in terms of social institutions. This is true even of the Browns of this world—the utterly selfish novelists (and philosophers, mathematicians, engineers, etc.). Brown’s intention in writing novels isn’t to do</w:t>
      </w:r>
      <w:r>
        <w:rPr>
          <w:spacing w:val="-3"/>
        </w:rPr>
        <w:t xml:space="preserve"> </w:t>
      </w:r>
      <w:r>
        <w:t>good;</w:t>
      </w:r>
      <w:r>
        <w:rPr>
          <w:spacing w:val="-4"/>
        </w:rPr>
        <w:t xml:space="preserve"> </w:t>
      </w:r>
      <w:r>
        <w:t>it</w:t>
      </w:r>
      <w:r>
        <w:rPr>
          <w:spacing w:val="-4"/>
        </w:rPr>
        <w:t xml:space="preserve"> </w:t>
      </w:r>
      <w:r>
        <w:t>isn’t</w:t>
      </w:r>
      <w:r>
        <w:rPr>
          <w:spacing w:val="-4"/>
        </w:rPr>
        <w:t xml:space="preserve"> </w:t>
      </w:r>
      <w:r>
        <w:t>to</w:t>
      </w:r>
      <w:r>
        <w:rPr>
          <w:spacing w:val="-3"/>
        </w:rPr>
        <w:t xml:space="preserve"> </w:t>
      </w:r>
      <w:r>
        <w:t>consolidate</w:t>
      </w:r>
      <w:r>
        <w:rPr>
          <w:spacing w:val="-4"/>
        </w:rPr>
        <w:t xml:space="preserve"> </w:t>
      </w:r>
      <w:r>
        <w:t>existing</w:t>
      </w:r>
      <w:r>
        <w:rPr>
          <w:spacing w:val="-3"/>
        </w:rPr>
        <w:t xml:space="preserve"> </w:t>
      </w:r>
      <w:r>
        <w:t>social</w:t>
      </w:r>
      <w:r>
        <w:rPr>
          <w:spacing w:val="-4"/>
        </w:rPr>
        <w:t xml:space="preserve"> </w:t>
      </w:r>
      <w:r>
        <w:t>institutions.</w:t>
      </w:r>
      <w:r>
        <w:rPr>
          <w:spacing w:val="-3"/>
        </w:rPr>
        <w:t xml:space="preserve"> </w:t>
      </w:r>
      <w:r>
        <w:t>(He</w:t>
      </w:r>
      <w:r>
        <w:rPr>
          <w:spacing w:val="-4"/>
        </w:rPr>
        <w:t xml:space="preserve"> </w:t>
      </w:r>
      <w:r>
        <w:t>may</w:t>
      </w:r>
      <w:r>
        <w:rPr>
          <w:spacing w:val="-3"/>
        </w:rPr>
        <w:t xml:space="preserve"> </w:t>
      </w:r>
      <w:r>
        <w:t>even</w:t>
      </w:r>
      <w:r>
        <w:rPr>
          <w:spacing w:val="-3"/>
        </w:rPr>
        <w:t xml:space="preserve"> </w:t>
      </w:r>
      <w:r>
        <w:t xml:space="preserve">hope that his novels will stir up chaos and undermine all that is good in the social order.) But a world in which relations between people were categorically uncooperative would be a world in which novel writing would be meaningless. The value systems operative in such a world wouldn’t validate novel writing. In such a world, writing novels would be like designing tea-cozies in the middle of a battle. Designing tea-cozies </w:t>
      </w:r>
      <w:r>
        <w:rPr>
          <w:i/>
        </w:rPr>
        <w:t xml:space="preserve">does </w:t>
      </w:r>
      <w:r>
        <w:t xml:space="preserve">have value—but not in that context. Novel-writing </w:t>
      </w:r>
      <w:r>
        <w:rPr>
          <w:i/>
        </w:rPr>
        <w:t xml:space="preserve">does </w:t>
      </w:r>
      <w:r>
        <w:t>have value—but not in the context of</w:t>
      </w:r>
      <w:r>
        <w:rPr>
          <w:spacing w:val="40"/>
        </w:rPr>
        <w:t xml:space="preserve"> </w:t>
      </w:r>
      <w:r>
        <w:t>a war of all against all.</w:t>
      </w:r>
    </w:p>
    <w:p w14:paraId="7E002595" w14:textId="77777777" w:rsidR="009A58DB" w:rsidRDefault="00000000">
      <w:pPr>
        <w:pStyle w:val="BodyText"/>
        <w:spacing w:before="21" w:line="249" w:lineRule="auto"/>
        <w:ind w:right="359" w:firstLine="360"/>
      </w:pPr>
      <w:r>
        <w:t xml:space="preserve">It might be said that, in such a context, novel writing </w:t>
      </w:r>
      <w:r>
        <w:rPr>
          <w:i/>
        </w:rPr>
        <w:t xml:space="preserve">would </w:t>
      </w:r>
      <w:r>
        <w:t>have value,</w:t>
      </w:r>
      <w:r>
        <w:rPr>
          <w:spacing w:val="40"/>
        </w:rPr>
        <w:t xml:space="preserve"> </w:t>
      </w:r>
      <w:r>
        <w:t>but that, for obvious reasons, people would fail to see it—they’d be too absorbed in the business of surviving. While I grant that this position has merit, I would like to register a reservation that I have about it. People who write</w:t>
      </w:r>
      <w:r>
        <w:rPr>
          <w:spacing w:val="69"/>
          <w:w w:val="150"/>
        </w:rPr>
        <w:t xml:space="preserve"> </w:t>
      </w:r>
      <w:r>
        <w:t>novels</w:t>
      </w:r>
      <w:r>
        <w:rPr>
          <w:spacing w:val="69"/>
          <w:w w:val="150"/>
        </w:rPr>
        <w:t xml:space="preserve"> </w:t>
      </w:r>
      <w:r>
        <w:t>are,</w:t>
      </w:r>
      <w:r>
        <w:rPr>
          <w:spacing w:val="70"/>
          <w:w w:val="150"/>
        </w:rPr>
        <w:t xml:space="preserve"> </w:t>
      </w:r>
      <w:r>
        <w:t>in</w:t>
      </w:r>
      <w:r>
        <w:rPr>
          <w:spacing w:val="69"/>
          <w:w w:val="150"/>
        </w:rPr>
        <w:t xml:space="preserve"> </w:t>
      </w:r>
      <w:r>
        <w:t>so</w:t>
      </w:r>
      <w:r>
        <w:rPr>
          <w:spacing w:val="69"/>
          <w:w w:val="150"/>
        </w:rPr>
        <w:t xml:space="preserve"> </w:t>
      </w:r>
      <w:r>
        <w:t>doing,</w:t>
      </w:r>
      <w:r>
        <w:rPr>
          <w:spacing w:val="70"/>
          <w:w w:val="150"/>
        </w:rPr>
        <w:t xml:space="preserve"> </w:t>
      </w:r>
      <w:r>
        <w:t>reaching</w:t>
      </w:r>
      <w:r>
        <w:rPr>
          <w:spacing w:val="69"/>
          <w:w w:val="150"/>
        </w:rPr>
        <w:t xml:space="preserve"> </w:t>
      </w:r>
      <w:r>
        <w:t>out</w:t>
      </w:r>
      <w:r>
        <w:rPr>
          <w:spacing w:val="69"/>
          <w:w w:val="150"/>
        </w:rPr>
        <w:t xml:space="preserve"> </w:t>
      </w:r>
      <w:r>
        <w:t>to</w:t>
      </w:r>
      <w:r>
        <w:rPr>
          <w:spacing w:val="70"/>
          <w:w w:val="150"/>
        </w:rPr>
        <w:t xml:space="preserve"> </w:t>
      </w:r>
      <w:r>
        <w:t>others.</w:t>
      </w:r>
      <w:r>
        <w:rPr>
          <w:spacing w:val="69"/>
          <w:w w:val="150"/>
        </w:rPr>
        <w:t xml:space="preserve"> </w:t>
      </w:r>
      <w:r>
        <w:t>People</w:t>
      </w:r>
      <w:r>
        <w:rPr>
          <w:spacing w:val="69"/>
          <w:w w:val="150"/>
        </w:rPr>
        <w:t xml:space="preserve"> </w:t>
      </w:r>
      <w:r>
        <w:t>do</w:t>
      </w:r>
      <w:r>
        <w:rPr>
          <w:spacing w:val="70"/>
          <w:w w:val="150"/>
        </w:rPr>
        <w:t xml:space="preserve"> </w:t>
      </w:r>
      <w:r>
        <w:t>not,</w:t>
      </w:r>
    </w:p>
    <w:p w14:paraId="7E00259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97" w14:textId="77777777" w:rsidR="009A58DB" w:rsidRDefault="00000000">
      <w:pPr>
        <w:pStyle w:val="BodyText"/>
        <w:spacing w:before="60" w:line="249" w:lineRule="auto"/>
        <w:ind w:right="360"/>
      </w:pPr>
      <w:r>
        <w:lastRenderedPageBreak/>
        <w:t>ultimately, write novels only for their own amusement. Of course, people sometimes write books that they know no one besides them will ever see. I myself have written two or three such books. But I wrote them because I knew that I needed to write them in order to develop the skills needed to</w:t>
      </w:r>
      <w:r>
        <w:rPr>
          <w:spacing w:val="40"/>
        </w:rPr>
        <w:t xml:space="preserve"> </w:t>
      </w:r>
      <w:r>
        <w:t>write books that others might find worthwhile to read. The novelists that I know or have known of have all written a few early works that they never expected to publish. But they wrote them with the intention of writing other works that would be read by others.</w:t>
      </w:r>
    </w:p>
    <w:p w14:paraId="7E002598" w14:textId="77777777" w:rsidR="009A58DB" w:rsidRDefault="00000000">
      <w:pPr>
        <w:pStyle w:val="BodyText"/>
        <w:spacing w:before="14" w:line="249" w:lineRule="auto"/>
        <w:ind w:right="358" w:firstLine="360"/>
      </w:pPr>
      <w:r>
        <w:t>It may be that Beethoven was a very self-involved person. But in composing music, he wasn’t just talking to himself. He was addressing an audience. He may have thought that his contemporaries weren’t the right audience—that it would take a few years for humanity to catch up to his music. But he was writing it in anticipation of some future audience that would understand it.</w:t>
      </w:r>
    </w:p>
    <w:p w14:paraId="7E002599" w14:textId="77777777" w:rsidR="009A58DB" w:rsidRDefault="00000000">
      <w:pPr>
        <w:pStyle w:val="Heading1"/>
        <w:numPr>
          <w:ilvl w:val="1"/>
          <w:numId w:val="55"/>
        </w:numPr>
        <w:tabs>
          <w:tab w:val="left" w:pos="1409"/>
        </w:tabs>
        <w:spacing w:before="196"/>
        <w:ind w:left="1409" w:hanging="1049"/>
      </w:pPr>
      <w:r>
        <w:t>Narcissism</w:t>
      </w:r>
      <w:r>
        <w:rPr>
          <w:spacing w:val="-11"/>
        </w:rPr>
        <w:t xml:space="preserve"> </w:t>
      </w:r>
      <w:r>
        <w:t>and</w:t>
      </w:r>
      <w:r>
        <w:rPr>
          <w:spacing w:val="-8"/>
        </w:rPr>
        <w:t xml:space="preserve"> </w:t>
      </w:r>
      <w:r>
        <w:t>pseudo-</w:t>
      </w:r>
      <w:r>
        <w:rPr>
          <w:spacing w:val="-2"/>
        </w:rPr>
        <w:t>immorality</w:t>
      </w:r>
    </w:p>
    <w:p w14:paraId="7E00259A" w14:textId="77777777" w:rsidR="009A58DB" w:rsidRDefault="00000000">
      <w:pPr>
        <w:pStyle w:val="BodyText"/>
        <w:spacing w:before="139" w:line="249" w:lineRule="auto"/>
        <w:ind w:right="359"/>
      </w:pPr>
      <w:r>
        <w:t>There is no shortage of people who focus on their work and not only marginalize</w:t>
      </w:r>
      <w:r>
        <w:rPr>
          <w:spacing w:val="-3"/>
        </w:rPr>
        <w:t xml:space="preserve"> </w:t>
      </w:r>
      <w:r>
        <w:t>others</w:t>
      </w:r>
      <w:r>
        <w:rPr>
          <w:spacing w:val="-3"/>
        </w:rPr>
        <w:t xml:space="preserve"> </w:t>
      </w:r>
      <w:r>
        <w:t>but</w:t>
      </w:r>
      <w:r>
        <w:rPr>
          <w:spacing w:val="-3"/>
        </w:rPr>
        <w:t xml:space="preserve"> </w:t>
      </w:r>
      <w:r>
        <w:t>positively</w:t>
      </w:r>
      <w:r>
        <w:rPr>
          <w:spacing w:val="-3"/>
        </w:rPr>
        <w:t xml:space="preserve"> </w:t>
      </w:r>
      <w:r>
        <w:t>devalue</w:t>
      </w:r>
      <w:r>
        <w:rPr>
          <w:spacing w:val="-3"/>
        </w:rPr>
        <w:t xml:space="preserve"> </w:t>
      </w:r>
      <w:r>
        <w:t>them—of</w:t>
      </w:r>
      <w:r>
        <w:rPr>
          <w:spacing w:val="-3"/>
        </w:rPr>
        <w:t xml:space="preserve"> </w:t>
      </w:r>
      <w:r>
        <w:t>narcissists</w:t>
      </w:r>
      <w:r>
        <w:rPr>
          <w:spacing w:val="-3"/>
        </w:rPr>
        <w:t xml:space="preserve"> </w:t>
      </w:r>
      <w:r>
        <w:t>who</w:t>
      </w:r>
      <w:r>
        <w:rPr>
          <w:spacing w:val="-3"/>
        </w:rPr>
        <w:t xml:space="preserve"> </w:t>
      </w:r>
      <w:r>
        <w:t>see</w:t>
      </w:r>
      <w:r>
        <w:rPr>
          <w:spacing w:val="-3"/>
        </w:rPr>
        <w:t xml:space="preserve"> </w:t>
      </w:r>
      <w:r>
        <w:t>others as mere nuisances that have to be dealt with if they are to come up with their inventions or proofs, if they are to do their writing, their experiments, their art. But the efforts of such people are in fact addressed to an audience. It may be a future audience. It may even be an imaginary audience. But that imaginary audience will embody an outlook that is based on the outlook of actual flesh and blood people.</w:t>
      </w:r>
    </w:p>
    <w:p w14:paraId="7E00259B" w14:textId="77777777" w:rsidR="009A58DB" w:rsidRDefault="00000000">
      <w:pPr>
        <w:pStyle w:val="BodyText"/>
        <w:spacing w:before="10" w:line="249" w:lineRule="auto"/>
        <w:ind w:right="358" w:firstLine="360"/>
      </w:pPr>
      <w:r>
        <w:t>Not all dialogues are of a discursive kind. There are musical dialogues, architectural dialogues, technological dialogues, etc. When people meaningfully respond to other people’s efforts, they are, in so doing, dialoguing with one another. Gianni Versace wasn’t just designing clothes. His designs were meaningful responses to existing clothes styles. It’s not as though his designs came out of the blue. Even if they were boldly innovative, they were responses to existing style. In fact, what constitutes bold</w:t>
      </w:r>
      <w:r>
        <w:rPr>
          <w:spacing w:val="40"/>
        </w:rPr>
        <w:t xml:space="preserve"> </w:t>
      </w:r>
      <w:r>
        <w:t>innovation is entirely relative to what is currently out there. Beethoven’s music wouldn’t be boldly innovative today. It was boldly innovative because of what came before it and because of the evaluations of existing works implicit in it.</w:t>
      </w:r>
    </w:p>
    <w:p w14:paraId="7E00259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9D" w14:textId="77777777" w:rsidR="009A58DB" w:rsidRDefault="00000000">
      <w:pPr>
        <w:pStyle w:val="BodyText"/>
        <w:spacing w:before="65" w:line="249" w:lineRule="auto"/>
        <w:ind w:right="358" w:firstLine="360"/>
      </w:pPr>
      <w:r>
        <w:lastRenderedPageBreak/>
        <w:t>The same is true of novelists, inventors, economists—of anybody who is trying to “move the ball forward.” There is a narrow sense in which such people</w:t>
      </w:r>
      <w:r>
        <w:rPr>
          <w:spacing w:val="-1"/>
        </w:rPr>
        <w:t xml:space="preserve"> </w:t>
      </w:r>
      <w:r>
        <w:t>may be deeply misanthropic. But</w:t>
      </w:r>
      <w:r>
        <w:rPr>
          <w:spacing w:val="-1"/>
        </w:rPr>
        <w:t xml:space="preserve"> </w:t>
      </w:r>
      <w:r>
        <w:t>their</w:t>
      </w:r>
      <w:r>
        <w:rPr>
          <w:spacing w:val="-1"/>
        </w:rPr>
        <w:t xml:space="preserve"> </w:t>
      </w:r>
      <w:r>
        <w:t>efforts are obviously connected</w:t>
      </w:r>
    </w:p>
    <w:p w14:paraId="7E00259E" w14:textId="77777777" w:rsidR="009A58DB" w:rsidRDefault="00000000">
      <w:pPr>
        <w:pStyle w:val="BodyText"/>
        <w:spacing w:before="3"/>
      </w:pPr>
      <w:r>
        <w:t>—not</w:t>
      </w:r>
      <w:r>
        <w:rPr>
          <w:spacing w:val="-7"/>
        </w:rPr>
        <w:t xml:space="preserve"> </w:t>
      </w:r>
      <w:r>
        <w:t>just</w:t>
      </w:r>
      <w:r>
        <w:rPr>
          <w:spacing w:val="-4"/>
        </w:rPr>
        <w:t xml:space="preserve"> </w:t>
      </w:r>
      <w:r>
        <w:t>causally,</w:t>
      </w:r>
      <w:r>
        <w:rPr>
          <w:spacing w:val="-3"/>
        </w:rPr>
        <w:t xml:space="preserve"> </w:t>
      </w:r>
      <w:r>
        <w:t>but</w:t>
      </w:r>
      <w:r>
        <w:rPr>
          <w:spacing w:val="-4"/>
        </w:rPr>
        <w:t xml:space="preserve"> </w:t>
      </w:r>
      <w:r>
        <w:t>normatively,</w:t>
      </w:r>
      <w:r>
        <w:rPr>
          <w:spacing w:val="-3"/>
        </w:rPr>
        <w:t xml:space="preserve"> </w:t>
      </w:r>
      <w:r>
        <w:t>contensively—to</w:t>
      </w:r>
      <w:r>
        <w:rPr>
          <w:spacing w:val="-3"/>
        </w:rPr>
        <w:t xml:space="preserve"> </w:t>
      </w:r>
      <w:r>
        <w:t>those</w:t>
      </w:r>
      <w:r>
        <w:rPr>
          <w:spacing w:val="-4"/>
        </w:rPr>
        <w:t xml:space="preserve"> </w:t>
      </w:r>
      <w:r>
        <w:t>of</w:t>
      </w:r>
      <w:r>
        <w:rPr>
          <w:spacing w:val="-4"/>
        </w:rPr>
        <w:t xml:space="preserve"> </w:t>
      </w:r>
      <w:r>
        <w:rPr>
          <w:spacing w:val="-2"/>
        </w:rPr>
        <w:t>others.</w:t>
      </w:r>
    </w:p>
    <w:p w14:paraId="7E00259F" w14:textId="77777777" w:rsidR="009A58DB" w:rsidRDefault="00000000">
      <w:pPr>
        <w:pStyle w:val="BodyText"/>
        <w:spacing w:before="15" w:line="249" w:lineRule="auto"/>
        <w:ind w:right="359" w:firstLine="360"/>
      </w:pPr>
      <w:r>
        <w:t>In a non-social world, those efforts themselves would not only be unrecognized but devoid of meaning. Of course, had Frege lived in such a world</w:t>
      </w:r>
      <w:r>
        <w:rPr>
          <w:spacing w:val="-1"/>
        </w:rPr>
        <w:t xml:space="preserve"> </w:t>
      </w:r>
      <w:r>
        <w:t>and,</w:t>
      </w:r>
      <w:r>
        <w:rPr>
          <w:spacing w:val="-1"/>
        </w:rPr>
        <w:t xml:space="preserve"> </w:t>
      </w:r>
      <w:r>
        <w:t>by</w:t>
      </w:r>
      <w:r>
        <w:rPr>
          <w:spacing w:val="-1"/>
        </w:rPr>
        <w:t xml:space="preserve"> </w:t>
      </w:r>
      <w:r>
        <w:t>some</w:t>
      </w:r>
      <w:r>
        <w:rPr>
          <w:spacing w:val="-1"/>
        </w:rPr>
        <w:t xml:space="preserve"> </w:t>
      </w:r>
      <w:r>
        <w:t>miracle,</w:t>
      </w:r>
      <w:r>
        <w:rPr>
          <w:spacing w:val="-1"/>
        </w:rPr>
        <w:t xml:space="preserve"> </w:t>
      </w:r>
      <w:r>
        <w:t>had</w:t>
      </w:r>
      <w:r>
        <w:rPr>
          <w:spacing w:val="-1"/>
        </w:rPr>
        <w:t xml:space="preserve"> </w:t>
      </w:r>
      <w:r>
        <w:t>arrived</w:t>
      </w:r>
      <w:r>
        <w:rPr>
          <w:spacing w:val="-1"/>
        </w:rPr>
        <w:t xml:space="preserve"> </w:t>
      </w:r>
      <w:r>
        <w:t>at</w:t>
      </w:r>
      <w:r>
        <w:rPr>
          <w:spacing w:val="-1"/>
        </w:rPr>
        <w:t xml:space="preserve"> </w:t>
      </w:r>
      <w:r>
        <w:t>and</w:t>
      </w:r>
      <w:r>
        <w:rPr>
          <w:spacing w:val="-1"/>
        </w:rPr>
        <w:t xml:space="preserve"> </w:t>
      </w:r>
      <w:r>
        <w:t>written</w:t>
      </w:r>
      <w:r>
        <w:rPr>
          <w:spacing w:val="-1"/>
        </w:rPr>
        <w:t xml:space="preserve"> </w:t>
      </w:r>
      <w:r>
        <w:t>the</w:t>
      </w:r>
      <w:r>
        <w:rPr>
          <w:spacing w:val="-1"/>
        </w:rPr>
        <w:t xml:space="preserve"> </w:t>
      </w:r>
      <w:r>
        <w:t>insights</w:t>
      </w:r>
      <w:r>
        <w:rPr>
          <w:spacing w:val="-1"/>
        </w:rPr>
        <w:t xml:space="preserve"> </w:t>
      </w:r>
      <w:r>
        <w:t>for</w:t>
      </w:r>
      <w:r>
        <w:rPr>
          <w:spacing w:val="-1"/>
        </w:rPr>
        <w:t xml:space="preserve"> </w:t>
      </w:r>
      <w:r>
        <w:t xml:space="preserve">which, in actuality, he is known, his </w:t>
      </w:r>
      <w:r>
        <w:rPr>
          <w:i/>
        </w:rPr>
        <w:t xml:space="preserve">statements </w:t>
      </w:r>
      <w:r>
        <w:t>would have been meaningful</w:t>
      </w:r>
      <w:bookmarkStart w:id="513" w:name="_bookmark513"/>
      <w:bookmarkEnd w:id="513"/>
      <w:r>
        <w:t>.</w:t>
      </w:r>
      <w:r>
        <w:rPr>
          <w:color w:val="0562C1"/>
          <w:position w:val="21"/>
          <w:u w:val="single" w:color="0562C1"/>
        </w:rPr>
        <w:t>[383]</w:t>
      </w:r>
      <w:r>
        <w:rPr>
          <w:color w:val="0562C1"/>
          <w:position w:val="21"/>
        </w:rPr>
        <w:t xml:space="preserve"> </w:t>
      </w:r>
      <w:r>
        <w:t xml:space="preserve">But his </w:t>
      </w:r>
      <w:r>
        <w:rPr>
          <w:i/>
        </w:rPr>
        <w:t xml:space="preserve">saying </w:t>
      </w:r>
      <w:r>
        <w:t xml:space="preserve">them would not have had any meaning. Given only that </w:t>
      </w:r>
      <w:r>
        <w:rPr>
          <w:i/>
        </w:rPr>
        <w:t xml:space="preserve">what </w:t>
      </w:r>
      <w:r>
        <w:t xml:space="preserve">one is saying is meaningful, it doesn’t follow that one’s </w:t>
      </w:r>
      <w:r>
        <w:rPr>
          <w:i/>
        </w:rPr>
        <w:t xml:space="preserve">saying </w:t>
      </w:r>
      <w:r>
        <w:t>it is meaningful. Suppose that you and I are emergency room doctors and we’re talking about what we must do to heal patient X. I blurt out “I love peanut butter and chocolate ice cream.” What I’m saying is meaningful—I’m reporting a truth about my psychology. But, relative to the circumstances, the act of my saying is meaningless; it has no place there; it’s just a random spark, a deracinated oddity. The same would be true of Frege’s work in a</w:t>
      </w:r>
      <w:r>
        <w:rPr>
          <w:spacing w:val="40"/>
        </w:rPr>
        <w:t xml:space="preserve"> </w:t>
      </w:r>
      <w:r>
        <w:t xml:space="preserve">non-social world. </w:t>
      </w:r>
      <w:r>
        <w:rPr>
          <w:i/>
        </w:rPr>
        <w:t>What</w:t>
      </w:r>
      <w:r>
        <w:rPr>
          <w:i/>
          <w:spacing w:val="-4"/>
        </w:rPr>
        <w:t xml:space="preserve"> </w:t>
      </w:r>
      <w:r>
        <w:t>he was saying would be meaningful; but his saying it would have no place there.</w:t>
      </w:r>
    </w:p>
    <w:p w14:paraId="7E0025A0" w14:textId="77777777" w:rsidR="009A58DB" w:rsidRDefault="00000000">
      <w:pPr>
        <w:pStyle w:val="BodyText"/>
        <w:spacing w:before="18" w:line="249" w:lineRule="auto"/>
        <w:ind w:right="358" w:firstLine="360"/>
      </w:pPr>
      <w:r>
        <w:t xml:space="preserve">This shows that the dependence of human flourishing—on the morality of </w:t>
      </w:r>
      <w:r>
        <w:rPr>
          <w:spacing w:val="-2"/>
        </w:rPr>
        <w:t>aspiration—on</w:t>
      </w:r>
      <w:r>
        <w:rPr>
          <w:spacing w:val="-17"/>
        </w:rPr>
        <w:t xml:space="preserve"> </w:t>
      </w:r>
      <w:r>
        <w:rPr>
          <w:spacing w:val="-2"/>
        </w:rPr>
        <w:t>the</w:t>
      </w:r>
      <w:r>
        <w:rPr>
          <w:spacing w:val="-17"/>
        </w:rPr>
        <w:t xml:space="preserve"> </w:t>
      </w:r>
      <w:r>
        <w:rPr>
          <w:spacing w:val="-2"/>
        </w:rPr>
        <w:t>morality</w:t>
      </w:r>
      <w:r>
        <w:rPr>
          <w:spacing w:val="-17"/>
        </w:rPr>
        <w:t xml:space="preserve"> </w:t>
      </w:r>
      <w:r>
        <w:rPr>
          <w:spacing w:val="-2"/>
        </w:rPr>
        <w:t>of</w:t>
      </w:r>
      <w:r>
        <w:rPr>
          <w:spacing w:val="-16"/>
        </w:rPr>
        <w:t xml:space="preserve"> </w:t>
      </w:r>
      <w:r>
        <w:rPr>
          <w:spacing w:val="-2"/>
        </w:rPr>
        <w:t>duty</w:t>
      </w:r>
      <w:r>
        <w:rPr>
          <w:spacing w:val="-17"/>
        </w:rPr>
        <w:t xml:space="preserve"> </w:t>
      </w:r>
      <w:r>
        <w:rPr>
          <w:spacing w:val="-2"/>
        </w:rPr>
        <w:t>is</w:t>
      </w:r>
      <w:r>
        <w:rPr>
          <w:spacing w:val="-17"/>
        </w:rPr>
        <w:t xml:space="preserve"> </w:t>
      </w:r>
      <w:r>
        <w:rPr>
          <w:spacing w:val="-2"/>
        </w:rPr>
        <w:t>not</w:t>
      </w:r>
      <w:r>
        <w:rPr>
          <w:spacing w:val="-17"/>
        </w:rPr>
        <w:t xml:space="preserve"> </w:t>
      </w:r>
      <w:r>
        <w:rPr>
          <w:i/>
          <w:spacing w:val="-2"/>
        </w:rPr>
        <w:t>merely</w:t>
      </w:r>
      <w:r>
        <w:rPr>
          <w:i/>
          <w:spacing w:val="-16"/>
        </w:rPr>
        <w:t xml:space="preserve"> </w:t>
      </w:r>
      <w:r>
        <w:rPr>
          <w:spacing w:val="-2"/>
        </w:rPr>
        <w:t>causal</w:t>
      </w:r>
      <w:r>
        <w:rPr>
          <w:spacing w:val="-17"/>
        </w:rPr>
        <w:t xml:space="preserve"> </w:t>
      </w:r>
      <w:r>
        <w:rPr>
          <w:spacing w:val="-2"/>
        </w:rPr>
        <w:t>in</w:t>
      </w:r>
      <w:r>
        <w:rPr>
          <w:spacing w:val="-17"/>
        </w:rPr>
        <w:t xml:space="preserve"> </w:t>
      </w:r>
      <w:r>
        <w:rPr>
          <w:spacing w:val="-2"/>
        </w:rPr>
        <w:t>nature.</w:t>
      </w:r>
      <w:r>
        <w:rPr>
          <w:spacing w:val="-17"/>
        </w:rPr>
        <w:t xml:space="preserve"> </w:t>
      </w:r>
      <w:r>
        <w:rPr>
          <w:spacing w:val="-2"/>
        </w:rPr>
        <w:t>Of</w:t>
      </w:r>
      <w:r>
        <w:rPr>
          <w:spacing w:val="-15"/>
        </w:rPr>
        <w:t xml:space="preserve"> </w:t>
      </w:r>
      <w:r>
        <w:rPr>
          <w:spacing w:val="-2"/>
        </w:rPr>
        <w:t>course,</w:t>
      </w:r>
      <w:r>
        <w:rPr>
          <w:spacing w:val="-15"/>
        </w:rPr>
        <w:t xml:space="preserve"> </w:t>
      </w:r>
      <w:r>
        <w:rPr>
          <w:spacing w:val="-2"/>
        </w:rPr>
        <w:t xml:space="preserve">the </w:t>
      </w:r>
      <w:r>
        <w:t>former is indeed causally dependent on the latter. Flourishing would be a practical</w:t>
      </w:r>
      <w:r>
        <w:rPr>
          <w:spacing w:val="-5"/>
        </w:rPr>
        <w:t xml:space="preserve"> </w:t>
      </w:r>
      <w:r>
        <w:t>impossibility</w:t>
      </w:r>
      <w:r>
        <w:rPr>
          <w:spacing w:val="-5"/>
        </w:rPr>
        <w:t xml:space="preserve"> </w:t>
      </w:r>
      <w:r>
        <w:t>in</w:t>
      </w:r>
      <w:r>
        <w:rPr>
          <w:spacing w:val="-5"/>
        </w:rPr>
        <w:t xml:space="preserve"> </w:t>
      </w:r>
      <w:r>
        <w:t>a</w:t>
      </w:r>
      <w:r>
        <w:rPr>
          <w:spacing w:val="-5"/>
        </w:rPr>
        <w:t xml:space="preserve"> </w:t>
      </w:r>
      <w:r>
        <w:t>world</w:t>
      </w:r>
      <w:r>
        <w:rPr>
          <w:spacing w:val="-5"/>
        </w:rPr>
        <w:t xml:space="preserve"> </w:t>
      </w:r>
      <w:r>
        <w:t>where</w:t>
      </w:r>
      <w:r>
        <w:rPr>
          <w:spacing w:val="-5"/>
        </w:rPr>
        <w:t xml:space="preserve"> </w:t>
      </w:r>
      <w:r>
        <w:t>one’s</w:t>
      </w:r>
      <w:r>
        <w:rPr>
          <w:spacing w:val="-5"/>
        </w:rPr>
        <w:t xml:space="preserve"> </w:t>
      </w:r>
      <w:r>
        <w:t>every</w:t>
      </w:r>
      <w:r>
        <w:rPr>
          <w:spacing w:val="-5"/>
        </w:rPr>
        <w:t xml:space="preserve"> </w:t>
      </w:r>
      <w:r>
        <w:t>moment</w:t>
      </w:r>
      <w:r>
        <w:rPr>
          <w:spacing w:val="-5"/>
        </w:rPr>
        <w:t xml:space="preserve"> </w:t>
      </w:r>
      <w:r>
        <w:t>was</w:t>
      </w:r>
      <w:r>
        <w:rPr>
          <w:spacing w:val="-5"/>
        </w:rPr>
        <w:t xml:space="preserve"> </w:t>
      </w:r>
      <w:r>
        <w:t>dedicated</w:t>
      </w:r>
      <w:r>
        <w:rPr>
          <w:spacing w:val="-5"/>
        </w:rPr>
        <w:t xml:space="preserve"> </w:t>
      </w:r>
      <w:r>
        <w:t xml:space="preserve">to </w:t>
      </w:r>
      <w:r>
        <w:rPr>
          <w:spacing w:val="-4"/>
        </w:rPr>
        <w:t>saving</w:t>
      </w:r>
      <w:r>
        <w:rPr>
          <w:spacing w:val="-15"/>
        </w:rPr>
        <w:t xml:space="preserve"> </w:t>
      </w:r>
      <w:r>
        <w:rPr>
          <w:spacing w:val="-4"/>
        </w:rPr>
        <w:t>one’s</w:t>
      </w:r>
      <w:r>
        <w:rPr>
          <w:spacing w:val="-15"/>
        </w:rPr>
        <w:t xml:space="preserve"> </w:t>
      </w:r>
      <w:r>
        <w:rPr>
          <w:spacing w:val="-4"/>
        </w:rPr>
        <w:t>skin.</w:t>
      </w:r>
      <w:r>
        <w:rPr>
          <w:spacing w:val="-15"/>
        </w:rPr>
        <w:t xml:space="preserve"> </w:t>
      </w:r>
      <w:r>
        <w:rPr>
          <w:spacing w:val="-4"/>
        </w:rPr>
        <w:t>But</w:t>
      </w:r>
      <w:r>
        <w:rPr>
          <w:spacing w:val="-10"/>
        </w:rPr>
        <w:t xml:space="preserve"> </w:t>
      </w:r>
      <w:r>
        <w:rPr>
          <w:spacing w:val="-4"/>
        </w:rPr>
        <w:t>there</w:t>
      </w:r>
      <w:r>
        <w:rPr>
          <w:spacing w:val="-9"/>
        </w:rPr>
        <w:t xml:space="preserve"> </w:t>
      </w:r>
      <w:r>
        <w:rPr>
          <w:spacing w:val="-4"/>
        </w:rPr>
        <w:t>is</w:t>
      </w:r>
      <w:r>
        <w:rPr>
          <w:spacing w:val="-9"/>
        </w:rPr>
        <w:t xml:space="preserve"> </w:t>
      </w:r>
      <w:r>
        <w:rPr>
          <w:spacing w:val="-4"/>
        </w:rPr>
        <w:t>also</w:t>
      </w:r>
      <w:r>
        <w:rPr>
          <w:spacing w:val="-9"/>
        </w:rPr>
        <w:t xml:space="preserve"> </w:t>
      </w:r>
      <w:r>
        <w:rPr>
          <w:spacing w:val="-4"/>
        </w:rPr>
        <w:t>a</w:t>
      </w:r>
      <w:r>
        <w:rPr>
          <w:spacing w:val="-9"/>
        </w:rPr>
        <w:t xml:space="preserve"> </w:t>
      </w:r>
      <w:r>
        <w:rPr>
          <w:spacing w:val="-4"/>
        </w:rPr>
        <w:t>non-causal,</w:t>
      </w:r>
      <w:r>
        <w:rPr>
          <w:spacing w:val="-9"/>
        </w:rPr>
        <w:t xml:space="preserve"> </w:t>
      </w:r>
      <w:r>
        <w:rPr>
          <w:spacing w:val="-4"/>
        </w:rPr>
        <w:t>logical</w:t>
      </w:r>
      <w:r>
        <w:rPr>
          <w:spacing w:val="-9"/>
        </w:rPr>
        <w:t xml:space="preserve"> </w:t>
      </w:r>
      <w:r>
        <w:rPr>
          <w:spacing w:val="-4"/>
        </w:rPr>
        <w:t>relationship</w:t>
      </w:r>
      <w:r>
        <w:rPr>
          <w:spacing w:val="-9"/>
        </w:rPr>
        <w:t xml:space="preserve"> </w:t>
      </w:r>
      <w:r>
        <w:rPr>
          <w:spacing w:val="-4"/>
        </w:rPr>
        <w:t>between</w:t>
      </w:r>
      <w:r>
        <w:rPr>
          <w:spacing w:val="-9"/>
        </w:rPr>
        <w:t xml:space="preserve"> </w:t>
      </w:r>
      <w:r>
        <w:rPr>
          <w:spacing w:val="-4"/>
        </w:rPr>
        <w:t>the two.</w:t>
      </w:r>
      <w:r>
        <w:rPr>
          <w:spacing w:val="-22"/>
        </w:rPr>
        <w:t xml:space="preserve"> </w:t>
      </w:r>
      <w:r>
        <w:rPr>
          <w:spacing w:val="-4"/>
        </w:rPr>
        <w:t>The</w:t>
      </w:r>
      <w:r>
        <w:rPr>
          <w:spacing w:val="-15"/>
        </w:rPr>
        <w:t xml:space="preserve"> </w:t>
      </w:r>
      <w:r>
        <w:rPr>
          <w:spacing w:val="-4"/>
        </w:rPr>
        <w:t>very</w:t>
      </w:r>
      <w:r>
        <w:rPr>
          <w:spacing w:val="-15"/>
        </w:rPr>
        <w:t xml:space="preserve"> </w:t>
      </w:r>
      <w:r>
        <w:rPr>
          <w:spacing w:val="-4"/>
        </w:rPr>
        <w:t>idea</w:t>
      </w:r>
      <w:r>
        <w:rPr>
          <w:spacing w:val="-15"/>
        </w:rPr>
        <w:t xml:space="preserve"> </w:t>
      </w:r>
      <w:r>
        <w:rPr>
          <w:spacing w:val="-4"/>
        </w:rPr>
        <w:t>of</w:t>
      </w:r>
      <w:r>
        <w:rPr>
          <w:spacing w:val="-15"/>
        </w:rPr>
        <w:t xml:space="preserve"> </w:t>
      </w:r>
      <w:r>
        <w:rPr>
          <w:spacing w:val="-4"/>
        </w:rPr>
        <w:t>flourishing</w:t>
      </w:r>
      <w:r>
        <w:rPr>
          <w:spacing w:val="-15"/>
        </w:rPr>
        <w:t xml:space="preserve"> </w:t>
      </w:r>
      <w:r>
        <w:rPr>
          <w:spacing w:val="-4"/>
        </w:rPr>
        <w:t>in</w:t>
      </w:r>
      <w:r>
        <w:rPr>
          <w:spacing w:val="-15"/>
        </w:rPr>
        <w:t xml:space="preserve"> </w:t>
      </w:r>
      <w:r>
        <w:rPr>
          <w:spacing w:val="-4"/>
        </w:rPr>
        <w:t>such</w:t>
      </w:r>
    </w:p>
    <w:p w14:paraId="7E0025A1" w14:textId="77777777" w:rsidR="009A58DB" w:rsidRDefault="00000000">
      <w:pPr>
        <w:pStyle w:val="BodyText"/>
        <w:spacing w:before="7" w:line="249" w:lineRule="auto"/>
        <w:ind w:right="360"/>
      </w:pPr>
      <w:r>
        <w:t xml:space="preserve">a world is an incoherent one, at least to the considerable extent that flourishing involves participating in dialogues (of some kind or other) with others. And it’s very hard to find a meaningful aspiration that doesn’t involve </w:t>
      </w:r>
      <w:r>
        <w:rPr>
          <w:spacing w:val="-2"/>
        </w:rPr>
        <w:t>this.</w:t>
      </w:r>
    </w:p>
    <w:p w14:paraId="7E0025A2" w14:textId="77777777" w:rsidR="009A58DB" w:rsidRDefault="00000000">
      <w:pPr>
        <w:pStyle w:val="Heading1"/>
        <w:numPr>
          <w:ilvl w:val="1"/>
          <w:numId w:val="55"/>
        </w:numPr>
        <w:tabs>
          <w:tab w:val="left" w:pos="1080"/>
          <w:tab w:val="left" w:pos="1750"/>
        </w:tabs>
        <w:spacing w:before="193" w:line="244" w:lineRule="auto"/>
        <w:ind w:left="1080" w:right="360" w:hanging="720"/>
      </w:pPr>
      <w:r>
        <w:tab/>
        <w:t>Why</w:t>
      </w:r>
      <w:r>
        <w:rPr>
          <w:spacing w:val="40"/>
        </w:rPr>
        <w:t xml:space="preserve"> </w:t>
      </w:r>
      <w:r>
        <w:t>one’s</w:t>
      </w:r>
      <w:r>
        <w:rPr>
          <w:spacing w:val="40"/>
        </w:rPr>
        <w:t xml:space="preserve"> </w:t>
      </w:r>
      <w:r>
        <w:t>own</w:t>
      </w:r>
      <w:r>
        <w:rPr>
          <w:spacing w:val="40"/>
        </w:rPr>
        <w:t xml:space="preserve"> </w:t>
      </w:r>
      <w:r>
        <w:t>welfare</w:t>
      </w:r>
      <w:r>
        <w:rPr>
          <w:spacing w:val="40"/>
        </w:rPr>
        <w:t xml:space="preserve"> </w:t>
      </w:r>
      <w:r>
        <w:t>doesn’t</w:t>
      </w:r>
      <w:r>
        <w:rPr>
          <w:spacing w:val="40"/>
        </w:rPr>
        <w:t xml:space="preserve"> </w:t>
      </w:r>
      <w:r>
        <w:t>depend</w:t>
      </w:r>
      <w:r>
        <w:rPr>
          <w:spacing w:val="40"/>
        </w:rPr>
        <w:t xml:space="preserve"> </w:t>
      </w:r>
      <w:r>
        <w:t>on one’s complying with the morality of duty</w:t>
      </w:r>
    </w:p>
    <w:p w14:paraId="7E0025A3" w14:textId="77777777" w:rsidR="009A58DB" w:rsidRDefault="00000000">
      <w:pPr>
        <w:pStyle w:val="BodyText"/>
        <w:spacing w:before="132" w:line="249" w:lineRule="auto"/>
        <w:ind w:right="359"/>
      </w:pPr>
      <w:r>
        <w:t xml:space="preserve">But it doesn’t follow that one must </w:t>
      </w:r>
      <w:r>
        <w:rPr>
          <w:i/>
        </w:rPr>
        <w:t xml:space="preserve">oneself </w:t>
      </w:r>
      <w:r>
        <w:t>comply with the morality of duty to have a flourishing life. Brown doesn’t do so, but he has a flourishing life. It’s</w:t>
      </w:r>
      <w:r>
        <w:rPr>
          <w:spacing w:val="60"/>
        </w:rPr>
        <w:t xml:space="preserve"> </w:t>
      </w:r>
      <w:r>
        <w:t>necessary</w:t>
      </w:r>
      <w:r>
        <w:rPr>
          <w:spacing w:val="60"/>
        </w:rPr>
        <w:t xml:space="preserve"> </w:t>
      </w:r>
      <w:r>
        <w:t>that</w:t>
      </w:r>
      <w:r>
        <w:rPr>
          <w:spacing w:val="60"/>
        </w:rPr>
        <w:t xml:space="preserve"> </w:t>
      </w:r>
      <w:r>
        <w:t>it</w:t>
      </w:r>
      <w:r>
        <w:rPr>
          <w:spacing w:val="60"/>
        </w:rPr>
        <w:t xml:space="preserve"> </w:t>
      </w:r>
      <w:r>
        <w:rPr>
          <w:i/>
        </w:rPr>
        <w:t>be</w:t>
      </w:r>
      <w:r>
        <w:rPr>
          <w:i/>
          <w:spacing w:val="40"/>
        </w:rPr>
        <w:t xml:space="preserve"> </w:t>
      </w:r>
      <w:r>
        <w:t>complied</w:t>
      </w:r>
      <w:r>
        <w:rPr>
          <w:spacing w:val="66"/>
        </w:rPr>
        <w:t xml:space="preserve"> </w:t>
      </w:r>
      <w:r>
        <w:t>with.</w:t>
      </w:r>
      <w:r>
        <w:rPr>
          <w:spacing w:val="67"/>
        </w:rPr>
        <w:t xml:space="preserve"> </w:t>
      </w:r>
      <w:r>
        <w:t>If</w:t>
      </w:r>
      <w:r>
        <w:rPr>
          <w:spacing w:val="67"/>
        </w:rPr>
        <w:t xml:space="preserve"> </w:t>
      </w:r>
      <w:r>
        <w:t>they</w:t>
      </w:r>
      <w:r>
        <w:rPr>
          <w:spacing w:val="66"/>
        </w:rPr>
        <w:t xml:space="preserve"> </w:t>
      </w:r>
      <w:r>
        <w:t>weren’t,</w:t>
      </w:r>
      <w:r>
        <w:rPr>
          <w:spacing w:val="67"/>
        </w:rPr>
        <w:t xml:space="preserve"> </w:t>
      </w:r>
      <w:r>
        <w:t>Brown’s</w:t>
      </w:r>
      <w:r>
        <w:rPr>
          <w:spacing w:val="67"/>
        </w:rPr>
        <w:t xml:space="preserve"> </w:t>
      </w:r>
      <w:r>
        <w:t>literary</w:t>
      </w:r>
    </w:p>
    <w:p w14:paraId="7E0025A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A5" w14:textId="77777777" w:rsidR="009A58DB" w:rsidRDefault="00000000">
      <w:pPr>
        <w:pStyle w:val="BodyText"/>
        <w:spacing w:before="60" w:line="249" w:lineRule="auto"/>
        <w:ind w:right="359"/>
      </w:pPr>
      <w:r>
        <w:lastRenderedPageBreak/>
        <w:t>endeavors would be drained of at least some of their meaning, for the reasons just discussed</w:t>
      </w:r>
      <w:r>
        <w:rPr>
          <w:i/>
        </w:rPr>
        <w:t xml:space="preserve">. </w:t>
      </w:r>
      <w:r>
        <w:t>But Brown doesn’t necessarily have to be the one doing the complying. In writing brilliant novels in a world of otherwise decent people,</w:t>
      </w:r>
      <w:r>
        <w:rPr>
          <w:spacing w:val="40"/>
        </w:rPr>
        <w:t xml:space="preserve"> </w:t>
      </w:r>
      <w:r>
        <w:t xml:space="preserve">a sociopath is doing something meaningful; he isn’t in the same position that Einstein would have been in if he had been transported to the year 30,000 </w:t>
      </w:r>
      <w:r>
        <w:rPr>
          <w:spacing w:val="-4"/>
        </w:rPr>
        <w:t>B.C.</w:t>
      </w:r>
    </w:p>
    <w:p w14:paraId="7E0025A6" w14:textId="77777777" w:rsidR="009A58DB" w:rsidRDefault="00000000">
      <w:pPr>
        <w:pStyle w:val="BodyText"/>
        <w:spacing w:before="12" w:line="249" w:lineRule="auto"/>
        <w:ind w:right="358" w:firstLine="360"/>
      </w:pPr>
      <w:r>
        <w:t xml:space="preserve">Compliance with the morality of duty isn’t sufficient for flourishing, and it’s sometimes sufficient for </w:t>
      </w:r>
      <w:r>
        <w:rPr>
          <w:i/>
        </w:rPr>
        <w:t xml:space="preserve">not </w:t>
      </w:r>
      <w:r>
        <w:t xml:space="preserve">flourishing—for extirpating oneself. This was the case with Smith. He should have written novels, and left the charity work to many people who </w:t>
      </w:r>
      <w:r>
        <w:rPr>
          <w:i/>
        </w:rPr>
        <w:t xml:space="preserve">want </w:t>
      </w:r>
      <w:r>
        <w:t xml:space="preserve">to do it, instead of, like Smith, doing it because they feel they </w:t>
      </w:r>
      <w:r>
        <w:rPr>
          <w:i/>
        </w:rPr>
        <w:t xml:space="preserve">have </w:t>
      </w:r>
      <w:r>
        <w:t>to.</w:t>
      </w:r>
    </w:p>
    <w:p w14:paraId="7E0025A7" w14:textId="77777777" w:rsidR="009A58DB" w:rsidRDefault="00000000">
      <w:pPr>
        <w:pStyle w:val="BodyText"/>
        <w:spacing w:before="6" w:line="249" w:lineRule="auto"/>
        <w:ind w:right="358" w:firstLine="360"/>
      </w:pPr>
      <w:r>
        <w:t xml:space="preserve">Thus, while there is a deep connection between morality and flourishing and, therefore, self-interest, that connection isn’t as straightforward as some philosophers, and some non-philosophers, have alleged. And the </w:t>
      </w:r>
      <w:r>
        <w:rPr>
          <w:i/>
        </w:rPr>
        <w:t xml:space="preserve">kind </w:t>
      </w:r>
      <w:r>
        <w:t xml:space="preserve">of morality involved in flourishing—viz. the morality of aspiration—isn’t the kind that people usually think of when they hear the word “morality” (or some other comparable word). What people think of is the morality of </w:t>
      </w:r>
      <w:r>
        <w:rPr>
          <w:i/>
        </w:rPr>
        <w:t xml:space="preserve">duty. </w:t>
      </w:r>
      <w:r>
        <w:t>But</w:t>
      </w:r>
      <w:r>
        <w:rPr>
          <w:spacing w:val="-3"/>
        </w:rPr>
        <w:t xml:space="preserve"> </w:t>
      </w:r>
      <w:r>
        <w:t>the</w:t>
      </w:r>
      <w:r>
        <w:rPr>
          <w:spacing w:val="-2"/>
        </w:rPr>
        <w:t xml:space="preserve"> </w:t>
      </w:r>
      <w:r>
        <w:t>dependence</w:t>
      </w:r>
      <w:r>
        <w:rPr>
          <w:spacing w:val="-2"/>
        </w:rPr>
        <w:t xml:space="preserve"> </w:t>
      </w:r>
      <w:r>
        <w:t>of</w:t>
      </w:r>
      <w:r>
        <w:rPr>
          <w:spacing w:val="-2"/>
        </w:rPr>
        <w:t xml:space="preserve"> </w:t>
      </w:r>
      <w:r>
        <w:t>flourishing</w:t>
      </w:r>
      <w:r>
        <w:rPr>
          <w:spacing w:val="-2"/>
        </w:rPr>
        <w:t xml:space="preserve"> </w:t>
      </w:r>
      <w:r>
        <w:t>on</w:t>
      </w:r>
      <w:r>
        <w:rPr>
          <w:spacing w:val="-2"/>
        </w:rPr>
        <w:t xml:space="preserve"> </w:t>
      </w:r>
      <w:r>
        <w:t>the</w:t>
      </w:r>
      <w:r>
        <w:rPr>
          <w:spacing w:val="-2"/>
        </w:rPr>
        <w:t xml:space="preserve"> </w:t>
      </w:r>
      <w:r>
        <w:t>morality</w:t>
      </w:r>
      <w:r>
        <w:rPr>
          <w:spacing w:val="-2"/>
        </w:rPr>
        <w:t xml:space="preserve"> </w:t>
      </w:r>
      <w:r>
        <w:t>of</w:t>
      </w:r>
      <w:r>
        <w:rPr>
          <w:spacing w:val="-2"/>
        </w:rPr>
        <w:t xml:space="preserve"> </w:t>
      </w:r>
      <w:r>
        <w:t>duty</w:t>
      </w:r>
      <w:r>
        <w:rPr>
          <w:spacing w:val="-2"/>
        </w:rPr>
        <w:t xml:space="preserve"> </w:t>
      </w:r>
      <w:r>
        <w:t>is</w:t>
      </w:r>
      <w:r>
        <w:rPr>
          <w:spacing w:val="-2"/>
        </w:rPr>
        <w:t xml:space="preserve"> </w:t>
      </w:r>
      <w:r>
        <w:t>subordinate</w:t>
      </w:r>
      <w:r>
        <w:rPr>
          <w:spacing w:val="-2"/>
        </w:rPr>
        <w:t xml:space="preserve"> </w:t>
      </w:r>
      <w:r>
        <w:t>to</w:t>
      </w:r>
      <w:r>
        <w:rPr>
          <w:spacing w:val="-2"/>
        </w:rPr>
        <w:t xml:space="preserve"> </w:t>
      </w:r>
      <w:r>
        <w:t>its dependence on the morality of aspiration.</w:t>
      </w:r>
    </w:p>
    <w:p w14:paraId="7E0025A8" w14:textId="77777777" w:rsidR="009A58DB" w:rsidRDefault="00000000">
      <w:pPr>
        <w:pStyle w:val="Heading1"/>
        <w:numPr>
          <w:ilvl w:val="1"/>
          <w:numId w:val="54"/>
        </w:numPr>
        <w:tabs>
          <w:tab w:val="left" w:pos="2651"/>
          <w:tab w:val="left" w:pos="4123"/>
          <w:tab w:val="left" w:pos="6015"/>
          <w:tab w:val="left" w:pos="6579"/>
          <w:tab w:val="left" w:pos="9170"/>
        </w:tabs>
        <w:spacing w:before="198" w:line="244" w:lineRule="auto"/>
        <w:ind w:right="371" w:firstLine="0"/>
      </w:pPr>
      <w:r>
        <w:rPr>
          <w:spacing w:val="-2"/>
        </w:rPr>
        <w:t>Moral</w:t>
      </w:r>
      <w:r>
        <w:tab/>
      </w:r>
      <w:r>
        <w:rPr>
          <w:spacing w:val="-2"/>
        </w:rPr>
        <w:t>integrity</w:t>
      </w:r>
      <w:r>
        <w:tab/>
      </w:r>
      <w:r>
        <w:rPr>
          <w:spacing w:val="-10"/>
        </w:rPr>
        <w:t>a</w:t>
      </w:r>
      <w:r>
        <w:tab/>
      </w:r>
      <w:r>
        <w:rPr>
          <w:spacing w:val="-2"/>
        </w:rPr>
        <w:t>requirement</w:t>
      </w:r>
      <w:r>
        <w:tab/>
      </w:r>
      <w:r>
        <w:rPr>
          <w:spacing w:val="-4"/>
        </w:rPr>
        <w:t xml:space="preserve">for </w:t>
      </w:r>
      <w:r>
        <w:t>psychological integrity</w:t>
      </w:r>
    </w:p>
    <w:p w14:paraId="7E0025A9" w14:textId="77777777" w:rsidR="009A58DB" w:rsidRDefault="00000000">
      <w:pPr>
        <w:pStyle w:val="BodyText"/>
        <w:spacing w:before="132" w:line="249" w:lineRule="auto"/>
        <w:ind w:right="359"/>
      </w:pPr>
      <w:r>
        <w:t>A person with no conscience rationalizes his failures, never taking responsibility</w:t>
      </w:r>
      <w:r>
        <w:rPr>
          <w:spacing w:val="-3"/>
        </w:rPr>
        <w:t xml:space="preserve"> </w:t>
      </w:r>
      <w:r>
        <w:t>for</w:t>
      </w:r>
      <w:r>
        <w:rPr>
          <w:spacing w:val="-3"/>
        </w:rPr>
        <w:t xml:space="preserve"> </w:t>
      </w:r>
      <w:r>
        <w:t>them</w:t>
      </w:r>
      <w:r>
        <w:rPr>
          <w:spacing w:val="-3"/>
        </w:rPr>
        <w:t xml:space="preserve"> </w:t>
      </w:r>
      <w:r>
        <w:t>and</w:t>
      </w:r>
      <w:r>
        <w:rPr>
          <w:spacing w:val="-3"/>
        </w:rPr>
        <w:t xml:space="preserve"> </w:t>
      </w:r>
      <w:r>
        <w:t>never,</w:t>
      </w:r>
      <w:r>
        <w:rPr>
          <w:spacing w:val="-3"/>
        </w:rPr>
        <w:t xml:space="preserve"> </w:t>
      </w:r>
      <w:r>
        <w:t>therefore,</w:t>
      </w:r>
      <w:r>
        <w:rPr>
          <w:spacing w:val="-3"/>
        </w:rPr>
        <w:t xml:space="preserve"> </w:t>
      </w:r>
      <w:r>
        <w:t>making</w:t>
      </w:r>
      <w:r>
        <w:rPr>
          <w:spacing w:val="-3"/>
        </w:rPr>
        <w:t xml:space="preserve"> </w:t>
      </w:r>
      <w:r>
        <w:t>the</w:t>
      </w:r>
      <w:r>
        <w:rPr>
          <w:spacing w:val="-3"/>
        </w:rPr>
        <w:t xml:space="preserve"> </w:t>
      </w:r>
      <w:r>
        <w:t>needed</w:t>
      </w:r>
      <w:r>
        <w:rPr>
          <w:spacing w:val="-3"/>
        </w:rPr>
        <w:t xml:space="preserve"> </w:t>
      </w:r>
      <w:r>
        <w:t>corrections</w:t>
      </w:r>
      <w:r>
        <w:rPr>
          <w:spacing w:val="-3"/>
        </w:rPr>
        <w:t xml:space="preserve"> </w:t>
      </w:r>
      <w:r>
        <w:t xml:space="preserve">to himself. For this reason, people of </w:t>
      </w:r>
      <w:r>
        <w:rPr>
          <w:i/>
        </w:rPr>
        <w:t xml:space="preserve">no </w:t>
      </w:r>
      <w:r>
        <w:t>conscience—so-called “psychopaths” or “sociopaths” (the terms are usually used interchangeably)—are dismal failures in life.</w:t>
      </w:r>
    </w:p>
    <w:p w14:paraId="7E0025AA" w14:textId="77777777" w:rsidR="009A58DB" w:rsidRDefault="00000000">
      <w:pPr>
        <w:pStyle w:val="BodyText"/>
        <w:spacing w:before="6" w:line="249" w:lineRule="auto"/>
        <w:ind w:right="361" w:firstLine="360"/>
        <w:rPr>
          <w:i/>
        </w:rPr>
      </w:pPr>
      <w:r>
        <w:t>Before</w:t>
      </w:r>
      <w:r>
        <w:rPr>
          <w:spacing w:val="-3"/>
        </w:rPr>
        <w:t xml:space="preserve"> </w:t>
      </w:r>
      <w:r>
        <w:t>we</w:t>
      </w:r>
      <w:r>
        <w:rPr>
          <w:spacing w:val="-2"/>
        </w:rPr>
        <w:t xml:space="preserve"> </w:t>
      </w:r>
      <w:r>
        <w:t>continue,</w:t>
      </w:r>
      <w:r>
        <w:rPr>
          <w:spacing w:val="-2"/>
        </w:rPr>
        <w:t xml:space="preserve"> </w:t>
      </w:r>
      <w:r>
        <w:t>there</w:t>
      </w:r>
      <w:r>
        <w:rPr>
          <w:spacing w:val="-2"/>
        </w:rPr>
        <w:t xml:space="preserve"> </w:t>
      </w:r>
      <w:r>
        <w:t>are</w:t>
      </w:r>
      <w:r>
        <w:rPr>
          <w:spacing w:val="-2"/>
        </w:rPr>
        <w:t xml:space="preserve"> </w:t>
      </w:r>
      <w:r>
        <w:t>two</w:t>
      </w:r>
      <w:r>
        <w:rPr>
          <w:spacing w:val="-2"/>
        </w:rPr>
        <w:t xml:space="preserve"> </w:t>
      </w:r>
      <w:r>
        <w:t>things</w:t>
      </w:r>
      <w:r>
        <w:rPr>
          <w:spacing w:val="-2"/>
        </w:rPr>
        <w:t xml:space="preserve"> </w:t>
      </w:r>
      <w:r>
        <w:t>that</w:t>
      </w:r>
      <w:r>
        <w:rPr>
          <w:spacing w:val="-2"/>
        </w:rPr>
        <w:t xml:space="preserve"> </w:t>
      </w:r>
      <w:r>
        <w:t>must</w:t>
      </w:r>
      <w:r>
        <w:rPr>
          <w:spacing w:val="-2"/>
        </w:rPr>
        <w:t xml:space="preserve"> </w:t>
      </w:r>
      <w:r>
        <w:t>be</w:t>
      </w:r>
      <w:r>
        <w:rPr>
          <w:spacing w:val="-2"/>
        </w:rPr>
        <w:t xml:space="preserve"> </w:t>
      </w:r>
      <w:r>
        <w:t>made</w:t>
      </w:r>
      <w:r>
        <w:rPr>
          <w:spacing w:val="-2"/>
        </w:rPr>
        <w:t xml:space="preserve"> </w:t>
      </w:r>
      <w:r>
        <w:t>clear</w:t>
      </w:r>
      <w:r>
        <w:rPr>
          <w:spacing w:val="-2"/>
        </w:rPr>
        <w:t xml:space="preserve"> </w:t>
      </w:r>
      <w:r>
        <w:t>about</w:t>
      </w:r>
      <w:r>
        <w:rPr>
          <w:spacing w:val="-2"/>
        </w:rPr>
        <w:t xml:space="preserve"> </w:t>
      </w:r>
      <w:r>
        <w:t xml:space="preserve">the meaning of the word “psychopath.” Psychopathy must be distinguished from psychosis. To be a psychopath is either to have no conscience or to have one that functions only intermittently and, on those occasions, only to a small degree. To be psychotic is to have a break with reality. Psychopaths aren’t necessarily, or usually, psychotic or </w:t>
      </w:r>
      <w:r>
        <w:rPr>
          <w:i/>
        </w:rPr>
        <w:t>vice versa.</w:t>
      </w:r>
    </w:p>
    <w:p w14:paraId="7E0025AB" w14:textId="77777777" w:rsidR="009A58DB" w:rsidRDefault="00000000">
      <w:pPr>
        <w:pStyle w:val="BodyText"/>
        <w:spacing w:before="7" w:line="249" w:lineRule="auto"/>
        <w:ind w:right="370" w:firstLine="360"/>
      </w:pPr>
      <w:r>
        <w:t>The other point is that being evil isn’t the same thing as being a psychopath.</w:t>
      </w:r>
      <w:r>
        <w:rPr>
          <w:spacing w:val="-2"/>
        </w:rPr>
        <w:t xml:space="preserve"> </w:t>
      </w:r>
      <w:r>
        <w:t>A</w:t>
      </w:r>
      <w:r>
        <w:rPr>
          <w:spacing w:val="1"/>
        </w:rPr>
        <w:t xml:space="preserve"> </w:t>
      </w:r>
      <w:r>
        <w:t>lot</w:t>
      </w:r>
      <w:r>
        <w:rPr>
          <w:spacing w:val="1"/>
        </w:rPr>
        <w:t xml:space="preserve"> </w:t>
      </w:r>
      <w:r>
        <w:t>of</w:t>
      </w:r>
      <w:r>
        <w:rPr>
          <w:spacing w:val="1"/>
        </w:rPr>
        <w:t xml:space="preserve"> </w:t>
      </w:r>
      <w:r>
        <w:t>deeply</w:t>
      </w:r>
      <w:r>
        <w:rPr>
          <w:spacing w:val="1"/>
        </w:rPr>
        <w:t xml:space="preserve"> </w:t>
      </w:r>
      <w:r>
        <w:t>evil</w:t>
      </w:r>
      <w:r>
        <w:rPr>
          <w:spacing w:val="1"/>
        </w:rPr>
        <w:t xml:space="preserve"> </w:t>
      </w:r>
      <w:r>
        <w:t>people</w:t>
      </w:r>
      <w:r>
        <w:rPr>
          <w:spacing w:val="1"/>
        </w:rPr>
        <w:t xml:space="preserve"> </w:t>
      </w:r>
      <w:r>
        <w:t>have</w:t>
      </w:r>
      <w:r>
        <w:rPr>
          <w:spacing w:val="1"/>
        </w:rPr>
        <w:t xml:space="preserve"> </w:t>
      </w:r>
      <w:r>
        <w:t>functioning</w:t>
      </w:r>
      <w:r>
        <w:rPr>
          <w:spacing w:val="1"/>
        </w:rPr>
        <w:t xml:space="preserve"> </w:t>
      </w:r>
      <w:r>
        <w:t>consciences.</w:t>
      </w:r>
      <w:r>
        <w:rPr>
          <w:spacing w:val="1"/>
        </w:rPr>
        <w:t xml:space="preserve"> </w:t>
      </w:r>
      <w:r>
        <w:t>Not</w:t>
      </w:r>
      <w:r>
        <w:rPr>
          <w:spacing w:val="2"/>
        </w:rPr>
        <w:t xml:space="preserve"> </w:t>
      </w:r>
      <w:r>
        <w:rPr>
          <w:spacing w:val="-5"/>
        </w:rPr>
        <w:t>all</w:t>
      </w:r>
    </w:p>
    <w:p w14:paraId="7E0025A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AD" w14:textId="77777777" w:rsidR="009A58DB" w:rsidRDefault="00000000">
      <w:pPr>
        <w:pStyle w:val="BodyText"/>
        <w:spacing w:before="60" w:line="249" w:lineRule="auto"/>
        <w:ind w:right="365"/>
      </w:pPr>
      <w:r>
        <w:lastRenderedPageBreak/>
        <w:t>evil people are psychopaths (but most, if not all, psychopaths are evil). Evil people can, and usually do, have consciences.</w:t>
      </w:r>
    </w:p>
    <w:p w14:paraId="7E0025AE" w14:textId="77777777" w:rsidR="009A58DB" w:rsidRDefault="00000000">
      <w:pPr>
        <w:pStyle w:val="BodyText"/>
        <w:spacing w:before="7" w:line="249" w:lineRule="auto"/>
        <w:ind w:right="370" w:firstLine="360"/>
      </w:pPr>
      <w:r>
        <w:t xml:space="preserve">There are two, very different reasons why this is so. And a discussion of these reasons will help make it clear why a certain morality (of duty) is inherent in one’s succeeding in any non-trivial way and, therefore, in one’s </w:t>
      </w:r>
      <w:r>
        <w:rPr>
          <w:spacing w:val="-2"/>
        </w:rPr>
        <w:t>flourishing.</w:t>
      </w:r>
    </w:p>
    <w:p w14:paraId="7E0025AF" w14:textId="77777777" w:rsidR="009A58DB" w:rsidRDefault="00000000">
      <w:pPr>
        <w:pStyle w:val="Heading1"/>
        <w:numPr>
          <w:ilvl w:val="1"/>
          <w:numId w:val="54"/>
        </w:numPr>
        <w:tabs>
          <w:tab w:val="left" w:pos="1409"/>
        </w:tabs>
        <w:spacing w:before="193"/>
        <w:ind w:left="1409" w:hanging="1049"/>
      </w:pPr>
      <w:r>
        <w:t>The</w:t>
      </w:r>
      <w:r>
        <w:rPr>
          <w:spacing w:val="-4"/>
        </w:rPr>
        <w:t xml:space="preserve"> </w:t>
      </w:r>
      <w:r>
        <w:t>first</w:t>
      </w:r>
      <w:r>
        <w:rPr>
          <w:spacing w:val="-4"/>
        </w:rPr>
        <w:t xml:space="preserve"> </w:t>
      </w:r>
      <w:r>
        <w:rPr>
          <w:spacing w:val="-2"/>
        </w:rPr>
        <w:t>reason</w:t>
      </w:r>
    </w:p>
    <w:p w14:paraId="7E0025B0" w14:textId="77777777" w:rsidR="009A58DB" w:rsidRDefault="00000000">
      <w:pPr>
        <w:pStyle w:val="BodyText"/>
        <w:spacing w:before="139" w:line="249" w:lineRule="auto"/>
        <w:ind w:right="359"/>
      </w:pPr>
      <w:r>
        <w:t xml:space="preserve">People can be evil in some contexts but not others; and, in the contexts where they’re evil, they’re not always evil in </w:t>
      </w:r>
      <w:r>
        <w:rPr>
          <w:i/>
        </w:rPr>
        <w:t xml:space="preserve">every </w:t>
      </w:r>
      <w:r>
        <w:t>respect. Roy DeMeo was a</w:t>
      </w:r>
      <w:r>
        <w:rPr>
          <w:spacing w:val="40"/>
        </w:rPr>
        <w:t xml:space="preserve"> </w:t>
      </w:r>
      <w:r>
        <w:t>Mafia Capo. He created and ran the largest car-stealing ring in New York City history. He also personally killed around 200 people. When he killed, it was usually for strictly business-related reasons; but sometimes it was purely for personal satisfaction. And he liked killing. Roy DeMeo was an evil person. He made his living in a completely evil way.</w:t>
      </w:r>
    </w:p>
    <w:p w14:paraId="7E0025B1" w14:textId="77777777" w:rsidR="009A58DB" w:rsidRDefault="00000000">
      <w:pPr>
        <w:pStyle w:val="BodyText"/>
        <w:spacing w:before="9" w:line="249" w:lineRule="auto"/>
        <w:ind w:right="358" w:firstLine="360"/>
      </w:pPr>
      <w:r>
        <w:t>But he was a very good father and husband. In his autobiography, his son Albert wrote that he “could not have asked for a better father.” Albert never denies that his father, in his professional life, was evil. In fact, his entire autobiography is about how Roy was evil. More specifically, it’s about how Roy DeMeo, while being such an evil person in one context, could be such a good person in another.</w:t>
      </w:r>
    </w:p>
    <w:p w14:paraId="7E0025B2" w14:textId="77777777" w:rsidR="009A58DB" w:rsidRDefault="00000000">
      <w:pPr>
        <w:pStyle w:val="Heading1"/>
        <w:numPr>
          <w:ilvl w:val="1"/>
          <w:numId w:val="54"/>
        </w:numPr>
        <w:tabs>
          <w:tab w:val="left" w:pos="1409"/>
        </w:tabs>
        <w:spacing w:before="210"/>
        <w:ind w:left="1409" w:hanging="1049"/>
      </w:pPr>
      <w:r>
        <w:t>The</w:t>
      </w:r>
      <w:r>
        <w:rPr>
          <w:spacing w:val="-4"/>
        </w:rPr>
        <w:t xml:space="preserve"> </w:t>
      </w:r>
      <w:r>
        <w:t>second</w:t>
      </w:r>
      <w:r>
        <w:rPr>
          <w:spacing w:val="-4"/>
        </w:rPr>
        <w:t xml:space="preserve"> </w:t>
      </w:r>
      <w:r>
        <w:rPr>
          <w:spacing w:val="-2"/>
        </w:rPr>
        <w:t>reason</w:t>
      </w:r>
    </w:p>
    <w:p w14:paraId="7E0025B3" w14:textId="77777777" w:rsidR="009A58DB" w:rsidRDefault="00000000">
      <w:pPr>
        <w:pStyle w:val="BodyText"/>
        <w:spacing w:before="139" w:line="249" w:lineRule="auto"/>
        <w:ind w:right="360"/>
      </w:pPr>
      <w:r>
        <w:t xml:space="preserve">This brings us to the second reason why evil people can have consciences. What Roy DeMeo did for a living was wicked in the extreme. But even in his professional life, Roy DeMeo conducted himself with a </w:t>
      </w:r>
      <w:r>
        <w:rPr>
          <w:i/>
        </w:rPr>
        <w:t xml:space="preserve">certain </w:t>
      </w:r>
      <w:r>
        <w:t>integrity. He didn’t break his word to those with whom he was professionally transacting; he repaid his debts, honored his contracts, etc. (This is acknowledged by fellow partners in crime and also by the law enforcement officials who worked on his cases.)</w:t>
      </w:r>
    </w:p>
    <w:p w14:paraId="7E0025B4" w14:textId="77777777" w:rsidR="009A58DB" w:rsidRDefault="00000000">
      <w:pPr>
        <w:pStyle w:val="BodyText"/>
        <w:spacing w:before="9" w:line="249" w:lineRule="auto"/>
        <w:ind w:right="359" w:firstLine="360"/>
      </w:pPr>
      <w:r>
        <w:t>DeMeo’s compliance with these norms was, of course, largely prudential. A mafia captain can’t break his word to his Mafia cohorts and expect to live long. But I don’t think that’s all that was going on. I think that, like most professionals, Roy DeMeo took pride in his work, and he thus wanted to do it properly.</w:t>
      </w:r>
      <w:r>
        <w:rPr>
          <w:spacing w:val="78"/>
        </w:rPr>
        <w:t xml:space="preserve"> </w:t>
      </w:r>
      <w:r>
        <w:t>Though</w:t>
      </w:r>
      <w:r>
        <w:rPr>
          <w:spacing w:val="78"/>
        </w:rPr>
        <w:t xml:space="preserve"> </w:t>
      </w:r>
      <w:r>
        <w:t>his</w:t>
      </w:r>
      <w:r>
        <w:rPr>
          <w:spacing w:val="78"/>
        </w:rPr>
        <w:t xml:space="preserve"> </w:t>
      </w:r>
      <w:r>
        <w:t>reasons</w:t>
      </w:r>
      <w:r>
        <w:rPr>
          <w:spacing w:val="78"/>
        </w:rPr>
        <w:t xml:space="preserve"> </w:t>
      </w:r>
      <w:r>
        <w:t>for</w:t>
      </w:r>
      <w:r>
        <w:rPr>
          <w:spacing w:val="78"/>
        </w:rPr>
        <w:t xml:space="preserve"> </w:t>
      </w:r>
      <w:r>
        <w:t>doing</w:t>
      </w:r>
      <w:r>
        <w:rPr>
          <w:spacing w:val="78"/>
        </w:rPr>
        <w:t xml:space="preserve"> </w:t>
      </w:r>
      <w:r>
        <w:t>it</w:t>
      </w:r>
      <w:r>
        <w:rPr>
          <w:spacing w:val="78"/>
        </w:rPr>
        <w:t xml:space="preserve"> </w:t>
      </w:r>
      <w:r>
        <w:t>properly</w:t>
      </w:r>
      <w:r>
        <w:rPr>
          <w:spacing w:val="78"/>
        </w:rPr>
        <w:t xml:space="preserve"> </w:t>
      </w:r>
      <w:r>
        <w:t>were</w:t>
      </w:r>
      <w:r>
        <w:rPr>
          <w:spacing w:val="78"/>
        </w:rPr>
        <w:t xml:space="preserve"> </w:t>
      </w:r>
      <w:r>
        <w:rPr>
          <w:i/>
        </w:rPr>
        <w:t>almost</w:t>
      </w:r>
      <w:r>
        <w:rPr>
          <w:i/>
          <w:spacing w:val="71"/>
        </w:rPr>
        <w:t xml:space="preserve"> </w:t>
      </w:r>
      <w:r>
        <w:t>entirely</w:t>
      </w:r>
    </w:p>
    <w:p w14:paraId="7E0025B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B6" w14:textId="77777777" w:rsidR="009A58DB" w:rsidRDefault="00000000">
      <w:pPr>
        <w:pStyle w:val="BodyText"/>
        <w:spacing w:before="70"/>
      </w:pPr>
      <w:r>
        <w:lastRenderedPageBreak/>
        <w:t>prudential,</w:t>
      </w:r>
      <w:r>
        <w:rPr>
          <w:spacing w:val="-6"/>
        </w:rPr>
        <w:t xml:space="preserve"> </w:t>
      </w:r>
      <w:r>
        <w:t>I</w:t>
      </w:r>
      <w:r>
        <w:rPr>
          <w:spacing w:val="-4"/>
        </w:rPr>
        <w:t xml:space="preserve"> </w:t>
      </w:r>
      <w:r>
        <w:t>suspect</w:t>
      </w:r>
      <w:r>
        <w:rPr>
          <w:spacing w:val="-4"/>
        </w:rPr>
        <w:t xml:space="preserve"> </w:t>
      </w:r>
      <w:r>
        <w:t>that</w:t>
      </w:r>
      <w:r>
        <w:rPr>
          <w:spacing w:val="-4"/>
        </w:rPr>
        <w:t xml:space="preserve"> </w:t>
      </w:r>
      <w:r>
        <w:t>a</w:t>
      </w:r>
      <w:r>
        <w:rPr>
          <w:spacing w:val="-4"/>
        </w:rPr>
        <w:t xml:space="preserve"> </w:t>
      </w:r>
      <w:r>
        <w:t>sliver</w:t>
      </w:r>
      <w:r>
        <w:rPr>
          <w:spacing w:val="-4"/>
        </w:rPr>
        <w:t xml:space="preserve"> </w:t>
      </w:r>
      <w:r>
        <w:t>of</w:t>
      </w:r>
      <w:r>
        <w:rPr>
          <w:spacing w:val="-4"/>
        </w:rPr>
        <w:t xml:space="preserve"> </w:t>
      </w:r>
      <w:r>
        <w:t>professional</w:t>
      </w:r>
      <w:r>
        <w:rPr>
          <w:spacing w:val="-4"/>
        </w:rPr>
        <w:t xml:space="preserve"> </w:t>
      </w:r>
      <w:r>
        <w:t>integrity</w:t>
      </w:r>
      <w:r>
        <w:rPr>
          <w:spacing w:val="-3"/>
        </w:rPr>
        <w:t xml:space="preserve"> </w:t>
      </w:r>
      <w:r>
        <w:t>was</w:t>
      </w:r>
      <w:r>
        <w:rPr>
          <w:spacing w:val="-4"/>
        </w:rPr>
        <w:t xml:space="preserve"> </w:t>
      </w:r>
      <w:r>
        <w:rPr>
          <w:spacing w:val="-2"/>
        </w:rPr>
        <w:t>involved.</w:t>
      </w:r>
    </w:p>
    <w:p w14:paraId="7E0025B7" w14:textId="77777777" w:rsidR="009A58DB" w:rsidRDefault="00000000">
      <w:pPr>
        <w:pStyle w:val="BodyText"/>
        <w:spacing w:before="10" w:line="249" w:lineRule="auto"/>
        <w:ind w:right="358" w:firstLine="360"/>
      </w:pPr>
      <w:r>
        <w:t xml:space="preserve">People, even Mafiosi, take pride in their work. Their professional behavior, though </w:t>
      </w:r>
      <w:r>
        <w:rPr>
          <w:i/>
        </w:rPr>
        <w:t xml:space="preserve">largely </w:t>
      </w:r>
      <w:r>
        <w:t xml:space="preserve">attributable to self-interest, isn’t usually </w:t>
      </w:r>
      <w:r>
        <w:rPr>
          <w:i/>
        </w:rPr>
        <w:t xml:space="preserve">entirely </w:t>
      </w:r>
      <w:r>
        <w:t xml:space="preserve">so. (And when it is, their job-performance is noticeably substandard.) It is in this point that a genuine connection between the two kinds of morality is to be found; and this point is best illustrated by discussing the distinction between psychopaths and evil non-psychopaths (hence the preceding clarificatory </w:t>
      </w:r>
      <w:r>
        <w:rPr>
          <w:spacing w:val="-2"/>
        </w:rPr>
        <w:t>points).</w:t>
      </w:r>
    </w:p>
    <w:p w14:paraId="7E0025B8" w14:textId="77777777" w:rsidR="009A58DB" w:rsidRDefault="00000000">
      <w:pPr>
        <w:pStyle w:val="Heading1"/>
        <w:numPr>
          <w:ilvl w:val="1"/>
          <w:numId w:val="54"/>
        </w:numPr>
        <w:tabs>
          <w:tab w:val="left" w:pos="1409"/>
        </w:tabs>
        <w:spacing w:before="196"/>
        <w:ind w:left="1409" w:hanging="1049"/>
      </w:pPr>
      <w:r>
        <w:t>Psychopathy</w:t>
      </w:r>
      <w:r>
        <w:rPr>
          <w:spacing w:val="-4"/>
        </w:rPr>
        <w:t xml:space="preserve"> </w:t>
      </w:r>
      <w:r>
        <w:t>vs.</w:t>
      </w:r>
      <w:r>
        <w:rPr>
          <w:spacing w:val="-4"/>
        </w:rPr>
        <w:t xml:space="preserve"> evil</w:t>
      </w:r>
    </w:p>
    <w:p w14:paraId="7E0025B9" w14:textId="77777777" w:rsidR="009A58DB" w:rsidRDefault="00000000">
      <w:pPr>
        <w:pStyle w:val="BodyText"/>
        <w:spacing w:before="139" w:line="249" w:lineRule="auto"/>
        <w:ind w:right="359"/>
        <w:rPr>
          <w:position w:val="21"/>
        </w:rPr>
      </w:pPr>
      <w:r>
        <w:t xml:space="preserve">Non-psychopaths can be utterly evil. But there is a very big </w:t>
      </w:r>
      <w:r>
        <w:rPr>
          <w:i/>
        </w:rPr>
        <w:t xml:space="preserve">psychological </w:t>
      </w:r>
      <w:r>
        <w:t>difference between a psychopath and the non-psychopathic evil person. The difference lies in the fact in that, unlike the psychopath, the evil nonpsychopath takes himself to task. When the evil non-psychopath falls short of his own benchmarks, despicable though those may be, he castigates himself. The psychopath does not castigate himself. He does not admit</w:t>
      </w:r>
      <w:r>
        <w:rPr>
          <w:spacing w:val="40"/>
        </w:rPr>
        <w:t xml:space="preserve"> </w:t>
      </w:r>
      <w:r>
        <w:t>having done wrong. Instead, he rationalizes.</w:t>
      </w:r>
      <w:bookmarkStart w:id="514" w:name="_bookmark514"/>
      <w:bookmarkEnd w:id="514"/>
      <w:r>
        <w:rPr>
          <w:color w:val="0562C1"/>
          <w:position w:val="21"/>
          <w:u w:val="single" w:color="0562C1"/>
        </w:rPr>
        <w:t>[384]</w:t>
      </w:r>
    </w:p>
    <w:p w14:paraId="7E0025BA" w14:textId="77777777" w:rsidR="009A58DB" w:rsidRDefault="00000000">
      <w:pPr>
        <w:pStyle w:val="BodyText"/>
        <w:spacing w:before="9" w:line="249" w:lineRule="auto"/>
        <w:ind w:right="358" w:firstLine="360"/>
      </w:pPr>
      <w:r>
        <w:t xml:space="preserve">Thus, a </w:t>
      </w:r>
      <w:r>
        <w:rPr>
          <w:i/>
        </w:rPr>
        <w:t xml:space="preserve">certain </w:t>
      </w:r>
      <w:r>
        <w:t>morality is inherent in the successful carrying out of anything of any scale, whether good, evil, or neither. One often hits roadblocks. When that happens, one has a choice: (i) take responsibility, and make the needed adjustments to one’s own self; (ii) blame circumstances and admit defeat. If one can’t admit that one has fallen short, one won’t ever</w:t>
      </w:r>
      <w:r>
        <w:rPr>
          <w:spacing w:val="40"/>
        </w:rPr>
        <w:t xml:space="preserve"> </w:t>
      </w:r>
      <w:r>
        <w:t>make the needed changes to oneself, and won’t succeed in one’s endeavors, be they morally wholesome ones or profoundly wicked ones.</w:t>
      </w:r>
    </w:p>
    <w:p w14:paraId="7E0025BB" w14:textId="77777777" w:rsidR="009A58DB" w:rsidRDefault="00000000">
      <w:pPr>
        <w:pStyle w:val="BodyText"/>
        <w:spacing w:before="9" w:line="249" w:lineRule="auto"/>
        <w:ind w:right="361" w:firstLine="360"/>
      </w:pPr>
      <w:r>
        <w:t>Psychopaths are excellent swindlers and con-artists. Sometimes they end up with a non-trivial amount of wealth. But their accomplishments are trivial. To be sure, they can do a lot of harm. Psychopaths often swindle people and they sometimes kill them. But they seldom truly “make it big,” even in the narrow sense in which Mao or a Stalin makes it big.</w:t>
      </w:r>
    </w:p>
    <w:p w14:paraId="7E0025BC" w14:textId="77777777" w:rsidR="009A58DB" w:rsidRDefault="00000000">
      <w:pPr>
        <w:pStyle w:val="BodyText"/>
        <w:spacing w:before="6" w:line="249" w:lineRule="auto"/>
        <w:ind w:right="358" w:firstLine="360"/>
      </w:pPr>
      <w:r>
        <w:t>To get as far as he did, Mao had to evaluate his own conduct in a reasonably objective way. He had to ask himself, “Given that what I want is such and such, am I doing what I have to do, or am I falling short? And if I am falling short, how must I change myself to get back on track?” Mao had</w:t>
      </w:r>
      <w:r>
        <w:rPr>
          <w:spacing w:val="40"/>
        </w:rPr>
        <w:t xml:space="preserve"> </w:t>
      </w:r>
      <w:r>
        <w:t>to censure himself and henceforth act in a way that wouldn’t warrant additional self-censure.</w:t>
      </w:r>
    </w:p>
    <w:p w14:paraId="7E0025B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BE" w14:textId="77777777" w:rsidR="009A58DB" w:rsidRDefault="00000000">
      <w:pPr>
        <w:pStyle w:val="BodyText"/>
        <w:spacing w:before="65" w:line="249" w:lineRule="auto"/>
        <w:ind w:right="358" w:firstLine="360"/>
      </w:pPr>
      <w:r>
        <w:lastRenderedPageBreak/>
        <w:t>To be sure, Mao was not censuring himself for what others would regard as moral lapses. Mao was quite at ease doing things that would have been unthinkable to most others. But there’s all the difference in the world</w:t>
      </w:r>
      <w:r>
        <w:rPr>
          <w:spacing w:val="40"/>
        </w:rPr>
        <w:t xml:space="preserve"> </w:t>
      </w:r>
      <w:r>
        <w:t>between somebody who self-censures for non-standard reasons and</w:t>
      </w:r>
      <w:r>
        <w:rPr>
          <w:spacing w:val="40"/>
        </w:rPr>
        <w:t xml:space="preserve"> </w:t>
      </w:r>
      <w:r>
        <w:t>somebody who doesn’t self-censure at all. And Mao did self-censure. And in so doing, his attitude was:</w:t>
      </w:r>
    </w:p>
    <w:p w14:paraId="7E0025BF" w14:textId="77777777" w:rsidR="009A58DB" w:rsidRDefault="009A58DB">
      <w:pPr>
        <w:pStyle w:val="BodyText"/>
        <w:spacing w:before="22"/>
        <w:ind w:left="0"/>
        <w:jc w:val="left"/>
      </w:pPr>
    </w:p>
    <w:p w14:paraId="7E0025C0" w14:textId="77777777" w:rsidR="009A58DB" w:rsidRDefault="00000000">
      <w:pPr>
        <w:pStyle w:val="BodyText"/>
        <w:spacing w:line="277" w:lineRule="exact"/>
        <w:ind w:left="1353"/>
        <w:jc w:val="left"/>
      </w:pPr>
      <w:bookmarkStart w:id="515" w:name="_bookmark515"/>
      <w:bookmarkEnd w:id="515"/>
      <w:r>
        <w:rPr>
          <w:color w:val="0562C1"/>
          <w:spacing w:val="-2"/>
          <w:u w:val="single" w:color="0562C1"/>
        </w:rPr>
        <w:t>[385]</w:t>
      </w:r>
    </w:p>
    <w:p w14:paraId="7E0025C1" w14:textId="77777777" w:rsidR="009A58DB" w:rsidRDefault="00000000">
      <w:pPr>
        <w:pStyle w:val="BodyText"/>
        <w:spacing w:line="277" w:lineRule="exact"/>
        <w:ind w:left="720"/>
      </w:pPr>
      <w:r>
        <w:t>(MM</w:t>
      </w:r>
      <w:r>
        <w:rPr>
          <w:spacing w:val="45"/>
          <w:w w:val="150"/>
        </w:rPr>
        <w:t xml:space="preserve">    </w:t>
      </w:r>
      <w:r>
        <w:t>)</w:t>
      </w:r>
      <w:r>
        <w:rPr>
          <w:spacing w:val="76"/>
        </w:rPr>
        <w:t xml:space="preserve"> </w:t>
      </w:r>
      <w:r>
        <w:t>There</w:t>
      </w:r>
      <w:r>
        <w:rPr>
          <w:spacing w:val="72"/>
        </w:rPr>
        <w:t xml:space="preserve"> </w:t>
      </w:r>
      <w:r>
        <w:t>are</w:t>
      </w:r>
      <w:r>
        <w:rPr>
          <w:spacing w:val="73"/>
        </w:rPr>
        <w:t xml:space="preserve"> </w:t>
      </w:r>
      <w:r>
        <w:t>standards.</w:t>
      </w:r>
      <w:r>
        <w:rPr>
          <w:spacing w:val="73"/>
        </w:rPr>
        <w:t xml:space="preserve"> </w:t>
      </w:r>
      <w:r>
        <w:t>I</w:t>
      </w:r>
      <w:r>
        <w:rPr>
          <w:spacing w:val="72"/>
        </w:rPr>
        <w:t xml:space="preserve"> </w:t>
      </w:r>
      <w:r>
        <w:t>can</w:t>
      </w:r>
      <w:r>
        <w:rPr>
          <w:spacing w:val="74"/>
        </w:rPr>
        <w:t xml:space="preserve"> </w:t>
      </w:r>
      <w:r>
        <w:t>fall</w:t>
      </w:r>
      <w:r>
        <w:rPr>
          <w:spacing w:val="72"/>
        </w:rPr>
        <w:t xml:space="preserve"> </w:t>
      </w:r>
      <w:r>
        <w:t>short</w:t>
      </w:r>
      <w:r>
        <w:rPr>
          <w:spacing w:val="72"/>
        </w:rPr>
        <w:t xml:space="preserve"> </w:t>
      </w:r>
      <w:r>
        <w:t>of</w:t>
      </w:r>
      <w:r>
        <w:rPr>
          <w:spacing w:val="73"/>
        </w:rPr>
        <w:t xml:space="preserve"> </w:t>
      </w:r>
      <w:r>
        <w:t>them,</w:t>
      </w:r>
      <w:r>
        <w:rPr>
          <w:spacing w:val="73"/>
        </w:rPr>
        <w:t xml:space="preserve"> </w:t>
      </w:r>
      <w:r>
        <w:t>just</w:t>
      </w:r>
      <w:r>
        <w:rPr>
          <w:spacing w:val="73"/>
        </w:rPr>
        <w:t xml:space="preserve"> </w:t>
      </w:r>
      <w:r>
        <w:rPr>
          <w:spacing w:val="-4"/>
        </w:rPr>
        <w:t>like</w:t>
      </w:r>
    </w:p>
    <w:p w14:paraId="7E0025C2" w14:textId="77777777" w:rsidR="009A58DB" w:rsidRDefault="00000000">
      <w:pPr>
        <w:pStyle w:val="BodyText"/>
        <w:spacing w:before="15" w:line="249" w:lineRule="auto"/>
        <w:ind w:left="720" w:right="719"/>
      </w:pPr>
      <w:r>
        <w:t>anyone else. And I have fallen short of them. Like anyone else, I must change myself to make things right. Other people can’t get themselves off the hook by blaming circumstances or by blaming the standards they’ve failed to meet. Neither can I. I must blame myself. I can’t take refuge in excuses or rationalizations. I must cop to my failing and change myself so that I don’t repeat it.</w:t>
      </w:r>
    </w:p>
    <w:p w14:paraId="7E0025C3" w14:textId="77777777" w:rsidR="009A58DB" w:rsidRDefault="009A58DB">
      <w:pPr>
        <w:pStyle w:val="BodyText"/>
        <w:spacing w:before="22"/>
        <w:ind w:left="0"/>
        <w:jc w:val="left"/>
      </w:pPr>
    </w:p>
    <w:p w14:paraId="7E0025C4" w14:textId="77777777" w:rsidR="009A58DB" w:rsidRDefault="00000000">
      <w:pPr>
        <w:pStyle w:val="BodyText"/>
        <w:spacing w:line="249" w:lineRule="auto"/>
        <w:ind w:right="360" w:firstLine="360"/>
      </w:pPr>
      <w:r>
        <w:t xml:space="preserve">In general, a certain morality of duty is inherent in any case of self-censure. Thus, embodied in any case of self-censure is compliance with a </w:t>
      </w:r>
      <w:r>
        <w:rPr>
          <w:i/>
        </w:rPr>
        <w:t>certain</w:t>
      </w:r>
      <w:r>
        <w:rPr>
          <w:i/>
          <w:spacing w:val="-3"/>
        </w:rPr>
        <w:t xml:space="preserve"> </w:t>
      </w:r>
      <w:r>
        <w:t xml:space="preserve">morality of duty. So far as one is censuring oneself, one’s attitude is: “I’m just another person; and, just like others, I have to be judged for my failures.” This attitude </w:t>
      </w:r>
      <w:r>
        <w:rPr>
          <w:i/>
        </w:rPr>
        <w:t xml:space="preserve">is </w:t>
      </w:r>
      <w:r>
        <w:t>the essence of the morality of duty.</w:t>
      </w:r>
    </w:p>
    <w:p w14:paraId="7E0025C5" w14:textId="77777777" w:rsidR="009A58DB" w:rsidRDefault="00000000">
      <w:pPr>
        <w:pStyle w:val="BodyText"/>
        <w:spacing w:before="7" w:line="249" w:lineRule="auto"/>
        <w:ind w:right="359" w:firstLine="360"/>
      </w:pPr>
      <w:r>
        <w:t xml:space="preserve">Thus, a compliance with a </w:t>
      </w:r>
      <w:r>
        <w:rPr>
          <w:i/>
        </w:rPr>
        <w:t>certain</w:t>
      </w:r>
      <w:r>
        <w:rPr>
          <w:i/>
          <w:spacing w:val="-3"/>
        </w:rPr>
        <w:t xml:space="preserve"> </w:t>
      </w:r>
      <w:r>
        <w:t xml:space="preserve">morality of duty is inherent in any case of flourishing. Having a conscience is about holding oneself to standards; it’s about stepping back from oneself, judging oneself dispassionately and, depending on the verdict, castigating or rewarding oneself accordingly. Psychopaths don’t hold themselves to objective standards. When they fail, they don’t blame themselves; they blame circumstances. When evil, non-psychopaths fail, they admit it and make the needed changes to themselves. Psychopaths are </w:t>
      </w:r>
      <w:r>
        <w:rPr>
          <w:i/>
        </w:rPr>
        <w:t xml:space="preserve">so </w:t>
      </w:r>
      <w:r>
        <w:t>self-indulgent that they don’t do what they have to do to succeed.</w:t>
      </w:r>
      <w:r>
        <w:rPr>
          <w:spacing w:val="-2"/>
        </w:rPr>
        <w:t xml:space="preserve"> </w:t>
      </w:r>
      <w:r>
        <w:t>Unlike</w:t>
      </w:r>
      <w:r>
        <w:rPr>
          <w:spacing w:val="-1"/>
        </w:rPr>
        <w:t xml:space="preserve"> </w:t>
      </w:r>
      <w:r>
        <w:t>evil</w:t>
      </w:r>
      <w:r>
        <w:rPr>
          <w:spacing w:val="-2"/>
        </w:rPr>
        <w:t xml:space="preserve"> </w:t>
      </w:r>
      <w:r>
        <w:t>non-psychopaths,</w:t>
      </w:r>
      <w:r>
        <w:rPr>
          <w:spacing w:val="-1"/>
        </w:rPr>
        <w:t xml:space="preserve"> </w:t>
      </w:r>
      <w:r>
        <w:t>they</w:t>
      </w:r>
      <w:r>
        <w:rPr>
          <w:spacing w:val="-1"/>
        </w:rPr>
        <w:t xml:space="preserve"> </w:t>
      </w:r>
      <w:r>
        <w:t>don’t</w:t>
      </w:r>
      <w:r>
        <w:rPr>
          <w:spacing w:val="-2"/>
        </w:rPr>
        <w:t xml:space="preserve"> </w:t>
      </w:r>
      <w:r>
        <w:t>even</w:t>
      </w:r>
      <w:r>
        <w:rPr>
          <w:spacing w:val="-1"/>
        </w:rPr>
        <w:t xml:space="preserve"> </w:t>
      </w:r>
      <w:r>
        <w:t>hold</w:t>
      </w:r>
      <w:r>
        <w:rPr>
          <w:spacing w:val="-1"/>
        </w:rPr>
        <w:t xml:space="preserve"> </w:t>
      </w:r>
      <w:r>
        <w:t>themselves</w:t>
      </w:r>
      <w:r>
        <w:rPr>
          <w:spacing w:val="-1"/>
        </w:rPr>
        <w:t xml:space="preserve"> </w:t>
      </w:r>
      <w:r>
        <w:t>to</w:t>
      </w:r>
      <w:r>
        <w:rPr>
          <w:spacing w:val="-1"/>
        </w:rPr>
        <w:t xml:space="preserve"> </w:t>
      </w:r>
      <w:r>
        <w:t>the nefarious ideals embedded in their projects, that being why their successes</w:t>
      </w:r>
      <w:r>
        <w:rPr>
          <w:spacing w:val="40"/>
        </w:rPr>
        <w:t xml:space="preserve"> </w:t>
      </w:r>
      <w:r>
        <w:t xml:space="preserve">are confined to small cons and other such trivialities. But the successes of psychopaths—as distinguished from profoundly evil, non-psychopaths (e.g., Stalin)—are, in the big scheme of things, very minor. For this reason, history’s great villains tend </w:t>
      </w:r>
      <w:r>
        <w:rPr>
          <w:i/>
        </w:rPr>
        <w:t xml:space="preserve">not </w:t>
      </w:r>
      <w:r>
        <w:t xml:space="preserve">to be psychopaths. Psychopaths are </w:t>
      </w:r>
      <w:r>
        <w:rPr>
          <w:i/>
        </w:rPr>
        <w:t xml:space="preserve">so </w:t>
      </w:r>
      <w:r>
        <w:t>bereft of</w:t>
      </w:r>
      <w:r>
        <w:rPr>
          <w:spacing w:val="17"/>
        </w:rPr>
        <w:t xml:space="preserve"> </w:t>
      </w:r>
      <w:r>
        <w:t>morality</w:t>
      </w:r>
      <w:r>
        <w:rPr>
          <w:spacing w:val="17"/>
        </w:rPr>
        <w:t xml:space="preserve"> </w:t>
      </w:r>
      <w:r>
        <w:t>that</w:t>
      </w:r>
      <w:r>
        <w:rPr>
          <w:spacing w:val="17"/>
        </w:rPr>
        <w:t xml:space="preserve"> </w:t>
      </w:r>
      <w:r>
        <w:t>they</w:t>
      </w:r>
      <w:r>
        <w:rPr>
          <w:spacing w:val="17"/>
        </w:rPr>
        <w:t xml:space="preserve"> </w:t>
      </w:r>
      <w:r>
        <w:t>don’t</w:t>
      </w:r>
      <w:r>
        <w:rPr>
          <w:spacing w:val="17"/>
        </w:rPr>
        <w:t xml:space="preserve"> </w:t>
      </w:r>
      <w:r>
        <w:t>have</w:t>
      </w:r>
      <w:r>
        <w:rPr>
          <w:spacing w:val="17"/>
        </w:rPr>
        <w:t xml:space="preserve"> </w:t>
      </w:r>
      <w:r>
        <w:t>the</w:t>
      </w:r>
      <w:r>
        <w:rPr>
          <w:spacing w:val="17"/>
        </w:rPr>
        <w:t xml:space="preserve"> </w:t>
      </w:r>
      <w:r>
        <w:t>self-discipline</w:t>
      </w:r>
      <w:r>
        <w:rPr>
          <w:spacing w:val="17"/>
        </w:rPr>
        <w:t xml:space="preserve"> </w:t>
      </w:r>
      <w:r>
        <w:t>to</w:t>
      </w:r>
      <w:r>
        <w:rPr>
          <w:spacing w:val="17"/>
        </w:rPr>
        <w:t xml:space="preserve"> </w:t>
      </w:r>
      <w:r>
        <w:t>get</w:t>
      </w:r>
      <w:r>
        <w:rPr>
          <w:spacing w:val="17"/>
        </w:rPr>
        <w:t xml:space="preserve"> </w:t>
      </w:r>
      <w:r>
        <w:t>to</w:t>
      </w:r>
      <w:r>
        <w:rPr>
          <w:spacing w:val="17"/>
        </w:rPr>
        <w:t xml:space="preserve"> </w:t>
      </w:r>
      <w:r>
        <w:t>positions</w:t>
      </w:r>
      <w:r>
        <w:rPr>
          <w:spacing w:val="17"/>
        </w:rPr>
        <w:t xml:space="preserve"> </w:t>
      </w:r>
      <w:r>
        <w:t>of</w:t>
      </w:r>
      <w:r>
        <w:rPr>
          <w:spacing w:val="17"/>
        </w:rPr>
        <w:t xml:space="preserve"> </w:t>
      </w:r>
      <w:r>
        <w:t>real</w:t>
      </w:r>
    </w:p>
    <w:p w14:paraId="7E0025C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C7" w14:textId="77777777" w:rsidR="009A58DB" w:rsidRDefault="00000000">
      <w:pPr>
        <w:pStyle w:val="BodyText"/>
        <w:spacing w:before="65"/>
        <w:jc w:val="left"/>
      </w:pPr>
      <w:r>
        <w:rPr>
          <w:spacing w:val="-2"/>
        </w:rPr>
        <w:lastRenderedPageBreak/>
        <w:t>power.</w:t>
      </w:r>
    </w:p>
    <w:p w14:paraId="7E0025C8" w14:textId="77777777" w:rsidR="009A58DB" w:rsidRDefault="00000000">
      <w:pPr>
        <w:pStyle w:val="Heading1"/>
        <w:numPr>
          <w:ilvl w:val="1"/>
          <w:numId w:val="54"/>
        </w:numPr>
        <w:tabs>
          <w:tab w:val="left" w:pos="1409"/>
        </w:tabs>
        <w:ind w:left="1409" w:hanging="1049"/>
      </w:pPr>
      <w:r>
        <w:t>An</w:t>
      </w:r>
      <w:r>
        <w:rPr>
          <w:spacing w:val="-6"/>
        </w:rPr>
        <w:t xml:space="preserve"> </w:t>
      </w:r>
      <w:r>
        <w:t>objection</w:t>
      </w:r>
      <w:r>
        <w:rPr>
          <w:spacing w:val="-3"/>
        </w:rPr>
        <w:t xml:space="preserve"> </w:t>
      </w:r>
      <w:r>
        <w:t>to</w:t>
      </w:r>
      <w:r>
        <w:rPr>
          <w:spacing w:val="-3"/>
        </w:rPr>
        <w:t xml:space="preserve"> </w:t>
      </w:r>
      <w:r>
        <w:t>this</w:t>
      </w:r>
      <w:r>
        <w:rPr>
          <w:spacing w:val="-3"/>
        </w:rPr>
        <w:t xml:space="preserve"> </w:t>
      </w:r>
      <w:r>
        <w:t>line</w:t>
      </w:r>
      <w:r>
        <w:rPr>
          <w:spacing w:val="-3"/>
        </w:rPr>
        <w:t xml:space="preserve"> </w:t>
      </w:r>
      <w:r>
        <w:t>of</w:t>
      </w:r>
      <w:r>
        <w:rPr>
          <w:spacing w:val="-3"/>
        </w:rPr>
        <w:t xml:space="preserve"> </w:t>
      </w:r>
      <w:r>
        <w:rPr>
          <w:spacing w:val="-2"/>
        </w:rPr>
        <w:t>thought</w:t>
      </w:r>
    </w:p>
    <w:p w14:paraId="7E0025C9" w14:textId="77777777" w:rsidR="009A58DB" w:rsidRDefault="00000000">
      <w:pPr>
        <w:pStyle w:val="BodyText"/>
        <w:spacing w:before="139" w:line="249" w:lineRule="auto"/>
        <w:ind w:right="366"/>
      </w:pPr>
      <w:r>
        <w:t>“But there’s a very obvious point that you’re missing,” it will be said. “Although</w:t>
      </w:r>
      <w:r>
        <w:rPr>
          <w:spacing w:val="-4"/>
        </w:rPr>
        <w:t xml:space="preserve"> </w:t>
      </w:r>
      <w:r>
        <w:t>evil</w:t>
      </w:r>
      <w:r>
        <w:rPr>
          <w:spacing w:val="-5"/>
        </w:rPr>
        <w:t xml:space="preserve"> </w:t>
      </w:r>
      <w:r>
        <w:t>non-psychopaths</w:t>
      </w:r>
      <w:r>
        <w:rPr>
          <w:spacing w:val="-5"/>
        </w:rPr>
        <w:t xml:space="preserve"> </w:t>
      </w:r>
      <w:r>
        <w:t>do</w:t>
      </w:r>
      <w:r>
        <w:rPr>
          <w:spacing w:val="-4"/>
        </w:rPr>
        <w:t xml:space="preserve"> </w:t>
      </w:r>
      <w:r>
        <w:t>hold</w:t>
      </w:r>
      <w:r>
        <w:rPr>
          <w:spacing w:val="-4"/>
        </w:rPr>
        <w:t xml:space="preserve"> </w:t>
      </w:r>
      <w:r>
        <w:t>themselves</w:t>
      </w:r>
      <w:r>
        <w:rPr>
          <w:spacing w:val="-5"/>
        </w:rPr>
        <w:t xml:space="preserve"> </w:t>
      </w:r>
      <w:r>
        <w:t>to</w:t>
      </w:r>
      <w:r>
        <w:rPr>
          <w:spacing w:val="-4"/>
        </w:rPr>
        <w:t xml:space="preserve"> </w:t>
      </w:r>
      <w:r>
        <w:t>standards,</w:t>
      </w:r>
      <w:r>
        <w:rPr>
          <w:spacing w:val="-4"/>
        </w:rPr>
        <w:t xml:space="preserve"> </w:t>
      </w:r>
      <w:r>
        <w:t>no</w:t>
      </w:r>
      <w:r>
        <w:rPr>
          <w:spacing w:val="-4"/>
        </w:rPr>
        <w:t xml:space="preserve"> </w:t>
      </w:r>
      <w:r>
        <w:t>morality (of</w:t>
      </w:r>
      <w:r>
        <w:rPr>
          <w:spacing w:val="-17"/>
        </w:rPr>
        <w:t xml:space="preserve"> </w:t>
      </w:r>
      <w:r>
        <w:t>duty)</w:t>
      </w:r>
      <w:r>
        <w:rPr>
          <w:spacing w:val="-10"/>
        </w:rPr>
        <w:t xml:space="preserve"> </w:t>
      </w:r>
      <w:r>
        <w:t>is</w:t>
      </w:r>
      <w:r>
        <w:rPr>
          <w:spacing w:val="-10"/>
        </w:rPr>
        <w:t xml:space="preserve"> </w:t>
      </w:r>
      <w:r>
        <w:t>embodied</w:t>
      </w:r>
      <w:r>
        <w:rPr>
          <w:spacing w:val="-10"/>
        </w:rPr>
        <w:t xml:space="preserve"> </w:t>
      </w:r>
      <w:r>
        <w:t>in</w:t>
      </w:r>
      <w:r>
        <w:rPr>
          <w:spacing w:val="-10"/>
        </w:rPr>
        <w:t xml:space="preserve"> </w:t>
      </w:r>
      <w:r>
        <w:t>their</w:t>
      </w:r>
      <w:r>
        <w:rPr>
          <w:spacing w:val="-10"/>
        </w:rPr>
        <w:t xml:space="preserve"> </w:t>
      </w:r>
      <w:r>
        <w:t>doing</w:t>
      </w:r>
      <w:r>
        <w:rPr>
          <w:spacing w:val="-10"/>
        </w:rPr>
        <w:t xml:space="preserve"> </w:t>
      </w:r>
      <w:r>
        <w:t>so.</w:t>
      </w:r>
      <w:r>
        <w:rPr>
          <w:spacing w:val="-10"/>
        </w:rPr>
        <w:t xml:space="preserve"> </w:t>
      </w:r>
      <w:r>
        <w:t>Their</w:t>
      </w:r>
      <w:r>
        <w:rPr>
          <w:spacing w:val="-19"/>
        </w:rPr>
        <w:t xml:space="preserve"> </w:t>
      </w:r>
      <w:r>
        <w:t>self-censure</w:t>
      </w:r>
      <w:r>
        <w:rPr>
          <w:spacing w:val="-19"/>
        </w:rPr>
        <w:t xml:space="preserve"> </w:t>
      </w:r>
      <w:r>
        <w:t>and</w:t>
      </w:r>
      <w:r>
        <w:rPr>
          <w:spacing w:val="-19"/>
        </w:rPr>
        <w:t xml:space="preserve"> </w:t>
      </w:r>
      <w:r>
        <w:t>subsequent</w:t>
      </w:r>
      <w:r>
        <w:rPr>
          <w:spacing w:val="-18"/>
        </w:rPr>
        <w:t xml:space="preserve"> </w:t>
      </w:r>
      <w:r>
        <w:t>self-</w:t>
      </w:r>
      <w:r>
        <w:rPr>
          <w:spacing w:val="-2"/>
        </w:rPr>
        <w:t>reforms</w:t>
      </w:r>
      <w:r>
        <w:rPr>
          <w:spacing w:val="-12"/>
        </w:rPr>
        <w:t xml:space="preserve"> </w:t>
      </w:r>
      <w:r>
        <w:rPr>
          <w:spacing w:val="-2"/>
        </w:rPr>
        <w:t>are</w:t>
      </w:r>
      <w:r>
        <w:rPr>
          <w:spacing w:val="-12"/>
        </w:rPr>
        <w:t xml:space="preserve"> </w:t>
      </w:r>
      <w:r>
        <w:rPr>
          <w:spacing w:val="-2"/>
        </w:rPr>
        <w:t>morally</w:t>
      </w:r>
      <w:r>
        <w:rPr>
          <w:spacing w:val="-12"/>
        </w:rPr>
        <w:t xml:space="preserve"> </w:t>
      </w:r>
      <w:r>
        <w:rPr>
          <w:spacing w:val="-2"/>
        </w:rPr>
        <w:t>hollow</w:t>
      </w:r>
      <w:r>
        <w:rPr>
          <w:spacing w:val="-12"/>
        </w:rPr>
        <w:t xml:space="preserve"> </w:t>
      </w:r>
      <w:r>
        <w:rPr>
          <w:spacing w:val="-2"/>
        </w:rPr>
        <w:t>and</w:t>
      </w:r>
      <w:r>
        <w:rPr>
          <w:spacing w:val="-12"/>
        </w:rPr>
        <w:t xml:space="preserve"> </w:t>
      </w:r>
      <w:r>
        <w:rPr>
          <w:spacing w:val="-2"/>
        </w:rPr>
        <w:t>are</w:t>
      </w:r>
      <w:r>
        <w:rPr>
          <w:spacing w:val="-12"/>
        </w:rPr>
        <w:t xml:space="preserve"> </w:t>
      </w:r>
      <w:r>
        <w:rPr>
          <w:spacing w:val="-2"/>
        </w:rPr>
        <w:t>of</w:t>
      </w:r>
      <w:r>
        <w:rPr>
          <w:spacing w:val="-12"/>
        </w:rPr>
        <w:t xml:space="preserve"> </w:t>
      </w:r>
      <w:r>
        <w:rPr>
          <w:spacing w:val="-2"/>
        </w:rPr>
        <w:t>a</w:t>
      </w:r>
      <w:r>
        <w:rPr>
          <w:spacing w:val="-12"/>
        </w:rPr>
        <w:t xml:space="preserve"> </w:t>
      </w:r>
      <w:r>
        <w:rPr>
          <w:spacing w:val="-2"/>
        </w:rPr>
        <w:t>strictly</w:t>
      </w:r>
      <w:r>
        <w:rPr>
          <w:spacing w:val="-12"/>
        </w:rPr>
        <w:t xml:space="preserve"> </w:t>
      </w:r>
      <w:r>
        <w:rPr>
          <w:spacing w:val="-2"/>
        </w:rPr>
        <w:t>prudential</w:t>
      </w:r>
      <w:r>
        <w:rPr>
          <w:spacing w:val="-12"/>
        </w:rPr>
        <w:t xml:space="preserve"> </w:t>
      </w:r>
      <w:r>
        <w:rPr>
          <w:spacing w:val="-2"/>
        </w:rPr>
        <w:t>nature.”</w:t>
      </w:r>
    </w:p>
    <w:p w14:paraId="7E0025CA" w14:textId="77777777" w:rsidR="009A58DB" w:rsidRDefault="00000000">
      <w:pPr>
        <w:pStyle w:val="BodyText"/>
        <w:spacing w:before="5" w:line="249" w:lineRule="auto"/>
        <w:ind w:right="358" w:firstLine="360"/>
        <w:rPr>
          <w:position w:val="21"/>
        </w:rPr>
      </w:pPr>
      <w:r>
        <w:t>Evil non-psychopaths are, psychologically if not ethically, in a very different category from psychopaths. And apart from the fact that they’re</w:t>
      </w:r>
      <w:r>
        <w:rPr>
          <w:spacing w:val="40"/>
        </w:rPr>
        <w:t xml:space="preserve"> </w:t>
      </w:r>
      <w:r>
        <w:t>evil,</w:t>
      </w:r>
      <w:r>
        <w:rPr>
          <w:spacing w:val="-2"/>
        </w:rPr>
        <w:t xml:space="preserve"> </w:t>
      </w:r>
      <w:r>
        <w:t>evil</w:t>
      </w:r>
      <w:r>
        <w:rPr>
          <w:spacing w:val="-2"/>
        </w:rPr>
        <w:t xml:space="preserve"> </w:t>
      </w:r>
      <w:r>
        <w:t>non-psychopaths</w:t>
      </w:r>
      <w:r>
        <w:rPr>
          <w:spacing w:val="-2"/>
        </w:rPr>
        <w:t xml:space="preserve"> </w:t>
      </w:r>
      <w:r>
        <w:t>are</w:t>
      </w:r>
      <w:r>
        <w:rPr>
          <w:spacing w:val="-2"/>
        </w:rPr>
        <w:t xml:space="preserve"> </w:t>
      </w:r>
      <w:r>
        <w:t>psychologically</w:t>
      </w:r>
      <w:r>
        <w:rPr>
          <w:spacing w:val="-2"/>
        </w:rPr>
        <w:t xml:space="preserve"> </w:t>
      </w:r>
      <w:r>
        <w:t>like</w:t>
      </w:r>
      <w:r>
        <w:rPr>
          <w:spacing w:val="-2"/>
        </w:rPr>
        <w:t xml:space="preserve"> </w:t>
      </w:r>
      <w:r>
        <w:t>non-evil,</w:t>
      </w:r>
      <w:r>
        <w:rPr>
          <w:spacing w:val="-2"/>
        </w:rPr>
        <w:t xml:space="preserve"> </w:t>
      </w:r>
      <w:r>
        <w:t>nonpsychopaths. Among the criteria for psychopathy are: (1) superficial charm; (2) inability to have a meaningful relationship; (3) lack of realistic life goals; (4) parasitic lifestyle; (5) manipulativeness; (6) pronounced tendency to rationalize</w:t>
      </w:r>
      <w:r>
        <w:rPr>
          <w:spacing w:val="40"/>
        </w:rPr>
        <w:t xml:space="preserve"> </w:t>
      </w:r>
      <w:r>
        <w:t>failure;</w:t>
      </w:r>
      <w:r>
        <w:rPr>
          <w:spacing w:val="-2"/>
        </w:rPr>
        <w:t xml:space="preserve"> </w:t>
      </w:r>
      <w:r>
        <w:t>(7)</w:t>
      </w:r>
      <w:r>
        <w:rPr>
          <w:spacing w:val="-2"/>
        </w:rPr>
        <w:t xml:space="preserve"> </w:t>
      </w:r>
      <w:r>
        <w:t>deceitfulness;</w:t>
      </w:r>
      <w:r>
        <w:rPr>
          <w:spacing w:val="-2"/>
        </w:rPr>
        <w:t xml:space="preserve"> </w:t>
      </w:r>
      <w:r>
        <w:t>(8)</w:t>
      </w:r>
      <w:r>
        <w:rPr>
          <w:spacing w:val="-2"/>
        </w:rPr>
        <w:t xml:space="preserve"> </w:t>
      </w:r>
      <w:r>
        <w:t>poorly</w:t>
      </w:r>
      <w:r>
        <w:rPr>
          <w:spacing w:val="-1"/>
        </w:rPr>
        <w:t xml:space="preserve"> </w:t>
      </w:r>
      <w:r>
        <w:t>integrated</w:t>
      </w:r>
      <w:r>
        <w:rPr>
          <w:spacing w:val="-2"/>
        </w:rPr>
        <w:t xml:space="preserve"> </w:t>
      </w:r>
      <w:r>
        <w:t>and</w:t>
      </w:r>
      <w:r>
        <w:rPr>
          <w:spacing w:val="-1"/>
        </w:rPr>
        <w:t xml:space="preserve"> </w:t>
      </w:r>
      <w:r>
        <w:t>shallow</w:t>
      </w:r>
      <w:r>
        <w:rPr>
          <w:spacing w:val="-2"/>
        </w:rPr>
        <w:t xml:space="preserve"> </w:t>
      </w:r>
      <w:r>
        <w:t>sexuality;</w:t>
      </w:r>
      <w:r>
        <w:rPr>
          <w:spacing w:val="-2"/>
        </w:rPr>
        <w:t xml:space="preserve"> </w:t>
      </w:r>
      <w:r>
        <w:t>(9)</w:t>
      </w:r>
      <w:r>
        <w:rPr>
          <w:spacing w:val="-2"/>
        </w:rPr>
        <w:t xml:space="preserve"> </w:t>
      </w:r>
      <w:r>
        <w:t>lack of remorse, shame, and guilt; and (10) an inability to operate within institutional structures</w:t>
      </w:r>
      <w:bookmarkStart w:id="516" w:name="_bookmark516"/>
      <w:bookmarkEnd w:id="516"/>
      <w:r>
        <w:t>.</w:t>
      </w:r>
      <w:r>
        <w:rPr>
          <w:color w:val="0562C1"/>
          <w:position w:val="21"/>
          <w:u w:val="single" w:color="0562C1"/>
        </w:rPr>
        <w:t>[386]</w:t>
      </w:r>
    </w:p>
    <w:p w14:paraId="7E0025CB" w14:textId="77777777" w:rsidR="009A58DB" w:rsidRDefault="00000000">
      <w:pPr>
        <w:pStyle w:val="BodyText"/>
        <w:spacing w:before="11" w:line="249" w:lineRule="auto"/>
        <w:ind w:right="358" w:firstLine="360"/>
      </w:pPr>
      <w:r>
        <w:t>There are profoundly evil people (e.g., Roy Demeo) who have deep connections with others, who are capable of operating within institutional frameworks (e.g., Molotov), who don’t have parasitic lifestyles (e.g., Ted Kaczynski), and so on. Demeo, Molotov, and Kaczynski were not psychopaths. They were evil nonpsychopaths. They had values. But their values happened not to be good ones.</w:t>
      </w:r>
    </w:p>
    <w:p w14:paraId="7E0025CC" w14:textId="77777777" w:rsidR="009A58DB" w:rsidRDefault="00000000">
      <w:pPr>
        <w:pStyle w:val="BodyText"/>
        <w:spacing w:before="7" w:line="249" w:lineRule="auto"/>
        <w:ind w:right="359" w:firstLine="360"/>
        <w:rPr>
          <w:i/>
        </w:rPr>
      </w:pPr>
      <w:r>
        <w:t xml:space="preserve">Evil non-psychopaths typically have some of the nine traits just listed, but always lack most of them. Psychopaths, on the other hand, always have most or all of them. And non-psychopaths, when they have these traits, have them only in certain contexts and, in those contexts, in certain respects. Psychopaths, on the other hand, have these traits </w:t>
      </w:r>
      <w:r>
        <w:rPr>
          <w:i/>
        </w:rPr>
        <w:t>generally.</w:t>
      </w:r>
    </w:p>
    <w:p w14:paraId="7E0025CD" w14:textId="77777777" w:rsidR="009A58DB" w:rsidRDefault="00000000">
      <w:pPr>
        <w:pStyle w:val="BodyText"/>
        <w:spacing w:before="6" w:line="249" w:lineRule="auto"/>
        <w:ind w:right="363" w:firstLine="360"/>
      </w:pPr>
      <w:r>
        <w:t xml:space="preserve">Also, non-psychopaths don’t have them for the same reasons as psychopaths. Like psychopaths, evil nonpsychopaths, are deceitful and manipulative, but they aren’t </w:t>
      </w:r>
      <w:r>
        <w:rPr>
          <w:i/>
        </w:rPr>
        <w:t xml:space="preserve">generally </w:t>
      </w:r>
      <w:r>
        <w:t>that way. There are usually people to whom they’re honest. By contrast, psychopaths cannot be honest with anybody, including themselves.</w:t>
      </w:r>
    </w:p>
    <w:p w14:paraId="7E0025CE" w14:textId="77777777" w:rsidR="009A58DB" w:rsidRDefault="00000000">
      <w:pPr>
        <w:pStyle w:val="BodyText"/>
        <w:spacing w:before="6" w:line="249" w:lineRule="auto"/>
        <w:ind w:right="365" w:firstLine="360"/>
      </w:pPr>
      <w:r>
        <w:t xml:space="preserve">Further, for non-psychopaths, the deceitfulness and manipulativeness are not ends unto themselves. But for psychopaths, they </w:t>
      </w:r>
      <w:r>
        <w:rPr>
          <w:i/>
        </w:rPr>
        <w:t xml:space="preserve">are </w:t>
      </w:r>
      <w:r>
        <w:t>such ends. Of</w:t>
      </w:r>
      <w:r>
        <w:rPr>
          <w:spacing w:val="40"/>
        </w:rPr>
        <w:t xml:space="preserve"> </w:t>
      </w:r>
      <w:r>
        <w:t>course,</w:t>
      </w:r>
      <w:r>
        <w:rPr>
          <w:spacing w:val="-1"/>
        </w:rPr>
        <w:t xml:space="preserve"> </w:t>
      </w:r>
      <w:r>
        <w:t>they con</w:t>
      </w:r>
      <w:r>
        <w:rPr>
          <w:spacing w:val="-1"/>
        </w:rPr>
        <w:t xml:space="preserve"> </w:t>
      </w:r>
      <w:r>
        <w:t>for practical</w:t>
      </w:r>
      <w:r>
        <w:rPr>
          <w:spacing w:val="-1"/>
        </w:rPr>
        <w:t xml:space="preserve"> </w:t>
      </w:r>
      <w:r>
        <w:t>reasons. But</w:t>
      </w:r>
      <w:r>
        <w:rPr>
          <w:spacing w:val="-1"/>
        </w:rPr>
        <w:t xml:space="preserve"> </w:t>
      </w:r>
      <w:r>
        <w:t>they love</w:t>
      </w:r>
      <w:r>
        <w:rPr>
          <w:spacing w:val="-1"/>
        </w:rPr>
        <w:t xml:space="preserve"> </w:t>
      </w:r>
      <w:r>
        <w:t>to do</w:t>
      </w:r>
      <w:r>
        <w:rPr>
          <w:spacing w:val="-1"/>
        </w:rPr>
        <w:t xml:space="preserve"> </w:t>
      </w:r>
      <w:r>
        <w:t>it:</w:t>
      </w:r>
      <w:r>
        <w:rPr>
          <w:spacing w:val="-1"/>
        </w:rPr>
        <w:t xml:space="preserve"> </w:t>
      </w:r>
      <w:r>
        <w:t>it’s</w:t>
      </w:r>
      <w:r>
        <w:rPr>
          <w:spacing w:val="-1"/>
        </w:rPr>
        <w:t xml:space="preserve"> </w:t>
      </w:r>
      <w:r>
        <w:t>what</w:t>
      </w:r>
      <w:r>
        <w:rPr>
          <w:spacing w:val="-1"/>
        </w:rPr>
        <w:t xml:space="preserve"> </w:t>
      </w:r>
      <w:r>
        <w:t>they do</w:t>
      </w:r>
    </w:p>
    <w:p w14:paraId="7E0025C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D0" w14:textId="77777777" w:rsidR="009A58DB" w:rsidRDefault="00000000">
      <w:pPr>
        <w:pStyle w:val="BodyText"/>
        <w:spacing w:before="60" w:line="249" w:lineRule="auto"/>
        <w:ind w:right="359"/>
      </w:pPr>
      <w:r>
        <w:lastRenderedPageBreak/>
        <w:t xml:space="preserve">—it’s their craft, their calling. There are non-psychopaths (e.g., DeMeo) who seem to feel no remorse or guilt. What’s going on is that they do feel it, but not in the right contexts. DeMeo thought nothing of killing somebody for some a minor slight, but felt deeply ashamed over missing his son’s baseball </w:t>
      </w:r>
      <w:r>
        <w:rPr>
          <w:spacing w:val="-2"/>
        </w:rPr>
        <w:t>game.</w:t>
      </w:r>
    </w:p>
    <w:p w14:paraId="7E0025D1" w14:textId="77777777" w:rsidR="009A58DB" w:rsidRDefault="00000000">
      <w:pPr>
        <w:pStyle w:val="BodyText"/>
        <w:spacing w:before="11" w:line="249" w:lineRule="auto"/>
        <w:ind w:right="360" w:firstLine="360"/>
      </w:pPr>
      <w:r>
        <w:t>It’s been established that no one with a conscience has enough of these traits to merit a diagnosis of psychopathy, and also that anybody who doesn’t have enough such traits does have a conscience. Given that conscience, and nothing besides, underlies all (non-coerced) compliance with the morality of duty,</w:t>
      </w:r>
      <w:r>
        <w:rPr>
          <w:spacing w:val="-1"/>
        </w:rPr>
        <w:t xml:space="preserve"> </w:t>
      </w:r>
      <w:r>
        <w:t>this</w:t>
      </w:r>
      <w:r>
        <w:rPr>
          <w:spacing w:val="-1"/>
        </w:rPr>
        <w:t xml:space="preserve"> </w:t>
      </w:r>
      <w:r>
        <w:t>shows</w:t>
      </w:r>
      <w:r>
        <w:rPr>
          <w:spacing w:val="-1"/>
        </w:rPr>
        <w:t xml:space="preserve"> </w:t>
      </w:r>
      <w:r>
        <w:t>that</w:t>
      </w:r>
      <w:r>
        <w:rPr>
          <w:spacing w:val="-2"/>
        </w:rPr>
        <w:t xml:space="preserve"> </w:t>
      </w:r>
      <w:r>
        <w:t>the</w:t>
      </w:r>
      <w:r>
        <w:rPr>
          <w:spacing w:val="-1"/>
        </w:rPr>
        <w:t xml:space="preserve"> </w:t>
      </w:r>
      <w:r>
        <w:t>self-censures</w:t>
      </w:r>
      <w:r>
        <w:rPr>
          <w:spacing w:val="-1"/>
        </w:rPr>
        <w:t xml:space="preserve"> </w:t>
      </w:r>
      <w:r>
        <w:t>of</w:t>
      </w:r>
      <w:r>
        <w:rPr>
          <w:spacing w:val="-1"/>
        </w:rPr>
        <w:t xml:space="preserve"> </w:t>
      </w:r>
      <w:r>
        <w:t>a</w:t>
      </w:r>
      <w:r>
        <w:rPr>
          <w:spacing w:val="-1"/>
        </w:rPr>
        <w:t xml:space="preserve"> </w:t>
      </w:r>
      <w:r>
        <w:t>Mao</w:t>
      </w:r>
      <w:r>
        <w:rPr>
          <w:spacing w:val="-1"/>
        </w:rPr>
        <w:t xml:space="preserve"> </w:t>
      </w:r>
      <w:r>
        <w:t>or</w:t>
      </w:r>
      <w:r>
        <w:rPr>
          <w:spacing w:val="-1"/>
        </w:rPr>
        <w:t xml:space="preserve"> </w:t>
      </w:r>
      <w:r>
        <w:t>a</w:t>
      </w:r>
      <w:r>
        <w:rPr>
          <w:spacing w:val="-1"/>
        </w:rPr>
        <w:t xml:space="preserve"> </w:t>
      </w:r>
      <w:r>
        <w:t>Genghis</w:t>
      </w:r>
      <w:r>
        <w:rPr>
          <w:spacing w:val="-1"/>
        </w:rPr>
        <w:t xml:space="preserve"> </w:t>
      </w:r>
      <w:r>
        <w:t>Khan</w:t>
      </w:r>
      <w:r>
        <w:rPr>
          <w:spacing w:val="-1"/>
        </w:rPr>
        <w:t xml:space="preserve"> </w:t>
      </w:r>
      <w:r>
        <w:t>are</w:t>
      </w:r>
      <w:r>
        <w:rPr>
          <w:spacing w:val="-1"/>
        </w:rPr>
        <w:t xml:space="preserve"> </w:t>
      </w:r>
      <w:r>
        <w:t xml:space="preserve">rooted in the very relationship to value and normativity that inhibits non-psychopathic, non-evil people from acting in antagonistic ways towards </w:t>
      </w:r>
      <w:r>
        <w:rPr>
          <w:spacing w:val="-2"/>
        </w:rPr>
        <w:t>others.</w:t>
      </w:r>
    </w:p>
    <w:p w14:paraId="7E0025D2" w14:textId="77777777" w:rsidR="009A58DB" w:rsidRDefault="00000000">
      <w:pPr>
        <w:pStyle w:val="BodyText"/>
        <w:spacing w:before="10" w:line="249" w:lineRule="auto"/>
        <w:ind w:right="358" w:firstLine="360"/>
      </w:pPr>
      <w:r>
        <w:t>In conclusion, the self-discipline of a Mao is, from a psychological standpoint,</w:t>
      </w:r>
      <w:r>
        <w:rPr>
          <w:spacing w:val="-3"/>
        </w:rPr>
        <w:t xml:space="preserve"> </w:t>
      </w:r>
      <w:r>
        <w:t>no</w:t>
      </w:r>
      <w:r>
        <w:rPr>
          <w:spacing w:val="-3"/>
        </w:rPr>
        <w:t xml:space="preserve"> </w:t>
      </w:r>
      <w:r>
        <w:t>less</w:t>
      </w:r>
      <w:r>
        <w:rPr>
          <w:spacing w:val="-3"/>
        </w:rPr>
        <w:t xml:space="preserve"> </w:t>
      </w:r>
      <w:r>
        <w:t>conscience-driven</w:t>
      </w:r>
      <w:r>
        <w:rPr>
          <w:spacing w:val="-3"/>
        </w:rPr>
        <w:t xml:space="preserve"> </w:t>
      </w:r>
      <w:r>
        <w:t>than</w:t>
      </w:r>
      <w:r>
        <w:rPr>
          <w:spacing w:val="-3"/>
        </w:rPr>
        <w:t xml:space="preserve"> </w:t>
      </w:r>
      <w:r>
        <w:t>your</w:t>
      </w:r>
      <w:r>
        <w:rPr>
          <w:spacing w:val="-3"/>
        </w:rPr>
        <w:t xml:space="preserve"> </w:t>
      </w:r>
      <w:r>
        <w:t>reluctance</w:t>
      </w:r>
      <w:r>
        <w:rPr>
          <w:spacing w:val="-3"/>
        </w:rPr>
        <w:t xml:space="preserve"> </w:t>
      </w:r>
      <w:r>
        <w:t>to</w:t>
      </w:r>
      <w:r>
        <w:rPr>
          <w:spacing w:val="-3"/>
        </w:rPr>
        <w:t xml:space="preserve"> </w:t>
      </w:r>
      <w:r>
        <w:t>steal</w:t>
      </w:r>
      <w:r>
        <w:rPr>
          <w:spacing w:val="-3"/>
        </w:rPr>
        <w:t xml:space="preserve"> </w:t>
      </w:r>
      <w:r>
        <w:t>so</w:t>
      </w:r>
      <w:r>
        <w:rPr>
          <w:spacing w:val="-3"/>
        </w:rPr>
        <w:t xml:space="preserve"> </w:t>
      </w:r>
      <w:r>
        <w:t>and</w:t>
      </w:r>
      <w:r>
        <w:rPr>
          <w:spacing w:val="-3"/>
        </w:rPr>
        <w:t xml:space="preserve"> </w:t>
      </w:r>
      <w:r>
        <w:t>so’s money.</w:t>
      </w:r>
      <w:r>
        <w:rPr>
          <w:spacing w:val="-2"/>
        </w:rPr>
        <w:t xml:space="preserve"> </w:t>
      </w:r>
      <w:r>
        <w:t>Both</w:t>
      </w:r>
      <w:r>
        <w:rPr>
          <w:spacing w:val="-2"/>
        </w:rPr>
        <w:t xml:space="preserve"> </w:t>
      </w:r>
      <w:r>
        <w:t>are</w:t>
      </w:r>
      <w:r>
        <w:rPr>
          <w:spacing w:val="-3"/>
        </w:rPr>
        <w:t xml:space="preserve"> </w:t>
      </w:r>
      <w:r>
        <w:t>rooted</w:t>
      </w:r>
      <w:r>
        <w:rPr>
          <w:spacing w:val="-2"/>
        </w:rPr>
        <w:t xml:space="preserve"> </w:t>
      </w:r>
      <w:r>
        <w:t>in</w:t>
      </w:r>
      <w:r>
        <w:rPr>
          <w:spacing w:val="-2"/>
        </w:rPr>
        <w:t xml:space="preserve"> </w:t>
      </w:r>
      <w:r>
        <w:t>a</w:t>
      </w:r>
      <w:r>
        <w:rPr>
          <w:spacing w:val="-3"/>
        </w:rPr>
        <w:t xml:space="preserve"> </w:t>
      </w:r>
      <w:r>
        <w:t>wish</w:t>
      </w:r>
      <w:r>
        <w:rPr>
          <w:spacing w:val="-2"/>
        </w:rPr>
        <w:t xml:space="preserve"> </w:t>
      </w:r>
      <w:r>
        <w:t>to</w:t>
      </w:r>
      <w:r>
        <w:rPr>
          <w:spacing w:val="-2"/>
        </w:rPr>
        <w:t xml:space="preserve"> </w:t>
      </w:r>
      <w:r>
        <w:t>adhere</w:t>
      </w:r>
      <w:r>
        <w:rPr>
          <w:spacing w:val="-3"/>
        </w:rPr>
        <w:t xml:space="preserve"> </w:t>
      </w:r>
      <w:r>
        <w:t>to</w:t>
      </w:r>
      <w:r>
        <w:rPr>
          <w:spacing w:val="-2"/>
        </w:rPr>
        <w:t xml:space="preserve"> </w:t>
      </w:r>
      <w:r>
        <w:t>a</w:t>
      </w:r>
      <w:r>
        <w:rPr>
          <w:spacing w:val="-3"/>
        </w:rPr>
        <w:t xml:space="preserve"> </w:t>
      </w:r>
      <w:r>
        <w:t>code</w:t>
      </w:r>
      <w:r>
        <w:rPr>
          <w:spacing w:val="-3"/>
        </w:rPr>
        <w:t xml:space="preserve"> </w:t>
      </w:r>
      <w:r>
        <w:t>of</w:t>
      </w:r>
      <w:r>
        <w:rPr>
          <w:spacing w:val="-3"/>
        </w:rPr>
        <w:t xml:space="preserve"> </w:t>
      </w:r>
      <w:r>
        <w:t>behavior</w:t>
      </w:r>
      <w:r>
        <w:rPr>
          <w:spacing w:val="-3"/>
        </w:rPr>
        <w:t xml:space="preserve"> </w:t>
      </w:r>
      <w:r>
        <w:t>that</w:t>
      </w:r>
      <w:r>
        <w:rPr>
          <w:spacing w:val="-3"/>
        </w:rPr>
        <w:t xml:space="preserve"> </w:t>
      </w:r>
      <w:r>
        <w:t>is</w:t>
      </w:r>
      <w:r>
        <w:rPr>
          <w:spacing w:val="-3"/>
        </w:rPr>
        <w:t xml:space="preserve"> </w:t>
      </w:r>
      <w:r>
        <w:t>larger than oneself and to which each human is supposedly accountable. Thus, the self-recriminations of an evil non-psychopath have a basis in a wish to comply</w:t>
      </w:r>
      <w:r>
        <w:rPr>
          <w:spacing w:val="-2"/>
        </w:rPr>
        <w:t xml:space="preserve"> </w:t>
      </w:r>
      <w:r>
        <w:t>with</w:t>
      </w:r>
      <w:r>
        <w:rPr>
          <w:spacing w:val="-2"/>
        </w:rPr>
        <w:t xml:space="preserve"> </w:t>
      </w:r>
      <w:r>
        <w:rPr>
          <w:i/>
        </w:rPr>
        <w:t>a</w:t>
      </w:r>
      <w:r>
        <w:rPr>
          <w:i/>
          <w:spacing w:val="-2"/>
        </w:rPr>
        <w:t xml:space="preserve"> </w:t>
      </w:r>
      <w:r>
        <w:t>morality</w:t>
      </w:r>
      <w:r>
        <w:rPr>
          <w:spacing w:val="-2"/>
        </w:rPr>
        <w:t xml:space="preserve"> </w:t>
      </w:r>
      <w:r>
        <w:t>of</w:t>
      </w:r>
      <w:r>
        <w:rPr>
          <w:spacing w:val="-3"/>
        </w:rPr>
        <w:t xml:space="preserve"> </w:t>
      </w:r>
      <w:r>
        <w:t>duty,</w:t>
      </w:r>
      <w:r>
        <w:rPr>
          <w:spacing w:val="-2"/>
        </w:rPr>
        <w:t xml:space="preserve"> </w:t>
      </w:r>
      <w:r>
        <w:t>albeit</w:t>
      </w:r>
      <w:r>
        <w:rPr>
          <w:spacing w:val="-3"/>
        </w:rPr>
        <w:t xml:space="preserve"> </w:t>
      </w:r>
      <w:r>
        <w:t>one</w:t>
      </w:r>
      <w:r>
        <w:rPr>
          <w:spacing w:val="-3"/>
        </w:rPr>
        <w:t xml:space="preserve"> </w:t>
      </w:r>
      <w:r>
        <w:t>that</w:t>
      </w:r>
      <w:r>
        <w:rPr>
          <w:spacing w:val="-3"/>
        </w:rPr>
        <w:t xml:space="preserve"> </w:t>
      </w:r>
      <w:r>
        <w:t>others</w:t>
      </w:r>
      <w:r>
        <w:rPr>
          <w:spacing w:val="-3"/>
        </w:rPr>
        <w:t xml:space="preserve"> </w:t>
      </w:r>
      <w:r>
        <w:t>might</w:t>
      </w:r>
      <w:r>
        <w:rPr>
          <w:spacing w:val="-3"/>
        </w:rPr>
        <w:t xml:space="preserve"> </w:t>
      </w:r>
      <w:r>
        <w:t>(claim</w:t>
      </w:r>
      <w:r>
        <w:rPr>
          <w:spacing w:val="-3"/>
        </w:rPr>
        <w:t xml:space="preserve"> </w:t>
      </w:r>
      <w:r>
        <w:t>to)</w:t>
      </w:r>
      <w:r>
        <w:rPr>
          <w:spacing w:val="-3"/>
        </w:rPr>
        <w:t xml:space="preserve"> </w:t>
      </w:r>
      <w:r>
        <w:t>hold</w:t>
      </w:r>
      <w:r>
        <w:rPr>
          <w:spacing w:val="-2"/>
        </w:rPr>
        <w:t xml:space="preserve"> </w:t>
      </w:r>
      <w:r>
        <w:t xml:space="preserve">in contempt. And given that the ability to self-censure, and change oneself in light of one’s self-censures, underlies all cases of non-trivial flourishing, in both the evil and the good alike, it follows that a wish to comply with </w:t>
      </w:r>
      <w:r>
        <w:rPr>
          <w:i/>
        </w:rPr>
        <w:t xml:space="preserve">a </w:t>
      </w:r>
      <w:r>
        <w:t>morality of duty underlies, and is essential to, any case of flourishing.</w:t>
      </w:r>
    </w:p>
    <w:p w14:paraId="7E0025D3" w14:textId="77777777" w:rsidR="009A58DB" w:rsidRDefault="00000000">
      <w:pPr>
        <w:pStyle w:val="Heading1"/>
        <w:tabs>
          <w:tab w:val="left" w:pos="1507"/>
        </w:tabs>
        <w:spacing w:before="200" w:line="244" w:lineRule="auto"/>
        <w:ind w:left="1080" w:right="422" w:hanging="720"/>
      </w:pPr>
      <w:r>
        <w:rPr>
          <w:spacing w:val="-4"/>
        </w:rPr>
        <w:t>6.0</w:t>
      </w:r>
      <w:r>
        <w:tab/>
      </w:r>
      <w:r>
        <w:tab/>
        <w:t>How differences in people’s views concerning flourishing mask underlying moral agreement</w:t>
      </w:r>
    </w:p>
    <w:p w14:paraId="7E0025D4" w14:textId="77777777" w:rsidR="009A58DB" w:rsidRDefault="00000000">
      <w:pPr>
        <w:pStyle w:val="BodyText"/>
        <w:spacing w:before="132" w:line="249" w:lineRule="auto"/>
        <w:ind w:right="358"/>
      </w:pPr>
      <w:r>
        <w:t>Not all people have the same moral values; not all cultures have the same moral values. Given this, it might seem as though I’m imposing my own idiosyncratic conception of morality on the rest of humanity by saying that excellence is flourishing and, consequently, that one is acting rightly insofar as, and only insofar as, one is acting in a flourishing-conducive way. What about</w:t>
      </w:r>
      <w:r>
        <w:rPr>
          <w:spacing w:val="-3"/>
        </w:rPr>
        <w:t xml:space="preserve"> </w:t>
      </w:r>
      <w:r>
        <w:t>people</w:t>
      </w:r>
      <w:r>
        <w:rPr>
          <w:spacing w:val="-3"/>
        </w:rPr>
        <w:t xml:space="preserve"> </w:t>
      </w:r>
      <w:r>
        <w:t>who</w:t>
      </w:r>
      <w:r>
        <w:rPr>
          <w:spacing w:val="-2"/>
        </w:rPr>
        <w:t xml:space="preserve"> </w:t>
      </w:r>
      <w:r>
        <w:t>believe</w:t>
      </w:r>
      <w:r>
        <w:rPr>
          <w:spacing w:val="-3"/>
        </w:rPr>
        <w:t xml:space="preserve"> </w:t>
      </w:r>
      <w:r>
        <w:t>that</w:t>
      </w:r>
      <w:r>
        <w:rPr>
          <w:spacing w:val="-3"/>
        </w:rPr>
        <w:t xml:space="preserve"> </w:t>
      </w:r>
      <w:r>
        <w:t>to</w:t>
      </w:r>
      <w:r>
        <w:rPr>
          <w:spacing w:val="-2"/>
        </w:rPr>
        <w:t xml:space="preserve"> </w:t>
      </w:r>
      <w:r>
        <w:t>be</w:t>
      </w:r>
      <w:r>
        <w:rPr>
          <w:spacing w:val="-3"/>
        </w:rPr>
        <w:t xml:space="preserve"> </w:t>
      </w:r>
      <w:r>
        <w:t>good</w:t>
      </w:r>
      <w:r>
        <w:rPr>
          <w:spacing w:val="-2"/>
        </w:rPr>
        <w:t xml:space="preserve"> </w:t>
      </w:r>
      <w:r>
        <w:t>is</w:t>
      </w:r>
      <w:r>
        <w:rPr>
          <w:spacing w:val="-3"/>
        </w:rPr>
        <w:t xml:space="preserve"> </w:t>
      </w:r>
      <w:r>
        <w:t>to</w:t>
      </w:r>
      <w:r>
        <w:rPr>
          <w:spacing w:val="-2"/>
        </w:rPr>
        <w:t xml:space="preserve"> </w:t>
      </w:r>
      <w:r>
        <w:t>obey</w:t>
      </w:r>
      <w:r>
        <w:rPr>
          <w:spacing w:val="-2"/>
        </w:rPr>
        <w:t xml:space="preserve"> </w:t>
      </w:r>
      <w:r>
        <w:t>God’s</w:t>
      </w:r>
      <w:r>
        <w:rPr>
          <w:spacing w:val="-3"/>
        </w:rPr>
        <w:t xml:space="preserve"> </w:t>
      </w:r>
      <w:r>
        <w:t>will?</w:t>
      </w:r>
      <w:r>
        <w:rPr>
          <w:spacing w:val="-3"/>
        </w:rPr>
        <w:t xml:space="preserve"> </w:t>
      </w:r>
      <w:r>
        <w:t>Or</w:t>
      </w:r>
      <w:r>
        <w:rPr>
          <w:spacing w:val="-3"/>
        </w:rPr>
        <w:t xml:space="preserve"> </w:t>
      </w:r>
      <w:r>
        <w:t>those</w:t>
      </w:r>
      <w:r>
        <w:rPr>
          <w:spacing w:val="-3"/>
        </w:rPr>
        <w:t xml:space="preserve"> </w:t>
      </w:r>
      <w:r>
        <w:t>who identify goodness with fidelity to one’s country? Or those who identify it</w:t>
      </w:r>
      <w:r>
        <w:rPr>
          <w:spacing w:val="40"/>
        </w:rPr>
        <w:t xml:space="preserve"> </w:t>
      </w:r>
      <w:r>
        <w:t>with adherence to the Marine code of conduct? Or those who have some</w:t>
      </w:r>
      <w:r>
        <w:rPr>
          <w:spacing w:val="40"/>
        </w:rPr>
        <w:t xml:space="preserve"> </w:t>
      </w:r>
      <w:r>
        <w:t>other</w:t>
      </w:r>
      <w:r>
        <w:rPr>
          <w:spacing w:val="23"/>
        </w:rPr>
        <w:t xml:space="preserve"> </w:t>
      </w:r>
      <w:r>
        <w:t>view?</w:t>
      </w:r>
      <w:r>
        <w:rPr>
          <w:spacing w:val="23"/>
        </w:rPr>
        <w:t xml:space="preserve"> </w:t>
      </w:r>
      <w:r>
        <w:t>Am</w:t>
      </w:r>
      <w:r>
        <w:rPr>
          <w:spacing w:val="23"/>
        </w:rPr>
        <w:t xml:space="preserve"> </w:t>
      </w:r>
      <w:r>
        <w:t>I</w:t>
      </w:r>
      <w:r>
        <w:rPr>
          <w:spacing w:val="23"/>
        </w:rPr>
        <w:t xml:space="preserve"> </w:t>
      </w:r>
      <w:r>
        <w:t>not</w:t>
      </w:r>
      <w:r>
        <w:rPr>
          <w:spacing w:val="24"/>
        </w:rPr>
        <w:t xml:space="preserve"> </w:t>
      </w:r>
      <w:r>
        <w:t>simply</w:t>
      </w:r>
      <w:r>
        <w:rPr>
          <w:spacing w:val="23"/>
        </w:rPr>
        <w:t xml:space="preserve"> </w:t>
      </w:r>
      <w:r>
        <w:t>dismissing</w:t>
      </w:r>
      <w:r>
        <w:rPr>
          <w:spacing w:val="23"/>
        </w:rPr>
        <w:t xml:space="preserve"> </w:t>
      </w:r>
      <w:r>
        <w:t>these</w:t>
      </w:r>
      <w:r>
        <w:rPr>
          <w:spacing w:val="23"/>
        </w:rPr>
        <w:t xml:space="preserve"> </w:t>
      </w:r>
      <w:r>
        <w:t>various</w:t>
      </w:r>
      <w:r>
        <w:rPr>
          <w:spacing w:val="23"/>
        </w:rPr>
        <w:t xml:space="preserve"> </w:t>
      </w:r>
      <w:r>
        <w:t>different</w:t>
      </w:r>
      <w:r>
        <w:rPr>
          <w:spacing w:val="23"/>
        </w:rPr>
        <w:t xml:space="preserve"> </w:t>
      </w:r>
      <w:r>
        <w:t>conceptions</w:t>
      </w:r>
    </w:p>
    <w:p w14:paraId="7E0025D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D6" w14:textId="77777777" w:rsidR="009A58DB" w:rsidRDefault="00000000">
      <w:pPr>
        <w:pStyle w:val="BodyText"/>
        <w:spacing w:before="60" w:line="249" w:lineRule="auto"/>
        <w:ind w:right="363"/>
      </w:pPr>
      <w:r>
        <w:lastRenderedPageBreak/>
        <w:t>of morality, all of them reasonable, in saying that moral goodness is (the promotion of) flourishing?</w:t>
      </w:r>
    </w:p>
    <w:p w14:paraId="7E0025D7" w14:textId="77777777" w:rsidR="009A58DB" w:rsidRDefault="00000000">
      <w:pPr>
        <w:pStyle w:val="BodyText"/>
        <w:spacing w:before="7" w:line="249" w:lineRule="auto"/>
        <w:ind w:right="358" w:firstLine="360"/>
      </w:pPr>
      <w:r>
        <w:t xml:space="preserve">In identifying goodness with flourishing and the promotion thereof, I am not mistaking my personal idiosyncrasies for moral universals; nor am I saying anything inconsistent with anyone’s moral practices or beliefs. The differences in moral outlook between people and cultures have to do with differences in their views as to what </w:t>
      </w:r>
      <w:r>
        <w:rPr>
          <w:i/>
        </w:rPr>
        <w:t xml:space="preserve">constitutes </w:t>
      </w:r>
      <w:r>
        <w:t>flourishing.</w:t>
      </w:r>
    </w:p>
    <w:p w14:paraId="7E0025D8" w14:textId="77777777" w:rsidR="009A58DB" w:rsidRDefault="00000000">
      <w:pPr>
        <w:pStyle w:val="BodyText"/>
        <w:spacing w:before="6" w:line="249" w:lineRule="auto"/>
        <w:ind w:right="358" w:firstLine="360"/>
      </w:pPr>
      <w:r>
        <w:t>Nobody thinks that flourishing is bad or that its frustration is good, but people disagree as to what it is to flourish. Some people think it involves connectedness to the ways of one’s ancestors and, thus, in fidelity to</w:t>
      </w:r>
      <w:r>
        <w:rPr>
          <w:spacing w:val="40"/>
        </w:rPr>
        <w:t xml:space="preserve"> </w:t>
      </w:r>
      <w:r>
        <w:t>tradition; others that it consists in breadth and intensity of awareness; others that it consists in having harmonious relations with others; others that it consists in submission to God’s will; others that it consists in loyalty to one’s comrades; and so on.</w:t>
      </w:r>
    </w:p>
    <w:p w14:paraId="7E0025D9" w14:textId="77777777" w:rsidR="009A58DB" w:rsidRDefault="00000000">
      <w:pPr>
        <w:pStyle w:val="BodyText"/>
        <w:spacing w:before="9" w:line="249" w:lineRule="auto"/>
        <w:ind w:right="363" w:firstLine="360"/>
      </w:pPr>
      <w:r>
        <w:t>A story about five people—Smith, Jones, Lewis, Brown, Clancy, and Ramsey—will substantiate these points. The one thing that Smith truly values, in both himself and others, is a keen intellect. The one thing that</w:t>
      </w:r>
      <w:r>
        <w:rPr>
          <w:spacing w:val="40"/>
        </w:rPr>
        <w:t xml:space="preserve"> </w:t>
      </w:r>
      <w:r>
        <w:t>Jones truly values is wealth. He holds people who don’t have it in contempt, and his one goal in life is to make more and more of it. The one thing that Lewis truly values is power—the ability to dominate others, to subjugate them to one’s will. The one thing that Ramsey truly values is loyalty to country and to national tradition. The one thing that Clancy truly values is doing God’s will. Finally, the one thing that Brown truly values is kindness. Money, power, and intelligence are fine; but whatever value they have is derivative of their ability to create a world in which people treat one another with decency and respect.</w:t>
      </w:r>
    </w:p>
    <w:p w14:paraId="7E0025DA" w14:textId="77777777" w:rsidR="009A58DB" w:rsidRDefault="00000000">
      <w:pPr>
        <w:pStyle w:val="BodyText"/>
        <w:spacing w:before="15" w:line="249" w:lineRule="auto"/>
        <w:ind w:right="360" w:firstLine="360"/>
      </w:pPr>
      <w:r>
        <w:t>Each of these people realizes that, if the world is to function, other people must have values other than the one she happens to cherish. So, for example, Smith realizes that a world in which nobody valued anything other than a keen intellect would not be a good one. People would be too self-involved—they wouldn’t worry about their children or their professional obligations, only their own intelligence quotients. People would be forced by economic necessity to become plumbers, hospital orderlies, etc. But their hearts wouldn’t be in their work, and their performance would often be shoddy. Smith knows all this and thus concedes that things besides keenness of intellect</w:t>
      </w:r>
      <w:r>
        <w:rPr>
          <w:spacing w:val="65"/>
        </w:rPr>
        <w:t xml:space="preserve"> </w:t>
      </w:r>
      <w:r>
        <w:t>have</w:t>
      </w:r>
      <w:r>
        <w:rPr>
          <w:spacing w:val="65"/>
        </w:rPr>
        <w:t xml:space="preserve"> </w:t>
      </w:r>
      <w:r>
        <w:rPr>
          <w:i/>
        </w:rPr>
        <w:t>a</w:t>
      </w:r>
      <w:r>
        <w:rPr>
          <w:i/>
          <w:spacing w:val="59"/>
        </w:rPr>
        <w:t xml:space="preserve"> </w:t>
      </w:r>
      <w:r>
        <w:t>kind</w:t>
      </w:r>
      <w:r>
        <w:rPr>
          <w:spacing w:val="68"/>
        </w:rPr>
        <w:t xml:space="preserve"> </w:t>
      </w:r>
      <w:r>
        <w:t>of</w:t>
      </w:r>
      <w:r>
        <w:rPr>
          <w:spacing w:val="69"/>
        </w:rPr>
        <w:t xml:space="preserve"> </w:t>
      </w:r>
      <w:r>
        <w:t>value—but</w:t>
      </w:r>
      <w:r>
        <w:rPr>
          <w:spacing w:val="68"/>
        </w:rPr>
        <w:t xml:space="preserve"> </w:t>
      </w:r>
      <w:r>
        <w:t>the</w:t>
      </w:r>
      <w:r>
        <w:rPr>
          <w:spacing w:val="68"/>
        </w:rPr>
        <w:t xml:space="preserve"> </w:t>
      </w:r>
      <w:r>
        <w:t>value</w:t>
      </w:r>
      <w:r>
        <w:rPr>
          <w:spacing w:val="69"/>
        </w:rPr>
        <w:t xml:space="preserve"> </w:t>
      </w:r>
      <w:r>
        <w:t>in</w:t>
      </w:r>
      <w:r>
        <w:rPr>
          <w:spacing w:val="68"/>
        </w:rPr>
        <w:t xml:space="preserve"> </w:t>
      </w:r>
      <w:r>
        <w:t>question</w:t>
      </w:r>
      <w:r>
        <w:rPr>
          <w:spacing w:val="68"/>
        </w:rPr>
        <w:t xml:space="preserve"> </w:t>
      </w:r>
      <w:r>
        <w:t>is</w:t>
      </w:r>
      <w:r>
        <w:rPr>
          <w:spacing w:val="69"/>
        </w:rPr>
        <w:t xml:space="preserve"> </w:t>
      </w:r>
      <w:r>
        <w:t>of</w:t>
      </w:r>
      <w:r>
        <w:rPr>
          <w:spacing w:val="68"/>
        </w:rPr>
        <w:t xml:space="preserve"> </w:t>
      </w:r>
      <w:r>
        <w:t>a</w:t>
      </w:r>
      <w:r>
        <w:rPr>
          <w:spacing w:val="69"/>
        </w:rPr>
        <w:t xml:space="preserve"> </w:t>
      </w:r>
      <w:r>
        <w:rPr>
          <w:spacing w:val="-2"/>
        </w:rPr>
        <w:t>strictly</w:t>
      </w:r>
    </w:p>
    <w:p w14:paraId="7E0025D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DC" w14:textId="77777777" w:rsidR="009A58DB" w:rsidRDefault="00000000">
      <w:pPr>
        <w:pStyle w:val="BodyText"/>
        <w:spacing w:before="65" w:line="249" w:lineRule="auto"/>
        <w:ind w:right="358"/>
        <w:rPr>
          <w:i/>
        </w:rPr>
      </w:pPr>
      <w:r>
        <w:lastRenderedPageBreak/>
        <w:t>instrumental nature. People must have other character traits—for example, they must have at least some regard for others, they must not neglect their children,</w:t>
      </w:r>
      <w:r>
        <w:rPr>
          <w:spacing w:val="-2"/>
        </w:rPr>
        <w:t xml:space="preserve"> </w:t>
      </w:r>
      <w:r>
        <w:t>they</w:t>
      </w:r>
      <w:r>
        <w:rPr>
          <w:spacing w:val="-2"/>
        </w:rPr>
        <w:t xml:space="preserve"> </w:t>
      </w:r>
      <w:r>
        <w:t>must</w:t>
      </w:r>
      <w:r>
        <w:rPr>
          <w:spacing w:val="-2"/>
        </w:rPr>
        <w:t xml:space="preserve"> </w:t>
      </w:r>
      <w:r>
        <w:t>in</w:t>
      </w:r>
      <w:r>
        <w:rPr>
          <w:spacing w:val="-2"/>
        </w:rPr>
        <w:t xml:space="preserve"> </w:t>
      </w:r>
      <w:r>
        <w:t>general</w:t>
      </w:r>
      <w:r>
        <w:rPr>
          <w:spacing w:val="-2"/>
        </w:rPr>
        <w:t xml:space="preserve"> </w:t>
      </w:r>
      <w:r>
        <w:t>(though</w:t>
      </w:r>
      <w:r>
        <w:rPr>
          <w:spacing w:val="-2"/>
        </w:rPr>
        <w:t xml:space="preserve"> </w:t>
      </w:r>
      <w:r>
        <w:t>obviously</w:t>
      </w:r>
      <w:r>
        <w:rPr>
          <w:spacing w:val="-2"/>
        </w:rPr>
        <w:t xml:space="preserve"> </w:t>
      </w:r>
      <w:r>
        <w:t>not</w:t>
      </w:r>
      <w:r>
        <w:rPr>
          <w:spacing w:val="-2"/>
        </w:rPr>
        <w:t xml:space="preserve"> </w:t>
      </w:r>
      <w:r>
        <w:t>always)</w:t>
      </w:r>
      <w:r>
        <w:rPr>
          <w:spacing w:val="-2"/>
        </w:rPr>
        <w:t xml:space="preserve"> </w:t>
      </w:r>
      <w:r>
        <w:t>keep</w:t>
      </w:r>
      <w:r>
        <w:rPr>
          <w:spacing w:val="-2"/>
        </w:rPr>
        <w:t xml:space="preserve"> </w:t>
      </w:r>
      <w:r>
        <w:t>their</w:t>
      </w:r>
      <w:r>
        <w:rPr>
          <w:spacing w:val="-2"/>
        </w:rPr>
        <w:t xml:space="preserve"> </w:t>
      </w:r>
      <w:r>
        <w:t xml:space="preserve">word, etc. But Smith thinks that such traits, though necessary, aren’t in and of themselves, meritorious—they are good in an instrumental, not an intrinsic, sense. But for the fact that they may conduce to the sharpening of one’s intellect, they are worthless. Each of the others believes the same thing </w:t>
      </w:r>
      <w:r>
        <w:rPr>
          <w:i/>
        </w:rPr>
        <w:t>mutatis mutandis.</w:t>
      </w:r>
    </w:p>
    <w:p w14:paraId="7E0025DD" w14:textId="77777777" w:rsidR="009A58DB" w:rsidRDefault="00000000">
      <w:pPr>
        <w:pStyle w:val="BodyText"/>
        <w:spacing w:before="9" w:line="249" w:lineRule="auto"/>
        <w:ind w:right="368" w:firstLine="360"/>
      </w:pPr>
      <w:r>
        <w:t>These people disagree about what constitutes flourishing, but they all believe that flourishing is the one thing of value. No two people disagree that flourishing is good. At most, they disagree about what flourishing involves.</w:t>
      </w:r>
    </w:p>
    <w:p w14:paraId="7E0025D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5DF" w14:textId="77777777" w:rsidR="009A58DB" w:rsidRDefault="00000000">
      <w:pPr>
        <w:spacing w:line="503" w:lineRule="exact"/>
        <w:ind w:left="326" w:right="332"/>
        <w:jc w:val="center"/>
        <w:rPr>
          <w:rFonts w:ascii="Calibri Light"/>
          <w:sz w:val="42"/>
        </w:rPr>
      </w:pPr>
      <w:bookmarkStart w:id="517" w:name="_bookmark517"/>
      <w:bookmarkEnd w:id="517"/>
      <w:r>
        <w:rPr>
          <w:rFonts w:ascii="Calibri Light"/>
          <w:sz w:val="42"/>
        </w:rPr>
        <w:lastRenderedPageBreak/>
        <w:t>Chapter</w:t>
      </w:r>
      <w:r>
        <w:rPr>
          <w:rFonts w:ascii="Calibri Light"/>
          <w:spacing w:val="56"/>
          <w:sz w:val="42"/>
        </w:rPr>
        <w:t xml:space="preserve"> </w:t>
      </w:r>
      <w:r>
        <w:rPr>
          <w:rFonts w:ascii="Calibri Light"/>
          <w:spacing w:val="-5"/>
          <w:sz w:val="42"/>
        </w:rPr>
        <w:t>23</w:t>
      </w:r>
    </w:p>
    <w:p w14:paraId="7E0025E0" w14:textId="77777777" w:rsidR="009A58DB" w:rsidRDefault="00000000">
      <w:pPr>
        <w:spacing w:before="234" w:line="232" w:lineRule="auto"/>
        <w:ind w:left="526" w:right="533"/>
        <w:jc w:val="center"/>
        <w:rPr>
          <w:rFonts w:ascii="Calibri Light" w:hAnsi="Calibri Light"/>
          <w:sz w:val="42"/>
        </w:rPr>
      </w:pPr>
      <w:bookmarkStart w:id="518" w:name="_bookmark518"/>
      <w:bookmarkEnd w:id="518"/>
      <w:r>
        <w:rPr>
          <w:rFonts w:ascii="Calibri Light" w:hAnsi="Calibri Light"/>
          <w:sz w:val="42"/>
        </w:rPr>
        <w:t>Kant’s Ethics and His Attempt to Identify Morality</w:t>
      </w:r>
      <w:r>
        <w:rPr>
          <w:rFonts w:ascii="Calibri Light" w:hAnsi="Calibri Light"/>
          <w:spacing w:val="80"/>
          <w:w w:val="150"/>
          <w:sz w:val="42"/>
        </w:rPr>
        <w:t xml:space="preserve"> </w:t>
      </w:r>
      <w:r>
        <w:rPr>
          <w:rFonts w:ascii="Calibri Light" w:hAnsi="Calibri Light"/>
          <w:sz w:val="42"/>
        </w:rPr>
        <w:t>with Self-Interest</w:t>
      </w:r>
    </w:p>
    <w:p w14:paraId="7E0025E1" w14:textId="77777777" w:rsidR="009A58DB" w:rsidRDefault="00000000">
      <w:pPr>
        <w:pStyle w:val="BodyText"/>
        <w:spacing w:before="418" w:line="249" w:lineRule="auto"/>
        <w:ind w:right="360" w:firstLine="360"/>
        <w:jc w:val="left"/>
      </w:pPr>
      <w:r>
        <w:t>Immanuel</w:t>
      </w:r>
      <w:r>
        <w:rPr>
          <w:spacing w:val="80"/>
        </w:rPr>
        <w:t xml:space="preserve"> </w:t>
      </w:r>
      <w:r>
        <w:t>Kant</w:t>
      </w:r>
      <w:r>
        <w:rPr>
          <w:spacing w:val="80"/>
        </w:rPr>
        <w:t xml:space="preserve"> </w:t>
      </w:r>
      <w:r>
        <w:t>was</w:t>
      </w:r>
      <w:r>
        <w:rPr>
          <w:spacing w:val="80"/>
        </w:rPr>
        <w:t xml:space="preserve"> </w:t>
      </w:r>
      <w:r>
        <w:t>a</w:t>
      </w:r>
      <w:r>
        <w:rPr>
          <w:spacing w:val="80"/>
        </w:rPr>
        <w:t xml:space="preserve"> </w:t>
      </w:r>
      <w:r>
        <w:t>great</w:t>
      </w:r>
      <w:r>
        <w:rPr>
          <w:spacing w:val="80"/>
        </w:rPr>
        <w:t xml:space="preserve"> </w:t>
      </w:r>
      <w:r>
        <w:t>epistemologist</w:t>
      </w:r>
      <w:r>
        <w:rPr>
          <w:spacing w:val="80"/>
        </w:rPr>
        <w:t xml:space="preserve"> </w:t>
      </w:r>
      <w:r>
        <w:t>and</w:t>
      </w:r>
      <w:r>
        <w:rPr>
          <w:spacing w:val="80"/>
        </w:rPr>
        <w:t xml:space="preserve"> </w:t>
      </w:r>
      <w:r>
        <w:t>also</w:t>
      </w:r>
      <w:r>
        <w:rPr>
          <w:spacing w:val="80"/>
        </w:rPr>
        <w:t xml:space="preserve"> </w:t>
      </w:r>
      <w:r>
        <w:t>a</w:t>
      </w:r>
      <w:r>
        <w:rPr>
          <w:spacing w:val="80"/>
        </w:rPr>
        <w:t xml:space="preserve"> </w:t>
      </w:r>
      <w:r>
        <w:t>great</w:t>
      </w:r>
      <w:r>
        <w:rPr>
          <w:spacing w:val="80"/>
        </w:rPr>
        <w:t xml:space="preserve"> </w:t>
      </w:r>
      <w:r>
        <w:t>ethicist. Unfortunately,</w:t>
      </w:r>
      <w:r>
        <w:rPr>
          <w:spacing w:val="40"/>
        </w:rPr>
        <w:t xml:space="preserve"> </w:t>
      </w:r>
      <w:r>
        <w:t>his</w:t>
      </w:r>
      <w:r>
        <w:rPr>
          <w:spacing w:val="40"/>
        </w:rPr>
        <w:t xml:space="preserve"> </w:t>
      </w:r>
      <w:r>
        <w:t>insights</w:t>
      </w:r>
      <w:r>
        <w:rPr>
          <w:spacing w:val="40"/>
        </w:rPr>
        <w:t xml:space="preserve"> </w:t>
      </w:r>
      <w:r>
        <w:t>are</w:t>
      </w:r>
      <w:r>
        <w:rPr>
          <w:spacing w:val="40"/>
        </w:rPr>
        <w:t xml:space="preserve"> </w:t>
      </w:r>
      <w:r>
        <w:t>often</w:t>
      </w:r>
      <w:r>
        <w:rPr>
          <w:spacing w:val="40"/>
        </w:rPr>
        <w:t xml:space="preserve"> </w:t>
      </w:r>
      <w:r>
        <w:t>embedded</w:t>
      </w:r>
      <w:r>
        <w:rPr>
          <w:spacing w:val="40"/>
        </w:rPr>
        <w:t xml:space="preserve"> </w:t>
      </w:r>
      <w:r>
        <w:t>in</w:t>
      </w:r>
      <w:r>
        <w:rPr>
          <w:spacing w:val="40"/>
        </w:rPr>
        <w:t xml:space="preserve"> </w:t>
      </w:r>
      <w:r>
        <w:t>confusion,</w:t>
      </w:r>
      <w:r>
        <w:rPr>
          <w:spacing w:val="40"/>
        </w:rPr>
        <w:t xml:space="preserve"> </w:t>
      </w:r>
      <w:r>
        <w:t>and</w:t>
      </w:r>
      <w:r>
        <w:rPr>
          <w:spacing w:val="40"/>
        </w:rPr>
        <w:t xml:space="preserve"> </w:t>
      </w:r>
      <w:r>
        <w:t>it</w:t>
      </w:r>
      <w:r>
        <w:rPr>
          <w:spacing w:val="40"/>
        </w:rPr>
        <w:t xml:space="preserve"> </w:t>
      </w:r>
      <w:r>
        <w:t>isn’t</w:t>
      </w:r>
      <w:r>
        <w:rPr>
          <w:spacing w:val="80"/>
        </w:rPr>
        <w:t xml:space="preserve"> </w:t>
      </w:r>
      <w:r>
        <w:t xml:space="preserve">always easy to separate what is of value in his work from what isn’t. This is especially so where his views on ethics are concerned, as we’re about to see. Like the present author, Kant held that it </w:t>
      </w:r>
      <w:r>
        <w:rPr>
          <w:i/>
        </w:rPr>
        <w:t xml:space="preserve">is </w:t>
      </w:r>
      <w:r>
        <w:t>categorically in one’s interest to</w:t>
      </w:r>
      <w:r>
        <w:rPr>
          <w:spacing w:val="40"/>
        </w:rPr>
        <w:t xml:space="preserve"> </w:t>
      </w:r>
      <w:r>
        <w:t>act</w:t>
      </w:r>
      <w:r>
        <w:rPr>
          <w:spacing w:val="38"/>
        </w:rPr>
        <w:t xml:space="preserve"> </w:t>
      </w:r>
      <w:r>
        <w:t>ethically.</w:t>
      </w:r>
      <w:r>
        <w:rPr>
          <w:spacing w:val="38"/>
        </w:rPr>
        <w:t xml:space="preserve"> </w:t>
      </w:r>
      <w:r>
        <w:t>But</w:t>
      </w:r>
      <w:r>
        <w:rPr>
          <w:spacing w:val="38"/>
        </w:rPr>
        <w:t xml:space="preserve"> </w:t>
      </w:r>
      <w:r>
        <w:t>Kant’s</w:t>
      </w:r>
      <w:r>
        <w:rPr>
          <w:spacing w:val="38"/>
        </w:rPr>
        <w:t xml:space="preserve"> </w:t>
      </w:r>
      <w:r>
        <w:t>conception</w:t>
      </w:r>
      <w:r>
        <w:rPr>
          <w:spacing w:val="39"/>
        </w:rPr>
        <w:t xml:space="preserve"> </w:t>
      </w:r>
      <w:r>
        <w:t>of</w:t>
      </w:r>
      <w:r>
        <w:rPr>
          <w:spacing w:val="38"/>
        </w:rPr>
        <w:t xml:space="preserve"> </w:t>
      </w:r>
      <w:r>
        <w:t>morality</w:t>
      </w:r>
      <w:r>
        <w:rPr>
          <w:spacing w:val="38"/>
        </w:rPr>
        <w:t xml:space="preserve"> </w:t>
      </w:r>
      <w:r>
        <w:t>bears</w:t>
      </w:r>
      <w:r>
        <w:rPr>
          <w:spacing w:val="38"/>
        </w:rPr>
        <w:t xml:space="preserve"> </w:t>
      </w:r>
      <w:r>
        <w:t>little</w:t>
      </w:r>
      <w:r>
        <w:rPr>
          <w:spacing w:val="38"/>
        </w:rPr>
        <w:t xml:space="preserve"> </w:t>
      </w:r>
      <w:r>
        <w:t>resemblance</w:t>
      </w:r>
      <w:r>
        <w:rPr>
          <w:spacing w:val="38"/>
        </w:rPr>
        <w:t xml:space="preserve"> </w:t>
      </w:r>
      <w:r>
        <w:t>to the</w:t>
      </w:r>
      <w:r>
        <w:rPr>
          <w:spacing w:val="33"/>
        </w:rPr>
        <w:t xml:space="preserve"> </w:t>
      </w:r>
      <w:r>
        <w:t>conception</w:t>
      </w:r>
      <w:r>
        <w:rPr>
          <w:spacing w:val="33"/>
        </w:rPr>
        <w:t xml:space="preserve"> </w:t>
      </w:r>
      <w:r>
        <w:t>just</w:t>
      </w:r>
      <w:r>
        <w:rPr>
          <w:spacing w:val="33"/>
        </w:rPr>
        <w:t xml:space="preserve"> </w:t>
      </w:r>
      <w:r>
        <w:t>described;</w:t>
      </w:r>
      <w:r>
        <w:rPr>
          <w:spacing w:val="33"/>
        </w:rPr>
        <w:t xml:space="preserve"> </w:t>
      </w:r>
      <w:r>
        <w:t>and,</w:t>
      </w:r>
      <w:r>
        <w:rPr>
          <w:spacing w:val="33"/>
        </w:rPr>
        <w:t xml:space="preserve"> </w:t>
      </w:r>
      <w:r>
        <w:t>partly</w:t>
      </w:r>
      <w:r>
        <w:rPr>
          <w:spacing w:val="33"/>
        </w:rPr>
        <w:t xml:space="preserve"> </w:t>
      </w:r>
      <w:r>
        <w:t>for</w:t>
      </w:r>
      <w:r>
        <w:rPr>
          <w:spacing w:val="33"/>
        </w:rPr>
        <w:t xml:space="preserve"> </w:t>
      </w:r>
      <w:r>
        <w:t>this</w:t>
      </w:r>
      <w:r>
        <w:rPr>
          <w:spacing w:val="33"/>
        </w:rPr>
        <w:t xml:space="preserve"> </w:t>
      </w:r>
      <w:r>
        <w:t>reason,</w:t>
      </w:r>
      <w:r>
        <w:rPr>
          <w:spacing w:val="33"/>
        </w:rPr>
        <w:t xml:space="preserve"> </w:t>
      </w:r>
      <w:r>
        <w:t>Kant’s</w:t>
      </w:r>
      <w:r>
        <w:rPr>
          <w:spacing w:val="33"/>
        </w:rPr>
        <w:t xml:space="preserve"> </w:t>
      </w:r>
      <w:r>
        <w:t>attempt</w:t>
      </w:r>
      <w:r>
        <w:rPr>
          <w:spacing w:val="33"/>
        </w:rPr>
        <w:t xml:space="preserve"> </w:t>
      </w:r>
      <w:r>
        <w:t>to show that self-interest and morality coalesce bears little resemblance to the</w:t>
      </w:r>
      <w:r>
        <w:rPr>
          <w:spacing w:val="80"/>
        </w:rPr>
        <w:t xml:space="preserve"> </w:t>
      </w:r>
      <w:r>
        <w:t>argument just presented.</w:t>
      </w:r>
    </w:p>
    <w:p w14:paraId="7E0025E2" w14:textId="77777777" w:rsidR="009A58DB" w:rsidRDefault="00000000">
      <w:pPr>
        <w:pStyle w:val="BodyText"/>
        <w:spacing w:before="11" w:line="249" w:lineRule="auto"/>
        <w:ind w:right="362" w:firstLine="360"/>
      </w:pPr>
      <w:r>
        <w:t>To understand Kant’s theory as to why morality and self-interest coincide, we must know what Kant believes morality to be. Kant puts forth two</w:t>
      </w:r>
      <w:r>
        <w:rPr>
          <w:spacing w:val="40"/>
        </w:rPr>
        <w:t xml:space="preserve"> </w:t>
      </w:r>
      <w:r>
        <w:t>theories of morality.</w:t>
      </w:r>
      <w:bookmarkStart w:id="519" w:name="_bookmark519"/>
      <w:bookmarkEnd w:id="519"/>
      <w:r>
        <w:rPr>
          <w:color w:val="0562C1"/>
          <w:position w:val="21"/>
          <w:u w:val="single" w:color="0562C1"/>
        </w:rPr>
        <w:t>[387]</w:t>
      </w:r>
      <w:r>
        <w:rPr>
          <w:color w:val="0562C1"/>
          <w:position w:val="21"/>
        </w:rPr>
        <w:t xml:space="preserve"> </w:t>
      </w:r>
      <w:r>
        <w:t xml:space="preserve">According to the first, an act is moral just in case, were everyone else to act similarly, that act would not be self-defeating. According to the second, an act is moral to the extent that it embodies a respect for people’s </w:t>
      </w:r>
      <w:r>
        <w:rPr>
          <w:b/>
          <w:i/>
        </w:rPr>
        <w:t xml:space="preserve">autonomy. </w:t>
      </w:r>
      <w:r>
        <w:t>Autonomy is self-determination, and for a person to be autonomous is for him, not someone else, to decide how he’ll live. The opposite of autonomy is “heteronomy.” Somebody is heteronomous to the extent that others decide how he lives. Thus, according to Kant’s second ethical theory, autonomy-conducive acts are good and heteronomy-conducive acts are bad.</w:t>
      </w:r>
    </w:p>
    <w:p w14:paraId="7E0025E3" w14:textId="77777777" w:rsidR="009A58DB" w:rsidRDefault="00000000">
      <w:pPr>
        <w:pStyle w:val="BodyText"/>
        <w:spacing w:before="14" w:line="249" w:lineRule="auto"/>
        <w:ind w:right="365" w:firstLine="360"/>
      </w:pPr>
      <w:r>
        <w:t xml:space="preserve">Kant believes these two positions to be equivalent. He’s wrong. One can respect other people’s autonomy without acting in such a way that, were everyone else to act similarly, one’s act would be self-defeating. Because it wrongly assumes otherwise, Kant’s attempt to link morality with self-interest </w:t>
      </w:r>
      <w:r>
        <w:rPr>
          <w:spacing w:val="-2"/>
        </w:rPr>
        <w:t>fails.</w:t>
      </w:r>
    </w:p>
    <w:p w14:paraId="7E0025E4" w14:textId="77777777" w:rsidR="009A58DB" w:rsidRDefault="00000000">
      <w:pPr>
        <w:pStyle w:val="Heading1"/>
        <w:numPr>
          <w:ilvl w:val="1"/>
          <w:numId w:val="53"/>
        </w:numPr>
        <w:tabs>
          <w:tab w:val="left" w:pos="1409"/>
        </w:tabs>
        <w:spacing w:before="194"/>
        <w:ind w:left="1409" w:hanging="1049"/>
      </w:pPr>
      <w:r>
        <w:t>Kant’s</w:t>
      </w:r>
      <w:r>
        <w:rPr>
          <w:spacing w:val="-7"/>
        </w:rPr>
        <w:t xml:space="preserve"> </w:t>
      </w:r>
      <w:r>
        <w:t>two</w:t>
      </w:r>
      <w:r>
        <w:rPr>
          <w:spacing w:val="-5"/>
        </w:rPr>
        <w:t xml:space="preserve"> </w:t>
      </w:r>
      <w:r>
        <w:t>categorical</w:t>
      </w:r>
      <w:r>
        <w:rPr>
          <w:spacing w:val="-4"/>
        </w:rPr>
        <w:t xml:space="preserve"> </w:t>
      </w:r>
      <w:r>
        <w:rPr>
          <w:spacing w:val="-2"/>
        </w:rPr>
        <w:t>imperatives</w:t>
      </w:r>
    </w:p>
    <w:p w14:paraId="7E0025E5" w14:textId="77777777" w:rsidR="009A58DB" w:rsidRDefault="00000000">
      <w:pPr>
        <w:spacing w:before="139"/>
        <w:ind w:left="360"/>
        <w:rPr>
          <w:i/>
          <w:sz w:val="30"/>
        </w:rPr>
      </w:pPr>
      <w:r>
        <w:rPr>
          <w:sz w:val="30"/>
        </w:rPr>
        <w:t>A</w:t>
      </w:r>
      <w:r>
        <w:rPr>
          <w:spacing w:val="41"/>
          <w:sz w:val="30"/>
        </w:rPr>
        <w:t xml:space="preserve"> </w:t>
      </w:r>
      <w:r>
        <w:rPr>
          <w:b/>
          <w:i/>
          <w:sz w:val="30"/>
        </w:rPr>
        <w:t>categorical</w:t>
      </w:r>
      <w:r>
        <w:rPr>
          <w:b/>
          <w:i/>
          <w:spacing w:val="42"/>
          <w:sz w:val="30"/>
        </w:rPr>
        <w:t xml:space="preserve"> </w:t>
      </w:r>
      <w:r>
        <w:rPr>
          <w:b/>
          <w:i/>
          <w:sz w:val="30"/>
        </w:rPr>
        <w:t>imperative</w:t>
      </w:r>
      <w:r>
        <w:rPr>
          <w:b/>
          <w:i/>
          <w:spacing w:val="42"/>
          <w:sz w:val="30"/>
        </w:rPr>
        <w:t xml:space="preserve"> </w:t>
      </w:r>
      <w:r>
        <w:rPr>
          <w:sz w:val="30"/>
        </w:rPr>
        <w:t>is</w:t>
      </w:r>
      <w:r>
        <w:rPr>
          <w:spacing w:val="45"/>
          <w:sz w:val="30"/>
        </w:rPr>
        <w:t xml:space="preserve"> </w:t>
      </w:r>
      <w:r>
        <w:rPr>
          <w:sz w:val="30"/>
        </w:rPr>
        <w:t>a</w:t>
      </w:r>
      <w:r>
        <w:rPr>
          <w:spacing w:val="44"/>
          <w:sz w:val="30"/>
        </w:rPr>
        <w:t xml:space="preserve"> </w:t>
      </w:r>
      <w:r>
        <w:rPr>
          <w:sz w:val="30"/>
        </w:rPr>
        <w:t>rule</w:t>
      </w:r>
      <w:r>
        <w:rPr>
          <w:spacing w:val="45"/>
          <w:sz w:val="30"/>
        </w:rPr>
        <w:t xml:space="preserve"> </w:t>
      </w:r>
      <w:r>
        <w:rPr>
          <w:sz w:val="30"/>
        </w:rPr>
        <w:t>that</w:t>
      </w:r>
      <w:r>
        <w:rPr>
          <w:spacing w:val="44"/>
          <w:sz w:val="30"/>
        </w:rPr>
        <w:t xml:space="preserve"> </w:t>
      </w:r>
      <w:r>
        <w:rPr>
          <w:sz w:val="30"/>
        </w:rPr>
        <w:t>one</w:t>
      </w:r>
      <w:r>
        <w:rPr>
          <w:spacing w:val="45"/>
          <w:sz w:val="30"/>
        </w:rPr>
        <w:t xml:space="preserve"> </w:t>
      </w:r>
      <w:r>
        <w:rPr>
          <w:sz w:val="30"/>
        </w:rPr>
        <w:t>should</w:t>
      </w:r>
      <w:r>
        <w:rPr>
          <w:spacing w:val="44"/>
          <w:sz w:val="30"/>
        </w:rPr>
        <w:t xml:space="preserve"> </w:t>
      </w:r>
      <w:r>
        <w:rPr>
          <w:sz w:val="30"/>
        </w:rPr>
        <w:t>follow</w:t>
      </w:r>
      <w:r>
        <w:rPr>
          <w:spacing w:val="45"/>
          <w:sz w:val="30"/>
        </w:rPr>
        <w:t xml:space="preserve"> </w:t>
      </w:r>
      <w:r>
        <w:rPr>
          <w:i/>
          <w:sz w:val="30"/>
        </w:rPr>
        <w:t>no</w:t>
      </w:r>
      <w:r>
        <w:rPr>
          <w:i/>
          <w:spacing w:val="50"/>
          <w:sz w:val="30"/>
        </w:rPr>
        <w:t xml:space="preserve"> </w:t>
      </w:r>
      <w:r>
        <w:rPr>
          <w:i/>
          <w:sz w:val="30"/>
        </w:rPr>
        <w:t>matter</w:t>
      </w:r>
      <w:r>
        <w:rPr>
          <w:i/>
          <w:spacing w:val="50"/>
          <w:sz w:val="30"/>
        </w:rPr>
        <w:t xml:space="preserve"> </w:t>
      </w:r>
      <w:r>
        <w:rPr>
          <w:i/>
          <w:spacing w:val="-2"/>
          <w:sz w:val="30"/>
        </w:rPr>
        <w:t>what.</w:t>
      </w:r>
    </w:p>
    <w:p w14:paraId="7E0025E6" w14:textId="77777777" w:rsidR="009A58DB" w:rsidRDefault="009A58DB">
      <w:pPr>
        <w:rPr>
          <w:i/>
          <w:sz w:val="30"/>
        </w:rPr>
        <w:sectPr w:rsidR="009A58DB">
          <w:pgSz w:w="12240" w:h="15840"/>
          <w:pgMar w:top="1680" w:right="1080" w:bottom="280" w:left="1080" w:header="720" w:footer="720" w:gutter="0"/>
          <w:cols w:space="720"/>
        </w:sectPr>
      </w:pPr>
    </w:p>
    <w:p w14:paraId="7E0025E7" w14:textId="77777777" w:rsidR="009A58DB" w:rsidRDefault="00000000">
      <w:pPr>
        <w:pStyle w:val="BodyText"/>
        <w:tabs>
          <w:tab w:val="left" w:pos="2258"/>
          <w:tab w:val="left" w:pos="3257"/>
          <w:tab w:val="left" w:pos="4940"/>
          <w:tab w:val="left" w:pos="5423"/>
          <w:tab w:val="left" w:pos="6464"/>
          <w:tab w:val="left" w:pos="7131"/>
          <w:tab w:val="left" w:pos="8946"/>
        </w:tabs>
        <w:spacing w:before="60" w:line="249" w:lineRule="auto"/>
        <w:ind w:right="365"/>
        <w:jc w:val="left"/>
      </w:pPr>
      <w:r>
        <w:rPr>
          <w:spacing w:val="-2"/>
        </w:rPr>
        <w:lastRenderedPageBreak/>
        <w:t>(“Imperative”</w:t>
      </w:r>
      <w:r>
        <w:tab/>
      </w:r>
      <w:r>
        <w:rPr>
          <w:spacing w:val="-2"/>
        </w:rPr>
        <w:t>means</w:t>
      </w:r>
      <w:r>
        <w:tab/>
      </w:r>
      <w:r>
        <w:rPr>
          <w:spacing w:val="-2"/>
        </w:rPr>
        <w:t>“command”</w:t>
      </w:r>
      <w:r>
        <w:tab/>
      </w:r>
      <w:r>
        <w:rPr>
          <w:spacing w:val="-6"/>
        </w:rPr>
        <w:t>or</w:t>
      </w:r>
      <w:r>
        <w:tab/>
      </w:r>
      <w:r>
        <w:rPr>
          <w:spacing w:val="-2"/>
        </w:rPr>
        <w:t>“rule,”</w:t>
      </w:r>
      <w:r>
        <w:tab/>
      </w:r>
      <w:r>
        <w:rPr>
          <w:spacing w:val="-4"/>
        </w:rPr>
        <w:t>and</w:t>
      </w:r>
      <w:r>
        <w:tab/>
      </w:r>
      <w:r>
        <w:rPr>
          <w:spacing w:val="-2"/>
        </w:rPr>
        <w:t>“categorical”</w:t>
      </w:r>
      <w:r>
        <w:tab/>
      </w:r>
      <w:r>
        <w:rPr>
          <w:spacing w:val="-2"/>
        </w:rPr>
        <w:t xml:space="preserve">means </w:t>
      </w:r>
      <w:r>
        <w:t>“unconditional.”) Kant asked:</w:t>
      </w:r>
    </w:p>
    <w:p w14:paraId="7E0025E8" w14:textId="77777777" w:rsidR="009A58DB" w:rsidRDefault="009A58DB">
      <w:pPr>
        <w:pStyle w:val="BodyText"/>
        <w:spacing w:before="22"/>
        <w:ind w:left="0"/>
        <w:jc w:val="left"/>
      </w:pPr>
    </w:p>
    <w:p w14:paraId="7E0025E9" w14:textId="77777777" w:rsidR="009A58DB" w:rsidRDefault="00000000">
      <w:pPr>
        <w:pStyle w:val="BodyText"/>
        <w:spacing w:line="277" w:lineRule="exact"/>
        <w:ind w:left="976"/>
        <w:jc w:val="left"/>
      </w:pPr>
      <w:bookmarkStart w:id="520" w:name="_bookmark520"/>
      <w:bookmarkEnd w:id="520"/>
      <w:r>
        <w:rPr>
          <w:color w:val="0562C1"/>
          <w:spacing w:val="-2"/>
          <w:u w:val="single" w:color="0562C1"/>
        </w:rPr>
        <w:t>[388]</w:t>
      </w:r>
    </w:p>
    <w:p w14:paraId="7E0025EA" w14:textId="77777777" w:rsidR="009A58DB" w:rsidRDefault="00000000">
      <w:pPr>
        <w:pStyle w:val="BodyText"/>
        <w:tabs>
          <w:tab w:val="left" w:pos="1625"/>
        </w:tabs>
        <w:spacing w:line="277" w:lineRule="exact"/>
        <w:jc w:val="left"/>
      </w:pPr>
      <w:r>
        <w:rPr>
          <w:spacing w:val="-4"/>
        </w:rPr>
        <w:t>(ACI</w:t>
      </w:r>
      <w:r>
        <w:tab/>
        <w:t>)</w:t>
      </w:r>
      <w:r>
        <w:rPr>
          <w:spacing w:val="-6"/>
        </w:rPr>
        <w:t xml:space="preserve"> </w:t>
      </w:r>
      <w:r>
        <w:t>Are</w:t>
      </w:r>
      <w:r>
        <w:rPr>
          <w:spacing w:val="-4"/>
        </w:rPr>
        <w:t xml:space="preserve"> </w:t>
      </w:r>
      <w:r>
        <w:t>there</w:t>
      </w:r>
      <w:r>
        <w:rPr>
          <w:spacing w:val="-4"/>
        </w:rPr>
        <w:t xml:space="preserve"> </w:t>
      </w:r>
      <w:r>
        <w:t>any</w:t>
      </w:r>
      <w:r>
        <w:rPr>
          <w:spacing w:val="-3"/>
        </w:rPr>
        <w:t xml:space="preserve"> </w:t>
      </w:r>
      <w:r>
        <w:t>categorical</w:t>
      </w:r>
      <w:r>
        <w:rPr>
          <w:spacing w:val="-3"/>
        </w:rPr>
        <w:t xml:space="preserve"> </w:t>
      </w:r>
      <w:r>
        <w:rPr>
          <w:spacing w:val="-2"/>
        </w:rPr>
        <w:t>imperatives?</w:t>
      </w:r>
    </w:p>
    <w:p w14:paraId="7E0025EB" w14:textId="77777777" w:rsidR="009A58DB" w:rsidRDefault="009A58DB">
      <w:pPr>
        <w:pStyle w:val="BodyText"/>
        <w:spacing w:before="30"/>
        <w:ind w:left="0"/>
        <w:jc w:val="left"/>
      </w:pPr>
    </w:p>
    <w:p w14:paraId="7E0025EC" w14:textId="77777777" w:rsidR="009A58DB" w:rsidRDefault="00000000">
      <w:pPr>
        <w:pStyle w:val="BodyText"/>
        <w:spacing w:line="249" w:lineRule="auto"/>
        <w:ind w:right="358" w:firstLine="360"/>
      </w:pPr>
      <w:r>
        <w:t xml:space="preserve">He said “yes.” Before we can say whether he was right, we must point out that there are three distinct questions that ACI can reasonably be seen as </w:t>
      </w:r>
      <w:r>
        <w:rPr>
          <w:spacing w:val="-2"/>
        </w:rPr>
        <w:t>asking:</w:t>
      </w:r>
    </w:p>
    <w:p w14:paraId="7E0025ED" w14:textId="77777777" w:rsidR="009A58DB" w:rsidRDefault="009A58DB">
      <w:pPr>
        <w:pStyle w:val="BodyText"/>
        <w:spacing w:before="19"/>
        <w:ind w:left="0"/>
        <w:jc w:val="left"/>
      </w:pPr>
    </w:p>
    <w:p w14:paraId="7E0025EE" w14:textId="77777777" w:rsidR="009A58DB" w:rsidRDefault="00000000">
      <w:pPr>
        <w:pStyle w:val="ListParagraph"/>
        <w:numPr>
          <w:ilvl w:val="0"/>
          <w:numId w:val="52"/>
        </w:numPr>
        <w:tabs>
          <w:tab w:val="left" w:pos="782"/>
        </w:tabs>
        <w:ind w:left="782" w:hanging="422"/>
        <w:jc w:val="both"/>
        <w:rPr>
          <w:sz w:val="30"/>
        </w:rPr>
      </w:pPr>
      <w:r>
        <w:rPr>
          <w:sz w:val="30"/>
        </w:rPr>
        <w:t>Are</w:t>
      </w:r>
      <w:r>
        <w:rPr>
          <w:spacing w:val="-6"/>
          <w:sz w:val="30"/>
        </w:rPr>
        <w:t xml:space="preserve"> </w:t>
      </w:r>
      <w:r>
        <w:rPr>
          <w:sz w:val="30"/>
        </w:rPr>
        <w:t>there</w:t>
      </w:r>
      <w:r>
        <w:rPr>
          <w:spacing w:val="-3"/>
          <w:sz w:val="30"/>
        </w:rPr>
        <w:t xml:space="preserve"> </w:t>
      </w:r>
      <w:r>
        <w:rPr>
          <w:sz w:val="30"/>
        </w:rPr>
        <w:t>any</w:t>
      </w:r>
      <w:r>
        <w:rPr>
          <w:spacing w:val="-2"/>
          <w:sz w:val="30"/>
        </w:rPr>
        <w:t xml:space="preserve"> </w:t>
      </w:r>
      <w:r>
        <w:rPr>
          <w:sz w:val="30"/>
        </w:rPr>
        <w:t>moral</w:t>
      </w:r>
      <w:r>
        <w:rPr>
          <w:spacing w:val="-3"/>
          <w:sz w:val="30"/>
        </w:rPr>
        <w:t xml:space="preserve"> </w:t>
      </w:r>
      <w:r>
        <w:rPr>
          <w:sz w:val="30"/>
        </w:rPr>
        <w:t>rules</w:t>
      </w:r>
      <w:r>
        <w:rPr>
          <w:spacing w:val="-4"/>
          <w:sz w:val="30"/>
        </w:rPr>
        <w:t xml:space="preserve"> </w:t>
      </w:r>
      <w:r>
        <w:rPr>
          <w:sz w:val="30"/>
        </w:rPr>
        <w:t>that</w:t>
      </w:r>
      <w:r>
        <w:rPr>
          <w:spacing w:val="-3"/>
          <w:sz w:val="30"/>
        </w:rPr>
        <w:t xml:space="preserve"> </w:t>
      </w:r>
      <w:r>
        <w:rPr>
          <w:sz w:val="30"/>
        </w:rPr>
        <w:t>one</w:t>
      </w:r>
      <w:r>
        <w:rPr>
          <w:spacing w:val="-3"/>
          <w:sz w:val="30"/>
        </w:rPr>
        <w:t xml:space="preserve"> </w:t>
      </w:r>
      <w:r>
        <w:rPr>
          <w:sz w:val="30"/>
        </w:rPr>
        <w:t>simply</w:t>
      </w:r>
      <w:r>
        <w:rPr>
          <w:spacing w:val="-2"/>
          <w:sz w:val="30"/>
        </w:rPr>
        <w:t xml:space="preserve"> </w:t>
      </w:r>
      <w:r>
        <w:rPr>
          <w:i/>
          <w:sz w:val="30"/>
        </w:rPr>
        <w:t>should</w:t>
      </w:r>
      <w:r>
        <w:rPr>
          <w:i/>
          <w:spacing w:val="-2"/>
          <w:sz w:val="30"/>
        </w:rPr>
        <w:t xml:space="preserve"> </w:t>
      </w:r>
      <w:r>
        <w:rPr>
          <w:spacing w:val="-2"/>
          <w:sz w:val="30"/>
        </w:rPr>
        <w:t>follow?</w:t>
      </w:r>
    </w:p>
    <w:p w14:paraId="7E0025EF" w14:textId="77777777" w:rsidR="009A58DB" w:rsidRDefault="00000000">
      <w:pPr>
        <w:pStyle w:val="ListParagraph"/>
        <w:numPr>
          <w:ilvl w:val="0"/>
          <w:numId w:val="52"/>
        </w:numPr>
        <w:tabs>
          <w:tab w:val="left" w:pos="782"/>
        </w:tabs>
        <w:spacing w:before="15"/>
        <w:ind w:left="782" w:hanging="422"/>
        <w:jc w:val="both"/>
        <w:rPr>
          <w:sz w:val="30"/>
        </w:rPr>
      </w:pPr>
      <w:r>
        <w:rPr>
          <w:sz w:val="30"/>
        </w:rPr>
        <w:t>Are</w:t>
      </w:r>
      <w:r>
        <w:rPr>
          <w:spacing w:val="-5"/>
          <w:sz w:val="30"/>
        </w:rPr>
        <w:t xml:space="preserve"> </w:t>
      </w:r>
      <w:r>
        <w:rPr>
          <w:sz w:val="30"/>
        </w:rPr>
        <w:t>there</w:t>
      </w:r>
      <w:r>
        <w:rPr>
          <w:spacing w:val="-3"/>
          <w:sz w:val="30"/>
        </w:rPr>
        <w:t xml:space="preserve"> </w:t>
      </w:r>
      <w:r>
        <w:rPr>
          <w:sz w:val="30"/>
        </w:rPr>
        <w:t>any</w:t>
      </w:r>
      <w:r>
        <w:rPr>
          <w:spacing w:val="-2"/>
          <w:sz w:val="30"/>
        </w:rPr>
        <w:t xml:space="preserve"> </w:t>
      </w:r>
      <w:r>
        <w:rPr>
          <w:sz w:val="30"/>
        </w:rPr>
        <w:t>rules</w:t>
      </w:r>
      <w:r>
        <w:rPr>
          <w:spacing w:val="-2"/>
          <w:sz w:val="30"/>
        </w:rPr>
        <w:t xml:space="preserve"> </w:t>
      </w:r>
      <w:r>
        <w:rPr>
          <w:sz w:val="30"/>
        </w:rPr>
        <w:t>of</w:t>
      </w:r>
      <w:r>
        <w:rPr>
          <w:spacing w:val="-3"/>
          <w:sz w:val="30"/>
        </w:rPr>
        <w:t xml:space="preserve"> </w:t>
      </w:r>
      <w:r>
        <w:rPr>
          <w:sz w:val="30"/>
        </w:rPr>
        <w:t>any</w:t>
      </w:r>
      <w:r>
        <w:rPr>
          <w:spacing w:val="-2"/>
          <w:sz w:val="30"/>
        </w:rPr>
        <w:t xml:space="preserve"> </w:t>
      </w:r>
      <w:r>
        <w:rPr>
          <w:sz w:val="30"/>
        </w:rPr>
        <w:t>kind</w:t>
      </w:r>
      <w:r>
        <w:rPr>
          <w:spacing w:val="-1"/>
          <w:sz w:val="30"/>
        </w:rPr>
        <w:t xml:space="preserve"> </w:t>
      </w:r>
      <w:r>
        <w:rPr>
          <w:sz w:val="30"/>
        </w:rPr>
        <w:t>at</w:t>
      </w:r>
      <w:r>
        <w:rPr>
          <w:spacing w:val="-3"/>
          <w:sz w:val="30"/>
        </w:rPr>
        <w:t xml:space="preserve"> </w:t>
      </w:r>
      <w:r>
        <w:rPr>
          <w:sz w:val="30"/>
        </w:rPr>
        <w:t>all</w:t>
      </w:r>
      <w:r>
        <w:rPr>
          <w:spacing w:val="-3"/>
          <w:sz w:val="30"/>
        </w:rPr>
        <w:t xml:space="preserve"> </w:t>
      </w:r>
      <w:r>
        <w:rPr>
          <w:sz w:val="30"/>
        </w:rPr>
        <w:t>that</w:t>
      </w:r>
      <w:r>
        <w:rPr>
          <w:spacing w:val="-2"/>
          <w:sz w:val="30"/>
        </w:rPr>
        <w:t xml:space="preserve"> </w:t>
      </w:r>
      <w:r>
        <w:rPr>
          <w:sz w:val="30"/>
        </w:rPr>
        <w:t>one</w:t>
      </w:r>
      <w:r>
        <w:rPr>
          <w:spacing w:val="-3"/>
          <w:sz w:val="30"/>
        </w:rPr>
        <w:t xml:space="preserve"> </w:t>
      </w:r>
      <w:r>
        <w:rPr>
          <w:sz w:val="30"/>
        </w:rPr>
        <w:t>simply</w:t>
      </w:r>
      <w:r>
        <w:rPr>
          <w:spacing w:val="-2"/>
          <w:sz w:val="30"/>
        </w:rPr>
        <w:t xml:space="preserve"> </w:t>
      </w:r>
      <w:r>
        <w:rPr>
          <w:i/>
          <w:sz w:val="30"/>
        </w:rPr>
        <w:t>should</w:t>
      </w:r>
      <w:r>
        <w:rPr>
          <w:i/>
          <w:spacing w:val="-1"/>
          <w:sz w:val="30"/>
        </w:rPr>
        <w:t xml:space="preserve"> </w:t>
      </w:r>
      <w:r>
        <w:rPr>
          <w:spacing w:val="-2"/>
          <w:sz w:val="30"/>
        </w:rPr>
        <w:t>follow?</w:t>
      </w:r>
    </w:p>
    <w:p w14:paraId="7E0025F0" w14:textId="77777777" w:rsidR="009A58DB" w:rsidRDefault="00000000">
      <w:pPr>
        <w:pStyle w:val="ListParagraph"/>
        <w:numPr>
          <w:ilvl w:val="0"/>
          <w:numId w:val="52"/>
        </w:numPr>
        <w:tabs>
          <w:tab w:val="left" w:pos="720"/>
          <w:tab w:val="left" w:pos="821"/>
        </w:tabs>
        <w:spacing w:before="15" w:line="249" w:lineRule="auto"/>
        <w:ind w:left="720" w:right="365" w:hanging="360"/>
        <w:jc w:val="both"/>
        <w:rPr>
          <w:sz w:val="30"/>
        </w:rPr>
      </w:pPr>
      <w:r>
        <w:rPr>
          <w:sz w:val="30"/>
        </w:rPr>
        <w:tab/>
        <w:t xml:space="preserve">Are there any moral rules that hold without exception? In other words, </w:t>
      </w:r>
      <w:r>
        <w:rPr>
          <w:i/>
          <w:sz w:val="30"/>
        </w:rPr>
        <w:t>supposing</w:t>
      </w:r>
      <w:r>
        <w:rPr>
          <w:i/>
          <w:spacing w:val="-3"/>
          <w:sz w:val="30"/>
        </w:rPr>
        <w:t xml:space="preserve"> </w:t>
      </w:r>
      <w:r>
        <w:rPr>
          <w:sz w:val="30"/>
        </w:rPr>
        <w:t>that</w:t>
      </w:r>
      <w:r>
        <w:rPr>
          <w:spacing w:val="-2"/>
          <w:sz w:val="30"/>
        </w:rPr>
        <w:t xml:space="preserve"> </w:t>
      </w:r>
      <w:r>
        <w:rPr>
          <w:sz w:val="30"/>
        </w:rPr>
        <w:t>one’s</w:t>
      </w:r>
      <w:r>
        <w:rPr>
          <w:spacing w:val="-2"/>
          <w:sz w:val="30"/>
        </w:rPr>
        <w:t xml:space="preserve"> </w:t>
      </w:r>
      <w:r>
        <w:rPr>
          <w:sz w:val="30"/>
        </w:rPr>
        <w:t>intention</w:t>
      </w:r>
      <w:r>
        <w:rPr>
          <w:spacing w:val="-2"/>
          <w:sz w:val="30"/>
        </w:rPr>
        <w:t xml:space="preserve"> </w:t>
      </w:r>
      <w:r>
        <w:rPr>
          <w:sz w:val="30"/>
        </w:rPr>
        <w:t>is</w:t>
      </w:r>
      <w:r>
        <w:rPr>
          <w:spacing w:val="-2"/>
          <w:sz w:val="30"/>
        </w:rPr>
        <w:t xml:space="preserve"> </w:t>
      </w:r>
      <w:r>
        <w:rPr>
          <w:sz w:val="30"/>
        </w:rPr>
        <w:t>to</w:t>
      </w:r>
      <w:r>
        <w:rPr>
          <w:spacing w:val="-2"/>
          <w:sz w:val="30"/>
        </w:rPr>
        <w:t xml:space="preserve"> </w:t>
      </w:r>
      <w:r>
        <w:rPr>
          <w:sz w:val="30"/>
        </w:rPr>
        <w:t>be</w:t>
      </w:r>
      <w:r>
        <w:rPr>
          <w:spacing w:val="-2"/>
          <w:sz w:val="30"/>
        </w:rPr>
        <w:t xml:space="preserve"> </w:t>
      </w:r>
      <w:r>
        <w:rPr>
          <w:sz w:val="30"/>
        </w:rPr>
        <w:t>moral,</w:t>
      </w:r>
      <w:r>
        <w:rPr>
          <w:spacing w:val="-2"/>
          <w:sz w:val="30"/>
        </w:rPr>
        <w:t xml:space="preserve"> </w:t>
      </w:r>
      <w:r>
        <w:rPr>
          <w:sz w:val="30"/>
        </w:rPr>
        <w:t>are</w:t>
      </w:r>
      <w:r>
        <w:rPr>
          <w:spacing w:val="-2"/>
          <w:sz w:val="30"/>
        </w:rPr>
        <w:t xml:space="preserve"> </w:t>
      </w:r>
      <w:r>
        <w:rPr>
          <w:sz w:val="30"/>
        </w:rPr>
        <w:t>there</w:t>
      </w:r>
      <w:r>
        <w:rPr>
          <w:spacing w:val="-2"/>
          <w:sz w:val="30"/>
        </w:rPr>
        <w:t xml:space="preserve"> </w:t>
      </w:r>
      <w:r>
        <w:rPr>
          <w:sz w:val="30"/>
        </w:rPr>
        <w:t>any</w:t>
      </w:r>
      <w:r>
        <w:rPr>
          <w:spacing w:val="-2"/>
          <w:sz w:val="30"/>
        </w:rPr>
        <w:t xml:space="preserve"> </w:t>
      </w:r>
      <w:r>
        <w:rPr>
          <w:sz w:val="30"/>
        </w:rPr>
        <w:t>moral</w:t>
      </w:r>
      <w:r>
        <w:rPr>
          <w:spacing w:val="-2"/>
          <w:sz w:val="30"/>
        </w:rPr>
        <w:t xml:space="preserve"> </w:t>
      </w:r>
      <w:r>
        <w:rPr>
          <w:sz w:val="30"/>
        </w:rPr>
        <w:t>rules</w:t>
      </w:r>
      <w:r>
        <w:rPr>
          <w:spacing w:val="-2"/>
          <w:sz w:val="30"/>
        </w:rPr>
        <w:t xml:space="preserve"> </w:t>
      </w:r>
      <w:r>
        <w:rPr>
          <w:sz w:val="30"/>
        </w:rPr>
        <w:t>that one must follow under any circumstances?</w:t>
      </w:r>
    </w:p>
    <w:p w14:paraId="7E0025F1" w14:textId="77777777" w:rsidR="009A58DB" w:rsidRDefault="009A58DB">
      <w:pPr>
        <w:pStyle w:val="BodyText"/>
        <w:spacing w:before="18"/>
        <w:ind w:left="0"/>
        <w:jc w:val="left"/>
      </w:pPr>
    </w:p>
    <w:p w14:paraId="7E0025F2" w14:textId="77777777" w:rsidR="009A58DB" w:rsidRDefault="00000000">
      <w:pPr>
        <w:pStyle w:val="BodyText"/>
        <w:spacing w:before="1"/>
        <w:ind w:left="720"/>
        <w:jc w:val="left"/>
      </w:pPr>
      <w:r>
        <w:t>The</w:t>
      </w:r>
      <w:r>
        <w:rPr>
          <w:spacing w:val="-5"/>
        </w:rPr>
        <w:t xml:space="preserve"> </w:t>
      </w:r>
      <w:r>
        <w:t>answer</w:t>
      </w:r>
      <w:r>
        <w:rPr>
          <w:spacing w:val="-3"/>
        </w:rPr>
        <w:t xml:space="preserve"> </w:t>
      </w:r>
      <w:r>
        <w:t>to</w:t>
      </w:r>
      <w:r>
        <w:rPr>
          <w:spacing w:val="-1"/>
        </w:rPr>
        <w:t xml:space="preserve"> </w:t>
      </w:r>
      <w:r>
        <w:t>(1)</w:t>
      </w:r>
      <w:r>
        <w:rPr>
          <w:spacing w:val="-3"/>
        </w:rPr>
        <w:t xml:space="preserve"> </w:t>
      </w:r>
      <w:r>
        <w:t>seems</w:t>
      </w:r>
      <w:r>
        <w:rPr>
          <w:spacing w:val="-2"/>
        </w:rPr>
        <w:t xml:space="preserve"> </w:t>
      </w:r>
      <w:r>
        <w:t>to</w:t>
      </w:r>
      <w:r>
        <w:rPr>
          <w:spacing w:val="-2"/>
        </w:rPr>
        <w:t xml:space="preserve"> </w:t>
      </w:r>
      <w:r>
        <w:t>be</w:t>
      </w:r>
      <w:r>
        <w:rPr>
          <w:spacing w:val="-2"/>
        </w:rPr>
        <w:t xml:space="preserve"> </w:t>
      </w:r>
      <w:r>
        <w:t>“no.”</w:t>
      </w:r>
      <w:r>
        <w:rPr>
          <w:spacing w:val="-3"/>
        </w:rPr>
        <w:t xml:space="preserve"> </w:t>
      </w:r>
      <w:r>
        <w:t>The</w:t>
      </w:r>
      <w:r>
        <w:rPr>
          <w:spacing w:val="-2"/>
        </w:rPr>
        <w:t xml:space="preserve"> statement:</w:t>
      </w:r>
    </w:p>
    <w:p w14:paraId="7E0025F3" w14:textId="77777777" w:rsidR="009A58DB" w:rsidRDefault="009A58DB">
      <w:pPr>
        <w:pStyle w:val="BodyText"/>
        <w:spacing w:before="30"/>
        <w:ind w:left="0"/>
        <w:jc w:val="left"/>
      </w:pPr>
    </w:p>
    <w:p w14:paraId="7E0025F4" w14:textId="77777777" w:rsidR="009A58DB" w:rsidRDefault="00000000">
      <w:pPr>
        <w:pStyle w:val="ListParagraph"/>
        <w:numPr>
          <w:ilvl w:val="1"/>
          <w:numId w:val="52"/>
        </w:numPr>
        <w:tabs>
          <w:tab w:val="left" w:pos="764"/>
        </w:tabs>
        <w:spacing w:line="501" w:lineRule="auto"/>
        <w:ind w:right="3114" w:firstLine="0"/>
        <w:rPr>
          <w:sz w:val="30"/>
        </w:rPr>
      </w:pPr>
      <w:r>
        <w:rPr>
          <w:sz w:val="30"/>
        </w:rPr>
        <w:t>“one</w:t>
      </w:r>
      <w:r>
        <w:rPr>
          <w:spacing w:val="-7"/>
          <w:sz w:val="30"/>
        </w:rPr>
        <w:t xml:space="preserve"> </w:t>
      </w:r>
      <w:r>
        <w:rPr>
          <w:sz w:val="30"/>
        </w:rPr>
        <w:t>should</w:t>
      </w:r>
      <w:r>
        <w:rPr>
          <w:spacing w:val="-6"/>
          <w:sz w:val="30"/>
        </w:rPr>
        <w:t xml:space="preserve"> </w:t>
      </w:r>
      <w:r>
        <w:rPr>
          <w:sz w:val="30"/>
        </w:rPr>
        <w:t>refrain</w:t>
      </w:r>
      <w:r>
        <w:rPr>
          <w:spacing w:val="-6"/>
          <w:sz w:val="30"/>
        </w:rPr>
        <w:t xml:space="preserve"> </w:t>
      </w:r>
      <w:r>
        <w:rPr>
          <w:sz w:val="30"/>
        </w:rPr>
        <w:t>from</w:t>
      </w:r>
      <w:r>
        <w:rPr>
          <w:spacing w:val="-7"/>
          <w:sz w:val="30"/>
        </w:rPr>
        <w:t xml:space="preserve"> </w:t>
      </w:r>
      <w:r>
        <w:rPr>
          <w:sz w:val="30"/>
        </w:rPr>
        <w:t>committing</w:t>
      </w:r>
      <w:r>
        <w:rPr>
          <w:spacing w:val="-6"/>
          <w:sz w:val="30"/>
        </w:rPr>
        <w:t xml:space="preserve"> </w:t>
      </w:r>
      <w:r>
        <w:rPr>
          <w:sz w:val="30"/>
        </w:rPr>
        <w:t>immoral</w:t>
      </w:r>
      <w:r>
        <w:rPr>
          <w:spacing w:val="-7"/>
          <w:sz w:val="30"/>
        </w:rPr>
        <w:t xml:space="preserve"> </w:t>
      </w:r>
      <w:r>
        <w:rPr>
          <w:sz w:val="30"/>
        </w:rPr>
        <w:t>acts” is ambiguous between:</w:t>
      </w:r>
    </w:p>
    <w:p w14:paraId="7E0025F5" w14:textId="77777777" w:rsidR="009A58DB" w:rsidRDefault="00000000">
      <w:pPr>
        <w:pStyle w:val="ListParagraph"/>
        <w:numPr>
          <w:ilvl w:val="1"/>
          <w:numId w:val="52"/>
        </w:numPr>
        <w:tabs>
          <w:tab w:val="left" w:pos="782"/>
        </w:tabs>
        <w:spacing w:line="343" w:lineRule="exact"/>
        <w:ind w:left="782" w:hanging="422"/>
        <w:rPr>
          <w:sz w:val="30"/>
        </w:rPr>
      </w:pPr>
      <w:r>
        <w:rPr>
          <w:sz w:val="30"/>
        </w:rPr>
        <w:t>“one</w:t>
      </w:r>
      <w:r>
        <w:rPr>
          <w:spacing w:val="-6"/>
          <w:sz w:val="30"/>
        </w:rPr>
        <w:t xml:space="preserve"> </w:t>
      </w:r>
      <w:r>
        <w:rPr>
          <w:sz w:val="30"/>
        </w:rPr>
        <w:t>should</w:t>
      </w:r>
      <w:r>
        <w:rPr>
          <w:spacing w:val="-2"/>
          <w:sz w:val="30"/>
        </w:rPr>
        <w:t xml:space="preserve"> </w:t>
      </w:r>
      <w:r>
        <w:rPr>
          <w:sz w:val="30"/>
        </w:rPr>
        <w:t>act</w:t>
      </w:r>
      <w:r>
        <w:rPr>
          <w:spacing w:val="-3"/>
          <w:sz w:val="30"/>
        </w:rPr>
        <w:t xml:space="preserve"> </w:t>
      </w:r>
      <w:r>
        <w:rPr>
          <w:sz w:val="30"/>
        </w:rPr>
        <w:t>morally</w:t>
      </w:r>
      <w:r>
        <w:rPr>
          <w:spacing w:val="-2"/>
          <w:sz w:val="30"/>
        </w:rPr>
        <w:t xml:space="preserve"> </w:t>
      </w:r>
      <w:r>
        <w:rPr>
          <w:i/>
          <w:sz w:val="30"/>
        </w:rPr>
        <w:t>if</w:t>
      </w:r>
      <w:r>
        <w:rPr>
          <w:i/>
          <w:spacing w:val="-4"/>
          <w:sz w:val="30"/>
        </w:rPr>
        <w:t xml:space="preserve"> </w:t>
      </w:r>
      <w:r>
        <w:rPr>
          <w:sz w:val="30"/>
        </w:rPr>
        <w:t>one’s</w:t>
      </w:r>
      <w:r>
        <w:rPr>
          <w:spacing w:val="-3"/>
          <w:sz w:val="30"/>
        </w:rPr>
        <w:t xml:space="preserve"> </w:t>
      </w:r>
      <w:r>
        <w:rPr>
          <w:sz w:val="30"/>
        </w:rPr>
        <w:t>objective</w:t>
      </w:r>
      <w:r>
        <w:rPr>
          <w:spacing w:val="-3"/>
          <w:sz w:val="30"/>
        </w:rPr>
        <w:t xml:space="preserve"> </w:t>
      </w:r>
      <w:r>
        <w:rPr>
          <w:sz w:val="30"/>
        </w:rPr>
        <w:t>is</w:t>
      </w:r>
      <w:r>
        <w:rPr>
          <w:spacing w:val="-3"/>
          <w:sz w:val="30"/>
        </w:rPr>
        <w:t xml:space="preserve"> </w:t>
      </w:r>
      <w:r>
        <w:rPr>
          <w:sz w:val="30"/>
        </w:rPr>
        <w:t>to</w:t>
      </w:r>
      <w:r>
        <w:rPr>
          <w:spacing w:val="-2"/>
          <w:sz w:val="30"/>
        </w:rPr>
        <w:t xml:space="preserve"> </w:t>
      </w:r>
      <w:r>
        <w:rPr>
          <w:sz w:val="30"/>
        </w:rPr>
        <w:t>act</w:t>
      </w:r>
      <w:r>
        <w:rPr>
          <w:spacing w:val="-3"/>
          <w:sz w:val="30"/>
        </w:rPr>
        <w:t xml:space="preserve"> </w:t>
      </w:r>
      <w:r>
        <w:rPr>
          <w:spacing w:val="-2"/>
          <w:sz w:val="30"/>
        </w:rPr>
        <w:t>morally,”</w:t>
      </w:r>
    </w:p>
    <w:p w14:paraId="7E0025F6" w14:textId="77777777" w:rsidR="009A58DB" w:rsidRDefault="009A58DB">
      <w:pPr>
        <w:pStyle w:val="ListParagraph"/>
        <w:spacing w:line="343" w:lineRule="exact"/>
        <w:rPr>
          <w:sz w:val="30"/>
        </w:rPr>
        <w:sectPr w:rsidR="009A58DB">
          <w:pgSz w:w="12240" w:h="15840"/>
          <w:pgMar w:top="1380" w:right="1080" w:bottom="280" w:left="1080" w:header="720" w:footer="720" w:gutter="0"/>
          <w:cols w:space="720"/>
        </w:sectPr>
      </w:pPr>
    </w:p>
    <w:p w14:paraId="7E0025F7" w14:textId="77777777" w:rsidR="009A58DB" w:rsidRDefault="00000000">
      <w:pPr>
        <w:pStyle w:val="BodyText"/>
        <w:spacing w:before="65"/>
        <w:jc w:val="left"/>
      </w:pPr>
      <w:r>
        <w:rPr>
          <w:spacing w:val="-5"/>
        </w:rPr>
        <w:lastRenderedPageBreak/>
        <w:t>and</w:t>
      </w:r>
    </w:p>
    <w:p w14:paraId="7E0025F8" w14:textId="77777777" w:rsidR="009A58DB" w:rsidRDefault="009A58DB">
      <w:pPr>
        <w:pStyle w:val="BodyText"/>
        <w:spacing w:before="29"/>
        <w:ind w:left="0"/>
        <w:jc w:val="left"/>
      </w:pPr>
    </w:p>
    <w:p w14:paraId="7E0025F9" w14:textId="77777777" w:rsidR="009A58DB" w:rsidRDefault="00000000">
      <w:pPr>
        <w:pStyle w:val="ListParagraph"/>
        <w:numPr>
          <w:ilvl w:val="1"/>
          <w:numId w:val="52"/>
        </w:numPr>
        <w:tabs>
          <w:tab w:val="left" w:pos="764"/>
        </w:tabs>
        <w:spacing w:before="1"/>
        <w:ind w:left="764" w:hanging="404"/>
        <w:rPr>
          <w:sz w:val="30"/>
        </w:rPr>
      </w:pPr>
      <w:r>
        <w:rPr>
          <w:sz w:val="30"/>
        </w:rPr>
        <w:t>“one</w:t>
      </w:r>
      <w:r>
        <w:rPr>
          <w:spacing w:val="-5"/>
          <w:sz w:val="30"/>
        </w:rPr>
        <w:t xml:space="preserve"> </w:t>
      </w:r>
      <w:r>
        <w:rPr>
          <w:sz w:val="30"/>
        </w:rPr>
        <w:t>should</w:t>
      </w:r>
      <w:r>
        <w:rPr>
          <w:spacing w:val="-2"/>
          <w:sz w:val="30"/>
        </w:rPr>
        <w:t xml:space="preserve"> </w:t>
      </w:r>
      <w:r>
        <w:rPr>
          <w:sz w:val="30"/>
        </w:rPr>
        <w:t>act</w:t>
      </w:r>
      <w:r>
        <w:rPr>
          <w:spacing w:val="-3"/>
          <w:sz w:val="30"/>
        </w:rPr>
        <w:t xml:space="preserve"> </w:t>
      </w:r>
      <w:r>
        <w:rPr>
          <w:sz w:val="30"/>
        </w:rPr>
        <w:t>morally,</w:t>
      </w:r>
      <w:r>
        <w:rPr>
          <w:spacing w:val="-2"/>
          <w:sz w:val="30"/>
        </w:rPr>
        <w:t xml:space="preserve"> </w:t>
      </w:r>
      <w:r>
        <w:rPr>
          <w:sz w:val="30"/>
        </w:rPr>
        <w:t>even</w:t>
      </w:r>
      <w:r>
        <w:rPr>
          <w:spacing w:val="-2"/>
          <w:sz w:val="30"/>
        </w:rPr>
        <w:t xml:space="preserve"> </w:t>
      </w:r>
      <w:r>
        <w:rPr>
          <w:sz w:val="30"/>
        </w:rPr>
        <w:t>if</w:t>
      </w:r>
      <w:r>
        <w:rPr>
          <w:spacing w:val="-3"/>
          <w:sz w:val="30"/>
        </w:rPr>
        <w:t xml:space="preserve"> </w:t>
      </w:r>
      <w:r>
        <w:rPr>
          <w:sz w:val="30"/>
        </w:rPr>
        <w:t>it</w:t>
      </w:r>
      <w:r>
        <w:rPr>
          <w:spacing w:val="-3"/>
          <w:sz w:val="30"/>
        </w:rPr>
        <w:t xml:space="preserve"> </w:t>
      </w:r>
      <w:r>
        <w:rPr>
          <w:sz w:val="30"/>
        </w:rPr>
        <w:t>it’s</w:t>
      </w:r>
      <w:r>
        <w:rPr>
          <w:spacing w:val="-3"/>
          <w:sz w:val="30"/>
        </w:rPr>
        <w:t xml:space="preserve"> </w:t>
      </w:r>
      <w:r>
        <w:rPr>
          <w:sz w:val="30"/>
        </w:rPr>
        <w:t>in</w:t>
      </w:r>
      <w:r>
        <w:rPr>
          <w:spacing w:val="-2"/>
          <w:sz w:val="30"/>
        </w:rPr>
        <w:t xml:space="preserve"> </w:t>
      </w:r>
      <w:r>
        <w:rPr>
          <w:sz w:val="30"/>
        </w:rPr>
        <w:t>one’s</w:t>
      </w:r>
      <w:r>
        <w:rPr>
          <w:spacing w:val="-3"/>
          <w:sz w:val="30"/>
        </w:rPr>
        <w:t xml:space="preserve"> </w:t>
      </w:r>
      <w:r>
        <w:rPr>
          <w:sz w:val="30"/>
        </w:rPr>
        <w:t>interest</w:t>
      </w:r>
      <w:r>
        <w:rPr>
          <w:spacing w:val="-3"/>
          <w:sz w:val="30"/>
        </w:rPr>
        <w:t xml:space="preserve"> </w:t>
      </w:r>
      <w:r>
        <w:rPr>
          <w:i/>
          <w:sz w:val="30"/>
        </w:rPr>
        <w:t>not</w:t>
      </w:r>
      <w:r>
        <w:rPr>
          <w:i/>
          <w:spacing w:val="-3"/>
          <w:sz w:val="30"/>
        </w:rPr>
        <w:t xml:space="preserve"> </w:t>
      </w:r>
      <w:r>
        <w:rPr>
          <w:sz w:val="30"/>
        </w:rPr>
        <w:t>to</w:t>
      </w:r>
      <w:r>
        <w:rPr>
          <w:spacing w:val="-2"/>
          <w:sz w:val="30"/>
        </w:rPr>
        <w:t xml:space="preserve"> </w:t>
      </w:r>
      <w:r>
        <w:rPr>
          <w:sz w:val="30"/>
        </w:rPr>
        <w:t>do</w:t>
      </w:r>
      <w:r>
        <w:rPr>
          <w:spacing w:val="-1"/>
          <w:sz w:val="30"/>
        </w:rPr>
        <w:t xml:space="preserve"> </w:t>
      </w:r>
      <w:r>
        <w:rPr>
          <w:spacing w:val="-4"/>
          <w:sz w:val="30"/>
        </w:rPr>
        <w:t>so.”</w:t>
      </w:r>
    </w:p>
    <w:p w14:paraId="7E0025FA" w14:textId="77777777" w:rsidR="009A58DB" w:rsidRDefault="009A58DB">
      <w:pPr>
        <w:pStyle w:val="BodyText"/>
        <w:spacing w:before="30"/>
        <w:ind w:left="0"/>
        <w:jc w:val="left"/>
      </w:pPr>
    </w:p>
    <w:p w14:paraId="7E0025FB" w14:textId="77777777" w:rsidR="009A58DB" w:rsidRDefault="00000000">
      <w:pPr>
        <w:pStyle w:val="ListParagraph"/>
        <w:numPr>
          <w:ilvl w:val="0"/>
          <w:numId w:val="51"/>
        </w:numPr>
        <w:tabs>
          <w:tab w:val="left" w:pos="720"/>
          <w:tab w:val="left" w:pos="766"/>
        </w:tabs>
        <w:spacing w:line="249" w:lineRule="auto"/>
        <w:ind w:right="360" w:hanging="360"/>
        <w:jc w:val="both"/>
        <w:rPr>
          <w:sz w:val="30"/>
        </w:rPr>
      </w:pPr>
      <w:r>
        <w:rPr>
          <w:sz w:val="30"/>
        </w:rPr>
        <w:t>is</w:t>
      </w:r>
      <w:r>
        <w:rPr>
          <w:spacing w:val="40"/>
          <w:sz w:val="30"/>
        </w:rPr>
        <w:t xml:space="preserve"> </w:t>
      </w:r>
      <w:r>
        <w:rPr>
          <w:sz w:val="30"/>
        </w:rPr>
        <w:t>expresses</w:t>
      </w:r>
      <w:r>
        <w:rPr>
          <w:spacing w:val="-3"/>
          <w:sz w:val="30"/>
        </w:rPr>
        <w:t xml:space="preserve"> </w:t>
      </w:r>
      <w:r>
        <w:rPr>
          <w:sz w:val="30"/>
        </w:rPr>
        <w:t>a</w:t>
      </w:r>
      <w:r>
        <w:rPr>
          <w:spacing w:val="-3"/>
          <w:sz w:val="30"/>
        </w:rPr>
        <w:t xml:space="preserve"> </w:t>
      </w:r>
      <w:r>
        <w:rPr>
          <w:sz w:val="30"/>
        </w:rPr>
        <w:t>hypothetical</w:t>
      </w:r>
      <w:r>
        <w:rPr>
          <w:spacing w:val="-3"/>
          <w:sz w:val="30"/>
        </w:rPr>
        <w:t xml:space="preserve"> </w:t>
      </w:r>
      <w:r>
        <w:rPr>
          <w:sz w:val="30"/>
        </w:rPr>
        <w:t>imperative.</w:t>
      </w:r>
      <w:r>
        <w:rPr>
          <w:spacing w:val="-3"/>
          <w:sz w:val="30"/>
        </w:rPr>
        <w:t xml:space="preserve"> </w:t>
      </w:r>
      <w:r>
        <w:rPr>
          <w:sz w:val="30"/>
        </w:rPr>
        <w:t>(It’s</w:t>
      </w:r>
      <w:r>
        <w:rPr>
          <w:spacing w:val="-3"/>
          <w:sz w:val="30"/>
        </w:rPr>
        <w:t xml:space="preserve"> </w:t>
      </w:r>
      <w:r>
        <w:rPr>
          <w:sz w:val="30"/>
        </w:rPr>
        <w:t>also</w:t>
      </w:r>
      <w:r>
        <w:rPr>
          <w:spacing w:val="-3"/>
          <w:sz w:val="30"/>
        </w:rPr>
        <w:t xml:space="preserve"> </w:t>
      </w:r>
      <w:r>
        <w:rPr>
          <w:sz w:val="30"/>
        </w:rPr>
        <w:t>utterly</w:t>
      </w:r>
      <w:r>
        <w:rPr>
          <w:spacing w:val="-3"/>
          <w:sz w:val="30"/>
        </w:rPr>
        <w:t xml:space="preserve"> </w:t>
      </w:r>
      <w:r>
        <w:rPr>
          <w:sz w:val="30"/>
        </w:rPr>
        <w:t>vacant.)</w:t>
      </w:r>
      <w:r>
        <w:rPr>
          <w:spacing w:val="-3"/>
          <w:sz w:val="30"/>
        </w:rPr>
        <w:t xml:space="preserve"> </w:t>
      </w:r>
      <w:r>
        <w:rPr>
          <w:sz w:val="30"/>
        </w:rPr>
        <w:t>And</w:t>
      </w:r>
      <w:r>
        <w:rPr>
          <w:spacing w:val="-3"/>
          <w:sz w:val="30"/>
        </w:rPr>
        <w:t xml:space="preserve"> </w:t>
      </w:r>
      <w:r>
        <w:rPr>
          <w:sz w:val="30"/>
        </w:rPr>
        <w:t>(b)</w:t>
      </w:r>
      <w:r>
        <w:rPr>
          <w:spacing w:val="-3"/>
          <w:sz w:val="30"/>
        </w:rPr>
        <w:t xml:space="preserve"> </w:t>
      </w:r>
      <w:r>
        <w:rPr>
          <w:sz w:val="30"/>
        </w:rPr>
        <w:t>is clearly false.</w:t>
      </w:r>
    </w:p>
    <w:p w14:paraId="7E0025FC" w14:textId="77777777" w:rsidR="009A58DB" w:rsidRDefault="00000000">
      <w:pPr>
        <w:pStyle w:val="BodyText"/>
        <w:spacing w:before="2"/>
        <w:ind w:left="720"/>
      </w:pPr>
      <w:r>
        <w:t>In</w:t>
      </w:r>
      <w:r>
        <w:rPr>
          <w:spacing w:val="59"/>
        </w:rPr>
        <w:t xml:space="preserve"> </w:t>
      </w:r>
      <w:r>
        <w:t>general,</w:t>
      </w:r>
      <w:r>
        <w:rPr>
          <w:spacing w:val="61"/>
        </w:rPr>
        <w:t xml:space="preserve"> </w:t>
      </w:r>
      <w:r>
        <w:t>what</w:t>
      </w:r>
      <w:r>
        <w:rPr>
          <w:spacing w:val="62"/>
        </w:rPr>
        <w:t xml:space="preserve"> </w:t>
      </w:r>
      <w:r>
        <w:t>one</w:t>
      </w:r>
      <w:r>
        <w:rPr>
          <w:spacing w:val="61"/>
        </w:rPr>
        <w:t xml:space="preserve"> </w:t>
      </w:r>
      <w:r>
        <w:t>should</w:t>
      </w:r>
      <w:r>
        <w:rPr>
          <w:spacing w:val="62"/>
        </w:rPr>
        <w:t xml:space="preserve"> </w:t>
      </w:r>
      <w:r>
        <w:t>do</w:t>
      </w:r>
      <w:r>
        <w:rPr>
          <w:spacing w:val="61"/>
        </w:rPr>
        <w:t xml:space="preserve"> </w:t>
      </w:r>
      <w:r>
        <w:t>depends</w:t>
      </w:r>
      <w:r>
        <w:rPr>
          <w:spacing w:val="62"/>
        </w:rPr>
        <w:t xml:space="preserve"> </w:t>
      </w:r>
      <w:r>
        <w:t>on</w:t>
      </w:r>
      <w:r>
        <w:rPr>
          <w:spacing w:val="61"/>
        </w:rPr>
        <w:t xml:space="preserve"> </w:t>
      </w:r>
      <w:r>
        <w:t>what</w:t>
      </w:r>
      <w:r>
        <w:rPr>
          <w:spacing w:val="62"/>
        </w:rPr>
        <w:t xml:space="preserve"> </w:t>
      </w:r>
      <w:r>
        <w:t>one’s</w:t>
      </w:r>
      <w:r>
        <w:rPr>
          <w:spacing w:val="61"/>
        </w:rPr>
        <w:t xml:space="preserve"> </w:t>
      </w:r>
      <w:r>
        <w:t>intentions</w:t>
      </w:r>
      <w:r>
        <w:rPr>
          <w:spacing w:val="63"/>
        </w:rPr>
        <w:t xml:space="preserve"> </w:t>
      </w:r>
      <w:r>
        <w:rPr>
          <w:spacing w:val="-4"/>
        </w:rPr>
        <w:t>are.</w:t>
      </w:r>
    </w:p>
    <w:p w14:paraId="7E0025FD" w14:textId="77777777" w:rsidR="009A58DB" w:rsidRDefault="00000000">
      <w:pPr>
        <w:pStyle w:val="BodyText"/>
        <w:spacing w:before="15"/>
      </w:pPr>
      <w:r>
        <w:t>Therefore</w:t>
      </w:r>
      <w:r>
        <w:rPr>
          <w:spacing w:val="-6"/>
        </w:rPr>
        <w:t xml:space="preserve"> </w:t>
      </w:r>
      <w:r>
        <w:t>(1)</w:t>
      </w:r>
      <w:r>
        <w:rPr>
          <w:spacing w:val="-4"/>
        </w:rPr>
        <w:t xml:space="preserve"> </w:t>
      </w:r>
      <w:r>
        <w:t>is</w:t>
      </w:r>
      <w:r>
        <w:rPr>
          <w:spacing w:val="-4"/>
        </w:rPr>
        <w:t xml:space="preserve"> </w:t>
      </w:r>
      <w:r>
        <w:t>false.</w:t>
      </w:r>
      <w:r>
        <w:rPr>
          <w:spacing w:val="-3"/>
        </w:rPr>
        <w:t xml:space="preserve"> </w:t>
      </w:r>
      <w:r>
        <w:t>Similar</w:t>
      </w:r>
      <w:r>
        <w:rPr>
          <w:spacing w:val="-4"/>
        </w:rPr>
        <w:t xml:space="preserve"> </w:t>
      </w:r>
      <w:r>
        <w:t>reasoning</w:t>
      </w:r>
      <w:r>
        <w:rPr>
          <w:spacing w:val="-4"/>
        </w:rPr>
        <w:t xml:space="preserve"> </w:t>
      </w:r>
      <w:r>
        <w:t>shows</w:t>
      </w:r>
      <w:r>
        <w:rPr>
          <w:spacing w:val="-4"/>
        </w:rPr>
        <w:t xml:space="preserve"> </w:t>
      </w:r>
      <w:r>
        <w:t>that</w:t>
      </w:r>
      <w:r>
        <w:rPr>
          <w:spacing w:val="-4"/>
        </w:rPr>
        <w:t xml:space="preserve"> </w:t>
      </w:r>
      <w:r>
        <w:t>(2)</w:t>
      </w:r>
      <w:r>
        <w:rPr>
          <w:spacing w:val="-3"/>
        </w:rPr>
        <w:t xml:space="preserve"> </w:t>
      </w:r>
      <w:r>
        <w:t>is</w:t>
      </w:r>
      <w:r>
        <w:rPr>
          <w:spacing w:val="-4"/>
        </w:rPr>
        <w:t xml:space="preserve"> </w:t>
      </w:r>
      <w:r>
        <w:rPr>
          <w:spacing w:val="-2"/>
        </w:rPr>
        <w:t>false.</w:t>
      </w:r>
    </w:p>
    <w:p w14:paraId="7E0025FE" w14:textId="77777777" w:rsidR="009A58DB" w:rsidRDefault="00000000">
      <w:pPr>
        <w:pStyle w:val="BodyText"/>
        <w:spacing w:before="15" w:line="249" w:lineRule="auto"/>
        <w:ind w:right="361" w:firstLine="360"/>
      </w:pPr>
      <w:r>
        <w:t>Is (3) correct? Yes. One has a categorical moral obligation, I should think, to refrain from obliterating all life. And, of course, one has a categorical moral obligation to act morally.</w:t>
      </w:r>
    </w:p>
    <w:p w14:paraId="7E0025FF" w14:textId="77777777" w:rsidR="009A58DB" w:rsidRDefault="00000000">
      <w:pPr>
        <w:pStyle w:val="BodyText"/>
        <w:spacing w:before="4" w:line="249" w:lineRule="auto"/>
        <w:ind w:right="359" w:firstLine="360"/>
      </w:pPr>
      <w:r>
        <w:t xml:space="preserve">But are there any categorical moral imperatives that, unlike the two just mentioned, </w:t>
      </w:r>
      <w:r>
        <w:rPr>
          <w:i/>
        </w:rPr>
        <w:t xml:space="preserve">aren’t </w:t>
      </w:r>
      <w:r>
        <w:t>utterly trivial? Kant said “yes.” And he identified what he believed to be two non-trivial categorical imperatives:</w:t>
      </w:r>
    </w:p>
    <w:p w14:paraId="7E002600" w14:textId="77777777" w:rsidR="009A58DB" w:rsidRDefault="009A58DB">
      <w:pPr>
        <w:pStyle w:val="BodyText"/>
        <w:spacing w:before="18"/>
        <w:ind w:left="0"/>
        <w:jc w:val="left"/>
      </w:pPr>
    </w:p>
    <w:p w14:paraId="7E002601" w14:textId="77777777" w:rsidR="009A58DB" w:rsidRDefault="00000000">
      <w:pPr>
        <w:pStyle w:val="BodyText"/>
        <w:spacing w:before="1" w:line="277" w:lineRule="exact"/>
        <w:ind w:left="872"/>
        <w:jc w:val="left"/>
      </w:pPr>
      <w:r>
        <w:rPr>
          <w:noProof/>
        </w:rPr>
        <mc:AlternateContent>
          <mc:Choice Requires="wps">
            <w:drawing>
              <wp:anchor distT="0" distB="0" distL="0" distR="0" simplePos="0" relativeHeight="15747072" behindDoc="0" locked="0" layoutInCell="1" allowOverlap="1" wp14:anchorId="7E003296" wp14:editId="7E003297">
                <wp:simplePos x="0" y="0"/>
                <wp:positionH relativeFrom="page">
                  <wp:posOffset>914400</wp:posOffset>
                </wp:positionH>
                <wp:positionV relativeFrom="paragraph">
                  <wp:posOffset>142058</wp:posOffset>
                </wp:positionV>
                <wp:extent cx="254000" cy="21145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11454"/>
                        </a:xfrm>
                        <a:prstGeom prst="rect">
                          <a:avLst/>
                        </a:prstGeom>
                      </wps:spPr>
                      <wps:txbx>
                        <w:txbxContent>
                          <w:p w14:paraId="7E0032C0" w14:textId="77777777" w:rsidR="009A58DB" w:rsidRDefault="00000000">
                            <w:pPr>
                              <w:pStyle w:val="BodyText"/>
                              <w:spacing w:line="332" w:lineRule="exact"/>
                              <w:ind w:left="0"/>
                              <w:jc w:val="left"/>
                            </w:pPr>
                            <w:r>
                              <w:rPr>
                                <w:spacing w:val="-5"/>
                              </w:rPr>
                              <w:t>(CI</w:t>
                            </w:r>
                          </w:p>
                        </w:txbxContent>
                      </wps:txbx>
                      <wps:bodyPr wrap="square" lIns="0" tIns="0" rIns="0" bIns="0" rtlCol="0">
                        <a:noAutofit/>
                      </wps:bodyPr>
                    </wps:wsp>
                  </a:graphicData>
                </a:graphic>
              </wp:anchor>
            </w:drawing>
          </mc:Choice>
          <mc:Fallback>
            <w:pict>
              <v:shape w14:anchorId="7E003296" id="Textbox 36" o:spid="_x0000_s1042" type="#_x0000_t202" style="position:absolute;left:0;text-align:left;margin-left:1in;margin-top:11.2pt;width:20pt;height:16.6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" filled="f" stroked="f">
                <v:textbox inset="0,0,0,0">
                  <w:txbxContent>
                    <w:p w14:paraId="7E0032C0" w14:textId="77777777" w:rsidR="009A58DB" w:rsidRDefault="00000000">
                      <w:pPr>
                        <w:pStyle w:val="BodyText"/>
                        <w:spacing w:line="332" w:lineRule="exact"/>
                        <w:ind w:left="0"/>
                        <w:jc w:val="left"/>
                      </w:pPr>
                      <w:r>
                        <w:rPr>
                          <w:spacing w:val="-5"/>
                        </w:rPr>
                        <w:t>(CI</w:t>
                      </w:r>
                    </w:p>
                  </w:txbxContent>
                </v:textbox>
                <w10:wrap anchorx="page"/>
              </v:shape>
            </w:pict>
          </mc:Fallback>
        </mc:AlternateContent>
      </w:r>
      <w:bookmarkStart w:id="521" w:name="_bookmark521"/>
      <w:bookmarkEnd w:id="521"/>
      <w:r>
        <w:rPr>
          <w:color w:val="0562C1"/>
          <w:spacing w:val="-2"/>
        </w:rPr>
        <w:t>[389]</w:t>
      </w:r>
    </w:p>
    <w:p w14:paraId="7E002602" w14:textId="77777777" w:rsidR="009A58DB" w:rsidRDefault="00000000">
      <w:pPr>
        <w:pStyle w:val="BodyText"/>
        <w:tabs>
          <w:tab w:val="left" w:pos="1521"/>
        </w:tabs>
        <w:spacing w:line="277" w:lineRule="exact"/>
        <w:ind w:left="759"/>
        <w:jc w:val="left"/>
      </w:pPr>
      <w:r>
        <w:rPr>
          <w:noProof/>
        </w:rPr>
        <mc:AlternateContent>
          <mc:Choice Requires="wps">
            <w:drawing>
              <wp:anchor distT="0" distB="0" distL="0" distR="0" simplePos="0" relativeHeight="15746560" behindDoc="0" locked="0" layoutInCell="1" allowOverlap="1" wp14:anchorId="7E003298" wp14:editId="7E003299">
                <wp:simplePos x="0" y="0"/>
                <wp:positionH relativeFrom="page">
                  <wp:posOffset>1238250</wp:posOffset>
                </wp:positionH>
                <wp:positionV relativeFrom="paragraph">
                  <wp:posOffset>15915</wp:posOffset>
                </wp:positionV>
                <wp:extent cx="40005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40005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EE8D340" id="Graphic 37" o:spid="_x0000_s1026" style="position:absolute;margin-left:97.5pt;margin-top:1.25pt;width:31.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" path="m,l400050,e" filled="f" strokecolor="#0562c1">
                <v:path arrowok="t"/>
                <w10:wrap anchorx="page"/>
              </v:shape>
            </w:pict>
          </mc:Fallback>
        </mc:AlternateContent>
      </w:r>
      <w:r>
        <w:rPr>
          <w:spacing w:val="-10"/>
          <w:vertAlign w:val="subscript"/>
        </w:rPr>
        <w:t>1</w:t>
      </w:r>
      <w:r>
        <w:tab/>
        <w:t>)</w:t>
      </w:r>
      <w:r>
        <w:rPr>
          <w:spacing w:val="-1"/>
        </w:rPr>
        <w:t xml:space="preserve"> </w:t>
      </w:r>
      <w:r>
        <w:t>An</w:t>
      </w:r>
      <w:r>
        <w:rPr>
          <w:spacing w:val="2"/>
        </w:rPr>
        <w:t xml:space="preserve"> </w:t>
      </w:r>
      <w:r>
        <w:t>act</w:t>
      </w:r>
      <w:r>
        <w:rPr>
          <w:spacing w:val="2"/>
        </w:rPr>
        <w:t xml:space="preserve"> </w:t>
      </w:r>
      <w:r>
        <w:t>is</w:t>
      </w:r>
      <w:r>
        <w:rPr>
          <w:spacing w:val="2"/>
        </w:rPr>
        <w:t xml:space="preserve"> </w:t>
      </w:r>
      <w:r>
        <w:t>moral</w:t>
      </w:r>
      <w:r>
        <w:rPr>
          <w:spacing w:val="1"/>
        </w:rPr>
        <w:t xml:space="preserve"> </w:t>
      </w:r>
      <w:r>
        <w:t>if</w:t>
      </w:r>
      <w:r>
        <w:rPr>
          <w:spacing w:val="3"/>
        </w:rPr>
        <w:t xml:space="preserve"> </w:t>
      </w:r>
      <w:r>
        <w:t>it</w:t>
      </w:r>
      <w:r>
        <w:rPr>
          <w:spacing w:val="2"/>
        </w:rPr>
        <w:t xml:space="preserve"> </w:t>
      </w:r>
      <w:r>
        <w:t>wouldn’t</w:t>
      </w:r>
      <w:r>
        <w:rPr>
          <w:spacing w:val="1"/>
        </w:rPr>
        <w:t xml:space="preserve"> </w:t>
      </w:r>
      <w:r>
        <w:t>be</w:t>
      </w:r>
      <w:r>
        <w:rPr>
          <w:spacing w:val="3"/>
        </w:rPr>
        <w:t xml:space="preserve"> </w:t>
      </w:r>
      <w:r>
        <w:t>self-defeating</w:t>
      </w:r>
      <w:r>
        <w:rPr>
          <w:spacing w:val="1"/>
        </w:rPr>
        <w:t xml:space="preserve"> </w:t>
      </w:r>
      <w:r>
        <w:t>were</w:t>
      </w:r>
      <w:r>
        <w:rPr>
          <w:spacing w:val="2"/>
        </w:rPr>
        <w:t xml:space="preserve"> </w:t>
      </w:r>
      <w:r>
        <w:t>everyone</w:t>
      </w:r>
      <w:r>
        <w:rPr>
          <w:spacing w:val="3"/>
        </w:rPr>
        <w:t xml:space="preserve"> </w:t>
      </w:r>
      <w:r>
        <w:rPr>
          <w:spacing w:val="-4"/>
        </w:rPr>
        <w:t>else</w:t>
      </w:r>
    </w:p>
    <w:p w14:paraId="7E002603" w14:textId="77777777" w:rsidR="009A58DB" w:rsidRDefault="00000000">
      <w:pPr>
        <w:pStyle w:val="BodyText"/>
        <w:spacing w:before="75" w:line="501" w:lineRule="auto"/>
        <w:ind w:right="7919"/>
      </w:pPr>
      <w:r>
        <w:t>to</w:t>
      </w:r>
      <w:r>
        <w:rPr>
          <w:spacing w:val="-19"/>
        </w:rPr>
        <w:t xml:space="preserve"> </w:t>
      </w:r>
      <w:r>
        <w:t>act</w:t>
      </w:r>
      <w:r>
        <w:rPr>
          <w:spacing w:val="-19"/>
        </w:rPr>
        <w:t xml:space="preserve"> </w:t>
      </w:r>
      <w:r>
        <w:t xml:space="preserve">similarly </w:t>
      </w:r>
      <w:r>
        <w:rPr>
          <w:spacing w:val="-4"/>
        </w:rPr>
        <w:t>and</w:t>
      </w:r>
    </w:p>
    <w:p w14:paraId="7E002604" w14:textId="77777777" w:rsidR="009A58DB" w:rsidRDefault="00000000">
      <w:pPr>
        <w:pStyle w:val="BodyText"/>
        <w:spacing w:line="271" w:lineRule="auto"/>
        <w:ind w:right="363"/>
      </w:pPr>
      <w:r>
        <w:t>(CI</w:t>
      </w:r>
      <w:r>
        <w:rPr>
          <w:vertAlign w:val="subscript"/>
        </w:rPr>
        <w:t>2</w:t>
      </w:r>
      <w:r>
        <w:t>) An act is wrong if it’s a case of treating a person as an object, not a subject,</w:t>
      </w:r>
      <w:r>
        <w:rPr>
          <w:spacing w:val="-1"/>
        </w:rPr>
        <w:t xml:space="preserve"> </w:t>
      </w:r>
      <w:r>
        <w:t>and</w:t>
      </w:r>
      <w:r>
        <w:rPr>
          <w:spacing w:val="-1"/>
        </w:rPr>
        <w:t xml:space="preserve"> </w:t>
      </w:r>
      <w:r>
        <w:t>an</w:t>
      </w:r>
      <w:r>
        <w:rPr>
          <w:spacing w:val="-1"/>
        </w:rPr>
        <w:t xml:space="preserve"> </w:t>
      </w:r>
      <w:r>
        <w:t>act</w:t>
      </w:r>
      <w:r>
        <w:rPr>
          <w:spacing w:val="-1"/>
        </w:rPr>
        <w:t xml:space="preserve"> </w:t>
      </w:r>
      <w:r>
        <w:t>is</w:t>
      </w:r>
      <w:r>
        <w:rPr>
          <w:spacing w:val="-1"/>
        </w:rPr>
        <w:t xml:space="preserve"> </w:t>
      </w:r>
      <w:r>
        <w:t>right</w:t>
      </w:r>
      <w:r>
        <w:rPr>
          <w:spacing w:val="-1"/>
        </w:rPr>
        <w:t xml:space="preserve"> </w:t>
      </w:r>
      <w:r>
        <w:t>if</w:t>
      </w:r>
      <w:r>
        <w:rPr>
          <w:spacing w:val="-1"/>
        </w:rPr>
        <w:t xml:space="preserve"> </w:t>
      </w:r>
      <w:r>
        <w:t>it’s</w:t>
      </w:r>
      <w:r>
        <w:rPr>
          <w:spacing w:val="-1"/>
        </w:rPr>
        <w:t xml:space="preserve"> </w:t>
      </w:r>
      <w:r>
        <w:t>a</w:t>
      </w:r>
      <w:r>
        <w:rPr>
          <w:spacing w:val="-1"/>
        </w:rPr>
        <w:t xml:space="preserve"> </w:t>
      </w:r>
      <w:r>
        <w:t>case</w:t>
      </w:r>
      <w:r>
        <w:rPr>
          <w:spacing w:val="-1"/>
        </w:rPr>
        <w:t xml:space="preserve"> </w:t>
      </w:r>
      <w:r>
        <w:t>of</w:t>
      </w:r>
      <w:r>
        <w:rPr>
          <w:spacing w:val="-1"/>
        </w:rPr>
        <w:t xml:space="preserve"> </w:t>
      </w:r>
      <w:r>
        <w:t>treating</w:t>
      </w:r>
      <w:r>
        <w:rPr>
          <w:spacing w:val="-1"/>
        </w:rPr>
        <w:t xml:space="preserve"> </w:t>
      </w:r>
      <w:r>
        <w:t>a</w:t>
      </w:r>
      <w:r>
        <w:rPr>
          <w:spacing w:val="-1"/>
        </w:rPr>
        <w:t xml:space="preserve"> </w:t>
      </w:r>
      <w:r>
        <w:t>person</w:t>
      </w:r>
      <w:r>
        <w:rPr>
          <w:spacing w:val="-1"/>
        </w:rPr>
        <w:t xml:space="preserve"> </w:t>
      </w:r>
      <w:r>
        <w:t>as</w:t>
      </w:r>
      <w:r>
        <w:rPr>
          <w:spacing w:val="-1"/>
        </w:rPr>
        <w:t xml:space="preserve"> </w:t>
      </w:r>
      <w:r>
        <w:t>a</w:t>
      </w:r>
      <w:r>
        <w:rPr>
          <w:spacing w:val="-1"/>
        </w:rPr>
        <w:t xml:space="preserve"> </w:t>
      </w:r>
      <w:r>
        <w:t>subject</w:t>
      </w:r>
      <w:r>
        <w:rPr>
          <w:spacing w:val="-1"/>
        </w:rPr>
        <w:t xml:space="preserve"> </w:t>
      </w:r>
      <w:r>
        <w:t>not</w:t>
      </w:r>
      <w:r>
        <w:rPr>
          <w:spacing w:val="-1"/>
        </w:rPr>
        <w:t xml:space="preserve"> </w:t>
      </w:r>
      <w:r>
        <w:t xml:space="preserve">an </w:t>
      </w:r>
      <w:r>
        <w:rPr>
          <w:spacing w:val="-2"/>
        </w:rPr>
        <w:t>object.</w:t>
      </w:r>
    </w:p>
    <w:p w14:paraId="7E002605" w14:textId="77777777" w:rsidR="009A58DB" w:rsidRDefault="00000000">
      <w:pPr>
        <w:pStyle w:val="BodyText"/>
        <w:spacing w:before="328" w:line="271" w:lineRule="auto"/>
        <w:ind w:right="363" w:firstLine="360"/>
      </w:pPr>
      <w:r>
        <w:t>CI</w:t>
      </w:r>
      <w:r>
        <w:rPr>
          <w:vertAlign w:val="subscript"/>
        </w:rPr>
        <w:t>2</w:t>
      </w:r>
      <w:r>
        <w:t xml:space="preserve"> doesn’t need much of an explanation. It’s obviously wrong to undermine another person’s autonomy. And, although it may well be right to undermine</w:t>
      </w:r>
      <w:r>
        <w:rPr>
          <w:spacing w:val="40"/>
        </w:rPr>
        <w:t xml:space="preserve"> </w:t>
      </w:r>
      <w:r>
        <w:t>one</w:t>
      </w:r>
      <w:r>
        <w:rPr>
          <w:spacing w:val="40"/>
        </w:rPr>
        <w:t xml:space="preserve"> </w:t>
      </w:r>
      <w:r>
        <w:t>person’s</w:t>
      </w:r>
      <w:r>
        <w:rPr>
          <w:spacing w:val="40"/>
        </w:rPr>
        <w:t xml:space="preserve"> </w:t>
      </w:r>
      <w:r>
        <w:t>autonomy</w:t>
      </w:r>
      <w:r>
        <w:rPr>
          <w:spacing w:val="40"/>
        </w:rPr>
        <w:t xml:space="preserve"> </w:t>
      </w:r>
      <w:r>
        <w:t>to</w:t>
      </w:r>
      <w:r>
        <w:rPr>
          <w:spacing w:val="40"/>
        </w:rPr>
        <w:t xml:space="preserve"> </w:t>
      </w:r>
      <w:r>
        <w:t>preserve</w:t>
      </w:r>
      <w:r>
        <w:rPr>
          <w:spacing w:val="40"/>
        </w:rPr>
        <w:t xml:space="preserve"> </w:t>
      </w:r>
      <w:r>
        <w:t>the</w:t>
      </w:r>
      <w:r>
        <w:rPr>
          <w:spacing w:val="40"/>
        </w:rPr>
        <w:t xml:space="preserve"> </w:t>
      </w:r>
      <w:r>
        <w:t>autonomy</w:t>
      </w:r>
      <w:r>
        <w:rPr>
          <w:spacing w:val="40"/>
        </w:rPr>
        <w:t xml:space="preserve"> </w:t>
      </w:r>
      <w:r>
        <w:t>of</w:t>
      </w:r>
      <w:r>
        <w:rPr>
          <w:spacing w:val="40"/>
        </w:rPr>
        <w:t xml:space="preserve"> </w:t>
      </w:r>
      <w:r>
        <w:t>a</w:t>
      </w:r>
      <w:r>
        <w:rPr>
          <w:spacing w:val="40"/>
        </w:rPr>
        <w:t xml:space="preserve"> </w:t>
      </w:r>
      <w:r>
        <w:t>million</w:t>
      </w:r>
    </w:p>
    <w:p w14:paraId="7E002606" w14:textId="77777777" w:rsidR="009A58DB" w:rsidRDefault="00000000">
      <w:pPr>
        <w:pStyle w:val="BodyText"/>
        <w:spacing w:line="316" w:lineRule="exact"/>
      </w:pPr>
      <w:r>
        <w:t>others,</w:t>
      </w:r>
      <w:r>
        <w:rPr>
          <w:spacing w:val="-3"/>
        </w:rPr>
        <w:t xml:space="preserve"> </w:t>
      </w:r>
      <w:r>
        <w:t>that</w:t>
      </w:r>
      <w:r>
        <w:rPr>
          <w:spacing w:val="-4"/>
        </w:rPr>
        <w:t xml:space="preserve"> </w:t>
      </w:r>
      <w:r>
        <w:t>doesn’t</w:t>
      </w:r>
      <w:r>
        <w:rPr>
          <w:spacing w:val="-3"/>
        </w:rPr>
        <w:t xml:space="preserve"> </w:t>
      </w:r>
      <w:r>
        <w:t>really</w:t>
      </w:r>
      <w:r>
        <w:rPr>
          <w:spacing w:val="-3"/>
        </w:rPr>
        <w:t xml:space="preserve"> </w:t>
      </w:r>
      <w:r>
        <w:t>redound</w:t>
      </w:r>
      <w:r>
        <w:rPr>
          <w:spacing w:val="-3"/>
        </w:rPr>
        <w:t xml:space="preserve"> </w:t>
      </w:r>
      <w:r>
        <w:t>to</w:t>
      </w:r>
      <w:r>
        <w:rPr>
          <w:spacing w:val="-3"/>
        </w:rPr>
        <w:t xml:space="preserve"> </w:t>
      </w:r>
      <w:r>
        <w:t>the</w:t>
      </w:r>
      <w:r>
        <w:rPr>
          <w:spacing w:val="-3"/>
        </w:rPr>
        <w:t xml:space="preserve"> </w:t>
      </w:r>
      <w:r>
        <w:t>discredit</w:t>
      </w:r>
      <w:r>
        <w:rPr>
          <w:spacing w:val="-4"/>
        </w:rPr>
        <w:t xml:space="preserve"> </w:t>
      </w:r>
      <w:r>
        <w:t>of</w:t>
      </w:r>
      <w:r>
        <w:rPr>
          <w:spacing w:val="-3"/>
        </w:rPr>
        <w:t xml:space="preserve"> </w:t>
      </w:r>
      <w:r>
        <w:rPr>
          <w:spacing w:val="-4"/>
        </w:rPr>
        <w:t>CI</w:t>
      </w:r>
      <w:r>
        <w:rPr>
          <w:spacing w:val="-4"/>
          <w:vertAlign w:val="subscript"/>
        </w:rPr>
        <w:t>2</w:t>
      </w:r>
      <w:r>
        <w:rPr>
          <w:spacing w:val="-4"/>
        </w:rPr>
        <w:t>.</w:t>
      </w:r>
    </w:p>
    <w:p w14:paraId="7E002607" w14:textId="77777777" w:rsidR="009A58DB" w:rsidRDefault="00000000">
      <w:pPr>
        <w:pStyle w:val="BodyText"/>
        <w:spacing w:before="75" w:line="271" w:lineRule="auto"/>
        <w:ind w:right="369" w:firstLine="360"/>
      </w:pPr>
      <w:r>
        <w:t>The idea behind CI</w:t>
      </w:r>
      <w:r>
        <w:rPr>
          <w:vertAlign w:val="subscript"/>
        </w:rPr>
        <w:t>2</w:t>
      </w:r>
      <w:r>
        <w:t xml:space="preserve"> is that, given any bad act x, if everybody did x, nobody could successfully pull x off. It be pointless to lie in a world where everybody</w:t>
      </w:r>
      <w:r>
        <w:rPr>
          <w:spacing w:val="24"/>
        </w:rPr>
        <w:t xml:space="preserve"> </w:t>
      </w:r>
      <w:r>
        <w:t>lied,</w:t>
      </w:r>
      <w:r>
        <w:rPr>
          <w:spacing w:val="26"/>
        </w:rPr>
        <w:t xml:space="preserve"> </w:t>
      </w:r>
      <w:r>
        <w:t>since</w:t>
      </w:r>
      <w:r>
        <w:rPr>
          <w:spacing w:val="26"/>
        </w:rPr>
        <w:t xml:space="preserve"> </w:t>
      </w:r>
      <w:r>
        <w:t>nobody</w:t>
      </w:r>
      <w:r>
        <w:rPr>
          <w:spacing w:val="26"/>
        </w:rPr>
        <w:t xml:space="preserve"> </w:t>
      </w:r>
      <w:r>
        <w:t>would</w:t>
      </w:r>
      <w:r>
        <w:rPr>
          <w:spacing w:val="26"/>
        </w:rPr>
        <w:t xml:space="preserve"> </w:t>
      </w:r>
      <w:r>
        <w:t>believe</w:t>
      </w:r>
      <w:r>
        <w:rPr>
          <w:spacing w:val="26"/>
        </w:rPr>
        <w:t xml:space="preserve"> </w:t>
      </w:r>
      <w:r>
        <w:t>anybody.</w:t>
      </w:r>
      <w:r>
        <w:rPr>
          <w:spacing w:val="26"/>
        </w:rPr>
        <w:t xml:space="preserve"> </w:t>
      </w:r>
      <w:r>
        <w:t>It</w:t>
      </w:r>
      <w:r>
        <w:rPr>
          <w:spacing w:val="26"/>
        </w:rPr>
        <w:t xml:space="preserve"> </w:t>
      </w:r>
      <w:r>
        <w:t>would</w:t>
      </w:r>
      <w:r>
        <w:rPr>
          <w:spacing w:val="26"/>
        </w:rPr>
        <w:t xml:space="preserve"> </w:t>
      </w:r>
      <w:r>
        <w:t>be</w:t>
      </w:r>
      <w:r>
        <w:rPr>
          <w:spacing w:val="27"/>
        </w:rPr>
        <w:t xml:space="preserve"> </w:t>
      </w:r>
      <w:r>
        <w:rPr>
          <w:spacing w:val="-2"/>
        </w:rPr>
        <w:t>pointless</w:t>
      </w:r>
    </w:p>
    <w:p w14:paraId="7E002608" w14:textId="77777777" w:rsidR="009A58DB" w:rsidRDefault="00000000">
      <w:pPr>
        <w:pStyle w:val="BodyText"/>
        <w:spacing w:line="316" w:lineRule="exact"/>
      </w:pPr>
      <w:r>
        <w:t>to</w:t>
      </w:r>
      <w:r>
        <w:rPr>
          <w:spacing w:val="22"/>
        </w:rPr>
        <w:t xml:space="preserve"> </w:t>
      </w:r>
      <w:r>
        <w:t>try</w:t>
      </w:r>
      <w:r>
        <w:rPr>
          <w:spacing w:val="23"/>
        </w:rPr>
        <w:t xml:space="preserve"> </w:t>
      </w:r>
      <w:r>
        <w:t>to</w:t>
      </w:r>
      <w:r>
        <w:rPr>
          <w:spacing w:val="23"/>
        </w:rPr>
        <w:t xml:space="preserve"> </w:t>
      </w:r>
      <w:r>
        <w:t>steal</w:t>
      </w:r>
      <w:r>
        <w:rPr>
          <w:spacing w:val="23"/>
        </w:rPr>
        <w:t xml:space="preserve"> </w:t>
      </w:r>
      <w:r>
        <w:t>in</w:t>
      </w:r>
      <w:r>
        <w:rPr>
          <w:spacing w:val="23"/>
        </w:rPr>
        <w:t xml:space="preserve"> </w:t>
      </w:r>
      <w:r>
        <w:t>a</w:t>
      </w:r>
      <w:r>
        <w:rPr>
          <w:spacing w:val="23"/>
        </w:rPr>
        <w:t xml:space="preserve"> </w:t>
      </w:r>
      <w:r>
        <w:t>world</w:t>
      </w:r>
      <w:r>
        <w:rPr>
          <w:spacing w:val="23"/>
        </w:rPr>
        <w:t xml:space="preserve"> </w:t>
      </w:r>
      <w:r>
        <w:t>where</w:t>
      </w:r>
      <w:r>
        <w:rPr>
          <w:spacing w:val="22"/>
        </w:rPr>
        <w:t xml:space="preserve"> </w:t>
      </w:r>
      <w:r>
        <w:t>everyone</w:t>
      </w:r>
      <w:r>
        <w:rPr>
          <w:spacing w:val="23"/>
        </w:rPr>
        <w:t xml:space="preserve"> </w:t>
      </w:r>
      <w:r>
        <w:t>was</w:t>
      </w:r>
      <w:r>
        <w:rPr>
          <w:spacing w:val="23"/>
        </w:rPr>
        <w:t xml:space="preserve"> </w:t>
      </w:r>
      <w:r>
        <w:t>a</w:t>
      </w:r>
      <w:r>
        <w:rPr>
          <w:spacing w:val="23"/>
        </w:rPr>
        <w:t xml:space="preserve"> </w:t>
      </w:r>
      <w:r>
        <w:t>thief,</w:t>
      </w:r>
      <w:r>
        <w:rPr>
          <w:spacing w:val="23"/>
        </w:rPr>
        <w:t xml:space="preserve"> </w:t>
      </w:r>
      <w:r>
        <w:t>since</w:t>
      </w:r>
      <w:r>
        <w:rPr>
          <w:spacing w:val="23"/>
        </w:rPr>
        <w:t xml:space="preserve"> </w:t>
      </w:r>
      <w:r>
        <w:t>everyone</w:t>
      </w:r>
      <w:r>
        <w:rPr>
          <w:spacing w:val="23"/>
        </w:rPr>
        <w:t xml:space="preserve"> </w:t>
      </w:r>
      <w:r>
        <w:rPr>
          <w:spacing w:val="-2"/>
        </w:rPr>
        <w:t>would</w:t>
      </w:r>
    </w:p>
    <w:p w14:paraId="7E002609" w14:textId="77777777" w:rsidR="009A58DB" w:rsidRDefault="00000000">
      <w:pPr>
        <w:pStyle w:val="BodyText"/>
        <w:spacing w:before="15"/>
      </w:pPr>
      <w:r>
        <w:t>go</w:t>
      </w:r>
      <w:r>
        <w:rPr>
          <w:spacing w:val="-5"/>
        </w:rPr>
        <w:t xml:space="preserve"> </w:t>
      </w:r>
      <w:r>
        <w:t>out</w:t>
      </w:r>
      <w:r>
        <w:rPr>
          <w:spacing w:val="-4"/>
        </w:rPr>
        <w:t xml:space="preserve"> </w:t>
      </w:r>
      <w:r>
        <w:t>of</w:t>
      </w:r>
      <w:r>
        <w:rPr>
          <w:spacing w:val="-4"/>
        </w:rPr>
        <w:t xml:space="preserve"> </w:t>
      </w:r>
      <w:r>
        <w:t>their</w:t>
      </w:r>
      <w:r>
        <w:rPr>
          <w:spacing w:val="-3"/>
        </w:rPr>
        <w:t xml:space="preserve"> </w:t>
      </w:r>
      <w:r>
        <w:t>way</w:t>
      </w:r>
      <w:r>
        <w:rPr>
          <w:spacing w:val="-3"/>
        </w:rPr>
        <w:t xml:space="preserve"> </w:t>
      </w:r>
      <w:r>
        <w:t>to</w:t>
      </w:r>
      <w:r>
        <w:rPr>
          <w:spacing w:val="-3"/>
        </w:rPr>
        <w:t xml:space="preserve"> </w:t>
      </w:r>
      <w:r>
        <w:t>make</w:t>
      </w:r>
      <w:r>
        <w:rPr>
          <w:spacing w:val="-3"/>
        </w:rPr>
        <w:t xml:space="preserve"> </w:t>
      </w:r>
      <w:r>
        <w:t>their</w:t>
      </w:r>
      <w:r>
        <w:rPr>
          <w:spacing w:val="-4"/>
        </w:rPr>
        <w:t xml:space="preserve"> </w:t>
      </w:r>
      <w:r>
        <w:t>possessions</w:t>
      </w:r>
      <w:r>
        <w:rPr>
          <w:spacing w:val="-4"/>
        </w:rPr>
        <w:t xml:space="preserve"> </w:t>
      </w:r>
      <w:r>
        <w:t>utterly</w:t>
      </w:r>
      <w:r>
        <w:rPr>
          <w:spacing w:val="-2"/>
        </w:rPr>
        <w:t xml:space="preserve"> </w:t>
      </w:r>
      <w:r>
        <w:t>theft-</w:t>
      </w:r>
      <w:r>
        <w:rPr>
          <w:spacing w:val="-2"/>
        </w:rPr>
        <w:t>proof.</w:t>
      </w:r>
    </w:p>
    <w:p w14:paraId="7E00260A" w14:textId="77777777" w:rsidR="009A58DB" w:rsidRDefault="009A58DB">
      <w:pPr>
        <w:pStyle w:val="BodyText"/>
        <w:sectPr w:rsidR="009A58DB">
          <w:pgSz w:w="12240" w:h="15840"/>
          <w:pgMar w:top="1740" w:right="1080" w:bottom="280" w:left="1080" w:header="720" w:footer="720" w:gutter="0"/>
          <w:cols w:space="720"/>
        </w:sectPr>
      </w:pPr>
    </w:p>
    <w:p w14:paraId="7E00260B" w14:textId="77777777" w:rsidR="009A58DB" w:rsidRDefault="00000000">
      <w:pPr>
        <w:pStyle w:val="BodyText"/>
        <w:spacing w:before="65" w:line="271" w:lineRule="auto"/>
        <w:ind w:right="364" w:firstLine="360"/>
      </w:pPr>
      <w:r>
        <w:lastRenderedPageBreak/>
        <w:t>Kant thinks that CI</w:t>
      </w:r>
      <w:r>
        <w:rPr>
          <w:vertAlign w:val="subscript"/>
        </w:rPr>
        <w:t>1</w:t>
      </w:r>
      <w:r>
        <w:t xml:space="preserve"> and CI</w:t>
      </w:r>
      <w:r>
        <w:rPr>
          <w:vertAlign w:val="subscript"/>
        </w:rPr>
        <w:t>2</w:t>
      </w:r>
      <w:r>
        <w:t xml:space="preserve"> are equivalent. An act is one of using somebody else, Kant believes, if it would be self-defeating in a world where everybody</w:t>
      </w:r>
      <w:r>
        <w:rPr>
          <w:spacing w:val="13"/>
        </w:rPr>
        <w:t xml:space="preserve"> </w:t>
      </w:r>
      <w:r>
        <w:t>acted</w:t>
      </w:r>
      <w:r>
        <w:rPr>
          <w:spacing w:val="16"/>
        </w:rPr>
        <w:t xml:space="preserve"> </w:t>
      </w:r>
      <w:r>
        <w:t>that</w:t>
      </w:r>
      <w:r>
        <w:rPr>
          <w:spacing w:val="16"/>
        </w:rPr>
        <w:t xml:space="preserve"> </w:t>
      </w:r>
      <w:r>
        <w:t>way,</w:t>
      </w:r>
      <w:r>
        <w:rPr>
          <w:spacing w:val="16"/>
        </w:rPr>
        <w:t xml:space="preserve"> </w:t>
      </w:r>
      <w:r>
        <w:t>and</w:t>
      </w:r>
      <w:r>
        <w:rPr>
          <w:spacing w:val="16"/>
        </w:rPr>
        <w:t xml:space="preserve"> </w:t>
      </w:r>
      <w:r>
        <w:t>an</w:t>
      </w:r>
      <w:r>
        <w:rPr>
          <w:spacing w:val="15"/>
        </w:rPr>
        <w:t xml:space="preserve"> </w:t>
      </w:r>
      <w:r>
        <w:t>act</w:t>
      </w:r>
      <w:r>
        <w:rPr>
          <w:spacing w:val="15"/>
        </w:rPr>
        <w:t xml:space="preserve"> </w:t>
      </w:r>
      <w:r>
        <w:t>is</w:t>
      </w:r>
      <w:r>
        <w:rPr>
          <w:spacing w:val="17"/>
        </w:rPr>
        <w:t xml:space="preserve"> </w:t>
      </w:r>
      <w:r>
        <w:t>one</w:t>
      </w:r>
      <w:r>
        <w:rPr>
          <w:spacing w:val="16"/>
        </w:rPr>
        <w:t xml:space="preserve"> </w:t>
      </w:r>
      <w:r>
        <w:t>of</w:t>
      </w:r>
      <w:r>
        <w:rPr>
          <w:spacing w:val="16"/>
        </w:rPr>
        <w:t xml:space="preserve"> </w:t>
      </w:r>
      <w:r>
        <w:rPr>
          <w:i/>
        </w:rPr>
        <w:t>not</w:t>
      </w:r>
      <w:r>
        <w:rPr>
          <w:i/>
          <w:spacing w:val="13"/>
        </w:rPr>
        <w:t xml:space="preserve"> </w:t>
      </w:r>
      <w:r>
        <w:t>using</w:t>
      </w:r>
      <w:r>
        <w:rPr>
          <w:spacing w:val="16"/>
        </w:rPr>
        <w:t xml:space="preserve"> </w:t>
      </w:r>
      <w:r>
        <w:t>somebody</w:t>
      </w:r>
      <w:r>
        <w:rPr>
          <w:spacing w:val="17"/>
        </w:rPr>
        <w:t xml:space="preserve"> </w:t>
      </w:r>
      <w:r>
        <w:t>else</w:t>
      </w:r>
      <w:r>
        <w:rPr>
          <w:spacing w:val="16"/>
        </w:rPr>
        <w:t xml:space="preserve"> </w:t>
      </w:r>
      <w:r>
        <w:t>if</w:t>
      </w:r>
      <w:r>
        <w:rPr>
          <w:spacing w:val="17"/>
        </w:rPr>
        <w:t xml:space="preserve"> </w:t>
      </w:r>
      <w:r>
        <w:rPr>
          <w:spacing w:val="-5"/>
        </w:rPr>
        <w:t>it</w:t>
      </w:r>
    </w:p>
    <w:p w14:paraId="7E00260C" w14:textId="77777777" w:rsidR="009A58DB" w:rsidRDefault="00000000">
      <w:pPr>
        <w:pStyle w:val="BodyText"/>
        <w:spacing w:line="316" w:lineRule="exact"/>
      </w:pPr>
      <w:r>
        <w:t>wouldn’t</w:t>
      </w:r>
      <w:r>
        <w:rPr>
          <w:spacing w:val="-4"/>
        </w:rPr>
        <w:t xml:space="preserve"> </w:t>
      </w:r>
      <w:r>
        <w:t>be</w:t>
      </w:r>
      <w:r>
        <w:rPr>
          <w:spacing w:val="-4"/>
        </w:rPr>
        <w:t xml:space="preserve"> </w:t>
      </w:r>
      <w:r>
        <w:t>self-defeating</w:t>
      </w:r>
      <w:r>
        <w:rPr>
          <w:spacing w:val="-3"/>
        </w:rPr>
        <w:t xml:space="preserve"> </w:t>
      </w:r>
      <w:r>
        <w:t>in</w:t>
      </w:r>
      <w:r>
        <w:rPr>
          <w:spacing w:val="-3"/>
        </w:rPr>
        <w:t xml:space="preserve"> </w:t>
      </w:r>
      <w:r>
        <w:t>such</w:t>
      </w:r>
      <w:r>
        <w:rPr>
          <w:spacing w:val="-3"/>
        </w:rPr>
        <w:t xml:space="preserve"> </w:t>
      </w:r>
      <w:r>
        <w:t>a</w:t>
      </w:r>
      <w:r>
        <w:rPr>
          <w:spacing w:val="-3"/>
        </w:rPr>
        <w:t xml:space="preserve"> </w:t>
      </w:r>
      <w:r>
        <w:rPr>
          <w:spacing w:val="-2"/>
        </w:rPr>
        <w:t>world.</w:t>
      </w:r>
    </w:p>
    <w:p w14:paraId="7E00260D" w14:textId="77777777" w:rsidR="009A58DB" w:rsidRDefault="00000000">
      <w:pPr>
        <w:pStyle w:val="BodyText"/>
        <w:spacing w:before="15" w:line="249" w:lineRule="auto"/>
        <w:ind w:right="362" w:firstLine="360"/>
      </w:pPr>
      <w:r>
        <w:t>One can see why one would think this. In a world where everyone was constantly trying to con (or otherwise use) everyone, everyone would be on their guard, making it impossible, so one might infer, for anyone to con (or otherwise use) anyone.</w:t>
      </w:r>
    </w:p>
    <w:p w14:paraId="7E00260E" w14:textId="77777777" w:rsidR="009A58DB" w:rsidRDefault="00000000">
      <w:pPr>
        <w:pStyle w:val="BodyText"/>
        <w:spacing w:before="5" w:line="271" w:lineRule="auto"/>
        <w:ind w:right="366" w:firstLine="360"/>
      </w:pPr>
      <w:r>
        <w:t>But</w:t>
      </w:r>
      <w:r>
        <w:rPr>
          <w:spacing w:val="-1"/>
        </w:rPr>
        <w:t xml:space="preserve"> </w:t>
      </w:r>
      <w:r>
        <w:t>CI</w:t>
      </w:r>
      <w:r>
        <w:rPr>
          <w:vertAlign w:val="subscript"/>
        </w:rPr>
        <w:t>1</w:t>
      </w:r>
      <w:r>
        <w:t xml:space="preserve"> and CI</w:t>
      </w:r>
      <w:r>
        <w:rPr>
          <w:vertAlign w:val="subscript"/>
        </w:rPr>
        <w:t>2</w:t>
      </w:r>
      <w:r>
        <w:t xml:space="preserve"> are not equivalent. First of all, people </w:t>
      </w:r>
      <w:r>
        <w:rPr>
          <w:i/>
        </w:rPr>
        <w:t xml:space="preserve">could </w:t>
      </w:r>
      <w:r>
        <w:t>use people in a world where everybody was a user. In a world of con-men, the smart con-men could con the not so smart con-men.</w:t>
      </w:r>
    </w:p>
    <w:p w14:paraId="7E00260F" w14:textId="77777777" w:rsidR="009A58DB" w:rsidRDefault="00000000">
      <w:pPr>
        <w:pStyle w:val="BodyText"/>
        <w:spacing w:line="316" w:lineRule="exact"/>
        <w:ind w:left="720"/>
      </w:pPr>
      <w:r>
        <w:t>In</w:t>
      </w:r>
      <w:r>
        <w:rPr>
          <w:spacing w:val="8"/>
        </w:rPr>
        <w:t xml:space="preserve"> </w:t>
      </w:r>
      <w:r>
        <w:t>addition</w:t>
      </w:r>
      <w:r>
        <w:rPr>
          <w:spacing w:val="9"/>
        </w:rPr>
        <w:t xml:space="preserve"> </w:t>
      </w:r>
      <w:r>
        <w:t>to</w:t>
      </w:r>
      <w:r>
        <w:rPr>
          <w:spacing w:val="10"/>
        </w:rPr>
        <w:t xml:space="preserve"> </w:t>
      </w:r>
      <w:r>
        <w:t>showing</w:t>
      </w:r>
      <w:r>
        <w:rPr>
          <w:spacing w:val="9"/>
        </w:rPr>
        <w:t xml:space="preserve"> </w:t>
      </w:r>
      <w:r>
        <w:t>that</w:t>
      </w:r>
      <w:r>
        <w:rPr>
          <w:spacing w:val="10"/>
        </w:rPr>
        <w:t xml:space="preserve"> </w:t>
      </w:r>
      <w:r>
        <w:t>CI</w:t>
      </w:r>
      <w:r>
        <w:rPr>
          <w:vertAlign w:val="subscript"/>
        </w:rPr>
        <w:t>1</w:t>
      </w:r>
      <w:r>
        <w:rPr>
          <w:spacing w:val="8"/>
        </w:rPr>
        <w:t xml:space="preserve"> </w:t>
      </w:r>
      <w:r>
        <w:t>and</w:t>
      </w:r>
      <w:r>
        <w:rPr>
          <w:spacing w:val="8"/>
        </w:rPr>
        <w:t xml:space="preserve"> </w:t>
      </w:r>
      <w:r>
        <w:t>CI</w:t>
      </w:r>
      <w:r>
        <w:rPr>
          <w:vertAlign w:val="subscript"/>
        </w:rPr>
        <w:t>2</w:t>
      </w:r>
      <w:r>
        <w:rPr>
          <w:spacing w:val="10"/>
        </w:rPr>
        <w:t xml:space="preserve"> </w:t>
      </w:r>
      <w:r>
        <w:t>are</w:t>
      </w:r>
      <w:r>
        <w:rPr>
          <w:spacing w:val="11"/>
        </w:rPr>
        <w:t xml:space="preserve"> </w:t>
      </w:r>
      <w:r>
        <w:t>not</w:t>
      </w:r>
      <w:r>
        <w:rPr>
          <w:spacing w:val="10"/>
        </w:rPr>
        <w:t xml:space="preserve"> </w:t>
      </w:r>
      <w:r>
        <w:t>equivalent,</w:t>
      </w:r>
      <w:r>
        <w:rPr>
          <w:spacing w:val="10"/>
        </w:rPr>
        <w:t xml:space="preserve"> </w:t>
      </w:r>
      <w:r>
        <w:t>this</w:t>
      </w:r>
      <w:r>
        <w:rPr>
          <w:spacing w:val="10"/>
        </w:rPr>
        <w:t xml:space="preserve"> </w:t>
      </w:r>
      <w:r>
        <w:t>shows</w:t>
      </w:r>
      <w:r>
        <w:rPr>
          <w:spacing w:val="11"/>
        </w:rPr>
        <w:t xml:space="preserve"> </w:t>
      </w:r>
      <w:r>
        <w:rPr>
          <w:spacing w:val="-4"/>
        </w:rPr>
        <w:t>that</w:t>
      </w:r>
    </w:p>
    <w:p w14:paraId="7E002610" w14:textId="77777777" w:rsidR="009A58DB" w:rsidRDefault="00000000">
      <w:pPr>
        <w:pStyle w:val="BodyText"/>
        <w:spacing w:before="75" w:line="271" w:lineRule="auto"/>
        <w:ind w:right="360"/>
      </w:pPr>
      <w:r>
        <w:t>CI</w:t>
      </w:r>
      <w:r>
        <w:rPr>
          <w:vertAlign w:val="subscript"/>
        </w:rPr>
        <w:t>1</w:t>
      </w:r>
      <w:r>
        <w:t xml:space="preserve"> is wrong. Though obviously morally bad, acts of con-artistry wouldn’t necessarily be self-defeating in a world of con-artists. By the same token, there</w:t>
      </w:r>
      <w:r>
        <w:rPr>
          <w:spacing w:val="67"/>
        </w:rPr>
        <w:t xml:space="preserve"> </w:t>
      </w:r>
      <w:r>
        <w:t>are</w:t>
      </w:r>
      <w:r>
        <w:rPr>
          <w:spacing w:val="68"/>
        </w:rPr>
        <w:t xml:space="preserve"> </w:t>
      </w:r>
      <w:r>
        <w:t>morally</w:t>
      </w:r>
      <w:r>
        <w:rPr>
          <w:spacing w:val="68"/>
        </w:rPr>
        <w:t xml:space="preserve"> </w:t>
      </w:r>
      <w:r>
        <w:t>good</w:t>
      </w:r>
      <w:r>
        <w:rPr>
          <w:spacing w:val="69"/>
        </w:rPr>
        <w:t xml:space="preserve"> </w:t>
      </w:r>
      <w:r>
        <w:t>forms</w:t>
      </w:r>
      <w:r>
        <w:rPr>
          <w:spacing w:val="68"/>
        </w:rPr>
        <w:t xml:space="preserve"> </w:t>
      </w:r>
      <w:r>
        <w:t>of</w:t>
      </w:r>
      <w:r>
        <w:rPr>
          <w:spacing w:val="68"/>
        </w:rPr>
        <w:t xml:space="preserve"> </w:t>
      </w:r>
      <w:r>
        <w:t>conduct</w:t>
      </w:r>
      <w:r>
        <w:rPr>
          <w:spacing w:val="68"/>
        </w:rPr>
        <w:t xml:space="preserve"> </w:t>
      </w:r>
      <w:r>
        <w:t>that,</w:t>
      </w:r>
      <w:r>
        <w:rPr>
          <w:spacing w:val="69"/>
        </w:rPr>
        <w:t xml:space="preserve"> </w:t>
      </w:r>
      <w:r>
        <w:t>if</w:t>
      </w:r>
      <w:r>
        <w:rPr>
          <w:spacing w:val="68"/>
        </w:rPr>
        <w:t xml:space="preserve"> </w:t>
      </w:r>
      <w:r>
        <w:t>engaged</w:t>
      </w:r>
      <w:r>
        <w:rPr>
          <w:spacing w:val="69"/>
        </w:rPr>
        <w:t xml:space="preserve"> </w:t>
      </w:r>
      <w:r>
        <w:t>in</w:t>
      </w:r>
      <w:r>
        <w:rPr>
          <w:spacing w:val="69"/>
        </w:rPr>
        <w:t xml:space="preserve"> </w:t>
      </w:r>
      <w:r>
        <w:rPr>
          <w:spacing w:val="-2"/>
        </w:rPr>
        <w:t>universally,</w:t>
      </w:r>
    </w:p>
    <w:p w14:paraId="7E002611" w14:textId="77777777" w:rsidR="009A58DB" w:rsidRDefault="00000000">
      <w:pPr>
        <w:pStyle w:val="BodyText"/>
        <w:spacing w:line="316" w:lineRule="exact"/>
      </w:pPr>
      <w:r>
        <w:t>couldn’t</w:t>
      </w:r>
      <w:r>
        <w:rPr>
          <w:spacing w:val="-3"/>
        </w:rPr>
        <w:t xml:space="preserve"> </w:t>
      </w:r>
      <w:r>
        <w:t>be</w:t>
      </w:r>
      <w:r>
        <w:rPr>
          <w:spacing w:val="-3"/>
        </w:rPr>
        <w:t xml:space="preserve"> </w:t>
      </w:r>
      <w:r>
        <w:t>successfully</w:t>
      </w:r>
      <w:r>
        <w:rPr>
          <w:spacing w:val="-2"/>
        </w:rPr>
        <w:t xml:space="preserve"> </w:t>
      </w:r>
      <w:r>
        <w:t>carried</w:t>
      </w:r>
      <w:r>
        <w:rPr>
          <w:spacing w:val="-3"/>
        </w:rPr>
        <w:t xml:space="preserve"> </w:t>
      </w:r>
      <w:r>
        <w:t>out.</w:t>
      </w:r>
      <w:r>
        <w:rPr>
          <w:spacing w:val="-2"/>
        </w:rPr>
        <w:t xml:space="preserve"> </w:t>
      </w:r>
      <w:r>
        <w:t>Physicians</w:t>
      </w:r>
      <w:r>
        <w:rPr>
          <w:spacing w:val="-3"/>
        </w:rPr>
        <w:t xml:space="preserve"> </w:t>
      </w:r>
      <w:r>
        <w:t>heal</w:t>
      </w:r>
      <w:r>
        <w:rPr>
          <w:spacing w:val="-3"/>
        </w:rPr>
        <w:t xml:space="preserve"> </w:t>
      </w:r>
      <w:r>
        <w:t>people;</w:t>
      </w:r>
      <w:r>
        <w:rPr>
          <w:spacing w:val="-2"/>
        </w:rPr>
        <w:t xml:space="preserve"> </w:t>
      </w:r>
      <w:r>
        <w:t>healing</w:t>
      </w:r>
      <w:r>
        <w:rPr>
          <w:spacing w:val="-3"/>
        </w:rPr>
        <w:t xml:space="preserve"> </w:t>
      </w:r>
      <w:r>
        <w:t>people</w:t>
      </w:r>
      <w:r>
        <w:rPr>
          <w:spacing w:val="-2"/>
        </w:rPr>
        <w:t xml:space="preserve"> </w:t>
      </w:r>
      <w:r>
        <w:rPr>
          <w:spacing w:val="-5"/>
        </w:rPr>
        <w:t>is</w:t>
      </w:r>
    </w:p>
    <w:p w14:paraId="7E002612" w14:textId="77777777" w:rsidR="009A58DB" w:rsidRDefault="00000000">
      <w:pPr>
        <w:pStyle w:val="BodyText"/>
        <w:spacing w:before="15" w:line="249" w:lineRule="auto"/>
        <w:ind w:right="369"/>
      </w:pPr>
      <w:r>
        <w:t>good. But nobody could successfully practice medicine in a world of physicians. Who would grow crops, build roads, enforce the law, and so on?</w:t>
      </w:r>
    </w:p>
    <w:p w14:paraId="7E002613" w14:textId="77777777" w:rsidR="009A58DB" w:rsidRDefault="00000000">
      <w:pPr>
        <w:pStyle w:val="Heading1"/>
        <w:numPr>
          <w:ilvl w:val="1"/>
          <w:numId w:val="53"/>
        </w:numPr>
        <w:tabs>
          <w:tab w:val="left" w:pos="1597"/>
        </w:tabs>
        <w:spacing w:before="190" w:line="244" w:lineRule="auto"/>
        <w:ind w:left="360" w:right="370" w:firstLine="0"/>
      </w:pPr>
      <w:r>
        <w:t>The fallacy embodied in Kant’s search for a categorical imperative</w:t>
      </w:r>
    </w:p>
    <w:p w14:paraId="7E002614" w14:textId="77777777" w:rsidR="009A58DB" w:rsidRDefault="00000000">
      <w:pPr>
        <w:pStyle w:val="BodyText"/>
        <w:spacing w:before="132" w:line="249" w:lineRule="auto"/>
        <w:ind w:right="367"/>
      </w:pPr>
      <w:r>
        <w:t>A story will expose a confusion that vitiates Kant’s ethical system. You are friends with Smith. Smith has money. You don’t.</w:t>
      </w:r>
    </w:p>
    <w:p w14:paraId="7E002615" w14:textId="77777777" w:rsidR="009A58DB" w:rsidRDefault="00000000">
      <w:pPr>
        <w:pStyle w:val="BodyText"/>
        <w:spacing w:before="2" w:line="249" w:lineRule="auto"/>
        <w:ind w:right="356" w:firstLine="360"/>
      </w:pPr>
      <w:r>
        <w:t xml:space="preserve">Your children need medication. If they don’t get it right away, they’ll die. </w:t>
      </w:r>
      <w:r>
        <w:rPr>
          <w:spacing w:val="-4"/>
        </w:rPr>
        <w:t>Smith</w:t>
      </w:r>
      <w:r>
        <w:rPr>
          <w:spacing w:val="-13"/>
        </w:rPr>
        <w:t xml:space="preserve"> </w:t>
      </w:r>
      <w:r>
        <w:rPr>
          <w:spacing w:val="-4"/>
        </w:rPr>
        <w:t>is</w:t>
      </w:r>
      <w:r>
        <w:rPr>
          <w:spacing w:val="-13"/>
        </w:rPr>
        <w:t xml:space="preserve"> </w:t>
      </w:r>
      <w:r>
        <w:rPr>
          <w:spacing w:val="-4"/>
        </w:rPr>
        <w:t>a</w:t>
      </w:r>
      <w:r>
        <w:rPr>
          <w:spacing w:val="-13"/>
        </w:rPr>
        <w:t xml:space="preserve"> </w:t>
      </w:r>
      <w:r>
        <w:rPr>
          <w:spacing w:val="-4"/>
        </w:rPr>
        <w:t>genuinely</w:t>
      </w:r>
      <w:r>
        <w:rPr>
          <w:spacing w:val="-13"/>
        </w:rPr>
        <w:t xml:space="preserve"> </w:t>
      </w:r>
      <w:r>
        <w:rPr>
          <w:spacing w:val="-4"/>
        </w:rPr>
        <w:t>well</w:t>
      </w:r>
      <w:r>
        <w:rPr>
          <w:spacing w:val="-13"/>
        </w:rPr>
        <w:t xml:space="preserve"> </w:t>
      </w:r>
      <w:r>
        <w:rPr>
          <w:spacing w:val="-4"/>
        </w:rPr>
        <w:t>meaning</w:t>
      </w:r>
      <w:r>
        <w:rPr>
          <w:spacing w:val="-12"/>
        </w:rPr>
        <w:t xml:space="preserve"> </w:t>
      </w:r>
      <w:r>
        <w:rPr>
          <w:spacing w:val="-4"/>
        </w:rPr>
        <w:t>person</w:t>
      </w:r>
      <w:r>
        <w:rPr>
          <w:spacing w:val="-12"/>
        </w:rPr>
        <w:t xml:space="preserve"> </w:t>
      </w:r>
      <w:r>
        <w:rPr>
          <w:spacing w:val="-4"/>
        </w:rPr>
        <w:t>who</w:t>
      </w:r>
      <w:r>
        <w:rPr>
          <w:spacing w:val="-12"/>
        </w:rPr>
        <w:t xml:space="preserve"> </w:t>
      </w:r>
      <w:r>
        <w:rPr>
          <w:spacing w:val="-4"/>
        </w:rPr>
        <w:t>doesn’t</w:t>
      </w:r>
      <w:r>
        <w:rPr>
          <w:spacing w:val="-12"/>
        </w:rPr>
        <w:t xml:space="preserve"> </w:t>
      </w:r>
      <w:r>
        <w:rPr>
          <w:spacing w:val="-4"/>
        </w:rPr>
        <w:t>want</w:t>
      </w:r>
      <w:r>
        <w:rPr>
          <w:spacing w:val="-12"/>
        </w:rPr>
        <w:t xml:space="preserve"> </w:t>
      </w:r>
      <w:r>
        <w:rPr>
          <w:spacing w:val="-4"/>
        </w:rPr>
        <w:t>your</w:t>
      </w:r>
      <w:r>
        <w:rPr>
          <w:spacing w:val="-12"/>
        </w:rPr>
        <w:t xml:space="preserve"> </w:t>
      </w:r>
      <w:r>
        <w:rPr>
          <w:spacing w:val="-4"/>
        </w:rPr>
        <w:t>children</w:t>
      </w:r>
      <w:r>
        <w:rPr>
          <w:spacing w:val="-12"/>
        </w:rPr>
        <w:t xml:space="preserve"> </w:t>
      </w:r>
      <w:r>
        <w:rPr>
          <w:spacing w:val="-4"/>
        </w:rPr>
        <w:t>to</w:t>
      </w:r>
      <w:r>
        <w:rPr>
          <w:spacing w:val="-12"/>
        </w:rPr>
        <w:t xml:space="preserve"> </w:t>
      </w:r>
      <w:r>
        <w:rPr>
          <w:spacing w:val="-4"/>
        </w:rPr>
        <w:t xml:space="preserve">die. </w:t>
      </w:r>
      <w:r>
        <w:t>But (for some reason or other) it’s impossible for him to lend you the money. The only way for you to get it is to steal it from him.</w:t>
      </w:r>
      <w:r>
        <w:rPr>
          <w:spacing w:val="40"/>
        </w:rPr>
        <w:t xml:space="preserve"> </w:t>
      </w:r>
      <w:r>
        <w:t xml:space="preserve">There truly are no other </w:t>
      </w:r>
      <w:r>
        <w:rPr>
          <w:spacing w:val="-2"/>
        </w:rPr>
        <w:t>alter</w:t>
      </w:r>
    </w:p>
    <w:p w14:paraId="7E00261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17" w14:textId="77777777" w:rsidR="009A58DB" w:rsidRDefault="00000000">
      <w:pPr>
        <w:pStyle w:val="BodyText"/>
        <w:spacing w:before="65" w:line="249" w:lineRule="auto"/>
        <w:ind w:right="360"/>
      </w:pPr>
      <w:r>
        <w:lastRenderedPageBreak/>
        <w:t>natives. You have exactly two choices: (1) Steal from Smith. (2) Let your children die. You choose to steal from Smith. The result: your children live, and Smith is bankrupt. You obviously did the right thing. Lost money can be regained. Lost life cannot. You don’t regret making this choice. But you do regret</w:t>
      </w:r>
      <w:r>
        <w:rPr>
          <w:spacing w:val="-3"/>
        </w:rPr>
        <w:t xml:space="preserve"> </w:t>
      </w:r>
      <w:r>
        <w:rPr>
          <w:i/>
        </w:rPr>
        <w:t>having</w:t>
      </w:r>
      <w:r>
        <w:rPr>
          <w:i/>
          <w:spacing w:val="-2"/>
        </w:rPr>
        <w:t xml:space="preserve"> </w:t>
      </w:r>
      <w:r>
        <w:t>to make it. Smith is a good guy, and you really wish you hadn’t had to steal from him.</w:t>
      </w:r>
    </w:p>
    <w:p w14:paraId="7E002618" w14:textId="77777777" w:rsidR="009A58DB" w:rsidRDefault="00000000">
      <w:pPr>
        <w:pStyle w:val="BodyText"/>
        <w:spacing w:before="7" w:line="249" w:lineRule="auto"/>
        <w:ind w:right="358" w:firstLine="360"/>
      </w:pPr>
      <w:r>
        <w:t>Does this scenario show that there are exceptions to the principles that stealing is wrong? No.</w:t>
      </w:r>
      <w:bookmarkStart w:id="522" w:name="_bookmark522"/>
      <w:bookmarkEnd w:id="522"/>
      <w:r>
        <w:rPr>
          <w:color w:val="0562C1"/>
          <w:position w:val="21"/>
          <w:u w:val="single" w:color="0562C1"/>
        </w:rPr>
        <w:t>[390]</w:t>
      </w:r>
      <w:r>
        <w:rPr>
          <w:color w:val="0562C1"/>
          <w:position w:val="21"/>
        </w:rPr>
        <w:t xml:space="preserve"> </w:t>
      </w:r>
      <w:r>
        <w:t>Stealing from Smith is the lesser of two evils.</w:t>
      </w:r>
      <w:r>
        <w:rPr>
          <w:spacing w:val="40"/>
        </w:rPr>
        <w:t xml:space="preserve"> </w:t>
      </w:r>
      <w:r>
        <w:t xml:space="preserve">It’s obvious that, under the circumstances, the </w:t>
      </w:r>
      <w:r>
        <w:rPr>
          <w:i/>
        </w:rPr>
        <w:t xml:space="preserve">right </w:t>
      </w:r>
      <w:r>
        <w:t xml:space="preserve">thing to do was to steal the money. But in some cases the “right” thing to do is merely the </w:t>
      </w:r>
      <w:r>
        <w:rPr>
          <w:i/>
        </w:rPr>
        <w:t>least</w:t>
      </w:r>
      <w:r>
        <w:rPr>
          <w:i/>
          <w:spacing w:val="40"/>
        </w:rPr>
        <w:t xml:space="preserve"> </w:t>
      </w:r>
      <w:r>
        <w:rPr>
          <w:i/>
        </w:rPr>
        <w:t xml:space="preserve">wrong </w:t>
      </w:r>
      <w:r>
        <w:t>thing to do; and this is one of those cases.</w:t>
      </w:r>
    </w:p>
    <w:p w14:paraId="7E002619" w14:textId="77777777" w:rsidR="009A58DB" w:rsidRDefault="00000000">
      <w:pPr>
        <w:pStyle w:val="BodyText"/>
        <w:spacing w:before="6" w:line="249" w:lineRule="auto"/>
        <w:ind w:right="358" w:firstLine="360"/>
      </w:pPr>
      <w:r>
        <w:t xml:space="preserve">Thus, the principle that stealing is wrong </w:t>
      </w:r>
      <w:r>
        <w:rPr>
          <w:i/>
        </w:rPr>
        <w:t>does</w:t>
      </w:r>
      <w:r>
        <w:rPr>
          <w:i/>
          <w:spacing w:val="-3"/>
        </w:rPr>
        <w:t xml:space="preserve"> </w:t>
      </w:r>
      <w:r>
        <w:t xml:space="preserve">hold categorically. But this doesn’t mean that you should never steal. What it means is that, although you have an obligation—a </w:t>
      </w:r>
      <w:r>
        <w:rPr>
          <w:i/>
        </w:rPr>
        <w:t>categorical</w:t>
      </w:r>
      <w:r>
        <w:rPr>
          <w:i/>
          <w:spacing w:val="-4"/>
        </w:rPr>
        <w:t xml:space="preserve"> </w:t>
      </w:r>
      <w:r>
        <w:t xml:space="preserve">obligation—not to steal, you have an even </w:t>
      </w:r>
      <w:r>
        <w:rPr>
          <w:i/>
        </w:rPr>
        <w:t>stronger</w:t>
      </w:r>
      <w:r>
        <w:rPr>
          <w:i/>
          <w:spacing w:val="-4"/>
        </w:rPr>
        <w:t xml:space="preserve"> </w:t>
      </w:r>
      <w:r>
        <w:t>obligation</w:t>
      </w:r>
      <w:r>
        <w:rPr>
          <w:spacing w:val="-1"/>
        </w:rPr>
        <w:t xml:space="preserve"> </w:t>
      </w:r>
      <w:r>
        <w:t>not</w:t>
      </w:r>
      <w:r>
        <w:rPr>
          <w:spacing w:val="-1"/>
        </w:rPr>
        <w:t xml:space="preserve"> </w:t>
      </w:r>
      <w:r>
        <w:t>to let</w:t>
      </w:r>
      <w:r>
        <w:rPr>
          <w:spacing w:val="-1"/>
        </w:rPr>
        <w:t xml:space="preserve"> </w:t>
      </w:r>
      <w:r>
        <w:t>your</w:t>
      </w:r>
      <w:r>
        <w:rPr>
          <w:spacing w:val="-1"/>
        </w:rPr>
        <w:t xml:space="preserve"> </w:t>
      </w:r>
      <w:r>
        <w:t>children</w:t>
      </w:r>
      <w:r>
        <w:rPr>
          <w:spacing w:val="-1"/>
        </w:rPr>
        <w:t xml:space="preserve"> </w:t>
      </w:r>
      <w:r>
        <w:t>die. A</w:t>
      </w:r>
      <w:r>
        <w:rPr>
          <w:spacing w:val="-1"/>
        </w:rPr>
        <w:t xml:space="preserve"> </w:t>
      </w:r>
      <w:r>
        <w:t>moral</w:t>
      </w:r>
      <w:r>
        <w:rPr>
          <w:spacing w:val="-1"/>
        </w:rPr>
        <w:t xml:space="preserve"> </w:t>
      </w:r>
      <w:r>
        <w:t>principle outweighed is not a moral principle extinguished. There are many categorical moral obligations. Lying, cheating, stealing, manipulating, wounding—these are all bad things. They are things that are categorically bad. But oftentimes these bad things are the lesser of two evils. Torture is wrong. But it’s more wrong to allow a nuclear device to be detonated in the middle of a city. The circumstances being what they are, torturing one person may be far less wrong than the alternative (namely, letting many innocents die).</w:t>
      </w:r>
    </w:p>
    <w:p w14:paraId="7E00261A" w14:textId="77777777" w:rsidR="009A58DB" w:rsidRDefault="00000000">
      <w:pPr>
        <w:pStyle w:val="BodyText"/>
        <w:spacing w:before="14" w:line="249" w:lineRule="auto"/>
        <w:ind w:right="362" w:firstLine="360"/>
        <w:rPr>
          <w:i/>
        </w:rPr>
      </w:pPr>
      <w:r>
        <w:t xml:space="preserve">Suppose that, by virtue of the fact that you </w:t>
      </w:r>
      <w:r>
        <w:rPr>
          <w:i/>
        </w:rPr>
        <w:t>had</w:t>
      </w:r>
      <w:r>
        <w:rPr>
          <w:i/>
          <w:spacing w:val="-2"/>
        </w:rPr>
        <w:t xml:space="preserve"> </w:t>
      </w:r>
      <w:r>
        <w:t xml:space="preserve">to steal from Smith to save your children, you ceased to have </w:t>
      </w:r>
      <w:r>
        <w:rPr>
          <w:i/>
        </w:rPr>
        <w:t xml:space="preserve">any </w:t>
      </w:r>
      <w:r>
        <w:t>obligation not to steal from Smith. In that</w:t>
      </w:r>
      <w:r>
        <w:rPr>
          <w:spacing w:val="-1"/>
        </w:rPr>
        <w:t xml:space="preserve"> </w:t>
      </w:r>
      <w:r>
        <w:t>case, any remorse you</w:t>
      </w:r>
      <w:r>
        <w:rPr>
          <w:spacing w:val="-1"/>
        </w:rPr>
        <w:t xml:space="preserve"> </w:t>
      </w:r>
      <w:r>
        <w:t>felt</w:t>
      </w:r>
      <w:r>
        <w:rPr>
          <w:spacing w:val="-1"/>
        </w:rPr>
        <w:t xml:space="preserve"> </w:t>
      </w:r>
      <w:r>
        <w:t>as a result</w:t>
      </w:r>
      <w:r>
        <w:rPr>
          <w:spacing w:val="-1"/>
        </w:rPr>
        <w:t xml:space="preserve"> </w:t>
      </w:r>
      <w:r>
        <w:t>of</w:t>
      </w:r>
      <w:r>
        <w:rPr>
          <w:spacing w:val="-1"/>
        </w:rPr>
        <w:t xml:space="preserve"> </w:t>
      </w:r>
      <w:r>
        <w:t>stealing</w:t>
      </w:r>
      <w:r>
        <w:rPr>
          <w:spacing w:val="-1"/>
        </w:rPr>
        <w:t xml:space="preserve"> </w:t>
      </w:r>
      <w:r>
        <w:t>from</w:t>
      </w:r>
      <w:r>
        <w:rPr>
          <w:spacing w:val="-1"/>
        </w:rPr>
        <w:t xml:space="preserve"> </w:t>
      </w:r>
      <w:r>
        <w:t>him</w:t>
      </w:r>
      <w:r>
        <w:rPr>
          <w:spacing w:val="-1"/>
        </w:rPr>
        <w:t xml:space="preserve"> </w:t>
      </w:r>
      <w:r>
        <w:t xml:space="preserve">would have no objective basis. It would be the emotional counterpart of a hallucination. But, under the circumstances, it would be monstrous of you to feel </w:t>
      </w:r>
      <w:r>
        <w:rPr>
          <w:i/>
        </w:rPr>
        <w:t xml:space="preserve">no </w:t>
      </w:r>
      <w:r>
        <w:t xml:space="preserve">remorse at stealing from Smith. Of course, your choosing </w:t>
      </w:r>
      <w:r>
        <w:rPr>
          <w:i/>
        </w:rPr>
        <w:t xml:space="preserve">not </w:t>
      </w:r>
      <w:r>
        <w:t xml:space="preserve">to steal from him would have been far more monstrous, that being why, under the circumstances, the right thing to do was to steal. That said, it’s appropriate that you feel </w:t>
      </w:r>
      <w:r>
        <w:rPr>
          <w:i/>
        </w:rPr>
        <w:t xml:space="preserve">some </w:t>
      </w:r>
      <w:r>
        <w:t xml:space="preserve">remorse at having depleted Smith’s lifesavings. The reason for this is that, even though your obligation to save your children was far stronger than your obligation not to steal from Smith, the latter obligation did not cease to exist. It was merely outweighed. This suggests that the obligation not to steal </w:t>
      </w:r>
      <w:r>
        <w:rPr>
          <w:i/>
        </w:rPr>
        <w:t>does</w:t>
      </w:r>
    </w:p>
    <w:p w14:paraId="7E00261B" w14:textId="77777777" w:rsidR="009A58DB" w:rsidRDefault="009A58DB">
      <w:pPr>
        <w:pStyle w:val="BodyText"/>
        <w:spacing w:line="249" w:lineRule="auto"/>
        <w:rPr>
          <w:i/>
        </w:rPr>
        <w:sectPr w:rsidR="009A58DB">
          <w:pgSz w:w="12240" w:h="15840"/>
          <w:pgMar w:top="1740" w:right="1080" w:bottom="280" w:left="1080" w:header="720" w:footer="720" w:gutter="0"/>
          <w:cols w:space="720"/>
        </w:sectPr>
      </w:pPr>
    </w:p>
    <w:p w14:paraId="7E00261C" w14:textId="77777777" w:rsidR="009A58DB" w:rsidRDefault="00000000">
      <w:pPr>
        <w:pStyle w:val="BodyText"/>
        <w:spacing w:before="65" w:line="249" w:lineRule="auto"/>
        <w:ind w:right="360"/>
      </w:pPr>
      <w:r>
        <w:lastRenderedPageBreak/>
        <w:t xml:space="preserve">hold categorically. In contexts where it appears not to hold, it </w:t>
      </w:r>
      <w:r>
        <w:rPr>
          <w:i/>
        </w:rPr>
        <w:t xml:space="preserve">does </w:t>
      </w:r>
      <w:r>
        <w:t>hold, but is outweighed by some other, stronger obligation. Presumably, the obligation not to kill innocent people is one that holds categorically, even though there are circumstances (e.g., ones where, in order to save a hundred innocent people, one must kill two innocent people) where it can be overridden.</w:t>
      </w:r>
    </w:p>
    <w:p w14:paraId="7E00261D" w14:textId="77777777" w:rsidR="009A58DB" w:rsidRDefault="00000000">
      <w:pPr>
        <w:pStyle w:val="BodyText"/>
        <w:spacing w:before="6" w:line="249" w:lineRule="auto"/>
        <w:ind w:right="365" w:firstLine="360"/>
      </w:pPr>
      <w:r>
        <w:t xml:space="preserve">Bearing these points in mind, let’s reconsider Kant’s two categorical </w:t>
      </w:r>
      <w:r>
        <w:rPr>
          <w:spacing w:val="-2"/>
        </w:rPr>
        <w:t>imperatives:</w:t>
      </w:r>
    </w:p>
    <w:p w14:paraId="7E00261E" w14:textId="77777777" w:rsidR="009A58DB" w:rsidRDefault="009A58DB">
      <w:pPr>
        <w:pStyle w:val="BodyText"/>
        <w:spacing w:before="17"/>
        <w:ind w:left="0"/>
        <w:jc w:val="left"/>
      </w:pPr>
    </w:p>
    <w:p w14:paraId="7E00261F" w14:textId="77777777" w:rsidR="009A58DB" w:rsidRDefault="00000000">
      <w:pPr>
        <w:pStyle w:val="BodyText"/>
        <w:spacing w:line="292" w:lineRule="auto"/>
        <w:jc w:val="left"/>
      </w:pPr>
      <w:r>
        <w:t>(CI</w:t>
      </w:r>
      <w:r>
        <w:rPr>
          <w:vertAlign w:val="subscript"/>
        </w:rPr>
        <w:t>1</w:t>
      </w:r>
      <w:r>
        <w:t>)</w:t>
      </w:r>
      <w:r>
        <w:rPr>
          <w:spacing w:val="80"/>
        </w:rPr>
        <w:t xml:space="preserve"> </w:t>
      </w:r>
      <w:r>
        <w:t>Never</w:t>
      </w:r>
      <w:r>
        <w:rPr>
          <w:spacing w:val="80"/>
        </w:rPr>
        <w:t xml:space="preserve"> </w:t>
      </w:r>
      <w:r>
        <w:t>commit</w:t>
      </w:r>
      <w:r>
        <w:rPr>
          <w:spacing w:val="80"/>
        </w:rPr>
        <w:t xml:space="preserve"> </w:t>
      </w:r>
      <w:r>
        <w:t>an</w:t>
      </w:r>
      <w:r>
        <w:rPr>
          <w:spacing w:val="80"/>
        </w:rPr>
        <w:t xml:space="preserve"> </w:t>
      </w:r>
      <w:r>
        <w:t>act</w:t>
      </w:r>
      <w:r>
        <w:rPr>
          <w:spacing w:val="80"/>
        </w:rPr>
        <w:t xml:space="preserve"> </w:t>
      </w:r>
      <w:r>
        <w:t>that</w:t>
      </w:r>
      <w:r>
        <w:rPr>
          <w:spacing w:val="80"/>
        </w:rPr>
        <w:t xml:space="preserve"> </w:t>
      </w:r>
      <w:r>
        <w:t>would</w:t>
      </w:r>
      <w:r>
        <w:rPr>
          <w:spacing w:val="80"/>
        </w:rPr>
        <w:t xml:space="preserve"> </w:t>
      </w:r>
      <w:r>
        <w:t>be</w:t>
      </w:r>
      <w:r>
        <w:rPr>
          <w:spacing w:val="80"/>
        </w:rPr>
        <w:t xml:space="preserve"> </w:t>
      </w:r>
      <w:r>
        <w:t>self-defeating</w:t>
      </w:r>
      <w:r>
        <w:rPr>
          <w:spacing w:val="80"/>
        </w:rPr>
        <w:t xml:space="preserve"> </w:t>
      </w:r>
      <w:r>
        <w:t>if</w:t>
      </w:r>
      <w:r>
        <w:rPr>
          <w:spacing w:val="80"/>
        </w:rPr>
        <w:t xml:space="preserve"> </w:t>
      </w:r>
      <w:r>
        <w:t>performed</w:t>
      </w:r>
      <w:r>
        <w:rPr>
          <w:spacing w:val="80"/>
          <w:w w:val="150"/>
        </w:rPr>
        <w:t xml:space="preserve"> </w:t>
      </w:r>
      <w:r>
        <w:rPr>
          <w:spacing w:val="-2"/>
        </w:rPr>
        <w:t>generally.</w:t>
      </w:r>
    </w:p>
    <w:p w14:paraId="7E002620" w14:textId="77777777" w:rsidR="009A58DB" w:rsidRDefault="00000000">
      <w:pPr>
        <w:pStyle w:val="BodyText"/>
        <w:spacing w:line="283" w:lineRule="exact"/>
        <w:jc w:val="left"/>
      </w:pPr>
      <w:r>
        <w:t>(CI</w:t>
      </w:r>
      <w:r>
        <w:rPr>
          <w:vertAlign w:val="subscript"/>
        </w:rPr>
        <w:t>2</w:t>
      </w:r>
      <w:r>
        <w:t>)</w:t>
      </w:r>
      <w:r>
        <w:rPr>
          <w:spacing w:val="77"/>
        </w:rPr>
        <w:t xml:space="preserve"> </w:t>
      </w:r>
      <w:r>
        <w:t>Always</w:t>
      </w:r>
      <w:r>
        <w:rPr>
          <w:spacing w:val="77"/>
        </w:rPr>
        <w:t xml:space="preserve"> </w:t>
      </w:r>
      <w:r>
        <w:t>treat</w:t>
      </w:r>
      <w:r>
        <w:rPr>
          <w:spacing w:val="77"/>
        </w:rPr>
        <w:t xml:space="preserve"> </w:t>
      </w:r>
      <w:r>
        <w:t>people</w:t>
      </w:r>
      <w:r>
        <w:rPr>
          <w:spacing w:val="77"/>
        </w:rPr>
        <w:t xml:space="preserve"> </w:t>
      </w:r>
      <w:r>
        <w:t>as</w:t>
      </w:r>
      <w:r>
        <w:rPr>
          <w:spacing w:val="78"/>
        </w:rPr>
        <w:t xml:space="preserve"> </w:t>
      </w:r>
      <w:r>
        <w:t>subjects,</w:t>
      </w:r>
      <w:r>
        <w:rPr>
          <w:spacing w:val="77"/>
        </w:rPr>
        <w:t xml:space="preserve"> </w:t>
      </w:r>
      <w:r>
        <w:t>never</w:t>
      </w:r>
      <w:r>
        <w:rPr>
          <w:spacing w:val="78"/>
        </w:rPr>
        <w:t xml:space="preserve"> </w:t>
      </w:r>
      <w:r>
        <w:t>as</w:t>
      </w:r>
      <w:r>
        <w:rPr>
          <w:spacing w:val="77"/>
        </w:rPr>
        <w:t xml:space="preserve"> </w:t>
      </w:r>
      <w:r>
        <w:t>objects;</w:t>
      </w:r>
      <w:r>
        <w:rPr>
          <w:spacing w:val="78"/>
        </w:rPr>
        <w:t xml:space="preserve"> </w:t>
      </w:r>
      <w:r>
        <w:t>in</w:t>
      </w:r>
      <w:r>
        <w:rPr>
          <w:spacing w:val="77"/>
        </w:rPr>
        <w:t xml:space="preserve"> </w:t>
      </w:r>
      <w:r>
        <w:t>other</w:t>
      </w:r>
      <w:r>
        <w:rPr>
          <w:spacing w:val="78"/>
        </w:rPr>
        <w:t xml:space="preserve"> </w:t>
      </w:r>
      <w:r>
        <w:rPr>
          <w:spacing w:val="-2"/>
        </w:rPr>
        <w:t>words,</w:t>
      </w:r>
    </w:p>
    <w:p w14:paraId="7E002621" w14:textId="77777777" w:rsidR="009A58DB" w:rsidRDefault="00000000">
      <w:pPr>
        <w:pStyle w:val="BodyText"/>
        <w:spacing w:before="75"/>
        <w:jc w:val="left"/>
      </w:pPr>
      <w:r>
        <w:t>respect</w:t>
      </w:r>
      <w:r>
        <w:rPr>
          <w:spacing w:val="-7"/>
        </w:rPr>
        <w:t xml:space="preserve"> </w:t>
      </w:r>
      <w:r>
        <w:t>other</w:t>
      </w:r>
      <w:r>
        <w:rPr>
          <w:spacing w:val="-4"/>
        </w:rPr>
        <w:t xml:space="preserve"> </w:t>
      </w:r>
      <w:r>
        <w:t>people’s</w:t>
      </w:r>
      <w:r>
        <w:rPr>
          <w:spacing w:val="-5"/>
        </w:rPr>
        <w:t xml:space="preserve"> </w:t>
      </w:r>
      <w:r>
        <w:t>autonomy,</w:t>
      </w:r>
      <w:r>
        <w:rPr>
          <w:spacing w:val="-3"/>
        </w:rPr>
        <w:t xml:space="preserve"> </w:t>
      </w:r>
      <w:r>
        <w:t>without</w:t>
      </w:r>
      <w:r>
        <w:rPr>
          <w:spacing w:val="-4"/>
        </w:rPr>
        <w:t xml:space="preserve"> </w:t>
      </w:r>
      <w:r>
        <w:rPr>
          <w:spacing w:val="-2"/>
        </w:rPr>
        <w:t>fail.</w:t>
      </w:r>
    </w:p>
    <w:p w14:paraId="7E002622" w14:textId="77777777" w:rsidR="009A58DB" w:rsidRDefault="009A58DB">
      <w:pPr>
        <w:pStyle w:val="BodyText"/>
        <w:spacing w:before="30"/>
        <w:ind w:left="0"/>
        <w:jc w:val="left"/>
      </w:pPr>
    </w:p>
    <w:p w14:paraId="7E002623" w14:textId="77777777" w:rsidR="009A58DB" w:rsidRDefault="00000000">
      <w:pPr>
        <w:pStyle w:val="BodyText"/>
        <w:spacing w:line="292" w:lineRule="auto"/>
        <w:jc w:val="left"/>
      </w:pPr>
      <w:r>
        <w:t>CI</w:t>
      </w:r>
      <w:r>
        <w:rPr>
          <w:vertAlign w:val="subscript"/>
        </w:rPr>
        <w:t>1</w:t>
      </w:r>
      <w:r>
        <w:rPr>
          <w:spacing w:val="64"/>
        </w:rPr>
        <w:t xml:space="preserve"> </w:t>
      </w:r>
      <w:r>
        <w:t>entails</w:t>
      </w:r>
      <w:r>
        <w:rPr>
          <w:spacing w:val="64"/>
        </w:rPr>
        <w:t xml:space="preserve"> </w:t>
      </w:r>
      <w:r>
        <w:t>that</w:t>
      </w:r>
      <w:r>
        <w:rPr>
          <w:spacing w:val="64"/>
        </w:rPr>
        <w:t xml:space="preserve"> </w:t>
      </w:r>
      <w:r>
        <w:t>one</w:t>
      </w:r>
      <w:r>
        <w:rPr>
          <w:spacing w:val="64"/>
        </w:rPr>
        <w:t xml:space="preserve"> </w:t>
      </w:r>
      <w:r>
        <w:t>should</w:t>
      </w:r>
      <w:r>
        <w:rPr>
          <w:spacing w:val="64"/>
        </w:rPr>
        <w:t xml:space="preserve"> </w:t>
      </w:r>
      <w:r>
        <w:t>never</w:t>
      </w:r>
      <w:r>
        <w:rPr>
          <w:spacing w:val="64"/>
        </w:rPr>
        <w:t xml:space="preserve"> </w:t>
      </w:r>
      <w:r>
        <w:t>lie—even</w:t>
      </w:r>
      <w:r>
        <w:rPr>
          <w:spacing w:val="64"/>
        </w:rPr>
        <w:t xml:space="preserve"> </w:t>
      </w:r>
      <w:r>
        <w:t>if</w:t>
      </w:r>
      <w:r>
        <w:rPr>
          <w:spacing w:val="64"/>
        </w:rPr>
        <w:t xml:space="preserve"> </w:t>
      </w:r>
      <w:r>
        <w:t>one</w:t>
      </w:r>
      <w:r>
        <w:rPr>
          <w:spacing w:val="64"/>
        </w:rPr>
        <w:t xml:space="preserve"> </w:t>
      </w:r>
      <w:r>
        <w:t>must</w:t>
      </w:r>
      <w:r>
        <w:rPr>
          <w:spacing w:val="64"/>
        </w:rPr>
        <w:t xml:space="preserve"> </w:t>
      </w:r>
      <w:r>
        <w:t>do</w:t>
      </w:r>
      <w:r>
        <w:rPr>
          <w:spacing w:val="64"/>
        </w:rPr>
        <w:t xml:space="preserve"> </w:t>
      </w:r>
      <w:r>
        <w:t>so</w:t>
      </w:r>
      <w:r>
        <w:rPr>
          <w:spacing w:val="64"/>
        </w:rPr>
        <w:t xml:space="preserve"> </w:t>
      </w:r>
      <w:r>
        <w:t>to</w:t>
      </w:r>
      <w:r>
        <w:rPr>
          <w:spacing w:val="64"/>
        </w:rPr>
        <w:t xml:space="preserve"> </w:t>
      </w:r>
      <w:r>
        <w:t>save</w:t>
      </w:r>
      <w:r>
        <w:rPr>
          <w:spacing w:val="64"/>
        </w:rPr>
        <w:t xml:space="preserve"> </w:t>
      </w:r>
      <w:r>
        <w:t>a hundred people.</w:t>
      </w:r>
    </w:p>
    <w:p w14:paraId="7E002624" w14:textId="77777777" w:rsidR="009A58DB" w:rsidRDefault="00000000">
      <w:pPr>
        <w:pStyle w:val="BodyText"/>
        <w:spacing w:line="283" w:lineRule="exact"/>
        <w:jc w:val="left"/>
      </w:pPr>
      <w:r>
        <w:t>CI</w:t>
      </w:r>
      <w:r>
        <w:rPr>
          <w:vertAlign w:val="subscript"/>
        </w:rPr>
        <w:t>2</w:t>
      </w:r>
      <w:r>
        <w:rPr>
          <w:spacing w:val="23"/>
        </w:rPr>
        <w:t xml:space="preserve"> </w:t>
      </w:r>
      <w:r>
        <w:t>entails</w:t>
      </w:r>
      <w:r>
        <w:rPr>
          <w:spacing w:val="25"/>
        </w:rPr>
        <w:t xml:space="preserve"> </w:t>
      </w:r>
      <w:r>
        <w:t>that</w:t>
      </w:r>
      <w:r>
        <w:rPr>
          <w:spacing w:val="23"/>
        </w:rPr>
        <w:t xml:space="preserve"> </w:t>
      </w:r>
      <w:r>
        <w:t>one</w:t>
      </w:r>
      <w:r>
        <w:rPr>
          <w:spacing w:val="24"/>
        </w:rPr>
        <w:t xml:space="preserve"> </w:t>
      </w:r>
      <w:r>
        <w:t>must</w:t>
      </w:r>
      <w:r>
        <w:rPr>
          <w:spacing w:val="24"/>
        </w:rPr>
        <w:t xml:space="preserve"> </w:t>
      </w:r>
      <w:r>
        <w:t>never</w:t>
      </w:r>
      <w:r>
        <w:rPr>
          <w:spacing w:val="24"/>
        </w:rPr>
        <w:t xml:space="preserve"> </w:t>
      </w:r>
      <w:r>
        <w:t>manipulate</w:t>
      </w:r>
      <w:r>
        <w:rPr>
          <w:spacing w:val="24"/>
        </w:rPr>
        <w:t xml:space="preserve"> </w:t>
      </w:r>
      <w:r>
        <w:t>anyone—even</w:t>
      </w:r>
      <w:r>
        <w:rPr>
          <w:spacing w:val="24"/>
        </w:rPr>
        <w:t xml:space="preserve"> </w:t>
      </w:r>
      <w:r>
        <w:t>if</w:t>
      </w:r>
      <w:r>
        <w:rPr>
          <w:spacing w:val="24"/>
        </w:rPr>
        <w:t xml:space="preserve"> </w:t>
      </w:r>
      <w:r>
        <w:t>one</w:t>
      </w:r>
      <w:r>
        <w:rPr>
          <w:spacing w:val="24"/>
        </w:rPr>
        <w:t xml:space="preserve"> </w:t>
      </w:r>
      <w:r>
        <w:t>must</w:t>
      </w:r>
      <w:r>
        <w:rPr>
          <w:spacing w:val="24"/>
        </w:rPr>
        <w:t xml:space="preserve"> </w:t>
      </w:r>
      <w:r>
        <w:t>do</w:t>
      </w:r>
      <w:r>
        <w:rPr>
          <w:spacing w:val="24"/>
        </w:rPr>
        <w:t xml:space="preserve"> </w:t>
      </w:r>
      <w:r>
        <w:rPr>
          <w:spacing w:val="-5"/>
        </w:rPr>
        <w:t>so</w:t>
      </w:r>
    </w:p>
    <w:p w14:paraId="7E002625" w14:textId="77777777" w:rsidR="009A58DB" w:rsidRDefault="00000000">
      <w:pPr>
        <w:pStyle w:val="BodyText"/>
        <w:spacing w:before="75"/>
        <w:jc w:val="left"/>
      </w:pPr>
      <w:r>
        <w:t>to</w:t>
      </w:r>
      <w:r>
        <w:rPr>
          <w:spacing w:val="-4"/>
        </w:rPr>
        <w:t xml:space="preserve"> </w:t>
      </w:r>
      <w:r>
        <w:t>prevent</w:t>
      </w:r>
      <w:r>
        <w:rPr>
          <w:spacing w:val="-3"/>
        </w:rPr>
        <w:t xml:space="preserve"> </w:t>
      </w:r>
      <w:r>
        <w:t>a</w:t>
      </w:r>
      <w:r>
        <w:rPr>
          <w:spacing w:val="-2"/>
        </w:rPr>
        <w:t xml:space="preserve"> </w:t>
      </w:r>
      <w:r>
        <w:t>nuclear</w:t>
      </w:r>
      <w:r>
        <w:rPr>
          <w:spacing w:val="-3"/>
        </w:rPr>
        <w:t xml:space="preserve"> </w:t>
      </w:r>
      <w:r>
        <w:t>bomb</w:t>
      </w:r>
      <w:r>
        <w:rPr>
          <w:spacing w:val="-2"/>
        </w:rPr>
        <w:t xml:space="preserve"> </w:t>
      </w:r>
      <w:r>
        <w:t>from</w:t>
      </w:r>
      <w:r>
        <w:rPr>
          <w:spacing w:val="-2"/>
        </w:rPr>
        <w:t xml:space="preserve"> </w:t>
      </w:r>
      <w:r>
        <w:t>going</w:t>
      </w:r>
      <w:r>
        <w:rPr>
          <w:spacing w:val="-2"/>
        </w:rPr>
        <w:t xml:space="preserve"> </w:t>
      </w:r>
      <w:r>
        <w:t>off</w:t>
      </w:r>
      <w:r>
        <w:rPr>
          <w:spacing w:val="-3"/>
        </w:rPr>
        <w:t xml:space="preserve"> </w:t>
      </w:r>
      <w:r>
        <w:t>in</w:t>
      </w:r>
      <w:r>
        <w:rPr>
          <w:spacing w:val="-1"/>
        </w:rPr>
        <w:t xml:space="preserve"> </w:t>
      </w:r>
      <w:r>
        <w:t>a</w:t>
      </w:r>
      <w:r>
        <w:rPr>
          <w:spacing w:val="-3"/>
        </w:rPr>
        <w:t xml:space="preserve"> </w:t>
      </w:r>
      <w:r>
        <w:t>crowded</w:t>
      </w:r>
      <w:r>
        <w:rPr>
          <w:spacing w:val="-1"/>
        </w:rPr>
        <w:t xml:space="preserve"> </w:t>
      </w:r>
      <w:r>
        <w:rPr>
          <w:spacing w:val="-2"/>
        </w:rPr>
        <w:t>city.</w:t>
      </w:r>
    </w:p>
    <w:p w14:paraId="7E002626" w14:textId="77777777" w:rsidR="009A58DB" w:rsidRDefault="00000000">
      <w:pPr>
        <w:pStyle w:val="BodyText"/>
        <w:spacing w:before="15" w:line="249" w:lineRule="auto"/>
        <w:ind w:right="359" w:firstLine="360"/>
      </w:pPr>
      <w:r>
        <w:t>The fact that Kant’s ethical system has these consequences definitively shows that it is false. The nearest thing to Kant’s ethical system that isn’t obviously false is this:</w:t>
      </w:r>
    </w:p>
    <w:p w14:paraId="7E002627" w14:textId="77777777" w:rsidR="009A58DB" w:rsidRDefault="009A58DB">
      <w:pPr>
        <w:pStyle w:val="BodyText"/>
        <w:spacing w:before="19"/>
        <w:ind w:left="0"/>
        <w:jc w:val="left"/>
      </w:pPr>
    </w:p>
    <w:p w14:paraId="7E002628" w14:textId="77777777" w:rsidR="009A58DB" w:rsidRDefault="00000000">
      <w:pPr>
        <w:pStyle w:val="BodyText"/>
        <w:spacing w:line="271" w:lineRule="auto"/>
        <w:ind w:right="358"/>
      </w:pPr>
      <w:r>
        <w:t>(CI</w:t>
      </w:r>
      <w:r>
        <w:rPr>
          <w:vertAlign w:val="subscript"/>
        </w:rPr>
        <w:t>2</w:t>
      </w:r>
      <w:r>
        <w:t>*) Although it’s categorically wrong to treat people as objects, there are circumstances where one’s obligation not to treat one person as an object is outweighed</w:t>
      </w:r>
      <w:r>
        <w:rPr>
          <w:spacing w:val="24"/>
        </w:rPr>
        <w:t xml:space="preserve"> </w:t>
      </w:r>
      <w:r>
        <w:t>by</w:t>
      </w:r>
      <w:r>
        <w:rPr>
          <w:spacing w:val="24"/>
        </w:rPr>
        <w:t xml:space="preserve"> </w:t>
      </w:r>
      <w:r>
        <w:t>some</w:t>
      </w:r>
      <w:r>
        <w:rPr>
          <w:spacing w:val="24"/>
        </w:rPr>
        <w:t xml:space="preserve"> </w:t>
      </w:r>
      <w:r>
        <w:t>other</w:t>
      </w:r>
      <w:r>
        <w:rPr>
          <w:spacing w:val="24"/>
        </w:rPr>
        <w:t xml:space="preserve"> </w:t>
      </w:r>
      <w:r>
        <w:t>obligation</w:t>
      </w:r>
      <w:r>
        <w:rPr>
          <w:spacing w:val="24"/>
        </w:rPr>
        <w:t xml:space="preserve"> </w:t>
      </w:r>
      <w:r>
        <w:t>(e.g.,</w:t>
      </w:r>
      <w:r>
        <w:rPr>
          <w:spacing w:val="24"/>
        </w:rPr>
        <w:t xml:space="preserve"> </w:t>
      </w:r>
      <w:r>
        <w:t>by</w:t>
      </w:r>
      <w:r>
        <w:rPr>
          <w:spacing w:val="24"/>
        </w:rPr>
        <w:t xml:space="preserve"> </w:t>
      </w:r>
      <w:r>
        <w:t>one’s</w:t>
      </w:r>
      <w:r>
        <w:rPr>
          <w:spacing w:val="24"/>
        </w:rPr>
        <w:t xml:space="preserve"> </w:t>
      </w:r>
      <w:r>
        <w:t>obligation</w:t>
      </w:r>
      <w:r>
        <w:rPr>
          <w:spacing w:val="24"/>
        </w:rPr>
        <w:t xml:space="preserve"> </w:t>
      </w:r>
      <w:r>
        <w:t>not</w:t>
      </w:r>
      <w:r>
        <w:rPr>
          <w:spacing w:val="24"/>
        </w:rPr>
        <w:t xml:space="preserve"> </w:t>
      </w:r>
      <w:r>
        <w:t>to</w:t>
      </w:r>
      <w:r>
        <w:rPr>
          <w:spacing w:val="24"/>
        </w:rPr>
        <w:t xml:space="preserve"> </w:t>
      </w:r>
      <w:r>
        <w:t>allow</w:t>
      </w:r>
    </w:p>
    <w:p w14:paraId="7E002629" w14:textId="77777777" w:rsidR="009A58DB" w:rsidRDefault="00000000">
      <w:pPr>
        <w:pStyle w:val="BodyText"/>
        <w:spacing w:line="316" w:lineRule="exact"/>
      </w:pPr>
      <w:r>
        <w:t>ten</w:t>
      </w:r>
      <w:r>
        <w:rPr>
          <w:spacing w:val="-3"/>
        </w:rPr>
        <w:t xml:space="preserve"> </w:t>
      </w:r>
      <w:r>
        <w:t>million</w:t>
      </w:r>
      <w:r>
        <w:rPr>
          <w:spacing w:val="-3"/>
        </w:rPr>
        <w:t xml:space="preserve"> </w:t>
      </w:r>
      <w:r>
        <w:t>people</w:t>
      </w:r>
      <w:r>
        <w:rPr>
          <w:spacing w:val="-3"/>
        </w:rPr>
        <w:t xml:space="preserve"> </w:t>
      </w:r>
      <w:r>
        <w:t>to</w:t>
      </w:r>
      <w:r>
        <w:rPr>
          <w:spacing w:val="-2"/>
        </w:rPr>
        <w:t xml:space="preserve"> die).</w:t>
      </w:r>
    </w:p>
    <w:p w14:paraId="7E00262A" w14:textId="77777777" w:rsidR="009A58DB" w:rsidRDefault="00000000">
      <w:pPr>
        <w:pStyle w:val="Heading1"/>
        <w:numPr>
          <w:ilvl w:val="1"/>
          <w:numId w:val="53"/>
        </w:numPr>
        <w:tabs>
          <w:tab w:val="left" w:pos="1080"/>
          <w:tab w:val="left" w:pos="2009"/>
        </w:tabs>
        <w:spacing w:line="244" w:lineRule="auto"/>
        <w:ind w:left="1080" w:right="366" w:hanging="720"/>
      </w:pPr>
      <w:r>
        <w:tab/>
        <w:t>Another</w:t>
      </w:r>
      <w:r>
        <w:rPr>
          <w:spacing w:val="80"/>
        </w:rPr>
        <w:t xml:space="preserve"> </w:t>
      </w:r>
      <w:r>
        <w:t>Kantian</w:t>
      </w:r>
      <w:r>
        <w:rPr>
          <w:spacing w:val="80"/>
        </w:rPr>
        <w:t xml:space="preserve"> </w:t>
      </w:r>
      <w:r>
        <w:t>blunder:</w:t>
      </w:r>
      <w:r>
        <w:rPr>
          <w:spacing w:val="80"/>
        </w:rPr>
        <w:t xml:space="preserve"> </w:t>
      </w:r>
      <w:r>
        <w:t>his</w:t>
      </w:r>
      <w:r>
        <w:rPr>
          <w:spacing w:val="80"/>
        </w:rPr>
        <w:t xml:space="preserve"> </w:t>
      </w:r>
      <w:r>
        <w:t>failure</w:t>
      </w:r>
      <w:r>
        <w:rPr>
          <w:spacing w:val="80"/>
        </w:rPr>
        <w:t xml:space="preserve"> </w:t>
      </w:r>
      <w:r>
        <w:t>to distinguish the good from the praiseworthy</w:t>
      </w:r>
    </w:p>
    <w:p w14:paraId="7E00262B" w14:textId="77777777" w:rsidR="009A58DB" w:rsidRDefault="00000000">
      <w:pPr>
        <w:pStyle w:val="BodyText"/>
        <w:spacing w:before="132" w:line="249" w:lineRule="auto"/>
        <w:ind w:right="370"/>
      </w:pPr>
      <w:r>
        <w:t>Kant held that nothing other than a “good will” has any moral value. By a “good will” he meant an intention to follow “the moral law.” By “the moral law” Kant meant CI</w:t>
      </w:r>
      <w:r>
        <w:rPr>
          <w:vertAlign w:val="subscript"/>
        </w:rPr>
        <w:t>2</w:t>
      </w:r>
      <w:r>
        <w:t>.</w:t>
      </w:r>
    </w:p>
    <w:p w14:paraId="7E00262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2D" w14:textId="77777777" w:rsidR="009A58DB" w:rsidRDefault="00000000">
      <w:pPr>
        <w:pStyle w:val="BodyText"/>
        <w:spacing w:before="65"/>
        <w:ind w:left="720"/>
      </w:pPr>
      <w:r>
        <w:lastRenderedPageBreak/>
        <w:t>Here</w:t>
      </w:r>
      <w:r>
        <w:rPr>
          <w:spacing w:val="-4"/>
        </w:rPr>
        <w:t xml:space="preserve"> </w:t>
      </w:r>
      <w:r>
        <w:t>is</w:t>
      </w:r>
      <w:r>
        <w:rPr>
          <w:spacing w:val="-4"/>
        </w:rPr>
        <w:t xml:space="preserve"> </w:t>
      </w:r>
      <w:r>
        <w:t>Kant’s</w:t>
      </w:r>
      <w:r>
        <w:rPr>
          <w:spacing w:val="-3"/>
        </w:rPr>
        <w:t xml:space="preserve"> </w:t>
      </w:r>
      <w:r>
        <w:rPr>
          <w:spacing w:val="-2"/>
        </w:rPr>
        <w:t>reasoning:</w:t>
      </w:r>
    </w:p>
    <w:p w14:paraId="7E00262E" w14:textId="77777777" w:rsidR="009A58DB" w:rsidRDefault="009A58DB">
      <w:pPr>
        <w:pStyle w:val="BodyText"/>
        <w:spacing w:before="224"/>
        <w:ind w:left="0"/>
        <w:jc w:val="left"/>
      </w:pPr>
    </w:p>
    <w:p w14:paraId="7E00262F" w14:textId="77777777" w:rsidR="009A58DB" w:rsidRDefault="00000000">
      <w:pPr>
        <w:pStyle w:val="BodyText"/>
        <w:spacing w:before="1" w:line="249" w:lineRule="auto"/>
        <w:ind w:left="720" w:right="718"/>
      </w:pPr>
      <w:r>
        <w:t xml:space="preserve">(KR) An intention to do good cannot possibly be bad. Of course, an intention to do good can have bad </w:t>
      </w:r>
      <w:r>
        <w:rPr>
          <w:i/>
        </w:rPr>
        <w:t xml:space="preserve">effects. </w:t>
      </w:r>
      <w:r>
        <w:t xml:space="preserve">Sincerely intending to save the children, you feed them X, which is lethal, genuinely believing that it’s Y, which is nutritious. But </w:t>
      </w:r>
      <w:r>
        <w:rPr>
          <w:i/>
        </w:rPr>
        <w:t xml:space="preserve">in and of itself </w:t>
      </w:r>
      <w:r>
        <w:t>your intention to do good is utterly beyond reproach.</w:t>
      </w:r>
    </w:p>
    <w:p w14:paraId="7E002630" w14:textId="77777777" w:rsidR="009A58DB" w:rsidRDefault="00000000">
      <w:pPr>
        <w:pStyle w:val="BodyText"/>
        <w:spacing w:before="6" w:line="249" w:lineRule="auto"/>
        <w:ind w:left="720" w:right="718" w:firstLine="360"/>
      </w:pPr>
      <w:r>
        <w:t xml:space="preserve">But anything </w:t>
      </w:r>
      <w:r>
        <w:rPr>
          <w:i/>
        </w:rPr>
        <w:t>other</w:t>
      </w:r>
      <w:r>
        <w:rPr>
          <w:i/>
          <w:spacing w:val="-4"/>
        </w:rPr>
        <w:t xml:space="preserve"> </w:t>
      </w:r>
      <w:r>
        <w:t>than an intention to do good can be bad. A cool-headed, intelligent villain is that much more diabolical than a</w:t>
      </w:r>
      <w:r>
        <w:rPr>
          <w:spacing w:val="40"/>
        </w:rPr>
        <w:t xml:space="preserve"> </w:t>
      </w:r>
      <w:r>
        <w:t xml:space="preserve">hysterical, unintelligent one. A wealthy, healthy villain is that much worse than a poor, sickly one. It is only </w:t>
      </w:r>
      <w:r>
        <w:rPr>
          <w:i/>
        </w:rPr>
        <w:t xml:space="preserve">if </w:t>
      </w:r>
      <w:r>
        <w:t xml:space="preserve">good people have them that intelligence, self-control, wealth, and health are good things. This means that those things are not </w:t>
      </w:r>
      <w:r>
        <w:rPr>
          <w:i/>
        </w:rPr>
        <w:t xml:space="preserve">inherently </w:t>
      </w:r>
      <w:r>
        <w:t>good.</w:t>
      </w:r>
    </w:p>
    <w:p w14:paraId="7E002631" w14:textId="77777777" w:rsidR="009A58DB" w:rsidRDefault="00000000">
      <w:pPr>
        <w:pStyle w:val="BodyText"/>
        <w:spacing w:before="7" w:line="249" w:lineRule="auto"/>
        <w:ind w:left="720" w:right="718" w:firstLine="360"/>
      </w:pPr>
      <w:r>
        <w:t xml:space="preserve">There is ultimately but one moral law, namely: respect other people’s autonomy. It follows that anything other than an intention to treat people as subjects, as opposed to objects, lacks any inherent moral </w:t>
      </w:r>
      <w:r>
        <w:rPr>
          <w:spacing w:val="-2"/>
        </w:rPr>
        <w:t>worth.</w:t>
      </w:r>
    </w:p>
    <w:p w14:paraId="7E002632" w14:textId="77777777" w:rsidR="009A58DB" w:rsidRDefault="009A58DB">
      <w:pPr>
        <w:pStyle w:val="BodyText"/>
        <w:spacing w:before="125"/>
        <w:ind w:left="0"/>
        <w:jc w:val="left"/>
      </w:pPr>
    </w:p>
    <w:p w14:paraId="7E002633" w14:textId="77777777" w:rsidR="009A58DB" w:rsidRDefault="00000000">
      <w:pPr>
        <w:pStyle w:val="BodyText"/>
        <w:spacing w:line="249" w:lineRule="auto"/>
        <w:ind w:right="358" w:firstLine="360"/>
      </w:pPr>
      <w:r>
        <w:t>It might be that, unless lobotomized, a certain villain will use his formidable cognitive powers to do harm. But surely lobotomizing someone</w:t>
      </w:r>
      <w:r>
        <w:rPr>
          <w:spacing w:val="40"/>
        </w:rPr>
        <w:t xml:space="preserve"> </w:t>
      </w:r>
      <w:r>
        <w:t xml:space="preserve">is, at best, the lesser of two evils. This shows that, although a villain’s intelligence </w:t>
      </w:r>
      <w:r>
        <w:rPr>
          <w:i/>
        </w:rPr>
        <w:t xml:space="preserve">is </w:t>
      </w:r>
      <w:r>
        <w:t>inherently good, the existence of that inherent good may be incompatible with the some other, far greater inherent good. If, supposing</w:t>
      </w:r>
      <w:r>
        <w:rPr>
          <w:spacing w:val="40"/>
        </w:rPr>
        <w:t xml:space="preserve"> </w:t>
      </w:r>
      <w:r>
        <w:t xml:space="preserve">that he isn’t lobotomized, that criminal will kill millions of people, many of them intelligent, than one inherent good—saving the lives, and </w:t>
      </w:r>
      <w:r>
        <w:rPr>
          <w:i/>
        </w:rPr>
        <w:t xml:space="preserve">a fortiori </w:t>
      </w:r>
      <w:r>
        <w:t>the intellects, of millions of people—outweighs some other inherent good—preserving the intellect of some one person.</w:t>
      </w:r>
    </w:p>
    <w:p w14:paraId="7E002634" w14:textId="77777777" w:rsidR="009A58DB" w:rsidRDefault="00000000">
      <w:pPr>
        <w:pStyle w:val="BodyText"/>
        <w:spacing w:before="11" w:line="249" w:lineRule="auto"/>
        <w:ind w:right="361" w:firstLine="360"/>
      </w:pPr>
      <w:r>
        <w:t>Imagine the following. Brown is a happy two year old infant. Brown</w:t>
      </w:r>
      <w:r>
        <w:rPr>
          <w:spacing w:val="40"/>
        </w:rPr>
        <w:t xml:space="preserve"> </w:t>
      </w:r>
      <w:r>
        <w:t>didn’t</w:t>
      </w:r>
      <w:r>
        <w:rPr>
          <w:spacing w:val="-2"/>
        </w:rPr>
        <w:t xml:space="preserve"> </w:t>
      </w:r>
      <w:r>
        <w:t>have</w:t>
      </w:r>
      <w:r>
        <w:rPr>
          <w:spacing w:val="-1"/>
        </w:rPr>
        <w:t xml:space="preserve"> </w:t>
      </w:r>
      <w:r>
        <w:t>to</w:t>
      </w:r>
      <w:r>
        <w:rPr>
          <w:spacing w:val="-1"/>
        </w:rPr>
        <w:t xml:space="preserve"> </w:t>
      </w:r>
      <w:r>
        <w:t>work</w:t>
      </w:r>
      <w:r>
        <w:rPr>
          <w:spacing w:val="-1"/>
        </w:rPr>
        <w:t xml:space="preserve"> </w:t>
      </w:r>
      <w:r>
        <w:t>for</w:t>
      </w:r>
      <w:r>
        <w:rPr>
          <w:spacing w:val="-1"/>
        </w:rPr>
        <w:t xml:space="preserve"> </w:t>
      </w:r>
      <w:r>
        <w:t>his</w:t>
      </w:r>
      <w:r>
        <w:rPr>
          <w:spacing w:val="-1"/>
        </w:rPr>
        <w:t xml:space="preserve"> </w:t>
      </w:r>
      <w:r>
        <w:t>happiness.</w:t>
      </w:r>
      <w:r>
        <w:rPr>
          <w:spacing w:val="-1"/>
        </w:rPr>
        <w:t xml:space="preserve"> </w:t>
      </w:r>
      <w:r>
        <w:t>He</w:t>
      </w:r>
      <w:r>
        <w:rPr>
          <w:spacing w:val="-1"/>
        </w:rPr>
        <w:t xml:space="preserve"> </w:t>
      </w:r>
      <w:r>
        <w:t>just</w:t>
      </w:r>
      <w:r>
        <w:rPr>
          <w:spacing w:val="-1"/>
        </w:rPr>
        <w:t xml:space="preserve"> </w:t>
      </w:r>
      <w:r>
        <w:t>happens</w:t>
      </w:r>
      <w:r>
        <w:rPr>
          <w:spacing w:val="-1"/>
        </w:rPr>
        <w:t xml:space="preserve"> </w:t>
      </w:r>
      <w:r>
        <w:t>to</w:t>
      </w:r>
      <w:r>
        <w:rPr>
          <w:spacing w:val="-1"/>
        </w:rPr>
        <w:t xml:space="preserve"> </w:t>
      </w:r>
      <w:r>
        <w:t>be</w:t>
      </w:r>
      <w:r>
        <w:rPr>
          <w:spacing w:val="-1"/>
        </w:rPr>
        <w:t xml:space="preserve"> </w:t>
      </w:r>
      <w:r>
        <w:t>happy.</w:t>
      </w:r>
      <w:r>
        <w:rPr>
          <w:spacing w:val="-1"/>
        </w:rPr>
        <w:t xml:space="preserve"> </w:t>
      </w:r>
      <w:r>
        <w:t xml:space="preserve">Question: Does Brown’s happiness have moral value? Yes. Obviously. That’s why it would be wrong to make Brown unhappy. Second question: Does Brown deserve </w:t>
      </w:r>
      <w:r>
        <w:rPr>
          <w:i/>
        </w:rPr>
        <w:t xml:space="preserve">praise </w:t>
      </w:r>
      <w:r>
        <w:t>for being happy? No. His happiness, though morally good, isn’t</w:t>
      </w:r>
      <w:r>
        <w:rPr>
          <w:spacing w:val="-5"/>
        </w:rPr>
        <w:t xml:space="preserve"> </w:t>
      </w:r>
      <w:r>
        <w:rPr>
          <w:i/>
        </w:rPr>
        <w:t>commendable.</w:t>
      </w:r>
      <w:r>
        <w:rPr>
          <w:i/>
          <w:spacing w:val="-4"/>
        </w:rPr>
        <w:t xml:space="preserve"> </w:t>
      </w:r>
      <w:r>
        <w:t>Many things that are morally good are not commendable. This point is clarified and defended in Chapter 19, Sections 3.0–4.0.</w:t>
      </w:r>
    </w:p>
    <w:p w14:paraId="7E002635"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636" w14:textId="77777777" w:rsidR="009A58DB" w:rsidRDefault="00000000">
      <w:pPr>
        <w:pStyle w:val="BodyText"/>
        <w:spacing w:before="65" w:line="249" w:lineRule="auto"/>
        <w:ind w:right="358" w:firstLine="360"/>
      </w:pPr>
      <w:r>
        <w:lastRenderedPageBreak/>
        <w:t>In addition to being false, Kant’s position is self-undermining. It would make</w:t>
      </w:r>
      <w:r>
        <w:rPr>
          <w:spacing w:val="-3"/>
        </w:rPr>
        <w:t xml:space="preserve"> </w:t>
      </w:r>
      <w:r>
        <w:t>no</w:t>
      </w:r>
      <w:r>
        <w:rPr>
          <w:spacing w:val="-2"/>
        </w:rPr>
        <w:t xml:space="preserve"> </w:t>
      </w:r>
      <w:r>
        <w:t>sense</w:t>
      </w:r>
      <w:r>
        <w:rPr>
          <w:spacing w:val="-3"/>
        </w:rPr>
        <w:t xml:space="preserve"> </w:t>
      </w:r>
      <w:r>
        <w:t>at</w:t>
      </w:r>
      <w:r>
        <w:rPr>
          <w:spacing w:val="-3"/>
        </w:rPr>
        <w:t xml:space="preserve"> </w:t>
      </w:r>
      <w:r>
        <w:t>all</w:t>
      </w:r>
      <w:r>
        <w:rPr>
          <w:spacing w:val="-3"/>
        </w:rPr>
        <w:t xml:space="preserve"> </w:t>
      </w:r>
      <w:r>
        <w:t>to</w:t>
      </w:r>
      <w:r>
        <w:rPr>
          <w:spacing w:val="-2"/>
        </w:rPr>
        <w:t xml:space="preserve"> </w:t>
      </w:r>
      <w:r>
        <w:t>say</w:t>
      </w:r>
      <w:r>
        <w:rPr>
          <w:spacing w:val="-2"/>
        </w:rPr>
        <w:t xml:space="preserve"> </w:t>
      </w:r>
      <w:r>
        <w:t>(a)</w:t>
      </w:r>
      <w:r>
        <w:rPr>
          <w:spacing w:val="-3"/>
        </w:rPr>
        <w:t xml:space="preserve"> </w:t>
      </w:r>
      <w:r>
        <w:t>that</w:t>
      </w:r>
      <w:r>
        <w:rPr>
          <w:spacing w:val="-3"/>
        </w:rPr>
        <w:t xml:space="preserve"> </w:t>
      </w:r>
      <w:r>
        <w:t>autonomy</w:t>
      </w:r>
      <w:r>
        <w:rPr>
          <w:spacing w:val="-2"/>
        </w:rPr>
        <w:t xml:space="preserve"> </w:t>
      </w:r>
      <w:r>
        <w:t>isn’t</w:t>
      </w:r>
      <w:r>
        <w:rPr>
          <w:spacing w:val="-3"/>
        </w:rPr>
        <w:t xml:space="preserve"> </w:t>
      </w:r>
      <w:r>
        <w:t>inherently</w:t>
      </w:r>
      <w:r>
        <w:rPr>
          <w:spacing w:val="-2"/>
        </w:rPr>
        <w:t xml:space="preserve"> </w:t>
      </w:r>
      <w:r>
        <w:t>good,</w:t>
      </w:r>
      <w:r>
        <w:rPr>
          <w:spacing w:val="-2"/>
        </w:rPr>
        <w:t xml:space="preserve"> </w:t>
      </w:r>
      <w:r>
        <w:t>while</w:t>
      </w:r>
      <w:r>
        <w:rPr>
          <w:spacing w:val="-3"/>
        </w:rPr>
        <w:t xml:space="preserve"> </w:t>
      </w:r>
      <w:r>
        <w:t xml:space="preserve">also saying (b) that an intention to respect autonomy </w:t>
      </w:r>
      <w:r>
        <w:rPr>
          <w:i/>
        </w:rPr>
        <w:t xml:space="preserve">is </w:t>
      </w:r>
      <w:r>
        <w:t>inherently good. So if</w:t>
      </w:r>
      <w:r>
        <w:rPr>
          <w:spacing w:val="40"/>
        </w:rPr>
        <w:t xml:space="preserve"> </w:t>
      </w:r>
      <w:r>
        <w:t xml:space="preserve">Kant is right to think it inherently good to intend to respect autonomy, then autonomy must itself be inherently good. But in that case, Kant is </w:t>
      </w:r>
      <w:r>
        <w:rPr>
          <w:i/>
        </w:rPr>
        <w:t xml:space="preserve">ipso facto </w:t>
      </w:r>
      <w:r>
        <w:t>wrong to</w:t>
      </w:r>
      <w:r>
        <w:rPr>
          <w:spacing w:val="28"/>
        </w:rPr>
        <w:t xml:space="preserve"> </w:t>
      </w:r>
      <w:r>
        <w:t>think that</w:t>
      </w:r>
      <w:r>
        <w:rPr>
          <w:spacing w:val="28"/>
        </w:rPr>
        <w:t xml:space="preserve"> </w:t>
      </w:r>
      <w:r>
        <w:t>there is</w:t>
      </w:r>
      <w:r>
        <w:rPr>
          <w:spacing w:val="28"/>
        </w:rPr>
        <w:t xml:space="preserve"> </w:t>
      </w:r>
      <w:r>
        <w:t>nothing inherently</w:t>
      </w:r>
      <w:r>
        <w:rPr>
          <w:spacing w:val="28"/>
        </w:rPr>
        <w:t xml:space="preserve"> </w:t>
      </w:r>
      <w:r>
        <w:t>good other</w:t>
      </w:r>
      <w:r>
        <w:rPr>
          <w:spacing w:val="28"/>
        </w:rPr>
        <w:t xml:space="preserve"> </w:t>
      </w:r>
      <w:r>
        <w:t>than an intention to respect autonomy. Which is not to mention that the intelligence of a villain is indistinguishable from his autonomy: take his intellect away, and you take away a good part of his autonomy, if not the entirety of it.</w:t>
      </w:r>
    </w:p>
    <w:p w14:paraId="7E002637" w14:textId="77777777" w:rsidR="009A58DB" w:rsidRDefault="00000000">
      <w:pPr>
        <w:pStyle w:val="Heading1"/>
        <w:numPr>
          <w:ilvl w:val="2"/>
          <w:numId w:val="53"/>
        </w:numPr>
        <w:tabs>
          <w:tab w:val="left" w:pos="1080"/>
          <w:tab w:val="left" w:pos="1752"/>
        </w:tabs>
        <w:spacing w:before="199" w:line="244" w:lineRule="auto"/>
        <w:ind w:right="366" w:hanging="720"/>
        <w:jc w:val="both"/>
      </w:pPr>
      <w:r>
        <w:t xml:space="preserve">Another Kantian blunder: his failure to distinguish the good from the praiseworthy </w:t>
      </w:r>
      <w:r>
        <w:rPr>
          <w:spacing w:val="-2"/>
        </w:rPr>
        <w:t>(continued)</w:t>
      </w:r>
    </w:p>
    <w:p w14:paraId="7E002638" w14:textId="77777777" w:rsidR="009A58DB" w:rsidRDefault="00000000">
      <w:pPr>
        <w:pStyle w:val="BodyText"/>
        <w:spacing w:before="134" w:line="249" w:lineRule="auto"/>
        <w:ind w:right="358"/>
      </w:pPr>
      <w:r>
        <w:t>A brief detour through the philosophy of law will help us identify the blunders in Kant’s reasoning that underlie his ghastly view that nothing other than a good will has any inherent worth.</w:t>
      </w:r>
    </w:p>
    <w:p w14:paraId="7E002639" w14:textId="77777777" w:rsidR="009A58DB" w:rsidRDefault="00000000">
      <w:pPr>
        <w:pStyle w:val="BodyText"/>
        <w:spacing w:before="4" w:line="252" w:lineRule="auto"/>
        <w:ind w:right="361" w:firstLine="360"/>
      </w:pPr>
      <w:r>
        <w:t>In his (1977) article “Is law a system of rules?” Ronald Dworkin (1931–) made</w:t>
      </w:r>
      <w:r>
        <w:rPr>
          <w:spacing w:val="-3"/>
        </w:rPr>
        <w:t xml:space="preserve"> </w:t>
      </w:r>
      <w:r>
        <w:t>the</w:t>
      </w:r>
      <w:r>
        <w:rPr>
          <w:spacing w:val="-3"/>
        </w:rPr>
        <w:t xml:space="preserve"> </w:t>
      </w:r>
      <w:r>
        <w:t>profound</w:t>
      </w:r>
      <w:r>
        <w:rPr>
          <w:spacing w:val="-2"/>
        </w:rPr>
        <w:t xml:space="preserve"> </w:t>
      </w:r>
      <w:r>
        <w:t>point</w:t>
      </w:r>
      <w:r>
        <w:rPr>
          <w:spacing w:val="-3"/>
        </w:rPr>
        <w:t xml:space="preserve"> </w:t>
      </w:r>
      <w:r>
        <w:t>that</w:t>
      </w:r>
      <w:r>
        <w:rPr>
          <w:spacing w:val="-3"/>
        </w:rPr>
        <w:t xml:space="preserve"> </w:t>
      </w:r>
      <w:r>
        <w:t>moral</w:t>
      </w:r>
      <w:r>
        <w:rPr>
          <w:spacing w:val="-3"/>
        </w:rPr>
        <w:t xml:space="preserve"> </w:t>
      </w:r>
      <w:r>
        <w:t>principles</w:t>
      </w:r>
      <w:r>
        <w:rPr>
          <w:vertAlign w:val="superscript"/>
        </w:rPr>
        <w:t>1</w:t>
      </w:r>
      <w:r>
        <w:rPr>
          <w:spacing w:val="-2"/>
        </w:rPr>
        <w:t xml:space="preserve"> </w:t>
      </w:r>
      <w:r>
        <w:t>have</w:t>
      </w:r>
      <w:r>
        <w:rPr>
          <w:spacing w:val="-3"/>
        </w:rPr>
        <w:t xml:space="preserve"> </w:t>
      </w:r>
      <w:r>
        <w:t>a</w:t>
      </w:r>
      <w:r>
        <w:rPr>
          <w:spacing w:val="-3"/>
        </w:rPr>
        <w:t xml:space="preserve"> </w:t>
      </w:r>
      <w:r>
        <w:t>“dimension</w:t>
      </w:r>
      <w:r>
        <w:rPr>
          <w:spacing w:val="-2"/>
        </w:rPr>
        <w:t xml:space="preserve"> </w:t>
      </w:r>
      <w:r>
        <w:t>of</w:t>
      </w:r>
      <w:r>
        <w:rPr>
          <w:spacing w:val="-3"/>
        </w:rPr>
        <w:t xml:space="preserve"> </w:t>
      </w:r>
      <w:r>
        <w:t>weight,” whereas</w:t>
      </w:r>
      <w:r>
        <w:rPr>
          <w:spacing w:val="-3"/>
        </w:rPr>
        <w:t xml:space="preserve"> </w:t>
      </w:r>
      <w:r>
        <w:t>legal</w:t>
      </w:r>
      <w:r>
        <w:rPr>
          <w:spacing w:val="-2"/>
        </w:rPr>
        <w:t xml:space="preserve"> </w:t>
      </w:r>
      <w:r>
        <w:t>statutes</w:t>
      </w:r>
      <w:r>
        <w:rPr>
          <w:spacing w:val="-2"/>
        </w:rPr>
        <w:t xml:space="preserve"> </w:t>
      </w:r>
      <w:r>
        <w:t>do</w:t>
      </w:r>
      <w:r>
        <w:rPr>
          <w:spacing w:val="-2"/>
        </w:rPr>
        <w:t xml:space="preserve"> </w:t>
      </w:r>
      <w:r>
        <w:t>not.</w:t>
      </w:r>
      <w:r>
        <w:rPr>
          <w:spacing w:val="-2"/>
        </w:rPr>
        <w:t xml:space="preserve"> </w:t>
      </w:r>
      <w:r>
        <w:t>There</w:t>
      </w:r>
      <w:r>
        <w:rPr>
          <w:spacing w:val="-2"/>
        </w:rPr>
        <w:t xml:space="preserve"> </w:t>
      </w:r>
      <w:r>
        <w:t>aren’t</w:t>
      </w:r>
      <w:r>
        <w:rPr>
          <w:spacing w:val="-2"/>
        </w:rPr>
        <w:t xml:space="preserve"> </w:t>
      </w:r>
      <w:r>
        <w:t>degrees</w:t>
      </w:r>
      <w:r>
        <w:rPr>
          <w:spacing w:val="-2"/>
        </w:rPr>
        <w:t xml:space="preserve"> </w:t>
      </w:r>
      <w:r>
        <w:t>of</w:t>
      </w:r>
      <w:r>
        <w:rPr>
          <w:spacing w:val="-2"/>
        </w:rPr>
        <w:t xml:space="preserve"> </w:t>
      </w:r>
      <w:r>
        <w:t>legality.</w:t>
      </w:r>
      <w:r>
        <w:rPr>
          <w:spacing w:val="-2"/>
        </w:rPr>
        <w:t xml:space="preserve"> </w:t>
      </w:r>
      <w:r>
        <w:t>An</w:t>
      </w:r>
      <w:r>
        <w:rPr>
          <w:spacing w:val="-2"/>
        </w:rPr>
        <w:t xml:space="preserve"> </w:t>
      </w:r>
      <w:r>
        <w:t>act</w:t>
      </w:r>
      <w:r>
        <w:rPr>
          <w:spacing w:val="-2"/>
        </w:rPr>
        <w:t xml:space="preserve"> </w:t>
      </w:r>
      <w:r>
        <w:t>is</w:t>
      </w:r>
      <w:r>
        <w:rPr>
          <w:spacing w:val="-2"/>
        </w:rPr>
        <w:t xml:space="preserve"> </w:t>
      </w:r>
      <w:r>
        <w:t>either legal or it isn’t. Laws either hold or they don’t. Of course, some laws are hedged with exception clauses. (“Killing is illegal—unless done in self-defense.”) But given a duly hedged law, one is either in violation of it or one is not in violation of it. Legality is binary.</w:t>
      </w:r>
    </w:p>
    <w:p w14:paraId="7E00263A" w14:textId="77777777" w:rsidR="009A58DB" w:rsidRDefault="00000000">
      <w:pPr>
        <w:pStyle w:val="BodyText"/>
        <w:spacing w:line="249" w:lineRule="auto"/>
        <w:ind w:right="360" w:firstLine="360"/>
      </w:pPr>
      <w:r>
        <w:t xml:space="preserve">By contrast, morality is </w:t>
      </w:r>
      <w:r>
        <w:rPr>
          <w:i/>
        </w:rPr>
        <w:t xml:space="preserve">not </w:t>
      </w:r>
      <w:r>
        <w:t xml:space="preserve">binary. I have a professional and ethical responsibility to teach class on Tuesday. But I also promised a friend that I’d meet him for lunch. (When making that promise, I forgot that I had to teach.) I can’t cancel the lunch-date. (I have no way of reaching my friend.) Presumably, my obligation to teach </w:t>
      </w:r>
      <w:r>
        <w:rPr>
          <w:i/>
        </w:rPr>
        <w:t xml:space="preserve">outweighs </w:t>
      </w:r>
      <w:r>
        <w:t xml:space="preserve">my obligation to keep my lunch-date with my friend. Each obligation has some weight; but one of them has more weight than the other. I still have </w:t>
      </w:r>
      <w:r>
        <w:rPr>
          <w:i/>
        </w:rPr>
        <w:t xml:space="preserve">an </w:t>
      </w:r>
      <w:r>
        <w:t>obligation to meet my friend. But I can’t fulfill that obligation without shirking some greater obligation.</w:t>
      </w:r>
      <w:r>
        <w:rPr>
          <w:spacing w:val="40"/>
        </w:rPr>
        <w:t xml:space="preserve"> </w:t>
      </w:r>
      <w:r>
        <w:t xml:space="preserve">But I still </w:t>
      </w:r>
      <w:r>
        <w:rPr>
          <w:i/>
        </w:rPr>
        <w:t xml:space="preserve">have </w:t>
      </w:r>
      <w:r>
        <w:t>that obligation. That’s why, in standing my friend up, I’m behaving in a decidedly substandard way.</w:t>
      </w:r>
    </w:p>
    <w:p w14:paraId="7E00263B" w14:textId="77777777" w:rsidR="009A58DB" w:rsidRDefault="00000000">
      <w:pPr>
        <w:pStyle w:val="BodyText"/>
        <w:spacing w:before="11"/>
        <w:ind w:left="720"/>
      </w:pPr>
      <w:r>
        <w:t>Kant</w:t>
      </w:r>
      <w:r>
        <w:rPr>
          <w:spacing w:val="5"/>
        </w:rPr>
        <w:t xml:space="preserve"> </w:t>
      </w:r>
      <w:r>
        <w:t>evidently</w:t>
      </w:r>
      <w:r>
        <w:rPr>
          <w:spacing w:val="7"/>
        </w:rPr>
        <w:t xml:space="preserve"> </w:t>
      </w:r>
      <w:r>
        <w:t>thought</w:t>
      </w:r>
      <w:r>
        <w:rPr>
          <w:spacing w:val="8"/>
        </w:rPr>
        <w:t xml:space="preserve"> </w:t>
      </w:r>
      <w:r>
        <w:t>that,</w:t>
      </w:r>
      <w:r>
        <w:rPr>
          <w:spacing w:val="7"/>
        </w:rPr>
        <w:t xml:space="preserve"> </w:t>
      </w:r>
      <w:r>
        <w:t>just</w:t>
      </w:r>
      <w:r>
        <w:rPr>
          <w:spacing w:val="7"/>
        </w:rPr>
        <w:t xml:space="preserve"> </w:t>
      </w:r>
      <w:r>
        <w:t>like</w:t>
      </w:r>
      <w:r>
        <w:rPr>
          <w:spacing w:val="7"/>
        </w:rPr>
        <w:t xml:space="preserve"> </w:t>
      </w:r>
      <w:r>
        <w:t>legal</w:t>
      </w:r>
      <w:r>
        <w:rPr>
          <w:spacing w:val="8"/>
        </w:rPr>
        <w:t xml:space="preserve"> </w:t>
      </w:r>
      <w:r>
        <w:t>statutes,</w:t>
      </w:r>
      <w:r>
        <w:rPr>
          <w:spacing w:val="7"/>
        </w:rPr>
        <w:t xml:space="preserve"> </w:t>
      </w:r>
      <w:r>
        <w:t>moral</w:t>
      </w:r>
      <w:r>
        <w:rPr>
          <w:spacing w:val="7"/>
        </w:rPr>
        <w:t xml:space="preserve"> </w:t>
      </w:r>
      <w:r>
        <w:t>laws</w:t>
      </w:r>
      <w:r>
        <w:rPr>
          <w:spacing w:val="8"/>
        </w:rPr>
        <w:t xml:space="preserve"> </w:t>
      </w:r>
      <w:r>
        <w:t>are</w:t>
      </w:r>
      <w:r>
        <w:rPr>
          <w:spacing w:val="7"/>
        </w:rPr>
        <w:t xml:space="preserve"> </w:t>
      </w:r>
      <w:r>
        <w:rPr>
          <w:spacing w:val="-2"/>
        </w:rPr>
        <w:t>binary:</w:t>
      </w:r>
    </w:p>
    <w:p w14:paraId="7E00263C" w14:textId="77777777" w:rsidR="009A58DB" w:rsidRDefault="009A58DB">
      <w:pPr>
        <w:pStyle w:val="BodyText"/>
        <w:sectPr w:rsidR="009A58DB">
          <w:pgSz w:w="12240" w:h="15840"/>
          <w:pgMar w:top="1380" w:right="1080" w:bottom="280" w:left="1080" w:header="720" w:footer="720" w:gutter="0"/>
          <w:cols w:space="720"/>
        </w:sectPr>
      </w:pPr>
    </w:p>
    <w:p w14:paraId="7E00263D" w14:textId="77777777" w:rsidR="009A58DB" w:rsidRDefault="00000000">
      <w:pPr>
        <w:pStyle w:val="BodyText"/>
        <w:spacing w:before="60" w:line="249" w:lineRule="auto"/>
        <w:jc w:val="left"/>
      </w:pPr>
      <w:r>
        <w:lastRenderedPageBreak/>
        <w:t>a</w:t>
      </w:r>
      <w:r>
        <w:rPr>
          <w:spacing w:val="30"/>
        </w:rPr>
        <w:t xml:space="preserve"> </w:t>
      </w:r>
      <w:r>
        <w:t>given</w:t>
      </w:r>
      <w:r>
        <w:rPr>
          <w:spacing w:val="30"/>
        </w:rPr>
        <w:t xml:space="preserve"> </w:t>
      </w:r>
      <w:r>
        <w:t>law</w:t>
      </w:r>
      <w:r>
        <w:rPr>
          <w:spacing w:val="30"/>
        </w:rPr>
        <w:t xml:space="preserve"> </w:t>
      </w:r>
      <w:r>
        <w:t>either</w:t>
      </w:r>
      <w:r>
        <w:rPr>
          <w:spacing w:val="30"/>
        </w:rPr>
        <w:t xml:space="preserve"> </w:t>
      </w:r>
      <w:r>
        <w:t>holds</w:t>
      </w:r>
      <w:r>
        <w:rPr>
          <w:spacing w:val="30"/>
        </w:rPr>
        <w:t xml:space="preserve"> </w:t>
      </w:r>
      <w:r>
        <w:t>or</w:t>
      </w:r>
      <w:r>
        <w:rPr>
          <w:spacing w:val="30"/>
        </w:rPr>
        <w:t xml:space="preserve"> </w:t>
      </w:r>
      <w:r>
        <w:t>it</w:t>
      </w:r>
      <w:r>
        <w:rPr>
          <w:spacing w:val="30"/>
        </w:rPr>
        <w:t xml:space="preserve"> </w:t>
      </w:r>
      <w:r>
        <w:t>doesn’t.</w:t>
      </w:r>
      <w:r>
        <w:rPr>
          <w:spacing w:val="30"/>
        </w:rPr>
        <w:t xml:space="preserve"> </w:t>
      </w:r>
      <w:r>
        <w:t>Kant</w:t>
      </w:r>
      <w:r>
        <w:rPr>
          <w:spacing w:val="30"/>
        </w:rPr>
        <w:t xml:space="preserve"> </w:t>
      </w:r>
      <w:r>
        <w:t>was</w:t>
      </w:r>
      <w:r>
        <w:rPr>
          <w:spacing w:val="30"/>
        </w:rPr>
        <w:t xml:space="preserve"> </w:t>
      </w:r>
      <w:r>
        <w:t>wrong.</w:t>
      </w:r>
      <w:r>
        <w:rPr>
          <w:spacing w:val="30"/>
        </w:rPr>
        <w:t xml:space="preserve"> </w:t>
      </w:r>
      <w:r>
        <w:t>Moral</w:t>
      </w:r>
      <w:r>
        <w:rPr>
          <w:spacing w:val="30"/>
        </w:rPr>
        <w:t xml:space="preserve"> </w:t>
      </w:r>
      <w:r>
        <w:t>laws,</w:t>
      </w:r>
      <w:r>
        <w:rPr>
          <w:spacing w:val="30"/>
        </w:rPr>
        <w:t xml:space="preserve"> </w:t>
      </w:r>
      <w:r>
        <w:t>unlike legal statutes, can have varying degrees of relevance.</w:t>
      </w:r>
    </w:p>
    <w:p w14:paraId="7E00263E" w14:textId="77777777" w:rsidR="009A58DB" w:rsidRDefault="00000000">
      <w:pPr>
        <w:pStyle w:val="Heading1"/>
        <w:numPr>
          <w:ilvl w:val="1"/>
          <w:numId w:val="53"/>
        </w:numPr>
        <w:tabs>
          <w:tab w:val="left" w:pos="1484"/>
        </w:tabs>
        <w:spacing w:before="195"/>
        <w:ind w:left="1484" w:hanging="1124"/>
      </w:pPr>
      <w:r>
        <w:t>Kant’s</w:t>
      </w:r>
      <w:r>
        <w:rPr>
          <w:spacing w:val="9"/>
        </w:rPr>
        <w:t xml:space="preserve"> </w:t>
      </w:r>
      <w:r>
        <w:t>argument</w:t>
      </w:r>
      <w:r>
        <w:rPr>
          <w:spacing w:val="11"/>
        </w:rPr>
        <w:t xml:space="preserve"> </w:t>
      </w:r>
      <w:r>
        <w:t>as</w:t>
      </w:r>
      <w:r>
        <w:rPr>
          <w:spacing w:val="12"/>
        </w:rPr>
        <w:t xml:space="preserve"> </w:t>
      </w:r>
      <w:r>
        <w:t>to</w:t>
      </w:r>
      <w:r>
        <w:rPr>
          <w:spacing w:val="12"/>
        </w:rPr>
        <w:t xml:space="preserve"> </w:t>
      </w:r>
      <w:r>
        <w:t>why</w:t>
      </w:r>
      <w:r>
        <w:rPr>
          <w:spacing w:val="13"/>
        </w:rPr>
        <w:t xml:space="preserve"> </w:t>
      </w:r>
      <w:r>
        <w:t>morality</w:t>
      </w:r>
      <w:r>
        <w:rPr>
          <w:spacing w:val="12"/>
        </w:rPr>
        <w:t xml:space="preserve"> </w:t>
      </w:r>
      <w:r>
        <w:t>and</w:t>
      </w:r>
      <w:r>
        <w:rPr>
          <w:spacing w:val="12"/>
        </w:rPr>
        <w:t xml:space="preserve"> </w:t>
      </w:r>
      <w:r>
        <w:rPr>
          <w:spacing w:val="-2"/>
        </w:rPr>
        <w:t>self-</w:t>
      </w:r>
    </w:p>
    <w:p w14:paraId="7E00263F" w14:textId="77777777" w:rsidR="009A58DB" w:rsidRDefault="00000000">
      <w:pPr>
        <w:spacing w:before="12" w:line="391" w:lineRule="exact"/>
        <w:ind w:left="4275"/>
        <w:rPr>
          <w:b/>
          <w:sz w:val="42"/>
        </w:rPr>
      </w:pPr>
      <w:r>
        <w:rPr>
          <w:b/>
          <w:noProof/>
          <w:sz w:val="42"/>
        </w:rPr>
        <mc:AlternateContent>
          <mc:Choice Requires="wps">
            <w:drawing>
              <wp:anchor distT="0" distB="0" distL="0" distR="0" simplePos="0" relativeHeight="487606784" behindDoc="1" locked="0" layoutInCell="1" allowOverlap="1" wp14:anchorId="7E00329A" wp14:editId="7E00329B">
                <wp:simplePos x="0" y="0"/>
                <wp:positionH relativeFrom="page">
                  <wp:posOffset>3400425</wp:posOffset>
                </wp:positionH>
                <wp:positionV relativeFrom="paragraph">
                  <wp:posOffset>271146</wp:posOffset>
                </wp:positionV>
                <wp:extent cx="5715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F3C8F30" id="Graphic 38" o:spid="_x0000_s1026" style="position:absolute;margin-left:267.75pt;margin-top:21.35pt;width:4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" path="m,l571500,e" filled="f" strokecolor="#0562c1">
                <v:path arrowok="t"/>
                <w10:wrap type="topAndBottom" anchorx="page"/>
              </v:shape>
            </w:pict>
          </mc:Fallback>
        </mc:AlternateContent>
      </w:r>
      <w:bookmarkStart w:id="523" w:name="_bookmark523"/>
      <w:bookmarkEnd w:id="523"/>
      <w:r>
        <w:rPr>
          <w:b/>
          <w:color w:val="0562C1"/>
          <w:spacing w:val="-2"/>
          <w:sz w:val="42"/>
        </w:rPr>
        <w:t>[391]</w:t>
      </w:r>
    </w:p>
    <w:p w14:paraId="7E002640" w14:textId="77777777" w:rsidR="009A58DB" w:rsidRDefault="00000000">
      <w:pPr>
        <w:pStyle w:val="Heading1"/>
        <w:spacing w:before="0" w:line="360" w:lineRule="exact"/>
        <w:ind w:left="360" w:firstLine="0"/>
      </w:pPr>
      <w:r>
        <w:t>interest</w:t>
      </w:r>
      <w:r>
        <w:rPr>
          <w:spacing w:val="-7"/>
        </w:rPr>
        <w:t xml:space="preserve"> </w:t>
      </w:r>
      <w:r>
        <w:t>coalesce</w:t>
      </w:r>
      <w:r>
        <w:rPr>
          <w:spacing w:val="-7"/>
        </w:rPr>
        <w:t xml:space="preserve"> </w:t>
      </w:r>
      <w:r>
        <w:rPr>
          <w:spacing w:val="-4"/>
        </w:rPr>
        <w:t>(KA)</w:t>
      </w:r>
    </w:p>
    <w:p w14:paraId="7E002641" w14:textId="77777777" w:rsidR="009A58DB" w:rsidRDefault="00000000">
      <w:pPr>
        <w:pStyle w:val="BodyText"/>
        <w:spacing w:before="139" w:line="249" w:lineRule="auto"/>
        <w:ind w:left="720" w:right="719"/>
      </w:pPr>
      <w:r>
        <w:t>(KA)We</w:t>
      </w:r>
      <w:r>
        <w:rPr>
          <w:spacing w:val="-1"/>
        </w:rPr>
        <w:t xml:space="preserve"> </w:t>
      </w:r>
      <w:r>
        <w:t>have</w:t>
      </w:r>
      <w:r>
        <w:rPr>
          <w:spacing w:val="-1"/>
        </w:rPr>
        <w:t xml:space="preserve"> </w:t>
      </w:r>
      <w:r>
        <w:t>value</w:t>
      </w:r>
      <w:r>
        <w:rPr>
          <w:spacing w:val="-1"/>
        </w:rPr>
        <w:t xml:space="preserve"> </w:t>
      </w:r>
      <w:r>
        <w:t>to</w:t>
      </w:r>
      <w:r>
        <w:rPr>
          <w:spacing w:val="-1"/>
        </w:rPr>
        <w:t xml:space="preserve"> </w:t>
      </w:r>
      <w:r>
        <w:t>the</w:t>
      </w:r>
      <w:r>
        <w:rPr>
          <w:spacing w:val="-1"/>
        </w:rPr>
        <w:t xml:space="preserve"> </w:t>
      </w:r>
      <w:r>
        <w:t>extent</w:t>
      </w:r>
      <w:r>
        <w:rPr>
          <w:spacing w:val="-1"/>
        </w:rPr>
        <w:t xml:space="preserve"> </w:t>
      </w:r>
      <w:r>
        <w:t>that</w:t>
      </w:r>
      <w:r>
        <w:rPr>
          <w:spacing w:val="-1"/>
        </w:rPr>
        <w:t xml:space="preserve"> </w:t>
      </w:r>
      <w:r>
        <w:t>we</w:t>
      </w:r>
      <w:r>
        <w:rPr>
          <w:spacing w:val="-1"/>
        </w:rPr>
        <w:t xml:space="preserve"> </w:t>
      </w:r>
      <w:r>
        <w:t>are</w:t>
      </w:r>
      <w:r>
        <w:rPr>
          <w:spacing w:val="-1"/>
        </w:rPr>
        <w:t xml:space="preserve"> </w:t>
      </w:r>
      <w:r>
        <w:t>rational.</w:t>
      </w:r>
      <w:r>
        <w:rPr>
          <w:spacing w:val="-1"/>
        </w:rPr>
        <w:t xml:space="preserve"> </w:t>
      </w:r>
      <w:r>
        <w:t>We’re</w:t>
      </w:r>
      <w:r>
        <w:rPr>
          <w:spacing w:val="-1"/>
        </w:rPr>
        <w:t xml:space="preserve"> </w:t>
      </w:r>
      <w:r>
        <w:t>better</w:t>
      </w:r>
      <w:r>
        <w:rPr>
          <w:spacing w:val="-1"/>
        </w:rPr>
        <w:t xml:space="preserve"> </w:t>
      </w:r>
      <w:r>
        <w:t>than chipmunks and jellyfish to the extent that we are rational and they are not. (If chipmunks were to become rational and we were to become irrational, they’d have more value than we would.) Thus, so far as we subvert our own rationality, we undermine ourselves. Given an</w:t>
      </w:r>
      <w:r>
        <w:rPr>
          <w:spacing w:val="40"/>
        </w:rPr>
        <w:t xml:space="preserve"> </w:t>
      </w:r>
      <w:r>
        <w:t>immoral</w:t>
      </w:r>
      <w:r>
        <w:rPr>
          <w:spacing w:val="-2"/>
        </w:rPr>
        <w:t xml:space="preserve"> </w:t>
      </w:r>
      <w:r>
        <w:t>act,</w:t>
      </w:r>
      <w:r>
        <w:rPr>
          <w:spacing w:val="-2"/>
        </w:rPr>
        <w:t xml:space="preserve"> </w:t>
      </w:r>
      <w:r>
        <w:t>the</w:t>
      </w:r>
      <w:r>
        <w:rPr>
          <w:spacing w:val="-2"/>
        </w:rPr>
        <w:t xml:space="preserve"> </w:t>
      </w:r>
      <w:r>
        <w:t>very</w:t>
      </w:r>
      <w:r>
        <w:rPr>
          <w:spacing w:val="-2"/>
        </w:rPr>
        <w:t xml:space="preserve"> </w:t>
      </w:r>
      <w:r>
        <w:t>idea</w:t>
      </w:r>
      <w:r>
        <w:rPr>
          <w:spacing w:val="-2"/>
        </w:rPr>
        <w:t xml:space="preserve"> </w:t>
      </w:r>
      <w:r>
        <w:t>of</w:t>
      </w:r>
      <w:r>
        <w:rPr>
          <w:spacing w:val="-2"/>
        </w:rPr>
        <w:t xml:space="preserve"> </w:t>
      </w:r>
      <w:r>
        <w:t>a</w:t>
      </w:r>
      <w:r>
        <w:rPr>
          <w:spacing w:val="-2"/>
        </w:rPr>
        <w:t xml:space="preserve"> </w:t>
      </w:r>
      <w:r>
        <w:t>world</w:t>
      </w:r>
      <w:r>
        <w:rPr>
          <w:spacing w:val="-2"/>
        </w:rPr>
        <w:t xml:space="preserve"> </w:t>
      </w:r>
      <w:r>
        <w:t>in</w:t>
      </w:r>
      <w:r>
        <w:rPr>
          <w:spacing w:val="-2"/>
        </w:rPr>
        <w:t xml:space="preserve"> </w:t>
      </w:r>
      <w:r>
        <w:t>which</w:t>
      </w:r>
      <w:r>
        <w:rPr>
          <w:spacing w:val="-2"/>
        </w:rPr>
        <w:t xml:space="preserve"> </w:t>
      </w:r>
      <w:r>
        <w:t>everyone</w:t>
      </w:r>
      <w:r>
        <w:rPr>
          <w:spacing w:val="-2"/>
        </w:rPr>
        <w:t xml:space="preserve"> </w:t>
      </w:r>
      <w:r>
        <w:t>committed</w:t>
      </w:r>
      <w:r>
        <w:rPr>
          <w:spacing w:val="-2"/>
        </w:rPr>
        <w:t xml:space="preserve"> </w:t>
      </w:r>
      <w:r>
        <w:t>that act is an incoherent one. It follows that immoral acts themselves are incoherent and, therefore, irrational. Since irrationality is self-undermining, and so is immorality; and it’s thus inherently in one’s interest to be moral.</w:t>
      </w:r>
    </w:p>
    <w:p w14:paraId="7E002642" w14:textId="77777777" w:rsidR="009A58DB" w:rsidRDefault="009A58DB">
      <w:pPr>
        <w:pStyle w:val="BodyText"/>
        <w:spacing w:before="27"/>
        <w:ind w:left="0"/>
        <w:jc w:val="left"/>
      </w:pPr>
    </w:p>
    <w:p w14:paraId="7E002643" w14:textId="77777777" w:rsidR="009A58DB" w:rsidRDefault="00000000">
      <w:pPr>
        <w:pStyle w:val="BodyText"/>
        <w:spacing w:line="249" w:lineRule="auto"/>
        <w:ind w:right="358" w:firstLine="360"/>
      </w:pPr>
      <w:r>
        <w:t>This argument involves a massive non-sequitur. Kant says that the very idea</w:t>
      </w:r>
      <w:r>
        <w:rPr>
          <w:spacing w:val="-3"/>
        </w:rPr>
        <w:t xml:space="preserve"> </w:t>
      </w:r>
      <w:r>
        <w:t>of</w:t>
      </w:r>
      <w:r>
        <w:rPr>
          <w:spacing w:val="-2"/>
        </w:rPr>
        <w:t xml:space="preserve"> </w:t>
      </w:r>
      <w:r>
        <w:t>a</w:t>
      </w:r>
      <w:r>
        <w:rPr>
          <w:spacing w:val="-3"/>
        </w:rPr>
        <w:t xml:space="preserve"> </w:t>
      </w:r>
      <w:r>
        <w:t>world</w:t>
      </w:r>
      <w:r>
        <w:rPr>
          <w:spacing w:val="-2"/>
        </w:rPr>
        <w:t xml:space="preserve"> </w:t>
      </w:r>
      <w:r>
        <w:t>in</w:t>
      </w:r>
      <w:r>
        <w:rPr>
          <w:spacing w:val="-3"/>
        </w:rPr>
        <w:t xml:space="preserve"> </w:t>
      </w:r>
      <w:r>
        <w:t>which</w:t>
      </w:r>
      <w:r>
        <w:rPr>
          <w:spacing w:val="-2"/>
        </w:rPr>
        <w:t xml:space="preserve"> </w:t>
      </w:r>
      <w:r>
        <w:t>everybody</w:t>
      </w:r>
      <w:r>
        <w:rPr>
          <w:spacing w:val="-2"/>
        </w:rPr>
        <w:t xml:space="preserve"> </w:t>
      </w:r>
      <w:r>
        <w:t>lies</w:t>
      </w:r>
      <w:r>
        <w:rPr>
          <w:spacing w:val="-3"/>
        </w:rPr>
        <w:t xml:space="preserve"> </w:t>
      </w:r>
      <w:r>
        <w:t>and</w:t>
      </w:r>
      <w:r>
        <w:rPr>
          <w:spacing w:val="-2"/>
        </w:rPr>
        <w:t xml:space="preserve"> </w:t>
      </w:r>
      <w:r>
        <w:t>in</w:t>
      </w:r>
      <w:r>
        <w:rPr>
          <w:spacing w:val="-3"/>
        </w:rPr>
        <w:t xml:space="preserve"> </w:t>
      </w:r>
      <w:r>
        <w:t>which</w:t>
      </w:r>
      <w:r>
        <w:rPr>
          <w:spacing w:val="-2"/>
        </w:rPr>
        <w:t xml:space="preserve"> </w:t>
      </w:r>
      <w:r>
        <w:t>people</w:t>
      </w:r>
      <w:r>
        <w:rPr>
          <w:spacing w:val="-3"/>
        </w:rPr>
        <w:t xml:space="preserve"> </w:t>
      </w:r>
      <w:r>
        <w:t>still</w:t>
      </w:r>
      <w:r>
        <w:rPr>
          <w:spacing w:val="-2"/>
        </w:rPr>
        <w:t xml:space="preserve"> </w:t>
      </w:r>
      <w:r>
        <w:t>benefit</w:t>
      </w:r>
      <w:r>
        <w:rPr>
          <w:spacing w:val="-2"/>
        </w:rPr>
        <w:t xml:space="preserve"> </w:t>
      </w:r>
      <w:r>
        <w:t xml:space="preserve">from lying is an incoherent one. He concludes from this that in </w:t>
      </w:r>
      <w:r>
        <w:rPr>
          <w:i/>
        </w:rPr>
        <w:t xml:space="preserve">our </w:t>
      </w:r>
      <w:r>
        <w:t>world one is acting incoherently in lying. But this doesn’t follow. Whether an act is rational in a given situation depends on how that situation is. Other situations are irrelevant. Whether an act is rational in our world depends on how our world is. In our world, a person’s lying doesn’t entail that everyone else lies; nor is a person’s lying necessarily self-defeating for some other reason.</w:t>
      </w:r>
    </w:p>
    <w:p w14:paraId="7E002644" w14:textId="77777777" w:rsidR="009A58DB" w:rsidRDefault="00000000">
      <w:pPr>
        <w:pStyle w:val="BodyText"/>
        <w:spacing w:before="10" w:line="249" w:lineRule="auto"/>
        <w:ind w:right="363" w:firstLine="360"/>
      </w:pPr>
      <w:r>
        <w:t>Kant was an exceptionally brilliant man. So why did he commit this ghastly logical faux pas? A story will help us answer this question. Smith is an</w:t>
      </w:r>
      <w:r>
        <w:rPr>
          <w:spacing w:val="-3"/>
        </w:rPr>
        <w:t xml:space="preserve"> </w:t>
      </w:r>
      <w:r>
        <w:t>auto</w:t>
      </w:r>
      <w:r>
        <w:rPr>
          <w:spacing w:val="-3"/>
        </w:rPr>
        <w:t xml:space="preserve"> </w:t>
      </w:r>
      <w:r>
        <w:t>mechanic</w:t>
      </w:r>
      <w:r>
        <w:rPr>
          <w:spacing w:val="-4"/>
        </w:rPr>
        <w:t xml:space="preserve"> </w:t>
      </w:r>
      <w:r>
        <w:t>who,</w:t>
      </w:r>
      <w:r>
        <w:rPr>
          <w:spacing w:val="-3"/>
        </w:rPr>
        <w:t xml:space="preserve"> </w:t>
      </w:r>
      <w:r>
        <w:t>being</w:t>
      </w:r>
      <w:r>
        <w:rPr>
          <w:spacing w:val="-3"/>
        </w:rPr>
        <w:t xml:space="preserve"> </w:t>
      </w:r>
      <w:r>
        <w:t>self-taught,</w:t>
      </w:r>
      <w:r>
        <w:rPr>
          <w:spacing w:val="-3"/>
        </w:rPr>
        <w:t xml:space="preserve"> </w:t>
      </w:r>
      <w:r>
        <w:t>relies</w:t>
      </w:r>
      <w:r>
        <w:rPr>
          <w:spacing w:val="-4"/>
        </w:rPr>
        <w:t xml:space="preserve"> </w:t>
      </w:r>
      <w:r>
        <w:t>entirely</w:t>
      </w:r>
      <w:r>
        <w:rPr>
          <w:spacing w:val="-3"/>
        </w:rPr>
        <w:t xml:space="preserve"> </w:t>
      </w:r>
      <w:r>
        <w:t>on</w:t>
      </w:r>
      <w:r>
        <w:rPr>
          <w:spacing w:val="-3"/>
        </w:rPr>
        <w:t xml:space="preserve"> </w:t>
      </w:r>
      <w:r>
        <w:t>rules</w:t>
      </w:r>
      <w:r>
        <w:rPr>
          <w:spacing w:val="-4"/>
        </w:rPr>
        <w:t xml:space="preserve"> </w:t>
      </w:r>
      <w:r>
        <w:t>of</w:t>
      </w:r>
      <w:r>
        <w:rPr>
          <w:spacing w:val="-4"/>
        </w:rPr>
        <w:t xml:space="preserve"> </w:t>
      </w:r>
      <w:r>
        <w:t>thumb.</w:t>
      </w:r>
      <w:r>
        <w:rPr>
          <w:spacing w:val="-3"/>
        </w:rPr>
        <w:t xml:space="preserve"> </w:t>
      </w:r>
      <w:r>
        <w:t>He doesn’t know general principles of engineering and must deal with each car on a case by case basis. Given a car problem, Smith can’t bring general principles to bear on it, and it is only by becoming intimately familiar with the idiosyncrasies of the car in question that he can figure out what is wrong with it.</w:t>
      </w:r>
    </w:p>
    <w:p w14:paraId="7E002645" w14:textId="77777777" w:rsidR="009A58DB" w:rsidRDefault="00000000">
      <w:pPr>
        <w:pStyle w:val="BodyText"/>
        <w:spacing w:before="10" w:line="249" w:lineRule="auto"/>
        <w:ind w:right="370" w:firstLine="360"/>
      </w:pPr>
      <w:r>
        <w:t>Let’s contrast Smith with that paragon of rationality, Isaac Newton. Newton</w:t>
      </w:r>
      <w:r>
        <w:rPr>
          <w:spacing w:val="77"/>
        </w:rPr>
        <w:t xml:space="preserve"> </w:t>
      </w:r>
      <w:r>
        <w:t>could</w:t>
      </w:r>
      <w:r>
        <w:rPr>
          <w:spacing w:val="77"/>
        </w:rPr>
        <w:t xml:space="preserve"> </w:t>
      </w:r>
      <w:r>
        <w:t>understand</w:t>
      </w:r>
      <w:r>
        <w:rPr>
          <w:spacing w:val="77"/>
        </w:rPr>
        <w:t xml:space="preserve"> </w:t>
      </w:r>
      <w:r>
        <w:t>a</w:t>
      </w:r>
      <w:r>
        <w:rPr>
          <w:spacing w:val="77"/>
        </w:rPr>
        <w:t xml:space="preserve"> </w:t>
      </w:r>
      <w:r>
        <w:t>certain</w:t>
      </w:r>
      <w:r>
        <w:rPr>
          <w:spacing w:val="77"/>
        </w:rPr>
        <w:t xml:space="preserve"> </w:t>
      </w:r>
      <w:r>
        <w:t>phenomenon</w:t>
      </w:r>
      <w:r>
        <w:rPr>
          <w:spacing w:val="77"/>
        </w:rPr>
        <w:t xml:space="preserve"> </w:t>
      </w:r>
      <w:r>
        <w:t>(e.g.,</w:t>
      </w:r>
      <w:r>
        <w:rPr>
          <w:spacing w:val="77"/>
        </w:rPr>
        <w:t xml:space="preserve"> </w:t>
      </w:r>
      <w:r>
        <w:t>a</w:t>
      </w:r>
      <w:r>
        <w:rPr>
          <w:spacing w:val="77"/>
        </w:rPr>
        <w:t xml:space="preserve"> </w:t>
      </w:r>
      <w:r>
        <w:t>certain</w:t>
      </w:r>
      <w:r>
        <w:rPr>
          <w:spacing w:val="77"/>
        </w:rPr>
        <w:t xml:space="preserve"> </w:t>
      </w:r>
      <w:r>
        <w:t>planet’s</w:t>
      </w:r>
    </w:p>
    <w:p w14:paraId="7E00264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47" w14:textId="77777777" w:rsidR="009A58DB" w:rsidRDefault="00000000">
      <w:pPr>
        <w:pStyle w:val="BodyText"/>
        <w:spacing w:before="60" w:line="249" w:lineRule="auto"/>
        <w:ind w:right="358"/>
      </w:pPr>
      <w:r>
        <w:lastRenderedPageBreak/>
        <w:t>orbiting in a certain manner around a certain star) in terms of general principles. This was why Newton, unlike his predecessors, was able to see that the tides were to be explained in terms of the same physical principles as the trajectory of a cannonball and that both were to be explained in terms of the same principles as the orbiting of the Earth around the Sun. So far as he was</w:t>
      </w:r>
      <w:r>
        <w:rPr>
          <w:spacing w:val="-4"/>
        </w:rPr>
        <w:t xml:space="preserve"> </w:t>
      </w:r>
      <w:r>
        <w:t>able</w:t>
      </w:r>
      <w:r>
        <w:rPr>
          <w:spacing w:val="-4"/>
        </w:rPr>
        <w:t xml:space="preserve"> </w:t>
      </w:r>
      <w:r>
        <w:t>to</w:t>
      </w:r>
      <w:r>
        <w:rPr>
          <w:spacing w:val="-3"/>
        </w:rPr>
        <w:t xml:space="preserve"> </w:t>
      </w:r>
      <w:r>
        <w:t>see</w:t>
      </w:r>
      <w:r>
        <w:rPr>
          <w:spacing w:val="-4"/>
        </w:rPr>
        <w:t xml:space="preserve"> </w:t>
      </w:r>
      <w:r>
        <w:t>such</w:t>
      </w:r>
      <w:r>
        <w:rPr>
          <w:spacing w:val="-3"/>
        </w:rPr>
        <w:t xml:space="preserve"> </w:t>
      </w:r>
      <w:r>
        <w:t>inner</w:t>
      </w:r>
      <w:r>
        <w:rPr>
          <w:spacing w:val="-4"/>
        </w:rPr>
        <w:t xml:space="preserve"> </w:t>
      </w:r>
      <w:r>
        <w:t>similarities</w:t>
      </w:r>
      <w:r>
        <w:rPr>
          <w:spacing w:val="-4"/>
        </w:rPr>
        <w:t xml:space="preserve"> </w:t>
      </w:r>
      <w:r>
        <w:t>between</w:t>
      </w:r>
      <w:r>
        <w:rPr>
          <w:spacing w:val="-3"/>
        </w:rPr>
        <w:t xml:space="preserve"> </w:t>
      </w:r>
      <w:r>
        <w:t>apparently</w:t>
      </w:r>
      <w:r>
        <w:rPr>
          <w:spacing w:val="-3"/>
        </w:rPr>
        <w:t xml:space="preserve"> </w:t>
      </w:r>
      <w:r>
        <w:t>different</w:t>
      </w:r>
      <w:r>
        <w:rPr>
          <w:spacing w:val="-4"/>
        </w:rPr>
        <w:t xml:space="preserve"> </w:t>
      </w:r>
      <w:r>
        <w:t>situations, Newton was able to discern the real structure of the world and was, to that extent, genuinely rational. By the same token, in failing to understand particulars in terms of universals, Smith is failing to see the real structure of the world and is thus failing to be rational. This suggests that thought is rational to the extent that it is driven by a knowledge of principles that can be universalized—that is, that hold generally and aren’t context-specific.</w:t>
      </w:r>
    </w:p>
    <w:p w14:paraId="7E002648" w14:textId="77777777" w:rsidR="009A58DB" w:rsidRDefault="00000000">
      <w:pPr>
        <w:pStyle w:val="BodyText"/>
        <w:spacing w:before="19" w:line="249" w:lineRule="auto"/>
        <w:ind w:right="359" w:firstLine="360"/>
      </w:pPr>
      <w:r>
        <w:t>Given these very reasonable points, all of which the present author</w:t>
      </w:r>
      <w:r>
        <w:rPr>
          <w:spacing w:val="40"/>
        </w:rPr>
        <w:t xml:space="preserve"> </w:t>
      </w:r>
      <w:r>
        <w:t xml:space="preserve">accepts, Kant infers that an act is rational to the extent that it is driven by principles that can be universalized. The principle that underlies a lie—viz. </w:t>
      </w:r>
      <w:r>
        <w:rPr>
          <w:i/>
        </w:rPr>
        <w:t>I can tell a lie and benefit from it</w:t>
      </w:r>
      <w:r>
        <w:t>—isn’t one that can be universalized and for that</w:t>
      </w:r>
      <w:r>
        <w:rPr>
          <w:spacing w:val="40"/>
        </w:rPr>
        <w:t xml:space="preserve"> </w:t>
      </w:r>
      <w:r>
        <w:t>reason, Kant believes, isn’t rational. So by lying, thinks Kant, one is making oneself less like Newton and more like Smith, and one is therefore diminishing oneself.</w:t>
      </w:r>
    </w:p>
    <w:p w14:paraId="7E002649" w14:textId="77777777" w:rsidR="009A58DB" w:rsidRDefault="00000000">
      <w:pPr>
        <w:pStyle w:val="BodyText"/>
        <w:spacing w:before="9" w:line="249" w:lineRule="auto"/>
        <w:ind w:right="361" w:firstLine="360"/>
      </w:pPr>
      <w:r>
        <w:t>So far as this argument appears probative, it is because the term “universalizable” is being used in an equivocal manner. Let us suppose that, from</w:t>
      </w:r>
      <w:r>
        <w:rPr>
          <w:spacing w:val="-4"/>
        </w:rPr>
        <w:t xml:space="preserve"> </w:t>
      </w:r>
      <w:r>
        <w:t>every</w:t>
      </w:r>
      <w:r>
        <w:rPr>
          <w:spacing w:val="-3"/>
        </w:rPr>
        <w:t xml:space="preserve"> </w:t>
      </w:r>
      <w:r>
        <w:t>standpoint</w:t>
      </w:r>
      <w:r>
        <w:rPr>
          <w:spacing w:val="-4"/>
        </w:rPr>
        <w:t xml:space="preserve"> </w:t>
      </w:r>
      <w:r>
        <w:t>other</w:t>
      </w:r>
      <w:r>
        <w:rPr>
          <w:spacing w:val="-4"/>
        </w:rPr>
        <w:t xml:space="preserve"> </w:t>
      </w:r>
      <w:r>
        <w:t>than</w:t>
      </w:r>
      <w:r>
        <w:rPr>
          <w:spacing w:val="-3"/>
        </w:rPr>
        <w:t xml:space="preserve"> </w:t>
      </w:r>
      <w:r>
        <w:t>a</w:t>
      </w:r>
      <w:r>
        <w:rPr>
          <w:spacing w:val="-4"/>
        </w:rPr>
        <w:t xml:space="preserve"> </w:t>
      </w:r>
      <w:r>
        <w:t>purely</w:t>
      </w:r>
      <w:r>
        <w:rPr>
          <w:spacing w:val="-3"/>
        </w:rPr>
        <w:t xml:space="preserve"> </w:t>
      </w:r>
      <w:r>
        <w:t>ethical</w:t>
      </w:r>
      <w:r>
        <w:rPr>
          <w:spacing w:val="-4"/>
        </w:rPr>
        <w:t xml:space="preserve"> </w:t>
      </w:r>
      <w:r>
        <w:t>one,</w:t>
      </w:r>
      <w:r>
        <w:rPr>
          <w:spacing w:val="-3"/>
        </w:rPr>
        <w:t xml:space="preserve"> </w:t>
      </w:r>
      <w:r>
        <w:t>my</w:t>
      </w:r>
      <w:r>
        <w:rPr>
          <w:spacing w:val="-3"/>
        </w:rPr>
        <w:t xml:space="preserve"> </w:t>
      </w:r>
      <w:r>
        <w:t>lying</w:t>
      </w:r>
      <w:r>
        <w:rPr>
          <w:spacing w:val="-3"/>
        </w:rPr>
        <w:t xml:space="preserve"> </w:t>
      </w:r>
      <w:r>
        <w:t>to</w:t>
      </w:r>
      <w:r>
        <w:rPr>
          <w:spacing w:val="-3"/>
        </w:rPr>
        <w:t xml:space="preserve"> </w:t>
      </w:r>
      <w:r>
        <w:t>Larry</w:t>
      </w:r>
      <w:r>
        <w:rPr>
          <w:spacing w:val="-3"/>
        </w:rPr>
        <w:t xml:space="preserve"> </w:t>
      </w:r>
      <w:r>
        <w:t>is</w:t>
      </w:r>
      <w:r>
        <w:rPr>
          <w:spacing w:val="-4"/>
        </w:rPr>
        <w:t xml:space="preserve"> </w:t>
      </w:r>
      <w:r>
        <w:t>the right move. I’ve figured out the relative weights of the various pros and cons, and factored them into an accurate and honest appraisal of my own objectives.</w:t>
      </w:r>
      <w:r>
        <w:rPr>
          <w:spacing w:val="-2"/>
        </w:rPr>
        <w:t xml:space="preserve"> </w:t>
      </w:r>
      <w:r>
        <w:t>Let’s</w:t>
      </w:r>
      <w:r>
        <w:rPr>
          <w:spacing w:val="-2"/>
        </w:rPr>
        <w:t xml:space="preserve"> </w:t>
      </w:r>
      <w:r>
        <w:t>go</w:t>
      </w:r>
      <w:r>
        <w:rPr>
          <w:spacing w:val="-2"/>
        </w:rPr>
        <w:t xml:space="preserve"> </w:t>
      </w:r>
      <w:r>
        <w:t>even</w:t>
      </w:r>
      <w:r>
        <w:rPr>
          <w:spacing w:val="-2"/>
        </w:rPr>
        <w:t xml:space="preserve"> </w:t>
      </w:r>
      <w:r>
        <w:t>further</w:t>
      </w:r>
      <w:r>
        <w:rPr>
          <w:spacing w:val="-2"/>
        </w:rPr>
        <w:t xml:space="preserve"> </w:t>
      </w:r>
      <w:r>
        <w:t>and</w:t>
      </w:r>
      <w:r>
        <w:rPr>
          <w:spacing w:val="-2"/>
        </w:rPr>
        <w:t xml:space="preserve"> </w:t>
      </w:r>
      <w:r>
        <w:t>suppose</w:t>
      </w:r>
      <w:r>
        <w:rPr>
          <w:spacing w:val="-2"/>
        </w:rPr>
        <w:t xml:space="preserve"> </w:t>
      </w:r>
      <w:r>
        <w:t>that</w:t>
      </w:r>
      <w:r>
        <w:rPr>
          <w:spacing w:val="-2"/>
        </w:rPr>
        <w:t xml:space="preserve"> </w:t>
      </w:r>
      <w:r>
        <w:t>the</w:t>
      </w:r>
      <w:r>
        <w:rPr>
          <w:spacing w:val="-2"/>
        </w:rPr>
        <w:t xml:space="preserve"> </w:t>
      </w:r>
      <w:r>
        <w:t>reasoning</w:t>
      </w:r>
      <w:r>
        <w:rPr>
          <w:spacing w:val="-2"/>
        </w:rPr>
        <w:t xml:space="preserve"> </w:t>
      </w:r>
      <w:r>
        <w:t>that</w:t>
      </w:r>
      <w:r>
        <w:rPr>
          <w:spacing w:val="-2"/>
        </w:rPr>
        <w:t xml:space="preserve"> </w:t>
      </w:r>
      <w:r>
        <w:t>goes</w:t>
      </w:r>
      <w:r>
        <w:rPr>
          <w:spacing w:val="-2"/>
        </w:rPr>
        <w:t xml:space="preserve"> </w:t>
      </w:r>
      <w:r>
        <w:t xml:space="preserve">into my decision to tell this lie is driven by a thorough understanding of general principles. In this context, we are in effect supposing, I am a Newton, not a </w:t>
      </w:r>
      <w:r>
        <w:rPr>
          <w:spacing w:val="-2"/>
        </w:rPr>
        <w:t>Smith.</w:t>
      </w:r>
    </w:p>
    <w:p w14:paraId="7E00264A" w14:textId="77777777" w:rsidR="009A58DB" w:rsidRDefault="00000000">
      <w:pPr>
        <w:pStyle w:val="BodyText"/>
        <w:spacing w:before="11" w:line="249" w:lineRule="auto"/>
        <w:ind w:right="357" w:firstLine="360"/>
      </w:pPr>
      <w:r>
        <w:t xml:space="preserve">Under these circumstances, the principle governing my act is universalizable in one sense and nonuniversalizable in another. It’s non-universalizable in the sense that it </w:t>
      </w:r>
      <w:r>
        <w:rPr>
          <w:i/>
        </w:rPr>
        <w:t xml:space="preserve">shouldn’t </w:t>
      </w:r>
      <w:r>
        <w:t xml:space="preserve">be universalized. But it </w:t>
      </w:r>
      <w:r>
        <w:rPr>
          <w:i/>
        </w:rPr>
        <w:t xml:space="preserve">is </w:t>
      </w:r>
      <w:r>
        <w:t>universalizable in the sense that, like Newton’s reasoning and unlike Smith’s, it’s guided by an understanding of principles that hold generally. Given only what</w:t>
      </w:r>
      <w:r>
        <w:rPr>
          <w:spacing w:val="-2"/>
        </w:rPr>
        <w:t xml:space="preserve"> </w:t>
      </w:r>
      <w:r>
        <w:t>we’ve</w:t>
      </w:r>
      <w:r>
        <w:rPr>
          <w:spacing w:val="-2"/>
        </w:rPr>
        <w:t xml:space="preserve"> </w:t>
      </w:r>
      <w:r>
        <w:t>said,</w:t>
      </w:r>
      <w:r>
        <w:rPr>
          <w:spacing w:val="-2"/>
        </w:rPr>
        <w:t xml:space="preserve"> </w:t>
      </w:r>
      <w:r>
        <w:t>we</w:t>
      </w:r>
      <w:r>
        <w:rPr>
          <w:spacing w:val="-1"/>
        </w:rPr>
        <w:t xml:space="preserve"> </w:t>
      </w:r>
      <w:r>
        <w:t>have</w:t>
      </w:r>
      <w:r>
        <w:rPr>
          <w:spacing w:val="-2"/>
        </w:rPr>
        <w:t xml:space="preserve"> </w:t>
      </w:r>
      <w:r>
        <w:t>no</w:t>
      </w:r>
      <w:r>
        <w:rPr>
          <w:spacing w:val="-2"/>
        </w:rPr>
        <w:t xml:space="preserve"> </w:t>
      </w:r>
      <w:r>
        <w:t>choice</w:t>
      </w:r>
      <w:r>
        <w:rPr>
          <w:spacing w:val="-2"/>
        </w:rPr>
        <w:t xml:space="preserve"> </w:t>
      </w:r>
      <w:r>
        <w:t>but</w:t>
      </w:r>
      <w:r>
        <w:rPr>
          <w:spacing w:val="-1"/>
        </w:rPr>
        <w:t xml:space="preserve"> </w:t>
      </w:r>
      <w:r>
        <w:t>to</w:t>
      </w:r>
      <w:r>
        <w:rPr>
          <w:spacing w:val="-2"/>
        </w:rPr>
        <w:t xml:space="preserve"> </w:t>
      </w:r>
      <w:r>
        <w:t>see</w:t>
      </w:r>
      <w:r>
        <w:rPr>
          <w:spacing w:val="-2"/>
        </w:rPr>
        <w:t xml:space="preserve"> </w:t>
      </w:r>
      <w:r>
        <w:t>Kant</w:t>
      </w:r>
      <w:r>
        <w:rPr>
          <w:spacing w:val="-2"/>
        </w:rPr>
        <w:t xml:space="preserve"> </w:t>
      </w:r>
      <w:r>
        <w:t>as</w:t>
      </w:r>
      <w:r>
        <w:rPr>
          <w:spacing w:val="-1"/>
        </w:rPr>
        <w:t xml:space="preserve"> </w:t>
      </w:r>
      <w:r>
        <w:t>having</w:t>
      </w:r>
      <w:r>
        <w:rPr>
          <w:spacing w:val="-2"/>
        </w:rPr>
        <w:t xml:space="preserve"> </w:t>
      </w:r>
      <w:r>
        <w:t>utterly</w:t>
      </w:r>
      <w:r>
        <w:rPr>
          <w:spacing w:val="-2"/>
        </w:rPr>
        <w:t xml:space="preserve"> </w:t>
      </w:r>
      <w:r>
        <w:t>failed</w:t>
      </w:r>
      <w:r>
        <w:rPr>
          <w:spacing w:val="-1"/>
        </w:rPr>
        <w:t xml:space="preserve"> </w:t>
      </w:r>
      <w:r>
        <w:t>in his attempt to link morality and self-interest.</w:t>
      </w:r>
    </w:p>
    <w:p w14:paraId="7E00264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4C" w14:textId="77777777" w:rsidR="009A58DB" w:rsidRDefault="00000000">
      <w:pPr>
        <w:pStyle w:val="Heading1"/>
        <w:numPr>
          <w:ilvl w:val="1"/>
          <w:numId w:val="53"/>
        </w:numPr>
        <w:tabs>
          <w:tab w:val="left" w:pos="1525"/>
        </w:tabs>
        <w:spacing w:before="58" w:line="244" w:lineRule="auto"/>
        <w:ind w:left="360" w:right="367" w:firstLine="0"/>
      </w:pPr>
      <w:r>
        <w:lastRenderedPageBreak/>
        <w:t>Why Kant’s attempt to connect morality and self-interest is not a complete failure</w:t>
      </w:r>
    </w:p>
    <w:p w14:paraId="7E00264D" w14:textId="77777777" w:rsidR="009A58DB" w:rsidRDefault="00000000">
      <w:pPr>
        <w:pStyle w:val="BodyText"/>
        <w:spacing w:before="131" w:line="249" w:lineRule="auto"/>
        <w:ind w:right="361"/>
      </w:pPr>
      <w:r>
        <w:t>But that attempt was by no means a failure. The principles driving that attempt are accurate and profound ones. He just wasn’t putting those worthy principles to good use in this particular context. But Kant has real insight into the nature of rationality and autonomy and into their relationship to morality; and so far as there is a connection between rationality and autonomy, on the one hand, and morality, on the other, it is, I believe, to be understood in Kantian terms.</w:t>
      </w:r>
    </w:p>
    <w:p w14:paraId="7E00264E" w14:textId="77777777" w:rsidR="009A58DB" w:rsidRDefault="00000000">
      <w:pPr>
        <w:pStyle w:val="BodyText"/>
        <w:spacing w:before="9" w:line="249" w:lineRule="auto"/>
        <w:ind w:right="358" w:firstLine="360"/>
      </w:pPr>
      <w:r>
        <w:t xml:space="preserve">The essence of Kant’s ethics is generally seen as lying in his contention </w:t>
      </w:r>
      <w:r>
        <w:rPr>
          <w:spacing w:val="-2"/>
        </w:rPr>
        <w:t>that:</w:t>
      </w:r>
    </w:p>
    <w:p w14:paraId="7E00264F" w14:textId="77777777" w:rsidR="009A58DB" w:rsidRDefault="00000000">
      <w:pPr>
        <w:pStyle w:val="BodyText"/>
        <w:spacing w:before="107" w:line="249" w:lineRule="auto"/>
        <w:ind w:right="364"/>
        <w:jc w:val="left"/>
      </w:pPr>
      <w:r>
        <w:rPr>
          <w:noProof/>
        </w:rPr>
        <mc:AlternateContent>
          <mc:Choice Requires="wps">
            <w:drawing>
              <wp:anchor distT="0" distB="0" distL="0" distR="0" simplePos="0" relativeHeight="480344576" behindDoc="1" locked="0" layoutInCell="1" allowOverlap="1" wp14:anchorId="7E00329C" wp14:editId="7E00329D">
                <wp:simplePos x="0" y="0"/>
                <wp:positionH relativeFrom="page">
                  <wp:posOffset>1238250</wp:posOffset>
                </wp:positionH>
                <wp:positionV relativeFrom="paragraph">
                  <wp:posOffset>260564</wp:posOffset>
                </wp:positionV>
                <wp:extent cx="40005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40005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5FF35B1F" id="Graphic 39" o:spid="_x0000_s1026" style="position:absolute;margin-left:97.5pt;margin-top:20.5pt;width:31.5pt;height:.1pt;z-index:-22971904;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" path="m,l400050,e" filled="f" strokecolor="#0562c1">
                <v:path arrowok="t"/>
                <w10:wrap anchorx="page"/>
              </v:shape>
            </w:pict>
          </mc:Fallback>
        </mc:AlternateContent>
      </w:r>
      <w:r>
        <w:t>(CI</w:t>
      </w:r>
      <w:bookmarkStart w:id="524" w:name="_bookmark524"/>
      <w:bookmarkEnd w:id="524"/>
      <w:r>
        <w:rPr>
          <w:position w:val="-7"/>
          <w:sz w:val="22"/>
        </w:rPr>
        <w:t>1</w:t>
      </w:r>
      <w:r>
        <w:rPr>
          <w:color w:val="0562C1"/>
          <w:position w:val="21"/>
        </w:rPr>
        <w:t>[392]</w:t>
      </w:r>
      <w:r>
        <w:t>) An act is moral if it wouldn’t be self-defeating were everyone else to act similarly.</w:t>
      </w:r>
    </w:p>
    <w:p w14:paraId="7E002650" w14:textId="77777777" w:rsidR="009A58DB" w:rsidRDefault="00000000">
      <w:pPr>
        <w:pStyle w:val="BodyText"/>
        <w:spacing w:before="90" w:line="292" w:lineRule="auto"/>
        <w:ind w:right="364"/>
        <w:jc w:val="left"/>
      </w:pPr>
      <w:r>
        <w:t>CI</w:t>
      </w:r>
      <w:r>
        <w:rPr>
          <w:vertAlign w:val="subscript"/>
        </w:rPr>
        <w:t>1</w:t>
      </w:r>
      <w:r>
        <w:t xml:space="preserve"> is false, and Kant’s ethics is a failure if CI</w:t>
      </w:r>
      <w:r>
        <w:rPr>
          <w:vertAlign w:val="subscript"/>
        </w:rPr>
        <w:t>1</w:t>
      </w:r>
      <w:r>
        <w:t xml:space="preserve"> is the core of it. But the real</w:t>
      </w:r>
      <w:r>
        <w:rPr>
          <w:spacing w:val="40"/>
        </w:rPr>
        <w:t xml:space="preserve"> </w:t>
      </w:r>
      <w:r>
        <w:t>essence of Kant’s ethics lies, not in CI</w:t>
      </w:r>
      <w:r>
        <w:rPr>
          <w:vertAlign w:val="subscript"/>
        </w:rPr>
        <w:t>1</w:t>
      </w:r>
      <w:r>
        <w:t>, but in his contention that:</w:t>
      </w:r>
    </w:p>
    <w:p w14:paraId="7E002651" w14:textId="77777777" w:rsidR="009A58DB" w:rsidRDefault="00000000">
      <w:pPr>
        <w:pStyle w:val="BodyText"/>
        <w:spacing w:before="103" w:line="249" w:lineRule="auto"/>
        <w:ind w:right="365"/>
        <w:jc w:val="left"/>
      </w:pPr>
      <w:r>
        <w:t>(CI</w:t>
      </w:r>
      <w:r>
        <w:rPr>
          <w:position w:val="-7"/>
          <w:sz w:val="22"/>
        </w:rPr>
        <w:t>2</w:t>
      </w:r>
      <w:bookmarkStart w:id="525" w:name="_bookmark525"/>
      <w:bookmarkEnd w:id="525"/>
      <w:r>
        <w:t>*</w:t>
      </w:r>
      <w:r>
        <w:rPr>
          <w:color w:val="0562C1"/>
          <w:position w:val="21"/>
          <w:u w:val="single" w:color="0562C1"/>
        </w:rPr>
        <w:t>[393]</w:t>
      </w:r>
      <w:r>
        <w:t>)</w:t>
      </w:r>
      <w:r>
        <w:rPr>
          <w:spacing w:val="38"/>
        </w:rPr>
        <w:t xml:space="preserve"> </w:t>
      </w:r>
      <w:r>
        <w:t>An</w:t>
      </w:r>
      <w:r>
        <w:rPr>
          <w:spacing w:val="38"/>
        </w:rPr>
        <w:t xml:space="preserve"> </w:t>
      </w:r>
      <w:r>
        <w:t>act</w:t>
      </w:r>
      <w:r>
        <w:rPr>
          <w:spacing w:val="38"/>
        </w:rPr>
        <w:t xml:space="preserve"> </w:t>
      </w:r>
      <w:r>
        <w:t>is</w:t>
      </w:r>
      <w:r>
        <w:rPr>
          <w:spacing w:val="38"/>
        </w:rPr>
        <w:t xml:space="preserve"> </w:t>
      </w:r>
      <w:r>
        <w:t>good</w:t>
      </w:r>
      <w:r>
        <w:rPr>
          <w:spacing w:val="38"/>
        </w:rPr>
        <w:t xml:space="preserve"> </w:t>
      </w:r>
      <w:r>
        <w:t>to</w:t>
      </w:r>
      <w:r>
        <w:rPr>
          <w:spacing w:val="38"/>
        </w:rPr>
        <w:t xml:space="preserve"> </w:t>
      </w:r>
      <w:r>
        <w:t>the</w:t>
      </w:r>
      <w:r>
        <w:rPr>
          <w:spacing w:val="38"/>
        </w:rPr>
        <w:t xml:space="preserve"> </w:t>
      </w:r>
      <w:r>
        <w:t>extent</w:t>
      </w:r>
      <w:r>
        <w:rPr>
          <w:spacing w:val="38"/>
        </w:rPr>
        <w:t xml:space="preserve"> </w:t>
      </w:r>
      <w:r>
        <w:t>that</w:t>
      </w:r>
      <w:r>
        <w:rPr>
          <w:spacing w:val="38"/>
        </w:rPr>
        <w:t xml:space="preserve"> </w:t>
      </w:r>
      <w:r>
        <w:t>it’s</w:t>
      </w:r>
      <w:r>
        <w:rPr>
          <w:spacing w:val="38"/>
        </w:rPr>
        <w:t xml:space="preserve"> </w:t>
      </w:r>
      <w:r>
        <w:t>autonomy-conducive</w:t>
      </w:r>
      <w:r>
        <w:rPr>
          <w:spacing w:val="38"/>
        </w:rPr>
        <w:t xml:space="preserve"> </w:t>
      </w:r>
      <w:r>
        <w:t>and bad to the extent that it’s heteronomy-conducive.</w:t>
      </w:r>
    </w:p>
    <w:p w14:paraId="7E002652" w14:textId="77777777" w:rsidR="009A58DB" w:rsidRDefault="00000000">
      <w:pPr>
        <w:pStyle w:val="BodyText"/>
        <w:spacing w:before="105" w:line="271" w:lineRule="auto"/>
        <w:ind w:right="366" w:firstLine="360"/>
      </w:pPr>
      <w:r>
        <w:t>If it isn’t outright correct, CI</w:t>
      </w:r>
      <w:r>
        <w:rPr>
          <w:vertAlign w:val="subscript"/>
        </w:rPr>
        <w:t>2</w:t>
      </w:r>
      <w:r>
        <w:t xml:space="preserve"> is a very good approximation to the truth. It is morally acceptable to undermine a given person’s autonomy </w:t>
      </w:r>
      <w:r>
        <w:rPr>
          <w:i/>
        </w:rPr>
        <w:t xml:space="preserve">only </w:t>
      </w:r>
      <w:r>
        <w:t>to the extent</w:t>
      </w:r>
      <w:r>
        <w:rPr>
          <w:spacing w:val="59"/>
          <w:w w:val="150"/>
        </w:rPr>
        <w:t xml:space="preserve"> </w:t>
      </w:r>
      <w:r>
        <w:t>that</w:t>
      </w:r>
      <w:r>
        <w:rPr>
          <w:spacing w:val="60"/>
          <w:w w:val="150"/>
        </w:rPr>
        <w:t xml:space="preserve"> </w:t>
      </w:r>
      <w:r>
        <w:t>doing</w:t>
      </w:r>
      <w:r>
        <w:rPr>
          <w:spacing w:val="60"/>
          <w:w w:val="150"/>
        </w:rPr>
        <w:t xml:space="preserve"> </w:t>
      </w:r>
      <w:r>
        <w:t>so</w:t>
      </w:r>
      <w:r>
        <w:rPr>
          <w:spacing w:val="60"/>
          <w:w w:val="150"/>
        </w:rPr>
        <w:t xml:space="preserve"> </w:t>
      </w:r>
      <w:r>
        <w:t>is</w:t>
      </w:r>
      <w:r>
        <w:rPr>
          <w:spacing w:val="60"/>
          <w:w w:val="150"/>
        </w:rPr>
        <w:t xml:space="preserve"> </w:t>
      </w:r>
      <w:r>
        <w:t>necessary</w:t>
      </w:r>
      <w:r>
        <w:rPr>
          <w:spacing w:val="61"/>
          <w:w w:val="150"/>
        </w:rPr>
        <w:t xml:space="preserve"> </w:t>
      </w:r>
      <w:r>
        <w:t>to</w:t>
      </w:r>
      <w:r>
        <w:rPr>
          <w:spacing w:val="59"/>
          <w:w w:val="150"/>
        </w:rPr>
        <w:t xml:space="preserve"> </w:t>
      </w:r>
      <w:r>
        <w:t>prevent</w:t>
      </w:r>
      <w:r>
        <w:rPr>
          <w:spacing w:val="60"/>
          <w:w w:val="150"/>
        </w:rPr>
        <w:t xml:space="preserve"> </w:t>
      </w:r>
      <w:r>
        <w:t>some</w:t>
      </w:r>
      <w:r>
        <w:rPr>
          <w:spacing w:val="60"/>
          <w:w w:val="150"/>
        </w:rPr>
        <w:t xml:space="preserve"> </w:t>
      </w:r>
      <w:r>
        <w:t>greater</w:t>
      </w:r>
      <w:r>
        <w:rPr>
          <w:spacing w:val="59"/>
          <w:w w:val="150"/>
        </w:rPr>
        <w:t xml:space="preserve"> </w:t>
      </w:r>
      <w:r>
        <w:t>violation</w:t>
      </w:r>
      <w:r>
        <w:rPr>
          <w:spacing w:val="61"/>
          <w:w w:val="150"/>
        </w:rPr>
        <w:t xml:space="preserve"> </w:t>
      </w:r>
      <w:r>
        <w:rPr>
          <w:spacing w:val="-5"/>
        </w:rPr>
        <w:t>of</w:t>
      </w:r>
    </w:p>
    <w:p w14:paraId="7E002653" w14:textId="77777777" w:rsidR="009A58DB" w:rsidRDefault="00000000">
      <w:pPr>
        <w:pStyle w:val="BodyText"/>
        <w:spacing w:line="316" w:lineRule="exact"/>
      </w:pPr>
      <w:r>
        <w:t>autonomy.</w:t>
      </w:r>
      <w:r>
        <w:rPr>
          <w:spacing w:val="22"/>
        </w:rPr>
        <w:t xml:space="preserve">  </w:t>
      </w:r>
      <w:r>
        <w:t>Thus,</w:t>
      </w:r>
      <w:r>
        <w:rPr>
          <w:spacing w:val="22"/>
        </w:rPr>
        <w:t xml:space="preserve">  </w:t>
      </w:r>
      <w:r>
        <w:t>we</w:t>
      </w:r>
      <w:r>
        <w:rPr>
          <w:spacing w:val="23"/>
        </w:rPr>
        <w:t xml:space="preserve">  </w:t>
      </w:r>
      <w:r>
        <w:t>consider</w:t>
      </w:r>
      <w:r>
        <w:rPr>
          <w:spacing w:val="22"/>
        </w:rPr>
        <w:t xml:space="preserve">  </w:t>
      </w:r>
      <w:r>
        <w:t>it</w:t>
      </w:r>
      <w:r>
        <w:rPr>
          <w:spacing w:val="22"/>
        </w:rPr>
        <w:t xml:space="preserve">  </w:t>
      </w:r>
      <w:r>
        <w:t>morally</w:t>
      </w:r>
      <w:r>
        <w:rPr>
          <w:spacing w:val="22"/>
        </w:rPr>
        <w:t xml:space="preserve">  </w:t>
      </w:r>
      <w:r>
        <w:t>appropriate</w:t>
      </w:r>
      <w:r>
        <w:rPr>
          <w:spacing w:val="23"/>
        </w:rPr>
        <w:t xml:space="preserve">  </w:t>
      </w:r>
      <w:r>
        <w:t>to</w:t>
      </w:r>
      <w:r>
        <w:rPr>
          <w:spacing w:val="22"/>
        </w:rPr>
        <w:t xml:space="preserve">  </w:t>
      </w:r>
      <w:r>
        <w:t>attack</w:t>
      </w:r>
      <w:r>
        <w:rPr>
          <w:spacing w:val="23"/>
        </w:rPr>
        <w:t xml:space="preserve">  </w:t>
      </w:r>
      <w:r>
        <w:t>or</w:t>
      </w:r>
      <w:r>
        <w:rPr>
          <w:spacing w:val="22"/>
        </w:rPr>
        <w:t xml:space="preserve">  </w:t>
      </w:r>
      <w:r>
        <w:rPr>
          <w:spacing w:val="-4"/>
        </w:rPr>
        <w:t>kill</w:t>
      </w:r>
    </w:p>
    <w:p w14:paraId="7E002654" w14:textId="77777777" w:rsidR="009A58DB" w:rsidRDefault="00000000">
      <w:pPr>
        <w:pStyle w:val="BodyText"/>
        <w:spacing w:before="15" w:line="249" w:lineRule="auto"/>
        <w:ind w:right="360"/>
      </w:pPr>
      <w:r>
        <w:t xml:space="preserve">somebody </w:t>
      </w:r>
      <w:r>
        <w:rPr>
          <w:i/>
        </w:rPr>
        <w:t xml:space="preserve">only </w:t>
      </w:r>
      <w:r>
        <w:t xml:space="preserve">to the extent that, by doing so, we’re protecting somebody else’s autonomy—for example, our own or that of our loved ones. And although we consider it morally acceptable to micromanage the lives of children and thus to encroach on their autonomy, we hold this </w:t>
      </w:r>
      <w:r>
        <w:rPr>
          <w:i/>
        </w:rPr>
        <w:t xml:space="preserve">only </w:t>
      </w:r>
      <w:r>
        <w:t>because we feel that, were we not to do this, our children would fail to develop their autonomy. They’d become undisciplined slobs who, having no self-control, lacked autonomy.</w:t>
      </w:r>
    </w:p>
    <w:p w14:paraId="7E002655" w14:textId="77777777" w:rsidR="009A58DB" w:rsidRDefault="00000000">
      <w:pPr>
        <w:pStyle w:val="BodyText"/>
        <w:spacing w:before="9" w:line="249" w:lineRule="auto"/>
        <w:ind w:right="359" w:firstLine="360"/>
      </w:pPr>
      <w:r>
        <w:t xml:space="preserve">By the same token, protecting a given person’s autonomy is wrong </w:t>
      </w:r>
      <w:r>
        <w:rPr>
          <w:i/>
        </w:rPr>
        <w:t xml:space="preserve">only </w:t>
      </w:r>
      <w:r>
        <w:t>to the extent that doing so leads to some greater violation of autonomy. We put people</w:t>
      </w:r>
      <w:r>
        <w:rPr>
          <w:spacing w:val="21"/>
        </w:rPr>
        <w:t xml:space="preserve"> </w:t>
      </w:r>
      <w:r>
        <w:t>in</w:t>
      </w:r>
      <w:r>
        <w:rPr>
          <w:spacing w:val="21"/>
        </w:rPr>
        <w:t xml:space="preserve"> </w:t>
      </w:r>
      <w:r>
        <w:t>jail</w:t>
      </w:r>
      <w:r>
        <w:rPr>
          <w:spacing w:val="21"/>
        </w:rPr>
        <w:t xml:space="preserve"> </w:t>
      </w:r>
      <w:r>
        <w:t>and</w:t>
      </w:r>
      <w:r>
        <w:rPr>
          <w:spacing w:val="21"/>
        </w:rPr>
        <w:t xml:space="preserve"> </w:t>
      </w:r>
      <w:r>
        <w:t>thus</w:t>
      </w:r>
      <w:r>
        <w:rPr>
          <w:spacing w:val="21"/>
        </w:rPr>
        <w:t xml:space="preserve"> </w:t>
      </w:r>
      <w:r>
        <w:t>violate</w:t>
      </w:r>
      <w:r>
        <w:rPr>
          <w:spacing w:val="21"/>
        </w:rPr>
        <w:t xml:space="preserve"> </w:t>
      </w:r>
      <w:r>
        <w:t>their</w:t>
      </w:r>
      <w:r>
        <w:rPr>
          <w:spacing w:val="21"/>
        </w:rPr>
        <w:t xml:space="preserve"> </w:t>
      </w:r>
      <w:r>
        <w:t>autonomy.</w:t>
      </w:r>
      <w:r>
        <w:rPr>
          <w:spacing w:val="21"/>
        </w:rPr>
        <w:t xml:space="preserve"> </w:t>
      </w:r>
      <w:r>
        <w:t>But</w:t>
      </w:r>
      <w:r>
        <w:rPr>
          <w:spacing w:val="21"/>
        </w:rPr>
        <w:t xml:space="preserve"> </w:t>
      </w:r>
      <w:r>
        <w:t>so</w:t>
      </w:r>
      <w:r>
        <w:rPr>
          <w:spacing w:val="21"/>
        </w:rPr>
        <w:t xml:space="preserve"> </w:t>
      </w:r>
      <w:r>
        <w:t>far</w:t>
      </w:r>
      <w:r>
        <w:rPr>
          <w:spacing w:val="21"/>
        </w:rPr>
        <w:t xml:space="preserve"> </w:t>
      </w:r>
      <w:r>
        <w:t>as</w:t>
      </w:r>
      <w:r>
        <w:rPr>
          <w:spacing w:val="21"/>
        </w:rPr>
        <w:t xml:space="preserve"> </w:t>
      </w:r>
      <w:r>
        <w:t>this</w:t>
      </w:r>
      <w:r>
        <w:rPr>
          <w:spacing w:val="21"/>
        </w:rPr>
        <w:t xml:space="preserve"> </w:t>
      </w:r>
      <w:r>
        <w:t>is</w:t>
      </w:r>
      <w:r>
        <w:rPr>
          <w:spacing w:val="21"/>
        </w:rPr>
        <w:t xml:space="preserve"> </w:t>
      </w:r>
      <w:r>
        <w:t>justified,</w:t>
      </w:r>
    </w:p>
    <w:p w14:paraId="7E00265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57" w14:textId="77777777" w:rsidR="009A58DB" w:rsidRDefault="00000000">
      <w:pPr>
        <w:pStyle w:val="BodyText"/>
        <w:spacing w:before="70" w:line="249" w:lineRule="auto"/>
        <w:ind w:left="0" w:right="364"/>
        <w:jc w:val="right"/>
      </w:pPr>
      <w:r>
        <w:lastRenderedPageBreak/>
        <w:t>it’s</w:t>
      </w:r>
      <w:r>
        <w:rPr>
          <w:spacing w:val="-4"/>
        </w:rPr>
        <w:t xml:space="preserve"> </w:t>
      </w:r>
      <w:r>
        <w:t>because,</w:t>
      </w:r>
      <w:r>
        <w:rPr>
          <w:spacing w:val="-3"/>
        </w:rPr>
        <w:t xml:space="preserve"> </w:t>
      </w:r>
      <w:r>
        <w:t>were</w:t>
      </w:r>
      <w:r>
        <w:rPr>
          <w:spacing w:val="-4"/>
        </w:rPr>
        <w:t xml:space="preserve"> </w:t>
      </w:r>
      <w:r>
        <w:t>we</w:t>
      </w:r>
      <w:r>
        <w:rPr>
          <w:spacing w:val="-4"/>
        </w:rPr>
        <w:t xml:space="preserve"> </w:t>
      </w:r>
      <w:r>
        <w:t>not</w:t>
      </w:r>
      <w:r>
        <w:rPr>
          <w:spacing w:val="-4"/>
        </w:rPr>
        <w:t xml:space="preserve"> </w:t>
      </w:r>
      <w:r>
        <w:t>to</w:t>
      </w:r>
      <w:r>
        <w:rPr>
          <w:spacing w:val="-3"/>
        </w:rPr>
        <w:t xml:space="preserve"> </w:t>
      </w:r>
      <w:r>
        <w:t>do</w:t>
      </w:r>
      <w:r>
        <w:rPr>
          <w:spacing w:val="-3"/>
        </w:rPr>
        <w:t xml:space="preserve"> </w:t>
      </w:r>
      <w:r>
        <w:t>so,</w:t>
      </w:r>
      <w:r>
        <w:rPr>
          <w:spacing w:val="-3"/>
        </w:rPr>
        <w:t xml:space="preserve"> </w:t>
      </w:r>
      <w:r>
        <w:t>those</w:t>
      </w:r>
      <w:r>
        <w:rPr>
          <w:spacing w:val="-4"/>
        </w:rPr>
        <w:t xml:space="preserve"> </w:t>
      </w:r>
      <w:r>
        <w:t>criminals,</w:t>
      </w:r>
      <w:r>
        <w:rPr>
          <w:spacing w:val="-3"/>
        </w:rPr>
        <w:t xml:space="preserve"> </w:t>
      </w:r>
      <w:r>
        <w:t>and</w:t>
      </w:r>
      <w:r>
        <w:rPr>
          <w:spacing w:val="-3"/>
        </w:rPr>
        <w:t xml:space="preserve"> </w:t>
      </w:r>
      <w:r>
        <w:t>those</w:t>
      </w:r>
      <w:r>
        <w:rPr>
          <w:spacing w:val="-4"/>
        </w:rPr>
        <w:t xml:space="preserve"> </w:t>
      </w:r>
      <w:r>
        <w:t>who</w:t>
      </w:r>
      <w:r>
        <w:rPr>
          <w:spacing w:val="-3"/>
        </w:rPr>
        <w:t xml:space="preserve"> </w:t>
      </w:r>
      <w:r>
        <w:t>followed</w:t>
      </w:r>
      <w:r>
        <w:rPr>
          <w:spacing w:val="-3"/>
        </w:rPr>
        <w:t xml:space="preserve"> </w:t>
      </w:r>
      <w:r>
        <w:t>in their</w:t>
      </w:r>
      <w:r>
        <w:rPr>
          <w:spacing w:val="-1"/>
        </w:rPr>
        <w:t xml:space="preserve"> </w:t>
      </w:r>
      <w:r>
        <w:t>footsteps, would be</w:t>
      </w:r>
      <w:r>
        <w:rPr>
          <w:spacing w:val="-1"/>
        </w:rPr>
        <w:t xml:space="preserve"> </w:t>
      </w:r>
      <w:r>
        <w:t>responsible</w:t>
      </w:r>
      <w:r>
        <w:rPr>
          <w:spacing w:val="-1"/>
        </w:rPr>
        <w:t xml:space="preserve"> </w:t>
      </w:r>
      <w:r>
        <w:t>for</w:t>
      </w:r>
      <w:r>
        <w:rPr>
          <w:spacing w:val="-1"/>
        </w:rPr>
        <w:t xml:space="preserve"> </w:t>
      </w:r>
      <w:r>
        <w:t>even greater</w:t>
      </w:r>
      <w:r>
        <w:rPr>
          <w:spacing w:val="-1"/>
        </w:rPr>
        <w:t xml:space="preserve"> </w:t>
      </w:r>
      <w:r>
        <w:t>violations</w:t>
      </w:r>
      <w:r>
        <w:rPr>
          <w:spacing w:val="-1"/>
        </w:rPr>
        <w:t xml:space="preserve"> </w:t>
      </w:r>
      <w:r>
        <w:t>of</w:t>
      </w:r>
      <w:r>
        <w:rPr>
          <w:spacing w:val="-1"/>
        </w:rPr>
        <w:t xml:space="preserve"> </w:t>
      </w:r>
      <w:r>
        <w:t>autonomy. Thus,</w:t>
      </w:r>
      <w:r>
        <w:rPr>
          <w:spacing w:val="34"/>
        </w:rPr>
        <w:t xml:space="preserve"> </w:t>
      </w:r>
      <w:r>
        <w:t>just</w:t>
      </w:r>
      <w:r>
        <w:rPr>
          <w:spacing w:val="34"/>
        </w:rPr>
        <w:t xml:space="preserve"> </w:t>
      </w:r>
      <w:r>
        <w:t>as</w:t>
      </w:r>
      <w:r>
        <w:rPr>
          <w:spacing w:val="35"/>
        </w:rPr>
        <w:t xml:space="preserve"> </w:t>
      </w:r>
      <w:r>
        <w:t>CI</w:t>
      </w:r>
      <w:r>
        <w:rPr>
          <w:vertAlign w:val="subscript"/>
        </w:rPr>
        <w:t>2</w:t>
      </w:r>
      <w:r>
        <w:t>*</w:t>
      </w:r>
      <w:r>
        <w:rPr>
          <w:spacing w:val="34"/>
        </w:rPr>
        <w:t xml:space="preserve"> </w:t>
      </w:r>
      <w:r>
        <w:t>says,</w:t>
      </w:r>
      <w:r>
        <w:rPr>
          <w:spacing w:val="35"/>
        </w:rPr>
        <w:t xml:space="preserve"> </w:t>
      </w:r>
      <w:r>
        <w:t>an</w:t>
      </w:r>
      <w:r>
        <w:rPr>
          <w:spacing w:val="34"/>
        </w:rPr>
        <w:t xml:space="preserve"> </w:t>
      </w:r>
      <w:r>
        <w:t>act</w:t>
      </w:r>
      <w:r>
        <w:rPr>
          <w:spacing w:val="34"/>
        </w:rPr>
        <w:t xml:space="preserve"> </w:t>
      </w:r>
      <w:r>
        <w:t>is</w:t>
      </w:r>
      <w:r>
        <w:rPr>
          <w:spacing w:val="35"/>
        </w:rPr>
        <w:t xml:space="preserve"> </w:t>
      </w:r>
      <w:r>
        <w:t>moral</w:t>
      </w:r>
      <w:r>
        <w:rPr>
          <w:spacing w:val="34"/>
        </w:rPr>
        <w:t xml:space="preserve"> </w:t>
      </w:r>
      <w:r>
        <w:t>to</w:t>
      </w:r>
      <w:r>
        <w:rPr>
          <w:spacing w:val="34"/>
        </w:rPr>
        <w:t xml:space="preserve"> </w:t>
      </w:r>
      <w:r>
        <w:t>the</w:t>
      </w:r>
      <w:r>
        <w:rPr>
          <w:spacing w:val="35"/>
        </w:rPr>
        <w:t xml:space="preserve"> </w:t>
      </w:r>
      <w:r>
        <w:t>extent</w:t>
      </w:r>
      <w:r>
        <w:rPr>
          <w:spacing w:val="34"/>
        </w:rPr>
        <w:t xml:space="preserve"> </w:t>
      </w:r>
      <w:r>
        <w:t>that</w:t>
      </w:r>
      <w:r>
        <w:rPr>
          <w:spacing w:val="34"/>
        </w:rPr>
        <w:t xml:space="preserve"> </w:t>
      </w:r>
      <w:r>
        <w:t>it</w:t>
      </w:r>
      <w:r>
        <w:rPr>
          <w:spacing w:val="34"/>
        </w:rPr>
        <w:t xml:space="preserve"> </w:t>
      </w:r>
      <w:r>
        <w:t>is</w:t>
      </w:r>
      <w:r>
        <w:rPr>
          <w:spacing w:val="34"/>
        </w:rPr>
        <w:t xml:space="preserve"> </w:t>
      </w:r>
      <w:r>
        <w:t>autonomy-</w:t>
      </w:r>
    </w:p>
    <w:p w14:paraId="7E002658" w14:textId="77777777" w:rsidR="009A58DB" w:rsidRDefault="00000000">
      <w:pPr>
        <w:pStyle w:val="BodyText"/>
        <w:spacing w:before="58" w:line="271" w:lineRule="auto"/>
        <w:ind w:right="359"/>
      </w:pPr>
      <w:r>
        <w:t>conductive and immoral to the extent that it is heteronomy-conducive. Given how intuitive CI</w:t>
      </w:r>
      <w:r>
        <w:rPr>
          <w:vertAlign w:val="subscript"/>
        </w:rPr>
        <w:t>2</w:t>
      </w:r>
      <w:r>
        <w:t>* is, it’s easy to see how an acceptance of it could be an ethicist’s</w:t>
      </w:r>
      <w:r>
        <w:rPr>
          <w:spacing w:val="28"/>
        </w:rPr>
        <w:t xml:space="preserve"> </w:t>
      </w:r>
      <w:r>
        <w:t>starting</w:t>
      </w:r>
      <w:r>
        <w:rPr>
          <w:spacing w:val="30"/>
        </w:rPr>
        <w:t xml:space="preserve"> </w:t>
      </w:r>
      <w:r>
        <w:t>point;</w:t>
      </w:r>
      <w:r>
        <w:rPr>
          <w:spacing w:val="31"/>
        </w:rPr>
        <w:t xml:space="preserve"> </w:t>
      </w:r>
      <w:r>
        <w:t>and</w:t>
      </w:r>
      <w:r>
        <w:rPr>
          <w:spacing w:val="30"/>
        </w:rPr>
        <w:t xml:space="preserve"> </w:t>
      </w:r>
      <w:r>
        <w:t>given</w:t>
      </w:r>
      <w:r>
        <w:rPr>
          <w:spacing w:val="30"/>
        </w:rPr>
        <w:t xml:space="preserve"> </w:t>
      </w:r>
      <w:r>
        <w:t>how</w:t>
      </w:r>
      <w:r>
        <w:rPr>
          <w:spacing w:val="31"/>
        </w:rPr>
        <w:t xml:space="preserve"> </w:t>
      </w:r>
      <w:r>
        <w:t>well</w:t>
      </w:r>
      <w:r>
        <w:rPr>
          <w:spacing w:val="30"/>
        </w:rPr>
        <w:t xml:space="preserve"> </w:t>
      </w:r>
      <w:r>
        <w:t>it</w:t>
      </w:r>
      <w:r>
        <w:rPr>
          <w:spacing w:val="29"/>
        </w:rPr>
        <w:t xml:space="preserve"> </w:t>
      </w:r>
      <w:r>
        <w:t>fits</w:t>
      </w:r>
      <w:r>
        <w:rPr>
          <w:spacing w:val="31"/>
        </w:rPr>
        <w:t xml:space="preserve"> </w:t>
      </w:r>
      <w:r>
        <w:t>the</w:t>
      </w:r>
      <w:r>
        <w:rPr>
          <w:spacing w:val="30"/>
        </w:rPr>
        <w:t xml:space="preserve"> </w:t>
      </w:r>
      <w:r>
        <w:t>data,</w:t>
      </w:r>
      <w:r>
        <w:rPr>
          <w:spacing w:val="30"/>
        </w:rPr>
        <w:t xml:space="preserve"> </w:t>
      </w:r>
      <w:r>
        <w:t>it’s</w:t>
      </w:r>
      <w:r>
        <w:rPr>
          <w:spacing w:val="31"/>
        </w:rPr>
        <w:t xml:space="preserve"> </w:t>
      </w:r>
      <w:r>
        <w:t>easy</w:t>
      </w:r>
      <w:r>
        <w:rPr>
          <w:spacing w:val="30"/>
        </w:rPr>
        <w:t xml:space="preserve"> </w:t>
      </w:r>
      <w:r>
        <w:t>to</w:t>
      </w:r>
      <w:r>
        <w:rPr>
          <w:spacing w:val="31"/>
        </w:rPr>
        <w:t xml:space="preserve"> </w:t>
      </w:r>
      <w:r>
        <w:rPr>
          <w:spacing w:val="-5"/>
        </w:rPr>
        <w:t>see</w:t>
      </w:r>
    </w:p>
    <w:p w14:paraId="7E002659" w14:textId="77777777" w:rsidR="009A58DB" w:rsidRDefault="00000000">
      <w:pPr>
        <w:pStyle w:val="BodyText"/>
        <w:spacing w:line="316" w:lineRule="exact"/>
      </w:pPr>
      <w:r>
        <w:t>how</w:t>
      </w:r>
      <w:r>
        <w:rPr>
          <w:spacing w:val="12"/>
        </w:rPr>
        <w:t xml:space="preserve"> </w:t>
      </w:r>
      <w:r>
        <w:t>it</w:t>
      </w:r>
      <w:r>
        <w:rPr>
          <w:spacing w:val="12"/>
        </w:rPr>
        <w:t xml:space="preserve"> </w:t>
      </w:r>
      <w:r>
        <w:t>could</w:t>
      </w:r>
      <w:r>
        <w:rPr>
          <w:spacing w:val="13"/>
        </w:rPr>
        <w:t xml:space="preserve"> </w:t>
      </w:r>
      <w:r>
        <w:t>be</w:t>
      </w:r>
      <w:r>
        <w:rPr>
          <w:spacing w:val="12"/>
        </w:rPr>
        <w:t xml:space="preserve"> </w:t>
      </w:r>
      <w:r>
        <w:t>an</w:t>
      </w:r>
      <w:r>
        <w:rPr>
          <w:spacing w:val="12"/>
        </w:rPr>
        <w:t xml:space="preserve"> </w:t>
      </w:r>
      <w:r>
        <w:t>ethicist’s</w:t>
      </w:r>
      <w:r>
        <w:rPr>
          <w:spacing w:val="13"/>
        </w:rPr>
        <w:t xml:space="preserve"> </w:t>
      </w:r>
      <w:r>
        <w:t>finishing</w:t>
      </w:r>
      <w:r>
        <w:rPr>
          <w:spacing w:val="12"/>
        </w:rPr>
        <w:t xml:space="preserve"> </w:t>
      </w:r>
      <w:r>
        <w:t>point.</w:t>
      </w:r>
      <w:r>
        <w:rPr>
          <w:spacing w:val="13"/>
        </w:rPr>
        <w:t xml:space="preserve"> </w:t>
      </w:r>
      <w:r>
        <w:t>But</w:t>
      </w:r>
      <w:r>
        <w:rPr>
          <w:spacing w:val="12"/>
        </w:rPr>
        <w:t xml:space="preserve"> </w:t>
      </w:r>
      <w:r>
        <w:t>given</w:t>
      </w:r>
      <w:r>
        <w:rPr>
          <w:spacing w:val="12"/>
        </w:rPr>
        <w:t xml:space="preserve"> </w:t>
      </w:r>
      <w:r>
        <w:t>how</w:t>
      </w:r>
      <w:r>
        <w:rPr>
          <w:spacing w:val="13"/>
        </w:rPr>
        <w:t xml:space="preserve"> </w:t>
      </w:r>
      <w:r>
        <w:t>contrived</w:t>
      </w:r>
      <w:r>
        <w:rPr>
          <w:spacing w:val="12"/>
        </w:rPr>
        <w:t xml:space="preserve"> </w:t>
      </w:r>
      <w:r>
        <w:t>CI</w:t>
      </w:r>
      <w:r>
        <w:rPr>
          <w:vertAlign w:val="subscript"/>
        </w:rPr>
        <w:t>1</w:t>
      </w:r>
      <w:r>
        <w:rPr>
          <w:spacing w:val="14"/>
        </w:rPr>
        <w:t xml:space="preserve"> </w:t>
      </w:r>
      <w:r>
        <w:rPr>
          <w:spacing w:val="-5"/>
        </w:rPr>
        <w:t>is,</w:t>
      </w:r>
    </w:p>
    <w:p w14:paraId="7E00265A" w14:textId="77777777" w:rsidR="009A58DB" w:rsidRDefault="00000000">
      <w:pPr>
        <w:pStyle w:val="BodyText"/>
        <w:spacing w:before="75" w:line="249" w:lineRule="auto"/>
        <w:ind w:right="371"/>
      </w:pPr>
      <w:r>
        <w:t>there’s no real chance that it could be an ethicist’s starting point; and given how wrong it is, it’s unlikely to be an ethicist’s finishing point.</w:t>
      </w:r>
    </w:p>
    <w:p w14:paraId="7E00265B" w14:textId="77777777" w:rsidR="009A58DB" w:rsidRDefault="00000000">
      <w:pPr>
        <w:pStyle w:val="BodyText"/>
        <w:spacing w:before="3" w:line="292" w:lineRule="auto"/>
        <w:ind w:right="358" w:firstLine="360"/>
      </w:pPr>
      <w:r>
        <w:t>Taken collectively, these points suggests that CI</w:t>
      </w:r>
      <w:r>
        <w:rPr>
          <w:vertAlign w:val="subscript"/>
        </w:rPr>
        <w:t>2</w:t>
      </w:r>
      <w:r>
        <w:t xml:space="preserve">* </w:t>
      </w:r>
      <w:r>
        <w:rPr>
          <w:i/>
        </w:rPr>
        <w:t xml:space="preserve">was </w:t>
      </w:r>
      <w:r>
        <w:t>Kant’s starting point and that, so far as he accepted CI</w:t>
      </w:r>
      <w:r>
        <w:rPr>
          <w:vertAlign w:val="subscript"/>
        </w:rPr>
        <w:t>1</w:t>
      </w:r>
      <w:r>
        <w:t>, it wasn’t really because he believed</w:t>
      </w:r>
    </w:p>
    <w:p w14:paraId="7E00265C" w14:textId="77777777" w:rsidR="009A58DB" w:rsidRDefault="00000000">
      <w:pPr>
        <w:pStyle w:val="BodyText"/>
        <w:spacing w:line="249" w:lineRule="auto"/>
        <w:ind w:right="358"/>
      </w:pPr>
      <w:r>
        <w:t>it, but because, for some reason internal to the mechanics of his theory, he</w:t>
      </w:r>
      <w:r>
        <w:rPr>
          <w:spacing w:val="40"/>
        </w:rPr>
        <w:t xml:space="preserve"> </w:t>
      </w:r>
      <w:r>
        <w:t>felt he had to accept it. This analysis is substantiated by the fact that, despite his</w:t>
      </w:r>
      <w:r>
        <w:rPr>
          <w:spacing w:val="27"/>
        </w:rPr>
        <w:t xml:space="preserve"> </w:t>
      </w:r>
      <w:r>
        <w:t>gargantuan</w:t>
      </w:r>
      <w:r>
        <w:rPr>
          <w:spacing w:val="27"/>
        </w:rPr>
        <w:t xml:space="preserve"> </w:t>
      </w:r>
      <w:r>
        <w:t>intellect,</w:t>
      </w:r>
      <w:r>
        <w:rPr>
          <w:spacing w:val="27"/>
        </w:rPr>
        <w:t xml:space="preserve"> </w:t>
      </w:r>
      <w:r>
        <w:t>saw</w:t>
      </w:r>
      <w:r>
        <w:rPr>
          <w:spacing w:val="27"/>
        </w:rPr>
        <w:t xml:space="preserve"> </w:t>
      </w:r>
      <w:r>
        <w:t>CI</w:t>
      </w:r>
      <w:r>
        <w:rPr>
          <w:vertAlign w:val="subscript"/>
        </w:rPr>
        <w:t>1</w:t>
      </w:r>
      <w:r>
        <w:rPr>
          <w:spacing w:val="23"/>
        </w:rPr>
        <w:t xml:space="preserve"> </w:t>
      </w:r>
      <w:r>
        <w:t>and</w:t>
      </w:r>
      <w:r>
        <w:rPr>
          <w:spacing w:val="23"/>
        </w:rPr>
        <w:t xml:space="preserve"> </w:t>
      </w:r>
      <w:r>
        <w:t>CI</w:t>
      </w:r>
      <w:r>
        <w:rPr>
          <w:vertAlign w:val="subscript"/>
        </w:rPr>
        <w:t>2</w:t>
      </w:r>
      <w:r>
        <w:t>*</w:t>
      </w:r>
      <w:r>
        <w:rPr>
          <w:spacing w:val="27"/>
        </w:rPr>
        <w:t xml:space="preserve"> </w:t>
      </w:r>
      <w:r>
        <w:t>as</w:t>
      </w:r>
      <w:r>
        <w:rPr>
          <w:spacing w:val="27"/>
        </w:rPr>
        <w:t xml:space="preserve"> </w:t>
      </w:r>
      <w:r>
        <w:t>being</w:t>
      </w:r>
      <w:r>
        <w:rPr>
          <w:spacing w:val="27"/>
        </w:rPr>
        <w:t xml:space="preserve"> </w:t>
      </w:r>
      <w:r>
        <w:t>equivalent,</w:t>
      </w:r>
      <w:r>
        <w:rPr>
          <w:spacing w:val="27"/>
        </w:rPr>
        <w:t xml:space="preserve"> </w:t>
      </w:r>
      <w:r>
        <w:t>even</w:t>
      </w:r>
      <w:r>
        <w:rPr>
          <w:spacing w:val="28"/>
        </w:rPr>
        <w:t xml:space="preserve"> </w:t>
      </w:r>
      <w:r>
        <w:t>though</w:t>
      </w:r>
    </w:p>
    <w:p w14:paraId="7E00265D" w14:textId="77777777" w:rsidR="009A58DB" w:rsidRDefault="00000000">
      <w:pPr>
        <w:pStyle w:val="BodyText"/>
        <w:spacing w:before="62"/>
      </w:pPr>
      <w:r>
        <w:t>they</w:t>
      </w:r>
      <w:r>
        <w:rPr>
          <w:spacing w:val="-4"/>
        </w:rPr>
        <w:t xml:space="preserve"> </w:t>
      </w:r>
      <w:r>
        <w:t>very</w:t>
      </w:r>
      <w:r>
        <w:rPr>
          <w:spacing w:val="-3"/>
        </w:rPr>
        <w:t xml:space="preserve"> </w:t>
      </w:r>
      <w:r>
        <w:t>clearly</w:t>
      </w:r>
      <w:r>
        <w:rPr>
          <w:spacing w:val="-3"/>
        </w:rPr>
        <w:t xml:space="preserve"> </w:t>
      </w:r>
      <w:r>
        <w:t>are</w:t>
      </w:r>
      <w:r>
        <w:rPr>
          <w:spacing w:val="-3"/>
        </w:rPr>
        <w:t xml:space="preserve"> </w:t>
      </w:r>
      <w:r>
        <w:rPr>
          <w:spacing w:val="-4"/>
        </w:rPr>
        <w:t>not.</w:t>
      </w:r>
    </w:p>
    <w:p w14:paraId="7E00265E" w14:textId="77777777" w:rsidR="009A58DB" w:rsidRDefault="00000000">
      <w:pPr>
        <w:pStyle w:val="BodyText"/>
        <w:spacing w:before="15" w:line="249" w:lineRule="auto"/>
        <w:ind w:right="358" w:firstLine="360"/>
      </w:pPr>
      <w:r>
        <w:t>All of these facts fall into place when we remember that, in Kant’s view, what gives us value is our rationality. Our rationality is what makes us better than animals. It is what makes us human. It is what makes us what we are. This suggests that, in Kant’s view, rationality is the greatest good. How is</w:t>
      </w:r>
      <w:r>
        <w:rPr>
          <w:spacing w:val="40"/>
        </w:rPr>
        <w:t xml:space="preserve"> </w:t>
      </w:r>
      <w:r>
        <w:t>this to be reconciled with Kant’s belief that goodness is identical with autonomy-conduciveness and badness is identical with heteronomy-</w:t>
      </w:r>
      <w:r>
        <w:rPr>
          <w:spacing w:val="-2"/>
        </w:rPr>
        <w:t>conduciveness?</w:t>
      </w:r>
    </w:p>
    <w:p w14:paraId="7E00265F" w14:textId="77777777" w:rsidR="009A58DB" w:rsidRDefault="00000000">
      <w:pPr>
        <w:pStyle w:val="Heading1"/>
        <w:numPr>
          <w:ilvl w:val="1"/>
          <w:numId w:val="53"/>
        </w:numPr>
        <w:tabs>
          <w:tab w:val="left" w:pos="2209"/>
          <w:tab w:val="left" w:pos="4480"/>
          <w:tab w:val="left" w:pos="5223"/>
          <w:tab w:val="left" w:pos="7389"/>
          <w:tab w:val="left" w:pos="9240"/>
        </w:tabs>
        <w:spacing w:before="196" w:line="244" w:lineRule="auto"/>
        <w:ind w:left="360" w:right="359" w:firstLine="0"/>
      </w:pPr>
      <w:r>
        <w:rPr>
          <w:spacing w:val="-2"/>
        </w:rPr>
        <w:t>Rationality</w:t>
      </w:r>
      <w:r>
        <w:tab/>
      </w:r>
      <w:r>
        <w:rPr>
          <w:spacing w:val="-4"/>
        </w:rPr>
        <w:t>vs.</w:t>
      </w:r>
      <w:r>
        <w:tab/>
      </w:r>
      <w:r>
        <w:rPr>
          <w:spacing w:val="-2"/>
        </w:rPr>
        <w:t>autonomy,</w:t>
      </w:r>
      <w:r>
        <w:tab/>
      </w:r>
      <w:r>
        <w:rPr>
          <w:spacing w:val="-2"/>
        </w:rPr>
        <w:t>practical</w:t>
      </w:r>
      <w:r>
        <w:tab/>
      </w:r>
      <w:r>
        <w:rPr>
          <w:spacing w:val="-4"/>
        </w:rPr>
        <w:t xml:space="preserve">vs. </w:t>
      </w:r>
      <w:r>
        <w:t>theoretical reason</w:t>
      </w:r>
    </w:p>
    <w:p w14:paraId="7E002660" w14:textId="77777777" w:rsidR="009A58DB" w:rsidRDefault="00000000">
      <w:pPr>
        <w:pStyle w:val="BodyText"/>
        <w:spacing w:before="132" w:line="249" w:lineRule="auto"/>
        <w:ind w:right="371"/>
      </w:pPr>
      <w:r>
        <w:t xml:space="preserve">The answer lies in the fact that Kant believes that rationality </w:t>
      </w:r>
      <w:r>
        <w:rPr>
          <w:i/>
        </w:rPr>
        <w:t xml:space="preserve">is </w:t>
      </w:r>
      <w:r>
        <w:t>autonomy. There is much to be said for this position, as we’ll now see.</w:t>
      </w:r>
    </w:p>
    <w:p w14:paraId="7E002661" w14:textId="77777777" w:rsidR="009A58DB" w:rsidRDefault="00000000">
      <w:pPr>
        <w:pStyle w:val="BodyText"/>
        <w:spacing w:before="3" w:line="249" w:lineRule="auto"/>
        <w:ind w:right="369" w:firstLine="360"/>
      </w:pPr>
      <w:r>
        <w:t>First of all, what do the terms “rationality” and “autonomy” mean? To be autonomous</w:t>
      </w:r>
      <w:r>
        <w:rPr>
          <w:spacing w:val="-17"/>
        </w:rPr>
        <w:t xml:space="preserve"> </w:t>
      </w:r>
      <w:r>
        <w:t>is</w:t>
      </w:r>
      <w:r>
        <w:rPr>
          <w:spacing w:val="-10"/>
        </w:rPr>
        <w:t xml:space="preserve"> </w:t>
      </w:r>
      <w:r>
        <w:t>to</w:t>
      </w:r>
      <w:r>
        <w:rPr>
          <w:spacing w:val="-10"/>
        </w:rPr>
        <w:t xml:space="preserve"> </w:t>
      </w:r>
      <w:r>
        <w:t>decide</w:t>
      </w:r>
      <w:r>
        <w:rPr>
          <w:spacing w:val="-10"/>
        </w:rPr>
        <w:t xml:space="preserve"> </w:t>
      </w:r>
      <w:r>
        <w:t>for</w:t>
      </w:r>
      <w:r>
        <w:rPr>
          <w:spacing w:val="-10"/>
        </w:rPr>
        <w:t xml:space="preserve"> </w:t>
      </w:r>
      <w:r>
        <w:t>oneself</w:t>
      </w:r>
      <w:r>
        <w:rPr>
          <w:spacing w:val="-10"/>
        </w:rPr>
        <w:t xml:space="preserve"> </w:t>
      </w:r>
      <w:r>
        <w:t>what</w:t>
      </w:r>
      <w:r>
        <w:rPr>
          <w:spacing w:val="-10"/>
        </w:rPr>
        <w:t xml:space="preserve"> </w:t>
      </w:r>
      <w:r>
        <w:t>to</w:t>
      </w:r>
      <w:r>
        <w:rPr>
          <w:spacing w:val="-10"/>
        </w:rPr>
        <w:t xml:space="preserve"> </w:t>
      </w:r>
      <w:r>
        <w:t>do</w:t>
      </w:r>
      <w:r>
        <w:rPr>
          <w:spacing w:val="-10"/>
        </w:rPr>
        <w:t xml:space="preserve"> </w:t>
      </w:r>
      <w:r>
        <w:t>and</w:t>
      </w:r>
      <w:r>
        <w:rPr>
          <w:spacing w:val="-10"/>
        </w:rPr>
        <w:t xml:space="preserve"> </w:t>
      </w:r>
      <w:r>
        <w:t>how</w:t>
      </w:r>
      <w:r>
        <w:rPr>
          <w:spacing w:val="-10"/>
        </w:rPr>
        <w:t xml:space="preserve"> </w:t>
      </w:r>
      <w:r>
        <w:t>to</w:t>
      </w:r>
      <w:r>
        <w:rPr>
          <w:spacing w:val="-10"/>
        </w:rPr>
        <w:t xml:space="preserve"> </w:t>
      </w:r>
      <w:r>
        <w:t>live.</w:t>
      </w:r>
      <w:r>
        <w:rPr>
          <w:spacing w:val="-19"/>
        </w:rPr>
        <w:t xml:space="preserve"> </w:t>
      </w:r>
      <w:r>
        <w:t>A</w:t>
      </w:r>
      <w:r>
        <w:rPr>
          <w:spacing w:val="-19"/>
        </w:rPr>
        <w:t xml:space="preserve"> </w:t>
      </w:r>
      <w:r>
        <w:t>creature</w:t>
      </w:r>
      <w:r>
        <w:rPr>
          <w:spacing w:val="-10"/>
        </w:rPr>
        <w:t xml:space="preserve"> </w:t>
      </w:r>
      <w:r>
        <w:t xml:space="preserve">that </w:t>
      </w:r>
      <w:r>
        <w:rPr>
          <w:spacing w:val="-2"/>
        </w:rPr>
        <w:t>can’t</w:t>
      </w:r>
      <w:r>
        <w:rPr>
          <w:spacing w:val="-15"/>
        </w:rPr>
        <w:t xml:space="preserve"> </w:t>
      </w:r>
      <w:r>
        <w:rPr>
          <w:spacing w:val="-2"/>
        </w:rPr>
        <w:t>make</w:t>
      </w:r>
      <w:r>
        <w:rPr>
          <w:spacing w:val="-14"/>
        </w:rPr>
        <w:t xml:space="preserve"> </w:t>
      </w:r>
      <w:r>
        <w:rPr>
          <w:i/>
          <w:spacing w:val="-2"/>
        </w:rPr>
        <w:t>decisions</w:t>
      </w:r>
      <w:r>
        <w:rPr>
          <w:i/>
          <w:spacing w:val="-14"/>
        </w:rPr>
        <w:t xml:space="preserve"> </w:t>
      </w:r>
      <w:r>
        <w:rPr>
          <w:spacing w:val="-2"/>
        </w:rPr>
        <w:t>can’t</w:t>
      </w:r>
      <w:r>
        <w:rPr>
          <w:spacing w:val="-14"/>
        </w:rPr>
        <w:t xml:space="preserve"> </w:t>
      </w:r>
      <w:r>
        <w:rPr>
          <w:spacing w:val="-2"/>
        </w:rPr>
        <w:t>be</w:t>
      </w:r>
      <w:r>
        <w:rPr>
          <w:spacing w:val="-14"/>
        </w:rPr>
        <w:t xml:space="preserve"> </w:t>
      </w:r>
      <w:r>
        <w:rPr>
          <w:spacing w:val="-2"/>
        </w:rPr>
        <w:t>autonomous.</w:t>
      </w:r>
      <w:r>
        <w:rPr>
          <w:spacing w:val="-18"/>
        </w:rPr>
        <w:t xml:space="preserve"> </w:t>
      </w:r>
      <w:r>
        <w:rPr>
          <w:spacing w:val="-2"/>
        </w:rPr>
        <w:t>To</w:t>
      </w:r>
      <w:r>
        <w:rPr>
          <w:spacing w:val="-14"/>
        </w:rPr>
        <w:t xml:space="preserve"> </w:t>
      </w:r>
      <w:r>
        <w:rPr>
          <w:spacing w:val="-2"/>
        </w:rPr>
        <w:t>be</w:t>
      </w:r>
      <w:r>
        <w:rPr>
          <w:spacing w:val="-14"/>
        </w:rPr>
        <w:t xml:space="preserve"> </w:t>
      </w:r>
      <w:r>
        <w:rPr>
          <w:spacing w:val="-2"/>
        </w:rPr>
        <w:t>rational</w:t>
      </w:r>
    </w:p>
    <w:p w14:paraId="7E002662" w14:textId="77777777" w:rsidR="009A58DB" w:rsidRDefault="00000000">
      <w:pPr>
        <w:pStyle w:val="BodyText"/>
        <w:spacing w:before="3" w:line="249" w:lineRule="auto"/>
        <w:ind w:right="364"/>
      </w:pPr>
      <w:r>
        <w:t>is</w:t>
      </w:r>
      <w:r>
        <w:rPr>
          <w:spacing w:val="-1"/>
        </w:rPr>
        <w:t xml:space="preserve"> </w:t>
      </w:r>
      <w:r>
        <w:t>to regulate one’s own thought processes in accordance with logical norms. Thus,</w:t>
      </w:r>
      <w:r>
        <w:rPr>
          <w:spacing w:val="-3"/>
        </w:rPr>
        <w:t xml:space="preserve"> </w:t>
      </w:r>
      <w:r>
        <w:t>to</w:t>
      </w:r>
      <w:r>
        <w:rPr>
          <w:spacing w:val="-3"/>
        </w:rPr>
        <w:t xml:space="preserve"> </w:t>
      </w:r>
      <w:r>
        <w:t>be</w:t>
      </w:r>
      <w:r>
        <w:rPr>
          <w:spacing w:val="-4"/>
        </w:rPr>
        <w:t xml:space="preserve"> </w:t>
      </w:r>
      <w:r>
        <w:t>autonomous</w:t>
      </w:r>
      <w:r>
        <w:rPr>
          <w:spacing w:val="-4"/>
        </w:rPr>
        <w:t xml:space="preserve"> </w:t>
      </w:r>
      <w:r>
        <w:t>is</w:t>
      </w:r>
      <w:r>
        <w:rPr>
          <w:spacing w:val="-4"/>
        </w:rPr>
        <w:t xml:space="preserve"> </w:t>
      </w:r>
      <w:r>
        <w:t>to</w:t>
      </w:r>
      <w:r>
        <w:rPr>
          <w:spacing w:val="-3"/>
        </w:rPr>
        <w:t xml:space="preserve"> </w:t>
      </w:r>
      <w:r>
        <w:t>decide</w:t>
      </w:r>
      <w:r>
        <w:rPr>
          <w:spacing w:val="-4"/>
        </w:rPr>
        <w:t xml:space="preserve"> </w:t>
      </w:r>
      <w:r>
        <w:t>for</w:t>
      </w:r>
      <w:r>
        <w:rPr>
          <w:spacing w:val="-4"/>
        </w:rPr>
        <w:t xml:space="preserve"> </w:t>
      </w:r>
      <w:r>
        <w:t>oneself</w:t>
      </w:r>
      <w:r>
        <w:rPr>
          <w:spacing w:val="-4"/>
        </w:rPr>
        <w:t xml:space="preserve"> </w:t>
      </w:r>
      <w:r>
        <w:t>how</w:t>
      </w:r>
      <w:r>
        <w:rPr>
          <w:spacing w:val="-4"/>
        </w:rPr>
        <w:t xml:space="preserve"> </w:t>
      </w:r>
      <w:r>
        <w:t>to</w:t>
      </w:r>
      <w:r>
        <w:rPr>
          <w:spacing w:val="-3"/>
        </w:rPr>
        <w:t xml:space="preserve"> </w:t>
      </w:r>
      <w:r>
        <w:t>live,</w:t>
      </w:r>
      <w:r>
        <w:rPr>
          <w:spacing w:val="-3"/>
        </w:rPr>
        <w:t xml:space="preserve"> </w:t>
      </w:r>
      <w:r>
        <w:t>and</w:t>
      </w:r>
      <w:r>
        <w:rPr>
          <w:spacing w:val="-3"/>
        </w:rPr>
        <w:t xml:space="preserve"> </w:t>
      </w:r>
      <w:r>
        <w:t>to</w:t>
      </w:r>
      <w:r>
        <w:rPr>
          <w:spacing w:val="-3"/>
        </w:rPr>
        <w:t xml:space="preserve"> </w:t>
      </w:r>
      <w:r>
        <w:t>be</w:t>
      </w:r>
      <w:r>
        <w:rPr>
          <w:spacing w:val="-4"/>
        </w:rPr>
        <w:t xml:space="preserve"> </w:t>
      </w:r>
      <w:r>
        <w:t>rational is to decide for oneself how to think.</w:t>
      </w:r>
    </w:p>
    <w:p w14:paraId="7E002663" w14:textId="77777777" w:rsidR="009A58DB" w:rsidRDefault="00000000">
      <w:pPr>
        <w:pStyle w:val="BodyText"/>
        <w:spacing w:before="4"/>
        <w:ind w:left="720"/>
      </w:pPr>
      <w:r>
        <w:t>“But</w:t>
      </w:r>
      <w:r>
        <w:rPr>
          <w:spacing w:val="62"/>
        </w:rPr>
        <w:t xml:space="preserve"> </w:t>
      </w:r>
      <w:r>
        <w:t>couldn’t</w:t>
      </w:r>
      <w:r>
        <w:rPr>
          <w:spacing w:val="65"/>
        </w:rPr>
        <w:t xml:space="preserve"> </w:t>
      </w:r>
      <w:r>
        <w:t>one</w:t>
      </w:r>
      <w:r>
        <w:rPr>
          <w:spacing w:val="65"/>
        </w:rPr>
        <w:t xml:space="preserve"> </w:t>
      </w:r>
      <w:r>
        <w:t>be</w:t>
      </w:r>
      <w:r>
        <w:rPr>
          <w:spacing w:val="65"/>
        </w:rPr>
        <w:t xml:space="preserve"> </w:t>
      </w:r>
      <w:r>
        <w:rPr>
          <w:i/>
        </w:rPr>
        <w:t>irrational,</w:t>
      </w:r>
      <w:r>
        <w:t>”</w:t>
      </w:r>
      <w:r>
        <w:rPr>
          <w:spacing w:val="66"/>
        </w:rPr>
        <w:t xml:space="preserve"> </w:t>
      </w:r>
      <w:r>
        <w:t>one</w:t>
      </w:r>
      <w:r>
        <w:rPr>
          <w:spacing w:val="65"/>
        </w:rPr>
        <w:t xml:space="preserve"> </w:t>
      </w:r>
      <w:r>
        <w:t>might</w:t>
      </w:r>
      <w:r>
        <w:rPr>
          <w:spacing w:val="66"/>
        </w:rPr>
        <w:t xml:space="preserve"> </w:t>
      </w:r>
      <w:r>
        <w:t>ask,</w:t>
      </w:r>
      <w:r>
        <w:rPr>
          <w:spacing w:val="66"/>
        </w:rPr>
        <w:t xml:space="preserve"> </w:t>
      </w:r>
      <w:r>
        <w:t>“and</w:t>
      </w:r>
      <w:r>
        <w:rPr>
          <w:spacing w:val="66"/>
        </w:rPr>
        <w:t xml:space="preserve"> </w:t>
      </w:r>
      <w:r>
        <w:t>still</w:t>
      </w:r>
      <w:r>
        <w:rPr>
          <w:spacing w:val="66"/>
        </w:rPr>
        <w:t xml:space="preserve"> </w:t>
      </w:r>
      <w:r>
        <w:t>decide</w:t>
      </w:r>
      <w:r>
        <w:rPr>
          <w:spacing w:val="66"/>
        </w:rPr>
        <w:t xml:space="preserve"> </w:t>
      </w:r>
      <w:r>
        <w:rPr>
          <w:spacing w:val="-5"/>
        </w:rPr>
        <w:t>for</w:t>
      </w:r>
    </w:p>
    <w:p w14:paraId="7E002664" w14:textId="77777777" w:rsidR="009A58DB" w:rsidRDefault="009A58DB">
      <w:pPr>
        <w:pStyle w:val="BodyText"/>
        <w:sectPr w:rsidR="009A58DB">
          <w:pgSz w:w="12240" w:h="15840"/>
          <w:pgMar w:top="1380" w:right="1080" w:bottom="280" w:left="1080" w:header="720" w:footer="720" w:gutter="0"/>
          <w:cols w:space="720"/>
        </w:sectPr>
      </w:pPr>
    </w:p>
    <w:p w14:paraId="7E002665" w14:textId="77777777" w:rsidR="009A58DB" w:rsidRDefault="00000000">
      <w:pPr>
        <w:pStyle w:val="BodyText"/>
        <w:spacing w:before="60" w:line="249" w:lineRule="auto"/>
        <w:ind w:right="363"/>
      </w:pPr>
      <w:r>
        <w:lastRenderedPageBreak/>
        <w:t xml:space="preserve">oneself how to think? Couldn’t one learn all the relevant logical norms, and make a decision </w:t>
      </w:r>
      <w:r>
        <w:rPr>
          <w:i/>
        </w:rPr>
        <w:t xml:space="preserve">not </w:t>
      </w:r>
      <w:r>
        <w:t>to comply with them in one’s thinking? To be sure, it isn’t likely that one would do this. But isn’t it at least a theoretical</w:t>
      </w:r>
      <w:r>
        <w:rPr>
          <w:spacing w:val="40"/>
        </w:rPr>
        <w:t xml:space="preserve"> </w:t>
      </w:r>
      <w:r>
        <w:t>possibility? And given that it is, doesn’t it follow that your definition of “rationality” is wrong?”</w:t>
      </w:r>
    </w:p>
    <w:p w14:paraId="7E002666" w14:textId="77777777" w:rsidR="009A58DB" w:rsidRDefault="00000000">
      <w:pPr>
        <w:pStyle w:val="BodyText"/>
        <w:spacing w:before="11" w:line="249" w:lineRule="auto"/>
        <w:ind w:right="362" w:firstLine="360"/>
      </w:pPr>
      <w:r>
        <w:t xml:space="preserve">In order to carry out such a program, one’s thinking would have to be rational. In any given situation, one would, by the objector’s own terms, (a) have to figure out what the rational thing to think was, and (b) decide </w:t>
      </w:r>
      <w:r>
        <w:rPr>
          <w:i/>
        </w:rPr>
        <w:t xml:space="preserve">not </w:t>
      </w:r>
      <w:r>
        <w:t>to think it. And the first part, at least, would involve being rational. The second part, admittedly, wouldn’t be rational—if one knows that the right conclusion to draw is Q, but one infers not-Q instead, one isn’t being rational. But in the case of the person just described, that irrationality would be parasitic on an existing rationality.</w:t>
      </w:r>
    </w:p>
    <w:p w14:paraId="7E002667" w14:textId="77777777" w:rsidR="009A58DB" w:rsidRDefault="00000000">
      <w:pPr>
        <w:pStyle w:val="BodyText"/>
        <w:spacing w:before="10" w:line="249" w:lineRule="auto"/>
        <w:ind w:right="360" w:firstLine="360"/>
        <w:rPr>
          <w:position w:val="21"/>
        </w:rPr>
      </w:pPr>
      <w:r>
        <w:t xml:space="preserve">Also, if somebody </w:t>
      </w:r>
      <w:r>
        <w:rPr>
          <w:i/>
        </w:rPr>
        <w:t xml:space="preserve">knowingly </w:t>
      </w:r>
      <w:r>
        <w:t>draws the wrong inference, one is “irrational” in a different way from somebody who fails to see what the right inference is to begin with. The second sort of irrationality is purely cognitive. The first has to do with the relationship between cognition and action. The one has to do with what philosophers sometimes refer to as theoretical</w:t>
      </w:r>
      <w:r>
        <w:rPr>
          <w:spacing w:val="40"/>
        </w:rPr>
        <w:t xml:space="preserve"> </w:t>
      </w:r>
      <w:r>
        <w:t xml:space="preserve">reason; the other has to do with what philosophers call </w:t>
      </w:r>
      <w:r>
        <w:rPr>
          <w:i/>
        </w:rPr>
        <w:t xml:space="preserve">practical reason. </w:t>
      </w:r>
      <w:r>
        <w:t>Theoretical reason has to do only with the drawing of inferences; it has nothing to do with the choices that one makes on the basis of one’s inferences. The degree to which one is “theoretically reasonable” is a</w:t>
      </w:r>
      <w:r>
        <w:rPr>
          <w:spacing w:val="40"/>
        </w:rPr>
        <w:t xml:space="preserve"> </w:t>
      </w:r>
      <w:r>
        <w:t>function only of the degree to which one draws the right inferences, it being irrelevant what one decides to do on the basis of those inferences. Practical reason has to do with the relationship between the inferences one draws, on the one hand, and the intentions in which they eventuate, on the other.</w:t>
      </w:r>
      <w:bookmarkStart w:id="526" w:name="_bookmark526"/>
      <w:bookmarkEnd w:id="526"/>
      <w:r>
        <w:rPr>
          <w:color w:val="0562C1"/>
          <w:position w:val="21"/>
          <w:u w:val="single" w:color="0562C1"/>
        </w:rPr>
        <w:t>[394]</w:t>
      </w:r>
    </w:p>
    <w:p w14:paraId="7E002668" w14:textId="77777777" w:rsidR="009A58DB" w:rsidRDefault="00000000">
      <w:pPr>
        <w:pStyle w:val="BodyText"/>
        <w:spacing w:before="16" w:line="249" w:lineRule="auto"/>
        <w:ind w:right="358" w:firstLine="360"/>
      </w:pPr>
      <w:r>
        <w:t>Given this, suppose that Smith decides to live the sort of life described by the objector. In other words, Smith has resolved that he’ll always conclude the opposite of what the norms of good reasoning require him to conclude. This means that, in any given context, he’ll (a) figure out what, given the relevant data, the right conclusion to draw is, and (b) having figured that out, he’ll take it upon himself to draw the opposite inference.</w:t>
      </w:r>
    </w:p>
    <w:p w14:paraId="7E002669" w14:textId="77777777" w:rsidR="009A58DB" w:rsidRDefault="00000000">
      <w:pPr>
        <w:pStyle w:val="BodyText"/>
        <w:spacing w:before="7" w:line="249" w:lineRule="auto"/>
        <w:ind w:right="363" w:firstLine="360"/>
      </w:pPr>
      <w:r>
        <w:t>Smith is a paragon of a theoretically reasonable person: by hypothesis, Smith’s reasoning is impeccable, at least to the extent that he’s successful in his</w:t>
      </w:r>
      <w:r>
        <w:rPr>
          <w:spacing w:val="17"/>
        </w:rPr>
        <w:t xml:space="preserve"> </w:t>
      </w:r>
      <w:r>
        <w:t>efforts</w:t>
      </w:r>
      <w:r>
        <w:rPr>
          <w:spacing w:val="17"/>
        </w:rPr>
        <w:t xml:space="preserve"> </w:t>
      </w:r>
      <w:r>
        <w:t>to</w:t>
      </w:r>
      <w:r>
        <w:rPr>
          <w:spacing w:val="18"/>
        </w:rPr>
        <w:t xml:space="preserve"> </w:t>
      </w:r>
      <w:r>
        <w:t>carry</w:t>
      </w:r>
      <w:r>
        <w:rPr>
          <w:spacing w:val="17"/>
        </w:rPr>
        <w:t xml:space="preserve"> </w:t>
      </w:r>
      <w:r>
        <w:t>out</w:t>
      </w:r>
      <w:r>
        <w:rPr>
          <w:spacing w:val="17"/>
        </w:rPr>
        <w:t xml:space="preserve"> </w:t>
      </w:r>
      <w:r>
        <w:t>his</w:t>
      </w:r>
      <w:r>
        <w:rPr>
          <w:spacing w:val="17"/>
        </w:rPr>
        <w:t xml:space="preserve"> </w:t>
      </w:r>
      <w:r>
        <w:t>agenda.</w:t>
      </w:r>
      <w:r>
        <w:rPr>
          <w:spacing w:val="17"/>
        </w:rPr>
        <w:t xml:space="preserve"> </w:t>
      </w:r>
      <w:r>
        <w:t>So</w:t>
      </w:r>
      <w:r>
        <w:rPr>
          <w:spacing w:val="17"/>
        </w:rPr>
        <w:t xml:space="preserve"> </w:t>
      </w:r>
      <w:r>
        <w:t>far</w:t>
      </w:r>
      <w:r>
        <w:rPr>
          <w:spacing w:val="18"/>
        </w:rPr>
        <w:t xml:space="preserve"> </w:t>
      </w:r>
      <w:r>
        <w:t>as</w:t>
      </w:r>
      <w:r>
        <w:rPr>
          <w:spacing w:val="17"/>
        </w:rPr>
        <w:t xml:space="preserve"> </w:t>
      </w:r>
      <w:r>
        <w:t>Smith</w:t>
      </w:r>
      <w:r>
        <w:rPr>
          <w:spacing w:val="17"/>
        </w:rPr>
        <w:t xml:space="preserve"> </w:t>
      </w:r>
      <w:r>
        <w:t>is</w:t>
      </w:r>
      <w:r>
        <w:rPr>
          <w:spacing w:val="18"/>
        </w:rPr>
        <w:t xml:space="preserve"> </w:t>
      </w:r>
      <w:r>
        <w:rPr>
          <w:i/>
        </w:rPr>
        <w:t xml:space="preserve">irrational, </w:t>
      </w:r>
      <w:r>
        <w:t>it’s because</w:t>
      </w:r>
    </w:p>
    <w:p w14:paraId="7E00266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6B" w14:textId="77777777" w:rsidR="009A58DB" w:rsidRDefault="00000000">
      <w:pPr>
        <w:pStyle w:val="BodyText"/>
        <w:spacing w:before="65" w:line="249" w:lineRule="auto"/>
        <w:ind w:right="359"/>
      </w:pPr>
      <w:r>
        <w:lastRenderedPageBreak/>
        <w:t xml:space="preserve">of what he decides to </w:t>
      </w:r>
      <w:r>
        <w:rPr>
          <w:i/>
        </w:rPr>
        <w:t>do</w:t>
      </w:r>
      <w:r>
        <w:rPr>
          <w:i/>
          <w:spacing w:val="-2"/>
        </w:rPr>
        <w:t xml:space="preserve"> </w:t>
      </w:r>
      <w:r>
        <w:t xml:space="preserve">with the correct inferences that he’s irrational. To be sure, what he decides to do with those inferences is have a belief—it isn’t to do anything overt, like go for a bike ride or have a beer. But it’s still, in the relevant sense, an action. So Smith </w:t>
      </w:r>
      <w:r>
        <w:rPr>
          <w:i/>
        </w:rPr>
        <w:t xml:space="preserve">is </w:t>
      </w:r>
      <w:r>
        <w:t>rational, at least insofar as rationality has to do with reasoning. So far as he’s irrational, it is in the practical, not the theoretical, sense. Thus, we don’t have in Smith a counterexample to the principle that to be rational is to decide for oneself how to think.</w:t>
      </w:r>
    </w:p>
    <w:p w14:paraId="7E00266C" w14:textId="77777777" w:rsidR="009A58DB" w:rsidRDefault="00000000">
      <w:pPr>
        <w:pStyle w:val="BodyText"/>
        <w:spacing w:before="8" w:line="249" w:lineRule="auto"/>
        <w:ind w:right="357" w:firstLine="360"/>
      </w:pPr>
      <w:r>
        <w:t xml:space="preserve">“Very well,” one might retort. “Contrast Smith’s case with Brown’s. Brown skips the first part of Smith’s two-step approach. Brown resolves one day that, in any given context, he </w:t>
      </w:r>
      <w:r>
        <w:rPr>
          <w:i/>
        </w:rPr>
        <w:t>won’t</w:t>
      </w:r>
      <w:r>
        <w:rPr>
          <w:i/>
          <w:spacing w:val="-3"/>
        </w:rPr>
        <w:t xml:space="preserve"> </w:t>
      </w:r>
      <w:r>
        <w:t xml:space="preserve">figure out what the right inference to draw is. Smith </w:t>
      </w:r>
      <w:r>
        <w:rPr>
          <w:i/>
        </w:rPr>
        <w:t xml:space="preserve">first figures out </w:t>
      </w:r>
      <w:r>
        <w:t>what he, given the available data along with the relevant logical norms, ought to believe. Having done that, he resolves to believe the opposite. But Brown skips the first part. He has resolved just to</w:t>
      </w:r>
      <w:r>
        <w:rPr>
          <w:spacing w:val="40"/>
        </w:rPr>
        <w:t xml:space="preserve"> </w:t>
      </w:r>
      <w:r>
        <w:t>let</w:t>
      </w:r>
      <w:r>
        <w:rPr>
          <w:spacing w:val="-4"/>
        </w:rPr>
        <w:t xml:space="preserve"> </w:t>
      </w:r>
      <w:r>
        <w:t>his</w:t>
      </w:r>
      <w:r>
        <w:rPr>
          <w:spacing w:val="-4"/>
        </w:rPr>
        <w:t xml:space="preserve"> </w:t>
      </w:r>
      <w:r>
        <w:t>beliefs</w:t>
      </w:r>
      <w:r>
        <w:rPr>
          <w:spacing w:val="-4"/>
        </w:rPr>
        <w:t xml:space="preserve"> </w:t>
      </w:r>
      <w:r>
        <w:t>arise</w:t>
      </w:r>
      <w:r>
        <w:rPr>
          <w:spacing w:val="-4"/>
        </w:rPr>
        <w:t xml:space="preserve"> </w:t>
      </w:r>
      <w:r>
        <w:t>spontaneously</w:t>
      </w:r>
      <w:r>
        <w:rPr>
          <w:spacing w:val="-3"/>
        </w:rPr>
        <w:t xml:space="preserve"> </w:t>
      </w:r>
      <w:r>
        <w:t>and,</w:t>
      </w:r>
      <w:r>
        <w:rPr>
          <w:spacing w:val="-3"/>
        </w:rPr>
        <w:t xml:space="preserve"> </w:t>
      </w:r>
      <w:r>
        <w:t>therefore,</w:t>
      </w:r>
      <w:r>
        <w:rPr>
          <w:spacing w:val="-3"/>
        </w:rPr>
        <w:t xml:space="preserve"> </w:t>
      </w:r>
      <w:r>
        <w:t>not</w:t>
      </w:r>
      <w:r>
        <w:rPr>
          <w:spacing w:val="-4"/>
        </w:rPr>
        <w:t xml:space="preserve"> </w:t>
      </w:r>
      <w:r>
        <w:t>to</w:t>
      </w:r>
      <w:r>
        <w:rPr>
          <w:spacing w:val="-3"/>
        </w:rPr>
        <w:t xml:space="preserve"> </w:t>
      </w:r>
      <w:r>
        <w:t>be</w:t>
      </w:r>
      <w:r>
        <w:rPr>
          <w:spacing w:val="-4"/>
        </w:rPr>
        <w:t xml:space="preserve"> </w:t>
      </w:r>
      <w:r>
        <w:t>responsive,</w:t>
      </w:r>
      <w:r>
        <w:rPr>
          <w:spacing w:val="-3"/>
        </w:rPr>
        <w:t xml:space="preserve"> </w:t>
      </w:r>
      <w:r>
        <w:t>even</w:t>
      </w:r>
      <w:r>
        <w:rPr>
          <w:spacing w:val="-3"/>
        </w:rPr>
        <w:t xml:space="preserve"> </w:t>
      </w:r>
      <w:r>
        <w:t xml:space="preserve">in a negative way, to the demands of canons of logic. It’s a datum that, so far as he carries out this plan, Brown’s thoughts aren’t rational. (They may be </w:t>
      </w:r>
      <w:r>
        <w:rPr>
          <w:i/>
        </w:rPr>
        <w:t xml:space="preserve">correct. </w:t>
      </w:r>
      <w:r>
        <w:t xml:space="preserve">But, being entirely reflexive, they aren’t </w:t>
      </w:r>
      <w:r>
        <w:rPr>
          <w:i/>
        </w:rPr>
        <w:t>rational.</w:t>
      </w:r>
      <w:r>
        <w:t xml:space="preserve">) But it’s also a datum that Brown has decided </w:t>
      </w:r>
      <w:r>
        <w:rPr>
          <w:i/>
        </w:rPr>
        <w:t xml:space="preserve">for himself </w:t>
      </w:r>
      <w:r>
        <w:t>how to think. This straightforwardly shows that you are wrong to say that to be rational is to decide for oneself how to think.</w:t>
      </w:r>
    </w:p>
    <w:p w14:paraId="7E00266D" w14:textId="77777777" w:rsidR="009A58DB" w:rsidRDefault="00000000">
      <w:pPr>
        <w:pStyle w:val="BodyText"/>
        <w:spacing w:before="16" w:line="249" w:lineRule="auto"/>
        <w:ind w:right="366" w:firstLine="360"/>
      </w:pPr>
      <w:r>
        <w:t xml:space="preserve">But Brown has decided for himself what to think in the sense that he’s decided not to decide for himself what to think. He has decided that, henceforth, he won’t decide for himself what to think. Once he gives himself over to that life-course, he is </w:t>
      </w:r>
      <w:r>
        <w:rPr>
          <w:i/>
        </w:rPr>
        <w:t xml:space="preserve">ex hypothesi </w:t>
      </w:r>
      <w:r>
        <w:t>no longer rational. Therefore, we don’t have in Brown a real counterexample to our analysis.</w:t>
      </w:r>
    </w:p>
    <w:p w14:paraId="7E00266E" w14:textId="77777777" w:rsidR="009A58DB" w:rsidRDefault="00000000">
      <w:pPr>
        <w:pStyle w:val="BodyText"/>
        <w:spacing w:before="6" w:line="249" w:lineRule="auto"/>
        <w:ind w:right="359" w:firstLine="360"/>
      </w:pPr>
      <w:r>
        <w:rPr>
          <w:spacing w:val="-2"/>
        </w:rPr>
        <w:t>Basically,</w:t>
      </w:r>
      <w:r>
        <w:rPr>
          <w:spacing w:val="-17"/>
        </w:rPr>
        <w:t xml:space="preserve"> </w:t>
      </w:r>
      <w:r>
        <w:rPr>
          <w:spacing w:val="-2"/>
        </w:rPr>
        <w:t>deciding</w:t>
      </w:r>
      <w:r>
        <w:rPr>
          <w:spacing w:val="-17"/>
        </w:rPr>
        <w:t xml:space="preserve"> </w:t>
      </w:r>
      <w:r>
        <w:rPr>
          <w:spacing w:val="-2"/>
        </w:rPr>
        <w:t>for</w:t>
      </w:r>
      <w:r>
        <w:rPr>
          <w:spacing w:val="-17"/>
        </w:rPr>
        <w:t xml:space="preserve"> </w:t>
      </w:r>
      <w:r>
        <w:rPr>
          <w:spacing w:val="-2"/>
        </w:rPr>
        <w:t>oneself</w:t>
      </w:r>
      <w:r>
        <w:rPr>
          <w:spacing w:val="-16"/>
        </w:rPr>
        <w:t xml:space="preserve"> </w:t>
      </w:r>
      <w:r>
        <w:rPr>
          <w:spacing w:val="-2"/>
        </w:rPr>
        <w:t>how</w:t>
      </w:r>
      <w:r>
        <w:rPr>
          <w:spacing w:val="-17"/>
        </w:rPr>
        <w:t xml:space="preserve"> </w:t>
      </w:r>
      <w:r>
        <w:rPr>
          <w:spacing w:val="-2"/>
        </w:rPr>
        <w:t>to</w:t>
      </w:r>
      <w:r>
        <w:rPr>
          <w:spacing w:val="-17"/>
        </w:rPr>
        <w:t xml:space="preserve"> </w:t>
      </w:r>
      <w:r>
        <w:rPr>
          <w:spacing w:val="-2"/>
        </w:rPr>
        <w:t>think</w:t>
      </w:r>
      <w:r>
        <w:rPr>
          <w:spacing w:val="-17"/>
        </w:rPr>
        <w:t xml:space="preserve"> </w:t>
      </w:r>
      <w:r>
        <w:rPr>
          <w:i/>
          <w:spacing w:val="-2"/>
        </w:rPr>
        <w:t>always</w:t>
      </w:r>
      <w:r>
        <w:rPr>
          <w:i/>
          <w:spacing w:val="-16"/>
        </w:rPr>
        <w:t xml:space="preserve"> </w:t>
      </w:r>
      <w:r>
        <w:rPr>
          <w:spacing w:val="-2"/>
        </w:rPr>
        <w:t>involves</w:t>
      </w:r>
      <w:r>
        <w:rPr>
          <w:spacing w:val="-17"/>
        </w:rPr>
        <w:t xml:space="preserve"> </w:t>
      </w:r>
      <w:r>
        <w:rPr>
          <w:spacing w:val="-2"/>
        </w:rPr>
        <w:t>regulating</w:t>
      </w:r>
      <w:r>
        <w:rPr>
          <w:spacing w:val="-17"/>
        </w:rPr>
        <w:t xml:space="preserve"> </w:t>
      </w:r>
      <w:r>
        <w:rPr>
          <w:spacing w:val="-2"/>
        </w:rPr>
        <w:t>one’s thoughts</w:t>
      </w:r>
      <w:r>
        <w:rPr>
          <w:spacing w:val="-17"/>
        </w:rPr>
        <w:t xml:space="preserve"> </w:t>
      </w:r>
      <w:r>
        <w:rPr>
          <w:spacing w:val="-2"/>
        </w:rPr>
        <w:t>in</w:t>
      </w:r>
      <w:r>
        <w:rPr>
          <w:spacing w:val="-17"/>
        </w:rPr>
        <w:t xml:space="preserve"> </w:t>
      </w:r>
      <w:r>
        <w:rPr>
          <w:spacing w:val="-2"/>
        </w:rPr>
        <w:t>accordance</w:t>
      </w:r>
      <w:r>
        <w:rPr>
          <w:spacing w:val="-17"/>
        </w:rPr>
        <w:t xml:space="preserve"> </w:t>
      </w:r>
      <w:r>
        <w:rPr>
          <w:spacing w:val="-2"/>
        </w:rPr>
        <w:t>with</w:t>
      </w:r>
      <w:r>
        <w:rPr>
          <w:spacing w:val="-16"/>
        </w:rPr>
        <w:t xml:space="preserve"> </w:t>
      </w:r>
      <w:r>
        <w:rPr>
          <w:spacing w:val="-2"/>
        </w:rPr>
        <w:t>norms.</w:t>
      </w:r>
      <w:r>
        <w:rPr>
          <w:spacing w:val="-17"/>
        </w:rPr>
        <w:t xml:space="preserve"> </w:t>
      </w:r>
      <w:r>
        <w:rPr>
          <w:spacing w:val="-2"/>
        </w:rPr>
        <w:t>Even</w:t>
      </w:r>
      <w:r>
        <w:rPr>
          <w:spacing w:val="-17"/>
        </w:rPr>
        <w:t xml:space="preserve"> </w:t>
      </w:r>
      <w:r>
        <w:rPr>
          <w:spacing w:val="-2"/>
        </w:rPr>
        <w:t>if</w:t>
      </w:r>
      <w:r>
        <w:rPr>
          <w:spacing w:val="-17"/>
        </w:rPr>
        <w:t xml:space="preserve"> </w:t>
      </w:r>
      <w:r>
        <w:rPr>
          <w:spacing w:val="-2"/>
        </w:rPr>
        <w:t>one</w:t>
      </w:r>
      <w:r>
        <w:rPr>
          <w:spacing w:val="-16"/>
        </w:rPr>
        <w:t xml:space="preserve"> </w:t>
      </w:r>
      <w:r>
        <w:rPr>
          <w:spacing w:val="-2"/>
        </w:rPr>
        <w:t>picks</w:t>
      </w:r>
      <w:r>
        <w:rPr>
          <w:spacing w:val="-17"/>
        </w:rPr>
        <w:t xml:space="preserve"> </w:t>
      </w:r>
      <w:r>
        <w:rPr>
          <w:spacing w:val="-2"/>
        </w:rPr>
        <w:t>the</w:t>
      </w:r>
      <w:r>
        <w:rPr>
          <w:spacing w:val="-17"/>
        </w:rPr>
        <w:t xml:space="preserve"> </w:t>
      </w:r>
      <w:r>
        <w:rPr>
          <w:spacing w:val="-2"/>
        </w:rPr>
        <w:t>wrong</w:t>
      </w:r>
      <w:r>
        <w:rPr>
          <w:spacing w:val="-17"/>
        </w:rPr>
        <w:t xml:space="preserve"> </w:t>
      </w:r>
      <w:r>
        <w:rPr>
          <w:spacing w:val="-2"/>
        </w:rPr>
        <w:t>norms—even</w:t>
      </w:r>
      <w:r>
        <w:rPr>
          <w:spacing w:val="-16"/>
        </w:rPr>
        <w:t xml:space="preserve"> </w:t>
      </w:r>
      <w:r>
        <w:rPr>
          <w:spacing w:val="-2"/>
        </w:rPr>
        <w:t xml:space="preserve">if </w:t>
      </w:r>
      <w:r>
        <w:t>one</w:t>
      </w:r>
      <w:r>
        <w:rPr>
          <w:spacing w:val="-4"/>
        </w:rPr>
        <w:t xml:space="preserve"> </w:t>
      </w:r>
      <w:r>
        <w:t>decides not to go with</w:t>
      </w:r>
      <w:r>
        <w:rPr>
          <w:spacing w:val="-19"/>
        </w:rPr>
        <w:t xml:space="preserve"> </w:t>
      </w:r>
      <w:r>
        <w:rPr>
          <w:b/>
          <w:i/>
        </w:rPr>
        <w:t>modus ponens, modus tollens,</w:t>
      </w:r>
      <w:r>
        <w:rPr>
          <w:b/>
          <w:i/>
          <w:spacing w:val="-19"/>
        </w:rPr>
        <w:t xml:space="preserve"> </w:t>
      </w:r>
      <w:r>
        <w:t xml:space="preserve">etc. and to go with </w:t>
      </w:r>
      <w:r>
        <w:rPr>
          <w:spacing w:val="-6"/>
        </w:rPr>
        <w:t>other,</w:t>
      </w:r>
      <w:r>
        <w:rPr>
          <w:spacing w:val="-12"/>
        </w:rPr>
        <w:t xml:space="preserve"> </w:t>
      </w:r>
      <w:r>
        <w:rPr>
          <w:spacing w:val="-6"/>
        </w:rPr>
        <w:t>spurious</w:t>
      </w:r>
      <w:r>
        <w:rPr>
          <w:spacing w:val="-12"/>
        </w:rPr>
        <w:t xml:space="preserve"> </w:t>
      </w:r>
      <w:r>
        <w:rPr>
          <w:spacing w:val="-6"/>
        </w:rPr>
        <w:t>forms</w:t>
      </w:r>
      <w:r>
        <w:rPr>
          <w:spacing w:val="-12"/>
        </w:rPr>
        <w:t xml:space="preserve"> </w:t>
      </w:r>
      <w:r>
        <w:rPr>
          <w:spacing w:val="-6"/>
        </w:rPr>
        <w:t>of</w:t>
      </w:r>
      <w:r>
        <w:rPr>
          <w:spacing w:val="-12"/>
        </w:rPr>
        <w:t xml:space="preserve"> </w:t>
      </w:r>
      <w:r>
        <w:rPr>
          <w:spacing w:val="-6"/>
        </w:rPr>
        <w:t>inference—one’s</w:t>
      </w:r>
      <w:r>
        <w:rPr>
          <w:spacing w:val="-12"/>
        </w:rPr>
        <w:t xml:space="preserve"> </w:t>
      </w:r>
      <w:r>
        <w:rPr>
          <w:spacing w:val="-6"/>
        </w:rPr>
        <w:t>correctly</w:t>
      </w:r>
      <w:r>
        <w:rPr>
          <w:spacing w:val="-12"/>
        </w:rPr>
        <w:t xml:space="preserve"> </w:t>
      </w:r>
      <w:r>
        <w:rPr>
          <w:i/>
          <w:spacing w:val="-6"/>
        </w:rPr>
        <w:t>applying</w:t>
      </w:r>
      <w:r>
        <w:rPr>
          <w:i/>
          <w:spacing w:val="-12"/>
        </w:rPr>
        <w:t xml:space="preserve"> </w:t>
      </w:r>
      <w:r>
        <w:rPr>
          <w:spacing w:val="-6"/>
        </w:rPr>
        <w:t>these</w:t>
      </w:r>
      <w:r>
        <w:rPr>
          <w:spacing w:val="-12"/>
        </w:rPr>
        <w:t xml:space="preserve"> </w:t>
      </w:r>
      <w:r>
        <w:rPr>
          <w:spacing w:val="-6"/>
        </w:rPr>
        <w:t>spurious</w:t>
      </w:r>
      <w:r>
        <w:rPr>
          <w:spacing w:val="-12"/>
        </w:rPr>
        <w:t xml:space="preserve"> </w:t>
      </w:r>
      <w:r>
        <w:rPr>
          <w:spacing w:val="-6"/>
        </w:rPr>
        <w:t xml:space="preserve">forms </w:t>
      </w:r>
      <w:r>
        <w:t>of</w:t>
      </w:r>
      <w:r>
        <w:rPr>
          <w:spacing w:val="40"/>
        </w:rPr>
        <w:t xml:space="preserve"> </w:t>
      </w:r>
      <w:r>
        <w:t>inference</w:t>
      </w:r>
      <w:r>
        <w:rPr>
          <w:spacing w:val="-19"/>
        </w:rPr>
        <w:t xml:space="preserve"> </w:t>
      </w:r>
      <w:r>
        <w:rPr>
          <w:i/>
        </w:rPr>
        <w:t>itself</w:t>
      </w:r>
      <w:r>
        <w:rPr>
          <w:i/>
          <w:spacing w:val="-19"/>
        </w:rPr>
        <w:t xml:space="preserve"> </w:t>
      </w:r>
      <w:r>
        <w:t>involves one’s having non-spurious beliefs as to how they apply</w:t>
      </w:r>
      <w:r>
        <w:rPr>
          <w:spacing w:val="-11"/>
        </w:rPr>
        <w:t xml:space="preserve"> </w:t>
      </w:r>
      <w:r>
        <w:t>to</w:t>
      </w:r>
      <w:r>
        <w:rPr>
          <w:spacing w:val="-11"/>
        </w:rPr>
        <w:t xml:space="preserve"> </w:t>
      </w:r>
      <w:r>
        <w:t>the</w:t>
      </w:r>
      <w:r>
        <w:rPr>
          <w:spacing w:val="-11"/>
        </w:rPr>
        <w:t xml:space="preserve"> </w:t>
      </w:r>
      <w:r>
        <w:t>data</w:t>
      </w:r>
      <w:r>
        <w:rPr>
          <w:spacing w:val="-11"/>
        </w:rPr>
        <w:t xml:space="preserve"> </w:t>
      </w:r>
      <w:r>
        <w:t>at</w:t>
      </w:r>
      <w:r>
        <w:rPr>
          <w:spacing w:val="-11"/>
        </w:rPr>
        <w:t xml:space="preserve"> </w:t>
      </w:r>
      <w:r>
        <w:t>one’s</w:t>
      </w:r>
      <w:r>
        <w:rPr>
          <w:spacing w:val="-10"/>
        </w:rPr>
        <w:t xml:space="preserve"> </w:t>
      </w:r>
      <w:r>
        <w:t>disposal.</w:t>
      </w:r>
      <w:r>
        <w:rPr>
          <w:spacing w:val="-10"/>
        </w:rPr>
        <w:t xml:space="preserve"> </w:t>
      </w:r>
      <w:r>
        <w:t>So</w:t>
      </w:r>
      <w:r>
        <w:rPr>
          <w:spacing w:val="-10"/>
        </w:rPr>
        <w:t xml:space="preserve"> </w:t>
      </w:r>
      <w:r>
        <w:t>given</w:t>
      </w:r>
      <w:r>
        <w:rPr>
          <w:spacing w:val="-10"/>
        </w:rPr>
        <w:t xml:space="preserve"> </w:t>
      </w:r>
      <w:r>
        <w:t>somebody</w:t>
      </w:r>
      <w:r>
        <w:rPr>
          <w:spacing w:val="-10"/>
        </w:rPr>
        <w:t xml:space="preserve"> </w:t>
      </w:r>
      <w:r>
        <w:t>who</w:t>
      </w:r>
      <w:r>
        <w:rPr>
          <w:spacing w:val="-10"/>
        </w:rPr>
        <w:t xml:space="preserve"> </w:t>
      </w:r>
      <w:r>
        <w:t>decides</w:t>
      </w:r>
      <w:r>
        <w:rPr>
          <w:spacing w:val="-10"/>
        </w:rPr>
        <w:t xml:space="preserve"> </w:t>
      </w:r>
      <w:r>
        <w:t>to</w:t>
      </w:r>
      <w:r>
        <w:rPr>
          <w:spacing w:val="-10"/>
        </w:rPr>
        <w:t xml:space="preserve"> </w:t>
      </w:r>
      <w:r>
        <w:t>think</w:t>
      </w:r>
      <w:r>
        <w:rPr>
          <w:spacing w:val="-10"/>
        </w:rPr>
        <w:t xml:space="preserve"> </w:t>
      </w:r>
      <w:r>
        <w:t>in accordance</w:t>
      </w:r>
      <w:r>
        <w:rPr>
          <w:spacing w:val="-21"/>
        </w:rPr>
        <w:t xml:space="preserve"> </w:t>
      </w:r>
      <w:r>
        <w:t>with</w:t>
      </w:r>
      <w:r>
        <w:rPr>
          <w:spacing w:val="-19"/>
        </w:rPr>
        <w:t xml:space="preserve"> </w:t>
      </w:r>
      <w:r>
        <w:t>the</w:t>
      </w:r>
      <w:r>
        <w:rPr>
          <w:spacing w:val="-19"/>
        </w:rPr>
        <w:t xml:space="preserve"> </w:t>
      </w:r>
      <w:r>
        <w:t>wrong</w:t>
      </w:r>
      <w:r>
        <w:rPr>
          <w:spacing w:val="-18"/>
        </w:rPr>
        <w:t xml:space="preserve"> </w:t>
      </w:r>
      <w:r>
        <w:t>principles,</w:t>
      </w:r>
      <w:r>
        <w:rPr>
          <w:spacing w:val="-19"/>
        </w:rPr>
        <w:t xml:space="preserve"> </w:t>
      </w:r>
      <w:r>
        <w:t>he</w:t>
      </w:r>
      <w:r>
        <w:rPr>
          <w:spacing w:val="-19"/>
        </w:rPr>
        <w:t xml:space="preserve"> </w:t>
      </w:r>
      <w:r>
        <w:t>can</w:t>
      </w:r>
      <w:r>
        <w:rPr>
          <w:spacing w:val="-19"/>
        </w:rPr>
        <w:t xml:space="preserve"> </w:t>
      </w:r>
      <w:r>
        <w:t>carry</w:t>
      </w:r>
      <w:r>
        <w:rPr>
          <w:spacing w:val="-18"/>
        </w:rPr>
        <w:t xml:space="preserve"> </w:t>
      </w:r>
      <w:r>
        <w:t>out</w:t>
      </w:r>
    </w:p>
    <w:p w14:paraId="7E00266F" w14:textId="77777777" w:rsidR="009A58DB" w:rsidRDefault="00000000">
      <w:pPr>
        <w:pStyle w:val="BodyText"/>
        <w:spacing w:before="9" w:line="249" w:lineRule="auto"/>
        <w:ind w:right="362"/>
      </w:pPr>
      <w:r>
        <w:t>his</w:t>
      </w:r>
      <w:r>
        <w:rPr>
          <w:spacing w:val="-2"/>
        </w:rPr>
        <w:t xml:space="preserve"> </w:t>
      </w:r>
      <w:r>
        <w:t xml:space="preserve">agenda </w:t>
      </w:r>
      <w:r>
        <w:rPr>
          <w:i/>
        </w:rPr>
        <w:t xml:space="preserve">only </w:t>
      </w:r>
      <w:r>
        <w:t>to the extent that he correctly sees how those principles bear on the data and, therefore, only to the extent that he is rational.</w:t>
      </w:r>
    </w:p>
    <w:p w14:paraId="7E002670" w14:textId="77777777" w:rsidR="009A58DB" w:rsidRDefault="00000000">
      <w:pPr>
        <w:pStyle w:val="BodyText"/>
        <w:spacing w:before="2" w:line="249" w:lineRule="auto"/>
        <w:ind w:right="362" w:firstLine="360"/>
      </w:pPr>
      <w:r>
        <w:t xml:space="preserve">No matter how you slice it, rationality is </w:t>
      </w:r>
      <w:r>
        <w:rPr>
          <w:i/>
        </w:rPr>
        <w:t xml:space="preserve">intellectual </w:t>
      </w:r>
      <w:r>
        <w:t>autonomy. In other words, to be rational is to decide for oneself how to think.</w:t>
      </w:r>
    </w:p>
    <w:p w14:paraId="7E00267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72" w14:textId="77777777" w:rsidR="009A58DB" w:rsidRDefault="00000000">
      <w:pPr>
        <w:pStyle w:val="BodyText"/>
        <w:spacing w:before="65" w:line="249" w:lineRule="auto"/>
        <w:ind w:right="358" w:firstLine="360"/>
      </w:pPr>
      <w:r>
        <w:lastRenderedPageBreak/>
        <w:t>Let’s compare rationality with autonomy. To be autonomous, I have said, is to live as one chooses. One’s being autonomous, I propose, is the same thing as one’s deciding what to do on the basis of norms that one has</w:t>
      </w:r>
      <w:r>
        <w:rPr>
          <w:spacing w:val="40"/>
        </w:rPr>
        <w:t xml:space="preserve"> </w:t>
      </w:r>
      <w:r>
        <w:t>adopted. A good way to see why this is (I believe) the right approach is to consider an obvious objection to it:</w:t>
      </w:r>
    </w:p>
    <w:p w14:paraId="7E002673" w14:textId="77777777" w:rsidR="009A58DB" w:rsidRDefault="009A58DB">
      <w:pPr>
        <w:pStyle w:val="BodyText"/>
        <w:spacing w:before="21"/>
        <w:ind w:left="0"/>
        <w:jc w:val="left"/>
      </w:pPr>
    </w:p>
    <w:p w14:paraId="7E002674" w14:textId="77777777" w:rsidR="009A58DB" w:rsidRDefault="00000000">
      <w:pPr>
        <w:pStyle w:val="BodyText"/>
        <w:spacing w:line="277" w:lineRule="exact"/>
        <w:ind w:left="1059"/>
        <w:jc w:val="left"/>
      </w:pPr>
      <w:bookmarkStart w:id="527" w:name="_bookmark527"/>
      <w:bookmarkEnd w:id="527"/>
      <w:r>
        <w:rPr>
          <w:color w:val="0562C1"/>
          <w:spacing w:val="-2"/>
          <w:u w:val="single" w:color="0562C1"/>
        </w:rPr>
        <w:t>[395]</w:t>
      </w:r>
    </w:p>
    <w:p w14:paraId="7E002675" w14:textId="77777777" w:rsidR="009A58DB" w:rsidRDefault="00000000">
      <w:pPr>
        <w:pStyle w:val="BodyText"/>
        <w:spacing w:line="277" w:lineRule="exact"/>
      </w:pPr>
      <w:r>
        <w:t>(NSG</w:t>
      </w:r>
      <w:r>
        <w:rPr>
          <w:spacing w:val="48"/>
          <w:w w:val="150"/>
        </w:rPr>
        <w:t xml:space="preserve">    </w:t>
      </w:r>
      <w:r>
        <w:t>)</w:t>
      </w:r>
      <w:r>
        <w:rPr>
          <w:spacing w:val="30"/>
        </w:rPr>
        <w:t xml:space="preserve">  </w:t>
      </w:r>
      <w:r>
        <w:t>Your</w:t>
      </w:r>
      <w:r>
        <w:rPr>
          <w:spacing w:val="30"/>
        </w:rPr>
        <w:t xml:space="preserve">  </w:t>
      </w:r>
      <w:r>
        <w:t>analysis</w:t>
      </w:r>
      <w:r>
        <w:rPr>
          <w:spacing w:val="31"/>
        </w:rPr>
        <w:t xml:space="preserve">  </w:t>
      </w:r>
      <w:r>
        <w:t>is</w:t>
      </w:r>
      <w:r>
        <w:rPr>
          <w:spacing w:val="30"/>
        </w:rPr>
        <w:t xml:space="preserve">  </w:t>
      </w:r>
      <w:r>
        <w:t>definitely</w:t>
      </w:r>
      <w:r>
        <w:rPr>
          <w:spacing w:val="30"/>
        </w:rPr>
        <w:t xml:space="preserve">  </w:t>
      </w:r>
      <w:r>
        <w:t>wrong.</w:t>
      </w:r>
      <w:r>
        <w:rPr>
          <w:spacing w:val="31"/>
        </w:rPr>
        <w:t xml:space="preserve">  </w:t>
      </w:r>
      <w:r>
        <w:t>Consider</w:t>
      </w:r>
      <w:r>
        <w:rPr>
          <w:spacing w:val="30"/>
        </w:rPr>
        <w:t xml:space="preserve">  </w:t>
      </w:r>
      <w:r>
        <w:t>the</w:t>
      </w:r>
      <w:r>
        <w:rPr>
          <w:spacing w:val="31"/>
        </w:rPr>
        <w:t xml:space="preserve">  </w:t>
      </w:r>
      <w:r>
        <w:t>case</w:t>
      </w:r>
      <w:r>
        <w:rPr>
          <w:spacing w:val="30"/>
        </w:rPr>
        <w:t xml:space="preserve">  </w:t>
      </w:r>
      <w:r>
        <w:rPr>
          <w:spacing w:val="-5"/>
        </w:rPr>
        <w:t>of</w:t>
      </w:r>
    </w:p>
    <w:p w14:paraId="7E002676" w14:textId="77777777" w:rsidR="009A58DB" w:rsidRDefault="00000000">
      <w:pPr>
        <w:pStyle w:val="BodyText"/>
        <w:spacing w:before="15" w:line="249" w:lineRule="auto"/>
        <w:ind w:right="364"/>
      </w:pPr>
      <w:r>
        <w:t>Williams. Williams has decided that he’ll do whatever he wants to do. He won’t examine his actions, or the intentions behind them, in light of norms. He’ll just act. But he’s autonomous. That’s a datum. After all, he’s deciding for himself how to live.</w:t>
      </w:r>
    </w:p>
    <w:p w14:paraId="7E002677" w14:textId="77777777" w:rsidR="009A58DB" w:rsidRDefault="009A58DB">
      <w:pPr>
        <w:pStyle w:val="BodyText"/>
        <w:spacing w:before="20"/>
        <w:ind w:left="0"/>
        <w:jc w:val="left"/>
      </w:pPr>
    </w:p>
    <w:p w14:paraId="7E002678" w14:textId="77777777" w:rsidR="009A58DB" w:rsidRDefault="00000000">
      <w:pPr>
        <w:pStyle w:val="BodyText"/>
        <w:spacing w:line="249" w:lineRule="auto"/>
        <w:ind w:right="358" w:firstLine="360"/>
      </w:pPr>
      <w:r>
        <w:t xml:space="preserve">Here’s why this is off the mark. To the extent that Smith carries out his agenda, he isn’t </w:t>
      </w:r>
      <w:r>
        <w:rPr>
          <w:i/>
        </w:rPr>
        <w:t>deciding</w:t>
      </w:r>
      <w:r>
        <w:rPr>
          <w:i/>
          <w:spacing w:val="-2"/>
        </w:rPr>
        <w:t xml:space="preserve"> </w:t>
      </w:r>
      <w:r>
        <w:t xml:space="preserve">anything at all. True—it is indeed a decision on his part that initiates his entry into a life of the sort described (viz. one in which he just does what he wants, never bothering to assess the consistency of his desires with norms of any sort). But once he’s in that life, he isn’t </w:t>
      </w:r>
      <w:r>
        <w:rPr>
          <w:i/>
        </w:rPr>
        <w:t xml:space="preserve">choosing </w:t>
      </w:r>
      <w:r>
        <w:t xml:space="preserve">anything at all. A creature that doesn’t deliberate doesn’t </w:t>
      </w:r>
      <w:r>
        <w:rPr>
          <w:i/>
        </w:rPr>
        <w:t xml:space="preserve">decide </w:t>
      </w:r>
      <w:r>
        <w:t xml:space="preserve">anything. It just acts. And a creature that deliberates is </w:t>
      </w:r>
      <w:r>
        <w:rPr>
          <w:i/>
        </w:rPr>
        <w:t>ipso facto</w:t>
      </w:r>
      <w:r>
        <w:rPr>
          <w:i/>
          <w:spacing w:val="40"/>
        </w:rPr>
        <w:t xml:space="preserve"> </w:t>
      </w:r>
      <w:r>
        <w:t>one that is trying to act on intentions that are in compliance with some set of norms.</w:t>
      </w:r>
    </w:p>
    <w:p w14:paraId="7E002679" w14:textId="77777777" w:rsidR="009A58DB" w:rsidRDefault="00000000">
      <w:pPr>
        <w:pStyle w:val="BodyText"/>
        <w:spacing w:before="15" w:line="249" w:lineRule="auto"/>
        <w:ind w:right="357" w:firstLine="360"/>
      </w:pPr>
      <w:r>
        <w:t xml:space="preserve">Do dogs make </w:t>
      </w:r>
      <w:r>
        <w:rPr>
          <w:i/>
        </w:rPr>
        <w:t>choices</w:t>
      </w:r>
      <w:bookmarkStart w:id="528" w:name="_bookmark528"/>
      <w:bookmarkEnd w:id="528"/>
      <w:r>
        <w:rPr>
          <w:i/>
        </w:rPr>
        <w:t>?</w:t>
      </w:r>
      <w:r>
        <w:rPr>
          <w:color w:val="0562C1"/>
          <w:position w:val="22"/>
          <w:u w:val="single" w:color="0562C1"/>
        </w:rPr>
        <w:t>[396]</w:t>
      </w:r>
      <w:r>
        <w:rPr>
          <w:color w:val="0562C1"/>
          <w:position w:val="22"/>
        </w:rPr>
        <w:t xml:space="preserve"> </w:t>
      </w:r>
      <w:r>
        <w:t>Obviously dogs have intentions. (The dog intends to get to the ball before the other dog. That’s why it’s running so frantically.) But it seems wrong to say that dogs “choose” (or “decide”).</w:t>
      </w:r>
      <w:r>
        <w:rPr>
          <w:spacing w:val="40"/>
        </w:rPr>
        <w:t xml:space="preserve"> </w:t>
      </w:r>
      <w:r>
        <w:t>Dogs don’t deliberate. They just react. The dog sees red meat: he pounces on it. He sees his brutal master: he cringes. The dog’s life is a series of programmed and therefore compulsive reactions to immediate stimuli. The dog doesn’t call the shots; these hardwired reaction protocols call the shots for him, and it therefore doesn’t make choices. Only creatures that deliberate make choices. Sub-rationa</w:t>
      </w:r>
      <w:bookmarkStart w:id="529" w:name="_bookmark529"/>
      <w:bookmarkEnd w:id="529"/>
      <w:r>
        <w:t>l</w:t>
      </w:r>
      <w:r>
        <w:rPr>
          <w:color w:val="0562C1"/>
          <w:position w:val="21"/>
          <w:u w:val="single" w:color="0562C1"/>
        </w:rPr>
        <w:t>[397]</w:t>
      </w:r>
      <w:r>
        <w:rPr>
          <w:color w:val="0562C1"/>
          <w:position w:val="21"/>
        </w:rPr>
        <w:t xml:space="preserve"> </w:t>
      </w:r>
      <w:r>
        <w:t xml:space="preserve">creatures don’t make choices. Non-rational creatures don’t act; they </w:t>
      </w:r>
      <w:r>
        <w:rPr>
          <w:i/>
        </w:rPr>
        <w:t>re</w:t>
      </w:r>
      <w:r>
        <w:t>act.</w:t>
      </w:r>
    </w:p>
    <w:p w14:paraId="7E00267A" w14:textId="77777777" w:rsidR="009A58DB" w:rsidRDefault="00000000">
      <w:pPr>
        <w:pStyle w:val="BodyText"/>
        <w:spacing w:before="12" w:line="249" w:lineRule="auto"/>
        <w:ind w:right="362" w:firstLine="360"/>
      </w:pPr>
      <w:r>
        <w:t xml:space="preserve">Rational creatures don’t just react. Their responses to situations are considered. That doesn’t mean that they </w:t>
      </w:r>
      <w:r>
        <w:rPr>
          <w:i/>
        </w:rPr>
        <w:t xml:space="preserve">deliberate </w:t>
      </w:r>
      <w:r>
        <w:t>before every act. (Nor should they, since a life spent deliberating would be one of “analysis paralysis”—of</w:t>
      </w:r>
      <w:r>
        <w:rPr>
          <w:spacing w:val="29"/>
        </w:rPr>
        <w:t xml:space="preserve"> </w:t>
      </w:r>
      <w:r>
        <w:t>over-thinking</w:t>
      </w:r>
      <w:r>
        <w:rPr>
          <w:spacing w:val="31"/>
        </w:rPr>
        <w:t xml:space="preserve"> </w:t>
      </w:r>
      <w:r>
        <w:t>what</w:t>
      </w:r>
      <w:r>
        <w:rPr>
          <w:spacing w:val="32"/>
        </w:rPr>
        <w:t xml:space="preserve"> </w:t>
      </w:r>
      <w:r>
        <w:t>one</w:t>
      </w:r>
      <w:r>
        <w:rPr>
          <w:spacing w:val="31"/>
        </w:rPr>
        <w:t xml:space="preserve"> </w:t>
      </w:r>
      <w:r>
        <w:t>should</w:t>
      </w:r>
      <w:r>
        <w:rPr>
          <w:spacing w:val="31"/>
        </w:rPr>
        <w:t xml:space="preserve"> </w:t>
      </w:r>
      <w:r>
        <w:t>do</w:t>
      </w:r>
      <w:r>
        <w:rPr>
          <w:spacing w:val="32"/>
        </w:rPr>
        <w:t xml:space="preserve"> </w:t>
      </w:r>
      <w:r>
        <w:t>and</w:t>
      </w:r>
      <w:r>
        <w:rPr>
          <w:spacing w:val="31"/>
        </w:rPr>
        <w:t xml:space="preserve"> </w:t>
      </w:r>
      <w:r>
        <w:t>therefore</w:t>
      </w:r>
      <w:r>
        <w:rPr>
          <w:spacing w:val="31"/>
        </w:rPr>
        <w:t xml:space="preserve"> </w:t>
      </w:r>
      <w:r>
        <w:t>never</w:t>
      </w:r>
      <w:r>
        <w:rPr>
          <w:spacing w:val="32"/>
        </w:rPr>
        <w:t xml:space="preserve"> </w:t>
      </w:r>
      <w:r>
        <w:rPr>
          <w:spacing w:val="-4"/>
        </w:rPr>
        <w:t>doing</w:t>
      </w:r>
    </w:p>
    <w:p w14:paraId="7E00267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7C" w14:textId="77777777" w:rsidR="009A58DB" w:rsidRDefault="00000000">
      <w:pPr>
        <w:pStyle w:val="BodyText"/>
        <w:spacing w:before="65" w:line="249" w:lineRule="auto"/>
        <w:ind w:right="359"/>
      </w:pPr>
      <w:r>
        <w:lastRenderedPageBreak/>
        <w:t>anything. It’s therefore irrational to deliberate too much. It’s irrational to be too</w:t>
      </w:r>
      <w:r>
        <w:rPr>
          <w:spacing w:val="-3"/>
        </w:rPr>
        <w:t xml:space="preserve"> </w:t>
      </w:r>
      <w:r>
        <w:t>rational</w:t>
      </w:r>
      <w:bookmarkStart w:id="530" w:name="_bookmark530"/>
      <w:bookmarkEnd w:id="530"/>
      <w:r>
        <w:t>!</w:t>
      </w:r>
      <w:r>
        <w:rPr>
          <w:color w:val="0562C1"/>
          <w:position w:val="21"/>
          <w:u w:val="single" w:color="0562C1"/>
        </w:rPr>
        <w:t>[398]</w:t>
      </w:r>
      <w:r>
        <w:t>)</w:t>
      </w:r>
      <w:r>
        <w:rPr>
          <w:spacing w:val="-2"/>
        </w:rPr>
        <w:t xml:space="preserve"> </w:t>
      </w:r>
      <w:r>
        <w:t>But</w:t>
      </w:r>
      <w:r>
        <w:rPr>
          <w:spacing w:val="-2"/>
        </w:rPr>
        <w:t xml:space="preserve"> </w:t>
      </w:r>
      <w:r>
        <w:t>their</w:t>
      </w:r>
      <w:r>
        <w:rPr>
          <w:spacing w:val="-2"/>
        </w:rPr>
        <w:t xml:space="preserve"> </w:t>
      </w:r>
      <w:r>
        <w:t>responses</w:t>
      </w:r>
      <w:r>
        <w:rPr>
          <w:spacing w:val="-2"/>
        </w:rPr>
        <w:t xml:space="preserve"> </w:t>
      </w:r>
      <w:r>
        <w:t>to</w:t>
      </w:r>
      <w:r>
        <w:rPr>
          <w:spacing w:val="-2"/>
        </w:rPr>
        <w:t xml:space="preserve"> </w:t>
      </w:r>
      <w:r>
        <w:t>situations</w:t>
      </w:r>
      <w:r>
        <w:rPr>
          <w:spacing w:val="-2"/>
        </w:rPr>
        <w:t xml:space="preserve"> </w:t>
      </w:r>
      <w:r>
        <w:t>are</w:t>
      </w:r>
      <w:r>
        <w:rPr>
          <w:spacing w:val="-2"/>
        </w:rPr>
        <w:t xml:space="preserve"> </w:t>
      </w:r>
      <w:r>
        <w:t>guided</w:t>
      </w:r>
      <w:r>
        <w:rPr>
          <w:spacing w:val="-2"/>
        </w:rPr>
        <w:t xml:space="preserve"> </w:t>
      </w:r>
      <w:r>
        <w:t>by</w:t>
      </w:r>
      <w:r>
        <w:rPr>
          <w:spacing w:val="-2"/>
        </w:rPr>
        <w:t xml:space="preserve"> </w:t>
      </w:r>
      <w:r>
        <w:rPr>
          <w:i/>
        </w:rPr>
        <w:t>choices</w:t>
      </w:r>
      <w:r>
        <w:rPr>
          <w:i/>
          <w:spacing w:val="-4"/>
        </w:rPr>
        <w:t xml:space="preserve"> </w:t>
      </w:r>
      <w:r>
        <w:t xml:space="preserve">that they’ve made, and </w:t>
      </w:r>
      <w:r>
        <w:rPr>
          <w:i/>
        </w:rPr>
        <w:t xml:space="preserve">those </w:t>
      </w:r>
      <w:r>
        <w:t>choices result from prior deliberations on their part.</w:t>
      </w:r>
      <w:r>
        <w:rPr>
          <w:spacing w:val="40"/>
        </w:rPr>
        <w:t xml:space="preserve"> </w:t>
      </w:r>
      <w:r>
        <w:t xml:space="preserve">I see an ice-cold beer in the fridge. Were I to react instinctively, I’d drink it. But long ago I made a choice to live a certain way (to be an author and, therefore, to avoid things, such as getting drunk in the morning, that would make it hard for me to ply my trade), and my instantaneous decision not to drink it reflects that choice. So even though I don’t deliberate, my act (of refraining from drinking the beer) is the embodiment of prior deliberation on its part. The dog’s reactions, by contrast, do not reflect previously made life </w:t>
      </w:r>
      <w:r>
        <w:rPr>
          <w:spacing w:val="-2"/>
        </w:rPr>
        <w:t>choices.</w:t>
      </w:r>
    </w:p>
    <w:p w14:paraId="7E00267D" w14:textId="77777777" w:rsidR="009A58DB" w:rsidRDefault="00000000">
      <w:pPr>
        <w:pStyle w:val="BodyText"/>
        <w:spacing w:before="13" w:line="249" w:lineRule="auto"/>
        <w:ind w:right="358" w:firstLine="360"/>
      </w:pPr>
      <w:r>
        <w:t xml:space="preserve">One last point before we close the argument: given a set of norms that one has decided to comply with, it’s not always obvious how to comply with them. In such cases, thought is needed to know how it is that, given those norms, one ought to act in a given situation if one is to comply with those norms. And even in cases where it </w:t>
      </w:r>
      <w:r>
        <w:rPr>
          <w:i/>
        </w:rPr>
        <w:t xml:space="preserve">is </w:t>
      </w:r>
      <w:r>
        <w:t xml:space="preserve">obvious how to comply with those norms, it’s obviously only to the extent that the right </w:t>
      </w:r>
      <w:r>
        <w:rPr>
          <w:i/>
        </w:rPr>
        <w:t xml:space="preserve">judgments </w:t>
      </w:r>
      <w:r>
        <w:t>come naturally to one. Thus, a prerequisite for practical rationality—that is, for autonomy—is theoretical rationality.</w:t>
      </w:r>
    </w:p>
    <w:p w14:paraId="7E00267E" w14:textId="77777777" w:rsidR="009A58DB" w:rsidRDefault="00000000">
      <w:pPr>
        <w:pStyle w:val="BodyText"/>
        <w:spacing w:before="10" w:line="249" w:lineRule="auto"/>
        <w:ind w:right="358" w:firstLine="360"/>
      </w:pPr>
      <w:r>
        <w:t>We can now say how rationality and autonomy are related. To be rational is to regulate one’s thinking in accordance with norms. To be autonomous is to regulate one’s actions in accordance with norms. The latter is a special</w:t>
      </w:r>
      <w:r>
        <w:rPr>
          <w:spacing w:val="40"/>
        </w:rPr>
        <w:t xml:space="preserve"> </w:t>
      </w:r>
      <w:r>
        <w:t>case of the former, since, as we just saw, one’s thinking must be</w:t>
      </w:r>
      <w:r>
        <w:rPr>
          <w:spacing w:val="40"/>
        </w:rPr>
        <w:t xml:space="preserve"> </w:t>
      </w:r>
      <w:r>
        <w:t xml:space="preserve">appropriately norm-driven if one is to know how which actions on one’s part will be incompliance with the norms of conduct one has adopted. Thus, rationality and autonomy </w:t>
      </w:r>
      <w:r>
        <w:rPr>
          <w:i/>
        </w:rPr>
        <w:t>are the same thing</w:t>
      </w:r>
      <w:r>
        <w:t>—or, rather, autonomy is a special case of rationality. Rationality is intellectual autonomy, and</w:t>
      </w:r>
      <w:r>
        <w:rPr>
          <w:spacing w:val="80"/>
        </w:rPr>
        <w:t xml:space="preserve"> </w:t>
      </w:r>
      <w:r>
        <w:t xml:space="preserve">autonomy is practical rationality. So rationality </w:t>
      </w:r>
      <w:r>
        <w:rPr>
          <w:i/>
        </w:rPr>
        <w:t xml:space="preserve">is </w:t>
      </w:r>
      <w:r>
        <w:t xml:space="preserve">autonomy. A creature can make decisions only to the extent that it is autonomous and, therefore, rational. (Non-rational/nonautonomous creatures have intentions. But they don’t make </w:t>
      </w:r>
      <w:r>
        <w:rPr>
          <w:i/>
        </w:rPr>
        <w:t xml:space="preserve">choices. </w:t>
      </w:r>
      <w:r>
        <w:t>They don’t deliberate. They just react.)</w:t>
      </w:r>
    </w:p>
    <w:p w14:paraId="7E00267F" w14:textId="77777777" w:rsidR="009A58DB" w:rsidRDefault="00000000">
      <w:pPr>
        <w:pStyle w:val="BodyText"/>
        <w:spacing w:before="15" w:line="249" w:lineRule="auto"/>
        <w:ind w:right="362" w:firstLine="360"/>
      </w:pPr>
      <w:r>
        <w:t xml:space="preserve">A creature that doesn’t make decisions isn’t an </w:t>
      </w:r>
      <w:r>
        <w:rPr>
          <w:i/>
        </w:rPr>
        <w:t xml:space="preserve">agent, </w:t>
      </w:r>
      <w:r>
        <w:t xml:space="preserve">at least not in the sense in which you and I are. </w:t>
      </w:r>
      <w:r>
        <w:rPr>
          <w:i/>
        </w:rPr>
        <w:t xml:space="preserve">It </w:t>
      </w:r>
      <w:r>
        <w:t>doesn’t form its own intentions. It’s</w:t>
      </w:r>
      <w:r>
        <w:rPr>
          <w:spacing w:val="40"/>
        </w:rPr>
        <w:t xml:space="preserve"> </w:t>
      </w:r>
      <w:r>
        <w:t xml:space="preserve">intentions </w:t>
      </w:r>
      <w:r>
        <w:rPr>
          <w:i/>
        </w:rPr>
        <w:t xml:space="preserve">result </w:t>
      </w:r>
      <w:r>
        <w:t>from a convergence of factors (its innate and acquired psychological</w:t>
      </w:r>
      <w:r>
        <w:rPr>
          <w:spacing w:val="40"/>
        </w:rPr>
        <w:t xml:space="preserve"> </w:t>
      </w:r>
      <w:r>
        <w:t>and</w:t>
      </w:r>
      <w:r>
        <w:rPr>
          <w:spacing w:val="40"/>
        </w:rPr>
        <w:t xml:space="preserve"> </w:t>
      </w:r>
      <w:r>
        <w:t>physiological</w:t>
      </w:r>
      <w:r>
        <w:rPr>
          <w:spacing w:val="40"/>
        </w:rPr>
        <w:t xml:space="preserve"> </w:t>
      </w:r>
      <w:r>
        <w:t>structure,</w:t>
      </w:r>
      <w:r>
        <w:rPr>
          <w:spacing w:val="40"/>
        </w:rPr>
        <w:t xml:space="preserve"> </w:t>
      </w:r>
      <w:r>
        <w:t>its</w:t>
      </w:r>
      <w:r>
        <w:rPr>
          <w:spacing w:val="40"/>
        </w:rPr>
        <w:t xml:space="preserve"> </w:t>
      </w:r>
      <w:r>
        <w:t>past</w:t>
      </w:r>
      <w:r>
        <w:rPr>
          <w:spacing w:val="40"/>
        </w:rPr>
        <w:t xml:space="preserve"> </w:t>
      </w:r>
      <w:r>
        <w:t>experiences,</w:t>
      </w:r>
      <w:r>
        <w:rPr>
          <w:spacing w:val="40"/>
        </w:rPr>
        <w:t xml:space="preserve"> </w:t>
      </w:r>
      <w:r>
        <w:t>the</w:t>
      </w:r>
      <w:r>
        <w:rPr>
          <w:spacing w:val="40"/>
        </w:rPr>
        <w:t xml:space="preserve"> </w:t>
      </w:r>
      <w:r>
        <w:t>present</w:t>
      </w:r>
    </w:p>
    <w:p w14:paraId="7E00268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81" w14:textId="77777777" w:rsidR="009A58DB" w:rsidRDefault="00000000">
      <w:pPr>
        <w:pStyle w:val="BodyText"/>
        <w:spacing w:before="65" w:line="249" w:lineRule="auto"/>
        <w:ind w:right="358"/>
      </w:pPr>
      <w:r>
        <w:lastRenderedPageBreak/>
        <w:t xml:space="preserve">context). But </w:t>
      </w:r>
      <w:r>
        <w:rPr>
          <w:i/>
        </w:rPr>
        <w:t>it</w:t>
      </w:r>
      <w:r>
        <w:rPr>
          <w:i/>
          <w:spacing w:val="-4"/>
        </w:rPr>
        <w:t xml:space="preserve"> </w:t>
      </w:r>
      <w:r>
        <w:t>doesn’t form them. Its intentions are formed in an impersonal way. An autonomous being forms its own intentions. So an autonomous</w:t>
      </w:r>
      <w:r>
        <w:rPr>
          <w:spacing w:val="40"/>
        </w:rPr>
        <w:t xml:space="preserve"> </w:t>
      </w:r>
      <w:r>
        <w:t>being</w:t>
      </w:r>
      <w:r>
        <w:rPr>
          <w:spacing w:val="-3"/>
        </w:rPr>
        <w:t xml:space="preserve"> </w:t>
      </w:r>
      <w:r>
        <w:t>is</w:t>
      </w:r>
      <w:r>
        <w:rPr>
          <w:spacing w:val="-3"/>
        </w:rPr>
        <w:t xml:space="preserve"> </w:t>
      </w:r>
      <w:r>
        <w:t>responsible</w:t>
      </w:r>
      <w:r>
        <w:rPr>
          <w:spacing w:val="-3"/>
        </w:rPr>
        <w:t xml:space="preserve"> </w:t>
      </w:r>
      <w:r>
        <w:t>for</w:t>
      </w:r>
      <w:r>
        <w:rPr>
          <w:spacing w:val="-3"/>
        </w:rPr>
        <w:t xml:space="preserve"> </w:t>
      </w:r>
      <w:r>
        <w:t>its</w:t>
      </w:r>
      <w:r>
        <w:rPr>
          <w:spacing w:val="-3"/>
        </w:rPr>
        <w:t xml:space="preserve"> </w:t>
      </w:r>
      <w:r>
        <w:t>intentions</w:t>
      </w:r>
      <w:r>
        <w:rPr>
          <w:spacing w:val="-3"/>
        </w:rPr>
        <w:t xml:space="preserve"> </w:t>
      </w:r>
      <w:r>
        <w:t>and,</w:t>
      </w:r>
      <w:r>
        <w:rPr>
          <w:spacing w:val="-3"/>
        </w:rPr>
        <w:t xml:space="preserve"> </w:t>
      </w:r>
      <w:r>
        <w:t>therefore,</w:t>
      </w:r>
      <w:r>
        <w:rPr>
          <w:spacing w:val="-3"/>
        </w:rPr>
        <w:t xml:space="preserve"> </w:t>
      </w:r>
      <w:r>
        <w:t>for</w:t>
      </w:r>
      <w:r>
        <w:rPr>
          <w:spacing w:val="-3"/>
        </w:rPr>
        <w:t xml:space="preserve"> </w:t>
      </w:r>
      <w:r>
        <w:t>the</w:t>
      </w:r>
      <w:r>
        <w:rPr>
          <w:spacing w:val="-3"/>
        </w:rPr>
        <w:t xml:space="preserve"> </w:t>
      </w:r>
      <w:r>
        <w:t>acts</w:t>
      </w:r>
      <w:r>
        <w:rPr>
          <w:spacing w:val="-3"/>
        </w:rPr>
        <w:t xml:space="preserve"> </w:t>
      </w:r>
      <w:r>
        <w:t>to</w:t>
      </w:r>
      <w:r>
        <w:rPr>
          <w:spacing w:val="-3"/>
        </w:rPr>
        <w:t xml:space="preserve"> </w:t>
      </w:r>
      <w:r>
        <w:t>which</w:t>
      </w:r>
      <w:r>
        <w:rPr>
          <w:spacing w:val="-3"/>
        </w:rPr>
        <w:t xml:space="preserve"> </w:t>
      </w:r>
      <w:r>
        <w:t>they lead.</w:t>
      </w:r>
      <w:r>
        <w:rPr>
          <w:spacing w:val="-3"/>
        </w:rPr>
        <w:t xml:space="preserve"> </w:t>
      </w:r>
      <w:r>
        <w:t>By</w:t>
      </w:r>
      <w:r>
        <w:rPr>
          <w:spacing w:val="-3"/>
        </w:rPr>
        <w:t xml:space="preserve"> </w:t>
      </w:r>
      <w:r>
        <w:t>contrast,</w:t>
      </w:r>
      <w:r>
        <w:rPr>
          <w:spacing w:val="-3"/>
        </w:rPr>
        <w:t xml:space="preserve"> </w:t>
      </w:r>
      <w:r>
        <w:t>a</w:t>
      </w:r>
      <w:r>
        <w:rPr>
          <w:spacing w:val="-3"/>
        </w:rPr>
        <w:t xml:space="preserve"> </w:t>
      </w:r>
      <w:r>
        <w:t>sub-rational,</w:t>
      </w:r>
      <w:r>
        <w:rPr>
          <w:spacing w:val="-3"/>
        </w:rPr>
        <w:t xml:space="preserve"> </w:t>
      </w:r>
      <w:r>
        <w:t>non-autonomous</w:t>
      </w:r>
      <w:r>
        <w:rPr>
          <w:spacing w:val="-3"/>
        </w:rPr>
        <w:t xml:space="preserve"> </w:t>
      </w:r>
      <w:r>
        <w:t>creature</w:t>
      </w:r>
      <w:r>
        <w:rPr>
          <w:spacing w:val="-3"/>
        </w:rPr>
        <w:t xml:space="preserve"> </w:t>
      </w:r>
      <w:r>
        <w:t>is</w:t>
      </w:r>
      <w:r>
        <w:rPr>
          <w:spacing w:val="-3"/>
        </w:rPr>
        <w:t xml:space="preserve"> </w:t>
      </w:r>
      <w:r>
        <w:t>responsible</w:t>
      </w:r>
      <w:r>
        <w:rPr>
          <w:spacing w:val="-3"/>
        </w:rPr>
        <w:t xml:space="preserve"> </w:t>
      </w:r>
      <w:r>
        <w:t xml:space="preserve">only for its actions. The intentions of a non-autonomous creatures are not the results of </w:t>
      </w:r>
      <w:r>
        <w:rPr>
          <w:i/>
        </w:rPr>
        <w:t xml:space="preserve">agency. </w:t>
      </w:r>
      <w:r>
        <w:t xml:space="preserve">Agency, for the non-autonomous, begins with intentions, but doesn’t itself generate them. For the autonomous, on the other hand, agency is itself responsible for intentions. Words like “agent,” “agency,” etc. are ambiguous; and words like “subject” (as in, “he is a human subject”) are correspondingly ambiguous. In one sense, dogs and infants are agents. In another, they are not. Which is why we don’t hold 3-year olds criminally responsible for their acts. Two-year olds are agents in </w:t>
      </w:r>
      <w:r>
        <w:rPr>
          <w:i/>
        </w:rPr>
        <w:t xml:space="preserve">a </w:t>
      </w:r>
      <w:r>
        <w:t>sense of the word,</w:t>
      </w:r>
      <w:r>
        <w:rPr>
          <w:spacing w:val="40"/>
        </w:rPr>
        <w:t xml:space="preserve"> </w:t>
      </w:r>
      <w:r>
        <w:t>but not in the same, robust sense in which you and I are agents. Words like “subject” (as in, “he is a human subject”) are correspondingly ambiguous.</w:t>
      </w:r>
      <w:r>
        <w:rPr>
          <w:spacing w:val="40"/>
        </w:rPr>
        <w:t xml:space="preserve"> </w:t>
      </w:r>
      <w:r>
        <w:t>For the reasons just given, agency in this more robust sense is identical with rationality and, therefore, with autonomy; and agency in this sense is</w:t>
      </w:r>
      <w:r>
        <w:rPr>
          <w:spacing w:val="40"/>
        </w:rPr>
        <w:t xml:space="preserve"> </w:t>
      </w:r>
      <w:r>
        <w:t>identical with moral responsibility. Respect for a person’s autonomy is therefore nothing other than respect for his agency and thus for his very existence, to the extent as he is, in the robust sense of the word, a subject.</w:t>
      </w:r>
    </w:p>
    <w:p w14:paraId="7E002682" w14:textId="77777777" w:rsidR="009A58DB" w:rsidRDefault="00000000">
      <w:pPr>
        <w:pStyle w:val="BodyText"/>
        <w:spacing w:before="23" w:line="249" w:lineRule="auto"/>
        <w:ind w:right="358" w:firstLine="360"/>
      </w:pPr>
      <w:r>
        <w:t xml:space="preserve">Contrary to what Kant tries to show, none of this entails that one’s own welfare necessarily involves one’s respecting </w:t>
      </w:r>
      <w:r>
        <w:rPr>
          <w:i/>
        </w:rPr>
        <w:t xml:space="preserve">other </w:t>
      </w:r>
      <w:r>
        <w:t>people’s autonomy (rationality/agency/subjecthood). But it shows that one’s welfare depends on, if it isn’t identical with, one’s being moral to oneself—on one’s not encroaching on one’s own autonomy. It also shows that ethical responsibility and agency are coeval with rationality and autonomy. In any case, Kant’s attempt to identify morality with self-interest, though not itself a success, is driven by a cogent analysis of the nature of agency and its connection to rationality and morality.</w:t>
      </w:r>
    </w:p>
    <w:p w14:paraId="7E00268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84" w14:textId="77777777" w:rsidR="009A58DB" w:rsidRDefault="00000000">
      <w:pPr>
        <w:spacing w:line="503" w:lineRule="exact"/>
        <w:ind w:left="326" w:right="332"/>
        <w:jc w:val="center"/>
        <w:rPr>
          <w:rFonts w:ascii="Calibri Light"/>
          <w:sz w:val="42"/>
        </w:rPr>
      </w:pPr>
      <w:bookmarkStart w:id="531" w:name="_bookmark531"/>
      <w:bookmarkEnd w:id="531"/>
      <w:r>
        <w:rPr>
          <w:rFonts w:ascii="Calibri Light"/>
          <w:sz w:val="42"/>
        </w:rPr>
        <w:lastRenderedPageBreak/>
        <w:t>Chapter</w:t>
      </w:r>
      <w:r>
        <w:rPr>
          <w:rFonts w:ascii="Calibri Light"/>
          <w:spacing w:val="56"/>
          <w:sz w:val="42"/>
        </w:rPr>
        <w:t xml:space="preserve"> </w:t>
      </w:r>
      <w:r>
        <w:rPr>
          <w:rFonts w:ascii="Calibri Light"/>
          <w:spacing w:val="-5"/>
          <w:sz w:val="42"/>
        </w:rPr>
        <w:t>24</w:t>
      </w:r>
    </w:p>
    <w:p w14:paraId="7E002685" w14:textId="77777777" w:rsidR="009A58DB" w:rsidRDefault="00000000">
      <w:pPr>
        <w:spacing w:before="222" w:line="504" w:lineRule="exact"/>
        <w:ind w:left="326" w:right="332"/>
        <w:jc w:val="center"/>
        <w:rPr>
          <w:rFonts w:ascii="Calibri Light"/>
          <w:sz w:val="42"/>
        </w:rPr>
      </w:pPr>
      <w:bookmarkStart w:id="532" w:name="_bookmark532"/>
      <w:bookmarkEnd w:id="532"/>
      <w:r>
        <w:rPr>
          <w:rFonts w:ascii="Calibri Light"/>
          <w:sz w:val="42"/>
        </w:rPr>
        <w:t>Hedonism,</w:t>
      </w:r>
      <w:r>
        <w:rPr>
          <w:rFonts w:ascii="Calibri Light"/>
          <w:spacing w:val="35"/>
          <w:w w:val="150"/>
          <w:sz w:val="42"/>
        </w:rPr>
        <w:t xml:space="preserve"> </w:t>
      </w:r>
      <w:r>
        <w:rPr>
          <w:rFonts w:ascii="Calibri Light"/>
          <w:sz w:val="42"/>
        </w:rPr>
        <w:t>Egoism,</w:t>
      </w:r>
      <w:r>
        <w:rPr>
          <w:rFonts w:ascii="Calibri Light"/>
          <w:spacing w:val="35"/>
          <w:w w:val="150"/>
          <w:sz w:val="42"/>
        </w:rPr>
        <w:t xml:space="preserve"> </w:t>
      </w:r>
      <w:r>
        <w:rPr>
          <w:rFonts w:ascii="Calibri Light"/>
          <w:sz w:val="42"/>
        </w:rPr>
        <w:t>Utilitarianism,</w:t>
      </w:r>
      <w:r>
        <w:rPr>
          <w:rFonts w:ascii="Calibri Light"/>
          <w:spacing w:val="35"/>
          <w:w w:val="150"/>
          <w:sz w:val="42"/>
        </w:rPr>
        <w:t xml:space="preserve"> </w:t>
      </w:r>
      <w:r>
        <w:rPr>
          <w:rFonts w:ascii="Calibri Light"/>
          <w:spacing w:val="-5"/>
          <w:sz w:val="42"/>
        </w:rPr>
        <w:t>and</w:t>
      </w:r>
    </w:p>
    <w:p w14:paraId="7E002686" w14:textId="77777777" w:rsidR="009A58DB" w:rsidRDefault="00000000">
      <w:pPr>
        <w:spacing w:line="398" w:lineRule="exact"/>
        <w:ind w:left="2365" w:right="332"/>
        <w:jc w:val="center"/>
        <w:rPr>
          <w:rFonts w:ascii="Calibri Light"/>
          <w:sz w:val="42"/>
        </w:rPr>
      </w:pPr>
      <w:bookmarkStart w:id="533" w:name="_bookmark533"/>
      <w:bookmarkEnd w:id="533"/>
      <w:r>
        <w:rPr>
          <w:rFonts w:ascii="Calibri Light"/>
          <w:color w:val="0562C1"/>
          <w:spacing w:val="-2"/>
          <w:sz w:val="42"/>
          <w:u w:val="single" w:color="0562C1"/>
        </w:rPr>
        <w:t>[399]</w:t>
      </w:r>
    </w:p>
    <w:p w14:paraId="7E002687" w14:textId="77777777" w:rsidR="009A58DB" w:rsidRDefault="00000000">
      <w:pPr>
        <w:spacing w:line="406" w:lineRule="exact"/>
        <w:ind w:left="526" w:right="1420"/>
        <w:jc w:val="center"/>
        <w:rPr>
          <w:rFonts w:ascii="Calibri Light"/>
          <w:sz w:val="42"/>
        </w:rPr>
      </w:pPr>
      <w:r>
        <w:rPr>
          <w:rFonts w:ascii="Calibri Light"/>
          <w:spacing w:val="-2"/>
          <w:sz w:val="42"/>
        </w:rPr>
        <w:t>Deontology</w:t>
      </w:r>
    </w:p>
    <w:p w14:paraId="7E002688" w14:textId="77777777" w:rsidR="009A58DB" w:rsidRDefault="00000000">
      <w:pPr>
        <w:pStyle w:val="Heading1"/>
        <w:numPr>
          <w:ilvl w:val="1"/>
          <w:numId w:val="50"/>
        </w:numPr>
        <w:tabs>
          <w:tab w:val="left" w:pos="990"/>
        </w:tabs>
        <w:spacing w:before="95"/>
      </w:pPr>
      <w:r>
        <w:rPr>
          <w:spacing w:val="-2"/>
        </w:rPr>
        <w:t>Hedonism</w:t>
      </w:r>
    </w:p>
    <w:p w14:paraId="7E002689" w14:textId="77777777" w:rsidR="009A58DB" w:rsidRDefault="00000000">
      <w:pPr>
        <w:pStyle w:val="BodyText"/>
        <w:spacing w:before="79" w:line="249" w:lineRule="auto"/>
        <w:ind w:right="358"/>
      </w:pPr>
      <w:r>
        <w:t xml:space="preserve">There are two different doctrines that go by the name of “hedonism.” One is an ethical doctrine about what we </w:t>
      </w:r>
      <w:r>
        <w:rPr>
          <w:i/>
        </w:rPr>
        <w:t xml:space="preserve">should </w:t>
      </w:r>
      <w:r>
        <w:t xml:space="preserve">do. The other is a psychological doctrine about what we </w:t>
      </w:r>
      <w:r>
        <w:rPr>
          <w:i/>
        </w:rPr>
        <w:t xml:space="preserve">in fact </w:t>
      </w:r>
      <w:r>
        <w:t>do.</w:t>
      </w:r>
    </w:p>
    <w:p w14:paraId="7E00268A" w14:textId="77777777" w:rsidR="009A58DB" w:rsidRDefault="00000000">
      <w:pPr>
        <w:pStyle w:val="BodyText"/>
        <w:spacing w:before="4" w:line="249" w:lineRule="auto"/>
        <w:ind w:right="362" w:firstLine="360"/>
      </w:pPr>
      <w:r>
        <w:t xml:space="preserve">According to ethical hedonism, people </w:t>
      </w:r>
      <w:r>
        <w:rPr>
          <w:i/>
        </w:rPr>
        <w:t xml:space="preserve">have an obligation </w:t>
      </w:r>
      <w:r>
        <w:t>to pursue their own pleasure and they have no other obligations.</w:t>
      </w:r>
    </w:p>
    <w:p w14:paraId="7E00268B" w14:textId="77777777" w:rsidR="009A58DB" w:rsidRDefault="00000000">
      <w:pPr>
        <w:pStyle w:val="BodyText"/>
        <w:spacing w:before="2" w:line="249" w:lineRule="auto"/>
        <w:ind w:right="366" w:firstLine="360"/>
      </w:pPr>
      <w:r>
        <w:t xml:space="preserve">According to </w:t>
      </w:r>
      <w:r>
        <w:rPr>
          <w:i/>
        </w:rPr>
        <w:t xml:space="preserve">psychological </w:t>
      </w:r>
      <w:r>
        <w:t>hedonism, human beings always seek pleasure. In other words, it is a law of psychology that, whenever a person acts, it is in order to experience pleasure.</w:t>
      </w:r>
    </w:p>
    <w:p w14:paraId="7E00268C" w14:textId="77777777" w:rsidR="009A58DB" w:rsidRDefault="00000000">
      <w:pPr>
        <w:pStyle w:val="BodyText"/>
        <w:spacing w:before="4" w:line="249" w:lineRule="auto"/>
        <w:ind w:right="360" w:firstLine="360"/>
      </w:pPr>
      <w:r>
        <w:t>Nobody denies that human beings can deliberately forego pleasure. But, according to the psychological hedonist, people deliberately forego pleasures only if they think it necessary to open up opportunities to experience pleasures greater than the ones they’re foregoing.</w:t>
      </w:r>
    </w:p>
    <w:p w14:paraId="7E00268D" w14:textId="77777777" w:rsidR="009A58DB" w:rsidRDefault="00000000">
      <w:pPr>
        <w:pStyle w:val="BodyText"/>
        <w:spacing w:before="5" w:line="249" w:lineRule="auto"/>
        <w:ind w:right="363" w:firstLine="360"/>
        <w:rPr>
          <w:position w:val="21"/>
        </w:rPr>
      </w:pPr>
      <w:r>
        <w:t xml:space="preserve">A person can coherently accept ethical hedonism without accepting psychological hedonism. In fact, it would be incoherent to advocate ethical hedonism </w:t>
      </w:r>
      <w:r>
        <w:rPr>
          <w:i/>
        </w:rPr>
        <w:t xml:space="preserve">unless </w:t>
      </w:r>
      <w:r>
        <w:t xml:space="preserve">psychological hedonism were false. If psychological hedonism is correct, people will seek pleasure no matter what, and in that there is thus no point in </w:t>
      </w:r>
      <w:r>
        <w:rPr>
          <w:i/>
        </w:rPr>
        <w:t xml:space="preserve">telling </w:t>
      </w:r>
      <w:r>
        <w:t>people to pursue their own pleasure.</w:t>
      </w:r>
      <w:bookmarkStart w:id="534" w:name="_bookmark534"/>
      <w:bookmarkEnd w:id="534"/>
      <w:r>
        <w:rPr>
          <w:color w:val="0562C1"/>
          <w:position w:val="21"/>
          <w:u w:val="single" w:color="0562C1"/>
        </w:rPr>
        <w:t>[400]</w:t>
      </w:r>
    </w:p>
    <w:p w14:paraId="7E00268E" w14:textId="77777777" w:rsidR="009A58DB" w:rsidRDefault="00000000">
      <w:pPr>
        <w:pStyle w:val="Heading1"/>
        <w:numPr>
          <w:ilvl w:val="1"/>
          <w:numId w:val="50"/>
        </w:numPr>
        <w:tabs>
          <w:tab w:val="left" w:pos="990"/>
        </w:tabs>
        <w:spacing w:before="194"/>
      </w:pPr>
      <w:r>
        <w:t>Psychological</w:t>
      </w:r>
      <w:r>
        <w:rPr>
          <w:spacing w:val="-8"/>
        </w:rPr>
        <w:t xml:space="preserve"> </w:t>
      </w:r>
      <w:r>
        <w:t>and</w:t>
      </w:r>
      <w:r>
        <w:rPr>
          <w:spacing w:val="-6"/>
        </w:rPr>
        <w:t xml:space="preserve"> </w:t>
      </w:r>
      <w:r>
        <w:t>ethical</w:t>
      </w:r>
      <w:r>
        <w:rPr>
          <w:spacing w:val="-6"/>
        </w:rPr>
        <w:t xml:space="preserve"> </w:t>
      </w:r>
      <w:r>
        <w:t>hedonism</w:t>
      </w:r>
      <w:r>
        <w:rPr>
          <w:spacing w:val="-5"/>
        </w:rPr>
        <w:t xml:space="preserve"> </w:t>
      </w:r>
      <w:r>
        <w:rPr>
          <w:spacing w:val="-2"/>
        </w:rPr>
        <w:t>evaluated</w:t>
      </w:r>
    </w:p>
    <w:p w14:paraId="7E00268F" w14:textId="77777777" w:rsidR="009A58DB" w:rsidRDefault="00000000">
      <w:pPr>
        <w:pStyle w:val="BodyText"/>
        <w:spacing w:before="139" w:line="249" w:lineRule="auto"/>
        <w:ind w:right="358"/>
      </w:pPr>
      <w:r>
        <w:t xml:space="preserve">There is a difference between doing something with the </w:t>
      </w:r>
      <w:r>
        <w:rPr>
          <w:i/>
        </w:rPr>
        <w:t xml:space="preserve">intention </w:t>
      </w:r>
      <w:r>
        <w:t xml:space="preserve">of bringing about X, on the one hand, and doing something </w:t>
      </w:r>
      <w:r>
        <w:rPr>
          <w:i/>
        </w:rPr>
        <w:t xml:space="preserve">knowing that X will come about as a result, </w:t>
      </w:r>
      <w:r>
        <w:t xml:space="preserve">on the other. A physician has to perform a lifesaving emergency procedure, but there’s no anesthetic. The physician </w:t>
      </w:r>
      <w:r>
        <w:rPr>
          <w:i/>
        </w:rPr>
        <w:t>knows</w:t>
      </w:r>
      <w:r>
        <w:rPr>
          <w:i/>
          <w:spacing w:val="-4"/>
        </w:rPr>
        <w:t xml:space="preserve"> </w:t>
      </w:r>
      <w:r>
        <w:t>that,</w:t>
      </w:r>
      <w:r>
        <w:rPr>
          <w:spacing w:val="-3"/>
        </w:rPr>
        <w:t xml:space="preserve"> </w:t>
      </w:r>
      <w:r>
        <w:t xml:space="preserve">by performing the procedure, he’ll cause the patient to experience pain. But he doesn’t do so </w:t>
      </w:r>
      <w:r>
        <w:rPr>
          <w:i/>
        </w:rPr>
        <w:t xml:space="preserve">in order to </w:t>
      </w:r>
      <w:r>
        <w:t>inflict pain. We know this, because if anesthetic were</w:t>
      </w:r>
      <w:r>
        <w:rPr>
          <w:spacing w:val="29"/>
        </w:rPr>
        <w:t xml:space="preserve"> </w:t>
      </w:r>
      <w:r>
        <w:t>to</w:t>
      </w:r>
      <w:r>
        <w:rPr>
          <w:spacing w:val="29"/>
        </w:rPr>
        <w:t xml:space="preserve"> </w:t>
      </w:r>
      <w:r>
        <w:t>become</w:t>
      </w:r>
      <w:r>
        <w:rPr>
          <w:spacing w:val="29"/>
        </w:rPr>
        <w:t xml:space="preserve"> </w:t>
      </w:r>
      <w:r>
        <w:t>available,</w:t>
      </w:r>
      <w:r>
        <w:rPr>
          <w:spacing w:val="29"/>
        </w:rPr>
        <w:t xml:space="preserve"> </w:t>
      </w:r>
      <w:r>
        <w:t>he’d</w:t>
      </w:r>
      <w:r>
        <w:rPr>
          <w:spacing w:val="29"/>
        </w:rPr>
        <w:t xml:space="preserve"> </w:t>
      </w:r>
      <w:r>
        <w:t>use</w:t>
      </w:r>
      <w:r>
        <w:rPr>
          <w:spacing w:val="29"/>
        </w:rPr>
        <w:t xml:space="preserve"> </w:t>
      </w:r>
      <w:r>
        <w:t>it.</w:t>
      </w:r>
      <w:bookmarkStart w:id="535" w:name="_bookmark535"/>
      <w:bookmarkEnd w:id="535"/>
      <w:r>
        <w:rPr>
          <w:color w:val="0562C1"/>
          <w:position w:val="21"/>
          <w:u w:val="single" w:color="0562C1"/>
        </w:rPr>
        <w:t>[401]</w:t>
      </w:r>
      <w:r>
        <w:rPr>
          <w:color w:val="0562C1"/>
          <w:spacing w:val="29"/>
          <w:position w:val="21"/>
        </w:rPr>
        <w:t xml:space="preserve"> </w:t>
      </w:r>
      <w:r>
        <w:t>Obviously</w:t>
      </w:r>
      <w:r>
        <w:rPr>
          <w:spacing w:val="29"/>
        </w:rPr>
        <w:t xml:space="preserve"> </w:t>
      </w:r>
      <w:r>
        <w:t>the</w:t>
      </w:r>
      <w:r>
        <w:rPr>
          <w:spacing w:val="29"/>
        </w:rPr>
        <w:t xml:space="preserve"> </w:t>
      </w:r>
      <w:r>
        <w:t>physician</w:t>
      </w:r>
      <w:r>
        <w:rPr>
          <w:spacing w:val="29"/>
        </w:rPr>
        <w:t xml:space="preserve"> </w:t>
      </w:r>
      <w:r>
        <w:t>is</w:t>
      </w:r>
      <w:r>
        <w:rPr>
          <w:spacing w:val="29"/>
        </w:rPr>
        <w:t xml:space="preserve"> </w:t>
      </w:r>
      <w:r>
        <w:t>in</w:t>
      </w:r>
      <w:r>
        <w:rPr>
          <w:spacing w:val="29"/>
        </w:rPr>
        <w:t xml:space="preserve"> </w:t>
      </w:r>
      <w:r>
        <w:t>a</w:t>
      </w:r>
    </w:p>
    <w:p w14:paraId="7E002690"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691" w14:textId="77777777" w:rsidR="009A58DB" w:rsidRDefault="00000000">
      <w:pPr>
        <w:pStyle w:val="BodyText"/>
        <w:spacing w:before="65" w:line="249" w:lineRule="auto"/>
        <w:ind w:right="368"/>
      </w:pPr>
      <w:r>
        <w:lastRenderedPageBreak/>
        <w:t>very</w:t>
      </w:r>
      <w:r>
        <w:rPr>
          <w:spacing w:val="-3"/>
        </w:rPr>
        <w:t xml:space="preserve"> </w:t>
      </w:r>
      <w:r>
        <w:t>different</w:t>
      </w:r>
      <w:r>
        <w:rPr>
          <w:spacing w:val="-3"/>
        </w:rPr>
        <w:t xml:space="preserve"> </w:t>
      </w:r>
      <w:r>
        <w:t>moral</w:t>
      </w:r>
      <w:r>
        <w:rPr>
          <w:spacing w:val="-3"/>
        </w:rPr>
        <w:t xml:space="preserve"> </w:t>
      </w:r>
      <w:r>
        <w:t>category</w:t>
      </w:r>
      <w:r>
        <w:rPr>
          <w:spacing w:val="-3"/>
        </w:rPr>
        <w:t xml:space="preserve"> </w:t>
      </w:r>
      <w:r>
        <w:t>from</w:t>
      </w:r>
      <w:r>
        <w:rPr>
          <w:spacing w:val="-3"/>
        </w:rPr>
        <w:t xml:space="preserve"> </w:t>
      </w:r>
      <w:r>
        <w:t>the</w:t>
      </w:r>
      <w:r>
        <w:rPr>
          <w:spacing w:val="-3"/>
        </w:rPr>
        <w:t xml:space="preserve"> </w:t>
      </w:r>
      <w:r>
        <w:t>physician</w:t>
      </w:r>
      <w:r>
        <w:rPr>
          <w:spacing w:val="-3"/>
        </w:rPr>
        <w:t xml:space="preserve"> </w:t>
      </w:r>
      <w:r>
        <w:t>who</w:t>
      </w:r>
      <w:r>
        <w:rPr>
          <w:spacing w:val="-3"/>
        </w:rPr>
        <w:t xml:space="preserve"> </w:t>
      </w:r>
      <w:r>
        <w:t>has</w:t>
      </w:r>
      <w:r>
        <w:rPr>
          <w:spacing w:val="-3"/>
        </w:rPr>
        <w:t xml:space="preserve"> </w:t>
      </w:r>
      <w:r>
        <w:t>access</w:t>
      </w:r>
      <w:r>
        <w:rPr>
          <w:spacing w:val="-3"/>
        </w:rPr>
        <w:t xml:space="preserve"> </w:t>
      </w:r>
      <w:r>
        <w:t>to</w:t>
      </w:r>
      <w:r>
        <w:rPr>
          <w:spacing w:val="-3"/>
        </w:rPr>
        <w:t xml:space="preserve"> </w:t>
      </w:r>
      <w:r>
        <w:t>anesthetic but, out of sadism, chooses not to use it.</w:t>
      </w:r>
    </w:p>
    <w:p w14:paraId="7E002692" w14:textId="77777777" w:rsidR="009A58DB" w:rsidRDefault="00000000">
      <w:pPr>
        <w:pStyle w:val="BodyText"/>
        <w:spacing w:before="2" w:line="249" w:lineRule="auto"/>
        <w:ind w:right="358" w:firstLine="360"/>
      </w:pPr>
      <w:r>
        <w:t xml:space="preserve">So given only that Smith (who, let us suppose, is a latter day Mozart) </w:t>
      </w:r>
      <w:r>
        <w:rPr>
          <w:i/>
        </w:rPr>
        <w:t xml:space="preserve">knows </w:t>
      </w:r>
      <w:r>
        <w:t xml:space="preserve">that composing music brings him pleasure, it doesn’t follow that he does so </w:t>
      </w:r>
      <w:r>
        <w:rPr>
          <w:i/>
        </w:rPr>
        <w:t xml:space="preserve">in order </w:t>
      </w:r>
      <w:r>
        <w:t xml:space="preserve">to bring himself pleasure. Nor is it the case that his primary reason for composing is to bring himself pleasure. He composes music because he sees that it has value; and </w:t>
      </w:r>
      <w:r>
        <w:rPr>
          <w:i/>
        </w:rPr>
        <w:t xml:space="preserve">because </w:t>
      </w:r>
      <w:r>
        <w:t>it has value, doing it brings</w:t>
      </w:r>
      <w:r>
        <w:rPr>
          <w:spacing w:val="40"/>
        </w:rPr>
        <w:t xml:space="preserve"> </w:t>
      </w:r>
      <w:r>
        <w:t>him pleasure.</w:t>
      </w:r>
    </w:p>
    <w:p w14:paraId="7E002693" w14:textId="77777777" w:rsidR="009A58DB" w:rsidRDefault="00000000">
      <w:pPr>
        <w:pStyle w:val="BodyText"/>
        <w:spacing w:before="7" w:line="249" w:lineRule="auto"/>
        <w:ind w:right="362" w:firstLine="360"/>
      </w:pPr>
      <w:r>
        <w:t>Unless</w:t>
      </w:r>
      <w:r>
        <w:rPr>
          <w:spacing w:val="-4"/>
        </w:rPr>
        <w:t xml:space="preserve"> </w:t>
      </w:r>
      <w:r>
        <w:t>Smith</w:t>
      </w:r>
      <w:r>
        <w:rPr>
          <w:spacing w:val="-3"/>
        </w:rPr>
        <w:t xml:space="preserve"> </w:t>
      </w:r>
      <w:r>
        <w:rPr>
          <w:i/>
        </w:rPr>
        <w:t>valued</w:t>
      </w:r>
      <w:r>
        <w:rPr>
          <w:i/>
          <w:spacing w:val="-3"/>
        </w:rPr>
        <w:t xml:space="preserve"> </w:t>
      </w:r>
      <w:r>
        <w:t xml:space="preserve">the act of composing, it </w:t>
      </w:r>
      <w:r>
        <w:rPr>
          <w:i/>
        </w:rPr>
        <w:t>wouldn’t</w:t>
      </w:r>
      <w:r>
        <w:rPr>
          <w:i/>
          <w:spacing w:val="-4"/>
        </w:rPr>
        <w:t xml:space="preserve"> </w:t>
      </w:r>
      <w:r>
        <w:t>bring him pleasure. One can derive pleasure from composing only if one sees value in it. If one thought</w:t>
      </w:r>
      <w:r>
        <w:rPr>
          <w:spacing w:val="-2"/>
        </w:rPr>
        <w:t xml:space="preserve"> </w:t>
      </w:r>
      <w:r>
        <w:t>that</w:t>
      </w:r>
      <w:r>
        <w:rPr>
          <w:spacing w:val="-1"/>
        </w:rPr>
        <w:t xml:space="preserve"> </w:t>
      </w:r>
      <w:r>
        <w:t>composing</w:t>
      </w:r>
      <w:r>
        <w:rPr>
          <w:spacing w:val="-1"/>
        </w:rPr>
        <w:t xml:space="preserve"> </w:t>
      </w:r>
      <w:r>
        <w:t>was</w:t>
      </w:r>
      <w:r>
        <w:rPr>
          <w:spacing w:val="-1"/>
        </w:rPr>
        <w:t xml:space="preserve"> </w:t>
      </w:r>
      <w:r>
        <w:t>a</w:t>
      </w:r>
      <w:r>
        <w:rPr>
          <w:spacing w:val="-1"/>
        </w:rPr>
        <w:t xml:space="preserve"> </w:t>
      </w:r>
      <w:r>
        <w:t>waste</w:t>
      </w:r>
      <w:r>
        <w:rPr>
          <w:spacing w:val="-1"/>
        </w:rPr>
        <w:t xml:space="preserve"> </w:t>
      </w:r>
      <w:r>
        <w:t>of</w:t>
      </w:r>
      <w:r>
        <w:rPr>
          <w:spacing w:val="-1"/>
        </w:rPr>
        <w:t xml:space="preserve"> </w:t>
      </w:r>
      <w:r>
        <w:t>time,</w:t>
      </w:r>
      <w:r>
        <w:rPr>
          <w:spacing w:val="-1"/>
        </w:rPr>
        <w:t xml:space="preserve"> </w:t>
      </w:r>
      <w:r>
        <w:t>one</w:t>
      </w:r>
      <w:r>
        <w:rPr>
          <w:spacing w:val="-1"/>
        </w:rPr>
        <w:t xml:space="preserve"> </w:t>
      </w:r>
      <w:r>
        <w:t>wouldn’t</w:t>
      </w:r>
      <w:r>
        <w:rPr>
          <w:spacing w:val="-1"/>
        </w:rPr>
        <w:t xml:space="preserve"> </w:t>
      </w:r>
      <w:r>
        <w:t>like</w:t>
      </w:r>
      <w:r>
        <w:rPr>
          <w:spacing w:val="-1"/>
        </w:rPr>
        <w:t xml:space="preserve"> </w:t>
      </w:r>
      <w:r>
        <w:t>it.</w:t>
      </w:r>
      <w:r>
        <w:rPr>
          <w:spacing w:val="-1"/>
        </w:rPr>
        <w:t xml:space="preserve"> </w:t>
      </w:r>
      <w:r>
        <w:t>(There</w:t>
      </w:r>
      <w:r>
        <w:rPr>
          <w:spacing w:val="-1"/>
        </w:rPr>
        <w:t xml:space="preserve"> </w:t>
      </w:r>
      <w:r>
        <w:t xml:space="preserve">may be people who, in the grips of a morality they don’t really believe in, </w:t>
      </w:r>
      <w:r>
        <w:rPr>
          <w:i/>
        </w:rPr>
        <w:t xml:space="preserve">tell </w:t>
      </w:r>
      <w:r>
        <w:t xml:space="preserve">themselves that the pursuits they in fact value </w:t>
      </w:r>
      <w:r>
        <w:rPr>
          <w:i/>
        </w:rPr>
        <w:t xml:space="preserve">don’t </w:t>
      </w:r>
      <w:r>
        <w:t>have value. But they’re lying to themselves. We discussed this in the previous chapter.)</w:t>
      </w:r>
    </w:p>
    <w:p w14:paraId="7E002694" w14:textId="77777777" w:rsidR="009A58DB" w:rsidRDefault="00000000">
      <w:pPr>
        <w:pStyle w:val="BodyText"/>
        <w:spacing w:before="8" w:line="249" w:lineRule="auto"/>
        <w:ind w:right="358" w:firstLine="360"/>
      </w:pPr>
      <w:r>
        <w:t xml:space="preserve">People don’t play soccer (or do medical research or write treatises) </w:t>
      </w:r>
      <w:r>
        <w:rPr>
          <w:i/>
        </w:rPr>
        <w:t xml:space="preserve">in order </w:t>
      </w:r>
      <w:r>
        <w:t xml:space="preserve">to bring themselves joy. They do it because they value it, and because they value it, doing it brings them pleasure. The pleasure they experience in what they’re doing is a reflection of their belief that what they’re doing has </w:t>
      </w:r>
      <w:r>
        <w:rPr>
          <w:spacing w:val="-2"/>
        </w:rPr>
        <w:t>value.</w:t>
      </w:r>
    </w:p>
    <w:p w14:paraId="7E002695" w14:textId="77777777" w:rsidR="009A58DB" w:rsidRDefault="00000000">
      <w:pPr>
        <w:pStyle w:val="BodyText"/>
        <w:spacing w:before="6" w:line="249" w:lineRule="auto"/>
        <w:ind w:right="359" w:firstLine="360"/>
      </w:pPr>
      <w:r>
        <w:t xml:space="preserve">To be sure, there are cases where people act with the objective of experiencing pleasure. People drink alcohol and do drugs </w:t>
      </w:r>
      <w:r>
        <w:rPr>
          <w:i/>
        </w:rPr>
        <w:t>in order to feel pleasure.</w:t>
      </w:r>
      <w:bookmarkStart w:id="536" w:name="_bookmark536"/>
      <w:bookmarkEnd w:id="536"/>
      <w:r>
        <w:rPr>
          <w:color w:val="0562C1"/>
          <w:position w:val="22"/>
          <w:u w:val="single" w:color="0562C1"/>
        </w:rPr>
        <w:t>[402]</w:t>
      </w:r>
      <w:r>
        <w:rPr>
          <w:color w:val="0562C1"/>
          <w:position w:val="22"/>
        </w:rPr>
        <w:t xml:space="preserve"> </w:t>
      </w:r>
      <w:r>
        <w:t xml:space="preserve">People take vacations and watch TV </w:t>
      </w:r>
      <w:r>
        <w:rPr>
          <w:i/>
        </w:rPr>
        <w:t xml:space="preserve">in order to experience pleasure. </w:t>
      </w:r>
      <w:r>
        <w:t>I myself like to watch TV, but I don’t do it because I think it has value. (It doesn’t</w:t>
      </w:r>
      <w:bookmarkStart w:id="537" w:name="_bookmark537"/>
      <w:bookmarkEnd w:id="537"/>
      <w:r>
        <w:t>.</w:t>
      </w:r>
      <w:r>
        <w:rPr>
          <w:color w:val="0562C1"/>
          <w:position w:val="21"/>
          <w:u w:val="single" w:color="0562C1"/>
        </w:rPr>
        <w:t>[403]</w:t>
      </w:r>
      <w:r>
        <w:t>) I do it because I like to do it. But notice that it is precisely these acts that we tend to regard as base. Nobody thinks ill of Beethoven</w:t>
      </w:r>
      <w:r>
        <w:rPr>
          <w:spacing w:val="38"/>
        </w:rPr>
        <w:t xml:space="preserve"> </w:t>
      </w:r>
      <w:r>
        <w:t>for</w:t>
      </w:r>
      <w:r>
        <w:rPr>
          <w:spacing w:val="38"/>
        </w:rPr>
        <w:t xml:space="preserve"> </w:t>
      </w:r>
      <w:r>
        <w:t>spending</w:t>
      </w:r>
      <w:r>
        <w:rPr>
          <w:spacing w:val="38"/>
        </w:rPr>
        <w:t xml:space="preserve"> </w:t>
      </w:r>
      <w:r>
        <w:t>so</w:t>
      </w:r>
      <w:r>
        <w:rPr>
          <w:spacing w:val="38"/>
        </w:rPr>
        <w:t xml:space="preserve"> </w:t>
      </w:r>
      <w:r>
        <w:t>much</w:t>
      </w:r>
      <w:r>
        <w:rPr>
          <w:spacing w:val="38"/>
        </w:rPr>
        <w:t xml:space="preserve"> </w:t>
      </w:r>
      <w:r>
        <w:t>time</w:t>
      </w:r>
      <w:r>
        <w:rPr>
          <w:spacing w:val="38"/>
        </w:rPr>
        <w:t xml:space="preserve"> </w:t>
      </w:r>
      <w:r>
        <w:t>working</w:t>
      </w:r>
      <w:r>
        <w:rPr>
          <w:spacing w:val="38"/>
        </w:rPr>
        <w:t xml:space="preserve"> </w:t>
      </w:r>
      <w:r>
        <w:t>on</w:t>
      </w:r>
      <w:r>
        <w:rPr>
          <w:spacing w:val="38"/>
        </w:rPr>
        <w:t xml:space="preserve"> </w:t>
      </w:r>
      <w:r>
        <w:t>his</w:t>
      </w:r>
      <w:r>
        <w:rPr>
          <w:spacing w:val="38"/>
        </w:rPr>
        <w:t xml:space="preserve"> </w:t>
      </w:r>
      <w:r>
        <w:t>music.</w:t>
      </w:r>
      <w:r>
        <w:rPr>
          <w:spacing w:val="38"/>
        </w:rPr>
        <w:t xml:space="preserve"> </w:t>
      </w:r>
      <w:r>
        <w:t>Even</w:t>
      </w:r>
      <w:r>
        <w:rPr>
          <w:spacing w:val="38"/>
        </w:rPr>
        <w:t xml:space="preserve"> </w:t>
      </w:r>
      <w:r>
        <w:t>though he</w:t>
      </w:r>
      <w:r>
        <w:rPr>
          <w:spacing w:val="40"/>
        </w:rPr>
        <w:t xml:space="preserve"> </w:t>
      </w:r>
      <w:r>
        <w:t>enjoyed</w:t>
      </w:r>
      <w:r>
        <w:rPr>
          <w:spacing w:val="40"/>
        </w:rPr>
        <w:t xml:space="preserve"> </w:t>
      </w:r>
      <w:r>
        <w:t>almost</w:t>
      </w:r>
      <w:r>
        <w:rPr>
          <w:spacing w:val="40"/>
        </w:rPr>
        <w:t xml:space="preserve"> </w:t>
      </w:r>
      <w:r>
        <w:t>every</w:t>
      </w:r>
      <w:r>
        <w:rPr>
          <w:spacing w:val="40"/>
        </w:rPr>
        <w:t xml:space="preserve"> </w:t>
      </w:r>
      <w:r>
        <w:t>minute</w:t>
      </w:r>
      <w:r>
        <w:rPr>
          <w:spacing w:val="40"/>
        </w:rPr>
        <w:t xml:space="preserve"> </w:t>
      </w:r>
      <w:r>
        <w:t>of</w:t>
      </w:r>
      <w:r>
        <w:rPr>
          <w:spacing w:val="40"/>
        </w:rPr>
        <w:t xml:space="preserve"> </w:t>
      </w:r>
      <w:r>
        <w:t>it,</w:t>
      </w:r>
      <w:r>
        <w:rPr>
          <w:spacing w:val="40"/>
        </w:rPr>
        <w:t xml:space="preserve"> </w:t>
      </w:r>
      <w:r>
        <w:t>we</w:t>
      </w:r>
      <w:r>
        <w:rPr>
          <w:spacing w:val="40"/>
        </w:rPr>
        <w:t xml:space="preserve"> </w:t>
      </w:r>
      <w:r>
        <w:t>don’t</w:t>
      </w:r>
      <w:r>
        <w:rPr>
          <w:spacing w:val="40"/>
        </w:rPr>
        <w:t xml:space="preserve"> </w:t>
      </w:r>
      <w:r>
        <w:t>see</w:t>
      </w:r>
      <w:r>
        <w:rPr>
          <w:spacing w:val="40"/>
        </w:rPr>
        <w:t xml:space="preserve"> </w:t>
      </w:r>
      <w:r>
        <w:t>him</w:t>
      </w:r>
      <w:r>
        <w:rPr>
          <w:spacing w:val="40"/>
        </w:rPr>
        <w:t xml:space="preserve"> </w:t>
      </w:r>
      <w:r>
        <w:t>as being</w:t>
      </w:r>
      <w:r>
        <w:rPr>
          <w:spacing w:val="40"/>
        </w:rPr>
        <w:t xml:space="preserve"> </w:t>
      </w:r>
      <w:r>
        <w:t>in</w:t>
      </w:r>
      <w:r>
        <w:rPr>
          <w:spacing w:val="40"/>
        </w:rPr>
        <w:t xml:space="preserve"> </w:t>
      </w:r>
      <w:r>
        <w:t xml:space="preserve">the same category as party boy Jones spends, who spends his nights doing cocaine and his days sleeping off the effects. We admire Beethoven (he was “dedicated to his craft”), whereas we revile Jones (he’s “empty and </w:t>
      </w:r>
      <w:r>
        <w:rPr>
          <w:spacing w:val="-2"/>
        </w:rPr>
        <w:t>dissolute”).</w:t>
      </w:r>
    </w:p>
    <w:p w14:paraId="7E002696" w14:textId="77777777" w:rsidR="009A58DB" w:rsidRDefault="00000000">
      <w:pPr>
        <w:pStyle w:val="BodyText"/>
        <w:spacing w:before="20" w:line="249" w:lineRule="auto"/>
        <w:ind w:right="361" w:firstLine="360"/>
      </w:pPr>
      <w:r>
        <w:t>Why do we have such different attitudes towards these two? It was in</w:t>
      </w:r>
      <w:r>
        <w:rPr>
          <w:spacing w:val="40"/>
        </w:rPr>
        <w:t xml:space="preserve"> </w:t>
      </w:r>
      <w:r>
        <w:t xml:space="preserve">order to do something that he valued that Beethoven composed. It wasn’t </w:t>
      </w:r>
      <w:r>
        <w:rPr>
          <w:i/>
        </w:rPr>
        <w:t>in order</w:t>
      </w:r>
      <w:r>
        <w:rPr>
          <w:i/>
          <w:spacing w:val="39"/>
        </w:rPr>
        <w:t xml:space="preserve"> </w:t>
      </w:r>
      <w:r>
        <w:t>to</w:t>
      </w:r>
      <w:r>
        <w:rPr>
          <w:spacing w:val="52"/>
        </w:rPr>
        <w:t xml:space="preserve"> </w:t>
      </w:r>
      <w:r>
        <w:t>make</w:t>
      </w:r>
      <w:r>
        <w:rPr>
          <w:spacing w:val="52"/>
        </w:rPr>
        <w:t xml:space="preserve"> </w:t>
      </w:r>
      <w:r>
        <w:t>himself</w:t>
      </w:r>
      <w:r>
        <w:rPr>
          <w:spacing w:val="51"/>
        </w:rPr>
        <w:t xml:space="preserve"> </w:t>
      </w:r>
      <w:r>
        <w:t>feel</w:t>
      </w:r>
      <w:r>
        <w:rPr>
          <w:spacing w:val="52"/>
        </w:rPr>
        <w:t xml:space="preserve"> </w:t>
      </w:r>
      <w:r>
        <w:t>good</w:t>
      </w:r>
      <w:r>
        <w:rPr>
          <w:spacing w:val="52"/>
        </w:rPr>
        <w:t xml:space="preserve"> </w:t>
      </w:r>
      <w:r>
        <w:t>that</w:t>
      </w:r>
      <w:r>
        <w:rPr>
          <w:spacing w:val="51"/>
        </w:rPr>
        <w:t xml:space="preserve"> </w:t>
      </w:r>
      <w:r>
        <w:t>Beethoven</w:t>
      </w:r>
      <w:r>
        <w:rPr>
          <w:spacing w:val="52"/>
        </w:rPr>
        <w:t xml:space="preserve"> </w:t>
      </w:r>
      <w:r>
        <w:t>composed;</w:t>
      </w:r>
      <w:r>
        <w:rPr>
          <w:spacing w:val="52"/>
        </w:rPr>
        <w:t xml:space="preserve"> </w:t>
      </w:r>
      <w:r>
        <w:t>and</w:t>
      </w:r>
      <w:r>
        <w:rPr>
          <w:spacing w:val="51"/>
        </w:rPr>
        <w:t xml:space="preserve"> </w:t>
      </w:r>
      <w:r>
        <w:t>so</w:t>
      </w:r>
      <w:r>
        <w:rPr>
          <w:spacing w:val="52"/>
        </w:rPr>
        <w:t xml:space="preserve"> </w:t>
      </w:r>
      <w:r>
        <w:t>far</w:t>
      </w:r>
      <w:r>
        <w:rPr>
          <w:spacing w:val="52"/>
        </w:rPr>
        <w:t xml:space="preserve"> </w:t>
      </w:r>
      <w:r>
        <w:rPr>
          <w:spacing w:val="-5"/>
        </w:rPr>
        <w:t>as</w:t>
      </w:r>
    </w:p>
    <w:p w14:paraId="7E00269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98" w14:textId="77777777" w:rsidR="009A58DB" w:rsidRDefault="00000000">
      <w:pPr>
        <w:pStyle w:val="BodyText"/>
        <w:spacing w:before="65" w:line="249" w:lineRule="auto"/>
        <w:ind w:right="361"/>
        <w:rPr>
          <w:position w:val="21"/>
        </w:rPr>
      </w:pPr>
      <w:r>
        <w:lastRenderedPageBreak/>
        <w:t>composing</w:t>
      </w:r>
      <w:r>
        <w:rPr>
          <w:spacing w:val="-3"/>
        </w:rPr>
        <w:t xml:space="preserve"> </w:t>
      </w:r>
      <w:r>
        <w:t>brought</w:t>
      </w:r>
      <w:r>
        <w:rPr>
          <w:spacing w:val="-2"/>
        </w:rPr>
        <w:t xml:space="preserve"> </w:t>
      </w:r>
      <w:r>
        <w:t>him</w:t>
      </w:r>
      <w:r>
        <w:rPr>
          <w:spacing w:val="-2"/>
        </w:rPr>
        <w:t xml:space="preserve"> </w:t>
      </w:r>
      <w:r>
        <w:t>joy,</w:t>
      </w:r>
      <w:r>
        <w:rPr>
          <w:spacing w:val="-2"/>
        </w:rPr>
        <w:t xml:space="preserve"> </w:t>
      </w:r>
      <w:r>
        <w:t>it</w:t>
      </w:r>
      <w:r>
        <w:rPr>
          <w:spacing w:val="-2"/>
        </w:rPr>
        <w:t xml:space="preserve"> </w:t>
      </w:r>
      <w:r>
        <w:t>was</w:t>
      </w:r>
      <w:r>
        <w:rPr>
          <w:spacing w:val="-2"/>
        </w:rPr>
        <w:t xml:space="preserve"> </w:t>
      </w:r>
      <w:r>
        <w:t>because</w:t>
      </w:r>
      <w:r>
        <w:rPr>
          <w:spacing w:val="-2"/>
        </w:rPr>
        <w:t xml:space="preserve"> </w:t>
      </w:r>
      <w:r>
        <w:t>what</w:t>
      </w:r>
      <w:r>
        <w:rPr>
          <w:spacing w:val="-2"/>
        </w:rPr>
        <w:t xml:space="preserve"> </w:t>
      </w:r>
      <w:r>
        <w:t>he</w:t>
      </w:r>
      <w:r>
        <w:rPr>
          <w:spacing w:val="-2"/>
        </w:rPr>
        <w:t xml:space="preserve"> </w:t>
      </w:r>
      <w:r>
        <w:t>was</w:t>
      </w:r>
      <w:r>
        <w:rPr>
          <w:spacing w:val="-2"/>
        </w:rPr>
        <w:t xml:space="preserve"> </w:t>
      </w:r>
      <w:r>
        <w:t>doing</w:t>
      </w:r>
      <w:r>
        <w:rPr>
          <w:spacing w:val="-2"/>
        </w:rPr>
        <w:t xml:space="preserve"> </w:t>
      </w:r>
      <w:r>
        <w:t>had</w:t>
      </w:r>
      <w:r>
        <w:rPr>
          <w:spacing w:val="-2"/>
        </w:rPr>
        <w:t xml:space="preserve"> </w:t>
      </w:r>
      <w:r>
        <w:t>value.</w:t>
      </w:r>
      <w:r>
        <w:rPr>
          <w:spacing w:val="-2"/>
        </w:rPr>
        <w:t xml:space="preserve"> </w:t>
      </w:r>
      <w:r>
        <w:t>But it isn’t to do something of value that Jones does cocaine. It is in order to have a good time that Jones does cocaine. So the joy that Beethoven felt was valuable, whereas the joy that Smith feels is not</w:t>
      </w:r>
      <w:bookmarkStart w:id="538" w:name="_bookmark538"/>
      <w:bookmarkEnd w:id="538"/>
      <w:r>
        <w:t>.</w:t>
      </w:r>
      <w:r>
        <w:rPr>
          <w:color w:val="0562C1"/>
          <w:position w:val="21"/>
          <w:u w:val="single" w:color="0562C1"/>
        </w:rPr>
        <w:t>[404]</w:t>
      </w:r>
    </w:p>
    <w:p w14:paraId="7E002699" w14:textId="77777777" w:rsidR="009A58DB" w:rsidRDefault="00000000">
      <w:pPr>
        <w:pStyle w:val="BodyText"/>
        <w:spacing w:before="5" w:line="249" w:lineRule="auto"/>
        <w:ind w:right="358" w:firstLine="360"/>
      </w:pPr>
      <w:r>
        <w:t xml:space="preserve">It’s obvious that pleasure has great value. But we’ve seen that there is </w:t>
      </w:r>
      <w:r>
        <w:rPr>
          <w:i/>
        </w:rPr>
        <w:t xml:space="preserve">an </w:t>
      </w:r>
      <w:r>
        <w:t>important kind of value that it lacks and ethical hedonism must be rejected</w:t>
      </w:r>
      <w:r>
        <w:rPr>
          <w:spacing w:val="40"/>
        </w:rPr>
        <w:t xml:space="preserve"> </w:t>
      </w:r>
      <w:r>
        <w:t>for this reason. Ethical hedonism would say that Beethoven’s moral obligation</w:t>
      </w:r>
      <w:r>
        <w:rPr>
          <w:spacing w:val="-3"/>
        </w:rPr>
        <w:t xml:space="preserve"> </w:t>
      </w:r>
      <w:r>
        <w:t>was</w:t>
      </w:r>
      <w:r>
        <w:rPr>
          <w:spacing w:val="-4"/>
        </w:rPr>
        <w:t xml:space="preserve"> </w:t>
      </w:r>
      <w:r>
        <w:t>to</w:t>
      </w:r>
      <w:r>
        <w:rPr>
          <w:spacing w:val="-3"/>
        </w:rPr>
        <w:t xml:space="preserve"> </w:t>
      </w:r>
      <w:r>
        <w:t>have</w:t>
      </w:r>
      <w:r>
        <w:rPr>
          <w:spacing w:val="-4"/>
        </w:rPr>
        <w:t xml:space="preserve"> </w:t>
      </w:r>
      <w:r>
        <w:t>a</w:t>
      </w:r>
      <w:r>
        <w:rPr>
          <w:spacing w:val="-4"/>
        </w:rPr>
        <w:t xml:space="preserve"> </w:t>
      </w:r>
      <w:r>
        <w:t>good</w:t>
      </w:r>
      <w:r>
        <w:rPr>
          <w:spacing w:val="-3"/>
        </w:rPr>
        <w:t xml:space="preserve"> </w:t>
      </w:r>
      <w:r>
        <w:t>time.</w:t>
      </w:r>
      <w:r>
        <w:rPr>
          <w:spacing w:val="-3"/>
        </w:rPr>
        <w:t xml:space="preserve"> </w:t>
      </w:r>
      <w:r>
        <w:t>Since</w:t>
      </w:r>
      <w:r>
        <w:rPr>
          <w:spacing w:val="-4"/>
        </w:rPr>
        <w:t xml:space="preserve"> </w:t>
      </w:r>
      <w:r>
        <w:t>it</w:t>
      </w:r>
      <w:r>
        <w:rPr>
          <w:spacing w:val="-4"/>
        </w:rPr>
        <w:t xml:space="preserve"> </w:t>
      </w:r>
      <w:r>
        <w:t>wasn’t</w:t>
      </w:r>
      <w:r>
        <w:rPr>
          <w:spacing w:val="-4"/>
        </w:rPr>
        <w:t xml:space="preserve"> </w:t>
      </w:r>
      <w:r>
        <w:t>Beethoven’s</w:t>
      </w:r>
      <w:r>
        <w:rPr>
          <w:spacing w:val="-4"/>
        </w:rPr>
        <w:t xml:space="preserve"> </w:t>
      </w:r>
      <w:r>
        <w:t>one</w:t>
      </w:r>
      <w:r>
        <w:rPr>
          <w:spacing w:val="-4"/>
        </w:rPr>
        <w:t xml:space="preserve"> </w:t>
      </w:r>
      <w:r>
        <w:t xml:space="preserve">intention in doing his important work to have a good time, and since his life obviously would have been eviscerated had he been forced to give it up, ethical hedonism requires the Beethovens of this world to </w:t>
      </w:r>
      <w:r>
        <w:rPr>
          <w:i/>
        </w:rPr>
        <w:t xml:space="preserve">stop doing what they love. </w:t>
      </w:r>
      <w:r>
        <w:t>But surely no viable ethical doctrine would require that.</w:t>
      </w:r>
    </w:p>
    <w:p w14:paraId="7E00269A" w14:textId="77777777" w:rsidR="009A58DB" w:rsidRDefault="00000000">
      <w:pPr>
        <w:pStyle w:val="BodyText"/>
        <w:spacing w:before="9" w:line="249" w:lineRule="auto"/>
        <w:ind w:right="359" w:firstLine="360"/>
      </w:pPr>
      <w:r>
        <w:t>Looked at superficially, ethical hedonism seems like a liberating, care-free doctrine. Looked at less superficially, it’s a dehumanizing and cruel doctrine, as it requires titans like Beethoven to become munchkins like Jones.</w:t>
      </w:r>
    </w:p>
    <w:p w14:paraId="7E00269B" w14:textId="77777777" w:rsidR="009A58DB" w:rsidRDefault="00000000">
      <w:pPr>
        <w:pStyle w:val="Heading1"/>
        <w:numPr>
          <w:ilvl w:val="1"/>
          <w:numId w:val="50"/>
        </w:numPr>
        <w:tabs>
          <w:tab w:val="left" w:pos="990"/>
        </w:tabs>
        <w:spacing w:before="192"/>
      </w:pPr>
      <w:r>
        <w:t>A</w:t>
      </w:r>
      <w:r>
        <w:rPr>
          <w:spacing w:val="-6"/>
        </w:rPr>
        <w:t xml:space="preserve"> </w:t>
      </w:r>
      <w:r>
        <w:t>variation</w:t>
      </w:r>
      <w:r>
        <w:rPr>
          <w:spacing w:val="-3"/>
        </w:rPr>
        <w:t xml:space="preserve"> </w:t>
      </w:r>
      <w:r>
        <w:t>of</w:t>
      </w:r>
      <w:r>
        <w:rPr>
          <w:spacing w:val="-3"/>
        </w:rPr>
        <w:t xml:space="preserve"> </w:t>
      </w:r>
      <w:r>
        <w:t>the</w:t>
      </w:r>
      <w:r>
        <w:rPr>
          <w:spacing w:val="-4"/>
        </w:rPr>
        <w:t xml:space="preserve"> </w:t>
      </w:r>
      <w:r>
        <w:t>argument</w:t>
      </w:r>
      <w:r>
        <w:rPr>
          <w:spacing w:val="-3"/>
        </w:rPr>
        <w:t xml:space="preserve"> </w:t>
      </w:r>
      <w:r>
        <w:t>just</w:t>
      </w:r>
      <w:r>
        <w:rPr>
          <w:spacing w:val="-3"/>
        </w:rPr>
        <w:t xml:space="preserve"> </w:t>
      </w:r>
      <w:r>
        <w:rPr>
          <w:spacing w:val="-2"/>
        </w:rPr>
        <w:t>given</w:t>
      </w:r>
    </w:p>
    <w:p w14:paraId="7E00269C" w14:textId="77777777" w:rsidR="009A58DB" w:rsidRDefault="00000000">
      <w:pPr>
        <w:pStyle w:val="BodyText"/>
        <w:spacing w:before="139" w:line="249" w:lineRule="auto"/>
        <w:ind w:right="364"/>
      </w:pPr>
      <w:r>
        <w:t>Here’s a brief recap of what we just said. Mother Teresa helped the poor because she saw value in it, not because she thought that she’d feel pleasure as a result of doing so. Because she saw value in feeding the poor, it gave her pleasure to do so. But that wasn’t why she did it.</w:t>
      </w:r>
    </w:p>
    <w:p w14:paraId="7E00269D" w14:textId="77777777" w:rsidR="009A58DB" w:rsidRDefault="00000000">
      <w:pPr>
        <w:pStyle w:val="BodyText"/>
        <w:spacing w:before="5" w:line="249" w:lineRule="auto"/>
        <w:ind w:right="359" w:firstLine="360"/>
      </w:pPr>
      <w:r>
        <w:t xml:space="preserve">A story will make it clear why this claim is correct. X doesn’t like people very much. To the extent that he has any feelings, whether positive or negative, about anyone, they’re negative. He finds the suffering of others mildly amusing. But he doesn’t much care whether people suffer or not. X undergoes cranial-surgery. (He has a tumor that has to be removed.) The operation goes well; X is healthy, physically and psychologically. X has the same attitudes he used to have—and also the same beliefs, memories, skills, </w:t>
      </w:r>
      <w:r>
        <w:rPr>
          <w:spacing w:val="-4"/>
        </w:rPr>
        <w:t>etc.</w:t>
      </w:r>
    </w:p>
    <w:p w14:paraId="7E00269E" w14:textId="77777777" w:rsidR="009A58DB" w:rsidRDefault="00000000">
      <w:pPr>
        <w:pStyle w:val="BodyText"/>
        <w:spacing w:before="10" w:line="249" w:lineRule="auto"/>
        <w:ind w:right="359" w:firstLine="360"/>
      </w:pPr>
      <w:r>
        <w:t>But the operation has one curious side-effect. When X gives money to poor</w:t>
      </w:r>
      <w:r>
        <w:rPr>
          <w:spacing w:val="-2"/>
        </w:rPr>
        <w:t xml:space="preserve"> </w:t>
      </w:r>
      <w:r>
        <w:t>people</w:t>
      </w:r>
      <w:r>
        <w:rPr>
          <w:spacing w:val="-2"/>
        </w:rPr>
        <w:t xml:space="preserve"> </w:t>
      </w:r>
      <w:r>
        <w:t>(e.g.,</w:t>
      </w:r>
      <w:r>
        <w:rPr>
          <w:spacing w:val="-2"/>
        </w:rPr>
        <w:t xml:space="preserve"> </w:t>
      </w:r>
      <w:r>
        <w:t>pan-handlers),</w:t>
      </w:r>
      <w:r>
        <w:rPr>
          <w:spacing w:val="-2"/>
        </w:rPr>
        <w:t xml:space="preserve"> </w:t>
      </w:r>
      <w:r>
        <w:t>he</w:t>
      </w:r>
      <w:r>
        <w:rPr>
          <w:spacing w:val="-2"/>
        </w:rPr>
        <w:t xml:space="preserve"> </w:t>
      </w:r>
      <w:r>
        <w:t>experiences</w:t>
      </w:r>
      <w:r>
        <w:rPr>
          <w:spacing w:val="-2"/>
        </w:rPr>
        <w:t xml:space="preserve"> </w:t>
      </w:r>
      <w:r>
        <w:t>exquisite</w:t>
      </w:r>
      <w:r>
        <w:rPr>
          <w:spacing w:val="-2"/>
        </w:rPr>
        <w:t xml:space="preserve"> </w:t>
      </w:r>
      <w:r>
        <w:t>pleasure</w:t>
      </w:r>
      <w:r>
        <w:rPr>
          <w:spacing w:val="-2"/>
        </w:rPr>
        <w:t xml:space="preserve"> </w:t>
      </w:r>
      <w:r>
        <w:t>as</w:t>
      </w:r>
      <w:r>
        <w:rPr>
          <w:spacing w:val="-2"/>
        </w:rPr>
        <w:t xml:space="preserve"> </w:t>
      </w:r>
      <w:r>
        <w:t>a</w:t>
      </w:r>
      <w:r>
        <w:rPr>
          <w:spacing w:val="-2"/>
        </w:rPr>
        <w:t xml:space="preserve"> </w:t>
      </w:r>
      <w:r>
        <w:t xml:space="preserve">result. The pleasure he experiences is </w:t>
      </w:r>
      <w:r>
        <w:rPr>
          <w:i/>
        </w:rPr>
        <w:t xml:space="preserve">not </w:t>
      </w:r>
      <w:r>
        <w:t>the pleasure that Mother Teresa experiences. It isn’t his belief that he’s making the world a better place that leads to his feeling good. Giving money to poor people causes him to feel good</w:t>
      </w:r>
      <w:r>
        <w:rPr>
          <w:spacing w:val="40"/>
        </w:rPr>
        <w:t xml:space="preserve"> </w:t>
      </w:r>
      <w:r>
        <w:t>in</w:t>
      </w:r>
      <w:r>
        <w:rPr>
          <w:spacing w:val="40"/>
        </w:rPr>
        <w:t xml:space="preserve"> </w:t>
      </w:r>
      <w:r>
        <w:t>much</w:t>
      </w:r>
      <w:r>
        <w:rPr>
          <w:spacing w:val="40"/>
        </w:rPr>
        <w:t xml:space="preserve"> </w:t>
      </w:r>
      <w:r>
        <w:t>the</w:t>
      </w:r>
      <w:r>
        <w:rPr>
          <w:spacing w:val="40"/>
        </w:rPr>
        <w:t xml:space="preserve"> </w:t>
      </w:r>
      <w:r>
        <w:t>same</w:t>
      </w:r>
      <w:r>
        <w:rPr>
          <w:spacing w:val="40"/>
        </w:rPr>
        <w:t xml:space="preserve"> </w:t>
      </w:r>
      <w:r>
        <w:t>way</w:t>
      </w:r>
      <w:r>
        <w:rPr>
          <w:spacing w:val="40"/>
        </w:rPr>
        <w:t xml:space="preserve"> </w:t>
      </w:r>
      <w:r>
        <w:t>that</w:t>
      </w:r>
      <w:r>
        <w:rPr>
          <w:spacing w:val="40"/>
        </w:rPr>
        <w:t xml:space="preserve"> </w:t>
      </w:r>
      <w:r>
        <w:t>shooting</w:t>
      </w:r>
      <w:r>
        <w:rPr>
          <w:spacing w:val="40"/>
        </w:rPr>
        <w:t xml:space="preserve"> </w:t>
      </w:r>
      <w:r>
        <w:t>heroin</w:t>
      </w:r>
      <w:r>
        <w:rPr>
          <w:spacing w:val="40"/>
        </w:rPr>
        <w:t xml:space="preserve"> </w:t>
      </w:r>
      <w:r>
        <w:t>causes</w:t>
      </w:r>
      <w:r>
        <w:rPr>
          <w:spacing w:val="40"/>
        </w:rPr>
        <w:t xml:space="preserve"> </w:t>
      </w:r>
      <w:r>
        <w:t>somebody</w:t>
      </w:r>
      <w:r>
        <w:rPr>
          <w:spacing w:val="40"/>
        </w:rPr>
        <w:t xml:space="preserve"> </w:t>
      </w:r>
      <w:r>
        <w:t>to</w:t>
      </w:r>
      <w:r>
        <w:rPr>
          <w:spacing w:val="40"/>
        </w:rPr>
        <w:t xml:space="preserve"> </w:t>
      </w:r>
      <w:r>
        <w:t>feel</w:t>
      </w:r>
    </w:p>
    <w:p w14:paraId="7E00269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A0" w14:textId="77777777" w:rsidR="009A58DB" w:rsidRDefault="00000000">
      <w:pPr>
        <w:pStyle w:val="BodyText"/>
        <w:spacing w:before="60" w:line="249" w:lineRule="auto"/>
        <w:ind w:right="360"/>
      </w:pPr>
      <w:r>
        <w:lastRenderedPageBreak/>
        <w:t>good. The relationship is strictly causal. The difference between X and the heroin-user has to do only with the mechanisms involved. The one uses a syringe filled with heroin. The other uses bits of green paper.</w:t>
      </w:r>
    </w:p>
    <w:p w14:paraId="7E0026A1" w14:textId="77777777" w:rsidR="009A58DB" w:rsidRDefault="00000000">
      <w:pPr>
        <w:pStyle w:val="BodyText"/>
        <w:spacing w:before="8" w:line="249" w:lineRule="auto"/>
        <w:ind w:right="358" w:firstLine="360"/>
      </w:pPr>
      <w:r>
        <w:t xml:space="preserve">So far as Mother Teresa derives pleasure from helping the poor, it’s because she values it. She isn’t doing it in order to feel good. He values it </w:t>
      </w:r>
      <w:r>
        <w:rPr>
          <w:i/>
        </w:rPr>
        <w:t xml:space="preserve">only </w:t>
      </w:r>
      <w:r>
        <w:t>to the extent that it brings him pleasure. That’s why, if he thought he could experience comparable pleasure by hurting the poor, he would not hesitate to do so. But, if in a similar situation, Mother Teresa surely would hesitate to do so.</w:t>
      </w:r>
    </w:p>
    <w:p w14:paraId="7E0026A2" w14:textId="77777777" w:rsidR="009A58DB" w:rsidRDefault="00000000">
      <w:pPr>
        <w:pStyle w:val="BodyText"/>
        <w:spacing w:before="8" w:line="249" w:lineRule="auto"/>
        <w:ind w:right="361" w:firstLine="360"/>
      </w:pPr>
      <w:r>
        <w:t>A similar story will help us appreciate the scope of this point. Y thinks</w:t>
      </w:r>
      <w:r>
        <w:rPr>
          <w:spacing w:val="40"/>
        </w:rPr>
        <w:t xml:space="preserve"> </w:t>
      </w:r>
      <w:r>
        <w:t xml:space="preserve">that composing is a big waste of time and doesn’t even like music. But he happens to have a knack for it. He doesn’t like doing it. But </w:t>
      </w:r>
      <w:r>
        <w:rPr>
          <w:i/>
        </w:rPr>
        <w:t>if</w:t>
      </w:r>
      <w:r>
        <w:rPr>
          <w:i/>
          <w:spacing w:val="-3"/>
        </w:rPr>
        <w:t xml:space="preserve"> </w:t>
      </w:r>
      <w:r>
        <w:t xml:space="preserve">he does it for a little while, he experiences a huge surge of pleasure. Y’s relationship to composing is like a heroin-user’s relation to heroin. The only difference is that, whereas the one uses as syringe, the other uses a pen (or whatnot). Composing brought joy to Beethoven—but not for the reason that it brings joy to Y. It wasn’t because of what it could do </w:t>
      </w:r>
      <w:r>
        <w:rPr>
          <w:i/>
        </w:rPr>
        <w:t xml:space="preserve">for him </w:t>
      </w:r>
      <w:r>
        <w:t>that Beethoven liked</w:t>
      </w:r>
      <w:r>
        <w:rPr>
          <w:spacing w:val="40"/>
        </w:rPr>
        <w:t xml:space="preserve"> </w:t>
      </w:r>
      <w:r>
        <w:t>to compose. He valued it; and that’s why composing made him feel good.</w:t>
      </w:r>
    </w:p>
    <w:p w14:paraId="7E0026A3" w14:textId="77777777" w:rsidR="009A58DB" w:rsidRDefault="00000000">
      <w:pPr>
        <w:pStyle w:val="Heading1"/>
        <w:numPr>
          <w:ilvl w:val="0"/>
          <w:numId w:val="49"/>
        </w:numPr>
        <w:tabs>
          <w:tab w:val="left" w:pos="990"/>
        </w:tabs>
        <w:spacing w:before="199"/>
      </w:pPr>
      <w:r>
        <w:rPr>
          <w:spacing w:val="-2"/>
        </w:rPr>
        <w:t>Egoism</w:t>
      </w:r>
    </w:p>
    <w:p w14:paraId="7E0026A4" w14:textId="77777777" w:rsidR="009A58DB" w:rsidRDefault="00000000">
      <w:pPr>
        <w:pStyle w:val="BodyText"/>
        <w:spacing w:before="139" w:line="249" w:lineRule="auto"/>
        <w:ind w:right="358"/>
      </w:pPr>
      <w:r>
        <w:rPr>
          <w:spacing w:val="-2"/>
        </w:rPr>
        <w:t>Like</w:t>
      </w:r>
      <w:r>
        <w:rPr>
          <w:spacing w:val="-16"/>
        </w:rPr>
        <w:t xml:space="preserve"> </w:t>
      </w:r>
      <w:r>
        <w:rPr>
          <w:spacing w:val="-2"/>
        </w:rPr>
        <w:t>the</w:t>
      </w:r>
      <w:r>
        <w:rPr>
          <w:spacing w:val="-16"/>
        </w:rPr>
        <w:t xml:space="preserve"> </w:t>
      </w:r>
      <w:r>
        <w:rPr>
          <w:spacing w:val="-2"/>
        </w:rPr>
        <w:t>word</w:t>
      </w:r>
      <w:r>
        <w:rPr>
          <w:spacing w:val="-16"/>
        </w:rPr>
        <w:t xml:space="preserve"> </w:t>
      </w:r>
      <w:r>
        <w:rPr>
          <w:spacing w:val="-2"/>
        </w:rPr>
        <w:t>“hedonism,”</w:t>
      </w:r>
      <w:r>
        <w:rPr>
          <w:spacing w:val="-16"/>
        </w:rPr>
        <w:t xml:space="preserve"> </w:t>
      </w:r>
      <w:r>
        <w:rPr>
          <w:spacing w:val="-2"/>
        </w:rPr>
        <w:t>the</w:t>
      </w:r>
      <w:r>
        <w:rPr>
          <w:spacing w:val="-16"/>
        </w:rPr>
        <w:t xml:space="preserve"> </w:t>
      </w:r>
      <w:r>
        <w:rPr>
          <w:spacing w:val="-2"/>
        </w:rPr>
        <w:t>word</w:t>
      </w:r>
      <w:r>
        <w:rPr>
          <w:spacing w:val="-16"/>
        </w:rPr>
        <w:t xml:space="preserve"> </w:t>
      </w:r>
      <w:r>
        <w:rPr>
          <w:spacing w:val="-2"/>
        </w:rPr>
        <w:t>“egoism”</w:t>
      </w:r>
      <w:r>
        <w:rPr>
          <w:spacing w:val="-16"/>
        </w:rPr>
        <w:t xml:space="preserve"> </w:t>
      </w:r>
      <w:r>
        <w:rPr>
          <w:spacing w:val="-2"/>
        </w:rPr>
        <w:t>is</w:t>
      </w:r>
      <w:r>
        <w:rPr>
          <w:spacing w:val="-16"/>
        </w:rPr>
        <w:t xml:space="preserve"> </w:t>
      </w:r>
      <w:r>
        <w:rPr>
          <w:spacing w:val="-2"/>
        </w:rPr>
        <w:t>ambiguous,</w:t>
      </w:r>
      <w:r>
        <w:rPr>
          <w:spacing w:val="-16"/>
        </w:rPr>
        <w:t xml:space="preserve"> </w:t>
      </w:r>
      <w:r>
        <w:rPr>
          <w:spacing w:val="-2"/>
        </w:rPr>
        <w:t>and</w:t>
      </w:r>
      <w:r>
        <w:rPr>
          <w:spacing w:val="-16"/>
        </w:rPr>
        <w:t xml:space="preserve"> </w:t>
      </w:r>
      <w:r>
        <w:rPr>
          <w:spacing w:val="-2"/>
        </w:rPr>
        <w:t>the</w:t>
      </w:r>
      <w:r>
        <w:rPr>
          <w:spacing w:val="-16"/>
        </w:rPr>
        <w:t xml:space="preserve"> </w:t>
      </w:r>
      <w:r>
        <w:rPr>
          <w:spacing w:val="-2"/>
        </w:rPr>
        <w:t>two</w:t>
      </w:r>
      <w:r>
        <w:rPr>
          <w:spacing w:val="-16"/>
        </w:rPr>
        <w:t xml:space="preserve"> </w:t>
      </w:r>
      <w:r>
        <w:rPr>
          <w:spacing w:val="-2"/>
        </w:rPr>
        <w:t xml:space="preserve">words </w:t>
      </w:r>
      <w:r>
        <w:t>are</w:t>
      </w:r>
      <w:r>
        <w:rPr>
          <w:spacing w:val="-12"/>
        </w:rPr>
        <w:t xml:space="preserve"> </w:t>
      </w:r>
      <w:r>
        <w:t>ambiguous</w:t>
      </w:r>
      <w:r>
        <w:rPr>
          <w:spacing w:val="-12"/>
        </w:rPr>
        <w:t xml:space="preserve"> </w:t>
      </w:r>
      <w:r>
        <w:t>in</w:t>
      </w:r>
      <w:r>
        <w:rPr>
          <w:spacing w:val="-12"/>
        </w:rPr>
        <w:t xml:space="preserve"> </w:t>
      </w:r>
      <w:r>
        <w:t>parallel</w:t>
      </w:r>
      <w:r>
        <w:rPr>
          <w:spacing w:val="-12"/>
        </w:rPr>
        <w:t xml:space="preserve"> </w:t>
      </w:r>
      <w:r>
        <w:t>ways.</w:t>
      </w:r>
      <w:r>
        <w:rPr>
          <w:spacing w:val="-12"/>
        </w:rPr>
        <w:t xml:space="preserve"> </w:t>
      </w:r>
      <w:r>
        <w:t>“Egoism”</w:t>
      </w:r>
      <w:r>
        <w:rPr>
          <w:spacing w:val="-12"/>
        </w:rPr>
        <w:t xml:space="preserve"> </w:t>
      </w:r>
      <w:r>
        <w:t>sometimes</w:t>
      </w:r>
      <w:r>
        <w:rPr>
          <w:spacing w:val="-12"/>
        </w:rPr>
        <w:t xml:space="preserve"> </w:t>
      </w:r>
      <w:r>
        <w:t>refers</w:t>
      </w:r>
      <w:r>
        <w:rPr>
          <w:spacing w:val="-12"/>
        </w:rPr>
        <w:t xml:space="preserve"> </w:t>
      </w:r>
      <w:r>
        <w:t>to</w:t>
      </w:r>
      <w:r>
        <w:rPr>
          <w:spacing w:val="-12"/>
        </w:rPr>
        <w:t xml:space="preserve"> </w:t>
      </w:r>
      <w:r>
        <w:t>a</w:t>
      </w:r>
      <w:r>
        <w:rPr>
          <w:spacing w:val="-12"/>
        </w:rPr>
        <w:t xml:space="preserve"> </w:t>
      </w:r>
      <w:r>
        <w:t>psychological doctrine,</w:t>
      </w:r>
      <w:r>
        <w:rPr>
          <w:spacing w:val="-19"/>
        </w:rPr>
        <w:t xml:space="preserve"> </w:t>
      </w:r>
      <w:r>
        <w:t>and</w:t>
      </w:r>
      <w:r>
        <w:rPr>
          <w:spacing w:val="-19"/>
        </w:rPr>
        <w:t xml:space="preserve"> </w:t>
      </w:r>
      <w:r>
        <w:t>it</w:t>
      </w:r>
      <w:r>
        <w:rPr>
          <w:spacing w:val="-19"/>
        </w:rPr>
        <w:t xml:space="preserve"> </w:t>
      </w:r>
      <w:r>
        <w:t>sometimes</w:t>
      </w:r>
      <w:r>
        <w:rPr>
          <w:spacing w:val="-18"/>
        </w:rPr>
        <w:t xml:space="preserve"> </w:t>
      </w:r>
      <w:r>
        <w:t>refers</w:t>
      </w:r>
      <w:r>
        <w:rPr>
          <w:spacing w:val="-19"/>
        </w:rPr>
        <w:t xml:space="preserve"> </w:t>
      </w:r>
      <w:r>
        <w:t>to</w:t>
      </w:r>
      <w:r>
        <w:rPr>
          <w:spacing w:val="-19"/>
        </w:rPr>
        <w:t xml:space="preserve"> </w:t>
      </w:r>
      <w:r>
        <w:t>an</w:t>
      </w:r>
      <w:r>
        <w:rPr>
          <w:spacing w:val="-19"/>
        </w:rPr>
        <w:t xml:space="preserve"> </w:t>
      </w:r>
      <w:r>
        <w:t>ethical</w:t>
      </w:r>
      <w:r>
        <w:rPr>
          <w:spacing w:val="-18"/>
        </w:rPr>
        <w:t xml:space="preserve"> </w:t>
      </w:r>
      <w:r>
        <w:t>doctrine.</w:t>
      </w:r>
    </w:p>
    <w:p w14:paraId="7E0026A5" w14:textId="77777777" w:rsidR="009A58DB" w:rsidRDefault="00000000">
      <w:pPr>
        <w:pStyle w:val="BodyText"/>
        <w:spacing w:before="4" w:line="249" w:lineRule="auto"/>
        <w:ind w:right="358"/>
      </w:pPr>
      <w:r>
        <w:t>According to ethical egoism, one ought never to act in a manner that isn’t self-interested. According to psychological egoism, one can’t act in a manner that isn’t self-interested. It is one’s sole intention in performing any given act to benefit from that act. The expected benefit may be simple pleasure or it may be an authentic enhancement of self.</w:t>
      </w:r>
    </w:p>
    <w:p w14:paraId="7E0026A6" w14:textId="77777777" w:rsidR="009A58DB" w:rsidRDefault="00000000">
      <w:pPr>
        <w:pStyle w:val="BodyText"/>
        <w:spacing w:before="6" w:line="249" w:lineRule="auto"/>
        <w:ind w:right="363" w:firstLine="360"/>
      </w:pPr>
      <w:r>
        <w:t xml:space="preserve">The problems with psychological egoism are similar to the problems with psychological hedonism. It was in Beethoven’s self-interest to compose music only because composing music </w:t>
      </w:r>
      <w:r>
        <w:rPr>
          <w:i/>
        </w:rPr>
        <w:t xml:space="preserve">itself </w:t>
      </w:r>
      <w:r>
        <w:t xml:space="preserve">has value. If Beethoven </w:t>
      </w:r>
      <w:r>
        <w:rPr>
          <w:i/>
        </w:rPr>
        <w:t xml:space="preserve">didn’t </w:t>
      </w:r>
      <w:r>
        <w:t>recognize the value of composing music, he wouldn’t have seen it as being in his interest to do so.</w:t>
      </w:r>
    </w:p>
    <w:p w14:paraId="7E0026A7" w14:textId="77777777" w:rsidR="009A58DB" w:rsidRDefault="00000000">
      <w:pPr>
        <w:pStyle w:val="BodyText"/>
        <w:spacing w:before="6" w:line="249" w:lineRule="auto"/>
        <w:ind w:right="359" w:firstLine="360"/>
      </w:pPr>
      <w:r>
        <w:t>Although we’re obviously egocentric, our egocentrism isn’t as morally empty</w:t>
      </w:r>
      <w:r>
        <w:rPr>
          <w:spacing w:val="58"/>
        </w:rPr>
        <w:t xml:space="preserve"> </w:t>
      </w:r>
      <w:r>
        <w:t>as</w:t>
      </w:r>
      <w:r>
        <w:rPr>
          <w:spacing w:val="59"/>
        </w:rPr>
        <w:t xml:space="preserve"> </w:t>
      </w:r>
      <w:r>
        <w:t>we’re</w:t>
      </w:r>
      <w:r>
        <w:rPr>
          <w:spacing w:val="58"/>
        </w:rPr>
        <w:t xml:space="preserve"> </w:t>
      </w:r>
      <w:r>
        <w:t>inclined</w:t>
      </w:r>
      <w:r>
        <w:rPr>
          <w:spacing w:val="59"/>
        </w:rPr>
        <w:t xml:space="preserve"> </w:t>
      </w:r>
      <w:r>
        <w:t>to</w:t>
      </w:r>
      <w:r>
        <w:rPr>
          <w:spacing w:val="59"/>
        </w:rPr>
        <w:t xml:space="preserve"> </w:t>
      </w:r>
      <w:r>
        <w:t>think.</w:t>
      </w:r>
      <w:r>
        <w:rPr>
          <w:spacing w:val="59"/>
        </w:rPr>
        <w:t xml:space="preserve"> </w:t>
      </w:r>
      <w:r>
        <w:t>If</w:t>
      </w:r>
      <w:r>
        <w:rPr>
          <w:spacing w:val="59"/>
        </w:rPr>
        <w:t xml:space="preserve"> </w:t>
      </w:r>
      <w:r>
        <w:t>you</w:t>
      </w:r>
      <w:r>
        <w:rPr>
          <w:spacing w:val="58"/>
        </w:rPr>
        <w:t xml:space="preserve"> </w:t>
      </w:r>
      <w:r>
        <w:t>don’t</w:t>
      </w:r>
      <w:r>
        <w:rPr>
          <w:spacing w:val="59"/>
        </w:rPr>
        <w:t xml:space="preserve"> </w:t>
      </w:r>
      <w:r>
        <w:t>see</w:t>
      </w:r>
      <w:r>
        <w:rPr>
          <w:spacing w:val="59"/>
        </w:rPr>
        <w:t xml:space="preserve"> </w:t>
      </w:r>
      <w:r>
        <w:t>value</w:t>
      </w:r>
      <w:r>
        <w:rPr>
          <w:spacing w:val="59"/>
        </w:rPr>
        <w:t xml:space="preserve"> </w:t>
      </w:r>
      <w:r>
        <w:t>in</w:t>
      </w:r>
      <w:r>
        <w:rPr>
          <w:spacing w:val="58"/>
        </w:rPr>
        <w:t xml:space="preserve"> </w:t>
      </w:r>
      <w:r>
        <w:t>being</w:t>
      </w:r>
      <w:r>
        <w:rPr>
          <w:spacing w:val="59"/>
        </w:rPr>
        <w:t xml:space="preserve"> </w:t>
      </w:r>
      <w:r>
        <w:t>on</w:t>
      </w:r>
      <w:r>
        <w:rPr>
          <w:spacing w:val="60"/>
        </w:rPr>
        <w:t xml:space="preserve"> </w:t>
      </w:r>
      <w:r>
        <w:rPr>
          <w:spacing w:val="-5"/>
        </w:rPr>
        <w:t>the</w:t>
      </w:r>
    </w:p>
    <w:p w14:paraId="7E0026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A9" w14:textId="77777777" w:rsidR="009A58DB" w:rsidRDefault="00000000">
      <w:pPr>
        <w:pStyle w:val="BodyText"/>
        <w:spacing w:before="60" w:line="249" w:lineRule="auto"/>
        <w:ind w:right="358"/>
      </w:pPr>
      <w:r>
        <w:lastRenderedPageBreak/>
        <w:t>Supreme Court, being on it wouldn’t mean anything to you, and you</w:t>
      </w:r>
      <w:r>
        <w:rPr>
          <w:spacing w:val="40"/>
        </w:rPr>
        <w:t xml:space="preserve"> </w:t>
      </w:r>
      <w:r>
        <w:t>wouldn’t see it as being in your interest to be on it. Thus, psychological egoism isn’t a viable doctrine.</w:t>
      </w:r>
    </w:p>
    <w:p w14:paraId="7E0026AA" w14:textId="77777777" w:rsidR="009A58DB" w:rsidRDefault="00000000">
      <w:pPr>
        <w:pStyle w:val="BodyText"/>
        <w:spacing w:before="8" w:line="249" w:lineRule="auto"/>
        <w:ind w:right="359" w:firstLine="360"/>
      </w:pPr>
      <w:r>
        <w:t xml:space="preserve">Also, there are well-known counterexamples to psychological egoism. There are people (e.g., Mother Teresa) who don’t seem to be acting in their own interest, and </w:t>
      </w:r>
      <w:r>
        <w:rPr>
          <w:i/>
        </w:rPr>
        <w:t xml:space="preserve">do </w:t>
      </w:r>
      <w:r>
        <w:t>seem to be acting almost entirely in the interests of others. Advocates of psychological egoism deal with such cases by saying that Mother Teresa did these things because they made her feel good and that in doing them she was therefore acting in a purely self-interested fashion.</w:t>
      </w:r>
    </w:p>
    <w:p w14:paraId="7E0026AB" w14:textId="77777777" w:rsidR="009A58DB" w:rsidRDefault="00000000">
      <w:pPr>
        <w:pStyle w:val="BodyText"/>
        <w:spacing w:before="8" w:line="249" w:lineRule="auto"/>
        <w:ind w:right="359" w:firstLine="360"/>
      </w:pPr>
      <w:r>
        <w:t>This position isn’t tenable. Mother Teresa wouldn’t have enjoyed doing these things unless she saw them as valuable. She did them because she saw that they were valuable, and because they were valuable, her doing them made her feel good. But that is very different from saying that she did them</w:t>
      </w:r>
      <w:r>
        <w:rPr>
          <w:spacing w:val="40"/>
        </w:rPr>
        <w:t xml:space="preserve"> </w:t>
      </w:r>
      <w:r>
        <w:rPr>
          <w:i/>
        </w:rPr>
        <w:t xml:space="preserve">in order </w:t>
      </w:r>
      <w:r>
        <w:t xml:space="preserve">to feel good. (See the previous section for clarification of this point.) What we said a moment ago concerning Mother Teresa shows that ethical egoism is false. She helped people </w:t>
      </w:r>
      <w:r>
        <w:rPr>
          <w:i/>
        </w:rPr>
        <w:t xml:space="preserve">not </w:t>
      </w:r>
      <w:r>
        <w:t>because it was in her interest, but because she saw value in it.</w:t>
      </w:r>
    </w:p>
    <w:p w14:paraId="7E0026AC" w14:textId="77777777" w:rsidR="009A58DB" w:rsidRDefault="00000000">
      <w:pPr>
        <w:pStyle w:val="BodyText"/>
        <w:spacing w:before="10" w:line="249" w:lineRule="auto"/>
        <w:ind w:right="359" w:firstLine="360"/>
      </w:pPr>
      <w:r>
        <w:t xml:space="preserve">Of course, </w:t>
      </w:r>
      <w:r>
        <w:rPr>
          <w:i/>
        </w:rPr>
        <w:t xml:space="preserve">given </w:t>
      </w:r>
      <w:r>
        <w:t xml:space="preserve">that she structured her life around that value, it </w:t>
      </w:r>
      <w:r>
        <w:rPr>
          <w:i/>
        </w:rPr>
        <w:t xml:space="preserve">came </w:t>
      </w:r>
      <w:r>
        <w:t>to</w:t>
      </w:r>
      <w:r>
        <w:rPr>
          <w:spacing w:val="40"/>
        </w:rPr>
        <w:t xml:space="preserve"> </w:t>
      </w:r>
      <w:r>
        <w:t xml:space="preserve">be in her interest to help people. And had Mother Teresa gone into investment-banking, it would have </w:t>
      </w:r>
      <w:r>
        <w:rPr>
          <w:i/>
        </w:rPr>
        <w:t xml:space="preserve">become </w:t>
      </w:r>
      <w:r>
        <w:t xml:space="preserve">in her interest to become a good investment-banker. But it obviously wasn’t </w:t>
      </w:r>
      <w:r>
        <w:rPr>
          <w:i/>
        </w:rPr>
        <w:t xml:space="preserve">ab initio </w:t>
      </w:r>
      <w:r>
        <w:t xml:space="preserve">in her interest to go into investment-banking; nor was it </w:t>
      </w:r>
      <w:r>
        <w:rPr>
          <w:i/>
        </w:rPr>
        <w:t xml:space="preserve">ab initio </w:t>
      </w:r>
      <w:r>
        <w:t xml:space="preserve">in her interest to become a charity </w:t>
      </w:r>
      <w:r>
        <w:rPr>
          <w:spacing w:val="-2"/>
        </w:rPr>
        <w:t>worker.</w:t>
      </w:r>
    </w:p>
    <w:p w14:paraId="7E0026AD" w14:textId="77777777" w:rsidR="009A58DB" w:rsidRDefault="00000000">
      <w:pPr>
        <w:pStyle w:val="BodyText"/>
        <w:spacing w:before="7" w:line="249" w:lineRule="auto"/>
        <w:ind w:right="358" w:firstLine="360"/>
      </w:pPr>
      <w:r>
        <w:t>Are there any cases where it is in one’s interest to do something that has</w:t>
      </w:r>
      <w:r>
        <w:rPr>
          <w:spacing w:val="40"/>
        </w:rPr>
        <w:t xml:space="preserve"> </w:t>
      </w:r>
      <w:r>
        <w:t>no</w:t>
      </w:r>
      <w:r>
        <w:rPr>
          <w:spacing w:val="-3"/>
        </w:rPr>
        <w:t xml:space="preserve"> </w:t>
      </w:r>
      <w:r>
        <w:t>value</w:t>
      </w:r>
      <w:r>
        <w:rPr>
          <w:spacing w:val="-4"/>
        </w:rPr>
        <w:t xml:space="preserve"> </w:t>
      </w:r>
      <w:r>
        <w:rPr>
          <w:i/>
        </w:rPr>
        <w:t>other</w:t>
      </w:r>
      <w:r>
        <w:rPr>
          <w:i/>
          <w:spacing w:val="-4"/>
        </w:rPr>
        <w:t xml:space="preserve"> </w:t>
      </w:r>
      <w:r>
        <w:t>than</w:t>
      </w:r>
      <w:r>
        <w:rPr>
          <w:spacing w:val="-1"/>
        </w:rPr>
        <w:t xml:space="preserve"> </w:t>
      </w:r>
      <w:r>
        <w:t>the</w:t>
      </w:r>
      <w:r>
        <w:rPr>
          <w:spacing w:val="-1"/>
        </w:rPr>
        <w:t xml:space="preserve"> </w:t>
      </w:r>
      <w:r>
        <w:t>fact</w:t>
      </w:r>
      <w:r>
        <w:rPr>
          <w:spacing w:val="-1"/>
        </w:rPr>
        <w:t xml:space="preserve"> </w:t>
      </w:r>
      <w:r>
        <w:t>that</w:t>
      </w:r>
      <w:r>
        <w:rPr>
          <w:spacing w:val="-1"/>
        </w:rPr>
        <w:t xml:space="preserve"> </w:t>
      </w:r>
      <w:r>
        <w:t>it</w:t>
      </w:r>
      <w:r>
        <w:rPr>
          <w:spacing w:val="-1"/>
        </w:rPr>
        <w:t xml:space="preserve"> </w:t>
      </w:r>
      <w:r>
        <w:t>is</w:t>
      </w:r>
      <w:r>
        <w:rPr>
          <w:spacing w:val="-1"/>
        </w:rPr>
        <w:t xml:space="preserve"> </w:t>
      </w:r>
      <w:r>
        <w:t>in</w:t>
      </w:r>
      <w:r>
        <w:rPr>
          <w:spacing w:val="-1"/>
        </w:rPr>
        <w:t xml:space="preserve"> </w:t>
      </w:r>
      <w:r>
        <w:t>one’s</w:t>
      </w:r>
      <w:r>
        <w:rPr>
          <w:spacing w:val="-1"/>
        </w:rPr>
        <w:t xml:space="preserve"> </w:t>
      </w:r>
      <w:r>
        <w:t>interest?</w:t>
      </w:r>
      <w:r>
        <w:rPr>
          <w:spacing w:val="-1"/>
        </w:rPr>
        <w:t xml:space="preserve"> </w:t>
      </w:r>
      <w:r>
        <w:t>By</w:t>
      </w:r>
      <w:r>
        <w:rPr>
          <w:spacing w:val="-1"/>
        </w:rPr>
        <w:t xml:space="preserve"> </w:t>
      </w:r>
      <w:r>
        <w:t>definition,</w:t>
      </w:r>
      <w:r>
        <w:rPr>
          <w:spacing w:val="-1"/>
        </w:rPr>
        <w:t xml:space="preserve"> </w:t>
      </w:r>
      <w:r>
        <w:t>any</w:t>
      </w:r>
      <w:r>
        <w:rPr>
          <w:spacing w:val="-1"/>
        </w:rPr>
        <w:t xml:space="preserve"> </w:t>
      </w:r>
      <w:r>
        <w:t xml:space="preserve">such cases wouldn’t involve acts that involve the recognition that anything </w:t>
      </w:r>
      <w:r>
        <w:rPr>
          <w:i/>
        </w:rPr>
        <w:t xml:space="preserve">other </w:t>
      </w:r>
      <w:r>
        <w:t>than one’s self-interest has any value, and such acts would therefore be ones that we are inclined to regard as enjoyable but meaningless (e.g., shooting heroin). But, although it’s obviously in one’s interest to have a meaningless good time now and then, it’s hard to see how it could be in one’s interest to do nothing other than that. It’s very obvious, in fact, that one would be diminishing oneself in an extreme way were one to do nothing but shoot heroin. Ethical egoism is thus an incoherent doctrine.</w:t>
      </w:r>
    </w:p>
    <w:p w14:paraId="7E0026AE" w14:textId="77777777" w:rsidR="009A58DB" w:rsidRDefault="00000000">
      <w:pPr>
        <w:pStyle w:val="BodyText"/>
        <w:spacing w:before="12" w:line="249" w:lineRule="auto"/>
        <w:ind w:right="366" w:firstLine="360"/>
      </w:pPr>
      <w:r>
        <w:t xml:space="preserve">In the previous chapter, we argued that </w:t>
      </w:r>
      <w:r>
        <w:rPr>
          <w:i/>
        </w:rPr>
        <w:t xml:space="preserve">a </w:t>
      </w:r>
      <w:r>
        <w:t>kind of morality is embedded in any act that it is genuinely in one’s interest to perform. We also argued that subject</w:t>
      </w:r>
      <w:r>
        <w:rPr>
          <w:spacing w:val="75"/>
        </w:rPr>
        <w:t xml:space="preserve"> </w:t>
      </w:r>
      <w:r>
        <w:t>hood</w:t>
      </w:r>
      <w:r>
        <w:rPr>
          <w:spacing w:val="78"/>
        </w:rPr>
        <w:t xml:space="preserve"> </w:t>
      </w:r>
      <w:r>
        <w:t>presupposes</w:t>
      </w:r>
      <w:r>
        <w:rPr>
          <w:spacing w:val="77"/>
        </w:rPr>
        <w:t xml:space="preserve"> </w:t>
      </w:r>
      <w:r>
        <w:t>sensitivity</w:t>
      </w:r>
      <w:r>
        <w:rPr>
          <w:spacing w:val="78"/>
        </w:rPr>
        <w:t xml:space="preserve"> </w:t>
      </w:r>
      <w:r>
        <w:t>to</w:t>
      </w:r>
      <w:r>
        <w:rPr>
          <w:spacing w:val="78"/>
        </w:rPr>
        <w:t xml:space="preserve"> </w:t>
      </w:r>
      <w:r>
        <w:t>norms.</w:t>
      </w:r>
      <w:r>
        <w:rPr>
          <w:spacing w:val="77"/>
        </w:rPr>
        <w:t xml:space="preserve"> </w:t>
      </w:r>
      <w:r>
        <w:t>What</w:t>
      </w:r>
      <w:r>
        <w:rPr>
          <w:spacing w:val="77"/>
        </w:rPr>
        <w:t xml:space="preserve"> </w:t>
      </w:r>
      <w:r>
        <w:t>we</w:t>
      </w:r>
      <w:r>
        <w:rPr>
          <w:spacing w:val="77"/>
        </w:rPr>
        <w:t xml:space="preserve"> </w:t>
      </w:r>
      <w:r>
        <w:t>just</w:t>
      </w:r>
      <w:r>
        <w:rPr>
          <w:spacing w:val="77"/>
        </w:rPr>
        <w:t xml:space="preserve"> </w:t>
      </w:r>
      <w:r>
        <w:t>said</w:t>
      </w:r>
      <w:r>
        <w:rPr>
          <w:spacing w:val="79"/>
        </w:rPr>
        <w:t xml:space="preserve"> </w:t>
      </w:r>
      <w:r>
        <w:rPr>
          <w:spacing w:val="-2"/>
        </w:rPr>
        <w:t>about</w:t>
      </w:r>
    </w:p>
    <w:p w14:paraId="7E0026A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B0" w14:textId="77777777" w:rsidR="009A58DB" w:rsidRDefault="00000000">
      <w:pPr>
        <w:pStyle w:val="BodyText"/>
        <w:spacing w:before="65"/>
        <w:jc w:val="left"/>
      </w:pPr>
      <w:r>
        <w:lastRenderedPageBreak/>
        <w:t>ethical</w:t>
      </w:r>
      <w:r>
        <w:rPr>
          <w:spacing w:val="-6"/>
        </w:rPr>
        <w:t xml:space="preserve"> </w:t>
      </w:r>
      <w:r>
        <w:t>egoism</w:t>
      </w:r>
      <w:r>
        <w:rPr>
          <w:spacing w:val="-5"/>
        </w:rPr>
        <w:t xml:space="preserve"> </w:t>
      </w:r>
      <w:r>
        <w:t>corroborates</w:t>
      </w:r>
      <w:r>
        <w:rPr>
          <w:spacing w:val="-6"/>
        </w:rPr>
        <w:t xml:space="preserve"> </w:t>
      </w:r>
      <w:r>
        <w:t>these</w:t>
      </w:r>
      <w:r>
        <w:rPr>
          <w:spacing w:val="-5"/>
        </w:rPr>
        <w:t xml:space="preserve"> </w:t>
      </w:r>
      <w:r>
        <w:rPr>
          <w:spacing w:val="-2"/>
        </w:rPr>
        <w:t>points.</w:t>
      </w:r>
    </w:p>
    <w:p w14:paraId="7E0026B1" w14:textId="77777777" w:rsidR="009A58DB" w:rsidRDefault="00000000">
      <w:pPr>
        <w:pStyle w:val="Heading1"/>
        <w:numPr>
          <w:ilvl w:val="0"/>
          <w:numId w:val="49"/>
        </w:numPr>
        <w:tabs>
          <w:tab w:val="left" w:pos="990"/>
        </w:tabs>
      </w:pPr>
      <w:r>
        <w:rPr>
          <w:spacing w:val="-2"/>
        </w:rPr>
        <w:t>Utilitarianism</w:t>
      </w:r>
    </w:p>
    <w:p w14:paraId="7E0026B2" w14:textId="77777777" w:rsidR="009A58DB" w:rsidRDefault="00000000">
      <w:pPr>
        <w:pStyle w:val="BodyText"/>
        <w:spacing w:before="139" w:line="249" w:lineRule="auto"/>
        <w:ind w:right="364"/>
        <w:jc w:val="left"/>
      </w:pPr>
      <w:r>
        <w:t>According</w:t>
      </w:r>
      <w:r>
        <w:rPr>
          <w:spacing w:val="40"/>
        </w:rPr>
        <w:t xml:space="preserve"> </w:t>
      </w:r>
      <w:r>
        <w:t>to</w:t>
      </w:r>
      <w:r>
        <w:rPr>
          <w:spacing w:val="40"/>
        </w:rPr>
        <w:t xml:space="preserve"> </w:t>
      </w:r>
      <w:r>
        <w:rPr>
          <w:b/>
          <w:i/>
        </w:rPr>
        <w:t>utilitarianism</w:t>
      </w:r>
      <w:r>
        <w:rPr>
          <w:b/>
        </w:rPr>
        <w:t>,</w:t>
      </w:r>
      <w:r>
        <w:rPr>
          <w:b/>
          <w:spacing w:val="40"/>
        </w:rPr>
        <w:t xml:space="preserve"> </w:t>
      </w:r>
      <w:r>
        <w:t>an</w:t>
      </w:r>
      <w:r>
        <w:rPr>
          <w:spacing w:val="40"/>
        </w:rPr>
        <w:t xml:space="preserve"> </w:t>
      </w:r>
      <w:r>
        <w:t>act</w:t>
      </w:r>
      <w:r>
        <w:rPr>
          <w:spacing w:val="40"/>
        </w:rPr>
        <w:t xml:space="preserve"> </w:t>
      </w:r>
      <w:r>
        <w:t>is</w:t>
      </w:r>
      <w:r>
        <w:rPr>
          <w:spacing w:val="40"/>
        </w:rPr>
        <w:t xml:space="preserve"> </w:t>
      </w:r>
      <w:r>
        <w:t>good</w:t>
      </w:r>
      <w:r>
        <w:rPr>
          <w:spacing w:val="40"/>
        </w:rPr>
        <w:t xml:space="preserve"> </w:t>
      </w:r>
      <w:r>
        <w:t>to</w:t>
      </w:r>
      <w:r>
        <w:rPr>
          <w:spacing w:val="40"/>
        </w:rPr>
        <w:t xml:space="preserve"> </w:t>
      </w:r>
      <w:r>
        <w:t>the</w:t>
      </w:r>
      <w:r>
        <w:rPr>
          <w:spacing w:val="40"/>
        </w:rPr>
        <w:t xml:space="preserve"> </w:t>
      </w:r>
      <w:r>
        <w:t>extent</w:t>
      </w:r>
      <w:r>
        <w:rPr>
          <w:spacing w:val="40"/>
        </w:rPr>
        <w:t xml:space="preserve"> </w:t>
      </w:r>
      <w:r>
        <w:t>that</w:t>
      </w:r>
      <w:r>
        <w:rPr>
          <w:spacing w:val="40"/>
        </w:rPr>
        <w:t xml:space="preserve"> </w:t>
      </w:r>
      <w:r>
        <w:t>it</w:t>
      </w:r>
      <w:r>
        <w:rPr>
          <w:spacing w:val="40"/>
        </w:rPr>
        <w:t xml:space="preserve"> </w:t>
      </w:r>
      <w:r>
        <w:t>promotes human welfare and bad to the</w:t>
      </w:r>
    </w:p>
    <w:p w14:paraId="7E0026B3" w14:textId="77777777" w:rsidR="009A58DB" w:rsidRDefault="00000000">
      <w:pPr>
        <w:pStyle w:val="BodyText"/>
        <w:spacing w:before="2"/>
        <w:jc w:val="left"/>
        <w:rPr>
          <w:position w:val="21"/>
        </w:rPr>
      </w:pPr>
      <w:r>
        <w:t>extent</w:t>
      </w:r>
      <w:r>
        <w:rPr>
          <w:spacing w:val="-4"/>
        </w:rPr>
        <w:t xml:space="preserve"> </w:t>
      </w:r>
      <w:r>
        <w:t>that</w:t>
      </w:r>
      <w:r>
        <w:rPr>
          <w:spacing w:val="-4"/>
        </w:rPr>
        <w:t xml:space="preserve"> </w:t>
      </w:r>
      <w:r>
        <w:t>it</w:t>
      </w:r>
      <w:r>
        <w:rPr>
          <w:spacing w:val="-4"/>
        </w:rPr>
        <w:t xml:space="preserve"> </w:t>
      </w:r>
      <w:r>
        <w:t>undermines</w:t>
      </w:r>
      <w:r>
        <w:rPr>
          <w:spacing w:val="-3"/>
        </w:rPr>
        <w:t xml:space="preserve"> </w:t>
      </w:r>
      <w:r>
        <w:rPr>
          <w:spacing w:val="-2"/>
        </w:rPr>
        <w:t>it</w:t>
      </w:r>
      <w:bookmarkStart w:id="539" w:name="_bookmark539"/>
      <w:bookmarkEnd w:id="539"/>
      <w:r>
        <w:rPr>
          <w:spacing w:val="-2"/>
        </w:rPr>
        <w:t>.</w:t>
      </w:r>
      <w:r>
        <w:rPr>
          <w:color w:val="0562C1"/>
          <w:spacing w:val="-2"/>
          <w:position w:val="21"/>
          <w:u w:val="single" w:color="0562C1"/>
        </w:rPr>
        <w:t>[405]</w:t>
      </w:r>
    </w:p>
    <w:p w14:paraId="7E0026B4" w14:textId="77777777" w:rsidR="009A58DB" w:rsidRDefault="00000000">
      <w:pPr>
        <w:pStyle w:val="BodyText"/>
        <w:spacing w:before="15" w:line="249" w:lineRule="auto"/>
        <w:ind w:right="359" w:firstLine="360"/>
      </w:pPr>
      <w:r>
        <w:t>This seems like an utterly reasonable doctrine. But there are some well-known problems with utilitarianism, and many ethicists reject utilitarianism because of them. Some stories will help identify two of these problems.</w:t>
      </w:r>
    </w:p>
    <w:p w14:paraId="7E0026B5" w14:textId="77777777" w:rsidR="009A58DB" w:rsidRDefault="00000000">
      <w:pPr>
        <w:pStyle w:val="BodyText"/>
        <w:spacing w:before="4" w:line="249" w:lineRule="auto"/>
        <w:ind w:right="360" w:firstLine="360"/>
      </w:pPr>
      <w:r>
        <w:t>Story #1: You are a physician. To save five unhealthy people who need organ transplants, you must either kill or vivisect four other perfectly healthy people and transplant their organs into the other five. (At least one of the unlucky four will donate more than one organ of his.)</w:t>
      </w:r>
    </w:p>
    <w:p w14:paraId="7E0026B6" w14:textId="77777777" w:rsidR="009A58DB" w:rsidRDefault="00000000">
      <w:pPr>
        <w:pStyle w:val="BodyText"/>
        <w:spacing w:before="5" w:line="249" w:lineRule="auto"/>
        <w:ind w:right="367" w:firstLine="360"/>
      </w:pPr>
      <w:r>
        <w:t>Question: Should you kill the four to save the five? Presumably not. It seems wrong—a heinous violation of the autonomy of the four.</w:t>
      </w:r>
    </w:p>
    <w:p w14:paraId="7E0026B7" w14:textId="77777777" w:rsidR="009A58DB" w:rsidRDefault="00000000">
      <w:pPr>
        <w:pStyle w:val="BodyText"/>
        <w:spacing w:before="2" w:line="249" w:lineRule="auto"/>
        <w:ind w:right="359" w:firstLine="360"/>
      </w:pPr>
      <w:r>
        <w:t xml:space="preserve">Story #2: A terrible murder has occurred. Somebody killed an innocent child in a grisly way. The public wants justice. The police happen to know that the real killer fled to a country from which he couldn’t possibly be extradited without causing a war that would take many lives. Nobody else knows this. The police also know that if </w:t>
      </w:r>
      <w:r>
        <w:rPr>
          <w:i/>
        </w:rPr>
        <w:t xml:space="preserve">somebody </w:t>
      </w:r>
      <w:r>
        <w:t>isn’t convicted of this crime and made to pay for it, the public will riot, the effects of which will be devastating.</w:t>
      </w:r>
      <w:r>
        <w:rPr>
          <w:spacing w:val="-1"/>
        </w:rPr>
        <w:t xml:space="preserve"> </w:t>
      </w:r>
      <w:r>
        <w:t>The</w:t>
      </w:r>
      <w:r>
        <w:rPr>
          <w:spacing w:val="-1"/>
        </w:rPr>
        <w:t xml:space="preserve"> </w:t>
      </w:r>
      <w:r>
        <w:t>police</w:t>
      </w:r>
      <w:r>
        <w:rPr>
          <w:spacing w:val="-1"/>
        </w:rPr>
        <w:t xml:space="preserve"> </w:t>
      </w:r>
      <w:r>
        <w:t>know</w:t>
      </w:r>
      <w:r>
        <w:rPr>
          <w:spacing w:val="-1"/>
        </w:rPr>
        <w:t xml:space="preserve"> </w:t>
      </w:r>
      <w:r>
        <w:t>that,</w:t>
      </w:r>
      <w:r>
        <w:rPr>
          <w:spacing w:val="-1"/>
        </w:rPr>
        <w:t xml:space="preserve"> </w:t>
      </w:r>
      <w:r>
        <w:t>were</w:t>
      </w:r>
      <w:r>
        <w:rPr>
          <w:spacing w:val="-1"/>
        </w:rPr>
        <w:t xml:space="preserve"> </w:t>
      </w:r>
      <w:r>
        <w:t>they</w:t>
      </w:r>
      <w:r>
        <w:rPr>
          <w:spacing w:val="-1"/>
        </w:rPr>
        <w:t xml:space="preserve"> </w:t>
      </w:r>
      <w:r>
        <w:t>to</w:t>
      </w:r>
      <w:r>
        <w:rPr>
          <w:spacing w:val="-1"/>
        </w:rPr>
        <w:t xml:space="preserve"> </w:t>
      </w:r>
      <w:r>
        <w:t>frame</w:t>
      </w:r>
      <w:r>
        <w:rPr>
          <w:spacing w:val="-1"/>
        </w:rPr>
        <w:t xml:space="preserve"> </w:t>
      </w:r>
      <w:r>
        <w:t>an</w:t>
      </w:r>
      <w:r>
        <w:rPr>
          <w:spacing w:val="-1"/>
        </w:rPr>
        <w:t xml:space="preserve"> </w:t>
      </w:r>
      <w:r>
        <w:t>innocent</w:t>
      </w:r>
      <w:r>
        <w:rPr>
          <w:spacing w:val="-1"/>
        </w:rPr>
        <w:t xml:space="preserve"> </w:t>
      </w:r>
      <w:r>
        <w:t>person,</w:t>
      </w:r>
      <w:r>
        <w:rPr>
          <w:spacing w:val="-1"/>
        </w:rPr>
        <w:t xml:space="preserve"> </w:t>
      </w:r>
      <w:r>
        <w:t>the public would be sated and these disasters would be headed off.</w:t>
      </w:r>
    </w:p>
    <w:p w14:paraId="7E0026B8" w14:textId="77777777" w:rsidR="009A58DB" w:rsidRDefault="00000000">
      <w:pPr>
        <w:pStyle w:val="BodyText"/>
        <w:spacing w:before="10" w:line="249" w:lineRule="auto"/>
        <w:ind w:right="363" w:firstLine="360"/>
      </w:pPr>
      <w:r>
        <w:t>Question: Should the police frame an innocent person? Presumably not (for the same reason as last time). These two stories suggest that there are cases</w:t>
      </w:r>
      <w:r>
        <w:rPr>
          <w:spacing w:val="-3"/>
        </w:rPr>
        <w:t xml:space="preserve"> </w:t>
      </w:r>
      <w:r>
        <w:t>where,</w:t>
      </w:r>
      <w:r>
        <w:rPr>
          <w:spacing w:val="-2"/>
        </w:rPr>
        <w:t xml:space="preserve"> </w:t>
      </w:r>
      <w:r>
        <w:t>no</w:t>
      </w:r>
      <w:r>
        <w:rPr>
          <w:spacing w:val="-2"/>
        </w:rPr>
        <w:t xml:space="preserve"> </w:t>
      </w:r>
      <w:r>
        <w:t>matter</w:t>
      </w:r>
      <w:r>
        <w:rPr>
          <w:spacing w:val="-3"/>
        </w:rPr>
        <w:t xml:space="preserve"> </w:t>
      </w:r>
      <w:r>
        <w:t>how</w:t>
      </w:r>
      <w:r>
        <w:rPr>
          <w:spacing w:val="-3"/>
        </w:rPr>
        <w:t xml:space="preserve"> </w:t>
      </w:r>
      <w:r>
        <w:t>much</w:t>
      </w:r>
      <w:r>
        <w:rPr>
          <w:spacing w:val="-2"/>
        </w:rPr>
        <w:t xml:space="preserve"> </w:t>
      </w:r>
      <w:r>
        <w:t>good</w:t>
      </w:r>
      <w:r>
        <w:rPr>
          <w:spacing w:val="-2"/>
        </w:rPr>
        <w:t xml:space="preserve"> </w:t>
      </w:r>
      <w:r>
        <w:rPr>
          <w:i/>
        </w:rPr>
        <w:t>comes</w:t>
      </w:r>
      <w:r>
        <w:rPr>
          <w:i/>
          <w:spacing w:val="-3"/>
        </w:rPr>
        <w:t xml:space="preserve"> </w:t>
      </w:r>
      <w:r>
        <w:t>of</w:t>
      </w:r>
      <w:r>
        <w:rPr>
          <w:spacing w:val="-3"/>
        </w:rPr>
        <w:t xml:space="preserve"> </w:t>
      </w:r>
      <w:r>
        <w:t>some</w:t>
      </w:r>
      <w:r>
        <w:rPr>
          <w:spacing w:val="-3"/>
        </w:rPr>
        <w:t xml:space="preserve"> </w:t>
      </w:r>
      <w:r>
        <w:t>act,</w:t>
      </w:r>
      <w:r>
        <w:rPr>
          <w:spacing w:val="-2"/>
        </w:rPr>
        <w:t xml:space="preserve"> </w:t>
      </w:r>
      <w:r>
        <w:t>that</w:t>
      </w:r>
      <w:r>
        <w:rPr>
          <w:spacing w:val="-3"/>
        </w:rPr>
        <w:t xml:space="preserve"> </w:t>
      </w:r>
      <w:r>
        <w:t>act</w:t>
      </w:r>
      <w:r>
        <w:rPr>
          <w:spacing w:val="-3"/>
        </w:rPr>
        <w:t xml:space="preserve"> </w:t>
      </w:r>
      <w:r>
        <w:t>is</w:t>
      </w:r>
      <w:r>
        <w:rPr>
          <w:spacing w:val="-3"/>
        </w:rPr>
        <w:t xml:space="preserve"> </w:t>
      </w:r>
      <w:r>
        <w:t>still</w:t>
      </w:r>
      <w:r>
        <w:rPr>
          <w:spacing w:val="-3"/>
        </w:rPr>
        <w:t xml:space="preserve"> </w:t>
      </w:r>
      <w:r>
        <w:rPr>
          <w:i/>
        </w:rPr>
        <w:t xml:space="preserve">just wrong. </w:t>
      </w:r>
      <w:r>
        <w:t>If these two stories are representative, acts that fall into this category involve cases of autonomy violation. This, of course, substantiates Kant’s position</w:t>
      </w:r>
      <w:r>
        <w:rPr>
          <w:spacing w:val="-3"/>
        </w:rPr>
        <w:t xml:space="preserve"> </w:t>
      </w:r>
      <w:r>
        <w:t>that</w:t>
      </w:r>
      <w:r>
        <w:rPr>
          <w:spacing w:val="-3"/>
        </w:rPr>
        <w:t xml:space="preserve"> </w:t>
      </w:r>
      <w:r>
        <w:t>goodness</w:t>
      </w:r>
      <w:r>
        <w:rPr>
          <w:spacing w:val="-3"/>
        </w:rPr>
        <w:t xml:space="preserve"> </w:t>
      </w:r>
      <w:r>
        <w:t>=</w:t>
      </w:r>
      <w:r>
        <w:rPr>
          <w:spacing w:val="-3"/>
        </w:rPr>
        <w:t xml:space="preserve"> </w:t>
      </w:r>
      <w:r>
        <w:t>autonomy</w:t>
      </w:r>
      <w:r>
        <w:rPr>
          <w:spacing w:val="-3"/>
        </w:rPr>
        <w:t xml:space="preserve"> </w:t>
      </w:r>
      <w:r>
        <w:t>promotion</w:t>
      </w:r>
      <w:r>
        <w:rPr>
          <w:spacing w:val="-3"/>
        </w:rPr>
        <w:t xml:space="preserve"> </w:t>
      </w:r>
      <w:r>
        <w:t>and</w:t>
      </w:r>
      <w:r>
        <w:rPr>
          <w:spacing w:val="-3"/>
        </w:rPr>
        <w:t xml:space="preserve"> </w:t>
      </w:r>
      <w:r>
        <w:t>that</w:t>
      </w:r>
      <w:r>
        <w:rPr>
          <w:spacing w:val="-3"/>
        </w:rPr>
        <w:t xml:space="preserve"> </w:t>
      </w:r>
      <w:r>
        <w:t>badness</w:t>
      </w:r>
      <w:r>
        <w:rPr>
          <w:spacing w:val="-3"/>
        </w:rPr>
        <w:t xml:space="preserve"> </w:t>
      </w:r>
      <w:r>
        <w:t>=</w:t>
      </w:r>
      <w:r>
        <w:rPr>
          <w:spacing w:val="-3"/>
        </w:rPr>
        <w:t xml:space="preserve"> </w:t>
      </w:r>
      <w:r>
        <w:t>heteronomy promotion. Kant was a virulent opponent of utilitarianism.</w:t>
      </w:r>
    </w:p>
    <w:p w14:paraId="7E0026B9" w14:textId="77777777" w:rsidR="009A58DB" w:rsidRDefault="00000000">
      <w:pPr>
        <w:pStyle w:val="BodyText"/>
        <w:spacing w:before="9" w:line="249" w:lineRule="auto"/>
        <w:ind w:right="358" w:firstLine="360"/>
      </w:pPr>
      <w:r>
        <w:t>There are other problems with utilitarianism. I’ll focus on what I think are the most important ones. First, if everyone were always trying to maximize the welfare of others, everybody would be miserable, since no one would be doing what he wanted. Second, utilitarianism says that anything that isn’t an act</w:t>
      </w:r>
      <w:r>
        <w:rPr>
          <w:spacing w:val="15"/>
        </w:rPr>
        <w:t xml:space="preserve"> </w:t>
      </w:r>
      <w:r>
        <w:t>of</w:t>
      </w:r>
      <w:r>
        <w:rPr>
          <w:spacing w:val="18"/>
        </w:rPr>
        <w:t xml:space="preserve"> </w:t>
      </w:r>
      <w:r>
        <w:t>trying</w:t>
      </w:r>
      <w:r>
        <w:rPr>
          <w:spacing w:val="17"/>
        </w:rPr>
        <w:t xml:space="preserve"> </w:t>
      </w:r>
      <w:r>
        <w:t>to</w:t>
      </w:r>
      <w:r>
        <w:rPr>
          <w:spacing w:val="18"/>
        </w:rPr>
        <w:t xml:space="preserve"> </w:t>
      </w:r>
      <w:r>
        <w:t>help</w:t>
      </w:r>
      <w:r>
        <w:rPr>
          <w:spacing w:val="17"/>
        </w:rPr>
        <w:t xml:space="preserve"> </w:t>
      </w:r>
      <w:r>
        <w:t>everyone</w:t>
      </w:r>
      <w:r>
        <w:rPr>
          <w:spacing w:val="18"/>
        </w:rPr>
        <w:t xml:space="preserve"> </w:t>
      </w:r>
      <w:r>
        <w:t>has</w:t>
      </w:r>
      <w:r>
        <w:rPr>
          <w:spacing w:val="17"/>
        </w:rPr>
        <w:t xml:space="preserve"> </w:t>
      </w:r>
      <w:r>
        <w:t>no</w:t>
      </w:r>
      <w:r>
        <w:rPr>
          <w:spacing w:val="18"/>
        </w:rPr>
        <w:t xml:space="preserve"> </w:t>
      </w:r>
      <w:r>
        <w:t>value</w:t>
      </w:r>
      <w:r>
        <w:rPr>
          <w:spacing w:val="17"/>
        </w:rPr>
        <w:t xml:space="preserve"> </w:t>
      </w:r>
      <w:r>
        <w:t>and</w:t>
      </w:r>
      <w:r>
        <w:rPr>
          <w:spacing w:val="18"/>
        </w:rPr>
        <w:t xml:space="preserve"> </w:t>
      </w:r>
      <w:r>
        <w:t>that</w:t>
      </w:r>
      <w:r>
        <w:rPr>
          <w:spacing w:val="17"/>
        </w:rPr>
        <w:t xml:space="preserve"> </w:t>
      </w:r>
      <w:r>
        <w:t>an</w:t>
      </w:r>
      <w:r>
        <w:rPr>
          <w:spacing w:val="18"/>
        </w:rPr>
        <w:t xml:space="preserve"> </w:t>
      </w:r>
      <w:r>
        <w:t>act</w:t>
      </w:r>
      <w:r>
        <w:rPr>
          <w:spacing w:val="17"/>
        </w:rPr>
        <w:t xml:space="preserve"> </w:t>
      </w:r>
      <w:r>
        <w:t>has</w:t>
      </w:r>
      <w:r>
        <w:rPr>
          <w:spacing w:val="18"/>
        </w:rPr>
        <w:t xml:space="preserve"> </w:t>
      </w:r>
      <w:r>
        <w:t>value</w:t>
      </w:r>
      <w:r>
        <w:rPr>
          <w:spacing w:val="17"/>
        </w:rPr>
        <w:t xml:space="preserve"> </w:t>
      </w:r>
      <w:r>
        <w:t>only</w:t>
      </w:r>
      <w:r>
        <w:rPr>
          <w:spacing w:val="18"/>
        </w:rPr>
        <w:t xml:space="preserve"> </w:t>
      </w:r>
      <w:r>
        <w:rPr>
          <w:spacing w:val="-5"/>
        </w:rPr>
        <w:t>to</w:t>
      </w:r>
    </w:p>
    <w:p w14:paraId="7E0026B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BB" w14:textId="77777777" w:rsidR="009A58DB" w:rsidRDefault="00000000">
      <w:pPr>
        <w:pStyle w:val="BodyText"/>
        <w:spacing w:before="60" w:line="249" w:lineRule="auto"/>
        <w:ind w:right="359"/>
      </w:pPr>
      <w:r>
        <w:lastRenderedPageBreak/>
        <w:t xml:space="preserve">the extent that it helps others. If this is right, then reading a book or listening to a good piano sonata has value </w:t>
      </w:r>
      <w:r>
        <w:rPr>
          <w:i/>
        </w:rPr>
        <w:t>only</w:t>
      </w:r>
      <w:r>
        <w:rPr>
          <w:i/>
          <w:spacing w:val="-3"/>
        </w:rPr>
        <w:t xml:space="preserve"> </w:t>
      </w:r>
      <w:r>
        <w:t>to the extent that it helps others. Third, utilitarianism can’t accommodate the fact that personal loyalties have moral value. Given a choice between saving a stranger and saving your devoted spouse of 50 years, you should save the stranger if, by doing so, you stand to make people even infinitesimally better off than you do by saving your wife. But that seems positively monstrous. Fourth, if everybody were trying to make the world a better place with every single act, the world would quickly become a very bad place. For example, if judges broke the rules in order to serve the interests of justice, the legal system would collapse, and all the protections it provides would be withdrawn.</w:t>
      </w:r>
    </w:p>
    <w:p w14:paraId="7E0026BC" w14:textId="77777777" w:rsidR="009A58DB" w:rsidRDefault="00000000">
      <w:pPr>
        <w:pStyle w:val="Heading1"/>
        <w:numPr>
          <w:ilvl w:val="1"/>
          <w:numId w:val="49"/>
        </w:numPr>
        <w:tabs>
          <w:tab w:val="left" w:pos="990"/>
        </w:tabs>
        <w:spacing w:before="206"/>
      </w:pPr>
      <w:r>
        <w:t>Rule</w:t>
      </w:r>
      <w:r>
        <w:rPr>
          <w:spacing w:val="-4"/>
        </w:rPr>
        <w:t xml:space="preserve"> </w:t>
      </w:r>
      <w:r>
        <w:rPr>
          <w:spacing w:val="-2"/>
        </w:rPr>
        <w:t>utilitarianism</w:t>
      </w:r>
    </w:p>
    <w:p w14:paraId="7E0026BD" w14:textId="77777777" w:rsidR="009A58DB" w:rsidRDefault="00000000">
      <w:pPr>
        <w:pStyle w:val="BodyText"/>
        <w:spacing w:before="139" w:line="249" w:lineRule="auto"/>
        <w:ind w:right="363"/>
      </w:pPr>
      <w:r>
        <w:t>Helping people is good and hurting them is bad. This is the idea underlying utilitarianism, and it’s obviously a good one. So many want to hold onto utilitarianism, despite the problems with it just discussed, and they typically deal</w:t>
      </w:r>
      <w:r>
        <w:rPr>
          <w:spacing w:val="-1"/>
        </w:rPr>
        <w:t xml:space="preserve"> </w:t>
      </w:r>
      <w:r>
        <w:t>with</w:t>
      </w:r>
      <w:r>
        <w:rPr>
          <w:spacing w:val="-1"/>
        </w:rPr>
        <w:t xml:space="preserve"> </w:t>
      </w:r>
      <w:r>
        <w:t>these</w:t>
      </w:r>
      <w:r>
        <w:rPr>
          <w:spacing w:val="-1"/>
        </w:rPr>
        <w:t xml:space="preserve"> </w:t>
      </w:r>
      <w:r>
        <w:t>problems</w:t>
      </w:r>
      <w:r>
        <w:rPr>
          <w:spacing w:val="-1"/>
        </w:rPr>
        <w:t xml:space="preserve"> </w:t>
      </w:r>
      <w:r>
        <w:t>by</w:t>
      </w:r>
      <w:r>
        <w:rPr>
          <w:spacing w:val="-1"/>
        </w:rPr>
        <w:t xml:space="preserve"> </w:t>
      </w:r>
      <w:r>
        <w:t>advocating</w:t>
      </w:r>
      <w:r>
        <w:rPr>
          <w:spacing w:val="-1"/>
        </w:rPr>
        <w:t xml:space="preserve"> </w:t>
      </w:r>
      <w:r>
        <w:t>a</w:t>
      </w:r>
      <w:r>
        <w:rPr>
          <w:spacing w:val="-1"/>
        </w:rPr>
        <w:t xml:space="preserve"> </w:t>
      </w:r>
      <w:r>
        <w:t>doctrine</w:t>
      </w:r>
      <w:r>
        <w:rPr>
          <w:spacing w:val="-1"/>
        </w:rPr>
        <w:t xml:space="preserve"> </w:t>
      </w:r>
      <w:r>
        <w:t>called</w:t>
      </w:r>
      <w:r>
        <w:rPr>
          <w:spacing w:val="-1"/>
        </w:rPr>
        <w:t xml:space="preserve"> </w:t>
      </w:r>
      <w:r>
        <w:t xml:space="preserve">“rule-utilitarianism” </w:t>
      </w:r>
      <w:r>
        <w:rPr>
          <w:spacing w:val="-2"/>
        </w:rPr>
        <w:t>(RU).</w:t>
      </w:r>
    </w:p>
    <w:p w14:paraId="7E0026BE" w14:textId="77777777" w:rsidR="009A58DB" w:rsidRDefault="00000000">
      <w:pPr>
        <w:pStyle w:val="BodyText"/>
        <w:spacing w:before="6" w:line="249" w:lineRule="auto"/>
        <w:ind w:right="363" w:firstLine="360"/>
      </w:pPr>
      <w:r>
        <w:t>According to rule-utilitarianism, one should identify a set of rules that, if generally complied with, lead to more happiness, and having identified those rules, one should comply with them. Physicians shouldn’t vivisect people to save others. For, if they did so, everyone would walk in mortal fear of being vivisected, and life would become a horror. Physicians should identify a set of rules that, if generally complied with, lead to an optimal outcome. Among those rules, there is presumably one to the effect that you shouldn’t vivisect or kill one person to save two.</w:t>
      </w:r>
    </w:p>
    <w:p w14:paraId="7E0026BF" w14:textId="77777777" w:rsidR="009A58DB" w:rsidRDefault="00000000">
      <w:pPr>
        <w:pStyle w:val="BodyText"/>
        <w:spacing w:before="10" w:line="249" w:lineRule="auto"/>
        <w:ind w:right="360" w:firstLine="360"/>
      </w:pPr>
      <w:r>
        <w:t>Police officers shouldn’t frame people every time doing so conduced to</w:t>
      </w:r>
      <w:r>
        <w:rPr>
          <w:spacing w:val="40"/>
        </w:rPr>
        <w:t xml:space="preserve"> </w:t>
      </w:r>
      <w:r>
        <w:t>the public weal. For, if they did so, the framing of innocent people would be routine, and the police would be our tormentors, not our protectors. They should identify and comply with welfare-optimizing rules. Among those rules, there is one to the effect that you shouldn’t frame the innocent, even if doing so helps more people than it hurts.</w:t>
      </w:r>
    </w:p>
    <w:p w14:paraId="7E0026C0" w14:textId="77777777" w:rsidR="009A58DB" w:rsidRDefault="00000000">
      <w:pPr>
        <w:pStyle w:val="BodyText"/>
        <w:spacing w:before="8" w:line="249" w:lineRule="auto"/>
        <w:ind w:right="358" w:firstLine="360"/>
      </w:pPr>
      <w:r>
        <w:t>People shouldn’t be asked to sacrifice their personal ambitions or relationships for the sake of the greater happiness. For, if people did make such</w:t>
      </w:r>
      <w:r>
        <w:rPr>
          <w:spacing w:val="79"/>
        </w:rPr>
        <w:t xml:space="preserve"> </w:t>
      </w:r>
      <w:r>
        <w:t>sacrifices,</w:t>
      </w:r>
      <w:r>
        <w:rPr>
          <w:spacing w:val="79"/>
        </w:rPr>
        <w:t xml:space="preserve"> </w:t>
      </w:r>
      <w:r>
        <w:t>they</w:t>
      </w:r>
      <w:r>
        <w:rPr>
          <w:spacing w:val="79"/>
        </w:rPr>
        <w:t xml:space="preserve"> </w:t>
      </w:r>
      <w:r>
        <w:t>would</w:t>
      </w:r>
      <w:r>
        <w:rPr>
          <w:spacing w:val="79"/>
        </w:rPr>
        <w:t xml:space="preserve"> </w:t>
      </w:r>
      <w:r>
        <w:t>be</w:t>
      </w:r>
      <w:r>
        <w:rPr>
          <w:spacing w:val="79"/>
        </w:rPr>
        <w:t xml:space="preserve"> </w:t>
      </w:r>
      <w:r>
        <w:t>unfulfilled—every</w:t>
      </w:r>
      <w:r>
        <w:rPr>
          <w:spacing w:val="79"/>
        </w:rPr>
        <w:t xml:space="preserve"> </w:t>
      </w:r>
      <w:r>
        <w:t>would-be</w:t>
      </w:r>
      <w:r>
        <w:rPr>
          <w:spacing w:val="79"/>
        </w:rPr>
        <w:t xml:space="preserve"> </w:t>
      </w:r>
      <w:r>
        <w:t>composer</w:t>
      </w:r>
      <w:r>
        <w:rPr>
          <w:spacing w:val="79"/>
        </w:rPr>
        <w:t xml:space="preserve"> </w:t>
      </w:r>
      <w:r>
        <w:t>or</w:t>
      </w:r>
    </w:p>
    <w:p w14:paraId="7E0026C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C2" w14:textId="77777777" w:rsidR="009A58DB" w:rsidRDefault="00000000">
      <w:pPr>
        <w:pStyle w:val="BodyText"/>
        <w:spacing w:before="60" w:line="249" w:lineRule="auto"/>
        <w:ind w:right="358"/>
      </w:pPr>
      <w:r>
        <w:lastRenderedPageBreak/>
        <w:t>novelist or mathematician would be stuck in some soup kitchen. And</w:t>
      </w:r>
      <w:r>
        <w:rPr>
          <w:spacing w:val="40"/>
        </w:rPr>
        <w:t xml:space="preserve"> </w:t>
      </w:r>
      <w:r>
        <w:t>personal loyalties would be unsustainable, since they’d be so often violated, and life would be drained of all the good they bring. Thus, people should identify and comply with welfare-optimizing rules; and among such rules, there is presumably one to the effect that you shouldn’t sacrifice your personal objectives or spurn your close friends.</w:t>
      </w:r>
    </w:p>
    <w:p w14:paraId="7E0026C3" w14:textId="77777777" w:rsidR="009A58DB" w:rsidRDefault="00000000">
      <w:pPr>
        <w:pStyle w:val="Heading1"/>
        <w:numPr>
          <w:ilvl w:val="2"/>
          <w:numId w:val="49"/>
        </w:numPr>
        <w:tabs>
          <w:tab w:val="left" w:pos="1305"/>
        </w:tabs>
        <w:spacing w:before="110"/>
      </w:pPr>
      <w:r>
        <w:t>Rule</w:t>
      </w:r>
      <w:r>
        <w:rPr>
          <w:spacing w:val="-8"/>
        </w:rPr>
        <w:t xml:space="preserve"> </w:t>
      </w:r>
      <w:r>
        <w:t>utilitarianism</w:t>
      </w:r>
      <w:r>
        <w:rPr>
          <w:spacing w:val="-8"/>
        </w:rPr>
        <w:t xml:space="preserve"> </w:t>
      </w:r>
      <w:r>
        <w:rPr>
          <w:spacing w:val="-2"/>
        </w:rPr>
        <w:t>evaluated</w:t>
      </w:r>
    </w:p>
    <w:p w14:paraId="7E0026C4" w14:textId="77777777" w:rsidR="009A58DB" w:rsidRDefault="00000000">
      <w:pPr>
        <w:pStyle w:val="BodyText"/>
        <w:spacing w:before="79" w:line="249" w:lineRule="auto"/>
        <w:ind w:right="360"/>
      </w:pPr>
      <w:r>
        <w:t>RU is a reasonable doctrine, and I think it gives us insight into some otherwise opaque ethical issues. It’s said, for example, that it’s inherently wrong of nations to “violate the sovereignty” of other nations. But this doesn’t seem true. First of all, sovereignty is a property, not of the people who</w:t>
      </w:r>
      <w:r>
        <w:rPr>
          <w:spacing w:val="40"/>
        </w:rPr>
        <w:t xml:space="preserve"> </w:t>
      </w:r>
      <w:r>
        <w:t>live</w:t>
      </w:r>
      <w:r>
        <w:rPr>
          <w:spacing w:val="40"/>
        </w:rPr>
        <w:t xml:space="preserve"> </w:t>
      </w:r>
      <w:r>
        <w:t>in</w:t>
      </w:r>
      <w:r>
        <w:rPr>
          <w:spacing w:val="40"/>
        </w:rPr>
        <w:t xml:space="preserve"> </w:t>
      </w:r>
      <w:r>
        <w:t>a</w:t>
      </w:r>
      <w:r>
        <w:rPr>
          <w:spacing w:val="40"/>
        </w:rPr>
        <w:t xml:space="preserve"> </w:t>
      </w:r>
      <w:r>
        <w:t>country,</w:t>
      </w:r>
      <w:r>
        <w:rPr>
          <w:spacing w:val="40"/>
        </w:rPr>
        <w:t xml:space="preserve"> </w:t>
      </w:r>
      <w:r>
        <w:t>but</w:t>
      </w:r>
      <w:r>
        <w:rPr>
          <w:spacing w:val="40"/>
        </w:rPr>
        <w:t xml:space="preserve"> </w:t>
      </w:r>
      <w:r>
        <w:t>of</w:t>
      </w:r>
      <w:r>
        <w:rPr>
          <w:spacing w:val="40"/>
        </w:rPr>
        <w:t xml:space="preserve"> </w:t>
      </w:r>
      <w:r>
        <w:t>the</w:t>
      </w:r>
      <w:r>
        <w:rPr>
          <w:spacing w:val="40"/>
        </w:rPr>
        <w:t xml:space="preserve"> </w:t>
      </w:r>
      <w:r>
        <w:t>government</w:t>
      </w:r>
      <w:r>
        <w:rPr>
          <w:spacing w:val="40"/>
        </w:rPr>
        <w:t xml:space="preserve"> </w:t>
      </w:r>
      <w:r>
        <w:t>of</w:t>
      </w:r>
      <w:r>
        <w:rPr>
          <w:spacing w:val="40"/>
        </w:rPr>
        <w:t xml:space="preserve"> </w:t>
      </w:r>
      <w:r>
        <w:t>that</w:t>
      </w:r>
      <w:r>
        <w:rPr>
          <w:spacing w:val="40"/>
        </w:rPr>
        <w:t xml:space="preserve"> </w:t>
      </w:r>
      <w:r>
        <w:t>country.</w:t>
      </w:r>
      <w:r>
        <w:rPr>
          <w:spacing w:val="40"/>
        </w:rPr>
        <w:t xml:space="preserve"> </w:t>
      </w:r>
      <w:r>
        <w:t>A government</w:t>
      </w:r>
      <w:r>
        <w:rPr>
          <w:spacing w:val="40"/>
        </w:rPr>
        <w:t xml:space="preserve"> </w:t>
      </w:r>
      <w:r>
        <w:t>is</w:t>
      </w:r>
      <w:r>
        <w:rPr>
          <w:spacing w:val="40"/>
        </w:rPr>
        <w:t xml:space="preserve"> </w:t>
      </w:r>
      <w:r>
        <w:t>legitimate</w:t>
      </w:r>
      <w:r>
        <w:rPr>
          <w:spacing w:val="40"/>
        </w:rPr>
        <w:t xml:space="preserve"> </w:t>
      </w:r>
      <w:r>
        <w:t>only</w:t>
      </w:r>
      <w:r>
        <w:rPr>
          <w:spacing w:val="40"/>
        </w:rPr>
        <w:t xml:space="preserve"> </w:t>
      </w:r>
      <w:r>
        <w:t>to</w:t>
      </w:r>
      <w:r>
        <w:rPr>
          <w:spacing w:val="40"/>
        </w:rPr>
        <w:t xml:space="preserve"> </w:t>
      </w:r>
      <w:r>
        <w:t>the</w:t>
      </w:r>
      <w:r>
        <w:rPr>
          <w:spacing w:val="40"/>
        </w:rPr>
        <w:t xml:space="preserve"> </w:t>
      </w:r>
      <w:r>
        <w:t>extent</w:t>
      </w:r>
      <w:r>
        <w:rPr>
          <w:spacing w:val="40"/>
        </w:rPr>
        <w:t xml:space="preserve"> </w:t>
      </w:r>
      <w:r>
        <w:t>that</w:t>
      </w:r>
      <w:r>
        <w:rPr>
          <w:spacing w:val="40"/>
        </w:rPr>
        <w:t xml:space="preserve"> </w:t>
      </w:r>
      <w:r>
        <w:t>it</w:t>
      </w:r>
      <w:r>
        <w:rPr>
          <w:spacing w:val="40"/>
        </w:rPr>
        <w:t xml:space="preserve"> </w:t>
      </w:r>
      <w:r>
        <w:t>serves</w:t>
      </w:r>
      <w:r>
        <w:rPr>
          <w:spacing w:val="40"/>
        </w:rPr>
        <w:t xml:space="preserve"> </w:t>
      </w:r>
      <w:r>
        <w:t>the</w:t>
      </w:r>
      <w:r>
        <w:rPr>
          <w:spacing w:val="40"/>
        </w:rPr>
        <w:t xml:space="preserve"> </w:t>
      </w:r>
      <w:r>
        <w:t>interests</w:t>
      </w:r>
      <w:r>
        <w:rPr>
          <w:spacing w:val="40"/>
        </w:rPr>
        <w:t xml:space="preserve"> </w:t>
      </w:r>
      <w:r>
        <w:t>of its</w:t>
      </w:r>
      <w:r>
        <w:rPr>
          <w:spacing w:val="40"/>
        </w:rPr>
        <w:t xml:space="preserve"> </w:t>
      </w:r>
      <w:r>
        <w:t>constituents.</w:t>
      </w:r>
      <w:r>
        <w:rPr>
          <w:spacing w:val="40"/>
        </w:rPr>
        <w:t xml:space="preserve"> </w:t>
      </w:r>
      <w:r>
        <w:t>If</w:t>
      </w:r>
      <w:r>
        <w:rPr>
          <w:spacing w:val="40"/>
        </w:rPr>
        <w:t xml:space="preserve"> </w:t>
      </w:r>
      <w:r>
        <w:t>the</w:t>
      </w:r>
      <w:r>
        <w:rPr>
          <w:spacing w:val="40"/>
        </w:rPr>
        <w:t xml:space="preserve"> </w:t>
      </w:r>
      <w:r>
        <w:t>government</w:t>
      </w:r>
      <w:r>
        <w:rPr>
          <w:spacing w:val="40"/>
        </w:rPr>
        <w:t xml:space="preserve"> </w:t>
      </w:r>
      <w:r>
        <w:t>of</w:t>
      </w:r>
      <w:r>
        <w:rPr>
          <w:spacing w:val="40"/>
        </w:rPr>
        <w:t xml:space="preserve"> </w:t>
      </w:r>
      <w:r>
        <w:t>some</w:t>
      </w:r>
      <w:r>
        <w:rPr>
          <w:spacing w:val="40"/>
        </w:rPr>
        <w:t xml:space="preserve"> </w:t>
      </w:r>
      <w:r>
        <w:t>nation</w:t>
      </w:r>
      <w:r>
        <w:rPr>
          <w:spacing w:val="40"/>
        </w:rPr>
        <w:t xml:space="preserve"> </w:t>
      </w:r>
      <w:r>
        <w:t>torments</w:t>
      </w:r>
      <w:r>
        <w:rPr>
          <w:spacing w:val="40"/>
        </w:rPr>
        <w:t xml:space="preserve"> </w:t>
      </w:r>
      <w:r>
        <w:t>its</w:t>
      </w:r>
      <w:r>
        <w:rPr>
          <w:spacing w:val="40"/>
        </w:rPr>
        <w:t xml:space="preserve"> </w:t>
      </w:r>
      <w:r>
        <w:t xml:space="preserve">own subjects, it would be wrong </w:t>
      </w:r>
      <w:r>
        <w:rPr>
          <w:i/>
        </w:rPr>
        <w:t xml:space="preserve">not </w:t>
      </w:r>
      <w:r>
        <w:t>to overthrow it, other things being equal.</w:t>
      </w:r>
      <w:r>
        <w:rPr>
          <w:spacing w:val="40"/>
        </w:rPr>
        <w:t xml:space="preserve"> </w:t>
      </w:r>
      <w:r>
        <w:t>(The “other things being equal” hedge is important. Overthrowing a government tends to</w:t>
      </w:r>
    </w:p>
    <w:p w14:paraId="7E0026C5" w14:textId="77777777" w:rsidR="009A58DB" w:rsidRDefault="00000000">
      <w:pPr>
        <w:pStyle w:val="BodyText"/>
        <w:spacing w:before="12" w:line="249" w:lineRule="auto"/>
        <w:ind w:right="361"/>
      </w:pPr>
      <w:r>
        <w:t>do a lot of damage, since governments, even bad ones, keep order. Unless the damage that a government does exceeds the damage done by overthrowing it, it isn’t to be overthrown. And for a government to reach that threshold, it must be exceedingly bad.)</w:t>
      </w:r>
    </w:p>
    <w:p w14:paraId="7E0026C6" w14:textId="77777777" w:rsidR="009A58DB" w:rsidRDefault="00000000">
      <w:pPr>
        <w:pStyle w:val="BodyText"/>
        <w:spacing w:before="5" w:line="249" w:lineRule="auto"/>
        <w:ind w:right="365" w:firstLine="360"/>
      </w:pPr>
      <w:r>
        <w:t>But, so it could be argued, the world would plunge into never-ending war if countries were allowed to save other nations from themselves by invading them</w:t>
      </w:r>
      <w:r>
        <w:rPr>
          <w:spacing w:val="-1"/>
        </w:rPr>
        <w:t xml:space="preserve"> </w:t>
      </w:r>
      <w:r>
        <w:t>and</w:t>
      </w:r>
      <w:r>
        <w:rPr>
          <w:spacing w:val="-1"/>
        </w:rPr>
        <w:t xml:space="preserve"> </w:t>
      </w:r>
      <w:r>
        <w:t>destroying</w:t>
      </w:r>
      <w:r>
        <w:rPr>
          <w:spacing w:val="-1"/>
        </w:rPr>
        <w:t xml:space="preserve"> </w:t>
      </w:r>
      <w:r>
        <w:t>their</w:t>
      </w:r>
      <w:r>
        <w:rPr>
          <w:spacing w:val="-1"/>
        </w:rPr>
        <w:t xml:space="preserve"> </w:t>
      </w:r>
      <w:r>
        <w:t>governments</w:t>
      </w:r>
      <w:bookmarkStart w:id="540" w:name="_bookmark540"/>
      <w:bookmarkEnd w:id="540"/>
      <w:r>
        <w:t>.</w:t>
      </w:r>
      <w:r>
        <w:rPr>
          <w:color w:val="0562C1"/>
          <w:position w:val="21"/>
          <w:u w:val="single" w:color="0562C1"/>
        </w:rPr>
        <w:t>[406]</w:t>
      </w:r>
      <w:r>
        <w:rPr>
          <w:color w:val="0562C1"/>
          <w:position w:val="21"/>
        </w:rPr>
        <w:t xml:space="preserve"> </w:t>
      </w:r>
      <w:r>
        <w:t>So such vigilantism, even when just, must be prohibited. Points of this kind are easily abbreviated with the help of expressions like “a nation’s inviolable right to self-govern.”</w:t>
      </w:r>
    </w:p>
    <w:p w14:paraId="7E0026C7" w14:textId="77777777" w:rsidR="009A58DB" w:rsidRDefault="00000000">
      <w:pPr>
        <w:pStyle w:val="BodyText"/>
        <w:spacing w:before="6" w:line="249" w:lineRule="auto"/>
        <w:ind w:right="359" w:firstLine="360"/>
      </w:pPr>
      <w:r>
        <w:t>Much talk of “civil liberties” is to be understood in rule-utilitarian terms.</w:t>
      </w:r>
      <w:r>
        <w:rPr>
          <w:spacing w:val="40"/>
        </w:rPr>
        <w:t xml:space="preserve"> </w:t>
      </w:r>
      <w:r>
        <w:t>Is it inherently wrong for a police officer to plant evidence on somebody who he knows to be a serial killer? Does that serial killer really have any of the “inviolable rights” listed in the Bill of Rights? No, and it wouldn’t be a miscarriage</w:t>
      </w:r>
      <w:r>
        <w:rPr>
          <w:spacing w:val="-1"/>
        </w:rPr>
        <w:t xml:space="preserve"> </w:t>
      </w:r>
      <w:r>
        <w:t>of</w:t>
      </w:r>
      <w:r>
        <w:rPr>
          <w:spacing w:val="-1"/>
        </w:rPr>
        <w:t xml:space="preserve"> </w:t>
      </w:r>
      <w:r>
        <w:t>justice</w:t>
      </w:r>
      <w:r>
        <w:rPr>
          <w:spacing w:val="-1"/>
        </w:rPr>
        <w:t xml:space="preserve"> </w:t>
      </w:r>
      <w:r>
        <w:t>to</w:t>
      </w:r>
      <w:r>
        <w:rPr>
          <w:spacing w:val="-1"/>
        </w:rPr>
        <w:t xml:space="preserve"> </w:t>
      </w:r>
      <w:r>
        <w:t>bend</w:t>
      </w:r>
      <w:r>
        <w:rPr>
          <w:spacing w:val="-1"/>
        </w:rPr>
        <w:t xml:space="preserve"> </w:t>
      </w:r>
      <w:r>
        <w:t>the</w:t>
      </w:r>
      <w:r>
        <w:rPr>
          <w:spacing w:val="-1"/>
        </w:rPr>
        <w:t xml:space="preserve"> </w:t>
      </w:r>
      <w:r>
        <w:t>rules</w:t>
      </w:r>
      <w:r>
        <w:rPr>
          <w:spacing w:val="-1"/>
        </w:rPr>
        <w:t xml:space="preserve"> </w:t>
      </w:r>
      <w:r>
        <w:t>a</w:t>
      </w:r>
      <w:r>
        <w:rPr>
          <w:spacing w:val="-1"/>
        </w:rPr>
        <w:t xml:space="preserve"> </w:t>
      </w:r>
      <w:r>
        <w:t>bit</w:t>
      </w:r>
      <w:r>
        <w:rPr>
          <w:spacing w:val="-2"/>
        </w:rPr>
        <w:t xml:space="preserve"> </w:t>
      </w:r>
      <w:r>
        <w:t>to</w:t>
      </w:r>
      <w:r>
        <w:rPr>
          <w:spacing w:val="-1"/>
        </w:rPr>
        <w:t xml:space="preserve"> </w:t>
      </w:r>
      <w:r>
        <w:t>put</w:t>
      </w:r>
      <w:r>
        <w:rPr>
          <w:spacing w:val="-2"/>
        </w:rPr>
        <w:t xml:space="preserve"> </w:t>
      </w:r>
      <w:r>
        <w:t>a</w:t>
      </w:r>
      <w:r>
        <w:rPr>
          <w:spacing w:val="-1"/>
        </w:rPr>
        <w:t xml:space="preserve"> </w:t>
      </w:r>
      <w:r>
        <w:t>homicidal</w:t>
      </w:r>
      <w:r>
        <w:rPr>
          <w:spacing w:val="-2"/>
        </w:rPr>
        <w:t xml:space="preserve"> </w:t>
      </w:r>
      <w:r>
        <w:t>maniac</w:t>
      </w:r>
      <w:r>
        <w:rPr>
          <w:spacing w:val="-1"/>
        </w:rPr>
        <w:t xml:space="preserve"> </w:t>
      </w:r>
      <w:r>
        <w:t>behind bars.</w:t>
      </w:r>
      <w:r>
        <w:rPr>
          <w:spacing w:val="-3"/>
        </w:rPr>
        <w:t xml:space="preserve"> </w:t>
      </w:r>
      <w:r>
        <w:rPr>
          <w:i/>
        </w:rPr>
        <w:t>But</w:t>
      </w:r>
      <w:r>
        <w:rPr>
          <w:i/>
          <w:spacing w:val="-3"/>
        </w:rPr>
        <w:t xml:space="preserve"> </w:t>
      </w:r>
      <w:r>
        <w:t>were such rule-bending permitted, bona fide miscarriages of justice would ensue. (For example, the police would start framing innocent people they didn’t like. And, in any case, the behavior of law-enforcement personnel</w:t>
      </w:r>
    </w:p>
    <w:p w14:paraId="7E0026C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C9" w14:textId="77777777" w:rsidR="009A58DB" w:rsidRDefault="00000000">
      <w:pPr>
        <w:pStyle w:val="BodyText"/>
        <w:spacing w:before="70" w:line="249" w:lineRule="auto"/>
        <w:ind w:right="359"/>
      </w:pPr>
      <w:r>
        <w:lastRenderedPageBreak/>
        <w:t>would become unpredictable. And the fact that it was unpredictable would lead to regressive social changes of many kinds.) So when it is said that this or that individual has these or those “inviolable civil liberties,” what is really being said doesn’t concern that individual at all, and is instead to the effect that certain practices that are acceptable on this or that occasion would have bad consequences if they were to become the norm.</w:t>
      </w:r>
    </w:p>
    <w:p w14:paraId="7E0026CA" w14:textId="77777777" w:rsidR="009A58DB" w:rsidRDefault="00000000">
      <w:pPr>
        <w:pStyle w:val="Heading1"/>
        <w:numPr>
          <w:ilvl w:val="2"/>
          <w:numId w:val="49"/>
        </w:numPr>
        <w:tabs>
          <w:tab w:val="left" w:pos="1305"/>
        </w:tabs>
        <w:spacing w:before="100"/>
      </w:pPr>
      <w:r>
        <w:t>Rule</w:t>
      </w:r>
      <w:r>
        <w:rPr>
          <w:spacing w:val="-8"/>
        </w:rPr>
        <w:t xml:space="preserve"> </w:t>
      </w:r>
      <w:r>
        <w:t>utilitarianism</w:t>
      </w:r>
      <w:r>
        <w:rPr>
          <w:spacing w:val="-7"/>
        </w:rPr>
        <w:t xml:space="preserve"> </w:t>
      </w:r>
      <w:r>
        <w:t>evaluated</w:t>
      </w:r>
      <w:r>
        <w:rPr>
          <w:spacing w:val="-7"/>
        </w:rPr>
        <w:t xml:space="preserve"> </w:t>
      </w:r>
      <w:r>
        <w:rPr>
          <w:spacing w:val="-2"/>
        </w:rPr>
        <w:t>(continued)</w:t>
      </w:r>
    </w:p>
    <w:p w14:paraId="7E0026CB" w14:textId="77777777" w:rsidR="009A58DB" w:rsidRDefault="00000000">
      <w:pPr>
        <w:pStyle w:val="BodyText"/>
        <w:spacing w:before="79" w:line="249" w:lineRule="auto"/>
        <w:ind w:right="359"/>
      </w:pPr>
      <w:r>
        <w:t xml:space="preserve">But despite its merits, RU isn’t quite satisfactory. If RU is right, a person’s right not to be vivisected is contingent on the fact that vivisecting him might lead to the vivisecting of many others and thus to rampant unhappiness. But surely vivisecting a person would be wrong </w:t>
      </w:r>
      <w:r>
        <w:rPr>
          <w:i/>
        </w:rPr>
        <w:t xml:space="preserve">even if </w:t>
      </w:r>
      <w:r>
        <w:t>it didn’t lead to the vivisecting of others. Preventing Beethoven from composing music would be wrong even it didn’t lead to other, comparable prohibitions. Preventing people from giving special attention to their friends and loved ones would be wrong even if doing so didn’t have unwanted ripple effects.</w:t>
      </w:r>
    </w:p>
    <w:p w14:paraId="7E0026CC" w14:textId="77777777" w:rsidR="009A58DB" w:rsidRDefault="00000000">
      <w:pPr>
        <w:pStyle w:val="BodyText"/>
        <w:spacing w:before="10" w:line="249" w:lineRule="auto"/>
        <w:ind w:right="359" w:firstLine="360"/>
      </w:pPr>
      <w:r>
        <w:t xml:space="preserve">Composing music is something that has </w:t>
      </w:r>
      <w:r>
        <w:rPr>
          <w:i/>
        </w:rPr>
        <w:t xml:space="preserve">intrinsic </w:t>
      </w:r>
      <w:r>
        <w:t>value. It’s a good unto itself.</w:t>
      </w:r>
      <w:r>
        <w:rPr>
          <w:spacing w:val="-3"/>
        </w:rPr>
        <w:t xml:space="preserve"> </w:t>
      </w:r>
      <w:r>
        <w:t>But</w:t>
      </w:r>
      <w:r>
        <w:rPr>
          <w:spacing w:val="-2"/>
        </w:rPr>
        <w:t xml:space="preserve"> </w:t>
      </w:r>
      <w:r>
        <w:t>RU</w:t>
      </w:r>
      <w:r>
        <w:rPr>
          <w:spacing w:val="-3"/>
        </w:rPr>
        <w:t xml:space="preserve"> </w:t>
      </w:r>
      <w:r>
        <w:t>can’t</w:t>
      </w:r>
      <w:r>
        <w:rPr>
          <w:spacing w:val="-2"/>
        </w:rPr>
        <w:t xml:space="preserve"> </w:t>
      </w:r>
      <w:r>
        <w:t>register</w:t>
      </w:r>
      <w:r>
        <w:rPr>
          <w:spacing w:val="-3"/>
        </w:rPr>
        <w:t xml:space="preserve"> </w:t>
      </w:r>
      <w:r>
        <w:t>this</w:t>
      </w:r>
      <w:r>
        <w:rPr>
          <w:spacing w:val="-2"/>
        </w:rPr>
        <w:t xml:space="preserve"> </w:t>
      </w:r>
      <w:r>
        <w:t>fact.</w:t>
      </w:r>
      <w:r>
        <w:rPr>
          <w:spacing w:val="-2"/>
        </w:rPr>
        <w:t xml:space="preserve"> </w:t>
      </w:r>
      <w:r>
        <w:t>To</w:t>
      </w:r>
      <w:r>
        <w:rPr>
          <w:spacing w:val="-3"/>
        </w:rPr>
        <w:t xml:space="preserve"> </w:t>
      </w:r>
      <w:r>
        <w:t>the</w:t>
      </w:r>
      <w:r>
        <w:rPr>
          <w:spacing w:val="-2"/>
        </w:rPr>
        <w:t xml:space="preserve"> </w:t>
      </w:r>
      <w:r>
        <w:t>extent</w:t>
      </w:r>
      <w:r>
        <w:rPr>
          <w:spacing w:val="-3"/>
        </w:rPr>
        <w:t xml:space="preserve"> </w:t>
      </w:r>
      <w:r>
        <w:t>that</w:t>
      </w:r>
      <w:r>
        <w:rPr>
          <w:spacing w:val="-2"/>
        </w:rPr>
        <w:t xml:space="preserve"> </w:t>
      </w:r>
      <w:r>
        <w:t>RU</w:t>
      </w:r>
      <w:r>
        <w:rPr>
          <w:spacing w:val="-3"/>
        </w:rPr>
        <w:t xml:space="preserve"> </w:t>
      </w:r>
      <w:r>
        <w:t>can</w:t>
      </w:r>
      <w:r>
        <w:rPr>
          <w:spacing w:val="-2"/>
        </w:rPr>
        <w:t xml:space="preserve"> </w:t>
      </w:r>
      <w:r>
        <w:t>recognize</w:t>
      </w:r>
      <w:r>
        <w:rPr>
          <w:spacing w:val="-2"/>
        </w:rPr>
        <w:t xml:space="preserve"> </w:t>
      </w:r>
      <w:r>
        <w:t>any value in Beethoven’s work, it is of a purely instrumental kind. So far as that work has value, says RU, it lies in the fact that thwarting might set off a</w:t>
      </w:r>
      <w:r>
        <w:rPr>
          <w:spacing w:val="40"/>
        </w:rPr>
        <w:t xml:space="preserve"> </w:t>
      </w:r>
      <w:r>
        <w:t>ripple effect which would lead to mass-unhappiness. SRU is systemically incapable of seeing the value of Beethoven’s aspirations for what it is; it’s systemically incapable of conceding any sort of intrinsic value to most of the things that we think to have such value (relationships, personal goals, and life itself). Thus, RU is false.</w:t>
      </w:r>
    </w:p>
    <w:p w14:paraId="7E0026CD" w14:textId="77777777" w:rsidR="009A58DB" w:rsidRDefault="00000000">
      <w:pPr>
        <w:pStyle w:val="BodyText"/>
        <w:spacing w:before="11" w:line="249" w:lineRule="auto"/>
        <w:ind w:right="362" w:firstLine="360"/>
      </w:pPr>
      <w:r>
        <w:t xml:space="preserve">Composing music is something that has </w:t>
      </w:r>
      <w:r>
        <w:rPr>
          <w:i/>
        </w:rPr>
        <w:t xml:space="preserve">intrinsic </w:t>
      </w:r>
      <w:r>
        <w:t xml:space="preserve">value. It’s a good unto itself. But RU is inconsistent with this fact. According to RU, Beethoven’s musical activity has value </w:t>
      </w:r>
      <w:r>
        <w:rPr>
          <w:i/>
        </w:rPr>
        <w:t xml:space="preserve">only </w:t>
      </w:r>
      <w:r>
        <w:t xml:space="preserve">to the extent that preventing him from engaging in it might set off a ripple effect that would lead to mass-unhappiness. RU is blind to what is </w:t>
      </w:r>
      <w:r>
        <w:rPr>
          <w:i/>
        </w:rPr>
        <w:t xml:space="preserve">actually </w:t>
      </w:r>
      <w:r>
        <w:t xml:space="preserve">of value in Beethoven’s work. It’s similarly blind to what is </w:t>
      </w:r>
      <w:r>
        <w:rPr>
          <w:i/>
        </w:rPr>
        <w:t xml:space="preserve">actually </w:t>
      </w:r>
      <w:r>
        <w:t>of value in being healthy (and, therefore, in not being vivisected) and in having meaningful relationships. Thus, RU is false.</w:t>
      </w:r>
    </w:p>
    <w:p w14:paraId="7E0026CE" w14:textId="77777777" w:rsidR="009A58DB" w:rsidRDefault="00000000">
      <w:pPr>
        <w:pStyle w:val="Heading1"/>
        <w:numPr>
          <w:ilvl w:val="0"/>
          <w:numId w:val="49"/>
        </w:numPr>
        <w:tabs>
          <w:tab w:val="left" w:pos="990"/>
        </w:tabs>
        <w:spacing w:before="198"/>
      </w:pPr>
      <w:r>
        <w:t>The</w:t>
      </w:r>
      <w:r>
        <w:rPr>
          <w:spacing w:val="-6"/>
        </w:rPr>
        <w:t xml:space="preserve"> </w:t>
      </w:r>
      <w:r>
        <w:t>deontological</w:t>
      </w:r>
      <w:r>
        <w:rPr>
          <w:spacing w:val="-5"/>
        </w:rPr>
        <w:t xml:space="preserve"> </w:t>
      </w:r>
      <w:r>
        <w:rPr>
          <w:spacing w:val="-2"/>
        </w:rPr>
        <w:t>approach</w:t>
      </w:r>
    </w:p>
    <w:p w14:paraId="7E0026CF" w14:textId="77777777" w:rsidR="009A58DB" w:rsidRDefault="009A58DB">
      <w:pPr>
        <w:pStyle w:val="Heading1"/>
        <w:sectPr w:rsidR="009A58DB">
          <w:pgSz w:w="12240" w:h="15840"/>
          <w:pgMar w:top="1380" w:right="1080" w:bottom="280" w:left="1080" w:header="720" w:footer="720" w:gutter="0"/>
          <w:cols w:space="720"/>
        </w:sectPr>
      </w:pPr>
    </w:p>
    <w:p w14:paraId="7E0026D0" w14:textId="77777777" w:rsidR="009A58DB" w:rsidRDefault="00000000">
      <w:pPr>
        <w:pStyle w:val="BodyText"/>
        <w:spacing w:before="65" w:line="249" w:lineRule="auto"/>
        <w:ind w:right="361"/>
      </w:pPr>
      <w:r>
        <w:lastRenderedPageBreak/>
        <w:t>Utilitarianism</w:t>
      </w:r>
      <w:r>
        <w:rPr>
          <w:spacing w:val="-4"/>
        </w:rPr>
        <w:t xml:space="preserve"> </w:t>
      </w:r>
      <w:r>
        <w:t>is</w:t>
      </w:r>
      <w:r>
        <w:rPr>
          <w:spacing w:val="-4"/>
        </w:rPr>
        <w:t xml:space="preserve"> </w:t>
      </w:r>
      <w:r>
        <w:t>a</w:t>
      </w:r>
      <w:r>
        <w:rPr>
          <w:spacing w:val="-4"/>
        </w:rPr>
        <w:t xml:space="preserve"> </w:t>
      </w:r>
      <w:r>
        <w:t>form</w:t>
      </w:r>
      <w:r>
        <w:rPr>
          <w:spacing w:val="-4"/>
        </w:rPr>
        <w:t xml:space="preserve"> </w:t>
      </w:r>
      <w:r>
        <w:t>of</w:t>
      </w:r>
      <w:r>
        <w:rPr>
          <w:spacing w:val="-4"/>
        </w:rPr>
        <w:t xml:space="preserve"> </w:t>
      </w:r>
      <w:r>
        <w:rPr>
          <w:b/>
          <w:i/>
        </w:rPr>
        <w:t>consequentialism.</w:t>
      </w:r>
      <w:r>
        <w:rPr>
          <w:b/>
          <w:i/>
          <w:spacing w:val="-3"/>
        </w:rPr>
        <w:t xml:space="preserve"> </w:t>
      </w:r>
      <w:r>
        <w:t>This is the doctrine for an act to be good is for it to have certain effects. An act is right, says utilitarianism, if</w:t>
      </w:r>
      <w:r>
        <w:rPr>
          <w:spacing w:val="40"/>
        </w:rPr>
        <w:t xml:space="preserve"> </w:t>
      </w:r>
      <w:r>
        <w:t>it maximizes human welfare.</w:t>
      </w:r>
    </w:p>
    <w:p w14:paraId="7E0026D1" w14:textId="77777777" w:rsidR="009A58DB" w:rsidRDefault="00000000">
      <w:pPr>
        <w:pStyle w:val="BodyText"/>
        <w:spacing w:before="3" w:line="249" w:lineRule="auto"/>
        <w:ind w:right="363" w:firstLine="360"/>
      </w:pPr>
      <w:r>
        <w:t xml:space="preserve">According to </w:t>
      </w:r>
      <w:r>
        <w:rPr>
          <w:b/>
          <w:i/>
        </w:rPr>
        <w:t xml:space="preserve">deontological </w:t>
      </w:r>
      <w:r>
        <w:t>theories of ethics, for an act to be morally right is for it to be in compliance with the agent’s duties and obligations to others. An example of such a theory is Kant’s contention that:</w:t>
      </w:r>
    </w:p>
    <w:p w14:paraId="7E0026D2" w14:textId="77777777" w:rsidR="009A58DB" w:rsidRDefault="009A58DB">
      <w:pPr>
        <w:pStyle w:val="BodyText"/>
        <w:spacing w:before="19"/>
        <w:ind w:left="0"/>
        <w:jc w:val="left"/>
      </w:pPr>
    </w:p>
    <w:p w14:paraId="7E0026D3" w14:textId="77777777" w:rsidR="009A58DB" w:rsidRDefault="00000000">
      <w:pPr>
        <w:pStyle w:val="BodyText"/>
        <w:spacing w:line="271" w:lineRule="auto"/>
        <w:ind w:right="363"/>
        <w:rPr>
          <w:position w:val="21"/>
        </w:rPr>
      </w:pPr>
      <w:r>
        <w:t>(CI</w:t>
      </w:r>
      <w:r>
        <w:rPr>
          <w:vertAlign w:val="subscript"/>
        </w:rPr>
        <w:t>2</w:t>
      </w:r>
      <w:r>
        <w:t>) An act is wrong if it’s a case of treating a person as an object, not a subject,</w:t>
      </w:r>
      <w:r>
        <w:rPr>
          <w:spacing w:val="-1"/>
        </w:rPr>
        <w:t xml:space="preserve"> </w:t>
      </w:r>
      <w:r>
        <w:t>and</w:t>
      </w:r>
      <w:r>
        <w:rPr>
          <w:spacing w:val="-1"/>
        </w:rPr>
        <w:t xml:space="preserve"> </w:t>
      </w:r>
      <w:r>
        <w:t>an</w:t>
      </w:r>
      <w:r>
        <w:rPr>
          <w:spacing w:val="-1"/>
        </w:rPr>
        <w:t xml:space="preserve"> </w:t>
      </w:r>
      <w:r>
        <w:t>act</w:t>
      </w:r>
      <w:r>
        <w:rPr>
          <w:spacing w:val="-1"/>
        </w:rPr>
        <w:t xml:space="preserve"> </w:t>
      </w:r>
      <w:r>
        <w:t>is</w:t>
      </w:r>
      <w:r>
        <w:rPr>
          <w:spacing w:val="-1"/>
        </w:rPr>
        <w:t xml:space="preserve"> </w:t>
      </w:r>
      <w:r>
        <w:t>right</w:t>
      </w:r>
      <w:r>
        <w:rPr>
          <w:spacing w:val="-1"/>
        </w:rPr>
        <w:t xml:space="preserve"> </w:t>
      </w:r>
      <w:r>
        <w:t>if</w:t>
      </w:r>
      <w:r>
        <w:rPr>
          <w:spacing w:val="-1"/>
        </w:rPr>
        <w:t xml:space="preserve"> </w:t>
      </w:r>
      <w:r>
        <w:t>it’s</w:t>
      </w:r>
      <w:r>
        <w:rPr>
          <w:spacing w:val="-1"/>
        </w:rPr>
        <w:t xml:space="preserve"> </w:t>
      </w:r>
      <w:r>
        <w:t>a</w:t>
      </w:r>
      <w:r>
        <w:rPr>
          <w:spacing w:val="-1"/>
        </w:rPr>
        <w:t xml:space="preserve"> </w:t>
      </w:r>
      <w:r>
        <w:t>case</w:t>
      </w:r>
      <w:r>
        <w:rPr>
          <w:spacing w:val="-1"/>
        </w:rPr>
        <w:t xml:space="preserve"> </w:t>
      </w:r>
      <w:r>
        <w:t>of</w:t>
      </w:r>
      <w:r>
        <w:rPr>
          <w:spacing w:val="-1"/>
        </w:rPr>
        <w:t xml:space="preserve"> </w:t>
      </w:r>
      <w:r>
        <w:t>treating</w:t>
      </w:r>
      <w:r>
        <w:rPr>
          <w:spacing w:val="-1"/>
        </w:rPr>
        <w:t xml:space="preserve"> </w:t>
      </w:r>
      <w:r>
        <w:t>a</w:t>
      </w:r>
      <w:r>
        <w:rPr>
          <w:spacing w:val="-1"/>
        </w:rPr>
        <w:t xml:space="preserve"> </w:t>
      </w:r>
      <w:r>
        <w:t>person</w:t>
      </w:r>
      <w:r>
        <w:rPr>
          <w:spacing w:val="-1"/>
        </w:rPr>
        <w:t xml:space="preserve"> </w:t>
      </w:r>
      <w:r>
        <w:t>as</w:t>
      </w:r>
      <w:r>
        <w:rPr>
          <w:spacing w:val="-1"/>
        </w:rPr>
        <w:t xml:space="preserve"> </w:t>
      </w:r>
      <w:r>
        <w:t>a</w:t>
      </w:r>
      <w:r>
        <w:rPr>
          <w:spacing w:val="-1"/>
        </w:rPr>
        <w:t xml:space="preserve"> </w:t>
      </w:r>
      <w:r>
        <w:t>subject</w:t>
      </w:r>
      <w:r>
        <w:rPr>
          <w:spacing w:val="-1"/>
        </w:rPr>
        <w:t xml:space="preserve"> </w:t>
      </w:r>
      <w:r>
        <w:t>not</w:t>
      </w:r>
      <w:r>
        <w:rPr>
          <w:spacing w:val="-1"/>
        </w:rPr>
        <w:t xml:space="preserve"> </w:t>
      </w:r>
      <w:r>
        <w:t xml:space="preserve">an </w:t>
      </w:r>
      <w:r>
        <w:rPr>
          <w:spacing w:val="-2"/>
        </w:rPr>
        <w:t>object</w:t>
      </w:r>
      <w:bookmarkStart w:id="541" w:name="_bookmark541"/>
      <w:bookmarkEnd w:id="541"/>
      <w:r>
        <w:rPr>
          <w:spacing w:val="-2"/>
        </w:rPr>
        <w:t>.</w:t>
      </w:r>
      <w:r>
        <w:rPr>
          <w:color w:val="0562C1"/>
          <w:spacing w:val="-2"/>
          <w:position w:val="21"/>
          <w:u w:val="single" w:color="0562C1"/>
        </w:rPr>
        <w:t>[407]</w:t>
      </w:r>
    </w:p>
    <w:p w14:paraId="7E0026D4" w14:textId="77777777" w:rsidR="009A58DB" w:rsidRDefault="00000000">
      <w:pPr>
        <w:pStyle w:val="BodyText"/>
        <w:spacing w:before="331" w:line="292" w:lineRule="auto"/>
        <w:ind w:right="365" w:firstLine="360"/>
      </w:pPr>
      <w:r>
        <w:t>If</w:t>
      </w:r>
      <w:r>
        <w:rPr>
          <w:spacing w:val="-2"/>
        </w:rPr>
        <w:t xml:space="preserve"> </w:t>
      </w:r>
      <w:r>
        <w:t>CI</w:t>
      </w:r>
      <w:r>
        <w:rPr>
          <w:vertAlign w:val="subscript"/>
        </w:rPr>
        <w:t>2</w:t>
      </w:r>
      <w:r>
        <w:t xml:space="preserve"> is right, what makes an act right is not that it has certain effects, but that it embodies a certain respect for others.</w:t>
      </w:r>
    </w:p>
    <w:p w14:paraId="7E0026D5" w14:textId="77777777" w:rsidR="009A58DB" w:rsidRDefault="00000000">
      <w:pPr>
        <w:pStyle w:val="BodyText"/>
        <w:spacing w:line="283" w:lineRule="exact"/>
        <w:ind w:left="720"/>
      </w:pPr>
      <w:r>
        <w:t>According</w:t>
      </w:r>
      <w:r>
        <w:rPr>
          <w:spacing w:val="42"/>
        </w:rPr>
        <w:t xml:space="preserve"> </w:t>
      </w:r>
      <w:r>
        <w:t>to</w:t>
      </w:r>
      <w:r>
        <w:rPr>
          <w:spacing w:val="43"/>
        </w:rPr>
        <w:t xml:space="preserve"> </w:t>
      </w:r>
      <w:r>
        <w:t>the</w:t>
      </w:r>
      <w:r>
        <w:rPr>
          <w:spacing w:val="43"/>
        </w:rPr>
        <w:t xml:space="preserve"> </w:t>
      </w:r>
      <w:r>
        <w:t>consequentialist,</w:t>
      </w:r>
      <w:r>
        <w:rPr>
          <w:spacing w:val="42"/>
        </w:rPr>
        <w:t xml:space="preserve"> </w:t>
      </w:r>
      <w:r>
        <w:t>the</w:t>
      </w:r>
      <w:r>
        <w:rPr>
          <w:spacing w:val="43"/>
        </w:rPr>
        <w:t xml:space="preserve"> </w:t>
      </w:r>
      <w:r>
        <w:t>ends</w:t>
      </w:r>
      <w:r>
        <w:rPr>
          <w:spacing w:val="43"/>
        </w:rPr>
        <w:t xml:space="preserve"> </w:t>
      </w:r>
      <w:r>
        <w:t>justify</w:t>
      </w:r>
      <w:r>
        <w:rPr>
          <w:spacing w:val="42"/>
        </w:rPr>
        <w:t xml:space="preserve"> </w:t>
      </w:r>
      <w:r>
        <w:t>the</w:t>
      </w:r>
      <w:r>
        <w:rPr>
          <w:spacing w:val="43"/>
        </w:rPr>
        <w:t xml:space="preserve"> </w:t>
      </w:r>
      <w:r>
        <w:t>means.</w:t>
      </w:r>
      <w:r>
        <w:rPr>
          <w:spacing w:val="43"/>
        </w:rPr>
        <w:t xml:space="preserve"> </w:t>
      </w:r>
      <w:r>
        <w:rPr>
          <w:spacing w:val="-2"/>
        </w:rPr>
        <w:t>Anything</w:t>
      </w:r>
    </w:p>
    <w:p w14:paraId="7E0026D6" w14:textId="77777777" w:rsidR="009A58DB" w:rsidRDefault="00000000">
      <w:pPr>
        <w:pStyle w:val="BodyText"/>
        <w:spacing w:before="15" w:line="249" w:lineRule="auto"/>
        <w:ind w:right="366"/>
      </w:pPr>
      <w:r>
        <w:t>that makes the world a better place is justified, says the consequentialist. If burning innocent children alive is what does the trick, then do it.</w:t>
      </w:r>
    </w:p>
    <w:p w14:paraId="7E0026D7" w14:textId="77777777" w:rsidR="009A58DB" w:rsidRDefault="00000000">
      <w:pPr>
        <w:pStyle w:val="BodyText"/>
        <w:spacing w:before="2" w:line="249" w:lineRule="auto"/>
        <w:ind w:right="361" w:firstLine="360"/>
      </w:pPr>
      <w:r>
        <w:t>The deontologist rejects this. Those children have rights. The are ends</w:t>
      </w:r>
      <w:r>
        <w:rPr>
          <w:spacing w:val="40"/>
        </w:rPr>
        <w:t xml:space="preserve"> </w:t>
      </w:r>
      <w:r>
        <w:t>unto themselves. They aren’t to be used—even if the use to which they are put is the betterment of the human condition.</w:t>
      </w:r>
    </w:p>
    <w:p w14:paraId="7E0026D8" w14:textId="77777777" w:rsidR="009A58DB" w:rsidRDefault="00000000">
      <w:pPr>
        <w:pStyle w:val="BodyText"/>
        <w:spacing w:before="4" w:line="249" w:lineRule="auto"/>
        <w:ind w:right="366" w:firstLine="360"/>
        <w:rPr>
          <w:position w:val="21"/>
        </w:rPr>
      </w:pPr>
      <w:r>
        <w:t xml:space="preserve">While reading what follows, it’s important to bear in mind that utilitarianism isn’t the only form of consequentialism. Some of the just-stated anti-utilitarian arguments are persuasive, and I am convinced by them. It’s </w:t>
      </w:r>
      <w:r>
        <w:rPr>
          <w:i/>
        </w:rPr>
        <w:t>inherently</w:t>
      </w:r>
      <w:r>
        <w:rPr>
          <w:i/>
          <w:spacing w:val="-4"/>
        </w:rPr>
        <w:t xml:space="preserve"> </w:t>
      </w:r>
      <w:r>
        <w:t>wrong to prevent Beethoven from composing. The wrongness of it isn’t contingent on some presumed ripple effect. But this shows only that utilitarianism is wrong, not that all forms of consequentialism are.</w:t>
      </w:r>
      <w:bookmarkStart w:id="542" w:name="_bookmark542"/>
      <w:bookmarkEnd w:id="542"/>
      <w:r>
        <w:rPr>
          <w:color w:val="0562C1"/>
          <w:position w:val="21"/>
          <w:u w:val="single" w:color="0562C1"/>
        </w:rPr>
        <w:t>[408]</w:t>
      </w:r>
    </w:p>
    <w:p w14:paraId="7E0026D9" w14:textId="77777777" w:rsidR="009A58DB" w:rsidRDefault="00000000">
      <w:pPr>
        <w:pStyle w:val="Heading1"/>
        <w:numPr>
          <w:ilvl w:val="1"/>
          <w:numId w:val="49"/>
        </w:numPr>
        <w:tabs>
          <w:tab w:val="left" w:pos="990"/>
        </w:tabs>
        <w:spacing w:before="195"/>
      </w:pPr>
      <w:r>
        <w:t>Limitations</w:t>
      </w:r>
      <w:r>
        <w:rPr>
          <w:spacing w:val="-8"/>
        </w:rPr>
        <w:t xml:space="preserve"> </w:t>
      </w:r>
      <w:r>
        <w:t>of</w:t>
      </w:r>
      <w:r>
        <w:rPr>
          <w:spacing w:val="-5"/>
        </w:rPr>
        <w:t xml:space="preserve"> </w:t>
      </w:r>
      <w:r>
        <w:t>the</w:t>
      </w:r>
      <w:r>
        <w:rPr>
          <w:spacing w:val="-5"/>
        </w:rPr>
        <w:t xml:space="preserve"> </w:t>
      </w:r>
      <w:r>
        <w:t>deontological</w:t>
      </w:r>
      <w:r>
        <w:rPr>
          <w:spacing w:val="-5"/>
        </w:rPr>
        <w:t xml:space="preserve"> </w:t>
      </w:r>
      <w:r>
        <w:rPr>
          <w:spacing w:val="-2"/>
        </w:rPr>
        <w:t>approach</w:t>
      </w:r>
    </w:p>
    <w:p w14:paraId="7E0026DA" w14:textId="77777777" w:rsidR="009A58DB" w:rsidRDefault="00000000">
      <w:pPr>
        <w:pStyle w:val="BodyText"/>
        <w:spacing w:before="139" w:line="249" w:lineRule="auto"/>
        <w:ind w:right="362"/>
      </w:pPr>
      <w:r>
        <w:t>In low-stakes situations, the deontological approach seems reasonable. You promised to meet an old friend for lunch. For whatever reason, you’d be doing the world slightly more good by breaking that date than by keeping it. But you should still keep it. A promise is a promise.</w:t>
      </w:r>
    </w:p>
    <w:p w14:paraId="7E0026DB" w14:textId="77777777" w:rsidR="009A58DB" w:rsidRDefault="00000000">
      <w:pPr>
        <w:pStyle w:val="BodyText"/>
        <w:spacing w:before="5" w:line="249" w:lineRule="auto"/>
        <w:ind w:right="358" w:firstLine="360"/>
      </w:pPr>
      <w:r>
        <w:t>But when the stakes are high, consequentialism is clearly the right doctrine. If you have to break the lunch date to save a life, you should break it.</w:t>
      </w:r>
      <w:r>
        <w:rPr>
          <w:spacing w:val="-1"/>
        </w:rPr>
        <w:t xml:space="preserve"> </w:t>
      </w:r>
      <w:r>
        <w:t>If</w:t>
      </w:r>
      <w:r>
        <w:rPr>
          <w:spacing w:val="-2"/>
        </w:rPr>
        <w:t xml:space="preserve"> </w:t>
      </w:r>
      <w:r>
        <w:t>you</w:t>
      </w:r>
      <w:r>
        <w:rPr>
          <w:spacing w:val="-1"/>
        </w:rPr>
        <w:t xml:space="preserve"> </w:t>
      </w:r>
      <w:r>
        <w:t>have</w:t>
      </w:r>
      <w:r>
        <w:rPr>
          <w:spacing w:val="-2"/>
        </w:rPr>
        <w:t xml:space="preserve"> </w:t>
      </w:r>
      <w:r>
        <w:t>to</w:t>
      </w:r>
      <w:r>
        <w:rPr>
          <w:spacing w:val="-1"/>
        </w:rPr>
        <w:t xml:space="preserve"> </w:t>
      </w:r>
      <w:r>
        <w:t>kill</w:t>
      </w:r>
      <w:r>
        <w:rPr>
          <w:spacing w:val="-2"/>
        </w:rPr>
        <w:t xml:space="preserve"> </w:t>
      </w:r>
      <w:r>
        <w:t>one</w:t>
      </w:r>
      <w:r>
        <w:rPr>
          <w:spacing w:val="-2"/>
        </w:rPr>
        <w:t xml:space="preserve"> </w:t>
      </w:r>
      <w:r>
        <w:t>person</w:t>
      </w:r>
      <w:r>
        <w:rPr>
          <w:spacing w:val="-1"/>
        </w:rPr>
        <w:t xml:space="preserve"> </w:t>
      </w:r>
      <w:r>
        <w:t>to</w:t>
      </w:r>
      <w:r>
        <w:rPr>
          <w:spacing w:val="-1"/>
        </w:rPr>
        <w:t xml:space="preserve"> </w:t>
      </w:r>
      <w:r>
        <w:t>save</w:t>
      </w:r>
      <w:r>
        <w:rPr>
          <w:spacing w:val="-2"/>
        </w:rPr>
        <w:t xml:space="preserve"> </w:t>
      </w:r>
      <w:r>
        <w:t>a</w:t>
      </w:r>
      <w:r>
        <w:rPr>
          <w:spacing w:val="-2"/>
        </w:rPr>
        <w:t xml:space="preserve"> </w:t>
      </w:r>
      <w:r>
        <w:t>million,</w:t>
      </w:r>
      <w:r>
        <w:rPr>
          <w:spacing w:val="-1"/>
        </w:rPr>
        <w:t xml:space="preserve"> </w:t>
      </w:r>
      <w:r>
        <w:t>you</w:t>
      </w:r>
      <w:r>
        <w:rPr>
          <w:spacing w:val="-1"/>
        </w:rPr>
        <w:t xml:space="preserve"> </w:t>
      </w:r>
      <w:r>
        <w:t>should</w:t>
      </w:r>
      <w:r>
        <w:rPr>
          <w:spacing w:val="-1"/>
        </w:rPr>
        <w:t xml:space="preserve"> </w:t>
      </w:r>
      <w:r>
        <w:t>kill</w:t>
      </w:r>
      <w:r>
        <w:rPr>
          <w:spacing w:val="-2"/>
        </w:rPr>
        <w:t xml:space="preserve"> </w:t>
      </w:r>
      <w:r>
        <w:t>that</w:t>
      </w:r>
      <w:r>
        <w:rPr>
          <w:spacing w:val="-2"/>
        </w:rPr>
        <w:t xml:space="preserve"> </w:t>
      </w:r>
      <w:r>
        <w:t>person.</w:t>
      </w:r>
    </w:p>
    <w:p w14:paraId="7E0026D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DD" w14:textId="77777777" w:rsidR="009A58DB" w:rsidRDefault="00000000">
      <w:pPr>
        <w:pStyle w:val="BodyText"/>
        <w:spacing w:before="65" w:line="249" w:lineRule="auto"/>
        <w:ind w:right="359" w:firstLine="360"/>
      </w:pPr>
      <w:r>
        <w:lastRenderedPageBreak/>
        <w:t>This suggests that, to the extent that it’s distinct from consequentialism, the</w:t>
      </w:r>
      <w:r>
        <w:rPr>
          <w:spacing w:val="-3"/>
        </w:rPr>
        <w:t xml:space="preserve"> </w:t>
      </w:r>
      <w:r>
        <w:t>deontological</w:t>
      </w:r>
      <w:r>
        <w:rPr>
          <w:spacing w:val="-3"/>
        </w:rPr>
        <w:t xml:space="preserve"> </w:t>
      </w:r>
      <w:r>
        <w:t>approach</w:t>
      </w:r>
      <w:r>
        <w:rPr>
          <w:spacing w:val="-3"/>
        </w:rPr>
        <w:t xml:space="preserve"> </w:t>
      </w:r>
      <w:r>
        <w:t>is</w:t>
      </w:r>
      <w:r>
        <w:rPr>
          <w:spacing w:val="-3"/>
        </w:rPr>
        <w:t xml:space="preserve"> </w:t>
      </w:r>
      <w:r>
        <w:t>incoherent.</w:t>
      </w:r>
      <w:r>
        <w:rPr>
          <w:spacing w:val="-3"/>
        </w:rPr>
        <w:t xml:space="preserve"> </w:t>
      </w:r>
      <w:r>
        <w:t>By</w:t>
      </w:r>
      <w:r>
        <w:rPr>
          <w:spacing w:val="-3"/>
        </w:rPr>
        <w:t xml:space="preserve"> </w:t>
      </w:r>
      <w:r>
        <w:t>letting</w:t>
      </w:r>
      <w:r>
        <w:rPr>
          <w:spacing w:val="-3"/>
        </w:rPr>
        <w:t xml:space="preserve"> </w:t>
      </w:r>
      <w:r>
        <w:t>a</w:t>
      </w:r>
      <w:r>
        <w:rPr>
          <w:spacing w:val="-3"/>
        </w:rPr>
        <w:t xml:space="preserve"> </w:t>
      </w:r>
      <w:r>
        <w:t>million</w:t>
      </w:r>
      <w:r>
        <w:rPr>
          <w:spacing w:val="-3"/>
        </w:rPr>
        <w:t xml:space="preserve"> </w:t>
      </w:r>
      <w:r>
        <w:t>people</w:t>
      </w:r>
      <w:r>
        <w:rPr>
          <w:spacing w:val="-3"/>
        </w:rPr>
        <w:t xml:space="preserve"> </w:t>
      </w:r>
      <w:r>
        <w:t>perish</w:t>
      </w:r>
      <w:r>
        <w:rPr>
          <w:spacing w:val="-3"/>
        </w:rPr>
        <w:t xml:space="preserve"> </w:t>
      </w:r>
      <w:r>
        <w:t xml:space="preserve">to save one, you’re violating </w:t>
      </w:r>
      <w:r>
        <w:rPr>
          <w:i/>
        </w:rPr>
        <w:t xml:space="preserve">their </w:t>
      </w:r>
      <w:r>
        <w:t>rights. The utilitarian approach doesn’t lead</w:t>
      </w:r>
      <w:r>
        <w:rPr>
          <w:spacing w:val="40"/>
        </w:rPr>
        <w:t xml:space="preserve"> </w:t>
      </w:r>
      <w:r>
        <w:t>to such gross rights violations and is thus, after a fashion, more deontological than deontology itself!</w:t>
      </w:r>
    </w:p>
    <w:p w14:paraId="7E0026DE" w14:textId="77777777" w:rsidR="009A58DB" w:rsidRDefault="00000000">
      <w:pPr>
        <w:pStyle w:val="Heading1"/>
        <w:numPr>
          <w:ilvl w:val="1"/>
          <w:numId w:val="49"/>
        </w:numPr>
        <w:tabs>
          <w:tab w:val="left" w:pos="990"/>
        </w:tabs>
        <w:spacing w:before="194"/>
      </w:pPr>
      <w:r>
        <w:t>Rule</w:t>
      </w:r>
      <w:r>
        <w:rPr>
          <w:spacing w:val="-8"/>
        </w:rPr>
        <w:t xml:space="preserve"> </w:t>
      </w:r>
      <w:r>
        <w:t>utilitarianism</w:t>
      </w:r>
      <w:r>
        <w:rPr>
          <w:spacing w:val="-8"/>
        </w:rPr>
        <w:t xml:space="preserve"> </w:t>
      </w:r>
      <w:r>
        <w:rPr>
          <w:spacing w:val="-2"/>
        </w:rPr>
        <w:t>revisited</w:t>
      </w:r>
    </w:p>
    <w:p w14:paraId="7E0026DF" w14:textId="77777777" w:rsidR="009A58DB" w:rsidRDefault="00000000">
      <w:pPr>
        <w:pStyle w:val="BodyText"/>
        <w:spacing w:before="139" w:line="249" w:lineRule="auto"/>
        <w:ind w:right="358"/>
      </w:pPr>
      <w:r>
        <w:t>Now that we’ve discussed the deontological approach, we can identify a problem with RU that we weren’t in a position to discuss earlier. Depending on how it’s interpreted, RU collapses into either act-utilitarianism or deontology. There will inevitably be cases where one should break rules that are otherwise worth obeying. There will be times when the evidence must be planted, when lies must be told, when rights must be violated, when confidences must be broken. Planting evidence to convict a serial killer isn’t good—but</w:t>
      </w:r>
      <w:r>
        <w:rPr>
          <w:spacing w:val="-2"/>
        </w:rPr>
        <w:t xml:space="preserve"> </w:t>
      </w:r>
      <w:r>
        <w:t>it’s</w:t>
      </w:r>
      <w:r>
        <w:rPr>
          <w:spacing w:val="-3"/>
        </w:rPr>
        <w:t xml:space="preserve"> </w:t>
      </w:r>
      <w:r>
        <w:t>not</w:t>
      </w:r>
      <w:r>
        <w:rPr>
          <w:spacing w:val="-2"/>
        </w:rPr>
        <w:t xml:space="preserve"> </w:t>
      </w:r>
      <w:r>
        <w:t>as</w:t>
      </w:r>
      <w:r>
        <w:rPr>
          <w:spacing w:val="-2"/>
        </w:rPr>
        <w:t xml:space="preserve"> </w:t>
      </w:r>
      <w:r>
        <w:t>bad</w:t>
      </w:r>
      <w:r>
        <w:rPr>
          <w:spacing w:val="-2"/>
        </w:rPr>
        <w:t xml:space="preserve"> </w:t>
      </w:r>
      <w:r>
        <w:t>as</w:t>
      </w:r>
      <w:r>
        <w:rPr>
          <w:spacing w:val="-3"/>
        </w:rPr>
        <w:t xml:space="preserve"> </w:t>
      </w:r>
      <w:r>
        <w:t>what</w:t>
      </w:r>
      <w:r>
        <w:rPr>
          <w:spacing w:val="-2"/>
        </w:rPr>
        <w:t xml:space="preserve"> </w:t>
      </w:r>
      <w:r>
        <w:t>the</w:t>
      </w:r>
      <w:r>
        <w:rPr>
          <w:spacing w:val="-2"/>
        </w:rPr>
        <w:t xml:space="preserve"> </w:t>
      </w:r>
      <w:r>
        <w:t>serial</w:t>
      </w:r>
      <w:r>
        <w:rPr>
          <w:spacing w:val="-2"/>
        </w:rPr>
        <w:t xml:space="preserve"> </w:t>
      </w:r>
      <w:r>
        <w:t>killer</w:t>
      </w:r>
      <w:r>
        <w:rPr>
          <w:spacing w:val="-3"/>
        </w:rPr>
        <w:t xml:space="preserve"> </w:t>
      </w:r>
      <w:r>
        <w:t>will</w:t>
      </w:r>
      <w:r>
        <w:rPr>
          <w:spacing w:val="-2"/>
        </w:rPr>
        <w:t xml:space="preserve"> </w:t>
      </w:r>
      <w:r>
        <w:t>do</w:t>
      </w:r>
      <w:r>
        <w:rPr>
          <w:spacing w:val="-2"/>
        </w:rPr>
        <w:t xml:space="preserve"> </w:t>
      </w:r>
      <w:r>
        <w:t>if</w:t>
      </w:r>
      <w:r>
        <w:rPr>
          <w:spacing w:val="-2"/>
        </w:rPr>
        <w:t xml:space="preserve"> </w:t>
      </w:r>
      <w:r>
        <w:t>he</w:t>
      </w:r>
      <w:r>
        <w:rPr>
          <w:spacing w:val="-3"/>
        </w:rPr>
        <w:t xml:space="preserve"> </w:t>
      </w:r>
      <w:r>
        <w:t>isn’t</w:t>
      </w:r>
      <w:r>
        <w:rPr>
          <w:spacing w:val="-2"/>
        </w:rPr>
        <w:t xml:space="preserve"> </w:t>
      </w:r>
      <w:r>
        <w:t xml:space="preserve">convicted. What is the advocate of RU to say about such situations? If he says that you </w:t>
      </w:r>
      <w:r>
        <w:rPr>
          <w:i/>
        </w:rPr>
        <w:t>mustn’t</w:t>
      </w:r>
      <w:r>
        <w:rPr>
          <w:i/>
          <w:spacing w:val="-3"/>
        </w:rPr>
        <w:t xml:space="preserve"> </w:t>
      </w:r>
      <w:r>
        <w:t>plant the evidence, no matter how much badness it will prevent, then he isn’t really a utilitarian any more: he’s saying that the rules must be</w:t>
      </w:r>
      <w:r>
        <w:rPr>
          <w:spacing w:val="40"/>
        </w:rPr>
        <w:t xml:space="preserve"> </w:t>
      </w:r>
      <w:r>
        <w:t xml:space="preserve">obeyed for their own sake. He’s saying that you must obey the rules </w:t>
      </w:r>
      <w:r>
        <w:rPr>
          <w:i/>
        </w:rPr>
        <w:t xml:space="preserve">because it’s the right thing to do. </w:t>
      </w:r>
      <w:r>
        <w:t xml:space="preserve">But that isn’t utilitarianism; it’s deontology. If someone says that you </w:t>
      </w:r>
      <w:r>
        <w:rPr>
          <w:i/>
        </w:rPr>
        <w:t xml:space="preserve">should </w:t>
      </w:r>
      <w:r>
        <w:t xml:space="preserve">break the rules, then he isn’t a </w:t>
      </w:r>
      <w:r>
        <w:rPr>
          <w:i/>
        </w:rPr>
        <w:t>rule</w:t>
      </w:r>
      <w:r>
        <w:t>-utilitarian anymore; he’s an act-utilitarian.</w:t>
      </w:r>
    </w:p>
    <w:p w14:paraId="7E0026E0" w14:textId="77777777" w:rsidR="009A58DB" w:rsidRDefault="00000000">
      <w:pPr>
        <w:pStyle w:val="Heading1"/>
        <w:numPr>
          <w:ilvl w:val="0"/>
          <w:numId w:val="49"/>
        </w:numPr>
        <w:tabs>
          <w:tab w:val="left" w:pos="990"/>
        </w:tabs>
        <w:spacing w:before="221"/>
        <w:rPr>
          <w:position w:val="30"/>
        </w:rPr>
      </w:pPr>
      <w:r>
        <w:t>A</w:t>
      </w:r>
      <w:r>
        <w:rPr>
          <w:spacing w:val="-4"/>
        </w:rPr>
        <w:t xml:space="preserve"> </w:t>
      </w:r>
      <w:r>
        <w:t>unified</w:t>
      </w:r>
      <w:r>
        <w:rPr>
          <w:spacing w:val="-4"/>
        </w:rPr>
        <w:t xml:space="preserve"> </w:t>
      </w:r>
      <w:r>
        <w:rPr>
          <w:spacing w:val="-2"/>
        </w:rPr>
        <w:t>approac</w:t>
      </w:r>
      <w:bookmarkStart w:id="543" w:name="_bookmark543"/>
      <w:bookmarkEnd w:id="543"/>
      <w:r>
        <w:rPr>
          <w:spacing w:val="-2"/>
        </w:rPr>
        <w:t>h</w:t>
      </w:r>
      <w:r>
        <w:rPr>
          <w:color w:val="0562C1"/>
          <w:spacing w:val="-2"/>
          <w:position w:val="30"/>
          <w:u w:val="single" w:color="0562C1"/>
        </w:rPr>
        <w:t>[409]</w:t>
      </w:r>
    </w:p>
    <w:p w14:paraId="7E0026E1" w14:textId="77777777" w:rsidR="009A58DB" w:rsidRDefault="00000000">
      <w:pPr>
        <w:pStyle w:val="BodyText"/>
        <w:spacing w:before="139" w:line="249" w:lineRule="auto"/>
        <w:ind w:right="360"/>
      </w:pPr>
      <w:r>
        <w:t xml:space="preserve">The deontologist doesn’t want rights to be violated. The consequentialist wants to ensure a maximally good outcome. Really, then, they both want the same thing, since a maximally good outcome </w:t>
      </w:r>
      <w:r>
        <w:rPr>
          <w:i/>
        </w:rPr>
        <w:t xml:space="preserve">is </w:t>
      </w:r>
      <w:r>
        <w:t>one in which rights aren’t violated. Thus, they both believe it to be one’s moral obligation to respect the rights of others. But they have different views as to how one should attempt to fulfill this obligation.</w:t>
      </w:r>
    </w:p>
    <w:p w14:paraId="7E0026E2" w14:textId="77777777" w:rsidR="009A58DB" w:rsidRDefault="00000000">
      <w:pPr>
        <w:pStyle w:val="BodyText"/>
        <w:spacing w:before="8"/>
        <w:ind w:left="720"/>
      </w:pPr>
      <w:r>
        <w:t>The</w:t>
      </w:r>
      <w:r>
        <w:rPr>
          <w:spacing w:val="-7"/>
        </w:rPr>
        <w:t xml:space="preserve"> </w:t>
      </w:r>
      <w:r>
        <w:t>consequentialist</w:t>
      </w:r>
      <w:r>
        <w:rPr>
          <w:spacing w:val="-6"/>
        </w:rPr>
        <w:t xml:space="preserve"> </w:t>
      </w:r>
      <w:r>
        <w:rPr>
          <w:spacing w:val="-2"/>
        </w:rPr>
        <w:t>says:</w:t>
      </w:r>
    </w:p>
    <w:p w14:paraId="7E0026E3" w14:textId="77777777" w:rsidR="009A58DB" w:rsidRDefault="00000000">
      <w:pPr>
        <w:pStyle w:val="BodyText"/>
        <w:spacing w:before="105" w:line="249" w:lineRule="auto"/>
        <w:ind w:left="720" w:right="720"/>
      </w:pPr>
      <w:r>
        <w:t xml:space="preserve">Don’t just follow rules blindly. Do the right thing. </w:t>
      </w:r>
      <w:r>
        <w:rPr>
          <w:i/>
        </w:rPr>
        <w:t xml:space="preserve">You </w:t>
      </w:r>
      <w:r>
        <w:t>should make sure that people who need organ transplants get them. Don’t be a faceless</w:t>
      </w:r>
      <w:r>
        <w:rPr>
          <w:spacing w:val="52"/>
        </w:rPr>
        <w:t xml:space="preserve"> </w:t>
      </w:r>
      <w:r>
        <w:t>bureaucrat</w:t>
      </w:r>
      <w:r>
        <w:rPr>
          <w:spacing w:val="53"/>
        </w:rPr>
        <w:t xml:space="preserve"> </w:t>
      </w:r>
      <w:r>
        <w:t>who</w:t>
      </w:r>
      <w:r>
        <w:rPr>
          <w:spacing w:val="53"/>
        </w:rPr>
        <w:t xml:space="preserve"> </w:t>
      </w:r>
      <w:r>
        <w:t>hides</w:t>
      </w:r>
      <w:r>
        <w:rPr>
          <w:spacing w:val="52"/>
        </w:rPr>
        <w:t xml:space="preserve"> </w:t>
      </w:r>
      <w:r>
        <w:t>behind</w:t>
      </w:r>
      <w:r>
        <w:rPr>
          <w:spacing w:val="53"/>
        </w:rPr>
        <w:t xml:space="preserve"> </w:t>
      </w:r>
      <w:r>
        <w:t>the</w:t>
      </w:r>
      <w:r>
        <w:rPr>
          <w:spacing w:val="53"/>
        </w:rPr>
        <w:t xml:space="preserve"> </w:t>
      </w:r>
      <w:r>
        <w:t>rules.</w:t>
      </w:r>
      <w:r>
        <w:rPr>
          <w:spacing w:val="52"/>
        </w:rPr>
        <w:t xml:space="preserve"> </w:t>
      </w:r>
      <w:r>
        <w:t>Don’t</w:t>
      </w:r>
      <w:r>
        <w:rPr>
          <w:spacing w:val="53"/>
        </w:rPr>
        <w:t xml:space="preserve"> </w:t>
      </w:r>
      <w:r>
        <w:t>describe</w:t>
      </w:r>
      <w:r>
        <w:rPr>
          <w:spacing w:val="53"/>
        </w:rPr>
        <w:t xml:space="preserve"> </w:t>
      </w:r>
      <w:r>
        <w:rPr>
          <w:spacing w:val="-4"/>
        </w:rPr>
        <w:t>your</w:t>
      </w:r>
    </w:p>
    <w:p w14:paraId="7E0026E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6E5" w14:textId="77777777" w:rsidR="009A58DB" w:rsidRDefault="00000000">
      <w:pPr>
        <w:pStyle w:val="BodyText"/>
        <w:spacing w:before="60" w:line="249" w:lineRule="auto"/>
        <w:ind w:left="720" w:right="722"/>
      </w:pPr>
      <w:r>
        <w:lastRenderedPageBreak/>
        <w:t>cowardice</w:t>
      </w:r>
      <w:r>
        <w:rPr>
          <w:spacing w:val="-5"/>
        </w:rPr>
        <w:t xml:space="preserve"> </w:t>
      </w:r>
      <w:r>
        <w:t>and</w:t>
      </w:r>
      <w:r>
        <w:rPr>
          <w:spacing w:val="-4"/>
        </w:rPr>
        <w:t xml:space="preserve"> </w:t>
      </w:r>
      <w:r>
        <w:t>amorality</w:t>
      </w:r>
      <w:r>
        <w:rPr>
          <w:spacing w:val="-4"/>
        </w:rPr>
        <w:t xml:space="preserve"> </w:t>
      </w:r>
      <w:r>
        <w:t>as</w:t>
      </w:r>
      <w:r>
        <w:rPr>
          <w:spacing w:val="-5"/>
        </w:rPr>
        <w:t xml:space="preserve"> </w:t>
      </w:r>
      <w:r>
        <w:t>“respect”</w:t>
      </w:r>
      <w:r>
        <w:rPr>
          <w:spacing w:val="-5"/>
        </w:rPr>
        <w:t xml:space="preserve"> </w:t>
      </w:r>
      <w:r>
        <w:t>for</w:t>
      </w:r>
      <w:r>
        <w:rPr>
          <w:spacing w:val="-5"/>
        </w:rPr>
        <w:t xml:space="preserve"> </w:t>
      </w:r>
      <w:r>
        <w:t>people’s</w:t>
      </w:r>
      <w:r>
        <w:rPr>
          <w:spacing w:val="-5"/>
        </w:rPr>
        <w:t xml:space="preserve"> </w:t>
      </w:r>
      <w:r>
        <w:t>rights.</w:t>
      </w:r>
      <w:r>
        <w:rPr>
          <w:spacing w:val="-4"/>
        </w:rPr>
        <w:t xml:space="preserve"> </w:t>
      </w:r>
      <w:r>
        <w:t>Don’t</w:t>
      </w:r>
      <w:r>
        <w:rPr>
          <w:spacing w:val="-5"/>
        </w:rPr>
        <w:t xml:space="preserve"> </w:t>
      </w:r>
      <w:r>
        <w:t>pass</w:t>
      </w:r>
      <w:r>
        <w:rPr>
          <w:spacing w:val="-5"/>
        </w:rPr>
        <w:t xml:space="preserve"> </w:t>
      </w:r>
      <w:r>
        <w:t xml:space="preserve">the buck. Don’t wait for “the other guy” to step up. Be a hero, not a zero. </w:t>
      </w:r>
      <w:bookmarkStart w:id="544" w:name="_bookmark544"/>
      <w:bookmarkEnd w:id="544"/>
      <w:r>
        <w:rPr>
          <w:color w:val="0562C1"/>
          <w:spacing w:val="-2"/>
          <w:u w:val="single" w:color="0562C1"/>
        </w:rPr>
        <w:t>[410]</w:t>
      </w:r>
    </w:p>
    <w:p w14:paraId="7E0026E6" w14:textId="77777777" w:rsidR="009A58DB" w:rsidRDefault="00000000">
      <w:pPr>
        <w:pStyle w:val="BodyText"/>
        <w:spacing w:before="248" w:line="249" w:lineRule="auto"/>
        <w:ind w:right="365"/>
      </w:pPr>
      <w:r>
        <w:t>The deontologist says: Other things being equal, you’ll do more good than bad by respecting people’s rights and fulfilling your obligations to them, and you’ll do more bad than good by violating people’s rights and shirking your obligations to them. Stalin, Mao, and Pol Pot came into power because well-intentioned people decided that it was their lot to see to it that justice was done, the rules be damned</w:t>
      </w:r>
      <w:bookmarkStart w:id="545" w:name="_bookmark545"/>
      <w:bookmarkEnd w:id="545"/>
      <w:r>
        <w:t>.</w:t>
      </w:r>
      <w:r>
        <w:rPr>
          <w:color w:val="0562C1"/>
          <w:position w:val="21"/>
          <w:u w:val="single" w:color="0562C1"/>
        </w:rPr>
        <w:t>[411]</w:t>
      </w:r>
      <w:r>
        <w:rPr>
          <w:color w:val="0562C1"/>
          <w:position w:val="21"/>
        </w:rPr>
        <w:t xml:space="preserve"> </w:t>
      </w:r>
      <w:r>
        <w:t>The road to hell is paved with good intentions. So do your duty. Don’t play God.</w:t>
      </w:r>
    </w:p>
    <w:p w14:paraId="7E0026E7" w14:textId="77777777" w:rsidR="009A58DB" w:rsidRDefault="00000000">
      <w:pPr>
        <w:pStyle w:val="BodyText"/>
        <w:tabs>
          <w:tab w:val="left" w:pos="1394"/>
          <w:tab w:val="left" w:pos="2934"/>
          <w:tab w:val="left" w:pos="3375"/>
          <w:tab w:val="left" w:pos="4783"/>
          <w:tab w:val="left" w:pos="5990"/>
          <w:tab w:val="left" w:pos="6564"/>
          <w:tab w:val="left" w:pos="8704"/>
          <w:tab w:val="left" w:pos="9346"/>
        </w:tabs>
        <w:spacing w:before="9" w:line="249" w:lineRule="auto"/>
        <w:ind w:right="361" w:firstLine="360"/>
        <w:jc w:val="right"/>
      </w:pPr>
      <w:r>
        <w:rPr>
          <w:spacing w:val="-4"/>
        </w:rPr>
        <w:t>The</w:t>
      </w:r>
      <w:r>
        <w:tab/>
      </w:r>
      <w:r>
        <w:rPr>
          <w:spacing w:val="-2"/>
        </w:rPr>
        <w:t>differences</w:t>
      </w:r>
      <w:r>
        <w:tab/>
      </w:r>
      <w:r>
        <w:rPr>
          <w:spacing w:val="-6"/>
        </w:rPr>
        <w:t>in</w:t>
      </w:r>
      <w:r>
        <w:tab/>
      </w:r>
      <w:r>
        <w:rPr>
          <w:spacing w:val="-2"/>
        </w:rPr>
        <w:t>viewpoint</w:t>
      </w:r>
      <w:r>
        <w:tab/>
      </w:r>
      <w:r>
        <w:rPr>
          <w:spacing w:val="-2"/>
        </w:rPr>
        <w:t>between</w:t>
      </w:r>
      <w:r>
        <w:tab/>
      </w:r>
      <w:r>
        <w:rPr>
          <w:spacing w:val="-4"/>
        </w:rPr>
        <w:t>the</w:t>
      </w:r>
      <w:r>
        <w:tab/>
      </w:r>
      <w:r>
        <w:rPr>
          <w:spacing w:val="-2"/>
        </w:rPr>
        <w:t>consequentialist</w:t>
      </w:r>
      <w:r>
        <w:tab/>
      </w:r>
      <w:r>
        <w:rPr>
          <w:spacing w:val="-4"/>
        </w:rPr>
        <w:t>and</w:t>
      </w:r>
      <w:r>
        <w:tab/>
      </w:r>
      <w:r>
        <w:rPr>
          <w:spacing w:val="-4"/>
        </w:rPr>
        <w:t xml:space="preserve">the </w:t>
      </w:r>
      <w:r>
        <w:t>deontologist concern how to create a moral world, not what a moral world is; and they therefore don’t disagree with each other as to the nature of morality. The</w:t>
      </w:r>
      <w:r>
        <w:rPr>
          <w:spacing w:val="40"/>
        </w:rPr>
        <w:t xml:space="preserve"> </w:t>
      </w:r>
      <w:r>
        <w:t>deontologist’s</w:t>
      </w:r>
      <w:r>
        <w:rPr>
          <w:spacing w:val="40"/>
        </w:rPr>
        <w:t xml:space="preserve"> </w:t>
      </w:r>
      <w:r>
        <w:t>position,</w:t>
      </w:r>
      <w:r>
        <w:rPr>
          <w:spacing w:val="40"/>
        </w:rPr>
        <w:t xml:space="preserve"> </w:t>
      </w:r>
      <w:r>
        <w:t>as</w:t>
      </w:r>
      <w:r>
        <w:rPr>
          <w:spacing w:val="40"/>
        </w:rPr>
        <w:t xml:space="preserve"> </w:t>
      </w:r>
      <w:r>
        <w:t>represented</w:t>
      </w:r>
      <w:r>
        <w:rPr>
          <w:spacing w:val="40"/>
        </w:rPr>
        <w:t xml:space="preserve"> </w:t>
      </w:r>
      <w:r>
        <w:t>here,</w:t>
      </w:r>
      <w:r>
        <w:rPr>
          <w:spacing w:val="40"/>
        </w:rPr>
        <w:t xml:space="preserve"> </w:t>
      </w:r>
      <w:r>
        <w:t>is</w:t>
      </w:r>
      <w:r>
        <w:rPr>
          <w:spacing w:val="40"/>
        </w:rPr>
        <w:t xml:space="preserve"> </w:t>
      </w:r>
      <w:r>
        <w:t>similar</w:t>
      </w:r>
      <w:r>
        <w:rPr>
          <w:spacing w:val="40"/>
        </w:rPr>
        <w:t xml:space="preserve"> </w:t>
      </w:r>
      <w:r>
        <w:t>to</w:t>
      </w:r>
      <w:r>
        <w:rPr>
          <w:spacing w:val="40"/>
        </w:rPr>
        <w:t xml:space="preserve"> </w:t>
      </w:r>
      <w:r>
        <w:t>that</w:t>
      </w:r>
      <w:r>
        <w:rPr>
          <w:spacing w:val="40"/>
        </w:rPr>
        <w:t xml:space="preserve"> </w:t>
      </w:r>
      <w:r>
        <w:t>of</w:t>
      </w:r>
      <w:r>
        <w:rPr>
          <w:spacing w:val="40"/>
        </w:rPr>
        <w:t xml:space="preserve"> </w:t>
      </w:r>
      <w:r>
        <w:t>the rule-utilitarian,</w:t>
      </w:r>
      <w:r>
        <w:rPr>
          <w:spacing w:val="-2"/>
        </w:rPr>
        <w:t xml:space="preserve"> </w:t>
      </w:r>
      <w:r>
        <w:t>and</w:t>
      </w:r>
      <w:r>
        <w:rPr>
          <w:spacing w:val="-2"/>
        </w:rPr>
        <w:t xml:space="preserve"> </w:t>
      </w:r>
      <w:r>
        <w:t>the</w:t>
      </w:r>
      <w:r>
        <w:rPr>
          <w:spacing w:val="-2"/>
        </w:rPr>
        <w:t xml:space="preserve"> </w:t>
      </w:r>
      <w:r>
        <w:t>consequentialist’s</w:t>
      </w:r>
      <w:r>
        <w:rPr>
          <w:spacing w:val="-2"/>
        </w:rPr>
        <w:t xml:space="preserve"> </w:t>
      </w:r>
      <w:r>
        <w:t>position</w:t>
      </w:r>
      <w:r>
        <w:rPr>
          <w:spacing w:val="-2"/>
        </w:rPr>
        <w:t xml:space="preserve"> </w:t>
      </w:r>
      <w:r>
        <w:t>is</w:t>
      </w:r>
      <w:r>
        <w:rPr>
          <w:spacing w:val="-2"/>
        </w:rPr>
        <w:t xml:space="preserve"> </w:t>
      </w:r>
      <w:r>
        <w:t>similar</w:t>
      </w:r>
      <w:r>
        <w:rPr>
          <w:spacing w:val="-2"/>
        </w:rPr>
        <w:t xml:space="preserve"> </w:t>
      </w:r>
      <w:r>
        <w:t>to</w:t>
      </w:r>
      <w:r>
        <w:rPr>
          <w:spacing w:val="-2"/>
        </w:rPr>
        <w:t xml:space="preserve"> </w:t>
      </w:r>
      <w:r>
        <w:t>that</w:t>
      </w:r>
      <w:r>
        <w:rPr>
          <w:spacing w:val="-2"/>
        </w:rPr>
        <w:t xml:space="preserve"> </w:t>
      </w:r>
      <w:r>
        <w:t>of</w:t>
      </w:r>
      <w:r>
        <w:rPr>
          <w:spacing w:val="-2"/>
        </w:rPr>
        <w:t xml:space="preserve"> </w:t>
      </w:r>
      <w:r>
        <w:t>the</w:t>
      </w:r>
      <w:r>
        <w:rPr>
          <w:spacing w:val="-2"/>
        </w:rPr>
        <w:t xml:space="preserve"> </w:t>
      </w:r>
      <w:r>
        <w:t>act-utilitarian. Given that utilitarianism is generally seen as a paradigm case of a consequentialist</w:t>
      </w:r>
      <w:r>
        <w:rPr>
          <w:spacing w:val="40"/>
        </w:rPr>
        <w:t xml:space="preserve"> </w:t>
      </w:r>
      <w:r>
        <w:t>doctrine,</w:t>
      </w:r>
      <w:r>
        <w:rPr>
          <w:spacing w:val="40"/>
        </w:rPr>
        <w:t xml:space="preserve"> </w:t>
      </w:r>
      <w:r>
        <w:t>it</w:t>
      </w:r>
      <w:r>
        <w:rPr>
          <w:spacing w:val="40"/>
        </w:rPr>
        <w:t xml:space="preserve"> </w:t>
      </w:r>
      <w:r>
        <w:t>might</w:t>
      </w:r>
      <w:r>
        <w:rPr>
          <w:spacing w:val="40"/>
        </w:rPr>
        <w:t xml:space="preserve"> </w:t>
      </w:r>
      <w:r>
        <w:t>seem</w:t>
      </w:r>
      <w:r>
        <w:rPr>
          <w:spacing w:val="40"/>
        </w:rPr>
        <w:t xml:space="preserve"> </w:t>
      </w:r>
      <w:r>
        <w:t>that</w:t>
      </w:r>
      <w:r>
        <w:rPr>
          <w:spacing w:val="40"/>
        </w:rPr>
        <w:t xml:space="preserve"> </w:t>
      </w:r>
      <w:r>
        <w:t>I</w:t>
      </w:r>
      <w:r>
        <w:rPr>
          <w:spacing w:val="40"/>
        </w:rPr>
        <w:t xml:space="preserve"> </w:t>
      </w:r>
      <w:r>
        <w:t>must</w:t>
      </w:r>
      <w:r>
        <w:rPr>
          <w:spacing w:val="40"/>
        </w:rPr>
        <w:t xml:space="preserve"> </w:t>
      </w:r>
      <w:r>
        <w:t>have</w:t>
      </w:r>
      <w:r>
        <w:rPr>
          <w:spacing w:val="40"/>
        </w:rPr>
        <w:t xml:space="preserve"> </w:t>
      </w:r>
      <w:r>
        <w:t>misrepresented</w:t>
      </w:r>
      <w:r>
        <w:rPr>
          <w:spacing w:val="80"/>
        </w:rPr>
        <w:t xml:space="preserve"> </w:t>
      </w:r>
      <w:r>
        <w:t>deontology. But the right conclusion to draw, I would submit, is that, just as I suggested,</w:t>
      </w:r>
      <w:r>
        <w:rPr>
          <w:spacing w:val="39"/>
        </w:rPr>
        <w:t xml:space="preserve"> </w:t>
      </w:r>
      <w:r>
        <w:t>the</w:t>
      </w:r>
      <w:r>
        <w:rPr>
          <w:spacing w:val="41"/>
        </w:rPr>
        <w:t xml:space="preserve"> </w:t>
      </w:r>
      <w:r>
        <w:t>deontologist</w:t>
      </w:r>
      <w:r>
        <w:rPr>
          <w:spacing w:val="40"/>
        </w:rPr>
        <w:t xml:space="preserve"> </w:t>
      </w:r>
      <w:r>
        <w:t>and</w:t>
      </w:r>
      <w:r>
        <w:rPr>
          <w:spacing w:val="42"/>
        </w:rPr>
        <w:t xml:space="preserve"> </w:t>
      </w:r>
      <w:r>
        <w:t>consequentialist</w:t>
      </w:r>
      <w:r>
        <w:rPr>
          <w:spacing w:val="40"/>
        </w:rPr>
        <w:t xml:space="preserve"> </w:t>
      </w:r>
      <w:r>
        <w:t>don’t</w:t>
      </w:r>
      <w:r>
        <w:rPr>
          <w:spacing w:val="41"/>
        </w:rPr>
        <w:t xml:space="preserve"> </w:t>
      </w:r>
      <w:r>
        <w:t>disagree</w:t>
      </w:r>
      <w:r>
        <w:rPr>
          <w:spacing w:val="40"/>
        </w:rPr>
        <w:t xml:space="preserve"> </w:t>
      </w:r>
      <w:r>
        <w:t>as</w:t>
      </w:r>
      <w:r>
        <w:rPr>
          <w:spacing w:val="41"/>
        </w:rPr>
        <w:t xml:space="preserve"> </w:t>
      </w:r>
      <w:r>
        <w:t>much</w:t>
      </w:r>
      <w:r>
        <w:rPr>
          <w:spacing w:val="42"/>
        </w:rPr>
        <w:t xml:space="preserve"> </w:t>
      </w:r>
      <w:r>
        <w:rPr>
          <w:spacing w:val="-7"/>
        </w:rPr>
        <w:t>as</w:t>
      </w:r>
    </w:p>
    <w:p w14:paraId="7E0026E8" w14:textId="77777777" w:rsidR="009A58DB" w:rsidRDefault="00000000">
      <w:pPr>
        <w:pStyle w:val="BodyText"/>
        <w:spacing w:before="11"/>
      </w:pPr>
      <w:r>
        <w:t>they</w:t>
      </w:r>
      <w:r>
        <w:rPr>
          <w:spacing w:val="-2"/>
        </w:rPr>
        <w:t xml:space="preserve"> </w:t>
      </w:r>
      <w:r>
        <w:t>think</w:t>
      </w:r>
      <w:r>
        <w:rPr>
          <w:spacing w:val="-2"/>
        </w:rPr>
        <w:t xml:space="preserve"> </w:t>
      </w:r>
      <w:r>
        <w:t>they</w:t>
      </w:r>
      <w:r>
        <w:rPr>
          <w:spacing w:val="-2"/>
        </w:rPr>
        <w:t xml:space="preserve"> </w:t>
      </w:r>
      <w:r>
        <w:rPr>
          <w:spacing w:val="-5"/>
        </w:rPr>
        <w:t>do.</w:t>
      </w:r>
    </w:p>
    <w:p w14:paraId="7E0026E9" w14:textId="77777777" w:rsidR="009A58DB" w:rsidRDefault="009A58DB">
      <w:pPr>
        <w:pStyle w:val="BodyText"/>
        <w:sectPr w:rsidR="009A58DB">
          <w:pgSz w:w="12240" w:h="15840"/>
          <w:pgMar w:top="1380" w:right="1080" w:bottom="280" w:left="1080" w:header="720" w:footer="720" w:gutter="0"/>
          <w:cols w:space="720"/>
        </w:sectPr>
      </w:pPr>
    </w:p>
    <w:p w14:paraId="7E0026EA" w14:textId="77777777" w:rsidR="009A58DB" w:rsidRDefault="009A58DB">
      <w:pPr>
        <w:pStyle w:val="BodyText"/>
        <w:spacing w:before="4"/>
        <w:ind w:left="0"/>
        <w:jc w:val="left"/>
        <w:rPr>
          <w:sz w:val="17"/>
        </w:rPr>
      </w:pPr>
    </w:p>
    <w:p w14:paraId="7E0026EB"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6EC" w14:textId="77777777" w:rsidR="009A58DB" w:rsidRDefault="00000000">
      <w:pPr>
        <w:spacing w:line="503" w:lineRule="exact"/>
        <w:ind w:left="326" w:right="332"/>
        <w:jc w:val="center"/>
        <w:rPr>
          <w:rFonts w:ascii="Calibri Light"/>
          <w:sz w:val="42"/>
        </w:rPr>
      </w:pPr>
      <w:bookmarkStart w:id="546" w:name="_bookmark546"/>
      <w:bookmarkEnd w:id="546"/>
      <w:r>
        <w:rPr>
          <w:rFonts w:ascii="Calibri Light"/>
          <w:sz w:val="42"/>
        </w:rPr>
        <w:lastRenderedPageBreak/>
        <w:t>Chapter</w:t>
      </w:r>
      <w:r>
        <w:rPr>
          <w:rFonts w:ascii="Calibri Light"/>
          <w:spacing w:val="56"/>
          <w:sz w:val="42"/>
        </w:rPr>
        <w:t xml:space="preserve"> </w:t>
      </w:r>
      <w:r>
        <w:rPr>
          <w:rFonts w:ascii="Calibri Light"/>
          <w:spacing w:val="-5"/>
          <w:sz w:val="42"/>
        </w:rPr>
        <w:t>25</w:t>
      </w:r>
    </w:p>
    <w:p w14:paraId="7E0026ED" w14:textId="77777777" w:rsidR="009A58DB" w:rsidRDefault="00000000">
      <w:pPr>
        <w:spacing w:before="222"/>
        <w:ind w:left="326" w:right="332"/>
        <w:jc w:val="center"/>
        <w:rPr>
          <w:rFonts w:ascii="Calibri Light"/>
          <w:sz w:val="42"/>
        </w:rPr>
      </w:pPr>
      <w:bookmarkStart w:id="547" w:name="_bookmark547"/>
      <w:bookmarkEnd w:id="547"/>
      <w:r>
        <w:rPr>
          <w:rFonts w:ascii="Calibri Light"/>
          <w:spacing w:val="-2"/>
          <w:sz w:val="42"/>
        </w:rPr>
        <w:t>Religion</w:t>
      </w:r>
    </w:p>
    <w:p w14:paraId="7E0026EE" w14:textId="77777777" w:rsidR="009A58DB" w:rsidRDefault="00000000">
      <w:pPr>
        <w:pStyle w:val="Heading1"/>
        <w:numPr>
          <w:ilvl w:val="1"/>
          <w:numId w:val="48"/>
        </w:numPr>
        <w:tabs>
          <w:tab w:val="left" w:pos="990"/>
        </w:tabs>
        <w:spacing w:before="185" w:line="244" w:lineRule="auto"/>
        <w:ind w:right="1027" w:firstLine="0"/>
      </w:pPr>
      <w:r>
        <w:t>What</w:t>
      </w:r>
      <w:r>
        <w:rPr>
          <w:spacing w:val="-7"/>
        </w:rPr>
        <w:t xml:space="preserve"> </w:t>
      </w:r>
      <w:r>
        <w:t>does</w:t>
      </w:r>
      <w:r>
        <w:rPr>
          <w:spacing w:val="-7"/>
        </w:rPr>
        <w:t xml:space="preserve"> </w:t>
      </w:r>
      <w:r>
        <w:t>philosophy</w:t>
      </w:r>
      <w:r>
        <w:rPr>
          <w:spacing w:val="-6"/>
        </w:rPr>
        <w:t xml:space="preserve"> </w:t>
      </w:r>
      <w:r>
        <w:t>have</w:t>
      </w:r>
      <w:r>
        <w:rPr>
          <w:spacing w:val="-7"/>
        </w:rPr>
        <w:t xml:space="preserve"> </w:t>
      </w:r>
      <w:r>
        <w:t>to</w:t>
      </w:r>
      <w:r>
        <w:rPr>
          <w:spacing w:val="-6"/>
        </w:rPr>
        <w:t xml:space="preserve"> </w:t>
      </w:r>
      <w:r>
        <w:t>teach</w:t>
      </w:r>
      <w:r>
        <w:rPr>
          <w:spacing w:val="-7"/>
        </w:rPr>
        <w:t xml:space="preserve"> </w:t>
      </w:r>
      <w:r>
        <w:t>us</w:t>
      </w:r>
      <w:r>
        <w:rPr>
          <w:spacing w:val="-7"/>
        </w:rPr>
        <w:t xml:space="preserve"> </w:t>
      </w:r>
      <w:r>
        <w:t xml:space="preserve">about </w:t>
      </w:r>
      <w:r>
        <w:rPr>
          <w:spacing w:val="-2"/>
        </w:rPr>
        <w:t>religion?</w:t>
      </w:r>
    </w:p>
    <w:p w14:paraId="7E0026EF" w14:textId="77777777" w:rsidR="009A58DB" w:rsidRDefault="00000000">
      <w:pPr>
        <w:pStyle w:val="BodyText"/>
        <w:spacing w:before="132" w:line="249" w:lineRule="auto"/>
        <w:ind w:right="358"/>
      </w:pPr>
      <w:r>
        <w:t>Nothing. The so-called philosophy of religion doesn’t concern religion. It concerns</w:t>
      </w:r>
      <w:r>
        <w:rPr>
          <w:spacing w:val="-2"/>
        </w:rPr>
        <w:t xml:space="preserve"> </w:t>
      </w:r>
      <w:r>
        <w:t>puzzles</w:t>
      </w:r>
      <w:r>
        <w:rPr>
          <w:spacing w:val="-1"/>
        </w:rPr>
        <w:t xml:space="preserve"> </w:t>
      </w:r>
      <w:r>
        <w:t>that</w:t>
      </w:r>
      <w:r>
        <w:rPr>
          <w:spacing w:val="-2"/>
        </w:rPr>
        <w:t xml:space="preserve"> </w:t>
      </w:r>
      <w:r>
        <w:t>can</w:t>
      </w:r>
      <w:r>
        <w:rPr>
          <w:spacing w:val="-1"/>
        </w:rPr>
        <w:t xml:space="preserve"> </w:t>
      </w:r>
      <w:r>
        <w:t>be</w:t>
      </w:r>
      <w:r>
        <w:rPr>
          <w:spacing w:val="-2"/>
        </w:rPr>
        <w:t xml:space="preserve"> </w:t>
      </w:r>
      <w:r>
        <w:t>illustrated</w:t>
      </w:r>
      <w:r>
        <w:rPr>
          <w:spacing w:val="-2"/>
        </w:rPr>
        <w:t xml:space="preserve"> </w:t>
      </w:r>
      <w:r>
        <w:t>in</w:t>
      </w:r>
      <w:r>
        <w:rPr>
          <w:spacing w:val="-1"/>
        </w:rPr>
        <w:t xml:space="preserve"> </w:t>
      </w:r>
      <w:r>
        <w:t>connection</w:t>
      </w:r>
      <w:r>
        <w:rPr>
          <w:spacing w:val="-1"/>
        </w:rPr>
        <w:t xml:space="preserve"> </w:t>
      </w:r>
      <w:r>
        <w:t>with</w:t>
      </w:r>
      <w:r>
        <w:rPr>
          <w:spacing w:val="-1"/>
        </w:rPr>
        <w:t xml:space="preserve"> </w:t>
      </w:r>
      <w:r>
        <w:t>religious</w:t>
      </w:r>
      <w:r>
        <w:rPr>
          <w:spacing w:val="-1"/>
        </w:rPr>
        <w:t xml:space="preserve"> </w:t>
      </w:r>
      <w:r>
        <w:t>questions but are really of a strictly logical nature. Hise is one such puzzle:</w:t>
      </w:r>
    </w:p>
    <w:p w14:paraId="7E0026F0" w14:textId="77777777" w:rsidR="009A58DB" w:rsidRDefault="009A58DB">
      <w:pPr>
        <w:pStyle w:val="BodyText"/>
        <w:spacing w:before="18"/>
        <w:ind w:left="0"/>
        <w:jc w:val="left"/>
      </w:pPr>
    </w:p>
    <w:p w14:paraId="7E0026F1" w14:textId="77777777" w:rsidR="009A58DB" w:rsidRDefault="00000000">
      <w:pPr>
        <w:pStyle w:val="BodyText"/>
        <w:spacing w:before="1" w:line="277" w:lineRule="exact"/>
        <w:ind w:left="1252"/>
        <w:jc w:val="left"/>
      </w:pPr>
      <w:bookmarkStart w:id="548" w:name="_bookmark548"/>
      <w:bookmarkEnd w:id="548"/>
      <w:r>
        <w:rPr>
          <w:color w:val="0562C1"/>
          <w:spacing w:val="-2"/>
          <w:u w:val="single" w:color="0562C1"/>
        </w:rPr>
        <w:t>[412]</w:t>
      </w:r>
    </w:p>
    <w:p w14:paraId="7E0026F2" w14:textId="77777777" w:rsidR="009A58DB" w:rsidRDefault="00000000">
      <w:pPr>
        <w:pStyle w:val="BodyText"/>
        <w:spacing w:line="277" w:lineRule="exact"/>
        <w:ind w:left="720"/>
      </w:pPr>
      <w:r>
        <w:t>(OG</w:t>
      </w:r>
      <w:r>
        <w:rPr>
          <w:spacing w:val="45"/>
          <w:w w:val="150"/>
        </w:rPr>
        <w:t xml:space="preserve">    </w:t>
      </w:r>
      <w:r>
        <w:t>)</w:t>
      </w:r>
      <w:r>
        <w:rPr>
          <w:spacing w:val="36"/>
        </w:rPr>
        <w:t xml:space="preserve"> </w:t>
      </w:r>
      <w:r>
        <w:t>Many</w:t>
      </w:r>
      <w:r>
        <w:rPr>
          <w:spacing w:val="34"/>
        </w:rPr>
        <w:t xml:space="preserve"> </w:t>
      </w:r>
      <w:r>
        <w:t>hold</w:t>
      </w:r>
      <w:r>
        <w:rPr>
          <w:spacing w:val="34"/>
        </w:rPr>
        <w:t xml:space="preserve"> </w:t>
      </w:r>
      <w:r>
        <w:t>that</w:t>
      </w:r>
      <w:r>
        <w:rPr>
          <w:spacing w:val="33"/>
        </w:rPr>
        <w:t xml:space="preserve"> </w:t>
      </w:r>
      <w:r>
        <w:t>God</w:t>
      </w:r>
      <w:r>
        <w:rPr>
          <w:spacing w:val="35"/>
        </w:rPr>
        <w:t xml:space="preserve"> </w:t>
      </w:r>
      <w:r>
        <w:t>is</w:t>
      </w:r>
      <w:r>
        <w:rPr>
          <w:spacing w:val="33"/>
        </w:rPr>
        <w:t xml:space="preserve"> </w:t>
      </w:r>
      <w:r>
        <w:t>omnipotent—that,</w:t>
      </w:r>
      <w:r>
        <w:rPr>
          <w:spacing w:val="35"/>
        </w:rPr>
        <w:t xml:space="preserve"> </w:t>
      </w:r>
      <w:r>
        <w:t>in</w:t>
      </w:r>
      <w:r>
        <w:rPr>
          <w:spacing w:val="33"/>
        </w:rPr>
        <w:t xml:space="preserve"> </w:t>
      </w:r>
      <w:r>
        <w:t>other</w:t>
      </w:r>
      <w:r>
        <w:rPr>
          <w:spacing w:val="35"/>
        </w:rPr>
        <w:t xml:space="preserve"> </w:t>
      </w:r>
      <w:r>
        <w:t>words,</w:t>
      </w:r>
      <w:r>
        <w:rPr>
          <w:spacing w:val="34"/>
        </w:rPr>
        <w:t xml:space="preserve"> </w:t>
      </w:r>
      <w:r>
        <w:rPr>
          <w:spacing w:val="-5"/>
        </w:rPr>
        <w:t>He</w:t>
      </w:r>
    </w:p>
    <w:p w14:paraId="7E0026F3" w14:textId="77777777" w:rsidR="009A58DB" w:rsidRDefault="00000000">
      <w:pPr>
        <w:pStyle w:val="BodyText"/>
        <w:spacing w:before="15" w:line="249" w:lineRule="auto"/>
        <w:ind w:left="720" w:right="362"/>
      </w:pPr>
      <w:r>
        <w:t xml:space="preserve">can do anything. Let’s suppose that this is true. In that case, God can create some task that He cannot perform. But if He can do that, He’s not </w:t>
      </w:r>
      <w:r>
        <w:rPr>
          <w:spacing w:val="-2"/>
        </w:rPr>
        <w:t>omnipotent.</w:t>
      </w:r>
    </w:p>
    <w:p w14:paraId="7E0026F4" w14:textId="77777777" w:rsidR="009A58DB" w:rsidRDefault="009A58DB">
      <w:pPr>
        <w:pStyle w:val="BodyText"/>
        <w:spacing w:before="18"/>
        <w:ind w:left="0"/>
        <w:jc w:val="left"/>
      </w:pPr>
    </w:p>
    <w:p w14:paraId="7E0026F5" w14:textId="77777777" w:rsidR="009A58DB" w:rsidRDefault="00000000">
      <w:pPr>
        <w:pStyle w:val="BodyText"/>
        <w:spacing w:line="249" w:lineRule="auto"/>
        <w:ind w:right="370" w:firstLine="360"/>
      </w:pPr>
      <w:r>
        <w:t>OG doesn’t have anything to do with God. It has to do with subtleties of logic that, although they can be illustrated in connection with statements concerning God, have nothing to do with His. We know this because OG perfectly parallels the following argument.</w:t>
      </w:r>
    </w:p>
    <w:p w14:paraId="7E0026F6" w14:textId="77777777" w:rsidR="009A58DB" w:rsidRDefault="009A58DB">
      <w:pPr>
        <w:pStyle w:val="BodyText"/>
        <w:spacing w:before="20"/>
        <w:ind w:left="0"/>
        <w:jc w:val="left"/>
      </w:pPr>
    </w:p>
    <w:p w14:paraId="7E0026F7" w14:textId="77777777" w:rsidR="009A58DB" w:rsidRDefault="00000000">
      <w:pPr>
        <w:pStyle w:val="BodyText"/>
        <w:spacing w:line="249" w:lineRule="auto"/>
        <w:ind w:left="720" w:right="359"/>
      </w:pPr>
      <w:r>
        <w:t>(SG) Smith shaves all and only those who don’t shave themselves. Question: Does Smith shave himself? If he does, then he doesn’t, since he shaves only those who don’t shave themselves. If doesn’t, then he does, since he shaves all those who don’t shave themselves.</w:t>
      </w:r>
    </w:p>
    <w:p w14:paraId="7E0026F8" w14:textId="77777777" w:rsidR="009A58DB" w:rsidRDefault="009A58DB">
      <w:pPr>
        <w:pStyle w:val="BodyText"/>
        <w:spacing w:before="20"/>
        <w:ind w:left="0"/>
        <w:jc w:val="left"/>
      </w:pPr>
    </w:p>
    <w:p w14:paraId="7E0026F9" w14:textId="77777777" w:rsidR="009A58DB" w:rsidRDefault="00000000">
      <w:pPr>
        <w:pStyle w:val="BodyText"/>
        <w:spacing w:line="249" w:lineRule="auto"/>
        <w:ind w:right="363" w:firstLine="360"/>
        <w:rPr>
          <w:b/>
          <w:i/>
        </w:rPr>
      </w:pPr>
      <w:r>
        <w:t xml:space="preserve">OG is no more about God than SG is about barbers. Both paradoxes expose logical problems relating to the use of </w:t>
      </w:r>
      <w:r>
        <w:rPr>
          <w:b/>
          <w:i/>
        </w:rPr>
        <w:t>quantifiers.</w:t>
      </w:r>
    </w:p>
    <w:p w14:paraId="7E0026FA" w14:textId="77777777" w:rsidR="009A58DB" w:rsidRDefault="00000000">
      <w:pPr>
        <w:pStyle w:val="BodyText"/>
        <w:spacing w:before="3" w:line="249" w:lineRule="auto"/>
        <w:ind w:right="359" w:firstLine="360"/>
      </w:pPr>
      <w:r>
        <w:t>Although one of the objectives of the philosophy of religion is to figure</w:t>
      </w:r>
      <w:r>
        <w:rPr>
          <w:spacing w:val="40"/>
        </w:rPr>
        <w:t xml:space="preserve"> </w:t>
      </w:r>
      <w:r>
        <w:t>out whether or not God exists, its efforts to do this quickly veer off course</w:t>
      </w:r>
      <w:r>
        <w:rPr>
          <w:spacing w:val="40"/>
        </w:rPr>
        <w:t xml:space="preserve"> </w:t>
      </w:r>
      <w:r>
        <w:t>and end up bogging down in logical minutiae that are of no relevance to religion at all. Consider the following argument, which was given by St. Thomas Aquinas (1225–1274):</w:t>
      </w:r>
    </w:p>
    <w:p w14:paraId="7E0026FB"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6FC" w14:textId="77777777" w:rsidR="009A58DB" w:rsidRDefault="00000000">
      <w:pPr>
        <w:pStyle w:val="BodyText"/>
        <w:spacing w:before="65" w:line="277" w:lineRule="exact"/>
        <w:ind w:left="1365"/>
        <w:jc w:val="left"/>
      </w:pPr>
      <w:r>
        <w:rPr>
          <w:noProof/>
        </w:rPr>
        <w:lastRenderedPageBreak/>
        <mc:AlternateContent>
          <mc:Choice Requires="wps">
            <w:drawing>
              <wp:anchor distT="0" distB="0" distL="0" distR="0" simplePos="0" relativeHeight="15749120" behindDoc="0" locked="0" layoutInCell="1" allowOverlap="1" wp14:anchorId="7E00329E" wp14:editId="7E00329F">
                <wp:simplePos x="0" y="0"/>
                <wp:positionH relativeFrom="page">
                  <wp:posOffset>1143000</wp:posOffset>
                </wp:positionH>
                <wp:positionV relativeFrom="paragraph">
                  <wp:posOffset>182667</wp:posOffset>
                </wp:positionV>
                <wp:extent cx="339090" cy="211454"/>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211454"/>
                        </a:xfrm>
                        <a:prstGeom prst="rect">
                          <a:avLst/>
                        </a:prstGeom>
                      </wps:spPr>
                      <wps:txbx>
                        <w:txbxContent>
                          <w:p w14:paraId="7E0032C1" w14:textId="77777777" w:rsidR="009A58DB" w:rsidRDefault="00000000">
                            <w:pPr>
                              <w:pStyle w:val="BodyText"/>
                              <w:spacing w:line="332" w:lineRule="exact"/>
                              <w:ind w:left="0"/>
                              <w:jc w:val="left"/>
                            </w:pPr>
                            <w:r>
                              <w:rPr>
                                <w:spacing w:val="-5"/>
                              </w:rPr>
                              <w:t>(AG</w:t>
                            </w:r>
                          </w:p>
                        </w:txbxContent>
                      </wps:txbx>
                      <wps:bodyPr wrap="square" lIns="0" tIns="0" rIns="0" bIns="0" rtlCol="0">
                        <a:noAutofit/>
                      </wps:bodyPr>
                    </wps:wsp>
                  </a:graphicData>
                </a:graphic>
              </wp:anchor>
            </w:drawing>
          </mc:Choice>
          <mc:Fallback>
            <w:pict>
              <v:shape w14:anchorId="7E00329E" id="Textbox 40" o:spid="_x0000_s1043" type="#_x0000_t202" style="position:absolute;left:0;text-align:left;margin-left:90pt;margin-top:14.4pt;width:26.7pt;height:16.6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" filled="f" stroked="f">
                <v:textbox inset="0,0,0,0">
                  <w:txbxContent>
                    <w:p w14:paraId="7E0032C1" w14:textId="77777777" w:rsidR="009A58DB" w:rsidRDefault="00000000">
                      <w:pPr>
                        <w:pStyle w:val="BodyText"/>
                        <w:spacing w:line="332" w:lineRule="exact"/>
                        <w:ind w:left="0"/>
                        <w:jc w:val="left"/>
                      </w:pPr>
                      <w:r>
                        <w:rPr>
                          <w:spacing w:val="-5"/>
                        </w:rPr>
                        <w:t>(AG</w:t>
                      </w:r>
                    </w:p>
                  </w:txbxContent>
                </v:textbox>
                <w10:wrap anchorx="page"/>
              </v:shape>
            </w:pict>
          </mc:Fallback>
        </mc:AlternateContent>
      </w:r>
      <w:bookmarkStart w:id="549" w:name="_bookmark549"/>
      <w:bookmarkEnd w:id="549"/>
      <w:r>
        <w:rPr>
          <w:color w:val="0562C1"/>
          <w:spacing w:val="-2"/>
        </w:rPr>
        <w:t>[413]</w:t>
      </w:r>
    </w:p>
    <w:p w14:paraId="7E0026FD" w14:textId="77777777" w:rsidR="009A58DB" w:rsidRDefault="00000000">
      <w:pPr>
        <w:pStyle w:val="BodyText"/>
        <w:tabs>
          <w:tab w:val="left" w:pos="2015"/>
        </w:tabs>
        <w:spacing w:line="277" w:lineRule="exact"/>
        <w:ind w:left="1252"/>
        <w:jc w:val="left"/>
      </w:pPr>
      <w:r>
        <w:rPr>
          <w:noProof/>
        </w:rPr>
        <mc:AlternateContent>
          <mc:Choice Requires="wps">
            <w:drawing>
              <wp:anchor distT="0" distB="0" distL="0" distR="0" simplePos="0" relativeHeight="15748608" behindDoc="0" locked="0" layoutInCell="1" allowOverlap="1" wp14:anchorId="7E0032A0" wp14:editId="7E0032A1">
                <wp:simplePos x="0" y="0"/>
                <wp:positionH relativeFrom="page">
                  <wp:posOffset>1552575</wp:posOffset>
                </wp:positionH>
                <wp:positionV relativeFrom="paragraph">
                  <wp:posOffset>15884</wp:posOffset>
                </wp:positionV>
                <wp:extent cx="40005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40005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6E5A7C89" id="Graphic 41" o:spid="_x0000_s1026" style="position:absolute;margin-left:122.25pt;margin-top:1.25pt;width:31.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" path="m,l400050,e" filled="f" strokecolor="#0562c1">
                <v:path arrowok="t"/>
                <w10:wrap anchorx="page"/>
              </v:shape>
            </w:pict>
          </mc:Fallback>
        </mc:AlternateContent>
      </w:r>
      <w:r>
        <w:rPr>
          <w:spacing w:val="-10"/>
          <w:vertAlign w:val="subscript"/>
        </w:rPr>
        <w:t>1</w:t>
      </w:r>
      <w:r>
        <w:tab/>
        <w:t>)</w:t>
      </w:r>
      <w:r>
        <w:rPr>
          <w:spacing w:val="6"/>
        </w:rPr>
        <w:t xml:space="preserve"> </w:t>
      </w:r>
      <w:r>
        <w:t>Every</w:t>
      </w:r>
      <w:r>
        <w:rPr>
          <w:spacing w:val="8"/>
        </w:rPr>
        <w:t xml:space="preserve"> </w:t>
      </w:r>
      <w:r>
        <w:t>event</w:t>
      </w:r>
      <w:r>
        <w:rPr>
          <w:spacing w:val="8"/>
        </w:rPr>
        <w:t xml:space="preserve"> </w:t>
      </w:r>
      <w:r>
        <w:t>has</w:t>
      </w:r>
      <w:r>
        <w:rPr>
          <w:spacing w:val="9"/>
        </w:rPr>
        <w:t xml:space="preserve"> </w:t>
      </w:r>
      <w:r>
        <w:t>a</w:t>
      </w:r>
      <w:r>
        <w:rPr>
          <w:spacing w:val="9"/>
        </w:rPr>
        <w:t xml:space="preserve"> </w:t>
      </w:r>
      <w:r>
        <w:t>predecessor.</w:t>
      </w:r>
      <w:r>
        <w:rPr>
          <w:spacing w:val="8"/>
        </w:rPr>
        <w:t xml:space="preserve"> </w:t>
      </w:r>
      <w:r>
        <w:t>Therefore,</w:t>
      </w:r>
      <w:r>
        <w:rPr>
          <w:spacing w:val="9"/>
        </w:rPr>
        <w:t xml:space="preserve"> </w:t>
      </w:r>
      <w:r>
        <w:t>there</w:t>
      </w:r>
      <w:r>
        <w:rPr>
          <w:spacing w:val="8"/>
        </w:rPr>
        <w:t xml:space="preserve"> </w:t>
      </w:r>
      <w:r>
        <w:t>is</w:t>
      </w:r>
      <w:r>
        <w:rPr>
          <w:spacing w:val="8"/>
        </w:rPr>
        <w:t xml:space="preserve"> </w:t>
      </w:r>
      <w:r>
        <w:t>some</w:t>
      </w:r>
      <w:r>
        <w:rPr>
          <w:spacing w:val="9"/>
        </w:rPr>
        <w:t xml:space="preserve"> </w:t>
      </w:r>
      <w:r>
        <w:rPr>
          <w:spacing w:val="-2"/>
        </w:rPr>
        <w:t>event</w:t>
      </w:r>
    </w:p>
    <w:p w14:paraId="7E0026FE" w14:textId="77777777" w:rsidR="009A58DB" w:rsidRDefault="00000000">
      <w:pPr>
        <w:pStyle w:val="BodyText"/>
        <w:spacing w:before="75" w:line="249" w:lineRule="auto"/>
        <w:ind w:left="720" w:right="359"/>
      </w:pPr>
      <w:r>
        <w:t>that is the predecessor of every event. In other words, there is a first event. Causes precede their effects. Therefore, that first event, not being</w:t>
      </w:r>
      <w:r>
        <w:rPr>
          <w:spacing w:val="40"/>
        </w:rPr>
        <w:t xml:space="preserve"> </w:t>
      </w:r>
      <w:r>
        <w:t>preceded by anything, was uncaused. Since all events must be caused, that first event was a miracle and, therefore, the act of a deity. Therefore, there</w:t>
      </w:r>
    </w:p>
    <w:p w14:paraId="7E0026FF" w14:textId="77777777" w:rsidR="009A58DB" w:rsidRDefault="00000000">
      <w:pPr>
        <w:pStyle w:val="BodyText"/>
        <w:spacing w:before="5" w:line="277" w:lineRule="exact"/>
        <w:ind w:left="1794"/>
        <w:jc w:val="left"/>
      </w:pPr>
      <w:bookmarkStart w:id="550" w:name="_bookmark550"/>
      <w:bookmarkEnd w:id="550"/>
      <w:r>
        <w:rPr>
          <w:color w:val="0562C1"/>
          <w:spacing w:val="-2"/>
          <w:u w:val="single" w:color="0562C1"/>
        </w:rPr>
        <w:t>[414]</w:t>
      </w:r>
    </w:p>
    <w:p w14:paraId="7E002700" w14:textId="77777777" w:rsidR="009A58DB" w:rsidRDefault="00000000">
      <w:pPr>
        <w:pStyle w:val="BodyText"/>
        <w:spacing w:line="277" w:lineRule="exact"/>
        <w:ind w:left="720"/>
        <w:jc w:val="left"/>
      </w:pPr>
      <w:r>
        <w:t>is</w:t>
      </w:r>
      <w:r>
        <w:rPr>
          <w:spacing w:val="-2"/>
        </w:rPr>
        <w:t xml:space="preserve"> </w:t>
      </w:r>
      <w:r>
        <w:t>a</w:t>
      </w:r>
      <w:r>
        <w:rPr>
          <w:spacing w:val="-1"/>
        </w:rPr>
        <w:t xml:space="preserve"> </w:t>
      </w:r>
      <w:r>
        <w:rPr>
          <w:spacing w:val="-4"/>
        </w:rPr>
        <w:t>God.</w:t>
      </w:r>
    </w:p>
    <w:p w14:paraId="7E002701" w14:textId="77777777" w:rsidR="009A58DB" w:rsidRDefault="009A58DB">
      <w:pPr>
        <w:pStyle w:val="BodyText"/>
        <w:spacing w:before="29"/>
        <w:ind w:left="0"/>
        <w:jc w:val="left"/>
      </w:pPr>
    </w:p>
    <w:p w14:paraId="7E002702" w14:textId="77777777" w:rsidR="009A58DB" w:rsidRDefault="00000000">
      <w:pPr>
        <w:pStyle w:val="BodyText"/>
        <w:spacing w:before="1" w:line="277" w:lineRule="exact"/>
        <w:ind w:left="9063"/>
        <w:jc w:val="left"/>
      </w:pPr>
      <w:bookmarkStart w:id="551" w:name="_bookmark551"/>
      <w:bookmarkEnd w:id="551"/>
      <w:r>
        <w:rPr>
          <w:color w:val="0562C1"/>
          <w:spacing w:val="-2"/>
          <w:u w:val="single" w:color="0562C1"/>
        </w:rPr>
        <w:t>[415]</w:t>
      </w:r>
    </w:p>
    <w:p w14:paraId="7E002703" w14:textId="77777777" w:rsidR="009A58DB" w:rsidRDefault="00000000">
      <w:pPr>
        <w:pStyle w:val="BodyText"/>
        <w:spacing w:line="277" w:lineRule="exact"/>
        <w:ind w:left="720"/>
        <w:jc w:val="left"/>
      </w:pPr>
      <w:r>
        <w:t>The</w:t>
      </w:r>
      <w:r>
        <w:rPr>
          <w:spacing w:val="13"/>
        </w:rPr>
        <w:t xml:space="preserve"> </w:t>
      </w:r>
      <w:r>
        <w:t>first</w:t>
      </w:r>
      <w:r>
        <w:rPr>
          <w:spacing w:val="13"/>
        </w:rPr>
        <w:t xml:space="preserve"> </w:t>
      </w:r>
      <w:r>
        <w:t>sentence</w:t>
      </w:r>
      <w:r>
        <w:rPr>
          <w:spacing w:val="13"/>
        </w:rPr>
        <w:t xml:space="preserve"> </w:t>
      </w:r>
      <w:r>
        <w:t>of</w:t>
      </w:r>
      <w:r>
        <w:rPr>
          <w:spacing w:val="14"/>
        </w:rPr>
        <w:t xml:space="preserve"> </w:t>
      </w:r>
      <w:r>
        <w:t>AG</w:t>
      </w:r>
      <w:r>
        <w:rPr>
          <w:vertAlign w:val="subscript"/>
        </w:rPr>
        <w:t>1</w:t>
      </w:r>
      <w:r>
        <w:t>,</w:t>
      </w:r>
      <w:r>
        <w:rPr>
          <w:spacing w:val="15"/>
        </w:rPr>
        <w:t xml:space="preserve"> </w:t>
      </w:r>
      <w:r>
        <w:t>which</w:t>
      </w:r>
      <w:r>
        <w:rPr>
          <w:spacing w:val="15"/>
        </w:rPr>
        <w:t xml:space="preserve"> </w:t>
      </w:r>
      <w:r>
        <w:t>we’ll</w:t>
      </w:r>
      <w:r>
        <w:rPr>
          <w:spacing w:val="15"/>
        </w:rPr>
        <w:t xml:space="preserve"> </w:t>
      </w:r>
      <w:r>
        <w:t>refer</w:t>
      </w:r>
      <w:r>
        <w:rPr>
          <w:spacing w:val="15"/>
        </w:rPr>
        <w:t xml:space="preserve"> </w:t>
      </w:r>
      <w:r>
        <w:t>to</w:t>
      </w:r>
      <w:r>
        <w:rPr>
          <w:spacing w:val="16"/>
        </w:rPr>
        <w:t xml:space="preserve"> </w:t>
      </w:r>
      <w:r>
        <w:t>as</w:t>
      </w:r>
      <w:r>
        <w:rPr>
          <w:spacing w:val="15"/>
        </w:rPr>
        <w:t xml:space="preserve"> </w:t>
      </w:r>
      <w:r>
        <w:t>(a),</w:t>
      </w:r>
      <w:r>
        <w:rPr>
          <w:spacing w:val="15"/>
        </w:rPr>
        <w:t xml:space="preserve"> </w:t>
      </w:r>
      <w:r>
        <w:t>is</w:t>
      </w:r>
      <w:r>
        <w:rPr>
          <w:spacing w:val="15"/>
        </w:rPr>
        <w:t xml:space="preserve"> </w:t>
      </w:r>
      <w:r>
        <w:rPr>
          <w:spacing w:val="-2"/>
        </w:rPr>
        <w:t>ambiguous.</w:t>
      </w:r>
    </w:p>
    <w:p w14:paraId="7E002704" w14:textId="77777777" w:rsidR="009A58DB" w:rsidRDefault="00000000">
      <w:pPr>
        <w:pStyle w:val="BodyText"/>
        <w:spacing w:before="75"/>
        <w:jc w:val="left"/>
      </w:pPr>
      <w:r>
        <w:t>It</w:t>
      </w:r>
      <w:r>
        <w:rPr>
          <w:spacing w:val="-5"/>
        </w:rPr>
        <w:t xml:space="preserve"> </w:t>
      </w:r>
      <w:r>
        <w:t>could</w:t>
      </w:r>
      <w:r>
        <w:rPr>
          <w:spacing w:val="-2"/>
        </w:rPr>
        <w:t xml:space="preserve"> </w:t>
      </w:r>
      <w:r>
        <w:t>mean</w:t>
      </w:r>
      <w:r>
        <w:rPr>
          <w:spacing w:val="-2"/>
        </w:rPr>
        <w:t xml:space="preserve"> either:</w:t>
      </w:r>
    </w:p>
    <w:p w14:paraId="7E002705" w14:textId="77777777" w:rsidR="009A58DB" w:rsidRDefault="009A58DB">
      <w:pPr>
        <w:pStyle w:val="BodyText"/>
        <w:spacing w:before="30"/>
        <w:ind w:left="0"/>
        <w:jc w:val="left"/>
      </w:pPr>
    </w:p>
    <w:p w14:paraId="7E002706" w14:textId="77777777" w:rsidR="009A58DB" w:rsidRDefault="00000000">
      <w:pPr>
        <w:pStyle w:val="BodyText"/>
        <w:spacing w:line="542" w:lineRule="auto"/>
        <w:ind w:right="1488"/>
        <w:jc w:val="left"/>
      </w:pPr>
      <w:r>
        <w:t>(a</w:t>
      </w:r>
      <w:r>
        <w:rPr>
          <w:vertAlign w:val="subscript"/>
        </w:rPr>
        <w:t>1</w:t>
      </w:r>
      <w:r>
        <w:t>)</w:t>
      </w:r>
      <w:r>
        <w:rPr>
          <w:spacing w:val="-3"/>
        </w:rPr>
        <w:t xml:space="preserve"> </w:t>
      </w:r>
      <w:r>
        <w:t>Given</w:t>
      </w:r>
      <w:r>
        <w:rPr>
          <w:spacing w:val="-2"/>
        </w:rPr>
        <w:t xml:space="preserve"> </w:t>
      </w:r>
      <w:r>
        <w:t>any</w:t>
      </w:r>
      <w:r>
        <w:rPr>
          <w:spacing w:val="-2"/>
        </w:rPr>
        <w:t xml:space="preserve"> </w:t>
      </w:r>
      <w:r>
        <w:t>event</w:t>
      </w:r>
      <w:r>
        <w:rPr>
          <w:spacing w:val="-3"/>
        </w:rPr>
        <w:t xml:space="preserve"> </w:t>
      </w:r>
      <w:r>
        <w:t>x,</w:t>
      </w:r>
      <w:r>
        <w:rPr>
          <w:spacing w:val="-2"/>
        </w:rPr>
        <w:t xml:space="preserve"> </w:t>
      </w:r>
      <w:r>
        <w:t>there</w:t>
      </w:r>
      <w:r>
        <w:rPr>
          <w:spacing w:val="-3"/>
        </w:rPr>
        <w:t xml:space="preserve"> </w:t>
      </w:r>
      <w:r>
        <w:t>is</w:t>
      </w:r>
      <w:r>
        <w:rPr>
          <w:spacing w:val="-3"/>
        </w:rPr>
        <w:t xml:space="preserve"> </w:t>
      </w:r>
      <w:r>
        <w:t>some</w:t>
      </w:r>
      <w:r>
        <w:rPr>
          <w:spacing w:val="-3"/>
        </w:rPr>
        <w:t xml:space="preserve"> </w:t>
      </w:r>
      <w:r>
        <w:t>event</w:t>
      </w:r>
      <w:r>
        <w:rPr>
          <w:spacing w:val="-3"/>
        </w:rPr>
        <w:t xml:space="preserve"> </w:t>
      </w:r>
      <w:r>
        <w:t>y,</w:t>
      </w:r>
      <w:r>
        <w:rPr>
          <w:spacing w:val="-2"/>
        </w:rPr>
        <w:t xml:space="preserve"> </w:t>
      </w:r>
      <w:r>
        <w:t>such</w:t>
      </w:r>
      <w:r>
        <w:rPr>
          <w:spacing w:val="-2"/>
        </w:rPr>
        <w:t xml:space="preserve"> </w:t>
      </w:r>
      <w:r>
        <w:t>that</w:t>
      </w:r>
      <w:r>
        <w:rPr>
          <w:spacing w:val="-3"/>
        </w:rPr>
        <w:t xml:space="preserve"> </w:t>
      </w:r>
      <w:r>
        <w:t>y</w:t>
      </w:r>
      <w:r>
        <w:rPr>
          <w:spacing w:val="-2"/>
        </w:rPr>
        <w:t xml:space="preserve"> </w:t>
      </w:r>
      <w:r>
        <w:t>precedes</w:t>
      </w:r>
      <w:r>
        <w:rPr>
          <w:spacing w:val="-3"/>
        </w:rPr>
        <w:t xml:space="preserve"> </w:t>
      </w:r>
      <w:r>
        <w:t xml:space="preserve">x </w:t>
      </w:r>
      <w:r>
        <w:rPr>
          <w:spacing w:val="-6"/>
        </w:rPr>
        <w:t>or</w:t>
      </w:r>
    </w:p>
    <w:p w14:paraId="7E002707" w14:textId="77777777" w:rsidR="009A58DB" w:rsidRDefault="00000000">
      <w:pPr>
        <w:pStyle w:val="BodyText"/>
        <w:spacing w:line="286" w:lineRule="exact"/>
        <w:jc w:val="left"/>
      </w:pPr>
      <w:r>
        <w:t>(a</w:t>
      </w:r>
      <w:r>
        <w:rPr>
          <w:vertAlign w:val="subscript"/>
        </w:rPr>
        <w:t>2</w:t>
      </w:r>
      <w:r>
        <w:t>)</w:t>
      </w:r>
      <w:r>
        <w:rPr>
          <w:spacing w:val="-2"/>
        </w:rPr>
        <w:t xml:space="preserve"> </w:t>
      </w:r>
      <w:r>
        <w:t>there</w:t>
      </w:r>
      <w:r>
        <w:rPr>
          <w:spacing w:val="-1"/>
        </w:rPr>
        <w:t xml:space="preserve"> </w:t>
      </w:r>
      <w:r>
        <w:t>is</w:t>
      </w:r>
      <w:r>
        <w:rPr>
          <w:spacing w:val="-1"/>
        </w:rPr>
        <w:t xml:space="preserve"> </w:t>
      </w:r>
      <w:r>
        <w:t>some</w:t>
      </w:r>
      <w:r>
        <w:rPr>
          <w:spacing w:val="-2"/>
        </w:rPr>
        <w:t xml:space="preserve"> </w:t>
      </w:r>
      <w:r>
        <w:t>event</w:t>
      </w:r>
      <w:r>
        <w:rPr>
          <w:spacing w:val="-1"/>
        </w:rPr>
        <w:t xml:space="preserve"> </w:t>
      </w:r>
      <w:r>
        <w:t>x such</w:t>
      </w:r>
      <w:r>
        <w:rPr>
          <w:spacing w:val="-1"/>
        </w:rPr>
        <w:t xml:space="preserve"> </w:t>
      </w:r>
      <w:r>
        <w:t>that, for</w:t>
      </w:r>
      <w:r>
        <w:rPr>
          <w:spacing w:val="-1"/>
        </w:rPr>
        <w:t xml:space="preserve"> </w:t>
      </w:r>
      <w:r>
        <w:t>any event</w:t>
      </w:r>
      <w:r>
        <w:rPr>
          <w:spacing w:val="-2"/>
        </w:rPr>
        <w:t xml:space="preserve"> </w:t>
      </w:r>
      <w:r>
        <w:t>y, x precedes</w:t>
      </w:r>
      <w:r>
        <w:rPr>
          <w:spacing w:val="-2"/>
        </w:rPr>
        <w:t xml:space="preserve"> </w:t>
      </w:r>
      <w:r>
        <w:rPr>
          <w:spacing w:val="-5"/>
        </w:rPr>
        <w:t>y.</w:t>
      </w:r>
    </w:p>
    <w:p w14:paraId="7E002708" w14:textId="77777777" w:rsidR="009A58DB" w:rsidRDefault="009A58DB">
      <w:pPr>
        <w:pStyle w:val="BodyText"/>
        <w:spacing w:before="90"/>
        <w:ind w:left="0"/>
        <w:jc w:val="left"/>
      </w:pPr>
    </w:p>
    <w:p w14:paraId="7E002709" w14:textId="77777777" w:rsidR="009A58DB" w:rsidRDefault="00000000">
      <w:pPr>
        <w:pStyle w:val="BodyText"/>
        <w:spacing w:line="292" w:lineRule="auto"/>
        <w:ind w:firstLine="360"/>
        <w:jc w:val="left"/>
      </w:pPr>
      <w:r>
        <w:t>(a</w:t>
      </w:r>
      <w:r>
        <w:rPr>
          <w:vertAlign w:val="subscript"/>
        </w:rPr>
        <w:t>1</w:t>
      </w:r>
      <w:r>
        <w:t>)</w:t>
      </w:r>
      <w:r>
        <w:rPr>
          <w:spacing w:val="40"/>
        </w:rPr>
        <w:t xml:space="preserve"> </w:t>
      </w:r>
      <w:r>
        <w:t>says</w:t>
      </w:r>
      <w:r>
        <w:rPr>
          <w:spacing w:val="40"/>
        </w:rPr>
        <w:t xml:space="preserve"> </w:t>
      </w:r>
      <w:r>
        <w:t>that</w:t>
      </w:r>
      <w:r>
        <w:rPr>
          <w:spacing w:val="40"/>
        </w:rPr>
        <w:t xml:space="preserve"> </w:t>
      </w:r>
      <w:r>
        <w:t>any</w:t>
      </w:r>
      <w:r>
        <w:rPr>
          <w:spacing w:val="40"/>
        </w:rPr>
        <w:t xml:space="preserve"> </w:t>
      </w:r>
      <w:r>
        <w:t>given</w:t>
      </w:r>
      <w:r>
        <w:rPr>
          <w:spacing w:val="40"/>
        </w:rPr>
        <w:t xml:space="preserve"> </w:t>
      </w:r>
      <w:r>
        <w:t>event</w:t>
      </w:r>
      <w:r>
        <w:rPr>
          <w:spacing w:val="40"/>
        </w:rPr>
        <w:t xml:space="preserve"> </w:t>
      </w:r>
      <w:r>
        <w:t>has</w:t>
      </w:r>
      <w:r>
        <w:rPr>
          <w:spacing w:val="40"/>
        </w:rPr>
        <w:t xml:space="preserve"> </w:t>
      </w:r>
      <w:r>
        <w:t>a</w:t>
      </w:r>
      <w:r>
        <w:rPr>
          <w:spacing w:val="40"/>
        </w:rPr>
        <w:t xml:space="preserve"> </w:t>
      </w:r>
      <w:r>
        <w:t>predecessor.</w:t>
      </w:r>
      <w:r>
        <w:rPr>
          <w:spacing w:val="40"/>
        </w:rPr>
        <w:t xml:space="preserve"> </w:t>
      </w:r>
      <w:r>
        <w:t>(a</w:t>
      </w:r>
      <w:r>
        <w:rPr>
          <w:vertAlign w:val="subscript"/>
        </w:rPr>
        <w:t>2</w:t>
      </w:r>
      <w:r>
        <w:t>)</w:t>
      </w:r>
      <w:r>
        <w:rPr>
          <w:spacing w:val="40"/>
        </w:rPr>
        <w:t xml:space="preserve"> </w:t>
      </w:r>
      <w:r>
        <w:t>says</w:t>
      </w:r>
      <w:r>
        <w:rPr>
          <w:spacing w:val="40"/>
        </w:rPr>
        <w:t xml:space="preserve"> </w:t>
      </w:r>
      <w:r>
        <w:t>that</w:t>
      </w:r>
      <w:r>
        <w:rPr>
          <w:spacing w:val="40"/>
        </w:rPr>
        <w:t xml:space="preserve"> </w:t>
      </w:r>
      <w:r>
        <w:t>there</w:t>
      </w:r>
      <w:r>
        <w:rPr>
          <w:spacing w:val="40"/>
        </w:rPr>
        <w:t xml:space="preserve"> </w:t>
      </w:r>
      <w:r>
        <w:t xml:space="preserve">is some event that is the predecessor of </w:t>
      </w:r>
      <w:r>
        <w:rPr>
          <w:i/>
        </w:rPr>
        <w:t xml:space="preserve">every </w:t>
      </w:r>
      <w:r>
        <w:t>event.</w:t>
      </w:r>
    </w:p>
    <w:p w14:paraId="7E00270A" w14:textId="77777777" w:rsidR="009A58DB" w:rsidRDefault="00000000">
      <w:pPr>
        <w:pStyle w:val="BodyText"/>
        <w:spacing w:line="283" w:lineRule="exact"/>
        <w:ind w:left="720"/>
        <w:jc w:val="left"/>
      </w:pPr>
      <w:r>
        <w:t>(a</w:t>
      </w:r>
      <w:r>
        <w:rPr>
          <w:vertAlign w:val="subscript"/>
        </w:rPr>
        <w:t>1</w:t>
      </w:r>
      <w:r>
        <w:t>)</w:t>
      </w:r>
      <w:r>
        <w:rPr>
          <w:spacing w:val="2"/>
        </w:rPr>
        <w:t xml:space="preserve"> </w:t>
      </w:r>
      <w:r>
        <w:t>does</w:t>
      </w:r>
      <w:r>
        <w:rPr>
          <w:spacing w:val="2"/>
        </w:rPr>
        <w:t xml:space="preserve"> </w:t>
      </w:r>
      <w:r>
        <w:rPr>
          <w:i/>
        </w:rPr>
        <w:t>not</w:t>
      </w:r>
      <w:r>
        <w:rPr>
          <w:i/>
          <w:spacing w:val="2"/>
        </w:rPr>
        <w:t xml:space="preserve"> </w:t>
      </w:r>
      <w:r>
        <w:t>entail</w:t>
      </w:r>
      <w:r>
        <w:rPr>
          <w:spacing w:val="2"/>
        </w:rPr>
        <w:t xml:space="preserve"> </w:t>
      </w:r>
      <w:r>
        <w:rPr>
          <w:spacing w:val="-4"/>
        </w:rPr>
        <w:t>that</w:t>
      </w:r>
    </w:p>
    <w:p w14:paraId="7E00270B" w14:textId="77777777" w:rsidR="009A58DB" w:rsidRDefault="009A58DB">
      <w:pPr>
        <w:pStyle w:val="BodyText"/>
        <w:spacing w:before="90"/>
        <w:ind w:left="0"/>
        <w:jc w:val="left"/>
      </w:pPr>
    </w:p>
    <w:p w14:paraId="7E00270C" w14:textId="77777777" w:rsidR="009A58DB" w:rsidRDefault="00000000">
      <w:pPr>
        <w:pStyle w:val="ListParagraph"/>
        <w:numPr>
          <w:ilvl w:val="0"/>
          <w:numId w:val="51"/>
        </w:numPr>
        <w:tabs>
          <w:tab w:val="left" w:pos="782"/>
        </w:tabs>
        <w:ind w:left="782" w:hanging="422"/>
        <w:rPr>
          <w:sz w:val="30"/>
        </w:rPr>
      </w:pPr>
      <w:r>
        <w:rPr>
          <w:sz w:val="30"/>
        </w:rPr>
        <w:t>there</w:t>
      </w:r>
      <w:r>
        <w:rPr>
          <w:spacing w:val="-6"/>
          <w:sz w:val="30"/>
        </w:rPr>
        <w:t xml:space="preserve"> </w:t>
      </w:r>
      <w:r>
        <w:rPr>
          <w:sz w:val="30"/>
        </w:rPr>
        <w:t>is</w:t>
      </w:r>
      <w:r>
        <w:rPr>
          <w:spacing w:val="-3"/>
          <w:sz w:val="30"/>
        </w:rPr>
        <w:t xml:space="preserve"> </w:t>
      </w:r>
      <w:r>
        <w:rPr>
          <w:sz w:val="30"/>
        </w:rPr>
        <w:t>some</w:t>
      </w:r>
      <w:r>
        <w:rPr>
          <w:spacing w:val="-3"/>
          <w:sz w:val="30"/>
        </w:rPr>
        <w:t xml:space="preserve"> </w:t>
      </w:r>
      <w:r>
        <w:rPr>
          <w:sz w:val="30"/>
        </w:rPr>
        <w:t>event</w:t>
      </w:r>
      <w:r>
        <w:rPr>
          <w:spacing w:val="-3"/>
          <w:sz w:val="30"/>
        </w:rPr>
        <w:t xml:space="preserve"> </w:t>
      </w:r>
      <w:r>
        <w:rPr>
          <w:sz w:val="30"/>
        </w:rPr>
        <w:t>that</w:t>
      </w:r>
      <w:r>
        <w:rPr>
          <w:spacing w:val="-3"/>
          <w:sz w:val="30"/>
        </w:rPr>
        <w:t xml:space="preserve"> </w:t>
      </w:r>
      <w:r>
        <w:rPr>
          <w:sz w:val="30"/>
        </w:rPr>
        <w:t>is</w:t>
      </w:r>
      <w:r>
        <w:rPr>
          <w:spacing w:val="-4"/>
          <w:sz w:val="30"/>
        </w:rPr>
        <w:t xml:space="preserve"> </w:t>
      </w:r>
      <w:r>
        <w:rPr>
          <w:sz w:val="30"/>
        </w:rPr>
        <w:t>the</w:t>
      </w:r>
      <w:r>
        <w:rPr>
          <w:spacing w:val="-3"/>
          <w:sz w:val="30"/>
        </w:rPr>
        <w:t xml:space="preserve"> </w:t>
      </w:r>
      <w:r>
        <w:rPr>
          <w:sz w:val="30"/>
        </w:rPr>
        <w:t>predecessor</w:t>
      </w:r>
      <w:r>
        <w:rPr>
          <w:spacing w:val="-3"/>
          <w:sz w:val="30"/>
        </w:rPr>
        <w:t xml:space="preserve"> </w:t>
      </w:r>
      <w:r>
        <w:rPr>
          <w:sz w:val="30"/>
        </w:rPr>
        <w:t>of</w:t>
      </w:r>
      <w:r>
        <w:rPr>
          <w:spacing w:val="-3"/>
          <w:sz w:val="30"/>
        </w:rPr>
        <w:t xml:space="preserve"> </w:t>
      </w:r>
      <w:r>
        <w:rPr>
          <w:sz w:val="30"/>
        </w:rPr>
        <w:t>every</w:t>
      </w:r>
      <w:r>
        <w:rPr>
          <w:spacing w:val="-2"/>
          <w:sz w:val="30"/>
        </w:rPr>
        <w:t xml:space="preserve"> event.</w:t>
      </w:r>
    </w:p>
    <w:p w14:paraId="7E00270D"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70E" w14:textId="77777777" w:rsidR="009A58DB" w:rsidRDefault="00000000">
      <w:pPr>
        <w:pStyle w:val="BodyText"/>
        <w:spacing w:before="65" w:line="249" w:lineRule="auto"/>
        <w:ind w:right="367" w:firstLine="360"/>
      </w:pPr>
      <w:r>
        <w:lastRenderedPageBreak/>
        <w:t>Any</w:t>
      </w:r>
      <w:r>
        <w:rPr>
          <w:spacing w:val="-3"/>
        </w:rPr>
        <w:t xml:space="preserve"> </w:t>
      </w:r>
      <w:r>
        <w:t>given</w:t>
      </w:r>
      <w:r>
        <w:rPr>
          <w:spacing w:val="-3"/>
        </w:rPr>
        <w:t xml:space="preserve"> </w:t>
      </w:r>
      <w:r>
        <w:t>integer</w:t>
      </w:r>
      <w:r>
        <w:rPr>
          <w:spacing w:val="-4"/>
        </w:rPr>
        <w:t xml:space="preserve"> </w:t>
      </w:r>
      <w:r>
        <w:t>has</w:t>
      </w:r>
      <w:r>
        <w:rPr>
          <w:spacing w:val="-4"/>
        </w:rPr>
        <w:t xml:space="preserve"> </w:t>
      </w:r>
      <w:r>
        <w:t>a</w:t>
      </w:r>
      <w:r>
        <w:rPr>
          <w:spacing w:val="-4"/>
        </w:rPr>
        <w:t xml:space="preserve"> </w:t>
      </w:r>
      <w:r>
        <w:t>predecessor.</w:t>
      </w:r>
      <w:r>
        <w:rPr>
          <w:spacing w:val="-3"/>
        </w:rPr>
        <w:t xml:space="preserve"> </w:t>
      </w:r>
      <w:r>
        <w:t>Given</w:t>
      </w:r>
      <w:r>
        <w:rPr>
          <w:spacing w:val="-3"/>
        </w:rPr>
        <w:t xml:space="preserve"> </w:t>
      </w:r>
      <w:r>
        <w:t>only</w:t>
      </w:r>
      <w:r>
        <w:rPr>
          <w:spacing w:val="-3"/>
        </w:rPr>
        <w:t xml:space="preserve"> </w:t>
      </w:r>
      <w:r>
        <w:t>that</w:t>
      </w:r>
      <w:r>
        <w:rPr>
          <w:spacing w:val="-4"/>
        </w:rPr>
        <w:t xml:space="preserve"> </w:t>
      </w:r>
      <w:r>
        <w:t>any</w:t>
      </w:r>
      <w:r>
        <w:rPr>
          <w:spacing w:val="-3"/>
        </w:rPr>
        <w:t xml:space="preserve"> </w:t>
      </w:r>
      <w:r>
        <w:t>given</w:t>
      </w:r>
      <w:r>
        <w:rPr>
          <w:spacing w:val="-3"/>
        </w:rPr>
        <w:t xml:space="preserve"> </w:t>
      </w:r>
      <w:r>
        <w:t>integer</w:t>
      </w:r>
      <w:r>
        <w:rPr>
          <w:spacing w:val="-4"/>
        </w:rPr>
        <w:t xml:space="preserve"> </w:t>
      </w:r>
      <w:r>
        <w:t>has a predecessor, it doesn’t follow that some one integer precedes every other—nor is it the case. Similarly, given only that any given event has a</w:t>
      </w:r>
      <w:r>
        <w:rPr>
          <w:spacing w:val="40"/>
        </w:rPr>
        <w:t xml:space="preserve"> </w:t>
      </w:r>
      <w:r>
        <w:t>predecessor, it doesn’t follow that some one event precedes every other.</w:t>
      </w:r>
    </w:p>
    <w:p w14:paraId="7E00270F" w14:textId="77777777" w:rsidR="009A58DB" w:rsidRDefault="00000000">
      <w:pPr>
        <w:pStyle w:val="BodyText"/>
        <w:spacing w:before="5" w:line="292" w:lineRule="auto"/>
        <w:ind w:right="358" w:firstLine="360"/>
      </w:pPr>
      <w:r>
        <w:t>So (a) fails if (a) is taken to have (a</w:t>
      </w:r>
      <w:r>
        <w:rPr>
          <w:vertAlign w:val="subscript"/>
        </w:rPr>
        <w:t>1</w:t>
      </w:r>
      <w:r>
        <w:t>) for its meaning, and AG</w:t>
      </w:r>
      <w:r>
        <w:rPr>
          <w:vertAlign w:val="subscript"/>
        </w:rPr>
        <w:t>1</w:t>
      </w:r>
      <w:r>
        <w:t xml:space="preserve"> must therefore</w:t>
      </w:r>
      <w:r>
        <w:rPr>
          <w:spacing w:val="35"/>
        </w:rPr>
        <w:t xml:space="preserve"> </w:t>
      </w:r>
      <w:r>
        <w:t>be</w:t>
      </w:r>
      <w:r>
        <w:rPr>
          <w:spacing w:val="37"/>
        </w:rPr>
        <w:t xml:space="preserve"> </w:t>
      </w:r>
      <w:r>
        <w:t>assumed</w:t>
      </w:r>
      <w:r>
        <w:rPr>
          <w:spacing w:val="36"/>
        </w:rPr>
        <w:t xml:space="preserve"> </w:t>
      </w:r>
      <w:r>
        <w:t>to</w:t>
      </w:r>
      <w:r>
        <w:rPr>
          <w:spacing w:val="37"/>
        </w:rPr>
        <w:t xml:space="preserve"> </w:t>
      </w:r>
      <w:r>
        <w:t>have</w:t>
      </w:r>
      <w:r>
        <w:rPr>
          <w:spacing w:val="36"/>
        </w:rPr>
        <w:t xml:space="preserve"> </w:t>
      </w:r>
      <w:r>
        <w:t>(a</w:t>
      </w:r>
      <w:r>
        <w:rPr>
          <w:vertAlign w:val="subscript"/>
        </w:rPr>
        <w:t>2</w:t>
      </w:r>
      <w:r>
        <w:t>)</w:t>
      </w:r>
      <w:r>
        <w:rPr>
          <w:spacing w:val="39"/>
        </w:rPr>
        <w:t xml:space="preserve"> </w:t>
      </w:r>
      <w:r>
        <w:t>for</w:t>
      </w:r>
      <w:r>
        <w:rPr>
          <w:spacing w:val="38"/>
        </w:rPr>
        <w:t xml:space="preserve"> </w:t>
      </w:r>
      <w:r>
        <w:t>its</w:t>
      </w:r>
      <w:r>
        <w:rPr>
          <w:spacing w:val="40"/>
        </w:rPr>
        <w:t xml:space="preserve"> </w:t>
      </w:r>
      <w:r>
        <w:t>meaning.</w:t>
      </w:r>
      <w:r>
        <w:rPr>
          <w:spacing w:val="39"/>
        </w:rPr>
        <w:t xml:space="preserve"> </w:t>
      </w:r>
      <w:r>
        <w:t>But</w:t>
      </w:r>
      <w:r>
        <w:rPr>
          <w:spacing w:val="40"/>
        </w:rPr>
        <w:t xml:space="preserve"> </w:t>
      </w:r>
      <w:r>
        <w:t>(a</w:t>
      </w:r>
      <w:r>
        <w:rPr>
          <w:vertAlign w:val="subscript"/>
        </w:rPr>
        <w:t>2</w:t>
      </w:r>
      <w:r>
        <w:t>)</w:t>
      </w:r>
      <w:r>
        <w:rPr>
          <w:spacing w:val="38"/>
        </w:rPr>
        <w:t xml:space="preserve"> </w:t>
      </w:r>
      <w:r>
        <w:t>and</w:t>
      </w:r>
      <w:r>
        <w:rPr>
          <w:spacing w:val="38"/>
        </w:rPr>
        <w:t xml:space="preserve"> </w:t>
      </w:r>
      <w:r>
        <w:t>(b)</w:t>
      </w:r>
      <w:r>
        <w:rPr>
          <w:spacing w:val="38"/>
        </w:rPr>
        <w:t xml:space="preserve"> </w:t>
      </w:r>
      <w:r>
        <w:t>are</w:t>
      </w:r>
      <w:r>
        <w:rPr>
          <w:spacing w:val="37"/>
        </w:rPr>
        <w:t xml:space="preserve"> </w:t>
      </w:r>
      <w:r>
        <w:rPr>
          <w:spacing w:val="-5"/>
        </w:rPr>
        <w:t>the</w:t>
      </w:r>
    </w:p>
    <w:p w14:paraId="7E002710" w14:textId="77777777" w:rsidR="009A58DB" w:rsidRDefault="00000000">
      <w:pPr>
        <w:pStyle w:val="BodyText"/>
        <w:spacing w:line="249" w:lineRule="auto"/>
        <w:ind w:right="358"/>
      </w:pPr>
      <w:r>
        <w:t xml:space="preserve">very same statement. So Aquinas has simply </w:t>
      </w:r>
      <w:r>
        <w:rPr>
          <w:i/>
        </w:rPr>
        <w:t xml:space="preserve">assumed </w:t>
      </w:r>
      <w:r>
        <w:t>that there was a first event, and he thus hasn’t established it at all.</w:t>
      </w:r>
    </w:p>
    <w:p w14:paraId="7E002711" w14:textId="77777777" w:rsidR="009A58DB" w:rsidRDefault="00000000">
      <w:pPr>
        <w:pStyle w:val="BodyText"/>
        <w:spacing w:line="249" w:lineRule="auto"/>
        <w:ind w:right="358" w:firstLine="360"/>
      </w:pPr>
      <w:r>
        <w:t>But supposing, if only for argument’s sake, that there was a first event, it doesn’t follow, at least not for any obvious reason, that it was an act of God. Why did I hedge with the phrase “at least for any obvious reason”? Because</w:t>
      </w:r>
      <w:r>
        <w:rPr>
          <w:spacing w:val="40"/>
        </w:rPr>
        <w:t xml:space="preserve"> </w:t>
      </w:r>
      <w:r>
        <w:t xml:space="preserve">it </w:t>
      </w:r>
      <w:r>
        <w:rPr>
          <w:i/>
        </w:rPr>
        <w:t xml:space="preserve">may be </w:t>
      </w:r>
      <w:r>
        <w:t xml:space="preserve">that, if there was a first event, there is a God. (I personally do not know this to be false.) It </w:t>
      </w:r>
      <w:r>
        <w:rPr>
          <w:i/>
        </w:rPr>
        <w:t xml:space="preserve">may </w:t>
      </w:r>
      <w:r>
        <w:t>be that atheists cannot, without being guilty of inconsistency, believe in a first event (such as the Big Bang). But even if this is true, it cannot be taken for granted; it must be demonstrated. And Aquinas</w:t>
      </w:r>
    </w:p>
    <w:p w14:paraId="7E002712" w14:textId="77777777" w:rsidR="009A58DB" w:rsidRDefault="00000000">
      <w:pPr>
        <w:pStyle w:val="BodyText"/>
        <w:spacing w:before="9" w:line="277" w:lineRule="exact"/>
        <w:ind w:left="3099"/>
        <w:jc w:val="left"/>
      </w:pPr>
      <w:bookmarkStart w:id="552" w:name="_bookmark552"/>
      <w:bookmarkEnd w:id="552"/>
      <w:r>
        <w:rPr>
          <w:color w:val="0562C1"/>
          <w:spacing w:val="-2"/>
          <w:u w:val="single" w:color="0562C1"/>
        </w:rPr>
        <w:t>[416]</w:t>
      </w:r>
    </w:p>
    <w:p w14:paraId="7E002713" w14:textId="77777777" w:rsidR="009A58DB" w:rsidRDefault="00000000">
      <w:pPr>
        <w:pStyle w:val="BodyText"/>
        <w:spacing w:line="277" w:lineRule="exact"/>
        <w:jc w:val="left"/>
      </w:pPr>
      <w:r>
        <w:t>hasn’t</w:t>
      </w:r>
      <w:r>
        <w:rPr>
          <w:spacing w:val="-7"/>
        </w:rPr>
        <w:t xml:space="preserve"> </w:t>
      </w:r>
      <w:r>
        <w:t>demonstrated</w:t>
      </w:r>
      <w:r>
        <w:rPr>
          <w:spacing w:val="-5"/>
        </w:rPr>
        <w:t xml:space="preserve"> it.</w:t>
      </w:r>
    </w:p>
    <w:p w14:paraId="7E002714" w14:textId="77777777" w:rsidR="009A58DB" w:rsidRDefault="00000000">
      <w:pPr>
        <w:pStyle w:val="BodyText"/>
        <w:spacing w:before="15"/>
        <w:ind w:left="720"/>
        <w:jc w:val="left"/>
      </w:pPr>
      <w:r>
        <w:t>Aquinas</w:t>
      </w:r>
      <w:r>
        <w:rPr>
          <w:spacing w:val="-7"/>
        </w:rPr>
        <w:t xml:space="preserve"> </w:t>
      </w:r>
      <w:r>
        <w:t>gave</w:t>
      </w:r>
      <w:r>
        <w:rPr>
          <w:spacing w:val="-4"/>
        </w:rPr>
        <w:t xml:space="preserve"> </w:t>
      </w:r>
      <w:r>
        <w:t>another,</w:t>
      </w:r>
      <w:r>
        <w:rPr>
          <w:spacing w:val="-4"/>
        </w:rPr>
        <w:t xml:space="preserve"> </w:t>
      </w:r>
      <w:r>
        <w:t>similarly</w:t>
      </w:r>
      <w:r>
        <w:rPr>
          <w:spacing w:val="-4"/>
        </w:rPr>
        <w:t xml:space="preserve"> </w:t>
      </w:r>
      <w:r>
        <w:t>flawed</w:t>
      </w:r>
      <w:r>
        <w:rPr>
          <w:spacing w:val="-3"/>
        </w:rPr>
        <w:t xml:space="preserve"> </w:t>
      </w:r>
      <w:r>
        <w:t>argument</w:t>
      </w:r>
      <w:r>
        <w:rPr>
          <w:spacing w:val="-5"/>
        </w:rPr>
        <w:t xml:space="preserve"> </w:t>
      </w:r>
      <w:r>
        <w:t>for</w:t>
      </w:r>
      <w:r>
        <w:rPr>
          <w:spacing w:val="-4"/>
        </w:rPr>
        <w:t xml:space="preserve"> </w:t>
      </w:r>
      <w:r>
        <w:t>God’s</w:t>
      </w:r>
      <w:r>
        <w:rPr>
          <w:spacing w:val="-4"/>
        </w:rPr>
        <w:t xml:space="preserve"> </w:t>
      </w:r>
      <w:r>
        <w:rPr>
          <w:spacing w:val="-2"/>
        </w:rPr>
        <w:t>existence:</w:t>
      </w:r>
    </w:p>
    <w:p w14:paraId="7E002715" w14:textId="77777777" w:rsidR="009A58DB" w:rsidRDefault="009A58DB">
      <w:pPr>
        <w:pStyle w:val="BodyText"/>
        <w:spacing w:before="30"/>
        <w:ind w:left="0"/>
        <w:jc w:val="left"/>
      </w:pPr>
    </w:p>
    <w:p w14:paraId="7E002716" w14:textId="77777777" w:rsidR="009A58DB" w:rsidRDefault="00000000">
      <w:pPr>
        <w:pStyle w:val="BodyText"/>
        <w:spacing w:line="271" w:lineRule="auto"/>
        <w:ind w:left="720" w:right="365"/>
      </w:pPr>
      <w:r>
        <w:t>(AG</w:t>
      </w:r>
      <w:r>
        <w:rPr>
          <w:vertAlign w:val="subscript"/>
        </w:rPr>
        <w:t>2</w:t>
      </w:r>
      <w:r>
        <w:t>) There can’t be comparatives unless there are absolutes. I’m wealthier than you if I’m more like some absolutely wealthy entity than you</w:t>
      </w:r>
      <w:r>
        <w:rPr>
          <w:spacing w:val="13"/>
        </w:rPr>
        <w:t xml:space="preserve"> </w:t>
      </w:r>
      <w:r>
        <w:t>are.</w:t>
      </w:r>
      <w:r>
        <w:rPr>
          <w:spacing w:val="14"/>
        </w:rPr>
        <w:t xml:space="preserve"> </w:t>
      </w:r>
      <w:r>
        <w:t>I’m</w:t>
      </w:r>
      <w:r>
        <w:rPr>
          <w:spacing w:val="14"/>
        </w:rPr>
        <w:t xml:space="preserve"> </w:t>
      </w:r>
      <w:r>
        <w:t>better</w:t>
      </w:r>
      <w:r>
        <w:rPr>
          <w:spacing w:val="14"/>
        </w:rPr>
        <w:t xml:space="preserve"> </w:t>
      </w:r>
      <w:r>
        <w:t>than</w:t>
      </w:r>
      <w:r>
        <w:rPr>
          <w:spacing w:val="14"/>
        </w:rPr>
        <w:t xml:space="preserve"> </w:t>
      </w:r>
      <w:r>
        <w:t>you</w:t>
      </w:r>
      <w:r>
        <w:rPr>
          <w:spacing w:val="14"/>
        </w:rPr>
        <w:t xml:space="preserve"> </w:t>
      </w:r>
      <w:r>
        <w:t>if</w:t>
      </w:r>
      <w:r>
        <w:rPr>
          <w:spacing w:val="14"/>
        </w:rPr>
        <w:t xml:space="preserve"> </w:t>
      </w:r>
      <w:r>
        <w:t>I’m</w:t>
      </w:r>
      <w:r>
        <w:rPr>
          <w:spacing w:val="14"/>
        </w:rPr>
        <w:t xml:space="preserve"> </w:t>
      </w:r>
      <w:r>
        <w:t>more</w:t>
      </w:r>
      <w:r>
        <w:rPr>
          <w:spacing w:val="14"/>
        </w:rPr>
        <w:t xml:space="preserve"> </w:t>
      </w:r>
      <w:r>
        <w:t>like</w:t>
      </w:r>
      <w:r>
        <w:rPr>
          <w:spacing w:val="14"/>
        </w:rPr>
        <w:t xml:space="preserve"> </w:t>
      </w:r>
      <w:r>
        <w:t>some</w:t>
      </w:r>
      <w:r>
        <w:rPr>
          <w:spacing w:val="14"/>
        </w:rPr>
        <w:t xml:space="preserve"> </w:t>
      </w:r>
      <w:r>
        <w:t>absolutely</w:t>
      </w:r>
      <w:r>
        <w:rPr>
          <w:spacing w:val="14"/>
        </w:rPr>
        <w:t xml:space="preserve"> </w:t>
      </w:r>
      <w:r>
        <w:t>good</w:t>
      </w:r>
      <w:r>
        <w:rPr>
          <w:spacing w:val="14"/>
        </w:rPr>
        <w:t xml:space="preserve"> </w:t>
      </w:r>
      <w:r>
        <w:rPr>
          <w:spacing w:val="-2"/>
        </w:rPr>
        <w:t>entity</w:t>
      </w:r>
    </w:p>
    <w:p w14:paraId="7E002717" w14:textId="77777777" w:rsidR="009A58DB" w:rsidRDefault="00000000">
      <w:pPr>
        <w:pStyle w:val="BodyText"/>
        <w:spacing w:line="316" w:lineRule="exact"/>
        <w:ind w:left="720"/>
      </w:pPr>
      <w:r>
        <w:t>than</w:t>
      </w:r>
      <w:r>
        <w:rPr>
          <w:spacing w:val="28"/>
        </w:rPr>
        <w:t xml:space="preserve"> </w:t>
      </w:r>
      <w:r>
        <w:t>you</w:t>
      </w:r>
      <w:r>
        <w:rPr>
          <w:spacing w:val="28"/>
        </w:rPr>
        <w:t xml:space="preserve"> </w:t>
      </w:r>
      <w:r>
        <w:t>are.</w:t>
      </w:r>
      <w:r>
        <w:rPr>
          <w:spacing w:val="28"/>
        </w:rPr>
        <w:t xml:space="preserve"> </w:t>
      </w:r>
      <w:r>
        <w:t>Some</w:t>
      </w:r>
      <w:r>
        <w:rPr>
          <w:spacing w:val="29"/>
        </w:rPr>
        <w:t xml:space="preserve"> </w:t>
      </w:r>
      <w:r>
        <w:t>things</w:t>
      </w:r>
      <w:r>
        <w:rPr>
          <w:spacing w:val="28"/>
        </w:rPr>
        <w:t xml:space="preserve"> </w:t>
      </w:r>
      <w:r>
        <w:t>are</w:t>
      </w:r>
      <w:r>
        <w:rPr>
          <w:spacing w:val="28"/>
        </w:rPr>
        <w:t xml:space="preserve"> </w:t>
      </w:r>
      <w:r>
        <w:t>better</w:t>
      </w:r>
      <w:r>
        <w:rPr>
          <w:spacing w:val="28"/>
        </w:rPr>
        <w:t xml:space="preserve"> </w:t>
      </w:r>
      <w:r>
        <w:t>than</w:t>
      </w:r>
      <w:r>
        <w:rPr>
          <w:spacing w:val="29"/>
        </w:rPr>
        <w:t xml:space="preserve"> </w:t>
      </w:r>
      <w:r>
        <w:t>others.</w:t>
      </w:r>
      <w:r>
        <w:rPr>
          <w:spacing w:val="28"/>
        </w:rPr>
        <w:t xml:space="preserve"> </w:t>
      </w:r>
      <w:r>
        <w:t>Therefore,</w:t>
      </w:r>
      <w:r>
        <w:rPr>
          <w:spacing w:val="28"/>
        </w:rPr>
        <w:t xml:space="preserve"> </w:t>
      </w:r>
      <w:r>
        <w:t>some</w:t>
      </w:r>
      <w:r>
        <w:rPr>
          <w:spacing w:val="29"/>
        </w:rPr>
        <w:t xml:space="preserve"> </w:t>
      </w:r>
      <w:r>
        <w:rPr>
          <w:spacing w:val="-2"/>
        </w:rPr>
        <w:t>things</w:t>
      </w:r>
    </w:p>
    <w:p w14:paraId="7E002718" w14:textId="77777777" w:rsidR="009A58DB" w:rsidRDefault="00000000">
      <w:pPr>
        <w:pStyle w:val="BodyText"/>
        <w:spacing w:before="15" w:line="249" w:lineRule="auto"/>
        <w:ind w:left="720" w:right="368"/>
      </w:pPr>
      <w:r>
        <w:t>are more like some absolutely good thing than others. Therefore, there is some absolutely good thing. In other words, there is a God.</w:t>
      </w:r>
    </w:p>
    <w:p w14:paraId="7E002719" w14:textId="77777777" w:rsidR="009A58DB" w:rsidRDefault="009A58DB">
      <w:pPr>
        <w:pStyle w:val="BodyText"/>
        <w:spacing w:before="17"/>
        <w:ind w:left="0"/>
        <w:jc w:val="left"/>
      </w:pPr>
    </w:p>
    <w:p w14:paraId="7E00271A" w14:textId="77777777" w:rsidR="009A58DB" w:rsidRDefault="00000000">
      <w:pPr>
        <w:pStyle w:val="BodyText"/>
        <w:ind w:left="720"/>
        <w:jc w:val="left"/>
      </w:pPr>
      <w:r>
        <w:t>AG</w:t>
      </w:r>
      <w:r>
        <w:rPr>
          <w:vertAlign w:val="subscript"/>
        </w:rPr>
        <w:t>2</w:t>
      </w:r>
      <w:r>
        <w:rPr>
          <w:spacing w:val="-2"/>
        </w:rPr>
        <w:t xml:space="preserve"> </w:t>
      </w:r>
      <w:r>
        <w:t>is</w:t>
      </w:r>
      <w:r>
        <w:rPr>
          <w:spacing w:val="-2"/>
        </w:rPr>
        <w:t xml:space="preserve"> </w:t>
      </w:r>
      <w:r>
        <w:t>a</w:t>
      </w:r>
      <w:r>
        <w:rPr>
          <w:spacing w:val="-2"/>
        </w:rPr>
        <w:t xml:space="preserve"> </w:t>
      </w:r>
      <w:r>
        <w:t>failure.</w:t>
      </w:r>
      <w:r>
        <w:rPr>
          <w:spacing w:val="-1"/>
        </w:rPr>
        <w:t xml:space="preserve"> </w:t>
      </w:r>
      <w:r>
        <w:t>If</w:t>
      </w:r>
      <w:r>
        <w:rPr>
          <w:spacing w:val="-2"/>
        </w:rPr>
        <w:t xml:space="preserve"> </w:t>
      </w:r>
      <w:r>
        <w:t>Smith’s</w:t>
      </w:r>
      <w:r>
        <w:rPr>
          <w:spacing w:val="-2"/>
        </w:rPr>
        <w:t xml:space="preserve"> </w:t>
      </w:r>
      <w:r>
        <w:t>complexion</w:t>
      </w:r>
      <w:r>
        <w:rPr>
          <w:spacing w:val="-1"/>
        </w:rPr>
        <w:t xml:space="preserve"> </w:t>
      </w:r>
      <w:r>
        <w:t>is</w:t>
      </w:r>
      <w:r>
        <w:rPr>
          <w:spacing w:val="-2"/>
        </w:rPr>
        <w:t xml:space="preserve"> </w:t>
      </w:r>
      <w:r>
        <w:t>better</w:t>
      </w:r>
      <w:r>
        <w:rPr>
          <w:spacing w:val="-2"/>
        </w:rPr>
        <w:t xml:space="preserve"> </w:t>
      </w:r>
      <w:r>
        <w:t>than</w:t>
      </w:r>
      <w:r>
        <w:rPr>
          <w:spacing w:val="-1"/>
        </w:rPr>
        <w:t xml:space="preserve"> </w:t>
      </w:r>
      <w:r>
        <w:t>Brown’s,</w:t>
      </w:r>
      <w:r>
        <w:rPr>
          <w:spacing w:val="-2"/>
        </w:rPr>
        <w:t xml:space="preserve"> </w:t>
      </w:r>
      <w:r>
        <w:rPr>
          <w:spacing w:val="-4"/>
        </w:rPr>
        <w:t>then</w:t>
      </w:r>
    </w:p>
    <w:p w14:paraId="7E00271B" w14:textId="77777777" w:rsidR="009A58DB" w:rsidRDefault="009A58DB">
      <w:pPr>
        <w:pStyle w:val="BodyText"/>
        <w:spacing w:before="90"/>
        <w:ind w:left="0"/>
        <w:jc w:val="left"/>
      </w:pPr>
    </w:p>
    <w:p w14:paraId="7E00271C" w14:textId="77777777" w:rsidR="009A58DB" w:rsidRDefault="00000000">
      <w:pPr>
        <w:pStyle w:val="ListParagraph"/>
        <w:numPr>
          <w:ilvl w:val="1"/>
          <w:numId w:val="51"/>
        </w:numPr>
        <w:tabs>
          <w:tab w:val="left" w:pos="834"/>
        </w:tabs>
        <w:spacing w:before="1" w:line="249" w:lineRule="auto"/>
        <w:ind w:right="365" w:firstLine="0"/>
        <w:rPr>
          <w:sz w:val="30"/>
        </w:rPr>
      </w:pPr>
      <w:r>
        <w:rPr>
          <w:sz w:val="30"/>
        </w:rPr>
        <w:t>Smith’s</w:t>
      </w:r>
      <w:r>
        <w:rPr>
          <w:spacing w:val="77"/>
          <w:w w:val="150"/>
          <w:sz w:val="30"/>
        </w:rPr>
        <w:t xml:space="preserve"> </w:t>
      </w:r>
      <w:r>
        <w:rPr>
          <w:sz w:val="30"/>
        </w:rPr>
        <w:t>complexion</w:t>
      </w:r>
      <w:r>
        <w:rPr>
          <w:spacing w:val="77"/>
          <w:w w:val="150"/>
          <w:sz w:val="30"/>
        </w:rPr>
        <w:t xml:space="preserve"> </w:t>
      </w:r>
      <w:r>
        <w:rPr>
          <w:sz w:val="30"/>
        </w:rPr>
        <w:t>is</w:t>
      </w:r>
      <w:r>
        <w:rPr>
          <w:spacing w:val="77"/>
          <w:w w:val="150"/>
          <w:sz w:val="30"/>
        </w:rPr>
        <w:t xml:space="preserve"> </w:t>
      </w:r>
      <w:r>
        <w:rPr>
          <w:sz w:val="30"/>
        </w:rPr>
        <w:t>more</w:t>
      </w:r>
      <w:r>
        <w:rPr>
          <w:spacing w:val="77"/>
          <w:w w:val="150"/>
          <w:sz w:val="30"/>
        </w:rPr>
        <w:t xml:space="preserve"> </w:t>
      </w:r>
      <w:r>
        <w:rPr>
          <w:sz w:val="30"/>
        </w:rPr>
        <w:t>like</w:t>
      </w:r>
      <w:r>
        <w:rPr>
          <w:spacing w:val="77"/>
          <w:w w:val="150"/>
          <w:sz w:val="30"/>
        </w:rPr>
        <w:t xml:space="preserve"> </w:t>
      </w:r>
      <w:r>
        <w:rPr>
          <w:sz w:val="30"/>
        </w:rPr>
        <w:t>that</w:t>
      </w:r>
      <w:r>
        <w:rPr>
          <w:spacing w:val="77"/>
          <w:w w:val="150"/>
          <w:sz w:val="30"/>
        </w:rPr>
        <w:t xml:space="preserve"> </w:t>
      </w:r>
      <w:r>
        <w:rPr>
          <w:sz w:val="30"/>
        </w:rPr>
        <w:t>of</w:t>
      </w:r>
      <w:r>
        <w:rPr>
          <w:spacing w:val="77"/>
          <w:w w:val="150"/>
          <w:sz w:val="30"/>
        </w:rPr>
        <w:t xml:space="preserve"> </w:t>
      </w:r>
      <w:r>
        <w:rPr>
          <w:sz w:val="30"/>
        </w:rPr>
        <w:t>a</w:t>
      </w:r>
      <w:r>
        <w:rPr>
          <w:spacing w:val="77"/>
          <w:w w:val="150"/>
          <w:sz w:val="30"/>
        </w:rPr>
        <w:t xml:space="preserve"> </w:t>
      </w:r>
      <w:r>
        <w:rPr>
          <w:sz w:val="30"/>
        </w:rPr>
        <w:t>person</w:t>
      </w:r>
      <w:r>
        <w:rPr>
          <w:spacing w:val="77"/>
          <w:w w:val="150"/>
          <w:sz w:val="30"/>
        </w:rPr>
        <w:t xml:space="preserve"> </w:t>
      </w:r>
      <w:r>
        <w:rPr>
          <w:sz w:val="30"/>
        </w:rPr>
        <w:t>with</w:t>
      </w:r>
      <w:r>
        <w:rPr>
          <w:spacing w:val="77"/>
          <w:w w:val="150"/>
          <w:sz w:val="30"/>
        </w:rPr>
        <w:t xml:space="preserve"> </w:t>
      </w:r>
      <w:r>
        <w:rPr>
          <w:sz w:val="30"/>
        </w:rPr>
        <w:t>a</w:t>
      </w:r>
      <w:r>
        <w:rPr>
          <w:spacing w:val="77"/>
          <w:w w:val="150"/>
          <w:sz w:val="30"/>
        </w:rPr>
        <w:t xml:space="preserve"> </w:t>
      </w:r>
      <w:r>
        <w:rPr>
          <w:sz w:val="30"/>
        </w:rPr>
        <w:t>perfect complexion than Brown’s.</w:t>
      </w:r>
    </w:p>
    <w:p w14:paraId="7E00271D" w14:textId="77777777" w:rsidR="009A58DB" w:rsidRDefault="009A58DB">
      <w:pPr>
        <w:pStyle w:val="BodyText"/>
        <w:spacing w:before="17"/>
        <w:ind w:left="0"/>
        <w:jc w:val="left"/>
      </w:pPr>
    </w:p>
    <w:p w14:paraId="7E00271E" w14:textId="77777777" w:rsidR="009A58DB" w:rsidRDefault="00000000">
      <w:pPr>
        <w:pStyle w:val="BodyText"/>
        <w:jc w:val="left"/>
      </w:pPr>
      <w:r>
        <w:t>But</w:t>
      </w:r>
      <w:r>
        <w:rPr>
          <w:spacing w:val="-3"/>
        </w:rPr>
        <w:t xml:space="preserve"> </w:t>
      </w:r>
      <w:r>
        <w:t>what</w:t>
      </w:r>
      <w:r>
        <w:rPr>
          <w:spacing w:val="-3"/>
        </w:rPr>
        <w:t xml:space="preserve"> </w:t>
      </w:r>
      <w:r>
        <w:t>follows</w:t>
      </w:r>
      <w:r>
        <w:rPr>
          <w:spacing w:val="-2"/>
        </w:rPr>
        <w:t xml:space="preserve"> </w:t>
      </w:r>
      <w:r>
        <w:t>is</w:t>
      </w:r>
      <w:r>
        <w:rPr>
          <w:spacing w:val="-3"/>
        </w:rPr>
        <w:t xml:space="preserve"> </w:t>
      </w:r>
      <w:r>
        <w:t>not</w:t>
      </w:r>
      <w:r>
        <w:rPr>
          <w:spacing w:val="-2"/>
        </w:rPr>
        <w:t xml:space="preserve"> </w:t>
      </w:r>
      <w:r>
        <w:rPr>
          <w:spacing w:val="-4"/>
        </w:rPr>
        <w:t>that</w:t>
      </w:r>
    </w:p>
    <w:p w14:paraId="7E00271F" w14:textId="77777777" w:rsidR="009A58DB" w:rsidRDefault="009A58DB">
      <w:pPr>
        <w:pStyle w:val="BodyText"/>
        <w:spacing w:before="30"/>
        <w:ind w:left="0"/>
        <w:jc w:val="left"/>
      </w:pPr>
    </w:p>
    <w:p w14:paraId="7E002720" w14:textId="77777777" w:rsidR="009A58DB" w:rsidRDefault="00000000">
      <w:pPr>
        <w:pStyle w:val="ListParagraph"/>
        <w:numPr>
          <w:ilvl w:val="1"/>
          <w:numId w:val="51"/>
        </w:numPr>
        <w:tabs>
          <w:tab w:val="left" w:pos="800"/>
        </w:tabs>
        <w:ind w:left="800" w:hanging="440"/>
        <w:rPr>
          <w:sz w:val="30"/>
        </w:rPr>
      </w:pPr>
      <w:r>
        <w:rPr>
          <w:sz w:val="30"/>
        </w:rPr>
        <w:t>somebody</w:t>
      </w:r>
      <w:r>
        <w:rPr>
          <w:spacing w:val="-1"/>
          <w:sz w:val="30"/>
        </w:rPr>
        <w:t xml:space="preserve"> </w:t>
      </w:r>
      <w:r>
        <w:rPr>
          <w:sz w:val="30"/>
        </w:rPr>
        <w:t>has</w:t>
      </w:r>
      <w:r>
        <w:rPr>
          <w:spacing w:val="-1"/>
          <w:sz w:val="30"/>
        </w:rPr>
        <w:t xml:space="preserve"> </w:t>
      </w:r>
      <w:r>
        <w:rPr>
          <w:sz w:val="30"/>
        </w:rPr>
        <w:t>a</w:t>
      </w:r>
      <w:r>
        <w:rPr>
          <w:spacing w:val="-1"/>
          <w:sz w:val="30"/>
        </w:rPr>
        <w:t xml:space="preserve"> </w:t>
      </w:r>
      <w:r>
        <w:rPr>
          <w:sz w:val="30"/>
        </w:rPr>
        <w:t>perfect</w:t>
      </w:r>
      <w:r>
        <w:rPr>
          <w:spacing w:val="-1"/>
          <w:sz w:val="30"/>
        </w:rPr>
        <w:t xml:space="preserve"> </w:t>
      </w:r>
      <w:r>
        <w:rPr>
          <w:sz w:val="30"/>
        </w:rPr>
        <w:t>complexion, and</w:t>
      </w:r>
      <w:r>
        <w:rPr>
          <w:spacing w:val="-1"/>
          <w:sz w:val="30"/>
        </w:rPr>
        <w:t xml:space="preserve"> </w:t>
      </w:r>
      <w:r>
        <w:rPr>
          <w:sz w:val="30"/>
        </w:rPr>
        <w:t>Smith’s</w:t>
      </w:r>
      <w:r>
        <w:rPr>
          <w:spacing w:val="-1"/>
          <w:sz w:val="30"/>
        </w:rPr>
        <w:t xml:space="preserve"> </w:t>
      </w:r>
      <w:r>
        <w:rPr>
          <w:sz w:val="30"/>
        </w:rPr>
        <w:t>complexion</w:t>
      </w:r>
      <w:r>
        <w:rPr>
          <w:spacing w:val="-1"/>
          <w:sz w:val="30"/>
        </w:rPr>
        <w:t xml:space="preserve"> </w:t>
      </w:r>
      <w:r>
        <w:rPr>
          <w:sz w:val="30"/>
        </w:rPr>
        <w:t>is</w:t>
      </w:r>
      <w:r>
        <w:rPr>
          <w:spacing w:val="-1"/>
          <w:sz w:val="30"/>
        </w:rPr>
        <w:t xml:space="preserve"> </w:t>
      </w:r>
      <w:r>
        <w:rPr>
          <w:sz w:val="30"/>
        </w:rPr>
        <w:t xml:space="preserve">more </w:t>
      </w:r>
      <w:r>
        <w:rPr>
          <w:spacing w:val="-4"/>
          <w:sz w:val="30"/>
        </w:rPr>
        <w:t>like</w:t>
      </w:r>
    </w:p>
    <w:p w14:paraId="7E002721" w14:textId="77777777" w:rsidR="009A58DB" w:rsidRDefault="009A58DB">
      <w:pPr>
        <w:pStyle w:val="ListParagraph"/>
        <w:rPr>
          <w:sz w:val="30"/>
        </w:rPr>
        <w:sectPr w:rsidR="009A58DB">
          <w:pgSz w:w="12240" w:h="15840"/>
          <w:pgMar w:top="1740" w:right="1080" w:bottom="280" w:left="1080" w:header="720" w:footer="720" w:gutter="0"/>
          <w:cols w:space="720"/>
        </w:sectPr>
      </w:pPr>
    </w:p>
    <w:p w14:paraId="7E002722" w14:textId="77777777" w:rsidR="009A58DB" w:rsidRDefault="00000000">
      <w:pPr>
        <w:pStyle w:val="BodyText"/>
        <w:spacing w:before="65" w:line="501" w:lineRule="auto"/>
        <w:ind w:right="4416"/>
        <w:jc w:val="left"/>
      </w:pPr>
      <w:r>
        <w:rPr>
          <w:i/>
        </w:rPr>
        <w:lastRenderedPageBreak/>
        <w:t>that</w:t>
      </w:r>
      <w:r>
        <w:rPr>
          <w:i/>
          <w:spacing w:val="-11"/>
        </w:rPr>
        <w:t xml:space="preserve"> </w:t>
      </w:r>
      <w:r>
        <w:rPr>
          <w:i/>
        </w:rPr>
        <w:t>person’s</w:t>
      </w:r>
      <w:r>
        <w:rPr>
          <w:i/>
          <w:spacing w:val="-11"/>
        </w:rPr>
        <w:t xml:space="preserve"> </w:t>
      </w:r>
      <w:r>
        <w:t>complexion</w:t>
      </w:r>
      <w:r>
        <w:rPr>
          <w:spacing w:val="-10"/>
        </w:rPr>
        <w:t xml:space="preserve"> </w:t>
      </w:r>
      <w:r>
        <w:t>than</w:t>
      </w:r>
      <w:r>
        <w:rPr>
          <w:spacing w:val="-10"/>
        </w:rPr>
        <w:t xml:space="preserve"> </w:t>
      </w:r>
      <w:r>
        <w:t>Brown’s, What actually follows from (i) is that:</w:t>
      </w:r>
    </w:p>
    <w:p w14:paraId="7E002723" w14:textId="77777777" w:rsidR="009A58DB" w:rsidRDefault="00000000">
      <w:pPr>
        <w:pStyle w:val="ListParagraph"/>
        <w:numPr>
          <w:ilvl w:val="1"/>
          <w:numId w:val="51"/>
        </w:numPr>
        <w:tabs>
          <w:tab w:val="left" w:pos="907"/>
        </w:tabs>
        <w:spacing w:line="249" w:lineRule="auto"/>
        <w:ind w:right="359" w:firstLine="0"/>
        <w:jc w:val="both"/>
        <w:rPr>
          <w:sz w:val="30"/>
        </w:rPr>
      </w:pPr>
      <w:r>
        <w:rPr>
          <w:sz w:val="30"/>
        </w:rPr>
        <w:t>were there to be a person with a perfect complexion, then, other things being equal, Smith’s complexion would be more like that person’s complexion than Brown’s.</w:t>
      </w:r>
    </w:p>
    <w:p w14:paraId="7E002724" w14:textId="77777777" w:rsidR="009A58DB" w:rsidRDefault="009A58DB">
      <w:pPr>
        <w:pStyle w:val="BodyText"/>
        <w:spacing w:before="16"/>
        <w:ind w:left="0"/>
        <w:jc w:val="left"/>
      </w:pPr>
    </w:p>
    <w:p w14:paraId="7E002725" w14:textId="77777777" w:rsidR="009A58DB" w:rsidRDefault="00000000">
      <w:pPr>
        <w:pStyle w:val="BodyText"/>
        <w:ind w:left="720"/>
        <w:jc w:val="left"/>
      </w:pPr>
      <w:r>
        <w:t>Similarly,</w:t>
      </w:r>
      <w:r>
        <w:rPr>
          <w:spacing w:val="-4"/>
        </w:rPr>
        <w:t xml:space="preserve"> </w:t>
      </w:r>
      <w:r>
        <w:t>given</w:t>
      </w:r>
      <w:r>
        <w:rPr>
          <w:spacing w:val="-4"/>
        </w:rPr>
        <w:t xml:space="preserve"> </w:t>
      </w:r>
      <w:r>
        <w:t>only</w:t>
      </w:r>
      <w:r>
        <w:rPr>
          <w:spacing w:val="-3"/>
        </w:rPr>
        <w:t xml:space="preserve"> </w:t>
      </w:r>
      <w:r>
        <w:rPr>
          <w:spacing w:val="-4"/>
        </w:rPr>
        <w:t>that:</w:t>
      </w:r>
    </w:p>
    <w:p w14:paraId="7E002726" w14:textId="77777777" w:rsidR="009A58DB" w:rsidRDefault="009A58DB">
      <w:pPr>
        <w:pStyle w:val="BodyText"/>
        <w:spacing w:before="30"/>
        <w:ind w:left="0"/>
        <w:jc w:val="left"/>
      </w:pPr>
    </w:p>
    <w:p w14:paraId="7E002727" w14:textId="77777777" w:rsidR="009A58DB" w:rsidRDefault="00000000">
      <w:pPr>
        <w:pStyle w:val="BodyText"/>
        <w:spacing w:line="501" w:lineRule="auto"/>
        <w:jc w:val="left"/>
      </w:pPr>
      <w:r>
        <w:t>(#)</w:t>
      </w:r>
      <w:r>
        <w:rPr>
          <w:spacing w:val="-4"/>
        </w:rPr>
        <w:t xml:space="preserve"> </w:t>
      </w:r>
      <w:r>
        <w:t>Smith’s</w:t>
      </w:r>
      <w:r>
        <w:rPr>
          <w:spacing w:val="-4"/>
        </w:rPr>
        <w:t xml:space="preserve"> </w:t>
      </w:r>
      <w:r>
        <w:t>condition</w:t>
      </w:r>
      <w:r>
        <w:rPr>
          <w:spacing w:val="-3"/>
        </w:rPr>
        <w:t xml:space="preserve"> </w:t>
      </w:r>
      <w:r>
        <w:t>is</w:t>
      </w:r>
      <w:r>
        <w:rPr>
          <w:spacing w:val="-4"/>
        </w:rPr>
        <w:t xml:space="preserve"> </w:t>
      </w:r>
      <w:r>
        <w:t>more</w:t>
      </w:r>
      <w:r>
        <w:rPr>
          <w:spacing w:val="-4"/>
        </w:rPr>
        <w:t xml:space="preserve"> </w:t>
      </w:r>
      <w:r>
        <w:t>like</w:t>
      </w:r>
      <w:r>
        <w:rPr>
          <w:spacing w:val="-4"/>
        </w:rPr>
        <w:t xml:space="preserve"> </w:t>
      </w:r>
      <w:r>
        <w:t>of</w:t>
      </w:r>
      <w:r>
        <w:rPr>
          <w:spacing w:val="-4"/>
        </w:rPr>
        <w:t xml:space="preserve"> </w:t>
      </w:r>
      <w:r>
        <w:t>that</w:t>
      </w:r>
      <w:r>
        <w:rPr>
          <w:spacing w:val="-4"/>
        </w:rPr>
        <w:t xml:space="preserve"> </w:t>
      </w:r>
      <w:r>
        <w:t>some</w:t>
      </w:r>
      <w:r>
        <w:rPr>
          <w:spacing w:val="-4"/>
        </w:rPr>
        <w:t xml:space="preserve"> </w:t>
      </w:r>
      <w:r>
        <w:t>perfect</w:t>
      </w:r>
      <w:r>
        <w:rPr>
          <w:spacing w:val="-4"/>
        </w:rPr>
        <w:t xml:space="preserve"> </w:t>
      </w:r>
      <w:r>
        <w:t>entity’s</w:t>
      </w:r>
      <w:r>
        <w:rPr>
          <w:spacing w:val="-4"/>
        </w:rPr>
        <w:t xml:space="preserve"> </w:t>
      </w:r>
      <w:r>
        <w:t>than</w:t>
      </w:r>
      <w:r>
        <w:rPr>
          <w:spacing w:val="-3"/>
        </w:rPr>
        <w:t xml:space="preserve"> </w:t>
      </w:r>
      <w:r>
        <w:t>Brown’s, what follows isn’t that</w:t>
      </w:r>
    </w:p>
    <w:p w14:paraId="7E002728" w14:textId="77777777" w:rsidR="009A58DB" w:rsidRDefault="00000000">
      <w:pPr>
        <w:pStyle w:val="BodyText"/>
        <w:spacing w:line="249" w:lineRule="auto"/>
        <w:ind w:right="361"/>
      </w:pPr>
      <w:r>
        <w:t>(##) there exists some maximally good entity whose condition Smith’s resembles more than Brown’s</w:t>
      </w:r>
    </w:p>
    <w:p w14:paraId="7E002729" w14:textId="77777777" w:rsidR="009A58DB" w:rsidRDefault="009A58DB">
      <w:pPr>
        <w:pStyle w:val="BodyText"/>
        <w:spacing w:before="16"/>
        <w:ind w:left="0"/>
        <w:jc w:val="left"/>
      </w:pPr>
    </w:p>
    <w:p w14:paraId="7E00272A" w14:textId="77777777" w:rsidR="009A58DB" w:rsidRDefault="00000000">
      <w:pPr>
        <w:pStyle w:val="BodyText"/>
      </w:pPr>
      <w:r>
        <w:t>and</w:t>
      </w:r>
      <w:r>
        <w:rPr>
          <w:spacing w:val="-5"/>
        </w:rPr>
        <w:t xml:space="preserve"> </w:t>
      </w:r>
      <w:r>
        <w:t>is</w:t>
      </w:r>
      <w:r>
        <w:rPr>
          <w:spacing w:val="-3"/>
        </w:rPr>
        <w:t xml:space="preserve"> </w:t>
      </w:r>
      <w:r>
        <w:t>instead</w:t>
      </w:r>
      <w:r>
        <w:rPr>
          <w:spacing w:val="-2"/>
        </w:rPr>
        <w:t xml:space="preserve"> </w:t>
      </w:r>
      <w:r>
        <w:rPr>
          <w:spacing w:val="-4"/>
        </w:rPr>
        <w:t>that:</w:t>
      </w:r>
    </w:p>
    <w:p w14:paraId="7E00272B" w14:textId="77777777" w:rsidR="009A58DB" w:rsidRDefault="009A58DB">
      <w:pPr>
        <w:pStyle w:val="BodyText"/>
        <w:spacing w:before="30"/>
        <w:ind w:left="0"/>
        <w:jc w:val="left"/>
      </w:pPr>
    </w:p>
    <w:p w14:paraId="7E00272C" w14:textId="77777777" w:rsidR="009A58DB" w:rsidRDefault="00000000">
      <w:pPr>
        <w:pStyle w:val="BodyText"/>
        <w:spacing w:line="249" w:lineRule="auto"/>
        <w:ind w:right="361"/>
      </w:pPr>
      <w:r>
        <w:t xml:space="preserve">(###) were there to be some maximally good entity, then, other things being equal, Smith’s condition would be more like that entity’s condition than </w:t>
      </w:r>
      <w:r>
        <w:rPr>
          <w:spacing w:val="-2"/>
        </w:rPr>
        <w:t>Brown’s.</w:t>
      </w:r>
    </w:p>
    <w:p w14:paraId="7E00272D" w14:textId="77777777" w:rsidR="009A58DB" w:rsidRDefault="009A58DB">
      <w:pPr>
        <w:pStyle w:val="BodyText"/>
        <w:spacing w:before="19"/>
        <w:ind w:left="0"/>
        <w:jc w:val="left"/>
      </w:pPr>
    </w:p>
    <w:p w14:paraId="7E00272E" w14:textId="77777777" w:rsidR="009A58DB" w:rsidRDefault="00000000">
      <w:pPr>
        <w:pStyle w:val="BodyText"/>
        <w:spacing w:line="249" w:lineRule="auto"/>
        <w:ind w:right="362"/>
      </w:pPr>
      <w:r>
        <w:t>(iii) doesn’t entail that anyone’s complexion is perfect, and (###) doesn’t entail that anything’s condition is perfect. Contrary to what Aquinas believes, there don’t have to be absolutes for there to be comparatives.</w:t>
      </w:r>
    </w:p>
    <w:p w14:paraId="7E00272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30" w14:textId="77777777" w:rsidR="009A58DB" w:rsidRDefault="00000000">
      <w:pPr>
        <w:pStyle w:val="BodyText"/>
        <w:spacing w:before="65" w:line="501" w:lineRule="auto"/>
        <w:ind w:right="1394" w:firstLine="360"/>
      </w:pPr>
      <w:r>
        <w:lastRenderedPageBreak/>
        <w:t>Although</w:t>
      </w:r>
      <w:r>
        <w:rPr>
          <w:spacing w:val="-4"/>
        </w:rPr>
        <w:t xml:space="preserve"> </w:t>
      </w:r>
      <w:r>
        <w:t>(#)</w:t>
      </w:r>
      <w:r>
        <w:rPr>
          <w:spacing w:val="-4"/>
        </w:rPr>
        <w:t xml:space="preserve"> </w:t>
      </w:r>
      <w:r>
        <w:t>is</w:t>
      </w:r>
      <w:r>
        <w:rPr>
          <w:spacing w:val="-4"/>
        </w:rPr>
        <w:t xml:space="preserve"> </w:t>
      </w:r>
      <w:r>
        <w:t>ambiguous,</w:t>
      </w:r>
      <w:r>
        <w:rPr>
          <w:spacing w:val="-4"/>
        </w:rPr>
        <w:t xml:space="preserve"> </w:t>
      </w:r>
      <w:r>
        <w:t>it</w:t>
      </w:r>
      <w:r>
        <w:rPr>
          <w:spacing w:val="-4"/>
        </w:rPr>
        <w:t xml:space="preserve"> </w:t>
      </w:r>
      <w:r>
        <w:t>isn’t</w:t>
      </w:r>
      <w:r>
        <w:rPr>
          <w:spacing w:val="-4"/>
        </w:rPr>
        <w:t xml:space="preserve"> </w:t>
      </w:r>
      <w:r>
        <w:t>ambiguous</w:t>
      </w:r>
      <w:r>
        <w:rPr>
          <w:spacing w:val="-4"/>
        </w:rPr>
        <w:t xml:space="preserve"> </w:t>
      </w:r>
      <w:r>
        <w:t>in</w:t>
      </w:r>
      <w:r>
        <w:rPr>
          <w:spacing w:val="-4"/>
        </w:rPr>
        <w:t xml:space="preserve"> </w:t>
      </w:r>
      <w:r>
        <w:t>the</w:t>
      </w:r>
      <w:r>
        <w:rPr>
          <w:spacing w:val="-4"/>
        </w:rPr>
        <w:t xml:space="preserve"> </w:t>
      </w:r>
      <w:r>
        <w:t>same</w:t>
      </w:r>
      <w:r>
        <w:rPr>
          <w:spacing w:val="-4"/>
        </w:rPr>
        <w:t xml:space="preserve"> </w:t>
      </w:r>
      <w:r>
        <w:t>way</w:t>
      </w:r>
      <w:r>
        <w:rPr>
          <w:spacing w:val="-4"/>
        </w:rPr>
        <w:t xml:space="preserve"> </w:t>
      </w:r>
      <w:r>
        <w:t>as: (JB) Jerry is at the bank.</w:t>
      </w:r>
    </w:p>
    <w:p w14:paraId="7E002731" w14:textId="77777777" w:rsidR="009A58DB" w:rsidRDefault="00000000">
      <w:pPr>
        <w:pStyle w:val="BodyText"/>
        <w:spacing w:line="249" w:lineRule="auto"/>
        <w:ind w:right="358" w:firstLine="360"/>
      </w:pPr>
      <w:r>
        <w:t xml:space="preserve">JB is ambiguous because one of its constituents has two different meanings. In other words, it’s </w:t>
      </w:r>
      <w:r>
        <w:rPr>
          <w:b/>
          <w:i/>
        </w:rPr>
        <w:t xml:space="preserve">lexically ambiguous. </w:t>
      </w:r>
      <w:r>
        <w:t xml:space="preserve">By contrast, (#) is ambiguous </w:t>
      </w:r>
      <w:r>
        <w:rPr>
          <w:i/>
        </w:rPr>
        <w:t xml:space="preserve">not </w:t>
      </w:r>
      <w:r>
        <w:t xml:space="preserve">because it contains an ambiguous constituent, but because there are two different ways of parsing it. The same is true of (a). Thus, (#) and (a) are </w:t>
      </w:r>
      <w:r>
        <w:rPr>
          <w:b/>
          <w:i/>
        </w:rPr>
        <w:t xml:space="preserve">syntactically ambiguous. </w:t>
      </w:r>
      <w:r>
        <w:t xml:space="preserve">An expression is syntactically ambiguous iff it can be </w:t>
      </w:r>
      <w:r>
        <w:rPr>
          <w:b/>
          <w:i/>
        </w:rPr>
        <w:t xml:space="preserve">parsed </w:t>
      </w:r>
      <w:r>
        <w:t>in more than one way.</w:t>
      </w:r>
      <w:bookmarkStart w:id="553" w:name="_bookmark553"/>
      <w:bookmarkEnd w:id="553"/>
      <w:r>
        <w:rPr>
          <w:color w:val="0562C1"/>
          <w:position w:val="21"/>
          <w:u w:val="single" w:color="0562C1"/>
        </w:rPr>
        <w:t>[417]</w:t>
      </w:r>
      <w:r>
        <w:rPr>
          <w:color w:val="0562C1"/>
          <w:position w:val="21"/>
        </w:rPr>
        <w:t xml:space="preserve"> </w:t>
      </w:r>
      <w:r>
        <w:t>(An expression can be both syntactically and lexically ambiguous (for example, “some banks are more like some maximally beautiful bank than others”). Pre-modern philosophers, such as Aquinas, were only dimly aware of the phenomenon of syntactic ambiguity. Hence the problems with AG</w:t>
      </w:r>
      <w:r>
        <w:rPr>
          <w:vertAlign w:val="subscript"/>
        </w:rPr>
        <w:t>2</w:t>
      </w:r>
      <w:r>
        <w:t>.</w:t>
      </w:r>
    </w:p>
    <w:p w14:paraId="7E002732" w14:textId="77777777" w:rsidR="009A58DB" w:rsidRDefault="00000000">
      <w:pPr>
        <w:pStyle w:val="BodyText"/>
        <w:spacing w:before="70" w:line="249" w:lineRule="auto"/>
        <w:ind w:right="357" w:firstLine="360"/>
      </w:pPr>
      <w:r>
        <w:t>Let’s take stock. In the course of studying these two arguments, we’ve learned a lot about sentencestructure and about argumentation in general. But we didn’t learn anything about God or religion.</w:t>
      </w:r>
    </w:p>
    <w:p w14:paraId="7E002733" w14:textId="77777777" w:rsidR="009A58DB" w:rsidRDefault="00000000">
      <w:pPr>
        <w:pStyle w:val="BodyText"/>
        <w:spacing w:before="4" w:line="249" w:lineRule="auto"/>
        <w:ind w:right="365" w:firstLine="360"/>
      </w:pPr>
      <w:r>
        <w:t>“But we learned that Aquinas failed to prove God’s existence.” Yes. But his arguments don’t fail in a way that gives us any indication as to whether God does or does not exist.</w:t>
      </w:r>
    </w:p>
    <w:p w14:paraId="7E002734" w14:textId="77777777" w:rsidR="009A58DB" w:rsidRDefault="00000000">
      <w:pPr>
        <w:pStyle w:val="Heading1"/>
        <w:numPr>
          <w:ilvl w:val="1"/>
          <w:numId w:val="48"/>
        </w:numPr>
        <w:tabs>
          <w:tab w:val="left" w:pos="1217"/>
          <w:tab w:val="left" w:pos="2248"/>
          <w:tab w:val="left" w:pos="3793"/>
          <w:tab w:val="left" w:pos="4474"/>
          <w:tab w:val="left" w:pos="5902"/>
          <w:tab w:val="left" w:pos="6584"/>
          <w:tab w:val="left" w:pos="8293"/>
        </w:tabs>
        <w:spacing w:before="191" w:line="244" w:lineRule="auto"/>
        <w:ind w:right="362" w:firstLine="0"/>
      </w:pPr>
      <w:r>
        <w:rPr>
          <w:spacing w:val="-4"/>
        </w:rPr>
        <w:t>The</w:t>
      </w:r>
      <w:r>
        <w:tab/>
      </w:r>
      <w:r>
        <w:rPr>
          <w:spacing w:val="-2"/>
        </w:rPr>
        <w:t>futility</w:t>
      </w:r>
      <w:r>
        <w:tab/>
      </w:r>
      <w:r>
        <w:rPr>
          <w:spacing w:val="-6"/>
        </w:rPr>
        <w:t>of</w:t>
      </w:r>
      <w:r>
        <w:tab/>
      </w:r>
      <w:r>
        <w:rPr>
          <w:spacing w:val="-2"/>
        </w:rPr>
        <w:t>trying</w:t>
      </w:r>
      <w:r>
        <w:tab/>
      </w:r>
      <w:r>
        <w:rPr>
          <w:spacing w:val="-6"/>
        </w:rPr>
        <w:t>to</w:t>
      </w:r>
      <w:r>
        <w:tab/>
      </w:r>
      <w:r>
        <w:rPr>
          <w:spacing w:val="-2"/>
        </w:rPr>
        <w:t>provide</w:t>
      </w:r>
      <w:r>
        <w:tab/>
      </w:r>
      <w:r>
        <w:rPr>
          <w:spacing w:val="-2"/>
        </w:rPr>
        <w:t xml:space="preserve">rational </w:t>
      </w:r>
      <w:r>
        <w:t>arguments for or against religious belief</w:t>
      </w:r>
    </w:p>
    <w:p w14:paraId="7E002735" w14:textId="77777777" w:rsidR="009A58DB" w:rsidRDefault="00000000">
      <w:pPr>
        <w:pStyle w:val="BodyText"/>
        <w:spacing w:before="132" w:line="249" w:lineRule="auto"/>
        <w:ind w:right="367"/>
      </w:pPr>
      <w:r>
        <w:t>Religion is not science or logic, and to the extent that one’s beliefs are based on rational consideration of the relevant evidence, one is a person of science, not of religion.</w:t>
      </w:r>
    </w:p>
    <w:p w14:paraId="7E002736" w14:textId="77777777" w:rsidR="009A58DB" w:rsidRDefault="00000000">
      <w:pPr>
        <w:pStyle w:val="BodyText"/>
        <w:spacing w:before="4" w:line="249" w:lineRule="auto"/>
        <w:ind w:right="358" w:firstLine="360"/>
      </w:pPr>
      <w:r>
        <w:t>A story will clarify this. Smith hasn’t a religious bone in his body. But</w:t>
      </w:r>
      <w:r>
        <w:rPr>
          <w:spacing w:val="40"/>
        </w:rPr>
        <w:t xml:space="preserve"> </w:t>
      </w:r>
      <w:r>
        <w:t xml:space="preserve">he’s an open thinker and doesn’t want to assume, without first exercising due diligence, either that God exists or that God does not exist. On Monday, Smith uncovers what he thinks is evidence of God’s existence. But on Tuesday, he finds out that this evidence was manufactured by a religious person and is therefore bogus. Smith doesn’t conclude that God </w:t>
      </w:r>
      <w:r>
        <w:rPr>
          <w:i/>
        </w:rPr>
        <w:t>doesn’t</w:t>
      </w:r>
      <w:r>
        <w:rPr>
          <w:i/>
          <w:spacing w:val="-4"/>
        </w:rPr>
        <w:t xml:space="preserve"> </w:t>
      </w:r>
      <w:r>
        <w:t>exist. Being</w:t>
      </w:r>
      <w:r>
        <w:rPr>
          <w:spacing w:val="80"/>
        </w:rPr>
        <w:t xml:space="preserve"> </w:t>
      </w:r>
      <w:r>
        <w:t>a</w:t>
      </w:r>
      <w:r>
        <w:rPr>
          <w:spacing w:val="80"/>
        </w:rPr>
        <w:t xml:space="preserve"> </w:t>
      </w:r>
      <w:r>
        <w:t>scientifically</w:t>
      </w:r>
      <w:r>
        <w:rPr>
          <w:spacing w:val="80"/>
        </w:rPr>
        <w:t xml:space="preserve"> </w:t>
      </w:r>
      <w:r>
        <w:t>minded</w:t>
      </w:r>
      <w:r>
        <w:rPr>
          <w:spacing w:val="80"/>
        </w:rPr>
        <w:t xml:space="preserve"> </w:t>
      </w:r>
      <w:r>
        <w:t>person,</w:t>
      </w:r>
      <w:r>
        <w:rPr>
          <w:spacing w:val="80"/>
        </w:rPr>
        <w:t xml:space="preserve"> </w:t>
      </w:r>
      <w:r>
        <w:t>he</w:t>
      </w:r>
      <w:r>
        <w:rPr>
          <w:spacing w:val="80"/>
        </w:rPr>
        <w:t xml:space="preserve"> </w:t>
      </w:r>
      <w:r>
        <w:t>rightly</w:t>
      </w:r>
      <w:r>
        <w:rPr>
          <w:spacing w:val="80"/>
        </w:rPr>
        <w:t xml:space="preserve"> </w:t>
      </w:r>
      <w:r>
        <w:t>concludes</w:t>
      </w:r>
      <w:r>
        <w:rPr>
          <w:spacing w:val="80"/>
        </w:rPr>
        <w:t xml:space="preserve"> </w:t>
      </w:r>
      <w:r>
        <w:t>only</w:t>
      </w:r>
      <w:r>
        <w:rPr>
          <w:spacing w:val="80"/>
        </w:rPr>
        <w:t xml:space="preserve"> </w:t>
      </w:r>
      <w:r>
        <w:t>that</w:t>
      </w:r>
      <w:r>
        <w:rPr>
          <w:spacing w:val="80"/>
        </w:rPr>
        <w:t xml:space="preserve"> </w:t>
      </w:r>
      <w:r>
        <w:t>he</w:t>
      </w:r>
    </w:p>
    <w:p w14:paraId="7E00273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738" w14:textId="77777777" w:rsidR="009A58DB" w:rsidRDefault="00000000">
      <w:pPr>
        <w:pStyle w:val="BodyText"/>
        <w:spacing w:before="60" w:line="249" w:lineRule="auto"/>
        <w:ind w:right="358"/>
      </w:pPr>
      <w:r>
        <w:lastRenderedPageBreak/>
        <w:t>doesn’t yet have reason to believe otherwise. On Wednesday, he uncovers more apparent evidence of God’s existence. Since he finds it convincing, he begins to warm to the idea that</w:t>
      </w:r>
      <w:r>
        <w:rPr>
          <w:spacing w:val="-1"/>
        </w:rPr>
        <w:t xml:space="preserve"> </w:t>
      </w:r>
      <w:r>
        <w:t xml:space="preserve">God exists. But, being a rigorous and cautious thinker, he makes sure that his zeal for that hypothesis never outruns the evidence he has for it. And if new evidence turns up, he’ll modify his views </w:t>
      </w:r>
      <w:r>
        <w:rPr>
          <w:spacing w:val="-2"/>
        </w:rPr>
        <w:t>accordingly.</w:t>
      </w:r>
    </w:p>
    <w:p w14:paraId="7E002739" w14:textId="77777777" w:rsidR="009A58DB" w:rsidRDefault="00000000">
      <w:pPr>
        <w:pStyle w:val="BodyText"/>
        <w:spacing w:before="12" w:line="249" w:lineRule="auto"/>
        <w:ind w:right="358" w:firstLine="360"/>
      </w:pPr>
      <w:r>
        <w:t>Smith’s belief in God goes only as far as the available evidence permits. For this reason, even if Smith does finally arrive at the belief that God exists, he isn’t religious. As long as his belief is contingent on its consistency with future findings, he’s prepared to reject it, which is the mark of a scientific,</w:t>
      </w:r>
      <w:r>
        <w:rPr>
          <w:spacing w:val="40"/>
        </w:rPr>
        <w:t xml:space="preserve"> </w:t>
      </w:r>
      <w:r>
        <w:t>not a religious, person.</w:t>
      </w:r>
    </w:p>
    <w:p w14:paraId="7E00273A" w14:textId="77777777" w:rsidR="009A58DB" w:rsidRDefault="00000000">
      <w:pPr>
        <w:pStyle w:val="BodyText"/>
        <w:spacing w:before="6" w:line="249" w:lineRule="auto"/>
        <w:ind w:right="361" w:firstLine="360"/>
      </w:pPr>
      <w:r>
        <w:t xml:space="preserve">Of course, one can be both religious and scientific. Newton was very religious. But to the extent that one’s attitude towards a position is characterized by the just-described attitude of deference to future findings, one is not a religious person. Had Newton’s beliefs about God been as evidence-based as his beliefs about physics, he would not have been a religious person. A person who believes in God isn’t religious </w:t>
      </w:r>
      <w:r>
        <w:rPr>
          <w:i/>
        </w:rPr>
        <w:t>if</w:t>
      </w:r>
      <w:r>
        <w:rPr>
          <w:i/>
          <w:spacing w:val="-4"/>
        </w:rPr>
        <w:t xml:space="preserve"> </w:t>
      </w:r>
      <w:r>
        <w:t>that</w:t>
      </w:r>
      <w:r>
        <w:rPr>
          <w:spacing w:val="-4"/>
        </w:rPr>
        <w:t xml:space="preserve"> </w:t>
      </w:r>
      <w:r>
        <w:t>person’s acceptance of that position is contingent on its being consistent with the data.</w:t>
      </w:r>
    </w:p>
    <w:p w14:paraId="7E00273B" w14:textId="77777777" w:rsidR="009A58DB" w:rsidRDefault="00000000">
      <w:pPr>
        <w:pStyle w:val="BodyText"/>
        <w:spacing w:before="9" w:line="249" w:lineRule="auto"/>
        <w:ind w:right="363" w:firstLine="360"/>
      </w:pPr>
      <w:r>
        <w:t>This is why it’s silly to try to undermine religious belief by arguing that it doesn’t square with the facts. What distinguishes religious from scientific belief is precisely that the former, unlike the latter, isn’t subject to one’s views as to what inferences the available data warrants.</w:t>
      </w:r>
    </w:p>
    <w:p w14:paraId="7E00273C" w14:textId="77777777" w:rsidR="009A58DB" w:rsidRDefault="00000000">
      <w:pPr>
        <w:pStyle w:val="BodyText"/>
        <w:spacing w:before="5" w:line="249" w:lineRule="auto"/>
        <w:ind w:right="360" w:firstLine="360"/>
        <w:rPr>
          <w:position w:val="21"/>
        </w:rPr>
      </w:pPr>
      <w:r>
        <w:t>Religious people know this. That’s why they are unmoved by anti-religious arguments. And they’re right to be unmoved. To the extent that it’s</w:t>
      </w:r>
      <w:r>
        <w:rPr>
          <w:spacing w:val="40"/>
        </w:rPr>
        <w:t xml:space="preserve"> </w:t>
      </w:r>
      <w:r>
        <w:t>a</w:t>
      </w:r>
      <w:r>
        <w:rPr>
          <w:spacing w:val="-3"/>
        </w:rPr>
        <w:t xml:space="preserve"> </w:t>
      </w:r>
      <w:r>
        <w:rPr>
          <w:i/>
        </w:rPr>
        <w:t xml:space="preserve">religious </w:t>
      </w:r>
      <w:r>
        <w:t>attitude they wish to hold onto, it would be incoherent of them to regard recalcitrant data as giving them a reason to jettison that attitude, since a religious attitude is precisely one that isn’t marked by the subservience to data and logic characteristic of the scientific view</w:t>
      </w:r>
      <w:bookmarkStart w:id="554" w:name="_bookmark554"/>
      <w:bookmarkEnd w:id="554"/>
      <w:r>
        <w:t>.</w:t>
      </w:r>
      <w:r>
        <w:rPr>
          <w:color w:val="0562C1"/>
          <w:position w:val="21"/>
          <w:u w:val="single" w:color="0562C1"/>
        </w:rPr>
        <w:t>[418]</w:t>
      </w:r>
    </w:p>
    <w:p w14:paraId="7E00273D" w14:textId="77777777" w:rsidR="009A58DB" w:rsidRDefault="009A58DB">
      <w:pPr>
        <w:pStyle w:val="BodyText"/>
        <w:spacing w:before="15"/>
        <w:ind w:left="0"/>
        <w:jc w:val="left"/>
      </w:pPr>
    </w:p>
    <w:p w14:paraId="7E00273E" w14:textId="77777777" w:rsidR="009A58DB" w:rsidRDefault="00000000">
      <w:pPr>
        <w:pStyle w:val="Heading1"/>
        <w:numPr>
          <w:ilvl w:val="1"/>
          <w:numId w:val="48"/>
        </w:numPr>
        <w:tabs>
          <w:tab w:val="left" w:pos="990"/>
        </w:tabs>
        <w:spacing w:before="0"/>
        <w:ind w:left="990"/>
      </w:pPr>
      <w:r>
        <w:t>My</w:t>
      </w:r>
      <w:r>
        <w:rPr>
          <w:spacing w:val="-1"/>
        </w:rPr>
        <w:t xml:space="preserve"> </w:t>
      </w:r>
      <w:r>
        <w:rPr>
          <w:spacing w:val="-2"/>
        </w:rPr>
        <w:t>biases</w:t>
      </w:r>
    </w:p>
    <w:p w14:paraId="7E00273F" w14:textId="77777777" w:rsidR="009A58DB" w:rsidRDefault="00000000">
      <w:pPr>
        <w:pStyle w:val="BodyText"/>
        <w:spacing w:before="19" w:line="249" w:lineRule="auto"/>
        <w:ind w:right="357"/>
      </w:pPr>
      <w:r>
        <w:t xml:space="preserve">I am not a religious person and I don’t believe in God. (Or so I say—but see Section 1.4.) I say this </w:t>
      </w:r>
      <w:r>
        <w:rPr>
          <w:i/>
        </w:rPr>
        <w:t xml:space="preserve">not </w:t>
      </w:r>
      <w:r>
        <w:t>because I have any special insight into these matters. I do not. My views on these matters are no more authoritative than anyone else’s. I am stating these facts about myself only so that the reader</w:t>
      </w:r>
      <w:r>
        <w:rPr>
          <w:spacing w:val="40"/>
        </w:rPr>
        <w:t xml:space="preserve"> </w:t>
      </w:r>
      <w:r>
        <w:t>can</w:t>
      </w:r>
      <w:r>
        <w:rPr>
          <w:spacing w:val="20"/>
        </w:rPr>
        <w:t xml:space="preserve"> </w:t>
      </w:r>
      <w:r>
        <w:t>know</w:t>
      </w:r>
      <w:r>
        <w:rPr>
          <w:spacing w:val="20"/>
        </w:rPr>
        <w:t xml:space="preserve"> </w:t>
      </w:r>
      <w:r>
        <w:t>that,</w:t>
      </w:r>
      <w:r>
        <w:rPr>
          <w:spacing w:val="20"/>
        </w:rPr>
        <w:t xml:space="preserve"> </w:t>
      </w:r>
      <w:r>
        <w:t>because</w:t>
      </w:r>
      <w:r>
        <w:rPr>
          <w:spacing w:val="20"/>
        </w:rPr>
        <w:t xml:space="preserve"> </w:t>
      </w:r>
      <w:r>
        <w:t>of</w:t>
      </w:r>
      <w:r>
        <w:rPr>
          <w:spacing w:val="20"/>
        </w:rPr>
        <w:t xml:space="preserve"> </w:t>
      </w:r>
      <w:r>
        <w:t>them,</w:t>
      </w:r>
      <w:r>
        <w:rPr>
          <w:spacing w:val="20"/>
        </w:rPr>
        <w:t xml:space="preserve"> </w:t>
      </w:r>
      <w:r>
        <w:t>what</w:t>
      </w:r>
      <w:r>
        <w:rPr>
          <w:spacing w:val="20"/>
        </w:rPr>
        <w:t xml:space="preserve"> </w:t>
      </w:r>
      <w:r>
        <w:t>I</w:t>
      </w:r>
      <w:r>
        <w:rPr>
          <w:spacing w:val="20"/>
        </w:rPr>
        <w:t xml:space="preserve"> </w:t>
      </w:r>
      <w:r>
        <w:t>say</w:t>
      </w:r>
      <w:r>
        <w:rPr>
          <w:spacing w:val="20"/>
        </w:rPr>
        <w:t xml:space="preserve"> </w:t>
      </w:r>
      <w:r>
        <w:t>about</w:t>
      </w:r>
      <w:r>
        <w:rPr>
          <w:spacing w:val="20"/>
        </w:rPr>
        <w:t xml:space="preserve"> </w:t>
      </w:r>
      <w:r>
        <w:t>religion</w:t>
      </w:r>
      <w:r>
        <w:rPr>
          <w:spacing w:val="20"/>
        </w:rPr>
        <w:t xml:space="preserve"> </w:t>
      </w:r>
      <w:r>
        <w:t>is</w:t>
      </w:r>
      <w:r>
        <w:rPr>
          <w:spacing w:val="20"/>
        </w:rPr>
        <w:t xml:space="preserve"> </w:t>
      </w:r>
      <w:r>
        <w:t>biased</w:t>
      </w:r>
      <w:r>
        <w:rPr>
          <w:spacing w:val="20"/>
        </w:rPr>
        <w:t xml:space="preserve"> </w:t>
      </w:r>
      <w:r>
        <w:t>in</w:t>
      </w:r>
      <w:r>
        <w:rPr>
          <w:spacing w:val="20"/>
        </w:rPr>
        <w:t xml:space="preserve"> </w:t>
      </w:r>
      <w:r>
        <w:rPr>
          <w:spacing w:val="-2"/>
        </w:rPr>
        <w:t>favor</w:t>
      </w:r>
    </w:p>
    <w:p w14:paraId="7E00274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41" w14:textId="77777777" w:rsidR="009A58DB" w:rsidRDefault="00000000">
      <w:pPr>
        <w:pStyle w:val="BodyText"/>
        <w:spacing w:before="65"/>
      </w:pPr>
      <w:r>
        <w:lastRenderedPageBreak/>
        <w:t>of</w:t>
      </w:r>
      <w:r>
        <w:rPr>
          <w:spacing w:val="-5"/>
        </w:rPr>
        <w:t xml:space="preserve"> </w:t>
      </w:r>
      <w:r>
        <w:t>an</w:t>
      </w:r>
      <w:r>
        <w:rPr>
          <w:spacing w:val="-3"/>
        </w:rPr>
        <w:t xml:space="preserve"> </w:t>
      </w:r>
      <w:r>
        <w:t>anti-religious</w:t>
      </w:r>
      <w:r>
        <w:rPr>
          <w:spacing w:val="-4"/>
        </w:rPr>
        <w:t xml:space="preserve"> </w:t>
      </w:r>
      <w:r>
        <w:rPr>
          <w:spacing w:val="-2"/>
        </w:rPr>
        <w:t>perspective.</w:t>
      </w:r>
    </w:p>
    <w:p w14:paraId="7E002742" w14:textId="77777777" w:rsidR="009A58DB" w:rsidRDefault="00000000">
      <w:pPr>
        <w:pStyle w:val="BodyText"/>
        <w:spacing w:before="15" w:line="249" w:lineRule="auto"/>
        <w:ind w:right="359" w:firstLine="360"/>
      </w:pPr>
      <w:r>
        <w:t>That said, this chapter won’t target religious belief. I will put forth some arguments</w:t>
      </w:r>
      <w:r>
        <w:rPr>
          <w:spacing w:val="-3"/>
        </w:rPr>
        <w:t xml:space="preserve"> </w:t>
      </w:r>
      <w:r>
        <w:t>that</w:t>
      </w:r>
      <w:r>
        <w:rPr>
          <w:spacing w:val="-3"/>
        </w:rPr>
        <w:t xml:space="preserve"> </w:t>
      </w:r>
      <w:r>
        <w:t>might</w:t>
      </w:r>
      <w:r>
        <w:rPr>
          <w:spacing w:val="-3"/>
        </w:rPr>
        <w:t xml:space="preserve"> </w:t>
      </w:r>
      <w:r>
        <w:t>appear</w:t>
      </w:r>
      <w:r>
        <w:rPr>
          <w:spacing w:val="-3"/>
        </w:rPr>
        <w:t xml:space="preserve"> </w:t>
      </w:r>
      <w:r>
        <w:t>to</w:t>
      </w:r>
      <w:r>
        <w:rPr>
          <w:spacing w:val="-3"/>
        </w:rPr>
        <w:t xml:space="preserve"> </w:t>
      </w:r>
      <w:r>
        <w:t>have</w:t>
      </w:r>
      <w:r>
        <w:rPr>
          <w:spacing w:val="-3"/>
        </w:rPr>
        <w:t xml:space="preserve"> </w:t>
      </w:r>
      <w:r>
        <w:t>anti-religious</w:t>
      </w:r>
      <w:r>
        <w:rPr>
          <w:spacing w:val="-3"/>
        </w:rPr>
        <w:t xml:space="preserve"> </w:t>
      </w:r>
      <w:r>
        <w:t>consequences.</w:t>
      </w:r>
      <w:r>
        <w:rPr>
          <w:spacing w:val="-3"/>
        </w:rPr>
        <w:t xml:space="preserve"> </w:t>
      </w:r>
      <w:r>
        <w:t>But,</w:t>
      </w:r>
      <w:r>
        <w:rPr>
          <w:spacing w:val="-3"/>
        </w:rPr>
        <w:t xml:space="preserve"> </w:t>
      </w:r>
      <w:r>
        <w:t>though I obviously accept those arguments</w:t>
      </w:r>
      <w:r>
        <w:rPr>
          <w:i/>
        </w:rPr>
        <w:t xml:space="preserve">, </w:t>
      </w:r>
      <w:r>
        <w:t xml:space="preserve">what they prove, in my opinion, doesn’t really have anything to do with religion. It has to do with certain attempts to doctrinalize religious sentiment—that is, with attempts to identify religious sentiment with acceptance of well defined </w:t>
      </w:r>
      <w:r>
        <w:rPr>
          <w:i/>
        </w:rPr>
        <w:t>contentions</w:t>
      </w:r>
      <w:r>
        <w:rPr>
          <w:i/>
          <w:spacing w:val="-3"/>
        </w:rPr>
        <w:t xml:space="preserve"> </w:t>
      </w:r>
      <w:r>
        <w:t xml:space="preserve">as to how the world is. Since, as we saw in Section 1.1, religious sentiment necessarily outstrips any logical or evidential reasons one has for accepting any given contention, the logical and evidential demerits of such doctrinalizations are irrelevant to whether the religious outlook is, when evaluated on its own terms, a viable one. So far as one accepts the yardsticks relative to which such doctrinalizations fall short, one isn’t religious. After all, the religious mentality is a rejection of those yardsticks. (To be sure, there are religious people who are utterly rational and who are superlative scientists, businessmen, and so on. But to the limited extent to which a given person’s mental life is to be understood in terms of his or His having a religious outlook, that individual’s psychological situation is not to be understood in terms of his or His ratiocinative abilities, however active those abilities may be outside of religious contexts.) So in attempting to invalidate religion by showing that it fails relative to those yardsticks, one is guilty of “begging the question”—that is, of assuming the truth of the very thing one is trying to prove. Further, given that there is at least one component of religious sentiment to which any given doctrinalization of it </w:t>
      </w:r>
      <w:r>
        <w:rPr>
          <w:i/>
        </w:rPr>
        <w:t>ipso facto</w:t>
      </w:r>
      <w:r>
        <w:rPr>
          <w:i/>
          <w:spacing w:val="40"/>
        </w:rPr>
        <w:t xml:space="preserve"> </w:t>
      </w:r>
      <w:r>
        <w:t>fails to do justice,</w:t>
      </w:r>
      <w:r>
        <w:rPr>
          <w:spacing w:val="-3"/>
        </w:rPr>
        <w:t xml:space="preserve"> </w:t>
      </w:r>
      <w:r>
        <w:t>the</w:t>
      </w:r>
      <w:r>
        <w:rPr>
          <w:spacing w:val="-4"/>
        </w:rPr>
        <w:t xml:space="preserve"> </w:t>
      </w:r>
      <w:r>
        <w:rPr>
          <w:i/>
        </w:rPr>
        <w:t>contentions</w:t>
      </w:r>
      <w:r>
        <w:rPr>
          <w:i/>
          <w:spacing w:val="-4"/>
        </w:rPr>
        <w:t xml:space="preserve"> </w:t>
      </w:r>
      <w:r>
        <w:t xml:space="preserve">that are associated with acceptance of a given religion are really just foils of some kind—that is, they are stand-ins for some attitude or conviction that, for some reason, isn’t making an appearance </w:t>
      </w:r>
      <w:r>
        <w:rPr>
          <w:i/>
        </w:rPr>
        <w:t xml:space="preserve">in propria persona. </w:t>
      </w:r>
      <w:r>
        <w:t xml:space="preserve">Instead of asking “how can I disprove the contentions put forth by religious folk?”, those who aspire to undermine religious sentiment should ask, “what do such contentions </w:t>
      </w:r>
      <w:r>
        <w:rPr>
          <w:i/>
        </w:rPr>
        <w:t>represent</w:t>
      </w:r>
      <w:r>
        <w:t>? What are the sentiments underlying acceptance them?”</w:t>
      </w:r>
    </w:p>
    <w:p w14:paraId="7E002743" w14:textId="77777777" w:rsidR="009A58DB" w:rsidRDefault="00000000">
      <w:pPr>
        <w:pStyle w:val="BodyText"/>
        <w:spacing w:before="37" w:line="249" w:lineRule="auto"/>
        <w:ind w:right="362" w:firstLine="360"/>
      </w:pPr>
      <w:r>
        <w:t xml:space="preserve">To be sure, the integrity of a given religion may depend </w:t>
      </w:r>
      <w:r>
        <w:rPr>
          <w:i/>
        </w:rPr>
        <w:t xml:space="preserve">up to a point </w:t>
      </w:r>
      <w:r>
        <w:t>on the integrity of the doctrines associated with it. Acceptance of a religion typically involves acceptance of well-defined contentions (concerning morality, the structure of the universe, etc.). That said, those who attack religion on scientific or logical grounds—on the grounds that what Darwin or</w:t>
      </w:r>
    </w:p>
    <w:p w14:paraId="7E00274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45" w14:textId="77777777" w:rsidR="009A58DB" w:rsidRDefault="00000000">
      <w:pPr>
        <w:pStyle w:val="BodyText"/>
        <w:spacing w:before="65" w:line="249" w:lineRule="auto"/>
        <w:ind w:right="361"/>
      </w:pPr>
      <w:r>
        <w:lastRenderedPageBreak/>
        <w:t xml:space="preserve">Einstein said is inconsistent with this or that religious contention— are misguidedly trying to understand religious sentiment in </w:t>
      </w:r>
      <w:r>
        <w:rPr>
          <w:i/>
        </w:rPr>
        <w:t xml:space="preserve">epistemological </w:t>
      </w:r>
      <w:r>
        <w:t xml:space="preserve">terms, when in fact it is to be understood in psychoanalytic terms. And this, I believe, is part of the reason why the philosophy of religion tends to be so </w:t>
      </w:r>
      <w:r>
        <w:rPr>
          <w:spacing w:val="-2"/>
        </w:rPr>
        <w:t>sterile.</w:t>
      </w:r>
    </w:p>
    <w:p w14:paraId="7E002746" w14:textId="77777777" w:rsidR="009A58DB" w:rsidRDefault="00000000">
      <w:pPr>
        <w:pStyle w:val="Heading1"/>
        <w:numPr>
          <w:ilvl w:val="1"/>
          <w:numId w:val="48"/>
        </w:numPr>
        <w:tabs>
          <w:tab w:val="left" w:pos="1092"/>
        </w:tabs>
        <w:spacing w:before="194" w:line="244" w:lineRule="auto"/>
        <w:ind w:right="371" w:firstLine="0"/>
      </w:pPr>
      <w:r>
        <w:t>The</w:t>
      </w:r>
      <w:r>
        <w:rPr>
          <w:spacing w:val="40"/>
        </w:rPr>
        <w:t xml:space="preserve"> </w:t>
      </w:r>
      <w:r>
        <w:t>futility</w:t>
      </w:r>
      <w:r>
        <w:rPr>
          <w:spacing w:val="40"/>
        </w:rPr>
        <w:t xml:space="preserve"> </w:t>
      </w:r>
      <w:r>
        <w:t>of</w:t>
      </w:r>
      <w:r>
        <w:rPr>
          <w:spacing w:val="40"/>
        </w:rPr>
        <w:t xml:space="preserve"> </w:t>
      </w:r>
      <w:r>
        <w:t>attempts</w:t>
      </w:r>
      <w:r>
        <w:rPr>
          <w:spacing w:val="40"/>
        </w:rPr>
        <w:t xml:space="preserve"> </w:t>
      </w:r>
      <w:r>
        <w:t>to</w:t>
      </w:r>
      <w:r>
        <w:rPr>
          <w:spacing w:val="40"/>
        </w:rPr>
        <w:t xml:space="preserve"> </w:t>
      </w:r>
      <w:r>
        <w:t>liberalize</w:t>
      </w:r>
      <w:r>
        <w:rPr>
          <w:spacing w:val="40"/>
        </w:rPr>
        <w:t xml:space="preserve"> </w:t>
      </w:r>
      <w:r>
        <w:t>religious</w:t>
      </w:r>
      <w:r>
        <w:rPr>
          <w:spacing w:val="80"/>
        </w:rPr>
        <w:t xml:space="preserve"> </w:t>
      </w:r>
      <w:r>
        <w:rPr>
          <w:spacing w:val="-2"/>
        </w:rPr>
        <w:t>belief</w:t>
      </w:r>
    </w:p>
    <w:p w14:paraId="7E002747" w14:textId="77777777" w:rsidR="009A58DB" w:rsidRDefault="00000000">
      <w:pPr>
        <w:pStyle w:val="BodyText"/>
        <w:spacing w:before="132" w:line="249" w:lineRule="auto"/>
        <w:ind w:right="358"/>
      </w:pPr>
      <w:r>
        <w:t>A friend of mine who says that He believes in God recently told me that, in His view, “God is love.” When I asked His to explain what He meant, He</w:t>
      </w:r>
      <w:r>
        <w:rPr>
          <w:spacing w:val="40"/>
        </w:rPr>
        <w:t xml:space="preserve"> </w:t>
      </w:r>
      <w:r>
        <w:t>said that, if there is love in the world, there is, for that very reason, a God. God isn’t some hyper-person, He explained. He or He or It is nothing other than the fact that people love other people.</w:t>
      </w:r>
    </w:p>
    <w:p w14:paraId="7E002748" w14:textId="77777777" w:rsidR="009A58DB" w:rsidRDefault="00000000">
      <w:pPr>
        <w:pStyle w:val="BodyText"/>
        <w:spacing w:before="6" w:line="249" w:lineRule="auto"/>
        <w:ind w:right="359" w:firstLine="360"/>
      </w:pPr>
      <w:r>
        <w:t>This is all very well. But it isn’t the view of somebody who believes in God. Freud was an atheist, and he certainly believed that people sometimes love other people. In fact, he said that “libido” is one of the basic forces of human psychology.</w:t>
      </w:r>
    </w:p>
    <w:p w14:paraId="7E002749" w14:textId="77777777" w:rsidR="009A58DB" w:rsidRDefault="00000000">
      <w:pPr>
        <w:pStyle w:val="BodyText"/>
        <w:spacing w:before="5" w:line="249" w:lineRule="auto"/>
        <w:ind w:right="363" w:firstLine="360"/>
      </w:pPr>
      <w:r>
        <w:t>Many philosophers have advocated similar positions, saying that God is nothing</w:t>
      </w:r>
      <w:r>
        <w:rPr>
          <w:spacing w:val="-3"/>
        </w:rPr>
        <w:t xml:space="preserve"> </w:t>
      </w:r>
      <w:r>
        <w:t>other</w:t>
      </w:r>
      <w:r>
        <w:rPr>
          <w:spacing w:val="-4"/>
        </w:rPr>
        <w:t xml:space="preserve"> </w:t>
      </w:r>
      <w:r>
        <w:t>than</w:t>
      </w:r>
      <w:r>
        <w:rPr>
          <w:spacing w:val="-3"/>
        </w:rPr>
        <w:t xml:space="preserve"> </w:t>
      </w:r>
      <w:r>
        <w:t>logic,</w:t>
      </w:r>
      <w:r>
        <w:rPr>
          <w:spacing w:val="-3"/>
        </w:rPr>
        <w:t xml:space="preserve"> </w:t>
      </w:r>
      <w:r>
        <w:t>or</w:t>
      </w:r>
      <w:r>
        <w:rPr>
          <w:spacing w:val="-4"/>
        </w:rPr>
        <w:t xml:space="preserve"> </w:t>
      </w:r>
      <w:r>
        <w:t>truth,</w:t>
      </w:r>
      <w:r>
        <w:rPr>
          <w:spacing w:val="-3"/>
        </w:rPr>
        <w:t xml:space="preserve"> </w:t>
      </w:r>
      <w:r>
        <w:t>or</w:t>
      </w:r>
      <w:r>
        <w:rPr>
          <w:spacing w:val="-4"/>
        </w:rPr>
        <w:t xml:space="preserve"> </w:t>
      </w:r>
      <w:r>
        <w:t>reason.</w:t>
      </w:r>
      <w:r>
        <w:rPr>
          <w:spacing w:val="-3"/>
        </w:rPr>
        <w:t xml:space="preserve"> </w:t>
      </w:r>
      <w:r>
        <w:t>I</w:t>
      </w:r>
      <w:r>
        <w:rPr>
          <w:spacing w:val="-4"/>
        </w:rPr>
        <w:t xml:space="preserve"> </w:t>
      </w:r>
      <w:r>
        <w:t>admire</w:t>
      </w:r>
      <w:r>
        <w:rPr>
          <w:spacing w:val="-4"/>
        </w:rPr>
        <w:t xml:space="preserve"> </w:t>
      </w:r>
      <w:r>
        <w:t>the</w:t>
      </w:r>
      <w:r>
        <w:rPr>
          <w:spacing w:val="-4"/>
        </w:rPr>
        <w:t xml:space="preserve"> </w:t>
      </w:r>
      <w:r>
        <w:t>rationalist</w:t>
      </w:r>
      <w:r>
        <w:rPr>
          <w:spacing w:val="-4"/>
        </w:rPr>
        <w:t xml:space="preserve"> </w:t>
      </w:r>
      <w:r>
        <w:t>sensibility underlying these views. But they’re not the views of a religious person, since there is no shortage of dedicated atheists who believe in logic—that is, who believe that some statements entail some other statements.</w:t>
      </w:r>
    </w:p>
    <w:p w14:paraId="7E00274A" w14:textId="77777777" w:rsidR="009A58DB" w:rsidRDefault="00000000">
      <w:pPr>
        <w:pStyle w:val="BodyText"/>
        <w:spacing w:before="6" w:line="249" w:lineRule="auto"/>
        <w:ind w:right="358" w:firstLine="360"/>
      </w:pPr>
      <w:r>
        <w:t>I</w:t>
      </w:r>
      <w:r>
        <w:rPr>
          <w:spacing w:val="-16"/>
        </w:rPr>
        <w:t xml:space="preserve"> </w:t>
      </w:r>
      <w:r>
        <w:t>don’t</w:t>
      </w:r>
      <w:r>
        <w:rPr>
          <w:spacing w:val="-16"/>
        </w:rPr>
        <w:t xml:space="preserve"> </w:t>
      </w:r>
      <w:r>
        <w:t>know</w:t>
      </w:r>
      <w:r>
        <w:rPr>
          <w:spacing w:val="-16"/>
        </w:rPr>
        <w:t xml:space="preserve"> </w:t>
      </w:r>
      <w:r>
        <w:t>whether</w:t>
      </w:r>
      <w:r>
        <w:rPr>
          <w:spacing w:val="-16"/>
        </w:rPr>
        <w:t xml:space="preserve"> </w:t>
      </w:r>
      <w:r>
        <w:t>there</w:t>
      </w:r>
      <w:r>
        <w:rPr>
          <w:spacing w:val="-16"/>
        </w:rPr>
        <w:t xml:space="preserve"> </w:t>
      </w:r>
      <w:r>
        <w:t>is</w:t>
      </w:r>
      <w:r>
        <w:rPr>
          <w:spacing w:val="-16"/>
        </w:rPr>
        <w:t xml:space="preserve"> </w:t>
      </w:r>
      <w:r>
        <w:t>a</w:t>
      </w:r>
      <w:r>
        <w:rPr>
          <w:spacing w:val="-16"/>
        </w:rPr>
        <w:t xml:space="preserve"> </w:t>
      </w:r>
      <w:r>
        <w:t>God.</w:t>
      </w:r>
      <w:r>
        <w:rPr>
          <w:spacing w:val="-16"/>
        </w:rPr>
        <w:t xml:space="preserve"> </w:t>
      </w:r>
      <w:r>
        <w:t>I</w:t>
      </w:r>
      <w:r>
        <w:rPr>
          <w:spacing w:val="-16"/>
        </w:rPr>
        <w:t xml:space="preserve"> </w:t>
      </w:r>
      <w:r>
        <w:t>don’t</w:t>
      </w:r>
      <w:r>
        <w:rPr>
          <w:spacing w:val="-16"/>
        </w:rPr>
        <w:t xml:space="preserve"> </w:t>
      </w:r>
      <w:r>
        <w:t>even</w:t>
      </w:r>
      <w:r>
        <w:rPr>
          <w:spacing w:val="-16"/>
        </w:rPr>
        <w:t xml:space="preserve"> </w:t>
      </w:r>
      <w:r>
        <w:t>know</w:t>
      </w:r>
      <w:r>
        <w:rPr>
          <w:spacing w:val="-16"/>
        </w:rPr>
        <w:t xml:space="preserve"> </w:t>
      </w:r>
      <w:r>
        <w:t>what</w:t>
      </w:r>
      <w:r>
        <w:rPr>
          <w:spacing w:val="-16"/>
        </w:rPr>
        <w:t xml:space="preserve"> </w:t>
      </w:r>
      <w:r>
        <w:t>it</w:t>
      </w:r>
      <w:r>
        <w:rPr>
          <w:spacing w:val="-16"/>
        </w:rPr>
        <w:t xml:space="preserve"> </w:t>
      </w:r>
      <w:r>
        <w:t>means</w:t>
      </w:r>
      <w:r>
        <w:rPr>
          <w:spacing w:val="-16"/>
        </w:rPr>
        <w:t xml:space="preserve"> </w:t>
      </w:r>
      <w:r>
        <w:t>to</w:t>
      </w:r>
      <w:r>
        <w:rPr>
          <w:spacing w:val="-16"/>
        </w:rPr>
        <w:t xml:space="preserve"> </w:t>
      </w:r>
      <w:r>
        <w:t>say that</w:t>
      </w:r>
      <w:r>
        <w:rPr>
          <w:spacing w:val="-14"/>
        </w:rPr>
        <w:t xml:space="preserve"> </w:t>
      </w:r>
      <w:r>
        <w:t>there</w:t>
      </w:r>
      <w:r>
        <w:rPr>
          <w:spacing w:val="-13"/>
        </w:rPr>
        <w:t xml:space="preserve"> </w:t>
      </w:r>
      <w:r>
        <w:t>is</w:t>
      </w:r>
      <w:r>
        <w:rPr>
          <w:spacing w:val="-13"/>
        </w:rPr>
        <w:t xml:space="preserve"> </w:t>
      </w:r>
      <w:r>
        <w:t>a</w:t>
      </w:r>
      <w:r>
        <w:rPr>
          <w:spacing w:val="-13"/>
        </w:rPr>
        <w:t xml:space="preserve"> </w:t>
      </w:r>
      <w:r>
        <w:t>God.</w:t>
      </w:r>
      <w:r>
        <w:rPr>
          <w:spacing w:val="-13"/>
        </w:rPr>
        <w:t xml:space="preserve"> </w:t>
      </w:r>
      <w:r>
        <w:t>But</w:t>
      </w:r>
      <w:r>
        <w:rPr>
          <w:spacing w:val="-14"/>
        </w:rPr>
        <w:t xml:space="preserve"> </w:t>
      </w:r>
      <w:r>
        <w:t>I</w:t>
      </w:r>
      <w:r>
        <w:rPr>
          <w:spacing w:val="-14"/>
        </w:rPr>
        <w:t xml:space="preserve"> </w:t>
      </w:r>
      <w:r>
        <w:t>know</w:t>
      </w:r>
      <w:r>
        <w:rPr>
          <w:spacing w:val="-14"/>
        </w:rPr>
        <w:t xml:space="preserve"> </w:t>
      </w:r>
      <w:r>
        <w:t>what</w:t>
      </w:r>
      <w:r>
        <w:rPr>
          <w:spacing w:val="-14"/>
        </w:rPr>
        <w:t xml:space="preserve"> </w:t>
      </w:r>
      <w:r>
        <w:t>it</w:t>
      </w:r>
      <w:r>
        <w:rPr>
          <w:spacing w:val="-14"/>
        </w:rPr>
        <w:t xml:space="preserve"> </w:t>
      </w:r>
      <w:r>
        <w:t>doesn’t</w:t>
      </w:r>
      <w:r>
        <w:rPr>
          <w:spacing w:val="-14"/>
        </w:rPr>
        <w:t xml:space="preserve"> </w:t>
      </w:r>
      <w:r>
        <w:t>mean.</w:t>
      </w:r>
      <w:r>
        <w:rPr>
          <w:spacing w:val="-13"/>
        </w:rPr>
        <w:t xml:space="preserve"> </w:t>
      </w:r>
      <w:r>
        <w:t>It</w:t>
      </w:r>
      <w:r>
        <w:rPr>
          <w:spacing w:val="-14"/>
        </w:rPr>
        <w:t xml:space="preserve"> </w:t>
      </w:r>
      <w:r>
        <w:t>doesn’t</w:t>
      </w:r>
      <w:r>
        <w:rPr>
          <w:spacing w:val="-14"/>
        </w:rPr>
        <w:t xml:space="preserve"> </w:t>
      </w:r>
      <w:r>
        <w:t>mean</w:t>
      </w:r>
      <w:r>
        <w:rPr>
          <w:spacing w:val="-13"/>
        </w:rPr>
        <w:t xml:space="preserve"> </w:t>
      </w:r>
      <w:r>
        <w:t>that</w:t>
      </w:r>
      <w:r>
        <w:rPr>
          <w:spacing w:val="-14"/>
        </w:rPr>
        <w:t xml:space="preserve"> </w:t>
      </w:r>
      <w:r>
        <w:t>some inferences</w:t>
      </w:r>
      <w:r>
        <w:rPr>
          <w:spacing w:val="-16"/>
        </w:rPr>
        <w:t xml:space="preserve"> </w:t>
      </w:r>
      <w:r>
        <w:t>go through; it</w:t>
      </w:r>
      <w:r>
        <w:rPr>
          <w:spacing w:val="-19"/>
        </w:rPr>
        <w:t xml:space="preserve"> </w:t>
      </w:r>
      <w:r>
        <w:rPr>
          <w:i/>
        </w:rPr>
        <w:t>doesn’t</w:t>
      </w:r>
      <w:r>
        <w:rPr>
          <w:i/>
          <w:spacing w:val="-19"/>
        </w:rPr>
        <w:t xml:space="preserve"> </w:t>
      </w:r>
      <w:r>
        <w:t>mean</w:t>
      </w:r>
      <w:r>
        <w:rPr>
          <w:spacing w:val="-7"/>
        </w:rPr>
        <w:t xml:space="preserve"> </w:t>
      </w:r>
      <w:r>
        <w:t>that</w:t>
      </w:r>
      <w:r>
        <w:rPr>
          <w:spacing w:val="-7"/>
        </w:rPr>
        <w:t xml:space="preserve"> </w:t>
      </w:r>
      <w:r>
        <w:t>some</w:t>
      </w:r>
      <w:r>
        <w:rPr>
          <w:spacing w:val="-8"/>
        </w:rPr>
        <w:t xml:space="preserve"> </w:t>
      </w:r>
      <w:r>
        <w:t>people love some people. So God isn’t truth, logic, or love—even though, if God exists, that entity, whatever it is, may well be maximally logical, perceptive, and caring.</w:t>
      </w:r>
    </w:p>
    <w:p w14:paraId="7E00274B" w14:textId="77777777" w:rsidR="009A58DB" w:rsidRDefault="00000000">
      <w:pPr>
        <w:pStyle w:val="BodyText"/>
        <w:spacing w:before="6" w:line="249" w:lineRule="auto"/>
        <w:ind w:right="362" w:firstLine="360"/>
      </w:pPr>
      <w:r>
        <w:t>Attempts to identify God with reason or truth or love are dishonest and incoherent, and so is every other attempt to show that religious sentiment is compatible with 21st century intellectualism. People should cop to what they really believe. If your belief in God extends no further than your belief in logic or libido, then you do not believe in God.</w:t>
      </w:r>
    </w:p>
    <w:p w14:paraId="7E00274C" w14:textId="77777777" w:rsidR="009A58DB" w:rsidRDefault="00000000">
      <w:pPr>
        <w:pStyle w:val="Heading1"/>
        <w:numPr>
          <w:ilvl w:val="2"/>
          <w:numId w:val="48"/>
        </w:numPr>
        <w:tabs>
          <w:tab w:val="left" w:pos="1305"/>
        </w:tabs>
        <w:spacing w:before="104"/>
      </w:pPr>
      <w:r>
        <w:t>“Never</w:t>
      </w:r>
      <w:r>
        <w:rPr>
          <w:spacing w:val="-7"/>
        </w:rPr>
        <w:t xml:space="preserve"> </w:t>
      </w:r>
      <w:r>
        <w:t>explain,</w:t>
      </w:r>
      <w:r>
        <w:rPr>
          <w:spacing w:val="-4"/>
        </w:rPr>
        <w:t xml:space="preserve"> </w:t>
      </w:r>
      <w:r>
        <w:t>never</w:t>
      </w:r>
      <w:r>
        <w:rPr>
          <w:spacing w:val="-4"/>
        </w:rPr>
        <w:t xml:space="preserve"> </w:t>
      </w:r>
      <w:r>
        <w:rPr>
          <w:spacing w:val="-2"/>
        </w:rPr>
        <w:t>complain”</w:t>
      </w:r>
    </w:p>
    <w:p w14:paraId="7E00274D" w14:textId="77777777" w:rsidR="009A58DB" w:rsidRDefault="00000000">
      <w:pPr>
        <w:pStyle w:val="BodyText"/>
        <w:spacing w:before="79"/>
      </w:pPr>
      <w:r>
        <w:t>Given</w:t>
      </w:r>
      <w:r>
        <w:rPr>
          <w:spacing w:val="25"/>
        </w:rPr>
        <w:t xml:space="preserve"> </w:t>
      </w:r>
      <w:r>
        <w:t>that</w:t>
      </w:r>
      <w:r>
        <w:rPr>
          <w:spacing w:val="26"/>
        </w:rPr>
        <w:t xml:space="preserve"> </w:t>
      </w:r>
      <w:r>
        <w:t>religious</w:t>
      </w:r>
      <w:r>
        <w:rPr>
          <w:spacing w:val="26"/>
        </w:rPr>
        <w:t xml:space="preserve"> </w:t>
      </w:r>
      <w:r>
        <w:t>belief</w:t>
      </w:r>
      <w:r>
        <w:rPr>
          <w:spacing w:val="27"/>
        </w:rPr>
        <w:t xml:space="preserve"> </w:t>
      </w:r>
      <w:r>
        <w:t>is</w:t>
      </w:r>
      <w:r>
        <w:rPr>
          <w:spacing w:val="26"/>
        </w:rPr>
        <w:t xml:space="preserve"> </w:t>
      </w:r>
      <w:r>
        <w:t>of</w:t>
      </w:r>
      <w:r>
        <w:rPr>
          <w:spacing w:val="26"/>
        </w:rPr>
        <w:t xml:space="preserve"> </w:t>
      </w:r>
      <w:r>
        <w:t>its</w:t>
      </w:r>
      <w:r>
        <w:rPr>
          <w:spacing w:val="27"/>
        </w:rPr>
        <w:t xml:space="preserve"> </w:t>
      </w:r>
      <w:r>
        <w:t>very</w:t>
      </w:r>
      <w:r>
        <w:rPr>
          <w:spacing w:val="27"/>
        </w:rPr>
        <w:t xml:space="preserve"> </w:t>
      </w:r>
      <w:r>
        <w:t>nature</w:t>
      </w:r>
      <w:r>
        <w:rPr>
          <w:spacing w:val="26"/>
        </w:rPr>
        <w:t xml:space="preserve"> </w:t>
      </w:r>
      <w:r>
        <w:t>free</w:t>
      </w:r>
      <w:r>
        <w:rPr>
          <w:spacing w:val="27"/>
        </w:rPr>
        <w:t xml:space="preserve"> </w:t>
      </w:r>
      <w:r>
        <w:t>of</w:t>
      </w:r>
      <w:r>
        <w:rPr>
          <w:spacing w:val="26"/>
        </w:rPr>
        <w:t xml:space="preserve"> </w:t>
      </w:r>
      <w:r>
        <w:t>the</w:t>
      </w:r>
      <w:r>
        <w:rPr>
          <w:spacing w:val="26"/>
        </w:rPr>
        <w:t xml:space="preserve"> </w:t>
      </w:r>
      <w:r>
        <w:t>tentativeness</w:t>
      </w:r>
      <w:r>
        <w:rPr>
          <w:spacing w:val="27"/>
        </w:rPr>
        <w:t xml:space="preserve"> </w:t>
      </w:r>
      <w:r>
        <w:rPr>
          <w:spacing w:val="-5"/>
        </w:rPr>
        <w:t>and</w:t>
      </w:r>
    </w:p>
    <w:p w14:paraId="7E00274E" w14:textId="77777777" w:rsidR="009A58DB" w:rsidRDefault="009A58DB">
      <w:pPr>
        <w:pStyle w:val="BodyText"/>
        <w:sectPr w:rsidR="009A58DB">
          <w:pgSz w:w="12240" w:h="15840"/>
          <w:pgMar w:top="1380" w:right="1080" w:bottom="280" w:left="1080" w:header="720" w:footer="720" w:gutter="0"/>
          <w:cols w:space="720"/>
        </w:sectPr>
      </w:pPr>
    </w:p>
    <w:p w14:paraId="7E00274F" w14:textId="77777777" w:rsidR="009A58DB" w:rsidRDefault="00000000">
      <w:pPr>
        <w:pStyle w:val="BodyText"/>
        <w:spacing w:before="65" w:line="249" w:lineRule="auto"/>
        <w:ind w:right="364"/>
      </w:pPr>
      <w:r>
        <w:lastRenderedPageBreak/>
        <w:t>evidence-dependence of scientific belief, religious people have no obligation to defend their views.</w:t>
      </w:r>
    </w:p>
    <w:p w14:paraId="7E002750" w14:textId="77777777" w:rsidR="009A58DB" w:rsidRDefault="00000000">
      <w:pPr>
        <w:pStyle w:val="BodyText"/>
        <w:spacing w:before="2" w:line="249" w:lineRule="auto"/>
        <w:ind w:right="359" w:firstLine="360"/>
      </w:pPr>
      <w:r>
        <w:t xml:space="preserve">Many religious people </w:t>
      </w:r>
      <w:r>
        <w:rPr>
          <w:i/>
        </w:rPr>
        <w:t>have</w:t>
      </w:r>
      <w:r>
        <w:rPr>
          <w:i/>
          <w:spacing w:val="-4"/>
        </w:rPr>
        <w:t xml:space="preserve"> </w:t>
      </w:r>
      <w:r>
        <w:t>done so, of course. Many religious people are also scientists, logicians, and philosophers, who, like all other members of those professions, enjoy finding support for their positions. Indeed, some</w:t>
      </w:r>
      <w:r>
        <w:rPr>
          <w:spacing w:val="40"/>
        </w:rPr>
        <w:t xml:space="preserve"> </w:t>
      </w:r>
      <w:r>
        <w:t>very great philosophers and scientists (e.g., Kant, Newton) have been devoutly religious, and some (e.g., Augustine, Aquinas) have themselves</w:t>
      </w:r>
      <w:r>
        <w:rPr>
          <w:spacing w:val="40"/>
        </w:rPr>
        <w:t xml:space="preserve"> </w:t>
      </w:r>
      <w:r>
        <w:t xml:space="preserve">been important religious figures. But </w:t>
      </w:r>
      <w:r>
        <w:rPr>
          <w:i/>
        </w:rPr>
        <w:t xml:space="preserve">to the extent that one is religious and that one’s views are religious views, </w:t>
      </w:r>
      <w:r>
        <w:t>one is not only not required to defend one’s</w:t>
      </w:r>
      <w:r>
        <w:rPr>
          <w:spacing w:val="-2"/>
        </w:rPr>
        <w:t xml:space="preserve"> </w:t>
      </w:r>
      <w:r>
        <w:t>views,</w:t>
      </w:r>
      <w:r>
        <w:rPr>
          <w:spacing w:val="-2"/>
        </w:rPr>
        <w:t xml:space="preserve"> </w:t>
      </w:r>
      <w:r>
        <w:t>but</w:t>
      </w:r>
      <w:r>
        <w:rPr>
          <w:spacing w:val="-2"/>
        </w:rPr>
        <w:t xml:space="preserve"> </w:t>
      </w:r>
      <w:r>
        <w:t>is</w:t>
      </w:r>
      <w:r>
        <w:rPr>
          <w:spacing w:val="-2"/>
        </w:rPr>
        <w:t xml:space="preserve"> </w:t>
      </w:r>
      <w:r>
        <w:t>actually</w:t>
      </w:r>
      <w:r>
        <w:rPr>
          <w:spacing w:val="-2"/>
        </w:rPr>
        <w:t xml:space="preserve"> </w:t>
      </w:r>
      <w:r>
        <w:t>required</w:t>
      </w:r>
      <w:r>
        <w:rPr>
          <w:spacing w:val="-2"/>
        </w:rPr>
        <w:t xml:space="preserve"> </w:t>
      </w:r>
      <w:r>
        <w:t>to</w:t>
      </w:r>
      <w:r>
        <w:rPr>
          <w:spacing w:val="-2"/>
        </w:rPr>
        <w:t xml:space="preserve"> </w:t>
      </w:r>
      <w:r>
        <w:t>hold</w:t>
      </w:r>
      <w:r>
        <w:rPr>
          <w:spacing w:val="-2"/>
        </w:rPr>
        <w:t xml:space="preserve"> </w:t>
      </w:r>
      <w:r>
        <w:t>that</w:t>
      </w:r>
      <w:r>
        <w:rPr>
          <w:spacing w:val="-2"/>
        </w:rPr>
        <w:t xml:space="preserve"> </w:t>
      </w:r>
      <w:r>
        <w:t>they</w:t>
      </w:r>
      <w:r>
        <w:rPr>
          <w:spacing w:val="-2"/>
        </w:rPr>
        <w:t xml:space="preserve"> </w:t>
      </w:r>
      <w:r>
        <w:rPr>
          <w:i/>
        </w:rPr>
        <w:t>need</w:t>
      </w:r>
      <w:r>
        <w:rPr>
          <w:i/>
          <w:spacing w:val="-3"/>
        </w:rPr>
        <w:t xml:space="preserve"> </w:t>
      </w:r>
      <w:r>
        <w:t xml:space="preserve">no defense. This is because a view that is only as good as the logic and evidence underlying it is </w:t>
      </w:r>
      <w:r>
        <w:rPr>
          <w:i/>
        </w:rPr>
        <w:t>ipso facto</w:t>
      </w:r>
      <w:r>
        <w:rPr>
          <w:i/>
          <w:spacing w:val="40"/>
        </w:rPr>
        <w:t xml:space="preserve"> </w:t>
      </w:r>
      <w:r>
        <w:t>a non-religious view.</w:t>
      </w:r>
    </w:p>
    <w:p w14:paraId="7E002751" w14:textId="77777777" w:rsidR="009A58DB" w:rsidRDefault="00000000">
      <w:pPr>
        <w:pStyle w:val="BodyText"/>
        <w:spacing w:before="12" w:line="249" w:lineRule="auto"/>
        <w:ind w:right="361" w:firstLine="360"/>
      </w:pPr>
      <w:r>
        <w:t>Rockefeller said: “never explain, never complain.” In defending a view that one holds, one is conceding that it needs a defense and therefore that it is to be presumed false until proven correct. When one complains, one is saying that one is powerless, and therefore unworthy, since it is by acting, not whining, that the powerful express themselves.</w:t>
      </w:r>
    </w:p>
    <w:p w14:paraId="7E002752" w14:textId="77777777" w:rsidR="009A58DB" w:rsidRDefault="00000000">
      <w:pPr>
        <w:pStyle w:val="BodyText"/>
        <w:spacing w:before="7" w:line="249" w:lineRule="auto"/>
        <w:ind w:right="360" w:firstLine="360"/>
      </w:pPr>
      <w:r>
        <w:t>Obviously there are contexts where Rockefeller’s dictum is inappropriate. A doctor or lawyer should surely explain, and a person who is abused should surely complain. But that dictum does hold where religious belief is concerned. Defending a religious view is the same as explaining why one holds it, and explaining why one holds it is almost the same as apologizing for it. So, if you are a religious person, you are entitled to explain your beliefs, if you wish to do so. But know that, in doing so, you are conceding that they are only as good as the arguments for them. And in making that concession, you are saying, however unwittingly, that there but for the grace of the mercurial and unpredictable winds of evidential change go they.</w:t>
      </w:r>
    </w:p>
    <w:p w14:paraId="7E002753" w14:textId="77777777" w:rsidR="009A58DB" w:rsidRDefault="00000000">
      <w:pPr>
        <w:pStyle w:val="Heading1"/>
        <w:numPr>
          <w:ilvl w:val="1"/>
          <w:numId w:val="48"/>
        </w:numPr>
        <w:tabs>
          <w:tab w:val="left" w:pos="990"/>
        </w:tabs>
        <w:spacing w:before="200"/>
        <w:ind w:left="990"/>
      </w:pPr>
      <w:r>
        <w:t>A</w:t>
      </w:r>
      <w:r>
        <w:rPr>
          <w:spacing w:val="-1"/>
        </w:rPr>
        <w:t xml:space="preserve"> </w:t>
      </w:r>
      <w:r>
        <w:rPr>
          <w:spacing w:val="-2"/>
        </w:rPr>
        <w:t>conjecture</w:t>
      </w:r>
    </w:p>
    <w:p w14:paraId="7E002754" w14:textId="77777777" w:rsidR="009A58DB" w:rsidRDefault="00000000">
      <w:pPr>
        <w:pStyle w:val="BodyText"/>
        <w:spacing w:before="139" w:line="249" w:lineRule="auto"/>
        <w:ind w:right="358"/>
      </w:pPr>
      <w:r>
        <w:t xml:space="preserve">In his book </w:t>
      </w:r>
      <w:r>
        <w:rPr>
          <w:i/>
        </w:rPr>
        <w:t xml:space="preserve">Compulsion and Doubt, </w:t>
      </w:r>
      <w:r>
        <w:t>Wilhelm Stekel (1868–1940), a psychoanalyst with a gargantuan intellect, said that many self-described atheists are actually crypto-believers. I suspect that, when some philosophers speak</w:t>
      </w:r>
      <w:r>
        <w:rPr>
          <w:spacing w:val="-2"/>
        </w:rPr>
        <w:t xml:space="preserve"> </w:t>
      </w:r>
      <w:r>
        <w:t>of</w:t>
      </w:r>
      <w:r>
        <w:rPr>
          <w:spacing w:val="-3"/>
        </w:rPr>
        <w:t xml:space="preserve"> </w:t>
      </w:r>
      <w:r>
        <w:t>the</w:t>
      </w:r>
      <w:r>
        <w:rPr>
          <w:spacing w:val="-3"/>
        </w:rPr>
        <w:t xml:space="preserve"> </w:t>
      </w:r>
      <w:r>
        <w:t>logical</w:t>
      </w:r>
      <w:r>
        <w:rPr>
          <w:spacing w:val="-3"/>
        </w:rPr>
        <w:t xml:space="preserve"> </w:t>
      </w:r>
      <w:r>
        <w:t>or</w:t>
      </w:r>
      <w:r>
        <w:rPr>
          <w:spacing w:val="-3"/>
        </w:rPr>
        <w:t xml:space="preserve"> </w:t>
      </w:r>
      <w:r>
        <w:t>ethical</w:t>
      </w:r>
      <w:r>
        <w:rPr>
          <w:spacing w:val="-3"/>
        </w:rPr>
        <w:t xml:space="preserve"> </w:t>
      </w:r>
      <w:r>
        <w:rPr>
          <w:i/>
        </w:rPr>
        <w:t>standards</w:t>
      </w:r>
      <w:r>
        <w:rPr>
          <w:i/>
          <w:spacing w:val="-3"/>
        </w:rPr>
        <w:t xml:space="preserve"> </w:t>
      </w:r>
      <w:r>
        <w:t>to</w:t>
      </w:r>
      <w:r>
        <w:rPr>
          <w:spacing w:val="-2"/>
        </w:rPr>
        <w:t xml:space="preserve"> </w:t>
      </w:r>
      <w:r>
        <w:t>which</w:t>
      </w:r>
      <w:r>
        <w:rPr>
          <w:spacing w:val="-2"/>
        </w:rPr>
        <w:t xml:space="preserve"> </w:t>
      </w:r>
      <w:r>
        <w:t>judgments</w:t>
      </w:r>
      <w:r>
        <w:rPr>
          <w:spacing w:val="-3"/>
        </w:rPr>
        <w:t xml:space="preserve"> </w:t>
      </w:r>
      <w:r>
        <w:t>and</w:t>
      </w:r>
      <w:r>
        <w:rPr>
          <w:spacing w:val="-2"/>
        </w:rPr>
        <w:t xml:space="preserve"> </w:t>
      </w:r>
      <w:r>
        <w:t>acts</w:t>
      </w:r>
      <w:r>
        <w:rPr>
          <w:spacing w:val="-3"/>
        </w:rPr>
        <w:t xml:space="preserve"> </w:t>
      </w:r>
      <w:r>
        <w:t>ought</w:t>
      </w:r>
      <w:r>
        <w:rPr>
          <w:spacing w:val="-3"/>
        </w:rPr>
        <w:t xml:space="preserve"> </w:t>
      </w:r>
      <w:r>
        <w:t>to conform, they are at some level speaking about God. Acceptance of such rarefied</w:t>
      </w:r>
      <w:r>
        <w:rPr>
          <w:spacing w:val="64"/>
        </w:rPr>
        <w:t xml:space="preserve"> </w:t>
      </w:r>
      <w:r>
        <w:t>and</w:t>
      </w:r>
      <w:r>
        <w:rPr>
          <w:spacing w:val="64"/>
        </w:rPr>
        <w:t xml:space="preserve"> </w:t>
      </w:r>
      <w:r>
        <w:t>depersonalized</w:t>
      </w:r>
      <w:r>
        <w:rPr>
          <w:spacing w:val="65"/>
        </w:rPr>
        <w:t xml:space="preserve"> </w:t>
      </w:r>
      <w:r>
        <w:t>arbiters</w:t>
      </w:r>
      <w:r>
        <w:rPr>
          <w:spacing w:val="64"/>
        </w:rPr>
        <w:t xml:space="preserve"> </w:t>
      </w:r>
      <w:r>
        <w:t>and</w:t>
      </w:r>
      <w:r>
        <w:rPr>
          <w:spacing w:val="65"/>
        </w:rPr>
        <w:t xml:space="preserve"> </w:t>
      </w:r>
      <w:r>
        <w:t>right</w:t>
      </w:r>
      <w:r>
        <w:rPr>
          <w:spacing w:val="64"/>
        </w:rPr>
        <w:t xml:space="preserve"> </w:t>
      </w:r>
      <w:r>
        <w:t>and</w:t>
      </w:r>
      <w:r>
        <w:rPr>
          <w:spacing w:val="64"/>
        </w:rPr>
        <w:t xml:space="preserve"> </w:t>
      </w:r>
      <w:r>
        <w:t>wrong</w:t>
      </w:r>
      <w:r>
        <w:rPr>
          <w:spacing w:val="65"/>
        </w:rPr>
        <w:t xml:space="preserve"> </w:t>
      </w:r>
      <w:r>
        <w:t>is</w:t>
      </w:r>
      <w:r>
        <w:rPr>
          <w:spacing w:val="64"/>
        </w:rPr>
        <w:t xml:space="preserve"> </w:t>
      </w:r>
      <w:r>
        <w:t>sometimes,</w:t>
      </w:r>
      <w:r>
        <w:rPr>
          <w:spacing w:val="65"/>
        </w:rPr>
        <w:t xml:space="preserve"> </w:t>
      </w:r>
      <w:r>
        <w:t>I</w:t>
      </w:r>
    </w:p>
    <w:p w14:paraId="7E00275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56" w14:textId="77777777" w:rsidR="009A58DB" w:rsidRDefault="00000000">
      <w:pPr>
        <w:pStyle w:val="BodyText"/>
        <w:spacing w:before="60"/>
      </w:pPr>
      <w:r>
        <w:lastRenderedPageBreak/>
        <w:t>would</w:t>
      </w:r>
      <w:r>
        <w:rPr>
          <w:spacing w:val="-5"/>
        </w:rPr>
        <w:t xml:space="preserve"> </w:t>
      </w:r>
      <w:r>
        <w:t>conjecture,</w:t>
      </w:r>
      <w:r>
        <w:rPr>
          <w:spacing w:val="-3"/>
        </w:rPr>
        <w:t xml:space="preserve"> </w:t>
      </w:r>
      <w:r>
        <w:t>a</w:t>
      </w:r>
      <w:r>
        <w:rPr>
          <w:spacing w:val="-3"/>
        </w:rPr>
        <w:t xml:space="preserve"> </w:t>
      </w:r>
      <w:r>
        <w:t>distorted</w:t>
      </w:r>
      <w:r>
        <w:rPr>
          <w:spacing w:val="-3"/>
        </w:rPr>
        <w:t xml:space="preserve"> </w:t>
      </w:r>
      <w:r>
        <w:t>and</w:t>
      </w:r>
      <w:r>
        <w:rPr>
          <w:spacing w:val="-3"/>
        </w:rPr>
        <w:t xml:space="preserve"> </w:t>
      </w:r>
      <w:r>
        <w:t>oblique</w:t>
      </w:r>
      <w:r>
        <w:rPr>
          <w:spacing w:val="-3"/>
        </w:rPr>
        <w:t xml:space="preserve"> </w:t>
      </w:r>
      <w:r>
        <w:t>expression</w:t>
      </w:r>
      <w:r>
        <w:rPr>
          <w:spacing w:val="-3"/>
        </w:rPr>
        <w:t xml:space="preserve"> </w:t>
      </w:r>
      <w:r>
        <w:t>of</w:t>
      </w:r>
      <w:r>
        <w:rPr>
          <w:spacing w:val="-4"/>
        </w:rPr>
        <w:t xml:space="preserve"> </w:t>
      </w:r>
      <w:r>
        <w:t>a</w:t>
      </w:r>
      <w:r>
        <w:rPr>
          <w:spacing w:val="-3"/>
        </w:rPr>
        <w:t xml:space="preserve"> </w:t>
      </w:r>
      <w:r>
        <w:t>belief</w:t>
      </w:r>
      <w:r>
        <w:rPr>
          <w:spacing w:val="-4"/>
        </w:rPr>
        <w:t xml:space="preserve"> </w:t>
      </w:r>
      <w:r>
        <w:t>in</w:t>
      </w:r>
      <w:r>
        <w:rPr>
          <w:spacing w:val="-2"/>
        </w:rPr>
        <w:t xml:space="preserve"> </w:t>
      </w:r>
      <w:r>
        <w:rPr>
          <w:spacing w:val="-4"/>
        </w:rPr>
        <w:t>God.</w:t>
      </w:r>
    </w:p>
    <w:p w14:paraId="7E002757" w14:textId="77777777" w:rsidR="009A58DB" w:rsidRDefault="00000000">
      <w:pPr>
        <w:pStyle w:val="Heading1"/>
        <w:numPr>
          <w:ilvl w:val="1"/>
          <w:numId w:val="48"/>
        </w:numPr>
        <w:tabs>
          <w:tab w:val="left" w:pos="1091"/>
        </w:tabs>
        <w:spacing w:before="208" w:line="244" w:lineRule="auto"/>
        <w:ind w:right="361" w:firstLine="0"/>
        <w:jc w:val="both"/>
      </w:pPr>
      <w:r>
        <w:t>Is there a relationship between the degree to which one is religious and</w:t>
      </w:r>
      <w:r>
        <w:rPr>
          <w:spacing w:val="80"/>
        </w:rPr>
        <w:t xml:space="preserve">  </w:t>
      </w:r>
      <w:r>
        <w:t>the extent to which one is intelligent?</w:t>
      </w:r>
    </w:p>
    <w:p w14:paraId="7E002758" w14:textId="77777777" w:rsidR="009A58DB" w:rsidRDefault="00000000">
      <w:pPr>
        <w:pStyle w:val="BodyText"/>
        <w:spacing w:before="134" w:line="249" w:lineRule="auto"/>
        <w:ind w:right="359"/>
      </w:pPr>
      <w:r>
        <w:t>No.</w:t>
      </w:r>
      <w:r>
        <w:rPr>
          <w:spacing w:val="-1"/>
        </w:rPr>
        <w:t xml:space="preserve"> </w:t>
      </w:r>
      <w:r>
        <w:t>Some</w:t>
      </w:r>
      <w:r>
        <w:rPr>
          <w:spacing w:val="-1"/>
        </w:rPr>
        <w:t xml:space="preserve"> </w:t>
      </w:r>
      <w:r>
        <w:t>of</w:t>
      </w:r>
      <w:r>
        <w:rPr>
          <w:spacing w:val="-1"/>
        </w:rPr>
        <w:t xml:space="preserve"> </w:t>
      </w:r>
      <w:r>
        <w:t>the</w:t>
      </w:r>
      <w:r>
        <w:rPr>
          <w:spacing w:val="-1"/>
        </w:rPr>
        <w:t xml:space="preserve"> </w:t>
      </w:r>
      <w:r>
        <w:t>most</w:t>
      </w:r>
      <w:r>
        <w:rPr>
          <w:spacing w:val="-1"/>
        </w:rPr>
        <w:t xml:space="preserve"> </w:t>
      </w:r>
      <w:r>
        <w:t>intelligent</w:t>
      </w:r>
      <w:r>
        <w:rPr>
          <w:spacing w:val="-1"/>
        </w:rPr>
        <w:t xml:space="preserve"> </w:t>
      </w:r>
      <w:r>
        <w:t>people</w:t>
      </w:r>
      <w:r>
        <w:rPr>
          <w:spacing w:val="-1"/>
        </w:rPr>
        <w:t xml:space="preserve"> </w:t>
      </w:r>
      <w:r>
        <w:t>I</w:t>
      </w:r>
      <w:r>
        <w:rPr>
          <w:spacing w:val="-1"/>
        </w:rPr>
        <w:t xml:space="preserve"> </w:t>
      </w:r>
      <w:r>
        <w:t>know,</w:t>
      </w:r>
      <w:r>
        <w:rPr>
          <w:spacing w:val="-1"/>
        </w:rPr>
        <w:t xml:space="preserve"> </w:t>
      </w:r>
      <w:r>
        <w:t>or</w:t>
      </w:r>
      <w:r>
        <w:rPr>
          <w:spacing w:val="-1"/>
        </w:rPr>
        <w:t xml:space="preserve"> </w:t>
      </w:r>
      <w:r>
        <w:t>know</w:t>
      </w:r>
      <w:r>
        <w:rPr>
          <w:spacing w:val="-1"/>
        </w:rPr>
        <w:t xml:space="preserve"> </w:t>
      </w:r>
      <w:r>
        <w:t>of,</w:t>
      </w:r>
      <w:r>
        <w:rPr>
          <w:spacing w:val="-1"/>
        </w:rPr>
        <w:t xml:space="preserve"> </w:t>
      </w:r>
      <w:r>
        <w:t>are</w:t>
      </w:r>
      <w:r>
        <w:rPr>
          <w:spacing w:val="-1"/>
        </w:rPr>
        <w:t xml:space="preserve"> </w:t>
      </w:r>
      <w:r>
        <w:t>religious</w:t>
      </w:r>
      <w:r>
        <w:rPr>
          <w:spacing w:val="-1"/>
        </w:rPr>
        <w:t xml:space="preserve"> </w:t>
      </w:r>
      <w:r>
        <w:t>and some of the least intelligent are non-religious. (I’ve known many people who were decidedly unintelligent who, in an effort to convince themselves and others of their intelligence, became rabidly anti-religion.) One of the most brilliant philosophers alive is Michael Dummett. Even though he’s devoutly religious, you wouldn’t know it from his work. I myself didn’t know it until after I’d read most of his works; and I found it out, not by reading one of his books, but by reading an interview with him.</w:t>
      </w:r>
    </w:p>
    <w:p w14:paraId="7E002759" w14:textId="77777777" w:rsidR="009A58DB" w:rsidRDefault="00000000">
      <w:pPr>
        <w:pStyle w:val="BodyText"/>
        <w:spacing w:before="10" w:line="249" w:lineRule="auto"/>
        <w:ind w:right="359" w:firstLine="360"/>
      </w:pPr>
      <w:r>
        <w:rPr>
          <w:spacing w:val="-4"/>
        </w:rPr>
        <w:t>The</w:t>
      </w:r>
      <w:r>
        <w:rPr>
          <w:spacing w:val="-12"/>
        </w:rPr>
        <w:t xml:space="preserve"> </w:t>
      </w:r>
      <w:r>
        <w:rPr>
          <w:spacing w:val="-4"/>
        </w:rPr>
        <w:t>reason</w:t>
      </w:r>
      <w:r>
        <w:rPr>
          <w:spacing w:val="-12"/>
        </w:rPr>
        <w:t xml:space="preserve"> </w:t>
      </w:r>
      <w:r>
        <w:rPr>
          <w:spacing w:val="-4"/>
        </w:rPr>
        <w:t>why</w:t>
      </w:r>
      <w:r>
        <w:rPr>
          <w:spacing w:val="-12"/>
        </w:rPr>
        <w:t xml:space="preserve"> </w:t>
      </w:r>
      <w:r>
        <w:rPr>
          <w:spacing w:val="-4"/>
        </w:rPr>
        <w:t>people</w:t>
      </w:r>
      <w:r>
        <w:rPr>
          <w:spacing w:val="-12"/>
        </w:rPr>
        <w:t xml:space="preserve"> </w:t>
      </w:r>
      <w:r>
        <w:rPr>
          <w:spacing w:val="-4"/>
        </w:rPr>
        <w:t>of</w:t>
      </w:r>
      <w:r>
        <w:rPr>
          <w:spacing w:val="-12"/>
        </w:rPr>
        <w:t xml:space="preserve"> </w:t>
      </w:r>
      <w:r>
        <w:rPr>
          <w:spacing w:val="-4"/>
        </w:rPr>
        <w:t>such</w:t>
      </w:r>
      <w:r>
        <w:rPr>
          <w:spacing w:val="-12"/>
        </w:rPr>
        <w:t xml:space="preserve"> </w:t>
      </w:r>
      <w:r>
        <w:rPr>
          <w:spacing w:val="-4"/>
        </w:rPr>
        <w:t>intelligence</w:t>
      </w:r>
      <w:r>
        <w:rPr>
          <w:spacing w:val="-12"/>
        </w:rPr>
        <w:t xml:space="preserve"> </w:t>
      </w:r>
      <w:r>
        <w:rPr>
          <w:spacing w:val="-4"/>
        </w:rPr>
        <w:t>may</w:t>
      </w:r>
      <w:r>
        <w:rPr>
          <w:spacing w:val="-12"/>
        </w:rPr>
        <w:t xml:space="preserve"> </w:t>
      </w:r>
      <w:r>
        <w:rPr>
          <w:spacing w:val="-4"/>
        </w:rPr>
        <w:t>believe</w:t>
      </w:r>
      <w:r>
        <w:rPr>
          <w:spacing w:val="-12"/>
        </w:rPr>
        <w:t xml:space="preserve"> </w:t>
      </w:r>
      <w:r>
        <w:rPr>
          <w:spacing w:val="-4"/>
        </w:rPr>
        <w:t>in</w:t>
      </w:r>
      <w:r>
        <w:rPr>
          <w:spacing w:val="-12"/>
        </w:rPr>
        <w:t xml:space="preserve"> </w:t>
      </w:r>
      <w:r>
        <w:rPr>
          <w:spacing w:val="-4"/>
        </w:rPr>
        <w:t>religious</w:t>
      </w:r>
      <w:r>
        <w:rPr>
          <w:spacing w:val="-12"/>
        </w:rPr>
        <w:t xml:space="preserve"> </w:t>
      </w:r>
      <w:r>
        <w:rPr>
          <w:spacing w:val="-4"/>
        </w:rPr>
        <w:t xml:space="preserve">doctrines </w:t>
      </w:r>
      <w:r>
        <w:t>that are insufficiently</w:t>
      </w:r>
      <w:r>
        <w:rPr>
          <w:spacing w:val="-19"/>
        </w:rPr>
        <w:t xml:space="preserve"> </w:t>
      </w:r>
      <w:r>
        <w:t>supported by facts and logic is that religious belief isn’t about</w:t>
      </w:r>
      <w:r>
        <w:rPr>
          <w:spacing w:val="-19"/>
        </w:rPr>
        <w:t xml:space="preserve"> </w:t>
      </w:r>
      <w:r>
        <w:t>facts</w:t>
      </w:r>
      <w:r>
        <w:rPr>
          <w:spacing w:val="-19"/>
        </w:rPr>
        <w:t xml:space="preserve"> </w:t>
      </w:r>
      <w:r>
        <w:t>or</w:t>
      </w:r>
      <w:r>
        <w:rPr>
          <w:spacing w:val="-19"/>
        </w:rPr>
        <w:t xml:space="preserve"> </w:t>
      </w:r>
      <w:r>
        <w:t>logic.</w:t>
      </w:r>
      <w:r>
        <w:rPr>
          <w:spacing w:val="-18"/>
        </w:rPr>
        <w:t xml:space="preserve"> </w:t>
      </w:r>
      <w:r>
        <w:t>It’s</w:t>
      </w:r>
      <w:r>
        <w:rPr>
          <w:spacing w:val="-19"/>
        </w:rPr>
        <w:t xml:space="preserve"> </w:t>
      </w:r>
      <w:r>
        <w:t>independent</w:t>
      </w:r>
      <w:r>
        <w:rPr>
          <w:spacing w:val="-19"/>
        </w:rPr>
        <w:t xml:space="preserve"> </w:t>
      </w:r>
      <w:r>
        <w:t>of</w:t>
      </w:r>
      <w:r>
        <w:rPr>
          <w:spacing w:val="-19"/>
        </w:rPr>
        <w:t xml:space="preserve"> </w:t>
      </w:r>
      <w:r>
        <w:t>them</w:t>
      </w:r>
      <w:r>
        <w:rPr>
          <w:spacing w:val="-18"/>
        </w:rPr>
        <w:t xml:space="preserve"> </w:t>
      </w:r>
      <w:r>
        <w:t>and</w:t>
      </w:r>
      <w:r>
        <w:rPr>
          <w:spacing w:val="-19"/>
        </w:rPr>
        <w:t xml:space="preserve"> </w:t>
      </w:r>
      <w:r>
        <w:t>isn’t</w:t>
      </w:r>
      <w:r>
        <w:rPr>
          <w:spacing w:val="-19"/>
        </w:rPr>
        <w:t xml:space="preserve"> </w:t>
      </w:r>
      <w:r>
        <w:t>answerable</w:t>
      </w:r>
      <w:r>
        <w:rPr>
          <w:spacing w:val="-15"/>
        </w:rPr>
        <w:t xml:space="preserve"> </w:t>
      </w:r>
      <w:r>
        <w:t>to</w:t>
      </w:r>
      <w:r>
        <w:rPr>
          <w:spacing w:val="-7"/>
        </w:rPr>
        <w:t xml:space="preserve"> </w:t>
      </w:r>
      <w:r>
        <w:t>them.</w:t>
      </w:r>
      <w:r>
        <w:rPr>
          <w:spacing w:val="-9"/>
        </w:rPr>
        <w:t xml:space="preserve"> </w:t>
      </w:r>
      <w:r>
        <w:t>The part of the mind that mediates religious sentiment is only in very imperfect communication with the parts that mediate rational thought; and religious sentiment being what it is, it is right that this is so, at least after a fashion.</w:t>
      </w:r>
    </w:p>
    <w:p w14:paraId="7E00275A" w14:textId="77777777" w:rsidR="009A58DB" w:rsidRDefault="00000000">
      <w:pPr>
        <w:pStyle w:val="Heading1"/>
        <w:numPr>
          <w:ilvl w:val="1"/>
          <w:numId w:val="48"/>
        </w:numPr>
        <w:tabs>
          <w:tab w:val="left" w:pos="1031"/>
        </w:tabs>
        <w:spacing w:before="210" w:line="244" w:lineRule="auto"/>
        <w:ind w:right="361" w:firstLine="0"/>
        <w:jc w:val="both"/>
      </w:pPr>
      <w:r>
        <w:t xml:space="preserve">The one thing that philosophy has to say about </w:t>
      </w:r>
      <w:r>
        <w:rPr>
          <w:spacing w:val="-2"/>
        </w:rPr>
        <w:t>religion</w:t>
      </w:r>
    </w:p>
    <w:p w14:paraId="7E00275B" w14:textId="77777777" w:rsidR="009A58DB" w:rsidRDefault="00000000">
      <w:pPr>
        <w:pStyle w:val="BodyText"/>
        <w:spacing w:before="132" w:line="249" w:lineRule="auto"/>
        <w:ind w:right="358"/>
      </w:pPr>
      <w:r>
        <w:t xml:space="preserve">There is only one qualification to my previous statement that philosophy has nothing to teach us about religion. Plato put forth a very clever argument to the effect that, so far as there are moral truths, their basis lies in the structures of properties, and </w:t>
      </w:r>
      <w:r>
        <w:rPr>
          <w:i/>
        </w:rPr>
        <w:t xml:space="preserve">not </w:t>
      </w:r>
      <w:r>
        <w:t xml:space="preserve">in God’s decrees. That argument is known as the “Euthyphro argument,” since it was first put forth in Plato’s dialogue the </w:t>
      </w:r>
      <w:r>
        <w:rPr>
          <w:i/>
        </w:rPr>
        <w:t xml:space="preserve">Euthyphro. </w:t>
      </w:r>
      <w:r>
        <w:t>I consider that argument to be cogent.</w:t>
      </w:r>
    </w:p>
    <w:p w14:paraId="7E00275C" w14:textId="77777777" w:rsidR="009A58DB" w:rsidRDefault="00000000">
      <w:pPr>
        <w:pStyle w:val="BodyText"/>
        <w:spacing w:before="7" w:line="249" w:lineRule="auto"/>
        <w:ind w:right="359" w:firstLine="360"/>
      </w:pPr>
      <w:r>
        <w:t>Anthony Flew, a contemporary philosopher, said that there is an easy and reliable way to determine whether a person has an aptitude for philosophy:</w:t>
      </w:r>
      <w:r>
        <w:rPr>
          <w:spacing w:val="40"/>
        </w:rPr>
        <w:t xml:space="preserve"> </w:t>
      </w:r>
      <w:r>
        <w:t>He does if He understands the Euthyphro Argument; He doesn’t if He doesn’t. Having had thousands of students, and having gone over the Euthyphro argument many times in class, I agree with Flew.</w:t>
      </w:r>
    </w:p>
    <w:p w14:paraId="7E00275D" w14:textId="77777777" w:rsidR="009A58DB" w:rsidRDefault="00000000">
      <w:pPr>
        <w:pStyle w:val="BodyText"/>
        <w:spacing w:before="6"/>
        <w:ind w:left="720"/>
      </w:pPr>
      <w:r>
        <w:t>There</w:t>
      </w:r>
      <w:r>
        <w:rPr>
          <w:spacing w:val="42"/>
          <w:w w:val="150"/>
        </w:rPr>
        <w:t xml:space="preserve"> </w:t>
      </w:r>
      <w:r>
        <w:t>is</w:t>
      </w:r>
      <w:r>
        <w:rPr>
          <w:spacing w:val="45"/>
          <w:w w:val="150"/>
        </w:rPr>
        <w:t xml:space="preserve"> </w:t>
      </w:r>
      <w:r>
        <w:t>an</w:t>
      </w:r>
      <w:r>
        <w:rPr>
          <w:spacing w:val="44"/>
          <w:w w:val="150"/>
        </w:rPr>
        <w:t xml:space="preserve"> </w:t>
      </w:r>
      <w:r>
        <w:t>easy</w:t>
      </w:r>
      <w:r>
        <w:rPr>
          <w:spacing w:val="44"/>
          <w:w w:val="150"/>
        </w:rPr>
        <w:t xml:space="preserve"> </w:t>
      </w:r>
      <w:r>
        <w:t>and</w:t>
      </w:r>
      <w:r>
        <w:rPr>
          <w:spacing w:val="45"/>
          <w:w w:val="150"/>
        </w:rPr>
        <w:t xml:space="preserve"> </w:t>
      </w:r>
      <w:r>
        <w:t>reliable</w:t>
      </w:r>
      <w:r>
        <w:rPr>
          <w:spacing w:val="45"/>
          <w:w w:val="150"/>
        </w:rPr>
        <w:t xml:space="preserve"> </w:t>
      </w:r>
      <w:r>
        <w:t>way</w:t>
      </w:r>
      <w:r>
        <w:rPr>
          <w:spacing w:val="44"/>
          <w:w w:val="150"/>
        </w:rPr>
        <w:t xml:space="preserve"> </w:t>
      </w:r>
      <w:r>
        <w:t>to</w:t>
      </w:r>
      <w:r>
        <w:rPr>
          <w:spacing w:val="45"/>
          <w:w w:val="150"/>
        </w:rPr>
        <w:t xml:space="preserve"> </w:t>
      </w:r>
      <w:r>
        <w:t>determine</w:t>
      </w:r>
      <w:r>
        <w:rPr>
          <w:spacing w:val="44"/>
          <w:w w:val="150"/>
        </w:rPr>
        <w:t xml:space="preserve"> </w:t>
      </w:r>
      <w:r>
        <w:t>whether</w:t>
      </w:r>
      <w:r>
        <w:rPr>
          <w:spacing w:val="45"/>
          <w:w w:val="150"/>
        </w:rPr>
        <w:t xml:space="preserve"> </w:t>
      </w:r>
      <w:r>
        <w:t>a</w:t>
      </w:r>
      <w:r>
        <w:rPr>
          <w:spacing w:val="45"/>
          <w:w w:val="150"/>
        </w:rPr>
        <w:t xml:space="preserve"> </w:t>
      </w:r>
      <w:r>
        <w:t>person</w:t>
      </w:r>
      <w:r>
        <w:rPr>
          <w:spacing w:val="45"/>
          <w:w w:val="150"/>
        </w:rPr>
        <w:t xml:space="preserve"> </w:t>
      </w:r>
      <w:r>
        <w:rPr>
          <w:spacing w:val="-5"/>
        </w:rPr>
        <w:t>is</w:t>
      </w:r>
    </w:p>
    <w:p w14:paraId="7E00275E" w14:textId="77777777" w:rsidR="009A58DB" w:rsidRDefault="009A58DB">
      <w:pPr>
        <w:pStyle w:val="BodyText"/>
        <w:sectPr w:rsidR="009A58DB">
          <w:pgSz w:w="12240" w:h="15840"/>
          <w:pgMar w:top="1380" w:right="1080" w:bottom="280" w:left="1080" w:header="720" w:footer="720" w:gutter="0"/>
          <w:cols w:space="720"/>
        </w:sectPr>
      </w:pPr>
    </w:p>
    <w:p w14:paraId="7E00275F" w14:textId="77777777" w:rsidR="009A58DB" w:rsidRDefault="00000000">
      <w:pPr>
        <w:pStyle w:val="BodyText"/>
        <w:spacing w:before="70" w:line="249" w:lineRule="auto"/>
        <w:ind w:right="361"/>
      </w:pPr>
      <w:r>
        <w:rPr>
          <w:i/>
        </w:rPr>
        <w:lastRenderedPageBreak/>
        <w:t xml:space="preserve">religious. </w:t>
      </w:r>
      <w:r>
        <w:t xml:space="preserve">(But this test only works for people who have studied the Euthyphro argument and who also understand it.) If He </w:t>
      </w:r>
      <w:r>
        <w:rPr>
          <w:i/>
        </w:rPr>
        <w:t xml:space="preserve">agrees </w:t>
      </w:r>
      <w:r>
        <w:t>with the conclusion</w:t>
      </w:r>
      <w:r>
        <w:rPr>
          <w:spacing w:val="76"/>
          <w:w w:val="150"/>
        </w:rPr>
        <w:t xml:space="preserve"> </w:t>
      </w:r>
      <w:r>
        <w:t>of</w:t>
      </w:r>
      <w:r>
        <w:rPr>
          <w:spacing w:val="76"/>
          <w:w w:val="150"/>
        </w:rPr>
        <w:t xml:space="preserve"> </w:t>
      </w:r>
      <w:r>
        <w:t>the</w:t>
      </w:r>
      <w:r>
        <w:rPr>
          <w:spacing w:val="76"/>
          <w:w w:val="150"/>
        </w:rPr>
        <w:t xml:space="preserve"> </w:t>
      </w:r>
      <w:r>
        <w:t>Euthyphro</w:t>
      </w:r>
      <w:r>
        <w:rPr>
          <w:spacing w:val="76"/>
          <w:w w:val="150"/>
        </w:rPr>
        <w:t xml:space="preserve"> </w:t>
      </w:r>
      <w:r>
        <w:t>argument,</w:t>
      </w:r>
      <w:r>
        <w:rPr>
          <w:spacing w:val="77"/>
          <w:w w:val="150"/>
        </w:rPr>
        <w:t xml:space="preserve"> </w:t>
      </w:r>
      <w:r>
        <w:t>He’s</w:t>
      </w:r>
      <w:r>
        <w:rPr>
          <w:spacing w:val="76"/>
          <w:w w:val="150"/>
        </w:rPr>
        <w:t xml:space="preserve"> </w:t>
      </w:r>
      <w:r>
        <w:t>not</w:t>
      </w:r>
      <w:r>
        <w:rPr>
          <w:spacing w:val="76"/>
          <w:w w:val="150"/>
        </w:rPr>
        <w:t xml:space="preserve"> </w:t>
      </w:r>
      <w:r>
        <w:t>religious;</w:t>
      </w:r>
      <w:r>
        <w:rPr>
          <w:spacing w:val="76"/>
          <w:w w:val="150"/>
        </w:rPr>
        <w:t xml:space="preserve"> </w:t>
      </w:r>
      <w:r>
        <w:t>and</w:t>
      </w:r>
      <w:r>
        <w:rPr>
          <w:spacing w:val="76"/>
          <w:w w:val="150"/>
        </w:rPr>
        <w:t xml:space="preserve"> </w:t>
      </w:r>
      <w:r>
        <w:t>if</w:t>
      </w:r>
      <w:r>
        <w:rPr>
          <w:spacing w:val="76"/>
          <w:w w:val="150"/>
        </w:rPr>
        <w:t xml:space="preserve"> </w:t>
      </w:r>
      <w:r>
        <w:rPr>
          <w:spacing w:val="-5"/>
        </w:rPr>
        <w:t>He</w:t>
      </w:r>
    </w:p>
    <w:p w14:paraId="7E002760" w14:textId="77777777" w:rsidR="009A58DB" w:rsidRDefault="00000000">
      <w:pPr>
        <w:pStyle w:val="BodyText"/>
        <w:spacing w:before="3" w:line="277" w:lineRule="exact"/>
        <w:ind w:left="3174"/>
        <w:jc w:val="left"/>
      </w:pPr>
      <w:bookmarkStart w:id="555" w:name="_bookmark555"/>
      <w:bookmarkEnd w:id="555"/>
      <w:r>
        <w:rPr>
          <w:color w:val="0562C1"/>
          <w:spacing w:val="-2"/>
          <w:u w:val="single" w:color="0562C1"/>
        </w:rPr>
        <w:t>[419]</w:t>
      </w:r>
    </w:p>
    <w:p w14:paraId="7E002761" w14:textId="77777777" w:rsidR="009A58DB" w:rsidRDefault="00000000">
      <w:pPr>
        <w:pStyle w:val="BodyText"/>
        <w:tabs>
          <w:tab w:val="left" w:pos="3899"/>
        </w:tabs>
        <w:spacing w:line="277" w:lineRule="exact"/>
        <w:jc w:val="left"/>
      </w:pPr>
      <w:r>
        <w:t>disagrees</w:t>
      </w:r>
      <w:r>
        <w:rPr>
          <w:spacing w:val="-4"/>
        </w:rPr>
        <w:t xml:space="preserve"> </w:t>
      </w:r>
      <w:r>
        <w:t>with</w:t>
      </w:r>
      <w:r>
        <w:rPr>
          <w:spacing w:val="-3"/>
        </w:rPr>
        <w:t xml:space="preserve"> </w:t>
      </w:r>
      <w:r>
        <w:t>it,</w:t>
      </w:r>
      <w:r>
        <w:rPr>
          <w:spacing w:val="-4"/>
        </w:rPr>
        <w:t xml:space="preserve"> </w:t>
      </w:r>
      <w:r>
        <w:t>He</w:t>
      </w:r>
      <w:r>
        <w:rPr>
          <w:spacing w:val="-3"/>
        </w:rPr>
        <w:t xml:space="preserve"> </w:t>
      </w:r>
      <w:r>
        <w:rPr>
          <w:spacing w:val="-5"/>
        </w:rPr>
        <w:t>is.</w:t>
      </w:r>
      <w:r>
        <w:tab/>
        <w:t>Let</w:t>
      </w:r>
      <w:r>
        <w:rPr>
          <w:spacing w:val="-5"/>
        </w:rPr>
        <w:t xml:space="preserve"> </w:t>
      </w:r>
      <w:r>
        <w:t>us</w:t>
      </w:r>
      <w:r>
        <w:rPr>
          <w:spacing w:val="-3"/>
        </w:rPr>
        <w:t xml:space="preserve"> </w:t>
      </w:r>
      <w:r>
        <w:t>now</w:t>
      </w:r>
      <w:r>
        <w:rPr>
          <w:spacing w:val="-2"/>
        </w:rPr>
        <w:t xml:space="preserve"> </w:t>
      </w:r>
      <w:r>
        <w:t>discuss</w:t>
      </w:r>
      <w:r>
        <w:rPr>
          <w:spacing w:val="-3"/>
        </w:rPr>
        <w:t xml:space="preserve"> </w:t>
      </w:r>
      <w:r>
        <w:t>that</w:t>
      </w:r>
      <w:r>
        <w:rPr>
          <w:spacing w:val="-2"/>
        </w:rPr>
        <w:t xml:space="preserve"> argument.</w:t>
      </w:r>
    </w:p>
    <w:p w14:paraId="7E002762" w14:textId="77777777" w:rsidR="009A58DB" w:rsidRDefault="00000000">
      <w:pPr>
        <w:pStyle w:val="Heading1"/>
        <w:spacing w:before="198"/>
        <w:ind w:left="360" w:firstLine="0"/>
      </w:pPr>
      <w:r>
        <w:t>2.0</w:t>
      </w:r>
      <w:r>
        <w:rPr>
          <w:spacing w:val="-3"/>
        </w:rPr>
        <w:t xml:space="preserve"> </w:t>
      </w:r>
      <w:r>
        <w:t>The</w:t>
      </w:r>
      <w:r>
        <w:rPr>
          <w:spacing w:val="-4"/>
        </w:rPr>
        <w:t xml:space="preserve"> </w:t>
      </w:r>
      <w:r>
        <w:t>Euthyphro</w:t>
      </w:r>
      <w:r>
        <w:rPr>
          <w:spacing w:val="-3"/>
        </w:rPr>
        <w:t xml:space="preserve"> </w:t>
      </w:r>
      <w:r>
        <w:rPr>
          <w:spacing w:val="-2"/>
        </w:rPr>
        <w:t>dilemma</w:t>
      </w:r>
    </w:p>
    <w:p w14:paraId="7E002763" w14:textId="77777777" w:rsidR="009A58DB" w:rsidRDefault="00000000">
      <w:pPr>
        <w:pStyle w:val="BodyText"/>
        <w:spacing w:before="139" w:line="249" w:lineRule="auto"/>
        <w:ind w:right="360"/>
      </w:pPr>
      <w:r>
        <w:t xml:space="preserve">Some acts are good and others are bad. Giving money to the needy is good and killing babies is bad. But what </w:t>
      </w:r>
      <w:r>
        <w:rPr>
          <w:i/>
        </w:rPr>
        <w:t xml:space="preserve">makes </w:t>
      </w:r>
      <w:r>
        <w:t xml:space="preserve">good acts good, and what </w:t>
      </w:r>
      <w:r>
        <w:rPr>
          <w:i/>
        </w:rPr>
        <w:t xml:space="preserve">makes </w:t>
      </w:r>
      <w:r>
        <w:t>bad acts bad? Hise is one answer:</w:t>
      </w:r>
    </w:p>
    <w:p w14:paraId="7E002764" w14:textId="77777777" w:rsidR="009A58DB" w:rsidRDefault="009A58DB">
      <w:pPr>
        <w:pStyle w:val="BodyText"/>
        <w:spacing w:before="19"/>
        <w:ind w:left="0"/>
        <w:jc w:val="left"/>
      </w:pPr>
    </w:p>
    <w:p w14:paraId="7E002765" w14:textId="77777777" w:rsidR="009A58DB" w:rsidRDefault="00000000">
      <w:pPr>
        <w:pStyle w:val="BodyText"/>
        <w:spacing w:line="249" w:lineRule="auto"/>
        <w:ind w:left="720" w:right="359"/>
      </w:pPr>
      <w:r>
        <w:t xml:space="preserve">(G) If an act is good, that is because God likes it. In other words, God’s liking it is what </w:t>
      </w:r>
      <w:r>
        <w:rPr>
          <w:i/>
        </w:rPr>
        <w:t>causes</w:t>
      </w:r>
      <w:r>
        <w:rPr>
          <w:i/>
          <w:spacing w:val="-3"/>
        </w:rPr>
        <w:t xml:space="preserve"> </w:t>
      </w:r>
      <w:r>
        <w:t xml:space="preserve">it to be good. If an act is bad, God’s disliking it is what </w:t>
      </w:r>
      <w:r>
        <w:rPr>
          <w:i/>
        </w:rPr>
        <w:t xml:space="preserve">causes </w:t>
      </w:r>
      <w:r>
        <w:t xml:space="preserve">it to be bad. Until God likes or dislikes an act, it remains </w:t>
      </w:r>
      <w:r>
        <w:rPr>
          <w:spacing w:val="-2"/>
        </w:rPr>
        <w:t>neutral.</w:t>
      </w:r>
    </w:p>
    <w:p w14:paraId="7E002766" w14:textId="77777777" w:rsidR="009A58DB" w:rsidRDefault="009A58DB">
      <w:pPr>
        <w:pStyle w:val="BodyText"/>
        <w:spacing w:before="20"/>
        <w:ind w:left="0"/>
        <w:jc w:val="left"/>
      </w:pPr>
    </w:p>
    <w:p w14:paraId="7E002767" w14:textId="77777777" w:rsidR="009A58DB" w:rsidRDefault="00000000">
      <w:pPr>
        <w:pStyle w:val="BodyText"/>
        <w:spacing w:line="249" w:lineRule="auto"/>
        <w:jc w:val="left"/>
      </w:pPr>
      <w:r>
        <w:t xml:space="preserve">Basically, to be good is to be liked by God, and to be bad is to be disliked by </w:t>
      </w:r>
      <w:r>
        <w:rPr>
          <w:spacing w:val="-4"/>
        </w:rPr>
        <w:t>God.</w:t>
      </w:r>
    </w:p>
    <w:p w14:paraId="7E002768" w14:textId="77777777" w:rsidR="009A58DB" w:rsidRDefault="00000000">
      <w:pPr>
        <w:pStyle w:val="BodyText"/>
        <w:spacing w:before="3" w:line="249" w:lineRule="auto"/>
        <w:ind w:firstLine="360"/>
        <w:jc w:val="left"/>
      </w:pPr>
      <w:r>
        <w:t>Of</w:t>
      </w:r>
      <w:r>
        <w:rPr>
          <w:spacing w:val="-1"/>
        </w:rPr>
        <w:t xml:space="preserve"> </w:t>
      </w:r>
      <w:r>
        <w:t>course,</w:t>
      </w:r>
      <w:r>
        <w:rPr>
          <w:spacing w:val="-1"/>
        </w:rPr>
        <w:t xml:space="preserve"> </w:t>
      </w:r>
      <w:r>
        <w:t>G</w:t>
      </w:r>
      <w:r>
        <w:rPr>
          <w:spacing w:val="-1"/>
        </w:rPr>
        <w:t xml:space="preserve"> </w:t>
      </w:r>
      <w:r>
        <w:t>assumes</w:t>
      </w:r>
      <w:r>
        <w:rPr>
          <w:spacing w:val="-1"/>
        </w:rPr>
        <w:t xml:space="preserve"> </w:t>
      </w:r>
      <w:r>
        <w:t>that</w:t>
      </w:r>
      <w:r>
        <w:rPr>
          <w:spacing w:val="-1"/>
        </w:rPr>
        <w:t xml:space="preserve"> </w:t>
      </w:r>
      <w:r>
        <w:t>God</w:t>
      </w:r>
      <w:r>
        <w:rPr>
          <w:spacing w:val="-1"/>
        </w:rPr>
        <w:t xml:space="preserve"> </w:t>
      </w:r>
      <w:r>
        <w:t>exists.</w:t>
      </w:r>
      <w:r>
        <w:rPr>
          <w:spacing w:val="-1"/>
        </w:rPr>
        <w:t xml:space="preserve"> </w:t>
      </w:r>
      <w:r>
        <w:t>For</w:t>
      </w:r>
      <w:r>
        <w:rPr>
          <w:spacing w:val="-1"/>
        </w:rPr>
        <w:t xml:space="preserve"> </w:t>
      </w:r>
      <w:r>
        <w:t>argument’s</w:t>
      </w:r>
      <w:r>
        <w:rPr>
          <w:spacing w:val="-1"/>
        </w:rPr>
        <w:t xml:space="preserve"> </w:t>
      </w:r>
      <w:r>
        <w:t>sake,</w:t>
      </w:r>
      <w:r>
        <w:rPr>
          <w:spacing w:val="-1"/>
        </w:rPr>
        <w:t xml:space="preserve"> </w:t>
      </w:r>
      <w:r>
        <w:t>let’s</w:t>
      </w:r>
      <w:r>
        <w:rPr>
          <w:spacing w:val="-1"/>
        </w:rPr>
        <w:t xml:space="preserve"> </w:t>
      </w:r>
      <w:r>
        <w:t>grant</w:t>
      </w:r>
      <w:r>
        <w:rPr>
          <w:spacing w:val="-1"/>
        </w:rPr>
        <w:t xml:space="preserve"> </w:t>
      </w:r>
      <w:r>
        <w:t xml:space="preserve">that </w:t>
      </w:r>
      <w:r>
        <w:rPr>
          <w:spacing w:val="-2"/>
        </w:rPr>
        <w:t>assumption.</w:t>
      </w:r>
    </w:p>
    <w:p w14:paraId="7E002769" w14:textId="77777777" w:rsidR="009A58DB" w:rsidRDefault="00000000">
      <w:pPr>
        <w:pStyle w:val="BodyText"/>
        <w:spacing w:before="2"/>
        <w:ind w:left="720"/>
        <w:jc w:val="left"/>
      </w:pPr>
      <w:r>
        <w:t>Is</w:t>
      </w:r>
      <w:r>
        <w:rPr>
          <w:spacing w:val="-2"/>
        </w:rPr>
        <w:t xml:space="preserve"> </w:t>
      </w:r>
      <w:r>
        <w:t>G</w:t>
      </w:r>
      <w:r>
        <w:rPr>
          <w:spacing w:val="-1"/>
        </w:rPr>
        <w:t xml:space="preserve"> </w:t>
      </w:r>
      <w:r>
        <w:rPr>
          <w:spacing w:val="-2"/>
        </w:rPr>
        <w:t>correct?</w:t>
      </w:r>
    </w:p>
    <w:p w14:paraId="7E00276A" w14:textId="77777777" w:rsidR="009A58DB" w:rsidRDefault="00000000">
      <w:pPr>
        <w:pStyle w:val="BodyText"/>
        <w:spacing w:before="15" w:line="249" w:lineRule="auto"/>
        <w:ind w:firstLine="360"/>
        <w:jc w:val="left"/>
      </w:pPr>
      <w:r>
        <w:t>No.</w:t>
      </w:r>
      <w:r>
        <w:rPr>
          <w:spacing w:val="-3"/>
        </w:rPr>
        <w:t xml:space="preserve"> </w:t>
      </w:r>
      <w:r>
        <w:t>What</w:t>
      </w:r>
      <w:r>
        <w:rPr>
          <w:spacing w:val="-4"/>
        </w:rPr>
        <w:t xml:space="preserve"> </w:t>
      </w:r>
      <w:r>
        <w:t>if</w:t>
      </w:r>
      <w:r>
        <w:rPr>
          <w:spacing w:val="-4"/>
        </w:rPr>
        <w:t xml:space="preserve"> </w:t>
      </w:r>
      <w:r>
        <w:t>God</w:t>
      </w:r>
      <w:r>
        <w:rPr>
          <w:spacing w:val="-3"/>
        </w:rPr>
        <w:t xml:space="preserve"> </w:t>
      </w:r>
      <w:r>
        <w:t>liked</w:t>
      </w:r>
      <w:r>
        <w:rPr>
          <w:spacing w:val="-3"/>
        </w:rPr>
        <w:t xml:space="preserve"> </w:t>
      </w:r>
      <w:r>
        <w:t>rape?</w:t>
      </w:r>
      <w:r>
        <w:rPr>
          <w:spacing w:val="-4"/>
        </w:rPr>
        <w:t xml:space="preserve"> </w:t>
      </w:r>
      <w:r>
        <w:t>Would</w:t>
      </w:r>
      <w:r>
        <w:rPr>
          <w:spacing w:val="-3"/>
        </w:rPr>
        <w:t xml:space="preserve"> </w:t>
      </w:r>
      <w:r>
        <w:t>that</w:t>
      </w:r>
      <w:r>
        <w:rPr>
          <w:spacing w:val="-4"/>
        </w:rPr>
        <w:t xml:space="preserve"> </w:t>
      </w:r>
      <w:r>
        <w:t>make</w:t>
      </w:r>
      <w:r>
        <w:rPr>
          <w:spacing w:val="-4"/>
        </w:rPr>
        <w:t xml:space="preserve"> </w:t>
      </w:r>
      <w:r>
        <w:t>it</w:t>
      </w:r>
      <w:r>
        <w:rPr>
          <w:spacing w:val="-4"/>
        </w:rPr>
        <w:t xml:space="preserve"> </w:t>
      </w:r>
      <w:r>
        <w:t>good?</w:t>
      </w:r>
      <w:r>
        <w:rPr>
          <w:spacing w:val="-4"/>
        </w:rPr>
        <w:t xml:space="preserve"> </w:t>
      </w:r>
      <w:r>
        <w:t>No.</w:t>
      </w:r>
      <w:r>
        <w:rPr>
          <w:spacing w:val="-3"/>
        </w:rPr>
        <w:t xml:space="preserve"> </w:t>
      </w:r>
      <w:r>
        <w:t>Rape</w:t>
      </w:r>
      <w:r>
        <w:rPr>
          <w:spacing w:val="-4"/>
        </w:rPr>
        <w:t xml:space="preserve"> </w:t>
      </w:r>
      <w:r>
        <w:t>would</w:t>
      </w:r>
      <w:r>
        <w:rPr>
          <w:spacing w:val="-3"/>
        </w:rPr>
        <w:t xml:space="preserve"> </w:t>
      </w:r>
      <w:r>
        <w:t>be bad even if God liked it, and God would be bad for liking it.</w:t>
      </w:r>
    </w:p>
    <w:p w14:paraId="7E00276B" w14:textId="77777777" w:rsidR="009A58DB" w:rsidRDefault="00000000">
      <w:pPr>
        <w:pStyle w:val="BodyText"/>
        <w:spacing w:before="2"/>
        <w:ind w:left="720"/>
        <w:jc w:val="left"/>
      </w:pPr>
      <w:r>
        <w:t>What</w:t>
      </w:r>
      <w:r>
        <w:rPr>
          <w:spacing w:val="28"/>
        </w:rPr>
        <w:t xml:space="preserve"> </w:t>
      </w:r>
      <w:r>
        <w:t>if</w:t>
      </w:r>
      <w:r>
        <w:rPr>
          <w:spacing w:val="31"/>
        </w:rPr>
        <w:t xml:space="preserve"> </w:t>
      </w:r>
      <w:r>
        <w:t>God</w:t>
      </w:r>
      <w:r>
        <w:rPr>
          <w:spacing w:val="31"/>
        </w:rPr>
        <w:t xml:space="preserve"> </w:t>
      </w:r>
      <w:r>
        <w:t>disliked</w:t>
      </w:r>
      <w:r>
        <w:rPr>
          <w:spacing w:val="31"/>
        </w:rPr>
        <w:t xml:space="preserve"> </w:t>
      </w:r>
      <w:r>
        <w:t>acts</w:t>
      </w:r>
      <w:r>
        <w:rPr>
          <w:spacing w:val="30"/>
        </w:rPr>
        <w:t xml:space="preserve"> </w:t>
      </w:r>
      <w:r>
        <w:t>of</w:t>
      </w:r>
      <w:r>
        <w:rPr>
          <w:spacing w:val="31"/>
        </w:rPr>
        <w:t xml:space="preserve"> </w:t>
      </w:r>
      <w:r>
        <w:t>kindness?</w:t>
      </w:r>
      <w:r>
        <w:rPr>
          <w:spacing w:val="31"/>
        </w:rPr>
        <w:t xml:space="preserve"> </w:t>
      </w:r>
      <w:r>
        <w:t>Would</w:t>
      </w:r>
      <w:r>
        <w:rPr>
          <w:spacing w:val="31"/>
        </w:rPr>
        <w:t xml:space="preserve"> </w:t>
      </w:r>
      <w:r>
        <w:t>that</w:t>
      </w:r>
      <w:r>
        <w:rPr>
          <w:spacing w:val="30"/>
        </w:rPr>
        <w:t xml:space="preserve"> </w:t>
      </w:r>
      <w:r>
        <w:t>make</w:t>
      </w:r>
      <w:r>
        <w:rPr>
          <w:spacing w:val="31"/>
        </w:rPr>
        <w:t xml:space="preserve"> </w:t>
      </w:r>
      <w:r>
        <w:t>such</w:t>
      </w:r>
      <w:r>
        <w:rPr>
          <w:spacing w:val="31"/>
        </w:rPr>
        <w:t xml:space="preserve"> </w:t>
      </w:r>
      <w:r>
        <w:t>acts</w:t>
      </w:r>
      <w:r>
        <w:rPr>
          <w:spacing w:val="31"/>
        </w:rPr>
        <w:t xml:space="preserve"> </w:t>
      </w:r>
      <w:r>
        <w:rPr>
          <w:spacing w:val="-4"/>
        </w:rPr>
        <w:t>bad?</w:t>
      </w:r>
    </w:p>
    <w:p w14:paraId="7E00276C" w14:textId="77777777" w:rsidR="009A58DB" w:rsidRDefault="00000000">
      <w:pPr>
        <w:pStyle w:val="BodyText"/>
        <w:spacing w:before="15"/>
        <w:jc w:val="left"/>
      </w:pPr>
      <w:r>
        <w:t>No.</w:t>
      </w:r>
      <w:r>
        <w:rPr>
          <w:spacing w:val="-4"/>
        </w:rPr>
        <w:t xml:space="preserve"> </w:t>
      </w:r>
      <w:r>
        <w:t>They</w:t>
      </w:r>
      <w:r>
        <w:rPr>
          <w:spacing w:val="-2"/>
        </w:rPr>
        <w:t xml:space="preserve"> </w:t>
      </w:r>
      <w:r>
        <w:t>would</w:t>
      </w:r>
      <w:r>
        <w:rPr>
          <w:spacing w:val="-1"/>
        </w:rPr>
        <w:t xml:space="preserve"> </w:t>
      </w:r>
      <w:r>
        <w:t>still</w:t>
      </w:r>
      <w:r>
        <w:rPr>
          <w:spacing w:val="-3"/>
        </w:rPr>
        <w:t xml:space="preserve"> </w:t>
      </w:r>
      <w:r>
        <w:t>be</w:t>
      </w:r>
      <w:r>
        <w:rPr>
          <w:spacing w:val="-2"/>
        </w:rPr>
        <w:t xml:space="preserve"> </w:t>
      </w:r>
      <w:r>
        <w:t>good,</w:t>
      </w:r>
      <w:r>
        <w:rPr>
          <w:spacing w:val="-2"/>
        </w:rPr>
        <w:t xml:space="preserve"> </w:t>
      </w:r>
      <w:r>
        <w:t>and</w:t>
      </w:r>
      <w:r>
        <w:rPr>
          <w:spacing w:val="-1"/>
        </w:rPr>
        <w:t xml:space="preserve"> </w:t>
      </w:r>
      <w:r>
        <w:t>God</w:t>
      </w:r>
      <w:r>
        <w:rPr>
          <w:spacing w:val="-2"/>
        </w:rPr>
        <w:t xml:space="preserve"> </w:t>
      </w:r>
      <w:r>
        <w:t>would</w:t>
      </w:r>
      <w:r>
        <w:rPr>
          <w:spacing w:val="-1"/>
        </w:rPr>
        <w:t xml:space="preserve"> </w:t>
      </w:r>
      <w:r>
        <w:t>be</w:t>
      </w:r>
      <w:r>
        <w:rPr>
          <w:spacing w:val="-3"/>
        </w:rPr>
        <w:t xml:space="preserve"> </w:t>
      </w:r>
      <w:r>
        <w:t>bad</w:t>
      </w:r>
      <w:r>
        <w:rPr>
          <w:spacing w:val="-1"/>
        </w:rPr>
        <w:t xml:space="preserve"> </w:t>
      </w:r>
      <w:r>
        <w:t>for</w:t>
      </w:r>
      <w:r>
        <w:rPr>
          <w:spacing w:val="-3"/>
        </w:rPr>
        <w:t xml:space="preserve"> </w:t>
      </w:r>
      <w:r>
        <w:t>disliking</w:t>
      </w:r>
      <w:r>
        <w:rPr>
          <w:spacing w:val="-1"/>
        </w:rPr>
        <w:t xml:space="preserve"> </w:t>
      </w:r>
      <w:r>
        <w:rPr>
          <w:spacing w:val="-2"/>
        </w:rPr>
        <w:t>them.</w:t>
      </w:r>
    </w:p>
    <w:p w14:paraId="7E00276D" w14:textId="77777777" w:rsidR="009A58DB" w:rsidRDefault="00000000">
      <w:pPr>
        <w:pStyle w:val="BodyText"/>
        <w:spacing w:before="16"/>
        <w:ind w:left="720"/>
        <w:jc w:val="left"/>
      </w:pPr>
      <w:r>
        <w:t>So</w:t>
      </w:r>
      <w:r>
        <w:rPr>
          <w:spacing w:val="-1"/>
        </w:rPr>
        <w:t xml:space="preserve"> </w:t>
      </w:r>
      <w:r>
        <w:t>G</w:t>
      </w:r>
      <w:r>
        <w:rPr>
          <w:spacing w:val="-2"/>
        </w:rPr>
        <w:t xml:space="preserve"> </w:t>
      </w:r>
      <w:r>
        <w:t>is</w:t>
      </w:r>
      <w:r>
        <w:rPr>
          <w:spacing w:val="-1"/>
        </w:rPr>
        <w:t xml:space="preserve"> </w:t>
      </w:r>
      <w:r>
        <w:rPr>
          <w:spacing w:val="-2"/>
        </w:rPr>
        <w:t>false.</w:t>
      </w:r>
    </w:p>
    <w:p w14:paraId="7E00276E" w14:textId="77777777" w:rsidR="009A58DB" w:rsidRDefault="00000000">
      <w:pPr>
        <w:pStyle w:val="BodyText"/>
        <w:spacing w:before="15"/>
        <w:ind w:left="720"/>
        <w:jc w:val="left"/>
      </w:pPr>
      <w:r>
        <w:t>But</w:t>
      </w:r>
      <w:r>
        <w:rPr>
          <w:spacing w:val="-3"/>
        </w:rPr>
        <w:t xml:space="preserve"> </w:t>
      </w:r>
      <w:r>
        <w:t>one</w:t>
      </w:r>
      <w:r>
        <w:rPr>
          <w:spacing w:val="-2"/>
        </w:rPr>
        <w:t xml:space="preserve"> </w:t>
      </w:r>
      <w:r>
        <w:t>might</w:t>
      </w:r>
      <w:r>
        <w:rPr>
          <w:spacing w:val="-3"/>
        </w:rPr>
        <w:t xml:space="preserve"> </w:t>
      </w:r>
      <w:r>
        <w:t>object</w:t>
      </w:r>
      <w:r>
        <w:rPr>
          <w:spacing w:val="-2"/>
        </w:rPr>
        <w:t xml:space="preserve"> </w:t>
      </w:r>
      <w:r>
        <w:t>to</w:t>
      </w:r>
      <w:r>
        <w:rPr>
          <w:spacing w:val="-2"/>
        </w:rPr>
        <w:t xml:space="preserve"> </w:t>
      </w:r>
      <w:r>
        <w:t>this</w:t>
      </w:r>
      <w:r>
        <w:rPr>
          <w:spacing w:val="-2"/>
        </w:rPr>
        <w:t xml:space="preserve"> argument:</w:t>
      </w:r>
    </w:p>
    <w:p w14:paraId="7E00276F" w14:textId="77777777" w:rsidR="009A58DB" w:rsidRDefault="009A58DB">
      <w:pPr>
        <w:pStyle w:val="BodyText"/>
        <w:spacing w:before="29"/>
        <w:ind w:left="0"/>
        <w:jc w:val="left"/>
      </w:pPr>
    </w:p>
    <w:p w14:paraId="7E002770" w14:textId="77777777" w:rsidR="009A58DB" w:rsidRDefault="00000000">
      <w:pPr>
        <w:pStyle w:val="BodyText"/>
        <w:spacing w:before="1" w:line="249" w:lineRule="auto"/>
        <w:ind w:right="361" w:firstLine="360"/>
      </w:pPr>
      <w:r>
        <w:t>(CG) There’s no way that God would like rape and no way he wouldn’t like acts of kindness. You see, God is maximally good; and it isn’t even a theoretical possibility that something maximally good should like rape or dislike acts of kindness. Your argument therefore fails, since it presupposes that God could like rape and dislike acts of kindness.</w:t>
      </w:r>
    </w:p>
    <w:p w14:paraId="7E002771" w14:textId="77777777" w:rsidR="009A58DB" w:rsidRDefault="009A58DB">
      <w:pPr>
        <w:pStyle w:val="BodyText"/>
        <w:spacing w:before="21"/>
        <w:ind w:left="0"/>
        <w:jc w:val="left"/>
      </w:pPr>
    </w:p>
    <w:p w14:paraId="7E002772" w14:textId="77777777" w:rsidR="009A58DB" w:rsidRDefault="00000000">
      <w:pPr>
        <w:pStyle w:val="BodyText"/>
        <w:spacing w:line="249" w:lineRule="auto"/>
        <w:ind w:right="360" w:firstLine="360"/>
        <w:rPr>
          <w:i/>
        </w:rPr>
      </w:pPr>
      <w:r>
        <w:t>CG doesn’t work. Let’s suppose, if only for argument’s sake, that God is maximally</w:t>
      </w:r>
      <w:r>
        <w:rPr>
          <w:spacing w:val="25"/>
        </w:rPr>
        <w:t xml:space="preserve"> </w:t>
      </w:r>
      <w:r>
        <w:t>good</w:t>
      </w:r>
      <w:r>
        <w:rPr>
          <w:spacing w:val="27"/>
        </w:rPr>
        <w:t xml:space="preserve"> </w:t>
      </w:r>
      <w:r>
        <w:t>and</w:t>
      </w:r>
      <w:r>
        <w:rPr>
          <w:spacing w:val="27"/>
        </w:rPr>
        <w:t xml:space="preserve"> </w:t>
      </w:r>
      <w:r>
        <w:t>therefore</w:t>
      </w:r>
      <w:r>
        <w:rPr>
          <w:spacing w:val="26"/>
        </w:rPr>
        <w:t xml:space="preserve"> </w:t>
      </w:r>
      <w:r>
        <w:t>dislikes</w:t>
      </w:r>
      <w:r>
        <w:rPr>
          <w:spacing w:val="26"/>
        </w:rPr>
        <w:t xml:space="preserve"> </w:t>
      </w:r>
      <w:r>
        <w:t>rape</w:t>
      </w:r>
      <w:r>
        <w:rPr>
          <w:spacing w:val="26"/>
        </w:rPr>
        <w:t xml:space="preserve"> </w:t>
      </w:r>
      <w:r>
        <w:t>and</w:t>
      </w:r>
      <w:r>
        <w:rPr>
          <w:spacing w:val="27"/>
        </w:rPr>
        <w:t xml:space="preserve"> </w:t>
      </w:r>
      <w:r>
        <w:t>likes</w:t>
      </w:r>
      <w:r>
        <w:rPr>
          <w:spacing w:val="26"/>
        </w:rPr>
        <w:t xml:space="preserve"> </w:t>
      </w:r>
      <w:r>
        <w:t>acts</w:t>
      </w:r>
      <w:r>
        <w:rPr>
          <w:spacing w:val="26"/>
        </w:rPr>
        <w:t xml:space="preserve"> </w:t>
      </w:r>
      <w:r>
        <w:t>of</w:t>
      </w:r>
      <w:r>
        <w:rPr>
          <w:spacing w:val="26"/>
        </w:rPr>
        <w:t xml:space="preserve"> </w:t>
      </w:r>
      <w:r>
        <w:t>kindness.</w:t>
      </w:r>
      <w:r>
        <w:rPr>
          <w:spacing w:val="28"/>
        </w:rPr>
        <w:t xml:space="preserve"> </w:t>
      </w:r>
      <w:r>
        <w:rPr>
          <w:i/>
          <w:spacing w:val="-5"/>
        </w:rPr>
        <w:t>Why</w:t>
      </w:r>
    </w:p>
    <w:p w14:paraId="7E002773"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2774" w14:textId="77777777" w:rsidR="009A58DB" w:rsidRDefault="00000000">
      <w:pPr>
        <w:pStyle w:val="BodyText"/>
        <w:spacing w:before="60" w:line="249" w:lineRule="auto"/>
        <w:ind w:right="364"/>
      </w:pPr>
      <w:r>
        <w:lastRenderedPageBreak/>
        <w:t xml:space="preserve">does God dislike rape? Does he </w:t>
      </w:r>
      <w:r>
        <w:rPr>
          <w:i/>
        </w:rPr>
        <w:t>just</w:t>
      </w:r>
      <w:r>
        <w:rPr>
          <w:i/>
          <w:spacing w:val="-4"/>
        </w:rPr>
        <w:t xml:space="preserve"> </w:t>
      </w:r>
      <w:r>
        <w:t xml:space="preserve">dislike it? Is his dislike of it without any </w:t>
      </w:r>
      <w:r>
        <w:rPr>
          <w:spacing w:val="-2"/>
        </w:rPr>
        <w:t>foundation?</w:t>
      </w:r>
    </w:p>
    <w:p w14:paraId="7E002775" w14:textId="77777777" w:rsidR="009A58DB" w:rsidRDefault="00000000">
      <w:pPr>
        <w:pStyle w:val="BodyText"/>
        <w:spacing w:before="7" w:line="249" w:lineRule="auto"/>
        <w:ind w:right="358" w:firstLine="360"/>
      </w:pPr>
      <w:r>
        <w:t>No. Surely God has a good reason for disliking rape. But what could that reason be? The answer is clear: rape is bad; rape is wrong. So God’s reason for disliking rape is that it is bad and wrong. He sees the fact that rape is wrong; and, on the basis of that knowledge, he judges that rape is wrong.</w:t>
      </w:r>
    </w:p>
    <w:p w14:paraId="7E002776" w14:textId="77777777" w:rsidR="009A58DB" w:rsidRDefault="00000000">
      <w:pPr>
        <w:pStyle w:val="BodyText"/>
        <w:spacing w:before="5"/>
        <w:ind w:left="720"/>
      </w:pPr>
      <w:r>
        <w:t>Rape</w:t>
      </w:r>
      <w:r>
        <w:rPr>
          <w:spacing w:val="-6"/>
        </w:rPr>
        <w:t xml:space="preserve"> </w:t>
      </w:r>
      <w:r>
        <w:t>is</w:t>
      </w:r>
      <w:r>
        <w:rPr>
          <w:spacing w:val="-3"/>
        </w:rPr>
        <w:t xml:space="preserve"> </w:t>
      </w:r>
      <w:r>
        <w:t>wrong.</w:t>
      </w:r>
      <w:r>
        <w:rPr>
          <w:spacing w:val="-3"/>
        </w:rPr>
        <w:t xml:space="preserve"> </w:t>
      </w:r>
      <w:r>
        <w:t>God</w:t>
      </w:r>
      <w:r>
        <w:rPr>
          <w:spacing w:val="-2"/>
        </w:rPr>
        <w:t xml:space="preserve"> </w:t>
      </w:r>
      <w:r>
        <w:t>sees</w:t>
      </w:r>
      <w:r>
        <w:rPr>
          <w:spacing w:val="-4"/>
        </w:rPr>
        <w:t xml:space="preserve"> </w:t>
      </w:r>
      <w:r>
        <w:t>that.</w:t>
      </w:r>
      <w:r>
        <w:rPr>
          <w:spacing w:val="-2"/>
        </w:rPr>
        <w:t xml:space="preserve"> </w:t>
      </w:r>
      <w:r>
        <w:t>And</w:t>
      </w:r>
      <w:r>
        <w:rPr>
          <w:spacing w:val="-3"/>
        </w:rPr>
        <w:t xml:space="preserve"> </w:t>
      </w:r>
      <w:r>
        <w:t>God</w:t>
      </w:r>
      <w:r>
        <w:rPr>
          <w:spacing w:val="-3"/>
        </w:rPr>
        <w:t xml:space="preserve"> </w:t>
      </w:r>
      <w:r>
        <w:t>therefore</w:t>
      </w:r>
      <w:r>
        <w:rPr>
          <w:spacing w:val="-3"/>
        </w:rPr>
        <w:t xml:space="preserve"> </w:t>
      </w:r>
      <w:r>
        <w:t>dislikes</w:t>
      </w:r>
      <w:r>
        <w:rPr>
          <w:spacing w:val="-3"/>
        </w:rPr>
        <w:t xml:space="preserve"> </w:t>
      </w:r>
      <w:r>
        <w:rPr>
          <w:spacing w:val="-2"/>
        </w:rPr>
        <w:t>rape.</w:t>
      </w:r>
    </w:p>
    <w:p w14:paraId="7E002777" w14:textId="77777777" w:rsidR="009A58DB" w:rsidRDefault="00000000">
      <w:pPr>
        <w:pStyle w:val="BodyText"/>
        <w:spacing w:before="15" w:line="249" w:lineRule="auto"/>
        <w:ind w:right="368" w:firstLine="360"/>
      </w:pPr>
      <w:r>
        <w:t>So the fact that rape is wrong is what makes God dislike it. Therefore, it isn’t God’s dislike of rape that makes it wrong.</w:t>
      </w:r>
    </w:p>
    <w:p w14:paraId="7E002778" w14:textId="77777777" w:rsidR="009A58DB" w:rsidRDefault="00000000">
      <w:pPr>
        <w:pStyle w:val="BodyText"/>
        <w:spacing w:before="2" w:line="249" w:lineRule="auto"/>
        <w:ind w:right="366" w:firstLine="360"/>
      </w:pPr>
      <w:r>
        <w:t>For</w:t>
      </w:r>
      <w:r>
        <w:rPr>
          <w:spacing w:val="-3"/>
        </w:rPr>
        <w:t xml:space="preserve"> </w:t>
      </w:r>
      <w:r>
        <w:t>exactly</w:t>
      </w:r>
      <w:r>
        <w:rPr>
          <w:spacing w:val="-2"/>
        </w:rPr>
        <w:t xml:space="preserve"> </w:t>
      </w:r>
      <w:r>
        <w:t>similar</w:t>
      </w:r>
      <w:r>
        <w:rPr>
          <w:spacing w:val="-2"/>
        </w:rPr>
        <w:t xml:space="preserve"> </w:t>
      </w:r>
      <w:r>
        <w:t>reasons,</w:t>
      </w:r>
      <w:r>
        <w:rPr>
          <w:spacing w:val="-2"/>
        </w:rPr>
        <w:t xml:space="preserve"> </w:t>
      </w:r>
      <w:r>
        <w:t>the</w:t>
      </w:r>
      <w:r>
        <w:rPr>
          <w:spacing w:val="-2"/>
        </w:rPr>
        <w:t xml:space="preserve"> </w:t>
      </w:r>
      <w:r>
        <w:t>fact</w:t>
      </w:r>
      <w:r>
        <w:rPr>
          <w:spacing w:val="-2"/>
        </w:rPr>
        <w:t xml:space="preserve"> </w:t>
      </w:r>
      <w:r>
        <w:t>that</w:t>
      </w:r>
      <w:r>
        <w:rPr>
          <w:spacing w:val="-2"/>
        </w:rPr>
        <w:t xml:space="preserve"> </w:t>
      </w:r>
      <w:r>
        <w:t>kind</w:t>
      </w:r>
      <w:r>
        <w:rPr>
          <w:spacing w:val="-2"/>
        </w:rPr>
        <w:t xml:space="preserve"> </w:t>
      </w:r>
      <w:r>
        <w:t>acts</w:t>
      </w:r>
      <w:r>
        <w:rPr>
          <w:spacing w:val="-2"/>
        </w:rPr>
        <w:t xml:space="preserve"> </w:t>
      </w:r>
      <w:r>
        <w:t>are</w:t>
      </w:r>
      <w:r>
        <w:rPr>
          <w:spacing w:val="-2"/>
        </w:rPr>
        <w:t xml:space="preserve"> </w:t>
      </w:r>
      <w:r>
        <w:t>morally</w:t>
      </w:r>
      <w:r>
        <w:rPr>
          <w:spacing w:val="-2"/>
        </w:rPr>
        <w:t xml:space="preserve"> </w:t>
      </w:r>
      <w:r>
        <w:t>right</w:t>
      </w:r>
      <w:r>
        <w:rPr>
          <w:spacing w:val="-2"/>
        </w:rPr>
        <w:t xml:space="preserve"> </w:t>
      </w:r>
      <w:r>
        <w:t>is</w:t>
      </w:r>
      <w:r>
        <w:rPr>
          <w:spacing w:val="-2"/>
        </w:rPr>
        <w:t xml:space="preserve"> </w:t>
      </w:r>
      <w:r>
        <w:t>what makes God like them. Therefore, it isn’t God’s approval of such acts that makes them right.</w:t>
      </w:r>
    </w:p>
    <w:p w14:paraId="7E002779" w14:textId="77777777" w:rsidR="009A58DB" w:rsidRDefault="00000000">
      <w:pPr>
        <w:pStyle w:val="BodyText"/>
        <w:spacing w:before="4" w:line="249" w:lineRule="auto"/>
        <w:ind w:right="361" w:firstLine="360"/>
      </w:pPr>
      <w:r>
        <w:rPr>
          <w:i/>
        </w:rPr>
        <w:t xml:space="preserve">Conclusion: </w:t>
      </w:r>
      <w:r>
        <w:t>Morality is independent of God’s views. If, as many of us believe,</w:t>
      </w:r>
      <w:r>
        <w:rPr>
          <w:spacing w:val="-4"/>
        </w:rPr>
        <w:t xml:space="preserve"> </w:t>
      </w:r>
      <w:r>
        <w:t>God</w:t>
      </w:r>
      <w:r>
        <w:rPr>
          <w:spacing w:val="-4"/>
        </w:rPr>
        <w:t xml:space="preserve"> </w:t>
      </w:r>
      <w:r>
        <w:t>is</w:t>
      </w:r>
      <w:r>
        <w:rPr>
          <w:spacing w:val="-5"/>
        </w:rPr>
        <w:t xml:space="preserve"> </w:t>
      </w:r>
      <w:r>
        <w:t>morally</w:t>
      </w:r>
      <w:r>
        <w:rPr>
          <w:spacing w:val="-4"/>
        </w:rPr>
        <w:t xml:space="preserve"> </w:t>
      </w:r>
      <w:r>
        <w:t>perfect</w:t>
      </w:r>
      <w:r>
        <w:rPr>
          <w:spacing w:val="-5"/>
        </w:rPr>
        <w:t xml:space="preserve"> </w:t>
      </w:r>
      <w:r>
        <w:t>and</w:t>
      </w:r>
      <w:r>
        <w:rPr>
          <w:spacing w:val="-4"/>
        </w:rPr>
        <w:t xml:space="preserve"> </w:t>
      </w:r>
      <w:r>
        <w:t>intellectually</w:t>
      </w:r>
      <w:r>
        <w:rPr>
          <w:spacing w:val="-4"/>
        </w:rPr>
        <w:t xml:space="preserve"> </w:t>
      </w:r>
      <w:r>
        <w:t>infallible,</w:t>
      </w:r>
      <w:r>
        <w:rPr>
          <w:spacing w:val="-4"/>
        </w:rPr>
        <w:t xml:space="preserve"> </w:t>
      </w:r>
      <w:r>
        <w:t>then</w:t>
      </w:r>
      <w:r>
        <w:rPr>
          <w:spacing w:val="-4"/>
        </w:rPr>
        <w:t xml:space="preserve"> </w:t>
      </w:r>
      <w:r>
        <w:t>God</w:t>
      </w:r>
      <w:r>
        <w:rPr>
          <w:spacing w:val="-4"/>
        </w:rPr>
        <w:t xml:space="preserve"> </w:t>
      </w:r>
      <w:r>
        <w:t>will</w:t>
      </w:r>
      <w:r>
        <w:rPr>
          <w:spacing w:val="-5"/>
        </w:rPr>
        <w:t xml:space="preserve"> </w:t>
      </w:r>
      <w:r>
        <w:t xml:space="preserve">like all morally good acts and dislike all morally bad ones. But it isn’t God’s </w:t>
      </w:r>
      <w:r>
        <w:rPr>
          <w:i/>
        </w:rPr>
        <w:t xml:space="preserve">liking </w:t>
      </w:r>
      <w:r>
        <w:t>an act that makes it good or bad. That act is good or bad all by itself.</w:t>
      </w:r>
    </w:p>
    <w:p w14:paraId="7E00277A" w14:textId="77777777" w:rsidR="009A58DB" w:rsidRDefault="00000000">
      <w:pPr>
        <w:pStyle w:val="BodyText"/>
        <w:spacing w:before="5" w:line="249" w:lineRule="auto"/>
        <w:ind w:right="364" w:firstLine="360"/>
      </w:pPr>
      <w:r>
        <w:rPr>
          <w:i/>
        </w:rPr>
        <w:t xml:space="preserve">Question: </w:t>
      </w:r>
      <w:r>
        <w:t xml:space="preserve">Could God </w:t>
      </w:r>
      <w:r>
        <w:rPr>
          <w:i/>
        </w:rPr>
        <w:t xml:space="preserve">make </w:t>
      </w:r>
      <w:r>
        <w:t>rape to be morally good? No. Even God cannot make rape be good. But can’t God do anything? So can’t he make</w:t>
      </w:r>
      <w:r>
        <w:rPr>
          <w:spacing w:val="40"/>
        </w:rPr>
        <w:t xml:space="preserve"> </w:t>
      </w:r>
      <w:r>
        <w:t>rape morally good? No, and the reasons are similar to those that make God unable to make a square circle. For an elucidation and defense of this point, see Section 4.0.</w:t>
      </w:r>
    </w:p>
    <w:p w14:paraId="7E00277B" w14:textId="77777777" w:rsidR="009A58DB" w:rsidRDefault="00000000">
      <w:pPr>
        <w:pStyle w:val="Heading1"/>
        <w:spacing w:before="194" w:line="244" w:lineRule="auto"/>
        <w:ind w:left="360" w:right="364" w:firstLine="0"/>
        <w:jc w:val="both"/>
      </w:pPr>
      <w:r>
        <w:t>2.1 Why, even if correct, the Divine Command Theory is irrelevant to what even maximally religious people believe</w:t>
      </w:r>
    </w:p>
    <w:p w14:paraId="7E00277C" w14:textId="77777777" w:rsidR="009A58DB" w:rsidRDefault="00000000">
      <w:pPr>
        <w:pStyle w:val="BodyText"/>
        <w:spacing w:before="134" w:line="249" w:lineRule="auto"/>
        <w:ind w:right="360"/>
      </w:pPr>
      <w:r>
        <w:t>Many a sociopathic ghoul has claimed that “God” ordered him to kill. We don’t believe such people. But why not? (In this context, it will be assumed for argument’s sake that we believe there to be a God and also that we</w:t>
      </w:r>
      <w:r>
        <w:rPr>
          <w:spacing w:val="40"/>
        </w:rPr>
        <w:t xml:space="preserve"> </w:t>
      </w:r>
      <w:r>
        <w:t>believe God to be morally good.)</w:t>
      </w:r>
    </w:p>
    <w:p w14:paraId="7E00277D" w14:textId="77777777" w:rsidR="009A58DB" w:rsidRDefault="00000000">
      <w:pPr>
        <w:pStyle w:val="BodyText"/>
        <w:spacing w:before="5" w:line="249" w:lineRule="auto"/>
        <w:ind w:right="358" w:firstLine="360"/>
      </w:pPr>
      <w:r>
        <w:t>One reason is that what the ghoul in question is claiming is inconsistent with our views about morality. “God would have to be evil to tell Hitler to do those things,” we believe. “Therefore, contrary to what Hitler claimed, God didn’t tell Hitler to do those things.”</w:t>
      </w:r>
    </w:p>
    <w:p w14:paraId="7E00277E" w14:textId="77777777" w:rsidR="009A58DB" w:rsidRDefault="00000000">
      <w:pPr>
        <w:pStyle w:val="BodyText"/>
        <w:spacing w:before="5"/>
        <w:ind w:left="720"/>
      </w:pPr>
      <w:r>
        <w:t>Of</w:t>
      </w:r>
      <w:r>
        <w:rPr>
          <w:spacing w:val="24"/>
        </w:rPr>
        <w:t xml:space="preserve"> </w:t>
      </w:r>
      <w:r>
        <w:t>course,</w:t>
      </w:r>
      <w:r>
        <w:rPr>
          <w:spacing w:val="27"/>
        </w:rPr>
        <w:t xml:space="preserve"> </w:t>
      </w:r>
      <w:r>
        <w:t>there</w:t>
      </w:r>
      <w:r>
        <w:rPr>
          <w:spacing w:val="26"/>
        </w:rPr>
        <w:t xml:space="preserve"> </w:t>
      </w:r>
      <w:r>
        <w:t>are</w:t>
      </w:r>
      <w:r>
        <w:rPr>
          <w:spacing w:val="27"/>
        </w:rPr>
        <w:t xml:space="preserve"> </w:t>
      </w:r>
      <w:r>
        <w:t>often</w:t>
      </w:r>
      <w:r>
        <w:rPr>
          <w:spacing w:val="27"/>
        </w:rPr>
        <w:t xml:space="preserve"> </w:t>
      </w:r>
      <w:r>
        <w:rPr>
          <w:i/>
        </w:rPr>
        <w:t>other</w:t>
      </w:r>
      <w:r>
        <w:rPr>
          <w:i/>
          <w:spacing w:val="26"/>
        </w:rPr>
        <w:t xml:space="preserve"> </w:t>
      </w:r>
      <w:r>
        <w:t>reasons</w:t>
      </w:r>
      <w:r>
        <w:rPr>
          <w:spacing w:val="26"/>
        </w:rPr>
        <w:t xml:space="preserve"> </w:t>
      </w:r>
      <w:r>
        <w:t>to</w:t>
      </w:r>
      <w:r>
        <w:rPr>
          <w:spacing w:val="28"/>
        </w:rPr>
        <w:t xml:space="preserve"> </w:t>
      </w:r>
      <w:r>
        <w:t>distrust</w:t>
      </w:r>
      <w:r>
        <w:rPr>
          <w:spacing w:val="26"/>
        </w:rPr>
        <w:t xml:space="preserve"> </w:t>
      </w:r>
      <w:r>
        <w:t>such</w:t>
      </w:r>
      <w:r>
        <w:rPr>
          <w:spacing w:val="27"/>
        </w:rPr>
        <w:t xml:space="preserve"> </w:t>
      </w:r>
      <w:r>
        <w:t>people.</w:t>
      </w:r>
      <w:r>
        <w:rPr>
          <w:spacing w:val="27"/>
        </w:rPr>
        <w:t xml:space="preserve"> </w:t>
      </w:r>
      <w:r>
        <w:t>There</w:t>
      </w:r>
      <w:r>
        <w:rPr>
          <w:spacing w:val="27"/>
        </w:rPr>
        <w:t xml:space="preserve"> </w:t>
      </w:r>
      <w:r>
        <w:rPr>
          <w:spacing w:val="-5"/>
        </w:rPr>
        <w:t>is</w:t>
      </w:r>
    </w:p>
    <w:p w14:paraId="7E00277F" w14:textId="77777777" w:rsidR="009A58DB" w:rsidRDefault="009A58DB">
      <w:pPr>
        <w:pStyle w:val="BodyText"/>
        <w:sectPr w:rsidR="009A58DB">
          <w:pgSz w:w="12240" w:h="15840"/>
          <w:pgMar w:top="1380" w:right="1080" w:bottom="280" w:left="1080" w:header="720" w:footer="720" w:gutter="0"/>
          <w:cols w:space="720"/>
        </w:sectPr>
      </w:pPr>
    </w:p>
    <w:p w14:paraId="7E002780" w14:textId="77777777" w:rsidR="009A58DB" w:rsidRDefault="00000000">
      <w:pPr>
        <w:pStyle w:val="BodyText"/>
        <w:spacing w:before="60" w:line="249" w:lineRule="auto"/>
        <w:ind w:right="359"/>
      </w:pPr>
      <w:r>
        <w:lastRenderedPageBreak/>
        <w:t>independent evidence of mental illness or of political ambition or of some other factor that would explain why, even though God did not speak to him, the evil-doer in question would say otherwise.</w:t>
      </w:r>
    </w:p>
    <w:p w14:paraId="7E002781" w14:textId="77777777" w:rsidR="009A58DB" w:rsidRDefault="00000000">
      <w:pPr>
        <w:pStyle w:val="BodyText"/>
        <w:spacing w:before="8" w:line="249" w:lineRule="auto"/>
        <w:ind w:right="359" w:firstLine="360"/>
      </w:pPr>
      <w:r>
        <w:t xml:space="preserve">That said, if some otherwise utterly normal person were to tell you that God told him to blow up a school bus, you would, for that very reason, question the credibility of his claim. This shows that </w:t>
      </w:r>
      <w:r>
        <w:rPr>
          <w:i/>
        </w:rPr>
        <w:t xml:space="preserve">even if </w:t>
      </w:r>
      <w:r>
        <w:t>God speaks to certain individuals, it isn’t because of what He told them that we believe that rape, theft, and so on, are wrong. If I tell people that God personally told me that x is wrong, I’ll be seen as a fraud or a madman by those who think that x is good and who therefore think that God would never condemn it, and I’ll have no effect on those who already think that x is wrong.</w:t>
      </w:r>
    </w:p>
    <w:p w14:paraId="7E002782" w14:textId="77777777" w:rsidR="009A58DB" w:rsidRDefault="00000000">
      <w:pPr>
        <w:pStyle w:val="BodyText"/>
        <w:spacing w:before="10" w:line="249" w:lineRule="auto"/>
        <w:ind w:right="365" w:firstLine="360"/>
      </w:pPr>
      <w:r>
        <w:t>If</w:t>
      </w:r>
      <w:r>
        <w:rPr>
          <w:spacing w:val="-2"/>
        </w:rPr>
        <w:t xml:space="preserve"> </w:t>
      </w:r>
      <w:r>
        <w:t>somebody</w:t>
      </w:r>
      <w:r>
        <w:rPr>
          <w:spacing w:val="-1"/>
        </w:rPr>
        <w:t xml:space="preserve"> </w:t>
      </w:r>
      <w:r>
        <w:t>claims</w:t>
      </w:r>
      <w:r>
        <w:rPr>
          <w:spacing w:val="-2"/>
        </w:rPr>
        <w:t xml:space="preserve"> </w:t>
      </w:r>
      <w:r>
        <w:t>that</w:t>
      </w:r>
      <w:r>
        <w:rPr>
          <w:spacing w:val="-1"/>
        </w:rPr>
        <w:t xml:space="preserve"> </w:t>
      </w:r>
      <w:r>
        <w:t>God</w:t>
      </w:r>
      <w:r>
        <w:rPr>
          <w:spacing w:val="-2"/>
        </w:rPr>
        <w:t xml:space="preserve"> </w:t>
      </w:r>
      <w:r>
        <w:t>said</w:t>
      </w:r>
      <w:r>
        <w:rPr>
          <w:spacing w:val="-1"/>
        </w:rPr>
        <w:t xml:space="preserve"> </w:t>
      </w:r>
      <w:r>
        <w:t>X,</w:t>
      </w:r>
      <w:r>
        <w:rPr>
          <w:spacing w:val="-1"/>
        </w:rPr>
        <w:t xml:space="preserve"> </w:t>
      </w:r>
      <w:r>
        <w:t>it</w:t>
      </w:r>
      <w:r>
        <w:rPr>
          <w:spacing w:val="-2"/>
        </w:rPr>
        <w:t xml:space="preserve"> </w:t>
      </w:r>
      <w:r>
        <w:t>is</w:t>
      </w:r>
      <w:r>
        <w:rPr>
          <w:spacing w:val="-1"/>
        </w:rPr>
        <w:t xml:space="preserve"> </w:t>
      </w:r>
      <w:r>
        <w:t>only</w:t>
      </w:r>
      <w:r>
        <w:rPr>
          <w:spacing w:val="-2"/>
        </w:rPr>
        <w:t xml:space="preserve"> </w:t>
      </w:r>
      <w:r>
        <w:t>by</w:t>
      </w:r>
      <w:r>
        <w:rPr>
          <w:spacing w:val="-1"/>
        </w:rPr>
        <w:t xml:space="preserve"> </w:t>
      </w:r>
      <w:r>
        <w:t>considering</w:t>
      </w:r>
      <w:r>
        <w:rPr>
          <w:spacing w:val="-2"/>
        </w:rPr>
        <w:t xml:space="preserve"> </w:t>
      </w:r>
      <w:r>
        <w:t>the</w:t>
      </w:r>
      <w:r>
        <w:rPr>
          <w:spacing w:val="-1"/>
        </w:rPr>
        <w:t xml:space="preserve"> </w:t>
      </w:r>
      <w:r>
        <w:t>merits</w:t>
      </w:r>
      <w:r>
        <w:rPr>
          <w:spacing w:val="-1"/>
        </w:rPr>
        <w:t xml:space="preserve"> </w:t>
      </w:r>
      <w:r>
        <w:t xml:space="preserve">of X itself that we can determine whether that claim is legitimate or not. This means that our decision to accept or reject X is </w:t>
      </w:r>
      <w:r>
        <w:rPr>
          <w:i/>
        </w:rPr>
        <w:t xml:space="preserve">not </w:t>
      </w:r>
      <w:r>
        <w:t>based on what God says. So even if God believes that X is good and directly tells certain people this, that isn’t why we believe that X is good. Our views as to what is right and wrong don’t have anything to do with what God believes. So even if it’s correct, the Divine Command Theory can do nothing in the way of legitimating existing religious practices or beliefs.</w:t>
      </w:r>
    </w:p>
    <w:p w14:paraId="7E002783" w14:textId="77777777" w:rsidR="009A58DB" w:rsidRDefault="00000000">
      <w:pPr>
        <w:pStyle w:val="Heading1"/>
        <w:numPr>
          <w:ilvl w:val="1"/>
          <w:numId w:val="47"/>
        </w:numPr>
        <w:tabs>
          <w:tab w:val="left" w:pos="990"/>
        </w:tabs>
        <w:spacing w:before="198"/>
      </w:pPr>
      <w:r>
        <w:t>The</w:t>
      </w:r>
      <w:r>
        <w:rPr>
          <w:spacing w:val="-4"/>
        </w:rPr>
        <w:t xml:space="preserve"> </w:t>
      </w:r>
      <w:r>
        <w:t>problem</w:t>
      </w:r>
      <w:r>
        <w:rPr>
          <w:spacing w:val="-3"/>
        </w:rPr>
        <w:t xml:space="preserve"> </w:t>
      </w:r>
      <w:r>
        <w:t>of</w:t>
      </w:r>
      <w:r>
        <w:rPr>
          <w:spacing w:val="-3"/>
        </w:rPr>
        <w:t xml:space="preserve"> </w:t>
      </w:r>
      <w:r>
        <w:rPr>
          <w:spacing w:val="-4"/>
        </w:rPr>
        <w:t>evil</w:t>
      </w:r>
    </w:p>
    <w:p w14:paraId="7E002784" w14:textId="77777777" w:rsidR="009A58DB" w:rsidRDefault="00000000">
      <w:pPr>
        <w:pStyle w:val="BodyText"/>
        <w:spacing w:before="139" w:line="249" w:lineRule="auto"/>
        <w:ind w:right="358"/>
      </w:pPr>
      <w:r>
        <w:t xml:space="preserve">Many people hold that there is a God and that He is all-powerful, all-good, and all-knowing. For argument’s sake, let us suppose that this is true. In that case, we are stuck with a problem. Many bad things happen in this world (e.g., murder, disease, physical and emotional pain). But if God is all-knowing, all-powerful, and all-good, then whenever something bad is going to happen, He’ll know it (since He’s all-knowing); He’ll also want to prevent it (since He’s all good); finally, He’ll </w:t>
      </w:r>
      <w:r>
        <w:rPr>
          <w:i/>
        </w:rPr>
        <w:t xml:space="preserve">be able </w:t>
      </w:r>
      <w:r>
        <w:t xml:space="preserve">to prevent it (since He’s all-powerful). Nonetheless, there obviously </w:t>
      </w:r>
      <w:r>
        <w:rPr>
          <w:i/>
        </w:rPr>
        <w:t xml:space="preserve">are </w:t>
      </w:r>
      <w:r>
        <w:t>many bad things in this world. This suggests that there is no God or that, if there is a God, He isn’t all-powerful, all-good, and all-knowing.</w:t>
      </w:r>
    </w:p>
    <w:p w14:paraId="7E002785" w14:textId="77777777" w:rsidR="009A58DB" w:rsidRDefault="00000000">
      <w:pPr>
        <w:pStyle w:val="BodyText"/>
        <w:spacing w:before="12" w:line="249" w:lineRule="auto"/>
        <w:ind w:right="361" w:firstLine="360"/>
      </w:pPr>
      <w:r>
        <w:t>Here are some views that people adopt in order to make sense of the information just put forth:</w:t>
      </w:r>
    </w:p>
    <w:p w14:paraId="7E002786" w14:textId="77777777" w:rsidR="009A58DB" w:rsidRDefault="009A58DB">
      <w:pPr>
        <w:pStyle w:val="BodyText"/>
        <w:spacing w:before="18"/>
        <w:ind w:left="0"/>
        <w:jc w:val="left"/>
      </w:pPr>
    </w:p>
    <w:p w14:paraId="7E002787" w14:textId="77777777" w:rsidR="009A58DB" w:rsidRDefault="00000000">
      <w:pPr>
        <w:pStyle w:val="ListParagraph"/>
        <w:numPr>
          <w:ilvl w:val="0"/>
          <w:numId w:val="46"/>
        </w:numPr>
        <w:tabs>
          <w:tab w:val="left" w:pos="1124"/>
        </w:tabs>
        <w:ind w:left="1124" w:hanging="404"/>
        <w:rPr>
          <w:sz w:val="30"/>
        </w:rPr>
      </w:pPr>
      <w:r>
        <w:rPr>
          <w:sz w:val="30"/>
        </w:rPr>
        <w:t>There</w:t>
      </w:r>
      <w:r>
        <w:rPr>
          <w:spacing w:val="-3"/>
          <w:sz w:val="30"/>
        </w:rPr>
        <w:t xml:space="preserve"> </w:t>
      </w:r>
      <w:r>
        <w:rPr>
          <w:sz w:val="30"/>
        </w:rPr>
        <w:t>is</w:t>
      </w:r>
      <w:r>
        <w:rPr>
          <w:spacing w:val="-2"/>
          <w:sz w:val="30"/>
        </w:rPr>
        <w:t xml:space="preserve"> </w:t>
      </w:r>
      <w:r>
        <w:rPr>
          <w:sz w:val="30"/>
        </w:rPr>
        <w:t>no</w:t>
      </w:r>
      <w:r>
        <w:rPr>
          <w:spacing w:val="-1"/>
          <w:sz w:val="30"/>
        </w:rPr>
        <w:t xml:space="preserve"> </w:t>
      </w:r>
      <w:r>
        <w:rPr>
          <w:spacing w:val="-4"/>
          <w:sz w:val="30"/>
        </w:rPr>
        <w:t>God.</w:t>
      </w:r>
    </w:p>
    <w:p w14:paraId="7E002788"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789" w14:textId="77777777" w:rsidR="009A58DB" w:rsidRDefault="00000000">
      <w:pPr>
        <w:pStyle w:val="ListParagraph"/>
        <w:numPr>
          <w:ilvl w:val="0"/>
          <w:numId w:val="46"/>
        </w:numPr>
        <w:tabs>
          <w:tab w:val="left" w:pos="1142"/>
        </w:tabs>
        <w:spacing w:before="65"/>
        <w:ind w:left="1142" w:hanging="422"/>
        <w:jc w:val="both"/>
        <w:rPr>
          <w:sz w:val="30"/>
        </w:rPr>
      </w:pPr>
      <w:r>
        <w:rPr>
          <w:sz w:val="30"/>
        </w:rPr>
        <w:lastRenderedPageBreak/>
        <w:t>There</w:t>
      </w:r>
      <w:r>
        <w:rPr>
          <w:spacing w:val="-4"/>
          <w:sz w:val="30"/>
        </w:rPr>
        <w:t xml:space="preserve"> </w:t>
      </w:r>
      <w:r>
        <w:rPr>
          <w:sz w:val="30"/>
        </w:rPr>
        <w:t>is</w:t>
      </w:r>
      <w:r>
        <w:rPr>
          <w:spacing w:val="-4"/>
          <w:sz w:val="30"/>
        </w:rPr>
        <w:t xml:space="preserve"> </w:t>
      </w:r>
      <w:r>
        <w:rPr>
          <w:sz w:val="30"/>
        </w:rPr>
        <w:t>a</w:t>
      </w:r>
      <w:r>
        <w:rPr>
          <w:spacing w:val="-3"/>
          <w:sz w:val="30"/>
        </w:rPr>
        <w:t xml:space="preserve"> </w:t>
      </w:r>
      <w:r>
        <w:rPr>
          <w:sz w:val="30"/>
        </w:rPr>
        <w:t>God,</w:t>
      </w:r>
      <w:r>
        <w:rPr>
          <w:spacing w:val="-3"/>
          <w:sz w:val="30"/>
        </w:rPr>
        <w:t xml:space="preserve"> </w:t>
      </w:r>
      <w:r>
        <w:rPr>
          <w:sz w:val="30"/>
        </w:rPr>
        <w:t>but</w:t>
      </w:r>
      <w:r>
        <w:rPr>
          <w:spacing w:val="-3"/>
          <w:sz w:val="30"/>
        </w:rPr>
        <w:t xml:space="preserve"> </w:t>
      </w:r>
      <w:r>
        <w:rPr>
          <w:sz w:val="30"/>
        </w:rPr>
        <w:t>He’s</w:t>
      </w:r>
      <w:r>
        <w:rPr>
          <w:spacing w:val="-4"/>
          <w:sz w:val="30"/>
        </w:rPr>
        <w:t xml:space="preserve"> </w:t>
      </w:r>
      <w:r>
        <w:rPr>
          <w:sz w:val="30"/>
        </w:rPr>
        <w:t>not</w:t>
      </w:r>
      <w:r>
        <w:rPr>
          <w:spacing w:val="-4"/>
          <w:sz w:val="30"/>
        </w:rPr>
        <w:t xml:space="preserve"> </w:t>
      </w:r>
      <w:r>
        <w:rPr>
          <w:sz w:val="30"/>
        </w:rPr>
        <w:t>all-powerful,</w:t>
      </w:r>
      <w:r>
        <w:rPr>
          <w:spacing w:val="-2"/>
          <w:sz w:val="30"/>
        </w:rPr>
        <w:t xml:space="preserve"> </w:t>
      </w:r>
      <w:r>
        <w:rPr>
          <w:sz w:val="30"/>
        </w:rPr>
        <w:t>all-good,</w:t>
      </w:r>
      <w:r>
        <w:rPr>
          <w:spacing w:val="-3"/>
          <w:sz w:val="30"/>
        </w:rPr>
        <w:t xml:space="preserve"> </w:t>
      </w:r>
      <w:r>
        <w:rPr>
          <w:sz w:val="30"/>
        </w:rPr>
        <w:t>and</w:t>
      </w:r>
      <w:r>
        <w:rPr>
          <w:spacing w:val="-2"/>
          <w:sz w:val="30"/>
        </w:rPr>
        <w:t xml:space="preserve"> </w:t>
      </w:r>
      <w:r>
        <w:rPr>
          <w:sz w:val="30"/>
        </w:rPr>
        <w:t>all-</w:t>
      </w:r>
      <w:r>
        <w:rPr>
          <w:spacing w:val="-2"/>
          <w:sz w:val="30"/>
        </w:rPr>
        <w:t>knowing.</w:t>
      </w:r>
    </w:p>
    <w:p w14:paraId="7E00278A" w14:textId="77777777" w:rsidR="009A58DB" w:rsidRDefault="00000000">
      <w:pPr>
        <w:pStyle w:val="ListParagraph"/>
        <w:numPr>
          <w:ilvl w:val="0"/>
          <w:numId w:val="46"/>
        </w:numPr>
        <w:tabs>
          <w:tab w:val="left" w:pos="1141"/>
        </w:tabs>
        <w:spacing w:before="15" w:line="249" w:lineRule="auto"/>
        <w:ind w:left="360" w:right="361" w:firstLine="360"/>
        <w:jc w:val="both"/>
        <w:rPr>
          <w:sz w:val="30"/>
        </w:rPr>
      </w:pPr>
      <w:r>
        <w:rPr>
          <w:sz w:val="30"/>
        </w:rPr>
        <w:t xml:space="preserve">There is no badness—there is only the </w:t>
      </w:r>
      <w:r>
        <w:rPr>
          <w:i/>
          <w:sz w:val="30"/>
        </w:rPr>
        <w:t xml:space="preserve">illusion </w:t>
      </w:r>
      <w:r>
        <w:rPr>
          <w:sz w:val="30"/>
        </w:rPr>
        <w:t>of badness. If we were to know God’s master-</w:t>
      </w:r>
      <w:r>
        <w:rPr>
          <w:spacing w:val="40"/>
          <w:sz w:val="30"/>
        </w:rPr>
        <w:t xml:space="preserve">  </w:t>
      </w:r>
      <w:r>
        <w:rPr>
          <w:sz w:val="30"/>
        </w:rPr>
        <w:t>plan, we’d see that it’s okay that people have their arms and legs blown off.</w:t>
      </w:r>
    </w:p>
    <w:p w14:paraId="7E00278B" w14:textId="77777777" w:rsidR="009A58DB" w:rsidRDefault="009A58DB">
      <w:pPr>
        <w:pStyle w:val="BodyText"/>
        <w:spacing w:before="18"/>
        <w:ind w:left="0"/>
        <w:jc w:val="left"/>
      </w:pPr>
    </w:p>
    <w:p w14:paraId="7E00278C" w14:textId="77777777" w:rsidR="009A58DB" w:rsidRDefault="00000000">
      <w:pPr>
        <w:pStyle w:val="BodyText"/>
        <w:spacing w:line="249" w:lineRule="auto"/>
        <w:jc w:val="left"/>
      </w:pPr>
      <w:r>
        <w:t>But</w:t>
      </w:r>
      <w:r>
        <w:rPr>
          <w:spacing w:val="73"/>
        </w:rPr>
        <w:t xml:space="preserve"> </w:t>
      </w:r>
      <w:r>
        <w:t>there’s</w:t>
      </w:r>
      <w:r>
        <w:rPr>
          <w:spacing w:val="74"/>
        </w:rPr>
        <w:t xml:space="preserve"> </w:t>
      </w:r>
      <w:r>
        <w:t>a</w:t>
      </w:r>
      <w:r>
        <w:rPr>
          <w:spacing w:val="74"/>
        </w:rPr>
        <w:t xml:space="preserve"> </w:t>
      </w:r>
      <w:r>
        <w:t>fourth</w:t>
      </w:r>
      <w:r>
        <w:rPr>
          <w:spacing w:val="74"/>
        </w:rPr>
        <w:t xml:space="preserve"> </w:t>
      </w:r>
      <w:r>
        <w:t>view,</w:t>
      </w:r>
      <w:r>
        <w:rPr>
          <w:spacing w:val="74"/>
        </w:rPr>
        <w:t xml:space="preserve"> </w:t>
      </w:r>
      <w:r>
        <w:t>and</w:t>
      </w:r>
      <w:r>
        <w:rPr>
          <w:spacing w:val="74"/>
        </w:rPr>
        <w:t xml:space="preserve"> </w:t>
      </w:r>
      <w:r>
        <w:t>it</w:t>
      </w:r>
      <w:r>
        <w:rPr>
          <w:spacing w:val="73"/>
        </w:rPr>
        <w:t xml:space="preserve"> </w:t>
      </w:r>
      <w:r>
        <w:t>is</w:t>
      </w:r>
      <w:r>
        <w:rPr>
          <w:spacing w:val="74"/>
        </w:rPr>
        <w:t xml:space="preserve"> </w:t>
      </w:r>
      <w:r>
        <w:t>the</w:t>
      </w:r>
      <w:r>
        <w:rPr>
          <w:spacing w:val="74"/>
        </w:rPr>
        <w:t xml:space="preserve"> </w:t>
      </w:r>
      <w:r>
        <w:t>view</w:t>
      </w:r>
      <w:r>
        <w:rPr>
          <w:spacing w:val="74"/>
        </w:rPr>
        <w:t xml:space="preserve"> </w:t>
      </w:r>
      <w:r>
        <w:t>that,</w:t>
      </w:r>
      <w:r>
        <w:rPr>
          <w:spacing w:val="74"/>
        </w:rPr>
        <w:t xml:space="preserve"> </w:t>
      </w:r>
      <w:r>
        <w:t>from</w:t>
      </w:r>
      <w:r>
        <w:rPr>
          <w:spacing w:val="74"/>
        </w:rPr>
        <w:t xml:space="preserve"> </w:t>
      </w:r>
      <w:r>
        <w:t>a</w:t>
      </w:r>
      <w:r>
        <w:rPr>
          <w:spacing w:val="74"/>
        </w:rPr>
        <w:t xml:space="preserve"> </w:t>
      </w:r>
      <w:r>
        <w:t>philosophical standpoint, is the most interesting:</w:t>
      </w:r>
    </w:p>
    <w:p w14:paraId="7E00278D" w14:textId="77777777" w:rsidR="009A58DB" w:rsidRDefault="009A58DB">
      <w:pPr>
        <w:pStyle w:val="BodyText"/>
        <w:spacing w:before="18"/>
        <w:ind w:left="0"/>
        <w:jc w:val="left"/>
      </w:pPr>
    </w:p>
    <w:p w14:paraId="7E00278E" w14:textId="77777777" w:rsidR="009A58DB" w:rsidRDefault="00000000">
      <w:pPr>
        <w:spacing w:line="249" w:lineRule="auto"/>
        <w:ind w:left="720" w:right="362" w:hanging="360"/>
        <w:jc w:val="both"/>
        <w:rPr>
          <w:sz w:val="30"/>
        </w:rPr>
      </w:pPr>
      <w:r>
        <w:rPr>
          <w:sz w:val="30"/>
        </w:rPr>
        <w:t xml:space="preserve">(d) God exists, and He </w:t>
      </w:r>
      <w:r>
        <w:rPr>
          <w:i/>
          <w:sz w:val="30"/>
        </w:rPr>
        <w:t xml:space="preserve">is </w:t>
      </w:r>
      <w:r>
        <w:rPr>
          <w:sz w:val="30"/>
        </w:rPr>
        <w:t xml:space="preserve">all-powerful, all-good, and all-knowing. Furthermore, there is much evil in the world. </w:t>
      </w:r>
      <w:r>
        <w:rPr>
          <w:i/>
          <w:sz w:val="30"/>
        </w:rPr>
        <w:t xml:space="preserve">And these statements are consistent with one another. </w:t>
      </w:r>
      <w:r>
        <w:rPr>
          <w:sz w:val="30"/>
        </w:rPr>
        <w:t xml:space="preserve">There is nothing absurd in believing in the existence of badness </w:t>
      </w:r>
      <w:r>
        <w:rPr>
          <w:i/>
          <w:sz w:val="30"/>
        </w:rPr>
        <w:t xml:space="preserve">and </w:t>
      </w:r>
      <w:r>
        <w:rPr>
          <w:sz w:val="30"/>
        </w:rPr>
        <w:t>in the existence of all-powerful, all-good, and</w:t>
      </w:r>
      <w:r>
        <w:rPr>
          <w:spacing w:val="40"/>
          <w:sz w:val="30"/>
        </w:rPr>
        <w:t xml:space="preserve"> </w:t>
      </w:r>
      <w:r>
        <w:rPr>
          <w:sz w:val="30"/>
        </w:rPr>
        <w:t>all-knowing God.</w:t>
      </w:r>
    </w:p>
    <w:p w14:paraId="7E00278F" w14:textId="77777777" w:rsidR="009A58DB" w:rsidRDefault="009A58DB">
      <w:pPr>
        <w:pStyle w:val="BodyText"/>
        <w:spacing w:before="21"/>
        <w:ind w:left="0"/>
        <w:jc w:val="left"/>
      </w:pPr>
    </w:p>
    <w:p w14:paraId="7E002790" w14:textId="77777777" w:rsidR="009A58DB" w:rsidRDefault="00000000">
      <w:pPr>
        <w:pStyle w:val="BodyText"/>
        <w:spacing w:line="249" w:lineRule="auto"/>
        <w:ind w:right="360" w:firstLine="360"/>
      </w:pPr>
      <w:r>
        <w:t xml:space="preserve">But we saw earlier that (d) </w:t>
      </w:r>
      <w:r>
        <w:rPr>
          <w:i/>
        </w:rPr>
        <w:t>appears</w:t>
      </w:r>
      <w:r>
        <w:rPr>
          <w:i/>
          <w:spacing w:val="-3"/>
        </w:rPr>
        <w:t xml:space="preserve"> </w:t>
      </w:r>
      <w:r>
        <w:t xml:space="preserve">to be incoherent. If there is a God, and He’s all-powerful, all-good, and all-knowing, then He’ll prevent bad things from happening. But bad things do happen. So it </w:t>
      </w:r>
      <w:r>
        <w:rPr>
          <w:i/>
        </w:rPr>
        <w:t xml:space="preserve">seems </w:t>
      </w:r>
      <w:r>
        <w:t xml:space="preserve">to follow that either God isn’t all-powerful, all-good, and all-knowing </w:t>
      </w:r>
      <w:r>
        <w:rPr>
          <w:i/>
        </w:rPr>
        <w:t xml:space="preserve">or </w:t>
      </w:r>
      <w:r>
        <w:t>He simply doesn’t exist.</w:t>
      </w:r>
    </w:p>
    <w:p w14:paraId="7E002791" w14:textId="77777777" w:rsidR="009A58DB" w:rsidRDefault="00000000">
      <w:pPr>
        <w:pStyle w:val="BodyText"/>
        <w:spacing w:before="5" w:line="249" w:lineRule="auto"/>
        <w:ind w:right="368" w:firstLine="360"/>
      </w:pPr>
      <w:r>
        <w:t xml:space="preserve">But many fine thinkers hold that (d) is </w:t>
      </w:r>
      <w:r>
        <w:rPr>
          <w:i/>
        </w:rPr>
        <w:t>not</w:t>
      </w:r>
      <w:r>
        <w:rPr>
          <w:i/>
          <w:spacing w:val="-4"/>
        </w:rPr>
        <w:t xml:space="preserve"> </w:t>
      </w:r>
      <w:r>
        <w:t>incoherent. They hold, in other words, that (d) makes perfectly good sense. In their view, it is perfectly reasonable to hold that, despite all the badness in this world, there exists an all-powerful, all-good, and all-knowing God.</w:t>
      </w:r>
    </w:p>
    <w:p w14:paraId="7E002792" w14:textId="77777777" w:rsidR="009A58DB" w:rsidRDefault="00000000">
      <w:pPr>
        <w:pStyle w:val="BodyText"/>
        <w:spacing w:before="5" w:line="249" w:lineRule="auto"/>
        <w:ind w:right="369" w:firstLine="360"/>
      </w:pPr>
      <w:r>
        <w:t xml:space="preserve">Attempts to show that (d) is coherent are known as </w:t>
      </w:r>
      <w:r>
        <w:rPr>
          <w:i/>
        </w:rPr>
        <w:t xml:space="preserve">theodicies. </w:t>
      </w:r>
      <w:r>
        <w:t>Following are the two most plausible theodicies.</w:t>
      </w:r>
    </w:p>
    <w:p w14:paraId="7E002793" w14:textId="77777777" w:rsidR="009A58DB" w:rsidRDefault="00000000">
      <w:pPr>
        <w:pStyle w:val="Heading1"/>
        <w:numPr>
          <w:ilvl w:val="1"/>
          <w:numId w:val="47"/>
        </w:numPr>
        <w:tabs>
          <w:tab w:val="left" w:pos="990"/>
        </w:tabs>
        <w:spacing w:before="190"/>
      </w:pPr>
      <w:r>
        <w:t>Theodicy</w:t>
      </w:r>
      <w:r>
        <w:rPr>
          <w:spacing w:val="-8"/>
        </w:rPr>
        <w:t xml:space="preserve"> </w:t>
      </w:r>
      <w:r>
        <w:t>#1—The</w:t>
      </w:r>
      <w:r>
        <w:rPr>
          <w:spacing w:val="-6"/>
        </w:rPr>
        <w:t xml:space="preserve"> </w:t>
      </w:r>
      <w:r>
        <w:t>Free-Will</w:t>
      </w:r>
      <w:r>
        <w:rPr>
          <w:spacing w:val="-5"/>
        </w:rPr>
        <w:t xml:space="preserve"> </w:t>
      </w:r>
      <w:r>
        <w:rPr>
          <w:spacing w:val="-2"/>
        </w:rPr>
        <w:t>Defense</w:t>
      </w:r>
    </w:p>
    <w:p w14:paraId="7E002794" w14:textId="77777777" w:rsidR="009A58DB" w:rsidRDefault="00000000">
      <w:pPr>
        <w:pStyle w:val="BodyText"/>
        <w:spacing w:before="139" w:line="249" w:lineRule="auto"/>
        <w:ind w:left="720" w:right="359"/>
      </w:pPr>
      <w:r>
        <w:t xml:space="preserve">Because He is good, God wants the world to be a good place. In fact, He wants it to be as good as possible. A world where nothing has free will wouldn’t be a very good world, and it wouldn’t be </w:t>
      </w:r>
      <w:r>
        <w:rPr>
          <w:i/>
        </w:rPr>
        <w:t xml:space="preserve">as </w:t>
      </w:r>
      <w:r>
        <w:t>good as one where there were creatures with free will. A world of robots who do no wrong isn’t as good as a world of free creatures that do some wrong. (Would you rather have a son or daughter who is a robot who never does anything wrong but doesn’t have a soul? Or would you rather have a son or daughter who has a soul but sometimes parties too hard?) Not wanting us to</w:t>
      </w:r>
      <w:r>
        <w:rPr>
          <w:spacing w:val="34"/>
        </w:rPr>
        <w:t xml:space="preserve"> </w:t>
      </w:r>
      <w:r>
        <w:t>be</w:t>
      </w:r>
      <w:r>
        <w:rPr>
          <w:spacing w:val="34"/>
        </w:rPr>
        <w:t xml:space="preserve"> </w:t>
      </w:r>
      <w:r>
        <w:t>soulless</w:t>
      </w:r>
      <w:r>
        <w:rPr>
          <w:spacing w:val="34"/>
        </w:rPr>
        <w:t xml:space="preserve"> </w:t>
      </w:r>
      <w:r>
        <w:t>robots,</w:t>
      </w:r>
      <w:r>
        <w:rPr>
          <w:spacing w:val="34"/>
        </w:rPr>
        <w:t xml:space="preserve"> </w:t>
      </w:r>
      <w:r>
        <w:t>God</w:t>
      </w:r>
      <w:r>
        <w:rPr>
          <w:spacing w:val="34"/>
        </w:rPr>
        <w:t xml:space="preserve"> </w:t>
      </w:r>
      <w:r>
        <w:t>gave</w:t>
      </w:r>
      <w:r>
        <w:rPr>
          <w:spacing w:val="34"/>
        </w:rPr>
        <w:t xml:space="preserve"> </w:t>
      </w:r>
      <w:r>
        <w:t>us</w:t>
      </w:r>
      <w:r>
        <w:rPr>
          <w:spacing w:val="34"/>
        </w:rPr>
        <w:t xml:space="preserve"> </w:t>
      </w:r>
      <w:r>
        <w:t>free</w:t>
      </w:r>
      <w:r>
        <w:rPr>
          <w:spacing w:val="34"/>
        </w:rPr>
        <w:t xml:space="preserve"> </w:t>
      </w:r>
      <w:r>
        <w:t>will.</w:t>
      </w:r>
      <w:r>
        <w:rPr>
          <w:spacing w:val="34"/>
        </w:rPr>
        <w:t xml:space="preserve"> </w:t>
      </w:r>
      <w:r>
        <w:t>But</w:t>
      </w:r>
      <w:r>
        <w:rPr>
          <w:spacing w:val="34"/>
        </w:rPr>
        <w:t xml:space="preserve"> </w:t>
      </w:r>
      <w:r>
        <w:t>now</w:t>
      </w:r>
      <w:r>
        <w:rPr>
          <w:spacing w:val="34"/>
        </w:rPr>
        <w:t xml:space="preserve"> </w:t>
      </w:r>
      <w:r>
        <w:t>that</w:t>
      </w:r>
      <w:r>
        <w:rPr>
          <w:spacing w:val="34"/>
        </w:rPr>
        <w:t xml:space="preserve"> </w:t>
      </w:r>
      <w:r>
        <w:t>we</w:t>
      </w:r>
      <w:r>
        <w:rPr>
          <w:spacing w:val="34"/>
        </w:rPr>
        <w:t xml:space="preserve"> </w:t>
      </w:r>
      <w:r>
        <w:t>have</w:t>
      </w:r>
      <w:r>
        <w:rPr>
          <w:spacing w:val="34"/>
        </w:rPr>
        <w:t xml:space="preserve"> </w:t>
      </w:r>
      <w:r>
        <w:t>free</w:t>
      </w:r>
    </w:p>
    <w:p w14:paraId="7E00279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96" w14:textId="77777777" w:rsidR="009A58DB" w:rsidRDefault="00000000">
      <w:pPr>
        <w:pStyle w:val="BodyText"/>
        <w:spacing w:before="60" w:line="249" w:lineRule="auto"/>
        <w:ind w:left="720"/>
        <w:jc w:val="left"/>
      </w:pPr>
      <w:r>
        <w:lastRenderedPageBreak/>
        <w:t>will,</w:t>
      </w:r>
      <w:r>
        <w:rPr>
          <w:spacing w:val="27"/>
        </w:rPr>
        <w:t xml:space="preserve"> </w:t>
      </w:r>
      <w:r>
        <w:t>we’re free to</w:t>
      </w:r>
      <w:r>
        <w:rPr>
          <w:spacing w:val="27"/>
        </w:rPr>
        <w:t xml:space="preserve"> </w:t>
      </w:r>
      <w:r>
        <w:t>commit bad</w:t>
      </w:r>
      <w:r>
        <w:rPr>
          <w:spacing w:val="27"/>
        </w:rPr>
        <w:t xml:space="preserve"> </w:t>
      </w:r>
      <w:r>
        <w:t>acts—to</w:t>
      </w:r>
      <w:r>
        <w:rPr>
          <w:spacing w:val="27"/>
        </w:rPr>
        <w:t xml:space="preserve"> </w:t>
      </w:r>
      <w:r>
        <w:t>steal,</w:t>
      </w:r>
      <w:r>
        <w:rPr>
          <w:spacing w:val="27"/>
        </w:rPr>
        <w:t xml:space="preserve"> </w:t>
      </w:r>
      <w:r>
        <w:t>kill,</w:t>
      </w:r>
      <w:r>
        <w:rPr>
          <w:spacing w:val="27"/>
        </w:rPr>
        <w:t xml:space="preserve"> </w:t>
      </w:r>
      <w:r>
        <w:t>and</w:t>
      </w:r>
      <w:r>
        <w:rPr>
          <w:spacing w:val="27"/>
        </w:rPr>
        <w:t xml:space="preserve"> </w:t>
      </w:r>
      <w:r>
        <w:t>so</w:t>
      </w:r>
      <w:r>
        <w:rPr>
          <w:spacing w:val="27"/>
        </w:rPr>
        <w:t xml:space="preserve"> </w:t>
      </w:r>
      <w:r>
        <w:t>on.</w:t>
      </w:r>
      <w:r>
        <w:rPr>
          <w:spacing w:val="27"/>
        </w:rPr>
        <w:t xml:space="preserve"> </w:t>
      </w:r>
      <w:r>
        <w:t>And</w:t>
      </w:r>
      <w:r>
        <w:rPr>
          <w:spacing w:val="27"/>
        </w:rPr>
        <w:t xml:space="preserve"> </w:t>
      </w:r>
      <w:r>
        <w:t>that’s why, despite God’s goodness, there’s badness in the world.</w:t>
      </w:r>
    </w:p>
    <w:p w14:paraId="7E002797" w14:textId="77777777" w:rsidR="009A58DB" w:rsidRDefault="009A58DB">
      <w:pPr>
        <w:pStyle w:val="BodyText"/>
        <w:spacing w:before="22"/>
        <w:ind w:left="0"/>
        <w:jc w:val="left"/>
      </w:pPr>
    </w:p>
    <w:p w14:paraId="7E002798" w14:textId="77777777" w:rsidR="009A58DB" w:rsidRDefault="00000000">
      <w:pPr>
        <w:pStyle w:val="BodyText"/>
      </w:pPr>
      <w:r>
        <w:t>There</w:t>
      </w:r>
      <w:r>
        <w:rPr>
          <w:spacing w:val="-4"/>
        </w:rPr>
        <w:t xml:space="preserve"> </w:t>
      </w:r>
      <w:r>
        <w:t>are</w:t>
      </w:r>
      <w:r>
        <w:rPr>
          <w:spacing w:val="-4"/>
        </w:rPr>
        <w:t xml:space="preserve"> </w:t>
      </w:r>
      <w:r>
        <w:t>three</w:t>
      </w:r>
      <w:r>
        <w:rPr>
          <w:spacing w:val="-4"/>
        </w:rPr>
        <w:t xml:space="preserve"> </w:t>
      </w:r>
      <w:r>
        <w:t>problems</w:t>
      </w:r>
      <w:r>
        <w:rPr>
          <w:spacing w:val="-4"/>
        </w:rPr>
        <w:t xml:space="preserve"> </w:t>
      </w:r>
      <w:r>
        <w:rPr>
          <w:spacing w:val="-2"/>
        </w:rPr>
        <w:t>there.</w:t>
      </w:r>
    </w:p>
    <w:p w14:paraId="7E002799" w14:textId="77777777" w:rsidR="009A58DB" w:rsidRDefault="00000000">
      <w:pPr>
        <w:pStyle w:val="Heading1"/>
        <w:numPr>
          <w:ilvl w:val="2"/>
          <w:numId w:val="47"/>
        </w:numPr>
        <w:tabs>
          <w:tab w:val="left" w:pos="1389"/>
          <w:tab w:val="left" w:pos="4568"/>
        </w:tabs>
        <w:spacing w:line="244" w:lineRule="auto"/>
        <w:ind w:right="369" w:firstLine="0"/>
      </w:pPr>
      <w:r>
        <w:t>First</w:t>
      </w:r>
      <w:r>
        <w:rPr>
          <w:spacing w:val="40"/>
        </w:rPr>
        <w:t xml:space="preserve"> </w:t>
      </w:r>
      <w:r>
        <w:t>problem:</w:t>
      </w:r>
      <w:r>
        <w:rPr>
          <w:spacing w:val="40"/>
        </w:rPr>
        <w:t xml:space="preserve"> </w:t>
      </w:r>
      <w:r>
        <w:t>Theodicy</w:t>
      </w:r>
      <w:r>
        <w:rPr>
          <w:spacing w:val="40"/>
        </w:rPr>
        <w:t xml:space="preserve"> </w:t>
      </w:r>
      <w:r>
        <w:t>#1</w:t>
      </w:r>
      <w:r>
        <w:rPr>
          <w:spacing w:val="40"/>
        </w:rPr>
        <w:t xml:space="preserve"> </w:t>
      </w:r>
      <w:r>
        <w:t>isn’t</w:t>
      </w:r>
      <w:r>
        <w:rPr>
          <w:spacing w:val="40"/>
        </w:rPr>
        <w:t xml:space="preserve"> </w:t>
      </w:r>
      <w:r>
        <w:t>compatible with the compatibilist</w:t>
      </w:r>
      <w:r>
        <w:tab/>
        <w:t>conception of freedom</w:t>
      </w:r>
    </w:p>
    <w:p w14:paraId="7E00279A" w14:textId="77777777" w:rsidR="009A58DB" w:rsidRDefault="00000000">
      <w:pPr>
        <w:pStyle w:val="BodyText"/>
        <w:spacing w:before="132" w:line="249" w:lineRule="auto"/>
        <w:ind w:right="363"/>
      </w:pPr>
      <w:r>
        <w:t>In Chapter 15, we saw reason to believe that, not only is determinism compatible with freedom but is actually a prerequisite for it. If this is the</w:t>
      </w:r>
      <w:r>
        <w:rPr>
          <w:spacing w:val="40"/>
        </w:rPr>
        <w:t xml:space="preserve"> </w:t>
      </w:r>
      <w:r>
        <w:t>case, then, even if we are free, God is still responsible for the badness that</w:t>
      </w:r>
      <w:r>
        <w:rPr>
          <w:spacing w:val="40"/>
        </w:rPr>
        <w:t xml:space="preserve"> </w:t>
      </w:r>
      <w:r>
        <w:t>we, in our freedom, inject into the world.</w:t>
      </w:r>
    </w:p>
    <w:p w14:paraId="7E00279B" w14:textId="77777777" w:rsidR="009A58DB" w:rsidRDefault="00000000">
      <w:pPr>
        <w:pStyle w:val="BodyText"/>
        <w:spacing w:before="5" w:line="249" w:lineRule="auto"/>
        <w:ind w:right="370" w:firstLine="360"/>
      </w:pPr>
      <w:r>
        <w:t>But even if we set aside this problem, there are two other grave problems with Theodicy #1, as we’ll now see.</w:t>
      </w:r>
    </w:p>
    <w:p w14:paraId="7E00279C" w14:textId="77777777" w:rsidR="009A58DB" w:rsidRDefault="00000000">
      <w:pPr>
        <w:pStyle w:val="Heading1"/>
        <w:numPr>
          <w:ilvl w:val="2"/>
          <w:numId w:val="47"/>
        </w:numPr>
        <w:tabs>
          <w:tab w:val="left" w:pos="1409"/>
          <w:tab w:val="left" w:pos="7123"/>
        </w:tabs>
        <w:spacing w:before="205" w:line="244" w:lineRule="auto"/>
        <w:ind w:right="366" w:firstLine="0"/>
      </w:pPr>
      <w:r>
        <w:t>Second</w:t>
      </w:r>
      <w:r>
        <w:rPr>
          <w:spacing w:val="40"/>
        </w:rPr>
        <w:t xml:space="preserve"> </w:t>
      </w:r>
      <w:r>
        <w:t>problem:</w:t>
      </w:r>
      <w:r>
        <w:rPr>
          <w:spacing w:val="40"/>
        </w:rPr>
        <w:t xml:space="preserve"> </w:t>
      </w:r>
      <w:r>
        <w:t>There’s</w:t>
      </w:r>
      <w:r>
        <w:rPr>
          <w:spacing w:val="40"/>
        </w:rPr>
        <w:t xml:space="preserve"> </w:t>
      </w:r>
      <w:r>
        <w:t>too</w:t>
      </w:r>
      <w:r>
        <w:tab/>
        <w:t>much</w:t>
      </w:r>
      <w:r>
        <w:rPr>
          <w:spacing w:val="40"/>
        </w:rPr>
        <w:t xml:space="preserve"> </w:t>
      </w:r>
      <w:r>
        <w:t>evil</w:t>
      </w:r>
      <w:r>
        <w:rPr>
          <w:spacing w:val="40"/>
        </w:rPr>
        <w:t xml:space="preserve"> </w:t>
      </w:r>
      <w:r>
        <w:t>for Theodicy #1 to be correct</w:t>
      </w:r>
    </w:p>
    <w:p w14:paraId="7E00279D" w14:textId="77777777" w:rsidR="009A58DB" w:rsidRDefault="00000000">
      <w:pPr>
        <w:pStyle w:val="BodyText"/>
        <w:spacing w:before="132" w:line="249" w:lineRule="auto"/>
        <w:ind w:right="366"/>
      </w:pPr>
      <w:r>
        <w:t xml:space="preserve">Couldn’t God allow us to have free will </w:t>
      </w:r>
      <w:r>
        <w:rPr>
          <w:i/>
        </w:rPr>
        <w:t xml:space="preserve">in general </w:t>
      </w:r>
      <w:r>
        <w:t>but intervene in cases where somebody was going to commit particularly horrible acts or was going to commit horrors on a mass scale?</w:t>
      </w:r>
    </w:p>
    <w:p w14:paraId="7E00279E" w14:textId="77777777" w:rsidR="009A58DB" w:rsidRDefault="009A58DB">
      <w:pPr>
        <w:pStyle w:val="BodyText"/>
        <w:spacing w:before="19"/>
        <w:ind w:left="0"/>
        <w:jc w:val="left"/>
      </w:pPr>
    </w:p>
    <w:p w14:paraId="7E00279F" w14:textId="77777777" w:rsidR="009A58DB" w:rsidRDefault="00000000">
      <w:pPr>
        <w:pStyle w:val="Heading5"/>
      </w:pPr>
      <w:r>
        <w:t>Here’s</w:t>
      </w:r>
      <w:r>
        <w:rPr>
          <w:spacing w:val="-6"/>
        </w:rPr>
        <w:t xml:space="preserve"> </w:t>
      </w:r>
      <w:r>
        <w:t>how</w:t>
      </w:r>
      <w:r>
        <w:rPr>
          <w:spacing w:val="-4"/>
        </w:rPr>
        <w:t xml:space="preserve"> </w:t>
      </w:r>
      <w:r>
        <w:t>advocates</w:t>
      </w:r>
      <w:r>
        <w:rPr>
          <w:spacing w:val="-3"/>
        </w:rPr>
        <w:t xml:space="preserve"> </w:t>
      </w:r>
      <w:r>
        <w:t>of</w:t>
      </w:r>
      <w:r>
        <w:rPr>
          <w:spacing w:val="-4"/>
        </w:rPr>
        <w:t xml:space="preserve"> </w:t>
      </w:r>
      <w:r>
        <w:t>Theodicy</w:t>
      </w:r>
      <w:r>
        <w:rPr>
          <w:spacing w:val="-3"/>
        </w:rPr>
        <w:t xml:space="preserve"> </w:t>
      </w:r>
      <w:r>
        <w:t>#1</w:t>
      </w:r>
      <w:r>
        <w:rPr>
          <w:spacing w:val="-2"/>
        </w:rPr>
        <w:t xml:space="preserve"> </w:t>
      </w:r>
      <w:r>
        <w:t>deal</w:t>
      </w:r>
      <w:r>
        <w:rPr>
          <w:spacing w:val="-4"/>
        </w:rPr>
        <w:t xml:space="preserve"> </w:t>
      </w:r>
      <w:r>
        <w:t>with</w:t>
      </w:r>
      <w:r>
        <w:rPr>
          <w:spacing w:val="-3"/>
        </w:rPr>
        <w:t xml:space="preserve"> </w:t>
      </w:r>
      <w:r>
        <w:rPr>
          <w:spacing w:val="-2"/>
        </w:rPr>
        <w:t>this:</w:t>
      </w:r>
    </w:p>
    <w:p w14:paraId="7E0027A0" w14:textId="77777777" w:rsidR="009A58DB" w:rsidRDefault="009A58DB">
      <w:pPr>
        <w:pStyle w:val="BodyText"/>
        <w:spacing w:before="30"/>
        <w:ind w:left="0"/>
        <w:jc w:val="left"/>
        <w:rPr>
          <w:b/>
        </w:rPr>
      </w:pPr>
    </w:p>
    <w:p w14:paraId="7E0027A1" w14:textId="77777777" w:rsidR="009A58DB" w:rsidRDefault="00000000">
      <w:pPr>
        <w:pStyle w:val="BodyText"/>
        <w:tabs>
          <w:tab w:val="left" w:pos="1745"/>
        </w:tabs>
        <w:spacing w:line="249" w:lineRule="auto"/>
        <w:ind w:right="361"/>
      </w:pPr>
      <w:r>
        <w:rPr>
          <w:noProof/>
        </w:rPr>
        <mc:AlternateContent>
          <mc:Choice Requires="wps">
            <w:drawing>
              <wp:anchor distT="0" distB="0" distL="0" distR="0" simplePos="0" relativeHeight="480346112" behindDoc="1" locked="0" layoutInCell="1" allowOverlap="1" wp14:anchorId="7E0032A2" wp14:editId="7E0032A3">
                <wp:simplePos x="0" y="0"/>
                <wp:positionH relativeFrom="page">
                  <wp:posOffset>1115317</wp:posOffset>
                </wp:positionH>
                <wp:positionV relativeFrom="paragraph">
                  <wp:posOffset>141525</wp:posOffset>
                </wp:positionV>
                <wp:extent cx="582295" cy="21145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211454"/>
                        </a:xfrm>
                        <a:prstGeom prst="rect">
                          <a:avLst/>
                        </a:prstGeom>
                      </wps:spPr>
                      <wps:txbx>
                        <w:txbxContent>
                          <w:p w14:paraId="7E0032C2" w14:textId="77777777" w:rsidR="009A58DB" w:rsidRDefault="00000000">
                            <w:pPr>
                              <w:pStyle w:val="BodyText"/>
                              <w:tabs>
                                <w:tab w:val="left" w:pos="816"/>
                              </w:tabs>
                              <w:spacing w:line="332" w:lineRule="exact"/>
                              <w:ind w:left="0"/>
                              <w:jc w:val="left"/>
                            </w:pPr>
                            <w:r>
                              <w:rPr>
                                <w:spacing w:val="-10"/>
                              </w:rPr>
                              <w:t>F</w:t>
                            </w:r>
                            <w:r>
                              <w:tab/>
                            </w:r>
                            <w:r>
                              <w:rPr>
                                <w:spacing w:val="-10"/>
                              </w:rPr>
                              <w:t>)</w:t>
                            </w:r>
                          </w:p>
                        </w:txbxContent>
                      </wps:txbx>
                      <wps:bodyPr wrap="square" lIns="0" tIns="0" rIns="0" bIns="0" rtlCol="0">
                        <a:noAutofit/>
                      </wps:bodyPr>
                    </wps:wsp>
                  </a:graphicData>
                </a:graphic>
              </wp:anchor>
            </w:drawing>
          </mc:Choice>
          <mc:Fallback>
            <w:pict>
              <v:shape w14:anchorId="7E0032A2" id="Textbox 42" o:spid="_x0000_s1044" type="#_x0000_t202" style="position:absolute;left:0;text-align:left;margin-left:87.8pt;margin-top:11.15pt;width:45.85pt;height:16.65pt;z-index:-2297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" filled="f" stroked="f">
                <v:textbox inset="0,0,0,0">
                  <w:txbxContent>
                    <w:p w14:paraId="7E0032C2" w14:textId="77777777" w:rsidR="009A58DB" w:rsidRDefault="00000000">
                      <w:pPr>
                        <w:pStyle w:val="BodyText"/>
                        <w:tabs>
                          <w:tab w:val="left" w:pos="816"/>
                        </w:tabs>
                        <w:spacing w:line="332" w:lineRule="exact"/>
                        <w:ind w:left="0"/>
                        <w:jc w:val="left"/>
                      </w:pPr>
                      <w:r>
                        <w:rPr>
                          <w:spacing w:val="-10"/>
                        </w:rPr>
                        <w:t>F</w:t>
                      </w:r>
                      <w:r>
                        <w:tab/>
                      </w:r>
                      <w:r>
                        <w:rPr>
                          <w:spacing w:val="-10"/>
                        </w:rPr>
                        <w:t>)</w:t>
                      </w:r>
                    </w:p>
                  </w:txbxContent>
                </v:textbox>
                <w10:wrap anchorx="page"/>
              </v:shape>
            </w:pict>
          </mc:Fallback>
        </mc:AlternateContent>
      </w:r>
      <w:bookmarkStart w:id="556" w:name="_bookmark556"/>
      <w:bookmarkEnd w:id="556"/>
      <w:r>
        <w:rPr>
          <w:color w:val="0562C1"/>
          <w:spacing w:val="-3"/>
          <w:position w:val="21"/>
          <w:u w:val="single" w:color="0562C1"/>
        </w:rPr>
        <w:t>[</w:t>
      </w:r>
      <w:r>
        <w:rPr>
          <w:color w:val="0562C1"/>
          <w:spacing w:val="-2"/>
          <w:position w:val="21"/>
          <w:u w:val="single" w:color="0562C1"/>
        </w:rPr>
        <w:t>420</w:t>
      </w:r>
      <w:r>
        <w:rPr>
          <w:color w:val="0562C1"/>
          <w:spacing w:val="-1135"/>
          <w:position w:val="21"/>
          <w:u w:val="single" w:color="0562C1"/>
        </w:rPr>
        <w:t>]</w:t>
      </w:r>
      <w:r>
        <w:rPr>
          <w:spacing w:val="-3"/>
        </w:rPr>
        <w:t>(</w:t>
      </w:r>
      <w:r>
        <w:rPr>
          <w:spacing w:val="-2"/>
        </w:rPr>
        <w:t>A</w:t>
      </w:r>
      <w:r>
        <w:tab/>
        <w:t>Suppose that God thwarted every would-be Hitler and Stalin. Suppose, in other words, that God always saved us from ourselves at the moment of truth. In that case, we’d be in a state of perpetual infancy—we’d never have to learn to manage our own affairs. God doesn’t abridge the free will of Hitler and Stalin because, were he to do so, he’d be running the show, instead of giving us a chance to demonstrate and develop our characters by running the show for ourselves.</w:t>
      </w:r>
    </w:p>
    <w:p w14:paraId="7E0027A2" w14:textId="77777777" w:rsidR="009A58DB" w:rsidRDefault="009A58DB">
      <w:pPr>
        <w:pStyle w:val="BodyText"/>
        <w:spacing w:before="23"/>
        <w:ind w:left="0"/>
        <w:jc w:val="left"/>
      </w:pPr>
    </w:p>
    <w:p w14:paraId="7E0027A3" w14:textId="77777777" w:rsidR="009A58DB" w:rsidRDefault="00000000">
      <w:pPr>
        <w:pStyle w:val="BodyText"/>
        <w:spacing w:line="249" w:lineRule="auto"/>
        <w:ind w:right="370"/>
      </w:pPr>
      <w:r>
        <w:t>Whatever its merits, there is a very obvious problem with AF, which we’ll now discuss.</w:t>
      </w:r>
    </w:p>
    <w:p w14:paraId="7E0027A4" w14:textId="77777777" w:rsidR="009A58DB" w:rsidRDefault="00000000">
      <w:pPr>
        <w:pStyle w:val="Heading1"/>
        <w:numPr>
          <w:ilvl w:val="2"/>
          <w:numId w:val="47"/>
        </w:numPr>
        <w:tabs>
          <w:tab w:val="left" w:pos="1305"/>
        </w:tabs>
        <w:spacing w:before="191"/>
        <w:ind w:left="1305" w:hanging="945"/>
      </w:pPr>
      <w:r>
        <w:t>Third</w:t>
      </w:r>
      <w:r>
        <w:rPr>
          <w:spacing w:val="-6"/>
        </w:rPr>
        <w:t xml:space="preserve"> </w:t>
      </w:r>
      <w:r>
        <w:t>problem:</w:t>
      </w:r>
      <w:r>
        <w:rPr>
          <w:spacing w:val="-4"/>
        </w:rPr>
        <w:t xml:space="preserve"> </w:t>
      </w:r>
      <w:r>
        <w:t>not</w:t>
      </w:r>
      <w:r>
        <w:rPr>
          <w:spacing w:val="-4"/>
        </w:rPr>
        <w:t xml:space="preserve"> </w:t>
      </w:r>
      <w:r>
        <w:t>all</w:t>
      </w:r>
      <w:r>
        <w:rPr>
          <w:spacing w:val="-3"/>
        </w:rPr>
        <w:t xml:space="preserve"> </w:t>
      </w:r>
      <w:r>
        <w:t>badness</w:t>
      </w:r>
      <w:r>
        <w:rPr>
          <w:spacing w:val="-4"/>
        </w:rPr>
        <w:t xml:space="preserve"> </w:t>
      </w:r>
      <w:r>
        <w:t>is</w:t>
      </w:r>
      <w:r>
        <w:rPr>
          <w:spacing w:val="-4"/>
        </w:rPr>
        <w:t xml:space="preserve"> </w:t>
      </w:r>
      <w:r>
        <w:t>our</w:t>
      </w:r>
      <w:r>
        <w:rPr>
          <w:spacing w:val="-3"/>
        </w:rPr>
        <w:t xml:space="preserve"> </w:t>
      </w:r>
      <w:r>
        <w:rPr>
          <w:spacing w:val="-2"/>
        </w:rPr>
        <w:t>doing</w:t>
      </w:r>
    </w:p>
    <w:p w14:paraId="7E0027A5" w14:textId="77777777" w:rsidR="009A58DB" w:rsidRDefault="009A58DB">
      <w:pPr>
        <w:pStyle w:val="Heading1"/>
        <w:sectPr w:rsidR="009A58DB">
          <w:pgSz w:w="12240" w:h="15840"/>
          <w:pgMar w:top="1380" w:right="1080" w:bottom="280" w:left="1080" w:header="720" w:footer="720" w:gutter="0"/>
          <w:cols w:space="720"/>
        </w:sectPr>
      </w:pPr>
    </w:p>
    <w:p w14:paraId="7E0027A6" w14:textId="77777777" w:rsidR="009A58DB" w:rsidRDefault="00000000">
      <w:pPr>
        <w:pStyle w:val="BodyText"/>
        <w:spacing w:before="65" w:line="249" w:lineRule="auto"/>
        <w:ind w:right="360"/>
      </w:pPr>
      <w:r>
        <w:lastRenderedPageBreak/>
        <w:t>The</w:t>
      </w:r>
      <w:r>
        <w:rPr>
          <w:spacing w:val="-2"/>
        </w:rPr>
        <w:t xml:space="preserve"> </w:t>
      </w:r>
      <w:r>
        <w:t>third</w:t>
      </w:r>
      <w:r>
        <w:rPr>
          <w:spacing w:val="-2"/>
        </w:rPr>
        <w:t xml:space="preserve"> </w:t>
      </w:r>
      <w:r>
        <w:t>problem</w:t>
      </w:r>
      <w:r>
        <w:rPr>
          <w:spacing w:val="-2"/>
        </w:rPr>
        <w:t xml:space="preserve"> </w:t>
      </w:r>
      <w:r>
        <w:t>is</w:t>
      </w:r>
      <w:r>
        <w:rPr>
          <w:spacing w:val="-2"/>
        </w:rPr>
        <w:t xml:space="preserve"> </w:t>
      </w:r>
      <w:r>
        <w:t>not</w:t>
      </w:r>
      <w:r>
        <w:rPr>
          <w:spacing w:val="-2"/>
        </w:rPr>
        <w:t xml:space="preserve"> </w:t>
      </w:r>
      <w:r>
        <w:t>all</w:t>
      </w:r>
      <w:r>
        <w:rPr>
          <w:spacing w:val="-2"/>
        </w:rPr>
        <w:t xml:space="preserve"> </w:t>
      </w:r>
      <w:r>
        <w:t>badness</w:t>
      </w:r>
      <w:r>
        <w:rPr>
          <w:spacing w:val="-2"/>
        </w:rPr>
        <w:t xml:space="preserve"> </w:t>
      </w:r>
      <w:r>
        <w:t>results</w:t>
      </w:r>
      <w:r>
        <w:rPr>
          <w:spacing w:val="-2"/>
        </w:rPr>
        <w:t xml:space="preserve"> </w:t>
      </w:r>
      <w:r>
        <w:t>from</w:t>
      </w:r>
      <w:r>
        <w:rPr>
          <w:spacing w:val="-2"/>
        </w:rPr>
        <w:t xml:space="preserve"> </w:t>
      </w:r>
      <w:r>
        <w:rPr>
          <w:i/>
        </w:rPr>
        <w:t>human</w:t>
      </w:r>
      <w:r>
        <w:rPr>
          <w:i/>
          <w:spacing w:val="-3"/>
        </w:rPr>
        <w:t xml:space="preserve"> </w:t>
      </w:r>
      <w:r>
        <w:t>activity or, therefore, from the exercise of free will. There are diseases, floods, earthquakes, etc. The Free-Will defense has nothing to say about these, since it isn’t our free will that causes these bad things to happen. So couldn’t God spare us these horrors? And wouldn’t he do so if he really were all-good, all-powerful, and all-knowing? The response to this question lies in:</w:t>
      </w:r>
    </w:p>
    <w:p w14:paraId="7E0027A7" w14:textId="77777777" w:rsidR="009A58DB" w:rsidRDefault="00000000">
      <w:pPr>
        <w:pStyle w:val="Heading1"/>
        <w:numPr>
          <w:ilvl w:val="1"/>
          <w:numId w:val="47"/>
        </w:numPr>
        <w:tabs>
          <w:tab w:val="left" w:pos="990"/>
        </w:tabs>
        <w:spacing w:before="195"/>
      </w:pPr>
      <w:r>
        <w:t>Theodicy</w:t>
      </w:r>
      <w:r>
        <w:rPr>
          <w:spacing w:val="-6"/>
        </w:rPr>
        <w:t xml:space="preserve"> </w:t>
      </w:r>
      <w:r>
        <w:t>#2—the</w:t>
      </w:r>
      <w:r>
        <w:rPr>
          <w:spacing w:val="-3"/>
        </w:rPr>
        <w:t xml:space="preserve"> </w:t>
      </w:r>
      <w:r>
        <w:t>no</w:t>
      </w:r>
      <w:r>
        <w:rPr>
          <w:spacing w:val="-3"/>
        </w:rPr>
        <w:t xml:space="preserve"> </w:t>
      </w:r>
      <w:r>
        <w:t>pain/no</w:t>
      </w:r>
      <w:r>
        <w:rPr>
          <w:spacing w:val="-4"/>
        </w:rPr>
        <w:t xml:space="preserve"> </w:t>
      </w:r>
      <w:r>
        <w:t>gain</w:t>
      </w:r>
      <w:r>
        <w:rPr>
          <w:spacing w:val="-3"/>
        </w:rPr>
        <w:t xml:space="preserve"> </w:t>
      </w:r>
      <w:r>
        <w:rPr>
          <w:spacing w:val="-2"/>
        </w:rPr>
        <w:t>defense</w:t>
      </w:r>
    </w:p>
    <w:p w14:paraId="7E0027A8" w14:textId="77777777" w:rsidR="009A58DB" w:rsidRDefault="00000000">
      <w:pPr>
        <w:pStyle w:val="BodyText"/>
        <w:spacing w:before="139" w:line="249" w:lineRule="auto"/>
        <w:ind w:right="358"/>
      </w:pPr>
      <w:r>
        <w:t>Suppose that every time a disaster was about</w:t>
      </w:r>
      <w:r>
        <w:rPr>
          <w:spacing w:val="-1"/>
        </w:rPr>
        <w:t xml:space="preserve"> </w:t>
      </w:r>
      <w:r>
        <w:t>to strike, God stepped in. In that case,</w:t>
      </w:r>
      <w:r>
        <w:rPr>
          <w:spacing w:val="-3"/>
        </w:rPr>
        <w:t xml:space="preserve"> </w:t>
      </w:r>
      <w:r>
        <w:t>life</w:t>
      </w:r>
      <w:r>
        <w:rPr>
          <w:spacing w:val="-2"/>
        </w:rPr>
        <w:t xml:space="preserve"> </w:t>
      </w:r>
      <w:r>
        <w:t>would</w:t>
      </w:r>
      <w:r>
        <w:rPr>
          <w:spacing w:val="-3"/>
        </w:rPr>
        <w:t xml:space="preserve"> </w:t>
      </w:r>
      <w:r>
        <w:t>be</w:t>
      </w:r>
      <w:r>
        <w:rPr>
          <w:spacing w:val="-2"/>
        </w:rPr>
        <w:t xml:space="preserve"> </w:t>
      </w:r>
      <w:r>
        <w:t>a</w:t>
      </w:r>
      <w:r>
        <w:rPr>
          <w:spacing w:val="-3"/>
        </w:rPr>
        <w:t xml:space="preserve"> </w:t>
      </w:r>
      <w:r>
        <w:t>big</w:t>
      </w:r>
      <w:r>
        <w:rPr>
          <w:spacing w:val="-2"/>
        </w:rPr>
        <w:t xml:space="preserve"> </w:t>
      </w:r>
      <w:r>
        <w:t>cakewalk,</w:t>
      </w:r>
      <w:r>
        <w:rPr>
          <w:spacing w:val="-2"/>
        </w:rPr>
        <w:t xml:space="preserve"> </w:t>
      </w:r>
      <w:r>
        <w:t>and</w:t>
      </w:r>
      <w:r>
        <w:rPr>
          <w:spacing w:val="-3"/>
        </w:rPr>
        <w:t xml:space="preserve"> </w:t>
      </w:r>
      <w:r>
        <w:t>we,</w:t>
      </w:r>
      <w:r>
        <w:rPr>
          <w:spacing w:val="-2"/>
        </w:rPr>
        <w:t xml:space="preserve"> </w:t>
      </w:r>
      <w:r>
        <w:t>as</w:t>
      </w:r>
      <w:r>
        <w:rPr>
          <w:spacing w:val="-3"/>
        </w:rPr>
        <w:t xml:space="preserve"> </w:t>
      </w:r>
      <w:r>
        <w:t>a</w:t>
      </w:r>
      <w:r>
        <w:rPr>
          <w:spacing w:val="-2"/>
        </w:rPr>
        <w:t xml:space="preserve"> </w:t>
      </w:r>
      <w:r>
        <w:t>species,</w:t>
      </w:r>
      <w:r>
        <w:rPr>
          <w:spacing w:val="-3"/>
        </w:rPr>
        <w:t xml:space="preserve"> </w:t>
      </w:r>
      <w:r>
        <w:t>would</w:t>
      </w:r>
      <w:r>
        <w:rPr>
          <w:spacing w:val="-2"/>
        </w:rPr>
        <w:t xml:space="preserve"> </w:t>
      </w:r>
      <w:r>
        <w:t>never</w:t>
      </w:r>
      <w:r>
        <w:rPr>
          <w:spacing w:val="-2"/>
        </w:rPr>
        <w:t xml:space="preserve"> </w:t>
      </w:r>
      <w:r>
        <w:t>develop any character. We’d have it too easy. Our ingenuity and fortitude would</w:t>
      </w:r>
      <w:r>
        <w:rPr>
          <w:spacing w:val="40"/>
        </w:rPr>
        <w:t xml:space="preserve"> </w:t>
      </w:r>
      <w:r>
        <w:t xml:space="preserve">never be put to the test. We’d be deprived of a chance to prove and </w:t>
      </w:r>
      <w:r>
        <w:rPr>
          <w:i/>
        </w:rPr>
        <w:t>im</w:t>
      </w:r>
      <w:r>
        <w:t>prove ourselves, which would strip life of much of its meaning.</w:t>
      </w:r>
    </w:p>
    <w:p w14:paraId="7E0027A9" w14:textId="77777777" w:rsidR="009A58DB" w:rsidRDefault="00000000">
      <w:pPr>
        <w:pStyle w:val="BodyText"/>
        <w:spacing w:before="6" w:line="249" w:lineRule="auto"/>
        <w:ind w:right="368" w:firstLine="360"/>
      </w:pPr>
      <w:r>
        <w:t>If life were easy, it wouldn’t be a challenge; if it weren’t a challenge, it wouldn’t be meaningful.</w:t>
      </w:r>
    </w:p>
    <w:p w14:paraId="7E0027AA" w14:textId="77777777" w:rsidR="009A58DB" w:rsidRDefault="009A58DB">
      <w:pPr>
        <w:pStyle w:val="BodyText"/>
        <w:spacing w:before="17"/>
        <w:ind w:left="0"/>
        <w:jc w:val="left"/>
      </w:pPr>
    </w:p>
    <w:p w14:paraId="7E0027AB" w14:textId="77777777" w:rsidR="009A58DB" w:rsidRDefault="00000000">
      <w:pPr>
        <w:pStyle w:val="BodyText"/>
        <w:spacing w:before="1" w:line="249" w:lineRule="auto"/>
        <w:ind w:right="361" w:firstLine="360"/>
      </w:pPr>
      <w:r>
        <w:t>A certain amount of strife enriches life. But too much impoverishes it. There’s too much strife for this theodicy to work. That’s my position, anyway. Others disagree.</w:t>
      </w:r>
    </w:p>
    <w:p w14:paraId="7E0027AC" w14:textId="77777777" w:rsidR="009A58DB" w:rsidRDefault="00000000">
      <w:pPr>
        <w:pStyle w:val="Heading1"/>
        <w:numPr>
          <w:ilvl w:val="1"/>
          <w:numId w:val="45"/>
        </w:numPr>
        <w:tabs>
          <w:tab w:val="left" w:pos="990"/>
        </w:tabs>
        <w:spacing w:before="206"/>
      </w:pPr>
      <w:r>
        <w:t>Can</w:t>
      </w:r>
      <w:r>
        <w:rPr>
          <w:spacing w:val="-3"/>
        </w:rPr>
        <w:t xml:space="preserve"> </w:t>
      </w:r>
      <w:r>
        <w:t>God</w:t>
      </w:r>
      <w:r>
        <w:rPr>
          <w:spacing w:val="-2"/>
        </w:rPr>
        <w:t xml:space="preserve"> </w:t>
      </w:r>
      <w:r>
        <w:t>do</w:t>
      </w:r>
      <w:r>
        <w:rPr>
          <w:spacing w:val="-1"/>
        </w:rPr>
        <w:t xml:space="preserve"> </w:t>
      </w:r>
      <w:r>
        <w:t>the</w:t>
      </w:r>
      <w:r>
        <w:rPr>
          <w:spacing w:val="-2"/>
        </w:rPr>
        <w:t xml:space="preserve"> impossible?</w:t>
      </w:r>
    </w:p>
    <w:p w14:paraId="7E0027AD" w14:textId="77777777" w:rsidR="009A58DB" w:rsidRDefault="00000000">
      <w:pPr>
        <w:pStyle w:val="BodyText"/>
        <w:spacing w:before="139" w:line="249" w:lineRule="auto"/>
        <w:ind w:right="361"/>
      </w:pPr>
      <w:r>
        <w:t>Even if, as we’ll assume in this section, God exists and is omnipotent, He is unable to make 1 + 1 = 3.</w:t>
      </w:r>
    </w:p>
    <w:p w14:paraId="7E0027AE" w14:textId="77777777" w:rsidR="009A58DB" w:rsidRDefault="00000000">
      <w:pPr>
        <w:pStyle w:val="BodyText"/>
        <w:spacing w:before="3" w:line="249" w:lineRule="auto"/>
        <w:ind w:right="362" w:firstLine="360"/>
      </w:pPr>
      <w:r>
        <w:t xml:space="preserve">For something to be impossible is not for it to be very hard to do: it is for the very idea of doing that thing to be an </w:t>
      </w:r>
      <w:r>
        <w:rPr>
          <w:i/>
        </w:rPr>
        <w:t>incoherent</w:t>
      </w:r>
      <w:r>
        <w:rPr>
          <w:i/>
          <w:spacing w:val="-3"/>
        </w:rPr>
        <w:t xml:space="preserve"> </w:t>
      </w:r>
      <w:r>
        <w:t xml:space="preserve">one. It is, in other words, for there to be no such thing as doing that thing. Something is impossible just in case nothing would </w:t>
      </w:r>
      <w:r>
        <w:rPr>
          <w:i/>
        </w:rPr>
        <w:t xml:space="preserve">count </w:t>
      </w:r>
      <w:r>
        <w:t>as doing it—just in case, in other words, no meaningful statement that would describe the occurrence of that thing.</w:t>
      </w:r>
    </w:p>
    <w:p w14:paraId="7E0027AF" w14:textId="77777777" w:rsidR="009A58DB" w:rsidRDefault="00000000">
      <w:pPr>
        <w:pStyle w:val="BodyText"/>
        <w:spacing w:before="6" w:line="249" w:lineRule="auto"/>
        <w:ind w:right="358" w:firstLine="360"/>
      </w:pPr>
      <w:r>
        <w:t>Nobody can read a thousand-page book in two seconds. But there is some sense in which it would be possible, albeit very hard, to do so. The reason it</w:t>
      </w:r>
      <w:r>
        <w:rPr>
          <w:spacing w:val="40"/>
        </w:rPr>
        <w:t xml:space="preserve"> </w:t>
      </w:r>
      <w:r>
        <w:t xml:space="preserve">is possible to read such a large book in so little time is that the idea of doing so is not </w:t>
      </w:r>
      <w:r>
        <w:rPr>
          <w:i/>
        </w:rPr>
        <w:t>incoherent.</w:t>
      </w:r>
      <w:r>
        <w:rPr>
          <w:i/>
          <w:spacing w:val="-2"/>
        </w:rPr>
        <w:t xml:space="preserve"> </w:t>
      </w:r>
      <w:r>
        <w:t>We know what it is to read a long book in (e.g.) a week. On that basis, we know what it would be to read such a book in a day or an hour or even a second. So, even though nobody can read a thousand-page book</w:t>
      </w:r>
      <w:r>
        <w:rPr>
          <w:spacing w:val="26"/>
        </w:rPr>
        <w:t xml:space="preserve"> </w:t>
      </w:r>
      <w:r>
        <w:t>in</w:t>
      </w:r>
      <w:r>
        <w:rPr>
          <w:spacing w:val="29"/>
        </w:rPr>
        <w:t xml:space="preserve"> </w:t>
      </w:r>
      <w:r>
        <w:t>two</w:t>
      </w:r>
      <w:r>
        <w:rPr>
          <w:spacing w:val="28"/>
        </w:rPr>
        <w:t xml:space="preserve"> </w:t>
      </w:r>
      <w:r>
        <w:t>seconds,</w:t>
      </w:r>
      <w:r>
        <w:rPr>
          <w:spacing w:val="29"/>
        </w:rPr>
        <w:t xml:space="preserve"> </w:t>
      </w:r>
      <w:r>
        <w:t>the</w:t>
      </w:r>
      <w:r>
        <w:rPr>
          <w:spacing w:val="28"/>
        </w:rPr>
        <w:t xml:space="preserve"> </w:t>
      </w:r>
      <w:r>
        <w:rPr>
          <w:i/>
        </w:rPr>
        <w:t>idea</w:t>
      </w:r>
      <w:r>
        <w:rPr>
          <w:i/>
          <w:spacing w:val="28"/>
        </w:rPr>
        <w:t xml:space="preserve"> </w:t>
      </w:r>
      <w:r>
        <w:t>of</w:t>
      </w:r>
      <w:r>
        <w:rPr>
          <w:spacing w:val="31"/>
        </w:rPr>
        <w:t xml:space="preserve"> </w:t>
      </w:r>
      <w:r>
        <w:t>somebody’s</w:t>
      </w:r>
      <w:r>
        <w:rPr>
          <w:spacing w:val="30"/>
        </w:rPr>
        <w:t xml:space="preserve"> </w:t>
      </w:r>
      <w:r>
        <w:t>doing</w:t>
      </w:r>
      <w:r>
        <w:rPr>
          <w:spacing w:val="31"/>
        </w:rPr>
        <w:t xml:space="preserve"> </w:t>
      </w:r>
      <w:r>
        <w:t>so</w:t>
      </w:r>
      <w:r>
        <w:rPr>
          <w:spacing w:val="31"/>
        </w:rPr>
        <w:t xml:space="preserve"> </w:t>
      </w:r>
      <w:r>
        <w:t>is</w:t>
      </w:r>
      <w:r>
        <w:rPr>
          <w:spacing w:val="30"/>
        </w:rPr>
        <w:t xml:space="preserve"> </w:t>
      </w:r>
      <w:r>
        <w:t>not</w:t>
      </w:r>
      <w:r>
        <w:rPr>
          <w:spacing w:val="30"/>
        </w:rPr>
        <w:t xml:space="preserve"> </w:t>
      </w:r>
      <w:r>
        <w:t>an</w:t>
      </w:r>
      <w:r>
        <w:rPr>
          <w:spacing w:val="31"/>
        </w:rPr>
        <w:t xml:space="preserve"> </w:t>
      </w:r>
      <w:r>
        <w:rPr>
          <w:spacing w:val="-2"/>
        </w:rPr>
        <w:t>incoherent</w:t>
      </w:r>
    </w:p>
    <w:p w14:paraId="7E0027B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B1" w14:textId="77777777" w:rsidR="009A58DB" w:rsidRDefault="00000000">
      <w:pPr>
        <w:pStyle w:val="BodyText"/>
        <w:spacing w:before="70" w:line="249" w:lineRule="auto"/>
        <w:ind w:right="358"/>
      </w:pPr>
      <w:r>
        <w:lastRenderedPageBreak/>
        <w:t xml:space="preserve">one; and that is why somebody’s doing so is possible. (Of course, to say that it is possible is not to say that it is </w:t>
      </w:r>
      <w:r>
        <w:rPr>
          <w:i/>
        </w:rPr>
        <w:t>practically</w:t>
      </w:r>
      <w:r>
        <w:rPr>
          <w:i/>
          <w:spacing w:val="-3"/>
        </w:rPr>
        <w:t xml:space="preserve"> </w:t>
      </w:r>
      <w:r>
        <w:t xml:space="preserve">possible. It is only to say that it is </w:t>
      </w:r>
      <w:r>
        <w:rPr>
          <w:i/>
        </w:rPr>
        <w:t xml:space="preserve">logically </w:t>
      </w:r>
      <w:r>
        <w:t>possible.)</w:t>
      </w:r>
    </w:p>
    <w:p w14:paraId="7E0027B2" w14:textId="77777777" w:rsidR="009A58DB" w:rsidRDefault="00000000">
      <w:pPr>
        <w:pStyle w:val="BodyText"/>
        <w:spacing w:line="249" w:lineRule="auto"/>
        <w:ind w:right="358" w:firstLine="360"/>
      </w:pPr>
      <w:r>
        <w:t xml:space="preserve">By contrast, it seems impossible—not just practically, but logically—that something should preexist itself. It seems impossible, in other words, that something should come into existence before it comes into existence or, if it is an event, that it should occur before it occurs. What is the difference between somebody’s reading a thousand-page book in two seconds and an event’s occurring before it occurs? Why is the one possible and the other </w:t>
      </w:r>
      <w:r>
        <w:rPr>
          <w:spacing w:val="-2"/>
        </w:rPr>
        <w:t>impossible?</w:t>
      </w:r>
    </w:p>
    <w:p w14:paraId="7E0027B3" w14:textId="77777777" w:rsidR="009A58DB" w:rsidRDefault="00000000">
      <w:pPr>
        <w:pStyle w:val="Heading1"/>
        <w:numPr>
          <w:ilvl w:val="1"/>
          <w:numId w:val="45"/>
        </w:numPr>
        <w:tabs>
          <w:tab w:val="left" w:pos="1427"/>
        </w:tabs>
        <w:spacing w:before="195" w:line="244" w:lineRule="auto"/>
        <w:ind w:left="360" w:right="367" w:firstLine="0"/>
        <w:jc w:val="both"/>
      </w:pPr>
      <w:r>
        <w:t>Impossibilities are expressed by self-undermining statements and,</w:t>
      </w:r>
      <w:r>
        <w:rPr>
          <w:spacing w:val="80"/>
        </w:rPr>
        <w:t xml:space="preserve"> </w:t>
      </w:r>
      <w:r>
        <w:t>therefore, by non-</w:t>
      </w:r>
      <w:r>
        <w:rPr>
          <w:spacing w:val="-2"/>
        </w:rPr>
        <w:t>statements</w:t>
      </w:r>
    </w:p>
    <w:p w14:paraId="7E0027B4" w14:textId="77777777" w:rsidR="009A58DB" w:rsidRDefault="00000000">
      <w:pPr>
        <w:pStyle w:val="BodyText"/>
        <w:spacing w:before="134"/>
        <w:jc w:val="left"/>
      </w:pPr>
      <w:r>
        <w:t>The</w:t>
      </w:r>
      <w:r>
        <w:rPr>
          <w:spacing w:val="-5"/>
        </w:rPr>
        <w:t xml:space="preserve"> </w:t>
      </w:r>
      <w:r>
        <w:t>answer</w:t>
      </w:r>
      <w:r>
        <w:rPr>
          <w:spacing w:val="-2"/>
        </w:rPr>
        <w:t xml:space="preserve"> </w:t>
      </w:r>
      <w:r>
        <w:t>is</w:t>
      </w:r>
      <w:r>
        <w:rPr>
          <w:spacing w:val="-3"/>
        </w:rPr>
        <w:t xml:space="preserve"> </w:t>
      </w:r>
      <w:r>
        <w:t>not</w:t>
      </w:r>
      <w:r>
        <w:rPr>
          <w:spacing w:val="-2"/>
        </w:rPr>
        <w:t xml:space="preserve"> </w:t>
      </w:r>
      <w:r>
        <w:t>hard</w:t>
      </w:r>
      <w:r>
        <w:rPr>
          <w:spacing w:val="-2"/>
        </w:rPr>
        <w:t xml:space="preserve"> </w:t>
      </w:r>
      <w:r>
        <w:t>to</w:t>
      </w:r>
      <w:r>
        <w:rPr>
          <w:spacing w:val="-1"/>
        </w:rPr>
        <w:t xml:space="preserve"> </w:t>
      </w:r>
      <w:r>
        <w:t>find.</w:t>
      </w:r>
      <w:r>
        <w:rPr>
          <w:spacing w:val="-2"/>
        </w:rPr>
        <w:t xml:space="preserve"> </w:t>
      </w:r>
      <w:r>
        <w:t>The</w:t>
      </w:r>
      <w:r>
        <w:rPr>
          <w:spacing w:val="-2"/>
        </w:rPr>
        <w:t xml:space="preserve"> statement:</w:t>
      </w:r>
    </w:p>
    <w:p w14:paraId="7E0027B5" w14:textId="77777777" w:rsidR="009A58DB" w:rsidRDefault="009A58DB">
      <w:pPr>
        <w:pStyle w:val="BodyText"/>
        <w:spacing w:before="30"/>
        <w:ind w:left="0"/>
        <w:jc w:val="left"/>
      </w:pPr>
    </w:p>
    <w:p w14:paraId="7E0027B6" w14:textId="77777777" w:rsidR="009A58DB" w:rsidRDefault="00000000">
      <w:pPr>
        <w:pStyle w:val="BodyText"/>
        <w:jc w:val="left"/>
      </w:pPr>
      <w:r>
        <w:t>(PE)</w:t>
      </w:r>
      <w:r>
        <w:rPr>
          <w:spacing w:val="-4"/>
        </w:rPr>
        <w:t xml:space="preserve"> </w:t>
      </w:r>
      <w:r>
        <w:t>X</w:t>
      </w:r>
      <w:r>
        <w:rPr>
          <w:spacing w:val="-4"/>
        </w:rPr>
        <w:t xml:space="preserve"> </w:t>
      </w:r>
      <w:r>
        <w:t>preexists</w:t>
      </w:r>
      <w:r>
        <w:rPr>
          <w:spacing w:val="-4"/>
        </w:rPr>
        <w:t xml:space="preserve"> </w:t>
      </w:r>
      <w:r>
        <w:rPr>
          <w:spacing w:val="-2"/>
        </w:rPr>
        <w:t>itself</w:t>
      </w:r>
    </w:p>
    <w:p w14:paraId="7E0027B7" w14:textId="77777777" w:rsidR="009A58DB" w:rsidRDefault="009A58DB">
      <w:pPr>
        <w:pStyle w:val="BodyText"/>
        <w:spacing w:before="30"/>
        <w:ind w:left="0"/>
        <w:jc w:val="left"/>
      </w:pPr>
    </w:p>
    <w:p w14:paraId="7E0027B8" w14:textId="77777777" w:rsidR="009A58DB" w:rsidRDefault="00000000">
      <w:pPr>
        <w:pStyle w:val="BodyText"/>
        <w:spacing w:line="249" w:lineRule="auto"/>
        <w:ind w:right="360" w:firstLine="360"/>
      </w:pPr>
      <w:r>
        <w:t>denies the very thing that it affirms. It says (1) that, for some time t, X began</w:t>
      </w:r>
      <w:r>
        <w:rPr>
          <w:spacing w:val="-1"/>
        </w:rPr>
        <w:t xml:space="preserve"> </w:t>
      </w:r>
      <w:r>
        <w:t>to</w:t>
      </w:r>
      <w:r>
        <w:rPr>
          <w:spacing w:val="-1"/>
        </w:rPr>
        <w:t xml:space="preserve"> </w:t>
      </w:r>
      <w:r>
        <w:t>exist</w:t>
      </w:r>
      <w:r>
        <w:rPr>
          <w:spacing w:val="-1"/>
        </w:rPr>
        <w:t xml:space="preserve"> </w:t>
      </w:r>
      <w:r>
        <w:t>at</w:t>
      </w:r>
      <w:r>
        <w:rPr>
          <w:spacing w:val="-1"/>
        </w:rPr>
        <w:t xml:space="preserve"> </w:t>
      </w:r>
      <w:r>
        <w:t>t</w:t>
      </w:r>
      <w:r>
        <w:rPr>
          <w:spacing w:val="-1"/>
        </w:rPr>
        <w:t xml:space="preserve"> </w:t>
      </w:r>
      <w:r>
        <w:t>and</w:t>
      </w:r>
      <w:r>
        <w:rPr>
          <w:spacing w:val="-1"/>
        </w:rPr>
        <w:t xml:space="preserve"> </w:t>
      </w:r>
      <w:r>
        <w:t>(2)</w:t>
      </w:r>
      <w:r>
        <w:rPr>
          <w:spacing w:val="-1"/>
        </w:rPr>
        <w:t xml:space="preserve"> </w:t>
      </w:r>
      <w:r>
        <w:t>that,</w:t>
      </w:r>
      <w:r>
        <w:rPr>
          <w:spacing w:val="-1"/>
        </w:rPr>
        <w:t xml:space="preserve"> </w:t>
      </w:r>
      <w:r>
        <w:t>for</w:t>
      </w:r>
      <w:r>
        <w:rPr>
          <w:spacing w:val="-1"/>
        </w:rPr>
        <w:t xml:space="preserve"> </w:t>
      </w:r>
      <w:r>
        <w:t>some</w:t>
      </w:r>
      <w:r>
        <w:rPr>
          <w:spacing w:val="-1"/>
        </w:rPr>
        <w:t xml:space="preserve"> </w:t>
      </w:r>
      <w:r>
        <w:t>earlier</w:t>
      </w:r>
      <w:r>
        <w:rPr>
          <w:spacing w:val="-1"/>
        </w:rPr>
        <w:t xml:space="preserve"> </w:t>
      </w:r>
      <w:r>
        <w:t>time</w:t>
      </w:r>
      <w:r>
        <w:rPr>
          <w:spacing w:val="-1"/>
        </w:rPr>
        <w:t xml:space="preserve"> </w:t>
      </w:r>
      <w:r>
        <w:t>t*,</w:t>
      </w:r>
      <w:r>
        <w:rPr>
          <w:spacing w:val="-1"/>
        </w:rPr>
        <w:t xml:space="preserve"> </w:t>
      </w:r>
      <w:r>
        <w:t>X</w:t>
      </w:r>
      <w:r>
        <w:rPr>
          <w:spacing w:val="-1"/>
        </w:rPr>
        <w:t xml:space="preserve"> </w:t>
      </w:r>
      <w:r>
        <w:t>began</w:t>
      </w:r>
      <w:r>
        <w:rPr>
          <w:spacing w:val="-1"/>
        </w:rPr>
        <w:t xml:space="preserve"> </w:t>
      </w:r>
      <w:r>
        <w:t>to</w:t>
      </w:r>
      <w:r>
        <w:rPr>
          <w:spacing w:val="-1"/>
        </w:rPr>
        <w:t xml:space="preserve"> </w:t>
      </w:r>
      <w:r>
        <w:t>exist</w:t>
      </w:r>
      <w:r>
        <w:rPr>
          <w:spacing w:val="-1"/>
        </w:rPr>
        <w:t xml:space="preserve"> </w:t>
      </w:r>
      <w:r>
        <w:t>at</w:t>
      </w:r>
      <w:r>
        <w:rPr>
          <w:spacing w:val="-1"/>
        </w:rPr>
        <w:t xml:space="preserve"> </w:t>
      </w:r>
      <w:r>
        <w:t xml:space="preserve">t*. In saying (2), PE is saying that X did </w:t>
      </w:r>
      <w:r>
        <w:rPr>
          <w:i/>
        </w:rPr>
        <w:t xml:space="preserve">not, </w:t>
      </w:r>
      <w:r>
        <w:t xml:space="preserve">in fact, begin to exist at t. So PE says that X begins to exist at t, and it then says that X does </w:t>
      </w:r>
      <w:r>
        <w:rPr>
          <w:i/>
        </w:rPr>
        <w:t>not</w:t>
      </w:r>
      <w:r>
        <w:rPr>
          <w:i/>
          <w:spacing w:val="-3"/>
        </w:rPr>
        <w:t xml:space="preserve"> </w:t>
      </w:r>
      <w:r>
        <w:t>begin to exist at t. PE therefore says that the very thing (or, in any case, one of the very things) that it says is false.</w:t>
      </w:r>
    </w:p>
    <w:p w14:paraId="7E0027B9" w14:textId="77777777" w:rsidR="009A58DB" w:rsidRDefault="00000000">
      <w:pPr>
        <w:pStyle w:val="BodyText"/>
        <w:spacing w:before="8" w:line="249" w:lineRule="auto"/>
        <w:ind w:right="359" w:firstLine="720"/>
      </w:pPr>
      <w:r>
        <w:t>Thus, the reason why it is impossible that X should preexist itself is</w:t>
      </w:r>
      <w:r>
        <w:rPr>
          <w:spacing w:val="40"/>
        </w:rPr>
        <w:t xml:space="preserve"> </w:t>
      </w:r>
      <w:r>
        <w:t>that the very idea of X’s doing so is self-defeating. To think that X preexists itself is to think (A) that X begins to exist at time t and also (B) that (A) is false.</w:t>
      </w:r>
      <w:r>
        <w:rPr>
          <w:spacing w:val="-3"/>
        </w:rPr>
        <w:t xml:space="preserve"> </w:t>
      </w:r>
      <w:r>
        <w:t>Since</w:t>
      </w:r>
      <w:r>
        <w:rPr>
          <w:spacing w:val="-3"/>
        </w:rPr>
        <w:t xml:space="preserve"> </w:t>
      </w:r>
      <w:r>
        <w:t>such</w:t>
      </w:r>
      <w:r>
        <w:rPr>
          <w:spacing w:val="-3"/>
        </w:rPr>
        <w:t xml:space="preserve"> </w:t>
      </w:r>
      <w:r>
        <w:t>an</w:t>
      </w:r>
      <w:r>
        <w:rPr>
          <w:spacing w:val="-3"/>
        </w:rPr>
        <w:t xml:space="preserve"> </w:t>
      </w:r>
      <w:r>
        <w:t>idea</w:t>
      </w:r>
      <w:r>
        <w:rPr>
          <w:spacing w:val="-3"/>
        </w:rPr>
        <w:t xml:space="preserve"> </w:t>
      </w:r>
      <w:r>
        <w:t>is</w:t>
      </w:r>
      <w:r>
        <w:rPr>
          <w:spacing w:val="-3"/>
        </w:rPr>
        <w:t xml:space="preserve"> </w:t>
      </w:r>
      <w:r>
        <w:t>self-contradictory,</w:t>
      </w:r>
      <w:r>
        <w:rPr>
          <w:spacing w:val="-3"/>
        </w:rPr>
        <w:t xml:space="preserve"> </w:t>
      </w:r>
      <w:r>
        <w:t>it</w:t>
      </w:r>
      <w:r>
        <w:rPr>
          <w:spacing w:val="-3"/>
        </w:rPr>
        <w:t xml:space="preserve"> </w:t>
      </w:r>
      <w:r>
        <w:t>fails</w:t>
      </w:r>
      <w:r>
        <w:rPr>
          <w:spacing w:val="-3"/>
        </w:rPr>
        <w:t xml:space="preserve"> </w:t>
      </w:r>
      <w:r>
        <w:t>to</w:t>
      </w:r>
      <w:r>
        <w:rPr>
          <w:spacing w:val="-3"/>
        </w:rPr>
        <w:t xml:space="preserve"> </w:t>
      </w:r>
      <w:r>
        <w:t>say</w:t>
      </w:r>
      <w:r>
        <w:rPr>
          <w:spacing w:val="-3"/>
        </w:rPr>
        <w:t xml:space="preserve"> </w:t>
      </w:r>
      <w:r>
        <w:rPr>
          <w:i/>
        </w:rPr>
        <w:t>anything</w:t>
      </w:r>
      <w:r>
        <w:rPr>
          <w:i/>
          <w:spacing w:val="-4"/>
        </w:rPr>
        <w:t xml:space="preserve"> </w:t>
      </w:r>
      <w:r>
        <w:t>coherent about reality.</w:t>
      </w:r>
    </w:p>
    <w:p w14:paraId="7E0027BA" w14:textId="77777777" w:rsidR="009A58DB" w:rsidRDefault="00000000">
      <w:pPr>
        <w:pStyle w:val="BodyText"/>
        <w:spacing w:before="6" w:line="249" w:lineRule="auto"/>
        <w:ind w:right="360" w:firstLine="720"/>
      </w:pPr>
      <w:r>
        <w:t>What we just said about the statement “God preexisted himself ” is true of any other statement that describes an impossibility. For example, nothing can be a square and a circle at the same time. Therefore:</w:t>
      </w:r>
    </w:p>
    <w:p w14:paraId="7E0027BB" w14:textId="77777777" w:rsidR="009A58DB" w:rsidRDefault="009A58DB">
      <w:pPr>
        <w:pStyle w:val="BodyText"/>
        <w:spacing w:before="18"/>
        <w:ind w:left="0"/>
        <w:jc w:val="left"/>
      </w:pPr>
    </w:p>
    <w:p w14:paraId="7E0027BC" w14:textId="77777777" w:rsidR="009A58DB" w:rsidRDefault="00000000">
      <w:pPr>
        <w:pStyle w:val="BodyText"/>
        <w:jc w:val="left"/>
      </w:pPr>
      <w:r>
        <w:t>(SC)</w:t>
      </w:r>
      <w:r>
        <w:rPr>
          <w:spacing w:val="-3"/>
        </w:rPr>
        <w:t xml:space="preserve"> </w:t>
      </w:r>
      <w:r>
        <w:t>“X</w:t>
      </w:r>
      <w:r>
        <w:rPr>
          <w:spacing w:val="-3"/>
        </w:rPr>
        <w:t xml:space="preserve"> </w:t>
      </w:r>
      <w:r>
        <w:t>is</w:t>
      </w:r>
      <w:r>
        <w:rPr>
          <w:spacing w:val="-2"/>
        </w:rPr>
        <w:t xml:space="preserve"> </w:t>
      </w:r>
      <w:r>
        <w:t>a</w:t>
      </w:r>
      <w:r>
        <w:rPr>
          <w:spacing w:val="-3"/>
        </w:rPr>
        <w:t xml:space="preserve"> </w:t>
      </w:r>
      <w:r>
        <w:t>square</w:t>
      </w:r>
      <w:r>
        <w:rPr>
          <w:spacing w:val="-2"/>
        </w:rPr>
        <w:t xml:space="preserve"> circle”</w:t>
      </w:r>
    </w:p>
    <w:p w14:paraId="7E0027BD" w14:textId="77777777" w:rsidR="009A58DB" w:rsidRDefault="009A58DB">
      <w:pPr>
        <w:pStyle w:val="BodyText"/>
        <w:jc w:val="left"/>
        <w:sectPr w:rsidR="009A58DB">
          <w:pgSz w:w="12240" w:h="15840"/>
          <w:pgMar w:top="1380" w:right="1080" w:bottom="280" w:left="1080" w:header="720" w:footer="720" w:gutter="0"/>
          <w:cols w:space="720"/>
        </w:sectPr>
      </w:pPr>
    </w:p>
    <w:p w14:paraId="7E0027BE" w14:textId="77777777" w:rsidR="009A58DB" w:rsidRDefault="00000000">
      <w:pPr>
        <w:pStyle w:val="BodyText"/>
        <w:spacing w:before="65"/>
      </w:pPr>
      <w:r>
        <w:lastRenderedPageBreak/>
        <w:t>describes</w:t>
      </w:r>
      <w:r>
        <w:rPr>
          <w:spacing w:val="-5"/>
        </w:rPr>
        <w:t xml:space="preserve"> </w:t>
      </w:r>
      <w:r>
        <w:t>an</w:t>
      </w:r>
      <w:r>
        <w:rPr>
          <w:spacing w:val="-3"/>
        </w:rPr>
        <w:t xml:space="preserve"> </w:t>
      </w:r>
      <w:r>
        <w:rPr>
          <w:spacing w:val="-2"/>
        </w:rPr>
        <w:t>impossibility.</w:t>
      </w:r>
    </w:p>
    <w:p w14:paraId="7E0027BF" w14:textId="77777777" w:rsidR="009A58DB" w:rsidRDefault="00000000">
      <w:pPr>
        <w:pStyle w:val="BodyText"/>
        <w:spacing w:before="15" w:line="249" w:lineRule="auto"/>
        <w:ind w:right="358" w:firstLine="360"/>
      </w:pPr>
      <w:r>
        <w:t xml:space="preserve">But can </w:t>
      </w:r>
      <w:r>
        <w:rPr>
          <w:i/>
        </w:rPr>
        <w:t xml:space="preserve">God </w:t>
      </w:r>
      <w:r>
        <w:t xml:space="preserve">do the impossible? Can </w:t>
      </w:r>
      <w:r>
        <w:rPr>
          <w:i/>
        </w:rPr>
        <w:t xml:space="preserve">God </w:t>
      </w:r>
      <w:r>
        <w:t>create a square circle? I say “no.” And I also say that, even though God cannot create a square circle, this does not show that His powers are in any way limited.</w:t>
      </w:r>
    </w:p>
    <w:p w14:paraId="7E0027C0" w14:textId="77777777" w:rsidR="009A58DB" w:rsidRDefault="00000000">
      <w:pPr>
        <w:pStyle w:val="BodyText"/>
        <w:spacing w:before="3" w:line="249" w:lineRule="auto"/>
        <w:ind w:right="359" w:firstLine="360"/>
      </w:pPr>
      <w:r>
        <w:t xml:space="preserve">Let us look at SC more closely. A square is by definition something that has four straight sides. A circle is by definition something that has no straight sides. So (SC) makes two statements: first, that X has four straight sides; second, that it has </w:t>
      </w:r>
      <w:r>
        <w:rPr>
          <w:i/>
        </w:rPr>
        <w:t xml:space="preserve">no </w:t>
      </w:r>
      <w:r>
        <w:t xml:space="preserve">straight sides (and therefore doesn’t have four straight sides). So SC says that the very statement (or, at any rate, one of the very statements) that it affirms is false. So it affirms a statement and then withdraws it, thus failing to make </w:t>
      </w:r>
      <w:r>
        <w:rPr>
          <w:i/>
        </w:rPr>
        <w:t xml:space="preserve">any </w:t>
      </w:r>
      <w:r>
        <w:t>statement.</w:t>
      </w:r>
    </w:p>
    <w:p w14:paraId="7E0027C1" w14:textId="77777777" w:rsidR="009A58DB" w:rsidRDefault="00000000">
      <w:pPr>
        <w:pStyle w:val="BodyText"/>
        <w:spacing w:before="9" w:line="249" w:lineRule="auto"/>
        <w:ind w:right="359" w:firstLine="360"/>
      </w:pPr>
      <w:r>
        <w:t xml:space="preserve">Thus, when we say that God cannot make SC be true—when we say, in other words, that God cannot create a square circle—there is no coherent statement that we are saying that God cannot make true; and there is, therefore, </w:t>
      </w:r>
      <w:r>
        <w:rPr>
          <w:i/>
        </w:rPr>
        <w:t xml:space="preserve">nothing </w:t>
      </w:r>
      <w:r>
        <w:t>that we are saying that God cannot do. So in saying that God cannot create a square circle, there is no coherent statement that we are negating,</w:t>
      </w:r>
      <w:r>
        <w:rPr>
          <w:spacing w:val="-4"/>
        </w:rPr>
        <w:t xml:space="preserve"> </w:t>
      </w:r>
      <w:r>
        <w:t>and</w:t>
      </w:r>
      <w:r>
        <w:rPr>
          <w:spacing w:val="-4"/>
        </w:rPr>
        <w:t xml:space="preserve"> </w:t>
      </w:r>
      <w:r>
        <w:t>we</w:t>
      </w:r>
      <w:r>
        <w:rPr>
          <w:spacing w:val="-5"/>
        </w:rPr>
        <w:t xml:space="preserve"> </w:t>
      </w:r>
      <w:r>
        <w:t>are</w:t>
      </w:r>
      <w:r>
        <w:rPr>
          <w:spacing w:val="-5"/>
        </w:rPr>
        <w:t xml:space="preserve"> </w:t>
      </w:r>
      <w:r>
        <w:t>therefore</w:t>
      </w:r>
      <w:r>
        <w:rPr>
          <w:spacing w:val="-5"/>
        </w:rPr>
        <w:t xml:space="preserve"> </w:t>
      </w:r>
      <w:r>
        <w:t>not</w:t>
      </w:r>
      <w:r>
        <w:rPr>
          <w:spacing w:val="-5"/>
        </w:rPr>
        <w:t xml:space="preserve"> </w:t>
      </w:r>
      <w:r>
        <w:t>managing</w:t>
      </w:r>
      <w:r>
        <w:rPr>
          <w:spacing w:val="-4"/>
        </w:rPr>
        <w:t xml:space="preserve"> </w:t>
      </w:r>
      <w:r>
        <w:t>to</w:t>
      </w:r>
      <w:r>
        <w:rPr>
          <w:spacing w:val="-4"/>
        </w:rPr>
        <w:t xml:space="preserve"> </w:t>
      </w:r>
      <w:r>
        <w:t>ascribe</w:t>
      </w:r>
      <w:r>
        <w:rPr>
          <w:spacing w:val="-5"/>
        </w:rPr>
        <w:t xml:space="preserve"> </w:t>
      </w:r>
      <w:r>
        <w:t>any</w:t>
      </w:r>
      <w:r>
        <w:rPr>
          <w:spacing w:val="-4"/>
        </w:rPr>
        <w:t xml:space="preserve"> </w:t>
      </w:r>
      <w:r>
        <w:t>genuine</w:t>
      </w:r>
      <w:r>
        <w:rPr>
          <w:spacing w:val="-5"/>
        </w:rPr>
        <w:t xml:space="preserve"> </w:t>
      </w:r>
      <w:r>
        <w:t>limitation to God’s powers.</w:t>
      </w:r>
    </w:p>
    <w:p w14:paraId="7E0027C2" w14:textId="77777777" w:rsidR="009A58DB" w:rsidRDefault="00000000">
      <w:pPr>
        <w:pStyle w:val="Heading1"/>
        <w:numPr>
          <w:ilvl w:val="1"/>
          <w:numId w:val="45"/>
        </w:numPr>
        <w:tabs>
          <w:tab w:val="left" w:pos="1277"/>
          <w:tab w:val="left" w:pos="2370"/>
          <w:tab w:val="left" w:pos="4489"/>
          <w:tab w:val="left" w:pos="6201"/>
          <w:tab w:val="left" w:pos="6842"/>
          <w:tab w:val="left" w:pos="7794"/>
        </w:tabs>
        <w:spacing w:before="197" w:line="244" w:lineRule="auto"/>
        <w:ind w:left="360" w:right="370" w:firstLine="0"/>
      </w:pPr>
      <w:r>
        <w:rPr>
          <w:spacing w:val="-4"/>
        </w:rPr>
        <w:t>The</w:t>
      </w:r>
      <w:r>
        <w:tab/>
      </w:r>
      <w:r>
        <w:rPr>
          <w:spacing w:val="-2"/>
        </w:rPr>
        <w:t>confusion</w:t>
      </w:r>
      <w:r>
        <w:tab/>
      </w:r>
      <w:r>
        <w:rPr>
          <w:spacing w:val="-2"/>
        </w:rPr>
        <w:t>underlying</w:t>
      </w:r>
      <w:r>
        <w:tab/>
      </w:r>
      <w:r>
        <w:rPr>
          <w:spacing w:val="-4"/>
        </w:rPr>
        <w:t>the</w:t>
      </w:r>
      <w:r>
        <w:tab/>
      </w:r>
      <w:r>
        <w:rPr>
          <w:spacing w:val="-2"/>
        </w:rPr>
        <w:t xml:space="preserve">traditional </w:t>
      </w:r>
      <w:r>
        <w:t>conception of what it is to be</w:t>
      </w:r>
      <w:r>
        <w:tab/>
      </w:r>
      <w:r>
        <w:rPr>
          <w:spacing w:val="-2"/>
        </w:rPr>
        <w:t>impossible</w:t>
      </w:r>
    </w:p>
    <w:p w14:paraId="7E0027C3" w14:textId="77777777" w:rsidR="009A58DB" w:rsidRDefault="00000000">
      <w:pPr>
        <w:pStyle w:val="BodyText"/>
        <w:spacing w:before="131"/>
        <w:rPr>
          <w:i/>
        </w:rPr>
      </w:pPr>
      <w:r>
        <w:t>We</w:t>
      </w:r>
      <w:r>
        <w:rPr>
          <w:spacing w:val="39"/>
        </w:rPr>
        <w:t xml:space="preserve"> </w:t>
      </w:r>
      <w:r>
        <w:t>pre-theoretically</w:t>
      </w:r>
      <w:r>
        <w:rPr>
          <w:spacing w:val="42"/>
        </w:rPr>
        <w:t xml:space="preserve"> </w:t>
      </w:r>
      <w:r>
        <w:t>tend</w:t>
      </w:r>
      <w:r>
        <w:rPr>
          <w:spacing w:val="42"/>
        </w:rPr>
        <w:t xml:space="preserve"> </w:t>
      </w:r>
      <w:r>
        <w:t>to</w:t>
      </w:r>
      <w:r>
        <w:rPr>
          <w:spacing w:val="41"/>
        </w:rPr>
        <w:t xml:space="preserve"> </w:t>
      </w:r>
      <w:r>
        <w:t>think</w:t>
      </w:r>
      <w:r>
        <w:rPr>
          <w:spacing w:val="42"/>
        </w:rPr>
        <w:t xml:space="preserve"> </w:t>
      </w:r>
      <w:r>
        <w:t>of</w:t>
      </w:r>
      <w:r>
        <w:rPr>
          <w:spacing w:val="41"/>
        </w:rPr>
        <w:t xml:space="preserve"> </w:t>
      </w:r>
      <w:r>
        <w:t>impossibility</w:t>
      </w:r>
      <w:r>
        <w:rPr>
          <w:spacing w:val="42"/>
        </w:rPr>
        <w:t xml:space="preserve"> </w:t>
      </w:r>
      <w:r>
        <w:t>as</w:t>
      </w:r>
      <w:r>
        <w:rPr>
          <w:spacing w:val="41"/>
        </w:rPr>
        <w:t xml:space="preserve"> </w:t>
      </w:r>
      <w:r>
        <w:t>a</w:t>
      </w:r>
      <w:r>
        <w:rPr>
          <w:spacing w:val="42"/>
        </w:rPr>
        <w:t xml:space="preserve"> </w:t>
      </w:r>
      <w:r>
        <w:t>property</w:t>
      </w:r>
      <w:r>
        <w:rPr>
          <w:spacing w:val="41"/>
        </w:rPr>
        <w:t xml:space="preserve"> </w:t>
      </w:r>
      <w:r>
        <w:t>of</w:t>
      </w:r>
      <w:r>
        <w:rPr>
          <w:spacing w:val="42"/>
        </w:rPr>
        <w:t xml:space="preserve"> </w:t>
      </w:r>
      <w:r>
        <w:rPr>
          <w:i/>
          <w:spacing w:val="-2"/>
        </w:rPr>
        <w:t>things.</w:t>
      </w:r>
    </w:p>
    <w:p w14:paraId="7E0027C4" w14:textId="77777777" w:rsidR="009A58DB" w:rsidRDefault="00000000">
      <w:pPr>
        <w:pStyle w:val="BodyText"/>
        <w:spacing w:before="15"/>
      </w:pPr>
      <w:r>
        <w:t>Consider</w:t>
      </w:r>
      <w:r>
        <w:rPr>
          <w:spacing w:val="-5"/>
        </w:rPr>
        <w:t xml:space="preserve"> </w:t>
      </w:r>
      <w:r>
        <w:t>the</w:t>
      </w:r>
      <w:r>
        <w:rPr>
          <w:spacing w:val="-4"/>
        </w:rPr>
        <w:t xml:space="preserve"> </w:t>
      </w:r>
      <w:r>
        <w:t>following</w:t>
      </w:r>
      <w:r>
        <w:rPr>
          <w:spacing w:val="-3"/>
        </w:rPr>
        <w:t xml:space="preserve"> </w:t>
      </w:r>
      <w:r>
        <w:rPr>
          <w:spacing w:val="-2"/>
        </w:rPr>
        <w:t>statements:</w:t>
      </w:r>
    </w:p>
    <w:p w14:paraId="7E0027C5" w14:textId="77777777" w:rsidR="009A58DB" w:rsidRDefault="009A58DB">
      <w:pPr>
        <w:pStyle w:val="BodyText"/>
        <w:spacing w:before="30"/>
        <w:ind w:left="0"/>
        <w:jc w:val="left"/>
      </w:pPr>
    </w:p>
    <w:p w14:paraId="7E0027C6" w14:textId="77777777" w:rsidR="009A58DB" w:rsidRDefault="00000000">
      <w:pPr>
        <w:pStyle w:val="BodyText"/>
        <w:spacing w:line="249" w:lineRule="auto"/>
        <w:ind w:right="362"/>
      </w:pPr>
      <w:r>
        <w:t>(SC) Square circles are impossible—so are perpetual motion machines, self-causing events, and even primes greater than two.</w:t>
      </w:r>
    </w:p>
    <w:p w14:paraId="7E0027C7" w14:textId="77777777" w:rsidR="009A58DB" w:rsidRDefault="009A58DB">
      <w:pPr>
        <w:pStyle w:val="BodyText"/>
        <w:spacing w:before="18"/>
        <w:ind w:left="0"/>
        <w:jc w:val="left"/>
      </w:pPr>
    </w:p>
    <w:p w14:paraId="7E0027C8" w14:textId="77777777" w:rsidR="009A58DB" w:rsidRDefault="00000000">
      <w:pPr>
        <w:pStyle w:val="BodyText"/>
        <w:spacing w:line="249" w:lineRule="auto"/>
        <w:ind w:right="361"/>
      </w:pPr>
      <w:r>
        <w:t>SC is a true statement. But, at first glance, SC seems to be self-defeating. For it seems to be saying that there exist certain things—namely, square circles, perpetual motion machines, and even primes greater than two— that cannot, and therefore do not, exist. In other words, SC seems to be saying that there exist things that don’t exist. But if that is what SC is saying, then it is not</w:t>
      </w:r>
      <w:r>
        <w:rPr>
          <w:spacing w:val="40"/>
        </w:rPr>
        <w:t xml:space="preserve"> </w:t>
      </w:r>
      <w:r>
        <w:t>only false, but incoherent.</w:t>
      </w:r>
    </w:p>
    <w:p w14:paraId="7E0027C9" w14:textId="77777777" w:rsidR="009A58DB" w:rsidRDefault="00000000">
      <w:pPr>
        <w:pStyle w:val="BodyText"/>
        <w:spacing w:before="7"/>
        <w:ind w:left="720"/>
      </w:pPr>
      <w:r>
        <w:t>But</w:t>
      </w:r>
      <w:r>
        <w:rPr>
          <w:spacing w:val="20"/>
        </w:rPr>
        <w:t xml:space="preserve"> </w:t>
      </w:r>
      <w:r>
        <w:t>it</w:t>
      </w:r>
      <w:r>
        <w:rPr>
          <w:spacing w:val="22"/>
        </w:rPr>
        <w:t xml:space="preserve"> </w:t>
      </w:r>
      <w:r>
        <w:t>is</w:t>
      </w:r>
      <w:r>
        <w:rPr>
          <w:spacing w:val="22"/>
        </w:rPr>
        <w:t xml:space="preserve"> </w:t>
      </w:r>
      <w:r>
        <w:t>not</w:t>
      </w:r>
      <w:r>
        <w:rPr>
          <w:spacing w:val="23"/>
        </w:rPr>
        <w:t xml:space="preserve"> </w:t>
      </w:r>
      <w:r>
        <w:t>incoherent.</w:t>
      </w:r>
      <w:r>
        <w:rPr>
          <w:spacing w:val="22"/>
        </w:rPr>
        <w:t xml:space="preserve"> </w:t>
      </w:r>
      <w:r>
        <w:t>In</w:t>
      </w:r>
      <w:r>
        <w:rPr>
          <w:spacing w:val="22"/>
        </w:rPr>
        <w:t xml:space="preserve"> </w:t>
      </w:r>
      <w:r>
        <w:t>fact,</w:t>
      </w:r>
      <w:r>
        <w:rPr>
          <w:spacing w:val="22"/>
        </w:rPr>
        <w:t xml:space="preserve"> </w:t>
      </w:r>
      <w:r>
        <w:t>it</w:t>
      </w:r>
      <w:r>
        <w:rPr>
          <w:spacing w:val="23"/>
        </w:rPr>
        <w:t xml:space="preserve"> </w:t>
      </w:r>
      <w:r>
        <w:t>is</w:t>
      </w:r>
      <w:r>
        <w:rPr>
          <w:spacing w:val="22"/>
        </w:rPr>
        <w:t xml:space="preserve"> </w:t>
      </w:r>
      <w:r>
        <w:t>true.</w:t>
      </w:r>
      <w:r>
        <w:rPr>
          <w:spacing w:val="22"/>
        </w:rPr>
        <w:t xml:space="preserve"> </w:t>
      </w:r>
      <w:r>
        <w:t>How</w:t>
      </w:r>
      <w:r>
        <w:rPr>
          <w:spacing w:val="22"/>
        </w:rPr>
        <w:t xml:space="preserve"> </w:t>
      </w:r>
      <w:r>
        <w:t>can</w:t>
      </w:r>
      <w:r>
        <w:rPr>
          <w:spacing w:val="23"/>
        </w:rPr>
        <w:t xml:space="preserve"> </w:t>
      </w:r>
      <w:r>
        <w:t>we</w:t>
      </w:r>
      <w:r>
        <w:rPr>
          <w:spacing w:val="22"/>
        </w:rPr>
        <w:t xml:space="preserve"> </w:t>
      </w:r>
      <w:r>
        <w:t>make</w:t>
      </w:r>
      <w:r>
        <w:rPr>
          <w:spacing w:val="22"/>
        </w:rPr>
        <w:t xml:space="preserve"> </w:t>
      </w:r>
      <w:r>
        <w:t>sense</w:t>
      </w:r>
      <w:r>
        <w:rPr>
          <w:spacing w:val="22"/>
        </w:rPr>
        <w:t xml:space="preserve"> </w:t>
      </w:r>
      <w:r>
        <w:t>of</w:t>
      </w:r>
      <w:r>
        <w:rPr>
          <w:spacing w:val="23"/>
        </w:rPr>
        <w:t xml:space="preserve"> </w:t>
      </w:r>
      <w:r>
        <w:rPr>
          <w:spacing w:val="-5"/>
        </w:rPr>
        <w:t>all</w:t>
      </w:r>
    </w:p>
    <w:p w14:paraId="7E0027CA" w14:textId="77777777" w:rsidR="009A58DB" w:rsidRDefault="009A58DB">
      <w:pPr>
        <w:pStyle w:val="BodyText"/>
        <w:sectPr w:rsidR="009A58DB">
          <w:pgSz w:w="12240" w:h="15840"/>
          <w:pgMar w:top="1740" w:right="1080" w:bottom="280" w:left="1080" w:header="720" w:footer="720" w:gutter="0"/>
          <w:cols w:space="720"/>
        </w:sectPr>
      </w:pPr>
    </w:p>
    <w:p w14:paraId="7E0027CB" w14:textId="77777777" w:rsidR="009A58DB" w:rsidRDefault="00000000">
      <w:pPr>
        <w:pStyle w:val="BodyText"/>
        <w:spacing w:before="60"/>
        <w:jc w:val="left"/>
      </w:pPr>
      <w:r>
        <w:rPr>
          <w:spacing w:val="-2"/>
        </w:rPr>
        <w:lastRenderedPageBreak/>
        <w:t>this?</w:t>
      </w:r>
    </w:p>
    <w:p w14:paraId="7E0027CC" w14:textId="77777777" w:rsidR="009A58DB" w:rsidRDefault="00000000">
      <w:pPr>
        <w:spacing w:before="20" w:line="249" w:lineRule="auto"/>
        <w:ind w:left="360" w:right="357" w:firstLine="360"/>
        <w:jc w:val="both"/>
        <w:rPr>
          <w:i/>
          <w:sz w:val="30"/>
        </w:rPr>
      </w:pPr>
      <w:r>
        <w:rPr>
          <w:spacing w:val="-8"/>
          <w:sz w:val="30"/>
        </w:rPr>
        <w:t>The</w:t>
      </w:r>
      <w:r>
        <w:rPr>
          <w:spacing w:val="-11"/>
          <w:sz w:val="30"/>
        </w:rPr>
        <w:t xml:space="preserve"> </w:t>
      </w:r>
      <w:r>
        <w:rPr>
          <w:spacing w:val="-8"/>
          <w:sz w:val="30"/>
        </w:rPr>
        <w:t>key</w:t>
      </w:r>
      <w:r>
        <w:rPr>
          <w:spacing w:val="-11"/>
          <w:sz w:val="30"/>
        </w:rPr>
        <w:t xml:space="preserve"> </w:t>
      </w:r>
      <w:r>
        <w:rPr>
          <w:spacing w:val="-8"/>
          <w:sz w:val="30"/>
        </w:rPr>
        <w:t>Hise</w:t>
      </w:r>
      <w:r>
        <w:rPr>
          <w:spacing w:val="-11"/>
          <w:sz w:val="30"/>
        </w:rPr>
        <w:t xml:space="preserve"> </w:t>
      </w:r>
      <w:r>
        <w:rPr>
          <w:spacing w:val="-8"/>
          <w:sz w:val="30"/>
        </w:rPr>
        <w:t>is</w:t>
      </w:r>
      <w:r>
        <w:rPr>
          <w:spacing w:val="-10"/>
          <w:sz w:val="30"/>
        </w:rPr>
        <w:t xml:space="preserve"> </w:t>
      </w:r>
      <w:r>
        <w:rPr>
          <w:spacing w:val="-8"/>
          <w:sz w:val="30"/>
        </w:rPr>
        <w:t>to</w:t>
      </w:r>
      <w:r>
        <w:rPr>
          <w:spacing w:val="-11"/>
          <w:sz w:val="30"/>
        </w:rPr>
        <w:t xml:space="preserve"> </w:t>
      </w:r>
      <w:r>
        <w:rPr>
          <w:spacing w:val="-8"/>
          <w:sz w:val="30"/>
        </w:rPr>
        <w:t>distinguish</w:t>
      </w:r>
      <w:r>
        <w:rPr>
          <w:spacing w:val="-11"/>
          <w:sz w:val="30"/>
        </w:rPr>
        <w:t xml:space="preserve"> </w:t>
      </w:r>
      <w:r>
        <w:rPr>
          <w:spacing w:val="-8"/>
          <w:sz w:val="30"/>
        </w:rPr>
        <w:t>between</w:t>
      </w:r>
      <w:r>
        <w:rPr>
          <w:spacing w:val="-11"/>
          <w:sz w:val="30"/>
        </w:rPr>
        <w:t xml:space="preserve"> </w:t>
      </w:r>
      <w:r>
        <w:rPr>
          <w:i/>
          <w:spacing w:val="-8"/>
          <w:sz w:val="30"/>
        </w:rPr>
        <w:t>objects</w:t>
      </w:r>
      <w:r>
        <w:rPr>
          <w:i/>
          <w:spacing w:val="-10"/>
          <w:sz w:val="30"/>
        </w:rPr>
        <w:t xml:space="preserve"> </w:t>
      </w:r>
      <w:r>
        <w:rPr>
          <w:spacing w:val="-8"/>
          <w:sz w:val="30"/>
        </w:rPr>
        <w:t>and</w:t>
      </w:r>
      <w:r>
        <w:rPr>
          <w:spacing w:val="-11"/>
          <w:sz w:val="30"/>
        </w:rPr>
        <w:t xml:space="preserve"> </w:t>
      </w:r>
      <w:r>
        <w:rPr>
          <w:i/>
          <w:spacing w:val="-8"/>
          <w:sz w:val="30"/>
        </w:rPr>
        <w:t>statements.</w:t>
      </w:r>
      <w:r>
        <w:rPr>
          <w:i/>
          <w:spacing w:val="-11"/>
          <w:sz w:val="30"/>
        </w:rPr>
        <w:t xml:space="preserve"> </w:t>
      </w:r>
      <w:r>
        <w:rPr>
          <w:spacing w:val="-8"/>
          <w:sz w:val="30"/>
        </w:rPr>
        <w:t>SC</w:t>
      </w:r>
      <w:r>
        <w:rPr>
          <w:spacing w:val="-11"/>
          <w:sz w:val="30"/>
        </w:rPr>
        <w:t xml:space="preserve"> </w:t>
      </w:r>
      <w:r>
        <w:rPr>
          <w:spacing w:val="-8"/>
          <w:sz w:val="30"/>
        </w:rPr>
        <w:t>doesn’t</w:t>
      </w:r>
      <w:r>
        <w:rPr>
          <w:spacing w:val="-10"/>
          <w:sz w:val="30"/>
        </w:rPr>
        <w:t xml:space="preserve"> </w:t>
      </w:r>
      <w:r>
        <w:rPr>
          <w:spacing w:val="-8"/>
          <w:sz w:val="30"/>
        </w:rPr>
        <w:t xml:space="preserve">make </w:t>
      </w:r>
      <w:r>
        <w:rPr>
          <w:sz w:val="30"/>
        </w:rPr>
        <w:t>a</w:t>
      </w:r>
      <w:r>
        <w:rPr>
          <w:spacing w:val="-19"/>
          <w:sz w:val="30"/>
        </w:rPr>
        <w:t xml:space="preserve"> </w:t>
      </w:r>
      <w:r>
        <w:rPr>
          <w:sz w:val="30"/>
        </w:rPr>
        <w:t>statement</w:t>
      </w:r>
      <w:r>
        <w:rPr>
          <w:spacing w:val="-19"/>
          <w:sz w:val="30"/>
        </w:rPr>
        <w:t xml:space="preserve"> </w:t>
      </w:r>
      <w:r>
        <w:rPr>
          <w:sz w:val="30"/>
        </w:rPr>
        <w:t>about</w:t>
      </w:r>
      <w:r>
        <w:rPr>
          <w:spacing w:val="-19"/>
          <w:sz w:val="30"/>
        </w:rPr>
        <w:t xml:space="preserve"> </w:t>
      </w:r>
      <w:r>
        <w:rPr>
          <w:i/>
          <w:sz w:val="30"/>
        </w:rPr>
        <w:t>objects:</w:t>
      </w:r>
      <w:r>
        <w:rPr>
          <w:i/>
          <w:spacing w:val="-18"/>
          <w:sz w:val="30"/>
        </w:rPr>
        <w:t xml:space="preserve"> </w:t>
      </w:r>
      <w:r>
        <w:rPr>
          <w:sz w:val="30"/>
        </w:rPr>
        <w:t>it</w:t>
      </w:r>
      <w:r>
        <w:rPr>
          <w:spacing w:val="-19"/>
          <w:sz w:val="30"/>
        </w:rPr>
        <w:t xml:space="preserve"> </w:t>
      </w:r>
      <w:r>
        <w:rPr>
          <w:sz w:val="30"/>
        </w:rPr>
        <w:t>makes</w:t>
      </w:r>
      <w:r>
        <w:rPr>
          <w:spacing w:val="-19"/>
          <w:sz w:val="30"/>
        </w:rPr>
        <w:t xml:space="preserve"> </w:t>
      </w:r>
      <w:r>
        <w:rPr>
          <w:sz w:val="30"/>
        </w:rPr>
        <w:t>a</w:t>
      </w:r>
      <w:r>
        <w:rPr>
          <w:spacing w:val="-19"/>
          <w:sz w:val="30"/>
        </w:rPr>
        <w:t xml:space="preserve"> </w:t>
      </w:r>
      <w:r>
        <w:rPr>
          <w:sz w:val="30"/>
        </w:rPr>
        <w:t>statement</w:t>
      </w:r>
      <w:r>
        <w:rPr>
          <w:spacing w:val="-13"/>
          <w:sz w:val="30"/>
        </w:rPr>
        <w:t xml:space="preserve"> </w:t>
      </w:r>
      <w:r>
        <w:rPr>
          <w:sz w:val="30"/>
        </w:rPr>
        <w:t>about</w:t>
      </w:r>
      <w:r>
        <w:rPr>
          <w:spacing w:val="-19"/>
          <w:sz w:val="30"/>
        </w:rPr>
        <w:t xml:space="preserve"> </w:t>
      </w:r>
      <w:r>
        <w:rPr>
          <w:i/>
          <w:sz w:val="30"/>
        </w:rPr>
        <w:t>statements.</w:t>
      </w:r>
      <w:r>
        <w:rPr>
          <w:i/>
          <w:spacing w:val="-19"/>
          <w:sz w:val="30"/>
        </w:rPr>
        <w:t xml:space="preserve"> </w:t>
      </w:r>
      <w:r>
        <w:rPr>
          <w:sz w:val="30"/>
        </w:rPr>
        <w:t>It</w:t>
      </w:r>
      <w:r>
        <w:rPr>
          <w:spacing w:val="-14"/>
          <w:sz w:val="30"/>
        </w:rPr>
        <w:t xml:space="preserve"> </w:t>
      </w:r>
      <w:r>
        <w:rPr>
          <w:sz w:val="30"/>
        </w:rPr>
        <w:t>says</w:t>
      </w:r>
      <w:r>
        <w:rPr>
          <w:spacing w:val="-15"/>
          <w:sz w:val="30"/>
        </w:rPr>
        <w:t xml:space="preserve"> </w:t>
      </w:r>
      <w:r>
        <w:rPr>
          <w:sz w:val="30"/>
        </w:rPr>
        <w:t>that</w:t>
      </w:r>
      <w:r>
        <w:rPr>
          <w:spacing w:val="-14"/>
          <w:sz w:val="30"/>
        </w:rPr>
        <w:t xml:space="preserve"> </w:t>
      </w:r>
      <w:r>
        <w:rPr>
          <w:sz w:val="30"/>
        </w:rPr>
        <w:t xml:space="preserve">all </w:t>
      </w:r>
      <w:r>
        <w:rPr>
          <w:spacing w:val="-2"/>
          <w:sz w:val="30"/>
        </w:rPr>
        <w:t>statements</w:t>
      </w:r>
      <w:r>
        <w:rPr>
          <w:spacing w:val="-17"/>
          <w:sz w:val="30"/>
        </w:rPr>
        <w:t xml:space="preserve"> </w:t>
      </w:r>
      <w:r>
        <w:rPr>
          <w:spacing w:val="-2"/>
          <w:sz w:val="30"/>
        </w:rPr>
        <w:t>of</w:t>
      </w:r>
      <w:r>
        <w:rPr>
          <w:spacing w:val="-17"/>
          <w:sz w:val="30"/>
        </w:rPr>
        <w:t xml:space="preserve"> </w:t>
      </w:r>
      <w:r>
        <w:rPr>
          <w:spacing w:val="-2"/>
          <w:sz w:val="30"/>
        </w:rPr>
        <w:t>the</w:t>
      </w:r>
      <w:r>
        <w:rPr>
          <w:spacing w:val="-17"/>
          <w:sz w:val="30"/>
        </w:rPr>
        <w:t xml:space="preserve"> </w:t>
      </w:r>
      <w:r>
        <w:rPr>
          <w:spacing w:val="-2"/>
          <w:sz w:val="30"/>
        </w:rPr>
        <w:t>form</w:t>
      </w:r>
      <w:r>
        <w:rPr>
          <w:spacing w:val="-17"/>
          <w:sz w:val="30"/>
        </w:rPr>
        <w:t xml:space="preserve"> </w:t>
      </w:r>
      <w:r>
        <w:rPr>
          <w:i/>
          <w:spacing w:val="-2"/>
          <w:sz w:val="30"/>
        </w:rPr>
        <w:t>X</w:t>
      </w:r>
      <w:r>
        <w:rPr>
          <w:i/>
          <w:spacing w:val="-16"/>
          <w:sz w:val="30"/>
        </w:rPr>
        <w:t xml:space="preserve"> </w:t>
      </w:r>
      <w:r>
        <w:rPr>
          <w:i/>
          <w:spacing w:val="-2"/>
          <w:sz w:val="30"/>
        </w:rPr>
        <w:t>is</w:t>
      </w:r>
      <w:r>
        <w:rPr>
          <w:i/>
          <w:spacing w:val="-15"/>
          <w:sz w:val="30"/>
        </w:rPr>
        <w:t xml:space="preserve"> </w:t>
      </w:r>
      <w:r>
        <w:rPr>
          <w:i/>
          <w:spacing w:val="-2"/>
          <w:sz w:val="30"/>
        </w:rPr>
        <w:t>a</w:t>
      </w:r>
      <w:r>
        <w:rPr>
          <w:i/>
          <w:spacing w:val="-8"/>
          <w:sz w:val="30"/>
        </w:rPr>
        <w:t xml:space="preserve"> </w:t>
      </w:r>
      <w:r>
        <w:rPr>
          <w:i/>
          <w:spacing w:val="-2"/>
          <w:sz w:val="30"/>
        </w:rPr>
        <w:t>square</w:t>
      </w:r>
      <w:r>
        <w:rPr>
          <w:i/>
          <w:spacing w:val="-8"/>
          <w:sz w:val="30"/>
        </w:rPr>
        <w:t xml:space="preserve"> </w:t>
      </w:r>
      <w:r>
        <w:rPr>
          <w:i/>
          <w:spacing w:val="-2"/>
          <w:sz w:val="30"/>
        </w:rPr>
        <w:t>circle</w:t>
      </w:r>
      <w:r>
        <w:rPr>
          <w:i/>
          <w:spacing w:val="-17"/>
          <w:sz w:val="30"/>
        </w:rPr>
        <w:t xml:space="preserve"> </w:t>
      </w:r>
      <w:r>
        <w:rPr>
          <w:spacing w:val="-2"/>
          <w:sz w:val="30"/>
        </w:rPr>
        <w:t>(and</w:t>
      </w:r>
      <w:r>
        <w:rPr>
          <w:spacing w:val="-17"/>
          <w:sz w:val="30"/>
        </w:rPr>
        <w:t xml:space="preserve"> </w:t>
      </w:r>
      <w:r>
        <w:rPr>
          <w:i/>
          <w:spacing w:val="-2"/>
          <w:sz w:val="30"/>
        </w:rPr>
        <w:t>X</w:t>
      </w:r>
      <w:r>
        <w:rPr>
          <w:i/>
          <w:spacing w:val="-10"/>
          <w:sz w:val="30"/>
        </w:rPr>
        <w:t xml:space="preserve"> </w:t>
      </w:r>
      <w:r>
        <w:rPr>
          <w:i/>
          <w:spacing w:val="-2"/>
          <w:sz w:val="30"/>
        </w:rPr>
        <w:t>is</w:t>
      </w:r>
      <w:r>
        <w:rPr>
          <w:i/>
          <w:spacing w:val="-11"/>
          <w:sz w:val="30"/>
        </w:rPr>
        <w:t xml:space="preserve"> </w:t>
      </w:r>
      <w:r>
        <w:rPr>
          <w:i/>
          <w:spacing w:val="-2"/>
          <w:sz w:val="30"/>
        </w:rPr>
        <w:t>a</w:t>
      </w:r>
      <w:r>
        <w:rPr>
          <w:i/>
          <w:spacing w:val="-11"/>
          <w:sz w:val="30"/>
        </w:rPr>
        <w:t xml:space="preserve"> </w:t>
      </w:r>
      <w:r>
        <w:rPr>
          <w:i/>
          <w:spacing w:val="-2"/>
          <w:sz w:val="30"/>
        </w:rPr>
        <w:t>perpetual</w:t>
      </w:r>
      <w:r>
        <w:rPr>
          <w:i/>
          <w:spacing w:val="-10"/>
          <w:sz w:val="30"/>
        </w:rPr>
        <w:t xml:space="preserve"> </w:t>
      </w:r>
      <w:r>
        <w:rPr>
          <w:i/>
          <w:spacing w:val="-2"/>
          <w:sz w:val="30"/>
        </w:rPr>
        <w:t>motion</w:t>
      </w:r>
      <w:r>
        <w:rPr>
          <w:i/>
          <w:spacing w:val="-9"/>
          <w:sz w:val="30"/>
        </w:rPr>
        <w:t xml:space="preserve"> </w:t>
      </w:r>
      <w:r>
        <w:rPr>
          <w:i/>
          <w:spacing w:val="-4"/>
          <w:sz w:val="30"/>
        </w:rPr>
        <w:t>machine</w:t>
      </w:r>
    </w:p>
    <w:p w14:paraId="7E0027CD" w14:textId="77777777" w:rsidR="009A58DB" w:rsidRDefault="00000000">
      <w:pPr>
        <w:pStyle w:val="BodyText"/>
        <w:spacing w:before="3" w:line="277" w:lineRule="exact"/>
        <w:ind w:left="6119"/>
        <w:jc w:val="left"/>
      </w:pPr>
      <w:bookmarkStart w:id="557" w:name="_bookmark557"/>
      <w:bookmarkEnd w:id="557"/>
      <w:r>
        <w:rPr>
          <w:color w:val="0562C1"/>
          <w:spacing w:val="-2"/>
          <w:u w:val="single" w:color="0562C1"/>
        </w:rPr>
        <w:t>[421]</w:t>
      </w:r>
    </w:p>
    <w:p w14:paraId="7E0027CE" w14:textId="77777777" w:rsidR="009A58DB" w:rsidRDefault="00000000">
      <w:pPr>
        <w:spacing w:line="277" w:lineRule="exact"/>
        <w:ind w:left="360"/>
        <w:jc w:val="both"/>
        <w:rPr>
          <w:sz w:val="30"/>
        </w:rPr>
      </w:pPr>
      <w:r>
        <w:rPr>
          <w:sz w:val="30"/>
        </w:rPr>
        <w:t>and</w:t>
      </w:r>
      <w:r>
        <w:rPr>
          <w:spacing w:val="-19"/>
          <w:sz w:val="30"/>
        </w:rPr>
        <w:t xml:space="preserve"> </w:t>
      </w:r>
      <w:r>
        <w:rPr>
          <w:i/>
          <w:sz w:val="30"/>
        </w:rPr>
        <w:t>X</w:t>
      </w:r>
      <w:r>
        <w:rPr>
          <w:i/>
          <w:spacing w:val="-19"/>
          <w:sz w:val="30"/>
        </w:rPr>
        <w:t xml:space="preserve"> </w:t>
      </w:r>
      <w:r>
        <w:rPr>
          <w:i/>
          <w:sz w:val="30"/>
        </w:rPr>
        <w:t>is</w:t>
      </w:r>
      <w:r>
        <w:rPr>
          <w:i/>
          <w:spacing w:val="-19"/>
          <w:sz w:val="30"/>
        </w:rPr>
        <w:t xml:space="preserve"> </w:t>
      </w:r>
      <w:r>
        <w:rPr>
          <w:i/>
          <w:sz w:val="30"/>
        </w:rPr>
        <w:t>an</w:t>
      </w:r>
      <w:r>
        <w:rPr>
          <w:i/>
          <w:spacing w:val="-18"/>
          <w:sz w:val="30"/>
        </w:rPr>
        <w:t xml:space="preserve"> </w:t>
      </w:r>
      <w:r>
        <w:rPr>
          <w:i/>
          <w:sz w:val="30"/>
        </w:rPr>
        <w:t>even</w:t>
      </w:r>
      <w:r>
        <w:rPr>
          <w:i/>
          <w:spacing w:val="-19"/>
          <w:sz w:val="30"/>
        </w:rPr>
        <w:t xml:space="preserve"> </w:t>
      </w:r>
      <w:r>
        <w:rPr>
          <w:i/>
          <w:sz w:val="30"/>
        </w:rPr>
        <w:t>prime</w:t>
      </w:r>
      <w:r>
        <w:rPr>
          <w:i/>
          <w:spacing w:val="-19"/>
          <w:sz w:val="30"/>
        </w:rPr>
        <w:t xml:space="preserve"> </w:t>
      </w:r>
      <w:r>
        <w:rPr>
          <w:i/>
          <w:sz w:val="30"/>
        </w:rPr>
        <w:t>greater</w:t>
      </w:r>
      <w:r>
        <w:rPr>
          <w:i/>
          <w:spacing w:val="-19"/>
          <w:sz w:val="30"/>
        </w:rPr>
        <w:t xml:space="preserve"> </w:t>
      </w:r>
      <w:r>
        <w:rPr>
          <w:i/>
          <w:sz w:val="30"/>
        </w:rPr>
        <w:t>than</w:t>
      </w:r>
      <w:r>
        <w:rPr>
          <w:i/>
          <w:spacing w:val="-18"/>
          <w:sz w:val="30"/>
        </w:rPr>
        <w:t xml:space="preserve"> </w:t>
      </w:r>
      <w:r>
        <w:rPr>
          <w:i/>
          <w:sz w:val="30"/>
        </w:rPr>
        <w:t>two</w:t>
      </w:r>
      <w:r>
        <w:rPr>
          <w:sz w:val="30"/>
        </w:rPr>
        <w:t>)</w:t>
      </w:r>
      <w:r>
        <w:rPr>
          <w:spacing w:val="-19"/>
          <w:sz w:val="30"/>
        </w:rPr>
        <w:t xml:space="preserve"> </w:t>
      </w:r>
      <w:r>
        <w:rPr>
          <w:sz w:val="30"/>
        </w:rPr>
        <w:t>are</w:t>
      </w:r>
      <w:r>
        <w:rPr>
          <w:spacing w:val="-19"/>
          <w:sz w:val="30"/>
        </w:rPr>
        <w:t xml:space="preserve"> </w:t>
      </w:r>
      <w:r>
        <w:rPr>
          <w:sz w:val="30"/>
        </w:rPr>
        <w:t>false.</w:t>
      </w:r>
      <w:r>
        <w:rPr>
          <w:spacing w:val="64"/>
          <w:w w:val="150"/>
          <w:sz w:val="30"/>
        </w:rPr>
        <w:t xml:space="preserve">   </w:t>
      </w:r>
      <w:r>
        <w:rPr>
          <w:sz w:val="30"/>
        </w:rPr>
        <w:t>So</w:t>
      </w:r>
      <w:r>
        <w:rPr>
          <w:spacing w:val="-18"/>
          <w:sz w:val="30"/>
        </w:rPr>
        <w:t xml:space="preserve"> </w:t>
      </w:r>
      <w:r>
        <w:rPr>
          <w:sz w:val="30"/>
        </w:rPr>
        <w:t>SC</w:t>
      </w:r>
      <w:r>
        <w:rPr>
          <w:spacing w:val="-19"/>
          <w:sz w:val="30"/>
        </w:rPr>
        <w:t xml:space="preserve"> </w:t>
      </w:r>
      <w:r>
        <w:rPr>
          <w:sz w:val="30"/>
        </w:rPr>
        <w:t>doesn’t</w:t>
      </w:r>
      <w:r>
        <w:rPr>
          <w:spacing w:val="-18"/>
          <w:sz w:val="30"/>
        </w:rPr>
        <w:t xml:space="preserve"> </w:t>
      </w:r>
      <w:r>
        <w:rPr>
          <w:sz w:val="30"/>
        </w:rPr>
        <w:t>say</w:t>
      </w:r>
      <w:r>
        <w:rPr>
          <w:spacing w:val="-19"/>
          <w:sz w:val="30"/>
        </w:rPr>
        <w:t xml:space="preserve"> </w:t>
      </w:r>
      <w:r>
        <w:rPr>
          <w:sz w:val="30"/>
        </w:rPr>
        <w:t>of</w:t>
      </w:r>
      <w:r>
        <w:rPr>
          <w:spacing w:val="-18"/>
          <w:sz w:val="30"/>
        </w:rPr>
        <w:t xml:space="preserve"> </w:t>
      </w:r>
      <w:r>
        <w:rPr>
          <w:spacing w:val="-5"/>
          <w:sz w:val="30"/>
        </w:rPr>
        <w:t>any</w:t>
      </w:r>
    </w:p>
    <w:p w14:paraId="7E0027CF" w14:textId="77777777" w:rsidR="009A58DB" w:rsidRDefault="00000000">
      <w:pPr>
        <w:pStyle w:val="BodyText"/>
        <w:spacing w:before="15" w:line="249" w:lineRule="auto"/>
        <w:ind w:right="360"/>
      </w:pPr>
      <w:r>
        <w:rPr>
          <w:spacing w:val="-6"/>
        </w:rPr>
        <w:t>object</w:t>
      </w:r>
      <w:r>
        <w:rPr>
          <w:spacing w:val="-13"/>
        </w:rPr>
        <w:t xml:space="preserve"> </w:t>
      </w:r>
      <w:r>
        <w:rPr>
          <w:spacing w:val="-6"/>
        </w:rPr>
        <w:t>that</w:t>
      </w:r>
      <w:r>
        <w:rPr>
          <w:spacing w:val="-13"/>
        </w:rPr>
        <w:t xml:space="preserve"> </w:t>
      </w:r>
      <w:r>
        <w:rPr>
          <w:spacing w:val="-6"/>
        </w:rPr>
        <w:t>it</w:t>
      </w:r>
      <w:r>
        <w:rPr>
          <w:spacing w:val="-13"/>
        </w:rPr>
        <w:t xml:space="preserve"> </w:t>
      </w:r>
      <w:r>
        <w:rPr>
          <w:spacing w:val="-6"/>
        </w:rPr>
        <w:t>is,</w:t>
      </w:r>
      <w:r>
        <w:rPr>
          <w:spacing w:val="-11"/>
        </w:rPr>
        <w:t xml:space="preserve"> </w:t>
      </w:r>
      <w:r>
        <w:rPr>
          <w:spacing w:val="-6"/>
        </w:rPr>
        <w:t>or</w:t>
      </w:r>
      <w:r>
        <w:rPr>
          <w:spacing w:val="-13"/>
        </w:rPr>
        <w:t xml:space="preserve"> </w:t>
      </w:r>
      <w:r>
        <w:rPr>
          <w:spacing w:val="-6"/>
        </w:rPr>
        <w:t>is</w:t>
      </w:r>
      <w:r>
        <w:rPr>
          <w:spacing w:val="-12"/>
        </w:rPr>
        <w:t xml:space="preserve"> </w:t>
      </w:r>
      <w:r>
        <w:rPr>
          <w:spacing w:val="-6"/>
        </w:rPr>
        <w:t>not,</w:t>
      </w:r>
      <w:r>
        <w:rPr>
          <w:spacing w:val="-12"/>
        </w:rPr>
        <w:t xml:space="preserve"> </w:t>
      </w:r>
      <w:r>
        <w:rPr>
          <w:spacing w:val="-6"/>
        </w:rPr>
        <w:t>a</w:t>
      </w:r>
      <w:r>
        <w:rPr>
          <w:spacing w:val="-12"/>
        </w:rPr>
        <w:t xml:space="preserve"> </w:t>
      </w:r>
      <w:r>
        <w:rPr>
          <w:spacing w:val="-6"/>
        </w:rPr>
        <w:t>perpetual</w:t>
      </w:r>
      <w:r>
        <w:rPr>
          <w:spacing w:val="-13"/>
        </w:rPr>
        <w:t xml:space="preserve"> </w:t>
      </w:r>
      <w:r>
        <w:rPr>
          <w:spacing w:val="-6"/>
        </w:rPr>
        <w:t>motion</w:t>
      </w:r>
      <w:r>
        <w:rPr>
          <w:spacing w:val="-12"/>
        </w:rPr>
        <w:t xml:space="preserve"> </w:t>
      </w:r>
      <w:r>
        <w:rPr>
          <w:spacing w:val="-6"/>
        </w:rPr>
        <w:t>machine.</w:t>
      </w:r>
      <w:r>
        <w:rPr>
          <w:spacing w:val="-12"/>
        </w:rPr>
        <w:t xml:space="preserve"> </w:t>
      </w:r>
      <w:r>
        <w:rPr>
          <w:spacing w:val="-6"/>
        </w:rPr>
        <w:t>It</w:t>
      </w:r>
      <w:r>
        <w:rPr>
          <w:spacing w:val="-13"/>
        </w:rPr>
        <w:t xml:space="preserve"> </w:t>
      </w:r>
      <w:r>
        <w:rPr>
          <w:spacing w:val="-6"/>
        </w:rPr>
        <w:t>couldn’t</w:t>
      </w:r>
      <w:r>
        <w:rPr>
          <w:spacing w:val="-13"/>
        </w:rPr>
        <w:t xml:space="preserve"> </w:t>
      </w:r>
      <w:r>
        <w:rPr>
          <w:spacing w:val="-6"/>
        </w:rPr>
        <w:t>possibly</w:t>
      </w:r>
      <w:r>
        <w:rPr>
          <w:spacing w:val="-12"/>
        </w:rPr>
        <w:t xml:space="preserve"> </w:t>
      </w:r>
      <w:r>
        <w:rPr>
          <w:spacing w:val="-6"/>
        </w:rPr>
        <w:t>say</w:t>
      </w:r>
      <w:r>
        <w:rPr>
          <w:spacing w:val="-12"/>
        </w:rPr>
        <w:t xml:space="preserve"> </w:t>
      </w:r>
      <w:r>
        <w:rPr>
          <w:spacing w:val="-6"/>
        </w:rPr>
        <w:t xml:space="preserve">this, </w:t>
      </w:r>
      <w:r>
        <w:rPr>
          <w:spacing w:val="-2"/>
        </w:rPr>
        <w:t>since</w:t>
      </w:r>
      <w:r>
        <w:rPr>
          <w:spacing w:val="-14"/>
        </w:rPr>
        <w:t xml:space="preserve"> </w:t>
      </w:r>
      <w:r>
        <w:rPr>
          <w:spacing w:val="-2"/>
        </w:rPr>
        <w:t>there</w:t>
      </w:r>
      <w:r>
        <w:rPr>
          <w:spacing w:val="-14"/>
        </w:rPr>
        <w:t xml:space="preserve"> </w:t>
      </w:r>
      <w:r>
        <w:rPr>
          <w:spacing w:val="-2"/>
        </w:rPr>
        <w:t>are</w:t>
      </w:r>
      <w:r>
        <w:rPr>
          <w:spacing w:val="-14"/>
        </w:rPr>
        <w:t xml:space="preserve"> </w:t>
      </w:r>
      <w:r>
        <w:rPr>
          <w:spacing w:val="-2"/>
        </w:rPr>
        <w:t>no</w:t>
      </w:r>
      <w:r>
        <w:rPr>
          <w:spacing w:val="-14"/>
        </w:rPr>
        <w:t xml:space="preserve"> </w:t>
      </w:r>
      <w:r>
        <w:rPr>
          <w:spacing w:val="-2"/>
        </w:rPr>
        <w:t>perpetual</w:t>
      </w:r>
      <w:r>
        <w:rPr>
          <w:spacing w:val="-15"/>
        </w:rPr>
        <w:t xml:space="preserve"> </w:t>
      </w:r>
      <w:r>
        <w:rPr>
          <w:spacing w:val="-2"/>
        </w:rPr>
        <w:t>motions</w:t>
      </w:r>
    </w:p>
    <w:p w14:paraId="7E0027D0" w14:textId="77777777" w:rsidR="009A58DB" w:rsidRDefault="00000000">
      <w:pPr>
        <w:pStyle w:val="BodyText"/>
        <w:spacing w:before="3" w:line="249" w:lineRule="auto"/>
        <w:ind w:right="362"/>
      </w:pPr>
      <w:r>
        <w:t xml:space="preserve">and there are therefore no perpetual motion machines of which to say that they are impossible (or, for that matter, of which to say </w:t>
      </w:r>
      <w:r>
        <w:rPr>
          <w:i/>
        </w:rPr>
        <w:t>anything</w:t>
      </w:r>
      <w:r>
        <w:t>). Rather</w:t>
      </w:r>
      <w:r>
        <w:rPr>
          <w:spacing w:val="40"/>
        </w:rPr>
        <w:t xml:space="preserve"> </w:t>
      </w:r>
      <w:r>
        <w:t xml:space="preserve">than making a statement about non-existent perpetual motion machines—and thus about things that don’t exist to have statements made about them (or, for that matter, to have anything else done to them)—SC makes a statement about very much existing statements. More specifically, it says that every statement having the form </w:t>
      </w:r>
      <w:r>
        <w:rPr>
          <w:i/>
        </w:rPr>
        <w:t xml:space="preserve">X is a perpetual motion machine </w:t>
      </w:r>
      <w:r>
        <w:t>is untrue.</w:t>
      </w:r>
    </w:p>
    <w:p w14:paraId="7E0027D1" w14:textId="77777777" w:rsidR="009A58DB" w:rsidRDefault="00000000">
      <w:pPr>
        <w:pStyle w:val="BodyText"/>
        <w:spacing w:before="8" w:line="249" w:lineRule="auto"/>
        <w:ind w:right="357" w:firstLine="360"/>
      </w:pPr>
      <w:r>
        <w:t xml:space="preserve">In general, impossibility is not a property of </w:t>
      </w:r>
      <w:r>
        <w:rPr>
          <w:i/>
        </w:rPr>
        <w:t>things.</w:t>
      </w:r>
      <w:r>
        <w:rPr>
          <w:i/>
          <w:spacing w:val="-3"/>
        </w:rPr>
        <w:t xml:space="preserve"> </w:t>
      </w:r>
      <w:r>
        <w:t xml:space="preserve">After all, if something is impossible, then it cannot, and therefore does not, exist. And if it does not (let alone cannot) exist, then there exists no thing to have the property of being impossible. Impossibility is a property, not of things, but of statements. And, as we saw in the previous section, a statement is impossible if it is </w:t>
      </w:r>
      <w:r>
        <w:rPr>
          <w:i/>
        </w:rPr>
        <w:t>incoherent</w:t>
      </w:r>
      <w:r>
        <w:t>—if, in other words, it contradicts itself.</w:t>
      </w:r>
    </w:p>
    <w:p w14:paraId="7E0027D2" w14:textId="77777777" w:rsidR="009A58DB" w:rsidRDefault="00000000">
      <w:pPr>
        <w:pStyle w:val="Heading1"/>
        <w:numPr>
          <w:ilvl w:val="1"/>
          <w:numId w:val="45"/>
        </w:numPr>
        <w:tabs>
          <w:tab w:val="left" w:pos="990"/>
        </w:tabs>
        <w:spacing w:before="196"/>
      </w:pPr>
      <w:r>
        <w:t>Explicit</w:t>
      </w:r>
      <w:r>
        <w:rPr>
          <w:spacing w:val="-11"/>
        </w:rPr>
        <w:t xml:space="preserve"> </w:t>
      </w:r>
      <w:r>
        <w:t>versus</w:t>
      </w:r>
      <w:r>
        <w:rPr>
          <w:spacing w:val="-8"/>
        </w:rPr>
        <w:t xml:space="preserve"> </w:t>
      </w:r>
      <w:r>
        <w:t>implicit</w:t>
      </w:r>
      <w:r>
        <w:rPr>
          <w:spacing w:val="-8"/>
        </w:rPr>
        <w:t xml:space="preserve"> </w:t>
      </w:r>
      <w:r>
        <w:t>self-</w:t>
      </w:r>
      <w:r>
        <w:rPr>
          <w:spacing w:val="-2"/>
        </w:rPr>
        <w:t>contradiction</w:t>
      </w:r>
    </w:p>
    <w:p w14:paraId="7E0027D3" w14:textId="77777777" w:rsidR="009A58DB" w:rsidRDefault="00000000">
      <w:pPr>
        <w:pStyle w:val="BodyText"/>
        <w:spacing w:before="139"/>
        <w:jc w:val="left"/>
      </w:pPr>
      <w:r>
        <w:t>We</w:t>
      </w:r>
      <w:r>
        <w:rPr>
          <w:spacing w:val="7"/>
        </w:rPr>
        <w:t xml:space="preserve"> </w:t>
      </w:r>
      <w:r>
        <w:t>must</w:t>
      </w:r>
      <w:r>
        <w:rPr>
          <w:spacing w:val="10"/>
        </w:rPr>
        <w:t xml:space="preserve"> </w:t>
      </w:r>
      <w:r>
        <w:t>bear</w:t>
      </w:r>
      <w:r>
        <w:rPr>
          <w:spacing w:val="10"/>
        </w:rPr>
        <w:t xml:space="preserve"> </w:t>
      </w:r>
      <w:r>
        <w:t>in</w:t>
      </w:r>
      <w:r>
        <w:rPr>
          <w:spacing w:val="10"/>
        </w:rPr>
        <w:t xml:space="preserve"> </w:t>
      </w:r>
      <w:r>
        <w:t>mind</w:t>
      </w:r>
      <w:r>
        <w:rPr>
          <w:spacing w:val="10"/>
        </w:rPr>
        <w:t xml:space="preserve"> </w:t>
      </w:r>
      <w:r>
        <w:t>that</w:t>
      </w:r>
      <w:r>
        <w:rPr>
          <w:spacing w:val="10"/>
        </w:rPr>
        <w:t xml:space="preserve"> </w:t>
      </w:r>
      <w:r>
        <w:t>most</w:t>
      </w:r>
      <w:r>
        <w:rPr>
          <w:spacing w:val="10"/>
        </w:rPr>
        <w:t xml:space="preserve"> </w:t>
      </w:r>
      <w:r>
        <w:t>incoherent</w:t>
      </w:r>
      <w:r>
        <w:rPr>
          <w:spacing w:val="10"/>
        </w:rPr>
        <w:t xml:space="preserve"> </w:t>
      </w:r>
      <w:r>
        <w:t>statements</w:t>
      </w:r>
      <w:r>
        <w:rPr>
          <w:spacing w:val="10"/>
        </w:rPr>
        <w:t xml:space="preserve"> </w:t>
      </w:r>
      <w:r>
        <w:t>contradict</w:t>
      </w:r>
      <w:r>
        <w:rPr>
          <w:spacing w:val="10"/>
        </w:rPr>
        <w:t xml:space="preserve"> </w:t>
      </w:r>
      <w:r>
        <w:rPr>
          <w:spacing w:val="-2"/>
        </w:rPr>
        <w:t>themselves</w:t>
      </w:r>
    </w:p>
    <w:p w14:paraId="7E0027D4" w14:textId="77777777" w:rsidR="009A58DB" w:rsidRDefault="00000000">
      <w:pPr>
        <w:spacing w:before="15"/>
        <w:ind w:left="360"/>
        <w:rPr>
          <w:sz w:val="30"/>
        </w:rPr>
      </w:pPr>
      <w:r>
        <w:rPr>
          <w:i/>
          <w:sz w:val="30"/>
        </w:rPr>
        <w:t>implicitly,</w:t>
      </w:r>
      <w:r>
        <w:rPr>
          <w:i/>
          <w:spacing w:val="-5"/>
          <w:sz w:val="30"/>
        </w:rPr>
        <w:t xml:space="preserve"> </w:t>
      </w:r>
      <w:r>
        <w:rPr>
          <w:sz w:val="30"/>
        </w:rPr>
        <w:t>not</w:t>
      </w:r>
      <w:r>
        <w:rPr>
          <w:spacing w:val="-5"/>
          <w:sz w:val="30"/>
        </w:rPr>
        <w:t xml:space="preserve"> </w:t>
      </w:r>
      <w:r>
        <w:rPr>
          <w:sz w:val="30"/>
        </w:rPr>
        <w:t>explicitly.</w:t>
      </w:r>
      <w:r>
        <w:rPr>
          <w:spacing w:val="-4"/>
          <w:sz w:val="30"/>
        </w:rPr>
        <w:t xml:space="preserve"> </w:t>
      </w:r>
      <w:r>
        <w:rPr>
          <w:sz w:val="30"/>
        </w:rPr>
        <w:t>The</w:t>
      </w:r>
      <w:r>
        <w:rPr>
          <w:spacing w:val="-5"/>
          <w:sz w:val="30"/>
        </w:rPr>
        <w:t xml:space="preserve"> </w:t>
      </w:r>
      <w:r>
        <w:rPr>
          <w:spacing w:val="-2"/>
          <w:sz w:val="30"/>
        </w:rPr>
        <w:t>statement:</w:t>
      </w:r>
    </w:p>
    <w:p w14:paraId="7E0027D5" w14:textId="77777777" w:rsidR="009A58DB" w:rsidRDefault="00000000">
      <w:pPr>
        <w:pStyle w:val="BodyText"/>
        <w:spacing w:before="15"/>
        <w:jc w:val="left"/>
      </w:pPr>
      <w:r>
        <w:t>(KB)</w:t>
      </w:r>
      <w:r>
        <w:rPr>
          <w:spacing w:val="-5"/>
        </w:rPr>
        <w:t xml:space="preserve"> </w:t>
      </w:r>
      <w:r>
        <w:t>X</w:t>
      </w:r>
      <w:r>
        <w:rPr>
          <w:spacing w:val="-3"/>
        </w:rPr>
        <w:t xml:space="preserve"> </w:t>
      </w:r>
      <w:r>
        <w:t>is</w:t>
      </w:r>
      <w:r>
        <w:rPr>
          <w:spacing w:val="-3"/>
        </w:rPr>
        <w:t xml:space="preserve"> </w:t>
      </w:r>
      <w:r>
        <w:t>knowledge,</w:t>
      </w:r>
      <w:r>
        <w:rPr>
          <w:spacing w:val="-2"/>
        </w:rPr>
        <w:t xml:space="preserve"> </w:t>
      </w:r>
      <w:r>
        <w:t>but</w:t>
      </w:r>
      <w:r>
        <w:rPr>
          <w:spacing w:val="-2"/>
        </w:rPr>
        <w:t xml:space="preserve"> </w:t>
      </w:r>
      <w:r>
        <w:t>it</w:t>
      </w:r>
      <w:r>
        <w:rPr>
          <w:spacing w:val="-3"/>
        </w:rPr>
        <w:t xml:space="preserve"> </w:t>
      </w:r>
      <w:r>
        <w:t>isn’t</w:t>
      </w:r>
      <w:r>
        <w:rPr>
          <w:spacing w:val="-3"/>
        </w:rPr>
        <w:t xml:space="preserve"> </w:t>
      </w:r>
      <w:r>
        <w:t>true</w:t>
      </w:r>
      <w:r>
        <w:rPr>
          <w:spacing w:val="-2"/>
        </w:rPr>
        <w:t xml:space="preserve"> belief</w:t>
      </w:r>
    </w:p>
    <w:p w14:paraId="7E0027D6" w14:textId="77777777" w:rsidR="009A58DB" w:rsidRDefault="009A58DB">
      <w:pPr>
        <w:pStyle w:val="BodyText"/>
        <w:spacing w:before="30"/>
        <w:ind w:left="0"/>
        <w:jc w:val="left"/>
      </w:pPr>
    </w:p>
    <w:p w14:paraId="7E0027D7" w14:textId="77777777" w:rsidR="009A58DB" w:rsidRDefault="00000000">
      <w:pPr>
        <w:spacing w:line="249" w:lineRule="auto"/>
        <w:ind w:left="360" w:right="358"/>
        <w:jc w:val="both"/>
        <w:rPr>
          <w:sz w:val="30"/>
        </w:rPr>
      </w:pPr>
      <w:r>
        <w:rPr>
          <w:sz w:val="30"/>
        </w:rPr>
        <w:t xml:space="preserve">is incoherent. But it does not </w:t>
      </w:r>
      <w:r>
        <w:rPr>
          <w:i/>
          <w:sz w:val="30"/>
        </w:rPr>
        <w:t>overtly</w:t>
      </w:r>
      <w:r>
        <w:rPr>
          <w:i/>
          <w:spacing w:val="-3"/>
          <w:sz w:val="30"/>
        </w:rPr>
        <w:t xml:space="preserve"> </w:t>
      </w:r>
      <w:r>
        <w:rPr>
          <w:sz w:val="30"/>
        </w:rPr>
        <w:t xml:space="preserve">or </w:t>
      </w:r>
      <w:r>
        <w:rPr>
          <w:i/>
          <w:sz w:val="30"/>
        </w:rPr>
        <w:t xml:space="preserve">explicitly </w:t>
      </w:r>
      <w:r>
        <w:rPr>
          <w:sz w:val="30"/>
        </w:rPr>
        <w:t xml:space="preserve">have the form </w:t>
      </w:r>
      <w:r>
        <w:rPr>
          <w:i/>
          <w:sz w:val="30"/>
        </w:rPr>
        <w:t xml:space="preserve">P and not-P. </w:t>
      </w:r>
      <w:r>
        <w:rPr>
          <w:sz w:val="30"/>
        </w:rPr>
        <w:t xml:space="preserve">Nonetheless, it </w:t>
      </w:r>
      <w:r>
        <w:rPr>
          <w:i/>
          <w:sz w:val="30"/>
        </w:rPr>
        <w:t xml:space="preserve">implicitly </w:t>
      </w:r>
      <w:r>
        <w:rPr>
          <w:sz w:val="30"/>
        </w:rPr>
        <w:t xml:space="preserve">has that form. Since any instance of knowledge is necessarily an instance of true belief, KB does, albeit implicitly, say that X simultaneously is, and is not, true belief. Therefore, KB </w:t>
      </w:r>
      <w:r>
        <w:rPr>
          <w:i/>
          <w:sz w:val="30"/>
        </w:rPr>
        <w:t xml:space="preserve">does, </w:t>
      </w:r>
      <w:r>
        <w:rPr>
          <w:sz w:val="30"/>
        </w:rPr>
        <w:t>albeit implicitly,</w:t>
      </w:r>
      <w:r>
        <w:rPr>
          <w:spacing w:val="-2"/>
          <w:sz w:val="30"/>
        </w:rPr>
        <w:t xml:space="preserve"> </w:t>
      </w:r>
      <w:r>
        <w:rPr>
          <w:sz w:val="30"/>
        </w:rPr>
        <w:t>say</w:t>
      </w:r>
      <w:r>
        <w:rPr>
          <w:spacing w:val="-2"/>
          <w:sz w:val="30"/>
        </w:rPr>
        <w:t xml:space="preserve"> </w:t>
      </w:r>
      <w:r>
        <w:rPr>
          <w:i/>
          <w:sz w:val="30"/>
        </w:rPr>
        <w:t>X</w:t>
      </w:r>
      <w:r>
        <w:rPr>
          <w:i/>
          <w:spacing w:val="-1"/>
          <w:sz w:val="30"/>
        </w:rPr>
        <w:t xml:space="preserve"> </w:t>
      </w:r>
      <w:r>
        <w:rPr>
          <w:i/>
          <w:sz w:val="30"/>
        </w:rPr>
        <w:t>is true and it</w:t>
      </w:r>
      <w:r>
        <w:rPr>
          <w:i/>
          <w:spacing w:val="-1"/>
          <w:sz w:val="30"/>
        </w:rPr>
        <w:t xml:space="preserve"> </w:t>
      </w:r>
      <w:r>
        <w:rPr>
          <w:i/>
          <w:sz w:val="30"/>
        </w:rPr>
        <w:t>is not the case that</w:t>
      </w:r>
      <w:r>
        <w:rPr>
          <w:i/>
          <w:spacing w:val="-1"/>
          <w:sz w:val="30"/>
        </w:rPr>
        <w:t xml:space="preserve"> </w:t>
      </w:r>
      <w:r>
        <w:rPr>
          <w:i/>
          <w:sz w:val="30"/>
        </w:rPr>
        <w:t>X</w:t>
      </w:r>
      <w:r>
        <w:rPr>
          <w:i/>
          <w:spacing w:val="-1"/>
          <w:sz w:val="30"/>
        </w:rPr>
        <w:t xml:space="preserve"> </w:t>
      </w:r>
      <w:r>
        <w:rPr>
          <w:i/>
          <w:sz w:val="30"/>
        </w:rPr>
        <w:t xml:space="preserve">is true belief. </w:t>
      </w:r>
      <w:r>
        <w:rPr>
          <w:sz w:val="30"/>
        </w:rPr>
        <w:t xml:space="preserve">So KB does in fact have the form </w:t>
      </w:r>
      <w:r>
        <w:rPr>
          <w:i/>
          <w:sz w:val="30"/>
        </w:rPr>
        <w:t xml:space="preserve">P and not-P, </w:t>
      </w:r>
      <w:r>
        <w:rPr>
          <w:sz w:val="30"/>
        </w:rPr>
        <w:t>that being why it is incoherent.</w:t>
      </w:r>
    </w:p>
    <w:p w14:paraId="7E0027D8" w14:textId="77777777" w:rsidR="009A58DB" w:rsidRDefault="00000000">
      <w:pPr>
        <w:pStyle w:val="BodyText"/>
        <w:spacing w:before="7" w:line="249" w:lineRule="auto"/>
        <w:ind w:right="364" w:firstLine="360"/>
        <w:rPr>
          <w:i/>
        </w:rPr>
      </w:pPr>
      <w:r>
        <w:t xml:space="preserve">Let us revisit the topic of God’s omnipotence. To say that God cannot do the impossible is therefore </w:t>
      </w:r>
      <w:r>
        <w:rPr>
          <w:i/>
        </w:rPr>
        <w:t xml:space="preserve">not </w:t>
      </w:r>
      <w:r>
        <w:t xml:space="preserve">to say that there exist certain </w:t>
      </w:r>
      <w:r>
        <w:rPr>
          <w:i/>
        </w:rPr>
        <w:t xml:space="preserve">things </w:t>
      </w:r>
      <w:r>
        <w:t>that God cannot</w:t>
      </w:r>
      <w:r>
        <w:rPr>
          <w:spacing w:val="2"/>
        </w:rPr>
        <w:t xml:space="preserve"> </w:t>
      </w:r>
      <w:r>
        <w:t>do</w:t>
      </w:r>
      <w:r>
        <w:rPr>
          <w:spacing w:val="4"/>
        </w:rPr>
        <w:t xml:space="preserve"> </w:t>
      </w:r>
      <w:r>
        <w:t>or</w:t>
      </w:r>
      <w:r>
        <w:rPr>
          <w:spacing w:val="3"/>
        </w:rPr>
        <w:t xml:space="preserve"> </w:t>
      </w:r>
      <w:r>
        <w:t>objects</w:t>
      </w:r>
      <w:r>
        <w:rPr>
          <w:spacing w:val="4"/>
        </w:rPr>
        <w:t xml:space="preserve"> </w:t>
      </w:r>
      <w:r>
        <w:t>that</w:t>
      </w:r>
      <w:r>
        <w:rPr>
          <w:spacing w:val="3"/>
        </w:rPr>
        <w:t xml:space="preserve"> </w:t>
      </w:r>
      <w:r>
        <w:t>He</w:t>
      </w:r>
      <w:r>
        <w:rPr>
          <w:spacing w:val="4"/>
        </w:rPr>
        <w:t xml:space="preserve"> </w:t>
      </w:r>
      <w:r>
        <w:t>cannot</w:t>
      </w:r>
      <w:r>
        <w:rPr>
          <w:spacing w:val="3"/>
        </w:rPr>
        <w:t xml:space="preserve"> </w:t>
      </w:r>
      <w:r>
        <w:t>create.</w:t>
      </w:r>
      <w:r>
        <w:rPr>
          <w:spacing w:val="3"/>
        </w:rPr>
        <w:t xml:space="preserve"> </w:t>
      </w:r>
      <w:r>
        <w:t>There</w:t>
      </w:r>
      <w:r>
        <w:rPr>
          <w:spacing w:val="4"/>
        </w:rPr>
        <w:t xml:space="preserve"> </w:t>
      </w:r>
      <w:r>
        <w:t>exist</w:t>
      </w:r>
      <w:r>
        <w:rPr>
          <w:spacing w:val="3"/>
        </w:rPr>
        <w:t xml:space="preserve"> </w:t>
      </w:r>
      <w:r>
        <w:t>no</w:t>
      </w:r>
      <w:r>
        <w:rPr>
          <w:spacing w:val="4"/>
        </w:rPr>
        <w:t xml:space="preserve"> </w:t>
      </w:r>
      <w:r>
        <w:t>impossible</w:t>
      </w:r>
      <w:r>
        <w:rPr>
          <w:spacing w:val="4"/>
        </w:rPr>
        <w:t xml:space="preserve"> </w:t>
      </w:r>
      <w:r>
        <w:rPr>
          <w:i/>
          <w:spacing w:val="-2"/>
        </w:rPr>
        <w:t>objects.</w:t>
      </w:r>
    </w:p>
    <w:p w14:paraId="7E0027D9"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27DA" w14:textId="77777777" w:rsidR="009A58DB" w:rsidRDefault="00000000">
      <w:pPr>
        <w:pStyle w:val="BodyText"/>
        <w:spacing w:before="60" w:line="249" w:lineRule="auto"/>
        <w:ind w:right="359"/>
      </w:pPr>
      <w:r>
        <w:lastRenderedPageBreak/>
        <w:t xml:space="preserve">If something exists, then it isn’t impossible. But there are incoherent </w:t>
      </w:r>
      <w:r>
        <w:rPr>
          <w:i/>
        </w:rPr>
        <w:t xml:space="preserve">statements. </w:t>
      </w:r>
      <w:r>
        <w:t xml:space="preserve">And when we say that “square circles” are impossible, we are saying that </w:t>
      </w:r>
      <w:r>
        <w:rPr>
          <w:i/>
        </w:rPr>
        <w:t xml:space="preserve">statements </w:t>
      </w:r>
      <w:r>
        <w:t xml:space="preserve">of the form </w:t>
      </w:r>
      <w:r>
        <w:rPr>
          <w:i/>
        </w:rPr>
        <w:t xml:space="preserve">X is a square circle </w:t>
      </w:r>
      <w:r>
        <w:t xml:space="preserve">are selfundermining. An incoherent statement is one that does not, ultimately, say </w:t>
      </w:r>
      <w:r>
        <w:rPr>
          <w:i/>
        </w:rPr>
        <w:t xml:space="preserve">anything </w:t>
      </w:r>
      <w:r>
        <w:t>(since</w:t>
      </w:r>
      <w:r>
        <w:rPr>
          <w:spacing w:val="40"/>
        </w:rPr>
        <w:t xml:space="preserve"> </w:t>
      </w:r>
      <w:r>
        <w:t>it denies, and therefore retracts, what it affirms). So there is nothing that God’s</w:t>
      </w:r>
      <w:r>
        <w:rPr>
          <w:spacing w:val="-2"/>
        </w:rPr>
        <w:t xml:space="preserve"> </w:t>
      </w:r>
      <w:r>
        <w:t>“inability,”</w:t>
      </w:r>
      <w:r>
        <w:rPr>
          <w:spacing w:val="-2"/>
        </w:rPr>
        <w:t xml:space="preserve"> </w:t>
      </w:r>
      <w:r>
        <w:t>so</w:t>
      </w:r>
      <w:r>
        <w:rPr>
          <w:spacing w:val="-1"/>
        </w:rPr>
        <w:t xml:space="preserve"> </w:t>
      </w:r>
      <w:r>
        <w:t>to</w:t>
      </w:r>
      <w:r>
        <w:rPr>
          <w:spacing w:val="-1"/>
        </w:rPr>
        <w:t xml:space="preserve"> </w:t>
      </w:r>
      <w:r>
        <w:t>speak,</w:t>
      </w:r>
      <w:r>
        <w:rPr>
          <w:spacing w:val="-1"/>
        </w:rPr>
        <w:t xml:space="preserve"> </w:t>
      </w:r>
      <w:r>
        <w:t>to</w:t>
      </w:r>
      <w:r>
        <w:rPr>
          <w:spacing w:val="-1"/>
        </w:rPr>
        <w:t xml:space="preserve"> </w:t>
      </w:r>
      <w:r>
        <w:t>create</w:t>
      </w:r>
      <w:r>
        <w:rPr>
          <w:spacing w:val="-2"/>
        </w:rPr>
        <w:t xml:space="preserve"> </w:t>
      </w:r>
      <w:r>
        <w:t>square</w:t>
      </w:r>
      <w:r>
        <w:rPr>
          <w:spacing w:val="-2"/>
        </w:rPr>
        <w:t xml:space="preserve"> </w:t>
      </w:r>
      <w:r>
        <w:t>circles</w:t>
      </w:r>
      <w:r>
        <w:rPr>
          <w:spacing w:val="-2"/>
        </w:rPr>
        <w:t xml:space="preserve"> </w:t>
      </w:r>
      <w:r>
        <w:t>is</w:t>
      </w:r>
      <w:r>
        <w:rPr>
          <w:spacing w:val="-2"/>
        </w:rPr>
        <w:t xml:space="preserve"> </w:t>
      </w:r>
      <w:r>
        <w:t>an</w:t>
      </w:r>
      <w:r>
        <w:rPr>
          <w:spacing w:val="-1"/>
        </w:rPr>
        <w:t xml:space="preserve"> </w:t>
      </w:r>
      <w:r>
        <w:t>inability</w:t>
      </w:r>
      <w:r>
        <w:rPr>
          <w:spacing w:val="-1"/>
        </w:rPr>
        <w:t xml:space="preserve"> </w:t>
      </w:r>
      <w:r>
        <w:t>to</w:t>
      </w:r>
      <w:r>
        <w:rPr>
          <w:spacing w:val="-1"/>
        </w:rPr>
        <w:t xml:space="preserve"> </w:t>
      </w:r>
      <w:r>
        <w:t>create.</w:t>
      </w:r>
    </w:p>
    <w:p w14:paraId="7E0027DB" w14:textId="77777777" w:rsidR="009A58DB" w:rsidRDefault="00000000">
      <w:pPr>
        <w:pStyle w:val="Heading1"/>
        <w:numPr>
          <w:ilvl w:val="1"/>
          <w:numId w:val="45"/>
        </w:numPr>
        <w:tabs>
          <w:tab w:val="left" w:pos="990"/>
        </w:tabs>
        <w:spacing w:before="200"/>
      </w:pPr>
      <w:r>
        <w:t>Incoherence</w:t>
      </w:r>
      <w:r>
        <w:rPr>
          <w:spacing w:val="-8"/>
        </w:rPr>
        <w:t xml:space="preserve"> </w:t>
      </w:r>
      <w:r>
        <w:t>versus</w:t>
      </w:r>
      <w:r>
        <w:rPr>
          <w:spacing w:val="-7"/>
        </w:rPr>
        <w:t xml:space="preserve"> </w:t>
      </w:r>
      <w:r>
        <w:rPr>
          <w:spacing w:val="-2"/>
        </w:rPr>
        <w:t>meaninglessness</w:t>
      </w:r>
    </w:p>
    <w:p w14:paraId="7E0027DC" w14:textId="77777777" w:rsidR="009A58DB" w:rsidRDefault="00000000">
      <w:pPr>
        <w:pStyle w:val="BodyText"/>
        <w:spacing w:before="139" w:line="249" w:lineRule="auto"/>
        <w:ind w:right="359"/>
      </w:pPr>
      <w:r>
        <w:t xml:space="preserve">A moment ago, I said that, ultimately, an incoherent statement is one that doesn’t say anything. This statement must be understood aright. The </w:t>
      </w:r>
      <w:r>
        <w:rPr>
          <w:spacing w:val="-2"/>
        </w:rPr>
        <w:t>statement:</w:t>
      </w:r>
    </w:p>
    <w:p w14:paraId="7E0027DD" w14:textId="77777777" w:rsidR="009A58DB" w:rsidRDefault="009A58DB">
      <w:pPr>
        <w:pStyle w:val="BodyText"/>
        <w:spacing w:before="19"/>
        <w:ind w:left="0"/>
        <w:jc w:val="left"/>
      </w:pPr>
    </w:p>
    <w:p w14:paraId="7E0027DE" w14:textId="77777777" w:rsidR="009A58DB" w:rsidRDefault="00000000">
      <w:pPr>
        <w:pStyle w:val="ListParagraph"/>
        <w:numPr>
          <w:ilvl w:val="0"/>
          <w:numId w:val="44"/>
        </w:numPr>
        <w:tabs>
          <w:tab w:val="left" w:pos="848"/>
        </w:tabs>
        <w:ind w:left="848" w:hanging="488"/>
        <w:rPr>
          <w:sz w:val="30"/>
        </w:rPr>
      </w:pPr>
      <w:r>
        <w:rPr>
          <w:sz w:val="30"/>
        </w:rPr>
        <w:t>X</w:t>
      </w:r>
      <w:r>
        <w:rPr>
          <w:spacing w:val="-2"/>
          <w:sz w:val="30"/>
        </w:rPr>
        <w:t xml:space="preserve"> </w:t>
      </w:r>
      <w:r>
        <w:rPr>
          <w:sz w:val="30"/>
        </w:rPr>
        <w:t>is</w:t>
      </w:r>
      <w:r>
        <w:rPr>
          <w:spacing w:val="-2"/>
          <w:sz w:val="30"/>
        </w:rPr>
        <w:t xml:space="preserve"> </w:t>
      </w:r>
      <w:r>
        <w:rPr>
          <w:sz w:val="30"/>
        </w:rPr>
        <w:t>a</w:t>
      </w:r>
      <w:r>
        <w:rPr>
          <w:spacing w:val="-2"/>
          <w:sz w:val="30"/>
        </w:rPr>
        <w:t xml:space="preserve"> </w:t>
      </w:r>
      <w:r>
        <w:rPr>
          <w:sz w:val="30"/>
        </w:rPr>
        <w:t>square</w:t>
      </w:r>
      <w:r>
        <w:rPr>
          <w:spacing w:val="-2"/>
          <w:sz w:val="30"/>
        </w:rPr>
        <w:t xml:space="preserve"> circle</w:t>
      </w:r>
    </w:p>
    <w:p w14:paraId="7E0027DF" w14:textId="77777777" w:rsidR="009A58DB" w:rsidRDefault="009A58DB">
      <w:pPr>
        <w:pStyle w:val="BodyText"/>
        <w:spacing w:before="30"/>
        <w:ind w:left="0"/>
        <w:jc w:val="left"/>
      </w:pPr>
    </w:p>
    <w:p w14:paraId="7E0027E0" w14:textId="77777777" w:rsidR="009A58DB" w:rsidRDefault="00000000">
      <w:pPr>
        <w:pStyle w:val="BodyText"/>
        <w:spacing w:line="249" w:lineRule="auto"/>
        <w:ind w:right="361"/>
      </w:pPr>
      <w:r>
        <w:t xml:space="preserve">is obviously, at some level, meaningful; and it obviously does say </w:t>
      </w:r>
      <w:r>
        <w:rPr>
          <w:i/>
        </w:rPr>
        <w:t xml:space="preserve">something. </w:t>
      </w:r>
      <w:r>
        <w:t>An example of a completely meaningless utterance—one that simply fails to say anything at all—would be:</w:t>
      </w:r>
    </w:p>
    <w:p w14:paraId="7E0027E1" w14:textId="77777777" w:rsidR="009A58DB" w:rsidRDefault="009A58DB">
      <w:pPr>
        <w:pStyle w:val="BodyText"/>
        <w:spacing w:before="18"/>
        <w:ind w:left="0"/>
        <w:jc w:val="left"/>
      </w:pPr>
    </w:p>
    <w:p w14:paraId="7E0027E2" w14:textId="77777777" w:rsidR="009A58DB" w:rsidRDefault="00000000">
      <w:pPr>
        <w:pStyle w:val="ListParagraph"/>
        <w:numPr>
          <w:ilvl w:val="0"/>
          <w:numId w:val="44"/>
        </w:numPr>
        <w:tabs>
          <w:tab w:val="left" w:pos="831"/>
        </w:tabs>
        <w:spacing w:before="1"/>
        <w:ind w:left="831" w:hanging="471"/>
        <w:rPr>
          <w:sz w:val="30"/>
        </w:rPr>
      </w:pPr>
      <w:r>
        <w:rPr>
          <w:sz w:val="30"/>
        </w:rPr>
        <w:t>Frog</w:t>
      </w:r>
      <w:r>
        <w:rPr>
          <w:spacing w:val="-3"/>
          <w:sz w:val="30"/>
        </w:rPr>
        <w:t xml:space="preserve"> </w:t>
      </w:r>
      <w:r>
        <w:rPr>
          <w:sz w:val="30"/>
        </w:rPr>
        <w:t>the</w:t>
      </w:r>
      <w:r>
        <w:rPr>
          <w:spacing w:val="-4"/>
          <w:sz w:val="30"/>
        </w:rPr>
        <w:t xml:space="preserve"> </w:t>
      </w:r>
      <w:r>
        <w:rPr>
          <w:sz w:val="30"/>
        </w:rPr>
        <w:t>marathon</w:t>
      </w:r>
      <w:r>
        <w:rPr>
          <w:spacing w:val="-3"/>
          <w:sz w:val="30"/>
        </w:rPr>
        <w:t xml:space="preserve"> </w:t>
      </w:r>
      <w:r>
        <w:rPr>
          <w:sz w:val="30"/>
        </w:rPr>
        <w:t>pool</w:t>
      </w:r>
      <w:r>
        <w:rPr>
          <w:spacing w:val="-4"/>
          <w:sz w:val="30"/>
        </w:rPr>
        <w:t xml:space="preserve"> </w:t>
      </w:r>
      <w:r>
        <w:rPr>
          <w:sz w:val="30"/>
        </w:rPr>
        <w:t>clearly</w:t>
      </w:r>
      <w:r>
        <w:rPr>
          <w:spacing w:val="-2"/>
          <w:sz w:val="30"/>
        </w:rPr>
        <w:t xml:space="preserve"> dabble.</w:t>
      </w:r>
    </w:p>
    <w:p w14:paraId="7E0027E3" w14:textId="77777777" w:rsidR="009A58DB" w:rsidRDefault="009A58DB">
      <w:pPr>
        <w:pStyle w:val="BodyText"/>
        <w:spacing w:before="29"/>
        <w:ind w:left="0"/>
        <w:jc w:val="left"/>
      </w:pPr>
    </w:p>
    <w:p w14:paraId="7E0027E4" w14:textId="77777777" w:rsidR="009A58DB" w:rsidRDefault="00000000">
      <w:pPr>
        <w:pStyle w:val="BodyText"/>
        <w:spacing w:before="1" w:line="249" w:lineRule="auto"/>
        <w:ind w:right="360"/>
      </w:pPr>
      <w:r>
        <w:t>It is clear that (A) is incoherent. But it is not clear that (A) is meaningless. Indeed, (A) seems to be far from meaningless. By contrast, (B) seems to be quite</w:t>
      </w:r>
      <w:r>
        <w:rPr>
          <w:spacing w:val="-4"/>
        </w:rPr>
        <w:t xml:space="preserve"> </w:t>
      </w:r>
      <w:r>
        <w:t>meaningless—so</w:t>
      </w:r>
      <w:r>
        <w:rPr>
          <w:spacing w:val="-3"/>
        </w:rPr>
        <w:t xml:space="preserve"> </w:t>
      </w:r>
      <w:r>
        <w:t>meaningless,</w:t>
      </w:r>
      <w:r>
        <w:rPr>
          <w:spacing w:val="-3"/>
        </w:rPr>
        <w:t xml:space="preserve"> </w:t>
      </w:r>
      <w:r>
        <w:t>in</w:t>
      </w:r>
      <w:r>
        <w:rPr>
          <w:spacing w:val="-3"/>
        </w:rPr>
        <w:t xml:space="preserve"> </w:t>
      </w:r>
      <w:r>
        <w:t>fact,</w:t>
      </w:r>
      <w:r>
        <w:rPr>
          <w:spacing w:val="-3"/>
        </w:rPr>
        <w:t xml:space="preserve"> </w:t>
      </w:r>
      <w:r>
        <w:t>that</w:t>
      </w:r>
      <w:r>
        <w:rPr>
          <w:spacing w:val="-4"/>
        </w:rPr>
        <w:t xml:space="preserve"> </w:t>
      </w:r>
      <w:r>
        <w:t>it’s</w:t>
      </w:r>
      <w:r>
        <w:rPr>
          <w:spacing w:val="-4"/>
        </w:rPr>
        <w:t xml:space="preserve"> </w:t>
      </w:r>
      <w:r>
        <w:t>not</w:t>
      </w:r>
      <w:r>
        <w:rPr>
          <w:spacing w:val="-4"/>
        </w:rPr>
        <w:t xml:space="preserve"> </w:t>
      </w:r>
      <w:r>
        <w:t>even</w:t>
      </w:r>
      <w:r>
        <w:rPr>
          <w:spacing w:val="-3"/>
        </w:rPr>
        <w:t xml:space="preserve"> </w:t>
      </w:r>
      <w:r>
        <w:t>clear</w:t>
      </w:r>
      <w:r>
        <w:rPr>
          <w:spacing w:val="-4"/>
        </w:rPr>
        <w:t xml:space="preserve"> </w:t>
      </w:r>
      <w:r>
        <w:t>if</w:t>
      </w:r>
      <w:r>
        <w:rPr>
          <w:spacing w:val="-4"/>
        </w:rPr>
        <w:t xml:space="preserve"> </w:t>
      </w:r>
      <w:r>
        <w:t>it</w:t>
      </w:r>
      <w:r>
        <w:rPr>
          <w:spacing w:val="-4"/>
        </w:rPr>
        <w:t xml:space="preserve"> </w:t>
      </w:r>
      <w:r>
        <w:t>can</w:t>
      </w:r>
      <w:r>
        <w:rPr>
          <w:spacing w:val="-3"/>
        </w:rPr>
        <w:t xml:space="preserve"> </w:t>
      </w:r>
      <w:r>
        <w:t>be described as “incoherent.” (A) and (B) are obviously not in the same</w:t>
      </w:r>
      <w:r>
        <w:rPr>
          <w:spacing w:val="40"/>
        </w:rPr>
        <w:t xml:space="preserve"> </w:t>
      </w:r>
      <w:r>
        <w:rPr>
          <w:spacing w:val="-2"/>
        </w:rPr>
        <w:t>category.</w:t>
      </w:r>
    </w:p>
    <w:p w14:paraId="7E0027E5" w14:textId="77777777" w:rsidR="009A58DB" w:rsidRDefault="00000000">
      <w:pPr>
        <w:pStyle w:val="BodyText"/>
        <w:spacing w:before="6" w:line="249" w:lineRule="auto"/>
        <w:ind w:right="365" w:firstLine="360"/>
      </w:pPr>
      <w:r>
        <w:t xml:space="preserve">A related point is that, whereas (B) doesn’t say anything, (A) very much </w:t>
      </w:r>
      <w:r>
        <w:rPr>
          <w:i/>
        </w:rPr>
        <w:t xml:space="preserve">does </w:t>
      </w:r>
      <w:r>
        <w:t>seem to say something, albeit something defective. And this, of course, is why (A) and (B) are clearly not in the same category, notwithstanding that they are both failed statements. What, then, is the difference between incoherence and meaninglessness? And in what sense, if any, does (A) fail to say anything?</w:t>
      </w:r>
    </w:p>
    <w:p w14:paraId="7E0027E6" w14:textId="77777777" w:rsidR="009A58DB" w:rsidRDefault="00000000">
      <w:pPr>
        <w:pStyle w:val="BodyText"/>
        <w:spacing w:before="7" w:line="249" w:lineRule="auto"/>
        <w:ind w:right="362" w:firstLine="360"/>
        <w:rPr>
          <w:i/>
        </w:rPr>
      </w:pPr>
      <w:r>
        <w:rPr>
          <w:spacing w:val="-4"/>
        </w:rPr>
        <w:t>For</w:t>
      </w:r>
      <w:r>
        <w:rPr>
          <w:spacing w:val="-15"/>
        </w:rPr>
        <w:t xml:space="preserve"> </w:t>
      </w:r>
      <w:r>
        <w:rPr>
          <w:spacing w:val="-4"/>
        </w:rPr>
        <w:t>a</w:t>
      </w:r>
      <w:r>
        <w:rPr>
          <w:spacing w:val="-15"/>
        </w:rPr>
        <w:t xml:space="preserve"> </w:t>
      </w:r>
      <w:r>
        <w:rPr>
          <w:spacing w:val="-4"/>
        </w:rPr>
        <w:t>statement</w:t>
      </w:r>
      <w:r>
        <w:rPr>
          <w:spacing w:val="-15"/>
        </w:rPr>
        <w:t xml:space="preserve"> </w:t>
      </w:r>
      <w:r>
        <w:rPr>
          <w:spacing w:val="-4"/>
        </w:rPr>
        <w:t>to</w:t>
      </w:r>
      <w:r>
        <w:rPr>
          <w:spacing w:val="-14"/>
        </w:rPr>
        <w:t xml:space="preserve"> </w:t>
      </w:r>
      <w:r>
        <w:rPr>
          <w:spacing w:val="-4"/>
        </w:rPr>
        <w:t>be</w:t>
      </w:r>
      <w:r>
        <w:rPr>
          <w:spacing w:val="-15"/>
        </w:rPr>
        <w:t xml:space="preserve"> </w:t>
      </w:r>
      <w:r>
        <w:rPr>
          <w:spacing w:val="-4"/>
        </w:rPr>
        <w:t>meaningless</w:t>
      </w:r>
      <w:r>
        <w:rPr>
          <w:spacing w:val="-15"/>
        </w:rPr>
        <w:t xml:space="preserve"> </w:t>
      </w:r>
      <w:r>
        <w:rPr>
          <w:spacing w:val="-4"/>
        </w:rPr>
        <w:t>is</w:t>
      </w:r>
      <w:r>
        <w:rPr>
          <w:spacing w:val="-15"/>
        </w:rPr>
        <w:t xml:space="preserve"> </w:t>
      </w:r>
      <w:r>
        <w:rPr>
          <w:spacing w:val="-4"/>
        </w:rPr>
        <w:t>for</w:t>
      </w:r>
      <w:r>
        <w:rPr>
          <w:spacing w:val="-14"/>
        </w:rPr>
        <w:t xml:space="preserve"> </w:t>
      </w:r>
      <w:r>
        <w:rPr>
          <w:spacing w:val="-4"/>
        </w:rPr>
        <w:t>it</w:t>
      </w:r>
      <w:r>
        <w:rPr>
          <w:spacing w:val="-15"/>
        </w:rPr>
        <w:t xml:space="preserve"> </w:t>
      </w:r>
      <w:r>
        <w:rPr>
          <w:spacing w:val="-4"/>
        </w:rPr>
        <w:t>to</w:t>
      </w:r>
      <w:r>
        <w:rPr>
          <w:spacing w:val="-15"/>
        </w:rPr>
        <w:t xml:space="preserve"> </w:t>
      </w:r>
      <w:r>
        <w:rPr>
          <w:spacing w:val="-4"/>
        </w:rPr>
        <w:t>have</w:t>
      </w:r>
      <w:r>
        <w:rPr>
          <w:spacing w:val="-15"/>
        </w:rPr>
        <w:t xml:space="preserve"> </w:t>
      </w:r>
      <w:r>
        <w:rPr>
          <w:i/>
          <w:spacing w:val="-4"/>
        </w:rPr>
        <w:t>no</w:t>
      </w:r>
      <w:r>
        <w:rPr>
          <w:i/>
          <w:spacing w:val="-14"/>
        </w:rPr>
        <w:t xml:space="preserve"> </w:t>
      </w:r>
      <w:r>
        <w:rPr>
          <w:spacing w:val="-4"/>
        </w:rPr>
        <w:t>meaning.</w:t>
      </w:r>
      <w:r>
        <w:rPr>
          <w:spacing w:val="-15"/>
        </w:rPr>
        <w:t xml:space="preserve"> </w:t>
      </w:r>
      <w:r>
        <w:rPr>
          <w:spacing w:val="-4"/>
        </w:rPr>
        <w:t>For</w:t>
      </w:r>
      <w:r>
        <w:rPr>
          <w:spacing w:val="-15"/>
        </w:rPr>
        <w:t xml:space="preserve"> </w:t>
      </w:r>
      <w:r>
        <w:rPr>
          <w:spacing w:val="-4"/>
        </w:rPr>
        <w:t>a</w:t>
      </w:r>
      <w:r>
        <w:rPr>
          <w:spacing w:val="-15"/>
        </w:rPr>
        <w:t xml:space="preserve"> </w:t>
      </w:r>
      <w:r>
        <w:rPr>
          <w:spacing w:val="-4"/>
        </w:rPr>
        <w:t xml:space="preserve">statement </w:t>
      </w:r>
      <w:r>
        <w:t>to</w:t>
      </w:r>
      <w:r>
        <w:rPr>
          <w:spacing w:val="-9"/>
        </w:rPr>
        <w:t xml:space="preserve"> </w:t>
      </w:r>
      <w:r>
        <w:t>be incoherent is for it to have two (or more)</w:t>
      </w:r>
      <w:r>
        <w:rPr>
          <w:spacing w:val="-19"/>
        </w:rPr>
        <w:t xml:space="preserve"> </w:t>
      </w:r>
      <w:r>
        <w:rPr>
          <w:i/>
        </w:rPr>
        <w:t>opposed</w:t>
      </w:r>
      <w:r>
        <w:rPr>
          <w:i/>
          <w:spacing w:val="-19"/>
        </w:rPr>
        <w:t xml:space="preserve"> </w:t>
      </w:r>
      <w:r>
        <w:t>meanings. (B) has</w:t>
      </w:r>
      <w:r>
        <w:rPr>
          <w:spacing w:val="-19"/>
        </w:rPr>
        <w:t xml:space="preserve"> </w:t>
      </w:r>
      <w:r>
        <w:rPr>
          <w:i/>
        </w:rPr>
        <w:t xml:space="preserve">no </w:t>
      </w:r>
      <w:r>
        <w:t>meaning.</w:t>
      </w:r>
      <w:r>
        <w:rPr>
          <w:spacing w:val="-19"/>
        </w:rPr>
        <w:t xml:space="preserve"> </w:t>
      </w:r>
      <w:r>
        <w:t>It</w:t>
      </w:r>
      <w:r>
        <w:rPr>
          <w:spacing w:val="-19"/>
        </w:rPr>
        <w:t xml:space="preserve"> </w:t>
      </w:r>
      <w:r>
        <w:t>doesn’t</w:t>
      </w:r>
      <w:r>
        <w:rPr>
          <w:spacing w:val="-19"/>
        </w:rPr>
        <w:t xml:space="preserve"> </w:t>
      </w:r>
      <w:r>
        <w:t>say</w:t>
      </w:r>
      <w:r>
        <w:rPr>
          <w:spacing w:val="-18"/>
        </w:rPr>
        <w:t xml:space="preserve"> </w:t>
      </w:r>
      <w:r>
        <w:t>anything.</w:t>
      </w:r>
      <w:r>
        <w:rPr>
          <w:spacing w:val="-19"/>
        </w:rPr>
        <w:t xml:space="preserve"> </w:t>
      </w:r>
      <w:r>
        <w:t>By</w:t>
      </w:r>
      <w:r>
        <w:rPr>
          <w:spacing w:val="-19"/>
        </w:rPr>
        <w:t xml:space="preserve"> </w:t>
      </w:r>
      <w:r>
        <w:t>contrast,</w:t>
      </w:r>
      <w:r>
        <w:rPr>
          <w:spacing w:val="-19"/>
        </w:rPr>
        <w:t xml:space="preserve"> </w:t>
      </w:r>
      <w:r>
        <w:t>(A)</w:t>
      </w:r>
      <w:r>
        <w:rPr>
          <w:spacing w:val="-18"/>
        </w:rPr>
        <w:t xml:space="preserve"> </w:t>
      </w:r>
      <w:r>
        <w:t>has</w:t>
      </w:r>
      <w:r>
        <w:rPr>
          <w:spacing w:val="-19"/>
        </w:rPr>
        <w:t xml:space="preserve"> </w:t>
      </w:r>
      <w:r>
        <w:rPr>
          <w:i/>
        </w:rPr>
        <w:t>two</w:t>
      </w:r>
    </w:p>
    <w:p w14:paraId="7E0027E7" w14:textId="77777777" w:rsidR="009A58DB" w:rsidRDefault="00000000">
      <w:pPr>
        <w:pStyle w:val="BodyText"/>
        <w:spacing w:before="4"/>
      </w:pPr>
      <w:r>
        <w:t>meanings.</w:t>
      </w:r>
      <w:r>
        <w:rPr>
          <w:spacing w:val="18"/>
        </w:rPr>
        <w:t xml:space="preserve"> </w:t>
      </w:r>
      <w:r>
        <w:t>(It</w:t>
      </w:r>
      <w:r>
        <w:rPr>
          <w:spacing w:val="21"/>
        </w:rPr>
        <w:t xml:space="preserve"> </w:t>
      </w:r>
      <w:r>
        <w:t>says,</w:t>
      </w:r>
      <w:r>
        <w:rPr>
          <w:spacing w:val="20"/>
        </w:rPr>
        <w:t xml:space="preserve"> </w:t>
      </w:r>
      <w:r>
        <w:t>on</w:t>
      </w:r>
      <w:r>
        <w:rPr>
          <w:spacing w:val="21"/>
        </w:rPr>
        <w:t xml:space="preserve"> </w:t>
      </w:r>
      <w:r>
        <w:t>the</w:t>
      </w:r>
      <w:r>
        <w:rPr>
          <w:spacing w:val="21"/>
        </w:rPr>
        <w:t xml:space="preserve"> </w:t>
      </w:r>
      <w:r>
        <w:t>one</w:t>
      </w:r>
      <w:r>
        <w:rPr>
          <w:spacing w:val="20"/>
        </w:rPr>
        <w:t xml:space="preserve"> </w:t>
      </w:r>
      <w:r>
        <w:t>hand,</w:t>
      </w:r>
      <w:r>
        <w:rPr>
          <w:spacing w:val="21"/>
        </w:rPr>
        <w:t xml:space="preserve"> </w:t>
      </w:r>
      <w:r>
        <w:t>that</w:t>
      </w:r>
      <w:r>
        <w:rPr>
          <w:spacing w:val="21"/>
        </w:rPr>
        <w:t xml:space="preserve"> </w:t>
      </w:r>
      <w:r>
        <w:t>X</w:t>
      </w:r>
      <w:r>
        <w:rPr>
          <w:spacing w:val="21"/>
        </w:rPr>
        <w:t xml:space="preserve"> </w:t>
      </w:r>
      <w:r>
        <w:t>has</w:t>
      </w:r>
      <w:r>
        <w:rPr>
          <w:spacing w:val="21"/>
        </w:rPr>
        <w:t xml:space="preserve"> </w:t>
      </w:r>
      <w:r>
        <w:t>four</w:t>
      </w:r>
      <w:r>
        <w:rPr>
          <w:spacing w:val="20"/>
        </w:rPr>
        <w:t xml:space="preserve"> </w:t>
      </w:r>
      <w:r>
        <w:t>sides</w:t>
      </w:r>
      <w:r>
        <w:rPr>
          <w:spacing w:val="21"/>
        </w:rPr>
        <w:t xml:space="preserve"> </w:t>
      </w:r>
      <w:r>
        <w:t>and,</w:t>
      </w:r>
      <w:r>
        <w:rPr>
          <w:spacing w:val="20"/>
        </w:rPr>
        <w:t xml:space="preserve"> </w:t>
      </w:r>
      <w:r>
        <w:t>on</w:t>
      </w:r>
      <w:r>
        <w:rPr>
          <w:spacing w:val="21"/>
        </w:rPr>
        <w:t xml:space="preserve"> </w:t>
      </w:r>
      <w:r>
        <w:t>the</w:t>
      </w:r>
      <w:r>
        <w:rPr>
          <w:spacing w:val="21"/>
        </w:rPr>
        <w:t xml:space="preserve"> </w:t>
      </w:r>
      <w:r>
        <w:rPr>
          <w:spacing w:val="-2"/>
        </w:rPr>
        <w:t>other,</w:t>
      </w:r>
    </w:p>
    <w:p w14:paraId="7E0027E8" w14:textId="77777777" w:rsidR="009A58DB" w:rsidRDefault="009A58DB">
      <w:pPr>
        <w:pStyle w:val="BodyText"/>
        <w:sectPr w:rsidR="009A58DB">
          <w:pgSz w:w="12240" w:h="15840"/>
          <w:pgMar w:top="1380" w:right="1080" w:bottom="280" w:left="1080" w:header="720" w:footer="720" w:gutter="0"/>
          <w:cols w:space="720"/>
        </w:sectPr>
      </w:pPr>
    </w:p>
    <w:p w14:paraId="7E0027E9" w14:textId="77777777" w:rsidR="009A58DB" w:rsidRDefault="00000000">
      <w:pPr>
        <w:pStyle w:val="BodyText"/>
        <w:spacing w:before="60"/>
      </w:pPr>
      <w:r>
        <w:lastRenderedPageBreak/>
        <w:t>that</w:t>
      </w:r>
      <w:r>
        <w:rPr>
          <w:spacing w:val="14"/>
        </w:rPr>
        <w:t xml:space="preserve"> </w:t>
      </w:r>
      <w:r>
        <w:t>X</w:t>
      </w:r>
      <w:r>
        <w:rPr>
          <w:spacing w:val="16"/>
        </w:rPr>
        <w:t xml:space="preserve"> </w:t>
      </w:r>
      <w:r>
        <w:t>has</w:t>
      </w:r>
      <w:r>
        <w:rPr>
          <w:spacing w:val="16"/>
        </w:rPr>
        <w:t xml:space="preserve"> </w:t>
      </w:r>
      <w:r>
        <w:t>no</w:t>
      </w:r>
      <w:r>
        <w:rPr>
          <w:spacing w:val="16"/>
        </w:rPr>
        <w:t xml:space="preserve"> </w:t>
      </w:r>
      <w:r>
        <w:t>sides</w:t>
      </w:r>
      <w:r>
        <w:rPr>
          <w:spacing w:val="16"/>
        </w:rPr>
        <w:t xml:space="preserve"> </w:t>
      </w:r>
      <w:r>
        <w:t>and</w:t>
      </w:r>
      <w:r>
        <w:rPr>
          <w:spacing w:val="16"/>
        </w:rPr>
        <w:t xml:space="preserve"> </w:t>
      </w:r>
      <w:r>
        <w:t>therefore</w:t>
      </w:r>
      <w:r>
        <w:rPr>
          <w:spacing w:val="16"/>
        </w:rPr>
        <w:t xml:space="preserve"> </w:t>
      </w:r>
      <w:r>
        <w:t>less</w:t>
      </w:r>
      <w:r>
        <w:rPr>
          <w:spacing w:val="17"/>
        </w:rPr>
        <w:t xml:space="preserve"> </w:t>
      </w:r>
      <w:r>
        <w:t>than</w:t>
      </w:r>
      <w:r>
        <w:rPr>
          <w:spacing w:val="16"/>
        </w:rPr>
        <w:t xml:space="preserve"> </w:t>
      </w:r>
      <w:r>
        <w:t>four</w:t>
      </w:r>
      <w:r>
        <w:rPr>
          <w:spacing w:val="16"/>
        </w:rPr>
        <w:t xml:space="preserve"> </w:t>
      </w:r>
      <w:r>
        <w:t>sides.)</w:t>
      </w:r>
      <w:r>
        <w:rPr>
          <w:spacing w:val="16"/>
        </w:rPr>
        <w:t xml:space="preserve"> </w:t>
      </w:r>
      <w:r>
        <w:t>So,</w:t>
      </w:r>
      <w:r>
        <w:rPr>
          <w:spacing w:val="16"/>
        </w:rPr>
        <w:t xml:space="preserve"> </w:t>
      </w:r>
      <w:r>
        <w:t>in</w:t>
      </w:r>
      <w:r>
        <w:rPr>
          <w:spacing w:val="16"/>
        </w:rPr>
        <w:t xml:space="preserve"> </w:t>
      </w:r>
      <w:r>
        <w:t>the</w:t>
      </w:r>
      <w:r>
        <w:rPr>
          <w:spacing w:val="16"/>
        </w:rPr>
        <w:t xml:space="preserve"> </w:t>
      </w:r>
      <w:r>
        <w:t>short</w:t>
      </w:r>
      <w:r>
        <w:rPr>
          <w:spacing w:val="17"/>
        </w:rPr>
        <w:t xml:space="preserve"> </w:t>
      </w:r>
      <w:r>
        <w:rPr>
          <w:spacing w:val="-2"/>
        </w:rPr>
        <w:t>term,</w:t>
      </w:r>
    </w:p>
    <w:p w14:paraId="7E0027EA" w14:textId="77777777" w:rsidR="009A58DB" w:rsidRDefault="00000000">
      <w:pPr>
        <w:pStyle w:val="BodyText"/>
        <w:spacing w:before="15" w:line="249" w:lineRule="auto"/>
        <w:ind w:right="371"/>
        <w:rPr>
          <w:i/>
        </w:rPr>
      </w:pPr>
      <w:r>
        <w:t xml:space="preserve">(A) </w:t>
      </w:r>
      <w:r>
        <w:rPr>
          <w:i/>
        </w:rPr>
        <w:t xml:space="preserve">does </w:t>
      </w:r>
      <w:r>
        <w:t xml:space="preserve">have a meaning—indeed, it has two of them. But </w:t>
      </w:r>
      <w:r>
        <w:rPr>
          <w:i/>
        </w:rPr>
        <w:t xml:space="preserve">ultimately </w:t>
      </w:r>
      <w:r>
        <w:t>it has</w:t>
      </w:r>
      <w:r>
        <w:rPr>
          <w:spacing w:val="40"/>
        </w:rPr>
        <w:t xml:space="preserve"> </w:t>
      </w:r>
      <w:r>
        <w:t>no</w:t>
      </w:r>
      <w:r>
        <w:rPr>
          <w:spacing w:val="29"/>
        </w:rPr>
        <w:t xml:space="preserve"> </w:t>
      </w:r>
      <w:r>
        <w:t>meaning,</w:t>
      </w:r>
      <w:r>
        <w:rPr>
          <w:spacing w:val="29"/>
        </w:rPr>
        <w:t xml:space="preserve"> </w:t>
      </w:r>
      <w:r>
        <w:t>since</w:t>
      </w:r>
      <w:r>
        <w:rPr>
          <w:spacing w:val="29"/>
        </w:rPr>
        <w:t xml:space="preserve"> </w:t>
      </w:r>
      <w:r>
        <w:t>those</w:t>
      </w:r>
      <w:r>
        <w:rPr>
          <w:spacing w:val="29"/>
        </w:rPr>
        <w:t xml:space="preserve"> </w:t>
      </w:r>
      <w:r>
        <w:t>two</w:t>
      </w:r>
      <w:r>
        <w:rPr>
          <w:spacing w:val="29"/>
        </w:rPr>
        <w:t xml:space="preserve"> </w:t>
      </w:r>
      <w:r>
        <w:t>meanings</w:t>
      </w:r>
      <w:r>
        <w:rPr>
          <w:spacing w:val="29"/>
        </w:rPr>
        <w:t xml:space="preserve"> </w:t>
      </w:r>
      <w:r>
        <w:t>cancel</w:t>
      </w:r>
      <w:r>
        <w:rPr>
          <w:spacing w:val="29"/>
        </w:rPr>
        <w:t xml:space="preserve"> </w:t>
      </w:r>
      <w:r>
        <w:t>each</w:t>
      </w:r>
      <w:r>
        <w:rPr>
          <w:spacing w:val="29"/>
        </w:rPr>
        <w:t xml:space="preserve"> </w:t>
      </w:r>
      <w:r>
        <w:t>other</w:t>
      </w:r>
      <w:r>
        <w:rPr>
          <w:spacing w:val="29"/>
        </w:rPr>
        <w:t xml:space="preserve"> </w:t>
      </w:r>
      <w:r>
        <w:t>out.</w:t>
      </w:r>
      <w:r>
        <w:rPr>
          <w:spacing w:val="29"/>
        </w:rPr>
        <w:t xml:space="preserve"> </w:t>
      </w:r>
      <w:r>
        <w:t>So</w:t>
      </w:r>
      <w:r>
        <w:rPr>
          <w:spacing w:val="29"/>
        </w:rPr>
        <w:t xml:space="preserve"> </w:t>
      </w:r>
      <w:r>
        <w:rPr>
          <w:i/>
        </w:rPr>
        <w:t>ultimately</w:t>
      </w:r>
    </w:p>
    <w:p w14:paraId="7E0027EB" w14:textId="77777777" w:rsidR="009A58DB" w:rsidRDefault="00000000">
      <w:pPr>
        <w:pStyle w:val="BodyText"/>
        <w:spacing w:before="2" w:line="249" w:lineRule="auto"/>
        <w:ind w:right="359"/>
      </w:pPr>
      <w:r>
        <w:t xml:space="preserve">(A) fails to say anything. (Saying two opposed things is a way of failing to say anything—just as taking one step forward and one step backwards is a way of failing to go anywhere, even though it is a way of failing to go anywhere that </w:t>
      </w:r>
      <w:r>
        <w:rPr>
          <w:i/>
        </w:rPr>
        <w:t xml:space="preserve">involves </w:t>
      </w:r>
      <w:r>
        <w:t xml:space="preserve">going to two places.) Therefore, my previous statement—that incoherent statements </w:t>
      </w:r>
      <w:r>
        <w:rPr>
          <w:i/>
        </w:rPr>
        <w:t xml:space="preserve">ultimately </w:t>
      </w:r>
      <w:r>
        <w:t>fail to say anything— has turned out to be true, and also capable of being reconciled with the fact that it clearly does, at some level, have some kind of meaning (unlike (B)).</w:t>
      </w:r>
    </w:p>
    <w:p w14:paraId="7E0027EC" w14:textId="77777777" w:rsidR="009A58DB" w:rsidRDefault="00000000">
      <w:pPr>
        <w:pStyle w:val="Heading1"/>
        <w:numPr>
          <w:ilvl w:val="1"/>
          <w:numId w:val="43"/>
        </w:numPr>
        <w:tabs>
          <w:tab w:val="left" w:pos="1092"/>
        </w:tabs>
        <w:spacing w:before="202" w:line="244" w:lineRule="auto"/>
        <w:ind w:right="369" w:firstLine="0"/>
        <w:jc w:val="both"/>
      </w:pPr>
      <w:r>
        <w:t>Anselm’s version of the ontological argument for God’s existence</w:t>
      </w:r>
    </w:p>
    <w:p w14:paraId="7E0027ED" w14:textId="77777777" w:rsidR="009A58DB" w:rsidRDefault="00000000">
      <w:pPr>
        <w:pStyle w:val="BodyText"/>
        <w:spacing w:before="131" w:line="249" w:lineRule="auto"/>
        <w:ind w:right="362"/>
      </w:pPr>
      <w:r>
        <w:t>The so-called “ontological argument” for the existence of God was first put forth explicitly by St. Anselm. There are different versions of this argument. We’ll consider three, starting with Anselm’s own.</w:t>
      </w:r>
    </w:p>
    <w:p w14:paraId="7E0027EE" w14:textId="77777777" w:rsidR="009A58DB" w:rsidRDefault="00000000">
      <w:pPr>
        <w:pStyle w:val="BodyText"/>
        <w:spacing w:before="4" w:line="277" w:lineRule="exact"/>
        <w:ind w:left="1252"/>
        <w:jc w:val="left"/>
      </w:pPr>
      <w:bookmarkStart w:id="558" w:name="_bookmark558"/>
      <w:bookmarkEnd w:id="558"/>
      <w:r>
        <w:rPr>
          <w:color w:val="0562C1"/>
          <w:spacing w:val="-2"/>
          <w:u w:val="single" w:color="0562C1"/>
        </w:rPr>
        <w:t>[422]</w:t>
      </w:r>
    </w:p>
    <w:p w14:paraId="7E0027EF" w14:textId="77777777" w:rsidR="009A58DB" w:rsidRDefault="00000000">
      <w:pPr>
        <w:pStyle w:val="BodyText"/>
        <w:spacing w:line="277" w:lineRule="exact"/>
        <w:ind w:left="720"/>
      </w:pPr>
      <w:r>
        <w:t>(AG</w:t>
      </w:r>
      <w:r>
        <w:rPr>
          <w:spacing w:val="45"/>
          <w:w w:val="150"/>
        </w:rPr>
        <w:t xml:space="preserve">    </w:t>
      </w:r>
      <w:r>
        <w:t>)</w:t>
      </w:r>
      <w:r>
        <w:rPr>
          <w:spacing w:val="58"/>
        </w:rPr>
        <w:t xml:space="preserve"> </w:t>
      </w:r>
      <w:r>
        <w:t>Let</w:t>
      </w:r>
      <w:r>
        <w:rPr>
          <w:spacing w:val="56"/>
        </w:rPr>
        <w:t xml:space="preserve"> </w:t>
      </w:r>
      <w:r>
        <w:t>us</w:t>
      </w:r>
      <w:r>
        <w:rPr>
          <w:spacing w:val="55"/>
        </w:rPr>
        <w:t xml:space="preserve"> </w:t>
      </w:r>
      <w:r>
        <w:t>define</w:t>
      </w:r>
      <w:r>
        <w:rPr>
          <w:spacing w:val="56"/>
        </w:rPr>
        <w:t xml:space="preserve"> </w:t>
      </w:r>
      <w:r>
        <w:t>“God”</w:t>
      </w:r>
      <w:r>
        <w:rPr>
          <w:spacing w:val="55"/>
        </w:rPr>
        <w:t xml:space="preserve"> </w:t>
      </w:r>
      <w:r>
        <w:t>as</w:t>
      </w:r>
      <w:r>
        <w:rPr>
          <w:spacing w:val="55"/>
        </w:rPr>
        <w:t xml:space="preserve"> </w:t>
      </w:r>
      <w:r>
        <w:t>a</w:t>
      </w:r>
      <w:r>
        <w:rPr>
          <w:spacing w:val="56"/>
        </w:rPr>
        <w:t xml:space="preserve"> </w:t>
      </w:r>
      <w:r>
        <w:t>“maximally</w:t>
      </w:r>
      <w:r>
        <w:rPr>
          <w:spacing w:val="55"/>
        </w:rPr>
        <w:t xml:space="preserve"> </w:t>
      </w:r>
      <w:r>
        <w:t>great</w:t>
      </w:r>
      <w:r>
        <w:rPr>
          <w:spacing w:val="56"/>
        </w:rPr>
        <w:t xml:space="preserve"> </w:t>
      </w:r>
      <w:r>
        <w:t>being.”</w:t>
      </w:r>
      <w:r>
        <w:rPr>
          <w:spacing w:val="55"/>
        </w:rPr>
        <w:t xml:space="preserve"> </w:t>
      </w:r>
      <w:r>
        <w:t>(In</w:t>
      </w:r>
      <w:r>
        <w:rPr>
          <w:spacing w:val="56"/>
        </w:rPr>
        <w:t xml:space="preserve"> </w:t>
      </w:r>
      <w:r>
        <w:rPr>
          <w:spacing w:val="-4"/>
        </w:rPr>
        <w:t>this</w:t>
      </w:r>
    </w:p>
    <w:p w14:paraId="7E0027F0" w14:textId="77777777" w:rsidR="009A58DB" w:rsidRDefault="00000000">
      <w:pPr>
        <w:pStyle w:val="BodyText"/>
        <w:spacing w:before="15" w:line="249" w:lineRule="auto"/>
        <w:ind w:left="720" w:right="358"/>
      </w:pPr>
      <w:r>
        <w:t xml:space="preserve">context, a being is “maximally great,” if it isn’t possible for me, or you or whoever, to conceive of anything greater than it.)With this in mind, consider the following argument. I can conceive of a maximally great being. Thus, </w:t>
      </w:r>
      <w:r>
        <w:rPr>
          <w:i/>
        </w:rPr>
        <w:t xml:space="preserve">a maximally great being exists in my mind. </w:t>
      </w:r>
      <w:r>
        <w:t xml:space="preserve">For argument’s sake, suppose that such a thing existed in my mind, but not also in reality. In that case, it </w:t>
      </w:r>
      <w:r>
        <w:rPr>
          <w:i/>
        </w:rPr>
        <w:t xml:space="preserve">would </w:t>
      </w:r>
      <w:r>
        <w:t>be possible to conceive of something greater than</w:t>
      </w:r>
      <w:r>
        <w:rPr>
          <w:spacing w:val="40"/>
        </w:rPr>
        <w:t xml:space="preserve"> </w:t>
      </w:r>
      <w:r>
        <w:t>that thing—namely, something existing in reality but otherwise just like that thing. (A real mansion is better than an otherwise identical imaginary mansion. Similarly, a real maximally great thing is better than a merely imaginary one.) It is therefore incoherent to suppose that a maximally great thing exists in my mind but not also in reality. So given that such a thing exists in my mind, it must also exist in reality. Conclusion: a maximally great thing exists. In other words, God exists.</w:t>
      </w:r>
    </w:p>
    <w:p w14:paraId="7E0027F1" w14:textId="77777777" w:rsidR="009A58DB" w:rsidRDefault="009A58DB">
      <w:pPr>
        <w:pStyle w:val="BodyText"/>
        <w:spacing w:before="31"/>
        <w:ind w:left="0"/>
        <w:jc w:val="left"/>
      </w:pPr>
    </w:p>
    <w:p w14:paraId="7E0027F2" w14:textId="77777777" w:rsidR="009A58DB" w:rsidRDefault="00000000">
      <w:pPr>
        <w:pStyle w:val="BodyText"/>
        <w:spacing w:line="249" w:lineRule="auto"/>
        <w:ind w:right="364"/>
      </w:pPr>
      <w:r>
        <w:t>AG is a spurious argument. The problem lies in the italicized statement, which</w:t>
      </w:r>
      <w:r>
        <w:rPr>
          <w:spacing w:val="-4"/>
        </w:rPr>
        <w:t xml:space="preserve"> </w:t>
      </w:r>
      <w:r>
        <w:t>we’ll</w:t>
      </w:r>
      <w:r>
        <w:rPr>
          <w:spacing w:val="-5"/>
        </w:rPr>
        <w:t xml:space="preserve"> </w:t>
      </w:r>
      <w:r>
        <w:t>call</w:t>
      </w:r>
      <w:r>
        <w:rPr>
          <w:spacing w:val="-5"/>
        </w:rPr>
        <w:t xml:space="preserve"> </w:t>
      </w:r>
      <w:r>
        <w:t>“MG.”</w:t>
      </w:r>
      <w:r>
        <w:rPr>
          <w:spacing w:val="-5"/>
        </w:rPr>
        <w:t xml:space="preserve"> </w:t>
      </w:r>
      <w:r>
        <w:t>Correctly</w:t>
      </w:r>
      <w:r>
        <w:rPr>
          <w:spacing w:val="-4"/>
        </w:rPr>
        <w:t xml:space="preserve"> </w:t>
      </w:r>
      <w:r>
        <w:t>interpreted,</w:t>
      </w:r>
      <w:r>
        <w:rPr>
          <w:spacing w:val="-4"/>
        </w:rPr>
        <w:t xml:space="preserve"> </w:t>
      </w:r>
      <w:r>
        <w:t>MG</w:t>
      </w:r>
      <w:r>
        <w:rPr>
          <w:spacing w:val="-5"/>
        </w:rPr>
        <w:t xml:space="preserve"> </w:t>
      </w:r>
      <w:r>
        <w:t>doesn’t</w:t>
      </w:r>
      <w:r>
        <w:rPr>
          <w:spacing w:val="-5"/>
        </w:rPr>
        <w:t xml:space="preserve"> </w:t>
      </w:r>
      <w:r>
        <w:t>say</w:t>
      </w:r>
      <w:r>
        <w:rPr>
          <w:spacing w:val="-4"/>
        </w:rPr>
        <w:t xml:space="preserve"> </w:t>
      </w:r>
      <w:r>
        <w:t>that</w:t>
      </w:r>
      <w:r>
        <w:rPr>
          <w:spacing w:val="-5"/>
        </w:rPr>
        <w:t xml:space="preserve"> </w:t>
      </w:r>
      <w:r>
        <w:t>God</w:t>
      </w:r>
      <w:r>
        <w:rPr>
          <w:spacing w:val="-4"/>
        </w:rPr>
        <w:t xml:space="preserve"> </w:t>
      </w:r>
      <w:r>
        <w:t xml:space="preserve">exists </w:t>
      </w:r>
      <w:r>
        <w:rPr>
          <w:i/>
        </w:rPr>
        <w:t>in</w:t>
      </w:r>
      <w:r>
        <w:rPr>
          <w:i/>
          <w:spacing w:val="13"/>
        </w:rPr>
        <w:t xml:space="preserve"> </w:t>
      </w:r>
      <w:r>
        <w:rPr>
          <w:i/>
        </w:rPr>
        <w:t>my</w:t>
      </w:r>
      <w:r>
        <w:rPr>
          <w:i/>
          <w:spacing w:val="12"/>
        </w:rPr>
        <w:t xml:space="preserve"> </w:t>
      </w:r>
      <w:r>
        <w:rPr>
          <w:i/>
        </w:rPr>
        <w:t>mind.</w:t>
      </w:r>
      <w:r>
        <w:rPr>
          <w:i/>
          <w:spacing w:val="12"/>
        </w:rPr>
        <w:t xml:space="preserve"> </w:t>
      </w:r>
      <w:r>
        <w:t>If</w:t>
      </w:r>
      <w:r>
        <w:rPr>
          <w:spacing w:val="15"/>
        </w:rPr>
        <w:t xml:space="preserve"> </w:t>
      </w:r>
      <w:r>
        <w:t>God</w:t>
      </w:r>
      <w:r>
        <w:rPr>
          <w:spacing w:val="16"/>
        </w:rPr>
        <w:t xml:space="preserve"> </w:t>
      </w:r>
      <w:r>
        <w:t>exists,</w:t>
      </w:r>
      <w:r>
        <w:rPr>
          <w:spacing w:val="16"/>
        </w:rPr>
        <w:t xml:space="preserve"> </w:t>
      </w:r>
      <w:r>
        <w:t>He</w:t>
      </w:r>
      <w:r>
        <w:rPr>
          <w:spacing w:val="16"/>
        </w:rPr>
        <w:t xml:space="preserve"> </w:t>
      </w:r>
      <w:r>
        <w:t>is</w:t>
      </w:r>
      <w:r>
        <w:rPr>
          <w:spacing w:val="16"/>
        </w:rPr>
        <w:t xml:space="preserve"> </w:t>
      </w:r>
      <w:r>
        <w:t>out</w:t>
      </w:r>
      <w:r>
        <w:rPr>
          <w:spacing w:val="16"/>
        </w:rPr>
        <w:t xml:space="preserve"> </w:t>
      </w:r>
      <w:r>
        <w:t>there,</w:t>
      </w:r>
      <w:r>
        <w:rPr>
          <w:spacing w:val="16"/>
        </w:rPr>
        <w:t xml:space="preserve"> </w:t>
      </w:r>
      <w:r>
        <w:t>in</w:t>
      </w:r>
      <w:r>
        <w:rPr>
          <w:spacing w:val="16"/>
        </w:rPr>
        <w:t xml:space="preserve"> </w:t>
      </w:r>
      <w:r>
        <w:t>the</w:t>
      </w:r>
      <w:r>
        <w:rPr>
          <w:spacing w:val="16"/>
        </w:rPr>
        <w:t xml:space="preserve"> </w:t>
      </w:r>
      <w:r>
        <w:t>world,</w:t>
      </w:r>
      <w:r>
        <w:rPr>
          <w:spacing w:val="16"/>
        </w:rPr>
        <w:t xml:space="preserve"> </w:t>
      </w:r>
      <w:r>
        <w:t>not</w:t>
      </w:r>
      <w:r>
        <w:rPr>
          <w:spacing w:val="15"/>
        </w:rPr>
        <w:t xml:space="preserve"> </w:t>
      </w:r>
      <w:r>
        <w:t>in</w:t>
      </w:r>
      <w:r>
        <w:rPr>
          <w:spacing w:val="16"/>
        </w:rPr>
        <w:t xml:space="preserve"> </w:t>
      </w:r>
      <w:r>
        <w:t>my</w:t>
      </w:r>
      <w:r>
        <w:rPr>
          <w:spacing w:val="16"/>
        </w:rPr>
        <w:t xml:space="preserve"> </w:t>
      </w:r>
      <w:r>
        <w:t>mind.</w:t>
      </w:r>
      <w:r>
        <w:rPr>
          <w:spacing w:val="16"/>
        </w:rPr>
        <w:t xml:space="preserve"> </w:t>
      </w:r>
      <w:r>
        <w:t>No</w:t>
      </w:r>
    </w:p>
    <w:p w14:paraId="7E0027F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F4" w14:textId="77777777" w:rsidR="009A58DB" w:rsidRDefault="00000000">
      <w:pPr>
        <w:pStyle w:val="BodyText"/>
        <w:spacing w:before="60" w:line="249" w:lineRule="auto"/>
        <w:ind w:right="361"/>
      </w:pPr>
      <w:r>
        <w:lastRenderedPageBreak/>
        <w:t xml:space="preserve">idea of mine is God. The only things that exist in my mind are thoughts, feelings, etc. Some of these things are </w:t>
      </w:r>
      <w:r>
        <w:rPr>
          <w:i/>
        </w:rPr>
        <w:t xml:space="preserve">representations </w:t>
      </w:r>
      <w:r>
        <w:t xml:space="preserve">of things that exist outside of my mind. But the fact that a </w:t>
      </w:r>
      <w:r>
        <w:rPr>
          <w:i/>
        </w:rPr>
        <w:t>representation</w:t>
      </w:r>
      <w:r>
        <w:rPr>
          <w:i/>
          <w:spacing w:val="-2"/>
        </w:rPr>
        <w:t xml:space="preserve"> </w:t>
      </w:r>
      <w:r>
        <w:t>of the Sun exists in my mind obviously doesn’t entail that the Sun itself exists in my mind. And the statement “the Sun exists in my mind” is a brazen falsehood, unless it’s misleading of saying that a Sun-idea so exists. Similarly, the statement that God exists “in my mind” is patently false, unless it’s a misleading way of making the irrelevant point that a God-</w:t>
      </w:r>
      <w:r>
        <w:rPr>
          <w:i/>
        </w:rPr>
        <w:t xml:space="preserve">idea </w:t>
      </w:r>
      <w:r>
        <w:t>so exists. So, to the extent that</w:t>
      </w:r>
      <w:r>
        <w:rPr>
          <w:spacing w:val="40"/>
        </w:rPr>
        <w:t xml:space="preserve"> </w:t>
      </w:r>
      <w:r>
        <w:t>it’s true, MG doesn’t entail that God exists in any way, shape, or form; and, therefore, no contradiction from the supposition that MG is true but that God doesn’t exist “in reality.”</w:t>
      </w:r>
    </w:p>
    <w:p w14:paraId="7E0027F5" w14:textId="77777777" w:rsidR="009A58DB" w:rsidRDefault="00000000">
      <w:pPr>
        <w:pStyle w:val="BodyText"/>
        <w:spacing w:before="18" w:line="249" w:lineRule="auto"/>
        <w:ind w:right="361" w:firstLine="360"/>
      </w:pPr>
      <w:r>
        <w:t xml:space="preserve">Here’s a similar line of thought. Correctly interpreted, MG says that I know how a thing must be if it is to be maximally great. In other words, it says that I know what conditions a thing must fulfill in order to be maximally </w:t>
      </w:r>
      <w:r>
        <w:rPr>
          <w:spacing w:val="-2"/>
        </w:rPr>
        <w:t>great.</w:t>
      </w:r>
    </w:p>
    <w:p w14:paraId="7E0027F6" w14:textId="77777777" w:rsidR="009A58DB" w:rsidRDefault="00000000">
      <w:pPr>
        <w:pStyle w:val="BodyText"/>
        <w:spacing w:before="5" w:line="249" w:lineRule="auto"/>
        <w:ind w:right="359" w:firstLine="360"/>
      </w:pPr>
      <w:r>
        <w:t>But given only that I have this knowledge, it doesn’t follow that there exists anything that has any of the requisite properties. It doesn’t follow that there is anything that is all-powerful or all-knowing or all-good or that has any other virtue specific to God. AG goes through only if there exists something that has these properties. The italicized statement must guarantee that there is such a thing; otherwise the argument collapses. It doesn’t, and</w:t>
      </w:r>
      <w:r>
        <w:rPr>
          <w:spacing w:val="40"/>
        </w:rPr>
        <w:t xml:space="preserve"> </w:t>
      </w:r>
      <w:r>
        <w:t>the argument collapses.</w:t>
      </w:r>
    </w:p>
    <w:p w14:paraId="7E0027F7" w14:textId="77777777" w:rsidR="009A58DB" w:rsidRDefault="009A58DB">
      <w:pPr>
        <w:pStyle w:val="BodyText"/>
        <w:spacing w:before="17"/>
        <w:ind w:left="0"/>
        <w:jc w:val="left"/>
      </w:pPr>
    </w:p>
    <w:p w14:paraId="7E0027F8" w14:textId="77777777" w:rsidR="009A58DB" w:rsidRDefault="00000000">
      <w:pPr>
        <w:pStyle w:val="Heading1"/>
        <w:numPr>
          <w:ilvl w:val="1"/>
          <w:numId w:val="43"/>
        </w:numPr>
        <w:tabs>
          <w:tab w:val="left" w:pos="990"/>
        </w:tabs>
        <w:spacing w:before="0"/>
        <w:ind w:left="990" w:hanging="630"/>
      </w:pPr>
      <w:r>
        <w:t>A</w:t>
      </w:r>
      <w:r>
        <w:rPr>
          <w:spacing w:val="-6"/>
        </w:rPr>
        <w:t xml:space="preserve"> </w:t>
      </w:r>
      <w:r>
        <w:t>simpler</w:t>
      </w:r>
      <w:r>
        <w:rPr>
          <w:spacing w:val="-4"/>
        </w:rPr>
        <w:t xml:space="preserve"> </w:t>
      </w:r>
      <w:r>
        <w:t>version</w:t>
      </w:r>
      <w:r>
        <w:rPr>
          <w:spacing w:val="-4"/>
        </w:rPr>
        <w:t xml:space="preserve"> </w:t>
      </w:r>
      <w:r>
        <w:t>of</w:t>
      </w:r>
      <w:r>
        <w:rPr>
          <w:spacing w:val="-4"/>
        </w:rPr>
        <w:t xml:space="preserve"> </w:t>
      </w:r>
      <w:r>
        <w:t>the</w:t>
      </w:r>
      <w:r>
        <w:rPr>
          <w:spacing w:val="-4"/>
        </w:rPr>
        <w:t xml:space="preserve"> </w:t>
      </w:r>
      <w:r>
        <w:t>ontological</w:t>
      </w:r>
      <w:r>
        <w:rPr>
          <w:spacing w:val="-3"/>
        </w:rPr>
        <w:t xml:space="preserve"> </w:t>
      </w:r>
      <w:r>
        <w:rPr>
          <w:spacing w:val="-2"/>
        </w:rPr>
        <w:t>argument</w:t>
      </w:r>
    </w:p>
    <w:p w14:paraId="7E0027F9" w14:textId="77777777" w:rsidR="009A58DB" w:rsidRDefault="00000000">
      <w:pPr>
        <w:pStyle w:val="BodyText"/>
        <w:spacing w:before="19"/>
      </w:pPr>
      <w:r>
        <w:t>Step</w:t>
      </w:r>
      <w:r>
        <w:rPr>
          <w:spacing w:val="-3"/>
        </w:rPr>
        <w:t xml:space="preserve"> </w:t>
      </w:r>
      <w:r>
        <w:t>1.</w:t>
      </w:r>
      <w:r>
        <w:rPr>
          <w:spacing w:val="-3"/>
        </w:rPr>
        <w:t xml:space="preserve"> </w:t>
      </w:r>
      <w:r>
        <w:t>God</w:t>
      </w:r>
      <w:r>
        <w:rPr>
          <w:spacing w:val="-2"/>
        </w:rPr>
        <w:t xml:space="preserve"> </w:t>
      </w:r>
      <w:r>
        <w:t>is</w:t>
      </w:r>
      <w:r>
        <w:rPr>
          <w:spacing w:val="-4"/>
        </w:rPr>
        <w:t xml:space="preserve"> </w:t>
      </w:r>
      <w:r>
        <w:t>a</w:t>
      </w:r>
      <w:r>
        <w:rPr>
          <w:spacing w:val="-3"/>
        </w:rPr>
        <w:t xml:space="preserve"> </w:t>
      </w:r>
      <w:r>
        <w:t>maximally</w:t>
      </w:r>
      <w:r>
        <w:rPr>
          <w:spacing w:val="-3"/>
        </w:rPr>
        <w:t xml:space="preserve"> </w:t>
      </w:r>
      <w:r>
        <w:t>excellent</w:t>
      </w:r>
      <w:r>
        <w:rPr>
          <w:spacing w:val="-3"/>
        </w:rPr>
        <w:t xml:space="preserve"> </w:t>
      </w:r>
      <w:r>
        <w:rPr>
          <w:spacing w:val="-2"/>
        </w:rPr>
        <w:t>thing.</w:t>
      </w:r>
    </w:p>
    <w:p w14:paraId="7E0027FA" w14:textId="77777777" w:rsidR="009A58DB" w:rsidRDefault="00000000">
      <w:pPr>
        <w:pStyle w:val="BodyText"/>
        <w:spacing w:before="15" w:line="249" w:lineRule="auto"/>
        <w:ind w:right="362" w:firstLine="360"/>
      </w:pPr>
      <w:r>
        <w:t>Explanation: Just as squares are, by definition, four-sided, so God is, by definition, maximally excellent. If we found that object X was deficient in some way—that it was ill-willed or stupid or lazy—then it would, for that very reason, fail to be God.</w:t>
      </w:r>
    </w:p>
    <w:p w14:paraId="7E0027FB" w14:textId="77777777" w:rsidR="009A58DB" w:rsidRDefault="009A58DB">
      <w:pPr>
        <w:pStyle w:val="BodyText"/>
        <w:spacing w:before="20"/>
        <w:ind w:left="0"/>
        <w:jc w:val="left"/>
      </w:pPr>
    </w:p>
    <w:p w14:paraId="7E0027FC" w14:textId="77777777" w:rsidR="009A58DB" w:rsidRDefault="00000000">
      <w:pPr>
        <w:pStyle w:val="BodyText"/>
        <w:spacing w:line="249" w:lineRule="auto"/>
        <w:ind w:right="362"/>
      </w:pPr>
      <w:r>
        <w:t>Step 2: Because he is a maximally excellent thing, God has all excellences, and he has them to the highest degree.</w:t>
      </w:r>
    </w:p>
    <w:p w14:paraId="7E0027FD" w14:textId="77777777" w:rsidR="009A58DB" w:rsidRDefault="00000000">
      <w:pPr>
        <w:pStyle w:val="BodyText"/>
        <w:spacing w:before="2" w:line="249" w:lineRule="auto"/>
        <w:ind w:right="358" w:firstLine="360"/>
      </w:pPr>
      <w:r>
        <w:t>Explanation: Consider some excellence—for example, physical strength. And suppose that X is puny and weak; that is, that X has physical strength only</w:t>
      </w:r>
      <w:r>
        <w:rPr>
          <w:spacing w:val="26"/>
        </w:rPr>
        <w:t xml:space="preserve"> </w:t>
      </w:r>
      <w:r>
        <w:t>to</w:t>
      </w:r>
      <w:r>
        <w:rPr>
          <w:spacing w:val="26"/>
        </w:rPr>
        <w:t xml:space="preserve"> </w:t>
      </w:r>
      <w:r>
        <w:t>a</w:t>
      </w:r>
      <w:r>
        <w:rPr>
          <w:spacing w:val="26"/>
        </w:rPr>
        <w:t xml:space="preserve"> </w:t>
      </w:r>
      <w:r>
        <w:t>small</w:t>
      </w:r>
      <w:r>
        <w:rPr>
          <w:spacing w:val="26"/>
        </w:rPr>
        <w:t xml:space="preserve"> </w:t>
      </w:r>
      <w:r>
        <w:t>degree.</w:t>
      </w:r>
      <w:r>
        <w:rPr>
          <w:spacing w:val="26"/>
        </w:rPr>
        <w:t xml:space="preserve"> </w:t>
      </w:r>
      <w:r>
        <w:t>Obviously</w:t>
      </w:r>
      <w:r>
        <w:rPr>
          <w:spacing w:val="26"/>
        </w:rPr>
        <w:t xml:space="preserve"> </w:t>
      </w:r>
      <w:r>
        <w:t>X</w:t>
      </w:r>
      <w:r>
        <w:rPr>
          <w:spacing w:val="26"/>
        </w:rPr>
        <w:t xml:space="preserve"> </w:t>
      </w:r>
      <w:r>
        <w:t>isn’t</w:t>
      </w:r>
      <w:r>
        <w:rPr>
          <w:spacing w:val="26"/>
        </w:rPr>
        <w:t xml:space="preserve"> </w:t>
      </w:r>
      <w:r>
        <w:t>God.</w:t>
      </w:r>
      <w:r>
        <w:rPr>
          <w:spacing w:val="26"/>
        </w:rPr>
        <w:t xml:space="preserve"> </w:t>
      </w:r>
      <w:r>
        <w:t>So</w:t>
      </w:r>
      <w:r>
        <w:rPr>
          <w:spacing w:val="26"/>
        </w:rPr>
        <w:t xml:space="preserve"> </w:t>
      </w:r>
      <w:r>
        <w:t>God</w:t>
      </w:r>
      <w:r>
        <w:rPr>
          <w:spacing w:val="26"/>
        </w:rPr>
        <w:t xml:space="preserve"> </w:t>
      </w:r>
      <w:r>
        <w:t>must</w:t>
      </w:r>
      <w:r>
        <w:rPr>
          <w:spacing w:val="26"/>
        </w:rPr>
        <w:t xml:space="preserve"> </w:t>
      </w:r>
      <w:r>
        <w:t>be</w:t>
      </w:r>
      <w:r>
        <w:rPr>
          <w:spacing w:val="26"/>
        </w:rPr>
        <w:t xml:space="preserve"> </w:t>
      </w:r>
      <w:r>
        <w:t>maximally</w:t>
      </w:r>
    </w:p>
    <w:p w14:paraId="7E0027F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7FF" w14:textId="77777777" w:rsidR="009A58DB" w:rsidRDefault="00000000">
      <w:pPr>
        <w:pStyle w:val="BodyText"/>
        <w:spacing w:before="65" w:line="249" w:lineRule="auto"/>
        <w:ind w:right="364"/>
      </w:pPr>
      <w:r>
        <w:lastRenderedPageBreak/>
        <w:t>strong</w:t>
      </w:r>
      <w:r>
        <w:rPr>
          <w:spacing w:val="-4"/>
        </w:rPr>
        <w:t xml:space="preserve"> </w:t>
      </w:r>
      <w:r>
        <w:t>and,</w:t>
      </w:r>
      <w:r>
        <w:rPr>
          <w:spacing w:val="-4"/>
        </w:rPr>
        <w:t xml:space="preserve"> </w:t>
      </w:r>
      <w:r>
        <w:t>for</w:t>
      </w:r>
      <w:r>
        <w:rPr>
          <w:spacing w:val="-5"/>
        </w:rPr>
        <w:t xml:space="preserve"> </w:t>
      </w:r>
      <w:r>
        <w:t>similar</w:t>
      </w:r>
      <w:r>
        <w:rPr>
          <w:spacing w:val="-5"/>
        </w:rPr>
        <w:t xml:space="preserve"> </w:t>
      </w:r>
      <w:r>
        <w:t>reasons,</w:t>
      </w:r>
      <w:r>
        <w:rPr>
          <w:spacing w:val="-4"/>
        </w:rPr>
        <w:t xml:space="preserve"> </w:t>
      </w:r>
      <w:r>
        <w:t>must</w:t>
      </w:r>
      <w:r>
        <w:rPr>
          <w:spacing w:val="-5"/>
        </w:rPr>
        <w:t xml:space="preserve"> </w:t>
      </w:r>
      <w:r>
        <w:t>be</w:t>
      </w:r>
      <w:r>
        <w:rPr>
          <w:spacing w:val="-5"/>
        </w:rPr>
        <w:t xml:space="preserve"> </w:t>
      </w:r>
      <w:r>
        <w:t>maximally</w:t>
      </w:r>
      <w:r>
        <w:rPr>
          <w:spacing w:val="-4"/>
        </w:rPr>
        <w:t xml:space="preserve"> </w:t>
      </w:r>
      <w:r>
        <w:t>smart,</w:t>
      </w:r>
      <w:r>
        <w:rPr>
          <w:spacing w:val="-4"/>
        </w:rPr>
        <w:t xml:space="preserve"> </w:t>
      </w:r>
      <w:r>
        <w:t>kind,</w:t>
      </w:r>
      <w:r>
        <w:rPr>
          <w:spacing w:val="-4"/>
        </w:rPr>
        <w:t xml:space="preserve"> </w:t>
      </w:r>
      <w:r>
        <w:t xml:space="preserve">good-looking, </w:t>
      </w:r>
      <w:r>
        <w:rPr>
          <w:spacing w:val="-4"/>
        </w:rPr>
        <w:t>etc.</w:t>
      </w:r>
    </w:p>
    <w:p w14:paraId="7E002800" w14:textId="77777777" w:rsidR="009A58DB" w:rsidRDefault="009A58DB">
      <w:pPr>
        <w:pStyle w:val="BodyText"/>
        <w:spacing w:before="17"/>
        <w:ind w:left="0"/>
        <w:jc w:val="left"/>
      </w:pPr>
    </w:p>
    <w:p w14:paraId="7E002801" w14:textId="77777777" w:rsidR="009A58DB" w:rsidRDefault="00000000">
      <w:pPr>
        <w:pStyle w:val="BodyText"/>
      </w:pPr>
      <w:r>
        <w:t>Step</w:t>
      </w:r>
      <w:r>
        <w:rPr>
          <w:spacing w:val="-3"/>
        </w:rPr>
        <w:t xml:space="preserve"> </w:t>
      </w:r>
      <w:r>
        <w:t>3.</w:t>
      </w:r>
      <w:r>
        <w:rPr>
          <w:spacing w:val="-2"/>
        </w:rPr>
        <w:t xml:space="preserve"> </w:t>
      </w:r>
      <w:r>
        <w:t>Existence</w:t>
      </w:r>
      <w:r>
        <w:rPr>
          <w:spacing w:val="-3"/>
        </w:rPr>
        <w:t xml:space="preserve"> </w:t>
      </w:r>
      <w:r>
        <w:t>is</w:t>
      </w:r>
      <w:r>
        <w:rPr>
          <w:spacing w:val="-3"/>
        </w:rPr>
        <w:t xml:space="preserve"> </w:t>
      </w:r>
      <w:r>
        <w:t>an</w:t>
      </w:r>
      <w:r>
        <w:rPr>
          <w:spacing w:val="-2"/>
        </w:rPr>
        <w:t xml:space="preserve"> excellence.</w:t>
      </w:r>
    </w:p>
    <w:p w14:paraId="7E002802" w14:textId="77777777" w:rsidR="009A58DB" w:rsidRDefault="00000000">
      <w:pPr>
        <w:pStyle w:val="BodyText"/>
        <w:spacing w:before="15" w:line="249" w:lineRule="auto"/>
        <w:ind w:right="366" w:firstLine="360"/>
      </w:pPr>
      <w:r>
        <w:t xml:space="preserve">Explanation: There are a lot of ways that one can fail. One can be lazy, stupid, mean, etc. But no failure is as bad as the failure to exist. If you don’t exist, you are a nothing, a complete and total zero, and you are therefore a nothing </w:t>
      </w:r>
      <w:r>
        <w:rPr>
          <w:i/>
        </w:rPr>
        <w:t xml:space="preserve">compared </w:t>
      </w:r>
      <w:r>
        <w:t>to anyone—even the biggest loser you know.</w:t>
      </w:r>
    </w:p>
    <w:p w14:paraId="7E002803" w14:textId="77777777" w:rsidR="009A58DB" w:rsidRDefault="009A58DB">
      <w:pPr>
        <w:pStyle w:val="BodyText"/>
        <w:spacing w:before="20"/>
        <w:ind w:left="0"/>
        <w:jc w:val="left"/>
      </w:pPr>
    </w:p>
    <w:p w14:paraId="7E002804" w14:textId="77777777" w:rsidR="009A58DB" w:rsidRDefault="00000000">
      <w:pPr>
        <w:pStyle w:val="BodyText"/>
        <w:spacing w:line="249" w:lineRule="auto"/>
        <w:ind w:right="359"/>
      </w:pPr>
      <w:r>
        <w:t>Conclusion: God must have existence. God is, by definition, maximally excellent</w:t>
      </w:r>
      <w:r>
        <w:rPr>
          <w:spacing w:val="-5"/>
        </w:rPr>
        <w:t xml:space="preserve"> </w:t>
      </w:r>
      <w:r>
        <w:t>and</w:t>
      </w:r>
      <w:r>
        <w:rPr>
          <w:spacing w:val="-4"/>
        </w:rPr>
        <w:t xml:space="preserve"> </w:t>
      </w:r>
      <w:r>
        <w:t>therefore</w:t>
      </w:r>
      <w:r>
        <w:rPr>
          <w:spacing w:val="-5"/>
        </w:rPr>
        <w:t xml:space="preserve"> </w:t>
      </w:r>
      <w:r>
        <w:t>has</w:t>
      </w:r>
      <w:r>
        <w:rPr>
          <w:spacing w:val="-5"/>
        </w:rPr>
        <w:t xml:space="preserve"> </w:t>
      </w:r>
      <w:r>
        <w:t>every</w:t>
      </w:r>
      <w:r>
        <w:rPr>
          <w:spacing w:val="-4"/>
        </w:rPr>
        <w:t xml:space="preserve"> </w:t>
      </w:r>
      <w:r>
        <w:t>excellence.</w:t>
      </w:r>
      <w:r>
        <w:rPr>
          <w:spacing w:val="-4"/>
        </w:rPr>
        <w:t xml:space="preserve"> </w:t>
      </w:r>
      <w:r>
        <w:t>Since</w:t>
      </w:r>
      <w:r>
        <w:rPr>
          <w:spacing w:val="-5"/>
        </w:rPr>
        <w:t xml:space="preserve"> </w:t>
      </w:r>
      <w:r>
        <w:t>existence</w:t>
      </w:r>
      <w:r>
        <w:rPr>
          <w:spacing w:val="-5"/>
        </w:rPr>
        <w:t xml:space="preserve"> </w:t>
      </w:r>
      <w:r>
        <w:t>is</w:t>
      </w:r>
      <w:r>
        <w:rPr>
          <w:spacing w:val="-5"/>
        </w:rPr>
        <w:t xml:space="preserve"> </w:t>
      </w:r>
      <w:r>
        <w:t>an</w:t>
      </w:r>
      <w:r>
        <w:rPr>
          <w:spacing w:val="-4"/>
        </w:rPr>
        <w:t xml:space="preserve"> </w:t>
      </w:r>
      <w:r>
        <w:t>excellence, it follows that God has existence.</w:t>
      </w:r>
    </w:p>
    <w:p w14:paraId="7E002805" w14:textId="77777777" w:rsidR="009A58DB" w:rsidRDefault="00000000">
      <w:pPr>
        <w:pStyle w:val="Heading1"/>
        <w:numPr>
          <w:ilvl w:val="2"/>
          <w:numId w:val="43"/>
        </w:numPr>
        <w:tabs>
          <w:tab w:val="left" w:pos="1305"/>
        </w:tabs>
        <w:spacing w:before="192"/>
      </w:pPr>
      <w:r>
        <w:t>This</w:t>
      </w:r>
      <w:r>
        <w:rPr>
          <w:spacing w:val="-5"/>
        </w:rPr>
        <w:t xml:space="preserve"> </w:t>
      </w:r>
      <w:r>
        <w:t>argument</w:t>
      </w:r>
      <w:r>
        <w:rPr>
          <w:spacing w:val="-5"/>
        </w:rPr>
        <w:t xml:space="preserve"> </w:t>
      </w:r>
      <w:r>
        <w:rPr>
          <w:spacing w:val="-2"/>
        </w:rPr>
        <w:t>evaluated</w:t>
      </w:r>
    </w:p>
    <w:p w14:paraId="7E002806" w14:textId="77777777" w:rsidR="009A58DB" w:rsidRDefault="00000000">
      <w:pPr>
        <w:pStyle w:val="BodyText"/>
        <w:spacing w:before="139" w:line="249" w:lineRule="auto"/>
        <w:ind w:right="358"/>
      </w:pPr>
      <w:r>
        <w:t>No good argument can assume the truth of its conclusion: arguments mustn’t “beg the question.” But the ontological argument appears to do just this. The problem lies in the first two steps. Step 1 is just another way of saying:</w:t>
      </w:r>
    </w:p>
    <w:p w14:paraId="7E002807" w14:textId="77777777" w:rsidR="009A58DB" w:rsidRDefault="009A58DB">
      <w:pPr>
        <w:pStyle w:val="BodyText"/>
        <w:spacing w:before="18"/>
        <w:ind w:left="0"/>
        <w:jc w:val="left"/>
      </w:pPr>
    </w:p>
    <w:p w14:paraId="7E002808" w14:textId="77777777" w:rsidR="009A58DB" w:rsidRDefault="00000000">
      <w:pPr>
        <w:pStyle w:val="BodyText"/>
        <w:spacing w:before="1" w:line="249" w:lineRule="auto"/>
        <w:ind w:right="365"/>
      </w:pPr>
      <w:r>
        <w:t xml:space="preserve">Step 1*: There exists a certain thing, namely God, which is maximally </w:t>
      </w:r>
      <w:r>
        <w:rPr>
          <w:spacing w:val="-2"/>
        </w:rPr>
        <w:t>excellent.</w:t>
      </w:r>
    </w:p>
    <w:p w14:paraId="7E002809" w14:textId="77777777" w:rsidR="009A58DB" w:rsidRDefault="009A58DB">
      <w:pPr>
        <w:pStyle w:val="BodyText"/>
        <w:spacing w:before="17"/>
        <w:ind w:left="0"/>
        <w:jc w:val="left"/>
      </w:pPr>
    </w:p>
    <w:p w14:paraId="7E00280A" w14:textId="77777777" w:rsidR="009A58DB" w:rsidRDefault="00000000">
      <w:pPr>
        <w:pStyle w:val="BodyText"/>
      </w:pPr>
      <w:r>
        <w:t>And</w:t>
      </w:r>
      <w:r>
        <w:rPr>
          <w:spacing w:val="-3"/>
        </w:rPr>
        <w:t xml:space="preserve"> </w:t>
      </w:r>
      <w:r>
        <w:t>Step</w:t>
      </w:r>
      <w:r>
        <w:rPr>
          <w:spacing w:val="-2"/>
        </w:rPr>
        <w:t xml:space="preserve"> </w:t>
      </w:r>
      <w:r>
        <w:t>2</w:t>
      </w:r>
      <w:r>
        <w:rPr>
          <w:spacing w:val="-1"/>
        </w:rPr>
        <w:t xml:space="preserve"> </w:t>
      </w:r>
      <w:r>
        <w:t>is</w:t>
      </w:r>
      <w:r>
        <w:rPr>
          <w:spacing w:val="-1"/>
        </w:rPr>
        <w:t xml:space="preserve"> </w:t>
      </w:r>
      <w:r>
        <w:t>a</w:t>
      </w:r>
      <w:r>
        <w:rPr>
          <w:spacing w:val="-2"/>
        </w:rPr>
        <w:t xml:space="preserve"> </w:t>
      </w:r>
      <w:r>
        <w:t>way</w:t>
      </w:r>
      <w:r>
        <w:rPr>
          <w:spacing w:val="-1"/>
        </w:rPr>
        <w:t xml:space="preserve"> </w:t>
      </w:r>
      <w:r>
        <w:t>of</w:t>
      </w:r>
      <w:r>
        <w:rPr>
          <w:spacing w:val="-2"/>
        </w:rPr>
        <w:t xml:space="preserve"> saying:</w:t>
      </w:r>
    </w:p>
    <w:p w14:paraId="7E00280B" w14:textId="77777777" w:rsidR="009A58DB" w:rsidRDefault="009A58DB">
      <w:pPr>
        <w:pStyle w:val="BodyText"/>
        <w:spacing w:before="30"/>
        <w:ind w:left="0"/>
        <w:jc w:val="left"/>
      </w:pPr>
    </w:p>
    <w:p w14:paraId="7E00280C" w14:textId="77777777" w:rsidR="009A58DB" w:rsidRDefault="00000000">
      <w:pPr>
        <w:pStyle w:val="BodyText"/>
        <w:spacing w:line="249" w:lineRule="auto"/>
        <w:ind w:right="370"/>
      </w:pPr>
      <w:r>
        <w:t>Step 2*: There exists a certain thing, namely God, which, because he is maximally excellent, has every excellence to the highest possible degree.</w:t>
      </w:r>
    </w:p>
    <w:p w14:paraId="7E00280D" w14:textId="77777777" w:rsidR="009A58DB" w:rsidRDefault="009A58DB">
      <w:pPr>
        <w:pStyle w:val="BodyText"/>
        <w:spacing w:before="17"/>
        <w:ind w:left="0"/>
        <w:jc w:val="left"/>
      </w:pPr>
    </w:p>
    <w:p w14:paraId="7E00280E" w14:textId="77777777" w:rsidR="009A58DB" w:rsidRDefault="00000000">
      <w:pPr>
        <w:pStyle w:val="BodyText"/>
        <w:spacing w:before="1" w:line="249" w:lineRule="auto"/>
        <w:ind w:right="366"/>
      </w:pPr>
      <w:r>
        <w:t xml:space="preserve">But if Steps 1 and 2 are taken in this way, then the argument question-beggingly </w:t>
      </w:r>
      <w:r>
        <w:rPr>
          <w:i/>
        </w:rPr>
        <w:t xml:space="preserve">assumes </w:t>
      </w:r>
      <w:r>
        <w:t>that God exists, and thus fails to prove it.</w:t>
      </w:r>
    </w:p>
    <w:p w14:paraId="7E00280F" w14:textId="77777777" w:rsidR="009A58DB" w:rsidRDefault="00000000">
      <w:pPr>
        <w:pStyle w:val="BodyText"/>
        <w:spacing w:before="2" w:line="249" w:lineRule="auto"/>
        <w:ind w:right="363" w:firstLine="360"/>
      </w:pPr>
      <w:r>
        <w:t>So, if the Ontological argument is to go through, Steps 1 and 2 must be interpreted in such a way that they don’t assume that God exists. Thus interpreted, their meanings are:</w:t>
      </w:r>
    </w:p>
    <w:p w14:paraId="7E002810" w14:textId="77777777" w:rsidR="009A58DB" w:rsidRDefault="009A58DB">
      <w:pPr>
        <w:pStyle w:val="BodyText"/>
        <w:spacing w:before="19"/>
        <w:ind w:left="0"/>
        <w:jc w:val="left"/>
      </w:pPr>
    </w:p>
    <w:p w14:paraId="7E002811" w14:textId="77777777" w:rsidR="009A58DB" w:rsidRDefault="00000000">
      <w:pPr>
        <w:pStyle w:val="BodyText"/>
      </w:pPr>
      <w:r>
        <w:t>Step</w:t>
      </w:r>
      <w:r>
        <w:rPr>
          <w:spacing w:val="-4"/>
        </w:rPr>
        <w:t xml:space="preserve"> </w:t>
      </w:r>
      <w:r>
        <w:t>1#:</w:t>
      </w:r>
      <w:r>
        <w:rPr>
          <w:spacing w:val="-3"/>
        </w:rPr>
        <w:t xml:space="preserve"> </w:t>
      </w:r>
      <w:r>
        <w:rPr>
          <w:i/>
        </w:rPr>
        <w:t>If</w:t>
      </w:r>
      <w:r>
        <w:rPr>
          <w:i/>
          <w:spacing w:val="-3"/>
        </w:rPr>
        <w:t xml:space="preserve"> </w:t>
      </w:r>
      <w:r>
        <w:t>God</w:t>
      </w:r>
      <w:r>
        <w:rPr>
          <w:spacing w:val="-2"/>
        </w:rPr>
        <w:t xml:space="preserve"> </w:t>
      </w:r>
      <w:r>
        <w:t>existed,</w:t>
      </w:r>
      <w:r>
        <w:rPr>
          <w:spacing w:val="-2"/>
        </w:rPr>
        <w:t xml:space="preserve"> </w:t>
      </w:r>
      <w:r>
        <w:t>then</w:t>
      </w:r>
      <w:r>
        <w:rPr>
          <w:spacing w:val="-2"/>
        </w:rPr>
        <w:t xml:space="preserve"> </w:t>
      </w:r>
      <w:r>
        <w:t>He</w:t>
      </w:r>
      <w:r>
        <w:rPr>
          <w:spacing w:val="-3"/>
        </w:rPr>
        <w:t xml:space="preserve"> </w:t>
      </w:r>
      <w:r>
        <w:t>would</w:t>
      </w:r>
      <w:r>
        <w:rPr>
          <w:spacing w:val="-2"/>
        </w:rPr>
        <w:t xml:space="preserve"> </w:t>
      </w:r>
      <w:r>
        <w:t>be</w:t>
      </w:r>
      <w:r>
        <w:rPr>
          <w:spacing w:val="-3"/>
        </w:rPr>
        <w:t xml:space="preserve"> </w:t>
      </w:r>
      <w:r>
        <w:t>a</w:t>
      </w:r>
      <w:r>
        <w:rPr>
          <w:spacing w:val="-3"/>
        </w:rPr>
        <w:t xml:space="preserve"> </w:t>
      </w:r>
      <w:r>
        <w:t>most</w:t>
      </w:r>
      <w:r>
        <w:rPr>
          <w:spacing w:val="-3"/>
        </w:rPr>
        <w:t xml:space="preserve"> </w:t>
      </w:r>
      <w:r>
        <w:t>excellent</w:t>
      </w:r>
      <w:r>
        <w:rPr>
          <w:spacing w:val="-2"/>
        </w:rPr>
        <w:t xml:space="preserve"> being.</w:t>
      </w:r>
    </w:p>
    <w:p w14:paraId="7E002812" w14:textId="77777777" w:rsidR="009A58DB" w:rsidRDefault="009A58DB">
      <w:pPr>
        <w:pStyle w:val="BodyText"/>
        <w:spacing w:before="30"/>
        <w:ind w:left="0"/>
        <w:jc w:val="left"/>
      </w:pPr>
    </w:p>
    <w:p w14:paraId="7E002813" w14:textId="77777777" w:rsidR="009A58DB" w:rsidRDefault="00000000">
      <w:pPr>
        <w:pStyle w:val="BodyText"/>
      </w:pPr>
      <w:r>
        <w:t>Step</w:t>
      </w:r>
      <w:r>
        <w:rPr>
          <w:spacing w:val="63"/>
          <w:w w:val="150"/>
        </w:rPr>
        <w:t xml:space="preserve"> </w:t>
      </w:r>
      <w:r>
        <w:t>2#:</w:t>
      </w:r>
      <w:r>
        <w:rPr>
          <w:spacing w:val="64"/>
          <w:w w:val="150"/>
        </w:rPr>
        <w:t xml:space="preserve"> </w:t>
      </w:r>
      <w:r>
        <w:rPr>
          <w:i/>
        </w:rPr>
        <w:t>If</w:t>
      </w:r>
      <w:r>
        <w:rPr>
          <w:i/>
          <w:spacing w:val="64"/>
          <w:w w:val="150"/>
        </w:rPr>
        <w:t xml:space="preserve"> </w:t>
      </w:r>
      <w:r>
        <w:t>God</w:t>
      </w:r>
      <w:r>
        <w:rPr>
          <w:spacing w:val="66"/>
          <w:w w:val="150"/>
        </w:rPr>
        <w:t xml:space="preserve"> </w:t>
      </w:r>
      <w:r>
        <w:t>existed,</w:t>
      </w:r>
      <w:r>
        <w:rPr>
          <w:spacing w:val="65"/>
          <w:w w:val="150"/>
        </w:rPr>
        <w:t xml:space="preserve"> </w:t>
      </w:r>
      <w:r>
        <w:t>then</w:t>
      </w:r>
      <w:r>
        <w:rPr>
          <w:spacing w:val="65"/>
          <w:w w:val="150"/>
        </w:rPr>
        <w:t xml:space="preserve"> </w:t>
      </w:r>
      <w:r>
        <w:t>God</w:t>
      </w:r>
      <w:r>
        <w:rPr>
          <w:spacing w:val="65"/>
          <w:w w:val="150"/>
        </w:rPr>
        <w:t xml:space="preserve"> </w:t>
      </w:r>
      <w:r>
        <w:t>would</w:t>
      </w:r>
      <w:r>
        <w:rPr>
          <w:spacing w:val="66"/>
          <w:w w:val="150"/>
        </w:rPr>
        <w:t xml:space="preserve"> </w:t>
      </w:r>
      <w:r>
        <w:t>have</w:t>
      </w:r>
      <w:r>
        <w:rPr>
          <w:spacing w:val="64"/>
          <w:w w:val="150"/>
        </w:rPr>
        <w:t xml:space="preserve"> </w:t>
      </w:r>
      <w:r>
        <w:t>every</w:t>
      </w:r>
      <w:r>
        <w:rPr>
          <w:spacing w:val="65"/>
          <w:w w:val="150"/>
        </w:rPr>
        <w:t xml:space="preserve"> </w:t>
      </w:r>
      <w:r>
        <w:t>excellence</w:t>
      </w:r>
      <w:r>
        <w:rPr>
          <w:spacing w:val="64"/>
          <w:w w:val="150"/>
        </w:rPr>
        <w:t xml:space="preserve"> </w:t>
      </w:r>
      <w:r>
        <w:t>to</w:t>
      </w:r>
      <w:r>
        <w:rPr>
          <w:spacing w:val="66"/>
          <w:w w:val="150"/>
        </w:rPr>
        <w:t xml:space="preserve"> </w:t>
      </w:r>
      <w:r>
        <w:rPr>
          <w:spacing w:val="-10"/>
        </w:rPr>
        <w:t>a</w:t>
      </w:r>
    </w:p>
    <w:p w14:paraId="7E002814" w14:textId="77777777" w:rsidR="009A58DB" w:rsidRDefault="009A58DB">
      <w:pPr>
        <w:pStyle w:val="BodyText"/>
        <w:sectPr w:rsidR="009A58DB">
          <w:pgSz w:w="12240" w:h="15840"/>
          <w:pgMar w:top="1380" w:right="1080" w:bottom="280" w:left="1080" w:header="720" w:footer="720" w:gutter="0"/>
          <w:cols w:space="720"/>
        </w:sectPr>
      </w:pPr>
    </w:p>
    <w:p w14:paraId="7E002815" w14:textId="77777777" w:rsidR="009A58DB" w:rsidRDefault="00000000">
      <w:pPr>
        <w:pStyle w:val="BodyText"/>
        <w:spacing w:before="60"/>
        <w:jc w:val="left"/>
      </w:pPr>
      <w:r>
        <w:lastRenderedPageBreak/>
        <w:t>maximally</w:t>
      </w:r>
      <w:r>
        <w:rPr>
          <w:spacing w:val="-4"/>
        </w:rPr>
        <w:t xml:space="preserve"> </w:t>
      </w:r>
      <w:r>
        <w:t>high</w:t>
      </w:r>
      <w:r>
        <w:rPr>
          <w:spacing w:val="-4"/>
        </w:rPr>
        <w:t xml:space="preserve"> </w:t>
      </w:r>
      <w:r>
        <w:rPr>
          <w:spacing w:val="-2"/>
        </w:rPr>
        <w:t>degree.</w:t>
      </w:r>
    </w:p>
    <w:p w14:paraId="7E002816" w14:textId="77777777" w:rsidR="009A58DB" w:rsidRDefault="009A58DB">
      <w:pPr>
        <w:pStyle w:val="BodyText"/>
        <w:spacing w:before="34"/>
        <w:ind w:left="0"/>
        <w:jc w:val="left"/>
      </w:pPr>
    </w:p>
    <w:p w14:paraId="7E002817" w14:textId="77777777" w:rsidR="009A58DB" w:rsidRDefault="00000000">
      <w:pPr>
        <w:pStyle w:val="BodyText"/>
        <w:spacing w:before="1" w:line="249" w:lineRule="auto"/>
        <w:ind w:right="362" w:firstLine="360"/>
      </w:pPr>
      <w:r>
        <w:t xml:space="preserve">So if the ontological argument is to avoid begging the question—in other words, if it is to avoid simply </w:t>
      </w:r>
      <w:r>
        <w:rPr>
          <w:i/>
        </w:rPr>
        <w:t xml:space="preserve">assuming </w:t>
      </w:r>
      <w:r>
        <w:t xml:space="preserve">God’s existence—then we must replace Steps 1 and 2 with Steps #1 and #2. So the first three steps must </w:t>
      </w:r>
      <w:r>
        <w:rPr>
          <w:spacing w:val="-2"/>
        </w:rPr>
        <w:t>become:</w:t>
      </w:r>
    </w:p>
    <w:p w14:paraId="7E002818" w14:textId="77777777" w:rsidR="009A58DB" w:rsidRDefault="009A58DB">
      <w:pPr>
        <w:pStyle w:val="BodyText"/>
        <w:spacing w:before="19"/>
        <w:ind w:left="0"/>
        <w:jc w:val="left"/>
      </w:pPr>
    </w:p>
    <w:p w14:paraId="7E002819" w14:textId="77777777" w:rsidR="009A58DB" w:rsidRDefault="00000000">
      <w:pPr>
        <w:pStyle w:val="BodyText"/>
        <w:spacing w:before="1"/>
        <w:jc w:val="left"/>
      </w:pPr>
      <w:r>
        <w:t>Step</w:t>
      </w:r>
      <w:r>
        <w:rPr>
          <w:spacing w:val="-4"/>
        </w:rPr>
        <w:t xml:space="preserve"> </w:t>
      </w:r>
      <w:r>
        <w:t>1#.</w:t>
      </w:r>
      <w:r>
        <w:rPr>
          <w:spacing w:val="-3"/>
        </w:rPr>
        <w:t xml:space="preserve"> </w:t>
      </w:r>
      <w:r>
        <w:rPr>
          <w:i/>
        </w:rPr>
        <w:t>If</w:t>
      </w:r>
      <w:r>
        <w:rPr>
          <w:i/>
          <w:spacing w:val="-3"/>
        </w:rPr>
        <w:t xml:space="preserve"> </w:t>
      </w:r>
      <w:r>
        <w:t>God</w:t>
      </w:r>
      <w:r>
        <w:rPr>
          <w:spacing w:val="-2"/>
        </w:rPr>
        <w:t xml:space="preserve"> </w:t>
      </w:r>
      <w:r>
        <w:t>existed,</w:t>
      </w:r>
      <w:r>
        <w:rPr>
          <w:spacing w:val="-2"/>
        </w:rPr>
        <w:t xml:space="preserve"> </w:t>
      </w:r>
      <w:r>
        <w:t>He</w:t>
      </w:r>
      <w:r>
        <w:rPr>
          <w:spacing w:val="-3"/>
        </w:rPr>
        <w:t xml:space="preserve"> </w:t>
      </w:r>
      <w:r>
        <w:t>would</w:t>
      </w:r>
      <w:r>
        <w:rPr>
          <w:spacing w:val="-2"/>
        </w:rPr>
        <w:t xml:space="preserve"> </w:t>
      </w:r>
      <w:r>
        <w:t>be</w:t>
      </w:r>
      <w:r>
        <w:rPr>
          <w:spacing w:val="-3"/>
        </w:rPr>
        <w:t xml:space="preserve"> </w:t>
      </w:r>
      <w:r>
        <w:t>a</w:t>
      </w:r>
      <w:r>
        <w:rPr>
          <w:spacing w:val="-3"/>
        </w:rPr>
        <w:t xml:space="preserve"> </w:t>
      </w:r>
      <w:r>
        <w:t>most</w:t>
      </w:r>
      <w:r>
        <w:rPr>
          <w:spacing w:val="-3"/>
        </w:rPr>
        <w:t xml:space="preserve"> </w:t>
      </w:r>
      <w:r>
        <w:t>excellent</w:t>
      </w:r>
      <w:r>
        <w:rPr>
          <w:spacing w:val="-2"/>
        </w:rPr>
        <w:t xml:space="preserve"> being.</w:t>
      </w:r>
    </w:p>
    <w:p w14:paraId="7E00281A" w14:textId="77777777" w:rsidR="009A58DB" w:rsidRDefault="009A58DB">
      <w:pPr>
        <w:pStyle w:val="BodyText"/>
        <w:spacing w:before="30"/>
        <w:ind w:left="0"/>
        <w:jc w:val="left"/>
      </w:pPr>
    </w:p>
    <w:p w14:paraId="7E00281B" w14:textId="77777777" w:rsidR="009A58DB" w:rsidRDefault="00000000">
      <w:pPr>
        <w:pStyle w:val="BodyText"/>
        <w:spacing w:line="249" w:lineRule="auto"/>
        <w:ind w:right="371"/>
      </w:pPr>
      <w:r>
        <w:t xml:space="preserve">Step 2#: </w:t>
      </w:r>
      <w:r>
        <w:rPr>
          <w:i/>
        </w:rPr>
        <w:t xml:space="preserve">If </w:t>
      </w:r>
      <w:r>
        <w:t>God existed, then God would have every excellence to a maximally high degree.</w:t>
      </w:r>
    </w:p>
    <w:p w14:paraId="7E00281C" w14:textId="77777777" w:rsidR="009A58DB" w:rsidRDefault="009A58DB">
      <w:pPr>
        <w:pStyle w:val="BodyText"/>
        <w:spacing w:before="17"/>
        <w:ind w:left="0"/>
        <w:jc w:val="left"/>
      </w:pPr>
    </w:p>
    <w:p w14:paraId="7E00281D" w14:textId="77777777" w:rsidR="009A58DB" w:rsidRDefault="00000000">
      <w:pPr>
        <w:pStyle w:val="BodyText"/>
        <w:jc w:val="left"/>
      </w:pPr>
      <w:r>
        <w:t>Step</w:t>
      </w:r>
      <w:r>
        <w:rPr>
          <w:spacing w:val="-3"/>
        </w:rPr>
        <w:t xml:space="preserve"> </w:t>
      </w:r>
      <w:r>
        <w:t>3.</w:t>
      </w:r>
      <w:r>
        <w:rPr>
          <w:spacing w:val="-2"/>
        </w:rPr>
        <w:t xml:space="preserve"> </w:t>
      </w:r>
      <w:r>
        <w:t>Existence</w:t>
      </w:r>
      <w:r>
        <w:rPr>
          <w:spacing w:val="-3"/>
        </w:rPr>
        <w:t xml:space="preserve"> </w:t>
      </w:r>
      <w:r>
        <w:t>is</w:t>
      </w:r>
      <w:r>
        <w:rPr>
          <w:spacing w:val="-3"/>
        </w:rPr>
        <w:t xml:space="preserve"> </w:t>
      </w:r>
      <w:r>
        <w:t>an</w:t>
      </w:r>
      <w:r>
        <w:rPr>
          <w:spacing w:val="-2"/>
        </w:rPr>
        <w:t xml:space="preserve"> excellence.</w:t>
      </w:r>
    </w:p>
    <w:p w14:paraId="7E00281E" w14:textId="77777777" w:rsidR="009A58DB" w:rsidRDefault="009A58DB">
      <w:pPr>
        <w:pStyle w:val="BodyText"/>
        <w:spacing w:before="30"/>
        <w:ind w:left="0"/>
        <w:jc w:val="left"/>
      </w:pPr>
    </w:p>
    <w:p w14:paraId="7E00281F" w14:textId="77777777" w:rsidR="009A58DB" w:rsidRDefault="00000000">
      <w:pPr>
        <w:pStyle w:val="BodyText"/>
        <w:jc w:val="left"/>
      </w:pPr>
      <w:r>
        <w:t>What</w:t>
      </w:r>
      <w:r>
        <w:rPr>
          <w:spacing w:val="-7"/>
        </w:rPr>
        <w:t xml:space="preserve"> </w:t>
      </w:r>
      <w:r>
        <w:t>follows</w:t>
      </w:r>
      <w:r>
        <w:rPr>
          <w:spacing w:val="-4"/>
        </w:rPr>
        <w:t xml:space="preserve"> </w:t>
      </w:r>
      <w:r>
        <w:t>from</w:t>
      </w:r>
      <w:r>
        <w:rPr>
          <w:spacing w:val="-4"/>
        </w:rPr>
        <w:t xml:space="preserve"> </w:t>
      </w:r>
      <w:r>
        <w:t>these</w:t>
      </w:r>
      <w:r>
        <w:rPr>
          <w:spacing w:val="-5"/>
        </w:rPr>
        <w:t xml:space="preserve"> </w:t>
      </w:r>
      <w:r>
        <w:t>three</w:t>
      </w:r>
      <w:r>
        <w:rPr>
          <w:spacing w:val="-4"/>
        </w:rPr>
        <w:t xml:space="preserve"> </w:t>
      </w:r>
      <w:r>
        <w:t>statements</w:t>
      </w:r>
      <w:r>
        <w:rPr>
          <w:spacing w:val="-4"/>
        </w:rPr>
        <w:t xml:space="preserve"> </w:t>
      </w:r>
      <w:r>
        <w:t>is</w:t>
      </w:r>
      <w:r>
        <w:rPr>
          <w:spacing w:val="-4"/>
        </w:rPr>
        <w:t xml:space="preserve"> </w:t>
      </w:r>
      <w:r>
        <w:rPr>
          <w:spacing w:val="-2"/>
        </w:rPr>
        <w:t>that:</w:t>
      </w:r>
    </w:p>
    <w:p w14:paraId="7E002820" w14:textId="77777777" w:rsidR="009A58DB" w:rsidRDefault="009A58DB">
      <w:pPr>
        <w:pStyle w:val="BodyText"/>
        <w:spacing w:before="30"/>
        <w:ind w:left="0"/>
        <w:jc w:val="left"/>
      </w:pPr>
    </w:p>
    <w:p w14:paraId="7E002821" w14:textId="77777777" w:rsidR="009A58DB" w:rsidRDefault="00000000">
      <w:pPr>
        <w:pStyle w:val="BodyText"/>
        <w:spacing w:line="249" w:lineRule="auto"/>
        <w:ind w:right="366"/>
      </w:pPr>
      <w:r>
        <w:t xml:space="preserve">Conclusion*: </w:t>
      </w:r>
      <w:r>
        <w:rPr>
          <w:i/>
        </w:rPr>
        <w:t xml:space="preserve">If </w:t>
      </w:r>
      <w:r>
        <w:t>God exists, then He has every excellence, including</w:t>
      </w:r>
      <w:r>
        <w:rPr>
          <w:spacing w:val="40"/>
        </w:rPr>
        <w:t xml:space="preserve"> </w:t>
      </w:r>
      <w:r>
        <w:rPr>
          <w:spacing w:val="-2"/>
        </w:rPr>
        <w:t>existence.</w:t>
      </w:r>
    </w:p>
    <w:p w14:paraId="7E002822" w14:textId="77777777" w:rsidR="009A58DB" w:rsidRDefault="009A58DB">
      <w:pPr>
        <w:pStyle w:val="BodyText"/>
        <w:spacing w:before="18"/>
        <w:ind w:left="0"/>
        <w:jc w:val="left"/>
      </w:pPr>
    </w:p>
    <w:p w14:paraId="7E002823" w14:textId="77777777" w:rsidR="009A58DB" w:rsidRDefault="00000000">
      <w:pPr>
        <w:pStyle w:val="BodyText"/>
        <w:ind w:left="720"/>
        <w:jc w:val="left"/>
      </w:pPr>
      <w:r>
        <w:t>In</w:t>
      </w:r>
      <w:r>
        <w:rPr>
          <w:spacing w:val="-5"/>
        </w:rPr>
        <w:t xml:space="preserve"> </w:t>
      </w:r>
      <w:r>
        <w:t>other</w:t>
      </w:r>
      <w:r>
        <w:rPr>
          <w:spacing w:val="-2"/>
        </w:rPr>
        <w:t xml:space="preserve"> </w:t>
      </w:r>
      <w:r>
        <w:t>words,</w:t>
      </w:r>
      <w:r>
        <w:rPr>
          <w:spacing w:val="-2"/>
        </w:rPr>
        <w:t xml:space="preserve"> </w:t>
      </w:r>
      <w:r>
        <w:t>if</w:t>
      </w:r>
      <w:r>
        <w:rPr>
          <w:spacing w:val="-3"/>
        </w:rPr>
        <w:t xml:space="preserve"> </w:t>
      </w:r>
      <w:r>
        <w:t>God</w:t>
      </w:r>
      <w:r>
        <w:rPr>
          <w:spacing w:val="-2"/>
        </w:rPr>
        <w:t xml:space="preserve"> </w:t>
      </w:r>
      <w:r>
        <w:t>exists,</w:t>
      </w:r>
      <w:r>
        <w:rPr>
          <w:spacing w:val="-3"/>
        </w:rPr>
        <w:t xml:space="preserve"> </w:t>
      </w:r>
      <w:r>
        <w:t>He</w:t>
      </w:r>
      <w:r>
        <w:rPr>
          <w:spacing w:val="-2"/>
        </w:rPr>
        <w:t xml:space="preserve"> exists.</w:t>
      </w:r>
    </w:p>
    <w:p w14:paraId="7E002824" w14:textId="77777777" w:rsidR="009A58DB" w:rsidRDefault="00000000">
      <w:pPr>
        <w:pStyle w:val="BodyText"/>
        <w:spacing w:before="15" w:line="249" w:lineRule="auto"/>
        <w:ind w:firstLine="360"/>
        <w:jc w:val="left"/>
      </w:pPr>
      <w:r>
        <w:t>But</w:t>
      </w:r>
      <w:r>
        <w:rPr>
          <w:spacing w:val="-2"/>
        </w:rPr>
        <w:t xml:space="preserve"> </w:t>
      </w:r>
      <w:r>
        <w:t>that</w:t>
      </w:r>
      <w:r>
        <w:rPr>
          <w:spacing w:val="-2"/>
        </w:rPr>
        <w:t xml:space="preserve"> </w:t>
      </w:r>
      <w:r>
        <w:t>statement</w:t>
      </w:r>
      <w:r>
        <w:rPr>
          <w:spacing w:val="-2"/>
        </w:rPr>
        <w:t xml:space="preserve"> </w:t>
      </w:r>
      <w:r>
        <w:t>is</w:t>
      </w:r>
      <w:r>
        <w:rPr>
          <w:spacing w:val="-1"/>
        </w:rPr>
        <w:t xml:space="preserve"> </w:t>
      </w:r>
      <w:r>
        <w:t>completely</w:t>
      </w:r>
      <w:r>
        <w:rPr>
          <w:spacing w:val="-1"/>
        </w:rPr>
        <w:t xml:space="preserve"> </w:t>
      </w:r>
      <w:r>
        <w:t>innocuous.</w:t>
      </w:r>
      <w:r>
        <w:rPr>
          <w:spacing w:val="-2"/>
        </w:rPr>
        <w:t xml:space="preserve"> </w:t>
      </w:r>
      <w:r>
        <w:t>Even</w:t>
      </w:r>
      <w:r>
        <w:rPr>
          <w:spacing w:val="-1"/>
        </w:rPr>
        <w:t xml:space="preserve"> </w:t>
      </w:r>
      <w:r>
        <w:t>atheists</w:t>
      </w:r>
      <w:r>
        <w:rPr>
          <w:spacing w:val="-1"/>
        </w:rPr>
        <w:t xml:space="preserve"> </w:t>
      </w:r>
      <w:r>
        <w:t>grant</w:t>
      </w:r>
      <w:r>
        <w:rPr>
          <w:spacing w:val="-2"/>
        </w:rPr>
        <w:t xml:space="preserve"> </w:t>
      </w:r>
      <w:r>
        <w:t>that</w:t>
      </w:r>
      <w:r>
        <w:rPr>
          <w:spacing w:val="-2"/>
        </w:rPr>
        <w:t xml:space="preserve"> </w:t>
      </w:r>
      <w:r>
        <w:rPr>
          <w:i/>
        </w:rPr>
        <w:t>if</w:t>
      </w:r>
      <w:r>
        <w:rPr>
          <w:i/>
          <w:spacing w:val="-5"/>
        </w:rPr>
        <w:t xml:space="preserve"> </w:t>
      </w:r>
      <w:r>
        <w:t xml:space="preserve">God existed, then He </w:t>
      </w:r>
      <w:r>
        <w:rPr>
          <w:i/>
        </w:rPr>
        <w:t xml:space="preserve">would </w:t>
      </w:r>
      <w:r>
        <w:t>exist.</w:t>
      </w:r>
    </w:p>
    <w:p w14:paraId="7E002825" w14:textId="77777777" w:rsidR="009A58DB" w:rsidRDefault="00000000">
      <w:pPr>
        <w:pStyle w:val="BodyText"/>
        <w:spacing w:before="2"/>
        <w:jc w:val="left"/>
      </w:pPr>
      <w:r>
        <w:t>So</w:t>
      </w:r>
      <w:r>
        <w:rPr>
          <w:spacing w:val="-3"/>
        </w:rPr>
        <w:t xml:space="preserve"> </w:t>
      </w:r>
      <w:r>
        <w:t>the</w:t>
      </w:r>
      <w:r>
        <w:rPr>
          <w:spacing w:val="-4"/>
        </w:rPr>
        <w:t xml:space="preserve"> </w:t>
      </w:r>
      <w:r>
        <w:t>ontological</w:t>
      </w:r>
      <w:r>
        <w:rPr>
          <w:spacing w:val="-3"/>
        </w:rPr>
        <w:t xml:space="preserve"> </w:t>
      </w:r>
      <w:r>
        <w:t>argument</w:t>
      </w:r>
      <w:r>
        <w:rPr>
          <w:spacing w:val="-4"/>
        </w:rPr>
        <w:t xml:space="preserve"> </w:t>
      </w:r>
      <w:r>
        <w:t>proves</w:t>
      </w:r>
      <w:r>
        <w:rPr>
          <w:spacing w:val="-3"/>
        </w:rPr>
        <w:t xml:space="preserve"> </w:t>
      </w:r>
      <w:r>
        <w:rPr>
          <w:spacing w:val="-2"/>
        </w:rPr>
        <w:t>nothing.</w:t>
      </w:r>
    </w:p>
    <w:p w14:paraId="7E002826" w14:textId="77777777" w:rsidR="009A58DB" w:rsidRDefault="00000000">
      <w:pPr>
        <w:pStyle w:val="Heading1"/>
        <w:numPr>
          <w:ilvl w:val="2"/>
          <w:numId w:val="43"/>
        </w:numPr>
        <w:tabs>
          <w:tab w:val="left" w:pos="1307"/>
        </w:tabs>
        <w:spacing w:line="244" w:lineRule="auto"/>
        <w:ind w:left="360" w:right="362" w:firstLine="0"/>
      </w:pPr>
      <w:r>
        <w:t>The</w:t>
      </w:r>
      <w:r>
        <w:rPr>
          <w:spacing w:val="-5"/>
        </w:rPr>
        <w:t xml:space="preserve"> </w:t>
      </w:r>
      <w:r>
        <w:t>simplest</w:t>
      </w:r>
      <w:r>
        <w:rPr>
          <w:spacing w:val="-6"/>
        </w:rPr>
        <w:t xml:space="preserve"> </w:t>
      </w:r>
      <w:r>
        <w:t>possible</w:t>
      </w:r>
      <w:r>
        <w:rPr>
          <w:spacing w:val="-5"/>
        </w:rPr>
        <w:t xml:space="preserve"> </w:t>
      </w:r>
      <w:r>
        <w:t>version</w:t>
      </w:r>
      <w:r>
        <w:rPr>
          <w:spacing w:val="-6"/>
        </w:rPr>
        <w:t xml:space="preserve"> </w:t>
      </w:r>
      <w:r>
        <w:t>of</w:t>
      </w:r>
      <w:r>
        <w:rPr>
          <w:spacing w:val="-6"/>
        </w:rPr>
        <w:t xml:space="preserve"> </w:t>
      </w:r>
      <w:r>
        <w:t>the</w:t>
      </w:r>
      <w:r>
        <w:rPr>
          <w:spacing w:val="-5"/>
        </w:rPr>
        <w:t xml:space="preserve"> </w:t>
      </w:r>
      <w:r>
        <w:t>ontological argument (SOA)</w:t>
      </w:r>
    </w:p>
    <w:p w14:paraId="7E002827" w14:textId="77777777" w:rsidR="009A58DB" w:rsidRDefault="00000000">
      <w:pPr>
        <w:pStyle w:val="BodyText"/>
        <w:spacing w:before="132" w:line="249" w:lineRule="auto"/>
        <w:ind w:right="364"/>
      </w:pPr>
      <w:r>
        <w:t>Failing to exist is a way of being imperfect. God is perfect. Therefore, God doesn’t fail to exist.</w:t>
      </w:r>
    </w:p>
    <w:p w14:paraId="7E002828" w14:textId="77777777" w:rsidR="009A58DB" w:rsidRDefault="00000000">
      <w:pPr>
        <w:pStyle w:val="Heading1"/>
        <w:numPr>
          <w:ilvl w:val="2"/>
          <w:numId w:val="43"/>
        </w:numPr>
        <w:tabs>
          <w:tab w:val="left" w:pos="1305"/>
        </w:tabs>
        <w:spacing w:before="206"/>
      </w:pPr>
      <w:r>
        <w:t>This</w:t>
      </w:r>
      <w:r>
        <w:rPr>
          <w:spacing w:val="-5"/>
        </w:rPr>
        <w:t xml:space="preserve"> </w:t>
      </w:r>
      <w:r>
        <w:t>argument</w:t>
      </w:r>
      <w:r>
        <w:rPr>
          <w:spacing w:val="-5"/>
        </w:rPr>
        <w:t xml:space="preserve"> </w:t>
      </w:r>
      <w:r>
        <w:rPr>
          <w:spacing w:val="-2"/>
        </w:rPr>
        <w:t>evaluated</w:t>
      </w:r>
    </w:p>
    <w:p w14:paraId="7E002829" w14:textId="77777777" w:rsidR="009A58DB" w:rsidRDefault="00000000">
      <w:pPr>
        <w:pStyle w:val="BodyText"/>
        <w:spacing w:before="139" w:line="249" w:lineRule="auto"/>
        <w:ind w:right="360"/>
      </w:pPr>
      <w:r>
        <w:t>SOA presupposes that a given thing’s failing to exist makes it imperfect.</w:t>
      </w:r>
      <w:r>
        <w:rPr>
          <w:spacing w:val="40"/>
        </w:rPr>
        <w:t xml:space="preserve"> </w:t>
      </w:r>
      <w:r>
        <w:t>SOA therefore presupposes that a given thing can fail to exist. This seems reasonable enough at first. (“Wouldn’t I be a lesser person if I failed to exist?”) But it’s incoherent. If you didn’t exist, you wouldn’t be a lesser person.</w:t>
      </w:r>
      <w:r>
        <w:rPr>
          <w:spacing w:val="-2"/>
        </w:rPr>
        <w:t xml:space="preserve"> </w:t>
      </w:r>
      <w:r>
        <w:t>There</w:t>
      </w:r>
      <w:r>
        <w:rPr>
          <w:spacing w:val="2"/>
        </w:rPr>
        <w:t xml:space="preserve"> </w:t>
      </w:r>
      <w:r>
        <w:t>would</w:t>
      </w:r>
      <w:r>
        <w:rPr>
          <w:spacing w:val="1"/>
        </w:rPr>
        <w:t xml:space="preserve"> </w:t>
      </w:r>
      <w:r>
        <w:t>be</w:t>
      </w:r>
      <w:r>
        <w:rPr>
          <w:spacing w:val="2"/>
        </w:rPr>
        <w:t xml:space="preserve"> </w:t>
      </w:r>
      <w:r>
        <w:t>no</w:t>
      </w:r>
      <w:r>
        <w:rPr>
          <w:spacing w:val="1"/>
        </w:rPr>
        <w:t xml:space="preserve"> </w:t>
      </w:r>
      <w:r>
        <w:t>you</w:t>
      </w:r>
      <w:r>
        <w:rPr>
          <w:spacing w:val="1"/>
        </w:rPr>
        <w:t xml:space="preserve"> </w:t>
      </w:r>
      <w:r>
        <w:t>to</w:t>
      </w:r>
      <w:r>
        <w:rPr>
          <w:spacing w:val="2"/>
        </w:rPr>
        <w:t xml:space="preserve"> </w:t>
      </w:r>
      <w:r>
        <w:t>begin</w:t>
      </w:r>
      <w:r>
        <w:rPr>
          <w:spacing w:val="1"/>
        </w:rPr>
        <w:t xml:space="preserve"> </w:t>
      </w:r>
      <w:r>
        <w:t>with;</w:t>
      </w:r>
      <w:r>
        <w:rPr>
          <w:spacing w:val="1"/>
        </w:rPr>
        <w:t xml:space="preserve"> </w:t>
      </w:r>
      <w:r>
        <w:t>and</w:t>
      </w:r>
      <w:r>
        <w:rPr>
          <w:spacing w:val="2"/>
        </w:rPr>
        <w:t xml:space="preserve"> </w:t>
      </w:r>
      <w:r>
        <w:t>there would</w:t>
      </w:r>
      <w:r>
        <w:rPr>
          <w:spacing w:val="2"/>
        </w:rPr>
        <w:t xml:space="preserve"> </w:t>
      </w:r>
      <w:r>
        <w:t>thus</w:t>
      </w:r>
      <w:r>
        <w:rPr>
          <w:spacing w:val="1"/>
        </w:rPr>
        <w:t xml:space="preserve"> </w:t>
      </w:r>
      <w:r>
        <w:t>be</w:t>
      </w:r>
      <w:r>
        <w:rPr>
          <w:spacing w:val="2"/>
        </w:rPr>
        <w:t xml:space="preserve"> </w:t>
      </w:r>
      <w:r>
        <w:t>no</w:t>
      </w:r>
      <w:r>
        <w:rPr>
          <w:spacing w:val="2"/>
        </w:rPr>
        <w:t xml:space="preserve"> </w:t>
      </w:r>
      <w:r>
        <w:rPr>
          <w:spacing w:val="-5"/>
        </w:rPr>
        <w:t>you</w:t>
      </w:r>
    </w:p>
    <w:p w14:paraId="7E00282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2B" w14:textId="77777777" w:rsidR="009A58DB" w:rsidRDefault="00000000">
      <w:pPr>
        <w:pStyle w:val="BodyText"/>
        <w:spacing w:before="70"/>
        <w:jc w:val="left"/>
      </w:pPr>
      <w:r>
        <w:lastRenderedPageBreak/>
        <w:t>to</w:t>
      </w:r>
      <w:r>
        <w:rPr>
          <w:spacing w:val="-1"/>
        </w:rPr>
        <w:t xml:space="preserve"> </w:t>
      </w:r>
      <w:r>
        <w:t>fail</w:t>
      </w:r>
      <w:r>
        <w:rPr>
          <w:spacing w:val="-2"/>
        </w:rPr>
        <w:t xml:space="preserve"> </w:t>
      </w:r>
      <w:r>
        <w:t>to</w:t>
      </w:r>
      <w:r>
        <w:rPr>
          <w:spacing w:val="-1"/>
        </w:rPr>
        <w:t xml:space="preserve"> </w:t>
      </w:r>
      <w:r>
        <w:t>do</w:t>
      </w:r>
      <w:r>
        <w:rPr>
          <w:spacing w:val="-1"/>
        </w:rPr>
        <w:t xml:space="preserve"> </w:t>
      </w:r>
      <w:r>
        <w:t>or</w:t>
      </w:r>
      <w:r>
        <w:rPr>
          <w:spacing w:val="-2"/>
        </w:rPr>
        <w:t xml:space="preserve"> </w:t>
      </w:r>
      <w:r>
        <w:t>be</w:t>
      </w:r>
      <w:r>
        <w:rPr>
          <w:spacing w:val="-2"/>
        </w:rPr>
        <w:t xml:space="preserve"> </w:t>
      </w:r>
      <w:r>
        <w:t>this</w:t>
      </w:r>
      <w:r>
        <w:rPr>
          <w:spacing w:val="-2"/>
        </w:rPr>
        <w:t xml:space="preserve"> </w:t>
      </w:r>
      <w:r>
        <w:t>or</w:t>
      </w:r>
      <w:r>
        <w:rPr>
          <w:spacing w:val="-1"/>
        </w:rPr>
        <w:t xml:space="preserve"> </w:t>
      </w:r>
      <w:r>
        <w:rPr>
          <w:spacing w:val="-4"/>
        </w:rPr>
        <w:t>that.</w:t>
      </w:r>
    </w:p>
    <w:p w14:paraId="7E00282C" w14:textId="77777777" w:rsidR="009A58DB" w:rsidRDefault="00000000">
      <w:pPr>
        <w:pStyle w:val="BodyText"/>
        <w:spacing w:before="10" w:line="249" w:lineRule="auto"/>
        <w:ind w:firstLine="360"/>
        <w:jc w:val="left"/>
      </w:pPr>
      <w:r>
        <w:t>For</w:t>
      </w:r>
      <w:r>
        <w:rPr>
          <w:spacing w:val="29"/>
        </w:rPr>
        <w:t xml:space="preserve"> </w:t>
      </w:r>
      <w:r>
        <w:t>there</w:t>
      </w:r>
      <w:r>
        <w:rPr>
          <w:spacing w:val="29"/>
        </w:rPr>
        <w:t xml:space="preserve"> </w:t>
      </w:r>
      <w:r>
        <w:t>to</w:t>
      </w:r>
      <w:r>
        <w:rPr>
          <w:spacing w:val="29"/>
        </w:rPr>
        <w:t xml:space="preserve"> </w:t>
      </w:r>
      <w:r>
        <w:t>be</w:t>
      </w:r>
      <w:r>
        <w:rPr>
          <w:spacing w:val="29"/>
        </w:rPr>
        <w:t xml:space="preserve"> </w:t>
      </w:r>
      <w:r>
        <w:t>something</w:t>
      </w:r>
      <w:r>
        <w:rPr>
          <w:spacing w:val="29"/>
        </w:rPr>
        <w:t xml:space="preserve"> </w:t>
      </w:r>
      <w:r>
        <w:t>that</w:t>
      </w:r>
      <w:r>
        <w:rPr>
          <w:spacing w:val="28"/>
        </w:rPr>
        <w:t xml:space="preserve"> </w:t>
      </w:r>
      <w:r>
        <w:t>failed</w:t>
      </w:r>
      <w:r>
        <w:rPr>
          <w:spacing w:val="29"/>
        </w:rPr>
        <w:t xml:space="preserve"> </w:t>
      </w:r>
      <w:r>
        <w:t>to</w:t>
      </w:r>
      <w:r>
        <w:rPr>
          <w:spacing w:val="29"/>
        </w:rPr>
        <w:t xml:space="preserve"> </w:t>
      </w:r>
      <w:r>
        <w:t>exist</w:t>
      </w:r>
      <w:r>
        <w:rPr>
          <w:spacing w:val="28"/>
        </w:rPr>
        <w:t xml:space="preserve"> </w:t>
      </w:r>
      <w:r>
        <w:t>would</w:t>
      </w:r>
      <w:r>
        <w:rPr>
          <w:spacing w:val="29"/>
        </w:rPr>
        <w:t xml:space="preserve"> </w:t>
      </w:r>
      <w:r>
        <w:t>be</w:t>
      </w:r>
      <w:r>
        <w:rPr>
          <w:spacing w:val="29"/>
        </w:rPr>
        <w:t xml:space="preserve"> </w:t>
      </w:r>
      <w:r>
        <w:t>for</w:t>
      </w:r>
      <w:r>
        <w:rPr>
          <w:spacing w:val="29"/>
        </w:rPr>
        <w:t xml:space="preserve"> </w:t>
      </w:r>
      <w:r>
        <w:t>there</w:t>
      </w:r>
      <w:r>
        <w:rPr>
          <w:spacing w:val="29"/>
        </w:rPr>
        <w:t xml:space="preserve"> </w:t>
      </w:r>
      <w:r>
        <w:t>to</w:t>
      </w:r>
      <w:r>
        <w:rPr>
          <w:spacing w:val="29"/>
        </w:rPr>
        <w:t xml:space="preserve"> </w:t>
      </w:r>
      <w:r>
        <w:t>exist something x such that x did not exist. And that, clearly, is not possible.</w:t>
      </w:r>
    </w:p>
    <w:p w14:paraId="7E00282D" w14:textId="77777777" w:rsidR="009A58DB" w:rsidRDefault="00000000">
      <w:pPr>
        <w:pStyle w:val="BodyText"/>
        <w:spacing w:before="2" w:line="249" w:lineRule="auto"/>
        <w:ind w:firstLine="360"/>
        <w:jc w:val="left"/>
      </w:pPr>
      <w:r>
        <w:t>“But</w:t>
      </w:r>
      <w:r>
        <w:rPr>
          <w:spacing w:val="40"/>
        </w:rPr>
        <w:t xml:space="preserve"> </w:t>
      </w:r>
      <w:r>
        <w:t>surely</w:t>
      </w:r>
      <w:r>
        <w:rPr>
          <w:spacing w:val="40"/>
        </w:rPr>
        <w:t xml:space="preserve"> </w:t>
      </w:r>
      <w:r>
        <w:t>there</w:t>
      </w:r>
      <w:r>
        <w:rPr>
          <w:spacing w:val="40"/>
        </w:rPr>
        <w:t xml:space="preserve"> </w:t>
      </w:r>
      <w:r>
        <w:t>are</w:t>
      </w:r>
      <w:r>
        <w:rPr>
          <w:spacing w:val="40"/>
        </w:rPr>
        <w:t xml:space="preserve"> </w:t>
      </w:r>
      <w:r>
        <w:t>things</w:t>
      </w:r>
      <w:r>
        <w:rPr>
          <w:spacing w:val="40"/>
        </w:rPr>
        <w:t xml:space="preserve"> </w:t>
      </w:r>
      <w:r>
        <w:t>that</w:t>
      </w:r>
      <w:r>
        <w:rPr>
          <w:spacing w:val="40"/>
        </w:rPr>
        <w:t xml:space="preserve"> </w:t>
      </w:r>
      <w:r>
        <w:t>don’t</w:t>
      </w:r>
      <w:r>
        <w:rPr>
          <w:spacing w:val="40"/>
        </w:rPr>
        <w:t xml:space="preserve"> </w:t>
      </w:r>
      <w:r>
        <w:t>exist,”</w:t>
      </w:r>
      <w:r>
        <w:rPr>
          <w:spacing w:val="40"/>
        </w:rPr>
        <w:t xml:space="preserve"> </w:t>
      </w:r>
      <w:r>
        <w:t>it</w:t>
      </w:r>
      <w:r>
        <w:rPr>
          <w:spacing w:val="40"/>
        </w:rPr>
        <w:t xml:space="preserve"> </w:t>
      </w:r>
      <w:r>
        <w:t>will</w:t>
      </w:r>
      <w:r>
        <w:rPr>
          <w:spacing w:val="40"/>
        </w:rPr>
        <w:t xml:space="preserve"> </w:t>
      </w:r>
      <w:r>
        <w:t>be</w:t>
      </w:r>
      <w:r>
        <w:rPr>
          <w:spacing w:val="40"/>
        </w:rPr>
        <w:t xml:space="preserve"> </w:t>
      </w:r>
      <w:r>
        <w:t>said.</w:t>
      </w:r>
      <w:r>
        <w:rPr>
          <w:spacing w:val="40"/>
        </w:rPr>
        <w:t xml:space="preserve"> </w:t>
      </w:r>
      <w:r>
        <w:t>“Square</w:t>
      </w:r>
      <w:r>
        <w:rPr>
          <w:spacing w:val="80"/>
        </w:rPr>
        <w:t xml:space="preserve"> </w:t>
      </w:r>
      <w:r>
        <w:t>circles don’t exist. Neither does Zeus.”</w:t>
      </w:r>
    </w:p>
    <w:p w14:paraId="7E00282E" w14:textId="77777777" w:rsidR="009A58DB" w:rsidRDefault="009A58DB">
      <w:pPr>
        <w:pStyle w:val="BodyText"/>
        <w:spacing w:before="17"/>
        <w:ind w:left="0"/>
        <w:jc w:val="left"/>
      </w:pPr>
    </w:p>
    <w:p w14:paraId="7E00282F" w14:textId="77777777" w:rsidR="009A58DB" w:rsidRDefault="00000000">
      <w:pPr>
        <w:pStyle w:val="BodyText"/>
        <w:spacing w:before="1" w:line="249" w:lineRule="auto"/>
        <w:jc w:val="left"/>
      </w:pPr>
      <w:r>
        <w:t>This position is dealt with at length in Chapters 1 and 8. But it’s easy to say</w:t>
      </w:r>
      <w:r>
        <w:rPr>
          <w:spacing w:val="40"/>
        </w:rPr>
        <w:t xml:space="preserve"> </w:t>
      </w:r>
      <w:r>
        <w:t>what’s wrong with it.</w:t>
      </w:r>
    </w:p>
    <w:p w14:paraId="7E002830" w14:textId="77777777" w:rsidR="009A58DB" w:rsidRDefault="00000000">
      <w:pPr>
        <w:pStyle w:val="BodyText"/>
        <w:spacing w:before="2"/>
        <w:jc w:val="left"/>
      </w:pPr>
      <w:r>
        <w:t>The</w:t>
      </w:r>
      <w:r>
        <w:rPr>
          <w:spacing w:val="-2"/>
        </w:rPr>
        <w:t xml:space="preserve"> sentence:</w:t>
      </w:r>
    </w:p>
    <w:p w14:paraId="7E002831" w14:textId="77777777" w:rsidR="009A58DB" w:rsidRDefault="009A58DB">
      <w:pPr>
        <w:pStyle w:val="BodyText"/>
        <w:spacing w:before="30"/>
        <w:ind w:left="0"/>
        <w:jc w:val="left"/>
      </w:pPr>
    </w:p>
    <w:p w14:paraId="7E002832" w14:textId="77777777" w:rsidR="009A58DB" w:rsidRDefault="00000000">
      <w:pPr>
        <w:pStyle w:val="BodyText"/>
        <w:spacing w:line="501" w:lineRule="auto"/>
        <w:ind w:right="5627"/>
        <w:jc w:val="left"/>
      </w:pPr>
      <w:r>
        <w:t>(SC)</w:t>
      </w:r>
      <w:r>
        <w:rPr>
          <w:spacing w:val="-10"/>
        </w:rPr>
        <w:t xml:space="preserve"> </w:t>
      </w:r>
      <w:r>
        <w:t>“square</w:t>
      </w:r>
      <w:r>
        <w:rPr>
          <w:spacing w:val="-10"/>
        </w:rPr>
        <w:t xml:space="preserve"> </w:t>
      </w:r>
      <w:r>
        <w:t>circles</w:t>
      </w:r>
      <w:r>
        <w:rPr>
          <w:spacing w:val="-10"/>
        </w:rPr>
        <w:t xml:space="preserve"> </w:t>
      </w:r>
      <w:r>
        <w:t>don’t</w:t>
      </w:r>
      <w:r>
        <w:rPr>
          <w:spacing w:val="-10"/>
        </w:rPr>
        <w:t xml:space="preserve"> </w:t>
      </w:r>
      <w:r>
        <w:t>exist” doesn’t say that</w:t>
      </w:r>
    </w:p>
    <w:p w14:paraId="7E002833" w14:textId="77777777" w:rsidR="009A58DB" w:rsidRDefault="00000000">
      <w:pPr>
        <w:pStyle w:val="BodyText"/>
        <w:spacing w:line="249" w:lineRule="auto"/>
        <w:jc w:val="left"/>
      </w:pPr>
      <w:r>
        <w:t>(SC#)</w:t>
      </w:r>
      <w:r>
        <w:rPr>
          <w:spacing w:val="37"/>
        </w:rPr>
        <w:t xml:space="preserve"> </w:t>
      </w:r>
      <w:r>
        <w:t>there</w:t>
      </w:r>
      <w:r>
        <w:rPr>
          <w:spacing w:val="37"/>
        </w:rPr>
        <w:t xml:space="preserve"> </w:t>
      </w:r>
      <w:r>
        <w:t>exist</w:t>
      </w:r>
      <w:r>
        <w:rPr>
          <w:spacing w:val="37"/>
        </w:rPr>
        <w:t xml:space="preserve"> </w:t>
      </w:r>
      <w:r>
        <w:t>objects</w:t>
      </w:r>
      <w:r>
        <w:rPr>
          <w:spacing w:val="37"/>
        </w:rPr>
        <w:t xml:space="preserve"> </w:t>
      </w:r>
      <w:r>
        <w:t>that</w:t>
      </w:r>
      <w:r>
        <w:rPr>
          <w:spacing w:val="37"/>
        </w:rPr>
        <w:t xml:space="preserve"> </w:t>
      </w:r>
      <w:r>
        <w:t>are</w:t>
      </w:r>
      <w:r>
        <w:rPr>
          <w:spacing w:val="37"/>
        </w:rPr>
        <w:t xml:space="preserve"> </w:t>
      </w:r>
      <w:r>
        <w:t>both</w:t>
      </w:r>
      <w:r>
        <w:rPr>
          <w:spacing w:val="37"/>
        </w:rPr>
        <w:t xml:space="preserve"> </w:t>
      </w:r>
      <w:r>
        <w:t>square</w:t>
      </w:r>
      <w:r>
        <w:rPr>
          <w:spacing w:val="37"/>
        </w:rPr>
        <w:t xml:space="preserve"> </w:t>
      </w:r>
      <w:r>
        <w:t>and</w:t>
      </w:r>
      <w:r>
        <w:rPr>
          <w:spacing w:val="37"/>
        </w:rPr>
        <w:t xml:space="preserve"> </w:t>
      </w:r>
      <w:r>
        <w:t>circle;</w:t>
      </w:r>
      <w:r>
        <w:rPr>
          <w:spacing w:val="37"/>
        </w:rPr>
        <w:t xml:space="preserve"> </w:t>
      </w:r>
      <w:r>
        <w:t>and</w:t>
      </w:r>
      <w:r>
        <w:rPr>
          <w:spacing w:val="37"/>
        </w:rPr>
        <w:t xml:space="preserve"> </w:t>
      </w:r>
      <w:r>
        <w:t>those</w:t>
      </w:r>
      <w:r>
        <w:rPr>
          <w:spacing w:val="37"/>
        </w:rPr>
        <w:t xml:space="preserve"> </w:t>
      </w:r>
      <w:r>
        <w:t>objects don’t exist, which would be nonsense. Rather, SC says that</w:t>
      </w:r>
    </w:p>
    <w:p w14:paraId="7E002834" w14:textId="77777777" w:rsidR="009A58DB" w:rsidRDefault="009A58DB">
      <w:pPr>
        <w:pStyle w:val="BodyText"/>
        <w:spacing w:before="15"/>
        <w:ind w:left="0"/>
        <w:jc w:val="left"/>
      </w:pPr>
    </w:p>
    <w:p w14:paraId="7E002835" w14:textId="77777777" w:rsidR="009A58DB" w:rsidRDefault="00000000">
      <w:pPr>
        <w:pStyle w:val="BodyText"/>
        <w:spacing w:before="1"/>
        <w:jc w:val="left"/>
      </w:pPr>
      <w:r>
        <w:t>(SC*)</w:t>
      </w:r>
      <w:r>
        <w:rPr>
          <w:spacing w:val="-5"/>
        </w:rPr>
        <w:t xml:space="preserve"> </w:t>
      </w:r>
      <w:r>
        <w:t>any</w:t>
      </w:r>
      <w:r>
        <w:rPr>
          <w:spacing w:val="-2"/>
        </w:rPr>
        <w:t xml:space="preserve"> </w:t>
      </w:r>
      <w:r>
        <w:t>given</w:t>
      </w:r>
      <w:r>
        <w:rPr>
          <w:spacing w:val="-2"/>
        </w:rPr>
        <w:t xml:space="preserve"> </w:t>
      </w:r>
      <w:r>
        <w:t>thing</w:t>
      </w:r>
      <w:r>
        <w:rPr>
          <w:spacing w:val="-1"/>
        </w:rPr>
        <w:t xml:space="preserve"> </w:t>
      </w:r>
      <w:r>
        <w:t>is</w:t>
      </w:r>
      <w:r>
        <w:rPr>
          <w:spacing w:val="-3"/>
        </w:rPr>
        <w:t xml:space="preserve"> </w:t>
      </w:r>
      <w:r>
        <w:t>a</w:t>
      </w:r>
      <w:r>
        <w:rPr>
          <w:spacing w:val="-3"/>
        </w:rPr>
        <w:t xml:space="preserve"> </w:t>
      </w:r>
      <w:r>
        <w:t>non-square</w:t>
      </w:r>
      <w:r>
        <w:rPr>
          <w:spacing w:val="-2"/>
        </w:rPr>
        <w:t xml:space="preserve"> </w:t>
      </w:r>
      <w:r>
        <w:t>if</w:t>
      </w:r>
      <w:r>
        <w:rPr>
          <w:spacing w:val="-3"/>
        </w:rPr>
        <w:t xml:space="preserve"> </w:t>
      </w:r>
      <w:r>
        <w:t>it’s</w:t>
      </w:r>
      <w:r>
        <w:rPr>
          <w:spacing w:val="-3"/>
        </w:rPr>
        <w:t xml:space="preserve"> </w:t>
      </w:r>
      <w:r>
        <w:t>a</w:t>
      </w:r>
      <w:r>
        <w:rPr>
          <w:spacing w:val="-2"/>
        </w:rPr>
        <w:t xml:space="preserve"> circle</w:t>
      </w:r>
    </w:p>
    <w:p w14:paraId="7E002836" w14:textId="77777777" w:rsidR="009A58DB" w:rsidRDefault="009A58DB">
      <w:pPr>
        <w:pStyle w:val="BodyText"/>
        <w:spacing w:before="30"/>
        <w:ind w:left="0"/>
        <w:jc w:val="left"/>
      </w:pPr>
    </w:p>
    <w:p w14:paraId="7E002837" w14:textId="77777777" w:rsidR="009A58DB" w:rsidRDefault="00000000">
      <w:pPr>
        <w:pStyle w:val="BodyText"/>
        <w:spacing w:line="249" w:lineRule="auto"/>
        <w:ind w:right="365" w:firstLine="360"/>
        <w:jc w:val="left"/>
      </w:pPr>
      <w:r>
        <w:t>In other words, pick any given object: if it’s a circle, it isn’t a square. And the sentence</w:t>
      </w:r>
    </w:p>
    <w:p w14:paraId="7E002838" w14:textId="77777777" w:rsidR="009A58DB" w:rsidRDefault="009A58DB">
      <w:pPr>
        <w:pStyle w:val="BodyText"/>
        <w:spacing w:before="17"/>
        <w:ind w:left="0"/>
        <w:jc w:val="left"/>
      </w:pPr>
    </w:p>
    <w:p w14:paraId="7E002839" w14:textId="77777777" w:rsidR="009A58DB" w:rsidRDefault="00000000">
      <w:pPr>
        <w:pStyle w:val="BodyText"/>
        <w:spacing w:line="501" w:lineRule="auto"/>
        <w:ind w:right="6065"/>
        <w:jc w:val="left"/>
      </w:pPr>
      <w:r>
        <w:t>(ZE)</w:t>
      </w:r>
      <w:r>
        <w:rPr>
          <w:spacing w:val="-13"/>
        </w:rPr>
        <w:t xml:space="preserve"> </w:t>
      </w:r>
      <w:r>
        <w:t>“Zeus</w:t>
      </w:r>
      <w:r>
        <w:rPr>
          <w:spacing w:val="-13"/>
        </w:rPr>
        <w:t xml:space="preserve"> </w:t>
      </w:r>
      <w:r>
        <w:t>doesn’t</w:t>
      </w:r>
      <w:r>
        <w:rPr>
          <w:spacing w:val="-13"/>
        </w:rPr>
        <w:t xml:space="preserve"> </w:t>
      </w:r>
      <w:r>
        <w:t>exist” doesn’t mean that:</w:t>
      </w:r>
    </w:p>
    <w:p w14:paraId="7E00283A" w14:textId="77777777" w:rsidR="009A58DB" w:rsidRDefault="00000000">
      <w:pPr>
        <w:pStyle w:val="BodyText"/>
        <w:spacing w:line="343" w:lineRule="exact"/>
        <w:jc w:val="left"/>
      </w:pPr>
      <w:r>
        <w:t>(ZE#)</w:t>
      </w:r>
      <w:r>
        <w:rPr>
          <w:spacing w:val="-6"/>
        </w:rPr>
        <w:t xml:space="preserve"> </w:t>
      </w:r>
      <w:r>
        <w:t>there</w:t>
      </w:r>
      <w:r>
        <w:rPr>
          <w:spacing w:val="-4"/>
        </w:rPr>
        <w:t xml:space="preserve"> </w:t>
      </w:r>
      <w:r>
        <w:t>exists</w:t>
      </w:r>
      <w:r>
        <w:rPr>
          <w:spacing w:val="-3"/>
        </w:rPr>
        <w:t xml:space="preserve"> </w:t>
      </w:r>
      <w:r>
        <w:t>is</w:t>
      </w:r>
      <w:r>
        <w:rPr>
          <w:spacing w:val="-4"/>
        </w:rPr>
        <w:t xml:space="preserve"> </w:t>
      </w:r>
      <w:r>
        <w:t>a</w:t>
      </w:r>
      <w:r>
        <w:rPr>
          <w:spacing w:val="-4"/>
        </w:rPr>
        <w:t xml:space="preserve"> </w:t>
      </w:r>
      <w:r>
        <w:t>certain</w:t>
      </w:r>
      <w:r>
        <w:rPr>
          <w:spacing w:val="-2"/>
        </w:rPr>
        <w:t xml:space="preserve"> </w:t>
      </w:r>
      <w:r>
        <w:t>thing,</w:t>
      </w:r>
      <w:r>
        <w:rPr>
          <w:spacing w:val="-3"/>
        </w:rPr>
        <w:t xml:space="preserve"> </w:t>
      </w:r>
      <w:r>
        <w:t>viz.</w:t>
      </w:r>
      <w:r>
        <w:rPr>
          <w:spacing w:val="-3"/>
        </w:rPr>
        <w:t xml:space="preserve"> </w:t>
      </w:r>
      <w:r>
        <w:t>Zeus,</w:t>
      </w:r>
      <w:r>
        <w:rPr>
          <w:spacing w:val="-2"/>
        </w:rPr>
        <w:t xml:space="preserve"> </w:t>
      </w:r>
      <w:r>
        <w:t>that</w:t>
      </w:r>
      <w:r>
        <w:rPr>
          <w:spacing w:val="-4"/>
        </w:rPr>
        <w:t xml:space="preserve"> </w:t>
      </w:r>
      <w:r>
        <w:t>doesn’t</w:t>
      </w:r>
      <w:r>
        <w:rPr>
          <w:spacing w:val="-3"/>
        </w:rPr>
        <w:t xml:space="preserve"> </w:t>
      </w:r>
      <w:r>
        <w:rPr>
          <w:spacing w:val="-2"/>
        </w:rPr>
        <w:t>exist.</w:t>
      </w:r>
    </w:p>
    <w:p w14:paraId="7E00283B" w14:textId="77777777" w:rsidR="009A58DB" w:rsidRDefault="009A58DB">
      <w:pPr>
        <w:pStyle w:val="BodyText"/>
        <w:spacing w:before="30"/>
        <w:ind w:left="0"/>
        <w:jc w:val="left"/>
      </w:pPr>
    </w:p>
    <w:p w14:paraId="7E00283C" w14:textId="77777777" w:rsidR="009A58DB" w:rsidRDefault="00000000">
      <w:pPr>
        <w:pStyle w:val="BodyText"/>
        <w:spacing w:line="249" w:lineRule="auto"/>
        <w:jc w:val="left"/>
      </w:pPr>
      <w:r>
        <w:t>ZE</w:t>
      </w:r>
      <w:r>
        <w:rPr>
          <w:spacing w:val="35"/>
        </w:rPr>
        <w:t xml:space="preserve"> </w:t>
      </w:r>
      <w:r>
        <w:t>makes</w:t>
      </w:r>
      <w:r>
        <w:rPr>
          <w:spacing w:val="36"/>
        </w:rPr>
        <w:t xml:space="preserve"> </w:t>
      </w:r>
      <w:r>
        <w:t>the</w:t>
      </w:r>
      <w:r>
        <w:rPr>
          <w:spacing w:val="36"/>
        </w:rPr>
        <w:t xml:space="preserve"> </w:t>
      </w:r>
      <w:r>
        <w:t>innocuous</w:t>
      </w:r>
      <w:r>
        <w:rPr>
          <w:spacing w:val="36"/>
        </w:rPr>
        <w:t xml:space="preserve"> </w:t>
      </w:r>
      <w:r>
        <w:t>claim</w:t>
      </w:r>
      <w:r>
        <w:rPr>
          <w:spacing w:val="36"/>
        </w:rPr>
        <w:t xml:space="preserve"> </w:t>
      </w:r>
      <w:r>
        <w:t>that</w:t>
      </w:r>
      <w:r>
        <w:rPr>
          <w:spacing w:val="36"/>
        </w:rPr>
        <w:t xml:space="preserve"> </w:t>
      </w:r>
      <w:r>
        <w:t>given</w:t>
      </w:r>
      <w:r>
        <w:rPr>
          <w:spacing w:val="36"/>
        </w:rPr>
        <w:t xml:space="preserve"> </w:t>
      </w:r>
      <w:r>
        <w:t>any</w:t>
      </w:r>
      <w:r>
        <w:rPr>
          <w:spacing w:val="36"/>
        </w:rPr>
        <w:t xml:space="preserve"> </w:t>
      </w:r>
      <w:r>
        <w:t>object</w:t>
      </w:r>
      <w:r>
        <w:rPr>
          <w:spacing w:val="36"/>
        </w:rPr>
        <w:t xml:space="preserve"> </w:t>
      </w:r>
      <w:r>
        <w:t>x,</w:t>
      </w:r>
      <w:r>
        <w:rPr>
          <w:spacing w:val="36"/>
        </w:rPr>
        <w:t xml:space="preserve"> </w:t>
      </w:r>
      <w:r>
        <w:t>x</w:t>
      </w:r>
      <w:r>
        <w:rPr>
          <w:spacing w:val="36"/>
        </w:rPr>
        <w:t xml:space="preserve"> </w:t>
      </w:r>
      <w:r>
        <w:t>doesn’t</w:t>
      </w:r>
      <w:r>
        <w:rPr>
          <w:spacing w:val="36"/>
        </w:rPr>
        <w:t xml:space="preserve"> </w:t>
      </w:r>
      <w:r>
        <w:t>have</w:t>
      </w:r>
      <w:r>
        <w:rPr>
          <w:spacing w:val="36"/>
        </w:rPr>
        <w:t xml:space="preserve"> </w:t>
      </w:r>
      <w:r>
        <w:t>the property of being a unique,</w:t>
      </w:r>
    </w:p>
    <w:p w14:paraId="7E00283D" w14:textId="77777777" w:rsidR="009A58DB" w:rsidRDefault="00000000">
      <w:pPr>
        <w:pStyle w:val="BodyText"/>
        <w:spacing w:before="3"/>
        <w:jc w:val="left"/>
      </w:pPr>
      <w:r>
        <w:t>lightning-bolt</w:t>
      </w:r>
      <w:r>
        <w:rPr>
          <w:spacing w:val="-4"/>
        </w:rPr>
        <w:t xml:space="preserve"> </w:t>
      </w:r>
      <w:r>
        <w:t>hurling</w:t>
      </w:r>
      <w:r>
        <w:rPr>
          <w:spacing w:val="-3"/>
        </w:rPr>
        <w:t xml:space="preserve"> </w:t>
      </w:r>
      <w:r>
        <w:t>god</w:t>
      </w:r>
      <w:r>
        <w:rPr>
          <w:spacing w:val="-3"/>
        </w:rPr>
        <w:t xml:space="preserve"> </w:t>
      </w:r>
      <w:r>
        <w:rPr>
          <w:spacing w:val="-2"/>
        </w:rPr>
        <w:t>[etc.].</w:t>
      </w:r>
    </w:p>
    <w:p w14:paraId="7E00283E" w14:textId="77777777" w:rsidR="009A58DB" w:rsidRDefault="00000000">
      <w:pPr>
        <w:pStyle w:val="BodyText"/>
        <w:spacing w:before="15" w:line="249" w:lineRule="auto"/>
        <w:ind w:right="364" w:firstLine="360"/>
        <w:jc w:val="left"/>
      </w:pPr>
      <w:r>
        <w:t>Thus,</w:t>
      </w:r>
      <w:r>
        <w:rPr>
          <w:spacing w:val="40"/>
        </w:rPr>
        <w:t xml:space="preserve"> </w:t>
      </w:r>
      <w:r>
        <w:t>SC</w:t>
      </w:r>
      <w:r>
        <w:rPr>
          <w:spacing w:val="40"/>
        </w:rPr>
        <w:t xml:space="preserve"> </w:t>
      </w:r>
      <w:r>
        <w:t>and</w:t>
      </w:r>
      <w:r>
        <w:rPr>
          <w:spacing w:val="40"/>
        </w:rPr>
        <w:t xml:space="preserve"> </w:t>
      </w:r>
      <w:r>
        <w:t>ZE</w:t>
      </w:r>
      <w:r>
        <w:rPr>
          <w:spacing w:val="40"/>
        </w:rPr>
        <w:t xml:space="preserve"> </w:t>
      </w:r>
      <w:r>
        <w:t>attribute</w:t>
      </w:r>
      <w:r>
        <w:rPr>
          <w:spacing w:val="40"/>
        </w:rPr>
        <w:t xml:space="preserve"> </w:t>
      </w:r>
      <w:r>
        <w:t>properties</w:t>
      </w:r>
      <w:r>
        <w:rPr>
          <w:spacing w:val="40"/>
        </w:rPr>
        <w:t xml:space="preserve"> </w:t>
      </w:r>
      <w:r>
        <w:t>to</w:t>
      </w:r>
      <w:r>
        <w:rPr>
          <w:spacing w:val="40"/>
        </w:rPr>
        <w:t xml:space="preserve"> </w:t>
      </w:r>
      <w:r>
        <w:t>properties.</w:t>
      </w:r>
      <w:r>
        <w:rPr>
          <w:spacing w:val="40"/>
        </w:rPr>
        <w:t xml:space="preserve"> </w:t>
      </w:r>
      <w:r>
        <w:t>They</w:t>
      </w:r>
      <w:r>
        <w:rPr>
          <w:spacing w:val="40"/>
        </w:rPr>
        <w:t xml:space="preserve"> </w:t>
      </w:r>
      <w:r>
        <w:t>don’t</w:t>
      </w:r>
      <w:r>
        <w:rPr>
          <w:spacing w:val="40"/>
        </w:rPr>
        <w:t xml:space="preserve"> </w:t>
      </w:r>
      <w:r>
        <w:t>attribute non-existence to objects.</w:t>
      </w:r>
    </w:p>
    <w:p w14:paraId="7E00283F" w14:textId="77777777" w:rsidR="009A58DB" w:rsidRDefault="00000000">
      <w:pPr>
        <w:pStyle w:val="BodyText"/>
        <w:spacing w:before="2"/>
        <w:ind w:left="720"/>
        <w:jc w:val="left"/>
      </w:pPr>
      <w:r>
        <w:rPr>
          <w:spacing w:val="-4"/>
        </w:rPr>
        <w:t>And:</w:t>
      </w:r>
    </w:p>
    <w:p w14:paraId="7E002840" w14:textId="77777777" w:rsidR="009A58DB" w:rsidRDefault="009A58DB">
      <w:pPr>
        <w:pStyle w:val="BodyText"/>
        <w:spacing w:before="30"/>
        <w:ind w:left="0"/>
        <w:jc w:val="left"/>
      </w:pPr>
    </w:p>
    <w:p w14:paraId="7E002841" w14:textId="77777777" w:rsidR="009A58DB" w:rsidRDefault="00000000">
      <w:pPr>
        <w:pStyle w:val="BodyText"/>
        <w:jc w:val="left"/>
      </w:pPr>
      <w:r>
        <w:t>(CS)</w:t>
      </w:r>
      <w:r>
        <w:rPr>
          <w:spacing w:val="-4"/>
        </w:rPr>
        <w:t xml:space="preserve"> </w:t>
      </w:r>
      <w:r>
        <w:t>square</w:t>
      </w:r>
      <w:r>
        <w:rPr>
          <w:spacing w:val="-4"/>
        </w:rPr>
        <w:t xml:space="preserve"> </w:t>
      </w:r>
      <w:r>
        <w:t>circles</w:t>
      </w:r>
      <w:r>
        <w:rPr>
          <w:spacing w:val="-4"/>
        </w:rPr>
        <w:t xml:space="preserve"> </w:t>
      </w:r>
      <w:r>
        <w:t>do</w:t>
      </w:r>
      <w:r>
        <w:rPr>
          <w:spacing w:val="-3"/>
        </w:rPr>
        <w:t xml:space="preserve"> </w:t>
      </w:r>
      <w:r>
        <w:rPr>
          <w:spacing w:val="-4"/>
        </w:rPr>
        <w:t>exist</w:t>
      </w:r>
    </w:p>
    <w:p w14:paraId="7E002842" w14:textId="77777777" w:rsidR="009A58DB" w:rsidRDefault="009A58DB">
      <w:pPr>
        <w:pStyle w:val="BodyText"/>
        <w:jc w:val="left"/>
        <w:sectPr w:rsidR="009A58DB">
          <w:pgSz w:w="12240" w:h="15840"/>
          <w:pgMar w:top="1380" w:right="1080" w:bottom="280" w:left="1080" w:header="720" w:footer="720" w:gutter="0"/>
          <w:cols w:space="720"/>
        </w:sectPr>
      </w:pPr>
    </w:p>
    <w:p w14:paraId="7E002843" w14:textId="77777777" w:rsidR="009A58DB" w:rsidRDefault="00000000">
      <w:pPr>
        <w:pStyle w:val="BodyText"/>
        <w:spacing w:before="65"/>
        <w:jc w:val="left"/>
      </w:pPr>
      <w:r>
        <w:rPr>
          <w:spacing w:val="-5"/>
        </w:rPr>
        <w:lastRenderedPageBreak/>
        <w:t>and</w:t>
      </w:r>
    </w:p>
    <w:p w14:paraId="7E002844" w14:textId="77777777" w:rsidR="009A58DB" w:rsidRDefault="009A58DB">
      <w:pPr>
        <w:pStyle w:val="BodyText"/>
        <w:spacing w:before="29"/>
        <w:ind w:left="0"/>
        <w:jc w:val="left"/>
      </w:pPr>
    </w:p>
    <w:p w14:paraId="7E002845" w14:textId="77777777" w:rsidR="009A58DB" w:rsidRDefault="00000000">
      <w:pPr>
        <w:pStyle w:val="BodyText"/>
        <w:spacing w:before="1"/>
        <w:jc w:val="left"/>
      </w:pPr>
      <w:r>
        <w:t>(EZ)</w:t>
      </w:r>
      <w:r>
        <w:rPr>
          <w:spacing w:val="-4"/>
        </w:rPr>
        <w:t xml:space="preserve"> </w:t>
      </w:r>
      <w:r>
        <w:t>Zeus</w:t>
      </w:r>
      <w:r>
        <w:rPr>
          <w:spacing w:val="-3"/>
        </w:rPr>
        <w:t xml:space="preserve"> </w:t>
      </w:r>
      <w:r>
        <w:rPr>
          <w:spacing w:val="-2"/>
        </w:rPr>
        <w:t>exists</w:t>
      </w:r>
    </w:p>
    <w:p w14:paraId="7E002846" w14:textId="77777777" w:rsidR="009A58DB" w:rsidRDefault="009A58DB">
      <w:pPr>
        <w:pStyle w:val="BodyText"/>
        <w:spacing w:before="30"/>
        <w:ind w:left="0"/>
        <w:jc w:val="left"/>
      </w:pPr>
    </w:p>
    <w:p w14:paraId="7E002847" w14:textId="77777777" w:rsidR="009A58DB" w:rsidRDefault="00000000">
      <w:pPr>
        <w:pStyle w:val="BodyText"/>
        <w:spacing w:line="249" w:lineRule="auto"/>
        <w:ind w:right="362"/>
      </w:pPr>
      <w:r>
        <w:t>are to be understood similarly. There isn’t some square circle x such that CS is to the effect that:</w:t>
      </w:r>
    </w:p>
    <w:p w14:paraId="7E002848" w14:textId="77777777" w:rsidR="009A58DB" w:rsidRDefault="009A58DB">
      <w:pPr>
        <w:pStyle w:val="BodyText"/>
        <w:spacing w:before="17"/>
        <w:ind w:left="0"/>
        <w:jc w:val="left"/>
      </w:pPr>
    </w:p>
    <w:p w14:paraId="7E002849" w14:textId="77777777" w:rsidR="009A58DB" w:rsidRDefault="00000000">
      <w:pPr>
        <w:pStyle w:val="BodyText"/>
        <w:tabs>
          <w:tab w:val="left" w:pos="1917"/>
        </w:tabs>
      </w:pPr>
      <w:r>
        <w:rPr>
          <w:noProof/>
        </w:rPr>
        <mc:AlternateContent>
          <mc:Choice Requires="wps">
            <w:drawing>
              <wp:anchor distT="0" distB="0" distL="0" distR="0" simplePos="0" relativeHeight="480346624" behindDoc="1" locked="0" layoutInCell="1" allowOverlap="1" wp14:anchorId="7E0032A4" wp14:editId="7E0032A5">
                <wp:simplePos x="0" y="0"/>
                <wp:positionH relativeFrom="page">
                  <wp:posOffset>1274117</wp:posOffset>
                </wp:positionH>
                <wp:positionV relativeFrom="paragraph">
                  <wp:posOffset>141778</wp:posOffset>
                </wp:positionV>
                <wp:extent cx="582295" cy="21145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211454"/>
                        </a:xfrm>
                        <a:prstGeom prst="rect">
                          <a:avLst/>
                        </a:prstGeom>
                      </wps:spPr>
                      <wps:txbx>
                        <w:txbxContent>
                          <w:p w14:paraId="7E0032C3" w14:textId="77777777" w:rsidR="009A58DB" w:rsidRDefault="00000000">
                            <w:pPr>
                              <w:pStyle w:val="BodyText"/>
                              <w:tabs>
                                <w:tab w:val="left" w:pos="816"/>
                              </w:tabs>
                              <w:spacing w:line="332" w:lineRule="exact"/>
                              <w:ind w:left="0"/>
                              <w:jc w:val="left"/>
                            </w:pPr>
                            <w:r>
                              <w:rPr>
                                <w:spacing w:val="-10"/>
                              </w:rPr>
                              <w:t>S</w:t>
                            </w:r>
                            <w:r>
                              <w:tab/>
                            </w:r>
                            <w:r>
                              <w:rPr>
                                <w:spacing w:val="-10"/>
                              </w:rPr>
                              <w:t>)</w:t>
                            </w:r>
                          </w:p>
                        </w:txbxContent>
                      </wps:txbx>
                      <wps:bodyPr wrap="square" lIns="0" tIns="0" rIns="0" bIns="0" rtlCol="0">
                        <a:noAutofit/>
                      </wps:bodyPr>
                    </wps:wsp>
                  </a:graphicData>
                </a:graphic>
              </wp:anchor>
            </w:drawing>
          </mc:Choice>
          <mc:Fallback>
            <w:pict>
              <v:shape w14:anchorId="7E0032A4" id="Textbox 43" o:spid="_x0000_s1045" type="#_x0000_t202" style="position:absolute;left:0;text-align:left;margin-left:100.3pt;margin-top:11.15pt;width:45.85pt;height:16.65pt;z-index:-2296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" filled="f" stroked="f">
                <v:textbox inset="0,0,0,0">
                  <w:txbxContent>
                    <w:p w14:paraId="7E0032C3" w14:textId="77777777" w:rsidR="009A58DB" w:rsidRDefault="00000000">
                      <w:pPr>
                        <w:pStyle w:val="BodyText"/>
                        <w:tabs>
                          <w:tab w:val="left" w:pos="816"/>
                        </w:tabs>
                        <w:spacing w:line="332" w:lineRule="exact"/>
                        <w:ind w:left="0"/>
                        <w:jc w:val="left"/>
                      </w:pPr>
                      <w:r>
                        <w:rPr>
                          <w:spacing w:val="-10"/>
                        </w:rPr>
                        <w:t>S</w:t>
                      </w:r>
                      <w:r>
                        <w:tab/>
                      </w:r>
                      <w:r>
                        <w:rPr>
                          <w:spacing w:val="-10"/>
                        </w:rPr>
                        <w:t>)</w:t>
                      </w:r>
                    </w:p>
                  </w:txbxContent>
                </v:textbox>
                <w10:wrap anchorx="page"/>
              </v:shape>
            </w:pict>
          </mc:Fallback>
        </mc:AlternateContent>
      </w:r>
      <w:bookmarkStart w:id="559" w:name="_bookmark559"/>
      <w:bookmarkEnd w:id="559"/>
      <w:r>
        <w:rPr>
          <w:color w:val="0562C1"/>
          <w:spacing w:val="-3"/>
          <w:position w:val="21"/>
          <w:u w:val="single" w:color="0562C1"/>
        </w:rPr>
        <w:t>[</w:t>
      </w:r>
      <w:r>
        <w:rPr>
          <w:color w:val="0562C1"/>
          <w:spacing w:val="-2"/>
          <w:position w:val="21"/>
          <w:u w:val="single" w:color="0562C1"/>
        </w:rPr>
        <w:t>423</w:t>
      </w:r>
      <w:r>
        <w:rPr>
          <w:color w:val="0562C1"/>
          <w:spacing w:val="-1385"/>
          <w:position w:val="21"/>
          <w:u w:val="single" w:color="0562C1"/>
        </w:rPr>
        <w:t>]</w:t>
      </w:r>
      <w:r>
        <w:rPr>
          <w:spacing w:val="-3"/>
        </w:rPr>
        <w:t>(M</w:t>
      </w:r>
      <w:r>
        <w:rPr>
          <w:spacing w:val="-2"/>
        </w:rPr>
        <w:t>C</w:t>
      </w:r>
      <w:r>
        <w:tab/>
        <w:t xml:space="preserve">x </w:t>
      </w:r>
      <w:r>
        <w:rPr>
          <w:spacing w:val="-2"/>
        </w:rPr>
        <w:t>exists.</w:t>
      </w:r>
    </w:p>
    <w:p w14:paraId="7E00284A" w14:textId="77777777" w:rsidR="009A58DB" w:rsidRDefault="009A58DB">
      <w:pPr>
        <w:pStyle w:val="BodyText"/>
        <w:spacing w:before="30"/>
        <w:ind w:left="0"/>
        <w:jc w:val="left"/>
      </w:pPr>
    </w:p>
    <w:p w14:paraId="7E00284B" w14:textId="77777777" w:rsidR="009A58DB" w:rsidRDefault="00000000">
      <w:pPr>
        <w:pStyle w:val="BodyText"/>
        <w:jc w:val="left"/>
      </w:pPr>
      <w:r>
        <w:t>Rather,</w:t>
      </w:r>
      <w:r>
        <w:rPr>
          <w:spacing w:val="-3"/>
        </w:rPr>
        <w:t xml:space="preserve"> </w:t>
      </w:r>
      <w:r>
        <w:t>CS</w:t>
      </w:r>
      <w:r>
        <w:rPr>
          <w:spacing w:val="-3"/>
        </w:rPr>
        <w:t xml:space="preserve"> </w:t>
      </w:r>
      <w:r>
        <w:t>is</w:t>
      </w:r>
      <w:r>
        <w:rPr>
          <w:spacing w:val="-3"/>
        </w:rPr>
        <w:t xml:space="preserve"> </w:t>
      </w:r>
      <w:r>
        <w:t>to</w:t>
      </w:r>
      <w:r>
        <w:rPr>
          <w:spacing w:val="-3"/>
        </w:rPr>
        <w:t xml:space="preserve"> </w:t>
      </w:r>
      <w:r>
        <w:t>the</w:t>
      </w:r>
      <w:r>
        <w:rPr>
          <w:spacing w:val="-3"/>
        </w:rPr>
        <w:t xml:space="preserve"> </w:t>
      </w:r>
      <w:r>
        <w:t>effect</w:t>
      </w:r>
      <w:r>
        <w:rPr>
          <w:spacing w:val="-3"/>
        </w:rPr>
        <w:t xml:space="preserve"> </w:t>
      </w:r>
      <w:r>
        <w:rPr>
          <w:spacing w:val="-4"/>
        </w:rPr>
        <w:t>that:</w:t>
      </w:r>
    </w:p>
    <w:p w14:paraId="7E00284C" w14:textId="77777777" w:rsidR="009A58DB" w:rsidRDefault="00000000">
      <w:pPr>
        <w:pStyle w:val="BodyText"/>
        <w:spacing w:before="31" w:line="780" w:lineRule="exact"/>
        <w:ind w:right="1488"/>
        <w:jc w:val="left"/>
      </w:pPr>
      <w:r>
        <w:t>(MCS</w:t>
      </w:r>
      <w:r>
        <w:rPr>
          <w:vertAlign w:val="subscript"/>
        </w:rPr>
        <w:t>1</w:t>
      </w:r>
      <w:r>
        <w:t>)</w:t>
      </w:r>
      <w:r>
        <w:rPr>
          <w:spacing w:val="-2"/>
        </w:rPr>
        <w:t xml:space="preserve"> </w:t>
      </w:r>
      <w:r>
        <w:t>it</w:t>
      </w:r>
      <w:r>
        <w:rPr>
          <w:spacing w:val="-2"/>
        </w:rPr>
        <w:t xml:space="preserve"> </w:t>
      </w:r>
      <w:r>
        <w:t>isn’t</w:t>
      </w:r>
      <w:r>
        <w:rPr>
          <w:spacing w:val="-2"/>
        </w:rPr>
        <w:t xml:space="preserve"> </w:t>
      </w:r>
      <w:r>
        <w:t>true</w:t>
      </w:r>
      <w:r>
        <w:rPr>
          <w:spacing w:val="-2"/>
        </w:rPr>
        <w:t xml:space="preserve"> </w:t>
      </w:r>
      <w:r>
        <w:t>that</w:t>
      </w:r>
      <w:r>
        <w:rPr>
          <w:spacing w:val="-2"/>
        </w:rPr>
        <w:t xml:space="preserve"> </w:t>
      </w:r>
      <w:r>
        <w:t>everything</w:t>
      </w:r>
      <w:r>
        <w:rPr>
          <w:spacing w:val="-1"/>
        </w:rPr>
        <w:t xml:space="preserve"> </w:t>
      </w:r>
      <w:r>
        <w:t>that</w:t>
      </w:r>
      <w:r>
        <w:rPr>
          <w:spacing w:val="-2"/>
        </w:rPr>
        <w:t xml:space="preserve"> </w:t>
      </w:r>
      <w:r>
        <w:t>is</w:t>
      </w:r>
      <w:r>
        <w:rPr>
          <w:spacing w:val="-2"/>
        </w:rPr>
        <w:t xml:space="preserve"> </w:t>
      </w:r>
      <w:r>
        <w:t>a</w:t>
      </w:r>
      <w:r>
        <w:rPr>
          <w:spacing w:val="-2"/>
        </w:rPr>
        <w:t xml:space="preserve"> </w:t>
      </w:r>
      <w:r>
        <w:t>square</w:t>
      </w:r>
      <w:r>
        <w:rPr>
          <w:spacing w:val="-2"/>
        </w:rPr>
        <w:t xml:space="preserve"> </w:t>
      </w:r>
      <w:r>
        <w:t>isn’t</w:t>
      </w:r>
      <w:r>
        <w:rPr>
          <w:spacing w:val="-2"/>
        </w:rPr>
        <w:t xml:space="preserve"> </w:t>
      </w:r>
      <w:r>
        <w:t>also</w:t>
      </w:r>
      <w:r>
        <w:rPr>
          <w:spacing w:val="-1"/>
        </w:rPr>
        <w:t xml:space="preserve"> </w:t>
      </w:r>
      <w:r>
        <w:t>a</w:t>
      </w:r>
      <w:r>
        <w:rPr>
          <w:spacing w:val="-2"/>
        </w:rPr>
        <w:t xml:space="preserve"> </w:t>
      </w:r>
      <w:r>
        <w:t>circle or, alternatively,</w:t>
      </w:r>
    </w:p>
    <w:p w14:paraId="7E00284D" w14:textId="77777777" w:rsidR="009A58DB" w:rsidRDefault="00000000">
      <w:pPr>
        <w:pStyle w:val="BodyText"/>
        <w:spacing w:line="269" w:lineRule="exact"/>
      </w:pPr>
      <w:r>
        <w:t>(MCS</w:t>
      </w:r>
      <w:r>
        <w:rPr>
          <w:vertAlign w:val="subscript"/>
        </w:rPr>
        <w:t>2</w:t>
      </w:r>
      <w:r>
        <w:t>)</w:t>
      </w:r>
      <w:r>
        <w:rPr>
          <w:spacing w:val="-2"/>
        </w:rPr>
        <w:t xml:space="preserve"> </w:t>
      </w:r>
      <w:r>
        <w:t>the</w:t>
      </w:r>
      <w:r>
        <w:rPr>
          <w:spacing w:val="-1"/>
        </w:rPr>
        <w:t xml:space="preserve"> </w:t>
      </w:r>
      <w:r>
        <w:t>set</w:t>
      </w:r>
      <w:r>
        <w:rPr>
          <w:spacing w:val="-1"/>
        </w:rPr>
        <w:t xml:space="preserve"> </w:t>
      </w:r>
      <w:r>
        <w:t>of</w:t>
      </w:r>
      <w:r>
        <w:rPr>
          <w:spacing w:val="-1"/>
        </w:rPr>
        <w:t xml:space="preserve"> </w:t>
      </w:r>
      <w:r>
        <w:t>circles</w:t>
      </w:r>
      <w:r>
        <w:rPr>
          <w:spacing w:val="-2"/>
        </w:rPr>
        <w:t xml:space="preserve"> </w:t>
      </w:r>
      <w:r>
        <w:t>overlaps</w:t>
      </w:r>
      <w:r>
        <w:rPr>
          <w:spacing w:val="-1"/>
        </w:rPr>
        <w:t xml:space="preserve"> </w:t>
      </w:r>
      <w:r>
        <w:t>with that</w:t>
      </w:r>
      <w:r>
        <w:rPr>
          <w:spacing w:val="-1"/>
        </w:rPr>
        <w:t xml:space="preserve"> </w:t>
      </w:r>
      <w:r>
        <w:t>of</w:t>
      </w:r>
      <w:r>
        <w:rPr>
          <w:spacing w:val="-2"/>
        </w:rPr>
        <w:t xml:space="preserve"> squares.</w:t>
      </w:r>
    </w:p>
    <w:p w14:paraId="7E00284E" w14:textId="77777777" w:rsidR="009A58DB" w:rsidRDefault="009A58DB">
      <w:pPr>
        <w:pStyle w:val="BodyText"/>
        <w:spacing w:before="90"/>
        <w:ind w:left="0"/>
        <w:jc w:val="left"/>
      </w:pPr>
    </w:p>
    <w:p w14:paraId="7E00284F" w14:textId="77777777" w:rsidR="009A58DB" w:rsidRDefault="00000000">
      <w:pPr>
        <w:pStyle w:val="BodyText"/>
        <w:spacing w:line="249" w:lineRule="auto"/>
        <w:ind w:right="372"/>
      </w:pPr>
      <w:r>
        <w:t>And there isn’t some god x such that x hurls lightning bolts (etc.) such that EZ is to the effect that:</w:t>
      </w:r>
    </w:p>
    <w:p w14:paraId="7E002850" w14:textId="77777777" w:rsidR="009A58DB" w:rsidRDefault="009A58DB">
      <w:pPr>
        <w:pStyle w:val="BodyText"/>
        <w:spacing w:before="18"/>
        <w:ind w:left="0"/>
        <w:jc w:val="left"/>
      </w:pPr>
    </w:p>
    <w:p w14:paraId="7E002851" w14:textId="77777777" w:rsidR="009A58DB" w:rsidRDefault="00000000">
      <w:pPr>
        <w:pStyle w:val="BodyText"/>
        <w:jc w:val="left"/>
      </w:pPr>
      <w:r>
        <w:t>(MEZ)</w:t>
      </w:r>
      <w:r>
        <w:rPr>
          <w:spacing w:val="-3"/>
        </w:rPr>
        <w:t xml:space="preserve"> </w:t>
      </w:r>
      <w:r>
        <w:t>x</w:t>
      </w:r>
      <w:r>
        <w:rPr>
          <w:spacing w:val="-2"/>
        </w:rPr>
        <w:t xml:space="preserve"> exists.</w:t>
      </w:r>
    </w:p>
    <w:p w14:paraId="7E002852" w14:textId="77777777" w:rsidR="009A58DB" w:rsidRDefault="009A58DB">
      <w:pPr>
        <w:pStyle w:val="BodyText"/>
        <w:spacing w:before="30"/>
        <w:ind w:left="0"/>
        <w:jc w:val="left"/>
      </w:pPr>
    </w:p>
    <w:p w14:paraId="7E002853" w14:textId="77777777" w:rsidR="009A58DB" w:rsidRDefault="00000000">
      <w:pPr>
        <w:pStyle w:val="BodyText"/>
        <w:jc w:val="left"/>
      </w:pPr>
      <w:r>
        <w:t>Rather</w:t>
      </w:r>
      <w:r>
        <w:rPr>
          <w:spacing w:val="-4"/>
        </w:rPr>
        <w:t xml:space="preserve"> </w:t>
      </w:r>
      <w:r>
        <w:t>EZ</w:t>
      </w:r>
      <w:r>
        <w:rPr>
          <w:spacing w:val="-3"/>
        </w:rPr>
        <w:t xml:space="preserve"> </w:t>
      </w:r>
      <w:r>
        <w:t>is</w:t>
      </w:r>
      <w:r>
        <w:rPr>
          <w:spacing w:val="-3"/>
        </w:rPr>
        <w:t xml:space="preserve"> </w:t>
      </w:r>
      <w:r>
        <w:t>to</w:t>
      </w:r>
      <w:r>
        <w:rPr>
          <w:spacing w:val="-2"/>
        </w:rPr>
        <w:t xml:space="preserve"> </w:t>
      </w:r>
      <w:r>
        <w:t>the</w:t>
      </w:r>
      <w:r>
        <w:rPr>
          <w:spacing w:val="-3"/>
        </w:rPr>
        <w:t xml:space="preserve"> </w:t>
      </w:r>
      <w:r>
        <w:t>effect</w:t>
      </w:r>
      <w:r>
        <w:rPr>
          <w:spacing w:val="-3"/>
        </w:rPr>
        <w:t xml:space="preserve"> </w:t>
      </w:r>
      <w:r>
        <w:rPr>
          <w:spacing w:val="-4"/>
        </w:rPr>
        <w:t>that:</w:t>
      </w:r>
    </w:p>
    <w:p w14:paraId="7E002854" w14:textId="77777777" w:rsidR="009A58DB" w:rsidRDefault="009A58DB">
      <w:pPr>
        <w:pStyle w:val="BodyText"/>
        <w:spacing w:before="30"/>
        <w:ind w:left="0"/>
        <w:jc w:val="left"/>
      </w:pPr>
    </w:p>
    <w:p w14:paraId="7E002855" w14:textId="77777777" w:rsidR="009A58DB" w:rsidRDefault="00000000">
      <w:pPr>
        <w:pStyle w:val="BodyText"/>
        <w:spacing w:line="249" w:lineRule="auto"/>
        <w:ind w:right="365"/>
      </w:pPr>
      <w:r>
        <w:t>(MEZ) it isn’t true of any given thing x that x doesn’t uniquely have the property of being something that lives on Mt. Olympus and hurls lightning bolts [etc.].</w:t>
      </w:r>
    </w:p>
    <w:p w14:paraId="7E002856" w14:textId="77777777" w:rsidR="009A58DB" w:rsidRDefault="009A58DB">
      <w:pPr>
        <w:pStyle w:val="BodyText"/>
        <w:spacing w:before="19"/>
        <w:ind w:left="0"/>
        <w:jc w:val="left"/>
      </w:pPr>
    </w:p>
    <w:p w14:paraId="7E002857" w14:textId="77777777" w:rsidR="009A58DB" w:rsidRDefault="00000000">
      <w:pPr>
        <w:pStyle w:val="BodyText"/>
        <w:spacing w:line="249" w:lineRule="auto"/>
        <w:ind w:right="358" w:firstLine="360"/>
        <w:rPr>
          <w:position w:val="21"/>
        </w:rPr>
      </w:pPr>
      <w:r>
        <w:t xml:space="preserve">It isn’t even </w:t>
      </w:r>
      <w:r>
        <w:rPr>
          <w:i/>
        </w:rPr>
        <w:t xml:space="preserve">possible </w:t>
      </w:r>
      <w:r>
        <w:t>to attribute non-existence to a non-existent object. One’s doing would so would involve there existing some non-existent object to which one attributed non-existence. But that isn’t possible. Nor is it possible to attribute existence to a non-existent object. One’s doing so would involve there existing some non-existent object to which one attributed existence. But that isn’t possible</w:t>
      </w:r>
      <w:bookmarkStart w:id="560" w:name="_bookmark560"/>
      <w:bookmarkEnd w:id="560"/>
      <w:r>
        <w:t>.</w:t>
      </w:r>
      <w:r>
        <w:rPr>
          <w:color w:val="0562C1"/>
          <w:position w:val="21"/>
          <w:u w:val="single" w:color="0562C1"/>
        </w:rPr>
        <w:t>[424]</w:t>
      </w:r>
    </w:p>
    <w:p w14:paraId="7E002858" w14:textId="77777777" w:rsidR="009A58DB" w:rsidRDefault="009A58DB">
      <w:pPr>
        <w:pStyle w:val="BodyText"/>
        <w:spacing w:line="249" w:lineRule="auto"/>
        <w:rPr>
          <w:position w:val="21"/>
        </w:rPr>
        <w:sectPr w:rsidR="009A58DB">
          <w:pgSz w:w="12240" w:h="15840"/>
          <w:pgMar w:top="1740" w:right="1080" w:bottom="280" w:left="1080" w:header="720" w:footer="720" w:gutter="0"/>
          <w:cols w:space="720"/>
        </w:sectPr>
      </w:pPr>
    </w:p>
    <w:p w14:paraId="7E002859" w14:textId="77777777" w:rsidR="009A58DB" w:rsidRDefault="00000000">
      <w:pPr>
        <w:pStyle w:val="BodyText"/>
        <w:spacing w:before="65" w:line="249" w:lineRule="auto"/>
        <w:ind w:right="366" w:firstLine="360"/>
      </w:pPr>
      <w:r>
        <w:lastRenderedPageBreak/>
        <w:t>Thus, nothing to which existence or non-existence is attributed is non-existent. This is a pretty innocuous claim, as it’s identical with the obvious truth</w:t>
      </w:r>
      <w:r>
        <w:rPr>
          <w:spacing w:val="-3"/>
        </w:rPr>
        <w:t xml:space="preserve"> </w:t>
      </w:r>
      <w:r>
        <w:t>that</w:t>
      </w:r>
      <w:r>
        <w:rPr>
          <w:spacing w:val="-4"/>
        </w:rPr>
        <w:t xml:space="preserve"> </w:t>
      </w:r>
      <w:r>
        <w:t>there</w:t>
      </w:r>
      <w:r>
        <w:rPr>
          <w:spacing w:val="-4"/>
        </w:rPr>
        <w:t xml:space="preserve"> </w:t>
      </w:r>
      <w:r>
        <w:t>is</w:t>
      </w:r>
      <w:r>
        <w:rPr>
          <w:spacing w:val="-4"/>
        </w:rPr>
        <w:t xml:space="preserve"> </w:t>
      </w:r>
      <w:r>
        <w:t>no</w:t>
      </w:r>
      <w:r>
        <w:rPr>
          <w:spacing w:val="-3"/>
        </w:rPr>
        <w:t xml:space="preserve"> </w:t>
      </w:r>
      <w:r>
        <w:t>object</w:t>
      </w:r>
      <w:r>
        <w:rPr>
          <w:spacing w:val="-4"/>
        </w:rPr>
        <w:t xml:space="preserve"> </w:t>
      </w:r>
      <w:r>
        <w:t>x</w:t>
      </w:r>
      <w:r>
        <w:rPr>
          <w:spacing w:val="-3"/>
        </w:rPr>
        <w:t xml:space="preserve"> </w:t>
      </w:r>
      <w:r>
        <w:t>such</w:t>
      </w:r>
      <w:r>
        <w:rPr>
          <w:spacing w:val="-3"/>
        </w:rPr>
        <w:t xml:space="preserve"> </w:t>
      </w:r>
      <w:r>
        <w:t>that</w:t>
      </w:r>
      <w:r>
        <w:rPr>
          <w:spacing w:val="-4"/>
        </w:rPr>
        <w:t xml:space="preserve"> </w:t>
      </w:r>
      <w:r>
        <w:t>existence</w:t>
      </w:r>
      <w:r>
        <w:rPr>
          <w:spacing w:val="-4"/>
        </w:rPr>
        <w:t xml:space="preserve"> </w:t>
      </w:r>
      <w:r>
        <w:t>or</w:t>
      </w:r>
      <w:r>
        <w:rPr>
          <w:spacing w:val="-4"/>
        </w:rPr>
        <w:t xml:space="preserve"> </w:t>
      </w:r>
      <w:r>
        <w:t>non-existence</w:t>
      </w:r>
      <w:r>
        <w:rPr>
          <w:spacing w:val="-4"/>
        </w:rPr>
        <w:t xml:space="preserve"> </w:t>
      </w:r>
      <w:r>
        <w:t>is</w:t>
      </w:r>
      <w:r>
        <w:rPr>
          <w:spacing w:val="-4"/>
        </w:rPr>
        <w:t xml:space="preserve"> </w:t>
      </w:r>
      <w:r>
        <w:t>attributed to x and such that x doesn’t exist.</w:t>
      </w:r>
    </w:p>
    <w:p w14:paraId="7E00285A" w14:textId="77777777" w:rsidR="009A58DB" w:rsidRDefault="00000000">
      <w:pPr>
        <w:pStyle w:val="BodyText"/>
        <w:spacing w:before="5" w:line="249" w:lineRule="auto"/>
        <w:ind w:right="359" w:firstLine="360"/>
      </w:pPr>
      <w:r>
        <w:t>It follows that a precondition for a thing’s being described as existent or non-existent is its existing. This means that, if P is the proposition one</w:t>
      </w:r>
      <w:r>
        <w:rPr>
          <w:spacing w:val="40"/>
        </w:rPr>
        <w:t xml:space="preserve"> </w:t>
      </w:r>
      <w:r>
        <w:t>affirms when one describes a given object as existent, there is no negation of</w:t>
      </w:r>
    </w:p>
    <w:p w14:paraId="7E00285B" w14:textId="77777777" w:rsidR="009A58DB" w:rsidRDefault="00000000">
      <w:pPr>
        <w:pStyle w:val="BodyText"/>
        <w:spacing w:before="3" w:line="249" w:lineRule="auto"/>
        <w:ind w:right="365"/>
        <w:rPr>
          <w:position w:val="21"/>
        </w:rPr>
      </w:pPr>
      <w:r>
        <w:t>P. Since any given proposition can be negated, it follows that, in attributing existence to a given thing, one isn’t affirming anything. It is meaningless to say of specific individuals that they exist or don’t exist.</w:t>
      </w:r>
      <w:bookmarkStart w:id="561" w:name="_bookmark561"/>
      <w:bookmarkEnd w:id="561"/>
      <w:r>
        <w:rPr>
          <w:color w:val="0562C1"/>
          <w:position w:val="21"/>
          <w:u w:val="single" w:color="0562C1"/>
        </w:rPr>
        <w:t>[425]</w:t>
      </w:r>
    </w:p>
    <w:p w14:paraId="7E00285C" w14:textId="77777777" w:rsidR="009A58DB" w:rsidRDefault="009A58DB">
      <w:pPr>
        <w:pStyle w:val="BodyText"/>
        <w:spacing w:line="249" w:lineRule="auto"/>
        <w:rPr>
          <w:position w:val="21"/>
        </w:rPr>
        <w:sectPr w:rsidR="009A58DB">
          <w:pgSz w:w="12240" w:h="15840"/>
          <w:pgMar w:top="1380" w:right="1080" w:bottom="280" w:left="1080" w:header="720" w:footer="720" w:gutter="0"/>
          <w:cols w:space="720"/>
        </w:sectPr>
      </w:pPr>
    </w:p>
    <w:p w14:paraId="7E00285D" w14:textId="77777777" w:rsidR="009A58DB" w:rsidRDefault="00000000">
      <w:pPr>
        <w:spacing w:line="503" w:lineRule="exact"/>
        <w:ind w:left="326" w:right="332"/>
        <w:jc w:val="center"/>
        <w:rPr>
          <w:rFonts w:ascii="Calibri Light"/>
          <w:sz w:val="42"/>
        </w:rPr>
      </w:pPr>
      <w:bookmarkStart w:id="562" w:name="_bookmark562"/>
      <w:bookmarkEnd w:id="562"/>
      <w:r>
        <w:rPr>
          <w:rFonts w:ascii="Calibri Light"/>
          <w:sz w:val="42"/>
        </w:rPr>
        <w:lastRenderedPageBreak/>
        <w:t>Chapter</w:t>
      </w:r>
      <w:r>
        <w:rPr>
          <w:rFonts w:ascii="Calibri Light"/>
          <w:spacing w:val="56"/>
          <w:sz w:val="42"/>
        </w:rPr>
        <w:t xml:space="preserve"> </w:t>
      </w:r>
      <w:r>
        <w:rPr>
          <w:rFonts w:ascii="Calibri Light"/>
          <w:spacing w:val="-5"/>
          <w:sz w:val="42"/>
        </w:rPr>
        <w:t>26</w:t>
      </w:r>
    </w:p>
    <w:p w14:paraId="7E00285E" w14:textId="77777777" w:rsidR="009A58DB" w:rsidRDefault="00000000">
      <w:pPr>
        <w:spacing w:before="222"/>
        <w:ind w:left="326" w:right="332"/>
        <w:jc w:val="center"/>
        <w:rPr>
          <w:rFonts w:ascii="Calibri Light"/>
          <w:sz w:val="42"/>
        </w:rPr>
      </w:pPr>
      <w:bookmarkStart w:id="563" w:name="_bookmark563"/>
      <w:bookmarkEnd w:id="563"/>
      <w:r>
        <w:rPr>
          <w:rFonts w:ascii="Calibri Light"/>
          <w:spacing w:val="-2"/>
          <w:sz w:val="42"/>
        </w:rPr>
        <w:t>Existentialism</w:t>
      </w:r>
    </w:p>
    <w:p w14:paraId="7E00285F" w14:textId="77777777" w:rsidR="009A58DB" w:rsidRDefault="00000000">
      <w:pPr>
        <w:pStyle w:val="Heading1"/>
        <w:numPr>
          <w:ilvl w:val="1"/>
          <w:numId w:val="42"/>
        </w:numPr>
        <w:tabs>
          <w:tab w:val="left" w:pos="1409"/>
        </w:tabs>
        <w:spacing w:before="95"/>
        <w:ind w:left="1409" w:hanging="1049"/>
      </w:pPr>
      <w:r>
        <w:t>Existentialism:</w:t>
      </w:r>
      <w:r>
        <w:rPr>
          <w:spacing w:val="-8"/>
        </w:rPr>
        <w:t xml:space="preserve"> </w:t>
      </w:r>
      <w:r>
        <w:t>an</w:t>
      </w:r>
      <w:r>
        <w:rPr>
          <w:spacing w:val="-5"/>
        </w:rPr>
        <w:t xml:space="preserve"> </w:t>
      </w:r>
      <w:r>
        <w:t>attitude</w:t>
      </w:r>
      <w:r>
        <w:rPr>
          <w:spacing w:val="-6"/>
        </w:rPr>
        <w:t xml:space="preserve"> </w:t>
      </w:r>
      <w:r>
        <w:t>more</w:t>
      </w:r>
      <w:r>
        <w:rPr>
          <w:spacing w:val="-5"/>
        </w:rPr>
        <w:t xml:space="preserve"> </w:t>
      </w:r>
      <w:r>
        <w:t>than</w:t>
      </w:r>
      <w:r>
        <w:rPr>
          <w:spacing w:val="-5"/>
        </w:rPr>
        <w:t xml:space="preserve"> </w:t>
      </w:r>
      <w:r>
        <w:rPr>
          <w:spacing w:val="-2"/>
        </w:rPr>
        <w:t>doctrine</w:t>
      </w:r>
    </w:p>
    <w:p w14:paraId="7E002860" w14:textId="77777777" w:rsidR="009A58DB" w:rsidRDefault="00000000">
      <w:pPr>
        <w:pStyle w:val="BodyText"/>
        <w:spacing w:before="139" w:line="249" w:lineRule="auto"/>
        <w:ind w:right="361"/>
      </w:pPr>
      <w:r>
        <w:t>The traditional view is that, when a person comes into the world, there are various standards to which he must conform and various values that he must uphold. No sooner does a person acquire the ability to speak than the weight of centuries of tradition bears down on him, forcing him to do things he doesn’t want to do and live in a way he doesn’t want to live.</w:t>
      </w:r>
    </w:p>
    <w:p w14:paraId="7E002861" w14:textId="77777777" w:rsidR="009A58DB" w:rsidRDefault="00000000">
      <w:pPr>
        <w:pStyle w:val="BodyText"/>
        <w:spacing w:before="6" w:line="249" w:lineRule="auto"/>
        <w:ind w:right="359" w:firstLine="360"/>
      </w:pPr>
      <w:r>
        <w:t>Existentialism says: “To hell with all these preexisting values!” Existentialism is thus an injunction that we choose our own values and, more generally, chart our own course.</w:t>
      </w:r>
    </w:p>
    <w:p w14:paraId="7E002862" w14:textId="77777777" w:rsidR="009A58DB" w:rsidRDefault="00000000">
      <w:pPr>
        <w:pStyle w:val="BodyText"/>
        <w:spacing w:before="4" w:line="249" w:lineRule="auto"/>
        <w:ind w:right="358" w:firstLine="360"/>
      </w:pPr>
      <w:r>
        <w:t>At its core, existentialism is therefore less of a doctrine than it is an attitude. A doctrine is a system of interconnected propositions. Quantum physics is a doctrine. So are Freudian psychology, Keynsian economics, and Russell’s theory of descriptions. The viability of a doctrine has nothing to do with</w:t>
      </w:r>
      <w:r>
        <w:rPr>
          <w:spacing w:val="-3"/>
        </w:rPr>
        <w:t xml:space="preserve"> </w:t>
      </w:r>
      <w:r>
        <w:t>how</w:t>
      </w:r>
      <w:r>
        <w:rPr>
          <w:spacing w:val="-3"/>
        </w:rPr>
        <w:t xml:space="preserve"> </w:t>
      </w:r>
      <w:r>
        <w:t>anyone</w:t>
      </w:r>
      <w:r>
        <w:rPr>
          <w:spacing w:val="-3"/>
        </w:rPr>
        <w:t xml:space="preserve"> </w:t>
      </w:r>
      <w:r>
        <w:t>feels</w:t>
      </w:r>
      <w:r>
        <w:rPr>
          <w:spacing w:val="-3"/>
        </w:rPr>
        <w:t xml:space="preserve"> </w:t>
      </w:r>
      <w:r>
        <w:t>about</w:t>
      </w:r>
      <w:r>
        <w:rPr>
          <w:spacing w:val="-3"/>
        </w:rPr>
        <w:t xml:space="preserve"> </w:t>
      </w:r>
      <w:r>
        <w:t>anything.</w:t>
      </w:r>
      <w:r>
        <w:rPr>
          <w:spacing w:val="-3"/>
        </w:rPr>
        <w:t xml:space="preserve"> </w:t>
      </w:r>
      <w:r>
        <w:t>Doctrines</w:t>
      </w:r>
      <w:r>
        <w:rPr>
          <w:spacing w:val="-3"/>
        </w:rPr>
        <w:t xml:space="preserve"> </w:t>
      </w:r>
      <w:r>
        <w:t>are</w:t>
      </w:r>
      <w:r>
        <w:rPr>
          <w:spacing w:val="-3"/>
        </w:rPr>
        <w:t xml:space="preserve"> </w:t>
      </w:r>
      <w:r>
        <w:t>right</w:t>
      </w:r>
      <w:r>
        <w:rPr>
          <w:spacing w:val="-3"/>
        </w:rPr>
        <w:t xml:space="preserve"> </w:t>
      </w:r>
      <w:r>
        <w:t>or</w:t>
      </w:r>
      <w:r>
        <w:rPr>
          <w:spacing w:val="-3"/>
        </w:rPr>
        <w:t xml:space="preserve"> </w:t>
      </w:r>
      <w:r>
        <w:t>wrong.</w:t>
      </w:r>
      <w:r>
        <w:rPr>
          <w:spacing w:val="-3"/>
        </w:rPr>
        <w:t xml:space="preserve"> </w:t>
      </w:r>
      <w:r>
        <w:t>They</w:t>
      </w:r>
      <w:r>
        <w:rPr>
          <w:spacing w:val="-3"/>
        </w:rPr>
        <w:t xml:space="preserve"> </w:t>
      </w:r>
      <w:r>
        <w:t>are to be judged according to how well they measure up to the relevant logical or empirical benchmarks. Opinions and feelings have nothing to do with it.</w:t>
      </w:r>
    </w:p>
    <w:p w14:paraId="7E002863" w14:textId="77777777" w:rsidR="009A58DB" w:rsidRDefault="00000000">
      <w:pPr>
        <w:pStyle w:val="BodyText"/>
        <w:spacing w:before="9" w:line="249" w:lineRule="auto"/>
        <w:ind w:right="364" w:firstLine="360"/>
      </w:pPr>
      <w:r>
        <w:rPr>
          <w:i/>
        </w:rPr>
        <w:t xml:space="preserve">Attitudes </w:t>
      </w:r>
      <w:r>
        <w:t xml:space="preserve">cannot be understood in these terms. If you tell me that you like being at the beach, or that you hate picnics, I cannot say: “you’re wrong” or “you’re right.” By contrast, if you tell me that you think that the U.S. economy would improve if a Marxist government were to take over, I </w:t>
      </w:r>
      <w:r>
        <w:rPr>
          <w:i/>
        </w:rPr>
        <w:t>can</w:t>
      </w:r>
      <w:r>
        <w:rPr>
          <w:i/>
          <w:spacing w:val="40"/>
        </w:rPr>
        <w:t xml:space="preserve"> </w:t>
      </w:r>
      <w:r>
        <w:t xml:space="preserve">say “you’re wrong” (or “you’re right”). So to the extent that it is an </w:t>
      </w:r>
      <w:r>
        <w:rPr>
          <w:i/>
        </w:rPr>
        <w:t xml:space="preserve">attitude, </w:t>
      </w:r>
      <w:r>
        <w:t>existentialism cannot be judged to be wrong.</w:t>
      </w:r>
    </w:p>
    <w:p w14:paraId="7E002864" w14:textId="77777777" w:rsidR="009A58DB" w:rsidRDefault="00000000">
      <w:pPr>
        <w:pStyle w:val="BodyText"/>
        <w:spacing w:before="7" w:line="249" w:lineRule="auto"/>
        <w:ind w:right="361" w:firstLine="360"/>
      </w:pPr>
      <w:r>
        <w:t xml:space="preserve">My own view is that, taken as an attitude, there is much to be said for existentialism. If you come into the world believing that values are to be chosen, as opposed to passively accepted, you are probably more likely than you would otherwise be to reflect on what your values should be and also, consequently, on what the merits (or demerits) are of traditionally accepted values. And such reflectiveness is positive in two ways. First, if you </w:t>
      </w:r>
      <w:r>
        <w:rPr>
          <w:i/>
        </w:rPr>
        <w:t xml:space="preserve">choose </w:t>
      </w:r>
      <w:r>
        <w:t>your values, instead of simply accepting the values of others, you are (all other</w:t>
      </w:r>
      <w:r>
        <w:rPr>
          <w:spacing w:val="-1"/>
        </w:rPr>
        <w:t xml:space="preserve"> </w:t>
      </w:r>
      <w:r>
        <w:t>things</w:t>
      </w:r>
      <w:r>
        <w:rPr>
          <w:spacing w:val="-1"/>
        </w:rPr>
        <w:t xml:space="preserve"> </w:t>
      </w:r>
      <w:r>
        <w:t>being</w:t>
      </w:r>
      <w:r>
        <w:rPr>
          <w:spacing w:val="-1"/>
        </w:rPr>
        <w:t xml:space="preserve"> </w:t>
      </w:r>
      <w:r>
        <w:t>equal)</w:t>
      </w:r>
      <w:r>
        <w:rPr>
          <w:spacing w:val="-1"/>
        </w:rPr>
        <w:t xml:space="preserve"> </w:t>
      </w:r>
      <w:r>
        <w:t>more</w:t>
      </w:r>
      <w:r>
        <w:rPr>
          <w:spacing w:val="-1"/>
        </w:rPr>
        <w:t xml:space="preserve"> </w:t>
      </w:r>
      <w:r>
        <w:t>likely</w:t>
      </w:r>
      <w:r>
        <w:rPr>
          <w:spacing w:val="-1"/>
        </w:rPr>
        <w:t xml:space="preserve"> </w:t>
      </w:r>
      <w:r>
        <w:t>to</w:t>
      </w:r>
      <w:r>
        <w:rPr>
          <w:spacing w:val="-1"/>
        </w:rPr>
        <w:t xml:space="preserve"> </w:t>
      </w:r>
      <w:r>
        <w:t>live</w:t>
      </w:r>
      <w:r>
        <w:rPr>
          <w:spacing w:val="-1"/>
        </w:rPr>
        <w:t xml:space="preserve"> </w:t>
      </w:r>
      <w:r>
        <w:t>according</w:t>
      </w:r>
      <w:r>
        <w:rPr>
          <w:spacing w:val="-1"/>
        </w:rPr>
        <w:t xml:space="preserve"> </w:t>
      </w:r>
      <w:r>
        <w:t>to</w:t>
      </w:r>
      <w:r>
        <w:rPr>
          <w:spacing w:val="-1"/>
        </w:rPr>
        <w:t xml:space="preserve"> </w:t>
      </w:r>
      <w:r>
        <w:t>values</w:t>
      </w:r>
      <w:r>
        <w:rPr>
          <w:spacing w:val="-1"/>
        </w:rPr>
        <w:t xml:space="preserve"> </w:t>
      </w:r>
      <w:r>
        <w:t>that</w:t>
      </w:r>
      <w:r>
        <w:rPr>
          <w:spacing w:val="-1"/>
        </w:rPr>
        <w:t xml:space="preserve"> </w:t>
      </w:r>
      <w:r>
        <w:t>work</w:t>
      </w:r>
      <w:r>
        <w:rPr>
          <w:spacing w:val="-1"/>
        </w:rPr>
        <w:t xml:space="preserve"> </w:t>
      </w:r>
      <w:r>
        <w:t>for</w:t>
      </w:r>
    </w:p>
    <w:p w14:paraId="7E002865"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866" w14:textId="77777777" w:rsidR="009A58DB" w:rsidRDefault="00000000">
      <w:pPr>
        <w:pStyle w:val="BodyText"/>
        <w:spacing w:before="70" w:line="249" w:lineRule="auto"/>
        <w:ind w:right="359"/>
      </w:pPr>
      <w:r>
        <w:lastRenderedPageBreak/>
        <w:t>you psychologically. Second, even if you choose the wrong values, the mere fact</w:t>
      </w:r>
      <w:r>
        <w:rPr>
          <w:spacing w:val="-5"/>
        </w:rPr>
        <w:t xml:space="preserve"> </w:t>
      </w:r>
      <w:r>
        <w:t>that</w:t>
      </w:r>
      <w:r>
        <w:rPr>
          <w:spacing w:val="-5"/>
        </w:rPr>
        <w:t xml:space="preserve"> </w:t>
      </w:r>
      <w:r>
        <w:t>you</w:t>
      </w:r>
      <w:r>
        <w:rPr>
          <w:spacing w:val="-4"/>
        </w:rPr>
        <w:t xml:space="preserve"> </w:t>
      </w:r>
      <w:r>
        <w:rPr>
          <w:i/>
        </w:rPr>
        <w:t>chose</w:t>
      </w:r>
      <w:r>
        <w:rPr>
          <w:i/>
          <w:spacing w:val="-5"/>
        </w:rPr>
        <w:t xml:space="preserve"> </w:t>
      </w:r>
      <w:r>
        <w:t>your</w:t>
      </w:r>
      <w:r>
        <w:rPr>
          <w:spacing w:val="-2"/>
        </w:rPr>
        <w:t xml:space="preserve"> </w:t>
      </w:r>
      <w:r>
        <w:t>values,</w:t>
      </w:r>
      <w:r>
        <w:rPr>
          <w:spacing w:val="-2"/>
        </w:rPr>
        <w:t xml:space="preserve"> </w:t>
      </w:r>
      <w:r>
        <w:t>instead</w:t>
      </w:r>
      <w:r>
        <w:rPr>
          <w:spacing w:val="-2"/>
        </w:rPr>
        <w:t xml:space="preserve"> </w:t>
      </w:r>
      <w:r>
        <w:t>of</w:t>
      </w:r>
      <w:r>
        <w:rPr>
          <w:spacing w:val="-2"/>
        </w:rPr>
        <w:t xml:space="preserve"> </w:t>
      </w:r>
      <w:r>
        <w:t>passively</w:t>
      </w:r>
      <w:r>
        <w:rPr>
          <w:spacing w:val="-2"/>
        </w:rPr>
        <w:t xml:space="preserve"> </w:t>
      </w:r>
      <w:r>
        <w:t>and</w:t>
      </w:r>
      <w:r>
        <w:rPr>
          <w:spacing w:val="-2"/>
        </w:rPr>
        <w:t xml:space="preserve"> </w:t>
      </w:r>
      <w:r>
        <w:t>robotically</w:t>
      </w:r>
      <w:r>
        <w:rPr>
          <w:spacing w:val="-2"/>
        </w:rPr>
        <w:t xml:space="preserve"> </w:t>
      </w:r>
      <w:r>
        <w:t>accepting the values of others, would seem to be an affirmation of your rationality and freedom and, therefore, of your humanness.</w:t>
      </w:r>
    </w:p>
    <w:p w14:paraId="7E002867" w14:textId="77777777" w:rsidR="009A58DB" w:rsidRDefault="00000000">
      <w:pPr>
        <w:pStyle w:val="Heading1"/>
        <w:numPr>
          <w:ilvl w:val="1"/>
          <w:numId w:val="42"/>
        </w:numPr>
        <w:tabs>
          <w:tab w:val="left" w:pos="1844"/>
        </w:tabs>
        <w:spacing w:before="188" w:line="244" w:lineRule="auto"/>
        <w:ind w:left="360" w:right="370" w:firstLine="0"/>
      </w:pPr>
      <w:r>
        <w:t>“Don’t</w:t>
      </w:r>
      <w:r>
        <w:rPr>
          <w:spacing w:val="40"/>
        </w:rPr>
        <w:t xml:space="preserve"> </w:t>
      </w:r>
      <w:r>
        <w:t>believe</w:t>
      </w:r>
      <w:r>
        <w:rPr>
          <w:spacing w:val="40"/>
        </w:rPr>
        <w:t xml:space="preserve"> </w:t>
      </w:r>
      <w:r>
        <w:t>the</w:t>
      </w:r>
      <w:r>
        <w:rPr>
          <w:spacing w:val="40"/>
        </w:rPr>
        <w:t xml:space="preserve"> </w:t>
      </w:r>
      <w:r>
        <w:t>hype”—the</w:t>
      </w:r>
      <w:r>
        <w:rPr>
          <w:spacing w:val="40"/>
        </w:rPr>
        <w:t xml:space="preserve"> </w:t>
      </w:r>
      <w:r>
        <w:t>message</w:t>
      </w:r>
      <w:r>
        <w:rPr>
          <w:spacing w:val="40"/>
        </w:rPr>
        <w:t xml:space="preserve"> </w:t>
      </w:r>
      <w:r>
        <w:t xml:space="preserve">of </w:t>
      </w:r>
      <w:r>
        <w:rPr>
          <w:spacing w:val="-2"/>
        </w:rPr>
        <w:t>existentialism</w:t>
      </w:r>
    </w:p>
    <w:p w14:paraId="7E002868" w14:textId="77777777" w:rsidR="009A58DB" w:rsidRDefault="00000000">
      <w:pPr>
        <w:pStyle w:val="BodyText"/>
        <w:spacing w:before="131" w:line="249" w:lineRule="auto"/>
        <w:ind w:right="362"/>
      </w:pPr>
      <w:r>
        <w:t>There is actually a third reason why it is (or, at least, may sometimes be) better to choose one’s values than to accept the values of others. A number of values seem to involve a diminishment of self:</w:t>
      </w:r>
    </w:p>
    <w:p w14:paraId="7E002869" w14:textId="77777777" w:rsidR="009A58DB" w:rsidRDefault="00000000">
      <w:pPr>
        <w:pStyle w:val="BodyText"/>
        <w:spacing w:before="109"/>
      </w:pPr>
      <w:r>
        <w:t>“Be</w:t>
      </w:r>
      <w:r>
        <w:rPr>
          <w:spacing w:val="-3"/>
        </w:rPr>
        <w:t xml:space="preserve"> </w:t>
      </w:r>
      <w:r>
        <w:t>a</w:t>
      </w:r>
      <w:r>
        <w:rPr>
          <w:spacing w:val="-3"/>
        </w:rPr>
        <w:t xml:space="preserve"> </w:t>
      </w:r>
      <w:r>
        <w:t>team</w:t>
      </w:r>
      <w:r>
        <w:rPr>
          <w:spacing w:val="-3"/>
        </w:rPr>
        <w:t xml:space="preserve"> </w:t>
      </w:r>
      <w:r>
        <w:t>player—don’t</w:t>
      </w:r>
      <w:r>
        <w:rPr>
          <w:spacing w:val="-3"/>
        </w:rPr>
        <w:t xml:space="preserve"> </w:t>
      </w:r>
      <w:r>
        <w:t>do</w:t>
      </w:r>
      <w:r>
        <w:rPr>
          <w:spacing w:val="-2"/>
        </w:rPr>
        <w:t xml:space="preserve"> </w:t>
      </w:r>
      <w:r>
        <w:t>what</w:t>
      </w:r>
      <w:r>
        <w:rPr>
          <w:spacing w:val="-3"/>
        </w:rPr>
        <w:t xml:space="preserve"> </w:t>
      </w:r>
      <w:r>
        <w:rPr>
          <w:i/>
        </w:rPr>
        <w:t>you</w:t>
      </w:r>
      <w:r>
        <w:rPr>
          <w:i/>
          <w:spacing w:val="-1"/>
        </w:rPr>
        <w:t xml:space="preserve"> </w:t>
      </w:r>
      <w:r>
        <w:rPr>
          <w:spacing w:val="-2"/>
        </w:rPr>
        <w:t>want.”</w:t>
      </w:r>
    </w:p>
    <w:p w14:paraId="7E00286A" w14:textId="77777777" w:rsidR="009A58DB" w:rsidRDefault="00000000">
      <w:pPr>
        <w:pStyle w:val="BodyText"/>
        <w:spacing w:before="15" w:line="249" w:lineRule="auto"/>
        <w:ind w:right="2439"/>
      </w:pPr>
      <w:r>
        <w:t xml:space="preserve">“Work for the family business—don’t do what </w:t>
      </w:r>
      <w:r>
        <w:rPr>
          <w:i/>
        </w:rPr>
        <w:t xml:space="preserve">you </w:t>
      </w:r>
      <w:r>
        <w:t>want.” “Take</w:t>
      </w:r>
      <w:r>
        <w:rPr>
          <w:spacing w:val="-3"/>
        </w:rPr>
        <w:t xml:space="preserve"> </w:t>
      </w:r>
      <w:r>
        <w:t>care</w:t>
      </w:r>
      <w:r>
        <w:rPr>
          <w:spacing w:val="-3"/>
        </w:rPr>
        <w:t xml:space="preserve"> </w:t>
      </w:r>
      <w:r>
        <w:t>of</w:t>
      </w:r>
      <w:r>
        <w:rPr>
          <w:spacing w:val="-3"/>
        </w:rPr>
        <w:t xml:space="preserve"> </w:t>
      </w:r>
      <w:r>
        <w:t>your</w:t>
      </w:r>
      <w:r>
        <w:rPr>
          <w:spacing w:val="-3"/>
        </w:rPr>
        <w:t xml:space="preserve"> </w:t>
      </w:r>
      <w:r>
        <w:t>ailing</w:t>
      </w:r>
      <w:r>
        <w:rPr>
          <w:spacing w:val="-2"/>
        </w:rPr>
        <w:t xml:space="preserve"> </w:t>
      </w:r>
      <w:r>
        <w:t>mother—don’t</w:t>
      </w:r>
      <w:r>
        <w:rPr>
          <w:spacing w:val="-3"/>
        </w:rPr>
        <w:t xml:space="preserve"> </w:t>
      </w:r>
      <w:r>
        <w:t>do</w:t>
      </w:r>
      <w:r>
        <w:rPr>
          <w:spacing w:val="-2"/>
        </w:rPr>
        <w:t xml:space="preserve"> </w:t>
      </w:r>
      <w:r>
        <w:t>what</w:t>
      </w:r>
      <w:r>
        <w:rPr>
          <w:spacing w:val="-3"/>
        </w:rPr>
        <w:t xml:space="preserve"> </w:t>
      </w:r>
      <w:r>
        <w:rPr>
          <w:i/>
        </w:rPr>
        <w:t>you</w:t>
      </w:r>
      <w:r>
        <w:rPr>
          <w:i/>
          <w:spacing w:val="-2"/>
        </w:rPr>
        <w:t xml:space="preserve"> </w:t>
      </w:r>
      <w:r>
        <w:rPr>
          <w:spacing w:val="-2"/>
        </w:rPr>
        <w:t>want.”</w:t>
      </w:r>
    </w:p>
    <w:p w14:paraId="7E00286B" w14:textId="77777777" w:rsidR="009A58DB" w:rsidRDefault="00000000">
      <w:pPr>
        <w:pStyle w:val="BodyText"/>
        <w:spacing w:before="2" w:line="249" w:lineRule="auto"/>
        <w:ind w:right="358"/>
      </w:pPr>
      <w:r>
        <w:t xml:space="preserve">“Believe what you’re told to believe in—don’t have your </w:t>
      </w:r>
      <w:r>
        <w:rPr>
          <w:i/>
        </w:rPr>
        <w:t xml:space="preserve">own </w:t>
      </w:r>
      <w:r>
        <w:t>beliefs (you’re not qualified, you’re not smart enough, you don’t have the right educational background, and it’s not your place to have your own views even if you are qualified: who do you think you are!).”</w:t>
      </w:r>
    </w:p>
    <w:p w14:paraId="7E00286C" w14:textId="77777777" w:rsidR="009A58DB" w:rsidRDefault="00000000">
      <w:pPr>
        <w:pStyle w:val="BodyText"/>
        <w:spacing w:before="110" w:line="249" w:lineRule="auto"/>
        <w:ind w:right="362" w:firstLine="360"/>
      </w:pPr>
      <w:r>
        <w:t>It would not be hard to think of a case where flourishing and following conventional values failed to coalesce. So and so wants to be a writer. Supposedly wanting him to have a respectable life, so and so’s parents (or teachers or priest . . .) tell him to take the safe path (“be a lawyer,” “sell insurance”). So and</w:t>
      </w:r>
    </w:p>
    <w:p w14:paraId="7E00286D" w14:textId="77777777" w:rsidR="009A58DB" w:rsidRDefault="00000000">
      <w:pPr>
        <w:pStyle w:val="BodyText"/>
        <w:spacing w:before="7" w:line="249" w:lineRule="auto"/>
        <w:ind w:right="361"/>
      </w:pPr>
      <w:r>
        <w:t>so</w:t>
      </w:r>
      <w:r>
        <w:rPr>
          <w:spacing w:val="-7"/>
        </w:rPr>
        <w:t xml:space="preserve"> </w:t>
      </w:r>
      <w:r>
        <w:t>becomes</w:t>
      </w:r>
      <w:r>
        <w:rPr>
          <w:spacing w:val="-2"/>
        </w:rPr>
        <w:t xml:space="preserve"> </w:t>
      </w:r>
      <w:r>
        <w:t>Tolstoy</w:t>
      </w:r>
      <w:r>
        <w:rPr>
          <w:spacing w:val="-2"/>
        </w:rPr>
        <w:t xml:space="preserve"> </w:t>
      </w:r>
      <w:r>
        <w:t>(or</w:t>
      </w:r>
      <w:r>
        <w:rPr>
          <w:spacing w:val="-2"/>
        </w:rPr>
        <w:t xml:space="preserve"> </w:t>
      </w:r>
      <w:r>
        <w:t>Shakespeare</w:t>
      </w:r>
      <w:r>
        <w:rPr>
          <w:spacing w:val="-2"/>
        </w:rPr>
        <w:t xml:space="preserve"> </w:t>
      </w:r>
      <w:r>
        <w:t>or</w:t>
      </w:r>
      <w:r>
        <w:rPr>
          <w:spacing w:val="-2"/>
        </w:rPr>
        <w:t xml:space="preserve"> </w:t>
      </w:r>
      <w:r>
        <w:t>whoever).</w:t>
      </w:r>
      <w:r>
        <w:rPr>
          <w:spacing w:val="-2"/>
        </w:rPr>
        <w:t xml:space="preserve"> </w:t>
      </w:r>
      <w:r>
        <w:t>Had</w:t>
      </w:r>
      <w:r>
        <w:rPr>
          <w:spacing w:val="-2"/>
        </w:rPr>
        <w:t xml:space="preserve"> </w:t>
      </w:r>
      <w:r>
        <w:t>so</w:t>
      </w:r>
      <w:r>
        <w:rPr>
          <w:spacing w:val="-2"/>
        </w:rPr>
        <w:t xml:space="preserve"> </w:t>
      </w:r>
      <w:r>
        <w:t>and</w:t>
      </w:r>
      <w:r>
        <w:rPr>
          <w:spacing w:val="-2"/>
        </w:rPr>
        <w:t xml:space="preserve"> </w:t>
      </w:r>
      <w:r>
        <w:t>so</w:t>
      </w:r>
      <w:r>
        <w:rPr>
          <w:spacing w:val="-2"/>
        </w:rPr>
        <w:t xml:space="preserve"> </w:t>
      </w:r>
      <w:r>
        <w:t>followed</w:t>
      </w:r>
      <w:r>
        <w:rPr>
          <w:spacing w:val="-2"/>
        </w:rPr>
        <w:t xml:space="preserve"> </w:t>
      </w:r>
      <w:r>
        <w:t>the conventional</w:t>
      </w:r>
      <w:r>
        <w:rPr>
          <w:spacing w:val="-3"/>
        </w:rPr>
        <w:t xml:space="preserve"> </w:t>
      </w:r>
      <w:r>
        <w:t>path,</w:t>
      </w:r>
      <w:r>
        <w:rPr>
          <w:spacing w:val="-2"/>
        </w:rPr>
        <w:t xml:space="preserve"> </w:t>
      </w:r>
      <w:r>
        <w:t>so</w:t>
      </w:r>
      <w:r>
        <w:rPr>
          <w:spacing w:val="-2"/>
        </w:rPr>
        <w:t xml:space="preserve"> </w:t>
      </w:r>
      <w:r>
        <w:t>and</w:t>
      </w:r>
      <w:r>
        <w:rPr>
          <w:spacing w:val="-2"/>
        </w:rPr>
        <w:t xml:space="preserve"> </w:t>
      </w:r>
      <w:r>
        <w:t>so</w:t>
      </w:r>
      <w:r>
        <w:rPr>
          <w:spacing w:val="-2"/>
        </w:rPr>
        <w:t xml:space="preserve"> </w:t>
      </w:r>
      <w:r>
        <w:t>would</w:t>
      </w:r>
      <w:r>
        <w:rPr>
          <w:spacing w:val="-2"/>
        </w:rPr>
        <w:t xml:space="preserve"> </w:t>
      </w:r>
      <w:r>
        <w:t>have</w:t>
      </w:r>
      <w:r>
        <w:rPr>
          <w:spacing w:val="-2"/>
        </w:rPr>
        <w:t xml:space="preserve"> </w:t>
      </w:r>
      <w:r>
        <w:t>lived</w:t>
      </w:r>
      <w:r>
        <w:rPr>
          <w:spacing w:val="-2"/>
        </w:rPr>
        <w:t xml:space="preserve"> </w:t>
      </w:r>
      <w:r>
        <w:t>a</w:t>
      </w:r>
      <w:r>
        <w:rPr>
          <w:spacing w:val="-2"/>
        </w:rPr>
        <w:t xml:space="preserve"> </w:t>
      </w:r>
      <w:r>
        <w:t>life</w:t>
      </w:r>
      <w:r>
        <w:rPr>
          <w:spacing w:val="-2"/>
        </w:rPr>
        <w:t xml:space="preserve"> </w:t>
      </w:r>
      <w:r>
        <w:t>of</w:t>
      </w:r>
      <w:r>
        <w:rPr>
          <w:spacing w:val="-2"/>
        </w:rPr>
        <w:t xml:space="preserve"> </w:t>
      </w:r>
      <w:r>
        <w:t>“quiet</w:t>
      </w:r>
      <w:r>
        <w:rPr>
          <w:spacing w:val="-2"/>
        </w:rPr>
        <w:t xml:space="preserve"> </w:t>
      </w:r>
      <w:r>
        <w:t>desperation,”</w:t>
      </w:r>
      <w:r>
        <w:rPr>
          <w:spacing w:val="-2"/>
        </w:rPr>
        <w:t xml:space="preserve"> </w:t>
      </w:r>
      <w:r>
        <w:t>to use Theroux’s expression. (Indeed, Theroux used that very expression to make a point not unlike ours, and Theroux is sometimes seen as one of the first existentialists.)</w:t>
      </w:r>
    </w:p>
    <w:p w14:paraId="7E00286E" w14:textId="77777777" w:rsidR="009A58DB" w:rsidRDefault="00000000">
      <w:pPr>
        <w:pStyle w:val="BodyText"/>
        <w:spacing w:before="6" w:line="249" w:lineRule="auto"/>
        <w:ind w:right="358" w:firstLine="360"/>
      </w:pPr>
      <w:r>
        <w:t xml:space="preserve">Why do traditional values so often demand a reduction of the self? One possible answer is that the values that are endorsed by society are those that are good for society, and therefore aren’t necessarily those that are good for the individual. As Freud emphasized in </w:t>
      </w:r>
      <w:r>
        <w:rPr>
          <w:i/>
        </w:rPr>
        <w:t xml:space="preserve">Civilization and its Discontents, </w:t>
      </w:r>
      <w:r>
        <w:t>society is possible only if the aspirations of individuals are abridged: a precondition for civilization is the abridgment of human freedoms and, consequently,</w:t>
      </w:r>
      <w:r>
        <w:rPr>
          <w:spacing w:val="53"/>
          <w:w w:val="150"/>
        </w:rPr>
        <w:t xml:space="preserve"> </w:t>
      </w:r>
      <w:r>
        <w:t>of</w:t>
      </w:r>
      <w:r>
        <w:rPr>
          <w:spacing w:val="54"/>
          <w:w w:val="150"/>
        </w:rPr>
        <w:t xml:space="preserve"> </w:t>
      </w:r>
      <w:r>
        <w:t>gratifications.</w:t>
      </w:r>
      <w:r>
        <w:rPr>
          <w:spacing w:val="53"/>
          <w:w w:val="150"/>
        </w:rPr>
        <w:t xml:space="preserve"> </w:t>
      </w:r>
      <w:r>
        <w:t>A</w:t>
      </w:r>
      <w:r>
        <w:rPr>
          <w:spacing w:val="54"/>
          <w:w w:val="150"/>
        </w:rPr>
        <w:t xml:space="preserve"> </w:t>
      </w:r>
      <w:r>
        <w:t>related</w:t>
      </w:r>
      <w:r>
        <w:rPr>
          <w:spacing w:val="53"/>
          <w:w w:val="150"/>
        </w:rPr>
        <w:t xml:space="preserve"> </w:t>
      </w:r>
      <w:r>
        <w:t>point—one</w:t>
      </w:r>
      <w:r>
        <w:rPr>
          <w:spacing w:val="54"/>
          <w:w w:val="150"/>
        </w:rPr>
        <w:t xml:space="preserve"> </w:t>
      </w:r>
      <w:r>
        <w:t>that</w:t>
      </w:r>
      <w:r>
        <w:rPr>
          <w:spacing w:val="53"/>
          <w:w w:val="150"/>
        </w:rPr>
        <w:t xml:space="preserve"> </w:t>
      </w:r>
      <w:r>
        <w:t>presupposes</w:t>
      </w:r>
      <w:r>
        <w:rPr>
          <w:spacing w:val="54"/>
          <w:w w:val="150"/>
        </w:rPr>
        <w:t xml:space="preserve"> </w:t>
      </w:r>
      <w:r>
        <w:rPr>
          <w:spacing w:val="-10"/>
        </w:rPr>
        <w:t>a</w:t>
      </w:r>
    </w:p>
    <w:p w14:paraId="7E00286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70" w14:textId="77777777" w:rsidR="009A58DB" w:rsidRDefault="00000000">
      <w:pPr>
        <w:pStyle w:val="BodyText"/>
        <w:spacing w:before="70" w:line="249" w:lineRule="auto"/>
        <w:ind w:right="359"/>
      </w:pPr>
      <w:r>
        <w:lastRenderedPageBreak/>
        <w:t>rather dark conception of human nature and may therefore meet with some resistance—is that the values that society asks the individual to accept embody much of the antagonism that people have for one another. People’s lives often aren’t what they want to them to be, and the values that people impose on one another (e.g., “be a team player,” “it’s not about what you want; it’s about what’s right for the family”) often express their desire to prevent others from superseding them.</w:t>
      </w:r>
    </w:p>
    <w:p w14:paraId="7E002871" w14:textId="77777777" w:rsidR="009A58DB" w:rsidRDefault="00000000">
      <w:pPr>
        <w:pStyle w:val="BodyText"/>
        <w:spacing w:before="3" w:line="249" w:lineRule="auto"/>
        <w:ind w:right="358" w:firstLine="360"/>
      </w:pPr>
      <w:r>
        <w:t xml:space="preserve">If you see values as yours to accept or reject, you are less likely to be duped by moralistic propaganda into reducing yourself, and your life is more likely to follow the path that it </w:t>
      </w:r>
      <w:r>
        <w:rPr>
          <w:i/>
        </w:rPr>
        <w:t>should</w:t>
      </w:r>
      <w:r>
        <w:rPr>
          <w:i/>
          <w:spacing w:val="-2"/>
        </w:rPr>
        <w:t xml:space="preserve"> </w:t>
      </w:r>
      <w:r>
        <w:t>take, as opposed to the one that others want it to take. In any case, that is the idea—and I’m pretty sure that there is at least some truth to it.</w:t>
      </w:r>
    </w:p>
    <w:p w14:paraId="7E002872" w14:textId="77777777" w:rsidR="009A58DB" w:rsidRDefault="00000000">
      <w:pPr>
        <w:pStyle w:val="Heading1"/>
        <w:spacing w:before="194"/>
        <w:ind w:left="360" w:firstLine="0"/>
      </w:pPr>
      <w:r>
        <w:t>2.0</w:t>
      </w:r>
      <w:r>
        <w:rPr>
          <w:spacing w:val="-6"/>
        </w:rPr>
        <w:t xml:space="preserve"> </w:t>
      </w:r>
      <w:r>
        <w:t>Existentialism</w:t>
      </w:r>
      <w:r>
        <w:rPr>
          <w:spacing w:val="-6"/>
        </w:rPr>
        <w:t xml:space="preserve"> </w:t>
      </w:r>
      <w:r>
        <w:rPr>
          <w:spacing w:val="-2"/>
        </w:rPr>
        <w:t>doctrinalized</w:t>
      </w:r>
    </w:p>
    <w:p w14:paraId="7E002873" w14:textId="77777777" w:rsidR="009A58DB" w:rsidRDefault="00000000">
      <w:pPr>
        <w:pStyle w:val="BodyText"/>
        <w:spacing w:before="139" w:line="249" w:lineRule="auto"/>
        <w:ind w:right="358"/>
      </w:pPr>
      <w:r>
        <w:t xml:space="preserve">So far so good. Given only what we’ve said, existentialism seems to be viable. But several problems arise. Although existentialism is not </w:t>
      </w:r>
      <w:r>
        <w:rPr>
          <w:i/>
        </w:rPr>
        <w:t xml:space="preserve">merely </w:t>
      </w:r>
      <w:r>
        <w:t>a doctrine—although it is fundamentally an attitude, as opposed to a belief-system—existentialist philosophers have spent a great deal of time producing doctrines (belief-systems) that validate the attitude in question. Even though that attitude may be salutary, it doesn’t follow that those doctrines are correct or</w:t>
      </w:r>
      <w:r>
        <w:rPr>
          <w:spacing w:val="-1"/>
        </w:rPr>
        <w:t xml:space="preserve"> </w:t>
      </w:r>
      <w:r>
        <w:t>even</w:t>
      </w:r>
      <w:r>
        <w:rPr>
          <w:spacing w:val="-1"/>
        </w:rPr>
        <w:t xml:space="preserve"> </w:t>
      </w:r>
      <w:r>
        <w:t>coherent.</w:t>
      </w:r>
      <w:r>
        <w:rPr>
          <w:spacing w:val="-1"/>
        </w:rPr>
        <w:t xml:space="preserve"> </w:t>
      </w:r>
      <w:r>
        <w:t>Since</w:t>
      </w:r>
      <w:r>
        <w:rPr>
          <w:spacing w:val="-1"/>
        </w:rPr>
        <w:t xml:space="preserve"> </w:t>
      </w:r>
      <w:r>
        <w:t>we</w:t>
      </w:r>
      <w:r>
        <w:rPr>
          <w:spacing w:val="-1"/>
        </w:rPr>
        <w:t xml:space="preserve"> </w:t>
      </w:r>
      <w:r>
        <w:t>are</w:t>
      </w:r>
      <w:r>
        <w:rPr>
          <w:spacing w:val="-1"/>
        </w:rPr>
        <w:t xml:space="preserve"> </w:t>
      </w:r>
      <w:r>
        <w:t>concerned</w:t>
      </w:r>
      <w:r>
        <w:rPr>
          <w:spacing w:val="-1"/>
        </w:rPr>
        <w:t xml:space="preserve"> </w:t>
      </w:r>
      <w:r>
        <w:t>with</w:t>
      </w:r>
      <w:r>
        <w:rPr>
          <w:spacing w:val="-1"/>
        </w:rPr>
        <w:t xml:space="preserve"> </w:t>
      </w:r>
      <w:r>
        <w:t>existentialist</w:t>
      </w:r>
      <w:r>
        <w:rPr>
          <w:spacing w:val="-1"/>
        </w:rPr>
        <w:t xml:space="preserve"> </w:t>
      </w:r>
      <w:r>
        <w:rPr>
          <w:i/>
        </w:rPr>
        <w:t>philosophy</w:t>
      </w:r>
      <w:r>
        <w:t>—that is, with the efforts of existentialist philosophers to provide a rational foundation for the attitude that we’ve been discussing—we have to assess whether those doctrines are any good.</w:t>
      </w:r>
    </w:p>
    <w:p w14:paraId="7E002874" w14:textId="77777777" w:rsidR="009A58DB" w:rsidRDefault="00000000">
      <w:pPr>
        <w:pStyle w:val="BodyText"/>
        <w:spacing w:before="13" w:line="249" w:lineRule="auto"/>
        <w:ind w:right="358" w:firstLine="360"/>
      </w:pPr>
      <w:r>
        <w:t>But before we consider the viability of those doctrines, we must note there is also a problem (actually, a couple of problems) with the existentialist attitude itself. The values that other people tell us to accept may not always</w:t>
      </w:r>
      <w:r>
        <w:rPr>
          <w:spacing w:val="40"/>
        </w:rPr>
        <w:t xml:space="preserve"> </w:t>
      </w:r>
      <w:r>
        <w:t xml:space="preserve">be the right ones. But it doesn’t follow that there are </w:t>
      </w:r>
      <w:r>
        <w:rPr>
          <w:i/>
        </w:rPr>
        <w:t>no</w:t>
      </w:r>
      <w:r>
        <w:rPr>
          <w:i/>
          <w:spacing w:val="-3"/>
        </w:rPr>
        <w:t xml:space="preserve"> </w:t>
      </w:r>
      <w:r>
        <w:t>values, and it doesn’t follow that one is not, by the mere fact of being human (and therefore</w:t>
      </w:r>
      <w:r>
        <w:rPr>
          <w:spacing w:val="40"/>
        </w:rPr>
        <w:t xml:space="preserve"> </w:t>
      </w:r>
      <w:r>
        <w:t>sentient and rational and intelligent), answerable to certain ethical norms. Sometimes when people reject conventional values, it is because they feel</w:t>
      </w:r>
      <w:r>
        <w:rPr>
          <w:spacing w:val="40"/>
        </w:rPr>
        <w:t xml:space="preserve"> </w:t>
      </w:r>
      <w:r>
        <w:t xml:space="preserve">that they must do so to uphold </w:t>
      </w:r>
      <w:r>
        <w:rPr>
          <w:i/>
        </w:rPr>
        <w:t xml:space="preserve">other </w:t>
      </w:r>
      <w:r>
        <w:t xml:space="preserve">values. In cop movies, it often happens that the hero decides to reject one value (“be a team player—do what your lieutenant tells you to do . . . not what </w:t>
      </w:r>
      <w:r>
        <w:rPr>
          <w:i/>
        </w:rPr>
        <w:t xml:space="preserve">you </w:t>
      </w:r>
      <w:r>
        <w:t>happen to think would serve the interests</w:t>
      </w:r>
      <w:r>
        <w:rPr>
          <w:spacing w:val="21"/>
        </w:rPr>
        <w:t xml:space="preserve"> </w:t>
      </w:r>
      <w:r>
        <w:t>of</w:t>
      </w:r>
      <w:r>
        <w:rPr>
          <w:spacing w:val="21"/>
        </w:rPr>
        <w:t xml:space="preserve"> </w:t>
      </w:r>
      <w:r>
        <w:t>justice”)</w:t>
      </w:r>
      <w:r>
        <w:rPr>
          <w:spacing w:val="21"/>
        </w:rPr>
        <w:t xml:space="preserve"> </w:t>
      </w:r>
      <w:r>
        <w:t>in</w:t>
      </w:r>
      <w:r>
        <w:rPr>
          <w:spacing w:val="21"/>
        </w:rPr>
        <w:t xml:space="preserve"> </w:t>
      </w:r>
      <w:r>
        <w:t>order</w:t>
      </w:r>
      <w:r>
        <w:rPr>
          <w:spacing w:val="21"/>
        </w:rPr>
        <w:t xml:space="preserve"> </w:t>
      </w:r>
      <w:r>
        <w:t>to</w:t>
      </w:r>
      <w:r>
        <w:rPr>
          <w:spacing w:val="21"/>
        </w:rPr>
        <w:t xml:space="preserve"> </w:t>
      </w:r>
      <w:r>
        <w:t>uphold</w:t>
      </w:r>
      <w:r>
        <w:rPr>
          <w:spacing w:val="21"/>
        </w:rPr>
        <w:t xml:space="preserve"> </w:t>
      </w:r>
      <w:r>
        <w:t>another,</w:t>
      </w:r>
      <w:r>
        <w:rPr>
          <w:spacing w:val="21"/>
        </w:rPr>
        <w:t xml:space="preserve"> </w:t>
      </w:r>
      <w:r>
        <w:t>presumably</w:t>
      </w:r>
      <w:r>
        <w:rPr>
          <w:spacing w:val="21"/>
        </w:rPr>
        <w:t xml:space="preserve"> </w:t>
      </w:r>
      <w:r>
        <w:t>more</w:t>
      </w:r>
      <w:r>
        <w:rPr>
          <w:spacing w:val="21"/>
        </w:rPr>
        <w:t xml:space="preserve"> </w:t>
      </w:r>
      <w:r>
        <w:t>important</w:t>
      </w:r>
    </w:p>
    <w:p w14:paraId="7E00287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76" w14:textId="77777777" w:rsidR="009A58DB" w:rsidRDefault="00000000">
      <w:pPr>
        <w:pStyle w:val="BodyText"/>
        <w:spacing w:before="60" w:line="249" w:lineRule="auto"/>
        <w:ind w:right="361"/>
      </w:pPr>
      <w:r>
        <w:lastRenderedPageBreak/>
        <w:t xml:space="preserve">value (“find the actual criminal: serve the interests of justice—forget about the politics internal to the police department”). It would be hard to think of a single case where a fruitful rebellion against conventional values did not involve an acceptance of what (at least in the mind of the rebel in question) was a deeper and more legitimate set of values. So while there are obviously cases where one oughtn’t accept the values that others want one to accept, it doesn’t follow that there are </w:t>
      </w:r>
      <w:r>
        <w:rPr>
          <w:i/>
        </w:rPr>
        <w:t xml:space="preserve">no </w:t>
      </w:r>
      <w:r>
        <w:t>values that one ought to accept.</w:t>
      </w:r>
    </w:p>
    <w:p w14:paraId="7E002877" w14:textId="77777777" w:rsidR="009A58DB" w:rsidRDefault="00000000">
      <w:pPr>
        <w:pStyle w:val="BodyText"/>
        <w:spacing w:before="13" w:line="249" w:lineRule="auto"/>
        <w:ind w:right="358" w:firstLine="360"/>
      </w:pPr>
      <w:r>
        <w:t>We said earlier that attitudes are not themselves true or false. (Or so, for argument’s sake, we’ll momentarily assume, in keeping with the</w:t>
      </w:r>
      <w:r>
        <w:rPr>
          <w:spacing w:val="40"/>
        </w:rPr>
        <w:t xml:space="preserve"> </w:t>
      </w:r>
      <w:r>
        <w:t>conventional wisdom. See Chapter Section 3.0 for an alternative viewpoint, which is outlined in Section 4.0 of the present chapter.) But, despite this fact, attitudes</w:t>
      </w:r>
      <w:r>
        <w:rPr>
          <w:spacing w:val="-5"/>
        </w:rPr>
        <w:t xml:space="preserve"> </w:t>
      </w:r>
      <w:r>
        <w:t>often</w:t>
      </w:r>
      <w:r>
        <w:rPr>
          <w:spacing w:val="-4"/>
        </w:rPr>
        <w:t xml:space="preserve"> </w:t>
      </w:r>
      <w:r>
        <w:t>involve</w:t>
      </w:r>
      <w:r>
        <w:rPr>
          <w:spacing w:val="-5"/>
        </w:rPr>
        <w:t xml:space="preserve"> </w:t>
      </w:r>
      <w:r>
        <w:rPr>
          <w:i/>
        </w:rPr>
        <w:t>presuppositions</w:t>
      </w:r>
      <w:r>
        <w:rPr>
          <w:i/>
          <w:spacing w:val="-5"/>
        </w:rPr>
        <w:t xml:space="preserve"> </w:t>
      </w:r>
      <w:r>
        <w:t>that</w:t>
      </w:r>
      <w:r>
        <w:rPr>
          <w:spacing w:val="-3"/>
        </w:rPr>
        <w:t xml:space="preserve"> </w:t>
      </w:r>
      <w:r>
        <w:t>are</w:t>
      </w:r>
      <w:r>
        <w:rPr>
          <w:spacing w:val="-2"/>
        </w:rPr>
        <w:t xml:space="preserve"> </w:t>
      </w:r>
      <w:r>
        <w:t>true</w:t>
      </w:r>
      <w:r>
        <w:rPr>
          <w:spacing w:val="-2"/>
        </w:rPr>
        <w:t xml:space="preserve"> </w:t>
      </w:r>
      <w:r>
        <w:t>or</w:t>
      </w:r>
      <w:r>
        <w:rPr>
          <w:spacing w:val="-2"/>
        </w:rPr>
        <w:t xml:space="preserve"> </w:t>
      </w:r>
      <w:r>
        <w:t>false.</w:t>
      </w:r>
      <w:r>
        <w:rPr>
          <w:spacing w:val="-2"/>
        </w:rPr>
        <w:t xml:space="preserve"> </w:t>
      </w:r>
      <w:r>
        <w:t>Suppose</w:t>
      </w:r>
      <w:r>
        <w:rPr>
          <w:spacing w:val="-2"/>
        </w:rPr>
        <w:t xml:space="preserve"> </w:t>
      </w:r>
      <w:r>
        <w:t>that</w:t>
      </w:r>
      <w:r>
        <w:rPr>
          <w:spacing w:val="-2"/>
        </w:rPr>
        <w:t xml:space="preserve"> </w:t>
      </w:r>
      <w:r>
        <w:t>you hate Tom. Your hatred of Tom is not itself true or false. But your reasons for hating him presumably lie in a belief that you have—you hate him (let us suppose) because you believe that he stole your bicycle. And that belief is true or false—even though the same is not (at least not obviously) true of</w:t>
      </w:r>
      <w:r>
        <w:rPr>
          <w:spacing w:val="40"/>
        </w:rPr>
        <w:t xml:space="preserve"> </w:t>
      </w:r>
      <w:r>
        <w:t xml:space="preserve">your hatred itself. In general, our emotional attitudes—though (arguably) not true or false in and of themselves—are </w:t>
      </w:r>
      <w:r>
        <w:rPr>
          <w:i/>
        </w:rPr>
        <w:t xml:space="preserve">grounded </w:t>
      </w:r>
      <w:r>
        <w:t xml:space="preserve">in beliefs about the world, and those beliefs </w:t>
      </w:r>
      <w:r>
        <w:rPr>
          <w:i/>
        </w:rPr>
        <w:t xml:space="preserve">are </w:t>
      </w:r>
      <w:r>
        <w:t>true or false.</w:t>
      </w:r>
    </w:p>
    <w:p w14:paraId="7E002878" w14:textId="77777777" w:rsidR="009A58DB" w:rsidRDefault="00000000">
      <w:pPr>
        <w:pStyle w:val="BodyText"/>
        <w:spacing w:before="15" w:line="249" w:lineRule="auto"/>
        <w:ind w:right="358" w:firstLine="360"/>
      </w:pPr>
      <w:r>
        <w:rPr>
          <w:spacing w:val="-6"/>
        </w:rPr>
        <w:t>To</w:t>
      </w:r>
      <w:r>
        <w:rPr>
          <w:spacing w:val="-13"/>
        </w:rPr>
        <w:t xml:space="preserve"> </w:t>
      </w:r>
      <w:r>
        <w:rPr>
          <w:spacing w:val="-6"/>
        </w:rPr>
        <w:t>take</w:t>
      </w:r>
      <w:r>
        <w:rPr>
          <w:spacing w:val="-13"/>
        </w:rPr>
        <w:t xml:space="preserve"> </w:t>
      </w:r>
      <w:r>
        <w:rPr>
          <w:spacing w:val="-6"/>
        </w:rPr>
        <w:t>another</w:t>
      </w:r>
      <w:r>
        <w:rPr>
          <w:spacing w:val="-13"/>
        </w:rPr>
        <w:t xml:space="preserve"> </w:t>
      </w:r>
      <w:r>
        <w:rPr>
          <w:spacing w:val="-6"/>
        </w:rPr>
        <w:t>example,</w:t>
      </w:r>
      <w:r>
        <w:rPr>
          <w:spacing w:val="-12"/>
        </w:rPr>
        <w:t xml:space="preserve"> </w:t>
      </w:r>
      <w:r>
        <w:rPr>
          <w:spacing w:val="-6"/>
        </w:rPr>
        <w:t>you</w:t>
      </w:r>
      <w:r>
        <w:rPr>
          <w:spacing w:val="-13"/>
        </w:rPr>
        <w:t xml:space="preserve"> </w:t>
      </w:r>
      <w:r>
        <w:rPr>
          <w:spacing w:val="-6"/>
        </w:rPr>
        <w:t>really</w:t>
      </w:r>
      <w:r>
        <w:rPr>
          <w:spacing w:val="-13"/>
        </w:rPr>
        <w:t xml:space="preserve"> </w:t>
      </w:r>
      <w:r>
        <w:rPr>
          <w:spacing w:val="-6"/>
        </w:rPr>
        <w:t>love</w:t>
      </w:r>
      <w:r>
        <w:rPr>
          <w:spacing w:val="-13"/>
        </w:rPr>
        <w:t xml:space="preserve"> </w:t>
      </w:r>
      <w:r>
        <w:rPr>
          <w:spacing w:val="-6"/>
        </w:rPr>
        <w:t>Tom.</w:t>
      </w:r>
      <w:r>
        <w:rPr>
          <w:spacing w:val="-12"/>
        </w:rPr>
        <w:t xml:space="preserve"> </w:t>
      </w:r>
      <w:r>
        <w:rPr>
          <w:spacing w:val="-6"/>
        </w:rPr>
        <w:t>Your</w:t>
      </w:r>
      <w:r>
        <w:rPr>
          <w:spacing w:val="-13"/>
        </w:rPr>
        <w:t xml:space="preserve"> </w:t>
      </w:r>
      <w:r>
        <w:rPr>
          <w:spacing w:val="-6"/>
        </w:rPr>
        <w:t>love</w:t>
      </w:r>
      <w:r>
        <w:rPr>
          <w:spacing w:val="-11"/>
        </w:rPr>
        <w:t xml:space="preserve"> </w:t>
      </w:r>
      <w:r>
        <w:rPr>
          <w:spacing w:val="-6"/>
        </w:rPr>
        <w:t>of</w:t>
      </w:r>
      <w:r>
        <w:rPr>
          <w:spacing w:val="-13"/>
        </w:rPr>
        <w:t xml:space="preserve"> </w:t>
      </w:r>
      <w:r>
        <w:rPr>
          <w:spacing w:val="-6"/>
        </w:rPr>
        <w:t>Tom</w:t>
      </w:r>
      <w:r>
        <w:rPr>
          <w:spacing w:val="-11"/>
        </w:rPr>
        <w:t xml:space="preserve"> </w:t>
      </w:r>
      <w:r>
        <w:rPr>
          <w:spacing w:val="-6"/>
        </w:rPr>
        <w:t>is</w:t>
      </w:r>
      <w:r>
        <w:rPr>
          <w:spacing w:val="-11"/>
        </w:rPr>
        <w:t xml:space="preserve"> </w:t>
      </w:r>
      <w:r>
        <w:rPr>
          <w:spacing w:val="-6"/>
        </w:rPr>
        <w:t>not,</w:t>
      </w:r>
      <w:r>
        <w:rPr>
          <w:spacing w:val="-11"/>
        </w:rPr>
        <w:t xml:space="preserve"> </w:t>
      </w:r>
      <w:r>
        <w:rPr>
          <w:spacing w:val="-6"/>
        </w:rPr>
        <w:t>in</w:t>
      </w:r>
      <w:r>
        <w:rPr>
          <w:spacing w:val="-11"/>
        </w:rPr>
        <w:t xml:space="preserve"> </w:t>
      </w:r>
      <w:r>
        <w:rPr>
          <w:spacing w:val="-6"/>
        </w:rPr>
        <w:t xml:space="preserve">and </w:t>
      </w:r>
      <w:r>
        <w:rPr>
          <w:spacing w:val="-4"/>
        </w:rPr>
        <w:t>of</w:t>
      </w:r>
      <w:r>
        <w:rPr>
          <w:spacing w:val="-15"/>
        </w:rPr>
        <w:t xml:space="preserve"> </w:t>
      </w:r>
      <w:r>
        <w:rPr>
          <w:spacing w:val="-4"/>
        </w:rPr>
        <w:t>itself,</w:t>
      </w:r>
      <w:r>
        <w:rPr>
          <w:spacing w:val="-14"/>
        </w:rPr>
        <w:t xml:space="preserve"> </w:t>
      </w:r>
      <w:r>
        <w:rPr>
          <w:spacing w:val="-4"/>
        </w:rPr>
        <w:t>true</w:t>
      </w:r>
      <w:r>
        <w:rPr>
          <w:spacing w:val="-13"/>
        </w:rPr>
        <w:t xml:space="preserve"> </w:t>
      </w:r>
      <w:r>
        <w:rPr>
          <w:spacing w:val="-4"/>
        </w:rPr>
        <w:t>or</w:t>
      </w:r>
      <w:r>
        <w:rPr>
          <w:spacing w:val="-13"/>
        </w:rPr>
        <w:t xml:space="preserve"> </w:t>
      </w:r>
      <w:r>
        <w:rPr>
          <w:spacing w:val="-4"/>
        </w:rPr>
        <w:t>false.</w:t>
      </w:r>
      <w:r>
        <w:rPr>
          <w:spacing w:val="-13"/>
        </w:rPr>
        <w:t xml:space="preserve"> </w:t>
      </w:r>
      <w:r>
        <w:rPr>
          <w:spacing w:val="-4"/>
        </w:rPr>
        <w:t>But</w:t>
      </w:r>
      <w:r>
        <w:rPr>
          <w:spacing w:val="-13"/>
        </w:rPr>
        <w:t xml:space="preserve"> </w:t>
      </w:r>
      <w:r>
        <w:rPr>
          <w:spacing w:val="-4"/>
        </w:rPr>
        <w:t>your</w:t>
      </w:r>
      <w:r>
        <w:rPr>
          <w:spacing w:val="-13"/>
        </w:rPr>
        <w:t xml:space="preserve"> </w:t>
      </w:r>
      <w:r>
        <w:rPr>
          <w:spacing w:val="-4"/>
        </w:rPr>
        <w:t>affection</w:t>
      </w:r>
      <w:r>
        <w:rPr>
          <w:spacing w:val="-13"/>
        </w:rPr>
        <w:t xml:space="preserve"> </w:t>
      </w:r>
      <w:r>
        <w:rPr>
          <w:spacing w:val="-4"/>
        </w:rPr>
        <w:t>for</w:t>
      </w:r>
      <w:r>
        <w:rPr>
          <w:spacing w:val="-15"/>
        </w:rPr>
        <w:t xml:space="preserve"> </w:t>
      </w:r>
      <w:r>
        <w:rPr>
          <w:spacing w:val="-4"/>
        </w:rPr>
        <w:t>Tom</w:t>
      </w:r>
      <w:r>
        <w:rPr>
          <w:spacing w:val="-13"/>
        </w:rPr>
        <w:t xml:space="preserve"> </w:t>
      </w:r>
      <w:r>
        <w:rPr>
          <w:spacing w:val="-4"/>
        </w:rPr>
        <w:t>(probably)</w:t>
      </w:r>
      <w:r>
        <w:rPr>
          <w:spacing w:val="-13"/>
        </w:rPr>
        <w:t xml:space="preserve"> </w:t>
      </w:r>
      <w:r>
        <w:rPr>
          <w:spacing w:val="-4"/>
        </w:rPr>
        <w:t>has</w:t>
      </w:r>
      <w:r>
        <w:rPr>
          <w:spacing w:val="-13"/>
        </w:rPr>
        <w:t xml:space="preserve"> </w:t>
      </w:r>
      <w:r>
        <w:rPr>
          <w:spacing w:val="-4"/>
        </w:rPr>
        <w:t>a</w:t>
      </w:r>
      <w:r>
        <w:rPr>
          <w:spacing w:val="-13"/>
        </w:rPr>
        <w:t xml:space="preserve"> </w:t>
      </w:r>
      <w:r>
        <w:rPr>
          <w:spacing w:val="-4"/>
        </w:rPr>
        <w:t>basis</w:t>
      </w:r>
      <w:r>
        <w:rPr>
          <w:spacing w:val="-13"/>
        </w:rPr>
        <w:t xml:space="preserve"> </w:t>
      </w:r>
      <w:r>
        <w:rPr>
          <w:spacing w:val="-4"/>
        </w:rPr>
        <w:t>in</w:t>
      </w:r>
      <w:r>
        <w:rPr>
          <w:spacing w:val="-13"/>
        </w:rPr>
        <w:t xml:space="preserve"> </w:t>
      </w:r>
      <w:r>
        <w:rPr>
          <w:spacing w:val="-4"/>
        </w:rPr>
        <w:t xml:space="preserve">beliefs </w:t>
      </w:r>
      <w:r>
        <w:rPr>
          <w:spacing w:val="-6"/>
        </w:rPr>
        <w:t>that</w:t>
      </w:r>
      <w:r>
        <w:rPr>
          <w:spacing w:val="-13"/>
        </w:rPr>
        <w:t xml:space="preserve"> </w:t>
      </w:r>
      <w:r>
        <w:rPr>
          <w:i/>
          <w:spacing w:val="-6"/>
        </w:rPr>
        <w:t>are</w:t>
      </w:r>
      <w:r>
        <w:rPr>
          <w:i/>
          <w:spacing w:val="-13"/>
        </w:rPr>
        <w:t xml:space="preserve"> </w:t>
      </w:r>
      <w:r>
        <w:rPr>
          <w:spacing w:val="-6"/>
        </w:rPr>
        <w:t>true</w:t>
      </w:r>
      <w:r>
        <w:rPr>
          <w:spacing w:val="-13"/>
        </w:rPr>
        <w:t xml:space="preserve"> </w:t>
      </w:r>
      <w:r>
        <w:rPr>
          <w:spacing w:val="-6"/>
        </w:rPr>
        <w:t>or</w:t>
      </w:r>
      <w:r>
        <w:rPr>
          <w:spacing w:val="-12"/>
        </w:rPr>
        <w:t xml:space="preserve"> </w:t>
      </w:r>
      <w:r>
        <w:rPr>
          <w:spacing w:val="-6"/>
        </w:rPr>
        <w:t>false.</w:t>
      </w:r>
      <w:r>
        <w:rPr>
          <w:spacing w:val="-13"/>
        </w:rPr>
        <w:t xml:space="preserve"> </w:t>
      </w:r>
      <w:r>
        <w:rPr>
          <w:spacing w:val="-6"/>
        </w:rPr>
        <w:t>You</w:t>
      </w:r>
      <w:r>
        <w:rPr>
          <w:spacing w:val="-13"/>
        </w:rPr>
        <w:t xml:space="preserve"> </w:t>
      </w:r>
      <w:r>
        <w:rPr>
          <w:spacing w:val="-6"/>
        </w:rPr>
        <w:t>think</w:t>
      </w:r>
      <w:r>
        <w:rPr>
          <w:spacing w:val="-13"/>
        </w:rPr>
        <w:t xml:space="preserve"> </w:t>
      </w:r>
      <w:r>
        <w:rPr>
          <w:spacing w:val="-6"/>
        </w:rPr>
        <w:t>that</w:t>
      </w:r>
      <w:r>
        <w:rPr>
          <w:spacing w:val="-12"/>
        </w:rPr>
        <w:t xml:space="preserve"> </w:t>
      </w:r>
      <w:r>
        <w:rPr>
          <w:spacing w:val="-6"/>
        </w:rPr>
        <w:t>he</w:t>
      </w:r>
      <w:r>
        <w:rPr>
          <w:spacing w:val="-13"/>
        </w:rPr>
        <w:t xml:space="preserve"> </w:t>
      </w:r>
      <w:r>
        <w:rPr>
          <w:spacing w:val="-6"/>
        </w:rPr>
        <w:t>is</w:t>
      </w:r>
      <w:r>
        <w:rPr>
          <w:spacing w:val="-13"/>
        </w:rPr>
        <w:t xml:space="preserve"> </w:t>
      </w:r>
      <w:r>
        <w:rPr>
          <w:spacing w:val="-6"/>
        </w:rPr>
        <w:t>a</w:t>
      </w:r>
      <w:r>
        <w:rPr>
          <w:spacing w:val="-11"/>
        </w:rPr>
        <w:t xml:space="preserve"> </w:t>
      </w:r>
      <w:r>
        <w:rPr>
          <w:spacing w:val="-6"/>
        </w:rPr>
        <w:t>great</w:t>
      </w:r>
      <w:r>
        <w:rPr>
          <w:spacing w:val="-9"/>
        </w:rPr>
        <w:t xml:space="preserve"> </w:t>
      </w:r>
      <w:r>
        <w:rPr>
          <w:spacing w:val="-6"/>
        </w:rPr>
        <w:t>writer</w:t>
      </w:r>
      <w:r>
        <w:rPr>
          <w:spacing w:val="-13"/>
        </w:rPr>
        <w:t xml:space="preserve"> </w:t>
      </w:r>
      <w:r>
        <w:rPr>
          <w:spacing w:val="-6"/>
        </w:rPr>
        <w:t>and also that he is a decent human</w:t>
      </w:r>
      <w:r>
        <w:rPr>
          <w:spacing w:val="-7"/>
        </w:rPr>
        <w:t xml:space="preserve"> </w:t>
      </w:r>
      <w:r>
        <w:rPr>
          <w:spacing w:val="-6"/>
        </w:rPr>
        <w:t>being.</w:t>
      </w:r>
      <w:r>
        <w:rPr>
          <w:spacing w:val="-7"/>
        </w:rPr>
        <w:t xml:space="preserve"> </w:t>
      </w:r>
      <w:r>
        <w:rPr>
          <w:spacing w:val="-6"/>
        </w:rPr>
        <w:t>Should</w:t>
      </w:r>
      <w:r>
        <w:rPr>
          <w:spacing w:val="-7"/>
        </w:rPr>
        <w:t xml:space="preserve"> </w:t>
      </w:r>
      <w:r>
        <w:rPr>
          <w:spacing w:val="-6"/>
        </w:rPr>
        <w:t>you</w:t>
      </w:r>
      <w:r>
        <w:rPr>
          <w:spacing w:val="-7"/>
        </w:rPr>
        <w:t xml:space="preserve"> </w:t>
      </w:r>
      <w:r>
        <w:rPr>
          <w:spacing w:val="-6"/>
        </w:rPr>
        <w:t>discover</w:t>
      </w:r>
      <w:r>
        <w:rPr>
          <w:spacing w:val="-7"/>
        </w:rPr>
        <w:t xml:space="preserve"> </w:t>
      </w:r>
      <w:r>
        <w:rPr>
          <w:spacing w:val="-6"/>
        </w:rPr>
        <w:t>that</w:t>
      </w:r>
      <w:r>
        <w:rPr>
          <w:spacing w:val="-7"/>
        </w:rPr>
        <w:t xml:space="preserve"> </w:t>
      </w:r>
      <w:r>
        <w:rPr>
          <w:spacing w:val="-6"/>
        </w:rPr>
        <w:t>he</w:t>
      </w:r>
      <w:r>
        <w:rPr>
          <w:spacing w:val="-7"/>
        </w:rPr>
        <w:t xml:space="preserve"> </w:t>
      </w:r>
      <w:r>
        <w:rPr>
          <w:spacing w:val="-6"/>
        </w:rPr>
        <w:t>actually</w:t>
      </w:r>
      <w:r>
        <w:rPr>
          <w:spacing w:val="-7"/>
        </w:rPr>
        <w:t xml:space="preserve"> </w:t>
      </w:r>
      <w:r>
        <w:rPr>
          <w:spacing w:val="-6"/>
        </w:rPr>
        <w:t>plagiarized</w:t>
      </w:r>
      <w:r>
        <w:rPr>
          <w:spacing w:val="-7"/>
        </w:rPr>
        <w:t xml:space="preserve"> </w:t>
      </w:r>
      <w:r>
        <w:rPr>
          <w:spacing w:val="-6"/>
        </w:rPr>
        <w:t>his</w:t>
      </w:r>
      <w:r>
        <w:rPr>
          <w:spacing w:val="-8"/>
        </w:rPr>
        <w:t xml:space="preserve"> </w:t>
      </w:r>
      <w:r>
        <w:rPr>
          <w:spacing w:val="-6"/>
        </w:rPr>
        <w:t xml:space="preserve">award-winning </w:t>
      </w:r>
      <w:r>
        <w:t xml:space="preserve">book, and that his kindness is just an act, you will stop liking him. So, even though your affection for Tom is not true or false in and of itself, it is rooted in beliefs that are true or false. In general, attitudes—though not true or false themselves—are rooted in beliefs, and those beliefs </w:t>
      </w:r>
      <w:r>
        <w:rPr>
          <w:i/>
        </w:rPr>
        <w:t xml:space="preserve">are </w:t>
      </w:r>
      <w:r>
        <w:t>true or false.</w:t>
      </w:r>
    </w:p>
    <w:p w14:paraId="7E002879" w14:textId="77777777" w:rsidR="009A58DB" w:rsidRDefault="00000000">
      <w:pPr>
        <w:pStyle w:val="BodyText"/>
        <w:spacing w:before="10" w:line="249" w:lineRule="auto"/>
        <w:ind w:right="371" w:firstLine="360"/>
      </w:pPr>
      <w:r>
        <w:t>Let us reconsider existentialism in light of these points. Considered as an attitude, existentialism is not true or false. But it seems to presuppose a thesis that is true or false, namely:</w:t>
      </w:r>
    </w:p>
    <w:p w14:paraId="7E00287A" w14:textId="77777777" w:rsidR="009A58DB" w:rsidRDefault="00000000">
      <w:pPr>
        <w:pStyle w:val="BodyText"/>
        <w:spacing w:before="109"/>
        <w:ind w:left="720"/>
      </w:pPr>
      <w:r>
        <w:t>(EX)</w:t>
      </w:r>
      <w:r>
        <w:rPr>
          <w:spacing w:val="-5"/>
        </w:rPr>
        <w:t xml:space="preserve"> </w:t>
      </w:r>
      <w:r>
        <w:t>there</w:t>
      </w:r>
      <w:r>
        <w:rPr>
          <w:spacing w:val="-3"/>
        </w:rPr>
        <w:t xml:space="preserve"> </w:t>
      </w:r>
      <w:r>
        <w:t>is</w:t>
      </w:r>
      <w:r>
        <w:rPr>
          <w:spacing w:val="-2"/>
        </w:rPr>
        <w:t xml:space="preserve"> </w:t>
      </w:r>
      <w:r>
        <w:t>no</w:t>
      </w:r>
      <w:r>
        <w:rPr>
          <w:spacing w:val="-2"/>
        </w:rPr>
        <w:t xml:space="preserve"> </w:t>
      </w:r>
      <w:r>
        <w:t>set</w:t>
      </w:r>
      <w:r>
        <w:rPr>
          <w:spacing w:val="-3"/>
        </w:rPr>
        <w:t xml:space="preserve"> </w:t>
      </w:r>
      <w:r>
        <w:t>of</w:t>
      </w:r>
      <w:r>
        <w:rPr>
          <w:spacing w:val="-2"/>
        </w:rPr>
        <w:t xml:space="preserve"> </w:t>
      </w:r>
      <w:r>
        <w:t>values</w:t>
      </w:r>
      <w:r>
        <w:rPr>
          <w:spacing w:val="-3"/>
        </w:rPr>
        <w:t xml:space="preserve"> </w:t>
      </w:r>
      <w:r>
        <w:t>that</w:t>
      </w:r>
      <w:r>
        <w:rPr>
          <w:spacing w:val="-2"/>
        </w:rPr>
        <w:t xml:space="preserve"> </w:t>
      </w:r>
      <w:r>
        <w:t>one</w:t>
      </w:r>
      <w:r>
        <w:rPr>
          <w:spacing w:val="-3"/>
        </w:rPr>
        <w:t xml:space="preserve"> </w:t>
      </w:r>
      <w:r>
        <w:rPr>
          <w:i/>
        </w:rPr>
        <w:t>must</w:t>
      </w:r>
      <w:r>
        <w:rPr>
          <w:i/>
          <w:spacing w:val="-2"/>
        </w:rPr>
        <w:t xml:space="preserve"> </w:t>
      </w:r>
      <w:r>
        <w:rPr>
          <w:spacing w:val="-2"/>
        </w:rPr>
        <w:t>accept.</w:t>
      </w:r>
    </w:p>
    <w:p w14:paraId="7E00287B" w14:textId="77777777" w:rsidR="009A58DB" w:rsidRDefault="00000000">
      <w:pPr>
        <w:pStyle w:val="BodyText"/>
        <w:spacing w:before="105"/>
      </w:pPr>
      <w:r>
        <w:t>But</w:t>
      </w:r>
      <w:r>
        <w:rPr>
          <w:spacing w:val="-5"/>
        </w:rPr>
        <w:t xml:space="preserve"> </w:t>
      </w:r>
      <w:r>
        <w:t>(EX)</w:t>
      </w:r>
      <w:r>
        <w:rPr>
          <w:spacing w:val="-3"/>
        </w:rPr>
        <w:t xml:space="preserve"> </w:t>
      </w:r>
      <w:r>
        <w:t>is</w:t>
      </w:r>
      <w:r>
        <w:rPr>
          <w:spacing w:val="-3"/>
        </w:rPr>
        <w:t xml:space="preserve"> </w:t>
      </w:r>
      <w:r>
        <w:t>ambiguous,</w:t>
      </w:r>
      <w:r>
        <w:rPr>
          <w:spacing w:val="-2"/>
        </w:rPr>
        <w:t xml:space="preserve"> </w:t>
      </w:r>
      <w:r>
        <w:t>as</w:t>
      </w:r>
      <w:r>
        <w:rPr>
          <w:spacing w:val="-3"/>
        </w:rPr>
        <w:t xml:space="preserve"> </w:t>
      </w:r>
      <w:r>
        <w:t>it</w:t>
      </w:r>
      <w:r>
        <w:rPr>
          <w:spacing w:val="-3"/>
        </w:rPr>
        <w:t xml:space="preserve"> </w:t>
      </w:r>
      <w:r>
        <w:t>could</w:t>
      </w:r>
      <w:r>
        <w:rPr>
          <w:spacing w:val="-2"/>
        </w:rPr>
        <w:t xml:space="preserve"> </w:t>
      </w:r>
      <w:r>
        <w:t>mean</w:t>
      </w:r>
      <w:r>
        <w:rPr>
          <w:spacing w:val="-2"/>
        </w:rPr>
        <w:t xml:space="preserve"> either</w:t>
      </w:r>
    </w:p>
    <w:p w14:paraId="7E00287C" w14:textId="77777777" w:rsidR="009A58DB" w:rsidRDefault="00000000">
      <w:pPr>
        <w:pStyle w:val="ListParagraph"/>
        <w:numPr>
          <w:ilvl w:val="0"/>
          <w:numId w:val="2"/>
        </w:numPr>
        <w:tabs>
          <w:tab w:val="left" w:pos="1225"/>
        </w:tabs>
        <w:spacing w:before="120" w:line="249" w:lineRule="auto"/>
        <w:ind w:right="360" w:firstLine="0"/>
        <w:jc w:val="both"/>
        <w:rPr>
          <w:sz w:val="30"/>
        </w:rPr>
      </w:pPr>
      <w:r>
        <w:rPr>
          <w:sz w:val="30"/>
        </w:rPr>
        <w:t xml:space="preserve">there is no set of values that, </w:t>
      </w:r>
      <w:r>
        <w:rPr>
          <w:i/>
          <w:sz w:val="30"/>
        </w:rPr>
        <w:t xml:space="preserve">morally </w:t>
      </w:r>
      <w:r>
        <w:rPr>
          <w:sz w:val="30"/>
        </w:rPr>
        <w:t xml:space="preserve">speaking, one must accept (i.e., there is no set of values that one must comply with </w:t>
      </w:r>
      <w:r>
        <w:rPr>
          <w:i/>
          <w:sz w:val="30"/>
        </w:rPr>
        <w:t xml:space="preserve">in order to be a good </w:t>
      </w:r>
      <w:r>
        <w:rPr>
          <w:i/>
          <w:spacing w:val="-2"/>
          <w:sz w:val="30"/>
        </w:rPr>
        <w:t>person</w:t>
      </w:r>
      <w:r>
        <w:rPr>
          <w:spacing w:val="-2"/>
          <w:sz w:val="30"/>
        </w:rPr>
        <w:t>)</w:t>
      </w:r>
    </w:p>
    <w:p w14:paraId="7E00287D" w14:textId="77777777" w:rsidR="009A58DB" w:rsidRDefault="009A58DB">
      <w:pPr>
        <w:pStyle w:val="ListParagraph"/>
        <w:spacing w:line="249" w:lineRule="auto"/>
        <w:jc w:val="both"/>
        <w:rPr>
          <w:sz w:val="30"/>
        </w:rPr>
        <w:sectPr w:rsidR="009A58DB">
          <w:pgSz w:w="12240" w:h="15840"/>
          <w:pgMar w:top="1380" w:right="1080" w:bottom="280" w:left="1080" w:header="720" w:footer="720" w:gutter="0"/>
          <w:cols w:space="720"/>
        </w:sectPr>
      </w:pPr>
    </w:p>
    <w:p w14:paraId="7E00287E" w14:textId="77777777" w:rsidR="009A58DB" w:rsidRDefault="00000000">
      <w:pPr>
        <w:pStyle w:val="BodyText"/>
        <w:spacing w:before="65"/>
        <w:jc w:val="left"/>
      </w:pPr>
      <w:r>
        <w:rPr>
          <w:spacing w:val="-5"/>
        </w:rPr>
        <w:lastRenderedPageBreak/>
        <w:t>or</w:t>
      </w:r>
    </w:p>
    <w:p w14:paraId="7E00287F" w14:textId="77777777" w:rsidR="009A58DB" w:rsidRDefault="00000000">
      <w:pPr>
        <w:pStyle w:val="ListParagraph"/>
        <w:numPr>
          <w:ilvl w:val="0"/>
          <w:numId w:val="2"/>
        </w:numPr>
        <w:tabs>
          <w:tab w:val="left" w:pos="1261"/>
        </w:tabs>
        <w:spacing w:before="120" w:line="249" w:lineRule="auto"/>
        <w:ind w:right="361" w:firstLine="0"/>
        <w:jc w:val="both"/>
        <w:rPr>
          <w:sz w:val="30"/>
        </w:rPr>
      </w:pPr>
      <w:r>
        <w:rPr>
          <w:sz w:val="30"/>
        </w:rPr>
        <w:t xml:space="preserve">there is no set of values that, </w:t>
      </w:r>
      <w:r>
        <w:rPr>
          <w:i/>
          <w:sz w:val="30"/>
        </w:rPr>
        <w:t xml:space="preserve">psychologically </w:t>
      </w:r>
      <w:r>
        <w:rPr>
          <w:sz w:val="30"/>
        </w:rPr>
        <w:t>speaking, one must accept. In other words, acceptance of any one value-system is no more, and no less, likely to bring one happiness (or, more generally, fulfillment) than acceptance of any other value-system.</w:t>
      </w:r>
    </w:p>
    <w:p w14:paraId="7E002880" w14:textId="77777777" w:rsidR="009A58DB" w:rsidRDefault="00000000">
      <w:pPr>
        <w:pStyle w:val="BodyText"/>
        <w:spacing w:before="95"/>
        <w:ind w:left="720"/>
      </w:pPr>
      <w:r>
        <w:t>Let</w:t>
      </w:r>
      <w:r>
        <w:rPr>
          <w:spacing w:val="-7"/>
        </w:rPr>
        <w:t xml:space="preserve"> </w:t>
      </w:r>
      <w:r>
        <w:t>us</w:t>
      </w:r>
      <w:r>
        <w:rPr>
          <w:spacing w:val="-4"/>
        </w:rPr>
        <w:t xml:space="preserve"> </w:t>
      </w:r>
      <w:r>
        <w:t>evaluate</w:t>
      </w:r>
      <w:r>
        <w:rPr>
          <w:spacing w:val="-5"/>
        </w:rPr>
        <w:t xml:space="preserve"> </w:t>
      </w:r>
      <w:r>
        <w:t>these</w:t>
      </w:r>
      <w:r>
        <w:rPr>
          <w:spacing w:val="-4"/>
        </w:rPr>
        <w:t xml:space="preserve"> </w:t>
      </w:r>
      <w:r>
        <w:t>theses,</w:t>
      </w:r>
      <w:r>
        <w:rPr>
          <w:spacing w:val="-4"/>
        </w:rPr>
        <w:t xml:space="preserve"> </w:t>
      </w:r>
      <w:r>
        <w:t>starting</w:t>
      </w:r>
      <w:r>
        <w:rPr>
          <w:spacing w:val="-3"/>
        </w:rPr>
        <w:t xml:space="preserve"> </w:t>
      </w:r>
      <w:r>
        <w:t>with</w:t>
      </w:r>
      <w:r>
        <w:rPr>
          <w:spacing w:val="-3"/>
        </w:rPr>
        <w:t xml:space="preserve"> </w:t>
      </w:r>
      <w:r>
        <w:rPr>
          <w:spacing w:val="-4"/>
        </w:rPr>
        <w:t>(A).</w:t>
      </w:r>
    </w:p>
    <w:p w14:paraId="7E002881" w14:textId="77777777" w:rsidR="009A58DB" w:rsidRDefault="00000000">
      <w:pPr>
        <w:pStyle w:val="Heading1"/>
        <w:numPr>
          <w:ilvl w:val="1"/>
          <w:numId w:val="41"/>
        </w:numPr>
        <w:tabs>
          <w:tab w:val="left" w:pos="1000"/>
        </w:tabs>
        <w:spacing w:before="218" w:line="244" w:lineRule="auto"/>
        <w:ind w:right="365" w:firstLine="0"/>
      </w:pPr>
      <w:r>
        <w:t xml:space="preserve">Does it make sense to speak of moral values that one is </w:t>
      </w:r>
      <w:r>
        <w:rPr>
          <w:i/>
        </w:rPr>
        <w:t xml:space="preserve">morally free </w:t>
      </w:r>
      <w:r>
        <w:t>to reject?</w:t>
      </w:r>
    </w:p>
    <w:p w14:paraId="7E002882" w14:textId="77777777" w:rsidR="009A58DB" w:rsidRDefault="00000000">
      <w:pPr>
        <w:pStyle w:val="BodyText"/>
        <w:spacing w:before="131" w:line="249" w:lineRule="auto"/>
        <w:ind w:right="360"/>
      </w:pPr>
      <w:r>
        <w:t>Obviously people do accept certain values, and reject others. But if there are moral</w:t>
      </w:r>
      <w:r>
        <w:rPr>
          <w:spacing w:val="-3"/>
        </w:rPr>
        <w:t xml:space="preserve"> </w:t>
      </w:r>
      <w:r>
        <w:t>values,</w:t>
      </w:r>
      <w:r>
        <w:rPr>
          <w:spacing w:val="-2"/>
        </w:rPr>
        <w:t xml:space="preserve"> </w:t>
      </w:r>
      <w:r>
        <w:t>it’s</w:t>
      </w:r>
      <w:r>
        <w:rPr>
          <w:spacing w:val="-2"/>
        </w:rPr>
        <w:t xml:space="preserve"> </w:t>
      </w:r>
      <w:r>
        <w:t>unclear</w:t>
      </w:r>
      <w:r>
        <w:rPr>
          <w:spacing w:val="-2"/>
        </w:rPr>
        <w:t xml:space="preserve"> </w:t>
      </w:r>
      <w:r>
        <w:t>how</w:t>
      </w:r>
      <w:r>
        <w:rPr>
          <w:spacing w:val="-2"/>
        </w:rPr>
        <w:t xml:space="preserve"> </w:t>
      </w:r>
      <w:r>
        <w:t>they</w:t>
      </w:r>
      <w:r>
        <w:rPr>
          <w:spacing w:val="-2"/>
        </w:rPr>
        <w:t xml:space="preserve"> </w:t>
      </w:r>
      <w:r>
        <w:t>could</w:t>
      </w:r>
      <w:r>
        <w:rPr>
          <w:spacing w:val="-2"/>
        </w:rPr>
        <w:t xml:space="preserve"> </w:t>
      </w:r>
      <w:r>
        <w:t>be</w:t>
      </w:r>
      <w:r>
        <w:rPr>
          <w:spacing w:val="-2"/>
        </w:rPr>
        <w:t xml:space="preserve"> </w:t>
      </w:r>
      <w:r>
        <w:t>optional.</w:t>
      </w:r>
      <w:r>
        <w:rPr>
          <w:spacing w:val="-2"/>
        </w:rPr>
        <w:t xml:space="preserve"> </w:t>
      </w:r>
      <w:r>
        <w:t>Suppose</w:t>
      </w:r>
      <w:r>
        <w:rPr>
          <w:spacing w:val="-2"/>
        </w:rPr>
        <w:t xml:space="preserve"> </w:t>
      </w:r>
      <w:r>
        <w:t>that</w:t>
      </w:r>
      <w:r>
        <w:rPr>
          <w:spacing w:val="-2"/>
        </w:rPr>
        <w:t xml:space="preserve"> </w:t>
      </w:r>
      <w:r>
        <w:t>it</w:t>
      </w:r>
      <w:r>
        <w:rPr>
          <w:spacing w:val="-2"/>
        </w:rPr>
        <w:t xml:space="preserve"> </w:t>
      </w:r>
      <w:r>
        <w:t>really</w:t>
      </w:r>
      <w:r>
        <w:rPr>
          <w:spacing w:val="-2"/>
        </w:rPr>
        <w:t xml:space="preserve"> </w:t>
      </w:r>
      <w:r>
        <w:t xml:space="preserve">is wrong to commit murder. In that case, (A) seems to be saying that it isn’t morally incumbent on one to accept the moral prohibition against murdering. But that is the same as saying that, morally, one </w:t>
      </w:r>
      <w:r>
        <w:rPr>
          <w:i/>
        </w:rPr>
        <w:t xml:space="preserve">can </w:t>
      </w:r>
      <w:r>
        <w:t>murder. So if (A) is</w:t>
      </w:r>
      <w:r>
        <w:rPr>
          <w:spacing w:val="40"/>
        </w:rPr>
        <w:t xml:space="preserve"> </w:t>
      </w:r>
      <w:r>
        <w:t xml:space="preserve">right, then </w:t>
      </w:r>
      <w:r>
        <w:rPr>
          <w:i/>
        </w:rPr>
        <w:t xml:space="preserve">there is no moral prohibition </w:t>
      </w:r>
      <w:r>
        <w:t>against murdering. Given any moral law, an exactly similar argument shows that, if (A) is correct, then that moral law doesn’t really exist. So (A) really amounts to: there is no such thing as morality. But in that case, supposing that (A) is the correct disambiguation of the conceit underlying existentialism, existentialism is only as plausible as</w:t>
      </w:r>
      <w:r>
        <w:rPr>
          <w:spacing w:val="40"/>
        </w:rPr>
        <w:t xml:space="preserve"> </w:t>
      </w:r>
      <w:r>
        <w:t>the position that there are no moral truths.</w:t>
      </w:r>
    </w:p>
    <w:p w14:paraId="7E002883" w14:textId="77777777" w:rsidR="009A58DB" w:rsidRDefault="00000000">
      <w:pPr>
        <w:pStyle w:val="BodyText"/>
        <w:spacing w:before="14" w:line="249" w:lineRule="auto"/>
        <w:ind w:right="368" w:firstLine="360"/>
      </w:pPr>
      <w:r>
        <w:t>But</w:t>
      </w:r>
      <w:r>
        <w:rPr>
          <w:spacing w:val="-3"/>
        </w:rPr>
        <w:t xml:space="preserve"> </w:t>
      </w:r>
      <w:r>
        <w:rPr>
          <w:i/>
        </w:rPr>
        <w:t>are</w:t>
      </w:r>
      <w:r>
        <w:rPr>
          <w:i/>
          <w:spacing w:val="-3"/>
        </w:rPr>
        <w:t xml:space="preserve"> </w:t>
      </w:r>
      <w:r>
        <w:t>there in fact no moral truths? Isn’t it wrong to kill babies, to steal from people in comas, and so on? A popular answer is:</w:t>
      </w:r>
    </w:p>
    <w:p w14:paraId="7E002884" w14:textId="77777777" w:rsidR="009A58DB" w:rsidRDefault="00000000">
      <w:pPr>
        <w:pStyle w:val="BodyText"/>
        <w:spacing w:before="212" w:line="249" w:lineRule="auto"/>
        <w:ind w:left="720" w:right="720"/>
      </w:pPr>
      <w:r>
        <w:t xml:space="preserve">(MR) Those things are wrong—but only </w:t>
      </w:r>
      <w:r>
        <w:rPr>
          <w:i/>
        </w:rPr>
        <w:t xml:space="preserve">relative </w:t>
      </w:r>
      <w:r>
        <w:t xml:space="preserve">to our culture (or species). Morality is culturally relative or species relative. In any case, it’s relative in some way or other: there are no </w:t>
      </w:r>
      <w:r>
        <w:rPr>
          <w:i/>
        </w:rPr>
        <w:t xml:space="preserve">universally valid </w:t>
      </w:r>
      <w:r>
        <w:t>moral truths.</w:t>
      </w:r>
      <w:r>
        <w:rPr>
          <w:spacing w:val="-3"/>
        </w:rPr>
        <w:t xml:space="preserve"> </w:t>
      </w:r>
      <w:r>
        <w:t>Granted,</w:t>
      </w:r>
      <w:r>
        <w:rPr>
          <w:spacing w:val="-3"/>
        </w:rPr>
        <w:t xml:space="preserve"> </w:t>
      </w:r>
      <w:r>
        <w:t>we</w:t>
      </w:r>
      <w:r>
        <w:rPr>
          <w:spacing w:val="-4"/>
        </w:rPr>
        <w:t xml:space="preserve"> </w:t>
      </w:r>
      <w:r>
        <w:rPr>
          <w:i/>
        </w:rPr>
        <w:t>feel</w:t>
      </w:r>
      <w:r>
        <w:rPr>
          <w:i/>
          <w:spacing w:val="-4"/>
        </w:rPr>
        <w:t xml:space="preserve"> </w:t>
      </w:r>
      <w:r>
        <w:t>that</w:t>
      </w:r>
      <w:r>
        <w:rPr>
          <w:spacing w:val="-1"/>
        </w:rPr>
        <w:t xml:space="preserve"> </w:t>
      </w:r>
      <w:r>
        <w:t>it</w:t>
      </w:r>
      <w:r>
        <w:rPr>
          <w:spacing w:val="-1"/>
        </w:rPr>
        <w:t xml:space="preserve"> </w:t>
      </w:r>
      <w:r>
        <w:t>is just</w:t>
      </w:r>
      <w:r>
        <w:rPr>
          <w:spacing w:val="-1"/>
        </w:rPr>
        <w:t xml:space="preserve"> </w:t>
      </w:r>
      <w:r>
        <w:t>plain</w:t>
      </w:r>
      <w:r>
        <w:rPr>
          <w:spacing w:val="-1"/>
        </w:rPr>
        <w:t xml:space="preserve"> </w:t>
      </w:r>
      <w:r>
        <w:t>wrong to kill</w:t>
      </w:r>
      <w:r>
        <w:rPr>
          <w:spacing w:val="-1"/>
        </w:rPr>
        <w:t xml:space="preserve"> </w:t>
      </w:r>
      <w:r>
        <w:t>babies. But</w:t>
      </w:r>
      <w:r>
        <w:rPr>
          <w:spacing w:val="-1"/>
        </w:rPr>
        <w:t xml:space="preserve"> </w:t>
      </w:r>
      <w:r>
        <w:t xml:space="preserve">that doesn’t mean anything. A lot of people feel a lot of ways about a lot of things. Not all of those feelings are right. Some people like chocolate, others like vanilla. Is it more right to like chocolate than vanilla? No. Some cultures (or species) dislike murder, others like it. Is it more right to dislike murder than to like it? No. Statements like “murder is just plain wrong” are expressions of </w:t>
      </w:r>
      <w:r>
        <w:rPr>
          <w:i/>
        </w:rPr>
        <w:t xml:space="preserve">feelings, </w:t>
      </w:r>
      <w:r>
        <w:t>not of objective fact.</w:t>
      </w:r>
    </w:p>
    <w:p w14:paraId="7E002885" w14:textId="77777777" w:rsidR="009A58DB" w:rsidRDefault="00000000">
      <w:pPr>
        <w:pStyle w:val="BodyText"/>
        <w:spacing w:before="238"/>
        <w:ind w:left="720"/>
        <w:jc w:val="left"/>
      </w:pPr>
      <w:r>
        <w:rPr>
          <w:spacing w:val="-4"/>
        </w:rPr>
        <w:t>But</w:t>
      </w:r>
      <w:r>
        <w:rPr>
          <w:spacing w:val="-17"/>
        </w:rPr>
        <w:t xml:space="preserve"> </w:t>
      </w:r>
      <w:r>
        <w:rPr>
          <w:spacing w:val="-4"/>
        </w:rPr>
        <w:t>presumably</w:t>
      </w:r>
      <w:r>
        <w:rPr>
          <w:spacing w:val="-15"/>
        </w:rPr>
        <w:t xml:space="preserve"> </w:t>
      </w:r>
      <w:r>
        <w:rPr>
          <w:spacing w:val="-4"/>
        </w:rPr>
        <w:t>we</w:t>
      </w:r>
      <w:r>
        <w:rPr>
          <w:spacing w:val="-15"/>
        </w:rPr>
        <w:t xml:space="preserve"> </w:t>
      </w:r>
      <w:r>
        <w:rPr>
          <w:i/>
          <w:spacing w:val="-4"/>
        </w:rPr>
        <w:t>feel</w:t>
      </w:r>
      <w:r>
        <w:rPr>
          <w:i/>
          <w:spacing w:val="-14"/>
        </w:rPr>
        <w:t xml:space="preserve"> </w:t>
      </w:r>
      <w:r>
        <w:rPr>
          <w:spacing w:val="-4"/>
        </w:rPr>
        <w:t>that</w:t>
      </w:r>
      <w:r>
        <w:rPr>
          <w:spacing w:val="-15"/>
        </w:rPr>
        <w:t xml:space="preserve"> </w:t>
      </w:r>
      <w:r>
        <w:rPr>
          <w:spacing w:val="-4"/>
        </w:rPr>
        <w:t>it’s</w:t>
      </w:r>
      <w:r>
        <w:rPr>
          <w:spacing w:val="-15"/>
        </w:rPr>
        <w:t xml:space="preserve"> </w:t>
      </w:r>
      <w:r>
        <w:rPr>
          <w:spacing w:val="-4"/>
        </w:rPr>
        <w:t>wrong</w:t>
      </w:r>
      <w:r>
        <w:rPr>
          <w:spacing w:val="-15"/>
        </w:rPr>
        <w:t xml:space="preserve"> </w:t>
      </w:r>
      <w:r>
        <w:rPr>
          <w:spacing w:val="-4"/>
        </w:rPr>
        <w:t>to</w:t>
      </w:r>
      <w:r>
        <w:rPr>
          <w:spacing w:val="-14"/>
        </w:rPr>
        <w:t xml:space="preserve"> </w:t>
      </w:r>
      <w:r>
        <w:rPr>
          <w:spacing w:val="-4"/>
        </w:rPr>
        <w:t>kill</w:t>
      </w:r>
      <w:r>
        <w:rPr>
          <w:spacing w:val="-14"/>
        </w:rPr>
        <w:t xml:space="preserve"> </w:t>
      </w:r>
      <w:r>
        <w:rPr>
          <w:spacing w:val="-4"/>
        </w:rPr>
        <w:t>babies</w:t>
      </w:r>
      <w:r>
        <w:rPr>
          <w:spacing w:val="-12"/>
        </w:rPr>
        <w:t xml:space="preserve"> </w:t>
      </w:r>
      <w:r>
        <w:rPr>
          <w:spacing w:val="-4"/>
        </w:rPr>
        <w:t>because</w:t>
      </w:r>
      <w:r>
        <w:rPr>
          <w:spacing w:val="-13"/>
        </w:rPr>
        <w:t xml:space="preserve"> </w:t>
      </w:r>
      <w:r>
        <w:rPr>
          <w:spacing w:val="-4"/>
        </w:rPr>
        <w:t>we</w:t>
      </w:r>
      <w:r>
        <w:rPr>
          <w:spacing w:val="-15"/>
        </w:rPr>
        <w:t xml:space="preserve"> </w:t>
      </w:r>
      <w:r>
        <w:rPr>
          <w:i/>
          <w:spacing w:val="-4"/>
        </w:rPr>
        <w:t>believe</w:t>
      </w:r>
      <w:r>
        <w:rPr>
          <w:i/>
          <w:spacing w:val="-14"/>
        </w:rPr>
        <w:t xml:space="preserve"> </w:t>
      </w:r>
      <w:r>
        <w:rPr>
          <w:spacing w:val="-4"/>
        </w:rPr>
        <w:t>that</w:t>
      </w:r>
      <w:r>
        <w:rPr>
          <w:spacing w:val="-2"/>
        </w:rPr>
        <w:t xml:space="preserve"> </w:t>
      </w:r>
      <w:r>
        <w:rPr>
          <w:spacing w:val="-5"/>
        </w:rPr>
        <w:t>it</w:t>
      </w:r>
    </w:p>
    <w:p w14:paraId="7E002886" w14:textId="77777777" w:rsidR="009A58DB" w:rsidRDefault="009A58DB">
      <w:pPr>
        <w:pStyle w:val="BodyText"/>
        <w:jc w:val="left"/>
        <w:sectPr w:rsidR="009A58DB">
          <w:pgSz w:w="12240" w:h="15840"/>
          <w:pgMar w:top="1380" w:right="1080" w:bottom="280" w:left="1080" w:header="720" w:footer="720" w:gutter="0"/>
          <w:cols w:space="720"/>
        </w:sectPr>
      </w:pPr>
    </w:p>
    <w:p w14:paraId="7E002887" w14:textId="77777777" w:rsidR="009A58DB" w:rsidRDefault="00000000">
      <w:pPr>
        <w:pStyle w:val="BodyText"/>
        <w:spacing w:before="67" w:line="249" w:lineRule="auto"/>
        <w:ind w:right="358"/>
      </w:pPr>
      <w:r>
        <w:lastRenderedPageBreak/>
        <w:t xml:space="preserve">is wrong to do so. MR presupposes that feelings cannot possibly have any </w:t>
      </w:r>
      <w:r>
        <w:rPr>
          <w:spacing w:val="-2"/>
        </w:rPr>
        <w:t>objective</w:t>
      </w:r>
      <w:r>
        <w:rPr>
          <w:spacing w:val="-16"/>
        </w:rPr>
        <w:t xml:space="preserve"> </w:t>
      </w:r>
      <w:r>
        <w:rPr>
          <w:spacing w:val="-2"/>
        </w:rPr>
        <w:t>basis.</w:t>
      </w:r>
      <w:r>
        <w:rPr>
          <w:spacing w:val="-16"/>
        </w:rPr>
        <w:t xml:space="preserve"> </w:t>
      </w:r>
      <w:r>
        <w:rPr>
          <w:spacing w:val="-2"/>
        </w:rPr>
        <w:t>But</w:t>
      </w:r>
      <w:r>
        <w:rPr>
          <w:spacing w:val="-17"/>
        </w:rPr>
        <w:t xml:space="preserve"> </w:t>
      </w:r>
      <w:r>
        <w:rPr>
          <w:spacing w:val="-2"/>
        </w:rPr>
        <w:t>this</w:t>
      </w:r>
      <w:r>
        <w:rPr>
          <w:spacing w:val="-16"/>
        </w:rPr>
        <w:t xml:space="preserve"> </w:t>
      </w:r>
      <w:r>
        <w:rPr>
          <w:spacing w:val="-2"/>
        </w:rPr>
        <w:t>isn’t</w:t>
      </w:r>
      <w:r>
        <w:rPr>
          <w:spacing w:val="-17"/>
        </w:rPr>
        <w:t xml:space="preserve"> </w:t>
      </w:r>
      <w:r>
        <w:rPr>
          <w:spacing w:val="-2"/>
        </w:rPr>
        <w:t>so.</w:t>
      </w:r>
      <w:r>
        <w:rPr>
          <w:spacing w:val="-16"/>
        </w:rPr>
        <w:t xml:space="preserve"> </w:t>
      </w:r>
      <w:r>
        <w:rPr>
          <w:spacing w:val="-2"/>
        </w:rPr>
        <w:t>In</w:t>
      </w:r>
      <w:r>
        <w:rPr>
          <w:spacing w:val="-16"/>
        </w:rPr>
        <w:t xml:space="preserve"> </w:t>
      </w:r>
      <w:r>
        <w:rPr>
          <w:spacing w:val="-2"/>
        </w:rPr>
        <w:t>any</w:t>
      </w:r>
      <w:r>
        <w:rPr>
          <w:spacing w:val="-16"/>
        </w:rPr>
        <w:t xml:space="preserve"> </w:t>
      </w:r>
      <w:r>
        <w:rPr>
          <w:spacing w:val="-2"/>
        </w:rPr>
        <w:t>case,</w:t>
      </w:r>
      <w:r>
        <w:rPr>
          <w:spacing w:val="-16"/>
        </w:rPr>
        <w:t xml:space="preserve"> </w:t>
      </w:r>
      <w:r>
        <w:rPr>
          <w:spacing w:val="-2"/>
        </w:rPr>
        <w:t>in</w:t>
      </w:r>
      <w:r>
        <w:rPr>
          <w:spacing w:val="-16"/>
        </w:rPr>
        <w:t xml:space="preserve"> </w:t>
      </w:r>
      <w:r>
        <w:rPr>
          <w:spacing w:val="-2"/>
        </w:rPr>
        <w:t>the</w:t>
      </w:r>
      <w:r>
        <w:rPr>
          <w:spacing w:val="-16"/>
        </w:rPr>
        <w:t xml:space="preserve"> </w:t>
      </w:r>
      <w:r>
        <w:rPr>
          <w:spacing w:val="-2"/>
        </w:rPr>
        <w:t>final</w:t>
      </w:r>
      <w:r>
        <w:rPr>
          <w:spacing w:val="-16"/>
        </w:rPr>
        <w:t xml:space="preserve"> </w:t>
      </w:r>
      <w:r>
        <w:rPr>
          <w:spacing w:val="-2"/>
        </w:rPr>
        <w:t>analysis,</w:t>
      </w:r>
      <w:r>
        <w:rPr>
          <w:spacing w:val="-16"/>
        </w:rPr>
        <w:t xml:space="preserve"> </w:t>
      </w:r>
      <w:r>
        <w:rPr>
          <w:spacing w:val="-2"/>
        </w:rPr>
        <w:t>nobody</w:t>
      </w:r>
      <w:r>
        <w:rPr>
          <w:spacing w:val="-16"/>
        </w:rPr>
        <w:t xml:space="preserve"> </w:t>
      </w:r>
      <w:r>
        <w:rPr>
          <w:spacing w:val="-2"/>
        </w:rPr>
        <w:t xml:space="preserve">really, </w:t>
      </w:r>
      <w:r>
        <w:t xml:space="preserve">in their heart of hearts, believes that to be so. Our feelings seem to track our </w:t>
      </w:r>
      <w:r>
        <w:rPr>
          <w:spacing w:val="-4"/>
        </w:rPr>
        <w:t>feelings</w:t>
      </w:r>
      <w:r>
        <w:rPr>
          <w:spacing w:val="-15"/>
        </w:rPr>
        <w:t xml:space="preserve"> </w:t>
      </w:r>
      <w:r>
        <w:rPr>
          <w:spacing w:val="-4"/>
        </w:rPr>
        <w:t>about</w:t>
      </w:r>
      <w:r>
        <w:rPr>
          <w:spacing w:val="-13"/>
        </w:rPr>
        <w:t xml:space="preserve"> </w:t>
      </w:r>
      <w:r>
        <w:rPr>
          <w:spacing w:val="-4"/>
        </w:rPr>
        <w:t>rightness</w:t>
      </w:r>
      <w:r>
        <w:rPr>
          <w:spacing w:val="-13"/>
        </w:rPr>
        <w:t xml:space="preserve"> </w:t>
      </w:r>
      <w:r>
        <w:rPr>
          <w:spacing w:val="-4"/>
        </w:rPr>
        <w:t>and</w:t>
      </w:r>
      <w:r>
        <w:rPr>
          <w:spacing w:val="-13"/>
        </w:rPr>
        <w:t xml:space="preserve"> </w:t>
      </w:r>
      <w:r>
        <w:rPr>
          <w:spacing w:val="-4"/>
        </w:rPr>
        <w:t>wrongness.</w:t>
      </w:r>
      <w:r>
        <w:rPr>
          <w:spacing w:val="-15"/>
        </w:rPr>
        <w:t xml:space="preserve"> </w:t>
      </w:r>
      <w:r>
        <w:rPr>
          <w:spacing w:val="-4"/>
        </w:rPr>
        <w:t>We</w:t>
      </w:r>
      <w:r>
        <w:rPr>
          <w:spacing w:val="-13"/>
        </w:rPr>
        <w:t xml:space="preserve"> </w:t>
      </w:r>
      <w:r>
        <w:rPr>
          <w:spacing w:val="-4"/>
        </w:rPr>
        <w:t>tend</w:t>
      </w:r>
      <w:r>
        <w:rPr>
          <w:spacing w:val="-13"/>
        </w:rPr>
        <w:t xml:space="preserve"> </w:t>
      </w:r>
      <w:r>
        <w:rPr>
          <w:spacing w:val="-4"/>
        </w:rPr>
        <w:t>to</w:t>
      </w:r>
      <w:r>
        <w:rPr>
          <w:spacing w:val="-13"/>
        </w:rPr>
        <w:t xml:space="preserve"> </w:t>
      </w:r>
      <w:r>
        <w:rPr>
          <w:spacing w:val="-4"/>
        </w:rPr>
        <w:t>be</w:t>
      </w:r>
      <w:r>
        <w:rPr>
          <w:spacing w:val="-12"/>
        </w:rPr>
        <w:t xml:space="preserve"> </w:t>
      </w:r>
      <w:r>
        <w:rPr>
          <w:spacing w:val="-4"/>
        </w:rPr>
        <w:t>extremely</w:t>
      </w:r>
      <w:r>
        <w:rPr>
          <w:spacing w:val="-12"/>
        </w:rPr>
        <w:t xml:space="preserve"> </w:t>
      </w:r>
      <w:r>
        <w:rPr>
          <w:spacing w:val="-4"/>
        </w:rPr>
        <w:t>angry</w:t>
      </w:r>
      <w:r>
        <w:rPr>
          <w:spacing w:val="-12"/>
        </w:rPr>
        <w:t xml:space="preserve"> </w:t>
      </w:r>
      <w:r>
        <w:rPr>
          <w:spacing w:val="-4"/>
        </w:rPr>
        <w:t>at</w:t>
      </w:r>
      <w:r>
        <w:rPr>
          <w:spacing w:val="-12"/>
        </w:rPr>
        <w:t xml:space="preserve"> </w:t>
      </w:r>
      <w:r>
        <w:rPr>
          <w:spacing w:val="-4"/>
        </w:rPr>
        <w:t xml:space="preserve">people </w:t>
      </w:r>
      <w:r>
        <w:rPr>
          <w:spacing w:val="-6"/>
        </w:rPr>
        <w:t>who</w:t>
      </w:r>
      <w:r>
        <w:rPr>
          <w:spacing w:val="-9"/>
        </w:rPr>
        <w:t xml:space="preserve"> </w:t>
      </w:r>
      <w:r>
        <w:rPr>
          <w:spacing w:val="-6"/>
        </w:rPr>
        <w:t>we</w:t>
      </w:r>
      <w:r>
        <w:rPr>
          <w:spacing w:val="-9"/>
        </w:rPr>
        <w:t xml:space="preserve"> </w:t>
      </w:r>
      <w:r>
        <w:rPr>
          <w:spacing w:val="-6"/>
        </w:rPr>
        <w:t>believe</w:t>
      </w:r>
      <w:r>
        <w:rPr>
          <w:spacing w:val="-9"/>
        </w:rPr>
        <w:t xml:space="preserve"> </w:t>
      </w:r>
      <w:r>
        <w:rPr>
          <w:spacing w:val="-6"/>
        </w:rPr>
        <w:t>to</w:t>
      </w:r>
      <w:r>
        <w:rPr>
          <w:spacing w:val="-9"/>
        </w:rPr>
        <w:t xml:space="preserve"> </w:t>
      </w:r>
      <w:r>
        <w:rPr>
          <w:spacing w:val="-6"/>
        </w:rPr>
        <w:t>have</w:t>
      </w:r>
      <w:r>
        <w:rPr>
          <w:spacing w:val="-9"/>
        </w:rPr>
        <w:t xml:space="preserve"> </w:t>
      </w:r>
      <w:r>
        <w:rPr>
          <w:spacing w:val="-6"/>
        </w:rPr>
        <w:t>wronged</w:t>
      </w:r>
      <w:r>
        <w:rPr>
          <w:spacing w:val="-9"/>
        </w:rPr>
        <w:t xml:space="preserve"> </w:t>
      </w:r>
      <w:r>
        <w:rPr>
          <w:spacing w:val="-6"/>
        </w:rPr>
        <w:t>us.</w:t>
      </w:r>
      <w:r>
        <w:rPr>
          <w:spacing w:val="-11"/>
        </w:rPr>
        <w:t xml:space="preserve"> </w:t>
      </w:r>
      <w:r>
        <w:rPr>
          <w:spacing w:val="-6"/>
        </w:rPr>
        <w:t>This</w:t>
      </w:r>
      <w:r>
        <w:rPr>
          <w:spacing w:val="-11"/>
        </w:rPr>
        <w:t xml:space="preserve"> </w:t>
      </w:r>
      <w:r>
        <w:rPr>
          <w:spacing w:val="-6"/>
        </w:rPr>
        <w:t>is</w:t>
      </w:r>
      <w:r>
        <w:rPr>
          <w:spacing w:val="-11"/>
        </w:rPr>
        <w:t xml:space="preserve"> </w:t>
      </w:r>
      <w:r>
        <w:rPr>
          <w:spacing w:val="-6"/>
        </w:rPr>
        <w:t>not</w:t>
      </w:r>
      <w:r>
        <w:rPr>
          <w:spacing w:val="-11"/>
        </w:rPr>
        <w:t xml:space="preserve"> </w:t>
      </w:r>
      <w:r>
        <w:rPr>
          <w:spacing w:val="-6"/>
        </w:rPr>
        <w:t>to</w:t>
      </w:r>
      <w:r>
        <w:rPr>
          <w:spacing w:val="-11"/>
        </w:rPr>
        <w:t xml:space="preserve"> </w:t>
      </w:r>
      <w:r>
        <w:rPr>
          <w:spacing w:val="-6"/>
        </w:rPr>
        <w:t>say</w:t>
      </w:r>
      <w:r>
        <w:rPr>
          <w:spacing w:val="-11"/>
        </w:rPr>
        <w:t xml:space="preserve"> </w:t>
      </w:r>
      <w:r>
        <w:rPr>
          <w:spacing w:val="-6"/>
        </w:rPr>
        <w:t>that</w:t>
      </w:r>
      <w:r>
        <w:rPr>
          <w:spacing w:val="-11"/>
        </w:rPr>
        <w:t xml:space="preserve"> </w:t>
      </w:r>
      <w:r>
        <w:rPr>
          <w:spacing w:val="-6"/>
        </w:rPr>
        <w:t>our</w:t>
      </w:r>
      <w:r>
        <w:rPr>
          <w:spacing w:val="-10"/>
        </w:rPr>
        <w:t xml:space="preserve"> </w:t>
      </w:r>
      <w:r>
        <w:rPr>
          <w:spacing w:val="-6"/>
        </w:rPr>
        <w:t>feelings</w:t>
      </w:r>
      <w:r>
        <w:rPr>
          <w:spacing w:val="-10"/>
        </w:rPr>
        <w:t xml:space="preserve"> </w:t>
      </w:r>
      <w:r>
        <w:rPr>
          <w:spacing w:val="-6"/>
        </w:rPr>
        <w:t>are</w:t>
      </w:r>
      <w:r>
        <w:rPr>
          <w:spacing w:val="-10"/>
        </w:rPr>
        <w:t xml:space="preserve"> </w:t>
      </w:r>
      <w:r>
        <w:rPr>
          <w:spacing w:val="-6"/>
        </w:rPr>
        <w:t xml:space="preserve">always </w:t>
      </w:r>
      <w:r>
        <w:t>appropriate. But given only that our feelings are often misguided, it doesn’t follow</w:t>
      </w:r>
      <w:r>
        <w:rPr>
          <w:spacing w:val="-2"/>
        </w:rPr>
        <w:t xml:space="preserve"> </w:t>
      </w:r>
      <w:r>
        <w:t>that</w:t>
      </w:r>
      <w:r>
        <w:rPr>
          <w:spacing w:val="-2"/>
        </w:rPr>
        <w:t xml:space="preserve"> </w:t>
      </w:r>
      <w:r>
        <w:t>they</w:t>
      </w:r>
      <w:r>
        <w:rPr>
          <w:spacing w:val="-2"/>
        </w:rPr>
        <w:t xml:space="preserve"> </w:t>
      </w:r>
      <w:r>
        <w:t>are</w:t>
      </w:r>
      <w:r>
        <w:rPr>
          <w:spacing w:val="-2"/>
        </w:rPr>
        <w:t xml:space="preserve"> </w:t>
      </w:r>
      <w:r>
        <w:t>categorically</w:t>
      </w:r>
      <w:r>
        <w:rPr>
          <w:spacing w:val="-2"/>
        </w:rPr>
        <w:t xml:space="preserve"> </w:t>
      </w:r>
      <w:r>
        <w:t>without</w:t>
      </w:r>
      <w:r>
        <w:rPr>
          <w:spacing w:val="-2"/>
        </w:rPr>
        <w:t xml:space="preserve"> </w:t>
      </w:r>
      <w:r>
        <w:t>an</w:t>
      </w:r>
      <w:r>
        <w:rPr>
          <w:spacing w:val="-2"/>
        </w:rPr>
        <w:t xml:space="preserve"> </w:t>
      </w:r>
      <w:r>
        <w:t>objective</w:t>
      </w:r>
      <w:r>
        <w:rPr>
          <w:spacing w:val="-2"/>
        </w:rPr>
        <w:t xml:space="preserve"> </w:t>
      </w:r>
      <w:r>
        <w:t>basis.</w:t>
      </w:r>
      <w:r>
        <w:rPr>
          <w:spacing w:val="-2"/>
        </w:rPr>
        <w:t xml:space="preserve"> </w:t>
      </w:r>
      <w:r>
        <w:t>(Our</w:t>
      </w:r>
      <w:r>
        <w:rPr>
          <w:spacing w:val="-2"/>
        </w:rPr>
        <w:t xml:space="preserve"> </w:t>
      </w:r>
      <w:r>
        <w:t>perceptions aren’t</w:t>
      </w:r>
      <w:r>
        <w:rPr>
          <w:spacing w:val="-3"/>
        </w:rPr>
        <w:t xml:space="preserve"> </w:t>
      </w:r>
      <w:r>
        <w:t>always</w:t>
      </w:r>
      <w:r>
        <w:rPr>
          <w:spacing w:val="-3"/>
        </w:rPr>
        <w:t xml:space="preserve"> </w:t>
      </w:r>
      <w:r>
        <w:t>completely</w:t>
      </w:r>
      <w:r>
        <w:rPr>
          <w:spacing w:val="-3"/>
        </w:rPr>
        <w:t xml:space="preserve"> </w:t>
      </w:r>
      <w:r>
        <w:t>accurate.</w:t>
      </w:r>
      <w:r>
        <w:rPr>
          <w:spacing w:val="-3"/>
        </w:rPr>
        <w:t xml:space="preserve"> </w:t>
      </w:r>
      <w:r>
        <w:t>But</w:t>
      </w:r>
      <w:r>
        <w:rPr>
          <w:spacing w:val="-3"/>
        </w:rPr>
        <w:t xml:space="preserve"> </w:t>
      </w:r>
      <w:r>
        <w:t>that</w:t>
      </w:r>
      <w:r>
        <w:rPr>
          <w:spacing w:val="-3"/>
        </w:rPr>
        <w:t xml:space="preserve"> </w:t>
      </w:r>
      <w:r>
        <w:t>doesn’t</w:t>
      </w:r>
      <w:r>
        <w:rPr>
          <w:spacing w:val="-3"/>
        </w:rPr>
        <w:t xml:space="preserve"> </w:t>
      </w:r>
      <w:r>
        <w:t>mean</w:t>
      </w:r>
      <w:r>
        <w:rPr>
          <w:spacing w:val="-3"/>
        </w:rPr>
        <w:t xml:space="preserve"> </w:t>
      </w:r>
      <w:r>
        <w:t>that</w:t>
      </w:r>
      <w:r>
        <w:rPr>
          <w:spacing w:val="-3"/>
        </w:rPr>
        <w:t xml:space="preserve"> </w:t>
      </w:r>
      <w:r>
        <w:t>they</w:t>
      </w:r>
      <w:r>
        <w:rPr>
          <w:spacing w:val="-3"/>
        </w:rPr>
        <w:t xml:space="preserve"> </w:t>
      </w:r>
      <w:r>
        <w:t>are</w:t>
      </w:r>
      <w:r>
        <w:rPr>
          <w:spacing w:val="-3"/>
        </w:rPr>
        <w:t xml:space="preserve"> </w:t>
      </w:r>
      <w:r>
        <w:rPr>
          <w:i/>
        </w:rPr>
        <w:t xml:space="preserve">always </w:t>
      </w:r>
      <w:r>
        <w:t xml:space="preserve">completely wrong. The same goes for our beliefs. So why suppose that feelings are </w:t>
      </w:r>
      <w:r>
        <w:rPr>
          <w:i/>
        </w:rPr>
        <w:t>always</w:t>
      </w:r>
      <w:r>
        <w:rPr>
          <w:i/>
          <w:spacing w:val="-3"/>
        </w:rPr>
        <w:t xml:space="preserve"> </w:t>
      </w:r>
      <w:r>
        <w:t>wrong, given only that they sometimes are?) In any case, it is clear that (A) is, at the very least, extremely questionable, the reason being that there is a strong pre-theoretic presumption to the effect that there are objective moral truths.</w:t>
      </w:r>
    </w:p>
    <w:p w14:paraId="7E002888" w14:textId="77777777" w:rsidR="009A58DB" w:rsidRDefault="00000000">
      <w:pPr>
        <w:pStyle w:val="BodyText"/>
        <w:spacing w:before="14" w:line="249" w:lineRule="auto"/>
        <w:ind w:right="361" w:firstLine="360"/>
      </w:pPr>
      <w:r>
        <w:t>Before we move on, we should note that the word “value” is ambiguous, as it has (at least) three meanings.</w:t>
      </w:r>
    </w:p>
    <w:p w14:paraId="7E002889" w14:textId="77777777" w:rsidR="009A58DB" w:rsidRDefault="00000000">
      <w:pPr>
        <w:pStyle w:val="Heading1"/>
        <w:numPr>
          <w:ilvl w:val="1"/>
          <w:numId w:val="41"/>
        </w:numPr>
        <w:tabs>
          <w:tab w:val="left" w:pos="990"/>
        </w:tabs>
        <w:spacing w:before="190"/>
        <w:ind w:left="990" w:hanging="630"/>
      </w:pPr>
      <w:r>
        <w:t>Meaning</w:t>
      </w:r>
      <w:r>
        <w:rPr>
          <w:spacing w:val="-5"/>
        </w:rPr>
        <w:t xml:space="preserve"> #1</w:t>
      </w:r>
    </w:p>
    <w:p w14:paraId="7E00288A" w14:textId="77777777" w:rsidR="009A58DB" w:rsidRDefault="00000000">
      <w:pPr>
        <w:pStyle w:val="BodyText"/>
        <w:spacing w:before="139" w:line="249" w:lineRule="auto"/>
        <w:ind w:right="370"/>
      </w:pPr>
      <w:r>
        <w:t xml:space="preserve">A “value” can be something that is </w:t>
      </w:r>
      <w:r>
        <w:rPr>
          <w:i/>
        </w:rPr>
        <w:t xml:space="preserve">in fact </w:t>
      </w:r>
      <w:r>
        <w:t xml:space="preserve">valued, or it can be something that one </w:t>
      </w:r>
      <w:r>
        <w:rPr>
          <w:i/>
        </w:rPr>
        <w:t xml:space="preserve">ought </w:t>
      </w:r>
      <w:r>
        <w:t>to value. In the sentence:</w:t>
      </w:r>
    </w:p>
    <w:p w14:paraId="7E00288B" w14:textId="77777777" w:rsidR="009A58DB" w:rsidRDefault="00000000">
      <w:pPr>
        <w:pStyle w:val="BodyText"/>
        <w:spacing w:before="108" w:line="249" w:lineRule="auto"/>
        <w:ind w:right="360"/>
      </w:pPr>
      <w:r>
        <w:t>(LH) a life of honest toil has value, whereas a life of deception and chicanery does not,</w:t>
      </w:r>
    </w:p>
    <w:p w14:paraId="7E00288C" w14:textId="77777777" w:rsidR="009A58DB" w:rsidRDefault="00000000">
      <w:pPr>
        <w:pStyle w:val="BodyText"/>
        <w:spacing w:before="107" w:line="249" w:lineRule="auto"/>
        <w:ind w:right="359"/>
      </w:pPr>
      <w:r>
        <w:t xml:space="preserve">the word “value” doesn’t mean “something that </w:t>
      </w:r>
      <w:r>
        <w:rPr>
          <w:i/>
        </w:rPr>
        <w:t xml:space="preserve">people </w:t>
      </w:r>
      <w:r>
        <w:t>believe to be valuable” and it certainly doesn’t mean “something that people like.”</w:t>
      </w:r>
      <w:r>
        <w:rPr>
          <w:spacing w:val="40"/>
        </w:rPr>
        <w:t xml:space="preserve"> </w:t>
      </w:r>
      <w:r>
        <w:t xml:space="preserve">Suppose that everyone alive were a sociopath (a completely amoral person), who not only didn’t </w:t>
      </w:r>
      <w:r>
        <w:rPr>
          <w:i/>
        </w:rPr>
        <w:t xml:space="preserve">want </w:t>
      </w:r>
      <w:r>
        <w:t xml:space="preserve">to live honestly, and wouldn’t enjoy doing so, but didn’t even believe that such a life would have any value. (LH) would not, at least not on that account, be false in such a world. (In a world of mathematical morons, nobody would know that 2 + 2 = 4; but the statement “2 + 2 = 4” would not on that account be false. Similarly, in a world of “moral imbeciles” (the 19th-century psychiatric term for sociopath), (LH) wouldn’t be false (in any case, it wouldn’t be false </w:t>
      </w:r>
      <w:r>
        <w:rPr>
          <w:i/>
        </w:rPr>
        <w:t xml:space="preserve">in virtue of </w:t>
      </w:r>
      <w:r>
        <w:t>the fact that nobody in that world had any desire to live honestly).</w:t>
      </w:r>
    </w:p>
    <w:p w14:paraId="7E00288D" w14:textId="77777777" w:rsidR="009A58DB" w:rsidRDefault="00000000">
      <w:pPr>
        <w:pStyle w:val="Heading1"/>
        <w:numPr>
          <w:ilvl w:val="1"/>
          <w:numId w:val="41"/>
        </w:numPr>
        <w:tabs>
          <w:tab w:val="left" w:pos="990"/>
        </w:tabs>
        <w:spacing w:before="202"/>
        <w:ind w:left="990" w:hanging="630"/>
      </w:pPr>
      <w:r>
        <w:t>Meaning</w:t>
      </w:r>
      <w:r>
        <w:rPr>
          <w:spacing w:val="-5"/>
        </w:rPr>
        <w:t xml:space="preserve"> #2</w:t>
      </w:r>
    </w:p>
    <w:p w14:paraId="7E00288E" w14:textId="77777777" w:rsidR="009A58DB" w:rsidRDefault="009A58DB">
      <w:pPr>
        <w:pStyle w:val="Heading1"/>
        <w:sectPr w:rsidR="009A58DB">
          <w:pgSz w:w="12240" w:h="15840"/>
          <w:pgMar w:top="1380" w:right="1080" w:bottom="280" w:left="1080" w:header="720" w:footer="720" w:gutter="0"/>
          <w:cols w:space="720"/>
        </w:sectPr>
      </w:pPr>
    </w:p>
    <w:p w14:paraId="7E00288F" w14:textId="77777777" w:rsidR="009A58DB" w:rsidRDefault="00000000">
      <w:pPr>
        <w:pStyle w:val="BodyText"/>
        <w:spacing w:before="65" w:line="249" w:lineRule="auto"/>
        <w:ind w:right="358"/>
      </w:pPr>
      <w:r>
        <w:lastRenderedPageBreak/>
        <w:t xml:space="preserve">A “value” can be something that somebody </w:t>
      </w:r>
      <w:r>
        <w:rPr>
          <w:i/>
        </w:rPr>
        <w:t xml:space="preserve">believes </w:t>
      </w:r>
      <w:r>
        <w:t xml:space="preserve">(perhaps wrongly) to be valuable. People often come to believe that they have been abiding by the wrong values, and must therefore adopt new ones. Tolstoy’s novel </w:t>
      </w:r>
      <w:r>
        <w:rPr>
          <w:i/>
        </w:rPr>
        <w:t>The</w:t>
      </w:r>
      <w:r>
        <w:rPr>
          <w:i/>
          <w:spacing w:val="-4"/>
        </w:rPr>
        <w:t xml:space="preserve"> </w:t>
      </w:r>
      <w:r>
        <w:rPr>
          <w:i/>
        </w:rPr>
        <w:t xml:space="preserve">Death of Ivan Ilyich </w:t>
      </w:r>
      <w:r>
        <w:t>illustrates this point. Up until the moment right before his</w:t>
      </w:r>
      <w:r>
        <w:rPr>
          <w:spacing w:val="40"/>
        </w:rPr>
        <w:t xml:space="preserve"> </w:t>
      </w:r>
      <w:r>
        <w:t xml:space="preserve">death, Ivan Ilyich thinks that what is valuable is being socially respectable, not rocking the boat, and making sure that one’s thoughts and deeds meet with general approval. Ilyich is by no means a bad person, at least not in any obvious sense. He doesn’t commit crimes. He is a good father and husband. Further, Ilyich is professionally successful, thus enjoying the respect of his colleagues, and he is also wealthy, thus enjoying a materially comfortable lifestyle. By any conventional measure, Ilyich’s life is a good one: good from a professional standpoint, good from a moral standpoint, and good from a hedonistic standpoint. Nonetheless, the moment before he dies, it occurs to Ilyich that his entire life was one big lie and that it was, as he puts it, “not the real thing.” It is not, I repeat, that Ilyich did anything </w:t>
      </w:r>
      <w:r>
        <w:rPr>
          <w:i/>
        </w:rPr>
        <w:t xml:space="preserve">bad </w:t>
      </w:r>
      <w:r>
        <w:t>(at least not in the conventional sense of that word). He didn’t kill anybody; he didn’t abuse his wife; he didn’t take bribes. It is just that, throughout it all, he wasn’t really being himself; he was thinking in terms of how others would see him, in terms of what was “proper.” So, right before he dies, he comes to think that what</w:t>
      </w:r>
      <w:r>
        <w:rPr>
          <w:spacing w:val="-4"/>
        </w:rPr>
        <w:t xml:space="preserve"> </w:t>
      </w:r>
      <w:r>
        <w:t>he</w:t>
      </w:r>
      <w:r>
        <w:rPr>
          <w:spacing w:val="-4"/>
        </w:rPr>
        <w:t xml:space="preserve"> </w:t>
      </w:r>
      <w:r>
        <w:rPr>
          <w:i/>
        </w:rPr>
        <w:t>should</w:t>
      </w:r>
      <w:r>
        <w:rPr>
          <w:i/>
          <w:spacing w:val="-3"/>
        </w:rPr>
        <w:t xml:space="preserve"> </w:t>
      </w:r>
      <w:r>
        <w:t xml:space="preserve">have valued was being oneself. Ilyich’s views as to what is </w:t>
      </w:r>
      <w:r>
        <w:rPr>
          <w:i/>
        </w:rPr>
        <w:t>in fact</w:t>
      </w:r>
      <w:r>
        <w:rPr>
          <w:i/>
          <w:spacing w:val="-3"/>
        </w:rPr>
        <w:t xml:space="preserve"> </w:t>
      </w:r>
      <w:r>
        <w:t xml:space="preserve">valuable thus underwent a dramatic change. His “values” changed in the sense that his </w:t>
      </w:r>
      <w:r>
        <w:rPr>
          <w:i/>
        </w:rPr>
        <w:t xml:space="preserve">beliefs </w:t>
      </w:r>
      <w:r>
        <w:t>as to what is of value changed.</w:t>
      </w:r>
    </w:p>
    <w:p w14:paraId="7E002890" w14:textId="77777777" w:rsidR="009A58DB" w:rsidRDefault="00000000">
      <w:pPr>
        <w:pStyle w:val="Heading1"/>
        <w:numPr>
          <w:ilvl w:val="1"/>
          <w:numId w:val="41"/>
        </w:numPr>
        <w:tabs>
          <w:tab w:val="left" w:pos="990"/>
        </w:tabs>
        <w:spacing w:before="215"/>
        <w:ind w:left="990" w:hanging="630"/>
      </w:pPr>
      <w:r>
        <w:t>Meaning</w:t>
      </w:r>
      <w:r>
        <w:rPr>
          <w:spacing w:val="-5"/>
        </w:rPr>
        <w:t xml:space="preserve"> #3</w:t>
      </w:r>
    </w:p>
    <w:p w14:paraId="7E002891" w14:textId="77777777" w:rsidR="009A58DB" w:rsidRDefault="00000000">
      <w:pPr>
        <w:pStyle w:val="BodyText"/>
        <w:spacing w:before="139" w:line="249" w:lineRule="auto"/>
        <w:ind w:right="360"/>
      </w:pPr>
      <w:r>
        <w:t xml:space="preserve">A “value” can be something that somebody simply </w:t>
      </w:r>
      <w:r>
        <w:rPr>
          <w:i/>
        </w:rPr>
        <w:t>likes</w:t>
      </w:r>
      <w:r>
        <w:t xml:space="preserve">—but that isn’t necessarily valuable and that the person in question doesn’t necessarily even </w:t>
      </w:r>
      <w:r>
        <w:rPr>
          <w:i/>
        </w:rPr>
        <w:t xml:space="preserve">believe </w:t>
      </w:r>
      <w:r>
        <w:t xml:space="preserve">to be valuable. Ted Bundy obviously valued committing heinous crimes. But did Ted Bundy believe that doing so </w:t>
      </w:r>
      <w:r>
        <w:rPr>
          <w:i/>
        </w:rPr>
        <w:t xml:space="preserve">had value? </w:t>
      </w:r>
      <w:r>
        <w:t>It is not clear how to answer that question.</w:t>
      </w:r>
    </w:p>
    <w:p w14:paraId="7E002892" w14:textId="77777777" w:rsidR="009A58DB" w:rsidRDefault="009A58DB">
      <w:pPr>
        <w:pStyle w:val="BodyText"/>
        <w:spacing w:before="14"/>
        <w:ind w:left="0"/>
        <w:jc w:val="left"/>
      </w:pPr>
    </w:p>
    <w:p w14:paraId="7E002893" w14:textId="77777777" w:rsidR="009A58DB" w:rsidRDefault="00000000">
      <w:pPr>
        <w:pStyle w:val="Heading1"/>
        <w:numPr>
          <w:ilvl w:val="2"/>
          <w:numId w:val="41"/>
        </w:numPr>
        <w:tabs>
          <w:tab w:val="left" w:pos="1305"/>
        </w:tabs>
        <w:spacing w:before="0"/>
      </w:pPr>
      <w:r>
        <w:t>Commentary</w:t>
      </w:r>
      <w:r>
        <w:rPr>
          <w:spacing w:val="-7"/>
        </w:rPr>
        <w:t xml:space="preserve"> </w:t>
      </w:r>
      <w:r>
        <w:t>on</w:t>
      </w:r>
      <w:r>
        <w:rPr>
          <w:spacing w:val="-4"/>
        </w:rPr>
        <w:t xml:space="preserve"> </w:t>
      </w:r>
      <w:r>
        <w:t>Meaning</w:t>
      </w:r>
      <w:r>
        <w:rPr>
          <w:spacing w:val="-4"/>
        </w:rPr>
        <w:t xml:space="preserve"> </w:t>
      </w:r>
      <w:r>
        <w:rPr>
          <w:spacing w:val="-7"/>
        </w:rPr>
        <w:t>#3</w:t>
      </w:r>
    </w:p>
    <w:p w14:paraId="7E002894" w14:textId="77777777" w:rsidR="009A58DB" w:rsidRDefault="00000000">
      <w:pPr>
        <w:pStyle w:val="BodyText"/>
        <w:spacing w:before="19" w:line="249" w:lineRule="auto"/>
        <w:ind w:right="363"/>
      </w:pPr>
      <w:r>
        <w:t>Some authors hold that one cannot like something without believing it to</w:t>
      </w:r>
      <w:r>
        <w:rPr>
          <w:spacing w:val="40"/>
        </w:rPr>
        <w:t xml:space="preserve"> </w:t>
      </w:r>
      <w:r>
        <w:t>have objective value. This position is sometimes known as “value-internalism.” The value-internalist says that, since Ted Bundy liked committing</w:t>
      </w:r>
      <w:r>
        <w:rPr>
          <w:spacing w:val="70"/>
        </w:rPr>
        <w:t xml:space="preserve"> </w:t>
      </w:r>
      <w:r>
        <w:t>murder,</w:t>
      </w:r>
      <w:r>
        <w:rPr>
          <w:spacing w:val="70"/>
        </w:rPr>
        <w:t xml:space="preserve"> </w:t>
      </w:r>
      <w:r>
        <w:t>he</w:t>
      </w:r>
      <w:r>
        <w:rPr>
          <w:spacing w:val="70"/>
        </w:rPr>
        <w:t xml:space="preserve"> </w:t>
      </w:r>
      <w:r>
        <w:t>must</w:t>
      </w:r>
      <w:r>
        <w:rPr>
          <w:spacing w:val="70"/>
        </w:rPr>
        <w:t xml:space="preserve"> </w:t>
      </w:r>
      <w:r>
        <w:t>have</w:t>
      </w:r>
      <w:r>
        <w:rPr>
          <w:spacing w:val="70"/>
        </w:rPr>
        <w:t xml:space="preserve"> </w:t>
      </w:r>
      <w:r>
        <w:t>seen</w:t>
      </w:r>
      <w:r>
        <w:rPr>
          <w:spacing w:val="70"/>
        </w:rPr>
        <w:t xml:space="preserve"> </w:t>
      </w:r>
      <w:r>
        <w:t>doing</w:t>
      </w:r>
      <w:r>
        <w:rPr>
          <w:spacing w:val="70"/>
        </w:rPr>
        <w:t xml:space="preserve"> </w:t>
      </w:r>
      <w:r>
        <w:t>so</w:t>
      </w:r>
      <w:r>
        <w:rPr>
          <w:spacing w:val="70"/>
        </w:rPr>
        <w:t xml:space="preserve"> </w:t>
      </w:r>
      <w:r>
        <w:t>as</w:t>
      </w:r>
      <w:r>
        <w:rPr>
          <w:spacing w:val="70"/>
        </w:rPr>
        <w:t xml:space="preserve"> </w:t>
      </w:r>
      <w:r>
        <w:t>having</w:t>
      </w:r>
      <w:r>
        <w:rPr>
          <w:spacing w:val="70"/>
        </w:rPr>
        <w:t xml:space="preserve"> </w:t>
      </w:r>
      <w:r>
        <w:t>value.</w:t>
      </w:r>
      <w:r>
        <w:rPr>
          <w:spacing w:val="70"/>
        </w:rPr>
        <w:t xml:space="preserve"> </w:t>
      </w:r>
      <w:r>
        <w:t>Other</w:t>
      </w:r>
    </w:p>
    <w:p w14:paraId="7E00289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96" w14:textId="77777777" w:rsidR="009A58DB" w:rsidRDefault="00000000">
      <w:pPr>
        <w:pStyle w:val="BodyText"/>
        <w:spacing w:before="60" w:line="249" w:lineRule="auto"/>
        <w:ind w:right="363"/>
      </w:pPr>
      <w:r>
        <w:lastRenderedPageBreak/>
        <w:t>authors hold that someone can like something but regard it as being entirely without value. This position is sometimes known as “value-externalism.” According to what the value-externalist says, given only that Ted Bundy</w:t>
      </w:r>
      <w:r>
        <w:rPr>
          <w:spacing w:val="40"/>
        </w:rPr>
        <w:t xml:space="preserve"> </w:t>
      </w:r>
      <w:r>
        <w:rPr>
          <w:i/>
        </w:rPr>
        <w:t xml:space="preserve">liked </w:t>
      </w:r>
      <w:r>
        <w:t>committing murder, it doesn’t follow that he saw doing so as having</w:t>
      </w:r>
      <w:r>
        <w:rPr>
          <w:spacing w:val="40"/>
        </w:rPr>
        <w:t xml:space="preserve"> </w:t>
      </w:r>
      <w:r>
        <w:t>any objective value. I am strongly inclined to agree with the value-</w:t>
      </w:r>
      <w:r>
        <w:rPr>
          <w:i/>
        </w:rPr>
        <w:t>in</w:t>
      </w:r>
      <w:r>
        <w:t>ternalist. (In a moment, we will present a value-internalist critique of existentialism—or,</w:t>
      </w:r>
      <w:r>
        <w:rPr>
          <w:spacing w:val="-3"/>
        </w:rPr>
        <w:t xml:space="preserve"> </w:t>
      </w:r>
      <w:r>
        <w:t>more</w:t>
      </w:r>
      <w:r>
        <w:rPr>
          <w:spacing w:val="-2"/>
        </w:rPr>
        <w:t xml:space="preserve"> </w:t>
      </w:r>
      <w:r>
        <w:t>specifically,</w:t>
      </w:r>
      <w:r>
        <w:rPr>
          <w:spacing w:val="-3"/>
        </w:rPr>
        <w:t xml:space="preserve"> </w:t>
      </w:r>
      <w:r>
        <w:t>of</w:t>
      </w:r>
      <w:r>
        <w:rPr>
          <w:spacing w:val="-2"/>
        </w:rPr>
        <w:t xml:space="preserve"> </w:t>
      </w:r>
      <w:r>
        <w:t>B.)</w:t>
      </w:r>
      <w:r>
        <w:rPr>
          <w:spacing w:val="-3"/>
        </w:rPr>
        <w:t xml:space="preserve"> </w:t>
      </w:r>
      <w:r>
        <w:t>I</w:t>
      </w:r>
      <w:r>
        <w:rPr>
          <w:spacing w:val="-2"/>
        </w:rPr>
        <w:t xml:space="preserve"> </w:t>
      </w:r>
      <w:r>
        <w:t>think</w:t>
      </w:r>
      <w:r>
        <w:rPr>
          <w:spacing w:val="-2"/>
        </w:rPr>
        <w:t xml:space="preserve"> </w:t>
      </w:r>
      <w:r>
        <w:t>that</w:t>
      </w:r>
      <w:r>
        <w:rPr>
          <w:spacing w:val="-3"/>
        </w:rPr>
        <w:t xml:space="preserve"> </w:t>
      </w:r>
      <w:r>
        <w:t>people</w:t>
      </w:r>
      <w:r>
        <w:rPr>
          <w:spacing w:val="-2"/>
        </w:rPr>
        <w:t xml:space="preserve"> </w:t>
      </w:r>
      <w:r>
        <w:t>must</w:t>
      </w:r>
      <w:r>
        <w:rPr>
          <w:spacing w:val="-3"/>
        </w:rPr>
        <w:t xml:space="preserve"> </w:t>
      </w:r>
      <w:r>
        <w:t>value</w:t>
      </w:r>
      <w:r>
        <w:rPr>
          <w:spacing w:val="-2"/>
        </w:rPr>
        <w:t xml:space="preserve"> </w:t>
      </w:r>
      <w:r>
        <w:t>the</w:t>
      </w:r>
      <w:r>
        <w:rPr>
          <w:spacing w:val="-3"/>
        </w:rPr>
        <w:t xml:space="preserve"> </w:t>
      </w:r>
      <w:r>
        <w:t>things</w:t>
      </w:r>
      <w:r>
        <w:rPr>
          <w:spacing w:val="-2"/>
        </w:rPr>
        <w:t xml:space="preserve"> </w:t>
      </w:r>
      <w:r>
        <w:t>that</w:t>
      </w:r>
      <w:r>
        <w:rPr>
          <w:spacing w:val="-2"/>
        </w:rPr>
        <w:t xml:space="preserve"> </w:t>
      </w:r>
      <w:r>
        <w:t>they like. But I also believe that a single person can have conflicting values. So</w:t>
      </w:r>
      <w:r>
        <w:rPr>
          <w:spacing w:val="40"/>
        </w:rPr>
        <w:t xml:space="preserve"> </w:t>
      </w:r>
      <w:r>
        <w:t>the same person can simultaneously regard a certain kind of act as having both positive value and also as having negative value, or no value at all. But my position is by no means universally accepted. We will develop these points later on.</w:t>
      </w:r>
    </w:p>
    <w:p w14:paraId="7E002897" w14:textId="77777777" w:rsidR="009A58DB" w:rsidRDefault="00000000">
      <w:pPr>
        <w:pStyle w:val="BodyText"/>
        <w:spacing w:before="19" w:line="249" w:lineRule="auto"/>
        <w:ind w:right="363" w:firstLine="360"/>
      </w:pPr>
      <w:r>
        <w:t>In any case, given that the word “value” is ambiguous between these three different meanings, it follows that (A) is correspondingly ambiguous. Which is</w:t>
      </w:r>
      <w:r>
        <w:rPr>
          <w:spacing w:val="40"/>
        </w:rPr>
        <w:t xml:space="preserve"> </w:t>
      </w:r>
      <w:r>
        <w:t>obviously</w:t>
      </w:r>
      <w:r>
        <w:rPr>
          <w:spacing w:val="40"/>
        </w:rPr>
        <w:t xml:space="preserve"> </w:t>
      </w:r>
      <w:r>
        <w:t>something</w:t>
      </w:r>
      <w:r>
        <w:rPr>
          <w:spacing w:val="40"/>
        </w:rPr>
        <w:t xml:space="preserve"> </w:t>
      </w:r>
      <w:r>
        <w:t>to</w:t>
      </w:r>
      <w:r>
        <w:rPr>
          <w:spacing w:val="40"/>
        </w:rPr>
        <w:t xml:space="preserve"> </w:t>
      </w:r>
      <w:r>
        <w:t>keep</w:t>
      </w:r>
      <w:r>
        <w:rPr>
          <w:spacing w:val="40"/>
        </w:rPr>
        <w:t xml:space="preserve"> </w:t>
      </w:r>
      <w:r>
        <w:t>in</w:t>
      </w:r>
      <w:r>
        <w:rPr>
          <w:spacing w:val="40"/>
        </w:rPr>
        <w:t xml:space="preserve"> </w:t>
      </w:r>
      <w:r>
        <w:t>mind</w:t>
      </w:r>
      <w:r>
        <w:rPr>
          <w:spacing w:val="40"/>
        </w:rPr>
        <w:t xml:space="preserve"> </w:t>
      </w:r>
      <w:r>
        <w:t>when</w:t>
      </w:r>
      <w:r>
        <w:rPr>
          <w:spacing w:val="40"/>
        </w:rPr>
        <w:t xml:space="preserve"> </w:t>
      </w:r>
      <w:r>
        <w:t>trying</w:t>
      </w:r>
      <w:r>
        <w:rPr>
          <w:spacing w:val="40"/>
        </w:rPr>
        <w:t xml:space="preserve"> </w:t>
      </w:r>
      <w:r>
        <w:t>to</w:t>
      </w:r>
      <w:r>
        <w:rPr>
          <w:spacing w:val="40"/>
        </w:rPr>
        <w:t xml:space="preserve"> </w:t>
      </w:r>
      <w:r>
        <w:t>determine</w:t>
      </w:r>
      <w:r>
        <w:rPr>
          <w:spacing w:val="40"/>
        </w:rPr>
        <w:t xml:space="preserve"> </w:t>
      </w:r>
      <w:r>
        <w:t>whether</w:t>
      </w:r>
    </w:p>
    <w:p w14:paraId="7E002898" w14:textId="77777777" w:rsidR="009A58DB" w:rsidRDefault="00000000">
      <w:pPr>
        <w:pStyle w:val="ListParagraph"/>
        <w:numPr>
          <w:ilvl w:val="0"/>
          <w:numId w:val="40"/>
        </w:numPr>
        <w:tabs>
          <w:tab w:val="left" w:pos="848"/>
        </w:tabs>
        <w:spacing w:before="4"/>
        <w:ind w:left="848" w:hanging="488"/>
        <w:jc w:val="both"/>
        <w:rPr>
          <w:sz w:val="30"/>
        </w:rPr>
      </w:pPr>
      <w:r>
        <w:rPr>
          <w:sz w:val="30"/>
        </w:rPr>
        <w:t>is</w:t>
      </w:r>
      <w:r>
        <w:rPr>
          <w:spacing w:val="-5"/>
          <w:sz w:val="30"/>
        </w:rPr>
        <w:t xml:space="preserve"> </w:t>
      </w:r>
      <w:r>
        <w:rPr>
          <w:sz w:val="30"/>
        </w:rPr>
        <w:t>correct</w:t>
      </w:r>
      <w:r>
        <w:rPr>
          <w:spacing w:val="-3"/>
          <w:sz w:val="30"/>
        </w:rPr>
        <w:t xml:space="preserve"> </w:t>
      </w:r>
      <w:r>
        <w:rPr>
          <w:sz w:val="30"/>
        </w:rPr>
        <w:t>or</w:t>
      </w:r>
      <w:r>
        <w:rPr>
          <w:spacing w:val="-3"/>
          <w:sz w:val="30"/>
        </w:rPr>
        <w:t xml:space="preserve"> </w:t>
      </w:r>
      <w:r>
        <w:rPr>
          <w:spacing w:val="-4"/>
          <w:sz w:val="30"/>
        </w:rPr>
        <w:t>not.</w:t>
      </w:r>
    </w:p>
    <w:p w14:paraId="7E002899" w14:textId="77777777" w:rsidR="009A58DB" w:rsidRDefault="00000000">
      <w:pPr>
        <w:pStyle w:val="Heading1"/>
        <w:ind w:left="360" w:firstLine="0"/>
        <w:jc w:val="both"/>
      </w:pPr>
      <w:r>
        <w:t>4.0</w:t>
      </w:r>
      <w:r>
        <w:rPr>
          <w:spacing w:val="-6"/>
        </w:rPr>
        <w:t xml:space="preserve"> </w:t>
      </w:r>
      <w:r>
        <w:t>Are</w:t>
      </w:r>
      <w:r>
        <w:rPr>
          <w:spacing w:val="-4"/>
        </w:rPr>
        <w:t xml:space="preserve"> </w:t>
      </w:r>
      <w:r>
        <w:t>certain</w:t>
      </w:r>
      <w:r>
        <w:rPr>
          <w:spacing w:val="-4"/>
        </w:rPr>
        <w:t xml:space="preserve"> </w:t>
      </w:r>
      <w:r>
        <w:t>values</w:t>
      </w:r>
      <w:r>
        <w:rPr>
          <w:spacing w:val="-5"/>
        </w:rPr>
        <w:t xml:space="preserve"> </w:t>
      </w:r>
      <w:r>
        <w:t>hardwired</w:t>
      </w:r>
      <w:r>
        <w:rPr>
          <w:spacing w:val="-4"/>
        </w:rPr>
        <w:t xml:space="preserve"> </w:t>
      </w:r>
      <w:r>
        <w:t>into</w:t>
      </w:r>
      <w:r>
        <w:rPr>
          <w:spacing w:val="-3"/>
        </w:rPr>
        <w:t xml:space="preserve"> </w:t>
      </w:r>
      <w:r>
        <w:rPr>
          <w:spacing w:val="-5"/>
        </w:rPr>
        <w:t>us?</w:t>
      </w:r>
    </w:p>
    <w:p w14:paraId="7E00289A" w14:textId="77777777" w:rsidR="009A58DB" w:rsidRDefault="00000000">
      <w:pPr>
        <w:pStyle w:val="BodyText"/>
        <w:spacing w:before="139"/>
      </w:pPr>
      <w:r>
        <w:t>Let</w:t>
      </w:r>
      <w:r>
        <w:rPr>
          <w:spacing w:val="-3"/>
        </w:rPr>
        <w:t xml:space="preserve"> </w:t>
      </w:r>
      <w:r>
        <w:t>us</w:t>
      </w:r>
      <w:r>
        <w:rPr>
          <w:spacing w:val="-3"/>
        </w:rPr>
        <w:t xml:space="preserve"> </w:t>
      </w:r>
      <w:r>
        <w:t>now</w:t>
      </w:r>
      <w:r>
        <w:rPr>
          <w:spacing w:val="-3"/>
        </w:rPr>
        <w:t xml:space="preserve"> </w:t>
      </w:r>
      <w:r>
        <w:t>discuss</w:t>
      </w:r>
      <w:r>
        <w:rPr>
          <w:spacing w:val="-3"/>
        </w:rPr>
        <w:t xml:space="preserve"> </w:t>
      </w:r>
      <w:r>
        <w:t>the</w:t>
      </w:r>
      <w:r>
        <w:rPr>
          <w:spacing w:val="-3"/>
        </w:rPr>
        <w:t xml:space="preserve"> </w:t>
      </w:r>
      <w:r>
        <w:t>position</w:t>
      </w:r>
      <w:r>
        <w:rPr>
          <w:spacing w:val="-1"/>
        </w:rPr>
        <w:t xml:space="preserve"> </w:t>
      </w:r>
      <w:r>
        <w:rPr>
          <w:spacing w:val="-4"/>
        </w:rPr>
        <w:t>that:</w:t>
      </w:r>
    </w:p>
    <w:p w14:paraId="7E00289B" w14:textId="77777777" w:rsidR="009A58DB" w:rsidRDefault="00000000">
      <w:pPr>
        <w:pStyle w:val="ListParagraph"/>
        <w:numPr>
          <w:ilvl w:val="0"/>
          <w:numId w:val="40"/>
        </w:numPr>
        <w:tabs>
          <w:tab w:val="left" w:pos="1251"/>
        </w:tabs>
        <w:spacing w:before="240" w:line="249" w:lineRule="auto"/>
        <w:ind w:left="720" w:right="358" w:firstLine="0"/>
        <w:jc w:val="both"/>
        <w:rPr>
          <w:sz w:val="30"/>
        </w:rPr>
      </w:pPr>
      <w:r>
        <w:rPr>
          <w:sz w:val="30"/>
        </w:rPr>
        <w:t xml:space="preserve">There is no set of values that, </w:t>
      </w:r>
      <w:r>
        <w:rPr>
          <w:i/>
          <w:sz w:val="30"/>
        </w:rPr>
        <w:t xml:space="preserve">psychologically </w:t>
      </w:r>
      <w:r>
        <w:rPr>
          <w:sz w:val="30"/>
        </w:rPr>
        <w:t>speaking, one must accept. In other words, acceptance of any one value system is no more,</w:t>
      </w:r>
      <w:r>
        <w:rPr>
          <w:spacing w:val="40"/>
          <w:sz w:val="30"/>
        </w:rPr>
        <w:t xml:space="preserve"> </w:t>
      </w:r>
      <w:r>
        <w:rPr>
          <w:sz w:val="30"/>
        </w:rPr>
        <w:t>and no less, likely to bring one happiness or fulfillment than acceptance of any other value system.</w:t>
      </w:r>
    </w:p>
    <w:p w14:paraId="7E00289C" w14:textId="77777777" w:rsidR="009A58DB" w:rsidRDefault="00000000">
      <w:pPr>
        <w:pStyle w:val="BodyText"/>
        <w:spacing w:before="230" w:line="249" w:lineRule="auto"/>
        <w:ind w:right="358" w:firstLine="360"/>
      </w:pPr>
      <w:r>
        <w:t xml:space="preserve">A little while ago, we saw why, at least arguably, our emotions embody certain value-judgments and thus presuppose acceptance of a certain system of values. It’s hard to escape the feeling that, if you like something, it’s because you think it is good, and that if you hate something, it’s because you think it’s bad. Bill stole your bicycle, and you’re therefore mad at him. Surely, your being mad at Bill reflects your belief that Bill </w:t>
      </w:r>
      <w:r>
        <w:rPr>
          <w:i/>
        </w:rPr>
        <w:t>wronged</w:t>
      </w:r>
      <w:r>
        <w:rPr>
          <w:i/>
          <w:spacing w:val="-3"/>
        </w:rPr>
        <w:t xml:space="preserve"> </w:t>
      </w:r>
      <w:r>
        <w:t xml:space="preserve">you. Bill buys you another bicycle, apologizing in a clearly sincere manner for his act of theft, and you therefore like him again. Surely, your liking Bill again reflects your belief that Bill has behaved justly towards you. In general, it’s hard to believe that emotions don’t track value-judgments—hard to believe, therefore, that they aren’t </w:t>
      </w:r>
      <w:r>
        <w:rPr>
          <w:i/>
        </w:rPr>
        <w:t xml:space="preserve">identical </w:t>
      </w:r>
      <w:r>
        <w:t>with such judgments.</w:t>
      </w:r>
    </w:p>
    <w:p w14:paraId="7E00289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9E" w14:textId="77777777" w:rsidR="009A58DB" w:rsidRDefault="00000000">
      <w:pPr>
        <w:pStyle w:val="BodyText"/>
        <w:spacing w:before="65" w:line="249" w:lineRule="auto"/>
        <w:ind w:right="358" w:firstLine="360"/>
      </w:pPr>
      <w:r>
        <w:lastRenderedPageBreak/>
        <w:t>In a moment, we’ll discuss some of the objections that are to be made to this. But for now, let us explore the consequences for (B) of supposing this obviously reasonable—though debatable—thesis to be correct.</w:t>
      </w:r>
    </w:p>
    <w:p w14:paraId="7E00289F" w14:textId="77777777" w:rsidR="009A58DB" w:rsidRDefault="00000000">
      <w:pPr>
        <w:pStyle w:val="BodyText"/>
        <w:spacing w:before="3" w:line="249" w:lineRule="auto"/>
        <w:ind w:right="358" w:firstLine="360"/>
      </w:pPr>
      <w:r>
        <w:t xml:space="preserve">Supposing that our emotions embody value-judgments, it seems to follow rather straightforwardly that we cannot choose </w:t>
      </w:r>
      <w:r>
        <w:rPr>
          <w:i/>
        </w:rPr>
        <w:t xml:space="preserve">any </w:t>
      </w:r>
      <w:r>
        <w:t>value-system without jeopardizing our own happiness. Consider the story told a moment ago. First you were unhappy with Bill, this being a reflection of your view that, in stealing your bicycle, Bill was acting unjustly towards you. Then you’re happy with Bill, this being a reflection of your view that, in apologizing and buying you a new bicycle, Bill has acted justly towards you. It thus seems</w:t>
      </w:r>
      <w:r>
        <w:rPr>
          <w:spacing w:val="40"/>
        </w:rPr>
        <w:t xml:space="preserve"> </w:t>
      </w:r>
      <w:r>
        <w:t>that your emotions presuppose certain ethical views.</w:t>
      </w:r>
    </w:p>
    <w:p w14:paraId="7E0028A0" w14:textId="77777777" w:rsidR="009A58DB" w:rsidRDefault="00000000">
      <w:pPr>
        <w:pStyle w:val="BodyText"/>
        <w:spacing w:before="10" w:line="249" w:lineRule="auto"/>
        <w:ind w:right="358" w:firstLine="360"/>
      </w:pPr>
      <w:r>
        <w:t xml:space="preserve">If, in fact, your emotional state—in particular, whether you are happy—is a reflection of your having a certain </w:t>
      </w:r>
      <w:r>
        <w:rPr>
          <w:i/>
        </w:rPr>
        <w:t xml:space="preserve">moral </w:t>
      </w:r>
      <w:r>
        <w:t>outlook (i.e., of your having a certain value system) then you can’t change your value system without changing your emotions. Thus, a necessary condition for really accepting a new</w:t>
      </w:r>
      <w:r>
        <w:rPr>
          <w:spacing w:val="-4"/>
        </w:rPr>
        <w:t xml:space="preserve"> </w:t>
      </w:r>
      <w:r>
        <w:t>set</w:t>
      </w:r>
      <w:r>
        <w:rPr>
          <w:spacing w:val="-4"/>
        </w:rPr>
        <w:t xml:space="preserve"> </w:t>
      </w:r>
      <w:r>
        <w:t>of</w:t>
      </w:r>
      <w:r>
        <w:rPr>
          <w:spacing w:val="-4"/>
        </w:rPr>
        <w:t xml:space="preserve"> </w:t>
      </w:r>
      <w:r>
        <w:t>values</w:t>
      </w:r>
      <w:r>
        <w:rPr>
          <w:spacing w:val="-4"/>
        </w:rPr>
        <w:t xml:space="preserve"> </w:t>
      </w:r>
      <w:r>
        <w:t>would</w:t>
      </w:r>
      <w:r>
        <w:rPr>
          <w:spacing w:val="-3"/>
        </w:rPr>
        <w:t xml:space="preserve"> </w:t>
      </w:r>
      <w:r>
        <w:t>be</w:t>
      </w:r>
      <w:r>
        <w:rPr>
          <w:spacing w:val="-4"/>
        </w:rPr>
        <w:t xml:space="preserve"> </w:t>
      </w:r>
      <w:r>
        <w:t>that</w:t>
      </w:r>
      <w:r>
        <w:rPr>
          <w:spacing w:val="-4"/>
        </w:rPr>
        <w:t xml:space="preserve"> </w:t>
      </w:r>
      <w:r>
        <w:t>you</w:t>
      </w:r>
      <w:r>
        <w:rPr>
          <w:spacing w:val="-3"/>
        </w:rPr>
        <w:t xml:space="preserve"> </w:t>
      </w:r>
      <w:r>
        <w:t>re-wire,</w:t>
      </w:r>
      <w:r>
        <w:rPr>
          <w:spacing w:val="-3"/>
        </w:rPr>
        <w:t xml:space="preserve"> </w:t>
      </w:r>
      <w:r>
        <w:t>so</w:t>
      </w:r>
      <w:r>
        <w:rPr>
          <w:spacing w:val="-3"/>
        </w:rPr>
        <w:t xml:space="preserve"> </w:t>
      </w:r>
      <w:r>
        <w:t>to</w:t>
      </w:r>
      <w:r>
        <w:rPr>
          <w:spacing w:val="-3"/>
        </w:rPr>
        <w:t xml:space="preserve"> </w:t>
      </w:r>
      <w:r>
        <w:t>speak,</w:t>
      </w:r>
      <w:r>
        <w:rPr>
          <w:spacing w:val="-3"/>
        </w:rPr>
        <w:t xml:space="preserve"> </w:t>
      </w:r>
      <w:r>
        <w:t>your</w:t>
      </w:r>
      <w:r>
        <w:rPr>
          <w:spacing w:val="-4"/>
        </w:rPr>
        <w:t xml:space="preserve"> </w:t>
      </w:r>
      <w:r>
        <w:t>emotions—that you change how you emotionally react to situations.</w:t>
      </w:r>
    </w:p>
    <w:p w14:paraId="7E0028A1" w14:textId="77777777" w:rsidR="009A58DB" w:rsidRDefault="00000000">
      <w:pPr>
        <w:pStyle w:val="BodyText"/>
        <w:spacing w:before="8" w:line="249" w:lineRule="auto"/>
        <w:ind w:right="362" w:firstLine="360"/>
      </w:pPr>
      <w:r>
        <w:t>In light of these points, let us reconsider (B). Your innate psychological structure</w:t>
      </w:r>
      <w:r>
        <w:rPr>
          <w:spacing w:val="40"/>
        </w:rPr>
        <w:t xml:space="preserve"> </w:t>
      </w:r>
      <w:r>
        <w:t>obviously</w:t>
      </w:r>
      <w:r>
        <w:rPr>
          <w:spacing w:val="40"/>
        </w:rPr>
        <w:t xml:space="preserve"> </w:t>
      </w:r>
      <w:r>
        <w:t>puts</w:t>
      </w:r>
      <w:r>
        <w:rPr>
          <w:spacing w:val="40"/>
        </w:rPr>
        <w:t xml:space="preserve"> </w:t>
      </w:r>
      <w:r>
        <w:t>limits</w:t>
      </w:r>
      <w:r>
        <w:rPr>
          <w:spacing w:val="40"/>
        </w:rPr>
        <w:t xml:space="preserve"> </w:t>
      </w:r>
      <w:r>
        <w:t>on</w:t>
      </w:r>
      <w:r>
        <w:rPr>
          <w:spacing w:val="40"/>
        </w:rPr>
        <w:t xml:space="preserve"> </w:t>
      </w:r>
      <w:r>
        <w:t>what</w:t>
      </w:r>
      <w:r>
        <w:rPr>
          <w:spacing w:val="40"/>
        </w:rPr>
        <w:t xml:space="preserve"> </w:t>
      </w:r>
      <w:r>
        <w:t>you</w:t>
      </w:r>
      <w:r>
        <w:rPr>
          <w:spacing w:val="40"/>
        </w:rPr>
        <w:t xml:space="preserve"> </w:t>
      </w:r>
      <w:r>
        <w:t>can</w:t>
      </w:r>
      <w:r>
        <w:rPr>
          <w:spacing w:val="40"/>
        </w:rPr>
        <w:t xml:space="preserve"> </w:t>
      </w:r>
      <w:r>
        <w:t>do</w:t>
      </w:r>
      <w:r>
        <w:rPr>
          <w:spacing w:val="40"/>
        </w:rPr>
        <w:t xml:space="preserve"> </w:t>
      </w:r>
      <w:r>
        <w:t>and</w:t>
      </w:r>
      <w:r>
        <w:rPr>
          <w:spacing w:val="40"/>
        </w:rPr>
        <w:t xml:space="preserve"> </w:t>
      </w:r>
      <w:r>
        <w:t>still</w:t>
      </w:r>
      <w:r>
        <w:rPr>
          <w:spacing w:val="40"/>
        </w:rPr>
        <w:t xml:space="preserve"> </w:t>
      </w:r>
      <w:r>
        <w:t>be</w:t>
      </w:r>
      <w:r>
        <w:rPr>
          <w:spacing w:val="40"/>
        </w:rPr>
        <w:t xml:space="preserve"> </w:t>
      </w:r>
      <w:r>
        <w:t>happy. Your emotional state—and, in particular, your level of happiness—tracks your</w:t>
      </w:r>
      <w:r>
        <w:rPr>
          <w:spacing w:val="40"/>
        </w:rPr>
        <w:t xml:space="preserve"> </w:t>
      </w:r>
      <w:r>
        <w:t>views</w:t>
      </w:r>
      <w:r>
        <w:rPr>
          <w:spacing w:val="40"/>
        </w:rPr>
        <w:t xml:space="preserve"> </w:t>
      </w:r>
      <w:r>
        <w:t>as</w:t>
      </w:r>
      <w:r>
        <w:rPr>
          <w:spacing w:val="40"/>
        </w:rPr>
        <w:t xml:space="preserve"> </w:t>
      </w:r>
      <w:r>
        <w:t>to</w:t>
      </w:r>
      <w:r>
        <w:rPr>
          <w:spacing w:val="40"/>
        </w:rPr>
        <w:t xml:space="preserve"> </w:t>
      </w:r>
      <w:r>
        <w:t>the</w:t>
      </w:r>
      <w:r>
        <w:rPr>
          <w:spacing w:val="40"/>
        </w:rPr>
        <w:t xml:space="preserve"> </w:t>
      </w:r>
      <w:r>
        <w:t>moral</w:t>
      </w:r>
      <w:r>
        <w:rPr>
          <w:spacing w:val="40"/>
        </w:rPr>
        <w:t xml:space="preserve"> </w:t>
      </w:r>
      <w:r>
        <w:t>fitness</w:t>
      </w:r>
      <w:r>
        <w:rPr>
          <w:spacing w:val="40"/>
        </w:rPr>
        <w:t xml:space="preserve"> </w:t>
      </w:r>
      <w:r>
        <w:t>of</w:t>
      </w:r>
      <w:r>
        <w:rPr>
          <w:spacing w:val="40"/>
        </w:rPr>
        <w:t xml:space="preserve"> </w:t>
      </w:r>
      <w:r>
        <w:t>facts</w:t>
      </w:r>
      <w:r>
        <w:rPr>
          <w:spacing w:val="40"/>
        </w:rPr>
        <w:t xml:space="preserve"> </w:t>
      </w:r>
      <w:r>
        <w:t>about</w:t>
      </w:r>
      <w:r>
        <w:rPr>
          <w:spacing w:val="40"/>
        </w:rPr>
        <w:t xml:space="preserve"> </w:t>
      </w:r>
      <w:r>
        <w:t>your</w:t>
      </w:r>
      <w:r>
        <w:rPr>
          <w:spacing w:val="40"/>
        </w:rPr>
        <w:t xml:space="preserve"> </w:t>
      </w:r>
      <w:r>
        <w:t>life,</w:t>
      </w:r>
      <w:r>
        <w:rPr>
          <w:spacing w:val="40"/>
        </w:rPr>
        <w:t xml:space="preserve"> </w:t>
      </w:r>
      <w:r>
        <w:t>a</w:t>
      </w:r>
      <w:r>
        <w:rPr>
          <w:spacing w:val="40"/>
        </w:rPr>
        <w:t xml:space="preserve"> </w:t>
      </w:r>
      <w:r>
        <w:t>corollary being</w:t>
      </w:r>
      <w:r>
        <w:rPr>
          <w:spacing w:val="40"/>
        </w:rPr>
        <w:t xml:space="preserve"> </w:t>
      </w:r>
      <w:r>
        <w:t>that</w:t>
      </w:r>
      <w:r>
        <w:rPr>
          <w:spacing w:val="40"/>
        </w:rPr>
        <w:t xml:space="preserve"> </w:t>
      </w:r>
      <w:r>
        <w:t>your</w:t>
      </w:r>
      <w:r>
        <w:rPr>
          <w:spacing w:val="40"/>
        </w:rPr>
        <w:t xml:space="preserve"> </w:t>
      </w:r>
      <w:r>
        <w:t>emotions</w:t>
      </w:r>
      <w:r>
        <w:rPr>
          <w:spacing w:val="40"/>
        </w:rPr>
        <w:t xml:space="preserve"> </w:t>
      </w:r>
      <w:r>
        <w:t>incorporate</w:t>
      </w:r>
      <w:r>
        <w:rPr>
          <w:spacing w:val="40"/>
        </w:rPr>
        <w:t xml:space="preserve"> </w:t>
      </w:r>
      <w:r>
        <w:t>a</w:t>
      </w:r>
      <w:r>
        <w:rPr>
          <w:spacing w:val="40"/>
        </w:rPr>
        <w:t xml:space="preserve"> </w:t>
      </w:r>
      <w:r>
        <w:t>certain</w:t>
      </w:r>
      <w:r>
        <w:rPr>
          <w:spacing w:val="40"/>
        </w:rPr>
        <w:t xml:space="preserve"> </w:t>
      </w:r>
      <w:r>
        <w:t>value</w:t>
      </w:r>
      <w:r>
        <w:rPr>
          <w:spacing w:val="40"/>
        </w:rPr>
        <w:t xml:space="preserve"> </w:t>
      </w:r>
      <w:r>
        <w:t>system.</w:t>
      </w:r>
      <w:r>
        <w:rPr>
          <w:spacing w:val="40"/>
        </w:rPr>
        <w:t xml:space="preserve"> </w:t>
      </w:r>
      <w:r>
        <w:t>In</w:t>
      </w:r>
      <w:r>
        <w:rPr>
          <w:spacing w:val="40"/>
        </w:rPr>
        <w:t xml:space="preserve"> </w:t>
      </w:r>
      <w:r>
        <w:t>any</w:t>
      </w:r>
      <w:r>
        <w:rPr>
          <w:spacing w:val="40"/>
        </w:rPr>
        <w:t xml:space="preserve"> </w:t>
      </w:r>
      <w:r>
        <w:t>case, this is what we just argued; and, if it’s correct, then that value system is “wired</w:t>
      </w:r>
      <w:r>
        <w:rPr>
          <w:spacing w:val="40"/>
        </w:rPr>
        <w:t xml:space="preserve"> </w:t>
      </w:r>
      <w:r>
        <w:t>into”</w:t>
      </w:r>
      <w:r>
        <w:rPr>
          <w:spacing w:val="40"/>
        </w:rPr>
        <w:t xml:space="preserve"> </w:t>
      </w:r>
      <w:r>
        <w:t>your</w:t>
      </w:r>
      <w:r>
        <w:rPr>
          <w:spacing w:val="40"/>
        </w:rPr>
        <w:t xml:space="preserve"> </w:t>
      </w:r>
      <w:r>
        <w:t>emotional</w:t>
      </w:r>
      <w:r>
        <w:rPr>
          <w:spacing w:val="40"/>
        </w:rPr>
        <w:t xml:space="preserve"> </w:t>
      </w:r>
      <w:r>
        <w:t>constitution</w:t>
      </w:r>
      <w:r>
        <w:rPr>
          <w:spacing w:val="40"/>
        </w:rPr>
        <w:t xml:space="preserve"> </w:t>
      </w:r>
      <w:r>
        <w:t>(i.e.,</w:t>
      </w:r>
      <w:r>
        <w:rPr>
          <w:spacing w:val="40"/>
        </w:rPr>
        <w:t xml:space="preserve"> </w:t>
      </w:r>
      <w:r>
        <w:t>you</w:t>
      </w:r>
      <w:r>
        <w:rPr>
          <w:spacing w:val="40"/>
        </w:rPr>
        <w:t xml:space="preserve"> </w:t>
      </w:r>
      <w:r>
        <w:t>are</w:t>
      </w:r>
      <w:r>
        <w:rPr>
          <w:spacing w:val="40"/>
        </w:rPr>
        <w:t xml:space="preserve"> </w:t>
      </w:r>
      <w:r>
        <w:t>wired</w:t>
      </w:r>
      <w:r>
        <w:rPr>
          <w:spacing w:val="40"/>
        </w:rPr>
        <w:t xml:space="preserve"> </w:t>
      </w:r>
      <w:r>
        <w:t>to</w:t>
      </w:r>
      <w:r>
        <w:rPr>
          <w:spacing w:val="40"/>
        </w:rPr>
        <w:t xml:space="preserve"> </w:t>
      </w:r>
      <w:r>
        <w:t>have certain</w:t>
      </w:r>
      <w:r>
        <w:rPr>
          <w:spacing w:val="40"/>
        </w:rPr>
        <w:t xml:space="preserve"> </w:t>
      </w:r>
      <w:r>
        <w:t>values)</w:t>
      </w:r>
      <w:r>
        <w:rPr>
          <w:spacing w:val="40"/>
        </w:rPr>
        <w:t xml:space="preserve"> </w:t>
      </w:r>
      <w:r>
        <w:t>and</w:t>
      </w:r>
      <w:r>
        <w:rPr>
          <w:spacing w:val="40"/>
        </w:rPr>
        <w:t xml:space="preserve"> </w:t>
      </w:r>
      <w:r>
        <w:t>you</w:t>
      </w:r>
      <w:r>
        <w:rPr>
          <w:spacing w:val="40"/>
        </w:rPr>
        <w:t xml:space="preserve"> </w:t>
      </w:r>
      <w:r>
        <w:t>thus</w:t>
      </w:r>
      <w:r>
        <w:rPr>
          <w:spacing w:val="40"/>
        </w:rPr>
        <w:t xml:space="preserve"> </w:t>
      </w:r>
      <w:r>
        <w:t>would</w:t>
      </w:r>
      <w:r>
        <w:rPr>
          <w:spacing w:val="40"/>
        </w:rPr>
        <w:t xml:space="preserve"> </w:t>
      </w:r>
      <w:r>
        <w:t>be</w:t>
      </w:r>
      <w:r>
        <w:rPr>
          <w:spacing w:val="40"/>
        </w:rPr>
        <w:t xml:space="preserve"> </w:t>
      </w:r>
      <w:r>
        <w:t>able</w:t>
      </w:r>
      <w:r>
        <w:rPr>
          <w:spacing w:val="40"/>
        </w:rPr>
        <w:t xml:space="preserve"> </w:t>
      </w:r>
      <w:r>
        <w:t>to</w:t>
      </w:r>
      <w:r>
        <w:rPr>
          <w:spacing w:val="40"/>
        </w:rPr>
        <w:t xml:space="preserve"> </w:t>
      </w:r>
      <w:r>
        <w:t>adopt</w:t>
      </w:r>
      <w:r>
        <w:rPr>
          <w:spacing w:val="40"/>
        </w:rPr>
        <w:t xml:space="preserve"> </w:t>
      </w:r>
      <w:r>
        <w:t>a</w:t>
      </w:r>
      <w:r>
        <w:rPr>
          <w:spacing w:val="40"/>
        </w:rPr>
        <w:t xml:space="preserve"> </w:t>
      </w:r>
      <w:r>
        <w:t>new</w:t>
      </w:r>
      <w:r>
        <w:rPr>
          <w:spacing w:val="40"/>
        </w:rPr>
        <w:t xml:space="preserve"> </w:t>
      </w:r>
      <w:r>
        <w:t>value</w:t>
      </w:r>
      <w:r>
        <w:rPr>
          <w:spacing w:val="40"/>
        </w:rPr>
        <w:t xml:space="preserve"> </w:t>
      </w:r>
      <w:r>
        <w:t>system only</w:t>
      </w:r>
      <w:r>
        <w:rPr>
          <w:spacing w:val="40"/>
        </w:rPr>
        <w:t xml:space="preserve"> </w:t>
      </w:r>
      <w:r>
        <w:t>at</w:t>
      </w:r>
      <w:r>
        <w:rPr>
          <w:spacing w:val="40"/>
        </w:rPr>
        <w:t xml:space="preserve"> </w:t>
      </w:r>
      <w:r>
        <w:t>the</w:t>
      </w:r>
      <w:r>
        <w:rPr>
          <w:spacing w:val="40"/>
        </w:rPr>
        <w:t xml:space="preserve"> </w:t>
      </w:r>
      <w:r>
        <w:t>expense</w:t>
      </w:r>
      <w:r>
        <w:rPr>
          <w:spacing w:val="40"/>
        </w:rPr>
        <w:t xml:space="preserve"> </w:t>
      </w:r>
      <w:r>
        <w:t>of</w:t>
      </w:r>
      <w:r>
        <w:rPr>
          <w:spacing w:val="40"/>
        </w:rPr>
        <w:t xml:space="preserve"> </w:t>
      </w:r>
      <w:r>
        <w:t>your</w:t>
      </w:r>
      <w:r>
        <w:rPr>
          <w:spacing w:val="40"/>
        </w:rPr>
        <w:t xml:space="preserve"> </w:t>
      </w:r>
      <w:r>
        <w:t>own</w:t>
      </w:r>
      <w:r>
        <w:rPr>
          <w:spacing w:val="40"/>
        </w:rPr>
        <w:t xml:space="preserve"> </w:t>
      </w:r>
      <w:r>
        <w:t>emotional</w:t>
      </w:r>
      <w:r>
        <w:rPr>
          <w:spacing w:val="40"/>
        </w:rPr>
        <w:t xml:space="preserve"> </w:t>
      </w:r>
      <w:r>
        <w:t>well-being.</w:t>
      </w:r>
      <w:r>
        <w:rPr>
          <w:spacing w:val="40"/>
        </w:rPr>
        <w:t xml:space="preserve"> </w:t>
      </w:r>
      <w:r>
        <w:t>To</w:t>
      </w:r>
      <w:r>
        <w:rPr>
          <w:spacing w:val="40"/>
        </w:rPr>
        <w:t xml:space="preserve"> </w:t>
      </w:r>
      <w:r>
        <w:t>sum</w:t>
      </w:r>
      <w:r>
        <w:rPr>
          <w:spacing w:val="40"/>
        </w:rPr>
        <w:t xml:space="preserve"> </w:t>
      </w:r>
      <w:r>
        <w:t>up,</w:t>
      </w:r>
      <w:r>
        <w:rPr>
          <w:spacing w:val="40"/>
        </w:rPr>
        <w:t xml:space="preserve"> </w:t>
      </w:r>
      <w:r>
        <w:t xml:space="preserve">given </w:t>
      </w:r>
      <w:r>
        <w:rPr>
          <w:spacing w:val="-4"/>
        </w:rPr>
        <w:t>the</w:t>
      </w:r>
    </w:p>
    <w:p w14:paraId="7E0028A2" w14:textId="77777777" w:rsidR="009A58DB" w:rsidRDefault="00000000">
      <w:pPr>
        <w:pStyle w:val="BodyText"/>
        <w:spacing w:before="12" w:line="249" w:lineRule="auto"/>
        <w:ind w:right="365"/>
      </w:pPr>
      <w:r>
        <w:t xml:space="preserve">reasonable view that what a person feels is not entirely independent of that person’s views as to the moral fitness of facts relating to his or her life, it follows that certain value systems are internal to his/her emotional architecture. In that case, given our emotional architecture, we </w:t>
      </w:r>
      <w:r>
        <w:rPr>
          <w:i/>
        </w:rPr>
        <w:t xml:space="preserve">cannot </w:t>
      </w:r>
      <w:r>
        <w:t>accept just any value system and still be happy.</w:t>
      </w:r>
    </w:p>
    <w:p w14:paraId="7E0028A3" w14:textId="77777777" w:rsidR="009A58DB" w:rsidRDefault="00000000">
      <w:pPr>
        <w:pStyle w:val="BodyText"/>
        <w:spacing w:before="6" w:line="249" w:lineRule="auto"/>
        <w:ind w:right="364" w:firstLine="360"/>
      </w:pPr>
      <w:r>
        <w:t xml:space="preserve">This doesn’t mean that all people have the same values—clearly they don’t. But what it means (or at least suggests) is that the </w:t>
      </w:r>
      <w:r>
        <w:rPr>
          <w:i/>
        </w:rPr>
        <w:t xml:space="preserve">range of admissible </w:t>
      </w:r>
      <w:r>
        <w:t xml:space="preserve">value systems is limited by immutable facts about our psychology (and </w:t>
      </w:r>
      <w:r>
        <w:rPr>
          <w:spacing w:val="-2"/>
        </w:rPr>
        <w:t>biology).</w:t>
      </w:r>
    </w:p>
    <w:p w14:paraId="7E0028A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A5" w14:textId="77777777" w:rsidR="009A58DB" w:rsidRDefault="00000000">
      <w:pPr>
        <w:pStyle w:val="Heading1"/>
        <w:spacing w:before="53"/>
        <w:ind w:left="360" w:firstLine="0"/>
      </w:pPr>
      <w:r>
        <w:lastRenderedPageBreak/>
        <w:t>4.1</w:t>
      </w:r>
      <w:r>
        <w:rPr>
          <w:spacing w:val="-5"/>
        </w:rPr>
        <w:t xml:space="preserve"> </w:t>
      </w:r>
      <w:r>
        <w:t>Morality</w:t>
      </w:r>
      <w:r>
        <w:rPr>
          <w:spacing w:val="-2"/>
        </w:rPr>
        <w:t xml:space="preserve"> </w:t>
      </w:r>
      <w:r>
        <w:t>and</w:t>
      </w:r>
      <w:r>
        <w:rPr>
          <w:spacing w:val="-3"/>
        </w:rPr>
        <w:t xml:space="preserve"> </w:t>
      </w:r>
      <w:r>
        <w:t>language</w:t>
      </w:r>
      <w:r>
        <w:rPr>
          <w:spacing w:val="-3"/>
        </w:rPr>
        <w:t xml:space="preserve"> </w:t>
      </w:r>
      <w:r>
        <w:rPr>
          <w:spacing w:val="-2"/>
        </w:rPr>
        <w:t>compared</w:t>
      </w:r>
    </w:p>
    <w:p w14:paraId="7E0028A6" w14:textId="77777777" w:rsidR="009A58DB" w:rsidRDefault="00000000">
      <w:pPr>
        <w:pStyle w:val="BodyText"/>
        <w:spacing w:before="139" w:line="249" w:lineRule="auto"/>
        <w:ind w:right="358"/>
      </w:pPr>
      <w:r>
        <w:t>Obviously there are different viable languages—in fact, infinitely many different</w:t>
      </w:r>
      <w:r>
        <w:rPr>
          <w:spacing w:val="-2"/>
        </w:rPr>
        <w:t xml:space="preserve"> </w:t>
      </w:r>
      <w:r>
        <w:t>(possible)</w:t>
      </w:r>
      <w:r>
        <w:rPr>
          <w:spacing w:val="-2"/>
        </w:rPr>
        <w:t xml:space="preserve"> </w:t>
      </w:r>
      <w:r>
        <w:t>viable</w:t>
      </w:r>
      <w:r>
        <w:rPr>
          <w:spacing w:val="-2"/>
        </w:rPr>
        <w:t xml:space="preserve"> </w:t>
      </w:r>
      <w:r>
        <w:t>languages.</w:t>
      </w:r>
      <w:r>
        <w:rPr>
          <w:spacing w:val="-2"/>
        </w:rPr>
        <w:t xml:space="preserve"> </w:t>
      </w:r>
      <w:r>
        <w:t>But</w:t>
      </w:r>
      <w:r>
        <w:rPr>
          <w:spacing w:val="-2"/>
        </w:rPr>
        <w:t xml:space="preserve"> </w:t>
      </w:r>
      <w:r>
        <w:t>Chomsky</w:t>
      </w:r>
      <w:r>
        <w:rPr>
          <w:spacing w:val="-2"/>
        </w:rPr>
        <w:t xml:space="preserve"> </w:t>
      </w:r>
      <w:r>
        <w:t>showed</w:t>
      </w:r>
      <w:r>
        <w:rPr>
          <w:spacing w:val="-2"/>
        </w:rPr>
        <w:t xml:space="preserve"> </w:t>
      </w:r>
      <w:r>
        <w:t>that</w:t>
      </w:r>
      <w:r>
        <w:rPr>
          <w:spacing w:val="-2"/>
        </w:rPr>
        <w:t xml:space="preserve"> </w:t>
      </w:r>
      <w:r>
        <w:t>any</w:t>
      </w:r>
      <w:r>
        <w:rPr>
          <w:spacing w:val="-2"/>
        </w:rPr>
        <w:t xml:space="preserve"> </w:t>
      </w:r>
      <w:r>
        <w:t xml:space="preserve">humanly learnable language satisfies rather narrowly defined formal constraints. And, as Chomsky points out, this strongly suggests that the range of languages that are viable (for humans) is set by innate facts about our psychological-biological structure—that we are “hardwired” to learn languages that have certain basic structural properties. Similarly, even though it is obvious that not all people have the same values, the range of psychologically (and biologically) admissible values is limited. (This doesn’t mean that there are a finite number of </w:t>
      </w:r>
      <w:r>
        <w:rPr>
          <w:i/>
        </w:rPr>
        <w:t xml:space="preserve">specific </w:t>
      </w:r>
      <w:r>
        <w:t xml:space="preserve">admissible values—it means that there are a finite number of </w:t>
      </w:r>
      <w:r>
        <w:rPr>
          <w:i/>
        </w:rPr>
        <w:t xml:space="preserve">kinds </w:t>
      </w:r>
      <w:r>
        <w:t>of admissible values.) It thus seems that (B) is false; for it doesn’t seem correct to say that your innate psychological structure puts no limits on what kind of value system you can happily accept.</w:t>
      </w:r>
    </w:p>
    <w:p w14:paraId="7E0028A7" w14:textId="77777777" w:rsidR="009A58DB" w:rsidRDefault="00000000">
      <w:pPr>
        <w:pStyle w:val="BodyText"/>
        <w:spacing w:before="16" w:line="249" w:lineRule="auto"/>
        <w:ind w:right="359" w:firstLine="360"/>
      </w:pPr>
      <w:r>
        <w:t xml:space="preserve">A stronger point seems to be warranted. If, as we’ve been arguing, a value system (or, possibly, a plurality of value systems) is internal to your emotional architecture, then there are limits not only to what kinds of value systems you can happily accept, but to what you kinds of value systems you can accept </w:t>
      </w:r>
      <w:r>
        <w:rPr>
          <w:i/>
        </w:rPr>
        <w:t xml:space="preserve">at all. </w:t>
      </w:r>
      <w:r>
        <w:t>Presumably, you cannot change (except within fairly</w:t>
      </w:r>
      <w:r>
        <w:rPr>
          <w:spacing w:val="40"/>
        </w:rPr>
        <w:t xml:space="preserve"> </w:t>
      </w:r>
      <w:r>
        <w:t>narrow limits) how you emotionally react to situations. So supposing that, as we’ve been arguing, you can change your value system only by changing your emotional architecture, then you cannot (except in trivial respects) change your value system at all. Of course, you can, in terms of your overt behavior,</w:t>
      </w:r>
      <w:r>
        <w:rPr>
          <w:spacing w:val="-3"/>
        </w:rPr>
        <w:t xml:space="preserve"> </w:t>
      </w:r>
      <w:r>
        <w:rPr>
          <w:i/>
        </w:rPr>
        <w:t>comply</w:t>
      </w:r>
      <w:r>
        <w:rPr>
          <w:i/>
          <w:spacing w:val="-4"/>
        </w:rPr>
        <w:t xml:space="preserve"> </w:t>
      </w:r>
      <w:r>
        <w:t>with</w:t>
      </w:r>
      <w:r>
        <w:rPr>
          <w:spacing w:val="-2"/>
        </w:rPr>
        <w:t xml:space="preserve"> </w:t>
      </w:r>
      <w:r>
        <w:t>a</w:t>
      </w:r>
      <w:r>
        <w:rPr>
          <w:spacing w:val="-2"/>
        </w:rPr>
        <w:t xml:space="preserve"> </w:t>
      </w:r>
      <w:r>
        <w:t>value</w:t>
      </w:r>
      <w:r>
        <w:rPr>
          <w:spacing w:val="-2"/>
        </w:rPr>
        <w:t xml:space="preserve"> </w:t>
      </w:r>
      <w:r>
        <w:t>system</w:t>
      </w:r>
      <w:r>
        <w:rPr>
          <w:spacing w:val="-2"/>
        </w:rPr>
        <w:t xml:space="preserve"> </w:t>
      </w:r>
      <w:r>
        <w:t>that</w:t>
      </w:r>
      <w:r>
        <w:rPr>
          <w:spacing w:val="-2"/>
        </w:rPr>
        <w:t xml:space="preserve"> </w:t>
      </w:r>
      <w:r>
        <w:t>doesn’t</w:t>
      </w:r>
      <w:r>
        <w:rPr>
          <w:spacing w:val="-2"/>
        </w:rPr>
        <w:t xml:space="preserve"> </w:t>
      </w:r>
      <w:r>
        <w:t>make</w:t>
      </w:r>
      <w:r>
        <w:rPr>
          <w:spacing w:val="-2"/>
        </w:rPr>
        <w:t xml:space="preserve"> </w:t>
      </w:r>
      <w:r>
        <w:t>you</w:t>
      </w:r>
      <w:r>
        <w:rPr>
          <w:spacing w:val="-2"/>
        </w:rPr>
        <w:t xml:space="preserve"> </w:t>
      </w:r>
      <w:r>
        <w:t>happy.</w:t>
      </w:r>
      <w:r>
        <w:rPr>
          <w:spacing w:val="-2"/>
        </w:rPr>
        <w:t xml:space="preserve"> </w:t>
      </w:r>
      <w:r>
        <w:t>But</w:t>
      </w:r>
      <w:r>
        <w:rPr>
          <w:spacing w:val="-2"/>
        </w:rPr>
        <w:t xml:space="preserve"> </w:t>
      </w:r>
      <w:r>
        <w:t>if</w:t>
      </w:r>
      <w:r>
        <w:rPr>
          <w:spacing w:val="-2"/>
        </w:rPr>
        <w:t xml:space="preserve"> </w:t>
      </w:r>
      <w:r>
        <w:t xml:space="preserve">the view we’ve been defending is right, you don’t </w:t>
      </w:r>
      <w:r>
        <w:rPr>
          <w:i/>
        </w:rPr>
        <w:t xml:space="preserve">really </w:t>
      </w:r>
      <w:r>
        <w:t xml:space="preserve">accept such a value system. If your emotions reflect your </w:t>
      </w:r>
      <w:r>
        <w:rPr>
          <w:i/>
        </w:rPr>
        <w:t xml:space="preserve">actual </w:t>
      </w:r>
      <w:r>
        <w:t xml:space="preserve">values, then you don’t </w:t>
      </w:r>
      <w:r>
        <w:rPr>
          <w:i/>
        </w:rPr>
        <w:t xml:space="preserve">really </w:t>
      </w:r>
      <w:r>
        <w:t>accept a value system that brings you misery.</w:t>
      </w:r>
    </w:p>
    <w:p w14:paraId="7E0028A8" w14:textId="77777777" w:rsidR="009A58DB" w:rsidRDefault="00000000">
      <w:pPr>
        <w:pStyle w:val="BodyText"/>
        <w:spacing w:before="16" w:line="249" w:lineRule="auto"/>
        <w:ind w:right="363" w:firstLine="360"/>
      </w:pPr>
      <w:r>
        <w:t>We may conclude that (B) is not true. It does not seem to be the case that one’s innate psycho-biological endowment puts no limits on what kind of value system one can accept without jeopardizing one’s chances of having a happy or otherwise good life.</w:t>
      </w:r>
    </w:p>
    <w:p w14:paraId="7E0028A9" w14:textId="77777777" w:rsidR="009A58DB" w:rsidRDefault="009A58DB">
      <w:pPr>
        <w:pStyle w:val="BodyText"/>
        <w:spacing w:line="249" w:lineRule="auto"/>
        <w:sectPr w:rsidR="009A58DB">
          <w:pgSz w:w="12240" w:h="15840"/>
          <w:pgMar w:top="1580" w:right="1080" w:bottom="280" w:left="1080" w:header="720" w:footer="720" w:gutter="0"/>
          <w:cols w:space="720"/>
        </w:sectPr>
      </w:pPr>
    </w:p>
    <w:p w14:paraId="7E0028AA" w14:textId="77777777" w:rsidR="009A58DB" w:rsidRDefault="009A58DB">
      <w:pPr>
        <w:pStyle w:val="BodyText"/>
        <w:spacing w:before="4"/>
        <w:ind w:left="0"/>
        <w:jc w:val="left"/>
        <w:rPr>
          <w:sz w:val="17"/>
        </w:rPr>
      </w:pPr>
    </w:p>
    <w:p w14:paraId="7E0028AB"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8AC" w14:textId="77777777" w:rsidR="009A58DB" w:rsidRDefault="009A58DB">
      <w:pPr>
        <w:pStyle w:val="BodyText"/>
        <w:spacing w:before="4"/>
        <w:ind w:left="0"/>
        <w:jc w:val="left"/>
        <w:rPr>
          <w:sz w:val="17"/>
        </w:rPr>
      </w:pPr>
    </w:p>
    <w:p w14:paraId="7E0028AD"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8AE" w14:textId="77777777" w:rsidR="009A58DB" w:rsidRDefault="00000000">
      <w:pPr>
        <w:spacing w:line="503" w:lineRule="exact"/>
        <w:ind w:left="326" w:right="332"/>
        <w:jc w:val="center"/>
        <w:rPr>
          <w:rFonts w:ascii="Calibri Light"/>
          <w:sz w:val="42"/>
        </w:rPr>
      </w:pPr>
      <w:bookmarkStart w:id="564" w:name="_bookmark564"/>
      <w:bookmarkEnd w:id="564"/>
      <w:r>
        <w:rPr>
          <w:rFonts w:ascii="Calibri Light"/>
          <w:sz w:val="42"/>
        </w:rPr>
        <w:lastRenderedPageBreak/>
        <w:t>Chapter</w:t>
      </w:r>
      <w:r>
        <w:rPr>
          <w:rFonts w:ascii="Calibri Light"/>
          <w:spacing w:val="56"/>
          <w:sz w:val="42"/>
        </w:rPr>
        <w:t xml:space="preserve"> </w:t>
      </w:r>
      <w:r>
        <w:rPr>
          <w:rFonts w:ascii="Calibri Light"/>
          <w:spacing w:val="-5"/>
          <w:sz w:val="42"/>
        </w:rPr>
        <w:t>27</w:t>
      </w:r>
    </w:p>
    <w:p w14:paraId="7E0028AF" w14:textId="77777777" w:rsidR="009A58DB" w:rsidRDefault="00000000">
      <w:pPr>
        <w:spacing w:before="222"/>
        <w:ind w:left="326" w:right="332"/>
        <w:jc w:val="center"/>
        <w:rPr>
          <w:rFonts w:ascii="Calibri Light"/>
          <w:sz w:val="42"/>
        </w:rPr>
      </w:pPr>
      <w:bookmarkStart w:id="565" w:name="_bookmark565"/>
      <w:bookmarkEnd w:id="565"/>
      <w:r>
        <w:rPr>
          <w:rFonts w:ascii="Calibri Light"/>
          <w:spacing w:val="-5"/>
          <w:sz w:val="42"/>
        </w:rPr>
        <w:t>Law</w:t>
      </w:r>
    </w:p>
    <w:p w14:paraId="7E0028B0" w14:textId="77777777" w:rsidR="009A58DB" w:rsidRDefault="00000000">
      <w:pPr>
        <w:pStyle w:val="BodyText"/>
        <w:spacing w:before="57" w:line="249" w:lineRule="auto"/>
        <w:ind w:right="359"/>
      </w:pPr>
      <w:r>
        <w:t>It’s</w:t>
      </w:r>
      <w:r>
        <w:rPr>
          <w:spacing w:val="-1"/>
        </w:rPr>
        <w:t xml:space="preserve"> </w:t>
      </w:r>
      <w:r>
        <w:t>widely</w:t>
      </w:r>
      <w:r>
        <w:rPr>
          <w:spacing w:val="-1"/>
        </w:rPr>
        <w:t xml:space="preserve"> </w:t>
      </w:r>
      <w:r>
        <w:t>held</w:t>
      </w:r>
      <w:r>
        <w:rPr>
          <w:spacing w:val="-1"/>
        </w:rPr>
        <w:t xml:space="preserve"> </w:t>
      </w:r>
      <w:r>
        <w:t>that</w:t>
      </w:r>
      <w:r>
        <w:rPr>
          <w:spacing w:val="-1"/>
        </w:rPr>
        <w:t xml:space="preserve"> </w:t>
      </w:r>
      <w:r>
        <w:t>laws</w:t>
      </w:r>
      <w:r>
        <w:rPr>
          <w:spacing w:val="-1"/>
        </w:rPr>
        <w:t xml:space="preserve"> </w:t>
      </w:r>
      <w:r>
        <w:t>are</w:t>
      </w:r>
      <w:r>
        <w:rPr>
          <w:spacing w:val="-1"/>
        </w:rPr>
        <w:t xml:space="preserve"> </w:t>
      </w:r>
      <w:r>
        <w:t>nothing</w:t>
      </w:r>
      <w:r>
        <w:rPr>
          <w:spacing w:val="-1"/>
        </w:rPr>
        <w:t xml:space="preserve"> </w:t>
      </w:r>
      <w:r>
        <w:t>other</w:t>
      </w:r>
      <w:r>
        <w:rPr>
          <w:spacing w:val="-1"/>
        </w:rPr>
        <w:t xml:space="preserve"> </w:t>
      </w:r>
      <w:r>
        <w:t>than</w:t>
      </w:r>
      <w:r>
        <w:rPr>
          <w:spacing w:val="-1"/>
        </w:rPr>
        <w:t xml:space="preserve"> </w:t>
      </w:r>
      <w:r>
        <w:t>mechanisms</w:t>
      </w:r>
      <w:r>
        <w:rPr>
          <w:spacing w:val="-1"/>
        </w:rPr>
        <w:t xml:space="preserve"> </w:t>
      </w:r>
      <w:r>
        <w:t>of</w:t>
      </w:r>
      <w:r>
        <w:rPr>
          <w:spacing w:val="-1"/>
        </w:rPr>
        <w:t xml:space="preserve"> </w:t>
      </w:r>
      <w:r>
        <w:t>coercion</w:t>
      </w:r>
      <w:r>
        <w:rPr>
          <w:spacing w:val="-1"/>
        </w:rPr>
        <w:t xml:space="preserve"> </w:t>
      </w:r>
      <w:r>
        <w:t xml:space="preserve">and, therefore, that law is primarily about power, and only secondarily, if at all, about morality. Nobody denies that laws and legal systems may </w:t>
      </w:r>
      <w:r>
        <w:rPr>
          <w:i/>
        </w:rPr>
        <w:t>happen</w:t>
      </w:r>
      <w:r>
        <w:rPr>
          <w:i/>
          <w:spacing w:val="-2"/>
        </w:rPr>
        <w:t xml:space="preserve"> </w:t>
      </w:r>
      <w:r>
        <w:t>to be good.</w:t>
      </w:r>
      <w:r>
        <w:rPr>
          <w:spacing w:val="-2"/>
        </w:rPr>
        <w:t xml:space="preserve"> </w:t>
      </w:r>
      <w:r>
        <w:t>But</w:t>
      </w:r>
      <w:r>
        <w:rPr>
          <w:spacing w:val="-2"/>
        </w:rPr>
        <w:t xml:space="preserve"> </w:t>
      </w:r>
      <w:r>
        <w:t>those</w:t>
      </w:r>
      <w:r>
        <w:rPr>
          <w:spacing w:val="-2"/>
        </w:rPr>
        <w:t xml:space="preserve"> </w:t>
      </w:r>
      <w:r>
        <w:t>who</w:t>
      </w:r>
      <w:r>
        <w:rPr>
          <w:spacing w:val="-2"/>
        </w:rPr>
        <w:t xml:space="preserve"> </w:t>
      </w:r>
      <w:r>
        <w:t>grant</w:t>
      </w:r>
      <w:r>
        <w:rPr>
          <w:spacing w:val="-2"/>
        </w:rPr>
        <w:t xml:space="preserve"> </w:t>
      </w:r>
      <w:r>
        <w:t>this</w:t>
      </w:r>
      <w:r>
        <w:rPr>
          <w:spacing w:val="-2"/>
        </w:rPr>
        <w:t xml:space="preserve"> </w:t>
      </w:r>
      <w:r>
        <w:t>often</w:t>
      </w:r>
      <w:r>
        <w:rPr>
          <w:spacing w:val="-2"/>
        </w:rPr>
        <w:t xml:space="preserve"> </w:t>
      </w:r>
      <w:r>
        <w:t>hold</w:t>
      </w:r>
      <w:r>
        <w:rPr>
          <w:spacing w:val="-2"/>
        </w:rPr>
        <w:t xml:space="preserve"> </w:t>
      </w:r>
      <w:r>
        <w:t>that</w:t>
      </w:r>
      <w:r>
        <w:rPr>
          <w:spacing w:val="-2"/>
        </w:rPr>
        <w:t xml:space="preserve"> </w:t>
      </w:r>
      <w:r>
        <w:t>it</w:t>
      </w:r>
      <w:r>
        <w:rPr>
          <w:spacing w:val="-2"/>
        </w:rPr>
        <w:t xml:space="preserve"> </w:t>
      </w:r>
      <w:r>
        <w:t>isn’t</w:t>
      </w:r>
      <w:r>
        <w:rPr>
          <w:spacing w:val="-2"/>
        </w:rPr>
        <w:t xml:space="preserve"> </w:t>
      </w:r>
      <w:r>
        <w:rPr>
          <w:i/>
        </w:rPr>
        <w:t>inherent</w:t>
      </w:r>
      <w:r>
        <w:rPr>
          <w:i/>
          <w:spacing w:val="-4"/>
        </w:rPr>
        <w:t xml:space="preserve"> </w:t>
      </w:r>
      <w:r>
        <w:t>in the nature of law that legal systems must be good, their position being that any overlap between law and morality is incidental to what law is.</w:t>
      </w:r>
    </w:p>
    <w:p w14:paraId="7E0028B1" w14:textId="77777777" w:rsidR="009A58DB" w:rsidRDefault="00000000">
      <w:pPr>
        <w:pStyle w:val="BodyText"/>
        <w:spacing w:before="8" w:line="249" w:lineRule="auto"/>
        <w:ind w:right="363" w:firstLine="360"/>
      </w:pPr>
      <w:r>
        <w:t>Is</w:t>
      </w:r>
      <w:r>
        <w:rPr>
          <w:spacing w:val="-5"/>
        </w:rPr>
        <w:t xml:space="preserve"> </w:t>
      </w:r>
      <w:r>
        <w:t>this</w:t>
      </w:r>
      <w:r>
        <w:rPr>
          <w:spacing w:val="-5"/>
        </w:rPr>
        <w:t xml:space="preserve"> </w:t>
      </w:r>
      <w:r>
        <w:t>right?</w:t>
      </w:r>
      <w:r>
        <w:rPr>
          <w:spacing w:val="-5"/>
        </w:rPr>
        <w:t xml:space="preserve"> </w:t>
      </w:r>
      <w:r>
        <w:t>Are</w:t>
      </w:r>
      <w:r>
        <w:rPr>
          <w:spacing w:val="-5"/>
        </w:rPr>
        <w:t xml:space="preserve"> </w:t>
      </w:r>
      <w:r>
        <w:t>legal</w:t>
      </w:r>
      <w:r>
        <w:rPr>
          <w:spacing w:val="-5"/>
        </w:rPr>
        <w:t xml:space="preserve"> </w:t>
      </w:r>
      <w:r>
        <w:t>systems</w:t>
      </w:r>
      <w:r>
        <w:rPr>
          <w:spacing w:val="-5"/>
        </w:rPr>
        <w:t xml:space="preserve"> </w:t>
      </w:r>
      <w:r>
        <w:t>primarily</w:t>
      </w:r>
      <w:r>
        <w:rPr>
          <w:spacing w:val="-4"/>
        </w:rPr>
        <w:t xml:space="preserve"> </w:t>
      </w:r>
      <w:r>
        <w:t>instruments</w:t>
      </w:r>
      <w:r>
        <w:rPr>
          <w:spacing w:val="-5"/>
        </w:rPr>
        <w:t xml:space="preserve"> </w:t>
      </w:r>
      <w:r>
        <w:t>of</w:t>
      </w:r>
      <w:r>
        <w:rPr>
          <w:spacing w:val="-5"/>
        </w:rPr>
        <w:t xml:space="preserve"> </w:t>
      </w:r>
      <w:r>
        <w:t>coercion,</w:t>
      </w:r>
      <w:r>
        <w:rPr>
          <w:spacing w:val="-4"/>
        </w:rPr>
        <w:t xml:space="preserve"> </w:t>
      </w:r>
      <w:r>
        <w:t>and</w:t>
      </w:r>
      <w:r>
        <w:rPr>
          <w:spacing w:val="-4"/>
        </w:rPr>
        <w:t xml:space="preserve"> </w:t>
      </w:r>
      <w:r>
        <w:t>only secondarily, if at all, ways of promoting the ends of morality? Or is it</w:t>
      </w:r>
      <w:r>
        <w:rPr>
          <w:spacing w:val="40"/>
        </w:rPr>
        <w:t xml:space="preserve"> </w:t>
      </w:r>
      <w:r>
        <w:t>inherent in the nature of law that legal systems must embody a certain morality?</w:t>
      </w:r>
      <w:r>
        <w:rPr>
          <w:spacing w:val="-4"/>
        </w:rPr>
        <w:t xml:space="preserve"> </w:t>
      </w:r>
      <w:r>
        <w:t>The</w:t>
      </w:r>
      <w:r>
        <w:rPr>
          <w:spacing w:val="-4"/>
        </w:rPr>
        <w:t xml:space="preserve"> </w:t>
      </w:r>
      <w:r>
        <w:t>facts</w:t>
      </w:r>
      <w:r>
        <w:rPr>
          <w:spacing w:val="-4"/>
        </w:rPr>
        <w:t xml:space="preserve"> </w:t>
      </w:r>
      <w:r>
        <w:t>seem</w:t>
      </w:r>
      <w:r>
        <w:rPr>
          <w:spacing w:val="-4"/>
        </w:rPr>
        <w:t xml:space="preserve"> </w:t>
      </w:r>
      <w:r>
        <w:t>to</w:t>
      </w:r>
      <w:r>
        <w:rPr>
          <w:spacing w:val="-3"/>
        </w:rPr>
        <w:t xml:space="preserve"> </w:t>
      </w:r>
      <w:r>
        <w:t>demand</w:t>
      </w:r>
      <w:r>
        <w:rPr>
          <w:spacing w:val="-3"/>
        </w:rPr>
        <w:t xml:space="preserve"> </w:t>
      </w:r>
      <w:r>
        <w:t>that</w:t>
      </w:r>
      <w:r>
        <w:rPr>
          <w:spacing w:val="-4"/>
        </w:rPr>
        <w:t xml:space="preserve"> </w:t>
      </w:r>
      <w:r>
        <w:t>the</w:t>
      </w:r>
      <w:r>
        <w:rPr>
          <w:spacing w:val="-4"/>
        </w:rPr>
        <w:t xml:space="preserve"> </w:t>
      </w:r>
      <w:r>
        <w:t>first</w:t>
      </w:r>
      <w:r>
        <w:rPr>
          <w:spacing w:val="-4"/>
        </w:rPr>
        <w:t xml:space="preserve"> </w:t>
      </w:r>
      <w:r>
        <w:t>question</w:t>
      </w:r>
      <w:r>
        <w:rPr>
          <w:spacing w:val="-3"/>
        </w:rPr>
        <w:t xml:space="preserve"> </w:t>
      </w:r>
      <w:r>
        <w:t>be</w:t>
      </w:r>
      <w:r>
        <w:rPr>
          <w:spacing w:val="-4"/>
        </w:rPr>
        <w:t xml:space="preserve"> </w:t>
      </w:r>
      <w:r>
        <w:t>answered</w:t>
      </w:r>
      <w:r>
        <w:rPr>
          <w:spacing w:val="-3"/>
        </w:rPr>
        <w:t xml:space="preserve"> </w:t>
      </w:r>
      <w:r>
        <w:t>with</w:t>
      </w:r>
      <w:r>
        <w:rPr>
          <w:spacing w:val="-3"/>
        </w:rPr>
        <w:t xml:space="preserve"> </w:t>
      </w:r>
      <w:r>
        <w:t>a “yes” and the second with a “no.” Fact: there are evil laws. Fact: laws are used to force people to do things they don’t want to do and aren’t ethically required to do. Fact: there are supremely immoral legal systems.</w:t>
      </w:r>
    </w:p>
    <w:p w14:paraId="7E0028B2" w14:textId="77777777" w:rsidR="009A58DB" w:rsidRDefault="00000000">
      <w:pPr>
        <w:pStyle w:val="BodyText"/>
        <w:spacing w:before="8" w:line="249" w:lineRule="auto"/>
        <w:ind w:right="360" w:firstLine="360"/>
      </w:pPr>
      <w:r>
        <w:t xml:space="preserve">An analysis of law mustn’t deny any of these obvious facts. Nonetheless, the concept of law </w:t>
      </w:r>
      <w:r>
        <w:rPr>
          <w:i/>
        </w:rPr>
        <w:t>is</w:t>
      </w:r>
      <w:r>
        <w:rPr>
          <w:i/>
          <w:spacing w:val="-4"/>
        </w:rPr>
        <w:t xml:space="preserve"> </w:t>
      </w:r>
      <w:r>
        <w:t xml:space="preserve">to be understood in terms of morality, and anything that fails to meet certain, non-trivial moral requirements </w:t>
      </w:r>
      <w:r>
        <w:rPr>
          <w:i/>
        </w:rPr>
        <w:t>ipso facto</w:t>
      </w:r>
      <w:r>
        <w:rPr>
          <w:i/>
          <w:spacing w:val="40"/>
        </w:rPr>
        <w:t xml:space="preserve"> </w:t>
      </w:r>
      <w:r>
        <w:t xml:space="preserve">isn’t a legal </w:t>
      </w:r>
      <w:r>
        <w:rPr>
          <w:spacing w:val="-2"/>
        </w:rPr>
        <w:t>system.</w:t>
      </w:r>
    </w:p>
    <w:p w14:paraId="7E0028B3" w14:textId="77777777" w:rsidR="009A58DB" w:rsidRDefault="00000000">
      <w:pPr>
        <w:pStyle w:val="BodyText"/>
        <w:spacing w:before="5" w:line="249" w:lineRule="auto"/>
        <w:ind w:right="359" w:firstLine="360"/>
      </w:pPr>
      <w:r>
        <w:t xml:space="preserve">If Smith and I were stranded on a desert island, and we thus both fell outside the scope of any legal system, I would have a moral, but not a legal, obligation to refrain from punching him. My legal obligation not to punch Smith is therefore distinct from my moral obligation not to do so. But my legal obligation not to punch Smith is </w:t>
      </w:r>
      <w:r>
        <w:rPr>
          <w:i/>
        </w:rPr>
        <w:t xml:space="preserve">a </w:t>
      </w:r>
      <w:r>
        <w:t xml:space="preserve">moral obligation: it is a moral obligation to comply with a system of rules on which people depend for protections of their most basic rights—a system which builds highways and hospitals, prevents people from killing and stealing from one another, and holds physicians and other professionals accountable to certain ethical </w:t>
      </w:r>
      <w:r>
        <w:rPr>
          <w:spacing w:val="-2"/>
        </w:rPr>
        <w:t>standards.</w:t>
      </w:r>
    </w:p>
    <w:p w14:paraId="7E0028B4" w14:textId="77777777" w:rsidR="009A58DB" w:rsidRDefault="00000000">
      <w:pPr>
        <w:pStyle w:val="BodyText"/>
        <w:spacing w:before="12" w:line="249" w:lineRule="auto"/>
        <w:ind w:right="362" w:firstLine="360"/>
        <w:rPr>
          <w:i/>
        </w:rPr>
      </w:pPr>
      <w:r>
        <w:t xml:space="preserve">One may have a legal obligation to commit an immoral act. But, in such a case, one’s legal obligation is not morally hollow. One’s legal obligation to commit an immoral act is identical with one’s moral obligation to comply with a system of the kind just described. Discharging that obligation </w:t>
      </w:r>
      <w:r>
        <w:rPr>
          <w:i/>
        </w:rPr>
        <w:t>involves</w:t>
      </w:r>
    </w:p>
    <w:p w14:paraId="7E0028B5" w14:textId="77777777" w:rsidR="009A58DB" w:rsidRDefault="009A58DB">
      <w:pPr>
        <w:pStyle w:val="BodyText"/>
        <w:spacing w:line="249" w:lineRule="auto"/>
        <w:rPr>
          <w:i/>
        </w:rPr>
        <w:sectPr w:rsidR="009A58DB">
          <w:pgSz w:w="12240" w:h="15840"/>
          <w:pgMar w:top="1680" w:right="1080" w:bottom="280" w:left="1080" w:header="720" w:footer="720" w:gutter="0"/>
          <w:cols w:space="720"/>
        </w:sectPr>
      </w:pPr>
    </w:p>
    <w:p w14:paraId="7E0028B6" w14:textId="77777777" w:rsidR="009A58DB" w:rsidRDefault="00000000">
      <w:pPr>
        <w:pStyle w:val="BodyText"/>
        <w:spacing w:before="65" w:line="249" w:lineRule="auto"/>
        <w:ind w:right="367"/>
      </w:pPr>
      <w:r>
        <w:lastRenderedPageBreak/>
        <w:t>committing an immoral act, but that obligation is not itself morally negative or morally hollow.</w:t>
      </w:r>
    </w:p>
    <w:p w14:paraId="7E0028B7" w14:textId="77777777" w:rsidR="009A58DB" w:rsidRDefault="00000000">
      <w:pPr>
        <w:pStyle w:val="BodyText"/>
        <w:spacing w:before="2" w:line="249" w:lineRule="auto"/>
        <w:ind w:right="359" w:firstLine="360"/>
      </w:pPr>
      <w:r>
        <w:t>This</w:t>
      </w:r>
      <w:r>
        <w:rPr>
          <w:spacing w:val="-3"/>
        </w:rPr>
        <w:t xml:space="preserve"> </w:t>
      </w:r>
      <w:r>
        <w:t>last</w:t>
      </w:r>
      <w:r>
        <w:rPr>
          <w:spacing w:val="-2"/>
        </w:rPr>
        <w:t xml:space="preserve"> </w:t>
      </w:r>
      <w:r>
        <w:t>point</w:t>
      </w:r>
      <w:r>
        <w:rPr>
          <w:spacing w:val="-2"/>
        </w:rPr>
        <w:t xml:space="preserve"> </w:t>
      </w:r>
      <w:r>
        <w:t>demands</w:t>
      </w:r>
      <w:r>
        <w:rPr>
          <w:spacing w:val="-2"/>
        </w:rPr>
        <w:t xml:space="preserve"> </w:t>
      </w:r>
      <w:r>
        <w:t>elucidation.</w:t>
      </w:r>
      <w:r>
        <w:rPr>
          <w:spacing w:val="-2"/>
        </w:rPr>
        <w:t xml:space="preserve"> </w:t>
      </w:r>
      <w:r>
        <w:t>It</w:t>
      </w:r>
      <w:r>
        <w:rPr>
          <w:spacing w:val="-2"/>
        </w:rPr>
        <w:t xml:space="preserve"> </w:t>
      </w:r>
      <w:r>
        <w:t>is</w:t>
      </w:r>
      <w:r>
        <w:rPr>
          <w:spacing w:val="-2"/>
        </w:rPr>
        <w:t xml:space="preserve"> </w:t>
      </w:r>
      <w:r>
        <w:t>one</w:t>
      </w:r>
      <w:r>
        <w:rPr>
          <w:spacing w:val="-2"/>
        </w:rPr>
        <w:t xml:space="preserve"> </w:t>
      </w:r>
      <w:r>
        <w:t>thing</w:t>
      </w:r>
      <w:r>
        <w:rPr>
          <w:spacing w:val="-2"/>
        </w:rPr>
        <w:t xml:space="preserve"> </w:t>
      </w:r>
      <w:r>
        <w:t>to</w:t>
      </w:r>
      <w:r>
        <w:rPr>
          <w:spacing w:val="-2"/>
        </w:rPr>
        <w:t xml:space="preserve"> </w:t>
      </w:r>
      <w:r>
        <w:t>have</w:t>
      </w:r>
      <w:r>
        <w:rPr>
          <w:spacing w:val="-2"/>
        </w:rPr>
        <w:t xml:space="preserve"> </w:t>
      </w:r>
      <w:r>
        <w:t>an</w:t>
      </w:r>
      <w:r>
        <w:rPr>
          <w:spacing w:val="-2"/>
        </w:rPr>
        <w:t xml:space="preserve"> </w:t>
      </w:r>
      <w:r>
        <w:t>obligation</w:t>
      </w:r>
      <w:r>
        <w:rPr>
          <w:spacing w:val="-2"/>
        </w:rPr>
        <w:t xml:space="preserve"> </w:t>
      </w:r>
      <w:r>
        <w:t xml:space="preserve">to do X, and it is quite another to have an obligation the fulfillment of which </w:t>
      </w:r>
      <w:r>
        <w:rPr>
          <w:i/>
        </w:rPr>
        <w:t xml:space="preserve">involves </w:t>
      </w:r>
      <w:r>
        <w:t xml:space="preserve">doing X. A surgeon has an obligation to heal his patient. Fulfilling that obligation </w:t>
      </w:r>
      <w:r>
        <w:rPr>
          <w:i/>
        </w:rPr>
        <w:t xml:space="preserve">involves </w:t>
      </w:r>
      <w:r>
        <w:t xml:space="preserve">causing his patient to suffer. But a surgeon doesn’t have an obligation to cause his patient to suffer. (In fact, he has an obligation to minimize his patient’s suffering. A surgeon would be violating his professional obligations if he chose not to use anesthetic when there was no medical reason not to do so.) Similarly, fulfilling one’s legal obligations may </w:t>
      </w:r>
      <w:r>
        <w:rPr>
          <w:i/>
        </w:rPr>
        <w:t xml:space="preserve">involve </w:t>
      </w:r>
      <w:r>
        <w:t xml:space="preserve">committing an immoral or morally neutral act. But it doesn’t follow that legal obligations are ever immoral or amoral. If I have a legal obligation to do X, that means that I have a moral obligation the fulfillment of which </w:t>
      </w:r>
      <w:r>
        <w:rPr>
          <w:i/>
        </w:rPr>
        <w:t>involves</w:t>
      </w:r>
      <w:r>
        <w:rPr>
          <w:i/>
          <w:spacing w:val="-3"/>
        </w:rPr>
        <w:t xml:space="preserve"> </w:t>
      </w:r>
      <w:r>
        <w:t xml:space="preserve">my doing X. It does </w:t>
      </w:r>
      <w:r>
        <w:rPr>
          <w:i/>
        </w:rPr>
        <w:t>not</w:t>
      </w:r>
      <w:r>
        <w:rPr>
          <w:i/>
          <w:spacing w:val="-3"/>
        </w:rPr>
        <w:t xml:space="preserve"> </w:t>
      </w:r>
      <w:r>
        <w:t>mean that I have a moral obligation to do X. That is why a legal obligation to commit an immoral act may be morally wholesome. Hence the following argument is invalid—“given that one has legal obligations to commit immoral acts, it follows that legal obligations are not moral obligations”—and once this is seen, one of the more obvious obstacles to accepting a moralistic analysis of law has been removed.</w:t>
      </w:r>
    </w:p>
    <w:p w14:paraId="7E0028B8" w14:textId="77777777" w:rsidR="009A58DB" w:rsidRDefault="00000000">
      <w:pPr>
        <w:pStyle w:val="BodyText"/>
        <w:spacing w:before="21" w:line="249" w:lineRule="auto"/>
        <w:ind w:right="357" w:firstLine="360"/>
      </w:pPr>
      <w:r>
        <w:t>Let us discuss a positive reason to accept such an analysis. A government is a success precisely to the extent that it serves the interests of those whom it governs. The same is therefore true of laws, given that laws are among the instruments of government. It follows that the concept of law is to be understood in moral terms, even though there are immoral laws.</w:t>
      </w:r>
    </w:p>
    <w:p w14:paraId="7E0028B9" w14:textId="77777777" w:rsidR="009A58DB" w:rsidRDefault="00000000">
      <w:pPr>
        <w:pStyle w:val="BodyText"/>
        <w:spacing w:before="6" w:line="249" w:lineRule="auto"/>
        <w:ind w:right="363" w:firstLine="360"/>
      </w:pPr>
      <w:r>
        <w:t>Governments often behave in an unspeakably evil manner towards their own constituents; and often-times this misconduct involves, or even</w:t>
      </w:r>
      <w:r>
        <w:rPr>
          <w:spacing w:val="40"/>
        </w:rPr>
        <w:t xml:space="preserve"> </w:t>
      </w:r>
      <w:r>
        <w:t xml:space="preserve">coincides with, the issuing of laws. On this basis, many have concluded that the concept of law is </w:t>
      </w:r>
      <w:r>
        <w:rPr>
          <w:i/>
        </w:rPr>
        <w:t xml:space="preserve">not </w:t>
      </w:r>
      <w:r>
        <w:t>to be understood in moral terms. But this line of thought involves a failure to make three important distinctions:</w:t>
      </w:r>
    </w:p>
    <w:p w14:paraId="7E0028BA" w14:textId="77777777" w:rsidR="009A58DB" w:rsidRDefault="00000000">
      <w:pPr>
        <w:pStyle w:val="ListParagraph"/>
        <w:numPr>
          <w:ilvl w:val="0"/>
          <w:numId w:val="39"/>
        </w:numPr>
        <w:tabs>
          <w:tab w:val="left" w:pos="715"/>
        </w:tabs>
        <w:spacing w:before="111"/>
        <w:ind w:left="715" w:hanging="355"/>
        <w:rPr>
          <w:sz w:val="30"/>
        </w:rPr>
      </w:pPr>
      <w:r>
        <w:rPr>
          <w:sz w:val="30"/>
        </w:rPr>
        <w:t>The</w:t>
      </w:r>
      <w:r>
        <w:rPr>
          <w:spacing w:val="-7"/>
          <w:sz w:val="30"/>
        </w:rPr>
        <w:t xml:space="preserve"> </w:t>
      </w:r>
      <w:r>
        <w:rPr>
          <w:sz w:val="30"/>
        </w:rPr>
        <w:t>distinction</w:t>
      </w:r>
      <w:r>
        <w:rPr>
          <w:spacing w:val="-4"/>
          <w:sz w:val="30"/>
        </w:rPr>
        <w:t xml:space="preserve"> </w:t>
      </w:r>
      <w:r>
        <w:rPr>
          <w:sz w:val="30"/>
        </w:rPr>
        <w:t>between</w:t>
      </w:r>
      <w:r>
        <w:rPr>
          <w:spacing w:val="-4"/>
          <w:sz w:val="30"/>
        </w:rPr>
        <w:t xml:space="preserve"> </w:t>
      </w:r>
      <w:r>
        <w:rPr>
          <w:sz w:val="30"/>
        </w:rPr>
        <w:t>individual</w:t>
      </w:r>
      <w:r>
        <w:rPr>
          <w:spacing w:val="-5"/>
          <w:sz w:val="30"/>
        </w:rPr>
        <w:t xml:space="preserve"> </w:t>
      </w:r>
      <w:r>
        <w:rPr>
          <w:sz w:val="30"/>
        </w:rPr>
        <w:t>and</w:t>
      </w:r>
      <w:r>
        <w:rPr>
          <w:spacing w:val="-4"/>
          <w:sz w:val="30"/>
        </w:rPr>
        <w:t xml:space="preserve"> </w:t>
      </w:r>
      <w:r>
        <w:rPr>
          <w:sz w:val="30"/>
        </w:rPr>
        <w:t>institutional</w:t>
      </w:r>
      <w:r>
        <w:rPr>
          <w:spacing w:val="-5"/>
          <w:sz w:val="30"/>
        </w:rPr>
        <w:t xml:space="preserve"> </w:t>
      </w:r>
      <w:r>
        <w:rPr>
          <w:sz w:val="30"/>
        </w:rPr>
        <w:t>frames</w:t>
      </w:r>
      <w:r>
        <w:rPr>
          <w:spacing w:val="-5"/>
          <w:sz w:val="30"/>
        </w:rPr>
        <w:t xml:space="preserve"> </w:t>
      </w:r>
      <w:r>
        <w:rPr>
          <w:sz w:val="30"/>
        </w:rPr>
        <w:t>of</w:t>
      </w:r>
      <w:r>
        <w:rPr>
          <w:spacing w:val="-4"/>
          <w:sz w:val="30"/>
        </w:rPr>
        <w:t xml:space="preserve"> </w:t>
      </w:r>
      <w:r>
        <w:rPr>
          <w:spacing w:val="-2"/>
          <w:sz w:val="30"/>
        </w:rPr>
        <w:t>evaluation;</w:t>
      </w:r>
    </w:p>
    <w:p w14:paraId="7E0028BB" w14:textId="77777777" w:rsidR="009A58DB" w:rsidRDefault="00000000">
      <w:pPr>
        <w:pStyle w:val="ListParagraph"/>
        <w:numPr>
          <w:ilvl w:val="0"/>
          <w:numId w:val="39"/>
        </w:numPr>
        <w:tabs>
          <w:tab w:val="left" w:pos="797"/>
        </w:tabs>
        <w:spacing w:before="15" w:line="249" w:lineRule="auto"/>
        <w:ind w:left="360" w:right="1649" w:firstLine="0"/>
        <w:rPr>
          <w:sz w:val="30"/>
        </w:rPr>
      </w:pPr>
      <w:r>
        <w:rPr>
          <w:sz w:val="30"/>
        </w:rPr>
        <w:t>The</w:t>
      </w:r>
      <w:r>
        <w:rPr>
          <w:spacing w:val="-6"/>
          <w:sz w:val="30"/>
        </w:rPr>
        <w:t xml:space="preserve"> </w:t>
      </w:r>
      <w:r>
        <w:rPr>
          <w:sz w:val="30"/>
        </w:rPr>
        <w:t>distinction</w:t>
      </w:r>
      <w:r>
        <w:rPr>
          <w:spacing w:val="-5"/>
          <w:sz w:val="30"/>
        </w:rPr>
        <w:t xml:space="preserve"> </w:t>
      </w:r>
      <w:r>
        <w:rPr>
          <w:sz w:val="30"/>
        </w:rPr>
        <w:t>between</w:t>
      </w:r>
      <w:r>
        <w:rPr>
          <w:spacing w:val="-5"/>
          <w:sz w:val="30"/>
        </w:rPr>
        <w:t xml:space="preserve"> </w:t>
      </w:r>
      <w:r>
        <w:rPr>
          <w:sz w:val="30"/>
        </w:rPr>
        <w:t>functional</w:t>
      </w:r>
      <w:r>
        <w:rPr>
          <w:spacing w:val="-6"/>
          <w:sz w:val="30"/>
        </w:rPr>
        <w:t xml:space="preserve"> </w:t>
      </w:r>
      <w:r>
        <w:rPr>
          <w:sz w:val="30"/>
        </w:rPr>
        <w:t>and</w:t>
      </w:r>
      <w:r>
        <w:rPr>
          <w:spacing w:val="-5"/>
          <w:sz w:val="30"/>
        </w:rPr>
        <w:t xml:space="preserve"> </w:t>
      </w:r>
      <w:r>
        <w:rPr>
          <w:sz w:val="30"/>
        </w:rPr>
        <w:t>purely</w:t>
      </w:r>
      <w:r>
        <w:rPr>
          <w:spacing w:val="-5"/>
          <w:sz w:val="30"/>
        </w:rPr>
        <w:t xml:space="preserve"> </w:t>
      </w:r>
      <w:r>
        <w:rPr>
          <w:sz w:val="30"/>
        </w:rPr>
        <w:t>factual</w:t>
      </w:r>
      <w:r>
        <w:rPr>
          <w:spacing w:val="-6"/>
          <w:sz w:val="30"/>
        </w:rPr>
        <w:t xml:space="preserve"> </w:t>
      </w:r>
      <w:r>
        <w:rPr>
          <w:sz w:val="30"/>
        </w:rPr>
        <w:t>frames</w:t>
      </w:r>
      <w:r>
        <w:rPr>
          <w:spacing w:val="-6"/>
          <w:sz w:val="30"/>
        </w:rPr>
        <w:t xml:space="preserve"> </w:t>
      </w:r>
      <w:r>
        <w:rPr>
          <w:sz w:val="30"/>
        </w:rPr>
        <w:t>of evaluation; and</w:t>
      </w:r>
    </w:p>
    <w:p w14:paraId="7E0028BC" w14:textId="77777777" w:rsidR="009A58DB" w:rsidRDefault="00000000">
      <w:pPr>
        <w:pStyle w:val="ListParagraph"/>
        <w:numPr>
          <w:ilvl w:val="0"/>
          <w:numId w:val="39"/>
        </w:numPr>
        <w:tabs>
          <w:tab w:val="left" w:pos="879"/>
        </w:tabs>
        <w:spacing w:before="3" w:line="249" w:lineRule="auto"/>
        <w:ind w:left="360" w:right="589" w:firstLine="0"/>
        <w:rPr>
          <w:sz w:val="30"/>
        </w:rPr>
      </w:pPr>
      <w:r>
        <w:rPr>
          <w:sz w:val="30"/>
        </w:rPr>
        <w:t>The</w:t>
      </w:r>
      <w:r>
        <w:rPr>
          <w:spacing w:val="-4"/>
          <w:sz w:val="30"/>
        </w:rPr>
        <w:t xml:space="preserve"> </w:t>
      </w:r>
      <w:r>
        <w:rPr>
          <w:sz w:val="30"/>
        </w:rPr>
        <w:t>distinction</w:t>
      </w:r>
      <w:r>
        <w:rPr>
          <w:spacing w:val="-3"/>
          <w:sz w:val="30"/>
        </w:rPr>
        <w:t xml:space="preserve"> </w:t>
      </w:r>
      <w:r>
        <w:rPr>
          <w:sz w:val="30"/>
        </w:rPr>
        <w:t>between</w:t>
      </w:r>
      <w:r>
        <w:rPr>
          <w:spacing w:val="-3"/>
          <w:sz w:val="30"/>
        </w:rPr>
        <w:t xml:space="preserve"> </w:t>
      </w:r>
      <w:r>
        <w:rPr>
          <w:sz w:val="30"/>
        </w:rPr>
        <w:t>suspensions</w:t>
      </w:r>
      <w:r>
        <w:rPr>
          <w:spacing w:val="-4"/>
          <w:sz w:val="30"/>
        </w:rPr>
        <w:t xml:space="preserve"> </w:t>
      </w:r>
      <w:r>
        <w:rPr>
          <w:sz w:val="30"/>
        </w:rPr>
        <w:t>of</w:t>
      </w:r>
      <w:r>
        <w:rPr>
          <w:spacing w:val="-4"/>
          <w:sz w:val="30"/>
        </w:rPr>
        <w:t xml:space="preserve"> </w:t>
      </w:r>
      <w:r>
        <w:rPr>
          <w:sz w:val="30"/>
        </w:rPr>
        <w:t>protections</w:t>
      </w:r>
      <w:r>
        <w:rPr>
          <w:spacing w:val="-4"/>
          <w:sz w:val="30"/>
        </w:rPr>
        <w:t xml:space="preserve"> </w:t>
      </w:r>
      <w:r>
        <w:rPr>
          <w:sz w:val="30"/>
        </w:rPr>
        <w:t>of</w:t>
      </w:r>
      <w:r>
        <w:rPr>
          <w:spacing w:val="-4"/>
          <w:sz w:val="30"/>
        </w:rPr>
        <w:t xml:space="preserve"> </w:t>
      </w:r>
      <w:r>
        <w:rPr>
          <w:sz w:val="30"/>
        </w:rPr>
        <w:t>rights,</w:t>
      </w:r>
      <w:r>
        <w:rPr>
          <w:spacing w:val="-3"/>
          <w:sz w:val="30"/>
        </w:rPr>
        <w:t xml:space="preserve"> </w:t>
      </w:r>
      <w:r>
        <w:rPr>
          <w:sz w:val="30"/>
        </w:rPr>
        <w:t>on</w:t>
      </w:r>
      <w:r>
        <w:rPr>
          <w:spacing w:val="-3"/>
          <w:sz w:val="30"/>
        </w:rPr>
        <w:t xml:space="preserve"> </w:t>
      </w:r>
      <w:r>
        <w:rPr>
          <w:sz w:val="30"/>
        </w:rPr>
        <w:t>the</w:t>
      </w:r>
      <w:r>
        <w:rPr>
          <w:spacing w:val="-4"/>
          <w:sz w:val="30"/>
        </w:rPr>
        <w:t xml:space="preserve"> </w:t>
      </w:r>
      <w:r>
        <w:rPr>
          <w:sz w:val="30"/>
        </w:rPr>
        <w:t>one hand, and positive violations of rights, on the other.</w:t>
      </w:r>
    </w:p>
    <w:p w14:paraId="7E0028BD" w14:textId="77777777" w:rsidR="009A58DB" w:rsidRDefault="00000000">
      <w:pPr>
        <w:pStyle w:val="BodyText"/>
        <w:spacing w:before="92"/>
        <w:ind w:left="720"/>
        <w:jc w:val="left"/>
      </w:pPr>
      <w:r>
        <w:t>The</w:t>
      </w:r>
      <w:r>
        <w:rPr>
          <w:spacing w:val="-3"/>
        </w:rPr>
        <w:t xml:space="preserve"> </w:t>
      </w:r>
      <w:r>
        <w:rPr>
          <w:i/>
        </w:rPr>
        <w:t>personal</w:t>
      </w:r>
      <w:r>
        <w:rPr>
          <w:i/>
          <w:spacing w:val="-3"/>
        </w:rPr>
        <w:t xml:space="preserve"> </w:t>
      </w:r>
      <w:r>
        <w:t>success of</w:t>
      </w:r>
      <w:r>
        <w:rPr>
          <w:spacing w:val="-1"/>
        </w:rPr>
        <w:t xml:space="preserve"> </w:t>
      </w:r>
      <w:r>
        <w:t>a</w:t>
      </w:r>
      <w:r>
        <w:rPr>
          <w:spacing w:val="-1"/>
        </w:rPr>
        <w:t xml:space="preserve"> </w:t>
      </w:r>
      <w:r>
        <w:t>head of</w:t>
      </w:r>
      <w:r>
        <w:rPr>
          <w:spacing w:val="-1"/>
        </w:rPr>
        <w:t xml:space="preserve"> </w:t>
      </w:r>
      <w:r>
        <w:t>government</w:t>
      </w:r>
      <w:r>
        <w:rPr>
          <w:spacing w:val="-1"/>
        </w:rPr>
        <w:t xml:space="preserve"> </w:t>
      </w:r>
      <w:r>
        <w:t>may not</w:t>
      </w:r>
      <w:r>
        <w:rPr>
          <w:spacing w:val="-1"/>
        </w:rPr>
        <w:t xml:space="preserve"> </w:t>
      </w:r>
      <w:r>
        <w:t>involve</w:t>
      </w:r>
      <w:r>
        <w:rPr>
          <w:spacing w:val="-1"/>
        </w:rPr>
        <w:t xml:space="preserve"> </w:t>
      </w:r>
      <w:r>
        <w:t xml:space="preserve">his </w:t>
      </w:r>
      <w:r>
        <w:rPr>
          <w:spacing w:val="-2"/>
        </w:rPr>
        <w:t>serving</w:t>
      </w:r>
    </w:p>
    <w:p w14:paraId="7E0028BE" w14:textId="77777777" w:rsidR="009A58DB" w:rsidRDefault="009A58DB">
      <w:pPr>
        <w:pStyle w:val="BodyText"/>
        <w:jc w:val="left"/>
        <w:sectPr w:rsidR="009A58DB">
          <w:pgSz w:w="12240" w:h="15840"/>
          <w:pgMar w:top="1380" w:right="1080" w:bottom="280" w:left="1080" w:header="720" w:footer="720" w:gutter="0"/>
          <w:cols w:space="720"/>
        </w:sectPr>
      </w:pPr>
    </w:p>
    <w:p w14:paraId="7E0028BF" w14:textId="77777777" w:rsidR="009A58DB" w:rsidRDefault="00000000">
      <w:pPr>
        <w:pStyle w:val="BodyText"/>
        <w:spacing w:before="60" w:line="249" w:lineRule="auto"/>
        <w:ind w:right="358"/>
      </w:pPr>
      <w:r>
        <w:lastRenderedPageBreak/>
        <w:t>the interests of his constituents, and it may even involve his thwarting those interests.</w:t>
      </w:r>
      <w:r>
        <w:rPr>
          <w:spacing w:val="-1"/>
        </w:rPr>
        <w:t xml:space="preserve"> </w:t>
      </w:r>
      <w:r>
        <w:t>But</w:t>
      </w:r>
      <w:r>
        <w:rPr>
          <w:spacing w:val="-1"/>
        </w:rPr>
        <w:t xml:space="preserve"> </w:t>
      </w:r>
      <w:r>
        <w:t>a</w:t>
      </w:r>
      <w:r>
        <w:rPr>
          <w:spacing w:val="-1"/>
        </w:rPr>
        <w:t xml:space="preserve"> </w:t>
      </w:r>
      <w:r>
        <w:t>head</w:t>
      </w:r>
      <w:r>
        <w:rPr>
          <w:spacing w:val="-1"/>
        </w:rPr>
        <w:t xml:space="preserve"> </w:t>
      </w:r>
      <w:r>
        <w:t>of</w:t>
      </w:r>
      <w:r>
        <w:rPr>
          <w:spacing w:val="-1"/>
        </w:rPr>
        <w:t xml:space="preserve"> </w:t>
      </w:r>
      <w:r>
        <w:t>government</w:t>
      </w:r>
      <w:r>
        <w:rPr>
          <w:spacing w:val="-1"/>
        </w:rPr>
        <w:t xml:space="preserve"> </w:t>
      </w:r>
      <w:r>
        <w:t>is</w:t>
      </w:r>
      <w:r>
        <w:rPr>
          <w:spacing w:val="-1"/>
        </w:rPr>
        <w:t xml:space="preserve"> </w:t>
      </w:r>
      <w:r>
        <w:t>a</w:t>
      </w:r>
      <w:r>
        <w:rPr>
          <w:spacing w:val="-1"/>
        </w:rPr>
        <w:t xml:space="preserve"> </w:t>
      </w:r>
      <w:r>
        <w:t>success</w:t>
      </w:r>
      <w:r>
        <w:rPr>
          <w:spacing w:val="-1"/>
        </w:rPr>
        <w:t xml:space="preserve"> </w:t>
      </w:r>
      <w:r>
        <w:rPr>
          <w:i/>
        </w:rPr>
        <w:t>as</w:t>
      </w:r>
      <w:r>
        <w:rPr>
          <w:i/>
          <w:spacing w:val="-3"/>
        </w:rPr>
        <w:t xml:space="preserve"> </w:t>
      </w:r>
      <w:r>
        <w:t>a head of state precisely to the</w:t>
      </w:r>
      <w:r>
        <w:rPr>
          <w:spacing w:val="-3"/>
        </w:rPr>
        <w:t xml:space="preserve"> </w:t>
      </w:r>
      <w:r>
        <w:t>extent</w:t>
      </w:r>
      <w:r>
        <w:rPr>
          <w:spacing w:val="-2"/>
        </w:rPr>
        <w:t xml:space="preserve"> </w:t>
      </w:r>
      <w:r>
        <w:t>that</w:t>
      </w:r>
      <w:r>
        <w:rPr>
          <w:spacing w:val="-2"/>
        </w:rPr>
        <w:t xml:space="preserve"> </w:t>
      </w:r>
      <w:r>
        <w:t>he</w:t>
      </w:r>
      <w:r>
        <w:rPr>
          <w:spacing w:val="-2"/>
        </w:rPr>
        <w:t xml:space="preserve"> </w:t>
      </w:r>
      <w:r>
        <w:t>serves</w:t>
      </w:r>
      <w:r>
        <w:rPr>
          <w:spacing w:val="-2"/>
        </w:rPr>
        <w:t xml:space="preserve"> </w:t>
      </w:r>
      <w:r>
        <w:t>the</w:t>
      </w:r>
      <w:r>
        <w:rPr>
          <w:spacing w:val="-2"/>
        </w:rPr>
        <w:t xml:space="preserve"> </w:t>
      </w:r>
      <w:r>
        <w:t>interests</w:t>
      </w:r>
      <w:r>
        <w:rPr>
          <w:spacing w:val="-2"/>
        </w:rPr>
        <w:t xml:space="preserve"> </w:t>
      </w:r>
      <w:r>
        <w:t>of</w:t>
      </w:r>
      <w:r>
        <w:rPr>
          <w:spacing w:val="-2"/>
        </w:rPr>
        <w:t xml:space="preserve"> </w:t>
      </w:r>
      <w:r>
        <w:t>his</w:t>
      </w:r>
      <w:r>
        <w:rPr>
          <w:spacing w:val="-2"/>
        </w:rPr>
        <w:t xml:space="preserve"> </w:t>
      </w:r>
      <w:r>
        <w:t>constituents.</w:t>
      </w:r>
      <w:r>
        <w:rPr>
          <w:spacing w:val="-2"/>
        </w:rPr>
        <w:t xml:space="preserve"> </w:t>
      </w:r>
      <w:r>
        <w:t>Given</w:t>
      </w:r>
      <w:r>
        <w:rPr>
          <w:spacing w:val="-2"/>
        </w:rPr>
        <w:t xml:space="preserve"> </w:t>
      </w:r>
      <w:r>
        <w:t>this,</w:t>
      </w:r>
      <w:r>
        <w:rPr>
          <w:spacing w:val="-2"/>
        </w:rPr>
        <w:t xml:space="preserve"> </w:t>
      </w:r>
      <w:r>
        <w:t>it</w:t>
      </w:r>
      <w:r>
        <w:rPr>
          <w:spacing w:val="-2"/>
        </w:rPr>
        <w:t xml:space="preserve"> </w:t>
      </w:r>
      <w:r>
        <w:t xml:space="preserve">follows that the objective of government—of </w:t>
      </w:r>
      <w:r>
        <w:rPr>
          <w:i/>
        </w:rPr>
        <w:t xml:space="preserve">any </w:t>
      </w:r>
      <w:r>
        <w:t xml:space="preserve">government—is to protect the interests of the governed. Stalin failed </w:t>
      </w:r>
      <w:r>
        <w:rPr>
          <w:i/>
        </w:rPr>
        <w:t xml:space="preserve">as </w:t>
      </w:r>
      <w:r>
        <w:t xml:space="preserve">a head of government precisely because he did not serve the interests of his constituents. It follows that the objective of the Soviet </w:t>
      </w:r>
      <w:r>
        <w:rPr>
          <w:i/>
        </w:rPr>
        <w:t xml:space="preserve">government </w:t>
      </w:r>
      <w:r>
        <w:t xml:space="preserve">was to serve the interests of its constituents—even though that may not have been the objective of Stalin or of any of the other senior officials composing that government. If a dictator issues a law that harms his constituents, he fails </w:t>
      </w:r>
      <w:r>
        <w:rPr>
          <w:i/>
        </w:rPr>
        <w:t>as</w:t>
      </w:r>
      <w:r>
        <w:rPr>
          <w:i/>
          <w:spacing w:val="-4"/>
        </w:rPr>
        <w:t xml:space="preserve"> </w:t>
      </w:r>
      <w:r>
        <w:t xml:space="preserve">a law-maker, even though issuing that law may help him achieve </w:t>
      </w:r>
      <w:r>
        <w:rPr>
          <w:i/>
        </w:rPr>
        <w:t xml:space="preserve">personal </w:t>
      </w:r>
      <w:r>
        <w:t>success of some kind—even though, for example, it may help him hold onto power. In general, one fails</w:t>
      </w:r>
      <w:r>
        <w:rPr>
          <w:spacing w:val="40"/>
        </w:rPr>
        <w:t xml:space="preserve"> </w:t>
      </w:r>
      <w:r>
        <w:rPr>
          <w:i/>
        </w:rPr>
        <w:t xml:space="preserve">as </w:t>
      </w:r>
      <w:r>
        <w:t xml:space="preserve">law-maker if one issues a law that hurts those who are subject to it. This shows that the purpose of a legal system </w:t>
      </w:r>
      <w:r>
        <w:rPr>
          <w:i/>
        </w:rPr>
        <w:t xml:space="preserve">per se </w:t>
      </w:r>
      <w:r>
        <w:t>is to serve the interests of those who are subject to it—even though that may not be the objective of all, or even any, of the individuals who created that legal system. Distinction (i) thus removes one of the major reasons to reject a moralistic analysis of law.</w:t>
      </w:r>
    </w:p>
    <w:p w14:paraId="7E0028C0" w14:textId="77777777" w:rsidR="009A58DB" w:rsidRDefault="00000000">
      <w:pPr>
        <w:pStyle w:val="BodyText"/>
        <w:spacing w:before="26" w:line="249" w:lineRule="auto"/>
        <w:ind w:right="359" w:firstLine="360"/>
      </w:pPr>
      <w:r>
        <w:t>Now let us discuss (ii). Even if everyone alive suddenly succumbed to liver disease, and each person’s liver stopped removing toxins from his bloodstream, there would still be a significant sense in which livers were to</w:t>
      </w:r>
      <w:r>
        <w:rPr>
          <w:spacing w:val="40"/>
        </w:rPr>
        <w:t xml:space="preserve"> </w:t>
      </w:r>
      <w:r>
        <w:t>be</w:t>
      </w:r>
      <w:r>
        <w:rPr>
          <w:spacing w:val="-4"/>
        </w:rPr>
        <w:t xml:space="preserve"> </w:t>
      </w:r>
      <w:r>
        <w:t>understood</w:t>
      </w:r>
      <w:r>
        <w:rPr>
          <w:spacing w:val="-3"/>
        </w:rPr>
        <w:t xml:space="preserve"> </w:t>
      </w:r>
      <w:r>
        <w:t>as</w:t>
      </w:r>
      <w:r>
        <w:rPr>
          <w:spacing w:val="-4"/>
        </w:rPr>
        <w:t xml:space="preserve"> </w:t>
      </w:r>
      <w:r>
        <w:t>removers</w:t>
      </w:r>
      <w:r>
        <w:rPr>
          <w:spacing w:val="-4"/>
        </w:rPr>
        <w:t xml:space="preserve"> </w:t>
      </w:r>
      <w:r>
        <w:t>of</w:t>
      </w:r>
      <w:r>
        <w:rPr>
          <w:spacing w:val="-4"/>
        </w:rPr>
        <w:t xml:space="preserve"> </w:t>
      </w:r>
      <w:r>
        <w:t>toxins.</w:t>
      </w:r>
      <w:r>
        <w:rPr>
          <w:spacing w:val="-3"/>
        </w:rPr>
        <w:t xml:space="preserve"> </w:t>
      </w:r>
      <w:r>
        <w:t>If</w:t>
      </w:r>
      <w:r>
        <w:rPr>
          <w:spacing w:val="-4"/>
        </w:rPr>
        <w:t xml:space="preserve"> </w:t>
      </w:r>
      <w:r>
        <w:t>one</w:t>
      </w:r>
      <w:r>
        <w:rPr>
          <w:spacing w:val="-4"/>
        </w:rPr>
        <w:t xml:space="preserve"> </w:t>
      </w:r>
      <w:r>
        <w:t>accepts</w:t>
      </w:r>
      <w:r>
        <w:rPr>
          <w:spacing w:val="-4"/>
        </w:rPr>
        <w:t xml:space="preserve"> </w:t>
      </w:r>
      <w:r>
        <w:t>a</w:t>
      </w:r>
      <w:r>
        <w:rPr>
          <w:spacing w:val="-4"/>
        </w:rPr>
        <w:t xml:space="preserve"> </w:t>
      </w:r>
      <w:r>
        <w:t>strictly</w:t>
      </w:r>
      <w:r>
        <w:rPr>
          <w:spacing w:val="-3"/>
        </w:rPr>
        <w:t xml:space="preserve"> </w:t>
      </w:r>
      <w:r>
        <w:t>fact-based</w:t>
      </w:r>
      <w:r>
        <w:rPr>
          <w:spacing w:val="-3"/>
        </w:rPr>
        <w:t xml:space="preserve"> </w:t>
      </w:r>
      <w:r>
        <w:t>frame of</w:t>
      </w:r>
      <w:r>
        <w:rPr>
          <w:spacing w:val="-1"/>
        </w:rPr>
        <w:t xml:space="preserve"> </w:t>
      </w:r>
      <w:r>
        <w:t>evaluation,</w:t>
      </w:r>
      <w:r>
        <w:rPr>
          <w:spacing w:val="-2"/>
        </w:rPr>
        <w:t xml:space="preserve"> </w:t>
      </w:r>
      <w:r>
        <w:t>one</w:t>
      </w:r>
      <w:r>
        <w:rPr>
          <w:spacing w:val="-1"/>
        </w:rPr>
        <w:t xml:space="preserve"> </w:t>
      </w:r>
      <w:r>
        <w:t>is</w:t>
      </w:r>
      <w:r>
        <w:rPr>
          <w:spacing w:val="-2"/>
        </w:rPr>
        <w:t xml:space="preserve"> </w:t>
      </w:r>
      <w:r>
        <w:t>blind</w:t>
      </w:r>
      <w:r>
        <w:rPr>
          <w:spacing w:val="-1"/>
        </w:rPr>
        <w:t xml:space="preserve"> </w:t>
      </w:r>
      <w:r>
        <w:t>to</w:t>
      </w:r>
      <w:r>
        <w:rPr>
          <w:spacing w:val="-2"/>
        </w:rPr>
        <w:t xml:space="preserve"> </w:t>
      </w:r>
      <w:r>
        <w:t>this</w:t>
      </w:r>
      <w:r>
        <w:rPr>
          <w:spacing w:val="-1"/>
        </w:rPr>
        <w:t xml:space="preserve"> </w:t>
      </w:r>
      <w:r>
        <w:t>obvious</w:t>
      </w:r>
      <w:r>
        <w:rPr>
          <w:spacing w:val="-2"/>
        </w:rPr>
        <w:t xml:space="preserve"> </w:t>
      </w:r>
      <w:r>
        <w:t>fact;</w:t>
      </w:r>
      <w:r>
        <w:rPr>
          <w:spacing w:val="-1"/>
        </w:rPr>
        <w:t xml:space="preserve"> </w:t>
      </w:r>
      <w:r>
        <w:t>and</w:t>
      </w:r>
      <w:r>
        <w:rPr>
          <w:spacing w:val="-2"/>
        </w:rPr>
        <w:t xml:space="preserve"> </w:t>
      </w:r>
      <w:r>
        <w:t>one</w:t>
      </w:r>
      <w:r>
        <w:rPr>
          <w:spacing w:val="-1"/>
        </w:rPr>
        <w:t xml:space="preserve"> </w:t>
      </w:r>
      <w:r>
        <w:t>is</w:t>
      </w:r>
      <w:r>
        <w:rPr>
          <w:spacing w:val="-2"/>
        </w:rPr>
        <w:t xml:space="preserve"> </w:t>
      </w:r>
      <w:r>
        <w:rPr>
          <w:i/>
        </w:rPr>
        <w:t>not</w:t>
      </w:r>
      <w:r>
        <w:rPr>
          <w:i/>
          <w:spacing w:val="-3"/>
        </w:rPr>
        <w:t xml:space="preserve"> </w:t>
      </w:r>
      <w:r>
        <w:t>blind to it if one accepts a frame of evaluation that allows for functional categories. An analogue of this line of thought holds of law and government. Even if every government were thoroughly corrupt and exploitative, there would still be a significant sense in which governments were to be understood as protectors</w:t>
      </w:r>
      <w:r>
        <w:rPr>
          <w:spacing w:val="40"/>
        </w:rPr>
        <w:t xml:space="preserve"> </w:t>
      </w:r>
      <w:r>
        <w:t>of</w:t>
      </w:r>
      <w:r>
        <w:rPr>
          <w:spacing w:val="-1"/>
        </w:rPr>
        <w:t xml:space="preserve"> </w:t>
      </w:r>
      <w:r>
        <w:t>rights,</w:t>
      </w:r>
      <w:r>
        <w:rPr>
          <w:spacing w:val="-1"/>
        </w:rPr>
        <w:t xml:space="preserve"> </w:t>
      </w:r>
      <w:r>
        <w:t>and</w:t>
      </w:r>
      <w:r>
        <w:rPr>
          <w:spacing w:val="-1"/>
        </w:rPr>
        <w:t xml:space="preserve"> </w:t>
      </w:r>
      <w:r>
        <w:t>in</w:t>
      </w:r>
      <w:r>
        <w:rPr>
          <w:spacing w:val="-1"/>
        </w:rPr>
        <w:t xml:space="preserve"> </w:t>
      </w:r>
      <w:r>
        <w:t>which</w:t>
      </w:r>
      <w:r>
        <w:rPr>
          <w:spacing w:val="-1"/>
        </w:rPr>
        <w:t xml:space="preserve"> </w:t>
      </w:r>
      <w:r>
        <w:t>the</w:t>
      </w:r>
      <w:r>
        <w:rPr>
          <w:spacing w:val="-1"/>
        </w:rPr>
        <w:t xml:space="preserve"> </w:t>
      </w:r>
      <w:r>
        <w:t>laws</w:t>
      </w:r>
      <w:r>
        <w:rPr>
          <w:spacing w:val="-1"/>
        </w:rPr>
        <w:t xml:space="preserve"> </w:t>
      </w:r>
      <w:r>
        <w:t>issued</w:t>
      </w:r>
      <w:r>
        <w:rPr>
          <w:spacing w:val="-1"/>
        </w:rPr>
        <w:t xml:space="preserve"> </w:t>
      </w:r>
      <w:r>
        <w:t>by</w:t>
      </w:r>
      <w:r>
        <w:rPr>
          <w:spacing w:val="-1"/>
        </w:rPr>
        <w:t xml:space="preserve"> </w:t>
      </w:r>
      <w:r>
        <w:t>governments</w:t>
      </w:r>
      <w:r>
        <w:rPr>
          <w:spacing w:val="-1"/>
        </w:rPr>
        <w:t xml:space="preserve"> </w:t>
      </w:r>
      <w:r>
        <w:t>were</w:t>
      </w:r>
      <w:r>
        <w:rPr>
          <w:spacing w:val="-1"/>
        </w:rPr>
        <w:t xml:space="preserve"> </w:t>
      </w:r>
      <w:r>
        <w:t>to</w:t>
      </w:r>
      <w:r>
        <w:rPr>
          <w:spacing w:val="-1"/>
        </w:rPr>
        <w:t xml:space="preserve"> </w:t>
      </w:r>
      <w:r>
        <w:t>be</w:t>
      </w:r>
      <w:r>
        <w:rPr>
          <w:spacing w:val="-1"/>
        </w:rPr>
        <w:t xml:space="preserve"> </w:t>
      </w:r>
      <w:r>
        <w:t>understood as attempts to provide protections of rights. Like hearts and livers, governments and the laws they issue are to be understood in functional, and not strictly statistical-empirical, terms.</w:t>
      </w:r>
    </w:p>
    <w:p w14:paraId="7E0028C1" w14:textId="77777777" w:rsidR="009A58DB" w:rsidRDefault="00000000">
      <w:pPr>
        <w:pStyle w:val="BodyText"/>
        <w:spacing w:before="16" w:line="249" w:lineRule="auto"/>
        <w:ind w:right="358" w:firstLine="360"/>
      </w:pPr>
      <w:r>
        <w:t>The significance of distinction (iii) is to be understood in terms of the following argument. If a certain legal system doesn’t prohibit anyone from violating Smith’s rights, then Smith falls outside the jurisdiction of that system. There is legal obligation only where there is moral protection, and</w:t>
      </w:r>
      <w:r>
        <w:rPr>
          <w:spacing w:val="40"/>
        </w:rPr>
        <w:t xml:space="preserve"> </w:t>
      </w:r>
      <w:r>
        <w:t>the moral core of one’s legal obligations lies in this fact.</w:t>
      </w:r>
    </w:p>
    <w:p w14:paraId="7E0028C2" w14:textId="77777777" w:rsidR="009A58DB" w:rsidRDefault="00000000">
      <w:pPr>
        <w:pStyle w:val="BodyText"/>
        <w:spacing w:before="6"/>
        <w:ind w:left="720"/>
      </w:pPr>
      <w:r>
        <w:t>But</w:t>
      </w:r>
      <w:r>
        <w:rPr>
          <w:spacing w:val="62"/>
        </w:rPr>
        <w:t xml:space="preserve"> </w:t>
      </w:r>
      <w:r>
        <w:t>there</w:t>
      </w:r>
      <w:r>
        <w:rPr>
          <w:spacing w:val="66"/>
        </w:rPr>
        <w:t xml:space="preserve"> </w:t>
      </w:r>
      <w:r>
        <w:t>is</w:t>
      </w:r>
      <w:r>
        <w:rPr>
          <w:spacing w:val="66"/>
        </w:rPr>
        <w:t xml:space="preserve"> </w:t>
      </w:r>
      <w:r>
        <w:t>an</w:t>
      </w:r>
      <w:r>
        <w:rPr>
          <w:spacing w:val="66"/>
        </w:rPr>
        <w:t xml:space="preserve"> </w:t>
      </w:r>
      <w:r>
        <w:t>obvious</w:t>
      </w:r>
      <w:r>
        <w:rPr>
          <w:spacing w:val="66"/>
        </w:rPr>
        <w:t xml:space="preserve"> </w:t>
      </w:r>
      <w:r>
        <w:t>objection</w:t>
      </w:r>
      <w:r>
        <w:rPr>
          <w:spacing w:val="65"/>
        </w:rPr>
        <w:t xml:space="preserve"> </w:t>
      </w:r>
      <w:r>
        <w:t>to</w:t>
      </w:r>
      <w:r>
        <w:rPr>
          <w:spacing w:val="66"/>
        </w:rPr>
        <w:t xml:space="preserve"> </w:t>
      </w:r>
      <w:r>
        <w:t>this</w:t>
      </w:r>
      <w:r>
        <w:rPr>
          <w:spacing w:val="66"/>
        </w:rPr>
        <w:t xml:space="preserve"> </w:t>
      </w:r>
      <w:r>
        <w:t>argument.</w:t>
      </w:r>
      <w:r>
        <w:rPr>
          <w:spacing w:val="66"/>
        </w:rPr>
        <w:t xml:space="preserve"> </w:t>
      </w:r>
      <w:r>
        <w:t>People</w:t>
      </w:r>
      <w:r>
        <w:rPr>
          <w:spacing w:val="66"/>
        </w:rPr>
        <w:t xml:space="preserve"> </w:t>
      </w:r>
      <w:r>
        <w:t>have</w:t>
      </w:r>
      <w:r>
        <w:rPr>
          <w:spacing w:val="66"/>
        </w:rPr>
        <w:t xml:space="preserve"> </w:t>
      </w:r>
      <w:r>
        <w:rPr>
          <w:spacing w:val="-2"/>
        </w:rPr>
        <w:t>legal</w:t>
      </w:r>
    </w:p>
    <w:p w14:paraId="7E0028C3" w14:textId="77777777" w:rsidR="009A58DB" w:rsidRDefault="009A58DB">
      <w:pPr>
        <w:pStyle w:val="BodyText"/>
        <w:sectPr w:rsidR="009A58DB">
          <w:pgSz w:w="12240" w:h="15840"/>
          <w:pgMar w:top="1380" w:right="1080" w:bottom="280" w:left="1080" w:header="720" w:footer="720" w:gutter="0"/>
          <w:cols w:space="720"/>
        </w:sectPr>
      </w:pPr>
    </w:p>
    <w:p w14:paraId="7E0028C4" w14:textId="77777777" w:rsidR="009A58DB" w:rsidRDefault="00000000">
      <w:pPr>
        <w:pStyle w:val="BodyText"/>
        <w:spacing w:before="65" w:line="249" w:lineRule="auto"/>
        <w:ind w:right="358"/>
      </w:pPr>
      <w:r>
        <w:lastRenderedPageBreak/>
        <w:t xml:space="preserve">obligations under governments that harm them. Given this, it seems straightforwardly false to say that legal obligations under a government categorically presuppose receipt of moral protections from that same government. Here is where distinction (iii) becomes relevant. Suppose that Officer Smith beats me without cause. Even while I am being beaten, the government continues to protect my rights: anyone caught attempting to burgle my house or kidnap my children will be arrested; and it may even be other police officers who, acting in the name of duty, stop Smith from further beating me. Thus, Smith’s misconduct is a case where a positive violation of my rights is superimposed on the continued existence of governmental protections of those same rights. The same thing is true of </w:t>
      </w:r>
      <w:r>
        <w:rPr>
          <w:i/>
        </w:rPr>
        <w:t xml:space="preserve">any </w:t>
      </w:r>
      <w:r>
        <w:t>case where</w:t>
      </w:r>
      <w:r>
        <w:rPr>
          <w:spacing w:val="40"/>
        </w:rPr>
        <w:t xml:space="preserve"> </w:t>
      </w:r>
      <w:r>
        <w:t>one has legal obligations under a government that harms one. Thus, even though one may have legal obligations towards a government that harms one, it doesn’t follow that legal obligation doesn’t presuppose moral protection.</w:t>
      </w:r>
      <w:r>
        <w:rPr>
          <w:spacing w:val="40"/>
        </w:rPr>
        <w:t xml:space="preserve"> </w:t>
      </w:r>
      <w:r>
        <w:t>So far as one thinks otherwise, one is failing to make distinction (iii).</w:t>
      </w:r>
    </w:p>
    <w:p w14:paraId="7E0028C5" w14:textId="77777777" w:rsidR="009A58DB" w:rsidRDefault="00000000">
      <w:pPr>
        <w:pStyle w:val="BodyText"/>
        <w:spacing w:before="18" w:line="249" w:lineRule="auto"/>
        <w:ind w:right="358" w:firstLine="360"/>
      </w:pPr>
      <w:r>
        <w:t>Like the present author, Ronald Dworki</w:t>
      </w:r>
      <w:bookmarkStart w:id="566" w:name="_bookmark566"/>
      <w:bookmarkEnd w:id="566"/>
      <w:r>
        <w:t>n</w:t>
      </w:r>
      <w:r>
        <w:rPr>
          <w:color w:val="0562C1"/>
          <w:position w:val="21"/>
          <w:u w:val="single" w:color="0562C1"/>
        </w:rPr>
        <w:t>[426]</w:t>
      </w:r>
      <w:r>
        <w:rPr>
          <w:color w:val="0562C1"/>
          <w:spacing w:val="-6"/>
          <w:position w:val="21"/>
        </w:rPr>
        <w:t xml:space="preserve"> </w:t>
      </w:r>
      <w:r>
        <w:t>argues that the concept of law</w:t>
      </w:r>
      <w:r>
        <w:rPr>
          <w:spacing w:val="-3"/>
        </w:rPr>
        <w:t xml:space="preserve"> </w:t>
      </w:r>
      <w:r>
        <w:t>is</w:t>
      </w:r>
      <w:r>
        <w:rPr>
          <w:spacing w:val="-2"/>
        </w:rPr>
        <w:t xml:space="preserve"> </w:t>
      </w:r>
      <w:r>
        <w:t>to</w:t>
      </w:r>
      <w:r>
        <w:rPr>
          <w:spacing w:val="-2"/>
        </w:rPr>
        <w:t xml:space="preserve"> </w:t>
      </w:r>
      <w:r>
        <w:t>be</w:t>
      </w:r>
      <w:r>
        <w:rPr>
          <w:spacing w:val="-2"/>
        </w:rPr>
        <w:t xml:space="preserve"> </w:t>
      </w:r>
      <w:r>
        <w:t>understood</w:t>
      </w:r>
      <w:r>
        <w:rPr>
          <w:spacing w:val="-2"/>
        </w:rPr>
        <w:t xml:space="preserve"> </w:t>
      </w:r>
      <w:r>
        <w:t>in</w:t>
      </w:r>
      <w:r>
        <w:rPr>
          <w:spacing w:val="-2"/>
        </w:rPr>
        <w:t xml:space="preserve"> </w:t>
      </w:r>
      <w:r>
        <w:t>moral</w:t>
      </w:r>
      <w:r>
        <w:rPr>
          <w:spacing w:val="-2"/>
        </w:rPr>
        <w:t xml:space="preserve"> </w:t>
      </w:r>
      <w:r>
        <w:t>terms.</w:t>
      </w:r>
      <w:r>
        <w:rPr>
          <w:spacing w:val="-2"/>
        </w:rPr>
        <w:t xml:space="preserve"> </w:t>
      </w:r>
      <w:r>
        <w:t>His</w:t>
      </w:r>
      <w:r>
        <w:rPr>
          <w:spacing w:val="-2"/>
        </w:rPr>
        <w:t xml:space="preserve"> </w:t>
      </w:r>
      <w:r>
        <w:t>argument</w:t>
      </w:r>
      <w:r>
        <w:rPr>
          <w:spacing w:val="-2"/>
        </w:rPr>
        <w:t xml:space="preserve"> </w:t>
      </w:r>
      <w:r>
        <w:t>is</w:t>
      </w:r>
      <w:r>
        <w:rPr>
          <w:spacing w:val="-2"/>
        </w:rPr>
        <w:t xml:space="preserve"> </w:t>
      </w:r>
      <w:r>
        <w:t>that</w:t>
      </w:r>
      <w:r>
        <w:rPr>
          <w:spacing w:val="-2"/>
        </w:rPr>
        <w:t xml:space="preserve"> </w:t>
      </w:r>
      <w:r>
        <w:t>judicial</w:t>
      </w:r>
      <w:r>
        <w:rPr>
          <w:spacing w:val="-2"/>
        </w:rPr>
        <w:t xml:space="preserve"> </w:t>
      </w:r>
      <w:r>
        <w:t xml:space="preserve">decisions are often made on moral, as opposed to narrowly statutory, grounds. This argument is less than probative. If the judge rules that the money is Smith’s, </w:t>
      </w:r>
      <w:r>
        <w:rPr>
          <w:spacing w:val="-4"/>
        </w:rPr>
        <w:t>then</w:t>
      </w:r>
    </w:p>
    <w:p w14:paraId="7E0028C6" w14:textId="77777777" w:rsidR="009A58DB" w:rsidRDefault="00000000">
      <w:pPr>
        <w:pStyle w:val="BodyText"/>
        <w:spacing w:before="6" w:line="249" w:lineRule="auto"/>
        <w:ind w:right="359"/>
      </w:pPr>
      <w:r>
        <w:t>the</w:t>
      </w:r>
      <w:r>
        <w:rPr>
          <w:spacing w:val="-11"/>
        </w:rPr>
        <w:t xml:space="preserve"> </w:t>
      </w:r>
      <w:r>
        <w:t xml:space="preserve">bank manager is acting illegally if he refuses to give Smith the key to the safety-deposit box. If the judge rules that the money is </w:t>
      </w:r>
      <w:r>
        <w:rPr>
          <w:i/>
        </w:rPr>
        <w:t xml:space="preserve">not </w:t>
      </w:r>
      <w:r>
        <w:t>Smith’s, then the bank</w:t>
      </w:r>
      <w:r>
        <w:rPr>
          <w:spacing w:val="-2"/>
        </w:rPr>
        <w:t xml:space="preserve"> </w:t>
      </w:r>
      <w:r>
        <w:t>manager</w:t>
      </w:r>
      <w:r>
        <w:rPr>
          <w:spacing w:val="-3"/>
        </w:rPr>
        <w:t xml:space="preserve"> </w:t>
      </w:r>
      <w:r>
        <w:t>is</w:t>
      </w:r>
      <w:r>
        <w:rPr>
          <w:spacing w:val="-3"/>
        </w:rPr>
        <w:t xml:space="preserve"> </w:t>
      </w:r>
      <w:r>
        <w:t>acting</w:t>
      </w:r>
      <w:r>
        <w:rPr>
          <w:spacing w:val="-2"/>
        </w:rPr>
        <w:t xml:space="preserve"> </w:t>
      </w:r>
      <w:r>
        <w:t>illegally</w:t>
      </w:r>
      <w:r>
        <w:rPr>
          <w:spacing w:val="-2"/>
        </w:rPr>
        <w:t xml:space="preserve"> </w:t>
      </w:r>
      <w:r>
        <w:t>if</w:t>
      </w:r>
      <w:r>
        <w:rPr>
          <w:spacing w:val="-3"/>
        </w:rPr>
        <w:t xml:space="preserve"> </w:t>
      </w:r>
      <w:r>
        <w:t>he</w:t>
      </w:r>
      <w:r>
        <w:rPr>
          <w:spacing w:val="-3"/>
        </w:rPr>
        <w:t xml:space="preserve"> </w:t>
      </w:r>
      <w:r>
        <w:rPr>
          <w:i/>
        </w:rPr>
        <w:t>does</w:t>
      </w:r>
      <w:r>
        <w:rPr>
          <w:i/>
          <w:spacing w:val="-3"/>
        </w:rPr>
        <w:t xml:space="preserve"> </w:t>
      </w:r>
      <w:r>
        <w:t>give</w:t>
      </w:r>
      <w:r>
        <w:rPr>
          <w:spacing w:val="-3"/>
        </w:rPr>
        <w:t xml:space="preserve"> </w:t>
      </w:r>
      <w:r>
        <w:t>Smith</w:t>
      </w:r>
      <w:r>
        <w:rPr>
          <w:spacing w:val="-2"/>
        </w:rPr>
        <w:t xml:space="preserve"> </w:t>
      </w:r>
      <w:r>
        <w:t>the</w:t>
      </w:r>
      <w:r>
        <w:rPr>
          <w:spacing w:val="-3"/>
        </w:rPr>
        <w:t xml:space="preserve"> </w:t>
      </w:r>
      <w:r>
        <w:t>key.</w:t>
      </w:r>
      <w:r>
        <w:rPr>
          <w:spacing w:val="-2"/>
        </w:rPr>
        <w:t xml:space="preserve"> </w:t>
      </w:r>
      <w:r>
        <w:t>The</w:t>
      </w:r>
      <w:r>
        <w:rPr>
          <w:spacing w:val="-3"/>
        </w:rPr>
        <w:t xml:space="preserve"> </w:t>
      </w:r>
      <w:r>
        <w:t>judge</w:t>
      </w:r>
      <w:r>
        <w:rPr>
          <w:spacing w:val="-3"/>
        </w:rPr>
        <w:t xml:space="preserve"> </w:t>
      </w:r>
      <w:r>
        <w:t xml:space="preserve">may or may not make his decision on the basis of a moral principle. In either case, the law is what the judge says it is. This is the antithesis of the idea that there is any </w:t>
      </w:r>
      <w:r>
        <w:rPr>
          <w:i/>
        </w:rPr>
        <w:t xml:space="preserve">necessary </w:t>
      </w:r>
      <w:r>
        <w:t>relationship between law and morality, even though it is obviously compatible with the idea that the two may sometimes overlap.</w:t>
      </w:r>
    </w:p>
    <w:p w14:paraId="7E0028C7" w14:textId="77777777" w:rsidR="009A58DB" w:rsidRDefault="00000000">
      <w:pPr>
        <w:pStyle w:val="BodyText"/>
        <w:spacing w:before="9" w:line="249" w:lineRule="auto"/>
        <w:ind w:right="359" w:firstLine="360"/>
      </w:pPr>
      <w:r>
        <w:t xml:space="preserve">We’ve already seen why law is to be understood in terms of morality, notwithstanding that Dworkin’s argument for this conclusion is less than cogent. But if our criticism of Dworkin is correct, it seems to follow the legal interpretation (so-called) is mere legislation, and thus isn’t interpretation at all. But legal interpretation is </w:t>
      </w:r>
      <w:r>
        <w:rPr>
          <w:i/>
        </w:rPr>
        <w:t xml:space="preserve">not </w:t>
      </w:r>
      <w:r>
        <w:t>mere legislation, and this is perfectly compatible with the fact that the law is what the judge says it is.</w:t>
      </w:r>
    </w:p>
    <w:p w14:paraId="7E0028C8" w14:textId="77777777" w:rsidR="009A58DB" w:rsidRDefault="00000000">
      <w:pPr>
        <w:pStyle w:val="BodyText"/>
        <w:spacing w:before="7" w:line="249" w:lineRule="auto"/>
        <w:ind w:right="358" w:firstLine="360"/>
      </w:pPr>
      <w:r>
        <w:t>A brief detour through the history of science may help to indicate the broader</w:t>
      </w:r>
      <w:r>
        <w:rPr>
          <w:spacing w:val="66"/>
          <w:w w:val="150"/>
        </w:rPr>
        <w:t xml:space="preserve"> </w:t>
      </w:r>
      <w:r>
        <w:t>outlines</w:t>
      </w:r>
      <w:r>
        <w:rPr>
          <w:spacing w:val="67"/>
          <w:w w:val="150"/>
        </w:rPr>
        <w:t xml:space="preserve"> </w:t>
      </w:r>
      <w:r>
        <w:t>of</w:t>
      </w:r>
      <w:r>
        <w:rPr>
          <w:spacing w:val="66"/>
          <w:w w:val="150"/>
        </w:rPr>
        <w:t xml:space="preserve"> </w:t>
      </w:r>
      <w:r>
        <w:t>my</w:t>
      </w:r>
      <w:r>
        <w:rPr>
          <w:spacing w:val="67"/>
          <w:w w:val="150"/>
        </w:rPr>
        <w:t xml:space="preserve"> </w:t>
      </w:r>
      <w:r>
        <w:t>argument</w:t>
      </w:r>
      <w:r>
        <w:rPr>
          <w:spacing w:val="66"/>
          <w:w w:val="150"/>
        </w:rPr>
        <w:t xml:space="preserve"> </w:t>
      </w:r>
      <w:r>
        <w:t>for</w:t>
      </w:r>
      <w:r>
        <w:rPr>
          <w:spacing w:val="66"/>
          <w:w w:val="150"/>
        </w:rPr>
        <w:t xml:space="preserve"> </w:t>
      </w:r>
      <w:r>
        <w:t>this.</w:t>
      </w:r>
      <w:r>
        <w:rPr>
          <w:spacing w:val="67"/>
          <w:w w:val="150"/>
        </w:rPr>
        <w:t xml:space="preserve"> </w:t>
      </w:r>
      <w:r>
        <w:t>The</w:t>
      </w:r>
      <w:r>
        <w:rPr>
          <w:spacing w:val="67"/>
          <w:w w:val="150"/>
        </w:rPr>
        <w:t xml:space="preserve"> </w:t>
      </w:r>
      <w:r>
        <w:t>layperson’s</w:t>
      </w:r>
      <w:r>
        <w:rPr>
          <w:spacing w:val="67"/>
          <w:w w:val="150"/>
        </w:rPr>
        <w:t xml:space="preserve"> </w:t>
      </w:r>
      <w:r>
        <w:t>concept</w:t>
      </w:r>
      <w:r>
        <w:rPr>
          <w:spacing w:val="66"/>
          <w:w w:val="150"/>
        </w:rPr>
        <w:t xml:space="preserve"> </w:t>
      </w:r>
      <w:r>
        <w:t>of</w:t>
      </w:r>
    </w:p>
    <w:p w14:paraId="7E0028C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CA" w14:textId="77777777" w:rsidR="009A58DB" w:rsidRDefault="00000000">
      <w:pPr>
        <w:pStyle w:val="BodyText"/>
        <w:spacing w:before="65" w:line="249" w:lineRule="auto"/>
        <w:ind w:right="358"/>
      </w:pPr>
      <w:r>
        <w:lastRenderedPageBreak/>
        <w:t>temperature has no application outside of what are, from a physicist’s viewpoint, extremely narrow horizons. When physicists identified heat with molecular motion, they were not identifying the content of the layperson’s concept of temperature. Rather, they were replacing the lay-person’s concept with one that is consistent with it, within its narrow sphere of applicability, but is more precisely defined and also has a much wider sphere of</w:t>
      </w:r>
      <w:r>
        <w:rPr>
          <w:spacing w:val="40"/>
        </w:rPr>
        <w:t xml:space="preserve"> </w:t>
      </w:r>
      <w:r>
        <w:t xml:space="preserve">application. Such principled extensions of existing concepts are referred to as “delineations” or “precisifications.” Any judicial ruling is </w:t>
      </w:r>
      <w:r>
        <w:rPr>
          <w:i/>
        </w:rPr>
        <w:t>ipso facto</w:t>
      </w:r>
      <w:r>
        <w:rPr>
          <w:i/>
          <w:spacing w:val="40"/>
        </w:rPr>
        <w:t xml:space="preserve"> </w:t>
      </w:r>
      <w:r>
        <w:t xml:space="preserve">an extension, not an identification, of existing law. But judicial rulings are </w:t>
      </w:r>
      <w:r>
        <w:rPr>
          <w:i/>
        </w:rPr>
        <w:t xml:space="preserve">principled </w:t>
      </w:r>
      <w:r>
        <w:t>extensions of the law—that is, they are delineations of it, and are not cases of law being created out of whole cloth. Just as some delineations</w:t>
      </w:r>
      <w:r>
        <w:rPr>
          <w:spacing w:val="40"/>
        </w:rPr>
        <w:t xml:space="preserve"> </w:t>
      </w:r>
      <w:r>
        <w:t>of the concept of temperature (“a body’s temperature is the sum of the velocities of its constituent molecules divided by the number of those particles”)</w:t>
      </w:r>
      <w:r>
        <w:rPr>
          <w:spacing w:val="-5"/>
        </w:rPr>
        <w:t xml:space="preserve"> </w:t>
      </w:r>
      <w:r>
        <w:t>are</w:t>
      </w:r>
      <w:r>
        <w:rPr>
          <w:spacing w:val="-5"/>
        </w:rPr>
        <w:t xml:space="preserve"> </w:t>
      </w:r>
      <w:r>
        <w:t>truer</w:t>
      </w:r>
      <w:r>
        <w:rPr>
          <w:spacing w:val="-5"/>
        </w:rPr>
        <w:t xml:space="preserve"> </w:t>
      </w:r>
      <w:r>
        <w:t>to</w:t>
      </w:r>
      <w:r>
        <w:rPr>
          <w:spacing w:val="-4"/>
        </w:rPr>
        <w:t xml:space="preserve"> </w:t>
      </w:r>
      <w:r>
        <w:t>pre-theoretic</w:t>
      </w:r>
      <w:r>
        <w:rPr>
          <w:spacing w:val="-5"/>
        </w:rPr>
        <w:t xml:space="preserve"> </w:t>
      </w:r>
      <w:r>
        <w:t>data</w:t>
      </w:r>
      <w:r>
        <w:rPr>
          <w:spacing w:val="-5"/>
        </w:rPr>
        <w:t xml:space="preserve"> </w:t>
      </w:r>
      <w:r>
        <w:t>than</w:t>
      </w:r>
      <w:r>
        <w:rPr>
          <w:spacing w:val="-4"/>
        </w:rPr>
        <w:t xml:space="preserve"> </w:t>
      </w:r>
      <w:r>
        <w:t>others</w:t>
      </w:r>
      <w:r>
        <w:rPr>
          <w:spacing w:val="-5"/>
        </w:rPr>
        <w:t xml:space="preserve"> </w:t>
      </w:r>
      <w:r>
        <w:t>(“heat</w:t>
      </w:r>
      <w:r>
        <w:rPr>
          <w:spacing w:val="-5"/>
        </w:rPr>
        <w:t xml:space="preserve"> </w:t>
      </w:r>
      <w:r>
        <w:t>is</w:t>
      </w:r>
      <w:r>
        <w:rPr>
          <w:spacing w:val="-5"/>
        </w:rPr>
        <w:t xml:space="preserve"> </w:t>
      </w:r>
      <w:r>
        <w:t>dephlogistinated matter”), so some interpretations of law are truer to existing law than others.</w:t>
      </w:r>
    </w:p>
    <w:p w14:paraId="7E0028CB" w14:textId="77777777" w:rsidR="009A58DB" w:rsidRDefault="00000000">
      <w:pPr>
        <w:pStyle w:val="BodyText"/>
        <w:spacing w:before="18" w:line="249" w:lineRule="auto"/>
        <w:ind w:right="359" w:firstLine="360"/>
      </w:pPr>
      <w:r>
        <w:t xml:space="preserve">Blackstone said that judges identify, and do not create, law. John Austin described Blackstone’s position as a “childish fiction.” Given the argument just outlined—and, in fact, independently of that argument—we must agree with Austin. But given that same argument, we must </w:t>
      </w:r>
      <w:r>
        <w:rPr>
          <w:i/>
        </w:rPr>
        <w:t>dis</w:t>
      </w:r>
      <w:r>
        <w:t>agree with the nihilistic view, held by the so-called “legal realists,” that judicial interpretation is mere legislation, and isn’t answerable to objective standards.</w:t>
      </w:r>
    </w:p>
    <w:p w14:paraId="7E0028C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CD" w14:textId="77777777" w:rsidR="009A58DB" w:rsidRDefault="009A58DB">
      <w:pPr>
        <w:pStyle w:val="BodyText"/>
        <w:spacing w:before="4"/>
        <w:ind w:left="0"/>
        <w:jc w:val="left"/>
        <w:rPr>
          <w:sz w:val="17"/>
        </w:rPr>
      </w:pPr>
    </w:p>
    <w:p w14:paraId="7E0028CE" w14:textId="77777777" w:rsidR="009A58DB" w:rsidRDefault="009A58DB">
      <w:pPr>
        <w:pStyle w:val="BodyText"/>
        <w:jc w:val="left"/>
        <w:rPr>
          <w:sz w:val="17"/>
        </w:rPr>
        <w:sectPr w:rsidR="009A58DB">
          <w:pgSz w:w="12240" w:h="15840"/>
          <w:pgMar w:top="1820" w:right="1080" w:bottom="280" w:left="1080" w:header="720" w:footer="720" w:gutter="0"/>
          <w:cols w:space="720"/>
        </w:sectPr>
      </w:pPr>
    </w:p>
    <w:p w14:paraId="7E0028CF" w14:textId="77777777" w:rsidR="009A58DB" w:rsidRDefault="00000000">
      <w:pPr>
        <w:spacing w:line="503" w:lineRule="exact"/>
        <w:ind w:left="326" w:right="332"/>
        <w:jc w:val="center"/>
        <w:rPr>
          <w:rFonts w:ascii="Calibri Light"/>
          <w:sz w:val="42"/>
        </w:rPr>
      </w:pPr>
      <w:bookmarkStart w:id="567" w:name="_bookmark567"/>
      <w:bookmarkEnd w:id="567"/>
      <w:r>
        <w:rPr>
          <w:rFonts w:ascii="Calibri Light"/>
          <w:sz w:val="42"/>
        </w:rPr>
        <w:lastRenderedPageBreak/>
        <w:t>Appendix</w:t>
      </w:r>
      <w:r>
        <w:rPr>
          <w:rFonts w:ascii="Calibri Light"/>
          <w:spacing w:val="64"/>
          <w:sz w:val="42"/>
        </w:rPr>
        <w:t xml:space="preserve"> </w:t>
      </w:r>
      <w:r>
        <w:rPr>
          <w:rFonts w:ascii="Calibri Light"/>
          <w:spacing w:val="-10"/>
          <w:sz w:val="42"/>
        </w:rPr>
        <w:t>1</w:t>
      </w:r>
    </w:p>
    <w:p w14:paraId="7E0028D0" w14:textId="77777777" w:rsidR="009A58DB" w:rsidRDefault="00000000">
      <w:pPr>
        <w:spacing w:before="222"/>
        <w:ind w:left="326" w:right="332"/>
        <w:jc w:val="center"/>
        <w:rPr>
          <w:rFonts w:ascii="Calibri Light"/>
          <w:sz w:val="42"/>
        </w:rPr>
      </w:pPr>
      <w:bookmarkStart w:id="568" w:name="_bookmark568"/>
      <w:bookmarkEnd w:id="568"/>
      <w:r>
        <w:rPr>
          <w:rFonts w:ascii="Calibri Light"/>
          <w:sz w:val="42"/>
        </w:rPr>
        <w:t>The</w:t>
      </w:r>
      <w:r>
        <w:rPr>
          <w:rFonts w:ascii="Calibri Light"/>
          <w:spacing w:val="37"/>
          <w:sz w:val="42"/>
        </w:rPr>
        <w:t xml:space="preserve"> </w:t>
      </w:r>
      <w:r>
        <w:rPr>
          <w:rFonts w:ascii="Calibri Light"/>
          <w:sz w:val="42"/>
        </w:rPr>
        <w:t>Rudiments</w:t>
      </w:r>
      <w:r>
        <w:rPr>
          <w:rFonts w:ascii="Calibri Light"/>
          <w:spacing w:val="37"/>
          <w:sz w:val="42"/>
        </w:rPr>
        <w:t xml:space="preserve"> </w:t>
      </w:r>
      <w:r>
        <w:rPr>
          <w:rFonts w:ascii="Calibri Light"/>
          <w:sz w:val="42"/>
        </w:rPr>
        <w:t>of</w:t>
      </w:r>
      <w:r>
        <w:rPr>
          <w:rFonts w:ascii="Calibri Light"/>
          <w:spacing w:val="38"/>
          <w:sz w:val="42"/>
        </w:rPr>
        <w:t xml:space="preserve"> </w:t>
      </w:r>
      <w:r>
        <w:rPr>
          <w:rFonts w:ascii="Calibri Light"/>
          <w:spacing w:val="-2"/>
          <w:sz w:val="42"/>
        </w:rPr>
        <w:t>Logic</w:t>
      </w:r>
    </w:p>
    <w:p w14:paraId="7E0028D1" w14:textId="77777777" w:rsidR="009A58DB" w:rsidRDefault="00000000">
      <w:pPr>
        <w:pStyle w:val="Heading1"/>
        <w:numPr>
          <w:ilvl w:val="1"/>
          <w:numId w:val="38"/>
        </w:numPr>
        <w:tabs>
          <w:tab w:val="left" w:pos="1409"/>
        </w:tabs>
        <w:spacing w:before="185"/>
        <w:ind w:left="1409" w:hanging="1049"/>
      </w:pPr>
      <w:r>
        <w:t>The</w:t>
      </w:r>
      <w:r>
        <w:rPr>
          <w:spacing w:val="-5"/>
        </w:rPr>
        <w:t xml:space="preserve"> </w:t>
      </w:r>
      <w:r>
        <w:t>concept</w:t>
      </w:r>
      <w:r>
        <w:rPr>
          <w:spacing w:val="-3"/>
        </w:rPr>
        <w:t xml:space="preserve"> </w:t>
      </w:r>
      <w:r>
        <w:t>of</w:t>
      </w:r>
      <w:r>
        <w:rPr>
          <w:spacing w:val="-3"/>
        </w:rPr>
        <w:t xml:space="preserve"> </w:t>
      </w:r>
      <w:r>
        <w:t>an</w:t>
      </w:r>
      <w:r>
        <w:rPr>
          <w:spacing w:val="-2"/>
        </w:rPr>
        <w:t xml:space="preserve"> inference</w:t>
      </w:r>
    </w:p>
    <w:p w14:paraId="7E0028D2" w14:textId="77777777" w:rsidR="009A58DB" w:rsidRDefault="00000000">
      <w:pPr>
        <w:pStyle w:val="BodyText"/>
        <w:spacing w:before="139" w:line="249" w:lineRule="auto"/>
        <w:ind w:right="361"/>
      </w:pPr>
      <w:r>
        <w:t>To make an inference is to form a new belief on the basis of an old one. Here is</w:t>
      </w:r>
      <w:r>
        <w:rPr>
          <w:spacing w:val="-1"/>
        </w:rPr>
        <w:t xml:space="preserve"> </w:t>
      </w:r>
      <w:r>
        <w:t>an</w:t>
      </w:r>
      <w:r>
        <w:rPr>
          <w:spacing w:val="-1"/>
        </w:rPr>
        <w:t xml:space="preserve"> </w:t>
      </w:r>
      <w:r>
        <w:t>example.</w:t>
      </w:r>
      <w:r>
        <w:rPr>
          <w:spacing w:val="-1"/>
        </w:rPr>
        <w:t xml:space="preserve"> </w:t>
      </w:r>
      <w:r>
        <w:t>My</w:t>
      </w:r>
      <w:r>
        <w:rPr>
          <w:spacing w:val="-1"/>
        </w:rPr>
        <w:t xml:space="preserve"> </w:t>
      </w:r>
      <w:r>
        <w:t>friend</w:t>
      </w:r>
      <w:r>
        <w:rPr>
          <w:spacing w:val="-1"/>
        </w:rPr>
        <w:t xml:space="preserve"> </w:t>
      </w:r>
      <w:r>
        <w:t>Larry</w:t>
      </w:r>
      <w:r>
        <w:rPr>
          <w:spacing w:val="-1"/>
        </w:rPr>
        <w:t xml:space="preserve"> </w:t>
      </w:r>
      <w:r>
        <w:t>has</w:t>
      </w:r>
      <w:r>
        <w:rPr>
          <w:spacing w:val="-1"/>
        </w:rPr>
        <w:t xml:space="preserve"> </w:t>
      </w:r>
      <w:r>
        <w:t>been</w:t>
      </w:r>
      <w:r>
        <w:rPr>
          <w:spacing w:val="-1"/>
        </w:rPr>
        <w:t xml:space="preserve"> </w:t>
      </w:r>
      <w:r>
        <w:t>evicted</w:t>
      </w:r>
      <w:r>
        <w:rPr>
          <w:spacing w:val="-1"/>
        </w:rPr>
        <w:t xml:space="preserve"> </w:t>
      </w:r>
      <w:r>
        <w:t>from</w:t>
      </w:r>
      <w:r>
        <w:rPr>
          <w:spacing w:val="-2"/>
        </w:rPr>
        <w:t xml:space="preserve"> </w:t>
      </w:r>
      <w:r>
        <w:t>his</w:t>
      </w:r>
      <w:r>
        <w:rPr>
          <w:spacing w:val="-1"/>
        </w:rPr>
        <w:t xml:space="preserve"> </w:t>
      </w:r>
      <w:r>
        <w:t>apartment.</w:t>
      </w:r>
      <w:r>
        <w:rPr>
          <w:spacing w:val="-1"/>
        </w:rPr>
        <w:t xml:space="preserve"> </w:t>
      </w:r>
      <w:r>
        <w:t>I</w:t>
      </w:r>
      <w:r>
        <w:rPr>
          <w:spacing w:val="-1"/>
        </w:rPr>
        <w:t xml:space="preserve"> </w:t>
      </w:r>
      <w:r>
        <w:t>let</w:t>
      </w:r>
      <w:r>
        <w:rPr>
          <w:spacing w:val="-1"/>
        </w:rPr>
        <w:t xml:space="preserve"> </w:t>
      </w:r>
      <w:r>
        <w:t>him stay with me until he finds a new place to live. I notice that, shortly after Larry moves in, all of my money and valuables start disappearing. I also notice that purchases that I didn’t make are appearing on my credit card bills. I know that nobody other than Larry had access to my money, valuables, and credit cards. So I infer that Larry has stolen my money and valuables and illicitly used my credit cards. (Thanks, Larry!)</w:t>
      </w:r>
    </w:p>
    <w:p w14:paraId="7E0028D3" w14:textId="77777777" w:rsidR="009A58DB" w:rsidRDefault="00000000">
      <w:pPr>
        <w:pStyle w:val="BodyText"/>
        <w:spacing w:before="10" w:line="249" w:lineRule="auto"/>
        <w:ind w:right="358" w:firstLine="360"/>
      </w:pPr>
      <w:r>
        <w:t>Inferential</w:t>
      </w:r>
      <w:r>
        <w:rPr>
          <w:spacing w:val="-1"/>
        </w:rPr>
        <w:t xml:space="preserve"> </w:t>
      </w:r>
      <w:r>
        <w:t>knowledge</w:t>
      </w:r>
      <w:r>
        <w:rPr>
          <w:spacing w:val="-1"/>
        </w:rPr>
        <w:t xml:space="preserve"> </w:t>
      </w:r>
      <w:r>
        <w:t>is</w:t>
      </w:r>
      <w:r>
        <w:rPr>
          <w:spacing w:val="-1"/>
        </w:rPr>
        <w:t xml:space="preserve"> </w:t>
      </w:r>
      <w:r>
        <w:t>indirect</w:t>
      </w:r>
      <w:r>
        <w:rPr>
          <w:spacing w:val="-1"/>
        </w:rPr>
        <w:t xml:space="preserve"> </w:t>
      </w:r>
      <w:r>
        <w:t>knowledge.</w:t>
      </w:r>
      <w:r>
        <w:rPr>
          <w:spacing w:val="-1"/>
        </w:rPr>
        <w:t xml:space="preserve"> </w:t>
      </w:r>
      <w:r>
        <w:t>Non-inferential</w:t>
      </w:r>
      <w:r>
        <w:rPr>
          <w:spacing w:val="-1"/>
        </w:rPr>
        <w:t xml:space="preserve"> </w:t>
      </w:r>
      <w:r>
        <w:t>knowledge</w:t>
      </w:r>
      <w:r>
        <w:rPr>
          <w:spacing w:val="-1"/>
        </w:rPr>
        <w:t xml:space="preserve"> </w:t>
      </w:r>
      <w:r>
        <w:t xml:space="preserve">is direct knowledge. There is some reason to believe that </w:t>
      </w:r>
      <w:r>
        <w:rPr>
          <w:i/>
        </w:rPr>
        <w:t xml:space="preserve">all </w:t>
      </w:r>
      <w:r>
        <w:t xml:space="preserve">knowledge is inferential. (This issue is discussed in Chapter 10.) In any case, it’s clear that some knowledge is </w:t>
      </w:r>
      <w:r>
        <w:rPr>
          <w:i/>
        </w:rPr>
        <w:t xml:space="preserve">relatively </w:t>
      </w:r>
      <w:r>
        <w:t>direct. My knowledge that I am now typing on</w:t>
      </w:r>
      <w:r>
        <w:rPr>
          <w:spacing w:val="40"/>
        </w:rPr>
        <w:t xml:space="preserve"> </w:t>
      </w:r>
      <w:r>
        <w:t xml:space="preserve">a keyboard is </w:t>
      </w:r>
      <w:r>
        <w:rPr>
          <w:i/>
        </w:rPr>
        <w:t xml:space="preserve">more </w:t>
      </w:r>
      <w:r>
        <w:t>direct than my knowledge that heat is molecular motion.</w:t>
      </w:r>
    </w:p>
    <w:p w14:paraId="7E0028D4" w14:textId="77777777" w:rsidR="009A58DB" w:rsidRDefault="00000000">
      <w:pPr>
        <w:pStyle w:val="Heading1"/>
        <w:numPr>
          <w:ilvl w:val="1"/>
          <w:numId w:val="38"/>
        </w:numPr>
        <w:tabs>
          <w:tab w:val="left" w:pos="1409"/>
        </w:tabs>
        <w:spacing w:before="209"/>
        <w:ind w:left="1409" w:hanging="1049"/>
      </w:pPr>
      <w:r>
        <w:t>Inductive</w:t>
      </w:r>
      <w:r>
        <w:rPr>
          <w:spacing w:val="-9"/>
        </w:rPr>
        <w:t xml:space="preserve"> </w:t>
      </w:r>
      <w:r>
        <w:t>inference</w:t>
      </w:r>
      <w:r>
        <w:rPr>
          <w:spacing w:val="-7"/>
        </w:rPr>
        <w:t xml:space="preserve"> </w:t>
      </w:r>
      <w:r>
        <w:t>vs.</w:t>
      </w:r>
      <w:r>
        <w:rPr>
          <w:spacing w:val="-6"/>
        </w:rPr>
        <w:t xml:space="preserve"> </w:t>
      </w:r>
      <w:r>
        <w:t>deductive</w:t>
      </w:r>
      <w:r>
        <w:rPr>
          <w:spacing w:val="-6"/>
        </w:rPr>
        <w:t xml:space="preserve"> </w:t>
      </w:r>
      <w:r>
        <w:rPr>
          <w:spacing w:val="-2"/>
        </w:rPr>
        <w:t>inference</w:t>
      </w:r>
    </w:p>
    <w:p w14:paraId="7E0028D5" w14:textId="77777777" w:rsidR="009A58DB" w:rsidRDefault="00000000">
      <w:pPr>
        <w:pStyle w:val="BodyText"/>
        <w:spacing w:before="139" w:line="249" w:lineRule="auto"/>
        <w:ind w:right="359"/>
      </w:pPr>
      <w:r>
        <w:t xml:space="preserve">A </w:t>
      </w:r>
      <w:r>
        <w:rPr>
          <w:b/>
          <w:i/>
        </w:rPr>
        <w:t xml:space="preserve">premise </w:t>
      </w:r>
      <w:r>
        <w:t>is a belief that one either has or that one is willing to accept for argument’s sake. An inference always begins with certain premises and ends with a conclusion that one accepts on the basis of those premises.</w:t>
      </w:r>
    </w:p>
    <w:p w14:paraId="7E0028D6" w14:textId="77777777" w:rsidR="009A58DB" w:rsidRDefault="00000000">
      <w:pPr>
        <w:pStyle w:val="BodyText"/>
        <w:spacing w:before="4" w:line="249" w:lineRule="auto"/>
        <w:ind w:right="359" w:firstLine="360"/>
      </w:pPr>
      <w:r>
        <w:t>There are two kinds of inferences: deductive and inductive. An inference</w:t>
      </w:r>
      <w:r>
        <w:rPr>
          <w:spacing w:val="40"/>
        </w:rPr>
        <w:t xml:space="preserve"> </w:t>
      </w:r>
      <w:r>
        <w:t>is deductive if the premises are intended to make the conclusion 100% likely to be correct. An inference is inductive if the premises are intended to</w:t>
      </w:r>
      <w:r>
        <w:rPr>
          <w:spacing w:val="40"/>
        </w:rPr>
        <w:t xml:space="preserve"> </w:t>
      </w:r>
      <w:r>
        <w:rPr>
          <w:b/>
          <w:i/>
        </w:rPr>
        <w:t xml:space="preserve">support </w:t>
      </w:r>
      <w:r>
        <w:t>the conclusion. It’s no easy matter to say what it is exactly for P to “support” Q. It’s typically said that P “supports” Q if P, supposing it to be true, makes it probable but not certain that Q is true. This is what we’ll say</w:t>
      </w:r>
      <w:r>
        <w:rPr>
          <w:spacing w:val="40"/>
        </w:rPr>
        <w:t xml:space="preserve"> </w:t>
      </w:r>
      <w:r>
        <w:t>for the time being. (But, strictly speaking, it’s false. The reasons for this are given in Section 1.9.)</w:t>
      </w:r>
    </w:p>
    <w:p w14:paraId="7E0028D7" w14:textId="77777777" w:rsidR="009A58DB" w:rsidRDefault="00000000">
      <w:pPr>
        <w:pStyle w:val="BodyText"/>
        <w:spacing w:before="10"/>
        <w:ind w:left="326" w:right="4909"/>
        <w:jc w:val="center"/>
      </w:pPr>
      <w:r>
        <w:t>Consider</w:t>
      </w:r>
      <w:r>
        <w:rPr>
          <w:spacing w:val="-5"/>
        </w:rPr>
        <w:t xml:space="preserve"> </w:t>
      </w:r>
      <w:r>
        <w:t>the</w:t>
      </w:r>
      <w:r>
        <w:rPr>
          <w:spacing w:val="-4"/>
        </w:rPr>
        <w:t xml:space="preserve"> </w:t>
      </w:r>
      <w:r>
        <w:t>following</w:t>
      </w:r>
      <w:r>
        <w:rPr>
          <w:spacing w:val="-3"/>
        </w:rPr>
        <w:t xml:space="preserve"> </w:t>
      </w:r>
      <w:r>
        <w:rPr>
          <w:spacing w:val="-2"/>
        </w:rPr>
        <w:t>argument:</w:t>
      </w:r>
    </w:p>
    <w:p w14:paraId="7E0028D8" w14:textId="77777777" w:rsidR="009A58DB" w:rsidRDefault="00000000">
      <w:pPr>
        <w:pStyle w:val="BodyText"/>
        <w:spacing w:before="105" w:line="249" w:lineRule="auto"/>
        <w:ind w:right="4970" w:hanging="42"/>
        <w:jc w:val="center"/>
      </w:pPr>
      <w:r>
        <w:t>Premise 1: Smith drives a Rolls Royce. Premise</w:t>
      </w:r>
      <w:r>
        <w:rPr>
          <w:spacing w:val="-6"/>
        </w:rPr>
        <w:t xml:space="preserve"> </w:t>
      </w:r>
      <w:r>
        <w:t>2:</w:t>
      </w:r>
      <w:r>
        <w:rPr>
          <w:spacing w:val="-6"/>
        </w:rPr>
        <w:t xml:space="preserve"> </w:t>
      </w:r>
      <w:r>
        <w:t>Smith</w:t>
      </w:r>
      <w:r>
        <w:rPr>
          <w:spacing w:val="-5"/>
        </w:rPr>
        <w:t xml:space="preserve"> </w:t>
      </w:r>
      <w:r>
        <w:t>lives</w:t>
      </w:r>
      <w:r>
        <w:rPr>
          <w:spacing w:val="-6"/>
        </w:rPr>
        <w:t xml:space="preserve"> </w:t>
      </w:r>
      <w:r>
        <w:t>in</w:t>
      </w:r>
      <w:r>
        <w:rPr>
          <w:spacing w:val="-5"/>
        </w:rPr>
        <w:t xml:space="preserve"> </w:t>
      </w:r>
      <w:r>
        <w:t>a</w:t>
      </w:r>
      <w:r>
        <w:rPr>
          <w:spacing w:val="-6"/>
        </w:rPr>
        <w:t xml:space="preserve"> </w:t>
      </w:r>
      <w:r>
        <w:t>large</w:t>
      </w:r>
      <w:r>
        <w:rPr>
          <w:spacing w:val="-6"/>
        </w:rPr>
        <w:t xml:space="preserve"> </w:t>
      </w:r>
      <w:r>
        <w:t>house.</w:t>
      </w:r>
    </w:p>
    <w:p w14:paraId="7E0028D9" w14:textId="77777777" w:rsidR="009A58DB" w:rsidRDefault="009A58DB">
      <w:pPr>
        <w:pStyle w:val="BodyText"/>
        <w:spacing w:line="249" w:lineRule="auto"/>
        <w:jc w:val="center"/>
        <w:sectPr w:rsidR="009A58DB">
          <w:pgSz w:w="12240" w:h="15840"/>
          <w:pgMar w:top="1680" w:right="1080" w:bottom="280" w:left="1080" w:header="720" w:footer="720" w:gutter="0"/>
          <w:cols w:space="720"/>
        </w:sectPr>
      </w:pPr>
    </w:p>
    <w:p w14:paraId="7E0028DA" w14:textId="77777777" w:rsidR="009A58DB" w:rsidRDefault="00000000">
      <w:pPr>
        <w:pStyle w:val="BodyText"/>
        <w:spacing w:before="65"/>
      </w:pPr>
      <w:r>
        <w:lastRenderedPageBreak/>
        <w:t>Conclusion:</w:t>
      </w:r>
      <w:r>
        <w:rPr>
          <w:spacing w:val="-4"/>
        </w:rPr>
        <w:t xml:space="preserve"> </w:t>
      </w:r>
      <w:r>
        <w:t>Smith</w:t>
      </w:r>
      <w:r>
        <w:rPr>
          <w:spacing w:val="-3"/>
        </w:rPr>
        <w:t xml:space="preserve"> </w:t>
      </w:r>
      <w:r>
        <w:t>is</w:t>
      </w:r>
      <w:r>
        <w:rPr>
          <w:spacing w:val="-4"/>
        </w:rPr>
        <w:t xml:space="preserve"> </w:t>
      </w:r>
      <w:r>
        <w:t>very</w:t>
      </w:r>
      <w:r>
        <w:rPr>
          <w:spacing w:val="-3"/>
        </w:rPr>
        <w:t xml:space="preserve"> </w:t>
      </w:r>
      <w:r>
        <w:rPr>
          <w:spacing w:val="-2"/>
        </w:rPr>
        <w:t>wealthy.</w:t>
      </w:r>
    </w:p>
    <w:p w14:paraId="7E0028DB" w14:textId="77777777" w:rsidR="009A58DB" w:rsidRDefault="00000000">
      <w:pPr>
        <w:pStyle w:val="BodyText"/>
        <w:spacing w:before="120" w:line="249" w:lineRule="auto"/>
        <w:ind w:right="361"/>
      </w:pPr>
      <w:r>
        <w:t xml:space="preserve">Here the premises make it </w:t>
      </w:r>
      <w:r>
        <w:rPr>
          <w:i/>
        </w:rPr>
        <w:t>probable</w:t>
      </w:r>
      <w:r>
        <w:rPr>
          <w:i/>
          <w:spacing w:val="-4"/>
        </w:rPr>
        <w:t xml:space="preserve"> </w:t>
      </w:r>
      <w:r>
        <w:t>that Smith is rich, but they don’t make it certain. It’s possible that Smith stole the Rolls Royce or bought it on credit; and it’s possible that, even though Smith lives in a nice house, he cannot afford it and is now in debt. So the premises don’t make the conclusion certain, even though they obviously give it some weight; and the argument is therefore inductive.</w:t>
      </w:r>
    </w:p>
    <w:p w14:paraId="7E0028DC" w14:textId="77777777" w:rsidR="009A58DB" w:rsidRDefault="00000000">
      <w:pPr>
        <w:pStyle w:val="BodyText"/>
        <w:spacing w:before="7"/>
        <w:ind w:left="720"/>
      </w:pPr>
      <w:r>
        <w:t>Contrast</w:t>
      </w:r>
      <w:r>
        <w:rPr>
          <w:spacing w:val="-7"/>
        </w:rPr>
        <w:t xml:space="preserve"> </w:t>
      </w:r>
      <w:r>
        <w:t>that</w:t>
      </w:r>
      <w:r>
        <w:rPr>
          <w:spacing w:val="-4"/>
        </w:rPr>
        <w:t xml:space="preserve"> </w:t>
      </w:r>
      <w:r>
        <w:t>argument</w:t>
      </w:r>
      <w:r>
        <w:rPr>
          <w:spacing w:val="-4"/>
        </w:rPr>
        <w:t xml:space="preserve"> </w:t>
      </w:r>
      <w:r>
        <w:t>with</w:t>
      </w:r>
      <w:r>
        <w:rPr>
          <w:spacing w:val="-3"/>
        </w:rPr>
        <w:t xml:space="preserve"> </w:t>
      </w:r>
      <w:r>
        <w:t>this</w:t>
      </w:r>
      <w:r>
        <w:rPr>
          <w:spacing w:val="-4"/>
        </w:rPr>
        <w:t xml:space="preserve"> one:</w:t>
      </w:r>
    </w:p>
    <w:p w14:paraId="7E0028DD" w14:textId="77777777" w:rsidR="009A58DB" w:rsidRDefault="00000000">
      <w:pPr>
        <w:pStyle w:val="BodyText"/>
        <w:spacing w:before="105" w:line="249" w:lineRule="auto"/>
        <w:ind w:right="5012"/>
      </w:pPr>
      <w:r>
        <w:t>Premise</w:t>
      </w:r>
      <w:r>
        <w:rPr>
          <w:spacing w:val="-7"/>
        </w:rPr>
        <w:t xml:space="preserve"> </w:t>
      </w:r>
      <w:r>
        <w:t>1:</w:t>
      </w:r>
      <w:r>
        <w:rPr>
          <w:spacing w:val="-7"/>
        </w:rPr>
        <w:t xml:space="preserve"> </w:t>
      </w:r>
      <w:r>
        <w:t>Smith</w:t>
      </w:r>
      <w:r>
        <w:rPr>
          <w:spacing w:val="-6"/>
        </w:rPr>
        <w:t xml:space="preserve"> </w:t>
      </w:r>
      <w:r>
        <w:t>drives</w:t>
      </w:r>
      <w:r>
        <w:rPr>
          <w:spacing w:val="-7"/>
        </w:rPr>
        <w:t xml:space="preserve"> </w:t>
      </w:r>
      <w:r>
        <w:t>a</w:t>
      </w:r>
      <w:r>
        <w:rPr>
          <w:spacing w:val="-7"/>
        </w:rPr>
        <w:t xml:space="preserve"> </w:t>
      </w:r>
      <w:r>
        <w:t>Rolls</w:t>
      </w:r>
      <w:r>
        <w:rPr>
          <w:spacing w:val="-7"/>
        </w:rPr>
        <w:t xml:space="preserve"> </w:t>
      </w:r>
      <w:r>
        <w:t>Royce. Premise 2: A Rolls Royce is a car.</w:t>
      </w:r>
    </w:p>
    <w:p w14:paraId="7E0028DE" w14:textId="77777777" w:rsidR="009A58DB" w:rsidRDefault="00000000">
      <w:pPr>
        <w:pStyle w:val="BodyText"/>
        <w:spacing w:before="3"/>
      </w:pPr>
      <w:r>
        <w:t>Conclusion:</w:t>
      </w:r>
      <w:r>
        <w:rPr>
          <w:spacing w:val="-4"/>
        </w:rPr>
        <w:t xml:space="preserve"> </w:t>
      </w:r>
      <w:r>
        <w:t>Smith</w:t>
      </w:r>
      <w:r>
        <w:rPr>
          <w:spacing w:val="-4"/>
        </w:rPr>
        <w:t xml:space="preserve"> </w:t>
      </w:r>
      <w:r>
        <w:t>drives</w:t>
      </w:r>
      <w:r>
        <w:rPr>
          <w:spacing w:val="-4"/>
        </w:rPr>
        <w:t xml:space="preserve"> </w:t>
      </w:r>
      <w:r>
        <w:t>a</w:t>
      </w:r>
      <w:r>
        <w:rPr>
          <w:spacing w:val="-3"/>
        </w:rPr>
        <w:t xml:space="preserve"> </w:t>
      </w:r>
      <w:r>
        <w:rPr>
          <w:spacing w:val="-4"/>
        </w:rPr>
        <w:t>car.</w:t>
      </w:r>
    </w:p>
    <w:p w14:paraId="7E0028DF" w14:textId="77777777" w:rsidR="009A58DB" w:rsidRDefault="00000000">
      <w:pPr>
        <w:pStyle w:val="BodyText"/>
        <w:spacing w:before="120" w:line="249" w:lineRule="auto"/>
        <w:ind w:right="360"/>
      </w:pPr>
      <w:r>
        <w:t>Here the premises, supposing them true, make it 100% likely that the conclusion is true. The conclusion can thus be deductively, as opposed to inductively, inferred from the premises.</w:t>
      </w:r>
    </w:p>
    <w:p w14:paraId="7E0028E0" w14:textId="77777777" w:rsidR="009A58DB" w:rsidRDefault="00000000">
      <w:pPr>
        <w:pStyle w:val="Heading1"/>
        <w:numPr>
          <w:ilvl w:val="1"/>
          <w:numId w:val="38"/>
        </w:numPr>
        <w:tabs>
          <w:tab w:val="left" w:pos="1409"/>
        </w:tabs>
        <w:spacing w:before="191"/>
        <w:ind w:left="1409" w:hanging="1049"/>
      </w:pPr>
      <w:r>
        <w:t>The</w:t>
      </w:r>
      <w:r>
        <w:rPr>
          <w:spacing w:val="-4"/>
        </w:rPr>
        <w:t xml:space="preserve"> </w:t>
      </w:r>
      <w:r>
        <w:t>concept</w:t>
      </w:r>
      <w:r>
        <w:rPr>
          <w:spacing w:val="-3"/>
        </w:rPr>
        <w:t xml:space="preserve"> </w:t>
      </w:r>
      <w:r>
        <w:t>of</w:t>
      </w:r>
      <w:r>
        <w:rPr>
          <w:spacing w:val="-3"/>
        </w:rPr>
        <w:t xml:space="preserve"> </w:t>
      </w:r>
      <w:r>
        <w:rPr>
          <w:spacing w:val="-2"/>
        </w:rPr>
        <w:t>entailment</w:t>
      </w:r>
    </w:p>
    <w:p w14:paraId="7E0028E1" w14:textId="77777777" w:rsidR="009A58DB" w:rsidRDefault="00000000">
      <w:pPr>
        <w:pStyle w:val="BodyText"/>
        <w:spacing w:before="139" w:line="249" w:lineRule="auto"/>
        <w:ind w:right="360"/>
      </w:pPr>
      <w:r>
        <w:t>If one statement can be deductively inferred from another, we say that the second</w:t>
      </w:r>
      <w:r>
        <w:rPr>
          <w:spacing w:val="-2"/>
        </w:rPr>
        <w:t xml:space="preserve"> </w:t>
      </w:r>
      <w:r>
        <w:rPr>
          <w:i/>
        </w:rPr>
        <w:t>entails</w:t>
      </w:r>
      <w:r>
        <w:rPr>
          <w:i/>
          <w:spacing w:val="-3"/>
        </w:rPr>
        <w:t xml:space="preserve"> </w:t>
      </w:r>
      <w:r>
        <w:t>the first. Let P be the statement that x is a square, and let Q be the statement that x has more than two sides. Since it is impossible for Q to</w:t>
      </w:r>
      <w:r>
        <w:rPr>
          <w:spacing w:val="40"/>
        </w:rPr>
        <w:t xml:space="preserve"> </w:t>
      </w:r>
      <w:r>
        <w:t>be false if P is true, P entails Q.</w:t>
      </w:r>
    </w:p>
    <w:p w14:paraId="7E0028E2" w14:textId="77777777" w:rsidR="009A58DB" w:rsidRDefault="00000000">
      <w:pPr>
        <w:pStyle w:val="Heading1"/>
        <w:numPr>
          <w:ilvl w:val="1"/>
          <w:numId w:val="38"/>
        </w:numPr>
        <w:tabs>
          <w:tab w:val="left" w:pos="1409"/>
        </w:tabs>
        <w:spacing w:before="208"/>
        <w:ind w:left="1409" w:hanging="1049"/>
      </w:pPr>
      <w:r>
        <w:t>The</w:t>
      </w:r>
      <w:r>
        <w:rPr>
          <w:spacing w:val="-4"/>
        </w:rPr>
        <w:t xml:space="preserve"> </w:t>
      </w:r>
      <w:r>
        <w:t>concept</w:t>
      </w:r>
      <w:r>
        <w:rPr>
          <w:spacing w:val="-3"/>
        </w:rPr>
        <w:t xml:space="preserve"> </w:t>
      </w:r>
      <w:r>
        <w:t>of</w:t>
      </w:r>
      <w:r>
        <w:rPr>
          <w:spacing w:val="-3"/>
        </w:rPr>
        <w:t xml:space="preserve"> </w:t>
      </w:r>
      <w:r>
        <w:rPr>
          <w:spacing w:val="-2"/>
        </w:rPr>
        <w:t>confirmation</w:t>
      </w:r>
    </w:p>
    <w:p w14:paraId="7E0028E3" w14:textId="77777777" w:rsidR="009A58DB" w:rsidRDefault="00000000">
      <w:pPr>
        <w:pStyle w:val="BodyText"/>
        <w:spacing w:before="139" w:line="249" w:lineRule="auto"/>
        <w:ind w:right="362"/>
      </w:pPr>
      <w:r>
        <w:rPr>
          <w:spacing w:val="-2"/>
        </w:rPr>
        <w:t>P</w:t>
      </w:r>
      <w:r>
        <w:rPr>
          <w:spacing w:val="-17"/>
        </w:rPr>
        <w:t xml:space="preserve"> </w:t>
      </w:r>
      <w:r>
        <w:rPr>
          <w:spacing w:val="-2"/>
        </w:rPr>
        <w:t>confirms</w:t>
      </w:r>
      <w:r>
        <w:rPr>
          <w:spacing w:val="-17"/>
        </w:rPr>
        <w:t xml:space="preserve"> </w:t>
      </w:r>
      <w:r>
        <w:rPr>
          <w:spacing w:val="-2"/>
        </w:rPr>
        <w:t>Q</w:t>
      </w:r>
      <w:r>
        <w:rPr>
          <w:spacing w:val="-15"/>
        </w:rPr>
        <w:t xml:space="preserve"> </w:t>
      </w:r>
      <w:r>
        <w:rPr>
          <w:spacing w:val="-2"/>
        </w:rPr>
        <w:t>if</w:t>
      </w:r>
      <w:r>
        <w:rPr>
          <w:spacing w:val="-14"/>
        </w:rPr>
        <w:t xml:space="preserve"> </w:t>
      </w:r>
      <w:r>
        <w:rPr>
          <w:spacing w:val="-2"/>
        </w:rPr>
        <w:t>the</w:t>
      </w:r>
      <w:r>
        <w:rPr>
          <w:spacing w:val="-14"/>
        </w:rPr>
        <w:t xml:space="preserve"> </w:t>
      </w:r>
      <w:r>
        <w:rPr>
          <w:spacing w:val="-2"/>
        </w:rPr>
        <w:t>probability</w:t>
      </w:r>
      <w:r>
        <w:rPr>
          <w:spacing w:val="-14"/>
        </w:rPr>
        <w:t xml:space="preserve"> </w:t>
      </w:r>
      <w:r>
        <w:rPr>
          <w:spacing w:val="-2"/>
        </w:rPr>
        <w:t>of</w:t>
      </w:r>
      <w:r>
        <w:rPr>
          <w:spacing w:val="-14"/>
        </w:rPr>
        <w:t xml:space="preserve"> </w:t>
      </w:r>
      <w:r>
        <w:rPr>
          <w:spacing w:val="-2"/>
        </w:rPr>
        <w:t>Q,</w:t>
      </w:r>
      <w:r>
        <w:rPr>
          <w:spacing w:val="-14"/>
        </w:rPr>
        <w:t xml:space="preserve"> </w:t>
      </w:r>
      <w:r>
        <w:rPr>
          <w:spacing w:val="-2"/>
        </w:rPr>
        <w:t>given</w:t>
      </w:r>
      <w:r>
        <w:rPr>
          <w:spacing w:val="-14"/>
        </w:rPr>
        <w:t xml:space="preserve"> </w:t>
      </w:r>
      <w:r>
        <w:rPr>
          <w:spacing w:val="-2"/>
        </w:rPr>
        <w:t>P,</w:t>
      </w:r>
      <w:r>
        <w:rPr>
          <w:spacing w:val="-14"/>
        </w:rPr>
        <w:t xml:space="preserve"> </w:t>
      </w:r>
      <w:r>
        <w:rPr>
          <w:spacing w:val="-2"/>
        </w:rPr>
        <w:t>is</w:t>
      </w:r>
      <w:r>
        <w:rPr>
          <w:spacing w:val="-14"/>
        </w:rPr>
        <w:t xml:space="preserve"> </w:t>
      </w:r>
      <w:r>
        <w:rPr>
          <w:spacing w:val="-2"/>
        </w:rPr>
        <w:t>higher</w:t>
      </w:r>
      <w:r>
        <w:rPr>
          <w:spacing w:val="-14"/>
        </w:rPr>
        <w:t xml:space="preserve"> </w:t>
      </w:r>
      <w:r>
        <w:rPr>
          <w:spacing w:val="-2"/>
        </w:rPr>
        <w:t>than</w:t>
      </w:r>
      <w:r>
        <w:rPr>
          <w:spacing w:val="-14"/>
        </w:rPr>
        <w:t xml:space="preserve"> </w:t>
      </w:r>
      <w:r>
        <w:rPr>
          <w:spacing w:val="-2"/>
        </w:rPr>
        <w:t>the</w:t>
      </w:r>
      <w:r>
        <w:rPr>
          <w:spacing w:val="-14"/>
        </w:rPr>
        <w:t xml:space="preserve"> </w:t>
      </w:r>
      <w:r>
        <w:rPr>
          <w:spacing w:val="-2"/>
        </w:rPr>
        <w:t>probability</w:t>
      </w:r>
      <w:r>
        <w:rPr>
          <w:spacing w:val="-14"/>
        </w:rPr>
        <w:t xml:space="preserve"> </w:t>
      </w:r>
      <w:r>
        <w:rPr>
          <w:spacing w:val="-2"/>
        </w:rPr>
        <w:t>of</w:t>
      </w:r>
      <w:r>
        <w:rPr>
          <w:spacing w:val="-14"/>
        </w:rPr>
        <w:t xml:space="preserve"> </w:t>
      </w:r>
      <w:r>
        <w:rPr>
          <w:spacing w:val="-2"/>
        </w:rPr>
        <w:t>Q, given</w:t>
      </w:r>
      <w:r>
        <w:rPr>
          <w:spacing w:val="-17"/>
        </w:rPr>
        <w:t xml:space="preserve"> </w:t>
      </w:r>
      <w:r>
        <w:rPr>
          <w:spacing w:val="-2"/>
        </w:rPr>
        <w:t>not-P.</w:t>
      </w:r>
      <w:r>
        <w:rPr>
          <w:spacing w:val="-14"/>
        </w:rPr>
        <w:t xml:space="preserve"> </w:t>
      </w:r>
      <w:r>
        <w:rPr>
          <w:spacing w:val="-2"/>
        </w:rPr>
        <w:t>Equivalently,</w:t>
      </w:r>
      <w:r>
        <w:rPr>
          <w:spacing w:val="-13"/>
        </w:rPr>
        <w:t xml:space="preserve"> </w:t>
      </w:r>
      <w:r>
        <w:rPr>
          <w:spacing w:val="-2"/>
        </w:rPr>
        <w:t>P</w:t>
      </w:r>
      <w:r>
        <w:rPr>
          <w:spacing w:val="-17"/>
        </w:rPr>
        <w:t xml:space="preserve"> </w:t>
      </w:r>
      <w:r>
        <w:rPr>
          <w:spacing w:val="-2"/>
        </w:rPr>
        <w:t>confirms</w:t>
      </w:r>
      <w:r>
        <w:rPr>
          <w:spacing w:val="-13"/>
        </w:rPr>
        <w:t xml:space="preserve"> </w:t>
      </w:r>
      <w:r>
        <w:rPr>
          <w:spacing w:val="-2"/>
        </w:rPr>
        <w:t>Q</w:t>
      </w:r>
      <w:r>
        <w:rPr>
          <w:spacing w:val="-13"/>
        </w:rPr>
        <w:t xml:space="preserve"> </w:t>
      </w:r>
      <w:r>
        <w:rPr>
          <w:spacing w:val="-2"/>
        </w:rPr>
        <w:t>if</w:t>
      </w:r>
      <w:r>
        <w:rPr>
          <w:spacing w:val="-13"/>
        </w:rPr>
        <w:t xml:space="preserve"> </w:t>
      </w:r>
      <w:r>
        <w:rPr>
          <w:spacing w:val="-2"/>
        </w:rPr>
        <w:t>P,</w:t>
      </w:r>
      <w:r>
        <w:rPr>
          <w:spacing w:val="-13"/>
        </w:rPr>
        <w:t xml:space="preserve"> </w:t>
      </w:r>
      <w:r>
        <w:rPr>
          <w:spacing w:val="-2"/>
        </w:rPr>
        <w:t>if</w:t>
      </w:r>
      <w:r>
        <w:rPr>
          <w:spacing w:val="-13"/>
        </w:rPr>
        <w:t xml:space="preserve"> </w:t>
      </w:r>
      <w:r>
        <w:rPr>
          <w:spacing w:val="-2"/>
        </w:rPr>
        <w:t>true,</w:t>
      </w:r>
      <w:r>
        <w:rPr>
          <w:spacing w:val="-13"/>
        </w:rPr>
        <w:t xml:space="preserve"> </w:t>
      </w:r>
      <w:r>
        <w:rPr>
          <w:spacing w:val="-2"/>
        </w:rPr>
        <w:t>fails</w:t>
      </w:r>
      <w:r>
        <w:rPr>
          <w:spacing w:val="-13"/>
        </w:rPr>
        <w:t xml:space="preserve"> </w:t>
      </w:r>
      <w:r>
        <w:rPr>
          <w:spacing w:val="-2"/>
        </w:rPr>
        <w:t>to</w:t>
      </w:r>
      <w:r>
        <w:rPr>
          <w:spacing w:val="-13"/>
        </w:rPr>
        <w:t xml:space="preserve"> </w:t>
      </w:r>
      <w:r>
        <w:rPr>
          <w:spacing w:val="-2"/>
        </w:rPr>
        <w:t>give</w:t>
      </w:r>
      <w:r>
        <w:rPr>
          <w:spacing w:val="-13"/>
        </w:rPr>
        <w:t xml:space="preserve"> </w:t>
      </w:r>
      <w:r>
        <w:rPr>
          <w:spacing w:val="-2"/>
        </w:rPr>
        <w:t>Q</w:t>
      </w:r>
      <w:r>
        <w:rPr>
          <w:spacing w:val="-13"/>
        </w:rPr>
        <w:t xml:space="preserve"> </w:t>
      </w:r>
      <w:r>
        <w:rPr>
          <w:spacing w:val="-2"/>
        </w:rPr>
        <w:t>a</w:t>
      </w:r>
      <w:r>
        <w:rPr>
          <w:spacing w:val="-13"/>
        </w:rPr>
        <w:t xml:space="preserve"> </w:t>
      </w:r>
      <w:r>
        <w:rPr>
          <w:spacing w:val="-2"/>
        </w:rPr>
        <w:t xml:space="preserve">probability </w:t>
      </w:r>
      <w:r>
        <w:t>of</w:t>
      </w:r>
      <w:r>
        <w:rPr>
          <w:spacing w:val="-19"/>
        </w:rPr>
        <w:t xml:space="preserve"> </w:t>
      </w:r>
      <w:r>
        <w:t>100%</w:t>
      </w:r>
      <w:r>
        <w:rPr>
          <w:spacing w:val="-19"/>
        </w:rPr>
        <w:t xml:space="preserve"> </w:t>
      </w:r>
      <w:r>
        <w:t>but</w:t>
      </w:r>
      <w:r>
        <w:rPr>
          <w:spacing w:val="-18"/>
        </w:rPr>
        <w:t xml:space="preserve"> </w:t>
      </w:r>
      <w:r>
        <w:t>nonetheless</w:t>
      </w:r>
      <w:r>
        <w:rPr>
          <w:spacing w:val="-19"/>
        </w:rPr>
        <w:t xml:space="preserve"> </w:t>
      </w:r>
      <w:r>
        <w:t>raises</w:t>
      </w:r>
      <w:r>
        <w:rPr>
          <w:spacing w:val="-19"/>
        </w:rPr>
        <w:t xml:space="preserve"> </w:t>
      </w:r>
      <w:r>
        <w:t>the</w:t>
      </w:r>
      <w:r>
        <w:rPr>
          <w:spacing w:val="-18"/>
        </w:rPr>
        <w:t xml:space="preserve"> </w:t>
      </w:r>
      <w:r>
        <w:t>probability</w:t>
      </w:r>
      <w:r>
        <w:rPr>
          <w:spacing w:val="-19"/>
        </w:rPr>
        <w:t xml:space="preserve"> </w:t>
      </w:r>
      <w:r>
        <w:t>of</w:t>
      </w:r>
      <w:r>
        <w:rPr>
          <w:spacing w:val="-19"/>
        </w:rPr>
        <w:t xml:space="preserve"> </w:t>
      </w:r>
      <w:r>
        <w:t>Q.</w:t>
      </w:r>
    </w:p>
    <w:p w14:paraId="7E0028E4" w14:textId="77777777" w:rsidR="009A58DB" w:rsidRDefault="00000000">
      <w:pPr>
        <w:pStyle w:val="BodyText"/>
        <w:spacing w:before="4" w:line="249" w:lineRule="auto"/>
        <w:ind w:right="358" w:firstLine="360"/>
      </w:pPr>
      <w:r>
        <w:rPr>
          <w:spacing w:val="-6"/>
        </w:rPr>
        <w:t>A</w:t>
      </w:r>
      <w:r>
        <w:rPr>
          <w:spacing w:val="-13"/>
        </w:rPr>
        <w:t xml:space="preserve"> </w:t>
      </w:r>
      <w:r>
        <w:rPr>
          <w:i/>
          <w:spacing w:val="-6"/>
        </w:rPr>
        <w:t>sufficient</w:t>
      </w:r>
      <w:r>
        <w:rPr>
          <w:i/>
          <w:spacing w:val="-13"/>
        </w:rPr>
        <w:t xml:space="preserve"> </w:t>
      </w:r>
      <w:r>
        <w:rPr>
          <w:spacing w:val="-6"/>
        </w:rPr>
        <w:t>(but</w:t>
      </w:r>
      <w:r>
        <w:rPr>
          <w:spacing w:val="-13"/>
        </w:rPr>
        <w:t xml:space="preserve"> </w:t>
      </w:r>
      <w:r>
        <w:rPr>
          <w:spacing w:val="-6"/>
        </w:rPr>
        <w:t>not---see</w:t>
      </w:r>
      <w:r>
        <w:rPr>
          <w:spacing w:val="-12"/>
        </w:rPr>
        <w:t xml:space="preserve"> </w:t>
      </w:r>
      <w:r>
        <w:rPr>
          <w:spacing w:val="-6"/>
        </w:rPr>
        <w:t>below---a necessary)</w:t>
      </w:r>
      <w:r>
        <w:rPr>
          <w:spacing w:val="-7"/>
        </w:rPr>
        <w:t xml:space="preserve"> </w:t>
      </w:r>
      <w:r>
        <w:rPr>
          <w:spacing w:val="-6"/>
        </w:rPr>
        <w:t>condition for</w:t>
      </w:r>
      <w:r>
        <w:rPr>
          <w:spacing w:val="-7"/>
        </w:rPr>
        <w:t xml:space="preserve"> </w:t>
      </w:r>
      <w:r>
        <w:rPr>
          <w:spacing w:val="-6"/>
        </w:rPr>
        <w:t xml:space="preserve">P’s confirming Q </w:t>
      </w:r>
      <w:r>
        <w:rPr>
          <w:spacing w:val="-2"/>
        </w:rPr>
        <w:t>is</w:t>
      </w:r>
      <w:r>
        <w:rPr>
          <w:spacing w:val="-13"/>
        </w:rPr>
        <w:t xml:space="preserve"> </w:t>
      </w:r>
      <w:r>
        <w:rPr>
          <w:spacing w:val="-2"/>
        </w:rPr>
        <w:t>that</w:t>
      </w:r>
      <w:r>
        <w:rPr>
          <w:spacing w:val="-13"/>
        </w:rPr>
        <w:t xml:space="preserve"> </w:t>
      </w:r>
      <w:r>
        <w:rPr>
          <w:spacing w:val="-2"/>
        </w:rPr>
        <w:t>Q</w:t>
      </w:r>
      <w:r>
        <w:rPr>
          <w:spacing w:val="-13"/>
        </w:rPr>
        <w:t xml:space="preserve"> </w:t>
      </w:r>
      <w:r>
        <w:rPr>
          <w:spacing w:val="-2"/>
        </w:rPr>
        <w:t>be</w:t>
      </w:r>
      <w:r>
        <w:rPr>
          <w:spacing w:val="-13"/>
        </w:rPr>
        <w:t xml:space="preserve"> </w:t>
      </w:r>
      <w:r>
        <w:rPr>
          <w:spacing w:val="-2"/>
        </w:rPr>
        <w:t>capable</w:t>
      </w:r>
      <w:r>
        <w:rPr>
          <w:spacing w:val="-13"/>
        </w:rPr>
        <w:t xml:space="preserve"> </w:t>
      </w:r>
      <w:r>
        <w:rPr>
          <w:spacing w:val="-2"/>
        </w:rPr>
        <w:t>of</w:t>
      </w:r>
      <w:r>
        <w:rPr>
          <w:spacing w:val="-13"/>
        </w:rPr>
        <w:t xml:space="preserve"> </w:t>
      </w:r>
      <w:r>
        <w:rPr>
          <w:spacing w:val="-2"/>
        </w:rPr>
        <w:t>being</w:t>
      </w:r>
      <w:r>
        <w:rPr>
          <w:spacing w:val="-13"/>
        </w:rPr>
        <w:t xml:space="preserve"> </w:t>
      </w:r>
      <w:r>
        <w:rPr>
          <w:spacing w:val="-2"/>
        </w:rPr>
        <w:t>legitimately</w:t>
      </w:r>
      <w:r>
        <w:rPr>
          <w:spacing w:val="-13"/>
        </w:rPr>
        <w:t xml:space="preserve"> </w:t>
      </w:r>
      <w:r>
        <w:rPr>
          <w:spacing w:val="-2"/>
        </w:rPr>
        <w:t>inductively</w:t>
      </w:r>
      <w:r>
        <w:rPr>
          <w:spacing w:val="-13"/>
        </w:rPr>
        <w:t xml:space="preserve"> </w:t>
      </w:r>
      <w:r>
        <w:rPr>
          <w:spacing w:val="-2"/>
        </w:rPr>
        <w:t>inferred</w:t>
      </w:r>
      <w:r>
        <w:rPr>
          <w:spacing w:val="-13"/>
        </w:rPr>
        <w:t xml:space="preserve"> </w:t>
      </w:r>
      <w:r>
        <w:rPr>
          <w:spacing w:val="-2"/>
        </w:rPr>
        <w:t>from</w:t>
      </w:r>
      <w:r>
        <w:rPr>
          <w:spacing w:val="-13"/>
        </w:rPr>
        <w:t xml:space="preserve"> </w:t>
      </w:r>
      <w:r>
        <w:rPr>
          <w:spacing w:val="-2"/>
        </w:rPr>
        <w:t>P:</w:t>
      </w:r>
    </w:p>
    <w:p w14:paraId="7E0028E5" w14:textId="77777777" w:rsidR="009A58DB" w:rsidRDefault="009A58DB">
      <w:pPr>
        <w:pStyle w:val="BodyText"/>
        <w:spacing w:before="17"/>
        <w:ind w:left="0"/>
        <w:jc w:val="left"/>
      </w:pPr>
    </w:p>
    <w:p w14:paraId="7E0028E6" w14:textId="77777777" w:rsidR="009A58DB" w:rsidRDefault="00000000">
      <w:pPr>
        <w:pStyle w:val="BodyText"/>
        <w:spacing w:line="249" w:lineRule="auto"/>
        <w:ind w:right="361" w:firstLine="360"/>
      </w:pPr>
      <w:r>
        <w:t xml:space="preserve">P: Smith drives a Rolls Royce, wears extremely expensive clothes, has an </w:t>
      </w:r>
      <w:r>
        <w:rPr>
          <w:spacing w:val="-2"/>
        </w:rPr>
        <w:t>excellent</w:t>
      </w:r>
      <w:r>
        <w:rPr>
          <w:spacing w:val="-17"/>
        </w:rPr>
        <w:t xml:space="preserve"> </w:t>
      </w:r>
      <w:r>
        <w:rPr>
          <w:spacing w:val="-2"/>
        </w:rPr>
        <w:t>credit</w:t>
      </w:r>
      <w:r>
        <w:rPr>
          <w:spacing w:val="-17"/>
        </w:rPr>
        <w:t xml:space="preserve"> </w:t>
      </w:r>
      <w:r>
        <w:rPr>
          <w:spacing w:val="-2"/>
        </w:rPr>
        <w:t>rating,</w:t>
      </w:r>
      <w:r>
        <w:rPr>
          <w:spacing w:val="-17"/>
        </w:rPr>
        <w:t xml:space="preserve"> </w:t>
      </w:r>
      <w:r>
        <w:rPr>
          <w:spacing w:val="-2"/>
        </w:rPr>
        <w:t>has</w:t>
      </w:r>
      <w:r>
        <w:rPr>
          <w:spacing w:val="-16"/>
        </w:rPr>
        <w:t xml:space="preserve"> </w:t>
      </w:r>
      <w:r>
        <w:rPr>
          <w:spacing w:val="-2"/>
        </w:rPr>
        <w:t>an</w:t>
      </w:r>
      <w:r>
        <w:rPr>
          <w:spacing w:val="-17"/>
        </w:rPr>
        <w:t xml:space="preserve"> </w:t>
      </w:r>
      <w:r>
        <w:rPr>
          <w:spacing w:val="-2"/>
        </w:rPr>
        <w:t>excellent</w:t>
      </w:r>
      <w:r>
        <w:rPr>
          <w:spacing w:val="-17"/>
        </w:rPr>
        <w:t xml:space="preserve"> </w:t>
      </w:r>
      <w:r>
        <w:rPr>
          <w:spacing w:val="-2"/>
        </w:rPr>
        <w:t>employment</w:t>
      </w:r>
      <w:r>
        <w:rPr>
          <w:spacing w:val="-17"/>
        </w:rPr>
        <w:t xml:space="preserve"> </w:t>
      </w:r>
      <w:r>
        <w:rPr>
          <w:spacing w:val="-2"/>
        </w:rPr>
        <w:t>history,</w:t>
      </w:r>
      <w:r>
        <w:rPr>
          <w:spacing w:val="-16"/>
        </w:rPr>
        <w:t xml:space="preserve"> </w:t>
      </w:r>
      <w:r>
        <w:rPr>
          <w:spacing w:val="-2"/>
        </w:rPr>
        <w:t>all</w:t>
      </w:r>
      <w:r>
        <w:rPr>
          <w:spacing w:val="-17"/>
        </w:rPr>
        <w:t xml:space="preserve"> </w:t>
      </w:r>
      <w:r>
        <w:rPr>
          <w:spacing w:val="-2"/>
        </w:rPr>
        <w:t>of</w:t>
      </w:r>
      <w:r>
        <w:rPr>
          <w:spacing w:val="-17"/>
        </w:rPr>
        <w:t xml:space="preserve"> </w:t>
      </w:r>
      <w:r>
        <w:rPr>
          <w:spacing w:val="-2"/>
        </w:rPr>
        <w:t>his</w:t>
      </w:r>
      <w:r>
        <w:rPr>
          <w:spacing w:val="-17"/>
        </w:rPr>
        <w:t xml:space="preserve"> </w:t>
      </w:r>
      <w:r>
        <w:rPr>
          <w:spacing w:val="-2"/>
        </w:rPr>
        <w:t>jobs</w:t>
      </w:r>
      <w:r>
        <w:rPr>
          <w:spacing w:val="-16"/>
        </w:rPr>
        <w:t xml:space="preserve"> </w:t>
      </w:r>
      <w:r>
        <w:rPr>
          <w:spacing w:val="-2"/>
        </w:rPr>
        <w:t xml:space="preserve">being </w:t>
      </w:r>
      <w:r>
        <w:t>extremely</w:t>
      </w:r>
      <w:r>
        <w:rPr>
          <w:spacing w:val="-21"/>
        </w:rPr>
        <w:t xml:space="preserve"> </w:t>
      </w:r>
      <w:r>
        <w:t>lucrative</w:t>
      </w:r>
      <w:r>
        <w:rPr>
          <w:spacing w:val="-19"/>
        </w:rPr>
        <w:t xml:space="preserve"> </w:t>
      </w:r>
      <w:r>
        <w:t>ones,</w:t>
      </w:r>
      <w:r>
        <w:rPr>
          <w:spacing w:val="-19"/>
        </w:rPr>
        <w:t xml:space="preserve"> </w:t>
      </w:r>
      <w:r>
        <w:t>and</w:t>
      </w:r>
      <w:r>
        <w:rPr>
          <w:spacing w:val="-18"/>
        </w:rPr>
        <w:t xml:space="preserve"> </w:t>
      </w:r>
      <w:r>
        <w:t>he</w:t>
      </w:r>
      <w:r>
        <w:rPr>
          <w:spacing w:val="-19"/>
        </w:rPr>
        <w:t xml:space="preserve"> </w:t>
      </w:r>
      <w:r>
        <w:t>has</w:t>
      </w:r>
      <w:r>
        <w:rPr>
          <w:spacing w:val="-19"/>
        </w:rPr>
        <w:t xml:space="preserve"> </w:t>
      </w:r>
      <w:r>
        <w:t>no</w:t>
      </w:r>
      <w:r>
        <w:rPr>
          <w:spacing w:val="-19"/>
        </w:rPr>
        <w:t xml:space="preserve"> </w:t>
      </w:r>
      <w:r>
        <w:t>criminal</w:t>
      </w:r>
      <w:r>
        <w:rPr>
          <w:spacing w:val="-18"/>
        </w:rPr>
        <w:t xml:space="preserve"> </w:t>
      </w:r>
      <w:r>
        <w:t>record.</w:t>
      </w:r>
    </w:p>
    <w:p w14:paraId="7E0028E7" w14:textId="77777777" w:rsidR="009A58DB" w:rsidRDefault="00000000">
      <w:pPr>
        <w:pStyle w:val="BodyText"/>
        <w:spacing w:before="4"/>
        <w:ind w:left="720"/>
      </w:pPr>
      <w:r>
        <w:rPr>
          <w:spacing w:val="-4"/>
        </w:rPr>
        <w:t>Q:</w:t>
      </w:r>
      <w:r>
        <w:rPr>
          <w:spacing w:val="-15"/>
        </w:rPr>
        <w:t xml:space="preserve"> </w:t>
      </w:r>
      <w:r>
        <w:rPr>
          <w:spacing w:val="-4"/>
        </w:rPr>
        <w:t>Smith</w:t>
      </w:r>
      <w:r>
        <w:rPr>
          <w:spacing w:val="-12"/>
        </w:rPr>
        <w:t xml:space="preserve"> </w:t>
      </w:r>
      <w:r>
        <w:rPr>
          <w:spacing w:val="-4"/>
        </w:rPr>
        <w:t>is</w:t>
      </w:r>
      <w:r>
        <w:rPr>
          <w:spacing w:val="-12"/>
        </w:rPr>
        <w:t xml:space="preserve"> </w:t>
      </w:r>
      <w:r>
        <w:rPr>
          <w:spacing w:val="-4"/>
        </w:rPr>
        <w:t>wealthy.</w:t>
      </w:r>
    </w:p>
    <w:p w14:paraId="7E0028E8" w14:textId="77777777" w:rsidR="009A58DB" w:rsidRDefault="009A58DB">
      <w:pPr>
        <w:pStyle w:val="BodyText"/>
        <w:spacing w:before="30"/>
        <w:ind w:left="0"/>
        <w:jc w:val="left"/>
      </w:pPr>
    </w:p>
    <w:p w14:paraId="7E0028E9" w14:textId="77777777" w:rsidR="009A58DB" w:rsidRDefault="00000000">
      <w:pPr>
        <w:pStyle w:val="BodyText"/>
        <w:ind w:left="720"/>
        <w:jc w:val="left"/>
      </w:pPr>
      <w:r>
        <w:t>P,</w:t>
      </w:r>
      <w:r>
        <w:rPr>
          <w:spacing w:val="2"/>
        </w:rPr>
        <w:t xml:space="preserve"> </w:t>
      </w:r>
      <w:r>
        <w:t>if</w:t>
      </w:r>
      <w:r>
        <w:rPr>
          <w:spacing w:val="2"/>
        </w:rPr>
        <w:t xml:space="preserve"> </w:t>
      </w:r>
      <w:r>
        <w:t>true,</w:t>
      </w:r>
      <w:r>
        <w:rPr>
          <w:spacing w:val="2"/>
        </w:rPr>
        <w:t xml:space="preserve"> </w:t>
      </w:r>
      <w:r>
        <w:t>makes</w:t>
      </w:r>
      <w:r>
        <w:rPr>
          <w:spacing w:val="2"/>
        </w:rPr>
        <w:t xml:space="preserve"> </w:t>
      </w:r>
      <w:r>
        <w:t>it</w:t>
      </w:r>
      <w:r>
        <w:rPr>
          <w:spacing w:val="2"/>
        </w:rPr>
        <w:t xml:space="preserve"> </w:t>
      </w:r>
      <w:r>
        <w:t>sufficiently</w:t>
      </w:r>
      <w:r>
        <w:rPr>
          <w:spacing w:val="2"/>
        </w:rPr>
        <w:t xml:space="preserve"> </w:t>
      </w:r>
      <w:r>
        <w:t>improbable</w:t>
      </w:r>
      <w:r>
        <w:rPr>
          <w:spacing w:val="2"/>
        </w:rPr>
        <w:t xml:space="preserve"> </w:t>
      </w:r>
      <w:r>
        <w:t>Q</w:t>
      </w:r>
      <w:r>
        <w:rPr>
          <w:spacing w:val="2"/>
        </w:rPr>
        <w:t xml:space="preserve"> </w:t>
      </w:r>
      <w:r>
        <w:t>is</w:t>
      </w:r>
      <w:r>
        <w:rPr>
          <w:spacing w:val="2"/>
        </w:rPr>
        <w:t xml:space="preserve"> </w:t>
      </w:r>
      <w:r>
        <w:t>false</w:t>
      </w:r>
      <w:r>
        <w:rPr>
          <w:spacing w:val="2"/>
        </w:rPr>
        <w:t xml:space="preserve"> </w:t>
      </w:r>
      <w:r>
        <w:t>that,</w:t>
      </w:r>
      <w:r>
        <w:rPr>
          <w:spacing w:val="2"/>
        </w:rPr>
        <w:t xml:space="preserve"> </w:t>
      </w:r>
      <w:r>
        <w:t>given</w:t>
      </w:r>
      <w:r>
        <w:rPr>
          <w:spacing w:val="2"/>
        </w:rPr>
        <w:t xml:space="preserve"> </w:t>
      </w:r>
      <w:r>
        <w:t>P,</w:t>
      </w:r>
      <w:r>
        <w:rPr>
          <w:spacing w:val="3"/>
        </w:rPr>
        <w:t xml:space="preserve"> </w:t>
      </w:r>
      <w:r>
        <w:t>we</w:t>
      </w:r>
      <w:r>
        <w:rPr>
          <w:spacing w:val="3"/>
        </w:rPr>
        <w:t xml:space="preserve"> </w:t>
      </w:r>
      <w:r>
        <w:rPr>
          <w:spacing w:val="-5"/>
        </w:rPr>
        <w:t>may</w:t>
      </w:r>
    </w:p>
    <w:p w14:paraId="7E0028EA" w14:textId="77777777" w:rsidR="009A58DB" w:rsidRDefault="009A58DB">
      <w:pPr>
        <w:pStyle w:val="BodyText"/>
        <w:jc w:val="left"/>
        <w:sectPr w:rsidR="009A58DB">
          <w:pgSz w:w="12240" w:h="15840"/>
          <w:pgMar w:top="1380" w:right="1080" w:bottom="280" w:left="1080" w:header="720" w:footer="720" w:gutter="0"/>
          <w:cols w:space="720"/>
        </w:sectPr>
      </w:pPr>
    </w:p>
    <w:p w14:paraId="7E0028EB" w14:textId="77777777" w:rsidR="009A58DB" w:rsidRDefault="00000000">
      <w:pPr>
        <w:pStyle w:val="BodyText"/>
        <w:spacing w:before="70" w:line="249" w:lineRule="auto"/>
        <w:ind w:right="360"/>
      </w:pPr>
      <w:r>
        <w:lastRenderedPageBreak/>
        <w:t>infer Q. That inference is not</w:t>
      </w:r>
      <w:r>
        <w:rPr>
          <w:spacing w:val="-19"/>
        </w:rPr>
        <w:t xml:space="preserve"> </w:t>
      </w:r>
      <w:r>
        <w:rPr>
          <w:i/>
        </w:rPr>
        <w:t>deductive</w:t>
      </w:r>
      <w:r>
        <w:t xml:space="preserve">, given that Smith might be an </w:t>
      </w:r>
      <w:r>
        <w:rPr>
          <w:spacing w:val="-2"/>
        </w:rPr>
        <w:t>extraordinarily</w:t>
      </w:r>
      <w:r>
        <w:rPr>
          <w:spacing w:val="-12"/>
        </w:rPr>
        <w:t xml:space="preserve"> </w:t>
      </w:r>
      <w:r>
        <w:rPr>
          <w:spacing w:val="-2"/>
        </w:rPr>
        <w:t>talented,</w:t>
      </w:r>
      <w:r>
        <w:rPr>
          <w:spacing w:val="-12"/>
        </w:rPr>
        <w:t xml:space="preserve"> </w:t>
      </w:r>
      <w:r>
        <w:rPr>
          <w:spacing w:val="-2"/>
        </w:rPr>
        <w:t>but</w:t>
      </w:r>
      <w:r>
        <w:rPr>
          <w:spacing w:val="-12"/>
        </w:rPr>
        <w:t xml:space="preserve"> </w:t>
      </w:r>
      <w:r>
        <w:rPr>
          <w:spacing w:val="-2"/>
        </w:rPr>
        <w:t>penniless</w:t>
      </w:r>
      <w:r>
        <w:rPr>
          <w:spacing w:val="-12"/>
        </w:rPr>
        <w:t xml:space="preserve"> </w:t>
      </w:r>
      <w:r>
        <w:rPr>
          <w:spacing w:val="-2"/>
        </w:rPr>
        <w:t>con-artist.</w:t>
      </w:r>
    </w:p>
    <w:p w14:paraId="7E0028EC" w14:textId="77777777" w:rsidR="009A58DB" w:rsidRDefault="00000000">
      <w:pPr>
        <w:pStyle w:val="BodyText"/>
        <w:spacing w:line="249" w:lineRule="auto"/>
        <w:ind w:right="357" w:firstLine="360"/>
      </w:pPr>
      <w:r>
        <w:rPr>
          <w:spacing w:val="-6"/>
        </w:rPr>
        <w:t>Even</w:t>
      </w:r>
      <w:r>
        <w:rPr>
          <w:spacing w:val="-8"/>
        </w:rPr>
        <w:t xml:space="preserve"> </w:t>
      </w:r>
      <w:r>
        <w:rPr>
          <w:spacing w:val="-6"/>
        </w:rPr>
        <w:t>though</w:t>
      </w:r>
      <w:r>
        <w:rPr>
          <w:spacing w:val="-8"/>
        </w:rPr>
        <w:t xml:space="preserve"> </w:t>
      </w:r>
      <w:r>
        <w:rPr>
          <w:spacing w:val="-6"/>
        </w:rPr>
        <w:t>a</w:t>
      </w:r>
      <w:r>
        <w:rPr>
          <w:spacing w:val="-8"/>
        </w:rPr>
        <w:t xml:space="preserve"> </w:t>
      </w:r>
      <w:r>
        <w:rPr>
          <w:i/>
          <w:spacing w:val="-6"/>
        </w:rPr>
        <w:t>sufficient</w:t>
      </w:r>
      <w:r>
        <w:rPr>
          <w:i/>
          <w:spacing w:val="-9"/>
        </w:rPr>
        <w:t xml:space="preserve"> </w:t>
      </w:r>
      <w:r>
        <w:rPr>
          <w:spacing w:val="-6"/>
        </w:rPr>
        <w:t>condition</w:t>
      </w:r>
      <w:r>
        <w:rPr>
          <w:spacing w:val="-8"/>
        </w:rPr>
        <w:t xml:space="preserve"> </w:t>
      </w:r>
      <w:r>
        <w:rPr>
          <w:spacing w:val="-6"/>
        </w:rPr>
        <w:t>for</w:t>
      </w:r>
      <w:r>
        <w:rPr>
          <w:spacing w:val="-8"/>
        </w:rPr>
        <w:t xml:space="preserve"> </w:t>
      </w:r>
      <w:r>
        <w:rPr>
          <w:spacing w:val="-6"/>
        </w:rPr>
        <w:t>P’s</w:t>
      </w:r>
      <w:r>
        <w:rPr>
          <w:spacing w:val="-8"/>
        </w:rPr>
        <w:t xml:space="preserve"> </w:t>
      </w:r>
      <w:r>
        <w:rPr>
          <w:spacing w:val="-6"/>
        </w:rPr>
        <w:t>confirming</w:t>
      </w:r>
      <w:r>
        <w:rPr>
          <w:spacing w:val="-8"/>
        </w:rPr>
        <w:t xml:space="preserve"> </w:t>
      </w:r>
      <w:r>
        <w:rPr>
          <w:spacing w:val="-6"/>
        </w:rPr>
        <w:t>Q</w:t>
      </w:r>
      <w:r>
        <w:rPr>
          <w:spacing w:val="-8"/>
        </w:rPr>
        <w:t xml:space="preserve"> </w:t>
      </w:r>
      <w:r>
        <w:rPr>
          <w:spacing w:val="-6"/>
        </w:rPr>
        <w:t>is</w:t>
      </w:r>
      <w:r>
        <w:rPr>
          <w:spacing w:val="-8"/>
        </w:rPr>
        <w:t xml:space="preserve"> </w:t>
      </w:r>
      <w:r>
        <w:rPr>
          <w:spacing w:val="-6"/>
        </w:rPr>
        <w:t>that</w:t>
      </w:r>
      <w:r>
        <w:rPr>
          <w:spacing w:val="-8"/>
        </w:rPr>
        <w:t xml:space="preserve"> </w:t>
      </w:r>
      <w:r>
        <w:rPr>
          <w:spacing w:val="-6"/>
        </w:rPr>
        <w:t>Q</w:t>
      </w:r>
      <w:r>
        <w:rPr>
          <w:spacing w:val="-8"/>
        </w:rPr>
        <w:t xml:space="preserve"> </w:t>
      </w:r>
      <w:r>
        <w:rPr>
          <w:spacing w:val="-6"/>
        </w:rPr>
        <w:t>be</w:t>
      </w:r>
      <w:r>
        <w:rPr>
          <w:spacing w:val="-8"/>
        </w:rPr>
        <w:t xml:space="preserve"> </w:t>
      </w:r>
      <w:r>
        <w:rPr>
          <w:spacing w:val="-6"/>
        </w:rPr>
        <w:t>capable</w:t>
      </w:r>
      <w:r>
        <w:rPr>
          <w:spacing w:val="-8"/>
        </w:rPr>
        <w:t xml:space="preserve"> </w:t>
      </w:r>
      <w:r>
        <w:rPr>
          <w:spacing w:val="-6"/>
        </w:rPr>
        <w:t xml:space="preserve">of </w:t>
      </w:r>
      <w:r>
        <w:t>being inductively P, it is not a</w:t>
      </w:r>
      <w:r>
        <w:rPr>
          <w:spacing w:val="-19"/>
        </w:rPr>
        <w:t xml:space="preserve"> </w:t>
      </w:r>
      <w:r>
        <w:rPr>
          <w:i/>
        </w:rPr>
        <w:t>necessary</w:t>
      </w:r>
      <w:r>
        <w:rPr>
          <w:i/>
          <w:spacing w:val="-19"/>
        </w:rPr>
        <w:t xml:space="preserve"> </w:t>
      </w:r>
      <w:r>
        <w:t xml:space="preserve">condition. For P to confirm Q it is </w:t>
      </w:r>
      <w:r>
        <w:rPr>
          <w:i/>
          <w:spacing w:val="-2"/>
        </w:rPr>
        <w:t>necessary</w:t>
      </w:r>
      <w:r>
        <w:rPr>
          <w:i/>
          <w:spacing w:val="-17"/>
        </w:rPr>
        <w:t xml:space="preserve"> </w:t>
      </w:r>
      <w:r>
        <w:rPr>
          <w:spacing w:val="-2"/>
        </w:rPr>
        <w:t>only</w:t>
      </w:r>
      <w:r>
        <w:rPr>
          <w:spacing w:val="-17"/>
        </w:rPr>
        <w:t xml:space="preserve"> </w:t>
      </w:r>
      <w:r>
        <w:rPr>
          <w:spacing w:val="-2"/>
        </w:rPr>
        <w:t>that</w:t>
      </w:r>
      <w:r>
        <w:rPr>
          <w:spacing w:val="-16"/>
        </w:rPr>
        <w:t xml:space="preserve"> </w:t>
      </w:r>
      <w:r>
        <w:rPr>
          <w:spacing w:val="-2"/>
        </w:rPr>
        <w:t>P</w:t>
      </w:r>
      <w:r>
        <w:rPr>
          <w:spacing w:val="-16"/>
        </w:rPr>
        <w:t xml:space="preserve"> </w:t>
      </w:r>
      <w:r>
        <w:rPr>
          <w:spacing w:val="-2"/>
        </w:rPr>
        <w:t>increase</w:t>
      </w:r>
      <w:r>
        <w:rPr>
          <w:spacing w:val="-12"/>
        </w:rPr>
        <w:t xml:space="preserve"> </w:t>
      </w:r>
      <w:r>
        <w:rPr>
          <w:spacing w:val="-2"/>
        </w:rPr>
        <w:t>Q’s</w:t>
      </w:r>
      <w:r>
        <w:rPr>
          <w:spacing w:val="-12"/>
        </w:rPr>
        <w:t xml:space="preserve"> </w:t>
      </w:r>
      <w:r>
        <w:rPr>
          <w:spacing w:val="-2"/>
        </w:rPr>
        <w:t>probability;</w:t>
      </w:r>
      <w:r>
        <w:rPr>
          <w:spacing w:val="-12"/>
        </w:rPr>
        <w:t xml:space="preserve"> </w:t>
      </w:r>
      <w:r>
        <w:rPr>
          <w:spacing w:val="-2"/>
        </w:rPr>
        <w:t>it</w:t>
      </w:r>
      <w:r>
        <w:rPr>
          <w:spacing w:val="-12"/>
        </w:rPr>
        <w:t xml:space="preserve"> </w:t>
      </w:r>
      <w:r>
        <w:rPr>
          <w:spacing w:val="-2"/>
        </w:rPr>
        <w:t>is</w:t>
      </w:r>
      <w:r>
        <w:rPr>
          <w:spacing w:val="-12"/>
        </w:rPr>
        <w:t xml:space="preserve"> </w:t>
      </w:r>
      <w:r>
        <w:rPr>
          <w:spacing w:val="-2"/>
        </w:rPr>
        <w:t>not</w:t>
      </w:r>
      <w:r>
        <w:rPr>
          <w:spacing w:val="-12"/>
        </w:rPr>
        <w:t xml:space="preserve"> </w:t>
      </w:r>
      <w:r>
        <w:rPr>
          <w:spacing w:val="-2"/>
        </w:rPr>
        <w:t>necessary</w:t>
      </w:r>
      <w:r>
        <w:rPr>
          <w:spacing w:val="-12"/>
        </w:rPr>
        <w:t xml:space="preserve"> </w:t>
      </w:r>
      <w:r>
        <w:rPr>
          <w:spacing w:val="-2"/>
        </w:rPr>
        <w:t>that</w:t>
      </w:r>
      <w:r>
        <w:rPr>
          <w:spacing w:val="-12"/>
        </w:rPr>
        <w:t xml:space="preserve"> </w:t>
      </w:r>
      <w:r>
        <w:rPr>
          <w:spacing w:val="-2"/>
        </w:rPr>
        <w:t>P</w:t>
      </w:r>
      <w:r>
        <w:rPr>
          <w:spacing w:val="-17"/>
        </w:rPr>
        <w:t xml:space="preserve"> </w:t>
      </w:r>
      <w:r>
        <w:rPr>
          <w:spacing w:val="-2"/>
        </w:rPr>
        <w:t xml:space="preserve">increase </w:t>
      </w:r>
      <w:r>
        <w:t xml:space="preserve">Q’s probability so much that, given P, Q is to be presumed true. Let P be the </w:t>
      </w:r>
      <w:r>
        <w:rPr>
          <w:spacing w:val="-4"/>
        </w:rPr>
        <w:t>proposition:</w:t>
      </w:r>
      <w:r>
        <w:rPr>
          <w:spacing w:val="-15"/>
        </w:rPr>
        <w:t xml:space="preserve"> </w:t>
      </w:r>
      <w:r>
        <w:rPr>
          <w:spacing w:val="-4"/>
        </w:rPr>
        <w:t>Smith</w:t>
      </w:r>
      <w:r>
        <w:rPr>
          <w:spacing w:val="-15"/>
        </w:rPr>
        <w:t xml:space="preserve"> </w:t>
      </w:r>
      <w:r>
        <w:rPr>
          <w:spacing w:val="-4"/>
        </w:rPr>
        <w:t>is</w:t>
      </w:r>
      <w:r>
        <w:rPr>
          <w:spacing w:val="-15"/>
        </w:rPr>
        <w:t xml:space="preserve"> </w:t>
      </w:r>
      <w:r>
        <w:rPr>
          <w:spacing w:val="-4"/>
        </w:rPr>
        <w:t>the</w:t>
      </w:r>
      <w:r>
        <w:rPr>
          <w:spacing w:val="-14"/>
        </w:rPr>
        <w:t xml:space="preserve"> </w:t>
      </w:r>
      <w:r>
        <w:rPr>
          <w:spacing w:val="-4"/>
        </w:rPr>
        <w:t>most</w:t>
      </w:r>
      <w:r>
        <w:rPr>
          <w:spacing w:val="-15"/>
        </w:rPr>
        <w:t xml:space="preserve"> </w:t>
      </w:r>
      <w:r>
        <w:rPr>
          <w:spacing w:val="-4"/>
        </w:rPr>
        <w:t>intellectually</w:t>
      </w:r>
      <w:r>
        <w:rPr>
          <w:spacing w:val="-15"/>
        </w:rPr>
        <w:t xml:space="preserve"> </w:t>
      </w:r>
      <w:r>
        <w:rPr>
          <w:spacing w:val="-4"/>
        </w:rPr>
        <w:t>gifted</w:t>
      </w:r>
      <w:r>
        <w:rPr>
          <w:spacing w:val="-15"/>
        </w:rPr>
        <w:t xml:space="preserve"> </w:t>
      </w:r>
      <w:r>
        <w:rPr>
          <w:spacing w:val="-4"/>
        </w:rPr>
        <w:t>person</w:t>
      </w:r>
      <w:r>
        <w:rPr>
          <w:spacing w:val="-12"/>
        </w:rPr>
        <w:t xml:space="preserve"> </w:t>
      </w:r>
      <w:r>
        <w:rPr>
          <w:spacing w:val="-4"/>
        </w:rPr>
        <w:t>in</w:t>
      </w:r>
      <w:r>
        <w:rPr>
          <w:spacing w:val="-13"/>
        </w:rPr>
        <w:t xml:space="preserve"> </w:t>
      </w:r>
      <w:r>
        <w:rPr>
          <w:spacing w:val="-4"/>
        </w:rPr>
        <w:t>Russia.</w:t>
      </w:r>
      <w:r>
        <w:rPr>
          <w:spacing w:val="-15"/>
        </w:rPr>
        <w:t xml:space="preserve"> </w:t>
      </w:r>
      <w:r>
        <w:rPr>
          <w:spacing w:val="-4"/>
        </w:rPr>
        <w:t>And</w:t>
      </w:r>
      <w:r>
        <w:rPr>
          <w:spacing w:val="-13"/>
        </w:rPr>
        <w:t xml:space="preserve"> </w:t>
      </w:r>
      <w:r>
        <w:rPr>
          <w:spacing w:val="-4"/>
        </w:rPr>
        <w:t>let</w:t>
      </w:r>
      <w:r>
        <w:rPr>
          <w:spacing w:val="-13"/>
        </w:rPr>
        <w:t xml:space="preserve"> </w:t>
      </w:r>
      <w:r>
        <w:rPr>
          <w:spacing w:val="-4"/>
        </w:rPr>
        <w:t>Q</w:t>
      </w:r>
      <w:r>
        <w:rPr>
          <w:spacing w:val="-13"/>
        </w:rPr>
        <w:t xml:space="preserve"> </w:t>
      </w:r>
      <w:r>
        <w:rPr>
          <w:spacing w:val="-4"/>
        </w:rPr>
        <w:t xml:space="preserve">be </w:t>
      </w:r>
      <w:r>
        <w:t>the proposition: Smith will find a cure for cancer. Obviously P</w:t>
      </w:r>
      <w:r>
        <w:rPr>
          <w:spacing w:val="-19"/>
        </w:rPr>
        <w:t xml:space="preserve"> </w:t>
      </w:r>
      <w:r>
        <w:rPr>
          <w:i/>
          <w:spacing w:val="9"/>
        </w:rPr>
        <w:t>raises</w:t>
      </w:r>
      <w:r>
        <w:rPr>
          <w:i/>
          <w:spacing w:val="-19"/>
        </w:rPr>
        <w:t xml:space="preserve"> </w:t>
      </w:r>
      <w:r>
        <w:t>the probability</w:t>
      </w:r>
      <w:r>
        <w:rPr>
          <w:spacing w:val="-5"/>
        </w:rPr>
        <w:t xml:space="preserve"> </w:t>
      </w:r>
      <w:r>
        <w:t>of</w:t>
      </w:r>
      <w:r>
        <w:rPr>
          <w:spacing w:val="-5"/>
        </w:rPr>
        <w:t xml:space="preserve"> </w:t>
      </w:r>
      <w:r>
        <w:t>Q.</w:t>
      </w:r>
      <w:r>
        <w:rPr>
          <w:spacing w:val="-5"/>
        </w:rPr>
        <w:t xml:space="preserve"> </w:t>
      </w:r>
      <w:r>
        <w:t>Equivalently,</w:t>
      </w:r>
      <w:r>
        <w:rPr>
          <w:spacing w:val="-5"/>
        </w:rPr>
        <w:t xml:space="preserve"> </w:t>
      </w:r>
      <w:r>
        <w:t>P</w:t>
      </w:r>
      <w:r>
        <w:rPr>
          <w:spacing w:val="-13"/>
        </w:rPr>
        <w:t xml:space="preserve"> </w:t>
      </w:r>
      <w:r>
        <w:t>raises</w:t>
      </w:r>
      <w:r>
        <w:rPr>
          <w:spacing w:val="-5"/>
        </w:rPr>
        <w:t xml:space="preserve"> </w:t>
      </w:r>
      <w:r>
        <w:t>the</w:t>
      </w:r>
      <w:r>
        <w:rPr>
          <w:spacing w:val="-5"/>
        </w:rPr>
        <w:t xml:space="preserve"> </w:t>
      </w:r>
      <w:r>
        <w:t>probability</w:t>
      </w:r>
      <w:r>
        <w:rPr>
          <w:spacing w:val="-5"/>
        </w:rPr>
        <w:t xml:space="preserve"> </w:t>
      </w:r>
      <w:r>
        <w:t>of</w:t>
      </w:r>
      <w:r>
        <w:rPr>
          <w:spacing w:val="-5"/>
        </w:rPr>
        <w:t xml:space="preserve"> </w:t>
      </w:r>
      <w:r>
        <w:t>Q,</w:t>
      </w:r>
      <w:r>
        <w:rPr>
          <w:spacing w:val="-5"/>
        </w:rPr>
        <w:t xml:space="preserve"> </w:t>
      </w:r>
      <w:r>
        <w:t>if</w:t>
      </w:r>
      <w:r>
        <w:rPr>
          <w:spacing w:val="-5"/>
        </w:rPr>
        <w:t xml:space="preserve"> </w:t>
      </w:r>
      <w:r>
        <w:t>only</w:t>
      </w:r>
      <w:r>
        <w:rPr>
          <w:spacing w:val="-5"/>
        </w:rPr>
        <w:t xml:space="preserve"> </w:t>
      </w:r>
      <w:r>
        <w:t>by</w:t>
      </w:r>
      <w:r>
        <w:rPr>
          <w:spacing w:val="-5"/>
        </w:rPr>
        <w:t xml:space="preserve"> </w:t>
      </w:r>
      <w:r>
        <w:t>a</w:t>
      </w:r>
      <w:r>
        <w:rPr>
          <w:spacing w:val="-5"/>
        </w:rPr>
        <w:t xml:space="preserve"> </w:t>
      </w:r>
      <w:r>
        <w:t>small amount,</w:t>
      </w:r>
      <w:r>
        <w:rPr>
          <w:spacing w:val="-19"/>
        </w:rPr>
        <w:t xml:space="preserve"> </w:t>
      </w:r>
      <w:r>
        <w:t>whereas</w:t>
      </w:r>
      <w:r>
        <w:rPr>
          <w:spacing w:val="-19"/>
        </w:rPr>
        <w:t xml:space="preserve"> </w:t>
      </w:r>
      <w:r>
        <w:t>not-P</w:t>
      </w:r>
      <w:r>
        <w:rPr>
          <w:spacing w:val="-19"/>
        </w:rPr>
        <w:t xml:space="preserve"> </w:t>
      </w:r>
      <w:r>
        <w:t>doesn’t</w:t>
      </w:r>
      <w:r>
        <w:rPr>
          <w:spacing w:val="-15"/>
        </w:rPr>
        <w:t xml:space="preserve"> </w:t>
      </w:r>
      <w:r>
        <w:t>raise</w:t>
      </w:r>
      <w:r>
        <w:rPr>
          <w:spacing w:val="-15"/>
        </w:rPr>
        <w:t xml:space="preserve"> </w:t>
      </w:r>
      <w:r>
        <w:t>the</w:t>
      </w:r>
      <w:r>
        <w:rPr>
          <w:spacing w:val="-15"/>
        </w:rPr>
        <w:t xml:space="preserve"> </w:t>
      </w:r>
      <w:r>
        <w:t>probability</w:t>
      </w:r>
      <w:r>
        <w:rPr>
          <w:spacing w:val="-15"/>
        </w:rPr>
        <w:t xml:space="preserve"> </w:t>
      </w:r>
      <w:r>
        <w:t>of</w:t>
      </w:r>
      <w:r>
        <w:rPr>
          <w:spacing w:val="-15"/>
        </w:rPr>
        <w:t xml:space="preserve"> </w:t>
      </w:r>
      <w:r>
        <w:t>Q</w:t>
      </w:r>
      <w:r>
        <w:rPr>
          <w:spacing w:val="-15"/>
        </w:rPr>
        <w:t xml:space="preserve"> </w:t>
      </w:r>
      <w:r>
        <w:t>at</w:t>
      </w:r>
      <w:r>
        <w:rPr>
          <w:spacing w:val="-15"/>
        </w:rPr>
        <w:t xml:space="preserve"> </w:t>
      </w:r>
      <w:r>
        <w:t>all.</w:t>
      </w:r>
      <w:r>
        <w:rPr>
          <w:spacing w:val="-15"/>
        </w:rPr>
        <w:t xml:space="preserve"> </w:t>
      </w:r>
      <w:r>
        <w:t>But</w:t>
      </w:r>
      <w:r>
        <w:rPr>
          <w:spacing w:val="-15"/>
        </w:rPr>
        <w:t xml:space="preserve"> </w:t>
      </w:r>
      <w:r>
        <w:t>P</w:t>
      </w:r>
      <w:r>
        <w:rPr>
          <w:spacing w:val="-19"/>
        </w:rPr>
        <w:t xml:space="preserve"> </w:t>
      </w:r>
      <w:r>
        <w:t>doesn’t</w:t>
      </w:r>
      <w:r>
        <w:rPr>
          <w:spacing w:val="-15"/>
        </w:rPr>
        <w:t xml:space="preserve"> </w:t>
      </w:r>
      <w:r>
        <w:t>Q enough</w:t>
      </w:r>
      <w:r>
        <w:rPr>
          <w:spacing w:val="-19"/>
        </w:rPr>
        <w:t xml:space="preserve"> </w:t>
      </w:r>
      <w:r>
        <w:t>weight</w:t>
      </w:r>
      <w:r>
        <w:rPr>
          <w:spacing w:val="-19"/>
        </w:rPr>
        <w:t xml:space="preserve"> </w:t>
      </w:r>
      <w:r>
        <w:t>for</w:t>
      </w:r>
      <w:r>
        <w:rPr>
          <w:spacing w:val="-19"/>
        </w:rPr>
        <w:t xml:space="preserve"> </w:t>
      </w:r>
      <w:r>
        <w:t>it</w:t>
      </w:r>
      <w:r>
        <w:rPr>
          <w:spacing w:val="-18"/>
        </w:rPr>
        <w:t xml:space="preserve"> </w:t>
      </w:r>
      <w:r>
        <w:t>to</w:t>
      </w:r>
      <w:r>
        <w:rPr>
          <w:spacing w:val="-19"/>
        </w:rPr>
        <w:t xml:space="preserve"> </w:t>
      </w:r>
      <w:r>
        <w:t>be</w:t>
      </w:r>
      <w:r>
        <w:rPr>
          <w:spacing w:val="-19"/>
        </w:rPr>
        <w:t xml:space="preserve"> </w:t>
      </w:r>
      <w:r>
        <w:t>the</w:t>
      </w:r>
      <w:r>
        <w:rPr>
          <w:spacing w:val="-19"/>
        </w:rPr>
        <w:t xml:space="preserve"> </w:t>
      </w:r>
      <w:r>
        <w:t>case</w:t>
      </w:r>
      <w:r>
        <w:rPr>
          <w:spacing w:val="-18"/>
        </w:rPr>
        <w:t xml:space="preserve"> </w:t>
      </w:r>
      <w:r>
        <w:t>that,</w:t>
      </w:r>
      <w:r>
        <w:rPr>
          <w:spacing w:val="-19"/>
        </w:rPr>
        <w:t xml:space="preserve"> </w:t>
      </w:r>
      <w:r>
        <w:t>given</w:t>
      </w:r>
      <w:r>
        <w:rPr>
          <w:spacing w:val="-19"/>
        </w:rPr>
        <w:t xml:space="preserve"> </w:t>
      </w:r>
      <w:r>
        <w:t>P,</w:t>
      </w:r>
      <w:r>
        <w:rPr>
          <w:spacing w:val="-19"/>
        </w:rPr>
        <w:t xml:space="preserve"> </w:t>
      </w:r>
      <w:r>
        <w:t>Q</w:t>
      </w:r>
      <w:r>
        <w:rPr>
          <w:spacing w:val="-18"/>
        </w:rPr>
        <w:t xml:space="preserve"> </w:t>
      </w:r>
      <w:r>
        <w:t>is</w:t>
      </w:r>
      <w:r>
        <w:rPr>
          <w:spacing w:val="-19"/>
        </w:rPr>
        <w:t xml:space="preserve"> </w:t>
      </w:r>
      <w:r>
        <w:t>to</w:t>
      </w:r>
      <w:r>
        <w:rPr>
          <w:spacing w:val="-19"/>
        </w:rPr>
        <w:t xml:space="preserve"> </w:t>
      </w:r>
      <w:r>
        <w:t>be</w:t>
      </w:r>
      <w:r>
        <w:rPr>
          <w:spacing w:val="-19"/>
        </w:rPr>
        <w:t xml:space="preserve"> </w:t>
      </w:r>
      <w:r>
        <w:t>presumed</w:t>
      </w:r>
      <w:r>
        <w:rPr>
          <w:spacing w:val="-18"/>
        </w:rPr>
        <w:t xml:space="preserve"> </w:t>
      </w:r>
      <w:r>
        <w:t>true.</w:t>
      </w:r>
      <w:r>
        <w:rPr>
          <w:spacing w:val="-19"/>
        </w:rPr>
        <w:t xml:space="preserve"> </w:t>
      </w:r>
      <w:r>
        <w:t>We’ll clarify</w:t>
      </w:r>
      <w:r>
        <w:rPr>
          <w:spacing w:val="-8"/>
        </w:rPr>
        <w:t xml:space="preserve"> </w:t>
      </w:r>
      <w:r>
        <w:t>this</w:t>
      </w:r>
      <w:r>
        <w:rPr>
          <w:spacing w:val="-8"/>
        </w:rPr>
        <w:t xml:space="preserve"> </w:t>
      </w:r>
      <w:r>
        <w:t>point</w:t>
      </w:r>
      <w:r>
        <w:rPr>
          <w:spacing w:val="-8"/>
        </w:rPr>
        <w:t xml:space="preserve"> </w:t>
      </w:r>
      <w:r>
        <w:t>in</w:t>
      </w:r>
      <w:r>
        <w:rPr>
          <w:spacing w:val="-8"/>
        </w:rPr>
        <w:t xml:space="preserve"> </w:t>
      </w:r>
      <w:r>
        <w:t>Section</w:t>
      </w:r>
      <w:r>
        <w:rPr>
          <w:spacing w:val="-8"/>
        </w:rPr>
        <w:t xml:space="preserve"> </w:t>
      </w:r>
      <w:r>
        <w:t>1.9.</w:t>
      </w:r>
    </w:p>
    <w:p w14:paraId="7E0028ED" w14:textId="77777777" w:rsidR="009A58DB" w:rsidRDefault="00000000">
      <w:pPr>
        <w:pStyle w:val="BodyText"/>
        <w:spacing w:before="9" w:line="249" w:lineRule="auto"/>
        <w:ind w:right="361" w:firstLine="360"/>
      </w:pPr>
      <w:r>
        <w:t>True</w:t>
      </w:r>
      <w:r>
        <w:rPr>
          <w:spacing w:val="-6"/>
        </w:rPr>
        <w:t xml:space="preserve"> </w:t>
      </w:r>
      <w:r>
        <w:t>statements can</w:t>
      </w:r>
      <w:r>
        <w:rPr>
          <w:spacing w:val="-19"/>
        </w:rPr>
        <w:t xml:space="preserve"> </w:t>
      </w:r>
      <w:r>
        <w:rPr>
          <w:i/>
        </w:rPr>
        <w:t>confirm</w:t>
      </w:r>
      <w:r>
        <w:rPr>
          <w:i/>
          <w:spacing w:val="-19"/>
        </w:rPr>
        <w:t xml:space="preserve"> </w:t>
      </w:r>
      <w:r>
        <w:t>false ones, but they cannot</w:t>
      </w:r>
      <w:r>
        <w:rPr>
          <w:spacing w:val="-19"/>
        </w:rPr>
        <w:t xml:space="preserve"> </w:t>
      </w:r>
      <w:r>
        <w:rPr>
          <w:i/>
        </w:rPr>
        <w:t>entail</w:t>
      </w:r>
      <w:r>
        <w:rPr>
          <w:i/>
          <w:spacing w:val="-19"/>
        </w:rPr>
        <w:t xml:space="preserve"> </w:t>
      </w:r>
      <w:r>
        <w:t>them. Since “Smith</w:t>
      </w:r>
      <w:r>
        <w:rPr>
          <w:spacing w:val="-19"/>
        </w:rPr>
        <w:t xml:space="preserve"> </w:t>
      </w:r>
      <w:r>
        <w:t>drives</w:t>
      </w:r>
      <w:r>
        <w:rPr>
          <w:spacing w:val="-18"/>
        </w:rPr>
        <w:t xml:space="preserve"> </w:t>
      </w:r>
      <w:r>
        <w:t>a</w:t>
      </w:r>
      <w:r>
        <w:rPr>
          <w:spacing w:val="-19"/>
        </w:rPr>
        <w:t xml:space="preserve"> </w:t>
      </w:r>
      <w:r>
        <w:t>Rolls</w:t>
      </w:r>
      <w:r>
        <w:rPr>
          <w:spacing w:val="-18"/>
        </w:rPr>
        <w:t xml:space="preserve"> </w:t>
      </w:r>
      <w:r>
        <w:t>Royce</w:t>
      </w:r>
      <w:r>
        <w:rPr>
          <w:spacing w:val="-19"/>
        </w:rPr>
        <w:t xml:space="preserve"> </w:t>
      </w:r>
      <w:r>
        <w:t>and</w:t>
      </w:r>
      <w:r>
        <w:rPr>
          <w:spacing w:val="-18"/>
        </w:rPr>
        <w:t xml:space="preserve"> </w:t>
      </w:r>
      <w:r>
        <w:t>lives</w:t>
      </w:r>
      <w:r>
        <w:rPr>
          <w:spacing w:val="-19"/>
        </w:rPr>
        <w:t xml:space="preserve"> </w:t>
      </w:r>
      <w:r>
        <w:t>in</w:t>
      </w:r>
      <w:r>
        <w:rPr>
          <w:spacing w:val="-18"/>
        </w:rPr>
        <w:t xml:space="preserve"> </w:t>
      </w:r>
      <w:r>
        <w:t>a</w:t>
      </w:r>
      <w:r>
        <w:rPr>
          <w:spacing w:val="-19"/>
        </w:rPr>
        <w:t xml:space="preserve"> </w:t>
      </w:r>
      <w:r>
        <w:t>big</w:t>
      </w:r>
      <w:r>
        <w:rPr>
          <w:spacing w:val="-18"/>
        </w:rPr>
        <w:t xml:space="preserve"> </w:t>
      </w:r>
      <w:r>
        <w:t>house</w:t>
      </w:r>
      <w:r>
        <w:rPr>
          <w:spacing w:val="-19"/>
        </w:rPr>
        <w:t xml:space="preserve"> </w:t>
      </w:r>
      <w:r>
        <w:t>[etc.]”</w:t>
      </w:r>
      <w:r>
        <w:rPr>
          <w:spacing w:val="-18"/>
        </w:rPr>
        <w:t xml:space="preserve"> </w:t>
      </w:r>
      <w:r>
        <w:t>entails</w:t>
      </w:r>
      <w:r>
        <w:rPr>
          <w:spacing w:val="-19"/>
        </w:rPr>
        <w:t xml:space="preserve"> </w:t>
      </w:r>
      <w:r>
        <w:t>“Smith</w:t>
      </w:r>
      <w:r>
        <w:rPr>
          <w:spacing w:val="-18"/>
        </w:rPr>
        <w:t xml:space="preserve"> </w:t>
      </w:r>
      <w:r>
        <w:t>lives in a house,” the second cannot possibly be false if the first is true. But since “Smith drives a Rolls Royce and lives in a big house [etc.]” merely confirms “Smith</w:t>
      </w:r>
      <w:r>
        <w:rPr>
          <w:spacing w:val="-21"/>
        </w:rPr>
        <w:t xml:space="preserve"> </w:t>
      </w:r>
      <w:r>
        <w:t>is</w:t>
      </w:r>
      <w:r>
        <w:rPr>
          <w:spacing w:val="-19"/>
        </w:rPr>
        <w:t xml:space="preserve"> </w:t>
      </w:r>
      <w:r>
        <w:t>wealthy,”</w:t>
      </w:r>
      <w:r>
        <w:rPr>
          <w:spacing w:val="-19"/>
        </w:rPr>
        <w:t xml:space="preserve"> </w:t>
      </w:r>
      <w:r>
        <w:t>the</w:t>
      </w:r>
      <w:r>
        <w:rPr>
          <w:spacing w:val="-18"/>
        </w:rPr>
        <w:t xml:space="preserve"> </w:t>
      </w:r>
      <w:r>
        <w:t>second</w:t>
      </w:r>
      <w:r>
        <w:rPr>
          <w:spacing w:val="-19"/>
        </w:rPr>
        <w:t xml:space="preserve"> </w:t>
      </w:r>
      <w:r>
        <w:t>can</w:t>
      </w:r>
      <w:r>
        <w:rPr>
          <w:spacing w:val="-19"/>
        </w:rPr>
        <w:t xml:space="preserve"> </w:t>
      </w:r>
      <w:r>
        <w:t>be</w:t>
      </w:r>
      <w:r>
        <w:rPr>
          <w:spacing w:val="-19"/>
        </w:rPr>
        <w:t xml:space="preserve"> </w:t>
      </w:r>
      <w:r>
        <w:t>false</w:t>
      </w:r>
      <w:r>
        <w:rPr>
          <w:spacing w:val="-18"/>
        </w:rPr>
        <w:t xml:space="preserve"> </w:t>
      </w:r>
      <w:r>
        <w:t>if</w:t>
      </w:r>
      <w:r>
        <w:rPr>
          <w:spacing w:val="-19"/>
        </w:rPr>
        <w:t xml:space="preserve"> </w:t>
      </w:r>
      <w:r>
        <w:t>the</w:t>
      </w:r>
      <w:r>
        <w:rPr>
          <w:spacing w:val="-19"/>
        </w:rPr>
        <w:t xml:space="preserve"> </w:t>
      </w:r>
      <w:r>
        <w:t>first</w:t>
      </w:r>
      <w:r>
        <w:rPr>
          <w:spacing w:val="-19"/>
        </w:rPr>
        <w:t xml:space="preserve"> </w:t>
      </w:r>
      <w:r>
        <w:t>is</w:t>
      </w:r>
      <w:r>
        <w:rPr>
          <w:spacing w:val="-18"/>
        </w:rPr>
        <w:t xml:space="preserve"> </w:t>
      </w:r>
      <w:r>
        <w:t>true.</w:t>
      </w:r>
    </w:p>
    <w:p w14:paraId="7E0028EE" w14:textId="77777777" w:rsidR="009A58DB" w:rsidRDefault="00000000">
      <w:pPr>
        <w:pStyle w:val="Heading1"/>
        <w:numPr>
          <w:ilvl w:val="1"/>
          <w:numId w:val="38"/>
        </w:numPr>
        <w:tabs>
          <w:tab w:val="left" w:pos="1409"/>
        </w:tabs>
        <w:spacing w:before="195"/>
        <w:ind w:left="1409" w:hanging="1049"/>
      </w:pPr>
      <w:r>
        <w:t>Validity</w:t>
      </w:r>
      <w:r>
        <w:rPr>
          <w:spacing w:val="-4"/>
        </w:rPr>
        <w:t xml:space="preserve"> </w:t>
      </w:r>
      <w:r>
        <w:t>vs.</w:t>
      </w:r>
      <w:r>
        <w:rPr>
          <w:spacing w:val="-3"/>
        </w:rPr>
        <w:t xml:space="preserve"> </w:t>
      </w:r>
      <w:r>
        <w:rPr>
          <w:spacing w:val="-2"/>
        </w:rPr>
        <w:t>soundness</w:t>
      </w:r>
    </w:p>
    <w:p w14:paraId="7E0028EF" w14:textId="77777777" w:rsidR="009A58DB" w:rsidRDefault="00000000">
      <w:pPr>
        <w:pStyle w:val="BodyText"/>
        <w:spacing w:before="139" w:line="249" w:lineRule="auto"/>
        <w:ind w:right="360"/>
      </w:pPr>
      <w:r>
        <w:t>A</w:t>
      </w:r>
      <w:r>
        <w:rPr>
          <w:spacing w:val="-19"/>
        </w:rPr>
        <w:t xml:space="preserve"> </w:t>
      </w:r>
      <w:r>
        <w:rPr>
          <w:i/>
        </w:rPr>
        <w:t>valid</w:t>
      </w:r>
      <w:r>
        <w:rPr>
          <w:i/>
          <w:spacing w:val="-19"/>
        </w:rPr>
        <w:t xml:space="preserve"> </w:t>
      </w:r>
      <w:r>
        <w:t>argument</w:t>
      </w:r>
      <w:r>
        <w:rPr>
          <w:spacing w:val="-19"/>
        </w:rPr>
        <w:t xml:space="preserve"> </w:t>
      </w:r>
      <w:r>
        <w:t>is</w:t>
      </w:r>
      <w:r>
        <w:rPr>
          <w:spacing w:val="-18"/>
        </w:rPr>
        <w:t xml:space="preserve"> </w:t>
      </w:r>
      <w:r>
        <w:t>a</w:t>
      </w:r>
      <w:r>
        <w:rPr>
          <w:spacing w:val="-19"/>
        </w:rPr>
        <w:t xml:space="preserve"> </w:t>
      </w:r>
      <w:r>
        <w:t>deductive</w:t>
      </w:r>
      <w:r>
        <w:rPr>
          <w:spacing w:val="-19"/>
        </w:rPr>
        <w:t xml:space="preserve"> </w:t>
      </w:r>
      <w:r>
        <w:t>argument</w:t>
      </w:r>
      <w:r>
        <w:rPr>
          <w:spacing w:val="-19"/>
        </w:rPr>
        <w:t xml:space="preserve"> </w:t>
      </w:r>
      <w:r>
        <w:t>whose</w:t>
      </w:r>
      <w:r>
        <w:rPr>
          <w:spacing w:val="-18"/>
        </w:rPr>
        <w:t xml:space="preserve"> </w:t>
      </w:r>
      <w:r>
        <w:t>premises,</w:t>
      </w:r>
      <w:r>
        <w:rPr>
          <w:spacing w:val="-19"/>
        </w:rPr>
        <w:t xml:space="preserve"> </w:t>
      </w:r>
      <w:r>
        <w:t>if</w:t>
      </w:r>
      <w:r>
        <w:rPr>
          <w:spacing w:val="-19"/>
        </w:rPr>
        <w:t xml:space="preserve"> </w:t>
      </w:r>
      <w:r>
        <w:t>true,</w:t>
      </w:r>
      <w:r>
        <w:rPr>
          <w:spacing w:val="-19"/>
        </w:rPr>
        <w:t xml:space="preserve"> </w:t>
      </w:r>
      <w:r>
        <w:rPr>
          <w:i/>
        </w:rPr>
        <w:t>in</w:t>
      </w:r>
      <w:r>
        <w:rPr>
          <w:i/>
          <w:spacing w:val="-18"/>
        </w:rPr>
        <w:t xml:space="preserve"> </w:t>
      </w:r>
      <w:r>
        <w:rPr>
          <w:i/>
        </w:rPr>
        <w:t>fact</w:t>
      </w:r>
      <w:r>
        <w:rPr>
          <w:i/>
          <w:spacing w:val="-19"/>
        </w:rPr>
        <w:t xml:space="preserve"> </w:t>
      </w:r>
      <w:r>
        <w:t>give</w:t>
      </w:r>
      <w:r>
        <w:rPr>
          <w:spacing w:val="-19"/>
        </w:rPr>
        <w:t xml:space="preserve"> </w:t>
      </w:r>
      <w:r>
        <w:t xml:space="preserve">a probability of 100% to the conclusion. In other words, a valid argument is an argument whose premises are supposed to give 100% probability to the </w:t>
      </w:r>
      <w:r>
        <w:rPr>
          <w:spacing w:val="-2"/>
        </w:rPr>
        <w:t>conclusion</w:t>
      </w:r>
      <w:r>
        <w:rPr>
          <w:spacing w:val="-16"/>
        </w:rPr>
        <w:t xml:space="preserve"> </w:t>
      </w:r>
      <w:r>
        <w:rPr>
          <w:spacing w:val="-2"/>
        </w:rPr>
        <w:t>and</w:t>
      </w:r>
      <w:r>
        <w:rPr>
          <w:spacing w:val="-16"/>
        </w:rPr>
        <w:t xml:space="preserve"> </w:t>
      </w:r>
      <w:r>
        <w:rPr>
          <w:spacing w:val="-2"/>
        </w:rPr>
        <w:t>whose</w:t>
      </w:r>
      <w:r>
        <w:rPr>
          <w:spacing w:val="-16"/>
        </w:rPr>
        <w:t xml:space="preserve"> </w:t>
      </w:r>
      <w:r>
        <w:rPr>
          <w:spacing w:val="-2"/>
        </w:rPr>
        <w:t>premises</w:t>
      </w:r>
      <w:r>
        <w:rPr>
          <w:spacing w:val="-16"/>
        </w:rPr>
        <w:t xml:space="preserve"> </w:t>
      </w:r>
      <w:r>
        <w:rPr>
          <w:i/>
          <w:spacing w:val="-2"/>
        </w:rPr>
        <w:t>in</w:t>
      </w:r>
      <w:r>
        <w:rPr>
          <w:i/>
          <w:spacing w:val="-16"/>
        </w:rPr>
        <w:t xml:space="preserve"> </w:t>
      </w:r>
      <w:r>
        <w:rPr>
          <w:i/>
          <w:spacing w:val="-2"/>
        </w:rPr>
        <w:t>fact</w:t>
      </w:r>
      <w:r>
        <w:rPr>
          <w:i/>
          <w:spacing w:val="-17"/>
        </w:rPr>
        <w:t xml:space="preserve"> </w:t>
      </w:r>
      <w:r>
        <w:rPr>
          <w:spacing w:val="-2"/>
        </w:rPr>
        <w:t>give</w:t>
      </w:r>
      <w:r>
        <w:rPr>
          <w:spacing w:val="-16"/>
        </w:rPr>
        <w:t xml:space="preserve"> </w:t>
      </w:r>
      <w:r>
        <w:rPr>
          <w:spacing w:val="-2"/>
        </w:rPr>
        <w:t>100%</w:t>
      </w:r>
      <w:r>
        <w:rPr>
          <w:spacing w:val="-16"/>
        </w:rPr>
        <w:t xml:space="preserve"> </w:t>
      </w:r>
      <w:r>
        <w:rPr>
          <w:spacing w:val="-2"/>
        </w:rPr>
        <w:t>probability</w:t>
      </w:r>
      <w:r>
        <w:rPr>
          <w:spacing w:val="-16"/>
        </w:rPr>
        <w:t xml:space="preserve"> </w:t>
      </w:r>
      <w:r>
        <w:rPr>
          <w:spacing w:val="-2"/>
        </w:rPr>
        <w:t>to</w:t>
      </w:r>
      <w:r>
        <w:rPr>
          <w:spacing w:val="-16"/>
        </w:rPr>
        <w:t xml:space="preserve"> </w:t>
      </w:r>
      <w:r>
        <w:rPr>
          <w:spacing w:val="-2"/>
        </w:rPr>
        <w:t>the</w:t>
      </w:r>
      <w:r>
        <w:rPr>
          <w:spacing w:val="-16"/>
        </w:rPr>
        <w:t xml:space="preserve"> </w:t>
      </w:r>
      <w:r>
        <w:rPr>
          <w:spacing w:val="-2"/>
        </w:rPr>
        <w:t>conclusion.</w:t>
      </w:r>
    </w:p>
    <w:p w14:paraId="7E0028F0" w14:textId="77777777" w:rsidR="009A58DB" w:rsidRDefault="00000000">
      <w:pPr>
        <w:pStyle w:val="BodyText"/>
        <w:spacing w:before="5" w:line="249" w:lineRule="auto"/>
        <w:ind w:right="358" w:firstLine="360"/>
      </w:pPr>
      <w:r>
        <w:t>A</w:t>
      </w:r>
      <w:r>
        <w:rPr>
          <w:spacing w:val="-16"/>
        </w:rPr>
        <w:t xml:space="preserve"> </w:t>
      </w:r>
      <w:r>
        <w:t>valid</w:t>
      </w:r>
      <w:r>
        <w:rPr>
          <w:spacing w:val="-3"/>
        </w:rPr>
        <w:t xml:space="preserve"> </w:t>
      </w:r>
      <w:r>
        <w:t>argument</w:t>
      </w:r>
      <w:r>
        <w:rPr>
          <w:spacing w:val="-3"/>
        </w:rPr>
        <w:t xml:space="preserve"> </w:t>
      </w:r>
      <w:r>
        <w:t>can</w:t>
      </w:r>
      <w:r>
        <w:rPr>
          <w:spacing w:val="-3"/>
        </w:rPr>
        <w:t xml:space="preserve"> </w:t>
      </w:r>
      <w:r>
        <w:t>have</w:t>
      </w:r>
      <w:r>
        <w:rPr>
          <w:spacing w:val="-3"/>
        </w:rPr>
        <w:t xml:space="preserve"> </w:t>
      </w:r>
      <w:r>
        <w:t>false</w:t>
      </w:r>
      <w:r>
        <w:rPr>
          <w:spacing w:val="-3"/>
        </w:rPr>
        <w:t xml:space="preserve"> </w:t>
      </w:r>
      <w:r>
        <w:t>premises.</w:t>
      </w:r>
      <w:r>
        <w:rPr>
          <w:spacing w:val="-3"/>
        </w:rPr>
        <w:t xml:space="preserve"> </w:t>
      </w:r>
      <w:r>
        <w:t>For</w:t>
      </w:r>
      <w:r>
        <w:rPr>
          <w:spacing w:val="-3"/>
        </w:rPr>
        <w:t xml:space="preserve"> </w:t>
      </w:r>
      <w:r>
        <w:t>an</w:t>
      </w:r>
      <w:r>
        <w:rPr>
          <w:spacing w:val="-3"/>
        </w:rPr>
        <w:t xml:space="preserve"> </w:t>
      </w:r>
      <w:r>
        <w:t>argument</w:t>
      </w:r>
      <w:r>
        <w:rPr>
          <w:spacing w:val="-3"/>
        </w:rPr>
        <w:t xml:space="preserve"> </w:t>
      </w:r>
      <w:r>
        <w:t>to</w:t>
      </w:r>
      <w:r>
        <w:rPr>
          <w:spacing w:val="-3"/>
        </w:rPr>
        <w:t xml:space="preserve"> </w:t>
      </w:r>
      <w:r>
        <w:t>be</w:t>
      </w:r>
      <w:r>
        <w:rPr>
          <w:spacing w:val="-3"/>
        </w:rPr>
        <w:t xml:space="preserve"> </w:t>
      </w:r>
      <w:r>
        <w:t>valid</w:t>
      </w:r>
      <w:r>
        <w:rPr>
          <w:spacing w:val="-3"/>
        </w:rPr>
        <w:t xml:space="preserve"> </w:t>
      </w:r>
      <w:r>
        <w:t>it</w:t>
      </w:r>
      <w:r>
        <w:rPr>
          <w:spacing w:val="-3"/>
        </w:rPr>
        <w:t xml:space="preserve"> </w:t>
      </w:r>
      <w:r>
        <w:t xml:space="preserve">is </w:t>
      </w:r>
      <w:r>
        <w:rPr>
          <w:spacing w:val="-4"/>
        </w:rPr>
        <w:t>necessary</w:t>
      </w:r>
      <w:r>
        <w:rPr>
          <w:spacing w:val="-15"/>
        </w:rPr>
        <w:t xml:space="preserve"> </w:t>
      </w:r>
      <w:r>
        <w:rPr>
          <w:spacing w:val="-4"/>
        </w:rPr>
        <w:t>only</w:t>
      </w:r>
      <w:r>
        <w:rPr>
          <w:spacing w:val="-15"/>
        </w:rPr>
        <w:t xml:space="preserve"> </w:t>
      </w:r>
      <w:r>
        <w:rPr>
          <w:spacing w:val="-4"/>
        </w:rPr>
        <w:t>that</w:t>
      </w:r>
      <w:r>
        <w:rPr>
          <w:spacing w:val="-12"/>
        </w:rPr>
        <w:t xml:space="preserve"> </w:t>
      </w:r>
      <w:r>
        <w:rPr>
          <w:spacing w:val="-4"/>
        </w:rPr>
        <w:t>if</w:t>
      </w:r>
      <w:r>
        <w:rPr>
          <w:spacing w:val="-12"/>
        </w:rPr>
        <w:t xml:space="preserve"> </w:t>
      </w:r>
      <w:r>
        <w:rPr>
          <w:spacing w:val="-4"/>
        </w:rPr>
        <w:t>the</w:t>
      </w:r>
      <w:r>
        <w:rPr>
          <w:spacing w:val="-12"/>
        </w:rPr>
        <w:t xml:space="preserve"> </w:t>
      </w:r>
      <w:r>
        <w:rPr>
          <w:spacing w:val="-4"/>
        </w:rPr>
        <w:t>premises</w:t>
      </w:r>
      <w:r>
        <w:rPr>
          <w:spacing w:val="-15"/>
        </w:rPr>
        <w:t xml:space="preserve"> </w:t>
      </w:r>
      <w:r>
        <w:rPr>
          <w:i/>
          <w:spacing w:val="-4"/>
        </w:rPr>
        <w:t>were</w:t>
      </w:r>
      <w:r>
        <w:rPr>
          <w:i/>
          <w:spacing w:val="-15"/>
        </w:rPr>
        <w:t xml:space="preserve"> </w:t>
      </w:r>
      <w:r>
        <w:rPr>
          <w:spacing w:val="-4"/>
        </w:rPr>
        <w:t>true,</w:t>
      </w:r>
      <w:r>
        <w:rPr>
          <w:spacing w:val="-10"/>
        </w:rPr>
        <w:t xml:space="preserve"> </w:t>
      </w:r>
      <w:r>
        <w:rPr>
          <w:spacing w:val="-4"/>
        </w:rPr>
        <w:t>then</w:t>
      </w:r>
      <w:r>
        <w:rPr>
          <w:spacing w:val="-11"/>
        </w:rPr>
        <w:t xml:space="preserve"> </w:t>
      </w:r>
      <w:r>
        <w:rPr>
          <w:spacing w:val="-4"/>
        </w:rPr>
        <w:t>there</w:t>
      </w:r>
      <w:r>
        <w:rPr>
          <w:spacing w:val="-15"/>
        </w:rPr>
        <w:t xml:space="preserve"> </w:t>
      </w:r>
      <w:r>
        <w:rPr>
          <w:i/>
          <w:spacing w:val="-4"/>
        </w:rPr>
        <w:t>would be</w:t>
      </w:r>
      <w:r>
        <w:rPr>
          <w:i/>
          <w:spacing w:val="-15"/>
        </w:rPr>
        <w:t xml:space="preserve"> </w:t>
      </w:r>
      <w:r>
        <w:rPr>
          <w:spacing w:val="-4"/>
        </w:rPr>
        <w:t xml:space="preserve">a 100% chance </w:t>
      </w:r>
      <w:r>
        <w:t>that</w:t>
      </w:r>
      <w:r>
        <w:rPr>
          <w:spacing w:val="-7"/>
        </w:rPr>
        <w:t xml:space="preserve"> </w:t>
      </w:r>
      <w:r>
        <w:t>the</w:t>
      </w:r>
      <w:r>
        <w:rPr>
          <w:spacing w:val="-7"/>
        </w:rPr>
        <w:t xml:space="preserve"> </w:t>
      </w:r>
      <w:r>
        <w:t>conclusion</w:t>
      </w:r>
      <w:r>
        <w:rPr>
          <w:spacing w:val="-7"/>
        </w:rPr>
        <w:t xml:space="preserve"> </w:t>
      </w:r>
      <w:r>
        <w:t>is</w:t>
      </w:r>
      <w:r>
        <w:rPr>
          <w:spacing w:val="-7"/>
        </w:rPr>
        <w:t xml:space="preserve"> </w:t>
      </w:r>
      <w:r>
        <w:t>true.</w:t>
      </w:r>
      <w:r>
        <w:rPr>
          <w:spacing w:val="-7"/>
        </w:rPr>
        <w:t xml:space="preserve"> </w:t>
      </w:r>
      <w:r>
        <w:t>It</w:t>
      </w:r>
      <w:r>
        <w:rPr>
          <w:spacing w:val="-7"/>
        </w:rPr>
        <w:t xml:space="preserve"> </w:t>
      </w:r>
      <w:r>
        <w:t>may</w:t>
      </w:r>
      <w:r>
        <w:rPr>
          <w:spacing w:val="-7"/>
        </w:rPr>
        <w:t xml:space="preserve"> </w:t>
      </w:r>
      <w:r>
        <w:t>be</w:t>
      </w:r>
      <w:r>
        <w:rPr>
          <w:spacing w:val="-7"/>
        </w:rPr>
        <w:t xml:space="preserve"> </w:t>
      </w:r>
      <w:r>
        <w:t>that</w:t>
      </w:r>
      <w:r>
        <w:rPr>
          <w:spacing w:val="-7"/>
        </w:rPr>
        <w:t xml:space="preserve"> </w:t>
      </w:r>
      <w:r>
        <w:t>Smith</w:t>
      </w:r>
      <w:r>
        <w:rPr>
          <w:spacing w:val="-7"/>
        </w:rPr>
        <w:t xml:space="preserve"> </w:t>
      </w:r>
      <w:r>
        <w:t>doesn’t</w:t>
      </w:r>
      <w:r>
        <w:rPr>
          <w:spacing w:val="-7"/>
        </w:rPr>
        <w:t xml:space="preserve"> </w:t>
      </w:r>
      <w:r>
        <w:t>drive</w:t>
      </w:r>
      <w:r>
        <w:rPr>
          <w:spacing w:val="-7"/>
        </w:rPr>
        <w:t xml:space="preserve"> </w:t>
      </w:r>
      <w:r>
        <w:t>a</w:t>
      </w:r>
      <w:r>
        <w:rPr>
          <w:spacing w:val="-7"/>
        </w:rPr>
        <w:t xml:space="preserve"> </w:t>
      </w:r>
      <w:r>
        <w:t>Rolls</w:t>
      </w:r>
      <w:r>
        <w:rPr>
          <w:spacing w:val="-7"/>
        </w:rPr>
        <w:t xml:space="preserve"> </w:t>
      </w:r>
      <w:r>
        <w:t>Royce</w:t>
      </w:r>
      <w:r>
        <w:rPr>
          <w:spacing w:val="-7"/>
        </w:rPr>
        <w:t xml:space="preserve"> </w:t>
      </w:r>
      <w:r>
        <w:t xml:space="preserve">or </w:t>
      </w:r>
      <w:r>
        <w:rPr>
          <w:spacing w:val="-4"/>
        </w:rPr>
        <w:t>any</w:t>
      </w:r>
      <w:r>
        <w:rPr>
          <w:spacing w:val="-14"/>
        </w:rPr>
        <w:t xml:space="preserve"> </w:t>
      </w:r>
      <w:r>
        <w:rPr>
          <w:spacing w:val="-4"/>
        </w:rPr>
        <w:t>kind</w:t>
      </w:r>
      <w:r>
        <w:rPr>
          <w:spacing w:val="-14"/>
        </w:rPr>
        <w:t xml:space="preserve"> </w:t>
      </w:r>
      <w:r>
        <w:rPr>
          <w:spacing w:val="-4"/>
        </w:rPr>
        <w:t>of</w:t>
      </w:r>
      <w:r>
        <w:rPr>
          <w:spacing w:val="-14"/>
        </w:rPr>
        <w:t xml:space="preserve"> </w:t>
      </w:r>
      <w:r>
        <w:rPr>
          <w:spacing w:val="-4"/>
        </w:rPr>
        <w:t>car</w:t>
      </w:r>
      <w:r>
        <w:rPr>
          <w:spacing w:val="-14"/>
        </w:rPr>
        <w:t xml:space="preserve"> </w:t>
      </w:r>
      <w:r>
        <w:rPr>
          <w:spacing w:val="-4"/>
        </w:rPr>
        <w:t>for</w:t>
      </w:r>
      <w:r>
        <w:rPr>
          <w:spacing w:val="-14"/>
        </w:rPr>
        <w:t xml:space="preserve"> </w:t>
      </w:r>
      <w:r>
        <w:rPr>
          <w:spacing w:val="-4"/>
        </w:rPr>
        <w:t>that</w:t>
      </w:r>
      <w:r>
        <w:rPr>
          <w:spacing w:val="-14"/>
        </w:rPr>
        <w:t xml:space="preserve"> </w:t>
      </w:r>
      <w:r>
        <w:rPr>
          <w:spacing w:val="-4"/>
        </w:rPr>
        <w:t>matter.</w:t>
      </w:r>
      <w:r>
        <w:rPr>
          <w:spacing w:val="-14"/>
        </w:rPr>
        <w:t xml:space="preserve"> </w:t>
      </w:r>
      <w:r>
        <w:rPr>
          <w:spacing w:val="-4"/>
        </w:rPr>
        <w:t>But</w:t>
      </w:r>
      <w:r>
        <w:rPr>
          <w:spacing w:val="-14"/>
        </w:rPr>
        <w:t xml:space="preserve"> </w:t>
      </w:r>
      <w:r>
        <w:rPr>
          <w:spacing w:val="-4"/>
        </w:rPr>
        <w:t>it’s</w:t>
      </w:r>
      <w:r>
        <w:rPr>
          <w:spacing w:val="-14"/>
        </w:rPr>
        <w:t xml:space="preserve"> </w:t>
      </w:r>
      <w:r>
        <w:rPr>
          <w:spacing w:val="-4"/>
        </w:rPr>
        <w:t>still</w:t>
      </w:r>
      <w:r>
        <w:rPr>
          <w:spacing w:val="-14"/>
        </w:rPr>
        <w:t xml:space="preserve"> </w:t>
      </w:r>
      <w:r>
        <w:rPr>
          <w:spacing w:val="-4"/>
        </w:rPr>
        <w:t>the</w:t>
      </w:r>
      <w:r>
        <w:rPr>
          <w:spacing w:val="-14"/>
        </w:rPr>
        <w:t xml:space="preserve"> </w:t>
      </w:r>
      <w:r>
        <w:rPr>
          <w:spacing w:val="-4"/>
        </w:rPr>
        <w:t>case</w:t>
      </w:r>
      <w:r>
        <w:rPr>
          <w:spacing w:val="-14"/>
        </w:rPr>
        <w:t xml:space="preserve"> </w:t>
      </w:r>
      <w:r>
        <w:rPr>
          <w:spacing w:val="-4"/>
        </w:rPr>
        <w:t>that</w:t>
      </w:r>
      <w:r>
        <w:rPr>
          <w:spacing w:val="-14"/>
        </w:rPr>
        <w:t xml:space="preserve"> </w:t>
      </w:r>
      <w:r>
        <w:rPr>
          <w:spacing w:val="-4"/>
        </w:rPr>
        <w:t>if</w:t>
      </w:r>
      <w:r>
        <w:rPr>
          <w:spacing w:val="-14"/>
        </w:rPr>
        <w:t xml:space="preserve"> </w:t>
      </w:r>
      <w:r>
        <w:rPr>
          <w:spacing w:val="-4"/>
        </w:rPr>
        <w:t>Smith</w:t>
      </w:r>
      <w:r>
        <w:rPr>
          <w:spacing w:val="-14"/>
        </w:rPr>
        <w:t xml:space="preserve"> </w:t>
      </w:r>
      <w:r>
        <w:rPr>
          <w:spacing w:val="-4"/>
        </w:rPr>
        <w:t>did</w:t>
      </w:r>
      <w:r>
        <w:rPr>
          <w:spacing w:val="-14"/>
        </w:rPr>
        <w:t xml:space="preserve"> </w:t>
      </w:r>
      <w:r>
        <w:rPr>
          <w:spacing w:val="-4"/>
        </w:rPr>
        <w:t>drive</w:t>
      </w:r>
      <w:r>
        <w:rPr>
          <w:spacing w:val="-14"/>
        </w:rPr>
        <w:t xml:space="preserve"> </w:t>
      </w:r>
      <w:r>
        <w:rPr>
          <w:spacing w:val="-4"/>
        </w:rPr>
        <w:t>a</w:t>
      </w:r>
      <w:r>
        <w:rPr>
          <w:spacing w:val="-14"/>
        </w:rPr>
        <w:t xml:space="preserve"> </w:t>
      </w:r>
      <w:r>
        <w:rPr>
          <w:spacing w:val="-4"/>
        </w:rPr>
        <w:t xml:space="preserve">Rolls </w:t>
      </w:r>
      <w:r>
        <w:t>Royce,</w:t>
      </w:r>
      <w:r>
        <w:rPr>
          <w:spacing w:val="-17"/>
        </w:rPr>
        <w:t xml:space="preserve"> </w:t>
      </w:r>
      <w:r>
        <w:t>then,</w:t>
      </w:r>
      <w:r>
        <w:rPr>
          <w:spacing w:val="-17"/>
        </w:rPr>
        <w:t xml:space="preserve"> </w:t>
      </w:r>
      <w:r>
        <w:t>given</w:t>
      </w:r>
      <w:r>
        <w:rPr>
          <w:spacing w:val="-17"/>
        </w:rPr>
        <w:t xml:space="preserve"> </w:t>
      </w:r>
      <w:r>
        <w:t>that</w:t>
      </w:r>
      <w:r>
        <w:rPr>
          <w:spacing w:val="-17"/>
        </w:rPr>
        <w:t xml:space="preserve"> </w:t>
      </w:r>
      <w:r>
        <w:t>all</w:t>
      </w:r>
      <w:r>
        <w:rPr>
          <w:spacing w:val="-17"/>
        </w:rPr>
        <w:t xml:space="preserve"> </w:t>
      </w:r>
      <w:r>
        <w:t>Rolls</w:t>
      </w:r>
      <w:r>
        <w:rPr>
          <w:spacing w:val="-17"/>
        </w:rPr>
        <w:t xml:space="preserve"> </w:t>
      </w:r>
      <w:r>
        <w:t>Royces</w:t>
      </w:r>
      <w:r>
        <w:rPr>
          <w:spacing w:val="-17"/>
        </w:rPr>
        <w:t xml:space="preserve"> </w:t>
      </w:r>
      <w:r>
        <w:t>are</w:t>
      </w:r>
      <w:r>
        <w:rPr>
          <w:spacing w:val="-17"/>
        </w:rPr>
        <w:t xml:space="preserve"> </w:t>
      </w:r>
      <w:r>
        <w:t>cars,</w:t>
      </w:r>
      <w:r>
        <w:rPr>
          <w:spacing w:val="-17"/>
        </w:rPr>
        <w:t xml:space="preserve"> </w:t>
      </w:r>
      <w:r>
        <w:t>there</w:t>
      </w:r>
      <w:r>
        <w:rPr>
          <w:spacing w:val="-17"/>
        </w:rPr>
        <w:t xml:space="preserve"> </w:t>
      </w:r>
      <w:r>
        <w:t>would</w:t>
      </w:r>
      <w:r>
        <w:rPr>
          <w:spacing w:val="-17"/>
        </w:rPr>
        <w:t xml:space="preserve"> </w:t>
      </w:r>
      <w:r>
        <w:t>be</w:t>
      </w:r>
      <w:r>
        <w:rPr>
          <w:spacing w:val="-17"/>
        </w:rPr>
        <w:t xml:space="preserve"> </w:t>
      </w:r>
      <w:r>
        <w:t>no</w:t>
      </w:r>
      <w:r>
        <w:rPr>
          <w:spacing w:val="-17"/>
        </w:rPr>
        <w:t xml:space="preserve"> </w:t>
      </w:r>
      <w:r>
        <w:t>chance</w:t>
      </w:r>
      <w:r>
        <w:rPr>
          <w:spacing w:val="-17"/>
        </w:rPr>
        <w:t xml:space="preserve"> </w:t>
      </w:r>
      <w:r>
        <w:t>that Smith</w:t>
      </w:r>
      <w:r>
        <w:rPr>
          <w:spacing w:val="-3"/>
        </w:rPr>
        <w:t xml:space="preserve"> </w:t>
      </w:r>
      <w:r>
        <w:t>didn’t</w:t>
      </w:r>
      <w:r>
        <w:rPr>
          <w:spacing w:val="-3"/>
        </w:rPr>
        <w:t xml:space="preserve"> </w:t>
      </w:r>
      <w:r>
        <w:t>drive</w:t>
      </w:r>
      <w:r>
        <w:rPr>
          <w:spacing w:val="-3"/>
        </w:rPr>
        <w:t xml:space="preserve"> </w:t>
      </w:r>
      <w:r>
        <w:t>a</w:t>
      </w:r>
      <w:r>
        <w:rPr>
          <w:spacing w:val="-3"/>
        </w:rPr>
        <w:t xml:space="preserve"> </w:t>
      </w:r>
      <w:r>
        <w:t>car.</w:t>
      </w:r>
    </w:p>
    <w:p w14:paraId="7E0028F1" w14:textId="77777777" w:rsidR="009A58DB" w:rsidRDefault="00000000">
      <w:pPr>
        <w:pStyle w:val="BodyText"/>
        <w:spacing w:before="7" w:line="249" w:lineRule="auto"/>
        <w:ind w:right="367" w:firstLine="360"/>
      </w:pPr>
      <w:r>
        <w:rPr>
          <w:spacing w:val="-4"/>
        </w:rPr>
        <w:t>A</w:t>
      </w:r>
      <w:r>
        <w:rPr>
          <w:spacing w:val="-15"/>
        </w:rPr>
        <w:t xml:space="preserve"> </w:t>
      </w:r>
      <w:r>
        <w:rPr>
          <w:i/>
          <w:spacing w:val="-4"/>
        </w:rPr>
        <w:t>sound</w:t>
      </w:r>
      <w:r>
        <w:rPr>
          <w:i/>
          <w:spacing w:val="-15"/>
        </w:rPr>
        <w:t xml:space="preserve"> </w:t>
      </w:r>
      <w:r>
        <w:rPr>
          <w:spacing w:val="-4"/>
        </w:rPr>
        <w:t>argument</w:t>
      </w:r>
      <w:r>
        <w:rPr>
          <w:spacing w:val="-15"/>
        </w:rPr>
        <w:t xml:space="preserve"> </w:t>
      </w:r>
      <w:r>
        <w:rPr>
          <w:spacing w:val="-4"/>
        </w:rPr>
        <w:t>is</w:t>
      </w:r>
      <w:r>
        <w:rPr>
          <w:spacing w:val="-14"/>
        </w:rPr>
        <w:t xml:space="preserve"> </w:t>
      </w:r>
      <w:r>
        <w:rPr>
          <w:spacing w:val="-4"/>
        </w:rPr>
        <w:t>a</w:t>
      </w:r>
      <w:r>
        <w:rPr>
          <w:spacing w:val="-15"/>
        </w:rPr>
        <w:t xml:space="preserve"> </w:t>
      </w:r>
      <w:r>
        <w:rPr>
          <w:spacing w:val="-4"/>
        </w:rPr>
        <w:t>valid</w:t>
      </w:r>
      <w:r>
        <w:rPr>
          <w:spacing w:val="-15"/>
        </w:rPr>
        <w:t xml:space="preserve"> </w:t>
      </w:r>
      <w:r>
        <w:rPr>
          <w:spacing w:val="-4"/>
        </w:rPr>
        <w:t>argument</w:t>
      </w:r>
      <w:r>
        <w:rPr>
          <w:spacing w:val="-15"/>
        </w:rPr>
        <w:t xml:space="preserve"> </w:t>
      </w:r>
      <w:r>
        <w:rPr>
          <w:spacing w:val="-4"/>
        </w:rPr>
        <w:t>with</w:t>
      </w:r>
      <w:r>
        <w:rPr>
          <w:spacing w:val="-14"/>
        </w:rPr>
        <w:t xml:space="preserve"> </w:t>
      </w:r>
      <w:r>
        <w:rPr>
          <w:spacing w:val="-4"/>
        </w:rPr>
        <w:t>true</w:t>
      </w:r>
      <w:r>
        <w:rPr>
          <w:spacing w:val="-15"/>
        </w:rPr>
        <w:t xml:space="preserve"> </w:t>
      </w:r>
      <w:r>
        <w:rPr>
          <w:spacing w:val="-4"/>
        </w:rPr>
        <w:t>premises.</w:t>
      </w:r>
      <w:r>
        <w:rPr>
          <w:spacing w:val="-15"/>
        </w:rPr>
        <w:t xml:space="preserve"> </w:t>
      </w:r>
      <w:r>
        <w:rPr>
          <w:spacing w:val="-4"/>
        </w:rPr>
        <w:t>(For</w:t>
      </w:r>
      <w:r>
        <w:rPr>
          <w:spacing w:val="-15"/>
        </w:rPr>
        <w:t xml:space="preserve"> </w:t>
      </w:r>
      <w:r>
        <w:rPr>
          <w:spacing w:val="-4"/>
        </w:rPr>
        <w:t>example:</w:t>
      </w:r>
      <w:r>
        <w:rPr>
          <w:spacing w:val="-14"/>
        </w:rPr>
        <w:t xml:space="preserve"> </w:t>
      </w:r>
      <w:r>
        <w:rPr>
          <w:spacing w:val="-4"/>
        </w:rPr>
        <w:t xml:space="preserve">JMK </w:t>
      </w:r>
      <w:r>
        <w:t>is</w:t>
      </w:r>
      <w:r>
        <w:rPr>
          <w:spacing w:val="-19"/>
        </w:rPr>
        <w:t xml:space="preserve"> </w:t>
      </w:r>
      <w:r>
        <w:t>a</w:t>
      </w:r>
      <w:r>
        <w:rPr>
          <w:spacing w:val="-19"/>
        </w:rPr>
        <w:t xml:space="preserve"> </w:t>
      </w:r>
      <w:r>
        <w:t>human;</w:t>
      </w:r>
      <w:r>
        <w:rPr>
          <w:spacing w:val="-19"/>
        </w:rPr>
        <w:t xml:space="preserve"> </w:t>
      </w:r>
      <w:r>
        <w:t>all</w:t>
      </w:r>
      <w:r>
        <w:rPr>
          <w:spacing w:val="-18"/>
        </w:rPr>
        <w:t xml:space="preserve"> </w:t>
      </w:r>
      <w:r>
        <w:t>humans</w:t>
      </w:r>
      <w:r>
        <w:rPr>
          <w:spacing w:val="-19"/>
        </w:rPr>
        <w:t xml:space="preserve"> </w:t>
      </w:r>
      <w:r>
        <w:t>are</w:t>
      </w:r>
      <w:r>
        <w:rPr>
          <w:spacing w:val="-19"/>
        </w:rPr>
        <w:t xml:space="preserve"> </w:t>
      </w:r>
      <w:r>
        <w:t>mammals;</w:t>
      </w:r>
      <w:r>
        <w:rPr>
          <w:spacing w:val="-19"/>
        </w:rPr>
        <w:t xml:space="preserve"> </w:t>
      </w:r>
      <w:r>
        <w:t>therefore,</w:t>
      </w:r>
      <w:r>
        <w:rPr>
          <w:spacing w:val="-18"/>
        </w:rPr>
        <w:t xml:space="preserve"> </w:t>
      </w:r>
      <w:r>
        <w:t>JMK</w:t>
      </w:r>
      <w:r>
        <w:rPr>
          <w:spacing w:val="-19"/>
        </w:rPr>
        <w:t xml:space="preserve"> </w:t>
      </w:r>
      <w:r>
        <w:t>is</w:t>
      </w:r>
      <w:r>
        <w:rPr>
          <w:spacing w:val="-19"/>
        </w:rPr>
        <w:t xml:space="preserve"> </w:t>
      </w:r>
      <w:r>
        <w:t>a</w:t>
      </w:r>
      <w:r>
        <w:rPr>
          <w:spacing w:val="-19"/>
        </w:rPr>
        <w:t xml:space="preserve"> </w:t>
      </w:r>
      <w:r>
        <w:t>mammal.)</w:t>
      </w:r>
    </w:p>
    <w:p w14:paraId="7E0028F2" w14:textId="77777777" w:rsidR="009A58DB" w:rsidRDefault="00000000">
      <w:pPr>
        <w:pStyle w:val="BodyText"/>
        <w:spacing w:before="2" w:line="249" w:lineRule="auto"/>
        <w:ind w:right="362" w:firstLine="360"/>
      </w:pPr>
      <w:r>
        <w:t>A</w:t>
      </w:r>
      <w:r>
        <w:rPr>
          <w:spacing w:val="-19"/>
        </w:rPr>
        <w:t xml:space="preserve"> </w:t>
      </w:r>
      <w:r>
        <w:t>valid</w:t>
      </w:r>
      <w:r>
        <w:rPr>
          <w:spacing w:val="-19"/>
        </w:rPr>
        <w:t xml:space="preserve"> </w:t>
      </w:r>
      <w:r>
        <w:t>argument</w:t>
      </w:r>
      <w:r>
        <w:rPr>
          <w:spacing w:val="-19"/>
        </w:rPr>
        <w:t xml:space="preserve"> </w:t>
      </w:r>
      <w:r>
        <w:t>cannot</w:t>
      </w:r>
      <w:r>
        <w:rPr>
          <w:spacing w:val="-18"/>
        </w:rPr>
        <w:t xml:space="preserve"> </w:t>
      </w:r>
      <w:r>
        <w:t>possibly</w:t>
      </w:r>
      <w:r>
        <w:rPr>
          <w:spacing w:val="-19"/>
        </w:rPr>
        <w:t xml:space="preserve"> </w:t>
      </w:r>
      <w:r>
        <w:t>have</w:t>
      </w:r>
      <w:r>
        <w:rPr>
          <w:spacing w:val="-19"/>
        </w:rPr>
        <w:t xml:space="preserve"> </w:t>
      </w:r>
      <w:r>
        <w:t>true</w:t>
      </w:r>
      <w:r>
        <w:rPr>
          <w:spacing w:val="-19"/>
        </w:rPr>
        <w:t xml:space="preserve"> </w:t>
      </w:r>
      <w:r>
        <w:t>premises</w:t>
      </w:r>
      <w:r>
        <w:rPr>
          <w:spacing w:val="-18"/>
        </w:rPr>
        <w:t xml:space="preserve"> </w:t>
      </w:r>
      <w:r>
        <w:t>and</w:t>
      </w:r>
      <w:r>
        <w:rPr>
          <w:spacing w:val="-19"/>
        </w:rPr>
        <w:t xml:space="preserve"> </w:t>
      </w:r>
      <w:r>
        <w:t>a</w:t>
      </w:r>
      <w:r>
        <w:rPr>
          <w:spacing w:val="-19"/>
        </w:rPr>
        <w:t xml:space="preserve"> </w:t>
      </w:r>
      <w:r>
        <w:t>false</w:t>
      </w:r>
      <w:r>
        <w:rPr>
          <w:spacing w:val="-19"/>
        </w:rPr>
        <w:t xml:space="preserve"> </w:t>
      </w:r>
      <w:r>
        <w:t xml:space="preserve">conclusion, </w:t>
      </w:r>
      <w:r>
        <w:rPr>
          <w:spacing w:val="-2"/>
        </w:rPr>
        <w:t>but</w:t>
      </w:r>
      <w:r>
        <w:rPr>
          <w:spacing w:val="-13"/>
        </w:rPr>
        <w:t xml:space="preserve"> </w:t>
      </w:r>
      <w:r>
        <w:rPr>
          <w:spacing w:val="-2"/>
        </w:rPr>
        <w:t>it</w:t>
      </w:r>
      <w:r>
        <w:rPr>
          <w:spacing w:val="-13"/>
        </w:rPr>
        <w:t xml:space="preserve"> </w:t>
      </w:r>
      <w:r>
        <w:rPr>
          <w:spacing w:val="-2"/>
        </w:rPr>
        <w:t>can</w:t>
      </w:r>
      <w:r>
        <w:rPr>
          <w:spacing w:val="-13"/>
        </w:rPr>
        <w:t xml:space="preserve"> </w:t>
      </w:r>
      <w:r>
        <w:rPr>
          <w:spacing w:val="-2"/>
        </w:rPr>
        <w:t>have</w:t>
      </w:r>
      <w:r>
        <w:rPr>
          <w:spacing w:val="-13"/>
        </w:rPr>
        <w:t xml:space="preserve"> </w:t>
      </w:r>
      <w:r>
        <w:rPr>
          <w:spacing w:val="-2"/>
        </w:rPr>
        <w:t>false</w:t>
      </w:r>
      <w:r>
        <w:rPr>
          <w:spacing w:val="-13"/>
        </w:rPr>
        <w:t xml:space="preserve"> </w:t>
      </w:r>
      <w:r>
        <w:rPr>
          <w:spacing w:val="-2"/>
        </w:rPr>
        <w:t>premises</w:t>
      </w:r>
      <w:r>
        <w:rPr>
          <w:spacing w:val="-13"/>
        </w:rPr>
        <w:t xml:space="preserve"> </w:t>
      </w:r>
      <w:r>
        <w:rPr>
          <w:spacing w:val="-2"/>
        </w:rPr>
        <w:t>and</w:t>
      </w:r>
      <w:r>
        <w:rPr>
          <w:spacing w:val="-13"/>
        </w:rPr>
        <w:t xml:space="preserve"> </w:t>
      </w:r>
      <w:r>
        <w:rPr>
          <w:spacing w:val="-2"/>
        </w:rPr>
        <w:t>a</w:t>
      </w:r>
      <w:r>
        <w:rPr>
          <w:spacing w:val="-13"/>
        </w:rPr>
        <w:t xml:space="preserve"> </w:t>
      </w:r>
      <w:r>
        <w:rPr>
          <w:spacing w:val="-2"/>
        </w:rPr>
        <w:t>false</w:t>
      </w:r>
      <w:r>
        <w:rPr>
          <w:spacing w:val="-13"/>
        </w:rPr>
        <w:t xml:space="preserve"> </w:t>
      </w:r>
      <w:r>
        <w:rPr>
          <w:spacing w:val="-2"/>
        </w:rPr>
        <w:t>conclusion</w:t>
      </w:r>
      <w:r>
        <w:rPr>
          <w:spacing w:val="-13"/>
        </w:rPr>
        <w:t xml:space="preserve"> </w:t>
      </w:r>
      <w:r>
        <w:rPr>
          <w:spacing w:val="-2"/>
        </w:rPr>
        <w:t>or</w:t>
      </w:r>
      <w:r>
        <w:rPr>
          <w:spacing w:val="-13"/>
        </w:rPr>
        <w:t xml:space="preserve"> </w:t>
      </w:r>
      <w:r>
        <w:rPr>
          <w:spacing w:val="-2"/>
        </w:rPr>
        <w:t>false</w:t>
      </w:r>
      <w:r>
        <w:rPr>
          <w:spacing w:val="-13"/>
        </w:rPr>
        <w:t xml:space="preserve"> </w:t>
      </w:r>
      <w:r>
        <w:rPr>
          <w:spacing w:val="-2"/>
        </w:rPr>
        <w:t>premises</w:t>
      </w:r>
      <w:r>
        <w:rPr>
          <w:spacing w:val="-13"/>
        </w:rPr>
        <w:t xml:space="preserve"> </w:t>
      </w:r>
      <w:r>
        <w:rPr>
          <w:spacing w:val="-2"/>
        </w:rPr>
        <w:t>and</w:t>
      </w:r>
      <w:r>
        <w:rPr>
          <w:spacing w:val="-13"/>
        </w:rPr>
        <w:t xml:space="preserve"> </w:t>
      </w:r>
      <w:r>
        <w:rPr>
          <w:spacing w:val="-2"/>
        </w:rPr>
        <w:t>a</w:t>
      </w:r>
      <w:r>
        <w:rPr>
          <w:spacing w:val="-13"/>
        </w:rPr>
        <w:t xml:space="preserve"> </w:t>
      </w:r>
      <w:r>
        <w:rPr>
          <w:spacing w:val="-2"/>
        </w:rPr>
        <w:t xml:space="preserve">true </w:t>
      </w:r>
      <w:r>
        <w:t>conclusion.</w:t>
      </w:r>
      <w:r>
        <w:rPr>
          <w:spacing w:val="-19"/>
        </w:rPr>
        <w:t xml:space="preserve"> </w:t>
      </w:r>
      <w:r>
        <w:t>We’ll</w:t>
      </w:r>
      <w:r>
        <w:rPr>
          <w:spacing w:val="-19"/>
        </w:rPr>
        <w:t xml:space="preserve"> </w:t>
      </w:r>
      <w:r>
        <w:t>discuss</w:t>
      </w:r>
      <w:r>
        <w:rPr>
          <w:spacing w:val="-19"/>
        </w:rPr>
        <w:t xml:space="preserve"> </w:t>
      </w:r>
      <w:r>
        <w:t>this</w:t>
      </w:r>
      <w:r>
        <w:rPr>
          <w:spacing w:val="-18"/>
        </w:rPr>
        <w:t xml:space="preserve"> </w:t>
      </w:r>
      <w:r>
        <w:t>in</w:t>
      </w:r>
      <w:r>
        <w:rPr>
          <w:spacing w:val="-19"/>
        </w:rPr>
        <w:t xml:space="preserve"> </w:t>
      </w:r>
      <w:r>
        <w:t>class.</w:t>
      </w:r>
    </w:p>
    <w:p w14:paraId="7E0028F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8F4" w14:textId="77777777" w:rsidR="009A58DB" w:rsidRDefault="00000000">
      <w:pPr>
        <w:pStyle w:val="Heading1"/>
        <w:numPr>
          <w:ilvl w:val="1"/>
          <w:numId w:val="38"/>
        </w:numPr>
        <w:tabs>
          <w:tab w:val="left" w:pos="1409"/>
        </w:tabs>
        <w:spacing w:before="58"/>
        <w:ind w:left="1409" w:hanging="1049"/>
      </w:pPr>
      <w:r>
        <w:lastRenderedPageBreak/>
        <w:t>Two</w:t>
      </w:r>
      <w:r>
        <w:rPr>
          <w:spacing w:val="-3"/>
        </w:rPr>
        <w:t xml:space="preserve"> </w:t>
      </w:r>
      <w:r>
        <w:t>kinds</w:t>
      </w:r>
      <w:r>
        <w:rPr>
          <w:spacing w:val="-2"/>
        </w:rPr>
        <w:t xml:space="preserve"> </w:t>
      </w:r>
      <w:r>
        <w:t>of</w:t>
      </w:r>
      <w:r>
        <w:rPr>
          <w:spacing w:val="-3"/>
        </w:rPr>
        <w:t xml:space="preserve"> </w:t>
      </w:r>
      <w:r>
        <w:rPr>
          <w:spacing w:val="-2"/>
        </w:rPr>
        <w:t>induction</w:t>
      </w:r>
    </w:p>
    <w:p w14:paraId="7E0028F5" w14:textId="77777777" w:rsidR="009A58DB" w:rsidRDefault="00000000">
      <w:pPr>
        <w:spacing w:before="139"/>
        <w:ind w:left="360"/>
        <w:jc w:val="both"/>
        <w:rPr>
          <w:sz w:val="30"/>
        </w:rPr>
      </w:pPr>
      <w:r>
        <w:rPr>
          <w:sz w:val="30"/>
        </w:rPr>
        <w:t>There</w:t>
      </w:r>
      <w:r>
        <w:rPr>
          <w:spacing w:val="33"/>
          <w:sz w:val="30"/>
        </w:rPr>
        <w:t xml:space="preserve"> </w:t>
      </w:r>
      <w:r>
        <w:rPr>
          <w:sz w:val="30"/>
        </w:rPr>
        <w:t>are</w:t>
      </w:r>
      <w:r>
        <w:rPr>
          <w:spacing w:val="51"/>
          <w:sz w:val="30"/>
        </w:rPr>
        <w:t xml:space="preserve"> </w:t>
      </w:r>
      <w:r>
        <w:rPr>
          <w:sz w:val="30"/>
        </w:rPr>
        <w:t>two</w:t>
      </w:r>
      <w:r>
        <w:rPr>
          <w:spacing w:val="50"/>
          <w:sz w:val="30"/>
        </w:rPr>
        <w:t xml:space="preserve"> </w:t>
      </w:r>
      <w:r>
        <w:rPr>
          <w:sz w:val="30"/>
        </w:rPr>
        <w:t>kinds</w:t>
      </w:r>
      <w:r>
        <w:rPr>
          <w:spacing w:val="50"/>
          <w:sz w:val="30"/>
        </w:rPr>
        <w:t xml:space="preserve"> </w:t>
      </w:r>
      <w:r>
        <w:rPr>
          <w:sz w:val="30"/>
        </w:rPr>
        <w:t>of</w:t>
      </w:r>
      <w:r>
        <w:rPr>
          <w:spacing w:val="50"/>
          <w:sz w:val="30"/>
        </w:rPr>
        <w:t xml:space="preserve"> </w:t>
      </w:r>
      <w:r>
        <w:rPr>
          <w:sz w:val="30"/>
        </w:rPr>
        <w:t>inductive</w:t>
      </w:r>
      <w:r>
        <w:rPr>
          <w:spacing w:val="50"/>
          <w:sz w:val="30"/>
        </w:rPr>
        <w:t xml:space="preserve"> </w:t>
      </w:r>
      <w:r>
        <w:rPr>
          <w:sz w:val="30"/>
        </w:rPr>
        <w:t>inference:</w:t>
      </w:r>
      <w:r>
        <w:rPr>
          <w:spacing w:val="-19"/>
          <w:sz w:val="30"/>
        </w:rPr>
        <w:t xml:space="preserve"> </w:t>
      </w:r>
      <w:r>
        <w:rPr>
          <w:b/>
          <w:i/>
          <w:sz w:val="30"/>
        </w:rPr>
        <w:t>induction</w:t>
      </w:r>
      <w:r>
        <w:rPr>
          <w:b/>
          <w:i/>
          <w:spacing w:val="70"/>
          <w:sz w:val="30"/>
        </w:rPr>
        <w:t xml:space="preserve"> </w:t>
      </w:r>
      <w:r>
        <w:rPr>
          <w:b/>
          <w:i/>
          <w:sz w:val="30"/>
        </w:rPr>
        <w:t>by</w:t>
      </w:r>
      <w:r>
        <w:rPr>
          <w:b/>
          <w:i/>
          <w:spacing w:val="70"/>
          <w:sz w:val="30"/>
        </w:rPr>
        <w:t xml:space="preserve"> </w:t>
      </w:r>
      <w:r>
        <w:rPr>
          <w:b/>
          <w:i/>
          <w:sz w:val="30"/>
        </w:rPr>
        <w:t>enumeration</w:t>
      </w:r>
      <w:r>
        <w:rPr>
          <w:b/>
          <w:i/>
          <w:spacing w:val="-18"/>
          <w:sz w:val="30"/>
        </w:rPr>
        <w:t xml:space="preserve"> </w:t>
      </w:r>
      <w:r>
        <w:rPr>
          <w:spacing w:val="-5"/>
          <w:sz w:val="30"/>
        </w:rPr>
        <w:t>and</w:t>
      </w:r>
    </w:p>
    <w:p w14:paraId="7E0028F6" w14:textId="77777777" w:rsidR="009A58DB" w:rsidRDefault="00000000">
      <w:pPr>
        <w:pStyle w:val="Heading6"/>
      </w:pPr>
      <w:r>
        <w:rPr>
          <w:spacing w:val="-6"/>
        </w:rPr>
        <w:t>inference</w:t>
      </w:r>
      <w:r>
        <w:rPr>
          <w:spacing w:val="-9"/>
        </w:rPr>
        <w:t xml:space="preserve"> </w:t>
      </w:r>
      <w:r>
        <w:rPr>
          <w:spacing w:val="-6"/>
        </w:rPr>
        <w:t>to</w:t>
      </w:r>
      <w:r>
        <w:rPr>
          <w:spacing w:val="-7"/>
        </w:rPr>
        <w:t xml:space="preserve"> </w:t>
      </w:r>
      <w:r>
        <w:rPr>
          <w:spacing w:val="-6"/>
        </w:rPr>
        <w:t>the</w:t>
      </w:r>
      <w:r>
        <w:rPr>
          <w:spacing w:val="-7"/>
        </w:rPr>
        <w:t xml:space="preserve"> </w:t>
      </w:r>
      <w:r>
        <w:rPr>
          <w:spacing w:val="-6"/>
        </w:rPr>
        <w:t>best explanation.</w:t>
      </w:r>
    </w:p>
    <w:p w14:paraId="7E0028F7" w14:textId="77777777" w:rsidR="009A58DB" w:rsidRDefault="00000000">
      <w:pPr>
        <w:pStyle w:val="BodyText"/>
        <w:spacing w:before="15" w:line="249" w:lineRule="auto"/>
        <w:ind w:right="359" w:firstLine="360"/>
      </w:pPr>
      <w:r>
        <w:rPr>
          <w:spacing w:val="-2"/>
        </w:rPr>
        <w:t>If,</w:t>
      </w:r>
      <w:r>
        <w:rPr>
          <w:spacing w:val="-17"/>
        </w:rPr>
        <w:t xml:space="preserve"> </w:t>
      </w:r>
      <w:r>
        <w:rPr>
          <w:spacing w:val="-2"/>
        </w:rPr>
        <w:t>on</w:t>
      </w:r>
      <w:r>
        <w:rPr>
          <w:spacing w:val="-17"/>
        </w:rPr>
        <w:t xml:space="preserve"> </w:t>
      </w:r>
      <w:r>
        <w:rPr>
          <w:spacing w:val="-2"/>
        </w:rPr>
        <w:t>the</w:t>
      </w:r>
      <w:r>
        <w:rPr>
          <w:spacing w:val="-17"/>
        </w:rPr>
        <w:t xml:space="preserve"> </w:t>
      </w:r>
      <w:r>
        <w:rPr>
          <w:spacing w:val="-2"/>
        </w:rPr>
        <w:t>basis</w:t>
      </w:r>
      <w:r>
        <w:rPr>
          <w:spacing w:val="-16"/>
        </w:rPr>
        <w:t xml:space="preserve"> </w:t>
      </w:r>
      <w:r>
        <w:rPr>
          <w:spacing w:val="-2"/>
        </w:rPr>
        <w:t>of</w:t>
      </w:r>
      <w:r>
        <w:rPr>
          <w:spacing w:val="-17"/>
        </w:rPr>
        <w:t xml:space="preserve"> </w:t>
      </w:r>
      <w:r>
        <w:rPr>
          <w:spacing w:val="-2"/>
        </w:rPr>
        <w:t>the</w:t>
      </w:r>
      <w:r>
        <w:rPr>
          <w:spacing w:val="-17"/>
        </w:rPr>
        <w:t xml:space="preserve"> </w:t>
      </w:r>
      <w:r>
        <w:rPr>
          <w:spacing w:val="-2"/>
        </w:rPr>
        <w:t>fact</w:t>
      </w:r>
      <w:r>
        <w:rPr>
          <w:spacing w:val="-17"/>
        </w:rPr>
        <w:t xml:space="preserve"> </w:t>
      </w:r>
      <w:r>
        <w:rPr>
          <w:spacing w:val="-2"/>
        </w:rPr>
        <w:t>that</w:t>
      </w:r>
      <w:r>
        <w:rPr>
          <w:spacing w:val="-16"/>
        </w:rPr>
        <w:t xml:space="preserve"> </w:t>
      </w:r>
      <w:r>
        <w:rPr>
          <w:spacing w:val="-2"/>
        </w:rPr>
        <w:t>you</w:t>
      </w:r>
      <w:r>
        <w:rPr>
          <w:spacing w:val="-17"/>
        </w:rPr>
        <w:t xml:space="preserve"> </w:t>
      </w:r>
      <w:r>
        <w:rPr>
          <w:spacing w:val="-2"/>
        </w:rPr>
        <w:t>know</w:t>
      </w:r>
      <w:r>
        <w:rPr>
          <w:spacing w:val="-17"/>
        </w:rPr>
        <w:t xml:space="preserve"> </w:t>
      </w:r>
      <w:r>
        <w:rPr>
          <w:spacing w:val="-2"/>
        </w:rPr>
        <w:t>of</w:t>
      </w:r>
      <w:r>
        <w:rPr>
          <w:spacing w:val="-17"/>
        </w:rPr>
        <w:t xml:space="preserve"> </w:t>
      </w:r>
      <w:r>
        <w:rPr>
          <w:spacing w:val="-2"/>
        </w:rPr>
        <w:t>many</w:t>
      </w:r>
      <w:r>
        <w:rPr>
          <w:spacing w:val="-16"/>
        </w:rPr>
        <w:t xml:space="preserve"> </w:t>
      </w:r>
      <w:r>
        <w:rPr>
          <w:spacing w:val="-2"/>
        </w:rPr>
        <w:t>x’s</w:t>
      </w:r>
      <w:r>
        <w:rPr>
          <w:spacing w:val="-17"/>
        </w:rPr>
        <w:t xml:space="preserve"> </w:t>
      </w:r>
      <w:r>
        <w:rPr>
          <w:spacing w:val="-2"/>
        </w:rPr>
        <w:t>that</w:t>
      </w:r>
      <w:r>
        <w:rPr>
          <w:spacing w:val="-17"/>
        </w:rPr>
        <w:t xml:space="preserve"> </w:t>
      </w:r>
      <w:r>
        <w:rPr>
          <w:spacing w:val="-2"/>
        </w:rPr>
        <w:t>are</w:t>
      </w:r>
      <w:r>
        <w:rPr>
          <w:spacing w:val="-17"/>
        </w:rPr>
        <w:t xml:space="preserve"> </w:t>
      </w:r>
      <w:r>
        <w:rPr>
          <w:spacing w:val="-2"/>
        </w:rPr>
        <w:t>y’s</w:t>
      </w:r>
      <w:r>
        <w:rPr>
          <w:spacing w:val="-16"/>
        </w:rPr>
        <w:t xml:space="preserve"> </w:t>
      </w:r>
      <w:r>
        <w:rPr>
          <w:spacing w:val="-2"/>
        </w:rPr>
        <w:t>and</w:t>
      </w:r>
      <w:r>
        <w:rPr>
          <w:spacing w:val="-17"/>
        </w:rPr>
        <w:t xml:space="preserve"> </w:t>
      </w:r>
      <w:r>
        <w:rPr>
          <w:spacing w:val="-2"/>
        </w:rPr>
        <w:t>of</w:t>
      </w:r>
      <w:r>
        <w:rPr>
          <w:spacing w:val="-17"/>
        </w:rPr>
        <w:t xml:space="preserve"> </w:t>
      </w:r>
      <w:r>
        <w:rPr>
          <w:spacing w:val="-2"/>
        </w:rPr>
        <w:t>no</w:t>
      </w:r>
      <w:r>
        <w:rPr>
          <w:spacing w:val="-17"/>
        </w:rPr>
        <w:t xml:space="preserve"> </w:t>
      </w:r>
      <w:r>
        <w:rPr>
          <w:spacing w:val="-2"/>
        </w:rPr>
        <w:t>x’s that</w:t>
      </w:r>
      <w:r>
        <w:rPr>
          <w:spacing w:val="-17"/>
        </w:rPr>
        <w:t xml:space="preserve"> </w:t>
      </w:r>
      <w:r>
        <w:rPr>
          <w:spacing w:val="-2"/>
        </w:rPr>
        <w:t>aren’t</w:t>
      </w:r>
      <w:r>
        <w:rPr>
          <w:spacing w:val="-17"/>
        </w:rPr>
        <w:t xml:space="preserve"> </w:t>
      </w:r>
      <w:r>
        <w:rPr>
          <w:spacing w:val="-2"/>
        </w:rPr>
        <w:t>y’s,</w:t>
      </w:r>
      <w:r>
        <w:rPr>
          <w:spacing w:val="-17"/>
        </w:rPr>
        <w:t xml:space="preserve"> </w:t>
      </w:r>
      <w:r>
        <w:rPr>
          <w:spacing w:val="-2"/>
        </w:rPr>
        <w:t>you</w:t>
      </w:r>
      <w:r>
        <w:rPr>
          <w:spacing w:val="-16"/>
        </w:rPr>
        <w:t xml:space="preserve"> </w:t>
      </w:r>
      <w:r>
        <w:rPr>
          <w:spacing w:val="-2"/>
        </w:rPr>
        <w:t>infer</w:t>
      </w:r>
      <w:r>
        <w:rPr>
          <w:spacing w:val="-17"/>
        </w:rPr>
        <w:t xml:space="preserve"> </w:t>
      </w:r>
      <w:r>
        <w:rPr>
          <w:spacing w:val="-2"/>
        </w:rPr>
        <w:t>that</w:t>
      </w:r>
      <w:r>
        <w:rPr>
          <w:spacing w:val="-17"/>
        </w:rPr>
        <w:t xml:space="preserve"> </w:t>
      </w:r>
      <w:r>
        <w:rPr>
          <w:i/>
          <w:spacing w:val="-2"/>
        </w:rPr>
        <w:t>all</w:t>
      </w:r>
      <w:r>
        <w:rPr>
          <w:i/>
          <w:spacing w:val="-17"/>
        </w:rPr>
        <w:t xml:space="preserve"> </w:t>
      </w:r>
      <w:r>
        <w:rPr>
          <w:spacing w:val="-2"/>
        </w:rPr>
        <w:t>x’s</w:t>
      </w:r>
      <w:r>
        <w:rPr>
          <w:spacing w:val="-16"/>
        </w:rPr>
        <w:t xml:space="preserve"> </w:t>
      </w:r>
      <w:r>
        <w:rPr>
          <w:spacing w:val="-2"/>
        </w:rPr>
        <w:t>are</w:t>
      </w:r>
      <w:r>
        <w:rPr>
          <w:spacing w:val="-17"/>
        </w:rPr>
        <w:t xml:space="preserve"> </w:t>
      </w:r>
      <w:r>
        <w:rPr>
          <w:spacing w:val="-2"/>
        </w:rPr>
        <w:t>y’s</w:t>
      </w:r>
      <w:r>
        <w:rPr>
          <w:spacing w:val="-17"/>
        </w:rPr>
        <w:t xml:space="preserve"> </w:t>
      </w:r>
      <w:r>
        <w:rPr>
          <w:spacing w:val="-2"/>
        </w:rPr>
        <w:t>or</w:t>
      </w:r>
      <w:r>
        <w:rPr>
          <w:spacing w:val="-17"/>
        </w:rPr>
        <w:t xml:space="preserve"> </w:t>
      </w:r>
      <w:r>
        <w:rPr>
          <w:spacing w:val="-2"/>
        </w:rPr>
        <w:t>that</w:t>
      </w:r>
      <w:r>
        <w:rPr>
          <w:spacing w:val="-16"/>
        </w:rPr>
        <w:t xml:space="preserve"> </w:t>
      </w:r>
      <w:r>
        <w:rPr>
          <w:spacing w:val="-2"/>
        </w:rPr>
        <w:t>the</w:t>
      </w:r>
      <w:r>
        <w:rPr>
          <w:spacing w:val="-17"/>
        </w:rPr>
        <w:t xml:space="preserve"> </w:t>
      </w:r>
      <w:r>
        <w:rPr>
          <w:i/>
          <w:spacing w:val="-2"/>
        </w:rPr>
        <w:t>next</w:t>
      </w:r>
      <w:r>
        <w:rPr>
          <w:i/>
          <w:spacing w:val="-17"/>
        </w:rPr>
        <w:t xml:space="preserve"> </w:t>
      </w:r>
      <w:r>
        <w:rPr>
          <w:spacing w:val="-2"/>
        </w:rPr>
        <w:t>x</w:t>
      </w:r>
      <w:r>
        <w:rPr>
          <w:spacing w:val="-17"/>
        </w:rPr>
        <w:t xml:space="preserve"> </w:t>
      </w:r>
      <w:r>
        <w:rPr>
          <w:spacing w:val="-2"/>
        </w:rPr>
        <w:t>you</w:t>
      </w:r>
      <w:r>
        <w:rPr>
          <w:spacing w:val="-16"/>
        </w:rPr>
        <w:t xml:space="preserve"> </w:t>
      </w:r>
      <w:r>
        <w:rPr>
          <w:spacing w:val="-2"/>
        </w:rPr>
        <w:t>encounter</w:t>
      </w:r>
      <w:r>
        <w:rPr>
          <w:spacing w:val="-17"/>
        </w:rPr>
        <w:t xml:space="preserve"> </w:t>
      </w:r>
      <w:r>
        <w:rPr>
          <w:spacing w:val="-2"/>
        </w:rPr>
        <w:t>is</w:t>
      </w:r>
      <w:r>
        <w:rPr>
          <w:spacing w:val="-17"/>
        </w:rPr>
        <w:t xml:space="preserve"> </w:t>
      </w:r>
      <w:r>
        <w:rPr>
          <w:spacing w:val="-2"/>
        </w:rPr>
        <w:t>a</w:t>
      </w:r>
      <w:r>
        <w:rPr>
          <w:spacing w:val="-17"/>
        </w:rPr>
        <w:t xml:space="preserve"> </w:t>
      </w:r>
      <w:r>
        <w:rPr>
          <w:spacing w:val="-2"/>
        </w:rPr>
        <w:t xml:space="preserve">y, </w:t>
      </w:r>
      <w:r>
        <w:t>you’ve</w:t>
      </w:r>
      <w:r>
        <w:rPr>
          <w:spacing w:val="-19"/>
        </w:rPr>
        <w:t xml:space="preserve"> </w:t>
      </w:r>
      <w:r>
        <w:t>performed</w:t>
      </w:r>
      <w:r>
        <w:rPr>
          <w:spacing w:val="-19"/>
        </w:rPr>
        <w:t xml:space="preserve"> </w:t>
      </w:r>
      <w:r>
        <w:t>a</w:t>
      </w:r>
      <w:r>
        <w:rPr>
          <w:spacing w:val="-19"/>
        </w:rPr>
        <w:t xml:space="preserve"> </w:t>
      </w:r>
      <w:r>
        <w:t>case</w:t>
      </w:r>
      <w:r>
        <w:rPr>
          <w:spacing w:val="-18"/>
        </w:rPr>
        <w:t xml:space="preserve"> </w:t>
      </w:r>
      <w:r>
        <w:t>of</w:t>
      </w:r>
      <w:r>
        <w:rPr>
          <w:spacing w:val="-19"/>
        </w:rPr>
        <w:t xml:space="preserve"> </w:t>
      </w:r>
      <w:r>
        <w:t>induction</w:t>
      </w:r>
      <w:r>
        <w:rPr>
          <w:spacing w:val="-19"/>
        </w:rPr>
        <w:t xml:space="preserve"> </w:t>
      </w:r>
      <w:r>
        <w:t>by</w:t>
      </w:r>
      <w:r>
        <w:rPr>
          <w:spacing w:val="-19"/>
        </w:rPr>
        <w:t xml:space="preserve"> </w:t>
      </w:r>
      <w:r>
        <w:t>enumeration.</w:t>
      </w:r>
    </w:p>
    <w:p w14:paraId="7E0028F8" w14:textId="77777777" w:rsidR="009A58DB" w:rsidRDefault="00000000">
      <w:pPr>
        <w:pStyle w:val="BodyText"/>
        <w:spacing w:before="3" w:line="249" w:lineRule="auto"/>
        <w:ind w:right="354" w:firstLine="360"/>
      </w:pPr>
      <w:r>
        <w:t xml:space="preserve">Here is an example. You’ve seen a million swans. They were all white. </w:t>
      </w:r>
      <w:r>
        <w:rPr>
          <w:spacing w:val="-4"/>
        </w:rPr>
        <w:t>(Moreover,</w:t>
      </w:r>
      <w:r>
        <w:rPr>
          <w:spacing w:val="-15"/>
        </w:rPr>
        <w:t xml:space="preserve"> </w:t>
      </w:r>
      <w:r>
        <w:rPr>
          <w:spacing w:val="-4"/>
        </w:rPr>
        <w:t>you</w:t>
      </w:r>
      <w:r>
        <w:rPr>
          <w:spacing w:val="-15"/>
        </w:rPr>
        <w:t xml:space="preserve"> </w:t>
      </w:r>
      <w:r>
        <w:rPr>
          <w:i/>
          <w:spacing w:val="-4"/>
        </w:rPr>
        <w:t>knew</w:t>
      </w:r>
      <w:r>
        <w:rPr>
          <w:i/>
          <w:spacing w:val="-15"/>
        </w:rPr>
        <w:t xml:space="preserve"> </w:t>
      </w:r>
      <w:r>
        <w:rPr>
          <w:spacing w:val="-4"/>
        </w:rPr>
        <w:t>in</w:t>
      </w:r>
      <w:r>
        <w:rPr>
          <w:spacing w:val="-14"/>
        </w:rPr>
        <w:t xml:space="preserve"> </w:t>
      </w:r>
      <w:r>
        <w:rPr>
          <w:spacing w:val="-4"/>
        </w:rPr>
        <w:t>each</w:t>
      </w:r>
      <w:r>
        <w:rPr>
          <w:spacing w:val="-15"/>
        </w:rPr>
        <w:t xml:space="preserve"> </w:t>
      </w:r>
      <w:r>
        <w:rPr>
          <w:spacing w:val="-4"/>
        </w:rPr>
        <w:t>case</w:t>
      </w:r>
      <w:r>
        <w:rPr>
          <w:spacing w:val="-15"/>
        </w:rPr>
        <w:t xml:space="preserve"> </w:t>
      </w:r>
      <w:r>
        <w:rPr>
          <w:spacing w:val="-4"/>
        </w:rPr>
        <w:t>that</w:t>
      </w:r>
      <w:r>
        <w:rPr>
          <w:spacing w:val="-15"/>
        </w:rPr>
        <w:t xml:space="preserve"> </w:t>
      </w:r>
      <w:r>
        <w:rPr>
          <w:spacing w:val="-4"/>
        </w:rPr>
        <w:t>what</w:t>
      </w:r>
      <w:r>
        <w:rPr>
          <w:spacing w:val="-14"/>
        </w:rPr>
        <w:t xml:space="preserve"> </w:t>
      </w:r>
      <w:r>
        <w:rPr>
          <w:spacing w:val="-4"/>
        </w:rPr>
        <w:t>you</w:t>
      </w:r>
      <w:r>
        <w:rPr>
          <w:spacing w:val="-15"/>
        </w:rPr>
        <w:t xml:space="preserve"> </w:t>
      </w:r>
      <w:r>
        <w:rPr>
          <w:spacing w:val="-4"/>
        </w:rPr>
        <w:t>were</w:t>
      </w:r>
      <w:r>
        <w:rPr>
          <w:spacing w:val="-15"/>
        </w:rPr>
        <w:t xml:space="preserve"> </w:t>
      </w:r>
      <w:r>
        <w:rPr>
          <w:spacing w:val="-4"/>
        </w:rPr>
        <w:t>seeing</w:t>
      </w:r>
      <w:r>
        <w:rPr>
          <w:spacing w:val="-15"/>
        </w:rPr>
        <w:t xml:space="preserve"> </w:t>
      </w:r>
      <w:r>
        <w:rPr>
          <w:spacing w:val="-4"/>
        </w:rPr>
        <w:t>was</w:t>
      </w:r>
      <w:r>
        <w:rPr>
          <w:spacing w:val="-14"/>
        </w:rPr>
        <w:t xml:space="preserve"> </w:t>
      </w:r>
      <w:r>
        <w:rPr>
          <w:spacing w:val="-4"/>
        </w:rPr>
        <w:t>a</w:t>
      </w:r>
      <w:r>
        <w:rPr>
          <w:spacing w:val="-15"/>
        </w:rPr>
        <w:t xml:space="preserve"> </w:t>
      </w:r>
      <w:r>
        <w:rPr>
          <w:spacing w:val="-4"/>
        </w:rPr>
        <w:t>white</w:t>
      </w:r>
      <w:r>
        <w:rPr>
          <w:spacing w:val="-15"/>
        </w:rPr>
        <w:t xml:space="preserve"> </w:t>
      </w:r>
      <w:r>
        <w:rPr>
          <w:spacing w:val="-4"/>
        </w:rPr>
        <w:t>swan—</w:t>
      </w:r>
      <w:r>
        <w:t xml:space="preserve">you didn’t think it was, for example, a beige duck.) You’ve never seen, or </w:t>
      </w:r>
      <w:r>
        <w:rPr>
          <w:spacing w:val="-2"/>
        </w:rPr>
        <w:t>otherwise</w:t>
      </w:r>
      <w:r>
        <w:rPr>
          <w:spacing w:val="-17"/>
        </w:rPr>
        <w:t xml:space="preserve"> </w:t>
      </w:r>
      <w:r>
        <w:rPr>
          <w:spacing w:val="-2"/>
        </w:rPr>
        <w:t>come</w:t>
      </w:r>
      <w:r>
        <w:rPr>
          <w:spacing w:val="-17"/>
        </w:rPr>
        <w:t xml:space="preserve"> </w:t>
      </w:r>
      <w:r>
        <w:rPr>
          <w:spacing w:val="-2"/>
        </w:rPr>
        <w:t>to</w:t>
      </w:r>
      <w:r>
        <w:rPr>
          <w:spacing w:val="-17"/>
        </w:rPr>
        <w:t xml:space="preserve"> </w:t>
      </w:r>
      <w:r>
        <w:rPr>
          <w:spacing w:val="-2"/>
        </w:rPr>
        <w:t>know</w:t>
      </w:r>
      <w:r>
        <w:rPr>
          <w:spacing w:val="-16"/>
        </w:rPr>
        <w:t xml:space="preserve"> </w:t>
      </w:r>
      <w:r>
        <w:rPr>
          <w:spacing w:val="-2"/>
        </w:rPr>
        <w:t>of,</w:t>
      </w:r>
      <w:r>
        <w:rPr>
          <w:spacing w:val="-17"/>
        </w:rPr>
        <w:t xml:space="preserve"> </w:t>
      </w:r>
      <w:r>
        <w:rPr>
          <w:spacing w:val="-2"/>
        </w:rPr>
        <w:t>any</w:t>
      </w:r>
      <w:r>
        <w:rPr>
          <w:spacing w:val="-17"/>
        </w:rPr>
        <w:t xml:space="preserve"> </w:t>
      </w:r>
      <w:r>
        <w:rPr>
          <w:spacing w:val="-2"/>
        </w:rPr>
        <w:t>non-white</w:t>
      </w:r>
      <w:r>
        <w:rPr>
          <w:spacing w:val="-17"/>
        </w:rPr>
        <w:t xml:space="preserve"> </w:t>
      </w:r>
      <w:r>
        <w:rPr>
          <w:spacing w:val="-2"/>
        </w:rPr>
        <w:t>swan.</w:t>
      </w:r>
      <w:r>
        <w:rPr>
          <w:spacing w:val="-16"/>
        </w:rPr>
        <w:t xml:space="preserve"> </w:t>
      </w:r>
      <w:r>
        <w:rPr>
          <w:spacing w:val="-2"/>
        </w:rPr>
        <w:t>On</w:t>
      </w:r>
      <w:r>
        <w:rPr>
          <w:spacing w:val="-17"/>
        </w:rPr>
        <w:t xml:space="preserve"> </w:t>
      </w:r>
      <w:r>
        <w:rPr>
          <w:spacing w:val="-2"/>
        </w:rPr>
        <w:t>this</w:t>
      </w:r>
      <w:r>
        <w:rPr>
          <w:spacing w:val="-17"/>
        </w:rPr>
        <w:t xml:space="preserve"> </w:t>
      </w:r>
      <w:r>
        <w:rPr>
          <w:spacing w:val="-2"/>
        </w:rPr>
        <w:t>basis,</w:t>
      </w:r>
      <w:r>
        <w:rPr>
          <w:spacing w:val="-16"/>
        </w:rPr>
        <w:t xml:space="preserve"> </w:t>
      </w:r>
      <w:r>
        <w:rPr>
          <w:spacing w:val="-2"/>
        </w:rPr>
        <w:t>you</w:t>
      </w:r>
      <w:r>
        <w:rPr>
          <w:spacing w:val="-16"/>
        </w:rPr>
        <w:t xml:space="preserve"> </w:t>
      </w:r>
      <w:r>
        <w:rPr>
          <w:spacing w:val="-2"/>
        </w:rPr>
        <w:t>infer</w:t>
      </w:r>
      <w:r>
        <w:rPr>
          <w:spacing w:val="-16"/>
        </w:rPr>
        <w:t xml:space="preserve"> </w:t>
      </w:r>
      <w:r>
        <w:rPr>
          <w:spacing w:val="-2"/>
        </w:rPr>
        <w:t>that</w:t>
      </w:r>
      <w:r>
        <w:rPr>
          <w:spacing w:val="-17"/>
        </w:rPr>
        <w:t xml:space="preserve"> </w:t>
      </w:r>
      <w:r>
        <w:rPr>
          <w:i/>
          <w:spacing w:val="-2"/>
        </w:rPr>
        <w:t xml:space="preserve">all </w:t>
      </w:r>
      <w:r>
        <w:rPr>
          <w:spacing w:val="-6"/>
        </w:rPr>
        <w:t>swans</w:t>
      </w:r>
      <w:r>
        <w:rPr>
          <w:spacing w:val="-8"/>
        </w:rPr>
        <w:t xml:space="preserve"> </w:t>
      </w:r>
      <w:r>
        <w:rPr>
          <w:spacing w:val="-6"/>
        </w:rPr>
        <w:t>are</w:t>
      </w:r>
      <w:r>
        <w:rPr>
          <w:spacing w:val="-8"/>
        </w:rPr>
        <w:t xml:space="preserve"> </w:t>
      </w:r>
      <w:r>
        <w:rPr>
          <w:spacing w:val="-6"/>
        </w:rPr>
        <w:t>white</w:t>
      </w:r>
      <w:r>
        <w:rPr>
          <w:spacing w:val="-8"/>
        </w:rPr>
        <w:t xml:space="preserve"> </w:t>
      </w:r>
      <w:r>
        <w:rPr>
          <w:spacing w:val="-6"/>
        </w:rPr>
        <w:t>and,</w:t>
      </w:r>
      <w:r>
        <w:rPr>
          <w:spacing w:val="-8"/>
        </w:rPr>
        <w:t xml:space="preserve"> </w:t>
      </w:r>
      <w:r>
        <w:rPr>
          <w:spacing w:val="-6"/>
        </w:rPr>
        <w:t>therefore,</w:t>
      </w:r>
      <w:r>
        <w:rPr>
          <w:spacing w:val="-8"/>
        </w:rPr>
        <w:t xml:space="preserve"> </w:t>
      </w:r>
      <w:r>
        <w:rPr>
          <w:spacing w:val="-6"/>
        </w:rPr>
        <w:t>that,</w:t>
      </w:r>
      <w:r>
        <w:rPr>
          <w:spacing w:val="-8"/>
        </w:rPr>
        <w:t xml:space="preserve"> </w:t>
      </w:r>
      <w:r>
        <w:rPr>
          <w:spacing w:val="-6"/>
        </w:rPr>
        <w:t>if</w:t>
      </w:r>
      <w:r>
        <w:rPr>
          <w:spacing w:val="-8"/>
        </w:rPr>
        <w:t xml:space="preserve"> </w:t>
      </w:r>
      <w:r>
        <w:rPr>
          <w:spacing w:val="-6"/>
        </w:rPr>
        <w:t>you</w:t>
      </w:r>
      <w:r>
        <w:rPr>
          <w:spacing w:val="-8"/>
        </w:rPr>
        <w:t xml:space="preserve"> </w:t>
      </w:r>
      <w:r>
        <w:rPr>
          <w:spacing w:val="-6"/>
        </w:rPr>
        <w:t>ever</w:t>
      </w:r>
      <w:r>
        <w:rPr>
          <w:spacing w:val="-8"/>
        </w:rPr>
        <w:t xml:space="preserve"> </w:t>
      </w:r>
      <w:r>
        <w:rPr>
          <w:spacing w:val="-6"/>
        </w:rPr>
        <w:t>encounter</w:t>
      </w:r>
      <w:r>
        <w:rPr>
          <w:spacing w:val="-8"/>
        </w:rPr>
        <w:t xml:space="preserve"> </w:t>
      </w:r>
      <w:r>
        <w:rPr>
          <w:spacing w:val="-6"/>
        </w:rPr>
        <w:t>another</w:t>
      </w:r>
      <w:r>
        <w:rPr>
          <w:spacing w:val="-8"/>
        </w:rPr>
        <w:t xml:space="preserve"> </w:t>
      </w:r>
      <w:r>
        <w:rPr>
          <w:spacing w:val="-6"/>
        </w:rPr>
        <w:t>swan,</w:t>
      </w:r>
      <w:r>
        <w:rPr>
          <w:spacing w:val="-8"/>
        </w:rPr>
        <w:t xml:space="preserve"> </w:t>
      </w:r>
      <w:r>
        <w:rPr>
          <w:spacing w:val="-6"/>
        </w:rPr>
        <w:t>it</w:t>
      </w:r>
      <w:r>
        <w:rPr>
          <w:spacing w:val="-8"/>
        </w:rPr>
        <w:t xml:space="preserve"> </w:t>
      </w:r>
      <w:r>
        <w:rPr>
          <w:spacing w:val="-6"/>
        </w:rPr>
        <w:t>will</w:t>
      </w:r>
      <w:r>
        <w:rPr>
          <w:spacing w:val="-8"/>
        </w:rPr>
        <w:t xml:space="preserve"> </w:t>
      </w:r>
      <w:r>
        <w:rPr>
          <w:spacing w:val="-6"/>
        </w:rPr>
        <w:t xml:space="preserve">be </w:t>
      </w:r>
      <w:r>
        <w:rPr>
          <w:spacing w:val="-2"/>
        </w:rPr>
        <w:t>white.</w:t>
      </w:r>
    </w:p>
    <w:p w14:paraId="7E0028F9" w14:textId="77777777" w:rsidR="009A58DB" w:rsidRDefault="00000000">
      <w:pPr>
        <w:pStyle w:val="BodyText"/>
        <w:spacing w:before="8" w:line="249" w:lineRule="auto"/>
        <w:ind w:right="358" w:firstLine="360"/>
        <w:rPr>
          <w:i/>
        </w:rPr>
      </w:pPr>
      <w:r>
        <w:rPr>
          <w:spacing w:val="-2"/>
        </w:rPr>
        <w:t>If,</w:t>
      </w:r>
      <w:r>
        <w:rPr>
          <w:spacing w:val="-17"/>
        </w:rPr>
        <w:t xml:space="preserve"> </w:t>
      </w:r>
      <w:r>
        <w:rPr>
          <w:spacing w:val="-2"/>
        </w:rPr>
        <w:t>in</w:t>
      </w:r>
      <w:r>
        <w:rPr>
          <w:spacing w:val="-17"/>
        </w:rPr>
        <w:t xml:space="preserve"> </w:t>
      </w:r>
      <w:r>
        <w:rPr>
          <w:spacing w:val="-2"/>
        </w:rPr>
        <w:t>order</w:t>
      </w:r>
      <w:r>
        <w:rPr>
          <w:spacing w:val="-17"/>
        </w:rPr>
        <w:t xml:space="preserve"> </w:t>
      </w:r>
      <w:r>
        <w:rPr>
          <w:spacing w:val="-2"/>
        </w:rPr>
        <w:t>to</w:t>
      </w:r>
      <w:r>
        <w:rPr>
          <w:spacing w:val="-16"/>
        </w:rPr>
        <w:t xml:space="preserve"> </w:t>
      </w:r>
      <w:r>
        <w:rPr>
          <w:spacing w:val="-2"/>
        </w:rPr>
        <w:t>account</w:t>
      </w:r>
      <w:r>
        <w:rPr>
          <w:spacing w:val="-17"/>
        </w:rPr>
        <w:t xml:space="preserve"> </w:t>
      </w:r>
      <w:r>
        <w:rPr>
          <w:spacing w:val="-2"/>
        </w:rPr>
        <w:t>for</w:t>
      </w:r>
      <w:r>
        <w:rPr>
          <w:spacing w:val="-17"/>
        </w:rPr>
        <w:t xml:space="preserve"> </w:t>
      </w:r>
      <w:r>
        <w:rPr>
          <w:spacing w:val="-2"/>
        </w:rPr>
        <w:t>something</w:t>
      </w:r>
      <w:r>
        <w:rPr>
          <w:spacing w:val="-17"/>
        </w:rPr>
        <w:t xml:space="preserve"> </w:t>
      </w:r>
      <w:r>
        <w:rPr>
          <w:spacing w:val="-2"/>
        </w:rPr>
        <w:t>of</w:t>
      </w:r>
      <w:r>
        <w:rPr>
          <w:spacing w:val="-16"/>
        </w:rPr>
        <w:t xml:space="preserve"> </w:t>
      </w:r>
      <w:r>
        <w:rPr>
          <w:spacing w:val="-2"/>
        </w:rPr>
        <w:t>which</w:t>
      </w:r>
      <w:r>
        <w:rPr>
          <w:spacing w:val="-17"/>
        </w:rPr>
        <w:t xml:space="preserve"> </w:t>
      </w:r>
      <w:r>
        <w:rPr>
          <w:spacing w:val="-2"/>
        </w:rPr>
        <w:t>you</w:t>
      </w:r>
      <w:r>
        <w:rPr>
          <w:spacing w:val="-17"/>
        </w:rPr>
        <w:t xml:space="preserve"> </w:t>
      </w:r>
      <w:r>
        <w:rPr>
          <w:spacing w:val="-2"/>
        </w:rPr>
        <w:t>have</w:t>
      </w:r>
      <w:r>
        <w:rPr>
          <w:spacing w:val="-17"/>
        </w:rPr>
        <w:t xml:space="preserve"> </w:t>
      </w:r>
      <w:r>
        <w:rPr>
          <w:spacing w:val="-2"/>
        </w:rPr>
        <w:t>knowledge,</w:t>
      </w:r>
      <w:r>
        <w:rPr>
          <w:spacing w:val="-16"/>
        </w:rPr>
        <w:t xml:space="preserve"> </w:t>
      </w:r>
      <w:r>
        <w:rPr>
          <w:spacing w:val="-2"/>
        </w:rPr>
        <w:t>you</w:t>
      </w:r>
      <w:r>
        <w:rPr>
          <w:spacing w:val="-17"/>
        </w:rPr>
        <w:t xml:space="preserve"> </w:t>
      </w:r>
      <w:r>
        <w:rPr>
          <w:spacing w:val="-2"/>
        </w:rPr>
        <w:t>posit the</w:t>
      </w:r>
      <w:r>
        <w:rPr>
          <w:spacing w:val="-12"/>
        </w:rPr>
        <w:t xml:space="preserve"> </w:t>
      </w:r>
      <w:r>
        <w:rPr>
          <w:spacing w:val="-2"/>
        </w:rPr>
        <w:t>existence</w:t>
      </w:r>
      <w:r>
        <w:rPr>
          <w:spacing w:val="-12"/>
        </w:rPr>
        <w:t xml:space="preserve"> </w:t>
      </w:r>
      <w:r>
        <w:rPr>
          <w:spacing w:val="-2"/>
        </w:rPr>
        <w:t>of</w:t>
      </w:r>
      <w:r>
        <w:rPr>
          <w:spacing w:val="-12"/>
        </w:rPr>
        <w:t xml:space="preserve"> </w:t>
      </w:r>
      <w:r>
        <w:rPr>
          <w:spacing w:val="-2"/>
        </w:rPr>
        <w:t>something</w:t>
      </w:r>
      <w:r>
        <w:rPr>
          <w:spacing w:val="-12"/>
        </w:rPr>
        <w:t xml:space="preserve"> </w:t>
      </w:r>
      <w:r>
        <w:rPr>
          <w:spacing w:val="-2"/>
        </w:rPr>
        <w:t>of</w:t>
      </w:r>
      <w:r>
        <w:rPr>
          <w:spacing w:val="-12"/>
        </w:rPr>
        <w:t xml:space="preserve"> </w:t>
      </w:r>
      <w:r>
        <w:rPr>
          <w:spacing w:val="-2"/>
        </w:rPr>
        <w:t>which</w:t>
      </w:r>
      <w:r>
        <w:rPr>
          <w:spacing w:val="-12"/>
        </w:rPr>
        <w:t xml:space="preserve"> </w:t>
      </w:r>
      <w:r>
        <w:rPr>
          <w:spacing w:val="-2"/>
        </w:rPr>
        <w:t>you</w:t>
      </w:r>
      <w:r>
        <w:rPr>
          <w:spacing w:val="-12"/>
        </w:rPr>
        <w:t xml:space="preserve"> </w:t>
      </w:r>
      <w:r>
        <w:rPr>
          <w:spacing w:val="-2"/>
        </w:rPr>
        <w:t>don’t</w:t>
      </w:r>
      <w:r>
        <w:rPr>
          <w:spacing w:val="-12"/>
        </w:rPr>
        <w:t xml:space="preserve"> </w:t>
      </w:r>
      <w:r>
        <w:rPr>
          <w:spacing w:val="-2"/>
        </w:rPr>
        <w:t>have</w:t>
      </w:r>
      <w:r>
        <w:rPr>
          <w:spacing w:val="-12"/>
        </w:rPr>
        <w:t xml:space="preserve"> </w:t>
      </w:r>
      <w:r>
        <w:rPr>
          <w:spacing w:val="-2"/>
        </w:rPr>
        <w:t>knowledge;</w:t>
      </w:r>
      <w:r>
        <w:rPr>
          <w:spacing w:val="-12"/>
        </w:rPr>
        <w:t xml:space="preserve"> </w:t>
      </w:r>
      <w:r>
        <w:rPr>
          <w:spacing w:val="-2"/>
        </w:rPr>
        <w:t>you</w:t>
      </w:r>
      <w:r>
        <w:rPr>
          <w:spacing w:val="-12"/>
        </w:rPr>
        <w:t xml:space="preserve"> </w:t>
      </w:r>
      <w:r>
        <w:rPr>
          <w:spacing w:val="-2"/>
        </w:rPr>
        <w:t>have</w:t>
      </w:r>
      <w:r>
        <w:rPr>
          <w:spacing w:val="-12"/>
        </w:rPr>
        <w:t xml:space="preserve"> </w:t>
      </w:r>
      <w:r>
        <w:rPr>
          <w:spacing w:val="-2"/>
        </w:rPr>
        <w:t xml:space="preserve">made </w:t>
      </w:r>
      <w:r>
        <w:t>an</w:t>
      </w:r>
      <w:r>
        <w:rPr>
          <w:spacing w:val="-14"/>
        </w:rPr>
        <w:t xml:space="preserve"> </w:t>
      </w:r>
      <w:r>
        <w:rPr>
          <w:i/>
        </w:rPr>
        <w:t>inference</w:t>
      </w:r>
      <w:r>
        <w:rPr>
          <w:i/>
          <w:spacing w:val="-14"/>
        </w:rPr>
        <w:t xml:space="preserve"> </w:t>
      </w:r>
      <w:r>
        <w:rPr>
          <w:i/>
        </w:rPr>
        <w:t>to</w:t>
      </w:r>
      <w:r>
        <w:rPr>
          <w:i/>
          <w:spacing w:val="-14"/>
        </w:rPr>
        <w:t xml:space="preserve"> </w:t>
      </w:r>
      <w:r>
        <w:rPr>
          <w:i/>
        </w:rPr>
        <w:t>the</w:t>
      </w:r>
      <w:r>
        <w:rPr>
          <w:i/>
          <w:spacing w:val="-14"/>
        </w:rPr>
        <w:t xml:space="preserve"> </w:t>
      </w:r>
      <w:r>
        <w:rPr>
          <w:i/>
        </w:rPr>
        <w:t>best</w:t>
      </w:r>
      <w:r>
        <w:rPr>
          <w:i/>
          <w:spacing w:val="-14"/>
        </w:rPr>
        <w:t xml:space="preserve"> </w:t>
      </w:r>
      <w:r>
        <w:rPr>
          <w:i/>
        </w:rPr>
        <w:t>explanation.</w:t>
      </w:r>
    </w:p>
    <w:p w14:paraId="7E0028FA" w14:textId="77777777" w:rsidR="009A58DB" w:rsidRDefault="00000000">
      <w:pPr>
        <w:pStyle w:val="BodyText"/>
        <w:spacing w:before="3" w:line="249" w:lineRule="auto"/>
        <w:ind w:right="362" w:firstLine="360"/>
      </w:pPr>
      <w:r>
        <w:rPr>
          <w:spacing w:val="-2"/>
        </w:rPr>
        <w:t>All</w:t>
      </w:r>
      <w:r>
        <w:rPr>
          <w:spacing w:val="-17"/>
        </w:rPr>
        <w:t xml:space="preserve"> </w:t>
      </w:r>
      <w:r>
        <w:rPr>
          <w:spacing w:val="-2"/>
        </w:rPr>
        <w:t>theories</w:t>
      </w:r>
      <w:r>
        <w:rPr>
          <w:spacing w:val="-17"/>
        </w:rPr>
        <w:t xml:space="preserve"> </w:t>
      </w:r>
      <w:r>
        <w:rPr>
          <w:spacing w:val="-2"/>
        </w:rPr>
        <w:t>are</w:t>
      </w:r>
      <w:r>
        <w:rPr>
          <w:spacing w:val="-17"/>
        </w:rPr>
        <w:t xml:space="preserve"> </w:t>
      </w:r>
      <w:r>
        <w:rPr>
          <w:spacing w:val="-2"/>
        </w:rPr>
        <w:t>cases</w:t>
      </w:r>
      <w:r>
        <w:rPr>
          <w:spacing w:val="-16"/>
        </w:rPr>
        <w:t xml:space="preserve"> </w:t>
      </w:r>
      <w:r>
        <w:rPr>
          <w:spacing w:val="-2"/>
        </w:rPr>
        <w:t>of</w:t>
      </w:r>
      <w:r>
        <w:rPr>
          <w:spacing w:val="-17"/>
        </w:rPr>
        <w:t xml:space="preserve"> </w:t>
      </w:r>
      <w:r>
        <w:rPr>
          <w:spacing w:val="-2"/>
        </w:rPr>
        <w:t>inference</w:t>
      </w:r>
      <w:r>
        <w:rPr>
          <w:spacing w:val="-17"/>
        </w:rPr>
        <w:t xml:space="preserve"> </w:t>
      </w:r>
      <w:r>
        <w:rPr>
          <w:spacing w:val="-2"/>
        </w:rPr>
        <w:t>to</w:t>
      </w:r>
      <w:r>
        <w:rPr>
          <w:spacing w:val="-17"/>
        </w:rPr>
        <w:t xml:space="preserve"> </w:t>
      </w:r>
      <w:r>
        <w:rPr>
          <w:spacing w:val="-2"/>
        </w:rPr>
        <w:t>the</w:t>
      </w:r>
      <w:r>
        <w:rPr>
          <w:spacing w:val="-16"/>
        </w:rPr>
        <w:t xml:space="preserve"> </w:t>
      </w:r>
      <w:r>
        <w:rPr>
          <w:spacing w:val="-2"/>
        </w:rPr>
        <w:t>best</w:t>
      </w:r>
      <w:r>
        <w:rPr>
          <w:spacing w:val="-17"/>
        </w:rPr>
        <w:t xml:space="preserve"> </w:t>
      </w:r>
      <w:r>
        <w:rPr>
          <w:spacing w:val="-2"/>
        </w:rPr>
        <w:t>explanation.</w:t>
      </w:r>
      <w:r>
        <w:rPr>
          <w:spacing w:val="-17"/>
        </w:rPr>
        <w:t xml:space="preserve"> </w:t>
      </w:r>
      <w:r>
        <w:rPr>
          <w:spacing w:val="-2"/>
        </w:rPr>
        <w:t>All</w:t>
      </w:r>
      <w:r>
        <w:rPr>
          <w:spacing w:val="-17"/>
        </w:rPr>
        <w:t xml:space="preserve"> </w:t>
      </w:r>
      <w:r>
        <w:rPr>
          <w:spacing w:val="-2"/>
        </w:rPr>
        <w:t>the</w:t>
      </w:r>
      <w:r>
        <w:rPr>
          <w:spacing w:val="-16"/>
        </w:rPr>
        <w:t xml:space="preserve"> </w:t>
      </w:r>
      <w:r>
        <w:rPr>
          <w:spacing w:val="-2"/>
        </w:rPr>
        <w:t>theories</w:t>
      </w:r>
      <w:r>
        <w:rPr>
          <w:spacing w:val="-17"/>
        </w:rPr>
        <w:t xml:space="preserve"> </w:t>
      </w:r>
      <w:r>
        <w:rPr>
          <w:spacing w:val="-2"/>
        </w:rPr>
        <w:t xml:space="preserve">put </w:t>
      </w:r>
      <w:r>
        <w:t>forth by Einstein, Darwin, Freud are instances of this mode of inference. Inference</w:t>
      </w:r>
      <w:r>
        <w:rPr>
          <w:spacing w:val="-10"/>
        </w:rPr>
        <w:t xml:space="preserve"> </w:t>
      </w:r>
      <w:r>
        <w:t>to</w:t>
      </w:r>
      <w:r>
        <w:rPr>
          <w:spacing w:val="-10"/>
        </w:rPr>
        <w:t xml:space="preserve"> </w:t>
      </w:r>
      <w:r>
        <w:t>the</w:t>
      </w:r>
      <w:r>
        <w:rPr>
          <w:spacing w:val="-10"/>
        </w:rPr>
        <w:t xml:space="preserve"> </w:t>
      </w:r>
      <w:r>
        <w:t>best</w:t>
      </w:r>
      <w:r>
        <w:rPr>
          <w:spacing w:val="-10"/>
        </w:rPr>
        <w:t xml:space="preserve"> </w:t>
      </w:r>
      <w:r>
        <w:t>explanation</w:t>
      </w:r>
      <w:r>
        <w:rPr>
          <w:spacing w:val="-10"/>
        </w:rPr>
        <w:t xml:space="preserve"> </w:t>
      </w:r>
      <w:r>
        <w:t>is</w:t>
      </w:r>
      <w:r>
        <w:rPr>
          <w:spacing w:val="-10"/>
        </w:rPr>
        <w:t xml:space="preserve"> </w:t>
      </w:r>
      <w:r>
        <w:t>a</w:t>
      </w:r>
      <w:r>
        <w:rPr>
          <w:spacing w:val="-10"/>
        </w:rPr>
        <w:t xml:space="preserve"> </w:t>
      </w:r>
      <w:r>
        <w:t>very</w:t>
      </w:r>
      <w:r>
        <w:rPr>
          <w:spacing w:val="-10"/>
        </w:rPr>
        <w:t xml:space="preserve"> </w:t>
      </w:r>
      <w:r>
        <w:t>powerful</w:t>
      </w:r>
      <w:r>
        <w:rPr>
          <w:spacing w:val="-10"/>
        </w:rPr>
        <w:t xml:space="preserve"> </w:t>
      </w:r>
      <w:r>
        <w:t>form</w:t>
      </w:r>
      <w:r>
        <w:rPr>
          <w:spacing w:val="-10"/>
        </w:rPr>
        <w:t xml:space="preserve"> </w:t>
      </w:r>
      <w:r>
        <w:t>of</w:t>
      </w:r>
      <w:r>
        <w:rPr>
          <w:spacing w:val="-10"/>
        </w:rPr>
        <w:t xml:space="preserve"> </w:t>
      </w:r>
      <w:r>
        <w:t>inference.</w:t>
      </w:r>
      <w:r>
        <w:rPr>
          <w:spacing w:val="-10"/>
        </w:rPr>
        <w:t xml:space="preserve"> </w:t>
      </w:r>
      <w:r>
        <w:t>(In</w:t>
      </w:r>
      <w:r>
        <w:rPr>
          <w:spacing w:val="-10"/>
        </w:rPr>
        <w:t xml:space="preserve"> </w:t>
      </w:r>
      <w:r>
        <w:t>fact, we’ll</w:t>
      </w:r>
      <w:r>
        <w:rPr>
          <w:spacing w:val="-19"/>
        </w:rPr>
        <w:t xml:space="preserve"> </w:t>
      </w:r>
      <w:r>
        <w:t>see</w:t>
      </w:r>
      <w:r>
        <w:rPr>
          <w:spacing w:val="-19"/>
        </w:rPr>
        <w:t xml:space="preserve"> </w:t>
      </w:r>
      <w:r>
        <w:t>in</w:t>
      </w:r>
      <w:r>
        <w:rPr>
          <w:spacing w:val="-15"/>
        </w:rPr>
        <w:t xml:space="preserve"> </w:t>
      </w:r>
      <w:r>
        <w:t>Section</w:t>
      </w:r>
      <w:r>
        <w:rPr>
          <w:spacing w:val="-11"/>
        </w:rPr>
        <w:t xml:space="preserve"> </w:t>
      </w:r>
      <w:r>
        <w:t>1.7.</w:t>
      </w:r>
      <w:r>
        <w:rPr>
          <w:spacing w:val="-11"/>
        </w:rPr>
        <w:t xml:space="preserve"> </w:t>
      </w:r>
      <w:r>
        <w:t>that</w:t>
      </w:r>
      <w:r>
        <w:rPr>
          <w:spacing w:val="-11"/>
        </w:rPr>
        <w:t xml:space="preserve"> </w:t>
      </w:r>
      <w:r>
        <w:t>it</w:t>
      </w:r>
      <w:r>
        <w:rPr>
          <w:spacing w:val="-11"/>
        </w:rPr>
        <w:t xml:space="preserve"> </w:t>
      </w:r>
      <w:r>
        <w:t>is</w:t>
      </w:r>
      <w:r>
        <w:rPr>
          <w:spacing w:val="-11"/>
        </w:rPr>
        <w:t xml:space="preserve"> </w:t>
      </w:r>
      <w:r>
        <w:t>the</w:t>
      </w:r>
      <w:r>
        <w:rPr>
          <w:spacing w:val="-19"/>
        </w:rPr>
        <w:t xml:space="preserve"> </w:t>
      </w:r>
      <w:r>
        <w:rPr>
          <w:i/>
        </w:rPr>
        <w:t>only</w:t>
      </w:r>
      <w:r>
        <w:rPr>
          <w:i/>
          <w:spacing w:val="-19"/>
        </w:rPr>
        <w:t xml:space="preserve"> </w:t>
      </w:r>
      <w:r>
        <w:t>form</w:t>
      </w:r>
      <w:r>
        <w:rPr>
          <w:spacing w:val="-7"/>
        </w:rPr>
        <w:t xml:space="preserve"> </w:t>
      </w:r>
      <w:r>
        <w:t>of</w:t>
      </w:r>
      <w:r>
        <w:rPr>
          <w:spacing w:val="-8"/>
        </w:rPr>
        <w:t xml:space="preserve"> </w:t>
      </w:r>
      <w:r>
        <w:t>non-deductive</w:t>
      </w:r>
      <w:r>
        <w:rPr>
          <w:spacing w:val="-8"/>
        </w:rPr>
        <w:t xml:space="preserve"> </w:t>
      </w:r>
      <w:r>
        <w:t>inference.</w:t>
      </w:r>
      <w:r>
        <w:rPr>
          <w:spacing w:val="-8"/>
        </w:rPr>
        <w:t xml:space="preserve"> </w:t>
      </w:r>
      <w:r>
        <w:t>So-</w:t>
      </w:r>
      <w:r>
        <w:rPr>
          <w:spacing w:val="-4"/>
        </w:rPr>
        <w:t>called</w:t>
      </w:r>
      <w:r>
        <w:rPr>
          <w:spacing w:val="-12"/>
        </w:rPr>
        <w:t xml:space="preserve"> </w:t>
      </w:r>
      <w:r>
        <w:rPr>
          <w:spacing w:val="-4"/>
        </w:rPr>
        <w:t>“induction</w:t>
      </w:r>
      <w:r>
        <w:rPr>
          <w:spacing w:val="-12"/>
        </w:rPr>
        <w:t xml:space="preserve"> </w:t>
      </w:r>
      <w:r>
        <w:rPr>
          <w:spacing w:val="-4"/>
        </w:rPr>
        <w:t>by</w:t>
      </w:r>
      <w:r>
        <w:rPr>
          <w:spacing w:val="-12"/>
        </w:rPr>
        <w:t xml:space="preserve"> </w:t>
      </w:r>
      <w:r>
        <w:rPr>
          <w:spacing w:val="-4"/>
        </w:rPr>
        <w:t>enumeration,”</w:t>
      </w:r>
      <w:r>
        <w:rPr>
          <w:spacing w:val="-12"/>
        </w:rPr>
        <w:t xml:space="preserve"> </w:t>
      </w:r>
      <w:r>
        <w:rPr>
          <w:spacing w:val="-4"/>
        </w:rPr>
        <w:t>to</w:t>
      </w:r>
      <w:r>
        <w:rPr>
          <w:spacing w:val="-12"/>
        </w:rPr>
        <w:t xml:space="preserve"> </w:t>
      </w:r>
      <w:r>
        <w:rPr>
          <w:spacing w:val="-4"/>
        </w:rPr>
        <w:t>the</w:t>
      </w:r>
      <w:r>
        <w:rPr>
          <w:spacing w:val="-12"/>
        </w:rPr>
        <w:t xml:space="preserve"> </w:t>
      </w:r>
      <w:r>
        <w:rPr>
          <w:spacing w:val="-4"/>
        </w:rPr>
        <w:t>extent</w:t>
      </w:r>
      <w:r>
        <w:rPr>
          <w:spacing w:val="-12"/>
        </w:rPr>
        <w:t xml:space="preserve"> </w:t>
      </w:r>
      <w:r>
        <w:rPr>
          <w:spacing w:val="-4"/>
        </w:rPr>
        <w:t>that</w:t>
      </w:r>
      <w:r>
        <w:rPr>
          <w:spacing w:val="-12"/>
        </w:rPr>
        <w:t xml:space="preserve"> </w:t>
      </w:r>
      <w:r>
        <w:rPr>
          <w:spacing w:val="-4"/>
        </w:rPr>
        <w:t>it</w:t>
      </w:r>
      <w:r>
        <w:rPr>
          <w:spacing w:val="-12"/>
        </w:rPr>
        <w:t xml:space="preserve"> </w:t>
      </w:r>
      <w:r>
        <w:rPr>
          <w:spacing w:val="-4"/>
        </w:rPr>
        <w:t>isn’t</w:t>
      </w:r>
      <w:r>
        <w:rPr>
          <w:spacing w:val="-12"/>
        </w:rPr>
        <w:t xml:space="preserve"> </w:t>
      </w:r>
      <w:r>
        <w:rPr>
          <w:spacing w:val="-4"/>
        </w:rPr>
        <w:t>a</w:t>
      </w:r>
      <w:r>
        <w:rPr>
          <w:spacing w:val="-12"/>
        </w:rPr>
        <w:t xml:space="preserve"> </w:t>
      </w:r>
      <w:r>
        <w:rPr>
          <w:spacing w:val="-4"/>
        </w:rPr>
        <w:t>spurious</w:t>
      </w:r>
      <w:r>
        <w:rPr>
          <w:spacing w:val="-12"/>
        </w:rPr>
        <w:t xml:space="preserve"> </w:t>
      </w:r>
      <w:r>
        <w:rPr>
          <w:spacing w:val="-4"/>
        </w:rPr>
        <w:t>method</w:t>
      </w:r>
      <w:r>
        <w:rPr>
          <w:spacing w:val="-12"/>
        </w:rPr>
        <w:t xml:space="preserve"> </w:t>
      </w:r>
      <w:r>
        <w:rPr>
          <w:spacing w:val="-4"/>
        </w:rPr>
        <w:t xml:space="preserve">of </w:t>
      </w:r>
      <w:r>
        <w:rPr>
          <w:spacing w:val="-2"/>
        </w:rPr>
        <w:t>inference,</w:t>
      </w:r>
      <w:r>
        <w:rPr>
          <w:spacing w:val="-14"/>
        </w:rPr>
        <w:t xml:space="preserve"> </w:t>
      </w:r>
      <w:r>
        <w:rPr>
          <w:spacing w:val="-2"/>
        </w:rPr>
        <w:t>collapses</w:t>
      </w:r>
      <w:r>
        <w:rPr>
          <w:spacing w:val="-14"/>
        </w:rPr>
        <w:t xml:space="preserve"> </w:t>
      </w:r>
      <w:r>
        <w:rPr>
          <w:spacing w:val="-2"/>
        </w:rPr>
        <w:t>into</w:t>
      </w:r>
      <w:r>
        <w:rPr>
          <w:spacing w:val="-14"/>
        </w:rPr>
        <w:t xml:space="preserve"> </w:t>
      </w:r>
      <w:r>
        <w:rPr>
          <w:spacing w:val="-2"/>
        </w:rPr>
        <w:t>inference</w:t>
      </w:r>
      <w:r>
        <w:rPr>
          <w:spacing w:val="-14"/>
        </w:rPr>
        <w:t xml:space="preserve"> </w:t>
      </w:r>
      <w:r>
        <w:rPr>
          <w:spacing w:val="-2"/>
        </w:rPr>
        <w:t>to</w:t>
      </w:r>
      <w:r>
        <w:rPr>
          <w:spacing w:val="-14"/>
        </w:rPr>
        <w:t xml:space="preserve"> </w:t>
      </w:r>
      <w:r>
        <w:rPr>
          <w:spacing w:val="-2"/>
        </w:rPr>
        <w:t>the</w:t>
      </w:r>
      <w:r>
        <w:rPr>
          <w:spacing w:val="-14"/>
        </w:rPr>
        <w:t xml:space="preserve"> </w:t>
      </w:r>
      <w:r>
        <w:rPr>
          <w:spacing w:val="-2"/>
        </w:rPr>
        <w:t>best</w:t>
      </w:r>
      <w:r>
        <w:rPr>
          <w:spacing w:val="-14"/>
        </w:rPr>
        <w:t xml:space="preserve"> </w:t>
      </w:r>
      <w:r>
        <w:rPr>
          <w:spacing w:val="-2"/>
        </w:rPr>
        <w:t>explanation.)</w:t>
      </w:r>
    </w:p>
    <w:p w14:paraId="7E0028FB" w14:textId="77777777" w:rsidR="009A58DB" w:rsidRDefault="00000000">
      <w:pPr>
        <w:pStyle w:val="BodyText"/>
        <w:spacing w:before="8" w:line="249" w:lineRule="auto"/>
        <w:ind w:right="360" w:firstLine="360"/>
      </w:pPr>
      <w:r>
        <w:t xml:space="preserve">The conclusions of inferences to the best explanation are always </w:t>
      </w:r>
      <w:r>
        <w:rPr>
          <w:i/>
        </w:rPr>
        <w:t xml:space="preserve">causal </w:t>
      </w:r>
      <w:r>
        <w:t xml:space="preserve">statements. You posit the existence of X, which you don’t know of, in order to explain Y, which you do know of, because, in your judgment, X, if it existed, would </w:t>
      </w:r>
      <w:r>
        <w:rPr>
          <w:i/>
        </w:rPr>
        <w:t xml:space="preserve">cause </w:t>
      </w:r>
      <w:r>
        <w:t>Y to occur.</w:t>
      </w:r>
    </w:p>
    <w:p w14:paraId="7E0028FC" w14:textId="77777777" w:rsidR="009A58DB" w:rsidRDefault="00000000">
      <w:pPr>
        <w:pStyle w:val="BodyText"/>
        <w:spacing w:before="5" w:line="249" w:lineRule="auto"/>
        <w:ind w:right="360" w:firstLine="360"/>
      </w:pPr>
      <w:r>
        <w:t>Example</w:t>
      </w:r>
      <w:r>
        <w:rPr>
          <w:spacing w:val="-1"/>
        </w:rPr>
        <w:t xml:space="preserve"> </w:t>
      </w:r>
      <w:r>
        <w:t>#3</w:t>
      </w:r>
      <w:r>
        <w:rPr>
          <w:spacing w:val="-1"/>
        </w:rPr>
        <w:t xml:space="preserve"> </w:t>
      </w:r>
      <w:r>
        <w:t>is</w:t>
      </w:r>
      <w:r>
        <w:rPr>
          <w:spacing w:val="-1"/>
        </w:rPr>
        <w:t xml:space="preserve"> </w:t>
      </w:r>
      <w:r>
        <w:t>a</w:t>
      </w:r>
      <w:r>
        <w:rPr>
          <w:spacing w:val="-1"/>
        </w:rPr>
        <w:t xml:space="preserve"> </w:t>
      </w:r>
      <w:r>
        <w:t>case</w:t>
      </w:r>
      <w:r>
        <w:rPr>
          <w:spacing w:val="-1"/>
        </w:rPr>
        <w:t xml:space="preserve"> </w:t>
      </w:r>
      <w:r>
        <w:t>of</w:t>
      </w:r>
      <w:r>
        <w:rPr>
          <w:spacing w:val="-1"/>
        </w:rPr>
        <w:t xml:space="preserve"> </w:t>
      </w:r>
      <w:r>
        <w:t>inference</w:t>
      </w:r>
      <w:r>
        <w:rPr>
          <w:spacing w:val="-1"/>
        </w:rPr>
        <w:t xml:space="preserve"> </w:t>
      </w:r>
      <w:r>
        <w:t>to</w:t>
      </w:r>
      <w:r>
        <w:rPr>
          <w:spacing w:val="-1"/>
        </w:rPr>
        <w:t xml:space="preserve"> </w:t>
      </w:r>
      <w:r>
        <w:t>the</w:t>
      </w:r>
      <w:r>
        <w:rPr>
          <w:spacing w:val="-1"/>
        </w:rPr>
        <w:t xml:space="preserve"> </w:t>
      </w:r>
      <w:r>
        <w:t>best</w:t>
      </w:r>
      <w:r>
        <w:rPr>
          <w:spacing w:val="-2"/>
        </w:rPr>
        <w:t xml:space="preserve"> </w:t>
      </w:r>
      <w:r>
        <w:t>explanation.</w:t>
      </w:r>
      <w:r>
        <w:rPr>
          <w:spacing w:val="-1"/>
        </w:rPr>
        <w:t xml:space="preserve"> </w:t>
      </w:r>
      <w:r>
        <w:t>I</w:t>
      </w:r>
      <w:r>
        <w:rPr>
          <w:spacing w:val="-1"/>
        </w:rPr>
        <w:t xml:space="preserve"> </w:t>
      </w:r>
      <w:r>
        <w:t>infer</w:t>
      </w:r>
      <w:r>
        <w:rPr>
          <w:spacing w:val="-1"/>
        </w:rPr>
        <w:t xml:space="preserve"> </w:t>
      </w:r>
      <w:r>
        <w:t>that</w:t>
      </w:r>
      <w:r>
        <w:rPr>
          <w:spacing w:val="-1"/>
        </w:rPr>
        <w:t xml:space="preserve"> </w:t>
      </w:r>
      <w:r>
        <w:t xml:space="preserve">Larry stole my credit cards (etc.) because the relevant data is easy to explain on the assumption that he did, the reason being that his doing so would have </w:t>
      </w:r>
      <w:r>
        <w:rPr>
          <w:i/>
        </w:rPr>
        <w:t>generated</w:t>
      </w:r>
      <w:r>
        <w:rPr>
          <w:i/>
          <w:spacing w:val="-3"/>
        </w:rPr>
        <w:t xml:space="preserve"> </w:t>
      </w:r>
      <w:r>
        <w:t>that data, and hard to explain on the assumption that he didn’t, the reason being that it’s unclear what else could have generated that data.</w:t>
      </w:r>
    </w:p>
    <w:p w14:paraId="7E0028FD" w14:textId="77777777" w:rsidR="009A58DB" w:rsidRDefault="00000000">
      <w:pPr>
        <w:pStyle w:val="BodyText"/>
        <w:spacing w:before="6" w:line="249" w:lineRule="auto"/>
        <w:ind w:right="366" w:firstLine="360"/>
      </w:pPr>
      <w:r>
        <w:t>To take another example: if you infer that a mouse has been eating the cheese in your cupboard, it’s because a mouse’s doing so would have generated</w:t>
      </w:r>
      <w:r>
        <w:rPr>
          <w:spacing w:val="-4"/>
        </w:rPr>
        <w:t xml:space="preserve"> </w:t>
      </w:r>
      <w:r>
        <w:t>the</w:t>
      </w:r>
      <w:r>
        <w:rPr>
          <w:spacing w:val="-5"/>
        </w:rPr>
        <w:t xml:space="preserve"> </w:t>
      </w:r>
      <w:r>
        <w:t>relevant</w:t>
      </w:r>
      <w:r>
        <w:rPr>
          <w:spacing w:val="-5"/>
        </w:rPr>
        <w:t xml:space="preserve"> </w:t>
      </w:r>
      <w:r>
        <w:t>data</w:t>
      </w:r>
      <w:r>
        <w:rPr>
          <w:spacing w:val="-5"/>
        </w:rPr>
        <w:t xml:space="preserve"> </w:t>
      </w:r>
      <w:r>
        <w:t>(e.g.,</w:t>
      </w:r>
      <w:r>
        <w:rPr>
          <w:spacing w:val="-4"/>
        </w:rPr>
        <w:t xml:space="preserve"> </w:t>
      </w:r>
      <w:r>
        <w:t>the</w:t>
      </w:r>
      <w:r>
        <w:rPr>
          <w:spacing w:val="-5"/>
        </w:rPr>
        <w:t xml:space="preserve"> </w:t>
      </w:r>
      <w:r>
        <w:t>tiny</w:t>
      </w:r>
      <w:r>
        <w:rPr>
          <w:spacing w:val="-4"/>
        </w:rPr>
        <w:t xml:space="preserve"> </w:t>
      </w:r>
      <w:r>
        <w:t>little</w:t>
      </w:r>
      <w:r>
        <w:rPr>
          <w:spacing w:val="-5"/>
        </w:rPr>
        <w:t xml:space="preserve"> </w:t>
      </w:r>
      <w:r>
        <w:t>footprints</w:t>
      </w:r>
      <w:r>
        <w:rPr>
          <w:spacing w:val="-5"/>
        </w:rPr>
        <w:t xml:space="preserve"> </w:t>
      </w:r>
      <w:r>
        <w:t>inside</w:t>
      </w:r>
      <w:r>
        <w:rPr>
          <w:spacing w:val="-5"/>
        </w:rPr>
        <w:t xml:space="preserve"> </w:t>
      </w:r>
      <w:r>
        <w:t>the</w:t>
      </w:r>
      <w:r>
        <w:rPr>
          <w:spacing w:val="-5"/>
        </w:rPr>
        <w:t xml:space="preserve"> </w:t>
      </w:r>
      <w:r>
        <w:t>cupboard), and it’s not clear what else could have generated that data.</w:t>
      </w:r>
    </w:p>
    <w:p w14:paraId="7E0028FE" w14:textId="77777777" w:rsidR="009A58DB" w:rsidRDefault="00000000">
      <w:pPr>
        <w:pStyle w:val="BodyText"/>
        <w:spacing w:before="5"/>
        <w:ind w:left="720"/>
      </w:pPr>
      <w:r>
        <w:t>In</w:t>
      </w:r>
      <w:r>
        <w:rPr>
          <w:spacing w:val="9"/>
        </w:rPr>
        <w:t xml:space="preserve"> </w:t>
      </w:r>
      <w:r>
        <w:t>some</w:t>
      </w:r>
      <w:r>
        <w:rPr>
          <w:spacing w:val="9"/>
        </w:rPr>
        <w:t xml:space="preserve"> </w:t>
      </w:r>
      <w:r>
        <w:t>cases,</w:t>
      </w:r>
      <w:r>
        <w:rPr>
          <w:spacing w:val="9"/>
        </w:rPr>
        <w:t xml:space="preserve"> </w:t>
      </w:r>
      <w:r>
        <w:t>the</w:t>
      </w:r>
      <w:r>
        <w:rPr>
          <w:spacing w:val="9"/>
        </w:rPr>
        <w:t xml:space="preserve"> </w:t>
      </w:r>
      <w:r>
        <w:t>conclusions</w:t>
      </w:r>
      <w:r>
        <w:rPr>
          <w:spacing w:val="9"/>
        </w:rPr>
        <w:t xml:space="preserve"> </w:t>
      </w:r>
      <w:r>
        <w:t>of</w:t>
      </w:r>
      <w:r>
        <w:rPr>
          <w:spacing w:val="10"/>
        </w:rPr>
        <w:t xml:space="preserve"> </w:t>
      </w:r>
      <w:r>
        <w:t>inferences</w:t>
      </w:r>
      <w:r>
        <w:rPr>
          <w:spacing w:val="9"/>
        </w:rPr>
        <w:t xml:space="preserve"> </w:t>
      </w:r>
      <w:r>
        <w:t>to</w:t>
      </w:r>
      <w:r>
        <w:rPr>
          <w:spacing w:val="9"/>
        </w:rPr>
        <w:t xml:space="preserve"> </w:t>
      </w:r>
      <w:r>
        <w:t>the</w:t>
      </w:r>
      <w:r>
        <w:rPr>
          <w:spacing w:val="9"/>
        </w:rPr>
        <w:t xml:space="preserve"> </w:t>
      </w:r>
      <w:r>
        <w:t>best</w:t>
      </w:r>
      <w:r>
        <w:rPr>
          <w:spacing w:val="9"/>
        </w:rPr>
        <w:t xml:space="preserve"> </w:t>
      </w:r>
      <w:r>
        <w:t>explanation</w:t>
      </w:r>
      <w:r>
        <w:rPr>
          <w:spacing w:val="10"/>
        </w:rPr>
        <w:t xml:space="preserve"> </w:t>
      </w:r>
      <w:r>
        <w:rPr>
          <w:spacing w:val="-2"/>
        </w:rPr>
        <w:t>aren’t</w:t>
      </w:r>
    </w:p>
    <w:p w14:paraId="7E0028FF" w14:textId="77777777" w:rsidR="009A58DB" w:rsidRDefault="009A58DB">
      <w:pPr>
        <w:pStyle w:val="BodyText"/>
        <w:sectPr w:rsidR="009A58DB">
          <w:pgSz w:w="12240" w:h="15840"/>
          <w:pgMar w:top="1380" w:right="1080" w:bottom="280" w:left="1080" w:header="720" w:footer="720" w:gutter="0"/>
          <w:cols w:space="720"/>
        </w:sectPr>
      </w:pPr>
    </w:p>
    <w:p w14:paraId="7E002900" w14:textId="77777777" w:rsidR="009A58DB" w:rsidRDefault="00000000">
      <w:pPr>
        <w:pStyle w:val="BodyText"/>
        <w:spacing w:before="65" w:line="271" w:lineRule="auto"/>
        <w:ind w:right="358"/>
      </w:pPr>
      <w:r>
        <w:rPr>
          <w:i/>
        </w:rPr>
        <w:lastRenderedPageBreak/>
        <w:t xml:space="preserve">themselves </w:t>
      </w:r>
      <w:r>
        <w:t>causal statements. Our knowledge that water consists of H</w:t>
      </w:r>
      <w:r>
        <w:rPr>
          <w:vertAlign w:val="subscript"/>
        </w:rPr>
        <w:t>2</w:t>
      </w:r>
      <w:r>
        <w:t>O molecules isn’t itself a causal statement. Cause-effect relations hold between distinct entities (e.g., thunder and lightning). Water and H</w:t>
      </w:r>
      <w:r>
        <w:rPr>
          <w:vertAlign w:val="subscript"/>
        </w:rPr>
        <w:t>2</w:t>
      </w:r>
      <w:r>
        <w:t>O aren’t distinct.</w:t>
      </w:r>
    </w:p>
    <w:p w14:paraId="7E002901" w14:textId="77777777" w:rsidR="009A58DB" w:rsidRDefault="00000000">
      <w:pPr>
        <w:pStyle w:val="BodyText"/>
        <w:spacing w:before="30" w:line="271" w:lineRule="auto"/>
        <w:ind w:right="364" w:firstLine="360"/>
      </w:pPr>
      <w:r>
        <w:t>That said, it is believed that water consists of H</w:t>
      </w:r>
      <w:r>
        <w:rPr>
          <w:vertAlign w:val="subscript"/>
        </w:rPr>
        <w:t>2</w:t>
      </w:r>
      <w:r>
        <w:t xml:space="preserve">O molecules only because its being so composed would cause various things to happen that </w:t>
      </w:r>
      <w:r>
        <w:rPr>
          <w:i/>
        </w:rPr>
        <w:t xml:space="preserve">do </w:t>
      </w:r>
      <w:r>
        <w:t>in fact happen.</w:t>
      </w:r>
      <w:r>
        <w:rPr>
          <w:spacing w:val="-4"/>
        </w:rPr>
        <w:t xml:space="preserve"> </w:t>
      </w:r>
      <w:r>
        <w:t>So</w:t>
      </w:r>
      <w:r>
        <w:rPr>
          <w:spacing w:val="-2"/>
        </w:rPr>
        <w:t xml:space="preserve"> </w:t>
      </w:r>
      <w:r>
        <w:t>even</w:t>
      </w:r>
      <w:r>
        <w:rPr>
          <w:spacing w:val="-2"/>
        </w:rPr>
        <w:t xml:space="preserve"> </w:t>
      </w:r>
      <w:r>
        <w:t>though</w:t>
      </w:r>
      <w:r>
        <w:rPr>
          <w:spacing w:val="-2"/>
        </w:rPr>
        <w:t xml:space="preserve"> </w:t>
      </w:r>
      <w:r>
        <w:t>the</w:t>
      </w:r>
      <w:r>
        <w:rPr>
          <w:spacing w:val="-3"/>
        </w:rPr>
        <w:t xml:space="preserve"> </w:t>
      </w:r>
      <w:r>
        <w:t>conclusion</w:t>
      </w:r>
      <w:r>
        <w:rPr>
          <w:spacing w:val="-2"/>
        </w:rPr>
        <w:t xml:space="preserve"> </w:t>
      </w:r>
      <w:r>
        <w:t>of</w:t>
      </w:r>
      <w:r>
        <w:rPr>
          <w:spacing w:val="-3"/>
        </w:rPr>
        <w:t xml:space="preserve"> </w:t>
      </w:r>
      <w:r>
        <w:t>an</w:t>
      </w:r>
      <w:r>
        <w:rPr>
          <w:spacing w:val="-2"/>
        </w:rPr>
        <w:t xml:space="preserve"> </w:t>
      </w:r>
      <w:r>
        <w:t>inference</w:t>
      </w:r>
      <w:r>
        <w:rPr>
          <w:spacing w:val="-3"/>
        </w:rPr>
        <w:t xml:space="preserve"> </w:t>
      </w:r>
      <w:r>
        <w:t>to</w:t>
      </w:r>
      <w:r>
        <w:rPr>
          <w:spacing w:val="-2"/>
        </w:rPr>
        <w:t xml:space="preserve"> </w:t>
      </w:r>
      <w:r>
        <w:t>the</w:t>
      </w:r>
      <w:r>
        <w:rPr>
          <w:spacing w:val="-3"/>
        </w:rPr>
        <w:t xml:space="preserve"> </w:t>
      </w:r>
      <w:r>
        <w:t>best</w:t>
      </w:r>
      <w:r>
        <w:rPr>
          <w:spacing w:val="-2"/>
        </w:rPr>
        <w:t xml:space="preserve"> explanation</w:t>
      </w:r>
    </w:p>
    <w:p w14:paraId="7E002902" w14:textId="77777777" w:rsidR="009A58DB" w:rsidRDefault="00000000">
      <w:pPr>
        <w:pStyle w:val="BodyText"/>
        <w:spacing w:line="316" w:lineRule="exact"/>
      </w:pPr>
      <w:r>
        <w:t>need</w:t>
      </w:r>
      <w:r>
        <w:rPr>
          <w:spacing w:val="-3"/>
        </w:rPr>
        <w:t xml:space="preserve"> </w:t>
      </w:r>
      <w:r>
        <w:t>not</w:t>
      </w:r>
      <w:r>
        <w:rPr>
          <w:spacing w:val="-4"/>
        </w:rPr>
        <w:t xml:space="preserve"> </w:t>
      </w:r>
      <w:r>
        <w:rPr>
          <w:i/>
        </w:rPr>
        <w:t>itself</w:t>
      </w:r>
      <w:r>
        <w:rPr>
          <w:i/>
          <w:spacing w:val="-4"/>
        </w:rPr>
        <w:t xml:space="preserve"> </w:t>
      </w:r>
      <w:r>
        <w:t>be</w:t>
      </w:r>
      <w:r>
        <w:rPr>
          <w:spacing w:val="4"/>
        </w:rPr>
        <w:t xml:space="preserve"> </w:t>
      </w:r>
      <w:r>
        <w:t>a</w:t>
      </w:r>
      <w:r>
        <w:rPr>
          <w:spacing w:val="4"/>
        </w:rPr>
        <w:t xml:space="preserve"> </w:t>
      </w:r>
      <w:r>
        <w:t>causal</w:t>
      </w:r>
      <w:r>
        <w:rPr>
          <w:spacing w:val="4"/>
        </w:rPr>
        <w:t xml:space="preserve"> </w:t>
      </w:r>
      <w:r>
        <w:t>statement,</w:t>
      </w:r>
      <w:r>
        <w:rPr>
          <w:spacing w:val="4"/>
        </w:rPr>
        <w:t xml:space="preserve"> </w:t>
      </w:r>
      <w:r>
        <w:t>all</w:t>
      </w:r>
      <w:r>
        <w:rPr>
          <w:spacing w:val="4"/>
        </w:rPr>
        <w:t xml:space="preserve"> </w:t>
      </w:r>
      <w:r>
        <w:t>inferences</w:t>
      </w:r>
      <w:r>
        <w:rPr>
          <w:spacing w:val="4"/>
        </w:rPr>
        <w:t xml:space="preserve"> </w:t>
      </w:r>
      <w:r>
        <w:t>to</w:t>
      </w:r>
      <w:r>
        <w:rPr>
          <w:spacing w:val="4"/>
        </w:rPr>
        <w:t xml:space="preserve"> </w:t>
      </w:r>
      <w:r>
        <w:t>the</w:t>
      </w:r>
      <w:r>
        <w:rPr>
          <w:spacing w:val="4"/>
        </w:rPr>
        <w:t xml:space="preserve"> </w:t>
      </w:r>
      <w:r>
        <w:t>best</w:t>
      </w:r>
      <w:r>
        <w:rPr>
          <w:spacing w:val="4"/>
        </w:rPr>
        <w:t xml:space="preserve"> </w:t>
      </w:r>
      <w:r>
        <w:t>explanation</w:t>
      </w:r>
      <w:r>
        <w:rPr>
          <w:spacing w:val="5"/>
        </w:rPr>
        <w:t xml:space="preserve"> </w:t>
      </w:r>
      <w:r>
        <w:rPr>
          <w:spacing w:val="-5"/>
        </w:rPr>
        <w:t>are</w:t>
      </w:r>
    </w:p>
    <w:p w14:paraId="7E002903" w14:textId="77777777" w:rsidR="009A58DB" w:rsidRDefault="00000000">
      <w:pPr>
        <w:pStyle w:val="BodyText"/>
        <w:spacing w:before="15"/>
      </w:pPr>
      <w:r>
        <w:t>causal</w:t>
      </w:r>
      <w:r>
        <w:rPr>
          <w:spacing w:val="-5"/>
        </w:rPr>
        <w:t xml:space="preserve"> </w:t>
      </w:r>
      <w:r>
        <w:rPr>
          <w:spacing w:val="-2"/>
        </w:rPr>
        <w:t>inferences.</w:t>
      </w:r>
    </w:p>
    <w:p w14:paraId="7E002904" w14:textId="77777777" w:rsidR="009A58DB" w:rsidRDefault="00000000">
      <w:pPr>
        <w:pStyle w:val="Heading1"/>
        <w:numPr>
          <w:ilvl w:val="1"/>
          <w:numId w:val="38"/>
        </w:numPr>
        <w:tabs>
          <w:tab w:val="left" w:pos="1080"/>
          <w:tab w:val="left" w:pos="1409"/>
        </w:tabs>
        <w:spacing w:line="244" w:lineRule="auto"/>
        <w:ind w:left="1080" w:right="667" w:hanging="720"/>
      </w:pPr>
      <w:r>
        <w:tab/>
        <w:t>A</w:t>
      </w:r>
      <w:r>
        <w:rPr>
          <w:spacing w:val="-7"/>
        </w:rPr>
        <w:t xml:space="preserve"> </w:t>
      </w:r>
      <w:r>
        <w:t>fact</w:t>
      </w:r>
      <w:r>
        <w:rPr>
          <w:spacing w:val="-7"/>
        </w:rPr>
        <w:t xml:space="preserve"> </w:t>
      </w:r>
      <w:r>
        <w:t>about</w:t>
      </w:r>
      <w:r>
        <w:rPr>
          <w:spacing w:val="-7"/>
        </w:rPr>
        <w:t xml:space="preserve"> </w:t>
      </w:r>
      <w:r>
        <w:t>induction</w:t>
      </w:r>
      <w:r>
        <w:rPr>
          <w:spacing w:val="-7"/>
        </w:rPr>
        <w:t xml:space="preserve"> </w:t>
      </w:r>
      <w:r>
        <w:t>by</w:t>
      </w:r>
      <w:r>
        <w:rPr>
          <w:spacing w:val="-6"/>
        </w:rPr>
        <w:t xml:space="preserve"> </w:t>
      </w:r>
      <w:r>
        <w:t>enumeration</w:t>
      </w:r>
      <w:r>
        <w:rPr>
          <w:spacing w:val="-7"/>
        </w:rPr>
        <w:t xml:space="preserve"> </w:t>
      </w:r>
      <w:r>
        <w:t>(This section is hard. Skip on first reading.)</w:t>
      </w:r>
    </w:p>
    <w:p w14:paraId="7E002905" w14:textId="77777777" w:rsidR="009A58DB" w:rsidRDefault="00000000">
      <w:pPr>
        <w:pStyle w:val="BodyText"/>
        <w:spacing w:before="132" w:line="249" w:lineRule="auto"/>
        <w:ind w:right="358"/>
      </w:pPr>
      <w:r>
        <w:t xml:space="preserve">Induction by enumeration isn’t nearly as powerful a form of inference as inference to the best explanation. Given only that every single one of the 5,000 first editions you’ve ever come across smelled like pipe tobacco, you cannot reasonably infer that all first editions smell like pipe tobacco. What if all of those first editions were the property of your pipe-smoking friend Larry? In that case, you’d have good to reason to suspect that their smelling like pipe tobacco had to do, not with their being first editions, but with their being things that had been around Larry. By the same token, so far as you are entitled to infer that all first editions smell like pipe tobacco, it’s only to the extent that you have reason to believe that a thing’s smelling like pipe tobacco is </w:t>
      </w:r>
      <w:r>
        <w:rPr>
          <w:i/>
        </w:rPr>
        <w:t xml:space="preserve">rooted </w:t>
      </w:r>
      <w:r>
        <w:t>in its being a first edition. But that means that, if the data entitles you to infer that all first editions smell like pipe tobacco, it’s only because it also entitles you to accept some inference to the best explanation (one to the effect that a thing’s being a first edition is, for some reason or other, responsible for its smelling like pipe tobacco). In general, induction by enumeration is parasitic on inference to the best explanation. (In Chapter 12, it is shown how a failure to see this underlies the spurious belief that there is no non-deductive, inferential knowledge.)</w:t>
      </w:r>
    </w:p>
    <w:p w14:paraId="7E002906" w14:textId="77777777" w:rsidR="009A58DB" w:rsidRDefault="00000000">
      <w:pPr>
        <w:pStyle w:val="Heading1"/>
        <w:numPr>
          <w:ilvl w:val="1"/>
          <w:numId w:val="38"/>
        </w:numPr>
        <w:tabs>
          <w:tab w:val="left" w:pos="1409"/>
        </w:tabs>
        <w:spacing w:before="225"/>
        <w:ind w:left="1409" w:hanging="1049"/>
      </w:pPr>
      <w:r>
        <w:t>Two</w:t>
      </w:r>
      <w:r>
        <w:rPr>
          <w:spacing w:val="-3"/>
        </w:rPr>
        <w:t xml:space="preserve"> </w:t>
      </w:r>
      <w:r>
        <w:t>kinds</w:t>
      </w:r>
      <w:r>
        <w:rPr>
          <w:spacing w:val="-2"/>
        </w:rPr>
        <w:t xml:space="preserve"> </w:t>
      </w:r>
      <w:r>
        <w:t>of</w:t>
      </w:r>
      <w:r>
        <w:rPr>
          <w:spacing w:val="-3"/>
        </w:rPr>
        <w:t xml:space="preserve"> </w:t>
      </w:r>
      <w:r>
        <w:rPr>
          <w:spacing w:val="-2"/>
        </w:rPr>
        <w:t>entailment</w:t>
      </w:r>
    </w:p>
    <w:p w14:paraId="7E002907" w14:textId="77777777" w:rsidR="009A58DB" w:rsidRDefault="00000000">
      <w:pPr>
        <w:pStyle w:val="BodyText"/>
        <w:spacing w:before="139" w:line="249" w:lineRule="auto"/>
        <w:ind w:right="358"/>
      </w:pPr>
      <w:r>
        <w:t>Just as there are two kinds of inductive inference, so there are two kinds of deductive inference. In other words, there are two kinds of entailment: formal entailment and informal entailment.</w:t>
      </w:r>
    </w:p>
    <w:p w14:paraId="7E00290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09" w14:textId="77777777" w:rsidR="009A58DB" w:rsidRDefault="00000000">
      <w:pPr>
        <w:pStyle w:val="BodyText"/>
        <w:spacing w:before="65" w:line="249" w:lineRule="auto"/>
        <w:ind w:right="361" w:firstLine="360"/>
      </w:pPr>
      <w:r>
        <w:lastRenderedPageBreak/>
        <w:t>An entailment is “informal” if the syntactic structures of the sentences involved are not what make the entailment go through. Consider the following entailment:</w:t>
      </w:r>
    </w:p>
    <w:p w14:paraId="7E00290A" w14:textId="77777777" w:rsidR="009A58DB" w:rsidRDefault="00000000">
      <w:pPr>
        <w:pStyle w:val="BodyText"/>
        <w:spacing w:before="108" w:line="312" w:lineRule="auto"/>
        <w:ind w:right="3292"/>
        <w:jc w:val="left"/>
      </w:pPr>
      <w:r>
        <w:t>#</w:t>
      </w:r>
      <w:r>
        <w:rPr>
          <w:spacing w:val="-4"/>
        </w:rPr>
        <w:t xml:space="preserve"> </w:t>
      </w:r>
      <w:r>
        <w:t>if</w:t>
      </w:r>
      <w:r>
        <w:rPr>
          <w:spacing w:val="-5"/>
        </w:rPr>
        <w:t xml:space="preserve"> </w:t>
      </w:r>
      <w:r>
        <w:t>Smith</w:t>
      </w:r>
      <w:r>
        <w:rPr>
          <w:spacing w:val="-4"/>
        </w:rPr>
        <w:t xml:space="preserve"> </w:t>
      </w:r>
      <w:r>
        <w:t>is</w:t>
      </w:r>
      <w:r>
        <w:rPr>
          <w:spacing w:val="-5"/>
        </w:rPr>
        <w:t xml:space="preserve"> </w:t>
      </w:r>
      <w:r>
        <w:t>tall</w:t>
      </w:r>
      <w:r>
        <w:rPr>
          <w:spacing w:val="-5"/>
        </w:rPr>
        <w:t xml:space="preserve"> </w:t>
      </w:r>
      <w:r>
        <w:t>and</w:t>
      </w:r>
      <w:r>
        <w:rPr>
          <w:spacing w:val="-4"/>
        </w:rPr>
        <w:t xml:space="preserve"> </w:t>
      </w:r>
      <w:r>
        <w:t>Jones</w:t>
      </w:r>
      <w:r>
        <w:rPr>
          <w:spacing w:val="-5"/>
        </w:rPr>
        <w:t xml:space="preserve"> </w:t>
      </w:r>
      <w:r>
        <w:t>snores,</w:t>
      </w:r>
      <w:r>
        <w:rPr>
          <w:spacing w:val="-4"/>
        </w:rPr>
        <w:t xml:space="preserve"> </w:t>
      </w:r>
      <w:r>
        <w:t>then</w:t>
      </w:r>
      <w:r>
        <w:rPr>
          <w:spacing w:val="-4"/>
        </w:rPr>
        <w:t xml:space="preserve"> </w:t>
      </w:r>
      <w:r>
        <w:t>Smith</w:t>
      </w:r>
      <w:r>
        <w:rPr>
          <w:spacing w:val="-4"/>
        </w:rPr>
        <w:t xml:space="preserve"> </w:t>
      </w:r>
      <w:r>
        <w:t>is</w:t>
      </w:r>
      <w:r>
        <w:rPr>
          <w:spacing w:val="-5"/>
        </w:rPr>
        <w:t xml:space="preserve"> </w:t>
      </w:r>
      <w:r>
        <w:t>tall. This sentence has the form:</w:t>
      </w:r>
    </w:p>
    <w:p w14:paraId="7E00290B" w14:textId="77777777" w:rsidR="009A58DB" w:rsidRDefault="00000000">
      <w:pPr>
        <w:pStyle w:val="BodyText"/>
        <w:spacing w:before="18"/>
        <w:jc w:val="left"/>
      </w:pPr>
      <w:r>
        <w:t>If</w:t>
      </w:r>
      <w:r>
        <w:rPr>
          <w:spacing w:val="-2"/>
        </w:rPr>
        <w:t xml:space="preserve"> </w:t>
      </w:r>
      <w:r>
        <w:t>P</w:t>
      </w:r>
      <w:r>
        <w:rPr>
          <w:spacing w:val="-2"/>
        </w:rPr>
        <w:t xml:space="preserve"> </w:t>
      </w:r>
      <w:r>
        <w:t>and</w:t>
      </w:r>
      <w:r>
        <w:rPr>
          <w:spacing w:val="-1"/>
        </w:rPr>
        <w:t xml:space="preserve"> </w:t>
      </w:r>
      <w:r>
        <w:t>Q,</w:t>
      </w:r>
      <w:r>
        <w:rPr>
          <w:spacing w:val="-1"/>
        </w:rPr>
        <w:t xml:space="preserve"> </w:t>
      </w:r>
      <w:r>
        <w:t>then</w:t>
      </w:r>
      <w:r>
        <w:rPr>
          <w:spacing w:val="-1"/>
        </w:rPr>
        <w:t xml:space="preserve"> </w:t>
      </w:r>
      <w:r>
        <w:rPr>
          <w:spacing w:val="-5"/>
        </w:rPr>
        <w:t>P.</w:t>
      </w:r>
    </w:p>
    <w:p w14:paraId="7E00290C" w14:textId="77777777" w:rsidR="009A58DB" w:rsidRDefault="00000000">
      <w:pPr>
        <w:pStyle w:val="BodyText"/>
        <w:spacing w:before="120" w:line="249" w:lineRule="auto"/>
        <w:ind w:right="365"/>
        <w:jc w:val="left"/>
      </w:pPr>
      <w:r>
        <w:t>If a sentence has that form, it constitutes a valid inference. So # is made true by its form—that is, by its syntax.</w:t>
      </w:r>
    </w:p>
    <w:p w14:paraId="7E00290D" w14:textId="77777777" w:rsidR="009A58DB" w:rsidRDefault="00000000">
      <w:pPr>
        <w:pStyle w:val="BodyText"/>
        <w:spacing w:before="3" w:line="249" w:lineRule="auto"/>
        <w:ind w:firstLine="180"/>
        <w:jc w:val="left"/>
      </w:pPr>
      <w:r>
        <w:t>But not all valid entailments hold in virtue of syntax. In fact, most do not.</w:t>
      </w:r>
      <w:r>
        <w:rPr>
          <w:spacing w:val="80"/>
        </w:rPr>
        <w:t xml:space="preserve"> </w:t>
      </w:r>
      <w:r>
        <w:t>Consider the sentence:</w:t>
      </w:r>
    </w:p>
    <w:p w14:paraId="7E00290E" w14:textId="77777777" w:rsidR="009A58DB" w:rsidRDefault="00000000">
      <w:pPr>
        <w:pStyle w:val="BodyText"/>
        <w:spacing w:before="92" w:line="249" w:lineRule="auto"/>
        <w:ind w:left="540" w:hanging="180"/>
        <w:jc w:val="left"/>
      </w:pPr>
      <w:r>
        <w:t>^</w:t>
      </w:r>
      <w:r>
        <w:rPr>
          <w:spacing w:val="40"/>
        </w:rPr>
        <w:t xml:space="preserve"> </w:t>
      </w:r>
      <w:r>
        <w:t>If</w:t>
      </w:r>
      <w:r>
        <w:rPr>
          <w:spacing w:val="40"/>
        </w:rPr>
        <w:t xml:space="preserve"> </w:t>
      </w:r>
      <w:r>
        <w:t>Smith</w:t>
      </w:r>
      <w:r>
        <w:rPr>
          <w:spacing w:val="40"/>
        </w:rPr>
        <w:t xml:space="preserve"> </w:t>
      </w:r>
      <w:r>
        <w:t>weighs</w:t>
      </w:r>
      <w:r>
        <w:rPr>
          <w:spacing w:val="40"/>
        </w:rPr>
        <w:t xml:space="preserve"> </w:t>
      </w:r>
      <w:r>
        <w:t>1000</w:t>
      </w:r>
      <w:r>
        <w:rPr>
          <w:spacing w:val="40"/>
        </w:rPr>
        <w:t xml:space="preserve"> </w:t>
      </w:r>
      <w:r>
        <w:t>pounds,</w:t>
      </w:r>
      <w:r>
        <w:rPr>
          <w:spacing w:val="40"/>
        </w:rPr>
        <w:t xml:space="preserve"> </w:t>
      </w:r>
      <w:r>
        <w:t>and</w:t>
      </w:r>
      <w:r>
        <w:rPr>
          <w:spacing w:val="40"/>
        </w:rPr>
        <w:t xml:space="preserve"> </w:t>
      </w:r>
      <w:r>
        <w:t>Jones</w:t>
      </w:r>
      <w:r>
        <w:rPr>
          <w:spacing w:val="40"/>
        </w:rPr>
        <w:t xml:space="preserve"> </w:t>
      </w:r>
      <w:r>
        <w:t>weighs</w:t>
      </w:r>
      <w:r>
        <w:rPr>
          <w:spacing w:val="40"/>
        </w:rPr>
        <w:t xml:space="preserve"> </w:t>
      </w:r>
      <w:r>
        <w:t>80</w:t>
      </w:r>
      <w:r>
        <w:rPr>
          <w:spacing w:val="40"/>
        </w:rPr>
        <w:t xml:space="preserve"> </w:t>
      </w:r>
      <w:r>
        <w:t>pounds,</w:t>
      </w:r>
      <w:r>
        <w:rPr>
          <w:spacing w:val="40"/>
        </w:rPr>
        <w:t xml:space="preserve"> </w:t>
      </w:r>
      <w:r>
        <w:t>then</w:t>
      </w:r>
      <w:r>
        <w:rPr>
          <w:spacing w:val="40"/>
        </w:rPr>
        <w:t xml:space="preserve"> </w:t>
      </w:r>
      <w:r>
        <w:t>Smith weighs more than Jones.</w:t>
      </w:r>
    </w:p>
    <w:p w14:paraId="7E00290F" w14:textId="77777777" w:rsidR="009A58DB" w:rsidRDefault="00000000">
      <w:pPr>
        <w:pStyle w:val="BodyText"/>
        <w:spacing w:before="108" w:line="249" w:lineRule="auto"/>
        <w:jc w:val="left"/>
      </w:pPr>
      <w:r>
        <w:t>Obviously</w:t>
      </w:r>
      <w:r>
        <w:rPr>
          <w:spacing w:val="27"/>
        </w:rPr>
        <w:t xml:space="preserve"> </w:t>
      </w:r>
      <w:r>
        <w:t>^</w:t>
      </w:r>
      <w:r>
        <w:rPr>
          <w:spacing w:val="28"/>
        </w:rPr>
        <w:t xml:space="preserve"> </w:t>
      </w:r>
      <w:r>
        <w:t>is</w:t>
      </w:r>
      <w:r>
        <w:rPr>
          <w:spacing w:val="27"/>
        </w:rPr>
        <w:t xml:space="preserve"> </w:t>
      </w:r>
      <w:r>
        <w:t>valid.</w:t>
      </w:r>
      <w:r>
        <w:rPr>
          <w:spacing w:val="28"/>
        </w:rPr>
        <w:t xml:space="preserve"> </w:t>
      </w:r>
      <w:r>
        <w:t>But</w:t>
      </w:r>
      <w:r>
        <w:rPr>
          <w:spacing w:val="27"/>
        </w:rPr>
        <w:t xml:space="preserve"> </w:t>
      </w:r>
      <w:r>
        <w:t>its</w:t>
      </w:r>
      <w:r>
        <w:rPr>
          <w:spacing w:val="28"/>
        </w:rPr>
        <w:t xml:space="preserve"> </w:t>
      </w:r>
      <w:r>
        <w:t>form</w:t>
      </w:r>
      <w:r>
        <w:rPr>
          <w:spacing w:val="28"/>
        </w:rPr>
        <w:t xml:space="preserve"> </w:t>
      </w:r>
      <w:r>
        <w:t>(i.e.,</w:t>
      </w:r>
      <w:r>
        <w:rPr>
          <w:spacing w:val="27"/>
        </w:rPr>
        <w:t xml:space="preserve"> </w:t>
      </w:r>
      <w:r>
        <w:t>its</w:t>
      </w:r>
      <w:r>
        <w:rPr>
          <w:spacing w:val="28"/>
        </w:rPr>
        <w:t xml:space="preserve"> </w:t>
      </w:r>
      <w:r>
        <w:t>syntax)</w:t>
      </w:r>
      <w:r>
        <w:rPr>
          <w:spacing w:val="27"/>
        </w:rPr>
        <w:t xml:space="preserve"> </w:t>
      </w:r>
      <w:r>
        <w:t>isn’t</w:t>
      </w:r>
      <w:r>
        <w:rPr>
          <w:spacing w:val="28"/>
        </w:rPr>
        <w:t xml:space="preserve"> </w:t>
      </w:r>
      <w:r>
        <w:t>what</w:t>
      </w:r>
      <w:r>
        <w:rPr>
          <w:spacing w:val="27"/>
        </w:rPr>
        <w:t xml:space="preserve"> </w:t>
      </w:r>
      <w:r>
        <w:t>makes</w:t>
      </w:r>
      <w:r>
        <w:rPr>
          <w:spacing w:val="28"/>
        </w:rPr>
        <w:t xml:space="preserve"> </w:t>
      </w:r>
      <w:r>
        <w:t>it</w:t>
      </w:r>
      <w:r>
        <w:rPr>
          <w:spacing w:val="28"/>
        </w:rPr>
        <w:t xml:space="preserve"> </w:t>
      </w:r>
      <w:r>
        <w:t>true, since that sentence has the same syntax as:</w:t>
      </w:r>
    </w:p>
    <w:p w14:paraId="7E002910" w14:textId="77777777" w:rsidR="009A58DB" w:rsidRDefault="00000000">
      <w:pPr>
        <w:pStyle w:val="BodyText"/>
        <w:spacing w:before="107" w:line="249" w:lineRule="auto"/>
        <w:ind w:left="540" w:hanging="180"/>
        <w:jc w:val="left"/>
      </w:pPr>
      <w:r>
        <w:t>^^</w:t>
      </w:r>
      <w:r>
        <w:rPr>
          <w:spacing w:val="31"/>
        </w:rPr>
        <w:t xml:space="preserve"> </w:t>
      </w:r>
      <w:r>
        <w:t>If</w:t>
      </w:r>
      <w:r>
        <w:rPr>
          <w:spacing w:val="31"/>
        </w:rPr>
        <w:t xml:space="preserve"> </w:t>
      </w:r>
      <w:r>
        <w:t>Smith</w:t>
      </w:r>
      <w:r>
        <w:rPr>
          <w:spacing w:val="32"/>
        </w:rPr>
        <w:t xml:space="preserve"> </w:t>
      </w:r>
      <w:r>
        <w:t>weighs</w:t>
      </w:r>
      <w:r>
        <w:rPr>
          <w:spacing w:val="31"/>
        </w:rPr>
        <w:t xml:space="preserve"> </w:t>
      </w:r>
      <w:r>
        <w:t>80</w:t>
      </w:r>
      <w:r>
        <w:rPr>
          <w:spacing w:val="31"/>
        </w:rPr>
        <w:t xml:space="preserve"> </w:t>
      </w:r>
      <w:r>
        <w:t>pounds,</w:t>
      </w:r>
      <w:r>
        <w:rPr>
          <w:spacing w:val="32"/>
        </w:rPr>
        <w:t xml:space="preserve"> </w:t>
      </w:r>
      <w:r>
        <w:t>and</w:t>
      </w:r>
      <w:r>
        <w:rPr>
          <w:spacing w:val="31"/>
        </w:rPr>
        <w:t xml:space="preserve"> </w:t>
      </w:r>
      <w:r>
        <w:t>Jones</w:t>
      </w:r>
      <w:r>
        <w:rPr>
          <w:spacing w:val="31"/>
        </w:rPr>
        <w:t xml:space="preserve"> </w:t>
      </w:r>
      <w:r>
        <w:t>weighs</w:t>
      </w:r>
      <w:r>
        <w:rPr>
          <w:spacing w:val="32"/>
        </w:rPr>
        <w:t xml:space="preserve"> </w:t>
      </w:r>
      <w:r>
        <w:t>1000</w:t>
      </w:r>
      <w:r>
        <w:rPr>
          <w:spacing w:val="31"/>
        </w:rPr>
        <w:t xml:space="preserve"> </w:t>
      </w:r>
      <w:r>
        <w:t>pounds,</w:t>
      </w:r>
      <w:r>
        <w:rPr>
          <w:spacing w:val="31"/>
        </w:rPr>
        <w:t xml:space="preserve"> </w:t>
      </w:r>
      <w:r>
        <w:t>then</w:t>
      </w:r>
      <w:r>
        <w:rPr>
          <w:spacing w:val="32"/>
        </w:rPr>
        <w:t xml:space="preserve"> </w:t>
      </w:r>
      <w:r>
        <w:t>Smith weighs more than Jones,</w:t>
      </w:r>
    </w:p>
    <w:p w14:paraId="7E002911" w14:textId="77777777" w:rsidR="009A58DB" w:rsidRDefault="00000000">
      <w:pPr>
        <w:pStyle w:val="BodyText"/>
        <w:spacing w:before="93"/>
        <w:jc w:val="left"/>
      </w:pPr>
      <w:r>
        <w:t>which</w:t>
      </w:r>
      <w:r>
        <w:rPr>
          <w:spacing w:val="-3"/>
        </w:rPr>
        <w:t xml:space="preserve"> </w:t>
      </w:r>
      <w:r>
        <w:t>is</w:t>
      </w:r>
      <w:r>
        <w:rPr>
          <w:spacing w:val="-3"/>
        </w:rPr>
        <w:t xml:space="preserve"> </w:t>
      </w:r>
      <w:r>
        <w:t>obviously</w:t>
      </w:r>
      <w:r>
        <w:rPr>
          <w:spacing w:val="-2"/>
        </w:rPr>
        <w:t xml:space="preserve"> invalid.</w:t>
      </w:r>
    </w:p>
    <w:p w14:paraId="7E002912" w14:textId="77777777" w:rsidR="009A58DB" w:rsidRDefault="00000000">
      <w:pPr>
        <w:pStyle w:val="Heading1"/>
        <w:numPr>
          <w:ilvl w:val="1"/>
          <w:numId w:val="37"/>
        </w:numPr>
        <w:tabs>
          <w:tab w:val="left" w:pos="1409"/>
          <w:tab w:val="left" w:pos="2516"/>
        </w:tabs>
        <w:spacing w:before="211" w:line="490" w:lineRule="atLeast"/>
        <w:ind w:right="1508" w:hanging="2157"/>
      </w:pPr>
      <w:r>
        <w:t>Some</w:t>
      </w:r>
      <w:r>
        <w:rPr>
          <w:spacing w:val="-11"/>
        </w:rPr>
        <w:t xml:space="preserve"> </w:t>
      </w:r>
      <w:r>
        <w:t>notational</w:t>
      </w:r>
      <w:r>
        <w:rPr>
          <w:spacing w:val="-11"/>
        </w:rPr>
        <w:t xml:space="preserve"> </w:t>
      </w:r>
      <w:r>
        <w:t>conventions</w:t>
      </w:r>
      <w:r>
        <w:rPr>
          <w:spacing w:val="-11"/>
        </w:rPr>
        <w:t xml:space="preserve"> </w:t>
      </w:r>
      <w:r>
        <w:t>relevant</w:t>
      </w:r>
      <w:r>
        <w:rPr>
          <w:spacing w:val="-11"/>
        </w:rPr>
        <w:t xml:space="preserve"> </w:t>
      </w:r>
      <w:r>
        <w:t xml:space="preserve">to </w:t>
      </w:r>
      <w:bookmarkStart w:id="569" w:name="_bookmark569"/>
      <w:bookmarkEnd w:id="569"/>
      <w:r>
        <w:rPr>
          <w:color w:val="0562C1"/>
          <w:spacing w:val="-2"/>
          <w:u w:val="single" w:color="0562C1"/>
        </w:rPr>
        <w:t>[427]</w:t>
      </w:r>
    </w:p>
    <w:p w14:paraId="7E002913" w14:textId="77777777" w:rsidR="009A58DB" w:rsidRDefault="00000000">
      <w:pPr>
        <w:spacing w:line="305" w:lineRule="exact"/>
        <w:ind w:left="360"/>
        <w:rPr>
          <w:b/>
          <w:sz w:val="42"/>
        </w:rPr>
      </w:pPr>
      <w:r>
        <w:rPr>
          <w:b/>
          <w:sz w:val="42"/>
        </w:rPr>
        <w:t>formal</w:t>
      </w:r>
      <w:r>
        <w:rPr>
          <w:b/>
          <w:spacing w:val="-4"/>
          <w:sz w:val="42"/>
        </w:rPr>
        <w:t xml:space="preserve"> logic</w:t>
      </w:r>
    </w:p>
    <w:p w14:paraId="7E002914" w14:textId="77777777" w:rsidR="009A58DB" w:rsidRDefault="00000000">
      <w:pPr>
        <w:pStyle w:val="BodyText"/>
        <w:spacing w:before="139" w:line="249" w:lineRule="auto"/>
        <w:jc w:val="left"/>
      </w:pPr>
      <w:r>
        <w:t>Statements</w:t>
      </w:r>
      <w:r>
        <w:rPr>
          <w:spacing w:val="40"/>
        </w:rPr>
        <w:t xml:space="preserve"> </w:t>
      </w:r>
      <w:r>
        <w:t>of</w:t>
      </w:r>
      <w:r>
        <w:rPr>
          <w:spacing w:val="40"/>
        </w:rPr>
        <w:t xml:space="preserve"> </w:t>
      </w:r>
      <w:r>
        <w:t>the</w:t>
      </w:r>
      <w:r>
        <w:rPr>
          <w:spacing w:val="40"/>
        </w:rPr>
        <w:t xml:space="preserve"> </w:t>
      </w:r>
      <w:r>
        <w:t>form</w:t>
      </w:r>
      <w:r>
        <w:rPr>
          <w:spacing w:val="40"/>
        </w:rPr>
        <w:t xml:space="preserve"> </w:t>
      </w:r>
      <w:r>
        <w:t>“if</w:t>
      </w:r>
      <w:r>
        <w:rPr>
          <w:spacing w:val="40"/>
        </w:rPr>
        <w:t xml:space="preserve"> </w:t>
      </w:r>
      <w:r>
        <w:t>P,</w:t>
      </w:r>
      <w:r>
        <w:rPr>
          <w:spacing w:val="40"/>
        </w:rPr>
        <w:t xml:space="preserve"> </w:t>
      </w:r>
      <w:r>
        <w:t>then</w:t>
      </w:r>
      <w:r>
        <w:rPr>
          <w:spacing w:val="40"/>
        </w:rPr>
        <w:t xml:space="preserve"> </w:t>
      </w:r>
      <w:r>
        <w:t>Q”</w:t>
      </w:r>
      <w:r>
        <w:rPr>
          <w:spacing w:val="40"/>
        </w:rPr>
        <w:t xml:space="preserve"> </w:t>
      </w:r>
      <w:r>
        <w:t>are</w:t>
      </w:r>
      <w:r>
        <w:rPr>
          <w:spacing w:val="40"/>
        </w:rPr>
        <w:t xml:space="preserve"> </w:t>
      </w:r>
      <w:r>
        <w:t>known</w:t>
      </w:r>
      <w:r>
        <w:rPr>
          <w:spacing w:val="40"/>
        </w:rPr>
        <w:t xml:space="preserve"> </w:t>
      </w:r>
      <w:r>
        <w:t>as</w:t>
      </w:r>
      <w:r>
        <w:rPr>
          <w:spacing w:val="40"/>
        </w:rPr>
        <w:t xml:space="preserve"> </w:t>
      </w:r>
      <w:r>
        <w:t>“conditionals.”</w:t>
      </w:r>
      <w:r>
        <w:rPr>
          <w:spacing w:val="40"/>
        </w:rPr>
        <w:t xml:space="preserve"> </w:t>
      </w:r>
      <w:r>
        <w:t>The</w:t>
      </w:r>
      <w:r>
        <w:rPr>
          <w:spacing w:val="80"/>
        </w:rPr>
        <w:t xml:space="preserve"> </w:t>
      </w:r>
      <w:r>
        <w:t>expression</w:t>
      </w:r>
      <w:r>
        <w:rPr>
          <w:spacing w:val="-5"/>
        </w:rPr>
        <w:t xml:space="preserve"> </w:t>
      </w:r>
      <w:r>
        <w:t>“→”</w:t>
      </w:r>
      <w:r>
        <w:rPr>
          <w:spacing w:val="-3"/>
        </w:rPr>
        <w:t xml:space="preserve"> </w:t>
      </w:r>
      <w:r>
        <w:t>stands</w:t>
      </w:r>
      <w:r>
        <w:rPr>
          <w:spacing w:val="-4"/>
        </w:rPr>
        <w:t xml:space="preserve"> </w:t>
      </w:r>
      <w:r>
        <w:t>for</w:t>
      </w:r>
      <w:r>
        <w:rPr>
          <w:spacing w:val="-3"/>
        </w:rPr>
        <w:t xml:space="preserve"> </w:t>
      </w:r>
      <w:r>
        <w:t>“if...then.”</w:t>
      </w:r>
      <w:r>
        <w:rPr>
          <w:spacing w:val="-4"/>
        </w:rPr>
        <w:t xml:space="preserve"> </w:t>
      </w:r>
      <w:r>
        <w:t>So</w:t>
      </w:r>
      <w:r>
        <w:rPr>
          <w:spacing w:val="-2"/>
        </w:rPr>
        <w:t xml:space="preserve"> </w:t>
      </w:r>
      <w:r>
        <w:t>“P→Q”</w:t>
      </w:r>
      <w:r>
        <w:rPr>
          <w:spacing w:val="-3"/>
        </w:rPr>
        <w:t xml:space="preserve"> </w:t>
      </w:r>
      <w:r>
        <w:t>means</w:t>
      </w:r>
      <w:r>
        <w:rPr>
          <w:spacing w:val="-4"/>
        </w:rPr>
        <w:t xml:space="preserve"> </w:t>
      </w:r>
      <w:r>
        <w:t>“if</w:t>
      </w:r>
      <w:r>
        <w:rPr>
          <w:spacing w:val="-3"/>
        </w:rPr>
        <w:t xml:space="preserve"> </w:t>
      </w:r>
      <w:r>
        <w:t>P,</w:t>
      </w:r>
      <w:r>
        <w:rPr>
          <w:spacing w:val="-3"/>
        </w:rPr>
        <w:t xml:space="preserve"> </w:t>
      </w:r>
      <w:r>
        <w:t>then</w:t>
      </w:r>
      <w:r>
        <w:rPr>
          <w:spacing w:val="-2"/>
        </w:rPr>
        <w:t xml:space="preserve"> </w:t>
      </w:r>
      <w:r>
        <w:t>Q.”</w:t>
      </w:r>
      <w:r>
        <w:rPr>
          <w:spacing w:val="-3"/>
        </w:rPr>
        <w:t xml:space="preserve"> </w:t>
      </w:r>
      <w:r>
        <w:rPr>
          <w:spacing w:val="-2"/>
        </w:rPr>
        <w:t>Thus,</w:t>
      </w:r>
    </w:p>
    <w:p w14:paraId="7E002915" w14:textId="77777777" w:rsidR="009A58DB" w:rsidRDefault="00000000">
      <w:pPr>
        <w:pStyle w:val="ListParagraph"/>
        <w:numPr>
          <w:ilvl w:val="0"/>
          <w:numId w:val="36"/>
        </w:numPr>
        <w:tabs>
          <w:tab w:val="left" w:pos="782"/>
        </w:tabs>
        <w:spacing w:before="92" w:line="324" w:lineRule="auto"/>
        <w:ind w:right="3246" w:firstLine="0"/>
        <w:rPr>
          <w:sz w:val="30"/>
        </w:rPr>
      </w:pPr>
      <w:r>
        <w:rPr>
          <w:sz w:val="30"/>
        </w:rPr>
        <w:t>Smith</w:t>
      </w:r>
      <w:r>
        <w:rPr>
          <w:spacing w:val="-5"/>
          <w:sz w:val="30"/>
        </w:rPr>
        <w:t xml:space="preserve"> </w:t>
      </w:r>
      <w:r>
        <w:rPr>
          <w:sz w:val="30"/>
        </w:rPr>
        <w:t>has</w:t>
      </w:r>
      <w:r>
        <w:rPr>
          <w:spacing w:val="-5"/>
          <w:sz w:val="30"/>
        </w:rPr>
        <w:t xml:space="preserve"> </w:t>
      </w:r>
      <w:r>
        <w:rPr>
          <w:sz w:val="30"/>
        </w:rPr>
        <w:t>four</w:t>
      </w:r>
      <w:r>
        <w:rPr>
          <w:spacing w:val="-5"/>
          <w:sz w:val="30"/>
        </w:rPr>
        <w:t xml:space="preserve"> </w:t>
      </w:r>
      <w:r>
        <w:rPr>
          <w:sz w:val="30"/>
        </w:rPr>
        <w:t>cars→Smith</w:t>
      </w:r>
      <w:r>
        <w:rPr>
          <w:spacing w:val="-5"/>
          <w:sz w:val="30"/>
        </w:rPr>
        <w:t xml:space="preserve"> </w:t>
      </w:r>
      <w:r>
        <w:rPr>
          <w:sz w:val="30"/>
        </w:rPr>
        <w:t>has</w:t>
      </w:r>
      <w:r>
        <w:rPr>
          <w:spacing w:val="-5"/>
          <w:sz w:val="30"/>
        </w:rPr>
        <w:t xml:space="preserve"> </w:t>
      </w:r>
      <w:r>
        <w:rPr>
          <w:sz w:val="30"/>
        </w:rPr>
        <w:t>more</w:t>
      </w:r>
      <w:r>
        <w:rPr>
          <w:spacing w:val="-5"/>
          <w:sz w:val="30"/>
        </w:rPr>
        <w:t xml:space="preserve"> </w:t>
      </w:r>
      <w:r>
        <w:rPr>
          <w:sz w:val="30"/>
        </w:rPr>
        <w:t>than</w:t>
      </w:r>
      <w:r>
        <w:rPr>
          <w:spacing w:val="-5"/>
          <w:sz w:val="30"/>
        </w:rPr>
        <w:t xml:space="preserve"> </w:t>
      </w:r>
      <w:r>
        <w:rPr>
          <w:sz w:val="30"/>
        </w:rPr>
        <w:t>one</w:t>
      </w:r>
      <w:r>
        <w:rPr>
          <w:spacing w:val="-5"/>
          <w:sz w:val="30"/>
        </w:rPr>
        <w:t xml:space="preserve"> </w:t>
      </w:r>
      <w:r>
        <w:rPr>
          <w:sz w:val="30"/>
        </w:rPr>
        <w:t>car means that</w:t>
      </w:r>
    </w:p>
    <w:p w14:paraId="7E002916" w14:textId="77777777" w:rsidR="009A58DB" w:rsidRDefault="00000000">
      <w:pPr>
        <w:pStyle w:val="ListParagraph"/>
        <w:numPr>
          <w:ilvl w:val="0"/>
          <w:numId w:val="36"/>
        </w:numPr>
        <w:tabs>
          <w:tab w:val="left" w:pos="782"/>
        </w:tabs>
        <w:spacing w:line="344" w:lineRule="exact"/>
        <w:ind w:left="782" w:hanging="422"/>
        <w:rPr>
          <w:sz w:val="30"/>
        </w:rPr>
      </w:pPr>
      <w:r>
        <w:rPr>
          <w:sz w:val="30"/>
        </w:rPr>
        <w:t>If</w:t>
      </w:r>
      <w:r>
        <w:rPr>
          <w:spacing w:val="-5"/>
          <w:sz w:val="30"/>
        </w:rPr>
        <w:t xml:space="preserve"> </w:t>
      </w:r>
      <w:r>
        <w:rPr>
          <w:sz w:val="30"/>
        </w:rPr>
        <w:t>Smith</w:t>
      </w:r>
      <w:r>
        <w:rPr>
          <w:spacing w:val="-2"/>
          <w:sz w:val="30"/>
        </w:rPr>
        <w:t xml:space="preserve"> </w:t>
      </w:r>
      <w:r>
        <w:rPr>
          <w:sz w:val="30"/>
        </w:rPr>
        <w:t>has</w:t>
      </w:r>
      <w:r>
        <w:rPr>
          <w:spacing w:val="-3"/>
          <w:sz w:val="30"/>
        </w:rPr>
        <w:t xml:space="preserve"> </w:t>
      </w:r>
      <w:r>
        <w:rPr>
          <w:sz w:val="30"/>
        </w:rPr>
        <w:t>four</w:t>
      </w:r>
      <w:r>
        <w:rPr>
          <w:spacing w:val="-3"/>
          <w:sz w:val="30"/>
        </w:rPr>
        <w:t xml:space="preserve"> </w:t>
      </w:r>
      <w:r>
        <w:rPr>
          <w:sz w:val="30"/>
        </w:rPr>
        <w:t>cars,</w:t>
      </w:r>
      <w:r>
        <w:rPr>
          <w:spacing w:val="-2"/>
          <w:sz w:val="30"/>
        </w:rPr>
        <w:t xml:space="preserve"> </w:t>
      </w:r>
      <w:r>
        <w:rPr>
          <w:sz w:val="30"/>
        </w:rPr>
        <w:t>then</w:t>
      </w:r>
      <w:r>
        <w:rPr>
          <w:spacing w:val="-2"/>
          <w:sz w:val="30"/>
        </w:rPr>
        <w:t xml:space="preserve"> </w:t>
      </w:r>
      <w:r>
        <w:rPr>
          <w:sz w:val="30"/>
        </w:rPr>
        <w:t>Smith</w:t>
      </w:r>
      <w:r>
        <w:rPr>
          <w:spacing w:val="-3"/>
          <w:sz w:val="30"/>
        </w:rPr>
        <w:t xml:space="preserve"> </w:t>
      </w:r>
      <w:r>
        <w:rPr>
          <w:sz w:val="30"/>
        </w:rPr>
        <w:t>has</w:t>
      </w:r>
      <w:r>
        <w:rPr>
          <w:spacing w:val="-2"/>
          <w:sz w:val="30"/>
        </w:rPr>
        <w:t xml:space="preserve"> </w:t>
      </w:r>
      <w:r>
        <w:rPr>
          <w:sz w:val="30"/>
        </w:rPr>
        <w:t>more</w:t>
      </w:r>
      <w:r>
        <w:rPr>
          <w:spacing w:val="-3"/>
          <w:sz w:val="30"/>
        </w:rPr>
        <w:t xml:space="preserve"> </w:t>
      </w:r>
      <w:r>
        <w:rPr>
          <w:sz w:val="30"/>
        </w:rPr>
        <w:t>than</w:t>
      </w:r>
      <w:r>
        <w:rPr>
          <w:spacing w:val="-3"/>
          <w:sz w:val="30"/>
        </w:rPr>
        <w:t xml:space="preserve"> </w:t>
      </w:r>
      <w:r>
        <w:rPr>
          <w:sz w:val="30"/>
        </w:rPr>
        <w:t>one</w:t>
      </w:r>
      <w:r>
        <w:rPr>
          <w:spacing w:val="-2"/>
          <w:sz w:val="30"/>
        </w:rPr>
        <w:t xml:space="preserve"> </w:t>
      </w:r>
      <w:r>
        <w:rPr>
          <w:spacing w:val="-4"/>
          <w:sz w:val="30"/>
        </w:rPr>
        <w:t>car.</w:t>
      </w:r>
    </w:p>
    <w:p w14:paraId="7E002917" w14:textId="77777777" w:rsidR="009A58DB" w:rsidRDefault="00000000">
      <w:pPr>
        <w:pStyle w:val="BodyText"/>
        <w:spacing w:before="105" w:line="249" w:lineRule="auto"/>
        <w:jc w:val="left"/>
      </w:pPr>
      <w:r>
        <w:t>Thus,</w:t>
      </w:r>
      <w:r>
        <w:rPr>
          <w:spacing w:val="29"/>
        </w:rPr>
        <w:t xml:space="preserve"> </w:t>
      </w:r>
      <w:r>
        <w:t>“P→Q”</w:t>
      </w:r>
      <w:r>
        <w:rPr>
          <w:spacing w:val="29"/>
        </w:rPr>
        <w:t xml:space="preserve"> </w:t>
      </w:r>
      <w:r>
        <w:t>can</w:t>
      </w:r>
      <w:r>
        <w:rPr>
          <w:spacing w:val="29"/>
        </w:rPr>
        <w:t xml:space="preserve"> </w:t>
      </w:r>
      <w:r>
        <w:t>be</w:t>
      </w:r>
      <w:r>
        <w:rPr>
          <w:spacing w:val="29"/>
        </w:rPr>
        <w:t xml:space="preserve"> </w:t>
      </w:r>
      <w:r>
        <w:t>taken</w:t>
      </w:r>
      <w:r>
        <w:rPr>
          <w:spacing w:val="29"/>
        </w:rPr>
        <w:t xml:space="preserve"> </w:t>
      </w:r>
      <w:r>
        <w:t>to</w:t>
      </w:r>
      <w:r>
        <w:rPr>
          <w:spacing w:val="29"/>
        </w:rPr>
        <w:t xml:space="preserve"> </w:t>
      </w:r>
      <w:r>
        <w:t>mean</w:t>
      </w:r>
      <w:r>
        <w:rPr>
          <w:spacing w:val="29"/>
        </w:rPr>
        <w:t xml:space="preserve"> </w:t>
      </w:r>
      <w:r>
        <w:t>that</w:t>
      </w:r>
      <w:r>
        <w:rPr>
          <w:spacing w:val="29"/>
        </w:rPr>
        <w:t xml:space="preserve"> </w:t>
      </w:r>
      <w:r>
        <w:t>P</w:t>
      </w:r>
      <w:r>
        <w:rPr>
          <w:spacing w:val="29"/>
        </w:rPr>
        <w:t xml:space="preserve"> </w:t>
      </w:r>
      <w:r>
        <w:t>implies</w:t>
      </w:r>
      <w:r>
        <w:rPr>
          <w:spacing w:val="29"/>
        </w:rPr>
        <w:t xml:space="preserve"> </w:t>
      </w:r>
      <w:r>
        <w:t>Q.</w:t>
      </w:r>
      <w:r>
        <w:rPr>
          <w:spacing w:val="29"/>
        </w:rPr>
        <w:t xml:space="preserve"> </w:t>
      </w:r>
      <w:r>
        <w:t>Thus</w:t>
      </w:r>
      <w:r>
        <w:rPr>
          <w:spacing w:val="29"/>
        </w:rPr>
        <w:t xml:space="preserve"> </w:t>
      </w:r>
      <w:r>
        <w:t>“→”</w:t>
      </w:r>
      <w:r>
        <w:rPr>
          <w:spacing w:val="29"/>
        </w:rPr>
        <w:t xml:space="preserve"> </w:t>
      </w:r>
      <w:r>
        <w:t xml:space="preserve">expresses </w:t>
      </w:r>
      <w:r>
        <w:rPr>
          <w:spacing w:val="-2"/>
        </w:rPr>
        <w:t>implication.</w:t>
      </w:r>
    </w:p>
    <w:p w14:paraId="7E002918" w14:textId="77777777" w:rsidR="009A58DB" w:rsidRDefault="009A58DB">
      <w:pPr>
        <w:pStyle w:val="BodyText"/>
        <w:spacing w:before="18"/>
        <w:ind w:left="0"/>
        <w:jc w:val="left"/>
      </w:pPr>
    </w:p>
    <w:p w14:paraId="7E002919" w14:textId="77777777" w:rsidR="009A58DB" w:rsidRDefault="00000000">
      <w:pPr>
        <w:spacing w:line="249" w:lineRule="auto"/>
        <w:ind w:left="360" w:right="358" w:firstLine="360"/>
        <w:jc w:val="both"/>
        <w:rPr>
          <w:sz w:val="30"/>
        </w:rPr>
      </w:pPr>
      <w:r>
        <w:rPr>
          <w:sz w:val="30"/>
        </w:rPr>
        <w:t xml:space="preserve">As we will use the expression “→,” the expression “P→Q” means that P </w:t>
      </w:r>
      <w:r>
        <w:rPr>
          <w:i/>
          <w:sz w:val="30"/>
        </w:rPr>
        <w:t xml:space="preserve">entails </w:t>
      </w:r>
      <w:r>
        <w:rPr>
          <w:sz w:val="30"/>
        </w:rPr>
        <w:t xml:space="preserve">Q, i.e., that it is </w:t>
      </w:r>
      <w:r>
        <w:rPr>
          <w:i/>
          <w:sz w:val="30"/>
        </w:rPr>
        <w:t xml:space="preserve">impossible for P to be true if Q is false. </w:t>
      </w:r>
      <w:r>
        <w:rPr>
          <w:sz w:val="30"/>
        </w:rPr>
        <w:t xml:space="preserve">In other words, “→” expresses what is sometimes referred to as </w:t>
      </w:r>
      <w:r>
        <w:rPr>
          <w:b/>
          <w:i/>
          <w:sz w:val="30"/>
        </w:rPr>
        <w:t xml:space="preserve">strict entailment. </w:t>
      </w:r>
      <w:r>
        <w:rPr>
          <w:sz w:val="30"/>
        </w:rPr>
        <w:t>(P</w:t>
      </w:r>
    </w:p>
    <w:p w14:paraId="7E00291A"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91B" w14:textId="77777777" w:rsidR="009A58DB" w:rsidRDefault="00000000">
      <w:pPr>
        <w:pStyle w:val="BodyText"/>
        <w:spacing w:before="62" w:line="249" w:lineRule="auto"/>
        <w:ind w:right="359"/>
      </w:pPr>
      <w:r>
        <w:lastRenderedPageBreak/>
        <w:t xml:space="preserve">strictly entails Q if, supposing that P is true, there is no way that Q can be false. In this work, “entailment” and “strict entailment” are synonymous </w:t>
      </w:r>
      <w:r>
        <w:rPr>
          <w:spacing w:val="-2"/>
        </w:rPr>
        <w:t>expressions.)</w:t>
      </w:r>
    </w:p>
    <w:p w14:paraId="7E00291C" w14:textId="77777777" w:rsidR="009A58DB" w:rsidRDefault="00000000">
      <w:pPr>
        <w:pStyle w:val="BodyText"/>
        <w:spacing w:before="6" w:line="249" w:lineRule="auto"/>
        <w:ind w:right="371" w:firstLine="360"/>
      </w:pPr>
      <w:r>
        <w:t>This</w:t>
      </w:r>
      <w:r>
        <w:rPr>
          <w:spacing w:val="-4"/>
        </w:rPr>
        <w:t xml:space="preserve"> </w:t>
      </w:r>
      <w:r>
        <w:t>isn’t</w:t>
      </w:r>
      <w:r>
        <w:rPr>
          <w:spacing w:val="-4"/>
        </w:rPr>
        <w:t xml:space="preserve"> </w:t>
      </w:r>
      <w:r>
        <w:t>how</w:t>
      </w:r>
      <w:r>
        <w:rPr>
          <w:spacing w:val="-4"/>
        </w:rPr>
        <w:t xml:space="preserve"> </w:t>
      </w:r>
      <w:r>
        <w:t>“→”</w:t>
      </w:r>
      <w:r>
        <w:rPr>
          <w:spacing w:val="-4"/>
        </w:rPr>
        <w:t xml:space="preserve"> </w:t>
      </w:r>
      <w:r>
        <w:t>is</w:t>
      </w:r>
      <w:r>
        <w:rPr>
          <w:spacing w:val="-4"/>
        </w:rPr>
        <w:t xml:space="preserve"> </w:t>
      </w:r>
      <w:r>
        <w:t>typically</w:t>
      </w:r>
      <w:r>
        <w:rPr>
          <w:spacing w:val="-3"/>
        </w:rPr>
        <w:t xml:space="preserve"> </w:t>
      </w:r>
      <w:r>
        <w:t>used.</w:t>
      </w:r>
      <w:r>
        <w:rPr>
          <w:spacing w:val="-3"/>
        </w:rPr>
        <w:t xml:space="preserve"> </w:t>
      </w:r>
      <w:r>
        <w:t>It</w:t>
      </w:r>
      <w:r>
        <w:rPr>
          <w:spacing w:val="-4"/>
        </w:rPr>
        <w:t xml:space="preserve"> </w:t>
      </w:r>
      <w:r>
        <w:t>is</w:t>
      </w:r>
      <w:r>
        <w:rPr>
          <w:spacing w:val="-4"/>
        </w:rPr>
        <w:t xml:space="preserve"> </w:t>
      </w:r>
      <w:r>
        <w:t>typically</w:t>
      </w:r>
      <w:r>
        <w:rPr>
          <w:spacing w:val="-3"/>
        </w:rPr>
        <w:t xml:space="preserve"> </w:t>
      </w:r>
      <w:r>
        <w:t>used</w:t>
      </w:r>
      <w:r>
        <w:rPr>
          <w:spacing w:val="-3"/>
        </w:rPr>
        <w:t xml:space="preserve"> </w:t>
      </w:r>
      <w:r>
        <w:t>to</w:t>
      </w:r>
      <w:r>
        <w:rPr>
          <w:spacing w:val="-3"/>
        </w:rPr>
        <w:t xml:space="preserve"> </w:t>
      </w:r>
      <w:r>
        <w:t>express</w:t>
      </w:r>
      <w:r>
        <w:rPr>
          <w:spacing w:val="-4"/>
        </w:rPr>
        <w:t xml:space="preserve"> </w:t>
      </w:r>
      <w:r>
        <w:t>a</w:t>
      </w:r>
      <w:r>
        <w:rPr>
          <w:spacing w:val="-4"/>
        </w:rPr>
        <w:t xml:space="preserve"> </w:t>
      </w:r>
      <w:r>
        <w:t xml:space="preserve">much weaker notion known as </w:t>
      </w:r>
      <w:r>
        <w:rPr>
          <w:b/>
          <w:i/>
        </w:rPr>
        <w:t xml:space="preserve">material implication. </w:t>
      </w:r>
      <w:r>
        <w:t>This term is defined below.</w:t>
      </w:r>
    </w:p>
    <w:p w14:paraId="7E00291D" w14:textId="77777777" w:rsidR="009A58DB" w:rsidRDefault="00000000">
      <w:pPr>
        <w:pStyle w:val="BodyText"/>
        <w:spacing w:before="108" w:line="249" w:lineRule="auto"/>
        <w:ind w:right="367"/>
      </w:pPr>
      <w:r>
        <w:rPr>
          <w:b/>
          <w:i/>
        </w:rPr>
        <w:t>Biconditionals and “</w:t>
      </w:r>
      <w:r>
        <w:t>↔</w:t>
      </w:r>
      <w:r>
        <w:rPr>
          <w:b/>
          <w:i/>
        </w:rPr>
        <w:t>”:</w:t>
      </w:r>
      <w:r>
        <w:rPr>
          <w:b/>
          <w:i/>
          <w:spacing w:val="-3"/>
        </w:rPr>
        <w:t xml:space="preserve"> </w:t>
      </w:r>
      <w:r>
        <w:t>Statements of the form “if P then Q, and if Q then P”</w:t>
      </w:r>
      <w:r>
        <w:rPr>
          <w:spacing w:val="-5"/>
        </w:rPr>
        <w:t xml:space="preserve"> </w:t>
      </w:r>
      <w:r>
        <w:t>are</w:t>
      </w:r>
      <w:r>
        <w:rPr>
          <w:spacing w:val="-5"/>
        </w:rPr>
        <w:t xml:space="preserve"> </w:t>
      </w:r>
      <w:r>
        <w:t>known</w:t>
      </w:r>
      <w:r>
        <w:rPr>
          <w:spacing w:val="-4"/>
        </w:rPr>
        <w:t xml:space="preserve"> </w:t>
      </w:r>
      <w:r>
        <w:t>as</w:t>
      </w:r>
      <w:r>
        <w:rPr>
          <w:spacing w:val="-5"/>
        </w:rPr>
        <w:t xml:space="preserve"> </w:t>
      </w:r>
      <w:r>
        <w:t>“biconditionals.”</w:t>
      </w:r>
      <w:r>
        <w:rPr>
          <w:spacing w:val="-5"/>
        </w:rPr>
        <w:t xml:space="preserve"> </w:t>
      </w:r>
      <w:r>
        <w:t>When</w:t>
      </w:r>
      <w:r>
        <w:rPr>
          <w:spacing w:val="-4"/>
        </w:rPr>
        <w:t xml:space="preserve"> </w:t>
      </w:r>
      <w:r>
        <w:t>stated</w:t>
      </w:r>
      <w:r>
        <w:rPr>
          <w:spacing w:val="-4"/>
        </w:rPr>
        <w:t xml:space="preserve"> </w:t>
      </w:r>
      <w:r>
        <w:t>in</w:t>
      </w:r>
      <w:r>
        <w:rPr>
          <w:spacing w:val="-4"/>
        </w:rPr>
        <w:t xml:space="preserve"> </w:t>
      </w:r>
      <w:r>
        <w:t>non-artificial</w:t>
      </w:r>
      <w:r>
        <w:rPr>
          <w:spacing w:val="-5"/>
        </w:rPr>
        <w:t xml:space="preserve"> </w:t>
      </w:r>
      <w:r>
        <w:t>notation,</w:t>
      </w:r>
      <w:r>
        <w:rPr>
          <w:spacing w:val="-4"/>
        </w:rPr>
        <w:t xml:space="preserve"> </w:t>
      </w:r>
      <w:r>
        <w:t>“if</w:t>
      </w:r>
      <w:r>
        <w:rPr>
          <w:spacing w:val="-5"/>
        </w:rPr>
        <w:t xml:space="preserve"> </w:t>
      </w:r>
      <w:r>
        <w:t>P then Q, and if Q then P” is typically compressed into “P iff Q” (or “P just in case Q” or “P exactly if Q”). We’ll compress it into: “P↔Q.” So “Smith is a father↔Smith is a male parent” says the same thing as “Smith is a father iff Smith is a male parent.”</w:t>
      </w:r>
    </w:p>
    <w:p w14:paraId="7E00291E" w14:textId="77777777" w:rsidR="009A58DB" w:rsidRDefault="00000000">
      <w:pPr>
        <w:spacing w:before="97" w:line="249" w:lineRule="auto"/>
        <w:ind w:left="360" w:right="366"/>
        <w:jc w:val="both"/>
        <w:rPr>
          <w:sz w:val="30"/>
        </w:rPr>
      </w:pPr>
      <w:r>
        <w:rPr>
          <w:b/>
          <w:i/>
          <w:sz w:val="30"/>
        </w:rPr>
        <w:t xml:space="preserve">Parentheses as indicators of scope: </w:t>
      </w:r>
      <w:r>
        <w:rPr>
          <w:sz w:val="30"/>
        </w:rPr>
        <w:t>Parentheses are used to indicate how sentences are to be grouped together. Consider the sentence:</w:t>
      </w:r>
    </w:p>
    <w:p w14:paraId="7E00291F" w14:textId="77777777" w:rsidR="009A58DB" w:rsidRDefault="00000000">
      <w:pPr>
        <w:pStyle w:val="ListParagraph"/>
        <w:numPr>
          <w:ilvl w:val="0"/>
          <w:numId w:val="36"/>
        </w:numPr>
        <w:tabs>
          <w:tab w:val="left" w:pos="782"/>
        </w:tabs>
        <w:spacing w:before="108"/>
        <w:ind w:left="782" w:hanging="422"/>
        <w:rPr>
          <w:sz w:val="30"/>
        </w:rPr>
      </w:pPr>
      <w:r>
        <w:rPr>
          <w:sz w:val="30"/>
        </w:rPr>
        <w:t>“snow</w:t>
      </w:r>
      <w:r>
        <w:rPr>
          <w:spacing w:val="-6"/>
          <w:sz w:val="30"/>
        </w:rPr>
        <w:t xml:space="preserve"> </w:t>
      </w:r>
      <w:r>
        <w:rPr>
          <w:sz w:val="30"/>
        </w:rPr>
        <w:t>is</w:t>
      </w:r>
      <w:r>
        <w:rPr>
          <w:spacing w:val="-3"/>
          <w:sz w:val="30"/>
        </w:rPr>
        <w:t xml:space="preserve"> </w:t>
      </w:r>
      <w:r>
        <w:rPr>
          <w:sz w:val="30"/>
        </w:rPr>
        <w:t>white</w:t>
      </w:r>
      <w:r>
        <w:rPr>
          <w:spacing w:val="-3"/>
          <w:sz w:val="30"/>
        </w:rPr>
        <w:t xml:space="preserve"> </w:t>
      </w:r>
      <w:r>
        <w:rPr>
          <w:sz w:val="30"/>
        </w:rPr>
        <w:t>and</w:t>
      </w:r>
      <w:r>
        <w:rPr>
          <w:spacing w:val="-3"/>
          <w:sz w:val="30"/>
        </w:rPr>
        <w:t xml:space="preserve"> </w:t>
      </w:r>
      <w:r>
        <w:rPr>
          <w:sz w:val="30"/>
        </w:rPr>
        <w:t>grass</w:t>
      </w:r>
      <w:r>
        <w:rPr>
          <w:spacing w:val="-3"/>
          <w:sz w:val="30"/>
        </w:rPr>
        <w:t xml:space="preserve"> </w:t>
      </w:r>
      <w:r>
        <w:rPr>
          <w:sz w:val="30"/>
        </w:rPr>
        <w:t>is</w:t>
      </w:r>
      <w:r>
        <w:rPr>
          <w:spacing w:val="-3"/>
          <w:sz w:val="30"/>
        </w:rPr>
        <w:t xml:space="preserve"> </w:t>
      </w:r>
      <w:r>
        <w:rPr>
          <w:sz w:val="30"/>
        </w:rPr>
        <w:t>green→grass</w:t>
      </w:r>
      <w:r>
        <w:rPr>
          <w:spacing w:val="-3"/>
          <w:sz w:val="30"/>
        </w:rPr>
        <w:t xml:space="preserve"> </w:t>
      </w:r>
      <w:r>
        <w:rPr>
          <w:sz w:val="30"/>
        </w:rPr>
        <w:t>is</w:t>
      </w:r>
      <w:r>
        <w:rPr>
          <w:spacing w:val="-3"/>
          <w:sz w:val="30"/>
        </w:rPr>
        <w:t xml:space="preserve"> </w:t>
      </w:r>
      <w:r>
        <w:rPr>
          <w:spacing w:val="-2"/>
          <w:sz w:val="30"/>
        </w:rPr>
        <w:t>green.”</w:t>
      </w:r>
    </w:p>
    <w:p w14:paraId="7E002920" w14:textId="77777777" w:rsidR="009A58DB" w:rsidRDefault="00000000">
      <w:pPr>
        <w:pStyle w:val="ListParagraph"/>
        <w:numPr>
          <w:ilvl w:val="0"/>
          <w:numId w:val="35"/>
        </w:numPr>
        <w:tabs>
          <w:tab w:val="left" w:pos="782"/>
        </w:tabs>
        <w:spacing w:before="120"/>
        <w:ind w:left="782" w:hanging="422"/>
        <w:rPr>
          <w:sz w:val="30"/>
        </w:rPr>
      </w:pPr>
      <w:r>
        <w:rPr>
          <w:sz w:val="30"/>
        </w:rPr>
        <w:t>is</w:t>
      </w:r>
      <w:r>
        <w:rPr>
          <w:spacing w:val="-3"/>
          <w:sz w:val="30"/>
        </w:rPr>
        <w:t xml:space="preserve"> </w:t>
      </w:r>
      <w:r>
        <w:rPr>
          <w:sz w:val="30"/>
        </w:rPr>
        <w:t>ambiguous</w:t>
      </w:r>
      <w:r>
        <w:rPr>
          <w:spacing w:val="-3"/>
          <w:sz w:val="30"/>
        </w:rPr>
        <w:t xml:space="preserve"> </w:t>
      </w:r>
      <w:r>
        <w:rPr>
          <w:spacing w:val="-2"/>
          <w:sz w:val="30"/>
        </w:rPr>
        <w:t>between:</w:t>
      </w:r>
    </w:p>
    <w:p w14:paraId="7E002921" w14:textId="77777777" w:rsidR="009A58DB" w:rsidRDefault="00000000">
      <w:pPr>
        <w:pStyle w:val="ListParagraph"/>
        <w:numPr>
          <w:ilvl w:val="0"/>
          <w:numId w:val="35"/>
        </w:numPr>
        <w:tabs>
          <w:tab w:val="left" w:pos="832"/>
        </w:tabs>
        <w:spacing w:before="105" w:line="249" w:lineRule="auto"/>
        <w:ind w:left="360" w:right="370" w:firstLine="0"/>
        <w:rPr>
          <w:sz w:val="30"/>
        </w:rPr>
      </w:pPr>
      <w:r>
        <w:rPr>
          <w:sz w:val="30"/>
        </w:rPr>
        <w:t>it’s</w:t>
      </w:r>
      <w:r>
        <w:rPr>
          <w:spacing w:val="40"/>
          <w:sz w:val="30"/>
        </w:rPr>
        <w:t xml:space="preserve"> </w:t>
      </w:r>
      <w:r>
        <w:rPr>
          <w:sz w:val="30"/>
        </w:rPr>
        <w:t>the</w:t>
      </w:r>
      <w:r>
        <w:rPr>
          <w:spacing w:val="40"/>
          <w:sz w:val="30"/>
        </w:rPr>
        <w:t xml:space="preserve"> </w:t>
      </w:r>
      <w:r>
        <w:rPr>
          <w:sz w:val="30"/>
        </w:rPr>
        <w:t>case</w:t>
      </w:r>
      <w:r>
        <w:rPr>
          <w:spacing w:val="40"/>
          <w:sz w:val="30"/>
        </w:rPr>
        <w:t xml:space="preserve"> </w:t>
      </w:r>
      <w:r>
        <w:rPr>
          <w:sz w:val="30"/>
        </w:rPr>
        <w:t>that</w:t>
      </w:r>
      <w:r>
        <w:rPr>
          <w:spacing w:val="40"/>
          <w:sz w:val="30"/>
        </w:rPr>
        <w:t xml:space="preserve"> </w:t>
      </w:r>
      <w:r>
        <w:rPr>
          <w:sz w:val="30"/>
        </w:rPr>
        <w:t>snow</w:t>
      </w:r>
      <w:r>
        <w:rPr>
          <w:spacing w:val="40"/>
          <w:sz w:val="30"/>
        </w:rPr>
        <w:t xml:space="preserve"> </w:t>
      </w:r>
      <w:r>
        <w:rPr>
          <w:sz w:val="30"/>
        </w:rPr>
        <w:t>is</w:t>
      </w:r>
      <w:r>
        <w:rPr>
          <w:spacing w:val="40"/>
          <w:sz w:val="30"/>
        </w:rPr>
        <w:t xml:space="preserve"> </w:t>
      </w:r>
      <w:r>
        <w:rPr>
          <w:sz w:val="30"/>
        </w:rPr>
        <w:t>white;</w:t>
      </w:r>
      <w:r>
        <w:rPr>
          <w:spacing w:val="40"/>
          <w:sz w:val="30"/>
        </w:rPr>
        <w:t xml:space="preserve"> </w:t>
      </w:r>
      <w:r>
        <w:rPr>
          <w:sz w:val="30"/>
        </w:rPr>
        <w:t>and</w:t>
      </w:r>
      <w:r>
        <w:rPr>
          <w:spacing w:val="40"/>
          <w:sz w:val="30"/>
        </w:rPr>
        <w:t xml:space="preserve"> </w:t>
      </w:r>
      <w:r>
        <w:rPr>
          <w:sz w:val="30"/>
        </w:rPr>
        <w:t>it’s</w:t>
      </w:r>
      <w:r>
        <w:rPr>
          <w:spacing w:val="40"/>
          <w:sz w:val="30"/>
        </w:rPr>
        <w:t xml:space="preserve"> </w:t>
      </w:r>
      <w:r>
        <w:rPr>
          <w:sz w:val="30"/>
        </w:rPr>
        <w:t>also</w:t>
      </w:r>
      <w:r>
        <w:rPr>
          <w:spacing w:val="40"/>
          <w:sz w:val="30"/>
        </w:rPr>
        <w:t xml:space="preserve"> </w:t>
      </w:r>
      <w:r>
        <w:rPr>
          <w:sz w:val="30"/>
        </w:rPr>
        <w:t>the</w:t>
      </w:r>
      <w:r>
        <w:rPr>
          <w:spacing w:val="40"/>
          <w:sz w:val="30"/>
        </w:rPr>
        <w:t xml:space="preserve"> </w:t>
      </w:r>
      <w:r>
        <w:rPr>
          <w:sz w:val="30"/>
        </w:rPr>
        <w:t>case</w:t>
      </w:r>
      <w:r>
        <w:rPr>
          <w:spacing w:val="40"/>
          <w:sz w:val="30"/>
        </w:rPr>
        <w:t xml:space="preserve"> </w:t>
      </w:r>
      <w:r>
        <w:rPr>
          <w:sz w:val="30"/>
        </w:rPr>
        <w:t>that,</w:t>
      </w:r>
      <w:r>
        <w:rPr>
          <w:spacing w:val="40"/>
          <w:sz w:val="30"/>
        </w:rPr>
        <w:t xml:space="preserve"> </w:t>
      </w:r>
      <w:r>
        <w:rPr>
          <w:sz w:val="30"/>
        </w:rPr>
        <w:t>if</w:t>
      </w:r>
      <w:r>
        <w:rPr>
          <w:spacing w:val="40"/>
          <w:sz w:val="30"/>
        </w:rPr>
        <w:t xml:space="preserve"> </w:t>
      </w:r>
      <w:r>
        <w:rPr>
          <w:sz w:val="30"/>
        </w:rPr>
        <w:t>grass</w:t>
      </w:r>
      <w:r>
        <w:rPr>
          <w:spacing w:val="40"/>
          <w:sz w:val="30"/>
        </w:rPr>
        <w:t xml:space="preserve"> </w:t>
      </w:r>
      <w:r>
        <w:rPr>
          <w:sz w:val="30"/>
        </w:rPr>
        <w:t>is green, then grass is green</w:t>
      </w:r>
    </w:p>
    <w:p w14:paraId="7E002922" w14:textId="77777777" w:rsidR="009A58DB" w:rsidRDefault="00000000">
      <w:pPr>
        <w:pStyle w:val="BodyText"/>
        <w:spacing w:before="107"/>
        <w:jc w:val="left"/>
      </w:pPr>
      <w:r>
        <w:rPr>
          <w:spacing w:val="-5"/>
        </w:rPr>
        <w:t>and</w:t>
      </w:r>
    </w:p>
    <w:p w14:paraId="7E002923" w14:textId="77777777" w:rsidR="009A58DB" w:rsidRDefault="00000000">
      <w:pPr>
        <w:pStyle w:val="ListParagraph"/>
        <w:numPr>
          <w:ilvl w:val="0"/>
          <w:numId w:val="35"/>
        </w:numPr>
        <w:tabs>
          <w:tab w:val="left" w:pos="806"/>
        </w:tabs>
        <w:spacing w:before="120" w:line="249" w:lineRule="auto"/>
        <w:ind w:left="360" w:right="364" w:firstLine="0"/>
        <w:rPr>
          <w:sz w:val="30"/>
        </w:rPr>
      </w:pPr>
      <w:r>
        <w:rPr>
          <w:sz w:val="30"/>
        </w:rPr>
        <w:t xml:space="preserve">supposing that it’s the case that snow is white </w:t>
      </w:r>
      <w:r>
        <w:rPr>
          <w:i/>
          <w:sz w:val="30"/>
        </w:rPr>
        <w:t xml:space="preserve">and </w:t>
      </w:r>
      <w:r>
        <w:rPr>
          <w:sz w:val="30"/>
        </w:rPr>
        <w:t>that</w:t>
      </w:r>
      <w:r>
        <w:rPr>
          <w:spacing w:val="26"/>
          <w:sz w:val="30"/>
        </w:rPr>
        <w:t xml:space="preserve"> </w:t>
      </w:r>
      <w:r>
        <w:rPr>
          <w:sz w:val="30"/>
        </w:rPr>
        <w:t>grass</w:t>
      </w:r>
      <w:r>
        <w:rPr>
          <w:spacing w:val="26"/>
          <w:sz w:val="30"/>
        </w:rPr>
        <w:t xml:space="preserve"> </w:t>
      </w:r>
      <w:r>
        <w:rPr>
          <w:sz w:val="30"/>
        </w:rPr>
        <w:t>is</w:t>
      </w:r>
      <w:r>
        <w:rPr>
          <w:spacing w:val="26"/>
          <w:sz w:val="30"/>
        </w:rPr>
        <w:t xml:space="preserve"> </w:t>
      </w:r>
      <w:r>
        <w:rPr>
          <w:sz w:val="30"/>
        </w:rPr>
        <w:t>green,</w:t>
      </w:r>
      <w:r>
        <w:rPr>
          <w:spacing w:val="27"/>
          <w:sz w:val="30"/>
        </w:rPr>
        <w:t xml:space="preserve"> </w:t>
      </w:r>
      <w:r>
        <w:rPr>
          <w:sz w:val="30"/>
        </w:rPr>
        <w:t>it follows that grass is green.</w:t>
      </w:r>
    </w:p>
    <w:p w14:paraId="7E002924" w14:textId="77777777" w:rsidR="009A58DB" w:rsidRDefault="009A58DB">
      <w:pPr>
        <w:pStyle w:val="BodyText"/>
        <w:spacing w:before="212"/>
        <w:ind w:left="0"/>
        <w:jc w:val="left"/>
      </w:pPr>
    </w:p>
    <w:p w14:paraId="7E002925" w14:textId="77777777" w:rsidR="009A58DB" w:rsidRDefault="00000000">
      <w:pPr>
        <w:pStyle w:val="ListParagraph"/>
        <w:numPr>
          <w:ilvl w:val="0"/>
          <w:numId w:val="36"/>
        </w:numPr>
        <w:tabs>
          <w:tab w:val="left" w:pos="805"/>
        </w:tabs>
        <w:spacing w:before="1" w:line="249" w:lineRule="auto"/>
        <w:ind w:right="361" w:firstLine="0"/>
        <w:jc w:val="both"/>
        <w:rPr>
          <w:sz w:val="30"/>
        </w:rPr>
      </w:pPr>
      <w:r>
        <w:rPr>
          <w:sz w:val="30"/>
        </w:rPr>
        <w:t xml:space="preserve">and (5) have different meanings. (5) doesn’t say that snow is white. Nor does it say that grass is green. It says that </w:t>
      </w:r>
      <w:r>
        <w:rPr>
          <w:i/>
          <w:sz w:val="30"/>
        </w:rPr>
        <w:t xml:space="preserve">if </w:t>
      </w:r>
      <w:r>
        <w:rPr>
          <w:sz w:val="30"/>
        </w:rPr>
        <w:t xml:space="preserve">it’s the case that both grass is green and snow is white, </w:t>
      </w:r>
      <w:r>
        <w:rPr>
          <w:i/>
          <w:sz w:val="30"/>
        </w:rPr>
        <w:t>then</w:t>
      </w:r>
      <w:r>
        <w:rPr>
          <w:i/>
          <w:spacing w:val="-2"/>
          <w:sz w:val="30"/>
        </w:rPr>
        <w:t xml:space="preserve"> </w:t>
      </w:r>
      <w:r>
        <w:rPr>
          <w:sz w:val="30"/>
        </w:rPr>
        <w:t>it’s also the case that grass is green. (4), on the other hand, says (among other things) that snow is white. So (4) is false in universes where snow is green. But (5) is true in such universes. (In fact, (5) is true in every possible universe.) Since there are circumstances where (4) is false but (5) is true, they don’t have the same meanings.</w:t>
      </w:r>
    </w:p>
    <w:p w14:paraId="7E002926" w14:textId="77777777" w:rsidR="009A58DB" w:rsidRDefault="00000000">
      <w:pPr>
        <w:pStyle w:val="BodyText"/>
        <w:spacing w:before="8"/>
        <w:ind w:left="720"/>
        <w:rPr>
          <w:i/>
        </w:rPr>
      </w:pPr>
      <w:r>
        <w:t>Modern</w:t>
      </w:r>
      <w:r>
        <w:rPr>
          <w:spacing w:val="28"/>
        </w:rPr>
        <w:t xml:space="preserve"> </w:t>
      </w:r>
      <w:r>
        <w:t>symbolic</w:t>
      </w:r>
      <w:r>
        <w:rPr>
          <w:spacing w:val="30"/>
        </w:rPr>
        <w:t xml:space="preserve"> </w:t>
      </w:r>
      <w:r>
        <w:t>logic</w:t>
      </w:r>
      <w:r>
        <w:rPr>
          <w:spacing w:val="30"/>
        </w:rPr>
        <w:t xml:space="preserve"> </w:t>
      </w:r>
      <w:r>
        <w:t>gives</w:t>
      </w:r>
      <w:r>
        <w:rPr>
          <w:spacing w:val="30"/>
        </w:rPr>
        <w:t xml:space="preserve"> </w:t>
      </w:r>
      <w:r>
        <w:t>us</w:t>
      </w:r>
      <w:r>
        <w:rPr>
          <w:spacing w:val="31"/>
        </w:rPr>
        <w:t xml:space="preserve"> </w:t>
      </w:r>
      <w:r>
        <w:t>a</w:t>
      </w:r>
      <w:r>
        <w:rPr>
          <w:spacing w:val="30"/>
        </w:rPr>
        <w:t xml:space="preserve"> </w:t>
      </w:r>
      <w:r>
        <w:t>way</w:t>
      </w:r>
      <w:r>
        <w:rPr>
          <w:spacing w:val="30"/>
        </w:rPr>
        <w:t xml:space="preserve"> </w:t>
      </w:r>
      <w:r>
        <w:t>of</w:t>
      </w:r>
      <w:r>
        <w:rPr>
          <w:spacing w:val="30"/>
        </w:rPr>
        <w:t xml:space="preserve"> </w:t>
      </w:r>
      <w:r>
        <w:t>avoiding</w:t>
      </w:r>
      <w:r>
        <w:rPr>
          <w:spacing w:val="31"/>
        </w:rPr>
        <w:t xml:space="preserve"> </w:t>
      </w:r>
      <w:r>
        <w:t>the</w:t>
      </w:r>
      <w:r>
        <w:rPr>
          <w:spacing w:val="30"/>
        </w:rPr>
        <w:t xml:space="preserve"> </w:t>
      </w:r>
      <w:r>
        <w:t>laborious</w:t>
      </w:r>
      <w:r>
        <w:rPr>
          <w:spacing w:val="30"/>
        </w:rPr>
        <w:t xml:space="preserve"> </w:t>
      </w:r>
      <w:r>
        <w:rPr>
          <w:i/>
        </w:rPr>
        <w:t>ad</w:t>
      </w:r>
      <w:r>
        <w:rPr>
          <w:i/>
          <w:spacing w:val="29"/>
        </w:rPr>
        <w:t xml:space="preserve"> </w:t>
      </w:r>
      <w:r>
        <w:rPr>
          <w:i/>
          <w:spacing w:val="-5"/>
        </w:rPr>
        <w:t>hoc</w:t>
      </w:r>
    </w:p>
    <w:p w14:paraId="7E002927" w14:textId="77777777" w:rsidR="009A58DB" w:rsidRDefault="00000000">
      <w:pPr>
        <w:pStyle w:val="BodyText"/>
        <w:spacing w:before="15" w:line="324" w:lineRule="auto"/>
        <w:ind w:right="2221"/>
      </w:pPr>
      <w:r>
        <w:t>methods</w:t>
      </w:r>
      <w:r>
        <w:rPr>
          <w:spacing w:val="-5"/>
        </w:rPr>
        <w:t xml:space="preserve"> </w:t>
      </w:r>
      <w:r>
        <w:t>just</w:t>
      </w:r>
      <w:r>
        <w:rPr>
          <w:spacing w:val="-5"/>
        </w:rPr>
        <w:t xml:space="preserve"> </w:t>
      </w:r>
      <w:r>
        <w:t>used</w:t>
      </w:r>
      <w:r>
        <w:rPr>
          <w:spacing w:val="-4"/>
        </w:rPr>
        <w:t xml:space="preserve"> </w:t>
      </w:r>
      <w:r>
        <w:t>to</w:t>
      </w:r>
      <w:r>
        <w:rPr>
          <w:spacing w:val="-4"/>
        </w:rPr>
        <w:t xml:space="preserve"> </w:t>
      </w:r>
      <w:r>
        <w:t>disambiguate</w:t>
      </w:r>
      <w:r>
        <w:rPr>
          <w:spacing w:val="-5"/>
        </w:rPr>
        <w:t xml:space="preserve"> </w:t>
      </w:r>
      <w:r>
        <w:t>(3).</w:t>
      </w:r>
      <w:r>
        <w:rPr>
          <w:spacing w:val="-4"/>
        </w:rPr>
        <w:t xml:space="preserve"> </w:t>
      </w:r>
      <w:r>
        <w:t>To</w:t>
      </w:r>
      <w:r>
        <w:rPr>
          <w:spacing w:val="-4"/>
        </w:rPr>
        <w:t xml:space="preserve"> </w:t>
      </w:r>
      <w:r>
        <w:t>express</w:t>
      </w:r>
      <w:r>
        <w:rPr>
          <w:spacing w:val="-5"/>
        </w:rPr>
        <w:t xml:space="preserve"> </w:t>
      </w:r>
      <w:r>
        <w:t>(5),</w:t>
      </w:r>
      <w:r>
        <w:rPr>
          <w:spacing w:val="-4"/>
        </w:rPr>
        <w:t xml:space="preserve"> </w:t>
      </w:r>
      <w:r>
        <w:t>we</w:t>
      </w:r>
      <w:r>
        <w:rPr>
          <w:spacing w:val="-5"/>
        </w:rPr>
        <w:t xml:space="preserve"> </w:t>
      </w:r>
      <w:r>
        <w:t>say: (3.5) (snow is white and grass is green)→grass is green.</w:t>
      </w:r>
    </w:p>
    <w:p w14:paraId="7E002928" w14:textId="77777777" w:rsidR="009A58DB" w:rsidRDefault="00000000">
      <w:pPr>
        <w:pStyle w:val="BodyText"/>
        <w:spacing w:line="329" w:lineRule="exact"/>
      </w:pPr>
      <w:r>
        <w:t>And</w:t>
      </w:r>
      <w:r>
        <w:rPr>
          <w:spacing w:val="-4"/>
        </w:rPr>
        <w:t xml:space="preserve"> </w:t>
      </w:r>
      <w:r>
        <w:t>to</w:t>
      </w:r>
      <w:r>
        <w:rPr>
          <w:spacing w:val="-2"/>
        </w:rPr>
        <w:t xml:space="preserve"> </w:t>
      </w:r>
      <w:r>
        <w:t>express</w:t>
      </w:r>
      <w:r>
        <w:rPr>
          <w:spacing w:val="-3"/>
        </w:rPr>
        <w:t xml:space="preserve"> </w:t>
      </w:r>
      <w:r>
        <w:t>(4),</w:t>
      </w:r>
      <w:r>
        <w:rPr>
          <w:spacing w:val="-2"/>
        </w:rPr>
        <w:t xml:space="preserve"> </w:t>
      </w:r>
      <w:r>
        <w:t>we</w:t>
      </w:r>
      <w:r>
        <w:rPr>
          <w:spacing w:val="-2"/>
        </w:rPr>
        <w:t xml:space="preserve"> </w:t>
      </w:r>
      <w:r>
        <w:rPr>
          <w:spacing w:val="-4"/>
        </w:rPr>
        <w:t>say:</w:t>
      </w:r>
    </w:p>
    <w:p w14:paraId="7E002929" w14:textId="77777777" w:rsidR="009A58DB" w:rsidRDefault="009A58DB">
      <w:pPr>
        <w:pStyle w:val="BodyText"/>
        <w:spacing w:line="329" w:lineRule="exact"/>
        <w:sectPr w:rsidR="009A58DB">
          <w:pgSz w:w="12240" w:h="15840"/>
          <w:pgMar w:top="1380" w:right="1080" w:bottom="280" w:left="1080" w:header="720" w:footer="720" w:gutter="0"/>
          <w:cols w:space="720"/>
        </w:sectPr>
      </w:pPr>
    </w:p>
    <w:p w14:paraId="7E00292A" w14:textId="77777777" w:rsidR="009A58DB" w:rsidRDefault="00000000">
      <w:pPr>
        <w:pStyle w:val="BodyText"/>
        <w:spacing w:before="65"/>
      </w:pPr>
      <w:r>
        <w:lastRenderedPageBreak/>
        <w:t>(3.4)</w:t>
      </w:r>
      <w:r>
        <w:rPr>
          <w:spacing w:val="-6"/>
        </w:rPr>
        <w:t xml:space="preserve"> </w:t>
      </w:r>
      <w:r>
        <w:t>snow</w:t>
      </w:r>
      <w:r>
        <w:rPr>
          <w:spacing w:val="-3"/>
        </w:rPr>
        <w:t xml:space="preserve"> </w:t>
      </w:r>
      <w:r>
        <w:t>is</w:t>
      </w:r>
      <w:r>
        <w:rPr>
          <w:spacing w:val="-3"/>
        </w:rPr>
        <w:t xml:space="preserve"> </w:t>
      </w:r>
      <w:r>
        <w:t>white</w:t>
      </w:r>
      <w:r>
        <w:rPr>
          <w:spacing w:val="-3"/>
        </w:rPr>
        <w:t xml:space="preserve"> </w:t>
      </w:r>
      <w:r>
        <w:t>and</w:t>
      </w:r>
      <w:r>
        <w:rPr>
          <w:spacing w:val="-2"/>
        </w:rPr>
        <w:t xml:space="preserve"> </w:t>
      </w:r>
      <w:r>
        <w:t>(grass</w:t>
      </w:r>
      <w:r>
        <w:rPr>
          <w:spacing w:val="-3"/>
        </w:rPr>
        <w:t xml:space="preserve"> </w:t>
      </w:r>
      <w:r>
        <w:t>is</w:t>
      </w:r>
      <w:r>
        <w:rPr>
          <w:spacing w:val="-3"/>
        </w:rPr>
        <w:t xml:space="preserve"> </w:t>
      </w:r>
      <w:r>
        <w:t>green→grass</w:t>
      </w:r>
      <w:r>
        <w:rPr>
          <w:spacing w:val="-3"/>
        </w:rPr>
        <w:t xml:space="preserve"> </w:t>
      </w:r>
      <w:r>
        <w:t>is</w:t>
      </w:r>
      <w:r>
        <w:rPr>
          <w:spacing w:val="-3"/>
        </w:rPr>
        <w:t xml:space="preserve"> </w:t>
      </w:r>
      <w:r>
        <w:rPr>
          <w:spacing w:val="-2"/>
        </w:rPr>
        <w:t>green).</w:t>
      </w:r>
    </w:p>
    <w:p w14:paraId="7E00292B" w14:textId="77777777" w:rsidR="009A58DB" w:rsidRDefault="00000000">
      <w:pPr>
        <w:pStyle w:val="BodyText"/>
        <w:spacing w:before="120" w:line="249" w:lineRule="auto"/>
        <w:ind w:right="361" w:firstLine="360"/>
      </w:pPr>
      <w:r>
        <w:t xml:space="preserve">In general, any two co-parenthetical sentences are more tightly bonded to each other than either is to anything that isn’t co-parenthetical with those </w:t>
      </w:r>
      <w:r>
        <w:rPr>
          <w:spacing w:val="-2"/>
        </w:rPr>
        <w:t>sentences.</w:t>
      </w:r>
    </w:p>
    <w:p w14:paraId="7E00292C" w14:textId="77777777" w:rsidR="009A58DB" w:rsidRDefault="00000000">
      <w:pPr>
        <w:pStyle w:val="BodyText"/>
        <w:spacing w:before="93" w:line="249" w:lineRule="auto"/>
        <w:ind w:right="364"/>
      </w:pPr>
      <w:r>
        <w:rPr>
          <w:b/>
          <w:i/>
        </w:rPr>
        <w:t xml:space="preserve">Negation: </w:t>
      </w:r>
      <w:r>
        <w:t>~P is the negation of P. Thus, “~(snow is not white)” is the negation of “snow is white.” This means that “~(snow is not white)” says the same thing as “it is not the case that snow is white.”</w:t>
      </w:r>
    </w:p>
    <w:p w14:paraId="7E00292D" w14:textId="77777777" w:rsidR="009A58DB" w:rsidRDefault="00000000">
      <w:pPr>
        <w:pStyle w:val="BodyText"/>
        <w:spacing w:before="4" w:line="249" w:lineRule="auto"/>
        <w:ind w:right="368" w:firstLine="360"/>
      </w:pPr>
      <w:r>
        <w:t>“~(snow is not white)” doesn’t say that snow is black; nor does it say that snow is green. It says only that snow isn’t white; everything else is left open.</w:t>
      </w:r>
    </w:p>
    <w:p w14:paraId="7E00292E" w14:textId="77777777" w:rsidR="009A58DB" w:rsidRDefault="00000000">
      <w:pPr>
        <w:pStyle w:val="BodyText"/>
        <w:spacing w:before="2" w:line="249" w:lineRule="auto"/>
        <w:ind w:right="360" w:firstLine="360"/>
      </w:pPr>
      <w:r>
        <w:t>The negation of a sentence isn’t the same thing as the “opposite” of that sentence.</w:t>
      </w:r>
      <w:r>
        <w:rPr>
          <w:spacing w:val="-7"/>
        </w:rPr>
        <w:t xml:space="preserve"> </w:t>
      </w:r>
      <w:r>
        <w:t>In</w:t>
      </w:r>
      <w:r>
        <w:rPr>
          <w:spacing w:val="-4"/>
        </w:rPr>
        <w:t xml:space="preserve"> </w:t>
      </w:r>
      <w:r>
        <w:t>modern</w:t>
      </w:r>
      <w:r>
        <w:rPr>
          <w:spacing w:val="-4"/>
        </w:rPr>
        <w:t xml:space="preserve"> </w:t>
      </w:r>
      <w:r>
        <w:t>logic,</w:t>
      </w:r>
      <w:r>
        <w:rPr>
          <w:spacing w:val="-4"/>
        </w:rPr>
        <w:t xml:space="preserve"> </w:t>
      </w:r>
      <w:r>
        <w:t>the</w:t>
      </w:r>
      <w:r>
        <w:rPr>
          <w:spacing w:val="-5"/>
        </w:rPr>
        <w:t xml:space="preserve"> </w:t>
      </w:r>
      <w:r>
        <w:t>word</w:t>
      </w:r>
      <w:r>
        <w:rPr>
          <w:spacing w:val="-4"/>
        </w:rPr>
        <w:t xml:space="preserve"> </w:t>
      </w:r>
      <w:r>
        <w:t>“opposite”</w:t>
      </w:r>
      <w:r>
        <w:rPr>
          <w:spacing w:val="-5"/>
        </w:rPr>
        <w:t xml:space="preserve"> </w:t>
      </w:r>
      <w:r>
        <w:t>has</w:t>
      </w:r>
      <w:r>
        <w:rPr>
          <w:spacing w:val="-5"/>
        </w:rPr>
        <w:t xml:space="preserve"> </w:t>
      </w:r>
      <w:r>
        <w:t>no</w:t>
      </w:r>
      <w:r>
        <w:rPr>
          <w:spacing w:val="-4"/>
        </w:rPr>
        <w:t xml:space="preserve"> </w:t>
      </w:r>
      <w:r>
        <w:t>meaning.</w:t>
      </w:r>
      <w:bookmarkStart w:id="570" w:name="_bookmark570"/>
      <w:bookmarkEnd w:id="570"/>
      <w:r>
        <w:rPr>
          <w:color w:val="0562C1"/>
          <w:position w:val="21"/>
          <w:u w:val="single" w:color="0562C1"/>
        </w:rPr>
        <w:t>[428]</w:t>
      </w:r>
      <w:r>
        <w:rPr>
          <w:color w:val="0562C1"/>
          <w:spacing w:val="-19"/>
          <w:position w:val="21"/>
        </w:rPr>
        <w:t xml:space="preserve"> </w:t>
      </w:r>
      <w:r>
        <w:t>The use of the “~” makes it easy to negate statements that would otherwise be hard to negate without prejudging important issues or using cumbersome constructions. Consider the sentence:</w:t>
      </w:r>
    </w:p>
    <w:p w14:paraId="7E00292F" w14:textId="77777777" w:rsidR="009A58DB" w:rsidRDefault="009A58DB">
      <w:pPr>
        <w:pStyle w:val="BodyText"/>
        <w:spacing w:before="126"/>
        <w:ind w:left="0"/>
        <w:jc w:val="left"/>
      </w:pPr>
    </w:p>
    <w:p w14:paraId="7E002930" w14:textId="77777777" w:rsidR="009A58DB" w:rsidRDefault="00000000">
      <w:pPr>
        <w:pStyle w:val="BodyText"/>
        <w:spacing w:before="1" w:line="249" w:lineRule="auto"/>
        <w:ind w:right="365"/>
        <w:jc w:val="left"/>
      </w:pPr>
      <w:r>
        <w:t>(%) If John likes to listen to Mozart, then Larry likes to listen to Brahms or</w:t>
      </w:r>
      <w:r>
        <w:rPr>
          <w:spacing w:val="80"/>
        </w:rPr>
        <w:t xml:space="preserve"> </w:t>
      </w:r>
      <w:r>
        <w:t>the sky is blue.</w:t>
      </w:r>
    </w:p>
    <w:p w14:paraId="7E002931" w14:textId="77777777" w:rsidR="009A58DB" w:rsidRDefault="00000000">
      <w:pPr>
        <w:pStyle w:val="BodyText"/>
        <w:spacing w:before="107" w:line="249" w:lineRule="auto"/>
        <w:ind w:right="365"/>
        <w:jc w:val="left"/>
      </w:pPr>
      <w:r>
        <w:t>In natural language one way to negate (%) is to put the expression “it is not</w:t>
      </w:r>
      <w:r>
        <w:rPr>
          <w:spacing w:val="80"/>
        </w:rPr>
        <w:t xml:space="preserve"> </w:t>
      </w:r>
      <w:r>
        <w:t>the case that’’ in front of it. The result of this operation is:</w:t>
      </w:r>
    </w:p>
    <w:p w14:paraId="7E002932" w14:textId="77777777" w:rsidR="009A58DB" w:rsidRDefault="00000000">
      <w:pPr>
        <w:pStyle w:val="BodyText"/>
        <w:spacing w:before="93" w:line="292" w:lineRule="auto"/>
        <w:ind w:right="422"/>
        <w:jc w:val="left"/>
      </w:pPr>
      <w:r>
        <w:t>(%</w:t>
      </w:r>
      <w:r>
        <w:rPr>
          <w:vertAlign w:val="subscript"/>
        </w:rPr>
        <w:t>1</w:t>
      </w:r>
      <w:r>
        <w:t>) “it is not the case that if John likes to listen to Mozart, then Larry likes</w:t>
      </w:r>
      <w:r>
        <w:rPr>
          <w:spacing w:val="40"/>
        </w:rPr>
        <w:t xml:space="preserve"> </w:t>
      </w:r>
      <w:r>
        <w:t>to listen to Brahms or the sky is blue.”</w:t>
      </w:r>
    </w:p>
    <w:p w14:paraId="7E002933" w14:textId="77777777" w:rsidR="009A58DB" w:rsidRDefault="00000000">
      <w:pPr>
        <w:pStyle w:val="BodyText"/>
        <w:spacing w:before="43"/>
        <w:jc w:val="left"/>
      </w:pPr>
      <w:r>
        <w:t>But</w:t>
      </w:r>
      <w:r>
        <w:rPr>
          <w:spacing w:val="-2"/>
        </w:rPr>
        <w:t xml:space="preserve"> </w:t>
      </w:r>
      <w:r>
        <w:t>there’s</w:t>
      </w:r>
      <w:r>
        <w:rPr>
          <w:spacing w:val="-1"/>
        </w:rPr>
        <w:t xml:space="preserve"> </w:t>
      </w:r>
      <w:r>
        <w:t>a</w:t>
      </w:r>
      <w:r>
        <w:rPr>
          <w:spacing w:val="-2"/>
        </w:rPr>
        <w:t xml:space="preserve"> </w:t>
      </w:r>
      <w:r>
        <w:t>problem. (%</w:t>
      </w:r>
      <w:r>
        <w:rPr>
          <w:vertAlign w:val="subscript"/>
        </w:rPr>
        <w:t>1</w:t>
      </w:r>
      <w:r>
        <w:t>)</w:t>
      </w:r>
      <w:r>
        <w:rPr>
          <w:spacing w:val="-1"/>
        </w:rPr>
        <w:t xml:space="preserve"> </w:t>
      </w:r>
      <w:r>
        <w:t>is</w:t>
      </w:r>
      <w:r>
        <w:rPr>
          <w:spacing w:val="-2"/>
        </w:rPr>
        <w:t xml:space="preserve"> </w:t>
      </w:r>
      <w:r>
        <w:t>ambiguous, as</w:t>
      </w:r>
      <w:r>
        <w:rPr>
          <w:spacing w:val="-1"/>
        </w:rPr>
        <w:t xml:space="preserve"> </w:t>
      </w:r>
      <w:r>
        <w:t>it</w:t>
      </w:r>
      <w:r>
        <w:rPr>
          <w:spacing w:val="-2"/>
        </w:rPr>
        <w:t xml:space="preserve"> </w:t>
      </w:r>
      <w:r>
        <w:t>could mean</w:t>
      </w:r>
      <w:r>
        <w:rPr>
          <w:spacing w:val="-1"/>
        </w:rPr>
        <w:t xml:space="preserve"> </w:t>
      </w:r>
      <w:r>
        <w:rPr>
          <w:spacing w:val="-2"/>
        </w:rPr>
        <w:t>either:</w:t>
      </w:r>
    </w:p>
    <w:p w14:paraId="7E002934" w14:textId="77777777" w:rsidR="009A58DB" w:rsidRDefault="00000000">
      <w:pPr>
        <w:pStyle w:val="BodyText"/>
        <w:spacing w:before="180" w:line="292" w:lineRule="auto"/>
        <w:ind w:right="422"/>
        <w:jc w:val="left"/>
      </w:pPr>
      <w:r>
        <w:t>(%</w:t>
      </w:r>
      <w:r>
        <w:rPr>
          <w:vertAlign w:val="subscript"/>
        </w:rPr>
        <w:t>2</w:t>
      </w:r>
      <w:r>
        <w:t>) either the sky is blue or it is not the case Larry likes to listen to Brahms if John likes to listen to Mozart</w:t>
      </w:r>
    </w:p>
    <w:p w14:paraId="7E002935" w14:textId="77777777" w:rsidR="009A58DB" w:rsidRDefault="00000000">
      <w:pPr>
        <w:pStyle w:val="BodyText"/>
        <w:spacing w:before="28"/>
        <w:jc w:val="left"/>
      </w:pPr>
      <w:r>
        <w:rPr>
          <w:spacing w:val="-5"/>
        </w:rPr>
        <w:t>or</w:t>
      </w:r>
    </w:p>
    <w:p w14:paraId="7E002936" w14:textId="77777777" w:rsidR="009A58DB" w:rsidRDefault="00000000">
      <w:pPr>
        <w:pStyle w:val="BodyText"/>
        <w:spacing w:before="120" w:line="292" w:lineRule="auto"/>
        <w:ind w:right="365"/>
        <w:jc w:val="left"/>
      </w:pPr>
      <w:r>
        <w:t>(%</w:t>
      </w:r>
      <w:r>
        <w:rPr>
          <w:vertAlign w:val="subscript"/>
        </w:rPr>
        <w:t>3</w:t>
      </w:r>
      <w:r>
        <w:t>) it isn’t the case that the sky is blue; nor is it the case that Larry likes to</w:t>
      </w:r>
      <w:r>
        <w:rPr>
          <w:spacing w:val="40"/>
        </w:rPr>
        <w:t xml:space="preserve"> </w:t>
      </w:r>
      <w:r>
        <w:t>listen to Brahms if John likes to listen to Mozart.</w:t>
      </w:r>
    </w:p>
    <w:p w14:paraId="7E002937" w14:textId="77777777" w:rsidR="009A58DB" w:rsidRDefault="00000000">
      <w:pPr>
        <w:pStyle w:val="BodyText"/>
        <w:spacing w:before="43" w:line="249" w:lineRule="auto"/>
        <w:ind w:right="359" w:firstLine="360"/>
      </w:pPr>
      <w:r>
        <w:t xml:space="preserve">It takes work to come up with each of these two sentences. Each of the original two sentences had to be reparsed; and in each case this reparsing involved the use of methods that, being </w:t>
      </w:r>
      <w:r>
        <w:rPr>
          <w:i/>
        </w:rPr>
        <w:t xml:space="preserve">ad hoc, </w:t>
      </w:r>
      <w:r>
        <w:t>could be arrived at only through</w:t>
      </w:r>
      <w:r>
        <w:rPr>
          <w:spacing w:val="40"/>
        </w:rPr>
        <w:t xml:space="preserve"> </w:t>
      </w:r>
      <w:r>
        <w:t>a</w:t>
      </w:r>
      <w:r>
        <w:rPr>
          <w:spacing w:val="40"/>
        </w:rPr>
        <w:t xml:space="preserve"> </w:t>
      </w:r>
      <w:r>
        <w:t>creative</w:t>
      </w:r>
      <w:r>
        <w:rPr>
          <w:spacing w:val="40"/>
        </w:rPr>
        <w:t xml:space="preserve"> </w:t>
      </w:r>
      <w:r>
        <w:t>insight</w:t>
      </w:r>
      <w:r>
        <w:rPr>
          <w:spacing w:val="40"/>
        </w:rPr>
        <w:t xml:space="preserve"> </w:t>
      </w:r>
      <w:r>
        <w:t>and</w:t>
      </w:r>
      <w:r>
        <w:rPr>
          <w:spacing w:val="40"/>
        </w:rPr>
        <w:t xml:space="preserve"> </w:t>
      </w:r>
      <w:r>
        <w:t>logical</w:t>
      </w:r>
      <w:r>
        <w:rPr>
          <w:spacing w:val="40"/>
        </w:rPr>
        <w:t xml:space="preserve"> </w:t>
      </w:r>
      <w:r>
        <w:t>inference.</w:t>
      </w:r>
      <w:r>
        <w:rPr>
          <w:spacing w:val="40"/>
        </w:rPr>
        <w:t xml:space="preserve"> </w:t>
      </w:r>
      <w:r>
        <w:t>Such</w:t>
      </w:r>
      <w:r>
        <w:rPr>
          <w:spacing w:val="40"/>
        </w:rPr>
        <w:t xml:space="preserve"> </w:t>
      </w:r>
      <w:r>
        <w:t>Herculean</w:t>
      </w:r>
      <w:r>
        <w:rPr>
          <w:spacing w:val="40"/>
        </w:rPr>
        <w:t xml:space="preserve"> </w:t>
      </w:r>
      <w:r>
        <w:t>measures</w:t>
      </w:r>
    </w:p>
    <w:p w14:paraId="7E00293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39" w14:textId="77777777" w:rsidR="009A58DB" w:rsidRDefault="00000000">
      <w:pPr>
        <w:pStyle w:val="BodyText"/>
        <w:spacing w:before="71" w:line="249" w:lineRule="auto"/>
        <w:ind w:right="368"/>
      </w:pPr>
      <w:r>
        <w:lastRenderedPageBreak/>
        <w:t>shouldn’t</w:t>
      </w:r>
      <w:r>
        <w:rPr>
          <w:spacing w:val="-1"/>
        </w:rPr>
        <w:t xml:space="preserve"> </w:t>
      </w:r>
      <w:r>
        <w:t>have</w:t>
      </w:r>
      <w:r>
        <w:rPr>
          <w:spacing w:val="-1"/>
        </w:rPr>
        <w:t xml:space="preserve"> </w:t>
      </w:r>
      <w:r>
        <w:t>been</w:t>
      </w:r>
      <w:r>
        <w:rPr>
          <w:spacing w:val="-1"/>
        </w:rPr>
        <w:t xml:space="preserve"> </w:t>
      </w:r>
      <w:r>
        <w:t>necessary,</w:t>
      </w:r>
      <w:r>
        <w:rPr>
          <w:spacing w:val="-1"/>
        </w:rPr>
        <w:t xml:space="preserve"> </w:t>
      </w:r>
      <w:r>
        <w:t>given</w:t>
      </w:r>
      <w:r>
        <w:rPr>
          <w:spacing w:val="-1"/>
        </w:rPr>
        <w:t xml:space="preserve"> </w:t>
      </w:r>
      <w:r>
        <w:t>that</w:t>
      </w:r>
      <w:r>
        <w:rPr>
          <w:spacing w:val="-1"/>
        </w:rPr>
        <w:t xml:space="preserve"> </w:t>
      </w:r>
      <w:r>
        <w:t>the</w:t>
      </w:r>
      <w:r>
        <w:rPr>
          <w:spacing w:val="-1"/>
        </w:rPr>
        <w:t xml:space="preserve"> </w:t>
      </w:r>
      <w:r>
        <w:t>objective</w:t>
      </w:r>
      <w:r>
        <w:rPr>
          <w:spacing w:val="-1"/>
        </w:rPr>
        <w:t xml:space="preserve"> </w:t>
      </w:r>
      <w:r>
        <w:t>was</w:t>
      </w:r>
      <w:r>
        <w:rPr>
          <w:spacing w:val="-1"/>
        </w:rPr>
        <w:t xml:space="preserve"> </w:t>
      </w:r>
      <w:r>
        <w:t>only</w:t>
      </w:r>
      <w:r>
        <w:rPr>
          <w:spacing w:val="-1"/>
        </w:rPr>
        <w:t xml:space="preserve"> </w:t>
      </w:r>
      <w:r>
        <w:t>to</w:t>
      </w:r>
      <w:r>
        <w:rPr>
          <w:spacing w:val="-1"/>
        </w:rPr>
        <w:t xml:space="preserve"> </w:t>
      </w:r>
      <w:r>
        <w:t>perform</w:t>
      </w:r>
      <w:r>
        <w:rPr>
          <w:spacing w:val="-1"/>
        </w:rPr>
        <w:t xml:space="preserve"> </w:t>
      </w:r>
      <w:r>
        <w:t>a purely grammatical operation.</w:t>
      </w:r>
    </w:p>
    <w:p w14:paraId="7E00293A" w14:textId="77777777" w:rsidR="009A58DB" w:rsidRDefault="00000000">
      <w:pPr>
        <w:pStyle w:val="BodyText"/>
        <w:spacing w:line="249" w:lineRule="auto"/>
        <w:ind w:right="364" w:firstLine="360"/>
      </w:pPr>
      <w:r>
        <w:t>This problem doesn’t arise in our special symbolic notation. % can be unambiguously disambiguated in a mechanical, thought-free manner. One need only put a ‘~’ before % and then enclose the part one wants negated in parentheses. Thus, the symbolic analogue of:</w:t>
      </w:r>
    </w:p>
    <w:p w14:paraId="7E00293B" w14:textId="77777777" w:rsidR="009A58DB" w:rsidRDefault="00000000">
      <w:pPr>
        <w:pStyle w:val="BodyText"/>
        <w:spacing w:before="106" w:line="249" w:lineRule="auto"/>
        <w:ind w:right="365"/>
        <w:jc w:val="left"/>
      </w:pPr>
      <w:r>
        <w:t>(%</w:t>
      </w:r>
      <w:r>
        <w:rPr>
          <w:vertAlign w:val="subscript"/>
        </w:rPr>
        <w:t>2</w:t>
      </w:r>
      <w:r>
        <w:rPr>
          <w:position w:val="-7"/>
          <w:sz w:val="22"/>
        </w:rPr>
        <w:t>S</w:t>
      </w:r>
      <w:r>
        <w:t>)</w:t>
      </w:r>
      <w:r>
        <w:rPr>
          <w:spacing w:val="27"/>
        </w:rPr>
        <w:t xml:space="preserve"> </w:t>
      </w:r>
      <w:r>
        <w:t>~(Larry</w:t>
      </w:r>
      <w:r>
        <w:rPr>
          <w:spacing w:val="28"/>
        </w:rPr>
        <w:t xml:space="preserve"> </w:t>
      </w:r>
      <w:r>
        <w:t>likes</w:t>
      </w:r>
      <w:r>
        <w:rPr>
          <w:spacing w:val="27"/>
        </w:rPr>
        <w:t xml:space="preserve"> </w:t>
      </w:r>
      <w:r>
        <w:t>to</w:t>
      </w:r>
      <w:r>
        <w:rPr>
          <w:spacing w:val="28"/>
        </w:rPr>
        <w:t xml:space="preserve"> </w:t>
      </w:r>
      <w:r>
        <w:t>listen</w:t>
      </w:r>
      <w:r>
        <w:rPr>
          <w:spacing w:val="28"/>
        </w:rPr>
        <w:t xml:space="preserve"> </w:t>
      </w:r>
      <w:r>
        <w:t>to</w:t>
      </w:r>
      <w:r>
        <w:rPr>
          <w:spacing w:val="28"/>
        </w:rPr>
        <w:t xml:space="preserve"> </w:t>
      </w:r>
      <w:r>
        <w:t>Brahms</w:t>
      </w:r>
      <w:r>
        <w:rPr>
          <w:spacing w:val="27"/>
        </w:rPr>
        <w:t xml:space="preserve"> </w:t>
      </w:r>
      <w:r>
        <w:t>if</w:t>
      </w:r>
      <w:r>
        <w:rPr>
          <w:spacing w:val="27"/>
        </w:rPr>
        <w:t xml:space="preserve"> </w:t>
      </w:r>
      <w:r>
        <w:t>John</w:t>
      </w:r>
      <w:r>
        <w:rPr>
          <w:spacing w:val="28"/>
        </w:rPr>
        <w:t xml:space="preserve"> </w:t>
      </w:r>
      <w:r>
        <w:t>likes</w:t>
      </w:r>
      <w:r>
        <w:rPr>
          <w:spacing w:val="27"/>
        </w:rPr>
        <w:t xml:space="preserve"> </w:t>
      </w:r>
      <w:r>
        <w:t>to</w:t>
      </w:r>
      <w:r>
        <w:rPr>
          <w:spacing w:val="28"/>
        </w:rPr>
        <w:t xml:space="preserve"> </w:t>
      </w:r>
      <w:r>
        <w:t>listen</w:t>
      </w:r>
      <w:r>
        <w:rPr>
          <w:spacing w:val="28"/>
        </w:rPr>
        <w:t xml:space="preserve"> </w:t>
      </w:r>
      <w:r>
        <w:t>to</w:t>
      </w:r>
      <w:r>
        <w:rPr>
          <w:spacing w:val="28"/>
        </w:rPr>
        <w:t xml:space="preserve"> </w:t>
      </w:r>
      <w:r>
        <w:t>Mozart)</w:t>
      </w:r>
      <w:r>
        <w:rPr>
          <w:spacing w:val="27"/>
        </w:rPr>
        <w:t xml:space="preserve"> </w:t>
      </w:r>
      <w:r>
        <w:t>or the sky is blue;</w:t>
      </w:r>
    </w:p>
    <w:p w14:paraId="7E00293C" w14:textId="77777777" w:rsidR="009A58DB" w:rsidRDefault="00000000">
      <w:pPr>
        <w:pStyle w:val="BodyText"/>
        <w:spacing w:before="90"/>
        <w:jc w:val="left"/>
      </w:pPr>
      <w:r>
        <w:t>and</w:t>
      </w:r>
      <w:r>
        <w:rPr>
          <w:spacing w:val="1"/>
        </w:rPr>
        <w:t xml:space="preserve"> </w:t>
      </w:r>
      <w:r>
        <w:t>the</w:t>
      </w:r>
      <w:r>
        <w:rPr>
          <w:spacing w:val="1"/>
        </w:rPr>
        <w:t xml:space="preserve"> </w:t>
      </w:r>
      <w:r>
        <w:t>symbolic analogue of</w:t>
      </w:r>
      <w:r>
        <w:rPr>
          <w:spacing w:val="1"/>
        </w:rPr>
        <w:t xml:space="preserve"> </w:t>
      </w:r>
      <w:r>
        <w:t>(%</w:t>
      </w:r>
      <w:r>
        <w:rPr>
          <w:vertAlign w:val="subscript"/>
        </w:rPr>
        <w:t>3</w:t>
      </w:r>
      <w:r>
        <w:t xml:space="preserve">) </w:t>
      </w:r>
      <w:r>
        <w:rPr>
          <w:spacing w:val="-5"/>
        </w:rPr>
        <w:t>is:</w:t>
      </w:r>
    </w:p>
    <w:p w14:paraId="7E00293D" w14:textId="77777777" w:rsidR="009A58DB" w:rsidRDefault="00000000">
      <w:pPr>
        <w:pStyle w:val="BodyText"/>
        <w:spacing w:before="180" w:line="249" w:lineRule="auto"/>
        <w:ind w:right="365"/>
        <w:jc w:val="left"/>
      </w:pPr>
      <w:r>
        <w:t>(%</w:t>
      </w:r>
      <w:r>
        <w:rPr>
          <w:vertAlign w:val="subscript"/>
        </w:rPr>
        <w:t>3</w:t>
      </w:r>
      <w:r>
        <w:rPr>
          <w:position w:val="-7"/>
          <w:sz w:val="22"/>
        </w:rPr>
        <w:t>S</w:t>
      </w:r>
      <w:r>
        <w:t>) ~(either the sky is blue or (Larry likes to listen to Brahms if John likes to listen to Mozart)).</w:t>
      </w:r>
    </w:p>
    <w:p w14:paraId="7E00293E" w14:textId="77777777" w:rsidR="009A58DB" w:rsidRDefault="00000000">
      <w:pPr>
        <w:pStyle w:val="BodyText"/>
        <w:spacing w:before="105" w:line="252" w:lineRule="auto"/>
        <w:ind w:right="359" w:firstLine="360"/>
      </w:pPr>
      <w:r>
        <w:t>In (%</w:t>
      </w:r>
      <w:r>
        <w:rPr>
          <w:vertAlign w:val="subscript"/>
        </w:rPr>
        <w:t>3</w:t>
      </w:r>
      <w:r>
        <w:rPr>
          <w:position w:val="-7"/>
          <w:sz w:val="22"/>
        </w:rPr>
        <w:t>S</w:t>
      </w:r>
      <w:r>
        <w:t xml:space="preserve">), the </w:t>
      </w:r>
      <w:r>
        <w:rPr>
          <w:b/>
          <w:i/>
        </w:rPr>
        <w:t xml:space="preserve">scope </w:t>
      </w:r>
      <w:r>
        <w:t>of the negation-sign is % in its entirety. (Were it not</w:t>
      </w:r>
      <w:r>
        <w:rPr>
          <w:spacing w:val="40"/>
        </w:rPr>
        <w:t xml:space="preserve"> </w:t>
      </w:r>
      <w:r>
        <w:t>for the parentheses immediately flanking its second disjunct, (%</w:t>
      </w:r>
      <w:r>
        <w:rPr>
          <w:vertAlign w:val="subscript"/>
        </w:rPr>
        <w:t>3</w:t>
      </w:r>
      <w:r>
        <w:rPr>
          <w:position w:val="-7"/>
          <w:sz w:val="22"/>
        </w:rPr>
        <w:t>S</w:t>
      </w:r>
      <w:r>
        <w:t>) would be ambiguous between a conditional whose consequent was a disjunction and a disjunction one of whose disjuncts was a conditional.) In (%</w:t>
      </w:r>
      <w:r>
        <w:rPr>
          <w:vertAlign w:val="subscript"/>
        </w:rPr>
        <w:t>2</w:t>
      </w:r>
      <w:r>
        <w:rPr>
          <w:position w:val="-7"/>
          <w:sz w:val="22"/>
        </w:rPr>
        <w:t>S</w:t>
      </w:r>
      <w:r>
        <w:t>), the scope of the</w:t>
      </w:r>
      <w:r>
        <w:rPr>
          <w:spacing w:val="-6"/>
        </w:rPr>
        <w:t xml:space="preserve"> </w:t>
      </w:r>
      <w:r>
        <w:t>negation-sign</w:t>
      </w:r>
      <w:r>
        <w:rPr>
          <w:spacing w:val="-19"/>
        </w:rPr>
        <w:t xml:space="preserve"> </w:t>
      </w:r>
      <w:r>
        <w:t>is</w:t>
      </w:r>
      <w:r>
        <w:rPr>
          <w:spacing w:val="-2"/>
        </w:rPr>
        <w:t xml:space="preserve"> </w:t>
      </w:r>
      <w:r>
        <w:t>confined</w:t>
      </w:r>
      <w:r>
        <w:rPr>
          <w:spacing w:val="-2"/>
        </w:rPr>
        <w:t xml:space="preserve"> </w:t>
      </w:r>
      <w:r>
        <w:t>to</w:t>
      </w:r>
      <w:r>
        <w:rPr>
          <w:spacing w:val="-2"/>
        </w:rPr>
        <w:t xml:space="preserve"> </w:t>
      </w:r>
      <w:r>
        <w:t>the</w:t>
      </w:r>
      <w:r>
        <w:rPr>
          <w:spacing w:val="-2"/>
        </w:rPr>
        <w:t xml:space="preserve"> </w:t>
      </w:r>
      <w:r>
        <w:t>sentence</w:t>
      </w:r>
      <w:r>
        <w:rPr>
          <w:spacing w:val="-2"/>
        </w:rPr>
        <w:t xml:space="preserve"> </w:t>
      </w:r>
      <w:r>
        <w:t>“if</w:t>
      </w:r>
      <w:r>
        <w:rPr>
          <w:spacing w:val="-2"/>
        </w:rPr>
        <w:t xml:space="preserve"> </w:t>
      </w:r>
      <w:r>
        <w:t>John</w:t>
      </w:r>
      <w:r>
        <w:rPr>
          <w:spacing w:val="-2"/>
        </w:rPr>
        <w:t xml:space="preserve"> </w:t>
      </w:r>
      <w:r>
        <w:t>likes</w:t>
      </w:r>
      <w:r>
        <w:rPr>
          <w:spacing w:val="-2"/>
        </w:rPr>
        <w:t xml:space="preserve"> </w:t>
      </w:r>
      <w:r>
        <w:t>to</w:t>
      </w:r>
      <w:r>
        <w:rPr>
          <w:spacing w:val="-2"/>
        </w:rPr>
        <w:t xml:space="preserve"> </w:t>
      </w:r>
      <w:r>
        <w:t>listen</w:t>
      </w:r>
      <w:r>
        <w:rPr>
          <w:spacing w:val="-2"/>
        </w:rPr>
        <w:t xml:space="preserve"> </w:t>
      </w:r>
      <w:r>
        <w:t>to</w:t>
      </w:r>
      <w:r>
        <w:rPr>
          <w:spacing w:val="-2"/>
        </w:rPr>
        <w:t xml:space="preserve"> </w:t>
      </w:r>
      <w:r>
        <w:t>Mozart, then Larry likes to listen to Brahms.”</w:t>
      </w:r>
    </w:p>
    <w:p w14:paraId="7E00293F" w14:textId="77777777" w:rsidR="009A58DB" w:rsidRDefault="00000000">
      <w:pPr>
        <w:pStyle w:val="BodyText"/>
        <w:spacing w:line="249" w:lineRule="auto"/>
        <w:ind w:right="359" w:firstLine="360"/>
      </w:pPr>
      <w:r>
        <w:t xml:space="preserve">Thus, in our symbolic notation, parentheses are used is to make it clear how much scope is to be given to a given </w:t>
      </w:r>
      <w:r>
        <w:rPr>
          <w:b/>
          <w:i/>
        </w:rPr>
        <w:t xml:space="preserve">operator. </w:t>
      </w:r>
      <w:r>
        <w:t>An “operator” is an expression that, given one or more sentences, yields a new sentence. Examples</w:t>
      </w:r>
      <w:r>
        <w:rPr>
          <w:spacing w:val="-3"/>
        </w:rPr>
        <w:t xml:space="preserve"> </w:t>
      </w:r>
      <w:r>
        <w:t>of</w:t>
      </w:r>
      <w:r>
        <w:rPr>
          <w:spacing w:val="-3"/>
        </w:rPr>
        <w:t xml:space="preserve"> </w:t>
      </w:r>
      <w:r>
        <w:t>operators</w:t>
      </w:r>
      <w:r>
        <w:rPr>
          <w:spacing w:val="-3"/>
        </w:rPr>
        <w:t xml:space="preserve"> </w:t>
      </w:r>
      <w:r>
        <w:t>are:</w:t>
      </w:r>
      <w:r>
        <w:rPr>
          <w:spacing w:val="-3"/>
        </w:rPr>
        <w:t xml:space="preserve"> </w:t>
      </w:r>
      <w:r>
        <w:t>“it</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“or,”</w:t>
      </w:r>
      <w:r>
        <w:rPr>
          <w:spacing w:val="-3"/>
        </w:rPr>
        <w:t xml:space="preserve"> </w:t>
      </w:r>
      <w:r>
        <w:t>“and,”</w:t>
      </w:r>
      <w:r>
        <w:rPr>
          <w:spacing w:val="-3"/>
        </w:rPr>
        <w:t xml:space="preserve"> </w:t>
      </w:r>
      <w:r>
        <w:t>“because,”</w:t>
      </w:r>
      <w:r>
        <w:rPr>
          <w:spacing w:val="-3"/>
        </w:rPr>
        <w:t xml:space="preserve"> </w:t>
      </w:r>
      <w:r>
        <w:t>“it is possible that,” and “Fred believes that.”</w:t>
      </w:r>
    </w:p>
    <w:p w14:paraId="7E002940" w14:textId="77777777" w:rsidR="009A58DB" w:rsidRDefault="00000000">
      <w:pPr>
        <w:pStyle w:val="BodyText"/>
        <w:spacing w:line="249" w:lineRule="auto"/>
        <w:ind w:right="358" w:firstLine="360"/>
      </w:pPr>
      <w:r>
        <w:t>“Fred believes that” is an operator because, when given the sentence “snow</w:t>
      </w:r>
      <w:r>
        <w:rPr>
          <w:spacing w:val="-3"/>
        </w:rPr>
        <w:t xml:space="preserve"> </w:t>
      </w:r>
      <w:r>
        <w:t>is</w:t>
      </w:r>
      <w:r>
        <w:rPr>
          <w:spacing w:val="-3"/>
        </w:rPr>
        <w:t xml:space="preserve"> </w:t>
      </w:r>
      <w:r>
        <w:t>white,”</w:t>
      </w:r>
      <w:r>
        <w:rPr>
          <w:spacing w:val="-3"/>
        </w:rPr>
        <w:t xml:space="preserve"> </w:t>
      </w:r>
      <w:r>
        <w:t>it</w:t>
      </w:r>
      <w:r>
        <w:rPr>
          <w:spacing w:val="-3"/>
        </w:rPr>
        <w:t xml:space="preserve"> </w:t>
      </w:r>
      <w:r>
        <w:t>yields</w:t>
      </w:r>
      <w:r>
        <w:rPr>
          <w:spacing w:val="-3"/>
        </w:rPr>
        <w:t xml:space="preserve"> </w:t>
      </w:r>
      <w:r>
        <w:t>a</w:t>
      </w:r>
      <w:r>
        <w:rPr>
          <w:spacing w:val="-3"/>
        </w:rPr>
        <w:t xml:space="preserve"> </w:t>
      </w:r>
      <w:r>
        <w:t>new</w:t>
      </w:r>
      <w:r>
        <w:rPr>
          <w:spacing w:val="-3"/>
        </w:rPr>
        <w:t xml:space="preserve"> </w:t>
      </w:r>
      <w:r>
        <w:t>sentence,</w:t>
      </w:r>
      <w:r>
        <w:rPr>
          <w:spacing w:val="-2"/>
        </w:rPr>
        <w:t xml:space="preserve"> </w:t>
      </w:r>
      <w:r>
        <w:t>namely:</w:t>
      </w:r>
      <w:r>
        <w:rPr>
          <w:spacing w:val="-3"/>
        </w:rPr>
        <w:t xml:space="preserve"> </w:t>
      </w:r>
      <w:r>
        <w:t>“Fred</w:t>
      </w:r>
      <w:r>
        <w:rPr>
          <w:spacing w:val="-2"/>
        </w:rPr>
        <w:t xml:space="preserve"> </w:t>
      </w:r>
      <w:r>
        <w:t>believes</w:t>
      </w:r>
      <w:r>
        <w:rPr>
          <w:spacing w:val="-3"/>
        </w:rPr>
        <w:t xml:space="preserve"> </w:t>
      </w:r>
      <w:r>
        <w:t>that</w:t>
      </w:r>
      <w:r>
        <w:rPr>
          <w:spacing w:val="-3"/>
        </w:rPr>
        <w:t xml:space="preserve"> </w:t>
      </w:r>
      <w:r>
        <w:t>snow</w:t>
      </w:r>
      <w:r>
        <w:rPr>
          <w:spacing w:val="-3"/>
        </w:rPr>
        <w:t xml:space="preserve"> </w:t>
      </w:r>
      <w:r>
        <w:t xml:space="preserve">is white.” “And” is an operator because, when given the sentences “snow is white” and “grass is green,” it yields the sentence “snow is white and grass is green.” “Because” is an operator for the same reason </w:t>
      </w:r>
      <w:r>
        <w:rPr>
          <w:i/>
        </w:rPr>
        <w:t>mutatis mutandis.</w:t>
      </w:r>
      <w:r>
        <w:rPr>
          <w:i/>
          <w:spacing w:val="40"/>
        </w:rPr>
        <w:t xml:space="preserve"> </w:t>
      </w:r>
      <w:r>
        <w:t xml:space="preserve">(Since “snow is white because grass is green” has a very different meaning from “grass is green because snow is white,” “because” operates on </w:t>
      </w:r>
      <w:r>
        <w:rPr>
          <w:i/>
        </w:rPr>
        <w:t xml:space="preserve">ordered </w:t>
      </w:r>
      <w:r>
        <w:t>pairs of sentences.</w:t>
      </w:r>
      <w:bookmarkStart w:id="571" w:name="_bookmark571"/>
      <w:bookmarkEnd w:id="571"/>
      <w:r>
        <w:rPr>
          <w:color w:val="0562C1"/>
          <w:position w:val="21"/>
          <w:u w:val="single" w:color="0562C1"/>
        </w:rPr>
        <w:t>[429]</w:t>
      </w:r>
      <w:r>
        <w:t>)</w:t>
      </w:r>
    </w:p>
    <w:p w14:paraId="7E002941" w14:textId="77777777" w:rsidR="009A58DB" w:rsidRDefault="00000000">
      <w:pPr>
        <w:pStyle w:val="BodyText"/>
        <w:spacing w:before="9" w:line="249" w:lineRule="auto"/>
        <w:ind w:right="363" w:firstLine="360"/>
      </w:pPr>
      <w:r>
        <w:t>When an operator occurs in some sentence S, the scope of that operator is identical with the set of sentences out of which it is creating a new sentence.</w:t>
      </w:r>
    </w:p>
    <w:p w14:paraId="7E002942" w14:textId="77777777" w:rsidR="009A58DB" w:rsidRDefault="00000000">
      <w:pPr>
        <w:pStyle w:val="BodyText"/>
        <w:spacing w:before="3"/>
        <w:ind w:left="720"/>
      </w:pPr>
      <w:r>
        <w:t>Consider</w:t>
      </w:r>
      <w:r>
        <w:rPr>
          <w:spacing w:val="-4"/>
        </w:rPr>
        <w:t xml:space="preserve"> </w:t>
      </w:r>
      <w:r>
        <w:t>the</w:t>
      </w:r>
      <w:r>
        <w:rPr>
          <w:spacing w:val="-3"/>
        </w:rPr>
        <w:t xml:space="preserve"> </w:t>
      </w:r>
      <w:r>
        <w:rPr>
          <w:spacing w:val="-2"/>
        </w:rPr>
        <w:t>sentence:</w:t>
      </w:r>
    </w:p>
    <w:p w14:paraId="7E002943" w14:textId="77777777" w:rsidR="009A58DB" w:rsidRDefault="009A58DB">
      <w:pPr>
        <w:pStyle w:val="BodyText"/>
        <w:sectPr w:rsidR="009A58DB">
          <w:pgSz w:w="12240" w:h="15840"/>
          <w:pgMar w:top="1380" w:right="1080" w:bottom="280" w:left="1080" w:header="720" w:footer="720" w:gutter="0"/>
          <w:cols w:space="720"/>
        </w:sectPr>
      </w:pPr>
    </w:p>
    <w:p w14:paraId="7E002944" w14:textId="77777777" w:rsidR="009A58DB" w:rsidRDefault="00000000">
      <w:pPr>
        <w:pStyle w:val="ListParagraph"/>
        <w:numPr>
          <w:ilvl w:val="1"/>
          <w:numId w:val="36"/>
        </w:numPr>
        <w:tabs>
          <w:tab w:val="left" w:pos="799"/>
        </w:tabs>
        <w:spacing w:before="65" w:line="249" w:lineRule="auto"/>
        <w:ind w:right="369" w:firstLine="0"/>
        <w:rPr>
          <w:sz w:val="30"/>
        </w:rPr>
      </w:pPr>
      <w:r>
        <w:rPr>
          <w:sz w:val="30"/>
        </w:rPr>
        <w:lastRenderedPageBreak/>
        <w:t>“Jim</w:t>
      </w:r>
      <w:r>
        <w:rPr>
          <w:spacing w:val="80"/>
          <w:sz w:val="30"/>
        </w:rPr>
        <w:t xml:space="preserve"> </w:t>
      </w:r>
      <w:r>
        <w:rPr>
          <w:sz w:val="30"/>
        </w:rPr>
        <w:t>is</w:t>
      </w:r>
      <w:r>
        <w:rPr>
          <w:spacing w:val="80"/>
          <w:sz w:val="30"/>
        </w:rPr>
        <w:t xml:space="preserve"> </w:t>
      </w:r>
      <w:r>
        <w:rPr>
          <w:sz w:val="30"/>
        </w:rPr>
        <w:t>tired</w:t>
      </w:r>
      <w:r>
        <w:rPr>
          <w:spacing w:val="80"/>
          <w:sz w:val="30"/>
        </w:rPr>
        <w:t xml:space="preserve"> </w:t>
      </w:r>
      <w:r>
        <w:rPr>
          <w:sz w:val="30"/>
        </w:rPr>
        <w:t>because</w:t>
      </w:r>
      <w:r>
        <w:rPr>
          <w:spacing w:val="80"/>
          <w:sz w:val="30"/>
        </w:rPr>
        <w:t xml:space="preserve"> </w:t>
      </w:r>
      <w:r>
        <w:rPr>
          <w:sz w:val="30"/>
        </w:rPr>
        <w:t>he</w:t>
      </w:r>
      <w:r>
        <w:rPr>
          <w:spacing w:val="80"/>
          <w:sz w:val="30"/>
        </w:rPr>
        <w:t xml:space="preserve"> </w:t>
      </w:r>
      <w:r>
        <w:rPr>
          <w:sz w:val="30"/>
        </w:rPr>
        <w:t>went</w:t>
      </w:r>
      <w:r>
        <w:rPr>
          <w:spacing w:val="80"/>
          <w:sz w:val="30"/>
        </w:rPr>
        <w:t xml:space="preserve"> </w:t>
      </w:r>
      <w:r>
        <w:rPr>
          <w:sz w:val="30"/>
        </w:rPr>
        <w:t>jogging</w:t>
      </w:r>
      <w:r>
        <w:rPr>
          <w:spacing w:val="80"/>
          <w:sz w:val="30"/>
        </w:rPr>
        <w:t xml:space="preserve"> </w:t>
      </w:r>
      <w:r>
        <w:rPr>
          <w:sz w:val="30"/>
        </w:rPr>
        <w:t>and</w:t>
      </w:r>
      <w:r>
        <w:rPr>
          <w:spacing w:val="80"/>
          <w:sz w:val="30"/>
        </w:rPr>
        <w:t xml:space="preserve"> </w:t>
      </w:r>
      <w:r>
        <w:rPr>
          <w:sz w:val="30"/>
        </w:rPr>
        <w:t>his</w:t>
      </w:r>
      <w:r>
        <w:rPr>
          <w:spacing w:val="80"/>
          <w:sz w:val="30"/>
        </w:rPr>
        <w:t xml:space="preserve"> </w:t>
      </w:r>
      <w:r>
        <w:rPr>
          <w:sz w:val="30"/>
        </w:rPr>
        <w:t>wife</w:t>
      </w:r>
      <w:r>
        <w:rPr>
          <w:spacing w:val="80"/>
          <w:sz w:val="30"/>
        </w:rPr>
        <w:t xml:space="preserve"> </w:t>
      </w:r>
      <w:r>
        <w:rPr>
          <w:sz w:val="30"/>
        </w:rPr>
        <w:t>Sally</w:t>
      </w:r>
      <w:r>
        <w:rPr>
          <w:spacing w:val="80"/>
          <w:sz w:val="30"/>
        </w:rPr>
        <w:t xml:space="preserve"> </w:t>
      </w:r>
      <w:r>
        <w:rPr>
          <w:sz w:val="30"/>
        </w:rPr>
        <w:t>is</w:t>
      </w:r>
      <w:r>
        <w:rPr>
          <w:spacing w:val="80"/>
          <w:sz w:val="30"/>
        </w:rPr>
        <w:t xml:space="preserve"> </w:t>
      </w:r>
      <w:r>
        <w:rPr>
          <w:sz w:val="30"/>
        </w:rPr>
        <w:t>a</w:t>
      </w:r>
      <w:r>
        <w:rPr>
          <w:spacing w:val="80"/>
          <w:sz w:val="30"/>
        </w:rPr>
        <w:t xml:space="preserve"> </w:t>
      </w:r>
      <w:r>
        <w:rPr>
          <w:sz w:val="30"/>
        </w:rPr>
        <w:t>very demanding person.”</w:t>
      </w:r>
    </w:p>
    <w:p w14:paraId="7E002945" w14:textId="77777777" w:rsidR="009A58DB" w:rsidRDefault="009A58DB">
      <w:pPr>
        <w:pStyle w:val="BodyText"/>
        <w:spacing w:before="17"/>
        <w:ind w:left="0"/>
        <w:jc w:val="left"/>
      </w:pPr>
    </w:p>
    <w:p w14:paraId="7E002946" w14:textId="77777777" w:rsidR="009A58DB" w:rsidRDefault="00000000">
      <w:pPr>
        <w:pStyle w:val="BodyText"/>
        <w:jc w:val="left"/>
      </w:pPr>
      <w:r>
        <w:t>This</w:t>
      </w:r>
      <w:r>
        <w:rPr>
          <w:spacing w:val="-6"/>
        </w:rPr>
        <w:t xml:space="preserve"> </w:t>
      </w:r>
      <w:r>
        <w:t>is</w:t>
      </w:r>
      <w:r>
        <w:rPr>
          <w:spacing w:val="-3"/>
        </w:rPr>
        <w:t xml:space="preserve"> </w:t>
      </w:r>
      <w:r>
        <w:t>ambiguous.</w:t>
      </w:r>
      <w:r>
        <w:rPr>
          <w:spacing w:val="-2"/>
        </w:rPr>
        <w:t xml:space="preserve"> </w:t>
      </w:r>
      <w:r>
        <w:t>It</w:t>
      </w:r>
      <w:r>
        <w:rPr>
          <w:spacing w:val="-3"/>
        </w:rPr>
        <w:t xml:space="preserve"> </w:t>
      </w:r>
      <w:r>
        <w:t>could</w:t>
      </w:r>
      <w:r>
        <w:rPr>
          <w:spacing w:val="-2"/>
        </w:rPr>
        <w:t xml:space="preserve"> </w:t>
      </w:r>
      <w:r>
        <w:t>mean</w:t>
      </w:r>
      <w:r>
        <w:rPr>
          <w:spacing w:val="-2"/>
        </w:rPr>
        <w:t xml:space="preserve"> either:</w:t>
      </w:r>
    </w:p>
    <w:p w14:paraId="7E002947" w14:textId="77777777" w:rsidR="009A58DB" w:rsidRDefault="00000000">
      <w:pPr>
        <w:pStyle w:val="ListParagraph"/>
        <w:numPr>
          <w:ilvl w:val="1"/>
          <w:numId w:val="36"/>
        </w:numPr>
        <w:tabs>
          <w:tab w:val="left" w:pos="864"/>
        </w:tabs>
        <w:spacing w:before="120" w:line="249" w:lineRule="auto"/>
        <w:ind w:right="370" w:firstLine="0"/>
        <w:rPr>
          <w:sz w:val="30"/>
        </w:rPr>
      </w:pPr>
      <w:r>
        <w:rPr>
          <w:sz w:val="30"/>
        </w:rPr>
        <w:t>Jim’s</w:t>
      </w:r>
      <w:r>
        <w:rPr>
          <w:spacing w:val="40"/>
          <w:sz w:val="30"/>
        </w:rPr>
        <w:t xml:space="preserve"> </w:t>
      </w:r>
      <w:r>
        <w:rPr>
          <w:sz w:val="30"/>
        </w:rPr>
        <w:t>wife</w:t>
      </w:r>
      <w:r>
        <w:rPr>
          <w:spacing w:val="40"/>
          <w:sz w:val="30"/>
        </w:rPr>
        <w:t xml:space="preserve"> </w:t>
      </w:r>
      <w:r>
        <w:rPr>
          <w:sz w:val="30"/>
        </w:rPr>
        <w:t>Sally</w:t>
      </w:r>
      <w:r>
        <w:rPr>
          <w:spacing w:val="40"/>
          <w:sz w:val="30"/>
        </w:rPr>
        <w:t xml:space="preserve"> </w:t>
      </w:r>
      <w:r>
        <w:rPr>
          <w:sz w:val="30"/>
        </w:rPr>
        <w:t>is</w:t>
      </w:r>
      <w:r>
        <w:rPr>
          <w:spacing w:val="40"/>
          <w:sz w:val="30"/>
        </w:rPr>
        <w:t xml:space="preserve"> </w:t>
      </w:r>
      <w:r>
        <w:rPr>
          <w:sz w:val="30"/>
        </w:rPr>
        <w:t>a</w:t>
      </w:r>
      <w:r>
        <w:rPr>
          <w:spacing w:val="40"/>
          <w:sz w:val="30"/>
        </w:rPr>
        <w:t xml:space="preserve"> </w:t>
      </w:r>
      <w:r>
        <w:rPr>
          <w:sz w:val="30"/>
        </w:rPr>
        <w:t>very</w:t>
      </w:r>
      <w:r>
        <w:rPr>
          <w:spacing w:val="40"/>
          <w:sz w:val="30"/>
        </w:rPr>
        <w:t xml:space="preserve"> </w:t>
      </w:r>
      <w:r>
        <w:rPr>
          <w:sz w:val="30"/>
        </w:rPr>
        <w:t>demanding</w:t>
      </w:r>
      <w:r>
        <w:rPr>
          <w:spacing w:val="40"/>
          <w:sz w:val="30"/>
        </w:rPr>
        <w:t xml:space="preserve"> </w:t>
      </w:r>
      <w:r>
        <w:rPr>
          <w:sz w:val="30"/>
        </w:rPr>
        <w:t>person;</w:t>
      </w:r>
      <w:r>
        <w:rPr>
          <w:spacing w:val="40"/>
          <w:sz w:val="30"/>
        </w:rPr>
        <w:t xml:space="preserve"> </w:t>
      </w:r>
      <w:r>
        <w:rPr>
          <w:sz w:val="30"/>
        </w:rPr>
        <w:t>moreover,</w:t>
      </w:r>
      <w:r>
        <w:rPr>
          <w:spacing w:val="40"/>
          <w:sz w:val="30"/>
        </w:rPr>
        <w:t xml:space="preserve"> </w:t>
      </w:r>
      <w:r>
        <w:rPr>
          <w:sz w:val="30"/>
        </w:rPr>
        <w:t>Jim</w:t>
      </w:r>
      <w:r>
        <w:rPr>
          <w:spacing w:val="40"/>
          <w:sz w:val="30"/>
        </w:rPr>
        <w:t xml:space="preserve"> </w:t>
      </w:r>
      <w:r>
        <w:rPr>
          <w:sz w:val="30"/>
        </w:rPr>
        <w:t>is</w:t>
      </w:r>
      <w:r>
        <w:rPr>
          <w:spacing w:val="40"/>
          <w:sz w:val="30"/>
        </w:rPr>
        <w:t xml:space="preserve"> </w:t>
      </w:r>
      <w:r>
        <w:rPr>
          <w:sz w:val="30"/>
        </w:rPr>
        <w:t>tired</w:t>
      </w:r>
      <w:r>
        <w:rPr>
          <w:spacing w:val="40"/>
          <w:sz w:val="30"/>
        </w:rPr>
        <w:t xml:space="preserve"> </w:t>
      </w:r>
      <w:r>
        <w:rPr>
          <w:sz w:val="30"/>
        </w:rPr>
        <w:t>because he went jogging</w:t>
      </w:r>
    </w:p>
    <w:p w14:paraId="7E002948" w14:textId="77777777" w:rsidR="009A58DB" w:rsidRDefault="00000000">
      <w:pPr>
        <w:pStyle w:val="BodyText"/>
        <w:spacing w:before="93"/>
        <w:jc w:val="left"/>
      </w:pPr>
      <w:r>
        <w:rPr>
          <w:spacing w:val="-5"/>
        </w:rPr>
        <w:t>or</w:t>
      </w:r>
    </w:p>
    <w:p w14:paraId="7E002949" w14:textId="77777777" w:rsidR="009A58DB" w:rsidRDefault="00000000">
      <w:pPr>
        <w:pStyle w:val="ListParagraph"/>
        <w:numPr>
          <w:ilvl w:val="1"/>
          <w:numId w:val="36"/>
        </w:numPr>
        <w:tabs>
          <w:tab w:val="left" w:pos="916"/>
        </w:tabs>
        <w:spacing w:before="120" w:line="249" w:lineRule="auto"/>
        <w:ind w:right="360" w:firstLine="0"/>
        <w:rPr>
          <w:sz w:val="30"/>
        </w:rPr>
      </w:pPr>
      <w:r>
        <w:rPr>
          <w:sz w:val="30"/>
        </w:rPr>
        <w:t>There</w:t>
      </w:r>
      <w:r>
        <w:rPr>
          <w:spacing w:val="34"/>
          <w:sz w:val="30"/>
        </w:rPr>
        <w:t xml:space="preserve"> </w:t>
      </w:r>
      <w:r>
        <w:rPr>
          <w:sz w:val="30"/>
        </w:rPr>
        <w:t>are</w:t>
      </w:r>
      <w:r>
        <w:rPr>
          <w:spacing w:val="33"/>
          <w:sz w:val="30"/>
        </w:rPr>
        <w:t xml:space="preserve"> </w:t>
      </w:r>
      <w:r>
        <w:rPr>
          <w:sz w:val="30"/>
        </w:rPr>
        <w:t>two</w:t>
      </w:r>
      <w:r>
        <w:rPr>
          <w:spacing w:val="34"/>
          <w:sz w:val="30"/>
        </w:rPr>
        <w:t xml:space="preserve"> </w:t>
      </w:r>
      <w:r>
        <w:rPr>
          <w:sz w:val="30"/>
        </w:rPr>
        <w:t>reasons</w:t>
      </w:r>
      <w:r>
        <w:rPr>
          <w:spacing w:val="33"/>
          <w:sz w:val="30"/>
        </w:rPr>
        <w:t xml:space="preserve"> </w:t>
      </w:r>
      <w:r>
        <w:rPr>
          <w:sz w:val="30"/>
        </w:rPr>
        <w:t>why</w:t>
      </w:r>
      <w:r>
        <w:rPr>
          <w:spacing w:val="34"/>
          <w:sz w:val="30"/>
        </w:rPr>
        <w:t xml:space="preserve"> </w:t>
      </w:r>
      <w:r>
        <w:rPr>
          <w:sz w:val="30"/>
        </w:rPr>
        <w:t>Jim</w:t>
      </w:r>
      <w:r>
        <w:rPr>
          <w:spacing w:val="33"/>
          <w:sz w:val="30"/>
        </w:rPr>
        <w:t xml:space="preserve"> </w:t>
      </w:r>
      <w:r>
        <w:rPr>
          <w:sz w:val="30"/>
        </w:rPr>
        <w:t>is</w:t>
      </w:r>
      <w:r>
        <w:rPr>
          <w:spacing w:val="34"/>
          <w:sz w:val="30"/>
        </w:rPr>
        <w:t xml:space="preserve"> </w:t>
      </w:r>
      <w:r>
        <w:rPr>
          <w:sz w:val="30"/>
        </w:rPr>
        <w:t>tired:</w:t>
      </w:r>
      <w:r>
        <w:rPr>
          <w:spacing w:val="33"/>
          <w:sz w:val="30"/>
        </w:rPr>
        <w:t xml:space="preserve"> </w:t>
      </w:r>
      <w:r>
        <w:rPr>
          <w:sz w:val="30"/>
        </w:rPr>
        <w:t>first</w:t>
      </w:r>
      <w:r>
        <w:rPr>
          <w:spacing w:val="33"/>
          <w:sz w:val="30"/>
        </w:rPr>
        <w:t xml:space="preserve"> </w:t>
      </w:r>
      <w:r>
        <w:rPr>
          <w:sz w:val="30"/>
        </w:rPr>
        <w:t>he</w:t>
      </w:r>
      <w:r>
        <w:rPr>
          <w:spacing w:val="33"/>
          <w:sz w:val="30"/>
        </w:rPr>
        <w:t xml:space="preserve"> </w:t>
      </w:r>
      <w:r>
        <w:rPr>
          <w:sz w:val="30"/>
        </w:rPr>
        <w:t>went</w:t>
      </w:r>
      <w:r>
        <w:rPr>
          <w:spacing w:val="33"/>
          <w:sz w:val="30"/>
        </w:rPr>
        <w:t xml:space="preserve"> </w:t>
      </w:r>
      <w:r>
        <w:rPr>
          <w:sz w:val="30"/>
        </w:rPr>
        <w:t>jogging;</w:t>
      </w:r>
      <w:r>
        <w:rPr>
          <w:spacing w:val="33"/>
          <w:sz w:val="30"/>
        </w:rPr>
        <w:t xml:space="preserve"> </w:t>
      </w:r>
      <w:r>
        <w:rPr>
          <w:sz w:val="30"/>
        </w:rPr>
        <w:t>second, Jim’s wife Sally is a very demanding person.</w:t>
      </w:r>
    </w:p>
    <w:p w14:paraId="7E00294A" w14:textId="77777777" w:rsidR="009A58DB" w:rsidRDefault="00000000">
      <w:pPr>
        <w:pStyle w:val="BodyText"/>
        <w:spacing w:before="107" w:line="249" w:lineRule="auto"/>
        <w:ind w:right="365" w:firstLine="360"/>
      </w:pPr>
      <w:r>
        <w:t>Thus, in English (or any other natural language), use of the expression “because” may yield a sentences that is ambiguous and, in addition, can be disambiguated only by successfully doing a certain amount of syntax-chopping and, therefore, logic-chopping.</w:t>
      </w:r>
    </w:p>
    <w:p w14:paraId="7E00294B" w14:textId="77777777" w:rsidR="009A58DB" w:rsidRDefault="00000000">
      <w:pPr>
        <w:pStyle w:val="BodyText"/>
        <w:spacing w:before="5" w:line="249" w:lineRule="auto"/>
        <w:ind w:right="369" w:firstLine="360"/>
      </w:pPr>
      <w:r>
        <w:t>But in our symbolic notation, one can disambiguate (i) without having to do any logic-chopping. One need only put parentheses around the two sentences that one wants joined by the “because.” Thus, the symbolic analogue of (ii) is:</w:t>
      </w:r>
    </w:p>
    <w:p w14:paraId="7E00294C" w14:textId="77777777" w:rsidR="009A58DB" w:rsidRDefault="00000000">
      <w:pPr>
        <w:pStyle w:val="BodyText"/>
        <w:spacing w:before="95" w:line="249" w:lineRule="auto"/>
        <w:jc w:val="left"/>
      </w:pPr>
      <w:r>
        <w:t>(ii</w:t>
      </w:r>
      <w:r>
        <w:rPr>
          <w:position w:val="-7"/>
          <w:sz w:val="22"/>
        </w:rPr>
        <w:t>S</w:t>
      </w:r>
      <w:r>
        <w:t>)</w:t>
      </w:r>
      <w:r>
        <w:rPr>
          <w:spacing w:val="37"/>
        </w:rPr>
        <w:t xml:space="preserve"> </w:t>
      </w:r>
      <w:r>
        <w:t>(Jim</w:t>
      </w:r>
      <w:r>
        <w:rPr>
          <w:spacing w:val="37"/>
        </w:rPr>
        <w:t xml:space="preserve"> </w:t>
      </w:r>
      <w:r>
        <w:t>is</w:t>
      </w:r>
      <w:r>
        <w:rPr>
          <w:spacing w:val="37"/>
        </w:rPr>
        <w:t xml:space="preserve"> </w:t>
      </w:r>
      <w:r>
        <w:t>tired</w:t>
      </w:r>
      <w:r>
        <w:rPr>
          <w:spacing w:val="37"/>
        </w:rPr>
        <w:t xml:space="preserve"> </w:t>
      </w:r>
      <w:r>
        <w:t>because</w:t>
      </w:r>
      <w:r>
        <w:rPr>
          <w:spacing w:val="37"/>
        </w:rPr>
        <w:t xml:space="preserve"> </w:t>
      </w:r>
      <w:r>
        <w:t>he</w:t>
      </w:r>
      <w:r>
        <w:rPr>
          <w:spacing w:val="37"/>
        </w:rPr>
        <w:t xml:space="preserve"> </w:t>
      </w:r>
      <w:r>
        <w:t>went</w:t>
      </w:r>
      <w:r>
        <w:rPr>
          <w:spacing w:val="37"/>
        </w:rPr>
        <w:t xml:space="preserve"> </w:t>
      </w:r>
      <w:r>
        <w:t>jogging)</w:t>
      </w:r>
      <w:r>
        <w:rPr>
          <w:spacing w:val="37"/>
        </w:rPr>
        <w:t xml:space="preserve"> </w:t>
      </w:r>
      <w:r>
        <w:t>and</w:t>
      </w:r>
      <w:r>
        <w:rPr>
          <w:spacing w:val="37"/>
        </w:rPr>
        <w:t xml:space="preserve"> </w:t>
      </w:r>
      <w:r>
        <w:t>Sally</w:t>
      </w:r>
      <w:r>
        <w:rPr>
          <w:spacing w:val="37"/>
        </w:rPr>
        <w:t xml:space="preserve"> </w:t>
      </w:r>
      <w:r>
        <w:t>is</w:t>
      </w:r>
      <w:r>
        <w:rPr>
          <w:spacing w:val="37"/>
        </w:rPr>
        <w:t xml:space="preserve"> </w:t>
      </w:r>
      <w:r>
        <w:t>a</w:t>
      </w:r>
      <w:r>
        <w:rPr>
          <w:spacing w:val="37"/>
        </w:rPr>
        <w:t xml:space="preserve"> </w:t>
      </w:r>
      <w:r>
        <w:t>very</w:t>
      </w:r>
      <w:r>
        <w:rPr>
          <w:spacing w:val="37"/>
        </w:rPr>
        <w:t xml:space="preserve"> </w:t>
      </w:r>
      <w:r>
        <w:t xml:space="preserve">demanding </w:t>
      </w:r>
      <w:r>
        <w:rPr>
          <w:spacing w:val="-2"/>
        </w:rPr>
        <w:t>person.</w:t>
      </w:r>
    </w:p>
    <w:p w14:paraId="7E00294D" w14:textId="77777777" w:rsidR="009A58DB" w:rsidRDefault="00000000">
      <w:pPr>
        <w:pStyle w:val="BodyText"/>
        <w:spacing w:before="105"/>
        <w:jc w:val="left"/>
      </w:pPr>
      <w:r>
        <w:t>And</w:t>
      </w:r>
      <w:r>
        <w:rPr>
          <w:spacing w:val="-3"/>
        </w:rPr>
        <w:t xml:space="preserve"> </w:t>
      </w:r>
      <w:r>
        <w:t>the</w:t>
      </w:r>
      <w:r>
        <w:rPr>
          <w:spacing w:val="-3"/>
        </w:rPr>
        <w:t xml:space="preserve"> </w:t>
      </w:r>
      <w:r>
        <w:t>symbolic</w:t>
      </w:r>
      <w:r>
        <w:rPr>
          <w:spacing w:val="-3"/>
        </w:rPr>
        <w:t xml:space="preserve"> </w:t>
      </w:r>
      <w:r>
        <w:t>analogue</w:t>
      </w:r>
      <w:r>
        <w:rPr>
          <w:spacing w:val="-3"/>
        </w:rPr>
        <w:t xml:space="preserve"> </w:t>
      </w:r>
      <w:r>
        <w:t>of</w:t>
      </w:r>
      <w:r>
        <w:rPr>
          <w:spacing w:val="-3"/>
        </w:rPr>
        <w:t xml:space="preserve"> </w:t>
      </w:r>
      <w:r>
        <w:t>(iii)</w:t>
      </w:r>
      <w:r>
        <w:rPr>
          <w:spacing w:val="-3"/>
        </w:rPr>
        <w:t xml:space="preserve"> </w:t>
      </w:r>
      <w:r>
        <w:rPr>
          <w:spacing w:val="-5"/>
        </w:rPr>
        <w:t>is:</w:t>
      </w:r>
    </w:p>
    <w:p w14:paraId="7E00294E" w14:textId="77777777" w:rsidR="009A58DB" w:rsidRDefault="00000000">
      <w:pPr>
        <w:pStyle w:val="BodyText"/>
        <w:spacing w:before="120" w:line="249" w:lineRule="auto"/>
        <w:jc w:val="left"/>
      </w:pPr>
      <w:r>
        <w:t>(iii</w:t>
      </w:r>
      <w:r>
        <w:rPr>
          <w:position w:val="-7"/>
          <w:sz w:val="22"/>
        </w:rPr>
        <w:t>S</w:t>
      </w:r>
      <w:r>
        <w:t>)</w:t>
      </w:r>
      <w:r>
        <w:rPr>
          <w:spacing w:val="38"/>
        </w:rPr>
        <w:t xml:space="preserve"> </w:t>
      </w:r>
      <w:r>
        <w:t>Jim</w:t>
      </w:r>
      <w:r>
        <w:rPr>
          <w:spacing w:val="38"/>
        </w:rPr>
        <w:t xml:space="preserve"> </w:t>
      </w:r>
      <w:r>
        <w:t>is</w:t>
      </w:r>
      <w:r>
        <w:rPr>
          <w:spacing w:val="38"/>
        </w:rPr>
        <w:t xml:space="preserve"> </w:t>
      </w:r>
      <w:r>
        <w:t>tired</w:t>
      </w:r>
      <w:r>
        <w:rPr>
          <w:spacing w:val="38"/>
        </w:rPr>
        <w:t xml:space="preserve"> </w:t>
      </w:r>
      <w:r>
        <w:t>because</w:t>
      </w:r>
      <w:r>
        <w:rPr>
          <w:spacing w:val="38"/>
        </w:rPr>
        <w:t xml:space="preserve"> </w:t>
      </w:r>
      <w:r>
        <w:t>(he</w:t>
      </w:r>
      <w:r>
        <w:rPr>
          <w:spacing w:val="38"/>
        </w:rPr>
        <w:t xml:space="preserve"> </w:t>
      </w:r>
      <w:r>
        <w:t>went</w:t>
      </w:r>
      <w:r>
        <w:rPr>
          <w:spacing w:val="38"/>
        </w:rPr>
        <w:t xml:space="preserve"> </w:t>
      </w:r>
      <w:r>
        <w:t>jogging</w:t>
      </w:r>
      <w:r>
        <w:rPr>
          <w:spacing w:val="38"/>
        </w:rPr>
        <w:t xml:space="preserve"> </w:t>
      </w:r>
      <w:r>
        <w:t>and</w:t>
      </w:r>
      <w:r>
        <w:rPr>
          <w:spacing w:val="38"/>
        </w:rPr>
        <w:t xml:space="preserve"> </w:t>
      </w:r>
      <w:r>
        <w:t>Sally</w:t>
      </w:r>
      <w:r>
        <w:rPr>
          <w:spacing w:val="38"/>
        </w:rPr>
        <w:t xml:space="preserve"> </w:t>
      </w:r>
      <w:r>
        <w:t>is</w:t>
      </w:r>
      <w:r>
        <w:rPr>
          <w:spacing w:val="38"/>
        </w:rPr>
        <w:t xml:space="preserve"> </w:t>
      </w:r>
      <w:r>
        <w:t>a</w:t>
      </w:r>
      <w:r>
        <w:rPr>
          <w:spacing w:val="38"/>
        </w:rPr>
        <w:t xml:space="preserve"> </w:t>
      </w:r>
      <w:r>
        <w:t>very</w:t>
      </w:r>
      <w:r>
        <w:rPr>
          <w:spacing w:val="38"/>
        </w:rPr>
        <w:t xml:space="preserve"> </w:t>
      </w:r>
      <w:r>
        <w:t xml:space="preserve">demanding </w:t>
      </w:r>
      <w:r>
        <w:rPr>
          <w:spacing w:val="-2"/>
        </w:rPr>
        <w:t>person).</w:t>
      </w:r>
    </w:p>
    <w:p w14:paraId="7E00294F" w14:textId="77777777" w:rsidR="009A58DB" w:rsidRDefault="00000000">
      <w:pPr>
        <w:spacing w:before="89" w:line="249" w:lineRule="auto"/>
        <w:ind w:left="360"/>
        <w:rPr>
          <w:sz w:val="30"/>
        </w:rPr>
      </w:pPr>
      <w:r>
        <w:rPr>
          <w:b/>
          <w:i/>
          <w:sz w:val="30"/>
        </w:rPr>
        <w:t>Negation</w:t>
      </w:r>
      <w:r>
        <w:rPr>
          <w:b/>
          <w:i/>
          <w:spacing w:val="40"/>
          <w:sz w:val="30"/>
        </w:rPr>
        <w:t xml:space="preserve"> </w:t>
      </w:r>
      <w:r>
        <w:rPr>
          <w:b/>
          <w:i/>
          <w:sz w:val="30"/>
        </w:rPr>
        <w:t>in</w:t>
      </w:r>
      <w:r>
        <w:rPr>
          <w:b/>
          <w:i/>
          <w:spacing w:val="40"/>
          <w:sz w:val="30"/>
        </w:rPr>
        <w:t xml:space="preserve"> </w:t>
      </w:r>
      <w:r>
        <w:rPr>
          <w:b/>
          <w:i/>
          <w:sz w:val="30"/>
        </w:rPr>
        <w:t>relation</w:t>
      </w:r>
      <w:r>
        <w:rPr>
          <w:b/>
          <w:i/>
          <w:spacing w:val="40"/>
          <w:sz w:val="30"/>
        </w:rPr>
        <w:t xml:space="preserve"> </w:t>
      </w:r>
      <w:r>
        <w:rPr>
          <w:b/>
          <w:i/>
          <w:sz w:val="30"/>
        </w:rPr>
        <w:t>to</w:t>
      </w:r>
      <w:r>
        <w:rPr>
          <w:b/>
          <w:i/>
          <w:spacing w:val="40"/>
          <w:sz w:val="30"/>
        </w:rPr>
        <w:t xml:space="preserve"> </w:t>
      </w:r>
      <w:r>
        <w:rPr>
          <w:b/>
          <w:i/>
          <w:sz w:val="30"/>
        </w:rPr>
        <w:t>the</w:t>
      </w:r>
      <w:r>
        <w:rPr>
          <w:b/>
          <w:i/>
          <w:spacing w:val="40"/>
          <w:sz w:val="30"/>
        </w:rPr>
        <w:t xml:space="preserve"> </w:t>
      </w:r>
      <w:r>
        <w:rPr>
          <w:b/>
          <w:i/>
          <w:sz w:val="30"/>
        </w:rPr>
        <w:t>use</w:t>
      </w:r>
      <w:r>
        <w:rPr>
          <w:b/>
          <w:i/>
          <w:spacing w:val="40"/>
          <w:sz w:val="30"/>
        </w:rPr>
        <w:t xml:space="preserve"> </w:t>
      </w:r>
      <w:r>
        <w:rPr>
          <w:b/>
          <w:i/>
          <w:sz w:val="30"/>
        </w:rPr>
        <w:t>of</w:t>
      </w:r>
      <w:r>
        <w:rPr>
          <w:b/>
          <w:i/>
          <w:spacing w:val="40"/>
          <w:sz w:val="30"/>
        </w:rPr>
        <w:t xml:space="preserve"> </w:t>
      </w:r>
      <w:r>
        <w:rPr>
          <w:b/>
          <w:i/>
          <w:sz w:val="30"/>
        </w:rPr>
        <w:t>parentheses:</w:t>
      </w:r>
      <w:r>
        <w:rPr>
          <w:b/>
          <w:i/>
          <w:spacing w:val="40"/>
          <w:sz w:val="30"/>
        </w:rPr>
        <w:t xml:space="preserve"> </w:t>
      </w:r>
      <w:r>
        <w:rPr>
          <w:sz w:val="30"/>
        </w:rPr>
        <w:t>Parentheses</w:t>
      </w:r>
      <w:r>
        <w:rPr>
          <w:spacing w:val="40"/>
          <w:sz w:val="30"/>
        </w:rPr>
        <w:t xml:space="preserve"> </w:t>
      </w:r>
      <w:r>
        <w:rPr>
          <w:sz w:val="30"/>
        </w:rPr>
        <w:t>make</w:t>
      </w:r>
      <w:r>
        <w:rPr>
          <w:spacing w:val="40"/>
          <w:sz w:val="30"/>
        </w:rPr>
        <w:t xml:space="preserve"> </w:t>
      </w:r>
      <w:r>
        <w:rPr>
          <w:sz w:val="30"/>
        </w:rPr>
        <w:t>it</w:t>
      </w:r>
      <w:r>
        <w:rPr>
          <w:spacing w:val="40"/>
          <w:sz w:val="30"/>
        </w:rPr>
        <w:t xml:space="preserve"> </w:t>
      </w:r>
      <w:r>
        <w:rPr>
          <w:sz w:val="30"/>
        </w:rPr>
        <w:t>clear what is being negated. (A) ~snow is white or grass is green</w:t>
      </w:r>
    </w:p>
    <w:p w14:paraId="7E002950" w14:textId="77777777" w:rsidR="009A58DB" w:rsidRDefault="00000000">
      <w:pPr>
        <w:pStyle w:val="BodyText"/>
        <w:spacing w:before="108"/>
        <w:jc w:val="left"/>
      </w:pPr>
      <w:r>
        <w:t>is</w:t>
      </w:r>
      <w:r>
        <w:rPr>
          <w:spacing w:val="-6"/>
        </w:rPr>
        <w:t xml:space="preserve"> </w:t>
      </w:r>
      <w:r>
        <w:t>ambiguous.</w:t>
      </w:r>
      <w:r>
        <w:rPr>
          <w:spacing w:val="-2"/>
        </w:rPr>
        <w:t xml:space="preserve"> </w:t>
      </w:r>
      <w:r>
        <w:t>It</w:t>
      </w:r>
      <w:r>
        <w:rPr>
          <w:spacing w:val="-3"/>
        </w:rPr>
        <w:t xml:space="preserve"> </w:t>
      </w:r>
      <w:r>
        <w:t>could</w:t>
      </w:r>
      <w:r>
        <w:rPr>
          <w:spacing w:val="-2"/>
        </w:rPr>
        <w:t xml:space="preserve"> </w:t>
      </w:r>
      <w:r>
        <w:t>mean</w:t>
      </w:r>
      <w:r>
        <w:rPr>
          <w:spacing w:val="-2"/>
        </w:rPr>
        <w:t xml:space="preserve"> either</w:t>
      </w:r>
    </w:p>
    <w:p w14:paraId="7E002951" w14:textId="77777777" w:rsidR="009A58DB" w:rsidRDefault="00000000">
      <w:pPr>
        <w:pStyle w:val="BodyText"/>
        <w:spacing w:before="120"/>
        <w:jc w:val="left"/>
      </w:pPr>
      <w:r>
        <w:t>(B)</w:t>
      </w:r>
      <w:r>
        <w:rPr>
          <w:spacing w:val="-6"/>
        </w:rPr>
        <w:t xml:space="preserve"> </w:t>
      </w:r>
      <w:r>
        <w:rPr>
          <w:i/>
        </w:rPr>
        <w:t>either</w:t>
      </w:r>
      <w:r>
        <w:rPr>
          <w:i/>
          <w:spacing w:val="-3"/>
        </w:rPr>
        <w:t xml:space="preserve"> </w:t>
      </w:r>
      <w:r>
        <w:t>it’s</w:t>
      </w:r>
      <w:r>
        <w:rPr>
          <w:spacing w:val="-3"/>
        </w:rPr>
        <w:t xml:space="preserve"> </w:t>
      </w:r>
      <w:r>
        <w:t>the</w:t>
      </w:r>
      <w:r>
        <w:rPr>
          <w:spacing w:val="-3"/>
        </w:rPr>
        <w:t xml:space="preserve"> </w:t>
      </w:r>
      <w:r>
        <w:t>case</w:t>
      </w:r>
      <w:r>
        <w:rPr>
          <w:spacing w:val="-3"/>
        </w:rPr>
        <w:t xml:space="preserve"> </w:t>
      </w:r>
      <w:r>
        <w:t>that</w:t>
      </w:r>
      <w:r>
        <w:rPr>
          <w:spacing w:val="-4"/>
        </w:rPr>
        <w:t xml:space="preserve"> </w:t>
      </w:r>
      <w:r>
        <w:t>grass</w:t>
      </w:r>
      <w:r>
        <w:rPr>
          <w:spacing w:val="-3"/>
        </w:rPr>
        <w:t xml:space="preserve"> </w:t>
      </w:r>
      <w:r>
        <w:t>is</w:t>
      </w:r>
      <w:r>
        <w:rPr>
          <w:spacing w:val="-3"/>
        </w:rPr>
        <w:t xml:space="preserve"> </w:t>
      </w:r>
      <w:r>
        <w:t>green</w:t>
      </w:r>
      <w:r>
        <w:rPr>
          <w:spacing w:val="-2"/>
        </w:rPr>
        <w:t xml:space="preserve"> </w:t>
      </w:r>
      <w:r>
        <w:rPr>
          <w:i/>
        </w:rPr>
        <w:t>or</w:t>
      </w:r>
      <w:r>
        <w:rPr>
          <w:i/>
          <w:spacing w:val="-3"/>
        </w:rPr>
        <w:t xml:space="preserve"> </w:t>
      </w:r>
      <w:r>
        <w:t>it’s</w:t>
      </w:r>
      <w:r>
        <w:rPr>
          <w:spacing w:val="-4"/>
        </w:rPr>
        <w:t xml:space="preserve"> </w:t>
      </w:r>
      <w:r>
        <w:t>the</w:t>
      </w:r>
      <w:r>
        <w:rPr>
          <w:spacing w:val="-3"/>
        </w:rPr>
        <w:t xml:space="preserve"> </w:t>
      </w:r>
      <w:r>
        <w:t>case</w:t>
      </w:r>
      <w:r>
        <w:rPr>
          <w:spacing w:val="-3"/>
        </w:rPr>
        <w:t xml:space="preserve"> </w:t>
      </w:r>
      <w:r>
        <w:t>that</w:t>
      </w:r>
      <w:r>
        <w:rPr>
          <w:spacing w:val="-3"/>
        </w:rPr>
        <w:t xml:space="preserve"> </w:t>
      </w:r>
      <w:r>
        <w:t>snow</w:t>
      </w:r>
      <w:r>
        <w:rPr>
          <w:spacing w:val="-3"/>
        </w:rPr>
        <w:t xml:space="preserve"> </w:t>
      </w:r>
      <w:r>
        <w:t>isn’t</w:t>
      </w:r>
      <w:r>
        <w:rPr>
          <w:spacing w:val="-3"/>
        </w:rPr>
        <w:t xml:space="preserve"> </w:t>
      </w:r>
      <w:r>
        <w:rPr>
          <w:spacing w:val="-2"/>
        </w:rPr>
        <w:t>white</w:t>
      </w:r>
    </w:p>
    <w:p w14:paraId="7E002952" w14:textId="77777777" w:rsidR="009A58DB" w:rsidRDefault="00000000">
      <w:pPr>
        <w:pStyle w:val="BodyText"/>
        <w:spacing w:before="105"/>
        <w:jc w:val="left"/>
      </w:pPr>
      <w:r>
        <w:rPr>
          <w:spacing w:val="-5"/>
        </w:rPr>
        <w:t>or</w:t>
      </w:r>
    </w:p>
    <w:p w14:paraId="7E002953" w14:textId="77777777" w:rsidR="009A58DB" w:rsidRDefault="00000000">
      <w:pPr>
        <w:pStyle w:val="BodyText"/>
        <w:spacing w:before="120"/>
        <w:jc w:val="left"/>
      </w:pPr>
      <w:r>
        <w:t>(C)</w:t>
      </w:r>
      <w:r>
        <w:rPr>
          <w:spacing w:val="-5"/>
        </w:rPr>
        <w:t xml:space="preserve"> </w:t>
      </w:r>
      <w:r>
        <w:t>it</w:t>
      </w:r>
      <w:r>
        <w:rPr>
          <w:spacing w:val="-3"/>
        </w:rPr>
        <w:t xml:space="preserve"> </w:t>
      </w:r>
      <w:r>
        <w:t>isn’t</w:t>
      </w:r>
      <w:r>
        <w:rPr>
          <w:spacing w:val="-3"/>
        </w:rPr>
        <w:t xml:space="preserve"> </w:t>
      </w:r>
      <w:r>
        <w:t>the</w:t>
      </w:r>
      <w:r>
        <w:rPr>
          <w:spacing w:val="-3"/>
        </w:rPr>
        <w:t xml:space="preserve"> </w:t>
      </w:r>
      <w:r>
        <w:t>case</w:t>
      </w:r>
      <w:r>
        <w:rPr>
          <w:spacing w:val="-3"/>
        </w:rPr>
        <w:t xml:space="preserve"> </w:t>
      </w:r>
      <w:r>
        <w:t>that</w:t>
      </w:r>
      <w:r>
        <w:rPr>
          <w:spacing w:val="-2"/>
        </w:rPr>
        <w:t xml:space="preserve"> </w:t>
      </w:r>
      <w:r>
        <w:t>(snow</w:t>
      </w:r>
      <w:r>
        <w:rPr>
          <w:spacing w:val="-3"/>
        </w:rPr>
        <w:t xml:space="preserve"> </w:t>
      </w:r>
      <w:r>
        <w:t>is</w:t>
      </w:r>
      <w:r>
        <w:rPr>
          <w:spacing w:val="-3"/>
        </w:rPr>
        <w:t xml:space="preserve"> </w:t>
      </w:r>
      <w:r>
        <w:t>white</w:t>
      </w:r>
      <w:r>
        <w:rPr>
          <w:spacing w:val="-3"/>
        </w:rPr>
        <w:t xml:space="preserve"> </w:t>
      </w:r>
      <w:r>
        <w:t>or</w:t>
      </w:r>
      <w:r>
        <w:rPr>
          <w:spacing w:val="-3"/>
        </w:rPr>
        <w:t xml:space="preserve"> </w:t>
      </w:r>
      <w:r>
        <w:t>grass</w:t>
      </w:r>
      <w:r>
        <w:rPr>
          <w:spacing w:val="-3"/>
        </w:rPr>
        <w:t xml:space="preserve"> </w:t>
      </w:r>
      <w:r>
        <w:t>is</w:t>
      </w:r>
      <w:r>
        <w:rPr>
          <w:spacing w:val="-2"/>
        </w:rPr>
        <w:t xml:space="preserve"> green).</w:t>
      </w:r>
    </w:p>
    <w:p w14:paraId="7E002954" w14:textId="77777777" w:rsidR="009A58DB" w:rsidRDefault="00000000">
      <w:pPr>
        <w:pStyle w:val="BodyText"/>
        <w:spacing w:before="120"/>
        <w:jc w:val="left"/>
      </w:pPr>
      <w:r>
        <w:t>(C)</w:t>
      </w:r>
      <w:r>
        <w:rPr>
          <w:spacing w:val="-4"/>
        </w:rPr>
        <w:t xml:space="preserve"> </w:t>
      </w:r>
      <w:r>
        <w:t>is</w:t>
      </w:r>
      <w:r>
        <w:rPr>
          <w:spacing w:val="-4"/>
        </w:rPr>
        <w:t xml:space="preserve"> </w:t>
      </w:r>
      <w:r>
        <w:t>equivalent</w:t>
      </w:r>
      <w:r>
        <w:rPr>
          <w:spacing w:val="-3"/>
        </w:rPr>
        <w:t xml:space="preserve"> </w:t>
      </w:r>
      <w:r>
        <w:rPr>
          <w:spacing w:val="-4"/>
        </w:rPr>
        <w:t>with:</w:t>
      </w:r>
    </w:p>
    <w:p w14:paraId="7E002955" w14:textId="77777777" w:rsidR="009A58DB" w:rsidRDefault="00000000">
      <w:pPr>
        <w:pStyle w:val="BodyText"/>
        <w:spacing w:before="105"/>
        <w:jc w:val="left"/>
      </w:pPr>
      <w:r>
        <w:t>(D)</w:t>
      </w:r>
      <w:r>
        <w:rPr>
          <w:spacing w:val="-6"/>
        </w:rPr>
        <w:t xml:space="preserve"> </w:t>
      </w:r>
      <w:r>
        <w:t>snow</w:t>
      </w:r>
      <w:r>
        <w:rPr>
          <w:spacing w:val="-3"/>
        </w:rPr>
        <w:t xml:space="preserve"> </w:t>
      </w:r>
      <w:r>
        <w:t>isn’t</w:t>
      </w:r>
      <w:r>
        <w:rPr>
          <w:spacing w:val="-3"/>
        </w:rPr>
        <w:t xml:space="preserve"> </w:t>
      </w:r>
      <w:r>
        <w:t>white</w:t>
      </w:r>
      <w:r>
        <w:rPr>
          <w:spacing w:val="-4"/>
        </w:rPr>
        <w:t xml:space="preserve"> </w:t>
      </w:r>
      <w:r>
        <w:t>and</w:t>
      </w:r>
      <w:r>
        <w:rPr>
          <w:spacing w:val="-2"/>
        </w:rPr>
        <w:t xml:space="preserve"> </w:t>
      </w:r>
      <w:r>
        <w:t>grass</w:t>
      </w:r>
      <w:r>
        <w:rPr>
          <w:spacing w:val="-3"/>
        </w:rPr>
        <w:t xml:space="preserve"> </w:t>
      </w:r>
      <w:r>
        <w:t>isn’t</w:t>
      </w:r>
      <w:r>
        <w:rPr>
          <w:spacing w:val="-3"/>
        </w:rPr>
        <w:t xml:space="preserve"> </w:t>
      </w:r>
      <w:r>
        <w:rPr>
          <w:spacing w:val="-2"/>
        </w:rPr>
        <w:t>green.</w:t>
      </w:r>
    </w:p>
    <w:p w14:paraId="7E002956" w14:textId="77777777" w:rsidR="009A58DB" w:rsidRDefault="00000000">
      <w:pPr>
        <w:pStyle w:val="BodyText"/>
        <w:spacing w:before="120"/>
        <w:jc w:val="left"/>
      </w:pPr>
      <w:r>
        <w:t>(B)</w:t>
      </w:r>
      <w:r>
        <w:rPr>
          <w:spacing w:val="16"/>
        </w:rPr>
        <w:t xml:space="preserve"> </w:t>
      </w:r>
      <w:r>
        <w:t>isn’t</w:t>
      </w:r>
      <w:r>
        <w:rPr>
          <w:spacing w:val="19"/>
        </w:rPr>
        <w:t xml:space="preserve"> </w:t>
      </w:r>
      <w:r>
        <w:t>equivalent</w:t>
      </w:r>
      <w:r>
        <w:rPr>
          <w:spacing w:val="18"/>
        </w:rPr>
        <w:t xml:space="preserve"> </w:t>
      </w:r>
      <w:r>
        <w:t>with</w:t>
      </w:r>
      <w:r>
        <w:rPr>
          <w:spacing w:val="19"/>
        </w:rPr>
        <w:t xml:space="preserve"> </w:t>
      </w:r>
      <w:r>
        <w:t>(D),</w:t>
      </w:r>
      <w:r>
        <w:rPr>
          <w:spacing w:val="18"/>
        </w:rPr>
        <w:t xml:space="preserve"> </w:t>
      </w:r>
      <w:r>
        <w:t>since</w:t>
      </w:r>
      <w:r>
        <w:rPr>
          <w:spacing w:val="19"/>
        </w:rPr>
        <w:t xml:space="preserve"> </w:t>
      </w:r>
      <w:r>
        <w:t>(B),</w:t>
      </w:r>
      <w:r>
        <w:rPr>
          <w:spacing w:val="19"/>
        </w:rPr>
        <w:t xml:space="preserve"> </w:t>
      </w:r>
      <w:r>
        <w:t>unlike</w:t>
      </w:r>
      <w:r>
        <w:rPr>
          <w:spacing w:val="18"/>
        </w:rPr>
        <w:t xml:space="preserve"> </w:t>
      </w:r>
      <w:r>
        <w:t>(D),</w:t>
      </w:r>
      <w:r>
        <w:rPr>
          <w:spacing w:val="19"/>
        </w:rPr>
        <w:t xml:space="preserve"> </w:t>
      </w:r>
      <w:r>
        <w:t>is</w:t>
      </w:r>
      <w:r>
        <w:rPr>
          <w:spacing w:val="18"/>
        </w:rPr>
        <w:t xml:space="preserve"> </w:t>
      </w:r>
      <w:r>
        <w:t>true</w:t>
      </w:r>
      <w:r>
        <w:rPr>
          <w:spacing w:val="19"/>
        </w:rPr>
        <w:t xml:space="preserve"> </w:t>
      </w:r>
      <w:r>
        <w:t>in</w:t>
      </w:r>
      <w:r>
        <w:rPr>
          <w:spacing w:val="18"/>
        </w:rPr>
        <w:t xml:space="preserve"> </w:t>
      </w:r>
      <w:r>
        <w:t>a</w:t>
      </w:r>
      <w:r>
        <w:rPr>
          <w:spacing w:val="19"/>
        </w:rPr>
        <w:t xml:space="preserve"> </w:t>
      </w:r>
      <w:r>
        <w:t>world</w:t>
      </w:r>
      <w:r>
        <w:rPr>
          <w:spacing w:val="19"/>
        </w:rPr>
        <w:t xml:space="preserve"> </w:t>
      </w:r>
      <w:r>
        <w:rPr>
          <w:spacing w:val="-2"/>
        </w:rPr>
        <w:t>where</w:t>
      </w:r>
    </w:p>
    <w:p w14:paraId="7E002957" w14:textId="77777777" w:rsidR="009A58DB" w:rsidRDefault="009A58DB">
      <w:pPr>
        <w:pStyle w:val="BodyText"/>
        <w:jc w:val="left"/>
        <w:sectPr w:rsidR="009A58DB">
          <w:pgSz w:w="12240" w:h="15840"/>
          <w:pgMar w:top="1380" w:right="1080" w:bottom="280" w:left="1080" w:header="720" w:footer="720" w:gutter="0"/>
          <w:cols w:space="720"/>
        </w:sectPr>
      </w:pPr>
    </w:p>
    <w:p w14:paraId="7E002958" w14:textId="77777777" w:rsidR="009A58DB" w:rsidRDefault="00000000">
      <w:pPr>
        <w:pStyle w:val="BodyText"/>
        <w:spacing w:before="67"/>
        <w:jc w:val="left"/>
      </w:pPr>
      <w:r>
        <w:lastRenderedPageBreak/>
        <w:t>grass</w:t>
      </w:r>
      <w:r>
        <w:rPr>
          <w:spacing w:val="-5"/>
        </w:rPr>
        <w:t xml:space="preserve"> </w:t>
      </w:r>
      <w:r>
        <w:t>is</w:t>
      </w:r>
      <w:r>
        <w:rPr>
          <w:spacing w:val="-3"/>
        </w:rPr>
        <w:t xml:space="preserve"> </w:t>
      </w:r>
      <w:r>
        <w:rPr>
          <w:spacing w:val="-2"/>
        </w:rPr>
        <w:t>green.</w:t>
      </w:r>
    </w:p>
    <w:p w14:paraId="7E002959" w14:textId="77777777" w:rsidR="009A58DB" w:rsidRDefault="00000000">
      <w:pPr>
        <w:pStyle w:val="BodyText"/>
        <w:spacing w:before="13" w:line="364" w:lineRule="auto"/>
        <w:ind w:right="4727"/>
        <w:jc w:val="left"/>
      </w:pPr>
      <w:r>
        <w:t>(A</w:t>
      </w:r>
      <w:r>
        <w:rPr>
          <w:vertAlign w:val="subscript"/>
        </w:rPr>
        <w:t>1</w:t>
      </w:r>
      <w:r>
        <w:t>)</w:t>
      </w:r>
      <w:r>
        <w:rPr>
          <w:spacing w:val="-4"/>
        </w:rPr>
        <w:t xml:space="preserve"> </w:t>
      </w:r>
      <w:r>
        <w:t>~(snow</w:t>
      </w:r>
      <w:r>
        <w:rPr>
          <w:spacing w:val="-4"/>
        </w:rPr>
        <w:t xml:space="preserve"> </w:t>
      </w:r>
      <w:r>
        <w:t>is</w:t>
      </w:r>
      <w:r>
        <w:rPr>
          <w:spacing w:val="-4"/>
        </w:rPr>
        <w:t xml:space="preserve"> </w:t>
      </w:r>
      <w:r>
        <w:t>white</w:t>
      </w:r>
      <w:r>
        <w:rPr>
          <w:spacing w:val="-4"/>
        </w:rPr>
        <w:t xml:space="preserve"> </w:t>
      </w:r>
      <w:r>
        <w:t>or</w:t>
      </w:r>
      <w:r>
        <w:rPr>
          <w:spacing w:val="-4"/>
        </w:rPr>
        <w:t xml:space="preserve"> </w:t>
      </w:r>
      <w:r>
        <w:t>grass</w:t>
      </w:r>
      <w:r>
        <w:rPr>
          <w:spacing w:val="-4"/>
        </w:rPr>
        <w:t xml:space="preserve"> </w:t>
      </w:r>
      <w:r>
        <w:t>is</w:t>
      </w:r>
      <w:r>
        <w:rPr>
          <w:spacing w:val="-4"/>
        </w:rPr>
        <w:t xml:space="preserve"> </w:t>
      </w:r>
      <w:r>
        <w:t>green) says the same thing as (C), and</w:t>
      </w:r>
    </w:p>
    <w:p w14:paraId="7E00295A" w14:textId="77777777" w:rsidR="009A58DB" w:rsidRDefault="00000000">
      <w:pPr>
        <w:pStyle w:val="BodyText"/>
        <w:spacing w:line="271" w:lineRule="exact"/>
        <w:jc w:val="left"/>
      </w:pPr>
      <w:r>
        <w:t>(A</w:t>
      </w:r>
      <w:r>
        <w:rPr>
          <w:vertAlign w:val="subscript"/>
        </w:rPr>
        <w:t>2</w:t>
      </w:r>
      <w:r>
        <w:t>)</w:t>
      </w:r>
      <w:r>
        <w:rPr>
          <w:spacing w:val="-1"/>
        </w:rPr>
        <w:t xml:space="preserve"> </w:t>
      </w:r>
      <w:r>
        <w:t>~(snow is white) or grass is</w:t>
      </w:r>
      <w:r>
        <w:rPr>
          <w:spacing w:val="-1"/>
        </w:rPr>
        <w:t xml:space="preserve"> </w:t>
      </w:r>
      <w:r>
        <w:rPr>
          <w:spacing w:val="-2"/>
        </w:rPr>
        <w:t>green</w:t>
      </w:r>
    </w:p>
    <w:p w14:paraId="7E00295B" w14:textId="77777777" w:rsidR="009A58DB" w:rsidRDefault="00000000">
      <w:pPr>
        <w:pStyle w:val="BodyText"/>
        <w:spacing w:before="180" w:line="249" w:lineRule="auto"/>
        <w:ind w:right="361"/>
      </w:pPr>
      <w:r>
        <w:t>says the same thing as (B). Thus, the parenthesis make it clear how much scope a given occurrence of “~” has—that is, they make it clear how much it is negating.</w:t>
      </w:r>
    </w:p>
    <w:p w14:paraId="7E00295C" w14:textId="77777777" w:rsidR="009A58DB" w:rsidRDefault="00000000">
      <w:pPr>
        <w:spacing w:before="120" w:line="230" w:lineRule="auto"/>
        <w:ind w:left="360" w:right="361"/>
        <w:jc w:val="both"/>
        <w:rPr>
          <w:sz w:val="30"/>
        </w:rPr>
      </w:pPr>
      <w:r>
        <w:rPr>
          <w:b/>
          <w:i/>
          <w:sz w:val="30"/>
        </w:rPr>
        <w:t xml:space="preserve">The modal operators—the box and the diamond: </w:t>
      </w:r>
      <w:r>
        <w:rPr>
          <w:sz w:val="30"/>
        </w:rPr>
        <w:t>“□P” means “necessarily P” and “</w:t>
      </w:r>
      <w:r>
        <w:rPr>
          <w:rFonts w:ascii="Segoe UI Symbol" w:hAnsi="Segoe UI Symbol"/>
          <w:sz w:val="30"/>
        </w:rPr>
        <w:t>◊</w:t>
      </w:r>
      <w:r>
        <w:rPr>
          <w:sz w:val="30"/>
        </w:rPr>
        <w:t>P” means “possibly P.”</w:t>
      </w:r>
    </w:p>
    <w:p w14:paraId="7E00295D" w14:textId="77777777" w:rsidR="009A58DB" w:rsidRDefault="00000000">
      <w:pPr>
        <w:pStyle w:val="BodyText"/>
        <w:spacing w:before="99" w:line="249" w:lineRule="auto"/>
        <w:ind w:right="359"/>
      </w:pPr>
      <w:r>
        <w:t>Note concerning the modal operators: The box and the diamond are to be given</w:t>
      </w:r>
      <w:r>
        <w:rPr>
          <w:spacing w:val="-3"/>
        </w:rPr>
        <w:t xml:space="preserve"> </w:t>
      </w:r>
      <w:r>
        <w:t>minimal</w:t>
      </w:r>
      <w:r>
        <w:rPr>
          <w:spacing w:val="-4"/>
        </w:rPr>
        <w:t xml:space="preserve"> </w:t>
      </w:r>
      <w:r>
        <w:t>scope.</w:t>
      </w:r>
      <w:r>
        <w:rPr>
          <w:spacing w:val="-3"/>
        </w:rPr>
        <w:t xml:space="preserve"> </w:t>
      </w:r>
      <w:r>
        <w:t>So</w:t>
      </w:r>
      <w:r>
        <w:rPr>
          <w:spacing w:val="-3"/>
        </w:rPr>
        <w:t xml:space="preserve"> </w:t>
      </w:r>
      <w:r>
        <w:t>“□P→Q”</w:t>
      </w:r>
      <w:r>
        <w:rPr>
          <w:spacing w:val="-4"/>
        </w:rPr>
        <w:t xml:space="preserve"> </w:t>
      </w:r>
      <w:r>
        <w:t>is</w:t>
      </w:r>
      <w:r>
        <w:rPr>
          <w:spacing w:val="-4"/>
        </w:rPr>
        <w:t xml:space="preserve"> </w:t>
      </w:r>
      <w:r>
        <w:rPr>
          <w:i/>
        </w:rPr>
        <w:t>not</w:t>
      </w:r>
      <w:r>
        <w:rPr>
          <w:i/>
          <w:spacing w:val="-4"/>
        </w:rPr>
        <w:t xml:space="preserve"> </w:t>
      </w:r>
      <w:r>
        <w:t>to</w:t>
      </w:r>
      <w:r>
        <w:rPr>
          <w:spacing w:val="-3"/>
        </w:rPr>
        <w:t xml:space="preserve"> </w:t>
      </w:r>
      <w:r>
        <w:t>mean</w:t>
      </w:r>
      <w:r>
        <w:rPr>
          <w:spacing w:val="-3"/>
        </w:rPr>
        <w:t xml:space="preserve"> </w:t>
      </w:r>
      <w:r>
        <w:t>that</w:t>
      </w:r>
      <w:r>
        <w:rPr>
          <w:spacing w:val="-4"/>
        </w:rPr>
        <w:t xml:space="preserve"> </w:t>
      </w:r>
      <w:r>
        <w:t>it’s</w:t>
      </w:r>
      <w:r>
        <w:rPr>
          <w:spacing w:val="-4"/>
        </w:rPr>
        <w:t xml:space="preserve"> </w:t>
      </w:r>
      <w:r>
        <w:t>necessarily</w:t>
      </w:r>
      <w:r>
        <w:rPr>
          <w:spacing w:val="-3"/>
        </w:rPr>
        <w:t xml:space="preserve"> </w:t>
      </w:r>
      <w:r>
        <w:t>the</w:t>
      </w:r>
      <w:r>
        <w:rPr>
          <w:spacing w:val="-4"/>
        </w:rPr>
        <w:t xml:space="preserve"> </w:t>
      </w:r>
      <w:r>
        <w:t xml:space="preserve">case that P implies Q. Rather, it is to mean that, if it’s necessarily true that P is the case, then it follows that Q is the case. “□(P→Q),” on the other hand, </w:t>
      </w:r>
      <w:r>
        <w:rPr>
          <w:i/>
        </w:rPr>
        <w:t xml:space="preserve">does </w:t>
      </w:r>
      <w:r>
        <w:t>say that it’s necessarily the case that P implies Q.</w:t>
      </w:r>
    </w:p>
    <w:p w14:paraId="7E00295E" w14:textId="77777777" w:rsidR="009A58DB" w:rsidRDefault="00000000">
      <w:pPr>
        <w:pStyle w:val="BodyText"/>
        <w:spacing w:before="111" w:line="249" w:lineRule="auto"/>
        <w:ind w:right="358"/>
      </w:pPr>
      <w:r>
        <w:rPr>
          <w:b/>
          <w:i/>
        </w:rPr>
        <w:t xml:space="preserve">The non-exclusive meaning of “or”: </w:t>
      </w:r>
      <w:r>
        <w:t xml:space="preserve">We’ll use “or” in the </w:t>
      </w:r>
      <w:r>
        <w:rPr>
          <w:i/>
        </w:rPr>
        <w:t xml:space="preserve">non-exclusive </w:t>
      </w:r>
      <w:r>
        <w:t xml:space="preserve">sense. So, as we’ll be using it “either Smith is having dinner or Smith is in London” is consistent with Smith’s being in London while having dinner. In order for “P or Q” to be true, all that is necessary is </w:t>
      </w:r>
      <w:r>
        <w:rPr>
          <w:i/>
        </w:rPr>
        <w:t xml:space="preserve">one </w:t>
      </w:r>
      <w:r>
        <w:t>of those two statements be true. So there are three circumstances under which “P or Q” is true: (i) P is true (but Q is false); (ii) Q is true (but P is false); (iii) P is true and Q is also true.</w:t>
      </w:r>
    </w:p>
    <w:p w14:paraId="7E00295F" w14:textId="77777777" w:rsidR="009A58DB" w:rsidRDefault="00000000">
      <w:pPr>
        <w:pStyle w:val="BodyText"/>
        <w:spacing w:before="9" w:line="249" w:lineRule="auto"/>
        <w:ind w:left="720" w:right="363"/>
      </w:pPr>
      <w:r>
        <w:t>In contemporary logic, both formal and informal, “or” is always used in the non-exclusive sense.</w:t>
      </w:r>
    </w:p>
    <w:p w14:paraId="7E002960" w14:textId="77777777" w:rsidR="009A58DB" w:rsidRDefault="00000000">
      <w:pPr>
        <w:pStyle w:val="Heading1"/>
        <w:numPr>
          <w:ilvl w:val="1"/>
          <w:numId w:val="37"/>
        </w:numPr>
        <w:tabs>
          <w:tab w:val="left" w:pos="1409"/>
        </w:tabs>
        <w:spacing w:before="190" w:line="244" w:lineRule="auto"/>
        <w:ind w:left="360" w:right="1031" w:firstLine="0"/>
      </w:pPr>
      <w:r>
        <w:t>Some</w:t>
      </w:r>
      <w:r>
        <w:rPr>
          <w:spacing w:val="-9"/>
        </w:rPr>
        <w:t xml:space="preserve"> </w:t>
      </w:r>
      <w:r>
        <w:t>general</w:t>
      </w:r>
      <w:r>
        <w:rPr>
          <w:spacing w:val="-9"/>
        </w:rPr>
        <w:t xml:space="preserve"> </w:t>
      </w:r>
      <w:r>
        <w:t>principles</w:t>
      </w:r>
      <w:r>
        <w:rPr>
          <w:spacing w:val="-9"/>
        </w:rPr>
        <w:t xml:space="preserve"> </w:t>
      </w:r>
      <w:r>
        <w:t>relevant</w:t>
      </w:r>
      <w:r>
        <w:rPr>
          <w:spacing w:val="-9"/>
        </w:rPr>
        <w:t xml:space="preserve"> </w:t>
      </w:r>
      <w:r>
        <w:t>to</w:t>
      </w:r>
      <w:r>
        <w:rPr>
          <w:spacing w:val="-8"/>
        </w:rPr>
        <w:t xml:space="preserve"> </w:t>
      </w:r>
      <w:r>
        <w:t xml:space="preserve">formal </w:t>
      </w:r>
      <w:r>
        <w:rPr>
          <w:spacing w:val="-2"/>
        </w:rPr>
        <w:t>logic</w:t>
      </w:r>
    </w:p>
    <w:p w14:paraId="7E002961" w14:textId="77777777" w:rsidR="009A58DB" w:rsidRDefault="00000000">
      <w:pPr>
        <w:spacing w:before="132" w:line="249" w:lineRule="auto"/>
        <w:ind w:left="360" w:right="361"/>
        <w:jc w:val="both"/>
        <w:rPr>
          <w:sz w:val="30"/>
        </w:rPr>
      </w:pPr>
      <w:r>
        <w:rPr>
          <w:b/>
          <w:i/>
          <w:sz w:val="30"/>
        </w:rPr>
        <w:t xml:space="preserve">Deduction is truth-preserving: </w:t>
      </w:r>
      <w:r>
        <w:rPr>
          <w:sz w:val="30"/>
        </w:rPr>
        <w:t>A true statement cannot entail a false one. In other words, a false statement cannot be validly inferred from a true one.</w:t>
      </w:r>
    </w:p>
    <w:p w14:paraId="7E002962" w14:textId="77777777" w:rsidR="009A58DB" w:rsidRDefault="00000000">
      <w:pPr>
        <w:spacing w:before="108" w:line="249" w:lineRule="auto"/>
        <w:ind w:left="360" w:right="361"/>
        <w:jc w:val="both"/>
        <w:rPr>
          <w:sz w:val="30"/>
        </w:rPr>
      </w:pPr>
      <w:r>
        <w:rPr>
          <w:b/>
          <w:i/>
          <w:sz w:val="30"/>
        </w:rPr>
        <w:t xml:space="preserve">Deduction is transitive </w:t>
      </w:r>
      <w:r>
        <w:rPr>
          <w:i/>
          <w:sz w:val="30"/>
        </w:rPr>
        <w:t xml:space="preserve">(a corollary of the fact that it’s truth-preserving): </w:t>
      </w:r>
      <w:r>
        <w:rPr>
          <w:sz w:val="30"/>
        </w:rPr>
        <w:t>R</w:t>
      </w:r>
      <w:r>
        <w:rPr>
          <w:spacing w:val="40"/>
          <w:sz w:val="30"/>
        </w:rPr>
        <w:t xml:space="preserve"> </w:t>
      </w:r>
      <w:r>
        <w:rPr>
          <w:sz w:val="30"/>
        </w:rPr>
        <w:t>is a transitive relation if, supposing that x bears to R to y, and y bears R to z,</w:t>
      </w:r>
      <w:r>
        <w:rPr>
          <w:spacing w:val="40"/>
          <w:sz w:val="30"/>
        </w:rPr>
        <w:t xml:space="preserve"> </w:t>
      </w:r>
      <w:r>
        <w:rPr>
          <w:sz w:val="30"/>
        </w:rPr>
        <w:t>x bears R to z. (The relation of being less tall than is transitive.) Deduction is transitive. A statement entails anything entailed by any one of its consequences. For example:</w:t>
      </w:r>
    </w:p>
    <w:p w14:paraId="7E002963"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964" w14:textId="77777777" w:rsidR="009A58DB" w:rsidRDefault="00000000">
      <w:pPr>
        <w:pStyle w:val="BodyText"/>
        <w:spacing w:before="65" w:line="249" w:lineRule="auto"/>
        <w:ind w:right="3829"/>
        <w:jc w:val="left"/>
      </w:pPr>
      <w:r>
        <w:lastRenderedPageBreak/>
        <w:t>If</w:t>
      </w:r>
      <w:r>
        <w:rPr>
          <w:spacing w:val="-6"/>
        </w:rPr>
        <w:t xml:space="preserve"> </w:t>
      </w:r>
      <w:r>
        <w:t>Smith</w:t>
      </w:r>
      <w:r>
        <w:rPr>
          <w:spacing w:val="-5"/>
        </w:rPr>
        <w:t xml:space="preserve"> </w:t>
      </w:r>
      <w:r>
        <w:t>is</w:t>
      </w:r>
      <w:r>
        <w:rPr>
          <w:spacing w:val="-6"/>
        </w:rPr>
        <w:t xml:space="preserve"> </w:t>
      </w:r>
      <w:r>
        <w:t>an</w:t>
      </w:r>
      <w:r>
        <w:rPr>
          <w:spacing w:val="-5"/>
        </w:rPr>
        <w:t xml:space="preserve"> </w:t>
      </w:r>
      <w:r>
        <w:t>elephant,</w:t>
      </w:r>
      <w:r>
        <w:rPr>
          <w:spacing w:val="-5"/>
        </w:rPr>
        <w:t xml:space="preserve"> </w:t>
      </w:r>
      <w:r>
        <w:t>then</w:t>
      </w:r>
      <w:r>
        <w:rPr>
          <w:spacing w:val="-5"/>
        </w:rPr>
        <w:t xml:space="preserve"> </w:t>
      </w:r>
      <w:r>
        <w:t>Smith</w:t>
      </w:r>
      <w:r>
        <w:rPr>
          <w:spacing w:val="-5"/>
        </w:rPr>
        <w:t xml:space="preserve"> </w:t>
      </w:r>
      <w:r>
        <w:t>is</w:t>
      </w:r>
      <w:r>
        <w:rPr>
          <w:spacing w:val="-6"/>
        </w:rPr>
        <w:t xml:space="preserve"> </w:t>
      </w:r>
      <w:r>
        <w:t>a</w:t>
      </w:r>
      <w:r>
        <w:rPr>
          <w:spacing w:val="-6"/>
        </w:rPr>
        <w:t xml:space="preserve"> </w:t>
      </w:r>
      <w:r>
        <w:t>mammal. If Smith is a mammal, then Smith has hair,</w:t>
      </w:r>
    </w:p>
    <w:p w14:paraId="7E002965" w14:textId="77777777" w:rsidR="009A58DB" w:rsidRDefault="00000000">
      <w:pPr>
        <w:pStyle w:val="BodyText"/>
        <w:spacing w:before="2"/>
        <w:jc w:val="left"/>
      </w:pPr>
      <w:r>
        <w:t>Therefore,</w:t>
      </w:r>
      <w:r>
        <w:rPr>
          <w:spacing w:val="-5"/>
        </w:rPr>
        <w:t xml:space="preserve"> </w:t>
      </w:r>
      <w:r>
        <w:t>if</w:t>
      </w:r>
      <w:r>
        <w:rPr>
          <w:spacing w:val="-4"/>
        </w:rPr>
        <w:t xml:space="preserve"> </w:t>
      </w:r>
      <w:r>
        <w:t>Smith</w:t>
      </w:r>
      <w:r>
        <w:rPr>
          <w:spacing w:val="-3"/>
        </w:rPr>
        <w:t xml:space="preserve"> </w:t>
      </w:r>
      <w:r>
        <w:t>is</w:t>
      </w:r>
      <w:r>
        <w:rPr>
          <w:spacing w:val="-4"/>
        </w:rPr>
        <w:t xml:space="preserve"> </w:t>
      </w:r>
      <w:r>
        <w:t>an</w:t>
      </w:r>
      <w:r>
        <w:rPr>
          <w:spacing w:val="-3"/>
        </w:rPr>
        <w:t xml:space="preserve"> </w:t>
      </w:r>
      <w:r>
        <w:t>elephant,</w:t>
      </w:r>
      <w:r>
        <w:rPr>
          <w:spacing w:val="-3"/>
        </w:rPr>
        <w:t xml:space="preserve"> </w:t>
      </w:r>
      <w:r>
        <w:t>then</w:t>
      </w:r>
      <w:r>
        <w:rPr>
          <w:spacing w:val="-3"/>
        </w:rPr>
        <w:t xml:space="preserve"> </w:t>
      </w:r>
      <w:r>
        <w:t>Smith</w:t>
      </w:r>
      <w:r>
        <w:rPr>
          <w:spacing w:val="-3"/>
        </w:rPr>
        <w:t xml:space="preserve"> </w:t>
      </w:r>
      <w:r>
        <w:t>has</w:t>
      </w:r>
      <w:r>
        <w:rPr>
          <w:spacing w:val="-3"/>
        </w:rPr>
        <w:t xml:space="preserve"> </w:t>
      </w:r>
      <w:r>
        <w:rPr>
          <w:spacing w:val="-2"/>
        </w:rPr>
        <w:t>hair.</w:t>
      </w:r>
    </w:p>
    <w:p w14:paraId="7E002966" w14:textId="77777777" w:rsidR="009A58DB" w:rsidRDefault="00000000">
      <w:pPr>
        <w:pStyle w:val="BodyText"/>
        <w:spacing w:before="120" w:line="249" w:lineRule="auto"/>
        <w:ind w:right="364"/>
      </w:pPr>
      <w:r>
        <w:rPr>
          <w:b/>
          <w:i/>
        </w:rPr>
        <w:t xml:space="preserve">Induction isn’t truth-preserving: </w:t>
      </w:r>
      <w:r>
        <w:t xml:space="preserve">A true statement may </w:t>
      </w:r>
      <w:r>
        <w:rPr>
          <w:b/>
        </w:rPr>
        <w:t xml:space="preserve">confirm </w:t>
      </w:r>
      <w:r>
        <w:t>a false one. The statement “Smith smokes eight packs of cigarettes a day” certainly confirms “Smith won’t live to be a hundred.” But there is still a chance that he will live to be a hundred.</w:t>
      </w:r>
    </w:p>
    <w:p w14:paraId="7E002967" w14:textId="77777777" w:rsidR="009A58DB" w:rsidRDefault="00000000">
      <w:pPr>
        <w:spacing w:before="95" w:line="249" w:lineRule="auto"/>
        <w:ind w:left="360" w:right="359"/>
        <w:jc w:val="both"/>
        <w:rPr>
          <w:sz w:val="30"/>
        </w:rPr>
      </w:pPr>
      <w:r>
        <w:rPr>
          <w:b/>
          <w:i/>
          <w:sz w:val="30"/>
        </w:rPr>
        <w:t xml:space="preserve">Induction isn’t transitive </w:t>
      </w:r>
      <w:r>
        <w:rPr>
          <w:i/>
          <w:sz w:val="30"/>
        </w:rPr>
        <w:t xml:space="preserve">(a corollary of the fact that it isn’t truth-preserving): </w:t>
      </w:r>
      <w:r>
        <w:rPr>
          <w:sz w:val="30"/>
        </w:rPr>
        <w:t>A corollary of the non-truthpreserving character of induction is that induction is not transitive. In other words, given only that P confirms Q and</w:t>
      </w:r>
      <w:r>
        <w:rPr>
          <w:spacing w:val="-2"/>
          <w:sz w:val="30"/>
        </w:rPr>
        <w:t xml:space="preserve"> </w:t>
      </w:r>
      <w:r>
        <w:rPr>
          <w:sz w:val="30"/>
        </w:rPr>
        <w:t>that</w:t>
      </w:r>
      <w:r>
        <w:rPr>
          <w:spacing w:val="-3"/>
          <w:sz w:val="30"/>
        </w:rPr>
        <w:t xml:space="preserve"> </w:t>
      </w:r>
      <w:r>
        <w:rPr>
          <w:sz w:val="30"/>
        </w:rPr>
        <w:t>Q</w:t>
      </w:r>
      <w:r>
        <w:rPr>
          <w:spacing w:val="-3"/>
          <w:sz w:val="30"/>
        </w:rPr>
        <w:t xml:space="preserve"> </w:t>
      </w:r>
      <w:r>
        <w:rPr>
          <w:sz w:val="30"/>
        </w:rPr>
        <w:t>confirms</w:t>
      </w:r>
      <w:r>
        <w:rPr>
          <w:spacing w:val="-3"/>
          <w:sz w:val="30"/>
        </w:rPr>
        <w:t xml:space="preserve"> </w:t>
      </w:r>
      <w:r>
        <w:rPr>
          <w:sz w:val="30"/>
        </w:rPr>
        <w:t>R,</w:t>
      </w:r>
      <w:r>
        <w:rPr>
          <w:spacing w:val="-2"/>
          <w:sz w:val="30"/>
        </w:rPr>
        <w:t xml:space="preserve"> </w:t>
      </w:r>
      <w:r>
        <w:rPr>
          <w:sz w:val="30"/>
        </w:rPr>
        <w:t>it</w:t>
      </w:r>
      <w:r>
        <w:rPr>
          <w:spacing w:val="-3"/>
          <w:sz w:val="30"/>
        </w:rPr>
        <w:t xml:space="preserve"> </w:t>
      </w:r>
      <w:r>
        <w:rPr>
          <w:sz w:val="30"/>
        </w:rPr>
        <w:t>doesn’t</w:t>
      </w:r>
      <w:r>
        <w:rPr>
          <w:spacing w:val="-3"/>
          <w:sz w:val="30"/>
        </w:rPr>
        <w:t xml:space="preserve"> </w:t>
      </w:r>
      <w:r>
        <w:rPr>
          <w:sz w:val="30"/>
        </w:rPr>
        <w:t>follow</w:t>
      </w:r>
      <w:r>
        <w:rPr>
          <w:spacing w:val="-3"/>
          <w:sz w:val="30"/>
        </w:rPr>
        <w:t xml:space="preserve"> </w:t>
      </w:r>
      <w:r>
        <w:rPr>
          <w:sz w:val="30"/>
        </w:rPr>
        <w:t>that</w:t>
      </w:r>
      <w:r>
        <w:rPr>
          <w:spacing w:val="-3"/>
          <w:sz w:val="30"/>
        </w:rPr>
        <w:t xml:space="preserve"> </w:t>
      </w:r>
      <w:r>
        <w:rPr>
          <w:sz w:val="30"/>
        </w:rPr>
        <w:t>P</w:t>
      </w:r>
      <w:r>
        <w:rPr>
          <w:spacing w:val="-3"/>
          <w:sz w:val="30"/>
        </w:rPr>
        <w:t xml:space="preserve"> </w:t>
      </w:r>
      <w:r>
        <w:rPr>
          <w:sz w:val="30"/>
        </w:rPr>
        <w:t>confirms</w:t>
      </w:r>
      <w:r>
        <w:rPr>
          <w:spacing w:val="-3"/>
          <w:sz w:val="30"/>
        </w:rPr>
        <w:t xml:space="preserve"> </w:t>
      </w:r>
      <w:r>
        <w:rPr>
          <w:sz w:val="30"/>
        </w:rPr>
        <w:t>R.</w:t>
      </w:r>
      <w:r>
        <w:rPr>
          <w:spacing w:val="-2"/>
          <w:sz w:val="30"/>
        </w:rPr>
        <w:t xml:space="preserve"> </w:t>
      </w:r>
      <w:r>
        <w:rPr>
          <w:sz w:val="30"/>
        </w:rPr>
        <w:t>Let</w:t>
      </w:r>
      <w:r>
        <w:rPr>
          <w:spacing w:val="-3"/>
          <w:sz w:val="30"/>
        </w:rPr>
        <w:t xml:space="preserve"> </w:t>
      </w:r>
      <w:r>
        <w:rPr>
          <w:sz w:val="30"/>
        </w:rPr>
        <w:t>P,</w:t>
      </w:r>
      <w:r>
        <w:rPr>
          <w:spacing w:val="-2"/>
          <w:sz w:val="30"/>
        </w:rPr>
        <w:t xml:space="preserve"> </w:t>
      </w:r>
      <w:r>
        <w:rPr>
          <w:sz w:val="30"/>
        </w:rPr>
        <w:t>Q,</w:t>
      </w:r>
      <w:r>
        <w:rPr>
          <w:spacing w:val="-2"/>
          <w:sz w:val="30"/>
        </w:rPr>
        <w:t xml:space="preserve"> </w:t>
      </w:r>
      <w:r>
        <w:rPr>
          <w:sz w:val="30"/>
        </w:rPr>
        <w:t>and</w:t>
      </w:r>
      <w:r>
        <w:rPr>
          <w:spacing w:val="-2"/>
          <w:sz w:val="30"/>
        </w:rPr>
        <w:t xml:space="preserve"> </w:t>
      </w:r>
      <w:r>
        <w:rPr>
          <w:sz w:val="30"/>
        </w:rPr>
        <w:t>R</w:t>
      </w:r>
      <w:r>
        <w:rPr>
          <w:spacing w:val="-3"/>
          <w:sz w:val="30"/>
        </w:rPr>
        <w:t xml:space="preserve"> </w:t>
      </w:r>
      <w:r>
        <w:rPr>
          <w:sz w:val="30"/>
        </w:rPr>
        <w:t>be defined as follows:</w:t>
      </w:r>
    </w:p>
    <w:p w14:paraId="7E002968" w14:textId="77777777" w:rsidR="009A58DB" w:rsidRDefault="00000000">
      <w:pPr>
        <w:pStyle w:val="BodyText"/>
        <w:spacing w:before="111" w:line="249" w:lineRule="auto"/>
        <w:ind w:right="367"/>
      </w:pPr>
      <w:r>
        <w:t>P: Smith is a morbidly obese man with a heart condition and terminal cancer who is due to be executed in five hours.</w:t>
      </w:r>
    </w:p>
    <w:p w14:paraId="7E002969" w14:textId="77777777" w:rsidR="009A58DB" w:rsidRDefault="00000000">
      <w:pPr>
        <w:pStyle w:val="BodyText"/>
        <w:spacing w:before="3" w:line="249" w:lineRule="auto"/>
        <w:ind w:right="362"/>
      </w:pPr>
      <w:r>
        <w:t>Q: Smith is a morbidly obese man with a heart condition and terminal cancer who is going to die soon.</w:t>
      </w:r>
    </w:p>
    <w:p w14:paraId="7E00296A" w14:textId="77777777" w:rsidR="009A58DB" w:rsidRDefault="00000000">
      <w:pPr>
        <w:pStyle w:val="BodyText"/>
        <w:spacing w:before="2" w:line="249" w:lineRule="auto"/>
        <w:ind w:right="363"/>
      </w:pPr>
      <w:r>
        <w:t>R: Smith will soon die of some ailment related to his obesity, his heart-condition, or his cancer.</w:t>
      </w:r>
    </w:p>
    <w:p w14:paraId="7E00296B" w14:textId="77777777" w:rsidR="009A58DB" w:rsidRDefault="00000000">
      <w:pPr>
        <w:pStyle w:val="BodyText"/>
        <w:spacing w:before="108" w:line="249" w:lineRule="auto"/>
        <w:ind w:right="363"/>
      </w:pPr>
      <w:r>
        <w:t xml:space="preserve">P confirms Q; Q confirms R. But P doesn’t confirm R. P makes it a veritable certainty that Smith will be </w:t>
      </w:r>
      <w:r>
        <w:rPr>
          <w:i/>
        </w:rPr>
        <w:t xml:space="preserve">executed </w:t>
      </w:r>
      <w:r>
        <w:t xml:space="preserve">in five hours and, therefore, that he </w:t>
      </w:r>
      <w:r>
        <w:rPr>
          <w:i/>
        </w:rPr>
        <w:t xml:space="preserve">won’t </w:t>
      </w:r>
      <w:r>
        <w:t>die for reasons having to do with his heart or weight or cancer-situation. So P disconfirms R, even though it confirms Q, which, unlike P, does confirm R.</w:t>
      </w:r>
    </w:p>
    <w:p w14:paraId="7E00296C" w14:textId="77777777" w:rsidR="009A58DB" w:rsidRDefault="00000000">
      <w:pPr>
        <w:spacing w:before="96" w:line="249" w:lineRule="auto"/>
        <w:ind w:left="360" w:right="367"/>
        <w:jc w:val="both"/>
        <w:rPr>
          <w:sz w:val="30"/>
        </w:rPr>
      </w:pPr>
      <w:r>
        <w:rPr>
          <w:b/>
          <w:sz w:val="30"/>
        </w:rPr>
        <w:t xml:space="preserve">Contraposition, conversion, inversion (not very important—skip on a first reading): </w:t>
      </w:r>
      <w:r>
        <w:rPr>
          <w:sz w:val="30"/>
        </w:rPr>
        <w:t>These are operations that are performed on conditional statements (statements of the form “if P, then Q”).</w:t>
      </w:r>
    </w:p>
    <w:p w14:paraId="7E00296D" w14:textId="77777777" w:rsidR="009A58DB" w:rsidRDefault="00000000">
      <w:pPr>
        <w:spacing w:before="3"/>
        <w:ind w:left="720"/>
        <w:jc w:val="both"/>
        <w:rPr>
          <w:sz w:val="30"/>
        </w:rPr>
      </w:pPr>
      <w:r>
        <w:rPr>
          <w:sz w:val="30"/>
        </w:rPr>
        <w:t>The</w:t>
      </w:r>
      <w:r>
        <w:rPr>
          <w:spacing w:val="-4"/>
          <w:sz w:val="30"/>
        </w:rPr>
        <w:t xml:space="preserve"> </w:t>
      </w:r>
      <w:r>
        <w:rPr>
          <w:b/>
          <w:i/>
          <w:sz w:val="30"/>
        </w:rPr>
        <w:t>contrapositive</w:t>
      </w:r>
      <w:r>
        <w:rPr>
          <w:b/>
          <w:i/>
          <w:spacing w:val="-4"/>
          <w:sz w:val="30"/>
        </w:rPr>
        <w:t xml:space="preserve"> </w:t>
      </w:r>
      <w:r>
        <w:rPr>
          <w:sz w:val="30"/>
        </w:rPr>
        <w:t>of</w:t>
      </w:r>
      <w:r>
        <w:rPr>
          <w:spacing w:val="-4"/>
          <w:sz w:val="30"/>
        </w:rPr>
        <w:t xml:space="preserve"> </w:t>
      </w:r>
      <w:r>
        <w:rPr>
          <w:sz w:val="30"/>
        </w:rPr>
        <w:t>(P→Q)</w:t>
      </w:r>
      <w:r>
        <w:rPr>
          <w:spacing w:val="-4"/>
          <w:sz w:val="30"/>
        </w:rPr>
        <w:t xml:space="preserve"> </w:t>
      </w:r>
      <w:r>
        <w:rPr>
          <w:sz w:val="30"/>
        </w:rPr>
        <w:t>is</w:t>
      </w:r>
      <w:r>
        <w:rPr>
          <w:spacing w:val="-3"/>
          <w:sz w:val="30"/>
        </w:rPr>
        <w:t xml:space="preserve"> </w:t>
      </w:r>
      <w:r>
        <w:rPr>
          <w:spacing w:val="-2"/>
          <w:sz w:val="30"/>
        </w:rPr>
        <w:t>(~Q→~P).</w:t>
      </w:r>
    </w:p>
    <w:p w14:paraId="7E00296E" w14:textId="77777777" w:rsidR="009A58DB" w:rsidRDefault="00000000">
      <w:pPr>
        <w:pStyle w:val="BodyText"/>
        <w:spacing w:before="15" w:line="249" w:lineRule="auto"/>
        <w:ind w:right="371" w:firstLine="360"/>
      </w:pPr>
      <w:r>
        <w:t>Thus, the contrapositive of “if Bob is a dog, then Bob is a mammal” is “if Bob is not a mammal, then Bob is not a dog.”</w:t>
      </w:r>
    </w:p>
    <w:p w14:paraId="7E00296F" w14:textId="77777777" w:rsidR="009A58DB" w:rsidRDefault="00000000">
      <w:pPr>
        <w:pStyle w:val="BodyText"/>
        <w:spacing w:before="3" w:line="249" w:lineRule="auto"/>
        <w:ind w:right="368" w:firstLine="360"/>
      </w:pPr>
      <w:r>
        <w:t>Statements are equivalent with their contrapositives. In other words, (P→Q)↔(~Q→~P). Bob’s being a dog entails his being a mammal iff his being a non-mammal entails his being a non-dog.</w:t>
      </w:r>
    </w:p>
    <w:p w14:paraId="7E002970" w14:textId="77777777" w:rsidR="009A58DB" w:rsidRDefault="00000000">
      <w:pPr>
        <w:pStyle w:val="BodyText"/>
        <w:spacing w:before="4" w:line="249" w:lineRule="auto"/>
        <w:ind w:right="362" w:firstLine="360"/>
      </w:pPr>
      <w:r>
        <w:t xml:space="preserve">The </w:t>
      </w:r>
      <w:r>
        <w:rPr>
          <w:b/>
          <w:i/>
        </w:rPr>
        <w:t xml:space="preserve">converse </w:t>
      </w:r>
      <w:r>
        <w:t>of (P→Q) is (Q→P). Thus, the converse of “if Bob is a human, then Bob is a mammal” is “if Bob is a mammal, then Bob is human.”</w:t>
      </w:r>
    </w:p>
    <w:p w14:paraId="7E00297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72" w14:textId="77777777" w:rsidR="009A58DB" w:rsidRDefault="00000000">
      <w:pPr>
        <w:pStyle w:val="BodyText"/>
        <w:spacing w:before="65" w:line="249" w:lineRule="auto"/>
        <w:ind w:right="358" w:firstLine="360"/>
      </w:pPr>
      <w:r>
        <w:lastRenderedPageBreak/>
        <w:t>As this example shows, statements are not generally equivalent with their converses.</w:t>
      </w:r>
      <w:r>
        <w:rPr>
          <w:spacing w:val="-3"/>
        </w:rPr>
        <w:t xml:space="preserve"> </w:t>
      </w:r>
      <w:r>
        <w:t>It’s</w:t>
      </w:r>
      <w:r>
        <w:rPr>
          <w:spacing w:val="-4"/>
        </w:rPr>
        <w:t xml:space="preserve"> </w:t>
      </w:r>
      <w:r>
        <w:t>only</w:t>
      </w:r>
      <w:r>
        <w:rPr>
          <w:spacing w:val="-3"/>
        </w:rPr>
        <w:t xml:space="preserve"> </w:t>
      </w:r>
      <w:r>
        <w:t>when</w:t>
      </w:r>
      <w:r>
        <w:rPr>
          <w:spacing w:val="-3"/>
        </w:rPr>
        <w:t xml:space="preserve"> </w:t>
      </w:r>
      <w:r>
        <w:t>both</w:t>
      </w:r>
      <w:r>
        <w:rPr>
          <w:spacing w:val="-3"/>
        </w:rPr>
        <w:t xml:space="preserve"> </w:t>
      </w:r>
      <w:r>
        <w:rPr>
          <w:b/>
          <w:i/>
        </w:rPr>
        <w:t>antecedent</w:t>
      </w:r>
      <w:r>
        <w:rPr>
          <w:b/>
          <w:i/>
          <w:spacing w:val="-4"/>
        </w:rPr>
        <w:t xml:space="preserve"> </w:t>
      </w:r>
      <w:r>
        <w:t>and</w:t>
      </w:r>
      <w:r>
        <w:rPr>
          <w:spacing w:val="-3"/>
        </w:rPr>
        <w:t xml:space="preserve"> </w:t>
      </w:r>
      <w:r>
        <w:rPr>
          <w:b/>
          <w:i/>
        </w:rPr>
        <w:t>consequent</w:t>
      </w:r>
      <w:r>
        <w:rPr>
          <w:b/>
          <w:i/>
          <w:spacing w:val="-4"/>
        </w:rPr>
        <w:t xml:space="preserve"> </w:t>
      </w:r>
      <w:r>
        <w:t>are</w:t>
      </w:r>
      <w:r>
        <w:rPr>
          <w:spacing w:val="-4"/>
        </w:rPr>
        <w:t xml:space="preserve"> </w:t>
      </w:r>
      <w:r>
        <w:t>equivalent</w:t>
      </w:r>
      <w:r>
        <w:rPr>
          <w:spacing w:val="-4"/>
        </w:rPr>
        <w:t xml:space="preserve"> </w:t>
      </w:r>
      <w:r>
        <w:t>that a given conditional is equivalent with its converse. (In (P→Q), P is the antecedent and Q is the consequent.) Thus, the converse of “if Bob is a father then Bob is a male parent is true” is true, since antecedent and consequence are equivalent.</w:t>
      </w:r>
    </w:p>
    <w:p w14:paraId="7E002973" w14:textId="77777777" w:rsidR="009A58DB" w:rsidRDefault="00000000">
      <w:pPr>
        <w:pStyle w:val="BodyText"/>
        <w:spacing w:before="7" w:line="249" w:lineRule="auto"/>
        <w:ind w:right="364" w:firstLine="360"/>
      </w:pPr>
      <w:r>
        <w:t>The</w:t>
      </w:r>
      <w:r>
        <w:rPr>
          <w:spacing w:val="-4"/>
        </w:rPr>
        <w:t xml:space="preserve"> </w:t>
      </w:r>
      <w:r>
        <w:rPr>
          <w:b/>
          <w:i/>
        </w:rPr>
        <w:t>inverse</w:t>
      </w:r>
      <w:r>
        <w:rPr>
          <w:b/>
          <w:i/>
          <w:spacing w:val="-4"/>
        </w:rPr>
        <w:t xml:space="preserve"> </w:t>
      </w:r>
      <w:r>
        <w:t xml:space="preserve">of (P→Q) is (not-P→not-Q). Thus, the inverse of “if Bob is a human, then Bob is a mammal” is “if Bob is not a human, then Bob is not a </w:t>
      </w:r>
      <w:r>
        <w:rPr>
          <w:spacing w:val="-2"/>
        </w:rPr>
        <w:t>mammal.”</w:t>
      </w:r>
    </w:p>
    <w:p w14:paraId="7E002974" w14:textId="77777777" w:rsidR="009A58DB" w:rsidRDefault="00000000">
      <w:pPr>
        <w:pStyle w:val="BodyText"/>
        <w:spacing w:before="4" w:line="249" w:lineRule="auto"/>
        <w:ind w:right="358" w:firstLine="360"/>
      </w:pPr>
      <w:r>
        <w:t xml:space="preserve">As this example shows, statements are not generally equivalent with their inverses. It’s only when both antecedent and consequent are equivalent that conditional is equivalent with its inverse. This is because the converse of a proposition is equivalent with its inverse. In other words, (Q→P)↔(not-P→not-Q). The reason why they’re equivalent is that the second is the </w:t>
      </w:r>
      <w:r>
        <w:rPr>
          <w:spacing w:val="-2"/>
        </w:rPr>
        <w:t>contrapositive</w:t>
      </w:r>
      <w:r>
        <w:rPr>
          <w:spacing w:val="-15"/>
        </w:rPr>
        <w:t xml:space="preserve"> </w:t>
      </w:r>
      <w:r>
        <w:rPr>
          <w:spacing w:val="-2"/>
        </w:rPr>
        <w:t>of</w:t>
      </w:r>
      <w:r>
        <w:rPr>
          <w:spacing w:val="-15"/>
        </w:rPr>
        <w:t xml:space="preserve"> </w:t>
      </w:r>
      <w:r>
        <w:rPr>
          <w:spacing w:val="-2"/>
        </w:rPr>
        <w:t>the</w:t>
      </w:r>
      <w:r>
        <w:rPr>
          <w:spacing w:val="-15"/>
        </w:rPr>
        <w:t xml:space="preserve"> </w:t>
      </w:r>
      <w:r>
        <w:rPr>
          <w:spacing w:val="-2"/>
        </w:rPr>
        <w:t>first.</w:t>
      </w:r>
      <w:r>
        <w:rPr>
          <w:spacing w:val="-15"/>
        </w:rPr>
        <w:t xml:space="preserve"> </w:t>
      </w:r>
      <w:r>
        <w:rPr>
          <w:spacing w:val="-2"/>
        </w:rPr>
        <w:t>(As</w:t>
      </w:r>
      <w:r>
        <w:rPr>
          <w:spacing w:val="-15"/>
        </w:rPr>
        <w:t xml:space="preserve"> </w:t>
      </w:r>
      <w:r>
        <w:rPr>
          <w:spacing w:val="-2"/>
        </w:rPr>
        <w:t>we</w:t>
      </w:r>
      <w:r>
        <w:rPr>
          <w:spacing w:val="-15"/>
        </w:rPr>
        <w:t xml:space="preserve"> </w:t>
      </w:r>
      <w:r>
        <w:rPr>
          <w:spacing w:val="-2"/>
        </w:rPr>
        <w:t>know,</w:t>
      </w:r>
      <w:r>
        <w:rPr>
          <w:spacing w:val="-15"/>
        </w:rPr>
        <w:t xml:space="preserve"> </w:t>
      </w:r>
      <w:r>
        <w:rPr>
          <w:spacing w:val="-2"/>
        </w:rPr>
        <w:t>contraposing</w:t>
      </w:r>
      <w:r>
        <w:rPr>
          <w:spacing w:val="-15"/>
        </w:rPr>
        <w:t xml:space="preserve"> </w:t>
      </w:r>
      <w:r>
        <w:rPr>
          <w:spacing w:val="-2"/>
        </w:rPr>
        <w:t>a</w:t>
      </w:r>
      <w:r>
        <w:rPr>
          <w:spacing w:val="-15"/>
        </w:rPr>
        <w:t xml:space="preserve"> </w:t>
      </w:r>
      <w:r>
        <w:rPr>
          <w:spacing w:val="-2"/>
        </w:rPr>
        <w:t>conditional</w:t>
      </w:r>
      <w:r>
        <w:rPr>
          <w:spacing w:val="-15"/>
        </w:rPr>
        <w:t xml:space="preserve"> </w:t>
      </w:r>
      <w:r>
        <w:rPr>
          <w:spacing w:val="-2"/>
        </w:rPr>
        <w:t>produces</w:t>
      </w:r>
      <w:r>
        <w:rPr>
          <w:spacing w:val="-15"/>
        </w:rPr>
        <w:t xml:space="preserve"> </w:t>
      </w:r>
      <w:r>
        <w:rPr>
          <w:spacing w:val="-2"/>
        </w:rPr>
        <w:t xml:space="preserve">an </w:t>
      </w:r>
      <w:r>
        <w:t>equivalent conditional.)</w:t>
      </w:r>
    </w:p>
    <w:p w14:paraId="7E002975" w14:textId="77777777" w:rsidR="009A58DB" w:rsidRDefault="00000000">
      <w:pPr>
        <w:pStyle w:val="BodyText"/>
        <w:spacing w:before="8" w:line="249" w:lineRule="auto"/>
        <w:ind w:right="360" w:firstLine="360"/>
      </w:pPr>
      <w:r>
        <w:t xml:space="preserve">A sentence-level operation is </w:t>
      </w:r>
      <w:r>
        <w:rPr>
          <w:b/>
          <w:i/>
        </w:rPr>
        <w:t xml:space="preserve">truth-preserving </w:t>
      </w:r>
      <w:r>
        <w:t>if, when given a true sentence as input, it cannot possibly yield a false sentence as output. Contraposition is truth-preserving. Conversion and inversion are not.</w:t>
      </w:r>
    </w:p>
    <w:p w14:paraId="7E002976" w14:textId="77777777" w:rsidR="009A58DB" w:rsidRDefault="00000000">
      <w:pPr>
        <w:pStyle w:val="BodyText"/>
        <w:spacing w:before="4" w:line="249" w:lineRule="auto"/>
        <w:ind w:right="360" w:firstLine="360"/>
      </w:pPr>
      <w:r>
        <w:t>Exercise: Prove that, given any conditional sentence S, the contrapositive of S is equivalent with S. Further, prove that it is not the case that, given any conditional sentence S, the converse of S is equivalent with S. Finally, prove that, given any conditional sentence S, the inverse of S is equivalent with the converse of S.</w:t>
      </w:r>
    </w:p>
    <w:p w14:paraId="7E002977" w14:textId="77777777" w:rsidR="009A58DB" w:rsidRDefault="00000000">
      <w:pPr>
        <w:pStyle w:val="Heading3"/>
        <w:spacing w:before="104"/>
        <w:ind w:left="360" w:firstLine="0"/>
      </w:pPr>
      <w:r>
        <w:t>Material</w:t>
      </w:r>
      <w:r>
        <w:rPr>
          <w:spacing w:val="5"/>
        </w:rPr>
        <w:t xml:space="preserve"> </w:t>
      </w:r>
      <w:r>
        <w:t>vs.</w:t>
      </w:r>
      <w:r>
        <w:rPr>
          <w:spacing w:val="6"/>
        </w:rPr>
        <w:t xml:space="preserve"> </w:t>
      </w:r>
      <w:r>
        <w:t>strict</w:t>
      </w:r>
      <w:r>
        <w:rPr>
          <w:spacing w:val="5"/>
        </w:rPr>
        <w:t xml:space="preserve"> </w:t>
      </w:r>
      <w:r>
        <w:t>vs.</w:t>
      </w:r>
      <w:r>
        <w:rPr>
          <w:spacing w:val="6"/>
        </w:rPr>
        <w:t xml:space="preserve"> </w:t>
      </w:r>
      <w:r>
        <w:t>formal</w:t>
      </w:r>
      <w:r>
        <w:rPr>
          <w:spacing w:val="5"/>
        </w:rPr>
        <w:t xml:space="preserve"> </w:t>
      </w:r>
      <w:r>
        <w:rPr>
          <w:spacing w:val="-2"/>
        </w:rPr>
        <w:t>entailment:</w:t>
      </w:r>
    </w:p>
    <w:p w14:paraId="7E002978" w14:textId="77777777" w:rsidR="009A58DB" w:rsidRDefault="00000000">
      <w:pPr>
        <w:pStyle w:val="BodyText"/>
        <w:spacing w:before="81" w:line="249" w:lineRule="auto"/>
        <w:ind w:right="366" w:firstLine="360"/>
      </w:pPr>
      <w:r>
        <w:t>Logicians distinguish between “formal” and “material” implication, and they</w:t>
      </w:r>
      <w:r>
        <w:rPr>
          <w:spacing w:val="-4"/>
        </w:rPr>
        <w:t xml:space="preserve"> </w:t>
      </w:r>
      <w:r>
        <w:t>distinguish</w:t>
      </w:r>
      <w:r>
        <w:rPr>
          <w:spacing w:val="-4"/>
        </w:rPr>
        <w:t xml:space="preserve"> </w:t>
      </w:r>
      <w:r>
        <w:t>each</w:t>
      </w:r>
      <w:r>
        <w:rPr>
          <w:spacing w:val="-4"/>
        </w:rPr>
        <w:t xml:space="preserve"> </w:t>
      </w:r>
      <w:r>
        <w:t>from</w:t>
      </w:r>
      <w:r>
        <w:rPr>
          <w:spacing w:val="-5"/>
        </w:rPr>
        <w:t xml:space="preserve"> </w:t>
      </w:r>
      <w:r>
        <w:t>“strict”</w:t>
      </w:r>
      <w:r>
        <w:rPr>
          <w:spacing w:val="-5"/>
        </w:rPr>
        <w:t xml:space="preserve"> </w:t>
      </w:r>
      <w:r>
        <w:t>implication</w:t>
      </w:r>
      <w:r>
        <w:rPr>
          <w:spacing w:val="-4"/>
        </w:rPr>
        <w:t xml:space="preserve"> </w:t>
      </w:r>
      <w:r>
        <w:t>(which</w:t>
      </w:r>
      <w:r>
        <w:rPr>
          <w:spacing w:val="-4"/>
        </w:rPr>
        <w:t xml:space="preserve"> </w:t>
      </w:r>
      <w:r>
        <w:t>is</w:t>
      </w:r>
      <w:r>
        <w:rPr>
          <w:spacing w:val="-5"/>
        </w:rPr>
        <w:t xml:space="preserve"> </w:t>
      </w:r>
      <w:r>
        <w:t>usually</w:t>
      </w:r>
      <w:r>
        <w:rPr>
          <w:spacing w:val="-4"/>
        </w:rPr>
        <w:t xml:space="preserve"> </w:t>
      </w:r>
      <w:r>
        <w:t>referred</w:t>
      </w:r>
      <w:r>
        <w:rPr>
          <w:spacing w:val="-4"/>
        </w:rPr>
        <w:t xml:space="preserve"> </w:t>
      </w:r>
      <w:r>
        <w:t>to</w:t>
      </w:r>
      <w:r>
        <w:rPr>
          <w:spacing w:val="-4"/>
        </w:rPr>
        <w:t xml:space="preserve"> </w:t>
      </w:r>
      <w:r>
        <w:t>as “strict entailment”).</w:t>
      </w:r>
    </w:p>
    <w:p w14:paraId="7E002979" w14:textId="77777777" w:rsidR="009A58DB" w:rsidRDefault="00000000">
      <w:pPr>
        <w:pStyle w:val="BodyText"/>
        <w:spacing w:before="4" w:line="249" w:lineRule="auto"/>
        <w:ind w:right="361" w:firstLine="360"/>
      </w:pPr>
      <w:r>
        <w:t>“Strict implication” is synonymous with “entailment.” As previously stated, we’ll use “→” to express strict entailment. So, as we’ll mean it, “P→Q” says that P entails Q, i.e., that Q cannot possibly be false if P is true.</w:t>
      </w:r>
    </w:p>
    <w:p w14:paraId="7E00297A" w14:textId="77777777" w:rsidR="009A58DB" w:rsidRDefault="00000000">
      <w:pPr>
        <w:pStyle w:val="BodyText"/>
        <w:spacing w:before="4" w:line="249" w:lineRule="auto"/>
        <w:ind w:right="357" w:firstLine="360"/>
      </w:pPr>
      <w:r>
        <w:t>P formally entails Q if the sentence ‹if P, then Q› is an instance of an</w:t>
      </w:r>
      <w:r>
        <w:rPr>
          <w:spacing w:val="40"/>
        </w:rPr>
        <w:t xml:space="preserve"> </w:t>
      </w:r>
      <w:r>
        <w:rPr>
          <w:b/>
          <w:i/>
        </w:rPr>
        <w:t xml:space="preserve">open-sentence </w:t>
      </w:r>
      <w:r>
        <w:t>that is true for all values of its free variables. Thus, a formal truth</w:t>
      </w:r>
      <w:r>
        <w:rPr>
          <w:spacing w:val="-2"/>
        </w:rPr>
        <w:t xml:space="preserve"> </w:t>
      </w:r>
      <w:r>
        <w:t>is</w:t>
      </w:r>
      <w:r>
        <w:rPr>
          <w:spacing w:val="-3"/>
        </w:rPr>
        <w:t xml:space="preserve"> </w:t>
      </w:r>
      <w:r>
        <w:t>a</w:t>
      </w:r>
      <w:r>
        <w:rPr>
          <w:spacing w:val="-3"/>
        </w:rPr>
        <w:t xml:space="preserve"> </w:t>
      </w:r>
      <w:r>
        <w:t>truth</w:t>
      </w:r>
      <w:r>
        <w:rPr>
          <w:spacing w:val="-2"/>
        </w:rPr>
        <w:t xml:space="preserve"> </w:t>
      </w:r>
      <w:r>
        <w:t>that</w:t>
      </w:r>
      <w:r>
        <w:rPr>
          <w:spacing w:val="-3"/>
        </w:rPr>
        <w:t xml:space="preserve"> </w:t>
      </w:r>
      <w:r>
        <w:t>is</w:t>
      </w:r>
      <w:r>
        <w:rPr>
          <w:spacing w:val="-3"/>
        </w:rPr>
        <w:t xml:space="preserve"> </w:t>
      </w:r>
      <w:r>
        <w:t>an</w:t>
      </w:r>
      <w:r>
        <w:rPr>
          <w:spacing w:val="-2"/>
        </w:rPr>
        <w:t xml:space="preserve"> </w:t>
      </w:r>
      <w:r>
        <w:t>instance</w:t>
      </w:r>
      <w:r>
        <w:rPr>
          <w:spacing w:val="-3"/>
        </w:rPr>
        <w:t xml:space="preserve"> </w:t>
      </w:r>
      <w:r>
        <w:t>of</w:t>
      </w:r>
      <w:r>
        <w:rPr>
          <w:spacing w:val="-3"/>
        </w:rPr>
        <w:t xml:space="preserve"> </w:t>
      </w:r>
      <w:r>
        <w:t>an</w:t>
      </w:r>
      <w:r>
        <w:rPr>
          <w:spacing w:val="-2"/>
        </w:rPr>
        <w:t xml:space="preserve"> </w:t>
      </w:r>
      <w:r>
        <w:t>open-sentence</w:t>
      </w:r>
      <w:r>
        <w:rPr>
          <w:spacing w:val="-3"/>
        </w:rPr>
        <w:t xml:space="preserve"> </w:t>
      </w:r>
      <w:r>
        <w:t>that</w:t>
      </w:r>
      <w:r>
        <w:rPr>
          <w:spacing w:val="-3"/>
        </w:rPr>
        <w:t xml:space="preserve"> </w:t>
      </w:r>
      <w:r>
        <w:t>is</w:t>
      </w:r>
      <w:r>
        <w:rPr>
          <w:spacing w:val="-3"/>
        </w:rPr>
        <w:t xml:space="preserve"> </w:t>
      </w:r>
      <w:r>
        <w:t>true</w:t>
      </w:r>
      <w:r>
        <w:rPr>
          <w:spacing w:val="-3"/>
        </w:rPr>
        <w:t xml:space="preserve"> </w:t>
      </w:r>
      <w:r>
        <w:t>for</w:t>
      </w:r>
      <w:r>
        <w:rPr>
          <w:spacing w:val="-3"/>
        </w:rPr>
        <w:t xml:space="preserve"> </w:t>
      </w:r>
      <w:r>
        <w:t>all</w:t>
      </w:r>
      <w:r>
        <w:rPr>
          <w:spacing w:val="-3"/>
        </w:rPr>
        <w:t xml:space="preserve"> </w:t>
      </w:r>
      <w:r>
        <w:t>values of</w:t>
      </w:r>
      <w:r>
        <w:rPr>
          <w:spacing w:val="-2"/>
        </w:rPr>
        <w:t xml:space="preserve"> </w:t>
      </w:r>
      <w:r>
        <w:t>its</w:t>
      </w:r>
      <w:r>
        <w:rPr>
          <w:spacing w:val="-2"/>
        </w:rPr>
        <w:t xml:space="preserve"> </w:t>
      </w:r>
      <w:r>
        <w:t>free</w:t>
      </w:r>
      <w:r>
        <w:rPr>
          <w:spacing w:val="-2"/>
        </w:rPr>
        <w:t xml:space="preserve"> </w:t>
      </w:r>
      <w:r>
        <w:t>variables.</w:t>
      </w:r>
      <w:r>
        <w:rPr>
          <w:spacing w:val="-2"/>
        </w:rPr>
        <w:t xml:space="preserve"> </w:t>
      </w:r>
      <w:r>
        <w:t>“2</w:t>
      </w:r>
      <w:r>
        <w:rPr>
          <w:spacing w:val="-2"/>
        </w:rPr>
        <w:t xml:space="preserve"> </w:t>
      </w:r>
      <w:r>
        <w:t>=</w:t>
      </w:r>
      <w:r>
        <w:rPr>
          <w:spacing w:val="-2"/>
        </w:rPr>
        <w:t xml:space="preserve"> </w:t>
      </w:r>
      <w:r>
        <w:t>2”</w:t>
      </w:r>
      <w:r>
        <w:rPr>
          <w:spacing w:val="-2"/>
        </w:rPr>
        <w:t xml:space="preserve"> </w:t>
      </w:r>
      <w:r>
        <w:t>is</w:t>
      </w:r>
      <w:r>
        <w:rPr>
          <w:spacing w:val="-2"/>
        </w:rPr>
        <w:t xml:space="preserve"> </w:t>
      </w:r>
      <w:r>
        <w:t>a</w:t>
      </w:r>
      <w:r>
        <w:rPr>
          <w:spacing w:val="-2"/>
        </w:rPr>
        <w:t xml:space="preserve"> </w:t>
      </w:r>
      <w:r>
        <w:t>‘formal’</w:t>
      </w:r>
      <w:r>
        <w:rPr>
          <w:spacing w:val="-2"/>
        </w:rPr>
        <w:t xml:space="preserve"> </w:t>
      </w:r>
      <w:r>
        <w:t>truth,</w:t>
      </w:r>
      <w:r>
        <w:rPr>
          <w:spacing w:val="-2"/>
        </w:rPr>
        <w:t xml:space="preserve"> </w:t>
      </w:r>
      <w:r>
        <w:t>because</w:t>
      </w:r>
      <w:r>
        <w:rPr>
          <w:spacing w:val="-2"/>
        </w:rPr>
        <w:t xml:space="preserve"> </w:t>
      </w:r>
      <w:r>
        <w:t>it</w:t>
      </w:r>
      <w:r>
        <w:rPr>
          <w:spacing w:val="-2"/>
        </w:rPr>
        <w:t xml:space="preserve"> </w:t>
      </w:r>
      <w:r>
        <w:t>is</w:t>
      </w:r>
      <w:r>
        <w:rPr>
          <w:spacing w:val="-2"/>
        </w:rPr>
        <w:t xml:space="preserve"> </w:t>
      </w:r>
      <w:r>
        <w:t>an</w:t>
      </w:r>
      <w:r>
        <w:rPr>
          <w:spacing w:val="-2"/>
        </w:rPr>
        <w:t xml:space="preserve"> </w:t>
      </w:r>
      <w:r>
        <w:t>instance</w:t>
      </w:r>
      <w:r>
        <w:rPr>
          <w:spacing w:val="-2"/>
        </w:rPr>
        <w:t xml:space="preserve"> </w:t>
      </w:r>
      <w:r>
        <w:t>of</w:t>
      </w:r>
      <w:r>
        <w:rPr>
          <w:spacing w:val="-2"/>
        </w:rPr>
        <w:t xml:space="preserve"> </w:t>
      </w:r>
      <w:r>
        <w:t>the</w:t>
      </w:r>
    </w:p>
    <w:p w14:paraId="7E00297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7C" w14:textId="77777777" w:rsidR="009A58DB" w:rsidRDefault="00000000">
      <w:pPr>
        <w:pStyle w:val="BodyText"/>
        <w:spacing w:before="70"/>
        <w:jc w:val="left"/>
      </w:pPr>
      <w:r>
        <w:rPr>
          <w:spacing w:val="-2"/>
        </w:rPr>
        <w:lastRenderedPageBreak/>
        <w:t>open-sentence</w:t>
      </w:r>
    </w:p>
    <w:p w14:paraId="7E00297D" w14:textId="77777777" w:rsidR="009A58DB" w:rsidRDefault="00000000">
      <w:pPr>
        <w:pStyle w:val="BodyText"/>
        <w:spacing w:before="10"/>
        <w:jc w:val="left"/>
      </w:pPr>
      <w:r>
        <w:t>“x</w:t>
      </w:r>
      <w:r>
        <w:rPr>
          <w:spacing w:val="-4"/>
        </w:rPr>
        <w:t xml:space="preserve"> </w:t>
      </w:r>
      <w:r>
        <w:t>=</w:t>
      </w:r>
      <w:r>
        <w:rPr>
          <w:spacing w:val="-2"/>
        </w:rPr>
        <w:t xml:space="preserve"> </w:t>
      </w:r>
      <w:r>
        <w:t>x,”</w:t>
      </w:r>
      <w:r>
        <w:rPr>
          <w:spacing w:val="-3"/>
        </w:rPr>
        <w:t xml:space="preserve"> </w:t>
      </w:r>
      <w:r>
        <w:t>which</w:t>
      </w:r>
      <w:r>
        <w:rPr>
          <w:spacing w:val="-1"/>
        </w:rPr>
        <w:t xml:space="preserve"> </w:t>
      </w:r>
      <w:r>
        <w:t>is</w:t>
      </w:r>
      <w:r>
        <w:rPr>
          <w:spacing w:val="-2"/>
        </w:rPr>
        <w:t xml:space="preserve"> </w:t>
      </w:r>
      <w:r>
        <w:t>true</w:t>
      </w:r>
      <w:r>
        <w:rPr>
          <w:spacing w:val="-3"/>
        </w:rPr>
        <w:t xml:space="preserve"> </w:t>
      </w:r>
      <w:r>
        <w:t>for</w:t>
      </w:r>
      <w:r>
        <w:rPr>
          <w:spacing w:val="-2"/>
        </w:rPr>
        <w:t xml:space="preserve"> </w:t>
      </w:r>
      <w:r>
        <w:t>all</w:t>
      </w:r>
      <w:r>
        <w:rPr>
          <w:spacing w:val="-2"/>
        </w:rPr>
        <w:t xml:space="preserve"> </w:t>
      </w:r>
      <w:r>
        <w:t>values</w:t>
      </w:r>
      <w:r>
        <w:rPr>
          <w:spacing w:val="-3"/>
        </w:rPr>
        <w:t xml:space="preserve"> </w:t>
      </w:r>
      <w:r>
        <w:t>of</w:t>
      </w:r>
      <w:r>
        <w:rPr>
          <w:spacing w:val="-2"/>
        </w:rPr>
        <w:t xml:space="preserve"> </w:t>
      </w:r>
      <w:r>
        <w:t>its</w:t>
      </w:r>
      <w:r>
        <w:rPr>
          <w:spacing w:val="-2"/>
        </w:rPr>
        <w:t xml:space="preserve"> variables.</w:t>
      </w:r>
    </w:p>
    <w:p w14:paraId="7E00297E" w14:textId="77777777" w:rsidR="009A58DB" w:rsidRDefault="00000000">
      <w:pPr>
        <w:pStyle w:val="BodyText"/>
        <w:spacing w:before="15" w:line="249" w:lineRule="auto"/>
        <w:ind w:right="360" w:firstLine="360"/>
      </w:pPr>
      <w:r>
        <w:t xml:space="preserve">Formal implication is a </w:t>
      </w:r>
      <w:r>
        <w:rPr>
          <w:i/>
        </w:rPr>
        <w:t xml:space="preserve">kind </w:t>
      </w:r>
      <w:r>
        <w:t xml:space="preserve">of strict implication. Any case of formal implication is a case of strict implication, but not </w:t>
      </w:r>
      <w:r>
        <w:rPr>
          <w:i/>
        </w:rPr>
        <w:t xml:space="preserve">vice versa. </w:t>
      </w:r>
      <w:r>
        <w:t>The reasons for this are given in Chapters 1, 6, and 18 and also in Section 4.5 of the present.</w:t>
      </w:r>
    </w:p>
    <w:p w14:paraId="7E00297F" w14:textId="77777777" w:rsidR="009A58DB" w:rsidRDefault="00000000">
      <w:pPr>
        <w:pStyle w:val="BodyText"/>
        <w:spacing w:before="3" w:line="249" w:lineRule="auto"/>
        <w:ind w:left="720" w:right="368"/>
      </w:pPr>
      <w:r>
        <w:t>“P materially implies Q” is true if any one of the following three conditions is met:</w:t>
      </w:r>
    </w:p>
    <w:p w14:paraId="7E002980" w14:textId="77777777" w:rsidR="009A58DB" w:rsidRDefault="00000000">
      <w:pPr>
        <w:pStyle w:val="ListParagraph"/>
        <w:numPr>
          <w:ilvl w:val="0"/>
          <w:numId w:val="34"/>
        </w:numPr>
        <w:tabs>
          <w:tab w:val="left" w:pos="813"/>
        </w:tabs>
        <w:spacing w:before="108" w:line="249" w:lineRule="auto"/>
        <w:ind w:right="6617" w:firstLine="0"/>
        <w:rPr>
          <w:sz w:val="30"/>
        </w:rPr>
      </w:pPr>
      <w:r>
        <w:rPr>
          <w:sz w:val="30"/>
        </w:rPr>
        <w:t>P</w:t>
      </w:r>
      <w:r>
        <w:rPr>
          <w:spacing w:val="40"/>
          <w:sz w:val="30"/>
        </w:rPr>
        <w:t xml:space="preserve"> </w:t>
      </w:r>
      <w:r>
        <w:rPr>
          <w:sz w:val="30"/>
        </w:rPr>
        <w:t>is</w:t>
      </w:r>
      <w:r>
        <w:rPr>
          <w:spacing w:val="40"/>
          <w:sz w:val="30"/>
        </w:rPr>
        <w:t xml:space="preserve"> </w:t>
      </w:r>
      <w:r>
        <w:rPr>
          <w:sz w:val="30"/>
        </w:rPr>
        <w:t>false</w:t>
      </w:r>
      <w:r>
        <w:rPr>
          <w:spacing w:val="40"/>
          <w:sz w:val="30"/>
        </w:rPr>
        <w:t xml:space="preserve"> </w:t>
      </w:r>
      <w:r>
        <w:rPr>
          <w:sz w:val="30"/>
        </w:rPr>
        <w:t>and</w:t>
      </w:r>
      <w:r>
        <w:rPr>
          <w:spacing w:val="40"/>
          <w:sz w:val="30"/>
        </w:rPr>
        <w:t xml:space="preserve"> </w:t>
      </w:r>
      <w:r>
        <w:rPr>
          <w:sz w:val="30"/>
        </w:rPr>
        <w:t>Q</w:t>
      </w:r>
      <w:r>
        <w:rPr>
          <w:spacing w:val="40"/>
          <w:sz w:val="30"/>
        </w:rPr>
        <w:t xml:space="preserve"> </w:t>
      </w:r>
      <w:r>
        <w:rPr>
          <w:sz w:val="30"/>
        </w:rPr>
        <w:t>is</w:t>
      </w:r>
      <w:r>
        <w:rPr>
          <w:spacing w:val="80"/>
          <w:sz w:val="30"/>
        </w:rPr>
        <w:t xml:space="preserve"> </w:t>
      </w:r>
      <w:r>
        <w:rPr>
          <w:spacing w:val="-2"/>
          <w:sz w:val="30"/>
        </w:rPr>
        <w:t>false;</w:t>
      </w:r>
    </w:p>
    <w:p w14:paraId="7E002981" w14:textId="77777777" w:rsidR="009A58DB" w:rsidRDefault="00000000">
      <w:pPr>
        <w:pStyle w:val="ListParagraph"/>
        <w:numPr>
          <w:ilvl w:val="0"/>
          <w:numId w:val="34"/>
        </w:numPr>
        <w:tabs>
          <w:tab w:val="left" w:pos="880"/>
        </w:tabs>
        <w:spacing w:before="92" w:line="249" w:lineRule="auto"/>
        <w:ind w:right="6624" w:firstLine="0"/>
        <w:rPr>
          <w:sz w:val="30"/>
        </w:rPr>
      </w:pPr>
      <w:r>
        <w:rPr>
          <w:sz w:val="30"/>
        </w:rPr>
        <w:t>P</w:t>
      </w:r>
      <w:r>
        <w:rPr>
          <w:spacing w:val="40"/>
          <w:sz w:val="30"/>
        </w:rPr>
        <w:t xml:space="preserve"> </w:t>
      </w:r>
      <w:r>
        <w:rPr>
          <w:sz w:val="30"/>
        </w:rPr>
        <w:t>is</w:t>
      </w:r>
      <w:r>
        <w:rPr>
          <w:spacing w:val="40"/>
          <w:sz w:val="30"/>
        </w:rPr>
        <w:t xml:space="preserve"> </w:t>
      </w:r>
      <w:r>
        <w:rPr>
          <w:sz w:val="30"/>
        </w:rPr>
        <w:t>false</w:t>
      </w:r>
      <w:r>
        <w:rPr>
          <w:spacing w:val="40"/>
          <w:sz w:val="30"/>
        </w:rPr>
        <w:t xml:space="preserve"> </w:t>
      </w:r>
      <w:r>
        <w:rPr>
          <w:sz w:val="30"/>
        </w:rPr>
        <w:t>and</w:t>
      </w:r>
      <w:r>
        <w:rPr>
          <w:spacing w:val="40"/>
          <w:sz w:val="30"/>
        </w:rPr>
        <w:t xml:space="preserve"> </w:t>
      </w:r>
      <w:r>
        <w:rPr>
          <w:sz w:val="30"/>
        </w:rPr>
        <w:t>Q</w:t>
      </w:r>
      <w:r>
        <w:rPr>
          <w:spacing w:val="40"/>
          <w:sz w:val="30"/>
        </w:rPr>
        <w:t xml:space="preserve"> </w:t>
      </w:r>
      <w:r>
        <w:rPr>
          <w:sz w:val="30"/>
        </w:rPr>
        <w:t xml:space="preserve">is </w:t>
      </w:r>
      <w:r>
        <w:rPr>
          <w:spacing w:val="-2"/>
          <w:sz w:val="30"/>
        </w:rPr>
        <w:t>true;</w:t>
      </w:r>
    </w:p>
    <w:p w14:paraId="7E002982" w14:textId="77777777" w:rsidR="009A58DB" w:rsidRDefault="00000000">
      <w:pPr>
        <w:pStyle w:val="ListParagraph"/>
        <w:numPr>
          <w:ilvl w:val="0"/>
          <w:numId w:val="34"/>
        </w:numPr>
        <w:tabs>
          <w:tab w:val="left" w:pos="964"/>
        </w:tabs>
        <w:spacing w:before="108" w:line="249" w:lineRule="auto"/>
        <w:ind w:right="6626" w:firstLine="0"/>
        <w:rPr>
          <w:sz w:val="30"/>
        </w:rPr>
      </w:pPr>
      <w:r>
        <w:rPr>
          <w:sz w:val="30"/>
        </w:rPr>
        <w:t>P</w:t>
      </w:r>
      <w:r>
        <w:rPr>
          <w:spacing w:val="40"/>
          <w:sz w:val="30"/>
        </w:rPr>
        <w:t xml:space="preserve"> </w:t>
      </w:r>
      <w:r>
        <w:rPr>
          <w:sz w:val="30"/>
        </w:rPr>
        <w:t>is</w:t>
      </w:r>
      <w:r>
        <w:rPr>
          <w:spacing w:val="40"/>
          <w:sz w:val="30"/>
        </w:rPr>
        <w:t xml:space="preserve"> </w:t>
      </w:r>
      <w:r>
        <w:rPr>
          <w:sz w:val="30"/>
        </w:rPr>
        <w:t>true</w:t>
      </w:r>
      <w:r>
        <w:rPr>
          <w:spacing w:val="40"/>
          <w:sz w:val="30"/>
        </w:rPr>
        <w:t xml:space="preserve"> </w:t>
      </w:r>
      <w:r>
        <w:rPr>
          <w:sz w:val="30"/>
        </w:rPr>
        <w:t>and</w:t>
      </w:r>
      <w:r>
        <w:rPr>
          <w:spacing w:val="40"/>
          <w:sz w:val="30"/>
        </w:rPr>
        <w:t xml:space="preserve"> </w:t>
      </w:r>
      <w:r>
        <w:rPr>
          <w:sz w:val="30"/>
        </w:rPr>
        <w:t>Q</w:t>
      </w:r>
      <w:r>
        <w:rPr>
          <w:spacing w:val="40"/>
          <w:sz w:val="30"/>
        </w:rPr>
        <w:t xml:space="preserve"> </w:t>
      </w:r>
      <w:r>
        <w:rPr>
          <w:sz w:val="30"/>
        </w:rPr>
        <w:t xml:space="preserve">is </w:t>
      </w:r>
      <w:r>
        <w:rPr>
          <w:spacing w:val="-2"/>
          <w:sz w:val="30"/>
        </w:rPr>
        <w:t>true.</w:t>
      </w:r>
    </w:p>
    <w:p w14:paraId="7E002983" w14:textId="77777777" w:rsidR="009A58DB" w:rsidRDefault="00000000">
      <w:pPr>
        <w:pStyle w:val="BodyText"/>
        <w:spacing w:before="107"/>
        <w:jc w:val="left"/>
      </w:pPr>
      <w:r>
        <w:t>It</w:t>
      </w:r>
      <w:r>
        <w:rPr>
          <w:spacing w:val="-2"/>
        </w:rPr>
        <w:t xml:space="preserve"> </w:t>
      </w:r>
      <w:r>
        <w:t>is</w:t>
      </w:r>
      <w:r>
        <w:rPr>
          <w:spacing w:val="-2"/>
        </w:rPr>
        <w:t xml:space="preserve"> </w:t>
      </w:r>
      <w:r>
        <w:t>only</w:t>
      </w:r>
      <w:r>
        <w:rPr>
          <w:spacing w:val="-1"/>
        </w:rPr>
        <w:t xml:space="preserve"> </w:t>
      </w:r>
      <w:r>
        <w:rPr>
          <w:spacing w:val="-5"/>
        </w:rPr>
        <w:t>if</w:t>
      </w:r>
    </w:p>
    <w:p w14:paraId="7E002984" w14:textId="77777777" w:rsidR="009A58DB" w:rsidRDefault="00000000">
      <w:pPr>
        <w:pStyle w:val="ListParagraph"/>
        <w:numPr>
          <w:ilvl w:val="0"/>
          <w:numId w:val="34"/>
        </w:numPr>
        <w:tabs>
          <w:tab w:val="left" w:pos="865"/>
        </w:tabs>
        <w:spacing w:before="105"/>
        <w:ind w:left="865" w:hanging="505"/>
        <w:rPr>
          <w:sz w:val="30"/>
        </w:rPr>
      </w:pPr>
      <w:r>
        <w:rPr>
          <w:sz w:val="30"/>
        </w:rPr>
        <w:t>P</w:t>
      </w:r>
      <w:r>
        <w:rPr>
          <w:spacing w:val="-2"/>
          <w:sz w:val="30"/>
        </w:rPr>
        <w:t xml:space="preserve"> </w:t>
      </w:r>
      <w:r>
        <w:rPr>
          <w:sz w:val="30"/>
        </w:rPr>
        <w:t>is</w:t>
      </w:r>
      <w:r>
        <w:rPr>
          <w:spacing w:val="-2"/>
          <w:sz w:val="30"/>
        </w:rPr>
        <w:t xml:space="preserve"> </w:t>
      </w:r>
      <w:r>
        <w:rPr>
          <w:sz w:val="30"/>
        </w:rPr>
        <w:t>true</w:t>
      </w:r>
      <w:r>
        <w:rPr>
          <w:spacing w:val="-2"/>
          <w:sz w:val="30"/>
        </w:rPr>
        <w:t xml:space="preserve"> </w:t>
      </w:r>
      <w:r>
        <w:rPr>
          <w:sz w:val="30"/>
        </w:rPr>
        <w:t>and</w:t>
      </w:r>
      <w:r>
        <w:rPr>
          <w:spacing w:val="-1"/>
          <w:sz w:val="30"/>
        </w:rPr>
        <w:t xml:space="preserve"> </w:t>
      </w:r>
      <w:r>
        <w:rPr>
          <w:sz w:val="30"/>
        </w:rPr>
        <w:t>Q</w:t>
      </w:r>
      <w:r>
        <w:rPr>
          <w:spacing w:val="-2"/>
          <w:sz w:val="30"/>
        </w:rPr>
        <w:t xml:space="preserve"> </w:t>
      </w:r>
      <w:r>
        <w:rPr>
          <w:sz w:val="30"/>
        </w:rPr>
        <w:t>is</w:t>
      </w:r>
      <w:r>
        <w:rPr>
          <w:spacing w:val="-1"/>
          <w:sz w:val="30"/>
        </w:rPr>
        <w:t xml:space="preserve"> </w:t>
      </w:r>
      <w:r>
        <w:rPr>
          <w:spacing w:val="-2"/>
          <w:sz w:val="30"/>
        </w:rPr>
        <w:t>false</w:t>
      </w:r>
    </w:p>
    <w:p w14:paraId="7E002985" w14:textId="77777777" w:rsidR="009A58DB" w:rsidRDefault="00000000">
      <w:pPr>
        <w:pStyle w:val="BodyText"/>
        <w:spacing w:before="120"/>
        <w:jc w:val="left"/>
      </w:pPr>
      <w:r>
        <w:t>that</w:t>
      </w:r>
      <w:r>
        <w:rPr>
          <w:spacing w:val="-4"/>
        </w:rPr>
        <w:t xml:space="preserve"> </w:t>
      </w:r>
      <w:r>
        <w:t>P</w:t>
      </w:r>
      <w:r>
        <w:rPr>
          <w:spacing w:val="-3"/>
        </w:rPr>
        <w:t xml:space="preserve"> </w:t>
      </w:r>
      <w:r>
        <w:t>does</w:t>
      </w:r>
      <w:r>
        <w:rPr>
          <w:spacing w:val="-4"/>
        </w:rPr>
        <w:t xml:space="preserve"> </w:t>
      </w:r>
      <w:r>
        <w:rPr>
          <w:i/>
        </w:rPr>
        <w:t>not</w:t>
      </w:r>
      <w:r>
        <w:rPr>
          <w:i/>
          <w:spacing w:val="-3"/>
        </w:rPr>
        <w:t xml:space="preserve"> </w:t>
      </w:r>
      <w:r>
        <w:t>materially</w:t>
      </w:r>
      <w:r>
        <w:rPr>
          <w:spacing w:val="-3"/>
        </w:rPr>
        <w:t xml:space="preserve"> </w:t>
      </w:r>
      <w:r>
        <w:t>imply</w:t>
      </w:r>
      <w:r>
        <w:rPr>
          <w:spacing w:val="-2"/>
        </w:rPr>
        <w:t xml:space="preserve"> </w:t>
      </w:r>
      <w:r>
        <w:rPr>
          <w:spacing w:val="-5"/>
        </w:rPr>
        <w:t>Q.</w:t>
      </w:r>
    </w:p>
    <w:p w14:paraId="7E002986" w14:textId="77777777" w:rsidR="009A58DB" w:rsidRDefault="00000000">
      <w:pPr>
        <w:pStyle w:val="BodyText"/>
        <w:spacing w:before="15" w:line="249" w:lineRule="auto"/>
        <w:ind w:right="359" w:firstLine="360"/>
      </w:pPr>
      <w:r>
        <w:t>If</w:t>
      </w:r>
      <w:r>
        <w:rPr>
          <w:spacing w:val="-1"/>
        </w:rPr>
        <w:t xml:space="preserve"> </w:t>
      </w:r>
      <w:r>
        <w:t>P</w:t>
      </w:r>
      <w:r>
        <w:rPr>
          <w:spacing w:val="-1"/>
        </w:rPr>
        <w:t xml:space="preserve"> </w:t>
      </w:r>
      <w:r>
        <w:t>is</w:t>
      </w:r>
      <w:r>
        <w:rPr>
          <w:spacing w:val="-1"/>
        </w:rPr>
        <w:t xml:space="preserve"> </w:t>
      </w:r>
      <w:r>
        <w:t>any</w:t>
      </w:r>
      <w:r>
        <w:rPr>
          <w:spacing w:val="-1"/>
        </w:rPr>
        <w:t xml:space="preserve"> </w:t>
      </w:r>
      <w:r>
        <w:t>false</w:t>
      </w:r>
      <w:r>
        <w:rPr>
          <w:spacing w:val="-1"/>
        </w:rPr>
        <w:t xml:space="preserve"> </w:t>
      </w:r>
      <w:r>
        <w:t>statement</w:t>
      </w:r>
      <w:r>
        <w:rPr>
          <w:spacing w:val="-1"/>
        </w:rPr>
        <w:t xml:space="preserve"> </w:t>
      </w:r>
      <w:r>
        <w:t>P,</w:t>
      </w:r>
      <w:r>
        <w:rPr>
          <w:spacing w:val="-1"/>
        </w:rPr>
        <w:t xml:space="preserve"> </w:t>
      </w:r>
      <w:r>
        <w:t>and</w:t>
      </w:r>
      <w:r>
        <w:rPr>
          <w:spacing w:val="-1"/>
        </w:rPr>
        <w:t xml:space="preserve"> </w:t>
      </w:r>
      <w:r>
        <w:t>Q</w:t>
      </w:r>
      <w:r>
        <w:rPr>
          <w:spacing w:val="-1"/>
        </w:rPr>
        <w:t xml:space="preserve"> </w:t>
      </w:r>
      <w:r>
        <w:t>is</w:t>
      </w:r>
      <w:r>
        <w:rPr>
          <w:spacing w:val="-1"/>
        </w:rPr>
        <w:t xml:space="preserve"> </w:t>
      </w:r>
      <w:r>
        <w:t>any</w:t>
      </w:r>
      <w:r>
        <w:rPr>
          <w:spacing w:val="-1"/>
        </w:rPr>
        <w:t xml:space="preserve"> </w:t>
      </w:r>
      <w:r>
        <w:t>statement</w:t>
      </w:r>
      <w:r>
        <w:rPr>
          <w:spacing w:val="-1"/>
        </w:rPr>
        <w:t xml:space="preserve"> </w:t>
      </w:r>
      <w:r>
        <w:t>at</w:t>
      </w:r>
      <w:r>
        <w:rPr>
          <w:spacing w:val="-1"/>
        </w:rPr>
        <w:t xml:space="preserve"> </w:t>
      </w:r>
      <w:r>
        <w:t>all,</w:t>
      </w:r>
      <w:r>
        <w:rPr>
          <w:spacing w:val="-1"/>
        </w:rPr>
        <w:t xml:space="preserve"> </w:t>
      </w:r>
      <w:r>
        <w:t>“P</w:t>
      </w:r>
      <w:r>
        <w:rPr>
          <w:spacing w:val="-1"/>
        </w:rPr>
        <w:t xml:space="preserve"> </w:t>
      </w:r>
      <w:r>
        <w:t>is</w:t>
      </w:r>
      <w:r>
        <w:rPr>
          <w:spacing w:val="-1"/>
        </w:rPr>
        <w:t xml:space="preserve"> </w:t>
      </w:r>
      <w:r>
        <w:t>true</w:t>
      </w:r>
      <w:r>
        <w:rPr>
          <w:spacing w:val="-1"/>
        </w:rPr>
        <w:t xml:space="preserve"> </w:t>
      </w:r>
      <w:r>
        <w:rPr>
          <w:i/>
        </w:rPr>
        <w:t>and</w:t>
      </w:r>
      <w:r>
        <w:rPr>
          <w:i/>
          <w:spacing w:val="-2"/>
        </w:rPr>
        <w:t xml:space="preserve"> </w:t>
      </w:r>
      <w:r>
        <w:t xml:space="preserve">Q is false” is false. For this reason, any false statement materially implies all </w:t>
      </w:r>
      <w:r>
        <w:rPr>
          <w:spacing w:val="-2"/>
        </w:rPr>
        <w:t>statements.</w:t>
      </w:r>
    </w:p>
    <w:p w14:paraId="7E002987" w14:textId="77777777" w:rsidR="009A58DB" w:rsidRDefault="00000000">
      <w:pPr>
        <w:pStyle w:val="BodyText"/>
        <w:spacing w:before="4" w:line="249" w:lineRule="auto"/>
        <w:ind w:right="364" w:firstLine="360"/>
      </w:pPr>
      <w:r>
        <w:rPr>
          <w:spacing w:val="-4"/>
        </w:rPr>
        <w:t>Material</w:t>
      </w:r>
      <w:r>
        <w:rPr>
          <w:spacing w:val="-15"/>
        </w:rPr>
        <w:t xml:space="preserve"> </w:t>
      </w:r>
      <w:r>
        <w:rPr>
          <w:spacing w:val="-4"/>
        </w:rPr>
        <w:t>implication</w:t>
      </w:r>
      <w:r>
        <w:rPr>
          <w:spacing w:val="-15"/>
        </w:rPr>
        <w:t xml:space="preserve"> </w:t>
      </w:r>
      <w:r>
        <w:rPr>
          <w:spacing w:val="-4"/>
        </w:rPr>
        <w:t>isn’t</w:t>
      </w:r>
      <w:r>
        <w:rPr>
          <w:spacing w:val="-15"/>
        </w:rPr>
        <w:t xml:space="preserve"> </w:t>
      </w:r>
      <w:r>
        <w:rPr>
          <w:spacing w:val="-4"/>
        </w:rPr>
        <w:t>a</w:t>
      </w:r>
      <w:r>
        <w:rPr>
          <w:spacing w:val="-14"/>
        </w:rPr>
        <w:t xml:space="preserve"> </w:t>
      </w:r>
      <w:r>
        <w:rPr>
          <w:spacing w:val="-4"/>
        </w:rPr>
        <w:t>form</w:t>
      </w:r>
      <w:r>
        <w:rPr>
          <w:spacing w:val="-15"/>
        </w:rPr>
        <w:t xml:space="preserve"> </w:t>
      </w:r>
      <w:r>
        <w:rPr>
          <w:spacing w:val="-4"/>
        </w:rPr>
        <w:t>of</w:t>
      </w:r>
      <w:r>
        <w:rPr>
          <w:spacing w:val="-15"/>
        </w:rPr>
        <w:t xml:space="preserve"> </w:t>
      </w:r>
      <w:r>
        <w:rPr>
          <w:spacing w:val="-4"/>
        </w:rPr>
        <w:t>implication</w:t>
      </w:r>
      <w:r>
        <w:rPr>
          <w:spacing w:val="-15"/>
        </w:rPr>
        <w:t xml:space="preserve"> </w:t>
      </w:r>
      <w:r>
        <w:rPr>
          <w:spacing w:val="-4"/>
        </w:rPr>
        <w:t>at</w:t>
      </w:r>
      <w:r>
        <w:rPr>
          <w:spacing w:val="-14"/>
        </w:rPr>
        <w:t xml:space="preserve"> </w:t>
      </w:r>
      <w:r>
        <w:rPr>
          <w:spacing w:val="-4"/>
        </w:rPr>
        <w:t>all.</w:t>
      </w:r>
      <w:r>
        <w:rPr>
          <w:spacing w:val="-15"/>
        </w:rPr>
        <w:t xml:space="preserve"> </w:t>
      </w:r>
      <w:r>
        <w:rPr>
          <w:spacing w:val="-4"/>
        </w:rPr>
        <w:t>So,</w:t>
      </w:r>
      <w:r>
        <w:rPr>
          <w:spacing w:val="-15"/>
        </w:rPr>
        <w:t xml:space="preserve"> </w:t>
      </w:r>
      <w:r>
        <w:rPr>
          <w:spacing w:val="-4"/>
        </w:rPr>
        <w:t>while</w:t>
      </w:r>
      <w:r>
        <w:rPr>
          <w:spacing w:val="-15"/>
        </w:rPr>
        <w:t xml:space="preserve"> </w:t>
      </w:r>
      <w:r>
        <w:rPr>
          <w:spacing w:val="-4"/>
        </w:rPr>
        <w:t>it’s</w:t>
      </w:r>
      <w:r>
        <w:rPr>
          <w:spacing w:val="-14"/>
        </w:rPr>
        <w:t xml:space="preserve"> </w:t>
      </w:r>
      <w:r>
        <w:rPr>
          <w:spacing w:val="-4"/>
        </w:rPr>
        <w:t>a</w:t>
      </w:r>
      <w:r>
        <w:rPr>
          <w:spacing w:val="-15"/>
        </w:rPr>
        <w:t xml:space="preserve"> </w:t>
      </w:r>
      <w:r>
        <w:rPr>
          <w:spacing w:val="-4"/>
        </w:rPr>
        <w:t>fact</w:t>
      </w:r>
      <w:r>
        <w:rPr>
          <w:spacing w:val="-15"/>
        </w:rPr>
        <w:t xml:space="preserve"> </w:t>
      </w:r>
      <w:r>
        <w:rPr>
          <w:spacing w:val="-4"/>
        </w:rPr>
        <w:t xml:space="preserve">that, </w:t>
      </w:r>
      <w:r>
        <w:t>for any statement Q, any given falsity “materially implies” Q, that fact is an innocuous</w:t>
      </w:r>
      <w:r>
        <w:rPr>
          <w:spacing w:val="-19"/>
        </w:rPr>
        <w:t xml:space="preserve"> </w:t>
      </w:r>
      <w:r>
        <w:t>consequence</w:t>
      </w:r>
      <w:r>
        <w:rPr>
          <w:spacing w:val="-19"/>
        </w:rPr>
        <w:t xml:space="preserve"> </w:t>
      </w:r>
      <w:r>
        <w:t>of</w:t>
      </w:r>
      <w:r>
        <w:rPr>
          <w:spacing w:val="-19"/>
        </w:rPr>
        <w:t xml:space="preserve"> </w:t>
      </w:r>
      <w:r>
        <w:t>a</w:t>
      </w:r>
      <w:r>
        <w:rPr>
          <w:spacing w:val="-18"/>
        </w:rPr>
        <w:t xml:space="preserve"> </w:t>
      </w:r>
      <w:r>
        <w:t>linguistic</w:t>
      </w:r>
      <w:r>
        <w:rPr>
          <w:spacing w:val="-19"/>
        </w:rPr>
        <w:t xml:space="preserve"> </w:t>
      </w:r>
      <w:r>
        <w:t>convention</w:t>
      </w:r>
      <w:r>
        <w:rPr>
          <w:spacing w:val="-19"/>
        </w:rPr>
        <w:t xml:space="preserve"> </w:t>
      </w:r>
      <w:r>
        <w:t>that,</w:t>
      </w:r>
      <w:r>
        <w:rPr>
          <w:spacing w:val="-19"/>
        </w:rPr>
        <w:t xml:space="preserve"> </w:t>
      </w:r>
      <w:r>
        <w:t>although</w:t>
      </w:r>
      <w:r>
        <w:rPr>
          <w:spacing w:val="-18"/>
        </w:rPr>
        <w:t xml:space="preserve"> </w:t>
      </w:r>
      <w:r>
        <w:t>it</w:t>
      </w:r>
      <w:r>
        <w:rPr>
          <w:spacing w:val="-19"/>
        </w:rPr>
        <w:t xml:space="preserve"> </w:t>
      </w:r>
      <w:r>
        <w:t>concerns</w:t>
      </w:r>
      <w:r>
        <w:rPr>
          <w:spacing w:val="-19"/>
        </w:rPr>
        <w:t xml:space="preserve"> </w:t>
      </w:r>
      <w:r>
        <w:t xml:space="preserve">the </w:t>
      </w:r>
      <w:r>
        <w:rPr>
          <w:spacing w:val="-2"/>
        </w:rPr>
        <w:t>word</w:t>
      </w:r>
      <w:r>
        <w:rPr>
          <w:spacing w:val="-12"/>
        </w:rPr>
        <w:t xml:space="preserve"> </w:t>
      </w:r>
      <w:r>
        <w:rPr>
          <w:spacing w:val="-2"/>
        </w:rPr>
        <w:t>“implication,”</w:t>
      </w:r>
      <w:r>
        <w:rPr>
          <w:spacing w:val="-12"/>
        </w:rPr>
        <w:t xml:space="preserve"> </w:t>
      </w:r>
      <w:r>
        <w:rPr>
          <w:spacing w:val="-2"/>
        </w:rPr>
        <w:t>has</w:t>
      </w:r>
      <w:r>
        <w:rPr>
          <w:spacing w:val="-12"/>
        </w:rPr>
        <w:t xml:space="preserve"> </w:t>
      </w:r>
      <w:r>
        <w:rPr>
          <w:spacing w:val="-2"/>
        </w:rPr>
        <w:t>nothing</w:t>
      </w:r>
      <w:r>
        <w:rPr>
          <w:spacing w:val="-12"/>
        </w:rPr>
        <w:t xml:space="preserve"> </w:t>
      </w:r>
      <w:r>
        <w:rPr>
          <w:spacing w:val="-2"/>
        </w:rPr>
        <w:t>to</w:t>
      </w:r>
      <w:r>
        <w:rPr>
          <w:spacing w:val="-12"/>
        </w:rPr>
        <w:t xml:space="preserve"> </w:t>
      </w:r>
      <w:r>
        <w:rPr>
          <w:spacing w:val="-2"/>
        </w:rPr>
        <w:t>do</w:t>
      </w:r>
      <w:r>
        <w:rPr>
          <w:spacing w:val="-12"/>
        </w:rPr>
        <w:t xml:space="preserve"> </w:t>
      </w:r>
      <w:r>
        <w:rPr>
          <w:spacing w:val="-2"/>
        </w:rPr>
        <w:t>with</w:t>
      </w:r>
      <w:r>
        <w:rPr>
          <w:spacing w:val="-12"/>
        </w:rPr>
        <w:t xml:space="preserve"> </w:t>
      </w:r>
      <w:r>
        <w:rPr>
          <w:spacing w:val="-2"/>
        </w:rPr>
        <w:t>implication</w:t>
      </w:r>
      <w:r>
        <w:rPr>
          <w:spacing w:val="-12"/>
        </w:rPr>
        <w:t xml:space="preserve"> </w:t>
      </w:r>
      <w:r>
        <w:rPr>
          <w:spacing w:val="-2"/>
        </w:rPr>
        <w:t>at</w:t>
      </w:r>
      <w:r>
        <w:rPr>
          <w:spacing w:val="-12"/>
        </w:rPr>
        <w:t xml:space="preserve"> </w:t>
      </w:r>
      <w:r>
        <w:rPr>
          <w:spacing w:val="-2"/>
        </w:rPr>
        <w:t>all.</w:t>
      </w:r>
    </w:p>
    <w:p w14:paraId="7E002988" w14:textId="77777777" w:rsidR="009A58DB" w:rsidRDefault="00000000">
      <w:pPr>
        <w:pStyle w:val="BodyText"/>
        <w:spacing w:before="5" w:line="249" w:lineRule="auto"/>
        <w:ind w:right="369" w:firstLine="360"/>
      </w:pPr>
      <w:r>
        <w:t xml:space="preserve">Material and strict entailment may hold between propositions or between </w:t>
      </w:r>
      <w:r>
        <w:rPr>
          <w:spacing w:val="-2"/>
        </w:rPr>
        <w:t>expressions.</w:t>
      </w:r>
      <w:r>
        <w:rPr>
          <w:spacing w:val="-17"/>
        </w:rPr>
        <w:t xml:space="preserve"> </w:t>
      </w:r>
      <w:r>
        <w:rPr>
          <w:spacing w:val="-2"/>
        </w:rPr>
        <w:t>But</w:t>
      </w:r>
      <w:r>
        <w:rPr>
          <w:spacing w:val="-17"/>
        </w:rPr>
        <w:t xml:space="preserve"> </w:t>
      </w:r>
      <w:r>
        <w:rPr>
          <w:spacing w:val="-2"/>
        </w:rPr>
        <w:t>formal</w:t>
      </w:r>
      <w:r>
        <w:rPr>
          <w:spacing w:val="-17"/>
        </w:rPr>
        <w:t xml:space="preserve"> </w:t>
      </w:r>
      <w:r>
        <w:rPr>
          <w:spacing w:val="-2"/>
        </w:rPr>
        <w:t>entailment</w:t>
      </w:r>
      <w:r>
        <w:rPr>
          <w:spacing w:val="-16"/>
        </w:rPr>
        <w:t xml:space="preserve"> </w:t>
      </w:r>
      <w:r>
        <w:rPr>
          <w:spacing w:val="-2"/>
        </w:rPr>
        <w:t>holds</w:t>
      </w:r>
      <w:r>
        <w:rPr>
          <w:spacing w:val="-17"/>
        </w:rPr>
        <w:t xml:space="preserve"> </w:t>
      </w:r>
      <w:r>
        <w:rPr>
          <w:spacing w:val="-2"/>
        </w:rPr>
        <w:t>only</w:t>
      </w:r>
      <w:r>
        <w:rPr>
          <w:spacing w:val="-17"/>
        </w:rPr>
        <w:t xml:space="preserve"> </w:t>
      </w:r>
      <w:r>
        <w:rPr>
          <w:spacing w:val="-2"/>
        </w:rPr>
        <w:t>among</w:t>
      </w:r>
      <w:r>
        <w:rPr>
          <w:spacing w:val="-17"/>
        </w:rPr>
        <w:t xml:space="preserve"> </w:t>
      </w:r>
      <w:r>
        <w:rPr>
          <w:spacing w:val="-2"/>
        </w:rPr>
        <w:t>expressions.</w:t>
      </w:r>
      <w:r>
        <w:rPr>
          <w:spacing w:val="-16"/>
        </w:rPr>
        <w:t xml:space="preserve"> </w:t>
      </w:r>
      <w:r>
        <w:rPr>
          <w:spacing w:val="-2"/>
        </w:rPr>
        <w:t>It</w:t>
      </w:r>
      <w:r>
        <w:rPr>
          <w:spacing w:val="-17"/>
        </w:rPr>
        <w:t xml:space="preserve"> </w:t>
      </w:r>
      <w:r>
        <w:rPr>
          <w:spacing w:val="-2"/>
        </w:rPr>
        <w:t>is</w:t>
      </w:r>
      <w:r>
        <w:rPr>
          <w:spacing w:val="-17"/>
        </w:rPr>
        <w:t xml:space="preserve"> </w:t>
      </w:r>
      <w:r>
        <w:rPr>
          <w:spacing w:val="-2"/>
        </w:rPr>
        <w:t xml:space="preserve">typically </w:t>
      </w:r>
      <w:r>
        <w:t>held</w:t>
      </w:r>
      <w:r>
        <w:rPr>
          <w:spacing w:val="-19"/>
        </w:rPr>
        <w:t xml:space="preserve"> </w:t>
      </w:r>
      <w:r>
        <w:t>to</w:t>
      </w:r>
      <w:r>
        <w:rPr>
          <w:spacing w:val="-19"/>
        </w:rPr>
        <w:t xml:space="preserve"> </w:t>
      </w:r>
      <w:r>
        <w:t>hold</w:t>
      </w:r>
      <w:r>
        <w:rPr>
          <w:spacing w:val="-19"/>
        </w:rPr>
        <w:t xml:space="preserve"> </w:t>
      </w:r>
      <w:r>
        <w:t>among</w:t>
      </w:r>
      <w:r>
        <w:rPr>
          <w:spacing w:val="-18"/>
        </w:rPr>
        <w:t xml:space="preserve"> </w:t>
      </w:r>
      <w:r>
        <w:t>sentence-types.</w:t>
      </w:r>
      <w:r>
        <w:rPr>
          <w:spacing w:val="-19"/>
        </w:rPr>
        <w:t xml:space="preserve"> </w:t>
      </w:r>
      <w:r>
        <w:t>My</w:t>
      </w:r>
      <w:r>
        <w:rPr>
          <w:spacing w:val="-19"/>
        </w:rPr>
        <w:t xml:space="preserve"> </w:t>
      </w:r>
      <w:r>
        <w:t>strongly</w:t>
      </w:r>
      <w:r>
        <w:rPr>
          <w:spacing w:val="-19"/>
        </w:rPr>
        <w:t xml:space="preserve"> </w:t>
      </w:r>
      <w:r>
        <w:t>held</w:t>
      </w:r>
    </w:p>
    <w:p w14:paraId="7E002989" w14:textId="77777777" w:rsidR="009A58DB" w:rsidRDefault="00000000">
      <w:pPr>
        <w:pStyle w:val="BodyText"/>
        <w:spacing w:before="4" w:line="249" w:lineRule="auto"/>
        <w:ind w:right="363"/>
      </w:pPr>
      <w:r>
        <w:t>view is that it holds only among sentence-tokens. (See Chapter 4 for a defense of this claim.) This is the view of Peter Strawson, Jon Barwise, and John</w:t>
      </w:r>
      <w:r>
        <w:rPr>
          <w:spacing w:val="-3"/>
        </w:rPr>
        <w:t xml:space="preserve"> </w:t>
      </w:r>
      <w:r>
        <w:t>Perry</w:t>
      </w:r>
      <w:bookmarkStart w:id="572" w:name="_bookmark572"/>
      <w:bookmarkEnd w:id="572"/>
      <w:r>
        <w:t>.</w:t>
      </w:r>
      <w:r>
        <w:rPr>
          <w:color w:val="0562C1"/>
          <w:position w:val="21"/>
          <w:u w:val="single" w:color="0562C1"/>
        </w:rPr>
        <w:t>[430]</w:t>
      </w:r>
      <w:r>
        <w:rPr>
          <w:color w:val="0562C1"/>
          <w:spacing w:val="-19"/>
          <w:position w:val="21"/>
        </w:rPr>
        <w:t xml:space="preserve"> </w:t>
      </w:r>
      <w:r>
        <w:t>But, for the sake of brevity, we’ll use the term ‘sentence’ to stand for sentence-type and sentence-tokens.</w:t>
      </w:r>
    </w:p>
    <w:p w14:paraId="7E00298A" w14:textId="77777777" w:rsidR="009A58DB" w:rsidRDefault="00000000">
      <w:pPr>
        <w:pStyle w:val="BodyText"/>
        <w:spacing w:before="125"/>
        <w:ind w:right="364"/>
      </w:pPr>
      <w:r>
        <w:rPr>
          <w:b/>
          <w:i/>
        </w:rPr>
        <w:t xml:space="preserve">Modality: </w:t>
      </w:r>
      <w:r>
        <w:t>“Modal” means “having to do with necessity or possibility.” Possibility and necessity are properties of statements, not objects. Any statement</w:t>
      </w:r>
      <w:r>
        <w:rPr>
          <w:spacing w:val="56"/>
        </w:rPr>
        <w:t xml:space="preserve"> </w:t>
      </w:r>
      <w:r>
        <w:t>of</w:t>
      </w:r>
      <w:r>
        <w:rPr>
          <w:spacing w:val="56"/>
        </w:rPr>
        <w:t xml:space="preserve"> </w:t>
      </w:r>
      <w:r>
        <w:t>the</w:t>
      </w:r>
      <w:r>
        <w:rPr>
          <w:spacing w:val="56"/>
        </w:rPr>
        <w:t xml:space="preserve"> </w:t>
      </w:r>
      <w:r>
        <w:t>form</w:t>
      </w:r>
      <w:r>
        <w:rPr>
          <w:spacing w:val="56"/>
        </w:rPr>
        <w:t xml:space="preserve"> </w:t>
      </w:r>
      <w:r>
        <w:t>□</w:t>
      </w:r>
      <w:r>
        <w:rPr>
          <w:b/>
          <w:i/>
        </w:rPr>
        <w:t>P</w:t>
      </w:r>
      <w:r>
        <w:rPr>
          <w:b/>
          <w:i/>
          <w:spacing w:val="40"/>
        </w:rPr>
        <w:t xml:space="preserve"> </w:t>
      </w:r>
      <w:r>
        <w:t>(‘it’s</w:t>
      </w:r>
      <w:r>
        <w:rPr>
          <w:spacing w:val="59"/>
        </w:rPr>
        <w:t xml:space="preserve"> </w:t>
      </w:r>
      <w:r>
        <w:t>necessarily</w:t>
      </w:r>
      <w:r>
        <w:rPr>
          <w:spacing w:val="59"/>
        </w:rPr>
        <w:t xml:space="preserve"> </w:t>
      </w:r>
      <w:r>
        <w:t>the</w:t>
      </w:r>
      <w:r>
        <w:rPr>
          <w:spacing w:val="59"/>
        </w:rPr>
        <w:t xml:space="preserve"> </w:t>
      </w:r>
      <w:r>
        <w:t>case</w:t>
      </w:r>
      <w:r>
        <w:rPr>
          <w:spacing w:val="59"/>
        </w:rPr>
        <w:t xml:space="preserve"> </w:t>
      </w:r>
      <w:r>
        <w:t>that</w:t>
      </w:r>
      <w:r>
        <w:rPr>
          <w:spacing w:val="59"/>
        </w:rPr>
        <w:t xml:space="preserve"> </w:t>
      </w:r>
      <w:r>
        <w:t>P’)</w:t>
      </w:r>
      <w:r>
        <w:rPr>
          <w:spacing w:val="59"/>
        </w:rPr>
        <w:t xml:space="preserve"> </w:t>
      </w:r>
      <w:r>
        <w:t>or</w:t>
      </w:r>
      <w:r>
        <w:rPr>
          <w:spacing w:val="59"/>
        </w:rPr>
        <w:t xml:space="preserve"> </w:t>
      </w:r>
      <w:r>
        <w:rPr>
          <w:rFonts w:ascii="Segoe UI Symbol" w:hAnsi="Segoe UI Symbol"/>
        </w:rPr>
        <w:t>◊</w:t>
      </w:r>
      <w:r>
        <w:rPr>
          <w:b/>
          <w:i/>
        </w:rPr>
        <w:t>P</w:t>
      </w:r>
      <w:r>
        <w:rPr>
          <w:b/>
          <w:i/>
          <w:spacing w:val="40"/>
        </w:rPr>
        <w:t xml:space="preserve"> </w:t>
      </w:r>
      <w:r>
        <w:t>(‘it’s</w:t>
      </w:r>
    </w:p>
    <w:p w14:paraId="7E00298B" w14:textId="77777777" w:rsidR="009A58DB" w:rsidRDefault="009A58DB">
      <w:pPr>
        <w:pStyle w:val="BodyText"/>
        <w:sectPr w:rsidR="009A58DB">
          <w:pgSz w:w="12240" w:h="15840"/>
          <w:pgMar w:top="1380" w:right="1080" w:bottom="280" w:left="1080" w:header="720" w:footer="720" w:gutter="0"/>
          <w:cols w:space="720"/>
        </w:sectPr>
      </w:pPr>
    </w:p>
    <w:p w14:paraId="7E00298C" w14:textId="77777777" w:rsidR="009A58DB" w:rsidRDefault="00000000">
      <w:pPr>
        <w:pStyle w:val="BodyText"/>
        <w:spacing w:before="66"/>
      </w:pPr>
      <w:r>
        <w:lastRenderedPageBreak/>
        <w:t>possibly</w:t>
      </w:r>
      <w:r>
        <w:rPr>
          <w:spacing w:val="-4"/>
        </w:rPr>
        <w:t xml:space="preserve"> </w:t>
      </w:r>
      <w:r>
        <w:t>the</w:t>
      </w:r>
      <w:r>
        <w:rPr>
          <w:spacing w:val="-3"/>
        </w:rPr>
        <w:t xml:space="preserve"> </w:t>
      </w:r>
      <w:r>
        <w:t>case</w:t>
      </w:r>
      <w:r>
        <w:rPr>
          <w:spacing w:val="-3"/>
        </w:rPr>
        <w:t xml:space="preserve"> </w:t>
      </w:r>
      <w:r>
        <w:t>that</w:t>
      </w:r>
      <w:r>
        <w:rPr>
          <w:spacing w:val="-3"/>
        </w:rPr>
        <w:t xml:space="preserve"> </w:t>
      </w:r>
      <w:r>
        <w:t>P’)</w:t>
      </w:r>
      <w:r>
        <w:rPr>
          <w:spacing w:val="-3"/>
        </w:rPr>
        <w:t xml:space="preserve"> </w:t>
      </w:r>
      <w:r>
        <w:t>is</w:t>
      </w:r>
      <w:r>
        <w:rPr>
          <w:spacing w:val="-3"/>
        </w:rPr>
        <w:t xml:space="preserve"> </w:t>
      </w:r>
      <w:r>
        <w:t>a</w:t>
      </w:r>
      <w:r>
        <w:rPr>
          <w:spacing w:val="-3"/>
        </w:rPr>
        <w:t xml:space="preserve"> </w:t>
      </w:r>
      <w:r>
        <w:t>modal</w:t>
      </w:r>
      <w:r>
        <w:rPr>
          <w:spacing w:val="-2"/>
        </w:rPr>
        <w:t xml:space="preserve"> statement.</w:t>
      </w:r>
    </w:p>
    <w:p w14:paraId="7E00298D" w14:textId="77777777" w:rsidR="009A58DB" w:rsidRDefault="00000000">
      <w:pPr>
        <w:pStyle w:val="BodyText"/>
        <w:spacing w:before="14" w:line="249" w:lineRule="auto"/>
        <w:ind w:right="358" w:firstLine="360"/>
        <w:rPr>
          <w:position w:val="21"/>
        </w:rPr>
      </w:pPr>
      <w:r>
        <w:t>“Necessary”</w:t>
      </w:r>
      <w:r>
        <w:rPr>
          <w:spacing w:val="-4"/>
        </w:rPr>
        <w:t xml:space="preserve"> </w:t>
      </w:r>
      <w:r>
        <w:t>and</w:t>
      </w:r>
      <w:r>
        <w:rPr>
          <w:spacing w:val="-4"/>
        </w:rPr>
        <w:t xml:space="preserve"> </w:t>
      </w:r>
      <w:r>
        <w:t>“possible”</w:t>
      </w:r>
      <w:r>
        <w:rPr>
          <w:spacing w:val="-4"/>
        </w:rPr>
        <w:t xml:space="preserve"> </w:t>
      </w:r>
      <w:r>
        <w:t>are</w:t>
      </w:r>
      <w:r>
        <w:rPr>
          <w:spacing w:val="-4"/>
        </w:rPr>
        <w:t xml:space="preserve"> </w:t>
      </w:r>
      <w:r>
        <w:t>interdefinable.</w:t>
      </w:r>
      <w:r>
        <w:rPr>
          <w:spacing w:val="-4"/>
        </w:rPr>
        <w:t xml:space="preserve"> </w:t>
      </w:r>
      <w:r>
        <w:t>“Necessary”</w:t>
      </w:r>
      <w:r>
        <w:rPr>
          <w:spacing w:val="-4"/>
        </w:rPr>
        <w:t xml:space="preserve"> </w:t>
      </w:r>
      <w:r>
        <w:t>can</w:t>
      </w:r>
      <w:r>
        <w:rPr>
          <w:spacing w:val="-4"/>
        </w:rPr>
        <w:t xml:space="preserve"> </w:t>
      </w:r>
      <w:r>
        <w:t>be</w:t>
      </w:r>
      <w:r>
        <w:rPr>
          <w:spacing w:val="-4"/>
        </w:rPr>
        <w:t xml:space="preserve"> </w:t>
      </w:r>
      <w:r>
        <w:t>defined as “not possibly not,” and “possibly” can be defined as “not necessarily not.” Thus, □P iff ~</w:t>
      </w:r>
      <w:r>
        <w:rPr>
          <w:rFonts w:ascii="Segoe UI Symbol" w:hAnsi="Segoe UI Symbol"/>
        </w:rPr>
        <w:t>◊</w:t>
      </w:r>
      <w:r>
        <w:t>~Q</w:t>
      </w:r>
      <w:bookmarkStart w:id="573" w:name="_bookmark573"/>
      <w:bookmarkEnd w:id="573"/>
      <w:r>
        <w:t>.</w:t>
      </w:r>
      <w:r>
        <w:rPr>
          <w:color w:val="0562C1"/>
          <w:position w:val="21"/>
          <w:u w:val="single" w:color="0562C1"/>
        </w:rPr>
        <w:t>[431]</w:t>
      </w:r>
    </w:p>
    <w:p w14:paraId="7E00298E" w14:textId="77777777" w:rsidR="009A58DB" w:rsidRDefault="00000000">
      <w:pPr>
        <w:pStyle w:val="BodyText"/>
        <w:spacing w:line="249" w:lineRule="auto"/>
        <w:ind w:right="371" w:firstLine="360"/>
      </w:pPr>
      <w:r>
        <w:t xml:space="preserve">Statements that affirm </w:t>
      </w:r>
      <w:r>
        <w:rPr>
          <w:i/>
        </w:rPr>
        <w:t xml:space="preserve">bearing relations, </w:t>
      </w:r>
      <w:r>
        <w:t>whether deductive or inductive, are modal. Thus, causal statements are modal statements, since they have the form “□(if P, then Q).”</w:t>
      </w:r>
    </w:p>
    <w:p w14:paraId="7E00298F" w14:textId="77777777" w:rsidR="009A58DB" w:rsidRDefault="00000000">
      <w:pPr>
        <w:pStyle w:val="BodyText"/>
        <w:spacing w:line="249" w:lineRule="auto"/>
        <w:ind w:right="358" w:firstLine="360"/>
      </w:pPr>
      <w:r>
        <w:t xml:space="preserve">Causal necessity isn’t logical necessity, of course. Given that (i) I threw gasoline on the fire, it is </w:t>
      </w:r>
      <w:r>
        <w:rPr>
          <w:i/>
        </w:rPr>
        <w:t>causally</w:t>
      </w:r>
      <w:r>
        <w:rPr>
          <w:i/>
          <w:spacing w:val="-3"/>
        </w:rPr>
        <w:t xml:space="preserve"> </w:t>
      </w:r>
      <w:r>
        <w:t>necessary that (ii) the fire flared up. But (ii) isn’t a logical consequence of (i). In other words, it can’t be known through meaning-analysis or syntax-chopping that (ii) cannot be false if (i) is true.</w:t>
      </w:r>
    </w:p>
    <w:p w14:paraId="7E002990" w14:textId="77777777" w:rsidR="009A58DB" w:rsidRDefault="00000000">
      <w:pPr>
        <w:pStyle w:val="Heading1"/>
        <w:tabs>
          <w:tab w:val="left" w:pos="1409"/>
        </w:tabs>
        <w:spacing w:before="187"/>
        <w:ind w:left="360" w:firstLine="0"/>
        <w:rPr>
          <w:position w:val="30"/>
        </w:rPr>
      </w:pPr>
      <w:r>
        <w:rPr>
          <w:noProof/>
          <w:position w:val="30"/>
        </w:rPr>
        <mc:AlternateContent>
          <mc:Choice Requires="wps">
            <w:drawing>
              <wp:anchor distT="0" distB="0" distL="0" distR="0" simplePos="0" relativeHeight="480347136" behindDoc="1" locked="0" layoutInCell="1" allowOverlap="1" wp14:anchorId="7E0032A6" wp14:editId="7E0032A7">
                <wp:simplePos x="0" y="0"/>
                <wp:positionH relativeFrom="page">
                  <wp:posOffset>5162550</wp:posOffset>
                </wp:positionH>
                <wp:positionV relativeFrom="paragraph">
                  <wp:posOffset>382442</wp:posOffset>
                </wp:positionV>
                <wp:extent cx="57150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562C1"/>
                          </a:solidFill>
                          <a:prstDash val="solid"/>
                        </a:ln>
                      </wps:spPr>
                      <wps:bodyPr wrap="square" lIns="0" tIns="0" rIns="0" bIns="0" rtlCol="0">
                        <a:prstTxWarp prst="textNoShape">
                          <a:avLst/>
                        </a:prstTxWarp>
                        <a:noAutofit/>
                      </wps:bodyPr>
                    </wps:wsp>
                  </a:graphicData>
                </a:graphic>
              </wp:anchor>
            </w:drawing>
          </mc:Choice>
          <mc:Fallback>
            <w:pict>
              <v:shape w14:anchorId="2DBDA3C5" id="Graphic 44" o:spid="_x0000_s1026" style="position:absolute;margin-left:406.5pt;margin-top:30.1pt;width:45pt;height:.1pt;z-index:-22969344;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" path="m,l571500,e" filled="f" strokecolor="#0562c1">
                <v:path arrowok="t"/>
                <w10:wrap anchorx="page"/>
              </v:shape>
            </w:pict>
          </mc:Fallback>
        </mc:AlternateContent>
      </w:r>
      <w:r>
        <w:rPr>
          <w:spacing w:val="-5"/>
        </w:rPr>
        <w:t>2.3</w:t>
      </w:r>
      <w:r>
        <w:tab/>
        <w:t>Some</w:t>
      </w:r>
      <w:r>
        <w:rPr>
          <w:spacing w:val="-7"/>
        </w:rPr>
        <w:t xml:space="preserve"> </w:t>
      </w:r>
      <w:r>
        <w:t>rudiments</w:t>
      </w:r>
      <w:r>
        <w:rPr>
          <w:spacing w:val="-4"/>
        </w:rPr>
        <w:t xml:space="preserve"> </w:t>
      </w:r>
      <w:r>
        <w:t>of</w:t>
      </w:r>
      <w:r>
        <w:rPr>
          <w:spacing w:val="-4"/>
        </w:rPr>
        <w:t xml:space="preserve"> </w:t>
      </w:r>
      <w:r>
        <w:t>formal</w:t>
      </w:r>
      <w:r>
        <w:rPr>
          <w:spacing w:val="-4"/>
        </w:rPr>
        <w:t xml:space="preserve"> </w:t>
      </w:r>
      <w:r>
        <w:rPr>
          <w:spacing w:val="-2"/>
        </w:rPr>
        <w:t>logi</w:t>
      </w:r>
      <w:bookmarkStart w:id="574" w:name="_bookmark574"/>
      <w:bookmarkEnd w:id="574"/>
      <w:r>
        <w:rPr>
          <w:spacing w:val="-2"/>
        </w:rPr>
        <w:t>c</w:t>
      </w:r>
      <w:r>
        <w:rPr>
          <w:color w:val="0562C1"/>
          <w:spacing w:val="-2"/>
          <w:position w:val="30"/>
        </w:rPr>
        <w:t>[432]</w:t>
      </w:r>
    </w:p>
    <w:p w14:paraId="7E002991" w14:textId="77777777" w:rsidR="009A58DB" w:rsidRDefault="00000000">
      <w:pPr>
        <w:pStyle w:val="BodyText"/>
        <w:spacing w:before="139"/>
      </w:pPr>
      <w:r>
        <w:t>(Note:</w:t>
      </w:r>
      <w:r>
        <w:rPr>
          <w:spacing w:val="-6"/>
        </w:rPr>
        <w:t xml:space="preserve"> </w:t>
      </w:r>
      <w:r>
        <w:t>during</w:t>
      </w:r>
      <w:r>
        <w:rPr>
          <w:spacing w:val="-2"/>
        </w:rPr>
        <w:t xml:space="preserve"> </w:t>
      </w:r>
      <w:r>
        <w:t>a</w:t>
      </w:r>
      <w:r>
        <w:rPr>
          <w:spacing w:val="-4"/>
        </w:rPr>
        <w:t xml:space="preserve"> </w:t>
      </w:r>
      <w:r>
        <w:t>first</w:t>
      </w:r>
      <w:r>
        <w:rPr>
          <w:spacing w:val="-3"/>
        </w:rPr>
        <w:t xml:space="preserve"> </w:t>
      </w:r>
      <w:r>
        <w:t>reading,</w:t>
      </w:r>
      <w:r>
        <w:rPr>
          <w:spacing w:val="-3"/>
        </w:rPr>
        <w:t xml:space="preserve"> </w:t>
      </w:r>
      <w:r>
        <w:t>skip</w:t>
      </w:r>
      <w:r>
        <w:rPr>
          <w:spacing w:val="-2"/>
        </w:rPr>
        <w:t xml:space="preserve"> </w:t>
      </w:r>
      <w:r>
        <w:t>the</w:t>
      </w:r>
      <w:r>
        <w:rPr>
          <w:spacing w:val="-3"/>
        </w:rPr>
        <w:t xml:space="preserve"> </w:t>
      </w:r>
      <w:r>
        <w:rPr>
          <w:spacing w:val="-2"/>
        </w:rPr>
        <w:t>commentary.)</w:t>
      </w:r>
    </w:p>
    <w:p w14:paraId="7E002992" w14:textId="77777777" w:rsidR="009A58DB" w:rsidRDefault="00000000">
      <w:pPr>
        <w:pStyle w:val="ListParagraph"/>
        <w:numPr>
          <w:ilvl w:val="0"/>
          <w:numId w:val="33"/>
        </w:numPr>
        <w:tabs>
          <w:tab w:val="left" w:pos="660"/>
          <w:tab w:val="left" w:pos="720"/>
        </w:tabs>
        <w:spacing w:before="5" w:line="460" w:lineRule="atLeast"/>
        <w:ind w:right="710" w:hanging="360"/>
        <w:jc w:val="both"/>
        <w:rPr>
          <w:sz w:val="30"/>
        </w:rPr>
      </w:pPr>
      <w:r>
        <w:rPr>
          <w:sz w:val="30"/>
        </w:rPr>
        <w:t>For</w:t>
      </w:r>
      <w:r>
        <w:rPr>
          <w:spacing w:val="-4"/>
          <w:sz w:val="30"/>
        </w:rPr>
        <w:t xml:space="preserve"> </w:t>
      </w:r>
      <w:r>
        <w:rPr>
          <w:sz w:val="30"/>
        </w:rPr>
        <w:t>any</w:t>
      </w:r>
      <w:r>
        <w:rPr>
          <w:spacing w:val="-3"/>
          <w:sz w:val="30"/>
        </w:rPr>
        <w:t xml:space="preserve"> </w:t>
      </w:r>
      <w:r>
        <w:rPr>
          <w:sz w:val="30"/>
        </w:rPr>
        <w:t>x</w:t>
      </w:r>
      <w:r>
        <w:rPr>
          <w:spacing w:val="-3"/>
          <w:sz w:val="30"/>
        </w:rPr>
        <w:t xml:space="preserve"> </w:t>
      </w:r>
      <w:r>
        <w:rPr>
          <w:sz w:val="30"/>
        </w:rPr>
        <w:t>and</w:t>
      </w:r>
      <w:r>
        <w:rPr>
          <w:spacing w:val="-3"/>
          <w:sz w:val="30"/>
        </w:rPr>
        <w:t xml:space="preserve"> </w:t>
      </w:r>
      <w:r>
        <w:rPr>
          <w:sz w:val="30"/>
        </w:rPr>
        <w:t>any</w:t>
      </w:r>
      <w:r>
        <w:rPr>
          <w:spacing w:val="-3"/>
          <w:sz w:val="30"/>
        </w:rPr>
        <w:t xml:space="preserve"> </w:t>
      </w:r>
      <w:r>
        <w:rPr>
          <w:sz w:val="30"/>
        </w:rPr>
        <w:t>y,</w:t>
      </w:r>
      <w:r>
        <w:rPr>
          <w:spacing w:val="-3"/>
          <w:sz w:val="30"/>
        </w:rPr>
        <w:t xml:space="preserve"> </w:t>
      </w:r>
      <w:r>
        <w:rPr>
          <w:sz w:val="30"/>
        </w:rPr>
        <w:t>((x</w:t>
      </w:r>
      <w:r>
        <w:rPr>
          <w:spacing w:val="-3"/>
          <w:sz w:val="30"/>
        </w:rPr>
        <w:t xml:space="preserve"> </w:t>
      </w:r>
      <w:r>
        <w:rPr>
          <w:sz w:val="30"/>
        </w:rPr>
        <w:t>=</w:t>
      </w:r>
      <w:r>
        <w:rPr>
          <w:spacing w:val="-4"/>
          <w:sz w:val="30"/>
        </w:rPr>
        <w:t xml:space="preserve"> </w:t>
      </w:r>
      <w:r>
        <w:rPr>
          <w:sz w:val="30"/>
        </w:rPr>
        <w:t>y)→(for</w:t>
      </w:r>
      <w:r>
        <w:rPr>
          <w:spacing w:val="-4"/>
          <w:sz w:val="30"/>
        </w:rPr>
        <w:t xml:space="preserve"> </w:t>
      </w:r>
      <w:r>
        <w:rPr>
          <w:sz w:val="30"/>
        </w:rPr>
        <w:t>any</w:t>
      </w:r>
      <w:r>
        <w:rPr>
          <w:spacing w:val="-3"/>
          <w:sz w:val="30"/>
        </w:rPr>
        <w:t xml:space="preserve"> </w:t>
      </w:r>
      <w:r>
        <w:rPr>
          <w:sz w:val="30"/>
        </w:rPr>
        <w:t>property</w:t>
      </w:r>
      <w:r>
        <w:rPr>
          <w:spacing w:val="-3"/>
          <w:sz w:val="30"/>
        </w:rPr>
        <w:t xml:space="preserve"> </w:t>
      </w:r>
      <w:r>
        <w:rPr>
          <w:sz w:val="30"/>
        </w:rPr>
        <w:t>F,</w:t>
      </w:r>
      <w:r>
        <w:rPr>
          <w:spacing w:val="-3"/>
          <w:sz w:val="30"/>
        </w:rPr>
        <w:t xml:space="preserve"> </w:t>
      </w:r>
      <w:r>
        <w:rPr>
          <w:sz w:val="30"/>
        </w:rPr>
        <w:t>(x</w:t>
      </w:r>
      <w:r>
        <w:rPr>
          <w:spacing w:val="-3"/>
          <w:sz w:val="30"/>
        </w:rPr>
        <w:t xml:space="preserve"> </w:t>
      </w:r>
      <w:r>
        <w:rPr>
          <w:sz w:val="30"/>
        </w:rPr>
        <w:t>has</w:t>
      </w:r>
      <w:r>
        <w:rPr>
          <w:spacing w:val="-4"/>
          <w:sz w:val="30"/>
        </w:rPr>
        <w:t xml:space="preserve"> </w:t>
      </w:r>
      <w:r>
        <w:rPr>
          <w:sz w:val="30"/>
        </w:rPr>
        <w:t>F↔y</w:t>
      </w:r>
      <w:r>
        <w:rPr>
          <w:spacing w:val="-3"/>
          <w:sz w:val="30"/>
        </w:rPr>
        <w:t xml:space="preserve"> </w:t>
      </w:r>
      <w:r>
        <w:rPr>
          <w:sz w:val="30"/>
        </w:rPr>
        <w:t>has</w:t>
      </w:r>
      <w:r>
        <w:rPr>
          <w:spacing w:val="-4"/>
          <w:sz w:val="30"/>
        </w:rPr>
        <w:t xml:space="preserve"> </w:t>
      </w:r>
      <w:r>
        <w:rPr>
          <w:sz w:val="30"/>
        </w:rPr>
        <w:t>F))). This principle is known as “Leibniz’s Law.”</w:t>
      </w:r>
    </w:p>
    <w:p w14:paraId="7E002993" w14:textId="77777777" w:rsidR="009A58DB" w:rsidRDefault="00000000">
      <w:pPr>
        <w:pStyle w:val="BodyText"/>
        <w:spacing w:before="20" w:line="249" w:lineRule="auto"/>
        <w:ind w:right="362" w:firstLine="360"/>
      </w:pPr>
      <w:r>
        <w:t>Some paraphrases: Given anything x and anything y, if x is the very same thing as y, then x has a given property just in case y has that property.</w:t>
      </w:r>
    </w:p>
    <w:p w14:paraId="7E002994" w14:textId="77777777" w:rsidR="009A58DB" w:rsidRDefault="00000000">
      <w:pPr>
        <w:pStyle w:val="BodyText"/>
        <w:spacing w:before="3" w:line="249" w:lineRule="auto"/>
        <w:ind w:left="720" w:right="1510"/>
      </w:pPr>
      <w:r>
        <w:t>If x is the very same thing as y, then anything true of the one is true of the other.</w:t>
      </w:r>
    </w:p>
    <w:p w14:paraId="7E002995" w14:textId="77777777" w:rsidR="009A58DB" w:rsidRDefault="00000000">
      <w:pPr>
        <w:pStyle w:val="BodyText"/>
        <w:spacing w:before="2"/>
        <w:ind w:left="720"/>
      </w:pPr>
      <w:r>
        <w:t>A</w:t>
      </w:r>
      <w:r>
        <w:rPr>
          <w:spacing w:val="-6"/>
        </w:rPr>
        <w:t xml:space="preserve"> </w:t>
      </w:r>
      <w:r>
        <w:rPr>
          <w:i/>
        </w:rPr>
        <w:t>necessary</w:t>
      </w:r>
      <w:r>
        <w:rPr>
          <w:i/>
          <w:spacing w:val="-4"/>
        </w:rPr>
        <w:t xml:space="preserve"> </w:t>
      </w:r>
      <w:r>
        <w:t>condition</w:t>
      </w:r>
      <w:r>
        <w:rPr>
          <w:spacing w:val="-3"/>
        </w:rPr>
        <w:t xml:space="preserve"> </w:t>
      </w:r>
      <w:r>
        <w:t>for</w:t>
      </w:r>
      <w:r>
        <w:rPr>
          <w:spacing w:val="-4"/>
        </w:rPr>
        <w:t xml:space="preserve"> </w:t>
      </w:r>
      <w:r>
        <w:t>identity</w:t>
      </w:r>
      <w:r>
        <w:rPr>
          <w:spacing w:val="-3"/>
        </w:rPr>
        <w:t xml:space="preserve"> </w:t>
      </w:r>
      <w:r>
        <w:t>is</w:t>
      </w:r>
      <w:r>
        <w:rPr>
          <w:spacing w:val="-4"/>
        </w:rPr>
        <w:t xml:space="preserve"> </w:t>
      </w:r>
      <w:r>
        <w:t>sameness</w:t>
      </w:r>
      <w:r>
        <w:rPr>
          <w:spacing w:val="-4"/>
        </w:rPr>
        <w:t xml:space="preserve"> </w:t>
      </w:r>
      <w:r>
        <w:t>of</w:t>
      </w:r>
      <w:r>
        <w:rPr>
          <w:spacing w:val="-3"/>
        </w:rPr>
        <w:t xml:space="preserve"> </w:t>
      </w:r>
      <w:r>
        <w:rPr>
          <w:spacing w:val="-2"/>
        </w:rPr>
        <w:t>properties.</w:t>
      </w:r>
    </w:p>
    <w:p w14:paraId="7E002996" w14:textId="77777777" w:rsidR="009A58DB" w:rsidRDefault="00000000">
      <w:pPr>
        <w:pStyle w:val="BodyText"/>
        <w:spacing w:before="105" w:line="249" w:lineRule="auto"/>
        <w:ind w:right="360"/>
      </w:pPr>
      <w:r>
        <w:t>Commentary on Principle 1: In Chapter 16, it is argued that, although this principle is clearly true for “synchronic” identity-clams, it is clearly false for “diachronic” identity claims.</w:t>
      </w:r>
    </w:p>
    <w:p w14:paraId="7E002997" w14:textId="77777777" w:rsidR="009A58DB" w:rsidRDefault="00000000">
      <w:pPr>
        <w:pStyle w:val="ListParagraph"/>
        <w:numPr>
          <w:ilvl w:val="0"/>
          <w:numId w:val="33"/>
        </w:numPr>
        <w:tabs>
          <w:tab w:val="left" w:pos="660"/>
          <w:tab w:val="left" w:pos="720"/>
        </w:tabs>
        <w:spacing w:before="16" w:line="466" w:lineRule="exact"/>
        <w:ind w:right="469" w:hanging="360"/>
        <w:jc w:val="both"/>
        <w:rPr>
          <w:sz w:val="30"/>
        </w:rPr>
      </w:pPr>
      <w:r>
        <w:rPr>
          <w:sz w:val="30"/>
        </w:rPr>
        <w:t>For</w:t>
      </w:r>
      <w:r>
        <w:rPr>
          <w:spacing w:val="-4"/>
          <w:sz w:val="30"/>
        </w:rPr>
        <w:t xml:space="preserve"> </w:t>
      </w:r>
      <w:r>
        <w:rPr>
          <w:sz w:val="30"/>
        </w:rPr>
        <w:t>any</w:t>
      </w:r>
      <w:r>
        <w:rPr>
          <w:spacing w:val="-3"/>
          <w:sz w:val="30"/>
        </w:rPr>
        <w:t xml:space="preserve"> </w:t>
      </w:r>
      <w:r>
        <w:rPr>
          <w:sz w:val="30"/>
        </w:rPr>
        <w:t>x</w:t>
      </w:r>
      <w:r>
        <w:rPr>
          <w:spacing w:val="-3"/>
          <w:sz w:val="30"/>
        </w:rPr>
        <w:t xml:space="preserve"> </w:t>
      </w:r>
      <w:r>
        <w:rPr>
          <w:sz w:val="30"/>
        </w:rPr>
        <w:t>and</w:t>
      </w:r>
      <w:r>
        <w:rPr>
          <w:spacing w:val="-3"/>
          <w:sz w:val="30"/>
        </w:rPr>
        <w:t xml:space="preserve"> </w:t>
      </w:r>
      <w:r>
        <w:rPr>
          <w:sz w:val="30"/>
        </w:rPr>
        <w:t>any</w:t>
      </w:r>
      <w:r>
        <w:rPr>
          <w:spacing w:val="-3"/>
          <w:sz w:val="30"/>
        </w:rPr>
        <w:t xml:space="preserve"> </w:t>
      </w:r>
      <w:r>
        <w:rPr>
          <w:sz w:val="30"/>
        </w:rPr>
        <w:t>y,</w:t>
      </w:r>
      <w:r>
        <w:rPr>
          <w:spacing w:val="-3"/>
          <w:sz w:val="30"/>
        </w:rPr>
        <w:t xml:space="preserve"> </w:t>
      </w:r>
      <w:r>
        <w:rPr>
          <w:sz w:val="30"/>
        </w:rPr>
        <w:t>(given</w:t>
      </w:r>
      <w:r>
        <w:rPr>
          <w:spacing w:val="-3"/>
          <w:sz w:val="30"/>
        </w:rPr>
        <w:t xml:space="preserve"> </w:t>
      </w:r>
      <w:r>
        <w:rPr>
          <w:sz w:val="30"/>
        </w:rPr>
        <w:t>any</w:t>
      </w:r>
      <w:r>
        <w:rPr>
          <w:spacing w:val="-3"/>
          <w:sz w:val="30"/>
        </w:rPr>
        <w:t xml:space="preserve"> </w:t>
      </w:r>
      <w:r>
        <w:rPr>
          <w:sz w:val="30"/>
        </w:rPr>
        <w:t>property</w:t>
      </w:r>
      <w:r>
        <w:rPr>
          <w:spacing w:val="-3"/>
          <w:sz w:val="30"/>
        </w:rPr>
        <w:t xml:space="preserve"> </w:t>
      </w:r>
      <w:r>
        <w:rPr>
          <w:sz w:val="30"/>
        </w:rPr>
        <w:t>F,</w:t>
      </w:r>
      <w:r>
        <w:rPr>
          <w:spacing w:val="-3"/>
          <w:sz w:val="30"/>
        </w:rPr>
        <w:t xml:space="preserve"> </w:t>
      </w:r>
      <w:r>
        <w:rPr>
          <w:sz w:val="30"/>
        </w:rPr>
        <w:t>((x</w:t>
      </w:r>
      <w:r>
        <w:rPr>
          <w:spacing w:val="-3"/>
          <w:sz w:val="30"/>
        </w:rPr>
        <w:t xml:space="preserve"> </w:t>
      </w:r>
      <w:r>
        <w:rPr>
          <w:sz w:val="30"/>
        </w:rPr>
        <w:t>has</w:t>
      </w:r>
      <w:r>
        <w:rPr>
          <w:spacing w:val="-4"/>
          <w:sz w:val="30"/>
        </w:rPr>
        <w:t xml:space="preserve"> </w:t>
      </w:r>
      <w:r>
        <w:rPr>
          <w:sz w:val="30"/>
        </w:rPr>
        <w:t>F↔y</w:t>
      </w:r>
      <w:r>
        <w:rPr>
          <w:spacing w:val="-3"/>
          <w:sz w:val="30"/>
        </w:rPr>
        <w:t xml:space="preserve"> </w:t>
      </w:r>
      <w:r>
        <w:rPr>
          <w:sz w:val="30"/>
        </w:rPr>
        <w:t>has</w:t>
      </w:r>
      <w:r>
        <w:rPr>
          <w:spacing w:val="-4"/>
          <w:sz w:val="30"/>
        </w:rPr>
        <w:t xml:space="preserve"> </w:t>
      </w:r>
      <w:r>
        <w:rPr>
          <w:sz w:val="30"/>
        </w:rPr>
        <w:t>F)→(x</w:t>
      </w:r>
      <w:r>
        <w:rPr>
          <w:spacing w:val="-3"/>
          <w:sz w:val="30"/>
        </w:rPr>
        <w:t xml:space="preserve"> </w:t>
      </w:r>
      <w:r>
        <w:rPr>
          <w:sz w:val="30"/>
        </w:rPr>
        <w:t>=</w:t>
      </w:r>
      <w:r>
        <w:rPr>
          <w:spacing w:val="-4"/>
          <w:sz w:val="30"/>
        </w:rPr>
        <w:t xml:space="preserve"> </w:t>
      </w:r>
      <w:r>
        <w:rPr>
          <w:sz w:val="30"/>
        </w:rPr>
        <w:t>y))) This principle is known as “the identity of indiscernibles.”</w:t>
      </w:r>
    </w:p>
    <w:p w14:paraId="7E002998" w14:textId="77777777" w:rsidR="009A58DB" w:rsidRDefault="00000000">
      <w:pPr>
        <w:pStyle w:val="BodyText"/>
        <w:spacing w:line="331" w:lineRule="exact"/>
        <w:ind w:left="720"/>
      </w:pPr>
      <w:r>
        <w:t>Some</w:t>
      </w:r>
      <w:r>
        <w:rPr>
          <w:spacing w:val="24"/>
        </w:rPr>
        <w:t xml:space="preserve"> </w:t>
      </w:r>
      <w:r>
        <w:t>paraphrases:</w:t>
      </w:r>
      <w:r>
        <w:rPr>
          <w:spacing w:val="25"/>
        </w:rPr>
        <w:t xml:space="preserve"> </w:t>
      </w:r>
      <w:r>
        <w:t>Given</w:t>
      </w:r>
      <w:r>
        <w:rPr>
          <w:spacing w:val="25"/>
        </w:rPr>
        <w:t xml:space="preserve"> </w:t>
      </w:r>
      <w:r>
        <w:t>anything</w:t>
      </w:r>
      <w:r>
        <w:rPr>
          <w:spacing w:val="25"/>
        </w:rPr>
        <w:t xml:space="preserve"> </w:t>
      </w:r>
      <w:r>
        <w:t>x</w:t>
      </w:r>
      <w:r>
        <w:rPr>
          <w:spacing w:val="25"/>
        </w:rPr>
        <w:t xml:space="preserve"> </w:t>
      </w:r>
      <w:r>
        <w:t>and</w:t>
      </w:r>
      <w:r>
        <w:rPr>
          <w:spacing w:val="25"/>
        </w:rPr>
        <w:t xml:space="preserve"> </w:t>
      </w:r>
      <w:r>
        <w:t>anything</w:t>
      </w:r>
      <w:r>
        <w:rPr>
          <w:spacing w:val="24"/>
        </w:rPr>
        <w:t xml:space="preserve"> </w:t>
      </w:r>
      <w:r>
        <w:t>y,</w:t>
      </w:r>
      <w:r>
        <w:rPr>
          <w:spacing w:val="25"/>
        </w:rPr>
        <w:t xml:space="preserve"> </w:t>
      </w:r>
      <w:r>
        <w:t>if</w:t>
      </w:r>
      <w:r>
        <w:rPr>
          <w:spacing w:val="25"/>
        </w:rPr>
        <w:t xml:space="preserve"> </w:t>
      </w:r>
      <w:r>
        <w:t>it</w:t>
      </w:r>
      <w:r>
        <w:rPr>
          <w:spacing w:val="25"/>
        </w:rPr>
        <w:t xml:space="preserve"> </w:t>
      </w:r>
      <w:r>
        <w:t>the</w:t>
      </w:r>
      <w:r>
        <w:rPr>
          <w:spacing w:val="25"/>
        </w:rPr>
        <w:t xml:space="preserve"> </w:t>
      </w:r>
      <w:r>
        <w:t>case</w:t>
      </w:r>
      <w:r>
        <w:rPr>
          <w:spacing w:val="25"/>
        </w:rPr>
        <w:t xml:space="preserve"> </w:t>
      </w:r>
      <w:r>
        <w:t>that</w:t>
      </w:r>
      <w:r>
        <w:rPr>
          <w:spacing w:val="25"/>
        </w:rPr>
        <w:t xml:space="preserve"> </w:t>
      </w:r>
      <w:r>
        <w:rPr>
          <w:spacing w:val="-10"/>
        </w:rPr>
        <w:t>x</w:t>
      </w:r>
    </w:p>
    <w:p w14:paraId="7E002999" w14:textId="77777777" w:rsidR="009A58DB" w:rsidRDefault="00000000">
      <w:pPr>
        <w:pStyle w:val="BodyText"/>
        <w:spacing w:before="15" w:line="249" w:lineRule="auto"/>
        <w:ind w:right="363"/>
      </w:pPr>
      <w:r>
        <w:t>has a given property just in case y has that property, then it follows that x is the very same thing as x.</w:t>
      </w:r>
    </w:p>
    <w:p w14:paraId="7E00299A" w14:textId="77777777" w:rsidR="009A58DB" w:rsidRDefault="00000000">
      <w:pPr>
        <w:pStyle w:val="BodyText"/>
        <w:spacing w:before="3" w:line="249" w:lineRule="auto"/>
        <w:ind w:left="720" w:right="359"/>
      </w:pPr>
      <w:r>
        <w:t xml:space="preserve">If x has no properties that y lacks and y has no properties that x lacks, then x is the very same thing as y. A </w:t>
      </w:r>
      <w:r>
        <w:rPr>
          <w:i/>
        </w:rPr>
        <w:t xml:space="preserve">sufficient </w:t>
      </w:r>
      <w:r>
        <w:t>condition for identity is sameness of properties.</w:t>
      </w:r>
    </w:p>
    <w:p w14:paraId="7E00299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9C" w14:textId="77777777" w:rsidR="009A58DB" w:rsidRDefault="00000000">
      <w:pPr>
        <w:pStyle w:val="BodyText"/>
        <w:spacing w:before="65" w:line="249" w:lineRule="auto"/>
        <w:ind w:right="362"/>
      </w:pPr>
      <w:r>
        <w:lastRenderedPageBreak/>
        <w:t>Commentary on Principle 2: Though it has been questioned, this principle is clearly</w:t>
      </w:r>
      <w:r>
        <w:rPr>
          <w:spacing w:val="4"/>
        </w:rPr>
        <w:t xml:space="preserve"> </w:t>
      </w:r>
      <w:r>
        <w:t>correct.</w:t>
      </w:r>
      <w:r>
        <w:rPr>
          <w:spacing w:val="6"/>
        </w:rPr>
        <w:t xml:space="preserve"> </w:t>
      </w:r>
      <w:r>
        <w:t>Given</w:t>
      </w:r>
      <w:r>
        <w:rPr>
          <w:spacing w:val="7"/>
        </w:rPr>
        <w:t xml:space="preserve"> </w:t>
      </w:r>
      <w:r>
        <w:t>any</w:t>
      </w:r>
      <w:r>
        <w:rPr>
          <w:spacing w:val="6"/>
        </w:rPr>
        <w:t xml:space="preserve"> </w:t>
      </w:r>
      <w:r>
        <w:t>object</w:t>
      </w:r>
      <w:r>
        <w:rPr>
          <w:spacing w:val="7"/>
        </w:rPr>
        <w:t xml:space="preserve"> </w:t>
      </w:r>
      <w:r>
        <w:t>x,</w:t>
      </w:r>
      <w:r>
        <w:rPr>
          <w:spacing w:val="6"/>
        </w:rPr>
        <w:t xml:space="preserve"> </w:t>
      </w:r>
      <w:r>
        <w:t>x</w:t>
      </w:r>
      <w:r>
        <w:rPr>
          <w:spacing w:val="7"/>
        </w:rPr>
        <w:t xml:space="preserve"> </w:t>
      </w:r>
      <w:r>
        <w:t>has</w:t>
      </w:r>
      <w:r>
        <w:rPr>
          <w:spacing w:val="6"/>
        </w:rPr>
        <w:t xml:space="preserve"> </w:t>
      </w:r>
      <w:r>
        <w:t>the</w:t>
      </w:r>
      <w:r>
        <w:rPr>
          <w:spacing w:val="7"/>
        </w:rPr>
        <w:t xml:space="preserve"> </w:t>
      </w:r>
      <w:r>
        <w:t>property</w:t>
      </w:r>
      <w:r>
        <w:rPr>
          <w:spacing w:val="6"/>
        </w:rPr>
        <w:t xml:space="preserve"> </w:t>
      </w:r>
      <w:r>
        <w:t>of</w:t>
      </w:r>
      <w:r>
        <w:rPr>
          <w:spacing w:val="7"/>
        </w:rPr>
        <w:t xml:space="preserve"> </w:t>
      </w:r>
      <w:r>
        <w:t>being</w:t>
      </w:r>
      <w:r>
        <w:rPr>
          <w:spacing w:val="6"/>
        </w:rPr>
        <w:t xml:space="preserve"> </w:t>
      </w:r>
      <w:r>
        <w:t>identical</w:t>
      </w:r>
      <w:r>
        <w:rPr>
          <w:spacing w:val="7"/>
        </w:rPr>
        <w:t xml:space="preserve"> </w:t>
      </w:r>
      <w:r>
        <w:rPr>
          <w:spacing w:val="-4"/>
        </w:rPr>
        <w:t>with</w:t>
      </w:r>
    </w:p>
    <w:p w14:paraId="7E00299D" w14:textId="77777777" w:rsidR="009A58DB" w:rsidRDefault="00000000">
      <w:pPr>
        <w:pStyle w:val="BodyText"/>
        <w:spacing w:before="2" w:line="249" w:lineRule="auto"/>
        <w:ind w:right="367"/>
      </w:pPr>
      <w:r>
        <w:t>x. So, given any object y, if y has every property that x has, then y has the property of being identical with x and is therefore itself identical with x.</w:t>
      </w:r>
    </w:p>
    <w:p w14:paraId="7E00299E" w14:textId="77777777" w:rsidR="009A58DB" w:rsidRDefault="00000000">
      <w:pPr>
        <w:pStyle w:val="BodyText"/>
        <w:spacing w:before="3" w:line="249" w:lineRule="auto"/>
        <w:ind w:right="359" w:firstLine="360"/>
      </w:pPr>
      <w:r>
        <w:t>But, while it’s true that anything having that property is identical with x, it’s also trivial. And my suspicion is that those who claim to be asking whether</w:t>
      </w:r>
      <w:r>
        <w:rPr>
          <w:spacing w:val="-1"/>
        </w:rPr>
        <w:t xml:space="preserve"> </w:t>
      </w:r>
      <w:r>
        <w:t>the</w:t>
      </w:r>
      <w:r>
        <w:rPr>
          <w:spacing w:val="-1"/>
        </w:rPr>
        <w:t xml:space="preserve"> </w:t>
      </w:r>
      <w:r>
        <w:t>identity</w:t>
      </w:r>
      <w:r>
        <w:rPr>
          <w:spacing w:val="-1"/>
        </w:rPr>
        <w:t xml:space="preserve"> </w:t>
      </w:r>
      <w:r>
        <w:t>of</w:t>
      </w:r>
      <w:r>
        <w:rPr>
          <w:spacing w:val="-1"/>
        </w:rPr>
        <w:t xml:space="preserve"> </w:t>
      </w:r>
      <w:r>
        <w:t>indiscernibles</w:t>
      </w:r>
      <w:r>
        <w:rPr>
          <w:spacing w:val="-1"/>
        </w:rPr>
        <w:t xml:space="preserve"> </w:t>
      </w:r>
      <w:r>
        <w:t>is</w:t>
      </w:r>
      <w:r>
        <w:rPr>
          <w:spacing w:val="-1"/>
        </w:rPr>
        <w:t xml:space="preserve"> </w:t>
      </w:r>
      <w:r>
        <w:t>correct</w:t>
      </w:r>
      <w:r>
        <w:rPr>
          <w:spacing w:val="-1"/>
        </w:rPr>
        <w:t xml:space="preserve"> </w:t>
      </w:r>
      <w:r>
        <w:t>are</w:t>
      </w:r>
      <w:r>
        <w:rPr>
          <w:spacing w:val="-1"/>
        </w:rPr>
        <w:t xml:space="preserve"> </w:t>
      </w:r>
      <w:r>
        <w:t>really</w:t>
      </w:r>
      <w:r>
        <w:rPr>
          <w:spacing w:val="-1"/>
        </w:rPr>
        <w:t xml:space="preserve"> </w:t>
      </w:r>
      <w:r>
        <w:t>asking</w:t>
      </w:r>
      <w:r>
        <w:rPr>
          <w:spacing w:val="-1"/>
        </w:rPr>
        <w:t xml:space="preserve"> </w:t>
      </w:r>
      <w:r>
        <w:t>a</w:t>
      </w:r>
      <w:r>
        <w:rPr>
          <w:spacing w:val="-1"/>
        </w:rPr>
        <w:t xml:space="preserve"> </w:t>
      </w:r>
      <w:r>
        <w:t>distinct</w:t>
      </w:r>
      <w:r>
        <w:rPr>
          <w:spacing w:val="-1"/>
        </w:rPr>
        <w:t xml:space="preserve"> </w:t>
      </w:r>
      <w:r>
        <w:t xml:space="preserve">but related question, namely: given an object y that has every property had by x, setting aside those properties that are </w:t>
      </w:r>
      <w:r>
        <w:rPr>
          <w:i/>
        </w:rPr>
        <w:t xml:space="preserve">trivially </w:t>
      </w:r>
      <w:r>
        <w:t>had by anything identical with x (e.g., the property of being identical with x), is y identical with x?</w:t>
      </w:r>
    </w:p>
    <w:p w14:paraId="7E00299F" w14:textId="77777777" w:rsidR="009A58DB" w:rsidRDefault="00000000">
      <w:pPr>
        <w:pStyle w:val="BodyText"/>
        <w:spacing w:before="7" w:line="249" w:lineRule="auto"/>
        <w:ind w:right="362" w:firstLine="360"/>
      </w:pPr>
      <w:r>
        <w:rPr>
          <w:i/>
          <w:spacing w:val="-2"/>
        </w:rPr>
        <w:t>That</w:t>
      </w:r>
      <w:r>
        <w:rPr>
          <w:i/>
          <w:spacing w:val="-17"/>
        </w:rPr>
        <w:t xml:space="preserve"> </w:t>
      </w:r>
      <w:r>
        <w:rPr>
          <w:spacing w:val="-2"/>
        </w:rPr>
        <w:t>question,</w:t>
      </w:r>
      <w:r>
        <w:rPr>
          <w:spacing w:val="-17"/>
        </w:rPr>
        <w:t xml:space="preserve"> </w:t>
      </w:r>
      <w:r>
        <w:rPr>
          <w:spacing w:val="-2"/>
        </w:rPr>
        <w:t>unlike</w:t>
      </w:r>
      <w:r>
        <w:rPr>
          <w:spacing w:val="-13"/>
        </w:rPr>
        <w:t xml:space="preserve"> </w:t>
      </w:r>
      <w:r>
        <w:rPr>
          <w:spacing w:val="-2"/>
        </w:rPr>
        <w:t>the</w:t>
      </w:r>
      <w:r>
        <w:rPr>
          <w:spacing w:val="-10"/>
        </w:rPr>
        <w:t xml:space="preserve"> </w:t>
      </w:r>
      <w:r>
        <w:rPr>
          <w:spacing w:val="-2"/>
        </w:rPr>
        <w:t>question</w:t>
      </w:r>
      <w:r>
        <w:rPr>
          <w:spacing w:val="-10"/>
        </w:rPr>
        <w:t xml:space="preserve"> </w:t>
      </w:r>
      <w:r>
        <w:rPr>
          <w:spacing w:val="-2"/>
        </w:rPr>
        <w:t>of</w:t>
      </w:r>
      <w:r>
        <w:rPr>
          <w:spacing w:val="-10"/>
        </w:rPr>
        <w:t xml:space="preserve"> </w:t>
      </w:r>
      <w:r>
        <w:rPr>
          <w:spacing w:val="-2"/>
        </w:rPr>
        <w:t>whether</w:t>
      </w:r>
      <w:r>
        <w:rPr>
          <w:spacing w:val="-10"/>
        </w:rPr>
        <w:t xml:space="preserve"> </w:t>
      </w:r>
      <w:r>
        <w:rPr>
          <w:spacing w:val="-2"/>
        </w:rPr>
        <w:t>the</w:t>
      </w:r>
      <w:r>
        <w:rPr>
          <w:spacing w:val="-10"/>
        </w:rPr>
        <w:t xml:space="preserve"> </w:t>
      </w:r>
      <w:r>
        <w:rPr>
          <w:spacing w:val="-2"/>
        </w:rPr>
        <w:t>identity</w:t>
      </w:r>
      <w:r>
        <w:rPr>
          <w:spacing w:val="-10"/>
        </w:rPr>
        <w:t xml:space="preserve"> </w:t>
      </w:r>
      <w:r>
        <w:rPr>
          <w:spacing w:val="-2"/>
        </w:rPr>
        <w:t>of</w:t>
      </w:r>
      <w:r>
        <w:rPr>
          <w:spacing w:val="-10"/>
        </w:rPr>
        <w:t xml:space="preserve"> </w:t>
      </w:r>
      <w:r>
        <w:rPr>
          <w:spacing w:val="-2"/>
        </w:rPr>
        <w:t>indiscernibles</w:t>
      </w:r>
      <w:r>
        <w:rPr>
          <w:spacing w:val="-10"/>
        </w:rPr>
        <w:t xml:space="preserve"> </w:t>
      </w:r>
      <w:r>
        <w:rPr>
          <w:spacing w:val="-2"/>
        </w:rPr>
        <w:t xml:space="preserve">is </w:t>
      </w:r>
      <w:r>
        <w:t>correct, isn’t trivial. That said, the answer to it does seem, quite clearly, to be “yes.”</w:t>
      </w:r>
      <w:r>
        <w:rPr>
          <w:spacing w:val="-19"/>
        </w:rPr>
        <w:t xml:space="preserve"> </w:t>
      </w:r>
      <w:r>
        <w:t>If,</w:t>
      </w:r>
      <w:r>
        <w:rPr>
          <w:spacing w:val="-19"/>
        </w:rPr>
        <w:t xml:space="preserve"> </w:t>
      </w:r>
      <w:r>
        <w:t>at</w:t>
      </w:r>
      <w:r>
        <w:rPr>
          <w:spacing w:val="-19"/>
        </w:rPr>
        <w:t xml:space="preserve"> </w:t>
      </w:r>
      <w:r>
        <w:t>any</w:t>
      </w:r>
      <w:r>
        <w:rPr>
          <w:spacing w:val="-18"/>
        </w:rPr>
        <w:t xml:space="preserve"> </w:t>
      </w:r>
      <w:r>
        <w:t>given</w:t>
      </w:r>
      <w:r>
        <w:rPr>
          <w:spacing w:val="-19"/>
        </w:rPr>
        <w:t xml:space="preserve"> </w:t>
      </w:r>
      <w:r>
        <w:t>moment,</w:t>
      </w:r>
      <w:r>
        <w:rPr>
          <w:spacing w:val="-19"/>
        </w:rPr>
        <w:t xml:space="preserve"> </w:t>
      </w:r>
      <w:r>
        <w:t>x</w:t>
      </w:r>
      <w:r>
        <w:rPr>
          <w:spacing w:val="-19"/>
        </w:rPr>
        <w:t xml:space="preserve"> </w:t>
      </w:r>
      <w:r>
        <w:t>is</w:t>
      </w:r>
      <w:r>
        <w:rPr>
          <w:spacing w:val="-18"/>
        </w:rPr>
        <w:t xml:space="preserve"> </w:t>
      </w:r>
      <w:r>
        <w:t>in</w:t>
      </w:r>
      <w:r>
        <w:rPr>
          <w:spacing w:val="-19"/>
        </w:rPr>
        <w:t xml:space="preserve"> </w:t>
      </w:r>
      <w:r>
        <w:t>the</w:t>
      </w:r>
      <w:r>
        <w:rPr>
          <w:spacing w:val="-19"/>
        </w:rPr>
        <w:t xml:space="preserve"> </w:t>
      </w:r>
      <w:r>
        <w:t>same</w:t>
      </w:r>
      <w:r>
        <w:rPr>
          <w:spacing w:val="-19"/>
        </w:rPr>
        <w:t xml:space="preserve"> </w:t>
      </w:r>
      <w:r>
        <w:t>place</w:t>
      </w:r>
      <w:r>
        <w:rPr>
          <w:spacing w:val="-18"/>
        </w:rPr>
        <w:t xml:space="preserve"> </w:t>
      </w:r>
      <w:r>
        <w:t>as</w:t>
      </w:r>
      <w:r>
        <w:rPr>
          <w:spacing w:val="-19"/>
        </w:rPr>
        <w:t xml:space="preserve"> </w:t>
      </w:r>
      <w:r>
        <w:t>y,</w:t>
      </w:r>
      <w:r>
        <w:rPr>
          <w:spacing w:val="-19"/>
        </w:rPr>
        <w:t xml:space="preserve"> </w:t>
      </w:r>
      <w:r>
        <w:t>has</w:t>
      </w:r>
      <w:r>
        <w:rPr>
          <w:spacing w:val="-19"/>
        </w:rPr>
        <w:t xml:space="preserve"> </w:t>
      </w:r>
      <w:r>
        <w:t>the</w:t>
      </w:r>
      <w:r>
        <w:rPr>
          <w:spacing w:val="-18"/>
        </w:rPr>
        <w:t xml:space="preserve"> </w:t>
      </w:r>
      <w:r>
        <w:t>same</w:t>
      </w:r>
      <w:r>
        <w:rPr>
          <w:spacing w:val="-19"/>
        </w:rPr>
        <w:t xml:space="preserve"> </w:t>
      </w:r>
      <w:r>
        <w:t>mass,</w:t>
      </w:r>
      <w:r>
        <w:rPr>
          <w:spacing w:val="-19"/>
        </w:rPr>
        <w:t xml:space="preserve"> </w:t>
      </w:r>
      <w:r>
        <w:t xml:space="preserve">is </w:t>
      </w:r>
      <w:r>
        <w:rPr>
          <w:spacing w:val="-4"/>
        </w:rPr>
        <w:t>subjected</w:t>
      </w:r>
      <w:r>
        <w:rPr>
          <w:spacing w:val="-13"/>
        </w:rPr>
        <w:t xml:space="preserve"> </w:t>
      </w:r>
      <w:r>
        <w:rPr>
          <w:spacing w:val="-4"/>
        </w:rPr>
        <w:t>to</w:t>
      </w:r>
      <w:r>
        <w:rPr>
          <w:spacing w:val="-13"/>
        </w:rPr>
        <w:t xml:space="preserve"> </w:t>
      </w:r>
      <w:r>
        <w:rPr>
          <w:spacing w:val="-4"/>
        </w:rPr>
        <w:t>the</w:t>
      </w:r>
      <w:r>
        <w:rPr>
          <w:spacing w:val="-13"/>
        </w:rPr>
        <w:t xml:space="preserve"> </w:t>
      </w:r>
      <w:r>
        <w:rPr>
          <w:spacing w:val="-4"/>
        </w:rPr>
        <w:t>same</w:t>
      </w:r>
      <w:r>
        <w:rPr>
          <w:spacing w:val="-13"/>
        </w:rPr>
        <w:t xml:space="preserve"> </w:t>
      </w:r>
      <w:r>
        <w:rPr>
          <w:spacing w:val="-4"/>
        </w:rPr>
        <w:t>forces,</w:t>
      </w:r>
      <w:r>
        <w:rPr>
          <w:spacing w:val="-13"/>
        </w:rPr>
        <w:t xml:space="preserve"> </w:t>
      </w:r>
      <w:r>
        <w:rPr>
          <w:spacing w:val="-4"/>
        </w:rPr>
        <w:t>and</w:t>
      </w:r>
      <w:r>
        <w:rPr>
          <w:spacing w:val="-13"/>
        </w:rPr>
        <w:t xml:space="preserve"> </w:t>
      </w:r>
      <w:r>
        <w:rPr>
          <w:spacing w:val="-4"/>
        </w:rPr>
        <w:t>so</w:t>
      </w:r>
      <w:r>
        <w:rPr>
          <w:spacing w:val="-13"/>
        </w:rPr>
        <w:t xml:space="preserve"> </w:t>
      </w:r>
      <w:r>
        <w:rPr>
          <w:spacing w:val="-4"/>
        </w:rPr>
        <w:t>on,</w:t>
      </w:r>
      <w:r>
        <w:rPr>
          <w:spacing w:val="-13"/>
        </w:rPr>
        <w:t xml:space="preserve"> </w:t>
      </w:r>
      <w:r>
        <w:rPr>
          <w:spacing w:val="-4"/>
        </w:rPr>
        <w:t>then</w:t>
      </w:r>
      <w:r>
        <w:rPr>
          <w:spacing w:val="-13"/>
        </w:rPr>
        <w:t xml:space="preserve"> </w:t>
      </w:r>
      <w:r>
        <w:rPr>
          <w:spacing w:val="-4"/>
        </w:rPr>
        <w:t>surely</w:t>
      </w:r>
      <w:r>
        <w:rPr>
          <w:spacing w:val="-13"/>
        </w:rPr>
        <w:t xml:space="preserve"> </w:t>
      </w:r>
      <w:r>
        <w:rPr>
          <w:spacing w:val="-4"/>
        </w:rPr>
        <w:t>x</w:t>
      </w:r>
      <w:r>
        <w:rPr>
          <w:spacing w:val="-13"/>
        </w:rPr>
        <w:t xml:space="preserve"> </w:t>
      </w:r>
      <w:r>
        <w:rPr>
          <w:spacing w:val="-4"/>
        </w:rPr>
        <w:t>is</w:t>
      </w:r>
      <w:r>
        <w:rPr>
          <w:spacing w:val="-13"/>
        </w:rPr>
        <w:t xml:space="preserve"> </w:t>
      </w:r>
      <w:r>
        <w:rPr>
          <w:spacing w:val="-4"/>
        </w:rPr>
        <w:t>identical</w:t>
      </w:r>
      <w:r>
        <w:rPr>
          <w:spacing w:val="-13"/>
        </w:rPr>
        <w:t xml:space="preserve"> </w:t>
      </w:r>
      <w:r>
        <w:rPr>
          <w:spacing w:val="-4"/>
        </w:rPr>
        <w:t>with</w:t>
      </w:r>
      <w:r>
        <w:rPr>
          <w:spacing w:val="-13"/>
        </w:rPr>
        <w:t xml:space="preserve"> </w:t>
      </w:r>
      <w:r>
        <w:rPr>
          <w:spacing w:val="-4"/>
        </w:rPr>
        <w:t>y.</w:t>
      </w:r>
      <w:r>
        <w:rPr>
          <w:spacing w:val="-13"/>
        </w:rPr>
        <w:t xml:space="preserve"> </w:t>
      </w:r>
      <w:r>
        <w:rPr>
          <w:spacing w:val="-4"/>
        </w:rPr>
        <w:t>(But</w:t>
      </w:r>
      <w:r>
        <w:rPr>
          <w:spacing w:val="-13"/>
        </w:rPr>
        <w:t xml:space="preserve"> </w:t>
      </w:r>
      <w:r>
        <w:rPr>
          <w:spacing w:val="-4"/>
        </w:rPr>
        <w:t>I’m not</w:t>
      </w:r>
    </w:p>
    <w:p w14:paraId="7E0029A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9A1" w14:textId="77777777" w:rsidR="009A58DB" w:rsidRDefault="00000000">
      <w:pPr>
        <w:pStyle w:val="BodyText"/>
        <w:spacing w:before="65" w:line="249" w:lineRule="auto"/>
        <w:ind w:right="363"/>
      </w:pPr>
      <w:r>
        <w:lastRenderedPageBreak/>
        <w:t>100% convinced by my reasoning here. Exercise: If you think that the</w:t>
      </w:r>
      <w:r>
        <w:rPr>
          <w:spacing w:val="40"/>
        </w:rPr>
        <w:t xml:space="preserve"> </w:t>
      </w:r>
      <w:r>
        <w:t xml:space="preserve">identity of indiscernibles is correct, prove it. If you think that it’s false, prove </w:t>
      </w:r>
      <w:r>
        <w:rPr>
          <w:spacing w:val="-2"/>
        </w:rPr>
        <w:t>that.)</w:t>
      </w:r>
    </w:p>
    <w:p w14:paraId="7E0029A2" w14:textId="77777777" w:rsidR="009A58DB" w:rsidRDefault="00000000">
      <w:pPr>
        <w:pStyle w:val="BodyText"/>
        <w:spacing w:before="123" w:line="249" w:lineRule="auto"/>
        <w:ind w:right="358"/>
      </w:pPr>
      <w:r>
        <w:t>Commentary on Principles 1 and 2: The identity of indiscernibles is often</w:t>
      </w:r>
      <w:r>
        <w:rPr>
          <w:spacing w:val="40"/>
        </w:rPr>
        <w:t xml:space="preserve"> </w:t>
      </w:r>
      <w:r>
        <w:t>said to be the “converse” of Leibniz’s Law.</w:t>
      </w:r>
    </w:p>
    <w:p w14:paraId="7E0029A3" w14:textId="77777777" w:rsidR="009A58DB" w:rsidRDefault="00000000">
      <w:pPr>
        <w:pStyle w:val="BodyText"/>
        <w:spacing w:before="3" w:line="249" w:lineRule="auto"/>
        <w:ind w:right="361" w:firstLine="360"/>
      </w:pPr>
      <w:r>
        <w:t xml:space="preserve">This isn’t correct. For P to be the converse of Q, it is necessary that P be a conditional statement and that Q also be a conditional statement. Leibniz’s Law isn’t expressed by a conditional statement, and neither is the identity of </w:t>
      </w:r>
      <w:r>
        <w:rPr>
          <w:spacing w:val="-2"/>
        </w:rPr>
        <w:t>indiscernibles.</w:t>
      </w:r>
    </w:p>
    <w:p w14:paraId="7E0029A4" w14:textId="77777777" w:rsidR="009A58DB" w:rsidRDefault="00000000">
      <w:pPr>
        <w:pStyle w:val="BodyText"/>
        <w:spacing w:before="5" w:line="249" w:lineRule="auto"/>
        <w:ind w:right="357" w:firstLine="360"/>
      </w:pPr>
      <w:r>
        <w:t xml:space="preserve">Each is expressed by a </w:t>
      </w:r>
      <w:r>
        <w:rPr>
          <w:b/>
          <w:i/>
        </w:rPr>
        <w:t xml:space="preserve">universal generalization. </w:t>
      </w:r>
      <w:r>
        <w:t>In each case, that universal generalization is to the effect that each member of an infinitely</w:t>
      </w:r>
      <w:r>
        <w:rPr>
          <w:spacing w:val="40"/>
        </w:rPr>
        <w:t xml:space="preserve"> </w:t>
      </w:r>
      <w:r>
        <w:t>large class of conditional statements is correct. But neither is itself expressed by a conditional statement, and neither is itself a conditional proposition.</w:t>
      </w:r>
    </w:p>
    <w:p w14:paraId="7E0029A5" w14:textId="77777777" w:rsidR="009A58DB" w:rsidRDefault="00000000">
      <w:pPr>
        <w:pStyle w:val="BodyText"/>
        <w:spacing w:before="5"/>
        <w:ind w:left="720"/>
      </w:pPr>
      <w:r>
        <w:t>Leibniz’s</w:t>
      </w:r>
      <w:r>
        <w:rPr>
          <w:spacing w:val="-5"/>
        </w:rPr>
        <w:t xml:space="preserve"> </w:t>
      </w:r>
      <w:r>
        <w:t>Law</w:t>
      </w:r>
      <w:r>
        <w:rPr>
          <w:spacing w:val="-4"/>
        </w:rPr>
        <w:t xml:space="preserve"> </w:t>
      </w:r>
      <w:r>
        <w:t>says</w:t>
      </w:r>
      <w:r>
        <w:rPr>
          <w:spacing w:val="-4"/>
        </w:rPr>
        <w:t xml:space="preserve"> </w:t>
      </w:r>
      <w:r>
        <w:rPr>
          <w:spacing w:val="-2"/>
        </w:rPr>
        <w:t>that:</w:t>
      </w:r>
    </w:p>
    <w:p w14:paraId="7E0029A6" w14:textId="77777777" w:rsidR="009A58DB" w:rsidRDefault="00000000">
      <w:pPr>
        <w:pStyle w:val="BodyText"/>
        <w:spacing w:before="120" w:line="249" w:lineRule="auto"/>
        <w:ind w:right="360"/>
      </w:pPr>
      <w:r>
        <w:t>(LL) for any x and any y, if x is identical with y, it’s impossible for x to lack any property had by y or vice versa.</w:t>
      </w:r>
    </w:p>
    <w:p w14:paraId="7E0029A7" w14:textId="77777777" w:rsidR="009A58DB" w:rsidRDefault="00000000">
      <w:pPr>
        <w:pStyle w:val="BodyText"/>
        <w:spacing w:before="92" w:line="249" w:lineRule="auto"/>
        <w:ind w:right="358"/>
      </w:pPr>
      <w:r>
        <w:t xml:space="preserve">LL is not itself a conditional statement. For the same reason </w:t>
      </w:r>
      <w:r>
        <w:rPr>
          <w:i/>
        </w:rPr>
        <w:t>mutatis</w:t>
      </w:r>
      <w:r>
        <w:rPr>
          <w:i/>
          <w:spacing w:val="40"/>
        </w:rPr>
        <w:t xml:space="preserve"> </w:t>
      </w:r>
      <w:r>
        <w:rPr>
          <w:i/>
        </w:rPr>
        <w:t>mutandis,</w:t>
      </w:r>
      <w:r>
        <w:rPr>
          <w:i/>
          <w:spacing w:val="-4"/>
        </w:rPr>
        <w:t xml:space="preserve"> </w:t>
      </w:r>
      <w:r>
        <w:t>the</w:t>
      </w:r>
      <w:r>
        <w:rPr>
          <w:spacing w:val="-1"/>
        </w:rPr>
        <w:t xml:space="preserve"> </w:t>
      </w:r>
      <w:r>
        <w:t>identity</w:t>
      </w:r>
      <w:r>
        <w:rPr>
          <w:spacing w:val="-1"/>
        </w:rPr>
        <w:t xml:space="preserve"> </w:t>
      </w:r>
      <w:r>
        <w:t>of</w:t>
      </w:r>
      <w:r>
        <w:rPr>
          <w:spacing w:val="-1"/>
        </w:rPr>
        <w:t xml:space="preserve"> </w:t>
      </w:r>
      <w:r>
        <w:t>indiscernibles</w:t>
      </w:r>
      <w:r>
        <w:rPr>
          <w:spacing w:val="-1"/>
        </w:rPr>
        <w:t xml:space="preserve"> </w:t>
      </w:r>
      <w:r>
        <w:t>isn’t</w:t>
      </w:r>
      <w:r>
        <w:rPr>
          <w:spacing w:val="-1"/>
        </w:rPr>
        <w:t xml:space="preserve"> </w:t>
      </w:r>
      <w:r>
        <w:t>given</w:t>
      </w:r>
      <w:r>
        <w:rPr>
          <w:spacing w:val="-1"/>
        </w:rPr>
        <w:t xml:space="preserve"> </w:t>
      </w:r>
      <w:r>
        <w:t>by</w:t>
      </w:r>
      <w:r>
        <w:rPr>
          <w:spacing w:val="-1"/>
        </w:rPr>
        <w:t xml:space="preserve"> </w:t>
      </w:r>
      <w:r>
        <w:t>a</w:t>
      </w:r>
      <w:r>
        <w:rPr>
          <w:spacing w:val="-1"/>
        </w:rPr>
        <w:t xml:space="preserve"> </w:t>
      </w:r>
      <w:r>
        <w:t>conditional</w:t>
      </w:r>
      <w:r>
        <w:rPr>
          <w:spacing w:val="-1"/>
        </w:rPr>
        <w:t xml:space="preserve"> </w:t>
      </w:r>
      <w:r>
        <w:t>statement. Therefore, neither principle is the converse of the other.</w:t>
      </w:r>
    </w:p>
    <w:p w14:paraId="7E0029A8" w14:textId="77777777" w:rsidR="009A58DB" w:rsidRDefault="00000000">
      <w:pPr>
        <w:pStyle w:val="ListParagraph"/>
        <w:numPr>
          <w:ilvl w:val="0"/>
          <w:numId w:val="33"/>
        </w:numPr>
        <w:tabs>
          <w:tab w:val="left" w:pos="743"/>
        </w:tabs>
        <w:spacing w:before="109" w:line="249" w:lineRule="auto"/>
        <w:ind w:left="360" w:right="5231" w:firstLine="0"/>
        <w:jc w:val="both"/>
        <w:rPr>
          <w:sz w:val="30"/>
        </w:rPr>
      </w:pPr>
      <w:r>
        <w:rPr>
          <w:sz w:val="30"/>
        </w:rPr>
        <w:t xml:space="preserve">P or ~P. (The law of excluded </w:t>
      </w:r>
      <w:r>
        <w:rPr>
          <w:spacing w:val="-2"/>
          <w:sz w:val="30"/>
        </w:rPr>
        <w:t>middle.)</w:t>
      </w:r>
    </w:p>
    <w:p w14:paraId="7E0029A9" w14:textId="77777777" w:rsidR="009A58DB" w:rsidRDefault="00000000">
      <w:pPr>
        <w:pStyle w:val="BodyText"/>
        <w:spacing w:before="2" w:line="249" w:lineRule="auto"/>
        <w:ind w:right="5232"/>
      </w:pPr>
      <w:r>
        <w:t xml:space="preserve">Any given statement is either true or </w:t>
      </w:r>
      <w:r>
        <w:rPr>
          <w:spacing w:val="-2"/>
        </w:rPr>
        <w:t>false.</w:t>
      </w:r>
    </w:p>
    <w:p w14:paraId="7E0029AA" w14:textId="77777777" w:rsidR="009A58DB" w:rsidRDefault="00000000">
      <w:pPr>
        <w:pStyle w:val="BodyText"/>
        <w:spacing w:before="108" w:line="249" w:lineRule="auto"/>
        <w:ind w:right="363"/>
      </w:pPr>
      <w:r>
        <w:t>Commentary: Is principle 3 correct? That depends on what the word “statement” is taken to mean. If it’s taken to mean the same thing as “sentence,” then 3 is false. The sentence (in other words, the sentence-type)</w:t>
      </w:r>
      <w:r>
        <w:rPr>
          <w:spacing w:val="40"/>
        </w:rPr>
        <w:t xml:space="preserve"> </w:t>
      </w:r>
      <w:r>
        <w:t xml:space="preserve">“I am tired” is neither true nor false. (Certain </w:t>
      </w:r>
      <w:r>
        <w:rPr>
          <w:i/>
        </w:rPr>
        <w:t xml:space="preserve">utterances </w:t>
      </w:r>
      <w:r>
        <w:t>of it are true and certain utterances of it are false.)</w:t>
      </w:r>
    </w:p>
    <w:p w14:paraId="7E0029AB" w14:textId="77777777" w:rsidR="009A58DB" w:rsidRDefault="00000000">
      <w:pPr>
        <w:pStyle w:val="BodyText"/>
        <w:spacing w:before="6" w:line="249" w:lineRule="auto"/>
        <w:ind w:right="367" w:firstLine="360"/>
      </w:pPr>
      <w:r>
        <w:t>If the word “statement” is taken to mean the same thing as “sentence-utterance” (or, more generally, “</w:t>
      </w:r>
      <w:r>
        <w:rPr>
          <w:b/>
          <w:i/>
        </w:rPr>
        <w:t>sentence-token</w:t>
      </w:r>
      <w:r>
        <w:t>”), then, once again, 3 is</w:t>
      </w:r>
      <w:r>
        <w:rPr>
          <w:spacing w:val="40"/>
        </w:rPr>
        <w:t xml:space="preserve"> </w:t>
      </w:r>
      <w:r>
        <w:t>false. If, while pointing to an empty space, I say “that elephant is in terrible pain,</w:t>
      </w:r>
      <w:bookmarkStart w:id="575" w:name="_bookmark575"/>
      <w:bookmarkEnd w:id="575"/>
      <w:r>
        <w:t>”</w:t>
      </w:r>
      <w:r>
        <w:rPr>
          <w:color w:val="0562C1"/>
          <w:position w:val="21"/>
          <w:u w:val="single" w:color="0562C1"/>
        </w:rPr>
        <w:t>[433]</w:t>
      </w:r>
      <w:r>
        <w:rPr>
          <w:color w:val="0562C1"/>
          <w:spacing w:val="-19"/>
          <w:position w:val="21"/>
        </w:rPr>
        <w:t xml:space="preserve"> </w:t>
      </w:r>
      <w:r>
        <w:t>what I’ve said is neither true nor false. There is no such elephant.</w:t>
      </w:r>
    </w:p>
    <w:p w14:paraId="7E0029AC"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9AD" w14:textId="77777777" w:rsidR="009A58DB" w:rsidRDefault="00000000">
      <w:pPr>
        <w:pStyle w:val="BodyText"/>
        <w:spacing w:before="70" w:line="249" w:lineRule="auto"/>
        <w:ind w:right="358"/>
      </w:pPr>
      <w:r>
        <w:lastRenderedPageBreak/>
        <w:t>Therefore, there is no elephant x such that I am saying that x in terrible pain. If I am saying anything at all, there is some elephant x such that what I am saying is true iff x is in terrible pain. Since there is no such elephant, I’m not saying anything; my utterance is neither true nor false.</w:t>
      </w:r>
    </w:p>
    <w:p w14:paraId="7E0029AE" w14:textId="77777777" w:rsidR="009A58DB" w:rsidRDefault="00000000">
      <w:pPr>
        <w:pStyle w:val="BodyText"/>
        <w:spacing w:line="249" w:lineRule="auto"/>
        <w:ind w:right="360" w:firstLine="360"/>
      </w:pPr>
      <w:r>
        <w:t xml:space="preserve">If the word “statement” is taken to mean the same thing as “proposition,” then 3 </w:t>
      </w:r>
      <w:r>
        <w:rPr>
          <w:i/>
        </w:rPr>
        <w:t xml:space="preserve">is </w:t>
      </w:r>
      <w:r>
        <w:t>correct—or so I believe. (Many disagree. See the entry titled “ambiguity</w:t>
      </w:r>
      <w:r>
        <w:rPr>
          <w:spacing w:val="-1"/>
        </w:rPr>
        <w:t xml:space="preserve"> </w:t>
      </w:r>
      <w:r>
        <w:t>vs.</w:t>
      </w:r>
      <w:r>
        <w:rPr>
          <w:spacing w:val="-1"/>
        </w:rPr>
        <w:t xml:space="preserve"> </w:t>
      </w:r>
      <w:r>
        <w:t>vagueness”</w:t>
      </w:r>
      <w:r>
        <w:rPr>
          <w:spacing w:val="-1"/>
        </w:rPr>
        <w:t xml:space="preserve"> </w:t>
      </w:r>
      <w:r>
        <w:t>in</w:t>
      </w:r>
      <w:r>
        <w:rPr>
          <w:spacing w:val="-1"/>
        </w:rPr>
        <w:t xml:space="preserve"> </w:t>
      </w:r>
      <w:r>
        <w:t>Appendix</w:t>
      </w:r>
      <w:r>
        <w:rPr>
          <w:spacing w:val="-1"/>
        </w:rPr>
        <w:t xml:space="preserve"> </w:t>
      </w:r>
      <w:r>
        <w:t>2.)</w:t>
      </w:r>
      <w:r>
        <w:rPr>
          <w:spacing w:val="-1"/>
        </w:rPr>
        <w:t xml:space="preserve"> </w:t>
      </w:r>
      <w:r>
        <w:t>What</w:t>
      </w:r>
      <w:r>
        <w:rPr>
          <w:spacing w:val="-1"/>
        </w:rPr>
        <w:t xml:space="preserve"> </w:t>
      </w:r>
      <w:r>
        <w:t>we’re</w:t>
      </w:r>
      <w:r>
        <w:rPr>
          <w:spacing w:val="-1"/>
        </w:rPr>
        <w:t xml:space="preserve"> </w:t>
      </w:r>
      <w:r>
        <w:t>seeing</w:t>
      </w:r>
      <w:r>
        <w:rPr>
          <w:spacing w:val="-1"/>
        </w:rPr>
        <w:t xml:space="preserve"> </w:t>
      </w:r>
      <w:r>
        <w:t>here</w:t>
      </w:r>
      <w:r>
        <w:rPr>
          <w:spacing w:val="-1"/>
        </w:rPr>
        <w:t xml:space="preserve"> </w:t>
      </w:r>
      <w:r>
        <w:t>is</w:t>
      </w:r>
      <w:r>
        <w:rPr>
          <w:spacing w:val="-1"/>
        </w:rPr>
        <w:t xml:space="preserve"> </w:t>
      </w:r>
      <w:r>
        <w:t>that</w:t>
      </w:r>
      <w:r>
        <w:rPr>
          <w:spacing w:val="-1"/>
        </w:rPr>
        <w:t xml:space="preserve"> </w:t>
      </w:r>
      <w:r>
        <w:t>the so-called truths of symbolic logic—the “laws of logic”—aren’t true at all. They’re statement-</w:t>
      </w:r>
      <w:r>
        <w:rPr>
          <w:i/>
        </w:rPr>
        <w:t xml:space="preserve">forms, </w:t>
      </w:r>
      <w:r>
        <w:t>not statements, and therefore aren’t true or false. And it isn’t easy to find interpretations of those statement-forms that validate them. In other words, it isn’t easy to figure out what sorts of constants must replace the variables occurring in these “laws” if true sentences are to result. This suggests that modern symbolic logic (a.k.a. mathematical logic, a.k.a. formal logic) isn’t logic at all. It’s actually a small and rather unimportant branch of a discipline known as “model theory.” In Section 3.4, we’ll see why, given this fact, it follows that formal logic has little to do with the way in which any actual or even possible being reasons.</w:t>
      </w:r>
    </w:p>
    <w:p w14:paraId="7E0029AF" w14:textId="77777777" w:rsidR="009A58DB" w:rsidRDefault="00000000">
      <w:pPr>
        <w:pStyle w:val="ListParagraph"/>
        <w:numPr>
          <w:ilvl w:val="0"/>
          <w:numId w:val="33"/>
        </w:numPr>
        <w:tabs>
          <w:tab w:val="left" w:pos="820"/>
        </w:tabs>
        <w:spacing w:before="121" w:line="249" w:lineRule="auto"/>
        <w:ind w:left="360" w:right="4678" w:firstLine="0"/>
        <w:jc w:val="both"/>
        <w:rPr>
          <w:sz w:val="30"/>
        </w:rPr>
      </w:pPr>
      <w:r>
        <w:rPr>
          <w:sz w:val="30"/>
        </w:rPr>
        <w:t>~(P and ~P). (The law of non-contradiction.) No statement is both true and false.</w:t>
      </w:r>
    </w:p>
    <w:p w14:paraId="7E0029B0" w14:textId="77777777" w:rsidR="009A58DB" w:rsidRDefault="00000000">
      <w:pPr>
        <w:pStyle w:val="ListParagraph"/>
        <w:numPr>
          <w:ilvl w:val="0"/>
          <w:numId w:val="33"/>
        </w:numPr>
        <w:tabs>
          <w:tab w:val="left" w:pos="570"/>
          <w:tab w:val="left" w:pos="660"/>
        </w:tabs>
        <w:spacing w:before="93" w:line="249" w:lineRule="auto"/>
        <w:ind w:left="570" w:right="362" w:hanging="210"/>
        <w:jc w:val="both"/>
        <w:rPr>
          <w:sz w:val="30"/>
        </w:rPr>
      </w:pPr>
      <w:r>
        <w:rPr>
          <w:sz w:val="30"/>
        </w:rPr>
        <w:t>(P</w:t>
      </w:r>
      <w:r>
        <w:rPr>
          <w:spacing w:val="-5"/>
          <w:sz w:val="30"/>
        </w:rPr>
        <w:t xml:space="preserve"> </w:t>
      </w:r>
      <w:r>
        <w:rPr>
          <w:sz w:val="30"/>
        </w:rPr>
        <w:t>and</w:t>
      </w:r>
      <w:r>
        <w:rPr>
          <w:spacing w:val="-4"/>
          <w:sz w:val="30"/>
        </w:rPr>
        <w:t xml:space="preserve"> </w:t>
      </w:r>
      <w:r>
        <w:rPr>
          <w:sz w:val="30"/>
        </w:rPr>
        <w:t>(P→Q))→Q.</w:t>
      </w:r>
      <w:r>
        <w:rPr>
          <w:spacing w:val="-4"/>
          <w:sz w:val="30"/>
        </w:rPr>
        <w:t xml:space="preserve"> </w:t>
      </w:r>
      <w:r>
        <w:rPr>
          <w:sz w:val="30"/>
        </w:rPr>
        <w:t>(Modus</w:t>
      </w:r>
      <w:r>
        <w:rPr>
          <w:spacing w:val="-5"/>
          <w:sz w:val="30"/>
        </w:rPr>
        <w:t xml:space="preserve"> </w:t>
      </w:r>
      <w:r>
        <w:rPr>
          <w:sz w:val="30"/>
        </w:rPr>
        <w:t>Ponens.)</w:t>
      </w:r>
      <w:r>
        <w:rPr>
          <w:spacing w:val="-5"/>
          <w:sz w:val="30"/>
        </w:rPr>
        <w:t xml:space="preserve"> </w:t>
      </w:r>
      <w:r>
        <w:rPr>
          <w:sz w:val="30"/>
        </w:rPr>
        <w:t>Supposing</w:t>
      </w:r>
      <w:r>
        <w:rPr>
          <w:spacing w:val="-4"/>
          <w:sz w:val="30"/>
        </w:rPr>
        <w:t xml:space="preserve"> </w:t>
      </w:r>
      <w:r>
        <w:rPr>
          <w:sz w:val="30"/>
        </w:rPr>
        <w:t>that</w:t>
      </w:r>
      <w:r>
        <w:rPr>
          <w:spacing w:val="-5"/>
          <w:sz w:val="30"/>
        </w:rPr>
        <w:t xml:space="preserve"> </w:t>
      </w:r>
      <w:r>
        <w:rPr>
          <w:sz w:val="30"/>
        </w:rPr>
        <w:t>P,</w:t>
      </w:r>
      <w:r>
        <w:rPr>
          <w:spacing w:val="-4"/>
          <w:sz w:val="30"/>
        </w:rPr>
        <w:t xml:space="preserve"> </w:t>
      </w:r>
      <w:r>
        <w:rPr>
          <w:sz w:val="30"/>
        </w:rPr>
        <w:t>and</w:t>
      </w:r>
      <w:r>
        <w:rPr>
          <w:spacing w:val="-4"/>
          <w:sz w:val="30"/>
        </w:rPr>
        <w:t xml:space="preserve"> </w:t>
      </w:r>
      <w:r>
        <w:rPr>
          <w:sz w:val="30"/>
        </w:rPr>
        <w:t>supposing</w:t>
      </w:r>
      <w:r>
        <w:rPr>
          <w:spacing w:val="-4"/>
          <w:sz w:val="30"/>
        </w:rPr>
        <w:t xml:space="preserve"> </w:t>
      </w:r>
      <w:r>
        <w:rPr>
          <w:sz w:val="30"/>
        </w:rPr>
        <w:t>that P entails Q, it follows that Q.</w:t>
      </w:r>
    </w:p>
    <w:p w14:paraId="7E0029B1" w14:textId="77777777" w:rsidR="009A58DB" w:rsidRDefault="00000000">
      <w:pPr>
        <w:pStyle w:val="BodyText"/>
        <w:spacing w:before="15" w:line="466" w:lineRule="exact"/>
        <w:jc w:val="left"/>
      </w:pPr>
      <w:r>
        <w:t>Here</w:t>
      </w:r>
      <w:r>
        <w:rPr>
          <w:spacing w:val="-4"/>
        </w:rPr>
        <w:t xml:space="preserve"> </w:t>
      </w:r>
      <w:r>
        <w:t>is</w:t>
      </w:r>
      <w:r>
        <w:rPr>
          <w:spacing w:val="-4"/>
        </w:rPr>
        <w:t xml:space="preserve"> </w:t>
      </w:r>
      <w:r>
        <w:t>an</w:t>
      </w:r>
      <w:r>
        <w:rPr>
          <w:spacing w:val="-3"/>
        </w:rPr>
        <w:t xml:space="preserve"> </w:t>
      </w:r>
      <w:r>
        <w:t>example,</w:t>
      </w:r>
      <w:r>
        <w:rPr>
          <w:spacing w:val="-3"/>
        </w:rPr>
        <w:t xml:space="preserve"> </w:t>
      </w:r>
      <w:r>
        <w:t>which</w:t>
      </w:r>
      <w:r>
        <w:rPr>
          <w:spacing w:val="-3"/>
        </w:rPr>
        <w:t xml:space="preserve"> </w:t>
      </w:r>
      <w:r>
        <w:t>we’ll</w:t>
      </w:r>
      <w:r>
        <w:rPr>
          <w:spacing w:val="-4"/>
        </w:rPr>
        <w:t xml:space="preserve"> </w:t>
      </w:r>
      <w:r>
        <w:t>refer</w:t>
      </w:r>
      <w:r>
        <w:rPr>
          <w:spacing w:val="-4"/>
        </w:rPr>
        <w:t xml:space="preserve"> </w:t>
      </w:r>
      <w:r>
        <w:t>to</w:t>
      </w:r>
      <w:r>
        <w:rPr>
          <w:spacing w:val="-3"/>
        </w:rPr>
        <w:t xml:space="preserve"> </w:t>
      </w:r>
      <w:r>
        <w:t>as</w:t>
      </w:r>
      <w:r>
        <w:rPr>
          <w:spacing w:val="-4"/>
        </w:rPr>
        <w:t xml:space="preserve"> </w:t>
      </w:r>
      <w:r>
        <w:t>“SD”</w:t>
      </w:r>
      <w:r>
        <w:rPr>
          <w:spacing w:val="-4"/>
        </w:rPr>
        <w:t xml:space="preserve"> </w:t>
      </w:r>
      <w:r>
        <w:t>(short</w:t>
      </w:r>
      <w:r>
        <w:rPr>
          <w:spacing w:val="-4"/>
        </w:rPr>
        <w:t xml:space="preserve"> </w:t>
      </w:r>
      <w:r>
        <w:t>for</w:t>
      </w:r>
      <w:r>
        <w:rPr>
          <w:spacing w:val="-4"/>
        </w:rPr>
        <w:t xml:space="preserve"> </w:t>
      </w:r>
      <w:r>
        <w:t>“Smith</w:t>
      </w:r>
      <w:r>
        <w:rPr>
          <w:spacing w:val="-3"/>
        </w:rPr>
        <w:t xml:space="preserve"> </w:t>
      </w:r>
      <w:r>
        <w:t>is</w:t>
      </w:r>
      <w:r>
        <w:rPr>
          <w:spacing w:val="-4"/>
        </w:rPr>
        <w:t xml:space="preserve"> </w:t>
      </w:r>
      <w:r>
        <w:t>a</w:t>
      </w:r>
      <w:r>
        <w:rPr>
          <w:spacing w:val="-4"/>
        </w:rPr>
        <w:t xml:space="preserve"> </w:t>
      </w:r>
      <w:r>
        <w:t>dog”): Premise: Smith is a dog.</w:t>
      </w:r>
    </w:p>
    <w:p w14:paraId="7E0029B2" w14:textId="77777777" w:rsidR="009A58DB" w:rsidRDefault="00000000">
      <w:pPr>
        <w:pStyle w:val="BodyText"/>
        <w:spacing w:line="331" w:lineRule="exact"/>
        <w:jc w:val="left"/>
      </w:pPr>
      <w:r>
        <w:t>Premise:</w:t>
      </w:r>
      <w:r>
        <w:rPr>
          <w:spacing w:val="24"/>
        </w:rPr>
        <w:t xml:space="preserve"> </w:t>
      </w:r>
      <w:r>
        <w:t>If</w:t>
      </w:r>
      <w:r>
        <w:rPr>
          <w:spacing w:val="26"/>
        </w:rPr>
        <w:t xml:space="preserve"> </w:t>
      </w:r>
      <w:r>
        <w:t>Smith</w:t>
      </w:r>
      <w:r>
        <w:rPr>
          <w:spacing w:val="26"/>
        </w:rPr>
        <w:t xml:space="preserve"> </w:t>
      </w:r>
      <w:r>
        <w:t>is</w:t>
      </w:r>
      <w:r>
        <w:rPr>
          <w:spacing w:val="26"/>
        </w:rPr>
        <w:t xml:space="preserve"> </w:t>
      </w:r>
      <w:r>
        <w:t>a</w:t>
      </w:r>
      <w:r>
        <w:rPr>
          <w:spacing w:val="25"/>
        </w:rPr>
        <w:t xml:space="preserve"> </w:t>
      </w:r>
      <w:r>
        <w:t>dog,</w:t>
      </w:r>
      <w:r>
        <w:rPr>
          <w:spacing w:val="26"/>
        </w:rPr>
        <w:t xml:space="preserve"> </w:t>
      </w:r>
      <w:r>
        <w:t>then</w:t>
      </w:r>
      <w:r>
        <w:rPr>
          <w:spacing w:val="26"/>
        </w:rPr>
        <w:t xml:space="preserve"> </w:t>
      </w:r>
      <w:r>
        <w:t>Smith</w:t>
      </w:r>
      <w:r>
        <w:rPr>
          <w:spacing w:val="26"/>
        </w:rPr>
        <w:t xml:space="preserve"> </w:t>
      </w:r>
      <w:r>
        <w:t>is</w:t>
      </w:r>
      <w:r>
        <w:rPr>
          <w:spacing w:val="26"/>
        </w:rPr>
        <w:t xml:space="preserve"> </w:t>
      </w:r>
      <w:r>
        <w:rPr>
          <w:spacing w:val="-10"/>
        </w:rPr>
        <w:t>a</w:t>
      </w:r>
    </w:p>
    <w:p w14:paraId="7E0029B3" w14:textId="77777777" w:rsidR="009A58DB" w:rsidRDefault="00000000">
      <w:pPr>
        <w:pStyle w:val="BodyText"/>
        <w:spacing w:before="15"/>
        <w:jc w:val="left"/>
      </w:pPr>
      <w:r>
        <w:t>mammal.</w:t>
      </w:r>
      <w:r>
        <w:rPr>
          <w:spacing w:val="-6"/>
        </w:rPr>
        <w:t xml:space="preserve"> </w:t>
      </w:r>
      <w:r>
        <w:t>Conclusion:</w:t>
      </w:r>
      <w:r>
        <w:rPr>
          <w:spacing w:val="-4"/>
        </w:rPr>
        <w:t xml:space="preserve"> </w:t>
      </w:r>
      <w:r>
        <w:t>Smith</w:t>
      </w:r>
      <w:r>
        <w:rPr>
          <w:spacing w:val="-3"/>
        </w:rPr>
        <w:t xml:space="preserve"> </w:t>
      </w:r>
      <w:r>
        <w:t>is</w:t>
      </w:r>
      <w:r>
        <w:rPr>
          <w:spacing w:val="-4"/>
        </w:rPr>
        <w:t xml:space="preserve"> </w:t>
      </w:r>
      <w:r>
        <w:t>a</w:t>
      </w:r>
      <w:r>
        <w:rPr>
          <w:spacing w:val="-4"/>
        </w:rPr>
        <w:t xml:space="preserve"> </w:t>
      </w:r>
      <w:r>
        <w:rPr>
          <w:spacing w:val="-2"/>
        </w:rPr>
        <w:t>mammal.</w:t>
      </w:r>
    </w:p>
    <w:p w14:paraId="7E0029B4" w14:textId="77777777" w:rsidR="009A58DB" w:rsidRDefault="00000000">
      <w:pPr>
        <w:pStyle w:val="BodyText"/>
        <w:spacing w:before="105"/>
        <w:jc w:val="left"/>
      </w:pPr>
      <w:r>
        <w:t>Commentary:</w:t>
      </w:r>
      <w:r>
        <w:rPr>
          <w:spacing w:val="-7"/>
        </w:rPr>
        <w:t xml:space="preserve"> </w:t>
      </w:r>
      <w:r>
        <w:t>Consider</w:t>
      </w:r>
      <w:r>
        <w:rPr>
          <w:spacing w:val="-5"/>
        </w:rPr>
        <w:t xml:space="preserve"> </w:t>
      </w:r>
      <w:r>
        <w:t>the</w:t>
      </w:r>
      <w:r>
        <w:rPr>
          <w:spacing w:val="-5"/>
        </w:rPr>
        <w:t xml:space="preserve"> </w:t>
      </w:r>
      <w:r>
        <w:t>following</w:t>
      </w:r>
      <w:r>
        <w:rPr>
          <w:spacing w:val="-4"/>
        </w:rPr>
        <w:t xml:space="preserve"> </w:t>
      </w:r>
      <w:r>
        <w:t>argument,</w:t>
      </w:r>
      <w:r>
        <w:rPr>
          <w:spacing w:val="-4"/>
        </w:rPr>
        <w:t xml:space="preserve"> </w:t>
      </w:r>
      <w:r>
        <w:t>which</w:t>
      </w:r>
      <w:r>
        <w:rPr>
          <w:spacing w:val="-5"/>
        </w:rPr>
        <w:t xml:space="preserve"> </w:t>
      </w:r>
      <w:r>
        <w:t>we’ll</w:t>
      </w:r>
      <w:r>
        <w:rPr>
          <w:spacing w:val="-5"/>
        </w:rPr>
        <w:t xml:space="preserve"> </w:t>
      </w:r>
      <w:r>
        <w:t>call</w:t>
      </w:r>
      <w:r>
        <w:rPr>
          <w:spacing w:val="-4"/>
        </w:rPr>
        <w:t xml:space="preserve"> </w:t>
      </w:r>
      <w:r>
        <w:rPr>
          <w:spacing w:val="-2"/>
        </w:rPr>
        <w:t>“SD#”:</w:t>
      </w:r>
    </w:p>
    <w:p w14:paraId="7E0029B5" w14:textId="77777777" w:rsidR="009A58DB" w:rsidRDefault="00000000">
      <w:pPr>
        <w:pStyle w:val="ListParagraph"/>
        <w:numPr>
          <w:ilvl w:val="0"/>
          <w:numId w:val="32"/>
        </w:numPr>
        <w:tabs>
          <w:tab w:val="left" w:pos="782"/>
        </w:tabs>
        <w:spacing w:before="120"/>
        <w:ind w:left="782" w:hanging="422"/>
        <w:rPr>
          <w:sz w:val="30"/>
        </w:rPr>
      </w:pPr>
      <w:r>
        <w:rPr>
          <w:sz w:val="30"/>
        </w:rPr>
        <w:t>Smith</w:t>
      </w:r>
      <w:r>
        <w:rPr>
          <w:spacing w:val="-2"/>
          <w:sz w:val="30"/>
        </w:rPr>
        <w:t xml:space="preserve"> </w:t>
      </w:r>
      <w:r>
        <w:rPr>
          <w:sz w:val="30"/>
        </w:rPr>
        <w:t>is</w:t>
      </w:r>
      <w:r>
        <w:rPr>
          <w:spacing w:val="-3"/>
          <w:sz w:val="30"/>
        </w:rPr>
        <w:t xml:space="preserve"> </w:t>
      </w:r>
      <w:r>
        <w:rPr>
          <w:sz w:val="30"/>
        </w:rPr>
        <w:t>a</w:t>
      </w:r>
      <w:r>
        <w:rPr>
          <w:spacing w:val="-2"/>
          <w:sz w:val="30"/>
        </w:rPr>
        <w:t xml:space="preserve"> </w:t>
      </w:r>
      <w:r>
        <w:rPr>
          <w:spacing w:val="-4"/>
          <w:sz w:val="30"/>
        </w:rPr>
        <w:t>dog.</w:t>
      </w:r>
    </w:p>
    <w:p w14:paraId="7E0029B6" w14:textId="77777777" w:rsidR="009A58DB" w:rsidRDefault="00000000">
      <w:pPr>
        <w:pStyle w:val="ListParagraph"/>
        <w:numPr>
          <w:ilvl w:val="0"/>
          <w:numId w:val="32"/>
        </w:numPr>
        <w:tabs>
          <w:tab w:val="left" w:pos="785"/>
        </w:tabs>
        <w:spacing w:before="15" w:line="249" w:lineRule="auto"/>
        <w:ind w:left="360" w:right="369" w:firstLine="0"/>
        <w:rPr>
          <w:sz w:val="30"/>
        </w:rPr>
      </w:pPr>
      <w:r>
        <w:rPr>
          <w:sz w:val="30"/>
        </w:rPr>
        <w:t>All dogs are mammals. (In other words, if a given thing is a dog, then that thing is a mammal.) Therefore, (3) Smith is a mammal.</w:t>
      </w:r>
    </w:p>
    <w:p w14:paraId="7E0029B7" w14:textId="77777777" w:rsidR="009A58DB" w:rsidRDefault="00000000">
      <w:pPr>
        <w:pStyle w:val="BodyText"/>
        <w:spacing w:before="108" w:line="249" w:lineRule="auto"/>
        <w:ind w:right="365"/>
        <w:jc w:val="left"/>
      </w:pPr>
      <w:r>
        <w:t>SD#</w:t>
      </w:r>
      <w:r>
        <w:rPr>
          <w:spacing w:val="-3"/>
        </w:rPr>
        <w:t xml:space="preserve"> </w:t>
      </w:r>
      <w:r>
        <w:t>is</w:t>
      </w:r>
      <w:r>
        <w:rPr>
          <w:spacing w:val="-4"/>
        </w:rPr>
        <w:t xml:space="preserve"> </w:t>
      </w:r>
      <w:r>
        <w:rPr>
          <w:i/>
        </w:rPr>
        <w:t>not</w:t>
      </w:r>
      <w:r>
        <w:rPr>
          <w:i/>
          <w:spacing w:val="-4"/>
        </w:rPr>
        <w:t xml:space="preserve"> </w:t>
      </w:r>
      <w:r>
        <w:t>an instance of modus ponens. To be an instance of modus ponens, an argument must have the form:</w:t>
      </w:r>
    </w:p>
    <w:p w14:paraId="7E0029B8" w14:textId="77777777" w:rsidR="009A58DB" w:rsidRDefault="00000000">
      <w:pPr>
        <w:pStyle w:val="BodyText"/>
        <w:spacing w:before="92"/>
        <w:jc w:val="left"/>
      </w:pPr>
      <w:r>
        <w:t>(1*)</w:t>
      </w:r>
      <w:r>
        <w:rPr>
          <w:spacing w:val="-2"/>
        </w:rPr>
        <w:t xml:space="preserve"> </w:t>
      </w:r>
      <w:r>
        <w:rPr>
          <w:spacing w:val="-5"/>
        </w:rPr>
        <w:t>P.</w:t>
      </w:r>
    </w:p>
    <w:p w14:paraId="7E0029B9" w14:textId="77777777" w:rsidR="009A58DB" w:rsidRDefault="009A58DB">
      <w:pPr>
        <w:pStyle w:val="BodyText"/>
        <w:jc w:val="left"/>
        <w:sectPr w:rsidR="009A58DB">
          <w:pgSz w:w="12240" w:h="15840"/>
          <w:pgMar w:top="1380" w:right="1080" w:bottom="280" w:left="1080" w:header="720" w:footer="720" w:gutter="0"/>
          <w:cols w:space="720"/>
        </w:sectPr>
      </w:pPr>
    </w:p>
    <w:p w14:paraId="7E0029BA" w14:textId="77777777" w:rsidR="009A58DB" w:rsidRDefault="00000000">
      <w:pPr>
        <w:pStyle w:val="BodyText"/>
        <w:spacing w:before="65" w:line="249" w:lineRule="auto"/>
        <w:ind w:right="6589"/>
      </w:pPr>
      <w:r>
        <w:lastRenderedPageBreak/>
        <w:t xml:space="preserve">(2*) If P then Q. </w:t>
      </w:r>
      <w:r>
        <w:rPr>
          <w:spacing w:val="-2"/>
        </w:rPr>
        <w:t>therefore,</w:t>
      </w:r>
    </w:p>
    <w:p w14:paraId="7E0029BB" w14:textId="77777777" w:rsidR="009A58DB" w:rsidRDefault="00000000">
      <w:pPr>
        <w:pStyle w:val="BodyText"/>
        <w:spacing w:before="2"/>
      </w:pPr>
      <w:r>
        <w:t>(3*)</w:t>
      </w:r>
      <w:r>
        <w:rPr>
          <w:spacing w:val="-2"/>
        </w:rPr>
        <w:t xml:space="preserve"> </w:t>
      </w:r>
      <w:r>
        <w:rPr>
          <w:spacing w:val="-5"/>
        </w:rPr>
        <w:t>Q.</w:t>
      </w:r>
    </w:p>
    <w:p w14:paraId="7E0029BC" w14:textId="77777777" w:rsidR="009A58DB" w:rsidRDefault="00000000">
      <w:pPr>
        <w:pStyle w:val="BodyText"/>
        <w:spacing w:before="120" w:line="249" w:lineRule="auto"/>
        <w:ind w:right="358"/>
      </w:pPr>
      <w:r>
        <w:t xml:space="preserve">Let’s refer to </w:t>
      </w:r>
      <w:r>
        <w:rPr>
          <w:i/>
        </w:rPr>
        <w:t xml:space="preserve">this </w:t>
      </w:r>
      <w:r>
        <w:t>argument form as “AF*.” If, in AF, we replace “P” with “Smith is a dog” and we replace “Q” with “Smith is a mammal,” the result is SD, not SD#. There are no sentences such that, if the sentence-level variables in AF are replaced with those sentences, the result is SD#. Therefore, SD# is not an instance of modus ponens.</w:t>
      </w:r>
    </w:p>
    <w:p w14:paraId="7E0029BD" w14:textId="77777777" w:rsidR="009A58DB" w:rsidRDefault="00000000">
      <w:pPr>
        <w:pStyle w:val="BodyText"/>
        <w:spacing w:before="6" w:line="249" w:lineRule="auto"/>
        <w:ind w:right="369" w:firstLine="360"/>
      </w:pPr>
      <w:r>
        <w:t>SD# is a valid argument. But it isn’t an instance of modus ponens. It’s an instance of the following argument form:</w:t>
      </w:r>
    </w:p>
    <w:p w14:paraId="7E0029BE" w14:textId="77777777" w:rsidR="009A58DB" w:rsidRDefault="00000000">
      <w:pPr>
        <w:pStyle w:val="BodyText"/>
        <w:spacing w:before="93"/>
      </w:pPr>
      <w:r>
        <w:t>(1#)</w:t>
      </w:r>
      <w:r>
        <w:rPr>
          <w:spacing w:val="-3"/>
        </w:rPr>
        <w:t xml:space="preserve"> </w:t>
      </w:r>
      <w:r>
        <w:t>A</w:t>
      </w:r>
      <w:r>
        <w:rPr>
          <w:spacing w:val="-2"/>
        </w:rPr>
        <w:t xml:space="preserve"> </w:t>
      </w:r>
      <w:r>
        <w:t>has</w:t>
      </w:r>
      <w:r>
        <w:rPr>
          <w:spacing w:val="-3"/>
        </w:rPr>
        <w:t xml:space="preserve"> </w:t>
      </w:r>
      <w:r>
        <w:t>property</w:t>
      </w:r>
      <w:r>
        <w:rPr>
          <w:spacing w:val="-1"/>
        </w:rPr>
        <w:t xml:space="preserve"> </w:t>
      </w:r>
      <w:r>
        <w:rPr>
          <w:spacing w:val="-5"/>
        </w:rPr>
        <w:t>P.</w:t>
      </w:r>
    </w:p>
    <w:p w14:paraId="7E0029BF" w14:textId="77777777" w:rsidR="009A58DB" w:rsidRDefault="00000000">
      <w:pPr>
        <w:pStyle w:val="BodyText"/>
        <w:spacing w:before="15" w:line="249" w:lineRule="auto"/>
        <w:ind w:right="4536"/>
      </w:pPr>
      <w:r>
        <w:t>(2#) For any x, if x has P, then x has Q. Therefore, (3#) A has Q.</w:t>
      </w:r>
    </w:p>
    <w:p w14:paraId="7E0029C0" w14:textId="77777777" w:rsidR="009A58DB" w:rsidRDefault="00000000">
      <w:pPr>
        <w:pStyle w:val="BodyText"/>
        <w:spacing w:before="107" w:line="249" w:lineRule="auto"/>
        <w:ind w:right="364" w:firstLine="360"/>
      </w:pPr>
      <w:r>
        <w:t xml:space="preserve">Let’s refer to this argument form as “AF#.” SD# makes a statement </w:t>
      </w:r>
      <w:r>
        <w:rPr>
          <w:i/>
        </w:rPr>
        <w:t xml:space="preserve">about </w:t>
      </w:r>
      <w:r>
        <w:t xml:space="preserve">SD. SD# says that SD is an instance of modus ponens. If S is a statement that says of some argument A that A is an </w:t>
      </w:r>
      <w:r>
        <w:rPr>
          <w:i/>
        </w:rPr>
        <w:t xml:space="preserve">instance </w:t>
      </w:r>
      <w:r>
        <w:t xml:space="preserve">of modus ponens, S is not </w:t>
      </w:r>
      <w:r>
        <w:rPr>
          <w:i/>
        </w:rPr>
        <w:t xml:space="preserve">itself </w:t>
      </w:r>
      <w:r>
        <w:t>an instance of modus ponens. Thus, SD# is not itself an instance of modus ponens.</w:t>
      </w:r>
    </w:p>
    <w:p w14:paraId="7E0029C1" w14:textId="77777777" w:rsidR="009A58DB" w:rsidRDefault="00000000">
      <w:pPr>
        <w:pStyle w:val="ListParagraph"/>
        <w:numPr>
          <w:ilvl w:val="0"/>
          <w:numId w:val="33"/>
        </w:numPr>
        <w:tabs>
          <w:tab w:val="left" w:pos="660"/>
        </w:tabs>
        <w:spacing w:before="111"/>
        <w:ind w:left="660"/>
        <w:rPr>
          <w:sz w:val="30"/>
        </w:rPr>
      </w:pPr>
      <w:r>
        <w:rPr>
          <w:sz w:val="30"/>
        </w:rPr>
        <w:t>(P→Q)</w:t>
      </w:r>
      <w:r>
        <w:rPr>
          <w:spacing w:val="-3"/>
          <w:sz w:val="30"/>
        </w:rPr>
        <w:t xml:space="preserve"> </w:t>
      </w:r>
      <w:r>
        <w:rPr>
          <w:sz w:val="30"/>
        </w:rPr>
        <w:t>and</w:t>
      </w:r>
      <w:r>
        <w:rPr>
          <w:spacing w:val="-2"/>
          <w:sz w:val="30"/>
        </w:rPr>
        <w:t xml:space="preserve"> </w:t>
      </w:r>
      <w:r>
        <w:rPr>
          <w:sz w:val="30"/>
        </w:rPr>
        <w:t>~Q)</w:t>
      </w:r>
      <w:r>
        <w:rPr>
          <w:spacing w:val="-3"/>
          <w:sz w:val="30"/>
        </w:rPr>
        <w:t xml:space="preserve"> </w:t>
      </w:r>
      <w:r>
        <w:rPr>
          <w:sz w:val="30"/>
        </w:rPr>
        <w:t>→~P.</w:t>
      </w:r>
      <w:r>
        <w:rPr>
          <w:spacing w:val="-3"/>
          <w:sz w:val="30"/>
        </w:rPr>
        <w:t xml:space="preserve"> </w:t>
      </w:r>
      <w:r>
        <w:rPr>
          <w:sz w:val="30"/>
        </w:rPr>
        <w:t>(Modus</w:t>
      </w:r>
      <w:r>
        <w:rPr>
          <w:spacing w:val="-2"/>
          <w:sz w:val="30"/>
        </w:rPr>
        <w:t xml:space="preserve"> tollens.)</w:t>
      </w:r>
    </w:p>
    <w:p w14:paraId="7E0029C2" w14:textId="77777777" w:rsidR="009A58DB" w:rsidRDefault="00000000">
      <w:pPr>
        <w:pStyle w:val="BodyText"/>
        <w:spacing w:before="105" w:line="249" w:lineRule="auto"/>
        <w:ind w:right="3292"/>
        <w:jc w:val="left"/>
      </w:pPr>
      <w:r>
        <w:t>Premise:</w:t>
      </w:r>
      <w:r>
        <w:rPr>
          <w:spacing w:val="-5"/>
        </w:rPr>
        <w:t xml:space="preserve"> </w:t>
      </w:r>
      <w:r>
        <w:t>If</w:t>
      </w:r>
      <w:r>
        <w:rPr>
          <w:spacing w:val="-5"/>
        </w:rPr>
        <w:t xml:space="preserve"> </w:t>
      </w:r>
      <w:r>
        <w:t>Smith</w:t>
      </w:r>
      <w:r>
        <w:rPr>
          <w:spacing w:val="-4"/>
        </w:rPr>
        <w:t xml:space="preserve"> </w:t>
      </w:r>
      <w:r>
        <w:t>is</w:t>
      </w:r>
      <w:r>
        <w:rPr>
          <w:spacing w:val="-5"/>
        </w:rPr>
        <w:t xml:space="preserve"> </w:t>
      </w:r>
      <w:r>
        <w:t>a</w:t>
      </w:r>
      <w:r>
        <w:rPr>
          <w:spacing w:val="-5"/>
        </w:rPr>
        <w:t xml:space="preserve"> </w:t>
      </w:r>
      <w:r>
        <w:t>dog,</w:t>
      </w:r>
      <w:r>
        <w:rPr>
          <w:spacing w:val="-4"/>
        </w:rPr>
        <w:t xml:space="preserve"> </w:t>
      </w:r>
      <w:r>
        <w:t>then</w:t>
      </w:r>
      <w:r>
        <w:rPr>
          <w:spacing w:val="-4"/>
        </w:rPr>
        <w:t xml:space="preserve"> </w:t>
      </w:r>
      <w:r>
        <w:t>Smith</w:t>
      </w:r>
      <w:r>
        <w:rPr>
          <w:spacing w:val="-4"/>
        </w:rPr>
        <w:t xml:space="preserve"> </w:t>
      </w:r>
      <w:r>
        <w:t>is</w:t>
      </w:r>
      <w:r>
        <w:rPr>
          <w:spacing w:val="-5"/>
        </w:rPr>
        <w:t xml:space="preserve"> </w:t>
      </w:r>
      <w:r>
        <w:t>a</w:t>
      </w:r>
      <w:r>
        <w:rPr>
          <w:spacing w:val="-5"/>
        </w:rPr>
        <w:t xml:space="preserve"> </w:t>
      </w:r>
      <w:r>
        <w:t>mammal. Premise: Smith isn’t a mammal.</w:t>
      </w:r>
    </w:p>
    <w:p w14:paraId="7E0029C3" w14:textId="77777777" w:rsidR="009A58DB" w:rsidRDefault="00000000">
      <w:pPr>
        <w:pStyle w:val="BodyText"/>
        <w:spacing w:before="3"/>
        <w:jc w:val="left"/>
      </w:pPr>
      <w:r>
        <w:t>Conclusion:</w:t>
      </w:r>
      <w:r>
        <w:rPr>
          <w:spacing w:val="-6"/>
        </w:rPr>
        <w:t xml:space="preserve"> </w:t>
      </w:r>
      <w:r>
        <w:t>Smith</w:t>
      </w:r>
      <w:r>
        <w:rPr>
          <w:spacing w:val="-4"/>
        </w:rPr>
        <w:t xml:space="preserve"> </w:t>
      </w:r>
      <w:r>
        <w:t>isn’t</w:t>
      </w:r>
      <w:r>
        <w:rPr>
          <w:spacing w:val="-4"/>
        </w:rPr>
        <w:t xml:space="preserve"> </w:t>
      </w:r>
      <w:r>
        <w:t>a</w:t>
      </w:r>
      <w:r>
        <w:rPr>
          <w:spacing w:val="-3"/>
        </w:rPr>
        <w:t xml:space="preserve"> </w:t>
      </w:r>
      <w:r>
        <w:rPr>
          <w:spacing w:val="-4"/>
        </w:rPr>
        <w:t>dog.</w:t>
      </w:r>
    </w:p>
    <w:p w14:paraId="7E0029C4" w14:textId="77777777" w:rsidR="009A58DB" w:rsidRDefault="00000000">
      <w:pPr>
        <w:pStyle w:val="ListParagraph"/>
        <w:numPr>
          <w:ilvl w:val="0"/>
          <w:numId w:val="33"/>
        </w:numPr>
        <w:tabs>
          <w:tab w:val="left" w:pos="660"/>
        </w:tabs>
        <w:spacing w:before="120"/>
        <w:ind w:left="660"/>
        <w:rPr>
          <w:sz w:val="30"/>
        </w:rPr>
      </w:pPr>
      <w:r>
        <w:rPr>
          <w:sz w:val="30"/>
        </w:rPr>
        <w:t>(P</w:t>
      </w:r>
      <w:r>
        <w:rPr>
          <w:spacing w:val="-3"/>
          <w:sz w:val="30"/>
        </w:rPr>
        <w:t xml:space="preserve"> </w:t>
      </w:r>
      <w:r>
        <w:rPr>
          <w:sz w:val="30"/>
        </w:rPr>
        <w:t>and</w:t>
      </w:r>
      <w:r>
        <w:rPr>
          <w:spacing w:val="-1"/>
          <w:sz w:val="30"/>
        </w:rPr>
        <w:t xml:space="preserve"> </w:t>
      </w:r>
      <w:r>
        <w:rPr>
          <w:sz w:val="30"/>
        </w:rPr>
        <w:t>~Q)</w:t>
      </w:r>
      <w:r>
        <w:rPr>
          <w:spacing w:val="-2"/>
          <w:sz w:val="30"/>
        </w:rPr>
        <w:t xml:space="preserve"> →~(P→Q)</w:t>
      </w:r>
    </w:p>
    <w:p w14:paraId="7E0029C5" w14:textId="77777777" w:rsidR="009A58DB" w:rsidRDefault="00000000">
      <w:pPr>
        <w:pStyle w:val="BodyText"/>
        <w:spacing w:before="15"/>
      </w:pPr>
      <w:r>
        <w:t>Deduction</w:t>
      </w:r>
      <w:r>
        <w:rPr>
          <w:spacing w:val="-4"/>
        </w:rPr>
        <w:t xml:space="preserve"> </w:t>
      </w:r>
      <w:r>
        <w:t>is</w:t>
      </w:r>
      <w:r>
        <w:rPr>
          <w:spacing w:val="-5"/>
        </w:rPr>
        <w:t xml:space="preserve"> </w:t>
      </w:r>
      <w:r>
        <w:t>truth-preserving.</w:t>
      </w:r>
      <w:r>
        <w:rPr>
          <w:spacing w:val="-4"/>
        </w:rPr>
        <w:t xml:space="preserve"> </w:t>
      </w:r>
      <w:r>
        <w:t>No</w:t>
      </w:r>
      <w:r>
        <w:rPr>
          <w:spacing w:val="-4"/>
        </w:rPr>
        <w:t xml:space="preserve"> </w:t>
      </w:r>
      <w:r>
        <w:t>true</w:t>
      </w:r>
      <w:r>
        <w:rPr>
          <w:spacing w:val="-5"/>
        </w:rPr>
        <w:t xml:space="preserve"> </w:t>
      </w:r>
      <w:r>
        <w:t>statement</w:t>
      </w:r>
      <w:r>
        <w:rPr>
          <w:spacing w:val="-5"/>
        </w:rPr>
        <w:t xml:space="preserve"> </w:t>
      </w:r>
      <w:r>
        <w:t>entails</w:t>
      </w:r>
      <w:r>
        <w:rPr>
          <w:spacing w:val="-5"/>
        </w:rPr>
        <w:t xml:space="preserve"> </w:t>
      </w:r>
      <w:r>
        <w:t>a</w:t>
      </w:r>
      <w:r>
        <w:rPr>
          <w:spacing w:val="-5"/>
        </w:rPr>
        <w:t xml:space="preserve"> </w:t>
      </w:r>
      <w:r>
        <w:t>false</w:t>
      </w:r>
      <w:r>
        <w:rPr>
          <w:spacing w:val="-4"/>
        </w:rPr>
        <w:t xml:space="preserve"> one.</w:t>
      </w:r>
    </w:p>
    <w:p w14:paraId="7E0029C6" w14:textId="77777777" w:rsidR="009A58DB" w:rsidRDefault="00000000">
      <w:pPr>
        <w:pStyle w:val="BodyText"/>
        <w:spacing w:before="120" w:line="249" w:lineRule="auto"/>
        <w:ind w:right="366"/>
      </w:pPr>
      <w:r>
        <w:t xml:space="preserve">Explanation: If P is </w:t>
      </w:r>
      <w:r>
        <w:rPr>
          <w:i/>
        </w:rPr>
        <w:t xml:space="preserve">actually </w:t>
      </w:r>
      <w:r>
        <w:t xml:space="preserve">true and Q is </w:t>
      </w:r>
      <w:r>
        <w:rPr>
          <w:i/>
        </w:rPr>
        <w:t xml:space="preserve">actually </w:t>
      </w:r>
      <w:r>
        <w:t xml:space="preserve">false, there is obviously a </w:t>
      </w:r>
      <w:r>
        <w:rPr>
          <w:i/>
        </w:rPr>
        <w:t>possible</w:t>
      </w:r>
      <w:r>
        <w:rPr>
          <w:i/>
          <w:spacing w:val="-4"/>
        </w:rPr>
        <w:t xml:space="preserve"> </w:t>
      </w:r>
      <w:r>
        <w:t>circumstance where P is true and Q is false. (After all, what is actual must be possible. The impossible isn’t actual.) An immediate consequence is that P doesn’t entail Q.</w:t>
      </w:r>
    </w:p>
    <w:p w14:paraId="7E0029C7" w14:textId="77777777" w:rsidR="009A58DB" w:rsidRDefault="00000000">
      <w:pPr>
        <w:pStyle w:val="ListParagraph"/>
        <w:numPr>
          <w:ilvl w:val="0"/>
          <w:numId w:val="33"/>
        </w:numPr>
        <w:tabs>
          <w:tab w:val="left" w:pos="570"/>
          <w:tab w:val="left" w:pos="712"/>
        </w:tabs>
        <w:spacing w:before="95" w:line="249" w:lineRule="auto"/>
        <w:ind w:left="570" w:right="374" w:hanging="210"/>
        <w:jc w:val="both"/>
        <w:rPr>
          <w:sz w:val="30"/>
        </w:rPr>
      </w:pPr>
      <w:r>
        <w:rPr>
          <w:sz w:val="30"/>
        </w:rPr>
        <w:t>((P→Q) and (Q→R))→(P→R) (If P entails Q and Q entails R, then P entails R.)</w:t>
      </w:r>
    </w:p>
    <w:p w14:paraId="7E0029C8" w14:textId="77777777" w:rsidR="009A58DB" w:rsidRDefault="00000000">
      <w:pPr>
        <w:pStyle w:val="BodyText"/>
        <w:spacing w:before="2" w:line="249" w:lineRule="auto"/>
        <w:ind w:right="362"/>
      </w:pPr>
      <w:r>
        <w:t>Equivalent with: (P→Q)→((Q→R))→(P→R)). (If P entails Q, then P entails R provided that Q entails R.)</w:t>
      </w:r>
    </w:p>
    <w:p w14:paraId="7E0029C9" w14:textId="77777777" w:rsidR="009A58DB" w:rsidRDefault="00000000">
      <w:pPr>
        <w:pStyle w:val="BodyText"/>
        <w:spacing w:before="108"/>
      </w:pPr>
      <w:r>
        <w:t>Entailment</w:t>
      </w:r>
      <w:r>
        <w:rPr>
          <w:spacing w:val="36"/>
        </w:rPr>
        <w:t xml:space="preserve"> </w:t>
      </w:r>
      <w:r>
        <w:t>is</w:t>
      </w:r>
      <w:r>
        <w:rPr>
          <w:spacing w:val="39"/>
        </w:rPr>
        <w:t xml:space="preserve"> </w:t>
      </w:r>
      <w:r>
        <w:t>transitive.</w:t>
      </w:r>
      <w:r>
        <w:rPr>
          <w:spacing w:val="39"/>
        </w:rPr>
        <w:t xml:space="preserve"> </w:t>
      </w:r>
      <w:r>
        <w:t>A</w:t>
      </w:r>
      <w:r>
        <w:rPr>
          <w:spacing w:val="39"/>
        </w:rPr>
        <w:t xml:space="preserve"> </w:t>
      </w:r>
      <w:r>
        <w:t>statement</w:t>
      </w:r>
      <w:r>
        <w:rPr>
          <w:spacing w:val="39"/>
        </w:rPr>
        <w:t xml:space="preserve"> </w:t>
      </w:r>
      <w:r>
        <w:t>entails</w:t>
      </w:r>
      <w:r>
        <w:rPr>
          <w:spacing w:val="39"/>
        </w:rPr>
        <w:t xml:space="preserve"> </w:t>
      </w:r>
      <w:r>
        <w:t>anything</w:t>
      </w:r>
      <w:r>
        <w:rPr>
          <w:spacing w:val="39"/>
        </w:rPr>
        <w:t xml:space="preserve"> </w:t>
      </w:r>
      <w:r>
        <w:t>that</w:t>
      </w:r>
      <w:r>
        <w:rPr>
          <w:spacing w:val="39"/>
        </w:rPr>
        <w:t xml:space="preserve"> </w:t>
      </w:r>
      <w:r>
        <w:t>its</w:t>
      </w:r>
      <w:r>
        <w:rPr>
          <w:spacing w:val="40"/>
        </w:rPr>
        <w:t xml:space="preserve"> </w:t>
      </w:r>
      <w:r>
        <w:rPr>
          <w:spacing w:val="-2"/>
        </w:rPr>
        <w:t>consequences</w:t>
      </w:r>
    </w:p>
    <w:p w14:paraId="7E0029CA" w14:textId="77777777" w:rsidR="009A58DB" w:rsidRDefault="009A58DB">
      <w:pPr>
        <w:pStyle w:val="BodyText"/>
        <w:sectPr w:rsidR="009A58DB">
          <w:pgSz w:w="12240" w:h="15840"/>
          <w:pgMar w:top="1380" w:right="1080" w:bottom="280" w:left="1080" w:header="720" w:footer="720" w:gutter="0"/>
          <w:cols w:space="720"/>
        </w:sectPr>
      </w:pPr>
    </w:p>
    <w:p w14:paraId="7E0029CB" w14:textId="77777777" w:rsidR="009A58DB" w:rsidRDefault="00000000">
      <w:pPr>
        <w:pStyle w:val="BodyText"/>
        <w:spacing w:before="66"/>
        <w:jc w:val="left"/>
      </w:pPr>
      <w:r>
        <w:lastRenderedPageBreak/>
        <w:t>entail.</w:t>
      </w:r>
      <w:r>
        <w:rPr>
          <w:spacing w:val="-3"/>
        </w:rPr>
        <w:t xml:space="preserve"> </w:t>
      </w:r>
      <w:r>
        <w:t>This</w:t>
      </w:r>
      <w:r>
        <w:rPr>
          <w:spacing w:val="-4"/>
        </w:rPr>
        <w:t xml:space="preserve"> </w:t>
      </w:r>
      <w:r>
        <w:t>is</w:t>
      </w:r>
      <w:r>
        <w:rPr>
          <w:spacing w:val="-4"/>
        </w:rPr>
        <w:t xml:space="preserve"> </w:t>
      </w:r>
      <w:r>
        <w:t>a</w:t>
      </w:r>
      <w:r>
        <w:rPr>
          <w:spacing w:val="-4"/>
        </w:rPr>
        <w:t xml:space="preserve"> </w:t>
      </w:r>
      <w:r>
        <w:t>corollary</w:t>
      </w:r>
      <w:r>
        <w:rPr>
          <w:spacing w:val="-3"/>
        </w:rPr>
        <w:t xml:space="preserve"> </w:t>
      </w:r>
      <w:r>
        <w:t>of</w:t>
      </w:r>
      <w:r>
        <w:rPr>
          <w:spacing w:val="-4"/>
        </w:rPr>
        <w:t xml:space="preserve"> </w:t>
      </w:r>
      <w:r>
        <w:t>Principle</w:t>
      </w:r>
      <w:r>
        <w:rPr>
          <w:spacing w:val="-3"/>
        </w:rPr>
        <w:t xml:space="preserve"> </w:t>
      </w:r>
      <w:r>
        <w:rPr>
          <w:spacing w:val="-4"/>
        </w:rPr>
        <w:t>(7).</w:t>
      </w:r>
    </w:p>
    <w:p w14:paraId="7E0029CC" w14:textId="77777777" w:rsidR="009A58DB" w:rsidRDefault="00000000">
      <w:pPr>
        <w:pStyle w:val="ListParagraph"/>
        <w:numPr>
          <w:ilvl w:val="0"/>
          <w:numId w:val="33"/>
        </w:numPr>
        <w:tabs>
          <w:tab w:val="left" w:pos="660"/>
        </w:tabs>
        <w:spacing w:before="119" w:line="312" w:lineRule="auto"/>
        <w:ind w:left="360" w:right="4712" w:firstLine="0"/>
        <w:rPr>
          <w:sz w:val="30"/>
        </w:rPr>
      </w:pPr>
      <w:r>
        <w:rPr>
          <w:sz w:val="30"/>
        </w:rPr>
        <w:t>P→~~P.</w:t>
      </w:r>
      <w:r>
        <w:rPr>
          <w:spacing w:val="-10"/>
          <w:sz w:val="30"/>
        </w:rPr>
        <w:t xml:space="preserve"> </w:t>
      </w:r>
      <w:r>
        <w:rPr>
          <w:sz w:val="30"/>
        </w:rPr>
        <w:t>(The</w:t>
      </w:r>
      <w:r>
        <w:rPr>
          <w:spacing w:val="-11"/>
          <w:sz w:val="30"/>
        </w:rPr>
        <w:t xml:space="preserve"> </w:t>
      </w:r>
      <w:r>
        <w:rPr>
          <w:i/>
          <w:sz w:val="30"/>
        </w:rPr>
        <w:t>law</w:t>
      </w:r>
      <w:r>
        <w:rPr>
          <w:i/>
          <w:spacing w:val="-11"/>
          <w:sz w:val="30"/>
        </w:rPr>
        <w:t xml:space="preserve"> </w:t>
      </w:r>
      <w:r>
        <w:rPr>
          <w:i/>
          <w:sz w:val="30"/>
        </w:rPr>
        <w:t>of</w:t>
      </w:r>
      <w:r>
        <w:rPr>
          <w:i/>
          <w:spacing w:val="-11"/>
          <w:sz w:val="30"/>
        </w:rPr>
        <w:t xml:space="preserve"> </w:t>
      </w:r>
      <w:r>
        <w:rPr>
          <w:i/>
          <w:sz w:val="30"/>
        </w:rPr>
        <w:t>double-negation.</w:t>
      </w:r>
      <w:r>
        <w:rPr>
          <w:sz w:val="30"/>
        </w:rPr>
        <w:t>) Premise: Smith is a professor.</w:t>
      </w:r>
    </w:p>
    <w:p w14:paraId="7E0029CD" w14:textId="77777777" w:rsidR="009A58DB" w:rsidRDefault="00000000">
      <w:pPr>
        <w:pStyle w:val="BodyText"/>
        <w:spacing w:before="18"/>
        <w:jc w:val="left"/>
      </w:pPr>
      <w:r>
        <w:t>Conclusion:</w:t>
      </w:r>
      <w:r>
        <w:rPr>
          <w:spacing w:val="-5"/>
        </w:rPr>
        <w:t xml:space="preserve"> </w:t>
      </w:r>
      <w:r>
        <w:t>It’s</w:t>
      </w:r>
      <w:r>
        <w:rPr>
          <w:spacing w:val="-3"/>
        </w:rPr>
        <w:t xml:space="preserve"> </w:t>
      </w:r>
      <w:r>
        <w:t>not</w:t>
      </w:r>
      <w:r>
        <w:rPr>
          <w:spacing w:val="-3"/>
        </w:rPr>
        <w:t xml:space="preserve"> </w:t>
      </w:r>
      <w:r>
        <w:t>the</w:t>
      </w:r>
      <w:r>
        <w:rPr>
          <w:spacing w:val="-3"/>
        </w:rPr>
        <w:t xml:space="preserve"> </w:t>
      </w:r>
      <w:r>
        <w:t>case</w:t>
      </w:r>
      <w:r>
        <w:rPr>
          <w:spacing w:val="-3"/>
        </w:rPr>
        <w:t xml:space="preserve"> </w:t>
      </w:r>
      <w:r>
        <w:t>that</w:t>
      </w:r>
      <w:r>
        <w:rPr>
          <w:spacing w:val="-3"/>
        </w:rPr>
        <w:t xml:space="preserve"> </w:t>
      </w:r>
      <w:r>
        <w:t>Smith</w:t>
      </w:r>
      <w:r>
        <w:rPr>
          <w:spacing w:val="-2"/>
        </w:rPr>
        <w:t xml:space="preserve"> </w:t>
      </w:r>
      <w:r>
        <w:t>is</w:t>
      </w:r>
      <w:r>
        <w:rPr>
          <w:spacing w:val="-3"/>
        </w:rPr>
        <w:t xml:space="preserve"> </w:t>
      </w:r>
      <w:r>
        <w:t>not</w:t>
      </w:r>
      <w:r>
        <w:rPr>
          <w:spacing w:val="-3"/>
        </w:rPr>
        <w:t xml:space="preserve"> </w:t>
      </w:r>
      <w:r>
        <w:t>a</w:t>
      </w:r>
      <w:r>
        <w:rPr>
          <w:spacing w:val="-2"/>
        </w:rPr>
        <w:t xml:space="preserve"> professor.</w:t>
      </w:r>
    </w:p>
    <w:p w14:paraId="7E0029CE" w14:textId="77777777" w:rsidR="009A58DB" w:rsidRDefault="00000000">
      <w:pPr>
        <w:pStyle w:val="ListParagraph"/>
        <w:numPr>
          <w:ilvl w:val="0"/>
          <w:numId w:val="33"/>
        </w:numPr>
        <w:tabs>
          <w:tab w:val="left" w:pos="810"/>
        </w:tabs>
        <w:spacing w:before="120"/>
        <w:ind w:left="810" w:hanging="450"/>
        <w:rPr>
          <w:sz w:val="30"/>
        </w:rPr>
      </w:pPr>
      <w:r>
        <w:rPr>
          <w:sz w:val="30"/>
        </w:rPr>
        <w:t>P→(P</w:t>
      </w:r>
      <w:r>
        <w:rPr>
          <w:spacing w:val="-2"/>
          <w:sz w:val="30"/>
        </w:rPr>
        <w:t xml:space="preserve"> </w:t>
      </w:r>
      <w:r>
        <w:rPr>
          <w:sz w:val="30"/>
        </w:rPr>
        <w:t>or</w:t>
      </w:r>
      <w:r>
        <w:rPr>
          <w:spacing w:val="-2"/>
          <w:sz w:val="30"/>
        </w:rPr>
        <w:t xml:space="preserve"> </w:t>
      </w:r>
      <w:r>
        <w:rPr>
          <w:spacing w:val="-5"/>
          <w:sz w:val="30"/>
        </w:rPr>
        <w:t>Q).</w:t>
      </w:r>
    </w:p>
    <w:p w14:paraId="7E0029CF" w14:textId="77777777" w:rsidR="009A58DB" w:rsidRDefault="00000000">
      <w:pPr>
        <w:pStyle w:val="BodyText"/>
        <w:spacing w:before="15"/>
        <w:jc w:val="left"/>
      </w:pPr>
      <w:r>
        <w:t>No</w:t>
      </w:r>
      <w:r>
        <w:rPr>
          <w:spacing w:val="-5"/>
        </w:rPr>
        <w:t xml:space="preserve"> </w:t>
      </w:r>
      <w:r>
        <w:t>false</w:t>
      </w:r>
      <w:r>
        <w:rPr>
          <w:spacing w:val="-4"/>
        </w:rPr>
        <w:t xml:space="preserve"> </w:t>
      </w:r>
      <w:r>
        <w:t>disjunction</w:t>
      </w:r>
      <w:r>
        <w:rPr>
          <w:spacing w:val="-3"/>
        </w:rPr>
        <w:t xml:space="preserve"> </w:t>
      </w:r>
      <w:r>
        <w:t>contains</w:t>
      </w:r>
      <w:r>
        <w:rPr>
          <w:spacing w:val="-4"/>
        </w:rPr>
        <w:t xml:space="preserve"> </w:t>
      </w:r>
      <w:r>
        <w:t>a</w:t>
      </w:r>
      <w:r>
        <w:rPr>
          <w:spacing w:val="-4"/>
        </w:rPr>
        <w:t xml:space="preserve"> </w:t>
      </w:r>
      <w:r>
        <w:t>true</w:t>
      </w:r>
      <w:r>
        <w:rPr>
          <w:spacing w:val="-3"/>
        </w:rPr>
        <w:t xml:space="preserve"> </w:t>
      </w:r>
      <w:r>
        <w:rPr>
          <w:spacing w:val="-2"/>
        </w:rPr>
        <w:t>disjunct.</w:t>
      </w:r>
    </w:p>
    <w:p w14:paraId="7E0029D0" w14:textId="77777777" w:rsidR="009A58DB" w:rsidRDefault="00000000">
      <w:pPr>
        <w:pStyle w:val="ListParagraph"/>
        <w:numPr>
          <w:ilvl w:val="0"/>
          <w:numId w:val="33"/>
        </w:numPr>
        <w:tabs>
          <w:tab w:val="left" w:pos="810"/>
        </w:tabs>
        <w:spacing w:before="105"/>
        <w:ind w:left="810" w:hanging="450"/>
        <w:rPr>
          <w:sz w:val="30"/>
        </w:rPr>
      </w:pPr>
      <w:r>
        <w:rPr>
          <w:sz w:val="30"/>
        </w:rPr>
        <w:t>~(P</w:t>
      </w:r>
      <w:r>
        <w:rPr>
          <w:spacing w:val="-3"/>
          <w:sz w:val="30"/>
        </w:rPr>
        <w:t xml:space="preserve"> </w:t>
      </w:r>
      <w:r>
        <w:rPr>
          <w:sz w:val="30"/>
        </w:rPr>
        <w:t>or</w:t>
      </w:r>
      <w:r>
        <w:rPr>
          <w:spacing w:val="-3"/>
          <w:sz w:val="30"/>
        </w:rPr>
        <w:t xml:space="preserve"> </w:t>
      </w:r>
      <w:r>
        <w:rPr>
          <w:sz w:val="30"/>
        </w:rPr>
        <w:t>Q)↔(~P</w:t>
      </w:r>
      <w:r>
        <w:rPr>
          <w:spacing w:val="-3"/>
          <w:sz w:val="30"/>
        </w:rPr>
        <w:t xml:space="preserve"> </w:t>
      </w:r>
      <w:r>
        <w:rPr>
          <w:sz w:val="30"/>
        </w:rPr>
        <w:t>and</w:t>
      </w:r>
      <w:r>
        <w:rPr>
          <w:spacing w:val="-1"/>
          <w:sz w:val="30"/>
        </w:rPr>
        <w:t xml:space="preserve"> </w:t>
      </w:r>
      <w:r>
        <w:rPr>
          <w:spacing w:val="-4"/>
          <w:sz w:val="30"/>
        </w:rPr>
        <w:t>~Q).</w:t>
      </w:r>
    </w:p>
    <w:p w14:paraId="7E0029D1" w14:textId="77777777" w:rsidR="009A58DB" w:rsidRDefault="00000000">
      <w:pPr>
        <w:pStyle w:val="BodyText"/>
        <w:spacing w:before="15"/>
        <w:jc w:val="left"/>
      </w:pPr>
      <w:r>
        <w:t>A</w:t>
      </w:r>
      <w:r>
        <w:rPr>
          <w:spacing w:val="-6"/>
        </w:rPr>
        <w:t xml:space="preserve"> </w:t>
      </w:r>
      <w:r>
        <w:t>disjunction</w:t>
      </w:r>
      <w:r>
        <w:rPr>
          <w:spacing w:val="-2"/>
        </w:rPr>
        <w:t xml:space="preserve"> </w:t>
      </w:r>
      <w:r>
        <w:t>is</w:t>
      </w:r>
      <w:r>
        <w:rPr>
          <w:spacing w:val="-4"/>
        </w:rPr>
        <w:t xml:space="preserve"> </w:t>
      </w:r>
      <w:r>
        <w:t>false</w:t>
      </w:r>
      <w:r>
        <w:rPr>
          <w:spacing w:val="-3"/>
        </w:rPr>
        <w:t xml:space="preserve"> </w:t>
      </w:r>
      <w:r>
        <w:t>iff</w:t>
      </w:r>
      <w:r>
        <w:rPr>
          <w:spacing w:val="-4"/>
        </w:rPr>
        <w:t xml:space="preserve"> </w:t>
      </w:r>
      <w:r>
        <w:t>all</w:t>
      </w:r>
      <w:r>
        <w:rPr>
          <w:spacing w:val="-3"/>
        </w:rPr>
        <w:t xml:space="preserve"> </w:t>
      </w:r>
      <w:r>
        <w:t>of</w:t>
      </w:r>
      <w:r>
        <w:rPr>
          <w:spacing w:val="-3"/>
        </w:rPr>
        <w:t xml:space="preserve"> </w:t>
      </w:r>
      <w:r>
        <w:t>its</w:t>
      </w:r>
      <w:r>
        <w:rPr>
          <w:spacing w:val="-4"/>
        </w:rPr>
        <w:t xml:space="preserve"> </w:t>
      </w:r>
      <w:r>
        <w:t>disjuncts</w:t>
      </w:r>
      <w:r>
        <w:rPr>
          <w:spacing w:val="-3"/>
        </w:rPr>
        <w:t xml:space="preserve"> </w:t>
      </w:r>
      <w:r>
        <w:t>are</w:t>
      </w:r>
      <w:r>
        <w:rPr>
          <w:spacing w:val="-3"/>
        </w:rPr>
        <w:t xml:space="preserve"> </w:t>
      </w:r>
      <w:r>
        <w:rPr>
          <w:spacing w:val="-2"/>
        </w:rPr>
        <w:t>false.</w:t>
      </w:r>
    </w:p>
    <w:p w14:paraId="7E0029D2" w14:textId="77777777" w:rsidR="009A58DB" w:rsidRDefault="00000000">
      <w:pPr>
        <w:pStyle w:val="BodyText"/>
        <w:spacing w:before="120"/>
        <w:jc w:val="left"/>
      </w:pPr>
      <w:r>
        <w:t>Exercise:</w:t>
      </w:r>
      <w:r>
        <w:rPr>
          <w:spacing w:val="-7"/>
        </w:rPr>
        <w:t xml:space="preserve"> </w:t>
      </w:r>
      <w:r>
        <w:t>Are</w:t>
      </w:r>
      <w:r>
        <w:rPr>
          <w:spacing w:val="-4"/>
        </w:rPr>
        <w:t xml:space="preserve"> </w:t>
      </w:r>
      <w:r>
        <w:t>principles</w:t>
      </w:r>
      <w:r>
        <w:rPr>
          <w:spacing w:val="-4"/>
        </w:rPr>
        <w:t xml:space="preserve"> </w:t>
      </w:r>
      <w:r>
        <w:t>(10)</w:t>
      </w:r>
      <w:r>
        <w:rPr>
          <w:spacing w:val="-4"/>
        </w:rPr>
        <w:t xml:space="preserve"> </w:t>
      </w:r>
      <w:r>
        <w:t>and</w:t>
      </w:r>
      <w:r>
        <w:rPr>
          <w:spacing w:val="-3"/>
        </w:rPr>
        <w:t xml:space="preserve"> </w:t>
      </w:r>
      <w:r>
        <w:t>(11)</w:t>
      </w:r>
      <w:r>
        <w:rPr>
          <w:spacing w:val="-4"/>
        </w:rPr>
        <w:t xml:space="preserve"> </w:t>
      </w:r>
      <w:r>
        <w:t>equivalent?</w:t>
      </w:r>
      <w:r>
        <w:rPr>
          <w:spacing w:val="-4"/>
        </w:rPr>
        <w:t xml:space="preserve"> </w:t>
      </w:r>
      <w:r>
        <w:t>Defend</w:t>
      </w:r>
      <w:r>
        <w:rPr>
          <w:spacing w:val="-3"/>
        </w:rPr>
        <w:t xml:space="preserve"> </w:t>
      </w:r>
      <w:r>
        <w:t>your</w:t>
      </w:r>
      <w:r>
        <w:rPr>
          <w:spacing w:val="-4"/>
        </w:rPr>
        <w:t xml:space="preserve"> </w:t>
      </w:r>
      <w:r>
        <w:rPr>
          <w:spacing w:val="-2"/>
        </w:rPr>
        <w:t>answer.</w:t>
      </w:r>
    </w:p>
    <w:p w14:paraId="7E0029D3" w14:textId="77777777" w:rsidR="009A58DB" w:rsidRDefault="00000000">
      <w:pPr>
        <w:pStyle w:val="BodyText"/>
        <w:spacing w:before="15" w:line="249" w:lineRule="auto"/>
        <w:ind w:right="359" w:firstLine="360"/>
        <w:rPr>
          <w:i/>
        </w:rPr>
      </w:pPr>
      <w:r>
        <w:t xml:space="preserve">Note: there is a trivial sense in which any two (correct) logical principles are equivalent. A logical principle is, by definition, one that holds in all possible worlds. Since any two logical principles hold in all possible worlds, they are all equivalent. (That is, they are all </w:t>
      </w:r>
      <w:r>
        <w:rPr>
          <w:b/>
          <w:i/>
        </w:rPr>
        <w:t xml:space="preserve">model-theoretically </w:t>
      </w:r>
      <w:r>
        <w:t xml:space="preserve">equivalent.) But in this context, interpret the term “equivalent” more narrowly. Two sentences are “equivalent,” as we’ll be using this word in this particular context, if they say the same thing, the only differences between them being grammatical. (A good test of whether two statements are equivalent in this narrower sense is whether, given some natural language L (e.g., French, Arabic, Finnish), there is some sentence S of L that is clearly the translation of the one </w:t>
      </w:r>
      <w:r>
        <w:rPr>
          <w:i/>
        </w:rPr>
        <w:t>but not the other.</w:t>
      </w:r>
    </w:p>
    <w:p w14:paraId="7E0029D4" w14:textId="77777777" w:rsidR="009A58DB" w:rsidRDefault="00000000">
      <w:pPr>
        <w:pStyle w:val="ListParagraph"/>
        <w:numPr>
          <w:ilvl w:val="0"/>
          <w:numId w:val="33"/>
        </w:numPr>
        <w:tabs>
          <w:tab w:val="left" w:pos="810"/>
        </w:tabs>
        <w:spacing w:before="118"/>
        <w:ind w:left="810" w:hanging="450"/>
        <w:rPr>
          <w:sz w:val="30"/>
        </w:rPr>
      </w:pPr>
      <w:r>
        <w:rPr>
          <w:sz w:val="30"/>
        </w:rPr>
        <w:t>~P→~(P</w:t>
      </w:r>
      <w:r>
        <w:rPr>
          <w:spacing w:val="-4"/>
          <w:sz w:val="30"/>
        </w:rPr>
        <w:t xml:space="preserve"> </w:t>
      </w:r>
      <w:r>
        <w:rPr>
          <w:sz w:val="30"/>
        </w:rPr>
        <w:t>and</w:t>
      </w:r>
      <w:r>
        <w:rPr>
          <w:spacing w:val="-2"/>
          <w:sz w:val="30"/>
        </w:rPr>
        <w:t xml:space="preserve"> </w:t>
      </w:r>
      <w:r>
        <w:rPr>
          <w:spacing w:val="-5"/>
          <w:sz w:val="30"/>
        </w:rPr>
        <w:t>Q).</w:t>
      </w:r>
    </w:p>
    <w:p w14:paraId="7E0029D5" w14:textId="77777777" w:rsidR="009A58DB" w:rsidRDefault="00000000">
      <w:pPr>
        <w:pStyle w:val="BodyText"/>
        <w:spacing w:before="15"/>
        <w:jc w:val="left"/>
      </w:pPr>
      <w:r>
        <w:t>No</w:t>
      </w:r>
      <w:r>
        <w:rPr>
          <w:spacing w:val="-3"/>
        </w:rPr>
        <w:t xml:space="preserve"> </w:t>
      </w:r>
      <w:r>
        <w:t>true</w:t>
      </w:r>
      <w:r>
        <w:rPr>
          <w:spacing w:val="-4"/>
        </w:rPr>
        <w:t xml:space="preserve"> </w:t>
      </w:r>
      <w:r>
        <w:t>conjunction</w:t>
      </w:r>
      <w:r>
        <w:rPr>
          <w:spacing w:val="-3"/>
        </w:rPr>
        <w:t xml:space="preserve"> </w:t>
      </w:r>
      <w:r>
        <w:t>contains</w:t>
      </w:r>
      <w:r>
        <w:rPr>
          <w:spacing w:val="-3"/>
        </w:rPr>
        <w:t xml:space="preserve"> </w:t>
      </w:r>
      <w:r>
        <w:t>a</w:t>
      </w:r>
      <w:r>
        <w:rPr>
          <w:spacing w:val="-4"/>
        </w:rPr>
        <w:t xml:space="preserve"> </w:t>
      </w:r>
      <w:r>
        <w:t>false</w:t>
      </w:r>
      <w:r>
        <w:rPr>
          <w:spacing w:val="-3"/>
        </w:rPr>
        <w:t xml:space="preserve"> </w:t>
      </w:r>
      <w:r>
        <w:rPr>
          <w:spacing w:val="-2"/>
        </w:rPr>
        <w:t>conjunct.</w:t>
      </w:r>
    </w:p>
    <w:p w14:paraId="7E0029D6" w14:textId="77777777" w:rsidR="009A58DB" w:rsidRDefault="00000000">
      <w:pPr>
        <w:pStyle w:val="ListParagraph"/>
        <w:numPr>
          <w:ilvl w:val="0"/>
          <w:numId w:val="33"/>
        </w:numPr>
        <w:tabs>
          <w:tab w:val="left" w:pos="810"/>
        </w:tabs>
        <w:spacing w:before="105"/>
        <w:ind w:left="810" w:hanging="450"/>
        <w:rPr>
          <w:sz w:val="30"/>
        </w:rPr>
      </w:pPr>
      <w:r>
        <w:rPr>
          <w:sz w:val="30"/>
        </w:rPr>
        <w:t>~(P</w:t>
      </w:r>
      <w:r>
        <w:rPr>
          <w:spacing w:val="-3"/>
          <w:sz w:val="30"/>
        </w:rPr>
        <w:t xml:space="preserve"> </w:t>
      </w:r>
      <w:r>
        <w:rPr>
          <w:sz w:val="30"/>
        </w:rPr>
        <w:t>and</w:t>
      </w:r>
      <w:r>
        <w:rPr>
          <w:spacing w:val="-2"/>
          <w:sz w:val="30"/>
        </w:rPr>
        <w:t xml:space="preserve"> </w:t>
      </w:r>
      <w:r>
        <w:rPr>
          <w:sz w:val="30"/>
        </w:rPr>
        <w:t>Q)↔(~P</w:t>
      </w:r>
      <w:r>
        <w:rPr>
          <w:spacing w:val="-3"/>
          <w:sz w:val="30"/>
        </w:rPr>
        <w:t xml:space="preserve"> </w:t>
      </w:r>
      <w:r>
        <w:rPr>
          <w:sz w:val="30"/>
        </w:rPr>
        <w:t>or</w:t>
      </w:r>
      <w:r>
        <w:rPr>
          <w:spacing w:val="-2"/>
          <w:sz w:val="30"/>
        </w:rPr>
        <w:t xml:space="preserve"> </w:t>
      </w:r>
      <w:r>
        <w:rPr>
          <w:spacing w:val="-4"/>
          <w:sz w:val="30"/>
        </w:rPr>
        <w:t>~Q).</w:t>
      </w:r>
    </w:p>
    <w:p w14:paraId="7E0029D7" w14:textId="77777777" w:rsidR="009A58DB" w:rsidRDefault="00000000">
      <w:pPr>
        <w:pStyle w:val="BodyText"/>
        <w:spacing w:before="16"/>
      </w:pPr>
      <w:r>
        <w:t>A</w:t>
      </w:r>
      <w:r>
        <w:rPr>
          <w:spacing w:val="-5"/>
        </w:rPr>
        <w:t xml:space="preserve"> </w:t>
      </w:r>
      <w:r>
        <w:t>conjunction</w:t>
      </w:r>
      <w:r>
        <w:rPr>
          <w:spacing w:val="-3"/>
        </w:rPr>
        <w:t xml:space="preserve"> </w:t>
      </w:r>
      <w:r>
        <w:t>is</w:t>
      </w:r>
      <w:r>
        <w:rPr>
          <w:spacing w:val="-3"/>
        </w:rPr>
        <w:t xml:space="preserve"> </w:t>
      </w:r>
      <w:r>
        <w:t>false</w:t>
      </w:r>
      <w:r>
        <w:rPr>
          <w:spacing w:val="-3"/>
        </w:rPr>
        <w:t xml:space="preserve"> </w:t>
      </w:r>
      <w:r>
        <w:t>iff</w:t>
      </w:r>
      <w:r>
        <w:rPr>
          <w:spacing w:val="-3"/>
        </w:rPr>
        <w:t xml:space="preserve"> </w:t>
      </w:r>
      <w:r>
        <w:t>at</w:t>
      </w:r>
      <w:r>
        <w:rPr>
          <w:spacing w:val="-3"/>
        </w:rPr>
        <w:t xml:space="preserve"> </w:t>
      </w:r>
      <w:r>
        <w:t>least</w:t>
      </w:r>
      <w:r>
        <w:rPr>
          <w:spacing w:val="-3"/>
        </w:rPr>
        <w:t xml:space="preserve"> </w:t>
      </w:r>
      <w:r>
        <w:t>one</w:t>
      </w:r>
      <w:r>
        <w:rPr>
          <w:spacing w:val="-2"/>
        </w:rPr>
        <w:t xml:space="preserve"> </w:t>
      </w:r>
      <w:r>
        <w:t>of</w:t>
      </w:r>
      <w:r>
        <w:rPr>
          <w:spacing w:val="-3"/>
        </w:rPr>
        <w:t xml:space="preserve"> </w:t>
      </w:r>
      <w:r>
        <w:t>its</w:t>
      </w:r>
      <w:r>
        <w:rPr>
          <w:spacing w:val="-3"/>
        </w:rPr>
        <w:t xml:space="preserve"> </w:t>
      </w:r>
      <w:r>
        <w:t>conjuncts</w:t>
      </w:r>
      <w:r>
        <w:rPr>
          <w:spacing w:val="-3"/>
        </w:rPr>
        <w:t xml:space="preserve"> </w:t>
      </w:r>
      <w:r>
        <w:t>is</w:t>
      </w:r>
      <w:r>
        <w:rPr>
          <w:spacing w:val="-3"/>
        </w:rPr>
        <w:t xml:space="preserve"> </w:t>
      </w:r>
      <w:r>
        <w:rPr>
          <w:spacing w:val="-2"/>
        </w:rPr>
        <w:t>false.</w:t>
      </w:r>
    </w:p>
    <w:p w14:paraId="7E0029D8" w14:textId="77777777" w:rsidR="009A58DB" w:rsidRDefault="00000000">
      <w:pPr>
        <w:pStyle w:val="BodyText"/>
        <w:spacing w:before="120" w:line="249" w:lineRule="auto"/>
        <w:ind w:right="360"/>
      </w:pPr>
      <w:r>
        <w:t>Exercise: Are principles (12) and (13) equivalent. Defend your answer. (Remember what we said a moment about what the word “equivalent” is to mean in this section.)</w:t>
      </w:r>
    </w:p>
    <w:p w14:paraId="7E0029D9" w14:textId="77777777" w:rsidR="009A58DB" w:rsidRDefault="00000000">
      <w:pPr>
        <w:pStyle w:val="ListParagraph"/>
        <w:numPr>
          <w:ilvl w:val="0"/>
          <w:numId w:val="33"/>
        </w:numPr>
        <w:tabs>
          <w:tab w:val="left" w:pos="810"/>
        </w:tabs>
        <w:spacing w:before="108"/>
        <w:ind w:left="810" w:hanging="450"/>
        <w:jc w:val="both"/>
        <w:rPr>
          <w:sz w:val="30"/>
        </w:rPr>
      </w:pPr>
      <w:r>
        <w:rPr>
          <w:sz w:val="30"/>
        </w:rPr>
        <w:t>((P</w:t>
      </w:r>
      <w:r>
        <w:rPr>
          <w:spacing w:val="-2"/>
          <w:sz w:val="30"/>
        </w:rPr>
        <w:t xml:space="preserve"> </w:t>
      </w:r>
      <w:r>
        <w:rPr>
          <w:sz w:val="30"/>
        </w:rPr>
        <w:t>or</w:t>
      </w:r>
      <w:r>
        <w:rPr>
          <w:spacing w:val="-2"/>
          <w:sz w:val="30"/>
        </w:rPr>
        <w:t xml:space="preserve"> </w:t>
      </w:r>
      <w:r>
        <w:rPr>
          <w:sz w:val="30"/>
        </w:rPr>
        <w:t>Q)</w:t>
      </w:r>
      <w:r>
        <w:rPr>
          <w:spacing w:val="-2"/>
          <w:sz w:val="30"/>
        </w:rPr>
        <w:t xml:space="preserve"> </w:t>
      </w:r>
      <w:r>
        <w:rPr>
          <w:sz w:val="30"/>
        </w:rPr>
        <w:t>and</w:t>
      </w:r>
      <w:r>
        <w:rPr>
          <w:spacing w:val="-1"/>
          <w:sz w:val="30"/>
        </w:rPr>
        <w:t xml:space="preserve"> </w:t>
      </w:r>
      <w:r>
        <w:rPr>
          <w:spacing w:val="-4"/>
          <w:sz w:val="30"/>
        </w:rPr>
        <w:t>~P)→Q</w:t>
      </w:r>
    </w:p>
    <w:p w14:paraId="7E0029DA" w14:textId="77777777" w:rsidR="009A58DB" w:rsidRDefault="00000000">
      <w:pPr>
        <w:pStyle w:val="BodyText"/>
        <w:spacing w:before="15" w:line="249" w:lineRule="auto"/>
        <w:ind w:right="4416"/>
        <w:jc w:val="left"/>
      </w:pPr>
      <w:r>
        <w:t>Either Jones is a plant or Smith is in the house. Jones isn’t a plant.</w:t>
      </w:r>
    </w:p>
    <w:p w14:paraId="7E0029DB" w14:textId="77777777" w:rsidR="009A58DB" w:rsidRDefault="00000000">
      <w:pPr>
        <w:pStyle w:val="BodyText"/>
        <w:spacing w:before="3"/>
        <w:jc w:val="left"/>
      </w:pPr>
      <w:r>
        <w:t>Therefore</w:t>
      </w:r>
      <w:r>
        <w:rPr>
          <w:spacing w:val="-4"/>
        </w:rPr>
        <w:t xml:space="preserve"> </w:t>
      </w:r>
      <w:r>
        <w:t>Smith</w:t>
      </w:r>
      <w:r>
        <w:rPr>
          <w:spacing w:val="-3"/>
        </w:rPr>
        <w:t xml:space="preserve"> </w:t>
      </w:r>
      <w:r>
        <w:t>is</w:t>
      </w:r>
      <w:r>
        <w:rPr>
          <w:spacing w:val="-3"/>
        </w:rPr>
        <w:t xml:space="preserve"> </w:t>
      </w:r>
      <w:r>
        <w:t>in</w:t>
      </w:r>
      <w:r>
        <w:rPr>
          <w:spacing w:val="-3"/>
        </w:rPr>
        <w:t xml:space="preserve"> </w:t>
      </w:r>
      <w:r>
        <w:t>the</w:t>
      </w:r>
      <w:r>
        <w:rPr>
          <w:spacing w:val="-3"/>
        </w:rPr>
        <w:t xml:space="preserve"> </w:t>
      </w:r>
      <w:r>
        <w:rPr>
          <w:spacing w:val="-2"/>
        </w:rPr>
        <w:t>house.</w:t>
      </w:r>
    </w:p>
    <w:p w14:paraId="7E0029DC" w14:textId="77777777" w:rsidR="009A58DB" w:rsidRDefault="00000000">
      <w:pPr>
        <w:pStyle w:val="BodyText"/>
        <w:spacing w:before="105"/>
        <w:jc w:val="left"/>
      </w:pPr>
      <w:r>
        <w:t>Exercise:</w:t>
      </w:r>
      <w:r>
        <w:rPr>
          <w:spacing w:val="-6"/>
        </w:rPr>
        <w:t xml:space="preserve"> </w:t>
      </w:r>
      <w:r>
        <w:t>Are</w:t>
      </w:r>
      <w:r>
        <w:rPr>
          <w:spacing w:val="-4"/>
        </w:rPr>
        <w:t xml:space="preserve"> </w:t>
      </w:r>
      <w:r>
        <w:t>(13)</w:t>
      </w:r>
      <w:r>
        <w:rPr>
          <w:spacing w:val="-4"/>
        </w:rPr>
        <w:t xml:space="preserve"> </w:t>
      </w:r>
      <w:r>
        <w:t>and</w:t>
      </w:r>
      <w:r>
        <w:rPr>
          <w:spacing w:val="-2"/>
        </w:rPr>
        <w:t xml:space="preserve"> </w:t>
      </w:r>
      <w:r>
        <w:t>(14)</w:t>
      </w:r>
      <w:r>
        <w:rPr>
          <w:spacing w:val="-4"/>
        </w:rPr>
        <w:t xml:space="preserve"> </w:t>
      </w:r>
      <w:r>
        <w:t>equivalent?</w:t>
      </w:r>
      <w:r>
        <w:rPr>
          <w:spacing w:val="-4"/>
        </w:rPr>
        <w:t xml:space="preserve"> </w:t>
      </w:r>
      <w:r>
        <w:t>Defend</w:t>
      </w:r>
      <w:r>
        <w:rPr>
          <w:spacing w:val="-3"/>
        </w:rPr>
        <w:t xml:space="preserve"> </w:t>
      </w:r>
      <w:r>
        <w:t>your</w:t>
      </w:r>
      <w:r>
        <w:rPr>
          <w:spacing w:val="-3"/>
        </w:rPr>
        <w:t xml:space="preserve"> </w:t>
      </w:r>
      <w:r>
        <w:rPr>
          <w:spacing w:val="-2"/>
        </w:rPr>
        <w:t>answer.</w:t>
      </w:r>
    </w:p>
    <w:p w14:paraId="7E0029DD" w14:textId="77777777" w:rsidR="009A58DB" w:rsidRDefault="009A58DB">
      <w:pPr>
        <w:pStyle w:val="BodyText"/>
        <w:jc w:val="left"/>
        <w:sectPr w:rsidR="009A58DB">
          <w:pgSz w:w="12240" w:h="15840"/>
          <w:pgMar w:top="1380" w:right="1080" w:bottom="280" w:left="1080" w:header="720" w:footer="720" w:gutter="0"/>
          <w:cols w:space="720"/>
        </w:sectPr>
      </w:pPr>
    </w:p>
    <w:p w14:paraId="7E0029DE" w14:textId="77777777" w:rsidR="009A58DB" w:rsidRDefault="00000000">
      <w:pPr>
        <w:pStyle w:val="ListParagraph"/>
        <w:numPr>
          <w:ilvl w:val="0"/>
          <w:numId w:val="33"/>
        </w:numPr>
        <w:tabs>
          <w:tab w:val="left" w:pos="810"/>
        </w:tabs>
        <w:spacing w:before="65"/>
        <w:ind w:left="810" w:hanging="450"/>
        <w:jc w:val="both"/>
        <w:rPr>
          <w:sz w:val="30"/>
        </w:rPr>
      </w:pPr>
      <w:r>
        <w:rPr>
          <w:sz w:val="30"/>
        </w:rPr>
        <w:lastRenderedPageBreak/>
        <w:t>~((~P</w:t>
      </w:r>
      <w:r>
        <w:rPr>
          <w:spacing w:val="-4"/>
          <w:sz w:val="30"/>
        </w:rPr>
        <w:t xml:space="preserve"> </w:t>
      </w:r>
      <w:r>
        <w:rPr>
          <w:sz w:val="30"/>
        </w:rPr>
        <w:t>and</w:t>
      </w:r>
      <w:r>
        <w:rPr>
          <w:spacing w:val="-2"/>
          <w:sz w:val="30"/>
        </w:rPr>
        <w:t xml:space="preserve"> Q)→~(P→Q))</w:t>
      </w:r>
    </w:p>
    <w:p w14:paraId="7E0029DF" w14:textId="77777777" w:rsidR="009A58DB" w:rsidRDefault="00000000">
      <w:pPr>
        <w:pStyle w:val="BodyText"/>
        <w:spacing w:before="15"/>
      </w:pPr>
      <w:r>
        <w:t>A</w:t>
      </w:r>
      <w:r>
        <w:rPr>
          <w:spacing w:val="-4"/>
        </w:rPr>
        <w:t xml:space="preserve"> </w:t>
      </w:r>
      <w:r>
        <w:t>false</w:t>
      </w:r>
      <w:r>
        <w:rPr>
          <w:spacing w:val="-4"/>
        </w:rPr>
        <w:t xml:space="preserve"> </w:t>
      </w:r>
      <w:r>
        <w:t>statement</w:t>
      </w:r>
      <w:r>
        <w:rPr>
          <w:spacing w:val="-4"/>
        </w:rPr>
        <w:t xml:space="preserve"> </w:t>
      </w:r>
      <w:r>
        <w:t>may</w:t>
      </w:r>
      <w:r>
        <w:rPr>
          <w:spacing w:val="-2"/>
        </w:rPr>
        <w:t xml:space="preserve"> </w:t>
      </w:r>
      <w:r>
        <w:t>entail</w:t>
      </w:r>
      <w:r>
        <w:rPr>
          <w:spacing w:val="-4"/>
        </w:rPr>
        <w:t xml:space="preserve"> </w:t>
      </w:r>
      <w:r>
        <w:t>a</w:t>
      </w:r>
      <w:r>
        <w:rPr>
          <w:spacing w:val="-4"/>
        </w:rPr>
        <w:t xml:space="preserve"> </w:t>
      </w:r>
      <w:r>
        <w:t>true</w:t>
      </w:r>
      <w:r>
        <w:rPr>
          <w:spacing w:val="-3"/>
        </w:rPr>
        <w:t xml:space="preserve"> </w:t>
      </w:r>
      <w:r>
        <w:rPr>
          <w:spacing w:val="-4"/>
        </w:rPr>
        <w:t>one.</w:t>
      </w:r>
    </w:p>
    <w:p w14:paraId="7E0029E0" w14:textId="77777777" w:rsidR="009A58DB" w:rsidRDefault="00000000">
      <w:pPr>
        <w:pStyle w:val="BodyText"/>
        <w:spacing w:before="15" w:line="249" w:lineRule="auto"/>
        <w:ind w:right="359"/>
      </w:pPr>
      <w:r>
        <w:t xml:space="preserve">Explanation: “Paris is in France and Spain is north of Sweden” entails “Paris in France.” Any given true statement is entailed by each of the infinitely many false conjunctions of which it is a conjunct. For that reason, and others, a false statement may entail a true one. (But a true one cannot entail a false </w:t>
      </w:r>
      <w:r>
        <w:rPr>
          <w:spacing w:val="-4"/>
        </w:rPr>
        <w:t>one.)</w:t>
      </w:r>
    </w:p>
    <w:p w14:paraId="7E0029E1" w14:textId="77777777" w:rsidR="009A58DB" w:rsidRDefault="00000000">
      <w:pPr>
        <w:pStyle w:val="BodyText"/>
        <w:spacing w:before="111" w:line="249" w:lineRule="auto"/>
        <w:ind w:right="362"/>
      </w:pPr>
      <w:r>
        <w:t>Exercise: Are (14) and (15) equivalent (in the previously discussed sense of “equivalent”)? What about (13) and (15)? Defend your answer.</w:t>
      </w:r>
    </w:p>
    <w:p w14:paraId="7E0029E2" w14:textId="77777777" w:rsidR="009A58DB" w:rsidRDefault="00000000">
      <w:pPr>
        <w:pStyle w:val="ListParagraph"/>
        <w:numPr>
          <w:ilvl w:val="0"/>
          <w:numId w:val="33"/>
        </w:numPr>
        <w:tabs>
          <w:tab w:val="left" w:pos="810"/>
        </w:tabs>
        <w:spacing w:before="92"/>
        <w:ind w:left="810" w:hanging="450"/>
        <w:jc w:val="both"/>
        <w:rPr>
          <w:sz w:val="30"/>
        </w:rPr>
      </w:pPr>
      <w:r>
        <w:rPr>
          <w:spacing w:val="-2"/>
          <w:sz w:val="30"/>
        </w:rPr>
        <w:t>~((P→Q)→(Q→P))</w:t>
      </w:r>
    </w:p>
    <w:p w14:paraId="7E0029E3" w14:textId="77777777" w:rsidR="009A58DB" w:rsidRDefault="00000000">
      <w:pPr>
        <w:pStyle w:val="BodyText"/>
        <w:spacing w:before="15" w:line="249" w:lineRule="auto"/>
        <w:ind w:right="362"/>
        <w:rPr>
          <w:i/>
        </w:rPr>
      </w:pPr>
      <w:r>
        <w:t xml:space="preserve">Propositions aren’t always consequences of their own consequences. Conversion isn’t truth-preserving. “Paris is in France and Spain is north of Sweden” entails “Paris in France,” but not </w:t>
      </w:r>
      <w:r>
        <w:rPr>
          <w:i/>
        </w:rPr>
        <w:t>vice versa.</w:t>
      </w:r>
    </w:p>
    <w:p w14:paraId="7E0029E4" w14:textId="77777777" w:rsidR="009A58DB" w:rsidRDefault="00000000">
      <w:pPr>
        <w:pStyle w:val="ListParagraph"/>
        <w:numPr>
          <w:ilvl w:val="0"/>
          <w:numId w:val="33"/>
        </w:numPr>
        <w:tabs>
          <w:tab w:val="left" w:pos="810"/>
        </w:tabs>
        <w:spacing w:before="109"/>
        <w:ind w:left="810" w:hanging="450"/>
        <w:jc w:val="both"/>
        <w:rPr>
          <w:sz w:val="30"/>
        </w:rPr>
      </w:pPr>
      <w:r>
        <w:rPr>
          <w:spacing w:val="-5"/>
          <w:sz w:val="30"/>
        </w:rPr>
        <w:t>P→P</w:t>
      </w:r>
    </w:p>
    <w:p w14:paraId="7E0029E5" w14:textId="77777777" w:rsidR="009A58DB" w:rsidRDefault="00000000">
      <w:pPr>
        <w:pStyle w:val="BodyText"/>
        <w:spacing w:before="15"/>
      </w:pPr>
      <w:r>
        <w:t>Any</w:t>
      </w:r>
      <w:r>
        <w:rPr>
          <w:spacing w:val="-4"/>
        </w:rPr>
        <w:t xml:space="preserve"> </w:t>
      </w:r>
      <w:r>
        <w:t>given</w:t>
      </w:r>
      <w:r>
        <w:rPr>
          <w:spacing w:val="-3"/>
        </w:rPr>
        <w:t xml:space="preserve"> </w:t>
      </w:r>
      <w:r>
        <w:t>proposition</w:t>
      </w:r>
      <w:r>
        <w:rPr>
          <w:spacing w:val="-3"/>
        </w:rPr>
        <w:t xml:space="preserve"> </w:t>
      </w:r>
      <w:r>
        <w:t>entails</w:t>
      </w:r>
      <w:r>
        <w:rPr>
          <w:spacing w:val="-4"/>
        </w:rPr>
        <w:t xml:space="preserve"> </w:t>
      </w:r>
      <w:r>
        <w:rPr>
          <w:spacing w:val="-2"/>
        </w:rPr>
        <w:t>itself.</w:t>
      </w:r>
    </w:p>
    <w:p w14:paraId="7E0029E6" w14:textId="77777777" w:rsidR="009A58DB" w:rsidRDefault="00000000">
      <w:pPr>
        <w:pStyle w:val="BodyText"/>
        <w:spacing w:before="15" w:line="249" w:lineRule="auto"/>
        <w:ind w:right="368"/>
      </w:pPr>
      <w:r>
        <w:t>Explanation: P entails P iff it isn’t possible for (P and ~P ) to be true. It isn’t possible for (P and ~P) to be true. (The law of non-contradiction forbids it.) Therefore, P entails P.</w:t>
      </w:r>
    </w:p>
    <w:p w14:paraId="7E0029E7" w14:textId="77777777" w:rsidR="009A58DB" w:rsidRDefault="009A58DB">
      <w:pPr>
        <w:pStyle w:val="BodyText"/>
        <w:spacing w:before="19"/>
        <w:ind w:left="0"/>
        <w:jc w:val="left"/>
      </w:pPr>
    </w:p>
    <w:p w14:paraId="7E0029E8" w14:textId="77777777" w:rsidR="009A58DB" w:rsidRDefault="00000000">
      <w:pPr>
        <w:pStyle w:val="ListParagraph"/>
        <w:numPr>
          <w:ilvl w:val="0"/>
          <w:numId w:val="33"/>
        </w:numPr>
        <w:tabs>
          <w:tab w:val="left" w:pos="810"/>
        </w:tabs>
        <w:ind w:left="810" w:hanging="450"/>
        <w:rPr>
          <w:sz w:val="30"/>
        </w:rPr>
      </w:pPr>
      <w:r>
        <w:rPr>
          <w:spacing w:val="-2"/>
          <w:sz w:val="30"/>
        </w:rPr>
        <w:t>~Q→((P→Q)→~P)</w:t>
      </w:r>
    </w:p>
    <w:p w14:paraId="7E0029E9" w14:textId="77777777" w:rsidR="009A58DB" w:rsidRDefault="00000000">
      <w:pPr>
        <w:pStyle w:val="BodyText"/>
        <w:spacing w:before="15"/>
        <w:jc w:val="left"/>
      </w:pPr>
      <w:r>
        <w:t>Anything</w:t>
      </w:r>
      <w:r>
        <w:rPr>
          <w:spacing w:val="-6"/>
        </w:rPr>
        <w:t xml:space="preserve"> </w:t>
      </w:r>
      <w:r>
        <w:t>that</w:t>
      </w:r>
      <w:r>
        <w:rPr>
          <w:spacing w:val="-4"/>
        </w:rPr>
        <w:t xml:space="preserve"> </w:t>
      </w:r>
      <w:r>
        <w:t>entails</w:t>
      </w:r>
      <w:r>
        <w:rPr>
          <w:spacing w:val="-4"/>
        </w:rPr>
        <w:t xml:space="preserve"> </w:t>
      </w:r>
      <w:r>
        <w:t>a</w:t>
      </w:r>
      <w:r>
        <w:rPr>
          <w:spacing w:val="-4"/>
        </w:rPr>
        <w:t xml:space="preserve"> </w:t>
      </w:r>
      <w:r>
        <w:t>falsity</w:t>
      </w:r>
      <w:r>
        <w:rPr>
          <w:spacing w:val="-3"/>
        </w:rPr>
        <w:t xml:space="preserve"> </w:t>
      </w:r>
      <w:r>
        <w:t>is</w:t>
      </w:r>
      <w:r>
        <w:rPr>
          <w:spacing w:val="-4"/>
        </w:rPr>
        <w:t xml:space="preserve"> </w:t>
      </w:r>
      <w:r>
        <w:t>itself</w:t>
      </w:r>
      <w:r>
        <w:rPr>
          <w:spacing w:val="-4"/>
        </w:rPr>
        <w:t xml:space="preserve"> </w:t>
      </w:r>
      <w:r>
        <w:rPr>
          <w:spacing w:val="-2"/>
        </w:rPr>
        <w:t>false.</w:t>
      </w:r>
    </w:p>
    <w:p w14:paraId="7E0029EA" w14:textId="77777777" w:rsidR="009A58DB" w:rsidRDefault="00000000">
      <w:pPr>
        <w:pStyle w:val="ListParagraph"/>
        <w:numPr>
          <w:ilvl w:val="0"/>
          <w:numId w:val="33"/>
        </w:numPr>
        <w:tabs>
          <w:tab w:val="left" w:pos="810"/>
        </w:tabs>
        <w:spacing w:before="120"/>
        <w:ind w:left="810" w:hanging="450"/>
        <w:rPr>
          <w:sz w:val="30"/>
        </w:rPr>
      </w:pPr>
      <w:r>
        <w:rPr>
          <w:sz w:val="30"/>
        </w:rPr>
        <w:t>(Q→(P</w:t>
      </w:r>
      <w:r>
        <w:rPr>
          <w:spacing w:val="-3"/>
          <w:sz w:val="30"/>
        </w:rPr>
        <w:t xml:space="preserve"> </w:t>
      </w:r>
      <w:r>
        <w:rPr>
          <w:sz w:val="30"/>
        </w:rPr>
        <w:t>and</w:t>
      </w:r>
      <w:r>
        <w:rPr>
          <w:spacing w:val="-2"/>
          <w:sz w:val="30"/>
        </w:rPr>
        <w:t xml:space="preserve"> ~P))→~Q.</w:t>
      </w:r>
    </w:p>
    <w:p w14:paraId="7E0029EB" w14:textId="77777777" w:rsidR="009A58DB" w:rsidRDefault="00000000">
      <w:pPr>
        <w:pStyle w:val="BodyText"/>
        <w:spacing w:before="15"/>
      </w:pPr>
      <w:r>
        <w:t>Anything</w:t>
      </w:r>
      <w:r>
        <w:rPr>
          <w:spacing w:val="-5"/>
        </w:rPr>
        <w:t xml:space="preserve"> </w:t>
      </w:r>
      <w:r>
        <w:t>that</w:t>
      </w:r>
      <w:r>
        <w:rPr>
          <w:spacing w:val="-4"/>
        </w:rPr>
        <w:t xml:space="preserve"> </w:t>
      </w:r>
      <w:r>
        <w:t>entails</w:t>
      </w:r>
      <w:r>
        <w:rPr>
          <w:spacing w:val="-3"/>
        </w:rPr>
        <w:t xml:space="preserve"> </w:t>
      </w:r>
      <w:r>
        <w:t>a</w:t>
      </w:r>
      <w:r>
        <w:rPr>
          <w:spacing w:val="-4"/>
        </w:rPr>
        <w:t xml:space="preserve"> </w:t>
      </w:r>
      <w:r>
        <w:t>statement</w:t>
      </w:r>
      <w:r>
        <w:rPr>
          <w:spacing w:val="-4"/>
        </w:rPr>
        <w:t xml:space="preserve"> </w:t>
      </w:r>
      <w:r>
        <w:rPr>
          <w:i/>
        </w:rPr>
        <w:t>and</w:t>
      </w:r>
      <w:r>
        <w:rPr>
          <w:i/>
          <w:spacing w:val="-2"/>
        </w:rPr>
        <w:t xml:space="preserve"> </w:t>
      </w:r>
      <w:r>
        <w:t>its</w:t>
      </w:r>
      <w:r>
        <w:rPr>
          <w:spacing w:val="-4"/>
        </w:rPr>
        <w:t xml:space="preserve"> </w:t>
      </w:r>
      <w:r>
        <w:t>negation</w:t>
      </w:r>
      <w:r>
        <w:rPr>
          <w:spacing w:val="-3"/>
        </w:rPr>
        <w:t xml:space="preserve"> </w:t>
      </w:r>
      <w:r>
        <w:t>is</w:t>
      </w:r>
      <w:r>
        <w:rPr>
          <w:spacing w:val="-3"/>
        </w:rPr>
        <w:t xml:space="preserve"> </w:t>
      </w:r>
      <w:r>
        <w:rPr>
          <w:spacing w:val="-2"/>
        </w:rPr>
        <w:t>false.</w:t>
      </w:r>
    </w:p>
    <w:p w14:paraId="7E0029EC" w14:textId="77777777" w:rsidR="009A58DB" w:rsidRDefault="00000000">
      <w:pPr>
        <w:pStyle w:val="BodyText"/>
        <w:spacing w:before="15" w:line="249" w:lineRule="auto"/>
        <w:ind w:right="363"/>
      </w:pPr>
      <w:r>
        <w:t>Explanation: No true statement entails a false one. (Principle 18.) (P and ~P) is false. (Principle 4.) So for any proposition P, no true statement entails (P and ~P).</w:t>
      </w:r>
    </w:p>
    <w:p w14:paraId="7E0029ED" w14:textId="77777777" w:rsidR="009A58DB" w:rsidRDefault="00000000">
      <w:pPr>
        <w:pStyle w:val="BodyText"/>
        <w:spacing w:before="94"/>
        <w:jc w:val="left"/>
      </w:pPr>
      <w:r>
        <w:rPr>
          <w:spacing w:val="-2"/>
        </w:rPr>
        <w:t>20.(P→~P)→~P</w:t>
      </w:r>
    </w:p>
    <w:p w14:paraId="7E0029EE" w14:textId="77777777" w:rsidR="009A58DB" w:rsidRDefault="00000000">
      <w:pPr>
        <w:pStyle w:val="BodyText"/>
        <w:spacing w:before="15"/>
        <w:jc w:val="left"/>
      </w:pPr>
      <w:r>
        <w:t>A</w:t>
      </w:r>
      <w:r>
        <w:rPr>
          <w:spacing w:val="-4"/>
        </w:rPr>
        <w:t xml:space="preserve"> </w:t>
      </w:r>
      <w:r>
        <w:t>statement</w:t>
      </w:r>
      <w:r>
        <w:rPr>
          <w:spacing w:val="-3"/>
        </w:rPr>
        <w:t xml:space="preserve"> </w:t>
      </w:r>
      <w:r>
        <w:t>is</w:t>
      </w:r>
      <w:r>
        <w:rPr>
          <w:spacing w:val="-4"/>
        </w:rPr>
        <w:t xml:space="preserve"> </w:t>
      </w:r>
      <w:r>
        <w:t>false</w:t>
      </w:r>
      <w:r>
        <w:rPr>
          <w:spacing w:val="-3"/>
        </w:rPr>
        <w:t xml:space="preserve"> </w:t>
      </w:r>
      <w:r>
        <w:t>if</w:t>
      </w:r>
      <w:r>
        <w:rPr>
          <w:spacing w:val="-4"/>
        </w:rPr>
        <w:t xml:space="preserve"> </w:t>
      </w:r>
      <w:r>
        <w:t>it</w:t>
      </w:r>
      <w:r>
        <w:rPr>
          <w:spacing w:val="-3"/>
        </w:rPr>
        <w:t xml:space="preserve"> </w:t>
      </w:r>
      <w:r>
        <w:t>entails</w:t>
      </w:r>
      <w:r>
        <w:rPr>
          <w:spacing w:val="-4"/>
        </w:rPr>
        <w:t xml:space="preserve"> </w:t>
      </w:r>
      <w:r>
        <w:t>its</w:t>
      </w:r>
      <w:r>
        <w:rPr>
          <w:spacing w:val="-3"/>
        </w:rPr>
        <w:t xml:space="preserve"> </w:t>
      </w:r>
      <w:r>
        <w:t>own</w:t>
      </w:r>
      <w:r>
        <w:rPr>
          <w:spacing w:val="-2"/>
        </w:rPr>
        <w:t xml:space="preserve"> negation.</w:t>
      </w:r>
    </w:p>
    <w:p w14:paraId="7E0029EF" w14:textId="77777777" w:rsidR="009A58DB" w:rsidRDefault="00000000">
      <w:pPr>
        <w:pStyle w:val="BodyText"/>
        <w:spacing w:before="15" w:line="249" w:lineRule="auto"/>
        <w:ind w:right="363"/>
      </w:pPr>
      <w:r>
        <w:t>Explanation: Any given statement entails itself. (Principle 17.) So if a statement P entails its own negation, it follows that P entails (P and ~P). (P and ~P) is false. (Principle 4.) Therefore, a statement is false if it entails its own negation.</w:t>
      </w:r>
    </w:p>
    <w:p w14:paraId="7E0029F0" w14:textId="77777777" w:rsidR="009A58DB" w:rsidRDefault="00000000">
      <w:pPr>
        <w:pStyle w:val="BodyText"/>
        <w:spacing w:before="110"/>
      </w:pPr>
      <w:r>
        <w:t>21.</w:t>
      </w:r>
      <w:r>
        <w:rPr>
          <w:spacing w:val="-1"/>
        </w:rPr>
        <w:t xml:space="preserve"> </w:t>
      </w:r>
      <w:r>
        <w:t>(P</w:t>
      </w:r>
      <w:r>
        <w:rPr>
          <w:spacing w:val="-2"/>
        </w:rPr>
        <w:t xml:space="preserve"> </w:t>
      </w:r>
      <w:r>
        <w:t xml:space="preserve">and </w:t>
      </w:r>
      <w:r>
        <w:rPr>
          <w:spacing w:val="-4"/>
        </w:rPr>
        <w:t>~P)→Q</w:t>
      </w:r>
    </w:p>
    <w:p w14:paraId="7E0029F1" w14:textId="77777777" w:rsidR="009A58DB" w:rsidRDefault="00000000">
      <w:pPr>
        <w:pStyle w:val="BodyText"/>
        <w:spacing w:before="120"/>
      </w:pPr>
      <w:r>
        <w:t>There</w:t>
      </w:r>
      <w:r>
        <w:rPr>
          <w:spacing w:val="-4"/>
        </w:rPr>
        <w:t xml:space="preserve"> </w:t>
      </w:r>
      <w:r>
        <w:t>is</w:t>
      </w:r>
      <w:r>
        <w:rPr>
          <w:spacing w:val="-3"/>
        </w:rPr>
        <w:t xml:space="preserve"> </w:t>
      </w:r>
      <w:r>
        <w:t>nothing</w:t>
      </w:r>
      <w:r>
        <w:rPr>
          <w:spacing w:val="-2"/>
        </w:rPr>
        <w:t xml:space="preserve"> </w:t>
      </w:r>
      <w:r>
        <w:t>that</w:t>
      </w:r>
      <w:r>
        <w:rPr>
          <w:spacing w:val="-3"/>
        </w:rPr>
        <w:t xml:space="preserve"> </w:t>
      </w:r>
      <w:r>
        <w:t>isn’t</w:t>
      </w:r>
      <w:r>
        <w:rPr>
          <w:spacing w:val="-3"/>
        </w:rPr>
        <w:t xml:space="preserve"> </w:t>
      </w:r>
      <w:r>
        <w:t>entailed</w:t>
      </w:r>
      <w:r>
        <w:rPr>
          <w:spacing w:val="-2"/>
        </w:rPr>
        <w:t xml:space="preserve"> </w:t>
      </w:r>
      <w:r>
        <w:t>by</w:t>
      </w:r>
      <w:r>
        <w:rPr>
          <w:spacing w:val="-2"/>
        </w:rPr>
        <w:t xml:space="preserve"> </w:t>
      </w:r>
      <w:r>
        <w:t>a</w:t>
      </w:r>
      <w:r>
        <w:rPr>
          <w:spacing w:val="-3"/>
        </w:rPr>
        <w:t xml:space="preserve"> </w:t>
      </w:r>
      <w:r>
        <w:rPr>
          <w:spacing w:val="-2"/>
        </w:rPr>
        <w:t>contradiction.</w:t>
      </w:r>
    </w:p>
    <w:p w14:paraId="7E0029F2" w14:textId="77777777" w:rsidR="009A58DB" w:rsidRDefault="009A58DB">
      <w:pPr>
        <w:pStyle w:val="BodyText"/>
        <w:sectPr w:rsidR="009A58DB">
          <w:pgSz w:w="12240" w:h="15840"/>
          <w:pgMar w:top="1380" w:right="1080" w:bottom="280" w:left="1080" w:header="720" w:footer="720" w:gutter="0"/>
          <w:cols w:space="720"/>
        </w:sectPr>
      </w:pPr>
    </w:p>
    <w:p w14:paraId="7E0029F3" w14:textId="77777777" w:rsidR="009A58DB" w:rsidRDefault="00000000">
      <w:pPr>
        <w:pStyle w:val="BodyText"/>
        <w:spacing w:before="65" w:line="249" w:lineRule="auto"/>
        <w:ind w:right="365"/>
      </w:pPr>
      <w:r>
        <w:lastRenderedPageBreak/>
        <w:t xml:space="preserve">Explanation: There is no possible circumstance where (P and ~P) is true. Therefore, for any proposition Q, there is no possible circumstance where Q is false </w:t>
      </w:r>
      <w:r>
        <w:rPr>
          <w:i/>
        </w:rPr>
        <w:t xml:space="preserve">and </w:t>
      </w:r>
      <w:r>
        <w:t>where (P and ~P ) is true.</w:t>
      </w:r>
    </w:p>
    <w:p w14:paraId="7E0029F4" w14:textId="77777777" w:rsidR="009A58DB" w:rsidRDefault="00000000">
      <w:pPr>
        <w:pStyle w:val="Heading4"/>
      </w:pPr>
      <w:r>
        <w:t>Some</w:t>
      </w:r>
      <w:r>
        <w:rPr>
          <w:spacing w:val="6"/>
        </w:rPr>
        <w:t xml:space="preserve"> </w:t>
      </w:r>
      <w:r>
        <w:t>principles</w:t>
      </w:r>
      <w:r>
        <w:rPr>
          <w:spacing w:val="7"/>
        </w:rPr>
        <w:t xml:space="preserve"> </w:t>
      </w:r>
      <w:r>
        <w:t>of</w:t>
      </w:r>
      <w:r>
        <w:rPr>
          <w:spacing w:val="7"/>
        </w:rPr>
        <w:t xml:space="preserve"> </w:t>
      </w:r>
      <w:r>
        <w:t>modal</w:t>
      </w:r>
      <w:r>
        <w:rPr>
          <w:spacing w:val="7"/>
        </w:rPr>
        <w:t xml:space="preserve"> </w:t>
      </w:r>
      <w:r>
        <w:rPr>
          <w:spacing w:val="-2"/>
        </w:rPr>
        <w:t>logic:</w:t>
      </w:r>
    </w:p>
    <w:p w14:paraId="7E0029F5" w14:textId="77777777" w:rsidR="009A58DB" w:rsidRDefault="00000000">
      <w:pPr>
        <w:pStyle w:val="BodyText"/>
        <w:spacing w:before="83"/>
      </w:pPr>
      <w:r>
        <w:rPr>
          <w:spacing w:val="-2"/>
        </w:rPr>
        <w:t>1M.</w:t>
      </w:r>
      <w:r>
        <w:rPr>
          <w:spacing w:val="-13"/>
        </w:rPr>
        <w:t xml:space="preserve"> </w:t>
      </w:r>
      <w:r>
        <w:rPr>
          <w:spacing w:val="-2"/>
        </w:rPr>
        <w:t>P→</w:t>
      </w:r>
      <w:r>
        <w:rPr>
          <w:rFonts w:ascii="Segoe UI Symbol" w:hAnsi="Segoe UI Symbol"/>
          <w:spacing w:val="-2"/>
        </w:rPr>
        <w:t>◊</w:t>
      </w:r>
      <w:r>
        <w:rPr>
          <w:spacing w:val="-2"/>
        </w:rPr>
        <w:t>P.</w:t>
      </w:r>
      <w:r>
        <w:rPr>
          <w:spacing w:val="-12"/>
        </w:rPr>
        <w:t xml:space="preserve"> </w:t>
      </w:r>
      <w:r>
        <w:rPr>
          <w:spacing w:val="-2"/>
        </w:rPr>
        <w:t>Whatever</w:t>
      </w:r>
      <w:r>
        <w:rPr>
          <w:spacing w:val="-14"/>
        </w:rPr>
        <w:t xml:space="preserve"> </w:t>
      </w:r>
      <w:r>
        <w:rPr>
          <w:spacing w:val="-2"/>
        </w:rPr>
        <w:t>is</w:t>
      </w:r>
      <w:r>
        <w:rPr>
          <w:spacing w:val="-13"/>
        </w:rPr>
        <w:t xml:space="preserve"> </w:t>
      </w:r>
      <w:r>
        <w:rPr>
          <w:spacing w:val="-2"/>
        </w:rPr>
        <w:t>actual</w:t>
      </w:r>
      <w:r>
        <w:rPr>
          <w:spacing w:val="-13"/>
        </w:rPr>
        <w:t xml:space="preserve"> </w:t>
      </w:r>
      <w:r>
        <w:rPr>
          <w:spacing w:val="-2"/>
        </w:rPr>
        <w:t>is</w:t>
      </w:r>
      <w:r>
        <w:rPr>
          <w:spacing w:val="-14"/>
        </w:rPr>
        <w:t xml:space="preserve"> </w:t>
      </w:r>
      <w:r>
        <w:rPr>
          <w:spacing w:val="-2"/>
        </w:rPr>
        <w:t>possible.</w:t>
      </w:r>
    </w:p>
    <w:p w14:paraId="7E0029F6" w14:textId="77777777" w:rsidR="009A58DB" w:rsidRDefault="009A58DB">
      <w:pPr>
        <w:pStyle w:val="BodyText"/>
        <w:spacing w:before="229"/>
        <w:ind w:left="0"/>
        <w:jc w:val="left"/>
      </w:pPr>
    </w:p>
    <w:p w14:paraId="7E0029F7" w14:textId="77777777" w:rsidR="009A58DB" w:rsidRDefault="00000000">
      <w:pPr>
        <w:pStyle w:val="BodyText"/>
        <w:jc w:val="left"/>
      </w:pPr>
      <w:r>
        <w:t>2M.</w:t>
      </w:r>
      <w:r>
        <w:rPr>
          <w:spacing w:val="-6"/>
        </w:rPr>
        <w:t xml:space="preserve"> </w:t>
      </w:r>
      <w:r>
        <w:t>□P→P.</w:t>
      </w:r>
      <w:r>
        <w:rPr>
          <w:spacing w:val="-3"/>
        </w:rPr>
        <w:t xml:space="preserve"> </w:t>
      </w:r>
      <w:r>
        <w:t>Whatever</w:t>
      </w:r>
      <w:r>
        <w:rPr>
          <w:spacing w:val="-4"/>
        </w:rPr>
        <w:t xml:space="preserve"> </w:t>
      </w:r>
      <w:r>
        <w:t>is</w:t>
      </w:r>
      <w:r>
        <w:rPr>
          <w:spacing w:val="-3"/>
        </w:rPr>
        <w:t xml:space="preserve"> </w:t>
      </w:r>
      <w:r>
        <w:t>necessary</w:t>
      </w:r>
      <w:r>
        <w:rPr>
          <w:spacing w:val="-4"/>
        </w:rPr>
        <w:t xml:space="preserve"> </w:t>
      </w:r>
      <w:r>
        <w:t>is</w:t>
      </w:r>
      <w:r>
        <w:rPr>
          <w:spacing w:val="-3"/>
        </w:rPr>
        <w:t xml:space="preserve"> </w:t>
      </w:r>
      <w:r>
        <w:rPr>
          <w:spacing w:val="-2"/>
        </w:rPr>
        <w:t>actual.</w:t>
      </w:r>
    </w:p>
    <w:p w14:paraId="7E0029F8" w14:textId="77777777" w:rsidR="009A58DB" w:rsidRDefault="00000000">
      <w:pPr>
        <w:pStyle w:val="BodyText"/>
        <w:spacing w:before="77" w:line="242" w:lineRule="auto"/>
        <w:ind w:right="4416"/>
        <w:jc w:val="left"/>
      </w:pPr>
      <w:r>
        <w:t>3M.</w:t>
      </w:r>
      <w:r>
        <w:rPr>
          <w:spacing w:val="15"/>
        </w:rPr>
        <w:t xml:space="preserve"> </w:t>
      </w:r>
      <w:r>
        <w:t>□P→</w:t>
      </w:r>
      <w:r>
        <w:rPr>
          <w:rFonts w:ascii="Segoe UI Symbol" w:hAnsi="Segoe UI Symbol"/>
        </w:rPr>
        <w:t>◊</w:t>
      </w:r>
      <w:r>
        <w:t>P.</w:t>
      </w:r>
      <w:r>
        <w:rPr>
          <w:spacing w:val="15"/>
        </w:rPr>
        <w:t xml:space="preserve"> </w:t>
      </w:r>
      <w:r>
        <w:t>Whatever</w:t>
      </w:r>
      <w:r>
        <w:rPr>
          <w:spacing w:val="14"/>
        </w:rPr>
        <w:t xml:space="preserve"> </w:t>
      </w:r>
      <w:r>
        <w:t>is</w:t>
      </w:r>
      <w:r>
        <w:rPr>
          <w:spacing w:val="14"/>
        </w:rPr>
        <w:t xml:space="preserve"> </w:t>
      </w:r>
      <w:r>
        <w:t>necessary</w:t>
      </w:r>
      <w:r>
        <w:rPr>
          <w:spacing w:val="15"/>
        </w:rPr>
        <w:t xml:space="preserve"> </w:t>
      </w:r>
      <w:r>
        <w:t xml:space="preserve">is </w:t>
      </w:r>
      <w:r>
        <w:rPr>
          <w:spacing w:val="-2"/>
        </w:rPr>
        <w:t>possible.</w:t>
      </w:r>
    </w:p>
    <w:p w14:paraId="7E0029F9" w14:textId="77777777" w:rsidR="009A58DB" w:rsidRDefault="00000000">
      <w:pPr>
        <w:pStyle w:val="BodyText"/>
        <w:spacing w:before="12"/>
        <w:jc w:val="left"/>
      </w:pPr>
      <w:r>
        <w:t>Given</w:t>
      </w:r>
      <w:r>
        <w:rPr>
          <w:spacing w:val="-4"/>
        </w:rPr>
        <w:t xml:space="preserve"> </w:t>
      </w:r>
      <w:r>
        <w:t>that</w:t>
      </w:r>
      <w:r>
        <w:rPr>
          <w:spacing w:val="-3"/>
        </w:rPr>
        <w:t xml:space="preserve"> </w:t>
      </w:r>
      <w:r>
        <w:t>squares</w:t>
      </w:r>
      <w:r>
        <w:rPr>
          <w:spacing w:val="-3"/>
        </w:rPr>
        <w:t xml:space="preserve"> </w:t>
      </w:r>
      <w:r>
        <w:t>must</w:t>
      </w:r>
      <w:r>
        <w:rPr>
          <w:spacing w:val="-3"/>
        </w:rPr>
        <w:t xml:space="preserve"> </w:t>
      </w:r>
      <w:r>
        <w:t>have</w:t>
      </w:r>
      <w:r>
        <w:rPr>
          <w:spacing w:val="-3"/>
        </w:rPr>
        <w:t xml:space="preserve"> </w:t>
      </w:r>
      <w:r>
        <w:t>four</w:t>
      </w:r>
      <w:r>
        <w:rPr>
          <w:spacing w:val="-3"/>
        </w:rPr>
        <w:t xml:space="preserve"> </w:t>
      </w:r>
      <w:r>
        <w:t>sides,</w:t>
      </w:r>
      <w:r>
        <w:rPr>
          <w:spacing w:val="-2"/>
        </w:rPr>
        <w:t xml:space="preserve"> </w:t>
      </w:r>
      <w:r>
        <w:t>they</w:t>
      </w:r>
      <w:r>
        <w:rPr>
          <w:spacing w:val="-2"/>
        </w:rPr>
        <w:t xml:space="preserve"> </w:t>
      </w:r>
      <w:r>
        <w:t>do</w:t>
      </w:r>
      <w:r>
        <w:rPr>
          <w:spacing w:val="-2"/>
        </w:rPr>
        <w:t xml:space="preserve"> </w:t>
      </w:r>
      <w:r>
        <w:t>have</w:t>
      </w:r>
      <w:r>
        <w:rPr>
          <w:spacing w:val="-3"/>
        </w:rPr>
        <w:t xml:space="preserve"> </w:t>
      </w:r>
      <w:r>
        <w:t>four</w:t>
      </w:r>
      <w:r>
        <w:rPr>
          <w:spacing w:val="-2"/>
        </w:rPr>
        <w:t xml:space="preserve"> sides.</w:t>
      </w:r>
    </w:p>
    <w:p w14:paraId="7E0029FA" w14:textId="77777777" w:rsidR="009A58DB" w:rsidRDefault="00000000">
      <w:pPr>
        <w:pStyle w:val="BodyText"/>
        <w:spacing w:before="15" w:line="249" w:lineRule="auto"/>
        <w:ind w:right="363" w:firstLine="360"/>
      </w:pPr>
      <w:r>
        <w:t>Commentary: This shows that there is a difference between the possible and the contingently true. The contingently true doesn’t have to be true; but the possible is sometimes necessarily, and therefore non-contingently, true.</w:t>
      </w:r>
    </w:p>
    <w:p w14:paraId="7E0029FB" w14:textId="77777777" w:rsidR="009A58DB" w:rsidRDefault="00000000">
      <w:pPr>
        <w:pStyle w:val="BodyText"/>
        <w:spacing w:before="80"/>
      </w:pPr>
      <w:r>
        <w:rPr>
          <w:spacing w:val="-6"/>
        </w:rPr>
        <w:t>4M.</w:t>
      </w:r>
      <w:r>
        <w:rPr>
          <w:spacing w:val="-9"/>
        </w:rPr>
        <w:t xml:space="preserve"> </w:t>
      </w:r>
      <w:r>
        <w:rPr>
          <w:spacing w:val="-6"/>
        </w:rPr>
        <w:t>(P→Q)↔~</w:t>
      </w:r>
      <w:r>
        <w:rPr>
          <w:rFonts w:ascii="Segoe UI Symbol" w:hAnsi="Segoe UI Symbol"/>
          <w:spacing w:val="-6"/>
        </w:rPr>
        <w:t>◊</w:t>
      </w:r>
      <w:r>
        <w:rPr>
          <w:spacing w:val="-6"/>
        </w:rPr>
        <w:t>(P</w:t>
      </w:r>
      <w:r>
        <w:rPr>
          <w:spacing w:val="-9"/>
        </w:rPr>
        <w:t xml:space="preserve"> </w:t>
      </w:r>
      <w:r>
        <w:rPr>
          <w:spacing w:val="-6"/>
        </w:rPr>
        <w:t>and</w:t>
      </w:r>
      <w:r>
        <w:rPr>
          <w:spacing w:val="-8"/>
        </w:rPr>
        <w:t xml:space="preserve"> </w:t>
      </w:r>
      <w:r>
        <w:rPr>
          <w:spacing w:val="-6"/>
        </w:rPr>
        <w:t>~Q).</w:t>
      </w:r>
    </w:p>
    <w:p w14:paraId="7E0029FC" w14:textId="77777777" w:rsidR="009A58DB" w:rsidRDefault="00000000">
      <w:pPr>
        <w:pStyle w:val="BodyText"/>
        <w:spacing w:before="5"/>
      </w:pPr>
      <w:r>
        <w:t>P</w:t>
      </w:r>
      <w:r>
        <w:rPr>
          <w:spacing w:val="-5"/>
        </w:rPr>
        <w:t xml:space="preserve"> </w:t>
      </w:r>
      <w:r>
        <w:t>entails</w:t>
      </w:r>
      <w:r>
        <w:rPr>
          <w:spacing w:val="-2"/>
        </w:rPr>
        <w:t xml:space="preserve"> </w:t>
      </w:r>
      <w:r>
        <w:t>Q</w:t>
      </w:r>
      <w:r>
        <w:rPr>
          <w:spacing w:val="-2"/>
        </w:rPr>
        <w:t xml:space="preserve"> </w:t>
      </w:r>
      <w:r>
        <w:t>iff</w:t>
      </w:r>
      <w:r>
        <w:rPr>
          <w:spacing w:val="-3"/>
        </w:rPr>
        <w:t xml:space="preserve"> </w:t>
      </w:r>
      <w:r>
        <w:t>P</w:t>
      </w:r>
      <w:r>
        <w:rPr>
          <w:spacing w:val="-2"/>
        </w:rPr>
        <w:t xml:space="preserve"> </w:t>
      </w:r>
      <w:r>
        <w:t>can’t</w:t>
      </w:r>
      <w:r>
        <w:rPr>
          <w:spacing w:val="-2"/>
        </w:rPr>
        <w:t xml:space="preserve"> </w:t>
      </w:r>
      <w:r>
        <w:t>be</w:t>
      </w:r>
      <w:r>
        <w:rPr>
          <w:spacing w:val="-2"/>
        </w:rPr>
        <w:t xml:space="preserve"> </w:t>
      </w:r>
      <w:r>
        <w:t>true</w:t>
      </w:r>
      <w:r>
        <w:rPr>
          <w:spacing w:val="-3"/>
        </w:rPr>
        <w:t xml:space="preserve"> </w:t>
      </w:r>
      <w:r>
        <w:t>if</w:t>
      </w:r>
      <w:r>
        <w:rPr>
          <w:spacing w:val="-2"/>
        </w:rPr>
        <w:t xml:space="preserve"> </w:t>
      </w:r>
      <w:r>
        <w:t>Q</w:t>
      </w:r>
      <w:r>
        <w:rPr>
          <w:spacing w:val="-2"/>
        </w:rPr>
        <w:t xml:space="preserve"> </w:t>
      </w:r>
      <w:r>
        <w:t>is</w:t>
      </w:r>
      <w:r>
        <w:rPr>
          <w:spacing w:val="-2"/>
        </w:rPr>
        <w:t xml:space="preserve"> false.</w:t>
      </w:r>
    </w:p>
    <w:p w14:paraId="7E0029FD" w14:textId="77777777" w:rsidR="009A58DB" w:rsidRDefault="00000000">
      <w:pPr>
        <w:pStyle w:val="BodyText"/>
        <w:spacing w:before="15"/>
        <w:ind w:left="720"/>
        <w:rPr>
          <w:i/>
        </w:rPr>
      </w:pPr>
      <w:r>
        <w:t>Explanation:</w:t>
      </w:r>
      <w:r>
        <w:rPr>
          <w:spacing w:val="4"/>
        </w:rPr>
        <w:t xml:space="preserve"> </w:t>
      </w:r>
      <w:r>
        <w:t>This</w:t>
      </w:r>
      <w:r>
        <w:rPr>
          <w:spacing w:val="5"/>
        </w:rPr>
        <w:t xml:space="preserve"> </w:t>
      </w:r>
      <w:r>
        <w:t>is</w:t>
      </w:r>
      <w:r>
        <w:rPr>
          <w:spacing w:val="5"/>
        </w:rPr>
        <w:t xml:space="preserve"> </w:t>
      </w:r>
      <w:r>
        <w:t>a</w:t>
      </w:r>
      <w:r>
        <w:rPr>
          <w:spacing w:val="5"/>
        </w:rPr>
        <w:t xml:space="preserve"> </w:t>
      </w:r>
      <w:r>
        <w:t>definition,</w:t>
      </w:r>
      <w:r>
        <w:rPr>
          <w:spacing w:val="4"/>
        </w:rPr>
        <w:t xml:space="preserve"> </w:t>
      </w:r>
      <w:r>
        <w:t>not</w:t>
      </w:r>
      <w:r>
        <w:rPr>
          <w:spacing w:val="5"/>
        </w:rPr>
        <w:t xml:space="preserve"> </w:t>
      </w:r>
      <w:r>
        <w:t>a</w:t>
      </w:r>
      <w:r>
        <w:rPr>
          <w:spacing w:val="5"/>
        </w:rPr>
        <w:t xml:space="preserve"> </w:t>
      </w:r>
      <w:r>
        <w:t>principle.</w:t>
      </w:r>
      <w:r>
        <w:rPr>
          <w:spacing w:val="5"/>
        </w:rPr>
        <w:t xml:space="preserve"> </w:t>
      </w:r>
      <w:r>
        <w:t>To</w:t>
      </w:r>
      <w:r>
        <w:rPr>
          <w:spacing w:val="5"/>
        </w:rPr>
        <w:t xml:space="preserve"> </w:t>
      </w:r>
      <w:r>
        <w:t>say</w:t>
      </w:r>
      <w:r>
        <w:rPr>
          <w:spacing w:val="4"/>
        </w:rPr>
        <w:t xml:space="preserve"> </w:t>
      </w:r>
      <w:r>
        <w:t>that</w:t>
      </w:r>
      <w:r>
        <w:rPr>
          <w:spacing w:val="5"/>
        </w:rPr>
        <w:t xml:space="preserve"> </w:t>
      </w:r>
      <w:r>
        <w:t>P</w:t>
      </w:r>
      <w:r>
        <w:rPr>
          <w:spacing w:val="5"/>
        </w:rPr>
        <w:t xml:space="preserve"> </w:t>
      </w:r>
      <w:r>
        <w:t>entails</w:t>
      </w:r>
      <w:r>
        <w:rPr>
          <w:spacing w:val="5"/>
        </w:rPr>
        <w:t xml:space="preserve"> </w:t>
      </w:r>
      <w:r>
        <w:t>Q</w:t>
      </w:r>
      <w:r>
        <w:rPr>
          <w:spacing w:val="5"/>
        </w:rPr>
        <w:t xml:space="preserve"> </w:t>
      </w:r>
      <w:r>
        <w:rPr>
          <w:i/>
          <w:spacing w:val="-5"/>
        </w:rPr>
        <w:t>is</w:t>
      </w:r>
    </w:p>
    <w:p w14:paraId="7E0029FE" w14:textId="77777777" w:rsidR="009A58DB" w:rsidRDefault="00000000">
      <w:pPr>
        <w:pStyle w:val="BodyText"/>
        <w:spacing w:before="15"/>
      </w:pPr>
      <w:r>
        <w:t>to</w:t>
      </w:r>
      <w:r>
        <w:rPr>
          <w:spacing w:val="-4"/>
        </w:rPr>
        <w:t xml:space="preserve"> </w:t>
      </w:r>
      <w:r>
        <w:t>say</w:t>
      </w:r>
      <w:r>
        <w:rPr>
          <w:spacing w:val="-2"/>
        </w:rPr>
        <w:t xml:space="preserve"> </w:t>
      </w:r>
      <w:r>
        <w:t>that</w:t>
      </w:r>
      <w:r>
        <w:rPr>
          <w:spacing w:val="-2"/>
        </w:rPr>
        <w:t xml:space="preserve"> </w:t>
      </w:r>
      <w:r>
        <w:t>it’s</w:t>
      </w:r>
      <w:r>
        <w:rPr>
          <w:spacing w:val="-3"/>
        </w:rPr>
        <w:t xml:space="preserve"> </w:t>
      </w:r>
      <w:r>
        <w:t>impossible</w:t>
      </w:r>
      <w:r>
        <w:rPr>
          <w:spacing w:val="-2"/>
        </w:rPr>
        <w:t xml:space="preserve"> </w:t>
      </w:r>
      <w:r>
        <w:t>for</w:t>
      </w:r>
      <w:r>
        <w:rPr>
          <w:spacing w:val="-3"/>
        </w:rPr>
        <w:t xml:space="preserve"> </w:t>
      </w:r>
      <w:r>
        <w:t>P</w:t>
      </w:r>
      <w:r>
        <w:rPr>
          <w:spacing w:val="-2"/>
        </w:rPr>
        <w:t xml:space="preserve"> </w:t>
      </w:r>
      <w:r>
        <w:t>to</w:t>
      </w:r>
      <w:r>
        <w:rPr>
          <w:spacing w:val="-2"/>
        </w:rPr>
        <w:t xml:space="preserve"> </w:t>
      </w:r>
      <w:r>
        <w:t>be</w:t>
      </w:r>
      <w:r>
        <w:rPr>
          <w:spacing w:val="-2"/>
        </w:rPr>
        <w:t xml:space="preserve"> </w:t>
      </w:r>
      <w:r>
        <w:t>true</w:t>
      </w:r>
      <w:r>
        <w:rPr>
          <w:spacing w:val="-3"/>
        </w:rPr>
        <w:t xml:space="preserve"> </w:t>
      </w:r>
      <w:r>
        <w:t>if</w:t>
      </w:r>
      <w:r>
        <w:rPr>
          <w:spacing w:val="-2"/>
        </w:rPr>
        <w:t xml:space="preserve"> </w:t>
      </w:r>
      <w:r>
        <w:t>Q</w:t>
      </w:r>
      <w:r>
        <w:rPr>
          <w:spacing w:val="-3"/>
        </w:rPr>
        <w:t xml:space="preserve"> </w:t>
      </w:r>
      <w:r>
        <w:t>is</w:t>
      </w:r>
      <w:r>
        <w:rPr>
          <w:spacing w:val="-2"/>
        </w:rPr>
        <w:t xml:space="preserve"> false.</w:t>
      </w:r>
    </w:p>
    <w:p w14:paraId="7E0029FF" w14:textId="77777777" w:rsidR="009A58DB" w:rsidRDefault="00000000">
      <w:pPr>
        <w:pStyle w:val="BodyText"/>
        <w:spacing w:before="120"/>
      </w:pPr>
      <w:r>
        <w:t>5M.</w:t>
      </w:r>
      <w:r>
        <w:rPr>
          <w:spacing w:val="-2"/>
        </w:rPr>
        <w:t xml:space="preserve"> </w:t>
      </w:r>
      <w:r>
        <w:t>□(P</w:t>
      </w:r>
      <w:r>
        <w:rPr>
          <w:spacing w:val="-3"/>
        </w:rPr>
        <w:t xml:space="preserve"> </w:t>
      </w:r>
      <w:r>
        <w:t>and</w:t>
      </w:r>
      <w:r>
        <w:rPr>
          <w:spacing w:val="-2"/>
        </w:rPr>
        <w:t xml:space="preserve"> </w:t>
      </w:r>
      <w:r>
        <w:t>Q)↔(□P</w:t>
      </w:r>
      <w:r>
        <w:rPr>
          <w:spacing w:val="-3"/>
        </w:rPr>
        <w:t xml:space="preserve"> </w:t>
      </w:r>
      <w:r>
        <w:t>and</w:t>
      </w:r>
      <w:r>
        <w:rPr>
          <w:spacing w:val="-1"/>
        </w:rPr>
        <w:t xml:space="preserve"> </w:t>
      </w:r>
      <w:r>
        <w:rPr>
          <w:spacing w:val="-4"/>
        </w:rPr>
        <w:t>□Q).</w:t>
      </w:r>
    </w:p>
    <w:p w14:paraId="7E002A00" w14:textId="77777777" w:rsidR="009A58DB" w:rsidRDefault="00000000">
      <w:pPr>
        <w:pStyle w:val="BodyText"/>
        <w:spacing w:before="15" w:line="249" w:lineRule="auto"/>
        <w:ind w:right="359"/>
      </w:pPr>
      <w:r>
        <w:t>A conjunction is necessarily true iff each conjunct is necessarily true. Explanation: If P isn’t necessarily true, there is some possible circumstance where it’s false and where, therefore, (P and Q) is false, no matter what Q is. If (P and Q) is necessarily true, there is no circumstance where (P and Q) is false or, therefore, where either P is false or Q is false.</w:t>
      </w:r>
    </w:p>
    <w:p w14:paraId="7E002A01" w14:textId="77777777" w:rsidR="009A58DB" w:rsidRDefault="00000000">
      <w:pPr>
        <w:pStyle w:val="BodyText"/>
        <w:spacing w:before="96"/>
      </w:pPr>
      <w:r>
        <w:t>6M.</w:t>
      </w:r>
      <w:r>
        <w:rPr>
          <w:spacing w:val="-5"/>
        </w:rPr>
        <w:t xml:space="preserve"> </w:t>
      </w:r>
      <w:r>
        <w:t>□~(P</w:t>
      </w:r>
      <w:r>
        <w:rPr>
          <w:spacing w:val="-2"/>
        </w:rPr>
        <w:t xml:space="preserve"> </w:t>
      </w:r>
      <w:r>
        <w:t>or</w:t>
      </w:r>
      <w:r>
        <w:rPr>
          <w:spacing w:val="-3"/>
        </w:rPr>
        <w:t xml:space="preserve"> </w:t>
      </w:r>
      <w:r>
        <w:t>Q)↔(□~P</w:t>
      </w:r>
      <w:r>
        <w:rPr>
          <w:spacing w:val="-3"/>
        </w:rPr>
        <w:t xml:space="preserve"> </w:t>
      </w:r>
      <w:r>
        <w:t>and</w:t>
      </w:r>
      <w:r>
        <w:rPr>
          <w:spacing w:val="-2"/>
        </w:rPr>
        <w:t xml:space="preserve"> □~Q).</w:t>
      </w:r>
    </w:p>
    <w:p w14:paraId="7E002A02" w14:textId="77777777" w:rsidR="009A58DB" w:rsidRDefault="00000000">
      <w:pPr>
        <w:pStyle w:val="BodyText"/>
        <w:spacing w:before="15"/>
      </w:pPr>
      <w:r>
        <w:t>A</w:t>
      </w:r>
      <w:r>
        <w:rPr>
          <w:spacing w:val="-7"/>
        </w:rPr>
        <w:t xml:space="preserve"> </w:t>
      </w:r>
      <w:r>
        <w:t>disjunction</w:t>
      </w:r>
      <w:r>
        <w:rPr>
          <w:spacing w:val="-4"/>
        </w:rPr>
        <w:t xml:space="preserve"> </w:t>
      </w:r>
      <w:r>
        <w:t>is</w:t>
      </w:r>
      <w:r>
        <w:rPr>
          <w:spacing w:val="-5"/>
        </w:rPr>
        <w:t xml:space="preserve"> </w:t>
      </w:r>
      <w:r>
        <w:t>necessarily</w:t>
      </w:r>
      <w:r>
        <w:rPr>
          <w:spacing w:val="-4"/>
        </w:rPr>
        <w:t xml:space="preserve"> </w:t>
      </w:r>
      <w:r>
        <w:t>false</w:t>
      </w:r>
      <w:r>
        <w:rPr>
          <w:spacing w:val="-5"/>
        </w:rPr>
        <w:t xml:space="preserve"> </w:t>
      </w:r>
      <w:r>
        <w:t>iff</w:t>
      </w:r>
      <w:r>
        <w:rPr>
          <w:spacing w:val="-5"/>
        </w:rPr>
        <w:t xml:space="preserve"> </w:t>
      </w:r>
      <w:r>
        <w:t>each</w:t>
      </w:r>
      <w:r>
        <w:rPr>
          <w:spacing w:val="-4"/>
        </w:rPr>
        <w:t xml:space="preserve"> </w:t>
      </w:r>
      <w:r>
        <w:t>disjunct</w:t>
      </w:r>
      <w:r>
        <w:rPr>
          <w:spacing w:val="-5"/>
        </w:rPr>
        <w:t xml:space="preserve"> </w:t>
      </w:r>
      <w:r>
        <w:t>is</w:t>
      </w:r>
      <w:r>
        <w:rPr>
          <w:spacing w:val="-5"/>
        </w:rPr>
        <w:t xml:space="preserve"> </w:t>
      </w:r>
      <w:r>
        <w:t>necessarily</w:t>
      </w:r>
      <w:r>
        <w:rPr>
          <w:spacing w:val="-3"/>
        </w:rPr>
        <w:t xml:space="preserve"> </w:t>
      </w:r>
      <w:r>
        <w:rPr>
          <w:spacing w:val="-2"/>
        </w:rPr>
        <w:t>false.</w:t>
      </w:r>
    </w:p>
    <w:p w14:paraId="7E002A03" w14:textId="77777777" w:rsidR="009A58DB" w:rsidRDefault="00000000">
      <w:pPr>
        <w:pStyle w:val="BodyText"/>
        <w:spacing w:before="15" w:line="249" w:lineRule="auto"/>
        <w:ind w:right="368" w:firstLine="360"/>
      </w:pPr>
      <w:r>
        <w:t>Explanation: Each of P and Q must be false in every possible world in order for ~(P or Q) to be false in every possible world; and there’s no way that ~(P or Q) can be true in any possible world if each of P and Q is false in every possible world.</w:t>
      </w:r>
    </w:p>
    <w:p w14:paraId="7E002A04" w14:textId="77777777" w:rsidR="009A58DB" w:rsidRDefault="00000000">
      <w:pPr>
        <w:pStyle w:val="BodyText"/>
        <w:spacing w:before="81"/>
        <w:jc w:val="left"/>
      </w:pPr>
      <w:r>
        <w:t>7M.(□P</w:t>
      </w:r>
      <w:r>
        <w:rPr>
          <w:spacing w:val="-3"/>
        </w:rPr>
        <w:t xml:space="preserve"> </w:t>
      </w:r>
      <w:r>
        <w:t>and</w:t>
      </w:r>
      <w:r>
        <w:rPr>
          <w:spacing w:val="-2"/>
        </w:rPr>
        <w:t xml:space="preserve"> </w:t>
      </w:r>
      <w:r>
        <w:rPr>
          <w:rFonts w:ascii="Segoe UI Symbol" w:hAnsi="Segoe UI Symbol"/>
          <w:spacing w:val="-2"/>
        </w:rPr>
        <w:t>◊</w:t>
      </w:r>
      <w:r>
        <w:rPr>
          <w:spacing w:val="-2"/>
        </w:rPr>
        <w:t>~Q)→~(P→Q).</w:t>
      </w:r>
    </w:p>
    <w:p w14:paraId="7E002A05" w14:textId="77777777" w:rsidR="009A58DB" w:rsidRDefault="00000000">
      <w:pPr>
        <w:pStyle w:val="BodyText"/>
        <w:spacing w:before="5" w:line="249" w:lineRule="auto"/>
        <w:jc w:val="left"/>
      </w:pPr>
      <w:r>
        <w:t>Nothing that can be false is a consequence of anything that cannot be false. Explanation: If P is necessarily true (true in all circumstances), whereas Q is possibly false</w:t>
      </w:r>
      <w:r>
        <w:rPr>
          <w:spacing w:val="2"/>
        </w:rPr>
        <w:t xml:space="preserve"> </w:t>
      </w:r>
      <w:r>
        <w:t>(false</w:t>
      </w:r>
      <w:r>
        <w:rPr>
          <w:spacing w:val="3"/>
        </w:rPr>
        <w:t xml:space="preserve"> </w:t>
      </w:r>
      <w:r>
        <w:t>in</w:t>
      </w:r>
      <w:r>
        <w:rPr>
          <w:spacing w:val="2"/>
        </w:rPr>
        <w:t xml:space="preserve"> </w:t>
      </w:r>
      <w:r>
        <w:t>some</w:t>
      </w:r>
      <w:r>
        <w:rPr>
          <w:spacing w:val="3"/>
        </w:rPr>
        <w:t xml:space="preserve"> </w:t>
      </w:r>
      <w:r>
        <w:t>circumstances),</w:t>
      </w:r>
      <w:r>
        <w:rPr>
          <w:spacing w:val="2"/>
        </w:rPr>
        <w:t xml:space="preserve"> </w:t>
      </w:r>
      <w:r>
        <w:t>there</w:t>
      </w:r>
      <w:r>
        <w:rPr>
          <w:spacing w:val="2"/>
        </w:rPr>
        <w:t xml:space="preserve"> </w:t>
      </w:r>
      <w:r>
        <w:t>are</w:t>
      </w:r>
      <w:r>
        <w:rPr>
          <w:spacing w:val="3"/>
        </w:rPr>
        <w:t xml:space="preserve"> </w:t>
      </w:r>
      <w:r>
        <w:t>circumstances</w:t>
      </w:r>
      <w:r>
        <w:rPr>
          <w:spacing w:val="2"/>
        </w:rPr>
        <w:t xml:space="preserve"> </w:t>
      </w:r>
      <w:r>
        <w:t>where</w:t>
      </w:r>
      <w:r>
        <w:rPr>
          <w:spacing w:val="3"/>
        </w:rPr>
        <w:t xml:space="preserve"> </w:t>
      </w:r>
      <w:r>
        <w:rPr>
          <w:spacing w:val="-10"/>
        </w:rPr>
        <w:t>P</w:t>
      </w:r>
    </w:p>
    <w:p w14:paraId="7E002A06"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A07" w14:textId="77777777" w:rsidR="009A58DB" w:rsidRDefault="00000000">
      <w:pPr>
        <w:pStyle w:val="BodyText"/>
        <w:spacing w:before="66"/>
      </w:pPr>
      <w:r>
        <w:lastRenderedPageBreak/>
        <w:t>is</w:t>
      </w:r>
      <w:r>
        <w:rPr>
          <w:spacing w:val="-3"/>
        </w:rPr>
        <w:t xml:space="preserve"> </w:t>
      </w:r>
      <w:r>
        <w:t>true</w:t>
      </w:r>
      <w:r>
        <w:rPr>
          <w:spacing w:val="-3"/>
        </w:rPr>
        <w:t xml:space="preserve"> </w:t>
      </w:r>
      <w:r>
        <w:t>and</w:t>
      </w:r>
      <w:r>
        <w:rPr>
          <w:spacing w:val="-2"/>
        </w:rPr>
        <w:t xml:space="preserve"> </w:t>
      </w:r>
      <w:r>
        <w:t>Q</w:t>
      </w:r>
      <w:r>
        <w:rPr>
          <w:spacing w:val="-3"/>
        </w:rPr>
        <w:t xml:space="preserve"> </w:t>
      </w:r>
      <w:r>
        <w:t>is</w:t>
      </w:r>
      <w:r>
        <w:rPr>
          <w:spacing w:val="-3"/>
        </w:rPr>
        <w:t xml:space="preserve"> </w:t>
      </w:r>
      <w:r>
        <w:t>false</w:t>
      </w:r>
      <w:r>
        <w:rPr>
          <w:spacing w:val="-3"/>
        </w:rPr>
        <w:t xml:space="preserve"> </w:t>
      </w:r>
      <w:r>
        <w:t>(i.e.,</w:t>
      </w:r>
      <w:r>
        <w:rPr>
          <w:spacing w:val="-2"/>
        </w:rPr>
        <w:t xml:space="preserve"> </w:t>
      </w:r>
      <w:r>
        <w:t>P</w:t>
      </w:r>
      <w:r>
        <w:rPr>
          <w:spacing w:val="-3"/>
        </w:rPr>
        <w:t xml:space="preserve"> </w:t>
      </w:r>
      <w:r>
        <w:t>doesn’t</w:t>
      </w:r>
      <w:r>
        <w:rPr>
          <w:spacing w:val="-3"/>
        </w:rPr>
        <w:t xml:space="preserve"> </w:t>
      </w:r>
      <w:r>
        <w:t>entail</w:t>
      </w:r>
      <w:r>
        <w:rPr>
          <w:spacing w:val="-2"/>
        </w:rPr>
        <w:t xml:space="preserve"> </w:t>
      </w:r>
      <w:r>
        <w:rPr>
          <w:spacing w:val="-5"/>
        </w:rPr>
        <w:t>Q).</w:t>
      </w:r>
    </w:p>
    <w:p w14:paraId="7E002A08" w14:textId="77777777" w:rsidR="009A58DB" w:rsidRDefault="009A58DB">
      <w:pPr>
        <w:pStyle w:val="BodyText"/>
        <w:ind w:left="0"/>
        <w:jc w:val="left"/>
      </w:pPr>
    </w:p>
    <w:p w14:paraId="7E002A09" w14:textId="77777777" w:rsidR="009A58DB" w:rsidRDefault="00000000">
      <w:pPr>
        <w:pStyle w:val="BodyText"/>
      </w:pPr>
      <w:r>
        <w:rPr>
          <w:w w:val="90"/>
        </w:rPr>
        <w:t>8M.</w:t>
      </w:r>
      <w:r>
        <w:rPr>
          <w:spacing w:val="1"/>
        </w:rPr>
        <w:t xml:space="preserve"> </w:t>
      </w:r>
      <w:r>
        <w:rPr>
          <w:w w:val="90"/>
        </w:rPr>
        <w:t>~((</w:t>
      </w:r>
      <w:r>
        <w:rPr>
          <w:rFonts w:ascii="Segoe UI Symbol" w:hAnsi="Segoe UI Symbol"/>
          <w:w w:val="90"/>
        </w:rPr>
        <w:t>◊</w:t>
      </w:r>
      <w:r>
        <w:rPr>
          <w:w w:val="90"/>
        </w:rPr>
        <w:t>P</w:t>
      </w:r>
      <w:r>
        <w:rPr>
          <w:spacing w:val="1"/>
        </w:rPr>
        <w:t xml:space="preserve"> </w:t>
      </w:r>
      <w:r>
        <w:rPr>
          <w:w w:val="90"/>
        </w:rPr>
        <w:t>and</w:t>
      </w:r>
      <w:r>
        <w:rPr>
          <w:spacing w:val="1"/>
        </w:rPr>
        <w:t xml:space="preserve"> </w:t>
      </w:r>
      <w:r>
        <w:rPr>
          <w:rFonts w:ascii="Segoe UI Symbol" w:hAnsi="Segoe UI Symbol"/>
          <w:w w:val="90"/>
        </w:rPr>
        <w:t>◊</w:t>
      </w:r>
      <w:r>
        <w:rPr>
          <w:w w:val="90"/>
        </w:rPr>
        <w:t>Q)→</w:t>
      </w:r>
      <w:r>
        <w:rPr>
          <w:rFonts w:ascii="Segoe UI Symbol" w:hAnsi="Segoe UI Symbol"/>
          <w:w w:val="90"/>
        </w:rPr>
        <w:t>◊</w:t>
      </w:r>
      <w:r>
        <w:rPr>
          <w:w w:val="90"/>
        </w:rPr>
        <w:t>(P</w:t>
      </w:r>
      <w:r>
        <w:rPr>
          <w:spacing w:val="1"/>
        </w:rPr>
        <w:t xml:space="preserve"> </w:t>
      </w:r>
      <w:r>
        <w:rPr>
          <w:w w:val="90"/>
        </w:rPr>
        <w:t>and</w:t>
      </w:r>
      <w:r>
        <w:rPr>
          <w:spacing w:val="2"/>
        </w:rPr>
        <w:t xml:space="preserve"> </w:t>
      </w:r>
      <w:r>
        <w:rPr>
          <w:spacing w:val="-4"/>
          <w:w w:val="90"/>
        </w:rPr>
        <w:t>Q)).</w:t>
      </w:r>
    </w:p>
    <w:p w14:paraId="7E002A0A" w14:textId="77777777" w:rsidR="009A58DB" w:rsidRDefault="00000000">
      <w:pPr>
        <w:pStyle w:val="BodyText"/>
        <w:spacing w:before="5"/>
      </w:pPr>
      <w:r>
        <w:t>Conjoining</w:t>
      </w:r>
      <w:r>
        <w:rPr>
          <w:spacing w:val="-7"/>
        </w:rPr>
        <w:t xml:space="preserve"> </w:t>
      </w:r>
      <w:r>
        <w:t>two</w:t>
      </w:r>
      <w:r>
        <w:rPr>
          <w:spacing w:val="-4"/>
        </w:rPr>
        <w:t xml:space="preserve"> </w:t>
      </w:r>
      <w:r>
        <w:t>possible</w:t>
      </w:r>
      <w:r>
        <w:rPr>
          <w:spacing w:val="-5"/>
        </w:rPr>
        <w:t xml:space="preserve"> </w:t>
      </w:r>
      <w:r>
        <w:t>statements</w:t>
      </w:r>
      <w:r>
        <w:rPr>
          <w:spacing w:val="-4"/>
        </w:rPr>
        <w:t xml:space="preserve"> </w:t>
      </w:r>
      <w:r>
        <w:t>may</w:t>
      </w:r>
      <w:r>
        <w:rPr>
          <w:spacing w:val="-5"/>
        </w:rPr>
        <w:t xml:space="preserve"> </w:t>
      </w:r>
      <w:r>
        <w:t>yield</w:t>
      </w:r>
      <w:r>
        <w:rPr>
          <w:spacing w:val="-4"/>
        </w:rPr>
        <w:t xml:space="preserve"> </w:t>
      </w:r>
      <w:r>
        <w:t>a</w:t>
      </w:r>
      <w:r>
        <w:rPr>
          <w:spacing w:val="-4"/>
        </w:rPr>
        <w:t xml:space="preserve"> </w:t>
      </w:r>
      <w:r>
        <w:t>necessarily</w:t>
      </w:r>
      <w:r>
        <w:rPr>
          <w:spacing w:val="-5"/>
        </w:rPr>
        <w:t xml:space="preserve"> </w:t>
      </w:r>
      <w:r>
        <w:t>false</w:t>
      </w:r>
      <w:r>
        <w:rPr>
          <w:spacing w:val="-4"/>
        </w:rPr>
        <w:t xml:space="preserve"> </w:t>
      </w:r>
      <w:r>
        <w:rPr>
          <w:spacing w:val="-2"/>
        </w:rPr>
        <w:t>statement.</w:t>
      </w:r>
    </w:p>
    <w:p w14:paraId="7E002A0B" w14:textId="77777777" w:rsidR="009A58DB" w:rsidRDefault="00000000">
      <w:pPr>
        <w:pStyle w:val="BodyText"/>
        <w:spacing w:before="15" w:line="249" w:lineRule="auto"/>
        <w:ind w:right="369" w:firstLine="360"/>
      </w:pPr>
      <w:r>
        <w:t xml:space="preserve">Explanation: “On June 12, 2009, JMK did not at any time leave the state of Virginia” is possible, and so is “On June 12, 2009, JMK did at some point leave the state of Virginia.” But they’re not </w:t>
      </w:r>
      <w:r>
        <w:rPr>
          <w:b/>
          <w:i/>
        </w:rPr>
        <w:t xml:space="preserve">compossible </w:t>
      </w:r>
      <w:r>
        <w:t>(i.e., they cannot both be true).</w:t>
      </w:r>
    </w:p>
    <w:p w14:paraId="7E002A0C" w14:textId="77777777" w:rsidR="009A58DB" w:rsidRDefault="00000000">
      <w:pPr>
        <w:pStyle w:val="BodyText"/>
        <w:spacing w:before="336"/>
      </w:pPr>
      <w:r>
        <w:rPr>
          <w:spacing w:val="-6"/>
        </w:rPr>
        <w:t>9M.(</w:t>
      </w:r>
      <w:r>
        <w:rPr>
          <w:rFonts w:ascii="Segoe UI Symbol" w:hAnsi="Segoe UI Symbol"/>
          <w:spacing w:val="-6"/>
        </w:rPr>
        <w:t>◊</w:t>
      </w:r>
      <w:r>
        <w:rPr>
          <w:spacing w:val="-6"/>
        </w:rPr>
        <w:t>P</w:t>
      </w:r>
      <w:r>
        <w:rPr>
          <w:spacing w:val="-10"/>
        </w:rPr>
        <w:t xml:space="preserve"> </w:t>
      </w:r>
      <w:r>
        <w:rPr>
          <w:spacing w:val="-6"/>
        </w:rPr>
        <w:t>and</w:t>
      </w:r>
      <w:r>
        <w:rPr>
          <w:spacing w:val="-9"/>
        </w:rPr>
        <w:t xml:space="preserve"> </w:t>
      </w:r>
      <w:r>
        <w:rPr>
          <w:spacing w:val="-6"/>
        </w:rPr>
        <w:t>□~Q)</w:t>
      </w:r>
      <w:r>
        <w:rPr>
          <w:spacing w:val="-9"/>
        </w:rPr>
        <w:t xml:space="preserve"> </w:t>
      </w:r>
      <w:r>
        <w:rPr>
          <w:spacing w:val="-6"/>
        </w:rPr>
        <w:t>→</w:t>
      </w:r>
      <w:r>
        <w:rPr>
          <w:spacing w:val="-9"/>
        </w:rPr>
        <w:t xml:space="preserve"> </w:t>
      </w:r>
      <w:r>
        <w:rPr>
          <w:spacing w:val="-6"/>
        </w:rPr>
        <w:t>~(P→Q)</w:t>
      </w:r>
    </w:p>
    <w:p w14:paraId="7E002A0D" w14:textId="77777777" w:rsidR="009A58DB" w:rsidRDefault="00000000">
      <w:pPr>
        <w:pStyle w:val="BodyText"/>
        <w:spacing w:before="5"/>
      </w:pPr>
      <w:r>
        <w:t>Nothing</w:t>
      </w:r>
      <w:r>
        <w:rPr>
          <w:spacing w:val="-5"/>
        </w:rPr>
        <w:t xml:space="preserve"> </w:t>
      </w:r>
      <w:r>
        <w:t>that</w:t>
      </w:r>
      <w:r>
        <w:rPr>
          <w:spacing w:val="-3"/>
        </w:rPr>
        <w:t xml:space="preserve"> </w:t>
      </w:r>
      <w:r>
        <w:t>can</w:t>
      </w:r>
      <w:r>
        <w:rPr>
          <w:spacing w:val="-2"/>
        </w:rPr>
        <w:t xml:space="preserve"> </w:t>
      </w:r>
      <w:r>
        <w:t>be</w:t>
      </w:r>
      <w:r>
        <w:rPr>
          <w:spacing w:val="-3"/>
        </w:rPr>
        <w:t xml:space="preserve"> </w:t>
      </w:r>
      <w:r>
        <w:t>true</w:t>
      </w:r>
      <w:r>
        <w:rPr>
          <w:spacing w:val="-3"/>
        </w:rPr>
        <w:t xml:space="preserve"> </w:t>
      </w:r>
      <w:r>
        <w:t>entails</w:t>
      </w:r>
      <w:r>
        <w:rPr>
          <w:spacing w:val="-3"/>
        </w:rPr>
        <w:t xml:space="preserve"> </w:t>
      </w:r>
      <w:r>
        <w:t>anything</w:t>
      </w:r>
      <w:r>
        <w:rPr>
          <w:spacing w:val="-2"/>
        </w:rPr>
        <w:t xml:space="preserve"> </w:t>
      </w:r>
      <w:r>
        <w:t>that</w:t>
      </w:r>
      <w:r>
        <w:rPr>
          <w:spacing w:val="-3"/>
        </w:rPr>
        <w:t xml:space="preserve"> </w:t>
      </w:r>
      <w:r>
        <w:t>cannot</w:t>
      </w:r>
      <w:r>
        <w:rPr>
          <w:spacing w:val="-3"/>
        </w:rPr>
        <w:t xml:space="preserve"> </w:t>
      </w:r>
      <w:r>
        <w:t>be</w:t>
      </w:r>
      <w:r>
        <w:rPr>
          <w:spacing w:val="-3"/>
        </w:rPr>
        <w:t xml:space="preserve"> </w:t>
      </w:r>
      <w:r>
        <w:rPr>
          <w:spacing w:val="-2"/>
        </w:rPr>
        <w:t>true.</w:t>
      </w:r>
    </w:p>
    <w:p w14:paraId="7E002A0E" w14:textId="77777777" w:rsidR="009A58DB" w:rsidRDefault="00000000">
      <w:pPr>
        <w:pStyle w:val="BodyText"/>
        <w:spacing w:before="15" w:line="249" w:lineRule="auto"/>
        <w:ind w:right="370" w:firstLine="360"/>
      </w:pPr>
      <w:r>
        <w:t>Explanation: If P is true in some possible circumstance, whereas Q is true in</w:t>
      </w:r>
      <w:r>
        <w:rPr>
          <w:spacing w:val="-1"/>
        </w:rPr>
        <w:t xml:space="preserve"> </w:t>
      </w:r>
      <w:r>
        <w:t>none, there is a</w:t>
      </w:r>
      <w:r>
        <w:rPr>
          <w:spacing w:val="-1"/>
        </w:rPr>
        <w:t xml:space="preserve"> </w:t>
      </w:r>
      <w:r>
        <w:t>possible circumstance where P</w:t>
      </w:r>
      <w:r>
        <w:rPr>
          <w:spacing w:val="-1"/>
        </w:rPr>
        <w:t xml:space="preserve"> </w:t>
      </w:r>
      <w:r>
        <w:t>is true</w:t>
      </w:r>
      <w:r>
        <w:rPr>
          <w:spacing w:val="-1"/>
        </w:rPr>
        <w:t xml:space="preserve"> </w:t>
      </w:r>
      <w:r>
        <w:t>and Q</w:t>
      </w:r>
      <w:r>
        <w:rPr>
          <w:spacing w:val="-1"/>
        </w:rPr>
        <w:t xml:space="preserve"> </w:t>
      </w:r>
      <w:r>
        <w:t>is false, which means that P doesn’t entail Q.</w:t>
      </w:r>
    </w:p>
    <w:p w14:paraId="7E002A0F" w14:textId="77777777" w:rsidR="009A58DB" w:rsidRDefault="009A58DB">
      <w:pPr>
        <w:pStyle w:val="BodyText"/>
        <w:spacing w:before="18"/>
        <w:ind w:left="0"/>
        <w:jc w:val="left"/>
      </w:pPr>
    </w:p>
    <w:p w14:paraId="7E002A10" w14:textId="77777777" w:rsidR="009A58DB" w:rsidRDefault="00000000">
      <w:pPr>
        <w:pStyle w:val="BodyText"/>
        <w:jc w:val="left"/>
      </w:pPr>
      <w:r>
        <w:rPr>
          <w:noProof/>
        </w:rPr>
        <mc:AlternateContent>
          <mc:Choice Requires="wps">
            <w:drawing>
              <wp:anchor distT="0" distB="0" distL="0" distR="0" simplePos="0" relativeHeight="480347648" behindDoc="1" locked="0" layoutInCell="1" allowOverlap="1" wp14:anchorId="7E0032A8" wp14:editId="7E0032A9">
                <wp:simplePos x="0" y="0"/>
                <wp:positionH relativeFrom="page">
                  <wp:posOffset>2278112</wp:posOffset>
                </wp:positionH>
                <wp:positionV relativeFrom="paragraph">
                  <wp:posOffset>141845</wp:posOffset>
                </wp:positionV>
                <wp:extent cx="63500" cy="211454"/>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211454"/>
                        </a:xfrm>
                        <a:prstGeom prst="rect">
                          <a:avLst/>
                        </a:prstGeom>
                      </wps:spPr>
                      <wps:txbx>
                        <w:txbxContent>
                          <w:p w14:paraId="7E0032C4" w14:textId="77777777" w:rsidR="009A58DB" w:rsidRDefault="00000000">
                            <w:pPr>
                              <w:spacing w:line="332" w:lineRule="exact"/>
                              <w:rPr>
                                <w:sz w:val="30"/>
                              </w:rPr>
                            </w:pPr>
                            <w:r>
                              <w:rPr>
                                <w:spacing w:val="-10"/>
                                <w:sz w:val="30"/>
                              </w:rPr>
                              <w:t>)</w:t>
                            </w:r>
                          </w:p>
                        </w:txbxContent>
                      </wps:txbx>
                      <wps:bodyPr wrap="square" lIns="0" tIns="0" rIns="0" bIns="0" rtlCol="0">
                        <a:noAutofit/>
                      </wps:bodyPr>
                    </wps:wsp>
                  </a:graphicData>
                </a:graphic>
              </wp:anchor>
            </w:drawing>
          </mc:Choice>
          <mc:Fallback>
            <w:pict>
              <v:shape w14:anchorId="7E0032A8" id="Textbox 45" o:spid="_x0000_s1046" type="#_x0000_t202" style="position:absolute;left:0;text-align:left;margin-left:179.4pt;margin-top:11.15pt;width:5pt;height:16.65pt;z-index:-229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" filled="f" stroked="f">
                <v:textbox inset="0,0,0,0">
                  <w:txbxContent>
                    <w:p w14:paraId="7E0032C4" w14:textId="77777777" w:rsidR="009A58DB" w:rsidRDefault="00000000">
                      <w:pPr>
                        <w:spacing w:line="332" w:lineRule="exact"/>
                        <w:rPr>
                          <w:sz w:val="30"/>
                        </w:rPr>
                      </w:pPr>
                      <w:r>
                        <w:rPr>
                          <w:spacing w:val="-10"/>
                          <w:sz w:val="30"/>
                        </w:rPr>
                        <w:t>)</w:t>
                      </w:r>
                    </w:p>
                  </w:txbxContent>
                </v:textbox>
                <w10:wrap anchorx="page"/>
              </v:shape>
            </w:pict>
          </mc:Fallback>
        </mc:AlternateContent>
      </w:r>
      <w:bookmarkStart w:id="576" w:name="_bookmark576"/>
      <w:bookmarkEnd w:id="576"/>
      <w:r>
        <w:rPr>
          <w:color w:val="0562C1"/>
          <w:spacing w:val="-1"/>
          <w:position w:val="21"/>
          <w:u w:val="single" w:color="0562C1"/>
        </w:rPr>
        <w:t>[</w:t>
      </w:r>
      <w:r>
        <w:rPr>
          <w:color w:val="0562C1"/>
          <w:position w:val="21"/>
          <w:u w:val="single" w:color="0562C1"/>
        </w:rPr>
        <w:t>434</w:t>
      </w:r>
      <w:r>
        <w:rPr>
          <w:color w:val="0562C1"/>
          <w:spacing w:val="-2898"/>
          <w:position w:val="21"/>
          <w:u w:val="single" w:color="0562C1"/>
        </w:rPr>
        <w:t>]</w:t>
      </w:r>
      <w:r>
        <w:t>10</w:t>
      </w:r>
      <w:r>
        <w:rPr>
          <w:spacing w:val="-1"/>
        </w:rPr>
        <w:t>M</w:t>
      </w:r>
      <w:r>
        <w:t xml:space="preserve">. </w:t>
      </w:r>
      <w:r>
        <w:rPr>
          <w:spacing w:val="-2"/>
        </w:rPr>
        <w:t>□P→(Q→P</w:t>
      </w:r>
    </w:p>
    <w:p w14:paraId="7E002A11" w14:textId="77777777" w:rsidR="009A58DB" w:rsidRDefault="00000000">
      <w:pPr>
        <w:pStyle w:val="BodyText"/>
        <w:spacing w:before="15" w:line="249" w:lineRule="auto"/>
        <w:ind w:right="365"/>
        <w:jc w:val="left"/>
      </w:pPr>
      <w:r>
        <w:t xml:space="preserve">Given any necessarily true statement, there is no statement that doesn’t entail </w:t>
      </w:r>
      <w:r>
        <w:rPr>
          <w:spacing w:val="-4"/>
        </w:rPr>
        <w:t>it.</w:t>
      </w:r>
    </w:p>
    <w:p w14:paraId="7E002A12" w14:textId="77777777" w:rsidR="009A58DB" w:rsidRDefault="00000000">
      <w:pPr>
        <w:pStyle w:val="BodyText"/>
        <w:spacing w:before="3" w:line="249" w:lineRule="auto"/>
        <w:ind w:right="359" w:firstLine="360"/>
      </w:pPr>
      <w:r>
        <w:t xml:space="preserve">Explanation: If P is necessarily true, there are no possible circumstances where P false. </w:t>
      </w:r>
      <w:r>
        <w:rPr>
          <w:i/>
        </w:rPr>
        <w:t xml:space="preserve">A fortiori, </w:t>
      </w:r>
      <w:r>
        <w:t xml:space="preserve">there is no possible circumstances where, for any proposition Q, P is false </w:t>
      </w:r>
      <w:r>
        <w:rPr>
          <w:i/>
        </w:rPr>
        <w:t xml:space="preserve">and </w:t>
      </w:r>
      <w:r>
        <w:t>Q is true.</w:t>
      </w:r>
    </w:p>
    <w:p w14:paraId="7E002A13" w14:textId="77777777" w:rsidR="009A58DB" w:rsidRDefault="009A58DB">
      <w:pPr>
        <w:pStyle w:val="BodyText"/>
        <w:spacing w:before="18"/>
        <w:ind w:left="0"/>
        <w:jc w:val="left"/>
      </w:pPr>
    </w:p>
    <w:p w14:paraId="7E002A14" w14:textId="77777777" w:rsidR="009A58DB" w:rsidRDefault="00000000">
      <w:pPr>
        <w:pStyle w:val="BodyText"/>
        <w:spacing w:before="1"/>
        <w:jc w:val="left"/>
      </w:pPr>
      <w:r>
        <w:rPr>
          <w:spacing w:val="-2"/>
        </w:rPr>
        <w:t>11M.~□P→(P→Q)</w:t>
      </w:r>
    </w:p>
    <w:p w14:paraId="7E002A15" w14:textId="77777777" w:rsidR="009A58DB" w:rsidRDefault="00000000">
      <w:pPr>
        <w:pStyle w:val="BodyText"/>
        <w:spacing w:before="15" w:line="249" w:lineRule="auto"/>
        <w:ind w:right="358"/>
      </w:pPr>
      <w:r>
        <w:t>Given any statement at all, be it true or false, there is no necessarily false statement that doesn’t entail it.</w:t>
      </w:r>
    </w:p>
    <w:p w14:paraId="7E002A16" w14:textId="77777777" w:rsidR="009A58DB" w:rsidRDefault="00000000">
      <w:pPr>
        <w:pStyle w:val="BodyText"/>
        <w:spacing w:before="2" w:line="249" w:lineRule="auto"/>
        <w:ind w:right="362" w:firstLine="360"/>
      </w:pPr>
      <w:r>
        <w:t xml:space="preserve">Explanation: If P is necessarily false, there is no possible circumstance where P is true. </w:t>
      </w:r>
      <w:r>
        <w:rPr>
          <w:i/>
        </w:rPr>
        <w:t xml:space="preserve">A fortiori, </w:t>
      </w:r>
      <w:r>
        <w:t xml:space="preserve">there is no possible circumstance where, for any proposition Q, P is true </w:t>
      </w:r>
      <w:r>
        <w:rPr>
          <w:i/>
        </w:rPr>
        <w:t xml:space="preserve">and </w:t>
      </w:r>
      <w:r>
        <w:t>Q is false.</w:t>
      </w:r>
    </w:p>
    <w:p w14:paraId="7E002A17" w14:textId="77777777" w:rsidR="009A58DB" w:rsidRDefault="009A58DB">
      <w:pPr>
        <w:pStyle w:val="BodyText"/>
        <w:spacing w:before="19"/>
        <w:ind w:left="0"/>
        <w:jc w:val="left"/>
      </w:pPr>
    </w:p>
    <w:p w14:paraId="7E002A18" w14:textId="77777777" w:rsidR="009A58DB" w:rsidRDefault="00000000">
      <w:pPr>
        <w:pStyle w:val="BodyText"/>
      </w:pPr>
      <w:r>
        <w:t>12M.</w:t>
      </w:r>
      <w:r>
        <w:rPr>
          <w:spacing w:val="-1"/>
        </w:rPr>
        <w:t xml:space="preserve"> </w:t>
      </w:r>
      <w:r>
        <w:rPr>
          <w:spacing w:val="-2"/>
        </w:rPr>
        <w:t>□(P→Q)→(□P→□Q).</w:t>
      </w:r>
    </w:p>
    <w:p w14:paraId="7E002A19" w14:textId="77777777" w:rsidR="009A58DB" w:rsidRDefault="00000000">
      <w:pPr>
        <w:pStyle w:val="BodyText"/>
        <w:spacing w:before="15" w:line="249" w:lineRule="auto"/>
        <w:ind w:right="372"/>
      </w:pPr>
      <w:r>
        <w:t>A statement is necessary if it’s entailed by a necessary conditional with a necessary antecedent.</w:t>
      </w:r>
    </w:p>
    <w:p w14:paraId="7E002A1A" w14:textId="77777777" w:rsidR="009A58DB" w:rsidRDefault="009A58DB">
      <w:pPr>
        <w:pStyle w:val="BodyText"/>
        <w:spacing w:before="17"/>
        <w:ind w:left="0"/>
        <w:jc w:val="left"/>
      </w:pPr>
    </w:p>
    <w:p w14:paraId="7E002A1B" w14:textId="77777777" w:rsidR="009A58DB" w:rsidRDefault="00000000">
      <w:pPr>
        <w:pStyle w:val="BodyText"/>
        <w:spacing w:line="249" w:lineRule="auto"/>
        <w:ind w:left="720" w:right="365"/>
        <w:jc w:val="left"/>
      </w:pPr>
      <w:r>
        <w:t>Exercise:</w:t>
      </w:r>
      <w:r>
        <w:rPr>
          <w:spacing w:val="40"/>
        </w:rPr>
        <w:t xml:space="preserve"> </w:t>
      </w:r>
      <w:r>
        <w:t>13M</w:t>
      </w:r>
      <w:r>
        <w:rPr>
          <w:spacing w:val="40"/>
        </w:rPr>
        <w:t xml:space="preserve"> </w:t>
      </w:r>
      <w:r>
        <w:t>can</w:t>
      </w:r>
      <w:r>
        <w:rPr>
          <w:spacing w:val="40"/>
        </w:rPr>
        <w:t xml:space="preserve"> </w:t>
      </w:r>
      <w:r>
        <w:t>be</w:t>
      </w:r>
      <w:r>
        <w:rPr>
          <w:spacing w:val="40"/>
        </w:rPr>
        <w:t xml:space="preserve"> </w:t>
      </w:r>
      <w:r>
        <w:t>seen</w:t>
      </w:r>
      <w:r>
        <w:rPr>
          <w:spacing w:val="40"/>
        </w:rPr>
        <w:t xml:space="preserve"> </w:t>
      </w:r>
      <w:r>
        <w:t>as</w:t>
      </w:r>
      <w:r>
        <w:rPr>
          <w:spacing w:val="40"/>
        </w:rPr>
        <w:t xml:space="preserve"> </w:t>
      </w:r>
      <w:r>
        <w:t>a</w:t>
      </w:r>
      <w:r>
        <w:rPr>
          <w:spacing w:val="40"/>
        </w:rPr>
        <w:t xml:space="preserve"> </w:t>
      </w:r>
      <w:r>
        <w:t>generalization</w:t>
      </w:r>
      <w:r>
        <w:rPr>
          <w:spacing w:val="40"/>
        </w:rPr>
        <w:t xml:space="preserve"> </w:t>
      </w:r>
      <w:r>
        <w:t>of</w:t>
      </w:r>
      <w:r>
        <w:rPr>
          <w:spacing w:val="40"/>
        </w:rPr>
        <w:t xml:space="preserve"> </w:t>
      </w:r>
      <w:r>
        <w:t>Modus</w:t>
      </w:r>
      <w:r>
        <w:rPr>
          <w:spacing w:val="40"/>
        </w:rPr>
        <w:t xml:space="preserve"> </w:t>
      </w:r>
      <w:r>
        <w:t>ponens. Explain</w:t>
      </w:r>
      <w:r>
        <w:rPr>
          <w:spacing w:val="-2"/>
        </w:rPr>
        <w:t xml:space="preserve"> </w:t>
      </w:r>
      <w:r>
        <w:t>why</w:t>
      </w:r>
      <w:r>
        <w:rPr>
          <w:spacing w:val="-2"/>
        </w:rPr>
        <w:t xml:space="preserve"> </w:t>
      </w:r>
      <w:r>
        <w:t>this</w:t>
      </w:r>
      <w:r>
        <w:rPr>
          <w:spacing w:val="-2"/>
        </w:rPr>
        <w:t xml:space="preserve"> </w:t>
      </w:r>
      <w:r>
        <w:t>is</w:t>
      </w:r>
      <w:r>
        <w:rPr>
          <w:spacing w:val="-2"/>
        </w:rPr>
        <w:t xml:space="preserve"> </w:t>
      </w:r>
      <w:r>
        <w:t>so.</w:t>
      </w:r>
      <w:r>
        <w:rPr>
          <w:spacing w:val="-2"/>
        </w:rPr>
        <w:t xml:space="preserve"> </w:t>
      </w:r>
      <w:r>
        <w:t>Exercise:</w:t>
      </w:r>
      <w:r>
        <w:rPr>
          <w:spacing w:val="-2"/>
        </w:rPr>
        <w:t xml:space="preserve"> </w:t>
      </w:r>
      <w:r>
        <w:t>Is</w:t>
      </w:r>
      <w:r>
        <w:rPr>
          <w:spacing w:val="-1"/>
        </w:rPr>
        <w:t xml:space="preserve"> </w:t>
      </w:r>
      <w:r>
        <w:t>“(□P→□Q)→</w:t>
      </w:r>
      <w:r>
        <w:rPr>
          <w:spacing w:val="12"/>
        </w:rPr>
        <w:t xml:space="preserve"> </w:t>
      </w:r>
      <w:r>
        <w:t>□(P→Q)”</w:t>
      </w:r>
      <w:r>
        <w:rPr>
          <w:spacing w:val="-2"/>
        </w:rPr>
        <w:t xml:space="preserve"> </w:t>
      </w:r>
      <w:r>
        <w:t>a</w:t>
      </w:r>
      <w:r>
        <w:rPr>
          <w:spacing w:val="-1"/>
        </w:rPr>
        <w:t xml:space="preserve"> </w:t>
      </w:r>
      <w:r>
        <w:rPr>
          <w:spacing w:val="-2"/>
        </w:rPr>
        <w:t>correct</w:t>
      </w:r>
    </w:p>
    <w:p w14:paraId="7E002A1C"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A1D" w14:textId="77777777" w:rsidR="009A58DB" w:rsidRDefault="00000000">
      <w:pPr>
        <w:pStyle w:val="BodyText"/>
        <w:spacing w:before="65"/>
        <w:ind w:left="720"/>
        <w:jc w:val="left"/>
      </w:pPr>
      <w:r>
        <w:lastRenderedPageBreak/>
        <w:t>principle?</w:t>
      </w:r>
      <w:r>
        <w:rPr>
          <w:spacing w:val="-4"/>
        </w:rPr>
        <w:t xml:space="preserve"> </w:t>
      </w:r>
      <w:r>
        <w:t>Explain</w:t>
      </w:r>
      <w:r>
        <w:rPr>
          <w:spacing w:val="-2"/>
        </w:rPr>
        <w:t xml:space="preserve"> </w:t>
      </w:r>
      <w:r>
        <w:t>why</w:t>
      </w:r>
      <w:r>
        <w:rPr>
          <w:spacing w:val="-3"/>
        </w:rPr>
        <w:t xml:space="preserve"> </w:t>
      </w:r>
      <w:r>
        <w:t>or</w:t>
      </w:r>
      <w:r>
        <w:rPr>
          <w:spacing w:val="-3"/>
        </w:rPr>
        <w:t xml:space="preserve"> </w:t>
      </w:r>
      <w:r>
        <w:t>why</w:t>
      </w:r>
      <w:r>
        <w:rPr>
          <w:spacing w:val="-2"/>
        </w:rPr>
        <w:t xml:space="preserve"> </w:t>
      </w:r>
      <w:r>
        <w:rPr>
          <w:spacing w:val="-4"/>
        </w:rPr>
        <w:t>not.</w:t>
      </w:r>
    </w:p>
    <w:p w14:paraId="7E002A1E" w14:textId="77777777" w:rsidR="009A58DB" w:rsidRDefault="009A58DB">
      <w:pPr>
        <w:pStyle w:val="BodyText"/>
        <w:spacing w:before="29"/>
        <w:ind w:left="0"/>
        <w:jc w:val="left"/>
      </w:pPr>
    </w:p>
    <w:p w14:paraId="7E002A1F" w14:textId="77777777" w:rsidR="009A58DB" w:rsidRDefault="00000000">
      <w:pPr>
        <w:pStyle w:val="BodyText"/>
        <w:spacing w:before="1"/>
      </w:pPr>
      <w:r>
        <w:t>13M.</w:t>
      </w:r>
      <w:r>
        <w:rPr>
          <w:spacing w:val="-3"/>
        </w:rPr>
        <w:t xml:space="preserve"> </w:t>
      </w:r>
      <w:r>
        <w:t>□P→□□P.</w:t>
      </w:r>
      <w:r>
        <w:rPr>
          <w:spacing w:val="-3"/>
        </w:rPr>
        <w:t xml:space="preserve"> </w:t>
      </w:r>
      <w:r>
        <w:rPr>
          <w:spacing w:val="-2"/>
        </w:rPr>
        <w:t>(“S5.”)</w:t>
      </w:r>
    </w:p>
    <w:p w14:paraId="7E002A20" w14:textId="77777777" w:rsidR="009A58DB" w:rsidRDefault="00000000">
      <w:pPr>
        <w:pStyle w:val="BodyText"/>
        <w:spacing w:before="15"/>
      </w:pPr>
      <w:r>
        <w:t>Whatever</w:t>
      </w:r>
      <w:r>
        <w:rPr>
          <w:spacing w:val="-8"/>
        </w:rPr>
        <w:t xml:space="preserve"> </w:t>
      </w:r>
      <w:r>
        <w:t>is</w:t>
      </w:r>
      <w:r>
        <w:rPr>
          <w:spacing w:val="-6"/>
        </w:rPr>
        <w:t xml:space="preserve"> </w:t>
      </w:r>
      <w:r>
        <w:t>necessary</w:t>
      </w:r>
      <w:r>
        <w:rPr>
          <w:spacing w:val="-4"/>
        </w:rPr>
        <w:t xml:space="preserve"> </w:t>
      </w:r>
      <w:r>
        <w:t>is</w:t>
      </w:r>
      <w:r>
        <w:rPr>
          <w:spacing w:val="-6"/>
        </w:rPr>
        <w:t xml:space="preserve"> </w:t>
      </w:r>
      <w:r>
        <w:t>necessarily</w:t>
      </w:r>
      <w:r>
        <w:rPr>
          <w:spacing w:val="-4"/>
        </w:rPr>
        <w:t xml:space="preserve"> </w:t>
      </w:r>
      <w:r>
        <w:rPr>
          <w:spacing w:val="-2"/>
        </w:rPr>
        <w:t>necessary.</w:t>
      </w:r>
    </w:p>
    <w:p w14:paraId="7E002A21" w14:textId="77777777" w:rsidR="009A58DB" w:rsidRDefault="00000000">
      <w:pPr>
        <w:pStyle w:val="BodyText"/>
        <w:spacing w:before="15" w:line="249" w:lineRule="auto"/>
        <w:ind w:right="360" w:firstLine="360"/>
      </w:pPr>
      <w:r>
        <w:t>Explanation: Point #1: If ~□□P, then there is some possible circumstance where</w:t>
      </w:r>
      <w:r>
        <w:rPr>
          <w:spacing w:val="40"/>
        </w:rPr>
        <w:t xml:space="preserve"> </w:t>
      </w:r>
      <w:r>
        <w:t>~□P.</w:t>
      </w:r>
      <w:r>
        <w:rPr>
          <w:spacing w:val="40"/>
        </w:rPr>
        <w:t xml:space="preserve"> </w:t>
      </w:r>
      <w:r>
        <w:t>By</w:t>
      </w:r>
      <w:r>
        <w:rPr>
          <w:spacing w:val="40"/>
        </w:rPr>
        <w:t xml:space="preserve"> </w:t>
      </w:r>
      <w:r>
        <w:t>contraposition,</w:t>
      </w:r>
      <w:r>
        <w:rPr>
          <w:spacing w:val="40"/>
        </w:rPr>
        <w:t xml:space="preserve"> </w:t>
      </w:r>
      <w:r>
        <w:t>if</w:t>
      </w:r>
      <w:r>
        <w:rPr>
          <w:spacing w:val="40"/>
        </w:rPr>
        <w:t xml:space="preserve"> </w:t>
      </w:r>
      <w:r>
        <w:t>there</w:t>
      </w:r>
      <w:r>
        <w:rPr>
          <w:spacing w:val="40"/>
        </w:rPr>
        <w:t xml:space="preserve"> </w:t>
      </w:r>
      <w:r>
        <w:t>is</w:t>
      </w:r>
      <w:r>
        <w:rPr>
          <w:spacing w:val="40"/>
        </w:rPr>
        <w:t xml:space="preserve"> </w:t>
      </w:r>
      <w:r>
        <w:rPr>
          <w:i/>
        </w:rPr>
        <w:t>no</w:t>
      </w:r>
      <w:r>
        <w:rPr>
          <w:i/>
          <w:spacing w:val="40"/>
        </w:rPr>
        <w:t xml:space="preserve"> </w:t>
      </w:r>
      <w:r>
        <w:t>possible</w:t>
      </w:r>
      <w:r>
        <w:rPr>
          <w:spacing w:val="40"/>
        </w:rPr>
        <w:t xml:space="preserve"> </w:t>
      </w:r>
      <w:r>
        <w:t>circumstance</w:t>
      </w:r>
      <w:r>
        <w:rPr>
          <w:spacing w:val="40"/>
        </w:rPr>
        <w:t xml:space="preserve"> </w:t>
      </w:r>
      <w:r>
        <w:t>where</w:t>
      </w:r>
    </w:p>
    <w:p w14:paraId="7E002A22" w14:textId="77777777" w:rsidR="009A58DB" w:rsidRDefault="00000000">
      <w:pPr>
        <w:pStyle w:val="BodyText"/>
        <w:spacing w:before="2" w:line="249" w:lineRule="auto"/>
        <w:ind w:right="358"/>
      </w:pPr>
      <w:r>
        <w:t xml:space="preserve">~□P, then □□P is true. Point #2: If ~□P, then there is some possible circumstance where ~P. By contraposition, if there is </w:t>
      </w:r>
      <w:r>
        <w:rPr>
          <w:i/>
        </w:rPr>
        <w:t xml:space="preserve">no </w:t>
      </w:r>
      <w:r>
        <w:t>possible circumstance where ~P, then □P is true. Point #3: Given the first two points,</w:t>
      </w:r>
    </w:p>
    <w:p w14:paraId="7E002A23" w14:textId="77777777" w:rsidR="009A58DB" w:rsidRDefault="00000000">
      <w:pPr>
        <w:pStyle w:val="BodyText"/>
        <w:spacing w:before="4"/>
        <w:jc w:val="left"/>
      </w:pPr>
      <w:r>
        <w:rPr>
          <w:noProof/>
        </w:rPr>
        <mc:AlternateContent>
          <mc:Choice Requires="wps">
            <w:drawing>
              <wp:anchor distT="0" distB="0" distL="0" distR="0" simplePos="0" relativeHeight="480348160" behindDoc="1" locked="0" layoutInCell="1" allowOverlap="1" wp14:anchorId="7E0032AA" wp14:editId="7E0032AB">
                <wp:simplePos x="0" y="0"/>
                <wp:positionH relativeFrom="page">
                  <wp:posOffset>5273575</wp:posOffset>
                </wp:positionH>
                <wp:positionV relativeFrom="paragraph">
                  <wp:posOffset>144104</wp:posOffset>
                </wp:positionV>
                <wp:extent cx="47625" cy="21145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211454"/>
                        </a:xfrm>
                        <a:prstGeom prst="rect">
                          <a:avLst/>
                        </a:prstGeom>
                      </wps:spPr>
                      <wps:txbx>
                        <w:txbxContent>
                          <w:p w14:paraId="7E0032C5" w14:textId="77777777" w:rsidR="009A58DB" w:rsidRDefault="00000000">
                            <w:pPr>
                              <w:spacing w:line="332" w:lineRule="exact"/>
                              <w:rPr>
                                <w:sz w:val="30"/>
                              </w:rPr>
                            </w:pPr>
                            <w:r>
                              <w:rPr>
                                <w:spacing w:val="-10"/>
                                <w:sz w:val="30"/>
                              </w:rPr>
                              <w:t>.</w:t>
                            </w:r>
                          </w:p>
                        </w:txbxContent>
                      </wps:txbx>
                      <wps:bodyPr wrap="square" lIns="0" tIns="0" rIns="0" bIns="0" rtlCol="0">
                        <a:noAutofit/>
                      </wps:bodyPr>
                    </wps:wsp>
                  </a:graphicData>
                </a:graphic>
              </wp:anchor>
            </w:drawing>
          </mc:Choice>
          <mc:Fallback>
            <w:pict>
              <v:shape w14:anchorId="7E0032AA" id="Textbox 46" o:spid="_x0000_s1047" type="#_x0000_t202" style="position:absolute;left:0;text-align:left;margin-left:415.25pt;margin-top:11.35pt;width:3.75pt;height:16.65pt;z-index:-2296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" filled="f" stroked="f">
                <v:textbox inset="0,0,0,0">
                  <w:txbxContent>
                    <w:p w14:paraId="7E0032C5" w14:textId="77777777" w:rsidR="009A58DB" w:rsidRDefault="00000000">
                      <w:pPr>
                        <w:spacing w:line="332" w:lineRule="exact"/>
                        <w:rPr>
                          <w:sz w:val="30"/>
                        </w:rPr>
                      </w:pPr>
                      <w:r>
                        <w:rPr>
                          <w:spacing w:val="-10"/>
                          <w:sz w:val="30"/>
                        </w:rPr>
                        <w:t>.</w:t>
                      </w:r>
                    </w:p>
                  </w:txbxContent>
                </v:textbox>
                <w10:wrap anchorx="page"/>
              </v:shape>
            </w:pict>
          </mc:Fallback>
        </mc:AlternateContent>
      </w:r>
      <w:bookmarkStart w:id="577" w:name="_bookmark577"/>
      <w:bookmarkEnd w:id="577"/>
      <w:r>
        <w:rPr>
          <w:color w:val="0562C1"/>
          <w:spacing w:val="-1"/>
          <w:position w:val="21"/>
          <w:u w:val="single" w:color="0562C1"/>
        </w:rPr>
        <w:t>[</w:t>
      </w:r>
      <w:r>
        <w:rPr>
          <w:color w:val="0562C1"/>
          <w:position w:val="21"/>
          <w:u w:val="single" w:color="0562C1"/>
        </w:rPr>
        <w:t>435</w:t>
      </w:r>
      <w:r>
        <w:rPr>
          <w:color w:val="0562C1"/>
          <w:spacing w:val="-7590"/>
          <w:position w:val="21"/>
          <w:u w:val="single" w:color="0562C1"/>
        </w:rPr>
        <w:t>]</w:t>
      </w:r>
      <w:r>
        <w:rPr>
          <w:spacing w:val="-1"/>
        </w:rPr>
        <w:t>i</w:t>
      </w:r>
      <w:r>
        <w:t>t</w:t>
      </w:r>
      <w:r>
        <w:rPr>
          <w:spacing w:val="-3"/>
        </w:rPr>
        <w:t xml:space="preserve"> </w:t>
      </w:r>
      <w:r>
        <w:t>follows</w:t>
      </w:r>
      <w:r>
        <w:rPr>
          <w:spacing w:val="-6"/>
        </w:rPr>
        <w:t xml:space="preserve"> </w:t>
      </w:r>
      <w:r>
        <w:t>that,</w:t>
      </w:r>
      <w:r>
        <w:rPr>
          <w:spacing w:val="-2"/>
        </w:rPr>
        <w:t xml:space="preserve"> </w:t>
      </w:r>
      <w:r>
        <w:t>if</w:t>
      </w:r>
      <w:r>
        <w:rPr>
          <w:spacing w:val="-3"/>
        </w:rPr>
        <w:t xml:space="preserve"> </w:t>
      </w:r>
      <w:r>
        <w:t>□P,</w:t>
      </w:r>
      <w:r>
        <w:rPr>
          <w:spacing w:val="-2"/>
        </w:rPr>
        <w:t xml:space="preserve"> </w:t>
      </w:r>
      <w:r>
        <w:t>then</w:t>
      </w:r>
      <w:r>
        <w:rPr>
          <w:spacing w:val="-3"/>
        </w:rPr>
        <w:t xml:space="preserve"> </w:t>
      </w:r>
      <w:r>
        <w:t>□□P.</w:t>
      </w:r>
      <w:r>
        <w:rPr>
          <w:spacing w:val="-2"/>
        </w:rPr>
        <w:t xml:space="preserve"> </w:t>
      </w:r>
      <w:r>
        <w:t>Conclusion:</w:t>
      </w:r>
      <w:r>
        <w:rPr>
          <w:spacing w:val="-3"/>
        </w:rPr>
        <w:t xml:space="preserve"> </w:t>
      </w:r>
      <w:r>
        <w:t>S5</w:t>
      </w:r>
      <w:r>
        <w:rPr>
          <w:spacing w:val="-2"/>
        </w:rPr>
        <w:t xml:space="preserve"> </w:t>
      </w:r>
      <w:r>
        <w:t>is</w:t>
      </w:r>
      <w:r>
        <w:rPr>
          <w:spacing w:val="-3"/>
        </w:rPr>
        <w:t xml:space="preserve"> </w:t>
      </w:r>
      <w:r>
        <w:rPr>
          <w:spacing w:val="-2"/>
        </w:rPr>
        <w:t>correct</w:t>
      </w:r>
    </w:p>
    <w:p w14:paraId="7E002A24" w14:textId="77777777" w:rsidR="009A58DB" w:rsidRDefault="009A58DB">
      <w:pPr>
        <w:pStyle w:val="BodyText"/>
        <w:spacing w:before="1"/>
        <w:ind w:left="0"/>
        <w:jc w:val="left"/>
      </w:pPr>
    </w:p>
    <w:p w14:paraId="7E002A25" w14:textId="77777777" w:rsidR="009A58DB" w:rsidRDefault="00000000">
      <w:pPr>
        <w:pStyle w:val="BodyText"/>
        <w:jc w:val="left"/>
      </w:pPr>
      <w:r>
        <w:t>14M:</w:t>
      </w:r>
      <w:r>
        <w:rPr>
          <w:spacing w:val="-2"/>
        </w:rPr>
        <w:t xml:space="preserve"> </w:t>
      </w:r>
      <w:r>
        <w:rPr>
          <w:rFonts w:ascii="Segoe UI Symbol" w:hAnsi="Segoe UI Symbol"/>
          <w:spacing w:val="-2"/>
          <w:w w:val="90"/>
        </w:rPr>
        <w:t>◊</w:t>
      </w:r>
      <w:r>
        <w:rPr>
          <w:spacing w:val="-2"/>
          <w:w w:val="90"/>
        </w:rPr>
        <w:t>P→</w:t>
      </w:r>
      <w:r>
        <w:rPr>
          <w:rFonts w:ascii="Segoe UI Symbol" w:hAnsi="Segoe UI Symbol"/>
          <w:spacing w:val="-2"/>
          <w:w w:val="90"/>
        </w:rPr>
        <w:t>◊◊</w:t>
      </w:r>
      <w:r>
        <w:rPr>
          <w:spacing w:val="-2"/>
          <w:w w:val="90"/>
        </w:rPr>
        <w:t>P.</w:t>
      </w:r>
    </w:p>
    <w:p w14:paraId="7E002A26" w14:textId="77777777" w:rsidR="009A58DB" w:rsidRDefault="00000000">
      <w:pPr>
        <w:pStyle w:val="BodyText"/>
        <w:spacing w:before="5"/>
        <w:jc w:val="left"/>
      </w:pPr>
      <w:r>
        <w:t>What</w:t>
      </w:r>
      <w:r>
        <w:rPr>
          <w:spacing w:val="-4"/>
        </w:rPr>
        <w:t xml:space="preserve"> </w:t>
      </w:r>
      <w:r>
        <w:t>is</w:t>
      </w:r>
      <w:r>
        <w:rPr>
          <w:spacing w:val="-3"/>
        </w:rPr>
        <w:t xml:space="preserve"> </w:t>
      </w:r>
      <w:r>
        <w:t>possible</w:t>
      </w:r>
      <w:r>
        <w:rPr>
          <w:spacing w:val="-4"/>
        </w:rPr>
        <w:t xml:space="preserve"> </w:t>
      </w:r>
      <w:r>
        <w:t>is</w:t>
      </w:r>
      <w:r>
        <w:rPr>
          <w:spacing w:val="-3"/>
        </w:rPr>
        <w:t xml:space="preserve"> </w:t>
      </w:r>
      <w:r>
        <w:t>possibly</w:t>
      </w:r>
      <w:r>
        <w:rPr>
          <w:spacing w:val="-2"/>
        </w:rPr>
        <w:t xml:space="preserve"> possible.</w:t>
      </w:r>
    </w:p>
    <w:p w14:paraId="7E002A27" w14:textId="77777777" w:rsidR="009A58DB" w:rsidRDefault="00000000">
      <w:pPr>
        <w:pStyle w:val="Heading1"/>
        <w:numPr>
          <w:ilvl w:val="1"/>
          <w:numId w:val="31"/>
        </w:numPr>
        <w:tabs>
          <w:tab w:val="left" w:pos="1409"/>
        </w:tabs>
        <w:ind w:left="1409" w:hanging="1049"/>
      </w:pPr>
      <w:r>
        <w:t>Some</w:t>
      </w:r>
      <w:r>
        <w:rPr>
          <w:spacing w:val="-6"/>
        </w:rPr>
        <w:t xml:space="preserve"> </w:t>
      </w:r>
      <w:r>
        <w:t>meta-logical</w:t>
      </w:r>
      <w:r>
        <w:rPr>
          <w:spacing w:val="-5"/>
        </w:rPr>
        <w:t xml:space="preserve"> </w:t>
      </w:r>
      <w:r>
        <w:rPr>
          <w:spacing w:val="-2"/>
        </w:rPr>
        <w:t>principles</w:t>
      </w:r>
    </w:p>
    <w:p w14:paraId="7E002A28" w14:textId="77777777" w:rsidR="009A58DB" w:rsidRDefault="00000000">
      <w:pPr>
        <w:pStyle w:val="ListParagraph"/>
        <w:numPr>
          <w:ilvl w:val="1"/>
          <w:numId w:val="31"/>
        </w:numPr>
        <w:tabs>
          <w:tab w:val="left" w:pos="1409"/>
        </w:tabs>
        <w:spacing w:before="222"/>
        <w:ind w:left="1409" w:hanging="1049"/>
        <w:rPr>
          <w:b/>
          <w:sz w:val="42"/>
        </w:rPr>
      </w:pPr>
      <w:r>
        <w:rPr>
          <w:b/>
          <w:sz w:val="42"/>
        </w:rPr>
        <w:t>Model</w:t>
      </w:r>
      <w:r>
        <w:rPr>
          <w:b/>
          <w:spacing w:val="-6"/>
          <w:sz w:val="42"/>
        </w:rPr>
        <w:t xml:space="preserve"> </w:t>
      </w:r>
      <w:r>
        <w:rPr>
          <w:b/>
          <w:sz w:val="42"/>
        </w:rPr>
        <w:t>theoretic</w:t>
      </w:r>
      <w:r>
        <w:rPr>
          <w:b/>
          <w:spacing w:val="-6"/>
          <w:sz w:val="42"/>
        </w:rPr>
        <w:t xml:space="preserve"> </w:t>
      </w:r>
      <w:r>
        <w:rPr>
          <w:b/>
          <w:spacing w:val="-2"/>
          <w:sz w:val="42"/>
        </w:rPr>
        <w:t>entailment</w:t>
      </w:r>
    </w:p>
    <w:p w14:paraId="7E002A29" w14:textId="77777777" w:rsidR="009A58DB" w:rsidRDefault="00000000">
      <w:pPr>
        <w:pStyle w:val="BodyText"/>
        <w:spacing w:before="139" w:line="249" w:lineRule="auto"/>
        <w:ind w:right="370"/>
      </w:pPr>
      <w:r>
        <w:t>P</w:t>
      </w:r>
      <w:r>
        <w:rPr>
          <w:spacing w:val="-2"/>
        </w:rPr>
        <w:t xml:space="preserve"> </w:t>
      </w:r>
      <w:r>
        <w:t>model-theoretically</w:t>
      </w:r>
      <w:r>
        <w:rPr>
          <w:spacing w:val="-2"/>
        </w:rPr>
        <w:t xml:space="preserve"> </w:t>
      </w:r>
      <w:r>
        <w:t>entails</w:t>
      </w:r>
      <w:r>
        <w:rPr>
          <w:spacing w:val="-2"/>
        </w:rPr>
        <w:t xml:space="preserve"> </w:t>
      </w:r>
      <w:r>
        <w:t>Q</w:t>
      </w:r>
      <w:r>
        <w:rPr>
          <w:spacing w:val="-2"/>
        </w:rPr>
        <w:t xml:space="preserve"> </w:t>
      </w:r>
      <w:r>
        <w:t>just</w:t>
      </w:r>
      <w:r>
        <w:rPr>
          <w:spacing w:val="-2"/>
        </w:rPr>
        <w:t xml:space="preserve"> </w:t>
      </w:r>
      <w:r>
        <w:t>in</w:t>
      </w:r>
      <w:r>
        <w:rPr>
          <w:spacing w:val="-2"/>
        </w:rPr>
        <w:t xml:space="preserve"> </w:t>
      </w:r>
      <w:r>
        <w:t>case</w:t>
      </w:r>
      <w:r>
        <w:rPr>
          <w:spacing w:val="-2"/>
        </w:rPr>
        <w:t xml:space="preserve"> </w:t>
      </w:r>
      <w:r>
        <w:t>there</w:t>
      </w:r>
      <w:r>
        <w:rPr>
          <w:spacing w:val="-2"/>
        </w:rPr>
        <w:t xml:space="preserve"> </w:t>
      </w:r>
      <w:r>
        <w:t>is</w:t>
      </w:r>
      <w:r>
        <w:rPr>
          <w:spacing w:val="-2"/>
        </w:rPr>
        <w:t xml:space="preserve"> </w:t>
      </w:r>
      <w:r>
        <w:t>no</w:t>
      </w:r>
      <w:r>
        <w:rPr>
          <w:spacing w:val="-2"/>
        </w:rPr>
        <w:t xml:space="preserve"> </w:t>
      </w:r>
      <w:r>
        <w:t>coherently</w:t>
      </w:r>
      <w:r>
        <w:rPr>
          <w:spacing w:val="-2"/>
        </w:rPr>
        <w:t xml:space="preserve"> </w:t>
      </w:r>
      <w:r>
        <w:t>conceivable scenario where P is true and Q is false.</w:t>
      </w:r>
    </w:p>
    <w:p w14:paraId="7E002A2A" w14:textId="77777777" w:rsidR="009A58DB" w:rsidRDefault="00000000">
      <w:pPr>
        <w:spacing w:before="2" w:line="249" w:lineRule="auto"/>
        <w:ind w:left="360" w:right="365" w:firstLine="360"/>
        <w:jc w:val="both"/>
        <w:rPr>
          <w:sz w:val="30"/>
        </w:rPr>
      </w:pPr>
      <w:r>
        <w:rPr>
          <w:sz w:val="30"/>
        </w:rPr>
        <w:t xml:space="preserve">Thus, </w:t>
      </w:r>
      <w:r>
        <w:rPr>
          <w:i/>
          <w:sz w:val="30"/>
        </w:rPr>
        <w:t xml:space="preserve">1 + 1 = 2 </w:t>
      </w:r>
      <w:r>
        <w:rPr>
          <w:sz w:val="30"/>
        </w:rPr>
        <w:t xml:space="preserve">model-theoretically entails </w:t>
      </w:r>
      <w:r>
        <w:rPr>
          <w:i/>
          <w:sz w:val="30"/>
        </w:rPr>
        <w:t xml:space="preserve">triangles have three sides, </w:t>
      </w:r>
      <w:r>
        <w:rPr>
          <w:sz w:val="30"/>
        </w:rPr>
        <w:t>even though the two propositions do not, apart from that, have anything to do with each other.</w:t>
      </w:r>
    </w:p>
    <w:p w14:paraId="7E002A2B" w14:textId="77777777" w:rsidR="009A58DB" w:rsidRDefault="00000000">
      <w:pPr>
        <w:pStyle w:val="BodyText"/>
        <w:spacing w:before="4" w:line="249" w:lineRule="auto"/>
        <w:ind w:right="358" w:firstLine="360"/>
      </w:pPr>
      <w:r>
        <w:t xml:space="preserve">This last point is important. There isn’t anything about shapes, let alone triangles specifically, in </w:t>
      </w:r>
      <w:r>
        <w:rPr>
          <w:i/>
        </w:rPr>
        <w:t xml:space="preserve">1 + 1 = 2; </w:t>
      </w:r>
      <w:r>
        <w:t xml:space="preserve">and there isn’t anything about addition in </w:t>
      </w:r>
      <w:r>
        <w:rPr>
          <w:i/>
        </w:rPr>
        <w:t>triangles</w:t>
      </w:r>
      <w:r>
        <w:rPr>
          <w:i/>
          <w:spacing w:val="-4"/>
        </w:rPr>
        <w:t xml:space="preserve"> </w:t>
      </w:r>
      <w:r>
        <w:rPr>
          <w:i/>
        </w:rPr>
        <w:t>have</w:t>
      </w:r>
      <w:r>
        <w:rPr>
          <w:i/>
          <w:spacing w:val="-4"/>
        </w:rPr>
        <w:t xml:space="preserve"> </w:t>
      </w:r>
      <w:r>
        <w:rPr>
          <w:i/>
        </w:rPr>
        <w:t>three</w:t>
      </w:r>
      <w:r>
        <w:rPr>
          <w:i/>
          <w:spacing w:val="-4"/>
        </w:rPr>
        <w:t xml:space="preserve"> </w:t>
      </w:r>
      <w:r>
        <w:rPr>
          <w:i/>
        </w:rPr>
        <w:t>sides.</w:t>
      </w:r>
      <w:r>
        <w:rPr>
          <w:i/>
          <w:spacing w:val="-3"/>
        </w:rPr>
        <w:t xml:space="preserve"> </w:t>
      </w:r>
      <w:r>
        <w:t>So even though, technically, each entails the other, there</w:t>
      </w:r>
      <w:r>
        <w:rPr>
          <w:spacing w:val="18"/>
        </w:rPr>
        <w:t xml:space="preserve"> </w:t>
      </w:r>
      <w:r>
        <w:t>is</w:t>
      </w:r>
      <w:r>
        <w:rPr>
          <w:spacing w:val="18"/>
        </w:rPr>
        <w:t xml:space="preserve"> </w:t>
      </w:r>
      <w:r>
        <w:t>no</w:t>
      </w:r>
      <w:r>
        <w:rPr>
          <w:spacing w:val="18"/>
        </w:rPr>
        <w:t xml:space="preserve"> </w:t>
      </w:r>
      <w:r>
        <w:t>significant</w:t>
      </w:r>
      <w:r>
        <w:rPr>
          <w:spacing w:val="18"/>
        </w:rPr>
        <w:t xml:space="preserve"> </w:t>
      </w:r>
      <w:r>
        <w:t>sense</w:t>
      </w:r>
      <w:r>
        <w:rPr>
          <w:spacing w:val="18"/>
        </w:rPr>
        <w:t xml:space="preserve"> </w:t>
      </w:r>
      <w:r>
        <w:t>in</w:t>
      </w:r>
      <w:r>
        <w:rPr>
          <w:spacing w:val="18"/>
        </w:rPr>
        <w:t xml:space="preserve"> </w:t>
      </w:r>
      <w:r>
        <w:t>which</w:t>
      </w:r>
      <w:r>
        <w:rPr>
          <w:spacing w:val="18"/>
        </w:rPr>
        <w:t xml:space="preserve"> </w:t>
      </w:r>
      <w:r>
        <w:t>the</w:t>
      </w:r>
      <w:r>
        <w:rPr>
          <w:spacing w:val="18"/>
        </w:rPr>
        <w:t xml:space="preserve"> </w:t>
      </w:r>
      <w:r>
        <w:t>one</w:t>
      </w:r>
      <w:r>
        <w:rPr>
          <w:spacing w:val="18"/>
        </w:rPr>
        <w:t xml:space="preserve"> </w:t>
      </w:r>
      <w:r>
        <w:t>can</w:t>
      </w:r>
      <w:r>
        <w:rPr>
          <w:spacing w:val="18"/>
        </w:rPr>
        <w:t xml:space="preserve"> </w:t>
      </w:r>
      <w:r>
        <w:t>be</w:t>
      </w:r>
      <w:r>
        <w:rPr>
          <w:spacing w:val="18"/>
        </w:rPr>
        <w:t xml:space="preserve"> </w:t>
      </w:r>
      <w:r>
        <w:rPr>
          <w:i/>
        </w:rPr>
        <w:t xml:space="preserve">inferred </w:t>
      </w:r>
      <w:r>
        <w:t>from</w:t>
      </w:r>
      <w:r>
        <w:rPr>
          <w:spacing w:val="20"/>
        </w:rPr>
        <w:t xml:space="preserve"> </w:t>
      </w:r>
      <w:r>
        <w:t>the</w:t>
      </w:r>
      <w:r>
        <w:rPr>
          <w:spacing w:val="20"/>
        </w:rPr>
        <w:t xml:space="preserve"> </w:t>
      </w:r>
      <w:r>
        <w:t>other</w:t>
      </w:r>
    </w:p>
    <w:p w14:paraId="7E002A2C" w14:textId="77777777" w:rsidR="009A58DB" w:rsidRDefault="00000000">
      <w:pPr>
        <w:pStyle w:val="BodyText"/>
        <w:spacing w:before="5"/>
      </w:pPr>
      <w:r>
        <w:t>—no</w:t>
      </w:r>
      <w:r>
        <w:rPr>
          <w:spacing w:val="-4"/>
        </w:rPr>
        <w:t xml:space="preserve"> </w:t>
      </w:r>
      <w:r>
        <w:t>sense</w:t>
      </w:r>
      <w:r>
        <w:rPr>
          <w:spacing w:val="-2"/>
        </w:rPr>
        <w:t xml:space="preserve"> </w:t>
      </w:r>
      <w:r>
        <w:t>in</w:t>
      </w:r>
      <w:r>
        <w:rPr>
          <w:spacing w:val="-1"/>
        </w:rPr>
        <w:t xml:space="preserve"> </w:t>
      </w:r>
      <w:r>
        <w:t>which</w:t>
      </w:r>
      <w:r>
        <w:rPr>
          <w:spacing w:val="-2"/>
        </w:rPr>
        <w:t xml:space="preserve"> </w:t>
      </w:r>
      <w:r>
        <w:t>a</w:t>
      </w:r>
      <w:r>
        <w:rPr>
          <w:spacing w:val="-2"/>
        </w:rPr>
        <w:t xml:space="preserve"> </w:t>
      </w:r>
      <w:r>
        <w:t>knowledge</w:t>
      </w:r>
      <w:r>
        <w:rPr>
          <w:spacing w:val="-2"/>
        </w:rPr>
        <w:t xml:space="preserve"> </w:t>
      </w:r>
      <w:r>
        <w:t>of</w:t>
      </w:r>
      <w:r>
        <w:rPr>
          <w:spacing w:val="-3"/>
        </w:rPr>
        <w:t xml:space="preserve"> </w:t>
      </w:r>
      <w:r>
        <w:t>the</w:t>
      </w:r>
      <w:r>
        <w:rPr>
          <w:spacing w:val="-2"/>
        </w:rPr>
        <w:t xml:space="preserve"> </w:t>
      </w:r>
      <w:r>
        <w:t>one</w:t>
      </w:r>
      <w:r>
        <w:rPr>
          <w:spacing w:val="-2"/>
        </w:rPr>
        <w:t xml:space="preserve"> </w:t>
      </w:r>
      <w:r>
        <w:t>yields</w:t>
      </w:r>
      <w:r>
        <w:rPr>
          <w:spacing w:val="-2"/>
        </w:rPr>
        <w:t xml:space="preserve"> </w:t>
      </w:r>
      <w:r>
        <w:t>a</w:t>
      </w:r>
      <w:r>
        <w:rPr>
          <w:spacing w:val="-3"/>
        </w:rPr>
        <w:t xml:space="preserve"> </w:t>
      </w:r>
      <w:r>
        <w:t>knowledge</w:t>
      </w:r>
      <w:r>
        <w:rPr>
          <w:spacing w:val="-2"/>
        </w:rPr>
        <w:t xml:space="preserve"> </w:t>
      </w:r>
      <w:r>
        <w:t>of</w:t>
      </w:r>
      <w:r>
        <w:rPr>
          <w:spacing w:val="-2"/>
        </w:rPr>
        <w:t xml:space="preserve"> </w:t>
      </w:r>
      <w:r>
        <w:t>the</w:t>
      </w:r>
      <w:r>
        <w:rPr>
          <w:spacing w:val="-2"/>
        </w:rPr>
        <w:t xml:space="preserve"> other.</w:t>
      </w:r>
    </w:p>
    <w:p w14:paraId="7E002A2D" w14:textId="77777777" w:rsidR="009A58DB" w:rsidRDefault="00000000">
      <w:pPr>
        <w:pStyle w:val="BodyText"/>
        <w:spacing w:before="15" w:line="249" w:lineRule="auto"/>
        <w:ind w:right="361" w:firstLine="360"/>
      </w:pPr>
      <w:r>
        <w:t>Of course, somebody who knows that 1 + 1 = 2 will probably also know that triangles have three sides, but he won’t know the one on the basis of the other. By contrast, somebody who knows that x is a case of true belief could potentially know that on the basis of the fact that x is knowledge.</w:t>
      </w:r>
    </w:p>
    <w:p w14:paraId="7E002A2E" w14:textId="77777777" w:rsidR="009A58DB" w:rsidRDefault="009A58DB">
      <w:pPr>
        <w:pStyle w:val="BodyText"/>
        <w:spacing w:before="20"/>
        <w:ind w:left="0"/>
        <w:jc w:val="left"/>
      </w:pPr>
    </w:p>
    <w:p w14:paraId="7E002A2F" w14:textId="77777777" w:rsidR="009A58DB" w:rsidRDefault="00000000">
      <w:pPr>
        <w:pStyle w:val="BodyText"/>
        <w:spacing w:line="249" w:lineRule="auto"/>
        <w:ind w:right="364"/>
      </w:pPr>
      <w:r>
        <w:rPr>
          <w:b/>
          <w:i/>
        </w:rPr>
        <w:t xml:space="preserve">Commentary </w:t>
      </w:r>
      <w:r>
        <w:t>Model-theoretic entailment is an over-valued notion that doesn’t correspond at all well to the conception of entailment embodied in our</w:t>
      </w:r>
      <w:r>
        <w:rPr>
          <w:spacing w:val="80"/>
        </w:rPr>
        <w:t xml:space="preserve"> </w:t>
      </w:r>
      <w:r>
        <w:t>inferential</w:t>
      </w:r>
      <w:r>
        <w:rPr>
          <w:spacing w:val="80"/>
        </w:rPr>
        <w:t xml:space="preserve"> </w:t>
      </w:r>
      <w:r>
        <w:t>practices.</w:t>
      </w:r>
      <w:r>
        <w:rPr>
          <w:spacing w:val="80"/>
        </w:rPr>
        <w:t xml:space="preserve"> </w:t>
      </w:r>
      <w:r>
        <w:t>Nonetheless,</w:t>
      </w:r>
      <w:r>
        <w:rPr>
          <w:spacing w:val="80"/>
        </w:rPr>
        <w:t xml:space="preserve"> </w:t>
      </w:r>
      <w:r>
        <w:t>because,</w:t>
      </w:r>
      <w:r>
        <w:rPr>
          <w:spacing w:val="80"/>
        </w:rPr>
        <w:t xml:space="preserve"> </w:t>
      </w:r>
      <w:r>
        <w:t>in</w:t>
      </w:r>
      <w:r>
        <w:rPr>
          <w:spacing w:val="80"/>
        </w:rPr>
        <w:t xml:space="preserve"> </w:t>
      </w:r>
      <w:r>
        <w:t>the</w:t>
      </w:r>
      <w:r>
        <w:rPr>
          <w:spacing w:val="80"/>
        </w:rPr>
        <w:t xml:space="preserve"> </w:t>
      </w:r>
      <w:r>
        <w:t>early</w:t>
      </w:r>
      <w:r>
        <w:rPr>
          <w:spacing w:val="80"/>
        </w:rPr>
        <w:t xml:space="preserve"> </w:t>
      </w:r>
      <w:r>
        <w:t>‘60’s,</w:t>
      </w:r>
      <w:r>
        <w:rPr>
          <w:spacing w:val="80"/>
        </w:rPr>
        <w:t xml:space="preserve"> </w:t>
      </w:r>
      <w:r>
        <w:t>some</w:t>
      </w:r>
    </w:p>
    <w:p w14:paraId="7E002A3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31" w14:textId="77777777" w:rsidR="009A58DB" w:rsidRDefault="00000000">
      <w:pPr>
        <w:pStyle w:val="BodyText"/>
        <w:spacing w:before="70" w:line="249" w:lineRule="auto"/>
        <w:ind w:right="358"/>
      </w:pPr>
      <w:r>
        <w:lastRenderedPageBreak/>
        <w:t>branches</w:t>
      </w:r>
      <w:r>
        <w:rPr>
          <w:spacing w:val="-5"/>
        </w:rPr>
        <w:t xml:space="preserve"> </w:t>
      </w:r>
      <w:r>
        <w:t>of</w:t>
      </w:r>
      <w:r>
        <w:rPr>
          <w:spacing w:val="-5"/>
        </w:rPr>
        <w:t xml:space="preserve"> </w:t>
      </w:r>
      <w:r>
        <w:t>philosophy</w:t>
      </w:r>
      <w:r>
        <w:rPr>
          <w:spacing w:val="-4"/>
        </w:rPr>
        <w:t xml:space="preserve"> </w:t>
      </w:r>
      <w:r>
        <w:t>were</w:t>
      </w:r>
      <w:r>
        <w:rPr>
          <w:spacing w:val="-5"/>
        </w:rPr>
        <w:t xml:space="preserve"> </w:t>
      </w:r>
      <w:r>
        <w:t>(wrongly)</w:t>
      </w:r>
      <w:r>
        <w:rPr>
          <w:spacing w:val="-5"/>
        </w:rPr>
        <w:t xml:space="preserve"> </w:t>
      </w:r>
      <w:r>
        <w:t>thought</w:t>
      </w:r>
      <w:r>
        <w:rPr>
          <w:spacing w:val="-5"/>
        </w:rPr>
        <w:t xml:space="preserve"> </w:t>
      </w:r>
      <w:r>
        <w:t>to</w:t>
      </w:r>
      <w:r>
        <w:rPr>
          <w:spacing w:val="-4"/>
        </w:rPr>
        <w:t xml:space="preserve"> </w:t>
      </w:r>
      <w:r>
        <w:t>be</w:t>
      </w:r>
      <w:r>
        <w:rPr>
          <w:spacing w:val="-5"/>
        </w:rPr>
        <w:t xml:space="preserve"> </w:t>
      </w:r>
      <w:r>
        <w:t>successfully</w:t>
      </w:r>
      <w:r>
        <w:rPr>
          <w:spacing w:val="-4"/>
        </w:rPr>
        <w:t xml:space="preserve"> </w:t>
      </w:r>
      <w:r>
        <w:t xml:space="preserve">assimilated to a branch of mathematics known as “model theory”—the purpose of this branch being to study model-theoretic entailment—philosophers now tend to treat model-theoretic entailment as </w:t>
      </w:r>
      <w:r>
        <w:rPr>
          <w:i/>
        </w:rPr>
        <w:t xml:space="preserve">the </w:t>
      </w:r>
      <w:r>
        <w:t>fundamental kind of entailment—when, for the reasons just stated, it is in fact an entirely artificial notion.</w:t>
      </w:r>
    </w:p>
    <w:p w14:paraId="7E002A32" w14:textId="77777777" w:rsidR="009A58DB" w:rsidRDefault="00000000">
      <w:pPr>
        <w:pStyle w:val="BodyText"/>
        <w:spacing w:before="1" w:line="249" w:lineRule="auto"/>
        <w:ind w:right="361" w:firstLine="360"/>
      </w:pPr>
      <w:r>
        <w:t xml:space="preserve">Model-theoretic entailment isn’t really a kind of entailment. It is a </w:t>
      </w:r>
      <w:r>
        <w:rPr>
          <w:i/>
        </w:rPr>
        <w:t xml:space="preserve">theory </w:t>
      </w:r>
      <w:r>
        <w:t>of entailment. Like other scientists, logicians model data. Where logic is concerned, the data in question are our intuitions concerning bearing-relations—they are to the effect that certain things entail (the negations of) certain other things. We know intuitively that</w:t>
      </w:r>
    </w:p>
    <w:p w14:paraId="7E002A33" w14:textId="77777777" w:rsidR="009A58DB" w:rsidRDefault="00000000">
      <w:pPr>
        <w:pStyle w:val="BodyText"/>
        <w:spacing w:before="111" w:line="355" w:lineRule="auto"/>
        <w:ind w:right="6578"/>
        <w:jc w:val="left"/>
      </w:pPr>
      <w:r>
        <w:t>(K</w:t>
      </w:r>
      <w:r>
        <w:rPr>
          <w:vertAlign w:val="subscript"/>
        </w:rPr>
        <w:t>1</w:t>
      </w:r>
      <w:r>
        <w:t>)</w:t>
      </w:r>
      <w:r>
        <w:rPr>
          <w:spacing w:val="-8"/>
        </w:rPr>
        <w:t xml:space="preserve"> </w:t>
      </w:r>
      <w:r>
        <w:t>“x</w:t>
      </w:r>
      <w:r>
        <w:rPr>
          <w:spacing w:val="-7"/>
        </w:rPr>
        <w:t xml:space="preserve"> </w:t>
      </w:r>
      <w:r>
        <w:t>is</w:t>
      </w:r>
      <w:r>
        <w:rPr>
          <w:spacing w:val="-8"/>
        </w:rPr>
        <w:t xml:space="preserve"> </w:t>
      </w:r>
      <w:r>
        <w:t xml:space="preserve">knowledge” </w:t>
      </w:r>
      <w:r>
        <w:rPr>
          <w:spacing w:val="-2"/>
        </w:rPr>
        <w:t>entails</w:t>
      </w:r>
    </w:p>
    <w:p w14:paraId="7E002A34" w14:textId="77777777" w:rsidR="009A58DB" w:rsidRDefault="00000000">
      <w:pPr>
        <w:pStyle w:val="BodyText"/>
        <w:spacing w:line="299" w:lineRule="exact"/>
        <w:jc w:val="left"/>
      </w:pPr>
      <w:r>
        <w:t>(K</w:t>
      </w:r>
      <w:r>
        <w:rPr>
          <w:vertAlign w:val="subscript"/>
        </w:rPr>
        <w:t>2</w:t>
      </w:r>
      <w:r>
        <w:t>)</w:t>
      </w:r>
      <w:r>
        <w:rPr>
          <w:spacing w:val="1"/>
        </w:rPr>
        <w:t xml:space="preserve"> </w:t>
      </w:r>
      <w:r>
        <w:t>“x</w:t>
      </w:r>
      <w:r>
        <w:rPr>
          <w:spacing w:val="3"/>
        </w:rPr>
        <w:t xml:space="preserve"> </w:t>
      </w:r>
      <w:r>
        <w:t>is</w:t>
      </w:r>
      <w:r>
        <w:rPr>
          <w:spacing w:val="2"/>
        </w:rPr>
        <w:t xml:space="preserve"> </w:t>
      </w:r>
      <w:r>
        <w:t>a</w:t>
      </w:r>
      <w:r>
        <w:rPr>
          <w:spacing w:val="2"/>
        </w:rPr>
        <w:t xml:space="preserve"> </w:t>
      </w:r>
      <w:r>
        <w:t>true</w:t>
      </w:r>
      <w:r>
        <w:rPr>
          <w:spacing w:val="1"/>
        </w:rPr>
        <w:t xml:space="preserve"> </w:t>
      </w:r>
      <w:r>
        <w:rPr>
          <w:spacing w:val="-2"/>
        </w:rPr>
        <w:t>belief.”</w:t>
      </w:r>
    </w:p>
    <w:p w14:paraId="7E002A35" w14:textId="77777777" w:rsidR="009A58DB" w:rsidRDefault="00000000">
      <w:pPr>
        <w:pStyle w:val="BodyText"/>
        <w:spacing w:before="180" w:line="249" w:lineRule="auto"/>
        <w:ind w:right="360"/>
      </w:pPr>
      <w:r>
        <w:t>Logicians want to make it clear what it is that we know in knowing this; they want to make it clear what it is for the one statement to entail the second.</w:t>
      </w:r>
    </w:p>
    <w:p w14:paraId="7E002A36" w14:textId="77777777" w:rsidR="009A58DB" w:rsidRDefault="00000000">
      <w:pPr>
        <w:pStyle w:val="BodyText"/>
        <w:spacing w:before="2"/>
        <w:ind w:left="720"/>
      </w:pPr>
      <w:r>
        <w:t>Here</w:t>
      </w:r>
      <w:r>
        <w:rPr>
          <w:spacing w:val="-5"/>
        </w:rPr>
        <w:t xml:space="preserve"> </w:t>
      </w:r>
      <w:r>
        <w:t>is</w:t>
      </w:r>
      <w:r>
        <w:rPr>
          <w:spacing w:val="-3"/>
        </w:rPr>
        <w:t xml:space="preserve"> </w:t>
      </w:r>
      <w:r>
        <w:t>the</w:t>
      </w:r>
      <w:r>
        <w:rPr>
          <w:spacing w:val="-3"/>
        </w:rPr>
        <w:t xml:space="preserve"> </w:t>
      </w:r>
      <w:r>
        <w:t>proposal</w:t>
      </w:r>
      <w:r>
        <w:rPr>
          <w:spacing w:val="-3"/>
        </w:rPr>
        <w:t xml:space="preserve"> </w:t>
      </w:r>
      <w:r>
        <w:t>that</w:t>
      </w:r>
      <w:r>
        <w:rPr>
          <w:spacing w:val="-3"/>
        </w:rPr>
        <w:t xml:space="preserve"> </w:t>
      </w:r>
      <w:r>
        <w:t>they</w:t>
      </w:r>
      <w:r>
        <w:rPr>
          <w:spacing w:val="-2"/>
        </w:rPr>
        <w:t xml:space="preserve"> </w:t>
      </w:r>
      <w:r>
        <w:t>came</w:t>
      </w:r>
      <w:r>
        <w:rPr>
          <w:spacing w:val="-3"/>
        </w:rPr>
        <w:t xml:space="preserve"> </w:t>
      </w:r>
      <w:r>
        <w:t>up</w:t>
      </w:r>
      <w:r>
        <w:rPr>
          <w:spacing w:val="-1"/>
        </w:rPr>
        <w:t xml:space="preserve"> </w:t>
      </w:r>
      <w:r>
        <w:rPr>
          <w:spacing w:val="-2"/>
        </w:rPr>
        <w:t>with:</w:t>
      </w:r>
    </w:p>
    <w:p w14:paraId="7E002A37" w14:textId="77777777" w:rsidR="009A58DB" w:rsidRDefault="009A58DB">
      <w:pPr>
        <w:pStyle w:val="BodyText"/>
        <w:spacing w:before="30"/>
        <w:ind w:left="0"/>
        <w:jc w:val="left"/>
      </w:pPr>
    </w:p>
    <w:p w14:paraId="7E002A38" w14:textId="77777777" w:rsidR="009A58DB" w:rsidRDefault="00000000">
      <w:pPr>
        <w:pStyle w:val="BodyText"/>
        <w:spacing w:line="277" w:lineRule="exact"/>
        <w:ind w:left="909"/>
        <w:jc w:val="left"/>
      </w:pPr>
      <w:bookmarkStart w:id="578" w:name="_bookmark578"/>
      <w:bookmarkEnd w:id="578"/>
      <w:r>
        <w:rPr>
          <w:color w:val="0562C1"/>
          <w:spacing w:val="-2"/>
          <w:u w:val="single" w:color="0562C1"/>
        </w:rPr>
        <w:t>[436]</w:t>
      </w:r>
    </w:p>
    <w:p w14:paraId="7E002A39" w14:textId="77777777" w:rsidR="009A58DB" w:rsidRDefault="00000000">
      <w:pPr>
        <w:pStyle w:val="BodyText"/>
        <w:tabs>
          <w:tab w:val="left" w:pos="1559"/>
        </w:tabs>
        <w:spacing w:line="277" w:lineRule="exact"/>
        <w:jc w:val="left"/>
      </w:pPr>
      <w:r>
        <w:rPr>
          <w:spacing w:val="-5"/>
        </w:rPr>
        <w:t>(MT</w:t>
      </w:r>
      <w:r>
        <w:tab/>
        <w:t>)</w:t>
      </w:r>
      <w:r>
        <w:rPr>
          <w:spacing w:val="39"/>
        </w:rPr>
        <w:t xml:space="preserve"> </w:t>
      </w:r>
      <w:r>
        <w:t>for</w:t>
      </w:r>
      <w:r>
        <w:rPr>
          <w:spacing w:val="41"/>
        </w:rPr>
        <w:t xml:space="preserve"> </w:t>
      </w:r>
      <w:r>
        <w:t>P</w:t>
      </w:r>
      <w:r>
        <w:rPr>
          <w:spacing w:val="41"/>
        </w:rPr>
        <w:t xml:space="preserve"> </w:t>
      </w:r>
      <w:r>
        <w:t>to</w:t>
      </w:r>
      <w:r>
        <w:rPr>
          <w:spacing w:val="41"/>
        </w:rPr>
        <w:t xml:space="preserve"> </w:t>
      </w:r>
      <w:r>
        <w:t>entail</w:t>
      </w:r>
      <w:r>
        <w:rPr>
          <w:spacing w:val="42"/>
        </w:rPr>
        <w:t xml:space="preserve"> </w:t>
      </w:r>
      <w:r>
        <w:t>Q</w:t>
      </w:r>
      <w:r>
        <w:rPr>
          <w:spacing w:val="41"/>
        </w:rPr>
        <w:t xml:space="preserve"> </w:t>
      </w:r>
      <w:r>
        <w:t>is</w:t>
      </w:r>
      <w:r>
        <w:rPr>
          <w:spacing w:val="42"/>
        </w:rPr>
        <w:t xml:space="preserve"> </w:t>
      </w:r>
      <w:r>
        <w:t>for</w:t>
      </w:r>
      <w:r>
        <w:rPr>
          <w:spacing w:val="41"/>
        </w:rPr>
        <w:t xml:space="preserve"> </w:t>
      </w:r>
      <w:r>
        <w:t>there</w:t>
      </w:r>
      <w:r>
        <w:rPr>
          <w:spacing w:val="41"/>
        </w:rPr>
        <w:t xml:space="preserve"> </w:t>
      </w:r>
      <w:r>
        <w:t>to</w:t>
      </w:r>
      <w:r>
        <w:rPr>
          <w:spacing w:val="43"/>
        </w:rPr>
        <w:t xml:space="preserve"> </w:t>
      </w:r>
      <w:r>
        <w:t>be</w:t>
      </w:r>
      <w:r>
        <w:rPr>
          <w:spacing w:val="41"/>
        </w:rPr>
        <w:t xml:space="preserve"> </w:t>
      </w:r>
      <w:r>
        <w:t>no</w:t>
      </w:r>
      <w:r>
        <w:rPr>
          <w:spacing w:val="42"/>
        </w:rPr>
        <w:t xml:space="preserve"> </w:t>
      </w:r>
      <w:r>
        <w:t>possible</w:t>
      </w:r>
      <w:r>
        <w:rPr>
          <w:spacing w:val="41"/>
        </w:rPr>
        <w:t xml:space="preserve"> </w:t>
      </w:r>
      <w:r>
        <w:t>circumstance</w:t>
      </w:r>
      <w:r>
        <w:rPr>
          <w:spacing w:val="43"/>
        </w:rPr>
        <w:t xml:space="preserve"> </w:t>
      </w:r>
      <w:r>
        <w:rPr>
          <w:spacing w:val="-5"/>
        </w:rPr>
        <w:t>in</w:t>
      </w:r>
    </w:p>
    <w:p w14:paraId="7E002A3A" w14:textId="77777777" w:rsidR="009A58DB" w:rsidRDefault="00000000">
      <w:pPr>
        <w:pStyle w:val="BodyText"/>
        <w:spacing w:before="16"/>
        <w:jc w:val="left"/>
      </w:pPr>
      <w:r>
        <w:t>which</w:t>
      </w:r>
      <w:r>
        <w:rPr>
          <w:spacing w:val="-4"/>
        </w:rPr>
        <w:t xml:space="preserve"> </w:t>
      </w:r>
      <w:r>
        <w:t>the</w:t>
      </w:r>
      <w:r>
        <w:rPr>
          <w:spacing w:val="-3"/>
        </w:rPr>
        <w:t xml:space="preserve"> </w:t>
      </w:r>
      <w:r>
        <w:t>first</w:t>
      </w:r>
      <w:r>
        <w:rPr>
          <w:spacing w:val="-3"/>
        </w:rPr>
        <w:t xml:space="preserve"> </w:t>
      </w:r>
      <w:r>
        <w:t>is</w:t>
      </w:r>
      <w:r>
        <w:rPr>
          <w:spacing w:val="-3"/>
        </w:rPr>
        <w:t xml:space="preserve"> </w:t>
      </w:r>
      <w:r>
        <w:t>true</w:t>
      </w:r>
      <w:r>
        <w:rPr>
          <w:spacing w:val="-3"/>
        </w:rPr>
        <w:t xml:space="preserve"> </w:t>
      </w:r>
      <w:r>
        <w:t>and</w:t>
      </w:r>
      <w:r>
        <w:rPr>
          <w:spacing w:val="-2"/>
        </w:rPr>
        <w:t xml:space="preserve"> </w:t>
      </w:r>
      <w:r>
        <w:t>the</w:t>
      </w:r>
      <w:r>
        <w:rPr>
          <w:spacing w:val="-3"/>
        </w:rPr>
        <w:t xml:space="preserve"> </w:t>
      </w:r>
      <w:r>
        <w:t>second</w:t>
      </w:r>
      <w:r>
        <w:rPr>
          <w:spacing w:val="-2"/>
        </w:rPr>
        <w:t xml:space="preserve"> </w:t>
      </w:r>
      <w:r>
        <w:t>is</w:t>
      </w:r>
      <w:r>
        <w:rPr>
          <w:spacing w:val="-2"/>
        </w:rPr>
        <w:t xml:space="preserve"> false.</w:t>
      </w:r>
    </w:p>
    <w:p w14:paraId="7E002A3B" w14:textId="77777777" w:rsidR="009A58DB" w:rsidRDefault="009A58DB">
      <w:pPr>
        <w:pStyle w:val="BodyText"/>
        <w:spacing w:before="29"/>
        <w:ind w:left="0"/>
        <w:jc w:val="left"/>
      </w:pPr>
    </w:p>
    <w:p w14:paraId="7E002A3C" w14:textId="77777777" w:rsidR="009A58DB" w:rsidRDefault="00000000">
      <w:pPr>
        <w:pStyle w:val="BodyText"/>
        <w:spacing w:before="1" w:line="249" w:lineRule="auto"/>
        <w:ind w:right="360" w:firstLine="360"/>
      </w:pPr>
      <w:r>
        <w:t xml:space="preserve">Why did logicians choose MT when trying to model our intuitions concerning entailment? Because MT is </w:t>
      </w:r>
      <w:r>
        <w:rPr>
          <w:i/>
        </w:rPr>
        <w:t xml:space="preserve">extensionally </w:t>
      </w:r>
      <w:r>
        <w:t>correct. In other words, for any statements P and Q, P entails Q iff there is no possible circumstance where P is true and Q is false.</w:t>
      </w:r>
    </w:p>
    <w:p w14:paraId="7E002A3D" w14:textId="77777777" w:rsidR="009A58DB" w:rsidRDefault="00000000">
      <w:pPr>
        <w:pStyle w:val="BodyText"/>
        <w:spacing w:before="4" w:line="249" w:lineRule="auto"/>
        <w:ind w:left="720" w:right="358"/>
      </w:pPr>
      <w:r>
        <w:t>But even though there are no counter-examples to it, MT is false. It’s obviously in virtue of facts about it’s</w:t>
      </w:r>
    </w:p>
    <w:p w14:paraId="7E002A3E" w14:textId="77777777" w:rsidR="009A58DB" w:rsidRDefault="00000000">
      <w:pPr>
        <w:pStyle w:val="BodyText"/>
        <w:spacing w:before="3" w:line="292" w:lineRule="auto"/>
        <w:ind w:right="361"/>
      </w:pPr>
      <w:r>
        <w:t>structures of K</w:t>
      </w:r>
      <w:r>
        <w:rPr>
          <w:vertAlign w:val="subscript"/>
        </w:rPr>
        <w:t>1</w:t>
      </w:r>
      <w:r>
        <w:t xml:space="preserve"> and K</w:t>
      </w:r>
      <w:r>
        <w:rPr>
          <w:vertAlign w:val="subscript"/>
        </w:rPr>
        <w:t>2</w:t>
      </w:r>
      <w:r>
        <w:t xml:space="preserve"> that the former entails the latter. The fact that there are no models in which K</w:t>
      </w:r>
      <w:r>
        <w:rPr>
          <w:vertAlign w:val="subscript"/>
        </w:rPr>
        <w:t>1</w:t>
      </w:r>
      <w:r>
        <w:t xml:space="preserve"> is true and K</w:t>
      </w:r>
      <w:r>
        <w:rPr>
          <w:vertAlign w:val="subscript"/>
        </w:rPr>
        <w:t>2</w:t>
      </w:r>
      <w:r>
        <w:t xml:space="preserve"> is false is a mere </w:t>
      </w:r>
      <w:r>
        <w:rPr>
          <w:i/>
        </w:rPr>
        <w:t xml:space="preserve">consequence </w:t>
      </w:r>
      <w:r>
        <w:t>of that structural fact.</w:t>
      </w:r>
    </w:p>
    <w:p w14:paraId="7E002A3F" w14:textId="77777777" w:rsidR="009A58DB" w:rsidRDefault="00000000">
      <w:pPr>
        <w:pStyle w:val="BodyText"/>
        <w:spacing w:line="282" w:lineRule="exact"/>
        <w:ind w:left="720"/>
      </w:pPr>
      <w:r>
        <w:t>There</w:t>
      </w:r>
      <w:r>
        <w:rPr>
          <w:spacing w:val="48"/>
        </w:rPr>
        <w:t xml:space="preserve"> </w:t>
      </w:r>
      <w:r>
        <w:t>is</w:t>
      </w:r>
      <w:r>
        <w:rPr>
          <w:spacing w:val="48"/>
        </w:rPr>
        <w:t xml:space="preserve"> </w:t>
      </w:r>
      <w:r>
        <w:t>a</w:t>
      </w:r>
      <w:r>
        <w:rPr>
          <w:spacing w:val="49"/>
        </w:rPr>
        <w:t xml:space="preserve"> </w:t>
      </w:r>
      <w:r>
        <w:t>related</w:t>
      </w:r>
      <w:r>
        <w:rPr>
          <w:spacing w:val="48"/>
        </w:rPr>
        <w:t xml:space="preserve"> </w:t>
      </w:r>
      <w:r>
        <w:t>point.</w:t>
      </w:r>
      <w:r>
        <w:rPr>
          <w:spacing w:val="48"/>
        </w:rPr>
        <w:t xml:space="preserve"> </w:t>
      </w:r>
      <w:r>
        <w:t>MT</w:t>
      </w:r>
      <w:r>
        <w:rPr>
          <w:spacing w:val="49"/>
        </w:rPr>
        <w:t xml:space="preserve"> </w:t>
      </w:r>
      <w:r>
        <w:t>defines</w:t>
      </w:r>
      <w:r>
        <w:rPr>
          <w:spacing w:val="48"/>
        </w:rPr>
        <w:t xml:space="preserve"> </w:t>
      </w:r>
      <w:r>
        <w:t>entailment</w:t>
      </w:r>
      <w:r>
        <w:rPr>
          <w:spacing w:val="48"/>
        </w:rPr>
        <w:t xml:space="preserve"> </w:t>
      </w:r>
      <w:r>
        <w:t>in</w:t>
      </w:r>
      <w:r>
        <w:rPr>
          <w:spacing w:val="49"/>
        </w:rPr>
        <w:t xml:space="preserve"> </w:t>
      </w:r>
      <w:r>
        <w:t>terms</w:t>
      </w:r>
      <w:r>
        <w:rPr>
          <w:spacing w:val="48"/>
        </w:rPr>
        <w:t xml:space="preserve"> </w:t>
      </w:r>
      <w:r>
        <w:t>of</w:t>
      </w:r>
      <w:r>
        <w:rPr>
          <w:spacing w:val="49"/>
        </w:rPr>
        <w:t xml:space="preserve"> </w:t>
      </w:r>
      <w:r>
        <w:rPr>
          <w:spacing w:val="-2"/>
        </w:rPr>
        <w:t>“possible.”</w:t>
      </w:r>
    </w:p>
    <w:p w14:paraId="7E002A40" w14:textId="77777777" w:rsidR="009A58DB" w:rsidRDefault="00000000">
      <w:pPr>
        <w:pStyle w:val="BodyText"/>
        <w:spacing w:before="15" w:line="249" w:lineRule="auto"/>
        <w:ind w:right="359"/>
      </w:pPr>
      <w:r>
        <w:t>This makes it viciously circular. P and Q are compossible (in other words, (P and</w:t>
      </w:r>
      <w:r>
        <w:rPr>
          <w:spacing w:val="-3"/>
        </w:rPr>
        <w:t xml:space="preserve"> </w:t>
      </w:r>
      <w:r>
        <w:t>Q)</w:t>
      </w:r>
      <w:r>
        <w:rPr>
          <w:spacing w:val="-2"/>
        </w:rPr>
        <w:t xml:space="preserve"> </w:t>
      </w:r>
      <w:r>
        <w:t>is</w:t>
      </w:r>
      <w:r>
        <w:rPr>
          <w:spacing w:val="-2"/>
        </w:rPr>
        <w:t xml:space="preserve"> </w:t>
      </w:r>
      <w:r>
        <w:t>possible)</w:t>
      </w:r>
      <w:r>
        <w:rPr>
          <w:spacing w:val="-2"/>
        </w:rPr>
        <w:t xml:space="preserve"> </w:t>
      </w:r>
      <w:r>
        <w:t>iff</w:t>
      </w:r>
      <w:r>
        <w:rPr>
          <w:spacing w:val="-2"/>
        </w:rPr>
        <w:t xml:space="preserve"> </w:t>
      </w:r>
      <w:r>
        <w:t>neither</w:t>
      </w:r>
      <w:r>
        <w:rPr>
          <w:spacing w:val="-2"/>
        </w:rPr>
        <w:t xml:space="preserve"> </w:t>
      </w:r>
      <w:r>
        <w:t>entails</w:t>
      </w:r>
      <w:r>
        <w:rPr>
          <w:spacing w:val="-2"/>
        </w:rPr>
        <w:t xml:space="preserve"> </w:t>
      </w:r>
      <w:r>
        <w:t>the</w:t>
      </w:r>
      <w:r>
        <w:rPr>
          <w:spacing w:val="-2"/>
        </w:rPr>
        <w:t xml:space="preserve"> </w:t>
      </w:r>
      <w:r>
        <w:t>negation</w:t>
      </w:r>
      <w:r>
        <w:rPr>
          <w:spacing w:val="-2"/>
        </w:rPr>
        <w:t xml:space="preserve"> </w:t>
      </w:r>
      <w:r>
        <w:t>of</w:t>
      </w:r>
      <w:r>
        <w:rPr>
          <w:spacing w:val="-2"/>
        </w:rPr>
        <w:t xml:space="preserve"> </w:t>
      </w:r>
      <w:r>
        <w:t>the</w:t>
      </w:r>
      <w:r>
        <w:rPr>
          <w:spacing w:val="-2"/>
        </w:rPr>
        <w:t xml:space="preserve"> </w:t>
      </w:r>
      <w:r>
        <w:t>other.</w:t>
      </w:r>
      <w:r>
        <w:rPr>
          <w:spacing w:val="-2"/>
        </w:rPr>
        <w:t xml:space="preserve"> </w:t>
      </w:r>
      <w:r>
        <w:t>We</w:t>
      </w:r>
      <w:r>
        <w:rPr>
          <w:spacing w:val="-2"/>
        </w:rPr>
        <w:t xml:space="preserve"> </w:t>
      </w:r>
      <w:r>
        <w:t xml:space="preserve">understand the concept of possibility </w:t>
      </w:r>
      <w:r>
        <w:rPr>
          <w:i/>
        </w:rPr>
        <w:t>only</w:t>
      </w:r>
      <w:r>
        <w:rPr>
          <w:i/>
          <w:spacing w:val="-3"/>
        </w:rPr>
        <w:t xml:space="preserve"> </w:t>
      </w:r>
      <w:r>
        <w:t>to the extent that we can understand it in terms</w:t>
      </w:r>
    </w:p>
    <w:p w14:paraId="7E002A4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42" w14:textId="77777777" w:rsidR="009A58DB" w:rsidRDefault="00000000">
      <w:pPr>
        <w:pStyle w:val="BodyText"/>
        <w:spacing w:before="70" w:line="249" w:lineRule="auto"/>
        <w:ind w:right="358"/>
      </w:pPr>
      <w:r>
        <w:lastRenderedPageBreak/>
        <w:t>of entailment (and other bearing-relations). So unless we’re willing to take</w:t>
      </w:r>
      <w:r>
        <w:rPr>
          <w:spacing w:val="40"/>
        </w:rPr>
        <w:t xml:space="preserve"> </w:t>
      </w:r>
      <w:r>
        <w:t xml:space="preserve">the radically implausible view that “possible” is a </w:t>
      </w:r>
      <w:r>
        <w:rPr>
          <w:b/>
          <w:i/>
        </w:rPr>
        <w:t xml:space="preserve">primitive expression, </w:t>
      </w:r>
      <w:r>
        <w:t>MT defines “entailment” in terms of itself. (A primitive expression is one that doesn’t consist of other expressions. Examples of such expressions are “red” or “sweet.”)</w:t>
      </w:r>
    </w:p>
    <w:p w14:paraId="7E002A43" w14:textId="77777777" w:rsidR="009A58DB" w:rsidRDefault="00000000">
      <w:pPr>
        <w:pStyle w:val="BodyText"/>
        <w:spacing w:before="1" w:line="249" w:lineRule="auto"/>
        <w:ind w:right="371" w:firstLine="360"/>
      </w:pPr>
      <w:r>
        <w:t>To make MT non-circular, we must rid it of the word “possible.” Thus modified, MT is:</w:t>
      </w:r>
    </w:p>
    <w:p w14:paraId="7E002A44" w14:textId="77777777" w:rsidR="009A58DB" w:rsidRDefault="009A58DB">
      <w:pPr>
        <w:pStyle w:val="BodyText"/>
        <w:spacing w:before="17"/>
        <w:ind w:left="0"/>
        <w:jc w:val="left"/>
      </w:pPr>
    </w:p>
    <w:p w14:paraId="7E002A45" w14:textId="77777777" w:rsidR="009A58DB" w:rsidRDefault="00000000">
      <w:pPr>
        <w:pStyle w:val="BodyText"/>
        <w:spacing w:line="249" w:lineRule="auto"/>
        <w:ind w:right="367"/>
      </w:pPr>
      <w:r>
        <w:t>(MT*) for P to “entail” Q is for there to be no circumstance in which the first is true and the second is false.</w:t>
      </w:r>
    </w:p>
    <w:p w14:paraId="7E002A46" w14:textId="77777777" w:rsidR="009A58DB" w:rsidRDefault="009A58DB">
      <w:pPr>
        <w:pStyle w:val="BodyText"/>
        <w:spacing w:before="18"/>
        <w:ind w:left="0"/>
        <w:jc w:val="left"/>
      </w:pPr>
    </w:p>
    <w:p w14:paraId="7E002A47" w14:textId="77777777" w:rsidR="009A58DB" w:rsidRDefault="00000000">
      <w:pPr>
        <w:pStyle w:val="BodyText"/>
        <w:spacing w:line="249" w:lineRule="auto"/>
        <w:ind w:right="367"/>
      </w:pPr>
      <w:r>
        <w:t xml:space="preserve">In MT*, ‘circumstance’ must be mean </w:t>
      </w:r>
      <w:r>
        <w:rPr>
          <w:i/>
        </w:rPr>
        <w:t xml:space="preserve">actual </w:t>
      </w:r>
      <w:r>
        <w:t>circumstance. If it means anything else, MT* will be circular, like MT.</w:t>
      </w:r>
    </w:p>
    <w:p w14:paraId="7E002A48" w14:textId="77777777" w:rsidR="009A58DB" w:rsidRDefault="00000000">
      <w:pPr>
        <w:pStyle w:val="BodyText"/>
        <w:spacing w:before="2" w:line="249" w:lineRule="auto"/>
        <w:ind w:right="358" w:firstLine="360"/>
      </w:pPr>
      <w:r>
        <w:t>MT* is simply wrong. There is no circumstance in which the moon is made of cheese. And there is no circumstance in which I have ten cars. So there</w:t>
      </w:r>
      <w:r>
        <w:rPr>
          <w:spacing w:val="-1"/>
        </w:rPr>
        <w:t xml:space="preserve"> </w:t>
      </w:r>
      <w:r>
        <w:t>is no</w:t>
      </w:r>
      <w:r>
        <w:rPr>
          <w:spacing w:val="-1"/>
        </w:rPr>
        <w:t xml:space="preserve"> </w:t>
      </w:r>
      <w:r>
        <w:t>circumstance in</w:t>
      </w:r>
      <w:r>
        <w:rPr>
          <w:spacing w:val="-1"/>
        </w:rPr>
        <w:t xml:space="preserve"> </w:t>
      </w:r>
      <w:r>
        <w:t>which “the</w:t>
      </w:r>
      <w:r>
        <w:rPr>
          <w:spacing w:val="-1"/>
        </w:rPr>
        <w:t xml:space="preserve"> </w:t>
      </w:r>
      <w:r>
        <w:t>moon is</w:t>
      </w:r>
      <w:r>
        <w:rPr>
          <w:spacing w:val="-1"/>
        </w:rPr>
        <w:t xml:space="preserve"> </w:t>
      </w:r>
      <w:r>
        <w:t>made of</w:t>
      </w:r>
      <w:r>
        <w:rPr>
          <w:spacing w:val="-1"/>
        </w:rPr>
        <w:t xml:space="preserve"> </w:t>
      </w:r>
      <w:r>
        <w:t>cheese” is</w:t>
      </w:r>
      <w:r>
        <w:rPr>
          <w:spacing w:val="-1"/>
        </w:rPr>
        <w:t xml:space="preserve"> </w:t>
      </w:r>
      <w:r>
        <w:t xml:space="preserve">true and in which “JMK has ten cars” is false. So, according to MT*, the former entails the latter. But the former doesn’t entail the latter. (The former “materially implies” the latter. But that’s irrelevant, since material implication isn’t </w:t>
      </w:r>
      <w:r>
        <w:rPr>
          <w:spacing w:val="-2"/>
        </w:rPr>
        <w:t>entailment.)</w:t>
      </w:r>
    </w:p>
    <w:p w14:paraId="7E002A49" w14:textId="77777777" w:rsidR="009A58DB" w:rsidRDefault="00000000">
      <w:pPr>
        <w:pStyle w:val="BodyText"/>
        <w:spacing w:before="9"/>
        <w:ind w:left="720"/>
      </w:pPr>
      <w:r>
        <w:t>So</w:t>
      </w:r>
      <w:r>
        <w:rPr>
          <w:spacing w:val="43"/>
        </w:rPr>
        <w:t xml:space="preserve"> </w:t>
      </w:r>
      <w:r>
        <w:t>model-theoretic</w:t>
      </w:r>
      <w:r>
        <w:rPr>
          <w:spacing w:val="45"/>
        </w:rPr>
        <w:t xml:space="preserve"> </w:t>
      </w:r>
      <w:r>
        <w:t>entailment</w:t>
      </w:r>
      <w:r>
        <w:rPr>
          <w:spacing w:val="45"/>
        </w:rPr>
        <w:t xml:space="preserve"> </w:t>
      </w:r>
      <w:r>
        <w:t>isn’t</w:t>
      </w:r>
      <w:r>
        <w:rPr>
          <w:spacing w:val="46"/>
        </w:rPr>
        <w:t xml:space="preserve"> </w:t>
      </w:r>
      <w:r>
        <w:t>entailment</w:t>
      </w:r>
      <w:r>
        <w:rPr>
          <w:spacing w:val="45"/>
        </w:rPr>
        <w:t xml:space="preserve"> </w:t>
      </w:r>
      <w:r>
        <w:t>at</w:t>
      </w:r>
      <w:r>
        <w:rPr>
          <w:spacing w:val="45"/>
        </w:rPr>
        <w:t xml:space="preserve"> </w:t>
      </w:r>
      <w:r>
        <w:t>all.</w:t>
      </w:r>
      <w:r>
        <w:rPr>
          <w:spacing w:val="46"/>
        </w:rPr>
        <w:t xml:space="preserve"> </w:t>
      </w:r>
      <w:r>
        <w:t>It’s</w:t>
      </w:r>
      <w:r>
        <w:rPr>
          <w:spacing w:val="45"/>
        </w:rPr>
        <w:t xml:space="preserve"> </w:t>
      </w:r>
      <w:r>
        <w:t>what</w:t>
      </w:r>
      <w:r>
        <w:rPr>
          <w:spacing w:val="45"/>
        </w:rPr>
        <w:t xml:space="preserve"> </w:t>
      </w:r>
      <w:r>
        <w:t>a</w:t>
      </w:r>
      <w:r>
        <w:rPr>
          <w:spacing w:val="46"/>
        </w:rPr>
        <w:t xml:space="preserve"> </w:t>
      </w:r>
      <w:r>
        <w:rPr>
          <w:spacing w:val="-2"/>
        </w:rPr>
        <w:t>wrong</w:t>
      </w:r>
    </w:p>
    <w:p w14:paraId="7E002A4A" w14:textId="77777777" w:rsidR="009A58DB" w:rsidRDefault="00000000">
      <w:pPr>
        <w:pStyle w:val="BodyText"/>
        <w:spacing w:before="15"/>
      </w:pPr>
      <w:r>
        <w:rPr>
          <w:i/>
        </w:rPr>
        <w:t>theory</w:t>
      </w:r>
      <w:r>
        <w:rPr>
          <w:i/>
          <w:spacing w:val="-6"/>
        </w:rPr>
        <w:t xml:space="preserve"> </w:t>
      </w:r>
      <w:r>
        <w:t>of</w:t>
      </w:r>
      <w:r>
        <w:rPr>
          <w:spacing w:val="-3"/>
        </w:rPr>
        <w:t xml:space="preserve"> </w:t>
      </w:r>
      <w:r>
        <w:t>entailment</w:t>
      </w:r>
      <w:r>
        <w:rPr>
          <w:spacing w:val="-4"/>
        </w:rPr>
        <w:t xml:space="preserve"> </w:t>
      </w:r>
      <w:r>
        <w:t>says</w:t>
      </w:r>
      <w:r>
        <w:rPr>
          <w:spacing w:val="-3"/>
        </w:rPr>
        <w:t xml:space="preserve"> </w:t>
      </w:r>
      <w:r>
        <w:t>that</w:t>
      </w:r>
      <w:r>
        <w:rPr>
          <w:spacing w:val="-4"/>
        </w:rPr>
        <w:t xml:space="preserve"> </w:t>
      </w:r>
      <w:r>
        <w:t>it</w:t>
      </w:r>
      <w:r>
        <w:rPr>
          <w:spacing w:val="-3"/>
        </w:rPr>
        <w:t xml:space="preserve"> </w:t>
      </w:r>
      <w:r>
        <w:rPr>
          <w:spacing w:val="-5"/>
        </w:rPr>
        <w:t>is.</w:t>
      </w:r>
    </w:p>
    <w:p w14:paraId="7E002A4B" w14:textId="77777777" w:rsidR="009A58DB" w:rsidRDefault="00000000">
      <w:pPr>
        <w:pStyle w:val="BodyText"/>
        <w:spacing w:before="15" w:line="249" w:lineRule="auto"/>
        <w:ind w:right="359" w:firstLine="360"/>
      </w:pPr>
      <w:r>
        <w:t>Some of the principles stated in Section 2.3, not all of them, go through only if “entails” (i.e. “→”) is taken to refer to model-theoretic entailment.</w:t>
      </w:r>
    </w:p>
    <w:p w14:paraId="7E002A4C" w14:textId="77777777" w:rsidR="009A58DB" w:rsidRDefault="00000000">
      <w:pPr>
        <w:pStyle w:val="Heading1"/>
        <w:numPr>
          <w:ilvl w:val="1"/>
          <w:numId w:val="31"/>
        </w:numPr>
        <w:tabs>
          <w:tab w:val="left" w:pos="1409"/>
        </w:tabs>
        <w:spacing w:before="190"/>
        <w:ind w:left="1409" w:hanging="1049"/>
      </w:pPr>
      <w:r>
        <w:t>Formal</w:t>
      </w:r>
      <w:r>
        <w:rPr>
          <w:spacing w:val="-4"/>
        </w:rPr>
        <w:t xml:space="preserve"> </w:t>
      </w:r>
      <w:r>
        <w:rPr>
          <w:spacing w:val="-2"/>
        </w:rPr>
        <w:t>entailment</w:t>
      </w:r>
    </w:p>
    <w:p w14:paraId="7E002A4D" w14:textId="77777777" w:rsidR="009A58DB" w:rsidRDefault="00000000">
      <w:pPr>
        <w:pStyle w:val="BodyText"/>
        <w:spacing w:before="139" w:line="249" w:lineRule="auto"/>
        <w:ind w:right="360"/>
      </w:pPr>
      <w:r>
        <w:t>In some cases, one statement’s following from another can be determined entirely</w:t>
      </w:r>
      <w:r>
        <w:rPr>
          <w:spacing w:val="-1"/>
        </w:rPr>
        <w:t xml:space="preserve"> </w:t>
      </w:r>
      <w:r>
        <w:t>on</w:t>
      </w:r>
      <w:r>
        <w:rPr>
          <w:spacing w:val="-1"/>
        </w:rPr>
        <w:t xml:space="preserve"> </w:t>
      </w:r>
      <w:r>
        <w:t>the</w:t>
      </w:r>
      <w:r>
        <w:rPr>
          <w:spacing w:val="-1"/>
        </w:rPr>
        <w:t xml:space="preserve"> </w:t>
      </w:r>
      <w:r>
        <w:t>basis</w:t>
      </w:r>
      <w:r>
        <w:rPr>
          <w:spacing w:val="-1"/>
        </w:rPr>
        <w:t xml:space="preserve"> </w:t>
      </w:r>
      <w:r>
        <w:t>of</w:t>
      </w:r>
      <w:r>
        <w:rPr>
          <w:spacing w:val="-1"/>
        </w:rPr>
        <w:t xml:space="preserve"> </w:t>
      </w:r>
      <w:r>
        <w:t>the</w:t>
      </w:r>
      <w:r>
        <w:rPr>
          <w:spacing w:val="-1"/>
        </w:rPr>
        <w:t xml:space="preserve"> </w:t>
      </w:r>
      <w:r>
        <w:t>structures</w:t>
      </w:r>
      <w:r>
        <w:rPr>
          <w:spacing w:val="-1"/>
        </w:rPr>
        <w:t xml:space="preserve"> </w:t>
      </w:r>
      <w:r>
        <w:t>of</w:t>
      </w:r>
      <w:r>
        <w:rPr>
          <w:spacing w:val="-1"/>
        </w:rPr>
        <w:t xml:space="preserve"> </w:t>
      </w:r>
      <w:r>
        <w:t>those</w:t>
      </w:r>
      <w:r>
        <w:rPr>
          <w:spacing w:val="-1"/>
        </w:rPr>
        <w:t xml:space="preserve"> </w:t>
      </w:r>
      <w:r>
        <w:t>sentences.</w:t>
      </w:r>
      <w:r>
        <w:rPr>
          <w:spacing w:val="-1"/>
        </w:rPr>
        <w:t xml:space="preserve"> </w:t>
      </w:r>
      <w:r>
        <w:t>For</w:t>
      </w:r>
      <w:r>
        <w:rPr>
          <w:spacing w:val="-1"/>
        </w:rPr>
        <w:t xml:space="preserve"> </w:t>
      </w:r>
      <w:r>
        <w:t>any</w:t>
      </w:r>
      <w:r>
        <w:rPr>
          <w:spacing w:val="-1"/>
        </w:rPr>
        <w:t xml:space="preserve"> </w:t>
      </w:r>
      <w:r>
        <w:t>statements</w:t>
      </w:r>
      <w:r>
        <w:rPr>
          <w:spacing w:val="-1"/>
        </w:rPr>
        <w:t xml:space="preserve"> </w:t>
      </w:r>
      <w:r>
        <w:t>P and Q, ‹P and Q› entails ‹P.› For any statement P, ‹not not P› entails ‹P.›”not-not-P entails P” is correct.</w:t>
      </w:r>
    </w:p>
    <w:p w14:paraId="7E002A4E" w14:textId="77777777" w:rsidR="009A58DB" w:rsidRDefault="00000000">
      <w:pPr>
        <w:pStyle w:val="BodyText"/>
        <w:spacing w:before="5" w:line="249" w:lineRule="auto"/>
        <w:ind w:right="360" w:firstLine="360"/>
      </w:pPr>
      <w:r>
        <w:t xml:space="preserve">If it can be determined that Q follows from P entirely on the basis of the structural properties of those sentences, P </w:t>
      </w:r>
      <w:r>
        <w:rPr>
          <w:b/>
          <w:i/>
        </w:rPr>
        <w:t xml:space="preserve">formally entails </w:t>
      </w:r>
      <w:r>
        <w:t>Q.</w:t>
      </w:r>
    </w:p>
    <w:p w14:paraId="7E002A4F" w14:textId="77777777" w:rsidR="009A58DB" w:rsidRDefault="00000000">
      <w:pPr>
        <w:pStyle w:val="BodyText"/>
        <w:spacing w:before="3" w:line="249" w:lineRule="auto"/>
        <w:ind w:right="359" w:firstLine="360"/>
      </w:pPr>
      <w:r>
        <w:t>For awhile, it was thought that all entailments could be formalized—that is, that whenever one statement entails another, it is entirely because of the syntactic or structural properties of those sentences. That viewpoint is simply</w:t>
      </w:r>
    </w:p>
    <w:p w14:paraId="7E002A5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51" w14:textId="77777777" w:rsidR="009A58DB" w:rsidRDefault="00000000">
      <w:pPr>
        <w:pStyle w:val="BodyText"/>
        <w:spacing w:before="60"/>
      </w:pPr>
      <w:r>
        <w:lastRenderedPageBreak/>
        <w:t>false.</w:t>
      </w:r>
      <w:r>
        <w:rPr>
          <w:spacing w:val="-5"/>
        </w:rPr>
        <w:t xml:space="preserve"> </w:t>
      </w:r>
      <w:r>
        <w:t>Why</w:t>
      </w:r>
      <w:r>
        <w:rPr>
          <w:spacing w:val="-3"/>
        </w:rPr>
        <w:t xml:space="preserve"> </w:t>
      </w:r>
      <w:r>
        <w:t>it</w:t>
      </w:r>
      <w:r>
        <w:rPr>
          <w:spacing w:val="-3"/>
        </w:rPr>
        <w:t xml:space="preserve"> </w:t>
      </w:r>
      <w:r>
        <w:t>is</w:t>
      </w:r>
      <w:r>
        <w:rPr>
          <w:spacing w:val="-4"/>
        </w:rPr>
        <w:t xml:space="preserve"> </w:t>
      </w:r>
      <w:r>
        <w:t>false</w:t>
      </w:r>
      <w:r>
        <w:rPr>
          <w:spacing w:val="-3"/>
        </w:rPr>
        <w:t xml:space="preserve"> </w:t>
      </w:r>
      <w:r>
        <w:t>is</w:t>
      </w:r>
      <w:r>
        <w:rPr>
          <w:spacing w:val="-4"/>
        </w:rPr>
        <w:t xml:space="preserve"> </w:t>
      </w:r>
      <w:r>
        <w:t>explained</w:t>
      </w:r>
      <w:r>
        <w:rPr>
          <w:spacing w:val="-2"/>
        </w:rPr>
        <w:t xml:space="preserve"> </w:t>
      </w:r>
      <w:r>
        <w:t>in</w:t>
      </w:r>
      <w:r>
        <w:rPr>
          <w:spacing w:val="-3"/>
        </w:rPr>
        <w:t xml:space="preserve"> </w:t>
      </w:r>
      <w:r>
        <w:t>Chapter</w:t>
      </w:r>
      <w:r>
        <w:rPr>
          <w:spacing w:val="-3"/>
        </w:rPr>
        <w:t xml:space="preserve"> </w:t>
      </w:r>
      <w:r>
        <w:t>1,</w:t>
      </w:r>
      <w:r>
        <w:rPr>
          <w:spacing w:val="-3"/>
        </w:rPr>
        <w:t xml:space="preserve"> </w:t>
      </w:r>
      <w:r>
        <w:t>Section</w:t>
      </w:r>
      <w:r>
        <w:rPr>
          <w:spacing w:val="-2"/>
        </w:rPr>
        <w:t xml:space="preserve"> </w:t>
      </w:r>
      <w:r>
        <w:rPr>
          <w:spacing w:val="-4"/>
        </w:rPr>
        <w:t>6.0.</w:t>
      </w:r>
    </w:p>
    <w:p w14:paraId="7E002A52" w14:textId="77777777" w:rsidR="009A58DB" w:rsidRDefault="00000000">
      <w:pPr>
        <w:pStyle w:val="Heading1"/>
        <w:numPr>
          <w:ilvl w:val="1"/>
          <w:numId w:val="31"/>
        </w:numPr>
        <w:tabs>
          <w:tab w:val="left" w:pos="1409"/>
        </w:tabs>
        <w:spacing w:before="208" w:line="244" w:lineRule="auto"/>
        <w:ind w:left="360" w:right="1929" w:firstLine="0"/>
      </w:pPr>
      <w:r>
        <w:t>Formal</w:t>
      </w:r>
      <w:r>
        <w:rPr>
          <w:spacing w:val="-11"/>
        </w:rPr>
        <w:t xml:space="preserve"> </w:t>
      </w:r>
      <w:r>
        <w:t>entailment</w:t>
      </w:r>
      <w:r>
        <w:rPr>
          <w:spacing w:val="-11"/>
        </w:rPr>
        <w:t xml:space="preserve"> </w:t>
      </w:r>
      <w:r>
        <w:t>a</w:t>
      </w:r>
      <w:r>
        <w:rPr>
          <w:spacing w:val="-10"/>
        </w:rPr>
        <w:t xml:space="preserve"> </w:t>
      </w:r>
      <w:r>
        <w:t>relation</w:t>
      </w:r>
      <w:r>
        <w:rPr>
          <w:spacing w:val="-11"/>
        </w:rPr>
        <w:t xml:space="preserve"> </w:t>
      </w:r>
      <w:r>
        <w:t xml:space="preserve">between </w:t>
      </w:r>
      <w:r>
        <w:rPr>
          <w:spacing w:val="-2"/>
        </w:rPr>
        <w:t>expressions</w:t>
      </w:r>
    </w:p>
    <w:p w14:paraId="7E002A53" w14:textId="77777777" w:rsidR="009A58DB" w:rsidRDefault="00000000">
      <w:pPr>
        <w:pStyle w:val="BodyText"/>
        <w:spacing w:before="131" w:line="249" w:lineRule="auto"/>
        <w:ind w:right="359"/>
      </w:pPr>
      <w:r>
        <w:t xml:space="preserve">Only expressions have syntax. So, since P formally entails Q only if P and Q have certain </w:t>
      </w:r>
      <w:r>
        <w:rPr>
          <w:i/>
        </w:rPr>
        <w:t xml:space="preserve">syntactic </w:t>
      </w:r>
      <w:r>
        <w:t xml:space="preserve">properties, the relation of formal entailment holds between </w:t>
      </w:r>
      <w:r>
        <w:rPr>
          <w:i/>
        </w:rPr>
        <w:t xml:space="preserve">sentences </w:t>
      </w:r>
      <w:r>
        <w:t>(or sentence-tokens), whereas the relations of model-theoretic entailment holds between propositions, the same being true of “informal, non-model-theoretic entailment,” which I will now define.</w:t>
      </w:r>
    </w:p>
    <w:p w14:paraId="7E002A54" w14:textId="77777777" w:rsidR="009A58DB" w:rsidRDefault="00000000">
      <w:pPr>
        <w:pStyle w:val="Heading1"/>
        <w:numPr>
          <w:ilvl w:val="1"/>
          <w:numId w:val="31"/>
        </w:numPr>
        <w:tabs>
          <w:tab w:val="left" w:pos="1080"/>
          <w:tab w:val="left" w:pos="2144"/>
        </w:tabs>
        <w:spacing w:before="210" w:line="244" w:lineRule="auto"/>
        <w:ind w:left="1080" w:right="527" w:hanging="720"/>
        <w:jc w:val="both"/>
      </w:pPr>
      <w:r>
        <w:tab/>
        <w:t xml:space="preserve">The one, genuinely important kind of entailment: the informal, non-model-theoretic </w:t>
      </w:r>
      <w:r>
        <w:rPr>
          <w:spacing w:val="-4"/>
        </w:rPr>
        <w:t>kind</w:t>
      </w:r>
    </w:p>
    <w:p w14:paraId="7E002A55" w14:textId="77777777" w:rsidR="009A58DB" w:rsidRDefault="00000000">
      <w:pPr>
        <w:spacing w:before="134" w:line="292" w:lineRule="auto"/>
        <w:ind w:left="360" w:right="363"/>
        <w:jc w:val="both"/>
        <w:rPr>
          <w:i/>
          <w:sz w:val="30"/>
        </w:rPr>
      </w:pPr>
      <w:r>
        <w:rPr>
          <w:sz w:val="30"/>
        </w:rPr>
        <w:t xml:space="preserve">Let P1 be the statement </w:t>
      </w:r>
      <w:r>
        <w:rPr>
          <w:i/>
          <w:sz w:val="30"/>
        </w:rPr>
        <w:t xml:space="preserve">John knows that 1 + 1 = 2, </w:t>
      </w:r>
      <w:r>
        <w:rPr>
          <w:sz w:val="30"/>
        </w:rPr>
        <w:t>and let Q</w:t>
      </w:r>
      <w:r>
        <w:rPr>
          <w:sz w:val="30"/>
          <w:vertAlign w:val="subscript"/>
        </w:rPr>
        <w:t>1</w:t>
      </w:r>
      <w:r>
        <w:rPr>
          <w:sz w:val="30"/>
        </w:rPr>
        <w:t xml:space="preserve"> be the statement </w:t>
      </w:r>
      <w:r>
        <w:rPr>
          <w:i/>
          <w:sz w:val="30"/>
        </w:rPr>
        <w:t>John believes that</w:t>
      </w:r>
    </w:p>
    <w:p w14:paraId="7E002A56" w14:textId="77777777" w:rsidR="009A58DB" w:rsidRDefault="00000000">
      <w:pPr>
        <w:pStyle w:val="BodyText"/>
        <w:spacing w:line="283" w:lineRule="exact"/>
      </w:pPr>
      <w:r>
        <w:rPr>
          <w:i/>
        </w:rPr>
        <w:t>1</w:t>
      </w:r>
      <w:r>
        <w:rPr>
          <w:i/>
          <w:spacing w:val="56"/>
        </w:rPr>
        <w:t xml:space="preserve"> </w:t>
      </w:r>
      <w:r>
        <w:rPr>
          <w:i/>
        </w:rPr>
        <w:t>+</w:t>
      </w:r>
      <w:r>
        <w:rPr>
          <w:i/>
          <w:spacing w:val="57"/>
        </w:rPr>
        <w:t xml:space="preserve"> </w:t>
      </w:r>
      <w:r>
        <w:rPr>
          <w:i/>
        </w:rPr>
        <w:t>1</w:t>
      </w:r>
      <w:r>
        <w:rPr>
          <w:i/>
          <w:spacing w:val="56"/>
        </w:rPr>
        <w:t xml:space="preserve"> </w:t>
      </w:r>
      <w:r>
        <w:rPr>
          <w:i/>
        </w:rPr>
        <w:t>=</w:t>
      </w:r>
      <w:r>
        <w:rPr>
          <w:i/>
          <w:spacing w:val="57"/>
        </w:rPr>
        <w:t xml:space="preserve"> </w:t>
      </w:r>
      <w:r>
        <w:rPr>
          <w:i/>
        </w:rPr>
        <w:t>2.</w:t>
      </w:r>
      <w:r>
        <w:rPr>
          <w:i/>
          <w:spacing w:val="46"/>
        </w:rPr>
        <w:t xml:space="preserve"> </w:t>
      </w:r>
      <w:r>
        <w:t>P</w:t>
      </w:r>
      <w:r>
        <w:rPr>
          <w:vertAlign w:val="subscript"/>
        </w:rPr>
        <w:t>1</w:t>
      </w:r>
      <w:r>
        <w:rPr>
          <w:spacing w:val="54"/>
        </w:rPr>
        <w:t xml:space="preserve"> </w:t>
      </w:r>
      <w:r>
        <w:t>model-theoretically</w:t>
      </w:r>
      <w:r>
        <w:rPr>
          <w:spacing w:val="56"/>
        </w:rPr>
        <w:t xml:space="preserve"> </w:t>
      </w:r>
      <w:r>
        <w:t>entails</w:t>
      </w:r>
      <w:r>
        <w:rPr>
          <w:spacing w:val="56"/>
        </w:rPr>
        <w:t xml:space="preserve"> </w:t>
      </w:r>
      <w:r>
        <w:t>Q</w:t>
      </w:r>
      <w:r>
        <w:rPr>
          <w:vertAlign w:val="subscript"/>
        </w:rPr>
        <w:t>1</w:t>
      </w:r>
      <w:r>
        <w:t>.</w:t>
      </w:r>
      <w:r>
        <w:rPr>
          <w:spacing w:val="57"/>
        </w:rPr>
        <w:t xml:space="preserve"> </w:t>
      </w:r>
      <w:r>
        <w:t>In</w:t>
      </w:r>
      <w:r>
        <w:rPr>
          <w:spacing w:val="58"/>
        </w:rPr>
        <w:t xml:space="preserve"> </w:t>
      </w:r>
      <w:r>
        <w:t>other</w:t>
      </w:r>
      <w:r>
        <w:rPr>
          <w:spacing w:val="57"/>
        </w:rPr>
        <w:t xml:space="preserve"> </w:t>
      </w:r>
      <w:r>
        <w:t>words,</w:t>
      </w:r>
      <w:r>
        <w:rPr>
          <w:spacing w:val="58"/>
        </w:rPr>
        <w:t xml:space="preserve"> </w:t>
      </w:r>
      <w:r>
        <w:t>there</w:t>
      </w:r>
      <w:r>
        <w:rPr>
          <w:spacing w:val="58"/>
        </w:rPr>
        <w:t xml:space="preserve"> </w:t>
      </w:r>
      <w:r>
        <w:t>is</w:t>
      </w:r>
      <w:r>
        <w:rPr>
          <w:spacing w:val="57"/>
        </w:rPr>
        <w:t xml:space="preserve"> </w:t>
      </w:r>
      <w:r>
        <w:rPr>
          <w:spacing w:val="-5"/>
        </w:rPr>
        <w:t>no</w:t>
      </w:r>
    </w:p>
    <w:p w14:paraId="7E002A57" w14:textId="77777777" w:rsidR="009A58DB" w:rsidRDefault="00000000">
      <w:pPr>
        <w:pStyle w:val="BodyText"/>
        <w:spacing w:before="75" w:line="292" w:lineRule="auto"/>
        <w:ind w:right="365"/>
      </w:pPr>
      <w:r>
        <w:t>coherently conceivable scenario where P</w:t>
      </w:r>
      <w:r>
        <w:rPr>
          <w:vertAlign w:val="subscript"/>
        </w:rPr>
        <w:t>1</w:t>
      </w:r>
      <w:r>
        <w:t xml:space="preserve"> is true and Q</w:t>
      </w:r>
      <w:r>
        <w:rPr>
          <w:vertAlign w:val="subscript"/>
        </w:rPr>
        <w:t>1</w:t>
      </w:r>
      <w:r>
        <w:t xml:space="preserve"> is false. But the entailment</w:t>
      </w:r>
      <w:r>
        <w:rPr>
          <w:spacing w:val="38"/>
        </w:rPr>
        <w:t xml:space="preserve"> </w:t>
      </w:r>
      <w:r>
        <w:t>relation</w:t>
      </w:r>
      <w:r>
        <w:rPr>
          <w:spacing w:val="39"/>
        </w:rPr>
        <w:t xml:space="preserve"> </w:t>
      </w:r>
      <w:r>
        <w:t>that</w:t>
      </w:r>
      <w:r>
        <w:rPr>
          <w:spacing w:val="39"/>
        </w:rPr>
        <w:t xml:space="preserve"> </w:t>
      </w:r>
      <w:r>
        <w:t>holds</w:t>
      </w:r>
      <w:r>
        <w:rPr>
          <w:spacing w:val="39"/>
        </w:rPr>
        <w:t xml:space="preserve"> </w:t>
      </w:r>
      <w:r>
        <w:t>between</w:t>
      </w:r>
      <w:r>
        <w:rPr>
          <w:spacing w:val="39"/>
        </w:rPr>
        <w:t xml:space="preserve"> </w:t>
      </w:r>
      <w:r>
        <w:t>P</w:t>
      </w:r>
      <w:r>
        <w:rPr>
          <w:vertAlign w:val="subscript"/>
        </w:rPr>
        <w:t>1</w:t>
      </w:r>
      <w:r>
        <w:rPr>
          <w:spacing w:val="38"/>
        </w:rPr>
        <w:t xml:space="preserve"> </w:t>
      </w:r>
      <w:r>
        <w:t>and</w:t>
      </w:r>
      <w:r>
        <w:rPr>
          <w:spacing w:val="37"/>
        </w:rPr>
        <w:t xml:space="preserve"> </w:t>
      </w:r>
      <w:r>
        <w:t>Q</w:t>
      </w:r>
      <w:r>
        <w:rPr>
          <w:vertAlign w:val="subscript"/>
        </w:rPr>
        <w:t>1</w:t>
      </w:r>
      <w:r>
        <w:rPr>
          <w:spacing w:val="40"/>
        </w:rPr>
        <w:t xml:space="preserve"> </w:t>
      </w:r>
      <w:r>
        <w:t>is</w:t>
      </w:r>
      <w:r>
        <w:rPr>
          <w:spacing w:val="40"/>
        </w:rPr>
        <w:t xml:space="preserve"> </w:t>
      </w:r>
      <w:r>
        <w:t>not</w:t>
      </w:r>
      <w:r>
        <w:rPr>
          <w:spacing w:val="40"/>
        </w:rPr>
        <w:t xml:space="preserve"> </w:t>
      </w:r>
      <w:r>
        <w:rPr>
          <w:i/>
        </w:rPr>
        <w:t>just</w:t>
      </w:r>
      <w:r>
        <w:rPr>
          <w:i/>
          <w:spacing w:val="44"/>
        </w:rPr>
        <w:t xml:space="preserve"> </w:t>
      </w:r>
      <w:r>
        <w:t>an</w:t>
      </w:r>
      <w:r>
        <w:rPr>
          <w:spacing w:val="46"/>
        </w:rPr>
        <w:t xml:space="preserve"> </w:t>
      </w:r>
      <w:r>
        <w:t>instance</w:t>
      </w:r>
      <w:r>
        <w:rPr>
          <w:spacing w:val="44"/>
        </w:rPr>
        <w:t xml:space="preserve"> </w:t>
      </w:r>
      <w:r>
        <w:rPr>
          <w:spacing w:val="-5"/>
        </w:rPr>
        <w:t>of</w:t>
      </w:r>
    </w:p>
    <w:p w14:paraId="7E002A58" w14:textId="77777777" w:rsidR="009A58DB" w:rsidRDefault="00000000">
      <w:pPr>
        <w:pStyle w:val="BodyText"/>
        <w:spacing w:line="249" w:lineRule="auto"/>
        <w:ind w:right="359"/>
      </w:pPr>
      <w:r>
        <w:t>model-theoretic entailment; it is also an instance of another, more significant kind of entailment. This is made clear by the fact that there is a marked difference</w:t>
      </w:r>
      <w:r>
        <w:rPr>
          <w:spacing w:val="24"/>
        </w:rPr>
        <w:t xml:space="preserve"> </w:t>
      </w:r>
      <w:r>
        <w:t>between</w:t>
      </w:r>
      <w:r>
        <w:rPr>
          <w:spacing w:val="25"/>
        </w:rPr>
        <w:t xml:space="preserve"> </w:t>
      </w:r>
      <w:r>
        <w:t>the</w:t>
      </w:r>
      <w:r>
        <w:rPr>
          <w:spacing w:val="24"/>
        </w:rPr>
        <w:t xml:space="preserve"> </w:t>
      </w:r>
      <w:r>
        <w:t>relation</w:t>
      </w:r>
      <w:r>
        <w:rPr>
          <w:spacing w:val="25"/>
        </w:rPr>
        <w:t xml:space="preserve"> </w:t>
      </w:r>
      <w:r>
        <w:t>that</w:t>
      </w:r>
      <w:r>
        <w:rPr>
          <w:spacing w:val="24"/>
        </w:rPr>
        <w:t xml:space="preserve"> </w:t>
      </w:r>
      <w:r>
        <w:t>holds</w:t>
      </w:r>
      <w:r>
        <w:rPr>
          <w:spacing w:val="25"/>
        </w:rPr>
        <w:t xml:space="preserve"> </w:t>
      </w:r>
      <w:r>
        <w:t>between,</w:t>
      </w:r>
      <w:r>
        <w:rPr>
          <w:spacing w:val="24"/>
        </w:rPr>
        <w:t xml:space="preserve"> </w:t>
      </w:r>
      <w:r>
        <w:t>on</w:t>
      </w:r>
      <w:r>
        <w:rPr>
          <w:spacing w:val="25"/>
        </w:rPr>
        <w:t xml:space="preserve"> </w:t>
      </w:r>
      <w:r>
        <w:t>the</w:t>
      </w:r>
      <w:r>
        <w:rPr>
          <w:spacing w:val="24"/>
        </w:rPr>
        <w:t xml:space="preserve"> </w:t>
      </w:r>
      <w:r>
        <w:t>one</w:t>
      </w:r>
      <w:r>
        <w:rPr>
          <w:spacing w:val="24"/>
        </w:rPr>
        <w:t xml:space="preserve"> </w:t>
      </w:r>
      <w:r>
        <w:t>hand,</w:t>
      </w:r>
      <w:r>
        <w:rPr>
          <w:spacing w:val="25"/>
        </w:rPr>
        <w:t xml:space="preserve"> </w:t>
      </w:r>
      <w:r>
        <w:t>P</w:t>
      </w:r>
      <w:r>
        <w:rPr>
          <w:vertAlign w:val="subscript"/>
        </w:rPr>
        <w:t>1</w:t>
      </w:r>
      <w:r>
        <w:rPr>
          <w:spacing w:val="29"/>
        </w:rPr>
        <w:t xml:space="preserve"> </w:t>
      </w:r>
      <w:r>
        <w:rPr>
          <w:spacing w:val="-5"/>
        </w:rPr>
        <w:t>and</w:t>
      </w:r>
    </w:p>
    <w:p w14:paraId="7E002A59" w14:textId="77777777" w:rsidR="009A58DB" w:rsidRDefault="00000000">
      <w:pPr>
        <w:pStyle w:val="BodyText"/>
        <w:spacing w:before="62"/>
      </w:pPr>
      <w:r>
        <w:t>Q</w:t>
      </w:r>
      <w:r>
        <w:rPr>
          <w:vertAlign w:val="subscript"/>
        </w:rPr>
        <w:t>1</w:t>
      </w:r>
      <w:r>
        <w:rPr>
          <w:spacing w:val="-1"/>
        </w:rPr>
        <w:t xml:space="preserve"> </w:t>
      </w:r>
      <w:r>
        <w:t>and,</w:t>
      </w:r>
      <w:r>
        <w:rPr>
          <w:spacing w:val="-1"/>
        </w:rPr>
        <w:t xml:space="preserve"> </w:t>
      </w:r>
      <w:r>
        <w:t>on the</w:t>
      </w:r>
      <w:r>
        <w:rPr>
          <w:spacing w:val="-2"/>
        </w:rPr>
        <w:t xml:space="preserve"> </w:t>
      </w:r>
      <w:r>
        <w:t>other</w:t>
      </w:r>
      <w:r>
        <w:rPr>
          <w:spacing w:val="-1"/>
        </w:rPr>
        <w:t xml:space="preserve"> </w:t>
      </w:r>
      <w:r>
        <w:t>hand,</w:t>
      </w:r>
      <w:r>
        <w:rPr>
          <w:spacing w:val="-1"/>
        </w:rPr>
        <w:t xml:space="preserve"> </w:t>
      </w:r>
      <w:r>
        <w:t>the</w:t>
      </w:r>
      <w:r>
        <w:rPr>
          <w:spacing w:val="-1"/>
        </w:rPr>
        <w:t xml:space="preserve"> </w:t>
      </w:r>
      <w:r>
        <w:t>entailment-relation</w:t>
      </w:r>
      <w:r>
        <w:rPr>
          <w:spacing w:val="-1"/>
        </w:rPr>
        <w:t xml:space="preserve"> </w:t>
      </w:r>
      <w:r>
        <w:t>that</w:t>
      </w:r>
      <w:r>
        <w:rPr>
          <w:spacing w:val="-1"/>
        </w:rPr>
        <w:t xml:space="preserve"> </w:t>
      </w:r>
      <w:r>
        <w:t>holds</w:t>
      </w:r>
      <w:r>
        <w:rPr>
          <w:spacing w:val="-2"/>
        </w:rPr>
        <w:t xml:space="preserve"> between:</w:t>
      </w:r>
    </w:p>
    <w:p w14:paraId="7E002A5A" w14:textId="77777777" w:rsidR="009A58DB" w:rsidRDefault="009A58DB">
      <w:pPr>
        <w:pStyle w:val="BodyText"/>
        <w:spacing w:before="90"/>
        <w:ind w:left="0"/>
        <w:jc w:val="left"/>
      </w:pPr>
    </w:p>
    <w:p w14:paraId="7E002A5B" w14:textId="77777777" w:rsidR="009A58DB" w:rsidRDefault="00000000">
      <w:pPr>
        <w:pStyle w:val="BodyText"/>
      </w:pPr>
      <w:r>
        <w:rPr>
          <w:w w:val="105"/>
        </w:rPr>
        <w:t>P</w:t>
      </w:r>
      <w:r>
        <w:rPr>
          <w:w w:val="105"/>
          <w:vertAlign w:val="subscript"/>
        </w:rPr>
        <w:t>2</w:t>
      </w:r>
      <w:r>
        <w:rPr>
          <w:w w:val="105"/>
        </w:rPr>
        <w:t>:</w:t>
      </w:r>
      <w:r>
        <w:rPr>
          <w:spacing w:val="-11"/>
          <w:w w:val="105"/>
        </w:rPr>
        <w:t xml:space="preserve"> </w:t>
      </w:r>
      <w:r>
        <w:rPr>
          <w:w w:val="105"/>
        </w:rPr>
        <w:t>1</w:t>
      </w:r>
      <w:r>
        <w:rPr>
          <w:spacing w:val="-10"/>
          <w:w w:val="105"/>
        </w:rPr>
        <w:t xml:space="preserve"> </w:t>
      </w:r>
      <w:r>
        <w:rPr>
          <w:w w:val="105"/>
        </w:rPr>
        <w:t>+</w:t>
      </w:r>
      <w:r>
        <w:rPr>
          <w:spacing w:val="-11"/>
          <w:w w:val="105"/>
        </w:rPr>
        <w:t xml:space="preserve"> </w:t>
      </w:r>
      <w:r>
        <w:rPr>
          <w:w w:val="105"/>
        </w:rPr>
        <w:t>1</w:t>
      </w:r>
      <w:r>
        <w:rPr>
          <w:spacing w:val="-10"/>
          <w:w w:val="105"/>
        </w:rPr>
        <w:t xml:space="preserve"> </w:t>
      </w:r>
      <w:r>
        <w:rPr>
          <w:w w:val="105"/>
        </w:rPr>
        <w:t>=</w:t>
      </w:r>
      <w:r>
        <w:rPr>
          <w:spacing w:val="-10"/>
          <w:w w:val="105"/>
        </w:rPr>
        <w:t xml:space="preserve"> 2</w:t>
      </w:r>
    </w:p>
    <w:p w14:paraId="7E002A5C" w14:textId="77777777" w:rsidR="009A58DB" w:rsidRDefault="009A58DB">
      <w:pPr>
        <w:pStyle w:val="BodyText"/>
        <w:spacing w:before="90"/>
        <w:ind w:left="0"/>
        <w:jc w:val="left"/>
      </w:pPr>
    </w:p>
    <w:p w14:paraId="7E002A5D" w14:textId="77777777" w:rsidR="009A58DB" w:rsidRDefault="00000000">
      <w:pPr>
        <w:pStyle w:val="BodyText"/>
        <w:jc w:val="left"/>
      </w:pPr>
      <w:r>
        <w:rPr>
          <w:spacing w:val="-5"/>
        </w:rPr>
        <w:t>and</w:t>
      </w:r>
    </w:p>
    <w:p w14:paraId="7E002A5E" w14:textId="77777777" w:rsidR="009A58DB" w:rsidRDefault="009A58DB">
      <w:pPr>
        <w:pStyle w:val="BodyText"/>
        <w:spacing w:before="30"/>
        <w:ind w:left="0"/>
        <w:jc w:val="left"/>
      </w:pPr>
    </w:p>
    <w:p w14:paraId="7E002A5F" w14:textId="77777777" w:rsidR="009A58DB" w:rsidRDefault="00000000">
      <w:pPr>
        <w:pStyle w:val="BodyText"/>
        <w:jc w:val="left"/>
      </w:pPr>
      <w:r>
        <w:t>Q</w:t>
      </w:r>
      <w:r>
        <w:rPr>
          <w:vertAlign w:val="subscript"/>
        </w:rPr>
        <w:t>2</w:t>
      </w:r>
      <w:r>
        <w:t>:</w:t>
      </w:r>
      <w:r>
        <w:rPr>
          <w:spacing w:val="1"/>
        </w:rPr>
        <w:t xml:space="preserve"> </w:t>
      </w:r>
      <w:r>
        <w:t>triangles</w:t>
      </w:r>
      <w:r>
        <w:rPr>
          <w:spacing w:val="1"/>
        </w:rPr>
        <w:t xml:space="preserve"> </w:t>
      </w:r>
      <w:r>
        <w:t>have</w:t>
      </w:r>
      <w:r>
        <w:rPr>
          <w:spacing w:val="1"/>
        </w:rPr>
        <w:t xml:space="preserve"> </w:t>
      </w:r>
      <w:r>
        <w:t>three</w:t>
      </w:r>
      <w:r>
        <w:rPr>
          <w:spacing w:val="1"/>
        </w:rPr>
        <w:t xml:space="preserve"> </w:t>
      </w:r>
      <w:r>
        <w:rPr>
          <w:spacing w:val="-2"/>
        </w:rPr>
        <w:t>sides.</w:t>
      </w:r>
    </w:p>
    <w:p w14:paraId="7E002A60" w14:textId="77777777" w:rsidR="009A58DB" w:rsidRDefault="009A58DB">
      <w:pPr>
        <w:pStyle w:val="BodyText"/>
        <w:spacing w:before="90"/>
        <w:ind w:left="0"/>
        <w:jc w:val="left"/>
      </w:pPr>
    </w:p>
    <w:p w14:paraId="7E002A61" w14:textId="77777777" w:rsidR="009A58DB" w:rsidRDefault="00000000">
      <w:pPr>
        <w:pStyle w:val="BodyText"/>
        <w:spacing w:line="292" w:lineRule="auto"/>
        <w:ind w:right="365" w:firstLine="360"/>
      </w:pPr>
      <w:r>
        <w:t>The difference is clear. Given the information contained in P</w:t>
      </w:r>
      <w:r>
        <w:rPr>
          <w:vertAlign w:val="subscript"/>
        </w:rPr>
        <w:t>1</w:t>
      </w:r>
      <w:r>
        <w:t>, it can be deduced that Q</w:t>
      </w:r>
      <w:r>
        <w:rPr>
          <w:vertAlign w:val="subscript"/>
        </w:rPr>
        <w:t>1</w:t>
      </w:r>
      <w:r>
        <w:t xml:space="preserve"> is true. Q</w:t>
      </w:r>
      <w:r>
        <w:rPr>
          <w:vertAlign w:val="subscript"/>
        </w:rPr>
        <w:t>1</w:t>
      </w:r>
      <w:r>
        <w:t xml:space="preserve"> is, in some important sense, “implicit in” or “contained</w:t>
      </w:r>
      <w:r>
        <w:rPr>
          <w:spacing w:val="2"/>
        </w:rPr>
        <w:t xml:space="preserve"> </w:t>
      </w:r>
      <w:r>
        <w:t>in”</w:t>
      </w:r>
      <w:r>
        <w:rPr>
          <w:spacing w:val="1"/>
        </w:rPr>
        <w:t xml:space="preserve"> </w:t>
      </w:r>
      <w:r>
        <w:t>P</w:t>
      </w:r>
      <w:r>
        <w:rPr>
          <w:vertAlign w:val="subscript"/>
        </w:rPr>
        <w:t>1</w:t>
      </w:r>
      <w:r>
        <w:t>.</w:t>
      </w:r>
      <w:r>
        <w:rPr>
          <w:spacing w:val="3"/>
        </w:rPr>
        <w:t xml:space="preserve"> </w:t>
      </w:r>
      <w:r>
        <w:t>But</w:t>
      </w:r>
      <w:r>
        <w:rPr>
          <w:spacing w:val="1"/>
        </w:rPr>
        <w:t xml:space="preserve"> </w:t>
      </w:r>
      <w:r>
        <w:t>Q</w:t>
      </w:r>
      <w:r>
        <w:rPr>
          <w:vertAlign w:val="subscript"/>
        </w:rPr>
        <w:t>2</w:t>
      </w:r>
      <w:r>
        <w:rPr>
          <w:spacing w:val="3"/>
        </w:rPr>
        <w:t xml:space="preserve"> </w:t>
      </w:r>
      <w:r>
        <w:t>isn’t</w:t>
      </w:r>
      <w:r>
        <w:rPr>
          <w:spacing w:val="1"/>
        </w:rPr>
        <w:t xml:space="preserve"> </w:t>
      </w:r>
      <w:r>
        <w:t>implicit</w:t>
      </w:r>
      <w:r>
        <w:rPr>
          <w:spacing w:val="2"/>
        </w:rPr>
        <w:t xml:space="preserve"> </w:t>
      </w:r>
      <w:r>
        <w:t>in</w:t>
      </w:r>
      <w:r>
        <w:rPr>
          <w:spacing w:val="2"/>
        </w:rPr>
        <w:t xml:space="preserve"> </w:t>
      </w:r>
      <w:r>
        <w:t>P</w:t>
      </w:r>
      <w:r>
        <w:rPr>
          <w:vertAlign w:val="subscript"/>
        </w:rPr>
        <w:t>2</w:t>
      </w:r>
      <w:r>
        <w:t>.</w:t>
      </w:r>
      <w:r>
        <w:rPr>
          <w:spacing w:val="3"/>
        </w:rPr>
        <w:t xml:space="preserve"> </w:t>
      </w:r>
      <w:r>
        <w:t>There</w:t>
      </w:r>
      <w:r>
        <w:rPr>
          <w:spacing w:val="1"/>
        </w:rPr>
        <w:t xml:space="preserve"> </w:t>
      </w:r>
      <w:r>
        <w:t>isn’t</w:t>
      </w:r>
      <w:r>
        <w:rPr>
          <w:spacing w:val="2"/>
        </w:rPr>
        <w:t xml:space="preserve"> </w:t>
      </w:r>
      <w:r>
        <w:t>anything</w:t>
      </w:r>
      <w:r>
        <w:rPr>
          <w:spacing w:val="2"/>
        </w:rPr>
        <w:t xml:space="preserve"> </w:t>
      </w:r>
      <w:r>
        <w:rPr>
          <w:spacing w:val="-2"/>
        </w:rPr>
        <w:t>concerning</w:t>
      </w:r>
    </w:p>
    <w:p w14:paraId="7E002A62" w14:textId="77777777" w:rsidR="009A58DB" w:rsidRDefault="009A58DB">
      <w:pPr>
        <w:pStyle w:val="BodyText"/>
        <w:spacing w:line="292" w:lineRule="auto"/>
        <w:sectPr w:rsidR="009A58DB">
          <w:pgSz w:w="12240" w:h="15840"/>
          <w:pgMar w:top="1380" w:right="1080" w:bottom="280" w:left="1080" w:header="720" w:footer="720" w:gutter="0"/>
          <w:cols w:space="720"/>
        </w:sectPr>
      </w:pPr>
    </w:p>
    <w:p w14:paraId="7E002A63" w14:textId="77777777" w:rsidR="009A58DB" w:rsidRDefault="00000000">
      <w:pPr>
        <w:pStyle w:val="BodyText"/>
        <w:spacing w:before="70"/>
      </w:pPr>
      <w:r>
        <w:lastRenderedPageBreak/>
        <w:t>triangles</w:t>
      </w:r>
      <w:r>
        <w:rPr>
          <w:spacing w:val="-1"/>
        </w:rPr>
        <w:t xml:space="preserve"> </w:t>
      </w:r>
      <w:r>
        <w:t>in</w:t>
      </w:r>
      <w:r>
        <w:rPr>
          <w:spacing w:val="1"/>
        </w:rPr>
        <w:t xml:space="preserve"> </w:t>
      </w:r>
      <w:r>
        <w:t>P</w:t>
      </w:r>
      <w:r>
        <w:rPr>
          <w:vertAlign w:val="subscript"/>
        </w:rPr>
        <w:t>2</w:t>
      </w:r>
      <w:r>
        <w:t>—not implicitly</w:t>
      </w:r>
      <w:r>
        <w:rPr>
          <w:spacing w:val="1"/>
        </w:rPr>
        <w:t xml:space="preserve"> </w:t>
      </w:r>
      <w:r>
        <w:t>or</w:t>
      </w:r>
      <w:r>
        <w:rPr>
          <w:spacing w:val="-1"/>
        </w:rPr>
        <w:t xml:space="preserve"> </w:t>
      </w:r>
      <w:r>
        <w:rPr>
          <w:spacing w:val="-2"/>
        </w:rPr>
        <w:t>explicitly.</w:t>
      </w:r>
    </w:p>
    <w:p w14:paraId="7E002A64" w14:textId="77777777" w:rsidR="009A58DB" w:rsidRDefault="00000000">
      <w:pPr>
        <w:pStyle w:val="BodyText"/>
        <w:spacing w:before="70" w:line="249" w:lineRule="auto"/>
        <w:ind w:right="357" w:firstLine="360"/>
      </w:pPr>
      <w:r>
        <w:t xml:space="preserve">When we make inferences, they are </w:t>
      </w:r>
      <w:r>
        <w:rPr>
          <w:i/>
        </w:rPr>
        <w:t xml:space="preserve">not </w:t>
      </w:r>
      <w:r>
        <w:t>of the strictly model-theoretic kind. Rather, they are of the kind where the statement that is inferred is, in some way or other, contained in the statement from which the inference is made. So the inference from:</w:t>
      </w:r>
    </w:p>
    <w:p w14:paraId="7E002A65" w14:textId="77777777" w:rsidR="009A58DB" w:rsidRDefault="009A58DB">
      <w:pPr>
        <w:pStyle w:val="BodyText"/>
        <w:spacing w:before="19"/>
        <w:ind w:left="0"/>
        <w:jc w:val="left"/>
      </w:pPr>
    </w:p>
    <w:p w14:paraId="7E002A66" w14:textId="77777777" w:rsidR="009A58DB" w:rsidRDefault="00000000">
      <w:pPr>
        <w:pStyle w:val="BodyText"/>
        <w:spacing w:before="1" w:line="542" w:lineRule="auto"/>
        <w:ind w:right="6065"/>
        <w:jc w:val="left"/>
      </w:pPr>
      <w:r>
        <w:t>P</w:t>
      </w:r>
      <w:r>
        <w:rPr>
          <w:vertAlign w:val="subscript"/>
        </w:rPr>
        <w:t>1</w:t>
      </w:r>
      <w:r>
        <w:t>:</w:t>
      </w:r>
      <w:r>
        <w:rPr>
          <w:spacing w:val="-4"/>
        </w:rPr>
        <w:t xml:space="preserve"> </w:t>
      </w:r>
      <w:r>
        <w:t>John</w:t>
      </w:r>
      <w:r>
        <w:rPr>
          <w:spacing w:val="-3"/>
        </w:rPr>
        <w:t xml:space="preserve"> </w:t>
      </w:r>
      <w:r>
        <w:t>knows</w:t>
      </w:r>
      <w:r>
        <w:rPr>
          <w:spacing w:val="-4"/>
        </w:rPr>
        <w:t xml:space="preserve"> </w:t>
      </w:r>
      <w:r>
        <w:t>that</w:t>
      </w:r>
      <w:r>
        <w:rPr>
          <w:spacing w:val="-4"/>
        </w:rPr>
        <w:t xml:space="preserve"> </w:t>
      </w:r>
      <w:r>
        <w:t>1</w:t>
      </w:r>
      <w:r>
        <w:rPr>
          <w:spacing w:val="-3"/>
        </w:rPr>
        <w:t xml:space="preserve"> </w:t>
      </w:r>
      <w:r>
        <w:t>+</w:t>
      </w:r>
      <w:r>
        <w:rPr>
          <w:spacing w:val="-4"/>
        </w:rPr>
        <w:t xml:space="preserve"> </w:t>
      </w:r>
      <w:r>
        <w:t>1</w:t>
      </w:r>
      <w:r>
        <w:rPr>
          <w:spacing w:val="-3"/>
        </w:rPr>
        <w:t xml:space="preserve"> </w:t>
      </w:r>
      <w:r>
        <w:t>=</w:t>
      </w:r>
      <w:r>
        <w:rPr>
          <w:spacing w:val="-4"/>
        </w:rPr>
        <w:t xml:space="preserve"> </w:t>
      </w:r>
      <w:r>
        <w:t xml:space="preserve">2 </w:t>
      </w:r>
      <w:r>
        <w:rPr>
          <w:spacing w:val="-6"/>
        </w:rPr>
        <w:t>to</w:t>
      </w:r>
    </w:p>
    <w:p w14:paraId="7E002A67" w14:textId="77777777" w:rsidR="009A58DB" w:rsidRDefault="00000000">
      <w:pPr>
        <w:pStyle w:val="BodyText"/>
        <w:spacing w:line="286" w:lineRule="exact"/>
        <w:jc w:val="left"/>
      </w:pPr>
      <w:r>
        <w:t>Q</w:t>
      </w:r>
      <w:r>
        <w:rPr>
          <w:vertAlign w:val="subscript"/>
        </w:rPr>
        <w:t>1</w:t>
      </w:r>
      <w:r>
        <w:t>: John</w:t>
      </w:r>
      <w:r>
        <w:rPr>
          <w:spacing w:val="1"/>
        </w:rPr>
        <w:t xml:space="preserve"> </w:t>
      </w:r>
      <w:r>
        <w:t>believes</w:t>
      </w:r>
      <w:r>
        <w:rPr>
          <w:spacing w:val="1"/>
        </w:rPr>
        <w:t xml:space="preserve"> </w:t>
      </w:r>
      <w:r>
        <w:t>that 1</w:t>
      </w:r>
      <w:r>
        <w:rPr>
          <w:spacing w:val="1"/>
        </w:rPr>
        <w:t xml:space="preserve"> </w:t>
      </w:r>
      <w:r>
        <w:t>+</w:t>
      </w:r>
      <w:r>
        <w:rPr>
          <w:spacing w:val="1"/>
        </w:rPr>
        <w:t xml:space="preserve"> </w:t>
      </w:r>
      <w:r>
        <w:t>1</w:t>
      </w:r>
      <w:r>
        <w:rPr>
          <w:spacing w:val="1"/>
        </w:rPr>
        <w:t xml:space="preserve"> </w:t>
      </w:r>
      <w:r>
        <w:t xml:space="preserve">= </w:t>
      </w:r>
      <w:r>
        <w:rPr>
          <w:spacing w:val="-10"/>
        </w:rPr>
        <w:t>2</w:t>
      </w:r>
    </w:p>
    <w:p w14:paraId="7E002A68" w14:textId="77777777" w:rsidR="009A58DB" w:rsidRDefault="009A58DB">
      <w:pPr>
        <w:pStyle w:val="BodyText"/>
        <w:spacing w:before="89"/>
        <w:ind w:left="0"/>
        <w:jc w:val="left"/>
      </w:pPr>
    </w:p>
    <w:p w14:paraId="7E002A69" w14:textId="77777777" w:rsidR="009A58DB" w:rsidRDefault="00000000">
      <w:pPr>
        <w:pStyle w:val="BodyText"/>
        <w:spacing w:before="1" w:line="249" w:lineRule="auto"/>
        <w:ind w:right="358"/>
      </w:pPr>
      <w:r>
        <w:t>is an instance of the conception of entailment that is embodied in our actual inferential practices. But that inference isn’t formal; it isn’t like the inference from</w:t>
      </w:r>
      <w:r>
        <w:rPr>
          <w:spacing w:val="-3"/>
        </w:rPr>
        <w:t xml:space="preserve"> </w:t>
      </w:r>
      <w:r>
        <w:rPr>
          <w:i/>
        </w:rPr>
        <w:t xml:space="preserve">snow is white and grass is green </w:t>
      </w:r>
      <w:r>
        <w:t>to</w:t>
      </w:r>
      <w:r>
        <w:rPr>
          <w:spacing w:val="-2"/>
        </w:rPr>
        <w:t xml:space="preserve"> </w:t>
      </w:r>
      <w:r>
        <w:rPr>
          <w:i/>
        </w:rPr>
        <w:t xml:space="preserve">snow is white: </w:t>
      </w:r>
      <w:r>
        <w:t>the formal properties of P</w:t>
      </w:r>
      <w:r>
        <w:rPr>
          <w:position w:val="-7"/>
          <w:sz w:val="22"/>
        </w:rPr>
        <w:t xml:space="preserve">1 </w:t>
      </w:r>
      <w:r>
        <w:t>and Q</w:t>
      </w:r>
      <w:r>
        <w:rPr>
          <w:position w:val="-7"/>
          <w:sz w:val="22"/>
        </w:rPr>
        <w:t xml:space="preserve">1 </w:t>
      </w:r>
      <w:r>
        <w:t>leave it open whether Q</w:t>
      </w:r>
      <w:r>
        <w:rPr>
          <w:position w:val="-7"/>
          <w:sz w:val="22"/>
        </w:rPr>
        <w:t xml:space="preserve">1 </w:t>
      </w:r>
      <w:r>
        <w:t>follows from P</w:t>
      </w:r>
      <w:r>
        <w:rPr>
          <w:position w:val="-7"/>
          <w:sz w:val="22"/>
        </w:rPr>
        <w:t>1</w:t>
      </w:r>
      <w:r>
        <w:t>. (After all, those sentences are formally identical with</w:t>
      </w:r>
    </w:p>
    <w:p w14:paraId="7E002A6A" w14:textId="77777777" w:rsidR="009A58DB" w:rsidRDefault="009A58DB">
      <w:pPr>
        <w:pStyle w:val="BodyText"/>
        <w:spacing w:before="18"/>
        <w:ind w:left="0"/>
        <w:jc w:val="left"/>
      </w:pPr>
    </w:p>
    <w:p w14:paraId="7E002A6B" w14:textId="77777777" w:rsidR="009A58DB" w:rsidRDefault="00000000">
      <w:pPr>
        <w:pStyle w:val="BodyText"/>
        <w:spacing w:line="542" w:lineRule="auto"/>
        <w:ind w:right="6065"/>
        <w:jc w:val="left"/>
      </w:pPr>
      <w:r>
        <w:t>P</w:t>
      </w:r>
      <w:r>
        <w:rPr>
          <w:vertAlign w:val="subscript"/>
        </w:rPr>
        <w:t>3</w:t>
      </w:r>
      <w:r>
        <w:t>:</w:t>
      </w:r>
      <w:r>
        <w:rPr>
          <w:spacing w:val="-3"/>
        </w:rPr>
        <w:t xml:space="preserve"> </w:t>
      </w:r>
      <w:r>
        <w:t>John</w:t>
      </w:r>
      <w:r>
        <w:rPr>
          <w:spacing w:val="-2"/>
        </w:rPr>
        <w:t xml:space="preserve"> </w:t>
      </w:r>
      <w:r>
        <w:t>is</w:t>
      </w:r>
      <w:r>
        <w:rPr>
          <w:spacing w:val="-3"/>
        </w:rPr>
        <w:t xml:space="preserve"> </w:t>
      </w:r>
      <w:r>
        <w:t>sure</w:t>
      </w:r>
      <w:r>
        <w:rPr>
          <w:spacing w:val="-3"/>
        </w:rPr>
        <w:t xml:space="preserve"> </w:t>
      </w:r>
      <w:r>
        <w:t>that</w:t>
      </w:r>
      <w:r>
        <w:rPr>
          <w:spacing w:val="-3"/>
        </w:rPr>
        <w:t xml:space="preserve"> </w:t>
      </w:r>
      <w:r>
        <w:t>1</w:t>
      </w:r>
      <w:r>
        <w:rPr>
          <w:spacing w:val="-2"/>
        </w:rPr>
        <w:t xml:space="preserve"> </w:t>
      </w:r>
      <w:r>
        <w:t>+</w:t>
      </w:r>
      <w:r>
        <w:rPr>
          <w:spacing w:val="-3"/>
        </w:rPr>
        <w:t xml:space="preserve"> </w:t>
      </w:r>
      <w:r>
        <w:t>1</w:t>
      </w:r>
      <w:r>
        <w:rPr>
          <w:spacing w:val="-2"/>
        </w:rPr>
        <w:t xml:space="preserve"> </w:t>
      </w:r>
      <w:r>
        <w:t>=</w:t>
      </w:r>
      <w:r>
        <w:rPr>
          <w:spacing w:val="-3"/>
        </w:rPr>
        <w:t xml:space="preserve"> </w:t>
      </w:r>
      <w:r>
        <w:t xml:space="preserve">2 </w:t>
      </w:r>
      <w:r>
        <w:rPr>
          <w:spacing w:val="-4"/>
        </w:rPr>
        <w:t>and</w:t>
      </w:r>
    </w:p>
    <w:p w14:paraId="7E002A6C" w14:textId="77777777" w:rsidR="009A58DB" w:rsidRDefault="00000000">
      <w:pPr>
        <w:pStyle w:val="BodyText"/>
        <w:spacing w:line="286" w:lineRule="exact"/>
        <w:jc w:val="left"/>
      </w:pPr>
      <w:r>
        <w:t>Q</w:t>
      </w:r>
      <w:r>
        <w:rPr>
          <w:vertAlign w:val="subscript"/>
        </w:rPr>
        <w:t>3</w:t>
      </w:r>
      <w:r>
        <w:t>: John</w:t>
      </w:r>
      <w:r>
        <w:rPr>
          <w:spacing w:val="2"/>
        </w:rPr>
        <w:t xml:space="preserve"> </w:t>
      </w:r>
      <w:r>
        <w:t>doubts</w:t>
      </w:r>
      <w:r>
        <w:rPr>
          <w:spacing w:val="1"/>
        </w:rPr>
        <w:t xml:space="preserve"> </w:t>
      </w:r>
      <w:r>
        <w:t>that</w:t>
      </w:r>
      <w:r>
        <w:rPr>
          <w:spacing w:val="1"/>
        </w:rPr>
        <w:t xml:space="preserve"> </w:t>
      </w:r>
      <w:r>
        <w:t>1</w:t>
      </w:r>
      <w:r>
        <w:rPr>
          <w:spacing w:val="2"/>
        </w:rPr>
        <w:t xml:space="preserve"> </w:t>
      </w:r>
      <w:r>
        <w:t>+</w:t>
      </w:r>
      <w:r>
        <w:rPr>
          <w:spacing w:val="1"/>
        </w:rPr>
        <w:t xml:space="preserve"> </w:t>
      </w:r>
      <w:r>
        <w:t>1</w:t>
      </w:r>
      <w:r>
        <w:rPr>
          <w:spacing w:val="2"/>
        </w:rPr>
        <w:t xml:space="preserve"> </w:t>
      </w:r>
      <w:r>
        <w:t xml:space="preserve">= </w:t>
      </w:r>
      <w:r>
        <w:rPr>
          <w:spacing w:val="-5"/>
        </w:rPr>
        <w:t>2.</w:t>
      </w:r>
    </w:p>
    <w:p w14:paraId="7E002A6D" w14:textId="77777777" w:rsidR="009A58DB" w:rsidRDefault="009A58DB">
      <w:pPr>
        <w:pStyle w:val="BodyText"/>
        <w:spacing w:before="34"/>
        <w:ind w:left="0"/>
        <w:jc w:val="left"/>
      </w:pPr>
    </w:p>
    <w:p w14:paraId="7E002A6E" w14:textId="77777777" w:rsidR="009A58DB" w:rsidRDefault="00000000">
      <w:pPr>
        <w:pStyle w:val="BodyText"/>
        <w:spacing w:line="420" w:lineRule="exact"/>
        <w:ind w:right="358"/>
      </w:pPr>
      <w:r>
        <w:t>P</w:t>
      </w:r>
      <w:r>
        <w:rPr>
          <w:position w:val="-7"/>
          <w:sz w:val="22"/>
        </w:rPr>
        <w:t xml:space="preserve">1 </w:t>
      </w:r>
      <w:r>
        <w:t>is</w:t>
      </w:r>
      <w:r>
        <w:rPr>
          <w:spacing w:val="-3"/>
        </w:rPr>
        <w:t xml:space="preserve"> </w:t>
      </w:r>
      <w:r>
        <w:t>syntactically</w:t>
      </w:r>
      <w:r>
        <w:rPr>
          <w:spacing w:val="-2"/>
        </w:rPr>
        <w:t xml:space="preserve"> </w:t>
      </w:r>
      <w:r>
        <w:t>just</w:t>
      </w:r>
      <w:r>
        <w:rPr>
          <w:spacing w:val="-3"/>
        </w:rPr>
        <w:t xml:space="preserve"> </w:t>
      </w:r>
      <w:r>
        <w:t>like</w:t>
      </w:r>
      <w:r>
        <w:rPr>
          <w:spacing w:val="-3"/>
        </w:rPr>
        <w:t xml:space="preserve"> </w:t>
      </w:r>
      <w:r>
        <w:t>P</w:t>
      </w:r>
      <w:r>
        <w:rPr>
          <w:position w:val="-7"/>
          <w:sz w:val="22"/>
        </w:rPr>
        <w:t>3</w:t>
      </w:r>
      <w:r>
        <w:t>,</w:t>
      </w:r>
      <w:r>
        <w:rPr>
          <w:spacing w:val="-2"/>
        </w:rPr>
        <w:t xml:space="preserve"> </w:t>
      </w:r>
      <w:r>
        <w:t>and</w:t>
      </w:r>
      <w:r>
        <w:rPr>
          <w:spacing w:val="-2"/>
        </w:rPr>
        <w:t xml:space="preserve"> </w:t>
      </w:r>
      <w:r>
        <w:t>Q</w:t>
      </w:r>
      <w:r>
        <w:rPr>
          <w:position w:val="-7"/>
          <w:sz w:val="22"/>
        </w:rPr>
        <w:t xml:space="preserve">1 </w:t>
      </w:r>
      <w:r>
        <w:t>is</w:t>
      </w:r>
      <w:r>
        <w:rPr>
          <w:spacing w:val="-3"/>
        </w:rPr>
        <w:t xml:space="preserve"> </w:t>
      </w:r>
      <w:r>
        <w:t>syntactically</w:t>
      </w:r>
      <w:r>
        <w:rPr>
          <w:spacing w:val="-2"/>
        </w:rPr>
        <w:t xml:space="preserve"> </w:t>
      </w:r>
      <w:r>
        <w:t>just</w:t>
      </w:r>
      <w:r>
        <w:rPr>
          <w:spacing w:val="-3"/>
        </w:rPr>
        <w:t xml:space="preserve"> </w:t>
      </w:r>
      <w:r>
        <w:t>like</w:t>
      </w:r>
      <w:r>
        <w:rPr>
          <w:spacing w:val="-3"/>
        </w:rPr>
        <w:t xml:space="preserve"> </w:t>
      </w:r>
      <w:r>
        <w:t>Q</w:t>
      </w:r>
      <w:r>
        <w:rPr>
          <w:position w:val="-7"/>
          <w:sz w:val="22"/>
        </w:rPr>
        <w:t>3</w:t>
      </w:r>
      <w:r>
        <w:t>.</w:t>
      </w:r>
      <w:r>
        <w:rPr>
          <w:spacing w:val="-2"/>
        </w:rPr>
        <w:t xml:space="preserve"> </w:t>
      </w:r>
      <w:r>
        <w:t>But</w:t>
      </w:r>
      <w:r>
        <w:rPr>
          <w:spacing w:val="-3"/>
        </w:rPr>
        <w:t xml:space="preserve"> </w:t>
      </w:r>
      <w:r>
        <w:t>there</w:t>
      </w:r>
      <w:r>
        <w:rPr>
          <w:spacing w:val="-3"/>
        </w:rPr>
        <w:t xml:space="preserve"> </w:t>
      </w:r>
      <w:r>
        <w:t>is no legitimate inference from P</w:t>
      </w:r>
      <w:r>
        <w:rPr>
          <w:vertAlign w:val="subscript"/>
        </w:rPr>
        <w:t>3</w:t>
      </w:r>
      <w:r>
        <w:t xml:space="preserve"> to Q</w:t>
      </w:r>
      <w:r>
        <w:rPr>
          <w:vertAlign w:val="subscript"/>
        </w:rPr>
        <w:t>3</w:t>
      </w:r>
      <w:r>
        <w:t>; and since those sentences are syntactically just like P</w:t>
      </w:r>
      <w:r>
        <w:rPr>
          <w:vertAlign w:val="subscript"/>
        </w:rPr>
        <w:t>1</w:t>
      </w:r>
      <w:r>
        <w:t xml:space="preserve"> and Q</w:t>
      </w:r>
      <w:r>
        <w:rPr>
          <w:vertAlign w:val="subscript"/>
        </w:rPr>
        <w:t>1</w:t>
      </w:r>
      <w:r>
        <w:t>, respectively, it follows there is no</w:t>
      </w:r>
      <w:r>
        <w:rPr>
          <w:spacing w:val="80"/>
        </w:rPr>
        <w:t xml:space="preserve"> </w:t>
      </w:r>
      <w:r>
        <w:t>legitimate, purely syntactic inference from P</w:t>
      </w:r>
      <w:r>
        <w:rPr>
          <w:vertAlign w:val="subscript"/>
        </w:rPr>
        <w:t>1</w:t>
      </w:r>
      <w:r>
        <w:t xml:space="preserve"> to Q</w:t>
      </w:r>
      <w:r>
        <w:rPr>
          <w:vertAlign w:val="subscript"/>
        </w:rPr>
        <w:t>1</w:t>
      </w:r>
      <w:r>
        <w:t>.</w:t>
      </w:r>
    </w:p>
    <w:p w14:paraId="7E002A6F" w14:textId="77777777" w:rsidR="009A58DB" w:rsidRDefault="00000000">
      <w:pPr>
        <w:pStyle w:val="BodyText"/>
        <w:spacing w:before="56" w:line="292" w:lineRule="auto"/>
        <w:ind w:right="363" w:firstLine="360"/>
      </w:pPr>
      <w:r>
        <w:t>Although, as previously discussed, P</w:t>
      </w:r>
      <w:r>
        <w:rPr>
          <w:vertAlign w:val="subscript"/>
        </w:rPr>
        <w:t>1</w:t>
      </w:r>
      <w:r>
        <w:t xml:space="preserve"> model-theoretically entails Q</w:t>
      </w:r>
      <w:r>
        <w:rPr>
          <w:vertAlign w:val="subscript"/>
        </w:rPr>
        <w:t>1</w:t>
      </w:r>
      <w:r>
        <w:t>, P</w:t>
      </w:r>
      <w:r>
        <w:rPr>
          <w:vertAlign w:val="subscript"/>
        </w:rPr>
        <w:t>1</w:t>
      </w:r>
      <w:r>
        <w:t xml:space="preserve"> also entails Q</w:t>
      </w:r>
      <w:r>
        <w:rPr>
          <w:vertAlign w:val="subscript"/>
        </w:rPr>
        <w:t>1</w:t>
      </w:r>
      <w:r>
        <w:t xml:space="preserve"> in some other, much more robust sense. In Kuczynski (2007),</w:t>
      </w:r>
    </w:p>
    <w:p w14:paraId="7E002A70" w14:textId="77777777" w:rsidR="009A58DB" w:rsidRDefault="00000000">
      <w:pPr>
        <w:pStyle w:val="BodyText"/>
        <w:spacing w:line="249" w:lineRule="auto"/>
        <w:ind w:right="363"/>
      </w:pPr>
      <w:r>
        <w:t xml:space="preserve">I put forth a theory as to the nature of this other, more important sort of </w:t>
      </w:r>
      <w:r>
        <w:rPr>
          <w:spacing w:val="-2"/>
        </w:rPr>
        <w:t>entailment.</w:t>
      </w:r>
    </w:p>
    <w:p w14:paraId="7E002A71" w14:textId="77777777" w:rsidR="009A58DB" w:rsidRDefault="00000000">
      <w:pPr>
        <w:pStyle w:val="Heading1"/>
        <w:numPr>
          <w:ilvl w:val="1"/>
          <w:numId w:val="31"/>
        </w:numPr>
        <w:tabs>
          <w:tab w:val="left" w:pos="1409"/>
        </w:tabs>
        <w:spacing w:before="189"/>
        <w:ind w:left="1409" w:hanging="1049"/>
      </w:pPr>
      <w:r>
        <w:t>The</w:t>
      </w:r>
      <w:r>
        <w:rPr>
          <w:spacing w:val="-7"/>
        </w:rPr>
        <w:t xml:space="preserve"> </w:t>
      </w:r>
      <w:r>
        <w:t>ampliative</w:t>
      </w:r>
      <w:r>
        <w:rPr>
          <w:spacing w:val="-4"/>
        </w:rPr>
        <w:t xml:space="preserve"> </w:t>
      </w:r>
      <w:r>
        <w:t>character</w:t>
      </w:r>
      <w:r>
        <w:rPr>
          <w:spacing w:val="-5"/>
        </w:rPr>
        <w:t xml:space="preserve"> </w:t>
      </w:r>
      <w:r>
        <w:t>of</w:t>
      </w:r>
      <w:r>
        <w:rPr>
          <w:spacing w:val="-4"/>
        </w:rPr>
        <w:t xml:space="preserve"> </w:t>
      </w:r>
      <w:r>
        <w:rPr>
          <w:spacing w:val="-2"/>
        </w:rPr>
        <w:t>deduction</w:t>
      </w:r>
    </w:p>
    <w:p w14:paraId="7E002A72" w14:textId="77777777" w:rsidR="009A58DB" w:rsidRDefault="009A58DB">
      <w:pPr>
        <w:pStyle w:val="Heading1"/>
        <w:sectPr w:rsidR="009A58DB">
          <w:pgSz w:w="12240" w:h="15840"/>
          <w:pgMar w:top="1380" w:right="1080" w:bottom="280" w:left="1080" w:header="720" w:footer="720" w:gutter="0"/>
          <w:cols w:space="720"/>
        </w:sectPr>
      </w:pPr>
    </w:p>
    <w:p w14:paraId="7E002A73" w14:textId="77777777" w:rsidR="009A58DB" w:rsidRDefault="00000000">
      <w:pPr>
        <w:pStyle w:val="BodyText"/>
        <w:spacing w:before="65" w:line="249" w:lineRule="auto"/>
        <w:ind w:right="361"/>
      </w:pPr>
      <w:r>
        <w:lastRenderedPageBreak/>
        <w:t>It is often said that, if P entails Q, there is nothing in Q that is not also in P. So deduction (i.e., the identifying of entailments) is, according to this, “non-ampliative”—the</w:t>
      </w:r>
      <w:r>
        <w:rPr>
          <w:spacing w:val="-3"/>
        </w:rPr>
        <w:t xml:space="preserve"> </w:t>
      </w:r>
      <w:r>
        <w:t>consequent</w:t>
      </w:r>
      <w:r>
        <w:rPr>
          <w:spacing w:val="-3"/>
        </w:rPr>
        <w:t xml:space="preserve"> </w:t>
      </w:r>
      <w:r>
        <w:t>doesn’t</w:t>
      </w:r>
      <w:r>
        <w:rPr>
          <w:spacing w:val="-3"/>
        </w:rPr>
        <w:t xml:space="preserve"> </w:t>
      </w:r>
      <w:r>
        <w:t>“amplify”</w:t>
      </w:r>
      <w:r>
        <w:rPr>
          <w:spacing w:val="-3"/>
        </w:rPr>
        <w:t xml:space="preserve"> </w:t>
      </w:r>
      <w:r>
        <w:t>the</w:t>
      </w:r>
      <w:r>
        <w:rPr>
          <w:spacing w:val="-3"/>
        </w:rPr>
        <w:t xml:space="preserve"> </w:t>
      </w:r>
      <w:r>
        <w:t>antecedent</w:t>
      </w:r>
      <w:r>
        <w:rPr>
          <w:spacing w:val="-3"/>
        </w:rPr>
        <w:t xml:space="preserve"> </w:t>
      </w:r>
      <w:r>
        <w:t>(i.e.,</w:t>
      </w:r>
      <w:r>
        <w:rPr>
          <w:spacing w:val="-3"/>
        </w:rPr>
        <w:t xml:space="preserve"> </w:t>
      </w:r>
      <w:r>
        <w:t>it</w:t>
      </w:r>
      <w:r>
        <w:rPr>
          <w:spacing w:val="-3"/>
        </w:rPr>
        <w:t xml:space="preserve"> </w:t>
      </w:r>
      <w:r>
        <w:t>doesn’t say anything not said by the antecedent).</w:t>
      </w:r>
    </w:p>
    <w:p w14:paraId="7E002A74" w14:textId="77777777" w:rsidR="009A58DB" w:rsidRDefault="00000000">
      <w:pPr>
        <w:pStyle w:val="BodyText"/>
        <w:spacing w:before="5" w:line="249" w:lineRule="auto"/>
        <w:ind w:right="358" w:firstLine="360"/>
      </w:pPr>
      <w:r>
        <w:t>This position is obviously false where model-theoretic entailment is concerned. (</w:t>
      </w:r>
      <w:r>
        <w:rPr>
          <w:i/>
        </w:rPr>
        <w:t xml:space="preserve">Triangles are shapes </w:t>
      </w:r>
      <w:r>
        <w:t xml:space="preserve">model-theoretically entails </w:t>
      </w:r>
      <w:r>
        <w:rPr>
          <w:i/>
        </w:rPr>
        <w:t xml:space="preserve">Socrates is identical with Socrates, </w:t>
      </w:r>
      <w:r>
        <w:t>but there is nothing in the content of the first that has anything to do with Socrates.) And it’s obviously false where formal entailment is concerned. (“Smith is tall” formally entails “either Smith is tall or grass is green,” but there is nothing about grass in “Smith is tall.”)</w:t>
      </w:r>
    </w:p>
    <w:p w14:paraId="7E002A75" w14:textId="77777777" w:rsidR="009A58DB" w:rsidRDefault="00000000">
      <w:pPr>
        <w:pStyle w:val="Heading1"/>
        <w:numPr>
          <w:ilvl w:val="1"/>
          <w:numId w:val="31"/>
        </w:numPr>
        <w:tabs>
          <w:tab w:val="left" w:pos="1080"/>
          <w:tab w:val="left" w:pos="1641"/>
        </w:tabs>
        <w:spacing w:before="195" w:line="244" w:lineRule="auto"/>
        <w:ind w:left="1080" w:right="369" w:hanging="720"/>
      </w:pPr>
      <w:r>
        <w:tab/>
        <w:t>The most important kind of entailment: the non-formal, non-model theoretic kind</w:t>
      </w:r>
    </w:p>
    <w:p w14:paraId="7E002A76" w14:textId="77777777" w:rsidR="009A58DB" w:rsidRDefault="00000000">
      <w:pPr>
        <w:pStyle w:val="BodyText"/>
        <w:spacing w:before="132"/>
      </w:pPr>
      <w:r>
        <w:t>The</w:t>
      </w:r>
      <w:r>
        <w:rPr>
          <w:spacing w:val="-2"/>
        </w:rPr>
        <w:t xml:space="preserve"> statement:</w:t>
      </w:r>
    </w:p>
    <w:p w14:paraId="7E002A77" w14:textId="77777777" w:rsidR="009A58DB" w:rsidRDefault="009A58DB">
      <w:pPr>
        <w:pStyle w:val="BodyText"/>
        <w:spacing w:before="30"/>
        <w:ind w:left="0"/>
        <w:jc w:val="left"/>
      </w:pPr>
    </w:p>
    <w:p w14:paraId="7E002A78" w14:textId="77777777" w:rsidR="009A58DB" w:rsidRDefault="00000000">
      <w:pPr>
        <w:pStyle w:val="ListParagraph"/>
        <w:numPr>
          <w:ilvl w:val="0"/>
          <w:numId w:val="30"/>
        </w:numPr>
        <w:tabs>
          <w:tab w:val="left" w:pos="798"/>
        </w:tabs>
        <w:ind w:left="798" w:hanging="438"/>
        <w:rPr>
          <w:sz w:val="30"/>
        </w:rPr>
      </w:pPr>
      <w:r>
        <w:rPr>
          <w:sz w:val="30"/>
        </w:rPr>
        <w:t>1 +</w:t>
      </w:r>
      <w:r>
        <w:rPr>
          <w:spacing w:val="-1"/>
          <w:sz w:val="30"/>
        </w:rPr>
        <w:t xml:space="preserve"> </w:t>
      </w:r>
      <w:r>
        <w:rPr>
          <w:sz w:val="30"/>
        </w:rPr>
        <w:t>1 =</w:t>
      </w:r>
      <w:r>
        <w:rPr>
          <w:spacing w:val="-1"/>
          <w:sz w:val="30"/>
        </w:rPr>
        <w:t xml:space="preserve"> </w:t>
      </w:r>
      <w:r>
        <w:rPr>
          <w:spacing w:val="-10"/>
          <w:sz w:val="30"/>
        </w:rPr>
        <w:t>2</w:t>
      </w:r>
    </w:p>
    <w:p w14:paraId="7E002A79" w14:textId="77777777" w:rsidR="009A58DB" w:rsidRDefault="009A58DB">
      <w:pPr>
        <w:pStyle w:val="BodyText"/>
        <w:spacing w:before="30"/>
        <w:ind w:left="0"/>
        <w:jc w:val="left"/>
      </w:pPr>
    </w:p>
    <w:p w14:paraId="7E002A7A" w14:textId="77777777" w:rsidR="009A58DB" w:rsidRDefault="00000000">
      <w:pPr>
        <w:pStyle w:val="BodyText"/>
        <w:spacing w:line="249" w:lineRule="auto"/>
        <w:ind w:right="7397"/>
        <w:jc w:val="left"/>
      </w:pPr>
      <w:r>
        <w:rPr>
          <w:spacing w:val="-2"/>
        </w:rPr>
        <w:t>mode-theoretically entails</w:t>
      </w:r>
    </w:p>
    <w:p w14:paraId="7E002A7B" w14:textId="77777777" w:rsidR="009A58DB" w:rsidRDefault="009A58DB">
      <w:pPr>
        <w:pStyle w:val="BodyText"/>
        <w:spacing w:before="17"/>
        <w:ind w:left="0"/>
        <w:jc w:val="left"/>
      </w:pPr>
    </w:p>
    <w:p w14:paraId="7E002A7C" w14:textId="77777777" w:rsidR="009A58DB" w:rsidRDefault="00000000">
      <w:pPr>
        <w:pStyle w:val="ListParagraph"/>
        <w:numPr>
          <w:ilvl w:val="0"/>
          <w:numId w:val="30"/>
        </w:numPr>
        <w:tabs>
          <w:tab w:val="left" w:pos="848"/>
        </w:tabs>
        <w:ind w:left="848" w:hanging="488"/>
        <w:rPr>
          <w:sz w:val="30"/>
        </w:rPr>
      </w:pPr>
      <w:r>
        <w:rPr>
          <w:sz w:val="30"/>
        </w:rPr>
        <w:t>the</w:t>
      </w:r>
      <w:r>
        <w:rPr>
          <w:spacing w:val="-4"/>
          <w:sz w:val="30"/>
        </w:rPr>
        <w:t xml:space="preserve"> </w:t>
      </w:r>
      <w:r>
        <w:rPr>
          <w:sz w:val="30"/>
        </w:rPr>
        <w:t>interior</w:t>
      </w:r>
      <w:r>
        <w:rPr>
          <w:spacing w:val="-3"/>
          <w:sz w:val="30"/>
        </w:rPr>
        <w:t xml:space="preserve"> </w:t>
      </w:r>
      <w:r>
        <w:rPr>
          <w:sz w:val="30"/>
        </w:rPr>
        <w:t>angles</w:t>
      </w:r>
      <w:r>
        <w:rPr>
          <w:spacing w:val="-3"/>
          <w:sz w:val="30"/>
        </w:rPr>
        <w:t xml:space="preserve"> </w:t>
      </w:r>
      <w:r>
        <w:rPr>
          <w:sz w:val="30"/>
        </w:rPr>
        <w:t>of</w:t>
      </w:r>
      <w:r>
        <w:rPr>
          <w:spacing w:val="-3"/>
          <w:sz w:val="30"/>
        </w:rPr>
        <w:t xml:space="preserve"> </w:t>
      </w:r>
      <w:r>
        <w:rPr>
          <w:sz w:val="30"/>
        </w:rPr>
        <w:t>a</w:t>
      </w:r>
      <w:r>
        <w:rPr>
          <w:spacing w:val="-3"/>
          <w:sz w:val="30"/>
        </w:rPr>
        <w:t xml:space="preserve"> </w:t>
      </w:r>
      <w:r>
        <w:rPr>
          <w:sz w:val="30"/>
        </w:rPr>
        <w:t>Euclidean</w:t>
      </w:r>
      <w:r>
        <w:rPr>
          <w:spacing w:val="-3"/>
          <w:sz w:val="30"/>
        </w:rPr>
        <w:t xml:space="preserve"> </w:t>
      </w:r>
      <w:r>
        <w:rPr>
          <w:sz w:val="30"/>
        </w:rPr>
        <w:t>triangle</w:t>
      </w:r>
      <w:r>
        <w:rPr>
          <w:spacing w:val="-3"/>
          <w:sz w:val="30"/>
        </w:rPr>
        <w:t xml:space="preserve"> </w:t>
      </w:r>
      <w:r>
        <w:rPr>
          <w:sz w:val="30"/>
        </w:rPr>
        <w:t>add</w:t>
      </w:r>
      <w:r>
        <w:rPr>
          <w:spacing w:val="-2"/>
          <w:sz w:val="30"/>
        </w:rPr>
        <w:t xml:space="preserve"> </w:t>
      </w:r>
      <w:r>
        <w:rPr>
          <w:sz w:val="30"/>
        </w:rPr>
        <w:t>up</w:t>
      </w:r>
      <w:r>
        <w:rPr>
          <w:spacing w:val="-2"/>
          <w:sz w:val="30"/>
        </w:rPr>
        <w:t xml:space="preserve"> </w:t>
      </w:r>
      <w:r>
        <w:rPr>
          <w:sz w:val="30"/>
        </w:rPr>
        <w:t>to</w:t>
      </w:r>
      <w:r>
        <w:rPr>
          <w:spacing w:val="-2"/>
          <w:sz w:val="30"/>
        </w:rPr>
        <w:t xml:space="preserve"> 180°.</w:t>
      </w:r>
    </w:p>
    <w:p w14:paraId="7E002A7D" w14:textId="77777777" w:rsidR="009A58DB" w:rsidRDefault="009A58DB">
      <w:pPr>
        <w:pStyle w:val="BodyText"/>
        <w:spacing w:before="30"/>
        <w:ind w:left="0"/>
        <w:jc w:val="left"/>
      </w:pPr>
    </w:p>
    <w:p w14:paraId="7E002A7E" w14:textId="77777777" w:rsidR="009A58DB" w:rsidRDefault="00000000">
      <w:pPr>
        <w:pStyle w:val="BodyText"/>
        <w:spacing w:line="249" w:lineRule="auto"/>
        <w:ind w:right="358" w:firstLine="360"/>
      </w:pPr>
      <w:r>
        <w:t xml:space="preserve">This is all very well. But it’s patently obvious that you can’t </w:t>
      </w:r>
      <w:r>
        <w:rPr>
          <w:i/>
        </w:rPr>
        <w:t>infer</w:t>
      </w:r>
      <w:r>
        <w:rPr>
          <w:i/>
          <w:spacing w:val="-3"/>
        </w:rPr>
        <w:t xml:space="preserve"> </w:t>
      </w:r>
      <w:r>
        <w:t xml:space="preserve">the truth of P from that of Q, or </w:t>
      </w:r>
      <w:r>
        <w:rPr>
          <w:i/>
        </w:rPr>
        <w:t xml:space="preserve">vice versa. </w:t>
      </w:r>
      <w:r>
        <w:t xml:space="preserve">In general, model-theoretical entailment is inferentially useless. A </w:t>
      </w:r>
      <w:r>
        <w:rPr>
          <w:i/>
        </w:rPr>
        <w:t xml:space="preserve">precondition </w:t>
      </w:r>
      <w:r>
        <w:t>for knowing that P entails Q is that you know, first, that P cannot be false and, second that Q cannot be false. But if you know this, there’s no need to infer the one from the other. What this shows is that knowledge of model-theoretic entailments are parasitic on some other,</w:t>
      </w:r>
      <w:r>
        <w:rPr>
          <w:spacing w:val="-3"/>
        </w:rPr>
        <w:t xml:space="preserve"> </w:t>
      </w:r>
      <w:r>
        <w:t>much</w:t>
      </w:r>
      <w:r>
        <w:rPr>
          <w:spacing w:val="-3"/>
        </w:rPr>
        <w:t xml:space="preserve"> </w:t>
      </w:r>
      <w:r>
        <w:t>more</w:t>
      </w:r>
      <w:r>
        <w:rPr>
          <w:spacing w:val="-4"/>
        </w:rPr>
        <w:t xml:space="preserve"> </w:t>
      </w:r>
      <w:r>
        <w:t>fundamental</w:t>
      </w:r>
      <w:r>
        <w:rPr>
          <w:spacing w:val="-4"/>
        </w:rPr>
        <w:t xml:space="preserve"> </w:t>
      </w:r>
      <w:r>
        <w:t>sort</w:t>
      </w:r>
      <w:r>
        <w:rPr>
          <w:spacing w:val="-4"/>
        </w:rPr>
        <w:t xml:space="preserve"> </w:t>
      </w:r>
      <w:r>
        <w:t>of</w:t>
      </w:r>
      <w:r>
        <w:rPr>
          <w:spacing w:val="-4"/>
        </w:rPr>
        <w:t xml:space="preserve"> </w:t>
      </w:r>
      <w:r>
        <w:t>entailment.</w:t>
      </w:r>
      <w:r>
        <w:rPr>
          <w:spacing w:val="-3"/>
        </w:rPr>
        <w:t xml:space="preserve"> </w:t>
      </w:r>
      <w:r>
        <w:t>And</w:t>
      </w:r>
      <w:r>
        <w:rPr>
          <w:spacing w:val="-3"/>
        </w:rPr>
        <w:t xml:space="preserve"> </w:t>
      </w:r>
      <w:r>
        <w:t>what</w:t>
      </w:r>
      <w:r>
        <w:rPr>
          <w:spacing w:val="-4"/>
        </w:rPr>
        <w:t xml:space="preserve"> </w:t>
      </w:r>
      <w:r>
        <w:rPr>
          <w:i/>
        </w:rPr>
        <w:t>this</w:t>
      </w:r>
      <w:r>
        <w:rPr>
          <w:i/>
          <w:spacing w:val="-4"/>
        </w:rPr>
        <w:t xml:space="preserve"> </w:t>
      </w:r>
      <w:r>
        <w:t>shows is that knowledge of model-theoretic entailments have no significant role in the thought-processes of any possible cogitator.</w:t>
      </w:r>
    </w:p>
    <w:p w14:paraId="7E002A7F" w14:textId="77777777" w:rsidR="009A58DB" w:rsidRDefault="00000000">
      <w:pPr>
        <w:pStyle w:val="BodyText"/>
        <w:spacing w:before="11" w:line="249" w:lineRule="auto"/>
        <w:ind w:right="361" w:firstLine="360"/>
      </w:pPr>
      <w:r>
        <w:t>Unlike model theoretic entailment, formal entailment isn’t inferentially useless.</w:t>
      </w:r>
      <w:r>
        <w:rPr>
          <w:spacing w:val="-1"/>
        </w:rPr>
        <w:t xml:space="preserve"> </w:t>
      </w:r>
      <w:r>
        <w:t>But</w:t>
      </w:r>
      <w:r>
        <w:rPr>
          <w:spacing w:val="-1"/>
        </w:rPr>
        <w:t xml:space="preserve"> </w:t>
      </w:r>
      <w:r>
        <w:t>our</w:t>
      </w:r>
      <w:r>
        <w:rPr>
          <w:spacing w:val="-1"/>
        </w:rPr>
        <w:t xml:space="preserve"> </w:t>
      </w:r>
      <w:r>
        <w:t>ability</w:t>
      </w:r>
      <w:r>
        <w:rPr>
          <w:spacing w:val="-1"/>
        </w:rPr>
        <w:t xml:space="preserve"> </w:t>
      </w:r>
      <w:r>
        <w:t>to</w:t>
      </w:r>
      <w:r>
        <w:rPr>
          <w:spacing w:val="-1"/>
        </w:rPr>
        <w:t xml:space="preserve"> </w:t>
      </w:r>
      <w:r>
        <w:t>make</w:t>
      </w:r>
      <w:r>
        <w:rPr>
          <w:spacing w:val="-1"/>
        </w:rPr>
        <w:t xml:space="preserve"> </w:t>
      </w:r>
      <w:r>
        <w:t>formal</w:t>
      </w:r>
      <w:r>
        <w:rPr>
          <w:spacing w:val="-2"/>
        </w:rPr>
        <w:t xml:space="preserve"> </w:t>
      </w:r>
      <w:r>
        <w:t>inferences</w:t>
      </w:r>
      <w:r>
        <w:rPr>
          <w:spacing w:val="-1"/>
        </w:rPr>
        <w:t xml:space="preserve"> </w:t>
      </w:r>
      <w:r>
        <w:t>is</w:t>
      </w:r>
      <w:r>
        <w:rPr>
          <w:spacing w:val="-1"/>
        </w:rPr>
        <w:t xml:space="preserve"> </w:t>
      </w:r>
      <w:r>
        <w:t>parasitic</w:t>
      </w:r>
      <w:r>
        <w:rPr>
          <w:spacing w:val="-1"/>
        </w:rPr>
        <w:t xml:space="preserve"> </w:t>
      </w:r>
      <w:r>
        <w:t>on</w:t>
      </w:r>
      <w:r>
        <w:rPr>
          <w:spacing w:val="-1"/>
        </w:rPr>
        <w:t xml:space="preserve"> </w:t>
      </w:r>
      <w:r>
        <w:t>our</w:t>
      </w:r>
      <w:r>
        <w:rPr>
          <w:spacing w:val="-1"/>
        </w:rPr>
        <w:t xml:space="preserve"> </w:t>
      </w:r>
      <w:r>
        <w:t>ability</w:t>
      </w:r>
      <w:r>
        <w:rPr>
          <w:spacing w:val="-1"/>
        </w:rPr>
        <w:t xml:space="preserve"> </w:t>
      </w:r>
      <w:r>
        <w:t xml:space="preserve">to make informal inferences. Actually, so-called “formal” inferences </w:t>
      </w:r>
      <w:r>
        <w:rPr>
          <w:i/>
        </w:rPr>
        <w:t xml:space="preserve">are </w:t>
      </w:r>
      <w:r>
        <w:t>informal ones.</w:t>
      </w:r>
    </w:p>
    <w:p w14:paraId="7E002A8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81" w14:textId="77777777" w:rsidR="009A58DB" w:rsidRDefault="00000000">
      <w:pPr>
        <w:pStyle w:val="BodyText"/>
        <w:spacing w:before="65" w:line="249" w:lineRule="auto"/>
        <w:ind w:right="359" w:firstLine="360"/>
      </w:pPr>
      <w:r>
        <w:lastRenderedPageBreak/>
        <w:t>Formal entailment is a relation that holds between expressions (more specifically, sentences or sentence-tokens). This means that we have to know what sentences mean to make inferences that are licensed by formal entailments. To infer</w:t>
      </w:r>
    </w:p>
    <w:p w14:paraId="7E002A82" w14:textId="77777777" w:rsidR="009A58DB" w:rsidRDefault="009A58DB">
      <w:pPr>
        <w:pStyle w:val="BodyText"/>
        <w:spacing w:before="19"/>
        <w:ind w:left="0"/>
        <w:jc w:val="left"/>
      </w:pPr>
    </w:p>
    <w:p w14:paraId="7E002A83" w14:textId="77777777" w:rsidR="009A58DB" w:rsidRDefault="00000000">
      <w:pPr>
        <w:pStyle w:val="BodyText"/>
        <w:spacing w:before="1" w:line="542" w:lineRule="auto"/>
        <w:ind w:right="7044"/>
        <w:jc w:val="left"/>
      </w:pPr>
      <w:r>
        <w:t>(S</w:t>
      </w:r>
      <w:r>
        <w:rPr>
          <w:vertAlign w:val="subscript"/>
        </w:rPr>
        <w:t>1</w:t>
      </w:r>
      <w:r>
        <w:t>)</w:t>
      </w:r>
      <w:r>
        <w:rPr>
          <w:spacing w:val="-8"/>
        </w:rPr>
        <w:t xml:space="preserve"> </w:t>
      </w:r>
      <w:r>
        <w:t>“snow</w:t>
      </w:r>
      <w:r>
        <w:rPr>
          <w:spacing w:val="-8"/>
        </w:rPr>
        <w:t xml:space="preserve"> </w:t>
      </w:r>
      <w:r>
        <w:t>is</w:t>
      </w:r>
      <w:r>
        <w:rPr>
          <w:spacing w:val="-8"/>
        </w:rPr>
        <w:t xml:space="preserve"> </w:t>
      </w:r>
      <w:r>
        <w:t xml:space="preserve">white” </w:t>
      </w:r>
      <w:r>
        <w:rPr>
          <w:spacing w:val="-4"/>
        </w:rPr>
        <w:t>from</w:t>
      </w:r>
    </w:p>
    <w:p w14:paraId="7E002A84" w14:textId="77777777" w:rsidR="009A58DB" w:rsidRDefault="00000000">
      <w:pPr>
        <w:pStyle w:val="BodyText"/>
        <w:spacing w:line="286" w:lineRule="exact"/>
      </w:pPr>
      <w:r>
        <w:t>(S</w:t>
      </w:r>
      <w:r>
        <w:rPr>
          <w:vertAlign w:val="subscript"/>
        </w:rPr>
        <w:t>2</w:t>
      </w:r>
      <w:r>
        <w:t>) “snow</w:t>
      </w:r>
      <w:r>
        <w:rPr>
          <w:spacing w:val="-1"/>
        </w:rPr>
        <w:t xml:space="preserve"> </w:t>
      </w:r>
      <w:r>
        <w:t>is white and</w:t>
      </w:r>
      <w:r>
        <w:rPr>
          <w:spacing w:val="1"/>
        </w:rPr>
        <w:t xml:space="preserve"> </w:t>
      </w:r>
      <w:r>
        <w:t xml:space="preserve">grass is </w:t>
      </w:r>
      <w:r>
        <w:rPr>
          <w:spacing w:val="-2"/>
        </w:rPr>
        <w:t>green,”</w:t>
      </w:r>
    </w:p>
    <w:p w14:paraId="7E002A85" w14:textId="77777777" w:rsidR="009A58DB" w:rsidRDefault="009A58DB">
      <w:pPr>
        <w:pStyle w:val="BodyText"/>
        <w:spacing w:before="89"/>
        <w:ind w:left="0"/>
        <w:jc w:val="left"/>
      </w:pPr>
    </w:p>
    <w:p w14:paraId="7E002A86" w14:textId="77777777" w:rsidR="009A58DB" w:rsidRDefault="00000000">
      <w:pPr>
        <w:pStyle w:val="BodyText"/>
        <w:spacing w:before="1" w:line="249" w:lineRule="auto"/>
        <w:ind w:right="360"/>
      </w:pPr>
      <w:r>
        <w:t>I have to know what those two sentences mean, at least up to a point. I have to know that “and” doesn’t mean what is in fact meant by “or.” I also have to know that “snow is white” and “grass is green” are complete sentences—that they aren’t drivel, like “bunga berka der.”</w:t>
      </w:r>
    </w:p>
    <w:p w14:paraId="7E002A87" w14:textId="77777777" w:rsidR="009A58DB" w:rsidRDefault="00000000">
      <w:pPr>
        <w:pStyle w:val="BodyText"/>
        <w:spacing w:before="5" w:line="292" w:lineRule="auto"/>
        <w:ind w:left="720" w:right="363"/>
      </w:pPr>
      <w:r>
        <w:t>So in order to infer S</w:t>
      </w:r>
      <w:r>
        <w:rPr>
          <w:vertAlign w:val="subscript"/>
        </w:rPr>
        <w:t>1</w:t>
      </w:r>
      <w:r>
        <w:t xml:space="preserve"> from S</w:t>
      </w:r>
      <w:r>
        <w:rPr>
          <w:vertAlign w:val="subscript"/>
        </w:rPr>
        <w:t>2</w:t>
      </w:r>
      <w:r>
        <w:t>, I have to know the truth of some proposition of the form:</w:t>
      </w:r>
    </w:p>
    <w:p w14:paraId="7E002A88" w14:textId="77777777" w:rsidR="009A58DB" w:rsidRDefault="00000000">
      <w:pPr>
        <w:pStyle w:val="BodyText"/>
        <w:spacing w:before="298" w:line="249" w:lineRule="auto"/>
        <w:ind w:right="364"/>
      </w:pPr>
      <w:r>
        <w:t>(S</w:t>
      </w:r>
      <w:r>
        <w:rPr>
          <w:position w:val="-7"/>
          <w:sz w:val="22"/>
        </w:rPr>
        <w:t>3</w:t>
      </w:r>
      <w:r>
        <w:t xml:space="preserve">) </w:t>
      </w:r>
      <w:r>
        <w:rPr>
          <w:i/>
        </w:rPr>
        <w:t xml:space="preserve">given </w:t>
      </w:r>
      <w:r>
        <w:t>that S</w:t>
      </w:r>
      <w:r>
        <w:rPr>
          <w:position w:val="-7"/>
          <w:sz w:val="22"/>
        </w:rPr>
        <w:t>2</w:t>
      </w:r>
      <w:r>
        <w:rPr>
          <w:spacing w:val="40"/>
          <w:position w:val="-7"/>
          <w:sz w:val="22"/>
        </w:rPr>
        <w:t xml:space="preserve"> </w:t>
      </w:r>
      <w:r>
        <w:t>means such and such and that S</w:t>
      </w:r>
      <w:r>
        <w:rPr>
          <w:position w:val="-7"/>
          <w:sz w:val="22"/>
        </w:rPr>
        <w:t>1</w:t>
      </w:r>
      <w:r>
        <w:rPr>
          <w:spacing w:val="40"/>
          <w:position w:val="-7"/>
          <w:sz w:val="22"/>
        </w:rPr>
        <w:t xml:space="preserve"> </w:t>
      </w:r>
      <w:r>
        <w:t>means thus and such, it follows that S</w:t>
      </w:r>
      <w:r>
        <w:rPr>
          <w:position w:val="-7"/>
          <w:sz w:val="22"/>
        </w:rPr>
        <w:t xml:space="preserve">1 </w:t>
      </w:r>
      <w:r>
        <w:t>is true, given that S</w:t>
      </w:r>
      <w:r>
        <w:rPr>
          <w:position w:val="-7"/>
          <w:sz w:val="22"/>
        </w:rPr>
        <w:t xml:space="preserve">2 </w:t>
      </w:r>
      <w:r>
        <w:t>is true.</w:t>
      </w:r>
    </w:p>
    <w:p w14:paraId="7E002A89" w14:textId="77777777" w:rsidR="009A58DB" w:rsidRDefault="009A58DB">
      <w:pPr>
        <w:pStyle w:val="BodyText"/>
        <w:spacing w:before="12"/>
        <w:ind w:left="0"/>
        <w:jc w:val="left"/>
      </w:pPr>
    </w:p>
    <w:p w14:paraId="7E002A8A" w14:textId="77777777" w:rsidR="009A58DB" w:rsidRDefault="00000000">
      <w:pPr>
        <w:pStyle w:val="BodyText"/>
        <w:spacing w:line="271" w:lineRule="auto"/>
        <w:ind w:right="358"/>
      </w:pPr>
      <w:r>
        <w:t>But</w:t>
      </w:r>
      <w:r>
        <w:rPr>
          <w:spacing w:val="-1"/>
        </w:rPr>
        <w:t xml:space="preserve"> </w:t>
      </w:r>
      <w:r>
        <w:rPr>
          <w:i/>
        </w:rPr>
        <w:t>S</w:t>
      </w:r>
      <w:r>
        <w:rPr>
          <w:i/>
          <w:vertAlign w:val="subscript"/>
        </w:rPr>
        <w:t>3</w:t>
      </w:r>
      <w:r>
        <w:rPr>
          <w:i/>
        </w:rPr>
        <w:t xml:space="preserve"> </w:t>
      </w:r>
      <w:r>
        <w:t>is not formally true. First of all, it’s a proposition, not a sentence. But even the corresponding sentence (the result of putting the verbiage in</w:t>
      </w:r>
      <w:r>
        <w:rPr>
          <w:spacing w:val="40"/>
        </w:rPr>
        <w:t xml:space="preserve"> </w:t>
      </w:r>
      <w:r>
        <w:t>question</w:t>
      </w:r>
      <w:r>
        <w:rPr>
          <w:spacing w:val="64"/>
        </w:rPr>
        <w:t xml:space="preserve"> </w:t>
      </w:r>
      <w:r>
        <w:t>in</w:t>
      </w:r>
      <w:r>
        <w:rPr>
          <w:spacing w:val="64"/>
        </w:rPr>
        <w:t xml:space="preserve"> </w:t>
      </w:r>
      <w:r>
        <w:t>quotation</w:t>
      </w:r>
      <w:r>
        <w:rPr>
          <w:spacing w:val="65"/>
        </w:rPr>
        <w:t xml:space="preserve"> </w:t>
      </w:r>
      <w:r>
        <w:t>marks)</w:t>
      </w:r>
      <w:r>
        <w:rPr>
          <w:spacing w:val="64"/>
        </w:rPr>
        <w:t xml:space="preserve"> </w:t>
      </w:r>
      <w:r>
        <w:t>isn’t</w:t>
      </w:r>
      <w:r>
        <w:rPr>
          <w:spacing w:val="65"/>
        </w:rPr>
        <w:t xml:space="preserve"> </w:t>
      </w:r>
      <w:r>
        <w:t>formally</w:t>
      </w:r>
      <w:r>
        <w:rPr>
          <w:spacing w:val="64"/>
        </w:rPr>
        <w:t xml:space="preserve"> </w:t>
      </w:r>
      <w:r>
        <w:t>true.</w:t>
      </w:r>
      <w:r>
        <w:rPr>
          <w:spacing w:val="64"/>
        </w:rPr>
        <w:t xml:space="preserve"> </w:t>
      </w:r>
      <w:r>
        <w:t>It’s</w:t>
      </w:r>
      <w:r>
        <w:rPr>
          <w:spacing w:val="65"/>
        </w:rPr>
        <w:t xml:space="preserve"> </w:t>
      </w:r>
      <w:r>
        <w:t>an</w:t>
      </w:r>
      <w:r>
        <w:rPr>
          <w:spacing w:val="64"/>
        </w:rPr>
        <w:t xml:space="preserve"> </w:t>
      </w:r>
      <w:r>
        <w:t>analytic,</w:t>
      </w:r>
      <w:r>
        <w:rPr>
          <w:spacing w:val="65"/>
        </w:rPr>
        <w:t xml:space="preserve"> </w:t>
      </w:r>
      <w:r>
        <w:t>logical,</w:t>
      </w:r>
    </w:p>
    <w:p w14:paraId="7E002A8B" w14:textId="77777777" w:rsidR="009A58DB" w:rsidRDefault="00000000">
      <w:pPr>
        <w:spacing w:line="316" w:lineRule="exact"/>
        <w:ind w:left="360"/>
        <w:jc w:val="both"/>
        <w:rPr>
          <w:sz w:val="30"/>
        </w:rPr>
      </w:pPr>
      <w:r>
        <w:rPr>
          <w:i/>
          <w:sz w:val="30"/>
        </w:rPr>
        <w:t>informal</w:t>
      </w:r>
      <w:r>
        <w:rPr>
          <w:i/>
          <w:spacing w:val="-5"/>
          <w:sz w:val="30"/>
        </w:rPr>
        <w:t xml:space="preserve"> </w:t>
      </w:r>
      <w:r>
        <w:rPr>
          <w:spacing w:val="-2"/>
          <w:sz w:val="30"/>
        </w:rPr>
        <w:t>truth.</w:t>
      </w:r>
    </w:p>
    <w:p w14:paraId="7E002A8C" w14:textId="77777777" w:rsidR="009A58DB" w:rsidRDefault="00000000">
      <w:pPr>
        <w:pStyle w:val="BodyText"/>
        <w:spacing w:before="15" w:line="249" w:lineRule="auto"/>
        <w:ind w:right="364" w:firstLine="360"/>
      </w:pPr>
      <w:r>
        <w:t xml:space="preserve">Second reason: Formal truths, and thus formally true entailments, are </w:t>
      </w:r>
      <w:r>
        <w:rPr>
          <w:i/>
        </w:rPr>
        <w:t xml:space="preserve">instances </w:t>
      </w:r>
      <w:r>
        <w:t>of universal generalizations that, although analytically true, are not themselves formal truths. The sentence:</w:t>
      </w:r>
    </w:p>
    <w:p w14:paraId="7E002A8D" w14:textId="77777777" w:rsidR="009A58DB" w:rsidRDefault="009A58DB">
      <w:pPr>
        <w:pStyle w:val="BodyText"/>
        <w:spacing w:before="18"/>
        <w:ind w:left="0"/>
        <w:jc w:val="left"/>
      </w:pPr>
    </w:p>
    <w:p w14:paraId="7E002A8E" w14:textId="77777777" w:rsidR="009A58DB" w:rsidRDefault="00000000">
      <w:pPr>
        <w:pStyle w:val="BodyText"/>
        <w:spacing w:before="1" w:line="542" w:lineRule="auto"/>
        <w:ind w:right="2290"/>
        <w:jc w:val="left"/>
      </w:pPr>
      <w:r>
        <w:t>(S</w:t>
      </w:r>
      <w:r>
        <w:rPr>
          <w:vertAlign w:val="subscript"/>
        </w:rPr>
        <w:t>4</w:t>
      </w:r>
      <w:r>
        <w:t>)</w:t>
      </w:r>
      <w:r>
        <w:rPr>
          <w:spacing w:val="-3"/>
        </w:rPr>
        <w:t xml:space="preserve"> </w:t>
      </w:r>
      <w:r>
        <w:t>“if</w:t>
      </w:r>
      <w:r>
        <w:rPr>
          <w:spacing w:val="-3"/>
        </w:rPr>
        <w:t xml:space="preserve"> </w:t>
      </w:r>
      <w:r>
        <w:t>snow</w:t>
      </w:r>
      <w:r>
        <w:rPr>
          <w:spacing w:val="-3"/>
        </w:rPr>
        <w:t xml:space="preserve"> </w:t>
      </w:r>
      <w:r>
        <w:t>is</w:t>
      </w:r>
      <w:r>
        <w:rPr>
          <w:spacing w:val="-3"/>
        </w:rPr>
        <w:t xml:space="preserve"> </w:t>
      </w:r>
      <w:r>
        <w:t>white</w:t>
      </w:r>
      <w:r>
        <w:rPr>
          <w:spacing w:val="-3"/>
        </w:rPr>
        <w:t xml:space="preserve"> </w:t>
      </w:r>
      <w:r>
        <w:t>and</w:t>
      </w:r>
      <w:r>
        <w:rPr>
          <w:spacing w:val="-2"/>
        </w:rPr>
        <w:t xml:space="preserve"> </w:t>
      </w:r>
      <w:r>
        <w:t>grass</w:t>
      </w:r>
      <w:r>
        <w:rPr>
          <w:spacing w:val="-3"/>
        </w:rPr>
        <w:t xml:space="preserve"> </w:t>
      </w:r>
      <w:r>
        <w:t>is</w:t>
      </w:r>
      <w:r>
        <w:rPr>
          <w:spacing w:val="-3"/>
        </w:rPr>
        <w:t xml:space="preserve"> </w:t>
      </w:r>
      <w:r>
        <w:t>green,</w:t>
      </w:r>
      <w:r>
        <w:rPr>
          <w:spacing w:val="-2"/>
        </w:rPr>
        <w:t xml:space="preserve"> </w:t>
      </w:r>
      <w:r>
        <w:t>then</w:t>
      </w:r>
      <w:r>
        <w:rPr>
          <w:spacing w:val="-2"/>
        </w:rPr>
        <w:t xml:space="preserve"> </w:t>
      </w:r>
      <w:r>
        <w:t>snow</w:t>
      </w:r>
      <w:r>
        <w:rPr>
          <w:spacing w:val="-3"/>
        </w:rPr>
        <w:t xml:space="preserve"> </w:t>
      </w:r>
      <w:r>
        <w:t>is</w:t>
      </w:r>
      <w:r>
        <w:rPr>
          <w:spacing w:val="-3"/>
        </w:rPr>
        <w:t xml:space="preserve"> </w:t>
      </w:r>
      <w:r>
        <w:t>white” is formally true. But why? Because</w:t>
      </w:r>
    </w:p>
    <w:p w14:paraId="7E002A8F" w14:textId="77777777" w:rsidR="009A58DB" w:rsidRDefault="00000000">
      <w:pPr>
        <w:pStyle w:val="BodyText"/>
      </w:pPr>
      <w:r>
        <w:t>(S</w:t>
      </w:r>
      <w:r>
        <w:rPr>
          <w:position w:val="-7"/>
          <w:sz w:val="22"/>
        </w:rPr>
        <w:t>5</w:t>
      </w:r>
      <w:r>
        <w:t>)</w:t>
      </w:r>
      <w:r>
        <w:rPr>
          <w:spacing w:val="-3"/>
        </w:rPr>
        <w:t xml:space="preserve"> </w:t>
      </w:r>
      <w:r>
        <w:t>for</w:t>
      </w:r>
      <w:r>
        <w:rPr>
          <w:spacing w:val="-3"/>
        </w:rPr>
        <w:t xml:space="preserve"> </w:t>
      </w:r>
      <w:r>
        <w:t>all</w:t>
      </w:r>
      <w:r>
        <w:rPr>
          <w:spacing w:val="-3"/>
        </w:rPr>
        <w:t xml:space="preserve"> </w:t>
      </w:r>
      <w:r>
        <w:t>sentence</w:t>
      </w:r>
      <w:bookmarkStart w:id="579" w:name="_bookmark579"/>
      <w:bookmarkEnd w:id="579"/>
      <w:r>
        <w:t>s</w:t>
      </w:r>
      <w:r>
        <w:rPr>
          <w:color w:val="0562C1"/>
          <w:position w:val="21"/>
          <w:u w:val="single" w:color="0562C1"/>
        </w:rPr>
        <w:t>[437]</w:t>
      </w:r>
      <w:r>
        <w:rPr>
          <w:color w:val="0562C1"/>
          <w:spacing w:val="-2"/>
          <w:position w:val="21"/>
        </w:rPr>
        <w:t xml:space="preserve"> </w:t>
      </w:r>
      <w:r>
        <w:t>P</w:t>
      </w:r>
      <w:r>
        <w:rPr>
          <w:spacing w:val="-3"/>
        </w:rPr>
        <w:t xml:space="preserve"> </w:t>
      </w:r>
      <w:r>
        <w:t>and</w:t>
      </w:r>
      <w:r>
        <w:rPr>
          <w:spacing w:val="-2"/>
        </w:rPr>
        <w:t xml:space="preserve"> </w:t>
      </w:r>
      <w:r>
        <w:t>Q,</w:t>
      </w:r>
      <w:r>
        <w:rPr>
          <w:spacing w:val="-2"/>
        </w:rPr>
        <w:t xml:space="preserve"> </w:t>
      </w:r>
      <w:r>
        <w:t>‹(P</w:t>
      </w:r>
      <w:r>
        <w:rPr>
          <w:spacing w:val="-3"/>
        </w:rPr>
        <w:t xml:space="preserve"> </w:t>
      </w:r>
      <w:r>
        <w:t>and</w:t>
      </w:r>
      <w:r>
        <w:rPr>
          <w:spacing w:val="-1"/>
        </w:rPr>
        <w:t xml:space="preserve"> </w:t>
      </w:r>
      <w:r>
        <w:rPr>
          <w:spacing w:val="-2"/>
        </w:rPr>
        <w:t>(P→Q))→P›,</w:t>
      </w:r>
    </w:p>
    <w:p w14:paraId="7E002A90" w14:textId="77777777" w:rsidR="009A58DB" w:rsidRDefault="009A58DB">
      <w:pPr>
        <w:pStyle w:val="BodyText"/>
        <w:sectPr w:rsidR="009A58DB">
          <w:pgSz w:w="12240" w:h="15840"/>
          <w:pgMar w:top="1380" w:right="1080" w:bottom="280" w:left="1080" w:header="720" w:footer="720" w:gutter="0"/>
          <w:cols w:space="720"/>
        </w:sectPr>
      </w:pPr>
    </w:p>
    <w:p w14:paraId="7E002A91" w14:textId="77777777" w:rsidR="009A58DB" w:rsidRDefault="00000000">
      <w:pPr>
        <w:pStyle w:val="BodyText"/>
        <w:spacing w:before="65" w:line="249" w:lineRule="auto"/>
        <w:ind w:right="370"/>
      </w:pPr>
      <w:r>
        <w:lastRenderedPageBreak/>
        <w:t xml:space="preserve">though true, isn’t </w:t>
      </w:r>
      <w:r>
        <w:rPr>
          <w:i/>
        </w:rPr>
        <w:t>formally</w:t>
      </w:r>
      <w:r>
        <w:rPr>
          <w:i/>
          <w:spacing w:val="-4"/>
        </w:rPr>
        <w:t xml:space="preserve"> </w:t>
      </w:r>
      <w:r>
        <w:t xml:space="preserve">true. It </w:t>
      </w:r>
      <w:r>
        <w:rPr>
          <w:i/>
        </w:rPr>
        <w:t>instances</w:t>
      </w:r>
      <w:r>
        <w:rPr>
          <w:i/>
          <w:spacing w:val="-4"/>
        </w:rPr>
        <w:t xml:space="preserve"> </w:t>
      </w:r>
      <w:r>
        <w:t>(e.g., “if snow is white and grass is green, then snow is white”), but not it itself. This is because it has the same form as:</w:t>
      </w:r>
    </w:p>
    <w:p w14:paraId="7E002A92" w14:textId="77777777" w:rsidR="009A58DB" w:rsidRDefault="009A58DB">
      <w:pPr>
        <w:pStyle w:val="BodyText"/>
        <w:spacing w:before="18"/>
        <w:ind w:left="0"/>
        <w:jc w:val="left"/>
      </w:pPr>
    </w:p>
    <w:p w14:paraId="7E002A93" w14:textId="77777777" w:rsidR="009A58DB" w:rsidRDefault="00000000">
      <w:pPr>
        <w:pStyle w:val="BodyText"/>
        <w:spacing w:line="277" w:lineRule="exact"/>
        <w:ind w:left="3094"/>
        <w:jc w:val="left"/>
      </w:pPr>
      <w:bookmarkStart w:id="580" w:name="_bookmark580"/>
      <w:bookmarkEnd w:id="580"/>
      <w:r>
        <w:rPr>
          <w:color w:val="0562C1"/>
          <w:spacing w:val="-2"/>
          <w:u w:val="single" w:color="0562C1"/>
        </w:rPr>
        <w:t>[438]</w:t>
      </w:r>
    </w:p>
    <w:p w14:paraId="7E002A94" w14:textId="77777777" w:rsidR="009A58DB" w:rsidRDefault="00000000">
      <w:pPr>
        <w:pStyle w:val="BodyText"/>
        <w:tabs>
          <w:tab w:val="left" w:pos="3872"/>
        </w:tabs>
        <w:spacing w:line="277" w:lineRule="exact"/>
        <w:jc w:val="left"/>
      </w:pPr>
      <w:r>
        <w:t>(S</w:t>
      </w:r>
      <w:r>
        <w:rPr>
          <w:vertAlign w:val="subscript"/>
        </w:rPr>
        <w:t>6</w:t>
      </w:r>
      <w:r>
        <w:t>)</w:t>
      </w:r>
      <w:r>
        <w:rPr>
          <w:spacing w:val="59"/>
        </w:rPr>
        <w:t xml:space="preserve"> </w:t>
      </w:r>
      <w:r>
        <w:t>For</w:t>
      </w:r>
      <w:r>
        <w:rPr>
          <w:spacing w:val="61"/>
        </w:rPr>
        <w:t xml:space="preserve"> </w:t>
      </w:r>
      <w:r>
        <w:t>no</w:t>
      </w:r>
      <w:r>
        <w:rPr>
          <w:spacing w:val="60"/>
        </w:rPr>
        <w:t xml:space="preserve"> </w:t>
      </w:r>
      <w:r>
        <w:rPr>
          <w:spacing w:val="-2"/>
        </w:rPr>
        <w:t>sentences</w:t>
      </w:r>
      <w:r>
        <w:tab/>
        <w:t>P</w:t>
      </w:r>
      <w:r>
        <w:rPr>
          <w:spacing w:val="50"/>
        </w:rPr>
        <w:t xml:space="preserve"> </w:t>
      </w:r>
      <w:r>
        <w:t>and</w:t>
      </w:r>
      <w:r>
        <w:rPr>
          <w:spacing w:val="53"/>
        </w:rPr>
        <w:t xml:space="preserve"> </w:t>
      </w:r>
      <w:r>
        <w:t>Q,</w:t>
      </w:r>
      <w:r>
        <w:rPr>
          <w:spacing w:val="52"/>
        </w:rPr>
        <w:t xml:space="preserve"> </w:t>
      </w:r>
      <w:r>
        <w:t>‹(P</w:t>
      </w:r>
      <w:r>
        <w:rPr>
          <w:spacing w:val="52"/>
        </w:rPr>
        <w:t xml:space="preserve"> </w:t>
      </w:r>
      <w:r>
        <w:rPr>
          <w:spacing w:val="-5"/>
        </w:rPr>
        <w:t>and</w:t>
      </w:r>
    </w:p>
    <w:p w14:paraId="7E002A95" w14:textId="77777777" w:rsidR="009A58DB" w:rsidRDefault="00000000">
      <w:pPr>
        <w:pStyle w:val="BodyText"/>
        <w:spacing w:before="75"/>
        <w:jc w:val="left"/>
      </w:pPr>
      <w:r>
        <w:rPr>
          <w:spacing w:val="-2"/>
        </w:rPr>
        <w:t>(P→Q))→P›,</w:t>
      </w:r>
    </w:p>
    <w:p w14:paraId="7E002A96" w14:textId="77777777" w:rsidR="009A58DB" w:rsidRDefault="009A58DB">
      <w:pPr>
        <w:pStyle w:val="BodyText"/>
        <w:spacing w:before="30"/>
        <w:ind w:left="0"/>
        <w:jc w:val="left"/>
      </w:pPr>
    </w:p>
    <w:p w14:paraId="7E002A97" w14:textId="77777777" w:rsidR="009A58DB" w:rsidRDefault="00000000">
      <w:pPr>
        <w:pStyle w:val="BodyText"/>
        <w:jc w:val="left"/>
      </w:pPr>
      <w:r>
        <w:t>which</w:t>
      </w:r>
      <w:r>
        <w:rPr>
          <w:spacing w:val="-3"/>
        </w:rPr>
        <w:t xml:space="preserve"> </w:t>
      </w:r>
      <w:r>
        <w:t>is</w:t>
      </w:r>
      <w:r>
        <w:rPr>
          <w:spacing w:val="-2"/>
        </w:rPr>
        <w:t xml:space="preserve"> false.</w:t>
      </w:r>
    </w:p>
    <w:p w14:paraId="7E002A98" w14:textId="77777777" w:rsidR="009A58DB" w:rsidRDefault="00000000">
      <w:pPr>
        <w:pStyle w:val="BodyText"/>
        <w:spacing w:before="15" w:line="271" w:lineRule="auto"/>
        <w:ind w:right="360" w:firstLine="360"/>
      </w:pPr>
      <w:r>
        <w:t>Some logician</w:t>
      </w:r>
      <w:bookmarkStart w:id="581" w:name="_bookmark581"/>
      <w:bookmarkEnd w:id="581"/>
      <w:r>
        <w:t>s</w:t>
      </w:r>
      <w:r>
        <w:rPr>
          <w:color w:val="0562C1"/>
          <w:position w:val="21"/>
          <w:u w:val="single" w:color="0562C1"/>
        </w:rPr>
        <w:t>[439]</w:t>
      </w:r>
      <w:r>
        <w:rPr>
          <w:color w:val="0562C1"/>
          <w:position w:val="21"/>
        </w:rPr>
        <w:t xml:space="preserve"> </w:t>
      </w:r>
      <w:r>
        <w:t>say that, because S</w:t>
      </w:r>
      <w:r>
        <w:rPr>
          <w:position w:val="-7"/>
          <w:sz w:val="22"/>
        </w:rPr>
        <w:t>5</w:t>
      </w:r>
      <w:r>
        <w:rPr>
          <w:spacing w:val="40"/>
          <w:position w:val="-7"/>
          <w:sz w:val="22"/>
        </w:rPr>
        <w:t xml:space="preserve"> </w:t>
      </w:r>
      <w:r>
        <w:t>has an “all” in the place where</w:t>
      </w:r>
      <w:r>
        <w:rPr>
          <w:spacing w:val="40"/>
        </w:rPr>
        <w:t xml:space="preserve"> </w:t>
      </w:r>
      <w:r>
        <w:t>S</w:t>
      </w:r>
      <w:r>
        <w:rPr>
          <w:vertAlign w:val="subscript"/>
        </w:rPr>
        <w:t>6</w:t>
      </w:r>
      <w:r>
        <w:t xml:space="preserve"> has a “no,” they </w:t>
      </w:r>
      <w:r>
        <w:rPr>
          <w:i/>
        </w:rPr>
        <w:t>don’t</w:t>
      </w:r>
      <w:r>
        <w:rPr>
          <w:i/>
          <w:spacing w:val="-2"/>
        </w:rPr>
        <w:t xml:space="preserve"> </w:t>
      </w:r>
      <w:r>
        <w:t>have the same form. But that’s just a way of saying that they</w:t>
      </w:r>
      <w:r>
        <w:rPr>
          <w:spacing w:val="1"/>
        </w:rPr>
        <w:t xml:space="preserve"> </w:t>
      </w:r>
      <w:r>
        <w:t>don’t have</w:t>
      </w:r>
      <w:r>
        <w:rPr>
          <w:spacing w:val="1"/>
        </w:rPr>
        <w:t xml:space="preserve"> </w:t>
      </w:r>
      <w:r>
        <w:t>the same</w:t>
      </w:r>
      <w:r>
        <w:rPr>
          <w:spacing w:val="1"/>
        </w:rPr>
        <w:t xml:space="preserve"> </w:t>
      </w:r>
      <w:r>
        <w:t>form because,</w:t>
      </w:r>
      <w:r>
        <w:rPr>
          <w:spacing w:val="1"/>
        </w:rPr>
        <w:t xml:space="preserve"> </w:t>
      </w:r>
      <w:r>
        <w:t>if they</w:t>
      </w:r>
      <w:r>
        <w:rPr>
          <w:spacing w:val="1"/>
        </w:rPr>
        <w:t xml:space="preserve"> </w:t>
      </w:r>
      <w:r>
        <w:t>did, then</w:t>
      </w:r>
      <w:r>
        <w:rPr>
          <w:spacing w:val="1"/>
        </w:rPr>
        <w:t xml:space="preserve"> </w:t>
      </w:r>
      <w:r>
        <w:t>S</w:t>
      </w:r>
      <w:r>
        <w:rPr>
          <w:vertAlign w:val="subscript"/>
        </w:rPr>
        <w:t>5</w:t>
      </w:r>
      <w:r>
        <w:rPr>
          <w:spacing w:val="-1"/>
        </w:rPr>
        <w:t xml:space="preserve"> </w:t>
      </w:r>
      <w:r>
        <w:t>wouldn’t</w:t>
      </w:r>
      <w:r>
        <w:rPr>
          <w:spacing w:val="-1"/>
        </w:rPr>
        <w:t xml:space="preserve"> </w:t>
      </w:r>
      <w:r>
        <w:t>be</w:t>
      </w:r>
      <w:r>
        <w:rPr>
          <w:spacing w:val="-2"/>
        </w:rPr>
        <w:t xml:space="preserve"> </w:t>
      </w:r>
      <w:r>
        <w:rPr>
          <w:spacing w:val="-10"/>
        </w:rPr>
        <w:t>a</w:t>
      </w:r>
    </w:p>
    <w:p w14:paraId="7E002A99" w14:textId="77777777" w:rsidR="009A58DB" w:rsidRDefault="00000000">
      <w:pPr>
        <w:pStyle w:val="BodyText"/>
        <w:spacing w:before="28" w:line="271" w:lineRule="auto"/>
        <w:ind w:right="359"/>
      </w:pPr>
      <w:r>
        <w:t>formal truth anymore. It’s a fact that, in any sense of the expression “same form” that isn’t circularly constructed to validate preexisting theories, S</w:t>
      </w:r>
      <w:r>
        <w:rPr>
          <w:vertAlign w:val="subscript"/>
        </w:rPr>
        <w:t>5</w:t>
      </w:r>
      <w:r>
        <w:t xml:space="preserve"> and S</w:t>
      </w:r>
      <w:r>
        <w:rPr>
          <w:vertAlign w:val="subscript"/>
        </w:rPr>
        <w:t>6</w:t>
      </w:r>
      <w:r>
        <w:rPr>
          <w:spacing w:val="13"/>
        </w:rPr>
        <w:t xml:space="preserve"> </w:t>
      </w:r>
      <w:r>
        <w:t>have</w:t>
      </w:r>
      <w:r>
        <w:rPr>
          <w:spacing w:val="13"/>
        </w:rPr>
        <w:t xml:space="preserve"> </w:t>
      </w:r>
      <w:r>
        <w:t>the</w:t>
      </w:r>
      <w:r>
        <w:rPr>
          <w:spacing w:val="14"/>
        </w:rPr>
        <w:t xml:space="preserve"> </w:t>
      </w:r>
      <w:r>
        <w:t>same</w:t>
      </w:r>
      <w:r>
        <w:rPr>
          <w:spacing w:val="13"/>
        </w:rPr>
        <w:t xml:space="preserve"> </w:t>
      </w:r>
      <w:r>
        <w:t>form.</w:t>
      </w:r>
      <w:r>
        <w:rPr>
          <w:spacing w:val="13"/>
        </w:rPr>
        <w:t xml:space="preserve"> </w:t>
      </w:r>
      <w:r>
        <w:t>They</w:t>
      </w:r>
      <w:r>
        <w:rPr>
          <w:spacing w:val="14"/>
        </w:rPr>
        <w:t xml:space="preserve"> </w:t>
      </w:r>
      <w:r>
        <w:t>certainly</w:t>
      </w:r>
      <w:r>
        <w:rPr>
          <w:spacing w:val="14"/>
        </w:rPr>
        <w:t xml:space="preserve"> </w:t>
      </w:r>
      <w:r>
        <w:t>have</w:t>
      </w:r>
      <w:r>
        <w:rPr>
          <w:spacing w:val="13"/>
        </w:rPr>
        <w:t xml:space="preserve"> </w:t>
      </w:r>
      <w:r>
        <w:t>the</w:t>
      </w:r>
      <w:r>
        <w:rPr>
          <w:spacing w:val="13"/>
        </w:rPr>
        <w:t xml:space="preserve"> </w:t>
      </w:r>
      <w:r>
        <w:t>same</w:t>
      </w:r>
      <w:r>
        <w:rPr>
          <w:spacing w:val="13"/>
        </w:rPr>
        <w:t xml:space="preserve"> </w:t>
      </w:r>
      <w:r>
        <w:t>syntactic</w:t>
      </w:r>
      <w:r>
        <w:rPr>
          <w:spacing w:val="13"/>
        </w:rPr>
        <w:t xml:space="preserve"> </w:t>
      </w:r>
      <w:r>
        <w:t>form,</w:t>
      </w:r>
      <w:r>
        <w:rPr>
          <w:spacing w:val="14"/>
        </w:rPr>
        <w:t xml:space="preserve"> </w:t>
      </w:r>
      <w:r>
        <w:t>at</w:t>
      </w:r>
      <w:r>
        <w:rPr>
          <w:spacing w:val="13"/>
        </w:rPr>
        <w:t xml:space="preserve"> </w:t>
      </w:r>
      <w:r>
        <w:rPr>
          <w:spacing w:val="-2"/>
        </w:rPr>
        <w:t>least</w:t>
      </w:r>
    </w:p>
    <w:p w14:paraId="7E002A9A" w14:textId="77777777" w:rsidR="009A58DB" w:rsidRDefault="00000000">
      <w:pPr>
        <w:pStyle w:val="BodyText"/>
        <w:spacing w:before="31" w:line="249" w:lineRule="auto"/>
        <w:ind w:right="361"/>
      </w:pPr>
      <w:r>
        <w:t>as linguists use the word “syntax.” The rules of sentence construction involved in the one case precisely parallel those used in the other. It’s a simple</w:t>
      </w:r>
      <w:r>
        <w:rPr>
          <w:spacing w:val="37"/>
        </w:rPr>
        <w:t xml:space="preserve"> </w:t>
      </w:r>
      <w:r>
        <w:t>fact,</w:t>
      </w:r>
      <w:r>
        <w:rPr>
          <w:spacing w:val="37"/>
        </w:rPr>
        <w:t xml:space="preserve"> </w:t>
      </w:r>
      <w:r>
        <w:t>then,</w:t>
      </w:r>
      <w:r>
        <w:rPr>
          <w:spacing w:val="38"/>
        </w:rPr>
        <w:t xml:space="preserve"> </w:t>
      </w:r>
      <w:r>
        <w:t>than</w:t>
      </w:r>
      <w:r>
        <w:rPr>
          <w:spacing w:val="37"/>
        </w:rPr>
        <w:t xml:space="preserve"> </w:t>
      </w:r>
      <w:r>
        <w:t>S</w:t>
      </w:r>
      <w:r>
        <w:rPr>
          <w:vertAlign w:val="subscript"/>
        </w:rPr>
        <w:t>5</w:t>
      </w:r>
      <w:r>
        <w:rPr>
          <w:spacing w:val="38"/>
        </w:rPr>
        <w:t xml:space="preserve"> </w:t>
      </w:r>
      <w:r>
        <w:t>and</w:t>
      </w:r>
      <w:r>
        <w:rPr>
          <w:spacing w:val="37"/>
        </w:rPr>
        <w:t xml:space="preserve"> </w:t>
      </w:r>
      <w:r>
        <w:t>S</w:t>
      </w:r>
      <w:r>
        <w:rPr>
          <w:vertAlign w:val="subscript"/>
        </w:rPr>
        <w:t>6</w:t>
      </w:r>
      <w:r>
        <w:rPr>
          <w:spacing w:val="44"/>
        </w:rPr>
        <w:t xml:space="preserve"> </w:t>
      </w:r>
      <w:r>
        <w:t>do</w:t>
      </w:r>
      <w:r>
        <w:rPr>
          <w:spacing w:val="43"/>
        </w:rPr>
        <w:t xml:space="preserve"> </w:t>
      </w:r>
      <w:r>
        <w:t>not,</w:t>
      </w:r>
      <w:r>
        <w:rPr>
          <w:spacing w:val="44"/>
        </w:rPr>
        <w:t xml:space="preserve"> </w:t>
      </w:r>
      <w:r>
        <w:t>in</w:t>
      </w:r>
      <w:r>
        <w:rPr>
          <w:spacing w:val="43"/>
        </w:rPr>
        <w:t xml:space="preserve"> </w:t>
      </w:r>
      <w:r>
        <w:t>any</w:t>
      </w:r>
      <w:r>
        <w:rPr>
          <w:spacing w:val="44"/>
        </w:rPr>
        <w:t xml:space="preserve"> </w:t>
      </w:r>
      <w:r>
        <w:t>significant</w:t>
      </w:r>
      <w:r>
        <w:rPr>
          <w:spacing w:val="42"/>
        </w:rPr>
        <w:t xml:space="preserve"> </w:t>
      </w:r>
      <w:r>
        <w:t>sense,</w:t>
      </w:r>
      <w:r>
        <w:rPr>
          <w:spacing w:val="44"/>
        </w:rPr>
        <w:t xml:space="preserve"> </w:t>
      </w:r>
      <w:r>
        <w:t>differ</w:t>
      </w:r>
      <w:r>
        <w:rPr>
          <w:spacing w:val="43"/>
        </w:rPr>
        <w:t xml:space="preserve"> </w:t>
      </w:r>
      <w:r>
        <w:rPr>
          <w:spacing w:val="-5"/>
        </w:rPr>
        <w:t>in</w:t>
      </w:r>
    </w:p>
    <w:p w14:paraId="7E002A9B" w14:textId="77777777" w:rsidR="009A58DB" w:rsidRDefault="00000000">
      <w:pPr>
        <w:pStyle w:val="BodyText"/>
        <w:spacing w:before="64"/>
      </w:pPr>
      <w:r>
        <w:t>form</w:t>
      </w:r>
      <w:r>
        <w:rPr>
          <w:spacing w:val="-1"/>
        </w:rPr>
        <w:t xml:space="preserve"> </w:t>
      </w:r>
      <w:r>
        <w:t>and that</w:t>
      </w:r>
      <w:r>
        <w:rPr>
          <w:spacing w:val="-1"/>
        </w:rPr>
        <w:t xml:space="preserve"> </w:t>
      </w:r>
      <w:r>
        <w:t>S</w:t>
      </w:r>
      <w:r>
        <w:rPr>
          <w:vertAlign w:val="subscript"/>
        </w:rPr>
        <w:t>5</w:t>
      </w:r>
      <w:r>
        <w:t>, though true, isn’t</w:t>
      </w:r>
      <w:r>
        <w:rPr>
          <w:spacing w:val="-1"/>
        </w:rPr>
        <w:t xml:space="preserve"> </w:t>
      </w:r>
      <w:r>
        <w:t xml:space="preserve">formally </w:t>
      </w:r>
      <w:r>
        <w:rPr>
          <w:spacing w:val="-5"/>
        </w:rPr>
        <w:t>so.</w:t>
      </w:r>
    </w:p>
    <w:p w14:paraId="7E002A9C" w14:textId="77777777" w:rsidR="009A58DB" w:rsidRDefault="00000000">
      <w:pPr>
        <w:pStyle w:val="BodyText"/>
        <w:spacing w:before="75" w:line="249" w:lineRule="auto"/>
        <w:ind w:right="359" w:firstLine="360"/>
      </w:pPr>
      <w:r>
        <w:t>Given that formal truth is parasitic on informal truth, the reason being that instances of formal truths are instances of informal ones, entailment cannot ultimately, or even proximately, be understood in formal terms and, in addition, only a fraction of the inferences that we make are formal. (This is setting aside the fact noted a moment ago that so-called formal reasoning is really informal reasoning in disguise.)</w:t>
      </w:r>
    </w:p>
    <w:p w14:paraId="7E002A9D" w14:textId="77777777" w:rsidR="009A58DB" w:rsidRDefault="00000000">
      <w:pPr>
        <w:pStyle w:val="Heading1"/>
        <w:numPr>
          <w:ilvl w:val="1"/>
          <w:numId w:val="31"/>
        </w:numPr>
        <w:tabs>
          <w:tab w:val="left" w:pos="1410"/>
        </w:tabs>
        <w:spacing w:before="195"/>
        <w:jc w:val="both"/>
      </w:pPr>
      <w:r>
        <w:t>Entailment</w:t>
      </w:r>
      <w:r>
        <w:rPr>
          <w:spacing w:val="-6"/>
        </w:rPr>
        <w:t xml:space="preserve"> </w:t>
      </w:r>
      <w:r>
        <w:t>not</w:t>
      </w:r>
      <w:r>
        <w:rPr>
          <w:spacing w:val="-4"/>
        </w:rPr>
        <w:t xml:space="preserve"> </w:t>
      </w:r>
      <w:r>
        <w:t>a</w:t>
      </w:r>
      <w:r>
        <w:rPr>
          <w:spacing w:val="-3"/>
        </w:rPr>
        <w:t xml:space="preserve"> </w:t>
      </w:r>
      <w:r>
        <w:t>limiting</w:t>
      </w:r>
      <w:r>
        <w:rPr>
          <w:spacing w:val="-4"/>
        </w:rPr>
        <w:t xml:space="preserve"> </w:t>
      </w:r>
      <w:r>
        <w:t>case</w:t>
      </w:r>
      <w:r>
        <w:rPr>
          <w:spacing w:val="-3"/>
        </w:rPr>
        <w:t xml:space="preserve"> </w:t>
      </w:r>
      <w:r>
        <w:t>of</w:t>
      </w:r>
      <w:r>
        <w:rPr>
          <w:spacing w:val="-4"/>
        </w:rPr>
        <w:t xml:space="preserve"> </w:t>
      </w:r>
      <w:r>
        <w:rPr>
          <w:spacing w:val="-2"/>
        </w:rPr>
        <w:t>confirmation</w:t>
      </w:r>
    </w:p>
    <w:p w14:paraId="7E002A9E" w14:textId="77777777" w:rsidR="009A58DB" w:rsidRDefault="00000000">
      <w:pPr>
        <w:pStyle w:val="BodyText"/>
        <w:spacing w:before="139" w:line="249" w:lineRule="auto"/>
        <w:ind w:right="362"/>
        <w:rPr>
          <w:position w:val="21"/>
        </w:rPr>
      </w:pPr>
      <w:r>
        <w:t>In some contexts, entailment can be treated as a limiting case of</w:t>
      </w:r>
      <w:r>
        <w:rPr>
          <w:spacing w:val="40"/>
        </w:rPr>
        <w:t xml:space="preserve"> </w:t>
      </w:r>
      <w:r>
        <w:t>confirmation: P’s entailing Q can be seen as P’s confirming Q to the highest possible degree.</w:t>
      </w:r>
      <w:bookmarkStart w:id="582" w:name="_bookmark582"/>
      <w:bookmarkEnd w:id="582"/>
      <w:r>
        <w:rPr>
          <w:color w:val="0562C1"/>
          <w:position w:val="21"/>
          <w:u w:val="single" w:color="0562C1"/>
        </w:rPr>
        <w:t>[440]</w:t>
      </w:r>
    </w:p>
    <w:p w14:paraId="7E002A9F" w14:textId="77777777" w:rsidR="009A58DB" w:rsidRDefault="00000000">
      <w:pPr>
        <w:pStyle w:val="BodyText"/>
        <w:spacing w:before="4" w:line="249" w:lineRule="auto"/>
        <w:ind w:right="367" w:firstLine="360"/>
      </w:pPr>
      <w:r>
        <w:t>It’s tempting to see entailment as maximal confirmation. But that isn’t what</w:t>
      </w:r>
      <w:r>
        <w:rPr>
          <w:spacing w:val="53"/>
        </w:rPr>
        <w:t xml:space="preserve"> </w:t>
      </w:r>
      <w:r>
        <w:t>it</w:t>
      </w:r>
      <w:r>
        <w:rPr>
          <w:spacing w:val="53"/>
        </w:rPr>
        <w:t xml:space="preserve"> </w:t>
      </w:r>
      <w:r>
        <w:t>is.</w:t>
      </w:r>
      <w:r>
        <w:rPr>
          <w:spacing w:val="54"/>
        </w:rPr>
        <w:t xml:space="preserve"> </w:t>
      </w:r>
      <w:r>
        <w:t>For</w:t>
      </w:r>
      <w:r>
        <w:rPr>
          <w:spacing w:val="53"/>
        </w:rPr>
        <w:t xml:space="preserve"> </w:t>
      </w:r>
      <w:r>
        <w:t>P</w:t>
      </w:r>
      <w:r>
        <w:rPr>
          <w:spacing w:val="53"/>
        </w:rPr>
        <w:t xml:space="preserve"> </w:t>
      </w:r>
      <w:r>
        <w:t>to</w:t>
      </w:r>
      <w:r>
        <w:rPr>
          <w:spacing w:val="54"/>
        </w:rPr>
        <w:t xml:space="preserve"> </w:t>
      </w:r>
      <w:r>
        <w:t>entail</w:t>
      </w:r>
      <w:r>
        <w:rPr>
          <w:spacing w:val="53"/>
        </w:rPr>
        <w:t xml:space="preserve"> </w:t>
      </w:r>
      <w:r>
        <w:t>Q</w:t>
      </w:r>
      <w:r>
        <w:rPr>
          <w:spacing w:val="53"/>
        </w:rPr>
        <w:t xml:space="preserve"> </w:t>
      </w:r>
      <w:r>
        <w:t>(in</w:t>
      </w:r>
      <w:r>
        <w:rPr>
          <w:spacing w:val="54"/>
        </w:rPr>
        <w:t xml:space="preserve"> </w:t>
      </w:r>
      <w:r>
        <w:t>other</w:t>
      </w:r>
      <w:r>
        <w:rPr>
          <w:spacing w:val="53"/>
        </w:rPr>
        <w:t xml:space="preserve"> </w:t>
      </w:r>
      <w:r>
        <w:t>words,</w:t>
      </w:r>
      <w:r>
        <w:rPr>
          <w:spacing w:val="53"/>
        </w:rPr>
        <w:t xml:space="preserve"> </w:t>
      </w:r>
      <w:r>
        <w:t>for</w:t>
      </w:r>
      <w:r>
        <w:rPr>
          <w:spacing w:val="54"/>
        </w:rPr>
        <w:t xml:space="preserve"> </w:t>
      </w:r>
      <w:r>
        <w:t>it</w:t>
      </w:r>
      <w:r>
        <w:rPr>
          <w:spacing w:val="53"/>
        </w:rPr>
        <w:t xml:space="preserve"> </w:t>
      </w:r>
      <w:r>
        <w:t>to</w:t>
      </w:r>
      <w:r>
        <w:rPr>
          <w:spacing w:val="53"/>
        </w:rPr>
        <w:t xml:space="preserve"> </w:t>
      </w:r>
      <w:r>
        <w:t>be</w:t>
      </w:r>
      <w:r>
        <w:rPr>
          <w:spacing w:val="54"/>
        </w:rPr>
        <w:t xml:space="preserve"> </w:t>
      </w:r>
      <w:r>
        <w:t>analytic</w:t>
      </w:r>
      <w:r>
        <w:rPr>
          <w:spacing w:val="53"/>
        </w:rPr>
        <w:t xml:space="preserve"> </w:t>
      </w:r>
      <w:r>
        <w:t>that</w:t>
      </w:r>
      <w:r>
        <w:rPr>
          <w:spacing w:val="54"/>
        </w:rPr>
        <w:t xml:space="preserve"> </w:t>
      </w:r>
      <w:r>
        <w:rPr>
          <w:spacing w:val="-10"/>
        </w:rPr>
        <w:t>Q</w:t>
      </w:r>
    </w:p>
    <w:p w14:paraId="7E002AA0"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AA1" w14:textId="77777777" w:rsidR="009A58DB" w:rsidRDefault="00000000">
      <w:pPr>
        <w:pStyle w:val="BodyText"/>
        <w:spacing w:before="60" w:line="249" w:lineRule="auto"/>
        <w:ind w:right="360"/>
      </w:pPr>
      <w:r>
        <w:lastRenderedPageBreak/>
        <w:t>follows from P) isn’t for P to confirm Q to the highest possible degree. Entailment is a logical notion. Confirmation is an explanatory notion. For P</w:t>
      </w:r>
      <w:r>
        <w:rPr>
          <w:spacing w:val="40"/>
        </w:rPr>
        <w:t xml:space="preserve"> </w:t>
      </w:r>
      <w:r>
        <w:t>to confirm Q to be a high degree is for (</w:t>
      </w:r>
      <w:r>
        <w:rPr>
          <w:i/>
        </w:rPr>
        <w:t>P and not-Q</w:t>
      </w:r>
      <w:r>
        <w:t>) to be counter-explanatory—in other words, it is for (</w:t>
      </w:r>
      <w:r>
        <w:rPr>
          <w:i/>
        </w:rPr>
        <w:t>P and not-Q</w:t>
      </w:r>
      <w:r>
        <w:t xml:space="preserve">) to be false </w:t>
      </w:r>
      <w:r>
        <w:rPr>
          <w:i/>
        </w:rPr>
        <w:t>unless</w:t>
      </w:r>
      <w:r>
        <w:rPr>
          <w:i/>
          <w:spacing w:val="-3"/>
        </w:rPr>
        <w:t xml:space="preserve"> </w:t>
      </w:r>
      <w:r>
        <w:t>deeply rooted presumptions about how the world works are uprooted and replaced. For P to entail Q is for (</w:t>
      </w:r>
      <w:r>
        <w:rPr>
          <w:i/>
        </w:rPr>
        <w:t>P and not-Q</w:t>
      </w:r>
      <w:r>
        <w:t>) to be counter-conceptual, i.e., it is for the structures of concepts, unassisted by presumptions as to how the world works, to prohibit the falsity of Q, given the truth of P. So P’s confirming Q to the highest possible degree is different from P’s entailing Q.</w:t>
      </w:r>
    </w:p>
    <w:p w14:paraId="7E002AA2" w14:textId="77777777" w:rsidR="009A58DB" w:rsidRDefault="00000000">
      <w:pPr>
        <w:pStyle w:val="Heading1"/>
        <w:numPr>
          <w:ilvl w:val="1"/>
          <w:numId w:val="31"/>
        </w:numPr>
        <w:tabs>
          <w:tab w:val="left" w:pos="1814"/>
        </w:tabs>
        <w:spacing w:before="204" w:line="244" w:lineRule="auto"/>
        <w:ind w:left="360" w:right="359" w:firstLine="0"/>
      </w:pPr>
      <w:r>
        <w:t>Entailment</w:t>
      </w:r>
      <w:r>
        <w:rPr>
          <w:spacing w:val="40"/>
        </w:rPr>
        <w:t xml:space="preserve"> </w:t>
      </w:r>
      <w:r>
        <w:t>both</w:t>
      </w:r>
      <w:r>
        <w:rPr>
          <w:spacing w:val="40"/>
        </w:rPr>
        <w:t xml:space="preserve"> </w:t>
      </w:r>
      <w:r>
        <w:t>an</w:t>
      </w:r>
      <w:r>
        <w:rPr>
          <w:spacing w:val="40"/>
        </w:rPr>
        <w:t xml:space="preserve"> </w:t>
      </w:r>
      <w:r>
        <w:t>intersentential</w:t>
      </w:r>
      <w:r>
        <w:rPr>
          <w:spacing w:val="40"/>
        </w:rPr>
        <w:t xml:space="preserve"> </w:t>
      </w:r>
      <w:r>
        <w:t>and</w:t>
      </w:r>
      <w:r>
        <w:rPr>
          <w:spacing w:val="40"/>
        </w:rPr>
        <w:t xml:space="preserve"> </w:t>
      </w:r>
      <w:r>
        <w:t>an interpropositional relation</w:t>
      </w:r>
    </w:p>
    <w:p w14:paraId="7E002AA3" w14:textId="77777777" w:rsidR="009A58DB" w:rsidRDefault="00000000">
      <w:pPr>
        <w:pStyle w:val="BodyText"/>
        <w:spacing w:before="131" w:line="249" w:lineRule="auto"/>
        <w:ind w:right="358"/>
      </w:pPr>
      <w:r>
        <w:t>Sometimes the word “entailment” refers to a relationship that holds between propositions (sentence-</w:t>
      </w:r>
      <w:r>
        <w:rPr>
          <w:i/>
        </w:rPr>
        <w:t>meanings</w:t>
      </w:r>
      <w:r>
        <w:t>), and sometimes it refers to a relation that holds between expressions of some kind. Some logicians hold that those expressions are sentence-</w:t>
      </w:r>
      <w:r>
        <w:rPr>
          <w:i/>
        </w:rPr>
        <w:t xml:space="preserve">types. </w:t>
      </w:r>
      <w:r>
        <w:t xml:space="preserve">Others, myself included, hold that those relations may hold between sentence-types </w:t>
      </w:r>
      <w:r>
        <w:rPr>
          <w:i/>
        </w:rPr>
        <w:t xml:space="preserve">and also </w:t>
      </w:r>
      <w:r>
        <w:t>between sentence-</w:t>
      </w:r>
      <w:r>
        <w:rPr>
          <w:i/>
        </w:rPr>
        <w:t xml:space="preserve">tokens. </w:t>
      </w:r>
      <w:r>
        <w:t xml:space="preserve">(Peter Strawson (1950) was the first to distinguish token-entailment from type-entailment. In so doing, he performed a major service for </w:t>
      </w:r>
      <w:r>
        <w:rPr>
          <w:spacing w:val="-2"/>
        </w:rPr>
        <w:t>philosophy.)</w:t>
      </w:r>
    </w:p>
    <w:p w14:paraId="7E002AA4" w14:textId="77777777" w:rsidR="009A58DB" w:rsidRDefault="00000000">
      <w:pPr>
        <w:pStyle w:val="BodyText"/>
        <w:spacing w:before="10" w:line="249" w:lineRule="auto"/>
        <w:ind w:right="358" w:firstLine="360"/>
      </w:pPr>
      <w:r>
        <w:t>With rare exceptions (Strawson being one of them), authors who discuss “entailment” don’t make it clear whether they are talking about a relationship that holds between propositions, sentences, or neither.</w:t>
      </w:r>
    </w:p>
    <w:p w14:paraId="7E002AA5" w14:textId="77777777" w:rsidR="009A58DB" w:rsidRDefault="00000000">
      <w:pPr>
        <w:pStyle w:val="BodyText"/>
        <w:spacing w:before="4" w:line="249" w:lineRule="auto"/>
        <w:ind w:right="365" w:firstLine="360"/>
      </w:pPr>
      <w:r>
        <w:t>In</w:t>
      </w:r>
      <w:r>
        <w:rPr>
          <w:spacing w:val="-1"/>
        </w:rPr>
        <w:t xml:space="preserve"> </w:t>
      </w:r>
      <w:r>
        <w:t>this</w:t>
      </w:r>
      <w:r>
        <w:rPr>
          <w:spacing w:val="-1"/>
        </w:rPr>
        <w:t xml:space="preserve"> </w:t>
      </w:r>
      <w:r>
        <w:t>book,</w:t>
      </w:r>
      <w:r>
        <w:rPr>
          <w:spacing w:val="-1"/>
        </w:rPr>
        <w:t xml:space="preserve"> </w:t>
      </w:r>
      <w:r>
        <w:t>unless</w:t>
      </w:r>
      <w:r>
        <w:rPr>
          <w:spacing w:val="-1"/>
        </w:rPr>
        <w:t xml:space="preserve"> </w:t>
      </w:r>
      <w:r>
        <w:t>there</w:t>
      </w:r>
      <w:r>
        <w:rPr>
          <w:spacing w:val="-1"/>
        </w:rPr>
        <w:t xml:space="preserve"> </w:t>
      </w:r>
      <w:r>
        <w:t>is</w:t>
      </w:r>
      <w:r>
        <w:rPr>
          <w:spacing w:val="-1"/>
        </w:rPr>
        <w:t xml:space="preserve"> </w:t>
      </w:r>
      <w:r>
        <w:t>an</w:t>
      </w:r>
      <w:r>
        <w:rPr>
          <w:spacing w:val="-1"/>
        </w:rPr>
        <w:t xml:space="preserve"> </w:t>
      </w:r>
      <w:r>
        <w:t>indication</w:t>
      </w:r>
      <w:r>
        <w:rPr>
          <w:spacing w:val="-1"/>
        </w:rPr>
        <w:t xml:space="preserve"> </w:t>
      </w:r>
      <w:r>
        <w:t>to</w:t>
      </w:r>
      <w:r>
        <w:rPr>
          <w:spacing w:val="-1"/>
        </w:rPr>
        <w:t xml:space="preserve"> </w:t>
      </w:r>
      <w:r>
        <w:t>the</w:t>
      </w:r>
      <w:r>
        <w:rPr>
          <w:spacing w:val="-1"/>
        </w:rPr>
        <w:t xml:space="preserve"> </w:t>
      </w:r>
      <w:r>
        <w:t>contrary,</w:t>
      </w:r>
      <w:r>
        <w:rPr>
          <w:spacing w:val="-1"/>
        </w:rPr>
        <w:t xml:space="preserve"> </w:t>
      </w:r>
      <w:r>
        <w:t>“entailment”</w:t>
      </w:r>
      <w:r>
        <w:rPr>
          <w:spacing w:val="-1"/>
        </w:rPr>
        <w:t xml:space="preserve"> </w:t>
      </w:r>
      <w:r>
        <w:t xml:space="preserve">will refer to a relationship that can hold either propositions </w:t>
      </w:r>
      <w:r>
        <w:rPr>
          <w:i/>
        </w:rPr>
        <w:t xml:space="preserve">or </w:t>
      </w:r>
      <w:r>
        <w:t xml:space="preserve">between </w:t>
      </w:r>
      <w:r>
        <w:rPr>
          <w:spacing w:val="-2"/>
        </w:rPr>
        <w:t>expressions.</w:t>
      </w:r>
    </w:p>
    <w:p w14:paraId="7E002AA6" w14:textId="77777777" w:rsidR="009A58DB" w:rsidRDefault="00000000">
      <w:pPr>
        <w:pStyle w:val="Heading1"/>
        <w:numPr>
          <w:ilvl w:val="1"/>
          <w:numId w:val="31"/>
        </w:numPr>
        <w:tabs>
          <w:tab w:val="left" w:pos="1409"/>
        </w:tabs>
        <w:spacing w:before="207"/>
        <w:ind w:left="1409" w:hanging="1049"/>
      </w:pPr>
      <w:r>
        <w:t>The</w:t>
      </w:r>
      <w:r>
        <w:rPr>
          <w:spacing w:val="-6"/>
        </w:rPr>
        <w:t xml:space="preserve"> </w:t>
      </w:r>
      <w:r>
        <w:t>irrelevance</w:t>
      </w:r>
      <w:r>
        <w:rPr>
          <w:spacing w:val="-4"/>
        </w:rPr>
        <w:t xml:space="preserve"> </w:t>
      </w:r>
      <w:r>
        <w:t>of</w:t>
      </w:r>
      <w:r>
        <w:rPr>
          <w:spacing w:val="-3"/>
        </w:rPr>
        <w:t xml:space="preserve"> </w:t>
      </w:r>
      <w:r>
        <w:t>formal</w:t>
      </w:r>
      <w:r>
        <w:rPr>
          <w:spacing w:val="-4"/>
        </w:rPr>
        <w:t xml:space="preserve"> </w:t>
      </w:r>
      <w:r>
        <w:t>logic</w:t>
      </w:r>
      <w:r>
        <w:rPr>
          <w:spacing w:val="-4"/>
        </w:rPr>
        <w:t xml:space="preserve"> </w:t>
      </w:r>
      <w:r>
        <w:t>to</w:t>
      </w:r>
      <w:r>
        <w:rPr>
          <w:spacing w:val="-2"/>
        </w:rPr>
        <w:t xml:space="preserve"> thought</w:t>
      </w:r>
    </w:p>
    <w:p w14:paraId="7E002AA7" w14:textId="77777777" w:rsidR="009A58DB" w:rsidRDefault="00000000">
      <w:pPr>
        <w:pStyle w:val="BodyText"/>
        <w:spacing w:before="139" w:line="249" w:lineRule="auto"/>
        <w:ind w:right="361"/>
      </w:pPr>
      <w:r>
        <w:t>For reasons that were discussed in Chapters 1, 7, and 18, any assistance that knowledge of formal logic can provide one in the way of acquiring knowledge is parasitic on one’s knowledge of informal analytic truths. This has nothing to do with the idiosyncrasies of human psychology. It’s an epistemological consequence of a strictly logical point. Given any open-sentence (or open-proposition) all of whose instances are true, for example:</w:t>
      </w:r>
    </w:p>
    <w:p w14:paraId="7E002AA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A9" w14:textId="77777777" w:rsidR="009A58DB" w:rsidRDefault="00000000">
      <w:pPr>
        <w:pStyle w:val="ListParagraph"/>
        <w:numPr>
          <w:ilvl w:val="0"/>
          <w:numId w:val="29"/>
        </w:numPr>
        <w:tabs>
          <w:tab w:val="left" w:pos="782"/>
        </w:tabs>
        <w:spacing w:before="65"/>
        <w:ind w:left="782" w:hanging="422"/>
        <w:rPr>
          <w:sz w:val="30"/>
        </w:rPr>
      </w:pPr>
      <w:r>
        <w:rPr>
          <w:sz w:val="30"/>
        </w:rPr>
        <w:lastRenderedPageBreak/>
        <w:t>‹(P</w:t>
      </w:r>
      <w:r>
        <w:rPr>
          <w:spacing w:val="-3"/>
          <w:sz w:val="30"/>
        </w:rPr>
        <w:t xml:space="preserve"> </w:t>
      </w:r>
      <w:r>
        <w:rPr>
          <w:sz w:val="30"/>
        </w:rPr>
        <w:t>and</w:t>
      </w:r>
      <w:r>
        <w:rPr>
          <w:spacing w:val="-1"/>
          <w:sz w:val="30"/>
        </w:rPr>
        <w:t xml:space="preserve"> </w:t>
      </w:r>
      <w:r>
        <w:rPr>
          <w:spacing w:val="-2"/>
          <w:sz w:val="30"/>
        </w:rPr>
        <w:t>(P→Q))→Q›,</w:t>
      </w:r>
    </w:p>
    <w:p w14:paraId="7E002AAA" w14:textId="77777777" w:rsidR="009A58DB" w:rsidRDefault="009A58DB">
      <w:pPr>
        <w:pStyle w:val="BodyText"/>
        <w:spacing w:before="29"/>
        <w:ind w:left="0"/>
        <w:jc w:val="left"/>
      </w:pPr>
    </w:p>
    <w:p w14:paraId="7E002AAB" w14:textId="77777777" w:rsidR="009A58DB" w:rsidRDefault="00000000">
      <w:pPr>
        <w:pStyle w:val="BodyText"/>
        <w:spacing w:before="1" w:line="249" w:lineRule="auto"/>
        <w:ind w:right="358"/>
      </w:pPr>
      <w:r>
        <w:t>the</w:t>
      </w:r>
      <w:r>
        <w:rPr>
          <w:spacing w:val="-3"/>
        </w:rPr>
        <w:t xml:space="preserve"> </w:t>
      </w:r>
      <w:r>
        <w:rPr>
          <w:i/>
        </w:rPr>
        <w:t>fact</w:t>
      </w:r>
      <w:r>
        <w:rPr>
          <w:i/>
          <w:spacing w:val="-3"/>
        </w:rPr>
        <w:t xml:space="preserve"> </w:t>
      </w:r>
      <w:r>
        <w:t>that</w:t>
      </w:r>
      <w:r>
        <w:rPr>
          <w:spacing w:val="-3"/>
        </w:rPr>
        <w:t xml:space="preserve"> </w:t>
      </w:r>
      <w:r>
        <w:t>it’s</w:t>
      </w:r>
      <w:r>
        <w:rPr>
          <w:spacing w:val="-3"/>
        </w:rPr>
        <w:t xml:space="preserve"> </w:t>
      </w:r>
      <w:r>
        <w:t>true</w:t>
      </w:r>
      <w:r>
        <w:rPr>
          <w:spacing w:val="-3"/>
        </w:rPr>
        <w:t xml:space="preserve"> </w:t>
      </w:r>
      <w:r>
        <w:t>for</w:t>
      </w:r>
      <w:r>
        <w:rPr>
          <w:spacing w:val="-3"/>
        </w:rPr>
        <w:t xml:space="preserve"> </w:t>
      </w:r>
      <w:r>
        <w:t>all</w:t>
      </w:r>
      <w:r>
        <w:rPr>
          <w:spacing w:val="-3"/>
        </w:rPr>
        <w:t xml:space="preserve"> </w:t>
      </w:r>
      <w:r>
        <w:t>its</w:t>
      </w:r>
      <w:r>
        <w:rPr>
          <w:spacing w:val="-3"/>
        </w:rPr>
        <w:t xml:space="preserve"> </w:t>
      </w:r>
      <w:r>
        <w:t>instances</w:t>
      </w:r>
      <w:r>
        <w:rPr>
          <w:spacing w:val="-3"/>
        </w:rPr>
        <w:t xml:space="preserve"> </w:t>
      </w:r>
      <w:r>
        <w:t>is</w:t>
      </w:r>
      <w:r>
        <w:rPr>
          <w:spacing w:val="-3"/>
        </w:rPr>
        <w:t xml:space="preserve"> </w:t>
      </w:r>
      <w:r>
        <w:t>a</w:t>
      </w:r>
      <w:r>
        <w:rPr>
          <w:spacing w:val="-3"/>
        </w:rPr>
        <w:t xml:space="preserve"> </w:t>
      </w:r>
      <w:r>
        <w:t>consequence</w:t>
      </w:r>
      <w:r>
        <w:rPr>
          <w:spacing w:val="-3"/>
        </w:rPr>
        <w:t xml:space="preserve"> </w:t>
      </w:r>
      <w:r>
        <w:t>of</w:t>
      </w:r>
      <w:r>
        <w:rPr>
          <w:spacing w:val="-3"/>
        </w:rPr>
        <w:t xml:space="preserve"> </w:t>
      </w:r>
      <w:r>
        <w:t>the</w:t>
      </w:r>
      <w:r>
        <w:rPr>
          <w:spacing w:val="-3"/>
        </w:rPr>
        <w:t xml:space="preserve"> </w:t>
      </w:r>
      <w:r>
        <w:t>fact</w:t>
      </w:r>
      <w:r>
        <w:rPr>
          <w:spacing w:val="-3"/>
        </w:rPr>
        <w:t xml:space="preserve"> </w:t>
      </w:r>
      <w:r>
        <w:t>that</w:t>
      </w:r>
      <w:r>
        <w:rPr>
          <w:spacing w:val="-3"/>
        </w:rPr>
        <w:t xml:space="preserve"> </w:t>
      </w:r>
      <w:r>
        <w:t>some informal truth holds—for example:</w:t>
      </w:r>
    </w:p>
    <w:p w14:paraId="7E002AAC" w14:textId="77777777" w:rsidR="009A58DB" w:rsidRDefault="009A58DB">
      <w:pPr>
        <w:pStyle w:val="BodyText"/>
        <w:spacing w:before="17"/>
        <w:ind w:left="0"/>
        <w:jc w:val="left"/>
      </w:pPr>
    </w:p>
    <w:p w14:paraId="7E002AAD" w14:textId="77777777" w:rsidR="009A58DB" w:rsidRDefault="00000000">
      <w:pPr>
        <w:pStyle w:val="ListParagraph"/>
        <w:numPr>
          <w:ilvl w:val="0"/>
          <w:numId w:val="29"/>
        </w:numPr>
        <w:tabs>
          <w:tab w:val="left" w:pos="782"/>
        </w:tabs>
        <w:ind w:left="782" w:hanging="422"/>
        <w:rPr>
          <w:sz w:val="30"/>
        </w:rPr>
      </w:pPr>
      <w:r>
        <w:rPr>
          <w:sz w:val="30"/>
        </w:rPr>
        <w:t>given</w:t>
      </w:r>
      <w:r>
        <w:rPr>
          <w:spacing w:val="-4"/>
          <w:sz w:val="30"/>
        </w:rPr>
        <w:t xml:space="preserve"> </w:t>
      </w:r>
      <w:r>
        <w:rPr>
          <w:sz w:val="30"/>
        </w:rPr>
        <w:t>any</w:t>
      </w:r>
      <w:r>
        <w:rPr>
          <w:spacing w:val="-2"/>
          <w:sz w:val="30"/>
        </w:rPr>
        <w:t xml:space="preserve"> </w:t>
      </w:r>
      <w:r>
        <w:rPr>
          <w:sz w:val="30"/>
        </w:rPr>
        <w:t>two</w:t>
      </w:r>
      <w:r>
        <w:rPr>
          <w:spacing w:val="-2"/>
          <w:sz w:val="30"/>
        </w:rPr>
        <w:t xml:space="preserve"> </w:t>
      </w:r>
      <w:r>
        <w:rPr>
          <w:sz w:val="30"/>
        </w:rPr>
        <w:t>propositions</w:t>
      </w:r>
      <w:r>
        <w:rPr>
          <w:spacing w:val="-2"/>
          <w:sz w:val="30"/>
        </w:rPr>
        <w:t xml:space="preserve"> </w:t>
      </w:r>
      <w:r>
        <w:rPr>
          <w:sz w:val="30"/>
        </w:rPr>
        <w:t>P</w:t>
      </w:r>
      <w:r>
        <w:rPr>
          <w:spacing w:val="-3"/>
          <w:sz w:val="30"/>
        </w:rPr>
        <w:t xml:space="preserve"> </w:t>
      </w:r>
      <w:r>
        <w:rPr>
          <w:sz w:val="30"/>
        </w:rPr>
        <w:t>and</w:t>
      </w:r>
      <w:r>
        <w:rPr>
          <w:spacing w:val="-1"/>
          <w:sz w:val="30"/>
        </w:rPr>
        <w:t xml:space="preserve"> </w:t>
      </w:r>
      <w:r>
        <w:rPr>
          <w:sz w:val="30"/>
        </w:rPr>
        <w:t>Q,</w:t>
      </w:r>
      <w:r>
        <w:rPr>
          <w:spacing w:val="-2"/>
          <w:sz w:val="30"/>
        </w:rPr>
        <w:t xml:space="preserve"> </w:t>
      </w:r>
      <w:r>
        <w:rPr>
          <w:sz w:val="30"/>
        </w:rPr>
        <w:t>‹(P</w:t>
      </w:r>
      <w:r>
        <w:rPr>
          <w:spacing w:val="-3"/>
          <w:sz w:val="30"/>
        </w:rPr>
        <w:t xml:space="preserve"> </w:t>
      </w:r>
      <w:r>
        <w:rPr>
          <w:sz w:val="30"/>
        </w:rPr>
        <w:t>and</w:t>
      </w:r>
      <w:r>
        <w:rPr>
          <w:spacing w:val="-1"/>
          <w:sz w:val="30"/>
        </w:rPr>
        <w:t xml:space="preserve"> </w:t>
      </w:r>
      <w:r>
        <w:rPr>
          <w:spacing w:val="-2"/>
          <w:sz w:val="30"/>
        </w:rPr>
        <w:t>(P→Q))→Q›).</w:t>
      </w:r>
    </w:p>
    <w:p w14:paraId="7E002AAE" w14:textId="77777777" w:rsidR="009A58DB" w:rsidRDefault="009A58DB">
      <w:pPr>
        <w:pStyle w:val="BodyText"/>
        <w:spacing w:before="30"/>
        <w:ind w:left="0"/>
        <w:jc w:val="left"/>
      </w:pPr>
    </w:p>
    <w:p w14:paraId="7E002AAF" w14:textId="77777777" w:rsidR="009A58DB" w:rsidRDefault="00000000">
      <w:pPr>
        <w:pStyle w:val="BodyText"/>
        <w:spacing w:line="249" w:lineRule="auto"/>
        <w:ind w:right="368" w:firstLine="360"/>
      </w:pPr>
      <w:r>
        <w:t>It must be stressed that (2) is an informal truth. (2) has the same form as the false statement that:</w:t>
      </w:r>
    </w:p>
    <w:p w14:paraId="7E002AB0" w14:textId="77777777" w:rsidR="009A58DB" w:rsidRDefault="009A58DB">
      <w:pPr>
        <w:pStyle w:val="BodyText"/>
        <w:spacing w:before="18"/>
        <w:ind w:left="0"/>
        <w:jc w:val="left"/>
      </w:pPr>
    </w:p>
    <w:p w14:paraId="7E002AB1" w14:textId="77777777" w:rsidR="009A58DB" w:rsidRDefault="00000000">
      <w:pPr>
        <w:pStyle w:val="BodyText"/>
      </w:pPr>
      <w:r>
        <w:t>(2#)</w:t>
      </w:r>
      <w:r>
        <w:rPr>
          <w:spacing w:val="-5"/>
        </w:rPr>
        <w:t xml:space="preserve"> </w:t>
      </w:r>
      <w:r>
        <w:t>given</w:t>
      </w:r>
      <w:r>
        <w:rPr>
          <w:spacing w:val="-1"/>
        </w:rPr>
        <w:t xml:space="preserve"> </w:t>
      </w:r>
      <w:r>
        <w:t>no</w:t>
      </w:r>
      <w:r>
        <w:rPr>
          <w:spacing w:val="-2"/>
        </w:rPr>
        <w:t xml:space="preserve"> </w:t>
      </w:r>
      <w:r>
        <w:t>two</w:t>
      </w:r>
      <w:r>
        <w:rPr>
          <w:spacing w:val="-2"/>
        </w:rPr>
        <w:t xml:space="preserve"> </w:t>
      </w:r>
      <w:r>
        <w:t>propositions</w:t>
      </w:r>
      <w:r>
        <w:rPr>
          <w:spacing w:val="-2"/>
        </w:rPr>
        <w:t xml:space="preserve"> </w:t>
      </w:r>
      <w:r>
        <w:t>P</w:t>
      </w:r>
      <w:r>
        <w:rPr>
          <w:spacing w:val="-2"/>
        </w:rPr>
        <w:t xml:space="preserve"> </w:t>
      </w:r>
      <w:r>
        <w:t>and</w:t>
      </w:r>
      <w:r>
        <w:rPr>
          <w:spacing w:val="-2"/>
        </w:rPr>
        <w:t xml:space="preserve"> </w:t>
      </w:r>
      <w:r>
        <w:t>Q,</w:t>
      </w:r>
      <w:r>
        <w:rPr>
          <w:spacing w:val="-1"/>
        </w:rPr>
        <w:t xml:space="preserve"> </w:t>
      </w:r>
      <w:r>
        <w:t>‹(P</w:t>
      </w:r>
      <w:r>
        <w:rPr>
          <w:spacing w:val="-3"/>
        </w:rPr>
        <w:t xml:space="preserve"> </w:t>
      </w:r>
      <w:r>
        <w:t>and</w:t>
      </w:r>
      <w:r>
        <w:rPr>
          <w:spacing w:val="-1"/>
        </w:rPr>
        <w:t xml:space="preserve"> </w:t>
      </w:r>
      <w:r>
        <w:rPr>
          <w:spacing w:val="-2"/>
        </w:rPr>
        <w:t>(P→Q))→Q›).</w:t>
      </w:r>
    </w:p>
    <w:p w14:paraId="7E002AB2" w14:textId="77777777" w:rsidR="009A58DB" w:rsidRDefault="009A58DB">
      <w:pPr>
        <w:pStyle w:val="BodyText"/>
        <w:spacing w:before="30"/>
        <w:ind w:left="0"/>
        <w:jc w:val="left"/>
      </w:pPr>
    </w:p>
    <w:p w14:paraId="7E002AB3" w14:textId="77777777" w:rsidR="009A58DB" w:rsidRDefault="00000000">
      <w:pPr>
        <w:pStyle w:val="BodyText"/>
        <w:spacing w:line="249" w:lineRule="auto"/>
        <w:ind w:right="358"/>
      </w:pPr>
      <w:r>
        <w:t xml:space="preserve">Nothing that has the same form as a false statement is formally true. Therefore, (2), though true, isn’t formally so. (2#) is a statement </w:t>
      </w:r>
      <w:r>
        <w:rPr>
          <w:i/>
        </w:rPr>
        <w:t>about</w:t>
      </w:r>
      <w:r>
        <w:rPr>
          <w:i/>
          <w:spacing w:val="-3"/>
        </w:rPr>
        <w:t xml:space="preserve"> </w:t>
      </w:r>
      <w:r>
        <w:t>a</w:t>
      </w:r>
      <w:r>
        <w:rPr>
          <w:spacing w:val="-3"/>
        </w:rPr>
        <w:t xml:space="preserve"> </w:t>
      </w:r>
      <w:r>
        <w:t>class of</w:t>
      </w:r>
      <w:r>
        <w:rPr>
          <w:spacing w:val="-4"/>
        </w:rPr>
        <w:t xml:space="preserve"> </w:t>
      </w:r>
      <w:r>
        <w:t>formal</w:t>
      </w:r>
      <w:r>
        <w:rPr>
          <w:spacing w:val="-4"/>
        </w:rPr>
        <w:t xml:space="preserve"> </w:t>
      </w:r>
      <w:r>
        <w:t>truths;</w:t>
      </w:r>
      <w:r>
        <w:rPr>
          <w:spacing w:val="-4"/>
        </w:rPr>
        <w:t xml:space="preserve"> </w:t>
      </w:r>
      <w:r>
        <w:t>but,</w:t>
      </w:r>
      <w:r>
        <w:rPr>
          <w:spacing w:val="-3"/>
        </w:rPr>
        <w:t xml:space="preserve"> </w:t>
      </w:r>
      <w:r>
        <w:t>like</w:t>
      </w:r>
      <w:r>
        <w:rPr>
          <w:spacing w:val="-4"/>
        </w:rPr>
        <w:t xml:space="preserve"> </w:t>
      </w:r>
      <w:r>
        <w:t>most</w:t>
      </w:r>
      <w:r>
        <w:rPr>
          <w:spacing w:val="-4"/>
        </w:rPr>
        <w:t xml:space="preserve"> </w:t>
      </w:r>
      <w:r>
        <w:t>statements</w:t>
      </w:r>
      <w:r>
        <w:rPr>
          <w:spacing w:val="-4"/>
        </w:rPr>
        <w:t xml:space="preserve"> </w:t>
      </w:r>
      <w:r>
        <w:rPr>
          <w:i/>
        </w:rPr>
        <w:t>about</w:t>
      </w:r>
      <w:r>
        <w:rPr>
          <w:i/>
          <w:spacing w:val="-4"/>
        </w:rPr>
        <w:t xml:space="preserve"> </w:t>
      </w:r>
      <w:r>
        <w:t>formal</w:t>
      </w:r>
      <w:r>
        <w:rPr>
          <w:spacing w:val="-1"/>
        </w:rPr>
        <w:t xml:space="preserve"> </w:t>
      </w:r>
      <w:r>
        <w:t>truths,</w:t>
      </w:r>
      <w:r>
        <w:rPr>
          <w:spacing w:val="-1"/>
        </w:rPr>
        <w:t xml:space="preserve"> </w:t>
      </w:r>
      <w:r>
        <w:t>it</w:t>
      </w:r>
      <w:r>
        <w:rPr>
          <w:spacing w:val="-1"/>
        </w:rPr>
        <w:t xml:space="preserve"> </w:t>
      </w:r>
      <w:r>
        <w:t>is</w:t>
      </w:r>
      <w:r>
        <w:rPr>
          <w:spacing w:val="-1"/>
        </w:rPr>
        <w:t xml:space="preserve"> </w:t>
      </w:r>
      <w:r>
        <w:t>not</w:t>
      </w:r>
      <w:r>
        <w:rPr>
          <w:spacing w:val="-1"/>
        </w:rPr>
        <w:t xml:space="preserve"> </w:t>
      </w:r>
      <w:r>
        <w:t>itself</w:t>
      </w:r>
      <w:r>
        <w:rPr>
          <w:spacing w:val="-1"/>
        </w:rPr>
        <w:t xml:space="preserve"> </w:t>
      </w:r>
      <w:r>
        <w:t>a formal truth.</w:t>
      </w:r>
    </w:p>
    <w:p w14:paraId="7E002AB4" w14:textId="77777777" w:rsidR="009A58DB" w:rsidRDefault="00000000">
      <w:pPr>
        <w:pStyle w:val="BodyText"/>
        <w:spacing w:before="5"/>
        <w:ind w:left="720"/>
      </w:pPr>
      <w:r>
        <w:t>Bearing</w:t>
      </w:r>
      <w:r>
        <w:rPr>
          <w:spacing w:val="11"/>
        </w:rPr>
        <w:t xml:space="preserve"> </w:t>
      </w:r>
      <w:r>
        <w:t>this</w:t>
      </w:r>
      <w:r>
        <w:rPr>
          <w:spacing w:val="15"/>
        </w:rPr>
        <w:t xml:space="preserve"> </w:t>
      </w:r>
      <w:r>
        <w:t>in</w:t>
      </w:r>
      <w:r>
        <w:rPr>
          <w:spacing w:val="15"/>
        </w:rPr>
        <w:t xml:space="preserve"> </w:t>
      </w:r>
      <w:r>
        <w:t>mind,</w:t>
      </w:r>
      <w:r>
        <w:rPr>
          <w:spacing w:val="15"/>
        </w:rPr>
        <w:t xml:space="preserve"> </w:t>
      </w:r>
      <w:r>
        <w:t>consider</w:t>
      </w:r>
      <w:r>
        <w:rPr>
          <w:spacing w:val="14"/>
        </w:rPr>
        <w:t xml:space="preserve"> </w:t>
      </w:r>
      <w:r>
        <w:t>the</w:t>
      </w:r>
      <w:r>
        <w:rPr>
          <w:spacing w:val="13"/>
        </w:rPr>
        <w:t xml:space="preserve"> </w:t>
      </w:r>
      <w:r>
        <w:t>following</w:t>
      </w:r>
      <w:r>
        <w:rPr>
          <w:spacing w:val="15"/>
        </w:rPr>
        <w:t xml:space="preserve"> </w:t>
      </w:r>
      <w:r>
        <w:t>statement,</w:t>
      </w:r>
      <w:r>
        <w:rPr>
          <w:spacing w:val="15"/>
        </w:rPr>
        <w:t xml:space="preserve"> </w:t>
      </w:r>
      <w:r>
        <w:t>which,</w:t>
      </w:r>
      <w:r>
        <w:rPr>
          <w:spacing w:val="15"/>
        </w:rPr>
        <w:t xml:space="preserve"> </w:t>
      </w:r>
      <w:r>
        <w:t>unlike</w:t>
      </w:r>
      <w:r>
        <w:rPr>
          <w:spacing w:val="15"/>
        </w:rPr>
        <w:t xml:space="preserve"> </w:t>
      </w:r>
      <w:r>
        <w:rPr>
          <w:spacing w:val="-4"/>
        </w:rPr>
        <w:t>(2),</w:t>
      </w:r>
    </w:p>
    <w:p w14:paraId="7E002AB5" w14:textId="77777777" w:rsidR="009A58DB" w:rsidRDefault="00000000">
      <w:pPr>
        <w:pStyle w:val="BodyText"/>
        <w:spacing w:before="15"/>
        <w:ind w:left="720"/>
      </w:pPr>
      <w:r>
        <w:rPr>
          <w:i/>
        </w:rPr>
        <w:t>is</w:t>
      </w:r>
      <w:r>
        <w:rPr>
          <w:i/>
          <w:spacing w:val="-6"/>
        </w:rPr>
        <w:t xml:space="preserve"> </w:t>
      </w:r>
      <w:r>
        <w:t>formally</w:t>
      </w:r>
      <w:r>
        <w:rPr>
          <w:spacing w:val="-3"/>
        </w:rPr>
        <w:t xml:space="preserve"> </w:t>
      </w:r>
      <w:r>
        <w:rPr>
          <w:spacing w:val="-4"/>
        </w:rPr>
        <w:t>true:</w:t>
      </w:r>
    </w:p>
    <w:p w14:paraId="7E002AB6" w14:textId="77777777" w:rsidR="009A58DB" w:rsidRDefault="009A58DB">
      <w:pPr>
        <w:pStyle w:val="BodyText"/>
        <w:spacing w:before="30"/>
        <w:ind w:left="0"/>
        <w:jc w:val="left"/>
      </w:pPr>
    </w:p>
    <w:p w14:paraId="7E002AB7" w14:textId="77777777" w:rsidR="009A58DB" w:rsidRDefault="00000000">
      <w:pPr>
        <w:pStyle w:val="ListParagraph"/>
        <w:numPr>
          <w:ilvl w:val="0"/>
          <w:numId w:val="29"/>
        </w:numPr>
        <w:tabs>
          <w:tab w:val="left" w:pos="789"/>
        </w:tabs>
        <w:spacing w:line="249" w:lineRule="auto"/>
        <w:ind w:left="360" w:right="367" w:firstLine="0"/>
        <w:jc w:val="both"/>
        <w:rPr>
          <w:sz w:val="30"/>
        </w:rPr>
      </w:pPr>
      <w:r>
        <w:rPr>
          <w:sz w:val="30"/>
        </w:rPr>
        <w:t>“if snow is white, and (if snow is white then snow is not pink), then snow is not pink).”</w:t>
      </w:r>
    </w:p>
    <w:p w14:paraId="7E002AB8" w14:textId="77777777" w:rsidR="009A58DB" w:rsidRDefault="009A58DB">
      <w:pPr>
        <w:pStyle w:val="BodyText"/>
        <w:spacing w:before="17"/>
        <w:ind w:left="0"/>
        <w:jc w:val="left"/>
      </w:pPr>
    </w:p>
    <w:p w14:paraId="7E002AB9" w14:textId="77777777" w:rsidR="009A58DB" w:rsidRDefault="00000000">
      <w:pPr>
        <w:pStyle w:val="BodyText"/>
        <w:spacing w:line="249" w:lineRule="auto"/>
        <w:ind w:right="363"/>
      </w:pPr>
      <w:r>
        <w:t>There are two different reasons why one might accept (3). One is that one knows it to be an instance of (1) and one accepts it for that reason. But in that case,</w:t>
      </w:r>
      <w:r>
        <w:rPr>
          <w:spacing w:val="3"/>
        </w:rPr>
        <w:t xml:space="preserve"> </w:t>
      </w:r>
      <w:r>
        <w:t>one</w:t>
      </w:r>
      <w:r>
        <w:rPr>
          <w:spacing w:val="5"/>
        </w:rPr>
        <w:t xml:space="preserve"> </w:t>
      </w:r>
      <w:r>
        <w:t>is</w:t>
      </w:r>
      <w:r>
        <w:rPr>
          <w:spacing w:val="5"/>
        </w:rPr>
        <w:t xml:space="preserve"> </w:t>
      </w:r>
      <w:r>
        <w:t>accepting</w:t>
      </w:r>
      <w:r>
        <w:rPr>
          <w:spacing w:val="5"/>
        </w:rPr>
        <w:t xml:space="preserve"> </w:t>
      </w:r>
      <w:r>
        <w:t>(3)</w:t>
      </w:r>
      <w:r>
        <w:rPr>
          <w:spacing w:val="5"/>
        </w:rPr>
        <w:t xml:space="preserve"> </w:t>
      </w:r>
      <w:r>
        <w:t>on</w:t>
      </w:r>
      <w:r>
        <w:rPr>
          <w:spacing w:val="5"/>
        </w:rPr>
        <w:t xml:space="preserve"> </w:t>
      </w:r>
      <w:r>
        <w:t>the</w:t>
      </w:r>
      <w:r>
        <w:rPr>
          <w:spacing w:val="6"/>
        </w:rPr>
        <w:t xml:space="preserve"> </w:t>
      </w:r>
      <w:r>
        <w:t>grounds</w:t>
      </w:r>
      <w:r>
        <w:rPr>
          <w:spacing w:val="5"/>
        </w:rPr>
        <w:t xml:space="preserve"> </w:t>
      </w:r>
      <w:r>
        <w:t>that</w:t>
      </w:r>
      <w:r>
        <w:rPr>
          <w:spacing w:val="5"/>
        </w:rPr>
        <w:t xml:space="preserve"> </w:t>
      </w:r>
      <w:r>
        <w:t>it’s</w:t>
      </w:r>
      <w:r>
        <w:rPr>
          <w:spacing w:val="5"/>
        </w:rPr>
        <w:t xml:space="preserve"> </w:t>
      </w:r>
      <w:r>
        <w:t>a</w:t>
      </w:r>
      <w:r>
        <w:rPr>
          <w:spacing w:val="5"/>
        </w:rPr>
        <w:t xml:space="preserve"> </w:t>
      </w:r>
      <w:r>
        <w:t>consequence</w:t>
      </w:r>
      <w:r>
        <w:rPr>
          <w:spacing w:val="5"/>
        </w:rPr>
        <w:t xml:space="preserve"> </w:t>
      </w:r>
      <w:r>
        <w:t>of</w:t>
      </w:r>
      <w:r>
        <w:rPr>
          <w:spacing w:val="5"/>
        </w:rPr>
        <w:t xml:space="preserve"> </w:t>
      </w:r>
      <w:r>
        <w:t>(2).</w:t>
      </w:r>
      <w:r>
        <w:rPr>
          <w:spacing w:val="6"/>
        </w:rPr>
        <w:t xml:space="preserve"> </w:t>
      </w:r>
      <w:r>
        <w:rPr>
          <w:spacing w:val="-2"/>
        </w:rPr>
        <w:t>Since</w:t>
      </w:r>
    </w:p>
    <w:p w14:paraId="7E002ABA" w14:textId="77777777" w:rsidR="009A58DB" w:rsidRDefault="00000000">
      <w:pPr>
        <w:pStyle w:val="BodyText"/>
        <w:spacing w:before="4" w:line="249" w:lineRule="auto"/>
        <w:ind w:right="372"/>
      </w:pPr>
      <w:r>
        <w:t>(2) is informal, one’s acceptance of (3), under those circumstances embodies knowledge of an informal truth.</w:t>
      </w:r>
    </w:p>
    <w:p w14:paraId="7E002ABB" w14:textId="77777777" w:rsidR="009A58DB" w:rsidRDefault="00000000">
      <w:pPr>
        <w:pStyle w:val="BodyText"/>
        <w:spacing w:before="2" w:line="249" w:lineRule="auto"/>
        <w:ind w:right="359" w:firstLine="360"/>
      </w:pPr>
      <w:r>
        <w:t>The same thing holds if one’s acceptance of (3) is based on one’s understanding of the concepts meant by the expressions composing it. Suppose that your reason for accepting (3) is that, given your understanding of the concept expressed by “if...then...,” you know that it would be absurd to deny (3). In that case, your acceptance of (3) is based on your knowledge</w:t>
      </w:r>
      <w:r>
        <w:rPr>
          <w:spacing w:val="40"/>
        </w:rPr>
        <w:t xml:space="preserve"> </w:t>
      </w:r>
      <w:r>
        <w:t xml:space="preserve">that, </w:t>
      </w:r>
      <w:r>
        <w:rPr>
          <w:i/>
        </w:rPr>
        <w:t xml:space="preserve">the structure of that concept being what it is, </w:t>
      </w:r>
      <w:r>
        <w:t>any proposition of that form must be true. Thus, your acceptance of (3) is based on your acceptance of (2). Given that (2) is an informal truth, your acceptance of (3) under those circumstances</w:t>
      </w:r>
      <w:r>
        <w:rPr>
          <w:spacing w:val="76"/>
        </w:rPr>
        <w:t xml:space="preserve"> </w:t>
      </w:r>
      <w:r>
        <w:t>constitutes</w:t>
      </w:r>
      <w:r>
        <w:rPr>
          <w:spacing w:val="76"/>
        </w:rPr>
        <w:t xml:space="preserve"> </w:t>
      </w:r>
      <w:r>
        <w:t>informal</w:t>
      </w:r>
      <w:r>
        <w:rPr>
          <w:spacing w:val="76"/>
        </w:rPr>
        <w:t xml:space="preserve"> </w:t>
      </w:r>
      <w:r>
        <w:t>knowledge.</w:t>
      </w:r>
      <w:r>
        <w:rPr>
          <w:spacing w:val="76"/>
        </w:rPr>
        <w:t xml:space="preserve"> </w:t>
      </w:r>
      <w:r>
        <w:t>There</w:t>
      </w:r>
      <w:r>
        <w:rPr>
          <w:spacing w:val="76"/>
        </w:rPr>
        <w:t xml:space="preserve"> </w:t>
      </w:r>
      <w:r>
        <w:t>is</w:t>
      </w:r>
      <w:r>
        <w:rPr>
          <w:spacing w:val="76"/>
        </w:rPr>
        <w:t xml:space="preserve"> </w:t>
      </w:r>
      <w:r>
        <w:t>no</w:t>
      </w:r>
      <w:r>
        <w:rPr>
          <w:spacing w:val="76"/>
        </w:rPr>
        <w:t xml:space="preserve"> </w:t>
      </w:r>
      <w:r>
        <w:t>circumstance,</w:t>
      </w:r>
    </w:p>
    <w:p w14:paraId="7E002AB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BD" w14:textId="77777777" w:rsidR="009A58DB" w:rsidRDefault="00000000">
      <w:pPr>
        <w:pStyle w:val="BodyText"/>
        <w:spacing w:before="65" w:line="249" w:lineRule="auto"/>
        <w:ind w:right="361"/>
      </w:pPr>
      <w:r>
        <w:lastRenderedPageBreak/>
        <w:t>therefore, under which your knowledge of (3) is any sense formal. The concept</w:t>
      </w:r>
      <w:r>
        <w:rPr>
          <w:spacing w:val="-2"/>
        </w:rPr>
        <w:t xml:space="preserve"> </w:t>
      </w:r>
      <w:r>
        <w:t>of</w:t>
      </w:r>
      <w:r>
        <w:rPr>
          <w:spacing w:val="-2"/>
        </w:rPr>
        <w:t xml:space="preserve"> </w:t>
      </w:r>
      <w:r>
        <w:t>“formal”</w:t>
      </w:r>
      <w:r>
        <w:rPr>
          <w:spacing w:val="-2"/>
        </w:rPr>
        <w:t xml:space="preserve"> </w:t>
      </w:r>
      <w:r>
        <w:t>(or</w:t>
      </w:r>
      <w:r>
        <w:rPr>
          <w:spacing w:val="-2"/>
        </w:rPr>
        <w:t xml:space="preserve"> </w:t>
      </w:r>
      <w:r>
        <w:t>“mechanical”)</w:t>
      </w:r>
      <w:r>
        <w:rPr>
          <w:spacing w:val="-2"/>
        </w:rPr>
        <w:t xml:space="preserve"> </w:t>
      </w:r>
      <w:r>
        <w:t>thought</w:t>
      </w:r>
      <w:r>
        <w:rPr>
          <w:spacing w:val="-2"/>
        </w:rPr>
        <w:t xml:space="preserve"> </w:t>
      </w:r>
      <w:r>
        <w:t>is</w:t>
      </w:r>
      <w:r>
        <w:rPr>
          <w:spacing w:val="-2"/>
        </w:rPr>
        <w:t xml:space="preserve"> </w:t>
      </w:r>
      <w:r>
        <w:t>therefore</w:t>
      </w:r>
      <w:r>
        <w:rPr>
          <w:spacing w:val="-2"/>
        </w:rPr>
        <w:t xml:space="preserve"> </w:t>
      </w:r>
      <w:r>
        <w:t>an</w:t>
      </w:r>
      <w:r>
        <w:rPr>
          <w:spacing w:val="-1"/>
        </w:rPr>
        <w:t xml:space="preserve"> </w:t>
      </w:r>
      <w:r>
        <w:t>incoherent</w:t>
      </w:r>
      <w:r>
        <w:rPr>
          <w:spacing w:val="-2"/>
        </w:rPr>
        <w:t xml:space="preserve"> </w:t>
      </w:r>
      <w:r>
        <w:t>one.</w:t>
      </w:r>
    </w:p>
    <w:p w14:paraId="7E002ABE" w14:textId="77777777" w:rsidR="009A58DB" w:rsidRDefault="00000000">
      <w:pPr>
        <w:pStyle w:val="Heading1"/>
        <w:tabs>
          <w:tab w:val="left" w:pos="1409"/>
        </w:tabs>
        <w:spacing w:before="190"/>
        <w:ind w:left="360" w:firstLine="0"/>
      </w:pPr>
      <w:r>
        <w:rPr>
          <w:spacing w:val="-5"/>
        </w:rPr>
        <w:t>4.0</w:t>
      </w:r>
      <w:r>
        <w:tab/>
      </w:r>
      <w:r>
        <w:rPr>
          <w:spacing w:val="-2"/>
        </w:rPr>
        <w:t>Models</w:t>
      </w:r>
    </w:p>
    <w:p w14:paraId="7E002ABF" w14:textId="77777777" w:rsidR="009A58DB" w:rsidRDefault="00000000">
      <w:pPr>
        <w:pStyle w:val="BodyText"/>
        <w:spacing w:before="139" w:line="249" w:lineRule="auto"/>
        <w:ind w:right="359"/>
      </w:pPr>
      <w:r>
        <w:t>An open-sentence is an expression that contains a free variable, and is therefore neither true nor false, but is otherwise just like a sentence. So ‹x is an even number› is an open-sentence, since it contains a variable (“x”) where there should be a “2” or a “4” or some such. It often happens that, given a set of one or more open-sentences, we wish to find some way of replacing the variables</w:t>
      </w:r>
      <w:r>
        <w:rPr>
          <w:spacing w:val="19"/>
        </w:rPr>
        <w:t xml:space="preserve"> </w:t>
      </w:r>
      <w:r>
        <w:t>with</w:t>
      </w:r>
      <w:r>
        <w:rPr>
          <w:spacing w:val="20"/>
        </w:rPr>
        <w:t xml:space="preserve"> </w:t>
      </w:r>
      <w:r>
        <w:t>constants</w:t>
      </w:r>
      <w:r>
        <w:rPr>
          <w:spacing w:val="19"/>
        </w:rPr>
        <w:t xml:space="preserve"> </w:t>
      </w:r>
      <w:r>
        <w:t>that</w:t>
      </w:r>
      <w:r>
        <w:rPr>
          <w:spacing w:val="19"/>
        </w:rPr>
        <w:t xml:space="preserve"> </w:t>
      </w:r>
      <w:r>
        <w:t>yield</w:t>
      </w:r>
      <w:r>
        <w:rPr>
          <w:spacing w:val="19"/>
        </w:rPr>
        <w:t xml:space="preserve"> </w:t>
      </w:r>
      <w:r>
        <w:t>true</w:t>
      </w:r>
      <w:r>
        <w:rPr>
          <w:spacing w:val="20"/>
        </w:rPr>
        <w:t xml:space="preserve"> </w:t>
      </w:r>
      <w:r>
        <w:t>sentences.</w:t>
      </w:r>
      <w:r>
        <w:rPr>
          <w:spacing w:val="20"/>
        </w:rPr>
        <w:t xml:space="preserve"> </w:t>
      </w:r>
      <w:r>
        <w:t>For</w:t>
      </w:r>
      <w:r>
        <w:rPr>
          <w:spacing w:val="19"/>
        </w:rPr>
        <w:t xml:space="preserve"> </w:t>
      </w:r>
      <w:r>
        <w:t>example,</w:t>
      </w:r>
      <w:r>
        <w:rPr>
          <w:spacing w:val="20"/>
        </w:rPr>
        <w:t xml:space="preserve"> </w:t>
      </w:r>
      <w:r>
        <w:t>let</w:t>
      </w:r>
      <w:r>
        <w:rPr>
          <w:spacing w:val="19"/>
        </w:rPr>
        <w:t xml:space="preserve"> </w:t>
      </w:r>
      <w:r>
        <w:t>S</w:t>
      </w:r>
      <w:r>
        <w:rPr>
          <w:vertAlign w:val="subscript"/>
        </w:rPr>
        <w:t>1</w:t>
      </w:r>
      <w:r>
        <w:t xml:space="preserve"> be the</w:t>
      </w:r>
    </w:p>
    <w:p w14:paraId="7E002AC0" w14:textId="77777777" w:rsidR="009A58DB" w:rsidRDefault="00000000">
      <w:pPr>
        <w:pStyle w:val="BodyText"/>
        <w:spacing w:before="68" w:line="249" w:lineRule="auto"/>
        <w:ind w:right="371"/>
      </w:pPr>
      <w:r>
        <w:t>set containing the following two open-sentences (I’ll henceforth omit the use of quasi-quotation marks):</w:t>
      </w:r>
    </w:p>
    <w:p w14:paraId="7E002AC1" w14:textId="77777777" w:rsidR="009A58DB" w:rsidRDefault="009A58DB">
      <w:pPr>
        <w:pStyle w:val="BodyText"/>
        <w:spacing w:before="17"/>
        <w:ind w:left="0"/>
        <w:jc w:val="left"/>
      </w:pPr>
    </w:p>
    <w:p w14:paraId="7E002AC2" w14:textId="77777777" w:rsidR="009A58DB" w:rsidRDefault="00000000">
      <w:pPr>
        <w:pStyle w:val="ListParagraph"/>
        <w:numPr>
          <w:ilvl w:val="0"/>
          <w:numId w:val="28"/>
        </w:numPr>
        <w:tabs>
          <w:tab w:val="left" w:pos="844"/>
        </w:tabs>
        <w:spacing w:line="249" w:lineRule="auto"/>
        <w:ind w:right="4676" w:firstLine="0"/>
        <w:rPr>
          <w:sz w:val="30"/>
        </w:rPr>
      </w:pPr>
      <w:r>
        <w:rPr>
          <w:sz w:val="30"/>
        </w:rPr>
        <w:t>x</w:t>
      </w:r>
      <w:r>
        <w:rPr>
          <w:spacing w:val="40"/>
          <w:sz w:val="30"/>
        </w:rPr>
        <w:t xml:space="preserve"> </w:t>
      </w:r>
      <w:r>
        <w:rPr>
          <w:sz w:val="30"/>
        </w:rPr>
        <w:t>is</w:t>
      </w:r>
      <w:r>
        <w:rPr>
          <w:spacing w:val="40"/>
          <w:sz w:val="30"/>
        </w:rPr>
        <w:t xml:space="preserve"> </w:t>
      </w:r>
      <w:r>
        <w:rPr>
          <w:sz w:val="30"/>
        </w:rPr>
        <w:t>an</w:t>
      </w:r>
      <w:r>
        <w:rPr>
          <w:spacing w:val="40"/>
          <w:sz w:val="30"/>
        </w:rPr>
        <w:t xml:space="preserve"> </w:t>
      </w:r>
      <w:r>
        <w:rPr>
          <w:sz w:val="30"/>
        </w:rPr>
        <w:t>even</w:t>
      </w:r>
      <w:r>
        <w:rPr>
          <w:spacing w:val="40"/>
          <w:sz w:val="30"/>
        </w:rPr>
        <w:t xml:space="preserve"> </w:t>
      </w:r>
      <w:r>
        <w:rPr>
          <w:sz w:val="30"/>
        </w:rPr>
        <w:t>number</w:t>
      </w:r>
      <w:r>
        <w:rPr>
          <w:spacing w:val="40"/>
          <w:sz w:val="30"/>
        </w:rPr>
        <w:t xml:space="preserve"> </w:t>
      </w:r>
      <w:r>
        <w:rPr>
          <w:sz w:val="30"/>
        </w:rPr>
        <w:t>that</w:t>
      </w:r>
      <w:r>
        <w:rPr>
          <w:spacing w:val="40"/>
          <w:sz w:val="30"/>
        </w:rPr>
        <w:t xml:space="preserve"> </w:t>
      </w:r>
      <w:r>
        <w:rPr>
          <w:sz w:val="30"/>
        </w:rPr>
        <w:t>is</w:t>
      </w:r>
      <w:r>
        <w:rPr>
          <w:spacing w:val="40"/>
          <w:sz w:val="30"/>
        </w:rPr>
        <w:t xml:space="preserve"> </w:t>
      </w:r>
      <w:r>
        <w:rPr>
          <w:sz w:val="30"/>
        </w:rPr>
        <w:t>greater than zero.</w:t>
      </w:r>
    </w:p>
    <w:p w14:paraId="7E002AC3" w14:textId="77777777" w:rsidR="009A58DB" w:rsidRDefault="00000000">
      <w:pPr>
        <w:pStyle w:val="ListParagraph"/>
        <w:numPr>
          <w:ilvl w:val="0"/>
          <w:numId w:val="28"/>
        </w:numPr>
        <w:tabs>
          <w:tab w:val="left" w:pos="782"/>
        </w:tabs>
        <w:spacing w:before="2"/>
        <w:ind w:left="782" w:hanging="422"/>
        <w:rPr>
          <w:sz w:val="30"/>
        </w:rPr>
      </w:pPr>
      <w:r>
        <w:rPr>
          <w:sz w:val="30"/>
        </w:rPr>
        <w:t>x</w:t>
      </w:r>
      <w:r>
        <w:rPr>
          <w:sz w:val="30"/>
          <w:vertAlign w:val="subscript"/>
        </w:rPr>
        <w:t>2</w:t>
      </w:r>
      <w:r>
        <w:rPr>
          <w:spacing w:val="3"/>
          <w:sz w:val="30"/>
        </w:rPr>
        <w:t xml:space="preserve"> </w:t>
      </w:r>
      <w:r>
        <w:rPr>
          <w:sz w:val="30"/>
        </w:rPr>
        <w:t>is</w:t>
      </w:r>
      <w:r>
        <w:rPr>
          <w:spacing w:val="2"/>
          <w:sz w:val="30"/>
        </w:rPr>
        <w:t xml:space="preserve"> </w:t>
      </w:r>
      <w:r>
        <w:rPr>
          <w:sz w:val="30"/>
        </w:rPr>
        <w:t>less</w:t>
      </w:r>
      <w:r>
        <w:rPr>
          <w:spacing w:val="2"/>
          <w:sz w:val="30"/>
        </w:rPr>
        <w:t xml:space="preserve"> </w:t>
      </w:r>
      <w:r>
        <w:rPr>
          <w:sz w:val="30"/>
        </w:rPr>
        <w:t>than</w:t>
      </w:r>
      <w:r>
        <w:rPr>
          <w:spacing w:val="3"/>
          <w:sz w:val="30"/>
        </w:rPr>
        <w:t xml:space="preserve"> </w:t>
      </w:r>
      <w:r>
        <w:rPr>
          <w:spacing w:val="-5"/>
          <w:sz w:val="30"/>
        </w:rPr>
        <w:t>20.</w:t>
      </w:r>
    </w:p>
    <w:p w14:paraId="7E002AC4" w14:textId="77777777" w:rsidR="009A58DB" w:rsidRDefault="009A58DB">
      <w:pPr>
        <w:pStyle w:val="BodyText"/>
        <w:spacing w:before="90"/>
        <w:ind w:left="0"/>
        <w:jc w:val="left"/>
      </w:pPr>
    </w:p>
    <w:p w14:paraId="7E002AC5" w14:textId="77777777" w:rsidR="009A58DB" w:rsidRDefault="00000000">
      <w:pPr>
        <w:pStyle w:val="BodyText"/>
        <w:spacing w:before="1" w:line="249" w:lineRule="auto"/>
        <w:ind w:right="361"/>
      </w:pPr>
      <w:r>
        <w:t xml:space="preserve">If we assign the number two or the number four to x, the result is that both sentences are true. So each of these assignments </w:t>
      </w:r>
      <w:r>
        <w:rPr>
          <w:i/>
        </w:rPr>
        <w:t xml:space="preserve">validates </w:t>
      </w:r>
      <w:r>
        <w:t>S</w:t>
      </w:r>
      <w:r>
        <w:rPr>
          <w:vertAlign w:val="subscript"/>
        </w:rPr>
        <w:t>1</w:t>
      </w:r>
      <w:r>
        <w:t>.</w:t>
      </w:r>
    </w:p>
    <w:p w14:paraId="7E002AC6" w14:textId="77777777" w:rsidR="009A58DB" w:rsidRDefault="00000000">
      <w:pPr>
        <w:pStyle w:val="BodyText"/>
        <w:spacing w:before="62" w:line="249" w:lineRule="auto"/>
        <w:ind w:right="363" w:firstLine="360"/>
      </w:pPr>
      <w:r>
        <w:t>In</w:t>
      </w:r>
      <w:r>
        <w:rPr>
          <w:spacing w:val="-3"/>
        </w:rPr>
        <w:t xml:space="preserve"> </w:t>
      </w:r>
      <w:r>
        <w:t>general,</w:t>
      </w:r>
      <w:r>
        <w:rPr>
          <w:spacing w:val="-3"/>
        </w:rPr>
        <w:t xml:space="preserve"> </w:t>
      </w:r>
      <w:r>
        <w:t>given</w:t>
      </w:r>
      <w:r>
        <w:rPr>
          <w:spacing w:val="-3"/>
        </w:rPr>
        <w:t xml:space="preserve"> </w:t>
      </w:r>
      <w:r>
        <w:t>a</w:t>
      </w:r>
      <w:r>
        <w:rPr>
          <w:spacing w:val="-4"/>
        </w:rPr>
        <w:t xml:space="preserve"> </w:t>
      </w:r>
      <w:r>
        <w:t>set</w:t>
      </w:r>
      <w:r>
        <w:rPr>
          <w:spacing w:val="-4"/>
        </w:rPr>
        <w:t xml:space="preserve"> </w:t>
      </w:r>
      <w:r>
        <w:t>of</w:t>
      </w:r>
      <w:r>
        <w:rPr>
          <w:spacing w:val="-4"/>
        </w:rPr>
        <w:t xml:space="preserve"> </w:t>
      </w:r>
      <w:r>
        <w:t>open-sentences,</w:t>
      </w:r>
      <w:r>
        <w:rPr>
          <w:spacing w:val="-3"/>
        </w:rPr>
        <w:t xml:space="preserve"> </w:t>
      </w:r>
      <w:r>
        <w:t>an</w:t>
      </w:r>
      <w:r>
        <w:rPr>
          <w:spacing w:val="-3"/>
        </w:rPr>
        <w:t xml:space="preserve"> </w:t>
      </w:r>
      <w:r>
        <w:t>assignment</w:t>
      </w:r>
      <w:r>
        <w:rPr>
          <w:spacing w:val="-4"/>
        </w:rPr>
        <w:t xml:space="preserve"> </w:t>
      </w:r>
      <w:r>
        <w:t>of</w:t>
      </w:r>
      <w:r>
        <w:rPr>
          <w:spacing w:val="-4"/>
        </w:rPr>
        <w:t xml:space="preserve"> </w:t>
      </w:r>
      <w:r>
        <w:t>constants</w:t>
      </w:r>
      <w:r>
        <w:rPr>
          <w:spacing w:val="-4"/>
        </w:rPr>
        <w:t xml:space="preserve"> </w:t>
      </w:r>
      <w:r>
        <w:t>to</w:t>
      </w:r>
      <w:r>
        <w:rPr>
          <w:spacing w:val="-3"/>
        </w:rPr>
        <w:t xml:space="preserve"> </w:t>
      </w:r>
      <w:r>
        <w:t xml:space="preserve">the free variables validates that set iff two conditions are met. First, that assignment turns </w:t>
      </w:r>
      <w:r>
        <w:rPr>
          <w:i/>
        </w:rPr>
        <w:t xml:space="preserve">each </w:t>
      </w:r>
      <w:r>
        <w:t>open-sentence in that set into an actual sentence. Second, every sentence is true.</w:t>
      </w:r>
    </w:p>
    <w:p w14:paraId="7E002AC7" w14:textId="77777777" w:rsidR="009A58DB" w:rsidRDefault="00000000">
      <w:pPr>
        <w:pStyle w:val="BodyText"/>
        <w:spacing w:before="5" w:line="249" w:lineRule="auto"/>
        <w:ind w:right="358" w:firstLine="360"/>
      </w:pPr>
      <w:r>
        <w:t xml:space="preserve">An assignment of constants to a set of open-sentences is an </w:t>
      </w:r>
      <w:r>
        <w:rPr>
          <w:i/>
        </w:rPr>
        <w:t xml:space="preserve">interpretation </w:t>
      </w:r>
      <w:r>
        <w:t xml:space="preserve">of that set. An interpretation of such a set </w:t>
      </w:r>
      <w:r>
        <w:rPr>
          <w:i/>
        </w:rPr>
        <w:t xml:space="preserve">validates </w:t>
      </w:r>
      <w:r>
        <w:t>it iff, under that interpretation, every sentence in that set comes out true.</w:t>
      </w:r>
    </w:p>
    <w:p w14:paraId="7E002AC8" w14:textId="77777777" w:rsidR="009A58DB" w:rsidRDefault="00000000">
      <w:pPr>
        <w:pStyle w:val="BodyText"/>
        <w:spacing w:before="4"/>
        <w:ind w:left="720"/>
      </w:pPr>
      <w:r>
        <w:t>Let</w:t>
      </w:r>
      <w:r>
        <w:rPr>
          <w:spacing w:val="-1"/>
        </w:rPr>
        <w:t xml:space="preserve"> </w:t>
      </w:r>
      <w:r>
        <w:t>S</w:t>
      </w:r>
      <w:r>
        <w:rPr>
          <w:vertAlign w:val="subscript"/>
        </w:rPr>
        <w:t>2</w:t>
      </w:r>
      <w:r>
        <w:t xml:space="preserve"> be</w:t>
      </w:r>
      <w:r>
        <w:rPr>
          <w:spacing w:val="-1"/>
        </w:rPr>
        <w:t xml:space="preserve"> </w:t>
      </w:r>
      <w:r>
        <w:t>the</w:t>
      </w:r>
      <w:r>
        <w:rPr>
          <w:spacing w:val="-1"/>
        </w:rPr>
        <w:t xml:space="preserve"> </w:t>
      </w:r>
      <w:r>
        <w:t>set</w:t>
      </w:r>
      <w:r>
        <w:rPr>
          <w:spacing w:val="-1"/>
        </w:rPr>
        <w:t xml:space="preserve"> </w:t>
      </w:r>
      <w:r>
        <w:t>containing only the</w:t>
      </w:r>
      <w:r>
        <w:rPr>
          <w:spacing w:val="-1"/>
        </w:rPr>
        <w:t xml:space="preserve"> </w:t>
      </w:r>
      <w:r>
        <w:t xml:space="preserve">following open </w:t>
      </w:r>
      <w:r>
        <w:rPr>
          <w:spacing w:val="-2"/>
        </w:rPr>
        <w:t>sentences:</w:t>
      </w:r>
    </w:p>
    <w:p w14:paraId="7E002AC9" w14:textId="77777777" w:rsidR="009A58DB" w:rsidRDefault="009A58DB">
      <w:pPr>
        <w:pStyle w:val="BodyText"/>
        <w:spacing w:before="89"/>
        <w:ind w:left="0"/>
        <w:jc w:val="left"/>
      </w:pPr>
    </w:p>
    <w:p w14:paraId="7E002ACA" w14:textId="77777777" w:rsidR="009A58DB" w:rsidRDefault="00000000">
      <w:pPr>
        <w:pStyle w:val="ListParagraph"/>
        <w:numPr>
          <w:ilvl w:val="0"/>
          <w:numId w:val="27"/>
        </w:numPr>
        <w:tabs>
          <w:tab w:val="left" w:pos="782"/>
        </w:tabs>
        <w:spacing w:before="1"/>
        <w:ind w:left="782" w:hanging="422"/>
        <w:rPr>
          <w:sz w:val="30"/>
        </w:rPr>
      </w:pPr>
      <w:r>
        <w:rPr>
          <w:sz w:val="30"/>
        </w:rPr>
        <w:t>x</w:t>
      </w:r>
      <w:r>
        <w:rPr>
          <w:spacing w:val="-1"/>
          <w:sz w:val="30"/>
        </w:rPr>
        <w:t xml:space="preserve"> </w:t>
      </w:r>
      <w:r>
        <w:rPr>
          <w:sz w:val="30"/>
        </w:rPr>
        <w:t>is</w:t>
      </w:r>
      <w:r>
        <w:rPr>
          <w:spacing w:val="-1"/>
          <w:sz w:val="30"/>
        </w:rPr>
        <w:t xml:space="preserve"> </w:t>
      </w:r>
      <w:r>
        <w:rPr>
          <w:sz w:val="30"/>
        </w:rPr>
        <w:t>an</w:t>
      </w:r>
      <w:r>
        <w:rPr>
          <w:spacing w:val="-1"/>
          <w:sz w:val="30"/>
        </w:rPr>
        <w:t xml:space="preserve"> </w:t>
      </w:r>
      <w:r>
        <w:rPr>
          <w:sz w:val="30"/>
        </w:rPr>
        <w:t xml:space="preserve">odd </w:t>
      </w:r>
      <w:r>
        <w:rPr>
          <w:spacing w:val="-2"/>
          <w:sz w:val="30"/>
        </w:rPr>
        <w:t>number.</w:t>
      </w:r>
    </w:p>
    <w:p w14:paraId="7E002ACB" w14:textId="77777777" w:rsidR="009A58DB" w:rsidRDefault="00000000">
      <w:pPr>
        <w:pStyle w:val="ListParagraph"/>
        <w:numPr>
          <w:ilvl w:val="0"/>
          <w:numId w:val="27"/>
        </w:numPr>
        <w:tabs>
          <w:tab w:val="left" w:pos="782"/>
        </w:tabs>
        <w:spacing w:before="30"/>
        <w:ind w:left="782" w:hanging="422"/>
        <w:rPr>
          <w:sz w:val="30"/>
        </w:rPr>
      </w:pPr>
      <w:r>
        <w:rPr>
          <w:sz w:val="30"/>
        </w:rPr>
        <w:t>x</w:t>
      </w:r>
      <w:r>
        <w:rPr>
          <w:sz w:val="30"/>
          <w:vertAlign w:val="superscript"/>
        </w:rPr>
        <w:t>2</w:t>
      </w:r>
      <w:r>
        <w:rPr>
          <w:spacing w:val="-17"/>
          <w:sz w:val="30"/>
        </w:rPr>
        <w:t xml:space="preserve"> </w:t>
      </w:r>
      <w:r>
        <w:rPr>
          <w:sz w:val="30"/>
        </w:rPr>
        <w:t>is</w:t>
      </w:r>
      <w:r>
        <w:rPr>
          <w:spacing w:val="2"/>
          <w:sz w:val="30"/>
        </w:rPr>
        <w:t xml:space="preserve"> </w:t>
      </w:r>
      <w:r>
        <w:rPr>
          <w:sz w:val="30"/>
        </w:rPr>
        <w:t>greater</w:t>
      </w:r>
      <w:r>
        <w:rPr>
          <w:spacing w:val="2"/>
          <w:sz w:val="30"/>
        </w:rPr>
        <w:t xml:space="preserve"> </w:t>
      </w:r>
      <w:r>
        <w:rPr>
          <w:sz w:val="30"/>
        </w:rPr>
        <w:t>than</w:t>
      </w:r>
      <w:r>
        <w:rPr>
          <w:spacing w:val="2"/>
          <w:sz w:val="30"/>
        </w:rPr>
        <w:t xml:space="preserve"> </w:t>
      </w:r>
      <w:r>
        <w:rPr>
          <w:spacing w:val="-5"/>
          <w:sz w:val="30"/>
        </w:rPr>
        <w:t>80.</w:t>
      </w:r>
    </w:p>
    <w:p w14:paraId="7E002ACC" w14:textId="77777777" w:rsidR="009A58DB" w:rsidRDefault="00000000">
      <w:pPr>
        <w:pStyle w:val="ListParagraph"/>
        <w:numPr>
          <w:ilvl w:val="0"/>
          <w:numId w:val="27"/>
        </w:numPr>
        <w:tabs>
          <w:tab w:val="left" w:pos="782"/>
        </w:tabs>
        <w:spacing w:before="13"/>
        <w:ind w:left="782" w:hanging="422"/>
        <w:rPr>
          <w:sz w:val="30"/>
        </w:rPr>
      </w:pPr>
      <w:r>
        <w:rPr>
          <w:rFonts w:ascii="Liberation Sans" w:hAnsi="Liberation Sans"/>
          <w:spacing w:val="-2"/>
          <w:sz w:val="30"/>
        </w:rPr>
        <w:t>√</w:t>
      </w:r>
      <w:r>
        <w:rPr>
          <w:spacing w:val="-2"/>
          <w:sz w:val="30"/>
        </w:rPr>
        <w:t>x</w:t>
      </w:r>
      <w:r>
        <w:rPr>
          <w:spacing w:val="-20"/>
          <w:sz w:val="30"/>
        </w:rPr>
        <w:t xml:space="preserve"> </w:t>
      </w:r>
      <w:r>
        <w:rPr>
          <w:spacing w:val="-2"/>
          <w:sz w:val="30"/>
        </w:rPr>
        <w:t>is</w:t>
      </w:r>
      <w:r>
        <w:rPr>
          <w:spacing w:val="-15"/>
          <w:sz w:val="30"/>
        </w:rPr>
        <w:t xml:space="preserve"> </w:t>
      </w:r>
      <w:r>
        <w:rPr>
          <w:spacing w:val="-2"/>
          <w:sz w:val="30"/>
        </w:rPr>
        <w:t>irrational.</w:t>
      </w:r>
    </w:p>
    <w:p w14:paraId="7E002ACD" w14:textId="77777777" w:rsidR="009A58DB" w:rsidRDefault="009A58DB">
      <w:pPr>
        <w:pStyle w:val="BodyText"/>
        <w:spacing w:before="30"/>
        <w:ind w:left="0"/>
        <w:jc w:val="left"/>
      </w:pPr>
    </w:p>
    <w:p w14:paraId="7E002ACE" w14:textId="77777777" w:rsidR="009A58DB" w:rsidRDefault="00000000">
      <w:pPr>
        <w:pStyle w:val="BodyText"/>
        <w:spacing w:line="249" w:lineRule="auto"/>
        <w:ind w:right="362" w:firstLine="360"/>
      </w:pPr>
      <w:r>
        <w:t>If we assign the number nine to x, (1) and (2) come out true; but (3) does not. But if we assign the number 13 to x, (1)–(3) all come out true. (It is assumed that the universe of discourse is the set of numbers. This assumption</w:t>
      </w:r>
    </w:p>
    <w:p w14:paraId="7E002AC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D0" w14:textId="77777777" w:rsidR="009A58DB" w:rsidRDefault="00000000">
      <w:pPr>
        <w:pStyle w:val="BodyText"/>
        <w:spacing w:before="60"/>
      </w:pPr>
      <w:r>
        <w:lastRenderedPageBreak/>
        <w:t>will</w:t>
      </w:r>
      <w:r>
        <w:rPr>
          <w:spacing w:val="-4"/>
        </w:rPr>
        <w:t xml:space="preserve"> </w:t>
      </w:r>
      <w:r>
        <w:t>continue</w:t>
      </w:r>
      <w:r>
        <w:rPr>
          <w:spacing w:val="-3"/>
        </w:rPr>
        <w:t xml:space="preserve"> </w:t>
      </w:r>
      <w:r>
        <w:t>to</w:t>
      </w:r>
      <w:r>
        <w:rPr>
          <w:spacing w:val="-2"/>
        </w:rPr>
        <w:t xml:space="preserve"> </w:t>
      </w:r>
      <w:r>
        <w:t>be</w:t>
      </w:r>
      <w:r>
        <w:rPr>
          <w:spacing w:val="-3"/>
        </w:rPr>
        <w:t xml:space="preserve"> </w:t>
      </w:r>
      <w:r>
        <w:t>made</w:t>
      </w:r>
      <w:r>
        <w:rPr>
          <w:spacing w:val="-3"/>
        </w:rPr>
        <w:t xml:space="preserve"> </w:t>
      </w:r>
      <w:r>
        <w:t>until</w:t>
      </w:r>
      <w:r>
        <w:rPr>
          <w:spacing w:val="-3"/>
        </w:rPr>
        <w:t xml:space="preserve"> </w:t>
      </w:r>
      <w:r>
        <w:t>further</w:t>
      </w:r>
      <w:r>
        <w:rPr>
          <w:spacing w:val="-3"/>
        </w:rPr>
        <w:t xml:space="preserve"> </w:t>
      </w:r>
      <w:r>
        <w:rPr>
          <w:spacing w:val="-2"/>
        </w:rPr>
        <w:t>notice.)</w:t>
      </w:r>
    </w:p>
    <w:p w14:paraId="7E002AD1" w14:textId="77777777" w:rsidR="009A58DB" w:rsidRDefault="00000000">
      <w:pPr>
        <w:pStyle w:val="BodyText"/>
        <w:spacing w:before="20" w:line="249" w:lineRule="auto"/>
        <w:ind w:right="361" w:firstLine="360"/>
      </w:pPr>
      <w:r>
        <w:t xml:space="preserve">An assignment of constants to such a set of open-sentences is an </w:t>
      </w:r>
      <w:r>
        <w:rPr>
          <w:b/>
          <w:i/>
        </w:rPr>
        <w:t>interpretation</w:t>
      </w:r>
      <w:r>
        <w:rPr>
          <w:b/>
          <w:i/>
          <w:spacing w:val="-4"/>
        </w:rPr>
        <w:t xml:space="preserve"> </w:t>
      </w:r>
      <w:r>
        <w:t>of that set. Not all such sets are validated by all interpretations of them, as we just saw.</w:t>
      </w:r>
    </w:p>
    <w:p w14:paraId="7E002AD2" w14:textId="77777777" w:rsidR="009A58DB" w:rsidRDefault="00000000">
      <w:pPr>
        <w:pStyle w:val="BodyText"/>
        <w:spacing w:before="3" w:line="249" w:lineRule="auto"/>
        <w:ind w:right="360" w:firstLine="360"/>
      </w:pPr>
      <w:r>
        <w:t>False interpretations must be distinguished from partial interpretations. A partial interpretation is one that is incomplete but is correct as far as it goes. Let S</w:t>
      </w:r>
      <w:r>
        <w:rPr>
          <w:vertAlign w:val="subscript"/>
        </w:rPr>
        <w:t>3</w:t>
      </w:r>
      <w:r>
        <w:t xml:space="preserve"> be the set containing only the following open-sentences:</w:t>
      </w:r>
    </w:p>
    <w:p w14:paraId="7E002AD3" w14:textId="77777777" w:rsidR="009A58DB" w:rsidRDefault="009A58DB">
      <w:pPr>
        <w:pStyle w:val="BodyText"/>
        <w:spacing w:before="79"/>
        <w:ind w:left="0"/>
        <w:jc w:val="left"/>
      </w:pPr>
    </w:p>
    <w:p w14:paraId="7E002AD4" w14:textId="77777777" w:rsidR="009A58DB" w:rsidRDefault="00000000">
      <w:pPr>
        <w:pStyle w:val="ListParagraph"/>
        <w:numPr>
          <w:ilvl w:val="0"/>
          <w:numId w:val="26"/>
        </w:numPr>
        <w:tabs>
          <w:tab w:val="left" w:pos="782"/>
        </w:tabs>
        <w:ind w:left="782" w:hanging="422"/>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phi.</w:t>
      </w:r>
    </w:p>
    <w:p w14:paraId="7E002AD5" w14:textId="77777777" w:rsidR="009A58DB" w:rsidRDefault="00000000">
      <w:pPr>
        <w:pStyle w:val="ListParagraph"/>
        <w:numPr>
          <w:ilvl w:val="0"/>
          <w:numId w:val="26"/>
        </w:numPr>
        <w:tabs>
          <w:tab w:val="left" w:pos="782"/>
        </w:tabs>
        <w:spacing w:before="15"/>
        <w:ind w:left="782" w:hanging="422"/>
        <w:rPr>
          <w:sz w:val="30"/>
        </w:rPr>
      </w:pPr>
      <w:r>
        <w:rPr>
          <w:sz w:val="30"/>
        </w:rPr>
        <w:t>x</w:t>
      </w:r>
      <w:r>
        <w:rPr>
          <w:spacing w:val="-2"/>
          <w:sz w:val="30"/>
        </w:rPr>
        <w:t xml:space="preserve"> </w:t>
      </w:r>
      <w:r>
        <w:rPr>
          <w:sz w:val="30"/>
        </w:rPr>
        <w:t>is</w:t>
      </w:r>
      <w:r>
        <w:rPr>
          <w:spacing w:val="-3"/>
          <w:sz w:val="30"/>
        </w:rPr>
        <w:t xml:space="preserve"> </w:t>
      </w:r>
      <w:r>
        <w:rPr>
          <w:sz w:val="30"/>
        </w:rPr>
        <w:t>larger</w:t>
      </w:r>
      <w:r>
        <w:rPr>
          <w:spacing w:val="-3"/>
          <w:sz w:val="30"/>
        </w:rPr>
        <w:t xml:space="preserve"> </w:t>
      </w:r>
      <w:r>
        <w:rPr>
          <w:sz w:val="30"/>
        </w:rPr>
        <w:t>than</w:t>
      </w:r>
      <w:r>
        <w:rPr>
          <w:spacing w:val="-1"/>
          <w:sz w:val="30"/>
        </w:rPr>
        <w:t xml:space="preserve"> </w:t>
      </w:r>
      <w:r>
        <w:rPr>
          <w:spacing w:val="-5"/>
          <w:sz w:val="30"/>
        </w:rPr>
        <w:t>y.</w:t>
      </w:r>
    </w:p>
    <w:p w14:paraId="7E002AD6" w14:textId="77777777" w:rsidR="009A58DB" w:rsidRDefault="00000000">
      <w:pPr>
        <w:pStyle w:val="ListParagraph"/>
        <w:numPr>
          <w:ilvl w:val="0"/>
          <w:numId w:val="26"/>
        </w:numPr>
        <w:tabs>
          <w:tab w:val="left" w:pos="782"/>
        </w:tabs>
        <w:spacing w:before="15"/>
        <w:ind w:left="782" w:hanging="422"/>
        <w:rPr>
          <w:sz w:val="30"/>
        </w:rPr>
      </w:pPr>
      <w:r>
        <w:rPr>
          <w:sz w:val="30"/>
        </w:rPr>
        <w:t>y</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phi.</w:t>
      </w:r>
    </w:p>
    <w:p w14:paraId="7E002AD7" w14:textId="77777777" w:rsidR="009A58DB" w:rsidRDefault="00000000">
      <w:pPr>
        <w:pStyle w:val="ListParagraph"/>
        <w:numPr>
          <w:ilvl w:val="0"/>
          <w:numId w:val="26"/>
        </w:numPr>
        <w:tabs>
          <w:tab w:val="left" w:pos="782"/>
        </w:tabs>
        <w:spacing w:before="15"/>
        <w:ind w:left="782" w:hanging="422"/>
        <w:rPr>
          <w:sz w:val="30"/>
        </w:rPr>
      </w:pPr>
      <w:r>
        <w:rPr>
          <w:sz w:val="30"/>
        </w:rPr>
        <w:t>y</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psi.</w:t>
      </w:r>
    </w:p>
    <w:p w14:paraId="7E002AD8" w14:textId="77777777" w:rsidR="009A58DB" w:rsidRDefault="009A58DB">
      <w:pPr>
        <w:pStyle w:val="BodyText"/>
        <w:spacing w:before="30"/>
        <w:ind w:left="0"/>
        <w:jc w:val="left"/>
      </w:pPr>
    </w:p>
    <w:p w14:paraId="7E002AD9" w14:textId="77777777" w:rsidR="009A58DB" w:rsidRDefault="00000000">
      <w:pPr>
        <w:pStyle w:val="BodyText"/>
        <w:spacing w:line="271" w:lineRule="auto"/>
        <w:ind w:right="359"/>
      </w:pPr>
      <w:r>
        <w:t>If we assign the numbers 10 and 8 is to x and y respectively, and the property of being even to “phi,” we’ve partially interpreted S</w:t>
      </w:r>
      <w:r>
        <w:rPr>
          <w:vertAlign w:val="subscript"/>
        </w:rPr>
        <w:t>3</w:t>
      </w:r>
      <w:r>
        <w:t>, since, under that interpretation,</w:t>
      </w:r>
      <w:r>
        <w:rPr>
          <w:spacing w:val="47"/>
        </w:rPr>
        <w:t xml:space="preserve"> </w:t>
      </w:r>
      <w:r>
        <w:t>(1)–(3)</w:t>
      </w:r>
      <w:r>
        <w:rPr>
          <w:spacing w:val="50"/>
        </w:rPr>
        <w:t xml:space="preserve"> </w:t>
      </w:r>
      <w:r>
        <w:t>come</w:t>
      </w:r>
      <w:r>
        <w:rPr>
          <w:spacing w:val="50"/>
        </w:rPr>
        <w:t xml:space="preserve"> </w:t>
      </w:r>
      <w:r>
        <w:t>out</w:t>
      </w:r>
      <w:r>
        <w:rPr>
          <w:spacing w:val="50"/>
        </w:rPr>
        <w:t xml:space="preserve"> </w:t>
      </w:r>
      <w:r>
        <w:t>true.</w:t>
      </w:r>
      <w:r>
        <w:rPr>
          <w:spacing w:val="50"/>
        </w:rPr>
        <w:t xml:space="preserve"> </w:t>
      </w:r>
      <w:r>
        <w:t>But</w:t>
      </w:r>
      <w:r>
        <w:rPr>
          <w:spacing w:val="50"/>
        </w:rPr>
        <w:t xml:space="preserve"> </w:t>
      </w:r>
      <w:r>
        <w:t>since</w:t>
      </w:r>
      <w:r>
        <w:rPr>
          <w:spacing w:val="50"/>
        </w:rPr>
        <w:t xml:space="preserve"> </w:t>
      </w:r>
      <w:r>
        <w:t>we</w:t>
      </w:r>
      <w:r>
        <w:rPr>
          <w:spacing w:val="50"/>
        </w:rPr>
        <w:t xml:space="preserve"> </w:t>
      </w:r>
      <w:r>
        <w:t>haven’t</w:t>
      </w:r>
      <w:r>
        <w:rPr>
          <w:spacing w:val="50"/>
        </w:rPr>
        <w:t xml:space="preserve"> </w:t>
      </w:r>
      <w:r>
        <w:t>yet</w:t>
      </w:r>
      <w:r>
        <w:rPr>
          <w:spacing w:val="50"/>
        </w:rPr>
        <w:t xml:space="preserve"> </w:t>
      </w:r>
      <w:r>
        <w:t>assigned</w:t>
      </w:r>
      <w:r>
        <w:rPr>
          <w:spacing w:val="50"/>
        </w:rPr>
        <w:t xml:space="preserve"> </w:t>
      </w:r>
      <w:r>
        <w:rPr>
          <w:spacing w:val="-10"/>
        </w:rPr>
        <w:t>a</w:t>
      </w:r>
    </w:p>
    <w:p w14:paraId="7E002ADA" w14:textId="77777777" w:rsidR="009A58DB" w:rsidRDefault="00000000">
      <w:pPr>
        <w:pStyle w:val="BodyText"/>
        <w:spacing w:line="316" w:lineRule="exact"/>
      </w:pPr>
      <w:r>
        <w:t>meaning</w:t>
      </w:r>
      <w:r>
        <w:rPr>
          <w:spacing w:val="15"/>
        </w:rPr>
        <w:t xml:space="preserve"> </w:t>
      </w:r>
      <w:r>
        <w:t>to</w:t>
      </w:r>
      <w:r>
        <w:rPr>
          <w:spacing w:val="18"/>
        </w:rPr>
        <w:t xml:space="preserve"> </w:t>
      </w:r>
      <w:r>
        <w:t>“psi,”</w:t>
      </w:r>
      <w:r>
        <w:rPr>
          <w:spacing w:val="18"/>
        </w:rPr>
        <w:t xml:space="preserve"> </w:t>
      </w:r>
      <w:r>
        <w:t>we</w:t>
      </w:r>
      <w:r>
        <w:rPr>
          <w:spacing w:val="18"/>
        </w:rPr>
        <w:t xml:space="preserve"> </w:t>
      </w:r>
      <w:r>
        <w:t>haven’t</w:t>
      </w:r>
      <w:r>
        <w:rPr>
          <w:spacing w:val="18"/>
        </w:rPr>
        <w:t xml:space="preserve"> </w:t>
      </w:r>
      <w:r>
        <w:t>completely</w:t>
      </w:r>
      <w:r>
        <w:rPr>
          <w:spacing w:val="18"/>
        </w:rPr>
        <w:t xml:space="preserve"> </w:t>
      </w:r>
      <w:r>
        <w:t>interpreted</w:t>
      </w:r>
      <w:r>
        <w:rPr>
          <w:spacing w:val="18"/>
        </w:rPr>
        <w:t xml:space="preserve"> </w:t>
      </w:r>
      <w:r>
        <w:t>it.</w:t>
      </w:r>
      <w:r>
        <w:rPr>
          <w:spacing w:val="18"/>
        </w:rPr>
        <w:t xml:space="preserve"> </w:t>
      </w:r>
      <w:r>
        <w:t>We</w:t>
      </w:r>
      <w:r>
        <w:rPr>
          <w:spacing w:val="17"/>
        </w:rPr>
        <w:t xml:space="preserve"> </w:t>
      </w:r>
      <w:r>
        <w:rPr>
          <w:i/>
        </w:rPr>
        <w:t>have</w:t>
      </w:r>
      <w:r>
        <w:rPr>
          <w:i/>
          <w:spacing w:val="12"/>
        </w:rPr>
        <w:t xml:space="preserve"> </w:t>
      </w:r>
      <w:r>
        <w:rPr>
          <w:spacing w:val="-2"/>
        </w:rPr>
        <w:t>completely</w:t>
      </w:r>
    </w:p>
    <w:p w14:paraId="7E002ADB" w14:textId="77777777" w:rsidR="009A58DB" w:rsidRDefault="00000000">
      <w:pPr>
        <w:pStyle w:val="BodyText"/>
        <w:spacing w:before="15" w:line="249" w:lineRule="auto"/>
        <w:ind w:right="358"/>
      </w:pPr>
      <w:r>
        <w:t>interpreted that set of open sentences if we make the further stipulation that for a thing to be a psi is for it to have the property of being less than 9. In</w:t>
      </w:r>
      <w:r>
        <w:rPr>
          <w:spacing w:val="40"/>
        </w:rPr>
        <w:t xml:space="preserve"> </w:t>
      </w:r>
      <w:r>
        <w:t>fact, supposing that we make that additional stipulation, we have provided a complete interpretation of them that validates them. If we had instead stipulated that for a thing to be a psi is for it to be less than 5, we would have provided a complete interpretation of those open sentences that failed to validate them.</w:t>
      </w:r>
    </w:p>
    <w:p w14:paraId="7E002ADC" w14:textId="77777777" w:rsidR="009A58DB" w:rsidRDefault="00000000">
      <w:pPr>
        <w:pStyle w:val="BodyText"/>
        <w:spacing w:before="9"/>
        <w:ind w:left="720"/>
      </w:pPr>
      <w:r>
        <w:t>Oftentimes,</w:t>
      </w:r>
      <w:r>
        <w:rPr>
          <w:spacing w:val="28"/>
        </w:rPr>
        <w:t xml:space="preserve"> </w:t>
      </w:r>
      <w:r>
        <w:t>the</w:t>
      </w:r>
      <w:r>
        <w:rPr>
          <w:spacing w:val="29"/>
        </w:rPr>
        <w:t xml:space="preserve"> </w:t>
      </w:r>
      <w:r>
        <w:t>interpretations</w:t>
      </w:r>
      <w:r>
        <w:rPr>
          <w:spacing w:val="28"/>
        </w:rPr>
        <w:t xml:space="preserve"> </w:t>
      </w:r>
      <w:r>
        <w:t>that</w:t>
      </w:r>
      <w:r>
        <w:rPr>
          <w:spacing w:val="29"/>
        </w:rPr>
        <w:t xml:space="preserve"> </w:t>
      </w:r>
      <w:r>
        <w:t>are</w:t>
      </w:r>
      <w:r>
        <w:rPr>
          <w:spacing w:val="28"/>
        </w:rPr>
        <w:t xml:space="preserve"> </w:t>
      </w:r>
      <w:r>
        <w:t>of</w:t>
      </w:r>
      <w:r>
        <w:rPr>
          <w:spacing w:val="29"/>
        </w:rPr>
        <w:t xml:space="preserve"> </w:t>
      </w:r>
      <w:r>
        <w:t>interest</w:t>
      </w:r>
      <w:r>
        <w:rPr>
          <w:spacing w:val="28"/>
        </w:rPr>
        <w:t xml:space="preserve"> </w:t>
      </w:r>
      <w:r>
        <w:t>are</w:t>
      </w:r>
      <w:r>
        <w:rPr>
          <w:spacing w:val="29"/>
        </w:rPr>
        <w:t xml:space="preserve"> </w:t>
      </w:r>
      <w:r>
        <w:t>very</w:t>
      </w:r>
      <w:r>
        <w:rPr>
          <w:spacing w:val="28"/>
        </w:rPr>
        <w:t xml:space="preserve"> </w:t>
      </w:r>
      <w:r>
        <w:t>abstract</w:t>
      </w:r>
      <w:r>
        <w:rPr>
          <w:spacing w:val="29"/>
        </w:rPr>
        <w:t xml:space="preserve"> </w:t>
      </w:r>
      <w:r>
        <w:rPr>
          <w:spacing w:val="-2"/>
        </w:rPr>
        <w:t>ones.</w:t>
      </w:r>
    </w:p>
    <w:p w14:paraId="7E002ADD" w14:textId="77777777" w:rsidR="009A58DB" w:rsidRDefault="00000000">
      <w:pPr>
        <w:pStyle w:val="BodyText"/>
        <w:spacing w:before="15"/>
      </w:pPr>
      <w:r>
        <w:t>Let</w:t>
      </w:r>
      <w:r>
        <w:rPr>
          <w:spacing w:val="-2"/>
        </w:rPr>
        <w:t xml:space="preserve"> </w:t>
      </w:r>
      <w:r>
        <w:t>S</w:t>
      </w:r>
      <w:r>
        <w:rPr>
          <w:vertAlign w:val="subscript"/>
        </w:rPr>
        <w:t>4</w:t>
      </w:r>
      <w:r>
        <w:t xml:space="preserve"> be</w:t>
      </w:r>
      <w:r>
        <w:rPr>
          <w:spacing w:val="-1"/>
        </w:rPr>
        <w:t xml:space="preserve"> </w:t>
      </w:r>
      <w:r>
        <w:t>the</w:t>
      </w:r>
      <w:r>
        <w:rPr>
          <w:spacing w:val="-1"/>
        </w:rPr>
        <w:t xml:space="preserve"> </w:t>
      </w:r>
      <w:r>
        <w:t>set</w:t>
      </w:r>
      <w:r>
        <w:rPr>
          <w:spacing w:val="-1"/>
        </w:rPr>
        <w:t xml:space="preserve"> </w:t>
      </w:r>
      <w:r>
        <w:t>containing just</w:t>
      </w:r>
      <w:r>
        <w:rPr>
          <w:spacing w:val="-1"/>
        </w:rPr>
        <w:t xml:space="preserve"> </w:t>
      </w:r>
      <w:r>
        <w:t>the</w:t>
      </w:r>
      <w:r>
        <w:rPr>
          <w:spacing w:val="-1"/>
        </w:rPr>
        <w:t xml:space="preserve"> </w:t>
      </w:r>
      <w:r>
        <w:t>following</w:t>
      </w:r>
      <w:r>
        <w:rPr>
          <w:spacing w:val="-1"/>
        </w:rPr>
        <w:t xml:space="preserve"> </w:t>
      </w:r>
      <w:r>
        <w:t>open-</w:t>
      </w:r>
      <w:r>
        <w:rPr>
          <w:spacing w:val="-2"/>
        </w:rPr>
        <w:t>sentences:</w:t>
      </w:r>
    </w:p>
    <w:p w14:paraId="7E002ADE" w14:textId="77777777" w:rsidR="009A58DB" w:rsidRDefault="009A58DB">
      <w:pPr>
        <w:pStyle w:val="BodyText"/>
        <w:spacing w:before="90"/>
        <w:ind w:left="0"/>
        <w:jc w:val="left"/>
      </w:pPr>
    </w:p>
    <w:p w14:paraId="7E002ADF" w14:textId="77777777" w:rsidR="009A58DB" w:rsidRDefault="00000000">
      <w:pPr>
        <w:pStyle w:val="ListParagraph"/>
        <w:numPr>
          <w:ilvl w:val="0"/>
          <w:numId w:val="25"/>
        </w:numPr>
        <w:tabs>
          <w:tab w:val="left" w:pos="782"/>
        </w:tabs>
        <w:ind w:left="782" w:hanging="422"/>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phi.</w:t>
      </w:r>
    </w:p>
    <w:p w14:paraId="7E002AE0" w14:textId="77777777" w:rsidR="009A58DB" w:rsidRDefault="00000000">
      <w:pPr>
        <w:pStyle w:val="ListParagraph"/>
        <w:numPr>
          <w:ilvl w:val="0"/>
          <w:numId w:val="25"/>
        </w:numPr>
        <w:tabs>
          <w:tab w:val="left" w:pos="782"/>
        </w:tabs>
        <w:spacing w:before="15"/>
        <w:ind w:left="782" w:hanging="422"/>
        <w:rPr>
          <w:sz w:val="30"/>
        </w:rPr>
      </w:pPr>
      <w:r>
        <w:rPr>
          <w:sz w:val="30"/>
        </w:rPr>
        <w:t>x</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y.</w:t>
      </w:r>
    </w:p>
    <w:p w14:paraId="7E002AE1" w14:textId="77777777" w:rsidR="009A58DB" w:rsidRDefault="00000000">
      <w:pPr>
        <w:pStyle w:val="ListParagraph"/>
        <w:numPr>
          <w:ilvl w:val="0"/>
          <w:numId w:val="25"/>
        </w:numPr>
        <w:tabs>
          <w:tab w:val="left" w:pos="782"/>
        </w:tabs>
        <w:spacing w:before="15"/>
        <w:ind w:left="782" w:hanging="422"/>
        <w:rPr>
          <w:sz w:val="30"/>
        </w:rPr>
      </w:pPr>
      <w:r>
        <w:rPr>
          <w:sz w:val="30"/>
        </w:rPr>
        <w:t>y</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psi.</w:t>
      </w:r>
    </w:p>
    <w:p w14:paraId="7E002AE2" w14:textId="77777777" w:rsidR="009A58DB" w:rsidRDefault="00000000">
      <w:pPr>
        <w:pStyle w:val="ListParagraph"/>
        <w:numPr>
          <w:ilvl w:val="0"/>
          <w:numId w:val="24"/>
        </w:numPr>
        <w:tabs>
          <w:tab w:val="left" w:pos="782"/>
        </w:tabs>
        <w:spacing w:before="15"/>
        <w:ind w:left="782" w:hanging="422"/>
        <w:rPr>
          <w:sz w:val="30"/>
        </w:rPr>
      </w:pPr>
      <w:r>
        <w:rPr>
          <w:sz w:val="30"/>
        </w:rPr>
        <w:t>R</w:t>
      </w:r>
      <w:r>
        <w:rPr>
          <w:spacing w:val="-4"/>
          <w:sz w:val="30"/>
        </w:rPr>
        <w:t xml:space="preserve"> </w:t>
      </w:r>
      <w:r>
        <w:rPr>
          <w:sz w:val="30"/>
        </w:rPr>
        <w:t>is</w:t>
      </w:r>
      <w:r>
        <w:rPr>
          <w:spacing w:val="-3"/>
          <w:sz w:val="30"/>
        </w:rPr>
        <w:t xml:space="preserve"> </w:t>
      </w:r>
      <w:r>
        <w:rPr>
          <w:sz w:val="30"/>
        </w:rPr>
        <w:t>“reflexive”</w:t>
      </w:r>
      <w:r>
        <w:rPr>
          <w:spacing w:val="-3"/>
          <w:sz w:val="30"/>
        </w:rPr>
        <w:t xml:space="preserve"> </w:t>
      </w:r>
      <w:r>
        <w:rPr>
          <w:sz w:val="30"/>
        </w:rPr>
        <w:t>(any</w:t>
      </w:r>
      <w:r>
        <w:rPr>
          <w:spacing w:val="-2"/>
          <w:sz w:val="30"/>
        </w:rPr>
        <w:t xml:space="preserve"> </w:t>
      </w:r>
      <w:r>
        <w:rPr>
          <w:sz w:val="30"/>
        </w:rPr>
        <w:t>given</w:t>
      </w:r>
      <w:r>
        <w:rPr>
          <w:spacing w:val="-2"/>
          <w:sz w:val="30"/>
        </w:rPr>
        <w:t xml:space="preserve"> </w:t>
      </w:r>
      <w:r>
        <w:rPr>
          <w:sz w:val="30"/>
        </w:rPr>
        <w:t>thing</w:t>
      </w:r>
      <w:r>
        <w:rPr>
          <w:spacing w:val="-2"/>
          <w:sz w:val="30"/>
        </w:rPr>
        <w:t xml:space="preserve"> </w:t>
      </w:r>
      <w:r>
        <w:rPr>
          <w:sz w:val="30"/>
        </w:rPr>
        <w:t>bears</w:t>
      </w:r>
      <w:r>
        <w:rPr>
          <w:spacing w:val="-3"/>
          <w:sz w:val="30"/>
        </w:rPr>
        <w:t xml:space="preserve"> </w:t>
      </w:r>
      <w:r>
        <w:rPr>
          <w:sz w:val="30"/>
        </w:rPr>
        <w:t>R</w:t>
      </w:r>
      <w:r>
        <w:rPr>
          <w:spacing w:val="-3"/>
          <w:sz w:val="30"/>
        </w:rPr>
        <w:t xml:space="preserve"> </w:t>
      </w:r>
      <w:r>
        <w:rPr>
          <w:sz w:val="30"/>
        </w:rPr>
        <w:t>to</w:t>
      </w:r>
      <w:r>
        <w:rPr>
          <w:spacing w:val="-2"/>
          <w:sz w:val="30"/>
        </w:rPr>
        <w:t xml:space="preserve"> itself).</w:t>
      </w:r>
    </w:p>
    <w:p w14:paraId="7E002AE3" w14:textId="77777777" w:rsidR="009A58DB" w:rsidRDefault="00000000">
      <w:pPr>
        <w:pStyle w:val="ListParagraph"/>
        <w:numPr>
          <w:ilvl w:val="0"/>
          <w:numId w:val="24"/>
        </w:numPr>
        <w:tabs>
          <w:tab w:val="left" w:pos="782"/>
        </w:tabs>
        <w:spacing w:before="15"/>
        <w:ind w:left="782" w:hanging="422"/>
        <w:rPr>
          <w:sz w:val="30"/>
        </w:rPr>
      </w:pPr>
      <w:r>
        <w:rPr>
          <w:sz w:val="30"/>
        </w:rPr>
        <w:t>y</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z.</w:t>
      </w:r>
    </w:p>
    <w:p w14:paraId="7E002AE4" w14:textId="77777777" w:rsidR="009A58DB" w:rsidRDefault="00000000">
      <w:pPr>
        <w:pStyle w:val="ListParagraph"/>
        <w:numPr>
          <w:ilvl w:val="0"/>
          <w:numId w:val="24"/>
        </w:numPr>
        <w:tabs>
          <w:tab w:val="left" w:pos="782"/>
        </w:tabs>
        <w:spacing w:before="15"/>
        <w:ind w:left="782" w:hanging="422"/>
        <w:rPr>
          <w:sz w:val="30"/>
        </w:rPr>
      </w:pPr>
      <w:r>
        <w:rPr>
          <w:sz w:val="30"/>
        </w:rPr>
        <w:t>z</w:t>
      </w:r>
      <w:r>
        <w:rPr>
          <w:spacing w:val="-4"/>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phi.</w:t>
      </w:r>
    </w:p>
    <w:p w14:paraId="7E002AE5" w14:textId="77777777" w:rsidR="009A58DB" w:rsidRDefault="00000000">
      <w:pPr>
        <w:pStyle w:val="ListParagraph"/>
        <w:numPr>
          <w:ilvl w:val="0"/>
          <w:numId w:val="24"/>
        </w:numPr>
        <w:tabs>
          <w:tab w:val="left" w:pos="782"/>
        </w:tabs>
        <w:spacing w:before="15"/>
        <w:ind w:left="782" w:hanging="422"/>
        <w:rPr>
          <w:sz w:val="30"/>
        </w:rPr>
      </w:pPr>
      <w:r>
        <w:rPr>
          <w:sz w:val="30"/>
        </w:rPr>
        <w:t>R</w:t>
      </w:r>
      <w:r>
        <w:rPr>
          <w:spacing w:val="-5"/>
          <w:sz w:val="30"/>
        </w:rPr>
        <w:t xml:space="preserve"> </w:t>
      </w:r>
      <w:r>
        <w:rPr>
          <w:sz w:val="30"/>
        </w:rPr>
        <w:t>is</w:t>
      </w:r>
      <w:r>
        <w:rPr>
          <w:spacing w:val="-3"/>
          <w:sz w:val="30"/>
        </w:rPr>
        <w:t xml:space="preserve"> </w:t>
      </w:r>
      <w:r>
        <w:rPr>
          <w:sz w:val="30"/>
        </w:rPr>
        <w:t>“transitive”</w:t>
      </w:r>
      <w:r>
        <w:rPr>
          <w:spacing w:val="-2"/>
          <w:sz w:val="30"/>
        </w:rPr>
        <w:t xml:space="preserve"> </w:t>
      </w:r>
      <w:r>
        <w:rPr>
          <w:sz w:val="30"/>
        </w:rPr>
        <w:t>(if</w:t>
      </w:r>
      <w:r>
        <w:rPr>
          <w:spacing w:val="-3"/>
          <w:sz w:val="30"/>
        </w:rPr>
        <w:t xml:space="preserve"> </w:t>
      </w:r>
      <w:r>
        <w:rPr>
          <w:sz w:val="30"/>
        </w:rPr>
        <w:t>a</w:t>
      </w:r>
      <w:r>
        <w:rPr>
          <w:spacing w:val="-2"/>
          <w:sz w:val="30"/>
        </w:rPr>
        <w:t xml:space="preserve"> </w:t>
      </w:r>
      <w:r>
        <w:rPr>
          <w:sz w:val="30"/>
        </w:rPr>
        <w:t>bears</w:t>
      </w:r>
      <w:r>
        <w:rPr>
          <w:spacing w:val="-3"/>
          <w:sz w:val="30"/>
        </w:rPr>
        <w:t xml:space="preserve"> </w:t>
      </w:r>
      <w:r>
        <w:rPr>
          <w:sz w:val="30"/>
        </w:rPr>
        <w:t>it</w:t>
      </w:r>
      <w:r>
        <w:rPr>
          <w:spacing w:val="-2"/>
          <w:sz w:val="30"/>
        </w:rPr>
        <w:t xml:space="preserve"> </w:t>
      </w:r>
      <w:r>
        <w:rPr>
          <w:sz w:val="30"/>
        </w:rPr>
        <w:t>to</w:t>
      </w:r>
      <w:r>
        <w:rPr>
          <w:spacing w:val="-2"/>
          <w:sz w:val="30"/>
        </w:rPr>
        <w:t xml:space="preserve"> </w:t>
      </w:r>
      <w:r>
        <w:rPr>
          <w:sz w:val="30"/>
        </w:rPr>
        <w:t>b,</w:t>
      </w:r>
      <w:r>
        <w:rPr>
          <w:spacing w:val="-1"/>
          <w:sz w:val="30"/>
        </w:rPr>
        <w:t xml:space="preserve"> </w:t>
      </w:r>
      <w:r>
        <w:rPr>
          <w:sz w:val="30"/>
        </w:rPr>
        <w:t>and</w:t>
      </w:r>
      <w:r>
        <w:rPr>
          <w:spacing w:val="-2"/>
          <w:sz w:val="30"/>
        </w:rPr>
        <w:t xml:space="preserve"> </w:t>
      </w:r>
      <w:r>
        <w:rPr>
          <w:sz w:val="30"/>
        </w:rPr>
        <w:t>b</w:t>
      </w:r>
      <w:r>
        <w:rPr>
          <w:spacing w:val="-2"/>
          <w:sz w:val="30"/>
        </w:rPr>
        <w:t xml:space="preserve"> </w:t>
      </w:r>
      <w:r>
        <w:rPr>
          <w:sz w:val="30"/>
        </w:rPr>
        <w:t>bears</w:t>
      </w:r>
      <w:r>
        <w:rPr>
          <w:spacing w:val="-2"/>
          <w:sz w:val="30"/>
        </w:rPr>
        <w:t xml:space="preserve"> </w:t>
      </w:r>
      <w:r>
        <w:rPr>
          <w:sz w:val="30"/>
        </w:rPr>
        <w:t>it</w:t>
      </w:r>
      <w:r>
        <w:rPr>
          <w:spacing w:val="-3"/>
          <w:sz w:val="30"/>
        </w:rPr>
        <w:t xml:space="preserve"> </w:t>
      </w:r>
      <w:r>
        <w:rPr>
          <w:sz w:val="30"/>
        </w:rPr>
        <w:t>to</w:t>
      </w:r>
      <w:r>
        <w:rPr>
          <w:spacing w:val="-1"/>
          <w:sz w:val="30"/>
        </w:rPr>
        <w:t xml:space="preserve"> </w:t>
      </w:r>
      <w:r>
        <w:rPr>
          <w:sz w:val="30"/>
        </w:rPr>
        <w:t>c,</w:t>
      </w:r>
      <w:r>
        <w:rPr>
          <w:spacing w:val="-2"/>
          <w:sz w:val="30"/>
        </w:rPr>
        <w:t xml:space="preserve"> </w:t>
      </w:r>
      <w:r>
        <w:rPr>
          <w:sz w:val="30"/>
        </w:rPr>
        <w:t>then</w:t>
      </w:r>
      <w:r>
        <w:rPr>
          <w:spacing w:val="-1"/>
          <w:sz w:val="30"/>
        </w:rPr>
        <w:t xml:space="preserve"> </w:t>
      </w:r>
      <w:r>
        <w:rPr>
          <w:sz w:val="30"/>
        </w:rPr>
        <w:t>a</w:t>
      </w:r>
      <w:r>
        <w:rPr>
          <w:spacing w:val="-3"/>
          <w:sz w:val="30"/>
        </w:rPr>
        <w:t xml:space="preserve"> </w:t>
      </w:r>
      <w:r>
        <w:rPr>
          <w:sz w:val="30"/>
        </w:rPr>
        <w:t>bears</w:t>
      </w:r>
      <w:r>
        <w:rPr>
          <w:spacing w:val="-2"/>
          <w:sz w:val="30"/>
        </w:rPr>
        <w:t xml:space="preserve"> </w:t>
      </w:r>
      <w:r>
        <w:rPr>
          <w:sz w:val="30"/>
        </w:rPr>
        <w:t>it</w:t>
      </w:r>
      <w:r>
        <w:rPr>
          <w:spacing w:val="-3"/>
          <w:sz w:val="30"/>
        </w:rPr>
        <w:t xml:space="preserve"> </w:t>
      </w:r>
      <w:r>
        <w:rPr>
          <w:sz w:val="30"/>
        </w:rPr>
        <w:t>to</w:t>
      </w:r>
      <w:r>
        <w:rPr>
          <w:spacing w:val="-1"/>
          <w:sz w:val="30"/>
        </w:rPr>
        <w:t xml:space="preserve"> </w:t>
      </w:r>
      <w:r>
        <w:rPr>
          <w:spacing w:val="-5"/>
          <w:sz w:val="30"/>
        </w:rPr>
        <w:t>c).</w:t>
      </w:r>
    </w:p>
    <w:p w14:paraId="7E002AE6"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AE7" w14:textId="77777777" w:rsidR="009A58DB" w:rsidRDefault="00000000">
      <w:pPr>
        <w:pStyle w:val="BodyText"/>
        <w:spacing w:before="65" w:line="271" w:lineRule="auto"/>
        <w:ind w:right="371"/>
      </w:pPr>
      <w:r>
        <w:lastRenderedPageBreak/>
        <w:t>Here’s an interpretation of S</w:t>
      </w:r>
      <w:r>
        <w:rPr>
          <w:vertAlign w:val="subscript"/>
        </w:rPr>
        <w:t>4</w:t>
      </w:r>
      <w:r>
        <w:t>. x, y, and z are, respectively, the numbers two, three, and four. Phi and psi, respectively, are the properties of being even and odd. R is the less relation of being less than or equal to. y is the number.</w:t>
      </w:r>
    </w:p>
    <w:p w14:paraId="7E002AE8" w14:textId="77777777" w:rsidR="009A58DB" w:rsidRDefault="00000000">
      <w:pPr>
        <w:pStyle w:val="BodyText"/>
        <w:spacing w:line="316" w:lineRule="exact"/>
        <w:ind w:left="720"/>
      </w:pPr>
      <w:r>
        <w:t>Question:</w:t>
      </w:r>
      <w:r>
        <w:rPr>
          <w:spacing w:val="9"/>
        </w:rPr>
        <w:t xml:space="preserve"> </w:t>
      </w:r>
      <w:r>
        <w:t>Does</w:t>
      </w:r>
      <w:r>
        <w:rPr>
          <w:spacing w:val="10"/>
        </w:rPr>
        <w:t xml:space="preserve"> </w:t>
      </w:r>
      <w:r>
        <w:t>the</w:t>
      </w:r>
      <w:r>
        <w:rPr>
          <w:spacing w:val="10"/>
        </w:rPr>
        <w:t xml:space="preserve"> </w:t>
      </w:r>
      <w:r>
        <w:t>following</w:t>
      </w:r>
      <w:r>
        <w:rPr>
          <w:spacing w:val="10"/>
        </w:rPr>
        <w:t xml:space="preserve"> </w:t>
      </w:r>
      <w:r>
        <w:t>set</w:t>
      </w:r>
      <w:r>
        <w:rPr>
          <w:spacing w:val="11"/>
        </w:rPr>
        <w:t xml:space="preserve"> </w:t>
      </w:r>
      <w:r>
        <w:t>(S</w:t>
      </w:r>
      <w:r>
        <w:rPr>
          <w:vertAlign w:val="subscript"/>
        </w:rPr>
        <w:t>5</w:t>
      </w:r>
      <w:r>
        <w:t>)</w:t>
      </w:r>
      <w:r>
        <w:rPr>
          <w:spacing w:val="13"/>
        </w:rPr>
        <w:t xml:space="preserve"> </w:t>
      </w:r>
      <w:r>
        <w:t>have</w:t>
      </w:r>
      <w:r>
        <w:rPr>
          <w:spacing w:val="13"/>
        </w:rPr>
        <w:t xml:space="preserve"> </w:t>
      </w:r>
      <w:r>
        <w:t>an</w:t>
      </w:r>
      <w:r>
        <w:rPr>
          <w:spacing w:val="14"/>
        </w:rPr>
        <w:t xml:space="preserve"> </w:t>
      </w:r>
      <w:r>
        <w:t>interpretation</w:t>
      </w:r>
      <w:r>
        <w:rPr>
          <w:spacing w:val="14"/>
        </w:rPr>
        <w:t xml:space="preserve"> </w:t>
      </w:r>
      <w:r>
        <w:t>that</w:t>
      </w:r>
      <w:r>
        <w:rPr>
          <w:spacing w:val="12"/>
        </w:rPr>
        <w:t xml:space="preserve"> </w:t>
      </w:r>
      <w:r>
        <w:rPr>
          <w:spacing w:val="-2"/>
        </w:rPr>
        <w:t>validates</w:t>
      </w:r>
    </w:p>
    <w:p w14:paraId="7E002AE9" w14:textId="77777777" w:rsidR="009A58DB" w:rsidRDefault="00000000">
      <w:pPr>
        <w:pStyle w:val="BodyText"/>
        <w:spacing w:before="75"/>
        <w:ind w:left="720"/>
      </w:pPr>
      <w:r>
        <w:t>it?</w:t>
      </w:r>
      <w:r>
        <w:rPr>
          <w:spacing w:val="-3"/>
        </w:rPr>
        <w:t xml:space="preserve"> </w:t>
      </w:r>
      <w:r>
        <w:t>If</w:t>
      </w:r>
      <w:r>
        <w:rPr>
          <w:spacing w:val="-2"/>
        </w:rPr>
        <w:t xml:space="preserve"> </w:t>
      </w:r>
      <w:r>
        <w:t>so,</w:t>
      </w:r>
      <w:r>
        <w:rPr>
          <w:spacing w:val="-2"/>
        </w:rPr>
        <w:t xml:space="preserve"> </w:t>
      </w:r>
      <w:r>
        <w:t>what</w:t>
      </w:r>
      <w:r>
        <w:rPr>
          <w:spacing w:val="-2"/>
        </w:rPr>
        <w:t xml:space="preserve"> </w:t>
      </w:r>
      <w:r>
        <w:t>is</w:t>
      </w:r>
      <w:r>
        <w:rPr>
          <w:spacing w:val="-2"/>
        </w:rPr>
        <w:t xml:space="preserve"> </w:t>
      </w:r>
      <w:r>
        <w:rPr>
          <w:spacing w:val="-5"/>
        </w:rPr>
        <w:t>it?</w:t>
      </w:r>
    </w:p>
    <w:p w14:paraId="7E002AEA" w14:textId="77777777" w:rsidR="009A58DB" w:rsidRDefault="009A58DB">
      <w:pPr>
        <w:pStyle w:val="BodyText"/>
        <w:spacing w:before="30"/>
        <w:ind w:left="0"/>
        <w:jc w:val="left"/>
      </w:pPr>
    </w:p>
    <w:p w14:paraId="7E002AEB" w14:textId="77777777" w:rsidR="009A58DB" w:rsidRDefault="00000000">
      <w:pPr>
        <w:pStyle w:val="ListParagraph"/>
        <w:numPr>
          <w:ilvl w:val="0"/>
          <w:numId w:val="23"/>
        </w:numPr>
        <w:tabs>
          <w:tab w:val="left" w:pos="782"/>
        </w:tabs>
        <w:ind w:left="782" w:hanging="422"/>
        <w:rPr>
          <w:sz w:val="30"/>
        </w:rPr>
      </w:pPr>
      <w:r>
        <w:rPr>
          <w:sz w:val="30"/>
        </w:rPr>
        <w:t>x</w:t>
      </w:r>
      <w:r>
        <w:rPr>
          <w:spacing w:val="-1"/>
          <w:sz w:val="30"/>
        </w:rPr>
        <w:t xml:space="preserve"> </w:t>
      </w:r>
      <w:r>
        <w:rPr>
          <w:sz w:val="30"/>
        </w:rPr>
        <w:t>is</w:t>
      </w:r>
      <w:r>
        <w:rPr>
          <w:spacing w:val="-1"/>
          <w:sz w:val="30"/>
        </w:rPr>
        <w:t xml:space="preserve"> </w:t>
      </w:r>
      <w:r>
        <w:rPr>
          <w:sz w:val="30"/>
        </w:rPr>
        <w:t>a</w:t>
      </w:r>
      <w:r>
        <w:rPr>
          <w:spacing w:val="-1"/>
          <w:sz w:val="30"/>
        </w:rPr>
        <w:t xml:space="preserve"> </w:t>
      </w:r>
      <w:r>
        <w:rPr>
          <w:spacing w:val="-4"/>
          <w:sz w:val="30"/>
        </w:rPr>
        <w:t>phi.</w:t>
      </w:r>
    </w:p>
    <w:p w14:paraId="7E002AEC" w14:textId="77777777" w:rsidR="009A58DB" w:rsidRDefault="00000000">
      <w:pPr>
        <w:pStyle w:val="ListParagraph"/>
        <w:numPr>
          <w:ilvl w:val="0"/>
          <w:numId w:val="23"/>
        </w:numPr>
        <w:tabs>
          <w:tab w:val="left" w:pos="782"/>
        </w:tabs>
        <w:spacing w:before="15"/>
        <w:ind w:left="782" w:hanging="422"/>
        <w:rPr>
          <w:sz w:val="30"/>
        </w:rPr>
      </w:pPr>
      <w:r>
        <w:rPr>
          <w:sz w:val="30"/>
        </w:rPr>
        <w:t>x</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y.</w:t>
      </w:r>
    </w:p>
    <w:p w14:paraId="7E002AED" w14:textId="77777777" w:rsidR="009A58DB" w:rsidRDefault="00000000">
      <w:pPr>
        <w:pStyle w:val="ListParagraph"/>
        <w:numPr>
          <w:ilvl w:val="0"/>
          <w:numId w:val="23"/>
        </w:numPr>
        <w:tabs>
          <w:tab w:val="left" w:pos="782"/>
        </w:tabs>
        <w:spacing w:before="15"/>
        <w:ind w:left="782" w:hanging="422"/>
        <w:rPr>
          <w:sz w:val="30"/>
        </w:rPr>
      </w:pPr>
      <w:r>
        <w:rPr>
          <w:sz w:val="30"/>
        </w:rPr>
        <w:t>Anything</w:t>
      </w:r>
      <w:r>
        <w:rPr>
          <w:spacing w:val="-4"/>
          <w:sz w:val="30"/>
        </w:rPr>
        <w:t xml:space="preserve"> </w:t>
      </w:r>
      <w:r>
        <w:rPr>
          <w:sz w:val="30"/>
        </w:rPr>
        <w:t>that</w:t>
      </w:r>
      <w:r>
        <w:rPr>
          <w:spacing w:val="-3"/>
          <w:sz w:val="30"/>
        </w:rPr>
        <w:t xml:space="preserve"> </w:t>
      </w:r>
      <w:r>
        <w:rPr>
          <w:sz w:val="30"/>
        </w:rPr>
        <w:t>bears</w:t>
      </w:r>
      <w:r>
        <w:rPr>
          <w:spacing w:val="-3"/>
          <w:sz w:val="30"/>
        </w:rPr>
        <w:t xml:space="preserve"> </w:t>
      </w:r>
      <w:r>
        <w:rPr>
          <w:sz w:val="30"/>
        </w:rPr>
        <w:t>R</w:t>
      </w:r>
      <w:r>
        <w:rPr>
          <w:spacing w:val="-3"/>
          <w:sz w:val="30"/>
        </w:rPr>
        <w:t xml:space="preserve"> </w:t>
      </w:r>
      <w:r>
        <w:rPr>
          <w:sz w:val="30"/>
        </w:rPr>
        <w:t>to</w:t>
      </w:r>
      <w:r>
        <w:rPr>
          <w:spacing w:val="-1"/>
          <w:sz w:val="30"/>
        </w:rPr>
        <w:t xml:space="preserve"> </w:t>
      </w:r>
      <w:r>
        <w:rPr>
          <w:sz w:val="30"/>
        </w:rPr>
        <w:t>anything</w:t>
      </w:r>
      <w:r>
        <w:rPr>
          <w:spacing w:val="-2"/>
          <w:sz w:val="30"/>
        </w:rPr>
        <w:t xml:space="preserve"> </w:t>
      </w:r>
      <w:r>
        <w:rPr>
          <w:sz w:val="30"/>
        </w:rPr>
        <w:t>bears</w:t>
      </w:r>
      <w:r>
        <w:rPr>
          <w:spacing w:val="-3"/>
          <w:sz w:val="30"/>
        </w:rPr>
        <w:t xml:space="preserve"> </w:t>
      </w:r>
      <w:r>
        <w:rPr>
          <w:sz w:val="30"/>
        </w:rPr>
        <w:t>R</w:t>
      </w:r>
      <w:r>
        <w:rPr>
          <w:spacing w:val="-3"/>
          <w:sz w:val="30"/>
        </w:rPr>
        <w:t xml:space="preserve"> </w:t>
      </w:r>
      <w:r>
        <w:rPr>
          <w:sz w:val="30"/>
        </w:rPr>
        <w:t>to</w:t>
      </w:r>
      <w:r>
        <w:rPr>
          <w:spacing w:val="-1"/>
          <w:sz w:val="30"/>
        </w:rPr>
        <w:t xml:space="preserve"> </w:t>
      </w:r>
      <w:r>
        <w:rPr>
          <w:spacing w:val="-2"/>
          <w:sz w:val="30"/>
        </w:rPr>
        <w:t>itself.</w:t>
      </w:r>
    </w:p>
    <w:p w14:paraId="7E002AEE" w14:textId="77777777" w:rsidR="009A58DB" w:rsidRDefault="00000000">
      <w:pPr>
        <w:pStyle w:val="ListParagraph"/>
        <w:numPr>
          <w:ilvl w:val="0"/>
          <w:numId w:val="23"/>
        </w:numPr>
        <w:tabs>
          <w:tab w:val="left" w:pos="782"/>
        </w:tabs>
        <w:spacing w:before="15"/>
        <w:ind w:left="782" w:hanging="422"/>
        <w:rPr>
          <w:sz w:val="30"/>
        </w:rPr>
      </w:pPr>
      <w:r>
        <w:rPr>
          <w:sz w:val="30"/>
        </w:rPr>
        <w:t>y</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z.</w:t>
      </w:r>
    </w:p>
    <w:p w14:paraId="7E002AEF" w14:textId="77777777" w:rsidR="009A58DB" w:rsidRDefault="00000000">
      <w:pPr>
        <w:pStyle w:val="ListParagraph"/>
        <w:numPr>
          <w:ilvl w:val="0"/>
          <w:numId w:val="23"/>
        </w:numPr>
        <w:tabs>
          <w:tab w:val="left" w:pos="782"/>
        </w:tabs>
        <w:spacing w:before="15"/>
        <w:ind w:left="782" w:hanging="422"/>
        <w:rPr>
          <w:sz w:val="30"/>
        </w:rPr>
      </w:pPr>
      <w:r>
        <w:rPr>
          <w:sz w:val="30"/>
        </w:rPr>
        <w:t>Nothing</w:t>
      </w:r>
      <w:r>
        <w:rPr>
          <w:spacing w:val="-4"/>
          <w:sz w:val="30"/>
        </w:rPr>
        <w:t xml:space="preserve"> </w:t>
      </w:r>
      <w:r>
        <w:rPr>
          <w:sz w:val="30"/>
        </w:rPr>
        <w:t>bears</w:t>
      </w:r>
      <w:r>
        <w:rPr>
          <w:spacing w:val="-3"/>
          <w:sz w:val="30"/>
        </w:rPr>
        <w:t xml:space="preserve"> </w:t>
      </w:r>
      <w:r>
        <w:rPr>
          <w:sz w:val="30"/>
        </w:rPr>
        <w:t>R</w:t>
      </w:r>
      <w:r>
        <w:rPr>
          <w:spacing w:val="-3"/>
          <w:sz w:val="30"/>
        </w:rPr>
        <w:t xml:space="preserve"> </w:t>
      </w:r>
      <w:r>
        <w:rPr>
          <w:sz w:val="30"/>
        </w:rPr>
        <w:t>to</w:t>
      </w:r>
      <w:r>
        <w:rPr>
          <w:spacing w:val="-2"/>
          <w:sz w:val="30"/>
        </w:rPr>
        <w:t xml:space="preserve"> </w:t>
      </w:r>
      <w:r>
        <w:rPr>
          <w:sz w:val="30"/>
        </w:rPr>
        <w:t>anything</w:t>
      </w:r>
      <w:r>
        <w:rPr>
          <w:spacing w:val="-2"/>
          <w:sz w:val="30"/>
        </w:rPr>
        <w:t xml:space="preserve"> </w:t>
      </w:r>
      <w:r>
        <w:rPr>
          <w:sz w:val="30"/>
        </w:rPr>
        <w:t>that</w:t>
      </w:r>
      <w:r>
        <w:rPr>
          <w:spacing w:val="-3"/>
          <w:sz w:val="30"/>
        </w:rPr>
        <w:t xml:space="preserve"> </w:t>
      </w:r>
      <w:r>
        <w:rPr>
          <w:sz w:val="30"/>
        </w:rPr>
        <w:t>has</w:t>
      </w:r>
      <w:r>
        <w:rPr>
          <w:spacing w:val="-2"/>
          <w:sz w:val="30"/>
        </w:rPr>
        <w:t xml:space="preserve"> </w:t>
      </w:r>
      <w:r>
        <w:rPr>
          <w:spacing w:val="-4"/>
          <w:sz w:val="30"/>
        </w:rPr>
        <w:t>phi.</w:t>
      </w:r>
    </w:p>
    <w:p w14:paraId="7E002AF0" w14:textId="77777777" w:rsidR="009A58DB" w:rsidRDefault="009A58DB">
      <w:pPr>
        <w:pStyle w:val="BodyText"/>
        <w:spacing w:before="30"/>
        <w:ind w:left="0"/>
        <w:jc w:val="left"/>
      </w:pPr>
    </w:p>
    <w:p w14:paraId="7E002AF1" w14:textId="77777777" w:rsidR="009A58DB" w:rsidRDefault="00000000">
      <w:pPr>
        <w:pStyle w:val="BodyText"/>
        <w:spacing w:line="249" w:lineRule="auto"/>
        <w:ind w:right="358" w:firstLine="360"/>
      </w:pPr>
      <w:r>
        <w:t xml:space="preserve">Some sets of open-sentences are true under </w:t>
      </w:r>
      <w:r>
        <w:rPr>
          <w:i/>
        </w:rPr>
        <w:t>all</w:t>
      </w:r>
      <w:r>
        <w:rPr>
          <w:i/>
          <w:spacing w:val="-4"/>
        </w:rPr>
        <w:t xml:space="preserve"> </w:t>
      </w:r>
      <w:r>
        <w:t>interpretations of them. An example is the set containing: “x is identical with x” and “if, for some phi, x has phi and y does not have phi, then x is not identical with y.” Others (e.g., any set containing “x is not identical with x”) are true under none.</w:t>
      </w:r>
    </w:p>
    <w:p w14:paraId="7E002AF2" w14:textId="77777777" w:rsidR="009A58DB" w:rsidRDefault="00000000">
      <w:pPr>
        <w:pStyle w:val="BodyText"/>
        <w:spacing w:before="5" w:line="249" w:lineRule="auto"/>
        <w:ind w:right="362" w:firstLine="360"/>
      </w:pPr>
      <w:r>
        <w:t>Any</w:t>
      </w:r>
      <w:r>
        <w:rPr>
          <w:spacing w:val="-2"/>
        </w:rPr>
        <w:t xml:space="preserve"> </w:t>
      </w:r>
      <w:r>
        <w:rPr>
          <w:b/>
          <w:i/>
        </w:rPr>
        <w:t>interpretation</w:t>
      </w:r>
      <w:r>
        <w:rPr>
          <w:b/>
          <w:i/>
          <w:spacing w:val="-3"/>
        </w:rPr>
        <w:t xml:space="preserve"> </w:t>
      </w:r>
      <w:r>
        <w:t>of</w:t>
      </w:r>
      <w:r>
        <w:rPr>
          <w:spacing w:val="-3"/>
        </w:rPr>
        <w:t xml:space="preserve"> </w:t>
      </w:r>
      <w:r>
        <w:t>a</w:t>
      </w:r>
      <w:r>
        <w:rPr>
          <w:spacing w:val="-3"/>
        </w:rPr>
        <w:t xml:space="preserve"> </w:t>
      </w:r>
      <w:r>
        <w:t>set</w:t>
      </w:r>
      <w:r>
        <w:rPr>
          <w:spacing w:val="-3"/>
        </w:rPr>
        <w:t xml:space="preserve"> </w:t>
      </w:r>
      <w:r>
        <w:t>of</w:t>
      </w:r>
      <w:r>
        <w:rPr>
          <w:spacing w:val="-3"/>
        </w:rPr>
        <w:t xml:space="preserve"> </w:t>
      </w:r>
      <w:r>
        <w:t>the</w:t>
      </w:r>
      <w:r>
        <w:rPr>
          <w:spacing w:val="-3"/>
        </w:rPr>
        <w:t xml:space="preserve"> </w:t>
      </w:r>
      <w:r>
        <w:t>first</w:t>
      </w:r>
      <w:r>
        <w:rPr>
          <w:spacing w:val="-3"/>
        </w:rPr>
        <w:t xml:space="preserve"> </w:t>
      </w:r>
      <w:r>
        <w:t>kind</w:t>
      </w:r>
      <w:r>
        <w:rPr>
          <w:spacing w:val="-2"/>
        </w:rPr>
        <w:t xml:space="preserve"> </w:t>
      </w:r>
      <w:r>
        <w:t>is</w:t>
      </w:r>
      <w:r>
        <w:rPr>
          <w:spacing w:val="-3"/>
        </w:rPr>
        <w:t xml:space="preserve"> </w:t>
      </w:r>
      <w:r>
        <w:t>a</w:t>
      </w:r>
      <w:r>
        <w:rPr>
          <w:spacing w:val="-3"/>
        </w:rPr>
        <w:t xml:space="preserve"> </w:t>
      </w:r>
      <w:r>
        <w:t>formal</w:t>
      </w:r>
      <w:r>
        <w:rPr>
          <w:spacing w:val="-3"/>
        </w:rPr>
        <w:t xml:space="preserve"> </w:t>
      </w:r>
      <w:r>
        <w:t>truth.</w:t>
      </w:r>
      <w:r>
        <w:rPr>
          <w:spacing w:val="-2"/>
        </w:rPr>
        <w:t xml:space="preserve"> </w:t>
      </w:r>
      <w:r>
        <w:t>Thus</w:t>
      </w:r>
      <w:r>
        <w:rPr>
          <w:spacing w:val="-3"/>
        </w:rPr>
        <w:t xml:space="preserve"> </w:t>
      </w:r>
      <w:r>
        <w:t>“JMK</w:t>
      </w:r>
      <w:r>
        <w:rPr>
          <w:spacing w:val="-3"/>
        </w:rPr>
        <w:t xml:space="preserve"> </w:t>
      </w:r>
      <w:r>
        <w:t>is identical with JMK, and anything identical with a professor is identical to nothing that isn’t a professor” is a formal truth.</w:t>
      </w:r>
    </w:p>
    <w:p w14:paraId="7E002AF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AF4" w14:textId="77777777" w:rsidR="009A58DB" w:rsidRDefault="00000000">
      <w:pPr>
        <w:spacing w:line="503" w:lineRule="exact"/>
        <w:ind w:left="326" w:right="332"/>
        <w:jc w:val="center"/>
        <w:rPr>
          <w:rFonts w:ascii="Calibri Light"/>
          <w:sz w:val="42"/>
        </w:rPr>
      </w:pPr>
      <w:bookmarkStart w:id="583" w:name="_bookmark583"/>
      <w:bookmarkEnd w:id="583"/>
      <w:r>
        <w:rPr>
          <w:rFonts w:ascii="Calibri Light"/>
          <w:sz w:val="42"/>
        </w:rPr>
        <w:lastRenderedPageBreak/>
        <w:t>Appendix</w:t>
      </w:r>
      <w:r>
        <w:rPr>
          <w:rFonts w:ascii="Calibri Light"/>
          <w:spacing w:val="64"/>
          <w:sz w:val="42"/>
        </w:rPr>
        <w:t xml:space="preserve"> </w:t>
      </w:r>
      <w:r>
        <w:rPr>
          <w:rFonts w:ascii="Calibri Light"/>
          <w:spacing w:val="-10"/>
          <w:sz w:val="42"/>
        </w:rPr>
        <w:t>2</w:t>
      </w:r>
    </w:p>
    <w:p w14:paraId="7E002AF5" w14:textId="77777777" w:rsidR="009A58DB" w:rsidRDefault="00000000">
      <w:pPr>
        <w:spacing w:before="222"/>
        <w:ind w:left="326" w:right="332"/>
        <w:jc w:val="center"/>
        <w:rPr>
          <w:rFonts w:ascii="Calibri Light"/>
          <w:sz w:val="42"/>
        </w:rPr>
      </w:pPr>
      <w:bookmarkStart w:id="584" w:name="_bookmark584"/>
      <w:bookmarkEnd w:id="584"/>
      <w:r>
        <w:rPr>
          <w:rFonts w:ascii="Calibri Light"/>
          <w:sz w:val="42"/>
        </w:rPr>
        <w:t>Important</w:t>
      </w:r>
      <w:r>
        <w:rPr>
          <w:rFonts w:ascii="Calibri Light"/>
          <w:spacing w:val="45"/>
          <w:sz w:val="42"/>
        </w:rPr>
        <w:t xml:space="preserve"> </w:t>
      </w:r>
      <w:r>
        <w:rPr>
          <w:rFonts w:ascii="Calibri Light"/>
          <w:sz w:val="42"/>
        </w:rPr>
        <w:t>Terms</w:t>
      </w:r>
      <w:r>
        <w:rPr>
          <w:rFonts w:ascii="Calibri Light"/>
          <w:spacing w:val="45"/>
          <w:sz w:val="42"/>
        </w:rPr>
        <w:t xml:space="preserve"> </w:t>
      </w:r>
      <w:r>
        <w:rPr>
          <w:rFonts w:ascii="Calibri Light"/>
          <w:sz w:val="42"/>
        </w:rPr>
        <w:t>and</w:t>
      </w:r>
      <w:r>
        <w:rPr>
          <w:rFonts w:ascii="Calibri Light"/>
          <w:spacing w:val="46"/>
          <w:sz w:val="42"/>
        </w:rPr>
        <w:t xml:space="preserve"> </w:t>
      </w:r>
      <w:r>
        <w:rPr>
          <w:rFonts w:ascii="Calibri Light"/>
          <w:spacing w:val="-2"/>
          <w:sz w:val="42"/>
        </w:rPr>
        <w:t>Principles</w:t>
      </w:r>
    </w:p>
    <w:p w14:paraId="7E002AF6" w14:textId="77777777" w:rsidR="009A58DB" w:rsidRDefault="00000000">
      <w:pPr>
        <w:pStyle w:val="BodyText"/>
        <w:spacing w:before="57" w:line="249" w:lineRule="auto"/>
        <w:ind w:right="359"/>
      </w:pPr>
      <w:r>
        <w:rPr>
          <w:b/>
          <w:i/>
        </w:rPr>
        <w:t>Algorithm:</w:t>
      </w:r>
      <w:r>
        <w:rPr>
          <w:b/>
          <w:i/>
          <w:spacing w:val="-3"/>
        </w:rPr>
        <w:t xml:space="preserve"> </w:t>
      </w:r>
      <w:r>
        <w:t xml:space="preserve">A fixed procedure for carrying out a task The rules that we learn in grade school to multiply, add, etc., multi-digit numbers are algorithms. By </w:t>
      </w:r>
      <w:r>
        <w:rPr>
          <w:i/>
        </w:rPr>
        <w:t xml:space="preserve">formalizing </w:t>
      </w:r>
      <w:r>
        <w:t>inferences, logicians create algorithms for determining whether, given two statements, one of them follows from the other.</w:t>
      </w:r>
    </w:p>
    <w:p w14:paraId="7E002AF7" w14:textId="77777777" w:rsidR="009A58DB" w:rsidRDefault="00000000">
      <w:pPr>
        <w:pStyle w:val="BodyText"/>
        <w:spacing w:before="5" w:line="249" w:lineRule="auto"/>
        <w:ind w:right="359" w:firstLine="360"/>
      </w:pPr>
      <w:r>
        <w:t xml:space="preserve">A problem with algorithms is that what one has to know </w:t>
      </w:r>
      <w:r>
        <w:rPr>
          <w:i/>
        </w:rPr>
        <w:t xml:space="preserve">in order to know </w:t>
      </w:r>
      <w:r>
        <w:t>whether a given algorithm is applicable to a given task is often much heftier than</w:t>
      </w:r>
      <w:r>
        <w:rPr>
          <w:spacing w:val="-2"/>
        </w:rPr>
        <w:t xml:space="preserve"> </w:t>
      </w:r>
      <w:r>
        <w:t>what</w:t>
      </w:r>
      <w:r>
        <w:rPr>
          <w:spacing w:val="-1"/>
        </w:rPr>
        <w:t xml:space="preserve"> </w:t>
      </w:r>
      <w:r>
        <w:t>one</w:t>
      </w:r>
      <w:r>
        <w:rPr>
          <w:spacing w:val="-2"/>
        </w:rPr>
        <w:t xml:space="preserve"> </w:t>
      </w:r>
      <w:r>
        <w:t>would</w:t>
      </w:r>
      <w:r>
        <w:rPr>
          <w:spacing w:val="-1"/>
        </w:rPr>
        <w:t xml:space="preserve"> </w:t>
      </w:r>
      <w:r>
        <w:t>have</w:t>
      </w:r>
      <w:r>
        <w:rPr>
          <w:spacing w:val="-2"/>
        </w:rPr>
        <w:t xml:space="preserve"> </w:t>
      </w:r>
      <w:r>
        <w:t>to</w:t>
      </w:r>
      <w:r>
        <w:rPr>
          <w:spacing w:val="-1"/>
        </w:rPr>
        <w:t xml:space="preserve"> </w:t>
      </w:r>
      <w:r>
        <w:t>know</w:t>
      </w:r>
      <w:r>
        <w:rPr>
          <w:spacing w:val="-1"/>
        </w:rPr>
        <w:t xml:space="preserve"> </w:t>
      </w:r>
      <w:r>
        <w:t>to</w:t>
      </w:r>
      <w:r>
        <w:rPr>
          <w:spacing w:val="-2"/>
        </w:rPr>
        <w:t xml:space="preserve"> </w:t>
      </w:r>
      <w:r>
        <w:t>carry</w:t>
      </w:r>
      <w:r>
        <w:rPr>
          <w:spacing w:val="-1"/>
        </w:rPr>
        <w:t xml:space="preserve"> </w:t>
      </w:r>
      <w:r>
        <w:t>out</w:t>
      </w:r>
      <w:r>
        <w:rPr>
          <w:spacing w:val="-2"/>
        </w:rPr>
        <w:t xml:space="preserve"> </w:t>
      </w:r>
      <w:r>
        <w:t>that</w:t>
      </w:r>
      <w:r>
        <w:rPr>
          <w:spacing w:val="-1"/>
        </w:rPr>
        <w:t xml:space="preserve"> </w:t>
      </w:r>
      <w:r>
        <w:t>task</w:t>
      </w:r>
      <w:r>
        <w:rPr>
          <w:spacing w:val="-2"/>
        </w:rPr>
        <w:t xml:space="preserve"> </w:t>
      </w:r>
      <w:r>
        <w:t>in</w:t>
      </w:r>
      <w:r>
        <w:rPr>
          <w:spacing w:val="-1"/>
        </w:rPr>
        <w:t xml:space="preserve"> </w:t>
      </w:r>
      <w:r>
        <w:t>an</w:t>
      </w:r>
      <w:r>
        <w:rPr>
          <w:spacing w:val="-1"/>
        </w:rPr>
        <w:t xml:space="preserve"> </w:t>
      </w:r>
      <w:r>
        <w:rPr>
          <w:i/>
        </w:rPr>
        <w:t>ad</w:t>
      </w:r>
      <w:r>
        <w:rPr>
          <w:i/>
          <w:spacing w:val="-2"/>
        </w:rPr>
        <w:t xml:space="preserve"> </w:t>
      </w:r>
      <w:r>
        <w:rPr>
          <w:i/>
        </w:rPr>
        <w:t>hoc</w:t>
      </w:r>
      <w:r>
        <w:rPr>
          <w:i/>
          <w:spacing w:val="-3"/>
        </w:rPr>
        <w:t xml:space="preserve"> </w:t>
      </w:r>
      <w:r>
        <w:t>manner. In this fact lies the doom of attempts to algorithmize—or, to use the more popular term—“mechanize” thought.</w:t>
      </w:r>
    </w:p>
    <w:p w14:paraId="7E002AF8" w14:textId="77777777" w:rsidR="009A58DB" w:rsidRDefault="009A58DB">
      <w:pPr>
        <w:pStyle w:val="BodyText"/>
        <w:spacing w:before="21"/>
        <w:ind w:left="0"/>
        <w:jc w:val="left"/>
      </w:pPr>
    </w:p>
    <w:p w14:paraId="7E002AF9" w14:textId="77777777" w:rsidR="009A58DB" w:rsidRDefault="00000000">
      <w:pPr>
        <w:pStyle w:val="BodyText"/>
        <w:spacing w:line="249" w:lineRule="auto"/>
        <w:ind w:right="361"/>
      </w:pPr>
      <w:r>
        <w:rPr>
          <w:b/>
          <w:i/>
        </w:rPr>
        <w:t xml:space="preserve">Ambiguity vs. indexicality: </w:t>
      </w:r>
      <w:r>
        <w:t>An ambiguous expression is one that is assigned meaning by two or more different rules. So “dumb” is ambiguous, since there are two rules that assign meaning to utterances of it. One of those rules is: given an utterance of “x is dumb,” that utterance is true just in case x cannot speak. The other is: given an utterance of “x is dumb,” that utterance is true just in case x is not intelligent.</w:t>
      </w:r>
    </w:p>
    <w:p w14:paraId="7E002AFA" w14:textId="77777777" w:rsidR="009A58DB" w:rsidRDefault="00000000">
      <w:pPr>
        <w:pStyle w:val="BodyText"/>
        <w:spacing w:before="8" w:line="249" w:lineRule="auto"/>
        <w:ind w:right="358" w:firstLine="360"/>
      </w:pPr>
      <w:r>
        <w:t xml:space="preserve">An “indexical” is a context-sensitive expression. For an expression to be context-sensitive is for there to be some </w:t>
      </w:r>
      <w:r>
        <w:rPr>
          <w:i/>
        </w:rPr>
        <w:t xml:space="preserve">one </w:t>
      </w:r>
      <w:r>
        <w:t>semantic rule that assigns different meanings (or referents) to it, depending on the context. An example of such expression would be the pronoun “I.” That expression isn’t ambiguous. Some one semantic rule assigns meaning to any two tokens of it. (That rule is: given any token t of “I,” t refers to the person who produced t.) But, that rule being what it is, different tokens of “I” refer to different people.</w:t>
      </w:r>
    </w:p>
    <w:p w14:paraId="7E002AFB" w14:textId="77777777" w:rsidR="009A58DB" w:rsidRDefault="009A58DB">
      <w:pPr>
        <w:pStyle w:val="BodyText"/>
        <w:spacing w:before="23"/>
        <w:ind w:left="0"/>
        <w:jc w:val="left"/>
      </w:pPr>
    </w:p>
    <w:p w14:paraId="7E002AFC" w14:textId="77777777" w:rsidR="009A58DB" w:rsidRDefault="00000000">
      <w:pPr>
        <w:pStyle w:val="BodyText"/>
        <w:spacing w:line="249" w:lineRule="auto"/>
        <w:ind w:right="358"/>
      </w:pPr>
      <w:r>
        <w:rPr>
          <w:b/>
          <w:i/>
        </w:rPr>
        <w:t xml:space="preserve">Ambiguity vs. vagueness: </w:t>
      </w:r>
      <w:r>
        <w:t xml:space="preserve">Whereas an expression is ambiguous if it’s assigned meaning by more than one semantic rule, an expression is “vague” if, supposing it unambiguous, it is assigned meaning by </w:t>
      </w:r>
      <w:r>
        <w:rPr>
          <w:i/>
        </w:rPr>
        <w:t xml:space="preserve">no </w:t>
      </w:r>
      <w:r>
        <w:t>well-defined semantic rule, and if, supposing it ambiguous, one of its disambiguations is assigned meaning by no well-defined semantic rule. Someone with zero hairs is definitely “bald,” and someone with a million hairs (provided that they’re suitably located and have the requisite thickness) definitely is “not bald.” But</w:t>
      </w:r>
    </w:p>
    <w:p w14:paraId="7E002AFD" w14:textId="77777777" w:rsidR="009A58DB" w:rsidRDefault="009A58DB">
      <w:pPr>
        <w:pStyle w:val="BodyText"/>
        <w:spacing w:line="249" w:lineRule="auto"/>
        <w:sectPr w:rsidR="009A58DB">
          <w:pgSz w:w="12240" w:h="15840"/>
          <w:pgMar w:top="1680" w:right="1080" w:bottom="280" w:left="1080" w:header="720" w:footer="720" w:gutter="0"/>
          <w:cols w:space="720"/>
        </w:sectPr>
      </w:pPr>
    </w:p>
    <w:p w14:paraId="7E002AFE" w14:textId="77777777" w:rsidR="009A58DB" w:rsidRDefault="00000000">
      <w:pPr>
        <w:pStyle w:val="BodyText"/>
        <w:spacing w:before="65" w:line="249" w:lineRule="auto"/>
        <w:ind w:right="359"/>
      </w:pPr>
      <w:r>
        <w:lastRenderedPageBreak/>
        <w:t>there are many people with an intermediate number of hairs with respect to whom</w:t>
      </w:r>
      <w:r>
        <w:rPr>
          <w:spacing w:val="-3"/>
        </w:rPr>
        <w:t xml:space="preserve"> </w:t>
      </w:r>
      <w:r>
        <w:t>neither</w:t>
      </w:r>
      <w:r>
        <w:rPr>
          <w:spacing w:val="-3"/>
        </w:rPr>
        <w:t xml:space="preserve"> </w:t>
      </w:r>
      <w:r>
        <w:t>“bald”</w:t>
      </w:r>
      <w:r>
        <w:rPr>
          <w:spacing w:val="-3"/>
        </w:rPr>
        <w:t xml:space="preserve"> </w:t>
      </w:r>
      <w:r>
        <w:t>nor</w:t>
      </w:r>
      <w:r>
        <w:rPr>
          <w:spacing w:val="-3"/>
        </w:rPr>
        <w:t xml:space="preserve"> </w:t>
      </w:r>
      <w:r>
        <w:t>“not</w:t>
      </w:r>
      <w:r>
        <w:rPr>
          <w:spacing w:val="-3"/>
        </w:rPr>
        <w:t xml:space="preserve"> </w:t>
      </w:r>
      <w:r>
        <w:t>bald”</w:t>
      </w:r>
      <w:r>
        <w:rPr>
          <w:spacing w:val="-3"/>
        </w:rPr>
        <w:t xml:space="preserve"> </w:t>
      </w:r>
      <w:r>
        <w:t>is</w:t>
      </w:r>
      <w:r>
        <w:rPr>
          <w:spacing w:val="-3"/>
        </w:rPr>
        <w:t xml:space="preserve"> </w:t>
      </w:r>
      <w:r>
        <w:t>clearly</w:t>
      </w:r>
      <w:r>
        <w:rPr>
          <w:spacing w:val="-3"/>
        </w:rPr>
        <w:t xml:space="preserve"> </w:t>
      </w:r>
      <w:r>
        <w:t>applicable.</w:t>
      </w:r>
      <w:r>
        <w:rPr>
          <w:spacing w:val="-3"/>
        </w:rPr>
        <w:t xml:space="preserve"> </w:t>
      </w:r>
      <w:r>
        <w:t>Since,</w:t>
      </w:r>
      <w:r>
        <w:rPr>
          <w:spacing w:val="-3"/>
        </w:rPr>
        <w:t xml:space="preserve"> </w:t>
      </w:r>
      <w:r>
        <w:t>therefore,</w:t>
      </w:r>
      <w:r>
        <w:rPr>
          <w:spacing w:val="-3"/>
        </w:rPr>
        <w:t xml:space="preserve"> </w:t>
      </w:r>
      <w:r>
        <w:t>the semantics of “bald” is given by a rule that is undefined for these intermediate cases, “bald” is vague.</w:t>
      </w:r>
    </w:p>
    <w:p w14:paraId="7E002AFF" w14:textId="77777777" w:rsidR="009A58DB" w:rsidRDefault="00000000">
      <w:pPr>
        <w:pStyle w:val="BodyText"/>
        <w:spacing w:before="5" w:line="249" w:lineRule="auto"/>
        <w:ind w:right="361" w:firstLine="360"/>
      </w:pPr>
      <w:r>
        <w:t>Like many other expressions, the word “dumb” is both vague and ambiguous, since it is assigned meaning by two distinct semantic rules, neither one of which is entirely determinate.</w:t>
      </w:r>
    </w:p>
    <w:p w14:paraId="7E002B00" w14:textId="77777777" w:rsidR="009A58DB" w:rsidRDefault="009A58DB">
      <w:pPr>
        <w:pStyle w:val="BodyText"/>
        <w:spacing w:before="18"/>
        <w:ind w:left="0"/>
        <w:jc w:val="left"/>
      </w:pPr>
    </w:p>
    <w:p w14:paraId="7E002B01" w14:textId="77777777" w:rsidR="009A58DB" w:rsidRDefault="00000000">
      <w:pPr>
        <w:pStyle w:val="BodyText"/>
        <w:spacing w:line="249" w:lineRule="auto"/>
        <w:ind w:right="359"/>
      </w:pPr>
      <w:r>
        <w:t>Commentary: There is a raging debate as to what vagueness is. Some hold that</w:t>
      </w:r>
      <w:r>
        <w:rPr>
          <w:spacing w:val="-1"/>
        </w:rPr>
        <w:t xml:space="preserve"> </w:t>
      </w:r>
      <w:r>
        <w:t>it</w:t>
      </w:r>
      <w:r>
        <w:rPr>
          <w:spacing w:val="-1"/>
        </w:rPr>
        <w:t xml:space="preserve"> </w:t>
      </w:r>
      <w:r>
        <w:t xml:space="preserve">is a property </w:t>
      </w:r>
      <w:r>
        <w:rPr>
          <w:i/>
        </w:rPr>
        <w:t>only</w:t>
      </w:r>
      <w:r>
        <w:rPr>
          <w:i/>
          <w:spacing w:val="-4"/>
        </w:rPr>
        <w:t xml:space="preserve"> </w:t>
      </w:r>
      <w:r>
        <w:t>of words, thoughts, and the like. Those who hold this are</w:t>
      </w:r>
      <w:r>
        <w:rPr>
          <w:spacing w:val="-4"/>
        </w:rPr>
        <w:t xml:space="preserve"> </w:t>
      </w:r>
      <w:r>
        <w:t>said</w:t>
      </w:r>
      <w:r>
        <w:rPr>
          <w:spacing w:val="-3"/>
        </w:rPr>
        <w:t xml:space="preserve"> </w:t>
      </w:r>
      <w:r>
        <w:t>to</w:t>
      </w:r>
      <w:r>
        <w:rPr>
          <w:spacing w:val="-3"/>
        </w:rPr>
        <w:t xml:space="preserve"> </w:t>
      </w:r>
      <w:r>
        <w:t>have</w:t>
      </w:r>
      <w:r>
        <w:rPr>
          <w:spacing w:val="-4"/>
        </w:rPr>
        <w:t xml:space="preserve"> </w:t>
      </w:r>
      <w:r>
        <w:t>an</w:t>
      </w:r>
      <w:r>
        <w:rPr>
          <w:spacing w:val="-3"/>
        </w:rPr>
        <w:t xml:space="preserve"> </w:t>
      </w:r>
      <w:r>
        <w:rPr>
          <w:i/>
        </w:rPr>
        <w:t>epistemic</w:t>
      </w:r>
      <w:r>
        <w:rPr>
          <w:i/>
          <w:spacing w:val="-4"/>
        </w:rPr>
        <w:t xml:space="preserve"> </w:t>
      </w:r>
      <w:r>
        <w:t>view of vagueness, and are sometimes known as “epistemicists.” (“Epistemic” means “having to do with knowledge.”) This is because they see vagueness as a property, not of the thing known, but of our knowledge of it.</w:t>
      </w:r>
    </w:p>
    <w:p w14:paraId="7E002B02" w14:textId="77777777" w:rsidR="009A58DB" w:rsidRDefault="00000000">
      <w:pPr>
        <w:pStyle w:val="BodyText"/>
        <w:spacing w:before="8" w:line="249" w:lineRule="auto"/>
        <w:ind w:right="360" w:firstLine="360"/>
      </w:pPr>
      <w:r>
        <w:t>Others hold that vagueness is a property of the thing known, and not, at least not merely, of our knowledge of it. Those who hold this are said to believe in “objective” vagueness, the reason being that they believe vagueness to be a property of objects, as opposed to our methods of representing them</w:t>
      </w:r>
      <w:bookmarkStart w:id="585" w:name="_bookmark585"/>
      <w:bookmarkEnd w:id="585"/>
      <w:r>
        <w:t>.</w:t>
      </w:r>
      <w:r>
        <w:rPr>
          <w:color w:val="0562C1"/>
          <w:position w:val="21"/>
          <w:u w:val="single" w:color="0562C1"/>
        </w:rPr>
        <w:t>[441]</w:t>
      </w:r>
      <w:r>
        <w:rPr>
          <w:color w:val="0562C1"/>
          <w:position w:val="21"/>
        </w:rPr>
        <w:t xml:space="preserve"> </w:t>
      </w:r>
      <w:r>
        <w:t>According to this view, there may be no fact as to whether Pat is a male or not or as to whether Pat is kind or not, etc. If this is right, then the law of excluded middle (any given proposition P is either 100% true or 100% false) is false.</w:t>
      </w:r>
    </w:p>
    <w:p w14:paraId="7E002B03" w14:textId="77777777" w:rsidR="009A58DB" w:rsidRDefault="00000000">
      <w:pPr>
        <w:pStyle w:val="BodyText"/>
        <w:spacing w:before="9" w:line="249" w:lineRule="auto"/>
        <w:ind w:right="358" w:firstLine="360"/>
      </w:pPr>
      <w:r>
        <w:t>Here</w:t>
      </w:r>
      <w:r>
        <w:rPr>
          <w:spacing w:val="-1"/>
        </w:rPr>
        <w:t xml:space="preserve"> </w:t>
      </w:r>
      <w:r>
        <w:t>is</w:t>
      </w:r>
      <w:r>
        <w:rPr>
          <w:spacing w:val="-1"/>
        </w:rPr>
        <w:t xml:space="preserve"> </w:t>
      </w:r>
      <w:r>
        <w:t>my</w:t>
      </w:r>
      <w:r>
        <w:rPr>
          <w:spacing w:val="-1"/>
        </w:rPr>
        <w:t xml:space="preserve"> </w:t>
      </w:r>
      <w:r>
        <w:t>view.</w:t>
      </w:r>
      <w:r>
        <w:rPr>
          <w:spacing w:val="-1"/>
        </w:rPr>
        <w:t xml:space="preserve"> </w:t>
      </w:r>
      <w:r>
        <w:t>There</w:t>
      </w:r>
      <w:r>
        <w:rPr>
          <w:spacing w:val="-1"/>
        </w:rPr>
        <w:t xml:space="preserve"> </w:t>
      </w:r>
      <w:r>
        <w:t>is</w:t>
      </w:r>
      <w:r>
        <w:rPr>
          <w:spacing w:val="-1"/>
        </w:rPr>
        <w:t xml:space="preserve"> </w:t>
      </w:r>
      <w:r>
        <w:t>no</w:t>
      </w:r>
      <w:r>
        <w:rPr>
          <w:spacing w:val="-1"/>
        </w:rPr>
        <w:t xml:space="preserve"> </w:t>
      </w:r>
      <w:r>
        <w:t>objective</w:t>
      </w:r>
      <w:r>
        <w:rPr>
          <w:spacing w:val="-1"/>
        </w:rPr>
        <w:t xml:space="preserve"> </w:t>
      </w:r>
      <w:r>
        <w:t>vagueness.</w:t>
      </w:r>
      <w:r>
        <w:rPr>
          <w:spacing w:val="-1"/>
        </w:rPr>
        <w:t xml:space="preserve"> </w:t>
      </w:r>
      <w:r>
        <w:t>“What’s</w:t>
      </w:r>
      <w:r>
        <w:rPr>
          <w:spacing w:val="-1"/>
        </w:rPr>
        <w:t xml:space="preserve"> </w:t>
      </w:r>
      <w:r>
        <w:t>out</w:t>
      </w:r>
      <w:r>
        <w:rPr>
          <w:spacing w:val="-1"/>
        </w:rPr>
        <w:t xml:space="preserve"> </w:t>
      </w:r>
      <w:r>
        <w:t>there</w:t>
      </w:r>
      <w:r>
        <w:rPr>
          <w:spacing w:val="-1"/>
        </w:rPr>
        <w:t xml:space="preserve"> </w:t>
      </w:r>
      <w:r>
        <w:t>is</w:t>
      </w:r>
      <w:r>
        <w:rPr>
          <w:spacing w:val="-1"/>
        </w:rPr>
        <w:t xml:space="preserve"> </w:t>
      </w:r>
      <w:r>
        <w:t>out there,”</w:t>
      </w:r>
      <w:r>
        <w:rPr>
          <w:spacing w:val="-3"/>
        </w:rPr>
        <w:t xml:space="preserve"> </w:t>
      </w:r>
      <w:r>
        <w:t>as</w:t>
      </w:r>
      <w:r>
        <w:rPr>
          <w:spacing w:val="-2"/>
        </w:rPr>
        <w:t xml:space="preserve"> </w:t>
      </w:r>
      <w:r>
        <w:t>my</w:t>
      </w:r>
      <w:r>
        <w:rPr>
          <w:spacing w:val="-2"/>
        </w:rPr>
        <w:t xml:space="preserve"> </w:t>
      </w:r>
      <w:r>
        <w:t>former</w:t>
      </w:r>
      <w:r>
        <w:rPr>
          <w:spacing w:val="-2"/>
        </w:rPr>
        <w:t xml:space="preserve"> </w:t>
      </w:r>
      <w:r>
        <w:t>colleague</w:t>
      </w:r>
      <w:r>
        <w:rPr>
          <w:spacing w:val="-2"/>
        </w:rPr>
        <w:t xml:space="preserve"> </w:t>
      </w:r>
      <w:r>
        <w:t>Chris</w:t>
      </w:r>
      <w:r>
        <w:rPr>
          <w:spacing w:val="-2"/>
        </w:rPr>
        <w:t xml:space="preserve"> </w:t>
      </w:r>
      <w:r>
        <w:t>Buford</w:t>
      </w:r>
      <w:r>
        <w:rPr>
          <w:spacing w:val="-2"/>
        </w:rPr>
        <w:t xml:space="preserve"> </w:t>
      </w:r>
      <w:r>
        <w:t>once</w:t>
      </w:r>
      <w:r>
        <w:rPr>
          <w:spacing w:val="-2"/>
        </w:rPr>
        <w:t xml:space="preserve"> </w:t>
      </w:r>
      <w:r>
        <w:t>put</w:t>
      </w:r>
      <w:r>
        <w:rPr>
          <w:spacing w:val="-2"/>
        </w:rPr>
        <w:t xml:space="preserve"> </w:t>
      </w:r>
      <w:r>
        <w:t>it.</w:t>
      </w:r>
      <w:r>
        <w:rPr>
          <w:spacing w:val="-2"/>
        </w:rPr>
        <w:t xml:space="preserve"> </w:t>
      </w:r>
      <w:r>
        <w:t>Talk</w:t>
      </w:r>
      <w:r>
        <w:rPr>
          <w:spacing w:val="-2"/>
        </w:rPr>
        <w:t xml:space="preserve"> </w:t>
      </w:r>
      <w:r>
        <w:t>of</w:t>
      </w:r>
      <w:r>
        <w:rPr>
          <w:spacing w:val="-2"/>
        </w:rPr>
        <w:t xml:space="preserve"> </w:t>
      </w:r>
      <w:r>
        <w:t>vagueness</w:t>
      </w:r>
      <w:r>
        <w:rPr>
          <w:spacing w:val="-2"/>
        </w:rPr>
        <w:t xml:space="preserve"> </w:t>
      </w:r>
      <w:r>
        <w:t>in the world is projective. We’re projecting deficiencies in our representations</w:t>
      </w:r>
      <w:r>
        <w:rPr>
          <w:spacing w:val="40"/>
        </w:rPr>
        <w:t xml:space="preserve"> </w:t>
      </w:r>
      <w:r>
        <w:t>of the world onto the world itself. Vagueness is a property of beliefs, symbols, and other representations.</w:t>
      </w:r>
    </w:p>
    <w:p w14:paraId="7E002B04" w14:textId="77777777" w:rsidR="009A58DB" w:rsidRDefault="00000000">
      <w:pPr>
        <w:pStyle w:val="BodyText"/>
        <w:spacing w:before="7" w:line="249" w:lineRule="auto"/>
        <w:ind w:right="358" w:firstLine="360"/>
      </w:pPr>
      <w:r>
        <w:t>Here’s why I say to this. To say of a predicate P that it’s vague is to say that</w:t>
      </w:r>
      <w:r>
        <w:rPr>
          <w:spacing w:val="18"/>
        </w:rPr>
        <w:t xml:space="preserve"> </w:t>
      </w:r>
      <w:r>
        <w:t>there</w:t>
      </w:r>
      <w:r>
        <w:rPr>
          <w:spacing w:val="18"/>
        </w:rPr>
        <w:t xml:space="preserve"> </w:t>
      </w:r>
      <w:r>
        <w:t>is,</w:t>
      </w:r>
      <w:r>
        <w:rPr>
          <w:spacing w:val="18"/>
        </w:rPr>
        <w:t xml:space="preserve"> </w:t>
      </w:r>
      <w:r>
        <w:t>or</w:t>
      </w:r>
      <w:r>
        <w:rPr>
          <w:spacing w:val="18"/>
        </w:rPr>
        <w:t xml:space="preserve"> </w:t>
      </w:r>
      <w:r>
        <w:t>at</w:t>
      </w:r>
      <w:r>
        <w:rPr>
          <w:spacing w:val="18"/>
        </w:rPr>
        <w:t xml:space="preserve"> </w:t>
      </w:r>
      <w:r>
        <w:t>least</w:t>
      </w:r>
      <w:r>
        <w:rPr>
          <w:spacing w:val="18"/>
        </w:rPr>
        <w:t xml:space="preserve"> </w:t>
      </w:r>
      <w:r>
        <w:t>could</w:t>
      </w:r>
      <w:r>
        <w:rPr>
          <w:spacing w:val="18"/>
        </w:rPr>
        <w:t xml:space="preserve"> </w:t>
      </w:r>
      <w:r>
        <w:t>be,</w:t>
      </w:r>
      <w:r>
        <w:rPr>
          <w:spacing w:val="18"/>
        </w:rPr>
        <w:t xml:space="preserve"> </w:t>
      </w:r>
      <w:r>
        <w:t>some</w:t>
      </w:r>
      <w:r>
        <w:rPr>
          <w:spacing w:val="18"/>
        </w:rPr>
        <w:t xml:space="preserve"> </w:t>
      </w:r>
      <w:r>
        <w:t>object</w:t>
      </w:r>
      <w:r>
        <w:rPr>
          <w:spacing w:val="18"/>
        </w:rPr>
        <w:t xml:space="preserve"> </w:t>
      </w:r>
      <w:r>
        <w:t>x</w:t>
      </w:r>
      <w:r>
        <w:rPr>
          <w:spacing w:val="18"/>
        </w:rPr>
        <w:t xml:space="preserve"> </w:t>
      </w:r>
      <w:r>
        <w:t>such</w:t>
      </w:r>
      <w:r>
        <w:rPr>
          <w:spacing w:val="18"/>
        </w:rPr>
        <w:t xml:space="preserve"> </w:t>
      </w:r>
      <w:r>
        <w:t>that</w:t>
      </w:r>
      <w:r>
        <w:rPr>
          <w:spacing w:val="18"/>
        </w:rPr>
        <w:t xml:space="preserve"> </w:t>
      </w:r>
      <w:r>
        <w:t>‹Px›</w:t>
      </w:r>
      <w:r>
        <w:rPr>
          <w:spacing w:val="18"/>
        </w:rPr>
        <w:t xml:space="preserve"> </w:t>
      </w:r>
      <w:r>
        <w:t>isn’t</w:t>
      </w:r>
      <w:r>
        <w:rPr>
          <w:spacing w:val="18"/>
        </w:rPr>
        <w:t xml:space="preserve"> </w:t>
      </w:r>
      <w:r>
        <w:t>true</w:t>
      </w:r>
      <w:r>
        <w:rPr>
          <w:spacing w:val="18"/>
        </w:rPr>
        <w:t xml:space="preserve"> </w:t>
      </w:r>
      <w:r>
        <w:t>and</w:t>
      </w:r>
    </w:p>
    <w:p w14:paraId="7E002B05" w14:textId="77777777" w:rsidR="009A58DB" w:rsidRDefault="00000000">
      <w:pPr>
        <w:pStyle w:val="BodyText"/>
        <w:spacing w:before="2" w:line="249" w:lineRule="auto"/>
        <w:ind w:right="361"/>
      </w:pPr>
      <w:r>
        <w:t xml:space="preserve">‹not-Px› isn’t true. There’s nothing mystifying about this sort of vagueness. Symbols have the meanings we give them. If we decide that Px is true if x is 1, 2, or 3, and false if x is 4, 5, or 6 then ‹P7› isn’t true and neither is ‹not-P7.› But this isn’t because there is some </w:t>
      </w:r>
      <w:r>
        <w:rPr>
          <w:i/>
        </w:rPr>
        <w:t xml:space="preserve">proposition </w:t>
      </w:r>
      <w:r>
        <w:t xml:space="preserve">that is neither true nor false. It’s because, given how P has been defined, ‹P7› doesn’t </w:t>
      </w:r>
      <w:r>
        <w:rPr>
          <w:i/>
        </w:rPr>
        <w:t xml:space="preserve">encode </w:t>
      </w:r>
      <w:r>
        <w:t>a proposition</w:t>
      </w:r>
      <w:r>
        <w:rPr>
          <w:spacing w:val="28"/>
        </w:rPr>
        <w:t xml:space="preserve"> </w:t>
      </w:r>
      <w:r>
        <w:t>and</w:t>
      </w:r>
      <w:r>
        <w:rPr>
          <w:spacing w:val="30"/>
        </w:rPr>
        <w:t xml:space="preserve"> </w:t>
      </w:r>
      <w:r>
        <w:t>neither</w:t>
      </w:r>
      <w:r>
        <w:rPr>
          <w:spacing w:val="32"/>
        </w:rPr>
        <w:t xml:space="preserve"> </w:t>
      </w:r>
      <w:r>
        <w:t>does</w:t>
      </w:r>
      <w:r>
        <w:rPr>
          <w:spacing w:val="30"/>
        </w:rPr>
        <w:t xml:space="preserve"> </w:t>
      </w:r>
      <w:r>
        <w:t>‹not-P7.›</w:t>
      </w:r>
      <w:r>
        <w:rPr>
          <w:spacing w:val="31"/>
        </w:rPr>
        <w:t xml:space="preserve"> </w:t>
      </w:r>
      <w:r>
        <w:t>For</w:t>
      </w:r>
      <w:r>
        <w:rPr>
          <w:spacing w:val="31"/>
        </w:rPr>
        <w:t xml:space="preserve"> </w:t>
      </w:r>
      <w:r>
        <w:t>a</w:t>
      </w:r>
      <w:r>
        <w:rPr>
          <w:spacing w:val="31"/>
        </w:rPr>
        <w:t xml:space="preserve"> </w:t>
      </w:r>
      <w:r>
        <w:t>representation</w:t>
      </w:r>
      <w:r>
        <w:rPr>
          <w:spacing w:val="30"/>
        </w:rPr>
        <w:t xml:space="preserve"> </w:t>
      </w:r>
      <w:r>
        <w:t>or</w:t>
      </w:r>
      <w:r>
        <w:rPr>
          <w:spacing w:val="32"/>
        </w:rPr>
        <w:t xml:space="preserve"> </w:t>
      </w:r>
      <w:r>
        <w:t>symbol</w:t>
      </w:r>
      <w:r>
        <w:rPr>
          <w:spacing w:val="30"/>
        </w:rPr>
        <w:t xml:space="preserve"> </w:t>
      </w:r>
      <w:r>
        <w:t>to</w:t>
      </w:r>
      <w:r>
        <w:rPr>
          <w:spacing w:val="31"/>
        </w:rPr>
        <w:t xml:space="preserve"> </w:t>
      </w:r>
      <w:r>
        <w:rPr>
          <w:spacing w:val="-5"/>
        </w:rPr>
        <w:t>be</w:t>
      </w:r>
    </w:p>
    <w:p w14:paraId="7E002B0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07" w14:textId="77777777" w:rsidR="009A58DB" w:rsidRDefault="00000000">
      <w:pPr>
        <w:pStyle w:val="BodyText"/>
        <w:spacing w:before="65"/>
      </w:pPr>
      <w:r>
        <w:lastRenderedPageBreak/>
        <w:t>“vague”</w:t>
      </w:r>
      <w:r>
        <w:rPr>
          <w:spacing w:val="-5"/>
        </w:rPr>
        <w:t xml:space="preserve"> </w:t>
      </w:r>
      <w:r>
        <w:t>is</w:t>
      </w:r>
      <w:r>
        <w:rPr>
          <w:spacing w:val="-3"/>
        </w:rPr>
        <w:t xml:space="preserve"> </w:t>
      </w:r>
      <w:r>
        <w:t>simply</w:t>
      </w:r>
      <w:r>
        <w:rPr>
          <w:spacing w:val="-2"/>
        </w:rPr>
        <w:t xml:space="preserve"> </w:t>
      </w:r>
      <w:r>
        <w:t>for</w:t>
      </w:r>
      <w:r>
        <w:rPr>
          <w:spacing w:val="-3"/>
        </w:rPr>
        <w:t xml:space="preserve"> </w:t>
      </w:r>
      <w:r>
        <w:t>it</w:t>
      </w:r>
      <w:r>
        <w:rPr>
          <w:spacing w:val="-3"/>
        </w:rPr>
        <w:t xml:space="preserve"> </w:t>
      </w:r>
      <w:r>
        <w:t>to</w:t>
      </w:r>
      <w:r>
        <w:rPr>
          <w:spacing w:val="-2"/>
        </w:rPr>
        <w:t xml:space="preserve"> </w:t>
      </w:r>
      <w:r>
        <w:t>be</w:t>
      </w:r>
      <w:r>
        <w:rPr>
          <w:spacing w:val="-3"/>
        </w:rPr>
        <w:t xml:space="preserve"> </w:t>
      </w:r>
      <w:r>
        <w:t>under-</w:t>
      </w:r>
      <w:r>
        <w:rPr>
          <w:spacing w:val="-2"/>
        </w:rPr>
        <w:t>defined.</w:t>
      </w:r>
    </w:p>
    <w:p w14:paraId="7E002B08" w14:textId="77777777" w:rsidR="009A58DB" w:rsidRDefault="00000000">
      <w:pPr>
        <w:pStyle w:val="BodyText"/>
        <w:spacing w:before="15" w:line="249" w:lineRule="auto"/>
        <w:ind w:right="372" w:firstLine="360"/>
      </w:pPr>
      <w:r>
        <w:t>But what would it be for a symbol-</w:t>
      </w:r>
      <w:r>
        <w:rPr>
          <w:i/>
        </w:rPr>
        <w:t>meaning</w:t>
      </w:r>
      <w:r>
        <w:rPr>
          <w:i/>
          <w:spacing w:val="-3"/>
        </w:rPr>
        <w:t xml:space="preserve"> </w:t>
      </w:r>
      <w:r>
        <w:t>to be vague? But what would it be, for example, for a sentence-meaning (a proposition) to be vague?</w:t>
      </w:r>
    </w:p>
    <w:p w14:paraId="7E002B09" w14:textId="77777777" w:rsidR="009A58DB" w:rsidRDefault="00000000">
      <w:pPr>
        <w:pStyle w:val="BodyText"/>
        <w:spacing w:before="2" w:line="249" w:lineRule="auto"/>
        <w:ind w:right="358" w:firstLine="360"/>
      </w:pPr>
      <w:r>
        <w:t>Propositions</w:t>
      </w:r>
      <w:r>
        <w:rPr>
          <w:spacing w:val="-1"/>
        </w:rPr>
        <w:t xml:space="preserve"> </w:t>
      </w:r>
      <w:r>
        <w:t>are</w:t>
      </w:r>
      <w:r>
        <w:rPr>
          <w:spacing w:val="-1"/>
        </w:rPr>
        <w:t xml:space="preserve"> </w:t>
      </w:r>
      <w:r>
        <w:t>individuated</w:t>
      </w:r>
      <w:r>
        <w:rPr>
          <w:spacing w:val="-1"/>
        </w:rPr>
        <w:t xml:space="preserve"> </w:t>
      </w:r>
      <w:r>
        <w:t>by</w:t>
      </w:r>
      <w:r>
        <w:rPr>
          <w:spacing w:val="-1"/>
        </w:rPr>
        <w:t xml:space="preserve"> </w:t>
      </w:r>
      <w:r>
        <w:t>their</w:t>
      </w:r>
      <w:r>
        <w:rPr>
          <w:spacing w:val="-1"/>
        </w:rPr>
        <w:t xml:space="preserve"> </w:t>
      </w:r>
      <w:r>
        <w:t>entailment-relations.</w:t>
      </w:r>
      <w:r>
        <w:rPr>
          <w:spacing w:val="-1"/>
        </w:rPr>
        <w:t xml:space="preserve"> </w:t>
      </w:r>
      <w:r>
        <w:t>In</w:t>
      </w:r>
      <w:r>
        <w:rPr>
          <w:spacing w:val="-1"/>
        </w:rPr>
        <w:t xml:space="preserve"> </w:t>
      </w:r>
      <w:r>
        <w:t>other</w:t>
      </w:r>
      <w:r>
        <w:rPr>
          <w:spacing w:val="-1"/>
        </w:rPr>
        <w:t xml:space="preserve"> </w:t>
      </w:r>
      <w:r>
        <w:t>words, a</w:t>
      </w:r>
      <w:r>
        <w:rPr>
          <w:spacing w:val="-1"/>
        </w:rPr>
        <w:t xml:space="preserve"> </w:t>
      </w:r>
      <w:r>
        <w:t>proposition’s</w:t>
      </w:r>
      <w:r>
        <w:rPr>
          <w:spacing w:val="-1"/>
        </w:rPr>
        <w:t xml:space="preserve"> </w:t>
      </w:r>
      <w:r>
        <w:t>identity</w:t>
      </w:r>
      <w:r>
        <w:rPr>
          <w:spacing w:val="-1"/>
        </w:rPr>
        <w:t xml:space="preserve"> </w:t>
      </w:r>
      <w:r>
        <w:t>is</w:t>
      </w:r>
      <w:r>
        <w:rPr>
          <w:spacing w:val="-1"/>
        </w:rPr>
        <w:t xml:space="preserve"> </w:t>
      </w:r>
      <w:r>
        <w:t>a</w:t>
      </w:r>
      <w:r>
        <w:rPr>
          <w:spacing w:val="-1"/>
        </w:rPr>
        <w:t xml:space="preserve"> </w:t>
      </w:r>
      <w:r>
        <w:t>function</w:t>
      </w:r>
      <w:r>
        <w:rPr>
          <w:spacing w:val="-1"/>
        </w:rPr>
        <w:t xml:space="preserve"> </w:t>
      </w:r>
      <w:r>
        <w:t>of</w:t>
      </w:r>
      <w:r>
        <w:rPr>
          <w:spacing w:val="-1"/>
        </w:rPr>
        <w:t xml:space="preserve"> </w:t>
      </w:r>
      <w:r>
        <w:t>what</w:t>
      </w:r>
      <w:r>
        <w:rPr>
          <w:spacing w:val="-1"/>
        </w:rPr>
        <w:t xml:space="preserve"> </w:t>
      </w:r>
      <w:r>
        <w:t>it</w:t>
      </w:r>
      <w:r>
        <w:rPr>
          <w:spacing w:val="-2"/>
        </w:rPr>
        <w:t xml:space="preserve"> </w:t>
      </w:r>
      <w:r>
        <w:t>entails</w:t>
      </w:r>
      <w:r>
        <w:rPr>
          <w:spacing w:val="-1"/>
        </w:rPr>
        <w:t xml:space="preserve"> </w:t>
      </w:r>
      <w:r>
        <w:t>and</w:t>
      </w:r>
      <w:r>
        <w:rPr>
          <w:spacing w:val="-1"/>
        </w:rPr>
        <w:t xml:space="preserve"> </w:t>
      </w:r>
      <w:r>
        <w:t>also</w:t>
      </w:r>
      <w:r>
        <w:rPr>
          <w:spacing w:val="-1"/>
        </w:rPr>
        <w:t xml:space="preserve"> </w:t>
      </w:r>
      <w:r>
        <w:t>of</w:t>
      </w:r>
      <w:r>
        <w:rPr>
          <w:spacing w:val="-1"/>
        </w:rPr>
        <w:t xml:space="preserve"> </w:t>
      </w:r>
      <w:r>
        <w:t>what</w:t>
      </w:r>
      <w:r>
        <w:rPr>
          <w:spacing w:val="-1"/>
        </w:rPr>
        <w:t xml:space="preserve"> </w:t>
      </w:r>
      <w:r>
        <w:t>entails it. If proposition P</w:t>
      </w:r>
      <w:r>
        <w:rPr>
          <w:position w:val="-7"/>
          <w:sz w:val="22"/>
        </w:rPr>
        <w:t>1</w:t>
      </w:r>
      <w:r>
        <w:rPr>
          <w:spacing w:val="40"/>
          <w:position w:val="-7"/>
          <w:sz w:val="22"/>
        </w:rPr>
        <w:t xml:space="preserve"> </w:t>
      </w:r>
      <w:r>
        <w:t>entails P</w:t>
      </w:r>
      <w:r>
        <w:rPr>
          <w:position w:val="-7"/>
          <w:sz w:val="22"/>
        </w:rPr>
        <w:t>2</w:t>
      </w:r>
      <w:r>
        <w:t>, but P</w:t>
      </w:r>
      <w:r>
        <w:rPr>
          <w:position w:val="-7"/>
          <w:sz w:val="22"/>
        </w:rPr>
        <w:t>3</w:t>
      </w:r>
      <w:r>
        <w:rPr>
          <w:spacing w:val="40"/>
          <w:position w:val="-7"/>
          <w:sz w:val="22"/>
        </w:rPr>
        <w:t xml:space="preserve"> </w:t>
      </w:r>
      <w:r>
        <w:t>does not, or P</w:t>
      </w:r>
      <w:r>
        <w:rPr>
          <w:position w:val="-7"/>
          <w:sz w:val="22"/>
        </w:rPr>
        <w:t>2</w:t>
      </w:r>
      <w:r>
        <w:rPr>
          <w:spacing w:val="40"/>
          <w:position w:val="-7"/>
          <w:sz w:val="22"/>
        </w:rPr>
        <w:t xml:space="preserve"> </w:t>
      </w:r>
      <w:r>
        <w:t>entails P</w:t>
      </w:r>
      <w:r>
        <w:rPr>
          <w:position w:val="-7"/>
          <w:sz w:val="22"/>
        </w:rPr>
        <w:t>1</w:t>
      </w:r>
      <w:r>
        <w:rPr>
          <w:spacing w:val="40"/>
          <w:position w:val="-7"/>
          <w:sz w:val="22"/>
        </w:rPr>
        <w:t xml:space="preserve"> </w:t>
      </w:r>
      <w:r>
        <w:t>but not P</w:t>
      </w:r>
      <w:r>
        <w:rPr>
          <w:position w:val="-7"/>
          <w:sz w:val="22"/>
        </w:rPr>
        <w:t>3</w:t>
      </w:r>
      <w:r>
        <w:t>, then P</w:t>
      </w:r>
      <w:r>
        <w:rPr>
          <w:vertAlign w:val="subscript"/>
        </w:rPr>
        <w:t>1</w:t>
      </w:r>
      <w:r>
        <w:rPr>
          <w:spacing w:val="16"/>
        </w:rPr>
        <w:t xml:space="preserve"> </w:t>
      </w:r>
      <w:r>
        <w:t>and</w:t>
      </w:r>
      <w:r>
        <w:rPr>
          <w:spacing w:val="15"/>
        </w:rPr>
        <w:t xml:space="preserve"> </w:t>
      </w:r>
      <w:r>
        <w:t>P</w:t>
      </w:r>
      <w:r>
        <w:rPr>
          <w:vertAlign w:val="subscript"/>
        </w:rPr>
        <w:t>3</w:t>
      </w:r>
      <w:r>
        <w:rPr>
          <w:spacing w:val="16"/>
        </w:rPr>
        <w:t xml:space="preserve"> </w:t>
      </w:r>
      <w:r>
        <w:t>are</w:t>
      </w:r>
      <w:r>
        <w:rPr>
          <w:spacing w:val="14"/>
        </w:rPr>
        <w:t xml:space="preserve"> </w:t>
      </w:r>
      <w:r>
        <w:rPr>
          <w:i/>
        </w:rPr>
        <w:t>ipso</w:t>
      </w:r>
      <w:r>
        <w:rPr>
          <w:i/>
          <w:spacing w:val="16"/>
        </w:rPr>
        <w:t xml:space="preserve"> </w:t>
      </w:r>
      <w:r>
        <w:rPr>
          <w:i/>
        </w:rPr>
        <w:t>facto</w:t>
      </w:r>
      <w:r>
        <w:rPr>
          <w:i/>
          <w:spacing w:val="69"/>
          <w:w w:val="150"/>
        </w:rPr>
        <w:t xml:space="preserve"> </w:t>
      </w:r>
      <w:r>
        <w:t>different</w:t>
      </w:r>
      <w:r>
        <w:rPr>
          <w:spacing w:val="14"/>
        </w:rPr>
        <w:t xml:space="preserve"> </w:t>
      </w:r>
      <w:r>
        <w:t>propositions.</w:t>
      </w:r>
      <w:r>
        <w:rPr>
          <w:spacing w:val="16"/>
        </w:rPr>
        <w:t xml:space="preserve"> </w:t>
      </w:r>
      <w:r>
        <w:t>Thus,</w:t>
      </w:r>
      <w:r>
        <w:rPr>
          <w:spacing w:val="16"/>
        </w:rPr>
        <w:t xml:space="preserve"> </w:t>
      </w:r>
      <w:r>
        <w:t>the</w:t>
      </w:r>
      <w:r>
        <w:rPr>
          <w:spacing w:val="14"/>
        </w:rPr>
        <w:t xml:space="preserve"> </w:t>
      </w:r>
      <w:r>
        <w:t>very</w:t>
      </w:r>
      <w:r>
        <w:rPr>
          <w:spacing w:val="16"/>
        </w:rPr>
        <w:t xml:space="preserve"> </w:t>
      </w:r>
      <w:r>
        <w:t>idea</w:t>
      </w:r>
      <w:r>
        <w:rPr>
          <w:spacing w:val="14"/>
        </w:rPr>
        <w:t xml:space="preserve"> </w:t>
      </w:r>
      <w:r>
        <w:t>of</w:t>
      </w:r>
      <w:r>
        <w:rPr>
          <w:spacing w:val="15"/>
        </w:rPr>
        <w:t xml:space="preserve"> </w:t>
      </w:r>
      <w:r>
        <w:rPr>
          <w:spacing w:val="-10"/>
        </w:rPr>
        <w:t>a</w:t>
      </w:r>
    </w:p>
    <w:p w14:paraId="7E002B0A" w14:textId="77777777" w:rsidR="009A58DB" w:rsidRDefault="00000000">
      <w:pPr>
        <w:pStyle w:val="BodyText"/>
        <w:spacing w:before="62" w:line="249" w:lineRule="auto"/>
        <w:ind w:right="359"/>
      </w:pPr>
      <w:r>
        <w:t>proposition whose entailment-relations are indeterminate is a non-starter.</w:t>
      </w:r>
      <w:r>
        <w:rPr>
          <w:spacing w:val="40"/>
        </w:rPr>
        <w:t xml:space="preserve"> </w:t>
      </w:r>
      <w:r>
        <w:t xml:space="preserve">This means that propositions always have determinate truth-conditions. After all, for proposition to have such and such truth-conditions </w:t>
      </w:r>
      <w:r>
        <w:rPr>
          <w:i/>
        </w:rPr>
        <w:t xml:space="preserve">is </w:t>
      </w:r>
      <w:r>
        <w:t>for such and</w:t>
      </w:r>
      <w:r>
        <w:rPr>
          <w:spacing w:val="40"/>
        </w:rPr>
        <w:t xml:space="preserve"> </w:t>
      </w:r>
      <w:r>
        <w:t>such propositions to entail it. Thus, a proposition’s truth-conditions are either fulfilled or they aren’t. There is no other possibility. Thus, there are no indeterminate propositions, and the law of excluded middle (</w:t>
      </w:r>
      <w:r>
        <w:rPr>
          <w:i/>
        </w:rPr>
        <w:t>every proposition is either 100% true or 100% false</w:t>
      </w:r>
      <w:r>
        <w:t xml:space="preserve">) is correct. See “entailment,” </w:t>
      </w:r>
      <w:r>
        <w:rPr>
          <w:spacing w:val="-2"/>
        </w:rPr>
        <w:t>“propositions.”</w:t>
      </w:r>
    </w:p>
    <w:p w14:paraId="7E002B0B" w14:textId="77777777" w:rsidR="009A58DB" w:rsidRDefault="009A58DB">
      <w:pPr>
        <w:pStyle w:val="BodyText"/>
        <w:spacing w:before="25"/>
        <w:ind w:left="0"/>
        <w:jc w:val="left"/>
      </w:pPr>
    </w:p>
    <w:p w14:paraId="7E002B0C" w14:textId="77777777" w:rsidR="009A58DB" w:rsidRDefault="00000000">
      <w:pPr>
        <w:spacing w:line="249" w:lineRule="auto"/>
        <w:ind w:left="360" w:right="358"/>
        <w:jc w:val="both"/>
        <w:rPr>
          <w:sz w:val="30"/>
        </w:rPr>
      </w:pPr>
      <w:r>
        <w:rPr>
          <w:b/>
          <w:i/>
          <w:sz w:val="30"/>
        </w:rPr>
        <w:t xml:space="preserve">Antecedent and consequent: </w:t>
      </w:r>
      <w:r>
        <w:rPr>
          <w:sz w:val="30"/>
        </w:rPr>
        <w:t>In</w:t>
      </w:r>
      <w:r>
        <w:rPr>
          <w:spacing w:val="-2"/>
          <w:sz w:val="30"/>
        </w:rPr>
        <w:t xml:space="preserve"> </w:t>
      </w:r>
      <w:r>
        <w:rPr>
          <w:i/>
          <w:sz w:val="30"/>
        </w:rPr>
        <w:t>if P, then Q</w:t>
      </w:r>
      <w:r>
        <w:rPr>
          <w:sz w:val="30"/>
        </w:rPr>
        <w:t>,</w:t>
      </w:r>
      <w:r>
        <w:rPr>
          <w:spacing w:val="-2"/>
          <w:sz w:val="30"/>
        </w:rPr>
        <w:t xml:space="preserve"> </w:t>
      </w:r>
      <w:r>
        <w:rPr>
          <w:sz w:val="30"/>
        </w:rPr>
        <w:t xml:space="preserve">P is the antecedent and Q is the consequent. So in </w:t>
      </w:r>
      <w:r>
        <w:rPr>
          <w:i/>
          <w:sz w:val="30"/>
        </w:rPr>
        <w:t>if snow is cold, then snow is not hot</w:t>
      </w:r>
      <w:r>
        <w:rPr>
          <w:sz w:val="30"/>
        </w:rPr>
        <w:t xml:space="preserve">, the statement </w:t>
      </w:r>
      <w:r>
        <w:rPr>
          <w:i/>
          <w:sz w:val="30"/>
        </w:rPr>
        <w:t xml:space="preserve">snow is cold </w:t>
      </w:r>
      <w:r>
        <w:rPr>
          <w:sz w:val="30"/>
        </w:rPr>
        <w:t xml:space="preserve">is the antecedent, and </w:t>
      </w:r>
      <w:r>
        <w:rPr>
          <w:i/>
          <w:sz w:val="30"/>
        </w:rPr>
        <w:t xml:space="preserve">snow is not hot is the consequent. </w:t>
      </w:r>
      <w:r>
        <w:rPr>
          <w:sz w:val="30"/>
        </w:rPr>
        <w:t xml:space="preserve">See </w:t>
      </w:r>
      <w:r>
        <w:rPr>
          <w:spacing w:val="-2"/>
          <w:sz w:val="30"/>
        </w:rPr>
        <w:t>“conditional.”</w:t>
      </w:r>
    </w:p>
    <w:p w14:paraId="7E002B0D" w14:textId="77777777" w:rsidR="009A58DB" w:rsidRDefault="009A58DB">
      <w:pPr>
        <w:pStyle w:val="BodyText"/>
        <w:spacing w:before="20"/>
        <w:ind w:left="0"/>
        <w:jc w:val="left"/>
      </w:pPr>
    </w:p>
    <w:p w14:paraId="7E002B0E" w14:textId="77777777" w:rsidR="009A58DB" w:rsidRDefault="00000000">
      <w:pPr>
        <w:pStyle w:val="BodyText"/>
        <w:spacing w:line="249" w:lineRule="auto"/>
        <w:ind w:right="358"/>
      </w:pPr>
      <w:r>
        <w:rPr>
          <w:b/>
          <w:i/>
        </w:rPr>
        <w:t xml:space="preserve">Analytic truth: </w:t>
      </w:r>
      <w:r>
        <w:t>“Squares have four sides” is analytic, since it makes no sense to</w:t>
      </w:r>
      <w:r>
        <w:rPr>
          <w:spacing w:val="-3"/>
        </w:rPr>
        <w:t xml:space="preserve"> </w:t>
      </w:r>
      <w:r>
        <w:t>suppose</w:t>
      </w:r>
      <w:r>
        <w:rPr>
          <w:spacing w:val="-2"/>
        </w:rPr>
        <w:t xml:space="preserve"> </w:t>
      </w:r>
      <w:r>
        <w:t>that</w:t>
      </w:r>
      <w:r>
        <w:rPr>
          <w:spacing w:val="-2"/>
        </w:rPr>
        <w:t xml:space="preserve"> </w:t>
      </w:r>
      <w:r>
        <w:t>squares</w:t>
      </w:r>
      <w:r>
        <w:rPr>
          <w:spacing w:val="-2"/>
        </w:rPr>
        <w:t xml:space="preserve"> </w:t>
      </w:r>
      <w:r>
        <w:t>might</w:t>
      </w:r>
      <w:r>
        <w:rPr>
          <w:spacing w:val="-2"/>
        </w:rPr>
        <w:t xml:space="preserve"> </w:t>
      </w:r>
      <w:r>
        <w:t>fail</w:t>
      </w:r>
      <w:r>
        <w:rPr>
          <w:spacing w:val="-2"/>
        </w:rPr>
        <w:t xml:space="preserve"> </w:t>
      </w:r>
      <w:r>
        <w:t>to</w:t>
      </w:r>
      <w:r>
        <w:rPr>
          <w:spacing w:val="-2"/>
        </w:rPr>
        <w:t xml:space="preserve"> </w:t>
      </w:r>
      <w:r>
        <w:t>have</w:t>
      </w:r>
      <w:r>
        <w:rPr>
          <w:spacing w:val="-2"/>
        </w:rPr>
        <w:t xml:space="preserve"> </w:t>
      </w:r>
      <w:r>
        <w:t>four</w:t>
      </w:r>
      <w:r>
        <w:rPr>
          <w:spacing w:val="-2"/>
        </w:rPr>
        <w:t xml:space="preserve"> </w:t>
      </w:r>
      <w:r>
        <w:t>sides.</w:t>
      </w:r>
      <w:r>
        <w:rPr>
          <w:spacing w:val="-2"/>
        </w:rPr>
        <w:t xml:space="preserve"> </w:t>
      </w:r>
      <w:r>
        <w:t>“Anything</w:t>
      </w:r>
      <w:r>
        <w:rPr>
          <w:spacing w:val="-2"/>
        </w:rPr>
        <w:t xml:space="preserve"> </w:t>
      </w:r>
      <w:r>
        <w:t>that</w:t>
      </w:r>
      <w:r>
        <w:rPr>
          <w:spacing w:val="-2"/>
        </w:rPr>
        <w:t xml:space="preserve"> </w:t>
      </w:r>
      <w:r>
        <w:t>is</w:t>
      </w:r>
      <w:r>
        <w:rPr>
          <w:spacing w:val="-2"/>
        </w:rPr>
        <w:t xml:space="preserve"> </w:t>
      </w:r>
      <w:r>
        <w:t>literate is animate” is analytic since it makes no sense to suppose that anything inanimate should be literate. In general, a statement is analytically true if its negation is incoherent.</w:t>
      </w:r>
    </w:p>
    <w:p w14:paraId="7E002B0F" w14:textId="77777777" w:rsidR="009A58DB" w:rsidRDefault="00000000">
      <w:pPr>
        <w:pStyle w:val="BodyText"/>
        <w:spacing w:before="6" w:line="249" w:lineRule="auto"/>
        <w:ind w:right="359" w:firstLine="360"/>
      </w:pPr>
      <w:r>
        <w:t xml:space="preserve">See “coherent,” “empirical truth,” “entailment,” and “meaning vs. </w:t>
      </w:r>
      <w:r>
        <w:rPr>
          <w:spacing w:val="-2"/>
        </w:rPr>
        <w:t>entailment-relations.”</w:t>
      </w:r>
    </w:p>
    <w:p w14:paraId="7E002B10" w14:textId="77777777" w:rsidR="009A58DB" w:rsidRDefault="009A58DB">
      <w:pPr>
        <w:pStyle w:val="BodyText"/>
        <w:spacing w:before="18"/>
        <w:ind w:left="0"/>
        <w:jc w:val="left"/>
      </w:pPr>
    </w:p>
    <w:p w14:paraId="7E002B11" w14:textId="77777777" w:rsidR="009A58DB" w:rsidRDefault="00000000">
      <w:pPr>
        <w:pStyle w:val="BodyText"/>
        <w:spacing w:line="249" w:lineRule="auto"/>
        <w:ind w:right="366"/>
      </w:pPr>
      <w:r>
        <w:rPr>
          <w:b/>
          <w:i/>
        </w:rPr>
        <w:t xml:space="preserve">Atomic proposition: </w:t>
      </w:r>
      <w:r>
        <w:t xml:space="preserve">A proposition that isn’t molecular (e.g., </w:t>
      </w:r>
      <w:r>
        <w:rPr>
          <w:i/>
        </w:rPr>
        <w:t>John snores</w:t>
      </w:r>
      <w:r>
        <w:t>). An atomic sentence is a sentence that expresses such a proposition (e.g., “John snores”). See “molecular proposition.”</w:t>
      </w:r>
    </w:p>
    <w:p w14:paraId="7E002B12" w14:textId="77777777" w:rsidR="009A58DB" w:rsidRDefault="009A58DB">
      <w:pPr>
        <w:pStyle w:val="BodyText"/>
        <w:spacing w:before="18"/>
        <w:ind w:left="0"/>
        <w:jc w:val="left"/>
      </w:pPr>
    </w:p>
    <w:p w14:paraId="7E002B13" w14:textId="77777777" w:rsidR="009A58DB" w:rsidRDefault="00000000">
      <w:pPr>
        <w:pStyle w:val="BodyText"/>
        <w:spacing w:before="1" w:line="249" w:lineRule="auto"/>
        <w:ind w:right="363"/>
      </w:pPr>
      <w:r>
        <w:rPr>
          <w:b/>
          <w:i/>
        </w:rPr>
        <w:t>A</w:t>
      </w:r>
      <w:r>
        <w:rPr>
          <w:b/>
          <w:i/>
          <w:spacing w:val="-3"/>
        </w:rPr>
        <w:t xml:space="preserve"> </w:t>
      </w:r>
      <w:r>
        <w:rPr>
          <w:b/>
          <w:i/>
        </w:rPr>
        <w:t>priori:</w:t>
      </w:r>
      <w:r>
        <w:rPr>
          <w:b/>
          <w:i/>
          <w:spacing w:val="-3"/>
        </w:rPr>
        <w:t xml:space="preserve"> </w:t>
      </w:r>
      <w:r>
        <w:t>Knowledge is a priori if one has it, not in virtue of any observations that</w:t>
      </w:r>
      <w:r>
        <w:rPr>
          <w:spacing w:val="25"/>
        </w:rPr>
        <w:t xml:space="preserve"> </w:t>
      </w:r>
      <w:r>
        <w:t>one</w:t>
      </w:r>
      <w:r>
        <w:rPr>
          <w:spacing w:val="25"/>
        </w:rPr>
        <w:t xml:space="preserve"> </w:t>
      </w:r>
      <w:r>
        <w:t>has</w:t>
      </w:r>
      <w:r>
        <w:rPr>
          <w:spacing w:val="25"/>
        </w:rPr>
        <w:t xml:space="preserve"> </w:t>
      </w:r>
      <w:r>
        <w:t>made,</w:t>
      </w:r>
      <w:r>
        <w:rPr>
          <w:spacing w:val="25"/>
        </w:rPr>
        <w:t xml:space="preserve"> </w:t>
      </w:r>
      <w:r>
        <w:t>but</w:t>
      </w:r>
      <w:r>
        <w:rPr>
          <w:spacing w:val="25"/>
        </w:rPr>
        <w:t xml:space="preserve"> </w:t>
      </w:r>
      <w:r>
        <w:t>in</w:t>
      </w:r>
      <w:r>
        <w:rPr>
          <w:spacing w:val="25"/>
        </w:rPr>
        <w:t xml:space="preserve"> </w:t>
      </w:r>
      <w:r>
        <w:t>virtue</w:t>
      </w:r>
      <w:r>
        <w:rPr>
          <w:spacing w:val="25"/>
        </w:rPr>
        <w:t xml:space="preserve"> </w:t>
      </w:r>
      <w:r>
        <w:t>of</w:t>
      </w:r>
      <w:r>
        <w:rPr>
          <w:spacing w:val="25"/>
        </w:rPr>
        <w:t xml:space="preserve"> </w:t>
      </w:r>
      <w:r>
        <w:t>one’s</w:t>
      </w:r>
      <w:r>
        <w:rPr>
          <w:spacing w:val="25"/>
        </w:rPr>
        <w:t xml:space="preserve"> </w:t>
      </w:r>
      <w:r>
        <w:t>innate</w:t>
      </w:r>
      <w:r>
        <w:rPr>
          <w:spacing w:val="25"/>
        </w:rPr>
        <w:t xml:space="preserve"> </w:t>
      </w:r>
      <w:r>
        <w:t>cognitive</w:t>
      </w:r>
      <w:r>
        <w:rPr>
          <w:spacing w:val="25"/>
        </w:rPr>
        <w:t xml:space="preserve"> </w:t>
      </w:r>
      <w:r>
        <w:t>structure</w:t>
      </w:r>
      <w:r>
        <w:rPr>
          <w:spacing w:val="25"/>
        </w:rPr>
        <w:t xml:space="preserve"> </w:t>
      </w:r>
      <w:r>
        <w:t>of</w:t>
      </w:r>
      <w:r>
        <w:rPr>
          <w:spacing w:val="26"/>
        </w:rPr>
        <w:t xml:space="preserve"> </w:t>
      </w:r>
      <w:r>
        <w:rPr>
          <w:spacing w:val="-2"/>
        </w:rPr>
        <w:t>one’s</w:t>
      </w:r>
    </w:p>
    <w:p w14:paraId="7E002B1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15" w14:textId="77777777" w:rsidR="009A58DB" w:rsidRDefault="00000000">
      <w:pPr>
        <w:pStyle w:val="BodyText"/>
        <w:spacing w:before="65"/>
      </w:pPr>
      <w:r>
        <w:lastRenderedPageBreak/>
        <w:t>mind.</w:t>
      </w:r>
      <w:r>
        <w:rPr>
          <w:spacing w:val="-7"/>
        </w:rPr>
        <w:t xml:space="preserve"> </w:t>
      </w:r>
      <w:r>
        <w:t>See</w:t>
      </w:r>
      <w:r>
        <w:rPr>
          <w:spacing w:val="-5"/>
        </w:rPr>
        <w:t xml:space="preserve"> </w:t>
      </w:r>
      <w:r>
        <w:t>“empirical</w:t>
      </w:r>
      <w:r>
        <w:rPr>
          <w:spacing w:val="-4"/>
        </w:rPr>
        <w:t xml:space="preserve"> </w:t>
      </w:r>
      <w:r>
        <w:rPr>
          <w:spacing w:val="-2"/>
        </w:rPr>
        <w:t>knowledge.”</w:t>
      </w:r>
    </w:p>
    <w:p w14:paraId="7E002B16" w14:textId="77777777" w:rsidR="009A58DB" w:rsidRDefault="009A58DB">
      <w:pPr>
        <w:pStyle w:val="BodyText"/>
        <w:spacing w:before="29"/>
        <w:ind w:left="0"/>
        <w:jc w:val="left"/>
      </w:pPr>
    </w:p>
    <w:p w14:paraId="7E002B17" w14:textId="77777777" w:rsidR="009A58DB" w:rsidRDefault="00000000">
      <w:pPr>
        <w:spacing w:before="1"/>
        <w:ind w:left="360"/>
        <w:jc w:val="both"/>
        <w:rPr>
          <w:sz w:val="30"/>
        </w:rPr>
      </w:pPr>
      <w:r>
        <w:rPr>
          <w:b/>
          <w:i/>
          <w:sz w:val="30"/>
        </w:rPr>
        <w:t>A</w:t>
      </w:r>
      <w:r>
        <w:rPr>
          <w:b/>
          <w:i/>
          <w:spacing w:val="-6"/>
          <w:sz w:val="30"/>
        </w:rPr>
        <w:t xml:space="preserve"> </w:t>
      </w:r>
      <w:r>
        <w:rPr>
          <w:b/>
          <w:i/>
          <w:sz w:val="30"/>
        </w:rPr>
        <w:t>posteriori:</w:t>
      </w:r>
      <w:r>
        <w:rPr>
          <w:b/>
          <w:i/>
          <w:spacing w:val="-3"/>
          <w:sz w:val="30"/>
        </w:rPr>
        <w:t xml:space="preserve"> </w:t>
      </w:r>
      <w:r>
        <w:rPr>
          <w:sz w:val="30"/>
        </w:rPr>
        <w:t>Knowledge</w:t>
      </w:r>
      <w:r>
        <w:rPr>
          <w:spacing w:val="-3"/>
          <w:sz w:val="30"/>
        </w:rPr>
        <w:t xml:space="preserve"> </w:t>
      </w:r>
      <w:r>
        <w:rPr>
          <w:sz w:val="30"/>
        </w:rPr>
        <w:t>is</w:t>
      </w:r>
      <w:r>
        <w:rPr>
          <w:spacing w:val="-4"/>
          <w:sz w:val="30"/>
        </w:rPr>
        <w:t xml:space="preserve"> </w:t>
      </w:r>
      <w:r>
        <w:rPr>
          <w:sz w:val="30"/>
        </w:rPr>
        <w:t>a</w:t>
      </w:r>
      <w:r>
        <w:rPr>
          <w:spacing w:val="-3"/>
          <w:sz w:val="30"/>
        </w:rPr>
        <w:t xml:space="preserve"> </w:t>
      </w:r>
      <w:r>
        <w:rPr>
          <w:sz w:val="30"/>
        </w:rPr>
        <w:t>posteriori</w:t>
      </w:r>
      <w:r>
        <w:rPr>
          <w:spacing w:val="-3"/>
          <w:sz w:val="30"/>
        </w:rPr>
        <w:t xml:space="preserve"> </w:t>
      </w:r>
      <w:r>
        <w:rPr>
          <w:sz w:val="30"/>
        </w:rPr>
        <w:t>if</w:t>
      </w:r>
      <w:r>
        <w:rPr>
          <w:spacing w:val="-4"/>
          <w:sz w:val="30"/>
        </w:rPr>
        <w:t xml:space="preserve"> </w:t>
      </w:r>
      <w:r>
        <w:rPr>
          <w:sz w:val="30"/>
        </w:rPr>
        <w:t>it</w:t>
      </w:r>
      <w:r>
        <w:rPr>
          <w:spacing w:val="-3"/>
          <w:sz w:val="30"/>
        </w:rPr>
        <w:t xml:space="preserve"> </w:t>
      </w:r>
      <w:r>
        <w:rPr>
          <w:sz w:val="30"/>
        </w:rPr>
        <w:t>isn’t</w:t>
      </w:r>
      <w:r>
        <w:rPr>
          <w:spacing w:val="-3"/>
          <w:sz w:val="30"/>
        </w:rPr>
        <w:t xml:space="preserve"> </w:t>
      </w:r>
      <w:r>
        <w:rPr>
          <w:sz w:val="30"/>
        </w:rPr>
        <w:t>a</w:t>
      </w:r>
      <w:r>
        <w:rPr>
          <w:spacing w:val="-4"/>
          <w:sz w:val="30"/>
        </w:rPr>
        <w:t xml:space="preserve"> </w:t>
      </w:r>
      <w:r>
        <w:rPr>
          <w:sz w:val="30"/>
        </w:rPr>
        <w:t>priori.</w:t>
      </w:r>
      <w:r>
        <w:rPr>
          <w:spacing w:val="-2"/>
          <w:sz w:val="30"/>
        </w:rPr>
        <w:t xml:space="preserve"> </w:t>
      </w:r>
      <w:r>
        <w:rPr>
          <w:sz w:val="30"/>
        </w:rPr>
        <w:t>See</w:t>
      </w:r>
      <w:r>
        <w:rPr>
          <w:spacing w:val="-3"/>
          <w:sz w:val="30"/>
        </w:rPr>
        <w:t xml:space="preserve"> </w:t>
      </w:r>
      <w:r>
        <w:rPr>
          <w:sz w:val="30"/>
        </w:rPr>
        <w:t>“</w:t>
      </w:r>
      <w:r>
        <w:rPr>
          <w:i/>
          <w:sz w:val="30"/>
        </w:rPr>
        <w:t>A</w:t>
      </w:r>
      <w:r>
        <w:rPr>
          <w:i/>
          <w:spacing w:val="-3"/>
          <w:sz w:val="30"/>
        </w:rPr>
        <w:t xml:space="preserve"> </w:t>
      </w:r>
      <w:r>
        <w:rPr>
          <w:i/>
          <w:spacing w:val="-2"/>
          <w:sz w:val="30"/>
        </w:rPr>
        <w:t>priori.</w:t>
      </w:r>
      <w:r>
        <w:rPr>
          <w:spacing w:val="-2"/>
          <w:sz w:val="30"/>
        </w:rPr>
        <w:t>”</w:t>
      </w:r>
    </w:p>
    <w:p w14:paraId="7E002B18" w14:textId="77777777" w:rsidR="009A58DB" w:rsidRDefault="009A58DB">
      <w:pPr>
        <w:pStyle w:val="BodyText"/>
        <w:spacing w:before="30"/>
        <w:ind w:left="0"/>
        <w:jc w:val="left"/>
      </w:pPr>
    </w:p>
    <w:p w14:paraId="7E002B19" w14:textId="77777777" w:rsidR="009A58DB" w:rsidRDefault="00000000">
      <w:pPr>
        <w:pStyle w:val="BodyText"/>
        <w:spacing w:line="249" w:lineRule="auto"/>
        <w:ind w:right="367"/>
      </w:pPr>
      <w:r>
        <w:rPr>
          <w:b/>
          <w:i/>
        </w:rPr>
        <w:t>Axiom:</w:t>
      </w:r>
      <w:r>
        <w:rPr>
          <w:b/>
          <w:i/>
          <w:spacing w:val="-4"/>
        </w:rPr>
        <w:t xml:space="preserve"> </w:t>
      </w:r>
      <w:r>
        <w:t>A</w:t>
      </w:r>
      <w:r>
        <w:rPr>
          <w:spacing w:val="-2"/>
        </w:rPr>
        <w:t xml:space="preserve"> </w:t>
      </w:r>
      <w:r>
        <w:t>statement</w:t>
      </w:r>
      <w:r>
        <w:rPr>
          <w:spacing w:val="-2"/>
        </w:rPr>
        <w:t xml:space="preserve"> </w:t>
      </w:r>
      <w:r>
        <w:t>that,</w:t>
      </w:r>
      <w:r>
        <w:rPr>
          <w:spacing w:val="-2"/>
        </w:rPr>
        <w:t xml:space="preserve"> </w:t>
      </w:r>
      <w:r>
        <w:t>in</w:t>
      </w:r>
      <w:r>
        <w:rPr>
          <w:spacing w:val="-2"/>
        </w:rPr>
        <w:t xml:space="preserve"> </w:t>
      </w:r>
      <w:r>
        <w:t>some</w:t>
      </w:r>
      <w:r>
        <w:rPr>
          <w:spacing w:val="-2"/>
        </w:rPr>
        <w:t xml:space="preserve"> </w:t>
      </w:r>
      <w:r>
        <w:t>context,</w:t>
      </w:r>
      <w:r>
        <w:rPr>
          <w:spacing w:val="-2"/>
        </w:rPr>
        <w:t xml:space="preserve"> </w:t>
      </w:r>
      <w:r>
        <w:t>is</w:t>
      </w:r>
      <w:r>
        <w:rPr>
          <w:spacing w:val="-2"/>
        </w:rPr>
        <w:t xml:space="preserve"> </w:t>
      </w:r>
      <w:r>
        <w:t>assumed</w:t>
      </w:r>
      <w:r>
        <w:rPr>
          <w:spacing w:val="-2"/>
        </w:rPr>
        <w:t xml:space="preserve"> </w:t>
      </w:r>
      <w:r>
        <w:t>to</w:t>
      </w:r>
      <w:r>
        <w:rPr>
          <w:spacing w:val="-2"/>
        </w:rPr>
        <w:t xml:space="preserve"> </w:t>
      </w:r>
      <w:r>
        <w:t>be</w:t>
      </w:r>
      <w:r>
        <w:rPr>
          <w:spacing w:val="-2"/>
        </w:rPr>
        <w:t xml:space="preserve"> </w:t>
      </w:r>
      <w:r>
        <w:t>true</w:t>
      </w:r>
      <w:r>
        <w:rPr>
          <w:spacing w:val="-2"/>
        </w:rPr>
        <w:t xml:space="preserve"> </w:t>
      </w:r>
      <w:r>
        <w:t>and</w:t>
      </w:r>
      <w:r>
        <w:rPr>
          <w:spacing w:val="-2"/>
        </w:rPr>
        <w:t xml:space="preserve"> </w:t>
      </w:r>
      <w:r>
        <w:t>therefore isn’t argued for.</w:t>
      </w:r>
    </w:p>
    <w:p w14:paraId="7E002B1A" w14:textId="77777777" w:rsidR="009A58DB" w:rsidRDefault="009A58DB">
      <w:pPr>
        <w:pStyle w:val="BodyText"/>
        <w:spacing w:before="17"/>
        <w:ind w:left="0"/>
        <w:jc w:val="left"/>
      </w:pPr>
    </w:p>
    <w:p w14:paraId="7E002B1B" w14:textId="77777777" w:rsidR="009A58DB" w:rsidRDefault="00000000">
      <w:pPr>
        <w:spacing w:line="249" w:lineRule="auto"/>
        <w:ind w:left="360" w:right="366"/>
        <w:jc w:val="both"/>
        <w:rPr>
          <w:sz w:val="30"/>
        </w:rPr>
      </w:pPr>
      <w:r>
        <w:rPr>
          <w:b/>
          <w:i/>
          <w:sz w:val="30"/>
        </w:rPr>
        <w:t xml:space="preserve">Axiom (second definition): </w:t>
      </w:r>
      <w:r>
        <w:rPr>
          <w:sz w:val="30"/>
        </w:rPr>
        <w:t>A statement-form that, in some context, is assumed to have a true interpretation. See “interpretation.”</w:t>
      </w:r>
    </w:p>
    <w:p w14:paraId="7E002B1C" w14:textId="77777777" w:rsidR="009A58DB" w:rsidRDefault="009A58DB">
      <w:pPr>
        <w:pStyle w:val="BodyText"/>
        <w:spacing w:before="18"/>
        <w:ind w:left="0"/>
        <w:jc w:val="left"/>
      </w:pPr>
    </w:p>
    <w:p w14:paraId="7E002B1D" w14:textId="77777777" w:rsidR="009A58DB" w:rsidRDefault="00000000">
      <w:pPr>
        <w:pStyle w:val="BodyText"/>
        <w:spacing w:line="249" w:lineRule="auto"/>
        <w:ind w:right="362"/>
      </w:pPr>
      <w:r>
        <w:rPr>
          <w:b/>
          <w:i/>
        </w:rPr>
        <w:t xml:space="preserve">The axiom of comprehension: </w:t>
      </w:r>
      <w:r>
        <w:t>This is the principle that, given any property, there is a set containing all and only those objects that have that property. There is a set containing all and only those things that are people (i.e., that have the property of being a person). There’s a set containing all and only those things that are acorns (i.e., that have the property of being an acorn). And so on.</w:t>
      </w:r>
    </w:p>
    <w:p w14:paraId="7E002B1E" w14:textId="77777777" w:rsidR="009A58DB" w:rsidRDefault="00000000">
      <w:pPr>
        <w:pStyle w:val="BodyText"/>
        <w:spacing w:before="7" w:line="249" w:lineRule="auto"/>
        <w:ind w:right="358" w:firstLine="360"/>
      </w:pPr>
      <w:r>
        <w:t>The axiom of comprehension seems self-evident. But Bertrand Russell discovered that it has self-contradictory consequences and is therefore false. The set of people is not a member of itself, since no person is a set. But some sets do seem to be members of themselves. The set of sets would seem to be such a set.</w:t>
      </w:r>
    </w:p>
    <w:p w14:paraId="7E002B1F" w14:textId="77777777" w:rsidR="009A58DB" w:rsidRDefault="00000000">
      <w:pPr>
        <w:pStyle w:val="BodyText"/>
        <w:spacing w:before="6" w:line="249" w:lineRule="auto"/>
        <w:ind w:right="364" w:firstLine="360"/>
      </w:pPr>
      <w:r>
        <w:t>In light of these points, consider the property of being a set that contains all and only those sets that are not members of themselves. Let S be the set that contains all and only those things that have property. Does S itself have that property? In other words, is S itself a self-member? If it is, then it isn’t, since it contains only sets that aren’t self-members. But it if isn’t, then it is, since it contains every set that is a self-member. Thus:</w:t>
      </w:r>
    </w:p>
    <w:p w14:paraId="7E002B20" w14:textId="77777777" w:rsidR="009A58DB" w:rsidRDefault="009A58DB">
      <w:pPr>
        <w:pStyle w:val="BodyText"/>
        <w:spacing w:before="22"/>
        <w:ind w:left="0"/>
        <w:jc w:val="left"/>
      </w:pPr>
    </w:p>
    <w:p w14:paraId="7E002B21" w14:textId="77777777" w:rsidR="009A58DB" w:rsidRDefault="00000000">
      <w:pPr>
        <w:pStyle w:val="ListParagraph"/>
        <w:numPr>
          <w:ilvl w:val="1"/>
          <w:numId w:val="23"/>
        </w:numPr>
        <w:tabs>
          <w:tab w:val="left" w:pos="715"/>
        </w:tabs>
        <w:spacing w:before="1" w:line="501" w:lineRule="auto"/>
        <w:ind w:right="4321" w:firstLine="0"/>
        <w:rPr>
          <w:sz w:val="30"/>
        </w:rPr>
      </w:pPr>
      <w:r>
        <w:rPr>
          <w:sz w:val="30"/>
        </w:rPr>
        <w:t>S</w:t>
      </w:r>
      <w:r>
        <w:rPr>
          <w:spacing w:val="-6"/>
          <w:sz w:val="30"/>
        </w:rPr>
        <w:t xml:space="preserve"> </w:t>
      </w:r>
      <w:r>
        <w:rPr>
          <w:sz w:val="30"/>
        </w:rPr>
        <w:t>has</w:t>
      </w:r>
      <w:r>
        <w:rPr>
          <w:spacing w:val="-6"/>
          <w:sz w:val="30"/>
        </w:rPr>
        <w:t xml:space="preserve"> </w:t>
      </w:r>
      <w:r>
        <w:rPr>
          <w:sz w:val="30"/>
        </w:rPr>
        <w:t>the</w:t>
      </w:r>
      <w:r>
        <w:rPr>
          <w:spacing w:val="-6"/>
          <w:sz w:val="30"/>
        </w:rPr>
        <w:t xml:space="preserve"> </w:t>
      </w:r>
      <w:r>
        <w:rPr>
          <w:sz w:val="30"/>
        </w:rPr>
        <w:t>property</w:t>
      </w:r>
      <w:r>
        <w:rPr>
          <w:spacing w:val="-5"/>
          <w:sz w:val="30"/>
        </w:rPr>
        <w:t xml:space="preserve"> </w:t>
      </w:r>
      <w:r>
        <w:rPr>
          <w:sz w:val="30"/>
        </w:rPr>
        <w:t>of</w:t>
      </w:r>
      <w:r>
        <w:rPr>
          <w:spacing w:val="-6"/>
          <w:sz w:val="30"/>
        </w:rPr>
        <w:t xml:space="preserve"> </w:t>
      </w:r>
      <w:r>
        <w:rPr>
          <w:sz w:val="30"/>
        </w:rPr>
        <w:t>being</w:t>
      </w:r>
      <w:r>
        <w:rPr>
          <w:spacing w:val="-5"/>
          <w:sz w:val="30"/>
        </w:rPr>
        <w:t xml:space="preserve"> </w:t>
      </w:r>
      <w:r>
        <w:rPr>
          <w:sz w:val="30"/>
        </w:rPr>
        <w:t>a</w:t>
      </w:r>
      <w:r>
        <w:rPr>
          <w:spacing w:val="-6"/>
          <w:sz w:val="30"/>
        </w:rPr>
        <w:t xml:space="preserve"> </w:t>
      </w:r>
      <w:r>
        <w:rPr>
          <w:sz w:val="30"/>
        </w:rPr>
        <w:t>self-member entails its own negation, and so does</w:t>
      </w:r>
    </w:p>
    <w:p w14:paraId="7E002B22" w14:textId="77777777" w:rsidR="009A58DB" w:rsidRDefault="00000000">
      <w:pPr>
        <w:pStyle w:val="ListParagraph"/>
        <w:numPr>
          <w:ilvl w:val="1"/>
          <w:numId w:val="23"/>
        </w:numPr>
        <w:tabs>
          <w:tab w:val="left" w:pos="797"/>
        </w:tabs>
        <w:spacing w:line="343" w:lineRule="exact"/>
        <w:ind w:left="797" w:hanging="437"/>
        <w:rPr>
          <w:sz w:val="30"/>
        </w:rPr>
      </w:pPr>
      <w:r>
        <w:rPr>
          <w:sz w:val="30"/>
        </w:rPr>
        <w:t>S</w:t>
      </w:r>
      <w:r>
        <w:rPr>
          <w:spacing w:val="-3"/>
          <w:sz w:val="30"/>
        </w:rPr>
        <w:t xml:space="preserve"> </w:t>
      </w:r>
      <w:r>
        <w:rPr>
          <w:sz w:val="30"/>
        </w:rPr>
        <w:t>doesn’t</w:t>
      </w:r>
      <w:r>
        <w:rPr>
          <w:spacing w:val="-2"/>
          <w:sz w:val="30"/>
        </w:rPr>
        <w:t xml:space="preserve"> </w:t>
      </w:r>
      <w:r>
        <w:rPr>
          <w:sz w:val="30"/>
        </w:rPr>
        <w:t>have</w:t>
      </w:r>
      <w:r>
        <w:rPr>
          <w:spacing w:val="-3"/>
          <w:sz w:val="30"/>
        </w:rPr>
        <w:t xml:space="preserve"> </w:t>
      </w:r>
      <w:r>
        <w:rPr>
          <w:sz w:val="30"/>
        </w:rPr>
        <w:t>that</w:t>
      </w:r>
      <w:r>
        <w:rPr>
          <w:spacing w:val="-2"/>
          <w:sz w:val="30"/>
        </w:rPr>
        <w:t xml:space="preserve"> property.</w:t>
      </w:r>
    </w:p>
    <w:p w14:paraId="7E002B23" w14:textId="77777777" w:rsidR="009A58DB" w:rsidRDefault="009A58DB">
      <w:pPr>
        <w:pStyle w:val="BodyText"/>
        <w:spacing w:before="30"/>
        <w:ind w:left="0"/>
        <w:jc w:val="left"/>
      </w:pPr>
    </w:p>
    <w:p w14:paraId="7E002B24" w14:textId="77777777" w:rsidR="009A58DB" w:rsidRDefault="00000000">
      <w:pPr>
        <w:pStyle w:val="BodyText"/>
        <w:spacing w:line="249" w:lineRule="auto"/>
        <w:ind w:right="358"/>
      </w:pPr>
      <w:r>
        <w:t>Given</w:t>
      </w:r>
      <w:r>
        <w:rPr>
          <w:spacing w:val="-3"/>
        </w:rPr>
        <w:t xml:space="preserve"> </w:t>
      </w:r>
      <w:r>
        <w:t>the</w:t>
      </w:r>
      <w:r>
        <w:rPr>
          <w:spacing w:val="-3"/>
        </w:rPr>
        <w:t xml:space="preserve"> </w:t>
      </w:r>
      <w:r>
        <w:t>axiom</w:t>
      </w:r>
      <w:r>
        <w:rPr>
          <w:spacing w:val="-3"/>
        </w:rPr>
        <w:t xml:space="preserve"> </w:t>
      </w:r>
      <w:r>
        <w:t>of</w:t>
      </w:r>
      <w:r>
        <w:rPr>
          <w:spacing w:val="-3"/>
        </w:rPr>
        <w:t xml:space="preserve"> </w:t>
      </w:r>
      <w:r>
        <w:t>comprehension,</w:t>
      </w:r>
      <w:r>
        <w:rPr>
          <w:spacing w:val="-3"/>
        </w:rPr>
        <w:t xml:space="preserve"> </w:t>
      </w:r>
      <w:r>
        <w:t>one</w:t>
      </w:r>
      <w:r>
        <w:rPr>
          <w:spacing w:val="-3"/>
        </w:rPr>
        <w:t xml:space="preserve"> </w:t>
      </w:r>
      <w:r>
        <w:t>of</w:t>
      </w:r>
      <w:r>
        <w:rPr>
          <w:spacing w:val="-3"/>
        </w:rPr>
        <w:t xml:space="preserve"> </w:t>
      </w:r>
      <w:r>
        <w:t>those</w:t>
      </w:r>
      <w:r>
        <w:rPr>
          <w:spacing w:val="-3"/>
        </w:rPr>
        <w:t xml:space="preserve"> </w:t>
      </w:r>
      <w:r>
        <w:t>two</w:t>
      </w:r>
      <w:r>
        <w:rPr>
          <w:spacing w:val="-3"/>
        </w:rPr>
        <w:t xml:space="preserve"> </w:t>
      </w:r>
      <w:r>
        <w:t>statements</w:t>
      </w:r>
      <w:r>
        <w:rPr>
          <w:spacing w:val="-3"/>
        </w:rPr>
        <w:t xml:space="preserve"> </w:t>
      </w:r>
      <w:r>
        <w:t>must</w:t>
      </w:r>
      <w:r>
        <w:rPr>
          <w:spacing w:val="-3"/>
        </w:rPr>
        <w:t xml:space="preserve"> </w:t>
      </w:r>
      <w:r>
        <w:t>be</w:t>
      </w:r>
      <w:r>
        <w:rPr>
          <w:spacing w:val="-3"/>
        </w:rPr>
        <w:t xml:space="preserve"> </w:t>
      </w:r>
      <w:r>
        <w:t>true. Since</w:t>
      </w:r>
      <w:r>
        <w:rPr>
          <w:spacing w:val="-4"/>
        </w:rPr>
        <w:t xml:space="preserve"> </w:t>
      </w:r>
      <w:r>
        <w:t>the</w:t>
      </w:r>
      <w:r>
        <w:rPr>
          <w:spacing w:val="-4"/>
        </w:rPr>
        <w:t xml:space="preserve"> </w:t>
      </w:r>
      <w:r>
        <w:t>axiom</w:t>
      </w:r>
      <w:r>
        <w:rPr>
          <w:spacing w:val="-4"/>
        </w:rPr>
        <w:t xml:space="preserve"> </w:t>
      </w:r>
      <w:r>
        <w:t>of</w:t>
      </w:r>
      <w:r>
        <w:rPr>
          <w:spacing w:val="-4"/>
        </w:rPr>
        <w:t xml:space="preserve"> </w:t>
      </w:r>
      <w:r>
        <w:t>comprehension</w:t>
      </w:r>
      <w:r>
        <w:rPr>
          <w:spacing w:val="-3"/>
        </w:rPr>
        <w:t xml:space="preserve"> </w:t>
      </w:r>
      <w:r>
        <w:t>therefore</w:t>
      </w:r>
      <w:r>
        <w:rPr>
          <w:spacing w:val="-4"/>
        </w:rPr>
        <w:t xml:space="preserve"> </w:t>
      </w:r>
      <w:r>
        <w:t>entails</w:t>
      </w:r>
      <w:r>
        <w:rPr>
          <w:spacing w:val="-4"/>
        </w:rPr>
        <w:t xml:space="preserve"> </w:t>
      </w:r>
      <w:r>
        <w:t>a</w:t>
      </w:r>
      <w:r>
        <w:rPr>
          <w:spacing w:val="-4"/>
        </w:rPr>
        <w:t xml:space="preserve"> </w:t>
      </w:r>
      <w:r>
        <w:t>contradiction,</w:t>
      </w:r>
      <w:r>
        <w:rPr>
          <w:spacing w:val="-3"/>
        </w:rPr>
        <w:t xml:space="preserve"> </w:t>
      </w:r>
      <w:r>
        <w:t>it</w:t>
      </w:r>
      <w:r>
        <w:rPr>
          <w:spacing w:val="-4"/>
        </w:rPr>
        <w:t xml:space="preserve"> </w:t>
      </w:r>
      <w:r>
        <w:t>is</w:t>
      </w:r>
      <w:r>
        <w:rPr>
          <w:spacing w:val="-4"/>
        </w:rPr>
        <w:t xml:space="preserve"> </w:t>
      </w:r>
      <w:r>
        <w:t>false.</w:t>
      </w:r>
    </w:p>
    <w:p w14:paraId="7E002B2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26" w14:textId="77777777" w:rsidR="009A58DB" w:rsidRDefault="00000000">
      <w:pPr>
        <w:pStyle w:val="BodyText"/>
        <w:spacing w:before="65" w:line="249" w:lineRule="auto"/>
        <w:ind w:right="369"/>
      </w:pPr>
      <w:r>
        <w:lastRenderedPageBreak/>
        <w:t>How exactly it must be modified is a matter of debate. See “axiom,” “property,” and “set.”</w:t>
      </w:r>
    </w:p>
    <w:p w14:paraId="7E002B27" w14:textId="77777777" w:rsidR="009A58DB" w:rsidRDefault="009A58DB">
      <w:pPr>
        <w:pStyle w:val="BodyText"/>
        <w:spacing w:before="17"/>
        <w:ind w:left="0"/>
        <w:jc w:val="left"/>
      </w:pPr>
    </w:p>
    <w:p w14:paraId="7E002B28" w14:textId="77777777" w:rsidR="009A58DB" w:rsidRDefault="00000000">
      <w:pPr>
        <w:spacing w:line="249" w:lineRule="auto"/>
        <w:ind w:left="360" w:right="367"/>
        <w:jc w:val="both"/>
        <w:rPr>
          <w:sz w:val="30"/>
        </w:rPr>
      </w:pPr>
      <w:r>
        <w:rPr>
          <w:b/>
          <w:i/>
          <w:sz w:val="30"/>
        </w:rPr>
        <w:t xml:space="preserve">Axiom of extensionality: </w:t>
      </w:r>
      <w:r>
        <w:rPr>
          <w:sz w:val="30"/>
        </w:rPr>
        <w:t>Sets are identical if and only if they have exactly the same members.</w:t>
      </w:r>
    </w:p>
    <w:p w14:paraId="7E002B29" w14:textId="77777777" w:rsidR="009A58DB" w:rsidRDefault="009A58DB">
      <w:pPr>
        <w:pStyle w:val="BodyText"/>
        <w:spacing w:before="17"/>
        <w:ind w:left="0"/>
        <w:jc w:val="left"/>
      </w:pPr>
    </w:p>
    <w:p w14:paraId="7E002B2A" w14:textId="77777777" w:rsidR="009A58DB" w:rsidRDefault="00000000">
      <w:pPr>
        <w:pStyle w:val="BodyText"/>
        <w:spacing w:before="1" w:line="249" w:lineRule="auto"/>
        <w:ind w:right="372"/>
      </w:pPr>
      <w:r>
        <w:rPr>
          <w:b/>
          <w:i/>
        </w:rPr>
        <w:t xml:space="preserve">Axiomatic system: </w:t>
      </w:r>
      <w:r>
        <w:t>The set of statements consisting of certain axioms along with the statements that follow from them. See “axiom.”</w:t>
      </w:r>
    </w:p>
    <w:p w14:paraId="7E002B2B" w14:textId="77777777" w:rsidR="009A58DB" w:rsidRDefault="009A58DB">
      <w:pPr>
        <w:pStyle w:val="BodyText"/>
        <w:spacing w:before="17"/>
        <w:ind w:left="0"/>
        <w:jc w:val="left"/>
      </w:pPr>
    </w:p>
    <w:p w14:paraId="7E002B2C" w14:textId="77777777" w:rsidR="009A58DB" w:rsidRDefault="00000000">
      <w:pPr>
        <w:pStyle w:val="BodyText"/>
        <w:spacing w:line="249" w:lineRule="auto"/>
        <w:ind w:right="361"/>
      </w:pPr>
      <w:r>
        <w:rPr>
          <w:b/>
          <w:i/>
        </w:rPr>
        <w:t xml:space="preserve">Axiomatization: </w:t>
      </w:r>
      <w:r>
        <w:t>To axiomatize a discipline is to identify a small number of propositions and a small number of inference-rules such that all of the results of that discipline follow from those propositions by means of those inference rules. An axiomatization of a discipline is what results when it is successfully axiomatized. See “inference rule.”</w:t>
      </w:r>
    </w:p>
    <w:p w14:paraId="7E002B2D" w14:textId="77777777" w:rsidR="009A58DB" w:rsidRDefault="009A58DB">
      <w:pPr>
        <w:pStyle w:val="BodyText"/>
        <w:spacing w:before="21"/>
        <w:ind w:left="0"/>
        <w:jc w:val="left"/>
      </w:pPr>
    </w:p>
    <w:p w14:paraId="7E002B2E" w14:textId="77777777" w:rsidR="009A58DB" w:rsidRDefault="00000000">
      <w:pPr>
        <w:ind w:left="360"/>
        <w:jc w:val="both"/>
        <w:rPr>
          <w:sz w:val="30"/>
        </w:rPr>
      </w:pPr>
      <w:r>
        <w:rPr>
          <w:b/>
          <w:i/>
          <w:sz w:val="30"/>
        </w:rPr>
        <w:t>Backtracking</w:t>
      </w:r>
      <w:r>
        <w:rPr>
          <w:b/>
          <w:i/>
          <w:spacing w:val="-9"/>
          <w:sz w:val="30"/>
        </w:rPr>
        <w:t xml:space="preserve"> </w:t>
      </w:r>
      <w:r>
        <w:rPr>
          <w:b/>
          <w:i/>
          <w:sz w:val="30"/>
        </w:rPr>
        <w:t>counterfactual:</w:t>
      </w:r>
      <w:r>
        <w:rPr>
          <w:b/>
          <w:i/>
          <w:spacing w:val="-7"/>
          <w:sz w:val="30"/>
        </w:rPr>
        <w:t xml:space="preserve"> </w:t>
      </w:r>
      <w:r>
        <w:rPr>
          <w:i/>
          <w:sz w:val="30"/>
        </w:rPr>
        <w:t>See</w:t>
      </w:r>
      <w:r>
        <w:rPr>
          <w:i/>
          <w:spacing w:val="-7"/>
          <w:sz w:val="30"/>
        </w:rPr>
        <w:t xml:space="preserve"> </w:t>
      </w:r>
      <w:r>
        <w:rPr>
          <w:i/>
          <w:spacing w:val="-2"/>
          <w:sz w:val="30"/>
        </w:rPr>
        <w:t>“counterfactual.</w:t>
      </w:r>
      <w:r>
        <w:rPr>
          <w:spacing w:val="-2"/>
          <w:sz w:val="30"/>
        </w:rPr>
        <w:t>”</w:t>
      </w:r>
    </w:p>
    <w:p w14:paraId="7E002B2F" w14:textId="77777777" w:rsidR="009A58DB" w:rsidRDefault="009A58DB">
      <w:pPr>
        <w:pStyle w:val="BodyText"/>
        <w:spacing w:before="30"/>
        <w:ind w:left="0"/>
        <w:jc w:val="left"/>
      </w:pPr>
    </w:p>
    <w:p w14:paraId="7E002B30" w14:textId="77777777" w:rsidR="009A58DB" w:rsidRDefault="00000000">
      <w:pPr>
        <w:ind w:left="360"/>
        <w:jc w:val="both"/>
        <w:rPr>
          <w:sz w:val="30"/>
        </w:rPr>
      </w:pPr>
      <w:r>
        <w:rPr>
          <w:b/>
          <w:i/>
          <w:sz w:val="30"/>
        </w:rPr>
        <w:t>Bound</w:t>
      </w:r>
      <w:r>
        <w:rPr>
          <w:b/>
          <w:i/>
          <w:spacing w:val="-5"/>
          <w:sz w:val="30"/>
        </w:rPr>
        <w:t xml:space="preserve"> </w:t>
      </w:r>
      <w:r>
        <w:rPr>
          <w:b/>
          <w:i/>
          <w:sz w:val="30"/>
        </w:rPr>
        <w:t>variable:</w:t>
      </w:r>
      <w:r>
        <w:rPr>
          <w:b/>
          <w:i/>
          <w:spacing w:val="-5"/>
          <w:sz w:val="30"/>
        </w:rPr>
        <w:t xml:space="preserve"> </w:t>
      </w:r>
      <w:r>
        <w:rPr>
          <w:sz w:val="30"/>
        </w:rPr>
        <w:t>See</w:t>
      </w:r>
      <w:r>
        <w:rPr>
          <w:spacing w:val="-5"/>
          <w:sz w:val="30"/>
        </w:rPr>
        <w:t xml:space="preserve"> </w:t>
      </w:r>
      <w:r>
        <w:rPr>
          <w:sz w:val="30"/>
        </w:rPr>
        <w:t>“open-</w:t>
      </w:r>
      <w:r>
        <w:rPr>
          <w:spacing w:val="-2"/>
          <w:sz w:val="30"/>
        </w:rPr>
        <w:t>sentences.”</w:t>
      </w:r>
    </w:p>
    <w:p w14:paraId="7E002B31" w14:textId="77777777" w:rsidR="009A58DB" w:rsidRDefault="009A58DB">
      <w:pPr>
        <w:pStyle w:val="BodyText"/>
        <w:spacing w:before="30"/>
        <w:ind w:left="0"/>
        <w:jc w:val="left"/>
      </w:pPr>
    </w:p>
    <w:p w14:paraId="7E002B32" w14:textId="77777777" w:rsidR="009A58DB" w:rsidRDefault="00000000">
      <w:pPr>
        <w:pStyle w:val="BodyText"/>
        <w:spacing w:line="249" w:lineRule="auto"/>
        <w:ind w:right="365"/>
      </w:pPr>
      <w:r>
        <w:rPr>
          <w:b/>
          <w:i/>
        </w:rPr>
        <w:t xml:space="preserve">Causal law: </w:t>
      </w:r>
      <w:r>
        <w:t>A law to the effect that, if one thing occurs (e.g., fire), some other thing must occur (e.g., smoke).</w:t>
      </w:r>
    </w:p>
    <w:p w14:paraId="7E002B33" w14:textId="77777777" w:rsidR="009A58DB" w:rsidRDefault="009A58DB">
      <w:pPr>
        <w:pStyle w:val="BodyText"/>
        <w:spacing w:before="18"/>
        <w:ind w:left="0"/>
        <w:jc w:val="left"/>
      </w:pPr>
    </w:p>
    <w:p w14:paraId="7E002B34" w14:textId="77777777" w:rsidR="009A58DB" w:rsidRDefault="00000000">
      <w:pPr>
        <w:pStyle w:val="BodyText"/>
        <w:spacing w:line="249" w:lineRule="auto"/>
        <w:ind w:right="362"/>
      </w:pPr>
      <w:r>
        <w:rPr>
          <w:b/>
          <w:i/>
        </w:rPr>
        <w:t xml:space="preserve">Causal inference: </w:t>
      </w:r>
      <w:r>
        <w:t>An inference based on knowledge of a causal law (e.g., I see</w:t>
      </w:r>
      <w:r>
        <w:rPr>
          <w:spacing w:val="-1"/>
        </w:rPr>
        <w:t xml:space="preserve"> </w:t>
      </w:r>
      <w:r>
        <w:t>smoke;</w:t>
      </w:r>
      <w:r>
        <w:rPr>
          <w:spacing w:val="-1"/>
        </w:rPr>
        <w:t xml:space="preserve"> </w:t>
      </w:r>
      <w:r>
        <w:t>I</w:t>
      </w:r>
      <w:r>
        <w:rPr>
          <w:spacing w:val="-1"/>
        </w:rPr>
        <w:t xml:space="preserve"> </w:t>
      </w:r>
      <w:r>
        <w:t>know</w:t>
      </w:r>
      <w:r>
        <w:rPr>
          <w:spacing w:val="-1"/>
        </w:rPr>
        <w:t xml:space="preserve"> </w:t>
      </w:r>
      <w:r>
        <w:t>that</w:t>
      </w:r>
      <w:r>
        <w:rPr>
          <w:spacing w:val="-1"/>
        </w:rPr>
        <w:t xml:space="preserve"> </w:t>
      </w:r>
      <w:r>
        <w:t>there</w:t>
      </w:r>
      <w:r>
        <w:rPr>
          <w:spacing w:val="-1"/>
        </w:rPr>
        <w:t xml:space="preserve"> </w:t>
      </w:r>
      <w:r>
        <w:t>is</w:t>
      </w:r>
      <w:r>
        <w:rPr>
          <w:spacing w:val="-1"/>
        </w:rPr>
        <w:t xml:space="preserve"> </w:t>
      </w:r>
      <w:r>
        <w:t>smoke</w:t>
      </w:r>
      <w:r>
        <w:rPr>
          <w:spacing w:val="-1"/>
        </w:rPr>
        <w:t xml:space="preserve"> </w:t>
      </w:r>
      <w:r>
        <w:t>only</w:t>
      </w:r>
      <w:r>
        <w:rPr>
          <w:spacing w:val="-1"/>
        </w:rPr>
        <w:t xml:space="preserve"> </w:t>
      </w:r>
      <w:r>
        <w:t>if</w:t>
      </w:r>
      <w:r>
        <w:rPr>
          <w:spacing w:val="-1"/>
        </w:rPr>
        <w:t xml:space="preserve"> </w:t>
      </w:r>
      <w:r>
        <w:t>there</w:t>
      </w:r>
      <w:r>
        <w:rPr>
          <w:spacing w:val="-1"/>
        </w:rPr>
        <w:t xml:space="preserve"> </w:t>
      </w:r>
      <w:r>
        <w:t>is</w:t>
      </w:r>
      <w:r>
        <w:rPr>
          <w:spacing w:val="-1"/>
        </w:rPr>
        <w:t xml:space="preserve"> </w:t>
      </w:r>
      <w:r>
        <w:t>fire;</w:t>
      </w:r>
      <w:r>
        <w:rPr>
          <w:spacing w:val="-1"/>
        </w:rPr>
        <w:t xml:space="preserve"> </w:t>
      </w:r>
      <w:r>
        <w:t>so</w:t>
      </w:r>
      <w:r>
        <w:rPr>
          <w:spacing w:val="-1"/>
        </w:rPr>
        <w:t xml:space="preserve"> </w:t>
      </w:r>
      <w:r>
        <w:t>I</w:t>
      </w:r>
      <w:r>
        <w:rPr>
          <w:spacing w:val="-1"/>
        </w:rPr>
        <w:t xml:space="preserve"> </w:t>
      </w:r>
      <w:r>
        <w:t>infer</w:t>
      </w:r>
      <w:r>
        <w:rPr>
          <w:spacing w:val="-1"/>
        </w:rPr>
        <w:t xml:space="preserve"> </w:t>
      </w:r>
      <w:r>
        <w:t>that</w:t>
      </w:r>
      <w:r>
        <w:rPr>
          <w:spacing w:val="-1"/>
        </w:rPr>
        <w:t xml:space="preserve"> </w:t>
      </w:r>
      <w:r>
        <w:t>there is, or was, a fire).</w:t>
      </w:r>
    </w:p>
    <w:p w14:paraId="7E002B35" w14:textId="77777777" w:rsidR="009A58DB" w:rsidRDefault="009A58DB">
      <w:pPr>
        <w:pStyle w:val="BodyText"/>
        <w:spacing w:before="18"/>
        <w:ind w:left="0"/>
        <w:jc w:val="left"/>
      </w:pPr>
    </w:p>
    <w:p w14:paraId="7E002B36" w14:textId="77777777" w:rsidR="009A58DB" w:rsidRDefault="00000000">
      <w:pPr>
        <w:pStyle w:val="BodyText"/>
        <w:spacing w:before="1" w:line="249" w:lineRule="auto"/>
        <w:ind w:right="359"/>
      </w:pPr>
      <w:r>
        <w:rPr>
          <w:b/>
          <w:i/>
        </w:rPr>
        <w:t>Causal</w:t>
      </w:r>
      <w:r>
        <w:rPr>
          <w:b/>
          <w:i/>
          <w:spacing w:val="-3"/>
        </w:rPr>
        <w:t xml:space="preserve"> </w:t>
      </w:r>
      <w:r>
        <w:rPr>
          <w:b/>
          <w:i/>
        </w:rPr>
        <w:t>series:</w:t>
      </w:r>
      <w:r>
        <w:rPr>
          <w:b/>
          <w:i/>
          <w:spacing w:val="-3"/>
        </w:rPr>
        <w:t xml:space="preserve"> </w:t>
      </w:r>
      <w:r>
        <w:t>A series of events such that, given any two of them, one is the (in)direct cause of the other; in other words, a single series of events any one of which is (in)directly caused by some one state of affairs.</w:t>
      </w:r>
    </w:p>
    <w:p w14:paraId="7E002B37" w14:textId="77777777" w:rsidR="009A58DB" w:rsidRDefault="00000000">
      <w:pPr>
        <w:pStyle w:val="BodyText"/>
        <w:spacing w:before="3" w:line="249" w:lineRule="auto"/>
        <w:ind w:right="372" w:firstLine="360"/>
      </w:pPr>
      <w:r>
        <w:t>Like all series, causal series don’t branch. This is a tautology. A ‘series’ is defined to be a non-branching structure.</w:t>
      </w:r>
    </w:p>
    <w:p w14:paraId="7E002B38" w14:textId="77777777" w:rsidR="009A58DB" w:rsidRDefault="00000000">
      <w:pPr>
        <w:pStyle w:val="BodyText"/>
        <w:spacing w:before="3" w:line="249" w:lineRule="auto"/>
        <w:ind w:right="363" w:firstLine="360"/>
      </w:pPr>
      <w:r>
        <w:t>Of course, just a river can fork, so a causal series can branch out. In fact, the</w:t>
      </w:r>
      <w:r>
        <w:rPr>
          <w:spacing w:val="-1"/>
        </w:rPr>
        <w:t xml:space="preserve"> </w:t>
      </w:r>
      <w:r>
        <w:t>forking</w:t>
      </w:r>
      <w:r>
        <w:rPr>
          <w:spacing w:val="-1"/>
        </w:rPr>
        <w:t xml:space="preserve"> </w:t>
      </w:r>
      <w:r>
        <w:t>of</w:t>
      </w:r>
      <w:r>
        <w:rPr>
          <w:spacing w:val="-1"/>
        </w:rPr>
        <w:t xml:space="preserve"> </w:t>
      </w:r>
      <w:r>
        <w:t>a</w:t>
      </w:r>
      <w:r>
        <w:rPr>
          <w:spacing w:val="-1"/>
        </w:rPr>
        <w:t xml:space="preserve"> </w:t>
      </w:r>
      <w:r>
        <w:t>river</w:t>
      </w:r>
      <w:r>
        <w:rPr>
          <w:spacing w:val="-1"/>
        </w:rPr>
        <w:t xml:space="preserve"> </w:t>
      </w:r>
      <w:r>
        <w:t>is</w:t>
      </w:r>
      <w:r>
        <w:rPr>
          <w:spacing w:val="-1"/>
        </w:rPr>
        <w:t xml:space="preserve"> </w:t>
      </w:r>
      <w:r>
        <w:t>a</w:t>
      </w:r>
      <w:r>
        <w:rPr>
          <w:spacing w:val="-1"/>
        </w:rPr>
        <w:t xml:space="preserve"> </w:t>
      </w:r>
      <w:r>
        <w:t>special</w:t>
      </w:r>
      <w:r>
        <w:rPr>
          <w:spacing w:val="-1"/>
        </w:rPr>
        <w:t xml:space="preserve"> </w:t>
      </w:r>
      <w:r>
        <w:t>cause</w:t>
      </w:r>
      <w:r>
        <w:rPr>
          <w:spacing w:val="-1"/>
        </w:rPr>
        <w:t xml:space="preserve"> </w:t>
      </w:r>
      <w:r>
        <w:t>of</w:t>
      </w:r>
      <w:r>
        <w:rPr>
          <w:spacing w:val="-1"/>
        </w:rPr>
        <w:t xml:space="preserve"> </w:t>
      </w:r>
      <w:r>
        <w:t>the</w:t>
      </w:r>
      <w:r>
        <w:rPr>
          <w:spacing w:val="-1"/>
        </w:rPr>
        <w:t xml:space="preserve"> </w:t>
      </w:r>
      <w:r>
        <w:t>branching</w:t>
      </w:r>
      <w:r>
        <w:rPr>
          <w:spacing w:val="-1"/>
        </w:rPr>
        <w:t xml:space="preserve"> </w:t>
      </w:r>
      <w:r>
        <w:t>out</w:t>
      </w:r>
      <w:r>
        <w:rPr>
          <w:spacing w:val="-1"/>
        </w:rPr>
        <w:t xml:space="preserve"> </w:t>
      </w:r>
      <w:r>
        <w:t>of</w:t>
      </w:r>
      <w:r>
        <w:rPr>
          <w:spacing w:val="-1"/>
        </w:rPr>
        <w:t xml:space="preserve"> </w:t>
      </w:r>
      <w:r>
        <w:t>a</w:t>
      </w:r>
      <w:r>
        <w:rPr>
          <w:spacing w:val="-1"/>
        </w:rPr>
        <w:t xml:space="preserve"> </w:t>
      </w:r>
      <w:r>
        <w:t>causal</w:t>
      </w:r>
      <w:r>
        <w:rPr>
          <w:spacing w:val="-1"/>
        </w:rPr>
        <w:t xml:space="preserve"> </w:t>
      </w:r>
      <w:r>
        <w:t xml:space="preserve">series. But for a river to fork is for it to become </w:t>
      </w:r>
      <w:r>
        <w:rPr>
          <w:i/>
        </w:rPr>
        <w:t xml:space="preserve">two </w:t>
      </w:r>
      <w:r>
        <w:t xml:space="preserve">rivers (supposing that the two tributaries don’t later merge). It isn’t for </w:t>
      </w:r>
      <w:r>
        <w:rPr>
          <w:i/>
        </w:rPr>
        <w:t xml:space="preserve">a </w:t>
      </w:r>
      <w:r>
        <w:t>river to become two independent streams</w:t>
      </w:r>
      <w:r>
        <w:rPr>
          <w:spacing w:val="22"/>
        </w:rPr>
        <w:t xml:space="preserve"> </w:t>
      </w:r>
      <w:r>
        <w:t>of</w:t>
      </w:r>
      <w:r>
        <w:rPr>
          <w:spacing w:val="22"/>
        </w:rPr>
        <w:t xml:space="preserve"> </w:t>
      </w:r>
      <w:r>
        <w:t>water.</w:t>
      </w:r>
      <w:r>
        <w:rPr>
          <w:spacing w:val="22"/>
        </w:rPr>
        <w:t xml:space="preserve"> </w:t>
      </w:r>
      <w:r>
        <w:t>Similarly,</w:t>
      </w:r>
      <w:r>
        <w:rPr>
          <w:spacing w:val="22"/>
        </w:rPr>
        <w:t xml:space="preserve"> </w:t>
      </w:r>
      <w:r>
        <w:t>for</w:t>
      </w:r>
      <w:r>
        <w:rPr>
          <w:spacing w:val="22"/>
        </w:rPr>
        <w:t xml:space="preserve"> </w:t>
      </w:r>
      <w:r>
        <w:t>a</w:t>
      </w:r>
      <w:r>
        <w:rPr>
          <w:spacing w:val="22"/>
        </w:rPr>
        <w:t xml:space="preserve"> </w:t>
      </w:r>
      <w:r>
        <w:t>causal</w:t>
      </w:r>
      <w:r>
        <w:rPr>
          <w:spacing w:val="22"/>
        </w:rPr>
        <w:t xml:space="preserve"> </w:t>
      </w:r>
      <w:r>
        <w:t>series</w:t>
      </w:r>
      <w:r>
        <w:rPr>
          <w:spacing w:val="22"/>
        </w:rPr>
        <w:t xml:space="preserve"> </w:t>
      </w:r>
      <w:r>
        <w:t>to</w:t>
      </w:r>
      <w:r>
        <w:rPr>
          <w:spacing w:val="22"/>
        </w:rPr>
        <w:t xml:space="preserve"> </w:t>
      </w:r>
      <w:r>
        <w:t>branch</w:t>
      </w:r>
      <w:r>
        <w:rPr>
          <w:spacing w:val="22"/>
        </w:rPr>
        <w:t xml:space="preserve"> </w:t>
      </w:r>
      <w:r>
        <w:t>is</w:t>
      </w:r>
      <w:r>
        <w:rPr>
          <w:spacing w:val="22"/>
        </w:rPr>
        <w:t xml:space="preserve"> </w:t>
      </w:r>
      <w:r>
        <w:t>for</w:t>
      </w:r>
      <w:r>
        <w:rPr>
          <w:spacing w:val="22"/>
        </w:rPr>
        <w:t xml:space="preserve"> </w:t>
      </w:r>
      <w:r>
        <w:t>it</w:t>
      </w:r>
      <w:r>
        <w:rPr>
          <w:spacing w:val="22"/>
        </w:rPr>
        <w:t xml:space="preserve"> </w:t>
      </w:r>
      <w:r>
        <w:t>to</w:t>
      </w:r>
      <w:r>
        <w:rPr>
          <w:spacing w:val="22"/>
        </w:rPr>
        <w:t xml:space="preserve"> </w:t>
      </w:r>
      <w:r>
        <w:t>become</w:t>
      </w:r>
    </w:p>
    <w:p w14:paraId="7E002B3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3A" w14:textId="77777777" w:rsidR="009A58DB" w:rsidRDefault="00000000">
      <w:pPr>
        <w:pStyle w:val="BodyText"/>
        <w:spacing w:before="65"/>
        <w:jc w:val="left"/>
      </w:pPr>
      <w:r>
        <w:lastRenderedPageBreak/>
        <w:t>multiple</w:t>
      </w:r>
      <w:r>
        <w:rPr>
          <w:spacing w:val="-6"/>
        </w:rPr>
        <w:t xml:space="preserve"> </w:t>
      </w:r>
      <w:r>
        <w:t>series.</w:t>
      </w:r>
      <w:r>
        <w:rPr>
          <w:spacing w:val="-3"/>
        </w:rPr>
        <w:t xml:space="preserve"> </w:t>
      </w:r>
      <w:r>
        <w:t>It</w:t>
      </w:r>
      <w:r>
        <w:rPr>
          <w:spacing w:val="-3"/>
        </w:rPr>
        <w:t xml:space="preserve"> </w:t>
      </w:r>
      <w:r>
        <w:t>is</w:t>
      </w:r>
      <w:r>
        <w:rPr>
          <w:spacing w:val="-4"/>
        </w:rPr>
        <w:t xml:space="preserve"> </w:t>
      </w:r>
      <w:r>
        <w:t>not</w:t>
      </w:r>
      <w:r>
        <w:rPr>
          <w:spacing w:val="-4"/>
        </w:rPr>
        <w:t xml:space="preserve"> </w:t>
      </w:r>
      <w:r>
        <w:t>for</w:t>
      </w:r>
      <w:r>
        <w:rPr>
          <w:spacing w:val="-3"/>
        </w:rPr>
        <w:t xml:space="preserve"> </w:t>
      </w:r>
      <w:r>
        <w:rPr>
          <w:i/>
        </w:rPr>
        <w:t>a</w:t>
      </w:r>
      <w:r>
        <w:rPr>
          <w:i/>
          <w:spacing w:val="-3"/>
        </w:rPr>
        <w:t xml:space="preserve"> </w:t>
      </w:r>
      <w:r>
        <w:t>series</w:t>
      </w:r>
      <w:r>
        <w:rPr>
          <w:spacing w:val="-4"/>
        </w:rPr>
        <w:t xml:space="preserve"> </w:t>
      </w:r>
      <w:r>
        <w:t>to</w:t>
      </w:r>
      <w:r>
        <w:rPr>
          <w:spacing w:val="-2"/>
        </w:rPr>
        <w:t xml:space="preserve"> </w:t>
      </w:r>
      <w:r>
        <w:t>comprise</w:t>
      </w:r>
      <w:r>
        <w:rPr>
          <w:spacing w:val="-4"/>
        </w:rPr>
        <w:t xml:space="preserve"> </w:t>
      </w:r>
      <w:r>
        <w:t>independent</w:t>
      </w:r>
      <w:r>
        <w:rPr>
          <w:spacing w:val="-3"/>
        </w:rPr>
        <w:t xml:space="preserve"> </w:t>
      </w:r>
      <w:r>
        <w:rPr>
          <w:spacing w:val="-2"/>
        </w:rPr>
        <w:t>tributaries.</w:t>
      </w:r>
    </w:p>
    <w:p w14:paraId="7E002B3B" w14:textId="77777777" w:rsidR="009A58DB" w:rsidRDefault="009A58DB">
      <w:pPr>
        <w:pStyle w:val="BodyText"/>
        <w:spacing w:before="29"/>
        <w:ind w:left="0"/>
        <w:jc w:val="left"/>
      </w:pPr>
    </w:p>
    <w:p w14:paraId="7E002B3C" w14:textId="77777777" w:rsidR="009A58DB" w:rsidRDefault="00000000">
      <w:pPr>
        <w:pStyle w:val="BodyText"/>
        <w:spacing w:before="1"/>
        <w:jc w:val="left"/>
      </w:pPr>
      <w:r>
        <w:rPr>
          <w:b/>
          <w:i/>
        </w:rPr>
        <w:t>Class:</w:t>
      </w:r>
      <w:r>
        <w:rPr>
          <w:b/>
          <w:i/>
          <w:spacing w:val="-6"/>
        </w:rPr>
        <w:t xml:space="preserve"> </w:t>
      </w:r>
      <w:r>
        <w:t>Synonymous</w:t>
      </w:r>
      <w:r>
        <w:rPr>
          <w:spacing w:val="-3"/>
        </w:rPr>
        <w:t xml:space="preserve"> </w:t>
      </w:r>
      <w:r>
        <w:t>(in</w:t>
      </w:r>
      <w:r>
        <w:rPr>
          <w:spacing w:val="-2"/>
        </w:rPr>
        <w:t xml:space="preserve"> </w:t>
      </w:r>
      <w:r>
        <w:t>this</w:t>
      </w:r>
      <w:r>
        <w:rPr>
          <w:spacing w:val="-3"/>
        </w:rPr>
        <w:t xml:space="preserve"> </w:t>
      </w:r>
      <w:r>
        <w:t>work,</w:t>
      </w:r>
      <w:r>
        <w:rPr>
          <w:spacing w:val="-3"/>
        </w:rPr>
        <w:t xml:space="preserve"> </w:t>
      </w:r>
      <w:r>
        <w:t>though</w:t>
      </w:r>
      <w:r>
        <w:rPr>
          <w:spacing w:val="-2"/>
        </w:rPr>
        <w:t xml:space="preserve"> </w:t>
      </w:r>
      <w:r>
        <w:t>not</w:t>
      </w:r>
      <w:r>
        <w:rPr>
          <w:spacing w:val="-3"/>
        </w:rPr>
        <w:t xml:space="preserve"> </w:t>
      </w:r>
      <w:r>
        <w:t>in</w:t>
      </w:r>
      <w:r>
        <w:rPr>
          <w:spacing w:val="-3"/>
        </w:rPr>
        <w:t xml:space="preserve"> </w:t>
      </w:r>
      <w:r>
        <w:t>others)</w:t>
      </w:r>
      <w:r>
        <w:rPr>
          <w:spacing w:val="-3"/>
        </w:rPr>
        <w:t xml:space="preserve"> </w:t>
      </w:r>
      <w:r>
        <w:t>with</w:t>
      </w:r>
      <w:r>
        <w:rPr>
          <w:spacing w:val="-2"/>
        </w:rPr>
        <w:t xml:space="preserve"> </w:t>
      </w:r>
      <w:r>
        <w:t>“set.”</w:t>
      </w:r>
      <w:r>
        <w:rPr>
          <w:spacing w:val="-3"/>
        </w:rPr>
        <w:t xml:space="preserve"> </w:t>
      </w:r>
      <w:r>
        <w:t>See</w:t>
      </w:r>
      <w:r>
        <w:rPr>
          <w:spacing w:val="-3"/>
        </w:rPr>
        <w:t xml:space="preserve"> </w:t>
      </w:r>
      <w:r>
        <w:rPr>
          <w:spacing w:val="-2"/>
        </w:rPr>
        <w:t>“set.”</w:t>
      </w:r>
    </w:p>
    <w:p w14:paraId="7E002B3D" w14:textId="77777777" w:rsidR="009A58DB" w:rsidRDefault="009A58DB">
      <w:pPr>
        <w:pStyle w:val="BodyText"/>
        <w:spacing w:before="30"/>
        <w:ind w:left="0"/>
        <w:jc w:val="left"/>
      </w:pPr>
    </w:p>
    <w:p w14:paraId="7E002B3E" w14:textId="77777777" w:rsidR="009A58DB" w:rsidRDefault="00000000">
      <w:pPr>
        <w:spacing w:line="249" w:lineRule="auto"/>
        <w:ind w:left="360" w:right="358"/>
        <w:jc w:val="both"/>
        <w:rPr>
          <w:sz w:val="30"/>
        </w:rPr>
      </w:pPr>
      <w:r>
        <w:rPr>
          <w:b/>
          <w:i/>
          <w:sz w:val="30"/>
        </w:rPr>
        <w:t xml:space="preserve">Coherence and incoherence: </w:t>
      </w:r>
      <w:r>
        <w:rPr>
          <w:sz w:val="30"/>
        </w:rPr>
        <w:t>An “incoherent” statement is one that undermines itself. Consider the statement:</w:t>
      </w:r>
    </w:p>
    <w:p w14:paraId="7E002B3F" w14:textId="77777777" w:rsidR="009A58DB" w:rsidRDefault="009A58DB">
      <w:pPr>
        <w:pStyle w:val="BodyText"/>
        <w:spacing w:before="17"/>
        <w:ind w:left="0"/>
        <w:jc w:val="left"/>
      </w:pPr>
    </w:p>
    <w:p w14:paraId="7E002B40" w14:textId="77777777" w:rsidR="009A58DB" w:rsidRDefault="00000000">
      <w:pPr>
        <w:pStyle w:val="BodyText"/>
        <w:jc w:val="left"/>
      </w:pPr>
      <w:r>
        <w:t>(BC)</w:t>
      </w:r>
      <w:r>
        <w:rPr>
          <w:spacing w:val="-5"/>
        </w:rPr>
        <w:t xml:space="preserve"> </w:t>
      </w:r>
      <w:r>
        <w:t>“Bill</w:t>
      </w:r>
      <w:r>
        <w:rPr>
          <w:spacing w:val="-3"/>
        </w:rPr>
        <w:t xml:space="preserve"> </w:t>
      </w:r>
      <w:r>
        <w:t>has</w:t>
      </w:r>
      <w:r>
        <w:rPr>
          <w:spacing w:val="-3"/>
        </w:rPr>
        <w:t xml:space="preserve"> </w:t>
      </w:r>
      <w:r>
        <w:t>four</w:t>
      </w:r>
      <w:r>
        <w:rPr>
          <w:spacing w:val="-2"/>
        </w:rPr>
        <w:t xml:space="preserve"> </w:t>
      </w:r>
      <w:r>
        <w:t>cars,</w:t>
      </w:r>
      <w:r>
        <w:rPr>
          <w:spacing w:val="-2"/>
        </w:rPr>
        <w:t xml:space="preserve"> </w:t>
      </w:r>
      <w:r>
        <w:t>but</w:t>
      </w:r>
      <w:r>
        <w:rPr>
          <w:spacing w:val="-3"/>
        </w:rPr>
        <w:t xml:space="preserve"> </w:t>
      </w:r>
      <w:r>
        <w:t>he</w:t>
      </w:r>
      <w:r>
        <w:rPr>
          <w:spacing w:val="-3"/>
        </w:rPr>
        <w:t xml:space="preserve"> </w:t>
      </w:r>
      <w:r>
        <w:t>doesn’t</w:t>
      </w:r>
      <w:r>
        <w:rPr>
          <w:spacing w:val="-2"/>
        </w:rPr>
        <w:t xml:space="preserve"> </w:t>
      </w:r>
      <w:r>
        <w:t>have</w:t>
      </w:r>
      <w:r>
        <w:rPr>
          <w:spacing w:val="-3"/>
        </w:rPr>
        <w:t xml:space="preserve"> </w:t>
      </w:r>
      <w:r>
        <w:t>more</w:t>
      </w:r>
      <w:r>
        <w:rPr>
          <w:spacing w:val="-3"/>
        </w:rPr>
        <w:t xml:space="preserve"> </w:t>
      </w:r>
      <w:r>
        <w:t>than</w:t>
      </w:r>
      <w:r>
        <w:rPr>
          <w:spacing w:val="-2"/>
        </w:rPr>
        <w:t xml:space="preserve"> </w:t>
      </w:r>
      <w:r>
        <w:t>one</w:t>
      </w:r>
      <w:r>
        <w:rPr>
          <w:spacing w:val="-2"/>
        </w:rPr>
        <w:t xml:space="preserve"> car.”</w:t>
      </w:r>
    </w:p>
    <w:p w14:paraId="7E002B41" w14:textId="77777777" w:rsidR="009A58DB" w:rsidRDefault="009A58DB">
      <w:pPr>
        <w:pStyle w:val="BodyText"/>
        <w:spacing w:before="30"/>
        <w:ind w:left="0"/>
        <w:jc w:val="left"/>
      </w:pPr>
    </w:p>
    <w:p w14:paraId="7E002B42" w14:textId="77777777" w:rsidR="009A58DB" w:rsidRDefault="00000000">
      <w:pPr>
        <w:pStyle w:val="BodyText"/>
        <w:spacing w:line="249" w:lineRule="auto"/>
        <w:ind w:right="371"/>
      </w:pPr>
      <w:r>
        <w:t>BC is self-defeating. Its own meaning prevents it from being true. Therefore it is “incoherent.”</w:t>
      </w:r>
    </w:p>
    <w:p w14:paraId="7E002B43" w14:textId="77777777" w:rsidR="009A58DB" w:rsidRDefault="00000000">
      <w:pPr>
        <w:pStyle w:val="BodyText"/>
        <w:spacing w:before="3" w:line="249" w:lineRule="auto"/>
        <w:ind w:right="365" w:firstLine="360"/>
      </w:pPr>
      <w:r>
        <w:t xml:space="preserve">It’s clear that </w:t>
      </w:r>
      <w:r>
        <w:rPr>
          <w:i/>
        </w:rPr>
        <w:t>any</w:t>
      </w:r>
      <w:r>
        <w:rPr>
          <w:i/>
          <w:spacing w:val="-3"/>
        </w:rPr>
        <w:t xml:space="preserve"> </w:t>
      </w:r>
      <w:r>
        <w:t>statement to the effect that someone had four cars while having no more than one car would be incoherent. So the concept of such a person is one that couldn’t be actualized; and any statement to the effect that it was actualized would be incoherent. Such concepts are described as “incoherent.” (In this context, the term “concept” is synonymous with the term “condition,” and the expression “to actualize a concept” is synonymous with the expression “to fulfill a condition.”)</w:t>
      </w:r>
    </w:p>
    <w:p w14:paraId="7E002B44" w14:textId="77777777" w:rsidR="009A58DB" w:rsidRDefault="00000000">
      <w:pPr>
        <w:pStyle w:val="BodyText"/>
        <w:spacing w:before="8"/>
        <w:ind w:left="720"/>
      </w:pPr>
      <w:r>
        <w:t>Concepts</w:t>
      </w:r>
      <w:r>
        <w:rPr>
          <w:spacing w:val="-6"/>
        </w:rPr>
        <w:t xml:space="preserve"> </w:t>
      </w:r>
      <w:r>
        <w:t>are</w:t>
      </w:r>
      <w:r>
        <w:rPr>
          <w:spacing w:val="-4"/>
        </w:rPr>
        <w:t xml:space="preserve"> </w:t>
      </w:r>
      <w:r>
        <w:t>conditions.</w:t>
      </w:r>
      <w:r>
        <w:rPr>
          <w:spacing w:val="-2"/>
        </w:rPr>
        <w:t xml:space="preserve"> </w:t>
      </w:r>
      <w:r>
        <w:t>To</w:t>
      </w:r>
      <w:r>
        <w:rPr>
          <w:spacing w:val="-3"/>
        </w:rPr>
        <w:t xml:space="preserve"> </w:t>
      </w:r>
      <w:r>
        <w:t>actualize</w:t>
      </w:r>
      <w:r>
        <w:rPr>
          <w:spacing w:val="-4"/>
        </w:rPr>
        <w:t xml:space="preserve"> </w:t>
      </w:r>
      <w:r>
        <w:t>a</w:t>
      </w:r>
      <w:r>
        <w:rPr>
          <w:spacing w:val="-3"/>
        </w:rPr>
        <w:t xml:space="preserve"> </w:t>
      </w:r>
      <w:r>
        <w:t>concept</w:t>
      </w:r>
      <w:r>
        <w:rPr>
          <w:spacing w:val="-4"/>
        </w:rPr>
        <w:t xml:space="preserve"> </w:t>
      </w:r>
      <w:r>
        <w:t>is</w:t>
      </w:r>
      <w:r>
        <w:rPr>
          <w:spacing w:val="-4"/>
        </w:rPr>
        <w:t xml:space="preserve"> </w:t>
      </w:r>
      <w:r>
        <w:t>to</w:t>
      </w:r>
      <w:r>
        <w:rPr>
          <w:spacing w:val="-2"/>
        </w:rPr>
        <w:t xml:space="preserve"> </w:t>
      </w:r>
      <w:r>
        <w:t>fulfill</w:t>
      </w:r>
      <w:r>
        <w:rPr>
          <w:spacing w:val="-4"/>
        </w:rPr>
        <w:t xml:space="preserve"> </w:t>
      </w:r>
      <w:r>
        <w:t>a</w:t>
      </w:r>
      <w:r>
        <w:rPr>
          <w:spacing w:val="-3"/>
        </w:rPr>
        <w:t xml:space="preserve"> </w:t>
      </w:r>
      <w:r>
        <w:rPr>
          <w:spacing w:val="-2"/>
        </w:rPr>
        <w:t>condition.</w:t>
      </w:r>
    </w:p>
    <w:p w14:paraId="7E002B45" w14:textId="77777777" w:rsidR="009A58DB" w:rsidRDefault="009A58DB">
      <w:pPr>
        <w:pStyle w:val="BodyText"/>
        <w:sectPr w:rsidR="009A58DB">
          <w:pgSz w:w="12240" w:h="15840"/>
          <w:pgMar w:top="1380" w:right="1080" w:bottom="280" w:left="1080" w:header="720" w:footer="720" w:gutter="0"/>
          <w:cols w:space="720"/>
        </w:sectPr>
      </w:pPr>
    </w:p>
    <w:p w14:paraId="7E002B46" w14:textId="77777777" w:rsidR="009A58DB" w:rsidRDefault="00000000">
      <w:pPr>
        <w:pStyle w:val="BodyText"/>
        <w:spacing w:before="65" w:line="249" w:lineRule="auto"/>
        <w:ind w:right="358"/>
      </w:pPr>
      <w:r>
        <w:lastRenderedPageBreak/>
        <w:t>“</w:t>
      </w:r>
      <w:r>
        <w:rPr>
          <w:b/>
          <w:i/>
        </w:rPr>
        <w:t>Ceteris</w:t>
      </w:r>
      <w:r>
        <w:rPr>
          <w:b/>
          <w:i/>
          <w:spacing w:val="-4"/>
        </w:rPr>
        <w:t xml:space="preserve"> </w:t>
      </w:r>
      <w:r>
        <w:rPr>
          <w:b/>
          <w:i/>
        </w:rPr>
        <w:t>paribus</w:t>
      </w:r>
      <w:r>
        <w:t>”:</w:t>
      </w:r>
      <w:r>
        <w:rPr>
          <w:spacing w:val="-2"/>
        </w:rPr>
        <w:t xml:space="preserve"> </w:t>
      </w:r>
      <w:r>
        <w:t>Synonymous</w:t>
      </w:r>
      <w:r>
        <w:rPr>
          <w:spacing w:val="-2"/>
        </w:rPr>
        <w:t xml:space="preserve"> </w:t>
      </w:r>
      <w:r>
        <w:t>with</w:t>
      </w:r>
      <w:r>
        <w:rPr>
          <w:spacing w:val="-2"/>
        </w:rPr>
        <w:t xml:space="preserve"> </w:t>
      </w:r>
      <w:r>
        <w:t>“other</w:t>
      </w:r>
      <w:r>
        <w:rPr>
          <w:spacing w:val="-2"/>
        </w:rPr>
        <w:t xml:space="preserve"> </w:t>
      </w:r>
      <w:r>
        <w:t>things</w:t>
      </w:r>
      <w:r>
        <w:rPr>
          <w:spacing w:val="-2"/>
        </w:rPr>
        <w:t xml:space="preserve"> </w:t>
      </w:r>
      <w:r>
        <w:t>being</w:t>
      </w:r>
      <w:r>
        <w:rPr>
          <w:spacing w:val="-2"/>
        </w:rPr>
        <w:t xml:space="preserve"> </w:t>
      </w:r>
      <w:r>
        <w:t>equal”</w:t>
      </w:r>
      <w:r>
        <w:rPr>
          <w:spacing w:val="-2"/>
        </w:rPr>
        <w:t xml:space="preserve"> </w:t>
      </w:r>
      <w:r>
        <w:t>and</w:t>
      </w:r>
      <w:r>
        <w:rPr>
          <w:spacing w:val="-2"/>
        </w:rPr>
        <w:t xml:space="preserve"> </w:t>
      </w:r>
      <w:r>
        <w:t xml:space="preserve">“holding all other factors constant.” </w:t>
      </w:r>
      <w:r>
        <w:rPr>
          <w:i/>
        </w:rPr>
        <w:t>Ceteris paribus</w:t>
      </w:r>
      <w:r>
        <w:t xml:space="preserve">, a person with money is more likely to be happy than a person with no money. In other words, given two </w:t>
      </w:r>
      <w:r>
        <w:rPr>
          <w:i/>
        </w:rPr>
        <w:t xml:space="preserve">otherwise comparable </w:t>
      </w:r>
      <w:r>
        <w:t>people, one of whom has money, the other of whom does not, the former is more likely to be happy than the latter. But if the former has a painful chronic illness and his dreams have been all been shattered (etc.) whereas the former is in the pink of health and he feels himself to be on the cusp of success, the latter will probably be happier than the former.</w:t>
      </w:r>
    </w:p>
    <w:p w14:paraId="7E002B47" w14:textId="77777777" w:rsidR="009A58DB" w:rsidRDefault="009A58DB">
      <w:pPr>
        <w:pStyle w:val="BodyText"/>
        <w:spacing w:before="26"/>
        <w:ind w:left="0"/>
        <w:jc w:val="left"/>
      </w:pPr>
    </w:p>
    <w:p w14:paraId="7E002B48" w14:textId="77777777" w:rsidR="009A58DB" w:rsidRDefault="00000000">
      <w:pPr>
        <w:spacing w:line="249" w:lineRule="auto"/>
        <w:ind w:left="360" w:right="357"/>
        <w:jc w:val="both"/>
        <w:rPr>
          <w:sz w:val="30"/>
        </w:rPr>
      </w:pPr>
      <w:r>
        <w:rPr>
          <w:b/>
          <w:i/>
          <w:sz w:val="30"/>
        </w:rPr>
        <w:t xml:space="preserve">Coherently conceivable circumstance (or scenario): </w:t>
      </w:r>
      <w:r>
        <w:rPr>
          <w:sz w:val="30"/>
        </w:rPr>
        <w:t xml:space="preserve">A circumstance is coherently conceivable just in case one is not guilty of self-contradiction in virtue of believing it to hold. So even though Kerry is not the U.S. President in 2007, the proposition </w:t>
      </w:r>
      <w:r>
        <w:rPr>
          <w:i/>
          <w:sz w:val="30"/>
        </w:rPr>
        <w:t xml:space="preserve">Kerry is U.S. President in 2007 </w:t>
      </w:r>
      <w:r>
        <w:rPr>
          <w:sz w:val="30"/>
        </w:rPr>
        <w:t xml:space="preserve">is not self-undermining—it isn’t like </w:t>
      </w:r>
      <w:r>
        <w:rPr>
          <w:i/>
          <w:sz w:val="30"/>
        </w:rPr>
        <w:t xml:space="preserve">x is knowledge but not belief </w:t>
      </w:r>
      <w:r>
        <w:rPr>
          <w:sz w:val="30"/>
        </w:rPr>
        <w:t xml:space="preserve">or </w:t>
      </w:r>
      <w:r>
        <w:rPr>
          <w:i/>
          <w:sz w:val="30"/>
        </w:rPr>
        <w:t xml:space="preserve">1 + 1 = 3. </w:t>
      </w:r>
      <w:r>
        <w:rPr>
          <w:sz w:val="30"/>
        </w:rPr>
        <w:t>So</w:t>
      </w:r>
      <w:r>
        <w:rPr>
          <w:spacing w:val="40"/>
          <w:sz w:val="30"/>
        </w:rPr>
        <w:t xml:space="preserve"> </w:t>
      </w:r>
      <w:r>
        <w:rPr>
          <w:sz w:val="30"/>
        </w:rPr>
        <w:t xml:space="preserve">while all beliefs requiring the existence of circumstances that are </w:t>
      </w:r>
      <w:r>
        <w:rPr>
          <w:i/>
          <w:sz w:val="30"/>
        </w:rPr>
        <w:t xml:space="preserve">not </w:t>
      </w:r>
      <w:r>
        <w:rPr>
          <w:sz w:val="30"/>
        </w:rPr>
        <w:t>coherently conceivable are false, not all false beliefs require the existence of such circumstances. See “coherence and incoherence.”</w:t>
      </w:r>
    </w:p>
    <w:p w14:paraId="7E002B49" w14:textId="77777777" w:rsidR="009A58DB" w:rsidRDefault="009A58DB">
      <w:pPr>
        <w:pStyle w:val="BodyText"/>
        <w:spacing w:before="24"/>
        <w:ind w:left="0"/>
        <w:jc w:val="left"/>
      </w:pPr>
    </w:p>
    <w:p w14:paraId="7E002B4A" w14:textId="77777777" w:rsidR="009A58DB" w:rsidRDefault="00000000">
      <w:pPr>
        <w:pStyle w:val="BodyText"/>
        <w:spacing w:before="1" w:line="249" w:lineRule="auto"/>
        <w:ind w:right="363"/>
      </w:pPr>
      <w:r>
        <w:rPr>
          <w:b/>
          <w:i/>
        </w:rPr>
        <w:t xml:space="preserve">Compatibilism: </w:t>
      </w:r>
      <w:r>
        <w:t>The doctrine that there can be personal freedom in a deterministic world. “Incompatibilism” is the doctrine that compatibilism is false. See “determinism” and “incompatibilism.”</w:t>
      </w:r>
    </w:p>
    <w:p w14:paraId="7E002B4B" w14:textId="77777777" w:rsidR="009A58DB" w:rsidRDefault="009A58DB">
      <w:pPr>
        <w:pStyle w:val="BodyText"/>
        <w:spacing w:before="18"/>
        <w:ind w:left="0"/>
        <w:jc w:val="left"/>
      </w:pPr>
    </w:p>
    <w:p w14:paraId="7E002B4C" w14:textId="77777777" w:rsidR="009A58DB" w:rsidRDefault="00000000">
      <w:pPr>
        <w:spacing w:line="249" w:lineRule="auto"/>
        <w:ind w:left="360" w:right="358"/>
        <w:jc w:val="both"/>
        <w:rPr>
          <w:sz w:val="30"/>
        </w:rPr>
      </w:pPr>
      <w:r>
        <w:rPr>
          <w:b/>
          <w:i/>
          <w:sz w:val="30"/>
        </w:rPr>
        <w:t xml:space="preserve">Compatible: </w:t>
      </w:r>
      <w:r>
        <w:rPr>
          <w:sz w:val="30"/>
        </w:rPr>
        <w:t>P and Q are compatible statements if they can both be true. Thus, P and Q are compatible if, supposing that the one is true, it doesn’t follow</w:t>
      </w:r>
      <w:r>
        <w:rPr>
          <w:spacing w:val="-1"/>
          <w:sz w:val="30"/>
        </w:rPr>
        <w:t xml:space="preserve"> </w:t>
      </w:r>
      <w:r>
        <w:rPr>
          <w:sz w:val="30"/>
        </w:rPr>
        <w:t>that</w:t>
      </w:r>
      <w:r>
        <w:rPr>
          <w:spacing w:val="-2"/>
          <w:sz w:val="30"/>
        </w:rPr>
        <w:t xml:space="preserve"> </w:t>
      </w:r>
      <w:r>
        <w:rPr>
          <w:sz w:val="30"/>
        </w:rPr>
        <w:t>the</w:t>
      </w:r>
      <w:r>
        <w:rPr>
          <w:spacing w:val="-1"/>
          <w:sz w:val="30"/>
        </w:rPr>
        <w:t xml:space="preserve"> </w:t>
      </w:r>
      <w:r>
        <w:rPr>
          <w:sz w:val="30"/>
        </w:rPr>
        <w:t>other</w:t>
      </w:r>
      <w:r>
        <w:rPr>
          <w:spacing w:val="-1"/>
          <w:sz w:val="30"/>
        </w:rPr>
        <w:t xml:space="preserve"> </w:t>
      </w:r>
      <w:r>
        <w:rPr>
          <w:sz w:val="30"/>
        </w:rPr>
        <w:t>is</w:t>
      </w:r>
      <w:r>
        <w:rPr>
          <w:spacing w:val="-1"/>
          <w:sz w:val="30"/>
        </w:rPr>
        <w:t xml:space="preserve"> </w:t>
      </w:r>
      <w:r>
        <w:rPr>
          <w:sz w:val="30"/>
        </w:rPr>
        <w:t>false.</w:t>
      </w:r>
      <w:r>
        <w:rPr>
          <w:spacing w:val="-1"/>
          <w:sz w:val="30"/>
        </w:rPr>
        <w:t xml:space="preserve"> </w:t>
      </w:r>
      <w:r>
        <w:rPr>
          <w:sz w:val="30"/>
        </w:rPr>
        <w:t>“So</w:t>
      </w:r>
      <w:r>
        <w:rPr>
          <w:spacing w:val="-1"/>
          <w:sz w:val="30"/>
        </w:rPr>
        <w:t xml:space="preserve"> </w:t>
      </w:r>
      <w:r>
        <w:rPr>
          <w:i/>
          <w:sz w:val="30"/>
        </w:rPr>
        <w:t>JM</w:t>
      </w:r>
      <w:r>
        <w:rPr>
          <w:i/>
          <w:spacing w:val="-4"/>
          <w:sz w:val="30"/>
        </w:rPr>
        <w:t xml:space="preserve"> </w:t>
      </w:r>
      <w:r>
        <w:rPr>
          <w:i/>
          <w:sz w:val="30"/>
        </w:rPr>
        <w:t>is</w:t>
      </w:r>
      <w:r>
        <w:rPr>
          <w:i/>
          <w:spacing w:val="-4"/>
          <w:sz w:val="30"/>
        </w:rPr>
        <w:t xml:space="preserve"> </w:t>
      </w:r>
      <w:r>
        <w:rPr>
          <w:i/>
          <w:sz w:val="30"/>
        </w:rPr>
        <w:t>a</w:t>
      </w:r>
      <w:r>
        <w:rPr>
          <w:i/>
          <w:spacing w:val="-3"/>
          <w:sz w:val="30"/>
        </w:rPr>
        <w:t xml:space="preserve"> </w:t>
      </w:r>
      <w:r>
        <w:rPr>
          <w:i/>
          <w:sz w:val="30"/>
        </w:rPr>
        <w:t>philosophy</w:t>
      </w:r>
      <w:r>
        <w:rPr>
          <w:i/>
          <w:spacing w:val="-4"/>
          <w:sz w:val="30"/>
        </w:rPr>
        <w:t xml:space="preserve"> </w:t>
      </w:r>
      <w:r>
        <w:rPr>
          <w:i/>
          <w:sz w:val="30"/>
        </w:rPr>
        <w:t>professor</w:t>
      </w:r>
      <w:r>
        <w:rPr>
          <w:sz w:val="30"/>
        </w:rPr>
        <w:t>” is compatible with</w:t>
      </w:r>
      <w:r>
        <w:rPr>
          <w:spacing w:val="-3"/>
          <w:sz w:val="30"/>
        </w:rPr>
        <w:t xml:space="preserve"> </w:t>
      </w:r>
      <w:r>
        <w:rPr>
          <w:sz w:val="30"/>
        </w:rPr>
        <w:t>“</w:t>
      </w:r>
      <w:r>
        <w:rPr>
          <w:i/>
          <w:sz w:val="30"/>
        </w:rPr>
        <w:t>JM</w:t>
      </w:r>
      <w:r>
        <w:rPr>
          <w:i/>
          <w:spacing w:val="-4"/>
          <w:sz w:val="30"/>
        </w:rPr>
        <w:t xml:space="preserve"> </w:t>
      </w:r>
      <w:r>
        <w:rPr>
          <w:i/>
          <w:sz w:val="30"/>
        </w:rPr>
        <w:t>is</w:t>
      </w:r>
      <w:r>
        <w:rPr>
          <w:i/>
          <w:spacing w:val="-4"/>
          <w:sz w:val="30"/>
        </w:rPr>
        <w:t xml:space="preserve"> </w:t>
      </w:r>
      <w:r>
        <w:rPr>
          <w:i/>
          <w:sz w:val="30"/>
        </w:rPr>
        <w:t>more</w:t>
      </w:r>
      <w:r>
        <w:rPr>
          <w:i/>
          <w:spacing w:val="-4"/>
          <w:sz w:val="30"/>
        </w:rPr>
        <w:t xml:space="preserve"> </w:t>
      </w:r>
      <w:r>
        <w:rPr>
          <w:i/>
          <w:sz w:val="30"/>
        </w:rPr>
        <w:t>grouchy</w:t>
      </w:r>
      <w:r>
        <w:rPr>
          <w:i/>
          <w:spacing w:val="-4"/>
          <w:sz w:val="30"/>
        </w:rPr>
        <w:t xml:space="preserve"> </w:t>
      </w:r>
      <w:r>
        <w:rPr>
          <w:i/>
          <w:sz w:val="30"/>
        </w:rPr>
        <w:t>than</w:t>
      </w:r>
      <w:r>
        <w:rPr>
          <w:i/>
          <w:spacing w:val="-3"/>
          <w:sz w:val="30"/>
        </w:rPr>
        <w:t xml:space="preserve"> </w:t>
      </w:r>
      <w:r>
        <w:rPr>
          <w:i/>
          <w:sz w:val="30"/>
        </w:rPr>
        <w:t>Steve</w:t>
      </w:r>
      <w:r>
        <w:rPr>
          <w:i/>
          <w:spacing w:val="-4"/>
          <w:sz w:val="30"/>
        </w:rPr>
        <w:t xml:space="preserve"> </w:t>
      </w:r>
      <w:r>
        <w:rPr>
          <w:i/>
          <w:sz w:val="30"/>
        </w:rPr>
        <w:t>Carey</w:t>
      </w:r>
      <w:r>
        <w:rPr>
          <w:sz w:val="30"/>
        </w:rPr>
        <w:t>,”</w:t>
      </w:r>
      <w:r>
        <w:rPr>
          <w:spacing w:val="-1"/>
          <w:sz w:val="30"/>
        </w:rPr>
        <w:t xml:space="preserve"> </w:t>
      </w:r>
      <w:r>
        <w:rPr>
          <w:sz w:val="30"/>
        </w:rPr>
        <w:t>since</w:t>
      </w:r>
      <w:r>
        <w:rPr>
          <w:spacing w:val="-1"/>
          <w:sz w:val="30"/>
        </w:rPr>
        <w:t xml:space="preserve"> </w:t>
      </w:r>
      <w:r>
        <w:rPr>
          <w:sz w:val="30"/>
        </w:rPr>
        <w:t>they</w:t>
      </w:r>
      <w:r>
        <w:rPr>
          <w:spacing w:val="-1"/>
          <w:sz w:val="30"/>
        </w:rPr>
        <w:t xml:space="preserve"> </w:t>
      </w:r>
      <w:r>
        <w:rPr>
          <w:sz w:val="30"/>
        </w:rPr>
        <w:t>can</w:t>
      </w:r>
      <w:r>
        <w:rPr>
          <w:spacing w:val="-1"/>
          <w:sz w:val="30"/>
        </w:rPr>
        <w:t xml:space="preserve"> </w:t>
      </w:r>
      <w:r>
        <w:rPr>
          <w:sz w:val="30"/>
        </w:rPr>
        <w:t>both</w:t>
      </w:r>
      <w:r>
        <w:rPr>
          <w:spacing w:val="-1"/>
          <w:sz w:val="30"/>
        </w:rPr>
        <w:t xml:space="preserve"> </w:t>
      </w:r>
      <w:r>
        <w:rPr>
          <w:sz w:val="30"/>
        </w:rPr>
        <w:t>be</w:t>
      </w:r>
      <w:r>
        <w:rPr>
          <w:spacing w:val="-1"/>
          <w:sz w:val="30"/>
        </w:rPr>
        <w:t xml:space="preserve"> </w:t>
      </w:r>
      <w:r>
        <w:rPr>
          <w:sz w:val="30"/>
        </w:rPr>
        <w:t>true.</w:t>
      </w:r>
      <w:r>
        <w:rPr>
          <w:spacing w:val="-1"/>
          <w:sz w:val="30"/>
        </w:rPr>
        <w:t xml:space="preserve"> </w:t>
      </w:r>
      <w:r>
        <w:rPr>
          <w:sz w:val="30"/>
        </w:rPr>
        <w:t>See “entailment” and “incompatible.”</w:t>
      </w:r>
    </w:p>
    <w:p w14:paraId="7E002B4D" w14:textId="77777777" w:rsidR="009A58DB" w:rsidRDefault="009A58DB">
      <w:pPr>
        <w:pStyle w:val="BodyText"/>
        <w:spacing w:before="21"/>
        <w:ind w:left="0"/>
        <w:jc w:val="left"/>
      </w:pPr>
    </w:p>
    <w:p w14:paraId="7E002B4E" w14:textId="77777777" w:rsidR="009A58DB" w:rsidRDefault="00000000">
      <w:pPr>
        <w:pStyle w:val="BodyText"/>
        <w:spacing w:before="1" w:line="249" w:lineRule="auto"/>
        <w:ind w:right="365"/>
      </w:pPr>
      <w:r>
        <w:rPr>
          <w:b/>
          <w:i/>
        </w:rPr>
        <w:t xml:space="preserve">Complex expressions vs. simple expressions: </w:t>
      </w:r>
      <w:r>
        <w:t>Some expressions are simple (e.g., “Smith”), while others are complex (e.g., “the man that the dog bit”). All sentences are complex—that is, they consist of multiple expressions.</w:t>
      </w:r>
    </w:p>
    <w:p w14:paraId="7E002B4F" w14:textId="77777777" w:rsidR="009A58DB" w:rsidRDefault="00000000">
      <w:pPr>
        <w:pStyle w:val="BodyText"/>
        <w:spacing w:before="3" w:line="249" w:lineRule="auto"/>
        <w:ind w:right="359" w:firstLine="360"/>
      </w:pPr>
      <w:r>
        <w:t>At first, it appears as though there are exceptions to this. Consider the sentence “leave!” This seems simple. But it isn’t; that is because there is a hidden</w:t>
      </w:r>
      <w:r>
        <w:rPr>
          <w:spacing w:val="23"/>
        </w:rPr>
        <w:t xml:space="preserve">  </w:t>
      </w:r>
      <w:r>
        <w:t>(or</w:t>
      </w:r>
      <w:r>
        <w:rPr>
          <w:spacing w:val="26"/>
        </w:rPr>
        <w:t xml:space="preserve">  </w:t>
      </w:r>
      <w:r>
        <w:t>“phonetically</w:t>
      </w:r>
      <w:r>
        <w:rPr>
          <w:spacing w:val="26"/>
        </w:rPr>
        <w:t xml:space="preserve">  </w:t>
      </w:r>
      <w:r>
        <w:t>unrealized,”</w:t>
      </w:r>
      <w:r>
        <w:rPr>
          <w:spacing w:val="25"/>
        </w:rPr>
        <w:t xml:space="preserve">  </w:t>
      </w:r>
      <w:r>
        <w:t>meaning</w:t>
      </w:r>
      <w:r>
        <w:rPr>
          <w:spacing w:val="26"/>
        </w:rPr>
        <w:t xml:space="preserve">  </w:t>
      </w:r>
      <w:r>
        <w:t>that</w:t>
      </w:r>
      <w:r>
        <w:rPr>
          <w:spacing w:val="26"/>
        </w:rPr>
        <w:t xml:space="preserve">  </w:t>
      </w:r>
      <w:r>
        <w:t>there</w:t>
      </w:r>
      <w:r>
        <w:rPr>
          <w:spacing w:val="26"/>
        </w:rPr>
        <w:t xml:space="preserve">  </w:t>
      </w:r>
      <w:r>
        <w:t>is</w:t>
      </w:r>
      <w:r>
        <w:rPr>
          <w:spacing w:val="26"/>
        </w:rPr>
        <w:t xml:space="preserve">  </w:t>
      </w:r>
      <w:r>
        <w:t>no</w:t>
      </w:r>
      <w:r>
        <w:rPr>
          <w:spacing w:val="26"/>
        </w:rPr>
        <w:t xml:space="preserve">  </w:t>
      </w:r>
      <w:r>
        <w:rPr>
          <w:spacing w:val="-2"/>
        </w:rPr>
        <w:t>overt,</w:t>
      </w:r>
    </w:p>
    <w:p w14:paraId="7E002B50"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B51" w14:textId="77777777" w:rsidR="009A58DB" w:rsidRDefault="00000000">
      <w:pPr>
        <w:pStyle w:val="BodyText"/>
        <w:spacing w:before="65" w:line="249" w:lineRule="auto"/>
        <w:ind w:right="360"/>
      </w:pPr>
      <w:r>
        <w:lastRenderedPageBreak/>
        <w:t xml:space="preserve">acoustical, or visual representation of them in that word) occurrence of “you”—that sentence means: </w:t>
      </w:r>
      <w:r>
        <w:rPr>
          <w:i/>
        </w:rPr>
        <w:t>you</w:t>
      </w:r>
      <w:r>
        <w:t xml:space="preserve">—leave. Also, the verb leave has various semantic properties (e.g., tense, mood) that, although they are not phonetically marked, are nonetheless present, and make it a complex </w:t>
      </w:r>
      <w:r>
        <w:rPr>
          <w:spacing w:val="-2"/>
        </w:rPr>
        <w:t>expression.</w:t>
      </w:r>
    </w:p>
    <w:p w14:paraId="7E002B52" w14:textId="77777777" w:rsidR="009A58DB" w:rsidRDefault="00000000">
      <w:pPr>
        <w:pStyle w:val="BodyText"/>
        <w:spacing w:before="6"/>
        <w:ind w:left="720"/>
      </w:pPr>
      <w:r>
        <w:t>Genuinely</w:t>
      </w:r>
      <w:r>
        <w:rPr>
          <w:spacing w:val="-6"/>
        </w:rPr>
        <w:t xml:space="preserve"> </w:t>
      </w:r>
      <w:r>
        <w:t>simple</w:t>
      </w:r>
      <w:r>
        <w:rPr>
          <w:spacing w:val="-4"/>
        </w:rPr>
        <w:t xml:space="preserve"> </w:t>
      </w:r>
      <w:r>
        <w:t>expressions</w:t>
      </w:r>
      <w:r>
        <w:rPr>
          <w:spacing w:val="-4"/>
        </w:rPr>
        <w:t xml:space="preserve"> </w:t>
      </w:r>
      <w:r>
        <w:t>are</w:t>
      </w:r>
      <w:r>
        <w:rPr>
          <w:spacing w:val="-4"/>
        </w:rPr>
        <w:t xml:space="preserve"> </w:t>
      </w:r>
      <w:r>
        <w:t>known</w:t>
      </w:r>
      <w:r>
        <w:rPr>
          <w:spacing w:val="-3"/>
        </w:rPr>
        <w:t xml:space="preserve"> </w:t>
      </w:r>
      <w:r>
        <w:t>as</w:t>
      </w:r>
      <w:r>
        <w:rPr>
          <w:spacing w:val="-4"/>
        </w:rPr>
        <w:t xml:space="preserve"> </w:t>
      </w:r>
      <w:r>
        <w:rPr>
          <w:spacing w:val="-2"/>
        </w:rPr>
        <w:t>“morphemes.”</w:t>
      </w:r>
    </w:p>
    <w:p w14:paraId="7E002B53" w14:textId="77777777" w:rsidR="009A58DB" w:rsidRDefault="009A58DB">
      <w:pPr>
        <w:pStyle w:val="BodyText"/>
        <w:spacing w:before="30"/>
        <w:ind w:left="0"/>
        <w:jc w:val="left"/>
      </w:pPr>
    </w:p>
    <w:p w14:paraId="7E002B54" w14:textId="77777777" w:rsidR="009A58DB" w:rsidRDefault="00000000">
      <w:pPr>
        <w:pStyle w:val="BodyText"/>
        <w:spacing w:line="249" w:lineRule="auto"/>
        <w:ind w:right="361"/>
      </w:pPr>
      <w:r>
        <w:rPr>
          <w:b/>
          <w:i/>
        </w:rPr>
        <w:t xml:space="preserve">Compositionality: </w:t>
      </w:r>
      <w:r>
        <w:t xml:space="preserve">According to the </w:t>
      </w:r>
      <w:r>
        <w:rPr>
          <w:i/>
        </w:rPr>
        <w:t>principle of compositionality</w:t>
      </w:r>
      <w:r>
        <w:t>, the meaning of a complex expression is a function of the meanings of its constituents; and the referent of a complex expression is a function of the referents of its constituents.</w:t>
      </w:r>
    </w:p>
    <w:p w14:paraId="7E002B55" w14:textId="77777777" w:rsidR="009A58DB" w:rsidRDefault="009A58DB">
      <w:pPr>
        <w:pStyle w:val="BodyText"/>
        <w:spacing w:before="20"/>
        <w:ind w:left="0"/>
        <w:jc w:val="left"/>
      </w:pPr>
    </w:p>
    <w:p w14:paraId="7E002B56" w14:textId="77777777" w:rsidR="009A58DB" w:rsidRDefault="00000000">
      <w:pPr>
        <w:pStyle w:val="BodyText"/>
      </w:pPr>
      <w:r>
        <w:t>The</w:t>
      </w:r>
      <w:r>
        <w:rPr>
          <w:spacing w:val="-4"/>
        </w:rPr>
        <w:t xml:space="preserve"> </w:t>
      </w:r>
      <w:r>
        <w:t>meaning</w:t>
      </w:r>
      <w:r>
        <w:rPr>
          <w:spacing w:val="-2"/>
        </w:rPr>
        <w:t xml:space="preserve"> </w:t>
      </w:r>
      <w:r>
        <w:rPr>
          <w:spacing w:val="-5"/>
        </w:rPr>
        <w:t>of:</w:t>
      </w:r>
    </w:p>
    <w:p w14:paraId="7E002B57" w14:textId="77777777" w:rsidR="009A58DB" w:rsidRDefault="009A58DB">
      <w:pPr>
        <w:pStyle w:val="BodyText"/>
        <w:spacing w:before="30"/>
        <w:ind w:left="0"/>
        <w:jc w:val="left"/>
      </w:pPr>
    </w:p>
    <w:p w14:paraId="7E002B58" w14:textId="77777777" w:rsidR="009A58DB" w:rsidRDefault="00000000">
      <w:pPr>
        <w:spacing w:line="249" w:lineRule="auto"/>
        <w:ind w:left="360" w:right="368"/>
        <w:jc w:val="both"/>
        <w:rPr>
          <w:sz w:val="30"/>
        </w:rPr>
      </w:pPr>
      <w:r>
        <w:rPr>
          <w:sz w:val="30"/>
        </w:rPr>
        <w:t xml:space="preserve">(TY) “the author of </w:t>
      </w:r>
      <w:r>
        <w:rPr>
          <w:i/>
          <w:sz w:val="30"/>
        </w:rPr>
        <w:t xml:space="preserve">War and Peace </w:t>
      </w:r>
      <w:r>
        <w:rPr>
          <w:sz w:val="30"/>
        </w:rPr>
        <w:t xml:space="preserve">was friendly to the author of </w:t>
      </w:r>
      <w:r>
        <w:rPr>
          <w:i/>
          <w:sz w:val="30"/>
        </w:rPr>
        <w:t xml:space="preserve">Crime and </w:t>
      </w:r>
      <w:r>
        <w:rPr>
          <w:i/>
          <w:spacing w:val="-2"/>
          <w:sz w:val="30"/>
        </w:rPr>
        <w:t>Punishment</w:t>
      </w:r>
      <w:r>
        <w:rPr>
          <w:spacing w:val="-2"/>
          <w:sz w:val="30"/>
        </w:rPr>
        <w:t>”</w:t>
      </w:r>
    </w:p>
    <w:p w14:paraId="7E002B59" w14:textId="77777777" w:rsidR="009A58DB" w:rsidRDefault="009A58DB">
      <w:pPr>
        <w:pStyle w:val="BodyText"/>
        <w:spacing w:before="17"/>
        <w:ind w:left="0"/>
        <w:jc w:val="left"/>
      </w:pPr>
    </w:p>
    <w:p w14:paraId="7E002B5A" w14:textId="77777777" w:rsidR="009A58DB" w:rsidRDefault="00000000">
      <w:pPr>
        <w:pStyle w:val="BodyText"/>
      </w:pPr>
      <w:r>
        <w:t>is</w:t>
      </w:r>
      <w:r>
        <w:rPr>
          <w:spacing w:val="-4"/>
        </w:rPr>
        <w:t xml:space="preserve"> </w:t>
      </w:r>
      <w:r>
        <w:t>different</w:t>
      </w:r>
      <w:r>
        <w:rPr>
          <w:spacing w:val="-4"/>
        </w:rPr>
        <w:t xml:space="preserve"> </w:t>
      </w:r>
      <w:r>
        <w:t>from</w:t>
      </w:r>
      <w:r>
        <w:rPr>
          <w:spacing w:val="-4"/>
        </w:rPr>
        <w:t xml:space="preserve"> </w:t>
      </w:r>
      <w:r>
        <w:t>that</w:t>
      </w:r>
      <w:r>
        <w:rPr>
          <w:spacing w:val="-3"/>
        </w:rPr>
        <w:t xml:space="preserve"> </w:t>
      </w:r>
      <w:r>
        <w:rPr>
          <w:spacing w:val="-5"/>
        </w:rPr>
        <w:t>of</w:t>
      </w:r>
    </w:p>
    <w:p w14:paraId="7E002B5B" w14:textId="77777777" w:rsidR="009A58DB" w:rsidRDefault="009A58DB">
      <w:pPr>
        <w:pStyle w:val="BodyText"/>
        <w:spacing w:before="30"/>
        <w:ind w:left="0"/>
        <w:jc w:val="left"/>
      </w:pPr>
    </w:p>
    <w:p w14:paraId="7E002B5C" w14:textId="77777777" w:rsidR="009A58DB" w:rsidRDefault="00000000">
      <w:pPr>
        <w:spacing w:line="249" w:lineRule="auto"/>
        <w:ind w:left="360" w:right="364"/>
        <w:jc w:val="both"/>
        <w:rPr>
          <w:sz w:val="30"/>
        </w:rPr>
      </w:pPr>
      <w:r>
        <w:rPr>
          <w:sz w:val="30"/>
        </w:rPr>
        <w:t xml:space="preserve">(DO) “the author of </w:t>
      </w:r>
      <w:r>
        <w:rPr>
          <w:i/>
          <w:sz w:val="30"/>
        </w:rPr>
        <w:t xml:space="preserve">War and Peace </w:t>
      </w:r>
      <w:r>
        <w:rPr>
          <w:sz w:val="30"/>
        </w:rPr>
        <w:t xml:space="preserve">was mean to the author of </w:t>
      </w:r>
      <w:r>
        <w:rPr>
          <w:i/>
          <w:sz w:val="30"/>
        </w:rPr>
        <w:t xml:space="preserve">Crime and </w:t>
      </w:r>
      <w:r>
        <w:rPr>
          <w:i/>
          <w:spacing w:val="-2"/>
          <w:sz w:val="30"/>
        </w:rPr>
        <w:t>Punishment.</w:t>
      </w:r>
      <w:r>
        <w:rPr>
          <w:spacing w:val="-2"/>
          <w:sz w:val="30"/>
        </w:rPr>
        <w:t>”</w:t>
      </w:r>
    </w:p>
    <w:p w14:paraId="7E002B5D" w14:textId="77777777" w:rsidR="009A58DB" w:rsidRDefault="009A58DB">
      <w:pPr>
        <w:pStyle w:val="BodyText"/>
        <w:spacing w:before="18"/>
        <w:ind w:left="0"/>
        <w:jc w:val="left"/>
      </w:pPr>
    </w:p>
    <w:p w14:paraId="7E002B5E" w14:textId="77777777" w:rsidR="009A58DB" w:rsidRDefault="00000000">
      <w:pPr>
        <w:pStyle w:val="BodyText"/>
        <w:spacing w:line="249" w:lineRule="auto"/>
        <w:ind w:right="358" w:firstLine="360"/>
      </w:pPr>
      <w:r>
        <w:t>Why do TY and DO have different meanings? Because “friendly” and “mean” don’t mean the same thing. Replacing “friendly” with “mean,” or</w:t>
      </w:r>
      <w:r>
        <w:rPr>
          <w:spacing w:val="40"/>
        </w:rPr>
        <w:t xml:space="preserve"> </w:t>
      </w:r>
      <w:r>
        <w:rPr>
          <w:i/>
        </w:rPr>
        <w:t>vice</w:t>
      </w:r>
      <w:r>
        <w:rPr>
          <w:i/>
          <w:spacing w:val="-4"/>
        </w:rPr>
        <w:t xml:space="preserve"> </w:t>
      </w:r>
      <w:r>
        <w:rPr>
          <w:i/>
        </w:rPr>
        <w:t>versa</w:t>
      </w:r>
      <w:r>
        <w:t>,</w:t>
      </w:r>
      <w:r>
        <w:rPr>
          <w:spacing w:val="-3"/>
        </w:rPr>
        <w:t xml:space="preserve"> </w:t>
      </w:r>
      <w:r>
        <w:t>turns</w:t>
      </w:r>
      <w:r>
        <w:rPr>
          <w:spacing w:val="-2"/>
        </w:rPr>
        <w:t xml:space="preserve"> </w:t>
      </w:r>
      <w:r>
        <w:t>a</w:t>
      </w:r>
      <w:r>
        <w:rPr>
          <w:spacing w:val="-2"/>
        </w:rPr>
        <w:t xml:space="preserve"> </w:t>
      </w:r>
      <w:r>
        <w:t>sentence</w:t>
      </w:r>
      <w:r>
        <w:rPr>
          <w:spacing w:val="-2"/>
        </w:rPr>
        <w:t xml:space="preserve"> </w:t>
      </w:r>
      <w:r>
        <w:t>having</w:t>
      </w:r>
      <w:r>
        <w:rPr>
          <w:spacing w:val="-2"/>
        </w:rPr>
        <w:t xml:space="preserve"> </w:t>
      </w:r>
      <w:r>
        <w:t>one</w:t>
      </w:r>
      <w:r>
        <w:rPr>
          <w:spacing w:val="-2"/>
        </w:rPr>
        <w:t xml:space="preserve"> </w:t>
      </w:r>
      <w:r>
        <w:t>meaning</w:t>
      </w:r>
      <w:r>
        <w:rPr>
          <w:spacing w:val="-2"/>
        </w:rPr>
        <w:t xml:space="preserve"> </w:t>
      </w:r>
      <w:r>
        <w:t>into</w:t>
      </w:r>
      <w:r>
        <w:rPr>
          <w:spacing w:val="-2"/>
        </w:rPr>
        <w:t xml:space="preserve"> </w:t>
      </w:r>
      <w:r>
        <w:t>a</w:t>
      </w:r>
      <w:r>
        <w:rPr>
          <w:spacing w:val="-2"/>
        </w:rPr>
        <w:t xml:space="preserve"> </w:t>
      </w:r>
      <w:r>
        <w:t>sentence</w:t>
      </w:r>
      <w:r>
        <w:rPr>
          <w:spacing w:val="-2"/>
        </w:rPr>
        <w:t xml:space="preserve"> </w:t>
      </w:r>
      <w:r>
        <w:t>having</w:t>
      </w:r>
      <w:r>
        <w:rPr>
          <w:spacing w:val="-2"/>
        </w:rPr>
        <w:t xml:space="preserve"> </w:t>
      </w:r>
      <w:r>
        <w:t>a</w:t>
      </w:r>
      <w:r>
        <w:rPr>
          <w:spacing w:val="-2"/>
        </w:rPr>
        <w:t xml:space="preserve"> </w:t>
      </w:r>
      <w:r>
        <w:t xml:space="preserve">very different meaning. This shows that what TY means </w:t>
      </w:r>
      <w:r>
        <w:rPr>
          <w:i/>
        </w:rPr>
        <w:t xml:space="preserve">depends </w:t>
      </w:r>
      <w:r>
        <w:t>on what “friendly” means. Semanticists express this by saying that TY’s meaning is</w:t>
      </w:r>
      <w:r>
        <w:rPr>
          <w:spacing w:val="40"/>
        </w:rPr>
        <w:t xml:space="preserve"> </w:t>
      </w:r>
      <w:r>
        <w:t>“a function of ” what “friendly” means. What DO means is a clearly function of what “mean” means. In general, what expressions mean is a function of what the expressions composing them mean. See “special compositionality,” “function,” and “functor.”</w:t>
      </w:r>
    </w:p>
    <w:p w14:paraId="7E002B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60" w14:textId="77777777" w:rsidR="009A58DB" w:rsidRDefault="00000000">
      <w:pPr>
        <w:pStyle w:val="BodyText"/>
        <w:spacing w:before="65" w:line="249" w:lineRule="auto"/>
        <w:ind w:right="358"/>
      </w:pPr>
      <w:r>
        <w:rPr>
          <w:b/>
          <w:i/>
        </w:rPr>
        <w:lastRenderedPageBreak/>
        <w:t xml:space="preserve">Compound sentence: </w:t>
      </w:r>
      <w:r>
        <w:t>Same as a molecular sentence. Thus, a compound sentence</w:t>
      </w:r>
      <w:r>
        <w:rPr>
          <w:spacing w:val="-3"/>
        </w:rPr>
        <w:t xml:space="preserve"> </w:t>
      </w:r>
      <w:r>
        <w:t>is</w:t>
      </w:r>
      <w:r>
        <w:rPr>
          <w:spacing w:val="-2"/>
        </w:rPr>
        <w:t xml:space="preserve"> </w:t>
      </w:r>
      <w:r>
        <w:t>one</w:t>
      </w:r>
      <w:r>
        <w:rPr>
          <w:spacing w:val="-2"/>
        </w:rPr>
        <w:t xml:space="preserve"> </w:t>
      </w:r>
      <w:r>
        <w:t>that</w:t>
      </w:r>
      <w:r>
        <w:rPr>
          <w:spacing w:val="-2"/>
        </w:rPr>
        <w:t xml:space="preserve"> </w:t>
      </w:r>
      <w:r>
        <w:t>consists</w:t>
      </w:r>
      <w:r>
        <w:rPr>
          <w:spacing w:val="-2"/>
        </w:rPr>
        <w:t xml:space="preserve"> </w:t>
      </w:r>
      <w:r>
        <w:t>of</w:t>
      </w:r>
      <w:r>
        <w:rPr>
          <w:spacing w:val="-2"/>
        </w:rPr>
        <w:t xml:space="preserve"> </w:t>
      </w:r>
      <w:r>
        <w:t>other</w:t>
      </w:r>
      <w:r>
        <w:rPr>
          <w:spacing w:val="-2"/>
        </w:rPr>
        <w:t xml:space="preserve"> </w:t>
      </w:r>
      <w:r>
        <w:t>sentences</w:t>
      </w:r>
      <w:r>
        <w:rPr>
          <w:spacing w:val="-2"/>
        </w:rPr>
        <w:t xml:space="preserve"> </w:t>
      </w:r>
      <w:r>
        <w:t>(e.g.,</w:t>
      </w:r>
      <w:r>
        <w:rPr>
          <w:spacing w:val="-2"/>
        </w:rPr>
        <w:t xml:space="preserve"> </w:t>
      </w:r>
      <w:r>
        <w:t>“snow</w:t>
      </w:r>
      <w:r>
        <w:rPr>
          <w:spacing w:val="-2"/>
        </w:rPr>
        <w:t xml:space="preserve"> </w:t>
      </w:r>
      <w:r>
        <w:t>is</w:t>
      </w:r>
      <w:r>
        <w:rPr>
          <w:spacing w:val="-2"/>
        </w:rPr>
        <w:t xml:space="preserve"> </w:t>
      </w:r>
      <w:r>
        <w:t>white</w:t>
      </w:r>
      <w:r>
        <w:rPr>
          <w:spacing w:val="-2"/>
        </w:rPr>
        <w:t xml:space="preserve"> </w:t>
      </w:r>
      <w:r>
        <w:t>and</w:t>
      </w:r>
      <w:r>
        <w:rPr>
          <w:spacing w:val="-2"/>
        </w:rPr>
        <w:t xml:space="preserve"> </w:t>
      </w:r>
      <w:r>
        <w:t>grass is green”). See “molecular sentence.”</w:t>
      </w:r>
    </w:p>
    <w:p w14:paraId="7E002B61" w14:textId="77777777" w:rsidR="009A58DB" w:rsidRDefault="009A58DB">
      <w:pPr>
        <w:pStyle w:val="BodyText"/>
        <w:spacing w:before="18"/>
        <w:ind w:left="0"/>
        <w:jc w:val="left"/>
      </w:pPr>
    </w:p>
    <w:p w14:paraId="7E002B62" w14:textId="77777777" w:rsidR="009A58DB" w:rsidRDefault="00000000">
      <w:pPr>
        <w:pStyle w:val="BodyText"/>
        <w:spacing w:line="249" w:lineRule="auto"/>
        <w:ind w:right="361"/>
      </w:pPr>
      <w:r>
        <w:rPr>
          <w:b/>
          <w:i/>
        </w:rPr>
        <w:t xml:space="preserve">Conceptual role semantics (CRS): </w:t>
      </w:r>
      <w:r>
        <w:t>the view that meaning is use, i.e., for two expressions to mean the same thing is for them to be used in the same way and, therefore, that for a given expression to have this, as opposed to that, meaning is for it to be used in this, as opposed to that, way.</w:t>
      </w:r>
    </w:p>
    <w:p w14:paraId="7E002B63" w14:textId="77777777" w:rsidR="009A58DB" w:rsidRDefault="00000000">
      <w:pPr>
        <w:pStyle w:val="BodyText"/>
        <w:spacing w:before="5" w:line="249" w:lineRule="auto"/>
        <w:ind w:right="358" w:firstLine="360"/>
      </w:pPr>
      <w:r>
        <w:t xml:space="preserve">In his (1963) paper “Some reflections on language games,” Wilfrid Sellars clearly puts forth a version of CRS. But it’s quite definitely present in Wittgenstein’s book </w:t>
      </w:r>
      <w:r>
        <w:rPr>
          <w:i/>
        </w:rPr>
        <w:t>The Philosophical Investigations</w:t>
      </w:r>
      <w:r>
        <w:t xml:space="preserve">, which was completed in the late 40’s. In his (1994) book </w:t>
      </w:r>
      <w:r>
        <w:rPr>
          <w:i/>
        </w:rPr>
        <w:t>Making it explicit</w:t>
      </w:r>
      <w:r>
        <w:t>, Robert Brandom advocates CRS. Nowhere in that 900 page book, or in any writings of advocates of CRS, is the existence of any of the following reasonable positions so much as acknowledged, let alone addressed:</w:t>
      </w:r>
    </w:p>
    <w:p w14:paraId="7E002B64" w14:textId="77777777" w:rsidR="009A58DB" w:rsidRDefault="009A58DB">
      <w:pPr>
        <w:pStyle w:val="BodyText"/>
        <w:spacing w:before="24"/>
        <w:ind w:left="0"/>
        <w:jc w:val="left"/>
      </w:pPr>
    </w:p>
    <w:p w14:paraId="7E002B65" w14:textId="77777777" w:rsidR="009A58DB" w:rsidRDefault="00000000">
      <w:pPr>
        <w:pStyle w:val="ListParagraph"/>
        <w:numPr>
          <w:ilvl w:val="0"/>
          <w:numId w:val="22"/>
        </w:numPr>
        <w:tabs>
          <w:tab w:val="left" w:pos="727"/>
        </w:tabs>
        <w:spacing w:line="249" w:lineRule="auto"/>
        <w:ind w:right="358" w:firstLine="0"/>
        <w:jc w:val="both"/>
        <w:rPr>
          <w:sz w:val="30"/>
        </w:rPr>
      </w:pPr>
      <w:r>
        <w:rPr>
          <w:sz w:val="30"/>
        </w:rPr>
        <w:t xml:space="preserve">A knowledge of a word’s meaning is at least part of what guides a person to use it in the way she does. When the waiter asks you what you would like to eat, you say “I’d like a bowl of clam chowder,” and not “I’d like a bowl of rotten entrails.” Why do you say “clam chowder” instead of “rotten entrails”? Because you know that, given what it is that you want, “rotten entrails” has the wrong meaning and “clam chowder” has the right meaning. Of course, how an expression is used is likely to </w:t>
      </w:r>
      <w:r>
        <w:rPr>
          <w:i/>
          <w:sz w:val="30"/>
        </w:rPr>
        <w:t xml:space="preserve">change </w:t>
      </w:r>
      <w:r>
        <w:rPr>
          <w:sz w:val="30"/>
        </w:rPr>
        <w:t xml:space="preserve">its meaning. If enough people use the word “restive” to mean </w:t>
      </w:r>
      <w:r>
        <w:rPr>
          <w:i/>
          <w:sz w:val="30"/>
        </w:rPr>
        <w:t>tired</w:t>
      </w:r>
      <w:r>
        <w:rPr>
          <w:sz w:val="30"/>
        </w:rPr>
        <w:t>,</w:t>
      </w:r>
      <w:r>
        <w:rPr>
          <w:spacing w:val="-2"/>
          <w:sz w:val="30"/>
        </w:rPr>
        <w:t xml:space="preserve"> </w:t>
      </w:r>
      <w:r>
        <w:rPr>
          <w:sz w:val="30"/>
        </w:rPr>
        <w:t xml:space="preserve">it may well come to have that meaning. But until that time comes, those people are </w:t>
      </w:r>
      <w:r>
        <w:rPr>
          <w:i/>
          <w:sz w:val="30"/>
        </w:rPr>
        <w:t>mis</w:t>
      </w:r>
      <w:r>
        <w:rPr>
          <w:sz w:val="30"/>
        </w:rPr>
        <w:t>using that expression; and</w:t>
      </w:r>
      <w:r>
        <w:rPr>
          <w:spacing w:val="40"/>
          <w:sz w:val="30"/>
        </w:rPr>
        <w:t xml:space="preserve"> </w:t>
      </w:r>
      <w:r>
        <w:rPr>
          <w:sz w:val="30"/>
        </w:rPr>
        <w:t>their usage of it, being discrepant from its actual meaning, can’t possibly be constitutive of it.</w:t>
      </w:r>
    </w:p>
    <w:p w14:paraId="7E002B66" w14:textId="77777777" w:rsidR="009A58DB" w:rsidRDefault="009A58DB">
      <w:pPr>
        <w:pStyle w:val="BodyText"/>
        <w:spacing w:before="28"/>
        <w:ind w:left="0"/>
        <w:jc w:val="left"/>
      </w:pPr>
    </w:p>
    <w:p w14:paraId="7E002B67" w14:textId="77777777" w:rsidR="009A58DB" w:rsidRDefault="00000000">
      <w:pPr>
        <w:pStyle w:val="ListParagraph"/>
        <w:numPr>
          <w:ilvl w:val="0"/>
          <w:numId w:val="22"/>
        </w:numPr>
        <w:tabs>
          <w:tab w:val="left" w:pos="829"/>
        </w:tabs>
        <w:spacing w:line="249" w:lineRule="auto"/>
        <w:ind w:right="359" w:firstLine="0"/>
        <w:jc w:val="both"/>
        <w:rPr>
          <w:sz w:val="30"/>
        </w:rPr>
      </w:pPr>
      <w:r>
        <w:rPr>
          <w:sz w:val="30"/>
        </w:rPr>
        <w:t xml:space="preserve">Mere noises aren’t linguistic expressions. It is only noises coupled with meanings that are such expressions. In a world where there are no semantic conventions, a noise just like the noise you make when you say “snow is white” would mean nothing. If, in such a world, the gases leaving a volcano happened to make that noise, they would mean nothing. (In fact, they’d mean nothing in </w:t>
      </w:r>
      <w:r>
        <w:rPr>
          <w:i/>
          <w:sz w:val="30"/>
        </w:rPr>
        <w:t xml:space="preserve">our </w:t>
      </w:r>
      <w:r>
        <w:rPr>
          <w:sz w:val="30"/>
        </w:rPr>
        <w:t>world, except at most in some derivative sense.) Since, therefore,</w:t>
      </w:r>
      <w:r>
        <w:rPr>
          <w:spacing w:val="43"/>
          <w:w w:val="150"/>
          <w:sz w:val="30"/>
        </w:rPr>
        <w:t xml:space="preserve"> </w:t>
      </w:r>
      <w:r>
        <w:rPr>
          <w:sz w:val="30"/>
        </w:rPr>
        <w:t>noises</w:t>
      </w:r>
      <w:r>
        <w:rPr>
          <w:spacing w:val="44"/>
          <w:w w:val="150"/>
          <w:sz w:val="30"/>
        </w:rPr>
        <w:t xml:space="preserve"> </w:t>
      </w:r>
      <w:r>
        <w:rPr>
          <w:sz w:val="30"/>
        </w:rPr>
        <w:t>must</w:t>
      </w:r>
      <w:r>
        <w:rPr>
          <w:spacing w:val="44"/>
          <w:w w:val="150"/>
          <w:sz w:val="30"/>
        </w:rPr>
        <w:t xml:space="preserve"> </w:t>
      </w:r>
      <w:r>
        <w:rPr>
          <w:sz w:val="30"/>
        </w:rPr>
        <w:t>be</w:t>
      </w:r>
      <w:r>
        <w:rPr>
          <w:spacing w:val="44"/>
          <w:w w:val="150"/>
          <w:sz w:val="30"/>
        </w:rPr>
        <w:t xml:space="preserve"> </w:t>
      </w:r>
      <w:r>
        <w:rPr>
          <w:sz w:val="30"/>
        </w:rPr>
        <w:t>coupled</w:t>
      </w:r>
      <w:r>
        <w:rPr>
          <w:spacing w:val="43"/>
          <w:w w:val="150"/>
          <w:sz w:val="30"/>
        </w:rPr>
        <w:t xml:space="preserve"> </w:t>
      </w:r>
      <w:r>
        <w:rPr>
          <w:sz w:val="30"/>
        </w:rPr>
        <w:t>with</w:t>
      </w:r>
      <w:r>
        <w:rPr>
          <w:spacing w:val="44"/>
          <w:w w:val="150"/>
          <w:sz w:val="30"/>
        </w:rPr>
        <w:t xml:space="preserve"> </w:t>
      </w:r>
      <w:r>
        <w:rPr>
          <w:sz w:val="30"/>
        </w:rPr>
        <w:t>meanings</w:t>
      </w:r>
      <w:r>
        <w:rPr>
          <w:spacing w:val="44"/>
          <w:w w:val="150"/>
          <w:sz w:val="30"/>
        </w:rPr>
        <w:t xml:space="preserve"> </w:t>
      </w:r>
      <w:r>
        <w:rPr>
          <w:sz w:val="30"/>
        </w:rPr>
        <w:t>in</w:t>
      </w:r>
      <w:r>
        <w:rPr>
          <w:spacing w:val="44"/>
          <w:w w:val="150"/>
          <w:sz w:val="30"/>
        </w:rPr>
        <w:t xml:space="preserve"> </w:t>
      </w:r>
      <w:r>
        <w:rPr>
          <w:sz w:val="30"/>
        </w:rPr>
        <w:t>order</w:t>
      </w:r>
      <w:r>
        <w:rPr>
          <w:spacing w:val="43"/>
          <w:w w:val="150"/>
          <w:sz w:val="30"/>
        </w:rPr>
        <w:t xml:space="preserve"> </w:t>
      </w:r>
      <w:r>
        <w:rPr>
          <w:sz w:val="30"/>
        </w:rPr>
        <w:t>to</w:t>
      </w:r>
      <w:r>
        <w:rPr>
          <w:spacing w:val="44"/>
          <w:w w:val="150"/>
          <w:sz w:val="30"/>
        </w:rPr>
        <w:t xml:space="preserve"> </w:t>
      </w:r>
      <w:r>
        <w:rPr>
          <w:sz w:val="30"/>
        </w:rPr>
        <w:t>qualify</w:t>
      </w:r>
      <w:r>
        <w:rPr>
          <w:spacing w:val="44"/>
          <w:w w:val="150"/>
          <w:sz w:val="30"/>
        </w:rPr>
        <w:t xml:space="preserve"> </w:t>
      </w:r>
      <w:r>
        <w:rPr>
          <w:spacing w:val="-5"/>
          <w:sz w:val="30"/>
        </w:rPr>
        <w:t>as</w:t>
      </w:r>
    </w:p>
    <w:p w14:paraId="7E002B68" w14:textId="77777777" w:rsidR="009A58DB" w:rsidRDefault="009A58DB">
      <w:pPr>
        <w:pStyle w:val="ListParagraph"/>
        <w:spacing w:line="249" w:lineRule="auto"/>
        <w:jc w:val="both"/>
        <w:rPr>
          <w:sz w:val="30"/>
        </w:rPr>
        <w:sectPr w:rsidR="009A58DB">
          <w:pgSz w:w="12240" w:h="15840"/>
          <w:pgMar w:top="1740" w:right="1080" w:bottom="280" w:left="1080" w:header="720" w:footer="720" w:gutter="0"/>
          <w:cols w:space="720"/>
        </w:sectPr>
      </w:pPr>
    </w:p>
    <w:p w14:paraId="7E002B69" w14:textId="77777777" w:rsidR="009A58DB" w:rsidRDefault="00000000">
      <w:pPr>
        <w:pStyle w:val="BodyText"/>
        <w:spacing w:before="65" w:line="249" w:lineRule="auto"/>
        <w:ind w:right="361"/>
      </w:pPr>
      <w:r>
        <w:lastRenderedPageBreak/>
        <w:t>linguistic expressions, it makes no sense to say that what an expression</w:t>
      </w:r>
      <w:r>
        <w:rPr>
          <w:spacing w:val="40"/>
        </w:rPr>
        <w:t xml:space="preserve"> </w:t>
      </w:r>
      <w:r>
        <w:t xml:space="preserve">means is a function of how it is used. After all, there is no expression to be used </w:t>
      </w:r>
      <w:r>
        <w:rPr>
          <w:i/>
        </w:rPr>
        <w:t xml:space="preserve">until </w:t>
      </w:r>
      <w:r>
        <w:t>the noises (and ink-marks and so forth) have been coupled with meanings. Therefore, CRS is false.</w:t>
      </w:r>
    </w:p>
    <w:p w14:paraId="7E002B6A" w14:textId="77777777" w:rsidR="009A58DB" w:rsidRDefault="00000000">
      <w:pPr>
        <w:pStyle w:val="BodyText"/>
        <w:spacing w:before="5" w:line="249" w:lineRule="auto"/>
        <w:ind w:right="366" w:firstLine="360"/>
      </w:pPr>
      <w:r>
        <w:t>Of course, there are different views as to what meanings are, and there are different views as to what it is for noises to be coupled with them. But relative to any such view, CRS is false.</w:t>
      </w:r>
    </w:p>
    <w:p w14:paraId="7E002B6B" w14:textId="77777777" w:rsidR="009A58DB" w:rsidRDefault="00000000">
      <w:pPr>
        <w:pStyle w:val="BodyText"/>
        <w:spacing w:before="3" w:line="249" w:lineRule="auto"/>
        <w:ind w:right="364" w:firstLine="360"/>
      </w:pPr>
      <w:r>
        <w:t>The</w:t>
      </w:r>
      <w:r>
        <w:rPr>
          <w:spacing w:val="-3"/>
        </w:rPr>
        <w:t xml:space="preserve"> </w:t>
      </w:r>
      <w:r>
        <w:t>contention</w:t>
      </w:r>
      <w:r>
        <w:rPr>
          <w:spacing w:val="-2"/>
        </w:rPr>
        <w:t xml:space="preserve"> </w:t>
      </w:r>
      <w:r>
        <w:t>that</w:t>
      </w:r>
      <w:r>
        <w:rPr>
          <w:spacing w:val="-3"/>
        </w:rPr>
        <w:t xml:space="preserve"> </w:t>
      </w:r>
      <w:r>
        <w:t>is</w:t>
      </w:r>
      <w:r>
        <w:rPr>
          <w:spacing w:val="-3"/>
        </w:rPr>
        <w:t xml:space="preserve"> </w:t>
      </w:r>
      <w:r>
        <w:t>closest</w:t>
      </w:r>
      <w:r>
        <w:rPr>
          <w:spacing w:val="-3"/>
        </w:rPr>
        <w:t xml:space="preserve"> </w:t>
      </w:r>
      <w:r>
        <w:t>to</w:t>
      </w:r>
      <w:r>
        <w:rPr>
          <w:spacing w:val="-2"/>
        </w:rPr>
        <w:t xml:space="preserve"> </w:t>
      </w:r>
      <w:r>
        <w:t>CRS</w:t>
      </w:r>
      <w:r>
        <w:rPr>
          <w:spacing w:val="-3"/>
        </w:rPr>
        <w:t xml:space="preserve"> </w:t>
      </w:r>
      <w:r>
        <w:t>that</w:t>
      </w:r>
      <w:r>
        <w:rPr>
          <w:spacing w:val="-3"/>
        </w:rPr>
        <w:t xml:space="preserve"> </w:t>
      </w:r>
      <w:r>
        <w:t>isn’t</w:t>
      </w:r>
      <w:r>
        <w:rPr>
          <w:spacing w:val="-3"/>
        </w:rPr>
        <w:t xml:space="preserve"> </w:t>
      </w:r>
      <w:r>
        <w:t>obviously</w:t>
      </w:r>
      <w:r>
        <w:rPr>
          <w:spacing w:val="-2"/>
        </w:rPr>
        <w:t xml:space="preserve"> </w:t>
      </w:r>
      <w:r>
        <w:t>false</w:t>
      </w:r>
      <w:r>
        <w:rPr>
          <w:spacing w:val="-3"/>
        </w:rPr>
        <w:t xml:space="preserve"> </w:t>
      </w:r>
      <w:r>
        <w:t>is</w:t>
      </w:r>
      <w:r>
        <w:rPr>
          <w:spacing w:val="-3"/>
        </w:rPr>
        <w:t xml:space="preserve"> </w:t>
      </w:r>
      <w:r>
        <w:t>the</w:t>
      </w:r>
      <w:r>
        <w:rPr>
          <w:spacing w:val="-3"/>
        </w:rPr>
        <w:t xml:space="preserve"> </w:t>
      </w:r>
      <w:r>
        <w:t>trivial contention that what noises (and ink-marks and the like) mean is a (partial) causal consequence of what people do with them. (This suggests that CRS is based on a failure to distinguish the concept of a logical consequence from that of a causal consequence.)</w:t>
      </w:r>
    </w:p>
    <w:p w14:paraId="7E002B6C" w14:textId="77777777" w:rsidR="009A58DB" w:rsidRDefault="009A58DB">
      <w:pPr>
        <w:pStyle w:val="BodyText"/>
        <w:spacing w:before="21"/>
        <w:ind w:left="0"/>
        <w:jc w:val="left"/>
      </w:pPr>
    </w:p>
    <w:p w14:paraId="7E002B6D" w14:textId="77777777" w:rsidR="009A58DB" w:rsidRDefault="00000000">
      <w:pPr>
        <w:pStyle w:val="ListParagraph"/>
        <w:numPr>
          <w:ilvl w:val="0"/>
          <w:numId w:val="22"/>
        </w:numPr>
        <w:tabs>
          <w:tab w:val="left" w:pos="944"/>
        </w:tabs>
        <w:spacing w:line="249" w:lineRule="auto"/>
        <w:ind w:right="359" w:firstLine="0"/>
        <w:jc w:val="both"/>
        <w:rPr>
          <w:sz w:val="30"/>
        </w:rPr>
      </w:pPr>
      <w:r>
        <w:rPr>
          <w:sz w:val="30"/>
        </w:rPr>
        <w:t>Expressions that haven’t ever been used have determinate meanings. There</w:t>
      </w:r>
      <w:r>
        <w:rPr>
          <w:spacing w:val="-3"/>
          <w:sz w:val="30"/>
        </w:rPr>
        <w:t xml:space="preserve"> </w:t>
      </w:r>
      <w:r>
        <w:rPr>
          <w:sz w:val="30"/>
        </w:rPr>
        <w:t>are</w:t>
      </w:r>
      <w:r>
        <w:rPr>
          <w:spacing w:val="-3"/>
          <w:sz w:val="30"/>
        </w:rPr>
        <w:t xml:space="preserve"> </w:t>
      </w:r>
      <w:r>
        <w:rPr>
          <w:sz w:val="30"/>
        </w:rPr>
        <w:t>infinitely</w:t>
      </w:r>
      <w:r>
        <w:rPr>
          <w:spacing w:val="-3"/>
          <w:sz w:val="30"/>
        </w:rPr>
        <w:t xml:space="preserve"> </w:t>
      </w:r>
      <w:r>
        <w:rPr>
          <w:sz w:val="30"/>
        </w:rPr>
        <w:t>many</w:t>
      </w:r>
      <w:r>
        <w:rPr>
          <w:spacing w:val="-3"/>
          <w:sz w:val="30"/>
        </w:rPr>
        <w:t xml:space="preserve"> </w:t>
      </w:r>
      <w:r>
        <w:rPr>
          <w:sz w:val="30"/>
        </w:rPr>
        <w:t>sentences</w:t>
      </w:r>
      <w:r>
        <w:rPr>
          <w:spacing w:val="-3"/>
          <w:sz w:val="30"/>
        </w:rPr>
        <w:t xml:space="preserve"> </w:t>
      </w:r>
      <w:r>
        <w:rPr>
          <w:sz w:val="30"/>
        </w:rPr>
        <w:t>of</w:t>
      </w:r>
      <w:r>
        <w:rPr>
          <w:spacing w:val="-3"/>
          <w:sz w:val="30"/>
        </w:rPr>
        <w:t xml:space="preserve"> </w:t>
      </w:r>
      <w:r>
        <w:rPr>
          <w:sz w:val="30"/>
        </w:rPr>
        <w:t>English</w:t>
      </w:r>
      <w:r>
        <w:rPr>
          <w:spacing w:val="-3"/>
          <w:sz w:val="30"/>
        </w:rPr>
        <w:t xml:space="preserve"> </w:t>
      </w:r>
      <w:r>
        <w:rPr>
          <w:sz w:val="30"/>
        </w:rPr>
        <w:t>that</w:t>
      </w:r>
      <w:r>
        <w:rPr>
          <w:spacing w:val="-3"/>
          <w:sz w:val="30"/>
        </w:rPr>
        <w:t xml:space="preserve"> </w:t>
      </w:r>
      <w:r>
        <w:rPr>
          <w:sz w:val="30"/>
        </w:rPr>
        <w:t>haven’t</w:t>
      </w:r>
      <w:r>
        <w:rPr>
          <w:spacing w:val="-3"/>
          <w:sz w:val="30"/>
        </w:rPr>
        <w:t xml:space="preserve"> </w:t>
      </w:r>
      <w:r>
        <w:rPr>
          <w:sz w:val="30"/>
        </w:rPr>
        <w:t>been</w:t>
      </w:r>
      <w:r>
        <w:rPr>
          <w:spacing w:val="-3"/>
          <w:sz w:val="30"/>
        </w:rPr>
        <w:t xml:space="preserve"> </w:t>
      </w:r>
      <w:r>
        <w:rPr>
          <w:sz w:val="30"/>
        </w:rPr>
        <w:t>used</w:t>
      </w:r>
      <w:r>
        <w:rPr>
          <w:spacing w:val="-3"/>
          <w:sz w:val="30"/>
        </w:rPr>
        <w:t xml:space="preserve"> </w:t>
      </w:r>
      <w:r>
        <w:rPr>
          <w:sz w:val="30"/>
        </w:rPr>
        <w:t>but</w:t>
      </w:r>
      <w:r>
        <w:rPr>
          <w:spacing w:val="-3"/>
          <w:sz w:val="30"/>
        </w:rPr>
        <w:t xml:space="preserve"> </w:t>
      </w:r>
      <w:r>
        <w:rPr>
          <w:sz w:val="30"/>
        </w:rPr>
        <w:t xml:space="preserve">that have determinate meanings. If this weren’t the case, then nobody could ever utter a new sentence of English, at least not without making some </w:t>
      </w:r>
      <w:r>
        <w:rPr>
          <w:i/>
          <w:sz w:val="30"/>
        </w:rPr>
        <w:t xml:space="preserve">ad hoc </w:t>
      </w:r>
      <w:r>
        <w:rPr>
          <w:sz w:val="30"/>
        </w:rPr>
        <w:t>extension to the English language. But previously unuttered sentences are uttered</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time;</w:t>
      </w:r>
      <w:r>
        <w:rPr>
          <w:spacing w:val="-4"/>
          <w:sz w:val="30"/>
        </w:rPr>
        <w:t xml:space="preserve"> </w:t>
      </w:r>
      <w:r>
        <w:rPr>
          <w:sz w:val="30"/>
        </w:rPr>
        <w:t>and</w:t>
      </w:r>
      <w:r>
        <w:rPr>
          <w:spacing w:val="-3"/>
          <w:sz w:val="30"/>
        </w:rPr>
        <w:t xml:space="preserve"> </w:t>
      </w:r>
      <w:r>
        <w:rPr>
          <w:sz w:val="30"/>
        </w:rPr>
        <w:t>no</w:t>
      </w:r>
      <w:r>
        <w:rPr>
          <w:spacing w:val="-3"/>
          <w:sz w:val="30"/>
        </w:rPr>
        <w:t xml:space="preserve"> </w:t>
      </w:r>
      <w:r>
        <w:rPr>
          <w:sz w:val="30"/>
        </w:rPr>
        <w:t>sooner</w:t>
      </w:r>
      <w:r>
        <w:rPr>
          <w:spacing w:val="-4"/>
          <w:sz w:val="30"/>
        </w:rPr>
        <w:t xml:space="preserve"> </w:t>
      </w:r>
      <w:r>
        <w:rPr>
          <w:sz w:val="30"/>
        </w:rPr>
        <w:t>are</w:t>
      </w:r>
      <w:r>
        <w:rPr>
          <w:spacing w:val="-4"/>
          <w:sz w:val="30"/>
        </w:rPr>
        <w:t xml:space="preserve"> </w:t>
      </w:r>
      <w:r>
        <w:rPr>
          <w:sz w:val="30"/>
        </w:rPr>
        <w:t>they</w:t>
      </w:r>
      <w:r>
        <w:rPr>
          <w:spacing w:val="-3"/>
          <w:sz w:val="30"/>
        </w:rPr>
        <w:t xml:space="preserve"> </w:t>
      </w:r>
      <w:r>
        <w:rPr>
          <w:sz w:val="30"/>
        </w:rPr>
        <w:t>uttered</w:t>
      </w:r>
      <w:r>
        <w:rPr>
          <w:spacing w:val="-3"/>
          <w:sz w:val="30"/>
        </w:rPr>
        <w:t xml:space="preserve"> </w:t>
      </w:r>
      <w:r>
        <w:rPr>
          <w:sz w:val="30"/>
        </w:rPr>
        <w:t>than</w:t>
      </w:r>
      <w:r>
        <w:rPr>
          <w:spacing w:val="-3"/>
          <w:sz w:val="30"/>
        </w:rPr>
        <w:t xml:space="preserve"> </w:t>
      </w:r>
      <w:r>
        <w:rPr>
          <w:sz w:val="30"/>
        </w:rPr>
        <w:t>they</w:t>
      </w:r>
      <w:r>
        <w:rPr>
          <w:spacing w:val="-3"/>
          <w:sz w:val="30"/>
        </w:rPr>
        <w:t xml:space="preserve"> </w:t>
      </w:r>
      <w:r>
        <w:rPr>
          <w:sz w:val="30"/>
        </w:rPr>
        <w:t>have</w:t>
      </w:r>
      <w:r>
        <w:rPr>
          <w:spacing w:val="-4"/>
          <w:sz w:val="30"/>
        </w:rPr>
        <w:t xml:space="preserve"> </w:t>
      </w:r>
      <w:r>
        <w:rPr>
          <w:sz w:val="30"/>
        </w:rPr>
        <w:t xml:space="preserve">determinate </w:t>
      </w:r>
      <w:r>
        <w:rPr>
          <w:spacing w:val="-2"/>
          <w:sz w:val="30"/>
        </w:rPr>
        <w:t>meanings.</w:t>
      </w:r>
    </w:p>
    <w:p w14:paraId="7E002B6E" w14:textId="77777777" w:rsidR="009A58DB" w:rsidRDefault="00000000">
      <w:pPr>
        <w:pStyle w:val="BodyText"/>
        <w:spacing w:before="9" w:line="249" w:lineRule="auto"/>
        <w:ind w:right="367" w:firstLine="360"/>
      </w:pPr>
      <w:r>
        <w:t xml:space="preserve">According to CRS, what an expression means is determined by how it is used. So if CRS is right, an expression that hasn’t been used </w:t>
      </w:r>
      <w:r>
        <w:rPr>
          <w:i/>
        </w:rPr>
        <w:t>ipso facto</w:t>
      </w:r>
      <w:r>
        <w:rPr>
          <w:i/>
          <w:spacing w:val="80"/>
        </w:rPr>
        <w:t xml:space="preserve"> </w:t>
      </w:r>
      <w:r>
        <w:t>has no meaning.</w:t>
      </w:r>
    </w:p>
    <w:p w14:paraId="7E002B6F" w14:textId="77777777" w:rsidR="009A58DB" w:rsidRDefault="00000000">
      <w:pPr>
        <w:pStyle w:val="BodyText"/>
        <w:spacing w:before="4" w:line="249" w:lineRule="auto"/>
        <w:ind w:right="361" w:firstLine="360"/>
      </w:pPr>
      <w:r>
        <w:t xml:space="preserve">To parry this, advocates of CRS would have to say the following. “Where some expressions are concerned, meaning is fixed by use. But where other expressions are concerned, use </w:t>
      </w:r>
      <w:r>
        <w:rPr>
          <w:i/>
        </w:rPr>
        <w:t xml:space="preserve">doesn’t </w:t>
      </w:r>
      <w:r>
        <w:t xml:space="preserve">fix meaning, at least not single-handedly. Some </w:t>
      </w:r>
      <w:r>
        <w:rPr>
          <w:i/>
        </w:rPr>
        <w:t xml:space="preserve">other </w:t>
      </w:r>
      <w:r>
        <w:t>factor is at work.”</w:t>
      </w:r>
    </w:p>
    <w:p w14:paraId="7E002B70" w14:textId="77777777" w:rsidR="009A58DB" w:rsidRDefault="00000000">
      <w:pPr>
        <w:pStyle w:val="BodyText"/>
        <w:spacing w:before="5" w:line="249" w:lineRule="auto"/>
        <w:ind w:right="371" w:firstLine="360"/>
      </w:pPr>
      <w:r>
        <w:t>In making this concession, the advocate of CRS is admitting that CRS is false. Setting this aside, let us ask: what is this other factor?</w:t>
      </w:r>
    </w:p>
    <w:p w14:paraId="7E002B71" w14:textId="77777777" w:rsidR="009A58DB" w:rsidRDefault="00000000">
      <w:pPr>
        <w:pStyle w:val="BodyText"/>
        <w:spacing w:before="2"/>
        <w:ind w:left="720"/>
      </w:pPr>
      <w:r>
        <w:t>The</w:t>
      </w:r>
      <w:r>
        <w:rPr>
          <w:spacing w:val="2"/>
        </w:rPr>
        <w:t xml:space="preserve"> </w:t>
      </w:r>
      <w:r>
        <w:t>answer:</w:t>
      </w:r>
      <w:r>
        <w:rPr>
          <w:spacing w:val="3"/>
        </w:rPr>
        <w:t xml:space="preserve"> </w:t>
      </w:r>
      <w:r>
        <w:t>syntax.</w:t>
      </w:r>
      <w:r>
        <w:rPr>
          <w:spacing w:val="3"/>
        </w:rPr>
        <w:t xml:space="preserve"> </w:t>
      </w:r>
      <w:r>
        <w:t>The</w:t>
      </w:r>
      <w:r>
        <w:rPr>
          <w:spacing w:val="3"/>
        </w:rPr>
        <w:t xml:space="preserve"> </w:t>
      </w:r>
      <w:r>
        <w:t>meaning</w:t>
      </w:r>
      <w:r>
        <w:rPr>
          <w:spacing w:val="3"/>
        </w:rPr>
        <w:t xml:space="preserve"> </w:t>
      </w:r>
      <w:r>
        <w:t>of</w:t>
      </w:r>
      <w:r>
        <w:rPr>
          <w:spacing w:val="3"/>
        </w:rPr>
        <w:t xml:space="preserve"> </w:t>
      </w:r>
      <w:r>
        <w:t>“Bob</w:t>
      </w:r>
      <w:r>
        <w:rPr>
          <w:spacing w:val="3"/>
        </w:rPr>
        <w:t xml:space="preserve"> </w:t>
      </w:r>
      <w:r>
        <w:t>kicked</w:t>
      </w:r>
      <w:r>
        <w:rPr>
          <w:spacing w:val="3"/>
        </w:rPr>
        <w:t xml:space="preserve"> </w:t>
      </w:r>
      <w:r>
        <w:t>the</w:t>
      </w:r>
      <w:r>
        <w:rPr>
          <w:spacing w:val="3"/>
        </w:rPr>
        <w:t xml:space="preserve"> </w:t>
      </w:r>
      <w:r>
        <w:t>can”</w:t>
      </w:r>
      <w:r>
        <w:rPr>
          <w:spacing w:val="3"/>
        </w:rPr>
        <w:t xml:space="preserve"> </w:t>
      </w:r>
      <w:r>
        <w:t>is</w:t>
      </w:r>
      <w:r>
        <w:rPr>
          <w:spacing w:val="3"/>
        </w:rPr>
        <w:t xml:space="preserve"> </w:t>
      </w:r>
      <w:r>
        <w:t>a</w:t>
      </w:r>
      <w:r>
        <w:rPr>
          <w:spacing w:val="3"/>
        </w:rPr>
        <w:t xml:space="preserve"> </w:t>
      </w:r>
      <w:r>
        <w:t>function</w:t>
      </w:r>
      <w:r>
        <w:rPr>
          <w:spacing w:val="3"/>
        </w:rPr>
        <w:t xml:space="preserve"> </w:t>
      </w:r>
      <w:r>
        <w:rPr>
          <w:spacing w:val="-5"/>
        </w:rPr>
        <w:t>of</w:t>
      </w:r>
    </w:p>
    <w:p w14:paraId="7E002B72" w14:textId="77777777" w:rsidR="009A58DB" w:rsidRDefault="00000000">
      <w:pPr>
        <w:pStyle w:val="BodyText"/>
        <w:spacing w:before="15" w:line="249" w:lineRule="auto"/>
        <w:ind w:right="361"/>
      </w:pPr>
      <w:r>
        <w:t>(i)</w:t>
      </w:r>
      <w:r>
        <w:rPr>
          <w:spacing w:val="-1"/>
        </w:rPr>
        <w:t xml:space="preserve"> </w:t>
      </w:r>
      <w:r>
        <w:t>what</w:t>
      </w:r>
      <w:r>
        <w:rPr>
          <w:spacing w:val="-2"/>
        </w:rPr>
        <w:t xml:space="preserve"> </w:t>
      </w:r>
      <w:r>
        <w:t>each</w:t>
      </w:r>
      <w:r>
        <w:rPr>
          <w:spacing w:val="-1"/>
        </w:rPr>
        <w:t xml:space="preserve"> </w:t>
      </w:r>
      <w:r>
        <w:t>of</w:t>
      </w:r>
      <w:r>
        <w:rPr>
          <w:spacing w:val="-1"/>
        </w:rPr>
        <w:t xml:space="preserve"> </w:t>
      </w:r>
      <w:r>
        <w:t>its</w:t>
      </w:r>
      <w:r>
        <w:rPr>
          <w:spacing w:val="-1"/>
        </w:rPr>
        <w:t xml:space="preserve"> </w:t>
      </w:r>
      <w:r>
        <w:t>components</w:t>
      </w:r>
      <w:r>
        <w:rPr>
          <w:spacing w:val="-1"/>
        </w:rPr>
        <w:t xml:space="preserve"> </w:t>
      </w:r>
      <w:r>
        <w:t>means</w:t>
      </w:r>
      <w:r>
        <w:rPr>
          <w:spacing w:val="-1"/>
        </w:rPr>
        <w:t xml:space="preserve"> </w:t>
      </w:r>
      <w:r>
        <w:t>(in</w:t>
      </w:r>
      <w:r>
        <w:rPr>
          <w:spacing w:val="-1"/>
        </w:rPr>
        <w:t xml:space="preserve"> </w:t>
      </w:r>
      <w:r>
        <w:t>other</w:t>
      </w:r>
      <w:r>
        <w:rPr>
          <w:spacing w:val="-1"/>
        </w:rPr>
        <w:t xml:space="preserve"> </w:t>
      </w:r>
      <w:r>
        <w:t>words,</w:t>
      </w:r>
      <w:r>
        <w:rPr>
          <w:spacing w:val="-1"/>
        </w:rPr>
        <w:t xml:space="preserve"> </w:t>
      </w:r>
      <w:r>
        <w:t>it’s</w:t>
      </w:r>
      <w:r>
        <w:rPr>
          <w:spacing w:val="-1"/>
        </w:rPr>
        <w:t xml:space="preserve"> </w:t>
      </w:r>
      <w:r>
        <w:t>a</w:t>
      </w:r>
      <w:r>
        <w:rPr>
          <w:spacing w:val="-1"/>
        </w:rPr>
        <w:t xml:space="preserve"> </w:t>
      </w:r>
      <w:r>
        <w:t>function</w:t>
      </w:r>
      <w:r>
        <w:rPr>
          <w:spacing w:val="-1"/>
        </w:rPr>
        <w:t xml:space="preserve"> </w:t>
      </w:r>
      <w:r>
        <w:t>of</w:t>
      </w:r>
      <w:r>
        <w:rPr>
          <w:spacing w:val="-1"/>
        </w:rPr>
        <w:t xml:space="preserve"> </w:t>
      </w:r>
      <w:r>
        <w:t xml:space="preserve">what is meant by each of “Bob,” “kick,” and so on); and it’s also a function of (ii) the syntactic rules of English (in other words, it’s a function of the rules that assign meanings to complex expressions on the basis of the meanings of their </w:t>
      </w:r>
      <w:r>
        <w:rPr>
          <w:spacing w:val="-2"/>
        </w:rPr>
        <w:t>constituents).</w:t>
      </w:r>
    </w:p>
    <w:p w14:paraId="7E002B73" w14:textId="77777777" w:rsidR="009A58DB" w:rsidRDefault="00000000">
      <w:pPr>
        <w:pStyle w:val="BodyText"/>
        <w:spacing w:before="6"/>
        <w:ind w:left="720"/>
      </w:pPr>
      <w:r>
        <w:t>Thus,</w:t>
      </w:r>
      <w:r>
        <w:rPr>
          <w:spacing w:val="23"/>
        </w:rPr>
        <w:t xml:space="preserve"> </w:t>
      </w:r>
      <w:r>
        <w:t>the</w:t>
      </w:r>
      <w:r>
        <w:rPr>
          <w:spacing w:val="26"/>
        </w:rPr>
        <w:t xml:space="preserve"> </w:t>
      </w:r>
      <w:r>
        <w:t>meaning</w:t>
      </w:r>
      <w:r>
        <w:rPr>
          <w:spacing w:val="26"/>
        </w:rPr>
        <w:t xml:space="preserve"> </w:t>
      </w:r>
      <w:r>
        <w:t>of</w:t>
      </w:r>
      <w:r>
        <w:rPr>
          <w:spacing w:val="25"/>
        </w:rPr>
        <w:t xml:space="preserve"> </w:t>
      </w:r>
      <w:r>
        <w:t>a</w:t>
      </w:r>
      <w:r>
        <w:rPr>
          <w:spacing w:val="26"/>
        </w:rPr>
        <w:t xml:space="preserve"> </w:t>
      </w:r>
      <w:r>
        <w:t>complex</w:t>
      </w:r>
      <w:r>
        <w:rPr>
          <w:spacing w:val="26"/>
        </w:rPr>
        <w:t xml:space="preserve"> </w:t>
      </w:r>
      <w:r>
        <w:t>expression</w:t>
      </w:r>
      <w:r>
        <w:rPr>
          <w:spacing w:val="26"/>
        </w:rPr>
        <w:t xml:space="preserve"> </w:t>
      </w:r>
      <w:r>
        <w:t>is</w:t>
      </w:r>
      <w:r>
        <w:rPr>
          <w:spacing w:val="25"/>
        </w:rPr>
        <w:t xml:space="preserve"> </w:t>
      </w:r>
      <w:r>
        <w:rPr>
          <w:i/>
        </w:rPr>
        <w:t>not</w:t>
      </w:r>
      <w:r>
        <w:rPr>
          <w:i/>
          <w:spacing w:val="12"/>
        </w:rPr>
        <w:t xml:space="preserve"> </w:t>
      </w:r>
      <w:r>
        <w:t>determined</w:t>
      </w:r>
      <w:r>
        <w:rPr>
          <w:spacing w:val="28"/>
        </w:rPr>
        <w:t xml:space="preserve"> </w:t>
      </w:r>
      <w:r>
        <w:t>by</w:t>
      </w:r>
      <w:r>
        <w:rPr>
          <w:spacing w:val="28"/>
        </w:rPr>
        <w:t xml:space="preserve"> </w:t>
      </w:r>
      <w:r>
        <w:t>its</w:t>
      </w:r>
      <w:r>
        <w:rPr>
          <w:spacing w:val="27"/>
        </w:rPr>
        <w:t xml:space="preserve"> </w:t>
      </w:r>
      <w:r>
        <w:rPr>
          <w:spacing w:val="-4"/>
        </w:rPr>
        <w:t>use,</w:t>
      </w:r>
    </w:p>
    <w:p w14:paraId="7E002B74" w14:textId="77777777" w:rsidR="009A58DB" w:rsidRDefault="009A58DB">
      <w:pPr>
        <w:pStyle w:val="BodyText"/>
        <w:sectPr w:rsidR="009A58DB">
          <w:pgSz w:w="12240" w:h="15840"/>
          <w:pgMar w:top="1380" w:right="1080" w:bottom="280" w:left="1080" w:header="720" w:footer="720" w:gutter="0"/>
          <w:cols w:space="720"/>
        </w:sectPr>
      </w:pPr>
    </w:p>
    <w:p w14:paraId="7E002B75" w14:textId="77777777" w:rsidR="009A58DB" w:rsidRDefault="00000000">
      <w:pPr>
        <w:pStyle w:val="BodyText"/>
        <w:spacing w:before="65" w:line="249" w:lineRule="auto"/>
        <w:ind w:right="362"/>
      </w:pPr>
      <w:r>
        <w:lastRenderedPageBreak/>
        <w:t>and is determined by existing semantic and syntactic conventions. So CRS is false, if taken as an analysis of complex expressions. Earlier, we saw why it’s false if taken as an analysis of simple expressions.</w:t>
      </w:r>
    </w:p>
    <w:p w14:paraId="7E002B76" w14:textId="77777777" w:rsidR="009A58DB" w:rsidRDefault="009A58DB">
      <w:pPr>
        <w:pStyle w:val="BodyText"/>
        <w:spacing w:before="18"/>
        <w:ind w:left="0"/>
        <w:jc w:val="left"/>
      </w:pPr>
    </w:p>
    <w:p w14:paraId="7E002B77" w14:textId="77777777" w:rsidR="009A58DB" w:rsidRDefault="00000000">
      <w:pPr>
        <w:pStyle w:val="ListParagraph"/>
        <w:numPr>
          <w:ilvl w:val="0"/>
          <w:numId w:val="22"/>
        </w:numPr>
        <w:tabs>
          <w:tab w:val="left" w:pos="939"/>
        </w:tabs>
        <w:spacing w:line="249" w:lineRule="auto"/>
        <w:ind w:right="372" w:firstLine="0"/>
        <w:jc w:val="both"/>
        <w:rPr>
          <w:sz w:val="30"/>
        </w:rPr>
      </w:pPr>
      <w:r>
        <w:rPr>
          <w:sz w:val="30"/>
        </w:rPr>
        <w:t>If the meaning of a sentence S were determined by its “conceptual role”—that</w:t>
      </w:r>
      <w:r>
        <w:rPr>
          <w:spacing w:val="18"/>
          <w:sz w:val="30"/>
        </w:rPr>
        <w:t xml:space="preserve"> </w:t>
      </w:r>
      <w:r>
        <w:rPr>
          <w:sz w:val="30"/>
        </w:rPr>
        <w:t>is,</w:t>
      </w:r>
      <w:r>
        <w:rPr>
          <w:spacing w:val="21"/>
          <w:sz w:val="30"/>
        </w:rPr>
        <w:t xml:space="preserve"> </w:t>
      </w:r>
      <w:r>
        <w:rPr>
          <w:sz w:val="30"/>
        </w:rPr>
        <w:t>by</w:t>
      </w:r>
      <w:r>
        <w:rPr>
          <w:spacing w:val="21"/>
          <w:sz w:val="30"/>
        </w:rPr>
        <w:t xml:space="preserve"> </w:t>
      </w:r>
      <w:r>
        <w:rPr>
          <w:sz w:val="30"/>
        </w:rPr>
        <w:t>what</w:t>
      </w:r>
      <w:r>
        <w:rPr>
          <w:spacing w:val="21"/>
          <w:sz w:val="30"/>
        </w:rPr>
        <w:t xml:space="preserve"> </w:t>
      </w:r>
      <w:r>
        <w:rPr>
          <w:sz w:val="30"/>
        </w:rPr>
        <w:t>people</w:t>
      </w:r>
      <w:r>
        <w:rPr>
          <w:spacing w:val="20"/>
          <w:sz w:val="30"/>
        </w:rPr>
        <w:t xml:space="preserve"> </w:t>
      </w:r>
      <w:r>
        <w:rPr>
          <w:sz w:val="30"/>
        </w:rPr>
        <w:t>inferred</w:t>
      </w:r>
      <w:r>
        <w:rPr>
          <w:spacing w:val="21"/>
          <w:sz w:val="30"/>
        </w:rPr>
        <w:t xml:space="preserve"> </w:t>
      </w:r>
      <w:r>
        <w:rPr>
          <w:sz w:val="30"/>
        </w:rPr>
        <w:t>from</w:t>
      </w:r>
      <w:r>
        <w:rPr>
          <w:spacing w:val="21"/>
          <w:sz w:val="30"/>
        </w:rPr>
        <w:t xml:space="preserve"> </w:t>
      </w:r>
      <w:r>
        <w:rPr>
          <w:sz w:val="30"/>
        </w:rPr>
        <w:t>S,</w:t>
      </w:r>
      <w:r>
        <w:rPr>
          <w:spacing w:val="21"/>
          <w:sz w:val="30"/>
        </w:rPr>
        <w:t xml:space="preserve"> </w:t>
      </w:r>
      <w:r>
        <w:rPr>
          <w:sz w:val="30"/>
        </w:rPr>
        <w:t>when</w:t>
      </w:r>
      <w:r>
        <w:rPr>
          <w:spacing w:val="20"/>
          <w:sz w:val="30"/>
        </w:rPr>
        <w:t xml:space="preserve"> </w:t>
      </w:r>
      <w:r>
        <w:rPr>
          <w:sz w:val="30"/>
        </w:rPr>
        <w:t>they</w:t>
      </w:r>
      <w:r>
        <w:rPr>
          <w:spacing w:val="21"/>
          <w:sz w:val="30"/>
        </w:rPr>
        <w:t xml:space="preserve"> </w:t>
      </w:r>
      <w:r>
        <w:rPr>
          <w:sz w:val="30"/>
        </w:rPr>
        <w:t>thought</w:t>
      </w:r>
      <w:r>
        <w:rPr>
          <w:spacing w:val="21"/>
          <w:sz w:val="30"/>
        </w:rPr>
        <w:t xml:space="preserve"> </w:t>
      </w:r>
      <w:r>
        <w:rPr>
          <w:sz w:val="30"/>
        </w:rPr>
        <w:t>it</w:t>
      </w:r>
      <w:r>
        <w:rPr>
          <w:spacing w:val="21"/>
          <w:sz w:val="30"/>
        </w:rPr>
        <w:t xml:space="preserve"> </w:t>
      </w:r>
      <w:r>
        <w:rPr>
          <w:spacing w:val="-2"/>
          <w:sz w:val="30"/>
        </w:rPr>
        <w:t>correct</w:t>
      </w:r>
    </w:p>
    <w:p w14:paraId="7E002B78" w14:textId="77777777" w:rsidR="009A58DB" w:rsidRDefault="00000000">
      <w:pPr>
        <w:pStyle w:val="BodyText"/>
        <w:spacing w:before="3" w:line="249" w:lineRule="auto"/>
        <w:ind w:right="360"/>
      </w:pPr>
      <w:r>
        <w:t xml:space="preserve">—any inference that people made from S would </w:t>
      </w:r>
      <w:r>
        <w:rPr>
          <w:i/>
        </w:rPr>
        <w:t>ipso facto</w:t>
      </w:r>
      <w:r>
        <w:rPr>
          <w:i/>
          <w:spacing w:val="40"/>
        </w:rPr>
        <w:t xml:space="preserve"> </w:t>
      </w:r>
      <w:r>
        <w:t>be constitutive of S’s meaning. If enough people thought that “Stalin the dictator of the Soviet Union from 1923–1953” entailed “somebody who was over 6 ft tall was the dictator of the Soviet Union from 1923–1953,” the former would entail the latter. But even if the latter were correct (which it isn’t since Stalin was</w:t>
      </w:r>
      <w:r>
        <w:rPr>
          <w:spacing w:val="40"/>
        </w:rPr>
        <w:t xml:space="preserve"> </w:t>
      </w:r>
      <w:r>
        <w:t xml:space="preserve">barely over 5 ft tall), it wouldn’t </w:t>
      </w:r>
      <w:r>
        <w:rPr>
          <w:i/>
        </w:rPr>
        <w:t xml:space="preserve">follow </w:t>
      </w:r>
      <w:r>
        <w:t>from the first sentence.</w:t>
      </w:r>
    </w:p>
    <w:p w14:paraId="7E002B79" w14:textId="77777777" w:rsidR="009A58DB" w:rsidRDefault="009A58DB">
      <w:pPr>
        <w:pStyle w:val="BodyText"/>
        <w:spacing w:before="22"/>
        <w:ind w:left="0"/>
        <w:jc w:val="left"/>
      </w:pPr>
    </w:p>
    <w:p w14:paraId="7E002B7A" w14:textId="77777777" w:rsidR="009A58DB" w:rsidRDefault="00000000">
      <w:pPr>
        <w:pStyle w:val="BodyText"/>
        <w:spacing w:line="249" w:lineRule="auto"/>
        <w:ind w:right="360" w:firstLine="360"/>
      </w:pPr>
      <w:r>
        <w:t xml:space="preserve">In their (2001) book </w:t>
      </w:r>
      <w:r>
        <w:rPr>
          <w:i/>
        </w:rPr>
        <w:t>The Compositionality Papers</w:t>
      </w:r>
      <w:r>
        <w:t>, Jerry Fodor and Ernie Lepore put forth several blistering criticisms of CRS. In that work, any gaps in the criticisms of CRS just put forth are very much filled in.</w:t>
      </w:r>
    </w:p>
    <w:p w14:paraId="7E002B7B" w14:textId="77777777" w:rsidR="009A58DB" w:rsidRDefault="009A58DB">
      <w:pPr>
        <w:pStyle w:val="BodyText"/>
        <w:spacing w:before="19"/>
        <w:ind w:left="0"/>
        <w:jc w:val="left"/>
      </w:pPr>
    </w:p>
    <w:p w14:paraId="7E002B7C" w14:textId="77777777" w:rsidR="009A58DB" w:rsidRDefault="00000000">
      <w:pPr>
        <w:pStyle w:val="BodyText"/>
        <w:spacing w:line="249" w:lineRule="auto"/>
        <w:ind w:right="362"/>
      </w:pPr>
      <w:r>
        <w:rPr>
          <w:b/>
          <w:i/>
        </w:rPr>
        <w:t xml:space="preserve">Conditional: </w:t>
      </w:r>
      <w:r>
        <w:t xml:space="preserve">A conditional statement is one that has the form </w:t>
      </w:r>
      <w:r>
        <w:rPr>
          <w:i/>
        </w:rPr>
        <w:t xml:space="preserve">if P, then Q. </w:t>
      </w:r>
      <w:r>
        <w:t>Conditional statements play a vital role in logic, since logic is the discipline that attempts to determine what follows from what, and any statement to the effect that one statement follows from another is expressed by a conditional.</w:t>
      </w:r>
    </w:p>
    <w:p w14:paraId="7E002B7D" w14:textId="77777777" w:rsidR="009A58DB" w:rsidRDefault="009A58DB">
      <w:pPr>
        <w:pStyle w:val="BodyText"/>
        <w:spacing w:before="20"/>
        <w:ind w:left="0"/>
        <w:jc w:val="left"/>
      </w:pPr>
    </w:p>
    <w:p w14:paraId="7E002B7E" w14:textId="77777777" w:rsidR="009A58DB" w:rsidRDefault="00000000">
      <w:pPr>
        <w:pStyle w:val="BodyText"/>
        <w:spacing w:line="249" w:lineRule="auto"/>
        <w:ind w:right="358"/>
      </w:pPr>
      <w:r>
        <w:rPr>
          <w:b/>
          <w:i/>
        </w:rPr>
        <w:t xml:space="preserve">Confirm: </w:t>
      </w:r>
      <w:r>
        <w:t>For P to confirm Q is for P to provide support for Q. (P: ‘Smith’s fingerprints are found in the murder-weapon used to kill Jones.’ Q: “Smith killed Jones.” P supports Q.) Confirmation is defeasible, meaning that, even</w:t>
      </w:r>
      <w:r>
        <w:rPr>
          <w:spacing w:val="40"/>
        </w:rPr>
        <w:t xml:space="preserve"> </w:t>
      </w:r>
      <w:r>
        <w:t>if P confirms Q, some other statement might provide more support for not-Q than P provides for Q. (R: “There is a video-tape of Brown killing Smith,</w:t>
      </w:r>
      <w:r>
        <w:rPr>
          <w:spacing w:val="40"/>
        </w:rPr>
        <w:t xml:space="preserve"> </w:t>
      </w:r>
      <w:r>
        <w:t xml:space="preserve">then pressing the hand of Smith, who is at the crime-scene but unconscious, around the murder-weapon, and then leaving it at the scene.”) </w:t>
      </w:r>
      <w:r>
        <w:rPr>
          <w:b/>
          <w:i/>
        </w:rPr>
        <w:t xml:space="preserve">Entailment </w:t>
      </w:r>
      <w:r>
        <w:t>is not defeasible. A consequence is that P cannot, if true, entail Q without Q’s being true. See “confirmation.”</w:t>
      </w:r>
    </w:p>
    <w:p w14:paraId="7E002B7F" w14:textId="77777777" w:rsidR="009A58DB" w:rsidRDefault="009A58DB">
      <w:pPr>
        <w:pStyle w:val="BodyText"/>
        <w:spacing w:before="26"/>
        <w:ind w:left="0"/>
        <w:jc w:val="left"/>
      </w:pPr>
    </w:p>
    <w:p w14:paraId="7E002B80" w14:textId="77777777" w:rsidR="009A58DB" w:rsidRDefault="00000000">
      <w:pPr>
        <w:pStyle w:val="BodyText"/>
        <w:spacing w:line="249" w:lineRule="auto"/>
        <w:ind w:right="365"/>
      </w:pPr>
      <w:r>
        <w:rPr>
          <w:b/>
          <w:i/>
        </w:rPr>
        <w:t>Confirmation:</w:t>
      </w:r>
      <w:r>
        <w:rPr>
          <w:b/>
          <w:i/>
          <w:spacing w:val="-3"/>
        </w:rPr>
        <w:t xml:space="preserve"> </w:t>
      </w:r>
      <w:r>
        <w:t>P</w:t>
      </w:r>
      <w:r>
        <w:rPr>
          <w:spacing w:val="-3"/>
        </w:rPr>
        <w:t xml:space="preserve"> </w:t>
      </w:r>
      <w:r>
        <w:t>confirms</w:t>
      </w:r>
      <w:r>
        <w:rPr>
          <w:spacing w:val="-3"/>
        </w:rPr>
        <w:t xml:space="preserve"> </w:t>
      </w:r>
      <w:r>
        <w:t>Q</w:t>
      </w:r>
      <w:r>
        <w:rPr>
          <w:spacing w:val="-3"/>
        </w:rPr>
        <w:t xml:space="preserve"> </w:t>
      </w:r>
      <w:r>
        <w:t>if,</w:t>
      </w:r>
      <w:r>
        <w:rPr>
          <w:spacing w:val="-2"/>
        </w:rPr>
        <w:t xml:space="preserve"> </w:t>
      </w:r>
      <w:r>
        <w:t>supposing</w:t>
      </w:r>
      <w:r>
        <w:rPr>
          <w:spacing w:val="-2"/>
        </w:rPr>
        <w:t xml:space="preserve"> </w:t>
      </w:r>
      <w:r>
        <w:t>that</w:t>
      </w:r>
      <w:r>
        <w:rPr>
          <w:spacing w:val="-3"/>
        </w:rPr>
        <w:t xml:space="preserve"> </w:t>
      </w:r>
      <w:r>
        <w:t>P</w:t>
      </w:r>
      <w:r>
        <w:rPr>
          <w:spacing w:val="-3"/>
        </w:rPr>
        <w:t xml:space="preserve"> </w:t>
      </w:r>
      <w:r>
        <w:t>is</w:t>
      </w:r>
      <w:r>
        <w:rPr>
          <w:spacing w:val="-3"/>
        </w:rPr>
        <w:t xml:space="preserve"> </w:t>
      </w:r>
      <w:r>
        <w:t>true,</w:t>
      </w:r>
      <w:r>
        <w:rPr>
          <w:spacing w:val="-2"/>
        </w:rPr>
        <w:t xml:space="preserve"> </w:t>
      </w:r>
      <w:r>
        <w:t>it’s</w:t>
      </w:r>
      <w:r>
        <w:rPr>
          <w:spacing w:val="-3"/>
        </w:rPr>
        <w:t xml:space="preserve"> </w:t>
      </w:r>
      <w:r>
        <w:t>possible</w:t>
      </w:r>
      <w:r>
        <w:rPr>
          <w:spacing w:val="-3"/>
        </w:rPr>
        <w:t xml:space="preserve"> </w:t>
      </w:r>
      <w:r>
        <w:t>that</w:t>
      </w:r>
      <w:r>
        <w:rPr>
          <w:spacing w:val="-3"/>
        </w:rPr>
        <w:t xml:space="preserve"> </w:t>
      </w:r>
      <w:r>
        <w:t>Q</w:t>
      </w:r>
      <w:r>
        <w:rPr>
          <w:spacing w:val="-3"/>
        </w:rPr>
        <w:t xml:space="preserve"> </w:t>
      </w:r>
      <w:r>
        <w:t>is false but it’s more likely than not that Q is true. “Smith is a Harvard professor” confirms “Smith is not a complete moron,” but it doesn’t entail it. See “confirm” and “entailment.”</w:t>
      </w:r>
    </w:p>
    <w:p w14:paraId="7E002B8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82" w14:textId="77777777" w:rsidR="009A58DB" w:rsidRDefault="00000000">
      <w:pPr>
        <w:spacing w:before="65" w:line="249" w:lineRule="auto"/>
        <w:ind w:left="360" w:right="369"/>
        <w:jc w:val="both"/>
        <w:rPr>
          <w:sz w:val="30"/>
        </w:rPr>
      </w:pPr>
      <w:r>
        <w:rPr>
          <w:b/>
          <w:i/>
          <w:sz w:val="30"/>
        </w:rPr>
        <w:lastRenderedPageBreak/>
        <w:t xml:space="preserve">Conjunct: </w:t>
      </w:r>
      <w:r>
        <w:rPr>
          <w:sz w:val="30"/>
        </w:rPr>
        <w:t xml:space="preserve">In </w:t>
      </w:r>
      <w:r>
        <w:rPr>
          <w:i/>
          <w:sz w:val="30"/>
        </w:rPr>
        <w:t>P and Q</w:t>
      </w:r>
      <w:r>
        <w:rPr>
          <w:sz w:val="30"/>
        </w:rPr>
        <w:t xml:space="preserve">, each of P and Q is a “conjunct.” So </w:t>
      </w:r>
      <w:r>
        <w:rPr>
          <w:i/>
          <w:sz w:val="30"/>
        </w:rPr>
        <w:t xml:space="preserve">snow is white </w:t>
      </w:r>
      <w:r>
        <w:rPr>
          <w:sz w:val="30"/>
        </w:rPr>
        <w:t xml:space="preserve">is one of the conjuncts of </w:t>
      </w:r>
      <w:r>
        <w:rPr>
          <w:i/>
          <w:sz w:val="30"/>
        </w:rPr>
        <w:t xml:space="preserve">snow is white and grass is green. </w:t>
      </w:r>
      <w:r>
        <w:rPr>
          <w:sz w:val="30"/>
        </w:rPr>
        <w:t>See “conjunction.”</w:t>
      </w:r>
    </w:p>
    <w:p w14:paraId="7E002B83" w14:textId="77777777" w:rsidR="009A58DB" w:rsidRDefault="009A58DB">
      <w:pPr>
        <w:pStyle w:val="BodyText"/>
        <w:spacing w:before="17"/>
        <w:ind w:left="0"/>
        <w:jc w:val="left"/>
      </w:pPr>
    </w:p>
    <w:p w14:paraId="7E002B84" w14:textId="77777777" w:rsidR="009A58DB" w:rsidRDefault="00000000">
      <w:pPr>
        <w:pStyle w:val="BodyText"/>
        <w:spacing w:line="249" w:lineRule="auto"/>
        <w:ind w:right="370"/>
      </w:pPr>
      <w:r>
        <w:rPr>
          <w:b/>
          <w:i/>
        </w:rPr>
        <w:t>Conjunction:</w:t>
      </w:r>
      <w:r>
        <w:rPr>
          <w:b/>
          <w:i/>
          <w:spacing w:val="-4"/>
        </w:rPr>
        <w:t xml:space="preserve"> </w:t>
      </w:r>
      <w:r>
        <w:t xml:space="preserve">A conjunction is any sentence composed of two sentences that are joined by an “and” or a “but” or an “although”—or any other connective whose purpose is to indicate that </w:t>
      </w:r>
      <w:r>
        <w:rPr>
          <w:i/>
        </w:rPr>
        <w:t xml:space="preserve">both </w:t>
      </w:r>
      <w:r>
        <w:t>of the sentences thereby joined are</w:t>
      </w:r>
      <w:r>
        <w:rPr>
          <w:spacing w:val="40"/>
        </w:rPr>
        <w:t xml:space="preserve"> </w:t>
      </w:r>
      <w:r>
        <w:rPr>
          <w:spacing w:val="-2"/>
        </w:rPr>
        <w:t>true.</w:t>
      </w:r>
    </w:p>
    <w:p w14:paraId="7E002B85" w14:textId="77777777" w:rsidR="009A58DB" w:rsidRDefault="009A58DB">
      <w:pPr>
        <w:pStyle w:val="BodyText"/>
        <w:spacing w:before="20"/>
        <w:ind w:left="0"/>
        <w:jc w:val="left"/>
      </w:pPr>
    </w:p>
    <w:p w14:paraId="7E002B86" w14:textId="77777777" w:rsidR="009A58DB" w:rsidRDefault="00000000">
      <w:pPr>
        <w:pStyle w:val="BodyText"/>
        <w:spacing w:line="249" w:lineRule="auto"/>
        <w:ind w:right="358"/>
      </w:pPr>
      <w:r>
        <w:rPr>
          <w:b/>
          <w:i/>
        </w:rPr>
        <w:t xml:space="preserve">Connective: </w:t>
      </w:r>
      <w:r>
        <w:t xml:space="preserve">A “connective” expression is one that, given one or more sentences, enables a new sentence to be formed. So, “if ” is a connective since, given the sentences “grass is green” and “snow is white,” it yields the sentence “if grass is green, then snow is white.” All conjunctions (“and,” “or,” “but”) are connectives. So is “not.” This is because “snow is not white” says the same thing as “it is not the case that snow is white,” which is what results when the expression “it is not the case” is coupled with “snow is </w:t>
      </w:r>
      <w:r>
        <w:rPr>
          <w:spacing w:val="-2"/>
        </w:rPr>
        <w:t>white.”</w:t>
      </w:r>
    </w:p>
    <w:p w14:paraId="7E002B87" w14:textId="77777777" w:rsidR="009A58DB" w:rsidRDefault="00000000">
      <w:pPr>
        <w:pStyle w:val="BodyText"/>
        <w:spacing w:before="10" w:line="249" w:lineRule="auto"/>
        <w:ind w:right="369" w:firstLine="360"/>
      </w:pPr>
      <w:r>
        <w:t>“It is possible” (or “possibly”) is a connective, since it yields “it is</w:t>
      </w:r>
      <w:r>
        <w:rPr>
          <w:spacing w:val="40"/>
        </w:rPr>
        <w:t xml:space="preserve"> </w:t>
      </w:r>
      <w:r>
        <w:t>possible that John is home” when given the sentence “John is home.”</w:t>
      </w:r>
    </w:p>
    <w:p w14:paraId="7E002B88" w14:textId="77777777" w:rsidR="009A58DB" w:rsidRDefault="00000000">
      <w:pPr>
        <w:pStyle w:val="BodyText"/>
        <w:spacing w:before="2" w:line="249" w:lineRule="auto"/>
        <w:ind w:right="364" w:firstLine="360"/>
      </w:pPr>
      <w:r>
        <w:t>“Sally believes” is a connective since it yields “Sally believes that John is home” when given the sentence “John is home.”</w:t>
      </w:r>
    </w:p>
    <w:p w14:paraId="7E002B89" w14:textId="77777777" w:rsidR="009A58DB" w:rsidRDefault="00000000">
      <w:pPr>
        <w:pStyle w:val="BodyText"/>
        <w:spacing w:before="3" w:line="249" w:lineRule="auto"/>
        <w:ind w:right="357" w:firstLine="360"/>
      </w:pPr>
      <w:r>
        <w:t xml:space="preserve">“And,” “if,” and “or” are </w:t>
      </w:r>
      <w:r>
        <w:rPr>
          <w:i/>
        </w:rPr>
        <w:t>two</w:t>
      </w:r>
      <w:r>
        <w:t xml:space="preserve">-place connectives, meaning that they form sentences out of pairs of sentences. “Not,” “it is possible that,” and “John believes that” are </w:t>
      </w:r>
      <w:r>
        <w:rPr>
          <w:i/>
        </w:rPr>
        <w:t xml:space="preserve">one-place </w:t>
      </w:r>
      <w:r>
        <w:t>connectives, since they form sentences out of single sentences.</w:t>
      </w:r>
    </w:p>
    <w:p w14:paraId="7E002B8A" w14:textId="77777777" w:rsidR="009A58DB" w:rsidRDefault="009A58DB">
      <w:pPr>
        <w:pStyle w:val="BodyText"/>
        <w:spacing w:before="20"/>
        <w:ind w:left="0"/>
        <w:jc w:val="left"/>
      </w:pPr>
    </w:p>
    <w:p w14:paraId="7E002B8B" w14:textId="77777777" w:rsidR="009A58DB" w:rsidRDefault="00000000">
      <w:pPr>
        <w:pStyle w:val="BodyText"/>
        <w:spacing w:line="249" w:lineRule="auto"/>
        <w:ind w:right="359"/>
      </w:pPr>
      <w:r>
        <w:rPr>
          <w:b/>
          <w:i/>
        </w:rPr>
        <w:t xml:space="preserve">Commentary: </w:t>
      </w:r>
      <w:r>
        <w:t>A connective can be thought of as a sentence-level adjective. That is, it can be thought of as an expression C such that, given a sentence S, C yields a new sentence C(S) (read: “C of S”) such that C(S) attributes some characteristic to the proposition (or open proposition) expressed by S. For example, “Fred knows that” is a connective. And if you say “Fred knows that snow is white,” you are attributing a property to the proposition that snow is white; you are saying of that proposition that it has the property that Fred knows it to be true. “Because” is a connective, and if you say “snow is white because grass is green,” you are seeing of the propositions that snow is white and</w:t>
      </w:r>
      <w:r>
        <w:rPr>
          <w:spacing w:val="21"/>
        </w:rPr>
        <w:t xml:space="preserve"> </w:t>
      </w:r>
      <w:r>
        <w:t>grass</w:t>
      </w:r>
      <w:r>
        <w:rPr>
          <w:spacing w:val="21"/>
        </w:rPr>
        <w:t xml:space="preserve"> </w:t>
      </w:r>
      <w:r>
        <w:t>is</w:t>
      </w:r>
      <w:r>
        <w:rPr>
          <w:spacing w:val="21"/>
        </w:rPr>
        <w:t xml:space="preserve"> </w:t>
      </w:r>
      <w:r>
        <w:t>green</w:t>
      </w:r>
      <w:r>
        <w:rPr>
          <w:spacing w:val="21"/>
        </w:rPr>
        <w:t xml:space="preserve"> </w:t>
      </w:r>
      <w:r>
        <w:t>that</w:t>
      </w:r>
      <w:r>
        <w:rPr>
          <w:spacing w:val="21"/>
        </w:rPr>
        <w:t xml:space="preserve"> </w:t>
      </w:r>
      <w:r>
        <w:t>the</w:t>
      </w:r>
      <w:r>
        <w:rPr>
          <w:spacing w:val="21"/>
        </w:rPr>
        <w:t xml:space="preserve"> </w:t>
      </w:r>
      <w:r>
        <w:t>former</w:t>
      </w:r>
      <w:r>
        <w:rPr>
          <w:spacing w:val="21"/>
        </w:rPr>
        <w:t xml:space="preserve"> </w:t>
      </w:r>
      <w:r>
        <w:t>is</w:t>
      </w:r>
      <w:r>
        <w:rPr>
          <w:spacing w:val="21"/>
        </w:rPr>
        <w:t xml:space="preserve"> </w:t>
      </w:r>
      <w:r>
        <w:t>a</w:t>
      </w:r>
      <w:r>
        <w:rPr>
          <w:spacing w:val="21"/>
        </w:rPr>
        <w:t xml:space="preserve"> </w:t>
      </w:r>
      <w:r>
        <w:t>causal</w:t>
      </w:r>
      <w:r>
        <w:rPr>
          <w:spacing w:val="21"/>
        </w:rPr>
        <w:t xml:space="preserve"> </w:t>
      </w:r>
      <w:r>
        <w:t>consequence</w:t>
      </w:r>
      <w:r>
        <w:rPr>
          <w:spacing w:val="21"/>
        </w:rPr>
        <w:t xml:space="preserve"> </w:t>
      </w:r>
      <w:r>
        <w:t>of</w:t>
      </w:r>
      <w:r>
        <w:rPr>
          <w:spacing w:val="21"/>
        </w:rPr>
        <w:t xml:space="preserve"> </w:t>
      </w:r>
      <w:r>
        <w:t>the</w:t>
      </w:r>
      <w:r>
        <w:rPr>
          <w:spacing w:val="21"/>
        </w:rPr>
        <w:t xml:space="preserve"> </w:t>
      </w:r>
      <w:r>
        <w:t>latter.</w:t>
      </w:r>
      <w:r>
        <w:rPr>
          <w:spacing w:val="21"/>
        </w:rPr>
        <w:t xml:space="preserve"> </w:t>
      </w:r>
      <w:r>
        <w:t>One</w:t>
      </w:r>
    </w:p>
    <w:p w14:paraId="7E002B8C"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B8D" w14:textId="77777777" w:rsidR="009A58DB" w:rsidRDefault="00000000">
      <w:pPr>
        <w:pStyle w:val="BodyText"/>
        <w:spacing w:before="65" w:line="249" w:lineRule="auto"/>
        <w:ind w:right="358"/>
      </w:pPr>
      <w:r>
        <w:lastRenderedPageBreak/>
        <w:t xml:space="preserve">last example: “for all x” is a connective, and if you say “for all x, x is a mammal if x is a whale,” you are attributing a characteristic (that of being correct) to each of </w:t>
      </w:r>
      <w:r>
        <w:rPr>
          <w:i/>
        </w:rPr>
        <w:t xml:space="preserve">infinitely many </w:t>
      </w:r>
      <w:r>
        <w:t>propositions. (That is why, even though “for all x” and other quantifiers don’t operate on sentences, they nonetheless qualify as connectives.</w:t>
      </w:r>
    </w:p>
    <w:p w14:paraId="7E002B8E" w14:textId="77777777" w:rsidR="009A58DB" w:rsidRDefault="00000000">
      <w:pPr>
        <w:pStyle w:val="BodyText"/>
        <w:spacing w:before="6" w:line="249" w:lineRule="auto"/>
        <w:ind w:right="358" w:firstLine="360"/>
      </w:pPr>
      <w:r>
        <w:t>Connectives attribute properties to propositions. This is what quantifiers do. In fact, quantifiers do it on an even larger scale than other connectives. Consider the quantifier “for all x.” When coupled with the open sentence “x</w:t>
      </w:r>
      <w:r>
        <w:rPr>
          <w:spacing w:val="40"/>
        </w:rPr>
        <w:t xml:space="preserve"> </w:t>
      </w:r>
      <w:r>
        <w:t xml:space="preserve">is tall,” this yields a sentence (“for all x, x is tall”) that says of an infinitely large class of propositions (viz. those having the form x is </w:t>
      </w:r>
      <w:r>
        <w:rPr>
          <w:i/>
        </w:rPr>
        <w:t>tall</w:t>
      </w:r>
      <w:r>
        <w:t>) that each of</w:t>
      </w:r>
      <w:r>
        <w:rPr>
          <w:spacing w:val="40"/>
        </w:rPr>
        <w:t xml:space="preserve"> </w:t>
      </w:r>
      <w:r>
        <w:t xml:space="preserve">its members is true. (By contrast, “Fred believes that,” when coupled with “Jim is tall,” yields a sentence (“Fred believes that Jim is tall”) that attributes a property (that of being believed by Fred) to only </w:t>
      </w:r>
      <w:r>
        <w:rPr>
          <w:i/>
        </w:rPr>
        <w:t xml:space="preserve">one </w:t>
      </w:r>
      <w:r>
        <w:t xml:space="preserve">proposition.) That is why, even though quantifiers operate on open sentences, whereas other connectives operate on </w:t>
      </w:r>
      <w:r>
        <w:rPr>
          <w:i/>
        </w:rPr>
        <w:t xml:space="preserve">actual </w:t>
      </w:r>
      <w:r>
        <w:t xml:space="preserve">sentences, quantifiers are generally treated as </w:t>
      </w:r>
      <w:r>
        <w:rPr>
          <w:spacing w:val="-2"/>
        </w:rPr>
        <w:t>connectives.</w:t>
      </w:r>
    </w:p>
    <w:p w14:paraId="7E002B8F" w14:textId="77777777" w:rsidR="009A58DB" w:rsidRDefault="00000000">
      <w:pPr>
        <w:pStyle w:val="BodyText"/>
        <w:spacing w:before="13" w:line="249" w:lineRule="auto"/>
        <w:ind w:right="371" w:firstLine="360"/>
      </w:pPr>
      <w:r>
        <w:t>A sentence can have more than one connective. An example of such a sentence would be:</w:t>
      </w:r>
    </w:p>
    <w:p w14:paraId="7E002B90" w14:textId="77777777" w:rsidR="009A58DB" w:rsidRDefault="009A58DB">
      <w:pPr>
        <w:pStyle w:val="BodyText"/>
        <w:spacing w:before="18"/>
        <w:ind w:left="0"/>
        <w:jc w:val="left"/>
      </w:pPr>
    </w:p>
    <w:p w14:paraId="7E002B91" w14:textId="77777777" w:rsidR="009A58DB" w:rsidRDefault="00000000">
      <w:pPr>
        <w:pStyle w:val="BodyText"/>
        <w:spacing w:line="249" w:lineRule="auto"/>
        <w:ind w:right="358"/>
      </w:pPr>
      <w:r>
        <w:t>(*) “either Jim is in Idaho and Larry is in Idaho with Jim, or Larry is in Delaware and Fred is with Larry in Delaware.”</w:t>
      </w:r>
    </w:p>
    <w:p w14:paraId="7E002B92" w14:textId="77777777" w:rsidR="009A58DB" w:rsidRDefault="009A58DB">
      <w:pPr>
        <w:pStyle w:val="BodyText"/>
        <w:spacing w:before="17"/>
        <w:ind w:left="0"/>
        <w:jc w:val="left"/>
      </w:pPr>
    </w:p>
    <w:p w14:paraId="7E002B93" w14:textId="77777777" w:rsidR="009A58DB" w:rsidRDefault="00000000">
      <w:pPr>
        <w:pStyle w:val="BodyText"/>
        <w:spacing w:line="249" w:lineRule="auto"/>
        <w:ind w:right="358"/>
      </w:pPr>
      <w:r>
        <w:t xml:space="preserve">The main connective of (*) is “or.” Why is it the </w:t>
      </w:r>
      <w:r>
        <w:rPr>
          <w:i/>
        </w:rPr>
        <w:t xml:space="preserve">main </w:t>
      </w:r>
      <w:r>
        <w:t xml:space="preserve">connective? (*) attributes a property to the set containing the propositions </w:t>
      </w:r>
      <w:r>
        <w:rPr>
          <w:i/>
        </w:rPr>
        <w:t xml:space="preserve">either Jim is in Idaho and Larry is in Idaho with Jim </w:t>
      </w:r>
      <w:r>
        <w:t xml:space="preserve">and </w:t>
      </w:r>
      <w:r>
        <w:rPr>
          <w:i/>
        </w:rPr>
        <w:t xml:space="preserve">Larry is in Delaware and Fred is with Larry in Delaware. </w:t>
      </w:r>
      <w:r>
        <w:t xml:space="preserve">The property that it attributes to that set is the property of containing at least one true member. The other connectives occurring in (*) </w:t>
      </w:r>
      <w:r>
        <w:rPr>
          <w:i/>
        </w:rPr>
        <w:t xml:space="preserve">don’t </w:t>
      </w:r>
      <w:r>
        <w:t>attribute properties to that pair of propositions; they attribute properties to propositions composing the propositions composing (*). That is why none of those connectives is the main connective. I leave it</w:t>
      </w:r>
      <w:r>
        <w:rPr>
          <w:spacing w:val="40"/>
        </w:rPr>
        <w:t xml:space="preserve"> </w:t>
      </w:r>
      <w:r>
        <w:t>to</w:t>
      </w:r>
      <w:r>
        <w:rPr>
          <w:spacing w:val="-3"/>
        </w:rPr>
        <w:t xml:space="preserve"> </w:t>
      </w:r>
      <w:r>
        <w:t>the</w:t>
      </w:r>
      <w:r>
        <w:rPr>
          <w:spacing w:val="-4"/>
        </w:rPr>
        <w:t xml:space="preserve"> </w:t>
      </w:r>
      <w:r>
        <w:t>reader</w:t>
      </w:r>
      <w:r>
        <w:rPr>
          <w:spacing w:val="-4"/>
        </w:rPr>
        <w:t xml:space="preserve"> </w:t>
      </w:r>
      <w:r>
        <w:t>as</w:t>
      </w:r>
      <w:r>
        <w:rPr>
          <w:spacing w:val="-4"/>
        </w:rPr>
        <w:t xml:space="preserve"> </w:t>
      </w:r>
      <w:r>
        <w:t>an</w:t>
      </w:r>
      <w:r>
        <w:rPr>
          <w:spacing w:val="-3"/>
        </w:rPr>
        <w:t xml:space="preserve"> </w:t>
      </w:r>
      <w:r>
        <w:t>exercise</w:t>
      </w:r>
      <w:r>
        <w:rPr>
          <w:spacing w:val="-4"/>
        </w:rPr>
        <w:t xml:space="preserve"> </w:t>
      </w:r>
      <w:r>
        <w:t>to</w:t>
      </w:r>
      <w:r>
        <w:rPr>
          <w:spacing w:val="-3"/>
        </w:rPr>
        <w:t xml:space="preserve"> </w:t>
      </w:r>
      <w:r>
        <w:t>produce</w:t>
      </w:r>
      <w:r>
        <w:rPr>
          <w:spacing w:val="-4"/>
        </w:rPr>
        <w:t xml:space="preserve"> </w:t>
      </w:r>
      <w:r>
        <w:t>an</w:t>
      </w:r>
      <w:r>
        <w:rPr>
          <w:spacing w:val="-3"/>
        </w:rPr>
        <w:t xml:space="preserve"> </w:t>
      </w:r>
      <w:r>
        <w:t>explicit</w:t>
      </w:r>
      <w:r>
        <w:rPr>
          <w:spacing w:val="-4"/>
        </w:rPr>
        <w:t xml:space="preserve"> </w:t>
      </w:r>
      <w:r>
        <w:t>definition</w:t>
      </w:r>
      <w:r>
        <w:rPr>
          <w:spacing w:val="-3"/>
        </w:rPr>
        <w:t xml:space="preserve"> </w:t>
      </w:r>
      <w:r>
        <w:t>of</w:t>
      </w:r>
      <w:r>
        <w:rPr>
          <w:spacing w:val="-4"/>
        </w:rPr>
        <w:t xml:space="preserve"> </w:t>
      </w:r>
      <w:r>
        <w:t>the</w:t>
      </w:r>
      <w:r>
        <w:rPr>
          <w:spacing w:val="-4"/>
        </w:rPr>
        <w:t xml:space="preserve"> </w:t>
      </w:r>
      <w:r>
        <w:t>term</w:t>
      </w:r>
      <w:r>
        <w:rPr>
          <w:spacing w:val="-4"/>
        </w:rPr>
        <w:t xml:space="preserve"> </w:t>
      </w:r>
      <w:r>
        <w:t>“main connective” on the basis of these remarks.</w:t>
      </w:r>
    </w:p>
    <w:p w14:paraId="7E002B94" w14:textId="77777777" w:rsidR="009A58DB" w:rsidRDefault="009A58DB">
      <w:pPr>
        <w:pStyle w:val="BodyText"/>
        <w:spacing w:before="27"/>
        <w:ind w:left="0"/>
        <w:jc w:val="left"/>
      </w:pPr>
    </w:p>
    <w:p w14:paraId="7E002B95" w14:textId="77777777" w:rsidR="009A58DB" w:rsidRDefault="00000000">
      <w:pPr>
        <w:pStyle w:val="BodyText"/>
        <w:spacing w:before="1" w:line="249" w:lineRule="auto"/>
        <w:ind w:right="359"/>
      </w:pPr>
      <w:r>
        <w:rPr>
          <w:b/>
          <w:i/>
        </w:rPr>
        <w:t>Consequentialism:</w:t>
      </w:r>
      <w:r>
        <w:rPr>
          <w:b/>
          <w:i/>
          <w:spacing w:val="-3"/>
        </w:rPr>
        <w:t xml:space="preserve"> </w:t>
      </w:r>
      <w:r>
        <w:t xml:space="preserve">The doctrine that it is entirely in virtue of what its effects are that an act is morally right or wrong. See “deontology” and </w:t>
      </w:r>
      <w:r>
        <w:rPr>
          <w:spacing w:val="-2"/>
        </w:rPr>
        <w:t>“utilitarianism.”</w:t>
      </w:r>
    </w:p>
    <w:p w14:paraId="7E002B9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97" w14:textId="77777777" w:rsidR="009A58DB" w:rsidRDefault="00000000">
      <w:pPr>
        <w:pStyle w:val="BodyText"/>
        <w:spacing w:before="65" w:line="249" w:lineRule="auto"/>
        <w:ind w:right="361"/>
      </w:pPr>
      <w:r>
        <w:rPr>
          <w:b/>
          <w:i/>
        </w:rPr>
        <w:lastRenderedPageBreak/>
        <w:t xml:space="preserve">Consistent/inconsistent: </w:t>
      </w:r>
      <w:r>
        <w:t>If two statements are compatible, they are “consistent” with each other; otherwise they are inconsistent with each other. “Consistent” and “compatible” mean the same thing. See “compatible.”</w:t>
      </w:r>
    </w:p>
    <w:p w14:paraId="7E002B98" w14:textId="77777777" w:rsidR="009A58DB" w:rsidRDefault="009A58DB">
      <w:pPr>
        <w:pStyle w:val="BodyText"/>
        <w:spacing w:before="18"/>
        <w:ind w:left="0"/>
        <w:jc w:val="left"/>
      </w:pPr>
    </w:p>
    <w:p w14:paraId="7E002B99" w14:textId="77777777" w:rsidR="009A58DB" w:rsidRDefault="00000000">
      <w:pPr>
        <w:pStyle w:val="BodyText"/>
        <w:spacing w:line="249" w:lineRule="auto"/>
        <w:ind w:right="363"/>
      </w:pPr>
      <w:r>
        <w:rPr>
          <w:b/>
          <w:i/>
        </w:rPr>
        <w:t xml:space="preserve">Consistent/inconsistent (in connection with axiomatic systems): </w:t>
      </w:r>
      <w:r>
        <w:t>When an axiomatic</w:t>
      </w:r>
      <w:r>
        <w:rPr>
          <w:spacing w:val="-1"/>
        </w:rPr>
        <w:t xml:space="preserve"> </w:t>
      </w:r>
      <w:r>
        <w:t>system</w:t>
      </w:r>
      <w:r>
        <w:rPr>
          <w:spacing w:val="-1"/>
        </w:rPr>
        <w:t xml:space="preserve"> </w:t>
      </w:r>
      <w:r>
        <w:t>is</w:t>
      </w:r>
      <w:r>
        <w:rPr>
          <w:spacing w:val="-1"/>
        </w:rPr>
        <w:t xml:space="preserve"> </w:t>
      </w:r>
      <w:r>
        <w:t>described</w:t>
      </w:r>
      <w:r>
        <w:rPr>
          <w:spacing w:val="-1"/>
        </w:rPr>
        <w:t xml:space="preserve"> </w:t>
      </w:r>
      <w:r>
        <w:t>as</w:t>
      </w:r>
      <w:r>
        <w:rPr>
          <w:spacing w:val="-1"/>
        </w:rPr>
        <w:t xml:space="preserve"> </w:t>
      </w:r>
      <w:r>
        <w:t>“consistent”</w:t>
      </w:r>
      <w:r>
        <w:rPr>
          <w:spacing w:val="-1"/>
        </w:rPr>
        <w:t xml:space="preserve"> </w:t>
      </w:r>
      <w:r>
        <w:t>what</w:t>
      </w:r>
      <w:r>
        <w:rPr>
          <w:spacing w:val="-1"/>
        </w:rPr>
        <w:t xml:space="preserve"> </w:t>
      </w:r>
      <w:r>
        <w:t>is</w:t>
      </w:r>
      <w:r>
        <w:rPr>
          <w:spacing w:val="-1"/>
        </w:rPr>
        <w:t xml:space="preserve"> </w:t>
      </w:r>
      <w:r>
        <w:t>meant</w:t>
      </w:r>
      <w:r>
        <w:rPr>
          <w:spacing w:val="-1"/>
        </w:rPr>
        <w:t xml:space="preserve"> </w:t>
      </w:r>
      <w:r>
        <w:t>is</w:t>
      </w:r>
      <w:r>
        <w:rPr>
          <w:spacing w:val="-1"/>
        </w:rPr>
        <w:t xml:space="preserve"> </w:t>
      </w:r>
      <w:r>
        <w:t>that,</w:t>
      </w:r>
      <w:r>
        <w:rPr>
          <w:spacing w:val="-1"/>
        </w:rPr>
        <w:t xml:space="preserve"> </w:t>
      </w:r>
      <w:r>
        <w:t>given</w:t>
      </w:r>
      <w:r>
        <w:rPr>
          <w:spacing w:val="-1"/>
        </w:rPr>
        <w:t xml:space="preserve"> </w:t>
      </w:r>
      <w:r>
        <w:t>any two statements composing it, they are consistent with each other. An axiomatic system is “inconsistent” if it doesn’t satisfy this condition. See “axiom” and “axiomatic system.”</w:t>
      </w:r>
    </w:p>
    <w:p w14:paraId="7E002B9A" w14:textId="77777777" w:rsidR="009A58DB" w:rsidRDefault="009A58DB">
      <w:pPr>
        <w:pStyle w:val="BodyText"/>
        <w:spacing w:before="21"/>
        <w:ind w:left="0"/>
        <w:jc w:val="left"/>
      </w:pPr>
    </w:p>
    <w:p w14:paraId="7E002B9B" w14:textId="77777777" w:rsidR="009A58DB" w:rsidRDefault="00000000">
      <w:pPr>
        <w:pStyle w:val="BodyText"/>
        <w:spacing w:before="1" w:line="249" w:lineRule="auto"/>
        <w:ind w:right="362"/>
      </w:pPr>
      <w:r>
        <w:rPr>
          <w:b/>
          <w:i/>
        </w:rPr>
        <w:t>Content:</w:t>
      </w:r>
      <w:r>
        <w:rPr>
          <w:b/>
          <w:i/>
          <w:spacing w:val="-3"/>
        </w:rPr>
        <w:t xml:space="preserve"> </w:t>
      </w:r>
      <w:r>
        <w:t xml:space="preserve">The content of a statement or a belief is what must hold for it to be </w:t>
      </w:r>
      <w:r>
        <w:rPr>
          <w:spacing w:val="-2"/>
        </w:rPr>
        <w:t>correct.</w:t>
      </w:r>
    </w:p>
    <w:p w14:paraId="7E002B9C" w14:textId="77777777" w:rsidR="009A58DB" w:rsidRDefault="009A58DB">
      <w:pPr>
        <w:pStyle w:val="BodyText"/>
        <w:spacing w:before="17"/>
        <w:ind w:left="0"/>
        <w:jc w:val="left"/>
      </w:pPr>
    </w:p>
    <w:p w14:paraId="7E002B9D" w14:textId="77777777" w:rsidR="009A58DB" w:rsidRDefault="00000000">
      <w:pPr>
        <w:pStyle w:val="BodyText"/>
        <w:spacing w:line="249" w:lineRule="auto"/>
        <w:ind w:right="362"/>
      </w:pPr>
      <w:r>
        <w:rPr>
          <w:b/>
          <w:i/>
        </w:rPr>
        <w:t xml:space="preserve">Content-externalism: </w:t>
      </w:r>
      <w:r>
        <w:t xml:space="preserve">Let X and Y be two creatures that are qualitatively identical </w:t>
      </w:r>
      <w:r>
        <w:rPr>
          <w:i/>
        </w:rPr>
        <w:t xml:space="preserve">except </w:t>
      </w:r>
      <w:r>
        <w:t>for the fact that the causes of X’s current condition aren’t qualitatively identical with those of Y’s current condition. According to content-externalism, the content of X’s thoughts and perceptions may, in virtue of that fact, be different from the contents of Y’s corresponding thoughts and perceptions. See “semantic externalism.”</w:t>
      </w:r>
    </w:p>
    <w:p w14:paraId="7E002B9E" w14:textId="77777777" w:rsidR="009A58DB" w:rsidRDefault="009A58DB">
      <w:pPr>
        <w:pStyle w:val="BodyText"/>
        <w:spacing w:before="22"/>
        <w:ind w:left="0"/>
        <w:jc w:val="left"/>
      </w:pPr>
    </w:p>
    <w:p w14:paraId="7E002B9F" w14:textId="77777777" w:rsidR="009A58DB" w:rsidRDefault="00000000">
      <w:pPr>
        <w:pStyle w:val="BodyText"/>
        <w:spacing w:line="249" w:lineRule="auto"/>
        <w:ind w:right="362"/>
      </w:pPr>
      <w:r>
        <w:rPr>
          <w:b/>
          <w:i/>
        </w:rPr>
        <w:t xml:space="preserve">Contingent: </w:t>
      </w:r>
      <w:r>
        <w:t>A proposition is contingent if there are coherently conceivable circumstances</w:t>
      </w:r>
      <w:r>
        <w:rPr>
          <w:spacing w:val="-1"/>
        </w:rPr>
        <w:t xml:space="preserve"> </w:t>
      </w:r>
      <w:r>
        <w:t>where</w:t>
      </w:r>
      <w:r>
        <w:rPr>
          <w:spacing w:val="-1"/>
        </w:rPr>
        <w:t xml:space="preserve"> </w:t>
      </w:r>
      <w:r>
        <w:t>it</w:t>
      </w:r>
      <w:r>
        <w:rPr>
          <w:spacing w:val="-1"/>
        </w:rPr>
        <w:t xml:space="preserve"> </w:t>
      </w:r>
      <w:r>
        <w:t>is</w:t>
      </w:r>
      <w:r>
        <w:rPr>
          <w:spacing w:val="-1"/>
        </w:rPr>
        <w:t xml:space="preserve"> </w:t>
      </w:r>
      <w:r>
        <w:t>a</w:t>
      </w:r>
      <w:r>
        <w:rPr>
          <w:spacing w:val="-1"/>
        </w:rPr>
        <w:t xml:space="preserve"> </w:t>
      </w:r>
      <w:r>
        <w:t>true</w:t>
      </w:r>
      <w:r>
        <w:rPr>
          <w:spacing w:val="-1"/>
        </w:rPr>
        <w:t xml:space="preserve"> </w:t>
      </w:r>
      <w:r>
        <w:t>and</w:t>
      </w:r>
      <w:r>
        <w:rPr>
          <w:spacing w:val="-1"/>
        </w:rPr>
        <w:t xml:space="preserve"> </w:t>
      </w:r>
      <w:r>
        <w:t>also</w:t>
      </w:r>
      <w:r>
        <w:rPr>
          <w:spacing w:val="-1"/>
        </w:rPr>
        <w:t xml:space="preserve"> </w:t>
      </w:r>
      <w:r>
        <w:t>conceivable</w:t>
      </w:r>
      <w:r>
        <w:rPr>
          <w:spacing w:val="-1"/>
        </w:rPr>
        <w:t xml:space="preserve"> </w:t>
      </w:r>
      <w:r>
        <w:t>circumstance</w:t>
      </w:r>
      <w:r>
        <w:rPr>
          <w:spacing w:val="-1"/>
        </w:rPr>
        <w:t xml:space="preserve"> </w:t>
      </w:r>
      <w:r>
        <w:t>where</w:t>
      </w:r>
      <w:r>
        <w:rPr>
          <w:spacing w:val="-1"/>
        </w:rPr>
        <w:t xml:space="preserve"> </w:t>
      </w:r>
      <w:r>
        <w:t>it</w:t>
      </w:r>
      <w:r>
        <w:rPr>
          <w:spacing w:val="-1"/>
        </w:rPr>
        <w:t xml:space="preserve"> </w:t>
      </w:r>
      <w:r>
        <w:t xml:space="preserve">is false (e.g., </w:t>
      </w:r>
      <w:r>
        <w:rPr>
          <w:i/>
        </w:rPr>
        <w:t>Mary owns a BMW</w:t>
      </w:r>
      <w:r>
        <w:t>).</w:t>
      </w:r>
    </w:p>
    <w:p w14:paraId="7E002BA0" w14:textId="77777777" w:rsidR="009A58DB" w:rsidRDefault="009A58DB">
      <w:pPr>
        <w:pStyle w:val="BodyText"/>
        <w:spacing w:before="19"/>
        <w:ind w:left="0"/>
        <w:jc w:val="left"/>
      </w:pPr>
    </w:p>
    <w:p w14:paraId="7E002BA1" w14:textId="77777777" w:rsidR="009A58DB" w:rsidRDefault="00000000">
      <w:pPr>
        <w:spacing w:line="249" w:lineRule="auto"/>
        <w:ind w:left="360" w:right="358"/>
        <w:jc w:val="both"/>
        <w:rPr>
          <w:sz w:val="30"/>
        </w:rPr>
      </w:pPr>
      <w:r>
        <w:rPr>
          <w:b/>
          <w:i/>
          <w:sz w:val="30"/>
        </w:rPr>
        <w:t xml:space="preserve">Counterfactual: </w:t>
      </w:r>
      <w:r>
        <w:rPr>
          <w:sz w:val="30"/>
        </w:rPr>
        <w:t xml:space="preserve">a statement of the form: </w:t>
      </w:r>
      <w:r>
        <w:rPr>
          <w:i/>
          <w:sz w:val="30"/>
        </w:rPr>
        <w:t xml:space="preserve">if P were the case, then Q would also be the case </w:t>
      </w:r>
      <w:r>
        <w:rPr>
          <w:sz w:val="30"/>
        </w:rPr>
        <w:t xml:space="preserve">(e.g., </w:t>
      </w:r>
      <w:r>
        <w:rPr>
          <w:i/>
          <w:sz w:val="30"/>
        </w:rPr>
        <w:t>if Kennedy hadn’t been assassinated, he would have been reelected in 1964</w:t>
      </w:r>
      <w:r>
        <w:rPr>
          <w:sz w:val="30"/>
        </w:rPr>
        <w:t>).</w:t>
      </w:r>
    </w:p>
    <w:p w14:paraId="7E002BA2" w14:textId="77777777" w:rsidR="009A58DB" w:rsidRDefault="00000000">
      <w:pPr>
        <w:pStyle w:val="BodyText"/>
        <w:spacing w:before="4" w:line="249" w:lineRule="auto"/>
        <w:ind w:right="358" w:firstLine="360"/>
      </w:pPr>
      <w:r>
        <w:t xml:space="preserve">A backtracking counterfactual is one of the form: “if P were the case at time t, then Q would have been the case at time t*, “where t* is </w:t>
      </w:r>
      <w:r>
        <w:rPr>
          <w:i/>
        </w:rPr>
        <w:t xml:space="preserve">earlier </w:t>
      </w:r>
      <w:r>
        <w:t>than t.” For example, “if Jim now had alcohol on his breath, then it would have been the case that he had been drinking earlier today.”</w:t>
      </w:r>
    </w:p>
    <w:p w14:paraId="7E002BA3" w14:textId="77777777" w:rsidR="009A58DB" w:rsidRDefault="009A58DB">
      <w:pPr>
        <w:pStyle w:val="BodyText"/>
        <w:spacing w:before="20"/>
        <w:ind w:left="0"/>
        <w:jc w:val="left"/>
      </w:pPr>
    </w:p>
    <w:p w14:paraId="7E002BA4" w14:textId="77777777" w:rsidR="009A58DB" w:rsidRDefault="00000000">
      <w:pPr>
        <w:pStyle w:val="BodyText"/>
        <w:spacing w:line="249" w:lineRule="auto"/>
        <w:ind w:right="364"/>
      </w:pPr>
      <w:r>
        <w:rPr>
          <w:b/>
          <w:i/>
        </w:rPr>
        <w:t xml:space="preserve">Counterfactual analysis of causality: </w:t>
      </w:r>
      <w:r>
        <w:t>The position that x caused y to occur just in case, if x hadn’t happened, y wouldn’t have happened. According to this</w:t>
      </w:r>
      <w:r>
        <w:rPr>
          <w:spacing w:val="3"/>
        </w:rPr>
        <w:t xml:space="preserve"> </w:t>
      </w:r>
      <w:r>
        <w:t>view,</w:t>
      </w:r>
      <w:r>
        <w:rPr>
          <w:spacing w:val="4"/>
        </w:rPr>
        <w:t xml:space="preserve"> </w:t>
      </w:r>
      <w:r>
        <w:t>for</w:t>
      </w:r>
      <w:r>
        <w:rPr>
          <w:spacing w:val="3"/>
        </w:rPr>
        <w:t xml:space="preserve"> </w:t>
      </w:r>
      <w:r>
        <w:t>the</w:t>
      </w:r>
      <w:r>
        <w:rPr>
          <w:spacing w:val="4"/>
        </w:rPr>
        <w:t xml:space="preserve"> </w:t>
      </w:r>
      <w:r>
        <w:t>button’s</w:t>
      </w:r>
      <w:r>
        <w:rPr>
          <w:spacing w:val="4"/>
        </w:rPr>
        <w:t xml:space="preserve"> </w:t>
      </w:r>
      <w:r>
        <w:t>being</w:t>
      </w:r>
      <w:r>
        <w:rPr>
          <w:spacing w:val="3"/>
        </w:rPr>
        <w:t xml:space="preserve"> </w:t>
      </w:r>
      <w:r>
        <w:t>pushed</w:t>
      </w:r>
      <w:r>
        <w:rPr>
          <w:spacing w:val="4"/>
        </w:rPr>
        <w:t xml:space="preserve"> </w:t>
      </w:r>
      <w:r>
        <w:t>to</w:t>
      </w:r>
      <w:r>
        <w:rPr>
          <w:spacing w:val="3"/>
        </w:rPr>
        <w:t xml:space="preserve"> </w:t>
      </w:r>
      <w:r>
        <w:t>cause</w:t>
      </w:r>
      <w:r>
        <w:rPr>
          <w:spacing w:val="4"/>
        </w:rPr>
        <w:t xml:space="preserve"> </w:t>
      </w:r>
      <w:r>
        <w:t>the</w:t>
      </w:r>
      <w:r>
        <w:rPr>
          <w:spacing w:val="3"/>
        </w:rPr>
        <w:t xml:space="preserve"> </w:t>
      </w:r>
      <w:r>
        <w:t>elevator</w:t>
      </w:r>
      <w:r>
        <w:rPr>
          <w:spacing w:val="4"/>
        </w:rPr>
        <w:t xml:space="preserve"> </w:t>
      </w:r>
      <w:r>
        <w:t>to</w:t>
      </w:r>
      <w:r>
        <w:rPr>
          <w:spacing w:val="4"/>
        </w:rPr>
        <w:t xml:space="preserve"> </w:t>
      </w:r>
      <w:r>
        <w:t>come</w:t>
      </w:r>
      <w:r>
        <w:rPr>
          <w:spacing w:val="3"/>
        </w:rPr>
        <w:t xml:space="preserve"> </w:t>
      </w:r>
      <w:r>
        <w:t>is</w:t>
      </w:r>
      <w:r>
        <w:rPr>
          <w:spacing w:val="4"/>
        </w:rPr>
        <w:t xml:space="preserve"> </w:t>
      </w:r>
      <w:r>
        <w:t>for</w:t>
      </w:r>
      <w:r>
        <w:rPr>
          <w:spacing w:val="5"/>
        </w:rPr>
        <w:t xml:space="preserve"> </w:t>
      </w:r>
      <w:r>
        <w:rPr>
          <w:spacing w:val="-5"/>
        </w:rPr>
        <w:t>it</w:t>
      </w:r>
    </w:p>
    <w:p w14:paraId="7E002BA5"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BA6" w14:textId="77777777" w:rsidR="009A58DB" w:rsidRDefault="00000000">
      <w:pPr>
        <w:pStyle w:val="BodyText"/>
        <w:spacing w:before="65" w:line="249" w:lineRule="auto"/>
        <w:ind w:right="361"/>
      </w:pPr>
      <w:r>
        <w:lastRenderedPageBreak/>
        <w:t>to be the case that the elevator wouldn’t have come if the button hadn’t been pushed. In Chapter 17, it is shown why this view is false.</w:t>
      </w:r>
    </w:p>
    <w:p w14:paraId="7E002BA7" w14:textId="77777777" w:rsidR="009A58DB" w:rsidRDefault="009A58DB">
      <w:pPr>
        <w:pStyle w:val="BodyText"/>
        <w:spacing w:before="17"/>
        <w:ind w:left="0"/>
        <w:jc w:val="left"/>
      </w:pPr>
    </w:p>
    <w:p w14:paraId="7E002BA8" w14:textId="77777777" w:rsidR="009A58DB" w:rsidRDefault="00000000">
      <w:pPr>
        <w:spacing w:line="249" w:lineRule="auto"/>
        <w:ind w:left="360" w:right="371"/>
        <w:jc w:val="both"/>
        <w:rPr>
          <w:sz w:val="30"/>
        </w:rPr>
      </w:pPr>
      <w:r>
        <w:rPr>
          <w:b/>
          <w:i/>
          <w:sz w:val="30"/>
        </w:rPr>
        <w:t xml:space="preserve">Contextual definition: </w:t>
      </w:r>
      <w:r>
        <w:rPr>
          <w:sz w:val="30"/>
        </w:rPr>
        <w:t>See “denotative vs. ostensive vs. descriptive vs. contextual definition.”</w:t>
      </w:r>
    </w:p>
    <w:p w14:paraId="7E002BA9" w14:textId="77777777" w:rsidR="009A58DB" w:rsidRDefault="009A58DB">
      <w:pPr>
        <w:pStyle w:val="BodyText"/>
        <w:spacing w:before="17"/>
        <w:ind w:left="0"/>
        <w:jc w:val="left"/>
      </w:pPr>
    </w:p>
    <w:p w14:paraId="7E002BAA" w14:textId="77777777" w:rsidR="009A58DB" w:rsidRDefault="00000000">
      <w:pPr>
        <w:pStyle w:val="BodyText"/>
        <w:spacing w:before="1"/>
      </w:pPr>
      <w:r>
        <w:rPr>
          <w:b/>
          <w:i/>
        </w:rPr>
        <w:t>Defeasible:</w:t>
      </w:r>
      <w:r>
        <w:rPr>
          <w:b/>
          <w:i/>
          <w:spacing w:val="-6"/>
        </w:rPr>
        <w:t xml:space="preserve"> </w:t>
      </w:r>
      <w:r>
        <w:t>A</w:t>
      </w:r>
      <w:r>
        <w:rPr>
          <w:spacing w:val="-4"/>
        </w:rPr>
        <w:t xml:space="preserve"> </w:t>
      </w:r>
      <w:r>
        <w:t>tendency</w:t>
      </w:r>
      <w:r>
        <w:rPr>
          <w:spacing w:val="-3"/>
        </w:rPr>
        <w:t xml:space="preserve"> </w:t>
      </w:r>
      <w:r>
        <w:t>or</w:t>
      </w:r>
      <w:r>
        <w:rPr>
          <w:spacing w:val="-4"/>
        </w:rPr>
        <w:t xml:space="preserve"> </w:t>
      </w:r>
      <w:r>
        <w:t>principle</w:t>
      </w:r>
      <w:r>
        <w:rPr>
          <w:spacing w:val="-4"/>
        </w:rPr>
        <w:t xml:space="preserve"> </w:t>
      </w:r>
      <w:r>
        <w:t>is</w:t>
      </w:r>
      <w:r>
        <w:rPr>
          <w:spacing w:val="-3"/>
        </w:rPr>
        <w:t xml:space="preserve"> </w:t>
      </w:r>
      <w:r>
        <w:t>“defeasible”</w:t>
      </w:r>
      <w:r>
        <w:rPr>
          <w:spacing w:val="-4"/>
        </w:rPr>
        <w:t xml:space="preserve"> </w:t>
      </w:r>
      <w:r>
        <w:t>if</w:t>
      </w:r>
      <w:r>
        <w:rPr>
          <w:spacing w:val="-4"/>
        </w:rPr>
        <w:t xml:space="preserve"> </w:t>
      </w:r>
      <w:r>
        <w:t>it</w:t>
      </w:r>
      <w:r>
        <w:rPr>
          <w:spacing w:val="-4"/>
        </w:rPr>
        <w:t xml:space="preserve"> </w:t>
      </w:r>
      <w:r>
        <w:t>can</w:t>
      </w:r>
      <w:r>
        <w:rPr>
          <w:spacing w:val="-3"/>
        </w:rPr>
        <w:t xml:space="preserve"> </w:t>
      </w:r>
      <w:r>
        <w:t>be</w:t>
      </w:r>
      <w:r>
        <w:rPr>
          <w:spacing w:val="-3"/>
        </w:rPr>
        <w:t xml:space="preserve"> </w:t>
      </w:r>
      <w:r>
        <w:rPr>
          <w:spacing w:val="-2"/>
        </w:rPr>
        <w:t>overridden.</w:t>
      </w:r>
    </w:p>
    <w:p w14:paraId="7E002BAB" w14:textId="77777777" w:rsidR="009A58DB" w:rsidRDefault="009A58DB">
      <w:pPr>
        <w:pStyle w:val="BodyText"/>
        <w:spacing w:before="29"/>
        <w:ind w:left="0"/>
        <w:jc w:val="left"/>
      </w:pPr>
    </w:p>
    <w:p w14:paraId="7E002BAC" w14:textId="77777777" w:rsidR="009A58DB" w:rsidRDefault="00000000">
      <w:pPr>
        <w:pStyle w:val="BodyText"/>
        <w:spacing w:before="1" w:line="249" w:lineRule="auto"/>
        <w:ind w:right="360"/>
      </w:pPr>
      <w:r>
        <w:rPr>
          <w:b/>
          <w:i/>
        </w:rPr>
        <w:t xml:space="preserve">Definite description: </w:t>
      </w:r>
      <w:r>
        <w:t>Expressions of the form ‹the phi›, where phi is in the singular, are known as “definite descriptions.” So “the inventor of Velcro,” is a definite description, as is “the inventor of bifocals.” See “quantifier.”</w:t>
      </w:r>
    </w:p>
    <w:p w14:paraId="7E002BAD" w14:textId="77777777" w:rsidR="009A58DB" w:rsidRDefault="009A58DB">
      <w:pPr>
        <w:pStyle w:val="BodyText"/>
        <w:spacing w:before="18"/>
        <w:ind w:left="0"/>
        <w:jc w:val="left"/>
      </w:pPr>
    </w:p>
    <w:p w14:paraId="7E002BAE" w14:textId="77777777" w:rsidR="009A58DB" w:rsidRDefault="00000000">
      <w:pPr>
        <w:pStyle w:val="BodyText"/>
        <w:spacing w:line="249" w:lineRule="auto"/>
        <w:ind w:right="361"/>
      </w:pPr>
      <w:r>
        <w:rPr>
          <w:b/>
          <w:i/>
        </w:rPr>
        <w:t xml:space="preserve">Define/definition: </w:t>
      </w:r>
      <w:r>
        <w:t xml:space="preserve">To define an expression is to say what it means. Expressions are defined, not objects. “Bill Clinton” is defined, not Bill </w:t>
      </w:r>
      <w:r>
        <w:rPr>
          <w:spacing w:val="-2"/>
        </w:rPr>
        <w:t>Clinton.</w:t>
      </w:r>
    </w:p>
    <w:p w14:paraId="7E002BAF" w14:textId="77777777" w:rsidR="009A58DB" w:rsidRDefault="009A58DB">
      <w:pPr>
        <w:pStyle w:val="BodyText"/>
        <w:spacing w:before="19"/>
        <w:ind w:left="0"/>
        <w:jc w:val="left"/>
      </w:pPr>
    </w:p>
    <w:p w14:paraId="7E002BB0" w14:textId="77777777" w:rsidR="009A58DB" w:rsidRDefault="00000000">
      <w:pPr>
        <w:pStyle w:val="BodyText"/>
        <w:spacing w:line="249" w:lineRule="auto"/>
        <w:ind w:right="363"/>
      </w:pPr>
      <w:r>
        <w:rPr>
          <w:b/>
          <w:i/>
        </w:rPr>
        <w:t xml:space="preserve">Definition by abstraction: </w:t>
      </w:r>
      <w:r>
        <w:t>In some cases, it can be said what it is for two things, x and y, to share some property P without using any expression that refers to P. In such cases, it is possible to translate statements in which expressions referring to that property occur into statements in which such expressions don’t occur; and when this is done, the property in question is thereby defined in abstraction.</w:t>
      </w:r>
    </w:p>
    <w:p w14:paraId="7E002BB1" w14:textId="77777777" w:rsidR="009A58DB" w:rsidRDefault="00000000">
      <w:pPr>
        <w:pStyle w:val="BodyText"/>
        <w:spacing w:before="7" w:line="249" w:lineRule="auto"/>
        <w:ind w:right="364" w:firstLine="360"/>
      </w:pPr>
      <w:r>
        <w:t>For example, two lines have the same direction (i.e., share the property of pointing in a given direction) if they don’t intersect. Thus, the direction D of</w:t>
      </w:r>
      <w:r>
        <w:rPr>
          <w:spacing w:val="40"/>
        </w:rPr>
        <w:t xml:space="preserve"> </w:t>
      </w:r>
      <w:r>
        <w:t>a given line L may be defined as the class of all lines L* that don’t intersect with L, and “y has direction D” may be seen as saying the same thing as “y doesn’t intersect with L.”</w:t>
      </w:r>
    </w:p>
    <w:p w14:paraId="7E002BB2" w14:textId="77777777" w:rsidR="009A58DB" w:rsidRDefault="009A58DB">
      <w:pPr>
        <w:pStyle w:val="BodyText"/>
        <w:spacing w:before="21"/>
        <w:ind w:left="0"/>
        <w:jc w:val="left"/>
      </w:pPr>
    </w:p>
    <w:p w14:paraId="7E002BB3" w14:textId="77777777" w:rsidR="009A58DB" w:rsidRDefault="00000000">
      <w:pPr>
        <w:pStyle w:val="BodyText"/>
        <w:spacing w:before="1" w:line="249" w:lineRule="auto"/>
        <w:ind w:right="359"/>
      </w:pPr>
      <w:r>
        <w:rPr>
          <w:b/>
          <w:i/>
        </w:rPr>
        <w:t xml:space="preserve">Demonstrative: </w:t>
      </w:r>
      <w:r>
        <w:t>Some indexicals must be accompanied by an act of demonstration—an act of pointing, or some equivalent—if they are to succeed in picking out their target. If, while in the presence of 10 people, I say to you “that person is a bore,” what I’ve said is ambiguous. But if, under the same circumstances, I utter the same sentence while pointing to Charlie, then my utterance of “that person” picks out Charlie, and my utterance is not ambiguous. An utterance of “that person” refers to the person who is salient in</w:t>
      </w:r>
      <w:r>
        <w:rPr>
          <w:spacing w:val="-2"/>
        </w:rPr>
        <w:t xml:space="preserve"> </w:t>
      </w:r>
      <w:r>
        <w:t>the</w:t>
      </w:r>
      <w:r>
        <w:rPr>
          <w:spacing w:val="-3"/>
        </w:rPr>
        <w:t xml:space="preserve"> </w:t>
      </w:r>
      <w:r>
        <w:t>context</w:t>
      </w:r>
      <w:r>
        <w:rPr>
          <w:spacing w:val="-3"/>
        </w:rPr>
        <w:t xml:space="preserve"> </w:t>
      </w:r>
      <w:r>
        <w:t>of</w:t>
      </w:r>
      <w:r>
        <w:rPr>
          <w:spacing w:val="-3"/>
        </w:rPr>
        <w:t xml:space="preserve"> </w:t>
      </w:r>
      <w:r>
        <w:t>utterance.</w:t>
      </w:r>
      <w:r>
        <w:rPr>
          <w:spacing w:val="-2"/>
        </w:rPr>
        <w:t xml:space="preserve"> </w:t>
      </w:r>
      <w:r>
        <w:t>There</w:t>
      </w:r>
      <w:r>
        <w:rPr>
          <w:spacing w:val="-3"/>
        </w:rPr>
        <w:t xml:space="preserve"> </w:t>
      </w:r>
      <w:r>
        <w:t>is</w:t>
      </w:r>
      <w:r>
        <w:rPr>
          <w:spacing w:val="-3"/>
        </w:rPr>
        <w:t xml:space="preserve"> </w:t>
      </w:r>
      <w:r>
        <w:t>thus</w:t>
      </w:r>
      <w:r>
        <w:rPr>
          <w:spacing w:val="-3"/>
        </w:rPr>
        <w:t xml:space="preserve"> </w:t>
      </w:r>
      <w:r>
        <w:t>a</w:t>
      </w:r>
      <w:r>
        <w:rPr>
          <w:spacing w:val="-3"/>
        </w:rPr>
        <w:t xml:space="preserve"> </w:t>
      </w:r>
      <w:r>
        <w:rPr>
          <w:i/>
        </w:rPr>
        <w:t>rule</w:t>
      </w:r>
      <w:r>
        <w:rPr>
          <w:i/>
          <w:spacing w:val="-3"/>
        </w:rPr>
        <w:t xml:space="preserve"> </w:t>
      </w:r>
      <w:r>
        <w:t>that</w:t>
      </w:r>
      <w:r>
        <w:rPr>
          <w:spacing w:val="-3"/>
        </w:rPr>
        <w:t xml:space="preserve"> </w:t>
      </w:r>
      <w:r>
        <w:t>assigns</w:t>
      </w:r>
      <w:r>
        <w:rPr>
          <w:spacing w:val="-3"/>
        </w:rPr>
        <w:t xml:space="preserve"> </w:t>
      </w:r>
      <w:r>
        <w:t>referents</w:t>
      </w:r>
      <w:r>
        <w:rPr>
          <w:spacing w:val="-3"/>
        </w:rPr>
        <w:t xml:space="preserve"> </w:t>
      </w:r>
      <w:r>
        <w:t>to</w:t>
      </w:r>
      <w:r>
        <w:rPr>
          <w:spacing w:val="-2"/>
        </w:rPr>
        <w:t xml:space="preserve"> </w:t>
      </w:r>
      <w:r>
        <w:t>tokens</w:t>
      </w:r>
    </w:p>
    <w:p w14:paraId="7E002BB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B5" w14:textId="77777777" w:rsidR="009A58DB" w:rsidRDefault="00000000">
      <w:pPr>
        <w:spacing w:before="65" w:line="249" w:lineRule="auto"/>
        <w:ind w:left="360" w:right="358"/>
        <w:jc w:val="both"/>
        <w:rPr>
          <w:sz w:val="30"/>
        </w:rPr>
      </w:pPr>
      <w:r>
        <w:rPr>
          <w:sz w:val="30"/>
        </w:rPr>
        <w:lastRenderedPageBreak/>
        <w:t xml:space="preserve">of “that person,” that rule being </w:t>
      </w:r>
      <w:r>
        <w:rPr>
          <w:i/>
          <w:sz w:val="30"/>
        </w:rPr>
        <w:t xml:space="preserve">if </w:t>
      </w:r>
      <w:r>
        <w:rPr>
          <w:sz w:val="30"/>
        </w:rPr>
        <w:t>“</w:t>
      </w:r>
      <w:r>
        <w:rPr>
          <w:i/>
          <w:sz w:val="30"/>
        </w:rPr>
        <w:t xml:space="preserve">that person” is uttered in a context in which x is a uniquely salient person, then that utterance picks out x. </w:t>
      </w:r>
      <w:r>
        <w:rPr>
          <w:sz w:val="30"/>
        </w:rPr>
        <w:t>What</w:t>
      </w:r>
      <w:r>
        <w:rPr>
          <w:spacing w:val="40"/>
          <w:sz w:val="30"/>
        </w:rPr>
        <w:t xml:space="preserve"> </w:t>
      </w:r>
      <w:r>
        <w:rPr>
          <w:sz w:val="30"/>
        </w:rPr>
        <w:t>that refers to is therefore systematically context-sensitive, that being why it’s an indexical. And sometimes an act of pointing is needed to make somebody be uniquely contextually salient, that being why it’s a demonstrative, as opposed to a mere indexical. Other examples of demonstratives are “this pain,” “these little creatures,” and “that aardvark.” See “indexical.”</w:t>
      </w:r>
    </w:p>
    <w:p w14:paraId="7E002BB6" w14:textId="77777777" w:rsidR="009A58DB" w:rsidRDefault="009A58DB">
      <w:pPr>
        <w:pStyle w:val="BodyText"/>
        <w:spacing w:before="23"/>
        <w:ind w:left="0"/>
        <w:jc w:val="left"/>
      </w:pPr>
    </w:p>
    <w:p w14:paraId="7E002BB7" w14:textId="77777777" w:rsidR="009A58DB" w:rsidRDefault="00000000">
      <w:pPr>
        <w:spacing w:line="249" w:lineRule="auto"/>
        <w:ind w:left="360" w:right="361"/>
        <w:jc w:val="both"/>
        <w:rPr>
          <w:sz w:val="30"/>
        </w:rPr>
      </w:pPr>
      <w:r>
        <w:rPr>
          <w:b/>
          <w:i/>
          <w:sz w:val="30"/>
        </w:rPr>
        <w:t xml:space="preserve">Denotative vs. ostensive vs. descriptive vs. contextual definition: </w:t>
      </w:r>
      <w:r>
        <w:rPr>
          <w:sz w:val="30"/>
        </w:rPr>
        <w:t xml:space="preserve">For an expression to be defined </w:t>
      </w:r>
      <w:r>
        <w:rPr>
          <w:i/>
          <w:sz w:val="30"/>
        </w:rPr>
        <w:t>ostensively</w:t>
      </w:r>
      <w:r>
        <w:rPr>
          <w:i/>
          <w:spacing w:val="-3"/>
          <w:sz w:val="30"/>
        </w:rPr>
        <w:t xml:space="preserve"> </w:t>
      </w:r>
      <w:r>
        <w:rPr>
          <w:sz w:val="30"/>
        </w:rPr>
        <w:t>is for it to be defined by means of an act of pointing. If, having been asked who “Ludwig” refers to, I say “</w:t>
      </w:r>
      <w:r>
        <w:rPr>
          <w:i/>
          <w:sz w:val="30"/>
        </w:rPr>
        <w:t>that guy</w:t>
      </w:r>
      <w:r>
        <w:rPr>
          <w:sz w:val="30"/>
        </w:rPr>
        <w:t>,” while pointing to Ludwig, I’ve defined “Ludwig” ostensively.</w:t>
      </w:r>
    </w:p>
    <w:p w14:paraId="7E002BB8" w14:textId="77777777" w:rsidR="009A58DB" w:rsidRDefault="00000000">
      <w:pPr>
        <w:pStyle w:val="BodyText"/>
        <w:spacing w:before="5" w:line="249" w:lineRule="auto"/>
        <w:ind w:right="358" w:firstLine="360"/>
      </w:pPr>
      <w:r>
        <w:t xml:space="preserve">Ostensive definitions are always cases of </w:t>
      </w:r>
      <w:r>
        <w:rPr>
          <w:i/>
        </w:rPr>
        <w:t xml:space="preserve">denotative </w:t>
      </w:r>
      <w:r>
        <w:t xml:space="preserve">definitions, but not </w:t>
      </w:r>
      <w:r>
        <w:rPr>
          <w:i/>
        </w:rPr>
        <w:t>vice</w:t>
      </w:r>
      <w:r>
        <w:rPr>
          <w:i/>
          <w:spacing w:val="-4"/>
        </w:rPr>
        <w:t xml:space="preserve"> </w:t>
      </w:r>
      <w:r>
        <w:rPr>
          <w:i/>
        </w:rPr>
        <w:t>versa.</w:t>
      </w:r>
      <w:r>
        <w:rPr>
          <w:i/>
          <w:spacing w:val="-3"/>
        </w:rPr>
        <w:t xml:space="preserve"> </w:t>
      </w:r>
      <w:r>
        <w:t>For an expression to be defined denotatively is for it to be defined by identifying some entity that it picks out. This is how proper names are defined. “Socrates” is defined denotatively—you learn what “Socrates” means by being told who it refers to. But since he’s no longer around, it isn’t defined ostensively.</w:t>
      </w:r>
    </w:p>
    <w:p w14:paraId="7E002BB9" w14:textId="77777777" w:rsidR="009A58DB" w:rsidRDefault="00000000">
      <w:pPr>
        <w:pStyle w:val="BodyText"/>
        <w:spacing w:before="8" w:line="249" w:lineRule="auto"/>
        <w:ind w:right="358" w:firstLine="360"/>
      </w:pPr>
      <w:r>
        <w:t>Not all expressions can be defined denotatively, and such expressions</w:t>
      </w:r>
      <w:r>
        <w:rPr>
          <w:spacing w:val="40"/>
        </w:rPr>
        <w:t xml:space="preserve"> </w:t>
      </w:r>
      <w:r>
        <w:t xml:space="preserve">must be defined </w:t>
      </w:r>
      <w:r>
        <w:rPr>
          <w:i/>
        </w:rPr>
        <w:t xml:space="preserve">contextually. </w:t>
      </w:r>
      <w:r>
        <w:t>“Something” doesn’t pick anything out. Therefore, it can’t be defined denotatively. Its meaning is given by the rule that, for any phi, ‹something has phi› is true exactly if phi is instantiated. Other examples: The meaning of “every person” is given by the rule that, for any phi, ‹every person has phi› means that the property of being a human non-phi isn’t instantiated. The meaning of “not” is given by the rule that, for any sentence S, not-S is true just in case S is false. The meaning of “no aardvark” is given by the rule that, for any phi, ‹no aardvark has phi› is true exactly if the property of not being both an aardvark and a phi is universally instantiated. See “define/definition.”</w:t>
      </w:r>
    </w:p>
    <w:p w14:paraId="7E002BBA" w14:textId="77777777" w:rsidR="009A58DB" w:rsidRDefault="00000000">
      <w:pPr>
        <w:pStyle w:val="BodyText"/>
        <w:spacing w:before="13" w:line="249" w:lineRule="auto"/>
        <w:ind w:right="369" w:firstLine="360"/>
      </w:pPr>
      <w:r>
        <w:t>Commentary—A principle concerning contextual definition: Whenever an expression is defined contextually, as opposed to denotatively, whole sentences containing it must be reparsed if their meanings are to be made clear. We just saw this with “something.” Its meaning is given by the rule that, for any property psi:</w:t>
      </w:r>
    </w:p>
    <w:p w14:paraId="7E002BBB" w14:textId="77777777" w:rsidR="009A58DB" w:rsidRDefault="009A58DB">
      <w:pPr>
        <w:pStyle w:val="BodyText"/>
        <w:spacing w:before="21"/>
        <w:ind w:left="0"/>
        <w:jc w:val="left"/>
      </w:pPr>
    </w:p>
    <w:p w14:paraId="7E002BBC" w14:textId="77777777" w:rsidR="009A58DB" w:rsidRDefault="00000000">
      <w:pPr>
        <w:pStyle w:val="BodyText"/>
      </w:pPr>
      <w:r>
        <w:t>(SP)</w:t>
      </w:r>
      <w:r>
        <w:rPr>
          <w:spacing w:val="-5"/>
        </w:rPr>
        <w:t xml:space="preserve"> </w:t>
      </w:r>
      <w:r>
        <w:t>‹something</w:t>
      </w:r>
      <w:r>
        <w:rPr>
          <w:spacing w:val="-3"/>
        </w:rPr>
        <w:t xml:space="preserve"> </w:t>
      </w:r>
      <w:r>
        <w:t>has</w:t>
      </w:r>
      <w:r>
        <w:rPr>
          <w:spacing w:val="-4"/>
        </w:rPr>
        <w:t xml:space="preserve"> psi›</w:t>
      </w:r>
    </w:p>
    <w:p w14:paraId="7E002BBD" w14:textId="77777777" w:rsidR="009A58DB" w:rsidRDefault="009A58DB">
      <w:pPr>
        <w:pStyle w:val="BodyText"/>
        <w:sectPr w:rsidR="009A58DB">
          <w:pgSz w:w="12240" w:h="15840"/>
          <w:pgMar w:top="1380" w:right="1080" w:bottom="280" w:left="1080" w:header="720" w:footer="720" w:gutter="0"/>
          <w:cols w:space="720"/>
        </w:sectPr>
      </w:pPr>
    </w:p>
    <w:p w14:paraId="7E002BBE" w14:textId="77777777" w:rsidR="009A58DB" w:rsidRDefault="00000000">
      <w:pPr>
        <w:pStyle w:val="BodyText"/>
        <w:spacing w:before="65"/>
        <w:jc w:val="left"/>
      </w:pPr>
      <w:r>
        <w:rPr>
          <w:spacing w:val="-2"/>
        </w:rPr>
        <w:lastRenderedPageBreak/>
        <w:t>means</w:t>
      </w:r>
    </w:p>
    <w:p w14:paraId="7E002BBF" w14:textId="77777777" w:rsidR="009A58DB" w:rsidRDefault="009A58DB">
      <w:pPr>
        <w:pStyle w:val="BodyText"/>
        <w:spacing w:before="29"/>
        <w:ind w:left="0"/>
        <w:jc w:val="left"/>
      </w:pPr>
    </w:p>
    <w:p w14:paraId="7E002BC0" w14:textId="77777777" w:rsidR="009A58DB" w:rsidRDefault="00000000">
      <w:pPr>
        <w:pStyle w:val="BodyText"/>
        <w:spacing w:before="1"/>
        <w:jc w:val="left"/>
      </w:pPr>
      <w:r>
        <w:t>(PS)</w:t>
      </w:r>
      <w:r>
        <w:rPr>
          <w:spacing w:val="-5"/>
        </w:rPr>
        <w:t xml:space="preserve"> </w:t>
      </w:r>
      <w:r>
        <w:t>the</w:t>
      </w:r>
      <w:r>
        <w:rPr>
          <w:spacing w:val="-2"/>
        </w:rPr>
        <w:t xml:space="preserve"> </w:t>
      </w:r>
      <w:r>
        <w:t>property</w:t>
      </w:r>
      <w:r>
        <w:rPr>
          <w:spacing w:val="-2"/>
        </w:rPr>
        <w:t xml:space="preserve"> </w:t>
      </w:r>
      <w:r>
        <w:t>of</w:t>
      </w:r>
      <w:r>
        <w:rPr>
          <w:spacing w:val="-2"/>
        </w:rPr>
        <w:t xml:space="preserve"> </w:t>
      </w:r>
      <w:r>
        <w:t>being</w:t>
      </w:r>
      <w:r>
        <w:rPr>
          <w:spacing w:val="-2"/>
        </w:rPr>
        <w:t xml:space="preserve"> </w:t>
      </w:r>
      <w:r>
        <w:t>a</w:t>
      </w:r>
      <w:r>
        <w:rPr>
          <w:spacing w:val="-3"/>
        </w:rPr>
        <w:t xml:space="preserve"> </w:t>
      </w:r>
      <w:r>
        <w:t>psi</w:t>
      </w:r>
      <w:r>
        <w:rPr>
          <w:spacing w:val="-2"/>
        </w:rPr>
        <w:t xml:space="preserve"> </w:t>
      </w:r>
      <w:r>
        <w:t>is</w:t>
      </w:r>
      <w:r>
        <w:rPr>
          <w:spacing w:val="-2"/>
        </w:rPr>
        <w:t xml:space="preserve"> instantiated.</w:t>
      </w:r>
    </w:p>
    <w:p w14:paraId="7E002BC1" w14:textId="77777777" w:rsidR="009A58DB" w:rsidRDefault="009A58DB">
      <w:pPr>
        <w:pStyle w:val="BodyText"/>
        <w:spacing w:before="30"/>
        <w:ind w:left="0"/>
        <w:jc w:val="left"/>
      </w:pPr>
    </w:p>
    <w:p w14:paraId="7E002BC2" w14:textId="77777777" w:rsidR="009A58DB" w:rsidRDefault="00000000">
      <w:pPr>
        <w:pStyle w:val="BodyText"/>
        <w:spacing w:line="249" w:lineRule="auto"/>
        <w:ind w:right="370"/>
      </w:pPr>
      <w:r>
        <w:t>PS doesn’t have the same form as SP. PS is a wholesale reparsing of SP; and the reason is obviously that “someone” is defined contextually. The same is true of all expressions that are defined contextually.</w:t>
      </w:r>
    </w:p>
    <w:p w14:paraId="7E002BC3" w14:textId="77777777" w:rsidR="009A58DB" w:rsidRDefault="00000000">
      <w:pPr>
        <w:pStyle w:val="BodyText"/>
        <w:spacing w:before="3" w:line="249" w:lineRule="auto"/>
        <w:ind w:right="361" w:firstLine="360"/>
      </w:pPr>
      <w:r>
        <w:t>For any psi, ‹something has psi› attributes a property to another property, and</w:t>
      </w:r>
      <w:r>
        <w:rPr>
          <w:spacing w:val="-1"/>
        </w:rPr>
        <w:t xml:space="preserve"> </w:t>
      </w:r>
      <w:r>
        <w:t>not</w:t>
      </w:r>
      <w:r>
        <w:rPr>
          <w:spacing w:val="-1"/>
        </w:rPr>
        <w:t xml:space="preserve"> </w:t>
      </w:r>
      <w:r>
        <w:t>to an</w:t>
      </w:r>
      <w:r>
        <w:rPr>
          <w:spacing w:val="-1"/>
        </w:rPr>
        <w:t xml:space="preserve"> </w:t>
      </w:r>
      <w:r>
        <w:t>individual. (In</w:t>
      </w:r>
      <w:r>
        <w:rPr>
          <w:spacing w:val="-1"/>
        </w:rPr>
        <w:t xml:space="preserve"> </w:t>
      </w:r>
      <w:r>
        <w:t>analytic philosophy,</w:t>
      </w:r>
      <w:r>
        <w:rPr>
          <w:spacing w:val="-1"/>
        </w:rPr>
        <w:t xml:space="preserve"> </w:t>
      </w:r>
      <w:r>
        <w:t>the term</w:t>
      </w:r>
      <w:r>
        <w:rPr>
          <w:spacing w:val="-1"/>
        </w:rPr>
        <w:t xml:space="preserve"> </w:t>
      </w:r>
      <w:r>
        <w:t xml:space="preserve">“individual” refers, not only to people, but to </w:t>
      </w:r>
      <w:r>
        <w:rPr>
          <w:i/>
        </w:rPr>
        <w:t>anything</w:t>
      </w:r>
      <w:r>
        <w:rPr>
          <w:i/>
          <w:spacing w:val="-3"/>
        </w:rPr>
        <w:t xml:space="preserve"> </w:t>
      </w:r>
      <w:r>
        <w:t>that isn’t itself a property—to rocks, trees, galaxies, etc.) “Someone is tall” attributes the property of being instated to</w:t>
      </w:r>
      <w:r>
        <w:rPr>
          <w:spacing w:val="40"/>
        </w:rPr>
        <w:t xml:space="preserve"> </w:t>
      </w:r>
      <w:r>
        <w:t>the property of tallness.</w:t>
      </w:r>
    </w:p>
    <w:p w14:paraId="7E002BC4" w14:textId="77777777" w:rsidR="009A58DB" w:rsidRDefault="009A58DB">
      <w:pPr>
        <w:pStyle w:val="BodyText"/>
        <w:spacing w:before="21"/>
        <w:ind w:left="0"/>
        <w:jc w:val="left"/>
      </w:pPr>
    </w:p>
    <w:p w14:paraId="7E002BC5" w14:textId="77777777" w:rsidR="009A58DB" w:rsidRDefault="00000000">
      <w:pPr>
        <w:pStyle w:val="BodyText"/>
        <w:spacing w:before="1" w:line="249" w:lineRule="auto"/>
        <w:ind w:right="360"/>
      </w:pPr>
      <w:r>
        <w:t>Additional commentary: All denotative definitions are contextual definitions, but</w:t>
      </w:r>
      <w:r>
        <w:rPr>
          <w:spacing w:val="-3"/>
        </w:rPr>
        <w:t xml:space="preserve"> </w:t>
      </w:r>
      <w:r>
        <w:t>not</w:t>
      </w:r>
      <w:r>
        <w:rPr>
          <w:spacing w:val="-3"/>
        </w:rPr>
        <w:t xml:space="preserve"> </w:t>
      </w:r>
      <w:r>
        <w:rPr>
          <w:i/>
        </w:rPr>
        <w:t>vice</w:t>
      </w:r>
      <w:r>
        <w:rPr>
          <w:i/>
          <w:spacing w:val="-3"/>
        </w:rPr>
        <w:t xml:space="preserve"> </w:t>
      </w:r>
      <w:r>
        <w:rPr>
          <w:i/>
        </w:rPr>
        <w:t>versa.</w:t>
      </w:r>
      <w:r>
        <w:rPr>
          <w:i/>
          <w:spacing w:val="-2"/>
        </w:rPr>
        <w:t xml:space="preserve"> </w:t>
      </w:r>
      <w:r>
        <w:t>To</w:t>
      </w:r>
      <w:r>
        <w:rPr>
          <w:spacing w:val="-1"/>
        </w:rPr>
        <w:t xml:space="preserve"> </w:t>
      </w:r>
      <w:r>
        <w:t>say</w:t>
      </w:r>
      <w:r>
        <w:rPr>
          <w:spacing w:val="-1"/>
        </w:rPr>
        <w:t xml:space="preserve"> </w:t>
      </w:r>
      <w:r>
        <w:t>that,</w:t>
      </w:r>
      <w:r>
        <w:rPr>
          <w:spacing w:val="-1"/>
        </w:rPr>
        <w:t xml:space="preserve"> </w:t>
      </w:r>
      <w:r>
        <w:t>for</w:t>
      </w:r>
      <w:r>
        <w:rPr>
          <w:spacing w:val="-1"/>
        </w:rPr>
        <w:t xml:space="preserve"> </w:t>
      </w:r>
      <w:r>
        <w:t>some</w:t>
      </w:r>
      <w:r>
        <w:rPr>
          <w:spacing w:val="-1"/>
        </w:rPr>
        <w:t xml:space="preserve"> </w:t>
      </w:r>
      <w:r>
        <w:t>object</w:t>
      </w:r>
      <w:r>
        <w:rPr>
          <w:spacing w:val="-1"/>
        </w:rPr>
        <w:t xml:space="preserve"> </w:t>
      </w:r>
      <w:r>
        <w:t>x,</w:t>
      </w:r>
      <w:r>
        <w:rPr>
          <w:spacing w:val="-1"/>
        </w:rPr>
        <w:t xml:space="preserve"> </w:t>
      </w:r>
      <w:r>
        <w:t>“Smith”</w:t>
      </w:r>
      <w:r>
        <w:rPr>
          <w:spacing w:val="-1"/>
        </w:rPr>
        <w:t xml:space="preserve"> </w:t>
      </w:r>
      <w:r>
        <w:t>refers</w:t>
      </w:r>
      <w:r>
        <w:rPr>
          <w:spacing w:val="-1"/>
        </w:rPr>
        <w:t xml:space="preserve"> </w:t>
      </w:r>
      <w:r>
        <w:t>to</w:t>
      </w:r>
      <w:r>
        <w:rPr>
          <w:spacing w:val="-1"/>
        </w:rPr>
        <w:t xml:space="preserve"> </w:t>
      </w:r>
      <w:r>
        <w:t>x</w:t>
      </w:r>
      <w:r>
        <w:rPr>
          <w:spacing w:val="-1"/>
        </w:rPr>
        <w:t xml:space="preserve"> </w:t>
      </w:r>
      <w:r>
        <w:t>is</w:t>
      </w:r>
      <w:r>
        <w:rPr>
          <w:spacing w:val="-1"/>
        </w:rPr>
        <w:t xml:space="preserve"> </w:t>
      </w:r>
      <w:r>
        <w:t>to</w:t>
      </w:r>
      <w:r>
        <w:rPr>
          <w:spacing w:val="-1"/>
        </w:rPr>
        <w:t xml:space="preserve"> </w:t>
      </w:r>
      <w:r>
        <w:t xml:space="preserve">say that, for any phi, ‹Smith has phi› is to the effect that x has phi. So in defining “Smith” by identifying its referent, one </w:t>
      </w:r>
      <w:r>
        <w:rPr>
          <w:i/>
        </w:rPr>
        <w:t xml:space="preserve">is </w:t>
      </w:r>
      <w:r>
        <w:t>giving its meaning by saying what is meant by whole sentences of the form ‹...Smith...› This principle is defended in Chapter 7.</w:t>
      </w:r>
    </w:p>
    <w:p w14:paraId="7E002BC6" w14:textId="77777777" w:rsidR="009A58DB" w:rsidRDefault="009A58DB">
      <w:pPr>
        <w:pStyle w:val="BodyText"/>
        <w:spacing w:before="22"/>
        <w:ind w:left="0"/>
        <w:jc w:val="left"/>
      </w:pPr>
    </w:p>
    <w:p w14:paraId="7E002BC7" w14:textId="77777777" w:rsidR="009A58DB" w:rsidRDefault="00000000">
      <w:pPr>
        <w:pStyle w:val="BodyText"/>
        <w:spacing w:line="249" w:lineRule="auto"/>
        <w:ind w:right="364"/>
      </w:pPr>
      <w:r>
        <w:rPr>
          <w:b/>
          <w:i/>
        </w:rPr>
        <w:t xml:space="preserve">Denote: </w:t>
      </w:r>
      <w:r>
        <w:t>As we’ll use them, the terms “denote” and “refer to” are synonymous,</w:t>
      </w:r>
      <w:r>
        <w:rPr>
          <w:spacing w:val="-2"/>
        </w:rPr>
        <w:t xml:space="preserve"> </w:t>
      </w:r>
      <w:r>
        <w:t>the</w:t>
      </w:r>
      <w:r>
        <w:rPr>
          <w:spacing w:val="-1"/>
        </w:rPr>
        <w:t xml:space="preserve"> </w:t>
      </w:r>
      <w:r>
        <w:t>same</w:t>
      </w:r>
      <w:r>
        <w:rPr>
          <w:spacing w:val="-1"/>
        </w:rPr>
        <w:t xml:space="preserve"> </w:t>
      </w:r>
      <w:r>
        <w:t>therefore</w:t>
      </w:r>
      <w:r>
        <w:rPr>
          <w:spacing w:val="-1"/>
        </w:rPr>
        <w:t xml:space="preserve"> </w:t>
      </w:r>
      <w:r>
        <w:t>being</w:t>
      </w:r>
      <w:r>
        <w:rPr>
          <w:spacing w:val="-1"/>
        </w:rPr>
        <w:t xml:space="preserve"> </w:t>
      </w:r>
      <w:r>
        <w:t>true</w:t>
      </w:r>
      <w:r>
        <w:rPr>
          <w:spacing w:val="-2"/>
        </w:rPr>
        <w:t xml:space="preserve"> </w:t>
      </w:r>
      <w:r>
        <w:t>of</w:t>
      </w:r>
      <w:r>
        <w:rPr>
          <w:spacing w:val="-2"/>
        </w:rPr>
        <w:t xml:space="preserve"> </w:t>
      </w:r>
      <w:r>
        <w:t>“denotation”</w:t>
      </w:r>
      <w:r>
        <w:rPr>
          <w:spacing w:val="-1"/>
        </w:rPr>
        <w:t xml:space="preserve"> </w:t>
      </w:r>
      <w:r>
        <w:t>and</w:t>
      </w:r>
      <w:r>
        <w:rPr>
          <w:spacing w:val="-1"/>
        </w:rPr>
        <w:t xml:space="preserve"> </w:t>
      </w:r>
      <w:r>
        <w:t>“referent”</w:t>
      </w:r>
      <w:r>
        <w:rPr>
          <w:spacing w:val="-1"/>
        </w:rPr>
        <w:t xml:space="preserve"> </w:t>
      </w:r>
      <w:r>
        <w:t>are synonymous. See “refer.”</w:t>
      </w:r>
    </w:p>
    <w:p w14:paraId="7E002BC8" w14:textId="77777777" w:rsidR="009A58DB" w:rsidRDefault="009A58DB">
      <w:pPr>
        <w:pStyle w:val="BodyText"/>
        <w:spacing w:before="19"/>
        <w:ind w:left="0"/>
        <w:jc w:val="left"/>
      </w:pPr>
    </w:p>
    <w:p w14:paraId="7E002BC9" w14:textId="77777777" w:rsidR="009A58DB" w:rsidRDefault="00000000">
      <w:pPr>
        <w:pStyle w:val="BodyText"/>
        <w:spacing w:line="249" w:lineRule="auto"/>
        <w:ind w:right="357"/>
      </w:pPr>
      <w:r>
        <w:rPr>
          <w:b/>
          <w:i/>
        </w:rPr>
        <w:t>Deontology:</w:t>
      </w:r>
      <w:r>
        <w:rPr>
          <w:b/>
          <w:i/>
          <w:spacing w:val="-4"/>
        </w:rPr>
        <w:t xml:space="preserve"> </w:t>
      </w:r>
      <w:r>
        <w:t>The doctrine that it is in virtue, not of what its effects are, but of whether it embodies due</w:t>
      </w:r>
    </w:p>
    <w:p w14:paraId="7E002BCA" w14:textId="77777777" w:rsidR="009A58DB" w:rsidRDefault="00000000">
      <w:pPr>
        <w:pStyle w:val="BodyText"/>
        <w:spacing w:before="2" w:line="249" w:lineRule="auto"/>
        <w:ind w:right="362"/>
      </w:pPr>
      <w:r>
        <w:t>regard for one’s ethical duties and for other people’s rights that an act is morally right or wrong. See “consequentialism.”</w:t>
      </w:r>
    </w:p>
    <w:p w14:paraId="7E002BCB" w14:textId="77777777" w:rsidR="009A58DB" w:rsidRDefault="009A58DB">
      <w:pPr>
        <w:pStyle w:val="BodyText"/>
        <w:spacing w:before="18"/>
        <w:ind w:left="0"/>
        <w:jc w:val="left"/>
      </w:pPr>
    </w:p>
    <w:p w14:paraId="7E002BCC" w14:textId="77777777" w:rsidR="009A58DB" w:rsidRDefault="00000000">
      <w:pPr>
        <w:spacing w:line="249" w:lineRule="auto"/>
        <w:ind w:left="360" w:right="361"/>
        <w:jc w:val="both"/>
        <w:rPr>
          <w:i/>
          <w:sz w:val="30"/>
        </w:rPr>
      </w:pPr>
      <w:r>
        <w:rPr>
          <w:b/>
          <w:i/>
          <w:sz w:val="30"/>
        </w:rPr>
        <w:t xml:space="preserve">Determinism: </w:t>
      </w:r>
      <w:r>
        <w:rPr>
          <w:sz w:val="30"/>
        </w:rPr>
        <w:t xml:space="preserve">The doctrine that </w:t>
      </w:r>
      <w:r>
        <w:rPr>
          <w:i/>
          <w:sz w:val="30"/>
        </w:rPr>
        <w:t xml:space="preserve">nothing </w:t>
      </w:r>
      <w:r>
        <w:rPr>
          <w:sz w:val="30"/>
        </w:rPr>
        <w:t xml:space="preserve">is uncaused. Everything that happens/has happened/will happen </w:t>
      </w:r>
      <w:r>
        <w:rPr>
          <w:i/>
          <w:sz w:val="30"/>
        </w:rPr>
        <w:t xml:space="preserve">has to happen </w:t>
      </w:r>
      <w:r>
        <w:rPr>
          <w:sz w:val="30"/>
        </w:rPr>
        <w:t xml:space="preserve">and, moreover, </w:t>
      </w:r>
      <w:r>
        <w:rPr>
          <w:i/>
          <w:sz w:val="30"/>
        </w:rPr>
        <w:t>has to happen in the exact way in which it happens.</w:t>
      </w:r>
    </w:p>
    <w:p w14:paraId="7E002BCD" w14:textId="77777777" w:rsidR="009A58DB" w:rsidRDefault="00000000">
      <w:pPr>
        <w:pStyle w:val="BodyText"/>
        <w:spacing w:before="3" w:line="249" w:lineRule="auto"/>
        <w:ind w:right="362"/>
      </w:pPr>
      <w:r>
        <w:t>Alternate definition of determinism: how the world is at any point fixes how the world will be, in every respect, at all later times. See “indeterminism.”</w:t>
      </w:r>
    </w:p>
    <w:p w14:paraId="7E002BCE"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BCF" w14:textId="77777777" w:rsidR="009A58DB" w:rsidRDefault="00000000">
      <w:pPr>
        <w:pStyle w:val="BodyText"/>
        <w:spacing w:before="65" w:line="249" w:lineRule="auto"/>
        <w:ind w:right="359"/>
      </w:pPr>
      <w:r>
        <w:rPr>
          <w:b/>
          <w:i/>
        </w:rPr>
        <w:lastRenderedPageBreak/>
        <w:t xml:space="preserve">Descriptive proposition: </w:t>
      </w:r>
      <w:r>
        <w:t>A proposition is descriptive if it isn’t normative. In other words, a proposition is descriptive if it, supposing it is correct, says</w:t>
      </w:r>
      <w:r>
        <w:rPr>
          <w:spacing w:val="40"/>
        </w:rPr>
        <w:t xml:space="preserve"> </w:t>
      </w:r>
      <w:r>
        <w:t xml:space="preserve">how things are, not how they should be. </w:t>
      </w:r>
      <w:r>
        <w:rPr>
          <w:i/>
        </w:rPr>
        <w:t xml:space="preserve">Killing is frequent, especially during war </w:t>
      </w:r>
      <w:r>
        <w:t>is not a normative statement, since it merely says how things are, not</w:t>
      </w:r>
      <w:r>
        <w:rPr>
          <w:spacing w:val="40"/>
        </w:rPr>
        <w:t xml:space="preserve"> </w:t>
      </w:r>
      <w:r>
        <w:t>how they should be. See “proposition” and “normative proposition.”</w:t>
      </w:r>
    </w:p>
    <w:p w14:paraId="7E002BD0" w14:textId="77777777" w:rsidR="009A58DB" w:rsidRDefault="009A58DB">
      <w:pPr>
        <w:pStyle w:val="BodyText"/>
        <w:spacing w:before="21"/>
        <w:ind w:left="0"/>
        <w:jc w:val="left"/>
      </w:pPr>
    </w:p>
    <w:p w14:paraId="7E002BD1" w14:textId="77777777" w:rsidR="009A58DB" w:rsidRDefault="00000000">
      <w:pPr>
        <w:ind w:left="360"/>
        <w:jc w:val="both"/>
        <w:rPr>
          <w:sz w:val="30"/>
        </w:rPr>
      </w:pPr>
      <w:r>
        <w:rPr>
          <w:b/>
          <w:i/>
          <w:sz w:val="30"/>
        </w:rPr>
        <w:t>Disjunct:</w:t>
      </w:r>
      <w:r>
        <w:rPr>
          <w:b/>
          <w:i/>
          <w:spacing w:val="-5"/>
          <w:sz w:val="30"/>
        </w:rPr>
        <w:t xml:space="preserve"> </w:t>
      </w:r>
      <w:r>
        <w:rPr>
          <w:sz w:val="30"/>
        </w:rPr>
        <w:t>In</w:t>
      </w:r>
      <w:r>
        <w:rPr>
          <w:spacing w:val="-2"/>
          <w:sz w:val="30"/>
        </w:rPr>
        <w:t xml:space="preserve"> </w:t>
      </w:r>
      <w:r>
        <w:rPr>
          <w:i/>
          <w:sz w:val="30"/>
        </w:rPr>
        <w:t>P</w:t>
      </w:r>
      <w:r>
        <w:rPr>
          <w:i/>
          <w:spacing w:val="-2"/>
          <w:sz w:val="30"/>
        </w:rPr>
        <w:t xml:space="preserve"> </w:t>
      </w:r>
      <w:r>
        <w:rPr>
          <w:i/>
          <w:sz w:val="30"/>
        </w:rPr>
        <w:t>or</w:t>
      </w:r>
      <w:r>
        <w:rPr>
          <w:i/>
          <w:spacing w:val="-3"/>
          <w:sz w:val="30"/>
        </w:rPr>
        <w:t xml:space="preserve"> </w:t>
      </w:r>
      <w:r>
        <w:rPr>
          <w:i/>
          <w:sz w:val="30"/>
        </w:rPr>
        <w:t>Q</w:t>
      </w:r>
      <w:r>
        <w:rPr>
          <w:sz w:val="30"/>
        </w:rPr>
        <w:t>,</w:t>
      </w:r>
      <w:r>
        <w:rPr>
          <w:spacing w:val="-2"/>
          <w:sz w:val="30"/>
        </w:rPr>
        <w:t xml:space="preserve"> </w:t>
      </w:r>
      <w:r>
        <w:rPr>
          <w:sz w:val="30"/>
        </w:rPr>
        <w:t>each</w:t>
      </w:r>
      <w:r>
        <w:rPr>
          <w:spacing w:val="-1"/>
          <w:sz w:val="30"/>
        </w:rPr>
        <w:t xml:space="preserve"> </w:t>
      </w:r>
      <w:r>
        <w:rPr>
          <w:sz w:val="30"/>
        </w:rPr>
        <w:t>of</w:t>
      </w:r>
      <w:r>
        <w:rPr>
          <w:spacing w:val="-3"/>
          <w:sz w:val="30"/>
        </w:rPr>
        <w:t xml:space="preserve"> </w:t>
      </w:r>
      <w:r>
        <w:rPr>
          <w:sz w:val="30"/>
        </w:rPr>
        <w:t>P</w:t>
      </w:r>
      <w:r>
        <w:rPr>
          <w:spacing w:val="-3"/>
          <w:sz w:val="30"/>
        </w:rPr>
        <w:t xml:space="preserve"> </w:t>
      </w:r>
      <w:r>
        <w:rPr>
          <w:sz w:val="30"/>
        </w:rPr>
        <w:t>and</w:t>
      </w:r>
      <w:r>
        <w:rPr>
          <w:spacing w:val="-1"/>
          <w:sz w:val="30"/>
        </w:rPr>
        <w:t xml:space="preserve"> </w:t>
      </w:r>
      <w:r>
        <w:rPr>
          <w:sz w:val="30"/>
        </w:rPr>
        <w:t>Q</w:t>
      </w:r>
      <w:r>
        <w:rPr>
          <w:spacing w:val="-3"/>
          <w:sz w:val="30"/>
        </w:rPr>
        <w:t xml:space="preserve"> </w:t>
      </w:r>
      <w:r>
        <w:rPr>
          <w:sz w:val="30"/>
        </w:rPr>
        <w:t>is</w:t>
      </w:r>
      <w:r>
        <w:rPr>
          <w:spacing w:val="-3"/>
          <w:sz w:val="30"/>
        </w:rPr>
        <w:t xml:space="preserve"> </w:t>
      </w:r>
      <w:r>
        <w:rPr>
          <w:sz w:val="30"/>
        </w:rPr>
        <w:t>a</w:t>
      </w:r>
      <w:r>
        <w:rPr>
          <w:spacing w:val="-2"/>
          <w:sz w:val="30"/>
        </w:rPr>
        <w:t xml:space="preserve"> </w:t>
      </w:r>
      <w:r>
        <w:rPr>
          <w:sz w:val="30"/>
        </w:rPr>
        <w:t>“disjunct.”</w:t>
      </w:r>
      <w:r>
        <w:rPr>
          <w:spacing w:val="-3"/>
          <w:sz w:val="30"/>
        </w:rPr>
        <w:t xml:space="preserve"> </w:t>
      </w:r>
      <w:r>
        <w:rPr>
          <w:sz w:val="30"/>
        </w:rPr>
        <w:t>See</w:t>
      </w:r>
      <w:r>
        <w:rPr>
          <w:spacing w:val="-2"/>
          <w:sz w:val="30"/>
        </w:rPr>
        <w:t xml:space="preserve"> “disjunction.”</w:t>
      </w:r>
    </w:p>
    <w:p w14:paraId="7E002BD2" w14:textId="77777777" w:rsidR="009A58DB" w:rsidRDefault="009A58DB">
      <w:pPr>
        <w:pStyle w:val="BodyText"/>
        <w:spacing w:before="30"/>
        <w:ind w:left="0"/>
        <w:jc w:val="left"/>
      </w:pPr>
    </w:p>
    <w:p w14:paraId="7E002BD3" w14:textId="77777777" w:rsidR="009A58DB" w:rsidRDefault="00000000">
      <w:pPr>
        <w:spacing w:line="249" w:lineRule="auto"/>
        <w:ind w:left="360" w:right="359"/>
        <w:jc w:val="both"/>
        <w:rPr>
          <w:i/>
          <w:sz w:val="30"/>
        </w:rPr>
      </w:pPr>
      <w:r>
        <w:rPr>
          <w:b/>
          <w:i/>
          <w:sz w:val="30"/>
        </w:rPr>
        <w:t xml:space="preserve">Disjunction: </w:t>
      </w:r>
      <w:r>
        <w:rPr>
          <w:sz w:val="30"/>
        </w:rPr>
        <w:t>A disjunction is any sentence composed of two sentences that are</w:t>
      </w:r>
      <w:r>
        <w:rPr>
          <w:spacing w:val="-4"/>
          <w:sz w:val="30"/>
        </w:rPr>
        <w:t xml:space="preserve"> </w:t>
      </w:r>
      <w:r>
        <w:rPr>
          <w:sz w:val="30"/>
        </w:rPr>
        <w:t>joined</w:t>
      </w:r>
      <w:r>
        <w:rPr>
          <w:spacing w:val="-3"/>
          <w:sz w:val="30"/>
        </w:rPr>
        <w:t xml:space="preserve"> </w:t>
      </w:r>
      <w:r>
        <w:rPr>
          <w:sz w:val="30"/>
        </w:rPr>
        <w:t>by</w:t>
      </w:r>
      <w:r>
        <w:rPr>
          <w:spacing w:val="-3"/>
          <w:sz w:val="30"/>
        </w:rPr>
        <w:t xml:space="preserve"> </w:t>
      </w:r>
      <w:r>
        <w:rPr>
          <w:sz w:val="30"/>
        </w:rPr>
        <w:t>an</w:t>
      </w:r>
      <w:r>
        <w:rPr>
          <w:spacing w:val="-3"/>
          <w:sz w:val="30"/>
        </w:rPr>
        <w:t xml:space="preserve"> </w:t>
      </w:r>
      <w:r>
        <w:rPr>
          <w:sz w:val="30"/>
        </w:rPr>
        <w:t>“or.”</w:t>
      </w:r>
      <w:r>
        <w:rPr>
          <w:spacing w:val="-4"/>
          <w:sz w:val="30"/>
        </w:rPr>
        <w:t xml:space="preserve"> </w:t>
      </w:r>
      <w:r>
        <w:rPr>
          <w:sz w:val="30"/>
        </w:rPr>
        <w:t>For</w:t>
      </w:r>
      <w:r>
        <w:rPr>
          <w:spacing w:val="-4"/>
          <w:sz w:val="30"/>
        </w:rPr>
        <w:t xml:space="preserve"> </w:t>
      </w:r>
      <w:r>
        <w:rPr>
          <w:sz w:val="30"/>
        </w:rPr>
        <w:t>example,</w:t>
      </w:r>
      <w:r>
        <w:rPr>
          <w:spacing w:val="-3"/>
          <w:sz w:val="30"/>
        </w:rPr>
        <w:t xml:space="preserve"> </w:t>
      </w:r>
      <w:r>
        <w:rPr>
          <w:i/>
          <w:sz w:val="30"/>
        </w:rPr>
        <w:t>either</w:t>
      </w:r>
      <w:r>
        <w:rPr>
          <w:i/>
          <w:spacing w:val="-4"/>
          <w:sz w:val="30"/>
        </w:rPr>
        <w:t xml:space="preserve"> </w:t>
      </w:r>
      <w:r>
        <w:rPr>
          <w:i/>
          <w:sz w:val="30"/>
        </w:rPr>
        <w:t>it’s</w:t>
      </w:r>
      <w:r>
        <w:rPr>
          <w:i/>
          <w:spacing w:val="-4"/>
          <w:sz w:val="30"/>
        </w:rPr>
        <w:t xml:space="preserve"> </w:t>
      </w:r>
      <w:r>
        <w:rPr>
          <w:i/>
          <w:sz w:val="30"/>
        </w:rPr>
        <w:t>raining</w:t>
      </w:r>
      <w:r>
        <w:rPr>
          <w:i/>
          <w:spacing w:val="-3"/>
          <w:sz w:val="30"/>
        </w:rPr>
        <w:t xml:space="preserve"> </w:t>
      </w:r>
      <w:r>
        <w:rPr>
          <w:i/>
          <w:sz w:val="30"/>
        </w:rPr>
        <w:t>or</w:t>
      </w:r>
      <w:r>
        <w:rPr>
          <w:i/>
          <w:spacing w:val="-4"/>
          <w:sz w:val="30"/>
        </w:rPr>
        <w:t xml:space="preserve"> </w:t>
      </w:r>
      <w:r>
        <w:rPr>
          <w:i/>
          <w:sz w:val="30"/>
        </w:rPr>
        <w:t>somebody</w:t>
      </w:r>
      <w:r>
        <w:rPr>
          <w:i/>
          <w:spacing w:val="-4"/>
          <w:sz w:val="30"/>
        </w:rPr>
        <w:t xml:space="preserve"> </w:t>
      </w:r>
      <w:r>
        <w:rPr>
          <w:i/>
          <w:sz w:val="30"/>
        </w:rPr>
        <w:t>turned</w:t>
      </w:r>
      <w:r>
        <w:rPr>
          <w:i/>
          <w:spacing w:val="-3"/>
          <w:sz w:val="30"/>
        </w:rPr>
        <w:t xml:space="preserve"> </w:t>
      </w:r>
      <w:r>
        <w:rPr>
          <w:i/>
          <w:sz w:val="30"/>
        </w:rPr>
        <w:t>the sprinkler on.</w:t>
      </w:r>
    </w:p>
    <w:p w14:paraId="7E002BD4" w14:textId="77777777" w:rsidR="009A58DB" w:rsidRDefault="009A58DB">
      <w:pPr>
        <w:pStyle w:val="BodyText"/>
        <w:spacing w:before="18"/>
        <w:ind w:left="0"/>
        <w:jc w:val="left"/>
        <w:rPr>
          <w:i/>
        </w:rPr>
      </w:pPr>
    </w:p>
    <w:p w14:paraId="7E002BD5" w14:textId="77777777" w:rsidR="009A58DB" w:rsidRDefault="00000000">
      <w:pPr>
        <w:pStyle w:val="BodyText"/>
        <w:spacing w:before="1" w:line="249" w:lineRule="auto"/>
        <w:ind w:right="359"/>
      </w:pPr>
      <w:r>
        <w:rPr>
          <w:b/>
          <w:i/>
        </w:rPr>
        <w:t xml:space="preserve">Duhem-Quine thesis: </w:t>
      </w:r>
      <w:r>
        <w:t>The thesis, which was advocated by W.V.O. Quine (1908–2001</w:t>
      </w:r>
      <w:bookmarkStart w:id="586" w:name="_bookmark586"/>
      <w:bookmarkEnd w:id="586"/>
      <w:r>
        <w:t>)</w:t>
      </w:r>
      <w:r>
        <w:rPr>
          <w:color w:val="0562C1"/>
          <w:position w:val="21"/>
          <w:u w:val="single" w:color="0562C1"/>
        </w:rPr>
        <w:t>[442]</w:t>
      </w:r>
      <w:r>
        <w:t>, that no theory does either a better job or a worse job than any other theory of modeling any given body of data. In other words, given any body of observations B and given any two theories T and T*, T does no better and no worse a job than T* of modeling B.</w:t>
      </w:r>
    </w:p>
    <w:p w14:paraId="7E002BD6" w14:textId="77777777" w:rsidR="009A58DB" w:rsidRDefault="00000000">
      <w:pPr>
        <w:pStyle w:val="BodyText"/>
        <w:spacing w:before="6" w:line="249" w:lineRule="auto"/>
        <w:ind w:right="363" w:firstLine="360"/>
      </w:pPr>
      <w:r>
        <w:t>Quine’s argument was that, given any datum D that appears to confirm T and to disconfirm T*, one can make D disconfirm T and disconfirm T* by tinkering with one’s background assumptions.</w:t>
      </w:r>
    </w:p>
    <w:p w14:paraId="7E002BD7" w14:textId="77777777" w:rsidR="009A58DB" w:rsidRDefault="00000000">
      <w:pPr>
        <w:pStyle w:val="BodyText"/>
        <w:spacing w:before="3" w:line="249" w:lineRule="auto"/>
        <w:ind w:right="359" w:firstLine="360"/>
      </w:pPr>
      <w:r>
        <w:t>Quine’s thesis is either empty or it’s false. Scientific theories aren’t analytically entailed by the observations that support them. Induction isn’t deduction. This is an obvious triviality. So, assuming that what Quine is saying</w:t>
      </w:r>
      <w:r>
        <w:rPr>
          <w:spacing w:val="-2"/>
        </w:rPr>
        <w:t xml:space="preserve"> </w:t>
      </w:r>
      <w:r>
        <w:t>isn’t</w:t>
      </w:r>
      <w:r>
        <w:rPr>
          <w:spacing w:val="-2"/>
        </w:rPr>
        <w:t xml:space="preserve"> </w:t>
      </w:r>
      <w:r>
        <w:t>trivial,</w:t>
      </w:r>
      <w:r>
        <w:rPr>
          <w:spacing w:val="-2"/>
        </w:rPr>
        <w:t xml:space="preserve"> </w:t>
      </w:r>
      <w:r>
        <w:t>it</w:t>
      </w:r>
      <w:r>
        <w:rPr>
          <w:spacing w:val="-2"/>
        </w:rPr>
        <w:t xml:space="preserve"> </w:t>
      </w:r>
      <w:r>
        <w:t>must</w:t>
      </w:r>
      <w:r>
        <w:rPr>
          <w:spacing w:val="-2"/>
        </w:rPr>
        <w:t xml:space="preserve"> </w:t>
      </w:r>
      <w:r>
        <w:t>be</w:t>
      </w:r>
      <w:r>
        <w:rPr>
          <w:spacing w:val="-2"/>
        </w:rPr>
        <w:t xml:space="preserve"> </w:t>
      </w:r>
      <w:r>
        <w:t>to</w:t>
      </w:r>
      <w:r>
        <w:rPr>
          <w:spacing w:val="-2"/>
        </w:rPr>
        <w:t xml:space="preserve"> </w:t>
      </w:r>
      <w:r>
        <w:t>the</w:t>
      </w:r>
      <w:r>
        <w:rPr>
          <w:spacing w:val="-2"/>
        </w:rPr>
        <w:t xml:space="preserve"> </w:t>
      </w:r>
      <w:r>
        <w:t>effect</w:t>
      </w:r>
      <w:r>
        <w:rPr>
          <w:spacing w:val="-2"/>
        </w:rPr>
        <w:t xml:space="preserve"> </w:t>
      </w:r>
      <w:r>
        <w:t>that</w:t>
      </w:r>
      <w:r>
        <w:rPr>
          <w:spacing w:val="-2"/>
        </w:rPr>
        <w:t xml:space="preserve"> </w:t>
      </w:r>
      <w:r>
        <w:t>no</w:t>
      </w:r>
      <w:r>
        <w:rPr>
          <w:spacing w:val="-2"/>
        </w:rPr>
        <w:t xml:space="preserve"> </w:t>
      </w:r>
      <w:r>
        <w:t>theory</w:t>
      </w:r>
      <w:r>
        <w:rPr>
          <w:spacing w:val="-2"/>
        </w:rPr>
        <w:t xml:space="preserve"> </w:t>
      </w:r>
      <w:r>
        <w:t>does</w:t>
      </w:r>
      <w:r>
        <w:rPr>
          <w:spacing w:val="-2"/>
        </w:rPr>
        <w:t xml:space="preserve"> </w:t>
      </w:r>
      <w:r>
        <w:t>a</w:t>
      </w:r>
      <w:r>
        <w:rPr>
          <w:spacing w:val="-2"/>
        </w:rPr>
        <w:t xml:space="preserve"> </w:t>
      </w:r>
      <w:r>
        <w:t>better</w:t>
      </w:r>
      <w:r>
        <w:rPr>
          <w:spacing w:val="-2"/>
        </w:rPr>
        <w:t xml:space="preserve"> </w:t>
      </w:r>
      <w:r>
        <w:t>job</w:t>
      </w:r>
      <w:r>
        <w:rPr>
          <w:spacing w:val="-2"/>
        </w:rPr>
        <w:t xml:space="preserve"> </w:t>
      </w:r>
      <w:r>
        <w:t>or</w:t>
      </w:r>
      <w:r>
        <w:rPr>
          <w:spacing w:val="-2"/>
        </w:rPr>
        <w:t xml:space="preserve"> </w:t>
      </w:r>
      <w:r>
        <w:t>a worse job than any other theory of accounting for any given body of data. To account for a body of data is to show that the occurrence of each datum composing it is non-anomalous. Thus, Quine’s thesis, supposing it non-trivial,</w:t>
      </w:r>
      <w:r>
        <w:rPr>
          <w:spacing w:val="-1"/>
        </w:rPr>
        <w:t xml:space="preserve"> </w:t>
      </w:r>
      <w:r>
        <w:t>is</w:t>
      </w:r>
      <w:r>
        <w:rPr>
          <w:spacing w:val="-1"/>
        </w:rPr>
        <w:t xml:space="preserve"> </w:t>
      </w:r>
      <w:r>
        <w:t>to</w:t>
      </w:r>
      <w:r>
        <w:rPr>
          <w:spacing w:val="-1"/>
        </w:rPr>
        <w:t xml:space="preserve"> </w:t>
      </w:r>
      <w:r>
        <w:t>the</w:t>
      </w:r>
      <w:r>
        <w:rPr>
          <w:spacing w:val="-1"/>
        </w:rPr>
        <w:t xml:space="preserve"> </w:t>
      </w:r>
      <w:r>
        <w:t>effect</w:t>
      </w:r>
      <w:r>
        <w:rPr>
          <w:spacing w:val="-1"/>
        </w:rPr>
        <w:t xml:space="preserve"> </w:t>
      </w:r>
      <w:r>
        <w:t>that</w:t>
      </w:r>
      <w:r>
        <w:rPr>
          <w:spacing w:val="-1"/>
        </w:rPr>
        <w:t xml:space="preserve"> </w:t>
      </w:r>
      <w:r>
        <w:t>no</w:t>
      </w:r>
      <w:r>
        <w:rPr>
          <w:spacing w:val="-1"/>
        </w:rPr>
        <w:t xml:space="preserve"> </w:t>
      </w:r>
      <w:r>
        <w:t>theory</w:t>
      </w:r>
      <w:r>
        <w:rPr>
          <w:spacing w:val="-1"/>
        </w:rPr>
        <w:t xml:space="preserve"> </w:t>
      </w:r>
      <w:r>
        <w:t>does</w:t>
      </w:r>
      <w:r>
        <w:rPr>
          <w:spacing w:val="-1"/>
        </w:rPr>
        <w:t xml:space="preserve"> </w:t>
      </w:r>
      <w:r>
        <w:t>a</w:t>
      </w:r>
      <w:r>
        <w:rPr>
          <w:spacing w:val="-1"/>
        </w:rPr>
        <w:t xml:space="preserve"> </w:t>
      </w:r>
      <w:r>
        <w:t>better</w:t>
      </w:r>
      <w:r>
        <w:rPr>
          <w:spacing w:val="-1"/>
        </w:rPr>
        <w:t xml:space="preserve"> </w:t>
      </w:r>
      <w:r>
        <w:t>job</w:t>
      </w:r>
      <w:r>
        <w:rPr>
          <w:spacing w:val="-1"/>
        </w:rPr>
        <w:t xml:space="preserve"> </w:t>
      </w:r>
      <w:r>
        <w:t>than</w:t>
      </w:r>
      <w:r>
        <w:rPr>
          <w:spacing w:val="-1"/>
        </w:rPr>
        <w:t xml:space="preserve"> </w:t>
      </w:r>
      <w:r>
        <w:t>any</w:t>
      </w:r>
      <w:r>
        <w:rPr>
          <w:spacing w:val="-1"/>
        </w:rPr>
        <w:t xml:space="preserve"> </w:t>
      </w:r>
      <w:r>
        <w:t>other</w:t>
      </w:r>
      <w:r>
        <w:rPr>
          <w:spacing w:val="-1"/>
        </w:rPr>
        <w:t xml:space="preserve"> </w:t>
      </w:r>
      <w:r>
        <w:t>theory</w:t>
      </w:r>
      <w:r>
        <w:rPr>
          <w:spacing w:val="-1"/>
        </w:rPr>
        <w:t xml:space="preserve"> </w:t>
      </w:r>
      <w:r>
        <w:t>of removing causal anomalies from any given body of data.</w:t>
      </w:r>
    </w:p>
    <w:p w14:paraId="7E002BD8" w14:textId="77777777" w:rsidR="009A58DB" w:rsidRDefault="00000000">
      <w:pPr>
        <w:pStyle w:val="BodyText"/>
        <w:spacing w:before="12" w:line="249" w:lineRule="auto"/>
        <w:ind w:right="359" w:firstLine="360"/>
      </w:pPr>
      <w:r>
        <w:t>Thus interpreted, Quine’s thesis is clearly false. The acne of each of the millions of acne-sufferers who takes medication X gets ten times worse within ten minutes of the time at which said acne-sufferer takes X. Theory T entails that anyone who has acne who takes X will immediately be cured of his acne forever. Rival theory T* entails that theory T is false. According to Quine,</w:t>
      </w:r>
      <w:r>
        <w:rPr>
          <w:spacing w:val="78"/>
        </w:rPr>
        <w:t xml:space="preserve"> </w:t>
      </w:r>
      <w:r>
        <w:t>by</w:t>
      </w:r>
      <w:r>
        <w:rPr>
          <w:spacing w:val="78"/>
        </w:rPr>
        <w:t xml:space="preserve"> </w:t>
      </w:r>
      <w:r>
        <w:t>tinkering</w:t>
      </w:r>
      <w:r>
        <w:rPr>
          <w:spacing w:val="78"/>
        </w:rPr>
        <w:t xml:space="preserve"> </w:t>
      </w:r>
      <w:r>
        <w:t>around</w:t>
      </w:r>
      <w:r>
        <w:rPr>
          <w:spacing w:val="78"/>
        </w:rPr>
        <w:t xml:space="preserve"> </w:t>
      </w:r>
      <w:r>
        <w:t>with</w:t>
      </w:r>
      <w:r>
        <w:rPr>
          <w:spacing w:val="78"/>
        </w:rPr>
        <w:t xml:space="preserve"> </w:t>
      </w:r>
      <w:r>
        <w:t>background</w:t>
      </w:r>
      <w:r>
        <w:rPr>
          <w:spacing w:val="78"/>
        </w:rPr>
        <w:t xml:space="preserve"> </w:t>
      </w:r>
      <w:r>
        <w:t>assumptions,</w:t>
      </w:r>
      <w:r>
        <w:rPr>
          <w:spacing w:val="78"/>
        </w:rPr>
        <w:t xml:space="preserve"> </w:t>
      </w:r>
      <w:r>
        <w:t>T</w:t>
      </w:r>
      <w:r>
        <w:rPr>
          <w:spacing w:val="78"/>
        </w:rPr>
        <w:t xml:space="preserve"> </w:t>
      </w:r>
      <w:r>
        <w:t>models</w:t>
      </w:r>
      <w:r>
        <w:rPr>
          <w:spacing w:val="79"/>
        </w:rPr>
        <w:t xml:space="preserve"> </w:t>
      </w:r>
      <w:r>
        <w:rPr>
          <w:spacing w:val="-5"/>
        </w:rPr>
        <w:t>the</w:t>
      </w:r>
    </w:p>
    <w:p w14:paraId="7E002BD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DA" w14:textId="77777777" w:rsidR="009A58DB" w:rsidRDefault="00000000">
      <w:pPr>
        <w:pStyle w:val="BodyText"/>
        <w:spacing w:before="65"/>
      </w:pPr>
      <w:r>
        <w:lastRenderedPageBreak/>
        <w:t>observational</w:t>
      </w:r>
      <w:r>
        <w:rPr>
          <w:spacing w:val="-6"/>
        </w:rPr>
        <w:t xml:space="preserve"> </w:t>
      </w:r>
      <w:r>
        <w:t>data</w:t>
      </w:r>
      <w:r>
        <w:rPr>
          <w:spacing w:val="-4"/>
        </w:rPr>
        <w:t xml:space="preserve"> </w:t>
      </w:r>
      <w:r>
        <w:t>as</w:t>
      </w:r>
      <w:r>
        <w:rPr>
          <w:spacing w:val="-4"/>
        </w:rPr>
        <w:t xml:space="preserve"> </w:t>
      </w:r>
      <w:r>
        <w:t>well</w:t>
      </w:r>
      <w:r>
        <w:rPr>
          <w:spacing w:val="-4"/>
        </w:rPr>
        <w:t xml:space="preserve"> </w:t>
      </w:r>
      <w:r>
        <w:t>as</w:t>
      </w:r>
      <w:r>
        <w:rPr>
          <w:spacing w:val="-4"/>
        </w:rPr>
        <w:t xml:space="preserve"> </w:t>
      </w:r>
      <w:r>
        <w:t>T*.</w:t>
      </w:r>
      <w:r>
        <w:rPr>
          <w:spacing w:val="-3"/>
        </w:rPr>
        <w:t xml:space="preserve"> </w:t>
      </w:r>
      <w:r>
        <w:t>But</w:t>
      </w:r>
      <w:r>
        <w:rPr>
          <w:spacing w:val="-4"/>
        </w:rPr>
        <w:t xml:space="preserve"> </w:t>
      </w:r>
      <w:r>
        <w:t>that’s</w:t>
      </w:r>
      <w:r>
        <w:rPr>
          <w:spacing w:val="-4"/>
        </w:rPr>
        <w:t xml:space="preserve"> </w:t>
      </w:r>
      <w:r>
        <w:t>clearly</w:t>
      </w:r>
      <w:r>
        <w:rPr>
          <w:spacing w:val="-2"/>
        </w:rPr>
        <w:t xml:space="preserve"> false.</w:t>
      </w:r>
    </w:p>
    <w:p w14:paraId="7E002BDB" w14:textId="77777777" w:rsidR="009A58DB" w:rsidRDefault="00000000">
      <w:pPr>
        <w:pStyle w:val="BodyText"/>
        <w:spacing w:before="15" w:line="249" w:lineRule="auto"/>
        <w:ind w:right="358" w:firstLine="360"/>
      </w:pPr>
      <w:r>
        <w:t>Quine says that, in situations like this, we should “plead hallucination.” In other words, we should assume that the observations in question, most of which are had by people who do not otherwise have any history of hallucinations, are hallucinations. If we make this assumption, we’re stuck with a huge number of otherwise non-existent anomalies. We’re stuck having to explain, or to regard it as incapable of explanation, why it is that people who never had hallucinations before all of a sudden started hallucinating; and we are also stuck having to explain/regard as inexplicable why it is that people who did have hallucinations before all of a sudden started having acne-related hallucinations that, in terms of their content and in terms of their etiology, are completely unlike the hallucinations they had previously.</w:t>
      </w:r>
    </w:p>
    <w:p w14:paraId="7E002BDC" w14:textId="77777777" w:rsidR="009A58DB" w:rsidRDefault="009A58DB">
      <w:pPr>
        <w:pStyle w:val="BodyText"/>
        <w:spacing w:before="28"/>
        <w:ind w:left="0"/>
        <w:jc w:val="left"/>
      </w:pPr>
    </w:p>
    <w:p w14:paraId="7E002BDD" w14:textId="77777777" w:rsidR="009A58DB" w:rsidRDefault="00000000">
      <w:pPr>
        <w:spacing w:line="249" w:lineRule="auto"/>
        <w:ind w:left="360" w:right="364"/>
        <w:jc w:val="both"/>
        <w:rPr>
          <w:i/>
          <w:sz w:val="30"/>
        </w:rPr>
      </w:pPr>
      <w:r>
        <w:rPr>
          <w:b/>
          <w:i/>
          <w:sz w:val="30"/>
        </w:rPr>
        <w:t xml:space="preserve">Empirical knowledge, analytic knowledge, synthetic, a priori, a posteriori: </w:t>
      </w:r>
      <w:r>
        <w:rPr>
          <w:sz w:val="30"/>
        </w:rPr>
        <w:t xml:space="preserve">Empirical knowledge is knowledge that is based at least partly on the testimony of the senses. Not all knowledge is empirical; some is </w:t>
      </w:r>
      <w:r>
        <w:rPr>
          <w:i/>
          <w:sz w:val="30"/>
        </w:rPr>
        <w:t>analytic.</w:t>
      </w:r>
    </w:p>
    <w:p w14:paraId="7E002BDE" w14:textId="77777777" w:rsidR="009A58DB" w:rsidRDefault="00000000">
      <w:pPr>
        <w:pStyle w:val="BodyText"/>
        <w:spacing w:before="4" w:line="249" w:lineRule="auto"/>
        <w:ind w:right="371" w:firstLine="360"/>
      </w:pPr>
      <w:r>
        <w:t>Analytic knowledge is knowledge that is arrived at strictly through the analysis of concepts.</w:t>
      </w:r>
    </w:p>
    <w:p w14:paraId="7E002BDF" w14:textId="77777777" w:rsidR="009A58DB" w:rsidRDefault="00000000">
      <w:pPr>
        <w:pStyle w:val="BodyText"/>
        <w:spacing w:before="2"/>
        <w:ind w:left="720"/>
      </w:pPr>
      <w:r>
        <w:t>Synthetic</w:t>
      </w:r>
      <w:r>
        <w:rPr>
          <w:spacing w:val="-7"/>
        </w:rPr>
        <w:t xml:space="preserve"> </w:t>
      </w:r>
      <w:r>
        <w:t>knowledge</w:t>
      </w:r>
      <w:r>
        <w:rPr>
          <w:spacing w:val="-5"/>
        </w:rPr>
        <w:t xml:space="preserve"> </w:t>
      </w:r>
      <w:r>
        <w:t>is</w:t>
      </w:r>
      <w:r>
        <w:rPr>
          <w:spacing w:val="-5"/>
        </w:rPr>
        <w:t xml:space="preserve"> </w:t>
      </w:r>
      <w:r>
        <w:t>non-analytic</w:t>
      </w:r>
      <w:r>
        <w:rPr>
          <w:spacing w:val="-4"/>
        </w:rPr>
        <w:t xml:space="preserve"> </w:t>
      </w:r>
      <w:r>
        <w:rPr>
          <w:spacing w:val="-2"/>
        </w:rPr>
        <w:t>knowledge.</w:t>
      </w:r>
    </w:p>
    <w:p w14:paraId="7E002BE0" w14:textId="77777777" w:rsidR="009A58DB" w:rsidRDefault="00000000">
      <w:pPr>
        <w:pStyle w:val="BodyText"/>
        <w:spacing w:before="15" w:line="249" w:lineRule="auto"/>
        <w:ind w:right="359" w:firstLine="360"/>
      </w:pPr>
      <w:r>
        <w:t>A priori knowledge is knowledge that is constitutive of our cognitive machinery; it’s knowledge that is hardwired into us and that we therefore don’t acquire.</w:t>
      </w:r>
    </w:p>
    <w:p w14:paraId="7E002BE1" w14:textId="77777777" w:rsidR="009A58DB" w:rsidRDefault="00000000">
      <w:pPr>
        <w:pStyle w:val="BodyText"/>
        <w:spacing w:before="4"/>
        <w:ind w:left="720"/>
      </w:pPr>
      <w:r>
        <w:t>A</w:t>
      </w:r>
      <w:r>
        <w:rPr>
          <w:spacing w:val="-5"/>
        </w:rPr>
        <w:t xml:space="preserve"> </w:t>
      </w:r>
      <w:r>
        <w:t>posteriori</w:t>
      </w:r>
      <w:r>
        <w:rPr>
          <w:spacing w:val="-3"/>
        </w:rPr>
        <w:t xml:space="preserve"> </w:t>
      </w:r>
      <w:r>
        <w:t>knowledge</w:t>
      </w:r>
      <w:r>
        <w:rPr>
          <w:spacing w:val="-3"/>
        </w:rPr>
        <w:t xml:space="preserve"> </w:t>
      </w:r>
      <w:r>
        <w:t>is</w:t>
      </w:r>
      <w:r>
        <w:rPr>
          <w:spacing w:val="-3"/>
        </w:rPr>
        <w:t xml:space="preserve"> </w:t>
      </w:r>
      <w:r>
        <w:t>knowledge</w:t>
      </w:r>
      <w:r>
        <w:rPr>
          <w:spacing w:val="-2"/>
        </w:rPr>
        <w:t xml:space="preserve"> </w:t>
      </w:r>
      <w:r>
        <w:t>that</w:t>
      </w:r>
      <w:r>
        <w:rPr>
          <w:spacing w:val="-3"/>
        </w:rPr>
        <w:t xml:space="preserve"> </w:t>
      </w:r>
      <w:r>
        <w:t>is</w:t>
      </w:r>
      <w:r>
        <w:rPr>
          <w:spacing w:val="-3"/>
        </w:rPr>
        <w:t xml:space="preserve"> </w:t>
      </w:r>
      <w:r>
        <w:t>not</w:t>
      </w:r>
      <w:r>
        <w:rPr>
          <w:spacing w:val="-3"/>
        </w:rPr>
        <w:t xml:space="preserve"> </w:t>
      </w:r>
      <w:r>
        <w:t>a</w:t>
      </w:r>
      <w:r>
        <w:rPr>
          <w:spacing w:val="-2"/>
        </w:rPr>
        <w:t xml:space="preserve"> priori.</w:t>
      </w:r>
    </w:p>
    <w:p w14:paraId="7E002BE2" w14:textId="77777777" w:rsidR="009A58DB" w:rsidRDefault="009A58DB">
      <w:pPr>
        <w:pStyle w:val="BodyText"/>
        <w:spacing w:before="30"/>
        <w:ind w:left="0"/>
        <w:jc w:val="left"/>
      </w:pPr>
    </w:p>
    <w:p w14:paraId="7E002BE3" w14:textId="77777777" w:rsidR="009A58DB" w:rsidRDefault="00000000">
      <w:pPr>
        <w:pStyle w:val="BodyText"/>
        <w:spacing w:line="249" w:lineRule="auto"/>
        <w:ind w:right="364"/>
      </w:pPr>
      <w:r>
        <w:rPr>
          <w:b/>
          <w:i/>
        </w:rPr>
        <w:t xml:space="preserve">Empirical truth: </w:t>
      </w:r>
      <w:r>
        <w:t>An empirical truth is one that can be known only through sensory observation. It is only on the basis of sense-perception that one can know</w:t>
      </w:r>
      <w:r>
        <w:rPr>
          <w:spacing w:val="-4"/>
        </w:rPr>
        <w:t xml:space="preserve"> </w:t>
      </w:r>
      <w:r>
        <w:t>that</w:t>
      </w:r>
      <w:r>
        <w:rPr>
          <w:spacing w:val="-4"/>
        </w:rPr>
        <w:t xml:space="preserve"> </w:t>
      </w:r>
      <w:r>
        <w:t>Barack</w:t>
      </w:r>
      <w:r>
        <w:rPr>
          <w:spacing w:val="-3"/>
        </w:rPr>
        <w:t xml:space="preserve"> </w:t>
      </w:r>
      <w:r>
        <w:t>Obama</w:t>
      </w:r>
      <w:r>
        <w:rPr>
          <w:spacing w:val="-4"/>
        </w:rPr>
        <w:t xml:space="preserve"> </w:t>
      </w:r>
      <w:r>
        <w:t>is</w:t>
      </w:r>
      <w:r>
        <w:rPr>
          <w:spacing w:val="-4"/>
        </w:rPr>
        <w:t xml:space="preserve"> </w:t>
      </w:r>
      <w:r>
        <w:t>currently</w:t>
      </w:r>
      <w:r>
        <w:rPr>
          <w:spacing w:val="-3"/>
        </w:rPr>
        <w:t xml:space="preserve"> </w:t>
      </w:r>
      <w:r>
        <w:t>the</w:t>
      </w:r>
      <w:r>
        <w:rPr>
          <w:spacing w:val="-4"/>
        </w:rPr>
        <w:t xml:space="preserve"> </w:t>
      </w:r>
      <w:r>
        <w:t>U.S.</w:t>
      </w:r>
      <w:r>
        <w:rPr>
          <w:spacing w:val="-3"/>
        </w:rPr>
        <w:t xml:space="preserve"> </w:t>
      </w:r>
      <w:r>
        <w:t>President.</w:t>
      </w:r>
      <w:r>
        <w:rPr>
          <w:spacing w:val="-3"/>
        </w:rPr>
        <w:t xml:space="preserve"> </w:t>
      </w:r>
      <w:r>
        <w:t>That</w:t>
      </w:r>
      <w:r>
        <w:rPr>
          <w:spacing w:val="-4"/>
        </w:rPr>
        <w:t xml:space="preserve"> </w:t>
      </w:r>
      <w:r>
        <w:t>is</w:t>
      </w:r>
      <w:r>
        <w:rPr>
          <w:spacing w:val="-4"/>
        </w:rPr>
        <w:t xml:space="preserve"> </w:t>
      </w:r>
      <w:r>
        <w:t>why</w:t>
      </w:r>
      <w:r>
        <w:rPr>
          <w:spacing w:val="-3"/>
        </w:rPr>
        <w:t xml:space="preserve"> </w:t>
      </w:r>
      <w:r>
        <w:t>“Barack Obama is currently the U.S. President” expresses an empirical truth. See “analytic truth.”</w:t>
      </w:r>
    </w:p>
    <w:p w14:paraId="7E002BE4" w14:textId="77777777" w:rsidR="009A58DB" w:rsidRDefault="009A58DB">
      <w:pPr>
        <w:pStyle w:val="BodyText"/>
        <w:spacing w:before="21"/>
        <w:ind w:left="0"/>
        <w:jc w:val="left"/>
      </w:pPr>
    </w:p>
    <w:p w14:paraId="7E002BE5" w14:textId="77777777" w:rsidR="009A58DB" w:rsidRDefault="00000000">
      <w:pPr>
        <w:pStyle w:val="BodyText"/>
        <w:spacing w:line="249" w:lineRule="auto"/>
        <w:ind w:right="365"/>
      </w:pPr>
      <w:r>
        <w:rPr>
          <w:b/>
          <w:i/>
        </w:rPr>
        <w:t xml:space="preserve">Empiricism: </w:t>
      </w:r>
      <w:r>
        <w:t>The doctrine that all knowledge is derived from sense-perception. See “rationalism” and “sense-perception.”</w:t>
      </w:r>
    </w:p>
    <w:p w14:paraId="7E002BE6" w14:textId="77777777" w:rsidR="009A58DB" w:rsidRDefault="009A58DB">
      <w:pPr>
        <w:pStyle w:val="BodyText"/>
        <w:spacing w:before="18"/>
        <w:ind w:left="0"/>
        <w:jc w:val="left"/>
      </w:pPr>
    </w:p>
    <w:p w14:paraId="7E002BE7" w14:textId="77777777" w:rsidR="009A58DB" w:rsidRDefault="00000000">
      <w:pPr>
        <w:pStyle w:val="BodyText"/>
        <w:spacing w:line="249" w:lineRule="auto"/>
        <w:ind w:right="364"/>
      </w:pPr>
      <w:r>
        <w:t>Commentary: Many hold that it’s “scientific” to accept empiricism and “unscientific” to reject it. If, by “scientific,” one means “indicative of an inability to grasp principles of any sophistication,” this is correct. Otherwise,</w:t>
      </w:r>
    </w:p>
    <w:p w14:paraId="7E002BE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BE9" w14:textId="77777777" w:rsidR="009A58DB" w:rsidRDefault="00000000">
      <w:pPr>
        <w:pStyle w:val="BodyText"/>
        <w:spacing w:before="65" w:line="249" w:lineRule="auto"/>
        <w:ind w:right="359"/>
      </w:pPr>
      <w:r>
        <w:lastRenderedPageBreak/>
        <w:t xml:space="preserve">it’s false. If all knowledge were observation-based, knowledge of that very fact couldn’t be observation-based. In order for observation to tell you anything, it must be presupposed that observation is a source of knowledge. Therefore, observation can tell you that observation is the only source of knowledge </w:t>
      </w:r>
      <w:r>
        <w:rPr>
          <w:i/>
        </w:rPr>
        <w:t xml:space="preserve">only </w:t>
      </w:r>
      <w:r>
        <w:t>if it’s known independently of observation that observation</w:t>
      </w:r>
      <w:r>
        <w:rPr>
          <w:spacing w:val="40"/>
        </w:rPr>
        <w:t xml:space="preserve"> </w:t>
      </w:r>
      <w:r>
        <w:t>is the only source of knowledge. So, were it known that all knowledge was observation-based, it wouldn’t be a truth that all knowledge was observation-based. Therefore, empiricism, if true, is either false or it cannot be known to be true. Therefore, empiricism is incoherent, and therefore false, or false. Therefore, it’s false.</w:t>
      </w:r>
    </w:p>
    <w:p w14:paraId="7E002BEA" w14:textId="77777777" w:rsidR="009A58DB" w:rsidRDefault="009A58DB">
      <w:pPr>
        <w:pStyle w:val="BodyText"/>
        <w:spacing w:before="27"/>
        <w:ind w:left="0"/>
        <w:jc w:val="left"/>
      </w:pPr>
    </w:p>
    <w:p w14:paraId="7E002BEB" w14:textId="77777777" w:rsidR="009A58DB" w:rsidRDefault="00000000">
      <w:pPr>
        <w:pStyle w:val="BodyText"/>
        <w:spacing w:line="249" w:lineRule="auto"/>
        <w:ind w:right="358"/>
      </w:pPr>
      <w:r>
        <w:rPr>
          <w:b/>
          <w:i/>
        </w:rPr>
        <w:t xml:space="preserve">Encode: </w:t>
      </w:r>
      <w:r>
        <w:t>Anything that has a meaning is said to encode it. The content of a perception (i.e., what it tells you) is what it is “coded into it” (i.e., is what is encoded in it).</w:t>
      </w:r>
    </w:p>
    <w:p w14:paraId="7E002BEC" w14:textId="77777777" w:rsidR="009A58DB" w:rsidRDefault="009A58DB">
      <w:pPr>
        <w:pStyle w:val="BodyText"/>
        <w:spacing w:before="18"/>
        <w:ind w:left="0"/>
        <w:jc w:val="left"/>
      </w:pPr>
    </w:p>
    <w:p w14:paraId="7E002BED" w14:textId="77777777" w:rsidR="009A58DB" w:rsidRDefault="00000000">
      <w:pPr>
        <w:spacing w:before="1" w:line="249" w:lineRule="auto"/>
        <w:ind w:left="360" w:right="360"/>
        <w:jc w:val="both"/>
        <w:rPr>
          <w:sz w:val="30"/>
        </w:rPr>
      </w:pPr>
      <w:r>
        <w:rPr>
          <w:b/>
          <w:i/>
          <w:sz w:val="30"/>
        </w:rPr>
        <w:t>Entailment/entails:</w:t>
      </w:r>
      <w:r>
        <w:rPr>
          <w:b/>
          <w:i/>
          <w:spacing w:val="-4"/>
          <w:sz w:val="30"/>
        </w:rPr>
        <w:t xml:space="preserve"> </w:t>
      </w:r>
      <w:r>
        <w:rPr>
          <w:sz w:val="30"/>
        </w:rPr>
        <w:t xml:space="preserve">P entails Q just in case it’s impossible for Q to be false if P is true. Thus </w:t>
      </w:r>
      <w:r>
        <w:rPr>
          <w:i/>
          <w:sz w:val="30"/>
        </w:rPr>
        <w:t xml:space="preserve">Smith has five cars </w:t>
      </w:r>
      <w:r>
        <w:rPr>
          <w:sz w:val="30"/>
        </w:rPr>
        <w:t>entails</w:t>
      </w:r>
      <w:r>
        <w:rPr>
          <w:spacing w:val="-3"/>
          <w:sz w:val="30"/>
        </w:rPr>
        <w:t xml:space="preserve"> </w:t>
      </w:r>
      <w:r>
        <w:rPr>
          <w:i/>
          <w:sz w:val="30"/>
        </w:rPr>
        <w:t>Smith has more than one car</w:t>
      </w:r>
      <w:r>
        <w:rPr>
          <w:sz w:val="30"/>
        </w:rPr>
        <w:t>, since it isn’t possible for the second to be false if the first is true.</w:t>
      </w:r>
    </w:p>
    <w:p w14:paraId="7E002BEE" w14:textId="77777777" w:rsidR="009A58DB" w:rsidRDefault="00000000">
      <w:pPr>
        <w:pStyle w:val="BodyText"/>
        <w:spacing w:before="3"/>
      </w:pPr>
      <w:r>
        <w:t>P</w:t>
      </w:r>
      <w:r>
        <w:rPr>
          <w:spacing w:val="-6"/>
        </w:rPr>
        <w:t xml:space="preserve"> </w:t>
      </w:r>
      <w:r>
        <w:t>entails</w:t>
      </w:r>
      <w:r>
        <w:rPr>
          <w:spacing w:val="-3"/>
        </w:rPr>
        <w:t xml:space="preserve"> </w:t>
      </w:r>
      <w:r>
        <w:t>Q</w:t>
      </w:r>
      <w:r>
        <w:rPr>
          <w:spacing w:val="-3"/>
        </w:rPr>
        <w:t xml:space="preserve"> </w:t>
      </w:r>
      <w:r>
        <w:t>if</w:t>
      </w:r>
      <w:r>
        <w:rPr>
          <w:spacing w:val="-3"/>
        </w:rPr>
        <w:t xml:space="preserve"> </w:t>
      </w:r>
      <w:r>
        <w:t>P</w:t>
      </w:r>
      <w:r>
        <w:rPr>
          <w:spacing w:val="-3"/>
        </w:rPr>
        <w:t xml:space="preserve"> </w:t>
      </w:r>
      <w:r>
        <w:t>is</w:t>
      </w:r>
      <w:r>
        <w:rPr>
          <w:spacing w:val="-4"/>
        </w:rPr>
        <w:t xml:space="preserve"> </w:t>
      </w:r>
      <w:r>
        <w:t>incompatible</w:t>
      </w:r>
      <w:r>
        <w:rPr>
          <w:spacing w:val="-3"/>
        </w:rPr>
        <w:t xml:space="preserve"> </w:t>
      </w:r>
      <w:r>
        <w:t>with</w:t>
      </w:r>
      <w:r>
        <w:rPr>
          <w:spacing w:val="-2"/>
        </w:rPr>
        <w:t xml:space="preserve"> </w:t>
      </w:r>
      <w:r>
        <w:t>not-Q.</w:t>
      </w:r>
      <w:r>
        <w:rPr>
          <w:spacing w:val="-2"/>
        </w:rPr>
        <w:t xml:space="preserve"> </w:t>
      </w:r>
      <w:r>
        <w:t>See</w:t>
      </w:r>
      <w:r>
        <w:rPr>
          <w:spacing w:val="-3"/>
        </w:rPr>
        <w:t xml:space="preserve"> </w:t>
      </w:r>
      <w:r>
        <w:rPr>
          <w:spacing w:val="-2"/>
        </w:rPr>
        <w:t>“incompatible.”</w:t>
      </w:r>
    </w:p>
    <w:p w14:paraId="7E002BEF" w14:textId="77777777" w:rsidR="009A58DB" w:rsidRDefault="009A58DB">
      <w:pPr>
        <w:pStyle w:val="BodyText"/>
        <w:spacing w:before="30"/>
        <w:ind w:left="0"/>
        <w:jc w:val="left"/>
      </w:pPr>
    </w:p>
    <w:p w14:paraId="7E002BF0" w14:textId="77777777" w:rsidR="009A58DB" w:rsidRDefault="00000000">
      <w:pPr>
        <w:spacing w:line="249" w:lineRule="auto"/>
        <w:ind w:left="360" w:right="364"/>
        <w:jc w:val="both"/>
        <w:rPr>
          <w:sz w:val="30"/>
        </w:rPr>
      </w:pPr>
      <w:r>
        <w:rPr>
          <w:b/>
          <w:i/>
          <w:sz w:val="30"/>
        </w:rPr>
        <w:t xml:space="preserve">Entailment (alternate definition): </w:t>
      </w:r>
      <w:r>
        <w:rPr>
          <w:sz w:val="30"/>
        </w:rPr>
        <w:t xml:space="preserve">P entails Q just in case there is no coherently conceivable circumstance where P is true and Q is false. So </w:t>
      </w:r>
      <w:r>
        <w:rPr>
          <w:i/>
          <w:sz w:val="30"/>
        </w:rPr>
        <w:t xml:space="preserve">x is a triangle </w:t>
      </w:r>
      <w:r>
        <w:rPr>
          <w:sz w:val="30"/>
        </w:rPr>
        <w:t xml:space="preserve">entails </w:t>
      </w:r>
      <w:r>
        <w:rPr>
          <w:i/>
          <w:sz w:val="30"/>
        </w:rPr>
        <w:t xml:space="preserve">x has three sides </w:t>
      </w:r>
      <w:r>
        <w:rPr>
          <w:sz w:val="30"/>
        </w:rPr>
        <w:t>because there is no coherently conceivable circumstance where the first is true and the second is false. See “coherently conceivable circumstance.”</w:t>
      </w:r>
    </w:p>
    <w:p w14:paraId="7E002BF1" w14:textId="77777777" w:rsidR="009A58DB" w:rsidRDefault="009A58DB">
      <w:pPr>
        <w:pStyle w:val="BodyText"/>
        <w:spacing w:before="21"/>
        <w:ind w:left="0"/>
        <w:jc w:val="left"/>
      </w:pPr>
    </w:p>
    <w:p w14:paraId="7E002BF2" w14:textId="77777777" w:rsidR="009A58DB" w:rsidRDefault="00000000">
      <w:pPr>
        <w:spacing w:before="1" w:line="249" w:lineRule="auto"/>
        <w:ind w:left="360" w:right="367"/>
        <w:jc w:val="both"/>
        <w:rPr>
          <w:sz w:val="30"/>
        </w:rPr>
      </w:pPr>
      <w:r>
        <w:rPr>
          <w:b/>
          <w:i/>
          <w:sz w:val="30"/>
        </w:rPr>
        <w:t xml:space="preserve">Entailment (Second alternative definition): </w:t>
      </w:r>
      <w:r>
        <w:rPr>
          <w:sz w:val="30"/>
        </w:rPr>
        <w:t xml:space="preserve">P entails the </w:t>
      </w:r>
      <w:r>
        <w:rPr>
          <w:i/>
          <w:sz w:val="30"/>
        </w:rPr>
        <w:t xml:space="preserve">negation </w:t>
      </w:r>
      <w:r>
        <w:rPr>
          <w:sz w:val="30"/>
        </w:rPr>
        <w:t>of Q just in case P and Q are incompatible. See “compatible.”</w:t>
      </w:r>
    </w:p>
    <w:p w14:paraId="7E002BF3" w14:textId="77777777" w:rsidR="009A58DB" w:rsidRDefault="009A58DB">
      <w:pPr>
        <w:pStyle w:val="BodyText"/>
        <w:spacing w:before="17"/>
        <w:ind w:left="0"/>
        <w:jc w:val="left"/>
      </w:pPr>
    </w:p>
    <w:p w14:paraId="7E002BF4" w14:textId="77777777" w:rsidR="009A58DB" w:rsidRDefault="00000000">
      <w:pPr>
        <w:pStyle w:val="BodyText"/>
        <w:spacing w:line="249" w:lineRule="auto"/>
        <w:ind w:right="361"/>
      </w:pPr>
      <w:r>
        <w:rPr>
          <w:b/>
          <w:i/>
        </w:rPr>
        <w:t xml:space="preserve">Epistemic operator: </w:t>
      </w:r>
      <w:r>
        <w:t xml:space="preserve">An </w:t>
      </w:r>
      <w:r>
        <w:rPr>
          <w:i/>
        </w:rPr>
        <w:t xml:space="preserve">epistemic </w:t>
      </w:r>
      <w:r>
        <w:t>operator is one that, when joined with a sentence, yields a sentence that describes somebody’s beliefs or thoughts or feelings about the proposition expressed by the original sentence. Thus,</w:t>
      </w:r>
      <w:r>
        <w:rPr>
          <w:spacing w:val="40"/>
        </w:rPr>
        <w:t xml:space="preserve"> </w:t>
      </w:r>
      <w:r>
        <w:t>“Jerry believes” is an epistemic operator, since, when placed in front of “that 1 + 1 = 2,” yields:</w:t>
      </w:r>
    </w:p>
    <w:p w14:paraId="7E002BF5" w14:textId="77777777" w:rsidR="009A58DB" w:rsidRDefault="009A58DB">
      <w:pPr>
        <w:pStyle w:val="BodyText"/>
        <w:spacing w:before="21"/>
        <w:ind w:left="0"/>
        <w:jc w:val="left"/>
      </w:pPr>
    </w:p>
    <w:p w14:paraId="7E002BF6" w14:textId="77777777" w:rsidR="009A58DB" w:rsidRDefault="00000000">
      <w:pPr>
        <w:pStyle w:val="ListParagraph"/>
        <w:numPr>
          <w:ilvl w:val="0"/>
          <w:numId w:val="21"/>
        </w:numPr>
        <w:tabs>
          <w:tab w:val="left" w:pos="879"/>
        </w:tabs>
        <w:ind w:left="879" w:hanging="519"/>
        <w:rPr>
          <w:sz w:val="30"/>
        </w:rPr>
      </w:pPr>
      <w:r>
        <w:rPr>
          <w:sz w:val="30"/>
        </w:rPr>
        <w:t>“Jerry</w:t>
      </w:r>
      <w:r>
        <w:rPr>
          <w:spacing w:val="-4"/>
          <w:sz w:val="30"/>
        </w:rPr>
        <w:t xml:space="preserve"> </w:t>
      </w:r>
      <w:r>
        <w:rPr>
          <w:sz w:val="30"/>
        </w:rPr>
        <w:t>believes</w:t>
      </w:r>
      <w:r>
        <w:rPr>
          <w:spacing w:val="-3"/>
          <w:sz w:val="30"/>
        </w:rPr>
        <w:t xml:space="preserve"> </w:t>
      </w:r>
      <w:r>
        <w:rPr>
          <w:i/>
          <w:sz w:val="30"/>
        </w:rPr>
        <w:t>that</w:t>
      </w:r>
      <w:r>
        <w:rPr>
          <w:i/>
          <w:spacing w:val="-2"/>
          <w:sz w:val="30"/>
        </w:rPr>
        <w:t xml:space="preserve"> </w:t>
      </w:r>
      <w:r>
        <w:rPr>
          <w:i/>
          <w:sz w:val="30"/>
        </w:rPr>
        <w:t>1</w:t>
      </w:r>
      <w:r>
        <w:rPr>
          <w:i/>
          <w:spacing w:val="-2"/>
          <w:sz w:val="30"/>
        </w:rPr>
        <w:t xml:space="preserve"> </w:t>
      </w:r>
      <w:r>
        <w:rPr>
          <w:i/>
          <w:sz w:val="30"/>
        </w:rPr>
        <w:t>+</w:t>
      </w:r>
      <w:r>
        <w:rPr>
          <w:i/>
          <w:spacing w:val="-2"/>
          <w:sz w:val="30"/>
        </w:rPr>
        <w:t xml:space="preserve"> </w:t>
      </w:r>
      <w:r>
        <w:rPr>
          <w:i/>
          <w:sz w:val="30"/>
        </w:rPr>
        <w:t>1</w:t>
      </w:r>
      <w:r>
        <w:rPr>
          <w:i/>
          <w:spacing w:val="-2"/>
          <w:sz w:val="30"/>
        </w:rPr>
        <w:t xml:space="preserve"> </w:t>
      </w:r>
      <w:r>
        <w:rPr>
          <w:i/>
          <w:sz w:val="30"/>
        </w:rPr>
        <w:t>=</w:t>
      </w:r>
      <w:r>
        <w:rPr>
          <w:i/>
          <w:spacing w:val="-2"/>
          <w:sz w:val="30"/>
        </w:rPr>
        <w:t xml:space="preserve"> </w:t>
      </w:r>
      <w:r>
        <w:rPr>
          <w:i/>
          <w:spacing w:val="-5"/>
          <w:sz w:val="30"/>
        </w:rPr>
        <w:t>2</w:t>
      </w:r>
      <w:r>
        <w:rPr>
          <w:spacing w:val="-5"/>
          <w:sz w:val="30"/>
        </w:rPr>
        <w:t>,”</w:t>
      </w:r>
    </w:p>
    <w:p w14:paraId="7E002BF7"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BF8" w14:textId="77777777" w:rsidR="009A58DB" w:rsidRDefault="00000000">
      <w:pPr>
        <w:pStyle w:val="BodyText"/>
        <w:spacing w:before="65"/>
      </w:pPr>
      <w:r>
        <w:lastRenderedPageBreak/>
        <w:t>which</w:t>
      </w:r>
      <w:r>
        <w:rPr>
          <w:spacing w:val="28"/>
        </w:rPr>
        <w:t xml:space="preserve"> </w:t>
      </w:r>
      <w:r>
        <w:t>describes</w:t>
      </w:r>
      <w:r>
        <w:rPr>
          <w:spacing w:val="30"/>
        </w:rPr>
        <w:t xml:space="preserve"> </w:t>
      </w:r>
      <w:r>
        <w:t>Jerry’s</w:t>
      </w:r>
      <w:r>
        <w:rPr>
          <w:spacing w:val="30"/>
        </w:rPr>
        <w:t xml:space="preserve"> </w:t>
      </w:r>
      <w:r>
        <w:t>attitude</w:t>
      </w:r>
      <w:r>
        <w:rPr>
          <w:spacing w:val="31"/>
        </w:rPr>
        <w:t xml:space="preserve"> </w:t>
      </w:r>
      <w:r>
        <w:t>towards</w:t>
      </w:r>
      <w:r>
        <w:rPr>
          <w:spacing w:val="30"/>
        </w:rPr>
        <w:t xml:space="preserve"> </w:t>
      </w:r>
      <w:r>
        <w:t>the</w:t>
      </w:r>
      <w:r>
        <w:rPr>
          <w:spacing w:val="30"/>
        </w:rPr>
        <w:t xml:space="preserve"> </w:t>
      </w:r>
      <w:r>
        <w:t>proposition</w:t>
      </w:r>
      <w:r>
        <w:rPr>
          <w:spacing w:val="30"/>
        </w:rPr>
        <w:t xml:space="preserve"> </w:t>
      </w:r>
      <w:r>
        <w:t>meant</w:t>
      </w:r>
      <w:r>
        <w:rPr>
          <w:spacing w:val="31"/>
        </w:rPr>
        <w:t xml:space="preserve"> </w:t>
      </w:r>
      <w:r>
        <w:t>by</w:t>
      </w:r>
      <w:r>
        <w:rPr>
          <w:spacing w:val="30"/>
        </w:rPr>
        <w:t xml:space="preserve"> </w:t>
      </w:r>
      <w:r>
        <w:t>“1</w:t>
      </w:r>
      <w:r>
        <w:rPr>
          <w:spacing w:val="30"/>
        </w:rPr>
        <w:t xml:space="preserve"> </w:t>
      </w:r>
      <w:r>
        <w:t>+</w:t>
      </w:r>
      <w:r>
        <w:rPr>
          <w:spacing w:val="30"/>
        </w:rPr>
        <w:t xml:space="preserve"> </w:t>
      </w:r>
      <w:r>
        <w:t>1</w:t>
      </w:r>
      <w:r>
        <w:rPr>
          <w:spacing w:val="31"/>
        </w:rPr>
        <w:t xml:space="preserve"> </w:t>
      </w:r>
      <w:r>
        <w:rPr>
          <w:spacing w:val="-10"/>
        </w:rPr>
        <w:t>=</w:t>
      </w:r>
    </w:p>
    <w:p w14:paraId="7E002BF9" w14:textId="77777777" w:rsidR="009A58DB" w:rsidRDefault="00000000">
      <w:pPr>
        <w:spacing w:before="15" w:line="249" w:lineRule="auto"/>
        <w:ind w:left="360" w:right="359"/>
        <w:jc w:val="both"/>
        <w:rPr>
          <w:sz w:val="30"/>
        </w:rPr>
      </w:pPr>
      <w:r>
        <w:rPr>
          <w:sz w:val="30"/>
        </w:rPr>
        <w:t>2.” And “Laura fears that” is an epistemic operator since, when placed in front of “</w:t>
      </w:r>
      <w:r>
        <w:rPr>
          <w:i/>
          <w:sz w:val="30"/>
        </w:rPr>
        <w:t>that law school will be intolerably boring</w:t>
      </w:r>
      <w:r>
        <w:rPr>
          <w:sz w:val="30"/>
        </w:rPr>
        <w:t>” yields</w:t>
      </w:r>
    </w:p>
    <w:p w14:paraId="7E002BFA" w14:textId="77777777" w:rsidR="009A58DB" w:rsidRDefault="009A58DB">
      <w:pPr>
        <w:pStyle w:val="BodyText"/>
        <w:spacing w:before="17"/>
        <w:ind w:left="0"/>
        <w:jc w:val="left"/>
      </w:pPr>
    </w:p>
    <w:p w14:paraId="7E002BFB" w14:textId="77777777" w:rsidR="009A58DB" w:rsidRDefault="00000000">
      <w:pPr>
        <w:pStyle w:val="ListParagraph"/>
        <w:numPr>
          <w:ilvl w:val="0"/>
          <w:numId w:val="21"/>
        </w:numPr>
        <w:tabs>
          <w:tab w:val="left" w:pos="865"/>
        </w:tabs>
        <w:ind w:left="865" w:hanging="505"/>
        <w:rPr>
          <w:sz w:val="30"/>
        </w:rPr>
      </w:pPr>
      <w:r>
        <w:rPr>
          <w:sz w:val="30"/>
        </w:rPr>
        <w:t>“Laura</w:t>
      </w:r>
      <w:r>
        <w:rPr>
          <w:spacing w:val="-6"/>
          <w:sz w:val="30"/>
        </w:rPr>
        <w:t xml:space="preserve"> </w:t>
      </w:r>
      <w:r>
        <w:rPr>
          <w:sz w:val="30"/>
        </w:rPr>
        <w:t>fears</w:t>
      </w:r>
      <w:r>
        <w:rPr>
          <w:spacing w:val="-4"/>
          <w:sz w:val="30"/>
        </w:rPr>
        <w:t xml:space="preserve"> </w:t>
      </w:r>
      <w:r>
        <w:rPr>
          <w:i/>
          <w:sz w:val="30"/>
        </w:rPr>
        <w:t>that</w:t>
      </w:r>
      <w:r>
        <w:rPr>
          <w:i/>
          <w:spacing w:val="-3"/>
          <w:sz w:val="30"/>
        </w:rPr>
        <w:t xml:space="preserve"> </w:t>
      </w:r>
      <w:r>
        <w:rPr>
          <w:i/>
          <w:sz w:val="30"/>
        </w:rPr>
        <w:t>law</w:t>
      </w:r>
      <w:r>
        <w:rPr>
          <w:i/>
          <w:spacing w:val="-4"/>
          <w:sz w:val="30"/>
        </w:rPr>
        <w:t xml:space="preserve"> </w:t>
      </w:r>
      <w:r>
        <w:rPr>
          <w:i/>
          <w:sz w:val="30"/>
        </w:rPr>
        <w:t>school</w:t>
      </w:r>
      <w:r>
        <w:rPr>
          <w:i/>
          <w:spacing w:val="-4"/>
          <w:sz w:val="30"/>
        </w:rPr>
        <w:t xml:space="preserve"> </w:t>
      </w:r>
      <w:r>
        <w:rPr>
          <w:i/>
          <w:sz w:val="30"/>
        </w:rPr>
        <w:t>will</w:t>
      </w:r>
      <w:r>
        <w:rPr>
          <w:i/>
          <w:spacing w:val="-3"/>
          <w:sz w:val="30"/>
        </w:rPr>
        <w:t xml:space="preserve"> </w:t>
      </w:r>
      <w:r>
        <w:rPr>
          <w:i/>
          <w:sz w:val="30"/>
        </w:rPr>
        <w:t>be</w:t>
      </w:r>
      <w:r>
        <w:rPr>
          <w:i/>
          <w:spacing w:val="-4"/>
          <w:sz w:val="30"/>
        </w:rPr>
        <w:t xml:space="preserve"> </w:t>
      </w:r>
      <w:r>
        <w:rPr>
          <w:i/>
          <w:sz w:val="30"/>
        </w:rPr>
        <w:t>intolerably</w:t>
      </w:r>
      <w:r>
        <w:rPr>
          <w:i/>
          <w:spacing w:val="-3"/>
          <w:sz w:val="30"/>
        </w:rPr>
        <w:t xml:space="preserve"> </w:t>
      </w:r>
      <w:r>
        <w:rPr>
          <w:i/>
          <w:spacing w:val="-2"/>
          <w:sz w:val="30"/>
        </w:rPr>
        <w:t>boring</w:t>
      </w:r>
      <w:r>
        <w:rPr>
          <w:spacing w:val="-2"/>
          <w:sz w:val="30"/>
        </w:rPr>
        <w:t>,”</w:t>
      </w:r>
    </w:p>
    <w:p w14:paraId="7E002BFC" w14:textId="77777777" w:rsidR="009A58DB" w:rsidRDefault="009A58DB">
      <w:pPr>
        <w:pStyle w:val="BodyText"/>
        <w:spacing w:before="30"/>
        <w:ind w:left="0"/>
        <w:jc w:val="left"/>
      </w:pPr>
    </w:p>
    <w:p w14:paraId="7E002BFD" w14:textId="77777777" w:rsidR="009A58DB" w:rsidRDefault="00000000">
      <w:pPr>
        <w:pStyle w:val="BodyText"/>
        <w:spacing w:line="249" w:lineRule="auto"/>
        <w:ind w:right="364"/>
      </w:pPr>
      <w:r>
        <w:t>which describes Laura’s attitude towards the proposition meant by “that law school will be intolerably boring.”</w:t>
      </w:r>
    </w:p>
    <w:p w14:paraId="7E002BFE" w14:textId="77777777" w:rsidR="009A58DB" w:rsidRDefault="00000000">
      <w:pPr>
        <w:pStyle w:val="BodyText"/>
        <w:spacing w:before="3" w:line="249" w:lineRule="auto"/>
        <w:ind w:right="360" w:firstLine="360"/>
      </w:pPr>
      <w:r>
        <w:t>Any sentence containing an operator also contains an expression denoting a proposition; and, in that sentence, that operator is attributing some property to that proposition. (iii) contains the operator “it is possible that.” It also contains “that 1 + 1 = 2,” which denotes a proposition. And (iii) ascribes a property (that of being possible) to that proposition. See “modal operator”</w:t>
      </w:r>
      <w:r>
        <w:rPr>
          <w:spacing w:val="40"/>
        </w:rPr>
        <w:t xml:space="preserve"> </w:t>
      </w:r>
      <w:r>
        <w:t>and “operator.”</w:t>
      </w:r>
    </w:p>
    <w:p w14:paraId="7E002BFF" w14:textId="77777777" w:rsidR="009A58DB" w:rsidRDefault="009A58DB">
      <w:pPr>
        <w:pStyle w:val="BodyText"/>
        <w:spacing w:before="22"/>
        <w:ind w:left="0"/>
        <w:jc w:val="left"/>
      </w:pPr>
    </w:p>
    <w:p w14:paraId="7E002C00" w14:textId="77777777" w:rsidR="009A58DB" w:rsidRDefault="00000000">
      <w:pPr>
        <w:pStyle w:val="BodyText"/>
        <w:spacing w:line="249" w:lineRule="auto"/>
        <w:ind w:right="358"/>
      </w:pPr>
      <w:r>
        <w:rPr>
          <w:b/>
          <w:i/>
        </w:rPr>
        <w:t>Equivalence:</w:t>
      </w:r>
      <w:r>
        <w:rPr>
          <w:b/>
          <w:i/>
          <w:spacing w:val="-4"/>
        </w:rPr>
        <w:t xml:space="preserve"> </w:t>
      </w:r>
      <w:r>
        <w:t>P</w:t>
      </w:r>
      <w:r>
        <w:rPr>
          <w:spacing w:val="-4"/>
        </w:rPr>
        <w:t xml:space="preserve"> </w:t>
      </w:r>
      <w:r>
        <w:t>and</w:t>
      </w:r>
      <w:r>
        <w:rPr>
          <w:spacing w:val="-3"/>
        </w:rPr>
        <w:t xml:space="preserve"> </w:t>
      </w:r>
      <w:r>
        <w:t>Q</w:t>
      </w:r>
      <w:r>
        <w:rPr>
          <w:spacing w:val="-4"/>
        </w:rPr>
        <w:t xml:space="preserve"> </w:t>
      </w:r>
      <w:r>
        <w:t>are</w:t>
      </w:r>
      <w:r>
        <w:rPr>
          <w:spacing w:val="-4"/>
        </w:rPr>
        <w:t xml:space="preserve"> </w:t>
      </w:r>
      <w:r>
        <w:t>equivalent</w:t>
      </w:r>
      <w:r>
        <w:rPr>
          <w:spacing w:val="-4"/>
        </w:rPr>
        <w:t xml:space="preserve"> </w:t>
      </w:r>
      <w:r>
        <w:t>if</w:t>
      </w:r>
      <w:r>
        <w:rPr>
          <w:spacing w:val="-4"/>
        </w:rPr>
        <w:t xml:space="preserve"> </w:t>
      </w:r>
      <w:r>
        <w:t>each</w:t>
      </w:r>
      <w:r>
        <w:rPr>
          <w:spacing w:val="-3"/>
        </w:rPr>
        <w:t xml:space="preserve"> </w:t>
      </w:r>
      <w:r>
        <w:t>entails</w:t>
      </w:r>
      <w:r>
        <w:rPr>
          <w:spacing w:val="-4"/>
        </w:rPr>
        <w:t xml:space="preserve"> </w:t>
      </w:r>
      <w:r>
        <w:t>the</w:t>
      </w:r>
      <w:r>
        <w:rPr>
          <w:spacing w:val="-4"/>
        </w:rPr>
        <w:t xml:space="preserve"> </w:t>
      </w:r>
      <w:r>
        <w:t>other.</w:t>
      </w:r>
      <w:r>
        <w:rPr>
          <w:spacing w:val="-3"/>
        </w:rPr>
        <w:t xml:space="preserve"> </w:t>
      </w:r>
      <w:r>
        <w:t>This</w:t>
      </w:r>
      <w:r>
        <w:rPr>
          <w:spacing w:val="-4"/>
        </w:rPr>
        <w:t xml:space="preserve"> </w:t>
      </w:r>
      <w:r>
        <w:t>means</w:t>
      </w:r>
      <w:r>
        <w:rPr>
          <w:spacing w:val="-4"/>
        </w:rPr>
        <w:t xml:space="preserve"> </w:t>
      </w:r>
      <w:r>
        <w:t xml:space="preserve">that there is no coherently conceivable situation where the one holds but the other does not. So </w:t>
      </w:r>
      <w:r>
        <w:rPr>
          <w:i/>
        </w:rPr>
        <w:t xml:space="preserve">1 + 1 = 2 </w:t>
      </w:r>
      <w:r>
        <w:t xml:space="preserve">and </w:t>
      </w:r>
      <w:r>
        <w:rPr>
          <w:i/>
        </w:rPr>
        <w:t xml:space="preserve">triangles have three sides </w:t>
      </w:r>
      <w:r>
        <w:t>are equivalent. Note: two statements that are equivalent may have little or nothing to do with each other in terms of content. We’ll revisit this point later. See “equivalent.”</w:t>
      </w:r>
    </w:p>
    <w:p w14:paraId="7E002C01" w14:textId="77777777" w:rsidR="009A58DB" w:rsidRDefault="009A58DB">
      <w:pPr>
        <w:pStyle w:val="BodyText"/>
        <w:spacing w:before="21"/>
        <w:ind w:left="0"/>
        <w:jc w:val="left"/>
      </w:pPr>
    </w:p>
    <w:p w14:paraId="7E002C02" w14:textId="77777777" w:rsidR="009A58DB" w:rsidRDefault="00000000">
      <w:pPr>
        <w:pStyle w:val="BodyText"/>
        <w:spacing w:line="249" w:lineRule="auto"/>
        <w:ind w:right="366"/>
      </w:pPr>
      <w:r>
        <w:rPr>
          <w:b/>
          <w:i/>
        </w:rPr>
        <w:t>Equivalent:</w:t>
      </w:r>
      <w:r>
        <w:rPr>
          <w:b/>
          <w:i/>
          <w:spacing w:val="-4"/>
        </w:rPr>
        <w:t xml:space="preserve"> </w:t>
      </w:r>
      <w:r>
        <w:t>Two statements are equivalent if they entail each other. P and Q are equivalent iff P↔Q</w:t>
      </w:r>
    </w:p>
    <w:p w14:paraId="7E002C03" w14:textId="77777777" w:rsidR="009A58DB" w:rsidRDefault="009A58DB">
      <w:pPr>
        <w:pStyle w:val="BodyText"/>
        <w:spacing w:before="18"/>
        <w:ind w:left="0"/>
        <w:jc w:val="left"/>
      </w:pPr>
    </w:p>
    <w:p w14:paraId="7E002C04" w14:textId="77777777" w:rsidR="009A58DB" w:rsidRDefault="00000000">
      <w:pPr>
        <w:pStyle w:val="BodyText"/>
        <w:spacing w:line="249" w:lineRule="auto"/>
        <w:ind w:right="358"/>
      </w:pPr>
      <w:r>
        <w:t xml:space="preserve">Commentary: Equivalent statements cannot differ in </w:t>
      </w:r>
      <w:r>
        <w:rPr>
          <w:i/>
        </w:rPr>
        <w:t xml:space="preserve">truth-value; </w:t>
      </w:r>
      <w:r>
        <w:t>in other words, they are both true or both false (one can’t be true while the other is false). But non-equivalent statements can have the same truth-value. (“JMK</w:t>
      </w:r>
      <w:r>
        <w:rPr>
          <w:spacing w:val="40"/>
        </w:rPr>
        <w:t xml:space="preserve"> </w:t>
      </w:r>
      <w:r>
        <w:t>is a U.S. citizen” is true, and so is “JMK is a philosopher professor.” But they’re not equivalent.).See “entails.”</w:t>
      </w:r>
    </w:p>
    <w:p w14:paraId="7E002C05" w14:textId="77777777" w:rsidR="009A58DB" w:rsidRDefault="009A58DB">
      <w:pPr>
        <w:pStyle w:val="BodyText"/>
        <w:spacing w:before="21"/>
        <w:ind w:left="0"/>
        <w:jc w:val="left"/>
      </w:pPr>
    </w:p>
    <w:p w14:paraId="7E002C06" w14:textId="77777777" w:rsidR="009A58DB" w:rsidRDefault="00000000">
      <w:pPr>
        <w:pStyle w:val="BodyText"/>
        <w:spacing w:line="249" w:lineRule="auto"/>
        <w:ind w:right="368"/>
      </w:pPr>
      <w:r>
        <w:rPr>
          <w:b/>
          <w:i/>
        </w:rPr>
        <w:t xml:space="preserve">“Exactly if”: </w:t>
      </w:r>
      <w:r>
        <w:t>A synonym of “iff” (which is short for “if and only if”) and “exactly if” and “just in case.” See “iff.”</w:t>
      </w:r>
    </w:p>
    <w:p w14:paraId="7E002C07" w14:textId="77777777" w:rsidR="009A58DB" w:rsidRDefault="009A58DB">
      <w:pPr>
        <w:pStyle w:val="BodyText"/>
        <w:spacing w:before="17"/>
        <w:ind w:left="0"/>
        <w:jc w:val="left"/>
      </w:pPr>
    </w:p>
    <w:p w14:paraId="7E002C08" w14:textId="77777777" w:rsidR="009A58DB" w:rsidRDefault="00000000">
      <w:pPr>
        <w:spacing w:line="249" w:lineRule="auto"/>
        <w:ind w:left="360" w:right="361"/>
        <w:jc w:val="both"/>
        <w:rPr>
          <w:sz w:val="30"/>
        </w:rPr>
      </w:pPr>
      <w:r>
        <w:rPr>
          <w:b/>
          <w:i/>
          <w:sz w:val="30"/>
        </w:rPr>
        <w:t xml:space="preserve">Existential generalization (first meaning): </w:t>
      </w:r>
      <w:r>
        <w:rPr>
          <w:sz w:val="30"/>
        </w:rPr>
        <w:t>It’s obvious that some sentences have</w:t>
      </w:r>
      <w:r>
        <w:rPr>
          <w:spacing w:val="40"/>
          <w:sz w:val="30"/>
        </w:rPr>
        <w:t xml:space="preserve"> </w:t>
      </w:r>
      <w:r>
        <w:rPr>
          <w:sz w:val="30"/>
        </w:rPr>
        <w:t>the</w:t>
      </w:r>
      <w:r>
        <w:rPr>
          <w:spacing w:val="40"/>
          <w:sz w:val="30"/>
        </w:rPr>
        <w:t xml:space="preserve"> </w:t>
      </w:r>
      <w:r>
        <w:rPr>
          <w:sz w:val="30"/>
        </w:rPr>
        <w:t>form</w:t>
      </w:r>
      <w:r>
        <w:rPr>
          <w:spacing w:val="40"/>
          <w:sz w:val="30"/>
        </w:rPr>
        <w:t xml:space="preserve"> </w:t>
      </w:r>
      <w:r>
        <w:rPr>
          <w:sz w:val="30"/>
        </w:rPr>
        <w:t>“there</w:t>
      </w:r>
      <w:r>
        <w:rPr>
          <w:spacing w:val="40"/>
          <w:sz w:val="30"/>
        </w:rPr>
        <w:t xml:space="preserve"> </w:t>
      </w:r>
      <w:r>
        <w:rPr>
          <w:sz w:val="30"/>
        </w:rPr>
        <w:t>is</w:t>
      </w:r>
      <w:r>
        <w:rPr>
          <w:spacing w:val="40"/>
          <w:sz w:val="30"/>
        </w:rPr>
        <w:t xml:space="preserve"> </w:t>
      </w:r>
      <w:r>
        <w:rPr>
          <w:sz w:val="30"/>
        </w:rPr>
        <w:t>at</w:t>
      </w:r>
      <w:r>
        <w:rPr>
          <w:spacing w:val="40"/>
          <w:sz w:val="30"/>
        </w:rPr>
        <w:t xml:space="preserve"> </w:t>
      </w:r>
      <w:r>
        <w:rPr>
          <w:sz w:val="30"/>
        </w:rPr>
        <w:t>least</w:t>
      </w:r>
      <w:r>
        <w:rPr>
          <w:spacing w:val="40"/>
          <w:sz w:val="30"/>
        </w:rPr>
        <w:t xml:space="preserve"> </w:t>
      </w:r>
      <w:r>
        <w:rPr>
          <w:sz w:val="30"/>
        </w:rPr>
        <w:t>one</w:t>
      </w:r>
      <w:r>
        <w:rPr>
          <w:spacing w:val="40"/>
          <w:sz w:val="30"/>
        </w:rPr>
        <w:t xml:space="preserve"> </w:t>
      </w:r>
      <w:r>
        <w:rPr>
          <w:sz w:val="30"/>
        </w:rPr>
        <w:t>thing</w:t>
      </w:r>
      <w:r>
        <w:rPr>
          <w:spacing w:val="40"/>
          <w:sz w:val="30"/>
        </w:rPr>
        <w:t xml:space="preserve"> </w:t>
      </w:r>
      <w:r>
        <w:rPr>
          <w:sz w:val="30"/>
        </w:rPr>
        <w:t>that</w:t>
      </w:r>
      <w:r>
        <w:rPr>
          <w:spacing w:val="40"/>
          <w:sz w:val="30"/>
        </w:rPr>
        <w:t xml:space="preserve"> </w:t>
      </w:r>
      <w:r>
        <w:rPr>
          <w:sz w:val="30"/>
        </w:rPr>
        <w:t>has</w:t>
      </w:r>
      <w:r>
        <w:rPr>
          <w:spacing w:val="40"/>
          <w:sz w:val="30"/>
        </w:rPr>
        <w:t xml:space="preserve"> </w:t>
      </w:r>
      <w:r>
        <w:rPr>
          <w:sz w:val="30"/>
        </w:rPr>
        <w:t>property</w:t>
      </w:r>
      <w:r>
        <w:rPr>
          <w:spacing w:val="40"/>
          <w:sz w:val="30"/>
        </w:rPr>
        <w:t xml:space="preserve"> </w:t>
      </w:r>
      <w:r>
        <w:rPr>
          <w:sz w:val="30"/>
        </w:rPr>
        <w:t>phi.”</w:t>
      </w:r>
      <w:r>
        <w:rPr>
          <w:spacing w:val="40"/>
          <w:sz w:val="30"/>
        </w:rPr>
        <w:t xml:space="preserve"> </w:t>
      </w:r>
      <w:r>
        <w:rPr>
          <w:sz w:val="30"/>
        </w:rPr>
        <w:t>Here</w:t>
      </w:r>
      <w:r>
        <w:rPr>
          <w:spacing w:val="40"/>
          <w:sz w:val="30"/>
        </w:rPr>
        <w:t xml:space="preserve"> </w:t>
      </w:r>
      <w:r>
        <w:rPr>
          <w:sz w:val="30"/>
        </w:rPr>
        <w:t>are</w:t>
      </w:r>
    </w:p>
    <w:p w14:paraId="7E002C09" w14:textId="77777777" w:rsidR="009A58DB" w:rsidRDefault="009A58DB">
      <w:pPr>
        <w:spacing w:line="249" w:lineRule="auto"/>
        <w:jc w:val="both"/>
        <w:rPr>
          <w:sz w:val="30"/>
        </w:rPr>
        <w:sectPr w:rsidR="009A58DB">
          <w:pgSz w:w="12240" w:h="15840"/>
          <w:pgMar w:top="1740" w:right="1080" w:bottom="280" w:left="1080" w:header="720" w:footer="720" w:gutter="0"/>
          <w:cols w:space="720"/>
        </w:sectPr>
      </w:pPr>
    </w:p>
    <w:p w14:paraId="7E002C0A" w14:textId="77777777" w:rsidR="009A58DB" w:rsidRDefault="00000000">
      <w:pPr>
        <w:pStyle w:val="BodyText"/>
        <w:spacing w:before="65"/>
        <w:jc w:val="left"/>
      </w:pPr>
      <w:r>
        <w:lastRenderedPageBreak/>
        <w:t>some</w:t>
      </w:r>
      <w:r>
        <w:rPr>
          <w:spacing w:val="-3"/>
        </w:rPr>
        <w:t xml:space="preserve"> </w:t>
      </w:r>
      <w:r>
        <w:rPr>
          <w:spacing w:val="-2"/>
        </w:rPr>
        <w:t>examples:</w:t>
      </w:r>
    </w:p>
    <w:p w14:paraId="7E002C0B" w14:textId="77777777" w:rsidR="009A58DB" w:rsidRDefault="009A58DB">
      <w:pPr>
        <w:pStyle w:val="BodyText"/>
        <w:spacing w:before="29"/>
        <w:ind w:left="0"/>
        <w:jc w:val="left"/>
      </w:pPr>
    </w:p>
    <w:p w14:paraId="7E002C0C" w14:textId="77777777" w:rsidR="009A58DB" w:rsidRDefault="00000000">
      <w:pPr>
        <w:pStyle w:val="ListParagraph"/>
        <w:numPr>
          <w:ilvl w:val="0"/>
          <w:numId w:val="20"/>
        </w:numPr>
        <w:tabs>
          <w:tab w:val="left" w:pos="715"/>
        </w:tabs>
        <w:spacing w:before="1"/>
        <w:ind w:left="715" w:hanging="355"/>
        <w:rPr>
          <w:sz w:val="30"/>
        </w:rPr>
      </w:pPr>
      <w:r>
        <w:rPr>
          <w:sz w:val="30"/>
        </w:rPr>
        <w:t>“There</w:t>
      </w:r>
      <w:r>
        <w:rPr>
          <w:spacing w:val="-5"/>
          <w:sz w:val="30"/>
        </w:rPr>
        <w:t xml:space="preserve"> </w:t>
      </w:r>
      <w:r>
        <w:rPr>
          <w:sz w:val="30"/>
        </w:rPr>
        <w:t>is</w:t>
      </w:r>
      <w:r>
        <w:rPr>
          <w:spacing w:val="-3"/>
          <w:sz w:val="30"/>
        </w:rPr>
        <w:t xml:space="preserve"> </w:t>
      </w:r>
      <w:r>
        <w:rPr>
          <w:sz w:val="30"/>
        </w:rPr>
        <w:t>at</w:t>
      </w:r>
      <w:r>
        <w:rPr>
          <w:spacing w:val="-3"/>
          <w:sz w:val="30"/>
        </w:rPr>
        <w:t xml:space="preserve"> </w:t>
      </w:r>
      <w:r>
        <w:rPr>
          <w:sz w:val="30"/>
        </w:rPr>
        <w:t>least</w:t>
      </w:r>
      <w:r>
        <w:rPr>
          <w:spacing w:val="-2"/>
          <w:sz w:val="30"/>
        </w:rPr>
        <w:t xml:space="preserve"> </w:t>
      </w:r>
      <w:r>
        <w:rPr>
          <w:sz w:val="30"/>
        </w:rPr>
        <w:t>one</w:t>
      </w:r>
      <w:r>
        <w:rPr>
          <w:spacing w:val="-3"/>
          <w:sz w:val="30"/>
        </w:rPr>
        <w:t xml:space="preserve"> </w:t>
      </w:r>
      <w:r>
        <w:rPr>
          <w:sz w:val="30"/>
        </w:rPr>
        <w:t>thing</w:t>
      </w:r>
      <w:r>
        <w:rPr>
          <w:spacing w:val="-2"/>
          <w:sz w:val="30"/>
        </w:rPr>
        <w:t xml:space="preserve"> </w:t>
      </w:r>
      <w:r>
        <w:rPr>
          <w:sz w:val="30"/>
        </w:rPr>
        <w:t>that</w:t>
      </w:r>
      <w:r>
        <w:rPr>
          <w:spacing w:val="-3"/>
          <w:sz w:val="30"/>
        </w:rPr>
        <w:t xml:space="preserve"> </w:t>
      </w:r>
      <w:r>
        <w:rPr>
          <w:sz w:val="30"/>
        </w:rPr>
        <w:t>is</w:t>
      </w:r>
      <w:r>
        <w:rPr>
          <w:spacing w:val="-2"/>
          <w:sz w:val="30"/>
        </w:rPr>
        <w:t xml:space="preserve"> </w:t>
      </w:r>
      <w:r>
        <w:rPr>
          <w:sz w:val="30"/>
        </w:rPr>
        <w:t>a</w:t>
      </w:r>
      <w:r>
        <w:rPr>
          <w:spacing w:val="-3"/>
          <w:sz w:val="30"/>
        </w:rPr>
        <w:t xml:space="preserve"> </w:t>
      </w:r>
      <w:r>
        <w:rPr>
          <w:sz w:val="30"/>
        </w:rPr>
        <w:t>human</w:t>
      </w:r>
      <w:r>
        <w:rPr>
          <w:spacing w:val="-2"/>
          <w:sz w:val="30"/>
        </w:rPr>
        <w:t xml:space="preserve"> </w:t>
      </w:r>
      <w:r>
        <w:rPr>
          <w:sz w:val="30"/>
        </w:rPr>
        <w:t>that</w:t>
      </w:r>
      <w:r>
        <w:rPr>
          <w:spacing w:val="-3"/>
          <w:sz w:val="30"/>
        </w:rPr>
        <w:t xml:space="preserve"> </w:t>
      </w:r>
      <w:r>
        <w:rPr>
          <w:sz w:val="30"/>
        </w:rPr>
        <w:t>plays</w:t>
      </w:r>
      <w:r>
        <w:rPr>
          <w:spacing w:val="-2"/>
          <w:sz w:val="30"/>
        </w:rPr>
        <w:t xml:space="preserve"> golf,”</w:t>
      </w:r>
    </w:p>
    <w:p w14:paraId="7E002C0D"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C0E" w14:textId="77777777" w:rsidR="009A58DB" w:rsidRDefault="00000000">
      <w:pPr>
        <w:pStyle w:val="ListParagraph"/>
        <w:numPr>
          <w:ilvl w:val="0"/>
          <w:numId w:val="20"/>
        </w:numPr>
        <w:tabs>
          <w:tab w:val="left" w:pos="797"/>
        </w:tabs>
        <w:spacing w:before="65"/>
        <w:ind w:left="797" w:hanging="437"/>
        <w:rPr>
          <w:sz w:val="30"/>
        </w:rPr>
      </w:pPr>
      <w:r>
        <w:rPr>
          <w:sz w:val="30"/>
        </w:rPr>
        <w:lastRenderedPageBreak/>
        <w:t>“At</w:t>
      </w:r>
      <w:r>
        <w:rPr>
          <w:spacing w:val="-6"/>
          <w:sz w:val="30"/>
        </w:rPr>
        <w:t xml:space="preserve"> </w:t>
      </w:r>
      <w:r>
        <w:rPr>
          <w:sz w:val="30"/>
        </w:rPr>
        <w:t>least</w:t>
      </w:r>
      <w:r>
        <w:rPr>
          <w:spacing w:val="-3"/>
          <w:sz w:val="30"/>
        </w:rPr>
        <w:t xml:space="preserve"> </w:t>
      </w:r>
      <w:r>
        <w:rPr>
          <w:sz w:val="30"/>
        </w:rPr>
        <w:t>one</w:t>
      </w:r>
      <w:r>
        <w:rPr>
          <w:spacing w:val="-3"/>
          <w:sz w:val="30"/>
        </w:rPr>
        <w:t xml:space="preserve"> </w:t>
      </w:r>
      <w:r>
        <w:rPr>
          <w:sz w:val="30"/>
        </w:rPr>
        <w:t>number</w:t>
      </w:r>
      <w:r>
        <w:rPr>
          <w:spacing w:val="-3"/>
          <w:sz w:val="30"/>
        </w:rPr>
        <w:t xml:space="preserve"> </w:t>
      </w:r>
      <w:r>
        <w:rPr>
          <w:sz w:val="30"/>
        </w:rPr>
        <w:t>greater</w:t>
      </w:r>
      <w:r>
        <w:rPr>
          <w:spacing w:val="-3"/>
          <w:sz w:val="30"/>
        </w:rPr>
        <w:t xml:space="preserve"> </w:t>
      </w:r>
      <w:r>
        <w:rPr>
          <w:sz w:val="30"/>
        </w:rPr>
        <w:t>than</w:t>
      </w:r>
      <w:r>
        <w:rPr>
          <w:spacing w:val="-2"/>
          <w:sz w:val="30"/>
        </w:rPr>
        <w:t xml:space="preserve"> </w:t>
      </w:r>
      <w:r>
        <w:rPr>
          <w:sz w:val="30"/>
        </w:rPr>
        <w:t>two</w:t>
      </w:r>
      <w:r>
        <w:rPr>
          <w:spacing w:val="-2"/>
          <w:sz w:val="30"/>
        </w:rPr>
        <w:t xml:space="preserve"> </w:t>
      </w:r>
      <w:r>
        <w:rPr>
          <w:sz w:val="30"/>
        </w:rPr>
        <w:t>is</w:t>
      </w:r>
      <w:r>
        <w:rPr>
          <w:spacing w:val="-3"/>
          <w:sz w:val="30"/>
        </w:rPr>
        <w:t xml:space="preserve"> </w:t>
      </w:r>
      <w:r>
        <w:rPr>
          <w:sz w:val="30"/>
        </w:rPr>
        <w:t>an</w:t>
      </w:r>
      <w:r>
        <w:rPr>
          <w:spacing w:val="-2"/>
          <w:sz w:val="30"/>
        </w:rPr>
        <w:t xml:space="preserve"> </w:t>
      </w:r>
      <w:r>
        <w:rPr>
          <w:sz w:val="30"/>
        </w:rPr>
        <w:t>even</w:t>
      </w:r>
      <w:r>
        <w:rPr>
          <w:spacing w:val="-2"/>
          <w:sz w:val="30"/>
        </w:rPr>
        <w:t xml:space="preserve"> prime.”</w:t>
      </w:r>
    </w:p>
    <w:p w14:paraId="7E002C0F" w14:textId="77777777" w:rsidR="009A58DB" w:rsidRDefault="009A58DB">
      <w:pPr>
        <w:pStyle w:val="BodyText"/>
        <w:spacing w:before="29"/>
        <w:ind w:left="0"/>
        <w:jc w:val="left"/>
      </w:pPr>
    </w:p>
    <w:p w14:paraId="7E002C10" w14:textId="77777777" w:rsidR="009A58DB" w:rsidRDefault="00000000">
      <w:pPr>
        <w:pStyle w:val="ListParagraph"/>
        <w:numPr>
          <w:ilvl w:val="0"/>
          <w:numId w:val="20"/>
        </w:numPr>
        <w:tabs>
          <w:tab w:val="left" w:pos="879"/>
        </w:tabs>
        <w:spacing w:before="1"/>
        <w:ind w:left="879" w:hanging="519"/>
        <w:rPr>
          <w:i/>
          <w:sz w:val="30"/>
        </w:rPr>
      </w:pPr>
      <w:r>
        <w:rPr>
          <w:sz w:val="30"/>
        </w:rPr>
        <w:t>At</w:t>
      </w:r>
      <w:r>
        <w:rPr>
          <w:spacing w:val="-3"/>
          <w:sz w:val="30"/>
        </w:rPr>
        <w:t xml:space="preserve"> </w:t>
      </w:r>
      <w:r>
        <w:rPr>
          <w:sz w:val="30"/>
        </w:rPr>
        <w:t>least</w:t>
      </w:r>
      <w:r>
        <w:rPr>
          <w:spacing w:val="-3"/>
          <w:sz w:val="30"/>
        </w:rPr>
        <w:t xml:space="preserve"> </w:t>
      </w:r>
      <w:r>
        <w:rPr>
          <w:sz w:val="30"/>
        </w:rPr>
        <w:t>one</w:t>
      </w:r>
      <w:r>
        <w:rPr>
          <w:spacing w:val="-3"/>
          <w:sz w:val="30"/>
        </w:rPr>
        <w:t xml:space="preserve"> </w:t>
      </w:r>
      <w:r>
        <w:rPr>
          <w:sz w:val="30"/>
        </w:rPr>
        <w:t>person</w:t>
      </w:r>
      <w:r>
        <w:rPr>
          <w:spacing w:val="-1"/>
          <w:sz w:val="30"/>
        </w:rPr>
        <w:t xml:space="preserve"> </w:t>
      </w:r>
      <w:r>
        <w:rPr>
          <w:sz w:val="30"/>
        </w:rPr>
        <w:t>wrote</w:t>
      </w:r>
      <w:r>
        <w:rPr>
          <w:spacing w:val="-3"/>
          <w:sz w:val="30"/>
        </w:rPr>
        <w:t xml:space="preserve"> </w:t>
      </w:r>
      <w:r>
        <w:rPr>
          <w:sz w:val="30"/>
        </w:rPr>
        <w:t>a</w:t>
      </w:r>
      <w:r>
        <w:rPr>
          <w:spacing w:val="-3"/>
          <w:sz w:val="30"/>
        </w:rPr>
        <w:t xml:space="preserve"> </w:t>
      </w:r>
      <w:r>
        <w:rPr>
          <w:sz w:val="30"/>
        </w:rPr>
        <w:t>book</w:t>
      </w:r>
      <w:r>
        <w:rPr>
          <w:spacing w:val="-1"/>
          <w:sz w:val="30"/>
        </w:rPr>
        <w:t xml:space="preserve"> </w:t>
      </w:r>
      <w:r>
        <w:rPr>
          <w:sz w:val="30"/>
        </w:rPr>
        <w:t>called</w:t>
      </w:r>
      <w:r>
        <w:rPr>
          <w:spacing w:val="-2"/>
          <w:sz w:val="30"/>
        </w:rPr>
        <w:t xml:space="preserve"> </w:t>
      </w:r>
      <w:r>
        <w:rPr>
          <w:i/>
          <w:sz w:val="30"/>
        </w:rPr>
        <w:t>War</w:t>
      </w:r>
      <w:r>
        <w:rPr>
          <w:i/>
          <w:spacing w:val="-3"/>
          <w:sz w:val="30"/>
        </w:rPr>
        <w:t xml:space="preserve"> </w:t>
      </w:r>
      <w:r>
        <w:rPr>
          <w:i/>
          <w:sz w:val="30"/>
        </w:rPr>
        <w:t>and</w:t>
      </w:r>
      <w:r>
        <w:rPr>
          <w:i/>
          <w:spacing w:val="-1"/>
          <w:sz w:val="30"/>
        </w:rPr>
        <w:t xml:space="preserve"> </w:t>
      </w:r>
      <w:r>
        <w:rPr>
          <w:i/>
          <w:spacing w:val="-2"/>
          <w:sz w:val="30"/>
        </w:rPr>
        <w:t>Peace.</w:t>
      </w:r>
    </w:p>
    <w:p w14:paraId="7E002C11" w14:textId="77777777" w:rsidR="009A58DB" w:rsidRDefault="009A58DB">
      <w:pPr>
        <w:pStyle w:val="BodyText"/>
        <w:spacing w:before="30"/>
        <w:ind w:left="0"/>
        <w:jc w:val="left"/>
        <w:rPr>
          <w:i/>
        </w:rPr>
      </w:pPr>
    </w:p>
    <w:p w14:paraId="7E002C12" w14:textId="77777777" w:rsidR="009A58DB" w:rsidRDefault="00000000">
      <w:pPr>
        <w:pStyle w:val="ListParagraph"/>
        <w:numPr>
          <w:ilvl w:val="0"/>
          <w:numId w:val="19"/>
        </w:numPr>
        <w:tabs>
          <w:tab w:val="left" w:pos="640"/>
        </w:tabs>
        <w:spacing w:line="249" w:lineRule="auto"/>
        <w:ind w:right="359" w:firstLine="0"/>
        <w:jc w:val="both"/>
        <w:rPr>
          <w:sz w:val="30"/>
        </w:rPr>
      </w:pPr>
      <w:r>
        <w:rPr>
          <w:sz w:val="30"/>
        </w:rPr>
        <w:t xml:space="preserve">–(iii) are known as </w:t>
      </w:r>
      <w:r>
        <w:rPr>
          <w:i/>
          <w:sz w:val="30"/>
        </w:rPr>
        <w:t>existence-claims</w:t>
      </w:r>
      <w:r>
        <w:rPr>
          <w:sz w:val="30"/>
        </w:rPr>
        <w:t xml:space="preserve">, since each says that there exists a thing of a certain kind. Another term for “existence-claim” is </w:t>
      </w:r>
      <w:r>
        <w:rPr>
          <w:i/>
          <w:sz w:val="30"/>
        </w:rPr>
        <w:t xml:space="preserve">existential-generalization. </w:t>
      </w:r>
      <w:r>
        <w:rPr>
          <w:sz w:val="30"/>
        </w:rPr>
        <w:t>Existence-claims don’t always begin with “there is.” Often they begin with “something” or “someone.” Thus:</w:t>
      </w:r>
    </w:p>
    <w:p w14:paraId="7E002C13" w14:textId="77777777" w:rsidR="009A58DB" w:rsidRDefault="00000000">
      <w:pPr>
        <w:pStyle w:val="BodyText"/>
        <w:spacing w:before="69" w:line="720" w:lineRule="exact"/>
        <w:ind w:right="3145"/>
        <w:jc w:val="left"/>
      </w:pPr>
      <w:r>
        <w:t>(iii*)</w:t>
      </w:r>
      <w:r>
        <w:rPr>
          <w:spacing w:val="-6"/>
        </w:rPr>
        <w:t xml:space="preserve"> </w:t>
      </w:r>
      <w:r>
        <w:t>“someone</w:t>
      </w:r>
      <w:r>
        <w:rPr>
          <w:spacing w:val="-6"/>
        </w:rPr>
        <w:t xml:space="preserve"> </w:t>
      </w:r>
      <w:r>
        <w:t>wrote</w:t>
      </w:r>
      <w:r>
        <w:rPr>
          <w:spacing w:val="-6"/>
        </w:rPr>
        <w:t xml:space="preserve"> </w:t>
      </w:r>
      <w:r>
        <w:t>a</w:t>
      </w:r>
      <w:r>
        <w:rPr>
          <w:spacing w:val="-6"/>
        </w:rPr>
        <w:t xml:space="preserve"> </w:t>
      </w:r>
      <w:r>
        <w:t>book</w:t>
      </w:r>
      <w:r>
        <w:rPr>
          <w:spacing w:val="-5"/>
        </w:rPr>
        <w:t xml:space="preserve"> </w:t>
      </w:r>
      <w:r>
        <w:t>called</w:t>
      </w:r>
      <w:r>
        <w:rPr>
          <w:spacing w:val="-5"/>
        </w:rPr>
        <w:t xml:space="preserve"> </w:t>
      </w:r>
      <w:r>
        <w:rPr>
          <w:i/>
        </w:rPr>
        <w:t>War</w:t>
      </w:r>
      <w:r>
        <w:rPr>
          <w:i/>
          <w:spacing w:val="-6"/>
        </w:rPr>
        <w:t xml:space="preserve"> </w:t>
      </w:r>
      <w:r>
        <w:rPr>
          <w:i/>
        </w:rPr>
        <w:t>and</w:t>
      </w:r>
      <w:r>
        <w:rPr>
          <w:i/>
          <w:spacing w:val="-5"/>
        </w:rPr>
        <w:t xml:space="preserve"> </w:t>
      </w:r>
      <w:r>
        <w:rPr>
          <w:i/>
        </w:rPr>
        <w:t>Peace</w:t>
      </w:r>
      <w:r>
        <w:t>.” is an existence-claim.</w:t>
      </w:r>
    </w:p>
    <w:p w14:paraId="7E002C14" w14:textId="77777777" w:rsidR="009A58DB" w:rsidRDefault="00000000">
      <w:pPr>
        <w:pStyle w:val="BodyText"/>
        <w:spacing w:line="281" w:lineRule="exact"/>
        <w:ind w:left="720"/>
        <w:jc w:val="left"/>
      </w:pPr>
      <w:r>
        <w:t>The</w:t>
      </w:r>
      <w:r>
        <w:rPr>
          <w:spacing w:val="73"/>
        </w:rPr>
        <w:t xml:space="preserve"> </w:t>
      </w:r>
      <w:r>
        <w:t>differences</w:t>
      </w:r>
      <w:r>
        <w:rPr>
          <w:spacing w:val="76"/>
        </w:rPr>
        <w:t xml:space="preserve"> </w:t>
      </w:r>
      <w:r>
        <w:t>between</w:t>
      </w:r>
      <w:r>
        <w:rPr>
          <w:spacing w:val="75"/>
        </w:rPr>
        <w:t xml:space="preserve"> </w:t>
      </w:r>
      <w:r>
        <w:t>(iii)</w:t>
      </w:r>
      <w:r>
        <w:rPr>
          <w:spacing w:val="76"/>
        </w:rPr>
        <w:t xml:space="preserve"> </w:t>
      </w:r>
      <w:r>
        <w:t>and</w:t>
      </w:r>
      <w:r>
        <w:rPr>
          <w:spacing w:val="75"/>
        </w:rPr>
        <w:t xml:space="preserve"> </w:t>
      </w:r>
      <w:r>
        <w:t>(iii*)</w:t>
      </w:r>
      <w:r>
        <w:rPr>
          <w:spacing w:val="76"/>
        </w:rPr>
        <w:t xml:space="preserve"> </w:t>
      </w:r>
      <w:r>
        <w:t>aren’t</w:t>
      </w:r>
      <w:r>
        <w:rPr>
          <w:spacing w:val="75"/>
        </w:rPr>
        <w:t xml:space="preserve"> </w:t>
      </w:r>
      <w:r>
        <w:t>relevant</w:t>
      </w:r>
      <w:r>
        <w:rPr>
          <w:spacing w:val="76"/>
        </w:rPr>
        <w:t xml:space="preserve"> </w:t>
      </w:r>
      <w:r>
        <w:t>to</w:t>
      </w:r>
      <w:r>
        <w:rPr>
          <w:spacing w:val="75"/>
        </w:rPr>
        <w:t xml:space="preserve"> </w:t>
      </w:r>
      <w:r>
        <w:t>what</w:t>
      </w:r>
      <w:r>
        <w:rPr>
          <w:spacing w:val="76"/>
        </w:rPr>
        <w:t xml:space="preserve"> </w:t>
      </w:r>
      <w:r>
        <w:rPr>
          <w:spacing w:val="-2"/>
        </w:rPr>
        <w:t>we’re</w:t>
      </w:r>
    </w:p>
    <w:p w14:paraId="7E002C15" w14:textId="77777777" w:rsidR="009A58DB" w:rsidRDefault="00000000">
      <w:pPr>
        <w:pStyle w:val="BodyText"/>
        <w:spacing w:before="15"/>
        <w:jc w:val="left"/>
      </w:pPr>
      <w:r>
        <w:t>doing.</w:t>
      </w:r>
      <w:r>
        <w:rPr>
          <w:spacing w:val="-5"/>
        </w:rPr>
        <w:t xml:space="preserve"> </w:t>
      </w:r>
      <w:r>
        <w:t>As</w:t>
      </w:r>
      <w:r>
        <w:rPr>
          <w:spacing w:val="-3"/>
        </w:rPr>
        <w:t xml:space="preserve"> </w:t>
      </w:r>
      <w:r>
        <w:t>far</w:t>
      </w:r>
      <w:r>
        <w:rPr>
          <w:spacing w:val="-4"/>
        </w:rPr>
        <w:t xml:space="preserve"> </w:t>
      </w:r>
      <w:r>
        <w:t>as</w:t>
      </w:r>
      <w:r>
        <w:rPr>
          <w:spacing w:val="-3"/>
        </w:rPr>
        <w:t xml:space="preserve"> </w:t>
      </w:r>
      <w:r>
        <w:t>we’re</w:t>
      </w:r>
      <w:r>
        <w:rPr>
          <w:spacing w:val="-4"/>
        </w:rPr>
        <w:t xml:space="preserve"> </w:t>
      </w:r>
      <w:r>
        <w:t>concerned,</w:t>
      </w:r>
      <w:r>
        <w:rPr>
          <w:spacing w:val="-2"/>
        </w:rPr>
        <w:t xml:space="preserve"> </w:t>
      </w:r>
      <w:r>
        <w:t>they’re</w:t>
      </w:r>
      <w:r>
        <w:rPr>
          <w:spacing w:val="-4"/>
        </w:rPr>
        <w:t xml:space="preserve"> </w:t>
      </w:r>
      <w:r>
        <w:t>the</w:t>
      </w:r>
      <w:r>
        <w:rPr>
          <w:spacing w:val="-3"/>
        </w:rPr>
        <w:t xml:space="preserve"> </w:t>
      </w:r>
      <w:r>
        <w:t>same</w:t>
      </w:r>
      <w:r>
        <w:rPr>
          <w:spacing w:val="-3"/>
        </w:rPr>
        <w:t xml:space="preserve"> </w:t>
      </w:r>
      <w:r>
        <w:rPr>
          <w:spacing w:val="-2"/>
        </w:rPr>
        <w:t>statement.</w:t>
      </w:r>
    </w:p>
    <w:p w14:paraId="7E002C16" w14:textId="77777777" w:rsidR="009A58DB" w:rsidRDefault="009A58DB">
      <w:pPr>
        <w:pStyle w:val="BodyText"/>
        <w:spacing w:before="30"/>
        <w:ind w:left="0"/>
        <w:jc w:val="left"/>
      </w:pPr>
    </w:p>
    <w:p w14:paraId="7E002C17" w14:textId="77777777" w:rsidR="009A58DB" w:rsidRDefault="00000000">
      <w:pPr>
        <w:spacing w:line="249" w:lineRule="auto"/>
        <w:ind w:left="360" w:right="361"/>
        <w:jc w:val="both"/>
        <w:rPr>
          <w:sz w:val="30"/>
        </w:rPr>
      </w:pPr>
      <w:r>
        <w:rPr>
          <w:b/>
          <w:i/>
          <w:sz w:val="30"/>
        </w:rPr>
        <w:t xml:space="preserve">Existential generalization (second meaning): </w:t>
      </w:r>
      <w:r>
        <w:rPr>
          <w:sz w:val="30"/>
        </w:rPr>
        <w:t>An inference of the form “</w:t>
      </w:r>
      <w:r>
        <w:rPr>
          <w:i/>
          <w:sz w:val="30"/>
        </w:rPr>
        <w:t>O has phi; therefore, something or other has phi</w:t>
      </w:r>
      <w:r>
        <w:rPr>
          <w:sz w:val="30"/>
        </w:rPr>
        <w:t>,”—for example, “Bob is over 7-feet tall. Therefore, something is over 7-feet tall.”</w:t>
      </w:r>
    </w:p>
    <w:p w14:paraId="7E002C18" w14:textId="77777777" w:rsidR="009A58DB" w:rsidRDefault="009A58DB">
      <w:pPr>
        <w:pStyle w:val="BodyText"/>
        <w:spacing w:before="18"/>
        <w:ind w:left="0"/>
        <w:jc w:val="left"/>
      </w:pPr>
    </w:p>
    <w:p w14:paraId="7E002C19" w14:textId="77777777" w:rsidR="009A58DB" w:rsidRDefault="00000000">
      <w:pPr>
        <w:pStyle w:val="BodyText"/>
        <w:spacing w:before="1" w:line="249" w:lineRule="auto"/>
        <w:ind w:right="360"/>
      </w:pPr>
      <w:r>
        <w:rPr>
          <w:b/>
          <w:i/>
        </w:rPr>
        <w:t>Export/exportation:</w:t>
      </w:r>
      <w:r>
        <w:rPr>
          <w:b/>
          <w:i/>
          <w:spacing w:val="-4"/>
        </w:rPr>
        <w:t xml:space="preserve"> </w:t>
      </w:r>
      <w:r>
        <w:t xml:space="preserve">To “export” an expression occurring in some sentence is to move it from the inside of that sentence to the outside. Consider the sentence “snow is not white.” That is equivalent with “it is not the case that snow is white.” In the latter sentence, the negation-sign has been pushed to the outside of the sentence. For this reason, the second sentence, unlike the first, makes it clear that the </w:t>
      </w:r>
      <w:r>
        <w:rPr>
          <w:b/>
          <w:i/>
        </w:rPr>
        <w:t xml:space="preserve">scope </w:t>
      </w:r>
      <w:r>
        <w:t xml:space="preserve">of the negation is (in each sentence) an </w:t>
      </w:r>
      <w:r>
        <w:rPr>
          <w:i/>
        </w:rPr>
        <w:t xml:space="preserve">entire </w:t>
      </w:r>
      <w:r>
        <w:t>sentence (viz. “snow is white”). Making the meanings of sentences clear almost often involves expression-exportation.</w:t>
      </w:r>
    </w:p>
    <w:p w14:paraId="7E002C1A" w14:textId="77777777" w:rsidR="009A58DB" w:rsidRDefault="009A58DB">
      <w:pPr>
        <w:pStyle w:val="BodyText"/>
        <w:spacing w:before="24"/>
        <w:ind w:left="0"/>
        <w:jc w:val="left"/>
      </w:pPr>
    </w:p>
    <w:p w14:paraId="7E002C1B" w14:textId="77777777" w:rsidR="009A58DB" w:rsidRDefault="00000000">
      <w:pPr>
        <w:pStyle w:val="BodyText"/>
        <w:spacing w:line="249" w:lineRule="auto"/>
        <w:ind w:right="358"/>
      </w:pPr>
      <w:r>
        <w:rPr>
          <w:b/>
          <w:i/>
        </w:rPr>
        <w:t xml:space="preserve">Expression-types vs. expression-tokens: </w:t>
      </w:r>
      <w:r>
        <w:t xml:space="preserve">A given word can occur on several occasions. There have been countless utterances of the word “snow.” An utterance (or inscription) of that word is called a </w:t>
      </w:r>
      <w:r>
        <w:rPr>
          <w:i/>
        </w:rPr>
        <w:t xml:space="preserve">token </w:t>
      </w:r>
      <w:r>
        <w:t>of that word. The</w:t>
      </w:r>
      <w:r>
        <w:rPr>
          <w:spacing w:val="40"/>
        </w:rPr>
        <w:t xml:space="preserve"> </w:t>
      </w:r>
      <w:r>
        <w:t>word itself is called a “word-type.” So word-tokens are bits of noise, ink, etc. Word-types are things of which these noises (etc.) are instances.</w:t>
      </w:r>
    </w:p>
    <w:p w14:paraId="7E002C1C" w14:textId="77777777" w:rsidR="009A58DB" w:rsidRDefault="009A58DB">
      <w:pPr>
        <w:pStyle w:val="BodyText"/>
        <w:spacing w:before="21"/>
        <w:ind w:left="0"/>
        <w:jc w:val="left"/>
      </w:pPr>
    </w:p>
    <w:p w14:paraId="7E002C1D" w14:textId="77777777" w:rsidR="009A58DB" w:rsidRDefault="00000000">
      <w:pPr>
        <w:pStyle w:val="BodyText"/>
        <w:spacing w:before="1"/>
        <w:jc w:val="left"/>
      </w:pPr>
      <w:r>
        <w:t>“Exactly</w:t>
      </w:r>
      <w:r>
        <w:rPr>
          <w:spacing w:val="-4"/>
        </w:rPr>
        <w:t xml:space="preserve"> </w:t>
      </w:r>
      <w:r>
        <w:t>if”:</w:t>
      </w:r>
      <w:r>
        <w:rPr>
          <w:spacing w:val="-5"/>
        </w:rPr>
        <w:t xml:space="preserve"> </w:t>
      </w:r>
      <w:r>
        <w:t>See</w:t>
      </w:r>
      <w:r>
        <w:rPr>
          <w:spacing w:val="-4"/>
        </w:rPr>
        <w:t xml:space="preserve"> </w:t>
      </w:r>
      <w:r>
        <w:rPr>
          <w:spacing w:val="-2"/>
        </w:rPr>
        <w:t>“iff.”</w:t>
      </w:r>
    </w:p>
    <w:p w14:paraId="7E002C1E" w14:textId="77777777" w:rsidR="009A58DB" w:rsidRDefault="009A58DB">
      <w:pPr>
        <w:pStyle w:val="BodyText"/>
        <w:jc w:val="left"/>
        <w:sectPr w:rsidR="009A58DB">
          <w:pgSz w:w="12240" w:h="15840"/>
          <w:pgMar w:top="1740" w:right="1080" w:bottom="280" w:left="1080" w:header="720" w:footer="720" w:gutter="0"/>
          <w:cols w:space="720"/>
        </w:sectPr>
      </w:pPr>
    </w:p>
    <w:p w14:paraId="7E002C1F" w14:textId="77777777" w:rsidR="009A58DB" w:rsidRDefault="00000000">
      <w:pPr>
        <w:pStyle w:val="BodyText"/>
        <w:spacing w:before="65" w:line="249" w:lineRule="auto"/>
        <w:ind w:right="359"/>
      </w:pPr>
      <w:r>
        <w:rPr>
          <w:b/>
          <w:i/>
        </w:rPr>
        <w:lastRenderedPageBreak/>
        <w:t>Epistemically</w:t>
      </w:r>
      <w:r>
        <w:rPr>
          <w:b/>
          <w:i/>
          <w:spacing w:val="-4"/>
        </w:rPr>
        <w:t xml:space="preserve"> </w:t>
      </w:r>
      <w:r>
        <w:rPr>
          <w:b/>
          <w:i/>
        </w:rPr>
        <w:t>possible:</w:t>
      </w:r>
      <w:r>
        <w:rPr>
          <w:b/>
          <w:i/>
          <w:spacing w:val="-4"/>
        </w:rPr>
        <w:t xml:space="preserve"> </w:t>
      </w:r>
      <w:r>
        <w:t>A</w:t>
      </w:r>
      <w:r>
        <w:rPr>
          <w:spacing w:val="-4"/>
        </w:rPr>
        <w:t xml:space="preserve"> </w:t>
      </w:r>
      <w:r>
        <w:t>statement</w:t>
      </w:r>
      <w:r>
        <w:rPr>
          <w:spacing w:val="-4"/>
        </w:rPr>
        <w:t xml:space="preserve"> </w:t>
      </w:r>
      <w:r>
        <w:t>S</w:t>
      </w:r>
      <w:r>
        <w:rPr>
          <w:spacing w:val="-4"/>
        </w:rPr>
        <w:t xml:space="preserve"> </w:t>
      </w:r>
      <w:r>
        <w:t>is</w:t>
      </w:r>
      <w:r>
        <w:rPr>
          <w:spacing w:val="-4"/>
        </w:rPr>
        <w:t xml:space="preserve"> </w:t>
      </w:r>
      <w:r>
        <w:t>epistemically</w:t>
      </w:r>
      <w:r>
        <w:rPr>
          <w:spacing w:val="-3"/>
        </w:rPr>
        <w:t xml:space="preserve"> </w:t>
      </w:r>
      <w:r>
        <w:t>possible</w:t>
      </w:r>
      <w:r>
        <w:rPr>
          <w:spacing w:val="-4"/>
        </w:rPr>
        <w:t xml:space="preserve"> </w:t>
      </w:r>
      <w:r>
        <w:t>iff,</w:t>
      </w:r>
      <w:r>
        <w:rPr>
          <w:spacing w:val="-3"/>
        </w:rPr>
        <w:t xml:space="preserve"> </w:t>
      </w:r>
      <w:r>
        <w:t>given</w:t>
      </w:r>
      <w:r>
        <w:rPr>
          <w:spacing w:val="-3"/>
        </w:rPr>
        <w:t xml:space="preserve"> </w:t>
      </w:r>
      <w:r>
        <w:rPr>
          <w:i/>
        </w:rPr>
        <w:t xml:space="preserve">only </w:t>
      </w:r>
      <w:r>
        <w:t>what you know, it isn’t ruled out. So if, given only the data at your disposal,</w:t>
      </w:r>
      <w:r>
        <w:rPr>
          <w:spacing w:val="40"/>
        </w:rPr>
        <w:t xml:space="preserve"> </w:t>
      </w:r>
      <w:r>
        <w:t xml:space="preserve">it cannot be ruled out that Smith is not in Greenland, then “Smith is not in Greenland” is an epistemic possibility. It’s obvious that epistemic possibility is a relative notion. At a given time, a given statement may be epistemically possible to some and not epistemically possible to others; and a given statement may be epistemically possible to a given person at one time but not at some other time. (If you go to Greenland, and see that Smith is there, then it’s no longer epistemically possible—for you—that Smith is not in </w:t>
      </w:r>
      <w:r>
        <w:rPr>
          <w:spacing w:val="-2"/>
        </w:rPr>
        <w:t>Greenland.)</w:t>
      </w:r>
    </w:p>
    <w:p w14:paraId="7E002C20" w14:textId="77777777" w:rsidR="009A58DB" w:rsidRDefault="009A58DB">
      <w:pPr>
        <w:pStyle w:val="BodyText"/>
        <w:spacing w:before="27"/>
        <w:ind w:left="0"/>
        <w:jc w:val="left"/>
      </w:pPr>
    </w:p>
    <w:p w14:paraId="7E002C21" w14:textId="77777777" w:rsidR="009A58DB" w:rsidRDefault="00000000">
      <w:pPr>
        <w:pStyle w:val="BodyText"/>
        <w:spacing w:line="249" w:lineRule="auto"/>
        <w:ind w:right="363"/>
      </w:pPr>
      <w:r>
        <w:rPr>
          <w:b/>
          <w:i/>
        </w:rPr>
        <w:t xml:space="preserve">Equivalent: </w:t>
      </w:r>
      <w:r>
        <w:t xml:space="preserve">Two statements are equivalent if each entails the other. See </w:t>
      </w:r>
      <w:r>
        <w:rPr>
          <w:spacing w:val="-2"/>
        </w:rPr>
        <w:t>“entails.”</w:t>
      </w:r>
    </w:p>
    <w:p w14:paraId="7E002C22" w14:textId="77777777" w:rsidR="009A58DB" w:rsidRDefault="009A58DB">
      <w:pPr>
        <w:pStyle w:val="BodyText"/>
        <w:spacing w:before="17"/>
        <w:ind w:left="0"/>
        <w:jc w:val="left"/>
      </w:pPr>
    </w:p>
    <w:p w14:paraId="7E002C23" w14:textId="77777777" w:rsidR="009A58DB" w:rsidRDefault="00000000">
      <w:pPr>
        <w:ind w:left="360"/>
        <w:jc w:val="both"/>
        <w:rPr>
          <w:sz w:val="30"/>
        </w:rPr>
      </w:pPr>
      <w:r>
        <w:rPr>
          <w:b/>
          <w:i/>
          <w:sz w:val="30"/>
        </w:rPr>
        <w:t>Form</w:t>
      </w:r>
      <w:r>
        <w:rPr>
          <w:b/>
          <w:i/>
          <w:spacing w:val="-3"/>
          <w:sz w:val="30"/>
        </w:rPr>
        <w:t xml:space="preserve"> </w:t>
      </w:r>
      <w:r>
        <w:rPr>
          <w:b/>
          <w:i/>
          <w:sz w:val="30"/>
        </w:rPr>
        <w:t>of</w:t>
      </w:r>
      <w:r>
        <w:rPr>
          <w:b/>
          <w:i/>
          <w:spacing w:val="-3"/>
          <w:sz w:val="30"/>
        </w:rPr>
        <w:t xml:space="preserve"> </w:t>
      </w:r>
      <w:r>
        <w:rPr>
          <w:b/>
          <w:i/>
          <w:sz w:val="30"/>
        </w:rPr>
        <w:t>an</w:t>
      </w:r>
      <w:r>
        <w:rPr>
          <w:b/>
          <w:i/>
          <w:spacing w:val="-3"/>
          <w:sz w:val="30"/>
        </w:rPr>
        <w:t xml:space="preserve"> </w:t>
      </w:r>
      <w:r>
        <w:rPr>
          <w:b/>
          <w:i/>
          <w:sz w:val="30"/>
        </w:rPr>
        <w:t>expression:</w:t>
      </w:r>
      <w:r>
        <w:rPr>
          <w:b/>
          <w:i/>
          <w:spacing w:val="-3"/>
          <w:sz w:val="30"/>
        </w:rPr>
        <w:t xml:space="preserve"> </w:t>
      </w:r>
      <w:r>
        <w:rPr>
          <w:sz w:val="30"/>
        </w:rPr>
        <w:t>The</w:t>
      </w:r>
      <w:r>
        <w:rPr>
          <w:spacing w:val="-3"/>
          <w:sz w:val="30"/>
        </w:rPr>
        <w:t xml:space="preserve"> </w:t>
      </w:r>
      <w:r>
        <w:rPr>
          <w:spacing w:val="-2"/>
          <w:sz w:val="30"/>
        </w:rPr>
        <w:t>sentences:</w:t>
      </w:r>
    </w:p>
    <w:p w14:paraId="7E002C24" w14:textId="77777777" w:rsidR="009A58DB" w:rsidRDefault="009A58DB">
      <w:pPr>
        <w:pStyle w:val="BodyText"/>
        <w:spacing w:before="30"/>
        <w:ind w:left="0"/>
        <w:jc w:val="left"/>
      </w:pPr>
    </w:p>
    <w:p w14:paraId="7E002C25" w14:textId="77777777" w:rsidR="009A58DB" w:rsidRDefault="00000000">
      <w:pPr>
        <w:pStyle w:val="ListParagraph"/>
        <w:numPr>
          <w:ilvl w:val="0"/>
          <w:numId w:val="18"/>
        </w:numPr>
        <w:tabs>
          <w:tab w:val="left" w:pos="715"/>
        </w:tabs>
        <w:spacing w:before="1" w:line="501" w:lineRule="auto"/>
        <w:ind w:right="7211" w:firstLine="0"/>
        <w:rPr>
          <w:sz w:val="30"/>
        </w:rPr>
      </w:pPr>
      <w:r>
        <w:rPr>
          <w:sz w:val="30"/>
        </w:rPr>
        <w:t>“Sally</w:t>
      </w:r>
      <w:r>
        <w:rPr>
          <w:spacing w:val="-18"/>
          <w:sz w:val="30"/>
        </w:rPr>
        <w:t xml:space="preserve"> </w:t>
      </w:r>
      <w:r>
        <w:rPr>
          <w:sz w:val="30"/>
        </w:rPr>
        <w:t>hates</w:t>
      </w:r>
      <w:r>
        <w:rPr>
          <w:spacing w:val="-19"/>
          <w:sz w:val="30"/>
        </w:rPr>
        <w:t xml:space="preserve"> </w:t>
      </w:r>
      <w:r>
        <w:rPr>
          <w:sz w:val="30"/>
        </w:rPr>
        <w:t xml:space="preserve">Bob” </w:t>
      </w:r>
      <w:r>
        <w:rPr>
          <w:spacing w:val="-4"/>
          <w:sz w:val="30"/>
        </w:rPr>
        <w:t>and</w:t>
      </w:r>
    </w:p>
    <w:p w14:paraId="7E002C26" w14:textId="77777777" w:rsidR="009A58DB" w:rsidRDefault="00000000">
      <w:pPr>
        <w:pStyle w:val="ListParagraph"/>
        <w:numPr>
          <w:ilvl w:val="0"/>
          <w:numId w:val="18"/>
        </w:numPr>
        <w:tabs>
          <w:tab w:val="left" w:pos="797"/>
        </w:tabs>
        <w:spacing w:line="501" w:lineRule="auto"/>
        <w:ind w:right="6561" w:firstLine="0"/>
        <w:rPr>
          <w:sz w:val="30"/>
        </w:rPr>
      </w:pPr>
      <w:r>
        <w:rPr>
          <w:sz w:val="30"/>
        </w:rPr>
        <w:t>“Bob</w:t>
      </w:r>
      <w:r>
        <w:rPr>
          <w:spacing w:val="-17"/>
          <w:sz w:val="30"/>
        </w:rPr>
        <w:t xml:space="preserve"> </w:t>
      </w:r>
      <w:r>
        <w:rPr>
          <w:sz w:val="30"/>
        </w:rPr>
        <w:t>adores</w:t>
      </w:r>
      <w:r>
        <w:rPr>
          <w:spacing w:val="-18"/>
          <w:sz w:val="30"/>
        </w:rPr>
        <w:t xml:space="preserve"> </w:t>
      </w:r>
      <w:r>
        <w:rPr>
          <w:sz w:val="30"/>
        </w:rPr>
        <w:t>Amanda” have the form</w:t>
      </w:r>
    </w:p>
    <w:p w14:paraId="7E002C27" w14:textId="77777777" w:rsidR="009A58DB" w:rsidRDefault="00000000">
      <w:pPr>
        <w:pStyle w:val="ListParagraph"/>
        <w:numPr>
          <w:ilvl w:val="0"/>
          <w:numId w:val="18"/>
        </w:numPr>
        <w:tabs>
          <w:tab w:val="left" w:pos="879"/>
        </w:tabs>
        <w:spacing w:line="343" w:lineRule="exact"/>
        <w:ind w:left="879" w:hanging="519"/>
        <w:rPr>
          <w:sz w:val="30"/>
        </w:rPr>
      </w:pPr>
      <w:r>
        <w:rPr>
          <w:sz w:val="30"/>
        </w:rPr>
        <w:t>x</w:t>
      </w:r>
      <w:r>
        <w:rPr>
          <w:spacing w:val="-3"/>
          <w:sz w:val="30"/>
        </w:rPr>
        <w:t xml:space="preserve"> </w:t>
      </w:r>
      <w:r>
        <w:rPr>
          <w:sz w:val="30"/>
        </w:rPr>
        <w:t>bears</w:t>
      </w:r>
      <w:r>
        <w:rPr>
          <w:spacing w:val="-2"/>
          <w:sz w:val="30"/>
        </w:rPr>
        <w:t xml:space="preserve"> </w:t>
      </w:r>
      <w:r>
        <w:rPr>
          <w:sz w:val="30"/>
        </w:rPr>
        <w:t>relation</w:t>
      </w:r>
      <w:r>
        <w:rPr>
          <w:spacing w:val="-2"/>
          <w:sz w:val="30"/>
        </w:rPr>
        <w:t xml:space="preserve"> </w:t>
      </w:r>
      <w:r>
        <w:rPr>
          <w:sz w:val="30"/>
        </w:rPr>
        <w:t>R</w:t>
      </w:r>
      <w:r>
        <w:rPr>
          <w:spacing w:val="-3"/>
          <w:sz w:val="30"/>
        </w:rPr>
        <w:t xml:space="preserve"> </w:t>
      </w:r>
      <w:r>
        <w:rPr>
          <w:sz w:val="30"/>
        </w:rPr>
        <w:t>to</w:t>
      </w:r>
      <w:r>
        <w:rPr>
          <w:spacing w:val="-2"/>
          <w:sz w:val="30"/>
        </w:rPr>
        <w:t xml:space="preserve"> </w:t>
      </w:r>
      <w:r>
        <w:rPr>
          <w:spacing w:val="-5"/>
          <w:sz w:val="30"/>
        </w:rPr>
        <w:t>y.</w:t>
      </w:r>
    </w:p>
    <w:p w14:paraId="7E002C28" w14:textId="77777777" w:rsidR="009A58DB" w:rsidRDefault="009A58DB">
      <w:pPr>
        <w:pStyle w:val="BodyText"/>
        <w:spacing w:before="27"/>
        <w:ind w:left="0"/>
        <w:jc w:val="left"/>
      </w:pPr>
    </w:p>
    <w:p w14:paraId="7E002C29" w14:textId="77777777" w:rsidR="009A58DB" w:rsidRDefault="00000000">
      <w:pPr>
        <w:pStyle w:val="BodyText"/>
        <w:spacing w:before="1" w:line="271" w:lineRule="auto"/>
        <w:ind w:right="359" w:firstLine="360"/>
      </w:pPr>
      <w:r>
        <w:t>This is because (i) is what results when the variables in (iii) are replaced with constants, and so is (ii). In general, for two sentences S</w:t>
      </w:r>
      <w:r>
        <w:rPr>
          <w:vertAlign w:val="subscript"/>
        </w:rPr>
        <w:t>1</w:t>
      </w:r>
      <w:r>
        <w:t xml:space="preserve"> and S</w:t>
      </w:r>
      <w:r>
        <w:rPr>
          <w:vertAlign w:val="subscript"/>
        </w:rPr>
        <w:t>2</w:t>
      </w:r>
      <w:r>
        <w:t xml:space="preserve"> to have the</w:t>
      </w:r>
      <w:r>
        <w:rPr>
          <w:spacing w:val="20"/>
        </w:rPr>
        <w:t xml:space="preserve"> </w:t>
      </w:r>
      <w:r>
        <w:t>same</w:t>
      </w:r>
      <w:r>
        <w:rPr>
          <w:spacing w:val="20"/>
        </w:rPr>
        <w:t xml:space="preserve"> </w:t>
      </w:r>
      <w:r>
        <w:t>form</w:t>
      </w:r>
      <w:r>
        <w:rPr>
          <w:spacing w:val="20"/>
        </w:rPr>
        <w:t xml:space="preserve"> </w:t>
      </w:r>
      <w:r>
        <w:t>is</w:t>
      </w:r>
      <w:r>
        <w:rPr>
          <w:spacing w:val="20"/>
        </w:rPr>
        <w:t xml:space="preserve"> </w:t>
      </w:r>
      <w:r>
        <w:t>for</w:t>
      </w:r>
      <w:r>
        <w:rPr>
          <w:spacing w:val="20"/>
        </w:rPr>
        <w:t xml:space="preserve"> </w:t>
      </w:r>
      <w:r>
        <w:t>there</w:t>
      </w:r>
      <w:r>
        <w:rPr>
          <w:spacing w:val="20"/>
        </w:rPr>
        <w:t xml:space="preserve"> </w:t>
      </w:r>
      <w:r>
        <w:t>to</w:t>
      </w:r>
      <w:r>
        <w:rPr>
          <w:spacing w:val="20"/>
        </w:rPr>
        <w:t xml:space="preserve"> </w:t>
      </w:r>
      <w:r>
        <w:t>be</w:t>
      </w:r>
      <w:r>
        <w:rPr>
          <w:spacing w:val="20"/>
        </w:rPr>
        <w:t xml:space="preserve"> </w:t>
      </w:r>
      <w:r>
        <w:t>some</w:t>
      </w:r>
      <w:r>
        <w:rPr>
          <w:spacing w:val="20"/>
        </w:rPr>
        <w:t xml:space="preserve"> </w:t>
      </w:r>
      <w:r>
        <w:t>open-sentence</w:t>
      </w:r>
      <w:r>
        <w:rPr>
          <w:spacing w:val="20"/>
        </w:rPr>
        <w:t xml:space="preserve"> </w:t>
      </w:r>
      <w:r>
        <w:t>S</w:t>
      </w:r>
      <w:r>
        <w:rPr>
          <w:vertAlign w:val="subscript"/>
        </w:rPr>
        <w:t>3</w:t>
      </w:r>
      <w:r>
        <w:rPr>
          <w:spacing w:val="17"/>
        </w:rPr>
        <w:t xml:space="preserve"> </w:t>
      </w:r>
      <w:r>
        <w:t>such</w:t>
      </w:r>
      <w:r>
        <w:rPr>
          <w:spacing w:val="19"/>
        </w:rPr>
        <w:t xml:space="preserve"> </w:t>
      </w:r>
      <w:r>
        <w:t>that</w:t>
      </w:r>
      <w:r>
        <w:rPr>
          <w:spacing w:val="17"/>
        </w:rPr>
        <w:t xml:space="preserve"> </w:t>
      </w:r>
      <w:r>
        <w:t>each</w:t>
      </w:r>
      <w:r>
        <w:rPr>
          <w:spacing w:val="19"/>
        </w:rPr>
        <w:t xml:space="preserve"> </w:t>
      </w:r>
      <w:r>
        <w:t>of</w:t>
      </w:r>
      <w:r>
        <w:rPr>
          <w:spacing w:val="17"/>
        </w:rPr>
        <w:t xml:space="preserve"> </w:t>
      </w:r>
      <w:r>
        <w:t>S</w:t>
      </w:r>
      <w:r>
        <w:rPr>
          <w:vertAlign w:val="subscript"/>
        </w:rPr>
        <w:t>1</w:t>
      </w:r>
    </w:p>
    <w:p w14:paraId="7E002C2A" w14:textId="77777777" w:rsidR="009A58DB" w:rsidRDefault="00000000">
      <w:pPr>
        <w:pStyle w:val="BodyText"/>
        <w:spacing w:before="30" w:line="292" w:lineRule="auto"/>
        <w:ind w:right="363"/>
      </w:pPr>
      <w:r>
        <w:t>and S</w:t>
      </w:r>
      <w:r>
        <w:rPr>
          <w:vertAlign w:val="subscript"/>
        </w:rPr>
        <w:t>2</w:t>
      </w:r>
      <w:r>
        <w:t xml:space="preserve"> is what results when the free variables in S</w:t>
      </w:r>
      <w:r>
        <w:rPr>
          <w:vertAlign w:val="subscript"/>
        </w:rPr>
        <w:t>3</w:t>
      </w:r>
      <w:r>
        <w:t xml:space="preserve"> are replaced with </w:t>
      </w:r>
      <w:r>
        <w:rPr>
          <w:spacing w:val="-2"/>
        </w:rPr>
        <w:t>constants.</w:t>
      </w:r>
    </w:p>
    <w:p w14:paraId="7E002C2B" w14:textId="77777777" w:rsidR="009A58DB" w:rsidRDefault="00000000">
      <w:pPr>
        <w:spacing w:before="298"/>
        <w:ind w:left="360"/>
        <w:jc w:val="both"/>
        <w:rPr>
          <w:sz w:val="30"/>
        </w:rPr>
      </w:pPr>
      <w:r>
        <w:rPr>
          <w:b/>
          <w:i/>
          <w:sz w:val="30"/>
        </w:rPr>
        <w:t>Formal</w:t>
      </w:r>
      <w:r>
        <w:rPr>
          <w:b/>
          <w:i/>
          <w:spacing w:val="-8"/>
          <w:sz w:val="30"/>
        </w:rPr>
        <w:t xml:space="preserve"> </w:t>
      </w:r>
      <w:r>
        <w:rPr>
          <w:b/>
          <w:i/>
          <w:sz w:val="30"/>
        </w:rPr>
        <w:t>entailment:</w:t>
      </w:r>
      <w:r>
        <w:rPr>
          <w:b/>
          <w:i/>
          <w:spacing w:val="-6"/>
          <w:sz w:val="30"/>
        </w:rPr>
        <w:t xml:space="preserve"> </w:t>
      </w:r>
      <w:r>
        <w:rPr>
          <w:sz w:val="30"/>
        </w:rPr>
        <w:t>See</w:t>
      </w:r>
      <w:r>
        <w:rPr>
          <w:spacing w:val="-6"/>
          <w:sz w:val="30"/>
        </w:rPr>
        <w:t xml:space="preserve"> </w:t>
      </w:r>
      <w:r>
        <w:rPr>
          <w:sz w:val="30"/>
        </w:rPr>
        <w:t>“formal</w:t>
      </w:r>
      <w:r>
        <w:rPr>
          <w:spacing w:val="-5"/>
          <w:sz w:val="30"/>
        </w:rPr>
        <w:t xml:space="preserve"> </w:t>
      </w:r>
      <w:r>
        <w:rPr>
          <w:spacing w:val="-2"/>
          <w:sz w:val="30"/>
        </w:rPr>
        <w:t>truth.”</w:t>
      </w:r>
    </w:p>
    <w:p w14:paraId="7E002C2C" w14:textId="77777777" w:rsidR="009A58DB" w:rsidRDefault="009A58DB">
      <w:pPr>
        <w:jc w:val="both"/>
        <w:rPr>
          <w:sz w:val="30"/>
        </w:rPr>
        <w:sectPr w:rsidR="009A58DB">
          <w:pgSz w:w="12240" w:h="15840"/>
          <w:pgMar w:top="1740" w:right="1080" w:bottom="280" w:left="1080" w:header="720" w:footer="720" w:gutter="0"/>
          <w:cols w:space="720"/>
        </w:sectPr>
      </w:pPr>
    </w:p>
    <w:p w14:paraId="7E002C2D" w14:textId="77777777" w:rsidR="009A58DB" w:rsidRDefault="00000000">
      <w:pPr>
        <w:pStyle w:val="BodyText"/>
        <w:spacing w:before="65" w:line="249" w:lineRule="auto"/>
        <w:ind w:right="364"/>
      </w:pPr>
      <w:r>
        <w:rPr>
          <w:b/>
          <w:i/>
        </w:rPr>
        <w:lastRenderedPageBreak/>
        <w:t xml:space="preserve">Formal truth: </w:t>
      </w:r>
      <w:r>
        <w:t>Formal truth is a property of sentences.</w:t>
      </w:r>
      <w:bookmarkStart w:id="587" w:name="_bookmark587"/>
      <w:bookmarkEnd w:id="587"/>
      <w:r>
        <w:rPr>
          <w:color w:val="0562C1"/>
          <w:position w:val="21"/>
          <w:u w:val="single" w:color="0562C1"/>
        </w:rPr>
        <w:t>[443]</w:t>
      </w:r>
      <w:r>
        <w:rPr>
          <w:color w:val="0562C1"/>
          <w:position w:val="21"/>
        </w:rPr>
        <w:t xml:space="preserve"> </w:t>
      </w:r>
      <w:r>
        <w:t>A sentence is formally true if every sentence having the same form is true. So “if Bill is</w:t>
      </w:r>
      <w:r>
        <w:rPr>
          <w:spacing w:val="40"/>
        </w:rPr>
        <w:t xml:space="preserve"> </w:t>
      </w:r>
      <w:r>
        <w:t>tall, then it is not the case that it is not the case that Bill is tall” is formally true, since every sentence of the form “if S, then not S” is true. That sentence is</w:t>
      </w:r>
      <w:r>
        <w:rPr>
          <w:spacing w:val="59"/>
        </w:rPr>
        <w:t xml:space="preserve"> </w:t>
      </w:r>
      <w:r>
        <w:t>also</w:t>
      </w:r>
      <w:r>
        <w:rPr>
          <w:spacing w:val="60"/>
        </w:rPr>
        <w:t xml:space="preserve"> </w:t>
      </w:r>
      <w:r>
        <w:t>an</w:t>
      </w:r>
      <w:r>
        <w:rPr>
          <w:spacing w:val="60"/>
        </w:rPr>
        <w:t xml:space="preserve"> </w:t>
      </w:r>
      <w:r>
        <w:t>example</w:t>
      </w:r>
      <w:r>
        <w:rPr>
          <w:spacing w:val="59"/>
        </w:rPr>
        <w:t xml:space="preserve"> </w:t>
      </w:r>
      <w:r>
        <w:t>of</w:t>
      </w:r>
      <w:r>
        <w:rPr>
          <w:spacing w:val="59"/>
        </w:rPr>
        <w:t xml:space="preserve"> </w:t>
      </w:r>
      <w:r>
        <w:t>a</w:t>
      </w:r>
      <w:r>
        <w:rPr>
          <w:spacing w:val="59"/>
        </w:rPr>
        <w:t xml:space="preserve"> </w:t>
      </w:r>
      <w:r>
        <w:rPr>
          <w:b/>
        </w:rPr>
        <w:t>formal</w:t>
      </w:r>
      <w:r>
        <w:rPr>
          <w:b/>
          <w:spacing w:val="59"/>
        </w:rPr>
        <w:t xml:space="preserve"> </w:t>
      </w:r>
      <w:r>
        <w:rPr>
          <w:b/>
        </w:rPr>
        <w:t>entailment.</w:t>
      </w:r>
      <w:r>
        <w:rPr>
          <w:b/>
          <w:spacing w:val="60"/>
        </w:rPr>
        <w:t xml:space="preserve"> </w:t>
      </w:r>
      <w:r>
        <w:t>S</w:t>
      </w:r>
      <w:r>
        <w:rPr>
          <w:vertAlign w:val="subscript"/>
        </w:rPr>
        <w:t>1</w:t>
      </w:r>
      <w:r>
        <w:rPr>
          <w:spacing w:val="60"/>
        </w:rPr>
        <w:t xml:space="preserve"> </w:t>
      </w:r>
      <w:r>
        <w:t>formally</w:t>
      </w:r>
      <w:r>
        <w:rPr>
          <w:spacing w:val="60"/>
        </w:rPr>
        <w:t xml:space="preserve"> </w:t>
      </w:r>
      <w:r>
        <w:t>entails</w:t>
      </w:r>
      <w:r>
        <w:rPr>
          <w:spacing w:val="59"/>
        </w:rPr>
        <w:t xml:space="preserve"> </w:t>
      </w:r>
      <w:r>
        <w:t>S</w:t>
      </w:r>
      <w:r>
        <w:rPr>
          <w:vertAlign w:val="subscript"/>
        </w:rPr>
        <w:t>2</w:t>
      </w:r>
      <w:r>
        <w:rPr>
          <w:spacing w:val="60"/>
        </w:rPr>
        <w:t xml:space="preserve"> </w:t>
      </w:r>
      <w:r>
        <w:t>if</w:t>
      </w:r>
      <w:r>
        <w:rPr>
          <w:spacing w:val="59"/>
        </w:rPr>
        <w:t xml:space="preserve"> </w:t>
      </w:r>
      <w:r>
        <w:t>the</w:t>
      </w:r>
    </w:p>
    <w:p w14:paraId="7E002C2E" w14:textId="77777777" w:rsidR="009A58DB" w:rsidRDefault="00000000">
      <w:pPr>
        <w:pStyle w:val="BodyText"/>
        <w:spacing w:before="66"/>
      </w:pPr>
      <w:r>
        <w:t>sentence</w:t>
      </w:r>
      <w:r>
        <w:rPr>
          <w:spacing w:val="-3"/>
        </w:rPr>
        <w:t xml:space="preserve"> </w:t>
      </w:r>
      <w:r>
        <w:t>“if</w:t>
      </w:r>
      <w:r>
        <w:rPr>
          <w:spacing w:val="-3"/>
        </w:rPr>
        <w:t xml:space="preserve"> </w:t>
      </w:r>
      <w:r>
        <w:t>S</w:t>
      </w:r>
      <w:r>
        <w:rPr>
          <w:position w:val="-7"/>
          <w:sz w:val="22"/>
        </w:rPr>
        <w:t>1</w:t>
      </w:r>
      <w:r>
        <w:t>,</w:t>
      </w:r>
      <w:r>
        <w:rPr>
          <w:spacing w:val="-2"/>
        </w:rPr>
        <w:t xml:space="preserve"> </w:t>
      </w:r>
      <w:r>
        <w:t>then</w:t>
      </w:r>
      <w:r>
        <w:rPr>
          <w:spacing w:val="-2"/>
        </w:rPr>
        <w:t xml:space="preserve"> </w:t>
      </w:r>
      <w:r>
        <w:t>S</w:t>
      </w:r>
      <w:r>
        <w:rPr>
          <w:position w:val="-7"/>
          <w:sz w:val="22"/>
        </w:rPr>
        <w:t>2</w:t>
      </w:r>
      <w:r>
        <w:t>”</w:t>
      </w:r>
      <w:r>
        <w:rPr>
          <w:spacing w:val="-3"/>
        </w:rPr>
        <w:t xml:space="preserve"> </w:t>
      </w:r>
      <w:r>
        <w:t>is</w:t>
      </w:r>
      <w:r>
        <w:rPr>
          <w:spacing w:val="-3"/>
        </w:rPr>
        <w:t xml:space="preserve"> </w:t>
      </w:r>
      <w:r>
        <w:t>formally</w:t>
      </w:r>
      <w:r>
        <w:rPr>
          <w:spacing w:val="-2"/>
        </w:rPr>
        <w:t xml:space="preserve"> </w:t>
      </w:r>
      <w:r>
        <w:rPr>
          <w:spacing w:val="-4"/>
        </w:rPr>
        <w:t>true.</w:t>
      </w:r>
    </w:p>
    <w:p w14:paraId="7E002C2F" w14:textId="77777777" w:rsidR="009A58DB" w:rsidRDefault="009A58DB">
      <w:pPr>
        <w:pStyle w:val="BodyText"/>
        <w:spacing w:before="27"/>
        <w:ind w:left="0"/>
        <w:jc w:val="left"/>
      </w:pPr>
    </w:p>
    <w:p w14:paraId="7E002C30" w14:textId="77777777" w:rsidR="009A58DB" w:rsidRDefault="00000000">
      <w:pPr>
        <w:pStyle w:val="BodyText"/>
        <w:spacing w:line="249" w:lineRule="auto"/>
        <w:ind w:right="363"/>
      </w:pPr>
      <w:r>
        <w:rPr>
          <w:b/>
          <w:i/>
        </w:rPr>
        <w:t xml:space="preserve">Formalization: </w:t>
      </w:r>
      <w:r>
        <w:t>To formalize a discipline is to identify a set of open-sentences such that every proposition belonging to that discipline is either an instance of one of those open-sentences or is a formal consequence of some interpretation of those open-sentences.</w:t>
      </w:r>
    </w:p>
    <w:p w14:paraId="7E002C31" w14:textId="77777777" w:rsidR="009A58DB" w:rsidRDefault="009A58DB">
      <w:pPr>
        <w:pStyle w:val="BodyText"/>
        <w:spacing w:before="20"/>
        <w:ind w:left="0"/>
        <w:jc w:val="left"/>
      </w:pPr>
    </w:p>
    <w:p w14:paraId="7E002C32" w14:textId="77777777" w:rsidR="009A58DB" w:rsidRDefault="00000000">
      <w:pPr>
        <w:ind w:left="360"/>
        <w:jc w:val="both"/>
        <w:rPr>
          <w:sz w:val="30"/>
        </w:rPr>
      </w:pPr>
      <w:r>
        <w:rPr>
          <w:b/>
          <w:i/>
          <w:sz w:val="30"/>
        </w:rPr>
        <w:t>Free</w:t>
      </w:r>
      <w:r>
        <w:rPr>
          <w:b/>
          <w:i/>
          <w:spacing w:val="-6"/>
          <w:sz w:val="30"/>
        </w:rPr>
        <w:t xml:space="preserve"> </w:t>
      </w:r>
      <w:r>
        <w:rPr>
          <w:b/>
          <w:i/>
          <w:sz w:val="30"/>
        </w:rPr>
        <w:t>variable:</w:t>
      </w:r>
      <w:r>
        <w:rPr>
          <w:b/>
          <w:i/>
          <w:spacing w:val="-5"/>
          <w:sz w:val="30"/>
        </w:rPr>
        <w:t xml:space="preserve"> </w:t>
      </w:r>
      <w:r>
        <w:rPr>
          <w:sz w:val="30"/>
        </w:rPr>
        <w:t>See</w:t>
      </w:r>
      <w:r>
        <w:rPr>
          <w:spacing w:val="-5"/>
          <w:sz w:val="30"/>
        </w:rPr>
        <w:t xml:space="preserve"> </w:t>
      </w:r>
      <w:r>
        <w:rPr>
          <w:sz w:val="30"/>
        </w:rPr>
        <w:t>“open-</w:t>
      </w:r>
      <w:r>
        <w:rPr>
          <w:spacing w:val="-2"/>
          <w:sz w:val="30"/>
        </w:rPr>
        <w:t>sentences.”</w:t>
      </w:r>
    </w:p>
    <w:p w14:paraId="7E002C33" w14:textId="77777777" w:rsidR="009A58DB" w:rsidRDefault="009A58DB">
      <w:pPr>
        <w:pStyle w:val="BodyText"/>
        <w:spacing w:before="30"/>
        <w:ind w:left="0"/>
        <w:jc w:val="left"/>
      </w:pPr>
    </w:p>
    <w:p w14:paraId="7E002C34" w14:textId="77777777" w:rsidR="009A58DB" w:rsidRDefault="00000000">
      <w:pPr>
        <w:pStyle w:val="BodyText"/>
        <w:spacing w:line="249" w:lineRule="auto"/>
        <w:ind w:right="358"/>
      </w:pPr>
      <w:r>
        <w:rPr>
          <w:b/>
          <w:i/>
        </w:rPr>
        <w:t>Function:</w:t>
      </w:r>
      <w:r>
        <w:rPr>
          <w:b/>
          <w:i/>
          <w:spacing w:val="-3"/>
        </w:rPr>
        <w:t xml:space="preserve"> </w:t>
      </w:r>
      <w:r>
        <w:t>A rule that assigns no more than one object to each object in some specified class of objects. Thus, the rule that assigns the number two to the number one, and the number four to the number two, etc., is a function. (In other words, F(x) = 2x is a function.) But, importantly, not all functions involve numbers—a fact that Frege turned to good account.</w:t>
      </w:r>
    </w:p>
    <w:p w14:paraId="7E002C35" w14:textId="77777777" w:rsidR="009A58DB" w:rsidRDefault="009A58DB">
      <w:pPr>
        <w:pStyle w:val="BodyText"/>
        <w:spacing w:before="21"/>
        <w:ind w:left="0"/>
        <w:jc w:val="left"/>
      </w:pPr>
    </w:p>
    <w:p w14:paraId="7E002C36" w14:textId="77777777" w:rsidR="009A58DB" w:rsidRDefault="00000000">
      <w:pPr>
        <w:pStyle w:val="BodyText"/>
        <w:spacing w:line="249" w:lineRule="auto"/>
        <w:ind w:right="358"/>
      </w:pPr>
      <w:r>
        <w:rPr>
          <w:b/>
          <w:i/>
        </w:rPr>
        <w:t xml:space="preserve">Functionalism: </w:t>
      </w:r>
      <w:r>
        <w:t>The doctrine that for x to be a mental state of a given kind (e.g., for it to be a belief that snow is white) is for it to have certain effects and certain causes. (More formally: given any mental category M, there are certain causes and certain effects such that, given any entity x, x falls into M iff x has those causes and those effects.) Thus, anything that has the causes and effects of (say) a belief that snow is white is itself, for that very reason, a belief that snow is white. See “materialism.”</w:t>
      </w:r>
    </w:p>
    <w:p w14:paraId="7E002C37" w14:textId="77777777" w:rsidR="009A58DB" w:rsidRDefault="009A58DB">
      <w:pPr>
        <w:pStyle w:val="BodyText"/>
        <w:spacing w:before="24"/>
        <w:ind w:left="0"/>
        <w:jc w:val="left"/>
      </w:pPr>
    </w:p>
    <w:p w14:paraId="7E002C38" w14:textId="77777777" w:rsidR="009A58DB" w:rsidRDefault="00000000">
      <w:pPr>
        <w:pStyle w:val="BodyText"/>
        <w:spacing w:line="249" w:lineRule="auto"/>
        <w:ind w:right="360"/>
      </w:pPr>
      <w:r>
        <w:rPr>
          <w:b/>
          <w:i/>
        </w:rPr>
        <w:t xml:space="preserve">Hedonism (first meaning): </w:t>
      </w:r>
      <w:r>
        <w:t xml:space="preserve">The psychological doctrine that nobody can do anything other than pursue his or own pleasure. One problem with this doctrine is that not all forms of well-being are identical with the experiencing of pleasure. In fact, not all forms of </w:t>
      </w:r>
      <w:r>
        <w:rPr>
          <w:i/>
        </w:rPr>
        <w:t xml:space="preserve">enjoyment </w:t>
      </w:r>
      <w:r>
        <w:t xml:space="preserve">are identical with pleasure. I enjoy playing tennis. I experience pleasure when I have a few beers. My agency is implicated in the enjoyment I derive from tennis. The joy I derive from tennis is joy that I </w:t>
      </w:r>
      <w:r>
        <w:rPr>
          <w:i/>
        </w:rPr>
        <w:t>earn</w:t>
      </w:r>
      <w:r>
        <w:t>. By contrast, the joy I derive from alcohol is not</w:t>
      </w:r>
    </w:p>
    <w:p w14:paraId="7E002C3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3A" w14:textId="77777777" w:rsidR="009A58DB" w:rsidRDefault="00000000">
      <w:pPr>
        <w:pStyle w:val="BodyText"/>
        <w:spacing w:before="65" w:line="249" w:lineRule="auto"/>
        <w:ind w:right="357"/>
      </w:pPr>
      <w:r>
        <w:lastRenderedPageBreak/>
        <w:t xml:space="preserve">joy that I earn. My agency isn’t involved. (My agency is involved in lifting the bottle to my mouth. But whereas that act is only a means to the actual source of pleasure—namely, the biochemical reactions that take place in my liver—the act of hitting a good backhand is </w:t>
      </w:r>
      <w:r>
        <w:rPr>
          <w:i/>
        </w:rPr>
        <w:t xml:space="preserve">itself </w:t>
      </w:r>
      <w:r>
        <w:t>a source of joy; it is constitutively, as opposed to merely instrumentally, involved in the joy I experience when I play tennis.) The word “pleasure” denotes enjoyment of this (non-agential) kind. The contempt that puritans have for pleasure is rooted in the fact that, whereas one’s agency and, therefore, one’s self are implicated in the joy that (for example) playing tennis brings, they are not implicated in the joy brought by narcotics-use and (with some qualifications) by sexual activity. So even though it probably isn’t psychologically healthy</w:t>
      </w:r>
      <w:r>
        <w:rPr>
          <w:spacing w:val="40"/>
        </w:rPr>
        <w:t xml:space="preserve"> </w:t>
      </w:r>
      <w:r>
        <w:t>to have such a severe attitude towards such pleasures, the puritan’s view of them embodies the important insight that, so far as one seeks pleasure, one seeks an effacement of self. Thus, a certain respect for human beings (</w:t>
      </w:r>
      <w:r>
        <w:rPr>
          <w:i/>
        </w:rPr>
        <w:t xml:space="preserve">qua </w:t>
      </w:r>
      <w:r>
        <w:t>agents)</w:t>
      </w:r>
      <w:r>
        <w:rPr>
          <w:spacing w:val="-1"/>
        </w:rPr>
        <w:t xml:space="preserve"> </w:t>
      </w:r>
      <w:r>
        <w:t>is</w:t>
      </w:r>
      <w:r>
        <w:rPr>
          <w:spacing w:val="-1"/>
        </w:rPr>
        <w:t xml:space="preserve"> </w:t>
      </w:r>
      <w:r>
        <w:t>inherent</w:t>
      </w:r>
      <w:r>
        <w:rPr>
          <w:spacing w:val="-1"/>
        </w:rPr>
        <w:t xml:space="preserve"> </w:t>
      </w:r>
      <w:r>
        <w:t>in</w:t>
      </w:r>
      <w:r>
        <w:rPr>
          <w:spacing w:val="-1"/>
        </w:rPr>
        <w:t xml:space="preserve"> </w:t>
      </w:r>
      <w:r>
        <w:t>the</w:t>
      </w:r>
      <w:r>
        <w:rPr>
          <w:spacing w:val="-1"/>
        </w:rPr>
        <w:t xml:space="preserve"> </w:t>
      </w:r>
      <w:r>
        <w:t>puritan’s</w:t>
      </w:r>
      <w:r>
        <w:rPr>
          <w:spacing w:val="-1"/>
        </w:rPr>
        <w:t xml:space="preserve"> </w:t>
      </w:r>
      <w:r>
        <w:t>view,</w:t>
      </w:r>
      <w:r>
        <w:rPr>
          <w:spacing w:val="-1"/>
        </w:rPr>
        <w:t xml:space="preserve"> </w:t>
      </w:r>
      <w:r>
        <w:t>and</w:t>
      </w:r>
      <w:r>
        <w:rPr>
          <w:spacing w:val="-1"/>
        </w:rPr>
        <w:t xml:space="preserve"> </w:t>
      </w:r>
      <w:r>
        <w:t>a</w:t>
      </w:r>
      <w:r>
        <w:rPr>
          <w:spacing w:val="-1"/>
        </w:rPr>
        <w:t xml:space="preserve"> </w:t>
      </w:r>
      <w:r>
        <w:t>respect</w:t>
      </w:r>
      <w:r>
        <w:rPr>
          <w:spacing w:val="-1"/>
        </w:rPr>
        <w:t xml:space="preserve"> </w:t>
      </w:r>
      <w:r>
        <w:t>for</w:t>
      </w:r>
      <w:r>
        <w:rPr>
          <w:spacing w:val="-1"/>
        </w:rPr>
        <w:t xml:space="preserve"> </w:t>
      </w:r>
      <w:r>
        <w:t>people</w:t>
      </w:r>
      <w:r>
        <w:rPr>
          <w:spacing w:val="-1"/>
        </w:rPr>
        <w:t xml:space="preserve"> </w:t>
      </w:r>
      <w:r>
        <w:t>(</w:t>
      </w:r>
      <w:r>
        <w:rPr>
          <w:i/>
        </w:rPr>
        <w:t>qua</w:t>
      </w:r>
      <w:r>
        <w:rPr>
          <w:i/>
          <w:spacing w:val="-3"/>
        </w:rPr>
        <w:t xml:space="preserve"> </w:t>
      </w:r>
      <w:r>
        <w:t xml:space="preserve">agents) is </w:t>
      </w:r>
      <w:r>
        <w:rPr>
          <w:i/>
        </w:rPr>
        <w:t xml:space="preserve">absent </w:t>
      </w:r>
      <w:r>
        <w:t>from the hedonist’s view. Where the puritan goes wrong is in his failure to see that a psychobiological prerequisite for mental health, and thus for retention of one’s agency, is a certain amount of passive gratification.</w:t>
      </w:r>
    </w:p>
    <w:p w14:paraId="7E002C3B" w14:textId="77777777" w:rsidR="009A58DB" w:rsidRDefault="009A58DB">
      <w:pPr>
        <w:pStyle w:val="BodyText"/>
        <w:spacing w:before="37"/>
        <w:ind w:left="0"/>
        <w:jc w:val="left"/>
      </w:pPr>
    </w:p>
    <w:p w14:paraId="7E002C3C" w14:textId="77777777" w:rsidR="009A58DB" w:rsidRDefault="00000000">
      <w:pPr>
        <w:spacing w:line="249" w:lineRule="auto"/>
        <w:ind w:left="360" w:right="371"/>
        <w:jc w:val="both"/>
        <w:rPr>
          <w:sz w:val="30"/>
        </w:rPr>
      </w:pPr>
      <w:r>
        <w:rPr>
          <w:b/>
          <w:i/>
          <w:sz w:val="30"/>
        </w:rPr>
        <w:t xml:space="preserve">Hedonism (second meaning): </w:t>
      </w:r>
      <w:r>
        <w:rPr>
          <w:sz w:val="30"/>
        </w:rPr>
        <w:t>The ethical doctrine that nobody ought to do anything other than pursue his or own pleasure.</w:t>
      </w:r>
    </w:p>
    <w:p w14:paraId="7E002C3D"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C3E" w14:textId="77777777" w:rsidR="009A58DB" w:rsidRDefault="00000000">
      <w:pPr>
        <w:pStyle w:val="BodyText"/>
        <w:spacing w:before="65" w:line="249" w:lineRule="auto"/>
        <w:ind w:right="362"/>
        <w:rPr>
          <w:i/>
        </w:rPr>
      </w:pPr>
      <w:r>
        <w:rPr>
          <w:b/>
          <w:i/>
        </w:rPr>
        <w:t xml:space="preserve">Higher-order property: </w:t>
      </w:r>
      <w:r>
        <w:t xml:space="preserve">A property of a property. The property of being a bird has many properties. It has the property of being such that there are instances of it. In other words, it has the property of being </w:t>
      </w:r>
      <w:r>
        <w:rPr>
          <w:i/>
        </w:rPr>
        <w:t>instantiated.</w:t>
      </w:r>
    </w:p>
    <w:p w14:paraId="7E002C3F" w14:textId="77777777" w:rsidR="009A58DB" w:rsidRDefault="00000000">
      <w:pPr>
        <w:pStyle w:val="BodyText"/>
        <w:spacing w:before="3" w:line="249" w:lineRule="auto"/>
        <w:ind w:right="359" w:firstLine="360"/>
        <w:rPr>
          <w:i/>
        </w:rPr>
      </w:pPr>
      <w:r>
        <w:t xml:space="preserve">The property of being a golden mountain does </w:t>
      </w:r>
      <w:r>
        <w:rPr>
          <w:i/>
        </w:rPr>
        <w:t xml:space="preserve">not </w:t>
      </w:r>
      <w:r>
        <w:t>have that property,</w:t>
      </w:r>
      <w:r>
        <w:rPr>
          <w:spacing w:val="40"/>
        </w:rPr>
        <w:t xml:space="preserve"> </w:t>
      </w:r>
      <w:r>
        <w:t xml:space="preserve">since there are no instances of it. It thus has the property of being </w:t>
      </w:r>
      <w:r>
        <w:rPr>
          <w:i/>
          <w:spacing w:val="-2"/>
        </w:rPr>
        <w:t>uninstantiated.</w:t>
      </w:r>
    </w:p>
    <w:p w14:paraId="7E002C40" w14:textId="77777777" w:rsidR="009A58DB" w:rsidRDefault="00000000">
      <w:pPr>
        <w:pStyle w:val="BodyText"/>
        <w:spacing w:before="4" w:line="249" w:lineRule="auto"/>
        <w:ind w:right="370" w:firstLine="360"/>
      </w:pPr>
      <w:r>
        <w:t>Instantiatedness and un-instantiatedness are the two most important higher-order properties.</w:t>
      </w:r>
    </w:p>
    <w:p w14:paraId="7E002C41" w14:textId="77777777" w:rsidR="009A58DB" w:rsidRDefault="00000000">
      <w:pPr>
        <w:pStyle w:val="BodyText"/>
        <w:spacing w:before="2" w:line="249" w:lineRule="auto"/>
        <w:ind w:right="359" w:firstLine="360"/>
      </w:pPr>
      <w:r>
        <w:t>The property of being a person has the property of being such that each of its instances also has the property of being a mammal.</w:t>
      </w:r>
    </w:p>
    <w:p w14:paraId="7E002C42" w14:textId="77777777" w:rsidR="009A58DB" w:rsidRDefault="00000000">
      <w:pPr>
        <w:spacing w:before="3" w:line="249" w:lineRule="auto"/>
        <w:ind w:left="360" w:right="359" w:firstLine="360"/>
        <w:jc w:val="both"/>
        <w:rPr>
          <w:i/>
          <w:sz w:val="30"/>
        </w:rPr>
      </w:pPr>
      <w:r>
        <w:rPr>
          <w:sz w:val="30"/>
        </w:rPr>
        <w:t xml:space="preserve">Many sentences (propositions) that appear to be about individuals are in fact about properties. Frege discovered this, and it is undoubtedly the most important insight in the history of semantics. The expressions “exist” and “doesn’t exist” refer to higher-order properties. So “even numbers exist” means: </w:t>
      </w:r>
      <w:r>
        <w:rPr>
          <w:i/>
          <w:sz w:val="30"/>
        </w:rPr>
        <w:t xml:space="preserve">the property of being an even number is instantiated. </w:t>
      </w:r>
      <w:r>
        <w:rPr>
          <w:sz w:val="30"/>
        </w:rPr>
        <w:t xml:space="preserve">Thus, when appropriately re-parsed, “exist” proves to mean </w:t>
      </w:r>
      <w:r>
        <w:rPr>
          <w:i/>
          <w:sz w:val="30"/>
        </w:rPr>
        <w:t xml:space="preserve">is instantiated </w:t>
      </w:r>
      <w:r>
        <w:rPr>
          <w:sz w:val="30"/>
        </w:rPr>
        <w:t xml:space="preserve">and “even number,” in that context, proves to mean </w:t>
      </w:r>
      <w:r>
        <w:rPr>
          <w:i/>
          <w:sz w:val="30"/>
        </w:rPr>
        <w:t xml:space="preserve">the property of being an even </w:t>
      </w:r>
      <w:r>
        <w:rPr>
          <w:i/>
          <w:spacing w:val="-2"/>
          <w:sz w:val="30"/>
        </w:rPr>
        <w:t>number.</w:t>
      </w:r>
    </w:p>
    <w:p w14:paraId="7E002C43" w14:textId="77777777" w:rsidR="009A58DB" w:rsidRDefault="00000000">
      <w:pPr>
        <w:spacing w:before="10" w:line="249" w:lineRule="auto"/>
        <w:ind w:left="360" w:right="365" w:firstLine="360"/>
        <w:jc w:val="both"/>
        <w:rPr>
          <w:i/>
          <w:sz w:val="30"/>
        </w:rPr>
      </w:pPr>
      <w:r>
        <w:rPr>
          <w:sz w:val="30"/>
        </w:rPr>
        <w:t xml:space="preserve">And “even prime numbers greater than two don’t exist” means: the property of being an even number greater than two is un-instantiated. Thus, when that sentence is duly re-parsed, “don’t exist” means </w:t>
      </w:r>
      <w:r>
        <w:rPr>
          <w:i/>
          <w:sz w:val="30"/>
        </w:rPr>
        <w:t>is un-instantiated</w:t>
      </w:r>
      <w:r>
        <w:rPr>
          <w:sz w:val="30"/>
        </w:rPr>
        <w:t xml:space="preserve">, and (in that context) “even prime numbers greater than two” means: </w:t>
      </w:r>
      <w:r>
        <w:rPr>
          <w:i/>
          <w:sz w:val="30"/>
        </w:rPr>
        <w:t>the property of being an even number greater than two.</w:t>
      </w:r>
    </w:p>
    <w:p w14:paraId="7E002C44" w14:textId="77777777" w:rsidR="009A58DB" w:rsidRDefault="009A58DB">
      <w:pPr>
        <w:pStyle w:val="BodyText"/>
        <w:spacing w:before="21"/>
        <w:ind w:left="0"/>
        <w:jc w:val="left"/>
        <w:rPr>
          <w:i/>
        </w:rPr>
      </w:pPr>
    </w:p>
    <w:p w14:paraId="7E002C45" w14:textId="77777777" w:rsidR="009A58DB" w:rsidRDefault="00000000">
      <w:pPr>
        <w:pStyle w:val="BodyText"/>
        <w:spacing w:line="249" w:lineRule="auto"/>
        <w:ind w:right="360"/>
      </w:pPr>
      <w:r>
        <w:rPr>
          <w:b/>
          <w:i/>
        </w:rPr>
        <w:t>“Iff,”</w:t>
      </w:r>
      <w:r>
        <w:rPr>
          <w:b/>
          <w:i/>
          <w:spacing w:val="-14"/>
        </w:rPr>
        <w:t xml:space="preserve"> </w:t>
      </w:r>
      <w:r>
        <w:rPr>
          <w:b/>
          <w:i/>
        </w:rPr>
        <w:t>“just</w:t>
      </w:r>
      <w:r>
        <w:rPr>
          <w:b/>
          <w:i/>
          <w:spacing w:val="-1"/>
        </w:rPr>
        <w:t xml:space="preserve"> </w:t>
      </w:r>
      <w:r>
        <w:rPr>
          <w:b/>
          <w:i/>
        </w:rPr>
        <w:t>in</w:t>
      </w:r>
      <w:r>
        <w:rPr>
          <w:b/>
          <w:i/>
          <w:spacing w:val="-1"/>
        </w:rPr>
        <w:t xml:space="preserve"> </w:t>
      </w:r>
      <w:r>
        <w:rPr>
          <w:b/>
          <w:i/>
        </w:rPr>
        <w:t>case,”</w:t>
      </w:r>
      <w:r>
        <w:rPr>
          <w:b/>
          <w:i/>
          <w:spacing w:val="-1"/>
        </w:rPr>
        <w:t xml:space="preserve"> </w:t>
      </w:r>
      <w:r>
        <w:rPr>
          <w:b/>
          <w:i/>
        </w:rPr>
        <w:t>“exactly</w:t>
      </w:r>
      <w:r>
        <w:rPr>
          <w:b/>
          <w:i/>
          <w:spacing w:val="-1"/>
        </w:rPr>
        <w:t xml:space="preserve"> </w:t>
      </w:r>
      <w:r>
        <w:rPr>
          <w:b/>
          <w:i/>
        </w:rPr>
        <w:t>if,”</w:t>
      </w:r>
      <w:r>
        <w:rPr>
          <w:b/>
          <w:i/>
          <w:spacing w:val="-1"/>
        </w:rPr>
        <w:t xml:space="preserve"> </w:t>
      </w:r>
      <w:r>
        <w:rPr>
          <w:b/>
          <w:i/>
        </w:rPr>
        <w:t>“</w:t>
      </w:r>
      <w:r>
        <w:t>↔</w:t>
      </w:r>
      <w:r>
        <w:rPr>
          <w:b/>
          <w:i/>
        </w:rPr>
        <w:t>’:</w:t>
      </w:r>
      <w:r>
        <w:rPr>
          <w:b/>
          <w:i/>
          <w:spacing w:val="-4"/>
        </w:rPr>
        <w:t xml:space="preserve"> </w:t>
      </w:r>
      <w:r>
        <w:t>“Iff</w:t>
      </w:r>
      <w:r>
        <w:rPr>
          <w:spacing w:val="-19"/>
        </w:rPr>
        <w:t xml:space="preserve"> </w:t>
      </w:r>
      <w:r>
        <w:t>” abbreviates “if and only if.” “P iff Q” means that P and Q are equivalent. “just in case” and “exactly if” are synonyms of “iff.” So “P just in case Q” means the same thing as “P iff Q,” and each means the same thing as “P exactly if Q”; and each of those means the same thing as “P→Q.”</w:t>
      </w:r>
    </w:p>
    <w:p w14:paraId="7E002C46" w14:textId="77777777" w:rsidR="009A58DB" w:rsidRDefault="009A58DB">
      <w:pPr>
        <w:pStyle w:val="BodyText"/>
        <w:spacing w:before="21"/>
        <w:ind w:left="0"/>
        <w:jc w:val="left"/>
      </w:pPr>
    </w:p>
    <w:p w14:paraId="7E002C47" w14:textId="77777777" w:rsidR="009A58DB" w:rsidRDefault="00000000">
      <w:pPr>
        <w:pStyle w:val="BodyText"/>
        <w:spacing w:line="249" w:lineRule="auto"/>
        <w:ind w:right="357"/>
      </w:pPr>
      <w:r>
        <w:rPr>
          <w:b/>
          <w:i/>
        </w:rPr>
        <w:t xml:space="preserve">Incompatibilism: </w:t>
      </w:r>
      <w:r>
        <w:t>The doctrine that there cannot be personal freedom in a deterministic world. “Compatibilism” is the doctrine that incompatibilism is false. See “determinism” and “compatibilism.”</w:t>
      </w:r>
    </w:p>
    <w:p w14:paraId="7E002C48" w14:textId="77777777" w:rsidR="009A58DB" w:rsidRDefault="009A58DB">
      <w:pPr>
        <w:pStyle w:val="BodyText"/>
        <w:spacing w:before="19"/>
        <w:ind w:left="0"/>
        <w:jc w:val="left"/>
      </w:pPr>
    </w:p>
    <w:p w14:paraId="7E002C49" w14:textId="77777777" w:rsidR="009A58DB" w:rsidRDefault="00000000">
      <w:pPr>
        <w:pStyle w:val="BodyText"/>
      </w:pPr>
      <w:r>
        <w:rPr>
          <w:b/>
          <w:i/>
        </w:rPr>
        <w:t>Incompatible:</w:t>
      </w:r>
      <w:r>
        <w:rPr>
          <w:b/>
          <w:i/>
          <w:spacing w:val="26"/>
        </w:rPr>
        <w:t xml:space="preserve"> </w:t>
      </w:r>
      <w:r>
        <w:t>P</w:t>
      </w:r>
      <w:r>
        <w:rPr>
          <w:spacing w:val="28"/>
        </w:rPr>
        <w:t xml:space="preserve"> </w:t>
      </w:r>
      <w:r>
        <w:t>and</w:t>
      </w:r>
      <w:r>
        <w:rPr>
          <w:spacing w:val="29"/>
        </w:rPr>
        <w:t xml:space="preserve"> </w:t>
      </w:r>
      <w:r>
        <w:t>Q</w:t>
      </w:r>
      <w:r>
        <w:rPr>
          <w:spacing w:val="28"/>
        </w:rPr>
        <w:t xml:space="preserve"> </w:t>
      </w:r>
      <w:r>
        <w:t>are</w:t>
      </w:r>
      <w:r>
        <w:rPr>
          <w:spacing w:val="29"/>
        </w:rPr>
        <w:t xml:space="preserve"> </w:t>
      </w:r>
      <w:r>
        <w:t>incompatible</w:t>
      </w:r>
      <w:r>
        <w:rPr>
          <w:spacing w:val="29"/>
        </w:rPr>
        <w:t xml:space="preserve"> </w:t>
      </w:r>
      <w:r>
        <w:t>if</w:t>
      </w:r>
      <w:r>
        <w:rPr>
          <w:spacing w:val="28"/>
        </w:rPr>
        <w:t xml:space="preserve"> </w:t>
      </w:r>
      <w:r>
        <w:t>they</w:t>
      </w:r>
      <w:r>
        <w:rPr>
          <w:spacing w:val="29"/>
        </w:rPr>
        <w:t xml:space="preserve"> </w:t>
      </w:r>
      <w:r>
        <w:t>can’t</w:t>
      </w:r>
      <w:r>
        <w:rPr>
          <w:spacing w:val="29"/>
        </w:rPr>
        <w:t xml:space="preserve"> </w:t>
      </w:r>
      <w:r>
        <w:t>both</w:t>
      </w:r>
      <w:r>
        <w:rPr>
          <w:spacing w:val="28"/>
        </w:rPr>
        <w:t xml:space="preserve"> </w:t>
      </w:r>
      <w:r>
        <w:t>be</w:t>
      </w:r>
      <w:r>
        <w:rPr>
          <w:spacing w:val="29"/>
        </w:rPr>
        <w:t xml:space="preserve"> </w:t>
      </w:r>
      <w:r>
        <w:t>true.</w:t>
      </w:r>
      <w:r>
        <w:rPr>
          <w:spacing w:val="29"/>
        </w:rPr>
        <w:t xml:space="preserve"> </w:t>
      </w:r>
      <w:r>
        <w:t>Thus,</w:t>
      </w:r>
      <w:r>
        <w:rPr>
          <w:spacing w:val="29"/>
        </w:rPr>
        <w:t xml:space="preserve"> </w:t>
      </w:r>
      <w:r>
        <w:rPr>
          <w:spacing w:val="-10"/>
        </w:rPr>
        <w:t>P</w:t>
      </w:r>
    </w:p>
    <w:p w14:paraId="7E002C4A" w14:textId="77777777" w:rsidR="009A58DB" w:rsidRDefault="009A58DB">
      <w:pPr>
        <w:pStyle w:val="BodyText"/>
        <w:sectPr w:rsidR="009A58DB">
          <w:pgSz w:w="12240" w:h="15840"/>
          <w:pgMar w:top="1740" w:right="1080" w:bottom="280" w:left="1080" w:header="720" w:footer="720" w:gutter="0"/>
          <w:cols w:space="720"/>
        </w:sectPr>
      </w:pPr>
    </w:p>
    <w:p w14:paraId="7E002C4B" w14:textId="77777777" w:rsidR="009A58DB" w:rsidRDefault="00000000">
      <w:pPr>
        <w:spacing w:before="65" w:line="249" w:lineRule="auto"/>
        <w:ind w:left="360" w:right="361"/>
        <w:jc w:val="both"/>
        <w:rPr>
          <w:sz w:val="30"/>
        </w:rPr>
      </w:pPr>
      <w:r>
        <w:rPr>
          <w:sz w:val="30"/>
        </w:rPr>
        <w:t>and</w:t>
      </w:r>
      <w:r>
        <w:rPr>
          <w:spacing w:val="-1"/>
          <w:sz w:val="30"/>
        </w:rPr>
        <w:t xml:space="preserve"> </w:t>
      </w:r>
      <w:r>
        <w:rPr>
          <w:sz w:val="30"/>
        </w:rPr>
        <w:t>Q</w:t>
      </w:r>
      <w:r>
        <w:rPr>
          <w:spacing w:val="-1"/>
          <w:sz w:val="30"/>
        </w:rPr>
        <w:t xml:space="preserve"> </w:t>
      </w:r>
      <w:r>
        <w:rPr>
          <w:sz w:val="30"/>
        </w:rPr>
        <w:t>are incompatible if, supposing</w:t>
      </w:r>
      <w:r>
        <w:rPr>
          <w:spacing w:val="-1"/>
          <w:sz w:val="30"/>
        </w:rPr>
        <w:t xml:space="preserve"> </w:t>
      </w:r>
      <w:r>
        <w:rPr>
          <w:sz w:val="30"/>
        </w:rPr>
        <w:t>that</w:t>
      </w:r>
      <w:r>
        <w:rPr>
          <w:spacing w:val="-1"/>
          <w:sz w:val="30"/>
        </w:rPr>
        <w:t xml:space="preserve"> </w:t>
      </w:r>
      <w:r>
        <w:rPr>
          <w:sz w:val="30"/>
        </w:rPr>
        <w:t>the one is true,</w:t>
      </w:r>
      <w:r>
        <w:rPr>
          <w:spacing w:val="-1"/>
          <w:sz w:val="30"/>
        </w:rPr>
        <w:t xml:space="preserve"> </w:t>
      </w:r>
      <w:r>
        <w:rPr>
          <w:sz w:val="30"/>
        </w:rPr>
        <w:t>the other</w:t>
      </w:r>
      <w:r>
        <w:rPr>
          <w:spacing w:val="-1"/>
          <w:sz w:val="30"/>
        </w:rPr>
        <w:t xml:space="preserve"> </w:t>
      </w:r>
      <w:r>
        <w:rPr>
          <w:sz w:val="30"/>
        </w:rPr>
        <w:t xml:space="preserve">is false. So </w:t>
      </w:r>
      <w:r>
        <w:rPr>
          <w:i/>
          <w:sz w:val="30"/>
        </w:rPr>
        <w:t xml:space="preserve">JM is a philosophy professor </w:t>
      </w:r>
      <w:r>
        <w:rPr>
          <w:sz w:val="30"/>
        </w:rPr>
        <w:t xml:space="preserve">is incompatible with </w:t>
      </w:r>
      <w:r>
        <w:rPr>
          <w:i/>
          <w:sz w:val="30"/>
        </w:rPr>
        <w:t>JM is not an instructor of any kind</w:t>
      </w:r>
      <w:r>
        <w:rPr>
          <w:sz w:val="30"/>
        </w:rPr>
        <w:t>, since they cannot both be true. See “compatible.”</w:t>
      </w:r>
    </w:p>
    <w:p w14:paraId="7E002C4C" w14:textId="77777777" w:rsidR="009A58DB" w:rsidRDefault="009A58DB">
      <w:pPr>
        <w:pStyle w:val="BodyText"/>
        <w:spacing w:before="18"/>
        <w:ind w:left="0"/>
        <w:jc w:val="left"/>
      </w:pPr>
    </w:p>
    <w:p w14:paraId="7E002C4D" w14:textId="77777777" w:rsidR="009A58DB" w:rsidRDefault="00000000">
      <w:pPr>
        <w:spacing w:line="249" w:lineRule="auto"/>
        <w:ind w:left="360" w:right="368"/>
        <w:jc w:val="both"/>
        <w:rPr>
          <w:sz w:val="30"/>
        </w:rPr>
      </w:pPr>
      <w:r>
        <w:rPr>
          <w:b/>
          <w:i/>
          <w:sz w:val="30"/>
        </w:rPr>
        <w:t xml:space="preserve">Identity of Indiscernibles: </w:t>
      </w:r>
      <w:r>
        <w:rPr>
          <w:sz w:val="30"/>
        </w:rPr>
        <w:t>If x has every property that y has, and vice versa, then x is numerically identical with y.</w:t>
      </w:r>
    </w:p>
    <w:p w14:paraId="7E002C4E" w14:textId="77777777" w:rsidR="009A58DB" w:rsidRDefault="009A58DB">
      <w:pPr>
        <w:pStyle w:val="BodyText"/>
        <w:spacing w:before="18"/>
        <w:ind w:left="0"/>
        <w:jc w:val="left"/>
      </w:pPr>
    </w:p>
    <w:p w14:paraId="7E002C4F" w14:textId="77777777" w:rsidR="009A58DB" w:rsidRDefault="00000000">
      <w:pPr>
        <w:pStyle w:val="BodyText"/>
        <w:spacing w:line="249" w:lineRule="auto"/>
        <w:ind w:right="358"/>
      </w:pPr>
      <w:r>
        <w:rPr>
          <w:b/>
          <w:i/>
        </w:rPr>
        <w:t xml:space="preserve">Indeterminism: </w:t>
      </w:r>
      <w:r>
        <w:t xml:space="preserve">The doctrine that some things are uncaused. See </w:t>
      </w:r>
      <w:r>
        <w:rPr>
          <w:spacing w:val="-2"/>
        </w:rPr>
        <w:t>“determinism.”</w:t>
      </w:r>
    </w:p>
    <w:p w14:paraId="7E002C50" w14:textId="77777777" w:rsidR="009A58DB" w:rsidRDefault="009A58DB">
      <w:pPr>
        <w:pStyle w:val="BodyText"/>
        <w:spacing w:before="17"/>
        <w:ind w:left="0"/>
        <w:jc w:val="left"/>
      </w:pPr>
    </w:p>
    <w:p w14:paraId="7E002C51" w14:textId="77777777" w:rsidR="009A58DB" w:rsidRDefault="00000000">
      <w:pPr>
        <w:pStyle w:val="BodyText"/>
        <w:spacing w:line="249" w:lineRule="auto"/>
        <w:ind w:right="357"/>
      </w:pPr>
      <w:r>
        <w:rPr>
          <w:b/>
          <w:i/>
        </w:rPr>
        <w:t xml:space="preserve">Indexical: </w:t>
      </w:r>
      <w:r>
        <w:t>An indexical is an expression whose referent depends in a systematic manner on the context of utterance. (More precisely, an indexical is an expression-type E such that the semantic rule for E is to the effect that what a given token of E refers to is a function of some fact about the context of utterance.) If, on April 25, 2009, I say “today it’s sunny,” my utterance of “today” picks out April 25, 2009. If, on Feb. 4, 2024, I say “today it’s not sunny,” my utterance of “today” picks out Feb. 4, 2024. (That is why those utterances don’t contradict each other and, therefore, can both be true.) In general, an utterance of “today” refers to the day on which that utterance occurs. Thus, what such an utterance refers to depends in a principled (rule-governed) and therefore systematic way on some fact about the context.</w:t>
      </w:r>
      <w:r>
        <w:rPr>
          <w:spacing w:val="40"/>
        </w:rPr>
        <w:t xml:space="preserve"> </w:t>
      </w:r>
      <w:r>
        <w:t xml:space="preserve">Thus, “today” is an </w:t>
      </w:r>
      <w:r>
        <w:rPr>
          <w:i/>
        </w:rPr>
        <w:t>indexical.</w:t>
      </w:r>
      <w:r>
        <w:rPr>
          <w:i/>
          <w:spacing w:val="-3"/>
        </w:rPr>
        <w:t xml:space="preserve"> </w:t>
      </w:r>
      <w:r>
        <w:t>Other examples of indexicals are: “yesterday,” “now,” and “here.” See “ambiguity.”</w:t>
      </w:r>
    </w:p>
    <w:p w14:paraId="7E002C52" w14:textId="77777777" w:rsidR="009A58DB" w:rsidRDefault="009A58DB">
      <w:pPr>
        <w:pStyle w:val="BodyText"/>
        <w:spacing w:before="31"/>
        <w:ind w:left="0"/>
        <w:jc w:val="left"/>
      </w:pPr>
    </w:p>
    <w:p w14:paraId="7E002C53" w14:textId="77777777" w:rsidR="009A58DB" w:rsidRDefault="00000000">
      <w:pPr>
        <w:pStyle w:val="BodyText"/>
        <w:spacing w:line="249" w:lineRule="auto"/>
        <w:ind w:right="358"/>
      </w:pPr>
      <w:r>
        <w:rPr>
          <w:b/>
          <w:i/>
        </w:rPr>
        <w:t xml:space="preserve">Indicative conditional: </w:t>
      </w:r>
      <w:r>
        <w:t>A conditional that isn’t a counterfactual conditional. In other words, the antecedent of an indicative conditional isn’t assumed to</w:t>
      </w:r>
      <w:r>
        <w:rPr>
          <w:spacing w:val="40"/>
        </w:rPr>
        <w:t xml:space="preserve"> </w:t>
      </w:r>
      <w:r>
        <w:t xml:space="preserve">be false (though it isn’t assumed to be true). “If Smith is at the airport, then he’s probably at the baggage carousel” is an indicative conditional, since it is left open whether or not Smith is at the airport. “If Smith </w:t>
      </w:r>
      <w:r>
        <w:rPr>
          <w:i/>
        </w:rPr>
        <w:t xml:space="preserve">had </w:t>
      </w:r>
      <w:r>
        <w:t xml:space="preserve">been at the airport, he </w:t>
      </w:r>
      <w:r>
        <w:rPr>
          <w:i/>
        </w:rPr>
        <w:t xml:space="preserve">would </w:t>
      </w:r>
      <w:r>
        <w:t xml:space="preserve">have been at the baggage carousel” is a counterfactual conditional, since it is being presumed that Smith was </w:t>
      </w:r>
      <w:r>
        <w:rPr>
          <w:i/>
        </w:rPr>
        <w:t xml:space="preserve">not </w:t>
      </w:r>
      <w:r>
        <w:t>at the airport. See “conditional” and “counterfactual.”</w:t>
      </w:r>
    </w:p>
    <w:p w14:paraId="7E002C54" w14:textId="77777777" w:rsidR="009A58DB" w:rsidRDefault="00000000">
      <w:pPr>
        <w:spacing w:before="10" w:line="249" w:lineRule="auto"/>
        <w:ind w:left="360" w:right="360"/>
        <w:jc w:val="both"/>
        <w:rPr>
          <w:sz w:val="30"/>
        </w:rPr>
      </w:pPr>
      <w:r>
        <w:rPr>
          <w:b/>
          <w:i/>
          <w:sz w:val="30"/>
        </w:rPr>
        <w:t xml:space="preserve">Indiscernibility of Identicals: </w:t>
      </w:r>
      <w:r>
        <w:rPr>
          <w:sz w:val="30"/>
        </w:rPr>
        <w:t>Same as Leibniz’s Law (if x has every</w:t>
      </w:r>
      <w:r>
        <w:rPr>
          <w:spacing w:val="40"/>
          <w:sz w:val="30"/>
        </w:rPr>
        <w:t xml:space="preserve"> </w:t>
      </w:r>
      <w:r>
        <w:rPr>
          <w:sz w:val="30"/>
        </w:rPr>
        <w:t xml:space="preserve">property that y has, and </w:t>
      </w:r>
      <w:r>
        <w:rPr>
          <w:i/>
          <w:sz w:val="30"/>
        </w:rPr>
        <w:t>vice versa</w:t>
      </w:r>
      <w:r>
        <w:rPr>
          <w:sz w:val="30"/>
        </w:rPr>
        <w:t>, x and y are numerically identical). See “numerical identity.”</w:t>
      </w:r>
    </w:p>
    <w:p w14:paraId="7E002C55"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C56" w14:textId="77777777" w:rsidR="009A58DB" w:rsidRDefault="00000000">
      <w:pPr>
        <w:pStyle w:val="BodyText"/>
        <w:spacing w:before="65" w:line="249" w:lineRule="auto"/>
        <w:ind w:right="357"/>
      </w:pPr>
      <w:r>
        <w:rPr>
          <w:b/>
          <w:i/>
        </w:rPr>
        <w:t xml:space="preserve">Individual: </w:t>
      </w:r>
      <w:r>
        <w:t xml:space="preserve">In analytic philosophy, the word “individual” has two meanings. First meaning: An individual is anything </w:t>
      </w:r>
      <w:r>
        <w:rPr>
          <w:i/>
        </w:rPr>
        <w:t xml:space="preserve">about which </w:t>
      </w:r>
      <w:r>
        <w:t>statements are being made. Rocks, trees, and lizards are individuals in a given context, provided that,</w:t>
      </w:r>
      <w:r>
        <w:rPr>
          <w:spacing w:val="-3"/>
        </w:rPr>
        <w:t xml:space="preserve"> </w:t>
      </w:r>
      <w:r>
        <w:t>in</w:t>
      </w:r>
      <w:r>
        <w:rPr>
          <w:spacing w:val="-2"/>
        </w:rPr>
        <w:t xml:space="preserve"> </w:t>
      </w:r>
      <w:r>
        <w:t>that</w:t>
      </w:r>
      <w:r>
        <w:rPr>
          <w:spacing w:val="-2"/>
        </w:rPr>
        <w:t xml:space="preserve"> </w:t>
      </w:r>
      <w:r>
        <w:t>context,</w:t>
      </w:r>
      <w:r>
        <w:rPr>
          <w:spacing w:val="-2"/>
        </w:rPr>
        <w:t xml:space="preserve"> </w:t>
      </w:r>
      <w:r>
        <w:t>statements</w:t>
      </w:r>
      <w:r>
        <w:rPr>
          <w:spacing w:val="-2"/>
        </w:rPr>
        <w:t xml:space="preserve"> </w:t>
      </w:r>
      <w:r>
        <w:t>are</w:t>
      </w:r>
      <w:r>
        <w:rPr>
          <w:spacing w:val="-2"/>
        </w:rPr>
        <w:t xml:space="preserve"> </w:t>
      </w:r>
      <w:r>
        <w:t>being</w:t>
      </w:r>
      <w:r>
        <w:rPr>
          <w:spacing w:val="-2"/>
        </w:rPr>
        <w:t xml:space="preserve"> </w:t>
      </w:r>
      <w:r>
        <w:t>made</w:t>
      </w:r>
      <w:r>
        <w:rPr>
          <w:spacing w:val="-2"/>
        </w:rPr>
        <w:t xml:space="preserve"> </w:t>
      </w:r>
      <w:r>
        <w:t>about</w:t>
      </w:r>
      <w:r>
        <w:rPr>
          <w:spacing w:val="-2"/>
        </w:rPr>
        <w:t xml:space="preserve"> </w:t>
      </w:r>
      <w:r>
        <w:t>them.</w:t>
      </w:r>
      <w:r>
        <w:rPr>
          <w:spacing w:val="-2"/>
        </w:rPr>
        <w:t xml:space="preserve"> </w:t>
      </w:r>
      <w:r>
        <w:t>If,</w:t>
      </w:r>
      <w:r>
        <w:rPr>
          <w:spacing w:val="-2"/>
        </w:rPr>
        <w:t xml:space="preserve"> </w:t>
      </w:r>
      <w:r>
        <w:t>in</w:t>
      </w:r>
      <w:r>
        <w:rPr>
          <w:spacing w:val="-2"/>
        </w:rPr>
        <w:t xml:space="preserve"> </w:t>
      </w:r>
      <w:r>
        <w:t>that</w:t>
      </w:r>
      <w:r>
        <w:rPr>
          <w:spacing w:val="-2"/>
        </w:rPr>
        <w:t xml:space="preserve"> </w:t>
      </w:r>
      <w:r>
        <w:t xml:space="preserve">context, no statements are being made </w:t>
      </w:r>
      <w:r>
        <w:rPr>
          <w:i/>
        </w:rPr>
        <w:t>about</w:t>
      </w:r>
      <w:r>
        <w:rPr>
          <w:i/>
          <w:spacing w:val="-3"/>
        </w:rPr>
        <w:t xml:space="preserve"> </w:t>
      </w:r>
      <w:r>
        <w:t>the property of being green, then, in that context,</w:t>
      </w:r>
      <w:r>
        <w:rPr>
          <w:spacing w:val="-3"/>
        </w:rPr>
        <w:t xml:space="preserve"> </w:t>
      </w:r>
      <w:r>
        <w:t>that</w:t>
      </w:r>
      <w:r>
        <w:rPr>
          <w:spacing w:val="-4"/>
        </w:rPr>
        <w:t xml:space="preserve"> </w:t>
      </w:r>
      <w:r>
        <w:t>property</w:t>
      </w:r>
      <w:r>
        <w:rPr>
          <w:spacing w:val="-3"/>
        </w:rPr>
        <w:t xml:space="preserve"> </w:t>
      </w:r>
      <w:r>
        <w:t>doesn’t</w:t>
      </w:r>
      <w:r>
        <w:rPr>
          <w:spacing w:val="-4"/>
        </w:rPr>
        <w:t xml:space="preserve"> </w:t>
      </w:r>
      <w:r>
        <w:t>qualify</w:t>
      </w:r>
      <w:r>
        <w:rPr>
          <w:spacing w:val="-3"/>
        </w:rPr>
        <w:t xml:space="preserve"> </w:t>
      </w:r>
      <w:r>
        <w:t>as</w:t>
      </w:r>
      <w:r>
        <w:rPr>
          <w:spacing w:val="-4"/>
        </w:rPr>
        <w:t xml:space="preserve"> </w:t>
      </w:r>
      <w:r>
        <w:t>an</w:t>
      </w:r>
      <w:r>
        <w:rPr>
          <w:spacing w:val="-3"/>
        </w:rPr>
        <w:t xml:space="preserve"> </w:t>
      </w:r>
      <w:r>
        <w:t>“individual.”</w:t>
      </w:r>
      <w:r>
        <w:rPr>
          <w:spacing w:val="-4"/>
        </w:rPr>
        <w:t xml:space="preserve"> </w:t>
      </w:r>
      <w:r>
        <w:t>But</w:t>
      </w:r>
      <w:r>
        <w:rPr>
          <w:spacing w:val="-4"/>
        </w:rPr>
        <w:t xml:space="preserve"> </w:t>
      </w:r>
      <w:r>
        <w:t>in</w:t>
      </w:r>
      <w:r>
        <w:rPr>
          <w:spacing w:val="-3"/>
        </w:rPr>
        <w:t xml:space="preserve"> </w:t>
      </w:r>
      <w:r>
        <w:t>other</w:t>
      </w:r>
      <w:r>
        <w:rPr>
          <w:spacing w:val="-4"/>
        </w:rPr>
        <w:t xml:space="preserve"> </w:t>
      </w:r>
      <w:r>
        <w:t xml:space="preserve">contexts it might so qualify. Second meaning: Individuals are discrete, spatiotemporal entities—they are “things,” in the narrowest sense of the word. For reasons that are given in Chapter 16, this means that an individual is any </w:t>
      </w:r>
      <w:r>
        <w:rPr>
          <w:b/>
          <w:i/>
        </w:rPr>
        <w:t xml:space="preserve">causal series. </w:t>
      </w:r>
      <w:r>
        <w:t>See “causal series.”</w:t>
      </w:r>
    </w:p>
    <w:p w14:paraId="7E002C57" w14:textId="77777777" w:rsidR="009A58DB" w:rsidRDefault="009A58DB">
      <w:pPr>
        <w:pStyle w:val="BodyText"/>
        <w:spacing w:before="27"/>
        <w:ind w:left="0"/>
        <w:jc w:val="left"/>
      </w:pPr>
    </w:p>
    <w:p w14:paraId="7E002C58" w14:textId="77777777" w:rsidR="009A58DB" w:rsidRDefault="00000000">
      <w:pPr>
        <w:spacing w:line="249" w:lineRule="auto"/>
        <w:ind w:left="360" w:right="362"/>
        <w:jc w:val="both"/>
        <w:rPr>
          <w:sz w:val="30"/>
        </w:rPr>
      </w:pPr>
      <w:r>
        <w:rPr>
          <w:b/>
          <w:i/>
          <w:sz w:val="30"/>
        </w:rPr>
        <w:t xml:space="preserve">Informal analytic truth: </w:t>
      </w:r>
      <w:r>
        <w:rPr>
          <w:sz w:val="30"/>
        </w:rPr>
        <w:t xml:space="preserve">A statement is analytically true if it’s non-empirically true (i.e., if its negation is prohibited from being true by the structures of concepts and by logical laws). An analytic truth is informal if other statements of the same form are false. Thus, </w:t>
      </w:r>
      <w:r>
        <w:rPr>
          <w:i/>
          <w:sz w:val="30"/>
        </w:rPr>
        <w:t xml:space="preserve">any case of knowledge is a case of belief </w:t>
      </w:r>
      <w:r>
        <w:rPr>
          <w:sz w:val="30"/>
        </w:rPr>
        <w:t xml:space="preserve">is an analytic truth, since its negation is incoherent, and it’s not formally true since it has the same form as </w:t>
      </w:r>
      <w:r>
        <w:rPr>
          <w:i/>
          <w:sz w:val="30"/>
        </w:rPr>
        <w:t>any case of knowledge is a case of happiness</w:t>
      </w:r>
      <w:r>
        <w:rPr>
          <w:sz w:val="30"/>
        </w:rPr>
        <w:t>, which is false. See “analytic” and “entailment.”</w:t>
      </w:r>
    </w:p>
    <w:p w14:paraId="7E002C59" w14:textId="77777777" w:rsidR="009A58DB" w:rsidRDefault="009A58DB">
      <w:pPr>
        <w:pStyle w:val="BodyText"/>
        <w:spacing w:before="23"/>
        <w:ind w:left="0"/>
        <w:jc w:val="left"/>
      </w:pPr>
    </w:p>
    <w:p w14:paraId="7E002C5A" w14:textId="77777777" w:rsidR="009A58DB" w:rsidRDefault="00000000">
      <w:pPr>
        <w:pStyle w:val="BodyText"/>
        <w:spacing w:before="1" w:line="249" w:lineRule="auto"/>
        <w:ind w:right="359"/>
      </w:pPr>
      <w:r>
        <w:rPr>
          <w:b/>
          <w:i/>
        </w:rPr>
        <w:t xml:space="preserve">Instance of an open-sentence: </w:t>
      </w:r>
      <w:r>
        <w:t xml:space="preserve">Given some open-sentence O, if some actual sentence S is what results when the free variables in O are replaced with constants, S is an </w:t>
      </w:r>
      <w:r>
        <w:rPr>
          <w:i/>
        </w:rPr>
        <w:t>instance</w:t>
      </w:r>
      <w:r>
        <w:rPr>
          <w:i/>
          <w:spacing w:val="-3"/>
        </w:rPr>
        <w:t xml:space="preserve"> </w:t>
      </w:r>
      <w:r>
        <w:t>of O. So “Smith is tall” is an instance of ‹x is tall›, and “Smith is tall” is also an instance of ‹Smith has property phi.› See “open-sentence” and “quasi-quotation.”</w:t>
      </w:r>
    </w:p>
    <w:p w14:paraId="7E002C5B" w14:textId="77777777" w:rsidR="009A58DB" w:rsidRDefault="009A58DB">
      <w:pPr>
        <w:pStyle w:val="BodyText"/>
        <w:spacing w:before="21"/>
        <w:ind w:left="0"/>
        <w:jc w:val="left"/>
      </w:pPr>
    </w:p>
    <w:p w14:paraId="7E002C5C" w14:textId="77777777" w:rsidR="009A58DB" w:rsidRDefault="00000000">
      <w:pPr>
        <w:pStyle w:val="BodyText"/>
        <w:spacing w:line="249" w:lineRule="auto"/>
        <w:ind w:right="358"/>
      </w:pPr>
      <w:r>
        <w:rPr>
          <w:b/>
          <w:i/>
        </w:rPr>
        <w:t xml:space="preserve">Instance of a property: </w:t>
      </w:r>
      <w:r>
        <w:t xml:space="preserve">If something has a property, then it is an </w:t>
      </w:r>
      <w:r>
        <w:rPr>
          <w:i/>
        </w:rPr>
        <w:t xml:space="preserve">instance </w:t>
      </w:r>
      <w:r>
        <w:t xml:space="preserve">of that property. We are all </w:t>
      </w:r>
      <w:r>
        <w:rPr>
          <w:i/>
        </w:rPr>
        <w:t xml:space="preserve">instances </w:t>
      </w:r>
      <w:r>
        <w:t>of the property of being human. Instances of properties are not identical with those properties themselves. I am not identical with the property of being human since my fellow humans are not instances of me. See “instantiate” and “property.”</w:t>
      </w:r>
    </w:p>
    <w:p w14:paraId="7E002C5D" w14:textId="77777777" w:rsidR="009A58DB" w:rsidRDefault="009A58DB">
      <w:pPr>
        <w:pStyle w:val="BodyText"/>
        <w:spacing w:before="21"/>
        <w:ind w:left="0"/>
        <w:jc w:val="left"/>
      </w:pPr>
    </w:p>
    <w:p w14:paraId="7E002C5E" w14:textId="77777777" w:rsidR="009A58DB" w:rsidRDefault="00000000">
      <w:pPr>
        <w:pStyle w:val="BodyText"/>
        <w:spacing w:line="249" w:lineRule="auto"/>
        <w:ind w:right="361"/>
      </w:pPr>
      <w:r>
        <w:rPr>
          <w:b/>
          <w:i/>
        </w:rPr>
        <w:t xml:space="preserve">Instantiate: </w:t>
      </w:r>
      <w:r>
        <w:t xml:space="preserve">Anything that has a given property is an instance of it; and anything that is an instance of a given property </w:t>
      </w:r>
      <w:r>
        <w:rPr>
          <w:i/>
        </w:rPr>
        <w:t xml:space="preserve">instantiates </w:t>
      </w:r>
      <w:r>
        <w:t xml:space="preserve">it. You are human; so you instantiate the property of being human. See “property” and </w:t>
      </w:r>
      <w:r>
        <w:rPr>
          <w:spacing w:val="-2"/>
        </w:rPr>
        <w:t>“instance.”</w:t>
      </w:r>
    </w:p>
    <w:p w14:paraId="7E002C5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60" w14:textId="77777777" w:rsidR="009A58DB" w:rsidRDefault="00000000">
      <w:pPr>
        <w:spacing w:before="65" w:line="249" w:lineRule="auto"/>
        <w:ind w:left="360" w:right="361"/>
        <w:jc w:val="both"/>
        <w:rPr>
          <w:sz w:val="30"/>
        </w:rPr>
      </w:pPr>
      <w:r>
        <w:rPr>
          <w:b/>
          <w:i/>
          <w:sz w:val="30"/>
        </w:rPr>
        <w:t xml:space="preserve">Intensional vs. extensional definition: </w:t>
      </w:r>
      <w:r>
        <w:rPr>
          <w:sz w:val="30"/>
        </w:rPr>
        <w:t xml:space="preserve">If a class has infinitely many members, then it must be defined </w:t>
      </w:r>
      <w:r>
        <w:rPr>
          <w:i/>
          <w:sz w:val="30"/>
        </w:rPr>
        <w:t>intensionally.</w:t>
      </w:r>
      <w:r>
        <w:rPr>
          <w:i/>
          <w:spacing w:val="-3"/>
          <w:sz w:val="30"/>
        </w:rPr>
        <w:t xml:space="preserve"> </w:t>
      </w:r>
      <w:r>
        <w:rPr>
          <w:sz w:val="30"/>
        </w:rPr>
        <w:t>An</w:t>
      </w:r>
      <w:r>
        <w:rPr>
          <w:spacing w:val="-3"/>
          <w:sz w:val="30"/>
        </w:rPr>
        <w:t xml:space="preserve"> </w:t>
      </w:r>
      <w:r>
        <w:rPr>
          <w:i/>
          <w:sz w:val="30"/>
        </w:rPr>
        <w:t xml:space="preserve">intensional definition </w:t>
      </w:r>
      <w:r>
        <w:rPr>
          <w:sz w:val="30"/>
        </w:rPr>
        <w:t>of</w:t>
      </w:r>
      <w:r>
        <w:rPr>
          <w:spacing w:val="-4"/>
          <w:sz w:val="30"/>
        </w:rPr>
        <w:t xml:space="preserve"> </w:t>
      </w:r>
      <w:r>
        <w:rPr>
          <w:sz w:val="30"/>
        </w:rPr>
        <w:t xml:space="preserve">a class is one that picks out the members of that class by citing some property had by all and only those members. So the class of even numbers is </w:t>
      </w:r>
      <w:r>
        <w:rPr>
          <w:i/>
          <w:sz w:val="30"/>
        </w:rPr>
        <w:t xml:space="preserve">intensionally defined </w:t>
      </w:r>
      <w:r>
        <w:rPr>
          <w:sz w:val="30"/>
        </w:rPr>
        <w:t>as the class that contains every number that is divisible by two and that doesn’t contain anything else.</w:t>
      </w:r>
    </w:p>
    <w:p w14:paraId="7E002C61" w14:textId="77777777" w:rsidR="009A58DB" w:rsidRDefault="00000000">
      <w:pPr>
        <w:pStyle w:val="BodyText"/>
        <w:spacing w:before="7" w:line="249" w:lineRule="auto"/>
        <w:ind w:right="359" w:firstLine="360"/>
      </w:pPr>
      <w:r>
        <w:t xml:space="preserve">If a class has only finitely many members, then it is possible to give an </w:t>
      </w:r>
      <w:r>
        <w:rPr>
          <w:i/>
        </w:rPr>
        <w:t xml:space="preserve">enumerative </w:t>
      </w:r>
      <w:r>
        <w:t>definition of it. Consider the class of even numbers greater than zero but less than 10. It can be enumeratively defined as the class that contains 2, 4, 6, and 8.</w:t>
      </w:r>
    </w:p>
    <w:p w14:paraId="7E002C62" w14:textId="77777777" w:rsidR="009A58DB" w:rsidRDefault="00000000">
      <w:pPr>
        <w:pStyle w:val="BodyText"/>
        <w:spacing w:before="5" w:line="249" w:lineRule="auto"/>
        <w:ind w:right="358" w:firstLine="360"/>
      </w:pPr>
      <w:r>
        <w:t xml:space="preserve">Technically, enumerative definitions are intensional definitions. If you identify a class by listing its members, you </w:t>
      </w:r>
      <w:r>
        <w:rPr>
          <w:i/>
        </w:rPr>
        <w:t xml:space="preserve">are </w:t>
      </w:r>
      <w:r>
        <w:t>identifying a property that they and they alone have. For example, if you identity C as the class containing 2, 4, 6, and 8, you are identifying C as the class containing all and only those objects x such that x have the property of being identical with 2 or 4 or 6 or 8. See “intension vs. extension.”</w:t>
      </w:r>
    </w:p>
    <w:p w14:paraId="7E002C63" w14:textId="77777777" w:rsidR="009A58DB" w:rsidRDefault="009A58DB">
      <w:pPr>
        <w:pStyle w:val="BodyText"/>
        <w:spacing w:before="22"/>
        <w:ind w:left="0"/>
        <w:jc w:val="left"/>
      </w:pPr>
    </w:p>
    <w:p w14:paraId="7E002C64" w14:textId="77777777" w:rsidR="009A58DB" w:rsidRDefault="00000000">
      <w:pPr>
        <w:pStyle w:val="BodyText"/>
        <w:spacing w:line="249" w:lineRule="auto"/>
        <w:ind w:right="358"/>
      </w:pPr>
      <w:r>
        <w:rPr>
          <w:b/>
          <w:i/>
        </w:rPr>
        <w:t xml:space="preserve">Intension vs. extension: </w:t>
      </w:r>
      <w:r>
        <w:t>Intensions are to predicates what senses are to referring terms, and extensions are to predicates what referents are to referring terms. So if Beethoven’s nine symphonies are Smith’s nine favorite pieces of music, then “symphony composed by Beethoven” has the same extension as “one of Smith’s top nine favorite pieces of music,” meaning</w:t>
      </w:r>
      <w:r>
        <w:rPr>
          <w:spacing w:val="40"/>
        </w:rPr>
        <w:t xml:space="preserve"> </w:t>
      </w:r>
      <w:r>
        <w:t>that,</w:t>
      </w:r>
      <w:r>
        <w:rPr>
          <w:spacing w:val="3"/>
        </w:rPr>
        <w:t xml:space="preserve"> </w:t>
      </w:r>
      <w:r>
        <w:t>for</w:t>
      </w:r>
      <w:r>
        <w:rPr>
          <w:spacing w:val="3"/>
        </w:rPr>
        <w:t xml:space="preserve"> </w:t>
      </w:r>
      <w:r>
        <w:t>any</w:t>
      </w:r>
      <w:r>
        <w:rPr>
          <w:spacing w:val="4"/>
        </w:rPr>
        <w:t xml:space="preserve"> </w:t>
      </w:r>
      <w:r>
        <w:t>object</w:t>
      </w:r>
      <w:r>
        <w:rPr>
          <w:spacing w:val="3"/>
        </w:rPr>
        <w:t xml:space="preserve"> </w:t>
      </w:r>
      <w:r>
        <w:t>x,</w:t>
      </w:r>
      <w:r>
        <w:rPr>
          <w:spacing w:val="3"/>
        </w:rPr>
        <w:t xml:space="preserve"> </w:t>
      </w:r>
      <w:r>
        <w:t>‹x</w:t>
      </w:r>
      <w:r>
        <w:rPr>
          <w:spacing w:val="4"/>
        </w:rPr>
        <w:t xml:space="preserve"> </w:t>
      </w:r>
      <w:r>
        <w:t>is</w:t>
      </w:r>
      <w:r>
        <w:rPr>
          <w:spacing w:val="3"/>
        </w:rPr>
        <w:t xml:space="preserve"> </w:t>
      </w:r>
      <w:r>
        <w:t>one</w:t>
      </w:r>
      <w:r>
        <w:rPr>
          <w:spacing w:val="3"/>
        </w:rPr>
        <w:t xml:space="preserve"> </w:t>
      </w:r>
      <w:r>
        <w:t>of</w:t>
      </w:r>
      <w:r>
        <w:rPr>
          <w:spacing w:val="4"/>
        </w:rPr>
        <w:t xml:space="preserve"> </w:t>
      </w:r>
      <w:r>
        <w:t>Smith’s</w:t>
      </w:r>
      <w:r>
        <w:rPr>
          <w:spacing w:val="3"/>
        </w:rPr>
        <w:t xml:space="preserve"> </w:t>
      </w:r>
      <w:r>
        <w:t>top</w:t>
      </w:r>
      <w:r>
        <w:rPr>
          <w:spacing w:val="3"/>
        </w:rPr>
        <w:t xml:space="preserve"> </w:t>
      </w:r>
      <w:r>
        <w:t>nine</w:t>
      </w:r>
      <w:r>
        <w:rPr>
          <w:spacing w:val="4"/>
        </w:rPr>
        <w:t xml:space="preserve"> </w:t>
      </w:r>
      <w:r>
        <w:t>pieces</w:t>
      </w:r>
      <w:r>
        <w:rPr>
          <w:spacing w:val="3"/>
        </w:rPr>
        <w:t xml:space="preserve"> </w:t>
      </w:r>
      <w:r>
        <w:t>of</w:t>
      </w:r>
      <w:r>
        <w:rPr>
          <w:spacing w:val="3"/>
        </w:rPr>
        <w:t xml:space="preserve"> </w:t>
      </w:r>
      <w:r>
        <w:t>music›</w:t>
      </w:r>
      <w:r>
        <w:rPr>
          <w:spacing w:val="4"/>
        </w:rPr>
        <w:t xml:space="preserve"> </w:t>
      </w:r>
      <w:r>
        <w:t>is</w:t>
      </w:r>
      <w:r>
        <w:rPr>
          <w:spacing w:val="3"/>
        </w:rPr>
        <w:t xml:space="preserve"> </w:t>
      </w:r>
      <w:r>
        <w:t>true</w:t>
      </w:r>
      <w:r>
        <w:rPr>
          <w:spacing w:val="4"/>
        </w:rPr>
        <w:t xml:space="preserve"> </w:t>
      </w:r>
      <w:r>
        <w:rPr>
          <w:spacing w:val="-5"/>
        </w:rPr>
        <w:t>iff</w:t>
      </w:r>
    </w:p>
    <w:p w14:paraId="7E002C65" w14:textId="77777777" w:rsidR="009A58DB" w:rsidRDefault="00000000">
      <w:pPr>
        <w:pStyle w:val="BodyText"/>
        <w:spacing w:before="8"/>
      </w:pPr>
      <w:r>
        <w:t>‹x</w:t>
      </w:r>
      <w:r>
        <w:rPr>
          <w:spacing w:val="-2"/>
        </w:rPr>
        <w:t xml:space="preserve"> </w:t>
      </w:r>
      <w:r>
        <w:t>is</w:t>
      </w:r>
      <w:r>
        <w:rPr>
          <w:spacing w:val="-2"/>
        </w:rPr>
        <w:t xml:space="preserve"> </w:t>
      </w:r>
      <w:r>
        <w:t>a</w:t>
      </w:r>
      <w:r>
        <w:rPr>
          <w:spacing w:val="-2"/>
        </w:rPr>
        <w:t xml:space="preserve"> </w:t>
      </w:r>
      <w:r>
        <w:t>symphony</w:t>
      </w:r>
      <w:r>
        <w:rPr>
          <w:spacing w:val="-2"/>
        </w:rPr>
        <w:t xml:space="preserve"> </w:t>
      </w:r>
      <w:r>
        <w:t>composed</w:t>
      </w:r>
      <w:r>
        <w:rPr>
          <w:spacing w:val="-1"/>
        </w:rPr>
        <w:t xml:space="preserve"> </w:t>
      </w:r>
      <w:r>
        <w:t>by</w:t>
      </w:r>
      <w:r>
        <w:rPr>
          <w:spacing w:val="-1"/>
        </w:rPr>
        <w:t xml:space="preserve"> </w:t>
      </w:r>
      <w:r>
        <w:rPr>
          <w:spacing w:val="-2"/>
        </w:rPr>
        <w:t>Beethoven.›</w:t>
      </w:r>
    </w:p>
    <w:p w14:paraId="7E002C66" w14:textId="77777777" w:rsidR="009A58DB" w:rsidRDefault="00000000">
      <w:pPr>
        <w:pStyle w:val="BodyText"/>
        <w:spacing w:before="15" w:line="249" w:lineRule="auto"/>
        <w:ind w:right="368" w:firstLine="360"/>
      </w:pPr>
      <w:r>
        <w:t>But obviously those sentences have different intensions. After all ‹x is a symphony composed by Beethoven› entails ‹x is a symphony›, whereas ‹x is one of Smith’s top nine favorite pieces of music› does not entail that. See “predicate” and “quasi-quotation marks.”</w:t>
      </w:r>
    </w:p>
    <w:p w14:paraId="7E002C6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68" w14:textId="77777777" w:rsidR="009A58DB" w:rsidRDefault="00000000">
      <w:pPr>
        <w:pStyle w:val="BodyText"/>
        <w:spacing w:before="65" w:line="249" w:lineRule="auto"/>
        <w:ind w:right="359"/>
      </w:pPr>
      <w:r>
        <w:rPr>
          <w:b/>
          <w:i/>
        </w:rPr>
        <w:t xml:space="preserve">Interpretation: </w:t>
      </w:r>
      <w:r>
        <w:t xml:space="preserve">As it is used in everyday life, an “interpretation” of a given body of data is a hypothesis as to what is meant by that data. As it used in philosophy, the word “interpretation” sometimes bears this meaning; but it sometimes bears a very different one. An “interpretation,” in the distinctly philosophical sense of the word, is an </w:t>
      </w:r>
      <w:r>
        <w:rPr>
          <w:i/>
        </w:rPr>
        <w:t xml:space="preserve">assignment </w:t>
      </w:r>
      <w:r>
        <w:t>of meaning to an</w:t>
      </w:r>
      <w:r>
        <w:rPr>
          <w:spacing w:val="40"/>
        </w:rPr>
        <w:t xml:space="preserve"> </w:t>
      </w:r>
      <w:r>
        <w:t>expression that contains undefined or only partially defined constituents. (In what follows, the words “interpretation” and “interpret” (etc.) will be used only in the second, strictly philosophical sense.)</w:t>
      </w:r>
    </w:p>
    <w:p w14:paraId="7E002C69" w14:textId="77777777" w:rsidR="009A58DB" w:rsidRDefault="00000000">
      <w:pPr>
        <w:pStyle w:val="BodyText"/>
        <w:spacing w:before="9" w:line="249" w:lineRule="auto"/>
        <w:ind w:right="359" w:firstLine="360"/>
      </w:pPr>
      <w:r>
        <w:t xml:space="preserve">It is statement-forms, not statements proper, that are interpreted. (A statement-form is an </w:t>
      </w:r>
      <w:r>
        <w:rPr>
          <w:b/>
          <w:i/>
        </w:rPr>
        <w:t>open-sentence.</w:t>
      </w:r>
      <w:r>
        <w:t xml:space="preserve">) The reason is that anything with an undefined constituent </w:t>
      </w:r>
      <w:r>
        <w:rPr>
          <w:i/>
        </w:rPr>
        <w:t>ipso facto</w:t>
      </w:r>
      <w:r>
        <w:rPr>
          <w:i/>
          <w:spacing w:val="40"/>
        </w:rPr>
        <w:t xml:space="preserve"> </w:t>
      </w:r>
      <w:r>
        <w:t xml:space="preserve">fails to say anything true or false. To interpret an open-sentence is to assign constants to the variables. So one way to interpret “x is even and y is odd” would be to assign the numbers two and three to “x” and “y,” respectively. That interpretation of that statement-form </w:t>
      </w:r>
      <w:r>
        <w:rPr>
          <w:i/>
        </w:rPr>
        <w:t>validates</w:t>
      </w:r>
      <w:r>
        <w:rPr>
          <w:i/>
          <w:spacing w:val="-4"/>
        </w:rPr>
        <w:t xml:space="preserve"> </w:t>
      </w:r>
      <w:r>
        <w:t>it, meaning that the resulting sentence is correct. By assigning three and two to “x” and “y” respectively, we’ve produced an interpretation of it that fails to validate it. And by assigning Barack Obama to “x’” and the property of being the U.S. President in 2009 to “phi,” I’ve produced an interpretation of “x is phi” that validates it.</w:t>
      </w:r>
    </w:p>
    <w:p w14:paraId="7E002C6A" w14:textId="77777777" w:rsidR="009A58DB" w:rsidRDefault="00000000">
      <w:pPr>
        <w:pStyle w:val="BodyText"/>
        <w:spacing w:before="14" w:line="249" w:lineRule="auto"/>
        <w:ind w:right="358" w:firstLine="360"/>
      </w:pPr>
      <w:r>
        <w:t xml:space="preserve">Oftentimes, expressions that </w:t>
      </w:r>
      <w:r>
        <w:rPr>
          <w:i/>
        </w:rPr>
        <w:t xml:space="preserve">seem </w:t>
      </w:r>
      <w:r>
        <w:t>not to contain free variables do. For example, “Jim is a nice guy” is so vague, that until a specific meaning has been assigned to “nice,” nothing has really been said. Where expressions of this sort are concerned, context tends to supply the missing interpretations, that being why we don’t see “nice” as being a variable, like “phi.” Also, with “nice,” there is an understood, and quite restricted, range of possible interpretations, whereas with “phi,” that range is likely to be more open-ended. Thus, we’re quick to see “phi” for the variable that it is, but not so quick to do so with “nice.”</w:t>
      </w:r>
    </w:p>
    <w:p w14:paraId="7E002C6B" w14:textId="77777777" w:rsidR="009A58DB" w:rsidRDefault="009A58DB">
      <w:pPr>
        <w:pStyle w:val="BodyText"/>
        <w:spacing w:before="26"/>
        <w:ind w:left="0"/>
        <w:jc w:val="left"/>
      </w:pPr>
    </w:p>
    <w:p w14:paraId="7E002C6C" w14:textId="77777777" w:rsidR="009A58DB" w:rsidRDefault="00000000">
      <w:pPr>
        <w:ind w:left="360"/>
        <w:jc w:val="both"/>
        <w:rPr>
          <w:sz w:val="30"/>
        </w:rPr>
      </w:pPr>
      <w:r>
        <w:rPr>
          <w:b/>
          <w:i/>
          <w:sz w:val="30"/>
        </w:rPr>
        <w:t>“Just</w:t>
      </w:r>
      <w:r>
        <w:rPr>
          <w:b/>
          <w:i/>
          <w:spacing w:val="-3"/>
          <w:sz w:val="30"/>
        </w:rPr>
        <w:t xml:space="preserve"> </w:t>
      </w:r>
      <w:r>
        <w:rPr>
          <w:b/>
          <w:i/>
          <w:sz w:val="30"/>
        </w:rPr>
        <w:t>in</w:t>
      </w:r>
      <w:r>
        <w:rPr>
          <w:b/>
          <w:i/>
          <w:spacing w:val="-3"/>
          <w:sz w:val="30"/>
        </w:rPr>
        <w:t xml:space="preserve"> </w:t>
      </w:r>
      <w:r>
        <w:rPr>
          <w:b/>
          <w:i/>
          <w:sz w:val="30"/>
        </w:rPr>
        <w:t>case”:</w:t>
      </w:r>
      <w:r>
        <w:rPr>
          <w:b/>
          <w:i/>
          <w:spacing w:val="-3"/>
          <w:sz w:val="30"/>
        </w:rPr>
        <w:t xml:space="preserve"> </w:t>
      </w:r>
      <w:r>
        <w:rPr>
          <w:sz w:val="30"/>
        </w:rPr>
        <w:t>See</w:t>
      </w:r>
      <w:r>
        <w:rPr>
          <w:spacing w:val="-3"/>
          <w:sz w:val="30"/>
        </w:rPr>
        <w:t xml:space="preserve"> </w:t>
      </w:r>
      <w:r>
        <w:rPr>
          <w:spacing w:val="-2"/>
          <w:sz w:val="30"/>
        </w:rPr>
        <w:t>“iff.”</w:t>
      </w:r>
    </w:p>
    <w:p w14:paraId="7E002C6D" w14:textId="77777777" w:rsidR="009A58DB" w:rsidRDefault="009A58DB">
      <w:pPr>
        <w:pStyle w:val="BodyText"/>
        <w:spacing w:before="30"/>
        <w:ind w:left="0"/>
        <w:jc w:val="left"/>
      </w:pPr>
    </w:p>
    <w:p w14:paraId="7E002C6E" w14:textId="77777777" w:rsidR="009A58DB" w:rsidRDefault="00000000">
      <w:pPr>
        <w:pStyle w:val="BodyText"/>
        <w:spacing w:line="249" w:lineRule="auto"/>
        <w:ind w:right="366"/>
      </w:pPr>
      <w:r>
        <w:rPr>
          <w:b/>
          <w:i/>
        </w:rPr>
        <w:t xml:space="preserve">Leibniz’s Law: </w:t>
      </w:r>
      <w:r>
        <w:t xml:space="preserve">“According to </w:t>
      </w:r>
      <w:r>
        <w:rPr>
          <w:i/>
        </w:rPr>
        <w:t>Leibniz’s Law</w:t>
      </w:r>
      <w:r>
        <w:t>, if x and y are numerically identical, then the one has any property had by the other. So if Ben Franklin</w:t>
      </w:r>
      <w:r>
        <w:rPr>
          <w:spacing w:val="40"/>
        </w:rPr>
        <w:t xml:space="preserve"> </w:t>
      </w:r>
      <w:r>
        <w:t>is smart, so is the inventor of bifocals.”</w:t>
      </w:r>
    </w:p>
    <w:p w14:paraId="7E002C6F"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C70" w14:textId="77777777" w:rsidR="009A58DB" w:rsidRDefault="00000000">
      <w:pPr>
        <w:pStyle w:val="BodyText"/>
        <w:spacing w:before="65" w:line="249" w:lineRule="auto"/>
        <w:ind w:right="369"/>
      </w:pPr>
      <w:r>
        <w:rPr>
          <w:b/>
          <w:i/>
        </w:rPr>
        <w:t xml:space="preserve">Logical form: </w:t>
      </w:r>
      <w:r>
        <w:t>The logical form of a sentence S is what is represented by a sentence S* that makes it clear what S entails and what entails S. Consider</w:t>
      </w:r>
      <w:r>
        <w:rPr>
          <w:spacing w:val="40"/>
        </w:rPr>
        <w:t xml:space="preserve"> </w:t>
      </w:r>
      <w:r>
        <w:t>the sentence:</w:t>
      </w:r>
    </w:p>
    <w:p w14:paraId="7E002C71" w14:textId="77777777" w:rsidR="009A58DB" w:rsidRDefault="009A58DB">
      <w:pPr>
        <w:pStyle w:val="BodyText"/>
        <w:spacing w:before="18"/>
        <w:ind w:left="0"/>
        <w:jc w:val="left"/>
      </w:pPr>
    </w:p>
    <w:p w14:paraId="7E002C72" w14:textId="77777777" w:rsidR="009A58DB" w:rsidRDefault="00000000">
      <w:pPr>
        <w:pStyle w:val="BodyText"/>
        <w:jc w:val="left"/>
      </w:pPr>
      <w:r>
        <w:t>(a)</w:t>
      </w:r>
      <w:r>
        <w:rPr>
          <w:spacing w:val="-4"/>
        </w:rPr>
        <w:t xml:space="preserve"> </w:t>
      </w:r>
      <w:r>
        <w:t>“nothing</w:t>
      </w:r>
      <w:r>
        <w:rPr>
          <w:spacing w:val="-2"/>
        </w:rPr>
        <w:t xml:space="preserve"> snores.”</w:t>
      </w:r>
    </w:p>
    <w:p w14:paraId="7E002C73" w14:textId="77777777" w:rsidR="009A58DB" w:rsidRDefault="009A58DB">
      <w:pPr>
        <w:pStyle w:val="BodyText"/>
        <w:spacing w:before="30"/>
        <w:ind w:left="0"/>
        <w:jc w:val="left"/>
      </w:pPr>
    </w:p>
    <w:p w14:paraId="7E002C74" w14:textId="77777777" w:rsidR="009A58DB" w:rsidRDefault="00000000">
      <w:pPr>
        <w:pStyle w:val="BodyText"/>
        <w:spacing w:line="249" w:lineRule="auto"/>
        <w:ind w:right="366"/>
      </w:pPr>
      <w:r>
        <w:t>Given its grammar, (a) seems to license the inference that there exists some strange entity—the nothing, or some such—that snores. But (a) doesn’t warrant this inference. What (a) means is perspicuously represented by:</w:t>
      </w:r>
    </w:p>
    <w:p w14:paraId="7E002C75" w14:textId="77777777" w:rsidR="009A58DB" w:rsidRDefault="009A58DB">
      <w:pPr>
        <w:pStyle w:val="BodyText"/>
        <w:spacing w:before="19"/>
        <w:ind w:left="0"/>
        <w:jc w:val="left"/>
      </w:pPr>
    </w:p>
    <w:p w14:paraId="7E002C76" w14:textId="77777777" w:rsidR="009A58DB" w:rsidRDefault="00000000">
      <w:pPr>
        <w:pStyle w:val="BodyText"/>
        <w:jc w:val="left"/>
      </w:pPr>
      <w:r>
        <w:t>(b)</w:t>
      </w:r>
      <w:r>
        <w:rPr>
          <w:spacing w:val="-3"/>
        </w:rPr>
        <w:t xml:space="preserve"> </w:t>
      </w:r>
      <w:r>
        <w:t>“the</w:t>
      </w:r>
      <w:r>
        <w:rPr>
          <w:spacing w:val="-3"/>
        </w:rPr>
        <w:t xml:space="preserve"> </w:t>
      </w:r>
      <w:r>
        <w:t>property</w:t>
      </w:r>
      <w:r>
        <w:rPr>
          <w:spacing w:val="-2"/>
        </w:rPr>
        <w:t xml:space="preserve"> </w:t>
      </w:r>
      <w:r>
        <w:t>of</w:t>
      </w:r>
      <w:r>
        <w:rPr>
          <w:spacing w:val="-3"/>
        </w:rPr>
        <w:t xml:space="preserve"> </w:t>
      </w:r>
      <w:r>
        <w:t>snoring</w:t>
      </w:r>
      <w:r>
        <w:rPr>
          <w:spacing w:val="-2"/>
        </w:rPr>
        <w:t xml:space="preserve"> </w:t>
      </w:r>
      <w:r>
        <w:t>is</w:t>
      </w:r>
      <w:r>
        <w:rPr>
          <w:spacing w:val="-3"/>
        </w:rPr>
        <w:t xml:space="preserve"> </w:t>
      </w:r>
      <w:r>
        <w:t>un-</w:t>
      </w:r>
      <w:r>
        <w:rPr>
          <w:spacing w:val="-2"/>
        </w:rPr>
        <w:t>instantiated.”</w:t>
      </w:r>
    </w:p>
    <w:p w14:paraId="7E002C77" w14:textId="77777777" w:rsidR="009A58DB" w:rsidRDefault="009A58DB">
      <w:pPr>
        <w:pStyle w:val="BodyText"/>
        <w:spacing w:before="30"/>
        <w:ind w:left="0"/>
        <w:jc w:val="left"/>
      </w:pPr>
    </w:p>
    <w:p w14:paraId="7E002C78" w14:textId="77777777" w:rsidR="009A58DB" w:rsidRDefault="00000000">
      <w:pPr>
        <w:pStyle w:val="BodyText"/>
      </w:pPr>
      <w:r>
        <w:t>Unlike</w:t>
      </w:r>
      <w:r>
        <w:rPr>
          <w:spacing w:val="-1"/>
        </w:rPr>
        <w:t xml:space="preserve"> </w:t>
      </w:r>
      <w:r>
        <w:t>(a),</w:t>
      </w:r>
      <w:r>
        <w:rPr>
          <w:spacing w:val="2"/>
        </w:rPr>
        <w:t xml:space="preserve"> </w:t>
      </w:r>
      <w:r>
        <w:t>(b)</w:t>
      </w:r>
      <w:r>
        <w:rPr>
          <w:spacing w:val="2"/>
        </w:rPr>
        <w:t xml:space="preserve"> </w:t>
      </w:r>
      <w:r>
        <w:t>isn’t</w:t>
      </w:r>
      <w:r>
        <w:rPr>
          <w:spacing w:val="2"/>
        </w:rPr>
        <w:t xml:space="preserve"> </w:t>
      </w:r>
      <w:r>
        <w:t>misleading</w:t>
      </w:r>
      <w:r>
        <w:rPr>
          <w:spacing w:val="2"/>
        </w:rPr>
        <w:t xml:space="preserve"> </w:t>
      </w:r>
      <w:r>
        <w:t>as</w:t>
      </w:r>
      <w:r>
        <w:rPr>
          <w:spacing w:val="2"/>
        </w:rPr>
        <w:t xml:space="preserve"> </w:t>
      </w:r>
      <w:r>
        <w:t>to</w:t>
      </w:r>
      <w:r>
        <w:rPr>
          <w:spacing w:val="2"/>
        </w:rPr>
        <w:t xml:space="preserve"> </w:t>
      </w:r>
      <w:r>
        <w:t>what</w:t>
      </w:r>
      <w:r>
        <w:rPr>
          <w:spacing w:val="1"/>
        </w:rPr>
        <w:t xml:space="preserve"> </w:t>
      </w:r>
      <w:r>
        <w:t>can</w:t>
      </w:r>
      <w:r>
        <w:rPr>
          <w:spacing w:val="3"/>
        </w:rPr>
        <w:t xml:space="preserve"> </w:t>
      </w:r>
      <w:r>
        <w:t>be</w:t>
      </w:r>
      <w:r>
        <w:rPr>
          <w:spacing w:val="2"/>
        </w:rPr>
        <w:t xml:space="preserve"> </w:t>
      </w:r>
      <w:r>
        <w:t>inferred</w:t>
      </w:r>
      <w:r>
        <w:rPr>
          <w:spacing w:val="1"/>
        </w:rPr>
        <w:t xml:space="preserve"> </w:t>
      </w:r>
      <w:r>
        <w:t>from</w:t>
      </w:r>
      <w:r>
        <w:rPr>
          <w:spacing w:val="3"/>
        </w:rPr>
        <w:t xml:space="preserve"> </w:t>
      </w:r>
      <w:r>
        <w:t>it.</w:t>
      </w:r>
      <w:r>
        <w:rPr>
          <w:spacing w:val="1"/>
        </w:rPr>
        <w:t xml:space="preserve"> </w:t>
      </w:r>
      <w:r>
        <w:t>But</w:t>
      </w:r>
      <w:r>
        <w:rPr>
          <w:spacing w:val="2"/>
        </w:rPr>
        <w:t xml:space="preserve"> </w:t>
      </w:r>
      <w:r>
        <w:t>(a)</w:t>
      </w:r>
      <w:r>
        <w:rPr>
          <w:spacing w:val="3"/>
        </w:rPr>
        <w:t xml:space="preserve"> </w:t>
      </w:r>
      <w:r>
        <w:rPr>
          <w:spacing w:val="-5"/>
        </w:rPr>
        <w:t>and</w:t>
      </w:r>
    </w:p>
    <w:p w14:paraId="7E002C79" w14:textId="77777777" w:rsidR="009A58DB" w:rsidRDefault="00000000">
      <w:pPr>
        <w:pStyle w:val="BodyText"/>
        <w:spacing w:before="15" w:line="249" w:lineRule="auto"/>
        <w:ind w:right="362"/>
      </w:pPr>
      <w:r>
        <w:t>(b) encode the very same proposition. Since (a) and (b) satisfy these conditions, (b) is a representation of (a)’s logical form. If the relationship borne</w:t>
      </w:r>
      <w:r>
        <w:rPr>
          <w:spacing w:val="29"/>
        </w:rPr>
        <w:t xml:space="preserve"> </w:t>
      </w:r>
      <w:r>
        <w:t>by</w:t>
      </w:r>
      <w:r>
        <w:rPr>
          <w:spacing w:val="31"/>
        </w:rPr>
        <w:t xml:space="preserve"> </w:t>
      </w:r>
      <w:r>
        <w:t>a</w:t>
      </w:r>
      <w:r>
        <w:rPr>
          <w:spacing w:val="30"/>
        </w:rPr>
        <w:t xml:space="preserve"> </w:t>
      </w:r>
      <w:r>
        <w:t>sentence</w:t>
      </w:r>
      <w:r>
        <w:rPr>
          <w:spacing w:val="30"/>
        </w:rPr>
        <w:t xml:space="preserve"> </w:t>
      </w:r>
      <w:r>
        <w:t>S</w:t>
      </w:r>
      <w:r>
        <w:rPr>
          <w:vertAlign w:val="subscript"/>
        </w:rPr>
        <w:t>1</w:t>
      </w:r>
      <w:r>
        <w:rPr>
          <w:spacing w:val="30"/>
        </w:rPr>
        <w:t xml:space="preserve"> </w:t>
      </w:r>
      <w:r>
        <w:t>to</w:t>
      </w:r>
      <w:r>
        <w:rPr>
          <w:spacing w:val="31"/>
        </w:rPr>
        <w:t xml:space="preserve"> </w:t>
      </w:r>
      <w:r>
        <w:t>another</w:t>
      </w:r>
      <w:r>
        <w:rPr>
          <w:spacing w:val="30"/>
        </w:rPr>
        <w:t xml:space="preserve"> </w:t>
      </w:r>
      <w:r>
        <w:t>sentence</w:t>
      </w:r>
      <w:r>
        <w:rPr>
          <w:spacing w:val="30"/>
        </w:rPr>
        <w:t xml:space="preserve"> </w:t>
      </w:r>
      <w:r>
        <w:t>S</w:t>
      </w:r>
      <w:r>
        <w:rPr>
          <w:vertAlign w:val="subscript"/>
        </w:rPr>
        <w:t>2</w:t>
      </w:r>
      <w:r>
        <w:rPr>
          <w:spacing w:val="31"/>
        </w:rPr>
        <w:t xml:space="preserve"> </w:t>
      </w:r>
      <w:r>
        <w:t>parallels</w:t>
      </w:r>
      <w:r>
        <w:rPr>
          <w:spacing w:val="29"/>
        </w:rPr>
        <w:t xml:space="preserve"> </w:t>
      </w:r>
      <w:r>
        <w:t>that</w:t>
      </w:r>
      <w:r>
        <w:rPr>
          <w:spacing w:val="30"/>
        </w:rPr>
        <w:t xml:space="preserve"> </w:t>
      </w:r>
      <w:r>
        <w:t>borne</w:t>
      </w:r>
      <w:r>
        <w:rPr>
          <w:spacing w:val="30"/>
        </w:rPr>
        <w:t xml:space="preserve"> </w:t>
      </w:r>
      <w:r>
        <w:t>by</w:t>
      </w:r>
      <w:r>
        <w:rPr>
          <w:spacing w:val="31"/>
        </w:rPr>
        <w:t xml:space="preserve"> </w:t>
      </w:r>
      <w:r>
        <w:t>(a)</w:t>
      </w:r>
      <w:r>
        <w:rPr>
          <w:spacing w:val="29"/>
        </w:rPr>
        <w:t xml:space="preserve"> </w:t>
      </w:r>
      <w:r>
        <w:rPr>
          <w:spacing w:val="-5"/>
        </w:rPr>
        <w:t>to</w:t>
      </w:r>
    </w:p>
    <w:p w14:paraId="7E002C7A" w14:textId="77777777" w:rsidR="009A58DB" w:rsidRDefault="00000000">
      <w:pPr>
        <w:pStyle w:val="BodyText"/>
        <w:spacing w:before="64"/>
      </w:pPr>
      <w:r>
        <w:t>(b),</w:t>
      </w:r>
      <w:r>
        <w:rPr>
          <w:spacing w:val="30"/>
        </w:rPr>
        <w:t xml:space="preserve">  </w:t>
      </w:r>
      <w:r>
        <w:t>S</w:t>
      </w:r>
      <w:r>
        <w:rPr>
          <w:vertAlign w:val="subscript"/>
        </w:rPr>
        <w:t>2</w:t>
      </w:r>
      <w:r>
        <w:rPr>
          <w:spacing w:val="30"/>
        </w:rPr>
        <w:t xml:space="preserve">  </w:t>
      </w:r>
      <w:r>
        <w:t>gives</w:t>
      </w:r>
      <w:r>
        <w:rPr>
          <w:spacing w:val="30"/>
        </w:rPr>
        <w:t xml:space="preserve">  </w:t>
      </w:r>
      <w:r>
        <w:t>S</w:t>
      </w:r>
      <w:r>
        <w:rPr>
          <w:vertAlign w:val="subscript"/>
        </w:rPr>
        <w:t>1</w:t>
      </w:r>
      <w:r>
        <w:t>’s</w:t>
      </w:r>
      <w:r>
        <w:rPr>
          <w:spacing w:val="34"/>
        </w:rPr>
        <w:t xml:space="preserve">  </w:t>
      </w:r>
      <w:r>
        <w:t>logical</w:t>
      </w:r>
      <w:r>
        <w:rPr>
          <w:spacing w:val="33"/>
        </w:rPr>
        <w:t xml:space="preserve">  </w:t>
      </w:r>
      <w:r>
        <w:t>form.</w:t>
      </w:r>
      <w:r>
        <w:rPr>
          <w:spacing w:val="34"/>
        </w:rPr>
        <w:t xml:space="preserve">  </w:t>
      </w:r>
      <w:r>
        <w:t>See</w:t>
      </w:r>
      <w:r>
        <w:rPr>
          <w:spacing w:val="33"/>
        </w:rPr>
        <w:t xml:space="preserve">  </w:t>
      </w:r>
      <w:r>
        <w:t>“entailment”</w:t>
      </w:r>
      <w:r>
        <w:rPr>
          <w:spacing w:val="34"/>
        </w:rPr>
        <w:t xml:space="preserve">  </w:t>
      </w:r>
      <w:r>
        <w:t>and</w:t>
      </w:r>
      <w:r>
        <w:rPr>
          <w:spacing w:val="33"/>
        </w:rPr>
        <w:t xml:space="preserve">  </w:t>
      </w:r>
      <w:r>
        <w:t>“meaning</w:t>
      </w:r>
      <w:r>
        <w:rPr>
          <w:spacing w:val="33"/>
        </w:rPr>
        <w:t xml:space="preserve">  </w:t>
      </w:r>
      <w:r>
        <w:rPr>
          <w:spacing w:val="-5"/>
        </w:rPr>
        <w:t>vs.</w:t>
      </w:r>
    </w:p>
    <w:p w14:paraId="7E002C7B" w14:textId="77777777" w:rsidR="009A58DB" w:rsidRDefault="00000000">
      <w:pPr>
        <w:pStyle w:val="BodyText"/>
        <w:tabs>
          <w:tab w:val="left" w:pos="3690"/>
        </w:tabs>
        <w:spacing w:before="75"/>
      </w:pPr>
      <w:r>
        <w:rPr>
          <w:noProof/>
        </w:rPr>
        <mc:AlternateContent>
          <mc:Choice Requires="wps">
            <w:drawing>
              <wp:anchor distT="0" distB="0" distL="0" distR="0" simplePos="0" relativeHeight="480348672" behindDoc="1" locked="0" layoutInCell="1" allowOverlap="1" wp14:anchorId="7E0032AC" wp14:editId="7E0032AD">
                <wp:simplePos x="0" y="0"/>
                <wp:positionH relativeFrom="page">
                  <wp:posOffset>2484536</wp:posOffset>
                </wp:positionH>
                <wp:positionV relativeFrom="paragraph">
                  <wp:posOffset>189213</wp:posOffset>
                </wp:positionV>
                <wp:extent cx="85090" cy="2114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211454"/>
                        </a:xfrm>
                        <a:prstGeom prst="rect">
                          <a:avLst/>
                        </a:prstGeom>
                      </wps:spPr>
                      <wps:txbx>
                        <w:txbxContent>
                          <w:p w14:paraId="7E0032C6" w14:textId="77777777" w:rsidR="009A58DB" w:rsidRDefault="00000000">
                            <w:pPr>
                              <w:spacing w:line="332" w:lineRule="exact"/>
                              <w:rPr>
                                <w:sz w:val="30"/>
                              </w:rPr>
                            </w:pPr>
                            <w:r>
                              <w:rPr>
                                <w:spacing w:val="-10"/>
                                <w:sz w:val="30"/>
                              </w:rPr>
                              <w:t>”</w:t>
                            </w:r>
                          </w:p>
                        </w:txbxContent>
                      </wps:txbx>
                      <wps:bodyPr wrap="square" lIns="0" tIns="0" rIns="0" bIns="0" rtlCol="0">
                        <a:noAutofit/>
                      </wps:bodyPr>
                    </wps:wsp>
                  </a:graphicData>
                </a:graphic>
              </wp:anchor>
            </w:drawing>
          </mc:Choice>
          <mc:Fallback>
            <w:pict>
              <v:shape w14:anchorId="7E0032AC" id="Textbox 47" o:spid="_x0000_s1048" type="#_x0000_t202" style="position:absolute;left:0;text-align:left;margin-left:195.65pt;margin-top:14.9pt;width:6.7pt;height:16.65pt;z-index:-2296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" filled="f" stroked="f">
                <v:textbox inset="0,0,0,0">
                  <w:txbxContent>
                    <w:p w14:paraId="7E0032C6" w14:textId="77777777" w:rsidR="009A58DB" w:rsidRDefault="00000000">
                      <w:pPr>
                        <w:spacing w:line="332" w:lineRule="exact"/>
                        <w:rPr>
                          <w:sz w:val="30"/>
                        </w:rPr>
                      </w:pPr>
                      <w:r>
                        <w:rPr>
                          <w:spacing w:val="-10"/>
                          <w:sz w:val="30"/>
                        </w:rPr>
                        <w:t>”</w:t>
                      </w:r>
                    </w:p>
                  </w:txbxContent>
                </v:textbox>
                <w10:wrap anchorx="page"/>
              </v:shape>
            </w:pict>
          </mc:Fallback>
        </mc:AlternateContent>
      </w:r>
      <w:bookmarkStart w:id="588" w:name="_bookmark588"/>
      <w:bookmarkEnd w:id="588"/>
      <w:r>
        <w:rPr>
          <w:color w:val="0562C1"/>
          <w:spacing w:val="-1"/>
          <w:position w:val="21"/>
          <w:u w:val="single" w:color="0562C1"/>
        </w:rPr>
        <w:t>[</w:t>
      </w:r>
      <w:r>
        <w:rPr>
          <w:color w:val="0562C1"/>
          <w:position w:val="21"/>
          <w:u w:val="single" w:color="0562C1"/>
        </w:rPr>
        <w:t>444</w:t>
      </w:r>
      <w:r>
        <w:rPr>
          <w:color w:val="0562C1"/>
          <w:spacing w:val="-3256"/>
          <w:position w:val="21"/>
          <w:u w:val="single" w:color="0562C1"/>
        </w:rPr>
        <w:t>]</w:t>
      </w:r>
      <w:r>
        <w:rPr>
          <w:spacing w:val="-1"/>
        </w:rPr>
        <w:t>e</w:t>
      </w:r>
      <w:r>
        <w:t>n</w:t>
      </w:r>
      <w:r>
        <w:rPr>
          <w:spacing w:val="-1"/>
        </w:rPr>
        <w:t>tailme</w:t>
      </w:r>
      <w:r>
        <w:t>n</w:t>
      </w:r>
      <w:r>
        <w:rPr>
          <w:spacing w:val="-1"/>
        </w:rPr>
        <w:t>t-</w:t>
      </w:r>
      <w:r>
        <w:rPr>
          <w:spacing w:val="-2"/>
        </w:rPr>
        <w:t>relations.</w:t>
      </w:r>
      <w:r>
        <w:tab/>
        <w:t>See</w:t>
      </w:r>
      <w:r>
        <w:rPr>
          <w:spacing w:val="-8"/>
        </w:rPr>
        <w:t xml:space="preserve"> </w:t>
      </w:r>
      <w:r>
        <w:t>“logically</w:t>
      </w:r>
      <w:r>
        <w:rPr>
          <w:spacing w:val="-5"/>
        </w:rPr>
        <w:t xml:space="preserve"> </w:t>
      </w:r>
      <w:r>
        <w:t>perfect</w:t>
      </w:r>
      <w:r>
        <w:rPr>
          <w:spacing w:val="-5"/>
        </w:rPr>
        <w:t xml:space="preserve"> </w:t>
      </w:r>
      <w:r>
        <w:rPr>
          <w:spacing w:val="-2"/>
        </w:rPr>
        <w:t>language.”</w:t>
      </w:r>
    </w:p>
    <w:p w14:paraId="7E002C7C" w14:textId="77777777" w:rsidR="009A58DB" w:rsidRDefault="009A58DB">
      <w:pPr>
        <w:pStyle w:val="BodyText"/>
        <w:spacing w:before="30"/>
        <w:ind w:left="0"/>
        <w:jc w:val="left"/>
      </w:pPr>
    </w:p>
    <w:p w14:paraId="7E002C7D" w14:textId="77777777" w:rsidR="009A58DB" w:rsidRDefault="00000000">
      <w:pPr>
        <w:spacing w:line="249" w:lineRule="auto"/>
        <w:ind w:left="360" w:right="360"/>
        <w:jc w:val="both"/>
        <w:rPr>
          <w:i/>
          <w:sz w:val="30"/>
        </w:rPr>
      </w:pPr>
      <w:r>
        <w:rPr>
          <w:b/>
          <w:i/>
          <w:sz w:val="30"/>
        </w:rPr>
        <w:t xml:space="preserve">Logically perfect language: </w:t>
      </w:r>
      <w:r>
        <w:rPr>
          <w:sz w:val="30"/>
        </w:rPr>
        <w:t xml:space="preserve">Let L be a language having the following property. Given any sentence S belonging to L, S’s logical and grammatical forms coincide. In that case, L is a </w:t>
      </w:r>
      <w:r>
        <w:rPr>
          <w:i/>
          <w:sz w:val="30"/>
        </w:rPr>
        <w:t>logically perfect language.</w:t>
      </w:r>
    </w:p>
    <w:p w14:paraId="7E002C7E" w14:textId="77777777" w:rsidR="009A58DB" w:rsidRDefault="00000000">
      <w:pPr>
        <w:pStyle w:val="BodyText"/>
        <w:spacing w:before="4" w:line="249" w:lineRule="auto"/>
        <w:ind w:right="358" w:firstLine="360"/>
      </w:pPr>
      <w:r>
        <w:t>There can be no such language. There could exist such a language only if</w:t>
      </w:r>
      <w:r>
        <w:rPr>
          <w:spacing w:val="40"/>
        </w:rPr>
        <w:t xml:space="preserve"> </w:t>
      </w:r>
      <w:r>
        <w:t>a sentence’s entailment-relations could always be read off of its grammatical surface.</w:t>
      </w:r>
      <w:r>
        <w:rPr>
          <w:spacing w:val="-1"/>
        </w:rPr>
        <w:t xml:space="preserve"> </w:t>
      </w:r>
      <w:r>
        <w:t>This would be possible only</w:t>
      </w:r>
      <w:r>
        <w:rPr>
          <w:spacing w:val="-1"/>
        </w:rPr>
        <w:t xml:space="preserve"> </w:t>
      </w:r>
      <w:r>
        <w:t>if</w:t>
      </w:r>
      <w:r>
        <w:rPr>
          <w:spacing w:val="-1"/>
        </w:rPr>
        <w:t xml:space="preserve"> </w:t>
      </w:r>
      <w:r>
        <w:t>all</w:t>
      </w:r>
      <w:r>
        <w:rPr>
          <w:spacing w:val="-1"/>
        </w:rPr>
        <w:t xml:space="preserve"> </w:t>
      </w:r>
      <w:r>
        <w:t>entailment</w:t>
      </w:r>
      <w:r>
        <w:rPr>
          <w:spacing w:val="-1"/>
        </w:rPr>
        <w:t xml:space="preserve"> </w:t>
      </w:r>
      <w:r>
        <w:t xml:space="preserve">were </w:t>
      </w:r>
      <w:r>
        <w:rPr>
          <w:i/>
        </w:rPr>
        <w:t>formal</w:t>
      </w:r>
      <w:r>
        <w:rPr>
          <w:i/>
          <w:spacing w:val="-4"/>
        </w:rPr>
        <w:t xml:space="preserve"> </w:t>
      </w:r>
      <w:r>
        <w:t>entailment. But entailment is not, in general, formal entailment. Formal entailment is parasitic on informal entailment, and formal analytic truth is parasitic on informal analytic truth. The reasons for this are given in Chapters 1 and 18.</w:t>
      </w:r>
    </w:p>
    <w:p w14:paraId="7E002C7F" w14:textId="77777777" w:rsidR="009A58DB" w:rsidRDefault="009A58DB">
      <w:pPr>
        <w:pStyle w:val="BodyText"/>
        <w:spacing w:before="22"/>
        <w:ind w:left="0"/>
        <w:jc w:val="left"/>
      </w:pPr>
    </w:p>
    <w:p w14:paraId="7E002C80" w14:textId="77777777" w:rsidR="009A58DB" w:rsidRDefault="00000000">
      <w:pPr>
        <w:ind w:left="360"/>
        <w:jc w:val="both"/>
        <w:rPr>
          <w:sz w:val="30"/>
        </w:rPr>
      </w:pPr>
      <w:r>
        <w:rPr>
          <w:b/>
          <w:i/>
          <w:sz w:val="30"/>
        </w:rPr>
        <w:t>Main</w:t>
      </w:r>
      <w:r>
        <w:rPr>
          <w:b/>
          <w:i/>
          <w:spacing w:val="-6"/>
          <w:sz w:val="30"/>
        </w:rPr>
        <w:t xml:space="preserve"> </w:t>
      </w:r>
      <w:r>
        <w:rPr>
          <w:b/>
          <w:i/>
          <w:sz w:val="30"/>
        </w:rPr>
        <w:t>connective:</w:t>
      </w:r>
      <w:r>
        <w:rPr>
          <w:b/>
          <w:i/>
          <w:spacing w:val="-5"/>
          <w:sz w:val="30"/>
        </w:rPr>
        <w:t xml:space="preserve"> </w:t>
      </w:r>
      <w:r>
        <w:rPr>
          <w:sz w:val="30"/>
        </w:rPr>
        <w:t>See</w:t>
      </w:r>
      <w:r>
        <w:rPr>
          <w:spacing w:val="-5"/>
          <w:sz w:val="30"/>
        </w:rPr>
        <w:t xml:space="preserve"> </w:t>
      </w:r>
      <w:r>
        <w:rPr>
          <w:spacing w:val="-2"/>
          <w:sz w:val="30"/>
        </w:rPr>
        <w:t>“connective.”</w:t>
      </w:r>
    </w:p>
    <w:p w14:paraId="7E002C81" w14:textId="77777777" w:rsidR="009A58DB" w:rsidRDefault="009A58DB">
      <w:pPr>
        <w:pStyle w:val="BodyText"/>
        <w:spacing w:before="30"/>
        <w:ind w:left="0"/>
        <w:jc w:val="left"/>
      </w:pPr>
    </w:p>
    <w:p w14:paraId="7E002C82" w14:textId="77777777" w:rsidR="009A58DB" w:rsidRDefault="00000000">
      <w:pPr>
        <w:pStyle w:val="BodyText"/>
        <w:spacing w:line="249" w:lineRule="auto"/>
        <w:ind w:right="358"/>
      </w:pPr>
      <w:r>
        <w:rPr>
          <w:b/>
          <w:i/>
        </w:rPr>
        <w:t xml:space="preserve">Materialism: </w:t>
      </w:r>
      <w:r>
        <w:t>The doctrine that mental entities (e.g., beliefs) are identical</w:t>
      </w:r>
      <w:r>
        <w:rPr>
          <w:spacing w:val="40"/>
        </w:rPr>
        <w:t xml:space="preserve"> </w:t>
      </w:r>
      <w:r>
        <w:t>with physical entities (e.g., brain states).</w:t>
      </w:r>
    </w:p>
    <w:p w14:paraId="7E002C83" w14:textId="77777777" w:rsidR="009A58DB" w:rsidRDefault="009A58DB">
      <w:pPr>
        <w:pStyle w:val="BodyText"/>
        <w:spacing w:before="17"/>
        <w:ind w:left="0"/>
        <w:jc w:val="left"/>
      </w:pPr>
    </w:p>
    <w:p w14:paraId="7E002C84" w14:textId="77777777" w:rsidR="009A58DB" w:rsidRDefault="00000000">
      <w:pPr>
        <w:spacing w:before="1"/>
        <w:ind w:left="360"/>
        <w:jc w:val="both"/>
        <w:rPr>
          <w:sz w:val="30"/>
        </w:rPr>
      </w:pPr>
      <w:r>
        <w:rPr>
          <w:b/>
          <w:i/>
          <w:sz w:val="30"/>
        </w:rPr>
        <w:t>Meanings</w:t>
      </w:r>
      <w:r>
        <w:rPr>
          <w:b/>
          <w:i/>
          <w:spacing w:val="68"/>
          <w:sz w:val="30"/>
        </w:rPr>
        <w:t xml:space="preserve"> </w:t>
      </w:r>
      <w:r>
        <w:rPr>
          <w:b/>
          <w:i/>
          <w:sz w:val="30"/>
        </w:rPr>
        <w:t>vs.</w:t>
      </w:r>
      <w:r>
        <w:rPr>
          <w:b/>
          <w:i/>
          <w:spacing w:val="72"/>
          <w:sz w:val="30"/>
        </w:rPr>
        <w:t xml:space="preserve"> </w:t>
      </w:r>
      <w:r>
        <w:rPr>
          <w:b/>
          <w:i/>
          <w:sz w:val="30"/>
        </w:rPr>
        <w:t>entailment</w:t>
      </w:r>
      <w:r>
        <w:rPr>
          <w:b/>
          <w:i/>
          <w:spacing w:val="70"/>
          <w:sz w:val="30"/>
        </w:rPr>
        <w:t xml:space="preserve"> </w:t>
      </w:r>
      <w:r>
        <w:rPr>
          <w:b/>
          <w:i/>
          <w:sz w:val="30"/>
        </w:rPr>
        <w:t>relations:</w:t>
      </w:r>
      <w:r>
        <w:rPr>
          <w:b/>
          <w:i/>
          <w:spacing w:val="71"/>
          <w:sz w:val="30"/>
        </w:rPr>
        <w:t xml:space="preserve"> </w:t>
      </w:r>
      <w:r>
        <w:rPr>
          <w:sz w:val="30"/>
        </w:rPr>
        <w:t>For</w:t>
      </w:r>
      <w:r>
        <w:rPr>
          <w:spacing w:val="71"/>
          <w:sz w:val="30"/>
        </w:rPr>
        <w:t xml:space="preserve"> </w:t>
      </w:r>
      <w:r>
        <w:rPr>
          <w:sz w:val="30"/>
        </w:rPr>
        <w:t>two</w:t>
      </w:r>
      <w:r>
        <w:rPr>
          <w:spacing w:val="71"/>
          <w:sz w:val="30"/>
        </w:rPr>
        <w:t xml:space="preserve"> </w:t>
      </w:r>
      <w:r>
        <w:rPr>
          <w:sz w:val="30"/>
        </w:rPr>
        <w:t>sentences</w:t>
      </w:r>
      <w:r>
        <w:rPr>
          <w:spacing w:val="71"/>
          <w:sz w:val="30"/>
        </w:rPr>
        <w:t xml:space="preserve"> </w:t>
      </w:r>
      <w:r>
        <w:rPr>
          <w:sz w:val="30"/>
        </w:rPr>
        <w:t>to</w:t>
      </w:r>
      <w:r>
        <w:rPr>
          <w:spacing w:val="71"/>
          <w:sz w:val="30"/>
        </w:rPr>
        <w:t xml:space="preserve"> </w:t>
      </w:r>
      <w:r>
        <w:rPr>
          <w:sz w:val="30"/>
        </w:rPr>
        <w:t>have</w:t>
      </w:r>
      <w:r>
        <w:rPr>
          <w:spacing w:val="71"/>
          <w:sz w:val="30"/>
        </w:rPr>
        <w:t xml:space="preserve"> </w:t>
      </w:r>
      <w:r>
        <w:rPr>
          <w:sz w:val="30"/>
        </w:rPr>
        <w:t>the</w:t>
      </w:r>
      <w:r>
        <w:rPr>
          <w:spacing w:val="71"/>
          <w:sz w:val="30"/>
        </w:rPr>
        <w:t xml:space="preserve"> </w:t>
      </w:r>
      <w:r>
        <w:rPr>
          <w:spacing w:val="-4"/>
          <w:sz w:val="30"/>
        </w:rPr>
        <w:t>same</w:t>
      </w:r>
    </w:p>
    <w:p w14:paraId="7E002C85" w14:textId="77777777" w:rsidR="009A58DB" w:rsidRDefault="009A58DB">
      <w:pPr>
        <w:jc w:val="both"/>
        <w:rPr>
          <w:sz w:val="30"/>
        </w:rPr>
        <w:sectPr w:rsidR="009A58DB">
          <w:pgSz w:w="12240" w:h="15840"/>
          <w:pgMar w:top="1380" w:right="1080" w:bottom="280" w:left="1080" w:header="720" w:footer="720" w:gutter="0"/>
          <w:cols w:space="720"/>
        </w:sectPr>
      </w:pPr>
    </w:p>
    <w:p w14:paraId="7E002C86" w14:textId="77777777" w:rsidR="009A58DB" w:rsidRDefault="00000000">
      <w:pPr>
        <w:pStyle w:val="BodyText"/>
        <w:spacing w:before="65" w:line="249" w:lineRule="auto"/>
        <w:ind w:right="361"/>
      </w:pPr>
      <w:r>
        <w:t xml:space="preserve">meanings, it is </w:t>
      </w:r>
      <w:r>
        <w:rPr>
          <w:i/>
        </w:rPr>
        <w:t xml:space="preserve">necessary </w:t>
      </w:r>
      <w:r>
        <w:t>that they be equivalent (i.e., that they be such that the</w:t>
      </w:r>
      <w:r>
        <w:rPr>
          <w:spacing w:val="-2"/>
        </w:rPr>
        <w:t xml:space="preserve"> </w:t>
      </w:r>
      <w:r>
        <w:t>one</w:t>
      </w:r>
      <w:r>
        <w:rPr>
          <w:spacing w:val="-2"/>
        </w:rPr>
        <w:t xml:space="preserve"> </w:t>
      </w:r>
      <w:r>
        <w:t>is</w:t>
      </w:r>
      <w:r>
        <w:rPr>
          <w:spacing w:val="-2"/>
        </w:rPr>
        <w:t xml:space="preserve"> </w:t>
      </w:r>
      <w:r>
        <w:t>true</w:t>
      </w:r>
      <w:r>
        <w:rPr>
          <w:spacing w:val="-2"/>
        </w:rPr>
        <w:t xml:space="preserve"> </w:t>
      </w:r>
      <w:r>
        <w:t>if</w:t>
      </w:r>
      <w:r>
        <w:rPr>
          <w:spacing w:val="-2"/>
        </w:rPr>
        <w:t xml:space="preserve"> </w:t>
      </w:r>
      <w:r>
        <w:t>and</w:t>
      </w:r>
      <w:r>
        <w:rPr>
          <w:spacing w:val="-2"/>
        </w:rPr>
        <w:t xml:space="preserve"> </w:t>
      </w:r>
      <w:r>
        <w:t>only</w:t>
      </w:r>
      <w:r>
        <w:rPr>
          <w:spacing w:val="-2"/>
        </w:rPr>
        <w:t xml:space="preserve"> </w:t>
      </w:r>
      <w:r>
        <w:t>if</w:t>
      </w:r>
      <w:r>
        <w:rPr>
          <w:spacing w:val="-2"/>
        </w:rPr>
        <w:t xml:space="preserve"> </w:t>
      </w:r>
      <w:r>
        <w:t>the</w:t>
      </w:r>
      <w:r>
        <w:rPr>
          <w:spacing w:val="-2"/>
        </w:rPr>
        <w:t xml:space="preserve"> </w:t>
      </w:r>
      <w:r>
        <w:t>other</w:t>
      </w:r>
      <w:r>
        <w:rPr>
          <w:spacing w:val="-2"/>
        </w:rPr>
        <w:t xml:space="preserve"> </w:t>
      </w:r>
      <w:r>
        <w:t>is</w:t>
      </w:r>
      <w:r>
        <w:rPr>
          <w:spacing w:val="-2"/>
        </w:rPr>
        <w:t xml:space="preserve"> </w:t>
      </w:r>
      <w:r>
        <w:t>true).</w:t>
      </w:r>
      <w:r>
        <w:rPr>
          <w:spacing w:val="-2"/>
        </w:rPr>
        <w:t xml:space="preserve"> </w:t>
      </w:r>
      <w:r>
        <w:t>So</w:t>
      </w:r>
      <w:r>
        <w:rPr>
          <w:spacing w:val="-2"/>
        </w:rPr>
        <w:t xml:space="preserve"> </w:t>
      </w:r>
      <w:r>
        <w:t>if</w:t>
      </w:r>
      <w:r>
        <w:rPr>
          <w:spacing w:val="-2"/>
        </w:rPr>
        <w:t xml:space="preserve"> </w:t>
      </w:r>
      <w:r>
        <w:t>P</w:t>
      </w:r>
      <w:r>
        <w:rPr>
          <w:spacing w:val="-2"/>
        </w:rPr>
        <w:t xml:space="preserve"> </w:t>
      </w:r>
      <w:r>
        <w:t>entails</w:t>
      </w:r>
      <w:r>
        <w:rPr>
          <w:spacing w:val="-2"/>
        </w:rPr>
        <w:t xml:space="preserve"> </w:t>
      </w:r>
      <w:r>
        <w:t>something</w:t>
      </w:r>
      <w:r>
        <w:rPr>
          <w:spacing w:val="-2"/>
        </w:rPr>
        <w:t xml:space="preserve"> </w:t>
      </w:r>
      <w:r>
        <w:t>that</w:t>
      </w:r>
      <w:r>
        <w:rPr>
          <w:spacing w:val="-2"/>
        </w:rPr>
        <w:t xml:space="preserve"> </w:t>
      </w:r>
      <w:r>
        <w:t>Q does not entail, then P and Q don’t have the same meaning. For example: “Jim is an avid reader” entails that Jim can read, whereas “Jim is a lousy soccer player” does not entail that. Therefore, those two sentences have different meanings.</w:t>
      </w:r>
    </w:p>
    <w:p w14:paraId="7E002C87" w14:textId="77777777" w:rsidR="009A58DB" w:rsidRDefault="00000000">
      <w:pPr>
        <w:pStyle w:val="BodyText"/>
        <w:spacing w:before="7" w:line="249" w:lineRule="auto"/>
        <w:ind w:right="359" w:firstLine="360"/>
      </w:pPr>
      <w:r>
        <w:t xml:space="preserve">But even though, in order for two sentences to be equivalent, it is </w:t>
      </w:r>
      <w:r>
        <w:rPr>
          <w:i/>
        </w:rPr>
        <w:t xml:space="preserve">necessary </w:t>
      </w:r>
      <w:r>
        <w:t xml:space="preserve">that the one entail any sentence entailed by the other, that isn’t </w:t>
      </w:r>
      <w:r>
        <w:rPr>
          <w:i/>
        </w:rPr>
        <w:t xml:space="preserve">sufficient </w:t>
      </w:r>
      <w:r>
        <w:t>for sameness of meaning. For any x, ‹x is a unique even prime› is equivalent with ‹x is the unique number n such that n = 2 if there is no completeness proof for arithmetic and n = 3 otherwise.› Neither sentence entails anything not also entailed by the other. But those sentences obviously differ in meaning.</w:t>
      </w:r>
    </w:p>
    <w:p w14:paraId="7E002C88" w14:textId="77777777" w:rsidR="009A58DB" w:rsidRDefault="00000000">
      <w:pPr>
        <w:pStyle w:val="BodyText"/>
        <w:spacing w:before="9" w:line="249" w:lineRule="auto"/>
        <w:ind w:right="359" w:firstLine="360"/>
      </w:pPr>
      <w:r>
        <w:t>For two sentences to have the same meaning, it is necessary, not only that they</w:t>
      </w:r>
      <w:r>
        <w:rPr>
          <w:spacing w:val="-1"/>
        </w:rPr>
        <w:t xml:space="preserve"> </w:t>
      </w:r>
      <w:r>
        <w:t>entail</w:t>
      </w:r>
      <w:r>
        <w:rPr>
          <w:spacing w:val="-1"/>
        </w:rPr>
        <w:t xml:space="preserve"> </w:t>
      </w:r>
      <w:r>
        <w:t>the same things,</w:t>
      </w:r>
      <w:r>
        <w:rPr>
          <w:spacing w:val="-1"/>
        </w:rPr>
        <w:t xml:space="preserve"> </w:t>
      </w:r>
      <w:r>
        <w:t>but</w:t>
      </w:r>
      <w:r>
        <w:rPr>
          <w:spacing w:val="-1"/>
        </w:rPr>
        <w:t xml:space="preserve"> </w:t>
      </w:r>
      <w:r>
        <w:t>that</w:t>
      </w:r>
      <w:r>
        <w:rPr>
          <w:spacing w:val="-1"/>
        </w:rPr>
        <w:t xml:space="preserve"> </w:t>
      </w:r>
      <w:r>
        <w:t xml:space="preserve">they do so </w:t>
      </w:r>
      <w:r>
        <w:rPr>
          <w:i/>
        </w:rPr>
        <w:t>in</w:t>
      </w:r>
      <w:r>
        <w:rPr>
          <w:i/>
          <w:spacing w:val="-3"/>
        </w:rPr>
        <w:t xml:space="preserve"> </w:t>
      </w:r>
      <w:r>
        <w:rPr>
          <w:i/>
        </w:rPr>
        <w:t>the</w:t>
      </w:r>
      <w:r>
        <w:rPr>
          <w:i/>
          <w:spacing w:val="-4"/>
        </w:rPr>
        <w:t xml:space="preserve"> </w:t>
      </w:r>
      <w:r>
        <w:rPr>
          <w:i/>
        </w:rPr>
        <w:t>same</w:t>
      </w:r>
      <w:r>
        <w:rPr>
          <w:i/>
          <w:spacing w:val="-4"/>
        </w:rPr>
        <w:t xml:space="preserve"> </w:t>
      </w:r>
      <w:r>
        <w:rPr>
          <w:i/>
        </w:rPr>
        <w:t>way.</w:t>
      </w:r>
      <w:r>
        <w:rPr>
          <w:i/>
          <w:spacing w:val="-3"/>
        </w:rPr>
        <w:t xml:space="preserve"> </w:t>
      </w:r>
      <w:r>
        <w:t xml:space="preserve">Even though, for any x, ‹x is a unique even prime› entails the same things as ‹x is the unique number n such that n = 2 if there is no completeness proof for arithmetic and n = 3 otherwise›, they entail those same things in different ways. For example, the </w:t>
      </w:r>
      <w:r>
        <w:rPr>
          <w:i/>
        </w:rPr>
        <w:t xml:space="preserve">way </w:t>
      </w:r>
      <w:r>
        <w:t>that ‹x is even› is derived from the first is very simple, whereas the way it is derived from the second is very complex.</w:t>
      </w:r>
    </w:p>
    <w:p w14:paraId="7E002C89" w14:textId="77777777" w:rsidR="009A58DB" w:rsidRDefault="009A58DB">
      <w:pPr>
        <w:pStyle w:val="BodyText"/>
        <w:spacing w:before="23"/>
        <w:ind w:left="0"/>
        <w:jc w:val="left"/>
      </w:pPr>
    </w:p>
    <w:p w14:paraId="7E002C8A" w14:textId="77777777" w:rsidR="009A58DB" w:rsidRDefault="00000000">
      <w:pPr>
        <w:pStyle w:val="BodyText"/>
        <w:spacing w:line="249" w:lineRule="auto"/>
        <w:ind w:right="362"/>
      </w:pPr>
      <w:r>
        <w:rPr>
          <w:b/>
          <w:i/>
        </w:rPr>
        <w:t xml:space="preserve">Modal operator: </w:t>
      </w:r>
      <w:r>
        <w:t xml:space="preserve">A modal operator is an </w:t>
      </w:r>
      <w:r>
        <w:rPr>
          <w:b/>
          <w:i/>
        </w:rPr>
        <w:t xml:space="preserve">operator </w:t>
      </w:r>
      <w:r>
        <w:t xml:space="preserve">(i.e., a device that, when coupled with a sentence or ordered n-tuple of sentences, yields a new sentence) that describes the </w:t>
      </w:r>
      <w:r>
        <w:rPr>
          <w:i/>
        </w:rPr>
        <w:t xml:space="preserve">modal status </w:t>
      </w:r>
      <w:r>
        <w:t>of that proposition, meaning that it says of that proposition that it is can be true, must be true, can be false, or must be false. Thus, “it is necessary” is a modal operator, since, when placed in front of “that</w:t>
      </w:r>
    </w:p>
    <w:p w14:paraId="7E002C8B" w14:textId="77777777" w:rsidR="009A58DB" w:rsidRDefault="00000000">
      <w:pPr>
        <w:pStyle w:val="BodyText"/>
        <w:spacing w:before="8"/>
      </w:pPr>
      <w:r>
        <w:t>1 +</w:t>
      </w:r>
      <w:r>
        <w:rPr>
          <w:spacing w:val="-1"/>
        </w:rPr>
        <w:t xml:space="preserve"> </w:t>
      </w:r>
      <w:r>
        <w:t>1 =</w:t>
      </w:r>
      <w:r>
        <w:rPr>
          <w:spacing w:val="-1"/>
        </w:rPr>
        <w:t xml:space="preserve"> </w:t>
      </w:r>
      <w:r>
        <w:t>2,”</w:t>
      </w:r>
      <w:r>
        <w:rPr>
          <w:spacing w:val="-1"/>
        </w:rPr>
        <w:t xml:space="preserve"> </w:t>
      </w:r>
      <w:r>
        <w:rPr>
          <w:spacing w:val="-2"/>
        </w:rPr>
        <w:t>yields:</w:t>
      </w:r>
    </w:p>
    <w:p w14:paraId="7E002C8C" w14:textId="77777777" w:rsidR="009A58DB" w:rsidRDefault="009A58DB">
      <w:pPr>
        <w:pStyle w:val="BodyText"/>
        <w:spacing w:before="30"/>
        <w:ind w:left="0"/>
        <w:jc w:val="left"/>
      </w:pPr>
    </w:p>
    <w:p w14:paraId="7E002C8D" w14:textId="77777777" w:rsidR="009A58DB" w:rsidRDefault="00000000">
      <w:pPr>
        <w:pStyle w:val="ListParagraph"/>
        <w:numPr>
          <w:ilvl w:val="0"/>
          <w:numId w:val="17"/>
        </w:numPr>
        <w:tabs>
          <w:tab w:val="left" w:pos="715"/>
        </w:tabs>
        <w:ind w:left="715" w:hanging="355"/>
        <w:rPr>
          <w:sz w:val="30"/>
        </w:rPr>
      </w:pPr>
      <w:r>
        <w:rPr>
          <w:sz w:val="30"/>
        </w:rPr>
        <w:t>“it</w:t>
      </w:r>
      <w:r>
        <w:rPr>
          <w:spacing w:val="-5"/>
          <w:sz w:val="30"/>
        </w:rPr>
        <w:t xml:space="preserve"> </w:t>
      </w:r>
      <w:r>
        <w:rPr>
          <w:sz w:val="30"/>
        </w:rPr>
        <w:t>is</w:t>
      </w:r>
      <w:r>
        <w:rPr>
          <w:spacing w:val="-3"/>
          <w:sz w:val="30"/>
        </w:rPr>
        <w:t xml:space="preserve"> </w:t>
      </w:r>
      <w:r>
        <w:rPr>
          <w:sz w:val="30"/>
        </w:rPr>
        <w:t>necessarily</w:t>
      </w:r>
      <w:r>
        <w:rPr>
          <w:spacing w:val="-2"/>
          <w:sz w:val="30"/>
        </w:rPr>
        <w:t xml:space="preserve"> </w:t>
      </w:r>
      <w:r>
        <w:rPr>
          <w:sz w:val="30"/>
        </w:rPr>
        <w:t>the</w:t>
      </w:r>
      <w:r>
        <w:rPr>
          <w:spacing w:val="-3"/>
          <w:sz w:val="30"/>
        </w:rPr>
        <w:t xml:space="preserve"> </w:t>
      </w:r>
      <w:r>
        <w:rPr>
          <w:sz w:val="30"/>
        </w:rPr>
        <w:t>case</w:t>
      </w:r>
      <w:r>
        <w:rPr>
          <w:spacing w:val="-2"/>
          <w:sz w:val="30"/>
        </w:rPr>
        <w:t xml:space="preserve"> </w:t>
      </w:r>
      <w:r>
        <w:rPr>
          <w:sz w:val="30"/>
        </w:rPr>
        <w:t>that</w:t>
      </w:r>
      <w:r>
        <w:rPr>
          <w:spacing w:val="-3"/>
          <w:sz w:val="30"/>
        </w:rPr>
        <w:t xml:space="preserve"> </w:t>
      </w:r>
      <w:r>
        <w:rPr>
          <w:sz w:val="30"/>
        </w:rPr>
        <w:t>1</w:t>
      </w:r>
      <w:r>
        <w:rPr>
          <w:spacing w:val="-2"/>
          <w:sz w:val="30"/>
        </w:rPr>
        <w:t xml:space="preserve"> </w:t>
      </w:r>
      <w:r>
        <w:rPr>
          <w:sz w:val="30"/>
        </w:rPr>
        <w:t>+</w:t>
      </w:r>
      <w:r>
        <w:rPr>
          <w:spacing w:val="-3"/>
          <w:sz w:val="30"/>
        </w:rPr>
        <w:t xml:space="preserve"> </w:t>
      </w:r>
      <w:r>
        <w:rPr>
          <w:sz w:val="30"/>
        </w:rPr>
        <w:t>1</w:t>
      </w:r>
      <w:r>
        <w:rPr>
          <w:spacing w:val="-2"/>
          <w:sz w:val="30"/>
        </w:rPr>
        <w:t xml:space="preserve"> </w:t>
      </w:r>
      <w:r>
        <w:rPr>
          <w:sz w:val="30"/>
        </w:rPr>
        <w:t>=</w:t>
      </w:r>
      <w:r>
        <w:rPr>
          <w:spacing w:val="-2"/>
          <w:sz w:val="30"/>
        </w:rPr>
        <w:t xml:space="preserve"> </w:t>
      </w:r>
      <w:r>
        <w:rPr>
          <w:spacing w:val="-5"/>
          <w:sz w:val="30"/>
        </w:rPr>
        <w:t>2,”</w:t>
      </w:r>
    </w:p>
    <w:p w14:paraId="7E002C8E" w14:textId="77777777" w:rsidR="009A58DB" w:rsidRDefault="009A58DB">
      <w:pPr>
        <w:pStyle w:val="BodyText"/>
        <w:spacing w:before="30"/>
        <w:ind w:left="0"/>
        <w:jc w:val="left"/>
      </w:pPr>
    </w:p>
    <w:p w14:paraId="7E002C8F" w14:textId="77777777" w:rsidR="009A58DB" w:rsidRDefault="00000000">
      <w:pPr>
        <w:pStyle w:val="BodyText"/>
        <w:spacing w:line="249" w:lineRule="auto"/>
        <w:ind w:right="360"/>
      </w:pPr>
      <w:r>
        <w:t>which</w:t>
      </w:r>
      <w:r>
        <w:rPr>
          <w:spacing w:val="-3"/>
        </w:rPr>
        <w:t xml:space="preserve"> </w:t>
      </w:r>
      <w:r>
        <w:t>describes</w:t>
      </w:r>
      <w:r>
        <w:rPr>
          <w:spacing w:val="-4"/>
        </w:rPr>
        <w:t xml:space="preserve"> </w:t>
      </w:r>
      <w:r>
        <w:t>the</w:t>
      </w:r>
      <w:r>
        <w:rPr>
          <w:spacing w:val="-4"/>
        </w:rPr>
        <w:t xml:space="preserve"> </w:t>
      </w:r>
      <w:r>
        <w:t>proposition</w:t>
      </w:r>
      <w:r>
        <w:rPr>
          <w:spacing w:val="-3"/>
        </w:rPr>
        <w:t xml:space="preserve"> </w:t>
      </w:r>
      <w:r>
        <w:t>meant</w:t>
      </w:r>
      <w:r>
        <w:rPr>
          <w:spacing w:val="-4"/>
        </w:rPr>
        <w:t xml:space="preserve"> </w:t>
      </w:r>
      <w:r>
        <w:t>by</w:t>
      </w:r>
      <w:r>
        <w:rPr>
          <w:spacing w:val="-3"/>
        </w:rPr>
        <w:t xml:space="preserve"> </w:t>
      </w:r>
      <w:r>
        <w:t>“1</w:t>
      </w:r>
      <w:r>
        <w:rPr>
          <w:spacing w:val="-3"/>
        </w:rPr>
        <w:t xml:space="preserve"> </w:t>
      </w:r>
      <w:r>
        <w:t>+</w:t>
      </w:r>
      <w:r>
        <w:rPr>
          <w:spacing w:val="-4"/>
        </w:rPr>
        <w:t xml:space="preserve"> </w:t>
      </w:r>
      <w:r>
        <w:t>1</w:t>
      </w:r>
      <w:r>
        <w:rPr>
          <w:spacing w:val="-3"/>
        </w:rPr>
        <w:t xml:space="preserve"> </w:t>
      </w:r>
      <w:r>
        <w:t>=</w:t>
      </w:r>
      <w:r>
        <w:rPr>
          <w:spacing w:val="-4"/>
        </w:rPr>
        <w:t xml:space="preserve"> </w:t>
      </w:r>
      <w:r>
        <w:t>2”</w:t>
      </w:r>
      <w:r>
        <w:rPr>
          <w:spacing w:val="-4"/>
        </w:rPr>
        <w:t xml:space="preserve"> </w:t>
      </w:r>
      <w:r>
        <w:t>as</w:t>
      </w:r>
      <w:r>
        <w:rPr>
          <w:spacing w:val="-4"/>
        </w:rPr>
        <w:t xml:space="preserve"> </w:t>
      </w:r>
      <w:r>
        <w:t>necessarily</w:t>
      </w:r>
      <w:r>
        <w:rPr>
          <w:spacing w:val="-3"/>
        </w:rPr>
        <w:t xml:space="preserve"> </w:t>
      </w:r>
      <w:r>
        <w:t>true.</w:t>
      </w:r>
      <w:r>
        <w:rPr>
          <w:spacing w:val="-3"/>
        </w:rPr>
        <w:t xml:space="preserve"> </w:t>
      </w:r>
      <w:r>
        <w:t>And “it</w:t>
      </w:r>
      <w:r>
        <w:rPr>
          <w:spacing w:val="-1"/>
        </w:rPr>
        <w:t xml:space="preserve"> </w:t>
      </w:r>
      <w:r>
        <w:t>is possible” is a modal operator, since, when placed in front of “that Smith is in France,” yields:</w:t>
      </w:r>
    </w:p>
    <w:p w14:paraId="7E002C90" w14:textId="77777777" w:rsidR="009A58DB" w:rsidRDefault="009A58DB">
      <w:pPr>
        <w:pStyle w:val="BodyText"/>
        <w:spacing w:before="18"/>
        <w:ind w:left="0"/>
        <w:jc w:val="left"/>
      </w:pPr>
    </w:p>
    <w:p w14:paraId="7E002C91" w14:textId="77777777" w:rsidR="009A58DB" w:rsidRDefault="00000000">
      <w:pPr>
        <w:pStyle w:val="ListParagraph"/>
        <w:numPr>
          <w:ilvl w:val="0"/>
          <w:numId w:val="17"/>
        </w:numPr>
        <w:tabs>
          <w:tab w:val="left" w:pos="797"/>
        </w:tabs>
        <w:ind w:left="797" w:hanging="437"/>
        <w:rPr>
          <w:sz w:val="30"/>
        </w:rPr>
      </w:pPr>
      <w:r>
        <w:rPr>
          <w:sz w:val="30"/>
        </w:rPr>
        <w:t>“it</w:t>
      </w:r>
      <w:r>
        <w:rPr>
          <w:spacing w:val="-4"/>
          <w:sz w:val="30"/>
        </w:rPr>
        <w:t xml:space="preserve"> </w:t>
      </w:r>
      <w:r>
        <w:rPr>
          <w:sz w:val="30"/>
        </w:rPr>
        <w:t>is</w:t>
      </w:r>
      <w:r>
        <w:rPr>
          <w:spacing w:val="-3"/>
          <w:sz w:val="30"/>
        </w:rPr>
        <w:t xml:space="preserve"> </w:t>
      </w:r>
      <w:r>
        <w:rPr>
          <w:sz w:val="30"/>
        </w:rPr>
        <w:t>possible</w:t>
      </w:r>
      <w:r>
        <w:rPr>
          <w:spacing w:val="-3"/>
          <w:sz w:val="30"/>
        </w:rPr>
        <w:t xml:space="preserve"> </w:t>
      </w:r>
      <w:r>
        <w:rPr>
          <w:sz w:val="30"/>
        </w:rPr>
        <w:t>that</w:t>
      </w:r>
      <w:r>
        <w:rPr>
          <w:spacing w:val="-3"/>
          <w:sz w:val="30"/>
        </w:rPr>
        <w:t xml:space="preserve"> </w:t>
      </w:r>
      <w:r>
        <w:rPr>
          <w:sz w:val="30"/>
        </w:rPr>
        <w:t>Smith</w:t>
      </w:r>
      <w:r>
        <w:rPr>
          <w:spacing w:val="-2"/>
          <w:sz w:val="30"/>
        </w:rPr>
        <w:t xml:space="preserve"> </w:t>
      </w:r>
      <w:r>
        <w:rPr>
          <w:sz w:val="30"/>
        </w:rPr>
        <w:t>is</w:t>
      </w:r>
      <w:r>
        <w:rPr>
          <w:spacing w:val="-3"/>
          <w:sz w:val="30"/>
        </w:rPr>
        <w:t xml:space="preserve"> </w:t>
      </w:r>
      <w:r>
        <w:rPr>
          <w:sz w:val="30"/>
        </w:rPr>
        <w:t>in</w:t>
      </w:r>
      <w:r>
        <w:rPr>
          <w:spacing w:val="-2"/>
          <w:sz w:val="30"/>
        </w:rPr>
        <w:t xml:space="preserve"> France,”</w:t>
      </w:r>
    </w:p>
    <w:p w14:paraId="7E002C92" w14:textId="77777777" w:rsidR="009A58DB" w:rsidRDefault="009A58DB">
      <w:pPr>
        <w:pStyle w:val="ListParagraph"/>
        <w:rPr>
          <w:sz w:val="30"/>
        </w:rPr>
        <w:sectPr w:rsidR="009A58DB">
          <w:pgSz w:w="12240" w:h="15840"/>
          <w:pgMar w:top="1380" w:right="1080" w:bottom="280" w:left="1080" w:header="720" w:footer="720" w:gutter="0"/>
          <w:cols w:space="720"/>
        </w:sectPr>
      </w:pPr>
    </w:p>
    <w:p w14:paraId="7E002C93" w14:textId="77777777" w:rsidR="009A58DB" w:rsidRDefault="00000000">
      <w:pPr>
        <w:pStyle w:val="BodyText"/>
        <w:spacing w:before="65" w:line="249" w:lineRule="auto"/>
        <w:ind w:right="365"/>
      </w:pPr>
      <w:r>
        <w:t xml:space="preserve">which describes the proposition meant by “Smith is in France” as potentially </w:t>
      </w:r>
      <w:r>
        <w:rPr>
          <w:spacing w:val="-2"/>
        </w:rPr>
        <w:t>true.</w:t>
      </w:r>
    </w:p>
    <w:p w14:paraId="7E002C94" w14:textId="77777777" w:rsidR="009A58DB" w:rsidRDefault="00000000">
      <w:pPr>
        <w:pStyle w:val="BodyText"/>
        <w:spacing w:before="2" w:line="249" w:lineRule="auto"/>
        <w:ind w:right="358" w:firstLine="360"/>
      </w:pPr>
      <w:r>
        <w:t>In</w:t>
      </w:r>
      <w:r>
        <w:rPr>
          <w:spacing w:val="-2"/>
        </w:rPr>
        <w:t xml:space="preserve"> </w:t>
      </w:r>
      <w:r>
        <w:t>(i),</w:t>
      </w:r>
      <w:r>
        <w:rPr>
          <w:spacing w:val="-2"/>
        </w:rPr>
        <w:t xml:space="preserve"> </w:t>
      </w:r>
      <w:r>
        <w:t>“that</w:t>
      </w:r>
      <w:r>
        <w:rPr>
          <w:spacing w:val="-3"/>
        </w:rPr>
        <w:t xml:space="preserve"> </w:t>
      </w:r>
      <w:r>
        <w:t>1</w:t>
      </w:r>
      <w:r>
        <w:rPr>
          <w:spacing w:val="-2"/>
        </w:rPr>
        <w:t xml:space="preserve"> </w:t>
      </w:r>
      <w:r>
        <w:t>+</w:t>
      </w:r>
      <w:r>
        <w:rPr>
          <w:spacing w:val="-3"/>
        </w:rPr>
        <w:t xml:space="preserve"> </w:t>
      </w:r>
      <w:r>
        <w:t>1</w:t>
      </w:r>
      <w:r>
        <w:rPr>
          <w:spacing w:val="-2"/>
        </w:rPr>
        <w:t xml:space="preserve"> </w:t>
      </w:r>
      <w:r>
        <w:t>=</w:t>
      </w:r>
      <w:r>
        <w:rPr>
          <w:spacing w:val="-3"/>
        </w:rPr>
        <w:t xml:space="preserve"> </w:t>
      </w:r>
      <w:r>
        <w:t>2”</w:t>
      </w:r>
      <w:r>
        <w:rPr>
          <w:spacing w:val="-3"/>
        </w:rPr>
        <w:t xml:space="preserve"> </w:t>
      </w:r>
      <w:r>
        <w:t>is</w:t>
      </w:r>
      <w:r>
        <w:rPr>
          <w:spacing w:val="-3"/>
        </w:rPr>
        <w:t xml:space="preserve"> </w:t>
      </w:r>
      <w:r>
        <w:t>said</w:t>
      </w:r>
      <w:r>
        <w:rPr>
          <w:spacing w:val="-2"/>
        </w:rPr>
        <w:t xml:space="preserve"> </w:t>
      </w:r>
      <w:r>
        <w:t>to</w:t>
      </w:r>
      <w:r>
        <w:rPr>
          <w:spacing w:val="-2"/>
        </w:rPr>
        <w:t xml:space="preserve"> </w:t>
      </w:r>
      <w:r>
        <w:t>be</w:t>
      </w:r>
      <w:r>
        <w:rPr>
          <w:spacing w:val="-3"/>
        </w:rPr>
        <w:t xml:space="preserve"> </w:t>
      </w:r>
      <w:r>
        <w:rPr>
          <w:i/>
        </w:rPr>
        <w:t>governed</w:t>
      </w:r>
      <w:r>
        <w:rPr>
          <w:i/>
          <w:spacing w:val="-2"/>
        </w:rPr>
        <w:t xml:space="preserve"> </w:t>
      </w:r>
      <w:r>
        <w:t>by</w:t>
      </w:r>
      <w:r>
        <w:rPr>
          <w:spacing w:val="-2"/>
        </w:rPr>
        <w:t xml:space="preserve"> </w:t>
      </w:r>
      <w:r>
        <w:t>“it</w:t>
      </w:r>
      <w:r>
        <w:rPr>
          <w:spacing w:val="-3"/>
        </w:rPr>
        <w:t xml:space="preserve"> </w:t>
      </w:r>
      <w:r>
        <w:t>is</w:t>
      </w:r>
      <w:r>
        <w:rPr>
          <w:spacing w:val="-3"/>
        </w:rPr>
        <w:t xml:space="preserve"> </w:t>
      </w:r>
      <w:r>
        <w:t>necessarily</w:t>
      </w:r>
      <w:r>
        <w:rPr>
          <w:spacing w:val="-2"/>
        </w:rPr>
        <w:t xml:space="preserve"> </w:t>
      </w:r>
      <w:r>
        <w:t>the</w:t>
      </w:r>
      <w:r>
        <w:rPr>
          <w:spacing w:val="-3"/>
        </w:rPr>
        <w:t xml:space="preserve"> </w:t>
      </w:r>
      <w:r>
        <w:t>case,” meaning only that it denotes the proposition to which the property of being necessarily true is being attributed. In (iv), “that law school will be</w:t>
      </w:r>
      <w:r>
        <w:rPr>
          <w:spacing w:val="40"/>
        </w:rPr>
        <w:t xml:space="preserve"> </w:t>
      </w:r>
      <w:r>
        <w:t>intolerably boring” is governed by “Laura fears” since it denotes the proposition to which the property of being feared by Laura is being</w:t>
      </w:r>
      <w:r>
        <w:rPr>
          <w:spacing w:val="80"/>
        </w:rPr>
        <w:t xml:space="preserve"> </w:t>
      </w:r>
      <w:r>
        <w:rPr>
          <w:spacing w:val="-2"/>
        </w:rPr>
        <w:t>attributed.</w:t>
      </w:r>
    </w:p>
    <w:p w14:paraId="7E002C95" w14:textId="77777777" w:rsidR="009A58DB" w:rsidRDefault="00000000">
      <w:pPr>
        <w:pStyle w:val="BodyText"/>
        <w:spacing w:before="7" w:line="249" w:lineRule="auto"/>
        <w:ind w:right="363" w:firstLine="360"/>
      </w:pPr>
      <w:r>
        <w:t>Anything within an expression governed by an operator is said to fall within</w:t>
      </w:r>
      <w:r>
        <w:rPr>
          <w:spacing w:val="-3"/>
        </w:rPr>
        <w:t xml:space="preserve"> </w:t>
      </w:r>
      <w:r>
        <w:t>the</w:t>
      </w:r>
      <w:r>
        <w:rPr>
          <w:spacing w:val="-4"/>
        </w:rPr>
        <w:t xml:space="preserve"> </w:t>
      </w:r>
      <w:r>
        <w:rPr>
          <w:i/>
        </w:rPr>
        <w:t>scope</w:t>
      </w:r>
      <w:r>
        <w:rPr>
          <w:i/>
          <w:spacing w:val="-4"/>
        </w:rPr>
        <w:t xml:space="preserve"> </w:t>
      </w:r>
      <w:r>
        <w:t>of that operator. In (ii), “France” falls within the scope of “it is possible.” In (iii), “two” falls within the scope of “Jerry believes that.” See “operator” and “epistemic operator.”</w:t>
      </w:r>
    </w:p>
    <w:p w14:paraId="7E002C96" w14:textId="77777777" w:rsidR="009A58DB" w:rsidRDefault="009A58DB">
      <w:pPr>
        <w:pStyle w:val="BodyText"/>
        <w:spacing w:before="20"/>
        <w:ind w:left="0"/>
        <w:jc w:val="left"/>
      </w:pPr>
    </w:p>
    <w:p w14:paraId="7E002C97" w14:textId="77777777" w:rsidR="009A58DB" w:rsidRDefault="00000000">
      <w:pPr>
        <w:pStyle w:val="BodyText"/>
        <w:spacing w:line="249" w:lineRule="auto"/>
        <w:ind w:right="371"/>
      </w:pPr>
      <w:r>
        <w:rPr>
          <w:b/>
          <w:i/>
        </w:rPr>
        <w:t xml:space="preserve">Model: </w:t>
      </w:r>
      <w:r>
        <w:t>To “model” a collection of data is to produce a hypothesis that accounts for it.</w:t>
      </w:r>
    </w:p>
    <w:p w14:paraId="7E002C98" w14:textId="77777777" w:rsidR="009A58DB" w:rsidRDefault="009A58DB">
      <w:pPr>
        <w:pStyle w:val="BodyText"/>
        <w:spacing w:before="18"/>
        <w:ind w:left="0"/>
        <w:jc w:val="left"/>
      </w:pPr>
    </w:p>
    <w:p w14:paraId="7E002C99" w14:textId="77777777" w:rsidR="009A58DB" w:rsidRDefault="00000000">
      <w:pPr>
        <w:pStyle w:val="BodyText"/>
        <w:spacing w:line="249" w:lineRule="auto"/>
        <w:ind w:right="363"/>
      </w:pPr>
      <w:r>
        <w:rPr>
          <w:b/>
          <w:i/>
        </w:rPr>
        <w:t xml:space="preserve">Model (second meaning): </w:t>
      </w:r>
      <w:r>
        <w:t>A model of a set of open-sentences is an assignment of meanings to the undefined, or partially defined, expressions occurring in a set of open-sentences. Consider the following open-sentences:</w:t>
      </w:r>
    </w:p>
    <w:p w14:paraId="7E002C9A" w14:textId="77777777" w:rsidR="009A58DB" w:rsidRDefault="009A58DB">
      <w:pPr>
        <w:pStyle w:val="BodyText"/>
        <w:spacing w:before="18"/>
        <w:ind w:left="0"/>
        <w:jc w:val="left"/>
      </w:pPr>
    </w:p>
    <w:p w14:paraId="7E002C9B" w14:textId="77777777" w:rsidR="009A58DB" w:rsidRDefault="00000000">
      <w:pPr>
        <w:pStyle w:val="ListParagraph"/>
        <w:numPr>
          <w:ilvl w:val="0"/>
          <w:numId w:val="16"/>
        </w:numPr>
        <w:tabs>
          <w:tab w:val="left" w:pos="782"/>
        </w:tabs>
        <w:spacing w:before="1"/>
        <w:ind w:left="782" w:hanging="422"/>
        <w:rPr>
          <w:sz w:val="30"/>
        </w:rPr>
      </w:pPr>
      <w:r>
        <w:rPr>
          <w:sz w:val="30"/>
        </w:rPr>
        <w:t>There</w:t>
      </w:r>
      <w:r>
        <w:rPr>
          <w:spacing w:val="-3"/>
          <w:sz w:val="30"/>
        </w:rPr>
        <w:t xml:space="preserve"> </w:t>
      </w:r>
      <w:r>
        <w:rPr>
          <w:sz w:val="30"/>
        </w:rPr>
        <w:t>is</w:t>
      </w:r>
      <w:r>
        <w:rPr>
          <w:spacing w:val="-3"/>
          <w:sz w:val="30"/>
        </w:rPr>
        <w:t xml:space="preserve"> </w:t>
      </w:r>
      <w:r>
        <w:rPr>
          <w:sz w:val="30"/>
        </w:rPr>
        <w:t>nothing</w:t>
      </w:r>
      <w:r>
        <w:rPr>
          <w:spacing w:val="-2"/>
          <w:sz w:val="30"/>
        </w:rPr>
        <w:t xml:space="preserve"> </w:t>
      </w:r>
      <w:r>
        <w:rPr>
          <w:sz w:val="30"/>
        </w:rPr>
        <w:t>that</w:t>
      </w:r>
      <w:r>
        <w:rPr>
          <w:spacing w:val="-2"/>
          <w:sz w:val="30"/>
        </w:rPr>
        <w:t xml:space="preserve"> </w:t>
      </w:r>
      <w:r>
        <w:rPr>
          <w:sz w:val="30"/>
        </w:rPr>
        <w:t>bears</w:t>
      </w:r>
      <w:r>
        <w:rPr>
          <w:spacing w:val="-3"/>
          <w:sz w:val="30"/>
        </w:rPr>
        <w:t xml:space="preserve"> </w:t>
      </w:r>
      <w:r>
        <w:rPr>
          <w:sz w:val="30"/>
        </w:rPr>
        <w:t>R</w:t>
      </w:r>
      <w:r>
        <w:rPr>
          <w:spacing w:val="-3"/>
          <w:sz w:val="30"/>
        </w:rPr>
        <w:t xml:space="preserve"> </w:t>
      </w:r>
      <w:r>
        <w:rPr>
          <w:sz w:val="30"/>
        </w:rPr>
        <w:t>to</w:t>
      </w:r>
      <w:r>
        <w:rPr>
          <w:spacing w:val="-1"/>
          <w:sz w:val="30"/>
        </w:rPr>
        <w:t xml:space="preserve"> </w:t>
      </w:r>
      <w:r>
        <w:rPr>
          <w:spacing w:val="-5"/>
          <w:sz w:val="30"/>
        </w:rPr>
        <w:t>N.</w:t>
      </w:r>
    </w:p>
    <w:p w14:paraId="7E002C9C" w14:textId="77777777" w:rsidR="009A58DB" w:rsidRDefault="00000000">
      <w:pPr>
        <w:pStyle w:val="ListParagraph"/>
        <w:numPr>
          <w:ilvl w:val="0"/>
          <w:numId w:val="16"/>
        </w:numPr>
        <w:tabs>
          <w:tab w:val="left" w:pos="782"/>
        </w:tabs>
        <w:spacing w:before="15"/>
        <w:ind w:left="782" w:hanging="422"/>
        <w:rPr>
          <w:sz w:val="30"/>
        </w:rPr>
      </w:pPr>
      <w:r>
        <w:rPr>
          <w:sz w:val="30"/>
        </w:rPr>
        <w:t>Anything</w:t>
      </w:r>
      <w:r>
        <w:rPr>
          <w:spacing w:val="-2"/>
          <w:sz w:val="30"/>
        </w:rPr>
        <w:t xml:space="preserve"> </w:t>
      </w:r>
      <w:r>
        <w:rPr>
          <w:sz w:val="30"/>
        </w:rPr>
        <w:t>x</w:t>
      </w:r>
      <w:r>
        <w:rPr>
          <w:spacing w:val="-1"/>
          <w:sz w:val="30"/>
        </w:rPr>
        <w:t xml:space="preserve"> </w:t>
      </w:r>
      <w:r>
        <w:rPr>
          <w:sz w:val="30"/>
        </w:rPr>
        <w:t>bears</w:t>
      </w:r>
      <w:r>
        <w:rPr>
          <w:spacing w:val="-2"/>
          <w:sz w:val="30"/>
        </w:rPr>
        <w:t xml:space="preserve"> </w:t>
      </w:r>
      <w:r>
        <w:rPr>
          <w:sz w:val="30"/>
        </w:rPr>
        <w:t>R</w:t>
      </w:r>
      <w:r>
        <w:rPr>
          <w:spacing w:val="-3"/>
          <w:sz w:val="30"/>
        </w:rPr>
        <w:t xml:space="preserve"> </w:t>
      </w:r>
      <w:r>
        <w:rPr>
          <w:sz w:val="30"/>
        </w:rPr>
        <w:t>to</w:t>
      </w:r>
      <w:r>
        <w:rPr>
          <w:spacing w:val="-1"/>
          <w:sz w:val="30"/>
        </w:rPr>
        <w:t xml:space="preserve"> </w:t>
      </w:r>
      <w:r>
        <w:rPr>
          <w:sz w:val="30"/>
        </w:rPr>
        <w:t>one,</w:t>
      </w:r>
      <w:r>
        <w:rPr>
          <w:spacing w:val="-1"/>
          <w:sz w:val="30"/>
        </w:rPr>
        <w:t xml:space="preserve"> </w:t>
      </w:r>
      <w:r>
        <w:rPr>
          <w:sz w:val="30"/>
        </w:rPr>
        <w:t>and</w:t>
      </w:r>
      <w:r>
        <w:rPr>
          <w:spacing w:val="-2"/>
          <w:sz w:val="30"/>
        </w:rPr>
        <w:t xml:space="preserve"> </w:t>
      </w:r>
      <w:r>
        <w:rPr>
          <w:sz w:val="30"/>
        </w:rPr>
        <w:t>only</w:t>
      </w:r>
      <w:r>
        <w:rPr>
          <w:spacing w:val="-1"/>
          <w:sz w:val="30"/>
        </w:rPr>
        <w:t xml:space="preserve"> </w:t>
      </w:r>
      <w:r>
        <w:rPr>
          <w:sz w:val="30"/>
        </w:rPr>
        <w:t>one,</w:t>
      </w:r>
      <w:r>
        <w:rPr>
          <w:spacing w:val="-1"/>
          <w:sz w:val="30"/>
        </w:rPr>
        <w:t xml:space="preserve"> </w:t>
      </w:r>
      <w:r>
        <w:rPr>
          <w:sz w:val="30"/>
        </w:rPr>
        <w:t>thing</w:t>
      </w:r>
      <w:r>
        <w:rPr>
          <w:spacing w:val="-1"/>
          <w:sz w:val="30"/>
        </w:rPr>
        <w:t xml:space="preserve"> </w:t>
      </w:r>
      <w:r>
        <w:rPr>
          <w:spacing w:val="-5"/>
          <w:sz w:val="30"/>
        </w:rPr>
        <w:t>y.</w:t>
      </w:r>
    </w:p>
    <w:p w14:paraId="7E002C9D" w14:textId="77777777" w:rsidR="009A58DB" w:rsidRDefault="00000000">
      <w:pPr>
        <w:pStyle w:val="ListParagraph"/>
        <w:numPr>
          <w:ilvl w:val="0"/>
          <w:numId w:val="16"/>
        </w:numPr>
        <w:tabs>
          <w:tab w:val="left" w:pos="782"/>
        </w:tabs>
        <w:spacing w:before="15"/>
        <w:ind w:left="782" w:hanging="422"/>
        <w:rPr>
          <w:sz w:val="30"/>
        </w:rPr>
      </w:pPr>
      <w:r>
        <w:rPr>
          <w:sz w:val="30"/>
        </w:rPr>
        <w:t>If</w:t>
      </w:r>
      <w:r>
        <w:rPr>
          <w:spacing w:val="-2"/>
          <w:sz w:val="30"/>
        </w:rPr>
        <w:t xml:space="preserve"> </w:t>
      </w:r>
      <w:r>
        <w:rPr>
          <w:sz w:val="30"/>
        </w:rPr>
        <w:t>x</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z w:val="30"/>
        </w:rPr>
        <w:t>y,</w:t>
      </w:r>
      <w:r>
        <w:rPr>
          <w:spacing w:val="-1"/>
          <w:sz w:val="30"/>
        </w:rPr>
        <w:t xml:space="preserve"> </w:t>
      </w:r>
      <w:r>
        <w:rPr>
          <w:sz w:val="30"/>
        </w:rPr>
        <w:t>and</w:t>
      </w:r>
      <w:r>
        <w:rPr>
          <w:spacing w:val="-1"/>
          <w:sz w:val="30"/>
        </w:rPr>
        <w:t xml:space="preserve"> </w:t>
      </w:r>
      <w:r>
        <w:rPr>
          <w:sz w:val="30"/>
        </w:rPr>
        <w:t>y</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z w:val="30"/>
        </w:rPr>
        <w:t>z,</w:t>
      </w:r>
      <w:r>
        <w:rPr>
          <w:spacing w:val="-1"/>
          <w:sz w:val="30"/>
        </w:rPr>
        <w:t xml:space="preserve"> </w:t>
      </w:r>
      <w:r>
        <w:rPr>
          <w:sz w:val="30"/>
        </w:rPr>
        <w:t>then</w:t>
      </w:r>
      <w:r>
        <w:rPr>
          <w:spacing w:val="-1"/>
          <w:sz w:val="30"/>
        </w:rPr>
        <w:t xml:space="preserve"> </w:t>
      </w:r>
      <w:r>
        <w:rPr>
          <w:sz w:val="30"/>
        </w:rPr>
        <w:t>x</w:t>
      </w:r>
      <w:r>
        <w:rPr>
          <w:spacing w:val="-2"/>
          <w:sz w:val="30"/>
        </w:rPr>
        <w:t xml:space="preserve"> </w:t>
      </w:r>
      <w:r>
        <w:rPr>
          <w:sz w:val="30"/>
        </w:rPr>
        <w:t>bears</w:t>
      </w:r>
      <w:r>
        <w:rPr>
          <w:spacing w:val="-1"/>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z.</w:t>
      </w:r>
    </w:p>
    <w:p w14:paraId="7E002C9E" w14:textId="77777777" w:rsidR="009A58DB" w:rsidRDefault="00000000">
      <w:pPr>
        <w:pStyle w:val="ListParagraph"/>
        <w:numPr>
          <w:ilvl w:val="0"/>
          <w:numId w:val="16"/>
        </w:numPr>
        <w:tabs>
          <w:tab w:val="left" w:pos="782"/>
        </w:tabs>
        <w:spacing w:before="15"/>
        <w:ind w:left="782" w:hanging="422"/>
        <w:rPr>
          <w:sz w:val="30"/>
        </w:rPr>
      </w:pPr>
      <w:r>
        <w:rPr>
          <w:sz w:val="30"/>
        </w:rPr>
        <w:t>If</w:t>
      </w:r>
      <w:r>
        <w:rPr>
          <w:spacing w:val="-4"/>
          <w:sz w:val="30"/>
        </w:rPr>
        <w:t xml:space="preserve"> </w:t>
      </w:r>
      <w:r>
        <w:rPr>
          <w:sz w:val="30"/>
        </w:rPr>
        <w:t>x</w:t>
      </w:r>
      <w:r>
        <w:rPr>
          <w:spacing w:val="-1"/>
          <w:sz w:val="30"/>
        </w:rPr>
        <w:t xml:space="preserve"> </w:t>
      </w:r>
      <w:r>
        <w:rPr>
          <w:sz w:val="30"/>
        </w:rPr>
        <w:t>bears</w:t>
      </w:r>
      <w:r>
        <w:rPr>
          <w:spacing w:val="-2"/>
          <w:sz w:val="30"/>
        </w:rPr>
        <w:t xml:space="preserve"> </w:t>
      </w:r>
      <w:r>
        <w:rPr>
          <w:sz w:val="30"/>
        </w:rPr>
        <w:t>R</w:t>
      </w:r>
      <w:r>
        <w:rPr>
          <w:spacing w:val="-2"/>
          <w:sz w:val="30"/>
        </w:rPr>
        <w:t xml:space="preserve"> </w:t>
      </w:r>
      <w:r>
        <w:rPr>
          <w:sz w:val="30"/>
        </w:rPr>
        <w:t>to</w:t>
      </w:r>
      <w:r>
        <w:rPr>
          <w:spacing w:val="-1"/>
          <w:sz w:val="30"/>
        </w:rPr>
        <w:t xml:space="preserve"> </w:t>
      </w:r>
      <w:r>
        <w:rPr>
          <w:sz w:val="30"/>
        </w:rPr>
        <w:t>y,</w:t>
      </w:r>
      <w:r>
        <w:rPr>
          <w:spacing w:val="-1"/>
          <w:sz w:val="30"/>
        </w:rPr>
        <w:t xml:space="preserve"> </w:t>
      </w:r>
      <w:r>
        <w:rPr>
          <w:sz w:val="30"/>
        </w:rPr>
        <w:t>y</w:t>
      </w:r>
      <w:r>
        <w:rPr>
          <w:spacing w:val="-2"/>
          <w:sz w:val="30"/>
        </w:rPr>
        <w:t xml:space="preserve"> </w:t>
      </w:r>
      <w:r>
        <w:rPr>
          <w:sz w:val="30"/>
        </w:rPr>
        <w:t>doesn’t</w:t>
      </w:r>
      <w:r>
        <w:rPr>
          <w:spacing w:val="-1"/>
          <w:sz w:val="30"/>
        </w:rPr>
        <w:t xml:space="preserve"> </w:t>
      </w:r>
      <w:r>
        <w:rPr>
          <w:sz w:val="30"/>
        </w:rPr>
        <w:t>bear</w:t>
      </w:r>
      <w:r>
        <w:rPr>
          <w:spacing w:val="-2"/>
          <w:sz w:val="30"/>
        </w:rPr>
        <w:t xml:space="preserve"> </w:t>
      </w:r>
      <w:r>
        <w:rPr>
          <w:sz w:val="30"/>
        </w:rPr>
        <w:t>R</w:t>
      </w:r>
      <w:r>
        <w:rPr>
          <w:spacing w:val="-2"/>
          <w:sz w:val="30"/>
        </w:rPr>
        <w:t xml:space="preserve"> </w:t>
      </w:r>
      <w:r>
        <w:rPr>
          <w:sz w:val="30"/>
        </w:rPr>
        <w:t>to</w:t>
      </w:r>
      <w:r>
        <w:rPr>
          <w:spacing w:val="-1"/>
          <w:sz w:val="30"/>
        </w:rPr>
        <w:t xml:space="preserve"> </w:t>
      </w:r>
      <w:r>
        <w:rPr>
          <w:spacing w:val="-5"/>
          <w:sz w:val="30"/>
        </w:rPr>
        <w:t>x.</w:t>
      </w:r>
    </w:p>
    <w:p w14:paraId="7E002C9F" w14:textId="77777777" w:rsidR="009A58DB" w:rsidRDefault="009A58DB">
      <w:pPr>
        <w:pStyle w:val="BodyText"/>
        <w:spacing w:before="30"/>
        <w:ind w:left="0"/>
        <w:jc w:val="left"/>
      </w:pPr>
    </w:p>
    <w:p w14:paraId="7E002CA0" w14:textId="77777777" w:rsidR="009A58DB" w:rsidRDefault="00000000">
      <w:pPr>
        <w:pStyle w:val="BodyText"/>
        <w:spacing w:line="249" w:lineRule="auto"/>
        <w:ind w:right="359" w:firstLine="360"/>
      </w:pPr>
      <w:r>
        <w:t>Whether (1)–(3) come out true depends on what we take “N” and “R” to stand for, and also on what we take “anything” and “nothing” to mean. Do</w:t>
      </w:r>
      <w:r>
        <w:rPr>
          <w:spacing w:val="40"/>
        </w:rPr>
        <w:t xml:space="preserve"> </w:t>
      </w:r>
      <w:r>
        <w:t xml:space="preserve">we mean </w:t>
      </w:r>
      <w:r>
        <w:rPr>
          <w:i/>
        </w:rPr>
        <w:t xml:space="preserve">anything at all? </w:t>
      </w:r>
      <w:r>
        <w:t xml:space="preserve">Or do we mean anything </w:t>
      </w:r>
      <w:r>
        <w:rPr>
          <w:i/>
        </w:rPr>
        <w:t xml:space="preserve">falling </w:t>
      </w:r>
      <w:r>
        <w:t>into some specific class</w:t>
      </w:r>
      <w:r>
        <w:rPr>
          <w:spacing w:val="-3"/>
        </w:rPr>
        <w:t xml:space="preserve"> </w:t>
      </w:r>
      <w:r>
        <w:t>of</w:t>
      </w:r>
      <w:r>
        <w:rPr>
          <w:spacing w:val="-2"/>
        </w:rPr>
        <w:t xml:space="preserve"> </w:t>
      </w:r>
      <w:r>
        <w:t>objects</w:t>
      </w:r>
      <w:r>
        <w:rPr>
          <w:spacing w:val="-2"/>
        </w:rPr>
        <w:t xml:space="preserve"> </w:t>
      </w:r>
      <w:r>
        <w:t>(e.g.,</w:t>
      </w:r>
      <w:r>
        <w:rPr>
          <w:spacing w:val="-2"/>
        </w:rPr>
        <w:t xml:space="preserve"> </w:t>
      </w:r>
      <w:r>
        <w:t>the</w:t>
      </w:r>
      <w:r>
        <w:rPr>
          <w:spacing w:val="-2"/>
        </w:rPr>
        <w:t xml:space="preserve"> </w:t>
      </w:r>
      <w:r>
        <w:t>class</w:t>
      </w:r>
      <w:r>
        <w:rPr>
          <w:spacing w:val="-2"/>
        </w:rPr>
        <w:t xml:space="preserve"> </w:t>
      </w:r>
      <w:r>
        <w:t>of</w:t>
      </w:r>
      <w:r>
        <w:rPr>
          <w:spacing w:val="-2"/>
        </w:rPr>
        <w:t xml:space="preserve"> </w:t>
      </w:r>
      <w:r>
        <w:t>numbers</w:t>
      </w:r>
      <w:r>
        <w:rPr>
          <w:spacing w:val="-2"/>
        </w:rPr>
        <w:t xml:space="preserve"> </w:t>
      </w:r>
      <w:r>
        <w:t>or</w:t>
      </w:r>
      <w:r>
        <w:rPr>
          <w:spacing w:val="-2"/>
        </w:rPr>
        <w:t xml:space="preserve"> </w:t>
      </w:r>
      <w:r>
        <w:t>of</w:t>
      </w:r>
      <w:r>
        <w:rPr>
          <w:spacing w:val="-2"/>
        </w:rPr>
        <w:t xml:space="preserve"> </w:t>
      </w:r>
      <w:r>
        <w:t>aquatic</w:t>
      </w:r>
      <w:r>
        <w:rPr>
          <w:spacing w:val="-2"/>
        </w:rPr>
        <w:t xml:space="preserve"> </w:t>
      </w:r>
      <w:r>
        <w:t>mammals)?</w:t>
      </w:r>
      <w:r>
        <w:rPr>
          <w:spacing w:val="-2"/>
        </w:rPr>
        <w:t xml:space="preserve"> </w:t>
      </w:r>
      <w:r>
        <w:t>The</w:t>
      </w:r>
      <w:r>
        <w:rPr>
          <w:spacing w:val="-2"/>
        </w:rPr>
        <w:t xml:space="preserve"> </w:t>
      </w:r>
      <w:r>
        <w:t xml:space="preserve">same question </w:t>
      </w:r>
      <w:r>
        <w:rPr>
          <w:i/>
        </w:rPr>
        <w:t xml:space="preserve">mutatis mutandis </w:t>
      </w:r>
      <w:r>
        <w:t xml:space="preserve">arises in connection with “nothing.” (If we take “anything” to mean “any whole number,” then the </w:t>
      </w:r>
      <w:r>
        <w:rPr>
          <w:i/>
        </w:rPr>
        <w:t xml:space="preserve">universe of discourse </w:t>
      </w:r>
      <w:r>
        <w:t>is</w:t>
      </w:r>
      <w:r>
        <w:rPr>
          <w:spacing w:val="40"/>
        </w:rPr>
        <w:t xml:space="preserve"> </w:t>
      </w:r>
      <w:r>
        <w:t>the class of whole numbers. If we take it to mean “any penguin,” then the universe of discourse is the class of penguins.)</w:t>
      </w:r>
    </w:p>
    <w:p w14:paraId="7E002CA1" w14:textId="77777777" w:rsidR="009A58DB" w:rsidRDefault="00000000">
      <w:pPr>
        <w:pStyle w:val="BodyText"/>
        <w:spacing w:before="10" w:line="249" w:lineRule="auto"/>
        <w:ind w:right="366" w:firstLine="360"/>
      </w:pPr>
      <w:r>
        <w:t>To answer these questions is to provide an “interpretation” of these expressions.</w:t>
      </w:r>
      <w:r>
        <w:rPr>
          <w:spacing w:val="68"/>
          <w:w w:val="150"/>
        </w:rPr>
        <w:t xml:space="preserve"> </w:t>
      </w:r>
      <w:r>
        <w:t>An</w:t>
      </w:r>
      <w:r>
        <w:rPr>
          <w:spacing w:val="68"/>
          <w:w w:val="150"/>
        </w:rPr>
        <w:t xml:space="preserve"> </w:t>
      </w:r>
      <w:r>
        <w:t>“interpretation”</w:t>
      </w:r>
      <w:r>
        <w:rPr>
          <w:spacing w:val="68"/>
          <w:w w:val="150"/>
        </w:rPr>
        <w:t xml:space="preserve"> </w:t>
      </w:r>
      <w:r>
        <w:t>of</w:t>
      </w:r>
      <w:r>
        <w:rPr>
          <w:spacing w:val="68"/>
          <w:w w:val="150"/>
        </w:rPr>
        <w:t xml:space="preserve"> </w:t>
      </w:r>
      <w:r>
        <w:t>a</w:t>
      </w:r>
      <w:r>
        <w:rPr>
          <w:spacing w:val="68"/>
          <w:w w:val="150"/>
        </w:rPr>
        <w:t xml:space="preserve"> </w:t>
      </w:r>
      <w:r>
        <w:t>set</w:t>
      </w:r>
      <w:r>
        <w:rPr>
          <w:spacing w:val="68"/>
          <w:w w:val="150"/>
        </w:rPr>
        <w:t xml:space="preserve"> </w:t>
      </w:r>
      <w:r>
        <w:t>of</w:t>
      </w:r>
      <w:r>
        <w:rPr>
          <w:spacing w:val="68"/>
          <w:w w:val="150"/>
        </w:rPr>
        <w:t xml:space="preserve"> </w:t>
      </w:r>
      <w:r>
        <w:t>open-sentences</w:t>
      </w:r>
      <w:r>
        <w:rPr>
          <w:spacing w:val="68"/>
          <w:w w:val="150"/>
        </w:rPr>
        <w:t xml:space="preserve"> </w:t>
      </w:r>
      <w:r>
        <w:t>is</w:t>
      </w:r>
      <w:r>
        <w:rPr>
          <w:spacing w:val="68"/>
          <w:w w:val="150"/>
        </w:rPr>
        <w:t xml:space="preserve"> </w:t>
      </w:r>
      <w:r>
        <w:t>thus</w:t>
      </w:r>
      <w:r>
        <w:rPr>
          <w:spacing w:val="68"/>
          <w:w w:val="150"/>
        </w:rPr>
        <w:t xml:space="preserve"> </w:t>
      </w:r>
      <w:r>
        <w:t>an</w:t>
      </w:r>
    </w:p>
    <w:p w14:paraId="7E002CA2"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CA3" w14:textId="77777777" w:rsidR="009A58DB" w:rsidRDefault="00000000">
      <w:pPr>
        <w:pStyle w:val="BodyText"/>
        <w:spacing w:before="65" w:line="249" w:lineRule="auto"/>
        <w:ind w:right="362"/>
      </w:pPr>
      <w:r>
        <w:t>assignment of definite meanings to the undefined or partially defined expressions occurring in it. If, given a particular interpretation X (1)–(3) come</w:t>
      </w:r>
      <w:r>
        <w:rPr>
          <w:spacing w:val="-1"/>
        </w:rPr>
        <w:t xml:space="preserve"> </w:t>
      </w:r>
      <w:r>
        <w:t>out</w:t>
      </w:r>
      <w:r>
        <w:rPr>
          <w:spacing w:val="-1"/>
        </w:rPr>
        <w:t xml:space="preserve"> </w:t>
      </w:r>
      <w:r>
        <w:t>true, X</w:t>
      </w:r>
      <w:r>
        <w:rPr>
          <w:spacing w:val="-1"/>
        </w:rPr>
        <w:t xml:space="preserve"> </w:t>
      </w:r>
      <w:r>
        <w:t>is</w:t>
      </w:r>
      <w:r>
        <w:rPr>
          <w:spacing w:val="-1"/>
        </w:rPr>
        <w:t xml:space="preserve"> </w:t>
      </w:r>
      <w:r>
        <w:t>a “model” of</w:t>
      </w:r>
      <w:r>
        <w:rPr>
          <w:spacing w:val="-1"/>
        </w:rPr>
        <w:t xml:space="preserve"> </w:t>
      </w:r>
      <w:r>
        <w:t>(1)–(3). If, given</w:t>
      </w:r>
      <w:r>
        <w:rPr>
          <w:spacing w:val="-1"/>
        </w:rPr>
        <w:t xml:space="preserve"> </w:t>
      </w:r>
      <w:r>
        <w:t>X, (1)–(3)</w:t>
      </w:r>
      <w:r>
        <w:rPr>
          <w:spacing w:val="-1"/>
        </w:rPr>
        <w:t xml:space="preserve"> </w:t>
      </w:r>
      <w:r>
        <w:t>comes out</w:t>
      </w:r>
      <w:r>
        <w:rPr>
          <w:spacing w:val="-1"/>
        </w:rPr>
        <w:t xml:space="preserve"> </w:t>
      </w:r>
      <w:r>
        <w:t>false, then X doesn’t model them.</w:t>
      </w:r>
    </w:p>
    <w:p w14:paraId="7E002CA4" w14:textId="77777777" w:rsidR="009A58DB" w:rsidRDefault="00000000">
      <w:pPr>
        <w:pStyle w:val="BodyText"/>
        <w:spacing w:before="5" w:line="249" w:lineRule="auto"/>
        <w:ind w:right="360" w:firstLine="360"/>
      </w:pPr>
      <w:r>
        <w:t xml:space="preserve">Here’s one interpretation of (1)–(3). Take the universe of discourse to be the whole numbers (zero, one two, etc.). N is zero, and R is the relation of being the immediate predecessor of. Relative to this interpretation, (1)–(3) come out true. This interpretation is therefore a </w:t>
      </w:r>
      <w:r>
        <w:rPr>
          <w:i/>
        </w:rPr>
        <w:t xml:space="preserve">model </w:t>
      </w:r>
      <w:r>
        <w:t>of (1)–(3).</w:t>
      </w:r>
    </w:p>
    <w:p w14:paraId="7E002CA5" w14:textId="77777777" w:rsidR="009A58DB" w:rsidRDefault="00000000">
      <w:pPr>
        <w:pStyle w:val="BodyText"/>
        <w:spacing w:before="4" w:line="249" w:lineRule="auto"/>
        <w:ind w:right="359" w:firstLine="360"/>
      </w:pPr>
      <w:r>
        <w:t>Here’s a different interpretation of (1)–(3).Take the universe of discourse to be the class of people. Take N to be Dick Cheney, and take R to be the relationship that a child bears to either one of its parents. This interpretation fails</w:t>
      </w:r>
      <w:r>
        <w:rPr>
          <w:spacing w:val="31"/>
        </w:rPr>
        <w:t xml:space="preserve"> </w:t>
      </w:r>
      <w:r>
        <w:t>to</w:t>
      </w:r>
      <w:r>
        <w:rPr>
          <w:spacing w:val="31"/>
        </w:rPr>
        <w:t xml:space="preserve"> </w:t>
      </w:r>
      <w:r>
        <w:t>model</w:t>
      </w:r>
      <w:r>
        <w:rPr>
          <w:spacing w:val="31"/>
        </w:rPr>
        <w:t xml:space="preserve"> </w:t>
      </w:r>
      <w:r>
        <w:t>(1)–(3).</w:t>
      </w:r>
      <w:r>
        <w:rPr>
          <w:spacing w:val="31"/>
        </w:rPr>
        <w:t xml:space="preserve"> </w:t>
      </w:r>
      <w:r>
        <w:t>There</w:t>
      </w:r>
      <w:r>
        <w:rPr>
          <w:spacing w:val="31"/>
        </w:rPr>
        <w:t xml:space="preserve"> </w:t>
      </w:r>
      <w:r>
        <w:t>are</w:t>
      </w:r>
      <w:r>
        <w:rPr>
          <w:spacing w:val="31"/>
        </w:rPr>
        <w:t xml:space="preserve"> </w:t>
      </w:r>
      <w:r>
        <w:t>several</w:t>
      </w:r>
      <w:r>
        <w:rPr>
          <w:spacing w:val="31"/>
        </w:rPr>
        <w:t xml:space="preserve"> </w:t>
      </w:r>
      <w:r>
        <w:t>reasons</w:t>
      </w:r>
      <w:r>
        <w:rPr>
          <w:spacing w:val="31"/>
        </w:rPr>
        <w:t xml:space="preserve"> </w:t>
      </w:r>
      <w:r>
        <w:t>for</w:t>
      </w:r>
      <w:r>
        <w:rPr>
          <w:spacing w:val="31"/>
        </w:rPr>
        <w:t xml:space="preserve"> </w:t>
      </w:r>
      <w:r>
        <w:t>this.</w:t>
      </w:r>
      <w:r>
        <w:rPr>
          <w:spacing w:val="31"/>
        </w:rPr>
        <w:t xml:space="preserve"> </w:t>
      </w:r>
      <w:r>
        <w:t>Thus,</w:t>
      </w:r>
      <w:r>
        <w:rPr>
          <w:spacing w:val="31"/>
        </w:rPr>
        <w:t xml:space="preserve"> </w:t>
      </w:r>
      <w:r>
        <w:t>interpreted,</w:t>
      </w:r>
    </w:p>
    <w:p w14:paraId="7E002CA6" w14:textId="77777777" w:rsidR="009A58DB" w:rsidRDefault="00000000">
      <w:pPr>
        <w:pStyle w:val="BodyText"/>
        <w:spacing w:before="5" w:line="249" w:lineRule="auto"/>
        <w:ind w:right="359"/>
      </w:pPr>
      <w:r>
        <w:t>(1) says Dick Cheney isn’t a parent, which is false; (2) says that nobody has more than one parent, which is false; and (3) says that grandparents are immediate parents, which is false.</w:t>
      </w:r>
    </w:p>
    <w:p w14:paraId="7E002CA7" w14:textId="77777777" w:rsidR="009A58DB" w:rsidRDefault="009A58DB">
      <w:pPr>
        <w:pStyle w:val="BodyText"/>
        <w:spacing w:before="19"/>
        <w:ind w:left="0"/>
        <w:jc w:val="left"/>
      </w:pPr>
    </w:p>
    <w:p w14:paraId="7E002CA8" w14:textId="77777777" w:rsidR="009A58DB" w:rsidRDefault="00000000">
      <w:pPr>
        <w:spacing w:line="249" w:lineRule="auto"/>
        <w:ind w:left="360" w:right="358"/>
        <w:jc w:val="both"/>
        <w:rPr>
          <w:i/>
          <w:sz w:val="30"/>
        </w:rPr>
      </w:pPr>
      <w:r>
        <w:rPr>
          <w:b/>
          <w:i/>
          <w:sz w:val="30"/>
        </w:rPr>
        <w:t xml:space="preserve">Molecular proposition: </w:t>
      </w:r>
      <w:r>
        <w:rPr>
          <w:sz w:val="30"/>
        </w:rPr>
        <w:t>A proposition that has another proposition as a</w:t>
      </w:r>
      <w:r>
        <w:rPr>
          <w:spacing w:val="40"/>
          <w:sz w:val="30"/>
        </w:rPr>
        <w:t xml:space="preserve"> </w:t>
      </w:r>
      <w:r>
        <w:rPr>
          <w:sz w:val="30"/>
        </w:rPr>
        <w:t xml:space="preserve">proper part. For example, </w:t>
      </w:r>
      <w:r>
        <w:rPr>
          <w:i/>
          <w:sz w:val="30"/>
        </w:rPr>
        <w:t xml:space="preserve">if grass is green, then something is green </w:t>
      </w:r>
      <w:r>
        <w:rPr>
          <w:sz w:val="30"/>
        </w:rPr>
        <w:t>is a molecular proposition, since it has two propositions as proper parts of itself, namely,</w:t>
      </w:r>
      <w:r>
        <w:rPr>
          <w:spacing w:val="-3"/>
          <w:sz w:val="30"/>
        </w:rPr>
        <w:t xml:space="preserve"> </w:t>
      </w:r>
      <w:r>
        <w:rPr>
          <w:i/>
          <w:sz w:val="30"/>
        </w:rPr>
        <w:t xml:space="preserve">grass is green </w:t>
      </w:r>
      <w:r>
        <w:rPr>
          <w:sz w:val="30"/>
        </w:rPr>
        <w:t xml:space="preserve">and </w:t>
      </w:r>
      <w:r>
        <w:rPr>
          <w:i/>
          <w:sz w:val="30"/>
        </w:rPr>
        <w:t xml:space="preserve">something is green. </w:t>
      </w:r>
      <w:r>
        <w:rPr>
          <w:sz w:val="30"/>
        </w:rPr>
        <w:t xml:space="preserve">Other examples of molecular propositions are </w:t>
      </w:r>
      <w:r>
        <w:rPr>
          <w:i/>
          <w:sz w:val="30"/>
        </w:rPr>
        <w:t>Bob is short and Mary is tall; Mary is smarter but Sally is smarter than Mary.</w:t>
      </w:r>
    </w:p>
    <w:p w14:paraId="7E002CA9" w14:textId="77777777" w:rsidR="009A58DB" w:rsidRDefault="00000000">
      <w:pPr>
        <w:spacing w:before="7" w:line="249" w:lineRule="auto"/>
        <w:ind w:left="360" w:right="362" w:firstLine="360"/>
        <w:jc w:val="both"/>
        <w:rPr>
          <w:sz w:val="30"/>
        </w:rPr>
      </w:pPr>
      <w:r>
        <w:rPr>
          <w:sz w:val="30"/>
        </w:rPr>
        <w:t xml:space="preserve">Some propositions that are in fact molecular don’t </w:t>
      </w:r>
      <w:r>
        <w:rPr>
          <w:i/>
          <w:sz w:val="30"/>
        </w:rPr>
        <w:t xml:space="preserve">appear </w:t>
      </w:r>
      <w:r>
        <w:rPr>
          <w:sz w:val="30"/>
        </w:rPr>
        <w:t>to be at first.</w:t>
      </w:r>
      <w:r>
        <w:rPr>
          <w:spacing w:val="40"/>
          <w:sz w:val="30"/>
        </w:rPr>
        <w:t xml:space="preserve"> </w:t>
      </w:r>
      <w:r>
        <w:rPr>
          <w:sz w:val="30"/>
        </w:rPr>
        <w:t xml:space="preserve">For example, </w:t>
      </w:r>
      <w:r>
        <w:rPr>
          <w:i/>
          <w:sz w:val="30"/>
        </w:rPr>
        <w:t xml:space="preserve">John wants to catch a fish </w:t>
      </w:r>
      <w:r>
        <w:rPr>
          <w:sz w:val="30"/>
        </w:rPr>
        <w:t xml:space="preserve">is a molecular proposition, since it’s the same as </w:t>
      </w:r>
      <w:r>
        <w:rPr>
          <w:i/>
          <w:sz w:val="30"/>
        </w:rPr>
        <w:t xml:space="preserve">John wants it to be the case that John catches a fish, </w:t>
      </w:r>
      <w:r>
        <w:rPr>
          <w:sz w:val="30"/>
        </w:rPr>
        <w:t xml:space="preserve">and </w:t>
      </w:r>
      <w:r>
        <w:rPr>
          <w:i/>
          <w:sz w:val="30"/>
        </w:rPr>
        <w:t xml:space="preserve">John catches a fish </w:t>
      </w:r>
      <w:r>
        <w:rPr>
          <w:sz w:val="30"/>
        </w:rPr>
        <w:t>is a proposition. See “atomic proposition.”</w:t>
      </w:r>
    </w:p>
    <w:p w14:paraId="7E002CAA" w14:textId="77777777" w:rsidR="009A58DB" w:rsidRDefault="009A58DB">
      <w:pPr>
        <w:pStyle w:val="BodyText"/>
        <w:spacing w:before="20"/>
        <w:ind w:left="0"/>
        <w:jc w:val="left"/>
      </w:pPr>
    </w:p>
    <w:p w14:paraId="7E002CAB" w14:textId="77777777" w:rsidR="009A58DB" w:rsidRDefault="00000000">
      <w:pPr>
        <w:pStyle w:val="BodyText"/>
        <w:spacing w:line="249" w:lineRule="auto"/>
        <w:ind w:right="362"/>
      </w:pPr>
      <w:r>
        <w:rPr>
          <w:b/>
          <w:i/>
        </w:rPr>
        <w:t xml:space="preserve">Molecular sentence: </w:t>
      </w:r>
      <w:r>
        <w:t>A sentence that has another sentence as a proper part (e.g., “grass is green and snow is white”). Some sentences are molecular that don’t initially appear to be. For example, “John wants to catch a fish” is molecular since it’s really an abbreviation for: “John wants it to be the case that John catches a fish.”</w:t>
      </w:r>
    </w:p>
    <w:p w14:paraId="7E002CAC" w14:textId="77777777" w:rsidR="009A58DB" w:rsidRDefault="00000000">
      <w:pPr>
        <w:pStyle w:val="BodyText"/>
        <w:spacing w:before="7" w:line="249" w:lineRule="auto"/>
        <w:ind w:right="359" w:firstLine="360"/>
      </w:pPr>
      <w:r>
        <w:t xml:space="preserve">Many of the expressions we’re about to define (e.g., “quantified generalization”) are used in connection with propositions </w:t>
      </w:r>
      <w:r>
        <w:rPr>
          <w:i/>
        </w:rPr>
        <w:t xml:space="preserve">and </w:t>
      </w:r>
      <w:r>
        <w:t>with sentences.</w:t>
      </w:r>
    </w:p>
    <w:p w14:paraId="7E002CAD" w14:textId="77777777" w:rsidR="009A58DB" w:rsidRDefault="009A58DB">
      <w:pPr>
        <w:pStyle w:val="BodyText"/>
        <w:spacing w:before="17"/>
        <w:ind w:left="0"/>
        <w:jc w:val="left"/>
      </w:pPr>
    </w:p>
    <w:p w14:paraId="7E002CAE" w14:textId="77777777" w:rsidR="009A58DB" w:rsidRDefault="00000000">
      <w:pPr>
        <w:ind w:left="360"/>
        <w:jc w:val="both"/>
        <w:rPr>
          <w:i/>
          <w:sz w:val="30"/>
        </w:rPr>
      </w:pPr>
      <w:r>
        <w:rPr>
          <w:b/>
          <w:i/>
          <w:sz w:val="30"/>
        </w:rPr>
        <w:t>Mutatis</w:t>
      </w:r>
      <w:r>
        <w:rPr>
          <w:b/>
          <w:i/>
          <w:spacing w:val="2"/>
          <w:sz w:val="30"/>
        </w:rPr>
        <w:t xml:space="preserve"> </w:t>
      </w:r>
      <w:r>
        <w:rPr>
          <w:b/>
          <w:i/>
          <w:sz w:val="30"/>
        </w:rPr>
        <w:t>mutandis:</w:t>
      </w:r>
      <w:r>
        <w:rPr>
          <w:b/>
          <w:i/>
          <w:spacing w:val="4"/>
          <w:sz w:val="30"/>
        </w:rPr>
        <w:t xml:space="preserve"> </w:t>
      </w:r>
      <w:r>
        <w:rPr>
          <w:sz w:val="30"/>
        </w:rPr>
        <w:t>This</w:t>
      </w:r>
      <w:r>
        <w:rPr>
          <w:spacing w:val="4"/>
          <w:sz w:val="30"/>
        </w:rPr>
        <w:t xml:space="preserve"> </w:t>
      </w:r>
      <w:r>
        <w:rPr>
          <w:sz w:val="30"/>
        </w:rPr>
        <w:t>means</w:t>
      </w:r>
      <w:r>
        <w:rPr>
          <w:spacing w:val="4"/>
          <w:sz w:val="30"/>
        </w:rPr>
        <w:t xml:space="preserve"> </w:t>
      </w:r>
      <w:r>
        <w:rPr>
          <w:i/>
          <w:sz w:val="30"/>
        </w:rPr>
        <w:t>provided</w:t>
      </w:r>
      <w:r>
        <w:rPr>
          <w:i/>
          <w:spacing w:val="12"/>
          <w:sz w:val="30"/>
        </w:rPr>
        <w:t xml:space="preserve"> </w:t>
      </w:r>
      <w:r>
        <w:rPr>
          <w:i/>
          <w:sz w:val="30"/>
        </w:rPr>
        <w:t>that</w:t>
      </w:r>
      <w:r>
        <w:rPr>
          <w:i/>
          <w:spacing w:val="11"/>
          <w:sz w:val="30"/>
        </w:rPr>
        <w:t xml:space="preserve"> </w:t>
      </w:r>
      <w:r>
        <w:rPr>
          <w:i/>
          <w:sz w:val="30"/>
        </w:rPr>
        <w:t>the</w:t>
      </w:r>
      <w:r>
        <w:rPr>
          <w:i/>
          <w:spacing w:val="11"/>
          <w:sz w:val="30"/>
        </w:rPr>
        <w:t xml:space="preserve"> </w:t>
      </w:r>
      <w:r>
        <w:rPr>
          <w:i/>
          <w:sz w:val="30"/>
        </w:rPr>
        <w:t>relevant</w:t>
      </w:r>
      <w:r>
        <w:rPr>
          <w:i/>
          <w:spacing w:val="11"/>
          <w:sz w:val="30"/>
        </w:rPr>
        <w:t xml:space="preserve"> </w:t>
      </w:r>
      <w:r>
        <w:rPr>
          <w:i/>
          <w:sz w:val="30"/>
        </w:rPr>
        <w:t>changes</w:t>
      </w:r>
      <w:r>
        <w:rPr>
          <w:i/>
          <w:spacing w:val="11"/>
          <w:sz w:val="30"/>
        </w:rPr>
        <w:t xml:space="preserve"> </w:t>
      </w:r>
      <w:r>
        <w:rPr>
          <w:i/>
          <w:sz w:val="30"/>
        </w:rPr>
        <w:t>are</w:t>
      </w:r>
      <w:r>
        <w:rPr>
          <w:i/>
          <w:spacing w:val="11"/>
          <w:sz w:val="30"/>
        </w:rPr>
        <w:t xml:space="preserve"> </w:t>
      </w:r>
      <w:r>
        <w:rPr>
          <w:i/>
          <w:spacing w:val="-2"/>
          <w:sz w:val="30"/>
        </w:rPr>
        <w:t>made.</w:t>
      </w:r>
    </w:p>
    <w:p w14:paraId="7E002CAF" w14:textId="77777777" w:rsidR="009A58DB" w:rsidRDefault="009A58DB">
      <w:pPr>
        <w:jc w:val="both"/>
        <w:rPr>
          <w:i/>
          <w:sz w:val="30"/>
        </w:rPr>
        <w:sectPr w:rsidR="009A58DB">
          <w:pgSz w:w="12240" w:h="15840"/>
          <w:pgMar w:top="1380" w:right="1080" w:bottom="280" w:left="1080" w:header="720" w:footer="720" w:gutter="0"/>
          <w:cols w:space="720"/>
        </w:sectPr>
      </w:pPr>
    </w:p>
    <w:p w14:paraId="7E002CB0" w14:textId="77777777" w:rsidR="009A58DB" w:rsidRDefault="00000000">
      <w:pPr>
        <w:pStyle w:val="BodyText"/>
        <w:spacing w:before="65" w:line="249" w:lineRule="auto"/>
        <w:ind w:right="358"/>
      </w:pPr>
      <w:r>
        <w:t>Suppose</w:t>
      </w:r>
      <w:r>
        <w:rPr>
          <w:spacing w:val="-3"/>
        </w:rPr>
        <w:t xml:space="preserve"> </w:t>
      </w:r>
      <w:r>
        <w:t>that</w:t>
      </w:r>
      <w:r>
        <w:rPr>
          <w:spacing w:val="-2"/>
        </w:rPr>
        <w:t xml:space="preserve"> </w:t>
      </w:r>
      <w:r>
        <w:t>you</w:t>
      </w:r>
      <w:r>
        <w:rPr>
          <w:spacing w:val="-2"/>
        </w:rPr>
        <w:t xml:space="preserve"> </w:t>
      </w:r>
      <w:r>
        <w:t>and</w:t>
      </w:r>
      <w:r>
        <w:rPr>
          <w:spacing w:val="-2"/>
        </w:rPr>
        <w:t xml:space="preserve"> </w:t>
      </w:r>
      <w:r>
        <w:t>I</w:t>
      </w:r>
      <w:r>
        <w:rPr>
          <w:spacing w:val="-2"/>
        </w:rPr>
        <w:t xml:space="preserve"> </w:t>
      </w:r>
      <w:r>
        <w:t>have</w:t>
      </w:r>
      <w:r>
        <w:rPr>
          <w:spacing w:val="-2"/>
        </w:rPr>
        <w:t xml:space="preserve"> </w:t>
      </w:r>
      <w:r>
        <w:t>different</w:t>
      </w:r>
      <w:r>
        <w:rPr>
          <w:spacing w:val="-2"/>
        </w:rPr>
        <w:t xml:space="preserve"> </w:t>
      </w:r>
      <w:r>
        <w:t>employers</w:t>
      </w:r>
      <w:r>
        <w:rPr>
          <w:spacing w:val="-2"/>
        </w:rPr>
        <w:t xml:space="preserve"> </w:t>
      </w:r>
      <w:r>
        <w:t>and</w:t>
      </w:r>
      <w:r>
        <w:rPr>
          <w:spacing w:val="-2"/>
        </w:rPr>
        <w:t xml:space="preserve"> </w:t>
      </w:r>
      <w:r>
        <w:t>also</w:t>
      </w:r>
      <w:r>
        <w:rPr>
          <w:spacing w:val="-2"/>
        </w:rPr>
        <w:t xml:space="preserve"> </w:t>
      </w:r>
      <w:r>
        <w:t>that</w:t>
      </w:r>
      <w:r>
        <w:rPr>
          <w:spacing w:val="-2"/>
        </w:rPr>
        <w:t xml:space="preserve"> </w:t>
      </w:r>
      <w:r>
        <w:t>your</w:t>
      </w:r>
      <w:r>
        <w:rPr>
          <w:spacing w:val="-2"/>
        </w:rPr>
        <w:t xml:space="preserve"> </w:t>
      </w:r>
      <w:r>
        <w:t>boss</w:t>
      </w:r>
      <w:r>
        <w:rPr>
          <w:spacing w:val="-2"/>
        </w:rPr>
        <w:t xml:space="preserve"> </w:t>
      </w:r>
      <w:r>
        <w:t>hates my boss with such vitriol that he will reward anyone who harms my boss in any way. In that case, the statement: “I’ll get fired if I punch my boss, and you’ll get fired if you do the very same thing” is false. Supposing that I</w:t>
      </w:r>
      <w:r>
        <w:rPr>
          <w:spacing w:val="40"/>
        </w:rPr>
        <w:t xml:space="preserve"> </w:t>
      </w:r>
      <w:r>
        <w:t xml:space="preserve">punch my boss, your doing the very </w:t>
      </w:r>
      <w:r>
        <w:rPr>
          <w:i/>
        </w:rPr>
        <w:t xml:space="preserve">same </w:t>
      </w:r>
      <w:r>
        <w:t xml:space="preserve">thing would consist in your punching </w:t>
      </w:r>
      <w:r>
        <w:rPr>
          <w:i/>
        </w:rPr>
        <w:t xml:space="preserve">my </w:t>
      </w:r>
      <w:r>
        <w:t xml:space="preserve">boss, which wouldn’t get you fired. But if you were to punch </w:t>
      </w:r>
      <w:r>
        <w:rPr>
          <w:i/>
        </w:rPr>
        <w:t>your</w:t>
      </w:r>
      <w:r>
        <w:rPr>
          <w:i/>
          <w:spacing w:val="-3"/>
        </w:rPr>
        <w:t xml:space="preserve"> </w:t>
      </w:r>
      <w:r>
        <w:t xml:space="preserve">boss, you would get fired. Thus, the right statement is: “I’ll get fired if I punch my boss, and you’ll get fired if you do the very same thing </w:t>
      </w:r>
      <w:r>
        <w:rPr>
          <w:i/>
        </w:rPr>
        <w:t xml:space="preserve">mutatis </w:t>
      </w:r>
      <w:r>
        <w:rPr>
          <w:i/>
          <w:spacing w:val="-2"/>
        </w:rPr>
        <w:t>mutandis.</w:t>
      </w:r>
      <w:r>
        <w:rPr>
          <w:spacing w:val="-2"/>
        </w:rPr>
        <w:t>”</w:t>
      </w:r>
    </w:p>
    <w:p w14:paraId="7E002CB1" w14:textId="77777777" w:rsidR="009A58DB" w:rsidRDefault="009A58DB">
      <w:pPr>
        <w:pStyle w:val="BodyText"/>
        <w:spacing w:before="26"/>
        <w:ind w:left="0"/>
        <w:jc w:val="left"/>
      </w:pPr>
    </w:p>
    <w:p w14:paraId="7E002CB2" w14:textId="77777777" w:rsidR="009A58DB" w:rsidRDefault="00000000">
      <w:pPr>
        <w:pStyle w:val="BodyText"/>
        <w:spacing w:line="249" w:lineRule="auto"/>
        <w:ind w:right="360"/>
      </w:pPr>
      <w:r>
        <w:rPr>
          <w:b/>
          <w:i/>
        </w:rPr>
        <w:t xml:space="preserve">Necessary: </w:t>
      </w:r>
      <w:r>
        <w:t>A proposition is necessary if there is no coherently conceivable circumstance where it is false. Example of such a proposition: 1 + 1 = 2. See “contingent,” “possible,” and “proposition.”</w:t>
      </w:r>
    </w:p>
    <w:p w14:paraId="7E002CB3" w14:textId="77777777" w:rsidR="009A58DB" w:rsidRDefault="009A58DB">
      <w:pPr>
        <w:pStyle w:val="BodyText"/>
        <w:spacing w:before="18"/>
        <w:ind w:left="0"/>
        <w:jc w:val="left"/>
      </w:pPr>
    </w:p>
    <w:p w14:paraId="7E002CB4" w14:textId="77777777" w:rsidR="009A58DB" w:rsidRDefault="00000000">
      <w:pPr>
        <w:pStyle w:val="BodyText"/>
        <w:spacing w:line="249" w:lineRule="auto"/>
        <w:ind w:right="363"/>
      </w:pPr>
      <w:r>
        <w:rPr>
          <w:b/>
          <w:i/>
        </w:rPr>
        <w:t>Negation:</w:t>
      </w:r>
      <w:r>
        <w:rPr>
          <w:b/>
          <w:i/>
          <w:spacing w:val="-3"/>
        </w:rPr>
        <w:t xml:space="preserve"> </w:t>
      </w:r>
      <w:r>
        <w:t>The negation of P is not-P. So the negation of a proposition is the statement that says that P is false. (Ockham uses the obsolete term “contradictory opposite” instead of “negation.”)</w:t>
      </w:r>
    </w:p>
    <w:p w14:paraId="7E002CB5" w14:textId="77777777" w:rsidR="009A58DB" w:rsidRDefault="009A58DB">
      <w:pPr>
        <w:pStyle w:val="BodyText"/>
        <w:spacing w:before="19"/>
        <w:ind w:left="0"/>
        <w:jc w:val="left"/>
      </w:pPr>
    </w:p>
    <w:p w14:paraId="7E002CB6" w14:textId="77777777" w:rsidR="009A58DB" w:rsidRDefault="00000000">
      <w:pPr>
        <w:spacing w:line="249" w:lineRule="auto"/>
        <w:ind w:left="360" w:right="363"/>
        <w:jc w:val="both"/>
        <w:rPr>
          <w:sz w:val="30"/>
        </w:rPr>
      </w:pPr>
      <w:r>
        <w:rPr>
          <w:b/>
          <w:i/>
          <w:sz w:val="30"/>
        </w:rPr>
        <w:t xml:space="preserve">Necessity, sufficiency: </w:t>
      </w:r>
      <w:r>
        <w:rPr>
          <w:sz w:val="30"/>
        </w:rPr>
        <w:t xml:space="preserve">“If P then Q” means that there’s no way that P can be true </w:t>
      </w:r>
      <w:r>
        <w:rPr>
          <w:i/>
          <w:sz w:val="30"/>
        </w:rPr>
        <w:t xml:space="preserve">unless </w:t>
      </w:r>
      <w:r>
        <w:rPr>
          <w:sz w:val="30"/>
        </w:rPr>
        <w:t xml:space="preserve">Q is true. This, in its turn, means that the truth of Q is </w:t>
      </w:r>
      <w:r>
        <w:rPr>
          <w:i/>
          <w:sz w:val="30"/>
        </w:rPr>
        <w:t xml:space="preserve">necessary </w:t>
      </w:r>
      <w:r>
        <w:rPr>
          <w:sz w:val="30"/>
        </w:rPr>
        <w:t xml:space="preserve">for that of P and, also, that the truth of P is </w:t>
      </w:r>
      <w:r>
        <w:rPr>
          <w:i/>
          <w:sz w:val="30"/>
        </w:rPr>
        <w:t xml:space="preserve">sufficient </w:t>
      </w:r>
      <w:r>
        <w:rPr>
          <w:sz w:val="30"/>
        </w:rPr>
        <w:t xml:space="preserve">for the truth of Q. See </w:t>
      </w:r>
      <w:r>
        <w:rPr>
          <w:spacing w:val="-2"/>
          <w:sz w:val="30"/>
        </w:rPr>
        <w:t>“entails.”</w:t>
      </w:r>
    </w:p>
    <w:p w14:paraId="7E002CB7" w14:textId="77777777" w:rsidR="009A58DB" w:rsidRDefault="009A58DB">
      <w:pPr>
        <w:pStyle w:val="BodyText"/>
        <w:spacing w:before="20"/>
        <w:ind w:left="0"/>
        <w:jc w:val="left"/>
      </w:pPr>
    </w:p>
    <w:p w14:paraId="7E002CB8" w14:textId="77777777" w:rsidR="009A58DB" w:rsidRDefault="00000000">
      <w:pPr>
        <w:pStyle w:val="BodyText"/>
        <w:spacing w:line="249" w:lineRule="auto"/>
        <w:ind w:right="367"/>
      </w:pPr>
      <w:r>
        <w:rPr>
          <w:b/>
          <w:i/>
        </w:rPr>
        <w:t xml:space="preserve">Necessity, sufficiency </w:t>
      </w:r>
      <w:r>
        <w:t>(revisited): “P entails Q” means the same thing as “Q</w:t>
      </w:r>
      <w:r>
        <w:rPr>
          <w:spacing w:val="40"/>
        </w:rPr>
        <w:t xml:space="preserve"> </w:t>
      </w:r>
      <w:r>
        <w:t>is necessary for P,” which in turn means the same thing as “P is sufficient for Q.” See “entails.”</w:t>
      </w:r>
    </w:p>
    <w:p w14:paraId="7E002CB9" w14:textId="77777777" w:rsidR="009A58DB" w:rsidRDefault="009A58DB">
      <w:pPr>
        <w:pStyle w:val="BodyText"/>
        <w:spacing w:before="19"/>
        <w:ind w:left="0"/>
        <w:jc w:val="left"/>
      </w:pPr>
    </w:p>
    <w:p w14:paraId="7E002CBA" w14:textId="77777777" w:rsidR="009A58DB" w:rsidRDefault="00000000">
      <w:pPr>
        <w:spacing w:line="249" w:lineRule="auto"/>
        <w:ind w:left="360" w:right="365"/>
        <w:jc w:val="both"/>
        <w:rPr>
          <w:sz w:val="30"/>
        </w:rPr>
      </w:pPr>
      <w:r>
        <w:rPr>
          <w:b/>
          <w:i/>
          <w:sz w:val="30"/>
        </w:rPr>
        <w:t xml:space="preserve">Normative proposition: </w:t>
      </w:r>
      <w:r>
        <w:rPr>
          <w:sz w:val="30"/>
        </w:rPr>
        <w:t xml:space="preserve">A proposition is </w:t>
      </w:r>
      <w:r>
        <w:rPr>
          <w:i/>
          <w:sz w:val="30"/>
        </w:rPr>
        <w:t xml:space="preserve">normative </w:t>
      </w:r>
      <w:r>
        <w:rPr>
          <w:sz w:val="30"/>
        </w:rPr>
        <w:t xml:space="preserve">if it says how things </w:t>
      </w:r>
      <w:r>
        <w:rPr>
          <w:i/>
          <w:sz w:val="30"/>
        </w:rPr>
        <w:t xml:space="preserve">should be. Killing is wrong </w:t>
      </w:r>
      <w:r>
        <w:rPr>
          <w:sz w:val="30"/>
        </w:rPr>
        <w:t xml:space="preserve">is a </w:t>
      </w:r>
      <w:r>
        <w:rPr>
          <w:i/>
          <w:sz w:val="30"/>
        </w:rPr>
        <w:t xml:space="preserve">normative </w:t>
      </w:r>
      <w:r>
        <w:rPr>
          <w:sz w:val="30"/>
        </w:rPr>
        <w:t xml:space="preserve">proposition, since it says that killing </w:t>
      </w:r>
      <w:r>
        <w:rPr>
          <w:i/>
          <w:sz w:val="30"/>
        </w:rPr>
        <w:t xml:space="preserve">shouldn’t </w:t>
      </w:r>
      <w:r>
        <w:rPr>
          <w:sz w:val="30"/>
        </w:rPr>
        <w:t>occur. See “proposition” and “descriptive proposition.”</w:t>
      </w:r>
    </w:p>
    <w:p w14:paraId="7E002CBB" w14:textId="77777777" w:rsidR="009A58DB" w:rsidRDefault="009A58DB">
      <w:pPr>
        <w:pStyle w:val="BodyText"/>
        <w:spacing w:before="18"/>
        <w:ind w:left="0"/>
        <w:jc w:val="left"/>
      </w:pPr>
    </w:p>
    <w:p w14:paraId="7E002CBC" w14:textId="77777777" w:rsidR="009A58DB" w:rsidRDefault="00000000">
      <w:pPr>
        <w:pStyle w:val="BodyText"/>
        <w:spacing w:before="1" w:line="249" w:lineRule="auto"/>
        <w:ind w:right="363"/>
        <w:rPr>
          <w:i/>
        </w:rPr>
      </w:pPr>
      <w:r>
        <w:rPr>
          <w:b/>
          <w:i/>
        </w:rPr>
        <w:t xml:space="preserve">Numerically identical: </w:t>
      </w:r>
      <w:r>
        <w:t xml:space="preserve">x and y are numerically identical if they are the very same thing. So Benjamin Franklin is numerically identical with the person who invented bifocals. If you punch Ben Franklin, you are also punching the inventor of bifocals and </w:t>
      </w:r>
      <w:r>
        <w:rPr>
          <w:i/>
        </w:rPr>
        <w:t>vice versa.</w:t>
      </w:r>
    </w:p>
    <w:p w14:paraId="7E002CBD" w14:textId="77777777" w:rsidR="009A58DB" w:rsidRDefault="009A58DB">
      <w:pPr>
        <w:pStyle w:val="BodyText"/>
        <w:spacing w:line="249" w:lineRule="auto"/>
        <w:rPr>
          <w:i/>
        </w:rPr>
        <w:sectPr w:rsidR="009A58DB">
          <w:pgSz w:w="12240" w:h="15840"/>
          <w:pgMar w:top="1380" w:right="1080" w:bottom="280" w:left="1080" w:header="720" w:footer="720" w:gutter="0"/>
          <w:cols w:space="720"/>
        </w:sectPr>
      </w:pPr>
    </w:p>
    <w:p w14:paraId="7E002CBE" w14:textId="77777777" w:rsidR="009A58DB" w:rsidRDefault="00000000">
      <w:pPr>
        <w:pStyle w:val="BodyText"/>
        <w:spacing w:before="65" w:line="249" w:lineRule="auto"/>
        <w:ind w:right="364"/>
      </w:pPr>
      <w:r>
        <w:rPr>
          <w:b/>
          <w:i/>
        </w:rPr>
        <w:t xml:space="preserve">Observable characteristic: </w:t>
      </w:r>
      <w:r>
        <w:t xml:space="preserve">Any characteristic of a thing that one can see or otherwise sense-perceive. One can </w:t>
      </w:r>
      <w:r>
        <w:rPr>
          <w:i/>
        </w:rPr>
        <w:t xml:space="preserve">see </w:t>
      </w:r>
      <w:r>
        <w:t xml:space="preserve">that a thing is red. One can </w:t>
      </w:r>
      <w:r>
        <w:rPr>
          <w:i/>
        </w:rPr>
        <w:t xml:space="preserve">feel </w:t>
      </w:r>
      <w:r>
        <w:t xml:space="preserve">that a thing is solid. Thus, redness and solidity are, in at least some instances, observable characteristics. One cannot </w:t>
      </w:r>
      <w:r>
        <w:rPr>
          <w:i/>
        </w:rPr>
        <w:t xml:space="preserve">see </w:t>
      </w:r>
      <w:r>
        <w:t>that a thing consists of such and such micro-particles. Thus, the property of being composed of such things is not an observable one.</w:t>
      </w:r>
    </w:p>
    <w:p w14:paraId="7E002CBF" w14:textId="77777777" w:rsidR="009A58DB" w:rsidRDefault="00000000">
      <w:pPr>
        <w:pStyle w:val="BodyText"/>
        <w:spacing w:before="7" w:line="249" w:lineRule="auto"/>
        <w:ind w:right="362" w:firstLine="360"/>
      </w:pPr>
      <w:r>
        <w:t>It’s obvious that whether a given characteristic is observable or not is typically context-dependent. A thing’s being red or solid might be as theoretical a fact as its consisting of molecules of a certain kind. To creatures of</w:t>
      </w:r>
      <w:r>
        <w:rPr>
          <w:spacing w:val="-1"/>
        </w:rPr>
        <w:t xml:space="preserve"> </w:t>
      </w:r>
      <w:r>
        <w:t>our intelligence level, but of one-trillionth our</w:t>
      </w:r>
      <w:r>
        <w:rPr>
          <w:spacing w:val="-1"/>
        </w:rPr>
        <w:t xml:space="preserve"> </w:t>
      </w:r>
      <w:r>
        <w:t>size, the fact</w:t>
      </w:r>
      <w:r>
        <w:rPr>
          <w:spacing w:val="-1"/>
        </w:rPr>
        <w:t xml:space="preserve"> </w:t>
      </w:r>
      <w:r>
        <w:t>that my desk is solid could be known only through elaborate inferences; and its being solid would not, in that context, be something that could be observed.</w:t>
      </w:r>
    </w:p>
    <w:p w14:paraId="7E002CC0" w14:textId="77777777" w:rsidR="009A58DB" w:rsidRDefault="00000000">
      <w:pPr>
        <w:pStyle w:val="BodyText"/>
        <w:spacing w:before="7" w:line="249" w:lineRule="auto"/>
        <w:ind w:right="358" w:firstLine="360"/>
      </w:pPr>
      <w:r>
        <w:t>Still, the distinction between observable and unobservable characteristics is a good one. But, when saying that x’s having phi is (un)observable, one must realize that what one is saying is elliptical for a relational statement of the form: given the nature of physical relationship to x, x’s having phi is,</w:t>
      </w:r>
      <w:r>
        <w:rPr>
          <w:spacing w:val="40"/>
        </w:rPr>
        <w:t xml:space="preserve"> </w:t>
      </w:r>
      <w:r>
        <w:t>with respect to us, an (un)observable fact.</w:t>
      </w:r>
    </w:p>
    <w:p w14:paraId="7E002CC1" w14:textId="77777777" w:rsidR="009A58DB" w:rsidRDefault="009A58DB">
      <w:pPr>
        <w:pStyle w:val="BodyText"/>
        <w:spacing w:before="21"/>
        <w:ind w:left="0"/>
        <w:jc w:val="left"/>
      </w:pPr>
    </w:p>
    <w:p w14:paraId="7E002CC2" w14:textId="77777777" w:rsidR="009A58DB" w:rsidRDefault="00000000">
      <w:pPr>
        <w:spacing w:before="1" w:line="249" w:lineRule="auto"/>
        <w:ind w:left="360" w:right="361"/>
        <w:jc w:val="both"/>
        <w:rPr>
          <w:i/>
          <w:sz w:val="30"/>
        </w:rPr>
      </w:pPr>
      <w:r>
        <w:rPr>
          <w:b/>
          <w:i/>
          <w:sz w:val="30"/>
        </w:rPr>
        <w:t xml:space="preserve">Occurrence: </w:t>
      </w:r>
      <w:r>
        <w:rPr>
          <w:i/>
          <w:sz w:val="30"/>
        </w:rPr>
        <w:t>An occurrence of an expression is a token of it. The expression “snow” occurs three times (i.e., there are three occurrences of it) in the following sentence: “Jim likes snow and I love snow but Mary hates snow.” See “expression-token.”</w:t>
      </w:r>
    </w:p>
    <w:p w14:paraId="7E002CC3" w14:textId="77777777" w:rsidR="009A58DB" w:rsidRDefault="009A58DB">
      <w:pPr>
        <w:pStyle w:val="BodyText"/>
        <w:spacing w:before="19"/>
        <w:ind w:left="0"/>
        <w:jc w:val="left"/>
        <w:rPr>
          <w:i/>
        </w:rPr>
      </w:pPr>
    </w:p>
    <w:p w14:paraId="7E002CC4" w14:textId="77777777" w:rsidR="009A58DB" w:rsidRDefault="00000000">
      <w:pPr>
        <w:pStyle w:val="BodyText"/>
        <w:spacing w:before="1" w:line="249" w:lineRule="auto"/>
        <w:ind w:right="358"/>
      </w:pPr>
      <w:r>
        <w:rPr>
          <w:b/>
          <w:i/>
        </w:rPr>
        <w:t xml:space="preserve">Open-sentences: </w:t>
      </w:r>
      <w:r>
        <w:t xml:space="preserve">Consider the sentence “Bill Gates is wealthy.” That sentence is true. Replace “Bill Gates” with a variable—with an “x.” The result is ‹x is wealthy›, which is neither true nor false. ‹x is wealthy› is an “open-sentence.” (The characters flanking that expression are known as </w:t>
      </w:r>
      <w:r>
        <w:rPr>
          <w:b/>
          <w:i/>
        </w:rPr>
        <w:t xml:space="preserve">quasi-quotation marks. </w:t>
      </w:r>
      <w:r>
        <w:t>They may, for the time being, be treated as</w:t>
      </w:r>
      <w:r>
        <w:rPr>
          <w:spacing w:val="40"/>
        </w:rPr>
        <w:t xml:space="preserve"> </w:t>
      </w:r>
      <w:r>
        <w:rPr>
          <w:spacing w:val="-2"/>
        </w:rPr>
        <w:t>quotation-marks.)</w:t>
      </w:r>
    </w:p>
    <w:p w14:paraId="7E002CC5" w14:textId="77777777" w:rsidR="009A58DB" w:rsidRDefault="00000000">
      <w:pPr>
        <w:pStyle w:val="BodyText"/>
        <w:spacing w:before="7" w:line="249" w:lineRule="auto"/>
        <w:ind w:right="367" w:firstLine="360"/>
      </w:pPr>
      <w:r>
        <w:t>In general, an open-sentence is an expression that contains a free variable and is therefore neither true nor false.</w:t>
      </w:r>
    </w:p>
    <w:p w14:paraId="7E002CC6" w14:textId="77777777" w:rsidR="009A58DB" w:rsidRDefault="00000000">
      <w:pPr>
        <w:pStyle w:val="BodyText"/>
        <w:spacing w:before="2" w:line="249" w:lineRule="auto"/>
        <w:ind w:right="360" w:firstLine="360"/>
      </w:pPr>
      <w:r>
        <w:t xml:space="preserve">A </w:t>
      </w:r>
      <w:r>
        <w:rPr>
          <w:i/>
        </w:rPr>
        <w:t xml:space="preserve">free variable </w:t>
      </w:r>
      <w:r>
        <w:t>is one for which no reference is supplied either by the context or by preceding material. So if, out of the blue, I say ‹x is even›, my utterance contains a free variable, and is therefore neither true nor false.</w:t>
      </w:r>
    </w:p>
    <w:p w14:paraId="7E002CC7" w14:textId="77777777" w:rsidR="009A58DB" w:rsidRDefault="00000000">
      <w:pPr>
        <w:pStyle w:val="BodyText"/>
        <w:spacing w:before="4" w:line="249" w:lineRule="auto"/>
        <w:ind w:right="363" w:firstLine="360"/>
      </w:pPr>
      <w:r>
        <w:t>A</w:t>
      </w:r>
      <w:r>
        <w:rPr>
          <w:spacing w:val="-4"/>
        </w:rPr>
        <w:t xml:space="preserve"> </w:t>
      </w:r>
      <w:r>
        <w:rPr>
          <w:i/>
        </w:rPr>
        <w:t>bound</w:t>
      </w:r>
      <w:r>
        <w:rPr>
          <w:i/>
          <w:spacing w:val="-3"/>
        </w:rPr>
        <w:t xml:space="preserve"> </w:t>
      </w:r>
      <w:r>
        <w:rPr>
          <w:i/>
        </w:rPr>
        <w:t>variable</w:t>
      </w:r>
      <w:r>
        <w:rPr>
          <w:i/>
          <w:spacing w:val="-4"/>
        </w:rPr>
        <w:t xml:space="preserve"> </w:t>
      </w:r>
      <w:r>
        <w:t>is</w:t>
      </w:r>
      <w:r>
        <w:rPr>
          <w:spacing w:val="-4"/>
        </w:rPr>
        <w:t xml:space="preserve"> </w:t>
      </w:r>
      <w:r>
        <w:t>a</w:t>
      </w:r>
      <w:r>
        <w:rPr>
          <w:spacing w:val="-4"/>
        </w:rPr>
        <w:t xml:space="preserve"> </w:t>
      </w:r>
      <w:r>
        <w:t>variable</w:t>
      </w:r>
      <w:r>
        <w:rPr>
          <w:spacing w:val="-4"/>
        </w:rPr>
        <w:t xml:space="preserve"> </w:t>
      </w:r>
      <w:r>
        <w:t>that</w:t>
      </w:r>
      <w:r>
        <w:rPr>
          <w:spacing w:val="-4"/>
        </w:rPr>
        <w:t xml:space="preserve"> </w:t>
      </w:r>
      <w:r>
        <w:t>isn’t</w:t>
      </w:r>
      <w:r>
        <w:rPr>
          <w:spacing w:val="-4"/>
        </w:rPr>
        <w:t xml:space="preserve"> </w:t>
      </w:r>
      <w:r>
        <w:t>free.</w:t>
      </w:r>
      <w:r>
        <w:rPr>
          <w:spacing w:val="-3"/>
        </w:rPr>
        <w:t xml:space="preserve"> </w:t>
      </w:r>
      <w:r>
        <w:t>Thus,</w:t>
      </w:r>
      <w:r>
        <w:rPr>
          <w:spacing w:val="-3"/>
        </w:rPr>
        <w:t xml:space="preserve"> </w:t>
      </w:r>
      <w:r>
        <w:t>a</w:t>
      </w:r>
      <w:r>
        <w:rPr>
          <w:spacing w:val="-4"/>
        </w:rPr>
        <w:t xml:space="preserve"> </w:t>
      </w:r>
      <w:r>
        <w:t>bound</w:t>
      </w:r>
      <w:r>
        <w:rPr>
          <w:spacing w:val="-3"/>
        </w:rPr>
        <w:t xml:space="preserve"> </w:t>
      </w:r>
      <w:r>
        <w:t>variable</w:t>
      </w:r>
      <w:r>
        <w:rPr>
          <w:spacing w:val="-4"/>
        </w:rPr>
        <w:t xml:space="preserve"> </w:t>
      </w:r>
      <w:r>
        <w:t>is</w:t>
      </w:r>
      <w:r>
        <w:rPr>
          <w:spacing w:val="-4"/>
        </w:rPr>
        <w:t xml:space="preserve"> </w:t>
      </w:r>
      <w:r>
        <w:t>one that</w:t>
      </w:r>
      <w:r>
        <w:rPr>
          <w:spacing w:val="20"/>
        </w:rPr>
        <w:t xml:space="preserve"> </w:t>
      </w:r>
      <w:r>
        <w:t>is</w:t>
      </w:r>
      <w:r>
        <w:rPr>
          <w:spacing w:val="20"/>
        </w:rPr>
        <w:t xml:space="preserve"> </w:t>
      </w:r>
      <w:r>
        <w:t>assigned</w:t>
      </w:r>
      <w:r>
        <w:rPr>
          <w:spacing w:val="20"/>
        </w:rPr>
        <w:t xml:space="preserve"> </w:t>
      </w:r>
      <w:r>
        <w:t>a</w:t>
      </w:r>
      <w:r>
        <w:rPr>
          <w:spacing w:val="20"/>
        </w:rPr>
        <w:t xml:space="preserve"> </w:t>
      </w:r>
      <w:r>
        <w:t>referent</w:t>
      </w:r>
      <w:r>
        <w:rPr>
          <w:spacing w:val="20"/>
        </w:rPr>
        <w:t xml:space="preserve"> </w:t>
      </w:r>
      <w:r>
        <w:t>by</w:t>
      </w:r>
      <w:r>
        <w:rPr>
          <w:spacing w:val="20"/>
        </w:rPr>
        <w:t xml:space="preserve"> </w:t>
      </w:r>
      <w:r>
        <w:t>the</w:t>
      </w:r>
      <w:r>
        <w:rPr>
          <w:spacing w:val="20"/>
        </w:rPr>
        <w:t xml:space="preserve"> </w:t>
      </w:r>
      <w:r>
        <w:t>context</w:t>
      </w:r>
      <w:r>
        <w:rPr>
          <w:spacing w:val="20"/>
        </w:rPr>
        <w:t xml:space="preserve"> </w:t>
      </w:r>
      <w:r>
        <w:t>or</w:t>
      </w:r>
      <w:r>
        <w:rPr>
          <w:spacing w:val="20"/>
        </w:rPr>
        <w:t xml:space="preserve"> </w:t>
      </w:r>
      <w:r>
        <w:t>by</w:t>
      </w:r>
      <w:r>
        <w:rPr>
          <w:spacing w:val="20"/>
        </w:rPr>
        <w:t xml:space="preserve"> </w:t>
      </w:r>
      <w:r>
        <w:t>preceding</w:t>
      </w:r>
      <w:r>
        <w:rPr>
          <w:spacing w:val="20"/>
        </w:rPr>
        <w:t xml:space="preserve"> </w:t>
      </w:r>
      <w:r>
        <w:t>material.</w:t>
      </w:r>
      <w:r>
        <w:rPr>
          <w:spacing w:val="20"/>
        </w:rPr>
        <w:t xml:space="preserve"> </w:t>
      </w:r>
      <w:r>
        <w:t>Consider</w:t>
      </w:r>
    </w:p>
    <w:p w14:paraId="7E002CC8"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C9" w14:textId="77777777" w:rsidR="009A58DB" w:rsidRDefault="00000000">
      <w:pPr>
        <w:pStyle w:val="BodyText"/>
        <w:spacing w:before="65"/>
        <w:jc w:val="left"/>
      </w:pPr>
      <w:r>
        <w:t>the</w:t>
      </w:r>
      <w:r>
        <w:rPr>
          <w:spacing w:val="-2"/>
        </w:rPr>
        <w:t xml:space="preserve"> sentence:</w:t>
      </w:r>
    </w:p>
    <w:p w14:paraId="7E002CCA" w14:textId="77777777" w:rsidR="009A58DB" w:rsidRDefault="009A58DB">
      <w:pPr>
        <w:pStyle w:val="BodyText"/>
        <w:spacing w:before="29"/>
        <w:ind w:left="0"/>
        <w:jc w:val="left"/>
      </w:pPr>
    </w:p>
    <w:p w14:paraId="7E002CCB" w14:textId="77777777" w:rsidR="009A58DB" w:rsidRDefault="00000000">
      <w:pPr>
        <w:spacing w:before="1"/>
        <w:ind w:left="360"/>
        <w:rPr>
          <w:sz w:val="30"/>
        </w:rPr>
      </w:pPr>
      <w:r>
        <w:rPr>
          <w:sz w:val="30"/>
        </w:rPr>
        <w:t>(LU)</w:t>
      </w:r>
      <w:r>
        <w:rPr>
          <w:spacing w:val="-5"/>
          <w:sz w:val="30"/>
        </w:rPr>
        <w:t xml:space="preserve"> </w:t>
      </w:r>
      <w:r>
        <w:rPr>
          <w:sz w:val="30"/>
        </w:rPr>
        <w:t>“</w:t>
      </w:r>
      <w:r>
        <w:rPr>
          <w:i/>
          <w:sz w:val="30"/>
        </w:rPr>
        <w:t>For</w:t>
      </w:r>
      <w:r>
        <w:rPr>
          <w:i/>
          <w:spacing w:val="-2"/>
          <w:sz w:val="30"/>
        </w:rPr>
        <w:t xml:space="preserve"> </w:t>
      </w:r>
      <w:r>
        <w:rPr>
          <w:i/>
          <w:sz w:val="30"/>
        </w:rPr>
        <w:t>any</w:t>
      </w:r>
      <w:r>
        <w:rPr>
          <w:i/>
          <w:spacing w:val="-3"/>
          <w:sz w:val="30"/>
        </w:rPr>
        <w:t xml:space="preserve"> </w:t>
      </w:r>
      <w:r>
        <w:rPr>
          <w:i/>
          <w:sz w:val="30"/>
        </w:rPr>
        <w:t>human</w:t>
      </w:r>
      <w:r>
        <w:rPr>
          <w:i/>
          <w:spacing w:val="-1"/>
          <w:sz w:val="30"/>
        </w:rPr>
        <w:t xml:space="preserve"> </w:t>
      </w:r>
      <w:r>
        <w:rPr>
          <w:i/>
          <w:sz w:val="30"/>
        </w:rPr>
        <w:t>being</w:t>
      </w:r>
      <w:r>
        <w:rPr>
          <w:i/>
          <w:spacing w:val="-2"/>
          <w:sz w:val="30"/>
        </w:rPr>
        <w:t xml:space="preserve"> </w:t>
      </w:r>
      <w:r>
        <w:rPr>
          <w:i/>
          <w:sz w:val="30"/>
        </w:rPr>
        <w:t>x,</w:t>
      </w:r>
      <w:r>
        <w:rPr>
          <w:i/>
          <w:spacing w:val="-2"/>
          <w:sz w:val="30"/>
        </w:rPr>
        <w:t xml:space="preserve"> </w:t>
      </w:r>
      <w:r>
        <w:rPr>
          <w:i/>
          <w:sz w:val="30"/>
        </w:rPr>
        <w:t>if</w:t>
      </w:r>
      <w:r>
        <w:rPr>
          <w:i/>
          <w:spacing w:val="-2"/>
          <w:sz w:val="30"/>
        </w:rPr>
        <w:t xml:space="preserve"> </w:t>
      </w:r>
      <w:r>
        <w:rPr>
          <w:i/>
          <w:sz w:val="30"/>
        </w:rPr>
        <w:t>x</w:t>
      </w:r>
      <w:r>
        <w:rPr>
          <w:i/>
          <w:spacing w:val="-2"/>
          <w:sz w:val="30"/>
        </w:rPr>
        <w:t xml:space="preserve"> </w:t>
      </w:r>
      <w:r>
        <w:rPr>
          <w:i/>
          <w:sz w:val="30"/>
        </w:rPr>
        <w:t>isn’t</w:t>
      </w:r>
      <w:r>
        <w:rPr>
          <w:i/>
          <w:spacing w:val="-3"/>
          <w:sz w:val="30"/>
        </w:rPr>
        <w:t xml:space="preserve"> </w:t>
      </w:r>
      <w:r>
        <w:rPr>
          <w:i/>
          <w:sz w:val="30"/>
        </w:rPr>
        <w:t>loved</w:t>
      </w:r>
      <w:r>
        <w:rPr>
          <w:i/>
          <w:spacing w:val="-1"/>
          <w:sz w:val="30"/>
        </w:rPr>
        <w:t xml:space="preserve"> </w:t>
      </w:r>
      <w:r>
        <w:rPr>
          <w:i/>
          <w:sz w:val="30"/>
        </w:rPr>
        <w:t>by</w:t>
      </w:r>
      <w:r>
        <w:rPr>
          <w:i/>
          <w:spacing w:val="-3"/>
          <w:sz w:val="30"/>
        </w:rPr>
        <w:t xml:space="preserve"> </w:t>
      </w:r>
      <w:r>
        <w:rPr>
          <w:i/>
          <w:sz w:val="30"/>
        </w:rPr>
        <w:t>anyone,</w:t>
      </w:r>
      <w:r>
        <w:rPr>
          <w:i/>
          <w:spacing w:val="-2"/>
          <w:sz w:val="30"/>
        </w:rPr>
        <w:t xml:space="preserve"> </w:t>
      </w:r>
      <w:r>
        <w:rPr>
          <w:i/>
          <w:sz w:val="30"/>
        </w:rPr>
        <w:t>x</w:t>
      </w:r>
      <w:r>
        <w:rPr>
          <w:i/>
          <w:spacing w:val="-2"/>
          <w:sz w:val="30"/>
        </w:rPr>
        <w:t xml:space="preserve"> </w:t>
      </w:r>
      <w:r>
        <w:rPr>
          <w:i/>
          <w:sz w:val="30"/>
        </w:rPr>
        <w:t>isn’t</w:t>
      </w:r>
      <w:r>
        <w:rPr>
          <w:i/>
          <w:spacing w:val="-2"/>
          <w:sz w:val="30"/>
        </w:rPr>
        <w:t xml:space="preserve"> happy.</w:t>
      </w:r>
      <w:r>
        <w:rPr>
          <w:spacing w:val="-2"/>
          <w:sz w:val="30"/>
        </w:rPr>
        <w:t>”</w:t>
      </w:r>
    </w:p>
    <w:p w14:paraId="7E002CCC" w14:textId="77777777" w:rsidR="009A58DB" w:rsidRDefault="009A58DB">
      <w:pPr>
        <w:pStyle w:val="BodyText"/>
        <w:spacing w:before="30"/>
        <w:ind w:left="0"/>
        <w:jc w:val="left"/>
      </w:pPr>
    </w:p>
    <w:p w14:paraId="7E002CCD" w14:textId="77777777" w:rsidR="009A58DB" w:rsidRDefault="00000000">
      <w:pPr>
        <w:pStyle w:val="BodyText"/>
        <w:spacing w:line="249" w:lineRule="auto"/>
        <w:ind w:right="361"/>
        <w:rPr>
          <w:i/>
        </w:rPr>
      </w:pPr>
      <w:r>
        <w:t xml:space="preserve">LU says that, </w:t>
      </w:r>
      <w:r>
        <w:rPr>
          <w:i/>
        </w:rPr>
        <w:t>given</w:t>
      </w:r>
      <w:r>
        <w:rPr>
          <w:i/>
          <w:spacing w:val="-3"/>
        </w:rPr>
        <w:t xml:space="preserve"> </w:t>
      </w:r>
      <w:r>
        <w:t xml:space="preserve">a human being, if </w:t>
      </w:r>
      <w:r>
        <w:rPr>
          <w:i/>
        </w:rPr>
        <w:t>that</w:t>
      </w:r>
      <w:r>
        <w:rPr>
          <w:i/>
          <w:spacing w:val="-4"/>
        </w:rPr>
        <w:t xml:space="preserve"> </w:t>
      </w:r>
      <w:r>
        <w:t xml:space="preserve">human being isn’t loved, then </w:t>
      </w:r>
      <w:r>
        <w:rPr>
          <w:i/>
        </w:rPr>
        <w:t xml:space="preserve">that same human being </w:t>
      </w:r>
      <w:r>
        <w:t xml:space="preserve">isn’t happy. Thus, the italicized part assigns a referent to the occurrences of the variable (the “x”). The occurrences of “x” in the underlined part of LU are </w:t>
      </w:r>
      <w:r>
        <w:rPr>
          <w:i/>
        </w:rPr>
        <w:t>bound.</w:t>
      </w:r>
    </w:p>
    <w:p w14:paraId="7E002CCE" w14:textId="77777777" w:rsidR="009A58DB" w:rsidRDefault="00000000">
      <w:pPr>
        <w:pStyle w:val="BodyText"/>
        <w:spacing w:before="5" w:line="249" w:lineRule="auto"/>
        <w:ind w:right="361" w:firstLine="360"/>
      </w:pPr>
      <w:r>
        <w:t>An open-sentence isn’t true or false. But replacing the free variables in an open-sentence may result in a true sentence. If an open-sentence is such that replacing the variables in it sometimes/always/never results in a true</w:t>
      </w:r>
      <w:r>
        <w:rPr>
          <w:spacing w:val="40"/>
        </w:rPr>
        <w:t xml:space="preserve"> </w:t>
      </w:r>
      <w:r>
        <w:t xml:space="preserve">sentence, that open-sentence is said to be “true for some/all/no values of its </w:t>
      </w:r>
      <w:r>
        <w:rPr>
          <w:spacing w:val="-2"/>
        </w:rPr>
        <w:t>variables.”</w:t>
      </w:r>
    </w:p>
    <w:p w14:paraId="7E002CCF" w14:textId="77777777" w:rsidR="009A58DB" w:rsidRDefault="00000000">
      <w:pPr>
        <w:pStyle w:val="BodyText"/>
        <w:spacing w:before="6" w:line="249" w:lineRule="auto"/>
        <w:ind w:right="364" w:firstLine="360"/>
      </w:pPr>
      <w:r>
        <w:t>Thus, “x is an even number” is true for some values of its variables (since “two is an even number” is true but “three is an even number is false”); and “x is identical with x” is true for all values of its variables; and “x is not identical with x” is false for all values of its variables.</w:t>
      </w:r>
    </w:p>
    <w:p w14:paraId="7E002CD0" w14:textId="77777777" w:rsidR="009A58DB" w:rsidRDefault="00000000">
      <w:pPr>
        <w:pStyle w:val="BodyText"/>
        <w:spacing w:before="5" w:line="249" w:lineRule="auto"/>
        <w:ind w:right="360" w:firstLine="360"/>
      </w:pPr>
      <w:r>
        <w:t>Commentary:</w:t>
      </w:r>
      <w:r>
        <w:rPr>
          <w:spacing w:val="-3"/>
        </w:rPr>
        <w:t xml:space="preserve"> </w:t>
      </w:r>
      <w:r>
        <w:t>Logicians</w:t>
      </w:r>
      <w:r>
        <w:rPr>
          <w:spacing w:val="-3"/>
        </w:rPr>
        <w:t xml:space="preserve"> </w:t>
      </w:r>
      <w:r>
        <w:t>generally</w:t>
      </w:r>
      <w:r>
        <w:rPr>
          <w:spacing w:val="-3"/>
        </w:rPr>
        <w:t xml:space="preserve"> </w:t>
      </w:r>
      <w:r>
        <w:t>say</w:t>
      </w:r>
      <w:r>
        <w:rPr>
          <w:spacing w:val="-3"/>
        </w:rPr>
        <w:t xml:space="preserve"> </w:t>
      </w:r>
      <w:r>
        <w:t>that</w:t>
      </w:r>
      <w:r>
        <w:rPr>
          <w:spacing w:val="-3"/>
        </w:rPr>
        <w:t xml:space="preserve"> </w:t>
      </w:r>
      <w:r>
        <w:t>their</w:t>
      </w:r>
      <w:r>
        <w:rPr>
          <w:spacing w:val="-3"/>
        </w:rPr>
        <w:t xml:space="preserve"> </w:t>
      </w:r>
      <w:r>
        <w:t>discipline</w:t>
      </w:r>
      <w:r>
        <w:rPr>
          <w:spacing w:val="-3"/>
        </w:rPr>
        <w:t xml:space="preserve"> </w:t>
      </w:r>
      <w:r>
        <w:t>studies</w:t>
      </w:r>
      <w:r>
        <w:rPr>
          <w:spacing w:val="-3"/>
        </w:rPr>
        <w:t xml:space="preserve"> </w:t>
      </w:r>
      <w:r>
        <w:t xml:space="preserve">relations holding among sentences. This isn’t true. It studies relations holding among the sentence-schemata. “Grass is green and show is white” entails “snow is white.” The logician is interested in this fact </w:t>
      </w:r>
      <w:r>
        <w:rPr>
          <w:i/>
        </w:rPr>
        <w:t xml:space="preserve">only </w:t>
      </w:r>
      <w:r>
        <w:t xml:space="preserve">to the extent that it alerts him to the corresponding generalization, viz. for </w:t>
      </w:r>
      <w:r>
        <w:rPr>
          <w:i/>
        </w:rPr>
        <w:t xml:space="preserve">any </w:t>
      </w:r>
      <w:r>
        <w:t>sentences P and Q, ‹P and Q› entails ‹P. › But ‹P and Q› and ‹P› are not sentences; they’re open-sentences;</w:t>
      </w:r>
      <w:r>
        <w:rPr>
          <w:spacing w:val="-3"/>
        </w:rPr>
        <w:t xml:space="preserve"> </w:t>
      </w:r>
      <w:r>
        <w:t>they’re</w:t>
      </w:r>
      <w:r>
        <w:rPr>
          <w:spacing w:val="-3"/>
        </w:rPr>
        <w:t xml:space="preserve"> </w:t>
      </w:r>
      <w:r>
        <w:t>sentence-like</w:t>
      </w:r>
      <w:r>
        <w:rPr>
          <w:spacing w:val="-3"/>
        </w:rPr>
        <w:t xml:space="preserve"> </w:t>
      </w:r>
      <w:r>
        <w:t>entities</w:t>
      </w:r>
      <w:r>
        <w:rPr>
          <w:spacing w:val="-3"/>
        </w:rPr>
        <w:t xml:space="preserve"> </w:t>
      </w:r>
      <w:r>
        <w:t>that</w:t>
      </w:r>
      <w:r>
        <w:rPr>
          <w:spacing w:val="-3"/>
        </w:rPr>
        <w:t xml:space="preserve"> </w:t>
      </w:r>
      <w:r>
        <w:t>contain</w:t>
      </w:r>
      <w:r>
        <w:rPr>
          <w:spacing w:val="-3"/>
        </w:rPr>
        <w:t xml:space="preserve"> </w:t>
      </w:r>
      <w:r>
        <w:t>free</w:t>
      </w:r>
      <w:r>
        <w:rPr>
          <w:spacing w:val="-3"/>
        </w:rPr>
        <w:t xml:space="preserve"> </w:t>
      </w:r>
      <w:r>
        <w:t>variables</w:t>
      </w:r>
      <w:r>
        <w:rPr>
          <w:spacing w:val="-3"/>
        </w:rPr>
        <w:t xml:space="preserve"> </w:t>
      </w:r>
      <w:r>
        <w:t>and,</w:t>
      </w:r>
      <w:r>
        <w:rPr>
          <w:spacing w:val="-3"/>
        </w:rPr>
        <w:t xml:space="preserve"> </w:t>
      </w:r>
      <w:r>
        <w:t>unlike real sentences, are therefore neither true nor false.</w:t>
      </w:r>
    </w:p>
    <w:p w14:paraId="7E002CD1" w14:textId="77777777" w:rsidR="009A58DB" w:rsidRDefault="009A58DB">
      <w:pPr>
        <w:pStyle w:val="BodyText"/>
        <w:spacing w:before="24"/>
        <w:ind w:left="0"/>
        <w:jc w:val="left"/>
      </w:pPr>
    </w:p>
    <w:p w14:paraId="7E002CD2" w14:textId="77777777" w:rsidR="009A58DB" w:rsidRDefault="00000000">
      <w:pPr>
        <w:pStyle w:val="BodyText"/>
        <w:spacing w:before="1" w:line="249" w:lineRule="auto"/>
        <w:ind w:right="358"/>
      </w:pPr>
      <w:r>
        <w:rPr>
          <w:b/>
          <w:i/>
        </w:rPr>
        <w:t>Operator:</w:t>
      </w:r>
      <w:r>
        <w:rPr>
          <w:b/>
          <w:i/>
          <w:spacing w:val="-3"/>
        </w:rPr>
        <w:t xml:space="preserve"> </w:t>
      </w:r>
      <w:r>
        <w:t>An “operator” is any expression that, when joined with a sentence, forms a new sentence. So “it is possible” is an operator, since, when conjoined with “Smith is in France,” a new sentence is formed, namely “it is possible that Smith is in France.” And “George believes” is also an operator for the same reason.</w:t>
      </w:r>
    </w:p>
    <w:p w14:paraId="7E002CD3" w14:textId="77777777" w:rsidR="009A58DB" w:rsidRDefault="00000000">
      <w:pPr>
        <w:pStyle w:val="BodyText"/>
        <w:spacing w:before="6" w:line="249" w:lineRule="auto"/>
        <w:ind w:right="361" w:firstLine="360"/>
      </w:pPr>
      <w:r>
        <w:t>There are many kinds of operators; but two kinds are of special importance: modal operators and epistemic operators. See “predicates” and “quasi-quotation marks.”</w:t>
      </w:r>
    </w:p>
    <w:p w14:paraId="7E002CD4" w14:textId="77777777" w:rsidR="009A58DB" w:rsidRDefault="009A58DB">
      <w:pPr>
        <w:pStyle w:val="BodyText"/>
        <w:spacing w:before="18"/>
        <w:ind w:left="0"/>
        <w:jc w:val="left"/>
      </w:pPr>
    </w:p>
    <w:p w14:paraId="7E002CD5" w14:textId="77777777" w:rsidR="009A58DB" w:rsidRDefault="00000000">
      <w:pPr>
        <w:ind w:left="360"/>
        <w:rPr>
          <w:sz w:val="30"/>
        </w:rPr>
      </w:pPr>
      <w:r>
        <w:rPr>
          <w:sz w:val="30"/>
        </w:rPr>
        <w:t>“Other</w:t>
      </w:r>
      <w:r>
        <w:rPr>
          <w:spacing w:val="-7"/>
          <w:sz w:val="30"/>
        </w:rPr>
        <w:t xml:space="preserve"> </w:t>
      </w:r>
      <w:r>
        <w:rPr>
          <w:sz w:val="30"/>
        </w:rPr>
        <w:t>things</w:t>
      </w:r>
      <w:r>
        <w:rPr>
          <w:spacing w:val="-4"/>
          <w:sz w:val="30"/>
        </w:rPr>
        <w:t xml:space="preserve"> </w:t>
      </w:r>
      <w:r>
        <w:rPr>
          <w:sz w:val="30"/>
        </w:rPr>
        <w:t>being</w:t>
      </w:r>
      <w:r>
        <w:rPr>
          <w:spacing w:val="-4"/>
          <w:sz w:val="30"/>
        </w:rPr>
        <w:t xml:space="preserve"> </w:t>
      </w:r>
      <w:r>
        <w:rPr>
          <w:sz w:val="30"/>
        </w:rPr>
        <w:t>equal”:</w:t>
      </w:r>
      <w:r>
        <w:rPr>
          <w:spacing w:val="-5"/>
          <w:sz w:val="30"/>
        </w:rPr>
        <w:t xml:space="preserve"> </w:t>
      </w:r>
      <w:r>
        <w:rPr>
          <w:sz w:val="30"/>
        </w:rPr>
        <w:t>See</w:t>
      </w:r>
      <w:r>
        <w:rPr>
          <w:spacing w:val="-4"/>
          <w:sz w:val="30"/>
        </w:rPr>
        <w:t xml:space="preserve"> </w:t>
      </w:r>
      <w:r>
        <w:rPr>
          <w:sz w:val="30"/>
        </w:rPr>
        <w:t>“</w:t>
      </w:r>
      <w:r>
        <w:rPr>
          <w:i/>
          <w:sz w:val="30"/>
        </w:rPr>
        <w:t>ceteris</w:t>
      </w:r>
      <w:r>
        <w:rPr>
          <w:i/>
          <w:spacing w:val="-4"/>
          <w:sz w:val="30"/>
        </w:rPr>
        <w:t xml:space="preserve"> </w:t>
      </w:r>
      <w:r>
        <w:rPr>
          <w:i/>
          <w:spacing w:val="-2"/>
          <w:sz w:val="30"/>
        </w:rPr>
        <w:t>paribus.</w:t>
      </w:r>
      <w:r>
        <w:rPr>
          <w:spacing w:val="-2"/>
          <w:sz w:val="30"/>
        </w:rPr>
        <w:t>”</w:t>
      </w:r>
    </w:p>
    <w:p w14:paraId="7E002CD6" w14:textId="77777777" w:rsidR="009A58DB" w:rsidRDefault="009A58DB">
      <w:pPr>
        <w:rPr>
          <w:sz w:val="30"/>
        </w:rPr>
        <w:sectPr w:rsidR="009A58DB">
          <w:pgSz w:w="12240" w:h="15840"/>
          <w:pgMar w:top="1380" w:right="1080" w:bottom="280" w:left="1080" w:header="720" w:footer="720" w:gutter="0"/>
          <w:cols w:space="720"/>
        </w:sectPr>
      </w:pPr>
    </w:p>
    <w:p w14:paraId="7E002CD7" w14:textId="77777777" w:rsidR="009A58DB" w:rsidRDefault="00000000">
      <w:pPr>
        <w:pStyle w:val="Heading6"/>
        <w:spacing w:before="65"/>
      </w:pPr>
      <w:r>
        <w:t>Perception:</w:t>
      </w:r>
      <w:r>
        <w:rPr>
          <w:spacing w:val="-9"/>
        </w:rPr>
        <w:t xml:space="preserve"> </w:t>
      </w:r>
      <w:r>
        <w:t>See</w:t>
      </w:r>
      <w:r>
        <w:rPr>
          <w:spacing w:val="-9"/>
        </w:rPr>
        <w:t xml:space="preserve"> </w:t>
      </w:r>
      <w:r>
        <w:t>“sense-</w:t>
      </w:r>
      <w:r>
        <w:rPr>
          <w:spacing w:val="-2"/>
        </w:rPr>
        <w:t>perception.”</w:t>
      </w:r>
    </w:p>
    <w:p w14:paraId="7E002CD8" w14:textId="77777777" w:rsidR="009A58DB" w:rsidRDefault="009A58DB">
      <w:pPr>
        <w:pStyle w:val="BodyText"/>
        <w:spacing w:before="29"/>
        <w:ind w:left="0"/>
        <w:jc w:val="left"/>
        <w:rPr>
          <w:b/>
          <w:i/>
        </w:rPr>
      </w:pPr>
    </w:p>
    <w:p w14:paraId="7E002CD9" w14:textId="77777777" w:rsidR="009A58DB" w:rsidRDefault="00000000">
      <w:pPr>
        <w:pStyle w:val="BodyText"/>
        <w:spacing w:before="1" w:line="249" w:lineRule="auto"/>
        <w:ind w:right="360"/>
      </w:pPr>
      <w:r>
        <w:rPr>
          <w:b/>
          <w:i/>
        </w:rPr>
        <w:t xml:space="preserve">Performative utterance: </w:t>
      </w:r>
      <w:r>
        <w:t>When, in the context of a marriage ceremony, the priest says “I now pronounce you man and wife,” the priest is not (so it</w:t>
      </w:r>
      <w:r>
        <w:rPr>
          <w:spacing w:val="40"/>
        </w:rPr>
        <w:t xml:space="preserve"> </w:t>
      </w:r>
      <w:r>
        <w:t xml:space="preserve">would seem, and so we’ll momentarily assume) reporting an existing fact. (I’ll explain the raison d’être for the hedge in a moment.) He is not affirming the already existing truth that he is now in the process of forging a marital bond between the two individuals before him. In uttering those words, he is </w:t>
      </w:r>
      <w:r>
        <w:rPr>
          <w:i/>
        </w:rPr>
        <w:t xml:space="preserve">creating </w:t>
      </w:r>
      <w:r>
        <w:t>a fact, not reporting a fact.</w:t>
      </w:r>
    </w:p>
    <w:p w14:paraId="7E002CDA" w14:textId="77777777" w:rsidR="009A58DB" w:rsidRDefault="00000000">
      <w:pPr>
        <w:pStyle w:val="BodyText"/>
        <w:spacing w:before="8" w:line="249" w:lineRule="auto"/>
        <w:ind w:right="360" w:firstLine="360"/>
      </w:pPr>
      <w:r>
        <w:t>A</w:t>
      </w:r>
      <w:r>
        <w:rPr>
          <w:spacing w:val="-2"/>
        </w:rPr>
        <w:t xml:space="preserve"> </w:t>
      </w:r>
      <w:r>
        <w:t>sentence-utterance</w:t>
      </w:r>
      <w:r>
        <w:rPr>
          <w:spacing w:val="-1"/>
        </w:rPr>
        <w:t xml:space="preserve"> </w:t>
      </w:r>
      <w:r>
        <w:t>functioning</w:t>
      </w:r>
      <w:r>
        <w:rPr>
          <w:spacing w:val="-1"/>
        </w:rPr>
        <w:t xml:space="preserve"> </w:t>
      </w:r>
      <w:r>
        <w:t>in</w:t>
      </w:r>
      <w:r>
        <w:rPr>
          <w:spacing w:val="-1"/>
        </w:rPr>
        <w:t xml:space="preserve"> </w:t>
      </w:r>
      <w:r>
        <w:t>this</w:t>
      </w:r>
      <w:r>
        <w:rPr>
          <w:spacing w:val="-1"/>
        </w:rPr>
        <w:t xml:space="preserve"> </w:t>
      </w:r>
      <w:r>
        <w:t>way</w:t>
      </w:r>
      <w:r>
        <w:rPr>
          <w:spacing w:val="-2"/>
        </w:rPr>
        <w:t xml:space="preserve"> </w:t>
      </w:r>
      <w:r>
        <w:t>is</w:t>
      </w:r>
      <w:r>
        <w:rPr>
          <w:spacing w:val="-1"/>
        </w:rPr>
        <w:t xml:space="preserve"> </w:t>
      </w:r>
      <w:r>
        <w:t>known</w:t>
      </w:r>
      <w:r>
        <w:rPr>
          <w:spacing w:val="-1"/>
        </w:rPr>
        <w:t xml:space="preserve"> </w:t>
      </w:r>
      <w:r>
        <w:t>as</w:t>
      </w:r>
      <w:r>
        <w:rPr>
          <w:spacing w:val="-1"/>
        </w:rPr>
        <w:t xml:space="preserve"> </w:t>
      </w:r>
      <w:r>
        <w:t>a</w:t>
      </w:r>
      <w:r>
        <w:rPr>
          <w:spacing w:val="-1"/>
        </w:rPr>
        <w:t xml:space="preserve"> </w:t>
      </w:r>
      <w:r>
        <w:t>“performative” utterance. Other examples of Performatives are utterances of “I christen this ship the Mel Gibson,” “I hereby challenge you to a duel,” and “I promise to pay you back with interest if you loan me the money.”</w:t>
      </w:r>
    </w:p>
    <w:p w14:paraId="7E002CDB" w14:textId="77777777" w:rsidR="009A58DB" w:rsidRDefault="00000000">
      <w:pPr>
        <w:pStyle w:val="BodyText"/>
        <w:spacing w:before="5" w:line="249" w:lineRule="auto"/>
        <w:ind w:right="358" w:firstLine="360"/>
      </w:pPr>
      <w:r>
        <w:t xml:space="preserve">The concept of a performative was first clearly identified by J.L. Austin in his (1955) lectures at Harvard, which were published in 1976 under the title </w:t>
      </w:r>
      <w:r>
        <w:rPr>
          <w:i/>
        </w:rPr>
        <w:t xml:space="preserve">How to do things with Words. </w:t>
      </w:r>
      <w:r>
        <w:t>Austin’s points are anticipated, albeit obscurely, by Wittgenstein (1958).</w:t>
      </w:r>
    </w:p>
    <w:p w14:paraId="7E002CDC" w14:textId="77777777" w:rsidR="009A58DB" w:rsidRDefault="00000000">
      <w:pPr>
        <w:pStyle w:val="BodyText"/>
        <w:spacing w:before="5" w:line="249" w:lineRule="auto"/>
        <w:ind w:right="357" w:firstLine="360"/>
      </w:pPr>
      <w:r>
        <w:t>Austin said, very plausibly, that performative utterances are neither true nor false. In saying “I now pronounce you man and wife,” the priest isn’t describing an existing fact, and his words are therefore neither true nor false</w:t>
      </w:r>
    </w:p>
    <w:p w14:paraId="7E002CDD" w14:textId="77777777" w:rsidR="009A58DB" w:rsidRDefault="00000000">
      <w:pPr>
        <w:pStyle w:val="BodyText"/>
        <w:spacing w:before="4"/>
      </w:pPr>
      <w:r>
        <w:t>—or</w:t>
      </w:r>
      <w:r>
        <w:rPr>
          <w:spacing w:val="-2"/>
        </w:rPr>
        <w:t xml:space="preserve"> </w:t>
      </w:r>
      <w:r>
        <w:t>so</w:t>
      </w:r>
      <w:r>
        <w:rPr>
          <w:spacing w:val="-1"/>
        </w:rPr>
        <w:t xml:space="preserve"> </w:t>
      </w:r>
      <w:r>
        <w:t>it</w:t>
      </w:r>
      <w:r>
        <w:rPr>
          <w:spacing w:val="-2"/>
        </w:rPr>
        <w:t xml:space="preserve"> </w:t>
      </w:r>
      <w:r>
        <w:t>would</w:t>
      </w:r>
      <w:r>
        <w:rPr>
          <w:spacing w:val="-1"/>
        </w:rPr>
        <w:t xml:space="preserve"> </w:t>
      </w:r>
      <w:r>
        <w:rPr>
          <w:spacing w:val="-2"/>
        </w:rPr>
        <w:t>seem.</w:t>
      </w:r>
    </w:p>
    <w:p w14:paraId="7E002CDE" w14:textId="77777777" w:rsidR="009A58DB" w:rsidRDefault="00000000">
      <w:pPr>
        <w:spacing w:before="15" w:line="249" w:lineRule="auto"/>
        <w:ind w:left="360" w:right="372" w:firstLine="360"/>
        <w:jc w:val="both"/>
        <w:rPr>
          <w:sz w:val="30"/>
        </w:rPr>
      </w:pPr>
      <w:r>
        <w:rPr>
          <w:sz w:val="30"/>
        </w:rPr>
        <w:t xml:space="preserve">But in his (2004) book </w:t>
      </w:r>
      <w:r>
        <w:rPr>
          <w:i/>
          <w:sz w:val="30"/>
        </w:rPr>
        <w:t xml:space="preserve">Philosophy in the 20th Century </w:t>
      </w:r>
      <w:r>
        <w:rPr>
          <w:sz w:val="30"/>
        </w:rPr>
        <w:t>(Volume II), Scott Soames brilliantly shows that this is false. Consider the statement:</w:t>
      </w:r>
    </w:p>
    <w:p w14:paraId="7E002CDF" w14:textId="77777777" w:rsidR="009A58DB" w:rsidRDefault="009A58DB">
      <w:pPr>
        <w:pStyle w:val="BodyText"/>
        <w:spacing w:before="17"/>
        <w:ind w:left="0"/>
        <w:jc w:val="left"/>
      </w:pPr>
    </w:p>
    <w:p w14:paraId="7E002CE0" w14:textId="77777777" w:rsidR="009A58DB" w:rsidRDefault="00000000">
      <w:pPr>
        <w:pStyle w:val="BodyText"/>
        <w:spacing w:line="249" w:lineRule="auto"/>
        <w:ind w:right="365"/>
        <w:jc w:val="left"/>
      </w:pPr>
      <w:r>
        <w:t>(S) “Supposing for argument’s sake that I now pronounce you man and wife, it is incumbent on you to love and cherish each other.”</w:t>
      </w:r>
    </w:p>
    <w:p w14:paraId="7E002CE1" w14:textId="77777777" w:rsidR="009A58DB" w:rsidRDefault="009A58DB">
      <w:pPr>
        <w:pStyle w:val="BodyText"/>
        <w:spacing w:before="18"/>
        <w:ind w:left="0"/>
        <w:jc w:val="left"/>
      </w:pPr>
    </w:p>
    <w:p w14:paraId="7E002CE2" w14:textId="77777777" w:rsidR="009A58DB" w:rsidRDefault="00000000">
      <w:pPr>
        <w:pStyle w:val="BodyText"/>
        <w:jc w:val="left"/>
      </w:pPr>
      <w:r>
        <w:t>(S)</w:t>
      </w:r>
      <w:r>
        <w:rPr>
          <w:spacing w:val="-3"/>
        </w:rPr>
        <w:t xml:space="preserve"> </w:t>
      </w:r>
      <w:r>
        <w:t>is</w:t>
      </w:r>
      <w:r>
        <w:rPr>
          <w:spacing w:val="-3"/>
        </w:rPr>
        <w:t xml:space="preserve"> </w:t>
      </w:r>
      <w:r>
        <w:t>synonymous</w:t>
      </w:r>
      <w:r>
        <w:rPr>
          <w:spacing w:val="-2"/>
        </w:rPr>
        <w:t xml:space="preserve"> </w:t>
      </w:r>
      <w:r>
        <w:rPr>
          <w:spacing w:val="-4"/>
        </w:rPr>
        <w:t>with:</w:t>
      </w:r>
    </w:p>
    <w:p w14:paraId="7E002CE3" w14:textId="77777777" w:rsidR="009A58DB" w:rsidRDefault="009A58DB">
      <w:pPr>
        <w:pStyle w:val="BodyText"/>
        <w:spacing w:before="30"/>
        <w:ind w:left="0"/>
        <w:jc w:val="left"/>
      </w:pPr>
    </w:p>
    <w:p w14:paraId="7E002CE4" w14:textId="77777777" w:rsidR="009A58DB" w:rsidRDefault="00000000">
      <w:pPr>
        <w:pStyle w:val="BodyText"/>
        <w:spacing w:line="249" w:lineRule="auto"/>
        <w:ind w:right="367"/>
      </w:pPr>
      <w:r>
        <w:t>(S*)</w:t>
      </w:r>
      <w:r>
        <w:rPr>
          <w:spacing w:val="-1"/>
        </w:rPr>
        <w:t xml:space="preserve"> </w:t>
      </w:r>
      <w:r>
        <w:t>Supposing</w:t>
      </w:r>
      <w:r>
        <w:rPr>
          <w:spacing w:val="-1"/>
        </w:rPr>
        <w:t xml:space="preserve"> </w:t>
      </w:r>
      <w:r>
        <w:t>it</w:t>
      </w:r>
      <w:r>
        <w:rPr>
          <w:spacing w:val="-2"/>
        </w:rPr>
        <w:t xml:space="preserve"> </w:t>
      </w:r>
      <w:r>
        <w:t>true</w:t>
      </w:r>
      <w:r>
        <w:rPr>
          <w:spacing w:val="-1"/>
        </w:rPr>
        <w:t xml:space="preserve"> </w:t>
      </w:r>
      <w:r>
        <w:t>that</w:t>
      </w:r>
      <w:r>
        <w:rPr>
          <w:spacing w:val="-2"/>
        </w:rPr>
        <w:t xml:space="preserve"> </w:t>
      </w:r>
      <w:r>
        <w:t>I</w:t>
      </w:r>
      <w:r>
        <w:rPr>
          <w:spacing w:val="-1"/>
        </w:rPr>
        <w:t xml:space="preserve"> </w:t>
      </w:r>
      <w:r>
        <w:t>now</w:t>
      </w:r>
      <w:r>
        <w:rPr>
          <w:spacing w:val="-1"/>
        </w:rPr>
        <w:t xml:space="preserve"> </w:t>
      </w:r>
      <w:r>
        <w:t>pronounce</w:t>
      </w:r>
      <w:r>
        <w:rPr>
          <w:spacing w:val="-1"/>
        </w:rPr>
        <w:t xml:space="preserve"> </w:t>
      </w:r>
      <w:r>
        <w:t>you</w:t>
      </w:r>
      <w:r>
        <w:rPr>
          <w:spacing w:val="-1"/>
        </w:rPr>
        <w:t xml:space="preserve"> </w:t>
      </w:r>
      <w:r>
        <w:t>man</w:t>
      </w:r>
      <w:r>
        <w:rPr>
          <w:spacing w:val="-1"/>
        </w:rPr>
        <w:t xml:space="preserve"> </w:t>
      </w:r>
      <w:r>
        <w:t>and</w:t>
      </w:r>
      <w:r>
        <w:rPr>
          <w:spacing w:val="-1"/>
        </w:rPr>
        <w:t xml:space="preserve"> </w:t>
      </w:r>
      <w:r>
        <w:t>wife,</w:t>
      </w:r>
      <w:r>
        <w:rPr>
          <w:spacing w:val="-1"/>
        </w:rPr>
        <w:t xml:space="preserve"> </w:t>
      </w:r>
      <w:r>
        <w:t>it</w:t>
      </w:r>
      <w:r>
        <w:rPr>
          <w:spacing w:val="-2"/>
        </w:rPr>
        <w:t xml:space="preserve"> </w:t>
      </w:r>
      <w:r>
        <w:t>follows</w:t>
      </w:r>
      <w:r>
        <w:rPr>
          <w:spacing w:val="-1"/>
        </w:rPr>
        <w:t xml:space="preserve"> </w:t>
      </w:r>
      <w:r>
        <w:t>that it’s true that it is incumbent on you to love and cherish each other.”</w:t>
      </w:r>
    </w:p>
    <w:p w14:paraId="7E002CE5" w14:textId="77777777" w:rsidR="009A58DB" w:rsidRDefault="009A58DB">
      <w:pPr>
        <w:pStyle w:val="BodyText"/>
        <w:spacing w:before="17"/>
        <w:ind w:left="0"/>
        <w:jc w:val="left"/>
      </w:pPr>
    </w:p>
    <w:p w14:paraId="7E002CE6" w14:textId="77777777" w:rsidR="009A58DB" w:rsidRDefault="00000000">
      <w:pPr>
        <w:pStyle w:val="BodyText"/>
        <w:spacing w:line="249" w:lineRule="auto"/>
        <w:ind w:right="359"/>
      </w:pPr>
      <w:r>
        <w:t>S is meaningful; in fact, it’s correct (or at least could be, given certain reasonable assumptions about the individuals in question). Let O be the occurrence</w:t>
      </w:r>
      <w:r>
        <w:rPr>
          <w:spacing w:val="45"/>
        </w:rPr>
        <w:t xml:space="preserve"> </w:t>
      </w:r>
      <w:r>
        <w:t>in</w:t>
      </w:r>
      <w:r>
        <w:rPr>
          <w:spacing w:val="48"/>
        </w:rPr>
        <w:t xml:space="preserve"> </w:t>
      </w:r>
      <w:r>
        <w:t>S</w:t>
      </w:r>
      <w:r>
        <w:rPr>
          <w:spacing w:val="47"/>
        </w:rPr>
        <w:t xml:space="preserve"> </w:t>
      </w:r>
      <w:r>
        <w:t>of</w:t>
      </w:r>
      <w:r>
        <w:rPr>
          <w:spacing w:val="48"/>
        </w:rPr>
        <w:t xml:space="preserve"> </w:t>
      </w:r>
      <w:r>
        <w:t>“I</w:t>
      </w:r>
      <w:r>
        <w:rPr>
          <w:spacing w:val="47"/>
        </w:rPr>
        <w:t xml:space="preserve"> </w:t>
      </w:r>
      <w:r>
        <w:t>now</w:t>
      </w:r>
      <w:r>
        <w:rPr>
          <w:spacing w:val="48"/>
        </w:rPr>
        <w:t xml:space="preserve"> </w:t>
      </w:r>
      <w:r>
        <w:t>pronounce</w:t>
      </w:r>
      <w:r>
        <w:rPr>
          <w:spacing w:val="48"/>
        </w:rPr>
        <w:t xml:space="preserve"> </w:t>
      </w:r>
      <w:r>
        <w:t>you</w:t>
      </w:r>
      <w:r>
        <w:rPr>
          <w:spacing w:val="47"/>
        </w:rPr>
        <w:t xml:space="preserve"> </w:t>
      </w:r>
      <w:r>
        <w:t>man</w:t>
      </w:r>
      <w:r>
        <w:rPr>
          <w:spacing w:val="48"/>
        </w:rPr>
        <w:t xml:space="preserve"> </w:t>
      </w:r>
      <w:r>
        <w:t>and</w:t>
      </w:r>
      <w:r>
        <w:rPr>
          <w:spacing w:val="47"/>
        </w:rPr>
        <w:t xml:space="preserve"> </w:t>
      </w:r>
      <w:r>
        <w:t>wife.”</w:t>
      </w:r>
      <w:r>
        <w:rPr>
          <w:spacing w:val="48"/>
        </w:rPr>
        <w:t xml:space="preserve"> </w:t>
      </w:r>
      <w:r>
        <w:t>If</w:t>
      </w:r>
      <w:r>
        <w:rPr>
          <w:spacing w:val="47"/>
        </w:rPr>
        <w:t xml:space="preserve"> </w:t>
      </w:r>
      <w:r>
        <w:t>O</w:t>
      </w:r>
      <w:r>
        <w:rPr>
          <w:spacing w:val="48"/>
        </w:rPr>
        <w:t xml:space="preserve"> </w:t>
      </w:r>
      <w:r>
        <w:t>cannot</w:t>
      </w:r>
      <w:r>
        <w:rPr>
          <w:spacing w:val="48"/>
        </w:rPr>
        <w:t xml:space="preserve"> </w:t>
      </w:r>
      <w:r>
        <w:rPr>
          <w:spacing w:val="-5"/>
        </w:rPr>
        <w:t>be</w:t>
      </w:r>
    </w:p>
    <w:p w14:paraId="7E002CE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CE8" w14:textId="77777777" w:rsidR="009A58DB" w:rsidRDefault="00000000">
      <w:pPr>
        <w:pStyle w:val="BodyText"/>
        <w:spacing w:before="65" w:line="249" w:lineRule="auto"/>
        <w:ind w:right="361"/>
      </w:pPr>
      <w:r>
        <w:t>meaningfully supposed true, S is meaningless, and therefore neither true nor false. Bearing this in mind, let O* be some occurrence of “I now pronounce you man and wife” that is occurring on its own. O and O* obviously have the same meaning. Since O is capable of being meaningfully supposed true, the same is true of O*, and Austin is therefore wrong to say otherwise.</w:t>
      </w:r>
    </w:p>
    <w:p w14:paraId="7E002CE9" w14:textId="77777777" w:rsidR="009A58DB" w:rsidRDefault="00000000">
      <w:pPr>
        <w:pStyle w:val="BodyText"/>
        <w:spacing w:before="6" w:line="249" w:lineRule="auto"/>
        <w:ind w:right="359"/>
      </w:pPr>
      <w:r>
        <w:t>An argument similar to the one just given shows that a celebrated contention of Wittgenstein’s is false. Wittgenstein (1958) said that, when one says “I am sad”—when, in general, one makes any statements about one’s state of mind</w:t>
      </w:r>
    </w:p>
    <w:p w14:paraId="7E002CEA" w14:textId="77777777" w:rsidR="009A58DB" w:rsidRDefault="00000000">
      <w:pPr>
        <w:pStyle w:val="BodyText"/>
        <w:spacing w:before="3" w:line="249" w:lineRule="auto"/>
        <w:ind w:right="357"/>
      </w:pPr>
      <w:r>
        <w:t xml:space="preserve">—one isn’t really </w:t>
      </w:r>
      <w:r>
        <w:rPr>
          <w:i/>
        </w:rPr>
        <w:t xml:space="preserve">saying </w:t>
      </w:r>
      <w:r>
        <w:t xml:space="preserve">anything. Saying “I am sad,” Wittgenstein says, is no more a </w:t>
      </w:r>
      <w:r>
        <w:rPr>
          <w:i/>
        </w:rPr>
        <w:t>bona</w:t>
      </w:r>
      <w:r>
        <w:rPr>
          <w:i/>
          <w:spacing w:val="-2"/>
        </w:rPr>
        <w:t xml:space="preserve"> </w:t>
      </w:r>
      <w:r>
        <w:rPr>
          <w:i/>
        </w:rPr>
        <w:t xml:space="preserve">fide </w:t>
      </w:r>
      <w:r>
        <w:t>speech act than is grimacing or moping about. In saying this, Wittgenstein was trying to undermine the view that sentences report facts; he was trying to vindicate his provocative—but, when scrutinized,</w:t>
      </w:r>
      <w:r>
        <w:rPr>
          <w:spacing w:val="40"/>
        </w:rPr>
        <w:t xml:space="preserve"> </w:t>
      </w:r>
      <w:r>
        <w:t>quite hollow—contention that “words are deeds.” (This contention is one to which Austin gave some substance in his theory of performative utterances.)</w:t>
      </w:r>
    </w:p>
    <w:p w14:paraId="7E002CEB" w14:textId="77777777" w:rsidR="009A58DB" w:rsidRDefault="00000000">
      <w:pPr>
        <w:pStyle w:val="BodyText"/>
        <w:spacing w:before="8" w:line="249" w:lineRule="auto"/>
        <w:ind w:right="359" w:firstLine="360"/>
      </w:pPr>
      <w:r>
        <w:t>We can use an analogue of Soames’ argument to refute this contention of Wittgenstein’s. If, as Wittgenstein alleges, a stand-alone occurrence of “I am sad” is neither true nor false, as it’s merely a glorified frown, then it’s counterpart in an utterance of</w:t>
      </w:r>
    </w:p>
    <w:p w14:paraId="7E002CEC" w14:textId="77777777" w:rsidR="009A58DB" w:rsidRDefault="009A58DB">
      <w:pPr>
        <w:pStyle w:val="BodyText"/>
        <w:spacing w:before="20"/>
        <w:ind w:left="0"/>
        <w:jc w:val="left"/>
      </w:pPr>
    </w:p>
    <w:p w14:paraId="7E002CED" w14:textId="77777777" w:rsidR="009A58DB" w:rsidRDefault="00000000">
      <w:pPr>
        <w:pStyle w:val="BodyText"/>
        <w:spacing w:line="249" w:lineRule="auto"/>
        <w:ind w:right="358"/>
      </w:pPr>
      <w:r>
        <w:t>(S#) “if it’s supposed true that I am sad, then I am in a mood that is, in at</w:t>
      </w:r>
      <w:r>
        <w:rPr>
          <w:spacing w:val="40"/>
        </w:rPr>
        <w:t xml:space="preserve"> </w:t>
      </w:r>
      <w:r>
        <w:t>least some respects, less than optimal”</w:t>
      </w:r>
    </w:p>
    <w:p w14:paraId="7E002CEE" w14:textId="77777777" w:rsidR="009A58DB" w:rsidRDefault="009A58DB">
      <w:pPr>
        <w:pStyle w:val="BodyText"/>
        <w:spacing w:before="17"/>
        <w:ind w:left="0"/>
        <w:jc w:val="left"/>
      </w:pPr>
    </w:p>
    <w:p w14:paraId="7E002CEF" w14:textId="77777777" w:rsidR="009A58DB" w:rsidRDefault="00000000">
      <w:pPr>
        <w:pStyle w:val="BodyText"/>
        <w:spacing w:line="249" w:lineRule="auto"/>
        <w:ind w:right="360"/>
      </w:pPr>
      <w:r>
        <w:t>is equally meaningless, an immediate corollary being that any utterance of S# is meaningless. But such an utterance is quite meaningful; in fact, such utterances are correct.</w:t>
      </w:r>
    </w:p>
    <w:p w14:paraId="7E002CF0" w14:textId="77777777" w:rsidR="009A58DB" w:rsidRDefault="00000000">
      <w:pPr>
        <w:pStyle w:val="BodyText"/>
        <w:spacing w:before="4" w:line="249" w:lineRule="auto"/>
        <w:ind w:right="358" w:firstLine="360"/>
      </w:pPr>
      <w:r>
        <w:t>Also,</w:t>
      </w:r>
      <w:r>
        <w:rPr>
          <w:spacing w:val="-1"/>
        </w:rPr>
        <w:t xml:space="preserve"> </w:t>
      </w:r>
      <w:r>
        <w:t>if</w:t>
      </w:r>
      <w:r>
        <w:rPr>
          <w:spacing w:val="-1"/>
        </w:rPr>
        <w:t xml:space="preserve"> </w:t>
      </w:r>
      <w:r>
        <w:t>you</w:t>
      </w:r>
      <w:r>
        <w:rPr>
          <w:spacing w:val="-1"/>
        </w:rPr>
        <w:t xml:space="preserve"> </w:t>
      </w:r>
      <w:r>
        <w:t>say</w:t>
      </w:r>
      <w:r>
        <w:rPr>
          <w:spacing w:val="-1"/>
        </w:rPr>
        <w:t xml:space="preserve"> </w:t>
      </w:r>
      <w:r>
        <w:t>“I</w:t>
      </w:r>
      <w:r>
        <w:rPr>
          <w:spacing w:val="-1"/>
        </w:rPr>
        <w:t xml:space="preserve"> </w:t>
      </w:r>
      <w:r>
        <w:t>am</w:t>
      </w:r>
      <w:r>
        <w:rPr>
          <w:spacing w:val="-2"/>
        </w:rPr>
        <w:t xml:space="preserve"> </w:t>
      </w:r>
      <w:r>
        <w:t>sad,”</w:t>
      </w:r>
      <w:r>
        <w:rPr>
          <w:spacing w:val="-1"/>
        </w:rPr>
        <w:t xml:space="preserve"> </w:t>
      </w:r>
      <w:r>
        <w:t>you</w:t>
      </w:r>
      <w:r>
        <w:rPr>
          <w:spacing w:val="-1"/>
        </w:rPr>
        <w:t xml:space="preserve"> </w:t>
      </w:r>
      <w:r>
        <w:t>are</w:t>
      </w:r>
      <w:r>
        <w:rPr>
          <w:spacing w:val="-1"/>
        </w:rPr>
        <w:t xml:space="preserve"> </w:t>
      </w:r>
      <w:r>
        <w:t>obviously</w:t>
      </w:r>
      <w:r>
        <w:rPr>
          <w:spacing w:val="-1"/>
        </w:rPr>
        <w:t xml:space="preserve"> </w:t>
      </w:r>
      <w:r>
        <w:t>reporting</w:t>
      </w:r>
      <w:r>
        <w:rPr>
          <w:spacing w:val="-1"/>
        </w:rPr>
        <w:t xml:space="preserve"> </w:t>
      </w:r>
      <w:r>
        <w:t>a</w:t>
      </w:r>
      <w:r>
        <w:rPr>
          <w:spacing w:val="-1"/>
        </w:rPr>
        <w:t xml:space="preserve"> </w:t>
      </w:r>
      <w:r>
        <w:t>fact.</w:t>
      </w:r>
      <w:r>
        <w:rPr>
          <w:spacing w:val="-1"/>
        </w:rPr>
        <w:t xml:space="preserve"> </w:t>
      </w:r>
      <w:r>
        <w:t>That’s</w:t>
      </w:r>
      <w:r>
        <w:rPr>
          <w:spacing w:val="-1"/>
        </w:rPr>
        <w:t xml:space="preserve"> </w:t>
      </w:r>
      <w:r>
        <w:t>why your utterance could be false—you could be lying after all. Thus, utterances of “I am sad,” and first-person reports generally, can be meaningful, and usually are, contrary to what Wittgenstein is alleging.</w:t>
      </w:r>
    </w:p>
    <w:p w14:paraId="7E002CF1" w14:textId="77777777" w:rsidR="009A58DB" w:rsidRDefault="009A58DB">
      <w:pPr>
        <w:pStyle w:val="BodyText"/>
        <w:spacing w:before="20"/>
        <w:ind w:left="0"/>
        <w:jc w:val="left"/>
      </w:pPr>
    </w:p>
    <w:p w14:paraId="7E002CF2" w14:textId="77777777" w:rsidR="009A58DB" w:rsidRDefault="00000000">
      <w:pPr>
        <w:pStyle w:val="BodyText"/>
        <w:spacing w:line="249" w:lineRule="auto"/>
        <w:ind w:right="360"/>
      </w:pPr>
      <w:r>
        <w:rPr>
          <w:b/>
          <w:i/>
        </w:rPr>
        <w:t xml:space="preserve">Personal stratum of cognition: </w:t>
      </w:r>
      <w:r>
        <w:t xml:space="preserve">The totality of mental events within one’s own mind that could in principle fall within the scope of introspective awareness. Mental events in your mind mediate between sensory input and cognitive output. You could not become </w:t>
      </w:r>
      <w:r>
        <w:rPr>
          <w:i/>
        </w:rPr>
        <w:t xml:space="preserve">introspectively </w:t>
      </w:r>
      <w:r>
        <w:t>aware of these. Nor are you aware of the cognitive events in your own mind that mediate language-learning</w:t>
      </w:r>
      <w:r>
        <w:rPr>
          <w:spacing w:val="37"/>
        </w:rPr>
        <w:t xml:space="preserve"> </w:t>
      </w:r>
      <w:r>
        <w:t>and</w:t>
      </w:r>
      <w:r>
        <w:rPr>
          <w:spacing w:val="40"/>
        </w:rPr>
        <w:t xml:space="preserve"> </w:t>
      </w:r>
      <w:r>
        <w:t>comprehension.</w:t>
      </w:r>
      <w:r>
        <w:rPr>
          <w:spacing w:val="40"/>
        </w:rPr>
        <w:t xml:space="preserve"> </w:t>
      </w:r>
      <w:r>
        <w:t>So</w:t>
      </w:r>
      <w:r>
        <w:rPr>
          <w:spacing w:val="40"/>
        </w:rPr>
        <w:t xml:space="preserve"> </w:t>
      </w:r>
      <w:r>
        <w:t>far</w:t>
      </w:r>
      <w:r>
        <w:rPr>
          <w:spacing w:val="40"/>
        </w:rPr>
        <w:t xml:space="preserve"> </w:t>
      </w:r>
      <w:r>
        <w:t>as</w:t>
      </w:r>
      <w:r>
        <w:rPr>
          <w:spacing w:val="40"/>
        </w:rPr>
        <w:t xml:space="preserve"> </w:t>
      </w:r>
      <w:r>
        <w:t>you</w:t>
      </w:r>
      <w:r>
        <w:rPr>
          <w:spacing w:val="40"/>
        </w:rPr>
        <w:t xml:space="preserve"> </w:t>
      </w:r>
      <w:r>
        <w:t>can</w:t>
      </w:r>
      <w:r>
        <w:rPr>
          <w:spacing w:val="40"/>
        </w:rPr>
        <w:t xml:space="preserve"> </w:t>
      </w:r>
      <w:r>
        <w:t>become</w:t>
      </w:r>
      <w:r>
        <w:rPr>
          <w:spacing w:val="40"/>
        </w:rPr>
        <w:t xml:space="preserve"> </w:t>
      </w:r>
      <w:r>
        <w:t>aware</w:t>
      </w:r>
      <w:r>
        <w:rPr>
          <w:spacing w:val="40"/>
        </w:rPr>
        <w:t xml:space="preserve"> </w:t>
      </w:r>
      <w:r>
        <w:rPr>
          <w:spacing w:val="-5"/>
        </w:rPr>
        <w:t>of</w:t>
      </w:r>
    </w:p>
    <w:p w14:paraId="7E002CF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F4" w14:textId="77777777" w:rsidR="009A58DB" w:rsidRDefault="00000000">
      <w:pPr>
        <w:pStyle w:val="BodyText"/>
        <w:spacing w:before="65" w:line="249" w:lineRule="auto"/>
        <w:ind w:right="358"/>
      </w:pPr>
      <w:r>
        <w:t>them, it is in the way that you can be aware of sub-atomic particles, and not</w:t>
      </w:r>
      <w:r>
        <w:rPr>
          <w:spacing w:val="40"/>
        </w:rPr>
        <w:t xml:space="preserve"> </w:t>
      </w:r>
      <w:r>
        <w:t>in the direct, introspective way in which you are aware of your own sensations. No amount of psychoanalytic intervention could make you introspectively aware of them, and they are therefore “deeply” unconscious, to use Chomsky’s term. But, given psychoanalytic intervention, you could become introspectively aware of the unconscious events and conditions posited by Freud. Thus, the Freudian unconscious falls within the scope of</w:t>
      </w:r>
      <w:r>
        <w:rPr>
          <w:spacing w:val="40"/>
        </w:rPr>
        <w:t xml:space="preserve"> </w:t>
      </w:r>
      <w:r>
        <w:t xml:space="preserve">the </w:t>
      </w:r>
      <w:r>
        <w:rPr>
          <w:i/>
        </w:rPr>
        <w:t xml:space="preserve">personal </w:t>
      </w:r>
      <w:r>
        <w:t>stratum of cognition, as does everything that, without such intervention,</w:t>
      </w:r>
      <w:r>
        <w:rPr>
          <w:spacing w:val="-4"/>
        </w:rPr>
        <w:t xml:space="preserve"> </w:t>
      </w:r>
      <w:r>
        <w:t>is</w:t>
      </w:r>
      <w:r>
        <w:rPr>
          <w:spacing w:val="-4"/>
        </w:rPr>
        <w:t xml:space="preserve"> </w:t>
      </w:r>
      <w:r>
        <w:t>accessible</w:t>
      </w:r>
      <w:r>
        <w:rPr>
          <w:spacing w:val="-4"/>
        </w:rPr>
        <w:t xml:space="preserve"> </w:t>
      </w:r>
      <w:r>
        <w:t>to</w:t>
      </w:r>
      <w:r>
        <w:rPr>
          <w:spacing w:val="-4"/>
        </w:rPr>
        <w:t xml:space="preserve"> </w:t>
      </w:r>
      <w:r>
        <w:t>introspection.</w:t>
      </w:r>
      <w:r>
        <w:rPr>
          <w:spacing w:val="-4"/>
        </w:rPr>
        <w:t xml:space="preserve"> </w:t>
      </w:r>
      <w:r>
        <w:t>The</w:t>
      </w:r>
      <w:r>
        <w:rPr>
          <w:spacing w:val="-4"/>
        </w:rPr>
        <w:t xml:space="preserve"> </w:t>
      </w:r>
      <w:r>
        <w:t>cognitive</w:t>
      </w:r>
      <w:r>
        <w:rPr>
          <w:spacing w:val="-4"/>
        </w:rPr>
        <w:t xml:space="preserve"> </w:t>
      </w:r>
      <w:r>
        <w:t>processes</w:t>
      </w:r>
      <w:r>
        <w:rPr>
          <w:spacing w:val="-4"/>
        </w:rPr>
        <w:t xml:space="preserve"> </w:t>
      </w:r>
      <w:r>
        <w:t xml:space="preserve">mediating language-comprehension, perception, etc., are not done by </w:t>
      </w:r>
      <w:r>
        <w:rPr>
          <w:i/>
        </w:rPr>
        <w:t>you</w:t>
      </w:r>
      <w:r>
        <w:t>, even though they</w:t>
      </w:r>
      <w:r>
        <w:rPr>
          <w:spacing w:val="-3"/>
        </w:rPr>
        <w:t xml:space="preserve"> </w:t>
      </w:r>
      <w:r>
        <w:t>happen</w:t>
      </w:r>
      <w:r>
        <w:rPr>
          <w:spacing w:val="-3"/>
        </w:rPr>
        <w:t xml:space="preserve"> </w:t>
      </w:r>
      <w:r>
        <w:rPr>
          <w:i/>
        </w:rPr>
        <w:t>in</w:t>
      </w:r>
      <w:r>
        <w:rPr>
          <w:i/>
          <w:spacing w:val="-3"/>
        </w:rPr>
        <w:t xml:space="preserve"> </w:t>
      </w:r>
      <w:r>
        <w:t>your mind. There is thus a sense in which they are impersonal (or subpersonal). They constitute a framework underlying the events constitutive of the personal stratum of cognition and, for that reason, are accessible to it.</w:t>
      </w:r>
    </w:p>
    <w:p w14:paraId="7E002CF5" w14:textId="77777777" w:rsidR="009A58DB" w:rsidRDefault="00000000">
      <w:pPr>
        <w:pStyle w:val="BodyText"/>
        <w:spacing w:before="17" w:line="249" w:lineRule="auto"/>
        <w:ind w:right="358" w:firstLine="360"/>
      </w:pPr>
      <w:r>
        <w:t>So far as I know, Chomsky (1959) deserves credit for being the first to delineate the concept of subpersonal thought, and also for being the first to put the concept of subpersonal mentation to scientific use. In doing the former, he opened up new vistas, not just in psychology, but in epistemology and</w:t>
      </w:r>
      <w:r>
        <w:rPr>
          <w:spacing w:val="27"/>
        </w:rPr>
        <w:t xml:space="preserve"> </w:t>
      </w:r>
      <w:r>
        <w:t>philosophy</w:t>
      </w:r>
      <w:r>
        <w:rPr>
          <w:spacing w:val="27"/>
        </w:rPr>
        <w:t xml:space="preserve"> </w:t>
      </w:r>
      <w:r>
        <w:t>generally.</w:t>
      </w:r>
      <w:r>
        <w:rPr>
          <w:spacing w:val="27"/>
        </w:rPr>
        <w:t xml:space="preserve"> </w:t>
      </w:r>
      <w:r>
        <w:t>There</w:t>
      </w:r>
      <w:r>
        <w:rPr>
          <w:spacing w:val="26"/>
        </w:rPr>
        <w:t xml:space="preserve"> </w:t>
      </w:r>
      <w:r>
        <w:t>are</w:t>
      </w:r>
      <w:r>
        <w:rPr>
          <w:spacing w:val="26"/>
        </w:rPr>
        <w:t xml:space="preserve"> </w:t>
      </w:r>
      <w:r>
        <w:t>allusions</w:t>
      </w:r>
      <w:r>
        <w:rPr>
          <w:spacing w:val="26"/>
        </w:rPr>
        <w:t xml:space="preserve"> </w:t>
      </w:r>
      <w:r>
        <w:t>to</w:t>
      </w:r>
      <w:r>
        <w:rPr>
          <w:spacing w:val="27"/>
        </w:rPr>
        <w:t xml:space="preserve"> </w:t>
      </w:r>
      <w:r>
        <w:t>the</w:t>
      </w:r>
      <w:r>
        <w:rPr>
          <w:spacing w:val="26"/>
        </w:rPr>
        <w:t xml:space="preserve"> </w:t>
      </w:r>
      <w:r>
        <w:t>subpersonal</w:t>
      </w:r>
      <w:r>
        <w:rPr>
          <w:spacing w:val="26"/>
        </w:rPr>
        <w:t xml:space="preserve"> </w:t>
      </w:r>
      <w:r>
        <w:t>in</w:t>
      </w:r>
      <w:r>
        <w:rPr>
          <w:spacing w:val="27"/>
        </w:rPr>
        <w:t xml:space="preserve"> </w:t>
      </w:r>
      <w:r>
        <w:t>Chapter</w:t>
      </w:r>
    </w:p>
    <w:p w14:paraId="7E002CF6" w14:textId="77777777" w:rsidR="009A58DB" w:rsidRDefault="00000000">
      <w:pPr>
        <w:pStyle w:val="BodyText"/>
        <w:spacing w:before="6" w:line="249" w:lineRule="auto"/>
        <w:ind w:right="358"/>
      </w:pPr>
      <w:r>
        <w:t xml:space="preserve">VII of Freuds (1901) work </w:t>
      </w:r>
      <w:r>
        <w:rPr>
          <w:i/>
        </w:rPr>
        <w:t xml:space="preserve">The Interpretation of Dreams. </w:t>
      </w:r>
      <w:r>
        <w:t xml:space="preserve">The main contention of Kant’s (1789) work, </w:t>
      </w:r>
      <w:r>
        <w:rPr>
          <w:i/>
        </w:rPr>
        <w:t>The Critique of Pure Reason</w:t>
      </w:r>
      <w:r>
        <w:t xml:space="preserve">, presupposes its existence. Perception and thought, Kant contends, result from a convergence of (i) disturbances of our sensory surfaces and (ii) concepts that are hardwired into us and constitute our innate cognitive endowment. Kant makes it very clear that it is not until </w:t>
      </w:r>
      <w:r>
        <w:rPr>
          <w:i/>
        </w:rPr>
        <w:t xml:space="preserve">after </w:t>
      </w:r>
      <w:r>
        <w:t xml:space="preserve">these concepts have processed these disturbances that there occurs any mental activity that could be attributed to a </w:t>
      </w:r>
      <w:r>
        <w:rPr>
          <w:i/>
        </w:rPr>
        <w:t>person</w:t>
      </w:r>
      <w:r>
        <w:t xml:space="preserve">. So Kant clearly believes that personal mental activity presupposes the existence of pre-personal—or, as we might also put it, subpersonal—mental activity. Chomsky often cites Kant as one of his </w:t>
      </w:r>
      <w:r>
        <w:rPr>
          <w:spacing w:val="-2"/>
        </w:rPr>
        <w:t>forbears.</w:t>
      </w:r>
    </w:p>
    <w:p w14:paraId="7E002CF7" w14:textId="77777777" w:rsidR="009A58DB" w:rsidRDefault="009A58DB">
      <w:pPr>
        <w:pStyle w:val="BodyText"/>
        <w:spacing w:before="28"/>
        <w:ind w:left="0"/>
        <w:jc w:val="left"/>
      </w:pPr>
    </w:p>
    <w:p w14:paraId="7E002CF8" w14:textId="77777777" w:rsidR="009A58DB" w:rsidRDefault="00000000">
      <w:pPr>
        <w:pStyle w:val="BodyText"/>
        <w:spacing w:before="1" w:line="249" w:lineRule="auto"/>
        <w:ind w:right="365"/>
      </w:pPr>
      <w:r>
        <w:rPr>
          <w:b/>
          <w:i/>
        </w:rPr>
        <w:t xml:space="preserve">Perspicuous/perspicuity: </w:t>
      </w:r>
      <w:r>
        <w:t xml:space="preserve">A sentence is “perspicuous” if it is clear </w:t>
      </w:r>
      <w:r>
        <w:rPr>
          <w:i/>
        </w:rPr>
        <w:t xml:space="preserve">in the sense that </w:t>
      </w:r>
      <w:r>
        <w:t>its inferential structure (what it entails and what entails it) can be read off of its grammatical structure. A perspicuous, set-theoretic translation of “2 + 2 = 4” would be totally unclear to most people, even though “2 + 2 = 4”</w:t>
      </w:r>
      <w:r>
        <w:rPr>
          <w:spacing w:val="65"/>
          <w:w w:val="150"/>
        </w:rPr>
        <w:t xml:space="preserve"> </w:t>
      </w:r>
      <w:r>
        <w:t>is</w:t>
      </w:r>
      <w:r>
        <w:rPr>
          <w:spacing w:val="65"/>
          <w:w w:val="150"/>
        </w:rPr>
        <w:t xml:space="preserve"> </w:t>
      </w:r>
      <w:r>
        <w:t>very</w:t>
      </w:r>
      <w:r>
        <w:rPr>
          <w:spacing w:val="65"/>
          <w:w w:val="150"/>
        </w:rPr>
        <w:t xml:space="preserve"> </w:t>
      </w:r>
      <w:r>
        <w:t>clear</w:t>
      </w:r>
      <w:r>
        <w:rPr>
          <w:spacing w:val="65"/>
          <w:w w:val="150"/>
        </w:rPr>
        <w:t xml:space="preserve"> </w:t>
      </w:r>
      <w:r>
        <w:t>(in</w:t>
      </w:r>
      <w:r>
        <w:rPr>
          <w:spacing w:val="65"/>
          <w:w w:val="150"/>
        </w:rPr>
        <w:t xml:space="preserve"> </w:t>
      </w:r>
      <w:r>
        <w:t>the</w:t>
      </w:r>
      <w:r>
        <w:rPr>
          <w:spacing w:val="65"/>
          <w:w w:val="150"/>
        </w:rPr>
        <w:t xml:space="preserve"> </w:t>
      </w:r>
      <w:r>
        <w:t>psychological</w:t>
      </w:r>
      <w:r>
        <w:rPr>
          <w:spacing w:val="65"/>
          <w:w w:val="150"/>
        </w:rPr>
        <w:t xml:space="preserve"> </w:t>
      </w:r>
      <w:r>
        <w:t>sense).</w:t>
      </w:r>
      <w:r>
        <w:rPr>
          <w:spacing w:val="65"/>
          <w:w w:val="150"/>
        </w:rPr>
        <w:t xml:space="preserve"> </w:t>
      </w:r>
      <w:r>
        <w:t>That’s</w:t>
      </w:r>
      <w:r>
        <w:rPr>
          <w:spacing w:val="65"/>
          <w:w w:val="150"/>
        </w:rPr>
        <w:t xml:space="preserve"> </w:t>
      </w:r>
      <w:r>
        <w:t>why</w:t>
      </w:r>
      <w:r>
        <w:rPr>
          <w:spacing w:val="65"/>
          <w:w w:val="150"/>
        </w:rPr>
        <w:t xml:space="preserve"> </w:t>
      </w:r>
      <w:r>
        <w:t>“clear”</w:t>
      </w:r>
      <w:r>
        <w:rPr>
          <w:spacing w:val="65"/>
          <w:w w:val="150"/>
        </w:rPr>
        <w:t xml:space="preserve"> </w:t>
      </w:r>
      <w:r>
        <w:t>and</w:t>
      </w:r>
    </w:p>
    <w:p w14:paraId="7E002CF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CFA" w14:textId="77777777" w:rsidR="009A58DB" w:rsidRDefault="00000000">
      <w:pPr>
        <w:pStyle w:val="BodyText"/>
        <w:spacing w:before="65" w:line="249" w:lineRule="auto"/>
        <w:ind w:right="358"/>
      </w:pPr>
      <w:r>
        <w:t>“perspicuous”</w:t>
      </w:r>
      <w:r>
        <w:rPr>
          <w:spacing w:val="-3"/>
        </w:rPr>
        <w:t xml:space="preserve"> </w:t>
      </w:r>
      <w:r>
        <w:t>aren’t</w:t>
      </w:r>
      <w:r>
        <w:rPr>
          <w:spacing w:val="-3"/>
        </w:rPr>
        <w:t xml:space="preserve"> </w:t>
      </w:r>
      <w:r>
        <w:t>interchangeable.</w:t>
      </w:r>
      <w:r>
        <w:rPr>
          <w:spacing w:val="-3"/>
        </w:rPr>
        <w:t xml:space="preserve"> </w:t>
      </w:r>
      <w:r>
        <w:t>Perspicuity</w:t>
      </w:r>
      <w:r>
        <w:rPr>
          <w:spacing w:val="-3"/>
        </w:rPr>
        <w:t xml:space="preserve"> </w:t>
      </w:r>
      <w:r>
        <w:t>is</w:t>
      </w:r>
      <w:r>
        <w:rPr>
          <w:spacing w:val="-3"/>
        </w:rPr>
        <w:t xml:space="preserve"> </w:t>
      </w:r>
      <w:r>
        <w:t>a</w:t>
      </w:r>
      <w:r>
        <w:rPr>
          <w:spacing w:val="-3"/>
        </w:rPr>
        <w:t xml:space="preserve"> </w:t>
      </w:r>
      <w:r>
        <w:t>logical</w:t>
      </w:r>
      <w:r>
        <w:rPr>
          <w:spacing w:val="-3"/>
        </w:rPr>
        <w:t xml:space="preserve"> </w:t>
      </w:r>
      <w:r>
        <w:t>property;</w:t>
      </w:r>
      <w:r>
        <w:rPr>
          <w:spacing w:val="-3"/>
        </w:rPr>
        <w:t xml:space="preserve"> </w:t>
      </w:r>
      <w:r>
        <w:t>clarity is a psychological property. Perspicuity is to some extent a contextual notion. Depending on what one’s background assumptions are, one sentence may or may not be more perspicuous than some other synonymous sentence. But, other things being equal, the more syntactic structure a sentence has, the</w:t>
      </w:r>
      <w:r>
        <w:rPr>
          <w:spacing w:val="40"/>
        </w:rPr>
        <w:t xml:space="preserve"> </w:t>
      </w:r>
      <w:r>
        <w:t xml:space="preserve">more perspicuous it is. The reasons for this are given in Chapter 18, Section </w:t>
      </w:r>
      <w:r>
        <w:rPr>
          <w:spacing w:val="-2"/>
        </w:rPr>
        <w:t>4.1.)</w:t>
      </w:r>
    </w:p>
    <w:p w14:paraId="7E002CFB" w14:textId="77777777" w:rsidR="009A58DB" w:rsidRDefault="009A58DB">
      <w:pPr>
        <w:pStyle w:val="BodyText"/>
        <w:spacing w:before="23"/>
        <w:ind w:left="0"/>
        <w:jc w:val="left"/>
      </w:pPr>
    </w:p>
    <w:p w14:paraId="7E002CFC" w14:textId="77777777" w:rsidR="009A58DB" w:rsidRDefault="00000000">
      <w:pPr>
        <w:pStyle w:val="BodyText"/>
        <w:spacing w:line="249" w:lineRule="auto"/>
        <w:ind w:right="368"/>
      </w:pPr>
      <w:r>
        <w:rPr>
          <w:b/>
          <w:i/>
        </w:rPr>
        <w:t xml:space="preserve">Possible: </w:t>
      </w:r>
      <w:r>
        <w:t>A proposition is possible if there is some coherently conceivable circumstance where it is true. Example of such a proposition: Mary owns a BMW. See “contingent,” “necessary,” and “proposition.”</w:t>
      </w:r>
    </w:p>
    <w:p w14:paraId="7E002CFD" w14:textId="77777777" w:rsidR="009A58DB" w:rsidRDefault="009A58DB">
      <w:pPr>
        <w:pStyle w:val="BodyText"/>
        <w:spacing w:before="19"/>
        <w:ind w:left="0"/>
        <w:jc w:val="left"/>
      </w:pPr>
    </w:p>
    <w:p w14:paraId="7E002CFE" w14:textId="77777777" w:rsidR="009A58DB" w:rsidRDefault="00000000">
      <w:pPr>
        <w:pStyle w:val="BodyText"/>
        <w:spacing w:line="249" w:lineRule="auto"/>
        <w:ind w:right="358"/>
      </w:pPr>
      <w:r>
        <w:rPr>
          <w:b/>
          <w:i/>
        </w:rPr>
        <w:t xml:space="preserve">Predicate: </w:t>
      </w:r>
      <w:r>
        <w:t xml:space="preserve">In the sentence, “Smith is tall,” the </w:t>
      </w:r>
      <w:r>
        <w:rPr>
          <w:i/>
        </w:rPr>
        <w:t xml:space="preserve">predicate </w:t>
      </w:r>
      <w:r>
        <w:t xml:space="preserve">is “tall.” A “predicate” is generally said to be an expression that refers to a property. But this isn’t a good definition. The expression “the property of being tall” is not a predicate; it’s actually a singular term. But “tall” </w:t>
      </w:r>
      <w:r>
        <w:rPr>
          <w:i/>
        </w:rPr>
        <w:t xml:space="preserve">is </w:t>
      </w:r>
      <w:r>
        <w:t xml:space="preserve">a predicate. So is </w:t>
      </w:r>
      <w:r>
        <w:rPr>
          <w:spacing w:val="-2"/>
        </w:rPr>
        <w:t>“smart.”</w:t>
      </w:r>
    </w:p>
    <w:p w14:paraId="7E002CFF" w14:textId="77777777" w:rsidR="009A58DB" w:rsidRDefault="00000000">
      <w:pPr>
        <w:pStyle w:val="BodyText"/>
        <w:spacing w:before="6" w:line="249" w:lineRule="auto"/>
        <w:ind w:right="357" w:firstLine="360"/>
      </w:pPr>
      <w:r>
        <w:t>In general, a predicate is an expression that, when joined in a grammatically acceptable manner with a singular term, yields a sentence that attributes a property to the individual referred to by that term. “Smart” is a predicate because, when joined (in a grammatically acceptable way) with “Sally,” the result is a sentence that attributes smartness to Sally, viz. “Sally</w:t>
      </w:r>
      <w:r>
        <w:rPr>
          <w:spacing w:val="40"/>
        </w:rPr>
        <w:t xml:space="preserve"> </w:t>
      </w:r>
      <w:r>
        <w:t>is smart.”</w:t>
      </w:r>
    </w:p>
    <w:p w14:paraId="7E002D00" w14:textId="77777777" w:rsidR="009A58DB" w:rsidRDefault="00000000">
      <w:pPr>
        <w:pStyle w:val="BodyText"/>
        <w:spacing w:before="8" w:line="249" w:lineRule="auto"/>
        <w:ind w:right="368" w:firstLine="360"/>
      </w:pPr>
      <w:r>
        <w:t>Predicates may be identified with open-sentences. See “intensions vs. extensions” and “open-sentences.”</w:t>
      </w:r>
    </w:p>
    <w:p w14:paraId="7E002D01" w14:textId="77777777" w:rsidR="009A58DB" w:rsidRDefault="009A58DB">
      <w:pPr>
        <w:pStyle w:val="BodyText"/>
        <w:spacing w:before="17"/>
        <w:ind w:left="0"/>
        <w:jc w:val="left"/>
      </w:pPr>
    </w:p>
    <w:p w14:paraId="7E002D02" w14:textId="77777777" w:rsidR="009A58DB" w:rsidRDefault="00000000">
      <w:pPr>
        <w:pStyle w:val="BodyText"/>
        <w:spacing w:line="249" w:lineRule="auto"/>
        <w:ind w:right="360"/>
      </w:pPr>
      <w:r>
        <w:rPr>
          <w:b/>
          <w:i/>
        </w:rPr>
        <w:t>Primitive</w:t>
      </w:r>
      <w:r>
        <w:rPr>
          <w:b/>
          <w:i/>
          <w:spacing w:val="-7"/>
        </w:rPr>
        <w:t xml:space="preserve"> </w:t>
      </w:r>
      <w:r>
        <w:rPr>
          <w:b/>
          <w:i/>
        </w:rPr>
        <w:t>expression:</w:t>
      </w:r>
      <w:r>
        <w:rPr>
          <w:b/>
          <w:i/>
          <w:spacing w:val="-7"/>
        </w:rPr>
        <w:t xml:space="preserve"> </w:t>
      </w:r>
      <w:r>
        <w:t>Synonymous</w:t>
      </w:r>
      <w:r>
        <w:rPr>
          <w:spacing w:val="-1"/>
        </w:rPr>
        <w:t xml:space="preserve"> </w:t>
      </w:r>
      <w:r>
        <w:t>with “semantically</w:t>
      </w:r>
      <w:r>
        <w:rPr>
          <w:spacing w:val="-1"/>
        </w:rPr>
        <w:t xml:space="preserve"> </w:t>
      </w:r>
      <w:r>
        <w:t>simple expression.”</w:t>
      </w:r>
      <w:r>
        <w:rPr>
          <w:spacing w:val="-1"/>
        </w:rPr>
        <w:t xml:space="preserve"> </w:t>
      </w:r>
      <w:r>
        <w:t>A primitive expression is one that doesn’t consist of other expressions. Examples of such expressions are “red” or “sweet.”</w:t>
      </w:r>
    </w:p>
    <w:p w14:paraId="7E002D03" w14:textId="77777777" w:rsidR="009A58DB" w:rsidRDefault="00000000">
      <w:pPr>
        <w:pStyle w:val="BodyText"/>
        <w:spacing w:before="4" w:line="249" w:lineRule="auto"/>
        <w:ind w:right="361" w:firstLine="360"/>
      </w:pPr>
      <w:r>
        <w:rPr>
          <w:i/>
        </w:rPr>
        <w:t xml:space="preserve">Occurrences </w:t>
      </w:r>
      <w:r>
        <w:t>of primitive expressions are not as easy to identify as one might think. Let T be an utterance of “snow is white.” One would think that, in T, the occurrence of “snow” is semantically simple.</w:t>
      </w:r>
    </w:p>
    <w:p w14:paraId="7E002D04" w14:textId="77777777" w:rsidR="009A58DB" w:rsidRDefault="00000000">
      <w:pPr>
        <w:pStyle w:val="BodyText"/>
        <w:spacing w:before="3" w:line="249" w:lineRule="auto"/>
        <w:ind w:right="364" w:firstLine="360"/>
      </w:pPr>
      <w:r>
        <w:t>Chomsky</w:t>
      </w:r>
      <w:r>
        <w:rPr>
          <w:spacing w:val="-5"/>
        </w:rPr>
        <w:t xml:space="preserve"> </w:t>
      </w:r>
      <w:r>
        <w:t>would</w:t>
      </w:r>
      <w:r>
        <w:rPr>
          <w:spacing w:val="-5"/>
        </w:rPr>
        <w:t xml:space="preserve"> </w:t>
      </w:r>
      <w:r>
        <w:t>say</w:t>
      </w:r>
      <w:r>
        <w:rPr>
          <w:spacing w:val="-5"/>
        </w:rPr>
        <w:t xml:space="preserve"> </w:t>
      </w:r>
      <w:r>
        <w:t>that</w:t>
      </w:r>
      <w:r>
        <w:rPr>
          <w:spacing w:val="-6"/>
        </w:rPr>
        <w:t xml:space="preserve"> </w:t>
      </w:r>
      <w:r>
        <w:t>it</w:t>
      </w:r>
      <w:r>
        <w:rPr>
          <w:spacing w:val="-6"/>
        </w:rPr>
        <w:t xml:space="preserve"> </w:t>
      </w:r>
      <w:r>
        <w:t>contains</w:t>
      </w:r>
      <w:r>
        <w:rPr>
          <w:spacing w:val="-6"/>
        </w:rPr>
        <w:t xml:space="preserve"> </w:t>
      </w:r>
      <w:r>
        <w:t>a</w:t>
      </w:r>
      <w:r>
        <w:rPr>
          <w:spacing w:val="-6"/>
        </w:rPr>
        <w:t xml:space="preserve"> </w:t>
      </w:r>
      <w:r>
        <w:t>phonetically</w:t>
      </w:r>
      <w:r>
        <w:rPr>
          <w:spacing w:val="-5"/>
        </w:rPr>
        <w:t xml:space="preserve"> </w:t>
      </w:r>
      <w:r>
        <w:t>unrealized</w:t>
      </w:r>
      <w:r>
        <w:rPr>
          <w:spacing w:val="-5"/>
        </w:rPr>
        <w:t xml:space="preserve"> </w:t>
      </w:r>
      <w:r>
        <w:t>case-marker. Chomsky’s reasons for taking this view are extremely compelling. See Chomsky (1965, 1998).</w:t>
      </w:r>
    </w:p>
    <w:p w14:paraId="7E002D0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06" w14:textId="77777777" w:rsidR="009A58DB" w:rsidRDefault="00000000">
      <w:pPr>
        <w:pStyle w:val="BodyText"/>
        <w:spacing w:before="65" w:line="249" w:lineRule="auto"/>
        <w:ind w:right="363"/>
      </w:pPr>
      <w:r>
        <w:rPr>
          <w:b/>
          <w:i/>
        </w:rPr>
        <w:t xml:space="preserve">Probability: </w:t>
      </w:r>
      <w:r>
        <w:t>This word is “ambiguous.” It has (at least) two meanings. First, there is the statistical meaning of “probability.” If there are 10 balls in the</w:t>
      </w:r>
      <w:r>
        <w:rPr>
          <w:spacing w:val="40"/>
        </w:rPr>
        <w:t xml:space="preserve"> </w:t>
      </w:r>
      <w:r>
        <w:t>urn, only one of which is white, the statement “x is a white ball in the urn” has a statistical probability of 1/10.</w:t>
      </w:r>
    </w:p>
    <w:p w14:paraId="7E002D07" w14:textId="77777777" w:rsidR="009A58DB" w:rsidRDefault="00000000">
      <w:pPr>
        <w:pStyle w:val="BodyText"/>
        <w:spacing w:before="5" w:line="249" w:lineRule="auto"/>
        <w:ind w:right="357" w:firstLine="360"/>
      </w:pPr>
      <w:r>
        <w:t xml:space="preserve">Then there is explanatory probability. P makes Q probable in the </w:t>
      </w:r>
      <w:r>
        <w:rPr>
          <w:i/>
        </w:rPr>
        <w:t xml:space="preserve">explanatory </w:t>
      </w:r>
      <w:r>
        <w:t>sense if, given what it is that is already believed, there are more causal</w:t>
      </w:r>
      <w:r>
        <w:rPr>
          <w:spacing w:val="-3"/>
        </w:rPr>
        <w:t xml:space="preserve"> </w:t>
      </w:r>
      <w:r>
        <w:t>anomalies</w:t>
      </w:r>
      <w:r>
        <w:rPr>
          <w:spacing w:val="-3"/>
        </w:rPr>
        <w:t xml:space="preserve"> </w:t>
      </w:r>
      <w:r>
        <w:t>if</w:t>
      </w:r>
      <w:r>
        <w:rPr>
          <w:spacing w:val="-3"/>
        </w:rPr>
        <w:t xml:space="preserve"> </w:t>
      </w:r>
      <w:r>
        <w:t>P</w:t>
      </w:r>
      <w:r>
        <w:rPr>
          <w:spacing w:val="-3"/>
        </w:rPr>
        <w:t xml:space="preserve"> </w:t>
      </w:r>
      <w:r>
        <w:t>is</w:t>
      </w:r>
      <w:r>
        <w:rPr>
          <w:spacing w:val="-3"/>
        </w:rPr>
        <w:t xml:space="preserve"> </w:t>
      </w:r>
      <w:r>
        <w:t>true</w:t>
      </w:r>
      <w:r>
        <w:rPr>
          <w:spacing w:val="-3"/>
        </w:rPr>
        <w:t xml:space="preserve"> </w:t>
      </w:r>
      <w:r>
        <w:t>and</w:t>
      </w:r>
      <w:r>
        <w:rPr>
          <w:spacing w:val="-2"/>
        </w:rPr>
        <w:t xml:space="preserve"> </w:t>
      </w:r>
      <w:r>
        <w:t>Q</w:t>
      </w:r>
      <w:r>
        <w:rPr>
          <w:spacing w:val="-3"/>
        </w:rPr>
        <w:t xml:space="preserve"> </w:t>
      </w:r>
      <w:r>
        <w:t>is</w:t>
      </w:r>
      <w:r>
        <w:rPr>
          <w:spacing w:val="-3"/>
        </w:rPr>
        <w:t xml:space="preserve"> </w:t>
      </w:r>
      <w:r>
        <w:t>false</w:t>
      </w:r>
      <w:r>
        <w:rPr>
          <w:spacing w:val="-3"/>
        </w:rPr>
        <w:t xml:space="preserve"> </w:t>
      </w:r>
      <w:r>
        <w:t>than</w:t>
      </w:r>
      <w:r>
        <w:rPr>
          <w:spacing w:val="-2"/>
        </w:rPr>
        <w:t xml:space="preserve"> </w:t>
      </w:r>
      <w:r>
        <w:t>there</w:t>
      </w:r>
      <w:r>
        <w:rPr>
          <w:spacing w:val="-3"/>
        </w:rPr>
        <w:t xml:space="preserve"> </w:t>
      </w:r>
      <w:r>
        <w:t>are</w:t>
      </w:r>
      <w:r>
        <w:rPr>
          <w:spacing w:val="-3"/>
        </w:rPr>
        <w:t xml:space="preserve"> </w:t>
      </w:r>
      <w:r>
        <w:t>if,</w:t>
      </w:r>
      <w:r>
        <w:rPr>
          <w:spacing w:val="-2"/>
        </w:rPr>
        <w:t xml:space="preserve"> </w:t>
      </w:r>
      <w:r>
        <w:t>other</w:t>
      </w:r>
      <w:r>
        <w:rPr>
          <w:spacing w:val="-3"/>
        </w:rPr>
        <w:t xml:space="preserve"> </w:t>
      </w:r>
      <w:r>
        <w:t>things</w:t>
      </w:r>
      <w:r>
        <w:rPr>
          <w:spacing w:val="-3"/>
        </w:rPr>
        <w:t xml:space="preserve"> </w:t>
      </w:r>
      <w:r>
        <w:t>being equal, P is true and Q is true.</w:t>
      </w:r>
    </w:p>
    <w:p w14:paraId="7E002D08" w14:textId="77777777" w:rsidR="009A58DB" w:rsidRDefault="00000000">
      <w:pPr>
        <w:pStyle w:val="BodyText"/>
        <w:spacing w:before="4" w:line="249" w:lineRule="auto"/>
        <w:ind w:right="369" w:firstLine="360"/>
      </w:pPr>
      <w:r>
        <w:t>It is argued in Chapter 11 that explanatory probability cannot be reduced to, or understood in terms of, statistical probability.</w:t>
      </w:r>
    </w:p>
    <w:p w14:paraId="7E002D09" w14:textId="77777777" w:rsidR="009A58DB" w:rsidRDefault="009A58DB">
      <w:pPr>
        <w:pStyle w:val="BodyText"/>
        <w:spacing w:before="18"/>
        <w:ind w:left="0"/>
        <w:jc w:val="left"/>
      </w:pPr>
    </w:p>
    <w:p w14:paraId="7E002D0A" w14:textId="77777777" w:rsidR="009A58DB" w:rsidRDefault="00000000">
      <w:pPr>
        <w:pStyle w:val="BodyText"/>
        <w:spacing w:line="249" w:lineRule="auto"/>
        <w:ind w:right="364"/>
      </w:pPr>
      <w:r>
        <w:rPr>
          <w:b/>
          <w:i/>
        </w:rPr>
        <w:t xml:space="preserve">Property: </w:t>
      </w:r>
      <w:r>
        <w:t xml:space="preserve">A property is a characteristic. Other words for “property” are “attribute” and “feature.” This is the same as saying that a property is anything of which there can be instances. Put another way, a property is anything that can be </w:t>
      </w:r>
      <w:r>
        <w:rPr>
          <w:i/>
        </w:rPr>
        <w:t>had</w:t>
      </w:r>
      <w:r>
        <w:t xml:space="preserve">—“had” in the sense in which one has a characteristic, not in the sense in which one has a car. So the “had” in question is that of </w:t>
      </w:r>
      <w:r>
        <w:rPr>
          <w:i/>
        </w:rPr>
        <w:t>attribution</w:t>
      </w:r>
      <w:r>
        <w:t xml:space="preserve">, not of </w:t>
      </w:r>
      <w:r>
        <w:rPr>
          <w:i/>
        </w:rPr>
        <w:t xml:space="preserve">possession. </w:t>
      </w:r>
      <w:r>
        <w:t>A property is anything that can be meaningfully attributed to something.</w:t>
      </w:r>
    </w:p>
    <w:p w14:paraId="7E002D0B" w14:textId="77777777" w:rsidR="009A58DB" w:rsidRDefault="009A58DB">
      <w:pPr>
        <w:pStyle w:val="BodyText"/>
        <w:spacing w:before="23"/>
        <w:ind w:left="0"/>
        <w:jc w:val="left"/>
      </w:pPr>
    </w:p>
    <w:p w14:paraId="7E002D0C" w14:textId="77777777" w:rsidR="009A58DB" w:rsidRDefault="00000000">
      <w:pPr>
        <w:pStyle w:val="BodyText"/>
        <w:spacing w:before="1" w:line="249" w:lineRule="auto"/>
        <w:ind w:right="359"/>
      </w:pPr>
      <w:r>
        <w:t xml:space="preserve">Commentary: some exotic properties: Consider the number two. There are </w:t>
      </w:r>
      <w:r>
        <w:rPr>
          <w:i/>
        </w:rPr>
        <w:t xml:space="preserve">instances </w:t>
      </w:r>
      <w:r>
        <w:t>of this property. Any pair of objects is such an instance. The number two can thus be thought of as a property had by all pairs of objects and by nothing else.</w:t>
      </w:r>
    </w:p>
    <w:p w14:paraId="7E002D0D" w14:textId="77777777" w:rsidR="009A58DB" w:rsidRDefault="00000000">
      <w:pPr>
        <w:pStyle w:val="BodyText"/>
        <w:spacing w:before="5" w:line="249" w:lineRule="auto"/>
        <w:ind w:right="358" w:firstLine="360"/>
      </w:pPr>
      <w:r>
        <w:t xml:space="preserve">Anything of which there are </w:t>
      </w:r>
      <w:r>
        <w:rPr>
          <w:i/>
        </w:rPr>
        <w:t xml:space="preserve">instances </w:t>
      </w:r>
      <w:r>
        <w:t xml:space="preserve">is a property. (But there are some properties of which there are no instances; e.g., the property of being a perfectly moral human. But that property is composed entirely of things of which there are instances. So it’s possible—though I haven’t personally verified it—that every property </w:t>
      </w:r>
      <w:r>
        <w:rPr>
          <w:i/>
        </w:rPr>
        <w:t xml:space="preserve">either </w:t>
      </w:r>
      <w:r>
        <w:t xml:space="preserve">has instances </w:t>
      </w:r>
      <w:r>
        <w:rPr>
          <w:i/>
        </w:rPr>
        <w:t xml:space="preserve">or </w:t>
      </w:r>
      <w:r>
        <w:t>is composed of properties that have instances. Question: are there properties that counterexample this conjecture?)</w:t>
      </w:r>
    </w:p>
    <w:p w14:paraId="7E002D0E" w14:textId="77777777" w:rsidR="009A58DB" w:rsidRDefault="00000000">
      <w:pPr>
        <w:pStyle w:val="BodyText"/>
        <w:spacing w:before="8" w:line="249" w:lineRule="auto"/>
        <w:ind w:right="358" w:firstLine="360"/>
      </w:pPr>
      <w:r>
        <w:t xml:space="preserve">The </w:t>
      </w:r>
      <w:r>
        <w:rPr>
          <w:i/>
        </w:rPr>
        <w:t xml:space="preserve">numeral </w:t>
      </w:r>
      <w:r>
        <w:t xml:space="preserve">“2”—that is, the </w:t>
      </w:r>
      <w:r>
        <w:rPr>
          <w:i/>
        </w:rPr>
        <w:t xml:space="preserve">sign </w:t>
      </w:r>
      <w:r>
        <w:t xml:space="preserve">for the number two—is </w:t>
      </w:r>
      <w:r>
        <w:rPr>
          <w:i/>
        </w:rPr>
        <w:t xml:space="preserve">also </w:t>
      </w:r>
      <w:r>
        <w:t>a universal.</w:t>
      </w:r>
      <w:r>
        <w:rPr>
          <w:spacing w:val="-1"/>
        </w:rPr>
        <w:t xml:space="preserve"> </w:t>
      </w:r>
      <w:r>
        <w:t>But</w:t>
      </w:r>
      <w:r>
        <w:rPr>
          <w:spacing w:val="-1"/>
        </w:rPr>
        <w:t xml:space="preserve"> </w:t>
      </w:r>
      <w:r>
        <w:t>it’s</w:t>
      </w:r>
      <w:r>
        <w:rPr>
          <w:spacing w:val="-1"/>
        </w:rPr>
        <w:t xml:space="preserve"> </w:t>
      </w:r>
      <w:r>
        <w:t>distinct</w:t>
      </w:r>
      <w:r>
        <w:rPr>
          <w:spacing w:val="-1"/>
        </w:rPr>
        <w:t xml:space="preserve"> </w:t>
      </w:r>
      <w:r>
        <w:t>from</w:t>
      </w:r>
      <w:r>
        <w:rPr>
          <w:spacing w:val="-1"/>
        </w:rPr>
        <w:t xml:space="preserve"> </w:t>
      </w:r>
      <w:r>
        <w:t>the</w:t>
      </w:r>
      <w:r>
        <w:rPr>
          <w:spacing w:val="-1"/>
        </w:rPr>
        <w:t xml:space="preserve"> </w:t>
      </w:r>
      <w:r>
        <w:t>number</w:t>
      </w:r>
      <w:r>
        <w:rPr>
          <w:spacing w:val="-1"/>
        </w:rPr>
        <w:t xml:space="preserve"> </w:t>
      </w:r>
      <w:r>
        <w:t>two</w:t>
      </w:r>
      <w:r>
        <w:rPr>
          <w:spacing w:val="-1"/>
        </w:rPr>
        <w:t xml:space="preserve"> </w:t>
      </w:r>
      <w:r>
        <w:t>itself.</w:t>
      </w:r>
      <w:r>
        <w:rPr>
          <w:spacing w:val="-1"/>
        </w:rPr>
        <w:t xml:space="preserve"> </w:t>
      </w:r>
      <w:r>
        <w:t>The</w:t>
      </w:r>
      <w:r>
        <w:rPr>
          <w:spacing w:val="-1"/>
        </w:rPr>
        <w:t xml:space="preserve"> </w:t>
      </w:r>
      <w:r>
        <w:t>numeral</w:t>
      </w:r>
      <w:r>
        <w:rPr>
          <w:spacing w:val="-1"/>
        </w:rPr>
        <w:t xml:space="preserve"> </w:t>
      </w:r>
      <w:r>
        <w:t>“2”</w:t>
      </w:r>
      <w:r>
        <w:rPr>
          <w:spacing w:val="-1"/>
        </w:rPr>
        <w:t xml:space="preserve"> </w:t>
      </w:r>
      <w:r>
        <w:t>is,</w:t>
      </w:r>
      <w:r>
        <w:rPr>
          <w:spacing w:val="-1"/>
        </w:rPr>
        <w:t xml:space="preserve"> </w:t>
      </w:r>
      <w:r>
        <w:t xml:space="preserve">for reasons that we discussed a little while ago, a property of certain ink marks and bursts of sounds. (Those ink marks, etc., are </w:t>
      </w:r>
      <w:r>
        <w:rPr>
          <w:i/>
        </w:rPr>
        <w:t>tokens</w:t>
      </w:r>
      <w:r>
        <w:rPr>
          <w:i/>
          <w:spacing w:val="-3"/>
        </w:rPr>
        <w:t xml:space="preserve"> </w:t>
      </w:r>
      <w:r>
        <w:t>of that numeral.) But the</w:t>
      </w:r>
      <w:r>
        <w:rPr>
          <w:spacing w:val="-4"/>
        </w:rPr>
        <w:t xml:space="preserve"> </w:t>
      </w:r>
      <w:r>
        <w:t>number</w:t>
      </w:r>
      <w:r>
        <w:rPr>
          <w:spacing w:val="-4"/>
        </w:rPr>
        <w:t xml:space="preserve"> </w:t>
      </w:r>
      <w:r>
        <w:t>two</w:t>
      </w:r>
      <w:r>
        <w:rPr>
          <w:spacing w:val="-3"/>
        </w:rPr>
        <w:t xml:space="preserve"> </w:t>
      </w:r>
      <w:r>
        <w:t>is</w:t>
      </w:r>
      <w:r>
        <w:rPr>
          <w:spacing w:val="-4"/>
        </w:rPr>
        <w:t xml:space="preserve"> </w:t>
      </w:r>
      <w:r>
        <w:t>a</w:t>
      </w:r>
      <w:r>
        <w:rPr>
          <w:spacing w:val="-4"/>
        </w:rPr>
        <w:t xml:space="preserve"> </w:t>
      </w:r>
      <w:r>
        <w:t>property</w:t>
      </w:r>
      <w:r>
        <w:rPr>
          <w:spacing w:val="-3"/>
        </w:rPr>
        <w:t xml:space="preserve"> </w:t>
      </w:r>
      <w:r>
        <w:t>of</w:t>
      </w:r>
      <w:r>
        <w:rPr>
          <w:spacing w:val="-4"/>
        </w:rPr>
        <w:t xml:space="preserve"> </w:t>
      </w:r>
      <w:r>
        <w:rPr>
          <w:i/>
        </w:rPr>
        <w:t>pairs</w:t>
      </w:r>
      <w:r>
        <w:rPr>
          <w:i/>
          <w:spacing w:val="-4"/>
        </w:rPr>
        <w:t xml:space="preserve"> </w:t>
      </w:r>
      <w:r>
        <w:t>of</w:t>
      </w:r>
      <w:r>
        <w:rPr>
          <w:spacing w:val="-1"/>
        </w:rPr>
        <w:t xml:space="preserve"> </w:t>
      </w:r>
      <w:r>
        <w:t>objects.</w:t>
      </w:r>
      <w:r>
        <w:rPr>
          <w:spacing w:val="-1"/>
        </w:rPr>
        <w:t xml:space="preserve"> </w:t>
      </w:r>
      <w:r>
        <w:t>“2”</w:t>
      </w:r>
      <w:r>
        <w:rPr>
          <w:spacing w:val="-1"/>
        </w:rPr>
        <w:t xml:space="preserve"> </w:t>
      </w:r>
      <w:r>
        <w:t>is</w:t>
      </w:r>
      <w:r>
        <w:rPr>
          <w:spacing w:val="-1"/>
        </w:rPr>
        <w:t xml:space="preserve"> </w:t>
      </w:r>
      <w:r>
        <w:t>no</w:t>
      </w:r>
      <w:r>
        <w:rPr>
          <w:spacing w:val="-1"/>
        </w:rPr>
        <w:t xml:space="preserve"> </w:t>
      </w:r>
      <w:r>
        <w:t>more</w:t>
      </w:r>
      <w:r>
        <w:rPr>
          <w:spacing w:val="-1"/>
        </w:rPr>
        <w:t xml:space="preserve"> </w:t>
      </w:r>
      <w:r>
        <w:t>identical</w:t>
      </w:r>
      <w:r>
        <w:rPr>
          <w:spacing w:val="-2"/>
        </w:rPr>
        <w:t xml:space="preserve"> </w:t>
      </w:r>
      <w:r>
        <w:t>with the</w:t>
      </w:r>
      <w:r>
        <w:rPr>
          <w:spacing w:val="32"/>
        </w:rPr>
        <w:t xml:space="preserve"> </w:t>
      </w:r>
      <w:r>
        <w:t>number</w:t>
      </w:r>
      <w:r>
        <w:rPr>
          <w:spacing w:val="35"/>
        </w:rPr>
        <w:t xml:space="preserve"> </w:t>
      </w:r>
      <w:r>
        <w:t>two</w:t>
      </w:r>
      <w:r>
        <w:rPr>
          <w:spacing w:val="35"/>
        </w:rPr>
        <w:t xml:space="preserve"> </w:t>
      </w:r>
      <w:r>
        <w:t>than</w:t>
      </w:r>
      <w:r>
        <w:rPr>
          <w:spacing w:val="36"/>
        </w:rPr>
        <w:t xml:space="preserve"> </w:t>
      </w:r>
      <w:r>
        <w:t>the</w:t>
      </w:r>
      <w:r>
        <w:rPr>
          <w:spacing w:val="35"/>
        </w:rPr>
        <w:t xml:space="preserve"> </w:t>
      </w:r>
      <w:r>
        <w:t>name</w:t>
      </w:r>
      <w:r>
        <w:rPr>
          <w:spacing w:val="35"/>
        </w:rPr>
        <w:t xml:space="preserve"> </w:t>
      </w:r>
      <w:r>
        <w:t>“John-Michael”</w:t>
      </w:r>
      <w:r>
        <w:rPr>
          <w:spacing w:val="35"/>
        </w:rPr>
        <w:t xml:space="preserve"> </w:t>
      </w:r>
      <w:r>
        <w:t>is</w:t>
      </w:r>
      <w:r>
        <w:rPr>
          <w:spacing w:val="36"/>
        </w:rPr>
        <w:t xml:space="preserve"> </w:t>
      </w:r>
      <w:r>
        <w:t>identical</w:t>
      </w:r>
      <w:r>
        <w:rPr>
          <w:spacing w:val="35"/>
        </w:rPr>
        <w:t xml:space="preserve"> </w:t>
      </w:r>
      <w:r>
        <w:t>with</w:t>
      </w:r>
      <w:r>
        <w:rPr>
          <w:spacing w:val="35"/>
        </w:rPr>
        <w:t xml:space="preserve"> </w:t>
      </w:r>
      <w:r>
        <w:t>the</w:t>
      </w:r>
      <w:r>
        <w:rPr>
          <w:spacing w:val="36"/>
        </w:rPr>
        <w:t xml:space="preserve"> </w:t>
      </w:r>
      <w:r>
        <w:rPr>
          <w:spacing w:val="-2"/>
        </w:rPr>
        <w:t>person</w:t>
      </w:r>
    </w:p>
    <w:p w14:paraId="7E002D0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10" w14:textId="77777777" w:rsidR="009A58DB" w:rsidRDefault="00000000">
      <w:pPr>
        <w:pStyle w:val="BodyText"/>
        <w:spacing w:before="65"/>
        <w:jc w:val="left"/>
      </w:pPr>
      <w:r>
        <w:rPr>
          <w:spacing w:val="-2"/>
        </w:rPr>
        <w:t>John-Michael.</w:t>
      </w:r>
    </w:p>
    <w:p w14:paraId="7E002D11" w14:textId="77777777" w:rsidR="009A58DB" w:rsidRDefault="00000000">
      <w:pPr>
        <w:pStyle w:val="BodyText"/>
        <w:spacing w:before="15" w:line="249" w:lineRule="auto"/>
        <w:ind w:right="358" w:firstLine="360"/>
      </w:pPr>
      <w:r>
        <w:t xml:space="preserve">Works of music are properties. </w:t>
      </w:r>
      <w:r>
        <w:rPr>
          <w:i/>
        </w:rPr>
        <w:t xml:space="preserve">Instances </w:t>
      </w:r>
      <w:r>
        <w:t xml:space="preserve">of those properties are what we refer to as “performances.” Consider the first movement of Beethoven’s “Moonlight Sonata.” I played it a few minutes ago. But that work of music didn’t cease to exist when I stopped performing it. Of course, it’s likely that other people are performing it. But it wouldn’t cease to exist if, for a 10-minute period, </w:t>
      </w:r>
      <w:r>
        <w:rPr>
          <w:i/>
        </w:rPr>
        <w:t xml:space="preserve">nobody </w:t>
      </w:r>
      <w:r>
        <w:t xml:space="preserve">were to perform it. The “Moonlight Sonata” isn’t identical with any </w:t>
      </w:r>
      <w:r>
        <w:rPr>
          <w:i/>
        </w:rPr>
        <w:t xml:space="preserve">particular </w:t>
      </w:r>
      <w:r>
        <w:t xml:space="preserve">stream of sound. Therefore, it isn’t identical with any stream of sound at all. The “Moonlight Sonata” is a </w:t>
      </w:r>
      <w:r>
        <w:rPr>
          <w:i/>
        </w:rPr>
        <w:t xml:space="preserve">property </w:t>
      </w:r>
      <w:r>
        <w:t>of certain streams of sound—of streams of sound that have certain melodic and harmonic properties. When somebody plays that Sonata on the piano, that person is producing a stream of sound that has the right properties and is therefore an instance—or, as we would usually say, a performance—of that sonata. (Other works of art, e.g., paintings, appear to be concrete objects. The Mona Lisa is a concrete object; it could be destroyed. Works of visual art seem, in general, to be spatiotemporal and thus to be property-instances, as opposed to properties. Whether works of literature are properties or property-instances is a delicate question that will be set aside.)</w:t>
      </w:r>
    </w:p>
    <w:p w14:paraId="7E002D12" w14:textId="77777777" w:rsidR="009A58DB" w:rsidRDefault="009A58DB">
      <w:pPr>
        <w:pStyle w:val="BodyText"/>
        <w:spacing w:before="35"/>
        <w:ind w:left="0"/>
        <w:jc w:val="left"/>
      </w:pPr>
    </w:p>
    <w:p w14:paraId="7E002D13" w14:textId="77777777" w:rsidR="009A58DB" w:rsidRDefault="00000000">
      <w:pPr>
        <w:spacing w:before="1" w:line="249" w:lineRule="auto"/>
        <w:ind w:left="360" w:right="368"/>
        <w:jc w:val="both"/>
        <w:rPr>
          <w:sz w:val="30"/>
        </w:rPr>
      </w:pPr>
      <w:r>
        <w:rPr>
          <w:b/>
          <w:i/>
          <w:sz w:val="30"/>
        </w:rPr>
        <w:t xml:space="preserve">Propositions: </w:t>
      </w:r>
      <w:r>
        <w:rPr>
          <w:sz w:val="30"/>
        </w:rPr>
        <w:t xml:space="preserve">The things that are </w:t>
      </w:r>
      <w:r>
        <w:rPr>
          <w:i/>
          <w:sz w:val="30"/>
        </w:rPr>
        <w:t xml:space="preserve">meant </w:t>
      </w:r>
      <w:r>
        <w:rPr>
          <w:sz w:val="30"/>
        </w:rPr>
        <w:t xml:space="preserve">by true or false utterances or </w:t>
      </w:r>
      <w:r>
        <w:rPr>
          <w:spacing w:val="-2"/>
          <w:sz w:val="30"/>
        </w:rPr>
        <w:t>inscriptions.</w:t>
      </w:r>
    </w:p>
    <w:p w14:paraId="7E002D14" w14:textId="77777777" w:rsidR="009A58DB" w:rsidRDefault="009A58DB">
      <w:pPr>
        <w:pStyle w:val="BodyText"/>
        <w:spacing w:before="17"/>
        <w:ind w:left="0"/>
        <w:jc w:val="left"/>
      </w:pPr>
    </w:p>
    <w:p w14:paraId="7E002D15" w14:textId="77777777" w:rsidR="009A58DB" w:rsidRDefault="00000000">
      <w:pPr>
        <w:pStyle w:val="BodyText"/>
        <w:spacing w:line="249" w:lineRule="auto"/>
        <w:ind w:right="366"/>
      </w:pPr>
      <w:r>
        <w:t>Commentary: Propositions aren’t sentences; propositions are sentence-meanings, not sentences per se.</w:t>
      </w:r>
    </w:p>
    <w:p w14:paraId="7E002D16" w14:textId="77777777" w:rsidR="009A58DB" w:rsidRDefault="00000000">
      <w:pPr>
        <w:pStyle w:val="BodyText"/>
        <w:spacing w:before="3" w:line="249" w:lineRule="auto"/>
        <w:ind w:right="363" w:firstLine="360"/>
      </w:pPr>
      <w:r>
        <w:t xml:space="preserve">Propositions are not spatiotemporal. The proposition </w:t>
      </w:r>
      <w:r>
        <w:rPr>
          <w:i/>
        </w:rPr>
        <w:t xml:space="preserve">snow is white </w:t>
      </w:r>
      <w:r>
        <w:t xml:space="preserve">does not have a location in space or time, even though particular </w:t>
      </w:r>
      <w:r>
        <w:rPr>
          <w:i/>
        </w:rPr>
        <w:t xml:space="preserve">instances </w:t>
      </w:r>
      <w:r>
        <w:t>of</w:t>
      </w:r>
      <w:r>
        <w:rPr>
          <w:spacing w:val="40"/>
        </w:rPr>
        <w:t xml:space="preserve"> </w:t>
      </w:r>
      <w:r>
        <w:t>white snow obviously do have such a location.</w:t>
      </w:r>
    </w:p>
    <w:p w14:paraId="7E002D17" w14:textId="77777777" w:rsidR="009A58DB" w:rsidRDefault="00000000">
      <w:pPr>
        <w:pStyle w:val="BodyText"/>
        <w:spacing w:before="3" w:line="249" w:lineRule="auto"/>
        <w:ind w:right="364" w:firstLine="360"/>
      </w:pPr>
      <w:r>
        <w:t xml:space="preserve">Propositions are not psychological entities; they are mind-independent </w:t>
      </w:r>
      <w:r>
        <w:rPr>
          <w:spacing w:val="-2"/>
        </w:rPr>
        <w:t>entities.</w:t>
      </w:r>
    </w:p>
    <w:p w14:paraId="7E002D18" w14:textId="77777777" w:rsidR="009A58DB" w:rsidRDefault="00000000">
      <w:pPr>
        <w:pStyle w:val="BodyText"/>
        <w:spacing w:before="3" w:line="249" w:lineRule="auto"/>
        <w:ind w:right="363" w:firstLine="360"/>
      </w:pPr>
      <w:r>
        <w:rPr>
          <w:i/>
        </w:rPr>
        <w:t>Believing</w:t>
      </w:r>
      <w:r>
        <w:rPr>
          <w:i/>
          <w:spacing w:val="-3"/>
        </w:rPr>
        <w:t xml:space="preserve"> </w:t>
      </w:r>
      <w:r>
        <w:t xml:space="preserve">a proposition is something mental; but the thing believed is not. More generally, </w:t>
      </w:r>
      <w:r>
        <w:rPr>
          <w:i/>
        </w:rPr>
        <w:t xml:space="preserve">grasping </w:t>
      </w:r>
      <w:r>
        <w:t>a proposition is something mental; but the thing grasped is not.</w:t>
      </w:r>
    </w:p>
    <w:p w14:paraId="7E002D19" w14:textId="77777777" w:rsidR="009A58DB" w:rsidRDefault="00000000">
      <w:pPr>
        <w:pStyle w:val="BodyText"/>
        <w:spacing w:before="3"/>
        <w:ind w:left="720"/>
      </w:pPr>
      <w:r>
        <w:t>Let’s</w:t>
      </w:r>
      <w:r>
        <w:rPr>
          <w:spacing w:val="-4"/>
        </w:rPr>
        <w:t xml:space="preserve"> </w:t>
      </w:r>
      <w:r>
        <w:t>suppose</w:t>
      </w:r>
      <w:r>
        <w:rPr>
          <w:spacing w:val="-4"/>
        </w:rPr>
        <w:t xml:space="preserve"> that:</w:t>
      </w:r>
    </w:p>
    <w:p w14:paraId="7E002D1A" w14:textId="77777777" w:rsidR="009A58DB" w:rsidRDefault="009A58DB">
      <w:pPr>
        <w:pStyle w:val="BodyText"/>
        <w:spacing w:before="30"/>
        <w:ind w:left="0"/>
        <w:jc w:val="left"/>
      </w:pPr>
    </w:p>
    <w:p w14:paraId="7E002D1B" w14:textId="77777777" w:rsidR="009A58DB" w:rsidRDefault="00000000">
      <w:pPr>
        <w:pStyle w:val="BodyText"/>
        <w:jc w:val="left"/>
      </w:pPr>
      <w:r>
        <w:t>(1)</w:t>
      </w:r>
      <w:r>
        <w:rPr>
          <w:spacing w:val="-6"/>
        </w:rPr>
        <w:t xml:space="preserve"> </w:t>
      </w:r>
      <w:r>
        <w:t>“Smith</w:t>
      </w:r>
      <w:r>
        <w:rPr>
          <w:spacing w:val="-3"/>
        </w:rPr>
        <w:t xml:space="preserve"> </w:t>
      </w:r>
      <w:r>
        <w:t>believes</w:t>
      </w:r>
      <w:r>
        <w:rPr>
          <w:spacing w:val="-4"/>
        </w:rPr>
        <w:t xml:space="preserve"> </w:t>
      </w:r>
      <w:r>
        <w:t>that</w:t>
      </w:r>
      <w:r>
        <w:rPr>
          <w:spacing w:val="-3"/>
        </w:rPr>
        <w:t xml:space="preserve"> </w:t>
      </w:r>
      <w:r>
        <w:t>the</w:t>
      </w:r>
      <w:r>
        <w:rPr>
          <w:spacing w:val="-4"/>
        </w:rPr>
        <w:t xml:space="preserve"> </w:t>
      </w:r>
      <w:r>
        <w:t>inventor</w:t>
      </w:r>
      <w:r>
        <w:rPr>
          <w:spacing w:val="-4"/>
        </w:rPr>
        <w:t xml:space="preserve"> </w:t>
      </w:r>
      <w:r>
        <w:t>of</w:t>
      </w:r>
      <w:r>
        <w:rPr>
          <w:spacing w:val="-3"/>
        </w:rPr>
        <w:t xml:space="preserve"> </w:t>
      </w:r>
      <w:r>
        <w:t>bifocals</w:t>
      </w:r>
      <w:r>
        <w:rPr>
          <w:spacing w:val="-4"/>
        </w:rPr>
        <w:t xml:space="preserve"> </w:t>
      </w:r>
      <w:r>
        <w:t>is</w:t>
      </w:r>
      <w:r>
        <w:rPr>
          <w:spacing w:val="-4"/>
        </w:rPr>
        <w:t xml:space="preserve"> </w:t>
      </w:r>
      <w:r>
        <w:t>6-feet</w:t>
      </w:r>
      <w:r>
        <w:rPr>
          <w:spacing w:val="-3"/>
        </w:rPr>
        <w:t xml:space="preserve"> </w:t>
      </w:r>
      <w:r>
        <w:rPr>
          <w:spacing w:val="-2"/>
        </w:rPr>
        <w:t>tall’</w:t>
      </w:r>
    </w:p>
    <w:p w14:paraId="7E002D1C" w14:textId="77777777" w:rsidR="009A58DB" w:rsidRDefault="009A58DB">
      <w:pPr>
        <w:pStyle w:val="BodyText"/>
        <w:jc w:val="left"/>
        <w:sectPr w:rsidR="009A58DB">
          <w:pgSz w:w="12240" w:h="15840"/>
          <w:pgMar w:top="1380" w:right="1080" w:bottom="280" w:left="1080" w:header="720" w:footer="720" w:gutter="0"/>
          <w:cols w:space="720"/>
        </w:sectPr>
      </w:pPr>
    </w:p>
    <w:p w14:paraId="7E002D1D" w14:textId="77777777" w:rsidR="009A58DB" w:rsidRDefault="00000000">
      <w:pPr>
        <w:pStyle w:val="BodyText"/>
        <w:spacing w:before="65"/>
      </w:pPr>
      <w:r>
        <w:t>is</w:t>
      </w:r>
      <w:r>
        <w:rPr>
          <w:spacing w:val="-2"/>
        </w:rPr>
        <w:t xml:space="preserve"> true.</w:t>
      </w:r>
    </w:p>
    <w:p w14:paraId="7E002D1E" w14:textId="77777777" w:rsidR="009A58DB" w:rsidRDefault="00000000">
      <w:pPr>
        <w:pStyle w:val="BodyText"/>
        <w:spacing w:before="15" w:line="249" w:lineRule="auto"/>
        <w:ind w:right="360" w:firstLine="360"/>
      </w:pPr>
      <w:r>
        <w:t xml:space="preserve">What is the </w:t>
      </w:r>
      <w:r>
        <w:rPr>
          <w:i/>
        </w:rPr>
        <w:t xml:space="preserve">object </w:t>
      </w:r>
      <w:r>
        <w:t xml:space="preserve">of Smith’s belief? What is the </w:t>
      </w:r>
      <w:r>
        <w:rPr>
          <w:i/>
        </w:rPr>
        <w:t>thing believed in</w:t>
      </w:r>
      <w:r>
        <w:t>—the thing that, in having that belief, he believes to be true?</w:t>
      </w:r>
    </w:p>
    <w:p w14:paraId="7E002D1F" w14:textId="77777777" w:rsidR="009A58DB" w:rsidRDefault="00000000">
      <w:pPr>
        <w:pStyle w:val="BodyText"/>
        <w:spacing w:before="2" w:line="249" w:lineRule="auto"/>
        <w:ind w:right="358" w:firstLine="360"/>
      </w:pPr>
      <w:r>
        <w:t xml:space="preserve">It’s tempting to say that it’s something </w:t>
      </w:r>
      <w:r>
        <w:rPr>
          <w:i/>
        </w:rPr>
        <w:t>mental</w:t>
      </w:r>
      <w:r>
        <w:t xml:space="preserve">—that it’s some mental event or psychological condition. But this is wrong. Smith’s </w:t>
      </w:r>
      <w:r>
        <w:rPr>
          <w:i/>
        </w:rPr>
        <w:t xml:space="preserve">having </w:t>
      </w:r>
      <w:r>
        <w:t>that</w:t>
      </w:r>
      <w:r>
        <w:rPr>
          <w:spacing w:val="40"/>
        </w:rPr>
        <w:t xml:space="preserve"> </w:t>
      </w:r>
      <w:r>
        <w:t xml:space="preserve">belief is indeed a psychological condition. But the thing </w:t>
      </w:r>
      <w:r>
        <w:rPr>
          <w:i/>
        </w:rPr>
        <w:t xml:space="preserve">believed </w:t>
      </w:r>
      <w:r>
        <w:t>is not. The believ</w:t>
      </w:r>
      <w:r>
        <w:rPr>
          <w:i/>
        </w:rPr>
        <w:t xml:space="preserve">ing </w:t>
      </w:r>
      <w:r>
        <w:t>is mental; the believ</w:t>
      </w:r>
      <w:r>
        <w:rPr>
          <w:i/>
        </w:rPr>
        <w:t xml:space="preserve">ed </w:t>
      </w:r>
      <w:r>
        <w:t>is not. In other words, the thing that, by virtue of having that belief, Smith regards as true isn’t a mental or psychological event or condition (or whatnot) at all. Here’s why.</w:t>
      </w:r>
    </w:p>
    <w:p w14:paraId="7E002D20" w14:textId="77777777" w:rsidR="009A58DB" w:rsidRDefault="00000000">
      <w:pPr>
        <w:pStyle w:val="BodyText"/>
        <w:spacing w:before="7" w:line="249" w:lineRule="auto"/>
        <w:ind w:right="359" w:firstLine="360"/>
      </w:pPr>
      <w:r>
        <w:t xml:space="preserve">Whatever it is, that thing is something that </w:t>
      </w:r>
      <w:r>
        <w:rPr>
          <w:i/>
        </w:rPr>
        <w:t xml:space="preserve">others </w:t>
      </w:r>
      <w:r>
        <w:t xml:space="preserve">grasp. (And, what follows, it is also something people besides Smith </w:t>
      </w:r>
      <w:r>
        <w:rPr>
          <w:i/>
        </w:rPr>
        <w:t xml:space="preserve">could </w:t>
      </w:r>
      <w:r>
        <w:t>grasp, even if they don’t.) Those who agree with Smith (about the height of the inventor of bifocals)</w:t>
      </w:r>
      <w:r>
        <w:rPr>
          <w:spacing w:val="-1"/>
        </w:rPr>
        <w:t xml:space="preserve"> </w:t>
      </w:r>
      <w:r>
        <w:t>believe</w:t>
      </w:r>
      <w:r>
        <w:rPr>
          <w:spacing w:val="-1"/>
        </w:rPr>
        <w:t xml:space="preserve"> </w:t>
      </w:r>
      <w:r>
        <w:t>it</w:t>
      </w:r>
      <w:r>
        <w:rPr>
          <w:spacing w:val="-1"/>
        </w:rPr>
        <w:t xml:space="preserve"> </w:t>
      </w:r>
      <w:r>
        <w:t>true;</w:t>
      </w:r>
      <w:r>
        <w:rPr>
          <w:spacing w:val="-1"/>
        </w:rPr>
        <w:t xml:space="preserve"> </w:t>
      </w:r>
      <w:r>
        <w:t>those</w:t>
      </w:r>
      <w:r>
        <w:rPr>
          <w:spacing w:val="-1"/>
        </w:rPr>
        <w:t xml:space="preserve"> </w:t>
      </w:r>
      <w:r>
        <w:t>who</w:t>
      </w:r>
      <w:r>
        <w:rPr>
          <w:spacing w:val="-1"/>
        </w:rPr>
        <w:t xml:space="preserve"> </w:t>
      </w:r>
      <w:r>
        <w:t>disagree</w:t>
      </w:r>
      <w:r>
        <w:rPr>
          <w:spacing w:val="-1"/>
        </w:rPr>
        <w:t xml:space="preserve"> </w:t>
      </w:r>
      <w:r>
        <w:t>believe</w:t>
      </w:r>
      <w:r>
        <w:rPr>
          <w:spacing w:val="-1"/>
        </w:rPr>
        <w:t xml:space="preserve"> </w:t>
      </w:r>
      <w:r>
        <w:t>it</w:t>
      </w:r>
      <w:r>
        <w:rPr>
          <w:spacing w:val="-1"/>
        </w:rPr>
        <w:t xml:space="preserve"> </w:t>
      </w:r>
      <w:r>
        <w:t>false.</w:t>
      </w:r>
      <w:r>
        <w:rPr>
          <w:spacing w:val="-1"/>
        </w:rPr>
        <w:t xml:space="preserve"> </w:t>
      </w:r>
      <w:r>
        <w:t>But</w:t>
      </w:r>
      <w:r>
        <w:rPr>
          <w:spacing w:val="-1"/>
        </w:rPr>
        <w:t xml:space="preserve"> </w:t>
      </w:r>
      <w:r>
        <w:t>they</w:t>
      </w:r>
      <w:r>
        <w:rPr>
          <w:spacing w:val="-1"/>
        </w:rPr>
        <w:t xml:space="preserve"> </w:t>
      </w:r>
      <w:r>
        <w:t>all</w:t>
      </w:r>
      <w:r>
        <w:rPr>
          <w:spacing w:val="-1"/>
        </w:rPr>
        <w:t xml:space="preserve"> </w:t>
      </w:r>
      <w:r>
        <w:t>grasp that thing.</w:t>
      </w:r>
    </w:p>
    <w:p w14:paraId="7E002D21" w14:textId="77777777" w:rsidR="009A58DB" w:rsidRDefault="00000000">
      <w:pPr>
        <w:pStyle w:val="BodyText"/>
        <w:spacing w:before="7" w:line="249" w:lineRule="auto"/>
        <w:ind w:right="360" w:firstLine="360"/>
      </w:pPr>
      <w:r>
        <w:t>Supposing that any given one of those people were to perish, and that all his or her mental contents were therefore to vanish, these other people could (and probably would) continue to grasp that thing; they could continue to believe</w:t>
      </w:r>
      <w:r>
        <w:rPr>
          <w:spacing w:val="-2"/>
        </w:rPr>
        <w:t xml:space="preserve"> </w:t>
      </w:r>
      <w:r>
        <w:t>it</w:t>
      </w:r>
      <w:r>
        <w:rPr>
          <w:spacing w:val="-2"/>
        </w:rPr>
        <w:t xml:space="preserve"> </w:t>
      </w:r>
      <w:r>
        <w:t>true</w:t>
      </w:r>
      <w:r>
        <w:rPr>
          <w:spacing w:val="-2"/>
        </w:rPr>
        <w:t xml:space="preserve"> </w:t>
      </w:r>
      <w:r>
        <w:t>or</w:t>
      </w:r>
      <w:r>
        <w:rPr>
          <w:spacing w:val="-1"/>
        </w:rPr>
        <w:t xml:space="preserve"> </w:t>
      </w:r>
      <w:r>
        <w:t>false</w:t>
      </w:r>
      <w:r>
        <w:rPr>
          <w:spacing w:val="-2"/>
        </w:rPr>
        <w:t xml:space="preserve"> </w:t>
      </w:r>
      <w:r>
        <w:t>or</w:t>
      </w:r>
      <w:r>
        <w:rPr>
          <w:spacing w:val="-1"/>
        </w:rPr>
        <w:t xml:space="preserve"> </w:t>
      </w:r>
      <w:r>
        <w:t>probable</w:t>
      </w:r>
      <w:r>
        <w:rPr>
          <w:spacing w:val="-2"/>
        </w:rPr>
        <w:t xml:space="preserve"> </w:t>
      </w:r>
      <w:r>
        <w:t>or</w:t>
      </w:r>
      <w:r>
        <w:rPr>
          <w:spacing w:val="-1"/>
        </w:rPr>
        <w:t xml:space="preserve"> </w:t>
      </w:r>
      <w:r>
        <w:t>whatnot.</w:t>
      </w:r>
      <w:r>
        <w:rPr>
          <w:spacing w:val="-2"/>
        </w:rPr>
        <w:t xml:space="preserve"> </w:t>
      </w:r>
      <w:r>
        <w:t>If</w:t>
      </w:r>
      <w:r>
        <w:rPr>
          <w:spacing w:val="-1"/>
        </w:rPr>
        <w:t xml:space="preserve"> </w:t>
      </w:r>
      <w:r>
        <w:t>Smith</w:t>
      </w:r>
      <w:r>
        <w:rPr>
          <w:spacing w:val="-2"/>
        </w:rPr>
        <w:t xml:space="preserve"> </w:t>
      </w:r>
      <w:r>
        <w:t>and</w:t>
      </w:r>
      <w:r>
        <w:rPr>
          <w:spacing w:val="-1"/>
        </w:rPr>
        <w:t xml:space="preserve"> </w:t>
      </w:r>
      <w:r>
        <w:t>I</w:t>
      </w:r>
      <w:r>
        <w:rPr>
          <w:spacing w:val="-2"/>
        </w:rPr>
        <w:t xml:space="preserve"> </w:t>
      </w:r>
      <w:r>
        <w:t>both</w:t>
      </w:r>
      <w:r>
        <w:rPr>
          <w:spacing w:val="-1"/>
        </w:rPr>
        <w:t xml:space="preserve"> </w:t>
      </w:r>
      <w:r>
        <w:t>believe</w:t>
      </w:r>
      <w:r>
        <w:rPr>
          <w:spacing w:val="-1"/>
        </w:rPr>
        <w:t xml:space="preserve"> </w:t>
      </w:r>
      <w:r>
        <w:t xml:space="preserve">that the inventor of bifocals is 6-feet tall, Smith’s dying won’t prevent me from continuing to believe it or, therefore, from continuing to </w:t>
      </w:r>
      <w:r>
        <w:rPr>
          <w:i/>
        </w:rPr>
        <w:t xml:space="preserve">be able </w:t>
      </w:r>
      <w:r>
        <w:t>to believe it. Smith’s death, though tragic, is irrelevant.</w:t>
      </w:r>
    </w:p>
    <w:p w14:paraId="7E002D22" w14:textId="77777777" w:rsidR="009A58DB" w:rsidRDefault="00000000">
      <w:pPr>
        <w:pStyle w:val="BodyText"/>
        <w:spacing w:before="8" w:line="249" w:lineRule="auto"/>
        <w:ind w:right="358" w:firstLine="360"/>
      </w:pPr>
      <w:r>
        <w:t xml:space="preserve">By the same logic, appropriately generalized, given </w:t>
      </w:r>
      <w:r>
        <w:rPr>
          <w:i/>
        </w:rPr>
        <w:t xml:space="preserve">any </w:t>
      </w:r>
      <w:r>
        <w:t xml:space="preserve">two people who believe or otherwise grasp </w:t>
      </w:r>
      <w:r>
        <w:rPr>
          <w:i/>
        </w:rPr>
        <w:t xml:space="preserve">any </w:t>
      </w:r>
      <w:r>
        <w:t xml:space="preserve">proposition, the existence of the one person’s mind and mental states is independent of the other person’s believing (or otherwise grasping) that proposition. </w:t>
      </w:r>
      <w:r>
        <w:rPr>
          <w:i/>
        </w:rPr>
        <w:t xml:space="preserve">Any </w:t>
      </w:r>
      <w:r>
        <w:t>one person’s mental states and events can cease to exist without in any way jeopardizing anyone’s ability to believe or disbelieve that the inventor of bifocals is 6-feet tall.</w:t>
      </w:r>
    </w:p>
    <w:p w14:paraId="7E002D23" w14:textId="77777777" w:rsidR="009A58DB" w:rsidRDefault="00000000">
      <w:pPr>
        <w:pStyle w:val="BodyText"/>
        <w:spacing w:before="8" w:line="249" w:lineRule="auto"/>
        <w:ind w:right="359" w:firstLine="360"/>
      </w:pPr>
      <w:r>
        <w:t>Thus,</w:t>
      </w:r>
      <w:r>
        <w:rPr>
          <w:spacing w:val="-3"/>
        </w:rPr>
        <w:t xml:space="preserve"> </w:t>
      </w:r>
      <w:r>
        <w:t>the</w:t>
      </w:r>
      <w:r>
        <w:rPr>
          <w:spacing w:val="-4"/>
        </w:rPr>
        <w:t xml:space="preserve"> </w:t>
      </w:r>
      <w:r>
        <w:t>thing</w:t>
      </w:r>
      <w:r>
        <w:rPr>
          <w:spacing w:val="-3"/>
        </w:rPr>
        <w:t xml:space="preserve"> </w:t>
      </w:r>
      <w:r>
        <w:t>that</w:t>
      </w:r>
      <w:r>
        <w:rPr>
          <w:spacing w:val="-4"/>
        </w:rPr>
        <w:t xml:space="preserve"> </w:t>
      </w:r>
      <w:r>
        <w:t>Smith</w:t>
      </w:r>
      <w:r>
        <w:rPr>
          <w:spacing w:val="-3"/>
        </w:rPr>
        <w:t xml:space="preserve"> </w:t>
      </w:r>
      <w:r>
        <w:t>believes—the</w:t>
      </w:r>
      <w:r>
        <w:rPr>
          <w:spacing w:val="-4"/>
        </w:rPr>
        <w:t xml:space="preserve"> </w:t>
      </w:r>
      <w:r>
        <w:rPr>
          <w:i/>
        </w:rPr>
        <w:t>object</w:t>
      </w:r>
      <w:r>
        <w:rPr>
          <w:i/>
          <w:spacing w:val="-4"/>
        </w:rPr>
        <w:t xml:space="preserve"> </w:t>
      </w:r>
      <w:r>
        <w:t>of</w:t>
      </w:r>
      <w:r>
        <w:rPr>
          <w:spacing w:val="-4"/>
        </w:rPr>
        <w:t xml:space="preserve"> </w:t>
      </w:r>
      <w:r>
        <w:t>his</w:t>
      </w:r>
      <w:r>
        <w:rPr>
          <w:spacing w:val="-4"/>
        </w:rPr>
        <w:t xml:space="preserve"> </w:t>
      </w:r>
      <w:r>
        <w:t>belief—is</w:t>
      </w:r>
      <w:r>
        <w:rPr>
          <w:spacing w:val="-4"/>
        </w:rPr>
        <w:t xml:space="preserve"> </w:t>
      </w:r>
      <w:r>
        <w:t xml:space="preserve">something that continues to exist even if any given person’s mental events and conditions cease to exist. Therefore, that thing isn’t identical with anyone’s mental states or, needless to say, with anyone’s mind in its entirety. Nor is it identical with any </w:t>
      </w:r>
      <w:r>
        <w:rPr>
          <w:i/>
        </w:rPr>
        <w:t xml:space="preserve">thing’s </w:t>
      </w:r>
      <w:r>
        <w:t>mental states. Supposing that non-humans—animals orMartians or whatever—have beliefs concerning the height of the inventor of bifocals, everything we just said holds of those beliefs. Since that thing isn’t identical with the mind or mental states of any entity, it can’t be identical</w:t>
      </w:r>
      <w:r>
        <w:rPr>
          <w:spacing w:val="47"/>
          <w:w w:val="150"/>
        </w:rPr>
        <w:t xml:space="preserve"> </w:t>
      </w:r>
      <w:r>
        <w:t>with</w:t>
      </w:r>
      <w:r>
        <w:rPr>
          <w:spacing w:val="50"/>
          <w:w w:val="150"/>
        </w:rPr>
        <w:t xml:space="preserve"> </w:t>
      </w:r>
      <w:r>
        <w:rPr>
          <w:i/>
        </w:rPr>
        <w:t>any</w:t>
      </w:r>
      <w:r>
        <w:rPr>
          <w:i/>
          <w:spacing w:val="49"/>
          <w:w w:val="150"/>
        </w:rPr>
        <w:t xml:space="preserve"> </w:t>
      </w:r>
      <w:r>
        <w:t>mental</w:t>
      </w:r>
      <w:r>
        <w:rPr>
          <w:spacing w:val="58"/>
          <w:w w:val="150"/>
        </w:rPr>
        <w:t xml:space="preserve"> </w:t>
      </w:r>
      <w:r>
        <w:t>entity.</w:t>
      </w:r>
      <w:r>
        <w:rPr>
          <w:spacing w:val="58"/>
          <w:w w:val="150"/>
        </w:rPr>
        <w:t xml:space="preserve"> </w:t>
      </w:r>
      <w:r>
        <w:t>To</w:t>
      </w:r>
      <w:r>
        <w:rPr>
          <w:spacing w:val="58"/>
          <w:w w:val="150"/>
        </w:rPr>
        <w:t xml:space="preserve"> </w:t>
      </w:r>
      <w:r>
        <w:t>deny</w:t>
      </w:r>
      <w:r>
        <w:rPr>
          <w:spacing w:val="58"/>
          <w:w w:val="150"/>
        </w:rPr>
        <w:t xml:space="preserve"> </w:t>
      </w:r>
      <w:r>
        <w:t>this</w:t>
      </w:r>
      <w:r>
        <w:rPr>
          <w:spacing w:val="58"/>
          <w:w w:val="150"/>
        </w:rPr>
        <w:t xml:space="preserve"> </w:t>
      </w:r>
      <w:r>
        <w:t>would</w:t>
      </w:r>
      <w:r>
        <w:rPr>
          <w:spacing w:val="58"/>
          <w:w w:val="150"/>
        </w:rPr>
        <w:t xml:space="preserve"> </w:t>
      </w:r>
      <w:r>
        <w:t>be</w:t>
      </w:r>
      <w:r>
        <w:rPr>
          <w:spacing w:val="58"/>
          <w:w w:val="150"/>
        </w:rPr>
        <w:t xml:space="preserve"> </w:t>
      </w:r>
      <w:r>
        <w:t>to</w:t>
      </w:r>
      <w:r>
        <w:rPr>
          <w:spacing w:val="58"/>
          <w:w w:val="150"/>
        </w:rPr>
        <w:t xml:space="preserve"> </w:t>
      </w:r>
      <w:r>
        <w:t>affirm</w:t>
      </w:r>
      <w:r>
        <w:rPr>
          <w:spacing w:val="59"/>
          <w:w w:val="150"/>
        </w:rPr>
        <w:t xml:space="preserve"> </w:t>
      </w:r>
      <w:r>
        <w:rPr>
          <w:spacing w:val="-5"/>
        </w:rPr>
        <w:t>the</w:t>
      </w:r>
    </w:p>
    <w:p w14:paraId="7E002D2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25" w14:textId="77777777" w:rsidR="009A58DB" w:rsidRDefault="00000000">
      <w:pPr>
        <w:pStyle w:val="BodyText"/>
        <w:spacing w:before="65"/>
      </w:pPr>
      <w:r>
        <w:t>absurdity</w:t>
      </w:r>
      <w:r>
        <w:rPr>
          <w:spacing w:val="-5"/>
        </w:rPr>
        <w:t xml:space="preserve"> </w:t>
      </w:r>
      <w:r>
        <w:t>that</w:t>
      </w:r>
      <w:r>
        <w:rPr>
          <w:spacing w:val="-4"/>
        </w:rPr>
        <w:t xml:space="preserve"> </w:t>
      </w:r>
      <w:r>
        <w:t>there</w:t>
      </w:r>
      <w:r>
        <w:rPr>
          <w:spacing w:val="-4"/>
        </w:rPr>
        <w:t xml:space="preserve"> </w:t>
      </w:r>
      <w:r>
        <w:t>is</w:t>
      </w:r>
      <w:r>
        <w:rPr>
          <w:spacing w:val="-4"/>
        </w:rPr>
        <w:t xml:space="preserve"> </w:t>
      </w:r>
      <w:r>
        <w:t>a</w:t>
      </w:r>
      <w:r>
        <w:rPr>
          <w:spacing w:val="-4"/>
        </w:rPr>
        <w:t xml:space="preserve"> </w:t>
      </w:r>
      <w:r>
        <w:t>mental</w:t>
      </w:r>
      <w:r>
        <w:rPr>
          <w:spacing w:val="-4"/>
        </w:rPr>
        <w:t xml:space="preserve"> </w:t>
      </w:r>
      <w:r>
        <w:t>thing</w:t>
      </w:r>
      <w:r>
        <w:rPr>
          <w:spacing w:val="-3"/>
        </w:rPr>
        <w:t xml:space="preserve"> </w:t>
      </w:r>
      <w:r>
        <w:t>which</w:t>
      </w:r>
      <w:r>
        <w:rPr>
          <w:spacing w:val="-3"/>
        </w:rPr>
        <w:t xml:space="preserve"> </w:t>
      </w:r>
      <w:r>
        <w:t>isn’t</w:t>
      </w:r>
      <w:r>
        <w:rPr>
          <w:spacing w:val="-4"/>
        </w:rPr>
        <w:t xml:space="preserve"> </w:t>
      </w:r>
      <w:r>
        <w:t>any</w:t>
      </w:r>
      <w:r>
        <w:rPr>
          <w:spacing w:val="-3"/>
        </w:rPr>
        <w:t xml:space="preserve"> </w:t>
      </w:r>
      <w:r>
        <w:t>particular</w:t>
      </w:r>
      <w:r>
        <w:rPr>
          <w:spacing w:val="-4"/>
        </w:rPr>
        <w:t xml:space="preserve"> </w:t>
      </w:r>
      <w:r>
        <w:t>mental</w:t>
      </w:r>
      <w:r>
        <w:rPr>
          <w:spacing w:val="-3"/>
        </w:rPr>
        <w:t xml:space="preserve"> </w:t>
      </w:r>
      <w:r>
        <w:rPr>
          <w:spacing w:val="-2"/>
        </w:rPr>
        <w:t>thing.</w:t>
      </w:r>
    </w:p>
    <w:p w14:paraId="7E002D26" w14:textId="77777777" w:rsidR="009A58DB" w:rsidRDefault="00000000">
      <w:pPr>
        <w:pStyle w:val="BodyText"/>
        <w:spacing w:before="15" w:line="249" w:lineRule="auto"/>
        <w:ind w:right="362" w:firstLine="360"/>
      </w:pPr>
      <w:r>
        <w:t>What, more exactly, is the nature of this thing? What, in general, are propositions? (In other words, what is the nature of the things that are the objects of belief and disbelief? We don’t have to worry about that right now; it’s irrelevant to what we’re about to say. But it is thoroughly answered in Chapter 3.)</w:t>
      </w:r>
    </w:p>
    <w:p w14:paraId="7E002D27" w14:textId="77777777" w:rsidR="009A58DB" w:rsidRDefault="00000000">
      <w:pPr>
        <w:pStyle w:val="BodyText"/>
        <w:spacing w:before="6" w:line="249" w:lineRule="auto"/>
        <w:ind w:right="370" w:firstLine="360"/>
      </w:pPr>
      <w:r>
        <w:t xml:space="preserve">Additional commentary: Propositions have the distinctive and crucially important property of being </w:t>
      </w:r>
      <w:r>
        <w:rPr>
          <w:i/>
        </w:rPr>
        <w:t xml:space="preserve">non-derivatively true or false. </w:t>
      </w:r>
      <w:r>
        <w:t>What does this mean? Propositions are obviously true or false. (It’s true that Finland is in Europe; it’s false that it’s an island in the Pacific Ocean.)</w:t>
      </w:r>
    </w:p>
    <w:p w14:paraId="7E002D28" w14:textId="77777777" w:rsidR="009A58DB" w:rsidRDefault="00000000">
      <w:pPr>
        <w:pStyle w:val="BodyText"/>
        <w:spacing w:before="5" w:line="249" w:lineRule="auto"/>
        <w:ind w:right="359" w:firstLine="360"/>
      </w:pPr>
      <w:r>
        <w:t>To be sure, things other than propositions are true or false (e.g., sentences and beliefs). The sentence “Finland is in Europe” is true. But that sentence is true</w:t>
      </w:r>
      <w:r>
        <w:rPr>
          <w:spacing w:val="-4"/>
        </w:rPr>
        <w:t xml:space="preserve"> </w:t>
      </w:r>
      <w:r>
        <w:rPr>
          <w:i/>
        </w:rPr>
        <w:t xml:space="preserve">only by virtue of its association with the corresponding proposition. </w:t>
      </w:r>
      <w:r>
        <w:t>That sentence is true only because it expresses a true proposition. So it’s really the proposition</w:t>
      </w:r>
      <w:r>
        <w:rPr>
          <w:spacing w:val="-3"/>
        </w:rPr>
        <w:t xml:space="preserve"> </w:t>
      </w:r>
      <w:r>
        <w:t>that</w:t>
      </w:r>
      <w:r>
        <w:rPr>
          <w:spacing w:val="-3"/>
        </w:rPr>
        <w:t xml:space="preserve"> </w:t>
      </w:r>
      <w:r>
        <w:t>deserves</w:t>
      </w:r>
      <w:r>
        <w:rPr>
          <w:spacing w:val="-3"/>
        </w:rPr>
        <w:t xml:space="preserve"> </w:t>
      </w:r>
      <w:r>
        <w:t>to</w:t>
      </w:r>
      <w:r>
        <w:rPr>
          <w:spacing w:val="-3"/>
        </w:rPr>
        <w:t xml:space="preserve"> </w:t>
      </w:r>
      <w:r>
        <w:t>be</w:t>
      </w:r>
      <w:r>
        <w:rPr>
          <w:spacing w:val="-3"/>
        </w:rPr>
        <w:t xml:space="preserve"> </w:t>
      </w:r>
      <w:r>
        <w:t>described,</w:t>
      </w:r>
      <w:r>
        <w:rPr>
          <w:spacing w:val="-3"/>
        </w:rPr>
        <w:t xml:space="preserve"> </w:t>
      </w:r>
      <w:r>
        <w:t>without</w:t>
      </w:r>
      <w:r>
        <w:rPr>
          <w:spacing w:val="-3"/>
        </w:rPr>
        <w:t xml:space="preserve"> </w:t>
      </w:r>
      <w:r>
        <w:t>qualification,</w:t>
      </w:r>
      <w:r>
        <w:rPr>
          <w:spacing w:val="-3"/>
        </w:rPr>
        <w:t xml:space="preserve"> </w:t>
      </w:r>
      <w:r>
        <w:t>as</w:t>
      </w:r>
      <w:r>
        <w:rPr>
          <w:spacing w:val="-3"/>
        </w:rPr>
        <w:t xml:space="preserve"> </w:t>
      </w:r>
      <w:r>
        <w:t>“true”;</w:t>
      </w:r>
      <w:r>
        <w:rPr>
          <w:spacing w:val="-3"/>
        </w:rPr>
        <w:t xml:space="preserve"> </w:t>
      </w:r>
      <w:r>
        <w:t xml:space="preserve">and when we say of the sentence that it’s “true,” we’re using the word “true” to pick out a related, but distinct, property; we’re using it to pick out the property of </w:t>
      </w:r>
      <w:r>
        <w:rPr>
          <w:i/>
        </w:rPr>
        <w:t xml:space="preserve">encoding </w:t>
      </w:r>
      <w:r>
        <w:t>something that’s true.</w:t>
      </w:r>
    </w:p>
    <w:p w14:paraId="7E002D29" w14:textId="77777777" w:rsidR="009A58DB" w:rsidRDefault="00000000">
      <w:pPr>
        <w:pStyle w:val="BodyText"/>
        <w:spacing w:before="10" w:line="249" w:lineRule="auto"/>
        <w:ind w:right="358" w:firstLine="360"/>
      </w:pPr>
      <w:r>
        <w:t xml:space="preserve">And these, it must be stressed, are very different properties. It’s one thing to have the property of being true. (The proposition </w:t>
      </w:r>
      <w:r>
        <w:rPr>
          <w:i/>
        </w:rPr>
        <w:t xml:space="preserve">Finland is in Europe </w:t>
      </w:r>
      <w:r>
        <w:t xml:space="preserve">has that property. It’s quite another to have the property of </w:t>
      </w:r>
      <w:r>
        <w:rPr>
          <w:i/>
        </w:rPr>
        <w:t xml:space="preserve">encoding </w:t>
      </w:r>
      <w:r>
        <w:t xml:space="preserve">something true.) The sentence “Finland is in Europe” has </w:t>
      </w:r>
      <w:r>
        <w:rPr>
          <w:i/>
        </w:rPr>
        <w:t xml:space="preserve">that </w:t>
      </w:r>
      <w:r>
        <w:t xml:space="preserve">property. But the corresponding proposition does </w:t>
      </w:r>
      <w:r>
        <w:rPr>
          <w:i/>
        </w:rPr>
        <w:t xml:space="preserve">not </w:t>
      </w:r>
      <w:r>
        <w:t>have it, since propositions, unlike sentences, don’t encode anything.</w:t>
      </w:r>
    </w:p>
    <w:p w14:paraId="7E002D2A" w14:textId="77777777" w:rsidR="009A58DB" w:rsidRDefault="00000000">
      <w:pPr>
        <w:pStyle w:val="BodyText"/>
        <w:spacing w:before="7" w:line="249" w:lineRule="auto"/>
        <w:ind w:right="361" w:firstLine="360"/>
      </w:pPr>
      <w:r>
        <w:t xml:space="preserve">What we just said about sentences is true of beliefs. My belief that Finland’s in Europe is “true.” But it’s true </w:t>
      </w:r>
      <w:r>
        <w:rPr>
          <w:i/>
        </w:rPr>
        <w:t>only because of its association</w:t>
      </w:r>
      <w:r>
        <w:rPr>
          <w:i/>
          <w:spacing w:val="40"/>
        </w:rPr>
        <w:t xml:space="preserve"> </w:t>
      </w:r>
      <w:r>
        <w:rPr>
          <w:i/>
        </w:rPr>
        <w:t xml:space="preserve">with a true proposition. </w:t>
      </w:r>
      <w:r>
        <w:t>In other words, it’s “true” in the sense that it has for its content something that is true. Put another way, the thing which that belief is</w:t>
      </w:r>
      <w:r>
        <w:rPr>
          <w:spacing w:val="-3"/>
        </w:rPr>
        <w:t xml:space="preserve"> </w:t>
      </w:r>
      <w:r>
        <w:t>a</w:t>
      </w:r>
      <w:r>
        <w:rPr>
          <w:spacing w:val="-3"/>
        </w:rPr>
        <w:t xml:space="preserve"> </w:t>
      </w:r>
      <w:r>
        <w:t>belief</w:t>
      </w:r>
      <w:r>
        <w:rPr>
          <w:spacing w:val="-3"/>
        </w:rPr>
        <w:t xml:space="preserve"> </w:t>
      </w:r>
      <w:r>
        <w:rPr>
          <w:i/>
        </w:rPr>
        <w:t>in</w:t>
      </w:r>
      <w:r>
        <w:rPr>
          <w:i/>
          <w:spacing w:val="-2"/>
        </w:rPr>
        <w:t xml:space="preserve"> </w:t>
      </w:r>
      <w:r>
        <w:t>is</w:t>
      </w:r>
      <w:r>
        <w:rPr>
          <w:spacing w:val="-3"/>
        </w:rPr>
        <w:t xml:space="preserve"> </w:t>
      </w:r>
      <w:r>
        <w:t>true,</w:t>
      </w:r>
      <w:r>
        <w:rPr>
          <w:spacing w:val="-2"/>
        </w:rPr>
        <w:t xml:space="preserve"> </w:t>
      </w:r>
      <w:r>
        <w:t>and</w:t>
      </w:r>
      <w:r>
        <w:rPr>
          <w:spacing w:val="-2"/>
        </w:rPr>
        <w:t xml:space="preserve"> </w:t>
      </w:r>
      <w:r>
        <w:t>the</w:t>
      </w:r>
      <w:r>
        <w:rPr>
          <w:spacing w:val="-3"/>
        </w:rPr>
        <w:t xml:space="preserve"> </w:t>
      </w:r>
      <w:r>
        <w:t>belief</w:t>
      </w:r>
      <w:r>
        <w:rPr>
          <w:spacing w:val="-3"/>
        </w:rPr>
        <w:t xml:space="preserve"> </w:t>
      </w:r>
      <w:r>
        <w:t>is</w:t>
      </w:r>
      <w:r>
        <w:rPr>
          <w:spacing w:val="-3"/>
        </w:rPr>
        <w:t xml:space="preserve"> </w:t>
      </w:r>
      <w:r>
        <w:t>“true”</w:t>
      </w:r>
      <w:r>
        <w:rPr>
          <w:spacing w:val="-3"/>
        </w:rPr>
        <w:t xml:space="preserve"> </w:t>
      </w:r>
      <w:r>
        <w:t>only</w:t>
      </w:r>
      <w:r>
        <w:rPr>
          <w:spacing w:val="-2"/>
        </w:rPr>
        <w:t xml:space="preserve"> </w:t>
      </w:r>
      <w:r>
        <w:t>in</w:t>
      </w:r>
      <w:r>
        <w:rPr>
          <w:spacing w:val="-2"/>
        </w:rPr>
        <w:t xml:space="preserve"> </w:t>
      </w:r>
      <w:r>
        <w:t>the</w:t>
      </w:r>
      <w:r>
        <w:rPr>
          <w:spacing w:val="-3"/>
        </w:rPr>
        <w:t xml:space="preserve"> </w:t>
      </w:r>
      <w:r>
        <w:t>second-class</w:t>
      </w:r>
      <w:r>
        <w:rPr>
          <w:spacing w:val="-3"/>
        </w:rPr>
        <w:t xml:space="preserve"> </w:t>
      </w:r>
      <w:r>
        <w:t>sense</w:t>
      </w:r>
      <w:r>
        <w:rPr>
          <w:spacing w:val="-3"/>
        </w:rPr>
        <w:t xml:space="preserve"> </w:t>
      </w:r>
      <w:r>
        <w:t>that it has this association with this other thing—this other being something that, unlike the sentence, is true in a first-class, non-derivative sense.</w:t>
      </w:r>
    </w:p>
    <w:p w14:paraId="7E002D2B" w14:textId="77777777" w:rsidR="009A58DB" w:rsidRDefault="00000000">
      <w:pPr>
        <w:pStyle w:val="BodyText"/>
        <w:spacing w:before="9" w:line="249" w:lineRule="auto"/>
        <w:ind w:right="359" w:firstLine="360"/>
      </w:pPr>
      <w:r>
        <w:t>Propositions are thus “non-derivatively true,” whereas beliefs and sentences are “derivatively true.” For this reason, propositions are sometimes defined as “non-derivative bearers of truth and falsity.”</w:t>
      </w:r>
    </w:p>
    <w:p w14:paraId="7E002D2C" w14:textId="77777777" w:rsidR="009A58DB" w:rsidRDefault="00000000">
      <w:pPr>
        <w:pStyle w:val="BodyText"/>
        <w:spacing w:before="3" w:line="249" w:lineRule="auto"/>
        <w:ind w:right="359" w:firstLine="360"/>
      </w:pPr>
      <w:r>
        <w:t>We thus have three different definitions of “proposition”: (i) thing meant by a sentence; (ii) thing towards which one can have an attitude (e.g., belief,</w:t>
      </w:r>
    </w:p>
    <w:p w14:paraId="7E002D2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2E" w14:textId="77777777" w:rsidR="009A58DB" w:rsidRDefault="00000000">
      <w:pPr>
        <w:pStyle w:val="BodyText"/>
        <w:spacing w:before="65" w:line="249" w:lineRule="auto"/>
        <w:ind w:right="363"/>
      </w:pPr>
      <w:r>
        <w:t>disbelief, fear, hope); (iii) non-derivative bearer of truth or falsity. While no one of these definitions is 100% accurate each is accurate to a high degree of approximation; and while no two of them are precisely equivalent (i.e., while no two of them pick out precisely the same class of entities), any two of them are almost equivalent (i.e., the classes picked out by any two of them overlap to a very high degree).</w:t>
      </w:r>
    </w:p>
    <w:p w14:paraId="7E002D2F" w14:textId="77777777" w:rsidR="009A58DB" w:rsidRDefault="009A58DB">
      <w:pPr>
        <w:pStyle w:val="BodyText"/>
        <w:spacing w:before="22"/>
        <w:ind w:left="0"/>
        <w:jc w:val="left"/>
      </w:pPr>
    </w:p>
    <w:p w14:paraId="7E002D30" w14:textId="77777777" w:rsidR="009A58DB" w:rsidRDefault="00000000">
      <w:pPr>
        <w:spacing w:line="249" w:lineRule="auto"/>
        <w:ind w:left="360" w:right="360"/>
        <w:jc w:val="both"/>
        <w:rPr>
          <w:sz w:val="30"/>
        </w:rPr>
      </w:pPr>
      <w:r>
        <w:rPr>
          <w:b/>
          <w:i/>
          <w:sz w:val="30"/>
        </w:rPr>
        <w:t xml:space="preserve">Propositional attitudes: </w:t>
      </w:r>
      <w:r>
        <w:rPr>
          <w:sz w:val="30"/>
        </w:rPr>
        <w:t xml:space="preserve">Propositions are the things we affirm. They are also the things towards which belief, doubt, fear, and all other </w:t>
      </w:r>
      <w:r>
        <w:rPr>
          <w:i/>
          <w:sz w:val="30"/>
        </w:rPr>
        <w:t xml:space="preserve">attitudes </w:t>
      </w:r>
      <w:r>
        <w:rPr>
          <w:sz w:val="30"/>
        </w:rPr>
        <w:t xml:space="preserve">are directed. One can’t just believe; one must believe that snow is white or that grass is green. One can’t just fear; one must fear </w:t>
      </w:r>
      <w:r>
        <w:rPr>
          <w:i/>
          <w:sz w:val="30"/>
        </w:rPr>
        <w:t>that Mary will come home before tomorrow</w:t>
      </w:r>
      <w:r>
        <w:rPr>
          <w:sz w:val="30"/>
        </w:rPr>
        <w:t>, or some such.</w:t>
      </w:r>
    </w:p>
    <w:p w14:paraId="7E002D31" w14:textId="77777777" w:rsidR="009A58DB" w:rsidRDefault="00000000">
      <w:pPr>
        <w:pStyle w:val="BodyText"/>
        <w:spacing w:before="6" w:line="249" w:lineRule="auto"/>
        <w:ind w:right="358" w:firstLine="360"/>
      </w:pPr>
      <w:r>
        <w:t xml:space="preserve">We’ll see in a moment that there are things other than propositions that we believe, doubt, etc. But, though it’s therefore not entirely accurate to say that propositions are </w:t>
      </w:r>
      <w:r>
        <w:rPr>
          <w:i/>
        </w:rPr>
        <w:t xml:space="preserve">the </w:t>
      </w:r>
      <w:r>
        <w:t>things we believe, doubt, etc., it’s a good point of departure; and, for the time being, we’ll assume it’s truth.</w:t>
      </w:r>
    </w:p>
    <w:p w14:paraId="7E002D32" w14:textId="77777777" w:rsidR="009A58DB" w:rsidRDefault="00000000">
      <w:pPr>
        <w:pStyle w:val="BodyText"/>
        <w:spacing w:before="5" w:line="249" w:lineRule="auto"/>
        <w:ind w:right="364" w:firstLine="360"/>
      </w:pPr>
      <w:r>
        <w:t>In believing that Sally will come home tomorrow, one has a certain propositional</w:t>
      </w:r>
      <w:r>
        <w:rPr>
          <w:spacing w:val="-4"/>
        </w:rPr>
        <w:t xml:space="preserve"> </w:t>
      </w:r>
      <w:r>
        <w:rPr>
          <w:i/>
        </w:rPr>
        <w:t xml:space="preserve">attitude. </w:t>
      </w:r>
      <w:r>
        <w:t>In fearing it, one has a different propositional attitude. The proposition is the same, but the attitude has changed. In wondering whether</w:t>
      </w:r>
      <w:r>
        <w:rPr>
          <w:spacing w:val="-4"/>
        </w:rPr>
        <w:t xml:space="preserve"> </w:t>
      </w:r>
      <w:r>
        <w:t>Sally</w:t>
      </w:r>
      <w:r>
        <w:rPr>
          <w:spacing w:val="-3"/>
        </w:rPr>
        <w:t xml:space="preserve"> </w:t>
      </w:r>
      <w:r>
        <w:t>will</w:t>
      </w:r>
      <w:r>
        <w:rPr>
          <w:spacing w:val="-4"/>
        </w:rPr>
        <w:t xml:space="preserve"> </w:t>
      </w:r>
      <w:r>
        <w:t>come</w:t>
      </w:r>
      <w:r>
        <w:rPr>
          <w:spacing w:val="-4"/>
        </w:rPr>
        <w:t xml:space="preserve"> </w:t>
      </w:r>
      <w:r>
        <w:t>home,</w:t>
      </w:r>
      <w:r>
        <w:rPr>
          <w:spacing w:val="-3"/>
        </w:rPr>
        <w:t xml:space="preserve"> </w:t>
      </w:r>
      <w:r>
        <w:t>one</w:t>
      </w:r>
      <w:r>
        <w:rPr>
          <w:spacing w:val="-4"/>
        </w:rPr>
        <w:t xml:space="preserve"> </w:t>
      </w:r>
      <w:r>
        <w:t>has</w:t>
      </w:r>
      <w:r>
        <w:rPr>
          <w:spacing w:val="-4"/>
        </w:rPr>
        <w:t xml:space="preserve"> </w:t>
      </w:r>
      <w:r>
        <w:t>yet</w:t>
      </w:r>
      <w:r>
        <w:rPr>
          <w:spacing w:val="-4"/>
        </w:rPr>
        <w:t xml:space="preserve"> </w:t>
      </w:r>
      <w:r>
        <w:t>another</w:t>
      </w:r>
      <w:r>
        <w:rPr>
          <w:spacing w:val="-4"/>
        </w:rPr>
        <w:t xml:space="preserve"> </w:t>
      </w:r>
      <w:r>
        <w:t>attitude</w:t>
      </w:r>
      <w:r>
        <w:rPr>
          <w:spacing w:val="-4"/>
        </w:rPr>
        <w:t xml:space="preserve"> </w:t>
      </w:r>
      <w:r>
        <w:t>towards</w:t>
      </w:r>
      <w:r>
        <w:rPr>
          <w:spacing w:val="-4"/>
        </w:rPr>
        <w:t xml:space="preserve"> </w:t>
      </w:r>
      <w:r>
        <w:t>that</w:t>
      </w:r>
      <w:r>
        <w:rPr>
          <w:spacing w:val="-4"/>
        </w:rPr>
        <w:t xml:space="preserve"> </w:t>
      </w:r>
      <w:r>
        <w:t>same proposition. Belief, doubt, wonder, etc., are thus “propositional attitudes.”</w:t>
      </w:r>
    </w:p>
    <w:p w14:paraId="7E002D33" w14:textId="77777777" w:rsidR="009A58DB" w:rsidRDefault="00000000">
      <w:pPr>
        <w:pStyle w:val="BodyText"/>
        <w:spacing w:before="6" w:line="249" w:lineRule="auto"/>
        <w:ind w:right="359" w:firstLine="360"/>
      </w:pPr>
      <w:r>
        <w:t>Knowing</w:t>
      </w:r>
      <w:r>
        <w:rPr>
          <w:spacing w:val="-4"/>
        </w:rPr>
        <w:t xml:space="preserve"> </w:t>
      </w:r>
      <w:r>
        <w:t>what</w:t>
      </w:r>
      <w:r>
        <w:rPr>
          <w:spacing w:val="-5"/>
        </w:rPr>
        <w:t xml:space="preserve"> </w:t>
      </w:r>
      <w:r>
        <w:t>is</w:t>
      </w:r>
      <w:r>
        <w:rPr>
          <w:spacing w:val="-5"/>
        </w:rPr>
        <w:t xml:space="preserve"> </w:t>
      </w:r>
      <w:r>
        <w:t>going</w:t>
      </w:r>
      <w:r>
        <w:rPr>
          <w:spacing w:val="-4"/>
        </w:rPr>
        <w:t xml:space="preserve"> </w:t>
      </w:r>
      <w:r>
        <w:t>on</w:t>
      </w:r>
      <w:r>
        <w:rPr>
          <w:spacing w:val="-4"/>
        </w:rPr>
        <w:t xml:space="preserve"> </w:t>
      </w:r>
      <w:r>
        <w:t>in</w:t>
      </w:r>
      <w:r>
        <w:rPr>
          <w:spacing w:val="-4"/>
        </w:rPr>
        <w:t xml:space="preserve"> </w:t>
      </w:r>
      <w:r>
        <w:t>somebody’s</w:t>
      </w:r>
      <w:r>
        <w:rPr>
          <w:spacing w:val="-5"/>
        </w:rPr>
        <w:t xml:space="preserve"> </w:t>
      </w:r>
      <w:r>
        <w:t>mind</w:t>
      </w:r>
      <w:r>
        <w:rPr>
          <w:spacing w:val="-4"/>
        </w:rPr>
        <w:t xml:space="preserve"> </w:t>
      </w:r>
      <w:r>
        <w:t>consists</w:t>
      </w:r>
      <w:r>
        <w:rPr>
          <w:spacing w:val="-5"/>
        </w:rPr>
        <w:t xml:space="preserve"> </w:t>
      </w:r>
      <w:r>
        <w:t>largely,</w:t>
      </w:r>
      <w:r>
        <w:rPr>
          <w:spacing w:val="-4"/>
        </w:rPr>
        <w:t xml:space="preserve"> </w:t>
      </w:r>
      <w:r>
        <w:t>though</w:t>
      </w:r>
      <w:r>
        <w:rPr>
          <w:spacing w:val="-4"/>
        </w:rPr>
        <w:t xml:space="preserve"> </w:t>
      </w:r>
      <w:r>
        <w:t>by no means entirely, in knowing what that person’s propositional attitudes are. And to know this, one must know which propositions are the objects of that person’s mentation; and one must also know, for any given one of those propositions, which attitude that person has towards it. To know what is</w:t>
      </w:r>
      <w:r>
        <w:rPr>
          <w:spacing w:val="40"/>
        </w:rPr>
        <w:t xml:space="preserve"> </w:t>
      </w:r>
      <w:r>
        <w:t xml:space="preserve">going in Larry’s mind, it isn’t enough to know that the </w:t>
      </w:r>
      <w:r>
        <w:rPr>
          <w:i/>
        </w:rPr>
        <w:t>object</w:t>
      </w:r>
      <w:r>
        <w:rPr>
          <w:i/>
          <w:spacing w:val="-3"/>
        </w:rPr>
        <w:t xml:space="preserve"> </w:t>
      </w:r>
      <w:r>
        <w:t>of his thoughts is</w:t>
      </w:r>
      <w:r>
        <w:rPr>
          <w:spacing w:val="-3"/>
        </w:rPr>
        <w:t xml:space="preserve"> </w:t>
      </w:r>
      <w:r>
        <w:t>the</w:t>
      </w:r>
      <w:r>
        <w:rPr>
          <w:spacing w:val="-3"/>
        </w:rPr>
        <w:t xml:space="preserve"> </w:t>
      </w:r>
      <w:r>
        <w:t>proposition</w:t>
      </w:r>
      <w:r>
        <w:rPr>
          <w:spacing w:val="-2"/>
        </w:rPr>
        <w:t xml:space="preserve"> </w:t>
      </w:r>
      <w:r>
        <w:rPr>
          <w:i/>
        </w:rPr>
        <w:t xml:space="preserve">Sally will come tomorrow; </w:t>
      </w:r>
      <w:r>
        <w:t>one must also know what sort of attitude he has towards that proposition. Does he believe it? Hope that it’s true? Fear that it’s true? And one must have comparable knowledge of every other proposition that is the object of Larry’s thought. If one doesn’t have such knowledge, one is ignorant of an extremely important dimension of Larry’s existence; and if one does have it, one knows much about Larry—but not everything.</w:t>
      </w:r>
    </w:p>
    <w:p w14:paraId="7E002D34" w14:textId="77777777" w:rsidR="009A58DB" w:rsidRDefault="00000000">
      <w:pPr>
        <w:pStyle w:val="BodyText"/>
        <w:spacing w:before="16" w:line="249" w:lineRule="auto"/>
        <w:ind w:right="360" w:firstLine="360"/>
      </w:pPr>
      <w:r>
        <w:t>Why not everything? Because not everything mental is a propositional attitude.</w:t>
      </w:r>
      <w:r>
        <w:rPr>
          <w:spacing w:val="-4"/>
        </w:rPr>
        <w:t xml:space="preserve"> </w:t>
      </w:r>
      <w:r>
        <w:t>Nothing</w:t>
      </w:r>
      <w:r>
        <w:rPr>
          <w:spacing w:val="-4"/>
        </w:rPr>
        <w:t xml:space="preserve"> </w:t>
      </w:r>
      <w:r>
        <w:t>that</w:t>
      </w:r>
      <w:r>
        <w:rPr>
          <w:spacing w:val="-5"/>
        </w:rPr>
        <w:t xml:space="preserve"> </w:t>
      </w:r>
      <w:r>
        <w:t>isn’t</w:t>
      </w:r>
      <w:r>
        <w:rPr>
          <w:spacing w:val="-5"/>
        </w:rPr>
        <w:t xml:space="preserve"> </w:t>
      </w:r>
      <w:r>
        <w:rPr>
          <w:i/>
        </w:rPr>
        <w:t>content-bearing</w:t>
      </w:r>
      <w:r>
        <w:rPr>
          <w:i/>
          <w:spacing w:val="-5"/>
        </w:rPr>
        <w:t xml:space="preserve"> </w:t>
      </w:r>
      <w:r>
        <w:t>is a propositional attitude. (To say</w:t>
      </w:r>
    </w:p>
    <w:p w14:paraId="7E002D3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36" w14:textId="77777777" w:rsidR="009A58DB" w:rsidRDefault="00000000">
      <w:pPr>
        <w:pStyle w:val="BodyText"/>
        <w:spacing w:before="65" w:line="249" w:lineRule="auto"/>
        <w:ind w:right="361"/>
      </w:pPr>
      <w:r>
        <w:t>of something mental that it’s “content-bearing” is to say that it bears some kind of message. So my current visual perception is content-bearing, since it tells me that there’s a computer screen in front of me. My headache isn’t content-bearing, since it doesn’t bear any message; it’s merely felt.) And many mental entities that are content-bearing aren’t propositional attitudes, the reason being that not all contents are propositions. See “propositions.”</w:t>
      </w:r>
    </w:p>
    <w:p w14:paraId="7E002D37" w14:textId="77777777" w:rsidR="009A58DB" w:rsidRDefault="009A58DB">
      <w:pPr>
        <w:pStyle w:val="BodyText"/>
        <w:spacing w:before="22"/>
        <w:ind w:left="0"/>
        <w:jc w:val="left"/>
      </w:pPr>
    </w:p>
    <w:p w14:paraId="7E002D38" w14:textId="77777777" w:rsidR="009A58DB" w:rsidRDefault="00000000">
      <w:pPr>
        <w:pStyle w:val="BodyText"/>
        <w:spacing w:line="249" w:lineRule="auto"/>
        <w:ind w:right="358"/>
      </w:pPr>
      <w:r>
        <w:rPr>
          <w:b/>
          <w:i/>
        </w:rPr>
        <w:t xml:space="preserve">Qua: </w:t>
      </w:r>
      <w:r>
        <w:t>Synonym of “in virtue of.” Larry eats a fish. He’s allergic to all food-products that contain protein X. This particular fish (though not others) contains X. So Larry falls ill. Jerry eats a fish; he isn’t allergic to fish, but the fish he eats is rotten. So he falls ill. What made Larry sick wasn’t his eating a fish; it was his eating something that had X in it. That thing happened to be a fish,</w:t>
      </w:r>
      <w:r>
        <w:rPr>
          <w:spacing w:val="-2"/>
        </w:rPr>
        <w:t xml:space="preserve"> </w:t>
      </w:r>
      <w:r>
        <w:t>but</w:t>
      </w:r>
      <w:r>
        <w:rPr>
          <w:spacing w:val="-3"/>
        </w:rPr>
        <w:t xml:space="preserve"> </w:t>
      </w:r>
      <w:r>
        <w:t>that</w:t>
      </w:r>
      <w:r>
        <w:rPr>
          <w:spacing w:val="-3"/>
        </w:rPr>
        <w:t xml:space="preserve"> </w:t>
      </w:r>
      <w:r>
        <w:t>wasn’t</w:t>
      </w:r>
      <w:r>
        <w:rPr>
          <w:spacing w:val="-3"/>
        </w:rPr>
        <w:t xml:space="preserve"> </w:t>
      </w:r>
      <w:r>
        <w:t>what</w:t>
      </w:r>
      <w:r>
        <w:rPr>
          <w:spacing w:val="-3"/>
        </w:rPr>
        <w:t xml:space="preserve"> </w:t>
      </w:r>
      <w:r>
        <w:t>was</w:t>
      </w:r>
      <w:r>
        <w:rPr>
          <w:spacing w:val="-3"/>
        </w:rPr>
        <w:t xml:space="preserve"> </w:t>
      </w:r>
      <w:r>
        <w:t>operative.</w:t>
      </w:r>
      <w:r>
        <w:rPr>
          <w:spacing w:val="-2"/>
        </w:rPr>
        <w:t xml:space="preserve"> </w:t>
      </w:r>
      <w:r>
        <w:t>Thus,</w:t>
      </w:r>
      <w:r>
        <w:rPr>
          <w:spacing w:val="-2"/>
        </w:rPr>
        <w:t xml:space="preserve"> </w:t>
      </w:r>
      <w:r>
        <w:t>it</w:t>
      </w:r>
      <w:r>
        <w:rPr>
          <w:spacing w:val="-3"/>
        </w:rPr>
        <w:t xml:space="preserve"> </w:t>
      </w:r>
      <w:r>
        <w:t>wasn’t</w:t>
      </w:r>
      <w:r>
        <w:rPr>
          <w:spacing w:val="-3"/>
        </w:rPr>
        <w:t xml:space="preserve"> </w:t>
      </w:r>
      <w:r>
        <w:t>in</w:t>
      </w:r>
      <w:r>
        <w:rPr>
          <w:spacing w:val="-2"/>
        </w:rPr>
        <w:t xml:space="preserve"> </w:t>
      </w:r>
      <w:r>
        <w:t>virtue</w:t>
      </w:r>
      <w:r>
        <w:rPr>
          <w:spacing w:val="-3"/>
        </w:rPr>
        <w:t xml:space="preserve"> </w:t>
      </w:r>
      <w:r>
        <w:t>of</w:t>
      </w:r>
      <w:r>
        <w:rPr>
          <w:spacing w:val="-3"/>
        </w:rPr>
        <w:t xml:space="preserve"> </w:t>
      </w:r>
      <w:r>
        <w:t>his</w:t>
      </w:r>
      <w:r>
        <w:rPr>
          <w:spacing w:val="-3"/>
        </w:rPr>
        <w:t xml:space="preserve"> </w:t>
      </w:r>
      <w:r>
        <w:t xml:space="preserve">eating a fish, but in virtue of his eating something containing X, that Larry became sick. Put another way, it was his eating a fish </w:t>
      </w:r>
      <w:r>
        <w:rPr>
          <w:i/>
        </w:rPr>
        <w:t>qua</w:t>
      </w:r>
      <w:r>
        <w:rPr>
          <w:i/>
          <w:spacing w:val="-2"/>
        </w:rPr>
        <w:t xml:space="preserve"> </w:t>
      </w:r>
      <w:r>
        <w:t xml:space="preserve">thing that contained X, not a fish </w:t>
      </w:r>
      <w:r>
        <w:rPr>
          <w:i/>
        </w:rPr>
        <w:t xml:space="preserve">qua </w:t>
      </w:r>
      <w:r>
        <w:t xml:space="preserve">fish, that made Larry sick. Similarly, it was Jerry’s eating a fish </w:t>
      </w:r>
      <w:r>
        <w:rPr>
          <w:i/>
        </w:rPr>
        <w:t xml:space="preserve">qua </w:t>
      </w:r>
      <w:r>
        <w:t xml:space="preserve">rotten thing, not a fish </w:t>
      </w:r>
      <w:r>
        <w:rPr>
          <w:i/>
        </w:rPr>
        <w:t xml:space="preserve">qua </w:t>
      </w:r>
      <w:r>
        <w:t>fish, that made him sick.</w:t>
      </w:r>
    </w:p>
    <w:p w14:paraId="7E002D39" w14:textId="77777777" w:rsidR="009A58DB" w:rsidRDefault="009A58DB">
      <w:pPr>
        <w:pStyle w:val="BodyText"/>
        <w:spacing w:before="27"/>
        <w:ind w:left="0"/>
        <w:jc w:val="left"/>
      </w:pPr>
    </w:p>
    <w:p w14:paraId="7E002D3A" w14:textId="77777777" w:rsidR="009A58DB" w:rsidRDefault="00000000">
      <w:pPr>
        <w:pStyle w:val="BodyText"/>
        <w:spacing w:line="249" w:lineRule="auto"/>
        <w:ind w:right="358"/>
      </w:pPr>
      <w:r>
        <w:rPr>
          <w:b/>
          <w:i/>
        </w:rPr>
        <w:t xml:space="preserve">Qualitatively identical: </w:t>
      </w:r>
      <w:r>
        <w:t xml:space="preserve">x and y are </w:t>
      </w:r>
      <w:r>
        <w:rPr>
          <w:i/>
        </w:rPr>
        <w:t xml:space="preserve">qualitatively </w:t>
      </w:r>
      <w:r>
        <w:t xml:space="preserve">identical if they resemble each other to a maximally high degree but may nonetheless be </w:t>
      </w:r>
      <w:r>
        <w:rPr>
          <w:i/>
        </w:rPr>
        <w:t>distinct individuals.</w:t>
      </w:r>
      <w:r>
        <w:rPr>
          <w:i/>
          <w:spacing w:val="-4"/>
        </w:rPr>
        <w:t xml:space="preserve"> </w:t>
      </w:r>
      <w:r>
        <w:t>So</w:t>
      </w:r>
      <w:r>
        <w:rPr>
          <w:spacing w:val="-1"/>
        </w:rPr>
        <w:t xml:space="preserve"> </w:t>
      </w:r>
      <w:r>
        <w:t>if</w:t>
      </w:r>
      <w:r>
        <w:rPr>
          <w:spacing w:val="-1"/>
        </w:rPr>
        <w:t xml:space="preserve"> </w:t>
      </w:r>
      <w:r>
        <w:t>you</w:t>
      </w:r>
      <w:r>
        <w:rPr>
          <w:spacing w:val="-1"/>
        </w:rPr>
        <w:t xml:space="preserve"> </w:t>
      </w:r>
      <w:r>
        <w:t>have</w:t>
      </w:r>
      <w:r>
        <w:rPr>
          <w:spacing w:val="-1"/>
        </w:rPr>
        <w:t xml:space="preserve"> </w:t>
      </w:r>
      <w:r>
        <w:t>an</w:t>
      </w:r>
      <w:r>
        <w:rPr>
          <w:spacing w:val="-1"/>
        </w:rPr>
        <w:t xml:space="preserve"> </w:t>
      </w:r>
      <w:r>
        <w:t>identical</w:t>
      </w:r>
      <w:r>
        <w:rPr>
          <w:spacing w:val="-1"/>
        </w:rPr>
        <w:t xml:space="preserve"> </w:t>
      </w:r>
      <w:r>
        <w:t>twin—a</w:t>
      </w:r>
      <w:r>
        <w:rPr>
          <w:spacing w:val="-1"/>
        </w:rPr>
        <w:t xml:space="preserve"> </w:t>
      </w:r>
      <w:r>
        <w:t>twin</w:t>
      </w:r>
      <w:r>
        <w:rPr>
          <w:spacing w:val="-1"/>
        </w:rPr>
        <w:t xml:space="preserve"> </w:t>
      </w:r>
      <w:r>
        <w:t>who</w:t>
      </w:r>
      <w:r>
        <w:rPr>
          <w:spacing w:val="-1"/>
        </w:rPr>
        <w:t xml:space="preserve"> </w:t>
      </w:r>
      <w:r>
        <w:t>looks,</w:t>
      </w:r>
      <w:r>
        <w:rPr>
          <w:spacing w:val="-1"/>
        </w:rPr>
        <w:t xml:space="preserve"> </w:t>
      </w:r>
      <w:r>
        <w:t>thinks,</w:t>
      </w:r>
      <w:r>
        <w:rPr>
          <w:spacing w:val="-1"/>
        </w:rPr>
        <w:t xml:space="preserve"> </w:t>
      </w:r>
      <w:r>
        <w:t xml:space="preserve">talks, acts (and so on) just like you—then you are qualitatively identical with that person. But you are not </w:t>
      </w:r>
      <w:r>
        <w:rPr>
          <w:i/>
        </w:rPr>
        <w:t xml:space="preserve">numerically </w:t>
      </w:r>
      <w:r>
        <w:t>identical with that person, since you are not literally the very same individual as that other person.</w:t>
      </w:r>
    </w:p>
    <w:p w14:paraId="7E002D3B" w14:textId="77777777" w:rsidR="009A58DB" w:rsidRDefault="009A58DB">
      <w:pPr>
        <w:pStyle w:val="BodyText"/>
        <w:spacing w:before="23"/>
        <w:ind w:left="0"/>
        <w:jc w:val="left"/>
      </w:pPr>
    </w:p>
    <w:p w14:paraId="7E002D3C" w14:textId="77777777" w:rsidR="009A58DB" w:rsidRDefault="00000000">
      <w:pPr>
        <w:spacing w:line="249" w:lineRule="auto"/>
        <w:ind w:left="360" w:right="361"/>
        <w:jc w:val="both"/>
        <w:rPr>
          <w:sz w:val="30"/>
        </w:rPr>
      </w:pPr>
      <w:r>
        <w:rPr>
          <w:b/>
          <w:i/>
          <w:sz w:val="30"/>
        </w:rPr>
        <w:t xml:space="preserve">Quantified generalization: </w:t>
      </w:r>
      <w:r>
        <w:rPr>
          <w:sz w:val="30"/>
        </w:rPr>
        <w:t xml:space="preserve">Any sentence or proposition that says of some property how many instances it has. Thus, </w:t>
      </w:r>
      <w:r>
        <w:rPr>
          <w:i/>
          <w:sz w:val="30"/>
        </w:rPr>
        <w:t xml:space="preserve">nothing snores </w:t>
      </w:r>
      <w:r>
        <w:rPr>
          <w:sz w:val="30"/>
        </w:rPr>
        <w:t xml:space="preserve">is a quantified generalization since it says of the property of being a snorer that it has no instances. For the same reason </w:t>
      </w:r>
      <w:r>
        <w:rPr>
          <w:i/>
          <w:sz w:val="30"/>
        </w:rPr>
        <w:t>mutatis mutandis</w:t>
      </w:r>
      <w:r>
        <w:rPr>
          <w:sz w:val="30"/>
        </w:rPr>
        <w:t xml:space="preserve">, each of the following is a quantified generalization: </w:t>
      </w:r>
      <w:r>
        <w:rPr>
          <w:i/>
          <w:sz w:val="30"/>
        </w:rPr>
        <w:t>everything snores, something snores, three things snore</w:t>
      </w:r>
      <w:r>
        <w:rPr>
          <w:sz w:val="30"/>
        </w:rPr>
        <w:t xml:space="preserve">, and </w:t>
      </w:r>
      <w:r>
        <w:rPr>
          <w:i/>
          <w:sz w:val="30"/>
        </w:rPr>
        <w:t xml:space="preserve">most things snore. </w:t>
      </w:r>
      <w:r>
        <w:rPr>
          <w:sz w:val="30"/>
        </w:rPr>
        <w:t>See “quantifier.”</w:t>
      </w:r>
    </w:p>
    <w:p w14:paraId="7E002D3D" w14:textId="77777777" w:rsidR="009A58DB" w:rsidRDefault="009A58DB">
      <w:pPr>
        <w:pStyle w:val="BodyText"/>
        <w:spacing w:before="22"/>
        <w:ind w:left="0"/>
        <w:jc w:val="left"/>
      </w:pPr>
    </w:p>
    <w:p w14:paraId="7E002D3E" w14:textId="77777777" w:rsidR="009A58DB" w:rsidRDefault="00000000">
      <w:pPr>
        <w:pStyle w:val="BodyText"/>
        <w:spacing w:line="249" w:lineRule="auto"/>
        <w:ind w:right="360"/>
      </w:pPr>
      <w:r>
        <w:rPr>
          <w:b/>
          <w:i/>
        </w:rPr>
        <w:t xml:space="preserve">Quantifier: </w:t>
      </w:r>
      <w:r>
        <w:t xml:space="preserve">An expression that, when coupled with a predicate yields a sentence saying how many things of a given kind have that property. A predicate may </w:t>
      </w:r>
      <w:r>
        <w:rPr>
          <w:i/>
        </w:rPr>
        <w:t xml:space="preserve">roughly </w:t>
      </w:r>
      <w:r>
        <w:t>be said to be an expression denoting a property (e.g., “snore,”</w:t>
      </w:r>
      <w:r>
        <w:rPr>
          <w:spacing w:val="80"/>
        </w:rPr>
        <w:t xml:space="preserve"> </w:t>
      </w:r>
      <w:r>
        <w:t>“is</w:t>
      </w:r>
      <w:r>
        <w:rPr>
          <w:spacing w:val="80"/>
        </w:rPr>
        <w:t xml:space="preserve"> </w:t>
      </w:r>
      <w:r>
        <w:t>tall”).</w:t>
      </w:r>
      <w:r>
        <w:rPr>
          <w:spacing w:val="80"/>
        </w:rPr>
        <w:t xml:space="preserve"> </w:t>
      </w:r>
      <w:r>
        <w:t>(Why</w:t>
      </w:r>
      <w:r>
        <w:rPr>
          <w:spacing w:val="60"/>
          <w:w w:val="150"/>
        </w:rPr>
        <w:t xml:space="preserve"> </w:t>
      </w:r>
      <w:r>
        <w:t>only</w:t>
      </w:r>
      <w:r>
        <w:rPr>
          <w:spacing w:val="80"/>
        </w:rPr>
        <w:t xml:space="preserve"> </w:t>
      </w:r>
      <w:r>
        <w:t>roughly?</w:t>
      </w:r>
      <w:r>
        <w:rPr>
          <w:spacing w:val="80"/>
        </w:rPr>
        <w:t xml:space="preserve"> </w:t>
      </w:r>
      <w:r>
        <w:t>See</w:t>
      </w:r>
      <w:r>
        <w:rPr>
          <w:spacing w:val="80"/>
        </w:rPr>
        <w:t xml:space="preserve"> </w:t>
      </w:r>
      <w:r>
        <w:t>below.)</w:t>
      </w:r>
      <w:r>
        <w:rPr>
          <w:spacing w:val="80"/>
        </w:rPr>
        <w:t xml:space="preserve"> </w:t>
      </w:r>
      <w:r>
        <w:t>“All</w:t>
      </w:r>
      <w:r>
        <w:rPr>
          <w:spacing w:val="80"/>
        </w:rPr>
        <w:t xml:space="preserve"> </w:t>
      </w:r>
      <w:r>
        <w:t>people”</w:t>
      </w:r>
      <w:r>
        <w:rPr>
          <w:spacing w:val="80"/>
        </w:rPr>
        <w:t xml:space="preserve"> </w:t>
      </w:r>
      <w:r>
        <w:t>is</w:t>
      </w:r>
      <w:r>
        <w:rPr>
          <w:spacing w:val="80"/>
        </w:rPr>
        <w:t xml:space="preserve"> </w:t>
      </w:r>
      <w:r>
        <w:t>a</w:t>
      </w:r>
    </w:p>
    <w:p w14:paraId="7E002D3F"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40" w14:textId="77777777" w:rsidR="009A58DB" w:rsidRDefault="00000000">
      <w:pPr>
        <w:pStyle w:val="BodyText"/>
        <w:spacing w:before="65" w:line="249" w:lineRule="auto"/>
        <w:ind w:right="359"/>
      </w:pPr>
      <w:r>
        <w:t>quantifier, since, when coupled with “snore,” which denotes the property of snoring, yields “all people snore,” which says how many things of a certain kind have the property of snoring. “No fish” is a quantifier since, given the expression snore, yields the sentence “no fish read Shakespeare,” which says how many things of a given kind have the property of reading Shakespeare.</w:t>
      </w:r>
    </w:p>
    <w:p w14:paraId="7E002D41" w14:textId="77777777" w:rsidR="009A58DB" w:rsidRDefault="00000000">
      <w:pPr>
        <w:pStyle w:val="BodyText"/>
        <w:spacing w:before="6" w:line="249" w:lineRule="auto"/>
        <w:ind w:right="358" w:firstLine="360"/>
      </w:pPr>
      <w:r>
        <w:t>In</w:t>
      </w:r>
      <w:r>
        <w:rPr>
          <w:spacing w:val="-3"/>
        </w:rPr>
        <w:t xml:space="preserve"> </w:t>
      </w:r>
      <w:r>
        <w:t>logic</w:t>
      </w:r>
      <w:r>
        <w:rPr>
          <w:spacing w:val="-4"/>
        </w:rPr>
        <w:t xml:space="preserve"> </w:t>
      </w:r>
      <w:r>
        <w:t>and</w:t>
      </w:r>
      <w:r>
        <w:rPr>
          <w:spacing w:val="-3"/>
        </w:rPr>
        <w:t xml:space="preserve"> </w:t>
      </w:r>
      <w:r>
        <w:t>the</w:t>
      </w:r>
      <w:r>
        <w:rPr>
          <w:spacing w:val="-4"/>
        </w:rPr>
        <w:t xml:space="preserve"> </w:t>
      </w:r>
      <w:r>
        <w:t>philosophy</w:t>
      </w:r>
      <w:r>
        <w:rPr>
          <w:spacing w:val="-3"/>
        </w:rPr>
        <w:t xml:space="preserve"> </w:t>
      </w:r>
      <w:r>
        <w:t>of</w:t>
      </w:r>
      <w:r>
        <w:rPr>
          <w:spacing w:val="-4"/>
        </w:rPr>
        <w:t xml:space="preserve"> </w:t>
      </w:r>
      <w:r>
        <w:t>language,</w:t>
      </w:r>
      <w:r>
        <w:rPr>
          <w:spacing w:val="-3"/>
        </w:rPr>
        <w:t xml:space="preserve"> </w:t>
      </w:r>
      <w:r>
        <w:t>one</w:t>
      </w:r>
      <w:r>
        <w:rPr>
          <w:spacing w:val="-4"/>
        </w:rPr>
        <w:t xml:space="preserve"> </w:t>
      </w:r>
      <w:r>
        <w:t>often</w:t>
      </w:r>
      <w:r>
        <w:rPr>
          <w:spacing w:val="-3"/>
        </w:rPr>
        <w:t xml:space="preserve"> </w:t>
      </w:r>
      <w:r>
        <w:t>uses</w:t>
      </w:r>
      <w:r>
        <w:rPr>
          <w:spacing w:val="-4"/>
        </w:rPr>
        <w:t xml:space="preserve"> </w:t>
      </w:r>
      <w:r>
        <w:t>artificial</w:t>
      </w:r>
      <w:r>
        <w:rPr>
          <w:spacing w:val="-4"/>
        </w:rPr>
        <w:t xml:space="preserve"> </w:t>
      </w:r>
      <w:r>
        <w:t>analogues of expressions like “all,” “some,” “none,” etc. In logic, the sentence “all people snore” is represented as “for any x, if x is a person, then x snores.” And “some people snore” becomes “for some x, x is a person and x snores.” The</w:t>
      </w:r>
      <w:r>
        <w:rPr>
          <w:spacing w:val="-3"/>
        </w:rPr>
        <w:t xml:space="preserve"> </w:t>
      </w:r>
      <w:r>
        <w:t>reason</w:t>
      </w:r>
      <w:r>
        <w:rPr>
          <w:spacing w:val="-2"/>
        </w:rPr>
        <w:t xml:space="preserve"> </w:t>
      </w:r>
      <w:r>
        <w:t>why</w:t>
      </w:r>
      <w:r>
        <w:rPr>
          <w:spacing w:val="-2"/>
        </w:rPr>
        <w:t xml:space="preserve"> </w:t>
      </w:r>
      <w:r>
        <w:t>artificial</w:t>
      </w:r>
      <w:r>
        <w:rPr>
          <w:spacing w:val="-2"/>
        </w:rPr>
        <w:t xml:space="preserve"> </w:t>
      </w:r>
      <w:r>
        <w:t>quantifiers</w:t>
      </w:r>
      <w:r>
        <w:rPr>
          <w:spacing w:val="-2"/>
        </w:rPr>
        <w:t xml:space="preserve"> </w:t>
      </w:r>
      <w:r>
        <w:t>(e.g.,</w:t>
      </w:r>
      <w:r>
        <w:rPr>
          <w:spacing w:val="-2"/>
        </w:rPr>
        <w:t xml:space="preserve"> </w:t>
      </w:r>
      <w:r>
        <w:t>“for</w:t>
      </w:r>
      <w:r>
        <w:rPr>
          <w:spacing w:val="-2"/>
        </w:rPr>
        <w:t xml:space="preserve"> </w:t>
      </w:r>
      <w:r>
        <w:t>any</w:t>
      </w:r>
      <w:r>
        <w:rPr>
          <w:spacing w:val="-2"/>
        </w:rPr>
        <w:t xml:space="preserve"> </w:t>
      </w:r>
      <w:r>
        <w:t>x,”</w:t>
      </w:r>
      <w:r>
        <w:rPr>
          <w:spacing w:val="-2"/>
        </w:rPr>
        <w:t xml:space="preserve"> </w:t>
      </w:r>
      <w:r>
        <w:t>“for</w:t>
      </w:r>
      <w:r>
        <w:rPr>
          <w:spacing w:val="-2"/>
        </w:rPr>
        <w:t xml:space="preserve"> </w:t>
      </w:r>
      <w:r>
        <w:t>some</w:t>
      </w:r>
      <w:r>
        <w:rPr>
          <w:spacing w:val="-2"/>
        </w:rPr>
        <w:t xml:space="preserve"> </w:t>
      </w:r>
      <w:r>
        <w:t>x”)</w:t>
      </w:r>
      <w:r>
        <w:rPr>
          <w:spacing w:val="-2"/>
        </w:rPr>
        <w:t xml:space="preserve"> </w:t>
      </w:r>
      <w:r>
        <w:t>are</w:t>
      </w:r>
      <w:r>
        <w:rPr>
          <w:spacing w:val="-2"/>
        </w:rPr>
        <w:t xml:space="preserve"> </w:t>
      </w:r>
      <w:r>
        <w:t>used in lieu of their natural-language counterparts (“all,” “some”) is that, for the reasons discussed in the previous chapter, the logical form of quantified statements is concealed unless these replacements are made. For example,</w:t>
      </w:r>
      <w:r>
        <w:rPr>
          <w:spacing w:val="40"/>
        </w:rPr>
        <w:t xml:space="preserve"> </w:t>
      </w:r>
      <w:r>
        <w:t>“no person snores” has the same grammatical form as “John snores,” which misleadingly</w:t>
      </w:r>
      <w:r>
        <w:rPr>
          <w:spacing w:val="-3"/>
        </w:rPr>
        <w:t xml:space="preserve"> </w:t>
      </w:r>
      <w:r>
        <w:t>suggests</w:t>
      </w:r>
      <w:r>
        <w:rPr>
          <w:spacing w:val="-4"/>
        </w:rPr>
        <w:t xml:space="preserve"> </w:t>
      </w:r>
      <w:r>
        <w:t>that,</w:t>
      </w:r>
      <w:r>
        <w:rPr>
          <w:spacing w:val="-3"/>
        </w:rPr>
        <w:t xml:space="preserve"> </w:t>
      </w:r>
      <w:r>
        <w:t>like</w:t>
      </w:r>
      <w:r>
        <w:rPr>
          <w:spacing w:val="-4"/>
        </w:rPr>
        <w:t xml:space="preserve"> </w:t>
      </w:r>
      <w:r>
        <w:t>the</w:t>
      </w:r>
      <w:r>
        <w:rPr>
          <w:spacing w:val="-4"/>
        </w:rPr>
        <w:t xml:space="preserve"> </w:t>
      </w:r>
      <w:r>
        <w:t>latter,</w:t>
      </w:r>
      <w:r>
        <w:rPr>
          <w:spacing w:val="-3"/>
        </w:rPr>
        <w:t xml:space="preserve"> </w:t>
      </w:r>
      <w:r>
        <w:t>the</w:t>
      </w:r>
      <w:r>
        <w:rPr>
          <w:spacing w:val="-4"/>
        </w:rPr>
        <w:t xml:space="preserve"> </w:t>
      </w:r>
      <w:r>
        <w:t>former</w:t>
      </w:r>
      <w:r>
        <w:rPr>
          <w:spacing w:val="-4"/>
        </w:rPr>
        <w:t xml:space="preserve"> </w:t>
      </w:r>
      <w:r>
        <w:t>attributes</w:t>
      </w:r>
      <w:r>
        <w:rPr>
          <w:spacing w:val="-4"/>
        </w:rPr>
        <w:t xml:space="preserve"> </w:t>
      </w:r>
      <w:r>
        <w:t>the</w:t>
      </w:r>
      <w:r>
        <w:rPr>
          <w:spacing w:val="-4"/>
        </w:rPr>
        <w:t xml:space="preserve"> </w:t>
      </w:r>
      <w:r>
        <w:t>property</w:t>
      </w:r>
      <w:r>
        <w:rPr>
          <w:spacing w:val="-3"/>
        </w:rPr>
        <w:t xml:space="preserve"> </w:t>
      </w:r>
      <w:r>
        <w:t xml:space="preserve">of snoring to some entity. But “nothing snores” does </w:t>
      </w:r>
      <w:r>
        <w:rPr>
          <w:i/>
        </w:rPr>
        <w:t>not</w:t>
      </w:r>
      <w:r>
        <w:rPr>
          <w:i/>
          <w:spacing w:val="-3"/>
        </w:rPr>
        <w:t xml:space="preserve"> </w:t>
      </w:r>
      <w:r>
        <w:t>do that; that’s the very opposite</w:t>
      </w:r>
      <w:r>
        <w:rPr>
          <w:spacing w:val="-1"/>
        </w:rPr>
        <w:t xml:space="preserve"> </w:t>
      </w:r>
      <w:r>
        <w:t>of</w:t>
      </w:r>
      <w:r>
        <w:rPr>
          <w:spacing w:val="-1"/>
        </w:rPr>
        <w:t xml:space="preserve"> </w:t>
      </w:r>
      <w:r>
        <w:t>what</w:t>
      </w:r>
      <w:r>
        <w:rPr>
          <w:spacing w:val="-1"/>
        </w:rPr>
        <w:t xml:space="preserve"> </w:t>
      </w:r>
      <w:r>
        <w:t>it</w:t>
      </w:r>
      <w:r>
        <w:rPr>
          <w:spacing w:val="-1"/>
        </w:rPr>
        <w:t xml:space="preserve"> </w:t>
      </w:r>
      <w:r>
        <w:t>does.</w:t>
      </w:r>
      <w:r>
        <w:rPr>
          <w:spacing w:val="-1"/>
        </w:rPr>
        <w:t xml:space="preserve"> </w:t>
      </w:r>
      <w:r>
        <w:t>What</w:t>
      </w:r>
      <w:r>
        <w:rPr>
          <w:spacing w:val="-1"/>
        </w:rPr>
        <w:t xml:space="preserve"> </w:t>
      </w:r>
      <w:r>
        <w:t>“no</w:t>
      </w:r>
      <w:r>
        <w:rPr>
          <w:spacing w:val="-1"/>
        </w:rPr>
        <w:t xml:space="preserve"> </w:t>
      </w:r>
      <w:r>
        <w:t>person</w:t>
      </w:r>
      <w:r>
        <w:rPr>
          <w:spacing w:val="-1"/>
        </w:rPr>
        <w:t xml:space="preserve"> </w:t>
      </w:r>
      <w:r>
        <w:t>snores”</w:t>
      </w:r>
      <w:r>
        <w:rPr>
          <w:spacing w:val="-1"/>
        </w:rPr>
        <w:t xml:space="preserve"> </w:t>
      </w:r>
      <w:r>
        <w:t>says</w:t>
      </w:r>
      <w:r>
        <w:rPr>
          <w:spacing w:val="-1"/>
        </w:rPr>
        <w:t xml:space="preserve"> </w:t>
      </w:r>
      <w:r>
        <w:t>is</w:t>
      </w:r>
      <w:r>
        <w:rPr>
          <w:spacing w:val="-1"/>
        </w:rPr>
        <w:t xml:space="preserve"> </w:t>
      </w:r>
      <w:r>
        <w:t>this:</w:t>
      </w:r>
      <w:r>
        <w:rPr>
          <w:spacing w:val="-1"/>
        </w:rPr>
        <w:t xml:space="preserve"> </w:t>
      </w:r>
      <w:r>
        <w:t>“for</w:t>
      </w:r>
      <w:r>
        <w:rPr>
          <w:spacing w:val="-1"/>
        </w:rPr>
        <w:t xml:space="preserve"> </w:t>
      </w:r>
      <w:r>
        <w:t>any</w:t>
      </w:r>
      <w:r>
        <w:rPr>
          <w:spacing w:val="-1"/>
        </w:rPr>
        <w:t xml:space="preserve"> </w:t>
      </w:r>
      <w:r>
        <w:t>x,</w:t>
      </w:r>
      <w:r>
        <w:rPr>
          <w:spacing w:val="-1"/>
        </w:rPr>
        <w:t xml:space="preserve"> </w:t>
      </w:r>
      <w:r>
        <w:t>if</w:t>
      </w:r>
      <w:r>
        <w:rPr>
          <w:spacing w:val="-1"/>
        </w:rPr>
        <w:t xml:space="preserve"> </w:t>
      </w:r>
      <w:r>
        <w:t xml:space="preserve">x is a person, then x does not snore.” The latter sentence clearly </w:t>
      </w:r>
      <w:r>
        <w:rPr>
          <w:i/>
        </w:rPr>
        <w:t xml:space="preserve">doesn’t </w:t>
      </w:r>
      <w:r>
        <w:t>attribute the property of snoring to anyone or anything, and is, in this respect, more perspicuous than its natural language counterpart.</w:t>
      </w:r>
    </w:p>
    <w:p w14:paraId="7E002D42" w14:textId="77777777" w:rsidR="009A58DB" w:rsidRDefault="00000000">
      <w:pPr>
        <w:pStyle w:val="BodyText"/>
        <w:spacing w:before="18" w:line="249" w:lineRule="auto"/>
        <w:ind w:right="368" w:firstLine="360"/>
      </w:pPr>
      <w:r>
        <w:t>The reason it’s only roughly correct to say that “predicates” denote properties is that “the property of snoring” and “the property of being tall” clearly pick out properties—but they aren’t predicates. See “predicate.”</w:t>
      </w:r>
    </w:p>
    <w:p w14:paraId="7E002D43" w14:textId="77777777" w:rsidR="009A58DB" w:rsidRDefault="009A58DB">
      <w:pPr>
        <w:pStyle w:val="BodyText"/>
        <w:spacing w:before="19"/>
        <w:ind w:left="0"/>
        <w:jc w:val="left"/>
      </w:pPr>
    </w:p>
    <w:p w14:paraId="7E002D44" w14:textId="77777777" w:rsidR="009A58DB" w:rsidRDefault="00000000">
      <w:pPr>
        <w:pStyle w:val="BodyText"/>
        <w:spacing w:line="249" w:lineRule="auto"/>
        <w:ind w:right="359"/>
      </w:pPr>
      <w:r>
        <w:t>Commentary: All quantifiers are considered to be connectives. Thus “for all x,” “for no x,” etc. are connectives. Here is a very rough explanation of the rationale for this practice. Consider the sentence “all people snore.” This can be thought of as saying that each possible sentence of the form “x snores,” where x is some person, is true. So it can be thought of as saying that “John snores,” “Sally snores,” are all true. Thus, “for all x,” can be thought of as an expression that, when given “Sally snores,” “John snores,” etc., as inputs, yields another sentence, viz. “it is true that John snores, Sally snores [etc.].” I must point out that this explanation is very approximate. But the</w:t>
      </w:r>
      <w:r>
        <w:rPr>
          <w:spacing w:val="40"/>
        </w:rPr>
        <w:t xml:space="preserve"> </w:t>
      </w:r>
      <w:r>
        <w:t>technicalities that would have to be gone through to make it completely accurate are not, at this stage, very important.</w:t>
      </w:r>
    </w:p>
    <w:p w14:paraId="7E002D45" w14:textId="77777777" w:rsidR="009A58DB" w:rsidRDefault="00000000">
      <w:pPr>
        <w:pStyle w:val="BodyText"/>
        <w:spacing w:before="13"/>
        <w:ind w:left="720"/>
      </w:pPr>
      <w:r>
        <w:t>Given</w:t>
      </w:r>
      <w:r>
        <w:rPr>
          <w:spacing w:val="52"/>
        </w:rPr>
        <w:t xml:space="preserve"> </w:t>
      </w:r>
      <w:r>
        <w:t>that</w:t>
      </w:r>
      <w:r>
        <w:rPr>
          <w:spacing w:val="55"/>
        </w:rPr>
        <w:t xml:space="preserve"> </w:t>
      </w:r>
      <w:r>
        <w:t>all</w:t>
      </w:r>
      <w:r>
        <w:rPr>
          <w:spacing w:val="55"/>
        </w:rPr>
        <w:t xml:space="preserve"> </w:t>
      </w:r>
      <w:r>
        <w:t>quantifiers</w:t>
      </w:r>
      <w:r>
        <w:rPr>
          <w:spacing w:val="55"/>
        </w:rPr>
        <w:t xml:space="preserve"> </w:t>
      </w:r>
      <w:r>
        <w:t>are</w:t>
      </w:r>
      <w:r>
        <w:rPr>
          <w:spacing w:val="55"/>
        </w:rPr>
        <w:t xml:space="preserve"> </w:t>
      </w:r>
      <w:r>
        <w:t>connectives,</w:t>
      </w:r>
      <w:r>
        <w:rPr>
          <w:spacing w:val="54"/>
        </w:rPr>
        <w:t xml:space="preserve"> </w:t>
      </w:r>
      <w:r>
        <w:t>it</w:t>
      </w:r>
      <w:r>
        <w:rPr>
          <w:spacing w:val="55"/>
        </w:rPr>
        <w:t xml:space="preserve"> </w:t>
      </w:r>
      <w:r>
        <w:t>follows</w:t>
      </w:r>
      <w:r>
        <w:rPr>
          <w:spacing w:val="55"/>
        </w:rPr>
        <w:t xml:space="preserve"> </w:t>
      </w:r>
      <w:r>
        <w:t>that</w:t>
      </w:r>
      <w:r>
        <w:rPr>
          <w:spacing w:val="55"/>
        </w:rPr>
        <w:t xml:space="preserve"> </w:t>
      </w:r>
      <w:r>
        <w:t>all</w:t>
      </w:r>
      <w:r>
        <w:rPr>
          <w:spacing w:val="55"/>
        </w:rPr>
        <w:t xml:space="preserve"> </w:t>
      </w:r>
      <w:r>
        <w:rPr>
          <w:spacing w:val="-2"/>
        </w:rPr>
        <w:t>quantified</w:t>
      </w:r>
    </w:p>
    <w:p w14:paraId="7E002D46" w14:textId="77777777" w:rsidR="009A58DB" w:rsidRDefault="009A58DB">
      <w:pPr>
        <w:pStyle w:val="BodyText"/>
        <w:sectPr w:rsidR="009A58DB">
          <w:pgSz w:w="12240" w:h="15840"/>
          <w:pgMar w:top="1380" w:right="1080" w:bottom="280" w:left="1080" w:header="720" w:footer="720" w:gutter="0"/>
          <w:cols w:space="720"/>
        </w:sectPr>
      </w:pPr>
    </w:p>
    <w:p w14:paraId="7E002D47" w14:textId="77777777" w:rsidR="009A58DB" w:rsidRDefault="00000000">
      <w:pPr>
        <w:pStyle w:val="BodyText"/>
        <w:spacing w:before="65" w:line="249" w:lineRule="auto"/>
        <w:ind w:right="359"/>
      </w:pPr>
      <w:r>
        <w:t xml:space="preserve">generalizations are considered to be molecular propositions. See “quantified </w:t>
      </w:r>
      <w:r>
        <w:rPr>
          <w:spacing w:val="-2"/>
        </w:rPr>
        <w:t>generalization.”</w:t>
      </w:r>
    </w:p>
    <w:p w14:paraId="7E002D48" w14:textId="77777777" w:rsidR="009A58DB" w:rsidRDefault="009A58DB">
      <w:pPr>
        <w:pStyle w:val="BodyText"/>
        <w:spacing w:before="17"/>
        <w:ind w:left="0"/>
        <w:jc w:val="left"/>
      </w:pPr>
    </w:p>
    <w:p w14:paraId="7E002D49" w14:textId="77777777" w:rsidR="009A58DB" w:rsidRDefault="00000000">
      <w:pPr>
        <w:pStyle w:val="BodyText"/>
        <w:spacing w:line="249" w:lineRule="auto"/>
        <w:ind w:right="361"/>
      </w:pPr>
      <w:r>
        <w:rPr>
          <w:b/>
          <w:i/>
        </w:rPr>
        <w:t xml:space="preserve">Quasi-quotation marks: </w:t>
      </w:r>
      <w:r>
        <w:t xml:space="preserve">In logic and the philosophy of language we often wish to talk about whole </w:t>
      </w:r>
      <w:r>
        <w:rPr>
          <w:i/>
        </w:rPr>
        <w:t>classes</w:t>
      </w:r>
      <w:r>
        <w:rPr>
          <w:i/>
          <w:spacing w:val="-3"/>
        </w:rPr>
        <w:t xml:space="preserve"> </w:t>
      </w:r>
      <w:r>
        <w:t xml:space="preserve">of sentences having a given form. We might wish to say, for example, that </w:t>
      </w:r>
      <w:r>
        <w:rPr>
          <w:i/>
        </w:rPr>
        <w:t xml:space="preserve">all </w:t>
      </w:r>
      <w:r>
        <w:t>sentences of the same form as “grass is green</w:t>
      </w:r>
      <w:r>
        <w:rPr>
          <w:spacing w:val="-2"/>
        </w:rPr>
        <w:t xml:space="preserve"> </w:t>
      </w:r>
      <w:r>
        <w:t>or</w:t>
      </w:r>
      <w:r>
        <w:rPr>
          <w:spacing w:val="-1"/>
        </w:rPr>
        <w:t xml:space="preserve"> </w:t>
      </w:r>
      <w:r>
        <w:t>it</w:t>
      </w:r>
      <w:r>
        <w:rPr>
          <w:spacing w:val="-2"/>
        </w:rPr>
        <w:t xml:space="preserve"> </w:t>
      </w:r>
      <w:r>
        <w:t>is</w:t>
      </w:r>
      <w:r>
        <w:rPr>
          <w:spacing w:val="-1"/>
        </w:rPr>
        <w:t xml:space="preserve"> </w:t>
      </w:r>
      <w:r>
        <w:t>not</w:t>
      </w:r>
      <w:r>
        <w:rPr>
          <w:spacing w:val="-2"/>
        </w:rPr>
        <w:t xml:space="preserve"> </w:t>
      </w:r>
      <w:r>
        <w:t>the</w:t>
      </w:r>
      <w:r>
        <w:rPr>
          <w:spacing w:val="-1"/>
        </w:rPr>
        <w:t xml:space="preserve"> </w:t>
      </w:r>
      <w:r>
        <w:t>case</w:t>
      </w:r>
      <w:r>
        <w:rPr>
          <w:spacing w:val="-2"/>
        </w:rPr>
        <w:t xml:space="preserve"> </w:t>
      </w:r>
      <w:r>
        <w:t>that</w:t>
      </w:r>
      <w:r>
        <w:rPr>
          <w:spacing w:val="-1"/>
        </w:rPr>
        <w:t xml:space="preserve"> </w:t>
      </w:r>
      <w:r>
        <w:t>grass</w:t>
      </w:r>
      <w:r>
        <w:rPr>
          <w:spacing w:val="-1"/>
        </w:rPr>
        <w:t xml:space="preserve"> </w:t>
      </w:r>
      <w:r>
        <w:t>is</w:t>
      </w:r>
      <w:r>
        <w:rPr>
          <w:spacing w:val="-2"/>
        </w:rPr>
        <w:t xml:space="preserve"> </w:t>
      </w:r>
      <w:r>
        <w:t>green”</w:t>
      </w:r>
      <w:r>
        <w:rPr>
          <w:spacing w:val="-1"/>
        </w:rPr>
        <w:t xml:space="preserve"> </w:t>
      </w:r>
      <w:r>
        <w:t>are</w:t>
      </w:r>
      <w:r>
        <w:rPr>
          <w:spacing w:val="-2"/>
        </w:rPr>
        <w:t xml:space="preserve"> </w:t>
      </w:r>
      <w:r>
        <w:t>true,</w:t>
      </w:r>
      <w:r>
        <w:rPr>
          <w:spacing w:val="-1"/>
        </w:rPr>
        <w:t xml:space="preserve"> </w:t>
      </w:r>
      <w:r>
        <w:t>that</w:t>
      </w:r>
      <w:r>
        <w:rPr>
          <w:spacing w:val="-2"/>
        </w:rPr>
        <w:t xml:space="preserve"> </w:t>
      </w:r>
      <w:r>
        <w:rPr>
          <w:i/>
        </w:rPr>
        <w:t>all</w:t>
      </w:r>
      <w:r>
        <w:rPr>
          <w:i/>
          <w:spacing w:val="-3"/>
        </w:rPr>
        <w:t xml:space="preserve"> </w:t>
      </w:r>
      <w:r>
        <w:t xml:space="preserve">sentences of the same form as “grass is green and it is not the case that grass is green” are false, that </w:t>
      </w:r>
      <w:r>
        <w:rPr>
          <w:i/>
        </w:rPr>
        <w:t xml:space="preserve">all </w:t>
      </w:r>
      <w:r>
        <w:t xml:space="preserve">things have the property of being self-identical, that </w:t>
      </w:r>
      <w:r>
        <w:rPr>
          <w:i/>
        </w:rPr>
        <w:t xml:space="preserve">no </w:t>
      </w:r>
      <w:r>
        <w:t>thing</w:t>
      </w:r>
      <w:r>
        <w:rPr>
          <w:spacing w:val="40"/>
        </w:rPr>
        <w:t xml:space="preserve"> </w:t>
      </w:r>
      <w:r>
        <w:t>has the property of a being a square circle.</w:t>
      </w:r>
    </w:p>
    <w:p w14:paraId="7E002D4A" w14:textId="77777777" w:rsidR="009A58DB" w:rsidRDefault="00000000">
      <w:pPr>
        <w:pStyle w:val="BodyText"/>
        <w:spacing w:before="9" w:line="249" w:lineRule="auto"/>
        <w:ind w:right="370" w:firstLine="360"/>
      </w:pPr>
      <w:r>
        <w:t>But it’s hard to do this without producing a nonsense-statement. Consider the following statement:</w:t>
      </w:r>
    </w:p>
    <w:p w14:paraId="7E002D4B" w14:textId="77777777" w:rsidR="009A58DB" w:rsidRDefault="009A58DB">
      <w:pPr>
        <w:pStyle w:val="BodyText"/>
        <w:spacing w:before="17"/>
        <w:ind w:left="0"/>
        <w:jc w:val="left"/>
      </w:pPr>
    </w:p>
    <w:p w14:paraId="7E002D4C" w14:textId="77777777" w:rsidR="009A58DB" w:rsidRDefault="00000000">
      <w:pPr>
        <w:pStyle w:val="ListParagraph"/>
        <w:numPr>
          <w:ilvl w:val="0"/>
          <w:numId w:val="15"/>
        </w:numPr>
        <w:tabs>
          <w:tab w:val="left" w:pos="782"/>
        </w:tabs>
        <w:ind w:left="782" w:hanging="422"/>
        <w:jc w:val="both"/>
        <w:rPr>
          <w:sz w:val="30"/>
        </w:rPr>
      </w:pPr>
      <w:r>
        <w:rPr>
          <w:sz w:val="30"/>
        </w:rPr>
        <w:t>For</w:t>
      </w:r>
      <w:r>
        <w:rPr>
          <w:spacing w:val="-5"/>
          <w:sz w:val="30"/>
        </w:rPr>
        <w:t xml:space="preserve"> </w:t>
      </w:r>
      <w:r>
        <w:rPr>
          <w:sz w:val="30"/>
        </w:rPr>
        <w:t>any</w:t>
      </w:r>
      <w:r>
        <w:rPr>
          <w:spacing w:val="-2"/>
          <w:sz w:val="30"/>
        </w:rPr>
        <w:t xml:space="preserve"> </w:t>
      </w:r>
      <w:r>
        <w:rPr>
          <w:sz w:val="30"/>
        </w:rPr>
        <w:t>proposition</w:t>
      </w:r>
      <w:r>
        <w:rPr>
          <w:spacing w:val="-3"/>
          <w:sz w:val="30"/>
        </w:rPr>
        <w:t xml:space="preserve"> </w:t>
      </w:r>
      <w:r>
        <w:rPr>
          <w:sz w:val="30"/>
        </w:rPr>
        <w:t>P,</w:t>
      </w:r>
      <w:r>
        <w:rPr>
          <w:spacing w:val="-2"/>
          <w:sz w:val="30"/>
        </w:rPr>
        <w:t xml:space="preserve"> </w:t>
      </w:r>
      <w:r>
        <w:rPr>
          <w:sz w:val="30"/>
        </w:rPr>
        <w:t>the</w:t>
      </w:r>
      <w:r>
        <w:rPr>
          <w:spacing w:val="-3"/>
          <w:sz w:val="30"/>
        </w:rPr>
        <w:t xml:space="preserve"> </w:t>
      </w:r>
      <w:r>
        <w:rPr>
          <w:sz w:val="30"/>
        </w:rPr>
        <w:t>expression</w:t>
      </w:r>
      <w:r>
        <w:rPr>
          <w:spacing w:val="-2"/>
          <w:sz w:val="30"/>
        </w:rPr>
        <w:t xml:space="preserve"> </w:t>
      </w:r>
      <w:r>
        <w:rPr>
          <w:sz w:val="30"/>
        </w:rPr>
        <w:t>“P</w:t>
      </w:r>
      <w:r>
        <w:rPr>
          <w:spacing w:val="-3"/>
          <w:sz w:val="30"/>
        </w:rPr>
        <w:t xml:space="preserve"> </w:t>
      </w:r>
      <w:r>
        <w:rPr>
          <w:sz w:val="30"/>
        </w:rPr>
        <w:t>or</w:t>
      </w:r>
      <w:r>
        <w:rPr>
          <w:spacing w:val="-3"/>
          <w:sz w:val="30"/>
        </w:rPr>
        <w:t xml:space="preserve"> </w:t>
      </w:r>
      <w:r>
        <w:rPr>
          <w:sz w:val="30"/>
        </w:rPr>
        <w:t>not-P”</w:t>
      </w:r>
      <w:r>
        <w:rPr>
          <w:spacing w:val="-3"/>
          <w:sz w:val="30"/>
        </w:rPr>
        <w:t xml:space="preserve"> </w:t>
      </w:r>
      <w:r>
        <w:rPr>
          <w:sz w:val="30"/>
        </w:rPr>
        <w:t>is</w:t>
      </w:r>
      <w:r>
        <w:rPr>
          <w:spacing w:val="-2"/>
          <w:sz w:val="30"/>
        </w:rPr>
        <w:t xml:space="preserve"> true.</w:t>
      </w:r>
    </w:p>
    <w:p w14:paraId="7E002D4D" w14:textId="77777777" w:rsidR="009A58DB" w:rsidRDefault="009A58DB">
      <w:pPr>
        <w:pStyle w:val="BodyText"/>
        <w:spacing w:before="30"/>
        <w:ind w:left="0"/>
        <w:jc w:val="left"/>
      </w:pPr>
    </w:p>
    <w:p w14:paraId="7E002D4E" w14:textId="77777777" w:rsidR="009A58DB" w:rsidRDefault="00000000">
      <w:pPr>
        <w:pStyle w:val="ListParagraph"/>
        <w:numPr>
          <w:ilvl w:val="0"/>
          <w:numId w:val="14"/>
        </w:numPr>
        <w:tabs>
          <w:tab w:val="left" w:pos="817"/>
        </w:tabs>
        <w:spacing w:line="249" w:lineRule="auto"/>
        <w:ind w:right="360" w:firstLine="0"/>
        <w:jc w:val="both"/>
        <w:rPr>
          <w:sz w:val="30"/>
        </w:rPr>
      </w:pPr>
      <w:r>
        <w:rPr>
          <w:sz w:val="30"/>
        </w:rPr>
        <w:t xml:space="preserve">seems okay at first. But it isn’t. It’s false. This is because “P or not-P” isn’t a sentence. If, out of the blue, I say to you “x is larger than four,” I haven’t said anything, since “x” is a variable, not a numeral. (If I don’t say it out of the blue, and it’s understood that “x” has a certain referent, then it may be true.) Similarly, so “P or not-P” is no meaningful statement can contain a free variable. If I say to you, “P or not-P,” I haven’t said anything, the reason being that “P” is a variable. “P or not-P” isn’t true or false, and it’s no more capable of being true or false than an out-of-the-blue utterance of “x is larger four.” Given that “P or not-P” is never true, it follows that (1) is false. After all, (1) says that “P or not-P” is </w:t>
      </w:r>
      <w:r>
        <w:rPr>
          <w:i/>
          <w:sz w:val="30"/>
        </w:rPr>
        <w:t>always</w:t>
      </w:r>
      <w:r>
        <w:rPr>
          <w:i/>
          <w:spacing w:val="-2"/>
          <w:sz w:val="30"/>
        </w:rPr>
        <w:t xml:space="preserve"> </w:t>
      </w:r>
      <w:r>
        <w:rPr>
          <w:sz w:val="30"/>
        </w:rPr>
        <w:t xml:space="preserve">true—when, in fact, it’s </w:t>
      </w:r>
      <w:r>
        <w:rPr>
          <w:i/>
          <w:sz w:val="30"/>
        </w:rPr>
        <w:t>never</w:t>
      </w:r>
      <w:r>
        <w:rPr>
          <w:i/>
          <w:spacing w:val="-3"/>
          <w:sz w:val="30"/>
        </w:rPr>
        <w:t xml:space="preserve"> </w:t>
      </w:r>
      <w:r>
        <w:rPr>
          <w:sz w:val="30"/>
        </w:rPr>
        <w:t xml:space="preserve">true (or </w:t>
      </w:r>
      <w:r>
        <w:rPr>
          <w:spacing w:val="-2"/>
          <w:sz w:val="30"/>
        </w:rPr>
        <w:t>false).</w:t>
      </w:r>
    </w:p>
    <w:p w14:paraId="7E002D4F" w14:textId="77777777" w:rsidR="009A58DB" w:rsidRDefault="00000000">
      <w:pPr>
        <w:pStyle w:val="BodyText"/>
        <w:spacing w:before="14" w:line="249" w:lineRule="auto"/>
        <w:ind w:right="360" w:firstLine="360"/>
      </w:pPr>
      <w:r>
        <w:t xml:space="preserve">But what (1) is </w:t>
      </w:r>
      <w:r>
        <w:rPr>
          <w:i/>
        </w:rPr>
        <w:t xml:space="preserve">meant </w:t>
      </w:r>
      <w:r>
        <w:t>to express, even though it fails to do so, is that, given the expression “P or not-P,” the result of replacing both occurrences of “P” with a true or false sentence is itself a truth. (For example, if we replace those occurrences with “snow is white,” the result is “either snow is white or it is not the case that snow is white,” which is true.)</w:t>
      </w:r>
    </w:p>
    <w:p w14:paraId="7E002D50" w14:textId="77777777" w:rsidR="009A58DB" w:rsidRDefault="00000000">
      <w:pPr>
        <w:pStyle w:val="BodyText"/>
        <w:spacing w:before="6"/>
        <w:ind w:left="720"/>
      </w:pPr>
      <w:r>
        <w:t>The</w:t>
      </w:r>
      <w:r>
        <w:rPr>
          <w:spacing w:val="-2"/>
        </w:rPr>
        <w:t xml:space="preserve"> sentence:</w:t>
      </w:r>
    </w:p>
    <w:p w14:paraId="7E002D51" w14:textId="77777777" w:rsidR="009A58DB" w:rsidRDefault="009A58DB">
      <w:pPr>
        <w:pStyle w:val="BodyText"/>
        <w:spacing w:before="30"/>
        <w:ind w:left="0"/>
        <w:jc w:val="left"/>
      </w:pPr>
    </w:p>
    <w:p w14:paraId="7E002D52" w14:textId="77777777" w:rsidR="009A58DB" w:rsidRDefault="00000000">
      <w:pPr>
        <w:pStyle w:val="ListParagraph"/>
        <w:numPr>
          <w:ilvl w:val="0"/>
          <w:numId w:val="14"/>
        </w:numPr>
        <w:tabs>
          <w:tab w:val="left" w:pos="782"/>
        </w:tabs>
        <w:spacing w:line="501" w:lineRule="auto"/>
        <w:ind w:right="2504" w:firstLine="0"/>
        <w:rPr>
          <w:sz w:val="30"/>
        </w:rPr>
      </w:pPr>
      <w:r>
        <w:rPr>
          <w:sz w:val="30"/>
        </w:rPr>
        <w:t>For</w:t>
      </w:r>
      <w:r>
        <w:rPr>
          <w:spacing w:val="-5"/>
          <w:sz w:val="30"/>
        </w:rPr>
        <w:t xml:space="preserve"> </w:t>
      </w:r>
      <w:r>
        <w:rPr>
          <w:sz w:val="30"/>
        </w:rPr>
        <w:t>any</w:t>
      </w:r>
      <w:r>
        <w:rPr>
          <w:spacing w:val="-4"/>
          <w:sz w:val="30"/>
        </w:rPr>
        <w:t xml:space="preserve"> </w:t>
      </w:r>
      <w:r>
        <w:rPr>
          <w:sz w:val="30"/>
        </w:rPr>
        <w:t>proposition</w:t>
      </w:r>
      <w:r>
        <w:rPr>
          <w:spacing w:val="-4"/>
          <w:sz w:val="30"/>
        </w:rPr>
        <w:t xml:space="preserve"> </w:t>
      </w:r>
      <w:r>
        <w:rPr>
          <w:sz w:val="30"/>
        </w:rPr>
        <w:t>P,</w:t>
      </w:r>
      <w:r>
        <w:rPr>
          <w:spacing w:val="-4"/>
          <w:sz w:val="30"/>
        </w:rPr>
        <w:t xml:space="preserve"> </w:t>
      </w:r>
      <w:r>
        <w:rPr>
          <w:sz w:val="30"/>
        </w:rPr>
        <w:t>the</w:t>
      </w:r>
      <w:r>
        <w:rPr>
          <w:spacing w:val="-5"/>
          <w:sz w:val="30"/>
        </w:rPr>
        <w:t xml:space="preserve"> </w:t>
      </w:r>
      <w:r>
        <w:rPr>
          <w:sz w:val="30"/>
        </w:rPr>
        <w:t>expression</w:t>
      </w:r>
      <w:r>
        <w:rPr>
          <w:spacing w:val="-4"/>
          <w:sz w:val="30"/>
        </w:rPr>
        <w:t xml:space="preserve"> </w:t>
      </w:r>
      <w:r>
        <w:rPr>
          <w:sz w:val="30"/>
        </w:rPr>
        <w:t>‹P</w:t>
      </w:r>
      <w:r>
        <w:rPr>
          <w:spacing w:val="-5"/>
          <w:sz w:val="30"/>
        </w:rPr>
        <w:t xml:space="preserve"> </w:t>
      </w:r>
      <w:r>
        <w:rPr>
          <w:sz w:val="30"/>
        </w:rPr>
        <w:t>or</w:t>
      </w:r>
      <w:r>
        <w:rPr>
          <w:spacing w:val="-5"/>
          <w:sz w:val="30"/>
        </w:rPr>
        <w:t xml:space="preserve"> </w:t>
      </w:r>
      <w:r>
        <w:rPr>
          <w:sz w:val="30"/>
        </w:rPr>
        <w:t>not-P›</w:t>
      </w:r>
      <w:r>
        <w:rPr>
          <w:spacing w:val="-5"/>
          <w:sz w:val="30"/>
        </w:rPr>
        <w:t xml:space="preserve"> </w:t>
      </w:r>
      <w:r>
        <w:rPr>
          <w:sz w:val="30"/>
        </w:rPr>
        <w:t>is</w:t>
      </w:r>
      <w:r>
        <w:rPr>
          <w:spacing w:val="-5"/>
          <w:sz w:val="30"/>
        </w:rPr>
        <w:t xml:space="preserve"> </w:t>
      </w:r>
      <w:r>
        <w:rPr>
          <w:sz w:val="30"/>
        </w:rPr>
        <w:t>true is an abbreviation for</w:t>
      </w:r>
    </w:p>
    <w:p w14:paraId="7E002D53" w14:textId="77777777" w:rsidR="009A58DB" w:rsidRDefault="009A58DB">
      <w:pPr>
        <w:pStyle w:val="ListParagraph"/>
        <w:spacing w:line="501" w:lineRule="auto"/>
        <w:rPr>
          <w:sz w:val="30"/>
        </w:rPr>
        <w:sectPr w:rsidR="009A58DB">
          <w:pgSz w:w="12240" w:h="15840"/>
          <w:pgMar w:top="1380" w:right="1080" w:bottom="280" w:left="1080" w:header="720" w:footer="720" w:gutter="0"/>
          <w:cols w:space="720"/>
        </w:sectPr>
      </w:pPr>
    </w:p>
    <w:p w14:paraId="7E002D54" w14:textId="77777777" w:rsidR="009A58DB" w:rsidRDefault="00000000">
      <w:pPr>
        <w:pStyle w:val="ListParagraph"/>
        <w:numPr>
          <w:ilvl w:val="0"/>
          <w:numId w:val="13"/>
        </w:numPr>
        <w:tabs>
          <w:tab w:val="left" w:pos="916"/>
          <w:tab w:val="left" w:pos="1856"/>
          <w:tab w:val="left" w:pos="2430"/>
          <w:tab w:val="left" w:pos="3920"/>
          <w:tab w:val="left" w:pos="4427"/>
          <w:tab w:val="left" w:pos="4884"/>
          <w:tab w:val="left" w:pos="5949"/>
          <w:tab w:val="left" w:pos="6523"/>
          <w:tab w:val="left" w:pos="7396"/>
          <w:tab w:val="left" w:pos="7853"/>
          <w:tab w:val="left" w:pos="9176"/>
        </w:tabs>
        <w:spacing w:before="65" w:line="249" w:lineRule="auto"/>
        <w:ind w:right="368" w:firstLine="0"/>
        <w:rPr>
          <w:sz w:val="30"/>
        </w:rPr>
      </w:pPr>
      <w:r>
        <w:rPr>
          <w:spacing w:val="-2"/>
          <w:sz w:val="30"/>
        </w:rPr>
        <w:t>Given</w:t>
      </w:r>
      <w:r>
        <w:rPr>
          <w:sz w:val="30"/>
        </w:rPr>
        <w:tab/>
      </w:r>
      <w:r>
        <w:rPr>
          <w:spacing w:val="-4"/>
          <w:sz w:val="30"/>
        </w:rPr>
        <w:t>the</w:t>
      </w:r>
      <w:r>
        <w:rPr>
          <w:sz w:val="30"/>
        </w:rPr>
        <w:tab/>
      </w:r>
      <w:r>
        <w:rPr>
          <w:spacing w:val="-2"/>
          <w:sz w:val="30"/>
        </w:rPr>
        <w:t>expression</w:t>
      </w:r>
      <w:r>
        <w:rPr>
          <w:sz w:val="30"/>
        </w:rPr>
        <w:tab/>
      </w:r>
      <w:r>
        <w:rPr>
          <w:spacing w:val="-6"/>
          <w:sz w:val="30"/>
        </w:rPr>
        <w:t>“P</w:t>
      </w:r>
      <w:r>
        <w:rPr>
          <w:sz w:val="30"/>
        </w:rPr>
        <w:tab/>
      </w:r>
      <w:r>
        <w:rPr>
          <w:spacing w:val="-6"/>
          <w:sz w:val="30"/>
        </w:rPr>
        <w:t>or</w:t>
      </w:r>
      <w:r>
        <w:rPr>
          <w:sz w:val="30"/>
        </w:rPr>
        <w:tab/>
      </w:r>
      <w:r>
        <w:rPr>
          <w:spacing w:val="-2"/>
          <w:sz w:val="30"/>
        </w:rPr>
        <w:t>not-P,”</w:t>
      </w:r>
      <w:r>
        <w:rPr>
          <w:sz w:val="30"/>
        </w:rPr>
        <w:tab/>
      </w:r>
      <w:r>
        <w:rPr>
          <w:spacing w:val="-4"/>
          <w:sz w:val="30"/>
        </w:rPr>
        <w:t>the</w:t>
      </w:r>
      <w:r>
        <w:rPr>
          <w:sz w:val="30"/>
        </w:rPr>
        <w:tab/>
      </w:r>
      <w:r>
        <w:rPr>
          <w:spacing w:val="-2"/>
          <w:sz w:val="30"/>
        </w:rPr>
        <w:t>result</w:t>
      </w:r>
      <w:r>
        <w:rPr>
          <w:sz w:val="30"/>
        </w:rPr>
        <w:tab/>
      </w:r>
      <w:r>
        <w:rPr>
          <w:spacing w:val="-6"/>
          <w:sz w:val="30"/>
        </w:rPr>
        <w:t>of</w:t>
      </w:r>
      <w:r>
        <w:rPr>
          <w:sz w:val="30"/>
        </w:rPr>
        <w:tab/>
      </w:r>
      <w:r>
        <w:rPr>
          <w:spacing w:val="-2"/>
          <w:sz w:val="30"/>
        </w:rPr>
        <w:t>replacing</w:t>
      </w:r>
      <w:r>
        <w:rPr>
          <w:sz w:val="30"/>
        </w:rPr>
        <w:tab/>
      </w:r>
      <w:r>
        <w:rPr>
          <w:spacing w:val="-4"/>
          <w:sz w:val="30"/>
        </w:rPr>
        <w:t xml:space="preserve">both </w:t>
      </w:r>
      <w:r>
        <w:rPr>
          <w:sz w:val="30"/>
        </w:rPr>
        <w:t>occurrences of “P” with a true or false sentences is itself a truth.</w:t>
      </w:r>
    </w:p>
    <w:p w14:paraId="7E002D55" w14:textId="77777777" w:rsidR="009A58DB" w:rsidRDefault="009A58DB">
      <w:pPr>
        <w:pStyle w:val="BodyText"/>
        <w:spacing w:before="17"/>
        <w:ind w:left="0"/>
        <w:jc w:val="left"/>
      </w:pPr>
    </w:p>
    <w:p w14:paraId="7E002D56" w14:textId="77777777" w:rsidR="009A58DB" w:rsidRDefault="00000000">
      <w:pPr>
        <w:pStyle w:val="BodyText"/>
        <w:jc w:val="left"/>
      </w:pPr>
      <w:r>
        <w:t>(1)</w:t>
      </w:r>
      <w:r>
        <w:rPr>
          <w:spacing w:val="-4"/>
        </w:rPr>
        <w:t xml:space="preserve"> </w:t>
      </w:r>
      <w:r>
        <w:t>is</w:t>
      </w:r>
      <w:r>
        <w:rPr>
          <w:spacing w:val="-4"/>
        </w:rPr>
        <w:t xml:space="preserve"> </w:t>
      </w:r>
      <w:r>
        <w:t>often</w:t>
      </w:r>
      <w:r>
        <w:rPr>
          <w:spacing w:val="-3"/>
        </w:rPr>
        <w:t xml:space="preserve"> </w:t>
      </w:r>
      <w:r>
        <w:t>abbreviated</w:t>
      </w:r>
      <w:r>
        <w:rPr>
          <w:spacing w:val="-3"/>
        </w:rPr>
        <w:t xml:space="preserve"> </w:t>
      </w:r>
      <w:r>
        <w:rPr>
          <w:spacing w:val="-4"/>
        </w:rPr>
        <w:t>into:</w:t>
      </w:r>
    </w:p>
    <w:p w14:paraId="7E002D57" w14:textId="77777777" w:rsidR="009A58DB" w:rsidRDefault="009A58DB">
      <w:pPr>
        <w:pStyle w:val="BodyText"/>
        <w:spacing w:before="30"/>
        <w:ind w:left="0"/>
        <w:jc w:val="left"/>
      </w:pPr>
    </w:p>
    <w:p w14:paraId="7E002D58" w14:textId="77777777" w:rsidR="009A58DB" w:rsidRDefault="00000000">
      <w:pPr>
        <w:pStyle w:val="ListParagraph"/>
        <w:numPr>
          <w:ilvl w:val="0"/>
          <w:numId w:val="13"/>
        </w:numPr>
        <w:tabs>
          <w:tab w:val="left" w:pos="782"/>
        </w:tabs>
        <w:ind w:left="782" w:hanging="422"/>
        <w:rPr>
          <w:sz w:val="30"/>
        </w:rPr>
      </w:pPr>
      <w:r>
        <w:rPr>
          <w:sz w:val="30"/>
        </w:rPr>
        <w:t>For</w:t>
      </w:r>
      <w:r>
        <w:rPr>
          <w:spacing w:val="-5"/>
          <w:sz w:val="30"/>
        </w:rPr>
        <w:t xml:space="preserve"> </w:t>
      </w:r>
      <w:r>
        <w:rPr>
          <w:sz w:val="30"/>
        </w:rPr>
        <w:t>any</w:t>
      </w:r>
      <w:r>
        <w:rPr>
          <w:spacing w:val="-1"/>
          <w:sz w:val="30"/>
        </w:rPr>
        <w:t xml:space="preserve"> </w:t>
      </w:r>
      <w:r>
        <w:rPr>
          <w:sz w:val="30"/>
        </w:rPr>
        <w:t>P,</w:t>
      </w:r>
      <w:r>
        <w:rPr>
          <w:spacing w:val="-1"/>
          <w:sz w:val="30"/>
        </w:rPr>
        <w:t xml:space="preserve"> </w:t>
      </w:r>
      <w:r>
        <w:rPr>
          <w:sz w:val="30"/>
        </w:rPr>
        <w:t>‹P</w:t>
      </w:r>
      <w:r>
        <w:rPr>
          <w:spacing w:val="-2"/>
          <w:sz w:val="30"/>
        </w:rPr>
        <w:t xml:space="preserve"> </w:t>
      </w:r>
      <w:r>
        <w:rPr>
          <w:sz w:val="30"/>
        </w:rPr>
        <w:t>or</w:t>
      </w:r>
      <w:r>
        <w:rPr>
          <w:spacing w:val="-2"/>
          <w:sz w:val="30"/>
        </w:rPr>
        <w:t xml:space="preserve"> </w:t>
      </w:r>
      <w:r>
        <w:rPr>
          <w:sz w:val="30"/>
        </w:rPr>
        <w:t>not-P›</w:t>
      </w:r>
      <w:r>
        <w:rPr>
          <w:spacing w:val="-2"/>
          <w:sz w:val="30"/>
        </w:rPr>
        <w:t xml:space="preserve"> </w:t>
      </w:r>
      <w:r>
        <w:rPr>
          <w:sz w:val="30"/>
        </w:rPr>
        <w:t>is</w:t>
      </w:r>
      <w:r>
        <w:rPr>
          <w:spacing w:val="-2"/>
          <w:sz w:val="30"/>
        </w:rPr>
        <w:t xml:space="preserve"> </w:t>
      </w:r>
      <w:r>
        <w:rPr>
          <w:spacing w:val="-4"/>
          <w:sz w:val="30"/>
        </w:rPr>
        <w:t>true,</w:t>
      </w:r>
    </w:p>
    <w:p w14:paraId="7E002D59" w14:textId="77777777" w:rsidR="009A58DB" w:rsidRDefault="009A58DB">
      <w:pPr>
        <w:pStyle w:val="BodyText"/>
        <w:spacing w:before="30"/>
        <w:ind w:left="0"/>
        <w:jc w:val="left"/>
      </w:pPr>
    </w:p>
    <w:p w14:paraId="7E002D5A" w14:textId="77777777" w:rsidR="009A58DB" w:rsidRDefault="00000000">
      <w:pPr>
        <w:pStyle w:val="BodyText"/>
        <w:jc w:val="left"/>
      </w:pPr>
      <w:r>
        <w:t>which,</w:t>
      </w:r>
      <w:r>
        <w:rPr>
          <w:spacing w:val="-3"/>
        </w:rPr>
        <w:t xml:space="preserve"> </w:t>
      </w:r>
      <w:r>
        <w:t>in</w:t>
      </w:r>
      <w:r>
        <w:rPr>
          <w:spacing w:val="-3"/>
        </w:rPr>
        <w:t xml:space="preserve"> </w:t>
      </w:r>
      <w:r>
        <w:t>its</w:t>
      </w:r>
      <w:r>
        <w:rPr>
          <w:spacing w:val="-4"/>
        </w:rPr>
        <w:t xml:space="preserve"> </w:t>
      </w:r>
      <w:r>
        <w:t>turn,</w:t>
      </w:r>
      <w:r>
        <w:rPr>
          <w:spacing w:val="-2"/>
        </w:rPr>
        <w:t xml:space="preserve"> </w:t>
      </w:r>
      <w:r>
        <w:t>is</w:t>
      </w:r>
      <w:r>
        <w:rPr>
          <w:spacing w:val="-4"/>
        </w:rPr>
        <w:t xml:space="preserve"> </w:t>
      </w:r>
      <w:r>
        <w:t>often</w:t>
      </w:r>
      <w:r>
        <w:rPr>
          <w:spacing w:val="-3"/>
        </w:rPr>
        <w:t xml:space="preserve"> </w:t>
      </w:r>
      <w:r>
        <w:t>abbreviated</w:t>
      </w:r>
      <w:r>
        <w:rPr>
          <w:spacing w:val="-2"/>
        </w:rPr>
        <w:t xml:space="preserve"> into:</w:t>
      </w:r>
    </w:p>
    <w:p w14:paraId="7E002D5B" w14:textId="77777777" w:rsidR="009A58DB" w:rsidRDefault="009A58DB">
      <w:pPr>
        <w:pStyle w:val="BodyText"/>
        <w:spacing w:before="30"/>
        <w:ind w:left="0"/>
        <w:jc w:val="left"/>
      </w:pPr>
    </w:p>
    <w:p w14:paraId="7E002D5C" w14:textId="77777777" w:rsidR="009A58DB" w:rsidRDefault="00000000">
      <w:pPr>
        <w:pStyle w:val="ListParagraph"/>
        <w:numPr>
          <w:ilvl w:val="0"/>
          <w:numId w:val="13"/>
        </w:numPr>
        <w:tabs>
          <w:tab w:val="left" w:pos="782"/>
        </w:tabs>
        <w:ind w:left="782" w:hanging="422"/>
        <w:rPr>
          <w:sz w:val="30"/>
        </w:rPr>
      </w:pPr>
      <w:r>
        <w:rPr>
          <w:sz w:val="30"/>
        </w:rPr>
        <w:t>P</w:t>
      </w:r>
      <w:r>
        <w:rPr>
          <w:spacing w:val="-2"/>
          <w:sz w:val="30"/>
        </w:rPr>
        <w:t xml:space="preserve"> </w:t>
      </w:r>
      <w:r>
        <w:rPr>
          <w:sz w:val="30"/>
        </w:rPr>
        <w:t>or</w:t>
      </w:r>
      <w:r>
        <w:rPr>
          <w:spacing w:val="-2"/>
          <w:sz w:val="30"/>
        </w:rPr>
        <w:t xml:space="preserve"> </w:t>
      </w:r>
      <w:r>
        <w:rPr>
          <w:sz w:val="30"/>
        </w:rPr>
        <w:t>not-</w:t>
      </w:r>
      <w:r>
        <w:rPr>
          <w:spacing w:val="-5"/>
          <w:sz w:val="30"/>
        </w:rPr>
        <w:t>P.</w:t>
      </w:r>
    </w:p>
    <w:p w14:paraId="7E002D5D" w14:textId="77777777" w:rsidR="009A58DB" w:rsidRDefault="009A58DB">
      <w:pPr>
        <w:pStyle w:val="BodyText"/>
        <w:spacing w:before="30"/>
        <w:ind w:left="0"/>
        <w:jc w:val="left"/>
      </w:pPr>
    </w:p>
    <w:p w14:paraId="7E002D5E" w14:textId="77777777" w:rsidR="009A58DB" w:rsidRDefault="00000000">
      <w:pPr>
        <w:pStyle w:val="BodyText"/>
        <w:spacing w:line="249" w:lineRule="auto"/>
        <w:ind w:right="358" w:firstLine="360"/>
      </w:pPr>
      <w:r>
        <w:t xml:space="preserve">The strange rectangular expressions in (3) are known as “quasi-quotation marks.” Putting quasi-quotation marks around an expression results in an expression that refers to everything in the original expression </w:t>
      </w:r>
      <w:r>
        <w:rPr>
          <w:i/>
        </w:rPr>
        <w:t>besides the variables.</w:t>
      </w:r>
      <w:r>
        <w:rPr>
          <w:i/>
          <w:spacing w:val="-2"/>
        </w:rPr>
        <w:t xml:space="preserve"> </w:t>
      </w:r>
      <w:r>
        <w:t xml:space="preserve">So ‹if x is larger than y and y is larger than z, then x is larger than z› is an expression that refers to everything in the expression in between the quasi-quotation marks </w:t>
      </w:r>
      <w:r>
        <w:rPr>
          <w:i/>
        </w:rPr>
        <w:t xml:space="preserve">besides </w:t>
      </w:r>
      <w:r>
        <w:t>the occurrences of “x,” “y,” and “z.” Quasi-quotation marks are the invention of Willard van Orman Quine (1941).</w:t>
      </w:r>
    </w:p>
    <w:p w14:paraId="7E002D5F" w14:textId="77777777" w:rsidR="009A58DB" w:rsidRDefault="00000000">
      <w:pPr>
        <w:pStyle w:val="BodyText"/>
        <w:spacing w:before="9" w:line="249" w:lineRule="auto"/>
        <w:ind w:right="368" w:firstLine="360"/>
      </w:pPr>
      <w:r>
        <w:t>Quasi-quotation marks are extremely useful. Without them, or some other comparable device, we couldn’t express the truth expressed by the sentence:</w:t>
      </w:r>
    </w:p>
    <w:p w14:paraId="7E002D60" w14:textId="77777777" w:rsidR="009A58DB" w:rsidRDefault="009A58DB">
      <w:pPr>
        <w:pStyle w:val="BodyText"/>
        <w:spacing w:before="17"/>
        <w:ind w:left="0"/>
        <w:jc w:val="left"/>
      </w:pPr>
    </w:p>
    <w:p w14:paraId="7E002D61" w14:textId="77777777" w:rsidR="009A58DB" w:rsidRDefault="00000000">
      <w:pPr>
        <w:pStyle w:val="ListParagraph"/>
        <w:numPr>
          <w:ilvl w:val="0"/>
          <w:numId w:val="12"/>
        </w:numPr>
        <w:tabs>
          <w:tab w:val="left" w:pos="812"/>
        </w:tabs>
        <w:spacing w:line="249" w:lineRule="auto"/>
        <w:ind w:right="369" w:firstLine="0"/>
        <w:rPr>
          <w:sz w:val="30"/>
        </w:rPr>
      </w:pPr>
      <w:r>
        <w:rPr>
          <w:sz w:val="30"/>
        </w:rPr>
        <w:t>For</w:t>
      </w:r>
      <w:r>
        <w:rPr>
          <w:spacing w:val="27"/>
          <w:sz w:val="30"/>
        </w:rPr>
        <w:t xml:space="preserve"> </w:t>
      </w:r>
      <w:r>
        <w:rPr>
          <w:sz w:val="30"/>
        </w:rPr>
        <w:t>all</w:t>
      </w:r>
      <w:r>
        <w:rPr>
          <w:spacing w:val="27"/>
          <w:sz w:val="30"/>
        </w:rPr>
        <w:t xml:space="preserve"> </w:t>
      </w:r>
      <w:r>
        <w:rPr>
          <w:sz w:val="30"/>
        </w:rPr>
        <w:t>values</w:t>
      </w:r>
      <w:r>
        <w:rPr>
          <w:spacing w:val="27"/>
          <w:sz w:val="30"/>
        </w:rPr>
        <w:t xml:space="preserve"> </w:t>
      </w:r>
      <w:r>
        <w:rPr>
          <w:sz w:val="30"/>
        </w:rPr>
        <w:t>of</w:t>
      </w:r>
      <w:r>
        <w:rPr>
          <w:spacing w:val="27"/>
          <w:sz w:val="30"/>
        </w:rPr>
        <w:t xml:space="preserve"> </w:t>
      </w:r>
      <w:r>
        <w:rPr>
          <w:sz w:val="30"/>
        </w:rPr>
        <w:t>x,</w:t>
      </w:r>
      <w:r>
        <w:rPr>
          <w:spacing w:val="28"/>
          <w:sz w:val="30"/>
        </w:rPr>
        <w:t xml:space="preserve"> </w:t>
      </w:r>
      <w:r>
        <w:rPr>
          <w:sz w:val="30"/>
        </w:rPr>
        <w:t>y,</w:t>
      </w:r>
      <w:r>
        <w:rPr>
          <w:spacing w:val="28"/>
          <w:sz w:val="30"/>
        </w:rPr>
        <w:t xml:space="preserve"> </w:t>
      </w:r>
      <w:r>
        <w:rPr>
          <w:sz w:val="30"/>
        </w:rPr>
        <w:t>and</w:t>
      </w:r>
      <w:r>
        <w:rPr>
          <w:spacing w:val="28"/>
          <w:sz w:val="30"/>
        </w:rPr>
        <w:t xml:space="preserve"> </w:t>
      </w:r>
      <w:r>
        <w:rPr>
          <w:sz w:val="30"/>
        </w:rPr>
        <w:t>z,</w:t>
      </w:r>
      <w:r>
        <w:rPr>
          <w:spacing w:val="28"/>
          <w:sz w:val="30"/>
        </w:rPr>
        <w:t xml:space="preserve"> </w:t>
      </w:r>
      <w:r>
        <w:rPr>
          <w:sz w:val="30"/>
        </w:rPr>
        <w:t>the</w:t>
      </w:r>
      <w:r>
        <w:rPr>
          <w:spacing w:val="27"/>
          <w:sz w:val="30"/>
        </w:rPr>
        <w:t xml:space="preserve"> </w:t>
      </w:r>
      <w:r>
        <w:rPr>
          <w:sz w:val="30"/>
        </w:rPr>
        <w:t>sentence</w:t>
      </w:r>
      <w:r>
        <w:rPr>
          <w:spacing w:val="27"/>
          <w:sz w:val="30"/>
        </w:rPr>
        <w:t xml:space="preserve"> </w:t>
      </w:r>
      <w:r>
        <w:rPr>
          <w:sz w:val="30"/>
        </w:rPr>
        <w:t>‹if</w:t>
      </w:r>
      <w:r>
        <w:rPr>
          <w:spacing w:val="27"/>
          <w:sz w:val="30"/>
        </w:rPr>
        <w:t xml:space="preserve"> </w:t>
      </w:r>
      <w:r>
        <w:rPr>
          <w:sz w:val="30"/>
        </w:rPr>
        <w:t>x</w:t>
      </w:r>
      <w:r>
        <w:rPr>
          <w:spacing w:val="28"/>
          <w:sz w:val="30"/>
        </w:rPr>
        <w:t xml:space="preserve"> </w:t>
      </w:r>
      <w:r>
        <w:rPr>
          <w:sz w:val="30"/>
        </w:rPr>
        <w:t>is</w:t>
      </w:r>
      <w:r>
        <w:rPr>
          <w:spacing w:val="27"/>
          <w:sz w:val="30"/>
        </w:rPr>
        <w:t xml:space="preserve"> </w:t>
      </w:r>
      <w:r>
        <w:rPr>
          <w:sz w:val="30"/>
        </w:rPr>
        <w:t>larger</w:t>
      </w:r>
      <w:r>
        <w:rPr>
          <w:spacing w:val="27"/>
          <w:sz w:val="30"/>
        </w:rPr>
        <w:t xml:space="preserve"> </w:t>
      </w:r>
      <w:r>
        <w:rPr>
          <w:sz w:val="30"/>
        </w:rPr>
        <w:t>than</w:t>
      </w:r>
      <w:r>
        <w:rPr>
          <w:spacing w:val="28"/>
          <w:sz w:val="30"/>
        </w:rPr>
        <w:t xml:space="preserve"> </w:t>
      </w:r>
      <w:r>
        <w:rPr>
          <w:sz w:val="30"/>
        </w:rPr>
        <w:t>y</w:t>
      </w:r>
      <w:r>
        <w:rPr>
          <w:spacing w:val="28"/>
          <w:sz w:val="30"/>
        </w:rPr>
        <w:t xml:space="preserve"> </w:t>
      </w:r>
      <w:r>
        <w:rPr>
          <w:sz w:val="30"/>
        </w:rPr>
        <w:t>and</w:t>
      </w:r>
      <w:r>
        <w:rPr>
          <w:spacing w:val="28"/>
          <w:sz w:val="30"/>
        </w:rPr>
        <w:t xml:space="preserve"> </w:t>
      </w:r>
      <w:r>
        <w:rPr>
          <w:sz w:val="30"/>
        </w:rPr>
        <w:t>y</w:t>
      </w:r>
      <w:r>
        <w:rPr>
          <w:spacing w:val="28"/>
          <w:sz w:val="30"/>
        </w:rPr>
        <w:t xml:space="preserve"> </w:t>
      </w:r>
      <w:r>
        <w:rPr>
          <w:sz w:val="30"/>
        </w:rPr>
        <w:t>is larger than z, then x is larger than z› is true.</w:t>
      </w:r>
    </w:p>
    <w:p w14:paraId="7E002D62" w14:textId="77777777" w:rsidR="009A58DB" w:rsidRDefault="009A58DB">
      <w:pPr>
        <w:pStyle w:val="ListParagraph"/>
        <w:spacing w:line="249" w:lineRule="auto"/>
        <w:rPr>
          <w:sz w:val="30"/>
        </w:rPr>
        <w:sectPr w:rsidR="009A58DB">
          <w:pgSz w:w="12240" w:h="15840"/>
          <w:pgMar w:top="1740" w:right="1080" w:bottom="280" w:left="1080" w:header="720" w:footer="720" w:gutter="0"/>
          <w:cols w:space="720"/>
        </w:sectPr>
      </w:pPr>
    </w:p>
    <w:p w14:paraId="7E002D63" w14:textId="77777777" w:rsidR="009A58DB" w:rsidRDefault="00000000">
      <w:pPr>
        <w:pStyle w:val="BodyText"/>
        <w:spacing w:before="65" w:line="249" w:lineRule="auto"/>
        <w:ind w:right="360"/>
      </w:pPr>
      <w:r>
        <w:t xml:space="preserve">Quasi-quotes, though seldom </w:t>
      </w:r>
      <w:r>
        <w:rPr>
          <w:i/>
        </w:rPr>
        <w:t xml:space="preserve">overtly </w:t>
      </w:r>
      <w:r>
        <w:t xml:space="preserve">present in discourse, are very often </w:t>
      </w:r>
      <w:r>
        <w:rPr>
          <w:i/>
        </w:rPr>
        <w:t xml:space="preserve">implicitly </w:t>
      </w:r>
      <w:r>
        <w:t>so. I’ve shown elsewhere that, without them, it isn’t possible to make what is meant by expressions that have “discourse-internal</w:t>
      </w:r>
      <w:r>
        <w:rPr>
          <w:spacing w:val="40"/>
        </w:rPr>
        <w:t xml:space="preserve"> </w:t>
      </w:r>
      <w:r>
        <w:t>referents,”—for</w:t>
      </w:r>
      <w:r>
        <w:rPr>
          <w:spacing w:val="-3"/>
        </w:rPr>
        <w:t xml:space="preserve"> </w:t>
      </w:r>
      <w:r>
        <w:t>example,</w:t>
      </w:r>
      <w:r>
        <w:rPr>
          <w:spacing w:val="-3"/>
        </w:rPr>
        <w:t xml:space="preserve"> </w:t>
      </w:r>
      <w:r>
        <w:t>the</w:t>
      </w:r>
      <w:r>
        <w:rPr>
          <w:spacing w:val="-3"/>
        </w:rPr>
        <w:t xml:space="preserve"> </w:t>
      </w:r>
      <w:r>
        <w:t>occurrences</w:t>
      </w:r>
      <w:r>
        <w:rPr>
          <w:spacing w:val="-3"/>
        </w:rPr>
        <w:t xml:space="preserve"> </w:t>
      </w:r>
      <w:r>
        <w:t>of</w:t>
      </w:r>
      <w:r>
        <w:rPr>
          <w:spacing w:val="-3"/>
        </w:rPr>
        <w:t xml:space="preserve"> </w:t>
      </w:r>
      <w:r>
        <w:t>“that</w:t>
      </w:r>
      <w:r>
        <w:rPr>
          <w:spacing w:val="-3"/>
        </w:rPr>
        <w:t xml:space="preserve"> </w:t>
      </w:r>
      <w:r>
        <w:t>person”</w:t>
      </w:r>
      <w:r>
        <w:rPr>
          <w:spacing w:val="-3"/>
        </w:rPr>
        <w:t xml:space="preserve"> </w:t>
      </w:r>
      <w:r>
        <w:t>in</w:t>
      </w:r>
      <w:r>
        <w:rPr>
          <w:spacing w:val="-3"/>
        </w:rPr>
        <w:t xml:space="preserve"> </w:t>
      </w:r>
      <w:r>
        <w:t>the</w:t>
      </w:r>
      <w:r>
        <w:rPr>
          <w:spacing w:val="-3"/>
        </w:rPr>
        <w:t xml:space="preserve"> </w:t>
      </w:r>
      <w:r>
        <w:t>sentence:</w:t>
      </w:r>
      <w:r>
        <w:rPr>
          <w:spacing w:val="-3"/>
        </w:rPr>
        <w:t xml:space="preserve"> </w:t>
      </w:r>
      <w:r>
        <w:t>“if a</w:t>
      </w:r>
      <w:r>
        <w:rPr>
          <w:spacing w:val="-2"/>
        </w:rPr>
        <w:t xml:space="preserve"> </w:t>
      </w:r>
      <w:r>
        <w:t>person</w:t>
      </w:r>
      <w:r>
        <w:rPr>
          <w:spacing w:val="-1"/>
        </w:rPr>
        <w:t xml:space="preserve"> </w:t>
      </w:r>
      <w:r>
        <w:t>is</w:t>
      </w:r>
      <w:r>
        <w:rPr>
          <w:spacing w:val="-2"/>
        </w:rPr>
        <w:t xml:space="preserve"> </w:t>
      </w:r>
      <w:r>
        <w:t>mean</w:t>
      </w:r>
      <w:r>
        <w:rPr>
          <w:spacing w:val="-1"/>
        </w:rPr>
        <w:t xml:space="preserve"> </w:t>
      </w:r>
      <w:r>
        <w:t>to</w:t>
      </w:r>
      <w:r>
        <w:rPr>
          <w:spacing w:val="-2"/>
        </w:rPr>
        <w:t xml:space="preserve"> </w:t>
      </w:r>
      <w:r>
        <w:t>everyone,</w:t>
      </w:r>
      <w:r>
        <w:rPr>
          <w:spacing w:val="-1"/>
        </w:rPr>
        <w:t xml:space="preserve"> </w:t>
      </w:r>
      <w:r>
        <w:t>that</w:t>
      </w:r>
      <w:r>
        <w:rPr>
          <w:spacing w:val="-1"/>
        </w:rPr>
        <w:t xml:space="preserve"> </w:t>
      </w:r>
      <w:r>
        <w:t>person</w:t>
      </w:r>
      <w:r>
        <w:rPr>
          <w:spacing w:val="-2"/>
        </w:rPr>
        <w:t xml:space="preserve"> </w:t>
      </w:r>
      <w:r>
        <w:t>will</w:t>
      </w:r>
      <w:r>
        <w:rPr>
          <w:spacing w:val="-1"/>
        </w:rPr>
        <w:t xml:space="preserve"> </w:t>
      </w:r>
      <w:r>
        <w:t>have</w:t>
      </w:r>
      <w:r>
        <w:rPr>
          <w:spacing w:val="-2"/>
        </w:rPr>
        <w:t xml:space="preserve"> </w:t>
      </w:r>
      <w:r>
        <w:t>no</w:t>
      </w:r>
      <w:r>
        <w:rPr>
          <w:spacing w:val="-1"/>
        </w:rPr>
        <w:t xml:space="preserve"> </w:t>
      </w:r>
      <w:r>
        <w:t>friends</w:t>
      </w:r>
      <w:r>
        <w:rPr>
          <w:spacing w:val="-2"/>
        </w:rPr>
        <w:t xml:space="preserve"> </w:t>
      </w:r>
      <w:r>
        <w:t>and</w:t>
      </w:r>
      <w:r>
        <w:rPr>
          <w:spacing w:val="-1"/>
        </w:rPr>
        <w:t xml:space="preserve"> </w:t>
      </w:r>
      <w:r>
        <w:t>that</w:t>
      </w:r>
      <w:r>
        <w:rPr>
          <w:spacing w:val="-1"/>
        </w:rPr>
        <w:t xml:space="preserve"> </w:t>
      </w:r>
      <w:r>
        <w:t>person will therefore be unhappy.”</w:t>
      </w:r>
    </w:p>
    <w:p w14:paraId="7E002D64" w14:textId="77777777" w:rsidR="009A58DB" w:rsidRDefault="00000000">
      <w:pPr>
        <w:pStyle w:val="BodyText"/>
        <w:spacing w:before="7"/>
        <w:ind w:left="720"/>
      </w:pPr>
      <w:r>
        <w:t>Some</w:t>
      </w:r>
      <w:r>
        <w:rPr>
          <w:spacing w:val="-5"/>
        </w:rPr>
        <w:t xml:space="preserve"> </w:t>
      </w:r>
      <w:r>
        <w:t>more</w:t>
      </w:r>
      <w:r>
        <w:rPr>
          <w:spacing w:val="-5"/>
        </w:rPr>
        <w:t xml:space="preserve"> </w:t>
      </w:r>
      <w:r>
        <w:t>illustrations:</w:t>
      </w:r>
      <w:r>
        <w:rPr>
          <w:spacing w:val="-5"/>
        </w:rPr>
        <w:t xml:space="preserve"> </w:t>
      </w:r>
      <w:r>
        <w:t>The</w:t>
      </w:r>
      <w:r>
        <w:rPr>
          <w:spacing w:val="-4"/>
        </w:rPr>
        <w:t xml:space="preserve"> </w:t>
      </w:r>
      <w:r>
        <w:rPr>
          <w:spacing w:val="-2"/>
        </w:rPr>
        <w:t>sentence:</w:t>
      </w:r>
    </w:p>
    <w:p w14:paraId="7E002D65" w14:textId="77777777" w:rsidR="009A58DB" w:rsidRDefault="009A58DB">
      <w:pPr>
        <w:pStyle w:val="BodyText"/>
        <w:spacing w:before="30"/>
        <w:ind w:left="0"/>
        <w:jc w:val="left"/>
      </w:pPr>
    </w:p>
    <w:p w14:paraId="7E002D66" w14:textId="77777777" w:rsidR="009A58DB" w:rsidRDefault="00000000">
      <w:pPr>
        <w:pStyle w:val="ListParagraph"/>
        <w:numPr>
          <w:ilvl w:val="0"/>
          <w:numId w:val="12"/>
        </w:numPr>
        <w:tabs>
          <w:tab w:val="left" w:pos="782"/>
        </w:tabs>
        <w:ind w:left="782" w:hanging="422"/>
        <w:jc w:val="both"/>
        <w:rPr>
          <w:sz w:val="30"/>
        </w:rPr>
      </w:pPr>
      <w:r>
        <w:rPr>
          <w:sz w:val="30"/>
        </w:rPr>
        <w:t>For</w:t>
      </w:r>
      <w:r>
        <w:rPr>
          <w:spacing w:val="-6"/>
          <w:sz w:val="30"/>
        </w:rPr>
        <w:t xml:space="preserve"> </w:t>
      </w:r>
      <w:r>
        <w:rPr>
          <w:sz w:val="30"/>
        </w:rPr>
        <w:t>any</w:t>
      </w:r>
      <w:r>
        <w:rPr>
          <w:spacing w:val="-2"/>
          <w:sz w:val="30"/>
        </w:rPr>
        <w:t xml:space="preserve"> </w:t>
      </w:r>
      <w:r>
        <w:rPr>
          <w:sz w:val="30"/>
        </w:rPr>
        <w:t>individual</w:t>
      </w:r>
      <w:r>
        <w:rPr>
          <w:spacing w:val="-3"/>
          <w:sz w:val="30"/>
        </w:rPr>
        <w:t xml:space="preserve"> </w:t>
      </w:r>
      <w:r>
        <w:rPr>
          <w:sz w:val="30"/>
        </w:rPr>
        <w:t>x,</w:t>
      </w:r>
      <w:r>
        <w:rPr>
          <w:spacing w:val="-2"/>
          <w:sz w:val="30"/>
        </w:rPr>
        <w:t xml:space="preserve"> </w:t>
      </w:r>
      <w:r>
        <w:rPr>
          <w:sz w:val="30"/>
        </w:rPr>
        <w:t>the</w:t>
      </w:r>
      <w:r>
        <w:rPr>
          <w:spacing w:val="-3"/>
          <w:sz w:val="30"/>
        </w:rPr>
        <w:t xml:space="preserve"> </w:t>
      </w:r>
      <w:r>
        <w:rPr>
          <w:sz w:val="30"/>
        </w:rPr>
        <w:t>expression</w:t>
      </w:r>
      <w:r>
        <w:rPr>
          <w:spacing w:val="-2"/>
          <w:sz w:val="30"/>
        </w:rPr>
        <w:t xml:space="preserve"> </w:t>
      </w:r>
      <w:r>
        <w:rPr>
          <w:sz w:val="30"/>
        </w:rPr>
        <w:t>“x</w:t>
      </w:r>
      <w:r>
        <w:rPr>
          <w:spacing w:val="-2"/>
          <w:sz w:val="30"/>
        </w:rPr>
        <w:t xml:space="preserve"> </w:t>
      </w:r>
      <w:r>
        <w:rPr>
          <w:sz w:val="30"/>
        </w:rPr>
        <w:t>is</w:t>
      </w:r>
      <w:r>
        <w:rPr>
          <w:spacing w:val="-3"/>
          <w:sz w:val="30"/>
        </w:rPr>
        <w:t xml:space="preserve"> </w:t>
      </w:r>
      <w:r>
        <w:rPr>
          <w:sz w:val="30"/>
        </w:rPr>
        <w:t>identical</w:t>
      </w:r>
      <w:r>
        <w:rPr>
          <w:spacing w:val="-3"/>
          <w:sz w:val="30"/>
        </w:rPr>
        <w:t xml:space="preserve"> </w:t>
      </w:r>
      <w:r>
        <w:rPr>
          <w:sz w:val="30"/>
        </w:rPr>
        <w:t>with</w:t>
      </w:r>
      <w:r>
        <w:rPr>
          <w:spacing w:val="-2"/>
          <w:sz w:val="30"/>
        </w:rPr>
        <w:t xml:space="preserve"> </w:t>
      </w:r>
      <w:r>
        <w:rPr>
          <w:sz w:val="30"/>
        </w:rPr>
        <w:t>x”</w:t>
      </w:r>
      <w:r>
        <w:rPr>
          <w:spacing w:val="-3"/>
          <w:sz w:val="30"/>
        </w:rPr>
        <w:t xml:space="preserve"> </w:t>
      </w:r>
      <w:r>
        <w:rPr>
          <w:sz w:val="30"/>
        </w:rPr>
        <w:t>is</w:t>
      </w:r>
      <w:r>
        <w:rPr>
          <w:spacing w:val="-3"/>
          <w:sz w:val="30"/>
        </w:rPr>
        <w:t xml:space="preserve"> </w:t>
      </w:r>
      <w:r>
        <w:rPr>
          <w:spacing w:val="-2"/>
          <w:sz w:val="30"/>
        </w:rPr>
        <w:t>true,</w:t>
      </w:r>
    </w:p>
    <w:p w14:paraId="7E002D67" w14:textId="77777777" w:rsidR="009A58DB" w:rsidRDefault="009A58DB">
      <w:pPr>
        <w:pStyle w:val="BodyText"/>
        <w:spacing w:before="30"/>
        <w:ind w:left="0"/>
        <w:jc w:val="left"/>
      </w:pPr>
    </w:p>
    <w:p w14:paraId="7E002D68" w14:textId="77777777" w:rsidR="009A58DB" w:rsidRDefault="00000000">
      <w:pPr>
        <w:pStyle w:val="BodyText"/>
        <w:spacing w:line="249" w:lineRule="auto"/>
        <w:ind w:right="361"/>
      </w:pPr>
      <w:r>
        <w:t>is</w:t>
      </w:r>
      <w:r>
        <w:rPr>
          <w:spacing w:val="-1"/>
        </w:rPr>
        <w:t xml:space="preserve"> </w:t>
      </w:r>
      <w:r>
        <w:t>false.</w:t>
      </w:r>
      <w:r>
        <w:rPr>
          <w:spacing w:val="-1"/>
        </w:rPr>
        <w:t xml:space="preserve"> </w:t>
      </w:r>
      <w:r>
        <w:t>This</w:t>
      </w:r>
      <w:r>
        <w:rPr>
          <w:spacing w:val="-1"/>
        </w:rPr>
        <w:t xml:space="preserve"> </w:t>
      </w:r>
      <w:r>
        <w:t>is</w:t>
      </w:r>
      <w:r>
        <w:rPr>
          <w:spacing w:val="-1"/>
        </w:rPr>
        <w:t xml:space="preserve"> </w:t>
      </w:r>
      <w:r>
        <w:t>because</w:t>
      </w:r>
      <w:r>
        <w:rPr>
          <w:spacing w:val="-1"/>
        </w:rPr>
        <w:t xml:space="preserve"> </w:t>
      </w:r>
      <w:r>
        <w:t>“x</w:t>
      </w:r>
      <w:r>
        <w:rPr>
          <w:spacing w:val="-1"/>
        </w:rPr>
        <w:t xml:space="preserve"> </w:t>
      </w:r>
      <w:r>
        <w:t>is</w:t>
      </w:r>
      <w:r>
        <w:rPr>
          <w:spacing w:val="-1"/>
        </w:rPr>
        <w:t xml:space="preserve"> </w:t>
      </w:r>
      <w:r>
        <w:t>identical</w:t>
      </w:r>
      <w:r>
        <w:rPr>
          <w:spacing w:val="-1"/>
        </w:rPr>
        <w:t xml:space="preserve"> </w:t>
      </w:r>
      <w:r>
        <w:t>with</w:t>
      </w:r>
      <w:r>
        <w:rPr>
          <w:spacing w:val="-1"/>
        </w:rPr>
        <w:t xml:space="preserve"> </w:t>
      </w:r>
      <w:r>
        <w:t>x”</w:t>
      </w:r>
      <w:r>
        <w:rPr>
          <w:spacing w:val="-1"/>
        </w:rPr>
        <w:t xml:space="preserve"> </w:t>
      </w:r>
      <w:r>
        <w:t>is</w:t>
      </w:r>
      <w:r>
        <w:rPr>
          <w:spacing w:val="-1"/>
        </w:rPr>
        <w:t xml:space="preserve"> </w:t>
      </w:r>
      <w:r>
        <w:t>no</w:t>
      </w:r>
      <w:r>
        <w:rPr>
          <w:spacing w:val="-1"/>
        </w:rPr>
        <w:t xml:space="preserve"> </w:t>
      </w:r>
      <w:r>
        <w:t>more</w:t>
      </w:r>
      <w:r>
        <w:rPr>
          <w:spacing w:val="-1"/>
        </w:rPr>
        <w:t xml:space="preserve"> </w:t>
      </w:r>
      <w:r>
        <w:t>true</w:t>
      </w:r>
      <w:r>
        <w:rPr>
          <w:spacing w:val="-1"/>
        </w:rPr>
        <w:t xml:space="preserve"> </w:t>
      </w:r>
      <w:r>
        <w:t>or</w:t>
      </w:r>
      <w:r>
        <w:rPr>
          <w:spacing w:val="-1"/>
        </w:rPr>
        <w:t xml:space="preserve"> </w:t>
      </w:r>
      <w:r>
        <w:t>false</w:t>
      </w:r>
      <w:r>
        <w:rPr>
          <w:spacing w:val="-1"/>
        </w:rPr>
        <w:t xml:space="preserve"> </w:t>
      </w:r>
      <w:r>
        <w:t>than</w:t>
      </w:r>
      <w:r>
        <w:rPr>
          <w:spacing w:val="-1"/>
        </w:rPr>
        <w:t xml:space="preserve"> </w:t>
      </w:r>
      <w:r>
        <w:t xml:space="preserve">an out-of-the-blue utterance of “x is even.” What </w:t>
      </w:r>
      <w:r>
        <w:rPr>
          <w:i/>
        </w:rPr>
        <w:t xml:space="preserve">is </w:t>
      </w:r>
      <w:r>
        <w:t>true is the statement that:</w:t>
      </w:r>
    </w:p>
    <w:p w14:paraId="7E002D69" w14:textId="77777777" w:rsidR="009A58DB" w:rsidRDefault="009A58DB">
      <w:pPr>
        <w:pStyle w:val="BodyText"/>
        <w:spacing w:before="17"/>
        <w:ind w:left="0"/>
        <w:jc w:val="left"/>
      </w:pPr>
    </w:p>
    <w:p w14:paraId="7E002D6A" w14:textId="77777777" w:rsidR="009A58DB" w:rsidRDefault="00000000">
      <w:pPr>
        <w:pStyle w:val="ListParagraph"/>
        <w:numPr>
          <w:ilvl w:val="0"/>
          <w:numId w:val="12"/>
        </w:numPr>
        <w:tabs>
          <w:tab w:val="left" w:pos="793"/>
        </w:tabs>
        <w:spacing w:before="1" w:line="249" w:lineRule="auto"/>
        <w:ind w:right="361" w:firstLine="0"/>
        <w:jc w:val="both"/>
        <w:rPr>
          <w:sz w:val="30"/>
        </w:rPr>
      </w:pPr>
      <w:r>
        <w:rPr>
          <w:sz w:val="30"/>
        </w:rPr>
        <w:t>A true sentence results if the occurrences of “x” in “x is identical with x” are replaced with an expression, the same one in both cases, of an expression that picks out some object.</w:t>
      </w:r>
    </w:p>
    <w:p w14:paraId="7E002D6B" w14:textId="77777777" w:rsidR="009A58DB" w:rsidRDefault="009A58DB">
      <w:pPr>
        <w:pStyle w:val="BodyText"/>
        <w:spacing w:before="18"/>
        <w:ind w:left="0"/>
        <w:jc w:val="left"/>
      </w:pPr>
    </w:p>
    <w:p w14:paraId="7E002D6C" w14:textId="77777777" w:rsidR="009A58DB" w:rsidRDefault="00000000">
      <w:pPr>
        <w:pStyle w:val="BodyText"/>
      </w:pPr>
      <w:r>
        <w:t>The</w:t>
      </w:r>
      <w:r>
        <w:rPr>
          <w:spacing w:val="-4"/>
        </w:rPr>
        <w:t xml:space="preserve"> </w:t>
      </w:r>
      <w:r>
        <w:t>standard</w:t>
      </w:r>
      <w:r>
        <w:rPr>
          <w:spacing w:val="-3"/>
        </w:rPr>
        <w:t xml:space="preserve"> </w:t>
      </w:r>
      <w:r>
        <w:t>way</w:t>
      </w:r>
      <w:r>
        <w:rPr>
          <w:spacing w:val="-3"/>
        </w:rPr>
        <w:t xml:space="preserve"> </w:t>
      </w:r>
      <w:r>
        <w:t>of</w:t>
      </w:r>
      <w:r>
        <w:rPr>
          <w:spacing w:val="-3"/>
        </w:rPr>
        <w:t xml:space="preserve"> </w:t>
      </w:r>
      <w:r>
        <w:t>abbreviating</w:t>
      </w:r>
      <w:r>
        <w:rPr>
          <w:spacing w:val="-3"/>
        </w:rPr>
        <w:t xml:space="preserve"> </w:t>
      </w:r>
      <w:r>
        <w:t>(5)</w:t>
      </w:r>
      <w:r>
        <w:rPr>
          <w:spacing w:val="-3"/>
        </w:rPr>
        <w:t xml:space="preserve"> </w:t>
      </w:r>
      <w:r>
        <w:rPr>
          <w:spacing w:val="-5"/>
        </w:rPr>
        <w:t>is:</w:t>
      </w:r>
    </w:p>
    <w:p w14:paraId="7E002D6D" w14:textId="77777777" w:rsidR="009A58DB" w:rsidRDefault="009A58DB">
      <w:pPr>
        <w:pStyle w:val="BodyText"/>
        <w:spacing w:before="30"/>
        <w:ind w:left="0"/>
        <w:jc w:val="left"/>
      </w:pPr>
    </w:p>
    <w:p w14:paraId="7E002D6E" w14:textId="77777777" w:rsidR="009A58DB" w:rsidRDefault="00000000">
      <w:pPr>
        <w:pStyle w:val="ListParagraph"/>
        <w:numPr>
          <w:ilvl w:val="0"/>
          <w:numId w:val="12"/>
        </w:numPr>
        <w:tabs>
          <w:tab w:val="left" w:pos="782"/>
        </w:tabs>
        <w:ind w:left="782" w:hanging="422"/>
        <w:jc w:val="both"/>
        <w:rPr>
          <w:sz w:val="30"/>
        </w:rPr>
      </w:pPr>
      <w:r>
        <w:rPr>
          <w:sz w:val="30"/>
        </w:rPr>
        <w:t>For</w:t>
      </w:r>
      <w:r>
        <w:rPr>
          <w:spacing w:val="-5"/>
          <w:sz w:val="30"/>
        </w:rPr>
        <w:t xml:space="preserve"> </w:t>
      </w:r>
      <w:r>
        <w:rPr>
          <w:sz w:val="30"/>
        </w:rPr>
        <w:t>any</w:t>
      </w:r>
      <w:r>
        <w:rPr>
          <w:spacing w:val="-2"/>
          <w:sz w:val="30"/>
        </w:rPr>
        <w:t xml:space="preserve"> </w:t>
      </w:r>
      <w:r>
        <w:rPr>
          <w:sz w:val="30"/>
        </w:rPr>
        <w:t>x,</w:t>
      </w:r>
      <w:r>
        <w:rPr>
          <w:spacing w:val="-2"/>
          <w:sz w:val="30"/>
        </w:rPr>
        <w:t xml:space="preserve"> </w:t>
      </w:r>
      <w:r>
        <w:rPr>
          <w:sz w:val="30"/>
        </w:rPr>
        <w:t>‹x</w:t>
      </w:r>
      <w:r>
        <w:rPr>
          <w:spacing w:val="-2"/>
          <w:sz w:val="30"/>
        </w:rPr>
        <w:t xml:space="preserve"> </w:t>
      </w:r>
      <w:r>
        <w:rPr>
          <w:sz w:val="30"/>
        </w:rPr>
        <w:t>is</w:t>
      </w:r>
      <w:r>
        <w:rPr>
          <w:spacing w:val="-2"/>
          <w:sz w:val="30"/>
        </w:rPr>
        <w:t xml:space="preserve"> </w:t>
      </w:r>
      <w:r>
        <w:rPr>
          <w:sz w:val="30"/>
        </w:rPr>
        <w:t>identical</w:t>
      </w:r>
      <w:r>
        <w:rPr>
          <w:spacing w:val="-3"/>
          <w:sz w:val="30"/>
        </w:rPr>
        <w:t xml:space="preserve"> </w:t>
      </w:r>
      <w:r>
        <w:rPr>
          <w:sz w:val="30"/>
        </w:rPr>
        <w:t>with›</w:t>
      </w:r>
      <w:r>
        <w:rPr>
          <w:spacing w:val="-3"/>
          <w:sz w:val="30"/>
        </w:rPr>
        <w:t xml:space="preserve"> </w:t>
      </w:r>
      <w:r>
        <w:rPr>
          <w:sz w:val="30"/>
        </w:rPr>
        <w:t>is</w:t>
      </w:r>
      <w:r>
        <w:rPr>
          <w:spacing w:val="-2"/>
          <w:sz w:val="30"/>
        </w:rPr>
        <w:t xml:space="preserve"> </w:t>
      </w:r>
      <w:r>
        <w:rPr>
          <w:spacing w:val="-4"/>
          <w:sz w:val="30"/>
        </w:rPr>
        <w:t>true.</w:t>
      </w:r>
    </w:p>
    <w:p w14:paraId="7E002D6F" w14:textId="77777777" w:rsidR="009A58DB" w:rsidRDefault="009A58DB">
      <w:pPr>
        <w:pStyle w:val="BodyText"/>
        <w:spacing w:before="30"/>
        <w:ind w:left="0"/>
        <w:jc w:val="left"/>
      </w:pPr>
    </w:p>
    <w:p w14:paraId="7E002D70" w14:textId="77777777" w:rsidR="009A58DB" w:rsidRDefault="00000000">
      <w:pPr>
        <w:pStyle w:val="BodyText"/>
        <w:spacing w:line="249" w:lineRule="auto"/>
        <w:ind w:right="361" w:firstLine="360"/>
      </w:pPr>
      <w:r>
        <w:t>Quasi-quotes will occur frequently in the chapters on the philosophy of language. It’s not always easy to know when they occur; and I often lapse, using quotation marks instead of them, or just omitting them. When I do this, mentally insert them—otherwise what I’m saying will be false. (I appreciate it.) See “quotation marks.”</w:t>
      </w:r>
    </w:p>
    <w:p w14:paraId="7E002D71" w14:textId="77777777" w:rsidR="009A58DB" w:rsidRDefault="009A58DB">
      <w:pPr>
        <w:pStyle w:val="BodyText"/>
        <w:spacing w:before="21"/>
        <w:ind w:left="0"/>
        <w:jc w:val="left"/>
      </w:pPr>
    </w:p>
    <w:p w14:paraId="7E002D72" w14:textId="77777777" w:rsidR="009A58DB" w:rsidRDefault="00000000">
      <w:pPr>
        <w:pStyle w:val="BodyText"/>
        <w:spacing w:before="1" w:line="249" w:lineRule="auto"/>
        <w:ind w:right="362"/>
      </w:pPr>
      <w:r>
        <w:rPr>
          <w:b/>
          <w:i/>
        </w:rPr>
        <w:t xml:space="preserve">Quotation marks: </w:t>
      </w:r>
      <w:r>
        <w:t>The word “snow” has four letters. But snow doesn’t have four letters. So the sentence “snow has four letters” is false. Snow is white, crystalline</w:t>
      </w:r>
      <w:r>
        <w:rPr>
          <w:spacing w:val="19"/>
        </w:rPr>
        <w:t xml:space="preserve"> </w:t>
      </w:r>
      <w:r>
        <w:t>substance,</w:t>
      </w:r>
      <w:r>
        <w:rPr>
          <w:spacing w:val="19"/>
        </w:rPr>
        <w:t xml:space="preserve"> </w:t>
      </w:r>
      <w:r>
        <w:t>which</w:t>
      </w:r>
      <w:r>
        <w:rPr>
          <w:spacing w:val="20"/>
        </w:rPr>
        <w:t xml:space="preserve"> </w:t>
      </w:r>
      <w:r>
        <w:t>consists,</w:t>
      </w:r>
      <w:r>
        <w:rPr>
          <w:spacing w:val="19"/>
        </w:rPr>
        <w:t xml:space="preserve"> </w:t>
      </w:r>
      <w:r>
        <w:t>not</w:t>
      </w:r>
      <w:r>
        <w:rPr>
          <w:spacing w:val="20"/>
        </w:rPr>
        <w:t xml:space="preserve"> </w:t>
      </w:r>
      <w:r>
        <w:t>of</w:t>
      </w:r>
      <w:r>
        <w:rPr>
          <w:spacing w:val="19"/>
        </w:rPr>
        <w:t xml:space="preserve"> </w:t>
      </w:r>
      <w:r>
        <w:t>letter,</w:t>
      </w:r>
      <w:r>
        <w:rPr>
          <w:spacing w:val="20"/>
        </w:rPr>
        <w:t xml:space="preserve"> </w:t>
      </w:r>
      <w:r>
        <w:t>but</w:t>
      </w:r>
      <w:r>
        <w:rPr>
          <w:spacing w:val="19"/>
        </w:rPr>
        <w:t xml:space="preserve"> </w:t>
      </w:r>
      <w:r>
        <w:t>of</w:t>
      </w:r>
      <w:r>
        <w:rPr>
          <w:spacing w:val="20"/>
        </w:rPr>
        <w:t xml:space="preserve"> </w:t>
      </w:r>
      <w:r>
        <w:t>H</w:t>
      </w:r>
      <w:r>
        <w:rPr>
          <w:vertAlign w:val="subscript"/>
        </w:rPr>
        <w:t>2</w:t>
      </w:r>
      <w:r>
        <w:t>O</w:t>
      </w:r>
      <w:r>
        <w:rPr>
          <w:spacing w:val="20"/>
        </w:rPr>
        <w:t xml:space="preserve"> </w:t>
      </w:r>
      <w:r>
        <w:t>molecules.</w:t>
      </w:r>
      <w:r>
        <w:rPr>
          <w:spacing w:val="20"/>
        </w:rPr>
        <w:t xml:space="preserve"> </w:t>
      </w:r>
      <w:r>
        <w:rPr>
          <w:spacing w:val="-5"/>
        </w:rPr>
        <w:t>In</w:t>
      </w:r>
    </w:p>
    <w:p w14:paraId="7E002D73" w14:textId="77777777" w:rsidR="009A58DB" w:rsidRDefault="00000000">
      <w:pPr>
        <w:pStyle w:val="BodyText"/>
        <w:spacing w:before="63"/>
      </w:pPr>
      <w:r>
        <w:t>the</w:t>
      </w:r>
      <w:r>
        <w:rPr>
          <w:spacing w:val="5"/>
        </w:rPr>
        <w:t xml:space="preserve"> </w:t>
      </w:r>
      <w:r>
        <w:t>philosophy</w:t>
      </w:r>
      <w:r>
        <w:rPr>
          <w:spacing w:val="9"/>
        </w:rPr>
        <w:t xml:space="preserve"> </w:t>
      </w:r>
      <w:r>
        <w:t>of</w:t>
      </w:r>
      <w:r>
        <w:rPr>
          <w:spacing w:val="7"/>
        </w:rPr>
        <w:t xml:space="preserve"> </w:t>
      </w:r>
      <w:r>
        <w:t>language,</w:t>
      </w:r>
      <w:r>
        <w:rPr>
          <w:spacing w:val="9"/>
        </w:rPr>
        <w:t xml:space="preserve"> </w:t>
      </w:r>
      <w:r>
        <w:t>we</w:t>
      </w:r>
      <w:r>
        <w:rPr>
          <w:spacing w:val="7"/>
        </w:rPr>
        <w:t xml:space="preserve"> </w:t>
      </w:r>
      <w:r>
        <w:t>often</w:t>
      </w:r>
      <w:r>
        <w:rPr>
          <w:spacing w:val="9"/>
        </w:rPr>
        <w:t xml:space="preserve"> </w:t>
      </w:r>
      <w:r>
        <w:t>wish</w:t>
      </w:r>
      <w:r>
        <w:rPr>
          <w:spacing w:val="7"/>
        </w:rPr>
        <w:t xml:space="preserve"> </w:t>
      </w:r>
      <w:r>
        <w:t>to</w:t>
      </w:r>
      <w:r>
        <w:rPr>
          <w:spacing w:val="9"/>
        </w:rPr>
        <w:t xml:space="preserve"> </w:t>
      </w:r>
      <w:r>
        <w:t>refer</w:t>
      </w:r>
      <w:r>
        <w:rPr>
          <w:spacing w:val="7"/>
        </w:rPr>
        <w:t xml:space="preserve"> </w:t>
      </w:r>
      <w:r>
        <w:t>to</w:t>
      </w:r>
      <w:r>
        <w:rPr>
          <w:spacing w:val="9"/>
        </w:rPr>
        <w:t xml:space="preserve"> </w:t>
      </w:r>
      <w:r>
        <w:t>expressions</w:t>
      </w:r>
      <w:r>
        <w:rPr>
          <w:spacing w:val="8"/>
        </w:rPr>
        <w:t xml:space="preserve"> </w:t>
      </w:r>
      <w:r>
        <w:rPr>
          <w:spacing w:val="-2"/>
        </w:rPr>
        <w:t>themselves</w:t>
      </w:r>
    </w:p>
    <w:p w14:paraId="7E002D74" w14:textId="77777777" w:rsidR="009A58DB" w:rsidRDefault="00000000">
      <w:pPr>
        <w:pStyle w:val="BodyText"/>
        <w:spacing w:before="15" w:line="249" w:lineRule="auto"/>
        <w:ind w:right="359"/>
      </w:pPr>
      <w:r>
        <w:t xml:space="preserve">—we often wish to talk, not about snow (the substance), but “snow” (the word that substance).We do this by putting </w:t>
      </w:r>
      <w:r>
        <w:rPr>
          <w:i/>
        </w:rPr>
        <w:t xml:space="preserve">quotation marks </w:t>
      </w:r>
      <w:r>
        <w:t xml:space="preserve">around the expression to which we refer. So “snow” refers to the </w:t>
      </w:r>
      <w:r>
        <w:rPr>
          <w:i/>
        </w:rPr>
        <w:t xml:space="preserve">word </w:t>
      </w:r>
      <w:r>
        <w:t>that refers to the</w:t>
      </w:r>
    </w:p>
    <w:p w14:paraId="7E002D75"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D76" w14:textId="77777777" w:rsidR="009A58DB" w:rsidRDefault="00000000">
      <w:pPr>
        <w:pStyle w:val="BodyText"/>
        <w:spacing w:before="65"/>
      </w:pPr>
      <w:r>
        <w:t>substance.</w:t>
      </w:r>
      <w:r>
        <w:rPr>
          <w:spacing w:val="-8"/>
        </w:rPr>
        <w:t xml:space="preserve"> </w:t>
      </w:r>
      <w:r>
        <w:t>See</w:t>
      </w:r>
      <w:r>
        <w:rPr>
          <w:spacing w:val="-7"/>
        </w:rPr>
        <w:t xml:space="preserve"> </w:t>
      </w:r>
      <w:r>
        <w:t>“quasi-quotation</w:t>
      </w:r>
      <w:r>
        <w:rPr>
          <w:spacing w:val="-5"/>
        </w:rPr>
        <w:t xml:space="preserve"> </w:t>
      </w:r>
      <w:r>
        <w:rPr>
          <w:spacing w:val="-2"/>
        </w:rPr>
        <w:t>marks.”</w:t>
      </w:r>
    </w:p>
    <w:p w14:paraId="7E002D77" w14:textId="77777777" w:rsidR="009A58DB" w:rsidRDefault="009A58DB">
      <w:pPr>
        <w:pStyle w:val="BodyText"/>
        <w:spacing w:before="29"/>
        <w:ind w:left="0"/>
        <w:jc w:val="left"/>
      </w:pPr>
    </w:p>
    <w:p w14:paraId="7E002D78" w14:textId="77777777" w:rsidR="009A58DB" w:rsidRDefault="00000000">
      <w:pPr>
        <w:pStyle w:val="BodyText"/>
        <w:spacing w:before="1" w:line="249" w:lineRule="auto"/>
        <w:ind w:right="358"/>
      </w:pPr>
      <w:r>
        <w:rPr>
          <w:b/>
          <w:i/>
        </w:rPr>
        <w:t xml:space="preserve">Rationalism: </w:t>
      </w:r>
      <w:r>
        <w:t>The doctrine that not all knowledge is derived from sense-perception, the reason being that some knowledge is acquired through the analysis of concepts. Rationalists typically hold that knowledge is a prerequisite for our acquiring sensory information and also for our making any inferences from it. Since such knowledge couldn’t possibly be observation based, it must have some other basis, this other basis being “pure reason.” Rationalists hold that knowledge of logical norms is non-perceptual, their argument being that sense-perception apprises us of what is, not of what ought to be (even in a narrowly logical sense). See “empiricism.”</w:t>
      </w:r>
    </w:p>
    <w:p w14:paraId="7E002D79" w14:textId="77777777" w:rsidR="009A58DB" w:rsidRDefault="009A58DB">
      <w:pPr>
        <w:pStyle w:val="BodyText"/>
        <w:spacing w:before="26"/>
        <w:ind w:left="0"/>
        <w:jc w:val="left"/>
      </w:pPr>
    </w:p>
    <w:p w14:paraId="7E002D7A" w14:textId="77777777" w:rsidR="009A58DB" w:rsidRDefault="00000000">
      <w:pPr>
        <w:pStyle w:val="BodyText"/>
        <w:spacing w:line="249" w:lineRule="auto"/>
        <w:ind w:right="358"/>
      </w:pPr>
      <w:r>
        <w:rPr>
          <w:b/>
          <w:i/>
        </w:rPr>
        <w:t xml:space="preserve">Reductio ad absurdum: </w:t>
      </w:r>
      <w:r>
        <w:t xml:space="preserve">An argument that proves its point by showing that the negation of that point, if assumed true, leads to a contradiction (a statement of the form </w:t>
      </w:r>
      <w:r>
        <w:rPr>
          <w:i/>
        </w:rPr>
        <w:t>Q and not-Q</w:t>
      </w:r>
      <w:r>
        <w:t>). Suppose that P is true, that you know this,</w:t>
      </w:r>
      <w:r>
        <w:rPr>
          <w:spacing w:val="-2"/>
        </w:rPr>
        <w:t xml:space="preserve"> </w:t>
      </w:r>
      <w:r>
        <w:t>and</w:t>
      </w:r>
      <w:r>
        <w:rPr>
          <w:spacing w:val="-2"/>
        </w:rPr>
        <w:t xml:space="preserve"> </w:t>
      </w:r>
      <w:r>
        <w:t>wish</w:t>
      </w:r>
      <w:r>
        <w:rPr>
          <w:spacing w:val="-2"/>
        </w:rPr>
        <w:t xml:space="preserve"> </w:t>
      </w:r>
      <w:r>
        <w:t>to</w:t>
      </w:r>
      <w:r>
        <w:rPr>
          <w:spacing w:val="-2"/>
        </w:rPr>
        <w:t xml:space="preserve"> </w:t>
      </w:r>
      <w:r>
        <w:t>prove</w:t>
      </w:r>
      <w:r>
        <w:rPr>
          <w:spacing w:val="-3"/>
        </w:rPr>
        <w:t xml:space="preserve"> </w:t>
      </w:r>
      <w:r>
        <w:t>it</w:t>
      </w:r>
      <w:r>
        <w:rPr>
          <w:spacing w:val="-3"/>
        </w:rPr>
        <w:t xml:space="preserve"> </w:t>
      </w:r>
      <w:r>
        <w:t>to</w:t>
      </w:r>
      <w:r>
        <w:rPr>
          <w:spacing w:val="-2"/>
        </w:rPr>
        <w:t xml:space="preserve"> </w:t>
      </w:r>
      <w:r>
        <w:t>a</w:t>
      </w:r>
      <w:r>
        <w:rPr>
          <w:spacing w:val="-3"/>
        </w:rPr>
        <w:t xml:space="preserve"> </w:t>
      </w:r>
      <w:r>
        <w:t>friend</w:t>
      </w:r>
      <w:r>
        <w:rPr>
          <w:spacing w:val="-2"/>
        </w:rPr>
        <w:t xml:space="preserve"> </w:t>
      </w:r>
      <w:r>
        <w:t>of</w:t>
      </w:r>
      <w:r>
        <w:rPr>
          <w:spacing w:val="-3"/>
        </w:rPr>
        <w:t xml:space="preserve"> </w:t>
      </w:r>
      <w:r>
        <w:t>yours</w:t>
      </w:r>
      <w:r>
        <w:rPr>
          <w:spacing w:val="-3"/>
        </w:rPr>
        <w:t xml:space="preserve"> </w:t>
      </w:r>
      <w:r>
        <w:t>who</w:t>
      </w:r>
      <w:r>
        <w:rPr>
          <w:spacing w:val="-2"/>
        </w:rPr>
        <w:t xml:space="preserve"> </w:t>
      </w:r>
      <w:r>
        <w:t>doubts</w:t>
      </w:r>
      <w:r>
        <w:rPr>
          <w:spacing w:val="-3"/>
        </w:rPr>
        <w:t xml:space="preserve"> </w:t>
      </w:r>
      <w:r>
        <w:t>it.</w:t>
      </w:r>
      <w:r>
        <w:rPr>
          <w:spacing w:val="-2"/>
        </w:rPr>
        <w:t xml:space="preserve"> </w:t>
      </w:r>
      <w:r>
        <w:t>One</w:t>
      </w:r>
      <w:r>
        <w:rPr>
          <w:spacing w:val="-3"/>
        </w:rPr>
        <w:t xml:space="preserve"> </w:t>
      </w:r>
      <w:r>
        <w:t>way</w:t>
      </w:r>
      <w:r>
        <w:rPr>
          <w:spacing w:val="-2"/>
        </w:rPr>
        <w:t xml:space="preserve"> </w:t>
      </w:r>
      <w:r>
        <w:t>of</w:t>
      </w:r>
      <w:r>
        <w:rPr>
          <w:spacing w:val="-3"/>
        </w:rPr>
        <w:t xml:space="preserve"> </w:t>
      </w:r>
      <w:r>
        <w:t>doing so is to assume the negation of P and then show that has a self-contradictory result. Your position is that there are no even primes greater than two. The negation of your position is that there are even primes greater than two. You apprise your friend of your viewpoint. He disagrees. You respond by saying: “Let’s suppose you’re right. In that case, there is some number n that is greater than two and is even and is prime. Being prime, n is divisible only by itself and one. Being greater than two, n ≠ 2. And being even, n is divisible</w:t>
      </w:r>
      <w:r>
        <w:rPr>
          <w:spacing w:val="40"/>
        </w:rPr>
        <w:t xml:space="preserve"> </w:t>
      </w:r>
      <w:r>
        <w:t xml:space="preserve">by two. Thus, n is divisible by itself and one </w:t>
      </w:r>
      <w:r>
        <w:rPr>
          <w:i/>
        </w:rPr>
        <w:t xml:space="preserve">and </w:t>
      </w:r>
      <w:r>
        <w:t xml:space="preserve">by two. Therefore it isn’t divisible </w:t>
      </w:r>
      <w:r>
        <w:rPr>
          <w:i/>
        </w:rPr>
        <w:t xml:space="preserve">only </w:t>
      </w:r>
      <w:r>
        <w:t xml:space="preserve">by itself and one. So n both is, and is not, divisible </w:t>
      </w:r>
      <w:r>
        <w:rPr>
          <w:i/>
        </w:rPr>
        <w:t xml:space="preserve">only </w:t>
      </w:r>
      <w:r>
        <w:t>by itself and one. You’ve reduced your friend’s position to absurdity.</w:t>
      </w:r>
    </w:p>
    <w:p w14:paraId="7E002D7B" w14:textId="77777777" w:rsidR="009A58DB" w:rsidRDefault="009A58DB">
      <w:pPr>
        <w:pStyle w:val="BodyText"/>
        <w:spacing w:before="32"/>
        <w:ind w:left="0"/>
        <w:jc w:val="left"/>
      </w:pPr>
    </w:p>
    <w:p w14:paraId="7E002D7C" w14:textId="77777777" w:rsidR="009A58DB" w:rsidRDefault="00000000">
      <w:pPr>
        <w:pStyle w:val="BodyText"/>
        <w:spacing w:line="249" w:lineRule="auto"/>
        <w:ind w:right="368"/>
      </w:pPr>
      <w:r>
        <w:rPr>
          <w:b/>
          <w:i/>
        </w:rPr>
        <w:t>Refer:</w:t>
      </w:r>
      <w:r>
        <w:rPr>
          <w:b/>
          <w:i/>
          <w:spacing w:val="-4"/>
        </w:rPr>
        <w:t xml:space="preserve"> </w:t>
      </w:r>
      <w:r>
        <w:t>The</w:t>
      </w:r>
      <w:r>
        <w:rPr>
          <w:spacing w:val="-3"/>
        </w:rPr>
        <w:t xml:space="preserve"> </w:t>
      </w:r>
      <w:r>
        <w:t>word</w:t>
      </w:r>
      <w:r>
        <w:rPr>
          <w:spacing w:val="-2"/>
        </w:rPr>
        <w:t xml:space="preserve"> </w:t>
      </w:r>
      <w:r>
        <w:t>“refer”</w:t>
      </w:r>
      <w:r>
        <w:rPr>
          <w:spacing w:val="-2"/>
        </w:rPr>
        <w:t xml:space="preserve"> </w:t>
      </w:r>
      <w:r>
        <w:t>is</w:t>
      </w:r>
      <w:r>
        <w:rPr>
          <w:spacing w:val="-2"/>
        </w:rPr>
        <w:t xml:space="preserve"> </w:t>
      </w:r>
      <w:r>
        <w:t>ambiguous.</w:t>
      </w:r>
      <w:r>
        <w:rPr>
          <w:spacing w:val="-2"/>
        </w:rPr>
        <w:t xml:space="preserve"> </w:t>
      </w:r>
      <w:r>
        <w:t>It</w:t>
      </w:r>
      <w:r>
        <w:rPr>
          <w:spacing w:val="-2"/>
        </w:rPr>
        <w:t xml:space="preserve"> </w:t>
      </w:r>
      <w:r>
        <w:t>may</w:t>
      </w:r>
      <w:r>
        <w:rPr>
          <w:spacing w:val="-2"/>
        </w:rPr>
        <w:t xml:space="preserve"> </w:t>
      </w:r>
      <w:r>
        <w:t>refer</w:t>
      </w:r>
      <w:r>
        <w:rPr>
          <w:spacing w:val="-2"/>
        </w:rPr>
        <w:t xml:space="preserve"> </w:t>
      </w:r>
      <w:r>
        <w:t>to</w:t>
      </w:r>
      <w:r>
        <w:rPr>
          <w:spacing w:val="-2"/>
        </w:rPr>
        <w:t xml:space="preserve"> </w:t>
      </w:r>
      <w:r>
        <w:t>a</w:t>
      </w:r>
      <w:r>
        <w:rPr>
          <w:spacing w:val="-2"/>
        </w:rPr>
        <w:t xml:space="preserve"> </w:t>
      </w:r>
      <w:r>
        <w:t>property</w:t>
      </w:r>
      <w:r>
        <w:rPr>
          <w:spacing w:val="-2"/>
        </w:rPr>
        <w:t xml:space="preserve"> </w:t>
      </w:r>
      <w:r>
        <w:t>of</w:t>
      </w:r>
      <w:r>
        <w:rPr>
          <w:spacing w:val="-2"/>
        </w:rPr>
        <w:t xml:space="preserve"> </w:t>
      </w:r>
      <w:r>
        <w:t>actions</w:t>
      </w:r>
      <w:r>
        <w:rPr>
          <w:spacing w:val="-2"/>
        </w:rPr>
        <w:t xml:space="preserve"> </w:t>
      </w:r>
      <w:r>
        <w:t>or to a property of expressions. (In the present work, it is almost always used to denote a property of expressions.)</w:t>
      </w:r>
    </w:p>
    <w:p w14:paraId="7E002D7D" w14:textId="77777777" w:rsidR="009A58DB" w:rsidRDefault="00000000">
      <w:pPr>
        <w:pStyle w:val="BodyText"/>
        <w:spacing w:before="4" w:line="249" w:lineRule="auto"/>
        <w:ind w:right="361" w:firstLine="360"/>
      </w:pPr>
      <w:r>
        <w:t xml:space="preserve">In an utterance of the sentence “when I was discussing the difference between real virtue and feigned virtue, I was referring to your father,” the occurrence of the word “referring” picks out a characteristic of a certain </w:t>
      </w:r>
      <w:r>
        <w:rPr>
          <w:b/>
          <w:i/>
        </w:rPr>
        <w:t xml:space="preserve">speech act. </w:t>
      </w:r>
      <w:r>
        <w:t>Given some object O, a given act A that is performed by so and</w:t>
      </w:r>
      <w:r>
        <w:rPr>
          <w:spacing w:val="40"/>
        </w:rPr>
        <w:t xml:space="preserve"> </w:t>
      </w:r>
      <w:r>
        <w:t>so is a case of so and so’s referring to O if, in performing A, it was so and so’s</w:t>
      </w:r>
      <w:r>
        <w:rPr>
          <w:spacing w:val="80"/>
        </w:rPr>
        <w:t xml:space="preserve"> </w:t>
      </w:r>
      <w:r>
        <w:t>intention</w:t>
      </w:r>
      <w:r>
        <w:rPr>
          <w:spacing w:val="80"/>
        </w:rPr>
        <w:t xml:space="preserve"> </w:t>
      </w:r>
      <w:r>
        <w:t>to</w:t>
      </w:r>
      <w:r>
        <w:rPr>
          <w:spacing w:val="80"/>
        </w:rPr>
        <w:t xml:space="preserve"> </w:t>
      </w:r>
      <w:r>
        <w:t>make</w:t>
      </w:r>
      <w:r>
        <w:rPr>
          <w:spacing w:val="80"/>
        </w:rPr>
        <w:t xml:space="preserve"> </w:t>
      </w:r>
      <w:r>
        <w:t>a</w:t>
      </w:r>
      <w:r>
        <w:rPr>
          <w:spacing w:val="80"/>
        </w:rPr>
        <w:t xml:space="preserve"> </w:t>
      </w:r>
      <w:r>
        <w:t>statement</w:t>
      </w:r>
      <w:r>
        <w:rPr>
          <w:spacing w:val="80"/>
        </w:rPr>
        <w:t xml:space="preserve"> </w:t>
      </w:r>
      <w:r>
        <w:t>about</w:t>
      </w:r>
      <w:r>
        <w:rPr>
          <w:spacing w:val="80"/>
        </w:rPr>
        <w:t xml:space="preserve"> </w:t>
      </w:r>
      <w:r>
        <w:t>O.</w:t>
      </w:r>
      <w:r>
        <w:rPr>
          <w:spacing w:val="80"/>
        </w:rPr>
        <w:t xml:space="preserve"> </w:t>
      </w:r>
      <w:r>
        <w:t>Let’s</w:t>
      </w:r>
      <w:r>
        <w:rPr>
          <w:spacing w:val="80"/>
        </w:rPr>
        <w:t xml:space="preserve"> </w:t>
      </w:r>
      <w:r>
        <w:t>refer</w:t>
      </w:r>
      <w:r>
        <w:rPr>
          <w:spacing w:val="80"/>
        </w:rPr>
        <w:t xml:space="preserve"> </w:t>
      </w:r>
      <w:r>
        <w:t>to</w:t>
      </w:r>
      <w:r>
        <w:rPr>
          <w:spacing w:val="80"/>
        </w:rPr>
        <w:t xml:space="preserve"> </w:t>
      </w:r>
      <w:r>
        <w:t>this</w:t>
      </w:r>
      <w:r>
        <w:rPr>
          <w:spacing w:val="80"/>
        </w:rPr>
        <w:t xml:space="preserve"> </w:t>
      </w:r>
      <w:r>
        <w:t>sort</w:t>
      </w:r>
      <w:r>
        <w:rPr>
          <w:spacing w:val="80"/>
        </w:rPr>
        <w:t xml:space="preserve"> </w:t>
      </w:r>
      <w:r>
        <w:t>of</w:t>
      </w:r>
    </w:p>
    <w:p w14:paraId="7E002D7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7F" w14:textId="77777777" w:rsidR="009A58DB" w:rsidRDefault="00000000">
      <w:pPr>
        <w:pStyle w:val="BodyText"/>
        <w:spacing w:before="65"/>
      </w:pPr>
      <w:r>
        <w:t>reference</w:t>
      </w:r>
      <w:r>
        <w:rPr>
          <w:spacing w:val="-5"/>
        </w:rPr>
        <w:t xml:space="preserve"> </w:t>
      </w:r>
      <w:r>
        <w:t>as</w:t>
      </w:r>
      <w:r>
        <w:rPr>
          <w:spacing w:val="-5"/>
        </w:rPr>
        <w:t xml:space="preserve"> </w:t>
      </w:r>
      <w:r>
        <w:rPr>
          <w:spacing w:val="-2"/>
        </w:rPr>
        <w:t>“reference*.”</w:t>
      </w:r>
    </w:p>
    <w:p w14:paraId="7E002D80" w14:textId="77777777" w:rsidR="009A58DB" w:rsidRDefault="00000000">
      <w:pPr>
        <w:pStyle w:val="BodyText"/>
        <w:spacing w:before="15" w:line="249" w:lineRule="auto"/>
        <w:ind w:right="359" w:firstLine="360"/>
      </w:pPr>
      <w:r>
        <w:t xml:space="preserve">In the sentence, “the name ‘Socrates’ refers to a certain philosopher,” the occurrence of the word “refers” picks out a property of expressions, not of actions. To say that an expression E refers to some object O is to say that, in virtue of containing E, a sentence </w:t>
      </w:r>
      <w:r>
        <w:rPr>
          <w:i/>
        </w:rPr>
        <w:t>ipso facto</w:t>
      </w:r>
      <w:r>
        <w:rPr>
          <w:i/>
          <w:spacing w:val="40"/>
        </w:rPr>
        <w:t xml:space="preserve"> </w:t>
      </w:r>
      <w:r>
        <w:t>concerns O. “Socrates” refers to Socrates because, in virtue of having the form “...Socrates...,” a sentence says that Socrates has...x...(“Socrates is tall” says that Socrates has the property of being a thing x such that x is tall. “Plato admires Socrates” says that Socrates has the property of being a thing x such that Plato admires x.) Let us refer to this sort of reference as “reference#.”</w:t>
      </w:r>
    </w:p>
    <w:p w14:paraId="7E002D81" w14:textId="77777777" w:rsidR="009A58DB" w:rsidRDefault="00000000">
      <w:pPr>
        <w:pStyle w:val="BodyText"/>
        <w:spacing w:before="11" w:line="277" w:lineRule="exact"/>
        <w:ind w:left="2390"/>
        <w:jc w:val="left"/>
      </w:pPr>
      <w:bookmarkStart w:id="589" w:name="_bookmark589"/>
      <w:bookmarkEnd w:id="589"/>
      <w:r>
        <w:rPr>
          <w:color w:val="0562C1"/>
          <w:spacing w:val="-2"/>
          <w:u w:val="single" w:color="0562C1"/>
        </w:rPr>
        <w:t>[445]</w:t>
      </w:r>
    </w:p>
    <w:p w14:paraId="7E002D82" w14:textId="77777777" w:rsidR="009A58DB" w:rsidRDefault="00000000">
      <w:pPr>
        <w:pStyle w:val="BodyText"/>
        <w:spacing w:line="277" w:lineRule="exact"/>
        <w:ind w:left="720"/>
      </w:pPr>
      <w:r>
        <w:t>Some</w:t>
      </w:r>
      <w:r>
        <w:rPr>
          <w:spacing w:val="25"/>
        </w:rPr>
        <w:t xml:space="preserve"> </w:t>
      </w:r>
      <w:r>
        <w:t>authors</w:t>
      </w:r>
      <w:r>
        <w:rPr>
          <w:spacing w:val="72"/>
          <w:w w:val="150"/>
        </w:rPr>
        <w:t xml:space="preserve">    </w:t>
      </w:r>
      <w:r>
        <w:t>have</w:t>
      </w:r>
      <w:r>
        <w:rPr>
          <w:spacing w:val="29"/>
        </w:rPr>
        <w:t xml:space="preserve"> </w:t>
      </w:r>
      <w:r>
        <w:t>tried</w:t>
      </w:r>
      <w:r>
        <w:rPr>
          <w:spacing w:val="29"/>
        </w:rPr>
        <w:t xml:space="preserve"> </w:t>
      </w:r>
      <w:r>
        <w:t>to</w:t>
      </w:r>
      <w:r>
        <w:rPr>
          <w:spacing w:val="28"/>
        </w:rPr>
        <w:t xml:space="preserve"> </w:t>
      </w:r>
      <w:r>
        <w:t>show</w:t>
      </w:r>
      <w:r>
        <w:rPr>
          <w:spacing w:val="27"/>
        </w:rPr>
        <w:t xml:space="preserve"> </w:t>
      </w:r>
      <w:r>
        <w:t>that</w:t>
      </w:r>
      <w:r>
        <w:rPr>
          <w:spacing w:val="27"/>
        </w:rPr>
        <w:t xml:space="preserve"> </w:t>
      </w:r>
      <w:r>
        <w:t>reference#</w:t>
      </w:r>
      <w:r>
        <w:rPr>
          <w:spacing w:val="28"/>
        </w:rPr>
        <w:t xml:space="preserve"> </w:t>
      </w:r>
      <w:r>
        <w:t>was</w:t>
      </w:r>
      <w:r>
        <w:rPr>
          <w:spacing w:val="27"/>
        </w:rPr>
        <w:t xml:space="preserve"> </w:t>
      </w:r>
      <w:r>
        <w:t>identical</w:t>
      </w:r>
      <w:r>
        <w:rPr>
          <w:spacing w:val="28"/>
        </w:rPr>
        <w:t xml:space="preserve"> </w:t>
      </w:r>
      <w:r>
        <w:rPr>
          <w:spacing w:val="-4"/>
        </w:rPr>
        <w:t>with</w:t>
      </w:r>
    </w:p>
    <w:p w14:paraId="7E002D83" w14:textId="77777777" w:rsidR="009A58DB" w:rsidRDefault="00000000">
      <w:pPr>
        <w:pStyle w:val="BodyText"/>
        <w:spacing w:before="15" w:line="249" w:lineRule="auto"/>
        <w:ind w:right="358"/>
      </w:pPr>
      <w:r>
        <w:t>reference* or, at the very least, capable of being understood in terms of it. This is radically absurd</w:t>
      </w:r>
      <w:bookmarkStart w:id="590" w:name="_bookmark590"/>
      <w:bookmarkEnd w:id="590"/>
      <w:r>
        <w:t>.</w:t>
      </w:r>
      <w:r>
        <w:rPr>
          <w:color w:val="0562C1"/>
          <w:position w:val="21"/>
          <w:u w:val="single" w:color="0562C1"/>
        </w:rPr>
        <w:t>[446]</w:t>
      </w:r>
      <w:r>
        <w:rPr>
          <w:color w:val="0562C1"/>
          <w:position w:val="21"/>
        </w:rPr>
        <w:t xml:space="preserve"> </w:t>
      </w:r>
      <w:r>
        <w:t xml:space="preserve">Reference* presupposes reference#. Nobody could refer* to anything unless there were already meaningful expressions and, therefore, referring# terms. In Chapter 4, Sections 5.3.2–5.3.4, it is explained why this is so. (So far as I know, it was John Searle, in his classic (1966) work </w:t>
      </w:r>
      <w:r>
        <w:rPr>
          <w:i/>
        </w:rPr>
        <w:t>Speech Acts</w:t>
      </w:r>
      <w:r>
        <w:t xml:space="preserve">, who made this important point for the first time in </w:t>
      </w:r>
      <w:r>
        <w:rPr>
          <w:spacing w:val="-2"/>
        </w:rPr>
        <w:t>print.)</w:t>
      </w:r>
    </w:p>
    <w:p w14:paraId="7E002D84" w14:textId="77777777" w:rsidR="009A58DB" w:rsidRDefault="009A58DB">
      <w:pPr>
        <w:pStyle w:val="BodyText"/>
        <w:spacing w:before="23"/>
        <w:ind w:left="0"/>
        <w:jc w:val="left"/>
      </w:pPr>
    </w:p>
    <w:p w14:paraId="7E002D85" w14:textId="77777777" w:rsidR="009A58DB" w:rsidRDefault="00000000">
      <w:pPr>
        <w:pStyle w:val="BodyText"/>
      </w:pPr>
      <w:r>
        <w:rPr>
          <w:b/>
          <w:i/>
        </w:rPr>
        <w:t>Referent:</w:t>
      </w:r>
      <w:r>
        <w:rPr>
          <w:b/>
          <w:i/>
          <w:spacing w:val="-6"/>
        </w:rPr>
        <w:t xml:space="preserve"> </w:t>
      </w:r>
      <w:r>
        <w:t>the</w:t>
      </w:r>
      <w:r>
        <w:rPr>
          <w:spacing w:val="-4"/>
        </w:rPr>
        <w:t xml:space="preserve"> </w:t>
      </w:r>
      <w:r>
        <w:t>reference</w:t>
      </w:r>
      <w:r>
        <w:rPr>
          <w:spacing w:val="-4"/>
        </w:rPr>
        <w:t xml:space="preserve"> </w:t>
      </w:r>
      <w:r>
        <w:t>of</w:t>
      </w:r>
      <w:r>
        <w:rPr>
          <w:spacing w:val="-4"/>
        </w:rPr>
        <w:t xml:space="preserve"> </w:t>
      </w:r>
      <w:r>
        <w:t>an</w:t>
      </w:r>
      <w:r>
        <w:rPr>
          <w:spacing w:val="-3"/>
        </w:rPr>
        <w:t xml:space="preserve"> </w:t>
      </w:r>
      <w:r>
        <w:t>expression</w:t>
      </w:r>
      <w:r>
        <w:rPr>
          <w:spacing w:val="-3"/>
        </w:rPr>
        <w:t xml:space="preserve"> </w:t>
      </w:r>
      <w:r>
        <w:t>is</w:t>
      </w:r>
      <w:r>
        <w:rPr>
          <w:spacing w:val="-4"/>
        </w:rPr>
        <w:t xml:space="preserve"> </w:t>
      </w:r>
      <w:r>
        <w:t>what</w:t>
      </w:r>
      <w:r>
        <w:rPr>
          <w:spacing w:val="-4"/>
        </w:rPr>
        <w:t xml:space="preserve"> </w:t>
      </w:r>
      <w:r>
        <w:t>it</w:t>
      </w:r>
      <w:r>
        <w:rPr>
          <w:spacing w:val="-4"/>
        </w:rPr>
        <w:t xml:space="preserve"> </w:t>
      </w:r>
      <w:r>
        <w:t>refers</w:t>
      </w:r>
      <w:r>
        <w:rPr>
          <w:spacing w:val="-4"/>
        </w:rPr>
        <w:t xml:space="preserve"> </w:t>
      </w:r>
      <w:r>
        <w:t>to.</w:t>
      </w:r>
      <w:r>
        <w:rPr>
          <w:spacing w:val="-3"/>
        </w:rPr>
        <w:t xml:space="preserve"> </w:t>
      </w:r>
      <w:r>
        <w:t>See</w:t>
      </w:r>
      <w:r>
        <w:rPr>
          <w:spacing w:val="-3"/>
        </w:rPr>
        <w:t xml:space="preserve"> </w:t>
      </w:r>
      <w:r>
        <w:rPr>
          <w:spacing w:val="-2"/>
        </w:rPr>
        <w:t>“refer.”</w:t>
      </w:r>
    </w:p>
    <w:p w14:paraId="7E002D86" w14:textId="77777777" w:rsidR="009A58DB" w:rsidRDefault="009A58DB">
      <w:pPr>
        <w:pStyle w:val="BodyText"/>
        <w:spacing w:before="30"/>
        <w:ind w:left="0"/>
        <w:jc w:val="left"/>
      </w:pPr>
    </w:p>
    <w:p w14:paraId="7E002D87" w14:textId="77777777" w:rsidR="009A58DB" w:rsidRDefault="00000000">
      <w:pPr>
        <w:ind w:left="360"/>
        <w:jc w:val="both"/>
        <w:rPr>
          <w:sz w:val="30"/>
        </w:rPr>
      </w:pPr>
      <w:r>
        <w:rPr>
          <w:b/>
          <w:i/>
          <w:sz w:val="30"/>
        </w:rPr>
        <w:t>Scope:</w:t>
      </w:r>
      <w:r>
        <w:rPr>
          <w:b/>
          <w:i/>
          <w:spacing w:val="-4"/>
          <w:sz w:val="30"/>
        </w:rPr>
        <w:t xml:space="preserve"> </w:t>
      </w:r>
      <w:r>
        <w:rPr>
          <w:sz w:val="30"/>
        </w:rPr>
        <w:t>See</w:t>
      </w:r>
      <w:r>
        <w:rPr>
          <w:spacing w:val="-4"/>
          <w:sz w:val="30"/>
        </w:rPr>
        <w:t xml:space="preserve"> </w:t>
      </w:r>
      <w:r>
        <w:rPr>
          <w:sz w:val="30"/>
        </w:rPr>
        <w:t>“modal</w:t>
      </w:r>
      <w:r>
        <w:rPr>
          <w:spacing w:val="-3"/>
          <w:sz w:val="30"/>
        </w:rPr>
        <w:t xml:space="preserve"> </w:t>
      </w:r>
      <w:r>
        <w:rPr>
          <w:spacing w:val="-2"/>
          <w:sz w:val="30"/>
        </w:rPr>
        <w:t>operator.”</w:t>
      </w:r>
    </w:p>
    <w:p w14:paraId="7E002D88" w14:textId="77777777" w:rsidR="009A58DB" w:rsidRDefault="009A58DB">
      <w:pPr>
        <w:pStyle w:val="BodyText"/>
        <w:spacing w:before="30"/>
        <w:ind w:left="0"/>
        <w:jc w:val="left"/>
      </w:pPr>
    </w:p>
    <w:p w14:paraId="7E002D89" w14:textId="77777777" w:rsidR="009A58DB" w:rsidRDefault="00000000">
      <w:pPr>
        <w:pStyle w:val="BodyText"/>
        <w:spacing w:before="1" w:line="249" w:lineRule="auto"/>
        <w:ind w:right="363"/>
      </w:pPr>
      <w:r>
        <w:rPr>
          <w:b/>
          <w:i/>
        </w:rPr>
        <w:t xml:space="preserve">Second-order desire: </w:t>
      </w:r>
      <w:r>
        <w:t>A desire about a desire (e.g., a desire to refrain from acting on one’s desire to have a cigarette).</w:t>
      </w:r>
    </w:p>
    <w:p w14:paraId="7E002D8A" w14:textId="77777777" w:rsidR="009A58DB" w:rsidRDefault="009A58DB">
      <w:pPr>
        <w:pStyle w:val="BodyText"/>
        <w:spacing w:before="17"/>
        <w:ind w:left="0"/>
        <w:jc w:val="left"/>
      </w:pPr>
    </w:p>
    <w:p w14:paraId="7E002D8B" w14:textId="77777777" w:rsidR="009A58DB" w:rsidRDefault="00000000">
      <w:pPr>
        <w:pStyle w:val="BodyText"/>
        <w:spacing w:line="249" w:lineRule="auto"/>
        <w:ind w:right="360"/>
      </w:pPr>
      <w:r>
        <w:rPr>
          <w:b/>
          <w:i/>
        </w:rPr>
        <w:t>Self-contradictoriness:</w:t>
      </w:r>
      <w:r>
        <w:rPr>
          <w:b/>
          <w:i/>
          <w:spacing w:val="-4"/>
        </w:rPr>
        <w:t xml:space="preserve"> </w:t>
      </w:r>
      <w:r>
        <w:t xml:space="preserve">Any statement that has the form ‹P and not-P› or that implies a statement of that form is self-contradictory. All self-contradictory statements are false. Anything that entails a self-contradictory statement is </w:t>
      </w:r>
      <w:r>
        <w:rPr>
          <w:spacing w:val="-2"/>
        </w:rPr>
        <w:t>false.</w:t>
      </w:r>
    </w:p>
    <w:p w14:paraId="7E002D8C" w14:textId="77777777" w:rsidR="009A58DB" w:rsidRDefault="009A58DB">
      <w:pPr>
        <w:pStyle w:val="BodyText"/>
        <w:spacing w:before="20"/>
        <w:ind w:left="0"/>
        <w:jc w:val="left"/>
      </w:pPr>
    </w:p>
    <w:p w14:paraId="7E002D8D" w14:textId="77777777" w:rsidR="009A58DB" w:rsidRDefault="00000000">
      <w:pPr>
        <w:pStyle w:val="BodyText"/>
        <w:spacing w:line="249" w:lineRule="auto"/>
        <w:ind w:right="357"/>
      </w:pPr>
      <w:r>
        <w:rPr>
          <w:b/>
          <w:i/>
        </w:rPr>
        <w:t>Semantic</w:t>
      </w:r>
      <w:r>
        <w:rPr>
          <w:b/>
          <w:i/>
          <w:spacing w:val="-4"/>
        </w:rPr>
        <w:t xml:space="preserve"> </w:t>
      </w:r>
      <w:r>
        <w:rPr>
          <w:b/>
          <w:i/>
        </w:rPr>
        <w:t>externalism:</w:t>
      </w:r>
      <w:r>
        <w:rPr>
          <w:b/>
          <w:i/>
          <w:spacing w:val="-4"/>
        </w:rPr>
        <w:t xml:space="preserve"> </w:t>
      </w:r>
      <w:r>
        <w:t>The doctrine that what our words and sentences mean isn’t determined wholly by what our thoughts are, but also by environmental factors of which we may be unaware.</w:t>
      </w:r>
    </w:p>
    <w:p w14:paraId="7E002D8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8F" w14:textId="77777777" w:rsidR="009A58DB" w:rsidRDefault="00000000">
      <w:pPr>
        <w:pStyle w:val="BodyText"/>
        <w:spacing w:before="65" w:line="249" w:lineRule="auto"/>
        <w:ind w:right="368"/>
      </w:pPr>
      <w:r>
        <w:rPr>
          <w:b/>
          <w:i/>
        </w:rPr>
        <w:t xml:space="preserve">Semantic rule: </w:t>
      </w:r>
      <w:r>
        <w:t>A rule that assigns meaning to an expression. It’s a semantic rule</w:t>
      </w:r>
      <w:r>
        <w:rPr>
          <w:spacing w:val="-3"/>
        </w:rPr>
        <w:t xml:space="preserve"> </w:t>
      </w:r>
      <w:r>
        <w:t>of</w:t>
      </w:r>
      <w:r>
        <w:rPr>
          <w:spacing w:val="-3"/>
        </w:rPr>
        <w:t xml:space="preserve"> </w:t>
      </w:r>
      <w:r>
        <w:t>English</w:t>
      </w:r>
      <w:r>
        <w:rPr>
          <w:spacing w:val="-3"/>
        </w:rPr>
        <w:t xml:space="preserve"> </w:t>
      </w:r>
      <w:r>
        <w:t>that</w:t>
      </w:r>
      <w:r>
        <w:rPr>
          <w:spacing w:val="-3"/>
        </w:rPr>
        <w:t xml:space="preserve"> </w:t>
      </w:r>
      <w:r>
        <w:t>“snow”</w:t>
      </w:r>
      <w:r>
        <w:rPr>
          <w:spacing w:val="-3"/>
        </w:rPr>
        <w:t xml:space="preserve"> </w:t>
      </w:r>
      <w:r>
        <w:t>refers</w:t>
      </w:r>
      <w:r>
        <w:rPr>
          <w:spacing w:val="-3"/>
        </w:rPr>
        <w:t xml:space="preserve"> </w:t>
      </w:r>
      <w:r>
        <w:t>to</w:t>
      </w:r>
      <w:r>
        <w:rPr>
          <w:spacing w:val="-3"/>
        </w:rPr>
        <w:t xml:space="preserve"> </w:t>
      </w:r>
      <w:r>
        <w:t>a</w:t>
      </w:r>
      <w:r>
        <w:rPr>
          <w:spacing w:val="-3"/>
        </w:rPr>
        <w:t xml:space="preserve"> </w:t>
      </w:r>
      <w:r>
        <w:t>certain</w:t>
      </w:r>
      <w:r>
        <w:rPr>
          <w:spacing w:val="-3"/>
        </w:rPr>
        <w:t xml:space="preserve"> </w:t>
      </w:r>
      <w:r>
        <w:t>crystalline</w:t>
      </w:r>
      <w:r>
        <w:rPr>
          <w:spacing w:val="-3"/>
        </w:rPr>
        <w:t xml:space="preserve"> </w:t>
      </w:r>
      <w:r>
        <w:t>white</w:t>
      </w:r>
      <w:r>
        <w:rPr>
          <w:spacing w:val="-3"/>
        </w:rPr>
        <w:t xml:space="preserve"> </w:t>
      </w:r>
      <w:r>
        <w:t>substance,</w:t>
      </w:r>
      <w:r>
        <w:rPr>
          <w:spacing w:val="-3"/>
        </w:rPr>
        <w:t xml:space="preserve"> </w:t>
      </w:r>
      <w:r>
        <w:t>and “water” refers to H</w:t>
      </w:r>
      <w:r>
        <w:rPr>
          <w:vertAlign w:val="subscript"/>
        </w:rPr>
        <w:t>2</w:t>
      </w:r>
      <w:r>
        <w:t>O, etc.</w:t>
      </w:r>
    </w:p>
    <w:p w14:paraId="7E002D90" w14:textId="77777777" w:rsidR="009A58DB" w:rsidRDefault="00000000">
      <w:pPr>
        <w:pStyle w:val="BodyText"/>
        <w:spacing w:before="63" w:line="249" w:lineRule="auto"/>
        <w:ind w:right="359" w:firstLine="360"/>
      </w:pPr>
      <w:r>
        <w:t>At least some semantic rules assign meaning to expression-types, on the basis of which tokens of those types have this or that meaning depending on the</w:t>
      </w:r>
      <w:r>
        <w:rPr>
          <w:spacing w:val="-1"/>
        </w:rPr>
        <w:t xml:space="preserve"> </w:t>
      </w:r>
      <w:r>
        <w:t>circumstances.</w:t>
      </w:r>
      <w:r>
        <w:rPr>
          <w:spacing w:val="-1"/>
        </w:rPr>
        <w:t xml:space="preserve"> </w:t>
      </w:r>
      <w:r>
        <w:t>Thus,</w:t>
      </w:r>
      <w:r>
        <w:rPr>
          <w:spacing w:val="-1"/>
        </w:rPr>
        <w:t xml:space="preserve"> </w:t>
      </w:r>
      <w:r>
        <w:t>the</w:t>
      </w:r>
      <w:r>
        <w:rPr>
          <w:spacing w:val="-1"/>
        </w:rPr>
        <w:t xml:space="preserve"> </w:t>
      </w:r>
      <w:r>
        <w:t>meaning</w:t>
      </w:r>
      <w:r>
        <w:rPr>
          <w:spacing w:val="-1"/>
        </w:rPr>
        <w:t xml:space="preserve"> </w:t>
      </w:r>
      <w:r>
        <w:t>of</w:t>
      </w:r>
      <w:r>
        <w:rPr>
          <w:spacing w:val="-1"/>
        </w:rPr>
        <w:t xml:space="preserve"> </w:t>
      </w:r>
      <w:r>
        <w:t>the</w:t>
      </w:r>
      <w:r>
        <w:rPr>
          <w:spacing w:val="-1"/>
        </w:rPr>
        <w:t xml:space="preserve"> </w:t>
      </w:r>
      <w:r>
        <w:t>word-type</w:t>
      </w:r>
      <w:r>
        <w:rPr>
          <w:spacing w:val="-1"/>
        </w:rPr>
        <w:t xml:space="preserve"> </w:t>
      </w:r>
      <w:r>
        <w:t>“I”</w:t>
      </w:r>
      <w:r>
        <w:rPr>
          <w:spacing w:val="-1"/>
        </w:rPr>
        <w:t xml:space="preserve"> </w:t>
      </w:r>
      <w:r>
        <w:t>doesn’t</w:t>
      </w:r>
      <w:r>
        <w:rPr>
          <w:spacing w:val="-1"/>
        </w:rPr>
        <w:t xml:space="preserve"> </w:t>
      </w:r>
      <w:r>
        <w:t>assign</w:t>
      </w:r>
      <w:r>
        <w:rPr>
          <w:spacing w:val="-1"/>
        </w:rPr>
        <w:t xml:space="preserve"> </w:t>
      </w:r>
      <w:r>
        <w:t>this or that individual to it. “I” per se doesn’t refer to you or me or anyone else. But “I” does have a meaning. That meaning is a rule to the effect that tokens of it refer to the people who produced those tokens. See “expression-type.”</w:t>
      </w:r>
    </w:p>
    <w:p w14:paraId="7E002D91" w14:textId="77777777" w:rsidR="009A58DB" w:rsidRDefault="009A58DB">
      <w:pPr>
        <w:pStyle w:val="BodyText"/>
        <w:spacing w:before="23"/>
        <w:ind w:left="0"/>
        <w:jc w:val="left"/>
      </w:pPr>
    </w:p>
    <w:p w14:paraId="7E002D92" w14:textId="77777777" w:rsidR="009A58DB" w:rsidRDefault="00000000">
      <w:pPr>
        <w:pStyle w:val="BodyText"/>
        <w:spacing w:line="249" w:lineRule="auto"/>
        <w:ind w:right="359"/>
      </w:pPr>
      <w:r>
        <w:rPr>
          <w:b/>
          <w:i/>
        </w:rPr>
        <w:t>Sentential</w:t>
      </w:r>
      <w:r>
        <w:rPr>
          <w:b/>
          <w:i/>
          <w:spacing w:val="-4"/>
        </w:rPr>
        <w:t xml:space="preserve"> </w:t>
      </w:r>
      <w:r>
        <w:rPr>
          <w:b/>
          <w:i/>
        </w:rPr>
        <w:t>force:</w:t>
      </w:r>
      <w:r>
        <w:rPr>
          <w:b/>
          <w:i/>
          <w:spacing w:val="-4"/>
        </w:rPr>
        <w:t xml:space="preserve"> </w:t>
      </w:r>
      <w:r>
        <w:t>Some</w:t>
      </w:r>
      <w:r>
        <w:rPr>
          <w:spacing w:val="-2"/>
        </w:rPr>
        <w:t xml:space="preserve"> </w:t>
      </w:r>
      <w:r>
        <w:t>sentences</w:t>
      </w:r>
      <w:r>
        <w:rPr>
          <w:spacing w:val="-2"/>
        </w:rPr>
        <w:t xml:space="preserve"> </w:t>
      </w:r>
      <w:r>
        <w:t>are</w:t>
      </w:r>
      <w:r>
        <w:rPr>
          <w:spacing w:val="-2"/>
        </w:rPr>
        <w:t xml:space="preserve"> </w:t>
      </w:r>
      <w:r>
        <w:t>true</w:t>
      </w:r>
      <w:r>
        <w:rPr>
          <w:spacing w:val="-2"/>
        </w:rPr>
        <w:t xml:space="preserve"> </w:t>
      </w:r>
      <w:r>
        <w:t>or</w:t>
      </w:r>
      <w:r>
        <w:rPr>
          <w:spacing w:val="-2"/>
        </w:rPr>
        <w:t xml:space="preserve"> </w:t>
      </w:r>
      <w:r>
        <w:t>false</w:t>
      </w:r>
      <w:r>
        <w:rPr>
          <w:spacing w:val="-2"/>
        </w:rPr>
        <w:t xml:space="preserve"> </w:t>
      </w:r>
      <w:r>
        <w:t>(e.g.,</w:t>
      </w:r>
      <w:r>
        <w:rPr>
          <w:spacing w:val="-2"/>
        </w:rPr>
        <w:t xml:space="preserve"> </w:t>
      </w:r>
      <w:r>
        <w:t>“snow</w:t>
      </w:r>
      <w:r>
        <w:rPr>
          <w:spacing w:val="-2"/>
        </w:rPr>
        <w:t xml:space="preserve"> </w:t>
      </w:r>
      <w:r>
        <w:t>is</w:t>
      </w:r>
      <w:r>
        <w:rPr>
          <w:spacing w:val="-2"/>
        </w:rPr>
        <w:t xml:space="preserve"> </w:t>
      </w:r>
      <w:r>
        <w:t>white”).</w:t>
      </w:r>
      <w:r>
        <w:rPr>
          <w:spacing w:val="-2"/>
        </w:rPr>
        <w:t xml:space="preserve"> </w:t>
      </w:r>
      <w:r>
        <w:t xml:space="preserve">But some are neither true nor false. Imperatives (i.e., orders—e.g., “get out of here”) and interrogatives (i.e., questions—e.g., “what’s a hypotenuse?) are neither true nor false. True or false sentences are known as </w:t>
      </w:r>
      <w:r>
        <w:rPr>
          <w:i/>
        </w:rPr>
        <w:t>indicatives</w:t>
      </w:r>
      <w:r>
        <w:t xml:space="preserve">, and they therefore differ in respect of </w:t>
      </w:r>
      <w:r>
        <w:rPr>
          <w:i/>
        </w:rPr>
        <w:t xml:space="preserve">force </w:t>
      </w:r>
      <w:r>
        <w:t xml:space="preserve">from both interrogatives and </w:t>
      </w:r>
      <w:r>
        <w:rPr>
          <w:spacing w:val="-2"/>
        </w:rPr>
        <w:t>imperatives.</w:t>
      </w:r>
    </w:p>
    <w:p w14:paraId="7E002D93" w14:textId="77777777" w:rsidR="009A58DB" w:rsidRDefault="009A58DB">
      <w:pPr>
        <w:pStyle w:val="BodyText"/>
        <w:spacing w:before="22"/>
        <w:ind w:left="0"/>
        <w:jc w:val="left"/>
      </w:pPr>
    </w:p>
    <w:p w14:paraId="7E002D94" w14:textId="77777777" w:rsidR="009A58DB" w:rsidRDefault="00000000">
      <w:pPr>
        <w:pStyle w:val="BodyText"/>
        <w:spacing w:line="249" w:lineRule="auto"/>
        <w:ind w:right="358"/>
      </w:pPr>
      <w:r>
        <w:rPr>
          <w:b/>
          <w:i/>
        </w:rPr>
        <w:t xml:space="preserve">Sense vs. reference: </w:t>
      </w:r>
      <w:r>
        <w:t>“The inventor of bifocals” refers to Benjamin Franklin, and so does “the first postmaster general.” But, even though those</w:t>
      </w:r>
      <w:r>
        <w:rPr>
          <w:spacing w:val="40"/>
        </w:rPr>
        <w:t xml:space="preserve"> </w:t>
      </w:r>
      <w:r>
        <w:t xml:space="preserve">expressions co-refer, they have different </w:t>
      </w:r>
      <w:r>
        <w:rPr>
          <w:i/>
        </w:rPr>
        <w:t>senses.</w:t>
      </w:r>
      <w:r>
        <w:rPr>
          <w:i/>
          <w:spacing w:val="-4"/>
        </w:rPr>
        <w:t xml:space="preserve"> </w:t>
      </w:r>
      <w:r>
        <w:t xml:space="preserve">Although Benjamin Franklin was the first postmaster general, it isn’t in </w:t>
      </w:r>
      <w:r>
        <w:rPr>
          <w:i/>
        </w:rPr>
        <w:t xml:space="preserve">virtue </w:t>
      </w:r>
      <w:r>
        <w:t xml:space="preserve">of his having this property that “the inventor of bifocals” refers to him. And although Benjamin Franklin was the inventor of bifocals, it isn’t in </w:t>
      </w:r>
      <w:r>
        <w:rPr>
          <w:i/>
        </w:rPr>
        <w:t xml:space="preserve">virtue </w:t>
      </w:r>
      <w:r>
        <w:t xml:space="preserve">of his having this property that “the first postmaster general” refers to him. It is in virtue of his being a unique first postmaster general and a unique inventor of bifocals that Benjamin Franklin is the referent of, respectively, “the first postmaster general” and “the inventor of bifocals.” The </w:t>
      </w:r>
      <w:r>
        <w:rPr>
          <w:i/>
        </w:rPr>
        <w:t xml:space="preserve">sense </w:t>
      </w:r>
      <w:r>
        <w:t>of an expression is the property</w:t>
      </w:r>
      <w:r>
        <w:rPr>
          <w:spacing w:val="-2"/>
        </w:rPr>
        <w:t xml:space="preserve"> </w:t>
      </w:r>
      <w:r>
        <w:t>that</w:t>
      </w:r>
      <w:r>
        <w:rPr>
          <w:spacing w:val="-2"/>
        </w:rPr>
        <w:t xml:space="preserve"> </w:t>
      </w:r>
      <w:r>
        <w:t>an</w:t>
      </w:r>
      <w:r>
        <w:rPr>
          <w:spacing w:val="-2"/>
        </w:rPr>
        <w:t xml:space="preserve"> </w:t>
      </w:r>
      <w:r>
        <w:t>object</w:t>
      </w:r>
      <w:r>
        <w:rPr>
          <w:spacing w:val="-2"/>
        </w:rPr>
        <w:t xml:space="preserve"> </w:t>
      </w:r>
      <w:r>
        <w:t>must</w:t>
      </w:r>
      <w:r>
        <w:rPr>
          <w:spacing w:val="-2"/>
        </w:rPr>
        <w:t xml:space="preserve"> </w:t>
      </w:r>
      <w:r>
        <w:t>have</w:t>
      </w:r>
      <w:r>
        <w:rPr>
          <w:spacing w:val="-1"/>
        </w:rPr>
        <w:t xml:space="preserve"> </w:t>
      </w:r>
      <w:r>
        <w:t>to</w:t>
      </w:r>
      <w:r>
        <w:rPr>
          <w:spacing w:val="-2"/>
        </w:rPr>
        <w:t xml:space="preserve"> </w:t>
      </w:r>
      <w:r>
        <w:t>be</w:t>
      </w:r>
      <w:r>
        <w:rPr>
          <w:spacing w:val="-1"/>
        </w:rPr>
        <w:t xml:space="preserve"> </w:t>
      </w:r>
      <w:r>
        <w:t>its</w:t>
      </w:r>
      <w:r>
        <w:rPr>
          <w:spacing w:val="-2"/>
        </w:rPr>
        <w:t xml:space="preserve"> </w:t>
      </w:r>
      <w:r>
        <w:t>referent.</w:t>
      </w:r>
      <w:r>
        <w:rPr>
          <w:spacing w:val="-1"/>
        </w:rPr>
        <w:t xml:space="preserve"> </w:t>
      </w:r>
      <w:r>
        <w:t>So</w:t>
      </w:r>
      <w:r>
        <w:rPr>
          <w:spacing w:val="-2"/>
        </w:rPr>
        <w:t xml:space="preserve"> </w:t>
      </w:r>
      <w:r>
        <w:t>supposing</w:t>
      </w:r>
      <w:r>
        <w:rPr>
          <w:spacing w:val="-1"/>
        </w:rPr>
        <w:t xml:space="preserve"> </w:t>
      </w:r>
      <w:r>
        <w:t>that</w:t>
      </w:r>
      <w:r>
        <w:rPr>
          <w:spacing w:val="-2"/>
        </w:rPr>
        <w:t xml:space="preserve"> </w:t>
      </w:r>
      <w:r>
        <w:t>O</w:t>
      </w:r>
      <w:r>
        <w:rPr>
          <w:spacing w:val="-1"/>
        </w:rPr>
        <w:t xml:space="preserve"> </w:t>
      </w:r>
      <w:r>
        <w:t>is</w:t>
      </w:r>
      <w:r>
        <w:rPr>
          <w:spacing w:val="-1"/>
        </w:rPr>
        <w:t xml:space="preserve"> </w:t>
      </w:r>
      <w:r>
        <w:t>the referent of some expression R, and that it is in virtue of O’s having property</w:t>
      </w:r>
      <w:r>
        <w:rPr>
          <w:spacing w:val="40"/>
        </w:rPr>
        <w:t xml:space="preserve"> </w:t>
      </w:r>
      <w:r>
        <w:t>P that R refers to O, P is the “sense” of R.</w:t>
      </w:r>
    </w:p>
    <w:p w14:paraId="7E002D95" w14:textId="77777777" w:rsidR="009A58DB" w:rsidRDefault="009A58DB">
      <w:pPr>
        <w:pStyle w:val="BodyText"/>
        <w:spacing w:before="31"/>
        <w:ind w:left="0"/>
        <w:jc w:val="left"/>
      </w:pPr>
    </w:p>
    <w:p w14:paraId="7E002D96" w14:textId="77777777" w:rsidR="009A58DB" w:rsidRDefault="00000000">
      <w:pPr>
        <w:pStyle w:val="BodyText"/>
        <w:spacing w:line="249" w:lineRule="auto"/>
        <w:ind w:right="358"/>
      </w:pPr>
      <w:r>
        <w:t>Commentary: Those who hold that definite descriptions are quantifiers, as opposed to referring terms, will reject what was just said. See Chapter 6. See “definite descriptions” and “quantifier.”</w:t>
      </w:r>
    </w:p>
    <w:p w14:paraId="7E002D97" w14:textId="77777777" w:rsidR="009A58DB" w:rsidRDefault="009A58DB">
      <w:pPr>
        <w:pStyle w:val="BodyText"/>
        <w:spacing w:line="249" w:lineRule="auto"/>
        <w:sectPr w:rsidR="009A58DB">
          <w:pgSz w:w="12240" w:h="15840"/>
          <w:pgMar w:top="1740" w:right="1080" w:bottom="280" w:left="1080" w:header="720" w:footer="720" w:gutter="0"/>
          <w:cols w:space="720"/>
        </w:sectPr>
      </w:pPr>
    </w:p>
    <w:p w14:paraId="7E002D98" w14:textId="77777777" w:rsidR="009A58DB" w:rsidRDefault="00000000">
      <w:pPr>
        <w:pStyle w:val="BodyText"/>
        <w:spacing w:before="65" w:line="249" w:lineRule="auto"/>
        <w:ind w:right="361"/>
      </w:pPr>
      <w:r>
        <w:rPr>
          <w:b/>
          <w:i/>
        </w:rPr>
        <w:t xml:space="preserve">Sense-perception: </w:t>
      </w:r>
      <w:r>
        <w:t xml:space="preserve">Sight, hearing, touch, taste, smell, and one’s bodily kinesthetic sense (the feeling of resistance one experiences when trying to move objects—this sensory modality involves touch but isn’t identical with it). The two distinguishing features of sense-perception are (i) that it yields knowledge that is (at the </w:t>
      </w:r>
      <w:r>
        <w:rPr>
          <w:b/>
          <w:i/>
        </w:rPr>
        <w:t>personal level of cognition</w:t>
      </w:r>
      <w:r>
        <w:t>) non-inferential, and (ii) perceptual information varies in real-time with the states of affairs it concerns. See “personal stratum of cognition.”</w:t>
      </w:r>
    </w:p>
    <w:p w14:paraId="7E002D99" w14:textId="77777777" w:rsidR="009A58DB" w:rsidRDefault="009A58DB">
      <w:pPr>
        <w:pStyle w:val="BodyText"/>
        <w:spacing w:before="23"/>
        <w:ind w:left="0"/>
        <w:jc w:val="left"/>
      </w:pPr>
    </w:p>
    <w:p w14:paraId="7E002D9A" w14:textId="77777777" w:rsidR="009A58DB" w:rsidRDefault="00000000">
      <w:pPr>
        <w:pStyle w:val="BodyText"/>
        <w:spacing w:line="249" w:lineRule="auto"/>
        <w:ind w:right="359"/>
      </w:pPr>
      <w:r>
        <w:rPr>
          <w:b/>
          <w:i/>
        </w:rPr>
        <w:t xml:space="preserve">Sets and classes: </w:t>
      </w:r>
      <w:r>
        <w:t>A class is simply a collection of some kind—for example, the class of numbers, the class of even numbers, the class of people, the class of people who are taking philosophy 101 this semester, the class of smart people, the class of talented athletes.</w:t>
      </w:r>
    </w:p>
    <w:p w14:paraId="7E002D9B" w14:textId="77777777" w:rsidR="009A58DB" w:rsidRDefault="00000000">
      <w:pPr>
        <w:pStyle w:val="BodyText"/>
        <w:spacing w:before="5" w:line="249" w:lineRule="auto"/>
        <w:ind w:right="361" w:firstLine="360"/>
      </w:pPr>
      <w:r>
        <w:t>The word “set” is sometimes used instead of “class.” We’ll use these</w:t>
      </w:r>
      <w:r>
        <w:rPr>
          <w:spacing w:val="40"/>
        </w:rPr>
        <w:t xml:space="preserve"> </w:t>
      </w:r>
      <w:r>
        <w:t>terms interchangeably. (Some set-theorists, e.g., Quine (1956), do not do so.)</w:t>
      </w:r>
    </w:p>
    <w:p w14:paraId="7E002D9C" w14:textId="77777777" w:rsidR="009A58DB" w:rsidRDefault="009A58DB">
      <w:pPr>
        <w:pStyle w:val="BodyText"/>
        <w:spacing w:before="17"/>
        <w:ind w:left="0"/>
        <w:jc w:val="left"/>
      </w:pPr>
    </w:p>
    <w:p w14:paraId="7E002D9D" w14:textId="77777777" w:rsidR="009A58DB" w:rsidRDefault="00000000">
      <w:pPr>
        <w:pStyle w:val="BodyText"/>
        <w:spacing w:before="1" w:line="249" w:lineRule="auto"/>
        <w:ind w:right="358"/>
      </w:pPr>
      <w:r>
        <w:t>Commentary: The sets that are of intellectual interest are usually ones whose members have some property in common with one another that nothing else has in common with any of them. So, for example, we talk about the set of whole numbers, the set of people who have survived pancreatic cancer, the</w:t>
      </w:r>
      <w:r>
        <w:rPr>
          <w:spacing w:val="40"/>
        </w:rPr>
        <w:t xml:space="preserve"> </w:t>
      </w:r>
      <w:r>
        <w:t>set</w:t>
      </w:r>
      <w:r>
        <w:rPr>
          <w:spacing w:val="23"/>
        </w:rPr>
        <w:t xml:space="preserve"> </w:t>
      </w:r>
      <w:r>
        <w:t>of</w:t>
      </w:r>
      <w:r>
        <w:rPr>
          <w:spacing w:val="23"/>
        </w:rPr>
        <w:t xml:space="preserve"> </w:t>
      </w:r>
      <w:r>
        <w:t>people</w:t>
      </w:r>
      <w:r>
        <w:rPr>
          <w:spacing w:val="24"/>
        </w:rPr>
        <w:t xml:space="preserve"> </w:t>
      </w:r>
      <w:r>
        <w:t>who</w:t>
      </w:r>
      <w:r>
        <w:rPr>
          <w:spacing w:val="23"/>
        </w:rPr>
        <w:t xml:space="preserve"> </w:t>
      </w:r>
      <w:r>
        <w:t>are</w:t>
      </w:r>
      <w:r>
        <w:rPr>
          <w:spacing w:val="23"/>
        </w:rPr>
        <w:t xml:space="preserve"> </w:t>
      </w:r>
      <w:r>
        <w:t>currently</w:t>
      </w:r>
      <w:r>
        <w:rPr>
          <w:spacing w:val="24"/>
        </w:rPr>
        <w:t xml:space="preserve"> </w:t>
      </w:r>
      <w:r>
        <w:t>philosophy</w:t>
      </w:r>
      <w:r>
        <w:rPr>
          <w:spacing w:val="23"/>
        </w:rPr>
        <w:t xml:space="preserve"> </w:t>
      </w:r>
      <w:r>
        <w:t>professors.</w:t>
      </w:r>
      <w:r>
        <w:rPr>
          <w:spacing w:val="23"/>
        </w:rPr>
        <w:t xml:space="preserve"> </w:t>
      </w:r>
      <w:r>
        <w:t>Let</w:t>
      </w:r>
      <w:r>
        <w:rPr>
          <w:spacing w:val="24"/>
        </w:rPr>
        <w:t xml:space="preserve"> </w:t>
      </w:r>
      <w:r>
        <w:t>S</w:t>
      </w:r>
      <w:r>
        <w:rPr>
          <w:vertAlign w:val="subscript"/>
        </w:rPr>
        <w:t>1</w:t>
      </w:r>
      <w:r>
        <w:t>,</w:t>
      </w:r>
      <w:r>
        <w:rPr>
          <w:spacing w:val="17"/>
        </w:rPr>
        <w:t xml:space="preserve"> </w:t>
      </w:r>
      <w:r>
        <w:t>S</w:t>
      </w:r>
      <w:r>
        <w:rPr>
          <w:vertAlign w:val="subscript"/>
        </w:rPr>
        <w:t>2</w:t>
      </w:r>
      <w:r>
        <w:t>,</w:t>
      </w:r>
      <w:r>
        <w:rPr>
          <w:spacing w:val="24"/>
        </w:rPr>
        <w:t xml:space="preserve"> </w:t>
      </w:r>
      <w:r>
        <w:t>and</w:t>
      </w:r>
      <w:r>
        <w:rPr>
          <w:spacing w:val="25"/>
        </w:rPr>
        <w:t xml:space="preserve"> </w:t>
      </w:r>
      <w:r>
        <w:t>S</w:t>
      </w:r>
      <w:r>
        <w:rPr>
          <w:vertAlign w:val="subscript"/>
        </w:rPr>
        <w:t>3</w:t>
      </w:r>
      <w:r>
        <w:rPr>
          <w:spacing w:val="32"/>
        </w:rPr>
        <w:t xml:space="preserve"> </w:t>
      </w:r>
      <w:r>
        <w:rPr>
          <w:spacing w:val="-5"/>
        </w:rPr>
        <w:t>be</w:t>
      </w:r>
    </w:p>
    <w:p w14:paraId="7E002D9E" w14:textId="77777777" w:rsidR="009A58DB" w:rsidRDefault="00000000">
      <w:pPr>
        <w:pStyle w:val="BodyText"/>
        <w:spacing w:before="66" w:line="271" w:lineRule="auto"/>
        <w:ind w:right="366"/>
      </w:pPr>
      <w:r>
        <w:t>these three sets. Every member of S</w:t>
      </w:r>
      <w:r>
        <w:rPr>
          <w:vertAlign w:val="subscript"/>
        </w:rPr>
        <w:t>1</w:t>
      </w:r>
      <w:r>
        <w:t xml:space="preserve"> has the property of being a whole number and nothing that isn’t a member of S1 has that property. Thus, the property</w:t>
      </w:r>
      <w:r>
        <w:rPr>
          <w:spacing w:val="48"/>
        </w:rPr>
        <w:t xml:space="preserve"> </w:t>
      </w:r>
      <w:r>
        <w:t>of</w:t>
      </w:r>
      <w:r>
        <w:rPr>
          <w:spacing w:val="50"/>
        </w:rPr>
        <w:t xml:space="preserve"> </w:t>
      </w:r>
      <w:r>
        <w:t>being</w:t>
      </w:r>
      <w:r>
        <w:rPr>
          <w:spacing w:val="50"/>
        </w:rPr>
        <w:t xml:space="preserve"> </w:t>
      </w:r>
      <w:r>
        <w:t>a</w:t>
      </w:r>
      <w:r>
        <w:rPr>
          <w:spacing w:val="50"/>
        </w:rPr>
        <w:t xml:space="preserve"> </w:t>
      </w:r>
      <w:r>
        <w:t>whole</w:t>
      </w:r>
      <w:r>
        <w:rPr>
          <w:spacing w:val="50"/>
        </w:rPr>
        <w:t xml:space="preserve"> </w:t>
      </w:r>
      <w:r>
        <w:t>number</w:t>
      </w:r>
      <w:r>
        <w:rPr>
          <w:spacing w:val="50"/>
        </w:rPr>
        <w:t xml:space="preserve"> </w:t>
      </w:r>
      <w:r>
        <w:rPr>
          <w:i/>
        </w:rPr>
        <w:t>generates</w:t>
      </w:r>
      <w:r>
        <w:rPr>
          <w:i/>
          <w:spacing w:val="42"/>
        </w:rPr>
        <w:t xml:space="preserve"> </w:t>
      </w:r>
      <w:r>
        <w:t>S1.</w:t>
      </w:r>
      <w:r>
        <w:rPr>
          <w:spacing w:val="54"/>
        </w:rPr>
        <w:t xml:space="preserve"> </w:t>
      </w:r>
      <w:r>
        <w:t>The</w:t>
      </w:r>
      <w:r>
        <w:rPr>
          <w:spacing w:val="54"/>
        </w:rPr>
        <w:t xml:space="preserve"> </w:t>
      </w:r>
      <w:r>
        <w:t>property</w:t>
      </w:r>
      <w:r>
        <w:rPr>
          <w:spacing w:val="54"/>
        </w:rPr>
        <w:t xml:space="preserve"> </w:t>
      </w:r>
      <w:r>
        <w:t>of</w:t>
      </w:r>
      <w:r>
        <w:rPr>
          <w:spacing w:val="54"/>
        </w:rPr>
        <w:t xml:space="preserve"> </w:t>
      </w:r>
      <w:r>
        <w:t>being</w:t>
      </w:r>
      <w:r>
        <w:rPr>
          <w:spacing w:val="56"/>
        </w:rPr>
        <w:t xml:space="preserve"> </w:t>
      </w:r>
      <w:r>
        <w:rPr>
          <w:spacing w:val="-10"/>
        </w:rPr>
        <w:t>a</w:t>
      </w:r>
    </w:p>
    <w:p w14:paraId="7E002D9F" w14:textId="77777777" w:rsidR="009A58DB" w:rsidRDefault="00000000">
      <w:pPr>
        <w:pStyle w:val="BodyText"/>
        <w:spacing w:line="316" w:lineRule="exact"/>
      </w:pPr>
      <w:r>
        <w:t>survivor</w:t>
      </w:r>
      <w:r>
        <w:rPr>
          <w:spacing w:val="73"/>
          <w:w w:val="150"/>
        </w:rPr>
        <w:t xml:space="preserve"> </w:t>
      </w:r>
      <w:r>
        <w:t>of</w:t>
      </w:r>
      <w:r>
        <w:rPr>
          <w:spacing w:val="73"/>
          <w:w w:val="150"/>
        </w:rPr>
        <w:t xml:space="preserve"> </w:t>
      </w:r>
      <w:r>
        <w:t>pancreatic</w:t>
      </w:r>
      <w:r>
        <w:rPr>
          <w:spacing w:val="74"/>
          <w:w w:val="150"/>
        </w:rPr>
        <w:t xml:space="preserve"> </w:t>
      </w:r>
      <w:r>
        <w:t>cancer</w:t>
      </w:r>
      <w:r>
        <w:rPr>
          <w:spacing w:val="74"/>
          <w:w w:val="150"/>
        </w:rPr>
        <w:t xml:space="preserve"> </w:t>
      </w:r>
      <w:r>
        <w:t>and</w:t>
      </w:r>
      <w:r>
        <w:rPr>
          <w:spacing w:val="74"/>
          <w:w w:val="150"/>
        </w:rPr>
        <w:t xml:space="preserve"> </w:t>
      </w:r>
      <w:r>
        <w:t>the</w:t>
      </w:r>
      <w:r>
        <w:rPr>
          <w:spacing w:val="73"/>
          <w:w w:val="150"/>
        </w:rPr>
        <w:t xml:space="preserve"> </w:t>
      </w:r>
      <w:r>
        <w:t>property</w:t>
      </w:r>
      <w:r>
        <w:rPr>
          <w:spacing w:val="74"/>
          <w:w w:val="150"/>
        </w:rPr>
        <w:t xml:space="preserve"> </w:t>
      </w:r>
      <w:r>
        <w:t>of</w:t>
      </w:r>
      <w:r>
        <w:rPr>
          <w:spacing w:val="74"/>
          <w:w w:val="150"/>
        </w:rPr>
        <w:t xml:space="preserve"> </w:t>
      </w:r>
      <w:r>
        <w:t>being</w:t>
      </w:r>
      <w:r>
        <w:rPr>
          <w:spacing w:val="73"/>
          <w:w w:val="150"/>
        </w:rPr>
        <w:t xml:space="preserve"> </w:t>
      </w:r>
      <w:r>
        <w:t>a</w:t>
      </w:r>
      <w:r>
        <w:rPr>
          <w:spacing w:val="75"/>
          <w:w w:val="150"/>
        </w:rPr>
        <w:t xml:space="preserve"> </w:t>
      </w:r>
      <w:r>
        <w:rPr>
          <w:spacing w:val="-2"/>
        </w:rPr>
        <w:t>philosophy</w:t>
      </w:r>
    </w:p>
    <w:p w14:paraId="7E002DA0" w14:textId="77777777" w:rsidR="009A58DB" w:rsidRDefault="00000000">
      <w:pPr>
        <w:pStyle w:val="BodyText"/>
        <w:spacing w:before="15"/>
      </w:pPr>
      <w:r>
        <w:t>professor</w:t>
      </w:r>
      <w:r>
        <w:rPr>
          <w:spacing w:val="-3"/>
        </w:rPr>
        <w:t xml:space="preserve"> </w:t>
      </w:r>
      <w:r>
        <w:t>generate</w:t>
      </w:r>
      <w:r>
        <w:rPr>
          <w:spacing w:val="-3"/>
        </w:rPr>
        <w:t xml:space="preserve"> </w:t>
      </w:r>
      <w:r>
        <w:t>S</w:t>
      </w:r>
      <w:r>
        <w:rPr>
          <w:position w:val="-7"/>
          <w:sz w:val="22"/>
        </w:rPr>
        <w:t>2</w:t>
      </w:r>
      <w:r>
        <w:rPr>
          <w:spacing w:val="18"/>
          <w:position w:val="-7"/>
          <w:sz w:val="22"/>
        </w:rPr>
        <w:t xml:space="preserve"> </w:t>
      </w:r>
      <w:r>
        <w:t>and</w:t>
      </w:r>
      <w:r>
        <w:rPr>
          <w:spacing w:val="-1"/>
        </w:rPr>
        <w:t xml:space="preserve"> </w:t>
      </w:r>
      <w:r>
        <w:t>S</w:t>
      </w:r>
      <w:r>
        <w:rPr>
          <w:position w:val="-7"/>
          <w:sz w:val="22"/>
        </w:rPr>
        <w:t>3</w:t>
      </w:r>
      <w:r>
        <w:t>,</w:t>
      </w:r>
      <w:r>
        <w:rPr>
          <w:spacing w:val="-2"/>
        </w:rPr>
        <w:t xml:space="preserve"> respectively.</w:t>
      </w:r>
    </w:p>
    <w:p w14:paraId="7E002DA1" w14:textId="77777777" w:rsidR="009A58DB" w:rsidRDefault="00000000">
      <w:pPr>
        <w:pStyle w:val="BodyText"/>
        <w:spacing w:before="12" w:line="249" w:lineRule="auto"/>
        <w:ind w:right="361" w:firstLine="360"/>
      </w:pPr>
      <w:r>
        <w:t xml:space="preserve">Technically, given </w:t>
      </w:r>
      <w:r>
        <w:rPr>
          <w:i/>
        </w:rPr>
        <w:t xml:space="preserve">any </w:t>
      </w:r>
      <w:r>
        <w:t xml:space="preserve">set, there is </w:t>
      </w:r>
      <w:r>
        <w:rPr>
          <w:i/>
        </w:rPr>
        <w:t xml:space="preserve">some </w:t>
      </w:r>
      <w:r>
        <w:t>property that all and only its members have in common. But oftentimes these properties are very</w:t>
      </w:r>
      <w:r>
        <w:rPr>
          <w:spacing w:val="40"/>
        </w:rPr>
        <w:t xml:space="preserve"> </w:t>
      </w:r>
      <w:r>
        <w:t>contrived. Let S be the set consisting of Smith and the number two. Everything in S has the property of being identical either with Smith or with the number, and nothing outside of that set has that property. But, of course, we’re usually interested in sets that are generated by explanatorily more robust properties (e.g., the property of being a number).</w:t>
      </w:r>
    </w:p>
    <w:p w14:paraId="7E002DA2" w14:textId="77777777" w:rsidR="009A58DB" w:rsidRDefault="009A58DB">
      <w:pPr>
        <w:pStyle w:val="BodyText"/>
        <w:spacing w:before="24"/>
        <w:ind w:left="0"/>
        <w:jc w:val="left"/>
      </w:pPr>
    </w:p>
    <w:p w14:paraId="7E002DA3" w14:textId="77777777" w:rsidR="009A58DB" w:rsidRDefault="00000000">
      <w:pPr>
        <w:pStyle w:val="BodyText"/>
      </w:pPr>
      <w:r>
        <w:t>Additional</w:t>
      </w:r>
      <w:r>
        <w:rPr>
          <w:spacing w:val="4"/>
        </w:rPr>
        <w:t xml:space="preserve"> </w:t>
      </w:r>
      <w:r>
        <w:t>commentary:</w:t>
      </w:r>
      <w:r>
        <w:rPr>
          <w:spacing w:val="6"/>
        </w:rPr>
        <w:t xml:space="preserve"> </w:t>
      </w:r>
      <w:r>
        <w:t>Sets</w:t>
      </w:r>
      <w:r>
        <w:rPr>
          <w:spacing w:val="7"/>
        </w:rPr>
        <w:t xml:space="preserve"> </w:t>
      </w:r>
      <w:r>
        <w:t>≠</w:t>
      </w:r>
      <w:r>
        <w:rPr>
          <w:spacing w:val="10"/>
        </w:rPr>
        <w:t xml:space="preserve"> </w:t>
      </w:r>
      <w:r>
        <w:t>properties:</w:t>
      </w:r>
      <w:r>
        <w:rPr>
          <w:spacing w:val="11"/>
        </w:rPr>
        <w:t xml:space="preserve"> </w:t>
      </w:r>
      <w:r>
        <w:t>Some</w:t>
      </w:r>
      <w:r>
        <w:rPr>
          <w:spacing w:val="11"/>
        </w:rPr>
        <w:t xml:space="preserve"> </w:t>
      </w:r>
      <w:r>
        <w:t>have</w:t>
      </w:r>
      <w:r>
        <w:rPr>
          <w:spacing w:val="11"/>
        </w:rPr>
        <w:t xml:space="preserve"> </w:t>
      </w:r>
      <w:r>
        <w:t>held</w:t>
      </w:r>
      <w:r>
        <w:rPr>
          <w:spacing w:val="12"/>
        </w:rPr>
        <w:t xml:space="preserve"> </w:t>
      </w:r>
      <w:r>
        <w:t>that</w:t>
      </w:r>
      <w:r>
        <w:rPr>
          <w:spacing w:val="11"/>
        </w:rPr>
        <w:t xml:space="preserve"> </w:t>
      </w:r>
      <w:r>
        <w:t>sets</w:t>
      </w:r>
      <w:r>
        <w:rPr>
          <w:spacing w:val="11"/>
        </w:rPr>
        <w:t xml:space="preserve"> </w:t>
      </w:r>
      <w:r>
        <w:t>are</w:t>
      </w:r>
      <w:r>
        <w:rPr>
          <w:spacing w:val="11"/>
        </w:rPr>
        <w:t xml:space="preserve"> </w:t>
      </w:r>
      <w:r>
        <w:rPr>
          <w:spacing w:val="-4"/>
        </w:rPr>
        <w:t>with</w:t>
      </w:r>
    </w:p>
    <w:p w14:paraId="7E002DA4" w14:textId="77777777" w:rsidR="009A58DB" w:rsidRDefault="009A58DB">
      <w:pPr>
        <w:pStyle w:val="BodyText"/>
        <w:sectPr w:rsidR="009A58DB">
          <w:pgSz w:w="12240" w:h="15840"/>
          <w:pgMar w:top="1740" w:right="1080" w:bottom="280" w:left="1080" w:header="720" w:footer="720" w:gutter="0"/>
          <w:cols w:space="720"/>
        </w:sectPr>
      </w:pPr>
    </w:p>
    <w:p w14:paraId="7E002DA5" w14:textId="77777777" w:rsidR="009A58DB" w:rsidRDefault="00000000">
      <w:pPr>
        <w:pStyle w:val="BodyText"/>
        <w:spacing w:before="65" w:line="249" w:lineRule="auto"/>
        <w:ind w:right="360"/>
      </w:pPr>
      <w:r>
        <w:t xml:space="preserve">properties. Their argument: “Smith is a person” (i.e., “Smith has the property of being a person”) is equivalent with “Smith is a member of the class of people,” and the same thing </w:t>
      </w:r>
      <w:r>
        <w:rPr>
          <w:i/>
        </w:rPr>
        <w:t xml:space="preserve">mutatis mutandis </w:t>
      </w:r>
      <w:r>
        <w:t>holds of any statement that attributes any property to anything.</w:t>
      </w:r>
    </w:p>
    <w:p w14:paraId="7E002DA6" w14:textId="77777777" w:rsidR="009A58DB" w:rsidRDefault="00000000">
      <w:pPr>
        <w:pStyle w:val="BodyText"/>
        <w:spacing w:before="5" w:line="249" w:lineRule="auto"/>
        <w:ind w:right="357" w:firstLine="360"/>
      </w:pPr>
      <w:r>
        <w:t xml:space="preserve">But sets are not properties, and it’s easy to identify the fallacy in the foregoing argument. “Smith is a person” is </w:t>
      </w:r>
      <w:r>
        <w:rPr>
          <w:i/>
        </w:rPr>
        <w:t xml:space="preserve">not </w:t>
      </w:r>
      <w:r>
        <w:t>equivalent “Smith is a</w:t>
      </w:r>
      <w:r>
        <w:rPr>
          <w:spacing w:val="40"/>
        </w:rPr>
        <w:t xml:space="preserve"> </w:t>
      </w:r>
      <w:r>
        <w:t>member of the class of people.” Let S be the class of people currently alive, and</w:t>
      </w:r>
      <w:r>
        <w:rPr>
          <w:spacing w:val="-3"/>
        </w:rPr>
        <w:t xml:space="preserve"> </w:t>
      </w:r>
      <w:r>
        <w:t>suppose</w:t>
      </w:r>
      <w:r>
        <w:rPr>
          <w:spacing w:val="-2"/>
        </w:rPr>
        <w:t xml:space="preserve"> </w:t>
      </w:r>
      <w:r>
        <w:t>that</w:t>
      </w:r>
      <w:r>
        <w:rPr>
          <w:spacing w:val="-2"/>
        </w:rPr>
        <w:t xml:space="preserve"> </w:t>
      </w:r>
      <w:r>
        <w:t>both</w:t>
      </w:r>
      <w:r>
        <w:rPr>
          <w:spacing w:val="-2"/>
        </w:rPr>
        <w:t xml:space="preserve"> </w:t>
      </w:r>
      <w:r>
        <w:t>Smith</w:t>
      </w:r>
      <w:r>
        <w:rPr>
          <w:spacing w:val="-2"/>
        </w:rPr>
        <w:t xml:space="preserve"> </w:t>
      </w:r>
      <w:r>
        <w:t>and</w:t>
      </w:r>
      <w:r>
        <w:rPr>
          <w:spacing w:val="-2"/>
        </w:rPr>
        <w:t xml:space="preserve"> </w:t>
      </w:r>
      <w:r>
        <w:t>Jones</w:t>
      </w:r>
      <w:r>
        <w:rPr>
          <w:spacing w:val="-2"/>
        </w:rPr>
        <w:t xml:space="preserve"> </w:t>
      </w:r>
      <w:r>
        <w:t>are</w:t>
      </w:r>
      <w:r>
        <w:rPr>
          <w:spacing w:val="-2"/>
        </w:rPr>
        <w:t xml:space="preserve"> </w:t>
      </w:r>
      <w:r>
        <w:t>members</w:t>
      </w:r>
      <w:r>
        <w:rPr>
          <w:spacing w:val="-2"/>
        </w:rPr>
        <w:t xml:space="preserve"> </w:t>
      </w:r>
      <w:r>
        <w:t>of</w:t>
      </w:r>
      <w:r>
        <w:rPr>
          <w:spacing w:val="-2"/>
        </w:rPr>
        <w:t xml:space="preserve"> </w:t>
      </w:r>
      <w:r>
        <w:t>S.</w:t>
      </w:r>
      <w:r>
        <w:rPr>
          <w:spacing w:val="-2"/>
        </w:rPr>
        <w:t xml:space="preserve"> </w:t>
      </w:r>
      <w:r>
        <w:t>Remember</w:t>
      </w:r>
      <w:r>
        <w:rPr>
          <w:spacing w:val="-2"/>
        </w:rPr>
        <w:t xml:space="preserve"> </w:t>
      </w:r>
      <w:r>
        <w:t>that</w:t>
      </w:r>
      <w:r>
        <w:rPr>
          <w:spacing w:val="-2"/>
        </w:rPr>
        <w:t xml:space="preserve"> </w:t>
      </w:r>
      <w:r>
        <w:t>sets are individuated by their memberships. Thus, S couldn’t possibly exist unless Jones did as well. But Smith could exist and be a person in a world where Brown and, therefore, S failed to exist. So “Smith is a person” is not equivalent with “Smith is a member of S.”</w:t>
      </w:r>
    </w:p>
    <w:p w14:paraId="7E002DA7" w14:textId="77777777" w:rsidR="009A58DB" w:rsidRDefault="00000000">
      <w:pPr>
        <w:pStyle w:val="BodyText"/>
        <w:spacing w:before="9" w:line="249" w:lineRule="auto"/>
        <w:ind w:right="359" w:firstLine="360"/>
      </w:pPr>
      <w:r>
        <w:t>Sets are modally and temporally frozen. Properties are modally and temporally elastic. A given property may have different instances at different times and in different universes. (Some properties are modally frozen—e.g., the property of being an even number. But such properties are not representative of properties in general, and we may disregard them in what follows.) Thus, for any property phi (with the parenthetically noted exceptions)</w:t>
      </w:r>
      <w:r>
        <w:rPr>
          <w:spacing w:val="-2"/>
        </w:rPr>
        <w:t xml:space="preserve"> </w:t>
      </w:r>
      <w:r>
        <w:t>and</w:t>
      </w:r>
      <w:r>
        <w:rPr>
          <w:spacing w:val="-2"/>
        </w:rPr>
        <w:t xml:space="preserve"> </w:t>
      </w:r>
      <w:r>
        <w:t>any</w:t>
      </w:r>
      <w:r>
        <w:rPr>
          <w:spacing w:val="-2"/>
        </w:rPr>
        <w:t xml:space="preserve"> </w:t>
      </w:r>
      <w:r>
        <w:t>set</w:t>
      </w:r>
      <w:r>
        <w:rPr>
          <w:spacing w:val="-2"/>
        </w:rPr>
        <w:t xml:space="preserve"> </w:t>
      </w:r>
      <w:r>
        <w:t>S,</w:t>
      </w:r>
      <w:r>
        <w:rPr>
          <w:spacing w:val="-2"/>
        </w:rPr>
        <w:t xml:space="preserve"> </w:t>
      </w:r>
      <w:r>
        <w:t>‹x</w:t>
      </w:r>
      <w:r>
        <w:rPr>
          <w:spacing w:val="-2"/>
        </w:rPr>
        <w:t xml:space="preserve"> </w:t>
      </w:r>
      <w:r>
        <w:t>has</w:t>
      </w:r>
      <w:r>
        <w:rPr>
          <w:spacing w:val="-2"/>
        </w:rPr>
        <w:t xml:space="preserve"> </w:t>
      </w:r>
      <w:r>
        <w:t>phi›</w:t>
      </w:r>
      <w:r>
        <w:rPr>
          <w:spacing w:val="-2"/>
        </w:rPr>
        <w:t xml:space="preserve"> </w:t>
      </w:r>
      <w:r>
        <w:t>is</w:t>
      </w:r>
      <w:r>
        <w:rPr>
          <w:spacing w:val="-2"/>
        </w:rPr>
        <w:t xml:space="preserve"> </w:t>
      </w:r>
      <w:r>
        <w:t>not</w:t>
      </w:r>
      <w:r>
        <w:rPr>
          <w:spacing w:val="-2"/>
        </w:rPr>
        <w:t xml:space="preserve"> </w:t>
      </w:r>
      <w:r>
        <w:t>equivalent</w:t>
      </w:r>
      <w:r>
        <w:rPr>
          <w:spacing w:val="-2"/>
        </w:rPr>
        <w:t xml:space="preserve"> </w:t>
      </w:r>
      <w:r>
        <w:t>with</w:t>
      </w:r>
      <w:r>
        <w:rPr>
          <w:spacing w:val="-2"/>
        </w:rPr>
        <w:t xml:space="preserve"> </w:t>
      </w:r>
      <w:r>
        <w:t>‹x</w:t>
      </w:r>
      <w:r>
        <w:rPr>
          <w:spacing w:val="-2"/>
        </w:rPr>
        <w:t xml:space="preserve"> </w:t>
      </w:r>
      <w:r>
        <w:t>is</w:t>
      </w:r>
      <w:r>
        <w:rPr>
          <w:spacing w:val="-2"/>
        </w:rPr>
        <w:t xml:space="preserve"> </w:t>
      </w:r>
      <w:r>
        <w:t>a</w:t>
      </w:r>
      <w:r>
        <w:rPr>
          <w:spacing w:val="-2"/>
        </w:rPr>
        <w:t xml:space="preserve"> </w:t>
      </w:r>
      <w:r>
        <w:t>member</w:t>
      </w:r>
      <w:r>
        <w:rPr>
          <w:spacing w:val="-2"/>
        </w:rPr>
        <w:t xml:space="preserve"> </w:t>
      </w:r>
      <w:r>
        <w:t xml:space="preserve">of </w:t>
      </w:r>
      <w:r>
        <w:rPr>
          <w:spacing w:val="-4"/>
        </w:rPr>
        <w:t>S.›</w:t>
      </w:r>
    </w:p>
    <w:p w14:paraId="7E002DA8" w14:textId="77777777" w:rsidR="009A58DB" w:rsidRDefault="009A58DB">
      <w:pPr>
        <w:pStyle w:val="BodyText"/>
        <w:spacing w:before="25"/>
        <w:ind w:left="0"/>
        <w:jc w:val="left"/>
      </w:pPr>
    </w:p>
    <w:p w14:paraId="7E002DA9" w14:textId="77777777" w:rsidR="009A58DB" w:rsidRDefault="00000000">
      <w:pPr>
        <w:spacing w:line="249" w:lineRule="auto"/>
        <w:ind w:left="360" w:right="365"/>
        <w:jc w:val="both"/>
        <w:rPr>
          <w:sz w:val="30"/>
        </w:rPr>
      </w:pPr>
      <w:r>
        <w:rPr>
          <w:b/>
          <w:i/>
          <w:sz w:val="30"/>
        </w:rPr>
        <w:t xml:space="preserve">Simpliciter: </w:t>
      </w:r>
      <w:r>
        <w:rPr>
          <w:sz w:val="30"/>
        </w:rPr>
        <w:t xml:space="preserve">This means </w:t>
      </w:r>
      <w:r>
        <w:rPr>
          <w:i/>
          <w:sz w:val="30"/>
        </w:rPr>
        <w:t xml:space="preserve">without qualification. </w:t>
      </w:r>
      <w:r>
        <w:rPr>
          <w:sz w:val="30"/>
        </w:rPr>
        <w:t xml:space="preserve">“There is no such thing as motion </w:t>
      </w:r>
      <w:r>
        <w:rPr>
          <w:i/>
          <w:sz w:val="30"/>
        </w:rPr>
        <w:t>simpliciter</w:t>
      </w:r>
      <w:r>
        <w:rPr>
          <w:sz w:val="30"/>
        </w:rPr>
        <w:t xml:space="preserve">—one must be moving </w:t>
      </w:r>
      <w:r>
        <w:rPr>
          <w:i/>
          <w:sz w:val="30"/>
        </w:rPr>
        <w:t>relative to this or that framework.</w:t>
      </w:r>
      <w:r>
        <w:rPr>
          <w:sz w:val="30"/>
        </w:rPr>
        <w:t>”</w:t>
      </w:r>
    </w:p>
    <w:p w14:paraId="7E002DAA" w14:textId="77777777" w:rsidR="009A58DB" w:rsidRDefault="009A58DB">
      <w:pPr>
        <w:pStyle w:val="BodyText"/>
        <w:spacing w:before="18"/>
        <w:ind w:left="0"/>
        <w:jc w:val="left"/>
      </w:pPr>
    </w:p>
    <w:p w14:paraId="7E002DAB" w14:textId="77777777" w:rsidR="009A58DB" w:rsidRDefault="00000000">
      <w:pPr>
        <w:pStyle w:val="BodyText"/>
        <w:spacing w:line="249" w:lineRule="auto"/>
        <w:ind w:right="367"/>
      </w:pPr>
      <w:r>
        <w:rPr>
          <w:b/>
          <w:i/>
        </w:rPr>
        <w:t xml:space="preserve">Singular term: </w:t>
      </w:r>
      <w:r>
        <w:t>Any terms refers to an individual (e.g. “Socrates,” “Shamu”). See “referring term.”</w:t>
      </w:r>
    </w:p>
    <w:p w14:paraId="7E002DAC" w14:textId="77777777" w:rsidR="009A58DB" w:rsidRDefault="009A58DB">
      <w:pPr>
        <w:pStyle w:val="BodyText"/>
        <w:spacing w:before="17"/>
        <w:ind w:left="0"/>
        <w:jc w:val="left"/>
      </w:pPr>
    </w:p>
    <w:p w14:paraId="7E002DAD" w14:textId="77777777" w:rsidR="009A58DB" w:rsidRDefault="00000000">
      <w:pPr>
        <w:ind w:left="360"/>
        <w:jc w:val="both"/>
        <w:rPr>
          <w:sz w:val="30"/>
        </w:rPr>
      </w:pPr>
      <w:r>
        <w:rPr>
          <w:b/>
          <w:i/>
          <w:sz w:val="30"/>
        </w:rPr>
        <w:t>Slingshot-style</w:t>
      </w:r>
      <w:r>
        <w:rPr>
          <w:b/>
          <w:i/>
          <w:spacing w:val="-9"/>
          <w:sz w:val="30"/>
        </w:rPr>
        <w:t xml:space="preserve"> </w:t>
      </w:r>
      <w:r>
        <w:rPr>
          <w:b/>
          <w:i/>
          <w:sz w:val="30"/>
        </w:rPr>
        <w:t>arguments:</w:t>
      </w:r>
      <w:r>
        <w:rPr>
          <w:b/>
          <w:i/>
          <w:spacing w:val="-7"/>
          <w:sz w:val="30"/>
        </w:rPr>
        <w:t xml:space="preserve"> </w:t>
      </w:r>
      <w:r>
        <w:rPr>
          <w:sz w:val="30"/>
        </w:rPr>
        <w:t>Consider</w:t>
      </w:r>
      <w:r>
        <w:rPr>
          <w:spacing w:val="-7"/>
          <w:sz w:val="30"/>
        </w:rPr>
        <w:t xml:space="preserve"> </w:t>
      </w:r>
      <w:r>
        <w:rPr>
          <w:sz w:val="30"/>
        </w:rPr>
        <w:t>the</w:t>
      </w:r>
      <w:r>
        <w:rPr>
          <w:spacing w:val="-7"/>
          <w:sz w:val="30"/>
        </w:rPr>
        <w:t xml:space="preserve"> </w:t>
      </w:r>
      <w:r>
        <w:rPr>
          <w:sz w:val="30"/>
        </w:rPr>
        <w:t>following</w:t>
      </w:r>
      <w:r>
        <w:rPr>
          <w:spacing w:val="-5"/>
          <w:sz w:val="30"/>
        </w:rPr>
        <w:t xml:space="preserve"> </w:t>
      </w:r>
      <w:r>
        <w:rPr>
          <w:spacing w:val="-2"/>
          <w:sz w:val="30"/>
        </w:rPr>
        <w:t>sentences:</w:t>
      </w:r>
    </w:p>
    <w:p w14:paraId="7E002DAE" w14:textId="77777777" w:rsidR="009A58DB" w:rsidRDefault="009A58DB">
      <w:pPr>
        <w:pStyle w:val="BodyText"/>
        <w:spacing w:before="30"/>
        <w:ind w:left="0"/>
        <w:jc w:val="left"/>
      </w:pPr>
    </w:p>
    <w:p w14:paraId="7E002DAF" w14:textId="77777777" w:rsidR="009A58DB" w:rsidRDefault="00000000">
      <w:pPr>
        <w:pStyle w:val="ListParagraph"/>
        <w:numPr>
          <w:ilvl w:val="0"/>
          <w:numId w:val="11"/>
        </w:numPr>
        <w:tabs>
          <w:tab w:val="left" w:pos="782"/>
        </w:tabs>
        <w:ind w:left="782" w:hanging="422"/>
        <w:jc w:val="both"/>
        <w:rPr>
          <w:sz w:val="30"/>
        </w:rPr>
      </w:pPr>
      <w:r>
        <w:rPr>
          <w:sz w:val="30"/>
        </w:rPr>
        <w:t>Mozart</w:t>
      </w:r>
      <w:r>
        <w:rPr>
          <w:spacing w:val="-3"/>
          <w:sz w:val="30"/>
        </w:rPr>
        <w:t xml:space="preserve"> </w:t>
      </w:r>
      <w:r>
        <w:rPr>
          <w:sz w:val="30"/>
        </w:rPr>
        <w:t>was</w:t>
      </w:r>
      <w:r>
        <w:rPr>
          <w:spacing w:val="-3"/>
          <w:sz w:val="30"/>
        </w:rPr>
        <w:t xml:space="preserve"> </w:t>
      </w:r>
      <w:r>
        <w:rPr>
          <w:sz w:val="30"/>
        </w:rPr>
        <w:t>a</w:t>
      </w:r>
      <w:r>
        <w:rPr>
          <w:spacing w:val="-3"/>
          <w:sz w:val="30"/>
        </w:rPr>
        <w:t xml:space="preserve"> </w:t>
      </w:r>
      <w:r>
        <w:rPr>
          <w:spacing w:val="-2"/>
          <w:sz w:val="30"/>
        </w:rPr>
        <w:t>composer.</w:t>
      </w:r>
    </w:p>
    <w:p w14:paraId="7E002DB0" w14:textId="77777777" w:rsidR="009A58DB" w:rsidRDefault="00000000">
      <w:pPr>
        <w:pStyle w:val="ListParagraph"/>
        <w:numPr>
          <w:ilvl w:val="0"/>
          <w:numId w:val="11"/>
        </w:numPr>
        <w:tabs>
          <w:tab w:val="left" w:pos="720"/>
          <w:tab w:val="left" w:pos="801"/>
        </w:tabs>
        <w:spacing w:before="15" w:line="249" w:lineRule="auto"/>
        <w:ind w:left="720" w:right="358" w:hanging="360"/>
        <w:jc w:val="both"/>
        <w:rPr>
          <w:sz w:val="30"/>
        </w:rPr>
      </w:pPr>
      <w:r>
        <w:rPr>
          <w:sz w:val="30"/>
        </w:rPr>
        <w:tab/>
        <w:t xml:space="preserve">The class of all things x such that </w:t>
      </w:r>
      <w:r>
        <w:rPr>
          <w:b/>
          <w:i/>
          <w:sz w:val="30"/>
        </w:rPr>
        <w:t xml:space="preserve">Mozart was a composer and x is self-identical </w:t>
      </w:r>
      <w:r>
        <w:rPr>
          <w:sz w:val="30"/>
        </w:rPr>
        <w:t xml:space="preserve">is identical with the class of all things x such that </w:t>
      </w:r>
      <w:r>
        <w:rPr>
          <w:b/>
          <w:i/>
          <w:sz w:val="30"/>
        </w:rPr>
        <w:t>x is self-</w:t>
      </w:r>
      <w:r>
        <w:rPr>
          <w:b/>
          <w:i/>
          <w:spacing w:val="-2"/>
          <w:sz w:val="30"/>
        </w:rPr>
        <w:t>identical</w:t>
      </w:r>
      <w:r>
        <w:rPr>
          <w:spacing w:val="-2"/>
          <w:sz w:val="30"/>
        </w:rPr>
        <w:t>.</w:t>
      </w:r>
    </w:p>
    <w:p w14:paraId="7E002DB1" w14:textId="77777777" w:rsidR="009A58DB" w:rsidRDefault="00000000">
      <w:pPr>
        <w:pStyle w:val="ListParagraph"/>
        <w:numPr>
          <w:ilvl w:val="0"/>
          <w:numId w:val="11"/>
        </w:numPr>
        <w:tabs>
          <w:tab w:val="left" w:pos="720"/>
          <w:tab w:val="left" w:pos="782"/>
        </w:tabs>
        <w:spacing w:before="4" w:line="249" w:lineRule="auto"/>
        <w:ind w:left="720" w:right="364" w:hanging="360"/>
        <w:jc w:val="both"/>
        <w:rPr>
          <w:sz w:val="30"/>
        </w:rPr>
      </w:pPr>
      <w:r>
        <w:rPr>
          <w:sz w:val="30"/>
        </w:rPr>
        <w:tab/>
        <w:t>The</w:t>
      </w:r>
      <w:r>
        <w:rPr>
          <w:spacing w:val="-4"/>
          <w:sz w:val="30"/>
        </w:rPr>
        <w:t xml:space="preserve"> </w:t>
      </w:r>
      <w:r>
        <w:rPr>
          <w:sz w:val="30"/>
        </w:rPr>
        <w:t>class</w:t>
      </w:r>
      <w:r>
        <w:rPr>
          <w:spacing w:val="-4"/>
          <w:sz w:val="30"/>
        </w:rPr>
        <w:t xml:space="preserve"> </w:t>
      </w:r>
      <w:r>
        <w:rPr>
          <w:sz w:val="30"/>
        </w:rPr>
        <w:t>of</w:t>
      </w:r>
      <w:r>
        <w:rPr>
          <w:spacing w:val="-4"/>
          <w:sz w:val="30"/>
        </w:rPr>
        <w:t xml:space="preserve"> </w:t>
      </w:r>
      <w:r>
        <w:rPr>
          <w:sz w:val="30"/>
        </w:rPr>
        <w:t>all</w:t>
      </w:r>
      <w:r>
        <w:rPr>
          <w:spacing w:val="-4"/>
          <w:sz w:val="30"/>
        </w:rPr>
        <w:t xml:space="preserve"> </w:t>
      </w:r>
      <w:r>
        <w:rPr>
          <w:sz w:val="30"/>
        </w:rPr>
        <w:t>things</w:t>
      </w:r>
      <w:r>
        <w:rPr>
          <w:spacing w:val="-4"/>
          <w:sz w:val="30"/>
        </w:rPr>
        <w:t xml:space="preserve"> </w:t>
      </w:r>
      <w:r>
        <w:rPr>
          <w:sz w:val="30"/>
        </w:rPr>
        <w:t>x</w:t>
      </w:r>
      <w:r>
        <w:rPr>
          <w:spacing w:val="-3"/>
          <w:sz w:val="30"/>
        </w:rPr>
        <w:t xml:space="preserve"> </w:t>
      </w:r>
      <w:r>
        <w:rPr>
          <w:sz w:val="30"/>
        </w:rPr>
        <w:t>such</w:t>
      </w:r>
      <w:r>
        <w:rPr>
          <w:spacing w:val="-3"/>
          <w:sz w:val="30"/>
        </w:rPr>
        <w:t xml:space="preserve"> </w:t>
      </w:r>
      <w:r>
        <w:rPr>
          <w:sz w:val="30"/>
        </w:rPr>
        <w:t>that</w:t>
      </w:r>
      <w:r>
        <w:rPr>
          <w:spacing w:val="-4"/>
          <w:sz w:val="30"/>
        </w:rPr>
        <w:t xml:space="preserve"> </w:t>
      </w:r>
      <w:r>
        <w:rPr>
          <w:b/>
          <w:i/>
          <w:sz w:val="30"/>
        </w:rPr>
        <w:t>Bill</w:t>
      </w:r>
      <w:r>
        <w:rPr>
          <w:b/>
          <w:i/>
          <w:spacing w:val="-4"/>
          <w:sz w:val="30"/>
        </w:rPr>
        <w:t xml:space="preserve"> </w:t>
      </w:r>
      <w:r>
        <w:rPr>
          <w:b/>
          <w:i/>
          <w:sz w:val="30"/>
        </w:rPr>
        <w:t>Clinton</w:t>
      </w:r>
      <w:r>
        <w:rPr>
          <w:b/>
          <w:i/>
          <w:spacing w:val="-4"/>
          <w:sz w:val="30"/>
        </w:rPr>
        <w:t xml:space="preserve"> </w:t>
      </w:r>
      <w:r>
        <w:rPr>
          <w:b/>
          <w:i/>
          <w:sz w:val="30"/>
        </w:rPr>
        <w:t>was</w:t>
      </w:r>
      <w:r>
        <w:rPr>
          <w:b/>
          <w:i/>
          <w:spacing w:val="-4"/>
          <w:sz w:val="30"/>
        </w:rPr>
        <w:t xml:space="preserve"> </w:t>
      </w:r>
      <w:r>
        <w:rPr>
          <w:b/>
          <w:i/>
          <w:sz w:val="30"/>
        </w:rPr>
        <w:t>U.S.</w:t>
      </w:r>
      <w:r>
        <w:rPr>
          <w:b/>
          <w:i/>
          <w:spacing w:val="-3"/>
          <w:sz w:val="30"/>
        </w:rPr>
        <w:t xml:space="preserve"> </w:t>
      </w:r>
      <w:r>
        <w:rPr>
          <w:b/>
          <w:i/>
          <w:sz w:val="30"/>
        </w:rPr>
        <w:t>President</w:t>
      </w:r>
      <w:r>
        <w:rPr>
          <w:b/>
          <w:i/>
          <w:spacing w:val="-4"/>
          <w:sz w:val="30"/>
        </w:rPr>
        <w:t xml:space="preserve"> </w:t>
      </w:r>
      <w:r>
        <w:rPr>
          <w:b/>
          <w:i/>
          <w:sz w:val="30"/>
        </w:rPr>
        <w:t>in</w:t>
      </w:r>
      <w:r>
        <w:rPr>
          <w:b/>
          <w:i/>
          <w:spacing w:val="-4"/>
          <w:sz w:val="30"/>
        </w:rPr>
        <w:t xml:space="preserve"> </w:t>
      </w:r>
      <w:r>
        <w:rPr>
          <w:b/>
          <w:i/>
          <w:sz w:val="30"/>
        </w:rPr>
        <w:t xml:space="preserve">1997 and x is self-identical </w:t>
      </w:r>
      <w:r>
        <w:rPr>
          <w:sz w:val="30"/>
        </w:rPr>
        <w:t xml:space="preserve">is identical with the class of all things x such that </w:t>
      </w:r>
      <w:r>
        <w:rPr>
          <w:b/>
          <w:i/>
          <w:sz w:val="30"/>
        </w:rPr>
        <w:t>x is self-identical</w:t>
      </w:r>
      <w:r>
        <w:rPr>
          <w:sz w:val="30"/>
        </w:rPr>
        <w:t>.</w:t>
      </w:r>
    </w:p>
    <w:p w14:paraId="7E002DB2" w14:textId="77777777" w:rsidR="009A58DB" w:rsidRDefault="009A58DB">
      <w:pPr>
        <w:pStyle w:val="ListParagraph"/>
        <w:spacing w:line="249" w:lineRule="auto"/>
        <w:jc w:val="both"/>
        <w:rPr>
          <w:sz w:val="30"/>
        </w:rPr>
        <w:sectPr w:rsidR="009A58DB">
          <w:pgSz w:w="12240" w:h="15840"/>
          <w:pgMar w:top="1380" w:right="1080" w:bottom="280" w:left="1080" w:header="720" w:footer="720" w:gutter="0"/>
          <w:cols w:space="720"/>
        </w:sectPr>
      </w:pPr>
    </w:p>
    <w:p w14:paraId="7E002DB3" w14:textId="77777777" w:rsidR="009A58DB" w:rsidRDefault="00000000">
      <w:pPr>
        <w:pStyle w:val="ListParagraph"/>
        <w:numPr>
          <w:ilvl w:val="0"/>
          <w:numId w:val="11"/>
        </w:numPr>
        <w:tabs>
          <w:tab w:val="left" w:pos="782"/>
        </w:tabs>
        <w:spacing w:before="65"/>
        <w:ind w:left="782" w:hanging="422"/>
        <w:rPr>
          <w:sz w:val="30"/>
        </w:rPr>
      </w:pPr>
      <w:r>
        <w:rPr>
          <w:sz w:val="30"/>
        </w:rPr>
        <w:t>Bill</w:t>
      </w:r>
      <w:r>
        <w:rPr>
          <w:spacing w:val="-4"/>
          <w:sz w:val="30"/>
        </w:rPr>
        <w:t xml:space="preserve"> </w:t>
      </w:r>
      <w:r>
        <w:rPr>
          <w:sz w:val="30"/>
        </w:rPr>
        <w:t>Clinton</w:t>
      </w:r>
      <w:r>
        <w:rPr>
          <w:spacing w:val="-3"/>
          <w:sz w:val="30"/>
        </w:rPr>
        <w:t xml:space="preserve"> </w:t>
      </w:r>
      <w:r>
        <w:rPr>
          <w:sz w:val="30"/>
        </w:rPr>
        <w:t>was</w:t>
      </w:r>
      <w:r>
        <w:rPr>
          <w:spacing w:val="-4"/>
          <w:sz w:val="30"/>
        </w:rPr>
        <w:t xml:space="preserve"> </w:t>
      </w:r>
      <w:r>
        <w:rPr>
          <w:sz w:val="30"/>
        </w:rPr>
        <w:t>U.S.</w:t>
      </w:r>
      <w:r>
        <w:rPr>
          <w:spacing w:val="-3"/>
          <w:sz w:val="30"/>
        </w:rPr>
        <w:t xml:space="preserve"> </w:t>
      </w:r>
      <w:r>
        <w:rPr>
          <w:sz w:val="30"/>
        </w:rPr>
        <w:t>President</w:t>
      </w:r>
      <w:r>
        <w:rPr>
          <w:spacing w:val="-4"/>
          <w:sz w:val="30"/>
        </w:rPr>
        <w:t xml:space="preserve"> </w:t>
      </w:r>
      <w:r>
        <w:rPr>
          <w:sz w:val="30"/>
        </w:rPr>
        <w:t>in</w:t>
      </w:r>
      <w:r>
        <w:rPr>
          <w:spacing w:val="-3"/>
          <w:sz w:val="30"/>
        </w:rPr>
        <w:t xml:space="preserve"> </w:t>
      </w:r>
      <w:r>
        <w:rPr>
          <w:spacing w:val="-2"/>
          <w:sz w:val="30"/>
        </w:rPr>
        <w:t>1997.</w:t>
      </w:r>
    </w:p>
    <w:p w14:paraId="7E002DB4" w14:textId="77777777" w:rsidR="009A58DB" w:rsidRDefault="009A58DB">
      <w:pPr>
        <w:pStyle w:val="BodyText"/>
        <w:spacing w:before="29"/>
        <w:ind w:left="0"/>
        <w:jc w:val="left"/>
      </w:pPr>
    </w:p>
    <w:p w14:paraId="7E002DB5" w14:textId="77777777" w:rsidR="009A58DB" w:rsidRDefault="00000000">
      <w:pPr>
        <w:pStyle w:val="BodyText"/>
        <w:spacing w:before="1" w:line="249" w:lineRule="auto"/>
        <w:ind w:right="359"/>
        <w:jc w:val="left"/>
      </w:pPr>
      <w:r>
        <w:t>Here</w:t>
      </w:r>
      <w:r>
        <w:rPr>
          <w:spacing w:val="36"/>
        </w:rPr>
        <w:t xml:space="preserve"> </w:t>
      </w:r>
      <w:r>
        <w:t>is</w:t>
      </w:r>
      <w:r>
        <w:rPr>
          <w:spacing w:val="37"/>
        </w:rPr>
        <w:t xml:space="preserve"> </w:t>
      </w:r>
      <w:r>
        <w:t>the</w:t>
      </w:r>
      <w:r>
        <w:rPr>
          <w:spacing w:val="37"/>
        </w:rPr>
        <w:t xml:space="preserve"> </w:t>
      </w:r>
      <w:r>
        <w:t>position</w:t>
      </w:r>
      <w:r>
        <w:rPr>
          <w:spacing w:val="36"/>
        </w:rPr>
        <w:t xml:space="preserve"> </w:t>
      </w:r>
      <w:r>
        <w:t>of</w:t>
      </w:r>
      <w:r>
        <w:rPr>
          <w:spacing w:val="37"/>
        </w:rPr>
        <w:t xml:space="preserve"> </w:t>
      </w:r>
      <w:r>
        <w:t>those</w:t>
      </w:r>
      <w:r>
        <w:rPr>
          <w:spacing w:val="37"/>
        </w:rPr>
        <w:t xml:space="preserve"> </w:t>
      </w:r>
      <w:r>
        <w:t>who</w:t>
      </w:r>
      <w:r>
        <w:rPr>
          <w:spacing w:val="36"/>
        </w:rPr>
        <w:t xml:space="preserve"> </w:t>
      </w:r>
      <w:r>
        <w:t>believe</w:t>
      </w:r>
      <w:r>
        <w:rPr>
          <w:spacing w:val="37"/>
        </w:rPr>
        <w:t xml:space="preserve"> </w:t>
      </w:r>
      <w:r>
        <w:t>in</w:t>
      </w:r>
      <w:r>
        <w:rPr>
          <w:spacing w:val="36"/>
        </w:rPr>
        <w:t xml:space="preserve"> </w:t>
      </w:r>
      <w:r>
        <w:t>the</w:t>
      </w:r>
      <w:r>
        <w:rPr>
          <w:spacing w:val="37"/>
        </w:rPr>
        <w:t xml:space="preserve"> </w:t>
      </w:r>
      <w:r>
        <w:t>cogency</w:t>
      </w:r>
      <w:r>
        <w:rPr>
          <w:spacing w:val="37"/>
        </w:rPr>
        <w:t xml:space="preserve"> </w:t>
      </w:r>
      <w:r>
        <w:t>of</w:t>
      </w:r>
      <w:r>
        <w:rPr>
          <w:spacing w:val="36"/>
        </w:rPr>
        <w:t xml:space="preserve"> </w:t>
      </w:r>
      <w:r>
        <w:t xml:space="preserve">slingshot-style </w:t>
      </w:r>
      <w:r>
        <w:rPr>
          <w:spacing w:val="-2"/>
        </w:rPr>
        <w:t>arguments:</w:t>
      </w:r>
    </w:p>
    <w:p w14:paraId="7E002DB6" w14:textId="77777777" w:rsidR="009A58DB" w:rsidRDefault="009A58DB">
      <w:pPr>
        <w:pStyle w:val="BodyText"/>
        <w:spacing w:before="17"/>
        <w:ind w:left="0"/>
        <w:jc w:val="left"/>
      </w:pPr>
    </w:p>
    <w:p w14:paraId="7E002DB7" w14:textId="77777777" w:rsidR="009A58DB" w:rsidRDefault="00000000">
      <w:pPr>
        <w:pStyle w:val="BodyText"/>
        <w:spacing w:line="249" w:lineRule="auto"/>
        <w:ind w:left="720" w:right="720"/>
      </w:pPr>
      <w:r>
        <w:t>(S</w:t>
      </w:r>
      <w:bookmarkStart w:id="591" w:name="_bookmark591"/>
      <w:bookmarkEnd w:id="591"/>
      <w:r>
        <w:t>S</w:t>
      </w:r>
      <w:r>
        <w:rPr>
          <w:color w:val="0562C1"/>
          <w:position w:val="21"/>
          <w:u w:val="single" w:color="0562C1"/>
        </w:rPr>
        <w:t>[447]</w:t>
      </w:r>
      <w:r>
        <w:t>) (1) is logically equivalent with (2). Therefore, (1) and (2) must co-refer, supposing that either refers to anything. (It is being assumed, very reasonably, that logically equivalent expressions cannot have different referents.)</w:t>
      </w:r>
    </w:p>
    <w:p w14:paraId="7E002DB8" w14:textId="77777777" w:rsidR="009A58DB" w:rsidRDefault="00000000">
      <w:pPr>
        <w:pStyle w:val="BodyText"/>
        <w:spacing w:before="5" w:line="249" w:lineRule="auto"/>
        <w:ind w:left="720" w:right="720" w:firstLine="360"/>
      </w:pPr>
      <w:r>
        <w:t>(3) is what results when a referring term in (2) is replaced with a co-referring term. (“The class of all things x such that Mozart was a composer and x is self-identical” refers to the class of all self-identical objects, and so too does “the class of all things x such that Bill Clinton was U.S. President in 1997 and x is self-identical.”) Since intersubstituting co-referring terms preserves reference, it follows that</w:t>
      </w:r>
    </w:p>
    <w:p w14:paraId="7E002DB9" w14:textId="77777777" w:rsidR="009A58DB" w:rsidRDefault="00000000">
      <w:pPr>
        <w:pStyle w:val="BodyText"/>
        <w:spacing w:before="7"/>
        <w:ind w:left="720"/>
      </w:pPr>
      <w:r>
        <w:t>(2)</w:t>
      </w:r>
      <w:r>
        <w:rPr>
          <w:spacing w:val="-6"/>
        </w:rPr>
        <w:t xml:space="preserve"> </w:t>
      </w:r>
      <w:r>
        <w:t>and</w:t>
      </w:r>
      <w:r>
        <w:rPr>
          <w:spacing w:val="-3"/>
        </w:rPr>
        <w:t xml:space="preserve"> </w:t>
      </w:r>
      <w:r>
        <w:t>(3)</w:t>
      </w:r>
      <w:r>
        <w:rPr>
          <w:spacing w:val="-4"/>
        </w:rPr>
        <w:t xml:space="preserve"> </w:t>
      </w:r>
      <w:r>
        <w:t>co-refer,</w:t>
      </w:r>
      <w:r>
        <w:rPr>
          <w:spacing w:val="-3"/>
        </w:rPr>
        <w:t xml:space="preserve"> </w:t>
      </w:r>
      <w:r>
        <w:t>supposing</w:t>
      </w:r>
      <w:r>
        <w:rPr>
          <w:spacing w:val="-2"/>
        </w:rPr>
        <w:t xml:space="preserve"> </w:t>
      </w:r>
      <w:r>
        <w:t>that</w:t>
      </w:r>
      <w:r>
        <w:rPr>
          <w:spacing w:val="-4"/>
        </w:rPr>
        <w:t xml:space="preserve"> </w:t>
      </w:r>
      <w:r>
        <w:t>either</w:t>
      </w:r>
      <w:r>
        <w:rPr>
          <w:spacing w:val="-4"/>
        </w:rPr>
        <w:t xml:space="preserve"> </w:t>
      </w:r>
      <w:r>
        <w:t>refers</w:t>
      </w:r>
      <w:r>
        <w:rPr>
          <w:spacing w:val="-4"/>
        </w:rPr>
        <w:t xml:space="preserve"> </w:t>
      </w:r>
      <w:r>
        <w:t>to</w:t>
      </w:r>
      <w:r>
        <w:rPr>
          <w:spacing w:val="-2"/>
        </w:rPr>
        <w:t xml:space="preserve"> anything.</w:t>
      </w:r>
    </w:p>
    <w:p w14:paraId="7E002DBA" w14:textId="77777777" w:rsidR="009A58DB" w:rsidRDefault="00000000">
      <w:pPr>
        <w:pStyle w:val="BodyText"/>
        <w:spacing w:before="16" w:line="249" w:lineRule="auto"/>
        <w:ind w:left="720" w:right="730" w:firstLine="360"/>
      </w:pPr>
      <w:r>
        <w:t>(3) is equivalent with (4). Therefore, (3) and (4) must co-refer, supposing that either refers to anything.</w:t>
      </w:r>
    </w:p>
    <w:p w14:paraId="7E002DBB" w14:textId="77777777" w:rsidR="009A58DB" w:rsidRDefault="00000000">
      <w:pPr>
        <w:pStyle w:val="BodyText"/>
        <w:spacing w:before="2" w:line="249" w:lineRule="auto"/>
        <w:ind w:left="720" w:right="730" w:firstLine="360"/>
      </w:pPr>
      <w:r>
        <w:t xml:space="preserve">Therefore, (1) and (4) must co-refer, supposing that they refer to </w:t>
      </w:r>
      <w:r>
        <w:rPr>
          <w:spacing w:val="-2"/>
        </w:rPr>
        <w:t>anything.</w:t>
      </w:r>
    </w:p>
    <w:p w14:paraId="7E002DBC" w14:textId="77777777" w:rsidR="009A58DB" w:rsidRDefault="00000000">
      <w:pPr>
        <w:pStyle w:val="BodyText"/>
        <w:spacing w:before="2" w:line="249" w:lineRule="auto"/>
        <w:ind w:left="720" w:right="720" w:firstLine="360"/>
      </w:pPr>
      <w:r>
        <w:t xml:space="preserve">If the occurrences in (1)–(4) “Mozart was a composer” and “Bill Clinton was U.S. President in 1997” are replaced with occurrences of </w:t>
      </w:r>
      <w:r>
        <w:rPr>
          <w:i/>
        </w:rPr>
        <w:t xml:space="preserve">any </w:t>
      </w:r>
      <w:r>
        <w:t xml:space="preserve">two true sentences, the argument that results is cogent. Thus, any two true sentences co-refer, supposing that any true sentence refers to anything. (For the same reason </w:t>
      </w:r>
      <w:r>
        <w:rPr>
          <w:i/>
        </w:rPr>
        <w:t>mutatis mutandis</w:t>
      </w:r>
      <w:r>
        <w:t>, any two false sentences co-refer, supposing that any false sentence refers to</w:t>
      </w:r>
      <w:r>
        <w:rPr>
          <w:spacing w:val="40"/>
        </w:rPr>
        <w:t xml:space="preserve"> </w:t>
      </w:r>
      <w:r>
        <w:rPr>
          <w:spacing w:val="-2"/>
        </w:rPr>
        <w:t>anything.)</w:t>
      </w:r>
    </w:p>
    <w:p w14:paraId="7E002DBD" w14:textId="77777777" w:rsidR="009A58DB" w:rsidRDefault="00000000">
      <w:pPr>
        <w:pStyle w:val="BodyText"/>
        <w:spacing w:before="9" w:line="249" w:lineRule="auto"/>
        <w:ind w:left="720" w:right="719" w:firstLine="360"/>
      </w:pPr>
      <w:r>
        <w:t>The property of being true is the one semantically significant thing that (1) and (4) have in common. So, supposing that sentences refer to anything, (1) and (4) must refer to the property of being true, and true sentences must in general be assumed to refer to the property of being true.</w:t>
      </w:r>
      <w:bookmarkStart w:id="592" w:name="_bookmark592"/>
      <w:bookmarkEnd w:id="592"/>
      <w:r>
        <w:rPr>
          <w:color w:val="0562C1"/>
          <w:position w:val="21"/>
          <w:u w:val="single" w:color="0562C1"/>
        </w:rPr>
        <w:t>[448]</w:t>
      </w:r>
      <w:r>
        <w:rPr>
          <w:color w:val="0562C1"/>
          <w:position w:val="21"/>
        </w:rPr>
        <w:t xml:space="preserve"> </w:t>
      </w:r>
      <w:r>
        <w:t xml:space="preserve">(For the same reason </w:t>
      </w:r>
      <w:r>
        <w:rPr>
          <w:i/>
        </w:rPr>
        <w:t>mutatis mutandis</w:t>
      </w:r>
      <w:r>
        <w:t>, false sentences must refer to the property of being false.</w:t>
      </w:r>
      <w:bookmarkStart w:id="593" w:name="_bookmark593"/>
      <w:bookmarkEnd w:id="593"/>
      <w:r>
        <w:rPr>
          <w:color w:val="0562C1"/>
          <w:position w:val="21"/>
          <w:u w:val="single" w:color="0562C1"/>
        </w:rPr>
        <w:t>[449]</w:t>
      </w:r>
      <w:r>
        <w:t>)</w:t>
      </w:r>
    </w:p>
    <w:p w14:paraId="7E002DB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BF" w14:textId="77777777" w:rsidR="009A58DB" w:rsidRDefault="00000000">
      <w:pPr>
        <w:pStyle w:val="BodyText"/>
        <w:spacing w:before="65" w:line="249" w:lineRule="auto"/>
        <w:ind w:right="359" w:firstLine="360"/>
      </w:pPr>
      <w:r>
        <w:t>In general, a slingshot-style argument is one to the effect that, since logically equivalent expressions can’t have different referents and since intersubstituting co-referring terms preserves truth-value, some class that would seem to comprise several objects (for example, the class of things that are referred by true sentences) in fact only comprises one object (for</w:t>
      </w:r>
      <w:r>
        <w:rPr>
          <w:spacing w:val="40"/>
        </w:rPr>
        <w:t xml:space="preserve"> </w:t>
      </w:r>
      <w:r>
        <w:t>example, the property of being true).</w:t>
      </w:r>
    </w:p>
    <w:p w14:paraId="7E002DC0" w14:textId="77777777" w:rsidR="009A58DB" w:rsidRDefault="00000000">
      <w:pPr>
        <w:pStyle w:val="BodyText"/>
        <w:spacing w:before="7" w:line="249" w:lineRule="auto"/>
        <w:ind w:right="361" w:firstLine="360"/>
      </w:pPr>
      <w:r>
        <w:t>SS is a poor argument that embodies a spurious understanding of reference, the same being true of every other slingshot-style argument. Suppose for argument’s sake that “the class of all things x such that Mozart was a composer x is self-identical” is functioning as a device of reference. In that case, it’s picking out the class of self-identical objects, and what (2) is saying about it is that it’s identical with itself; in other words, (2), thus interpreted, is saying that:</w:t>
      </w:r>
    </w:p>
    <w:p w14:paraId="7E002DC1" w14:textId="77777777" w:rsidR="009A58DB" w:rsidRDefault="009A58DB">
      <w:pPr>
        <w:pStyle w:val="BodyText"/>
        <w:spacing w:before="23"/>
        <w:ind w:left="0"/>
        <w:jc w:val="left"/>
      </w:pPr>
    </w:p>
    <w:p w14:paraId="7E002DC2" w14:textId="77777777" w:rsidR="009A58DB" w:rsidRDefault="00000000">
      <w:pPr>
        <w:pStyle w:val="BodyText"/>
        <w:spacing w:before="1" w:line="249" w:lineRule="auto"/>
        <w:ind w:right="368"/>
      </w:pPr>
      <w:r>
        <w:t>(2*) the class of self-identical objects is identical with the class of self-identical objects.</w:t>
      </w:r>
    </w:p>
    <w:p w14:paraId="7E002DC3" w14:textId="77777777" w:rsidR="009A58DB" w:rsidRDefault="009A58DB">
      <w:pPr>
        <w:pStyle w:val="BodyText"/>
        <w:spacing w:before="17"/>
        <w:ind w:left="0"/>
        <w:jc w:val="left"/>
      </w:pPr>
    </w:p>
    <w:p w14:paraId="7E002DC4" w14:textId="77777777" w:rsidR="009A58DB" w:rsidRDefault="00000000">
      <w:pPr>
        <w:pStyle w:val="BodyText"/>
      </w:pPr>
      <w:r>
        <w:t>But</w:t>
      </w:r>
      <w:r>
        <w:rPr>
          <w:spacing w:val="24"/>
        </w:rPr>
        <w:t xml:space="preserve"> </w:t>
      </w:r>
      <w:r>
        <w:t>(2*)</w:t>
      </w:r>
      <w:r>
        <w:rPr>
          <w:spacing w:val="24"/>
        </w:rPr>
        <w:t xml:space="preserve"> </w:t>
      </w:r>
      <w:r>
        <w:t>is</w:t>
      </w:r>
      <w:r>
        <w:rPr>
          <w:spacing w:val="24"/>
        </w:rPr>
        <w:t xml:space="preserve"> </w:t>
      </w:r>
      <w:r>
        <w:t>not</w:t>
      </w:r>
      <w:r>
        <w:rPr>
          <w:spacing w:val="24"/>
        </w:rPr>
        <w:t xml:space="preserve"> </w:t>
      </w:r>
      <w:r>
        <w:t>equivalent</w:t>
      </w:r>
      <w:r>
        <w:rPr>
          <w:spacing w:val="24"/>
        </w:rPr>
        <w:t xml:space="preserve"> </w:t>
      </w:r>
      <w:r>
        <w:t>with</w:t>
      </w:r>
      <w:r>
        <w:rPr>
          <w:spacing w:val="25"/>
        </w:rPr>
        <w:t xml:space="preserve"> </w:t>
      </w:r>
      <w:r>
        <w:t>(1).</w:t>
      </w:r>
      <w:r>
        <w:rPr>
          <w:spacing w:val="24"/>
        </w:rPr>
        <w:t xml:space="preserve"> </w:t>
      </w:r>
      <w:r>
        <w:t>Therefore,</w:t>
      </w:r>
      <w:r>
        <w:rPr>
          <w:spacing w:val="24"/>
        </w:rPr>
        <w:t xml:space="preserve"> </w:t>
      </w:r>
      <w:r>
        <w:t>if</w:t>
      </w:r>
      <w:r>
        <w:rPr>
          <w:spacing w:val="24"/>
        </w:rPr>
        <w:t xml:space="preserve"> </w:t>
      </w:r>
      <w:r>
        <w:t>the</w:t>
      </w:r>
      <w:r>
        <w:rPr>
          <w:spacing w:val="24"/>
        </w:rPr>
        <w:t xml:space="preserve"> </w:t>
      </w:r>
      <w:r>
        <w:t>definite</w:t>
      </w:r>
      <w:r>
        <w:rPr>
          <w:spacing w:val="24"/>
        </w:rPr>
        <w:t xml:space="preserve"> </w:t>
      </w:r>
      <w:r>
        <w:t>descriptions</w:t>
      </w:r>
      <w:r>
        <w:rPr>
          <w:spacing w:val="25"/>
        </w:rPr>
        <w:t xml:space="preserve"> </w:t>
      </w:r>
      <w:r>
        <w:rPr>
          <w:spacing w:val="-5"/>
        </w:rPr>
        <w:t>in</w:t>
      </w:r>
    </w:p>
    <w:p w14:paraId="7E002DC5" w14:textId="77777777" w:rsidR="009A58DB" w:rsidRDefault="00000000">
      <w:pPr>
        <w:pStyle w:val="BodyText"/>
        <w:spacing w:before="15" w:line="249" w:lineRule="auto"/>
        <w:ind w:right="359"/>
      </w:pPr>
      <w:r>
        <w:t xml:space="preserve">(1) and (2) are assumed to be referring terms—which is precisely what they </w:t>
      </w:r>
      <w:r>
        <w:rPr>
          <w:i/>
        </w:rPr>
        <w:t xml:space="preserve">are </w:t>
      </w:r>
      <w:r>
        <w:t xml:space="preserve">being assumed to be—(2) isn’t equivalent with (1). For the same reason </w:t>
      </w:r>
      <w:r>
        <w:rPr>
          <w:i/>
        </w:rPr>
        <w:t>mutatis mutandis</w:t>
      </w:r>
      <w:r>
        <w:t>, (4) is not equivalent with (3) if “the class of all things x such that Bill Clinton was U.S. President in 1997 and x is self-identical” is taken to be a device of reference.</w:t>
      </w:r>
    </w:p>
    <w:p w14:paraId="7E002DC6" w14:textId="77777777" w:rsidR="009A58DB" w:rsidRDefault="00000000">
      <w:pPr>
        <w:pStyle w:val="BodyText"/>
        <w:spacing w:before="6" w:line="249" w:lineRule="auto"/>
        <w:ind w:right="372" w:firstLine="360"/>
      </w:pPr>
      <w:r>
        <w:t xml:space="preserve">In order for (2) to be equivalent with (1), the former must be taken to say </w:t>
      </w:r>
      <w:r>
        <w:rPr>
          <w:spacing w:val="-2"/>
        </w:rPr>
        <w:t>that:</w:t>
      </w:r>
    </w:p>
    <w:p w14:paraId="7E002DC7" w14:textId="77777777" w:rsidR="009A58DB" w:rsidRDefault="009A58DB">
      <w:pPr>
        <w:pStyle w:val="BodyText"/>
        <w:spacing w:before="18"/>
        <w:ind w:left="0"/>
        <w:jc w:val="left"/>
      </w:pPr>
    </w:p>
    <w:p w14:paraId="7E002DC8" w14:textId="77777777" w:rsidR="009A58DB" w:rsidRDefault="00000000">
      <w:pPr>
        <w:pStyle w:val="BodyText"/>
        <w:spacing w:line="249" w:lineRule="auto"/>
        <w:ind w:right="360"/>
      </w:pPr>
      <w:r>
        <w:t>(2#)</w:t>
      </w:r>
      <w:r>
        <w:rPr>
          <w:spacing w:val="-3"/>
        </w:rPr>
        <w:t xml:space="preserve"> </w:t>
      </w:r>
      <w:r>
        <w:t>there</w:t>
      </w:r>
      <w:r>
        <w:rPr>
          <w:spacing w:val="-3"/>
        </w:rPr>
        <w:t xml:space="preserve"> </w:t>
      </w:r>
      <w:r>
        <w:t>exists</w:t>
      </w:r>
      <w:r>
        <w:rPr>
          <w:spacing w:val="-3"/>
        </w:rPr>
        <w:t xml:space="preserve"> </w:t>
      </w:r>
      <w:r>
        <w:t>a</w:t>
      </w:r>
      <w:r>
        <w:rPr>
          <w:spacing w:val="-3"/>
        </w:rPr>
        <w:t xml:space="preserve"> </w:t>
      </w:r>
      <w:r>
        <w:t>class</w:t>
      </w:r>
      <w:r>
        <w:rPr>
          <w:spacing w:val="-3"/>
        </w:rPr>
        <w:t xml:space="preserve"> </w:t>
      </w:r>
      <w:r>
        <w:t>to</w:t>
      </w:r>
      <w:r>
        <w:rPr>
          <w:spacing w:val="-2"/>
        </w:rPr>
        <w:t xml:space="preserve"> </w:t>
      </w:r>
      <w:r>
        <w:t>which</w:t>
      </w:r>
      <w:r>
        <w:rPr>
          <w:spacing w:val="-2"/>
        </w:rPr>
        <w:t xml:space="preserve"> </w:t>
      </w:r>
      <w:r>
        <w:t>a</w:t>
      </w:r>
      <w:r>
        <w:rPr>
          <w:spacing w:val="-3"/>
        </w:rPr>
        <w:t xml:space="preserve"> </w:t>
      </w:r>
      <w:r>
        <w:t>thing</w:t>
      </w:r>
      <w:r>
        <w:rPr>
          <w:spacing w:val="-2"/>
        </w:rPr>
        <w:t xml:space="preserve"> </w:t>
      </w:r>
      <w:r>
        <w:t>belongs</w:t>
      </w:r>
      <w:r>
        <w:rPr>
          <w:spacing w:val="-3"/>
        </w:rPr>
        <w:t xml:space="preserve"> </w:t>
      </w:r>
      <w:r>
        <w:t>iff</w:t>
      </w:r>
      <w:r>
        <w:rPr>
          <w:spacing w:val="-3"/>
        </w:rPr>
        <w:t xml:space="preserve"> </w:t>
      </w:r>
      <w:r>
        <w:t>Mozart</w:t>
      </w:r>
      <w:r>
        <w:rPr>
          <w:spacing w:val="-3"/>
        </w:rPr>
        <w:t xml:space="preserve"> </w:t>
      </w:r>
      <w:r>
        <w:t>is</w:t>
      </w:r>
      <w:r>
        <w:rPr>
          <w:spacing w:val="-3"/>
        </w:rPr>
        <w:t xml:space="preserve"> </w:t>
      </w:r>
      <w:r>
        <w:t>a</w:t>
      </w:r>
      <w:r>
        <w:rPr>
          <w:spacing w:val="-3"/>
        </w:rPr>
        <w:t xml:space="preserve"> </w:t>
      </w:r>
      <w:r>
        <w:t>composer</w:t>
      </w:r>
      <w:r>
        <w:rPr>
          <w:spacing w:val="-3"/>
        </w:rPr>
        <w:t xml:space="preserve"> </w:t>
      </w:r>
      <w:r>
        <w:t>and that</w:t>
      </w:r>
      <w:r>
        <w:rPr>
          <w:spacing w:val="-2"/>
        </w:rPr>
        <w:t xml:space="preserve"> </w:t>
      </w:r>
      <w:r>
        <w:t>thing</w:t>
      </w:r>
      <w:r>
        <w:rPr>
          <w:spacing w:val="-1"/>
        </w:rPr>
        <w:t xml:space="preserve"> </w:t>
      </w:r>
      <w:r>
        <w:t>is</w:t>
      </w:r>
      <w:r>
        <w:rPr>
          <w:spacing w:val="-1"/>
        </w:rPr>
        <w:t xml:space="preserve"> </w:t>
      </w:r>
      <w:r>
        <w:t>self-identical;</w:t>
      </w:r>
      <w:r>
        <w:rPr>
          <w:spacing w:val="-2"/>
        </w:rPr>
        <w:t xml:space="preserve"> </w:t>
      </w:r>
      <w:r>
        <w:t>and</w:t>
      </w:r>
      <w:r>
        <w:rPr>
          <w:spacing w:val="-1"/>
        </w:rPr>
        <w:t xml:space="preserve"> </w:t>
      </w:r>
      <w:r>
        <w:t>there</w:t>
      </w:r>
      <w:r>
        <w:rPr>
          <w:spacing w:val="-1"/>
        </w:rPr>
        <w:t xml:space="preserve"> </w:t>
      </w:r>
      <w:r>
        <w:t>exists</w:t>
      </w:r>
      <w:r>
        <w:rPr>
          <w:spacing w:val="-1"/>
        </w:rPr>
        <w:t xml:space="preserve"> </w:t>
      </w:r>
      <w:r>
        <w:t>a</w:t>
      </w:r>
      <w:r>
        <w:rPr>
          <w:spacing w:val="-1"/>
        </w:rPr>
        <w:t xml:space="preserve"> </w:t>
      </w:r>
      <w:r>
        <w:t>class</w:t>
      </w:r>
      <w:r>
        <w:rPr>
          <w:spacing w:val="-1"/>
        </w:rPr>
        <w:t xml:space="preserve"> </w:t>
      </w:r>
      <w:r>
        <w:t>to</w:t>
      </w:r>
      <w:r>
        <w:rPr>
          <w:spacing w:val="-1"/>
        </w:rPr>
        <w:t xml:space="preserve"> </w:t>
      </w:r>
      <w:r>
        <w:t>which</w:t>
      </w:r>
      <w:r>
        <w:rPr>
          <w:spacing w:val="-1"/>
        </w:rPr>
        <w:t xml:space="preserve"> </w:t>
      </w:r>
      <w:r>
        <w:t>a</w:t>
      </w:r>
      <w:r>
        <w:rPr>
          <w:spacing w:val="-1"/>
        </w:rPr>
        <w:t xml:space="preserve"> </w:t>
      </w:r>
      <w:r>
        <w:t>thing</w:t>
      </w:r>
      <w:r>
        <w:rPr>
          <w:spacing w:val="-1"/>
        </w:rPr>
        <w:t xml:space="preserve"> </w:t>
      </w:r>
      <w:r>
        <w:t>belongs</w:t>
      </w:r>
      <w:r>
        <w:rPr>
          <w:spacing w:val="-1"/>
        </w:rPr>
        <w:t xml:space="preserve"> </w:t>
      </w:r>
      <w:r>
        <w:t>iff that thing is self-identical; and the first class is identical with the second</w:t>
      </w:r>
      <w:r>
        <w:rPr>
          <w:spacing w:val="40"/>
        </w:rPr>
        <w:t xml:space="preserve"> </w:t>
      </w:r>
      <w:r>
        <w:rPr>
          <w:spacing w:val="-2"/>
        </w:rPr>
        <w:t>class.</w:t>
      </w:r>
    </w:p>
    <w:p w14:paraId="7E002DC9" w14:textId="77777777" w:rsidR="009A58DB" w:rsidRDefault="009A58DB">
      <w:pPr>
        <w:pStyle w:val="BodyText"/>
        <w:spacing w:before="20"/>
        <w:ind w:left="0"/>
        <w:jc w:val="left"/>
      </w:pPr>
    </w:p>
    <w:p w14:paraId="7E002DCA" w14:textId="77777777" w:rsidR="009A58DB" w:rsidRDefault="00000000">
      <w:pPr>
        <w:pStyle w:val="BodyText"/>
        <w:spacing w:line="249" w:lineRule="auto"/>
        <w:ind w:right="361"/>
      </w:pPr>
      <w:r>
        <w:t>But</w:t>
      </w:r>
      <w:r>
        <w:rPr>
          <w:spacing w:val="-2"/>
        </w:rPr>
        <w:t xml:space="preserve"> </w:t>
      </w:r>
      <w:r>
        <w:t>if</w:t>
      </w:r>
      <w:r>
        <w:rPr>
          <w:spacing w:val="-1"/>
        </w:rPr>
        <w:t xml:space="preserve"> </w:t>
      </w:r>
      <w:r>
        <w:t>(2)</w:t>
      </w:r>
      <w:r>
        <w:rPr>
          <w:spacing w:val="-2"/>
        </w:rPr>
        <w:t xml:space="preserve"> </w:t>
      </w:r>
      <w:r>
        <w:t>is</w:t>
      </w:r>
      <w:r>
        <w:rPr>
          <w:spacing w:val="-1"/>
        </w:rPr>
        <w:t xml:space="preserve"> </w:t>
      </w:r>
      <w:r>
        <w:t>interpreted</w:t>
      </w:r>
      <w:r>
        <w:rPr>
          <w:spacing w:val="-2"/>
        </w:rPr>
        <w:t xml:space="preserve"> </w:t>
      </w:r>
      <w:r>
        <w:t>in</w:t>
      </w:r>
      <w:r>
        <w:rPr>
          <w:spacing w:val="-1"/>
        </w:rPr>
        <w:t xml:space="preserve"> </w:t>
      </w:r>
      <w:r>
        <w:t>this</w:t>
      </w:r>
      <w:r>
        <w:rPr>
          <w:spacing w:val="-2"/>
        </w:rPr>
        <w:t xml:space="preserve"> </w:t>
      </w:r>
      <w:r>
        <w:t>way,</w:t>
      </w:r>
      <w:r>
        <w:rPr>
          <w:spacing w:val="-1"/>
        </w:rPr>
        <w:t xml:space="preserve"> </w:t>
      </w:r>
      <w:r>
        <w:t>the</w:t>
      </w:r>
      <w:r>
        <w:rPr>
          <w:spacing w:val="-2"/>
        </w:rPr>
        <w:t xml:space="preserve"> </w:t>
      </w:r>
      <w:r>
        <w:t>definite</w:t>
      </w:r>
      <w:r>
        <w:rPr>
          <w:spacing w:val="-1"/>
        </w:rPr>
        <w:t xml:space="preserve"> </w:t>
      </w:r>
      <w:r>
        <w:t>description</w:t>
      </w:r>
      <w:r>
        <w:rPr>
          <w:spacing w:val="-2"/>
        </w:rPr>
        <w:t xml:space="preserve"> </w:t>
      </w:r>
      <w:r>
        <w:t>occurring</w:t>
      </w:r>
      <w:r>
        <w:rPr>
          <w:spacing w:val="-1"/>
        </w:rPr>
        <w:t xml:space="preserve"> </w:t>
      </w:r>
      <w:r>
        <w:t>in</w:t>
      </w:r>
      <w:r>
        <w:rPr>
          <w:spacing w:val="-2"/>
        </w:rPr>
        <w:t xml:space="preserve"> </w:t>
      </w:r>
      <w:r>
        <w:t>it</w:t>
      </w:r>
      <w:r>
        <w:rPr>
          <w:spacing w:val="-2"/>
        </w:rPr>
        <w:t xml:space="preserve"> </w:t>
      </w:r>
      <w:r>
        <w:t>is</w:t>
      </w:r>
      <w:r>
        <w:rPr>
          <w:spacing w:val="-1"/>
        </w:rPr>
        <w:t xml:space="preserve"> </w:t>
      </w:r>
      <w:r>
        <w:t xml:space="preserve">a quantifier, not a referring term. In which case, (3) is </w:t>
      </w:r>
      <w:r>
        <w:rPr>
          <w:i/>
        </w:rPr>
        <w:t xml:space="preserve">not </w:t>
      </w:r>
      <w:r>
        <w:t>what result when a referring term is replaced with a co-referring term. (It’s what results when a non-referring term is replaced with a non-referring term.)</w:t>
      </w:r>
    </w:p>
    <w:p w14:paraId="7E002DCB" w14:textId="77777777" w:rsidR="009A58DB" w:rsidRDefault="00000000">
      <w:pPr>
        <w:pStyle w:val="BodyText"/>
        <w:spacing w:before="5"/>
        <w:ind w:left="720"/>
      </w:pPr>
      <w:r>
        <w:t>So</w:t>
      </w:r>
      <w:r>
        <w:rPr>
          <w:spacing w:val="-1"/>
        </w:rPr>
        <w:t xml:space="preserve"> </w:t>
      </w:r>
      <w:r>
        <w:t>SS</w:t>
      </w:r>
      <w:r>
        <w:rPr>
          <w:spacing w:val="-2"/>
        </w:rPr>
        <w:t xml:space="preserve"> </w:t>
      </w:r>
      <w:r>
        <w:t>is</w:t>
      </w:r>
      <w:r>
        <w:rPr>
          <w:spacing w:val="-2"/>
        </w:rPr>
        <w:t xml:space="preserve"> </w:t>
      </w:r>
      <w:r>
        <w:t>a</w:t>
      </w:r>
      <w:r>
        <w:rPr>
          <w:spacing w:val="-1"/>
        </w:rPr>
        <w:t xml:space="preserve"> </w:t>
      </w:r>
      <w:r>
        <w:rPr>
          <w:spacing w:val="-2"/>
        </w:rPr>
        <w:t>failure.</w:t>
      </w:r>
    </w:p>
    <w:p w14:paraId="7E002DCC" w14:textId="77777777" w:rsidR="009A58DB" w:rsidRDefault="009A58DB">
      <w:pPr>
        <w:pStyle w:val="BodyText"/>
        <w:sectPr w:rsidR="009A58DB">
          <w:pgSz w:w="12240" w:h="15840"/>
          <w:pgMar w:top="1380" w:right="1080" w:bottom="280" w:left="1080" w:header="720" w:footer="720" w:gutter="0"/>
          <w:cols w:space="720"/>
        </w:sectPr>
      </w:pPr>
    </w:p>
    <w:p w14:paraId="7E002DCD" w14:textId="77777777" w:rsidR="009A58DB" w:rsidRDefault="00000000">
      <w:pPr>
        <w:pStyle w:val="BodyText"/>
        <w:spacing w:before="65" w:line="249" w:lineRule="auto"/>
        <w:ind w:right="358" w:firstLine="360"/>
      </w:pPr>
      <w:r>
        <w:t xml:space="preserve">Also, it’s obvious that “snow is white” doesn’t co-refer with “the property of being true” (or with “the </w:t>
      </w:r>
      <w:r>
        <w:rPr>
          <w:i/>
        </w:rPr>
        <w:t>True</w:t>
      </w:r>
      <w:r>
        <w:t xml:space="preserve">”). In virtue of having the form, “...the property of being true...” a sentence is about the property of being true. (“Everything Bill says has the property of being true” says of the property of being true that it is instantiated by everything that Bill says.) But in virtue of having the form “...snow is white...” a sentence is about the </w:t>
      </w:r>
      <w:r>
        <w:rPr>
          <w:i/>
        </w:rPr>
        <w:t xml:space="preserve">proposition </w:t>
      </w:r>
      <w:r>
        <w:t xml:space="preserve">that snow is white. (“If snow is white, then snow isn’t green” says that the proposition that snow is white, if true, has the proposition that snow isn’t green as a consequence. Of course, “if snow is white, then snow isn’t green” can, like any other sentence, be interpreted as concerning the property of being true—it can be interpreted as saying that the property of being true is a characteristic of the proposition that snow isn’t green if it’s white. But it isn’t </w:t>
      </w:r>
      <w:r>
        <w:rPr>
          <w:i/>
        </w:rPr>
        <w:t xml:space="preserve">in virtue of </w:t>
      </w:r>
      <w:r>
        <w:t>it’s containing an occurrence of “snow is white” that “if snow is white, then snow isn’t green” concerns that property.) So unless the concept of reference is warped beyond all recognition—unless the term “reference” is redefined to as to validate this argument—what SS establishes, supposing its premises true, is false. In any case, we’ve seen independently of this that not all of it’s premises are true.</w:t>
      </w:r>
    </w:p>
    <w:p w14:paraId="7E002DCE" w14:textId="77777777" w:rsidR="009A58DB" w:rsidRDefault="00000000">
      <w:pPr>
        <w:pStyle w:val="BodyText"/>
        <w:spacing w:before="22" w:line="249" w:lineRule="auto"/>
        <w:ind w:right="358" w:firstLine="360"/>
      </w:pPr>
      <w:r>
        <w:t>But Donald Davidson took it for granted that SS is cogent</w:t>
      </w:r>
      <w:bookmarkStart w:id="594" w:name="_bookmark594"/>
      <w:bookmarkEnd w:id="594"/>
      <w:r>
        <w:t>.</w:t>
      </w:r>
      <w:r>
        <w:rPr>
          <w:color w:val="0562C1"/>
          <w:position w:val="21"/>
          <w:u w:val="single" w:color="0562C1"/>
        </w:rPr>
        <w:t>[450]</w:t>
      </w:r>
      <w:r>
        <w:rPr>
          <w:color w:val="0562C1"/>
          <w:position w:val="21"/>
        </w:rPr>
        <w:t xml:space="preserve"> </w:t>
      </w:r>
      <w:r>
        <w:t>And he argued that, given the (alleged) fact that SS is cogent, it follows that there is only one fact. His argument is simple. Put the expression “the fact that” in front of each of (1)–(4). The same principles that show that (1) and (4) must co-refer also shows that “the fact that Mozart was a composer” co-refers with “the fact that Bill Clinton was U.S. President in 1997).”</w:t>
      </w:r>
    </w:p>
    <w:p w14:paraId="7E002DCF" w14:textId="77777777" w:rsidR="009A58DB" w:rsidRDefault="00000000">
      <w:pPr>
        <w:pStyle w:val="BodyText"/>
        <w:spacing w:before="7" w:line="249" w:lineRule="auto"/>
        <w:ind w:right="358" w:firstLine="360"/>
      </w:pPr>
      <w:r>
        <w:t xml:space="preserve">Davidson concluded, absurdly, that these two facts </w:t>
      </w:r>
      <w:r>
        <w:rPr>
          <w:i/>
        </w:rPr>
        <w:t xml:space="preserve">are </w:t>
      </w:r>
      <w:r>
        <w:t>identical—and</w:t>
      </w:r>
      <w:r>
        <w:rPr>
          <w:spacing w:val="40"/>
        </w:rPr>
        <w:t xml:space="preserve"> </w:t>
      </w:r>
      <w:r>
        <w:t>that, in general, there is only one fact. Having, in his mind, established that there is only one fact, he argued that mental states are not representations. Since there is only one fact, Davidson argued, no two mental states represent different facts. On this basis, Davidson concluded that differences between mental states—between, for example, my perception of the piano in my</w:t>
      </w:r>
      <w:r>
        <w:rPr>
          <w:spacing w:val="40"/>
        </w:rPr>
        <w:t xml:space="preserve"> </w:t>
      </w:r>
      <w:r>
        <w:t xml:space="preserve">living room and your perception of the ink-marks in front of you—are not representational differences. Why is this? Because, says Davidson, representations, supposing them to exist, are representations of facts; and, as we’ve just seen, there is only one fact. Therefore, Davidson concludes, my perception of the piano in my living room is </w:t>
      </w:r>
      <w:r>
        <w:rPr>
          <w:i/>
        </w:rPr>
        <w:t>representationally</w:t>
      </w:r>
      <w:r>
        <w:rPr>
          <w:i/>
          <w:spacing w:val="-3"/>
        </w:rPr>
        <w:t xml:space="preserve"> </w:t>
      </w:r>
      <w:r>
        <w:t>just like your</w:t>
      </w:r>
    </w:p>
    <w:p w14:paraId="7E002DD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DD1" w14:textId="77777777" w:rsidR="009A58DB" w:rsidRDefault="00000000">
      <w:pPr>
        <w:pStyle w:val="BodyText"/>
        <w:spacing w:before="65" w:line="249" w:lineRule="auto"/>
        <w:ind w:right="357"/>
      </w:pPr>
      <w:r>
        <w:t xml:space="preserve">perception of these ink-marks. Thus, the differences between those perceptions have nothing to do with any representational differences that there might be between them. Which means that, if there are any such differences, they are innocuous. Which, in its turn, means that </w:t>
      </w:r>
      <w:r>
        <w:rPr>
          <w:i/>
        </w:rPr>
        <w:t xml:space="preserve">either </w:t>
      </w:r>
      <w:r>
        <w:t>(i) that neither perception represents anything or (ii) that, if either perception does represent something, it is irrelevant to how that perception differs from other perceptions (or mental states of other kinds) and, therefore, to how what perception is. Which, give or take some unimportant nuances, means that neither represents anything.</w:t>
      </w:r>
    </w:p>
    <w:p w14:paraId="7E002DD2" w14:textId="77777777" w:rsidR="009A58DB" w:rsidRDefault="00000000">
      <w:pPr>
        <w:pStyle w:val="BodyText"/>
        <w:spacing w:before="11" w:line="249" w:lineRule="auto"/>
        <w:ind w:right="359" w:firstLine="360"/>
      </w:pPr>
      <w:r>
        <w:t>Davidson’s position (that no mental entity represents anything) is obviously false, and his argument for it fails for the same reason that SS fails. But Davidson’s argument involves a blunder of which SS is innocent. For a mental state to be representational is not for there to be some fact that it represents. It is for that mental state to be to the effect that there exists some fact. Suppose that I hallucinate that there is a pink elephant in my living room. (Assume that, in actuality, there is no such elephant.) My hallucination is representational. It isn’t like a rock. But there is no elephant x such that my hallucination represents some pink elephant x such that x is in my living room. My hallucination is representational in the sense that it is to the effect that that there exists some pink elephant x such that x is in my living room. (See Chapter 1, Section 3.2 for further clarification.)</w:t>
      </w:r>
    </w:p>
    <w:p w14:paraId="7E002DD3" w14:textId="77777777" w:rsidR="009A58DB" w:rsidRDefault="00000000">
      <w:pPr>
        <w:pStyle w:val="BodyText"/>
        <w:spacing w:before="19" w:line="249" w:lineRule="auto"/>
        <w:ind w:right="368" w:firstLine="360"/>
      </w:pPr>
      <w:r>
        <w:t xml:space="preserve">In his (ironically named) book </w:t>
      </w:r>
      <w:r>
        <w:rPr>
          <w:i/>
        </w:rPr>
        <w:t>Facing the Fact</w:t>
      </w:r>
      <w:bookmarkStart w:id="595" w:name="_bookmark595"/>
      <w:bookmarkEnd w:id="595"/>
      <w:r>
        <w:rPr>
          <w:i/>
        </w:rPr>
        <w:t>s</w:t>
      </w:r>
      <w:r>
        <w:rPr>
          <w:color w:val="0562C1"/>
          <w:position w:val="22"/>
          <w:u w:val="single" w:color="0562C1"/>
        </w:rPr>
        <w:t>[451]</w:t>
      </w:r>
      <w:r>
        <w:t>, Stephen Neale puts forth what he believes to be an improvement on SS.</w:t>
      </w:r>
      <w:bookmarkStart w:id="596" w:name="_bookmark596"/>
      <w:bookmarkEnd w:id="596"/>
      <w:r>
        <w:rPr>
          <w:color w:val="0562C1"/>
          <w:position w:val="21"/>
          <w:u w:val="single" w:color="0562C1"/>
        </w:rPr>
        <w:t>[452]</w:t>
      </w:r>
      <w:r>
        <w:rPr>
          <w:color w:val="0562C1"/>
          <w:position w:val="21"/>
        </w:rPr>
        <w:t xml:space="preserve"> </w:t>
      </w:r>
      <w:r>
        <w:t>Neale’s argument involves the following four assumptions:</w:t>
      </w:r>
    </w:p>
    <w:p w14:paraId="7E002DD4" w14:textId="77777777" w:rsidR="009A58DB" w:rsidRDefault="009A58DB">
      <w:pPr>
        <w:pStyle w:val="BodyText"/>
        <w:spacing w:before="19"/>
        <w:ind w:left="0"/>
        <w:jc w:val="left"/>
      </w:pPr>
    </w:p>
    <w:p w14:paraId="7E002DD5" w14:textId="77777777" w:rsidR="009A58DB" w:rsidRDefault="00000000">
      <w:pPr>
        <w:pStyle w:val="BodyText"/>
        <w:spacing w:line="271" w:lineRule="auto"/>
        <w:ind w:right="358"/>
      </w:pPr>
      <w:r>
        <w:t>G</w:t>
      </w:r>
      <w:r>
        <w:rPr>
          <w:vertAlign w:val="subscript"/>
        </w:rPr>
        <w:t>1</w:t>
      </w:r>
      <w:r>
        <w:t>: The sentence “Fa” stands for the same fact as the sentence “a=the unique thing x such that (x = a and Fx).” (In this context, “=” is to be taken to mean “is identical with.”)</w:t>
      </w:r>
    </w:p>
    <w:p w14:paraId="7E002DD6" w14:textId="77777777" w:rsidR="009A58DB" w:rsidRDefault="00000000">
      <w:pPr>
        <w:pStyle w:val="BodyText"/>
        <w:spacing w:line="316" w:lineRule="exact"/>
      </w:pPr>
      <w:r>
        <w:t>G</w:t>
      </w:r>
      <w:r>
        <w:rPr>
          <w:vertAlign w:val="subscript"/>
        </w:rPr>
        <w:t>2</w:t>
      </w:r>
      <w:r>
        <w:t>:</w:t>
      </w:r>
      <w:r>
        <w:rPr>
          <w:spacing w:val="-2"/>
        </w:rPr>
        <w:t xml:space="preserve"> </w:t>
      </w:r>
      <w:r>
        <w:t>Any sentence</w:t>
      </w:r>
      <w:r>
        <w:rPr>
          <w:spacing w:val="-2"/>
        </w:rPr>
        <w:t xml:space="preserve"> </w:t>
      </w:r>
      <w:r>
        <w:t>can be</w:t>
      </w:r>
      <w:r>
        <w:rPr>
          <w:spacing w:val="-1"/>
        </w:rPr>
        <w:t xml:space="preserve"> </w:t>
      </w:r>
      <w:r>
        <w:t>put</w:t>
      </w:r>
      <w:r>
        <w:rPr>
          <w:spacing w:val="-2"/>
        </w:rPr>
        <w:t xml:space="preserve"> </w:t>
      </w:r>
      <w:r>
        <w:t>into subject-predicate</w:t>
      </w:r>
      <w:r>
        <w:rPr>
          <w:spacing w:val="-2"/>
        </w:rPr>
        <w:t xml:space="preserve"> form.</w:t>
      </w:r>
    </w:p>
    <w:p w14:paraId="7E002DD7" w14:textId="77777777" w:rsidR="009A58DB" w:rsidRDefault="00000000">
      <w:pPr>
        <w:pStyle w:val="BodyText"/>
        <w:spacing w:before="75" w:line="292" w:lineRule="auto"/>
        <w:ind w:right="365"/>
      </w:pPr>
      <w:r>
        <w:t>G</w:t>
      </w:r>
      <w:r>
        <w:rPr>
          <w:vertAlign w:val="subscript"/>
        </w:rPr>
        <w:t>3</w:t>
      </w:r>
      <w:r>
        <w:t xml:space="preserve">: What a complex expression refers to is a function of what it’s parts refer </w:t>
      </w:r>
      <w:r>
        <w:rPr>
          <w:spacing w:val="-4"/>
        </w:rPr>
        <w:t>to.</w:t>
      </w:r>
    </w:p>
    <w:p w14:paraId="7E002DD8" w14:textId="77777777" w:rsidR="009A58DB" w:rsidRDefault="00000000">
      <w:pPr>
        <w:pStyle w:val="BodyText"/>
        <w:spacing w:line="283" w:lineRule="exact"/>
      </w:pPr>
      <w:r>
        <w:t>G</w:t>
      </w:r>
      <w:r>
        <w:rPr>
          <w:vertAlign w:val="subscript"/>
        </w:rPr>
        <w:t>4</w:t>
      </w:r>
      <w:r>
        <w:t>:</w:t>
      </w:r>
      <w:r>
        <w:rPr>
          <w:spacing w:val="72"/>
          <w:w w:val="150"/>
        </w:rPr>
        <w:t xml:space="preserve"> </w:t>
      </w:r>
      <w:r>
        <w:t>Definite</w:t>
      </w:r>
      <w:r>
        <w:rPr>
          <w:spacing w:val="73"/>
          <w:w w:val="150"/>
        </w:rPr>
        <w:t xml:space="preserve"> </w:t>
      </w:r>
      <w:r>
        <w:t>descriptions</w:t>
      </w:r>
      <w:r>
        <w:rPr>
          <w:spacing w:val="73"/>
          <w:w w:val="150"/>
        </w:rPr>
        <w:t xml:space="preserve"> </w:t>
      </w:r>
      <w:r>
        <w:t>are</w:t>
      </w:r>
      <w:r>
        <w:rPr>
          <w:spacing w:val="73"/>
          <w:w w:val="150"/>
        </w:rPr>
        <w:t xml:space="preserve"> </w:t>
      </w:r>
      <w:r>
        <w:t>referring</w:t>
      </w:r>
      <w:r>
        <w:rPr>
          <w:spacing w:val="72"/>
          <w:w w:val="150"/>
        </w:rPr>
        <w:t xml:space="preserve"> </w:t>
      </w:r>
      <w:r>
        <w:t>terms.</w:t>
      </w:r>
      <w:r>
        <w:rPr>
          <w:spacing w:val="73"/>
          <w:w w:val="150"/>
        </w:rPr>
        <w:t xml:space="preserve"> </w:t>
      </w:r>
      <w:r>
        <w:t>“The</w:t>
      </w:r>
      <w:r>
        <w:rPr>
          <w:spacing w:val="73"/>
          <w:w w:val="150"/>
        </w:rPr>
        <w:t xml:space="preserve"> </w:t>
      </w:r>
      <w:r>
        <w:t>even</w:t>
      </w:r>
      <w:r>
        <w:rPr>
          <w:spacing w:val="73"/>
          <w:w w:val="150"/>
        </w:rPr>
        <w:t xml:space="preserve"> </w:t>
      </w:r>
      <w:r>
        <w:t>prime”</w:t>
      </w:r>
      <w:r>
        <w:rPr>
          <w:spacing w:val="73"/>
          <w:w w:val="150"/>
        </w:rPr>
        <w:t xml:space="preserve"> </w:t>
      </w:r>
      <w:r>
        <w:t>is</w:t>
      </w:r>
      <w:r>
        <w:rPr>
          <w:spacing w:val="72"/>
          <w:w w:val="150"/>
        </w:rPr>
        <w:t xml:space="preserve"> </w:t>
      </w:r>
      <w:r>
        <w:rPr>
          <w:spacing w:val="-5"/>
        </w:rPr>
        <w:t>an</w:t>
      </w:r>
    </w:p>
    <w:p w14:paraId="7E002DD9" w14:textId="77777777" w:rsidR="009A58DB" w:rsidRDefault="00000000">
      <w:pPr>
        <w:pStyle w:val="BodyText"/>
        <w:spacing w:before="75"/>
      </w:pPr>
      <w:r>
        <w:t>expression</w:t>
      </w:r>
      <w:r>
        <w:rPr>
          <w:spacing w:val="-5"/>
        </w:rPr>
        <w:t xml:space="preserve"> </w:t>
      </w:r>
      <w:r>
        <w:t>that</w:t>
      </w:r>
      <w:r>
        <w:rPr>
          <w:spacing w:val="-3"/>
        </w:rPr>
        <w:t xml:space="preserve"> </w:t>
      </w:r>
      <w:r>
        <w:t>picks</w:t>
      </w:r>
      <w:r>
        <w:rPr>
          <w:spacing w:val="-3"/>
        </w:rPr>
        <w:t xml:space="preserve"> </w:t>
      </w:r>
      <w:r>
        <w:t>out</w:t>
      </w:r>
      <w:r>
        <w:rPr>
          <w:spacing w:val="-3"/>
        </w:rPr>
        <w:t xml:space="preserve"> </w:t>
      </w:r>
      <w:r>
        <w:t>the</w:t>
      </w:r>
      <w:r>
        <w:rPr>
          <w:spacing w:val="-3"/>
        </w:rPr>
        <w:t xml:space="preserve"> </w:t>
      </w:r>
      <w:r>
        <w:t>number</w:t>
      </w:r>
      <w:r>
        <w:rPr>
          <w:spacing w:val="-3"/>
        </w:rPr>
        <w:t xml:space="preserve"> </w:t>
      </w:r>
      <w:r>
        <w:rPr>
          <w:spacing w:val="-4"/>
        </w:rPr>
        <w:t>two.</w:t>
      </w:r>
    </w:p>
    <w:p w14:paraId="7E002DDA" w14:textId="77777777" w:rsidR="009A58DB" w:rsidRDefault="009A58DB">
      <w:pPr>
        <w:pStyle w:val="BodyText"/>
        <w:sectPr w:rsidR="009A58DB">
          <w:pgSz w:w="12240" w:h="15840"/>
          <w:pgMar w:top="1380" w:right="1080" w:bottom="280" w:left="1080" w:header="720" w:footer="720" w:gutter="0"/>
          <w:cols w:space="720"/>
        </w:sectPr>
      </w:pPr>
    </w:p>
    <w:p w14:paraId="7E002DDB" w14:textId="77777777" w:rsidR="009A58DB" w:rsidRDefault="00000000">
      <w:pPr>
        <w:pStyle w:val="BodyText"/>
        <w:spacing w:before="65" w:line="249" w:lineRule="auto"/>
        <w:ind w:right="359" w:firstLine="360"/>
      </w:pPr>
      <w:r>
        <w:t>Assume that for some individuals a and b, and some properties G and F, the following are true: “Fa,” “Gb,” and “a ≠ b”; and suppose that these sentences stand for facts F</w:t>
      </w:r>
      <w:r>
        <w:rPr>
          <w:position w:val="-7"/>
          <w:sz w:val="22"/>
        </w:rPr>
        <w:t>1</w:t>
      </w:r>
      <w:r>
        <w:t>, F</w:t>
      </w:r>
      <w:r>
        <w:rPr>
          <w:position w:val="-7"/>
          <w:sz w:val="22"/>
        </w:rPr>
        <w:t>2</w:t>
      </w:r>
      <w:r>
        <w:t>, and F</w:t>
      </w:r>
      <w:r>
        <w:rPr>
          <w:position w:val="-7"/>
          <w:sz w:val="22"/>
        </w:rPr>
        <w:t>3</w:t>
      </w:r>
      <w:r>
        <w:t>, respectively.</w:t>
      </w:r>
    </w:p>
    <w:p w14:paraId="7E002DDC" w14:textId="77777777" w:rsidR="009A58DB" w:rsidRDefault="00000000">
      <w:pPr>
        <w:pStyle w:val="BodyText"/>
        <w:spacing w:before="1"/>
        <w:ind w:left="720"/>
      </w:pPr>
      <w:r>
        <w:t>Consider</w:t>
      </w:r>
      <w:r>
        <w:rPr>
          <w:spacing w:val="-5"/>
        </w:rPr>
        <w:t xml:space="preserve"> </w:t>
      </w:r>
      <w:r>
        <w:t>the</w:t>
      </w:r>
      <w:r>
        <w:rPr>
          <w:spacing w:val="-4"/>
        </w:rPr>
        <w:t xml:space="preserve"> </w:t>
      </w:r>
      <w:r>
        <w:t>following</w:t>
      </w:r>
      <w:r>
        <w:rPr>
          <w:spacing w:val="-3"/>
        </w:rPr>
        <w:t xml:space="preserve"> </w:t>
      </w:r>
      <w:r>
        <w:t>seven</w:t>
      </w:r>
      <w:r>
        <w:rPr>
          <w:spacing w:val="-3"/>
        </w:rPr>
        <w:t xml:space="preserve"> </w:t>
      </w:r>
      <w:r>
        <w:rPr>
          <w:spacing w:val="-2"/>
        </w:rPr>
        <w:t>sentences.</w:t>
      </w:r>
    </w:p>
    <w:p w14:paraId="7E002DDD" w14:textId="77777777" w:rsidR="009A58DB" w:rsidRDefault="009A58DB">
      <w:pPr>
        <w:pStyle w:val="BodyText"/>
        <w:spacing w:before="29"/>
        <w:ind w:left="0"/>
        <w:jc w:val="left"/>
      </w:pPr>
    </w:p>
    <w:p w14:paraId="7E002DDE" w14:textId="77777777" w:rsidR="009A58DB" w:rsidRDefault="00000000">
      <w:pPr>
        <w:pStyle w:val="ListParagraph"/>
        <w:numPr>
          <w:ilvl w:val="0"/>
          <w:numId w:val="10"/>
        </w:numPr>
        <w:tabs>
          <w:tab w:val="left" w:pos="660"/>
        </w:tabs>
        <w:spacing w:before="1"/>
        <w:rPr>
          <w:sz w:val="30"/>
        </w:rPr>
      </w:pPr>
      <w:r>
        <w:rPr>
          <w:sz w:val="30"/>
        </w:rPr>
        <w:t>Fa.</w:t>
      </w:r>
      <w:r>
        <w:rPr>
          <w:spacing w:val="-2"/>
          <w:sz w:val="30"/>
        </w:rPr>
        <w:t xml:space="preserve"> </w:t>
      </w:r>
      <w:r>
        <w:rPr>
          <w:sz w:val="30"/>
        </w:rPr>
        <w:t>By</w:t>
      </w:r>
      <w:r>
        <w:rPr>
          <w:spacing w:val="-1"/>
          <w:sz w:val="30"/>
        </w:rPr>
        <w:t xml:space="preserve"> </w:t>
      </w:r>
      <w:r>
        <w:rPr>
          <w:spacing w:val="-2"/>
          <w:sz w:val="30"/>
        </w:rPr>
        <w:t>assumption.</w:t>
      </w:r>
    </w:p>
    <w:p w14:paraId="7E002DDF" w14:textId="77777777" w:rsidR="009A58DB" w:rsidRDefault="00000000">
      <w:pPr>
        <w:pStyle w:val="ListParagraph"/>
        <w:numPr>
          <w:ilvl w:val="0"/>
          <w:numId w:val="10"/>
        </w:numPr>
        <w:tabs>
          <w:tab w:val="left" w:pos="660"/>
        </w:tabs>
        <w:spacing w:before="15"/>
        <w:rPr>
          <w:sz w:val="30"/>
        </w:rPr>
      </w:pPr>
      <w:r>
        <w:rPr>
          <w:sz w:val="30"/>
        </w:rPr>
        <w:t>a</w:t>
      </w:r>
      <w:r>
        <w:rPr>
          <w:spacing w:val="-2"/>
          <w:sz w:val="30"/>
        </w:rPr>
        <w:t xml:space="preserve"> </w:t>
      </w:r>
      <w:r>
        <w:rPr>
          <w:sz w:val="30"/>
        </w:rPr>
        <w:t>≠</w:t>
      </w:r>
      <w:r>
        <w:rPr>
          <w:spacing w:val="-1"/>
          <w:sz w:val="30"/>
        </w:rPr>
        <w:t xml:space="preserve"> </w:t>
      </w:r>
      <w:r>
        <w:rPr>
          <w:sz w:val="30"/>
        </w:rPr>
        <w:t xml:space="preserve">b. By </w:t>
      </w:r>
      <w:r>
        <w:rPr>
          <w:spacing w:val="-2"/>
          <w:sz w:val="30"/>
        </w:rPr>
        <w:t>assumption.</w:t>
      </w:r>
    </w:p>
    <w:p w14:paraId="7E002DE0" w14:textId="77777777" w:rsidR="009A58DB" w:rsidRDefault="00000000">
      <w:pPr>
        <w:pStyle w:val="ListParagraph"/>
        <w:numPr>
          <w:ilvl w:val="0"/>
          <w:numId w:val="10"/>
        </w:numPr>
        <w:tabs>
          <w:tab w:val="left" w:pos="660"/>
        </w:tabs>
        <w:spacing w:before="15"/>
        <w:rPr>
          <w:sz w:val="30"/>
        </w:rPr>
      </w:pPr>
      <w:r>
        <w:rPr>
          <w:sz w:val="30"/>
        </w:rPr>
        <w:t>Gb.</w:t>
      </w:r>
      <w:r>
        <w:rPr>
          <w:spacing w:val="-1"/>
          <w:sz w:val="30"/>
        </w:rPr>
        <w:t xml:space="preserve"> </w:t>
      </w:r>
      <w:r>
        <w:rPr>
          <w:sz w:val="30"/>
        </w:rPr>
        <w:t>By</w:t>
      </w:r>
      <w:r>
        <w:rPr>
          <w:spacing w:val="-1"/>
          <w:sz w:val="30"/>
        </w:rPr>
        <w:t xml:space="preserve"> </w:t>
      </w:r>
      <w:r>
        <w:rPr>
          <w:spacing w:val="-2"/>
          <w:sz w:val="30"/>
        </w:rPr>
        <w:t>assumption.</w:t>
      </w:r>
    </w:p>
    <w:p w14:paraId="7E002DE1" w14:textId="77777777" w:rsidR="009A58DB" w:rsidRDefault="00000000">
      <w:pPr>
        <w:pStyle w:val="ListParagraph"/>
        <w:numPr>
          <w:ilvl w:val="0"/>
          <w:numId w:val="10"/>
        </w:numPr>
        <w:tabs>
          <w:tab w:val="left" w:pos="660"/>
        </w:tabs>
        <w:spacing w:before="15"/>
        <w:rPr>
          <w:sz w:val="30"/>
        </w:rPr>
      </w:pPr>
      <w:r>
        <w:rPr>
          <w:sz w:val="30"/>
        </w:rPr>
        <w:t>a</w:t>
      </w:r>
      <w:r>
        <w:rPr>
          <w:spacing w:val="-5"/>
          <w:sz w:val="30"/>
        </w:rPr>
        <w:t xml:space="preserve"> </w:t>
      </w:r>
      <w:r>
        <w:rPr>
          <w:sz w:val="30"/>
        </w:rPr>
        <w:t>=</w:t>
      </w:r>
      <w:r>
        <w:rPr>
          <w:spacing w:val="-2"/>
          <w:sz w:val="30"/>
        </w:rPr>
        <w:t xml:space="preserve"> </w:t>
      </w:r>
      <w:r>
        <w:rPr>
          <w:sz w:val="30"/>
        </w:rPr>
        <w:t>the</w:t>
      </w:r>
      <w:r>
        <w:rPr>
          <w:spacing w:val="-2"/>
          <w:sz w:val="30"/>
        </w:rPr>
        <w:t xml:space="preserve"> </w:t>
      </w:r>
      <w:r>
        <w:rPr>
          <w:sz w:val="30"/>
        </w:rPr>
        <w:t>unique</w:t>
      </w:r>
      <w:r>
        <w:rPr>
          <w:spacing w:val="-2"/>
          <w:sz w:val="30"/>
        </w:rPr>
        <w:t xml:space="preserve"> </w:t>
      </w:r>
      <w:r>
        <w:rPr>
          <w:sz w:val="30"/>
        </w:rPr>
        <w:t>thing</w:t>
      </w:r>
      <w:r>
        <w:rPr>
          <w:spacing w:val="-1"/>
          <w:sz w:val="30"/>
        </w:rPr>
        <w:t xml:space="preserve"> </w:t>
      </w:r>
      <w:r>
        <w:rPr>
          <w:sz w:val="30"/>
        </w:rPr>
        <w:t>x</w:t>
      </w:r>
      <w:r>
        <w:rPr>
          <w:spacing w:val="-1"/>
          <w:sz w:val="30"/>
        </w:rPr>
        <w:t xml:space="preserve"> </w:t>
      </w:r>
      <w:r>
        <w:rPr>
          <w:sz w:val="30"/>
        </w:rPr>
        <w:t>such</w:t>
      </w:r>
      <w:r>
        <w:rPr>
          <w:spacing w:val="-1"/>
          <w:sz w:val="30"/>
        </w:rPr>
        <w:t xml:space="preserve"> </w:t>
      </w:r>
      <w:r>
        <w:rPr>
          <w:sz w:val="30"/>
        </w:rPr>
        <w:t>that</w:t>
      </w:r>
      <w:r>
        <w:rPr>
          <w:spacing w:val="-2"/>
          <w:sz w:val="30"/>
        </w:rPr>
        <w:t xml:space="preserve"> </w:t>
      </w:r>
      <w:r>
        <w:rPr>
          <w:sz w:val="30"/>
        </w:rPr>
        <w:t>(x</w:t>
      </w:r>
      <w:r>
        <w:rPr>
          <w:spacing w:val="-1"/>
          <w:sz w:val="30"/>
        </w:rPr>
        <w:t xml:space="preserve"> </w:t>
      </w:r>
      <w:r>
        <w:rPr>
          <w:sz w:val="30"/>
        </w:rPr>
        <w:t>=</w:t>
      </w:r>
      <w:r>
        <w:rPr>
          <w:spacing w:val="-2"/>
          <w:sz w:val="30"/>
        </w:rPr>
        <w:t xml:space="preserve"> </w:t>
      </w:r>
      <w:r>
        <w:rPr>
          <w:sz w:val="30"/>
        </w:rPr>
        <w:t>a</w:t>
      </w:r>
      <w:r>
        <w:rPr>
          <w:spacing w:val="-2"/>
          <w:sz w:val="30"/>
        </w:rPr>
        <w:t xml:space="preserve"> </w:t>
      </w:r>
      <w:r>
        <w:rPr>
          <w:sz w:val="30"/>
        </w:rPr>
        <w:t>and</w:t>
      </w:r>
      <w:r>
        <w:rPr>
          <w:spacing w:val="-1"/>
          <w:sz w:val="30"/>
        </w:rPr>
        <w:t xml:space="preserve"> </w:t>
      </w:r>
      <w:r>
        <w:rPr>
          <w:sz w:val="30"/>
        </w:rPr>
        <w:t>Fx).</w:t>
      </w:r>
      <w:r>
        <w:rPr>
          <w:spacing w:val="-1"/>
          <w:sz w:val="30"/>
        </w:rPr>
        <w:t xml:space="preserve"> </w:t>
      </w:r>
      <w:r>
        <w:rPr>
          <w:sz w:val="30"/>
        </w:rPr>
        <w:t>Follows</w:t>
      </w:r>
      <w:r>
        <w:rPr>
          <w:spacing w:val="-2"/>
          <w:sz w:val="30"/>
        </w:rPr>
        <w:t xml:space="preserve"> </w:t>
      </w:r>
      <w:r>
        <w:rPr>
          <w:sz w:val="30"/>
        </w:rPr>
        <w:t>from</w:t>
      </w:r>
      <w:r>
        <w:rPr>
          <w:spacing w:val="-2"/>
          <w:sz w:val="30"/>
        </w:rPr>
        <w:t xml:space="preserve"> </w:t>
      </w:r>
      <w:r>
        <w:rPr>
          <w:sz w:val="30"/>
        </w:rPr>
        <w:t>1,</w:t>
      </w:r>
      <w:r>
        <w:rPr>
          <w:spacing w:val="-1"/>
          <w:sz w:val="30"/>
        </w:rPr>
        <w:t xml:space="preserve"> </w:t>
      </w:r>
      <w:r>
        <w:rPr>
          <w:sz w:val="30"/>
        </w:rPr>
        <w:t>by</w:t>
      </w:r>
      <w:r>
        <w:rPr>
          <w:spacing w:val="-1"/>
          <w:sz w:val="30"/>
        </w:rPr>
        <w:t xml:space="preserve"> </w:t>
      </w:r>
      <w:r>
        <w:rPr>
          <w:spacing w:val="-5"/>
          <w:sz w:val="30"/>
        </w:rPr>
        <w:t>G</w:t>
      </w:r>
      <w:r>
        <w:rPr>
          <w:spacing w:val="-5"/>
          <w:sz w:val="30"/>
          <w:vertAlign w:val="subscript"/>
        </w:rPr>
        <w:t>1</w:t>
      </w:r>
      <w:r>
        <w:rPr>
          <w:spacing w:val="-5"/>
          <w:sz w:val="30"/>
        </w:rPr>
        <w:t>.</w:t>
      </w:r>
    </w:p>
    <w:p w14:paraId="7E002DE2" w14:textId="77777777" w:rsidR="009A58DB" w:rsidRDefault="00000000">
      <w:pPr>
        <w:pStyle w:val="ListParagraph"/>
        <w:numPr>
          <w:ilvl w:val="0"/>
          <w:numId w:val="10"/>
        </w:numPr>
        <w:tabs>
          <w:tab w:val="left" w:pos="660"/>
        </w:tabs>
        <w:spacing w:before="75"/>
        <w:rPr>
          <w:sz w:val="30"/>
        </w:rPr>
      </w:pPr>
      <w:r>
        <w:rPr>
          <w:sz w:val="30"/>
        </w:rPr>
        <w:t>a</w:t>
      </w:r>
      <w:r>
        <w:rPr>
          <w:spacing w:val="-4"/>
          <w:sz w:val="30"/>
        </w:rPr>
        <w:t xml:space="preserve"> </w:t>
      </w:r>
      <w:r>
        <w:rPr>
          <w:sz w:val="30"/>
        </w:rPr>
        <w:t>=</w:t>
      </w:r>
      <w:r>
        <w:rPr>
          <w:spacing w:val="-2"/>
          <w:sz w:val="30"/>
        </w:rPr>
        <w:t xml:space="preserve"> </w:t>
      </w:r>
      <w:r>
        <w:rPr>
          <w:sz w:val="30"/>
        </w:rPr>
        <w:t>the</w:t>
      </w:r>
      <w:r>
        <w:rPr>
          <w:spacing w:val="-2"/>
          <w:sz w:val="30"/>
        </w:rPr>
        <w:t xml:space="preserve"> </w:t>
      </w:r>
      <w:r>
        <w:rPr>
          <w:sz w:val="30"/>
        </w:rPr>
        <w:t>unique</w:t>
      </w:r>
      <w:r>
        <w:rPr>
          <w:spacing w:val="-2"/>
          <w:sz w:val="30"/>
        </w:rPr>
        <w:t xml:space="preserve"> </w:t>
      </w:r>
      <w:r>
        <w:rPr>
          <w:sz w:val="30"/>
        </w:rPr>
        <w:t>thing</w:t>
      </w:r>
      <w:r>
        <w:rPr>
          <w:spacing w:val="-1"/>
          <w:sz w:val="30"/>
        </w:rPr>
        <w:t xml:space="preserve"> </w:t>
      </w:r>
      <w:r>
        <w:rPr>
          <w:sz w:val="30"/>
        </w:rPr>
        <w:t>x</w:t>
      </w:r>
      <w:r>
        <w:rPr>
          <w:spacing w:val="-1"/>
          <w:sz w:val="30"/>
        </w:rPr>
        <w:t xml:space="preserve"> </w:t>
      </w:r>
      <w:r>
        <w:rPr>
          <w:sz w:val="30"/>
        </w:rPr>
        <w:t>such</w:t>
      </w:r>
      <w:r>
        <w:rPr>
          <w:spacing w:val="-1"/>
          <w:sz w:val="30"/>
        </w:rPr>
        <w:t xml:space="preserve"> </w:t>
      </w:r>
      <w:r>
        <w:rPr>
          <w:sz w:val="30"/>
        </w:rPr>
        <w:t>that</w:t>
      </w:r>
      <w:r>
        <w:rPr>
          <w:spacing w:val="-2"/>
          <w:sz w:val="30"/>
        </w:rPr>
        <w:t xml:space="preserve"> </w:t>
      </w:r>
      <w:r>
        <w:rPr>
          <w:sz w:val="30"/>
        </w:rPr>
        <w:t>(x</w:t>
      </w:r>
      <w:r>
        <w:rPr>
          <w:spacing w:val="-1"/>
          <w:sz w:val="30"/>
        </w:rPr>
        <w:t xml:space="preserve"> </w:t>
      </w:r>
      <w:r>
        <w:rPr>
          <w:sz w:val="30"/>
        </w:rPr>
        <w:t>=</w:t>
      </w:r>
      <w:r>
        <w:rPr>
          <w:spacing w:val="-1"/>
          <w:sz w:val="30"/>
        </w:rPr>
        <w:t xml:space="preserve"> </w:t>
      </w:r>
      <w:r>
        <w:rPr>
          <w:sz w:val="30"/>
        </w:rPr>
        <w:t>a</w:t>
      </w:r>
      <w:r>
        <w:rPr>
          <w:spacing w:val="-2"/>
          <w:sz w:val="30"/>
        </w:rPr>
        <w:t xml:space="preserve"> </w:t>
      </w:r>
      <w:r>
        <w:rPr>
          <w:sz w:val="30"/>
        </w:rPr>
        <w:t>and</w:t>
      </w:r>
      <w:r>
        <w:rPr>
          <w:spacing w:val="-1"/>
          <w:sz w:val="30"/>
        </w:rPr>
        <w:t xml:space="preserve"> </w:t>
      </w:r>
      <w:r>
        <w:rPr>
          <w:sz w:val="30"/>
        </w:rPr>
        <w:t>x</w:t>
      </w:r>
      <w:r>
        <w:rPr>
          <w:spacing w:val="-1"/>
          <w:sz w:val="30"/>
        </w:rPr>
        <w:t xml:space="preserve"> </w:t>
      </w:r>
      <w:r>
        <w:rPr>
          <w:sz w:val="30"/>
        </w:rPr>
        <w:t>≠</w:t>
      </w:r>
      <w:r>
        <w:rPr>
          <w:spacing w:val="-2"/>
          <w:sz w:val="30"/>
        </w:rPr>
        <w:t xml:space="preserve"> </w:t>
      </w:r>
      <w:r>
        <w:rPr>
          <w:sz w:val="30"/>
        </w:rPr>
        <w:t>b).</w:t>
      </w:r>
      <w:r>
        <w:rPr>
          <w:spacing w:val="-1"/>
          <w:sz w:val="30"/>
        </w:rPr>
        <w:t xml:space="preserve"> </w:t>
      </w:r>
      <w:r>
        <w:rPr>
          <w:sz w:val="30"/>
        </w:rPr>
        <w:t>Follows</w:t>
      </w:r>
      <w:r>
        <w:rPr>
          <w:spacing w:val="-2"/>
          <w:sz w:val="30"/>
        </w:rPr>
        <w:t xml:space="preserve"> </w:t>
      </w:r>
      <w:r>
        <w:rPr>
          <w:sz w:val="30"/>
        </w:rPr>
        <w:t>from</w:t>
      </w:r>
      <w:r>
        <w:rPr>
          <w:spacing w:val="-2"/>
          <w:sz w:val="30"/>
        </w:rPr>
        <w:t xml:space="preserve"> </w:t>
      </w:r>
      <w:r>
        <w:rPr>
          <w:sz w:val="30"/>
        </w:rPr>
        <w:t>2,</w:t>
      </w:r>
      <w:r>
        <w:rPr>
          <w:spacing w:val="-1"/>
          <w:sz w:val="30"/>
        </w:rPr>
        <w:t xml:space="preserve"> </w:t>
      </w:r>
      <w:r>
        <w:rPr>
          <w:sz w:val="30"/>
        </w:rPr>
        <w:t xml:space="preserve">by </w:t>
      </w:r>
      <w:r>
        <w:rPr>
          <w:spacing w:val="-5"/>
          <w:sz w:val="30"/>
        </w:rPr>
        <w:t>G</w:t>
      </w:r>
      <w:r>
        <w:rPr>
          <w:spacing w:val="-5"/>
          <w:sz w:val="30"/>
          <w:vertAlign w:val="subscript"/>
        </w:rPr>
        <w:t>2</w:t>
      </w:r>
      <w:r>
        <w:rPr>
          <w:spacing w:val="-5"/>
          <w:sz w:val="30"/>
        </w:rPr>
        <w:t>.</w:t>
      </w:r>
    </w:p>
    <w:p w14:paraId="7E002DE3" w14:textId="77777777" w:rsidR="009A58DB" w:rsidRDefault="00000000">
      <w:pPr>
        <w:pStyle w:val="ListParagraph"/>
        <w:numPr>
          <w:ilvl w:val="0"/>
          <w:numId w:val="10"/>
        </w:numPr>
        <w:tabs>
          <w:tab w:val="left" w:pos="660"/>
        </w:tabs>
        <w:spacing w:before="75"/>
        <w:rPr>
          <w:sz w:val="30"/>
        </w:rPr>
      </w:pPr>
      <w:r>
        <w:rPr>
          <w:sz w:val="30"/>
        </w:rPr>
        <w:t>b</w:t>
      </w:r>
      <w:r>
        <w:rPr>
          <w:spacing w:val="-4"/>
          <w:sz w:val="30"/>
        </w:rPr>
        <w:t xml:space="preserve"> </w:t>
      </w:r>
      <w:r>
        <w:rPr>
          <w:sz w:val="30"/>
        </w:rPr>
        <w:t>=</w:t>
      </w:r>
      <w:r>
        <w:rPr>
          <w:spacing w:val="-2"/>
          <w:sz w:val="30"/>
        </w:rPr>
        <w:t xml:space="preserve"> </w:t>
      </w:r>
      <w:r>
        <w:rPr>
          <w:sz w:val="30"/>
        </w:rPr>
        <w:t>the</w:t>
      </w:r>
      <w:r>
        <w:rPr>
          <w:spacing w:val="-2"/>
          <w:sz w:val="30"/>
        </w:rPr>
        <w:t xml:space="preserve"> </w:t>
      </w:r>
      <w:r>
        <w:rPr>
          <w:sz w:val="30"/>
        </w:rPr>
        <w:t>unique</w:t>
      </w:r>
      <w:r>
        <w:rPr>
          <w:spacing w:val="-2"/>
          <w:sz w:val="30"/>
        </w:rPr>
        <w:t xml:space="preserve"> </w:t>
      </w:r>
      <w:r>
        <w:rPr>
          <w:sz w:val="30"/>
        </w:rPr>
        <w:t>thing</w:t>
      </w:r>
      <w:r>
        <w:rPr>
          <w:spacing w:val="-1"/>
          <w:sz w:val="30"/>
        </w:rPr>
        <w:t xml:space="preserve"> </w:t>
      </w:r>
      <w:r>
        <w:rPr>
          <w:sz w:val="30"/>
        </w:rPr>
        <w:t>x</w:t>
      </w:r>
      <w:r>
        <w:rPr>
          <w:spacing w:val="-1"/>
          <w:sz w:val="30"/>
        </w:rPr>
        <w:t xml:space="preserve"> </w:t>
      </w:r>
      <w:r>
        <w:rPr>
          <w:sz w:val="30"/>
        </w:rPr>
        <w:t>such</w:t>
      </w:r>
      <w:r>
        <w:rPr>
          <w:spacing w:val="-1"/>
          <w:sz w:val="30"/>
        </w:rPr>
        <w:t xml:space="preserve"> </w:t>
      </w:r>
      <w:r>
        <w:rPr>
          <w:sz w:val="30"/>
        </w:rPr>
        <w:t>that</w:t>
      </w:r>
      <w:r>
        <w:rPr>
          <w:spacing w:val="-2"/>
          <w:sz w:val="30"/>
        </w:rPr>
        <w:t xml:space="preserve"> </w:t>
      </w:r>
      <w:r>
        <w:rPr>
          <w:sz w:val="30"/>
        </w:rPr>
        <w:t>(x</w:t>
      </w:r>
      <w:r>
        <w:rPr>
          <w:spacing w:val="-1"/>
          <w:sz w:val="30"/>
        </w:rPr>
        <w:t xml:space="preserve"> </w:t>
      </w:r>
      <w:r>
        <w:rPr>
          <w:sz w:val="30"/>
        </w:rPr>
        <w:t>=</w:t>
      </w:r>
      <w:r>
        <w:rPr>
          <w:spacing w:val="-2"/>
          <w:sz w:val="30"/>
        </w:rPr>
        <w:t xml:space="preserve"> </w:t>
      </w:r>
      <w:r>
        <w:rPr>
          <w:sz w:val="30"/>
        </w:rPr>
        <w:t>b</w:t>
      </w:r>
      <w:r>
        <w:rPr>
          <w:spacing w:val="-1"/>
          <w:sz w:val="30"/>
        </w:rPr>
        <w:t xml:space="preserve"> </w:t>
      </w:r>
      <w:r>
        <w:rPr>
          <w:sz w:val="30"/>
        </w:rPr>
        <w:t>and</w:t>
      </w:r>
      <w:r>
        <w:rPr>
          <w:spacing w:val="-1"/>
          <w:sz w:val="30"/>
        </w:rPr>
        <w:t xml:space="preserve"> </w:t>
      </w:r>
      <w:r>
        <w:rPr>
          <w:sz w:val="30"/>
        </w:rPr>
        <w:t>Gx).</w:t>
      </w:r>
      <w:r>
        <w:rPr>
          <w:spacing w:val="-1"/>
          <w:sz w:val="30"/>
        </w:rPr>
        <w:t xml:space="preserve"> </w:t>
      </w:r>
      <w:r>
        <w:rPr>
          <w:sz w:val="30"/>
        </w:rPr>
        <w:t>Follows</w:t>
      </w:r>
      <w:r>
        <w:rPr>
          <w:spacing w:val="-2"/>
          <w:sz w:val="30"/>
        </w:rPr>
        <w:t xml:space="preserve"> </w:t>
      </w:r>
      <w:r>
        <w:rPr>
          <w:sz w:val="30"/>
        </w:rPr>
        <w:t>from</w:t>
      </w:r>
      <w:r>
        <w:rPr>
          <w:spacing w:val="-2"/>
          <w:sz w:val="30"/>
        </w:rPr>
        <w:t xml:space="preserve"> </w:t>
      </w:r>
      <w:r>
        <w:rPr>
          <w:sz w:val="30"/>
        </w:rPr>
        <w:t>3,</w:t>
      </w:r>
      <w:r>
        <w:rPr>
          <w:spacing w:val="-1"/>
          <w:sz w:val="30"/>
        </w:rPr>
        <w:t xml:space="preserve"> </w:t>
      </w:r>
      <w:r>
        <w:rPr>
          <w:sz w:val="30"/>
        </w:rPr>
        <w:t>by</w:t>
      </w:r>
      <w:r>
        <w:rPr>
          <w:spacing w:val="-1"/>
          <w:sz w:val="30"/>
        </w:rPr>
        <w:t xml:space="preserve"> </w:t>
      </w:r>
      <w:r>
        <w:rPr>
          <w:spacing w:val="-5"/>
          <w:sz w:val="30"/>
        </w:rPr>
        <w:t>G</w:t>
      </w:r>
      <w:r>
        <w:rPr>
          <w:spacing w:val="-5"/>
          <w:sz w:val="30"/>
          <w:vertAlign w:val="subscript"/>
        </w:rPr>
        <w:t>1</w:t>
      </w:r>
      <w:r>
        <w:rPr>
          <w:spacing w:val="-5"/>
          <w:sz w:val="30"/>
        </w:rPr>
        <w:t>.</w:t>
      </w:r>
    </w:p>
    <w:p w14:paraId="7E002DE4" w14:textId="77777777" w:rsidR="009A58DB" w:rsidRDefault="00000000">
      <w:pPr>
        <w:pStyle w:val="ListParagraph"/>
        <w:numPr>
          <w:ilvl w:val="0"/>
          <w:numId w:val="10"/>
        </w:numPr>
        <w:tabs>
          <w:tab w:val="left" w:pos="660"/>
        </w:tabs>
        <w:spacing w:before="75"/>
        <w:rPr>
          <w:sz w:val="30"/>
        </w:rPr>
      </w:pPr>
      <w:r>
        <w:rPr>
          <w:sz w:val="30"/>
        </w:rPr>
        <w:t>b</w:t>
      </w:r>
      <w:r>
        <w:rPr>
          <w:spacing w:val="-3"/>
          <w:sz w:val="30"/>
        </w:rPr>
        <w:t xml:space="preserve"> </w:t>
      </w:r>
      <w:r>
        <w:rPr>
          <w:sz w:val="30"/>
        </w:rPr>
        <w:t>=</w:t>
      </w:r>
      <w:r>
        <w:rPr>
          <w:spacing w:val="-2"/>
          <w:sz w:val="30"/>
        </w:rPr>
        <w:t xml:space="preserve"> </w:t>
      </w:r>
      <w:r>
        <w:rPr>
          <w:sz w:val="30"/>
        </w:rPr>
        <w:t>the</w:t>
      </w:r>
      <w:r>
        <w:rPr>
          <w:spacing w:val="-2"/>
          <w:sz w:val="30"/>
        </w:rPr>
        <w:t xml:space="preserve"> </w:t>
      </w:r>
      <w:r>
        <w:rPr>
          <w:sz w:val="30"/>
        </w:rPr>
        <w:t>unique</w:t>
      </w:r>
      <w:r>
        <w:rPr>
          <w:spacing w:val="-2"/>
          <w:sz w:val="30"/>
        </w:rPr>
        <w:t xml:space="preserve"> </w:t>
      </w:r>
      <w:r>
        <w:rPr>
          <w:sz w:val="30"/>
        </w:rPr>
        <w:t>thing</w:t>
      </w:r>
      <w:r>
        <w:rPr>
          <w:spacing w:val="-1"/>
          <w:sz w:val="30"/>
        </w:rPr>
        <w:t xml:space="preserve"> </w:t>
      </w:r>
      <w:r>
        <w:rPr>
          <w:sz w:val="30"/>
        </w:rPr>
        <w:t>x</w:t>
      </w:r>
      <w:r>
        <w:rPr>
          <w:spacing w:val="-1"/>
          <w:sz w:val="30"/>
        </w:rPr>
        <w:t xml:space="preserve"> </w:t>
      </w:r>
      <w:r>
        <w:rPr>
          <w:sz w:val="30"/>
        </w:rPr>
        <w:t>such</w:t>
      </w:r>
      <w:r>
        <w:rPr>
          <w:spacing w:val="-1"/>
          <w:sz w:val="30"/>
        </w:rPr>
        <w:t xml:space="preserve"> </w:t>
      </w:r>
      <w:r>
        <w:rPr>
          <w:sz w:val="30"/>
        </w:rPr>
        <w:t>that</w:t>
      </w:r>
      <w:r>
        <w:rPr>
          <w:spacing w:val="-2"/>
          <w:sz w:val="30"/>
        </w:rPr>
        <w:t xml:space="preserve"> </w:t>
      </w:r>
      <w:r>
        <w:rPr>
          <w:sz w:val="30"/>
        </w:rPr>
        <w:t>(x</w:t>
      </w:r>
      <w:r>
        <w:rPr>
          <w:spacing w:val="-1"/>
          <w:sz w:val="30"/>
        </w:rPr>
        <w:t xml:space="preserve"> </w:t>
      </w:r>
      <w:r>
        <w:rPr>
          <w:sz w:val="30"/>
        </w:rPr>
        <w:t>=</w:t>
      </w:r>
      <w:r>
        <w:rPr>
          <w:spacing w:val="-2"/>
          <w:sz w:val="30"/>
        </w:rPr>
        <w:t xml:space="preserve"> </w:t>
      </w:r>
      <w:r>
        <w:rPr>
          <w:sz w:val="30"/>
        </w:rPr>
        <w:t>b</w:t>
      </w:r>
      <w:r>
        <w:rPr>
          <w:spacing w:val="-1"/>
          <w:sz w:val="30"/>
        </w:rPr>
        <w:t xml:space="preserve"> </w:t>
      </w:r>
      <w:r>
        <w:rPr>
          <w:sz w:val="30"/>
        </w:rPr>
        <w:t>and</w:t>
      </w:r>
      <w:r>
        <w:rPr>
          <w:spacing w:val="-1"/>
          <w:sz w:val="30"/>
        </w:rPr>
        <w:t xml:space="preserve"> </w:t>
      </w:r>
      <w:r>
        <w:rPr>
          <w:sz w:val="30"/>
        </w:rPr>
        <w:t>x</w:t>
      </w:r>
      <w:r>
        <w:rPr>
          <w:spacing w:val="-1"/>
          <w:sz w:val="30"/>
        </w:rPr>
        <w:t xml:space="preserve"> </w:t>
      </w:r>
      <w:r>
        <w:rPr>
          <w:sz w:val="30"/>
        </w:rPr>
        <w:t>≠</w:t>
      </w:r>
      <w:r>
        <w:rPr>
          <w:spacing w:val="-2"/>
          <w:sz w:val="30"/>
        </w:rPr>
        <w:t xml:space="preserve"> </w:t>
      </w:r>
      <w:r>
        <w:rPr>
          <w:sz w:val="30"/>
        </w:rPr>
        <w:t>a).</w:t>
      </w:r>
      <w:r>
        <w:rPr>
          <w:spacing w:val="-1"/>
          <w:sz w:val="30"/>
        </w:rPr>
        <w:t xml:space="preserve"> </w:t>
      </w:r>
      <w:r>
        <w:rPr>
          <w:sz w:val="30"/>
        </w:rPr>
        <w:t>Follows</w:t>
      </w:r>
      <w:r>
        <w:rPr>
          <w:spacing w:val="-2"/>
          <w:sz w:val="30"/>
        </w:rPr>
        <w:t xml:space="preserve"> </w:t>
      </w:r>
      <w:r>
        <w:rPr>
          <w:sz w:val="30"/>
        </w:rPr>
        <w:t>from</w:t>
      </w:r>
      <w:r>
        <w:rPr>
          <w:spacing w:val="-2"/>
          <w:sz w:val="30"/>
        </w:rPr>
        <w:t xml:space="preserve"> </w:t>
      </w:r>
      <w:r>
        <w:rPr>
          <w:sz w:val="30"/>
        </w:rPr>
        <w:t>2,</w:t>
      </w:r>
      <w:r>
        <w:rPr>
          <w:spacing w:val="-1"/>
          <w:sz w:val="30"/>
        </w:rPr>
        <w:t xml:space="preserve"> </w:t>
      </w:r>
      <w:r>
        <w:rPr>
          <w:sz w:val="30"/>
        </w:rPr>
        <w:t xml:space="preserve">by </w:t>
      </w:r>
      <w:r>
        <w:rPr>
          <w:spacing w:val="-5"/>
          <w:sz w:val="30"/>
        </w:rPr>
        <w:t>G</w:t>
      </w:r>
      <w:r>
        <w:rPr>
          <w:spacing w:val="-5"/>
          <w:sz w:val="30"/>
          <w:vertAlign w:val="subscript"/>
        </w:rPr>
        <w:t>1</w:t>
      </w:r>
      <w:r>
        <w:rPr>
          <w:spacing w:val="-5"/>
          <w:sz w:val="30"/>
        </w:rPr>
        <w:t>.</w:t>
      </w:r>
    </w:p>
    <w:p w14:paraId="7E002DE5" w14:textId="77777777" w:rsidR="009A58DB" w:rsidRDefault="009A58DB">
      <w:pPr>
        <w:pStyle w:val="BodyText"/>
        <w:spacing w:before="90"/>
        <w:ind w:left="0"/>
        <w:jc w:val="left"/>
      </w:pPr>
    </w:p>
    <w:p w14:paraId="7E002DE6" w14:textId="77777777" w:rsidR="009A58DB" w:rsidRDefault="00000000">
      <w:pPr>
        <w:pStyle w:val="BodyText"/>
        <w:spacing w:line="271" w:lineRule="auto"/>
        <w:ind w:right="363"/>
      </w:pPr>
      <w:r>
        <w:t>1 and 4 stand for the same fact, namely F1. 2, 5, and 7 all stand for the same fact, namely F</w:t>
      </w:r>
      <w:r>
        <w:rPr>
          <w:vertAlign w:val="subscript"/>
        </w:rPr>
        <w:t>2</w:t>
      </w:r>
      <w:r>
        <w:t>. And 3 and 6 stand for the same fact, namely F</w:t>
      </w:r>
      <w:r>
        <w:rPr>
          <w:vertAlign w:val="subscript"/>
        </w:rPr>
        <w:t>3</w:t>
      </w:r>
      <w:r>
        <w:t>. “The unique thing</w:t>
      </w:r>
      <w:r>
        <w:rPr>
          <w:spacing w:val="6"/>
        </w:rPr>
        <w:t xml:space="preserve"> </w:t>
      </w:r>
      <w:r>
        <w:t>x</w:t>
      </w:r>
      <w:r>
        <w:rPr>
          <w:spacing w:val="8"/>
        </w:rPr>
        <w:t xml:space="preserve"> </w:t>
      </w:r>
      <w:r>
        <w:t>such</w:t>
      </w:r>
      <w:r>
        <w:rPr>
          <w:spacing w:val="8"/>
        </w:rPr>
        <w:t xml:space="preserve"> </w:t>
      </w:r>
      <w:r>
        <w:t>that</w:t>
      </w:r>
      <w:r>
        <w:rPr>
          <w:spacing w:val="9"/>
        </w:rPr>
        <w:t xml:space="preserve"> </w:t>
      </w:r>
      <w:r>
        <w:t>(x</w:t>
      </w:r>
      <w:r>
        <w:rPr>
          <w:spacing w:val="8"/>
        </w:rPr>
        <w:t xml:space="preserve"> </w:t>
      </w:r>
      <w:r>
        <w:t>=</w:t>
      </w:r>
      <w:r>
        <w:rPr>
          <w:spacing w:val="8"/>
        </w:rPr>
        <w:t xml:space="preserve"> </w:t>
      </w:r>
      <w:r>
        <w:t>a</w:t>
      </w:r>
      <w:r>
        <w:rPr>
          <w:spacing w:val="9"/>
        </w:rPr>
        <w:t xml:space="preserve"> </w:t>
      </w:r>
      <w:r>
        <w:t>and</w:t>
      </w:r>
      <w:r>
        <w:rPr>
          <w:spacing w:val="8"/>
        </w:rPr>
        <w:t xml:space="preserve"> </w:t>
      </w:r>
      <w:r>
        <w:t>Fx)”</w:t>
      </w:r>
      <w:r>
        <w:rPr>
          <w:spacing w:val="8"/>
        </w:rPr>
        <w:t xml:space="preserve"> </w:t>
      </w:r>
      <w:r>
        <w:t>co-refers</w:t>
      </w:r>
      <w:r>
        <w:rPr>
          <w:spacing w:val="9"/>
        </w:rPr>
        <w:t xml:space="preserve"> </w:t>
      </w:r>
      <w:r>
        <w:t>with</w:t>
      </w:r>
      <w:r>
        <w:rPr>
          <w:spacing w:val="8"/>
        </w:rPr>
        <w:t xml:space="preserve"> </w:t>
      </w:r>
      <w:r>
        <w:t>“the</w:t>
      </w:r>
      <w:r>
        <w:rPr>
          <w:spacing w:val="8"/>
        </w:rPr>
        <w:t xml:space="preserve"> </w:t>
      </w:r>
      <w:r>
        <w:t>unique</w:t>
      </w:r>
      <w:r>
        <w:rPr>
          <w:spacing w:val="9"/>
        </w:rPr>
        <w:t xml:space="preserve"> </w:t>
      </w:r>
      <w:r>
        <w:t>thing</w:t>
      </w:r>
      <w:r>
        <w:rPr>
          <w:spacing w:val="8"/>
        </w:rPr>
        <w:t xml:space="preserve"> </w:t>
      </w:r>
      <w:r>
        <w:t>x</w:t>
      </w:r>
      <w:r>
        <w:rPr>
          <w:spacing w:val="8"/>
        </w:rPr>
        <w:t xml:space="preserve"> </w:t>
      </w:r>
      <w:r>
        <w:t>such</w:t>
      </w:r>
      <w:r>
        <w:rPr>
          <w:spacing w:val="9"/>
        </w:rPr>
        <w:t xml:space="preserve"> </w:t>
      </w:r>
      <w:r>
        <w:rPr>
          <w:spacing w:val="-4"/>
        </w:rPr>
        <w:t>that</w:t>
      </w:r>
    </w:p>
    <w:p w14:paraId="7E002DE7" w14:textId="77777777" w:rsidR="009A58DB" w:rsidRDefault="00000000">
      <w:pPr>
        <w:pStyle w:val="BodyText"/>
        <w:spacing w:line="316" w:lineRule="exact"/>
      </w:pPr>
      <w:r>
        <w:t>(x</w:t>
      </w:r>
      <w:r>
        <w:rPr>
          <w:spacing w:val="43"/>
        </w:rPr>
        <w:t xml:space="preserve"> </w:t>
      </w:r>
      <w:r>
        <w:t>=</w:t>
      </w:r>
      <w:r>
        <w:rPr>
          <w:spacing w:val="45"/>
        </w:rPr>
        <w:t xml:space="preserve"> </w:t>
      </w:r>
      <w:r>
        <w:t>a</w:t>
      </w:r>
      <w:r>
        <w:rPr>
          <w:spacing w:val="46"/>
        </w:rPr>
        <w:t xml:space="preserve"> </w:t>
      </w:r>
      <w:r>
        <w:t>and</w:t>
      </w:r>
      <w:r>
        <w:rPr>
          <w:spacing w:val="47"/>
        </w:rPr>
        <w:t xml:space="preserve"> </w:t>
      </w:r>
      <w:r>
        <w:t>x</w:t>
      </w:r>
      <w:r>
        <w:rPr>
          <w:spacing w:val="46"/>
        </w:rPr>
        <w:t xml:space="preserve"> </w:t>
      </w:r>
      <w:r>
        <w:t>≠</w:t>
      </w:r>
      <w:r>
        <w:rPr>
          <w:spacing w:val="42"/>
        </w:rPr>
        <w:t xml:space="preserve"> </w:t>
      </w:r>
      <w:r>
        <w:t>b)”,</w:t>
      </w:r>
      <w:r>
        <w:rPr>
          <w:spacing w:val="45"/>
        </w:rPr>
        <w:t xml:space="preserve"> </w:t>
      </w:r>
      <w:r>
        <w:t>since</w:t>
      </w:r>
      <w:r>
        <w:rPr>
          <w:spacing w:val="47"/>
        </w:rPr>
        <w:t xml:space="preserve"> </w:t>
      </w:r>
      <w:r>
        <w:t>both</w:t>
      </w:r>
      <w:r>
        <w:rPr>
          <w:spacing w:val="46"/>
        </w:rPr>
        <w:t xml:space="preserve"> </w:t>
      </w:r>
      <w:r>
        <w:t>expression</w:t>
      </w:r>
      <w:r>
        <w:rPr>
          <w:spacing w:val="46"/>
        </w:rPr>
        <w:t xml:space="preserve"> </w:t>
      </w:r>
      <w:r>
        <w:t>refer</w:t>
      </w:r>
      <w:r>
        <w:rPr>
          <w:spacing w:val="45"/>
        </w:rPr>
        <w:t xml:space="preserve"> </w:t>
      </w:r>
      <w:r>
        <w:t>to</w:t>
      </w:r>
      <w:r>
        <w:rPr>
          <w:spacing w:val="46"/>
        </w:rPr>
        <w:t xml:space="preserve"> </w:t>
      </w:r>
      <w:r>
        <w:t>a.</w:t>
      </w:r>
      <w:r>
        <w:rPr>
          <w:spacing w:val="46"/>
        </w:rPr>
        <w:t xml:space="preserve"> </w:t>
      </w:r>
      <w:r>
        <w:t>Therefore,</w:t>
      </w:r>
      <w:r>
        <w:rPr>
          <w:spacing w:val="46"/>
        </w:rPr>
        <w:t xml:space="preserve"> </w:t>
      </w:r>
      <w:r>
        <w:t>5</w:t>
      </w:r>
      <w:r>
        <w:rPr>
          <w:spacing w:val="46"/>
        </w:rPr>
        <w:t xml:space="preserve"> </w:t>
      </w:r>
      <w:r>
        <w:t>is</w:t>
      </w:r>
      <w:r>
        <w:rPr>
          <w:spacing w:val="47"/>
        </w:rPr>
        <w:t xml:space="preserve"> </w:t>
      </w:r>
      <w:r>
        <w:rPr>
          <w:spacing w:val="-4"/>
        </w:rPr>
        <w:t>what</w:t>
      </w:r>
    </w:p>
    <w:p w14:paraId="7E002DE8" w14:textId="77777777" w:rsidR="009A58DB" w:rsidRDefault="00000000">
      <w:pPr>
        <w:pStyle w:val="BodyText"/>
        <w:spacing w:before="15" w:line="249" w:lineRule="auto"/>
        <w:ind w:right="359"/>
      </w:pPr>
      <w:r>
        <w:t>results when the definite description in 4 is replaced with a co-referring definite description. Therefore, 4 and 5 refer to the same fact. Since they refer, respectively, to F</w:t>
      </w:r>
      <w:r>
        <w:rPr>
          <w:position w:val="-7"/>
          <w:sz w:val="22"/>
        </w:rPr>
        <w:t xml:space="preserve">1 </w:t>
      </w:r>
      <w:r>
        <w:t>and F</w:t>
      </w:r>
      <w:r>
        <w:rPr>
          <w:position w:val="-7"/>
          <w:sz w:val="22"/>
        </w:rPr>
        <w:t>2</w:t>
      </w:r>
      <w:r>
        <w:t>, it follows that F</w:t>
      </w:r>
      <w:r>
        <w:rPr>
          <w:position w:val="-7"/>
          <w:sz w:val="22"/>
        </w:rPr>
        <w:t xml:space="preserve">1 </w:t>
      </w:r>
      <w:r>
        <w:t>and F</w:t>
      </w:r>
      <w:r>
        <w:rPr>
          <w:position w:val="-7"/>
          <w:sz w:val="22"/>
        </w:rPr>
        <w:t>2</w:t>
      </w:r>
      <w:r>
        <w:rPr>
          <w:spacing w:val="40"/>
          <w:position w:val="-7"/>
          <w:sz w:val="22"/>
        </w:rPr>
        <w:t xml:space="preserve"> </w:t>
      </w:r>
      <w:r>
        <w:t>are the same fact. “The unique thing x such that (x = b and x ≠ a)” co-refers with “the unique thing x such that (x = b and Gx),” since both expressions refer to b.</w:t>
      </w:r>
      <w:r>
        <w:rPr>
          <w:spacing w:val="40"/>
        </w:rPr>
        <w:t xml:space="preserve"> </w:t>
      </w:r>
      <w:r>
        <w:t>Therefore,</w:t>
      </w:r>
      <w:r>
        <w:rPr>
          <w:spacing w:val="-3"/>
        </w:rPr>
        <w:t xml:space="preserve"> </w:t>
      </w:r>
      <w:r>
        <w:t>7</w:t>
      </w:r>
      <w:r>
        <w:rPr>
          <w:spacing w:val="-2"/>
        </w:rPr>
        <w:t xml:space="preserve"> </w:t>
      </w:r>
      <w:r>
        <w:t>is</w:t>
      </w:r>
      <w:r>
        <w:rPr>
          <w:spacing w:val="-2"/>
        </w:rPr>
        <w:t xml:space="preserve"> </w:t>
      </w:r>
      <w:r>
        <w:t>what</w:t>
      </w:r>
      <w:r>
        <w:rPr>
          <w:spacing w:val="-2"/>
        </w:rPr>
        <w:t xml:space="preserve"> </w:t>
      </w:r>
      <w:r>
        <w:t>results</w:t>
      </w:r>
      <w:r>
        <w:rPr>
          <w:spacing w:val="-2"/>
        </w:rPr>
        <w:t xml:space="preserve"> </w:t>
      </w:r>
      <w:r>
        <w:t>when</w:t>
      </w:r>
      <w:r>
        <w:rPr>
          <w:spacing w:val="-2"/>
        </w:rPr>
        <w:t xml:space="preserve"> </w:t>
      </w:r>
      <w:r>
        <w:t>the</w:t>
      </w:r>
      <w:r>
        <w:rPr>
          <w:spacing w:val="-2"/>
        </w:rPr>
        <w:t xml:space="preserve"> </w:t>
      </w:r>
      <w:r>
        <w:t>definite</w:t>
      </w:r>
      <w:r>
        <w:rPr>
          <w:spacing w:val="-2"/>
        </w:rPr>
        <w:t xml:space="preserve"> </w:t>
      </w:r>
      <w:r>
        <w:t>description</w:t>
      </w:r>
      <w:r>
        <w:rPr>
          <w:spacing w:val="-2"/>
        </w:rPr>
        <w:t xml:space="preserve"> </w:t>
      </w:r>
      <w:r>
        <w:t>in</w:t>
      </w:r>
      <w:r>
        <w:rPr>
          <w:spacing w:val="-2"/>
        </w:rPr>
        <w:t xml:space="preserve"> </w:t>
      </w:r>
      <w:r>
        <w:t>6</w:t>
      </w:r>
      <w:r>
        <w:rPr>
          <w:spacing w:val="-2"/>
        </w:rPr>
        <w:t xml:space="preserve"> </w:t>
      </w:r>
      <w:r>
        <w:t>is</w:t>
      </w:r>
      <w:r>
        <w:rPr>
          <w:spacing w:val="-2"/>
        </w:rPr>
        <w:t xml:space="preserve"> </w:t>
      </w:r>
      <w:r>
        <w:t>replaced</w:t>
      </w:r>
      <w:r>
        <w:rPr>
          <w:spacing w:val="-2"/>
        </w:rPr>
        <w:t xml:space="preserve"> </w:t>
      </w:r>
      <w:r>
        <w:t>with a co-referring definite description. Therefore, 6 and 7 refer to the same fact. Since they refer, respectively, to F</w:t>
      </w:r>
      <w:r>
        <w:rPr>
          <w:position w:val="-7"/>
          <w:sz w:val="22"/>
        </w:rPr>
        <w:t xml:space="preserve">3 </w:t>
      </w:r>
      <w:r>
        <w:t>and F</w:t>
      </w:r>
      <w:r>
        <w:rPr>
          <w:position w:val="-7"/>
          <w:sz w:val="22"/>
        </w:rPr>
        <w:t>1</w:t>
      </w:r>
      <w:r>
        <w:t>, it follows that F</w:t>
      </w:r>
      <w:r>
        <w:rPr>
          <w:position w:val="-7"/>
          <w:sz w:val="22"/>
        </w:rPr>
        <w:t xml:space="preserve">3 </w:t>
      </w:r>
      <w:r>
        <w:t>and F</w:t>
      </w:r>
      <w:r>
        <w:rPr>
          <w:position w:val="-7"/>
          <w:sz w:val="22"/>
        </w:rPr>
        <w:t>1</w:t>
      </w:r>
      <w:r>
        <w:rPr>
          <w:spacing w:val="40"/>
          <w:position w:val="-7"/>
          <w:sz w:val="22"/>
        </w:rPr>
        <w:t xml:space="preserve"> </w:t>
      </w:r>
      <w:r>
        <w:t>are the same</w:t>
      </w:r>
      <w:r>
        <w:rPr>
          <w:spacing w:val="32"/>
        </w:rPr>
        <w:t xml:space="preserve"> </w:t>
      </w:r>
      <w:r>
        <w:t>fact.</w:t>
      </w:r>
      <w:r>
        <w:rPr>
          <w:spacing w:val="32"/>
        </w:rPr>
        <w:t xml:space="preserve"> </w:t>
      </w:r>
      <w:r>
        <w:t>Now,</w:t>
      </w:r>
      <w:r>
        <w:rPr>
          <w:spacing w:val="32"/>
        </w:rPr>
        <w:t xml:space="preserve"> </w:t>
      </w:r>
      <w:r>
        <w:t>if</w:t>
      </w:r>
      <w:r>
        <w:rPr>
          <w:spacing w:val="32"/>
        </w:rPr>
        <w:t xml:space="preserve"> </w:t>
      </w:r>
      <w:r>
        <w:t>G</w:t>
      </w:r>
      <w:r>
        <w:rPr>
          <w:vertAlign w:val="subscript"/>
        </w:rPr>
        <w:t>4</w:t>
      </w:r>
      <w:r>
        <w:rPr>
          <w:spacing w:val="34"/>
        </w:rPr>
        <w:t xml:space="preserve"> </w:t>
      </w:r>
      <w:r>
        <w:t>is</w:t>
      </w:r>
      <w:r>
        <w:rPr>
          <w:spacing w:val="34"/>
        </w:rPr>
        <w:t xml:space="preserve"> </w:t>
      </w:r>
      <w:r>
        <w:t>wrong,</w:t>
      </w:r>
      <w:r>
        <w:rPr>
          <w:spacing w:val="34"/>
        </w:rPr>
        <w:t xml:space="preserve"> </w:t>
      </w:r>
      <w:r>
        <w:t>then</w:t>
      </w:r>
      <w:r>
        <w:rPr>
          <w:spacing w:val="34"/>
        </w:rPr>
        <w:t xml:space="preserve"> </w:t>
      </w:r>
      <w:r>
        <w:t>definite</w:t>
      </w:r>
      <w:r>
        <w:rPr>
          <w:spacing w:val="34"/>
        </w:rPr>
        <w:t xml:space="preserve"> </w:t>
      </w:r>
      <w:r>
        <w:t>descriptions</w:t>
      </w:r>
      <w:r>
        <w:rPr>
          <w:spacing w:val="34"/>
        </w:rPr>
        <w:t xml:space="preserve"> </w:t>
      </w:r>
      <w:r>
        <w:t>are</w:t>
      </w:r>
      <w:r>
        <w:rPr>
          <w:spacing w:val="34"/>
        </w:rPr>
        <w:t xml:space="preserve"> </w:t>
      </w:r>
      <w:r>
        <w:t>not</w:t>
      </w:r>
      <w:r>
        <w:rPr>
          <w:spacing w:val="34"/>
        </w:rPr>
        <w:t xml:space="preserve"> </w:t>
      </w:r>
      <w:r>
        <w:t>referring</w:t>
      </w:r>
    </w:p>
    <w:p w14:paraId="7E002DE9" w14:textId="77777777" w:rsidR="009A58DB" w:rsidRDefault="00000000">
      <w:pPr>
        <w:pStyle w:val="BodyText"/>
        <w:spacing w:before="66" w:line="249" w:lineRule="auto"/>
        <w:ind w:right="360"/>
      </w:pPr>
      <w:r>
        <w:t>terms, which case 5 is not what results when the definite descriptions in 4 is replaced with a co-referring expression, and 7 is what not results when the definite description in 6 is replaced with a co-referring expression. But assuming</w:t>
      </w:r>
      <w:r>
        <w:rPr>
          <w:spacing w:val="-1"/>
        </w:rPr>
        <w:t xml:space="preserve"> </w:t>
      </w:r>
      <w:r>
        <w:t>that</w:t>
      </w:r>
      <w:r>
        <w:rPr>
          <w:spacing w:val="-1"/>
        </w:rPr>
        <w:t xml:space="preserve"> </w:t>
      </w:r>
      <w:r>
        <w:t>G4</w:t>
      </w:r>
      <w:r>
        <w:rPr>
          <w:spacing w:val="-1"/>
        </w:rPr>
        <w:t xml:space="preserve"> </w:t>
      </w:r>
      <w:r>
        <w:t>is</w:t>
      </w:r>
      <w:r>
        <w:rPr>
          <w:spacing w:val="-1"/>
        </w:rPr>
        <w:t xml:space="preserve"> </w:t>
      </w:r>
      <w:r>
        <w:t>right,</w:t>
      </w:r>
      <w:r>
        <w:rPr>
          <w:spacing w:val="-1"/>
        </w:rPr>
        <w:t xml:space="preserve"> </w:t>
      </w:r>
      <w:r>
        <w:t>we’ve</w:t>
      </w:r>
      <w:r>
        <w:rPr>
          <w:spacing w:val="-1"/>
        </w:rPr>
        <w:t xml:space="preserve"> </w:t>
      </w:r>
      <w:r>
        <w:t>established</w:t>
      </w:r>
      <w:r>
        <w:rPr>
          <w:spacing w:val="-1"/>
        </w:rPr>
        <w:t xml:space="preserve"> </w:t>
      </w:r>
      <w:r>
        <w:t>that</w:t>
      </w:r>
      <w:r>
        <w:rPr>
          <w:spacing w:val="-1"/>
        </w:rPr>
        <w:t xml:space="preserve"> </w:t>
      </w:r>
      <w:r>
        <w:t>F</w:t>
      </w:r>
      <w:r>
        <w:rPr>
          <w:position w:val="-7"/>
          <w:sz w:val="22"/>
        </w:rPr>
        <w:t xml:space="preserve">1 </w:t>
      </w:r>
      <w:r>
        <w:t>=</w:t>
      </w:r>
      <w:r>
        <w:rPr>
          <w:spacing w:val="-3"/>
        </w:rPr>
        <w:t xml:space="preserve"> </w:t>
      </w:r>
      <w:r>
        <w:t>F</w:t>
      </w:r>
      <w:r>
        <w:rPr>
          <w:position w:val="-7"/>
          <w:sz w:val="22"/>
        </w:rPr>
        <w:t>2</w:t>
      </w:r>
      <w:r>
        <w:t>.</w:t>
      </w:r>
      <w:r>
        <w:rPr>
          <w:spacing w:val="-2"/>
        </w:rPr>
        <w:t xml:space="preserve"> </w:t>
      </w:r>
      <w:r>
        <w:t>Therefore</w:t>
      </w:r>
      <w:r>
        <w:rPr>
          <w:spacing w:val="-3"/>
        </w:rPr>
        <w:t xml:space="preserve"> </w:t>
      </w:r>
      <w:r>
        <w:t>F</w:t>
      </w:r>
      <w:r>
        <w:rPr>
          <w:position w:val="-7"/>
          <w:sz w:val="22"/>
        </w:rPr>
        <w:t>1</w:t>
      </w:r>
      <w:r>
        <w:rPr>
          <w:spacing w:val="25"/>
          <w:position w:val="-7"/>
          <w:sz w:val="22"/>
        </w:rPr>
        <w:t xml:space="preserve"> </w:t>
      </w:r>
      <w:r>
        <w:t>= F</w:t>
      </w:r>
      <w:r>
        <w:rPr>
          <w:position w:val="-7"/>
          <w:sz w:val="22"/>
        </w:rPr>
        <w:t>2</w:t>
      </w:r>
      <w:r>
        <w:rPr>
          <w:spacing w:val="33"/>
          <w:position w:val="-7"/>
          <w:sz w:val="22"/>
        </w:rPr>
        <w:t xml:space="preserve"> </w:t>
      </w:r>
      <w:r>
        <w:t>= F</w:t>
      </w:r>
      <w:r>
        <w:rPr>
          <w:vertAlign w:val="subscript"/>
        </w:rPr>
        <w:t>3</w:t>
      </w:r>
      <w:r>
        <w:t>,</w:t>
      </w:r>
      <w:r>
        <w:rPr>
          <w:spacing w:val="80"/>
        </w:rPr>
        <w:t xml:space="preserve"> </w:t>
      </w:r>
      <w:r>
        <w:t>and</w:t>
      </w:r>
      <w:r>
        <w:rPr>
          <w:spacing w:val="80"/>
        </w:rPr>
        <w:t xml:space="preserve"> </w:t>
      </w:r>
      <w:r>
        <w:t>“Fa”</w:t>
      </w:r>
      <w:r>
        <w:rPr>
          <w:spacing w:val="80"/>
        </w:rPr>
        <w:t xml:space="preserve"> </w:t>
      </w:r>
      <w:r>
        <w:t>therefore</w:t>
      </w:r>
      <w:r>
        <w:rPr>
          <w:spacing w:val="80"/>
        </w:rPr>
        <w:t xml:space="preserve"> </w:t>
      </w:r>
      <w:r>
        <w:t>co-refers</w:t>
      </w:r>
      <w:r>
        <w:rPr>
          <w:spacing w:val="80"/>
        </w:rPr>
        <w:t xml:space="preserve"> </w:t>
      </w:r>
      <w:r>
        <w:t>with</w:t>
      </w:r>
      <w:r>
        <w:rPr>
          <w:spacing w:val="80"/>
        </w:rPr>
        <w:t xml:space="preserve"> </w:t>
      </w:r>
      <w:r>
        <w:t>“Gb”</w:t>
      </w:r>
      <w:r>
        <w:rPr>
          <w:spacing w:val="80"/>
        </w:rPr>
        <w:t xml:space="preserve"> </w:t>
      </w:r>
      <w:r>
        <w:t>and</w:t>
      </w:r>
      <w:r>
        <w:rPr>
          <w:spacing w:val="80"/>
        </w:rPr>
        <w:t xml:space="preserve"> </w:t>
      </w:r>
      <w:r>
        <w:t>also</w:t>
      </w:r>
      <w:r>
        <w:rPr>
          <w:spacing w:val="80"/>
        </w:rPr>
        <w:t xml:space="preserve"> </w:t>
      </w:r>
      <w:r>
        <w:t>with</w:t>
      </w:r>
      <w:r>
        <w:rPr>
          <w:spacing w:val="80"/>
        </w:rPr>
        <w:t xml:space="preserve"> </w:t>
      </w:r>
      <w:r>
        <w:t>“a</w:t>
      </w:r>
      <w:r>
        <w:rPr>
          <w:spacing w:val="80"/>
        </w:rPr>
        <w:t xml:space="preserve"> </w:t>
      </w:r>
      <w:r>
        <w:t>≠</w:t>
      </w:r>
      <w:r>
        <w:rPr>
          <w:spacing w:val="73"/>
        </w:rPr>
        <w:t xml:space="preserve"> </w:t>
      </w:r>
      <w:r>
        <w:t>b.”</w:t>
      </w:r>
      <w:r>
        <w:rPr>
          <w:spacing w:val="80"/>
        </w:rPr>
        <w:t xml:space="preserve"> </w:t>
      </w:r>
      <w:r>
        <w:t>So,</w:t>
      </w:r>
    </w:p>
    <w:p w14:paraId="7E002DEA" w14:textId="77777777" w:rsidR="009A58DB" w:rsidRDefault="00000000">
      <w:pPr>
        <w:pStyle w:val="BodyText"/>
        <w:spacing w:before="63" w:line="249" w:lineRule="auto"/>
        <w:ind w:right="359"/>
      </w:pPr>
      <w:r>
        <w:t>assuming that definite descriptions are what they appear to be, viz. referring terms, it follows there is only one fact.</w:t>
      </w:r>
    </w:p>
    <w:p w14:paraId="7E002DEB" w14:textId="77777777" w:rsidR="009A58DB" w:rsidRDefault="00000000">
      <w:pPr>
        <w:pStyle w:val="BodyText"/>
        <w:spacing w:before="3"/>
        <w:ind w:left="720"/>
      </w:pPr>
      <w:r>
        <w:t>As</w:t>
      </w:r>
      <w:r>
        <w:rPr>
          <w:spacing w:val="14"/>
        </w:rPr>
        <w:t xml:space="preserve"> </w:t>
      </w:r>
      <w:r>
        <w:t>Neale</w:t>
      </w:r>
      <w:r>
        <w:rPr>
          <w:spacing w:val="17"/>
        </w:rPr>
        <w:t xml:space="preserve"> </w:t>
      </w:r>
      <w:r>
        <w:t>points</w:t>
      </w:r>
      <w:r>
        <w:rPr>
          <w:spacing w:val="18"/>
        </w:rPr>
        <w:t xml:space="preserve"> </w:t>
      </w:r>
      <w:r>
        <w:t>out,</w:t>
      </w:r>
      <w:r>
        <w:rPr>
          <w:spacing w:val="16"/>
        </w:rPr>
        <w:t xml:space="preserve"> </w:t>
      </w:r>
      <w:r>
        <w:t>this</w:t>
      </w:r>
      <w:r>
        <w:rPr>
          <w:spacing w:val="17"/>
        </w:rPr>
        <w:t xml:space="preserve"> </w:t>
      </w:r>
      <w:r>
        <w:t>result,</w:t>
      </w:r>
      <w:r>
        <w:rPr>
          <w:spacing w:val="18"/>
        </w:rPr>
        <w:t xml:space="preserve"> </w:t>
      </w:r>
      <w:r>
        <w:t>if</w:t>
      </w:r>
      <w:r>
        <w:rPr>
          <w:spacing w:val="17"/>
        </w:rPr>
        <w:t xml:space="preserve"> </w:t>
      </w:r>
      <w:r>
        <w:t>it</w:t>
      </w:r>
      <w:r>
        <w:rPr>
          <w:spacing w:val="16"/>
        </w:rPr>
        <w:t xml:space="preserve"> </w:t>
      </w:r>
      <w:r>
        <w:t>is</w:t>
      </w:r>
      <w:r>
        <w:rPr>
          <w:spacing w:val="18"/>
        </w:rPr>
        <w:t xml:space="preserve"> </w:t>
      </w:r>
      <w:r>
        <w:t>in</w:t>
      </w:r>
      <w:r>
        <w:rPr>
          <w:spacing w:val="17"/>
        </w:rPr>
        <w:t xml:space="preserve"> </w:t>
      </w:r>
      <w:r>
        <w:t>fact</w:t>
      </w:r>
      <w:r>
        <w:rPr>
          <w:spacing w:val="17"/>
        </w:rPr>
        <w:t xml:space="preserve"> </w:t>
      </w:r>
      <w:r>
        <w:t>true,</w:t>
      </w:r>
      <w:r>
        <w:rPr>
          <w:spacing w:val="17"/>
        </w:rPr>
        <w:t xml:space="preserve"> </w:t>
      </w:r>
      <w:r>
        <w:t>is</w:t>
      </w:r>
      <w:r>
        <w:rPr>
          <w:spacing w:val="17"/>
        </w:rPr>
        <w:t xml:space="preserve"> </w:t>
      </w:r>
      <w:r>
        <w:t>astonishing.</w:t>
      </w:r>
      <w:r>
        <w:rPr>
          <w:spacing w:val="17"/>
        </w:rPr>
        <w:t xml:space="preserve"> </w:t>
      </w:r>
      <w:r>
        <w:t>But,</w:t>
      </w:r>
      <w:r>
        <w:rPr>
          <w:spacing w:val="18"/>
        </w:rPr>
        <w:t xml:space="preserve"> </w:t>
      </w:r>
      <w:r>
        <w:rPr>
          <w:spacing w:val="-5"/>
        </w:rPr>
        <w:t>as</w:t>
      </w:r>
    </w:p>
    <w:p w14:paraId="7E002DEC" w14:textId="77777777" w:rsidR="009A58DB" w:rsidRDefault="009A58DB">
      <w:pPr>
        <w:pStyle w:val="BodyText"/>
        <w:sectPr w:rsidR="009A58DB">
          <w:pgSz w:w="12240" w:h="15840"/>
          <w:pgMar w:top="1380" w:right="1080" w:bottom="280" w:left="1080" w:header="720" w:footer="720" w:gutter="0"/>
          <w:cols w:space="720"/>
        </w:sectPr>
      </w:pPr>
    </w:p>
    <w:p w14:paraId="7E002DED" w14:textId="77777777" w:rsidR="009A58DB" w:rsidRDefault="00000000">
      <w:pPr>
        <w:pStyle w:val="BodyText"/>
        <w:spacing w:before="65" w:line="271" w:lineRule="auto"/>
        <w:ind w:right="361"/>
      </w:pPr>
      <w:r>
        <w:t>Neale then points out, G</w:t>
      </w:r>
      <w:r>
        <w:rPr>
          <w:vertAlign w:val="subscript"/>
        </w:rPr>
        <w:t>2</w:t>
      </w:r>
      <w:r>
        <w:t xml:space="preserve"> allows us to go further. Let S and S* be </w:t>
      </w:r>
      <w:r>
        <w:rPr>
          <w:i/>
        </w:rPr>
        <w:t xml:space="preserve">any </w:t>
      </w:r>
      <w:r>
        <w:t>two distinct statements that are true. (So S and S* needn’t have subject-predicate form.)</w:t>
      </w:r>
      <w:r>
        <w:rPr>
          <w:spacing w:val="28"/>
        </w:rPr>
        <w:t xml:space="preserve"> </w:t>
      </w:r>
      <w:r>
        <w:t>According</w:t>
      </w:r>
      <w:r>
        <w:rPr>
          <w:spacing w:val="29"/>
        </w:rPr>
        <w:t xml:space="preserve"> </w:t>
      </w:r>
      <w:r>
        <w:t>to</w:t>
      </w:r>
      <w:r>
        <w:rPr>
          <w:spacing w:val="29"/>
        </w:rPr>
        <w:t xml:space="preserve"> </w:t>
      </w:r>
      <w:r>
        <w:t>G</w:t>
      </w:r>
      <w:r>
        <w:rPr>
          <w:vertAlign w:val="subscript"/>
        </w:rPr>
        <w:t>2</w:t>
      </w:r>
      <w:r>
        <w:t>,</w:t>
      </w:r>
      <w:r>
        <w:rPr>
          <w:spacing w:val="29"/>
        </w:rPr>
        <w:t xml:space="preserve"> </w:t>
      </w:r>
      <w:r>
        <w:t>S</w:t>
      </w:r>
      <w:r>
        <w:rPr>
          <w:spacing w:val="28"/>
        </w:rPr>
        <w:t xml:space="preserve"> </w:t>
      </w:r>
      <w:r>
        <w:t>and</w:t>
      </w:r>
      <w:r>
        <w:rPr>
          <w:spacing w:val="29"/>
        </w:rPr>
        <w:t xml:space="preserve"> </w:t>
      </w:r>
      <w:r>
        <w:t>be</w:t>
      </w:r>
      <w:r>
        <w:rPr>
          <w:spacing w:val="28"/>
        </w:rPr>
        <w:t xml:space="preserve"> </w:t>
      </w:r>
      <w:r>
        <w:t>put</w:t>
      </w:r>
      <w:r>
        <w:rPr>
          <w:spacing w:val="28"/>
        </w:rPr>
        <w:t xml:space="preserve"> </w:t>
      </w:r>
      <w:r>
        <w:t>in</w:t>
      </w:r>
      <w:r>
        <w:rPr>
          <w:spacing w:val="29"/>
        </w:rPr>
        <w:t xml:space="preserve"> </w:t>
      </w:r>
      <w:r>
        <w:t>subject-predicate</w:t>
      </w:r>
      <w:r>
        <w:rPr>
          <w:spacing w:val="28"/>
        </w:rPr>
        <w:t xml:space="preserve"> </w:t>
      </w:r>
      <w:r>
        <w:t>form,</w:t>
      </w:r>
      <w:r>
        <w:rPr>
          <w:spacing w:val="29"/>
        </w:rPr>
        <w:t xml:space="preserve"> </w:t>
      </w:r>
      <w:r>
        <w:t>and</w:t>
      </w:r>
      <w:r>
        <w:rPr>
          <w:spacing w:val="29"/>
        </w:rPr>
        <w:t xml:space="preserve"> </w:t>
      </w:r>
      <w:r>
        <w:t>so</w:t>
      </w:r>
      <w:r>
        <w:rPr>
          <w:spacing w:val="29"/>
        </w:rPr>
        <w:t xml:space="preserve"> </w:t>
      </w:r>
      <w:r>
        <w:t>can</w:t>
      </w:r>
    </w:p>
    <w:p w14:paraId="7E002DEE" w14:textId="77777777" w:rsidR="009A58DB" w:rsidRDefault="00000000">
      <w:pPr>
        <w:pStyle w:val="BodyText"/>
        <w:spacing w:before="30" w:line="249" w:lineRule="auto"/>
        <w:ind w:right="358"/>
      </w:pPr>
      <w:r>
        <w:t>S*. Given any existing individual a, S can be rendered as “a is an x such that S”; and given any existing individual b, S* can be rendered as “b is an x such that S*.” And once that is granted, it follows, by the foregoing argument, that S</w:t>
      </w:r>
      <w:r>
        <w:rPr>
          <w:spacing w:val="24"/>
        </w:rPr>
        <w:t xml:space="preserve"> </w:t>
      </w:r>
      <w:r>
        <w:t>and</w:t>
      </w:r>
      <w:r>
        <w:rPr>
          <w:spacing w:val="24"/>
        </w:rPr>
        <w:t xml:space="preserve"> </w:t>
      </w:r>
      <w:r>
        <w:t>S*</w:t>
      </w:r>
      <w:r>
        <w:rPr>
          <w:spacing w:val="24"/>
        </w:rPr>
        <w:t xml:space="preserve"> </w:t>
      </w:r>
      <w:r>
        <w:t>stand</w:t>
      </w:r>
      <w:r>
        <w:rPr>
          <w:spacing w:val="24"/>
        </w:rPr>
        <w:t xml:space="preserve"> </w:t>
      </w:r>
      <w:r>
        <w:t>for</w:t>
      </w:r>
      <w:r>
        <w:rPr>
          <w:spacing w:val="24"/>
        </w:rPr>
        <w:t xml:space="preserve"> </w:t>
      </w:r>
      <w:r>
        <w:t>the</w:t>
      </w:r>
      <w:r>
        <w:rPr>
          <w:spacing w:val="24"/>
        </w:rPr>
        <w:t xml:space="preserve"> </w:t>
      </w:r>
      <w:r>
        <w:t>same</w:t>
      </w:r>
      <w:r>
        <w:rPr>
          <w:spacing w:val="24"/>
        </w:rPr>
        <w:t xml:space="preserve"> </w:t>
      </w:r>
      <w:r>
        <w:t>fact.</w:t>
      </w:r>
      <w:r>
        <w:rPr>
          <w:spacing w:val="24"/>
        </w:rPr>
        <w:t xml:space="preserve"> </w:t>
      </w:r>
      <w:r>
        <w:t>It</w:t>
      </w:r>
      <w:r>
        <w:rPr>
          <w:spacing w:val="24"/>
        </w:rPr>
        <w:t xml:space="preserve"> </w:t>
      </w:r>
      <w:r>
        <w:t>follows</w:t>
      </w:r>
      <w:r>
        <w:rPr>
          <w:spacing w:val="24"/>
        </w:rPr>
        <w:t xml:space="preserve"> </w:t>
      </w:r>
      <w:r>
        <w:t>that,</w:t>
      </w:r>
      <w:r>
        <w:rPr>
          <w:spacing w:val="24"/>
        </w:rPr>
        <w:t xml:space="preserve"> </w:t>
      </w:r>
      <w:r>
        <w:t>given</w:t>
      </w:r>
      <w:r>
        <w:rPr>
          <w:spacing w:val="24"/>
        </w:rPr>
        <w:t xml:space="preserve"> </w:t>
      </w:r>
      <w:r>
        <w:t>G</w:t>
      </w:r>
      <w:r>
        <w:rPr>
          <w:vertAlign w:val="subscript"/>
        </w:rPr>
        <w:t>1</w:t>
      </w:r>
      <w:r>
        <w:t>-G</w:t>
      </w:r>
      <w:r>
        <w:rPr>
          <w:vertAlign w:val="subscript"/>
        </w:rPr>
        <w:t>4</w:t>
      </w:r>
      <w:r>
        <w:t>,</w:t>
      </w:r>
      <w:r>
        <w:rPr>
          <w:spacing w:val="25"/>
        </w:rPr>
        <w:t xml:space="preserve"> </w:t>
      </w:r>
      <w:r>
        <w:t>any</w:t>
      </w:r>
      <w:r>
        <w:rPr>
          <w:spacing w:val="26"/>
        </w:rPr>
        <w:t xml:space="preserve"> </w:t>
      </w:r>
      <w:r>
        <w:t>two</w:t>
      </w:r>
      <w:r>
        <w:rPr>
          <w:spacing w:val="25"/>
        </w:rPr>
        <w:t xml:space="preserve"> </w:t>
      </w:r>
      <w:r>
        <w:t>true</w:t>
      </w:r>
    </w:p>
    <w:p w14:paraId="7E002DEF" w14:textId="77777777" w:rsidR="009A58DB" w:rsidRDefault="00000000">
      <w:pPr>
        <w:pStyle w:val="BodyText"/>
        <w:spacing w:before="65"/>
      </w:pPr>
      <w:r>
        <w:t>sentences</w:t>
      </w:r>
      <w:r>
        <w:rPr>
          <w:spacing w:val="-4"/>
        </w:rPr>
        <w:t xml:space="preserve"> </w:t>
      </w:r>
      <w:r>
        <w:t>stand</w:t>
      </w:r>
      <w:r>
        <w:rPr>
          <w:spacing w:val="-3"/>
        </w:rPr>
        <w:t xml:space="preserve"> </w:t>
      </w:r>
      <w:r>
        <w:t>for</w:t>
      </w:r>
      <w:r>
        <w:rPr>
          <w:spacing w:val="-4"/>
        </w:rPr>
        <w:t xml:space="preserve"> </w:t>
      </w:r>
      <w:r>
        <w:t>the</w:t>
      </w:r>
      <w:r>
        <w:rPr>
          <w:spacing w:val="-4"/>
        </w:rPr>
        <w:t xml:space="preserve"> </w:t>
      </w:r>
      <w:r>
        <w:t>same</w:t>
      </w:r>
      <w:r>
        <w:rPr>
          <w:spacing w:val="-3"/>
        </w:rPr>
        <w:t xml:space="preserve"> </w:t>
      </w:r>
      <w:r>
        <w:rPr>
          <w:spacing w:val="-2"/>
        </w:rPr>
        <w:t>fact.</w:t>
      </w:r>
    </w:p>
    <w:p w14:paraId="7E002DF0" w14:textId="77777777" w:rsidR="009A58DB" w:rsidRDefault="00000000">
      <w:pPr>
        <w:pStyle w:val="BodyText"/>
        <w:spacing w:before="15" w:line="249" w:lineRule="auto"/>
        <w:ind w:right="366" w:firstLine="360"/>
      </w:pPr>
      <w:r>
        <w:rPr>
          <w:i/>
        </w:rPr>
        <w:t xml:space="preserve">Evaluating Neale’s argument: </w:t>
      </w:r>
      <w:r>
        <w:t xml:space="preserve">The problems with this argument are very similar to the problems with Davidson’s. Consider line 4 of Neale’s </w:t>
      </w:r>
      <w:r>
        <w:rPr>
          <w:spacing w:val="-2"/>
        </w:rPr>
        <w:t>argument:</w:t>
      </w:r>
    </w:p>
    <w:p w14:paraId="7E002DF1" w14:textId="77777777" w:rsidR="009A58DB" w:rsidRDefault="009A58DB">
      <w:pPr>
        <w:pStyle w:val="BodyText"/>
        <w:spacing w:before="19"/>
        <w:ind w:left="0"/>
        <w:jc w:val="left"/>
      </w:pPr>
    </w:p>
    <w:p w14:paraId="7E002DF2" w14:textId="77777777" w:rsidR="009A58DB" w:rsidRDefault="00000000">
      <w:pPr>
        <w:pStyle w:val="ListParagraph"/>
        <w:numPr>
          <w:ilvl w:val="0"/>
          <w:numId w:val="71"/>
        </w:numPr>
        <w:tabs>
          <w:tab w:val="left" w:pos="660"/>
        </w:tabs>
        <w:ind w:left="660" w:hanging="300"/>
        <w:rPr>
          <w:sz w:val="30"/>
        </w:rPr>
      </w:pPr>
      <w:r>
        <w:rPr>
          <w:sz w:val="30"/>
        </w:rPr>
        <w:t>a</w:t>
      </w:r>
      <w:r>
        <w:rPr>
          <w:spacing w:val="-2"/>
          <w:sz w:val="30"/>
        </w:rPr>
        <w:t xml:space="preserve"> </w:t>
      </w:r>
      <w:r>
        <w:rPr>
          <w:sz w:val="30"/>
        </w:rPr>
        <w:t>=</w:t>
      </w:r>
      <w:r>
        <w:rPr>
          <w:spacing w:val="-2"/>
          <w:sz w:val="30"/>
        </w:rPr>
        <w:t xml:space="preserve"> </w:t>
      </w:r>
      <w:r>
        <w:rPr>
          <w:sz w:val="30"/>
        </w:rPr>
        <w:t>the</w:t>
      </w:r>
      <w:r>
        <w:rPr>
          <w:spacing w:val="-2"/>
          <w:sz w:val="30"/>
        </w:rPr>
        <w:t xml:space="preserve"> </w:t>
      </w:r>
      <w:r>
        <w:rPr>
          <w:sz w:val="30"/>
        </w:rPr>
        <w:t>unique</w:t>
      </w:r>
      <w:r>
        <w:rPr>
          <w:spacing w:val="-2"/>
          <w:sz w:val="30"/>
        </w:rPr>
        <w:t xml:space="preserve"> </w:t>
      </w:r>
      <w:r>
        <w:rPr>
          <w:sz w:val="30"/>
        </w:rPr>
        <w:t>thing</w:t>
      </w:r>
      <w:r>
        <w:rPr>
          <w:spacing w:val="-1"/>
          <w:sz w:val="30"/>
        </w:rPr>
        <w:t xml:space="preserve"> </w:t>
      </w:r>
      <w:r>
        <w:rPr>
          <w:sz w:val="30"/>
        </w:rPr>
        <w:t>x such</w:t>
      </w:r>
      <w:r>
        <w:rPr>
          <w:spacing w:val="-1"/>
          <w:sz w:val="30"/>
        </w:rPr>
        <w:t xml:space="preserve"> </w:t>
      </w:r>
      <w:r>
        <w:rPr>
          <w:sz w:val="30"/>
        </w:rPr>
        <w:t>that</w:t>
      </w:r>
      <w:r>
        <w:rPr>
          <w:spacing w:val="-2"/>
          <w:sz w:val="30"/>
        </w:rPr>
        <w:t xml:space="preserve"> </w:t>
      </w:r>
      <w:r>
        <w:rPr>
          <w:sz w:val="30"/>
        </w:rPr>
        <w:t>(x</w:t>
      </w:r>
      <w:r>
        <w:rPr>
          <w:spacing w:val="-1"/>
          <w:sz w:val="30"/>
        </w:rPr>
        <w:t xml:space="preserve"> </w:t>
      </w:r>
      <w:r>
        <w:rPr>
          <w:sz w:val="30"/>
        </w:rPr>
        <w:t>=</w:t>
      </w:r>
      <w:r>
        <w:rPr>
          <w:spacing w:val="-2"/>
          <w:sz w:val="30"/>
        </w:rPr>
        <w:t xml:space="preserve"> </w:t>
      </w:r>
      <w:r>
        <w:rPr>
          <w:sz w:val="30"/>
        </w:rPr>
        <w:t>a</w:t>
      </w:r>
      <w:r>
        <w:rPr>
          <w:spacing w:val="-2"/>
          <w:sz w:val="30"/>
        </w:rPr>
        <w:t xml:space="preserve"> </w:t>
      </w:r>
      <w:r>
        <w:rPr>
          <w:sz w:val="30"/>
        </w:rPr>
        <w:t xml:space="preserve">and </w:t>
      </w:r>
      <w:r>
        <w:rPr>
          <w:spacing w:val="-4"/>
          <w:sz w:val="30"/>
        </w:rPr>
        <w:t>Fx).</w:t>
      </w:r>
    </w:p>
    <w:p w14:paraId="7E002DF3" w14:textId="77777777" w:rsidR="009A58DB" w:rsidRDefault="009A58DB">
      <w:pPr>
        <w:pStyle w:val="BodyText"/>
        <w:spacing w:before="30"/>
        <w:ind w:left="0"/>
        <w:jc w:val="left"/>
      </w:pPr>
    </w:p>
    <w:p w14:paraId="7E002DF4" w14:textId="77777777" w:rsidR="009A58DB" w:rsidRDefault="00000000">
      <w:pPr>
        <w:pStyle w:val="BodyText"/>
        <w:spacing w:line="249" w:lineRule="auto"/>
        <w:ind w:right="359"/>
      </w:pPr>
      <w:r>
        <w:t xml:space="preserve">If this sentence is read </w:t>
      </w:r>
      <w:r>
        <w:rPr>
          <w:b/>
          <w:i/>
        </w:rPr>
        <w:t xml:space="preserve">attributively </w:t>
      </w:r>
      <w:r>
        <w:t>(in other words, if the definite descriptions in them are treated as quantifiers, as opposed to referring terms), then it is logically equivalent with</w:t>
      </w:r>
    </w:p>
    <w:p w14:paraId="7E002DF5" w14:textId="77777777" w:rsidR="009A58DB" w:rsidRDefault="009A58DB">
      <w:pPr>
        <w:pStyle w:val="BodyText"/>
        <w:spacing w:before="18"/>
        <w:ind w:left="0"/>
        <w:jc w:val="left"/>
      </w:pPr>
    </w:p>
    <w:p w14:paraId="7E002DF6" w14:textId="77777777" w:rsidR="009A58DB" w:rsidRDefault="00000000">
      <w:pPr>
        <w:pStyle w:val="ListParagraph"/>
        <w:numPr>
          <w:ilvl w:val="0"/>
          <w:numId w:val="9"/>
        </w:numPr>
        <w:tabs>
          <w:tab w:val="left" w:pos="660"/>
        </w:tabs>
        <w:spacing w:before="1"/>
        <w:rPr>
          <w:sz w:val="30"/>
        </w:rPr>
      </w:pPr>
      <w:r>
        <w:rPr>
          <w:spacing w:val="-5"/>
          <w:sz w:val="30"/>
        </w:rPr>
        <w:t>Fa,</w:t>
      </w:r>
    </w:p>
    <w:p w14:paraId="7E002DF7" w14:textId="77777777" w:rsidR="009A58DB" w:rsidRDefault="009A58DB">
      <w:pPr>
        <w:pStyle w:val="BodyText"/>
        <w:spacing w:before="29"/>
        <w:ind w:left="0"/>
        <w:jc w:val="left"/>
      </w:pPr>
    </w:p>
    <w:p w14:paraId="7E002DF8" w14:textId="77777777" w:rsidR="009A58DB" w:rsidRDefault="00000000">
      <w:pPr>
        <w:pStyle w:val="BodyText"/>
        <w:spacing w:before="1" w:line="249" w:lineRule="auto"/>
        <w:ind w:right="359"/>
      </w:pPr>
      <w:r>
        <w:t xml:space="preserve">in which case those two sentences can therefore be seen as standing for the same fact. But if 4 is read </w:t>
      </w:r>
      <w:r>
        <w:rPr>
          <w:b/>
          <w:i/>
        </w:rPr>
        <w:t xml:space="preserve">referentially </w:t>
      </w:r>
      <w:r>
        <w:t>(in other words, if the definite descriptions in them are treated as referring terms, as opposed to quantifiers), then 4 stands for the same fact as:</w:t>
      </w:r>
    </w:p>
    <w:p w14:paraId="7E002DF9" w14:textId="77777777" w:rsidR="009A58DB" w:rsidRDefault="009A58DB">
      <w:pPr>
        <w:pStyle w:val="BodyText"/>
        <w:spacing w:before="19"/>
        <w:ind w:left="0"/>
        <w:jc w:val="left"/>
      </w:pPr>
    </w:p>
    <w:p w14:paraId="7E002DFA" w14:textId="77777777" w:rsidR="009A58DB" w:rsidRDefault="00000000">
      <w:pPr>
        <w:pStyle w:val="BodyText"/>
        <w:spacing w:before="1"/>
      </w:pPr>
      <w:r>
        <w:t>4</w:t>
      </w:r>
      <w:r>
        <w:rPr>
          <w:position w:val="-7"/>
          <w:sz w:val="22"/>
        </w:rPr>
        <w:t>R</w:t>
      </w:r>
      <w:r>
        <w:t>:</w:t>
      </w:r>
      <w:r>
        <w:rPr>
          <w:spacing w:val="-1"/>
        </w:rPr>
        <w:t xml:space="preserve"> </w:t>
      </w:r>
      <w:r>
        <w:t>a =</w:t>
      </w:r>
      <w:r>
        <w:rPr>
          <w:spacing w:val="-1"/>
        </w:rPr>
        <w:t xml:space="preserve"> </w:t>
      </w:r>
      <w:r>
        <w:rPr>
          <w:spacing w:val="-7"/>
        </w:rPr>
        <w:t>a,</w:t>
      </w:r>
    </w:p>
    <w:p w14:paraId="7E002DFB" w14:textId="77777777" w:rsidR="009A58DB" w:rsidRDefault="009A58DB">
      <w:pPr>
        <w:pStyle w:val="BodyText"/>
        <w:spacing w:before="27"/>
        <w:ind w:left="0"/>
        <w:jc w:val="left"/>
      </w:pPr>
    </w:p>
    <w:p w14:paraId="7E002DFC" w14:textId="77777777" w:rsidR="009A58DB" w:rsidRDefault="00000000">
      <w:pPr>
        <w:pStyle w:val="BodyText"/>
        <w:spacing w:line="249" w:lineRule="auto"/>
        <w:ind w:right="360"/>
      </w:pPr>
      <w:r>
        <w:t>in which case 1 and 4 cannot plausibly be seen as standing for the same fact. For exactly similar reasons, 5, 6, and 7 must be read attributively if they can plausibly be regarded as standing for the same facts as, respectively, 2, 3, and</w:t>
      </w:r>
    </w:p>
    <w:p w14:paraId="7E002DFD" w14:textId="77777777" w:rsidR="009A58DB" w:rsidRDefault="00000000">
      <w:pPr>
        <w:pStyle w:val="BodyText"/>
        <w:spacing w:before="4" w:line="271" w:lineRule="auto"/>
        <w:ind w:right="364"/>
      </w:pPr>
      <w:r>
        <w:t>4. In general, G</w:t>
      </w:r>
      <w:r>
        <w:rPr>
          <w:vertAlign w:val="subscript"/>
        </w:rPr>
        <w:t>1</w:t>
      </w:r>
      <w:r>
        <w:t xml:space="preserve"> is false if 4–7 are read referentially, 4–7 must therefore be read attributively. Bottom line: Neale’s argument fails if 4–7 are read referentially. It also fails, for obvious reasons, if they’re read attributively.</w:t>
      </w:r>
    </w:p>
    <w:p w14:paraId="7E002DFE" w14:textId="77777777" w:rsidR="009A58DB" w:rsidRDefault="00000000">
      <w:pPr>
        <w:spacing w:before="330"/>
        <w:ind w:left="360"/>
        <w:jc w:val="both"/>
        <w:rPr>
          <w:sz w:val="30"/>
        </w:rPr>
      </w:pPr>
      <w:r>
        <w:rPr>
          <w:b/>
          <w:i/>
          <w:sz w:val="30"/>
        </w:rPr>
        <w:t>Sorites</w:t>
      </w:r>
      <w:r>
        <w:rPr>
          <w:b/>
          <w:i/>
          <w:spacing w:val="48"/>
          <w:w w:val="150"/>
          <w:sz w:val="30"/>
        </w:rPr>
        <w:t xml:space="preserve"> </w:t>
      </w:r>
      <w:r>
        <w:rPr>
          <w:b/>
          <w:i/>
          <w:sz w:val="30"/>
        </w:rPr>
        <w:t>paradox:</w:t>
      </w:r>
      <w:r>
        <w:rPr>
          <w:b/>
          <w:i/>
          <w:spacing w:val="49"/>
          <w:w w:val="150"/>
          <w:sz w:val="30"/>
        </w:rPr>
        <w:t xml:space="preserve"> </w:t>
      </w:r>
      <w:r>
        <w:rPr>
          <w:sz w:val="30"/>
        </w:rPr>
        <w:t>Any</w:t>
      </w:r>
      <w:r>
        <w:rPr>
          <w:spacing w:val="54"/>
          <w:w w:val="150"/>
          <w:sz w:val="30"/>
        </w:rPr>
        <w:t xml:space="preserve"> </w:t>
      </w:r>
      <w:r>
        <w:rPr>
          <w:sz w:val="30"/>
        </w:rPr>
        <w:t>paradox</w:t>
      </w:r>
      <w:r>
        <w:rPr>
          <w:spacing w:val="54"/>
          <w:w w:val="150"/>
          <w:sz w:val="30"/>
        </w:rPr>
        <w:t xml:space="preserve"> </w:t>
      </w:r>
      <w:r>
        <w:rPr>
          <w:sz w:val="30"/>
        </w:rPr>
        <w:t>like</w:t>
      </w:r>
      <w:r>
        <w:rPr>
          <w:spacing w:val="54"/>
          <w:w w:val="150"/>
          <w:sz w:val="30"/>
        </w:rPr>
        <w:t xml:space="preserve"> </w:t>
      </w:r>
      <w:r>
        <w:rPr>
          <w:sz w:val="30"/>
        </w:rPr>
        <w:t>the</w:t>
      </w:r>
      <w:r>
        <w:rPr>
          <w:spacing w:val="54"/>
          <w:w w:val="150"/>
          <w:sz w:val="30"/>
        </w:rPr>
        <w:t xml:space="preserve"> </w:t>
      </w:r>
      <w:r>
        <w:rPr>
          <w:sz w:val="30"/>
        </w:rPr>
        <w:t>following.</w:t>
      </w:r>
      <w:r>
        <w:rPr>
          <w:spacing w:val="53"/>
          <w:w w:val="150"/>
          <w:sz w:val="30"/>
        </w:rPr>
        <w:t xml:space="preserve"> </w:t>
      </w:r>
      <w:r>
        <w:rPr>
          <w:sz w:val="30"/>
        </w:rPr>
        <w:t>Somebody</w:t>
      </w:r>
      <w:r>
        <w:rPr>
          <w:spacing w:val="54"/>
          <w:w w:val="150"/>
          <w:sz w:val="30"/>
        </w:rPr>
        <w:t xml:space="preserve"> </w:t>
      </w:r>
      <w:r>
        <w:rPr>
          <w:sz w:val="30"/>
        </w:rPr>
        <w:t>with</w:t>
      </w:r>
      <w:r>
        <w:rPr>
          <w:spacing w:val="54"/>
          <w:w w:val="150"/>
          <w:sz w:val="30"/>
        </w:rPr>
        <w:t xml:space="preserve"> </w:t>
      </w:r>
      <w:r>
        <w:rPr>
          <w:spacing w:val="-4"/>
          <w:sz w:val="30"/>
        </w:rPr>
        <w:t>zero</w:t>
      </w:r>
    </w:p>
    <w:p w14:paraId="7E002DFF" w14:textId="77777777" w:rsidR="009A58DB" w:rsidRDefault="009A58DB">
      <w:pPr>
        <w:jc w:val="both"/>
        <w:rPr>
          <w:sz w:val="30"/>
        </w:rPr>
        <w:sectPr w:rsidR="009A58DB">
          <w:pgSz w:w="12240" w:h="15840"/>
          <w:pgMar w:top="1380" w:right="1080" w:bottom="280" w:left="1080" w:header="720" w:footer="720" w:gutter="0"/>
          <w:cols w:space="720"/>
        </w:sectPr>
      </w:pPr>
    </w:p>
    <w:p w14:paraId="7E002E00" w14:textId="77777777" w:rsidR="009A58DB" w:rsidRDefault="00000000">
      <w:pPr>
        <w:pStyle w:val="BodyText"/>
        <w:spacing w:before="65" w:line="249" w:lineRule="auto"/>
        <w:ind w:right="359"/>
      </w:pPr>
      <w:r>
        <w:t>dollars</w:t>
      </w:r>
      <w:r>
        <w:rPr>
          <w:spacing w:val="-3"/>
        </w:rPr>
        <w:t xml:space="preserve"> </w:t>
      </w:r>
      <w:r>
        <w:t>is</w:t>
      </w:r>
      <w:r>
        <w:rPr>
          <w:spacing w:val="-3"/>
        </w:rPr>
        <w:t xml:space="preserve"> </w:t>
      </w:r>
      <w:r>
        <w:t>poor.</w:t>
      </w:r>
      <w:r>
        <w:rPr>
          <w:spacing w:val="-2"/>
        </w:rPr>
        <w:t xml:space="preserve"> </w:t>
      </w:r>
      <w:r>
        <w:t>Giving</w:t>
      </w:r>
      <w:r>
        <w:rPr>
          <w:spacing w:val="-2"/>
        </w:rPr>
        <w:t xml:space="preserve"> </w:t>
      </w:r>
      <w:r>
        <w:t>one</w:t>
      </w:r>
      <w:r>
        <w:rPr>
          <w:spacing w:val="-3"/>
        </w:rPr>
        <w:t xml:space="preserve"> </w:t>
      </w:r>
      <w:r>
        <w:t>dollar</w:t>
      </w:r>
      <w:r>
        <w:rPr>
          <w:spacing w:val="-3"/>
        </w:rPr>
        <w:t xml:space="preserve"> </w:t>
      </w:r>
      <w:r>
        <w:t>to</w:t>
      </w:r>
      <w:r>
        <w:rPr>
          <w:spacing w:val="-2"/>
        </w:rPr>
        <w:t xml:space="preserve"> </w:t>
      </w:r>
      <w:r>
        <w:t>a</w:t>
      </w:r>
      <w:r>
        <w:rPr>
          <w:spacing w:val="-3"/>
        </w:rPr>
        <w:t xml:space="preserve"> </w:t>
      </w:r>
      <w:r>
        <w:t>poor</w:t>
      </w:r>
      <w:r>
        <w:rPr>
          <w:spacing w:val="-3"/>
        </w:rPr>
        <w:t xml:space="preserve"> </w:t>
      </w:r>
      <w:r>
        <w:t>person</w:t>
      </w:r>
      <w:r>
        <w:rPr>
          <w:spacing w:val="-2"/>
        </w:rPr>
        <w:t xml:space="preserve"> </w:t>
      </w:r>
      <w:r>
        <w:t>won’t</w:t>
      </w:r>
      <w:r>
        <w:rPr>
          <w:spacing w:val="-3"/>
        </w:rPr>
        <w:t xml:space="preserve"> </w:t>
      </w:r>
      <w:r>
        <w:t>make</w:t>
      </w:r>
      <w:r>
        <w:rPr>
          <w:spacing w:val="-3"/>
        </w:rPr>
        <w:t xml:space="preserve"> </w:t>
      </w:r>
      <w:r>
        <w:t>him</w:t>
      </w:r>
      <w:r>
        <w:rPr>
          <w:spacing w:val="-3"/>
        </w:rPr>
        <w:t xml:space="preserve"> </w:t>
      </w:r>
      <w:r>
        <w:t>stop</w:t>
      </w:r>
      <w:r>
        <w:rPr>
          <w:spacing w:val="-2"/>
        </w:rPr>
        <w:t xml:space="preserve"> </w:t>
      </w:r>
      <w:r>
        <w:t xml:space="preserve">being poor. So, no matter how many times you give a dollar to a poor person, he won’t stop being poor. Therefore, a person who has been given $500,000,000 dollars is poor. A sorites paradox always consists of a base-clause (e.g., “a person with zero dollars is poor”), an inductive clause (e.g., “if a person with n dollars is poor, so is a person with n + 1 dollars), and an obviously false conclusion that seems to follow (e.g., “a person with a billion dollars is </w:t>
      </w:r>
      <w:r>
        <w:rPr>
          <w:spacing w:val="-2"/>
        </w:rPr>
        <w:t>poor”).”</w:t>
      </w:r>
    </w:p>
    <w:p w14:paraId="7E002E01" w14:textId="77777777" w:rsidR="009A58DB" w:rsidRDefault="009A58DB">
      <w:pPr>
        <w:pStyle w:val="BodyText"/>
        <w:spacing w:before="24"/>
        <w:ind w:left="0"/>
        <w:jc w:val="left"/>
      </w:pPr>
    </w:p>
    <w:p w14:paraId="7E002E02" w14:textId="77777777" w:rsidR="009A58DB" w:rsidRDefault="00000000">
      <w:pPr>
        <w:pStyle w:val="BodyText"/>
        <w:spacing w:line="249" w:lineRule="auto"/>
        <w:ind w:right="363"/>
      </w:pPr>
      <w:r>
        <w:t>Commentary: My solution to this paradox: Statements of the form “x is rich” are elliptical for statements of the form “x is rich compared to y,” where y is either some person or some benchmark. When the benchmark is identified, the underlined sentence is seen to be false. If Frank is the person/benchmark in question, and Frank has $1,000,000, then there is a number n (namely, 999,999.7)</w:t>
      </w:r>
      <w:r>
        <w:rPr>
          <w:spacing w:val="-4"/>
        </w:rPr>
        <w:t xml:space="preserve"> </w:t>
      </w:r>
      <w:r>
        <w:t>such</w:t>
      </w:r>
      <w:r>
        <w:rPr>
          <w:spacing w:val="-3"/>
        </w:rPr>
        <w:t xml:space="preserve"> </w:t>
      </w:r>
      <w:r>
        <w:t>that</w:t>
      </w:r>
      <w:r>
        <w:rPr>
          <w:spacing w:val="-4"/>
        </w:rPr>
        <w:t xml:space="preserve"> </w:t>
      </w:r>
      <w:r>
        <w:t>a</w:t>
      </w:r>
      <w:r>
        <w:rPr>
          <w:spacing w:val="-4"/>
        </w:rPr>
        <w:t xml:space="preserve"> </w:t>
      </w:r>
      <w:r>
        <w:t>person</w:t>
      </w:r>
      <w:r>
        <w:rPr>
          <w:spacing w:val="-3"/>
        </w:rPr>
        <w:t xml:space="preserve"> </w:t>
      </w:r>
      <w:r>
        <w:t>with</w:t>
      </w:r>
      <w:r>
        <w:rPr>
          <w:spacing w:val="-3"/>
        </w:rPr>
        <w:t xml:space="preserve"> </w:t>
      </w:r>
      <w:r>
        <w:t>n</w:t>
      </w:r>
      <w:r>
        <w:rPr>
          <w:spacing w:val="-3"/>
        </w:rPr>
        <w:t xml:space="preserve"> </w:t>
      </w:r>
      <w:r>
        <w:t>dollars</w:t>
      </w:r>
      <w:r>
        <w:rPr>
          <w:spacing w:val="-4"/>
        </w:rPr>
        <w:t xml:space="preserve"> </w:t>
      </w:r>
      <w:r>
        <w:t>is</w:t>
      </w:r>
      <w:r>
        <w:rPr>
          <w:spacing w:val="-4"/>
        </w:rPr>
        <w:t xml:space="preserve"> </w:t>
      </w:r>
      <w:r>
        <w:t>not</w:t>
      </w:r>
      <w:r>
        <w:rPr>
          <w:spacing w:val="-4"/>
        </w:rPr>
        <w:t xml:space="preserve"> </w:t>
      </w:r>
      <w:r>
        <w:t>rich</w:t>
      </w:r>
      <w:r>
        <w:rPr>
          <w:spacing w:val="-3"/>
        </w:rPr>
        <w:t xml:space="preserve"> </w:t>
      </w:r>
      <w:r>
        <w:t>and</w:t>
      </w:r>
      <w:r>
        <w:rPr>
          <w:spacing w:val="-3"/>
        </w:rPr>
        <w:t xml:space="preserve"> </w:t>
      </w:r>
      <w:r>
        <w:t>such</w:t>
      </w:r>
      <w:r>
        <w:rPr>
          <w:spacing w:val="-3"/>
        </w:rPr>
        <w:t xml:space="preserve"> </w:t>
      </w:r>
      <w:r>
        <w:t>a</w:t>
      </w:r>
      <w:r>
        <w:rPr>
          <w:spacing w:val="-4"/>
        </w:rPr>
        <w:t xml:space="preserve"> </w:t>
      </w:r>
      <w:r>
        <w:t>person</w:t>
      </w:r>
      <w:r>
        <w:rPr>
          <w:spacing w:val="-3"/>
        </w:rPr>
        <w:t xml:space="preserve"> </w:t>
      </w:r>
      <w:r>
        <w:t>with n dollars is rich.</w:t>
      </w:r>
    </w:p>
    <w:p w14:paraId="7E002E03" w14:textId="77777777" w:rsidR="009A58DB" w:rsidRDefault="009A58DB">
      <w:pPr>
        <w:pStyle w:val="BodyText"/>
        <w:spacing w:before="24"/>
        <w:ind w:left="0"/>
        <w:jc w:val="left"/>
      </w:pPr>
    </w:p>
    <w:p w14:paraId="7E002E04" w14:textId="77777777" w:rsidR="009A58DB" w:rsidRDefault="00000000">
      <w:pPr>
        <w:pStyle w:val="BodyText"/>
        <w:spacing w:line="249" w:lineRule="auto"/>
        <w:ind w:right="357"/>
      </w:pPr>
      <w:r>
        <w:rPr>
          <w:b/>
          <w:i/>
        </w:rPr>
        <w:t xml:space="preserve">Special compositionality: </w:t>
      </w:r>
      <w:r>
        <w:t xml:space="preserve">A special form of compositionality, which we will refer to as “special compositionality,” concerns reference. According to special compositionality, what a referring term refers to is a function of what its parts refer to. “The author of </w:t>
      </w:r>
      <w:r>
        <w:rPr>
          <w:i/>
        </w:rPr>
        <w:t>War and Peace</w:t>
      </w:r>
      <w:r>
        <w:t xml:space="preserve">” refers to one person. “The author of </w:t>
      </w:r>
      <w:r>
        <w:rPr>
          <w:i/>
        </w:rPr>
        <w:t>Crime and Punishment</w:t>
      </w:r>
      <w:r>
        <w:t xml:space="preserve">” refers to someone else. Why do those expressions refer to different people? Because </w:t>
      </w:r>
      <w:r>
        <w:rPr>
          <w:i/>
        </w:rPr>
        <w:t xml:space="preserve">War and Peace </w:t>
      </w:r>
      <w:r>
        <w:t>doesn’t refer</w:t>
      </w:r>
      <w:r>
        <w:rPr>
          <w:spacing w:val="40"/>
        </w:rPr>
        <w:t xml:space="preserve"> </w:t>
      </w:r>
      <w:r>
        <w:t xml:space="preserve">to the same book as </w:t>
      </w:r>
      <w:r>
        <w:rPr>
          <w:i/>
        </w:rPr>
        <w:t xml:space="preserve">Crime and Punishment. </w:t>
      </w:r>
      <w:r>
        <w:t xml:space="preserve">This shows that what “The author of </w:t>
      </w:r>
      <w:r>
        <w:rPr>
          <w:i/>
        </w:rPr>
        <w:t>War and Peace</w:t>
      </w:r>
      <w:r>
        <w:t xml:space="preserve">” refers to depends on, and is thus “a function of,” </w:t>
      </w:r>
      <w:r>
        <w:rPr>
          <w:i/>
        </w:rPr>
        <w:t xml:space="preserve">War and Peace </w:t>
      </w:r>
      <w:r>
        <w:t xml:space="preserve">refers to, and it shows the same thing </w:t>
      </w:r>
      <w:r>
        <w:rPr>
          <w:i/>
        </w:rPr>
        <w:t xml:space="preserve">mutatis mutandis </w:t>
      </w:r>
      <w:r>
        <w:t xml:space="preserve">to be true of “The author of </w:t>
      </w:r>
      <w:r>
        <w:rPr>
          <w:i/>
        </w:rPr>
        <w:t>Crime and Punishment.</w:t>
      </w:r>
      <w:r>
        <w:t xml:space="preserve">” Given obvious extensions of this argument, it follows that </w:t>
      </w:r>
      <w:r>
        <w:rPr>
          <w:i/>
        </w:rPr>
        <w:t>in</w:t>
      </w:r>
      <w:r>
        <w:rPr>
          <w:i/>
          <w:spacing w:val="-2"/>
        </w:rPr>
        <w:t xml:space="preserve"> </w:t>
      </w:r>
      <w:r>
        <w:rPr>
          <w:i/>
        </w:rPr>
        <w:t>general</w:t>
      </w:r>
      <w:r>
        <w:rPr>
          <w:i/>
          <w:spacing w:val="-3"/>
        </w:rPr>
        <w:t xml:space="preserve"> </w:t>
      </w:r>
      <w:r>
        <w:t>what referring terms refer to depends on what their parts refer to. See “compositionality.”</w:t>
      </w:r>
    </w:p>
    <w:p w14:paraId="7E002E05" w14:textId="77777777" w:rsidR="009A58DB" w:rsidRDefault="009A58DB">
      <w:pPr>
        <w:pStyle w:val="BodyText"/>
        <w:spacing w:before="35"/>
        <w:ind w:left="0"/>
        <w:jc w:val="left"/>
      </w:pPr>
    </w:p>
    <w:p w14:paraId="7E002E06" w14:textId="77777777" w:rsidR="009A58DB" w:rsidRDefault="00000000">
      <w:pPr>
        <w:pStyle w:val="BodyText"/>
        <w:spacing w:line="249" w:lineRule="auto"/>
        <w:ind w:right="363"/>
      </w:pPr>
      <w:r>
        <w:rPr>
          <w:b/>
          <w:i/>
        </w:rPr>
        <w:t>Speech ac</w:t>
      </w:r>
      <w:bookmarkStart w:id="597" w:name="_bookmark597"/>
      <w:bookmarkEnd w:id="597"/>
      <w:r>
        <w:rPr>
          <w:b/>
          <w:i/>
        </w:rPr>
        <w:t>t</w:t>
      </w:r>
      <w:r>
        <w:rPr>
          <w:color w:val="0562C1"/>
          <w:position w:val="22"/>
          <w:u w:val="single" w:color="0562C1"/>
        </w:rPr>
        <w:t>[453]</w:t>
      </w:r>
      <w:r>
        <w:t xml:space="preserve">: Assertions are speech acts, and so are promises, orders, exhortations, and so on. A rough definition of “speech act” is “any case of somebody’s deliberately uttering or otherwise </w:t>
      </w:r>
      <w:r>
        <w:rPr>
          <w:b/>
          <w:i/>
        </w:rPr>
        <w:t xml:space="preserve">tokening </w:t>
      </w:r>
      <w:r>
        <w:t>a sentence.”</w:t>
      </w:r>
    </w:p>
    <w:p w14:paraId="7E002E07" w14:textId="77777777" w:rsidR="009A58DB" w:rsidRDefault="00000000">
      <w:pPr>
        <w:pStyle w:val="BodyText"/>
        <w:spacing w:before="4" w:line="249" w:lineRule="auto"/>
        <w:ind w:right="365" w:firstLine="360"/>
        <w:jc w:val="left"/>
      </w:pPr>
      <w:r>
        <w:t xml:space="preserve">A person may produce a burst of noise, and </w:t>
      </w:r>
      <w:r>
        <w:rPr>
          <w:i/>
        </w:rPr>
        <w:t xml:space="preserve">know </w:t>
      </w:r>
      <w:r>
        <w:t>it to be a sentence, but</w:t>
      </w:r>
      <w:r>
        <w:rPr>
          <w:spacing w:val="40"/>
        </w:rPr>
        <w:t xml:space="preserve"> </w:t>
      </w:r>
      <w:r>
        <w:t>not</w:t>
      </w:r>
      <w:r>
        <w:rPr>
          <w:spacing w:val="33"/>
        </w:rPr>
        <w:t xml:space="preserve"> </w:t>
      </w:r>
      <w:r>
        <w:t>thereby</w:t>
      </w:r>
      <w:r>
        <w:rPr>
          <w:spacing w:val="36"/>
        </w:rPr>
        <w:t xml:space="preserve"> </w:t>
      </w:r>
      <w:r>
        <w:t>have</w:t>
      </w:r>
      <w:r>
        <w:rPr>
          <w:spacing w:val="36"/>
        </w:rPr>
        <w:t xml:space="preserve"> </w:t>
      </w:r>
      <w:r>
        <w:t>performed</w:t>
      </w:r>
      <w:r>
        <w:rPr>
          <w:spacing w:val="36"/>
        </w:rPr>
        <w:t xml:space="preserve"> </w:t>
      </w:r>
      <w:r>
        <w:t>a</w:t>
      </w:r>
      <w:r>
        <w:rPr>
          <w:spacing w:val="36"/>
        </w:rPr>
        <w:t xml:space="preserve"> </w:t>
      </w:r>
      <w:r>
        <w:t>speech</w:t>
      </w:r>
      <w:r>
        <w:rPr>
          <w:spacing w:val="36"/>
        </w:rPr>
        <w:t xml:space="preserve"> </w:t>
      </w:r>
      <w:r>
        <w:t>act.</w:t>
      </w:r>
      <w:r>
        <w:rPr>
          <w:spacing w:val="35"/>
        </w:rPr>
        <w:t xml:space="preserve"> </w:t>
      </w:r>
      <w:r>
        <w:t>Knowing</w:t>
      </w:r>
      <w:r>
        <w:rPr>
          <w:spacing w:val="36"/>
        </w:rPr>
        <w:t xml:space="preserve"> </w:t>
      </w:r>
      <w:r>
        <w:t>that</w:t>
      </w:r>
      <w:r>
        <w:rPr>
          <w:spacing w:val="36"/>
        </w:rPr>
        <w:t xml:space="preserve"> </w:t>
      </w:r>
      <w:r>
        <w:t>you</w:t>
      </w:r>
      <w:r>
        <w:rPr>
          <w:spacing w:val="36"/>
        </w:rPr>
        <w:t xml:space="preserve"> </w:t>
      </w:r>
      <w:r>
        <w:t>find</w:t>
      </w:r>
      <w:r>
        <w:rPr>
          <w:spacing w:val="36"/>
        </w:rPr>
        <w:t xml:space="preserve"> </w:t>
      </w:r>
      <w:r>
        <w:t>loud</w:t>
      </w:r>
      <w:r>
        <w:rPr>
          <w:spacing w:val="36"/>
        </w:rPr>
        <w:t xml:space="preserve"> </w:t>
      </w:r>
      <w:r>
        <w:rPr>
          <w:spacing w:val="-4"/>
        </w:rPr>
        <w:t>“s”-</w:t>
      </w:r>
    </w:p>
    <w:p w14:paraId="7E002E08"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E09" w14:textId="77777777" w:rsidR="009A58DB" w:rsidRDefault="00000000">
      <w:pPr>
        <w:pStyle w:val="BodyText"/>
        <w:spacing w:before="65" w:line="249" w:lineRule="auto"/>
        <w:ind w:right="359"/>
      </w:pPr>
      <w:r>
        <w:t>sounds completely intolerable, I shout out “snow sometimes symbolizes sorrow” while in your presence. Even though I knew the noises I was making to be a sentence-token, it wasn’t my intention in producing them to token a sentence, and I therefore wasn’t performing a speech act.</w:t>
      </w:r>
    </w:p>
    <w:p w14:paraId="7E002E0A" w14:textId="77777777" w:rsidR="009A58DB" w:rsidRDefault="009A58DB">
      <w:pPr>
        <w:pStyle w:val="BodyText"/>
        <w:spacing w:before="19"/>
        <w:ind w:left="0"/>
        <w:jc w:val="left"/>
      </w:pPr>
    </w:p>
    <w:p w14:paraId="7E002E0B" w14:textId="77777777" w:rsidR="009A58DB" w:rsidRDefault="00000000">
      <w:pPr>
        <w:pStyle w:val="BodyText"/>
        <w:spacing w:before="1" w:line="249" w:lineRule="auto"/>
        <w:ind w:right="360"/>
      </w:pPr>
      <w:r>
        <w:rPr>
          <w:b/>
          <w:i/>
        </w:rPr>
        <w:t>Surd:</w:t>
      </w:r>
      <w:r>
        <w:rPr>
          <w:b/>
          <w:i/>
          <w:spacing w:val="-4"/>
        </w:rPr>
        <w:t xml:space="preserve"> </w:t>
      </w:r>
      <w:r>
        <w:t>A “surd” is anything that cannot coherently be supposed to exist. Thus, square circles are surds, and so are events that pre-date themselves.</w:t>
      </w:r>
    </w:p>
    <w:p w14:paraId="7E002E0C" w14:textId="77777777" w:rsidR="009A58DB" w:rsidRDefault="00000000">
      <w:pPr>
        <w:pStyle w:val="BodyText"/>
        <w:spacing w:before="2" w:line="249" w:lineRule="auto"/>
        <w:ind w:right="363" w:firstLine="360"/>
      </w:pPr>
      <w:r>
        <w:t>Though pedagogically effective, this definition is logically defective. There exists nothing that cannot possibly exist. (There exists no object x such that x cannot possibly exist. Thus, there is nothing to which, in saying that “surds” are things that cannot possibly exist, we are saying that “surd” refers. (There exists no x such that, in saying that the word “surd” refers to x, we are saying that “surd” refers.)</w:t>
      </w:r>
    </w:p>
    <w:p w14:paraId="7E002E0D" w14:textId="77777777" w:rsidR="009A58DB" w:rsidRDefault="00000000">
      <w:pPr>
        <w:pStyle w:val="BodyText"/>
        <w:spacing w:before="7" w:line="249" w:lineRule="auto"/>
        <w:ind w:right="357" w:firstLine="360"/>
      </w:pPr>
      <w:r>
        <w:t>The word “surd” can be non-defectively defined only in a circuitous manner. For any property phi, the sentence ‹anything having phi is a surd,› means that the laws of logic prohibit phi from being instantiated. (Given that not all sentences containing the word “surd” have the form ‹anything having phi is a surd,› this definition needs fine-tuning. But whereas the problems with our initial definition were substantive, the problems with this definition are merely technical.)</w:t>
      </w:r>
    </w:p>
    <w:p w14:paraId="7E002E0E" w14:textId="77777777" w:rsidR="009A58DB" w:rsidRDefault="009A58DB">
      <w:pPr>
        <w:pStyle w:val="BodyText"/>
        <w:spacing w:before="24"/>
        <w:ind w:left="0"/>
        <w:jc w:val="left"/>
      </w:pPr>
    </w:p>
    <w:p w14:paraId="7E002E0F" w14:textId="77777777" w:rsidR="009A58DB" w:rsidRDefault="00000000">
      <w:pPr>
        <w:pStyle w:val="BodyText"/>
        <w:spacing w:line="249" w:lineRule="auto"/>
        <w:ind w:right="363"/>
      </w:pPr>
      <w:r>
        <w:rPr>
          <w:b/>
          <w:i/>
        </w:rPr>
        <w:t xml:space="preserve">Supervenience: </w:t>
      </w:r>
      <w:r>
        <w:t>Two organisms that are microphysically exactly alike are also biologically exactly alike. Thus, the microphysical locks the biological into place. Put another way, the biological supervenes on the microphysical.</w:t>
      </w:r>
    </w:p>
    <w:p w14:paraId="7E002E10" w14:textId="77777777" w:rsidR="009A58DB" w:rsidRDefault="00000000">
      <w:pPr>
        <w:pStyle w:val="BodyText"/>
        <w:spacing w:before="4" w:line="249" w:lineRule="auto"/>
        <w:ind w:right="361" w:firstLine="360"/>
      </w:pPr>
      <w:r>
        <w:t xml:space="preserve">Two statues that are physically exactly alike are </w:t>
      </w:r>
      <w:r>
        <w:rPr>
          <w:i/>
        </w:rPr>
        <w:t>ipso facto</w:t>
      </w:r>
      <w:r>
        <w:rPr>
          <w:i/>
          <w:spacing w:val="40"/>
        </w:rPr>
        <w:t xml:space="preserve"> </w:t>
      </w:r>
      <w:r>
        <w:t xml:space="preserve">aesthetically exactly alike. Thus, the aesthetic </w:t>
      </w:r>
      <w:r>
        <w:rPr>
          <w:i/>
        </w:rPr>
        <w:t xml:space="preserve">supervenes </w:t>
      </w:r>
      <w:r>
        <w:t xml:space="preserve">on the physical. Two situations that are physically and psychologically are </w:t>
      </w:r>
      <w:r>
        <w:rPr>
          <w:i/>
        </w:rPr>
        <w:t xml:space="preserve">ipso facol </w:t>
      </w:r>
      <w:r>
        <w:t xml:space="preserve">morally exactly alike. Thus, the moral supervenes on the physical and the psychological (taken </w:t>
      </w:r>
      <w:r>
        <w:rPr>
          <w:spacing w:val="-2"/>
        </w:rPr>
        <w:t>together).</w:t>
      </w:r>
    </w:p>
    <w:p w14:paraId="7E002E11" w14:textId="77777777" w:rsidR="009A58DB" w:rsidRDefault="009A58DB">
      <w:pPr>
        <w:pStyle w:val="BodyText"/>
        <w:spacing w:before="21"/>
        <w:ind w:left="0"/>
        <w:jc w:val="left"/>
      </w:pPr>
    </w:p>
    <w:p w14:paraId="7E002E12" w14:textId="77777777" w:rsidR="009A58DB" w:rsidRDefault="00000000">
      <w:pPr>
        <w:pStyle w:val="BodyText"/>
        <w:spacing w:line="249" w:lineRule="auto"/>
        <w:ind w:right="362"/>
      </w:pPr>
      <w:r>
        <w:rPr>
          <w:b/>
          <w:i/>
        </w:rPr>
        <w:t>Synthetic</w:t>
      </w:r>
      <w:r>
        <w:rPr>
          <w:b/>
          <w:i/>
          <w:spacing w:val="-5"/>
        </w:rPr>
        <w:t xml:space="preserve"> </w:t>
      </w:r>
      <w:r>
        <w:rPr>
          <w:b/>
          <w:i/>
        </w:rPr>
        <w:t>knowledge:</w:t>
      </w:r>
      <w:r>
        <w:rPr>
          <w:b/>
          <w:i/>
          <w:spacing w:val="-5"/>
        </w:rPr>
        <w:t xml:space="preserve"> </w:t>
      </w:r>
      <w:r>
        <w:t>Knowledge is synthetic when what one knows is given by a synthetic truth. See “synthetic truth.”</w:t>
      </w:r>
    </w:p>
    <w:p w14:paraId="7E002E13" w14:textId="77777777" w:rsidR="009A58DB" w:rsidRDefault="009A58DB">
      <w:pPr>
        <w:pStyle w:val="BodyText"/>
        <w:spacing w:before="17"/>
        <w:ind w:left="0"/>
        <w:jc w:val="left"/>
      </w:pPr>
    </w:p>
    <w:p w14:paraId="7E002E14" w14:textId="77777777" w:rsidR="009A58DB" w:rsidRDefault="00000000">
      <w:pPr>
        <w:pStyle w:val="BodyText"/>
        <w:spacing w:line="249" w:lineRule="auto"/>
        <w:ind w:right="360"/>
      </w:pPr>
      <w:r>
        <w:rPr>
          <w:b/>
          <w:i/>
        </w:rPr>
        <w:t xml:space="preserve">Synthetic truth: </w:t>
      </w:r>
      <w:r>
        <w:t>A statement is synthetic if it isn’t analytic. See “analytic” and “synthetic knowledge.”</w:t>
      </w:r>
    </w:p>
    <w:p w14:paraId="7E002E1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E16" w14:textId="77777777" w:rsidR="009A58DB" w:rsidRDefault="00000000">
      <w:pPr>
        <w:pStyle w:val="BodyText"/>
        <w:spacing w:before="65" w:line="249" w:lineRule="auto"/>
        <w:ind w:right="358"/>
      </w:pPr>
      <w:r>
        <w:rPr>
          <w:b/>
          <w:i/>
        </w:rPr>
        <w:t xml:space="preserve">Tautology/truism: </w:t>
      </w:r>
      <w:r>
        <w:t>A tautology (or truism) is a trivially true statement—for example, “there are three feet in a yard” or “Tuesdays come after Mondays” or “there are two weeks in a fortnight.”</w:t>
      </w:r>
    </w:p>
    <w:p w14:paraId="7E002E17" w14:textId="77777777" w:rsidR="009A58DB" w:rsidRDefault="009A58DB">
      <w:pPr>
        <w:pStyle w:val="BodyText"/>
        <w:spacing w:before="18"/>
        <w:ind w:left="0"/>
        <w:jc w:val="left"/>
      </w:pPr>
    </w:p>
    <w:p w14:paraId="7E002E18" w14:textId="77777777" w:rsidR="009A58DB" w:rsidRDefault="00000000">
      <w:pPr>
        <w:pStyle w:val="BodyText"/>
        <w:spacing w:line="249" w:lineRule="auto"/>
        <w:ind w:right="359"/>
      </w:pPr>
      <w:r>
        <w:rPr>
          <w:b/>
          <w:i/>
        </w:rPr>
        <w:t xml:space="preserve">Theory of Descriptions: </w:t>
      </w:r>
      <w:r>
        <w:t>The position, first advocated in 1905 by Bertrand Russell, that definite descriptions are not devices of reference and are instead quantifiers. “The inventor of bifocals” seems to refer to Benjamin Franklin. But “the inventor of bifocals snored” is true iff exactly one thing invented bifocals, and any such snored. “Smith kicked the inventor of bifocals is true iff exactly one thing invented bifocals, and Smith kicked any such thing. What</w:t>
      </w:r>
      <w:r>
        <w:rPr>
          <w:spacing w:val="-2"/>
        </w:rPr>
        <w:t xml:space="preserve"> </w:t>
      </w:r>
      <w:r>
        <w:t>this</w:t>
      </w:r>
      <w:r>
        <w:rPr>
          <w:spacing w:val="-1"/>
        </w:rPr>
        <w:t xml:space="preserve"> </w:t>
      </w:r>
      <w:r>
        <w:t>shows</w:t>
      </w:r>
      <w:r>
        <w:rPr>
          <w:spacing w:val="-1"/>
        </w:rPr>
        <w:t xml:space="preserve"> </w:t>
      </w:r>
      <w:r>
        <w:t>is</w:t>
      </w:r>
      <w:r>
        <w:rPr>
          <w:spacing w:val="-1"/>
        </w:rPr>
        <w:t xml:space="preserve"> </w:t>
      </w:r>
      <w:r>
        <w:t>that,</w:t>
      </w:r>
      <w:r>
        <w:rPr>
          <w:spacing w:val="-1"/>
        </w:rPr>
        <w:t xml:space="preserve"> </w:t>
      </w:r>
      <w:r>
        <w:t>in</w:t>
      </w:r>
      <w:r>
        <w:rPr>
          <w:spacing w:val="-1"/>
        </w:rPr>
        <w:t xml:space="preserve"> </w:t>
      </w:r>
      <w:r>
        <w:t>virtue</w:t>
      </w:r>
      <w:r>
        <w:rPr>
          <w:spacing w:val="-1"/>
        </w:rPr>
        <w:t xml:space="preserve"> </w:t>
      </w:r>
      <w:r>
        <w:t>of</w:t>
      </w:r>
      <w:r>
        <w:rPr>
          <w:spacing w:val="-1"/>
        </w:rPr>
        <w:t xml:space="preserve"> </w:t>
      </w:r>
      <w:r>
        <w:t>containing</w:t>
      </w:r>
      <w:r>
        <w:rPr>
          <w:spacing w:val="-1"/>
        </w:rPr>
        <w:t xml:space="preserve"> </w:t>
      </w:r>
      <w:r>
        <w:t>an</w:t>
      </w:r>
      <w:r>
        <w:rPr>
          <w:spacing w:val="-1"/>
        </w:rPr>
        <w:t xml:space="preserve"> </w:t>
      </w:r>
      <w:r>
        <w:t>occurrence</w:t>
      </w:r>
      <w:r>
        <w:rPr>
          <w:spacing w:val="-1"/>
        </w:rPr>
        <w:t xml:space="preserve"> </w:t>
      </w:r>
      <w:r>
        <w:t>of</w:t>
      </w:r>
      <w:r>
        <w:rPr>
          <w:spacing w:val="-1"/>
        </w:rPr>
        <w:t xml:space="preserve"> </w:t>
      </w:r>
      <w:r>
        <w:t>“the</w:t>
      </w:r>
      <w:r>
        <w:rPr>
          <w:spacing w:val="-1"/>
        </w:rPr>
        <w:t xml:space="preserve"> </w:t>
      </w:r>
      <w:r>
        <w:t>inventor of bifocals,” an expression encodes an existence-claim. This, in its turn, suggests that “the inventor of bifocals,” and by parity of reasoning all other definite descriptions, are quantifiers, not singular terms.</w:t>
      </w:r>
    </w:p>
    <w:p w14:paraId="7E002E19" w14:textId="77777777" w:rsidR="009A58DB" w:rsidRDefault="009A58DB">
      <w:pPr>
        <w:pStyle w:val="BodyText"/>
        <w:spacing w:before="27"/>
        <w:ind w:left="0"/>
        <w:jc w:val="left"/>
      </w:pPr>
    </w:p>
    <w:p w14:paraId="7E002E1A" w14:textId="77777777" w:rsidR="009A58DB" w:rsidRDefault="00000000">
      <w:pPr>
        <w:pStyle w:val="BodyText"/>
        <w:spacing w:before="1" w:line="249" w:lineRule="auto"/>
        <w:ind w:right="359"/>
      </w:pPr>
      <w:r>
        <w:rPr>
          <w:b/>
          <w:i/>
        </w:rPr>
        <w:t xml:space="preserve">Truth: </w:t>
      </w:r>
      <w:r>
        <w:t>A true proposition is said to be one that “corresponds to the facts.”</w:t>
      </w:r>
      <w:r>
        <w:rPr>
          <w:spacing w:val="40"/>
        </w:rPr>
        <w:t xml:space="preserve"> </w:t>
      </w:r>
      <w:r>
        <w:t>But this statement is useless, since the expression “corresponds to the facts”</w:t>
      </w:r>
      <w:r>
        <w:rPr>
          <w:spacing w:val="40"/>
        </w:rPr>
        <w:t xml:space="preserve"> </w:t>
      </w:r>
      <w:r>
        <w:t>is as obscure as the expression “true.”</w:t>
      </w:r>
    </w:p>
    <w:p w14:paraId="7E002E1B" w14:textId="77777777" w:rsidR="009A58DB" w:rsidRDefault="00000000">
      <w:pPr>
        <w:pStyle w:val="BodyText"/>
        <w:spacing w:before="3" w:line="249" w:lineRule="auto"/>
        <w:ind w:right="361" w:firstLine="360"/>
      </w:pPr>
      <w:r>
        <w:t>Given any proposition, there is some condition that is fulfilled if, and only if, that proposition is true. Conditions may be identified with properties. Therefore, truth may be identified with instantiatedness, and propositions (i.e.,</w:t>
      </w:r>
      <w:r>
        <w:rPr>
          <w:spacing w:val="-1"/>
        </w:rPr>
        <w:t xml:space="preserve"> </w:t>
      </w:r>
      <w:r>
        <w:t>the</w:t>
      </w:r>
      <w:r>
        <w:rPr>
          <w:spacing w:val="-1"/>
        </w:rPr>
        <w:t xml:space="preserve"> </w:t>
      </w:r>
      <w:r>
        <w:t>things</w:t>
      </w:r>
      <w:r>
        <w:rPr>
          <w:spacing w:val="-1"/>
        </w:rPr>
        <w:t xml:space="preserve"> </w:t>
      </w:r>
      <w:r>
        <w:t>that</w:t>
      </w:r>
      <w:r>
        <w:rPr>
          <w:spacing w:val="-1"/>
        </w:rPr>
        <w:t xml:space="preserve"> </w:t>
      </w:r>
      <w:r>
        <w:t>have</w:t>
      </w:r>
      <w:r>
        <w:rPr>
          <w:spacing w:val="-1"/>
        </w:rPr>
        <w:t xml:space="preserve"> </w:t>
      </w:r>
      <w:r>
        <w:t>the</w:t>
      </w:r>
      <w:r>
        <w:rPr>
          <w:spacing w:val="-1"/>
        </w:rPr>
        <w:t xml:space="preserve"> </w:t>
      </w:r>
      <w:r>
        <w:t>property</w:t>
      </w:r>
      <w:r>
        <w:rPr>
          <w:spacing w:val="-1"/>
        </w:rPr>
        <w:t xml:space="preserve"> </w:t>
      </w:r>
      <w:r>
        <w:t>of</w:t>
      </w:r>
      <w:r>
        <w:rPr>
          <w:spacing w:val="-1"/>
        </w:rPr>
        <w:t xml:space="preserve"> </w:t>
      </w:r>
      <w:r>
        <w:t>being</w:t>
      </w:r>
      <w:r>
        <w:rPr>
          <w:spacing w:val="-1"/>
        </w:rPr>
        <w:t xml:space="preserve"> </w:t>
      </w:r>
      <w:r>
        <w:t>true)</w:t>
      </w:r>
      <w:r>
        <w:rPr>
          <w:spacing w:val="-1"/>
        </w:rPr>
        <w:t xml:space="preserve"> </w:t>
      </w:r>
      <w:r>
        <w:t>are</w:t>
      </w:r>
      <w:r>
        <w:rPr>
          <w:spacing w:val="-1"/>
        </w:rPr>
        <w:t xml:space="preserve"> </w:t>
      </w:r>
      <w:r>
        <w:t>properties</w:t>
      </w:r>
      <w:r>
        <w:rPr>
          <w:spacing w:val="-1"/>
        </w:rPr>
        <w:t xml:space="preserve"> </w:t>
      </w:r>
      <w:r>
        <w:t>(or,</w:t>
      </w:r>
      <w:r>
        <w:rPr>
          <w:spacing w:val="-1"/>
        </w:rPr>
        <w:t xml:space="preserve"> </w:t>
      </w:r>
      <w:r>
        <w:t>strictly speaking, sets there). See Chapter 3.</w:t>
      </w:r>
    </w:p>
    <w:p w14:paraId="7E002E1C" w14:textId="77777777" w:rsidR="009A58DB" w:rsidRDefault="00000000">
      <w:pPr>
        <w:pStyle w:val="BodyText"/>
        <w:spacing w:before="7" w:line="249" w:lineRule="auto"/>
        <w:ind w:right="362" w:firstLine="360"/>
      </w:pPr>
      <w:r>
        <w:t>Many philosophers (e.g., Ayer, Hempel, Strawson, Wittgenstein) were, at least at certain junctures in their careers, of the view that “truth” (and “true” and other such terms) were meaningless. There is, it was said, no difference between saying “the sentence ‘snow is white’ is true” and “snow is white”; therefore, the words “it is true that” (and “it is a truth that,” and so on) are useless. Wittgenstein was vehement in his advocacy of this viewpoint, which is known as “deflationary” (or the “redundancy”) analysis of truth. The deflationary analysis is false. If “white” meant “black,” but the English language were otherwise unchanged, “snow is white” would be true in a world where snow was black and false in a world where snow was white. So</w:t>
      </w:r>
    </w:p>
    <w:p w14:paraId="7E002E1D" w14:textId="77777777" w:rsidR="009A58DB" w:rsidRDefault="009A58DB">
      <w:pPr>
        <w:pStyle w:val="BodyText"/>
        <w:spacing w:before="27"/>
        <w:ind w:left="0"/>
        <w:jc w:val="left"/>
      </w:pPr>
    </w:p>
    <w:p w14:paraId="7E002E1E" w14:textId="77777777" w:rsidR="009A58DB" w:rsidRDefault="00000000">
      <w:pPr>
        <w:pStyle w:val="BodyText"/>
        <w:jc w:val="left"/>
      </w:pPr>
      <w:r>
        <w:t>(1)</w:t>
      </w:r>
      <w:r>
        <w:rPr>
          <w:spacing w:val="-3"/>
        </w:rPr>
        <w:t xml:space="preserve"> </w:t>
      </w:r>
      <w:r>
        <w:t>“snow</w:t>
      </w:r>
      <w:r>
        <w:rPr>
          <w:spacing w:val="-2"/>
        </w:rPr>
        <w:t xml:space="preserve"> </w:t>
      </w:r>
      <w:r>
        <w:t>is</w:t>
      </w:r>
      <w:r>
        <w:rPr>
          <w:spacing w:val="-2"/>
        </w:rPr>
        <w:t xml:space="preserve"> white”</w:t>
      </w:r>
    </w:p>
    <w:p w14:paraId="7E002E1F" w14:textId="77777777" w:rsidR="009A58DB" w:rsidRDefault="009A58DB">
      <w:pPr>
        <w:pStyle w:val="BodyText"/>
        <w:jc w:val="left"/>
        <w:sectPr w:rsidR="009A58DB">
          <w:pgSz w:w="12240" w:h="15840"/>
          <w:pgMar w:top="1380" w:right="1080" w:bottom="280" w:left="1080" w:header="720" w:footer="720" w:gutter="0"/>
          <w:cols w:space="720"/>
        </w:sectPr>
      </w:pPr>
    </w:p>
    <w:p w14:paraId="7E002E20" w14:textId="77777777" w:rsidR="009A58DB" w:rsidRDefault="00000000">
      <w:pPr>
        <w:pStyle w:val="BodyText"/>
        <w:spacing w:before="65"/>
      </w:pPr>
      <w:r>
        <w:t>is</w:t>
      </w:r>
      <w:r>
        <w:rPr>
          <w:spacing w:val="-3"/>
        </w:rPr>
        <w:t xml:space="preserve"> </w:t>
      </w:r>
      <w:r>
        <w:t>not</w:t>
      </w:r>
      <w:r>
        <w:rPr>
          <w:spacing w:val="-3"/>
        </w:rPr>
        <w:t xml:space="preserve"> </w:t>
      </w:r>
      <w:r>
        <w:t>equivalent</w:t>
      </w:r>
      <w:r>
        <w:rPr>
          <w:spacing w:val="-3"/>
        </w:rPr>
        <w:t xml:space="preserve"> </w:t>
      </w:r>
      <w:r>
        <w:rPr>
          <w:spacing w:val="-4"/>
        </w:rPr>
        <w:t>with</w:t>
      </w:r>
    </w:p>
    <w:p w14:paraId="7E002E21" w14:textId="77777777" w:rsidR="009A58DB" w:rsidRDefault="009A58DB">
      <w:pPr>
        <w:pStyle w:val="BodyText"/>
        <w:spacing w:before="29"/>
        <w:ind w:left="0"/>
        <w:jc w:val="left"/>
      </w:pPr>
    </w:p>
    <w:p w14:paraId="7E002E22" w14:textId="77777777" w:rsidR="009A58DB" w:rsidRDefault="00000000">
      <w:pPr>
        <w:pStyle w:val="BodyText"/>
        <w:spacing w:before="1"/>
      </w:pPr>
      <w:r>
        <w:t>(2)</w:t>
      </w:r>
      <w:r>
        <w:rPr>
          <w:spacing w:val="-6"/>
        </w:rPr>
        <w:t xml:space="preserve"> </w:t>
      </w:r>
      <w:r>
        <w:t>“the</w:t>
      </w:r>
      <w:r>
        <w:rPr>
          <w:spacing w:val="-3"/>
        </w:rPr>
        <w:t xml:space="preserve"> </w:t>
      </w:r>
      <w:r>
        <w:t>sentence</w:t>
      </w:r>
      <w:r>
        <w:rPr>
          <w:spacing w:val="-3"/>
        </w:rPr>
        <w:t xml:space="preserve"> </w:t>
      </w:r>
      <w:r>
        <w:t>‘snow</w:t>
      </w:r>
      <w:r>
        <w:rPr>
          <w:spacing w:val="-4"/>
        </w:rPr>
        <w:t xml:space="preserve"> </w:t>
      </w:r>
      <w:r>
        <w:t>is</w:t>
      </w:r>
      <w:r>
        <w:rPr>
          <w:spacing w:val="-3"/>
        </w:rPr>
        <w:t xml:space="preserve"> </w:t>
      </w:r>
      <w:r>
        <w:t>white’</w:t>
      </w:r>
      <w:r>
        <w:rPr>
          <w:spacing w:val="-3"/>
        </w:rPr>
        <w:t xml:space="preserve"> </w:t>
      </w:r>
      <w:r>
        <w:t>is</w:t>
      </w:r>
      <w:r>
        <w:rPr>
          <w:spacing w:val="-3"/>
        </w:rPr>
        <w:t xml:space="preserve"> </w:t>
      </w:r>
      <w:r>
        <w:rPr>
          <w:spacing w:val="-2"/>
        </w:rPr>
        <w:t>true.”</w:t>
      </w:r>
    </w:p>
    <w:p w14:paraId="7E002E23" w14:textId="77777777" w:rsidR="009A58DB" w:rsidRDefault="009A58DB">
      <w:pPr>
        <w:pStyle w:val="BodyText"/>
        <w:spacing w:before="30"/>
        <w:ind w:left="0"/>
        <w:jc w:val="left"/>
      </w:pPr>
    </w:p>
    <w:p w14:paraId="7E002E24" w14:textId="77777777" w:rsidR="009A58DB" w:rsidRDefault="00000000">
      <w:pPr>
        <w:pStyle w:val="BodyText"/>
        <w:spacing w:line="249" w:lineRule="auto"/>
        <w:ind w:right="364"/>
      </w:pPr>
      <w:r>
        <w:t>(1)</w:t>
      </w:r>
      <w:r>
        <w:rPr>
          <w:spacing w:val="-4"/>
        </w:rPr>
        <w:t xml:space="preserve"> </w:t>
      </w:r>
      <w:r>
        <w:t>makes</w:t>
      </w:r>
      <w:r>
        <w:rPr>
          <w:spacing w:val="-4"/>
        </w:rPr>
        <w:t xml:space="preserve"> </w:t>
      </w:r>
      <w:r>
        <w:t>a</w:t>
      </w:r>
      <w:r>
        <w:rPr>
          <w:spacing w:val="-4"/>
        </w:rPr>
        <w:t xml:space="preserve"> </w:t>
      </w:r>
      <w:r>
        <w:t>statement</w:t>
      </w:r>
      <w:r>
        <w:rPr>
          <w:spacing w:val="-4"/>
        </w:rPr>
        <w:t xml:space="preserve"> </w:t>
      </w:r>
      <w:r>
        <w:t>about</w:t>
      </w:r>
      <w:r>
        <w:rPr>
          <w:spacing w:val="-4"/>
        </w:rPr>
        <w:t xml:space="preserve"> </w:t>
      </w:r>
      <w:r>
        <w:t>snow;</w:t>
      </w:r>
      <w:r>
        <w:rPr>
          <w:spacing w:val="-4"/>
        </w:rPr>
        <w:t xml:space="preserve"> </w:t>
      </w:r>
      <w:r>
        <w:t>it</w:t>
      </w:r>
      <w:r>
        <w:rPr>
          <w:spacing w:val="-4"/>
        </w:rPr>
        <w:t xml:space="preserve"> </w:t>
      </w:r>
      <w:r>
        <w:t>doesn’t</w:t>
      </w:r>
      <w:r>
        <w:rPr>
          <w:spacing w:val="-4"/>
        </w:rPr>
        <w:t xml:space="preserve"> </w:t>
      </w:r>
      <w:r>
        <w:t>say</w:t>
      </w:r>
      <w:r>
        <w:rPr>
          <w:spacing w:val="-3"/>
        </w:rPr>
        <w:t xml:space="preserve"> </w:t>
      </w:r>
      <w:r>
        <w:t>anything</w:t>
      </w:r>
      <w:r>
        <w:rPr>
          <w:spacing w:val="-3"/>
        </w:rPr>
        <w:t xml:space="preserve"> </w:t>
      </w:r>
      <w:r>
        <w:t>about</w:t>
      </w:r>
      <w:r>
        <w:rPr>
          <w:spacing w:val="-4"/>
        </w:rPr>
        <w:t xml:space="preserve"> </w:t>
      </w:r>
      <w:r>
        <w:t>language.</w:t>
      </w:r>
      <w:r>
        <w:rPr>
          <w:spacing w:val="-3"/>
        </w:rPr>
        <w:t xml:space="preserve"> </w:t>
      </w:r>
      <w:r>
        <w:t xml:space="preserve">(2) makes a statement about language; it doesn’t say anything about snow. (2) concerns the </w:t>
      </w:r>
      <w:r>
        <w:rPr>
          <w:i/>
        </w:rPr>
        <w:t xml:space="preserve">word </w:t>
      </w:r>
      <w:r>
        <w:t>“snow.” But snow isn’t a word; it’s a substance.</w:t>
      </w:r>
    </w:p>
    <w:p w14:paraId="7E002E25" w14:textId="77777777" w:rsidR="009A58DB" w:rsidRDefault="00000000">
      <w:pPr>
        <w:pStyle w:val="BodyText"/>
        <w:spacing w:before="3" w:line="249" w:lineRule="auto"/>
        <w:ind w:right="362" w:firstLine="360"/>
      </w:pPr>
      <w:r>
        <w:t>This brings us to next problem with the deflationary analysis. (2) is a true statement. There is no way to make that statement without using the word “true” or some equivalent. If you just say “snow is white,” you are not, as we just say, saying anything about the word “snow.” (What you are saying, in saying “snow is white,” would be true in a world where there were no words, but where snow was white.)</w:t>
      </w:r>
    </w:p>
    <w:p w14:paraId="7E002E26" w14:textId="77777777" w:rsidR="009A58DB" w:rsidRDefault="00000000">
      <w:pPr>
        <w:pStyle w:val="BodyText"/>
        <w:spacing w:before="8" w:line="249" w:lineRule="auto"/>
        <w:ind w:right="361" w:firstLine="360"/>
      </w:pPr>
      <w:r>
        <w:t>Also, any sentence containing a quantifier contains an occurrence, if only</w:t>
      </w:r>
      <w:r>
        <w:rPr>
          <w:spacing w:val="40"/>
        </w:rPr>
        <w:t xml:space="preserve"> </w:t>
      </w:r>
      <w:r>
        <w:t xml:space="preserve">a phonetically unrealized one, of the word “true” or of some equivalent. To </w:t>
      </w:r>
      <w:r>
        <w:rPr>
          <w:spacing w:val="-4"/>
        </w:rPr>
        <w:t>say</w:t>
      </w:r>
    </w:p>
    <w:p w14:paraId="7E002E27" w14:textId="77777777" w:rsidR="009A58DB" w:rsidRDefault="009A58DB">
      <w:pPr>
        <w:pStyle w:val="BodyText"/>
        <w:spacing w:before="18"/>
        <w:ind w:left="0"/>
        <w:jc w:val="left"/>
      </w:pPr>
    </w:p>
    <w:p w14:paraId="7E002E28" w14:textId="77777777" w:rsidR="009A58DB" w:rsidRDefault="00000000">
      <w:pPr>
        <w:pStyle w:val="BodyText"/>
        <w:spacing w:before="1" w:line="501" w:lineRule="auto"/>
        <w:ind w:right="5970"/>
      </w:pPr>
      <w:r>
        <w:t>(SD)</w:t>
      </w:r>
      <w:r>
        <w:rPr>
          <w:spacing w:val="-10"/>
        </w:rPr>
        <w:t xml:space="preserve"> </w:t>
      </w:r>
      <w:r>
        <w:t>“some</w:t>
      </w:r>
      <w:r>
        <w:rPr>
          <w:spacing w:val="-10"/>
        </w:rPr>
        <w:t xml:space="preserve"> </w:t>
      </w:r>
      <w:r>
        <w:t>dolphins</w:t>
      </w:r>
      <w:r>
        <w:rPr>
          <w:spacing w:val="-10"/>
        </w:rPr>
        <w:t xml:space="preserve"> </w:t>
      </w:r>
      <w:r>
        <w:t>can</w:t>
      </w:r>
      <w:r>
        <w:rPr>
          <w:spacing w:val="-10"/>
        </w:rPr>
        <w:t xml:space="preserve"> </w:t>
      </w:r>
      <w:r>
        <w:t>read” is to say that</w:t>
      </w:r>
    </w:p>
    <w:p w14:paraId="7E002E29" w14:textId="77777777" w:rsidR="009A58DB" w:rsidRDefault="00000000">
      <w:pPr>
        <w:pStyle w:val="BodyText"/>
        <w:spacing w:line="343" w:lineRule="exact"/>
      </w:pPr>
      <w:r>
        <w:t>(SD)</w:t>
      </w:r>
      <w:r>
        <w:rPr>
          <w:spacing w:val="-5"/>
        </w:rPr>
        <w:t xml:space="preserve"> </w:t>
      </w:r>
      <w:r>
        <w:t>for</w:t>
      </w:r>
      <w:r>
        <w:rPr>
          <w:spacing w:val="-3"/>
        </w:rPr>
        <w:t xml:space="preserve"> </w:t>
      </w:r>
      <w:r>
        <w:t>some</w:t>
      </w:r>
      <w:r>
        <w:rPr>
          <w:spacing w:val="-3"/>
        </w:rPr>
        <w:t xml:space="preserve"> </w:t>
      </w:r>
      <w:r>
        <w:t>object</w:t>
      </w:r>
      <w:r>
        <w:rPr>
          <w:spacing w:val="-2"/>
        </w:rPr>
        <w:t xml:space="preserve"> </w:t>
      </w:r>
      <w:r>
        <w:t>x,</w:t>
      </w:r>
      <w:r>
        <w:rPr>
          <w:spacing w:val="-2"/>
        </w:rPr>
        <w:t xml:space="preserve"> </w:t>
      </w:r>
      <w:r>
        <w:t>the</w:t>
      </w:r>
      <w:r>
        <w:rPr>
          <w:spacing w:val="-3"/>
        </w:rPr>
        <w:t xml:space="preserve"> </w:t>
      </w:r>
      <w:r>
        <w:t>proposition</w:t>
      </w:r>
      <w:r>
        <w:rPr>
          <w:spacing w:val="-2"/>
        </w:rPr>
        <w:t xml:space="preserve"> </w:t>
      </w:r>
      <w:r>
        <w:rPr>
          <w:i/>
        </w:rPr>
        <w:t>x</w:t>
      </w:r>
      <w:r>
        <w:rPr>
          <w:i/>
          <w:spacing w:val="-2"/>
        </w:rPr>
        <w:t xml:space="preserve"> </w:t>
      </w:r>
      <w:r>
        <w:rPr>
          <w:i/>
        </w:rPr>
        <w:t>can</w:t>
      </w:r>
      <w:r>
        <w:rPr>
          <w:i/>
          <w:spacing w:val="-2"/>
        </w:rPr>
        <w:t xml:space="preserve"> </w:t>
      </w:r>
      <w:r>
        <w:rPr>
          <w:i/>
        </w:rPr>
        <w:t>read</w:t>
      </w:r>
      <w:r>
        <w:rPr>
          <w:i/>
          <w:spacing w:val="-2"/>
        </w:rPr>
        <w:t xml:space="preserve"> </w:t>
      </w:r>
      <w:r>
        <w:t>is</w:t>
      </w:r>
      <w:r>
        <w:rPr>
          <w:spacing w:val="-2"/>
        </w:rPr>
        <w:t xml:space="preserve"> true.</w:t>
      </w:r>
    </w:p>
    <w:p w14:paraId="7E002E2A" w14:textId="77777777" w:rsidR="009A58DB" w:rsidRDefault="009A58DB">
      <w:pPr>
        <w:pStyle w:val="BodyText"/>
        <w:spacing w:before="29"/>
        <w:ind w:left="0"/>
        <w:jc w:val="left"/>
      </w:pPr>
    </w:p>
    <w:p w14:paraId="7E002E2B" w14:textId="77777777" w:rsidR="009A58DB" w:rsidRDefault="00000000">
      <w:pPr>
        <w:pStyle w:val="BodyText"/>
        <w:spacing w:before="1" w:line="249" w:lineRule="auto"/>
        <w:ind w:right="358"/>
      </w:pPr>
      <w:r>
        <w:rPr>
          <w:b/>
          <w:i/>
        </w:rPr>
        <w:t xml:space="preserve">Truth-value: </w:t>
      </w:r>
      <w:r>
        <w:t xml:space="preserve">A true sentence has the truth-value </w:t>
      </w:r>
      <w:r>
        <w:rPr>
          <w:i/>
        </w:rPr>
        <w:t>true</w:t>
      </w:r>
      <w:r>
        <w:t xml:space="preserve">, and a false sentence has the truth-value </w:t>
      </w:r>
      <w:r>
        <w:rPr>
          <w:i/>
        </w:rPr>
        <w:t>false.</w:t>
      </w:r>
      <w:r>
        <w:rPr>
          <w:i/>
          <w:spacing w:val="-3"/>
        </w:rPr>
        <w:t xml:space="preserve"> </w:t>
      </w:r>
      <w:r>
        <w:t xml:space="preserve">The truth-values </w:t>
      </w:r>
      <w:r>
        <w:rPr>
          <w:i/>
        </w:rPr>
        <w:t>true</w:t>
      </w:r>
      <w:r>
        <w:rPr>
          <w:i/>
          <w:spacing w:val="-4"/>
        </w:rPr>
        <w:t xml:space="preserve"> </w:t>
      </w:r>
      <w:r>
        <w:t>and</w:t>
      </w:r>
      <w:r>
        <w:rPr>
          <w:spacing w:val="-3"/>
        </w:rPr>
        <w:t xml:space="preserve"> </w:t>
      </w:r>
      <w:r>
        <w:rPr>
          <w:i/>
        </w:rPr>
        <w:t>false</w:t>
      </w:r>
      <w:r>
        <w:rPr>
          <w:i/>
          <w:spacing w:val="-4"/>
        </w:rPr>
        <w:t xml:space="preserve"> </w:t>
      </w:r>
      <w:r>
        <w:t>can be thought of as, respectively, the property of being true and the property of being false.</w:t>
      </w:r>
    </w:p>
    <w:p w14:paraId="7E002E2C" w14:textId="77777777" w:rsidR="009A58DB" w:rsidRDefault="00000000">
      <w:pPr>
        <w:pStyle w:val="BodyText"/>
        <w:spacing w:before="3" w:line="249" w:lineRule="auto"/>
        <w:ind w:right="359" w:firstLine="360"/>
      </w:pPr>
      <w:r>
        <w:t>If two sentences are both true or they are both false, they have the same “truth-value.”</w:t>
      </w:r>
      <w:r>
        <w:rPr>
          <w:spacing w:val="-8"/>
        </w:rPr>
        <w:t xml:space="preserve"> </w:t>
      </w:r>
      <w:r>
        <w:t>So</w:t>
      </w:r>
      <w:r>
        <w:rPr>
          <w:spacing w:val="-8"/>
        </w:rPr>
        <w:t xml:space="preserve"> </w:t>
      </w:r>
      <w:r>
        <w:t>“1</w:t>
      </w:r>
      <w:r>
        <w:rPr>
          <w:spacing w:val="-8"/>
        </w:rPr>
        <w:t xml:space="preserve"> </w:t>
      </w:r>
      <w:r>
        <w:t>+</w:t>
      </w:r>
      <w:r>
        <w:rPr>
          <w:spacing w:val="-8"/>
        </w:rPr>
        <w:t xml:space="preserve"> </w:t>
      </w:r>
      <w:r>
        <w:t>1</w:t>
      </w:r>
      <w:r>
        <w:rPr>
          <w:spacing w:val="-8"/>
        </w:rPr>
        <w:t xml:space="preserve"> </w:t>
      </w:r>
      <w:r>
        <w:t>=</w:t>
      </w:r>
      <w:r>
        <w:rPr>
          <w:spacing w:val="-8"/>
        </w:rPr>
        <w:t xml:space="preserve"> </w:t>
      </w:r>
      <w:r>
        <w:t>2”</w:t>
      </w:r>
      <w:r>
        <w:rPr>
          <w:spacing w:val="-4"/>
        </w:rPr>
        <w:t xml:space="preserve"> </w:t>
      </w:r>
      <w:r>
        <w:t>and</w:t>
      </w:r>
      <w:r>
        <w:rPr>
          <w:spacing w:val="-4"/>
        </w:rPr>
        <w:t xml:space="preserve"> </w:t>
      </w:r>
      <w:r>
        <w:t>“2</w:t>
      </w:r>
      <w:r>
        <w:rPr>
          <w:spacing w:val="-4"/>
        </w:rPr>
        <w:t xml:space="preserve"> </w:t>
      </w:r>
      <w:r>
        <w:t>+</w:t>
      </w:r>
      <w:r>
        <w:rPr>
          <w:spacing w:val="-4"/>
        </w:rPr>
        <w:t xml:space="preserve"> </w:t>
      </w:r>
      <w:r>
        <w:t>2</w:t>
      </w:r>
      <w:r>
        <w:rPr>
          <w:spacing w:val="-4"/>
        </w:rPr>
        <w:t xml:space="preserve"> </w:t>
      </w:r>
      <w:r>
        <w:t>=</w:t>
      </w:r>
      <w:r>
        <w:rPr>
          <w:spacing w:val="-4"/>
        </w:rPr>
        <w:t xml:space="preserve"> </w:t>
      </w:r>
      <w:r>
        <w:t>4”</w:t>
      </w:r>
      <w:r>
        <w:rPr>
          <w:spacing w:val="-4"/>
        </w:rPr>
        <w:t xml:space="preserve"> </w:t>
      </w:r>
      <w:r>
        <w:t>have</w:t>
      </w:r>
      <w:r>
        <w:rPr>
          <w:spacing w:val="-4"/>
        </w:rPr>
        <w:t xml:space="preserve"> </w:t>
      </w:r>
      <w:r>
        <w:t>the</w:t>
      </w:r>
      <w:r>
        <w:rPr>
          <w:spacing w:val="-4"/>
        </w:rPr>
        <w:t xml:space="preserve"> </w:t>
      </w:r>
      <w:r>
        <w:t>same</w:t>
      </w:r>
      <w:r>
        <w:rPr>
          <w:spacing w:val="-4"/>
        </w:rPr>
        <w:t xml:space="preserve"> </w:t>
      </w:r>
      <w:r>
        <w:t xml:space="preserve">truth-value—they have truth-value </w:t>
      </w:r>
      <w:r>
        <w:rPr>
          <w:i/>
        </w:rPr>
        <w:t>true</w:t>
      </w:r>
      <w:r>
        <w:t>. And so “1 + 1 = 3” and</w:t>
      </w:r>
    </w:p>
    <w:p w14:paraId="7E002E2D" w14:textId="77777777" w:rsidR="009A58DB" w:rsidRDefault="00000000">
      <w:pPr>
        <w:pStyle w:val="BodyText"/>
        <w:spacing w:before="4"/>
        <w:rPr>
          <w:i/>
        </w:rPr>
      </w:pPr>
      <w:r>
        <w:t>“2</w:t>
      </w:r>
      <w:r>
        <w:rPr>
          <w:spacing w:val="-5"/>
        </w:rPr>
        <w:t xml:space="preserve"> </w:t>
      </w:r>
      <w:r>
        <w:t>+</w:t>
      </w:r>
      <w:r>
        <w:rPr>
          <w:spacing w:val="-3"/>
        </w:rPr>
        <w:t xml:space="preserve"> </w:t>
      </w:r>
      <w:r>
        <w:t>2</w:t>
      </w:r>
      <w:r>
        <w:rPr>
          <w:spacing w:val="-2"/>
        </w:rPr>
        <w:t xml:space="preserve"> </w:t>
      </w:r>
      <w:r>
        <w:t>=</w:t>
      </w:r>
      <w:r>
        <w:rPr>
          <w:spacing w:val="-3"/>
        </w:rPr>
        <w:t xml:space="preserve"> </w:t>
      </w:r>
      <w:r>
        <w:t>5”</w:t>
      </w:r>
      <w:r>
        <w:rPr>
          <w:spacing w:val="-3"/>
        </w:rPr>
        <w:t xml:space="preserve"> </w:t>
      </w:r>
      <w:r>
        <w:t>have</w:t>
      </w:r>
      <w:r>
        <w:rPr>
          <w:spacing w:val="-3"/>
        </w:rPr>
        <w:t xml:space="preserve"> </w:t>
      </w:r>
      <w:r>
        <w:t>the</w:t>
      </w:r>
      <w:r>
        <w:rPr>
          <w:spacing w:val="-3"/>
        </w:rPr>
        <w:t xml:space="preserve"> </w:t>
      </w:r>
      <w:r>
        <w:t>same</w:t>
      </w:r>
      <w:r>
        <w:rPr>
          <w:spacing w:val="-3"/>
        </w:rPr>
        <w:t xml:space="preserve"> </w:t>
      </w:r>
      <w:r>
        <w:t>truth-value—the</w:t>
      </w:r>
      <w:r>
        <w:rPr>
          <w:spacing w:val="-2"/>
        </w:rPr>
        <w:t xml:space="preserve"> </w:t>
      </w:r>
      <w:r>
        <w:t>truth-value</w:t>
      </w:r>
      <w:r>
        <w:rPr>
          <w:spacing w:val="-3"/>
        </w:rPr>
        <w:t xml:space="preserve"> </w:t>
      </w:r>
      <w:r>
        <w:rPr>
          <w:i/>
          <w:spacing w:val="-2"/>
        </w:rPr>
        <w:t>false.</w:t>
      </w:r>
    </w:p>
    <w:p w14:paraId="7E002E2E" w14:textId="77777777" w:rsidR="009A58DB" w:rsidRDefault="009A58DB">
      <w:pPr>
        <w:pStyle w:val="BodyText"/>
        <w:spacing w:before="30"/>
        <w:ind w:left="0"/>
        <w:jc w:val="left"/>
        <w:rPr>
          <w:i/>
        </w:rPr>
      </w:pPr>
    </w:p>
    <w:p w14:paraId="7E002E2F" w14:textId="77777777" w:rsidR="009A58DB" w:rsidRDefault="00000000">
      <w:pPr>
        <w:spacing w:line="252" w:lineRule="auto"/>
        <w:ind w:left="360" w:right="361"/>
        <w:jc w:val="both"/>
        <w:rPr>
          <w:sz w:val="30"/>
        </w:rPr>
      </w:pPr>
      <w:r>
        <w:rPr>
          <w:b/>
          <w:i/>
          <w:sz w:val="30"/>
        </w:rPr>
        <w:t xml:space="preserve">Universal generalization: </w:t>
      </w:r>
      <w:r>
        <w:rPr>
          <w:sz w:val="30"/>
        </w:rPr>
        <w:t xml:space="preserve">A sentence expresses a “universal generalization” if the </w:t>
      </w:r>
      <w:r>
        <w:rPr>
          <w:b/>
          <w:i/>
          <w:sz w:val="30"/>
        </w:rPr>
        <w:t xml:space="preserve">main connective </w:t>
      </w:r>
      <w:r>
        <w:rPr>
          <w:sz w:val="30"/>
        </w:rPr>
        <w:t xml:space="preserve">of that sentence is a </w:t>
      </w:r>
      <w:r>
        <w:rPr>
          <w:b/>
          <w:i/>
          <w:sz w:val="30"/>
        </w:rPr>
        <w:t>universal quantifier</w:t>
      </w:r>
      <w:bookmarkStart w:id="598" w:name="_bookmark598"/>
      <w:bookmarkEnd w:id="598"/>
      <w:r>
        <w:rPr>
          <w:b/>
          <w:i/>
          <w:sz w:val="30"/>
        </w:rPr>
        <w:t>.</w:t>
      </w:r>
      <w:r>
        <w:rPr>
          <w:color w:val="0562C1"/>
          <w:position w:val="22"/>
          <w:sz w:val="30"/>
          <w:u w:val="single" w:color="0562C1"/>
        </w:rPr>
        <w:t>[454]</w:t>
      </w:r>
      <w:r>
        <w:rPr>
          <w:color w:val="0562C1"/>
          <w:position w:val="22"/>
          <w:sz w:val="30"/>
        </w:rPr>
        <w:t xml:space="preserve"> </w:t>
      </w:r>
      <w:r>
        <w:rPr>
          <w:sz w:val="30"/>
        </w:rPr>
        <w:t>A connective is an expression that, when given a sentence, or open sentence, or ordered</w:t>
      </w:r>
      <w:r>
        <w:rPr>
          <w:spacing w:val="23"/>
          <w:sz w:val="30"/>
        </w:rPr>
        <w:t xml:space="preserve"> </w:t>
      </w:r>
      <w:r>
        <w:rPr>
          <w:sz w:val="30"/>
        </w:rPr>
        <w:t>n-tuple</w:t>
      </w:r>
      <w:r>
        <w:rPr>
          <w:spacing w:val="26"/>
          <w:sz w:val="30"/>
        </w:rPr>
        <w:t xml:space="preserve"> </w:t>
      </w:r>
      <w:r>
        <w:rPr>
          <w:sz w:val="30"/>
        </w:rPr>
        <w:t>of</w:t>
      </w:r>
      <w:r>
        <w:rPr>
          <w:spacing w:val="25"/>
          <w:sz w:val="30"/>
        </w:rPr>
        <w:t xml:space="preserve"> </w:t>
      </w:r>
      <w:r>
        <w:rPr>
          <w:sz w:val="30"/>
        </w:rPr>
        <w:t>(open)</w:t>
      </w:r>
      <w:r>
        <w:rPr>
          <w:spacing w:val="26"/>
          <w:sz w:val="30"/>
        </w:rPr>
        <w:t xml:space="preserve"> </w:t>
      </w:r>
      <w:r>
        <w:rPr>
          <w:sz w:val="30"/>
        </w:rPr>
        <w:t>sentences,</w:t>
      </w:r>
      <w:r>
        <w:rPr>
          <w:spacing w:val="25"/>
          <w:sz w:val="30"/>
        </w:rPr>
        <w:t xml:space="preserve"> </w:t>
      </w:r>
      <w:r>
        <w:rPr>
          <w:sz w:val="30"/>
        </w:rPr>
        <w:t>yields</w:t>
      </w:r>
      <w:r>
        <w:rPr>
          <w:spacing w:val="26"/>
          <w:sz w:val="30"/>
        </w:rPr>
        <w:t xml:space="preserve"> </w:t>
      </w:r>
      <w:r>
        <w:rPr>
          <w:sz w:val="30"/>
        </w:rPr>
        <w:t>a</w:t>
      </w:r>
      <w:r>
        <w:rPr>
          <w:spacing w:val="25"/>
          <w:sz w:val="30"/>
        </w:rPr>
        <w:t xml:space="preserve"> </w:t>
      </w:r>
      <w:r>
        <w:rPr>
          <w:sz w:val="30"/>
        </w:rPr>
        <w:t>new</w:t>
      </w:r>
      <w:r>
        <w:rPr>
          <w:spacing w:val="26"/>
          <w:sz w:val="30"/>
        </w:rPr>
        <w:t xml:space="preserve"> </w:t>
      </w:r>
      <w:r>
        <w:rPr>
          <w:sz w:val="30"/>
        </w:rPr>
        <w:t>sentence.</w:t>
      </w:r>
      <w:r>
        <w:rPr>
          <w:spacing w:val="25"/>
          <w:sz w:val="30"/>
        </w:rPr>
        <w:t xml:space="preserve"> </w:t>
      </w:r>
      <w:r>
        <w:rPr>
          <w:sz w:val="30"/>
        </w:rPr>
        <w:t>Thus</w:t>
      </w:r>
      <w:r>
        <w:rPr>
          <w:spacing w:val="26"/>
          <w:sz w:val="30"/>
        </w:rPr>
        <w:t xml:space="preserve"> </w:t>
      </w:r>
      <w:r>
        <w:rPr>
          <w:sz w:val="30"/>
        </w:rPr>
        <w:t>“and”</w:t>
      </w:r>
      <w:r>
        <w:rPr>
          <w:spacing w:val="25"/>
          <w:sz w:val="30"/>
        </w:rPr>
        <w:t xml:space="preserve"> </w:t>
      </w:r>
      <w:r>
        <w:rPr>
          <w:sz w:val="30"/>
        </w:rPr>
        <w:t>is</w:t>
      </w:r>
      <w:r>
        <w:rPr>
          <w:spacing w:val="26"/>
          <w:sz w:val="30"/>
        </w:rPr>
        <w:t xml:space="preserve"> </w:t>
      </w:r>
      <w:r>
        <w:rPr>
          <w:spacing w:val="-10"/>
          <w:sz w:val="30"/>
        </w:rPr>
        <w:t>a</w:t>
      </w:r>
    </w:p>
    <w:p w14:paraId="7E002E30" w14:textId="77777777" w:rsidR="009A58DB" w:rsidRDefault="009A58DB">
      <w:pPr>
        <w:spacing w:line="252" w:lineRule="auto"/>
        <w:jc w:val="both"/>
        <w:rPr>
          <w:sz w:val="30"/>
        </w:rPr>
        <w:sectPr w:rsidR="009A58DB">
          <w:pgSz w:w="12240" w:h="15840"/>
          <w:pgMar w:top="1380" w:right="1080" w:bottom="280" w:left="1080" w:header="720" w:footer="720" w:gutter="0"/>
          <w:cols w:space="720"/>
        </w:sectPr>
      </w:pPr>
    </w:p>
    <w:p w14:paraId="7E002E31" w14:textId="77777777" w:rsidR="009A58DB" w:rsidRDefault="00000000">
      <w:pPr>
        <w:pStyle w:val="BodyText"/>
        <w:spacing w:before="65" w:line="249" w:lineRule="auto"/>
        <w:ind w:right="360"/>
      </w:pPr>
      <w:r>
        <w:t>connective because, when given the pair of sentences (“grass is green,”</w:t>
      </w:r>
      <w:r>
        <w:rPr>
          <w:spacing w:val="40"/>
        </w:rPr>
        <w:t xml:space="preserve"> </w:t>
      </w:r>
      <w:r>
        <w:t>“snow is white”), it yields the sentence “grass is green and snow is white.”</w:t>
      </w:r>
      <w:r>
        <w:rPr>
          <w:spacing w:val="40"/>
        </w:rPr>
        <w:t xml:space="preserve"> </w:t>
      </w:r>
      <w:r>
        <w:t>(In what follows, “sentence” will be short for “sentence or open sentence of ordered n-tuple of sentences or open-sentences.”)</w:t>
      </w:r>
    </w:p>
    <w:p w14:paraId="7E002E32" w14:textId="77777777" w:rsidR="009A58DB" w:rsidRDefault="009A58DB">
      <w:pPr>
        <w:pStyle w:val="BodyText"/>
        <w:spacing w:before="19"/>
        <w:ind w:left="0"/>
        <w:jc w:val="left"/>
      </w:pPr>
    </w:p>
    <w:p w14:paraId="7E002E33" w14:textId="77777777" w:rsidR="009A58DB" w:rsidRDefault="00000000">
      <w:pPr>
        <w:spacing w:before="1" w:line="249" w:lineRule="auto"/>
        <w:ind w:left="360" w:right="359"/>
        <w:jc w:val="both"/>
        <w:rPr>
          <w:sz w:val="30"/>
        </w:rPr>
      </w:pPr>
      <w:r>
        <w:rPr>
          <w:sz w:val="30"/>
        </w:rPr>
        <w:t xml:space="preserve">Commentary: Many statements that </w:t>
      </w:r>
      <w:r>
        <w:rPr>
          <w:i/>
          <w:sz w:val="30"/>
        </w:rPr>
        <w:t xml:space="preserve">seem </w:t>
      </w:r>
      <w:r>
        <w:rPr>
          <w:sz w:val="30"/>
        </w:rPr>
        <w:t xml:space="preserve">to be conditionals are not, and are instead universal generalizations. For example </w:t>
      </w:r>
      <w:r>
        <w:rPr>
          <w:i/>
          <w:sz w:val="30"/>
        </w:rPr>
        <w:t>if a thing likes apples, it is friendly</w:t>
      </w:r>
      <w:r>
        <w:rPr>
          <w:sz w:val="30"/>
        </w:rPr>
        <w:t>, is a universal generalization, not a conditional. The reason: it’s identical</w:t>
      </w:r>
      <w:r>
        <w:rPr>
          <w:spacing w:val="-3"/>
          <w:sz w:val="30"/>
        </w:rPr>
        <w:t xml:space="preserve"> </w:t>
      </w:r>
      <w:r>
        <w:rPr>
          <w:sz w:val="30"/>
        </w:rPr>
        <w:t>with</w:t>
      </w:r>
      <w:r>
        <w:rPr>
          <w:spacing w:val="-2"/>
          <w:sz w:val="30"/>
        </w:rPr>
        <w:t xml:space="preserve"> </w:t>
      </w:r>
      <w:r>
        <w:rPr>
          <w:sz w:val="30"/>
        </w:rPr>
        <w:t>the</w:t>
      </w:r>
      <w:r>
        <w:rPr>
          <w:spacing w:val="-3"/>
          <w:sz w:val="30"/>
        </w:rPr>
        <w:t xml:space="preserve"> </w:t>
      </w:r>
      <w:r>
        <w:rPr>
          <w:sz w:val="30"/>
        </w:rPr>
        <w:t>proposition:</w:t>
      </w:r>
      <w:r>
        <w:rPr>
          <w:spacing w:val="-3"/>
          <w:sz w:val="30"/>
        </w:rPr>
        <w:t xml:space="preserve"> </w:t>
      </w:r>
      <w:r>
        <w:rPr>
          <w:i/>
          <w:sz w:val="30"/>
        </w:rPr>
        <w:t xml:space="preserve">all things are such that they are friendly if they like apples. </w:t>
      </w:r>
      <w:r>
        <w:rPr>
          <w:sz w:val="30"/>
        </w:rPr>
        <w:t xml:space="preserve">Put another way, it’s identical with: </w:t>
      </w:r>
      <w:r>
        <w:rPr>
          <w:i/>
          <w:sz w:val="30"/>
        </w:rPr>
        <w:t xml:space="preserve">for any x, if x likes apples, x is friendly. </w:t>
      </w:r>
      <w:r>
        <w:rPr>
          <w:sz w:val="30"/>
        </w:rPr>
        <w:t>Thus, the “main connective” of the sentence “if a thing likes apples, it is friendly” isn’t “if,” and is instead “for any object x”; and for this reason, it’s a universal generalization, not a conditional.</w:t>
      </w:r>
    </w:p>
    <w:p w14:paraId="7E002E34" w14:textId="77777777" w:rsidR="009A58DB" w:rsidRDefault="009A58DB">
      <w:pPr>
        <w:pStyle w:val="BodyText"/>
        <w:spacing w:before="24"/>
        <w:ind w:left="0"/>
        <w:jc w:val="left"/>
      </w:pPr>
    </w:p>
    <w:p w14:paraId="7E002E35" w14:textId="77777777" w:rsidR="009A58DB" w:rsidRDefault="00000000">
      <w:pPr>
        <w:pStyle w:val="BodyText"/>
        <w:spacing w:line="249" w:lineRule="auto"/>
        <w:ind w:right="362"/>
      </w:pPr>
      <w:r>
        <w:rPr>
          <w:b/>
          <w:i/>
        </w:rPr>
        <w:t>Utilitarianism:</w:t>
      </w:r>
      <w:r>
        <w:rPr>
          <w:b/>
          <w:i/>
          <w:spacing w:val="-4"/>
        </w:rPr>
        <w:t xml:space="preserve"> </w:t>
      </w:r>
      <w:r>
        <w:t>The doctrine that an act is morally correct to the extent that it promotes human welfare, and morally incorrect to the extent that it undermines it. See “consequentialism.”</w:t>
      </w:r>
    </w:p>
    <w:p w14:paraId="7E002E36" w14:textId="77777777" w:rsidR="009A58DB" w:rsidRDefault="009A58DB">
      <w:pPr>
        <w:pStyle w:val="BodyText"/>
        <w:spacing w:before="19"/>
        <w:ind w:left="0"/>
        <w:jc w:val="left"/>
      </w:pPr>
    </w:p>
    <w:p w14:paraId="7E002E37" w14:textId="77777777" w:rsidR="009A58DB" w:rsidRDefault="00000000">
      <w:pPr>
        <w:ind w:left="360"/>
        <w:jc w:val="both"/>
        <w:rPr>
          <w:sz w:val="30"/>
        </w:rPr>
      </w:pPr>
      <w:r>
        <w:rPr>
          <w:b/>
          <w:i/>
          <w:sz w:val="30"/>
        </w:rPr>
        <w:t>Vagueness:</w:t>
      </w:r>
      <w:r>
        <w:rPr>
          <w:b/>
          <w:i/>
          <w:spacing w:val="-5"/>
          <w:sz w:val="30"/>
        </w:rPr>
        <w:t xml:space="preserve"> </w:t>
      </w:r>
      <w:r>
        <w:rPr>
          <w:sz w:val="30"/>
        </w:rPr>
        <w:t>See</w:t>
      </w:r>
      <w:r>
        <w:rPr>
          <w:spacing w:val="-4"/>
          <w:sz w:val="30"/>
        </w:rPr>
        <w:t xml:space="preserve"> </w:t>
      </w:r>
      <w:r>
        <w:rPr>
          <w:sz w:val="30"/>
        </w:rPr>
        <w:t>“ambiguity</w:t>
      </w:r>
      <w:r>
        <w:rPr>
          <w:spacing w:val="-4"/>
          <w:sz w:val="30"/>
        </w:rPr>
        <w:t xml:space="preserve"> </w:t>
      </w:r>
      <w:r>
        <w:rPr>
          <w:sz w:val="30"/>
        </w:rPr>
        <w:t>vs.</w:t>
      </w:r>
      <w:r>
        <w:rPr>
          <w:spacing w:val="-4"/>
          <w:sz w:val="30"/>
        </w:rPr>
        <w:t xml:space="preserve"> </w:t>
      </w:r>
      <w:r>
        <w:rPr>
          <w:spacing w:val="-2"/>
          <w:sz w:val="30"/>
        </w:rPr>
        <w:t>vagueness.”</w:t>
      </w:r>
    </w:p>
    <w:p w14:paraId="7E002E38" w14:textId="77777777" w:rsidR="009A58DB" w:rsidRDefault="009A58DB">
      <w:pPr>
        <w:pStyle w:val="BodyText"/>
        <w:spacing w:before="30"/>
        <w:ind w:left="0"/>
        <w:jc w:val="left"/>
      </w:pPr>
    </w:p>
    <w:p w14:paraId="7E002E39" w14:textId="77777777" w:rsidR="009A58DB" w:rsidRDefault="00000000">
      <w:pPr>
        <w:pStyle w:val="BodyText"/>
        <w:spacing w:line="249" w:lineRule="auto"/>
        <w:ind w:right="358"/>
      </w:pPr>
      <w:r>
        <w:rPr>
          <w:b/>
          <w:i/>
        </w:rPr>
        <w:t xml:space="preserve">Valid: </w:t>
      </w:r>
      <w:r>
        <w:t xml:space="preserve">An argument is valid iff the conclusion cannot possibly be false, if premises are true. A valid argument can have false premises. (For example: Premise: All people have feathers. Premise: All things that have feathers drink to excess. Conclusion: All people drink to excess.) A valid argument with true premises is a </w:t>
      </w:r>
      <w:r>
        <w:rPr>
          <w:i/>
        </w:rPr>
        <w:t xml:space="preserve">sound </w:t>
      </w:r>
      <w:r>
        <w:t>argument. (For example: Premise: JMK has a car. Premise: All cars are motorized vehicles. Conclusion: JMK has a motorized vehicle.)</w:t>
      </w:r>
    </w:p>
    <w:p w14:paraId="7E002E3A" w14:textId="77777777" w:rsidR="009A58DB" w:rsidRDefault="009A58DB">
      <w:pPr>
        <w:pStyle w:val="BodyText"/>
        <w:spacing w:before="24"/>
        <w:ind w:left="0"/>
        <w:jc w:val="left"/>
      </w:pPr>
    </w:p>
    <w:p w14:paraId="7E002E3B" w14:textId="77777777" w:rsidR="009A58DB" w:rsidRDefault="00000000">
      <w:pPr>
        <w:ind w:left="360"/>
        <w:jc w:val="both"/>
        <w:rPr>
          <w:sz w:val="30"/>
        </w:rPr>
      </w:pPr>
      <w:r>
        <w:rPr>
          <w:b/>
          <w:i/>
          <w:sz w:val="30"/>
        </w:rPr>
        <w:t>Validate:</w:t>
      </w:r>
      <w:r>
        <w:rPr>
          <w:b/>
          <w:i/>
          <w:spacing w:val="-5"/>
          <w:sz w:val="30"/>
        </w:rPr>
        <w:t xml:space="preserve"> </w:t>
      </w:r>
      <w:r>
        <w:rPr>
          <w:sz w:val="30"/>
        </w:rPr>
        <w:t>See</w:t>
      </w:r>
      <w:r>
        <w:rPr>
          <w:spacing w:val="-4"/>
          <w:sz w:val="30"/>
        </w:rPr>
        <w:t xml:space="preserve"> </w:t>
      </w:r>
      <w:r>
        <w:rPr>
          <w:spacing w:val="-2"/>
          <w:sz w:val="30"/>
        </w:rPr>
        <w:t>“interpretation.”</w:t>
      </w:r>
    </w:p>
    <w:p w14:paraId="7E002E3C" w14:textId="77777777" w:rsidR="009A58DB" w:rsidRDefault="009A58DB">
      <w:pPr>
        <w:pStyle w:val="BodyText"/>
        <w:spacing w:before="30"/>
        <w:ind w:left="0"/>
        <w:jc w:val="left"/>
      </w:pPr>
    </w:p>
    <w:p w14:paraId="7E002E3D" w14:textId="77777777" w:rsidR="009A58DB" w:rsidRDefault="00000000">
      <w:pPr>
        <w:pStyle w:val="BodyText"/>
        <w:spacing w:line="249" w:lineRule="auto"/>
        <w:ind w:right="358"/>
      </w:pPr>
      <w:r>
        <w:rPr>
          <w:b/>
          <w:i/>
        </w:rPr>
        <w:t xml:space="preserve">Virtue theory: </w:t>
      </w:r>
      <w:r>
        <w:t>The doctrine composed of the following two assertions: (i) a morally correct life is one in which one flourishes. (ii) One’s own flourishing depends constitutively on one’s having character traits (or “virtues”) that conduce to the flourishing of others.</w:t>
      </w:r>
    </w:p>
    <w:p w14:paraId="7E002E3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E3F" w14:textId="77777777" w:rsidR="009A58DB" w:rsidRDefault="00000000">
      <w:pPr>
        <w:pStyle w:val="Heading1"/>
        <w:spacing w:before="58"/>
        <w:ind w:left="332" w:right="332" w:firstLine="0"/>
        <w:jc w:val="center"/>
      </w:pPr>
      <w:r>
        <w:rPr>
          <w:spacing w:val="-2"/>
        </w:rPr>
        <w:t>BIBLIOGRAPHY</w:t>
      </w:r>
    </w:p>
    <w:p w14:paraId="7E002E40" w14:textId="77777777" w:rsidR="009A58DB" w:rsidRDefault="00000000">
      <w:pPr>
        <w:spacing w:before="124" w:line="249" w:lineRule="auto"/>
        <w:ind w:left="720" w:right="365" w:hanging="360"/>
        <w:rPr>
          <w:sz w:val="30"/>
        </w:rPr>
      </w:pPr>
      <w:r>
        <w:rPr>
          <w:sz w:val="30"/>
        </w:rPr>
        <w:t xml:space="preserve">Armstrong, David. 1989. </w:t>
      </w:r>
      <w:r>
        <w:rPr>
          <w:i/>
          <w:sz w:val="30"/>
        </w:rPr>
        <w:t xml:space="preserve">Universals: an Opinionated Introduction. </w:t>
      </w:r>
      <w:r>
        <w:rPr>
          <w:sz w:val="30"/>
        </w:rPr>
        <w:t>Boulder, CO: Westview Press.</w:t>
      </w:r>
    </w:p>
    <w:p w14:paraId="7E002E41" w14:textId="77777777" w:rsidR="009A58DB" w:rsidRDefault="00000000">
      <w:pPr>
        <w:spacing w:before="32" w:line="249" w:lineRule="auto"/>
        <w:ind w:left="720" w:right="365" w:hanging="360"/>
        <w:rPr>
          <w:sz w:val="30"/>
        </w:rPr>
      </w:pPr>
      <w:r>
        <w:rPr>
          <w:sz w:val="30"/>
        </w:rPr>
        <w:t>Armstrong,</w:t>
      </w:r>
      <w:r>
        <w:rPr>
          <w:spacing w:val="-1"/>
          <w:sz w:val="30"/>
        </w:rPr>
        <w:t xml:space="preserve"> </w:t>
      </w:r>
      <w:r>
        <w:rPr>
          <w:sz w:val="30"/>
        </w:rPr>
        <w:t>David.</w:t>
      </w:r>
      <w:r>
        <w:rPr>
          <w:spacing w:val="-1"/>
          <w:sz w:val="30"/>
        </w:rPr>
        <w:t xml:space="preserve"> </w:t>
      </w:r>
      <w:r>
        <w:rPr>
          <w:sz w:val="30"/>
        </w:rPr>
        <w:t>1992.</w:t>
      </w:r>
      <w:r>
        <w:rPr>
          <w:spacing w:val="-1"/>
          <w:sz w:val="30"/>
        </w:rPr>
        <w:t xml:space="preserve"> </w:t>
      </w:r>
      <w:r>
        <w:rPr>
          <w:sz w:val="30"/>
        </w:rPr>
        <w:t>Properties.</w:t>
      </w:r>
      <w:r>
        <w:rPr>
          <w:spacing w:val="-1"/>
          <w:sz w:val="30"/>
        </w:rPr>
        <w:t xml:space="preserve"> </w:t>
      </w:r>
      <w:r>
        <w:rPr>
          <w:sz w:val="30"/>
        </w:rPr>
        <w:t>In</w:t>
      </w:r>
      <w:r>
        <w:rPr>
          <w:spacing w:val="-1"/>
          <w:sz w:val="30"/>
        </w:rPr>
        <w:t xml:space="preserve"> </w:t>
      </w:r>
      <w:r>
        <w:rPr>
          <w:sz w:val="30"/>
        </w:rPr>
        <w:t>Steven</w:t>
      </w:r>
      <w:r>
        <w:rPr>
          <w:spacing w:val="-1"/>
          <w:sz w:val="30"/>
        </w:rPr>
        <w:t xml:space="preserve"> </w:t>
      </w:r>
      <w:r>
        <w:rPr>
          <w:sz w:val="30"/>
        </w:rPr>
        <w:t>M.</w:t>
      </w:r>
      <w:r>
        <w:rPr>
          <w:spacing w:val="-1"/>
          <w:sz w:val="30"/>
        </w:rPr>
        <w:t xml:space="preserve"> </w:t>
      </w:r>
      <w:r>
        <w:rPr>
          <w:sz w:val="30"/>
        </w:rPr>
        <w:t>Cahn</w:t>
      </w:r>
      <w:r>
        <w:rPr>
          <w:spacing w:val="-1"/>
          <w:sz w:val="30"/>
        </w:rPr>
        <w:t xml:space="preserve"> </w:t>
      </w:r>
      <w:r>
        <w:rPr>
          <w:sz w:val="30"/>
        </w:rPr>
        <w:t>(Ed.),</w:t>
      </w:r>
      <w:r>
        <w:rPr>
          <w:spacing w:val="-1"/>
          <w:sz w:val="30"/>
        </w:rPr>
        <w:t xml:space="preserve"> </w:t>
      </w:r>
      <w:r>
        <w:rPr>
          <w:i/>
          <w:sz w:val="30"/>
        </w:rPr>
        <w:t>Philosophy</w:t>
      </w:r>
      <w:r>
        <w:rPr>
          <w:i/>
          <w:spacing w:val="-5"/>
          <w:sz w:val="30"/>
        </w:rPr>
        <w:t xml:space="preserve"> </w:t>
      </w:r>
      <w:r>
        <w:rPr>
          <w:i/>
          <w:sz w:val="30"/>
        </w:rPr>
        <w:t xml:space="preserve">for the 21st Century </w:t>
      </w:r>
      <w:r>
        <w:rPr>
          <w:sz w:val="30"/>
        </w:rPr>
        <w:t>(pp. 181–193). New York: Oxford University Press.</w:t>
      </w:r>
    </w:p>
    <w:p w14:paraId="7E002E42" w14:textId="77777777" w:rsidR="009A58DB" w:rsidRDefault="00000000">
      <w:pPr>
        <w:spacing w:before="3" w:line="249" w:lineRule="auto"/>
        <w:ind w:left="720" w:right="794" w:hanging="360"/>
        <w:rPr>
          <w:sz w:val="30"/>
        </w:rPr>
      </w:pPr>
      <w:r>
        <w:rPr>
          <w:sz w:val="30"/>
        </w:rPr>
        <w:t>Austin,</w:t>
      </w:r>
      <w:r>
        <w:rPr>
          <w:spacing w:val="80"/>
          <w:sz w:val="30"/>
        </w:rPr>
        <w:t xml:space="preserve"> </w:t>
      </w:r>
      <w:r>
        <w:rPr>
          <w:sz w:val="30"/>
        </w:rPr>
        <w:t>J.</w:t>
      </w:r>
      <w:r>
        <w:rPr>
          <w:spacing w:val="80"/>
          <w:sz w:val="30"/>
        </w:rPr>
        <w:t xml:space="preserve"> </w:t>
      </w:r>
      <w:r>
        <w:rPr>
          <w:sz w:val="30"/>
        </w:rPr>
        <w:t>L.</w:t>
      </w:r>
      <w:r>
        <w:rPr>
          <w:spacing w:val="80"/>
          <w:sz w:val="30"/>
        </w:rPr>
        <w:t xml:space="preserve"> </w:t>
      </w:r>
      <w:r>
        <w:rPr>
          <w:sz w:val="30"/>
        </w:rPr>
        <w:t>1961.</w:t>
      </w:r>
      <w:r>
        <w:rPr>
          <w:spacing w:val="80"/>
          <w:sz w:val="30"/>
        </w:rPr>
        <w:t xml:space="preserve"> </w:t>
      </w:r>
      <w:r>
        <w:rPr>
          <w:i/>
          <w:sz w:val="30"/>
        </w:rPr>
        <w:t>Philosophical</w:t>
      </w:r>
      <w:r>
        <w:rPr>
          <w:i/>
          <w:spacing w:val="80"/>
          <w:sz w:val="30"/>
        </w:rPr>
        <w:t xml:space="preserve"> </w:t>
      </w:r>
      <w:r>
        <w:rPr>
          <w:i/>
          <w:sz w:val="30"/>
        </w:rPr>
        <w:t>Papers.</w:t>
      </w:r>
      <w:r>
        <w:rPr>
          <w:i/>
          <w:spacing w:val="80"/>
          <w:sz w:val="30"/>
        </w:rPr>
        <w:t xml:space="preserve"> </w:t>
      </w:r>
      <w:r>
        <w:rPr>
          <w:sz w:val="30"/>
        </w:rPr>
        <w:t>New</w:t>
      </w:r>
      <w:r>
        <w:rPr>
          <w:spacing w:val="80"/>
          <w:sz w:val="30"/>
        </w:rPr>
        <w:t xml:space="preserve"> </w:t>
      </w:r>
      <w:r>
        <w:rPr>
          <w:sz w:val="30"/>
        </w:rPr>
        <w:t>York:</w:t>
      </w:r>
      <w:r>
        <w:rPr>
          <w:spacing w:val="80"/>
          <w:sz w:val="30"/>
        </w:rPr>
        <w:t xml:space="preserve"> </w:t>
      </w:r>
      <w:r>
        <w:rPr>
          <w:sz w:val="30"/>
        </w:rPr>
        <w:t>Oxford University Press.</w:t>
      </w:r>
    </w:p>
    <w:p w14:paraId="7E002E43" w14:textId="77777777" w:rsidR="009A58DB" w:rsidRDefault="00000000">
      <w:pPr>
        <w:spacing w:before="47" w:line="249" w:lineRule="auto"/>
        <w:ind w:left="720" w:right="794" w:hanging="360"/>
        <w:rPr>
          <w:sz w:val="30"/>
        </w:rPr>
      </w:pPr>
      <w:r>
        <w:rPr>
          <w:sz w:val="30"/>
        </w:rPr>
        <w:t>Austin,</w:t>
      </w:r>
      <w:r>
        <w:rPr>
          <w:spacing w:val="75"/>
          <w:sz w:val="30"/>
        </w:rPr>
        <w:t xml:space="preserve"> </w:t>
      </w:r>
      <w:r>
        <w:rPr>
          <w:sz w:val="30"/>
        </w:rPr>
        <w:t>J.</w:t>
      </w:r>
      <w:r>
        <w:rPr>
          <w:spacing w:val="75"/>
          <w:sz w:val="30"/>
        </w:rPr>
        <w:t xml:space="preserve"> </w:t>
      </w:r>
      <w:r>
        <w:rPr>
          <w:sz w:val="30"/>
        </w:rPr>
        <w:t>L.</w:t>
      </w:r>
      <w:r>
        <w:rPr>
          <w:spacing w:val="75"/>
          <w:sz w:val="30"/>
        </w:rPr>
        <w:t xml:space="preserve"> </w:t>
      </w:r>
      <w:r>
        <w:rPr>
          <w:sz w:val="30"/>
        </w:rPr>
        <w:t>1976.</w:t>
      </w:r>
      <w:r>
        <w:rPr>
          <w:spacing w:val="75"/>
          <w:sz w:val="30"/>
        </w:rPr>
        <w:t xml:space="preserve"> </w:t>
      </w:r>
      <w:r>
        <w:rPr>
          <w:i/>
          <w:sz w:val="30"/>
        </w:rPr>
        <w:t>How</w:t>
      </w:r>
      <w:r>
        <w:rPr>
          <w:i/>
          <w:spacing w:val="76"/>
          <w:sz w:val="30"/>
        </w:rPr>
        <w:t xml:space="preserve"> </w:t>
      </w:r>
      <w:r>
        <w:rPr>
          <w:i/>
          <w:sz w:val="30"/>
        </w:rPr>
        <w:t>to</w:t>
      </w:r>
      <w:r>
        <w:rPr>
          <w:i/>
          <w:spacing w:val="76"/>
          <w:sz w:val="30"/>
        </w:rPr>
        <w:t xml:space="preserve"> </w:t>
      </w:r>
      <w:r>
        <w:rPr>
          <w:i/>
          <w:sz w:val="30"/>
        </w:rPr>
        <w:t>do</w:t>
      </w:r>
      <w:r>
        <w:rPr>
          <w:i/>
          <w:spacing w:val="77"/>
          <w:sz w:val="30"/>
        </w:rPr>
        <w:t xml:space="preserve"> </w:t>
      </w:r>
      <w:r>
        <w:rPr>
          <w:i/>
          <w:sz w:val="30"/>
        </w:rPr>
        <w:t>things</w:t>
      </w:r>
      <w:r>
        <w:rPr>
          <w:i/>
          <w:spacing w:val="76"/>
          <w:sz w:val="30"/>
        </w:rPr>
        <w:t xml:space="preserve"> </w:t>
      </w:r>
      <w:r>
        <w:rPr>
          <w:i/>
          <w:sz w:val="30"/>
        </w:rPr>
        <w:t>with</w:t>
      </w:r>
      <w:r>
        <w:rPr>
          <w:i/>
          <w:spacing w:val="76"/>
          <w:sz w:val="30"/>
        </w:rPr>
        <w:t xml:space="preserve"> </w:t>
      </w:r>
      <w:r>
        <w:rPr>
          <w:i/>
          <w:sz w:val="30"/>
        </w:rPr>
        <w:t>words.</w:t>
      </w:r>
      <w:r>
        <w:rPr>
          <w:i/>
          <w:spacing w:val="77"/>
          <w:sz w:val="30"/>
        </w:rPr>
        <w:t xml:space="preserve"> </w:t>
      </w:r>
      <w:r>
        <w:rPr>
          <w:sz w:val="30"/>
        </w:rPr>
        <w:t>New</w:t>
      </w:r>
      <w:r>
        <w:rPr>
          <w:spacing w:val="71"/>
          <w:sz w:val="30"/>
        </w:rPr>
        <w:t xml:space="preserve"> </w:t>
      </w:r>
      <w:r>
        <w:rPr>
          <w:sz w:val="30"/>
        </w:rPr>
        <w:t>York: Oxford University Press.</w:t>
      </w:r>
    </w:p>
    <w:p w14:paraId="7E002E44" w14:textId="77777777" w:rsidR="009A58DB" w:rsidRDefault="00000000">
      <w:pPr>
        <w:spacing w:before="33" w:line="249" w:lineRule="auto"/>
        <w:ind w:left="720" w:right="1108" w:hanging="360"/>
        <w:rPr>
          <w:sz w:val="30"/>
        </w:rPr>
      </w:pPr>
      <w:r>
        <w:rPr>
          <w:sz w:val="30"/>
        </w:rPr>
        <w:t xml:space="preserve">Ayer, Alfred Jules. 1952. </w:t>
      </w:r>
      <w:r>
        <w:rPr>
          <w:i/>
          <w:sz w:val="30"/>
        </w:rPr>
        <w:t xml:space="preserve">Language, Truth, and Logic. </w:t>
      </w:r>
      <w:r>
        <w:rPr>
          <w:sz w:val="30"/>
        </w:rPr>
        <w:t>New York: Dover Publications.</w:t>
      </w:r>
    </w:p>
    <w:p w14:paraId="7E002E45" w14:textId="77777777" w:rsidR="009A58DB" w:rsidRDefault="00000000">
      <w:pPr>
        <w:pStyle w:val="BodyText"/>
        <w:spacing w:before="47" w:line="249" w:lineRule="auto"/>
        <w:ind w:left="720" w:right="363" w:hanging="360"/>
      </w:pPr>
      <w:r>
        <w:t xml:space="preserve">Ayer, Alfred Jules. 1954. Can there be a private language? In A.P. Martinich (Ed.), </w:t>
      </w:r>
      <w:r>
        <w:rPr>
          <w:i/>
        </w:rPr>
        <w:t xml:space="preserve">The Philosophy of Language </w:t>
      </w:r>
      <w:r>
        <w:t>(pp. 449–456). Oxford: Oxford University Press.</w:t>
      </w:r>
    </w:p>
    <w:p w14:paraId="7E002E46" w14:textId="77777777" w:rsidR="009A58DB" w:rsidRDefault="00000000">
      <w:pPr>
        <w:spacing w:before="49" w:line="249" w:lineRule="auto"/>
        <w:ind w:left="720" w:right="369" w:hanging="360"/>
        <w:jc w:val="both"/>
        <w:rPr>
          <w:sz w:val="30"/>
        </w:rPr>
      </w:pPr>
      <w:r>
        <w:rPr>
          <w:sz w:val="30"/>
        </w:rPr>
        <w:t xml:space="preserve">Barwise, Jon. 1989. </w:t>
      </w:r>
      <w:r>
        <w:rPr>
          <w:i/>
          <w:sz w:val="30"/>
        </w:rPr>
        <w:t>The Situation in Logic</w:t>
      </w:r>
      <w:r>
        <w:rPr>
          <w:sz w:val="30"/>
        </w:rPr>
        <w:t xml:space="preserve">. Palo Alto, CA: CSLI </w:t>
      </w:r>
      <w:r>
        <w:rPr>
          <w:spacing w:val="-2"/>
          <w:sz w:val="30"/>
        </w:rPr>
        <w:t>Publications.</w:t>
      </w:r>
    </w:p>
    <w:p w14:paraId="7E002E47" w14:textId="77777777" w:rsidR="009A58DB" w:rsidRDefault="00000000">
      <w:pPr>
        <w:spacing w:before="32" w:line="249" w:lineRule="auto"/>
        <w:ind w:left="720" w:right="688" w:hanging="360"/>
        <w:jc w:val="both"/>
        <w:rPr>
          <w:sz w:val="30"/>
        </w:rPr>
      </w:pPr>
      <w:r>
        <w:rPr>
          <w:sz w:val="30"/>
        </w:rPr>
        <w:t xml:space="preserve">Barwise, Jon, &amp; Perry, John. 1983. </w:t>
      </w:r>
      <w:r>
        <w:rPr>
          <w:i/>
          <w:sz w:val="30"/>
        </w:rPr>
        <w:t xml:space="preserve">Situations and Attitudes. </w:t>
      </w:r>
      <w:r>
        <w:rPr>
          <w:sz w:val="30"/>
        </w:rPr>
        <w:t>Palo Alto, CA: CSLI Publications.</w:t>
      </w:r>
    </w:p>
    <w:p w14:paraId="7E002E48" w14:textId="77777777" w:rsidR="009A58DB" w:rsidRDefault="00000000">
      <w:pPr>
        <w:spacing w:before="48" w:line="249" w:lineRule="auto"/>
        <w:ind w:left="720" w:hanging="360"/>
        <w:rPr>
          <w:sz w:val="30"/>
        </w:rPr>
      </w:pPr>
      <w:r>
        <w:rPr>
          <w:sz w:val="30"/>
        </w:rPr>
        <w:t>Benacerraf,</w:t>
      </w:r>
      <w:r>
        <w:rPr>
          <w:spacing w:val="80"/>
          <w:sz w:val="30"/>
        </w:rPr>
        <w:t xml:space="preserve"> </w:t>
      </w:r>
      <w:r>
        <w:rPr>
          <w:sz w:val="30"/>
        </w:rPr>
        <w:t>Paul.</w:t>
      </w:r>
      <w:r>
        <w:rPr>
          <w:spacing w:val="80"/>
          <w:sz w:val="30"/>
        </w:rPr>
        <w:t xml:space="preserve"> </w:t>
      </w:r>
      <w:r>
        <w:rPr>
          <w:sz w:val="30"/>
        </w:rPr>
        <w:t>1965.</w:t>
      </w:r>
      <w:r>
        <w:rPr>
          <w:spacing w:val="80"/>
          <w:sz w:val="30"/>
        </w:rPr>
        <w:t xml:space="preserve"> </w:t>
      </w:r>
      <w:r>
        <w:rPr>
          <w:sz w:val="30"/>
        </w:rPr>
        <w:t>What</w:t>
      </w:r>
      <w:r>
        <w:rPr>
          <w:spacing w:val="80"/>
          <w:sz w:val="30"/>
        </w:rPr>
        <w:t xml:space="preserve"> </w:t>
      </w:r>
      <w:r>
        <w:rPr>
          <w:sz w:val="30"/>
        </w:rPr>
        <w:t>Numbers</w:t>
      </w:r>
      <w:r>
        <w:rPr>
          <w:spacing w:val="80"/>
          <w:sz w:val="30"/>
        </w:rPr>
        <w:t xml:space="preserve"> </w:t>
      </w:r>
      <w:r>
        <w:rPr>
          <w:sz w:val="30"/>
        </w:rPr>
        <w:t>Could</w:t>
      </w:r>
      <w:r>
        <w:rPr>
          <w:spacing w:val="80"/>
          <w:sz w:val="30"/>
        </w:rPr>
        <w:t xml:space="preserve"> </w:t>
      </w:r>
      <w:r>
        <w:rPr>
          <w:sz w:val="30"/>
        </w:rPr>
        <w:t>Not</w:t>
      </w:r>
      <w:r>
        <w:rPr>
          <w:spacing w:val="80"/>
          <w:sz w:val="30"/>
        </w:rPr>
        <w:t xml:space="preserve"> </w:t>
      </w:r>
      <w:r>
        <w:rPr>
          <w:sz w:val="30"/>
        </w:rPr>
        <w:t>Be.</w:t>
      </w:r>
      <w:r>
        <w:rPr>
          <w:spacing w:val="80"/>
          <w:sz w:val="30"/>
        </w:rPr>
        <w:t xml:space="preserve"> </w:t>
      </w:r>
      <w:r>
        <w:rPr>
          <w:i/>
          <w:sz w:val="30"/>
        </w:rPr>
        <w:t xml:space="preserve">Philosophical Review, </w:t>
      </w:r>
      <w:r>
        <w:rPr>
          <w:sz w:val="30"/>
        </w:rPr>
        <w:t>74, 47–73.</w:t>
      </w:r>
    </w:p>
    <w:p w14:paraId="7E002E49" w14:textId="77777777" w:rsidR="009A58DB" w:rsidRDefault="00000000">
      <w:pPr>
        <w:spacing w:before="32"/>
        <w:ind w:left="360"/>
        <w:rPr>
          <w:i/>
          <w:sz w:val="30"/>
        </w:rPr>
      </w:pPr>
      <w:r>
        <w:rPr>
          <w:sz w:val="30"/>
        </w:rPr>
        <w:t>Berkeley,</w:t>
      </w:r>
      <w:r>
        <w:rPr>
          <w:spacing w:val="74"/>
          <w:sz w:val="30"/>
        </w:rPr>
        <w:t xml:space="preserve"> </w:t>
      </w:r>
      <w:r>
        <w:rPr>
          <w:sz w:val="30"/>
        </w:rPr>
        <w:t>George.</w:t>
      </w:r>
      <w:r>
        <w:rPr>
          <w:spacing w:val="77"/>
          <w:sz w:val="30"/>
        </w:rPr>
        <w:t xml:space="preserve"> </w:t>
      </w:r>
      <w:r>
        <w:rPr>
          <w:sz w:val="30"/>
        </w:rPr>
        <w:t>1934.</w:t>
      </w:r>
      <w:r>
        <w:rPr>
          <w:spacing w:val="78"/>
          <w:sz w:val="30"/>
        </w:rPr>
        <w:t xml:space="preserve"> </w:t>
      </w:r>
      <w:r>
        <w:rPr>
          <w:i/>
          <w:sz w:val="30"/>
        </w:rPr>
        <w:t>An</w:t>
      </w:r>
      <w:r>
        <w:rPr>
          <w:i/>
          <w:spacing w:val="77"/>
          <w:sz w:val="30"/>
        </w:rPr>
        <w:t xml:space="preserve"> </w:t>
      </w:r>
      <w:r>
        <w:rPr>
          <w:i/>
          <w:sz w:val="30"/>
        </w:rPr>
        <w:t>Essay</w:t>
      </w:r>
      <w:r>
        <w:rPr>
          <w:i/>
          <w:spacing w:val="77"/>
          <w:sz w:val="30"/>
        </w:rPr>
        <w:t xml:space="preserve"> </w:t>
      </w:r>
      <w:r>
        <w:rPr>
          <w:i/>
          <w:sz w:val="30"/>
        </w:rPr>
        <w:t>Towards</w:t>
      </w:r>
      <w:r>
        <w:rPr>
          <w:i/>
          <w:spacing w:val="76"/>
          <w:sz w:val="30"/>
        </w:rPr>
        <w:t xml:space="preserve"> </w:t>
      </w:r>
      <w:r>
        <w:rPr>
          <w:i/>
          <w:sz w:val="30"/>
        </w:rPr>
        <w:t>a</w:t>
      </w:r>
      <w:r>
        <w:rPr>
          <w:i/>
          <w:spacing w:val="77"/>
          <w:sz w:val="30"/>
        </w:rPr>
        <w:t xml:space="preserve"> </w:t>
      </w:r>
      <w:r>
        <w:rPr>
          <w:i/>
          <w:sz w:val="30"/>
        </w:rPr>
        <w:t>New</w:t>
      </w:r>
      <w:r>
        <w:rPr>
          <w:i/>
          <w:spacing w:val="77"/>
          <w:sz w:val="30"/>
        </w:rPr>
        <w:t xml:space="preserve"> </w:t>
      </w:r>
      <w:r>
        <w:rPr>
          <w:i/>
          <w:sz w:val="30"/>
        </w:rPr>
        <w:t>Theory</w:t>
      </w:r>
      <w:r>
        <w:rPr>
          <w:i/>
          <w:spacing w:val="77"/>
          <w:sz w:val="30"/>
        </w:rPr>
        <w:t xml:space="preserve"> </w:t>
      </w:r>
      <w:r>
        <w:rPr>
          <w:i/>
          <w:sz w:val="30"/>
        </w:rPr>
        <w:t>of</w:t>
      </w:r>
      <w:r>
        <w:rPr>
          <w:i/>
          <w:spacing w:val="77"/>
          <w:sz w:val="30"/>
        </w:rPr>
        <w:t xml:space="preserve"> </w:t>
      </w:r>
      <w:r>
        <w:rPr>
          <w:i/>
          <w:spacing w:val="-2"/>
          <w:sz w:val="30"/>
        </w:rPr>
        <w:t>Vision.</w:t>
      </w:r>
    </w:p>
    <w:p w14:paraId="7E002E4A" w14:textId="77777777" w:rsidR="009A58DB" w:rsidRDefault="00000000">
      <w:pPr>
        <w:pStyle w:val="BodyText"/>
        <w:spacing w:before="15"/>
        <w:ind w:left="720"/>
        <w:jc w:val="left"/>
      </w:pPr>
      <w:r>
        <w:t>Oxford:</w:t>
      </w:r>
      <w:r>
        <w:rPr>
          <w:spacing w:val="-5"/>
        </w:rPr>
        <w:t xml:space="preserve"> </w:t>
      </w:r>
      <w:r>
        <w:t>Clarendon</w:t>
      </w:r>
      <w:r>
        <w:rPr>
          <w:spacing w:val="-4"/>
        </w:rPr>
        <w:t xml:space="preserve"> </w:t>
      </w:r>
      <w:r>
        <w:rPr>
          <w:spacing w:val="-2"/>
        </w:rPr>
        <w:t>Press.</w:t>
      </w:r>
    </w:p>
    <w:p w14:paraId="7E002E4B" w14:textId="77777777" w:rsidR="009A58DB" w:rsidRDefault="00000000">
      <w:pPr>
        <w:spacing w:before="60" w:line="249" w:lineRule="auto"/>
        <w:ind w:left="720" w:right="365" w:hanging="360"/>
        <w:rPr>
          <w:sz w:val="30"/>
        </w:rPr>
      </w:pPr>
      <w:r>
        <w:rPr>
          <w:sz w:val="30"/>
        </w:rPr>
        <w:t>Bezuidenhout,</w:t>
      </w:r>
      <w:r>
        <w:rPr>
          <w:spacing w:val="40"/>
          <w:sz w:val="30"/>
        </w:rPr>
        <w:t xml:space="preserve"> </w:t>
      </w:r>
      <w:r>
        <w:rPr>
          <w:sz w:val="30"/>
        </w:rPr>
        <w:t>A.,</w:t>
      </w:r>
      <w:r>
        <w:rPr>
          <w:spacing w:val="40"/>
          <w:sz w:val="30"/>
        </w:rPr>
        <w:t xml:space="preserve"> </w:t>
      </w:r>
      <w:r>
        <w:rPr>
          <w:sz w:val="30"/>
        </w:rPr>
        <w:t>et</w:t>
      </w:r>
      <w:r>
        <w:rPr>
          <w:spacing w:val="40"/>
          <w:sz w:val="30"/>
        </w:rPr>
        <w:t xml:space="preserve"> </w:t>
      </w:r>
      <w:r>
        <w:rPr>
          <w:sz w:val="30"/>
        </w:rPr>
        <w:t>al.</w:t>
      </w:r>
      <w:r>
        <w:rPr>
          <w:spacing w:val="40"/>
          <w:sz w:val="30"/>
        </w:rPr>
        <w:t xml:space="preserve"> </w:t>
      </w:r>
      <w:r>
        <w:rPr>
          <w:sz w:val="30"/>
        </w:rPr>
        <w:t>(Eds.).</w:t>
      </w:r>
      <w:r>
        <w:rPr>
          <w:spacing w:val="40"/>
          <w:sz w:val="30"/>
        </w:rPr>
        <w:t xml:space="preserve"> </w:t>
      </w:r>
      <w:r>
        <w:rPr>
          <w:i/>
          <w:sz w:val="30"/>
        </w:rPr>
        <w:t>Descriptions</w:t>
      </w:r>
      <w:r>
        <w:rPr>
          <w:i/>
          <w:spacing w:val="40"/>
          <w:sz w:val="30"/>
        </w:rPr>
        <w:t xml:space="preserve"> </w:t>
      </w:r>
      <w:r>
        <w:rPr>
          <w:i/>
          <w:sz w:val="30"/>
        </w:rPr>
        <w:t>and</w:t>
      </w:r>
      <w:r>
        <w:rPr>
          <w:i/>
          <w:spacing w:val="40"/>
          <w:sz w:val="30"/>
        </w:rPr>
        <w:t xml:space="preserve"> </w:t>
      </w:r>
      <w:r>
        <w:rPr>
          <w:i/>
          <w:sz w:val="30"/>
        </w:rPr>
        <w:t>Beyond.</w:t>
      </w:r>
      <w:r>
        <w:rPr>
          <w:i/>
          <w:spacing w:val="40"/>
          <w:sz w:val="30"/>
        </w:rPr>
        <w:t xml:space="preserve"> </w:t>
      </w:r>
      <w:r>
        <w:rPr>
          <w:sz w:val="30"/>
        </w:rPr>
        <w:t>New</w:t>
      </w:r>
      <w:r>
        <w:rPr>
          <w:spacing w:val="40"/>
          <w:sz w:val="30"/>
        </w:rPr>
        <w:t xml:space="preserve"> </w:t>
      </w:r>
      <w:r>
        <w:rPr>
          <w:sz w:val="30"/>
        </w:rPr>
        <w:t>York:</w:t>
      </w:r>
      <w:r>
        <w:rPr>
          <w:spacing w:val="80"/>
          <w:sz w:val="30"/>
        </w:rPr>
        <w:t xml:space="preserve"> </w:t>
      </w:r>
      <w:r>
        <w:rPr>
          <w:sz w:val="30"/>
        </w:rPr>
        <w:t>Oxford University Press.</w:t>
      </w:r>
    </w:p>
    <w:p w14:paraId="7E002E4C" w14:textId="77777777" w:rsidR="009A58DB" w:rsidRDefault="00000000">
      <w:pPr>
        <w:spacing w:before="48"/>
        <w:ind w:left="360"/>
        <w:rPr>
          <w:sz w:val="30"/>
        </w:rPr>
      </w:pPr>
      <w:r>
        <w:rPr>
          <w:sz w:val="30"/>
        </w:rPr>
        <w:t>Blackburn,</w:t>
      </w:r>
      <w:r>
        <w:rPr>
          <w:spacing w:val="-5"/>
          <w:sz w:val="30"/>
        </w:rPr>
        <w:t xml:space="preserve"> </w:t>
      </w:r>
      <w:r>
        <w:rPr>
          <w:sz w:val="30"/>
        </w:rPr>
        <w:t>Simon.</w:t>
      </w:r>
      <w:r>
        <w:rPr>
          <w:spacing w:val="-2"/>
          <w:sz w:val="30"/>
        </w:rPr>
        <w:t xml:space="preserve"> </w:t>
      </w:r>
      <w:r>
        <w:rPr>
          <w:sz w:val="30"/>
        </w:rPr>
        <w:t>1984.</w:t>
      </w:r>
      <w:r>
        <w:rPr>
          <w:spacing w:val="-3"/>
          <w:sz w:val="30"/>
        </w:rPr>
        <w:t xml:space="preserve"> </w:t>
      </w:r>
      <w:r>
        <w:rPr>
          <w:i/>
          <w:sz w:val="30"/>
        </w:rPr>
        <w:t>Spreading</w:t>
      </w:r>
      <w:r>
        <w:rPr>
          <w:i/>
          <w:spacing w:val="-2"/>
          <w:sz w:val="30"/>
        </w:rPr>
        <w:t xml:space="preserve"> </w:t>
      </w:r>
      <w:r>
        <w:rPr>
          <w:i/>
          <w:sz w:val="30"/>
        </w:rPr>
        <w:t>the</w:t>
      </w:r>
      <w:r>
        <w:rPr>
          <w:i/>
          <w:spacing w:val="-4"/>
          <w:sz w:val="30"/>
        </w:rPr>
        <w:t xml:space="preserve"> </w:t>
      </w:r>
      <w:r>
        <w:rPr>
          <w:i/>
          <w:sz w:val="30"/>
        </w:rPr>
        <w:t>Word.</w:t>
      </w:r>
      <w:r>
        <w:rPr>
          <w:i/>
          <w:spacing w:val="-2"/>
          <w:sz w:val="30"/>
        </w:rPr>
        <w:t xml:space="preserve"> </w:t>
      </w:r>
      <w:r>
        <w:rPr>
          <w:sz w:val="30"/>
        </w:rPr>
        <w:t>Oxford:</w:t>
      </w:r>
      <w:r>
        <w:rPr>
          <w:spacing w:val="-3"/>
          <w:sz w:val="30"/>
        </w:rPr>
        <w:t xml:space="preserve"> </w:t>
      </w:r>
      <w:r>
        <w:rPr>
          <w:spacing w:val="-2"/>
          <w:sz w:val="30"/>
        </w:rPr>
        <w:t>Clarendon.</w:t>
      </w:r>
    </w:p>
    <w:p w14:paraId="7E002E4D" w14:textId="77777777" w:rsidR="009A58DB" w:rsidRDefault="00000000">
      <w:pPr>
        <w:spacing w:before="45" w:line="249" w:lineRule="auto"/>
        <w:ind w:left="720" w:hanging="360"/>
        <w:rPr>
          <w:sz w:val="30"/>
        </w:rPr>
      </w:pPr>
      <w:r>
        <w:rPr>
          <w:sz w:val="30"/>
        </w:rPr>
        <w:t>Bonjour,</w:t>
      </w:r>
      <w:r>
        <w:rPr>
          <w:spacing w:val="-5"/>
          <w:sz w:val="30"/>
        </w:rPr>
        <w:t xml:space="preserve"> </w:t>
      </w:r>
      <w:r>
        <w:rPr>
          <w:sz w:val="30"/>
        </w:rPr>
        <w:t>Laurence.</w:t>
      </w:r>
      <w:r>
        <w:rPr>
          <w:spacing w:val="-5"/>
          <w:sz w:val="30"/>
        </w:rPr>
        <w:t xml:space="preserve"> </w:t>
      </w:r>
      <w:r>
        <w:rPr>
          <w:sz w:val="30"/>
        </w:rPr>
        <w:t>1985.</w:t>
      </w:r>
      <w:r>
        <w:rPr>
          <w:spacing w:val="-5"/>
          <w:sz w:val="30"/>
        </w:rPr>
        <w:t xml:space="preserve"> </w:t>
      </w:r>
      <w:r>
        <w:rPr>
          <w:i/>
          <w:sz w:val="30"/>
        </w:rPr>
        <w:t>The</w:t>
      </w:r>
      <w:r>
        <w:rPr>
          <w:i/>
          <w:spacing w:val="-6"/>
          <w:sz w:val="30"/>
        </w:rPr>
        <w:t xml:space="preserve"> </w:t>
      </w:r>
      <w:r>
        <w:rPr>
          <w:i/>
          <w:sz w:val="30"/>
        </w:rPr>
        <w:t>Structure</w:t>
      </w:r>
      <w:r>
        <w:rPr>
          <w:i/>
          <w:spacing w:val="-6"/>
          <w:sz w:val="30"/>
        </w:rPr>
        <w:t xml:space="preserve"> </w:t>
      </w:r>
      <w:r>
        <w:rPr>
          <w:i/>
          <w:sz w:val="30"/>
        </w:rPr>
        <w:t>of</w:t>
      </w:r>
      <w:r>
        <w:rPr>
          <w:i/>
          <w:spacing w:val="-6"/>
          <w:sz w:val="30"/>
        </w:rPr>
        <w:t xml:space="preserve"> </w:t>
      </w:r>
      <w:r>
        <w:rPr>
          <w:i/>
          <w:sz w:val="30"/>
        </w:rPr>
        <w:t>Empirical</w:t>
      </w:r>
      <w:r>
        <w:rPr>
          <w:i/>
          <w:spacing w:val="-6"/>
          <w:sz w:val="30"/>
        </w:rPr>
        <w:t xml:space="preserve"> </w:t>
      </w:r>
      <w:r>
        <w:rPr>
          <w:i/>
          <w:sz w:val="30"/>
        </w:rPr>
        <w:t>Knowledge.</w:t>
      </w:r>
      <w:r>
        <w:rPr>
          <w:i/>
          <w:spacing w:val="-5"/>
          <w:sz w:val="30"/>
        </w:rPr>
        <w:t xml:space="preserve"> </w:t>
      </w:r>
      <w:r>
        <w:rPr>
          <w:sz w:val="30"/>
        </w:rPr>
        <w:t>Cambridge, MA: Harvard University Press.</w:t>
      </w:r>
    </w:p>
    <w:p w14:paraId="7E002E4E" w14:textId="77777777" w:rsidR="009A58DB" w:rsidRDefault="00000000">
      <w:pPr>
        <w:spacing w:before="47" w:line="249" w:lineRule="auto"/>
        <w:ind w:left="720" w:hanging="360"/>
        <w:rPr>
          <w:sz w:val="30"/>
        </w:rPr>
      </w:pPr>
      <w:r>
        <w:rPr>
          <w:sz w:val="30"/>
        </w:rPr>
        <w:t>Bonjour,</w:t>
      </w:r>
      <w:r>
        <w:rPr>
          <w:spacing w:val="40"/>
          <w:sz w:val="30"/>
        </w:rPr>
        <w:t xml:space="preserve"> </w:t>
      </w:r>
      <w:r>
        <w:rPr>
          <w:sz w:val="30"/>
        </w:rPr>
        <w:t>Laurence.</w:t>
      </w:r>
      <w:r>
        <w:rPr>
          <w:spacing w:val="40"/>
          <w:sz w:val="30"/>
        </w:rPr>
        <w:t xml:space="preserve"> </w:t>
      </w:r>
      <w:r>
        <w:rPr>
          <w:sz w:val="30"/>
        </w:rPr>
        <w:t>1998.</w:t>
      </w:r>
      <w:r>
        <w:rPr>
          <w:spacing w:val="40"/>
          <w:sz w:val="30"/>
        </w:rPr>
        <w:t xml:space="preserve"> </w:t>
      </w:r>
      <w:r>
        <w:rPr>
          <w:i/>
          <w:sz w:val="30"/>
        </w:rPr>
        <w:t>In</w:t>
      </w:r>
      <w:r>
        <w:rPr>
          <w:i/>
          <w:spacing w:val="40"/>
          <w:sz w:val="30"/>
        </w:rPr>
        <w:t xml:space="preserve"> </w:t>
      </w:r>
      <w:r>
        <w:rPr>
          <w:i/>
          <w:sz w:val="30"/>
        </w:rPr>
        <w:t>Defense</w:t>
      </w:r>
      <w:r>
        <w:rPr>
          <w:i/>
          <w:spacing w:val="40"/>
          <w:sz w:val="30"/>
        </w:rPr>
        <w:t xml:space="preserve"> </w:t>
      </w:r>
      <w:r>
        <w:rPr>
          <w:i/>
          <w:sz w:val="30"/>
        </w:rPr>
        <w:t>of</w:t>
      </w:r>
      <w:r>
        <w:rPr>
          <w:i/>
          <w:spacing w:val="40"/>
          <w:sz w:val="30"/>
        </w:rPr>
        <w:t xml:space="preserve"> </w:t>
      </w:r>
      <w:r>
        <w:rPr>
          <w:i/>
          <w:sz w:val="30"/>
        </w:rPr>
        <w:t>Pure</w:t>
      </w:r>
      <w:r>
        <w:rPr>
          <w:i/>
          <w:spacing w:val="40"/>
          <w:sz w:val="30"/>
        </w:rPr>
        <w:t xml:space="preserve"> </w:t>
      </w:r>
      <w:r>
        <w:rPr>
          <w:i/>
          <w:sz w:val="30"/>
        </w:rPr>
        <w:t>Reason.</w:t>
      </w:r>
      <w:r>
        <w:rPr>
          <w:i/>
          <w:spacing w:val="40"/>
          <w:sz w:val="30"/>
        </w:rPr>
        <w:t xml:space="preserve"> </w:t>
      </w:r>
      <w:r>
        <w:rPr>
          <w:sz w:val="30"/>
        </w:rPr>
        <w:t>Cambridge,</w:t>
      </w:r>
      <w:r>
        <w:rPr>
          <w:spacing w:val="40"/>
          <w:sz w:val="30"/>
        </w:rPr>
        <w:t xml:space="preserve"> </w:t>
      </w:r>
      <w:r>
        <w:rPr>
          <w:sz w:val="30"/>
        </w:rPr>
        <w:t>U.K.:</w:t>
      </w:r>
      <w:r>
        <w:rPr>
          <w:spacing w:val="80"/>
          <w:sz w:val="30"/>
        </w:rPr>
        <w:t xml:space="preserve"> </w:t>
      </w:r>
      <w:r>
        <w:rPr>
          <w:sz w:val="30"/>
        </w:rPr>
        <w:t>Cambridge University Press.</w:t>
      </w:r>
    </w:p>
    <w:p w14:paraId="7E002E4F" w14:textId="77777777" w:rsidR="009A58DB" w:rsidRDefault="00000000">
      <w:pPr>
        <w:spacing w:before="33" w:line="249" w:lineRule="auto"/>
        <w:ind w:left="720" w:hanging="360"/>
        <w:rPr>
          <w:sz w:val="30"/>
        </w:rPr>
      </w:pPr>
      <w:r>
        <w:rPr>
          <w:sz w:val="30"/>
        </w:rPr>
        <w:t>Brandom,</w:t>
      </w:r>
      <w:r>
        <w:rPr>
          <w:spacing w:val="80"/>
          <w:sz w:val="30"/>
        </w:rPr>
        <w:t xml:space="preserve"> </w:t>
      </w:r>
      <w:r>
        <w:rPr>
          <w:sz w:val="30"/>
        </w:rPr>
        <w:t>Robert.</w:t>
      </w:r>
      <w:r>
        <w:rPr>
          <w:spacing w:val="80"/>
          <w:sz w:val="30"/>
        </w:rPr>
        <w:t xml:space="preserve"> </w:t>
      </w:r>
      <w:r>
        <w:rPr>
          <w:sz w:val="30"/>
        </w:rPr>
        <w:t>1994.</w:t>
      </w:r>
      <w:r>
        <w:rPr>
          <w:spacing w:val="80"/>
          <w:sz w:val="30"/>
        </w:rPr>
        <w:t xml:space="preserve"> </w:t>
      </w:r>
      <w:r>
        <w:rPr>
          <w:i/>
          <w:sz w:val="30"/>
        </w:rPr>
        <w:t>Making</w:t>
      </w:r>
      <w:r>
        <w:rPr>
          <w:i/>
          <w:spacing w:val="80"/>
          <w:sz w:val="30"/>
        </w:rPr>
        <w:t xml:space="preserve"> </w:t>
      </w:r>
      <w:r>
        <w:rPr>
          <w:i/>
          <w:sz w:val="30"/>
        </w:rPr>
        <w:t>it</w:t>
      </w:r>
      <w:r>
        <w:rPr>
          <w:i/>
          <w:spacing w:val="80"/>
          <w:sz w:val="30"/>
        </w:rPr>
        <w:t xml:space="preserve"> </w:t>
      </w:r>
      <w:r>
        <w:rPr>
          <w:i/>
          <w:sz w:val="30"/>
        </w:rPr>
        <w:t>Explicit.</w:t>
      </w:r>
      <w:r>
        <w:rPr>
          <w:i/>
          <w:spacing w:val="80"/>
          <w:sz w:val="30"/>
        </w:rPr>
        <w:t xml:space="preserve"> </w:t>
      </w:r>
      <w:r>
        <w:rPr>
          <w:sz w:val="30"/>
        </w:rPr>
        <w:t>Cambridge,</w:t>
      </w:r>
      <w:r>
        <w:rPr>
          <w:spacing w:val="80"/>
          <w:sz w:val="30"/>
        </w:rPr>
        <w:t xml:space="preserve"> </w:t>
      </w:r>
      <w:r>
        <w:rPr>
          <w:sz w:val="30"/>
        </w:rPr>
        <w:t>MA:</w:t>
      </w:r>
      <w:r>
        <w:rPr>
          <w:spacing w:val="80"/>
          <w:sz w:val="30"/>
        </w:rPr>
        <w:t xml:space="preserve"> </w:t>
      </w:r>
      <w:r>
        <w:rPr>
          <w:sz w:val="30"/>
        </w:rPr>
        <w:t>Harvard</w:t>
      </w:r>
      <w:r>
        <w:rPr>
          <w:spacing w:val="40"/>
          <w:sz w:val="30"/>
        </w:rPr>
        <w:t xml:space="preserve"> </w:t>
      </w:r>
      <w:r>
        <w:rPr>
          <w:sz w:val="30"/>
        </w:rPr>
        <w:t>University Press.</w:t>
      </w:r>
    </w:p>
    <w:p w14:paraId="7E002E50" w14:textId="77777777" w:rsidR="009A58DB" w:rsidRDefault="00000000">
      <w:pPr>
        <w:pStyle w:val="BodyText"/>
        <w:spacing w:before="47"/>
        <w:jc w:val="left"/>
      </w:pPr>
      <w:r>
        <w:t>Burge,</w:t>
      </w:r>
      <w:r>
        <w:rPr>
          <w:spacing w:val="44"/>
          <w:w w:val="150"/>
        </w:rPr>
        <w:t xml:space="preserve"> </w:t>
      </w:r>
      <w:r>
        <w:t>Tyler.</w:t>
      </w:r>
      <w:r>
        <w:rPr>
          <w:spacing w:val="46"/>
          <w:w w:val="150"/>
        </w:rPr>
        <w:t xml:space="preserve"> </w:t>
      </w:r>
      <w:r>
        <w:t>1979.</w:t>
      </w:r>
      <w:r>
        <w:rPr>
          <w:spacing w:val="45"/>
          <w:w w:val="150"/>
        </w:rPr>
        <w:t xml:space="preserve"> </w:t>
      </w:r>
      <w:r>
        <w:t>Individualism</w:t>
      </w:r>
      <w:r>
        <w:rPr>
          <w:spacing w:val="45"/>
          <w:w w:val="150"/>
        </w:rPr>
        <w:t xml:space="preserve"> </w:t>
      </w:r>
      <w:r>
        <w:t>and</w:t>
      </w:r>
      <w:r>
        <w:rPr>
          <w:spacing w:val="45"/>
          <w:w w:val="150"/>
        </w:rPr>
        <w:t xml:space="preserve"> </w:t>
      </w:r>
      <w:r>
        <w:t>the</w:t>
      </w:r>
      <w:r>
        <w:rPr>
          <w:spacing w:val="45"/>
          <w:w w:val="150"/>
        </w:rPr>
        <w:t xml:space="preserve"> </w:t>
      </w:r>
      <w:r>
        <w:t>Mental.</w:t>
      </w:r>
      <w:r>
        <w:rPr>
          <w:spacing w:val="45"/>
          <w:w w:val="150"/>
        </w:rPr>
        <w:t xml:space="preserve"> </w:t>
      </w:r>
      <w:r>
        <w:t>In</w:t>
      </w:r>
      <w:r>
        <w:rPr>
          <w:spacing w:val="45"/>
          <w:w w:val="150"/>
        </w:rPr>
        <w:t xml:space="preserve"> </w:t>
      </w:r>
      <w:r>
        <w:t>A.</w:t>
      </w:r>
      <w:r>
        <w:rPr>
          <w:spacing w:val="45"/>
          <w:w w:val="150"/>
        </w:rPr>
        <w:t xml:space="preserve"> </w:t>
      </w:r>
      <w:r>
        <w:t>Pessin</w:t>
      </w:r>
      <w:r>
        <w:rPr>
          <w:spacing w:val="46"/>
          <w:w w:val="150"/>
        </w:rPr>
        <w:t xml:space="preserve"> </w:t>
      </w:r>
      <w:r>
        <w:t>and</w:t>
      </w:r>
      <w:r>
        <w:rPr>
          <w:spacing w:val="46"/>
          <w:w w:val="150"/>
        </w:rPr>
        <w:t xml:space="preserve"> </w:t>
      </w:r>
      <w:r>
        <w:rPr>
          <w:spacing w:val="-5"/>
        </w:rPr>
        <w:t>S.</w:t>
      </w:r>
    </w:p>
    <w:p w14:paraId="7E002E51" w14:textId="77777777" w:rsidR="009A58DB" w:rsidRDefault="009A58DB">
      <w:pPr>
        <w:pStyle w:val="BodyText"/>
        <w:jc w:val="left"/>
        <w:sectPr w:rsidR="009A58DB">
          <w:pgSz w:w="12240" w:h="15840"/>
          <w:pgMar w:top="1740" w:right="1080" w:bottom="280" w:left="1080" w:header="720" w:footer="720" w:gutter="0"/>
          <w:cols w:space="720"/>
        </w:sectPr>
      </w:pPr>
    </w:p>
    <w:p w14:paraId="7E002E52" w14:textId="77777777" w:rsidR="009A58DB" w:rsidRDefault="00000000">
      <w:pPr>
        <w:spacing w:before="65" w:line="249" w:lineRule="auto"/>
        <w:ind w:left="720" w:right="365"/>
        <w:rPr>
          <w:sz w:val="30"/>
        </w:rPr>
      </w:pPr>
      <w:r>
        <w:rPr>
          <w:sz w:val="30"/>
        </w:rPr>
        <w:t>Goldberg</w:t>
      </w:r>
      <w:r>
        <w:rPr>
          <w:spacing w:val="40"/>
          <w:sz w:val="30"/>
        </w:rPr>
        <w:t xml:space="preserve"> </w:t>
      </w:r>
      <w:r>
        <w:rPr>
          <w:sz w:val="30"/>
        </w:rPr>
        <w:t>(Eds.),</w:t>
      </w:r>
      <w:r>
        <w:rPr>
          <w:spacing w:val="40"/>
          <w:sz w:val="30"/>
        </w:rPr>
        <w:t xml:space="preserve"> </w:t>
      </w:r>
      <w:r>
        <w:rPr>
          <w:i/>
          <w:sz w:val="30"/>
        </w:rPr>
        <w:t>The</w:t>
      </w:r>
      <w:r>
        <w:rPr>
          <w:i/>
          <w:spacing w:val="40"/>
          <w:sz w:val="30"/>
        </w:rPr>
        <w:t xml:space="preserve"> </w:t>
      </w:r>
      <w:r>
        <w:rPr>
          <w:i/>
          <w:sz w:val="30"/>
        </w:rPr>
        <w:t>Twin-Earth</w:t>
      </w:r>
      <w:r>
        <w:rPr>
          <w:i/>
          <w:spacing w:val="40"/>
          <w:sz w:val="30"/>
        </w:rPr>
        <w:t xml:space="preserve"> </w:t>
      </w:r>
      <w:r>
        <w:rPr>
          <w:i/>
          <w:sz w:val="30"/>
        </w:rPr>
        <w:t>Chronicles,</w:t>
      </w:r>
      <w:r>
        <w:rPr>
          <w:i/>
          <w:spacing w:val="40"/>
          <w:sz w:val="30"/>
        </w:rPr>
        <w:t xml:space="preserve"> </w:t>
      </w:r>
      <w:r>
        <w:rPr>
          <w:sz w:val="30"/>
        </w:rPr>
        <w:t>(pp.</w:t>
      </w:r>
      <w:r>
        <w:rPr>
          <w:spacing w:val="40"/>
          <w:sz w:val="30"/>
        </w:rPr>
        <w:t xml:space="preserve"> </w:t>
      </w:r>
      <w:r>
        <w:rPr>
          <w:sz w:val="30"/>
        </w:rPr>
        <w:t>125–141).</w:t>
      </w:r>
      <w:r>
        <w:rPr>
          <w:spacing w:val="40"/>
          <w:sz w:val="30"/>
        </w:rPr>
        <w:t xml:space="preserve"> </w:t>
      </w:r>
      <w:r>
        <w:rPr>
          <w:sz w:val="30"/>
        </w:rPr>
        <w:t>Armonk, NY: M.E. Sharpe.</w:t>
      </w:r>
    </w:p>
    <w:p w14:paraId="7E002E53" w14:textId="77777777" w:rsidR="009A58DB" w:rsidRDefault="00000000">
      <w:pPr>
        <w:spacing w:before="47" w:line="249" w:lineRule="auto"/>
        <w:ind w:left="720" w:right="372" w:hanging="360"/>
        <w:jc w:val="both"/>
        <w:rPr>
          <w:sz w:val="30"/>
        </w:rPr>
      </w:pPr>
      <w:r>
        <w:rPr>
          <w:sz w:val="30"/>
        </w:rPr>
        <w:t xml:space="preserve">Burge, Tyler. 1980. Computer proof and a priori knowledge. </w:t>
      </w:r>
      <w:r>
        <w:rPr>
          <w:i/>
          <w:sz w:val="30"/>
        </w:rPr>
        <w:t xml:space="preserve">Journal of Philosophy </w:t>
      </w:r>
      <w:r>
        <w:rPr>
          <w:sz w:val="30"/>
        </w:rPr>
        <w:t>77, 797–803.</w:t>
      </w:r>
    </w:p>
    <w:p w14:paraId="7E002E54" w14:textId="77777777" w:rsidR="009A58DB" w:rsidRDefault="00000000">
      <w:pPr>
        <w:pStyle w:val="BodyText"/>
        <w:spacing w:before="33" w:line="249" w:lineRule="auto"/>
        <w:ind w:left="720" w:right="370" w:hanging="360"/>
      </w:pPr>
      <w:r>
        <w:t xml:space="preserve">Burge, Tyler. 1982. Other Bodies. In A. Pessin and S. Goldberg (Eds.), </w:t>
      </w:r>
      <w:r>
        <w:rPr>
          <w:i/>
        </w:rPr>
        <w:t xml:space="preserve">The Twin-Earth Chronicles, </w:t>
      </w:r>
      <w:r>
        <w:t>(pp. 142–160). Armonk, NY: M.E. Sharpe.</w:t>
      </w:r>
    </w:p>
    <w:p w14:paraId="7E002E55" w14:textId="77777777" w:rsidR="009A58DB" w:rsidRDefault="00000000">
      <w:pPr>
        <w:pStyle w:val="BodyText"/>
        <w:spacing w:before="47" w:line="249" w:lineRule="auto"/>
        <w:ind w:left="720" w:right="361" w:hanging="360"/>
      </w:pPr>
      <w:r>
        <w:t xml:space="preserve">Burge, Tyler. 1986. Individualism and Self-knowledge. In A. Pessin and S. Goldberg (Eds.), </w:t>
      </w:r>
      <w:r>
        <w:rPr>
          <w:i/>
        </w:rPr>
        <w:t xml:space="preserve">The Twin-Earth Chronicles, </w:t>
      </w:r>
      <w:r>
        <w:t>(pp. 342–354). Armonk, NY: M.E. Sharpe.</w:t>
      </w:r>
    </w:p>
    <w:p w14:paraId="7E002E56" w14:textId="77777777" w:rsidR="009A58DB" w:rsidRDefault="00000000">
      <w:pPr>
        <w:spacing w:before="34" w:line="249" w:lineRule="auto"/>
        <w:ind w:left="720" w:right="362" w:hanging="360"/>
        <w:jc w:val="both"/>
        <w:rPr>
          <w:sz w:val="30"/>
        </w:rPr>
      </w:pPr>
      <w:r>
        <w:rPr>
          <w:sz w:val="30"/>
        </w:rPr>
        <w:t xml:space="preserve">Cain, M. J. 2002. </w:t>
      </w:r>
      <w:r>
        <w:rPr>
          <w:i/>
          <w:sz w:val="30"/>
        </w:rPr>
        <w:t xml:space="preserve">Fodor: Language, Mind and Philosophy. </w:t>
      </w:r>
      <w:r>
        <w:rPr>
          <w:sz w:val="30"/>
        </w:rPr>
        <w:t>Cambridge, MA: Polity Press.</w:t>
      </w:r>
    </w:p>
    <w:p w14:paraId="7E002E57" w14:textId="77777777" w:rsidR="009A58DB" w:rsidRDefault="00000000">
      <w:pPr>
        <w:spacing w:before="47" w:line="249" w:lineRule="auto"/>
        <w:ind w:left="720" w:right="362" w:hanging="360"/>
        <w:jc w:val="both"/>
        <w:rPr>
          <w:sz w:val="30"/>
        </w:rPr>
      </w:pPr>
      <w:r>
        <w:rPr>
          <w:sz w:val="30"/>
        </w:rPr>
        <w:t xml:space="preserve">Cappelen, Herman, &amp; Lepore, Ernie. 2005. </w:t>
      </w:r>
      <w:r>
        <w:rPr>
          <w:i/>
          <w:sz w:val="30"/>
        </w:rPr>
        <w:t xml:space="preserve">Insensitive Semantics: A defense of speech act pluralism and semantic minimalism. </w:t>
      </w:r>
      <w:r>
        <w:rPr>
          <w:sz w:val="30"/>
        </w:rPr>
        <w:t>Oxford: Blackwell.</w:t>
      </w:r>
    </w:p>
    <w:p w14:paraId="7E002E58" w14:textId="77777777" w:rsidR="009A58DB" w:rsidRDefault="00000000">
      <w:pPr>
        <w:pStyle w:val="BodyText"/>
        <w:spacing w:before="48" w:line="249" w:lineRule="auto"/>
        <w:ind w:left="720" w:right="365" w:hanging="360"/>
      </w:pPr>
      <w:r>
        <w:t>Carnap, Rudolph. 1932. The Elimination of Metaphysics through Logical Analysis</w:t>
      </w:r>
      <w:r>
        <w:rPr>
          <w:spacing w:val="-2"/>
        </w:rPr>
        <w:t xml:space="preserve"> </w:t>
      </w:r>
      <w:r>
        <w:t>of</w:t>
      </w:r>
      <w:r>
        <w:rPr>
          <w:spacing w:val="-2"/>
        </w:rPr>
        <w:t xml:space="preserve"> </w:t>
      </w:r>
      <w:r>
        <w:t>Language.</w:t>
      </w:r>
      <w:r>
        <w:rPr>
          <w:spacing w:val="-2"/>
        </w:rPr>
        <w:t xml:space="preserve"> </w:t>
      </w:r>
      <w:r>
        <w:t>In</w:t>
      </w:r>
      <w:r>
        <w:rPr>
          <w:spacing w:val="-2"/>
        </w:rPr>
        <w:t xml:space="preserve"> </w:t>
      </w:r>
      <w:r>
        <w:t>A.J.</w:t>
      </w:r>
      <w:r>
        <w:rPr>
          <w:spacing w:val="-2"/>
        </w:rPr>
        <w:t xml:space="preserve"> </w:t>
      </w:r>
      <w:r>
        <w:t>Ayer</w:t>
      </w:r>
      <w:r>
        <w:rPr>
          <w:spacing w:val="-2"/>
        </w:rPr>
        <w:t xml:space="preserve"> </w:t>
      </w:r>
      <w:r>
        <w:t>(Ed.),</w:t>
      </w:r>
      <w:r>
        <w:rPr>
          <w:spacing w:val="-2"/>
        </w:rPr>
        <w:t xml:space="preserve"> </w:t>
      </w:r>
      <w:r>
        <w:rPr>
          <w:i/>
        </w:rPr>
        <w:t xml:space="preserve">Logical Positivism, </w:t>
      </w:r>
      <w:r>
        <w:t>(pp.</w:t>
      </w:r>
      <w:r>
        <w:rPr>
          <w:spacing w:val="-4"/>
        </w:rPr>
        <w:t xml:space="preserve"> </w:t>
      </w:r>
      <w:r>
        <w:t>60–81). New York: The Free Press.</w:t>
      </w:r>
    </w:p>
    <w:p w14:paraId="7E002E59" w14:textId="77777777" w:rsidR="009A58DB" w:rsidRDefault="00000000">
      <w:pPr>
        <w:pStyle w:val="BodyText"/>
        <w:spacing w:before="33" w:line="249" w:lineRule="auto"/>
        <w:ind w:left="720" w:right="359" w:hanging="360"/>
      </w:pPr>
      <w:r>
        <w:t>Carnap, Rudolph. 1933. Psychology in Physical Language. In A.J. Ayer</w:t>
      </w:r>
      <w:r>
        <w:rPr>
          <w:spacing w:val="40"/>
        </w:rPr>
        <w:t xml:space="preserve"> </w:t>
      </w:r>
      <w:r>
        <w:t xml:space="preserve">(Ed.), </w:t>
      </w:r>
      <w:r>
        <w:rPr>
          <w:i/>
        </w:rPr>
        <w:t xml:space="preserve">Logical Positivism, </w:t>
      </w:r>
      <w:r>
        <w:t>(pp. 165–198). New York: The Free Press.</w:t>
      </w:r>
    </w:p>
    <w:p w14:paraId="7E002E5A" w14:textId="77777777" w:rsidR="009A58DB" w:rsidRDefault="00000000">
      <w:pPr>
        <w:spacing w:before="3" w:line="249" w:lineRule="auto"/>
        <w:ind w:left="720" w:right="365" w:hanging="360"/>
        <w:rPr>
          <w:sz w:val="30"/>
        </w:rPr>
      </w:pPr>
      <w:r>
        <w:rPr>
          <w:sz w:val="30"/>
        </w:rPr>
        <w:t xml:space="preserve">Carnap, Rudolph. 1934. </w:t>
      </w:r>
      <w:r>
        <w:rPr>
          <w:i/>
          <w:sz w:val="30"/>
        </w:rPr>
        <w:t xml:space="preserve">The Unity of Science. </w:t>
      </w:r>
      <w:r>
        <w:rPr>
          <w:sz w:val="30"/>
        </w:rPr>
        <w:t>London: K. Paul, Trench, Kubner &amp; Co, Ltd.</w:t>
      </w:r>
    </w:p>
    <w:p w14:paraId="7E002E5B" w14:textId="77777777" w:rsidR="009A58DB" w:rsidRDefault="00000000">
      <w:pPr>
        <w:spacing w:before="47" w:line="249" w:lineRule="auto"/>
        <w:ind w:left="720" w:right="794" w:hanging="360"/>
        <w:rPr>
          <w:sz w:val="30"/>
        </w:rPr>
      </w:pPr>
      <w:r>
        <w:rPr>
          <w:sz w:val="30"/>
        </w:rPr>
        <w:t xml:space="preserve">Carnap, Rudolph. 1937. </w:t>
      </w:r>
      <w:r>
        <w:rPr>
          <w:i/>
          <w:sz w:val="30"/>
        </w:rPr>
        <w:t xml:space="preserve">The Logical Syntax of Language. </w:t>
      </w:r>
      <w:r>
        <w:rPr>
          <w:sz w:val="30"/>
        </w:rPr>
        <w:t>Routledge &amp; Kegan Paul, London.</w:t>
      </w:r>
    </w:p>
    <w:p w14:paraId="7E002E5C" w14:textId="77777777" w:rsidR="009A58DB" w:rsidRDefault="00000000">
      <w:pPr>
        <w:spacing w:before="33" w:line="249" w:lineRule="auto"/>
        <w:ind w:left="720" w:right="794" w:hanging="360"/>
        <w:rPr>
          <w:sz w:val="30"/>
        </w:rPr>
      </w:pPr>
      <w:r>
        <w:rPr>
          <w:sz w:val="30"/>
        </w:rPr>
        <w:t>Carnap,</w:t>
      </w:r>
      <w:r>
        <w:rPr>
          <w:spacing w:val="40"/>
          <w:sz w:val="30"/>
        </w:rPr>
        <w:t xml:space="preserve"> </w:t>
      </w:r>
      <w:r>
        <w:rPr>
          <w:sz w:val="30"/>
        </w:rPr>
        <w:t>Rudolph.</w:t>
      </w:r>
      <w:r>
        <w:rPr>
          <w:spacing w:val="40"/>
          <w:sz w:val="30"/>
        </w:rPr>
        <w:t xml:space="preserve"> </w:t>
      </w:r>
      <w:r>
        <w:rPr>
          <w:sz w:val="30"/>
        </w:rPr>
        <w:t>1956.</w:t>
      </w:r>
      <w:r>
        <w:rPr>
          <w:spacing w:val="40"/>
          <w:sz w:val="30"/>
        </w:rPr>
        <w:t xml:space="preserve"> </w:t>
      </w:r>
      <w:r>
        <w:rPr>
          <w:i/>
          <w:sz w:val="30"/>
        </w:rPr>
        <w:t>Introduction</w:t>
      </w:r>
      <w:r>
        <w:rPr>
          <w:i/>
          <w:spacing w:val="40"/>
          <w:sz w:val="30"/>
        </w:rPr>
        <w:t xml:space="preserve"> </w:t>
      </w:r>
      <w:r>
        <w:rPr>
          <w:i/>
          <w:sz w:val="30"/>
        </w:rPr>
        <w:t>to</w:t>
      </w:r>
      <w:r>
        <w:rPr>
          <w:i/>
          <w:spacing w:val="40"/>
          <w:sz w:val="30"/>
        </w:rPr>
        <w:t xml:space="preserve"> </w:t>
      </w:r>
      <w:r>
        <w:rPr>
          <w:i/>
          <w:sz w:val="30"/>
        </w:rPr>
        <w:t>Symbolic</w:t>
      </w:r>
      <w:r>
        <w:rPr>
          <w:i/>
          <w:spacing w:val="40"/>
          <w:sz w:val="30"/>
        </w:rPr>
        <w:t xml:space="preserve"> </w:t>
      </w:r>
      <w:r>
        <w:rPr>
          <w:i/>
          <w:sz w:val="30"/>
        </w:rPr>
        <w:t>Logic.</w:t>
      </w:r>
      <w:r>
        <w:rPr>
          <w:i/>
          <w:spacing w:val="40"/>
          <w:sz w:val="30"/>
        </w:rPr>
        <w:t xml:space="preserve"> </w:t>
      </w:r>
      <w:r>
        <w:rPr>
          <w:sz w:val="30"/>
        </w:rPr>
        <w:t>New</w:t>
      </w:r>
      <w:r>
        <w:rPr>
          <w:spacing w:val="40"/>
          <w:sz w:val="30"/>
        </w:rPr>
        <w:t xml:space="preserve"> </w:t>
      </w:r>
      <w:r>
        <w:rPr>
          <w:sz w:val="30"/>
        </w:rPr>
        <w:t>York:</w:t>
      </w:r>
      <w:r>
        <w:rPr>
          <w:spacing w:val="40"/>
          <w:sz w:val="30"/>
        </w:rPr>
        <w:t xml:space="preserve"> </w:t>
      </w:r>
      <w:r>
        <w:rPr>
          <w:spacing w:val="-2"/>
          <w:sz w:val="30"/>
        </w:rPr>
        <w:t>Dover.</w:t>
      </w:r>
    </w:p>
    <w:p w14:paraId="7E002E5D" w14:textId="77777777" w:rsidR="009A58DB" w:rsidRDefault="00000000">
      <w:pPr>
        <w:tabs>
          <w:tab w:val="left" w:pos="1520"/>
          <w:tab w:val="left" w:pos="2848"/>
          <w:tab w:val="left" w:pos="3744"/>
          <w:tab w:val="left" w:pos="5468"/>
          <w:tab w:val="left" w:pos="5926"/>
          <w:tab w:val="left" w:pos="6517"/>
          <w:tab w:val="left" w:pos="8092"/>
        </w:tabs>
        <w:spacing w:before="47" w:line="249" w:lineRule="auto"/>
        <w:ind w:left="720" w:right="1752" w:hanging="360"/>
        <w:rPr>
          <w:sz w:val="30"/>
        </w:rPr>
      </w:pPr>
      <w:r>
        <w:rPr>
          <w:spacing w:val="-2"/>
          <w:sz w:val="30"/>
        </w:rPr>
        <w:t>Carnap,</w:t>
      </w:r>
      <w:r>
        <w:rPr>
          <w:sz w:val="30"/>
        </w:rPr>
        <w:tab/>
      </w:r>
      <w:r>
        <w:rPr>
          <w:spacing w:val="-2"/>
          <w:sz w:val="30"/>
        </w:rPr>
        <w:t>Rudolph.</w:t>
      </w:r>
      <w:r>
        <w:rPr>
          <w:sz w:val="30"/>
        </w:rPr>
        <w:tab/>
      </w:r>
      <w:r>
        <w:rPr>
          <w:spacing w:val="-2"/>
          <w:sz w:val="30"/>
        </w:rPr>
        <w:t>1966.</w:t>
      </w:r>
      <w:r>
        <w:rPr>
          <w:sz w:val="30"/>
        </w:rPr>
        <w:tab/>
      </w:r>
      <w:r>
        <w:rPr>
          <w:i/>
          <w:spacing w:val="-2"/>
          <w:sz w:val="30"/>
        </w:rPr>
        <w:t>Introduction</w:t>
      </w:r>
      <w:r>
        <w:rPr>
          <w:i/>
          <w:sz w:val="30"/>
        </w:rPr>
        <w:tab/>
      </w:r>
      <w:r>
        <w:rPr>
          <w:i/>
          <w:spacing w:val="-6"/>
          <w:sz w:val="30"/>
        </w:rPr>
        <w:t>to</w:t>
      </w:r>
      <w:r>
        <w:rPr>
          <w:i/>
          <w:sz w:val="30"/>
        </w:rPr>
        <w:tab/>
      </w:r>
      <w:r>
        <w:rPr>
          <w:i/>
          <w:spacing w:val="-4"/>
          <w:sz w:val="30"/>
        </w:rPr>
        <w:t>the</w:t>
      </w:r>
      <w:r>
        <w:rPr>
          <w:i/>
          <w:sz w:val="30"/>
        </w:rPr>
        <w:tab/>
      </w:r>
      <w:r>
        <w:rPr>
          <w:i/>
          <w:spacing w:val="-2"/>
          <w:sz w:val="30"/>
        </w:rPr>
        <w:t>Philosophy</w:t>
      </w:r>
      <w:r>
        <w:rPr>
          <w:i/>
          <w:sz w:val="30"/>
        </w:rPr>
        <w:tab/>
      </w:r>
      <w:r>
        <w:rPr>
          <w:i/>
          <w:spacing w:val="-6"/>
          <w:sz w:val="30"/>
        </w:rPr>
        <w:t xml:space="preserve">of </w:t>
      </w:r>
      <w:r>
        <w:rPr>
          <w:i/>
          <w:sz w:val="30"/>
        </w:rPr>
        <w:t xml:space="preserve">Science. </w:t>
      </w:r>
      <w:r>
        <w:rPr>
          <w:sz w:val="30"/>
        </w:rPr>
        <w:t>New York: Dover.</w:t>
      </w:r>
    </w:p>
    <w:p w14:paraId="7E002E5E" w14:textId="77777777" w:rsidR="009A58DB" w:rsidRDefault="00000000">
      <w:pPr>
        <w:spacing w:before="3" w:line="249" w:lineRule="auto"/>
        <w:ind w:left="720" w:right="794" w:hanging="360"/>
        <w:rPr>
          <w:sz w:val="30"/>
        </w:rPr>
      </w:pPr>
      <w:r>
        <w:rPr>
          <w:sz w:val="30"/>
        </w:rPr>
        <w:t xml:space="preserve">Chalmers, David. 1996. </w:t>
      </w:r>
      <w:r>
        <w:rPr>
          <w:i/>
          <w:sz w:val="30"/>
        </w:rPr>
        <w:t xml:space="preserve">The Conscious Mind. </w:t>
      </w:r>
      <w:r>
        <w:rPr>
          <w:sz w:val="30"/>
        </w:rPr>
        <w:t>New York: Oxford University Press.</w:t>
      </w:r>
    </w:p>
    <w:p w14:paraId="7E002E5F" w14:textId="77777777" w:rsidR="009A58DB" w:rsidRDefault="00000000">
      <w:pPr>
        <w:spacing w:before="2" w:line="249" w:lineRule="auto"/>
        <w:ind w:left="360" w:right="359"/>
        <w:jc w:val="both"/>
        <w:rPr>
          <w:sz w:val="30"/>
        </w:rPr>
      </w:pPr>
      <w:r>
        <w:rPr>
          <w:sz w:val="30"/>
        </w:rPr>
        <w:t xml:space="preserve">Chisholm, Roderick. Human Freedom and the Self. In S. Cahn (Ed.), </w:t>
      </w:r>
      <w:r>
        <w:rPr>
          <w:i/>
          <w:sz w:val="30"/>
        </w:rPr>
        <w:t xml:space="preserve">Philosophy for the 21st Century, </w:t>
      </w:r>
      <w:r>
        <w:rPr>
          <w:sz w:val="30"/>
        </w:rPr>
        <w:t>(pp.407–413). New York: Oxford</w:t>
      </w:r>
      <w:r>
        <w:rPr>
          <w:spacing w:val="40"/>
          <w:sz w:val="30"/>
        </w:rPr>
        <w:t xml:space="preserve"> </w:t>
      </w:r>
      <w:r>
        <w:rPr>
          <w:sz w:val="30"/>
        </w:rPr>
        <w:t>University Press.</w:t>
      </w:r>
    </w:p>
    <w:p w14:paraId="7E002E60" w14:textId="77777777" w:rsidR="009A58DB" w:rsidRDefault="00000000">
      <w:pPr>
        <w:spacing w:before="4" w:line="249" w:lineRule="auto"/>
        <w:ind w:left="720" w:right="358" w:hanging="360"/>
        <w:jc w:val="both"/>
        <w:rPr>
          <w:sz w:val="30"/>
        </w:rPr>
      </w:pPr>
      <w:r>
        <w:rPr>
          <w:sz w:val="30"/>
        </w:rPr>
        <w:t xml:space="preserve">Chomsky, Noam. 1980. </w:t>
      </w:r>
      <w:r>
        <w:rPr>
          <w:i/>
          <w:sz w:val="30"/>
        </w:rPr>
        <w:t xml:space="preserve">Rules and Representations. </w:t>
      </w:r>
      <w:r>
        <w:rPr>
          <w:sz w:val="30"/>
        </w:rPr>
        <w:t>New York: Columbia University Press.</w:t>
      </w:r>
    </w:p>
    <w:p w14:paraId="7E002E61" w14:textId="77777777" w:rsidR="009A58DB" w:rsidRDefault="00000000">
      <w:pPr>
        <w:pStyle w:val="BodyText"/>
        <w:spacing w:before="47"/>
      </w:pPr>
      <w:r>
        <w:t>Chomsky,</w:t>
      </w:r>
      <w:r>
        <w:rPr>
          <w:spacing w:val="23"/>
        </w:rPr>
        <w:t xml:space="preserve"> </w:t>
      </w:r>
      <w:r>
        <w:t>Noam.</w:t>
      </w:r>
      <w:r>
        <w:rPr>
          <w:spacing w:val="26"/>
        </w:rPr>
        <w:t xml:space="preserve"> </w:t>
      </w:r>
      <w:r>
        <w:t>1988.</w:t>
      </w:r>
      <w:r>
        <w:rPr>
          <w:spacing w:val="26"/>
        </w:rPr>
        <w:t xml:space="preserve"> </w:t>
      </w:r>
      <w:r>
        <w:t>Language</w:t>
      </w:r>
      <w:r>
        <w:rPr>
          <w:spacing w:val="26"/>
        </w:rPr>
        <w:t xml:space="preserve"> </w:t>
      </w:r>
      <w:r>
        <w:t>and</w:t>
      </w:r>
      <w:r>
        <w:rPr>
          <w:spacing w:val="26"/>
        </w:rPr>
        <w:t xml:space="preserve"> </w:t>
      </w:r>
      <w:r>
        <w:t>the</w:t>
      </w:r>
      <w:r>
        <w:rPr>
          <w:spacing w:val="25"/>
        </w:rPr>
        <w:t xml:space="preserve"> </w:t>
      </w:r>
      <w:r>
        <w:t>Problems</w:t>
      </w:r>
      <w:r>
        <w:rPr>
          <w:spacing w:val="26"/>
        </w:rPr>
        <w:t xml:space="preserve"> </w:t>
      </w:r>
      <w:r>
        <w:t>of</w:t>
      </w:r>
      <w:r>
        <w:rPr>
          <w:spacing w:val="26"/>
        </w:rPr>
        <w:t xml:space="preserve"> </w:t>
      </w:r>
      <w:r>
        <w:t>Knowledge.</w:t>
      </w:r>
      <w:r>
        <w:rPr>
          <w:spacing w:val="26"/>
        </w:rPr>
        <w:t xml:space="preserve"> </w:t>
      </w:r>
      <w:r>
        <w:t>In</w:t>
      </w:r>
      <w:r>
        <w:rPr>
          <w:spacing w:val="26"/>
        </w:rPr>
        <w:t xml:space="preserve"> </w:t>
      </w:r>
      <w:r>
        <w:rPr>
          <w:spacing w:val="-4"/>
        </w:rPr>
        <w:t>A.P.</w:t>
      </w:r>
    </w:p>
    <w:p w14:paraId="7E002E62" w14:textId="77777777" w:rsidR="009A58DB" w:rsidRDefault="009A58DB">
      <w:pPr>
        <w:pStyle w:val="BodyText"/>
        <w:sectPr w:rsidR="009A58DB">
          <w:pgSz w:w="12240" w:h="15840"/>
          <w:pgMar w:top="1380" w:right="1080" w:bottom="280" w:left="1080" w:header="720" w:footer="720" w:gutter="0"/>
          <w:cols w:space="720"/>
        </w:sectPr>
      </w:pPr>
    </w:p>
    <w:p w14:paraId="7E002E63" w14:textId="77777777" w:rsidR="009A58DB" w:rsidRDefault="00000000">
      <w:pPr>
        <w:spacing w:before="72" w:line="249" w:lineRule="auto"/>
        <w:ind w:left="720" w:right="365"/>
        <w:jc w:val="both"/>
        <w:rPr>
          <w:sz w:val="30"/>
        </w:rPr>
      </w:pPr>
      <w:r>
        <w:rPr>
          <w:sz w:val="30"/>
        </w:rPr>
        <w:t xml:space="preserve">Martinich (Ed.), </w:t>
      </w:r>
      <w:r>
        <w:rPr>
          <w:i/>
          <w:sz w:val="30"/>
        </w:rPr>
        <w:t xml:space="preserve">The Philosophy of Language, </w:t>
      </w:r>
      <w:r>
        <w:rPr>
          <w:sz w:val="30"/>
        </w:rPr>
        <w:t>(pp. 509–527). New York: Oxford University Press.</w:t>
      </w:r>
    </w:p>
    <w:p w14:paraId="7E002E64" w14:textId="77777777" w:rsidR="009A58DB" w:rsidRDefault="00000000">
      <w:pPr>
        <w:spacing w:before="40" w:line="249" w:lineRule="auto"/>
        <w:ind w:left="720" w:right="364" w:hanging="360"/>
        <w:jc w:val="both"/>
        <w:rPr>
          <w:i/>
          <w:sz w:val="30"/>
        </w:rPr>
      </w:pPr>
      <w:r>
        <w:rPr>
          <w:sz w:val="30"/>
        </w:rPr>
        <w:t xml:space="preserve">Church, Alonzo. 1958. The Ontological Status of Women and Abstract Entities. Lecture delivered at Harvard, available online at: </w:t>
      </w:r>
      <w:hyperlink r:id="rId6">
        <w:r>
          <w:rPr>
            <w:i/>
            <w:spacing w:val="-2"/>
            <w:sz w:val="30"/>
          </w:rPr>
          <w:t>http://www.cs.nyu.edu/pipermail/fom/2005-September/009079.html</w:t>
        </w:r>
      </w:hyperlink>
    </w:p>
    <w:p w14:paraId="7E002E65" w14:textId="77777777" w:rsidR="009A58DB" w:rsidRDefault="00000000">
      <w:pPr>
        <w:spacing w:before="34" w:line="249" w:lineRule="auto"/>
        <w:ind w:left="720" w:right="363" w:hanging="360"/>
        <w:jc w:val="both"/>
        <w:rPr>
          <w:sz w:val="30"/>
        </w:rPr>
      </w:pPr>
      <w:r>
        <w:rPr>
          <w:sz w:val="30"/>
        </w:rPr>
        <w:t xml:space="preserve">Churchland, Paul. 1984. </w:t>
      </w:r>
      <w:r>
        <w:rPr>
          <w:i/>
          <w:sz w:val="30"/>
        </w:rPr>
        <w:t xml:space="preserve">Matter and Consciousness. </w:t>
      </w:r>
      <w:r>
        <w:rPr>
          <w:sz w:val="30"/>
        </w:rPr>
        <w:t>Cambridge, MA: The MIT Press.</w:t>
      </w:r>
    </w:p>
    <w:p w14:paraId="7E002E66" w14:textId="77777777" w:rsidR="009A58DB" w:rsidRDefault="00000000">
      <w:pPr>
        <w:pStyle w:val="BodyText"/>
        <w:spacing w:before="47" w:line="249" w:lineRule="auto"/>
        <w:ind w:left="720" w:hanging="360"/>
        <w:jc w:val="left"/>
      </w:pPr>
      <w:r>
        <w:t>Cresswell,</w:t>
      </w:r>
      <w:r>
        <w:rPr>
          <w:spacing w:val="39"/>
        </w:rPr>
        <w:t xml:space="preserve"> </w:t>
      </w:r>
      <w:r>
        <w:t>Max.</w:t>
      </w:r>
      <w:r>
        <w:rPr>
          <w:spacing w:val="39"/>
        </w:rPr>
        <w:t xml:space="preserve"> </w:t>
      </w:r>
      <w:r>
        <w:t>1985.</w:t>
      </w:r>
      <w:r>
        <w:rPr>
          <w:spacing w:val="39"/>
        </w:rPr>
        <w:t xml:space="preserve"> </w:t>
      </w:r>
      <w:r>
        <w:t>Structured</w:t>
      </w:r>
      <w:r>
        <w:rPr>
          <w:spacing w:val="39"/>
        </w:rPr>
        <w:t xml:space="preserve"> </w:t>
      </w:r>
      <w:r>
        <w:t>Meanings.</w:t>
      </w:r>
      <w:r>
        <w:rPr>
          <w:spacing w:val="39"/>
        </w:rPr>
        <w:t xml:space="preserve"> </w:t>
      </w:r>
      <w:r>
        <w:t>In</w:t>
      </w:r>
      <w:r>
        <w:rPr>
          <w:spacing w:val="39"/>
        </w:rPr>
        <w:t xml:space="preserve"> </w:t>
      </w:r>
      <w:r>
        <w:t>J.</w:t>
      </w:r>
      <w:r>
        <w:rPr>
          <w:spacing w:val="39"/>
        </w:rPr>
        <w:t xml:space="preserve"> </w:t>
      </w:r>
      <w:r>
        <w:t>Garfield</w:t>
      </w:r>
      <w:r>
        <w:rPr>
          <w:spacing w:val="39"/>
        </w:rPr>
        <w:t xml:space="preserve"> </w:t>
      </w:r>
      <w:r>
        <w:t>and</w:t>
      </w:r>
      <w:r>
        <w:rPr>
          <w:spacing w:val="39"/>
        </w:rPr>
        <w:t xml:space="preserve"> </w:t>
      </w:r>
      <w:r>
        <w:t>M.</w:t>
      </w:r>
      <w:r>
        <w:rPr>
          <w:spacing w:val="39"/>
        </w:rPr>
        <w:t xml:space="preserve"> </w:t>
      </w:r>
      <w:r>
        <w:t xml:space="preserve">Kiteley (Eds.), </w:t>
      </w:r>
      <w:r>
        <w:rPr>
          <w:i/>
        </w:rPr>
        <w:t xml:space="preserve">Meaning and Truth, </w:t>
      </w:r>
      <w:r>
        <w:t>(pp. 446–452). St. Paul, MN: Paragon Press.</w:t>
      </w:r>
    </w:p>
    <w:p w14:paraId="7E002E67" w14:textId="77777777" w:rsidR="009A58DB" w:rsidRDefault="00000000">
      <w:pPr>
        <w:spacing w:before="33"/>
        <w:ind w:left="360"/>
        <w:rPr>
          <w:i/>
          <w:sz w:val="30"/>
        </w:rPr>
      </w:pPr>
      <w:r>
        <w:rPr>
          <w:sz w:val="30"/>
        </w:rPr>
        <w:t>Davies,</w:t>
      </w:r>
      <w:r>
        <w:rPr>
          <w:spacing w:val="-5"/>
          <w:sz w:val="30"/>
        </w:rPr>
        <w:t xml:space="preserve"> </w:t>
      </w:r>
      <w:r>
        <w:rPr>
          <w:sz w:val="30"/>
        </w:rPr>
        <w:t>Peter</w:t>
      </w:r>
      <w:r>
        <w:rPr>
          <w:spacing w:val="-3"/>
          <w:sz w:val="30"/>
        </w:rPr>
        <w:t xml:space="preserve"> </w:t>
      </w:r>
      <w:r>
        <w:rPr>
          <w:sz w:val="30"/>
        </w:rPr>
        <w:t>J.</w:t>
      </w:r>
      <w:r>
        <w:rPr>
          <w:spacing w:val="-3"/>
          <w:sz w:val="30"/>
        </w:rPr>
        <w:t xml:space="preserve"> </w:t>
      </w:r>
      <w:r>
        <w:rPr>
          <w:sz w:val="30"/>
        </w:rPr>
        <w:t>2001a.</w:t>
      </w:r>
      <w:r>
        <w:rPr>
          <w:spacing w:val="-2"/>
          <w:sz w:val="30"/>
        </w:rPr>
        <w:t xml:space="preserve"> </w:t>
      </w:r>
      <w:r>
        <w:rPr>
          <w:i/>
          <w:sz w:val="30"/>
        </w:rPr>
        <w:t>The</w:t>
      </w:r>
      <w:r>
        <w:rPr>
          <w:i/>
          <w:spacing w:val="1"/>
          <w:sz w:val="30"/>
        </w:rPr>
        <w:t xml:space="preserve"> </w:t>
      </w:r>
      <w:r>
        <w:rPr>
          <w:i/>
          <w:sz w:val="30"/>
        </w:rPr>
        <w:t>Character</w:t>
      </w:r>
      <w:r>
        <w:rPr>
          <w:i/>
          <w:spacing w:val="1"/>
          <w:sz w:val="30"/>
        </w:rPr>
        <w:t xml:space="preserve"> </w:t>
      </w:r>
      <w:r>
        <w:rPr>
          <w:i/>
          <w:sz w:val="30"/>
        </w:rPr>
        <w:t>of</w:t>
      </w:r>
      <w:r>
        <w:rPr>
          <w:i/>
          <w:spacing w:val="2"/>
          <w:sz w:val="30"/>
        </w:rPr>
        <w:t xml:space="preserve"> </w:t>
      </w:r>
      <w:r>
        <w:rPr>
          <w:i/>
          <w:sz w:val="30"/>
        </w:rPr>
        <w:t>a</w:t>
      </w:r>
      <w:r>
        <w:rPr>
          <w:i/>
          <w:spacing w:val="1"/>
          <w:sz w:val="30"/>
        </w:rPr>
        <w:t xml:space="preserve"> </w:t>
      </w:r>
      <w:r>
        <w:rPr>
          <w:i/>
          <w:sz w:val="30"/>
        </w:rPr>
        <w:t>Genius:</w:t>
      </w:r>
      <w:r>
        <w:rPr>
          <w:i/>
          <w:spacing w:val="2"/>
          <w:sz w:val="30"/>
        </w:rPr>
        <w:t xml:space="preserve"> </w:t>
      </w:r>
      <w:r>
        <w:rPr>
          <w:i/>
          <w:sz w:val="30"/>
        </w:rPr>
        <w:t>Beethoven</w:t>
      </w:r>
      <w:r>
        <w:rPr>
          <w:i/>
          <w:spacing w:val="1"/>
          <w:sz w:val="30"/>
        </w:rPr>
        <w:t xml:space="preserve"> </w:t>
      </w:r>
      <w:r>
        <w:rPr>
          <w:i/>
          <w:sz w:val="30"/>
        </w:rPr>
        <w:t>in</w:t>
      </w:r>
      <w:r>
        <w:rPr>
          <w:i/>
          <w:spacing w:val="2"/>
          <w:sz w:val="30"/>
        </w:rPr>
        <w:t xml:space="preserve"> </w:t>
      </w:r>
      <w:r>
        <w:rPr>
          <w:i/>
          <w:spacing w:val="-2"/>
          <w:sz w:val="30"/>
        </w:rPr>
        <w:t>Perspective.</w:t>
      </w:r>
    </w:p>
    <w:p w14:paraId="7E002E68" w14:textId="77777777" w:rsidR="009A58DB" w:rsidRDefault="00000000">
      <w:pPr>
        <w:pStyle w:val="BodyText"/>
        <w:spacing w:before="15"/>
        <w:ind w:left="720"/>
        <w:jc w:val="left"/>
      </w:pPr>
      <w:r>
        <w:t>Westport,</w:t>
      </w:r>
      <w:r>
        <w:rPr>
          <w:spacing w:val="-7"/>
        </w:rPr>
        <w:t xml:space="preserve"> </w:t>
      </w:r>
      <w:r>
        <w:t>CT:</w:t>
      </w:r>
      <w:r>
        <w:rPr>
          <w:spacing w:val="-5"/>
        </w:rPr>
        <w:t xml:space="preserve"> </w:t>
      </w:r>
      <w:r>
        <w:t>Greenwood</w:t>
      </w:r>
      <w:r>
        <w:rPr>
          <w:spacing w:val="-4"/>
        </w:rPr>
        <w:t xml:space="preserve"> </w:t>
      </w:r>
      <w:r>
        <w:rPr>
          <w:spacing w:val="-2"/>
        </w:rPr>
        <w:t>Press.</w:t>
      </w:r>
    </w:p>
    <w:p w14:paraId="7E002E69" w14:textId="77777777" w:rsidR="009A58DB" w:rsidRDefault="00000000">
      <w:pPr>
        <w:spacing w:before="60"/>
        <w:ind w:left="360"/>
        <w:rPr>
          <w:i/>
          <w:sz w:val="30"/>
        </w:rPr>
      </w:pPr>
      <w:r>
        <w:rPr>
          <w:sz w:val="30"/>
        </w:rPr>
        <w:t>Davies,</w:t>
      </w:r>
      <w:r>
        <w:rPr>
          <w:spacing w:val="-6"/>
          <w:sz w:val="30"/>
        </w:rPr>
        <w:t xml:space="preserve"> </w:t>
      </w:r>
      <w:r>
        <w:rPr>
          <w:sz w:val="30"/>
        </w:rPr>
        <w:t>Peter</w:t>
      </w:r>
      <w:r>
        <w:rPr>
          <w:spacing w:val="-4"/>
          <w:sz w:val="30"/>
        </w:rPr>
        <w:t xml:space="preserve"> </w:t>
      </w:r>
      <w:r>
        <w:rPr>
          <w:sz w:val="30"/>
        </w:rPr>
        <w:t>J.</w:t>
      </w:r>
      <w:r>
        <w:rPr>
          <w:spacing w:val="-3"/>
          <w:sz w:val="30"/>
        </w:rPr>
        <w:t xml:space="preserve"> </w:t>
      </w:r>
      <w:r>
        <w:rPr>
          <w:sz w:val="30"/>
        </w:rPr>
        <w:t>2001b.</w:t>
      </w:r>
      <w:r>
        <w:rPr>
          <w:spacing w:val="-3"/>
          <w:sz w:val="30"/>
        </w:rPr>
        <w:t xml:space="preserve"> </w:t>
      </w:r>
      <w:r>
        <w:rPr>
          <w:i/>
          <w:sz w:val="30"/>
        </w:rPr>
        <w:t>Beethoven</w:t>
      </w:r>
      <w:r>
        <w:rPr>
          <w:i/>
          <w:spacing w:val="-3"/>
          <w:sz w:val="30"/>
        </w:rPr>
        <w:t xml:space="preserve"> </w:t>
      </w:r>
      <w:r>
        <w:rPr>
          <w:i/>
          <w:sz w:val="30"/>
        </w:rPr>
        <w:t>in</w:t>
      </w:r>
      <w:r>
        <w:rPr>
          <w:i/>
          <w:spacing w:val="-3"/>
          <w:sz w:val="30"/>
        </w:rPr>
        <w:t xml:space="preserve"> </w:t>
      </w:r>
      <w:r>
        <w:rPr>
          <w:i/>
          <w:sz w:val="30"/>
        </w:rPr>
        <w:t>Person:</w:t>
      </w:r>
      <w:r>
        <w:rPr>
          <w:i/>
          <w:spacing w:val="-4"/>
          <w:sz w:val="30"/>
        </w:rPr>
        <w:t xml:space="preserve"> </w:t>
      </w:r>
      <w:r>
        <w:rPr>
          <w:i/>
          <w:sz w:val="30"/>
        </w:rPr>
        <w:t>His</w:t>
      </w:r>
      <w:r>
        <w:rPr>
          <w:i/>
          <w:spacing w:val="-4"/>
          <w:sz w:val="30"/>
        </w:rPr>
        <w:t xml:space="preserve"> </w:t>
      </w:r>
      <w:r>
        <w:rPr>
          <w:i/>
          <w:sz w:val="30"/>
        </w:rPr>
        <w:t>deafness,</w:t>
      </w:r>
      <w:r>
        <w:rPr>
          <w:i/>
          <w:spacing w:val="-3"/>
          <w:sz w:val="30"/>
        </w:rPr>
        <w:t xml:space="preserve"> </w:t>
      </w:r>
      <w:r>
        <w:rPr>
          <w:i/>
          <w:sz w:val="30"/>
        </w:rPr>
        <w:t>illness,</w:t>
      </w:r>
      <w:r>
        <w:rPr>
          <w:i/>
          <w:spacing w:val="-3"/>
          <w:sz w:val="30"/>
        </w:rPr>
        <w:t xml:space="preserve"> </w:t>
      </w:r>
      <w:r>
        <w:rPr>
          <w:i/>
          <w:sz w:val="30"/>
        </w:rPr>
        <w:t>and</w:t>
      </w:r>
      <w:r>
        <w:rPr>
          <w:i/>
          <w:spacing w:val="-3"/>
          <w:sz w:val="30"/>
        </w:rPr>
        <w:t xml:space="preserve"> </w:t>
      </w:r>
      <w:r>
        <w:rPr>
          <w:i/>
          <w:spacing w:val="-2"/>
          <w:sz w:val="30"/>
        </w:rPr>
        <w:t>death.</w:t>
      </w:r>
    </w:p>
    <w:p w14:paraId="7E002E6A" w14:textId="77777777" w:rsidR="009A58DB" w:rsidRDefault="00000000">
      <w:pPr>
        <w:pStyle w:val="BodyText"/>
        <w:spacing w:before="15"/>
        <w:ind w:left="720"/>
        <w:jc w:val="left"/>
      </w:pPr>
      <w:r>
        <w:t>Westport,</w:t>
      </w:r>
      <w:r>
        <w:rPr>
          <w:spacing w:val="-7"/>
        </w:rPr>
        <w:t xml:space="preserve"> </w:t>
      </w:r>
      <w:r>
        <w:t>CT:</w:t>
      </w:r>
      <w:r>
        <w:rPr>
          <w:spacing w:val="-5"/>
        </w:rPr>
        <w:t xml:space="preserve"> </w:t>
      </w:r>
      <w:r>
        <w:t>Greenwood</w:t>
      </w:r>
      <w:r>
        <w:rPr>
          <w:spacing w:val="-4"/>
        </w:rPr>
        <w:t xml:space="preserve"> </w:t>
      </w:r>
      <w:r>
        <w:rPr>
          <w:spacing w:val="-2"/>
        </w:rPr>
        <w:t>Press.</w:t>
      </w:r>
    </w:p>
    <w:p w14:paraId="7E002E6B" w14:textId="77777777" w:rsidR="009A58DB" w:rsidRDefault="00000000">
      <w:pPr>
        <w:tabs>
          <w:tab w:val="left" w:pos="1481"/>
          <w:tab w:val="left" w:pos="3002"/>
          <w:tab w:val="left" w:pos="3965"/>
          <w:tab w:val="left" w:pos="5444"/>
          <w:tab w:val="left" w:pos="6657"/>
          <w:tab w:val="left" w:pos="7578"/>
          <w:tab w:val="left" w:pos="8266"/>
        </w:tabs>
        <w:spacing w:before="60" w:line="256" w:lineRule="auto"/>
        <w:ind w:left="360" w:right="361"/>
        <w:rPr>
          <w:sz w:val="30"/>
        </w:rPr>
      </w:pPr>
      <w:r>
        <w:rPr>
          <w:sz w:val="30"/>
        </w:rPr>
        <w:t xml:space="preserve">Davidson, Donald. 1967. Truth and Meaning. </w:t>
      </w:r>
      <w:r>
        <w:rPr>
          <w:i/>
          <w:sz w:val="30"/>
        </w:rPr>
        <w:t xml:space="preserve">Synthese </w:t>
      </w:r>
      <w:r>
        <w:rPr>
          <w:sz w:val="30"/>
        </w:rPr>
        <w:t xml:space="preserve">17, 304–323. Davidson, Donald. 1980. </w:t>
      </w:r>
      <w:r>
        <w:rPr>
          <w:i/>
          <w:sz w:val="30"/>
        </w:rPr>
        <w:t xml:space="preserve">Inquiries into Truth and Interpretation. </w:t>
      </w:r>
      <w:r>
        <w:rPr>
          <w:sz w:val="30"/>
        </w:rPr>
        <w:t xml:space="preserve">New York: </w:t>
      </w:r>
      <w:r>
        <w:rPr>
          <w:spacing w:val="-2"/>
          <w:sz w:val="30"/>
        </w:rPr>
        <w:t>Oxford</w:t>
      </w:r>
      <w:r>
        <w:rPr>
          <w:sz w:val="30"/>
        </w:rPr>
        <w:tab/>
      </w:r>
      <w:r>
        <w:rPr>
          <w:spacing w:val="-2"/>
          <w:sz w:val="30"/>
        </w:rPr>
        <w:t>University</w:t>
      </w:r>
      <w:r>
        <w:rPr>
          <w:sz w:val="30"/>
        </w:rPr>
        <w:tab/>
      </w:r>
      <w:r>
        <w:rPr>
          <w:spacing w:val="-2"/>
          <w:sz w:val="30"/>
        </w:rPr>
        <w:t>Press.</w:t>
      </w:r>
      <w:r>
        <w:rPr>
          <w:sz w:val="30"/>
        </w:rPr>
        <w:tab/>
      </w:r>
      <w:r>
        <w:rPr>
          <w:spacing w:val="-2"/>
          <w:sz w:val="30"/>
        </w:rPr>
        <w:t>Davidson,</w:t>
      </w:r>
      <w:r>
        <w:rPr>
          <w:sz w:val="30"/>
        </w:rPr>
        <w:tab/>
      </w:r>
      <w:r>
        <w:rPr>
          <w:spacing w:val="-2"/>
          <w:sz w:val="30"/>
        </w:rPr>
        <w:t>Donald.</w:t>
      </w:r>
      <w:r>
        <w:rPr>
          <w:sz w:val="30"/>
        </w:rPr>
        <w:tab/>
      </w:r>
      <w:r>
        <w:rPr>
          <w:spacing w:val="-2"/>
          <w:sz w:val="30"/>
        </w:rPr>
        <w:t>Truth</w:t>
      </w:r>
      <w:r>
        <w:rPr>
          <w:sz w:val="30"/>
        </w:rPr>
        <w:tab/>
      </w:r>
      <w:r>
        <w:rPr>
          <w:spacing w:val="-4"/>
          <w:sz w:val="30"/>
        </w:rPr>
        <w:t>and</w:t>
      </w:r>
      <w:r>
        <w:rPr>
          <w:sz w:val="30"/>
        </w:rPr>
        <w:tab/>
      </w:r>
      <w:r>
        <w:rPr>
          <w:spacing w:val="-2"/>
          <w:sz w:val="30"/>
        </w:rPr>
        <w:t xml:space="preserve">Predication. </w:t>
      </w:r>
      <w:r>
        <w:rPr>
          <w:sz w:val="30"/>
        </w:rPr>
        <w:t>Cambridge, MA: Harvard University Press.</w:t>
      </w:r>
    </w:p>
    <w:p w14:paraId="7E002E6C" w14:textId="77777777" w:rsidR="009A58DB" w:rsidRDefault="00000000">
      <w:pPr>
        <w:pStyle w:val="BodyText"/>
        <w:spacing w:before="38" w:line="249" w:lineRule="auto"/>
        <w:ind w:left="720" w:right="358" w:hanging="360"/>
      </w:pPr>
      <w:r>
        <w:t xml:space="preserve">Dennett, Daniel. 1975. Eliminative materialism and the propositional attitudes. In In D. Rosenthal (Ed.), </w:t>
      </w:r>
      <w:r>
        <w:rPr>
          <w:i/>
        </w:rPr>
        <w:t xml:space="preserve">The Nature of Mind, </w:t>
      </w:r>
      <w:r>
        <w:t>(pp. 502–507). New York: Oxford University Press.</w:t>
      </w:r>
    </w:p>
    <w:p w14:paraId="7E002E6D" w14:textId="77777777" w:rsidR="009A58DB" w:rsidRDefault="00000000">
      <w:pPr>
        <w:pStyle w:val="BodyText"/>
        <w:spacing w:before="34" w:line="280" w:lineRule="auto"/>
        <w:ind w:right="368"/>
      </w:pPr>
      <w:r>
        <w:t xml:space="preserve">Dennett, Daniel. 1978. </w:t>
      </w:r>
      <w:r>
        <w:rPr>
          <w:i/>
        </w:rPr>
        <w:t xml:space="preserve">Brainstorms. </w:t>
      </w:r>
      <w:r>
        <w:t>Cambridge, MA: The MIT press. Donnellan,</w:t>
      </w:r>
      <w:r>
        <w:rPr>
          <w:spacing w:val="22"/>
        </w:rPr>
        <w:t xml:space="preserve">  </w:t>
      </w:r>
      <w:r>
        <w:t>Keith.</w:t>
      </w:r>
      <w:r>
        <w:rPr>
          <w:spacing w:val="23"/>
        </w:rPr>
        <w:t xml:space="preserve">  </w:t>
      </w:r>
      <w:r>
        <w:t>1958.</w:t>
      </w:r>
      <w:r>
        <w:rPr>
          <w:spacing w:val="23"/>
        </w:rPr>
        <w:t xml:space="preserve">  </w:t>
      </w:r>
      <w:r>
        <w:t>Reference</w:t>
      </w:r>
      <w:r>
        <w:rPr>
          <w:spacing w:val="23"/>
        </w:rPr>
        <w:t xml:space="preserve">  </w:t>
      </w:r>
      <w:r>
        <w:t>and</w:t>
      </w:r>
      <w:r>
        <w:rPr>
          <w:spacing w:val="23"/>
        </w:rPr>
        <w:t xml:space="preserve">  </w:t>
      </w:r>
      <w:r>
        <w:t>Definite</w:t>
      </w:r>
      <w:r>
        <w:rPr>
          <w:spacing w:val="23"/>
        </w:rPr>
        <w:t xml:space="preserve">  </w:t>
      </w:r>
      <w:r>
        <w:t>Descriptions.</w:t>
      </w:r>
      <w:r>
        <w:rPr>
          <w:spacing w:val="23"/>
        </w:rPr>
        <w:t xml:space="preserve">  </w:t>
      </w:r>
      <w:r>
        <w:t>In</w:t>
      </w:r>
      <w:r>
        <w:rPr>
          <w:spacing w:val="23"/>
        </w:rPr>
        <w:t xml:space="preserve">  </w:t>
      </w:r>
      <w:r>
        <w:rPr>
          <w:spacing w:val="-4"/>
        </w:rPr>
        <w:t>A.P.</w:t>
      </w:r>
    </w:p>
    <w:p w14:paraId="7E002E6E" w14:textId="77777777" w:rsidR="009A58DB" w:rsidRDefault="00000000">
      <w:pPr>
        <w:spacing w:line="303" w:lineRule="exact"/>
        <w:ind w:left="720"/>
        <w:jc w:val="both"/>
        <w:rPr>
          <w:sz w:val="30"/>
        </w:rPr>
      </w:pPr>
      <w:r>
        <w:rPr>
          <w:sz w:val="30"/>
        </w:rPr>
        <w:t>Martinich,</w:t>
      </w:r>
      <w:r>
        <w:rPr>
          <w:spacing w:val="10"/>
          <w:sz w:val="30"/>
        </w:rPr>
        <w:t xml:space="preserve"> </w:t>
      </w:r>
      <w:r>
        <w:rPr>
          <w:sz w:val="30"/>
        </w:rPr>
        <w:t>(Ed.),</w:t>
      </w:r>
      <w:r>
        <w:rPr>
          <w:spacing w:val="13"/>
          <w:sz w:val="30"/>
        </w:rPr>
        <w:t xml:space="preserve"> </w:t>
      </w:r>
      <w:r>
        <w:rPr>
          <w:i/>
          <w:sz w:val="30"/>
        </w:rPr>
        <w:t>The</w:t>
      </w:r>
      <w:r>
        <w:rPr>
          <w:i/>
          <w:spacing w:val="16"/>
          <w:sz w:val="30"/>
        </w:rPr>
        <w:t xml:space="preserve"> </w:t>
      </w:r>
      <w:r>
        <w:rPr>
          <w:i/>
          <w:sz w:val="30"/>
        </w:rPr>
        <w:t>Philosophy</w:t>
      </w:r>
      <w:r>
        <w:rPr>
          <w:i/>
          <w:spacing w:val="16"/>
          <w:sz w:val="30"/>
        </w:rPr>
        <w:t xml:space="preserve"> </w:t>
      </w:r>
      <w:r>
        <w:rPr>
          <w:i/>
          <w:sz w:val="30"/>
        </w:rPr>
        <w:t>of</w:t>
      </w:r>
      <w:r>
        <w:rPr>
          <w:i/>
          <w:spacing w:val="16"/>
          <w:sz w:val="30"/>
        </w:rPr>
        <w:t xml:space="preserve"> </w:t>
      </w:r>
      <w:r>
        <w:rPr>
          <w:i/>
          <w:sz w:val="30"/>
        </w:rPr>
        <w:t>Language</w:t>
      </w:r>
      <w:r>
        <w:rPr>
          <w:i/>
          <w:spacing w:val="16"/>
          <w:sz w:val="30"/>
        </w:rPr>
        <w:t xml:space="preserve"> </w:t>
      </w:r>
      <w:r>
        <w:rPr>
          <w:sz w:val="30"/>
        </w:rPr>
        <w:t>(pp.</w:t>
      </w:r>
      <w:r>
        <w:rPr>
          <w:spacing w:val="21"/>
          <w:sz w:val="30"/>
        </w:rPr>
        <w:t xml:space="preserve"> </w:t>
      </w:r>
      <w:r>
        <w:rPr>
          <w:sz w:val="30"/>
        </w:rPr>
        <w:t>235–247).</w:t>
      </w:r>
      <w:r>
        <w:rPr>
          <w:spacing w:val="23"/>
          <w:sz w:val="30"/>
        </w:rPr>
        <w:t xml:space="preserve"> </w:t>
      </w:r>
      <w:r>
        <w:rPr>
          <w:sz w:val="30"/>
        </w:rPr>
        <w:t>New</w:t>
      </w:r>
      <w:r>
        <w:rPr>
          <w:spacing w:val="23"/>
          <w:sz w:val="30"/>
        </w:rPr>
        <w:t xml:space="preserve"> </w:t>
      </w:r>
      <w:r>
        <w:rPr>
          <w:spacing w:val="-2"/>
          <w:sz w:val="30"/>
        </w:rPr>
        <w:t>York:</w:t>
      </w:r>
    </w:p>
    <w:p w14:paraId="7E002E6F" w14:textId="77777777" w:rsidR="009A58DB" w:rsidRDefault="00000000">
      <w:pPr>
        <w:pStyle w:val="BodyText"/>
        <w:spacing w:before="15"/>
        <w:ind w:left="720"/>
      </w:pPr>
      <w:r>
        <w:t>Oxford</w:t>
      </w:r>
      <w:r>
        <w:rPr>
          <w:spacing w:val="-5"/>
        </w:rPr>
        <w:t xml:space="preserve"> </w:t>
      </w:r>
      <w:r>
        <w:t>University</w:t>
      </w:r>
      <w:r>
        <w:rPr>
          <w:spacing w:val="-5"/>
        </w:rPr>
        <w:t xml:space="preserve"> </w:t>
      </w:r>
      <w:r>
        <w:rPr>
          <w:spacing w:val="-2"/>
        </w:rPr>
        <w:t>Press.</w:t>
      </w:r>
    </w:p>
    <w:p w14:paraId="7E002E70" w14:textId="77777777" w:rsidR="009A58DB" w:rsidRDefault="00000000">
      <w:pPr>
        <w:pStyle w:val="BodyText"/>
        <w:spacing w:before="60" w:line="249" w:lineRule="auto"/>
        <w:ind w:left="720" w:right="366" w:hanging="360"/>
      </w:pPr>
      <w:r>
        <w:t xml:space="preserve">Donnellan, Keith. 1966. Reference and Definite Descriptions. In A.P. Martinich (Ed.), </w:t>
      </w:r>
      <w:r>
        <w:rPr>
          <w:i/>
        </w:rPr>
        <w:t xml:space="preserve">The Philosophy of Language, </w:t>
      </w:r>
      <w:r>
        <w:t>(pp. 235–257). Oxford: Oxford University Press.</w:t>
      </w:r>
    </w:p>
    <w:p w14:paraId="7E002E71" w14:textId="77777777" w:rsidR="009A58DB" w:rsidRDefault="00000000">
      <w:pPr>
        <w:spacing w:before="34" w:line="249" w:lineRule="auto"/>
        <w:ind w:left="720" w:right="364" w:hanging="360"/>
        <w:jc w:val="both"/>
        <w:rPr>
          <w:sz w:val="30"/>
        </w:rPr>
      </w:pPr>
      <w:r>
        <w:rPr>
          <w:sz w:val="30"/>
        </w:rPr>
        <w:t xml:space="preserve">Donnellan, Keith. 1974. Speaking of nothing. </w:t>
      </w:r>
      <w:r>
        <w:rPr>
          <w:i/>
          <w:sz w:val="30"/>
        </w:rPr>
        <w:t xml:space="preserve">The Philosophical Review </w:t>
      </w:r>
      <w:r>
        <w:rPr>
          <w:sz w:val="30"/>
        </w:rPr>
        <w:t xml:space="preserve">74, </w:t>
      </w:r>
      <w:r>
        <w:rPr>
          <w:spacing w:val="-2"/>
          <w:sz w:val="30"/>
        </w:rPr>
        <w:t>3–31.</w:t>
      </w:r>
    </w:p>
    <w:p w14:paraId="7E002E72" w14:textId="77777777" w:rsidR="009A58DB" w:rsidRDefault="00000000">
      <w:pPr>
        <w:spacing w:before="47" w:line="249" w:lineRule="auto"/>
        <w:ind w:left="720" w:right="370" w:hanging="360"/>
        <w:jc w:val="both"/>
        <w:rPr>
          <w:sz w:val="30"/>
        </w:rPr>
      </w:pPr>
      <w:r>
        <w:rPr>
          <w:sz w:val="30"/>
        </w:rPr>
        <w:t xml:space="preserve">Dretske, Fred. 1982. </w:t>
      </w:r>
      <w:r>
        <w:rPr>
          <w:i/>
          <w:sz w:val="30"/>
        </w:rPr>
        <w:t xml:space="preserve">Knowledge and the Flow of Information. </w:t>
      </w:r>
      <w:r>
        <w:rPr>
          <w:sz w:val="30"/>
        </w:rPr>
        <w:t>Cambridge, MA: The MIT Press.</w:t>
      </w:r>
    </w:p>
    <w:p w14:paraId="7E002E73" w14:textId="77777777" w:rsidR="009A58DB" w:rsidRDefault="00000000">
      <w:pPr>
        <w:spacing w:before="33" w:line="249" w:lineRule="auto"/>
        <w:ind w:left="720" w:hanging="360"/>
        <w:rPr>
          <w:sz w:val="30"/>
        </w:rPr>
      </w:pPr>
      <w:r>
        <w:rPr>
          <w:sz w:val="30"/>
        </w:rPr>
        <w:t xml:space="preserve">Ducasse, C.J. 1969. </w:t>
      </w:r>
      <w:r>
        <w:rPr>
          <w:i/>
          <w:sz w:val="30"/>
        </w:rPr>
        <w:t xml:space="preserve">Truth, Knowledge, and Causation. </w:t>
      </w:r>
      <w:r>
        <w:rPr>
          <w:sz w:val="30"/>
        </w:rPr>
        <w:t>London: Routledge &amp; Kegan Paul.</w:t>
      </w:r>
    </w:p>
    <w:p w14:paraId="7E002E74" w14:textId="77777777" w:rsidR="009A58DB" w:rsidRDefault="00000000">
      <w:pPr>
        <w:spacing w:before="47"/>
        <w:ind w:left="360"/>
        <w:rPr>
          <w:sz w:val="30"/>
        </w:rPr>
      </w:pPr>
      <w:r>
        <w:rPr>
          <w:sz w:val="30"/>
        </w:rPr>
        <w:t>Dummett,</w:t>
      </w:r>
      <w:r>
        <w:rPr>
          <w:spacing w:val="15"/>
          <w:sz w:val="30"/>
        </w:rPr>
        <w:t xml:space="preserve"> </w:t>
      </w:r>
      <w:r>
        <w:rPr>
          <w:sz w:val="30"/>
        </w:rPr>
        <w:t>Michael.</w:t>
      </w:r>
      <w:r>
        <w:rPr>
          <w:spacing w:val="16"/>
          <w:sz w:val="30"/>
        </w:rPr>
        <w:t xml:space="preserve"> </w:t>
      </w:r>
      <w:r>
        <w:rPr>
          <w:sz w:val="30"/>
        </w:rPr>
        <w:t>1973.</w:t>
      </w:r>
      <w:r>
        <w:rPr>
          <w:spacing w:val="16"/>
          <w:sz w:val="30"/>
        </w:rPr>
        <w:t xml:space="preserve"> </w:t>
      </w:r>
      <w:r>
        <w:rPr>
          <w:i/>
          <w:sz w:val="30"/>
        </w:rPr>
        <w:t>Frege:</w:t>
      </w:r>
      <w:r>
        <w:rPr>
          <w:i/>
          <w:spacing w:val="19"/>
          <w:sz w:val="30"/>
        </w:rPr>
        <w:t xml:space="preserve"> </w:t>
      </w:r>
      <w:r>
        <w:rPr>
          <w:i/>
          <w:sz w:val="30"/>
        </w:rPr>
        <w:t>Philosophy</w:t>
      </w:r>
      <w:r>
        <w:rPr>
          <w:i/>
          <w:spacing w:val="18"/>
          <w:sz w:val="30"/>
        </w:rPr>
        <w:t xml:space="preserve"> </w:t>
      </w:r>
      <w:r>
        <w:rPr>
          <w:i/>
          <w:sz w:val="30"/>
        </w:rPr>
        <w:t>of</w:t>
      </w:r>
      <w:r>
        <w:rPr>
          <w:i/>
          <w:spacing w:val="18"/>
          <w:sz w:val="30"/>
        </w:rPr>
        <w:t xml:space="preserve"> </w:t>
      </w:r>
      <w:r>
        <w:rPr>
          <w:i/>
          <w:sz w:val="30"/>
        </w:rPr>
        <w:t>Language.</w:t>
      </w:r>
      <w:r>
        <w:rPr>
          <w:i/>
          <w:spacing w:val="19"/>
          <w:sz w:val="30"/>
        </w:rPr>
        <w:t xml:space="preserve"> </w:t>
      </w:r>
      <w:r>
        <w:rPr>
          <w:sz w:val="30"/>
        </w:rPr>
        <w:t>Cambridge,</w:t>
      </w:r>
      <w:r>
        <w:rPr>
          <w:spacing w:val="12"/>
          <w:sz w:val="30"/>
        </w:rPr>
        <w:t xml:space="preserve"> </w:t>
      </w:r>
      <w:r>
        <w:rPr>
          <w:spacing w:val="-5"/>
          <w:sz w:val="30"/>
        </w:rPr>
        <w:t>MA:</w:t>
      </w:r>
    </w:p>
    <w:p w14:paraId="7E002E75" w14:textId="77777777" w:rsidR="009A58DB" w:rsidRDefault="009A58DB">
      <w:pPr>
        <w:rPr>
          <w:sz w:val="30"/>
        </w:rPr>
        <w:sectPr w:rsidR="009A58DB">
          <w:pgSz w:w="12240" w:h="15840"/>
          <w:pgMar w:top="1380" w:right="1080" w:bottom="280" w:left="1080" w:header="720" w:footer="720" w:gutter="0"/>
          <w:cols w:space="720"/>
        </w:sectPr>
      </w:pPr>
    </w:p>
    <w:p w14:paraId="7E002E76" w14:textId="77777777" w:rsidR="009A58DB" w:rsidRDefault="00000000">
      <w:pPr>
        <w:pStyle w:val="BodyText"/>
        <w:spacing w:before="66"/>
        <w:ind w:left="720"/>
        <w:jc w:val="left"/>
      </w:pPr>
      <w:r>
        <w:t>Harvard</w:t>
      </w:r>
      <w:r>
        <w:rPr>
          <w:spacing w:val="-6"/>
        </w:rPr>
        <w:t xml:space="preserve"> </w:t>
      </w:r>
      <w:r>
        <w:t>University</w:t>
      </w:r>
      <w:r>
        <w:rPr>
          <w:spacing w:val="-6"/>
        </w:rPr>
        <w:t xml:space="preserve"> </w:t>
      </w:r>
      <w:r>
        <w:rPr>
          <w:spacing w:val="-2"/>
        </w:rPr>
        <w:t>Press.</w:t>
      </w:r>
    </w:p>
    <w:p w14:paraId="7E002E77" w14:textId="77777777" w:rsidR="009A58DB" w:rsidRDefault="00000000">
      <w:pPr>
        <w:spacing w:before="59" w:line="249" w:lineRule="auto"/>
        <w:ind w:left="720" w:hanging="360"/>
        <w:rPr>
          <w:sz w:val="30"/>
        </w:rPr>
      </w:pPr>
      <w:r>
        <w:rPr>
          <w:sz w:val="30"/>
        </w:rPr>
        <w:t>Dummett,</w:t>
      </w:r>
      <w:r>
        <w:rPr>
          <w:spacing w:val="80"/>
          <w:sz w:val="30"/>
        </w:rPr>
        <w:t xml:space="preserve"> </w:t>
      </w:r>
      <w:r>
        <w:rPr>
          <w:sz w:val="30"/>
        </w:rPr>
        <w:t>Michael.</w:t>
      </w:r>
      <w:r>
        <w:rPr>
          <w:spacing w:val="80"/>
          <w:sz w:val="30"/>
        </w:rPr>
        <w:t xml:space="preserve"> </w:t>
      </w:r>
      <w:r>
        <w:rPr>
          <w:sz w:val="30"/>
        </w:rPr>
        <w:t>1978.</w:t>
      </w:r>
      <w:r>
        <w:rPr>
          <w:spacing w:val="80"/>
          <w:sz w:val="30"/>
        </w:rPr>
        <w:t xml:space="preserve"> </w:t>
      </w:r>
      <w:r>
        <w:rPr>
          <w:i/>
          <w:sz w:val="30"/>
        </w:rPr>
        <w:t>Truth</w:t>
      </w:r>
      <w:r>
        <w:rPr>
          <w:i/>
          <w:spacing w:val="80"/>
          <w:sz w:val="30"/>
        </w:rPr>
        <w:t xml:space="preserve"> </w:t>
      </w:r>
      <w:r>
        <w:rPr>
          <w:i/>
          <w:sz w:val="30"/>
        </w:rPr>
        <w:t>and</w:t>
      </w:r>
      <w:r>
        <w:rPr>
          <w:i/>
          <w:spacing w:val="80"/>
          <w:sz w:val="30"/>
        </w:rPr>
        <w:t xml:space="preserve"> </w:t>
      </w:r>
      <w:r>
        <w:rPr>
          <w:i/>
          <w:sz w:val="30"/>
        </w:rPr>
        <w:t>Other</w:t>
      </w:r>
      <w:r>
        <w:rPr>
          <w:i/>
          <w:spacing w:val="80"/>
          <w:sz w:val="30"/>
        </w:rPr>
        <w:t xml:space="preserve"> </w:t>
      </w:r>
      <w:r>
        <w:rPr>
          <w:i/>
          <w:sz w:val="30"/>
        </w:rPr>
        <w:t>Enigmas.</w:t>
      </w:r>
      <w:r>
        <w:rPr>
          <w:i/>
          <w:spacing w:val="80"/>
          <w:sz w:val="30"/>
        </w:rPr>
        <w:t xml:space="preserve"> </w:t>
      </w:r>
      <w:r>
        <w:rPr>
          <w:sz w:val="30"/>
        </w:rPr>
        <w:t>Cambridge,</w:t>
      </w:r>
      <w:r>
        <w:rPr>
          <w:spacing w:val="80"/>
          <w:sz w:val="30"/>
        </w:rPr>
        <w:t xml:space="preserve"> </w:t>
      </w:r>
      <w:r>
        <w:rPr>
          <w:sz w:val="30"/>
        </w:rPr>
        <w:t>MA: Harvard University Press.</w:t>
      </w:r>
    </w:p>
    <w:p w14:paraId="7E002E78" w14:textId="77777777" w:rsidR="009A58DB" w:rsidRDefault="00000000">
      <w:pPr>
        <w:spacing w:before="32" w:line="261" w:lineRule="auto"/>
        <w:ind w:left="360" w:right="364"/>
        <w:rPr>
          <w:sz w:val="30"/>
        </w:rPr>
      </w:pPr>
      <w:r>
        <w:rPr>
          <w:sz w:val="30"/>
        </w:rPr>
        <w:t xml:space="preserve">Einstein, Albert. 1962. </w:t>
      </w:r>
      <w:r>
        <w:rPr>
          <w:i/>
          <w:sz w:val="30"/>
        </w:rPr>
        <w:t xml:space="preserve">The Principles of Relativtiy. </w:t>
      </w:r>
      <w:r>
        <w:rPr>
          <w:sz w:val="30"/>
        </w:rPr>
        <w:t>New York: Dover. Einstein,</w:t>
      </w:r>
      <w:r>
        <w:rPr>
          <w:spacing w:val="40"/>
          <w:sz w:val="30"/>
        </w:rPr>
        <w:t xml:space="preserve"> </w:t>
      </w:r>
      <w:r>
        <w:rPr>
          <w:sz w:val="30"/>
        </w:rPr>
        <w:t>Albert,</w:t>
      </w:r>
      <w:r>
        <w:rPr>
          <w:spacing w:val="40"/>
          <w:sz w:val="30"/>
        </w:rPr>
        <w:t xml:space="preserve"> </w:t>
      </w:r>
      <w:r>
        <w:rPr>
          <w:sz w:val="30"/>
        </w:rPr>
        <w:t>&amp;</w:t>
      </w:r>
      <w:r>
        <w:rPr>
          <w:spacing w:val="40"/>
          <w:sz w:val="30"/>
        </w:rPr>
        <w:t xml:space="preserve"> </w:t>
      </w:r>
      <w:r>
        <w:rPr>
          <w:sz w:val="30"/>
        </w:rPr>
        <w:t>Infeld,</w:t>
      </w:r>
      <w:r>
        <w:rPr>
          <w:spacing w:val="40"/>
          <w:sz w:val="30"/>
        </w:rPr>
        <w:t xml:space="preserve"> </w:t>
      </w:r>
      <w:r>
        <w:rPr>
          <w:sz w:val="30"/>
        </w:rPr>
        <w:t>Leopold.</w:t>
      </w:r>
      <w:r>
        <w:rPr>
          <w:spacing w:val="40"/>
          <w:sz w:val="30"/>
        </w:rPr>
        <w:t xml:space="preserve"> </w:t>
      </w:r>
      <w:r>
        <w:rPr>
          <w:sz w:val="30"/>
        </w:rPr>
        <w:t>1961.</w:t>
      </w:r>
      <w:r>
        <w:rPr>
          <w:spacing w:val="40"/>
          <w:sz w:val="30"/>
        </w:rPr>
        <w:t xml:space="preserve"> </w:t>
      </w:r>
      <w:r>
        <w:rPr>
          <w:i/>
          <w:sz w:val="30"/>
        </w:rPr>
        <w:t>The</w:t>
      </w:r>
      <w:r>
        <w:rPr>
          <w:i/>
          <w:spacing w:val="40"/>
          <w:sz w:val="30"/>
        </w:rPr>
        <w:t xml:space="preserve"> </w:t>
      </w:r>
      <w:r>
        <w:rPr>
          <w:i/>
          <w:sz w:val="30"/>
        </w:rPr>
        <w:t>Evolution</w:t>
      </w:r>
      <w:r>
        <w:rPr>
          <w:i/>
          <w:spacing w:val="40"/>
          <w:sz w:val="30"/>
        </w:rPr>
        <w:t xml:space="preserve"> </w:t>
      </w:r>
      <w:r>
        <w:rPr>
          <w:i/>
          <w:sz w:val="30"/>
        </w:rPr>
        <w:t>of</w:t>
      </w:r>
      <w:r>
        <w:rPr>
          <w:i/>
          <w:spacing w:val="40"/>
          <w:sz w:val="30"/>
        </w:rPr>
        <w:t xml:space="preserve"> </w:t>
      </w:r>
      <w:r>
        <w:rPr>
          <w:i/>
          <w:sz w:val="30"/>
        </w:rPr>
        <w:t>Physics.</w:t>
      </w:r>
      <w:r>
        <w:rPr>
          <w:i/>
          <w:spacing w:val="40"/>
          <w:sz w:val="30"/>
        </w:rPr>
        <w:t xml:space="preserve"> </w:t>
      </w:r>
      <w:r>
        <w:rPr>
          <w:sz w:val="30"/>
        </w:rPr>
        <w:t xml:space="preserve">New York: Simon &amp; Schuster. Evans, Gareth. 1982. </w:t>
      </w:r>
      <w:r>
        <w:rPr>
          <w:i/>
          <w:sz w:val="30"/>
        </w:rPr>
        <w:t>The Varieties of Reference.</w:t>
      </w:r>
      <w:r>
        <w:rPr>
          <w:i/>
          <w:spacing w:val="80"/>
          <w:w w:val="150"/>
          <w:sz w:val="30"/>
        </w:rPr>
        <w:t xml:space="preserve"> </w:t>
      </w:r>
      <w:r>
        <w:rPr>
          <w:sz w:val="30"/>
        </w:rPr>
        <w:t>Oxford: Clarendon Press.</w:t>
      </w:r>
    </w:p>
    <w:p w14:paraId="7E002E79" w14:textId="77777777" w:rsidR="009A58DB" w:rsidRDefault="00000000">
      <w:pPr>
        <w:spacing w:before="11"/>
        <w:ind w:left="360"/>
        <w:rPr>
          <w:sz w:val="30"/>
        </w:rPr>
      </w:pPr>
      <w:r>
        <w:rPr>
          <w:sz w:val="30"/>
        </w:rPr>
        <w:t>Evans,</w:t>
      </w:r>
      <w:r>
        <w:rPr>
          <w:spacing w:val="-6"/>
          <w:sz w:val="30"/>
        </w:rPr>
        <w:t xml:space="preserve"> </w:t>
      </w:r>
      <w:r>
        <w:rPr>
          <w:sz w:val="30"/>
        </w:rPr>
        <w:t>Gareth.</w:t>
      </w:r>
      <w:r>
        <w:rPr>
          <w:spacing w:val="-4"/>
          <w:sz w:val="30"/>
        </w:rPr>
        <w:t xml:space="preserve"> </w:t>
      </w:r>
      <w:r>
        <w:rPr>
          <w:sz w:val="30"/>
        </w:rPr>
        <w:t>1985.</w:t>
      </w:r>
      <w:r>
        <w:rPr>
          <w:spacing w:val="-4"/>
          <w:sz w:val="30"/>
        </w:rPr>
        <w:t xml:space="preserve"> </w:t>
      </w:r>
      <w:r>
        <w:rPr>
          <w:i/>
          <w:sz w:val="30"/>
        </w:rPr>
        <w:t>Collected</w:t>
      </w:r>
      <w:r>
        <w:rPr>
          <w:i/>
          <w:spacing w:val="-4"/>
          <w:sz w:val="30"/>
        </w:rPr>
        <w:t xml:space="preserve"> </w:t>
      </w:r>
      <w:r>
        <w:rPr>
          <w:i/>
          <w:sz w:val="30"/>
        </w:rPr>
        <w:t>Papers.</w:t>
      </w:r>
      <w:r>
        <w:rPr>
          <w:i/>
          <w:spacing w:val="-4"/>
          <w:sz w:val="30"/>
        </w:rPr>
        <w:t xml:space="preserve"> </w:t>
      </w:r>
      <w:r>
        <w:rPr>
          <w:sz w:val="30"/>
        </w:rPr>
        <w:t>Oxford:</w:t>
      </w:r>
      <w:r>
        <w:rPr>
          <w:spacing w:val="-5"/>
          <w:sz w:val="30"/>
        </w:rPr>
        <w:t xml:space="preserve"> </w:t>
      </w:r>
      <w:r>
        <w:rPr>
          <w:sz w:val="30"/>
        </w:rPr>
        <w:t>Clarendon</w:t>
      </w:r>
      <w:r>
        <w:rPr>
          <w:spacing w:val="-3"/>
          <w:sz w:val="30"/>
        </w:rPr>
        <w:t xml:space="preserve"> </w:t>
      </w:r>
      <w:r>
        <w:rPr>
          <w:spacing w:val="-2"/>
          <w:sz w:val="30"/>
        </w:rPr>
        <w:t>Press.</w:t>
      </w:r>
    </w:p>
    <w:p w14:paraId="7E002E7A" w14:textId="77777777" w:rsidR="009A58DB" w:rsidRDefault="00000000">
      <w:pPr>
        <w:pStyle w:val="BodyText"/>
        <w:spacing w:before="60" w:line="249" w:lineRule="auto"/>
        <w:ind w:left="720" w:right="360" w:hanging="360"/>
      </w:pPr>
      <w:r>
        <w:t xml:space="preserve">Falvey, Kevin. 1994. Externalism, Self-Knowledge, and Skepticism. Unpublished Dissertation. Department of Philosophy. University of </w:t>
      </w:r>
      <w:r>
        <w:rPr>
          <w:spacing w:val="-2"/>
        </w:rPr>
        <w:t>Minnesota.</w:t>
      </w:r>
    </w:p>
    <w:p w14:paraId="7E002E7B" w14:textId="77777777" w:rsidR="009A58DB" w:rsidRDefault="00000000">
      <w:pPr>
        <w:pStyle w:val="BodyText"/>
        <w:spacing w:before="49" w:line="249" w:lineRule="auto"/>
        <w:ind w:left="720" w:right="369" w:hanging="360"/>
      </w:pPr>
      <w:r>
        <w:t xml:space="preserve">Falvey, Kevin, &amp; Owens, Joseph. 1994. Externalism, Self-Knowledge, and Skepticism. </w:t>
      </w:r>
      <w:r>
        <w:rPr>
          <w:i/>
        </w:rPr>
        <w:t xml:space="preserve">Philosophical Review </w:t>
      </w:r>
      <w:r>
        <w:t>103, 107–137.</w:t>
      </w:r>
    </w:p>
    <w:p w14:paraId="7E002E7C" w14:textId="77777777" w:rsidR="009A58DB" w:rsidRDefault="00000000">
      <w:pPr>
        <w:spacing w:before="32" w:line="249" w:lineRule="auto"/>
        <w:ind w:left="720" w:right="366" w:hanging="360"/>
        <w:jc w:val="both"/>
        <w:rPr>
          <w:sz w:val="30"/>
        </w:rPr>
      </w:pPr>
      <w:r>
        <w:rPr>
          <w:sz w:val="30"/>
        </w:rPr>
        <w:t xml:space="preserve">Feldman, Fred. 1978. </w:t>
      </w:r>
      <w:r>
        <w:rPr>
          <w:i/>
          <w:sz w:val="30"/>
        </w:rPr>
        <w:t xml:space="preserve">Introductory Ethics. </w:t>
      </w:r>
      <w:r>
        <w:rPr>
          <w:sz w:val="30"/>
        </w:rPr>
        <w:t xml:space="preserve">Englewood Cliffs, NJ: Prentice </w:t>
      </w:r>
      <w:r>
        <w:rPr>
          <w:spacing w:val="-2"/>
          <w:sz w:val="30"/>
        </w:rPr>
        <w:t>Hall.</w:t>
      </w:r>
    </w:p>
    <w:p w14:paraId="7E002E7D" w14:textId="77777777" w:rsidR="009A58DB" w:rsidRDefault="00000000">
      <w:pPr>
        <w:spacing w:before="48" w:line="249" w:lineRule="auto"/>
        <w:ind w:left="360" w:right="753"/>
        <w:jc w:val="both"/>
        <w:rPr>
          <w:sz w:val="30"/>
        </w:rPr>
      </w:pPr>
      <w:r>
        <w:rPr>
          <w:sz w:val="30"/>
        </w:rPr>
        <w:t xml:space="preserve">Field, Hartry. 1977. Logic, Meaning, and Conceptual Role. </w:t>
      </w:r>
      <w:r>
        <w:rPr>
          <w:i/>
          <w:sz w:val="30"/>
        </w:rPr>
        <w:t xml:space="preserve">Journal of Philosophy </w:t>
      </w:r>
      <w:r>
        <w:rPr>
          <w:sz w:val="30"/>
        </w:rPr>
        <w:t xml:space="preserve">69, 378–408. Fodor, Jerry. 1968. </w:t>
      </w:r>
      <w:r>
        <w:rPr>
          <w:i/>
          <w:sz w:val="30"/>
        </w:rPr>
        <w:t xml:space="preserve">Psychological Explanation. </w:t>
      </w:r>
      <w:r>
        <w:rPr>
          <w:sz w:val="30"/>
        </w:rPr>
        <w:t>New York: Random House.</w:t>
      </w:r>
    </w:p>
    <w:p w14:paraId="7E002E7E" w14:textId="77777777" w:rsidR="009A58DB" w:rsidRDefault="00000000">
      <w:pPr>
        <w:spacing w:before="33" w:line="249" w:lineRule="auto"/>
        <w:ind w:left="720" w:right="370" w:hanging="360"/>
        <w:jc w:val="both"/>
        <w:rPr>
          <w:sz w:val="30"/>
        </w:rPr>
      </w:pPr>
      <w:r>
        <w:rPr>
          <w:sz w:val="30"/>
        </w:rPr>
        <w:t xml:space="preserve">Fodor, Jerry. 1975. </w:t>
      </w:r>
      <w:r>
        <w:rPr>
          <w:i/>
          <w:sz w:val="30"/>
        </w:rPr>
        <w:t xml:space="preserve">The Language of Thought. </w:t>
      </w:r>
      <w:r>
        <w:rPr>
          <w:sz w:val="30"/>
        </w:rPr>
        <w:t xml:space="preserve">New York: Thomas Y. </w:t>
      </w:r>
      <w:r>
        <w:rPr>
          <w:spacing w:val="-2"/>
          <w:sz w:val="30"/>
        </w:rPr>
        <w:t>Crowell.</w:t>
      </w:r>
    </w:p>
    <w:p w14:paraId="7E002E7F" w14:textId="77777777" w:rsidR="009A58DB" w:rsidRDefault="00000000">
      <w:pPr>
        <w:pStyle w:val="BodyText"/>
        <w:spacing w:before="48" w:line="249" w:lineRule="auto"/>
        <w:ind w:left="720" w:right="358" w:hanging="360"/>
      </w:pPr>
      <w:r>
        <w:t xml:space="preserve">Fodor, Jerry. 1981a. Methodological Solipsism Considered as a Research Strategy in Cognitive Psychology. In D. Rosenthal (Ed.), </w:t>
      </w:r>
      <w:r>
        <w:rPr>
          <w:i/>
        </w:rPr>
        <w:t xml:space="preserve">The Nature of Mind, </w:t>
      </w:r>
      <w:r>
        <w:t>(pp. 485–498). New York: Oxford University Press.</w:t>
      </w:r>
    </w:p>
    <w:p w14:paraId="7E002E80" w14:textId="77777777" w:rsidR="009A58DB" w:rsidRDefault="00000000">
      <w:pPr>
        <w:spacing w:before="49" w:line="249" w:lineRule="auto"/>
        <w:ind w:left="720" w:right="2229" w:hanging="360"/>
        <w:jc w:val="both"/>
        <w:rPr>
          <w:sz w:val="30"/>
        </w:rPr>
      </w:pPr>
      <w:r>
        <w:rPr>
          <w:sz w:val="30"/>
        </w:rPr>
        <w:t xml:space="preserve">Fodor, Jerry. 1981b. </w:t>
      </w:r>
      <w:r>
        <w:rPr>
          <w:i/>
          <w:sz w:val="30"/>
        </w:rPr>
        <w:t xml:space="preserve">Representations. </w:t>
      </w:r>
      <w:r>
        <w:rPr>
          <w:sz w:val="30"/>
        </w:rPr>
        <w:t>Cambridge, MA: The MIT Press.</w:t>
      </w:r>
    </w:p>
    <w:p w14:paraId="7E002E81" w14:textId="77777777" w:rsidR="009A58DB" w:rsidRDefault="00000000">
      <w:pPr>
        <w:spacing w:before="2" w:line="249" w:lineRule="auto"/>
        <w:ind w:left="720" w:right="2223" w:hanging="360"/>
        <w:rPr>
          <w:sz w:val="30"/>
        </w:rPr>
      </w:pPr>
      <w:r>
        <w:rPr>
          <w:sz w:val="30"/>
        </w:rPr>
        <w:t>Fodor,</w:t>
      </w:r>
      <w:r>
        <w:rPr>
          <w:spacing w:val="-1"/>
          <w:sz w:val="30"/>
        </w:rPr>
        <w:t xml:space="preserve"> </w:t>
      </w:r>
      <w:r>
        <w:rPr>
          <w:sz w:val="30"/>
        </w:rPr>
        <w:t>Jerry.</w:t>
      </w:r>
      <w:r>
        <w:rPr>
          <w:spacing w:val="-1"/>
          <w:sz w:val="30"/>
        </w:rPr>
        <w:t xml:space="preserve"> </w:t>
      </w:r>
      <w:r>
        <w:rPr>
          <w:sz w:val="30"/>
        </w:rPr>
        <w:t xml:space="preserve">1983. </w:t>
      </w:r>
      <w:r>
        <w:rPr>
          <w:i/>
          <w:sz w:val="30"/>
        </w:rPr>
        <w:t>The</w:t>
      </w:r>
      <w:r>
        <w:rPr>
          <w:i/>
          <w:spacing w:val="-2"/>
          <w:sz w:val="30"/>
        </w:rPr>
        <w:t xml:space="preserve"> </w:t>
      </w:r>
      <w:r>
        <w:rPr>
          <w:i/>
          <w:sz w:val="30"/>
        </w:rPr>
        <w:t>Modularity</w:t>
      </w:r>
      <w:r>
        <w:rPr>
          <w:i/>
          <w:spacing w:val="-2"/>
          <w:sz w:val="30"/>
        </w:rPr>
        <w:t xml:space="preserve"> </w:t>
      </w:r>
      <w:r>
        <w:rPr>
          <w:i/>
          <w:sz w:val="30"/>
        </w:rPr>
        <w:t>of</w:t>
      </w:r>
      <w:r>
        <w:rPr>
          <w:i/>
          <w:spacing w:val="-2"/>
          <w:sz w:val="30"/>
        </w:rPr>
        <w:t xml:space="preserve"> </w:t>
      </w:r>
      <w:r>
        <w:rPr>
          <w:i/>
          <w:sz w:val="30"/>
        </w:rPr>
        <w:t>Mind.</w:t>
      </w:r>
      <w:r>
        <w:rPr>
          <w:i/>
          <w:spacing w:val="-2"/>
          <w:sz w:val="30"/>
        </w:rPr>
        <w:t xml:space="preserve"> </w:t>
      </w:r>
      <w:r>
        <w:rPr>
          <w:sz w:val="30"/>
        </w:rPr>
        <w:t>Cambridge,</w:t>
      </w:r>
      <w:r>
        <w:rPr>
          <w:spacing w:val="-5"/>
          <w:sz w:val="30"/>
        </w:rPr>
        <w:t xml:space="preserve"> </w:t>
      </w:r>
      <w:r>
        <w:rPr>
          <w:sz w:val="30"/>
        </w:rPr>
        <w:t>MA: The MIT Press.</w:t>
      </w:r>
    </w:p>
    <w:p w14:paraId="7E002E82" w14:textId="77777777" w:rsidR="009A58DB" w:rsidRDefault="00000000">
      <w:pPr>
        <w:pStyle w:val="BodyText"/>
        <w:spacing w:before="2" w:line="271" w:lineRule="auto"/>
        <w:ind w:right="365"/>
        <w:jc w:val="left"/>
      </w:pPr>
      <w:r>
        <w:t xml:space="preserve">Fodor, Jerry. 1987. </w:t>
      </w:r>
      <w:r>
        <w:rPr>
          <w:i/>
        </w:rPr>
        <w:t xml:space="preserve">Psychosemantics. </w:t>
      </w:r>
      <w:r>
        <w:t>Cambridge, MA: The MIT Press. Fodor,</w:t>
      </w:r>
      <w:r>
        <w:rPr>
          <w:spacing w:val="33"/>
        </w:rPr>
        <w:t xml:space="preserve"> </w:t>
      </w:r>
      <w:r>
        <w:t>Jerry.</w:t>
      </w:r>
      <w:r>
        <w:rPr>
          <w:spacing w:val="35"/>
        </w:rPr>
        <w:t xml:space="preserve"> </w:t>
      </w:r>
      <w:r>
        <w:t>1987b.</w:t>
      </w:r>
      <w:r>
        <w:rPr>
          <w:spacing w:val="36"/>
        </w:rPr>
        <w:t xml:space="preserve"> </w:t>
      </w:r>
      <w:r>
        <w:t>Individualism</w:t>
      </w:r>
      <w:r>
        <w:rPr>
          <w:spacing w:val="35"/>
        </w:rPr>
        <w:t xml:space="preserve"> </w:t>
      </w:r>
      <w:r>
        <w:t>and</w:t>
      </w:r>
      <w:r>
        <w:rPr>
          <w:spacing w:val="35"/>
        </w:rPr>
        <w:t xml:space="preserve"> </w:t>
      </w:r>
      <w:r>
        <w:t>Supervenience.</w:t>
      </w:r>
      <w:r>
        <w:rPr>
          <w:spacing w:val="36"/>
        </w:rPr>
        <w:t xml:space="preserve"> </w:t>
      </w:r>
      <w:r>
        <w:t>In</w:t>
      </w:r>
      <w:r>
        <w:rPr>
          <w:spacing w:val="35"/>
        </w:rPr>
        <w:t xml:space="preserve"> </w:t>
      </w:r>
      <w:r>
        <w:t>A.</w:t>
      </w:r>
      <w:r>
        <w:rPr>
          <w:spacing w:val="35"/>
        </w:rPr>
        <w:t xml:space="preserve"> </w:t>
      </w:r>
      <w:r>
        <w:t>Pessin</w:t>
      </w:r>
      <w:r>
        <w:rPr>
          <w:spacing w:val="36"/>
        </w:rPr>
        <w:t xml:space="preserve"> </w:t>
      </w:r>
      <w:r>
        <w:t>and</w:t>
      </w:r>
      <w:r>
        <w:rPr>
          <w:spacing w:val="35"/>
        </w:rPr>
        <w:t xml:space="preserve"> </w:t>
      </w:r>
      <w:r>
        <w:rPr>
          <w:spacing w:val="-7"/>
        </w:rPr>
        <w:t>S.</w:t>
      </w:r>
    </w:p>
    <w:p w14:paraId="7E002E83" w14:textId="77777777" w:rsidR="009A58DB" w:rsidRDefault="00000000">
      <w:pPr>
        <w:spacing w:line="315" w:lineRule="exact"/>
        <w:ind w:left="720"/>
        <w:rPr>
          <w:sz w:val="30"/>
        </w:rPr>
      </w:pPr>
      <w:r>
        <w:rPr>
          <w:sz w:val="30"/>
        </w:rPr>
        <w:t>Goldberg</w:t>
      </w:r>
      <w:r>
        <w:rPr>
          <w:spacing w:val="69"/>
          <w:sz w:val="30"/>
        </w:rPr>
        <w:t xml:space="preserve"> </w:t>
      </w:r>
      <w:r>
        <w:rPr>
          <w:sz w:val="30"/>
        </w:rPr>
        <w:t>(Eds.),</w:t>
      </w:r>
      <w:r>
        <w:rPr>
          <w:spacing w:val="71"/>
          <w:sz w:val="30"/>
        </w:rPr>
        <w:t xml:space="preserve"> </w:t>
      </w:r>
      <w:r>
        <w:rPr>
          <w:i/>
          <w:sz w:val="30"/>
        </w:rPr>
        <w:t>The</w:t>
      </w:r>
      <w:r>
        <w:rPr>
          <w:i/>
          <w:spacing w:val="71"/>
          <w:sz w:val="30"/>
        </w:rPr>
        <w:t xml:space="preserve"> </w:t>
      </w:r>
      <w:r>
        <w:rPr>
          <w:i/>
          <w:sz w:val="30"/>
        </w:rPr>
        <w:t>Twin-Earth</w:t>
      </w:r>
      <w:r>
        <w:rPr>
          <w:i/>
          <w:spacing w:val="71"/>
          <w:sz w:val="30"/>
        </w:rPr>
        <w:t xml:space="preserve"> </w:t>
      </w:r>
      <w:r>
        <w:rPr>
          <w:i/>
          <w:sz w:val="30"/>
        </w:rPr>
        <w:t>Chronicles,</w:t>
      </w:r>
      <w:r>
        <w:rPr>
          <w:i/>
          <w:spacing w:val="72"/>
          <w:sz w:val="30"/>
        </w:rPr>
        <w:t xml:space="preserve"> </w:t>
      </w:r>
      <w:r>
        <w:rPr>
          <w:sz w:val="30"/>
        </w:rPr>
        <w:t>(pp.</w:t>
      </w:r>
      <w:r>
        <w:rPr>
          <w:spacing w:val="78"/>
          <w:sz w:val="30"/>
        </w:rPr>
        <w:t xml:space="preserve"> </w:t>
      </w:r>
      <w:r>
        <w:rPr>
          <w:sz w:val="30"/>
        </w:rPr>
        <w:t>192–218).</w:t>
      </w:r>
      <w:r>
        <w:rPr>
          <w:spacing w:val="79"/>
          <w:sz w:val="30"/>
        </w:rPr>
        <w:t xml:space="preserve"> </w:t>
      </w:r>
      <w:r>
        <w:rPr>
          <w:spacing w:val="-2"/>
          <w:sz w:val="30"/>
        </w:rPr>
        <w:t>Armonk,</w:t>
      </w:r>
    </w:p>
    <w:p w14:paraId="7E002E84" w14:textId="77777777" w:rsidR="009A58DB" w:rsidRDefault="00000000">
      <w:pPr>
        <w:pStyle w:val="BodyText"/>
        <w:spacing w:before="15"/>
        <w:ind w:left="720"/>
        <w:jc w:val="left"/>
      </w:pPr>
      <w:r>
        <w:t>NY:</w:t>
      </w:r>
      <w:r>
        <w:rPr>
          <w:spacing w:val="-3"/>
        </w:rPr>
        <w:t xml:space="preserve"> </w:t>
      </w:r>
      <w:r>
        <w:t>M.</w:t>
      </w:r>
      <w:r>
        <w:rPr>
          <w:spacing w:val="-1"/>
        </w:rPr>
        <w:t xml:space="preserve"> </w:t>
      </w:r>
      <w:r>
        <w:t>E.</w:t>
      </w:r>
      <w:r>
        <w:rPr>
          <w:spacing w:val="-1"/>
        </w:rPr>
        <w:t xml:space="preserve"> </w:t>
      </w:r>
      <w:r>
        <w:rPr>
          <w:spacing w:val="-2"/>
        </w:rPr>
        <w:t>Sharpe.</w:t>
      </w:r>
    </w:p>
    <w:p w14:paraId="7E002E85" w14:textId="77777777" w:rsidR="009A58DB" w:rsidRDefault="00000000">
      <w:pPr>
        <w:spacing w:before="61" w:line="249" w:lineRule="auto"/>
        <w:ind w:left="720" w:right="371" w:hanging="360"/>
        <w:jc w:val="both"/>
        <w:rPr>
          <w:sz w:val="30"/>
        </w:rPr>
      </w:pPr>
      <w:r>
        <w:rPr>
          <w:sz w:val="30"/>
        </w:rPr>
        <w:t xml:space="preserve">Fodor, Jerry. 1990. </w:t>
      </w:r>
      <w:r>
        <w:rPr>
          <w:i/>
          <w:sz w:val="30"/>
        </w:rPr>
        <w:t xml:space="preserve">A Theory of Content and Other Essays. </w:t>
      </w:r>
      <w:r>
        <w:rPr>
          <w:sz w:val="30"/>
        </w:rPr>
        <w:t>Cambridge, MA: The MIT Press.</w:t>
      </w:r>
    </w:p>
    <w:p w14:paraId="7E002E86" w14:textId="77777777" w:rsidR="009A58DB" w:rsidRDefault="00000000">
      <w:pPr>
        <w:spacing w:before="32"/>
        <w:ind w:left="360"/>
        <w:rPr>
          <w:i/>
          <w:sz w:val="30"/>
        </w:rPr>
      </w:pPr>
      <w:r>
        <w:rPr>
          <w:sz w:val="30"/>
        </w:rPr>
        <w:t>Fodor,</w:t>
      </w:r>
      <w:r>
        <w:rPr>
          <w:spacing w:val="64"/>
          <w:sz w:val="30"/>
        </w:rPr>
        <w:t xml:space="preserve"> </w:t>
      </w:r>
      <w:r>
        <w:rPr>
          <w:sz w:val="30"/>
        </w:rPr>
        <w:t>Jerry.</w:t>
      </w:r>
      <w:r>
        <w:rPr>
          <w:spacing w:val="67"/>
          <w:sz w:val="30"/>
        </w:rPr>
        <w:t xml:space="preserve"> </w:t>
      </w:r>
      <w:r>
        <w:rPr>
          <w:sz w:val="30"/>
        </w:rPr>
        <w:t>1994a.</w:t>
      </w:r>
      <w:r>
        <w:rPr>
          <w:spacing w:val="67"/>
          <w:sz w:val="30"/>
        </w:rPr>
        <w:t xml:space="preserve"> </w:t>
      </w:r>
      <w:r>
        <w:rPr>
          <w:sz w:val="30"/>
        </w:rPr>
        <w:t>Fodor.</w:t>
      </w:r>
      <w:r>
        <w:rPr>
          <w:spacing w:val="67"/>
          <w:sz w:val="30"/>
        </w:rPr>
        <w:t xml:space="preserve"> </w:t>
      </w:r>
      <w:r>
        <w:rPr>
          <w:sz w:val="30"/>
        </w:rPr>
        <w:t>In</w:t>
      </w:r>
      <w:r>
        <w:rPr>
          <w:spacing w:val="67"/>
          <w:sz w:val="30"/>
        </w:rPr>
        <w:t xml:space="preserve"> </w:t>
      </w:r>
      <w:r>
        <w:rPr>
          <w:sz w:val="30"/>
        </w:rPr>
        <w:t>S.</w:t>
      </w:r>
      <w:r>
        <w:rPr>
          <w:spacing w:val="67"/>
          <w:sz w:val="30"/>
        </w:rPr>
        <w:t xml:space="preserve"> </w:t>
      </w:r>
      <w:r>
        <w:rPr>
          <w:sz w:val="30"/>
        </w:rPr>
        <w:t>Guttenplan</w:t>
      </w:r>
      <w:r>
        <w:rPr>
          <w:spacing w:val="66"/>
          <w:sz w:val="30"/>
        </w:rPr>
        <w:t xml:space="preserve"> </w:t>
      </w:r>
      <w:r>
        <w:rPr>
          <w:sz w:val="30"/>
        </w:rPr>
        <w:t>(Ed.),</w:t>
      </w:r>
      <w:r>
        <w:rPr>
          <w:spacing w:val="67"/>
          <w:sz w:val="30"/>
        </w:rPr>
        <w:t xml:space="preserve"> </w:t>
      </w:r>
      <w:r>
        <w:rPr>
          <w:i/>
          <w:sz w:val="30"/>
        </w:rPr>
        <w:t>A</w:t>
      </w:r>
      <w:r>
        <w:rPr>
          <w:i/>
          <w:spacing w:val="72"/>
          <w:sz w:val="30"/>
        </w:rPr>
        <w:t xml:space="preserve"> </w:t>
      </w:r>
      <w:r>
        <w:rPr>
          <w:i/>
          <w:sz w:val="30"/>
        </w:rPr>
        <w:t>Companion</w:t>
      </w:r>
      <w:r>
        <w:rPr>
          <w:i/>
          <w:spacing w:val="73"/>
          <w:sz w:val="30"/>
        </w:rPr>
        <w:t xml:space="preserve"> </w:t>
      </w:r>
      <w:r>
        <w:rPr>
          <w:i/>
          <w:sz w:val="30"/>
        </w:rPr>
        <w:t>to</w:t>
      </w:r>
      <w:r>
        <w:rPr>
          <w:i/>
          <w:spacing w:val="73"/>
          <w:sz w:val="30"/>
        </w:rPr>
        <w:t xml:space="preserve"> </w:t>
      </w:r>
      <w:r>
        <w:rPr>
          <w:i/>
          <w:spacing w:val="-5"/>
          <w:sz w:val="30"/>
        </w:rPr>
        <w:t>the</w:t>
      </w:r>
    </w:p>
    <w:p w14:paraId="7E002E87" w14:textId="77777777" w:rsidR="009A58DB" w:rsidRDefault="009A58DB">
      <w:pPr>
        <w:rPr>
          <w:i/>
          <w:sz w:val="30"/>
        </w:rPr>
        <w:sectPr w:rsidR="009A58DB">
          <w:pgSz w:w="12240" w:h="15840"/>
          <w:pgMar w:top="1380" w:right="1080" w:bottom="280" w:left="1080" w:header="720" w:footer="720" w:gutter="0"/>
          <w:cols w:space="720"/>
        </w:sectPr>
      </w:pPr>
    </w:p>
    <w:p w14:paraId="7E002E88" w14:textId="77777777" w:rsidR="009A58DB" w:rsidRDefault="00000000">
      <w:pPr>
        <w:spacing w:before="60"/>
        <w:ind w:left="720"/>
        <w:rPr>
          <w:sz w:val="30"/>
        </w:rPr>
      </w:pPr>
      <w:r>
        <w:rPr>
          <w:i/>
          <w:sz w:val="30"/>
        </w:rPr>
        <w:t>Philosophy</w:t>
      </w:r>
      <w:r>
        <w:rPr>
          <w:i/>
          <w:spacing w:val="-3"/>
          <w:sz w:val="30"/>
        </w:rPr>
        <w:t xml:space="preserve"> </w:t>
      </w:r>
      <w:r>
        <w:rPr>
          <w:i/>
          <w:sz w:val="30"/>
        </w:rPr>
        <w:t>of</w:t>
      </w:r>
      <w:r>
        <w:rPr>
          <w:i/>
          <w:spacing w:val="-3"/>
          <w:sz w:val="30"/>
        </w:rPr>
        <w:t xml:space="preserve"> </w:t>
      </w:r>
      <w:r>
        <w:rPr>
          <w:i/>
          <w:sz w:val="30"/>
        </w:rPr>
        <w:t>Mind,</w:t>
      </w:r>
      <w:r>
        <w:rPr>
          <w:i/>
          <w:spacing w:val="-2"/>
          <w:sz w:val="30"/>
        </w:rPr>
        <w:t xml:space="preserve"> </w:t>
      </w:r>
      <w:r>
        <w:rPr>
          <w:sz w:val="30"/>
        </w:rPr>
        <w:t>(pp.</w:t>
      </w:r>
      <w:r>
        <w:rPr>
          <w:spacing w:val="-2"/>
          <w:sz w:val="30"/>
        </w:rPr>
        <w:t xml:space="preserve"> </w:t>
      </w:r>
      <w:r>
        <w:rPr>
          <w:sz w:val="30"/>
        </w:rPr>
        <w:t>292–300).</w:t>
      </w:r>
      <w:r>
        <w:rPr>
          <w:spacing w:val="-2"/>
          <w:sz w:val="30"/>
        </w:rPr>
        <w:t xml:space="preserve"> </w:t>
      </w:r>
      <w:r>
        <w:rPr>
          <w:sz w:val="30"/>
        </w:rPr>
        <w:t>Oxford:</w:t>
      </w:r>
      <w:r>
        <w:rPr>
          <w:spacing w:val="-2"/>
          <w:sz w:val="30"/>
        </w:rPr>
        <w:t xml:space="preserve"> Blackwell.</w:t>
      </w:r>
    </w:p>
    <w:p w14:paraId="7E002E89" w14:textId="77777777" w:rsidR="009A58DB" w:rsidRDefault="00000000">
      <w:pPr>
        <w:spacing w:before="20"/>
        <w:ind w:left="360"/>
        <w:jc w:val="both"/>
        <w:rPr>
          <w:i/>
          <w:sz w:val="30"/>
        </w:rPr>
      </w:pPr>
      <w:r>
        <w:rPr>
          <w:sz w:val="30"/>
        </w:rPr>
        <w:t>Fodor,</w:t>
      </w:r>
      <w:r>
        <w:rPr>
          <w:spacing w:val="20"/>
          <w:sz w:val="30"/>
        </w:rPr>
        <w:t xml:space="preserve"> </w:t>
      </w:r>
      <w:r>
        <w:rPr>
          <w:sz w:val="30"/>
        </w:rPr>
        <w:t>Jerry.</w:t>
      </w:r>
      <w:r>
        <w:rPr>
          <w:spacing w:val="22"/>
          <w:sz w:val="30"/>
        </w:rPr>
        <w:t xml:space="preserve"> </w:t>
      </w:r>
      <w:r>
        <w:rPr>
          <w:sz w:val="30"/>
        </w:rPr>
        <w:t>1994b.</w:t>
      </w:r>
      <w:r>
        <w:rPr>
          <w:spacing w:val="23"/>
          <w:sz w:val="30"/>
        </w:rPr>
        <w:t xml:space="preserve"> </w:t>
      </w:r>
      <w:r>
        <w:rPr>
          <w:i/>
          <w:sz w:val="30"/>
        </w:rPr>
        <w:t>The</w:t>
      </w:r>
      <w:r>
        <w:rPr>
          <w:i/>
          <w:spacing w:val="27"/>
          <w:sz w:val="30"/>
        </w:rPr>
        <w:t xml:space="preserve"> </w:t>
      </w:r>
      <w:r>
        <w:rPr>
          <w:i/>
          <w:sz w:val="30"/>
        </w:rPr>
        <w:t>Elm</w:t>
      </w:r>
      <w:r>
        <w:rPr>
          <w:i/>
          <w:spacing w:val="27"/>
          <w:sz w:val="30"/>
        </w:rPr>
        <w:t xml:space="preserve"> </w:t>
      </w:r>
      <w:r>
        <w:rPr>
          <w:i/>
          <w:sz w:val="30"/>
        </w:rPr>
        <w:t>and</w:t>
      </w:r>
      <w:r>
        <w:rPr>
          <w:i/>
          <w:spacing w:val="28"/>
          <w:sz w:val="30"/>
        </w:rPr>
        <w:t xml:space="preserve"> </w:t>
      </w:r>
      <w:r>
        <w:rPr>
          <w:i/>
          <w:sz w:val="30"/>
        </w:rPr>
        <w:t>the</w:t>
      </w:r>
      <w:r>
        <w:rPr>
          <w:i/>
          <w:spacing w:val="27"/>
          <w:sz w:val="30"/>
        </w:rPr>
        <w:t xml:space="preserve"> </w:t>
      </w:r>
      <w:r>
        <w:rPr>
          <w:i/>
          <w:sz w:val="30"/>
        </w:rPr>
        <w:t>Expert:</w:t>
      </w:r>
      <w:r>
        <w:rPr>
          <w:i/>
          <w:spacing w:val="27"/>
          <w:sz w:val="30"/>
        </w:rPr>
        <w:t xml:space="preserve"> </w:t>
      </w:r>
      <w:r>
        <w:rPr>
          <w:i/>
          <w:sz w:val="30"/>
        </w:rPr>
        <w:t>Mentalese</w:t>
      </w:r>
      <w:r>
        <w:rPr>
          <w:i/>
          <w:spacing w:val="27"/>
          <w:sz w:val="30"/>
        </w:rPr>
        <w:t xml:space="preserve"> </w:t>
      </w:r>
      <w:r>
        <w:rPr>
          <w:i/>
          <w:sz w:val="30"/>
        </w:rPr>
        <w:t>and</w:t>
      </w:r>
      <w:r>
        <w:rPr>
          <w:i/>
          <w:spacing w:val="28"/>
          <w:sz w:val="30"/>
        </w:rPr>
        <w:t xml:space="preserve"> </w:t>
      </w:r>
      <w:r>
        <w:rPr>
          <w:i/>
          <w:sz w:val="30"/>
        </w:rPr>
        <w:t>Its</w:t>
      </w:r>
      <w:r>
        <w:rPr>
          <w:i/>
          <w:spacing w:val="27"/>
          <w:sz w:val="30"/>
        </w:rPr>
        <w:t xml:space="preserve"> </w:t>
      </w:r>
      <w:r>
        <w:rPr>
          <w:i/>
          <w:spacing w:val="-2"/>
          <w:sz w:val="30"/>
        </w:rPr>
        <w:t>Semantics.</w:t>
      </w:r>
    </w:p>
    <w:p w14:paraId="7E002E8A" w14:textId="77777777" w:rsidR="009A58DB" w:rsidRDefault="00000000">
      <w:pPr>
        <w:pStyle w:val="BodyText"/>
        <w:spacing w:before="15"/>
        <w:ind w:left="720"/>
        <w:jc w:val="left"/>
      </w:pPr>
      <w:r>
        <w:t>Cambridge,</w:t>
      </w:r>
      <w:r>
        <w:rPr>
          <w:spacing w:val="-3"/>
        </w:rPr>
        <w:t xml:space="preserve"> </w:t>
      </w:r>
      <w:r>
        <w:t>MA:</w:t>
      </w:r>
      <w:r>
        <w:rPr>
          <w:spacing w:val="-4"/>
        </w:rPr>
        <w:t xml:space="preserve"> </w:t>
      </w:r>
      <w:r>
        <w:t>The</w:t>
      </w:r>
      <w:r>
        <w:rPr>
          <w:spacing w:val="-4"/>
        </w:rPr>
        <w:t xml:space="preserve"> </w:t>
      </w:r>
      <w:r>
        <w:t>MIT</w:t>
      </w:r>
      <w:r>
        <w:rPr>
          <w:spacing w:val="-3"/>
        </w:rPr>
        <w:t xml:space="preserve"> </w:t>
      </w:r>
      <w:r>
        <w:rPr>
          <w:spacing w:val="-2"/>
        </w:rPr>
        <w:t>Press.</w:t>
      </w:r>
    </w:p>
    <w:p w14:paraId="7E002E8B" w14:textId="77777777" w:rsidR="009A58DB" w:rsidRDefault="00000000">
      <w:pPr>
        <w:pStyle w:val="BodyText"/>
        <w:spacing w:before="60"/>
      </w:pPr>
      <w:r>
        <w:t>Fodor,</w:t>
      </w:r>
      <w:r>
        <w:rPr>
          <w:spacing w:val="-6"/>
        </w:rPr>
        <w:t xml:space="preserve"> </w:t>
      </w:r>
      <w:r>
        <w:t>Jerry.</w:t>
      </w:r>
      <w:r>
        <w:rPr>
          <w:spacing w:val="-3"/>
        </w:rPr>
        <w:t xml:space="preserve"> </w:t>
      </w:r>
      <w:r>
        <w:t>1998a.</w:t>
      </w:r>
      <w:r>
        <w:rPr>
          <w:spacing w:val="-4"/>
        </w:rPr>
        <w:t xml:space="preserve"> </w:t>
      </w:r>
      <w:r>
        <w:rPr>
          <w:i/>
        </w:rPr>
        <w:t>Concepts.</w:t>
      </w:r>
      <w:r>
        <w:rPr>
          <w:i/>
          <w:spacing w:val="-3"/>
        </w:rPr>
        <w:t xml:space="preserve"> </w:t>
      </w:r>
      <w:r>
        <w:t>Oxford:</w:t>
      </w:r>
      <w:r>
        <w:rPr>
          <w:spacing w:val="-4"/>
        </w:rPr>
        <w:t xml:space="preserve"> </w:t>
      </w:r>
      <w:r>
        <w:t>Clarendon</w:t>
      </w:r>
      <w:r>
        <w:rPr>
          <w:spacing w:val="-3"/>
        </w:rPr>
        <w:t xml:space="preserve"> </w:t>
      </w:r>
      <w:r>
        <w:rPr>
          <w:spacing w:val="-2"/>
        </w:rPr>
        <w:t>Press.</w:t>
      </w:r>
    </w:p>
    <w:p w14:paraId="7E002E8C" w14:textId="77777777" w:rsidR="009A58DB" w:rsidRDefault="00000000">
      <w:pPr>
        <w:spacing w:before="45" w:line="280" w:lineRule="auto"/>
        <w:ind w:left="360" w:right="372"/>
        <w:jc w:val="both"/>
        <w:rPr>
          <w:sz w:val="30"/>
        </w:rPr>
      </w:pPr>
      <w:r>
        <w:rPr>
          <w:sz w:val="30"/>
        </w:rPr>
        <w:t xml:space="preserve">Fodor, Jerry. 1998b. </w:t>
      </w:r>
      <w:r>
        <w:rPr>
          <w:i/>
          <w:sz w:val="30"/>
        </w:rPr>
        <w:t xml:space="preserve">In Critical Condition. </w:t>
      </w:r>
      <w:r>
        <w:rPr>
          <w:sz w:val="30"/>
        </w:rPr>
        <w:t>Cambridge MA: The MIT Press. Fodor,</w:t>
      </w:r>
      <w:r>
        <w:rPr>
          <w:spacing w:val="51"/>
          <w:sz w:val="30"/>
        </w:rPr>
        <w:t xml:space="preserve"> </w:t>
      </w:r>
      <w:r>
        <w:rPr>
          <w:sz w:val="30"/>
        </w:rPr>
        <w:t>Jerry,</w:t>
      </w:r>
      <w:r>
        <w:rPr>
          <w:spacing w:val="54"/>
          <w:sz w:val="30"/>
        </w:rPr>
        <w:t xml:space="preserve"> </w:t>
      </w:r>
      <w:r>
        <w:rPr>
          <w:sz w:val="30"/>
        </w:rPr>
        <w:t>&amp;</w:t>
      </w:r>
      <w:r>
        <w:rPr>
          <w:spacing w:val="54"/>
          <w:sz w:val="30"/>
        </w:rPr>
        <w:t xml:space="preserve"> </w:t>
      </w:r>
      <w:r>
        <w:rPr>
          <w:sz w:val="30"/>
        </w:rPr>
        <w:t>Lepore,</w:t>
      </w:r>
      <w:r>
        <w:rPr>
          <w:spacing w:val="54"/>
          <w:sz w:val="30"/>
        </w:rPr>
        <w:t xml:space="preserve"> </w:t>
      </w:r>
      <w:r>
        <w:rPr>
          <w:sz w:val="30"/>
        </w:rPr>
        <w:t>Ernest.</w:t>
      </w:r>
      <w:r>
        <w:rPr>
          <w:spacing w:val="53"/>
          <w:sz w:val="30"/>
        </w:rPr>
        <w:t xml:space="preserve"> </w:t>
      </w:r>
      <w:r>
        <w:rPr>
          <w:sz w:val="30"/>
        </w:rPr>
        <w:t>2002.</w:t>
      </w:r>
      <w:r>
        <w:rPr>
          <w:spacing w:val="54"/>
          <w:sz w:val="30"/>
        </w:rPr>
        <w:t xml:space="preserve"> </w:t>
      </w:r>
      <w:r>
        <w:rPr>
          <w:i/>
          <w:sz w:val="30"/>
        </w:rPr>
        <w:t>The</w:t>
      </w:r>
      <w:r>
        <w:rPr>
          <w:i/>
          <w:spacing w:val="56"/>
          <w:sz w:val="30"/>
        </w:rPr>
        <w:t xml:space="preserve"> </w:t>
      </w:r>
      <w:r>
        <w:rPr>
          <w:i/>
          <w:sz w:val="30"/>
        </w:rPr>
        <w:t>Compositionality</w:t>
      </w:r>
      <w:r>
        <w:rPr>
          <w:i/>
          <w:spacing w:val="56"/>
          <w:sz w:val="30"/>
        </w:rPr>
        <w:t xml:space="preserve"> </w:t>
      </w:r>
      <w:r>
        <w:rPr>
          <w:i/>
          <w:sz w:val="30"/>
        </w:rPr>
        <w:t>Papers.</w:t>
      </w:r>
      <w:r>
        <w:rPr>
          <w:i/>
          <w:spacing w:val="57"/>
          <w:sz w:val="30"/>
        </w:rPr>
        <w:t xml:space="preserve"> </w:t>
      </w:r>
      <w:r>
        <w:rPr>
          <w:spacing w:val="-5"/>
          <w:sz w:val="30"/>
        </w:rPr>
        <w:t>New</w:t>
      </w:r>
    </w:p>
    <w:p w14:paraId="7E002E8D" w14:textId="77777777" w:rsidR="009A58DB" w:rsidRDefault="00000000">
      <w:pPr>
        <w:pStyle w:val="BodyText"/>
        <w:spacing w:line="303" w:lineRule="exact"/>
        <w:ind w:left="720"/>
      </w:pPr>
      <w:r>
        <w:t>York:</w:t>
      </w:r>
      <w:r>
        <w:rPr>
          <w:spacing w:val="-5"/>
        </w:rPr>
        <w:t xml:space="preserve"> </w:t>
      </w:r>
      <w:r>
        <w:t>Oxford</w:t>
      </w:r>
      <w:r>
        <w:rPr>
          <w:spacing w:val="-4"/>
        </w:rPr>
        <w:t xml:space="preserve"> </w:t>
      </w:r>
      <w:r>
        <w:t>University</w:t>
      </w:r>
      <w:r>
        <w:rPr>
          <w:spacing w:val="-4"/>
        </w:rPr>
        <w:t xml:space="preserve"> </w:t>
      </w:r>
      <w:r>
        <w:rPr>
          <w:spacing w:val="-2"/>
        </w:rPr>
        <w:t>Press.</w:t>
      </w:r>
    </w:p>
    <w:p w14:paraId="7E002E8E" w14:textId="77777777" w:rsidR="009A58DB" w:rsidRDefault="00000000">
      <w:pPr>
        <w:pStyle w:val="BodyText"/>
        <w:spacing w:before="45" w:line="249" w:lineRule="auto"/>
        <w:ind w:left="720" w:right="363" w:hanging="360"/>
      </w:pPr>
      <w:r>
        <w:t xml:space="preserve">Fodor, Jerry, &amp; Pylyshin, Zenon. 1988. Connectionism and cognitive architecture: a critical analysis. In S. Pinker (Ed.), </w:t>
      </w:r>
      <w:r>
        <w:rPr>
          <w:i/>
        </w:rPr>
        <w:t xml:space="preserve">Connections and Symbols, </w:t>
      </w:r>
      <w:r>
        <w:t>(pp. 3–72). Amsterdam: Elsevier.</w:t>
      </w:r>
    </w:p>
    <w:p w14:paraId="7E002E8F" w14:textId="77777777" w:rsidR="009A58DB" w:rsidRDefault="00000000">
      <w:pPr>
        <w:spacing w:before="48" w:line="249" w:lineRule="auto"/>
        <w:ind w:left="360" w:right="369"/>
        <w:jc w:val="both"/>
        <w:rPr>
          <w:sz w:val="30"/>
        </w:rPr>
      </w:pPr>
      <w:r>
        <w:rPr>
          <w:sz w:val="30"/>
        </w:rPr>
        <w:t xml:space="preserve">Frank, Philipp. 1949. </w:t>
      </w:r>
      <w:r>
        <w:rPr>
          <w:i/>
          <w:sz w:val="30"/>
        </w:rPr>
        <w:t xml:space="preserve">Philosophy of Science: the link between philosophy and science. </w:t>
      </w:r>
      <w:r>
        <w:rPr>
          <w:sz w:val="30"/>
        </w:rPr>
        <w:t>New York: Dover.</w:t>
      </w:r>
    </w:p>
    <w:p w14:paraId="7E002E90" w14:textId="77777777" w:rsidR="009A58DB" w:rsidRDefault="00000000">
      <w:pPr>
        <w:spacing w:before="48" w:line="249" w:lineRule="auto"/>
        <w:ind w:left="720" w:hanging="360"/>
        <w:rPr>
          <w:sz w:val="30"/>
        </w:rPr>
      </w:pPr>
      <w:r>
        <w:rPr>
          <w:sz w:val="30"/>
        </w:rPr>
        <w:t xml:space="preserve">Frankfurt, Harry. 1988. </w:t>
      </w:r>
      <w:r>
        <w:rPr>
          <w:i/>
          <w:sz w:val="30"/>
        </w:rPr>
        <w:t xml:space="preserve">The Importance of What We Care About. </w:t>
      </w:r>
      <w:r>
        <w:rPr>
          <w:sz w:val="30"/>
        </w:rPr>
        <w:t>Cambridge, U.K.: Cambridge University Press.</w:t>
      </w:r>
    </w:p>
    <w:p w14:paraId="7E002E91" w14:textId="77777777" w:rsidR="009A58DB" w:rsidRDefault="00000000">
      <w:pPr>
        <w:pStyle w:val="BodyText"/>
        <w:spacing w:before="32" w:line="249" w:lineRule="auto"/>
        <w:ind w:left="720" w:hanging="360"/>
        <w:jc w:val="left"/>
      </w:pPr>
      <w:r>
        <w:t xml:space="preserve">Frege, Gottlob. 1879. Concept-Writing. In Michael Beaney (Ed.), </w:t>
      </w:r>
      <w:r>
        <w:rPr>
          <w:i/>
        </w:rPr>
        <w:t xml:space="preserve">The Frege Reader </w:t>
      </w:r>
      <w:r>
        <w:t>(pp. 181–193). Oxford: Blackwell.</w:t>
      </w:r>
    </w:p>
    <w:p w14:paraId="7E002E92" w14:textId="77777777" w:rsidR="009A58DB" w:rsidRDefault="00000000">
      <w:pPr>
        <w:pStyle w:val="BodyText"/>
        <w:spacing w:before="48" w:line="249" w:lineRule="auto"/>
        <w:ind w:left="720" w:right="365" w:hanging="360"/>
        <w:jc w:val="left"/>
      </w:pPr>
      <w:r>
        <w:t xml:space="preserve">Frege, Gottlob. 1891. Function and Concept. In Michael Beaney (Ed.), </w:t>
      </w:r>
      <w:r>
        <w:rPr>
          <w:i/>
        </w:rPr>
        <w:t>The</w:t>
      </w:r>
      <w:r>
        <w:rPr>
          <w:i/>
          <w:spacing w:val="80"/>
        </w:rPr>
        <w:t xml:space="preserve"> </w:t>
      </w:r>
      <w:r>
        <w:rPr>
          <w:i/>
        </w:rPr>
        <w:t xml:space="preserve">Frege Reader, </w:t>
      </w:r>
      <w:r>
        <w:t>(pp. 130–148). Oxford: Blackwell.</w:t>
      </w:r>
    </w:p>
    <w:p w14:paraId="7E002E93" w14:textId="77777777" w:rsidR="009A58DB" w:rsidRDefault="00000000">
      <w:pPr>
        <w:spacing w:before="2" w:line="249" w:lineRule="auto"/>
        <w:ind w:left="720" w:hanging="360"/>
        <w:rPr>
          <w:sz w:val="30"/>
        </w:rPr>
      </w:pPr>
      <w:r>
        <w:rPr>
          <w:sz w:val="30"/>
        </w:rPr>
        <w:t>Frege,</w:t>
      </w:r>
      <w:r>
        <w:rPr>
          <w:spacing w:val="-4"/>
          <w:sz w:val="30"/>
        </w:rPr>
        <w:t xml:space="preserve"> </w:t>
      </w:r>
      <w:r>
        <w:rPr>
          <w:sz w:val="30"/>
        </w:rPr>
        <w:t>Gottlob.</w:t>
      </w:r>
      <w:r>
        <w:rPr>
          <w:spacing w:val="-4"/>
          <w:sz w:val="30"/>
        </w:rPr>
        <w:t xml:space="preserve"> </w:t>
      </w:r>
      <w:r>
        <w:rPr>
          <w:sz w:val="30"/>
        </w:rPr>
        <w:t>1892a.</w:t>
      </w:r>
      <w:r>
        <w:rPr>
          <w:spacing w:val="-4"/>
          <w:sz w:val="30"/>
        </w:rPr>
        <w:t xml:space="preserve"> </w:t>
      </w:r>
      <w:r>
        <w:rPr>
          <w:sz w:val="30"/>
        </w:rPr>
        <w:t>On</w:t>
      </w:r>
      <w:r>
        <w:rPr>
          <w:spacing w:val="-4"/>
          <w:sz w:val="30"/>
        </w:rPr>
        <w:t xml:space="preserve"> </w:t>
      </w:r>
      <w:r>
        <w:rPr>
          <w:i/>
          <w:sz w:val="30"/>
        </w:rPr>
        <w:t>Sinn</w:t>
      </w:r>
      <w:r>
        <w:rPr>
          <w:i/>
          <w:spacing w:val="-4"/>
          <w:sz w:val="30"/>
        </w:rPr>
        <w:t xml:space="preserve"> </w:t>
      </w:r>
      <w:r>
        <w:rPr>
          <w:sz w:val="30"/>
        </w:rPr>
        <w:t>and</w:t>
      </w:r>
      <w:r>
        <w:rPr>
          <w:spacing w:val="-4"/>
          <w:sz w:val="30"/>
        </w:rPr>
        <w:t xml:space="preserve"> </w:t>
      </w:r>
      <w:r>
        <w:rPr>
          <w:i/>
          <w:sz w:val="30"/>
        </w:rPr>
        <w:t>Bedeutung.</w:t>
      </w:r>
      <w:r>
        <w:rPr>
          <w:i/>
          <w:spacing w:val="-4"/>
          <w:sz w:val="30"/>
        </w:rPr>
        <w:t xml:space="preserve"> </w:t>
      </w:r>
      <w:r>
        <w:rPr>
          <w:sz w:val="30"/>
        </w:rPr>
        <w:t>In</w:t>
      </w:r>
      <w:r>
        <w:rPr>
          <w:spacing w:val="-1"/>
          <w:sz w:val="30"/>
        </w:rPr>
        <w:t xml:space="preserve"> </w:t>
      </w:r>
      <w:r>
        <w:rPr>
          <w:sz w:val="30"/>
        </w:rPr>
        <w:t>Michael</w:t>
      </w:r>
      <w:r>
        <w:rPr>
          <w:spacing w:val="-1"/>
          <w:sz w:val="30"/>
        </w:rPr>
        <w:t xml:space="preserve"> </w:t>
      </w:r>
      <w:r>
        <w:rPr>
          <w:sz w:val="30"/>
        </w:rPr>
        <w:t>Beaney</w:t>
      </w:r>
      <w:r>
        <w:rPr>
          <w:spacing w:val="-1"/>
          <w:sz w:val="30"/>
        </w:rPr>
        <w:t xml:space="preserve"> </w:t>
      </w:r>
      <w:r>
        <w:rPr>
          <w:sz w:val="30"/>
        </w:rPr>
        <w:t>(Ed.),</w:t>
      </w:r>
      <w:r>
        <w:rPr>
          <w:spacing w:val="-1"/>
          <w:sz w:val="30"/>
        </w:rPr>
        <w:t xml:space="preserve"> </w:t>
      </w:r>
      <w:r>
        <w:rPr>
          <w:i/>
          <w:sz w:val="30"/>
        </w:rPr>
        <w:t xml:space="preserve">The Frege Reader, </w:t>
      </w:r>
      <w:r>
        <w:rPr>
          <w:sz w:val="30"/>
        </w:rPr>
        <w:t>(pp. 151–171). Oxford: Blackwell.</w:t>
      </w:r>
    </w:p>
    <w:p w14:paraId="7E002E94" w14:textId="77777777" w:rsidR="009A58DB" w:rsidRDefault="00000000">
      <w:pPr>
        <w:pStyle w:val="BodyText"/>
        <w:spacing w:before="3" w:line="249" w:lineRule="auto"/>
        <w:ind w:left="720" w:hanging="360"/>
        <w:jc w:val="left"/>
      </w:pPr>
      <w:r>
        <w:t>Frege,</w:t>
      </w:r>
      <w:r>
        <w:rPr>
          <w:spacing w:val="-3"/>
        </w:rPr>
        <w:t xml:space="preserve"> </w:t>
      </w:r>
      <w:r>
        <w:t>Gottlob.</w:t>
      </w:r>
      <w:r>
        <w:rPr>
          <w:spacing w:val="-3"/>
        </w:rPr>
        <w:t xml:space="preserve"> </w:t>
      </w:r>
      <w:r>
        <w:t>1892b.</w:t>
      </w:r>
      <w:r>
        <w:rPr>
          <w:spacing w:val="-3"/>
        </w:rPr>
        <w:t xml:space="preserve"> </w:t>
      </w:r>
      <w:r>
        <w:t>On</w:t>
      </w:r>
      <w:r>
        <w:rPr>
          <w:spacing w:val="-3"/>
        </w:rPr>
        <w:t xml:space="preserve"> </w:t>
      </w:r>
      <w:r>
        <w:t>Concept</w:t>
      </w:r>
      <w:r>
        <w:rPr>
          <w:spacing w:val="-3"/>
        </w:rPr>
        <w:t xml:space="preserve"> </w:t>
      </w:r>
      <w:r>
        <w:t>and</w:t>
      </w:r>
      <w:r>
        <w:rPr>
          <w:spacing w:val="-3"/>
        </w:rPr>
        <w:t xml:space="preserve"> </w:t>
      </w:r>
      <w:r>
        <w:t>Object.</w:t>
      </w:r>
      <w:r>
        <w:rPr>
          <w:spacing w:val="-3"/>
        </w:rPr>
        <w:t xml:space="preserve"> </w:t>
      </w:r>
      <w:r>
        <w:t>In</w:t>
      </w:r>
      <w:r>
        <w:rPr>
          <w:spacing w:val="-3"/>
        </w:rPr>
        <w:t xml:space="preserve"> </w:t>
      </w:r>
      <w:r>
        <w:t>Michael</w:t>
      </w:r>
      <w:r>
        <w:rPr>
          <w:spacing w:val="-3"/>
        </w:rPr>
        <w:t xml:space="preserve"> </w:t>
      </w:r>
      <w:r>
        <w:t>Beaney</w:t>
      </w:r>
      <w:r>
        <w:rPr>
          <w:spacing w:val="-3"/>
        </w:rPr>
        <w:t xml:space="preserve"> </w:t>
      </w:r>
      <w:r>
        <w:t>(Ed.),</w:t>
      </w:r>
      <w:r>
        <w:rPr>
          <w:spacing w:val="-3"/>
        </w:rPr>
        <w:t xml:space="preserve"> </w:t>
      </w:r>
      <w:r>
        <w:rPr>
          <w:i/>
        </w:rPr>
        <w:t xml:space="preserve">The Frege Reader, </w:t>
      </w:r>
      <w:r>
        <w:t>(pp. 181–193). Oxford: Blackwell.</w:t>
      </w:r>
    </w:p>
    <w:p w14:paraId="7E002E95" w14:textId="77777777" w:rsidR="009A58DB" w:rsidRDefault="00000000">
      <w:pPr>
        <w:spacing w:before="2"/>
        <w:ind w:left="360"/>
        <w:rPr>
          <w:i/>
          <w:sz w:val="30"/>
        </w:rPr>
      </w:pPr>
      <w:r>
        <w:rPr>
          <w:sz w:val="30"/>
        </w:rPr>
        <w:t>Frege,</w:t>
      </w:r>
      <w:r>
        <w:rPr>
          <w:spacing w:val="13"/>
          <w:sz w:val="30"/>
        </w:rPr>
        <w:t xml:space="preserve"> </w:t>
      </w:r>
      <w:r>
        <w:rPr>
          <w:sz w:val="30"/>
        </w:rPr>
        <w:t>Gottlob.</w:t>
      </w:r>
      <w:r>
        <w:rPr>
          <w:spacing w:val="13"/>
          <w:sz w:val="30"/>
        </w:rPr>
        <w:t xml:space="preserve"> </w:t>
      </w:r>
      <w:r>
        <w:rPr>
          <w:sz w:val="30"/>
        </w:rPr>
        <w:t>1918.</w:t>
      </w:r>
      <w:r>
        <w:rPr>
          <w:spacing w:val="13"/>
          <w:sz w:val="30"/>
        </w:rPr>
        <w:t xml:space="preserve"> </w:t>
      </w:r>
      <w:r>
        <w:rPr>
          <w:sz w:val="30"/>
        </w:rPr>
        <w:t>Thought.</w:t>
      </w:r>
      <w:r>
        <w:rPr>
          <w:spacing w:val="14"/>
          <w:sz w:val="30"/>
        </w:rPr>
        <w:t xml:space="preserve"> </w:t>
      </w:r>
      <w:r>
        <w:rPr>
          <w:sz w:val="30"/>
        </w:rPr>
        <w:t>In</w:t>
      </w:r>
      <w:r>
        <w:rPr>
          <w:spacing w:val="13"/>
          <w:sz w:val="30"/>
        </w:rPr>
        <w:t xml:space="preserve"> </w:t>
      </w:r>
      <w:r>
        <w:rPr>
          <w:sz w:val="30"/>
        </w:rPr>
        <w:t>Michael</w:t>
      </w:r>
      <w:r>
        <w:rPr>
          <w:spacing w:val="13"/>
          <w:sz w:val="30"/>
        </w:rPr>
        <w:t xml:space="preserve"> </w:t>
      </w:r>
      <w:r>
        <w:rPr>
          <w:sz w:val="30"/>
        </w:rPr>
        <w:t>Beaney</w:t>
      </w:r>
      <w:r>
        <w:rPr>
          <w:spacing w:val="14"/>
          <w:sz w:val="30"/>
        </w:rPr>
        <w:t xml:space="preserve"> </w:t>
      </w:r>
      <w:r>
        <w:rPr>
          <w:sz w:val="30"/>
        </w:rPr>
        <w:t>(Ed.),</w:t>
      </w:r>
      <w:r>
        <w:rPr>
          <w:spacing w:val="13"/>
          <w:sz w:val="30"/>
        </w:rPr>
        <w:t xml:space="preserve"> </w:t>
      </w:r>
      <w:r>
        <w:rPr>
          <w:i/>
          <w:sz w:val="30"/>
        </w:rPr>
        <w:t>The</w:t>
      </w:r>
      <w:r>
        <w:rPr>
          <w:i/>
          <w:spacing w:val="11"/>
          <w:sz w:val="30"/>
        </w:rPr>
        <w:t xml:space="preserve"> </w:t>
      </w:r>
      <w:r>
        <w:rPr>
          <w:i/>
          <w:sz w:val="30"/>
        </w:rPr>
        <w:t>Frege</w:t>
      </w:r>
      <w:r>
        <w:rPr>
          <w:i/>
          <w:spacing w:val="12"/>
          <w:sz w:val="30"/>
        </w:rPr>
        <w:t xml:space="preserve"> </w:t>
      </w:r>
      <w:r>
        <w:rPr>
          <w:i/>
          <w:spacing w:val="-2"/>
          <w:sz w:val="30"/>
        </w:rPr>
        <w:t>Reader,</w:t>
      </w:r>
    </w:p>
    <w:p w14:paraId="7E002E96" w14:textId="77777777" w:rsidR="009A58DB" w:rsidRDefault="00000000">
      <w:pPr>
        <w:pStyle w:val="BodyText"/>
        <w:spacing w:before="15"/>
        <w:ind w:left="720"/>
        <w:jc w:val="left"/>
      </w:pPr>
      <w:r>
        <w:t>(pp.</w:t>
      </w:r>
      <w:r>
        <w:rPr>
          <w:spacing w:val="-4"/>
        </w:rPr>
        <w:t xml:space="preserve"> </w:t>
      </w:r>
      <w:r>
        <w:t>325–345).</w:t>
      </w:r>
      <w:r>
        <w:rPr>
          <w:spacing w:val="-2"/>
        </w:rPr>
        <w:t xml:space="preserve"> </w:t>
      </w:r>
      <w:r>
        <w:t>Oxford:</w:t>
      </w:r>
      <w:r>
        <w:rPr>
          <w:spacing w:val="-2"/>
        </w:rPr>
        <w:t xml:space="preserve"> Blackwell.</w:t>
      </w:r>
    </w:p>
    <w:p w14:paraId="7E002E97" w14:textId="77777777" w:rsidR="009A58DB" w:rsidRDefault="00000000">
      <w:pPr>
        <w:spacing w:before="45" w:line="249" w:lineRule="auto"/>
        <w:ind w:left="720" w:right="362" w:hanging="360"/>
        <w:jc w:val="both"/>
        <w:rPr>
          <w:sz w:val="30"/>
        </w:rPr>
      </w:pPr>
      <w:r>
        <w:rPr>
          <w:sz w:val="30"/>
        </w:rPr>
        <w:t xml:space="preserve">Freud, Sigmund. 1915. The unconscious. In P. Rieff (Ed.), </w:t>
      </w:r>
      <w:r>
        <w:rPr>
          <w:i/>
          <w:sz w:val="30"/>
        </w:rPr>
        <w:t xml:space="preserve">General Psychological Theory, </w:t>
      </w:r>
      <w:r>
        <w:rPr>
          <w:sz w:val="30"/>
        </w:rPr>
        <w:t xml:space="preserve">(pp. 116–150). New York: Macmillan Publishing </w:t>
      </w:r>
      <w:r>
        <w:rPr>
          <w:spacing w:val="-4"/>
          <w:sz w:val="30"/>
        </w:rPr>
        <w:t>Co.</w:t>
      </w:r>
    </w:p>
    <w:p w14:paraId="7E002E98" w14:textId="77777777" w:rsidR="009A58DB" w:rsidRDefault="00000000">
      <w:pPr>
        <w:spacing w:before="49" w:line="249" w:lineRule="auto"/>
        <w:ind w:left="360" w:right="361"/>
        <w:jc w:val="both"/>
        <w:rPr>
          <w:sz w:val="30"/>
        </w:rPr>
      </w:pPr>
      <w:r>
        <w:rPr>
          <w:sz w:val="30"/>
        </w:rPr>
        <w:t xml:space="preserve">Freud, Sigmund. 1965. </w:t>
      </w:r>
      <w:r>
        <w:rPr>
          <w:i/>
          <w:sz w:val="30"/>
        </w:rPr>
        <w:t xml:space="preserve">New Introductory Lectures on Psychoanalysis. </w:t>
      </w:r>
      <w:r>
        <w:rPr>
          <w:sz w:val="30"/>
        </w:rPr>
        <w:t xml:space="preserve">London: W.W. Norton and Co. Freud, Sigmund. 1989a. </w:t>
      </w:r>
      <w:r>
        <w:rPr>
          <w:i/>
          <w:sz w:val="30"/>
        </w:rPr>
        <w:t xml:space="preserve">An Outline of Psychoanalysis. </w:t>
      </w:r>
      <w:r>
        <w:rPr>
          <w:sz w:val="30"/>
        </w:rPr>
        <w:t>New York: W.W. Norton and Co.</w:t>
      </w:r>
    </w:p>
    <w:p w14:paraId="7E002E99" w14:textId="77777777" w:rsidR="009A58DB" w:rsidRDefault="00000000">
      <w:pPr>
        <w:spacing w:before="49"/>
        <w:ind w:left="360"/>
        <w:jc w:val="both"/>
        <w:rPr>
          <w:sz w:val="30"/>
        </w:rPr>
      </w:pPr>
      <w:r>
        <w:rPr>
          <w:sz w:val="30"/>
        </w:rPr>
        <w:t>Freud,</w:t>
      </w:r>
      <w:r>
        <w:rPr>
          <w:spacing w:val="54"/>
          <w:sz w:val="30"/>
        </w:rPr>
        <w:t xml:space="preserve"> </w:t>
      </w:r>
      <w:r>
        <w:rPr>
          <w:sz w:val="30"/>
        </w:rPr>
        <w:t>Sigmund.</w:t>
      </w:r>
      <w:r>
        <w:rPr>
          <w:spacing w:val="56"/>
          <w:sz w:val="30"/>
        </w:rPr>
        <w:t xml:space="preserve"> </w:t>
      </w:r>
      <w:r>
        <w:rPr>
          <w:sz w:val="30"/>
        </w:rPr>
        <w:t>1989b.</w:t>
      </w:r>
      <w:r>
        <w:rPr>
          <w:spacing w:val="57"/>
          <w:sz w:val="30"/>
        </w:rPr>
        <w:t xml:space="preserve"> </w:t>
      </w:r>
      <w:r>
        <w:rPr>
          <w:i/>
          <w:sz w:val="30"/>
        </w:rPr>
        <w:t>Civilization</w:t>
      </w:r>
      <w:r>
        <w:rPr>
          <w:i/>
          <w:spacing w:val="59"/>
          <w:sz w:val="30"/>
        </w:rPr>
        <w:t xml:space="preserve"> </w:t>
      </w:r>
      <w:r>
        <w:rPr>
          <w:i/>
          <w:sz w:val="30"/>
        </w:rPr>
        <w:t>and</w:t>
      </w:r>
      <w:r>
        <w:rPr>
          <w:i/>
          <w:spacing w:val="60"/>
          <w:sz w:val="30"/>
        </w:rPr>
        <w:t xml:space="preserve"> </w:t>
      </w:r>
      <w:r>
        <w:rPr>
          <w:i/>
          <w:sz w:val="30"/>
        </w:rPr>
        <w:t>its</w:t>
      </w:r>
      <w:r>
        <w:rPr>
          <w:i/>
          <w:spacing w:val="59"/>
          <w:sz w:val="30"/>
        </w:rPr>
        <w:t xml:space="preserve"> </w:t>
      </w:r>
      <w:r>
        <w:rPr>
          <w:i/>
          <w:sz w:val="30"/>
        </w:rPr>
        <w:t>Discontents.</w:t>
      </w:r>
      <w:r>
        <w:rPr>
          <w:i/>
          <w:spacing w:val="60"/>
          <w:sz w:val="30"/>
        </w:rPr>
        <w:t xml:space="preserve"> </w:t>
      </w:r>
      <w:r>
        <w:rPr>
          <w:spacing w:val="-2"/>
          <w:sz w:val="30"/>
        </w:rPr>
        <w:t>London:</w:t>
      </w:r>
    </w:p>
    <w:p w14:paraId="7E002E9A" w14:textId="77777777" w:rsidR="009A58DB" w:rsidRDefault="00000000">
      <w:pPr>
        <w:pStyle w:val="BodyText"/>
        <w:spacing w:before="15"/>
        <w:ind w:left="720"/>
      </w:pPr>
      <w:r>
        <w:t>W.W.</w:t>
      </w:r>
      <w:r>
        <w:rPr>
          <w:spacing w:val="-4"/>
        </w:rPr>
        <w:t xml:space="preserve"> </w:t>
      </w:r>
      <w:r>
        <w:t>Norton</w:t>
      </w:r>
      <w:r>
        <w:rPr>
          <w:spacing w:val="-2"/>
        </w:rPr>
        <w:t xml:space="preserve"> </w:t>
      </w:r>
      <w:r>
        <w:t>and</w:t>
      </w:r>
      <w:r>
        <w:rPr>
          <w:spacing w:val="-2"/>
        </w:rPr>
        <w:t xml:space="preserve"> </w:t>
      </w:r>
      <w:r>
        <w:rPr>
          <w:spacing w:val="-5"/>
        </w:rPr>
        <w:t>Co.</w:t>
      </w:r>
    </w:p>
    <w:p w14:paraId="7E002E9B" w14:textId="77777777" w:rsidR="009A58DB" w:rsidRDefault="00000000">
      <w:pPr>
        <w:spacing w:before="45" w:line="249" w:lineRule="auto"/>
        <w:ind w:left="720" w:right="1359" w:hanging="360"/>
        <w:jc w:val="both"/>
        <w:rPr>
          <w:sz w:val="30"/>
        </w:rPr>
      </w:pPr>
      <w:r>
        <w:rPr>
          <w:sz w:val="30"/>
        </w:rPr>
        <w:t xml:space="preserve">Freud, Sigmund. 1998. </w:t>
      </w:r>
      <w:r>
        <w:rPr>
          <w:i/>
          <w:sz w:val="30"/>
        </w:rPr>
        <w:t xml:space="preserve">The Interpretation of Dreams. </w:t>
      </w:r>
      <w:r>
        <w:rPr>
          <w:sz w:val="30"/>
        </w:rPr>
        <w:t>New York: Basic Books.</w:t>
      </w:r>
    </w:p>
    <w:p w14:paraId="7E002E9C"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E9D" w14:textId="77777777" w:rsidR="009A58DB" w:rsidRDefault="00000000">
      <w:pPr>
        <w:spacing w:before="65" w:line="249" w:lineRule="auto"/>
        <w:ind w:left="720" w:right="1840" w:hanging="360"/>
        <w:rPr>
          <w:sz w:val="30"/>
        </w:rPr>
      </w:pPr>
      <w:r>
        <w:rPr>
          <w:sz w:val="30"/>
        </w:rPr>
        <w:t xml:space="preserve">Fuller, Lon. 1964. </w:t>
      </w:r>
      <w:r>
        <w:rPr>
          <w:i/>
          <w:sz w:val="30"/>
        </w:rPr>
        <w:t xml:space="preserve">The Morality of Law. </w:t>
      </w:r>
      <w:r>
        <w:rPr>
          <w:sz w:val="30"/>
        </w:rPr>
        <w:t>New Haven, CT: Yale</w:t>
      </w:r>
      <w:r>
        <w:rPr>
          <w:spacing w:val="40"/>
          <w:sz w:val="30"/>
        </w:rPr>
        <w:t xml:space="preserve"> </w:t>
      </w:r>
      <w:r>
        <w:rPr>
          <w:sz w:val="30"/>
        </w:rPr>
        <w:t>University Press.</w:t>
      </w:r>
    </w:p>
    <w:p w14:paraId="7E002E9E" w14:textId="77777777" w:rsidR="009A58DB" w:rsidRDefault="00000000">
      <w:pPr>
        <w:spacing w:before="47" w:line="249" w:lineRule="auto"/>
        <w:ind w:left="720" w:right="1840" w:hanging="360"/>
        <w:rPr>
          <w:sz w:val="30"/>
        </w:rPr>
      </w:pPr>
      <w:r>
        <w:rPr>
          <w:sz w:val="30"/>
        </w:rPr>
        <w:t>Gardner,</w:t>
      </w:r>
      <w:r>
        <w:rPr>
          <w:spacing w:val="40"/>
          <w:sz w:val="30"/>
        </w:rPr>
        <w:t xml:space="preserve"> </w:t>
      </w:r>
      <w:r>
        <w:rPr>
          <w:sz w:val="30"/>
        </w:rPr>
        <w:t>Martin.</w:t>
      </w:r>
      <w:r>
        <w:rPr>
          <w:spacing w:val="40"/>
          <w:sz w:val="30"/>
        </w:rPr>
        <w:t xml:space="preserve"> </w:t>
      </w:r>
      <w:r>
        <w:rPr>
          <w:sz w:val="30"/>
        </w:rPr>
        <w:t>1976.</w:t>
      </w:r>
      <w:r>
        <w:rPr>
          <w:spacing w:val="40"/>
          <w:sz w:val="30"/>
        </w:rPr>
        <w:t xml:space="preserve"> </w:t>
      </w:r>
      <w:r>
        <w:rPr>
          <w:i/>
          <w:sz w:val="30"/>
        </w:rPr>
        <w:t>The</w:t>
      </w:r>
      <w:r>
        <w:rPr>
          <w:i/>
          <w:spacing w:val="40"/>
          <w:sz w:val="30"/>
        </w:rPr>
        <w:t xml:space="preserve"> </w:t>
      </w:r>
      <w:r>
        <w:rPr>
          <w:i/>
          <w:sz w:val="30"/>
        </w:rPr>
        <w:t>Relativity</w:t>
      </w:r>
      <w:r>
        <w:rPr>
          <w:i/>
          <w:spacing w:val="40"/>
          <w:sz w:val="30"/>
        </w:rPr>
        <w:t xml:space="preserve"> </w:t>
      </w:r>
      <w:r>
        <w:rPr>
          <w:i/>
          <w:sz w:val="30"/>
        </w:rPr>
        <w:t>Explosion.</w:t>
      </w:r>
      <w:r>
        <w:rPr>
          <w:i/>
          <w:spacing w:val="40"/>
          <w:sz w:val="30"/>
        </w:rPr>
        <w:t xml:space="preserve"> </w:t>
      </w:r>
      <w:r>
        <w:rPr>
          <w:sz w:val="30"/>
        </w:rPr>
        <w:t>New</w:t>
      </w:r>
      <w:r>
        <w:rPr>
          <w:spacing w:val="40"/>
          <w:sz w:val="30"/>
        </w:rPr>
        <w:t xml:space="preserve"> </w:t>
      </w:r>
      <w:r>
        <w:rPr>
          <w:sz w:val="30"/>
        </w:rPr>
        <w:t>York: Vintage Books.</w:t>
      </w:r>
    </w:p>
    <w:p w14:paraId="7E002E9F" w14:textId="77777777" w:rsidR="009A58DB" w:rsidRDefault="00000000">
      <w:pPr>
        <w:pStyle w:val="BodyText"/>
        <w:tabs>
          <w:tab w:val="left" w:pos="1468"/>
          <w:tab w:val="left" w:pos="2761"/>
          <w:tab w:val="left" w:pos="3637"/>
          <w:tab w:val="left" w:pos="4055"/>
          <w:tab w:val="left" w:pos="5573"/>
          <w:tab w:val="left" w:pos="6756"/>
          <w:tab w:val="left" w:pos="7424"/>
        </w:tabs>
        <w:spacing w:before="33"/>
        <w:jc w:val="left"/>
      </w:pPr>
      <w:r>
        <w:rPr>
          <w:spacing w:val="-2"/>
        </w:rPr>
        <w:t>Gettier,</w:t>
      </w:r>
      <w:r>
        <w:tab/>
      </w:r>
      <w:r>
        <w:rPr>
          <w:spacing w:val="-2"/>
        </w:rPr>
        <w:t>Edmund.</w:t>
      </w:r>
      <w:r>
        <w:tab/>
      </w:r>
      <w:r>
        <w:rPr>
          <w:spacing w:val="-2"/>
        </w:rPr>
        <w:t>1963.</w:t>
      </w:r>
      <w:r>
        <w:tab/>
      </w:r>
      <w:r>
        <w:rPr>
          <w:spacing w:val="-5"/>
        </w:rPr>
        <w:t>Is</w:t>
      </w:r>
      <w:r>
        <w:tab/>
      </w:r>
      <w:r>
        <w:rPr>
          <w:spacing w:val="-2"/>
        </w:rPr>
        <w:t>knowledge</w:t>
      </w:r>
      <w:r>
        <w:tab/>
      </w:r>
      <w:r>
        <w:rPr>
          <w:spacing w:val="-2"/>
        </w:rPr>
        <w:t>justified</w:t>
      </w:r>
      <w:r>
        <w:tab/>
      </w:r>
      <w:r>
        <w:rPr>
          <w:spacing w:val="-4"/>
        </w:rPr>
        <w:t>true</w:t>
      </w:r>
      <w:r>
        <w:tab/>
      </w:r>
      <w:r>
        <w:rPr>
          <w:spacing w:val="-2"/>
        </w:rPr>
        <w:t>belief.</w:t>
      </w:r>
    </w:p>
    <w:p w14:paraId="7E002EA0" w14:textId="77777777" w:rsidR="009A58DB" w:rsidRDefault="00000000">
      <w:pPr>
        <w:spacing w:before="15"/>
        <w:ind w:left="720"/>
        <w:rPr>
          <w:sz w:val="30"/>
        </w:rPr>
      </w:pPr>
      <w:r>
        <w:rPr>
          <w:i/>
          <w:sz w:val="30"/>
        </w:rPr>
        <w:t>Analysis,</w:t>
      </w:r>
      <w:r>
        <w:rPr>
          <w:i/>
          <w:spacing w:val="-3"/>
          <w:sz w:val="30"/>
        </w:rPr>
        <w:t xml:space="preserve"> </w:t>
      </w:r>
      <w:r>
        <w:rPr>
          <w:sz w:val="30"/>
        </w:rPr>
        <w:t>23,</w:t>
      </w:r>
      <w:r>
        <w:rPr>
          <w:spacing w:val="-3"/>
          <w:sz w:val="30"/>
        </w:rPr>
        <w:t xml:space="preserve"> </w:t>
      </w:r>
      <w:r>
        <w:rPr>
          <w:sz w:val="30"/>
        </w:rPr>
        <w:t>121–</w:t>
      </w:r>
      <w:r>
        <w:rPr>
          <w:spacing w:val="-4"/>
          <w:sz w:val="30"/>
        </w:rPr>
        <w:t>123.</w:t>
      </w:r>
    </w:p>
    <w:p w14:paraId="7E002EA1" w14:textId="77777777" w:rsidR="009A58DB" w:rsidRDefault="00000000">
      <w:pPr>
        <w:spacing w:before="60" w:line="249" w:lineRule="auto"/>
        <w:ind w:left="720" w:right="361" w:hanging="360"/>
        <w:jc w:val="both"/>
        <w:rPr>
          <w:sz w:val="30"/>
        </w:rPr>
      </w:pPr>
      <w:r>
        <w:rPr>
          <w:sz w:val="30"/>
        </w:rPr>
        <w:t xml:space="preserve">Gödel, Kurt. 1953. Is mathematics syntax of language? In S. Feferman (Ed.), </w:t>
      </w:r>
      <w:r>
        <w:rPr>
          <w:i/>
          <w:sz w:val="30"/>
        </w:rPr>
        <w:t xml:space="preserve">Kurt Gödel: Collected Works, Volume III, </w:t>
      </w:r>
      <w:r>
        <w:rPr>
          <w:sz w:val="30"/>
        </w:rPr>
        <w:t xml:space="preserve">(pp. 334–356). New York: </w:t>
      </w:r>
      <w:r>
        <w:rPr>
          <w:spacing w:val="-2"/>
          <w:sz w:val="30"/>
        </w:rPr>
        <w:t>Oxford.</w:t>
      </w:r>
    </w:p>
    <w:p w14:paraId="7E002EA2" w14:textId="77777777" w:rsidR="009A58DB" w:rsidRDefault="00000000">
      <w:pPr>
        <w:spacing w:before="33" w:line="249" w:lineRule="auto"/>
        <w:ind w:left="720" w:right="485" w:hanging="360"/>
        <w:jc w:val="both"/>
        <w:rPr>
          <w:sz w:val="30"/>
        </w:rPr>
      </w:pPr>
      <w:r>
        <w:rPr>
          <w:sz w:val="30"/>
        </w:rPr>
        <w:t xml:space="preserve">Goodman, Nelson. 1954. </w:t>
      </w:r>
      <w:r>
        <w:rPr>
          <w:i/>
          <w:sz w:val="30"/>
        </w:rPr>
        <w:t xml:space="preserve">Fact, Fiction, and Forecast. </w:t>
      </w:r>
      <w:r>
        <w:rPr>
          <w:sz w:val="30"/>
        </w:rPr>
        <w:t>Cambridge, MA: Harvard University Press.</w:t>
      </w:r>
    </w:p>
    <w:p w14:paraId="7E002EA3" w14:textId="77777777" w:rsidR="009A58DB" w:rsidRDefault="00000000">
      <w:pPr>
        <w:spacing w:before="48" w:line="280" w:lineRule="auto"/>
        <w:ind w:left="360" w:right="372"/>
        <w:jc w:val="both"/>
        <w:rPr>
          <w:i/>
          <w:sz w:val="30"/>
        </w:rPr>
      </w:pPr>
      <w:r>
        <w:rPr>
          <w:sz w:val="30"/>
        </w:rPr>
        <w:t xml:space="preserve">Goodman, Nelson. 1976. </w:t>
      </w:r>
      <w:r>
        <w:rPr>
          <w:i/>
          <w:sz w:val="30"/>
        </w:rPr>
        <w:t xml:space="preserve">The Languages of Art. </w:t>
      </w:r>
      <w:r>
        <w:rPr>
          <w:sz w:val="30"/>
        </w:rPr>
        <w:t>Indianapolis, IN: Hackett. Grice,</w:t>
      </w:r>
      <w:r>
        <w:rPr>
          <w:spacing w:val="77"/>
          <w:sz w:val="30"/>
        </w:rPr>
        <w:t xml:space="preserve"> </w:t>
      </w:r>
      <w:r>
        <w:rPr>
          <w:sz w:val="30"/>
        </w:rPr>
        <w:t>H.P.</w:t>
      </w:r>
      <w:r>
        <w:rPr>
          <w:spacing w:val="79"/>
          <w:sz w:val="30"/>
        </w:rPr>
        <w:t xml:space="preserve"> </w:t>
      </w:r>
      <w:r>
        <w:rPr>
          <w:sz w:val="30"/>
        </w:rPr>
        <w:t>1957.</w:t>
      </w:r>
      <w:r>
        <w:rPr>
          <w:spacing w:val="79"/>
          <w:sz w:val="30"/>
        </w:rPr>
        <w:t xml:space="preserve"> </w:t>
      </w:r>
      <w:r>
        <w:rPr>
          <w:sz w:val="30"/>
        </w:rPr>
        <w:t>Meaning.</w:t>
      </w:r>
      <w:r>
        <w:rPr>
          <w:spacing w:val="79"/>
          <w:sz w:val="30"/>
        </w:rPr>
        <w:t xml:space="preserve"> </w:t>
      </w:r>
      <w:r>
        <w:rPr>
          <w:sz w:val="30"/>
        </w:rPr>
        <w:t>In</w:t>
      </w:r>
      <w:r>
        <w:rPr>
          <w:spacing w:val="79"/>
          <w:sz w:val="30"/>
        </w:rPr>
        <w:t xml:space="preserve"> </w:t>
      </w:r>
      <w:r>
        <w:rPr>
          <w:sz w:val="30"/>
        </w:rPr>
        <w:t>A.P.</w:t>
      </w:r>
      <w:r>
        <w:rPr>
          <w:spacing w:val="79"/>
          <w:sz w:val="30"/>
        </w:rPr>
        <w:t xml:space="preserve"> </w:t>
      </w:r>
      <w:r>
        <w:rPr>
          <w:sz w:val="30"/>
        </w:rPr>
        <w:t>Martinich</w:t>
      </w:r>
      <w:r>
        <w:rPr>
          <w:spacing w:val="79"/>
          <w:sz w:val="30"/>
        </w:rPr>
        <w:t xml:space="preserve"> </w:t>
      </w:r>
      <w:r>
        <w:rPr>
          <w:sz w:val="30"/>
        </w:rPr>
        <w:t>(Ed.),</w:t>
      </w:r>
      <w:r>
        <w:rPr>
          <w:spacing w:val="79"/>
          <w:sz w:val="30"/>
        </w:rPr>
        <w:t xml:space="preserve"> </w:t>
      </w:r>
      <w:r>
        <w:rPr>
          <w:i/>
          <w:sz w:val="30"/>
        </w:rPr>
        <w:t>The</w:t>
      </w:r>
      <w:r>
        <w:rPr>
          <w:i/>
          <w:spacing w:val="79"/>
          <w:sz w:val="30"/>
        </w:rPr>
        <w:t xml:space="preserve"> </w:t>
      </w:r>
      <w:r>
        <w:rPr>
          <w:i/>
          <w:sz w:val="30"/>
        </w:rPr>
        <w:t>Philosophy</w:t>
      </w:r>
      <w:r>
        <w:rPr>
          <w:i/>
          <w:spacing w:val="80"/>
          <w:sz w:val="30"/>
        </w:rPr>
        <w:t xml:space="preserve"> </w:t>
      </w:r>
      <w:r>
        <w:rPr>
          <w:i/>
          <w:spacing w:val="-5"/>
          <w:sz w:val="30"/>
        </w:rPr>
        <w:t>of</w:t>
      </w:r>
    </w:p>
    <w:p w14:paraId="7E002EA4" w14:textId="77777777" w:rsidR="009A58DB" w:rsidRDefault="00000000">
      <w:pPr>
        <w:pStyle w:val="BodyText"/>
        <w:spacing w:line="303" w:lineRule="exact"/>
        <w:ind w:left="720"/>
      </w:pPr>
      <w:r>
        <w:rPr>
          <w:i/>
        </w:rPr>
        <w:t>Language,</w:t>
      </w:r>
      <w:r>
        <w:rPr>
          <w:i/>
          <w:spacing w:val="-5"/>
        </w:rPr>
        <w:t xml:space="preserve"> </w:t>
      </w:r>
      <w:r>
        <w:t>(pp.</w:t>
      </w:r>
      <w:r>
        <w:rPr>
          <w:spacing w:val="-3"/>
        </w:rPr>
        <w:t xml:space="preserve"> </w:t>
      </w:r>
      <w:r>
        <w:t>72–78).</w:t>
      </w:r>
      <w:r>
        <w:rPr>
          <w:spacing w:val="-3"/>
        </w:rPr>
        <w:t xml:space="preserve"> </w:t>
      </w:r>
      <w:r>
        <w:t>Oxford:</w:t>
      </w:r>
      <w:r>
        <w:rPr>
          <w:spacing w:val="-4"/>
        </w:rPr>
        <w:t xml:space="preserve"> </w:t>
      </w:r>
      <w:r>
        <w:t>Oxford</w:t>
      </w:r>
      <w:r>
        <w:rPr>
          <w:spacing w:val="-3"/>
        </w:rPr>
        <w:t xml:space="preserve"> </w:t>
      </w:r>
      <w:r>
        <w:t>University</w:t>
      </w:r>
      <w:r>
        <w:rPr>
          <w:spacing w:val="-2"/>
        </w:rPr>
        <w:t xml:space="preserve"> Press.</w:t>
      </w:r>
    </w:p>
    <w:p w14:paraId="7E002EA5" w14:textId="77777777" w:rsidR="009A58DB" w:rsidRDefault="00000000">
      <w:pPr>
        <w:spacing w:before="45" w:line="249" w:lineRule="auto"/>
        <w:ind w:left="720" w:right="2223" w:hanging="360"/>
        <w:rPr>
          <w:sz w:val="30"/>
        </w:rPr>
      </w:pPr>
      <w:r>
        <w:rPr>
          <w:sz w:val="30"/>
        </w:rPr>
        <w:t xml:space="preserve">Hacker, P.M.S. 1999. </w:t>
      </w:r>
      <w:r>
        <w:rPr>
          <w:i/>
          <w:sz w:val="30"/>
        </w:rPr>
        <w:t xml:space="preserve">Wittgenstein on Human Nature. </w:t>
      </w:r>
      <w:r>
        <w:rPr>
          <w:sz w:val="30"/>
        </w:rPr>
        <w:t>New York: Routledge.</w:t>
      </w:r>
    </w:p>
    <w:p w14:paraId="7E002EA6" w14:textId="77777777" w:rsidR="009A58DB" w:rsidRDefault="00000000">
      <w:pPr>
        <w:spacing w:before="47" w:line="249" w:lineRule="auto"/>
        <w:ind w:left="720" w:right="2223" w:hanging="360"/>
        <w:rPr>
          <w:sz w:val="30"/>
        </w:rPr>
      </w:pPr>
      <w:r>
        <w:rPr>
          <w:sz w:val="30"/>
        </w:rPr>
        <w:t xml:space="preserve">Hacker, P.M.S. 1996. </w:t>
      </w:r>
      <w:r>
        <w:rPr>
          <w:i/>
          <w:sz w:val="30"/>
        </w:rPr>
        <w:t xml:space="preserve">Wittgenstein: Mind and Will. </w:t>
      </w:r>
      <w:r>
        <w:rPr>
          <w:sz w:val="30"/>
        </w:rPr>
        <w:t xml:space="preserve">Oxford: </w:t>
      </w:r>
      <w:r>
        <w:rPr>
          <w:spacing w:val="-2"/>
          <w:sz w:val="30"/>
        </w:rPr>
        <w:t>Blackwell.</w:t>
      </w:r>
    </w:p>
    <w:p w14:paraId="7E002EA7" w14:textId="77777777" w:rsidR="009A58DB" w:rsidRDefault="00000000">
      <w:pPr>
        <w:spacing w:before="33" w:line="249" w:lineRule="auto"/>
        <w:ind w:left="720" w:hanging="360"/>
        <w:rPr>
          <w:sz w:val="30"/>
        </w:rPr>
      </w:pPr>
      <w:r>
        <w:rPr>
          <w:sz w:val="30"/>
        </w:rPr>
        <w:t>Hacker,</w:t>
      </w:r>
      <w:r>
        <w:rPr>
          <w:spacing w:val="40"/>
          <w:sz w:val="30"/>
        </w:rPr>
        <w:t xml:space="preserve"> </w:t>
      </w:r>
      <w:r>
        <w:rPr>
          <w:sz w:val="30"/>
        </w:rPr>
        <w:t>P.M.S.,</w:t>
      </w:r>
      <w:r>
        <w:rPr>
          <w:spacing w:val="40"/>
          <w:sz w:val="30"/>
        </w:rPr>
        <w:t xml:space="preserve"> </w:t>
      </w:r>
      <w:r>
        <w:rPr>
          <w:sz w:val="30"/>
        </w:rPr>
        <w:t>&amp;</w:t>
      </w:r>
      <w:r>
        <w:rPr>
          <w:spacing w:val="40"/>
          <w:sz w:val="30"/>
        </w:rPr>
        <w:t xml:space="preserve"> </w:t>
      </w:r>
      <w:r>
        <w:rPr>
          <w:sz w:val="30"/>
        </w:rPr>
        <w:t>Baker,</w:t>
      </w:r>
      <w:r>
        <w:rPr>
          <w:spacing w:val="40"/>
          <w:sz w:val="30"/>
        </w:rPr>
        <w:t xml:space="preserve"> </w:t>
      </w:r>
      <w:r>
        <w:rPr>
          <w:sz w:val="30"/>
        </w:rPr>
        <w:t>Gordon.</w:t>
      </w:r>
      <w:r>
        <w:rPr>
          <w:spacing w:val="40"/>
          <w:sz w:val="30"/>
        </w:rPr>
        <w:t xml:space="preserve"> </w:t>
      </w:r>
      <w:r>
        <w:rPr>
          <w:sz w:val="30"/>
        </w:rPr>
        <w:t>1980.</w:t>
      </w:r>
      <w:r>
        <w:rPr>
          <w:spacing w:val="40"/>
          <w:sz w:val="30"/>
        </w:rPr>
        <w:t xml:space="preserve"> </w:t>
      </w:r>
      <w:r>
        <w:rPr>
          <w:i/>
          <w:sz w:val="30"/>
        </w:rPr>
        <w:t>Wittgenstein:</w:t>
      </w:r>
      <w:r>
        <w:rPr>
          <w:i/>
          <w:spacing w:val="39"/>
          <w:sz w:val="30"/>
        </w:rPr>
        <w:t xml:space="preserve"> </w:t>
      </w:r>
      <w:r>
        <w:rPr>
          <w:i/>
          <w:sz w:val="30"/>
        </w:rPr>
        <w:t>Understanding</w:t>
      </w:r>
      <w:r>
        <w:rPr>
          <w:i/>
          <w:spacing w:val="40"/>
          <w:sz w:val="30"/>
        </w:rPr>
        <w:t xml:space="preserve"> </w:t>
      </w:r>
      <w:r>
        <w:rPr>
          <w:i/>
          <w:sz w:val="30"/>
        </w:rPr>
        <w:t xml:space="preserve">and Meaning. </w:t>
      </w:r>
      <w:r>
        <w:rPr>
          <w:sz w:val="30"/>
        </w:rPr>
        <w:t>Oxford: Blackwell.</w:t>
      </w:r>
    </w:p>
    <w:p w14:paraId="7E002EA8" w14:textId="77777777" w:rsidR="009A58DB" w:rsidRDefault="00000000">
      <w:pPr>
        <w:spacing w:before="2"/>
        <w:ind w:left="360"/>
        <w:rPr>
          <w:i/>
          <w:sz w:val="30"/>
        </w:rPr>
      </w:pPr>
      <w:r>
        <w:rPr>
          <w:sz w:val="30"/>
        </w:rPr>
        <w:t>Hacker,</w:t>
      </w:r>
      <w:r>
        <w:rPr>
          <w:spacing w:val="14"/>
          <w:sz w:val="30"/>
        </w:rPr>
        <w:t xml:space="preserve"> </w:t>
      </w:r>
      <w:r>
        <w:rPr>
          <w:sz w:val="30"/>
        </w:rPr>
        <w:t>P.M.S.,</w:t>
      </w:r>
      <w:r>
        <w:rPr>
          <w:spacing w:val="16"/>
          <w:sz w:val="30"/>
        </w:rPr>
        <w:t xml:space="preserve"> </w:t>
      </w:r>
      <w:r>
        <w:rPr>
          <w:sz w:val="30"/>
        </w:rPr>
        <w:t>&amp;</w:t>
      </w:r>
      <w:r>
        <w:rPr>
          <w:spacing w:val="17"/>
          <w:sz w:val="30"/>
        </w:rPr>
        <w:t xml:space="preserve"> </w:t>
      </w:r>
      <w:r>
        <w:rPr>
          <w:sz w:val="30"/>
        </w:rPr>
        <w:t>Baker,</w:t>
      </w:r>
      <w:r>
        <w:rPr>
          <w:spacing w:val="16"/>
          <w:sz w:val="30"/>
        </w:rPr>
        <w:t xml:space="preserve"> </w:t>
      </w:r>
      <w:r>
        <w:rPr>
          <w:sz w:val="30"/>
        </w:rPr>
        <w:t>Gordon.</w:t>
      </w:r>
      <w:r>
        <w:rPr>
          <w:spacing w:val="16"/>
          <w:sz w:val="30"/>
        </w:rPr>
        <w:t xml:space="preserve"> </w:t>
      </w:r>
      <w:r>
        <w:rPr>
          <w:sz w:val="30"/>
        </w:rPr>
        <w:t>1984a.</w:t>
      </w:r>
      <w:r>
        <w:rPr>
          <w:spacing w:val="17"/>
          <w:sz w:val="30"/>
        </w:rPr>
        <w:t xml:space="preserve"> </w:t>
      </w:r>
      <w:r>
        <w:rPr>
          <w:i/>
          <w:sz w:val="30"/>
        </w:rPr>
        <w:t>Scepticism,</w:t>
      </w:r>
      <w:r>
        <w:rPr>
          <w:i/>
          <w:spacing w:val="21"/>
          <w:sz w:val="30"/>
        </w:rPr>
        <w:t xml:space="preserve"> </w:t>
      </w:r>
      <w:r>
        <w:rPr>
          <w:i/>
          <w:sz w:val="30"/>
        </w:rPr>
        <w:t>Rules,</w:t>
      </w:r>
      <w:r>
        <w:rPr>
          <w:i/>
          <w:spacing w:val="22"/>
          <w:sz w:val="30"/>
        </w:rPr>
        <w:t xml:space="preserve"> </w:t>
      </w:r>
      <w:r>
        <w:rPr>
          <w:i/>
          <w:sz w:val="30"/>
        </w:rPr>
        <w:t>and</w:t>
      </w:r>
      <w:r>
        <w:rPr>
          <w:i/>
          <w:spacing w:val="22"/>
          <w:sz w:val="30"/>
        </w:rPr>
        <w:t xml:space="preserve"> </w:t>
      </w:r>
      <w:r>
        <w:rPr>
          <w:i/>
          <w:spacing w:val="-2"/>
          <w:sz w:val="30"/>
        </w:rPr>
        <w:t>Language.</w:t>
      </w:r>
    </w:p>
    <w:p w14:paraId="7E002EA9" w14:textId="77777777" w:rsidR="009A58DB" w:rsidRDefault="00000000">
      <w:pPr>
        <w:pStyle w:val="BodyText"/>
        <w:spacing w:before="15"/>
        <w:ind w:left="720"/>
        <w:jc w:val="left"/>
      </w:pPr>
      <w:r>
        <w:t>Oxford:</w:t>
      </w:r>
      <w:r>
        <w:rPr>
          <w:spacing w:val="-4"/>
        </w:rPr>
        <w:t xml:space="preserve"> </w:t>
      </w:r>
      <w:r>
        <w:rPr>
          <w:spacing w:val="-2"/>
        </w:rPr>
        <w:t>Blackwell.</w:t>
      </w:r>
    </w:p>
    <w:p w14:paraId="7E002EAA" w14:textId="77777777" w:rsidR="009A58DB" w:rsidRDefault="00000000">
      <w:pPr>
        <w:spacing w:before="15"/>
        <w:ind w:left="360"/>
        <w:rPr>
          <w:i/>
          <w:sz w:val="30"/>
        </w:rPr>
      </w:pPr>
      <w:r>
        <w:rPr>
          <w:sz w:val="30"/>
        </w:rPr>
        <w:t>Hacker,</w:t>
      </w:r>
      <w:r>
        <w:rPr>
          <w:spacing w:val="27"/>
          <w:sz w:val="30"/>
        </w:rPr>
        <w:t xml:space="preserve"> </w:t>
      </w:r>
      <w:r>
        <w:rPr>
          <w:sz w:val="30"/>
        </w:rPr>
        <w:t>P.M.S.,</w:t>
      </w:r>
      <w:r>
        <w:rPr>
          <w:spacing w:val="30"/>
          <w:sz w:val="30"/>
        </w:rPr>
        <w:t xml:space="preserve"> </w:t>
      </w:r>
      <w:r>
        <w:rPr>
          <w:sz w:val="30"/>
        </w:rPr>
        <w:t>&amp;</w:t>
      </w:r>
      <w:r>
        <w:rPr>
          <w:spacing w:val="30"/>
          <w:sz w:val="30"/>
        </w:rPr>
        <w:t xml:space="preserve"> </w:t>
      </w:r>
      <w:r>
        <w:rPr>
          <w:sz w:val="30"/>
        </w:rPr>
        <w:t>Baker,</w:t>
      </w:r>
      <w:r>
        <w:rPr>
          <w:spacing w:val="30"/>
          <w:sz w:val="30"/>
        </w:rPr>
        <w:t xml:space="preserve"> </w:t>
      </w:r>
      <w:r>
        <w:rPr>
          <w:sz w:val="30"/>
        </w:rPr>
        <w:t>Gordon.</w:t>
      </w:r>
      <w:r>
        <w:rPr>
          <w:spacing w:val="30"/>
          <w:sz w:val="30"/>
        </w:rPr>
        <w:t xml:space="preserve"> </w:t>
      </w:r>
      <w:r>
        <w:rPr>
          <w:sz w:val="30"/>
        </w:rPr>
        <w:t>1984b.</w:t>
      </w:r>
      <w:r>
        <w:rPr>
          <w:spacing w:val="30"/>
          <w:sz w:val="30"/>
        </w:rPr>
        <w:t xml:space="preserve"> </w:t>
      </w:r>
      <w:r>
        <w:rPr>
          <w:i/>
          <w:sz w:val="30"/>
        </w:rPr>
        <w:t>Language,</w:t>
      </w:r>
      <w:r>
        <w:rPr>
          <w:i/>
          <w:spacing w:val="28"/>
          <w:sz w:val="30"/>
        </w:rPr>
        <w:t xml:space="preserve"> </w:t>
      </w:r>
      <w:r>
        <w:rPr>
          <w:i/>
          <w:sz w:val="30"/>
        </w:rPr>
        <w:t>Sense,</w:t>
      </w:r>
      <w:r>
        <w:rPr>
          <w:i/>
          <w:spacing w:val="28"/>
          <w:sz w:val="30"/>
        </w:rPr>
        <w:t xml:space="preserve"> </w:t>
      </w:r>
      <w:r>
        <w:rPr>
          <w:i/>
          <w:sz w:val="30"/>
        </w:rPr>
        <w:t>and</w:t>
      </w:r>
      <w:r>
        <w:rPr>
          <w:i/>
          <w:spacing w:val="28"/>
          <w:sz w:val="30"/>
        </w:rPr>
        <w:t xml:space="preserve"> </w:t>
      </w:r>
      <w:r>
        <w:rPr>
          <w:i/>
          <w:spacing w:val="-2"/>
          <w:sz w:val="30"/>
        </w:rPr>
        <w:t>Nonsense.</w:t>
      </w:r>
    </w:p>
    <w:p w14:paraId="7E002EAB" w14:textId="77777777" w:rsidR="009A58DB" w:rsidRDefault="00000000">
      <w:pPr>
        <w:pStyle w:val="BodyText"/>
        <w:spacing w:before="15"/>
        <w:ind w:left="720"/>
        <w:jc w:val="left"/>
      </w:pPr>
      <w:r>
        <w:t>Oxford:</w:t>
      </w:r>
      <w:r>
        <w:rPr>
          <w:spacing w:val="-4"/>
        </w:rPr>
        <w:t xml:space="preserve"> </w:t>
      </w:r>
      <w:r>
        <w:rPr>
          <w:spacing w:val="-2"/>
        </w:rPr>
        <w:t>Blackwell.</w:t>
      </w:r>
    </w:p>
    <w:p w14:paraId="7E002EAC" w14:textId="77777777" w:rsidR="009A58DB" w:rsidRDefault="00000000">
      <w:pPr>
        <w:spacing w:before="15" w:line="249" w:lineRule="auto"/>
        <w:ind w:left="360"/>
        <w:rPr>
          <w:sz w:val="30"/>
        </w:rPr>
      </w:pPr>
      <w:r>
        <w:rPr>
          <w:sz w:val="30"/>
        </w:rPr>
        <w:t xml:space="preserve">Hacker, P.M.S., &amp; Baker, Gordon. 1985. </w:t>
      </w:r>
      <w:r>
        <w:rPr>
          <w:i/>
          <w:sz w:val="30"/>
        </w:rPr>
        <w:t xml:space="preserve">Wittgenstein: Rules, Grammar, and Necessity. </w:t>
      </w:r>
      <w:r>
        <w:rPr>
          <w:sz w:val="30"/>
        </w:rPr>
        <w:t>Oxford: Blackwell.</w:t>
      </w:r>
    </w:p>
    <w:p w14:paraId="7E002EAD" w14:textId="77777777" w:rsidR="009A58DB" w:rsidRDefault="00000000">
      <w:pPr>
        <w:spacing w:before="48" w:line="249" w:lineRule="auto"/>
        <w:ind w:left="720" w:right="365" w:hanging="360"/>
        <w:rPr>
          <w:sz w:val="30"/>
        </w:rPr>
      </w:pPr>
      <w:r>
        <w:rPr>
          <w:sz w:val="30"/>
        </w:rPr>
        <w:t xml:space="preserve">Hacking, Ian. 1975. </w:t>
      </w:r>
      <w:r>
        <w:rPr>
          <w:i/>
          <w:sz w:val="30"/>
        </w:rPr>
        <w:t xml:space="preserve">Why does language matter to philosophy? </w:t>
      </w:r>
      <w:r>
        <w:rPr>
          <w:sz w:val="30"/>
        </w:rPr>
        <w:t>Cambridge,</w:t>
      </w:r>
      <w:r>
        <w:rPr>
          <w:spacing w:val="80"/>
          <w:w w:val="150"/>
          <w:sz w:val="30"/>
        </w:rPr>
        <w:t xml:space="preserve"> </w:t>
      </w:r>
      <w:r>
        <w:rPr>
          <w:sz w:val="30"/>
        </w:rPr>
        <w:t>U.K.: Cambridge University Press.</w:t>
      </w:r>
    </w:p>
    <w:p w14:paraId="7E002EAE" w14:textId="77777777" w:rsidR="009A58DB" w:rsidRDefault="00000000">
      <w:pPr>
        <w:pStyle w:val="BodyText"/>
        <w:spacing w:before="47" w:line="249" w:lineRule="auto"/>
        <w:ind w:right="360"/>
        <w:jc w:val="right"/>
      </w:pPr>
      <w:r>
        <w:t>Hahn,</w:t>
      </w:r>
      <w:r>
        <w:rPr>
          <w:spacing w:val="38"/>
        </w:rPr>
        <w:t xml:space="preserve"> </w:t>
      </w:r>
      <w:r>
        <w:t>Hans.</w:t>
      </w:r>
      <w:r>
        <w:rPr>
          <w:spacing w:val="38"/>
        </w:rPr>
        <w:t xml:space="preserve"> </w:t>
      </w:r>
      <w:r>
        <w:t>1933.</w:t>
      </w:r>
      <w:r>
        <w:rPr>
          <w:spacing w:val="38"/>
        </w:rPr>
        <w:t xml:space="preserve"> </w:t>
      </w:r>
      <w:r>
        <w:t>Logic,</w:t>
      </w:r>
      <w:r>
        <w:rPr>
          <w:spacing w:val="38"/>
        </w:rPr>
        <w:t xml:space="preserve"> </w:t>
      </w:r>
      <w:r>
        <w:t>Mathematics,</w:t>
      </w:r>
      <w:r>
        <w:rPr>
          <w:spacing w:val="39"/>
        </w:rPr>
        <w:t xml:space="preserve"> </w:t>
      </w:r>
      <w:r>
        <w:t>and</w:t>
      </w:r>
      <w:r>
        <w:rPr>
          <w:spacing w:val="38"/>
        </w:rPr>
        <w:t xml:space="preserve"> </w:t>
      </w:r>
      <w:r>
        <w:t>Knowledge</w:t>
      </w:r>
      <w:r>
        <w:rPr>
          <w:spacing w:val="38"/>
        </w:rPr>
        <w:t xml:space="preserve"> </w:t>
      </w:r>
      <w:r>
        <w:t>of</w:t>
      </w:r>
      <w:r>
        <w:rPr>
          <w:spacing w:val="38"/>
        </w:rPr>
        <w:t xml:space="preserve"> </w:t>
      </w:r>
      <w:r>
        <w:t>Nature.</w:t>
      </w:r>
      <w:r>
        <w:rPr>
          <w:spacing w:val="38"/>
        </w:rPr>
        <w:t xml:space="preserve"> </w:t>
      </w:r>
      <w:r>
        <w:t>In</w:t>
      </w:r>
      <w:r>
        <w:rPr>
          <w:spacing w:val="38"/>
        </w:rPr>
        <w:t xml:space="preserve"> </w:t>
      </w:r>
      <w:r>
        <w:t xml:space="preserve">A.J. Ayer (Ed.), </w:t>
      </w:r>
      <w:r>
        <w:rPr>
          <w:i/>
        </w:rPr>
        <w:t xml:space="preserve">Logical Positivsim, </w:t>
      </w:r>
      <w:r>
        <w:t>(pp. 137–163). New York: The Free Press.</w:t>
      </w:r>
    </w:p>
    <w:p w14:paraId="7E002EAF" w14:textId="77777777" w:rsidR="009A58DB" w:rsidRDefault="00000000">
      <w:pPr>
        <w:spacing w:before="33" w:line="249" w:lineRule="auto"/>
        <w:ind w:left="720" w:right="422" w:hanging="360"/>
        <w:rPr>
          <w:sz w:val="30"/>
        </w:rPr>
      </w:pPr>
      <w:r>
        <w:rPr>
          <w:sz w:val="30"/>
        </w:rPr>
        <w:t xml:space="preserve">Hale, Bob, &amp; Wright, Crispin (Eds.). 1997. </w:t>
      </w:r>
      <w:r>
        <w:rPr>
          <w:i/>
          <w:sz w:val="30"/>
        </w:rPr>
        <w:t>A Companion to the Philosophy</w:t>
      </w:r>
      <w:r>
        <w:rPr>
          <w:i/>
          <w:spacing w:val="40"/>
          <w:sz w:val="30"/>
        </w:rPr>
        <w:t xml:space="preserve"> </w:t>
      </w:r>
      <w:r>
        <w:rPr>
          <w:i/>
          <w:sz w:val="30"/>
        </w:rPr>
        <w:t xml:space="preserve">of Language. </w:t>
      </w:r>
      <w:r>
        <w:rPr>
          <w:sz w:val="30"/>
        </w:rPr>
        <w:t>Oxford: Basil Black-well.</w:t>
      </w:r>
    </w:p>
    <w:p w14:paraId="7E002EB0" w14:textId="77777777" w:rsidR="009A58DB" w:rsidRDefault="00000000">
      <w:pPr>
        <w:spacing w:before="47" w:line="249" w:lineRule="auto"/>
        <w:ind w:left="720" w:right="2223" w:hanging="360"/>
        <w:rPr>
          <w:sz w:val="30"/>
        </w:rPr>
      </w:pPr>
      <w:r>
        <w:rPr>
          <w:sz w:val="30"/>
        </w:rPr>
        <w:t xml:space="preserve">Hare, R.D. 1999. </w:t>
      </w:r>
      <w:r>
        <w:rPr>
          <w:i/>
          <w:sz w:val="30"/>
        </w:rPr>
        <w:t xml:space="preserve">Without Conscience. </w:t>
      </w:r>
      <w:r>
        <w:rPr>
          <w:sz w:val="30"/>
        </w:rPr>
        <w:t>New York: The Guilford Press.</w:t>
      </w:r>
    </w:p>
    <w:p w14:paraId="7E002EB1" w14:textId="77777777" w:rsidR="009A58DB" w:rsidRDefault="009A58DB">
      <w:pPr>
        <w:spacing w:line="249" w:lineRule="auto"/>
        <w:rPr>
          <w:sz w:val="30"/>
        </w:rPr>
        <w:sectPr w:rsidR="009A58DB">
          <w:pgSz w:w="12240" w:h="15840"/>
          <w:pgMar w:top="1380" w:right="1080" w:bottom="280" w:left="1080" w:header="720" w:footer="720" w:gutter="0"/>
          <w:cols w:space="720"/>
        </w:sectPr>
      </w:pPr>
    </w:p>
    <w:p w14:paraId="7E002EB2" w14:textId="77777777" w:rsidR="009A58DB" w:rsidRDefault="00000000">
      <w:pPr>
        <w:spacing w:before="65" w:line="249" w:lineRule="auto"/>
        <w:ind w:left="720" w:right="2634" w:hanging="360"/>
        <w:rPr>
          <w:sz w:val="30"/>
        </w:rPr>
      </w:pPr>
      <w:r>
        <w:rPr>
          <w:sz w:val="30"/>
        </w:rPr>
        <w:t>Hare,</w:t>
      </w:r>
      <w:r>
        <w:rPr>
          <w:spacing w:val="40"/>
          <w:sz w:val="30"/>
        </w:rPr>
        <w:t xml:space="preserve"> </w:t>
      </w:r>
      <w:r>
        <w:rPr>
          <w:sz w:val="30"/>
        </w:rPr>
        <w:t>R.M.</w:t>
      </w:r>
      <w:r>
        <w:rPr>
          <w:spacing w:val="40"/>
          <w:sz w:val="30"/>
        </w:rPr>
        <w:t xml:space="preserve"> </w:t>
      </w:r>
      <w:r>
        <w:rPr>
          <w:sz w:val="30"/>
        </w:rPr>
        <w:t>1963.</w:t>
      </w:r>
      <w:r>
        <w:rPr>
          <w:spacing w:val="40"/>
          <w:sz w:val="30"/>
        </w:rPr>
        <w:t xml:space="preserve"> </w:t>
      </w:r>
      <w:r>
        <w:rPr>
          <w:i/>
          <w:sz w:val="30"/>
        </w:rPr>
        <w:t>Freedom</w:t>
      </w:r>
      <w:r>
        <w:rPr>
          <w:i/>
          <w:spacing w:val="40"/>
          <w:sz w:val="30"/>
        </w:rPr>
        <w:t xml:space="preserve"> </w:t>
      </w:r>
      <w:r>
        <w:rPr>
          <w:i/>
          <w:sz w:val="30"/>
        </w:rPr>
        <w:t>and</w:t>
      </w:r>
      <w:r>
        <w:rPr>
          <w:i/>
          <w:spacing w:val="40"/>
          <w:sz w:val="30"/>
        </w:rPr>
        <w:t xml:space="preserve"> </w:t>
      </w:r>
      <w:r>
        <w:rPr>
          <w:i/>
          <w:sz w:val="30"/>
        </w:rPr>
        <w:t>Reason.</w:t>
      </w:r>
      <w:r>
        <w:rPr>
          <w:i/>
          <w:spacing w:val="40"/>
          <w:sz w:val="30"/>
        </w:rPr>
        <w:t xml:space="preserve"> </w:t>
      </w:r>
      <w:r>
        <w:rPr>
          <w:sz w:val="30"/>
        </w:rPr>
        <w:t>New</w:t>
      </w:r>
      <w:r>
        <w:rPr>
          <w:spacing w:val="40"/>
          <w:sz w:val="30"/>
        </w:rPr>
        <w:t xml:space="preserve"> </w:t>
      </w:r>
      <w:r>
        <w:rPr>
          <w:sz w:val="30"/>
        </w:rPr>
        <w:t>York:</w:t>
      </w:r>
      <w:r>
        <w:rPr>
          <w:spacing w:val="40"/>
          <w:sz w:val="30"/>
        </w:rPr>
        <w:t xml:space="preserve"> </w:t>
      </w:r>
      <w:r>
        <w:rPr>
          <w:spacing w:val="-2"/>
          <w:sz w:val="30"/>
        </w:rPr>
        <w:t>Oxford.</w:t>
      </w:r>
    </w:p>
    <w:p w14:paraId="7E002EB3" w14:textId="77777777" w:rsidR="009A58DB" w:rsidRDefault="00000000">
      <w:pPr>
        <w:spacing w:before="47" w:line="271" w:lineRule="auto"/>
        <w:ind w:left="360" w:right="1488"/>
        <w:rPr>
          <w:i/>
          <w:sz w:val="30"/>
        </w:rPr>
      </w:pPr>
      <w:r>
        <w:rPr>
          <w:sz w:val="30"/>
        </w:rPr>
        <w:t xml:space="preserve">Hart, H.L. A. 1961. </w:t>
      </w:r>
      <w:r>
        <w:rPr>
          <w:i/>
          <w:sz w:val="30"/>
        </w:rPr>
        <w:t xml:space="preserve">The Concept of Law. </w:t>
      </w:r>
      <w:r>
        <w:rPr>
          <w:sz w:val="30"/>
        </w:rPr>
        <w:t xml:space="preserve">New York: Oxford. Hempel, Carl. G. 1945a. Studies in Logic and Confirmation. </w:t>
      </w:r>
      <w:r>
        <w:rPr>
          <w:i/>
          <w:sz w:val="30"/>
        </w:rPr>
        <w:t>Mind,</w:t>
      </w:r>
    </w:p>
    <w:p w14:paraId="7E002EB4" w14:textId="77777777" w:rsidR="009A58DB" w:rsidRDefault="00000000">
      <w:pPr>
        <w:pStyle w:val="BodyText"/>
        <w:spacing w:line="315" w:lineRule="exact"/>
        <w:ind w:left="720"/>
        <w:jc w:val="left"/>
      </w:pPr>
      <w:r>
        <w:t>54, 1–</w:t>
      </w:r>
      <w:r>
        <w:rPr>
          <w:spacing w:val="-5"/>
        </w:rPr>
        <w:t>26.</w:t>
      </w:r>
    </w:p>
    <w:p w14:paraId="7E002EB5" w14:textId="77777777" w:rsidR="009A58DB" w:rsidRDefault="00000000">
      <w:pPr>
        <w:pStyle w:val="BodyText"/>
        <w:spacing w:before="60"/>
        <w:jc w:val="left"/>
      </w:pPr>
      <w:r>
        <w:t>Hempel,</w:t>
      </w:r>
      <w:r>
        <w:rPr>
          <w:spacing w:val="48"/>
        </w:rPr>
        <w:t xml:space="preserve"> </w:t>
      </w:r>
      <w:r>
        <w:t>Carl.</w:t>
      </w:r>
      <w:r>
        <w:rPr>
          <w:spacing w:val="50"/>
        </w:rPr>
        <w:t xml:space="preserve"> </w:t>
      </w:r>
      <w:r>
        <w:t>G.</w:t>
      </w:r>
      <w:r>
        <w:rPr>
          <w:spacing w:val="50"/>
        </w:rPr>
        <w:t xml:space="preserve"> </w:t>
      </w:r>
      <w:r>
        <w:t>1945b.</w:t>
      </w:r>
      <w:r>
        <w:rPr>
          <w:spacing w:val="50"/>
        </w:rPr>
        <w:t xml:space="preserve"> </w:t>
      </w:r>
      <w:r>
        <w:t>Studies</w:t>
      </w:r>
      <w:r>
        <w:rPr>
          <w:spacing w:val="50"/>
        </w:rPr>
        <w:t xml:space="preserve"> </w:t>
      </w:r>
      <w:r>
        <w:t>in</w:t>
      </w:r>
      <w:r>
        <w:rPr>
          <w:spacing w:val="50"/>
        </w:rPr>
        <w:t xml:space="preserve"> </w:t>
      </w:r>
      <w:r>
        <w:t>Logic</w:t>
      </w:r>
      <w:r>
        <w:rPr>
          <w:spacing w:val="50"/>
        </w:rPr>
        <w:t xml:space="preserve"> </w:t>
      </w:r>
      <w:r>
        <w:t>and</w:t>
      </w:r>
      <w:r>
        <w:rPr>
          <w:spacing w:val="50"/>
        </w:rPr>
        <w:t xml:space="preserve"> </w:t>
      </w:r>
      <w:r>
        <w:t>Confirmation.</w:t>
      </w:r>
      <w:r>
        <w:rPr>
          <w:spacing w:val="51"/>
        </w:rPr>
        <w:t xml:space="preserve"> </w:t>
      </w:r>
      <w:r>
        <w:rPr>
          <w:spacing w:val="-5"/>
        </w:rPr>
        <w:t>II.</w:t>
      </w:r>
    </w:p>
    <w:p w14:paraId="7E002EB6" w14:textId="77777777" w:rsidR="009A58DB" w:rsidRDefault="00000000">
      <w:pPr>
        <w:spacing w:before="15"/>
        <w:ind w:left="720"/>
        <w:rPr>
          <w:sz w:val="30"/>
        </w:rPr>
      </w:pPr>
      <w:r>
        <w:rPr>
          <w:i/>
          <w:sz w:val="30"/>
        </w:rPr>
        <w:t>Mind,</w:t>
      </w:r>
      <w:r>
        <w:rPr>
          <w:i/>
          <w:spacing w:val="-1"/>
          <w:sz w:val="30"/>
        </w:rPr>
        <w:t xml:space="preserve"> </w:t>
      </w:r>
      <w:r>
        <w:rPr>
          <w:sz w:val="30"/>
        </w:rPr>
        <w:t>54,</w:t>
      </w:r>
      <w:r>
        <w:rPr>
          <w:spacing w:val="-1"/>
          <w:sz w:val="30"/>
        </w:rPr>
        <w:t xml:space="preserve"> </w:t>
      </w:r>
      <w:r>
        <w:rPr>
          <w:sz w:val="30"/>
        </w:rPr>
        <w:t>97–</w:t>
      </w:r>
      <w:r>
        <w:rPr>
          <w:spacing w:val="-4"/>
          <w:sz w:val="30"/>
        </w:rPr>
        <w:t>121.</w:t>
      </w:r>
    </w:p>
    <w:p w14:paraId="7E002EB7" w14:textId="77777777" w:rsidR="009A58DB" w:rsidRDefault="00000000">
      <w:pPr>
        <w:pStyle w:val="BodyText"/>
        <w:spacing w:before="45" w:line="249" w:lineRule="auto"/>
        <w:ind w:left="720" w:hanging="360"/>
        <w:jc w:val="left"/>
      </w:pPr>
      <w:r>
        <w:t>Hempel,</w:t>
      </w:r>
      <w:r>
        <w:rPr>
          <w:spacing w:val="40"/>
        </w:rPr>
        <w:t xml:space="preserve"> </w:t>
      </w:r>
      <w:r>
        <w:t>Carl</w:t>
      </w:r>
      <w:r>
        <w:rPr>
          <w:spacing w:val="40"/>
        </w:rPr>
        <w:t xml:space="preserve"> </w:t>
      </w:r>
      <w:r>
        <w:t>G.</w:t>
      </w:r>
      <w:r>
        <w:rPr>
          <w:spacing w:val="40"/>
        </w:rPr>
        <w:t xml:space="preserve"> </w:t>
      </w:r>
      <w:r>
        <w:t>1950.</w:t>
      </w:r>
      <w:r>
        <w:rPr>
          <w:spacing w:val="40"/>
        </w:rPr>
        <w:t xml:space="preserve"> </w:t>
      </w:r>
      <w:r>
        <w:t>The</w:t>
      </w:r>
      <w:r>
        <w:rPr>
          <w:spacing w:val="40"/>
        </w:rPr>
        <w:t xml:space="preserve"> </w:t>
      </w:r>
      <w:r>
        <w:t>Empiricist</w:t>
      </w:r>
      <w:r>
        <w:rPr>
          <w:spacing w:val="40"/>
        </w:rPr>
        <w:t xml:space="preserve"> </w:t>
      </w:r>
      <w:r>
        <w:t>Criterion</w:t>
      </w:r>
      <w:r>
        <w:rPr>
          <w:spacing w:val="40"/>
        </w:rPr>
        <w:t xml:space="preserve"> </w:t>
      </w:r>
      <w:r>
        <w:t>of</w:t>
      </w:r>
      <w:r>
        <w:rPr>
          <w:spacing w:val="40"/>
        </w:rPr>
        <w:t xml:space="preserve"> </w:t>
      </w:r>
      <w:r>
        <w:t>Meaning.</w:t>
      </w:r>
      <w:r>
        <w:rPr>
          <w:spacing w:val="40"/>
        </w:rPr>
        <w:t xml:space="preserve"> </w:t>
      </w:r>
      <w:r>
        <w:t>In</w:t>
      </w:r>
      <w:r>
        <w:rPr>
          <w:spacing w:val="40"/>
        </w:rPr>
        <w:t xml:space="preserve"> </w:t>
      </w:r>
      <w:r>
        <w:t>A.J.</w:t>
      </w:r>
      <w:r>
        <w:rPr>
          <w:spacing w:val="40"/>
        </w:rPr>
        <w:t xml:space="preserve"> </w:t>
      </w:r>
      <w:r>
        <w:t xml:space="preserve">Ayer (Ed.), </w:t>
      </w:r>
      <w:r>
        <w:rPr>
          <w:i/>
        </w:rPr>
        <w:t xml:space="preserve">Logical Positivsim, </w:t>
      </w:r>
      <w:r>
        <w:t>(pp. 108–129). New York: The Free Press.</w:t>
      </w:r>
    </w:p>
    <w:p w14:paraId="7E002EB8" w14:textId="77777777" w:rsidR="009A58DB" w:rsidRDefault="00000000">
      <w:pPr>
        <w:spacing w:before="48" w:line="249" w:lineRule="auto"/>
        <w:ind w:left="720" w:hanging="360"/>
        <w:rPr>
          <w:sz w:val="30"/>
        </w:rPr>
      </w:pPr>
      <w:r>
        <w:rPr>
          <w:sz w:val="30"/>
        </w:rPr>
        <w:t>Hempel,</w:t>
      </w:r>
      <w:r>
        <w:rPr>
          <w:spacing w:val="40"/>
          <w:sz w:val="30"/>
        </w:rPr>
        <w:t xml:space="preserve"> </w:t>
      </w:r>
      <w:r>
        <w:rPr>
          <w:sz w:val="30"/>
        </w:rPr>
        <w:t>Carl</w:t>
      </w:r>
      <w:r>
        <w:rPr>
          <w:spacing w:val="40"/>
          <w:sz w:val="30"/>
        </w:rPr>
        <w:t xml:space="preserve"> </w:t>
      </w:r>
      <w:r>
        <w:rPr>
          <w:sz w:val="30"/>
        </w:rPr>
        <w:t>G.</w:t>
      </w:r>
      <w:r>
        <w:rPr>
          <w:spacing w:val="40"/>
          <w:sz w:val="30"/>
        </w:rPr>
        <w:t xml:space="preserve"> </w:t>
      </w:r>
      <w:r>
        <w:rPr>
          <w:sz w:val="30"/>
        </w:rPr>
        <w:t>1952.</w:t>
      </w:r>
      <w:r>
        <w:rPr>
          <w:spacing w:val="40"/>
          <w:sz w:val="30"/>
        </w:rPr>
        <w:t xml:space="preserve"> </w:t>
      </w:r>
      <w:r>
        <w:rPr>
          <w:i/>
          <w:sz w:val="30"/>
        </w:rPr>
        <w:t>Fundamentals</w:t>
      </w:r>
      <w:r>
        <w:rPr>
          <w:i/>
          <w:spacing w:val="40"/>
          <w:sz w:val="30"/>
        </w:rPr>
        <w:t xml:space="preserve"> </w:t>
      </w:r>
      <w:r>
        <w:rPr>
          <w:i/>
          <w:sz w:val="30"/>
        </w:rPr>
        <w:t>of</w:t>
      </w:r>
      <w:r>
        <w:rPr>
          <w:i/>
          <w:spacing w:val="40"/>
          <w:sz w:val="30"/>
        </w:rPr>
        <w:t xml:space="preserve"> </w:t>
      </w:r>
      <w:r>
        <w:rPr>
          <w:i/>
          <w:sz w:val="30"/>
        </w:rPr>
        <w:t>Concept</w:t>
      </w:r>
      <w:r>
        <w:rPr>
          <w:i/>
          <w:spacing w:val="40"/>
          <w:sz w:val="30"/>
        </w:rPr>
        <w:t xml:space="preserve"> </w:t>
      </w:r>
      <w:r>
        <w:rPr>
          <w:i/>
          <w:sz w:val="30"/>
        </w:rPr>
        <w:t>Formation</w:t>
      </w:r>
      <w:r>
        <w:rPr>
          <w:i/>
          <w:spacing w:val="40"/>
          <w:sz w:val="30"/>
        </w:rPr>
        <w:t xml:space="preserve"> </w:t>
      </w:r>
      <w:r>
        <w:rPr>
          <w:i/>
          <w:sz w:val="30"/>
        </w:rPr>
        <w:t>in</w:t>
      </w:r>
      <w:r>
        <w:rPr>
          <w:i/>
          <w:spacing w:val="40"/>
          <w:sz w:val="30"/>
        </w:rPr>
        <w:t xml:space="preserve"> </w:t>
      </w:r>
      <w:r>
        <w:rPr>
          <w:i/>
          <w:sz w:val="30"/>
        </w:rPr>
        <w:t xml:space="preserve">Empirical Science. </w:t>
      </w:r>
      <w:r>
        <w:rPr>
          <w:sz w:val="30"/>
        </w:rPr>
        <w:t>Chicago: University of Chicago Press.</w:t>
      </w:r>
    </w:p>
    <w:p w14:paraId="7E002EB9" w14:textId="77777777" w:rsidR="009A58DB" w:rsidRDefault="00000000">
      <w:pPr>
        <w:spacing w:before="47" w:line="249" w:lineRule="auto"/>
        <w:ind w:left="720" w:right="1108" w:hanging="360"/>
        <w:rPr>
          <w:sz w:val="30"/>
        </w:rPr>
      </w:pPr>
      <w:r>
        <w:rPr>
          <w:sz w:val="30"/>
        </w:rPr>
        <w:t>Hempel,</w:t>
      </w:r>
      <w:r>
        <w:rPr>
          <w:spacing w:val="-4"/>
          <w:sz w:val="30"/>
        </w:rPr>
        <w:t xml:space="preserve"> </w:t>
      </w:r>
      <w:r>
        <w:rPr>
          <w:sz w:val="30"/>
        </w:rPr>
        <w:t>Carl</w:t>
      </w:r>
      <w:r>
        <w:rPr>
          <w:spacing w:val="-5"/>
          <w:sz w:val="30"/>
        </w:rPr>
        <w:t xml:space="preserve"> </w:t>
      </w:r>
      <w:r>
        <w:rPr>
          <w:sz w:val="30"/>
        </w:rPr>
        <w:t>G.</w:t>
      </w:r>
      <w:r>
        <w:rPr>
          <w:spacing w:val="-4"/>
          <w:sz w:val="30"/>
        </w:rPr>
        <w:t xml:space="preserve"> </w:t>
      </w:r>
      <w:r>
        <w:rPr>
          <w:sz w:val="30"/>
        </w:rPr>
        <w:t>1965.</w:t>
      </w:r>
      <w:r>
        <w:rPr>
          <w:spacing w:val="-4"/>
          <w:sz w:val="30"/>
        </w:rPr>
        <w:t xml:space="preserve"> </w:t>
      </w:r>
      <w:r>
        <w:rPr>
          <w:i/>
          <w:sz w:val="30"/>
        </w:rPr>
        <w:t>Aspects</w:t>
      </w:r>
      <w:r>
        <w:rPr>
          <w:i/>
          <w:spacing w:val="-2"/>
          <w:sz w:val="30"/>
        </w:rPr>
        <w:t xml:space="preserve"> </w:t>
      </w:r>
      <w:r>
        <w:rPr>
          <w:i/>
          <w:sz w:val="30"/>
        </w:rPr>
        <w:t>of</w:t>
      </w:r>
      <w:r>
        <w:rPr>
          <w:i/>
          <w:spacing w:val="-2"/>
          <w:sz w:val="30"/>
        </w:rPr>
        <w:t xml:space="preserve"> </w:t>
      </w:r>
      <w:r>
        <w:rPr>
          <w:i/>
          <w:sz w:val="30"/>
        </w:rPr>
        <w:t>Scientific</w:t>
      </w:r>
      <w:r>
        <w:rPr>
          <w:i/>
          <w:spacing w:val="-2"/>
          <w:sz w:val="30"/>
        </w:rPr>
        <w:t xml:space="preserve"> </w:t>
      </w:r>
      <w:r>
        <w:rPr>
          <w:i/>
          <w:sz w:val="30"/>
        </w:rPr>
        <w:t>Explanation.</w:t>
      </w:r>
      <w:r>
        <w:rPr>
          <w:i/>
          <w:spacing w:val="-2"/>
          <w:sz w:val="30"/>
        </w:rPr>
        <w:t xml:space="preserve"> </w:t>
      </w:r>
      <w:r>
        <w:rPr>
          <w:sz w:val="30"/>
        </w:rPr>
        <w:t>New</w:t>
      </w:r>
      <w:r>
        <w:rPr>
          <w:spacing w:val="-5"/>
          <w:sz w:val="30"/>
        </w:rPr>
        <w:t xml:space="preserve"> </w:t>
      </w:r>
      <w:r>
        <w:rPr>
          <w:sz w:val="30"/>
        </w:rPr>
        <w:t>York: The Free Press.</w:t>
      </w:r>
    </w:p>
    <w:p w14:paraId="7E002EBA" w14:textId="77777777" w:rsidR="009A58DB" w:rsidRDefault="00000000">
      <w:pPr>
        <w:spacing w:before="33" w:line="249" w:lineRule="auto"/>
        <w:ind w:left="720" w:right="1108" w:hanging="360"/>
        <w:rPr>
          <w:sz w:val="30"/>
        </w:rPr>
      </w:pPr>
      <w:r>
        <w:rPr>
          <w:sz w:val="30"/>
        </w:rPr>
        <w:t xml:space="preserve">Hempel, Carl G. 1966. </w:t>
      </w:r>
      <w:r>
        <w:rPr>
          <w:i/>
          <w:sz w:val="30"/>
        </w:rPr>
        <w:t xml:space="preserve">Philosophy of Natural Science. </w:t>
      </w:r>
      <w:r>
        <w:rPr>
          <w:sz w:val="30"/>
        </w:rPr>
        <w:t>Englewood</w:t>
      </w:r>
      <w:r>
        <w:rPr>
          <w:spacing w:val="40"/>
          <w:sz w:val="30"/>
        </w:rPr>
        <w:t xml:space="preserve"> </w:t>
      </w:r>
      <w:r>
        <w:rPr>
          <w:sz w:val="30"/>
        </w:rPr>
        <w:t>Cliffs: Prentice Hall.</w:t>
      </w:r>
    </w:p>
    <w:p w14:paraId="7E002EBB" w14:textId="77777777" w:rsidR="009A58DB" w:rsidRDefault="00000000">
      <w:pPr>
        <w:spacing w:before="47" w:line="249" w:lineRule="auto"/>
        <w:ind w:left="720" w:right="794" w:hanging="360"/>
        <w:rPr>
          <w:sz w:val="30"/>
        </w:rPr>
      </w:pPr>
      <w:r>
        <w:rPr>
          <w:sz w:val="30"/>
        </w:rPr>
        <w:t>Jackson,</w:t>
      </w:r>
      <w:r>
        <w:rPr>
          <w:spacing w:val="40"/>
          <w:sz w:val="30"/>
        </w:rPr>
        <w:t xml:space="preserve"> </w:t>
      </w:r>
      <w:r>
        <w:rPr>
          <w:sz w:val="30"/>
        </w:rPr>
        <w:t>Frank.</w:t>
      </w:r>
      <w:r>
        <w:rPr>
          <w:spacing w:val="40"/>
          <w:sz w:val="30"/>
        </w:rPr>
        <w:t xml:space="preserve"> </w:t>
      </w:r>
      <w:r>
        <w:rPr>
          <w:sz w:val="30"/>
        </w:rPr>
        <w:t>1998.</w:t>
      </w:r>
      <w:r>
        <w:rPr>
          <w:spacing w:val="40"/>
          <w:sz w:val="30"/>
        </w:rPr>
        <w:t xml:space="preserve"> </w:t>
      </w:r>
      <w:r>
        <w:rPr>
          <w:i/>
          <w:sz w:val="30"/>
        </w:rPr>
        <w:t>Mind,</w:t>
      </w:r>
      <w:r>
        <w:rPr>
          <w:i/>
          <w:spacing w:val="40"/>
          <w:sz w:val="30"/>
        </w:rPr>
        <w:t xml:space="preserve"> </w:t>
      </w:r>
      <w:r>
        <w:rPr>
          <w:i/>
          <w:sz w:val="30"/>
        </w:rPr>
        <w:t>Method,</w:t>
      </w:r>
      <w:r>
        <w:rPr>
          <w:i/>
          <w:spacing w:val="40"/>
          <w:sz w:val="30"/>
        </w:rPr>
        <w:t xml:space="preserve"> </w:t>
      </w:r>
      <w:r>
        <w:rPr>
          <w:i/>
          <w:sz w:val="30"/>
        </w:rPr>
        <w:t>and</w:t>
      </w:r>
      <w:r>
        <w:rPr>
          <w:i/>
          <w:spacing w:val="40"/>
          <w:sz w:val="30"/>
        </w:rPr>
        <w:t xml:space="preserve"> </w:t>
      </w:r>
      <w:r>
        <w:rPr>
          <w:i/>
          <w:sz w:val="30"/>
        </w:rPr>
        <w:t>Conditionals.</w:t>
      </w:r>
      <w:r>
        <w:rPr>
          <w:i/>
          <w:spacing w:val="40"/>
          <w:sz w:val="30"/>
        </w:rPr>
        <w:t xml:space="preserve"> </w:t>
      </w:r>
      <w:r>
        <w:rPr>
          <w:sz w:val="30"/>
        </w:rPr>
        <w:t xml:space="preserve">London: </w:t>
      </w:r>
      <w:r>
        <w:rPr>
          <w:spacing w:val="-2"/>
          <w:sz w:val="30"/>
        </w:rPr>
        <w:t>Routledge.</w:t>
      </w:r>
    </w:p>
    <w:p w14:paraId="7E002EBC" w14:textId="77777777" w:rsidR="009A58DB" w:rsidRDefault="00000000">
      <w:pPr>
        <w:pStyle w:val="BodyText"/>
        <w:spacing w:before="32" w:line="249" w:lineRule="auto"/>
        <w:ind w:left="720" w:right="369" w:hanging="360"/>
      </w:pPr>
      <w:r>
        <w:t xml:space="preserve">Jackson, Frank, &amp; Pettit, Philip. 2004a. Causation in the Philosophy of Mind. In F. Jackson, P. Pettit, and M. Smith (Eds.), </w:t>
      </w:r>
      <w:r>
        <w:rPr>
          <w:i/>
        </w:rPr>
        <w:t xml:space="preserve">Mind, Morality, and Explanation, </w:t>
      </w:r>
      <w:r>
        <w:t>(pp. 45–68). Oxford: Oxford University Press.</w:t>
      </w:r>
    </w:p>
    <w:p w14:paraId="7E002EBD" w14:textId="77777777" w:rsidR="009A58DB" w:rsidRDefault="00000000">
      <w:pPr>
        <w:pStyle w:val="BodyText"/>
        <w:spacing w:before="49" w:line="249" w:lineRule="auto"/>
        <w:ind w:left="720" w:right="365" w:hanging="360"/>
      </w:pPr>
      <w:r>
        <w:t xml:space="preserve">Jackson, Frank, &amp; Pettit, Philip. 2004b. Some content is narrow. In F. Jackson, P. Pettit, and M. Smith (Eds.), </w:t>
      </w:r>
      <w:r>
        <w:rPr>
          <w:i/>
        </w:rPr>
        <w:t xml:space="preserve">Mind, Morality, and Explanation, </w:t>
      </w:r>
      <w:r>
        <w:t>(pp. 69–94). Oxford: Oxford University Press.</w:t>
      </w:r>
    </w:p>
    <w:p w14:paraId="7E002EBE" w14:textId="77777777" w:rsidR="009A58DB" w:rsidRDefault="00000000">
      <w:pPr>
        <w:pStyle w:val="BodyText"/>
        <w:spacing w:before="49"/>
      </w:pPr>
      <w:r>
        <w:t>Jackson,</w:t>
      </w:r>
      <w:r>
        <w:rPr>
          <w:spacing w:val="4"/>
        </w:rPr>
        <w:t xml:space="preserve"> </w:t>
      </w:r>
      <w:r>
        <w:t>Frank,</w:t>
      </w:r>
      <w:r>
        <w:rPr>
          <w:spacing w:val="7"/>
        </w:rPr>
        <w:t xml:space="preserve"> </w:t>
      </w:r>
      <w:r>
        <w:t>&amp;</w:t>
      </w:r>
      <w:r>
        <w:rPr>
          <w:spacing w:val="6"/>
        </w:rPr>
        <w:t xml:space="preserve"> </w:t>
      </w:r>
      <w:r>
        <w:t>Pettit,</w:t>
      </w:r>
      <w:r>
        <w:rPr>
          <w:spacing w:val="7"/>
        </w:rPr>
        <w:t xml:space="preserve"> </w:t>
      </w:r>
      <w:r>
        <w:t>Philip.</w:t>
      </w:r>
      <w:r>
        <w:rPr>
          <w:spacing w:val="7"/>
        </w:rPr>
        <w:t xml:space="preserve"> </w:t>
      </w:r>
      <w:r>
        <w:t>2004c.</w:t>
      </w:r>
      <w:r>
        <w:rPr>
          <w:spacing w:val="6"/>
        </w:rPr>
        <w:t xml:space="preserve"> </w:t>
      </w:r>
      <w:r>
        <w:t>Functionalism</w:t>
      </w:r>
      <w:r>
        <w:rPr>
          <w:spacing w:val="7"/>
        </w:rPr>
        <w:t xml:space="preserve"> </w:t>
      </w:r>
      <w:r>
        <w:t>and</w:t>
      </w:r>
      <w:r>
        <w:rPr>
          <w:spacing w:val="6"/>
        </w:rPr>
        <w:t xml:space="preserve"> </w:t>
      </w:r>
      <w:r>
        <w:t>Broad</w:t>
      </w:r>
      <w:r>
        <w:rPr>
          <w:spacing w:val="7"/>
        </w:rPr>
        <w:t xml:space="preserve"> </w:t>
      </w:r>
      <w:r>
        <w:t>Content.</w:t>
      </w:r>
      <w:r>
        <w:rPr>
          <w:spacing w:val="7"/>
        </w:rPr>
        <w:t xml:space="preserve"> </w:t>
      </w:r>
      <w:r>
        <w:rPr>
          <w:spacing w:val="-5"/>
        </w:rPr>
        <w:t>In</w:t>
      </w:r>
    </w:p>
    <w:p w14:paraId="7E002EBF" w14:textId="77777777" w:rsidR="009A58DB" w:rsidRDefault="00000000">
      <w:pPr>
        <w:spacing w:before="15" w:line="249" w:lineRule="auto"/>
        <w:ind w:left="720" w:right="364"/>
        <w:jc w:val="both"/>
        <w:rPr>
          <w:sz w:val="30"/>
        </w:rPr>
      </w:pPr>
      <w:r>
        <w:rPr>
          <w:sz w:val="30"/>
        </w:rPr>
        <w:t xml:space="preserve">F. Jackson, P. Pettit, and M. Smith (Eds.), </w:t>
      </w:r>
      <w:r>
        <w:rPr>
          <w:i/>
          <w:sz w:val="30"/>
        </w:rPr>
        <w:t xml:space="preserve">Mind, Morality, and Explanation, </w:t>
      </w:r>
      <w:r>
        <w:rPr>
          <w:sz w:val="30"/>
        </w:rPr>
        <w:t>(pp. 95–118). Oxford: Oxford University Press.</w:t>
      </w:r>
    </w:p>
    <w:p w14:paraId="7E002EC0" w14:textId="77777777" w:rsidR="009A58DB" w:rsidRDefault="00000000">
      <w:pPr>
        <w:pStyle w:val="BodyText"/>
        <w:spacing w:before="2" w:line="249" w:lineRule="auto"/>
        <w:ind w:left="720" w:right="367" w:hanging="360"/>
      </w:pPr>
      <w:r>
        <w:t xml:space="preserve">Jackson, Frank, &amp; Pettit, Philip. 2004d. Program Explanation: A General Perspective. In F. Jackson, P. Pettit, and M. Smith (Eds.), </w:t>
      </w:r>
      <w:r>
        <w:rPr>
          <w:i/>
        </w:rPr>
        <w:t xml:space="preserve">Mind, Morality, and Explanation, </w:t>
      </w:r>
      <w:r>
        <w:t>(pp. 119–130). Oxford: Oxford University Press.</w:t>
      </w:r>
    </w:p>
    <w:p w14:paraId="7E002EC1" w14:textId="77777777" w:rsidR="009A58DB" w:rsidRDefault="00000000">
      <w:pPr>
        <w:spacing w:before="4" w:line="249" w:lineRule="auto"/>
        <w:ind w:left="720" w:right="359" w:hanging="360"/>
        <w:jc w:val="both"/>
        <w:rPr>
          <w:sz w:val="30"/>
        </w:rPr>
      </w:pPr>
      <w:r>
        <w:rPr>
          <w:sz w:val="30"/>
        </w:rPr>
        <w:t xml:space="preserve">Hershenov, David. 2002. </w:t>
      </w:r>
      <w:r>
        <w:rPr>
          <w:i/>
          <w:sz w:val="30"/>
        </w:rPr>
        <w:t xml:space="preserve">A Defense of the Biological Approach to Personal Identity. </w:t>
      </w:r>
      <w:r>
        <w:rPr>
          <w:sz w:val="30"/>
        </w:rPr>
        <w:t>Unpublished dissertation. Department of Philosophy, University of California at Santa Barbara.</w:t>
      </w:r>
    </w:p>
    <w:p w14:paraId="7E002EC2" w14:textId="77777777" w:rsidR="009A58DB" w:rsidRDefault="00000000">
      <w:pPr>
        <w:pStyle w:val="BodyText"/>
        <w:spacing w:before="4" w:line="249" w:lineRule="auto"/>
        <w:ind w:left="720" w:right="363" w:hanging="360"/>
      </w:pPr>
      <w:r>
        <w:t xml:space="preserve">Hershenov, David. 2005. Do Dead Bodies Pose a Problem for Biological Approaches to Personal Identity? </w:t>
      </w:r>
      <w:r>
        <w:rPr>
          <w:i/>
        </w:rPr>
        <w:t xml:space="preserve">Mind </w:t>
      </w:r>
      <w:r>
        <w:t>114, 31–59.</w:t>
      </w:r>
    </w:p>
    <w:p w14:paraId="7E002EC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EC4" w14:textId="77777777" w:rsidR="009A58DB" w:rsidRDefault="00000000">
      <w:pPr>
        <w:spacing w:before="65"/>
        <w:ind w:left="360"/>
        <w:jc w:val="both"/>
        <w:rPr>
          <w:sz w:val="30"/>
        </w:rPr>
      </w:pPr>
      <w:r>
        <w:rPr>
          <w:sz w:val="30"/>
        </w:rPr>
        <w:t>Hilbert,</w:t>
      </w:r>
      <w:r>
        <w:rPr>
          <w:spacing w:val="-6"/>
          <w:sz w:val="30"/>
        </w:rPr>
        <w:t xml:space="preserve"> </w:t>
      </w:r>
      <w:r>
        <w:rPr>
          <w:sz w:val="30"/>
        </w:rPr>
        <w:t>David.</w:t>
      </w:r>
      <w:r>
        <w:rPr>
          <w:spacing w:val="-3"/>
          <w:sz w:val="30"/>
        </w:rPr>
        <w:t xml:space="preserve"> </w:t>
      </w:r>
      <w:r>
        <w:rPr>
          <w:sz w:val="30"/>
        </w:rPr>
        <w:t>1999.</w:t>
      </w:r>
      <w:r>
        <w:rPr>
          <w:spacing w:val="-3"/>
          <w:sz w:val="30"/>
        </w:rPr>
        <w:t xml:space="preserve"> </w:t>
      </w:r>
      <w:r>
        <w:rPr>
          <w:i/>
          <w:sz w:val="30"/>
        </w:rPr>
        <w:t>Foundations</w:t>
      </w:r>
      <w:r>
        <w:rPr>
          <w:i/>
          <w:spacing w:val="-4"/>
          <w:sz w:val="30"/>
        </w:rPr>
        <w:t xml:space="preserve"> </w:t>
      </w:r>
      <w:r>
        <w:rPr>
          <w:i/>
          <w:sz w:val="30"/>
        </w:rPr>
        <w:t>of</w:t>
      </w:r>
      <w:r>
        <w:rPr>
          <w:i/>
          <w:spacing w:val="-4"/>
          <w:sz w:val="30"/>
        </w:rPr>
        <w:t xml:space="preserve"> </w:t>
      </w:r>
      <w:r>
        <w:rPr>
          <w:i/>
          <w:sz w:val="30"/>
        </w:rPr>
        <w:t>Geometry.</w:t>
      </w:r>
      <w:r>
        <w:rPr>
          <w:i/>
          <w:spacing w:val="-3"/>
          <w:sz w:val="30"/>
        </w:rPr>
        <w:t xml:space="preserve"> </w:t>
      </w:r>
      <w:r>
        <w:rPr>
          <w:sz w:val="30"/>
        </w:rPr>
        <w:t>Chicago:</w:t>
      </w:r>
      <w:r>
        <w:rPr>
          <w:spacing w:val="-4"/>
          <w:sz w:val="30"/>
        </w:rPr>
        <w:t xml:space="preserve"> </w:t>
      </w:r>
      <w:r>
        <w:rPr>
          <w:sz w:val="30"/>
        </w:rPr>
        <w:t>Open</w:t>
      </w:r>
      <w:r>
        <w:rPr>
          <w:spacing w:val="-3"/>
          <w:sz w:val="30"/>
        </w:rPr>
        <w:t xml:space="preserve"> </w:t>
      </w:r>
      <w:r>
        <w:rPr>
          <w:spacing w:val="-2"/>
          <w:sz w:val="30"/>
        </w:rPr>
        <w:t>Court.</w:t>
      </w:r>
    </w:p>
    <w:p w14:paraId="7E002EC5" w14:textId="77777777" w:rsidR="009A58DB" w:rsidRDefault="00000000">
      <w:pPr>
        <w:spacing w:before="60" w:line="249" w:lineRule="auto"/>
        <w:ind w:left="720" w:right="362" w:hanging="360"/>
        <w:jc w:val="both"/>
        <w:rPr>
          <w:sz w:val="30"/>
        </w:rPr>
      </w:pPr>
      <w:r>
        <w:rPr>
          <w:sz w:val="30"/>
        </w:rPr>
        <w:t xml:space="preserve">Horst, Stephen. 1996. </w:t>
      </w:r>
      <w:r>
        <w:rPr>
          <w:i/>
          <w:sz w:val="30"/>
        </w:rPr>
        <w:t xml:space="preserve">Symbols, Computation, and Intentionality. </w:t>
      </w:r>
      <w:r>
        <w:rPr>
          <w:sz w:val="30"/>
        </w:rPr>
        <w:t>Berkeley, CA: University of California Press.</w:t>
      </w:r>
    </w:p>
    <w:p w14:paraId="7E002EC6" w14:textId="77777777" w:rsidR="009A58DB" w:rsidRDefault="00000000">
      <w:pPr>
        <w:pStyle w:val="BodyText"/>
        <w:spacing w:before="32" w:line="249" w:lineRule="auto"/>
        <w:ind w:left="720" w:right="367" w:hanging="360"/>
      </w:pPr>
      <w:r>
        <w:t xml:space="preserve">Kaplan, David. 1968. Quantifying In. In A.P. Martinich (Ed.), </w:t>
      </w:r>
      <w:r>
        <w:rPr>
          <w:i/>
        </w:rPr>
        <w:t xml:space="preserve">The Philosophy of Language </w:t>
      </w:r>
      <w:r>
        <w:t xml:space="preserve">(pp. 362–391). New York: Oxford University </w:t>
      </w:r>
      <w:r>
        <w:rPr>
          <w:spacing w:val="-2"/>
        </w:rPr>
        <w:t>Press.</w:t>
      </w:r>
    </w:p>
    <w:p w14:paraId="7E002EC7" w14:textId="77777777" w:rsidR="009A58DB" w:rsidRDefault="00000000">
      <w:pPr>
        <w:pStyle w:val="BodyText"/>
        <w:spacing w:before="49" w:line="249" w:lineRule="auto"/>
        <w:ind w:left="720" w:right="371" w:hanging="360"/>
      </w:pPr>
      <w:r>
        <w:t xml:space="preserve">Kaplan, David. 1989a. Demonstratives. In J. Almog, et al. (Eds.), </w:t>
      </w:r>
      <w:r>
        <w:rPr>
          <w:i/>
        </w:rPr>
        <w:t xml:space="preserve">Themes from Kaplan </w:t>
      </w:r>
      <w:r>
        <w:t>(pp. 481–563). New York: Oxford University Press.</w:t>
      </w:r>
    </w:p>
    <w:p w14:paraId="7E002EC8" w14:textId="77777777" w:rsidR="009A58DB" w:rsidRDefault="00000000">
      <w:pPr>
        <w:pStyle w:val="BodyText"/>
        <w:spacing w:before="32" w:line="249" w:lineRule="auto"/>
        <w:ind w:left="720" w:right="364" w:hanging="360"/>
      </w:pPr>
      <w:r>
        <w:t xml:space="preserve">Kaplan, David. 1989b. Afterthoughts. In J. Almog, et al. (Eds.), </w:t>
      </w:r>
      <w:r>
        <w:rPr>
          <w:i/>
        </w:rPr>
        <w:t xml:space="preserve">Themes from Kaplan </w:t>
      </w:r>
      <w:r>
        <w:t>(pp. 565–614). New York: Oxford University Press.</w:t>
      </w:r>
    </w:p>
    <w:p w14:paraId="7E002EC9" w14:textId="77777777" w:rsidR="009A58DB" w:rsidRDefault="00000000">
      <w:pPr>
        <w:spacing w:before="48" w:line="280" w:lineRule="auto"/>
        <w:ind w:left="360" w:right="370"/>
        <w:jc w:val="both"/>
        <w:rPr>
          <w:i/>
          <w:sz w:val="30"/>
        </w:rPr>
      </w:pPr>
      <w:r>
        <w:rPr>
          <w:sz w:val="30"/>
        </w:rPr>
        <w:t xml:space="preserve">Katz, Jerrold. 1972. </w:t>
      </w:r>
      <w:r>
        <w:rPr>
          <w:i/>
          <w:sz w:val="30"/>
        </w:rPr>
        <w:t xml:space="preserve">Semantic Theory. </w:t>
      </w:r>
      <w:r>
        <w:rPr>
          <w:sz w:val="30"/>
        </w:rPr>
        <w:t>New York: Harper and Row.</w:t>
      </w:r>
      <w:r>
        <w:rPr>
          <w:spacing w:val="40"/>
          <w:sz w:val="30"/>
        </w:rPr>
        <w:t xml:space="preserve"> </w:t>
      </w:r>
      <w:r>
        <w:rPr>
          <w:sz w:val="30"/>
        </w:rPr>
        <w:t>Kernberg,</w:t>
      </w:r>
      <w:r>
        <w:rPr>
          <w:spacing w:val="9"/>
          <w:sz w:val="30"/>
        </w:rPr>
        <w:t xml:space="preserve"> </w:t>
      </w:r>
      <w:r>
        <w:rPr>
          <w:sz w:val="30"/>
        </w:rPr>
        <w:t>Otto.</w:t>
      </w:r>
      <w:r>
        <w:rPr>
          <w:spacing w:val="12"/>
          <w:sz w:val="30"/>
        </w:rPr>
        <w:t xml:space="preserve"> </w:t>
      </w:r>
      <w:r>
        <w:rPr>
          <w:sz w:val="30"/>
        </w:rPr>
        <w:t>1985.</w:t>
      </w:r>
      <w:r>
        <w:rPr>
          <w:spacing w:val="11"/>
          <w:sz w:val="30"/>
        </w:rPr>
        <w:t xml:space="preserve"> </w:t>
      </w:r>
      <w:r>
        <w:rPr>
          <w:i/>
          <w:sz w:val="30"/>
        </w:rPr>
        <w:t>Aggression</w:t>
      </w:r>
      <w:r>
        <w:rPr>
          <w:i/>
          <w:spacing w:val="14"/>
          <w:sz w:val="30"/>
        </w:rPr>
        <w:t xml:space="preserve"> </w:t>
      </w:r>
      <w:r>
        <w:rPr>
          <w:i/>
          <w:sz w:val="30"/>
        </w:rPr>
        <w:t>in</w:t>
      </w:r>
      <w:r>
        <w:rPr>
          <w:i/>
          <w:spacing w:val="14"/>
          <w:sz w:val="30"/>
        </w:rPr>
        <w:t xml:space="preserve"> </w:t>
      </w:r>
      <w:r>
        <w:rPr>
          <w:i/>
          <w:sz w:val="30"/>
        </w:rPr>
        <w:t>Personality</w:t>
      </w:r>
      <w:r>
        <w:rPr>
          <w:i/>
          <w:spacing w:val="15"/>
          <w:sz w:val="30"/>
        </w:rPr>
        <w:t xml:space="preserve"> </w:t>
      </w:r>
      <w:r>
        <w:rPr>
          <w:i/>
          <w:sz w:val="30"/>
        </w:rPr>
        <w:t>Disorders</w:t>
      </w:r>
      <w:r>
        <w:rPr>
          <w:i/>
          <w:spacing w:val="14"/>
          <w:sz w:val="30"/>
        </w:rPr>
        <w:t xml:space="preserve"> </w:t>
      </w:r>
      <w:r>
        <w:rPr>
          <w:i/>
          <w:sz w:val="30"/>
        </w:rPr>
        <w:t>and</w:t>
      </w:r>
      <w:r>
        <w:rPr>
          <w:i/>
          <w:spacing w:val="15"/>
          <w:sz w:val="30"/>
        </w:rPr>
        <w:t xml:space="preserve"> </w:t>
      </w:r>
      <w:r>
        <w:rPr>
          <w:i/>
          <w:spacing w:val="-2"/>
          <w:sz w:val="30"/>
        </w:rPr>
        <w:t>Perversions.</w:t>
      </w:r>
    </w:p>
    <w:p w14:paraId="7E002ECA" w14:textId="77777777" w:rsidR="009A58DB" w:rsidRDefault="00000000">
      <w:pPr>
        <w:pStyle w:val="BodyText"/>
        <w:spacing w:line="303" w:lineRule="exact"/>
        <w:ind w:left="720"/>
      </w:pPr>
      <w:r>
        <w:t>New</w:t>
      </w:r>
      <w:r>
        <w:rPr>
          <w:spacing w:val="-7"/>
        </w:rPr>
        <w:t xml:space="preserve"> </w:t>
      </w:r>
      <w:r>
        <w:t>Haven,</w:t>
      </w:r>
      <w:r>
        <w:rPr>
          <w:spacing w:val="-3"/>
        </w:rPr>
        <w:t xml:space="preserve"> </w:t>
      </w:r>
      <w:r>
        <w:t>CT:</w:t>
      </w:r>
      <w:r>
        <w:rPr>
          <w:spacing w:val="-5"/>
        </w:rPr>
        <w:t xml:space="preserve"> </w:t>
      </w:r>
      <w:r>
        <w:t>Yale</w:t>
      </w:r>
      <w:r>
        <w:rPr>
          <w:spacing w:val="-4"/>
        </w:rPr>
        <w:t xml:space="preserve"> </w:t>
      </w:r>
      <w:r>
        <w:t>University</w:t>
      </w:r>
      <w:r>
        <w:rPr>
          <w:spacing w:val="-3"/>
        </w:rPr>
        <w:t xml:space="preserve"> </w:t>
      </w:r>
      <w:r>
        <w:rPr>
          <w:spacing w:val="-2"/>
        </w:rPr>
        <w:t>Press.</w:t>
      </w:r>
    </w:p>
    <w:p w14:paraId="7E002ECB" w14:textId="77777777" w:rsidR="009A58DB" w:rsidRDefault="00000000">
      <w:pPr>
        <w:spacing w:before="45" w:line="249" w:lineRule="auto"/>
        <w:ind w:left="720" w:hanging="360"/>
        <w:rPr>
          <w:sz w:val="30"/>
        </w:rPr>
      </w:pPr>
      <w:r>
        <w:rPr>
          <w:sz w:val="30"/>
        </w:rPr>
        <w:t>Kernberg,</w:t>
      </w:r>
      <w:r>
        <w:rPr>
          <w:spacing w:val="-4"/>
          <w:sz w:val="30"/>
        </w:rPr>
        <w:t xml:space="preserve"> </w:t>
      </w:r>
      <w:r>
        <w:rPr>
          <w:sz w:val="30"/>
        </w:rPr>
        <w:t>Otto.</w:t>
      </w:r>
      <w:r>
        <w:rPr>
          <w:spacing w:val="-4"/>
          <w:sz w:val="30"/>
        </w:rPr>
        <w:t xml:space="preserve"> </w:t>
      </w:r>
      <w:r>
        <w:rPr>
          <w:sz w:val="30"/>
        </w:rPr>
        <w:t>1993.</w:t>
      </w:r>
      <w:r>
        <w:rPr>
          <w:spacing w:val="-4"/>
          <w:sz w:val="30"/>
        </w:rPr>
        <w:t xml:space="preserve"> </w:t>
      </w:r>
      <w:r>
        <w:rPr>
          <w:i/>
          <w:sz w:val="30"/>
        </w:rPr>
        <w:t>Severe</w:t>
      </w:r>
      <w:r>
        <w:rPr>
          <w:i/>
          <w:spacing w:val="-1"/>
          <w:sz w:val="30"/>
        </w:rPr>
        <w:t xml:space="preserve"> </w:t>
      </w:r>
      <w:r>
        <w:rPr>
          <w:i/>
          <w:sz w:val="30"/>
        </w:rPr>
        <w:t>Personality</w:t>
      </w:r>
      <w:r>
        <w:rPr>
          <w:i/>
          <w:spacing w:val="-1"/>
          <w:sz w:val="30"/>
        </w:rPr>
        <w:t xml:space="preserve"> </w:t>
      </w:r>
      <w:r>
        <w:rPr>
          <w:i/>
          <w:sz w:val="30"/>
        </w:rPr>
        <w:t xml:space="preserve">Disorders. </w:t>
      </w:r>
      <w:r>
        <w:rPr>
          <w:sz w:val="30"/>
        </w:rPr>
        <w:t>New</w:t>
      </w:r>
      <w:r>
        <w:rPr>
          <w:spacing w:val="-1"/>
          <w:sz w:val="30"/>
        </w:rPr>
        <w:t xml:space="preserve"> </w:t>
      </w:r>
      <w:r>
        <w:rPr>
          <w:sz w:val="30"/>
        </w:rPr>
        <w:t>Haven,</w:t>
      </w:r>
      <w:r>
        <w:rPr>
          <w:spacing w:val="-1"/>
          <w:sz w:val="30"/>
        </w:rPr>
        <w:t xml:space="preserve"> </w:t>
      </w:r>
      <w:r>
        <w:rPr>
          <w:sz w:val="30"/>
        </w:rPr>
        <w:t>CT:</w:t>
      </w:r>
      <w:r>
        <w:rPr>
          <w:spacing w:val="-1"/>
          <w:sz w:val="30"/>
        </w:rPr>
        <w:t xml:space="preserve"> </w:t>
      </w:r>
      <w:r>
        <w:rPr>
          <w:sz w:val="30"/>
        </w:rPr>
        <w:t>Yale University Press.</w:t>
      </w:r>
    </w:p>
    <w:p w14:paraId="7E002ECC" w14:textId="77777777" w:rsidR="009A58DB" w:rsidRDefault="00000000">
      <w:pPr>
        <w:tabs>
          <w:tab w:val="left" w:pos="1212"/>
          <w:tab w:val="left" w:pos="2582"/>
          <w:tab w:val="left" w:pos="3502"/>
          <w:tab w:val="left" w:pos="5496"/>
          <w:tab w:val="left" w:pos="6190"/>
          <w:tab w:val="left" w:pos="7144"/>
          <w:tab w:val="left" w:pos="8806"/>
        </w:tabs>
        <w:spacing w:before="2" w:line="249" w:lineRule="auto"/>
        <w:ind w:left="720" w:right="604" w:hanging="360"/>
        <w:rPr>
          <w:sz w:val="30"/>
        </w:rPr>
      </w:pPr>
      <w:r>
        <w:rPr>
          <w:spacing w:val="-4"/>
          <w:sz w:val="30"/>
        </w:rPr>
        <w:t>Kim,</w:t>
      </w:r>
      <w:r>
        <w:rPr>
          <w:sz w:val="30"/>
        </w:rPr>
        <w:tab/>
      </w:r>
      <w:r>
        <w:rPr>
          <w:spacing w:val="-2"/>
          <w:sz w:val="30"/>
        </w:rPr>
        <w:t>Jaegwon.</w:t>
      </w:r>
      <w:r>
        <w:rPr>
          <w:sz w:val="30"/>
        </w:rPr>
        <w:tab/>
      </w:r>
      <w:r>
        <w:rPr>
          <w:spacing w:val="-2"/>
          <w:sz w:val="30"/>
        </w:rPr>
        <w:t>1993.</w:t>
      </w:r>
      <w:r>
        <w:rPr>
          <w:sz w:val="30"/>
        </w:rPr>
        <w:tab/>
      </w:r>
      <w:r>
        <w:rPr>
          <w:i/>
          <w:spacing w:val="-2"/>
          <w:sz w:val="30"/>
        </w:rPr>
        <w:t>Supervenience</w:t>
      </w:r>
      <w:r>
        <w:rPr>
          <w:i/>
          <w:sz w:val="30"/>
        </w:rPr>
        <w:tab/>
      </w:r>
      <w:r>
        <w:rPr>
          <w:i/>
          <w:spacing w:val="-4"/>
          <w:sz w:val="30"/>
        </w:rPr>
        <w:t>and</w:t>
      </w:r>
      <w:r>
        <w:rPr>
          <w:i/>
          <w:sz w:val="30"/>
        </w:rPr>
        <w:tab/>
      </w:r>
      <w:r>
        <w:rPr>
          <w:i/>
          <w:spacing w:val="-2"/>
          <w:sz w:val="30"/>
        </w:rPr>
        <w:t>Mind.</w:t>
      </w:r>
      <w:r>
        <w:rPr>
          <w:i/>
          <w:sz w:val="30"/>
        </w:rPr>
        <w:tab/>
      </w:r>
      <w:r>
        <w:rPr>
          <w:spacing w:val="-2"/>
          <w:sz w:val="30"/>
        </w:rPr>
        <w:t>Cambridge,</w:t>
      </w:r>
      <w:r>
        <w:rPr>
          <w:sz w:val="30"/>
        </w:rPr>
        <w:tab/>
      </w:r>
      <w:r>
        <w:rPr>
          <w:spacing w:val="-2"/>
          <w:sz w:val="30"/>
        </w:rPr>
        <w:t xml:space="preserve">U.K.: </w:t>
      </w:r>
      <w:r>
        <w:rPr>
          <w:sz w:val="30"/>
        </w:rPr>
        <w:t>Cambridge University Press.</w:t>
      </w:r>
    </w:p>
    <w:p w14:paraId="7E002ECD" w14:textId="77777777" w:rsidR="009A58DB" w:rsidRDefault="00000000">
      <w:pPr>
        <w:pStyle w:val="BodyText"/>
        <w:spacing w:before="3"/>
        <w:jc w:val="left"/>
      </w:pPr>
      <w:r>
        <w:t>King,</w:t>
      </w:r>
      <w:r>
        <w:rPr>
          <w:spacing w:val="52"/>
        </w:rPr>
        <w:t xml:space="preserve"> </w:t>
      </w:r>
      <w:r>
        <w:t>Jeffrey</w:t>
      </w:r>
      <w:r>
        <w:rPr>
          <w:spacing w:val="55"/>
        </w:rPr>
        <w:t xml:space="preserve"> </w:t>
      </w:r>
      <w:r>
        <w:t>C.</w:t>
      </w:r>
      <w:r>
        <w:rPr>
          <w:spacing w:val="54"/>
        </w:rPr>
        <w:t xml:space="preserve"> </w:t>
      </w:r>
      <w:r>
        <w:t>1995.</w:t>
      </w:r>
      <w:r>
        <w:rPr>
          <w:spacing w:val="55"/>
        </w:rPr>
        <w:t xml:space="preserve"> </w:t>
      </w:r>
      <w:r>
        <w:t>Structured</w:t>
      </w:r>
      <w:r>
        <w:rPr>
          <w:spacing w:val="55"/>
        </w:rPr>
        <w:t xml:space="preserve"> </w:t>
      </w:r>
      <w:r>
        <w:t>Propositions</w:t>
      </w:r>
      <w:r>
        <w:rPr>
          <w:spacing w:val="54"/>
        </w:rPr>
        <w:t xml:space="preserve"> </w:t>
      </w:r>
      <w:r>
        <w:t>and</w:t>
      </w:r>
      <w:r>
        <w:rPr>
          <w:spacing w:val="55"/>
        </w:rPr>
        <w:t xml:space="preserve"> </w:t>
      </w:r>
      <w:r>
        <w:t>Complex</w:t>
      </w:r>
      <w:r>
        <w:rPr>
          <w:spacing w:val="55"/>
        </w:rPr>
        <w:t xml:space="preserve"> </w:t>
      </w:r>
      <w:r>
        <w:rPr>
          <w:spacing w:val="-2"/>
        </w:rPr>
        <w:t>Predicates,</w:t>
      </w:r>
    </w:p>
    <w:p w14:paraId="7E002ECE" w14:textId="77777777" w:rsidR="009A58DB" w:rsidRDefault="00000000">
      <w:pPr>
        <w:spacing w:before="15"/>
        <w:ind w:left="720"/>
        <w:rPr>
          <w:sz w:val="30"/>
        </w:rPr>
      </w:pPr>
      <w:r>
        <w:rPr>
          <w:i/>
          <w:sz w:val="30"/>
        </w:rPr>
        <w:t>Nous,</w:t>
      </w:r>
      <w:r>
        <w:rPr>
          <w:i/>
          <w:spacing w:val="-2"/>
          <w:sz w:val="30"/>
        </w:rPr>
        <w:t xml:space="preserve"> </w:t>
      </w:r>
      <w:r>
        <w:rPr>
          <w:sz w:val="30"/>
        </w:rPr>
        <w:t>29(4),</w:t>
      </w:r>
      <w:r>
        <w:rPr>
          <w:spacing w:val="-2"/>
          <w:sz w:val="30"/>
        </w:rPr>
        <w:t xml:space="preserve"> </w:t>
      </w:r>
      <w:r>
        <w:rPr>
          <w:sz w:val="30"/>
        </w:rPr>
        <w:t>516–</w:t>
      </w:r>
      <w:r>
        <w:rPr>
          <w:spacing w:val="-4"/>
          <w:sz w:val="30"/>
        </w:rPr>
        <w:t>535.</w:t>
      </w:r>
    </w:p>
    <w:p w14:paraId="7E002ECF" w14:textId="77777777" w:rsidR="009A58DB" w:rsidRDefault="00000000">
      <w:pPr>
        <w:pStyle w:val="BodyText"/>
        <w:spacing w:before="15"/>
        <w:jc w:val="left"/>
      </w:pPr>
      <w:r>
        <w:t>King,</w:t>
      </w:r>
      <w:r>
        <w:rPr>
          <w:spacing w:val="63"/>
          <w:w w:val="150"/>
        </w:rPr>
        <w:t xml:space="preserve"> </w:t>
      </w:r>
      <w:r>
        <w:t>Jeffrey</w:t>
      </w:r>
      <w:r>
        <w:rPr>
          <w:spacing w:val="65"/>
          <w:w w:val="150"/>
        </w:rPr>
        <w:t xml:space="preserve"> </w:t>
      </w:r>
      <w:r>
        <w:t>C.</w:t>
      </w:r>
      <w:r>
        <w:rPr>
          <w:spacing w:val="65"/>
          <w:w w:val="150"/>
        </w:rPr>
        <w:t xml:space="preserve"> </w:t>
      </w:r>
      <w:r>
        <w:t>1996.</w:t>
      </w:r>
      <w:r>
        <w:rPr>
          <w:spacing w:val="65"/>
          <w:w w:val="150"/>
        </w:rPr>
        <w:t xml:space="preserve"> </w:t>
      </w:r>
      <w:r>
        <w:t>Structured</w:t>
      </w:r>
      <w:r>
        <w:rPr>
          <w:spacing w:val="65"/>
          <w:w w:val="150"/>
        </w:rPr>
        <w:t xml:space="preserve"> </w:t>
      </w:r>
      <w:r>
        <w:t>Propositions</w:t>
      </w:r>
      <w:r>
        <w:rPr>
          <w:spacing w:val="65"/>
          <w:w w:val="150"/>
        </w:rPr>
        <w:t xml:space="preserve"> </w:t>
      </w:r>
      <w:r>
        <w:t>and</w:t>
      </w:r>
      <w:r>
        <w:rPr>
          <w:spacing w:val="65"/>
          <w:w w:val="150"/>
        </w:rPr>
        <w:t xml:space="preserve"> </w:t>
      </w:r>
      <w:r>
        <w:t>Sentence</w:t>
      </w:r>
      <w:r>
        <w:rPr>
          <w:spacing w:val="65"/>
          <w:w w:val="150"/>
        </w:rPr>
        <w:t xml:space="preserve"> </w:t>
      </w:r>
      <w:r>
        <w:rPr>
          <w:spacing w:val="-2"/>
        </w:rPr>
        <w:t>Structure,</w:t>
      </w:r>
    </w:p>
    <w:p w14:paraId="7E002ED0" w14:textId="77777777" w:rsidR="009A58DB" w:rsidRDefault="00000000">
      <w:pPr>
        <w:spacing w:before="15"/>
        <w:ind w:left="360"/>
        <w:rPr>
          <w:sz w:val="30"/>
        </w:rPr>
      </w:pPr>
      <w:r>
        <w:rPr>
          <w:i/>
          <w:sz w:val="30"/>
        </w:rPr>
        <w:t>Journal</w:t>
      </w:r>
      <w:r>
        <w:rPr>
          <w:i/>
          <w:spacing w:val="-6"/>
          <w:sz w:val="30"/>
        </w:rPr>
        <w:t xml:space="preserve"> </w:t>
      </w:r>
      <w:r>
        <w:rPr>
          <w:i/>
          <w:sz w:val="30"/>
        </w:rPr>
        <w:t>of</w:t>
      </w:r>
      <w:r>
        <w:rPr>
          <w:i/>
          <w:spacing w:val="-3"/>
          <w:sz w:val="30"/>
        </w:rPr>
        <w:t xml:space="preserve"> </w:t>
      </w:r>
      <w:r>
        <w:rPr>
          <w:i/>
          <w:sz w:val="30"/>
        </w:rPr>
        <w:t>Philosophical</w:t>
      </w:r>
      <w:r>
        <w:rPr>
          <w:i/>
          <w:spacing w:val="-3"/>
          <w:sz w:val="30"/>
        </w:rPr>
        <w:t xml:space="preserve"> </w:t>
      </w:r>
      <w:r>
        <w:rPr>
          <w:i/>
          <w:sz w:val="30"/>
        </w:rPr>
        <w:t>Logic,</w:t>
      </w:r>
      <w:r>
        <w:rPr>
          <w:i/>
          <w:spacing w:val="-2"/>
          <w:sz w:val="30"/>
        </w:rPr>
        <w:t xml:space="preserve"> </w:t>
      </w:r>
      <w:r>
        <w:rPr>
          <w:sz w:val="30"/>
        </w:rPr>
        <w:t>25:</w:t>
      </w:r>
      <w:r>
        <w:rPr>
          <w:spacing w:val="-3"/>
          <w:sz w:val="30"/>
        </w:rPr>
        <w:t xml:space="preserve"> </w:t>
      </w:r>
      <w:r>
        <w:rPr>
          <w:sz w:val="30"/>
        </w:rPr>
        <w:t>495–</w:t>
      </w:r>
      <w:r>
        <w:rPr>
          <w:spacing w:val="-4"/>
          <w:sz w:val="30"/>
        </w:rPr>
        <w:t>521.</w:t>
      </w:r>
    </w:p>
    <w:p w14:paraId="7E002ED1" w14:textId="77777777" w:rsidR="009A58DB" w:rsidRDefault="00000000">
      <w:pPr>
        <w:pStyle w:val="BodyText"/>
        <w:spacing w:before="60" w:line="249" w:lineRule="auto"/>
        <w:ind w:left="720" w:right="365" w:hanging="360"/>
      </w:pPr>
      <w:r>
        <w:t>Kripke,</w:t>
      </w:r>
      <w:r>
        <w:rPr>
          <w:spacing w:val="-4"/>
        </w:rPr>
        <w:t xml:space="preserve"> </w:t>
      </w:r>
      <w:r>
        <w:t>Saul.</w:t>
      </w:r>
      <w:r>
        <w:rPr>
          <w:spacing w:val="-4"/>
        </w:rPr>
        <w:t xml:space="preserve"> </w:t>
      </w:r>
      <w:r>
        <w:t>1979.</w:t>
      </w:r>
      <w:r>
        <w:rPr>
          <w:spacing w:val="-4"/>
        </w:rPr>
        <w:t xml:space="preserve"> </w:t>
      </w:r>
      <w:r>
        <w:t>A</w:t>
      </w:r>
      <w:r>
        <w:rPr>
          <w:spacing w:val="-5"/>
        </w:rPr>
        <w:t xml:space="preserve"> </w:t>
      </w:r>
      <w:r>
        <w:t>Puzzle</w:t>
      </w:r>
      <w:r>
        <w:rPr>
          <w:spacing w:val="-5"/>
        </w:rPr>
        <w:t xml:space="preserve"> </w:t>
      </w:r>
      <w:r>
        <w:t>about</w:t>
      </w:r>
      <w:r>
        <w:rPr>
          <w:spacing w:val="-5"/>
        </w:rPr>
        <w:t xml:space="preserve"> </w:t>
      </w:r>
      <w:r>
        <w:t>Belief.</w:t>
      </w:r>
      <w:r>
        <w:rPr>
          <w:spacing w:val="-4"/>
        </w:rPr>
        <w:t xml:space="preserve"> </w:t>
      </w:r>
      <w:r>
        <w:t>In</w:t>
      </w:r>
      <w:r>
        <w:rPr>
          <w:spacing w:val="-4"/>
        </w:rPr>
        <w:t xml:space="preserve"> </w:t>
      </w:r>
      <w:r>
        <w:t>A.</w:t>
      </w:r>
      <w:r>
        <w:rPr>
          <w:spacing w:val="-4"/>
        </w:rPr>
        <w:t xml:space="preserve"> </w:t>
      </w:r>
      <w:r>
        <w:t>Margalit</w:t>
      </w:r>
      <w:r>
        <w:rPr>
          <w:spacing w:val="-5"/>
        </w:rPr>
        <w:t xml:space="preserve"> </w:t>
      </w:r>
      <w:r>
        <w:t>(Ed.),</w:t>
      </w:r>
      <w:r>
        <w:rPr>
          <w:spacing w:val="-4"/>
        </w:rPr>
        <w:t xml:space="preserve"> </w:t>
      </w:r>
      <w:r>
        <w:rPr>
          <w:i/>
        </w:rPr>
        <w:t>Meaning</w:t>
      </w:r>
      <w:r>
        <w:rPr>
          <w:i/>
          <w:spacing w:val="-4"/>
        </w:rPr>
        <w:t xml:space="preserve"> </w:t>
      </w:r>
      <w:r>
        <w:rPr>
          <w:i/>
        </w:rPr>
        <w:t xml:space="preserve">and Use. </w:t>
      </w:r>
      <w:r>
        <w:t>Dordrecht: D. Reidel.</w:t>
      </w:r>
    </w:p>
    <w:p w14:paraId="7E002ED2" w14:textId="77777777" w:rsidR="009A58DB" w:rsidRDefault="00000000">
      <w:pPr>
        <w:spacing w:before="32" w:line="249" w:lineRule="auto"/>
        <w:ind w:left="720" w:right="358" w:hanging="360"/>
        <w:jc w:val="both"/>
        <w:rPr>
          <w:sz w:val="30"/>
        </w:rPr>
      </w:pPr>
      <w:r>
        <w:rPr>
          <w:sz w:val="30"/>
        </w:rPr>
        <w:t xml:space="preserve">Kripke, Saul. 1980. </w:t>
      </w:r>
      <w:r>
        <w:rPr>
          <w:i/>
          <w:sz w:val="30"/>
        </w:rPr>
        <w:t xml:space="preserve">Naming and Necessity. </w:t>
      </w:r>
      <w:r>
        <w:rPr>
          <w:sz w:val="30"/>
        </w:rPr>
        <w:t>Cambridge, MA: Harvard University Press.</w:t>
      </w:r>
    </w:p>
    <w:p w14:paraId="7E002ED3" w14:textId="77777777" w:rsidR="009A58DB" w:rsidRDefault="00000000">
      <w:pPr>
        <w:spacing w:before="48" w:line="249" w:lineRule="auto"/>
        <w:ind w:left="720" w:right="372" w:hanging="360"/>
        <w:jc w:val="both"/>
        <w:rPr>
          <w:sz w:val="30"/>
        </w:rPr>
      </w:pPr>
      <w:r>
        <w:rPr>
          <w:sz w:val="30"/>
        </w:rPr>
        <w:t>Kripke,</w:t>
      </w:r>
      <w:r>
        <w:rPr>
          <w:spacing w:val="-5"/>
          <w:sz w:val="30"/>
        </w:rPr>
        <w:t xml:space="preserve"> </w:t>
      </w:r>
      <w:r>
        <w:rPr>
          <w:sz w:val="30"/>
        </w:rPr>
        <w:t>Saul.</w:t>
      </w:r>
      <w:r>
        <w:rPr>
          <w:spacing w:val="-5"/>
          <w:sz w:val="30"/>
        </w:rPr>
        <w:t xml:space="preserve"> </w:t>
      </w:r>
      <w:r>
        <w:rPr>
          <w:sz w:val="30"/>
        </w:rPr>
        <w:t>1982.</w:t>
      </w:r>
      <w:r>
        <w:rPr>
          <w:spacing w:val="-5"/>
          <w:sz w:val="30"/>
        </w:rPr>
        <w:t xml:space="preserve"> </w:t>
      </w:r>
      <w:r>
        <w:rPr>
          <w:i/>
          <w:sz w:val="30"/>
        </w:rPr>
        <w:t>Wittgenstein</w:t>
      </w:r>
      <w:r>
        <w:rPr>
          <w:i/>
          <w:spacing w:val="-5"/>
          <w:sz w:val="30"/>
        </w:rPr>
        <w:t xml:space="preserve"> </w:t>
      </w:r>
      <w:r>
        <w:rPr>
          <w:i/>
          <w:sz w:val="30"/>
        </w:rPr>
        <w:t>on</w:t>
      </w:r>
      <w:r>
        <w:rPr>
          <w:i/>
          <w:spacing w:val="-5"/>
          <w:sz w:val="30"/>
        </w:rPr>
        <w:t xml:space="preserve"> </w:t>
      </w:r>
      <w:r>
        <w:rPr>
          <w:i/>
          <w:sz w:val="30"/>
        </w:rPr>
        <w:t>Rules</w:t>
      </w:r>
      <w:r>
        <w:rPr>
          <w:i/>
          <w:spacing w:val="-6"/>
          <w:sz w:val="30"/>
        </w:rPr>
        <w:t xml:space="preserve"> </w:t>
      </w:r>
      <w:r>
        <w:rPr>
          <w:i/>
          <w:sz w:val="30"/>
        </w:rPr>
        <w:t>and</w:t>
      </w:r>
      <w:r>
        <w:rPr>
          <w:i/>
          <w:spacing w:val="-5"/>
          <w:sz w:val="30"/>
        </w:rPr>
        <w:t xml:space="preserve"> </w:t>
      </w:r>
      <w:r>
        <w:rPr>
          <w:i/>
          <w:sz w:val="30"/>
        </w:rPr>
        <w:t>Private</w:t>
      </w:r>
      <w:r>
        <w:rPr>
          <w:i/>
          <w:spacing w:val="-6"/>
          <w:sz w:val="30"/>
        </w:rPr>
        <w:t xml:space="preserve"> </w:t>
      </w:r>
      <w:r>
        <w:rPr>
          <w:i/>
          <w:sz w:val="30"/>
        </w:rPr>
        <w:t>Language.</w:t>
      </w:r>
      <w:r>
        <w:rPr>
          <w:i/>
          <w:spacing w:val="-5"/>
          <w:sz w:val="30"/>
        </w:rPr>
        <w:t xml:space="preserve"> </w:t>
      </w:r>
      <w:r>
        <w:rPr>
          <w:sz w:val="30"/>
        </w:rPr>
        <w:t>Cambridge, MA: Harvard University Press.</w:t>
      </w:r>
    </w:p>
    <w:p w14:paraId="7E002ED4" w14:textId="77777777" w:rsidR="009A58DB" w:rsidRDefault="00000000">
      <w:pPr>
        <w:spacing w:before="47" w:line="249" w:lineRule="auto"/>
        <w:ind w:left="720" w:right="358" w:hanging="360"/>
        <w:jc w:val="both"/>
        <w:rPr>
          <w:sz w:val="30"/>
        </w:rPr>
      </w:pPr>
      <w:r>
        <w:rPr>
          <w:sz w:val="30"/>
        </w:rPr>
        <w:t>Kuczynski,</w:t>
      </w:r>
      <w:r>
        <w:rPr>
          <w:spacing w:val="-6"/>
          <w:sz w:val="30"/>
        </w:rPr>
        <w:t xml:space="preserve"> </w:t>
      </w:r>
      <w:r>
        <w:rPr>
          <w:sz w:val="30"/>
        </w:rPr>
        <w:t>John-Michael.</w:t>
      </w:r>
      <w:r>
        <w:rPr>
          <w:spacing w:val="-6"/>
          <w:sz w:val="30"/>
        </w:rPr>
        <w:t xml:space="preserve"> </w:t>
      </w:r>
      <w:r>
        <w:rPr>
          <w:sz w:val="30"/>
        </w:rPr>
        <w:t>2007.</w:t>
      </w:r>
      <w:r>
        <w:rPr>
          <w:spacing w:val="-6"/>
          <w:sz w:val="30"/>
        </w:rPr>
        <w:t xml:space="preserve"> </w:t>
      </w:r>
      <w:r>
        <w:rPr>
          <w:i/>
          <w:sz w:val="30"/>
        </w:rPr>
        <w:t xml:space="preserve">Conceptual Atomism and the Computational Theory of Mind: a defense of content-internalism and semantic externalism. </w:t>
      </w:r>
      <w:r>
        <w:rPr>
          <w:sz w:val="30"/>
        </w:rPr>
        <w:t>Amsterdam: John Benjamins.</w:t>
      </w:r>
    </w:p>
    <w:p w14:paraId="7E002ED5" w14:textId="77777777" w:rsidR="009A58DB" w:rsidRDefault="00000000">
      <w:pPr>
        <w:pStyle w:val="BodyText"/>
        <w:spacing w:before="34" w:line="249" w:lineRule="auto"/>
        <w:ind w:left="720" w:right="357" w:hanging="360"/>
      </w:pPr>
      <w:r>
        <w:t xml:space="preserve">Kuczynski, John-Michael. 2006a, “Does Possible World Semantics Turn all Propositions into Necessary ones?” </w:t>
      </w:r>
      <w:r>
        <w:rPr>
          <w:i/>
        </w:rPr>
        <w:t xml:space="preserve">Journal of Pragmatics, </w:t>
      </w:r>
      <w:r>
        <w:t>39, (5): 872–</w:t>
      </w:r>
      <w:r>
        <w:rPr>
          <w:spacing w:val="-4"/>
        </w:rPr>
        <w:t>916.</w:t>
      </w:r>
    </w:p>
    <w:p w14:paraId="7E002ED6" w14:textId="77777777" w:rsidR="009A58DB" w:rsidRDefault="00000000">
      <w:pPr>
        <w:pStyle w:val="BodyText"/>
        <w:spacing w:before="4"/>
      </w:pPr>
      <w:r>
        <w:t>Kuczynski,</w:t>
      </w:r>
      <w:r>
        <w:rPr>
          <w:spacing w:val="40"/>
        </w:rPr>
        <w:t xml:space="preserve"> </w:t>
      </w:r>
      <w:r>
        <w:t>John-Michael.</w:t>
      </w:r>
      <w:r>
        <w:rPr>
          <w:spacing w:val="42"/>
        </w:rPr>
        <w:t xml:space="preserve"> </w:t>
      </w:r>
      <w:r>
        <w:t>2006b.</w:t>
      </w:r>
      <w:r>
        <w:rPr>
          <w:spacing w:val="42"/>
        </w:rPr>
        <w:t xml:space="preserve"> </w:t>
      </w:r>
      <w:r>
        <w:t>Two</w:t>
      </w:r>
      <w:r>
        <w:rPr>
          <w:spacing w:val="43"/>
        </w:rPr>
        <w:t xml:space="preserve"> </w:t>
      </w:r>
      <w:r>
        <w:t>Concepts</w:t>
      </w:r>
      <w:r>
        <w:rPr>
          <w:spacing w:val="42"/>
        </w:rPr>
        <w:t xml:space="preserve"> </w:t>
      </w:r>
      <w:r>
        <w:t>of</w:t>
      </w:r>
      <w:r>
        <w:rPr>
          <w:spacing w:val="42"/>
        </w:rPr>
        <w:t xml:space="preserve"> </w:t>
      </w:r>
      <w:r>
        <w:t>Sentential</w:t>
      </w:r>
      <w:r>
        <w:rPr>
          <w:spacing w:val="42"/>
        </w:rPr>
        <w:t xml:space="preserve"> </w:t>
      </w:r>
      <w:r>
        <w:t>“Form”</w:t>
      </w:r>
      <w:r>
        <w:rPr>
          <w:spacing w:val="43"/>
        </w:rPr>
        <w:t xml:space="preserve"> </w:t>
      </w:r>
      <w:r>
        <w:rPr>
          <w:spacing w:val="-5"/>
        </w:rPr>
        <w:t>and</w:t>
      </w:r>
    </w:p>
    <w:p w14:paraId="7E002ED7" w14:textId="77777777" w:rsidR="009A58DB" w:rsidRDefault="009A58DB">
      <w:pPr>
        <w:pStyle w:val="BodyText"/>
        <w:sectPr w:rsidR="009A58DB">
          <w:pgSz w:w="12240" w:h="15840"/>
          <w:pgMar w:top="1380" w:right="1080" w:bottom="280" w:left="1080" w:header="720" w:footer="720" w:gutter="0"/>
          <w:cols w:space="720"/>
        </w:sectPr>
      </w:pPr>
    </w:p>
    <w:p w14:paraId="7E002ED8" w14:textId="77777777" w:rsidR="009A58DB" w:rsidRDefault="00000000">
      <w:pPr>
        <w:spacing w:before="63"/>
        <w:ind w:left="720"/>
        <w:jc w:val="both"/>
        <w:rPr>
          <w:i/>
          <w:sz w:val="30"/>
        </w:rPr>
      </w:pPr>
      <w:r>
        <w:rPr>
          <w:sz w:val="30"/>
        </w:rPr>
        <w:t>the</w:t>
      </w:r>
      <w:r>
        <w:rPr>
          <w:spacing w:val="26"/>
          <w:sz w:val="30"/>
        </w:rPr>
        <w:t xml:space="preserve"> </w:t>
      </w:r>
      <w:r>
        <w:rPr>
          <w:sz w:val="30"/>
        </w:rPr>
        <w:t>So-called</w:t>
      </w:r>
      <w:r>
        <w:rPr>
          <w:spacing w:val="28"/>
          <w:sz w:val="30"/>
        </w:rPr>
        <w:t xml:space="preserve"> </w:t>
      </w:r>
      <w:r>
        <w:rPr>
          <w:sz w:val="30"/>
        </w:rPr>
        <w:t>Computational</w:t>
      </w:r>
      <w:r>
        <w:rPr>
          <w:spacing w:val="28"/>
          <w:sz w:val="30"/>
        </w:rPr>
        <w:t xml:space="preserve"> </w:t>
      </w:r>
      <w:r>
        <w:rPr>
          <w:sz w:val="30"/>
        </w:rPr>
        <w:t>Theory</w:t>
      </w:r>
      <w:r>
        <w:rPr>
          <w:spacing w:val="29"/>
          <w:sz w:val="30"/>
        </w:rPr>
        <w:t xml:space="preserve"> </w:t>
      </w:r>
      <w:r>
        <w:rPr>
          <w:sz w:val="30"/>
        </w:rPr>
        <w:t>of</w:t>
      </w:r>
      <w:r>
        <w:rPr>
          <w:spacing w:val="28"/>
          <w:sz w:val="30"/>
        </w:rPr>
        <w:t xml:space="preserve"> </w:t>
      </w:r>
      <w:r>
        <w:rPr>
          <w:sz w:val="30"/>
        </w:rPr>
        <w:t>Mind.</w:t>
      </w:r>
      <w:r>
        <w:rPr>
          <w:spacing w:val="28"/>
          <w:sz w:val="30"/>
        </w:rPr>
        <w:t xml:space="preserve"> </w:t>
      </w:r>
      <w:r>
        <w:rPr>
          <w:i/>
          <w:sz w:val="30"/>
        </w:rPr>
        <w:t>Philosophical</w:t>
      </w:r>
      <w:r>
        <w:rPr>
          <w:i/>
          <w:spacing w:val="26"/>
          <w:sz w:val="30"/>
        </w:rPr>
        <w:t xml:space="preserve"> </w:t>
      </w:r>
      <w:r>
        <w:rPr>
          <w:i/>
          <w:spacing w:val="-2"/>
          <w:sz w:val="30"/>
        </w:rPr>
        <w:t>Psychology,</w:t>
      </w:r>
    </w:p>
    <w:p w14:paraId="7E002ED9" w14:textId="77777777" w:rsidR="009A58DB" w:rsidRDefault="00000000">
      <w:pPr>
        <w:pStyle w:val="BodyText"/>
        <w:spacing w:before="15"/>
        <w:ind w:left="720"/>
      </w:pPr>
      <w:r>
        <w:t>19,</w:t>
      </w:r>
      <w:r>
        <w:rPr>
          <w:spacing w:val="-1"/>
        </w:rPr>
        <w:t xml:space="preserve"> </w:t>
      </w:r>
      <w:r>
        <w:t>(6):</w:t>
      </w:r>
      <w:r>
        <w:rPr>
          <w:spacing w:val="-2"/>
        </w:rPr>
        <w:t xml:space="preserve"> </w:t>
      </w:r>
      <w:r>
        <w:t>1–</w:t>
      </w:r>
      <w:r>
        <w:rPr>
          <w:spacing w:val="-5"/>
        </w:rPr>
        <w:t>27.</w:t>
      </w:r>
    </w:p>
    <w:p w14:paraId="7E002EDA" w14:textId="77777777" w:rsidR="009A58DB" w:rsidRDefault="00000000">
      <w:pPr>
        <w:pStyle w:val="BodyText"/>
        <w:spacing w:before="62"/>
      </w:pPr>
      <w:r>
        <w:t>Kuczynski,</w:t>
      </w:r>
      <w:r>
        <w:rPr>
          <w:spacing w:val="-3"/>
        </w:rPr>
        <w:t xml:space="preserve"> </w:t>
      </w:r>
      <w:r>
        <w:t>John-Michael.</w:t>
      </w:r>
      <w:r>
        <w:rPr>
          <w:spacing w:val="-3"/>
        </w:rPr>
        <w:t xml:space="preserve"> </w:t>
      </w:r>
      <w:r>
        <w:t>2006c.</w:t>
      </w:r>
      <w:r>
        <w:rPr>
          <w:spacing w:val="-2"/>
        </w:rPr>
        <w:t xml:space="preserve"> </w:t>
      </w:r>
      <w:r>
        <w:t>Formal</w:t>
      </w:r>
      <w:r>
        <w:rPr>
          <w:spacing w:val="-4"/>
        </w:rPr>
        <w:t xml:space="preserve"> </w:t>
      </w:r>
      <w:r>
        <w:t>Operations</w:t>
      </w:r>
      <w:r>
        <w:rPr>
          <w:spacing w:val="-2"/>
        </w:rPr>
        <w:t xml:space="preserve"> </w:t>
      </w:r>
      <w:r>
        <w:t>and</w:t>
      </w:r>
      <w:r>
        <w:rPr>
          <w:spacing w:val="-3"/>
        </w:rPr>
        <w:t xml:space="preserve"> </w:t>
      </w:r>
      <w:r>
        <w:t>Simulated</w:t>
      </w:r>
      <w:r>
        <w:rPr>
          <w:spacing w:val="-2"/>
        </w:rPr>
        <w:t xml:space="preserve"> Thought.</w:t>
      </w:r>
    </w:p>
    <w:p w14:paraId="7E002EDB" w14:textId="77777777" w:rsidR="009A58DB" w:rsidRDefault="00000000">
      <w:pPr>
        <w:spacing w:before="15"/>
        <w:ind w:left="720"/>
        <w:jc w:val="both"/>
        <w:rPr>
          <w:sz w:val="30"/>
        </w:rPr>
      </w:pPr>
      <w:r>
        <w:rPr>
          <w:i/>
          <w:sz w:val="30"/>
        </w:rPr>
        <w:t>Philosophical</w:t>
      </w:r>
      <w:r>
        <w:rPr>
          <w:i/>
          <w:spacing w:val="-6"/>
          <w:sz w:val="30"/>
        </w:rPr>
        <w:t xml:space="preserve"> </w:t>
      </w:r>
      <w:r>
        <w:rPr>
          <w:i/>
          <w:sz w:val="30"/>
        </w:rPr>
        <w:t>Explorations,</w:t>
      </w:r>
      <w:r>
        <w:rPr>
          <w:i/>
          <w:spacing w:val="-5"/>
          <w:sz w:val="30"/>
        </w:rPr>
        <w:t xml:space="preserve"> </w:t>
      </w:r>
      <w:r>
        <w:rPr>
          <w:sz w:val="30"/>
        </w:rPr>
        <w:t>9(2),</w:t>
      </w:r>
      <w:r>
        <w:rPr>
          <w:spacing w:val="-5"/>
          <w:sz w:val="30"/>
        </w:rPr>
        <w:t xml:space="preserve"> </w:t>
      </w:r>
      <w:r>
        <w:rPr>
          <w:sz w:val="30"/>
        </w:rPr>
        <w:t>221–</w:t>
      </w:r>
      <w:r>
        <w:rPr>
          <w:spacing w:val="-4"/>
          <w:sz w:val="30"/>
        </w:rPr>
        <w:t>234.</w:t>
      </w:r>
    </w:p>
    <w:p w14:paraId="7E002EDC" w14:textId="77777777" w:rsidR="009A58DB" w:rsidRDefault="00000000">
      <w:pPr>
        <w:spacing w:before="45" w:line="249" w:lineRule="auto"/>
        <w:ind w:left="720" w:right="365" w:hanging="360"/>
        <w:jc w:val="both"/>
        <w:rPr>
          <w:sz w:val="30"/>
        </w:rPr>
      </w:pPr>
      <w:r>
        <w:rPr>
          <w:sz w:val="30"/>
        </w:rPr>
        <w:t xml:space="preserve">Kuczynski, John-Michael. 2006d. On Marga Reimer’s </w:t>
      </w:r>
      <w:r>
        <w:rPr>
          <w:i/>
          <w:sz w:val="30"/>
        </w:rPr>
        <w:t xml:space="preserve">Descriptions and Beyond. Pragmatics and Cognition, </w:t>
      </w:r>
      <w:r>
        <w:rPr>
          <w:sz w:val="30"/>
        </w:rPr>
        <w:t>14(1), 196–204.</w:t>
      </w:r>
    </w:p>
    <w:p w14:paraId="7E002EDD" w14:textId="77777777" w:rsidR="009A58DB" w:rsidRDefault="00000000">
      <w:pPr>
        <w:pStyle w:val="BodyText"/>
        <w:spacing w:before="47" w:line="249" w:lineRule="auto"/>
        <w:ind w:left="720" w:right="360" w:hanging="360"/>
      </w:pPr>
      <w:r>
        <w:t xml:space="preserve">Kuczynski, John-Michael. 2005. The Concept of a Symbol and the Vacuousness of the Symbolic Conception of Thought. </w:t>
      </w:r>
      <w:r>
        <w:rPr>
          <w:i/>
        </w:rPr>
        <w:t xml:space="preserve">Semiotica, </w:t>
      </w:r>
      <w:r>
        <w:t xml:space="preserve">154(4), </w:t>
      </w:r>
      <w:r>
        <w:rPr>
          <w:spacing w:val="-2"/>
        </w:rPr>
        <w:t>243–264.</w:t>
      </w:r>
    </w:p>
    <w:p w14:paraId="7E002EDE" w14:textId="77777777" w:rsidR="009A58DB" w:rsidRDefault="00000000">
      <w:pPr>
        <w:pStyle w:val="BodyText"/>
        <w:spacing w:before="34" w:line="249" w:lineRule="auto"/>
        <w:ind w:left="720" w:right="368" w:hanging="360"/>
      </w:pPr>
      <w:r>
        <w:t xml:space="preserve">Kuczynski, John-Michael. 2005b. Must one Know a Language to Grasp Propositions? </w:t>
      </w:r>
      <w:r>
        <w:rPr>
          <w:i/>
        </w:rPr>
        <w:t xml:space="preserve">Teorema, </w:t>
      </w:r>
      <w:r>
        <w:t>24(2), 43–65.</w:t>
      </w:r>
    </w:p>
    <w:p w14:paraId="7E002EDF" w14:textId="77777777" w:rsidR="009A58DB" w:rsidRDefault="00000000">
      <w:pPr>
        <w:spacing w:before="47"/>
        <w:ind w:left="360"/>
        <w:jc w:val="both"/>
        <w:rPr>
          <w:i/>
          <w:sz w:val="30"/>
        </w:rPr>
      </w:pPr>
      <w:r>
        <w:rPr>
          <w:sz w:val="30"/>
        </w:rPr>
        <w:t>Kuzynski,</w:t>
      </w:r>
      <w:r>
        <w:rPr>
          <w:spacing w:val="71"/>
          <w:sz w:val="30"/>
        </w:rPr>
        <w:t xml:space="preserve"> </w:t>
      </w:r>
      <w:r>
        <w:rPr>
          <w:sz w:val="30"/>
        </w:rPr>
        <w:t>John-Michael.</w:t>
      </w:r>
      <w:r>
        <w:rPr>
          <w:spacing w:val="71"/>
          <w:sz w:val="30"/>
        </w:rPr>
        <w:t xml:space="preserve"> </w:t>
      </w:r>
      <w:r>
        <w:rPr>
          <w:sz w:val="30"/>
        </w:rPr>
        <w:t>2005c.</w:t>
      </w:r>
      <w:r>
        <w:rPr>
          <w:spacing w:val="72"/>
          <w:sz w:val="30"/>
        </w:rPr>
        <w:t xml:space="preserve"> </w:t>
      </w:r>
      <w:r>
        <w:rPr>
          <w:i/>
          <w:sz w:val="30"/>
        </w:rPr>
        <w:t>Literal</w:t>
      </w:r>
      <w:r>
        <w:rPr>
          <w:i/>
          <w:spacing w:val="78"/>
          <w:sz w:val="30"/>
        </w:rPr>
        <w:t xml:space="preserve"> </w:t>
      </w:r>
      <w:r>
        <w:rPr>
          <w:i/>
          <w:sz w:val="30"/>
        </w:rPr>
        <w:t>Meaning</w:t>
      </w:r>
      <w:r>
        <w:rPr>
          <w:i/>
          <w:spacing w:val="78"/>
          <w:sz w:val="30"/>
        </w:rPr>
        <w:t xml:space="preserve"> </w:t>
      </w:r>
      <w:r>
        <w:rPr>
          <w:i/>
          <w:sz w:val="30"/>
        </w:rPr>
        <w:t>and</w:t>
      </w:r>
      <w:r>
        <w:rPr>
          <w:i/>
          <w:spacing w:val="78"/>
          <w:sz w:val="30"/>
        </w:rPr>
        <w:t xml:space="preserve"> </w:t>
      </w:r>
      <w:r>
        <w:rPr>
          <w:i/>
          <w:sz w:val="30"/>
        </w:rPr>
        <w:t>Cognitive</w:t>
      </w:r>
      <w:r>
        <w:rPr>
          <w:i/>
          <w:spacing w:val="79"/>
          <w:sz w:val="30"/>
        </w:rPr>
        <w:t xml:space="preserve"> </w:t>
      </w:r>
      <w:r>
        <w:rPr>
          <w:i/>
          <w:spacing w:val="-2"/>
          <w:sz w:val="30"/>
        </w:rPr>
        <w:t>Content.</w:t>
      </w:r>
    </w:p>
    <w:p w14:paraId="7E002EE0" w14:textId="77777777" w:rsidR="009A58DB" w:rsidRDefault="00000000">
      <w:pPr>
        <w:pStyle w:val="BodyText"/>
        <w:spacing w:before="15"/>
        <w:ind w:left="720"/>
      </w:pPr>
      <w:r>
        <w:t>Unpublished</w:t>
      </w:r>
      <w:r>
        <w:rPr>
          <w:spacing w:val="-5"/>
        </w:rPr>
        <w:t xml:space="preserve"> </w:t>
      </w:r>
      <w:r>
        <w:rPr>
          <w:spacing w:val="-2"/>
        </w:rPr>
        <w:t>manuscript.</w:t>
      </w:r>
    </w:p>
    <w:p w14:paraId="7E002EE1" w14:textId="77777777" w:rsidR="009A58DB" w:rsidRDefault="00000000">
      <w:pPr>
        <w:pStyle w:val="BodyText"/>
        <w:spacing w:before="60" w:line="249" w:lineRule="auto"/>
        <w:ind w:left="720" w:right="359" w:hanging="360"/>
      </w:pPr>
      <w:r>
        <w:t xml:space="preserve">Kuczynski, John-Michael. 2004a. A non-Russellian Treatment of the Referential-Attributive Distinction. </w:t>
      </w:r>
      <w:r>
        <w:rPr>
          <w:i/>
        </w:rPr>
        <w:t xml:space="preserve">Pragmatics and Cognition. </w:t>
      </w:r>
      <w:r>
        <w:t>12(2),</w:t>
      </w:r>
      <w:r>
        <w:rPr>
          <w:spacing w:val="40"/>
        </w:rPr>
        <w:t xml:space="preserve"> </w:t>
      </w:r>
      <w:r>
        <w:rPr>
          <w:spacing w:val="-2"/>
        </w:rPr>
        <w:t>253–294.</w:t>
      </w:r>
    </w:p>
    <w:p w14:paraId="7E002EE2" w14:textId="77777777" w:rsidR="009A58DB" w:rsidRDefault="00000000">
      <w:pPr>
        <w:spacing w:before="4" w:line="249" w:lineRule="auto"/>
        <w:ind w:left="720" w:right="357" w:hanging="360"/>
        <w:jc w:val="both"/>
        <w:rPr>
          <w:sz w:val="30"/>
        </w:rPr>
      </w:pPr>
      <w:r>
        <w:rPr>
          <w:sz w:val="30"/>
        </w:rPr>
        <w:t xml:space="preserve">Kuczynski, John-Michael. 2004b. Why Definite Descriptions Really Are Referring Expressions. </w:t>
      </w:r>
      <w:r>
        <w:rPr>
          <w:i/>
          <w:sz w:val="30"/>
        </w:rPr>
        <w:t xml:space="preserve">Grazer Philosophische Studien, </w:t>
      </w:r>
      <w:r>
        <w:rPr>
          <w:sz w:val="30"/>
        </w:rPr>
        <w:t>68, 45–79.</w:t>
      </w:r>
    </w:p>
    <w:p w14:paraId="7E002EE3" w14:textId="77777777" w:rsidR="009A58DB" w:rsidRDefault="00000000">
      <w:pPr>
        <w:pStyle w:val="BodyText"/>
        <w:spacing w:before="33" w:line="249" w:lineRule="auto"/>
        <w:ind w:left="720" w:right="367" w:hanging="360"/>
      </w:pPr>
      <w:r>
        <w:t xml:space="preserve">Kuczynski, John-Michael. 2004c. Another Argument against the Thesis that there is a Language of Thought. </w:t>
      </w:r>
      <w:r>
        <w:rPr>
          <w:i/>
        </w:rPr>
        <w:t xml:space="preserve">Communication and Cognition, </w:t>
      </w:r>
      <w:r>
        <w:t xml:space="preserve">37 (2), </w:t>
      </w:r>
      <w:r>
        <w:rPr>
          <w:spacing w:val="-2"/>
        </w:rPr>
        <w:t>83–104.</w:t>
      </w:r>
    </w:p>
    <w:p w14:paraId="7E002EE4" w14:textId="77777777" w:rsidR="009A58DB" w:rsidRDefault="00000000">
      <w:pPr>
        <w:pStyle w:val="BodyText"/>
        <w:spacing w:before="3" w:line="249" w:lineRule="auto"/>
        <w:ind w:left="720" w:right="369" w:hanging="360"/>
      </w:pPr>
      <w:r>
        <w:t xml:space="preserve">Kuczynski, John-Michael. 2004d. Non-declarative sentences and the theory of descriptions. </w:t>
      </w:r>
      <w:r>
        <w:rPr>
          <w:i/>
        </w:rPr>
        <w:t xml:space="preserve">Principia, </w:t>
      </w:r>
      <w:r>
        <w:t>8(1), 119–154.</w:t>
      </w:r>
    </w:p>
    <w:p w14:paraId="7E002EE5" w14:textId="77777777" w:rsidR="009A58DB" w:rsidRDefault="00000000">
      <w:pPr>
        <w:pStyle w:val="BodyText"/>
        <w:spacing w:before="48"/>
      </w:pPr>
      <w:r>
        <w:t>Kuczynski,</w:t>
      </w:r>
      <w:r>
        <w:rPr>
          <w:spacing w:val="73"/>
        </w:rPr>
        <w:t xml:space="preserve"> </w:t>
      </w:r>
      <w:r>
        <w:t>John-Michael.</w:t>
      </w:r>
      <w:r>
        <w:rPr>
          <w:spacing w:val="75"/>
        </w:rPr>
        <w:t xml:space="preserve"> </w:t>
      </w:r>
      <w:r>
        <w:t>2003.</w:t>
      </w:r>
      <w:r>
        <w:rPr>
          <w:spacing w:val="76"/>
        </w:rPr>
        <w:t xml:space="preserve"> </w:t>
      </w:r>
      <w:r>
        <w:t>Some</w:t>
      </w:r>
      <w:r>
        <w:rPr>
          <w:spacing w:val="75"/>
        </w:rPr>
        <w:t xml:space="preserve"> </w:t>
      </w:r>
      <w:r>
        <w:t>Arguments</w:t>
      </w:r>
      <w:r>
        <w:rPr>
          <w:spacing w:val="75"/>
        </w:rPr>
        <w:t xml:space="preserve"> </w:t>
      </w:r>
      <w:r>
        <w:t>against</w:t>
      </w:r>
      <w:r>
        <w:rPr>
          <w:spacing w:val="76"/>
        </w:rPr>
        <w:t xml:space="preserve"> </w:t>
      </w:r>
      <w:r>
        <w:rPr>
          <w:spacing w:val="-2"/>
        </w:rPr>
        <w:t>Intentionalism.</w:t>
      </w:r>
    </w:p>
    <w:p w14:paraId="7E002EE6" w14:textId="77777777" w:rsidR="009A58DB" w:rsidRDefault="00000000">
      <w:pPr>
        <w:spacing w:before="15"/>
        <w:ind w:left="720"/>
        <w:jc w:val="both"/>
        <w:rPr>
          <w:sz w:val="30"/>
        </w:rPr>
      </w:pPr>
      <w:r>
        <w:rPr>
          <w:i/>
          <w:sz w:val="30"/>
        </w:rPr>
        <w:t>Acta</w:t>
      </w:r>
      <w:r>
        <w:rPr>
          <w:i/>
          <w:spacing w:val="-4"/>
          <w:sz w:val="30"/>
        </w:rPr>
        <w:t xml:space="preserve"> </w:t>
      </w:r>
      <w:r>
        <w:rPr>
          <w:i/>
          <w:sz w:val="30"/>
        </w:rPr>
        <w:t>Analytica,</w:t>
      </w:r>
      <w:r>
        <w:rPr>
          <w:i/>
          <w:spacing w:val="-4"/>
          <w:sz w:val="30"/>
        </w:rPr>
        <w:t xml:space="preserve"> </w:t>
      </w:r>
      <w:r>
        <w:rPr>
          <w:sz w:val="30"/>
        </w:rPr>
        <w:t>19(32),</w:t>
      </w:r>
      <w:r>
        <w:rPr>
          <w:spacing w:val="-3"/>
          <w:sz w:val="30"/>
        </w:rPr>
        <w:t xml:space="preserve"> </w:t>
      </w:r>
      <w:r>
        <w:rPr>
          <w:sz w:val="30"/>
        </w:rPr>
        <w:t>107–</w:t>
      </w:r>
      <w:r>
        <w:rPr>
          <w:spacing w:val="-4"/>
          <w:sz w:val="30"/>
        </w:rPr>
        <w:t>142.</w:t>
      </w:r>
    </w:p>
    <w:p w14:paraId="7E002EE7" w14:textId="77777777" w:rsidR="009A58DB" w:rsidRDefault="00000000">
      <w:pPr>
        <w:spacing w:before="45" w:line="249" w:lineRule="auto"/>
        <w:ind w:left="720" w:right="359" w:hanging="360"/>
        <w:jc w:val="both"/>
        <w:rPr>
          <w:sz w:val="30"/>
        </w:rPr>
      </w:pPr>
      <w:r>
        <w:rPr>
          <w:sz w:val="30"/>
        </w:rPr>
        <w:t xml:space="preserve">Kuczynski, John-Michael. 2002. Does the Idea of a “Language of Thought” Make Sense? </w:t>
      </w:r>
      <w:r>
        <w:rPr>
          <w:i/>
          <w:sz w:val="30"/>
        </w:rPr>
        <w:t xml:space="preserve">Communication and Cognition, </w:t>
      </w:r>
      <w:r>
        <w:rPr>
          <w:sz w:val="30"/>
        </w:rPr>
        <w:t>35(4), 173–192.</w:t>
      </w:r>
    </w:p>
    <w:p w14:paraId="7E002EE8" w14:textId="77777777" w:rsidR="009A58DB" w:rsidRDefault="00000000">
      <w:pPr>
        <w:pStyle w:val="BodyText"/>
        <w:spacing w:before="47" w:line="249" w:lineRule="auto"/>
        <w:ind w:left="720" w:right="359" w:hanging="360"/>
      </w:pPr>
      <w:r>
        <w:t xml:space="preserve">Langford, C. H. 1942. The notion of analysis in Moore’s philosophy. In P. A. Schilpp (Ed.), </w:t>
      </w:r>
      <w:r>
        <w:rPr>
          <w:i/>
        </w:rPr>
        <w:t xml:space="preserve">The Philosophy of G.E. Moore, </w:t>
      </w:r>
      <w:r>
        <w:t>(pp. 321–342). LaSalle: Open Court.</w:t>
      </w:r>
    </w:p>
    <w:p w14:paraId="7E002EE9" w14:textId="77777777" w:rsidR="009A58DB" w:rsidRDefault="00000000">
      <w:pPr>
        <w:pStyle w:val="BodyText"/>
        <w:spacing w:before="49" w:line="249" w:lineRule="auto"/>
        <w:ind w:left="720" w:right="366" w:hanging="360"/>
      </w:pPr>
      <w:r>
        <w:t xml:space="preserve">Lewicki, Pawel, Hill, Thomas, &amp; Czyzewska, Maria. 1992. Nonconscious acquisition of information. </w:t>
      </w:r>
      <w:r>
        <w:rPr>
          <w:i/>
        </w:rPr>
        <w:t xml:space="preserve">American Psychologist, </w:t>
      </w:r>
      <w:r>
        <w:t>47(6), 796–801.</w:t>
      </w:r>
    </w:p>
    <w:p w14:paraId="7E002EEA" w14:textId="77777777" w:rsidR="009A58DB" w:rsidRDefault="00000000">
      <w:pPr>
        <w:spacing w:before="32"/>
        <w:ind w:left="360"/>
        <w:jc w:val="both"/>
        <w:rPr>
          <w:i/>
          <w:sz w:val="30"/>
        </w:rPr>
      </w:pPr>
      <w:r>
        <w:rPr>
          <w:sz w:val="30"/>
        </w:rPr>
        <w:t>Lewis,</w:t>
      </w:r>
      <w:r>
        <w:rPr>
          <w:spacing w:val="34"/>
          <w:sz w:val="30"/>
        </w:rPr>
        <w:t xml:space="preserve">  </w:t>
      </w:r>
      <w:r>
        <w:rPr>
          <w:sz w:val="30"/>
        </w:rPr>
        <w:t>Clarence</w:t>
      </w:r>
      <w:r>
        <w:rPr>
          <w:spacing w:val="34"/>
          <w:sz w:val="30"/>
        </w:rPr>
        <w:t xml:space="preserve">  </w:t>
      </w:r>
      <w:r>
        <w:rPr>
          <w:sz w:val="30"/>
        </w:rPr>
        <w:t>I.</w:t>
      </w:r>
      <w:r>
        <w:rPr>
          <w:spacing w:val="34"/>
          <w:sz w:val="30"/>
        </w:rPr>
        <w:t xml:space="preserve">  </w:t>
      </w:r>
      <w:r>
        <w:rPr>
          <w:sz w:val="30"/>
        </w:rPr>
        <w:t>1946.</w:t>
      </w:r>
      <w:r>
        <w:rPr>
          <w:spacing w:val="35"/>
          <w:sz w:val="30"/>
        </w:rPr>
        <w:t xml:space="preserve">  </w:t>
      </w:r>
      <w:r>
        <w:rPr>
          <w:i/>
          <w:sz w:val="30"/>
        </w:rPr>
        <w:t>An</w:t>
      </w:r>
      <w:r>
        <w:rPr>
          <w:i/>
          <w:spacing w:val="34"/>
          <w:sz w:val="30"/>
        </w:rPr>
        <w:t xml:space="preserve">  </w:t>
      </w:r>
      <w:r>
        <w:rPr>
          <w:i/>
          <w:sz w:val="30"/>
        </w:rPr>
        <w:t>Analysis</w:t>
      </w:r>
      <w:r>
        <w:rPr>
          <w:i/>
          <w:spacing w:val="34"/>
          <w:sz w:val="30"/>
        </w:rPr>
        <w:t xml:space="preserve">  </w:t>
      </w:r>
      <w:r>
        <w:rPr>
          <w:i/>
          <w:sz w:val="30"/>
        </w:rPr>
        <w:t>of</w:t>
      </w:r>
      <w:r>
        <w:rPr>
          <w:i/>
          <w:spacing w:val="34"/>
          <w:sz w:val="30"/>
        </w:rPr>
        <w:t xml:space="preserve">  </w:t>
      </w:r>
      <w:r>
        <w:rPr>
          <w:i/>
          <w:sz w:val="30"/>
        </w:rPr>
        <w:t>Knowledge</w:t>
      </w:r>
      <w:r>
        <w:rPr>
          <w:i/>
          <w:spacing w:val="35"/>
          <w:sz w:val="30"/>
        </w:rPr>
        <w:t xml:space="preserve">  </w:t>
      </w:r>
      <w:r>
        <w:rPr>
          <w:i/>
          <w:sz w:val="30"/>
        </w:rPr>
        <w:t>and</w:t>
      </w:r>
      <w:r>
        <w:rPr>
          <w:i/>
          <w:spacing w:val="35"/>
          <w:sz w:val="30"/>
        </w:rPr>
        <w:t xml:space="preserve">  </w:t>
      </w:r>
      <w:r>
        <w:rPr>
          <w:i/>
          <w:spacing w:val="-2"/>
          <w:sz w:val="30"/>
        </w:rPr>
        <w:t>Valuation.</w:t>
      </w:r>
    </w:p>
    <w:p w14:paraId="7E002EEB" w14:textId="77777777" w:rsidR="009A58DB" w:rsidRDefault="00000000">
      <w:pPr>
        <w:pStyle w:val="BodyText"/>
        <w:spacing w:before="15"/>
        <w:ind w:left="720"/>
      </w:pPr>
      <w:r>
        <w:t>Cambridge,</w:t>
      </w:r>
      <w:r>
        <w:rPr>
          <w:spacing w:val="-6"/>
        </w:rPr>
        <w:t xml:space="preserve"> </w:t>
      </w:r>
      <w:r>
        <w:t>MA:</w:t>
      </w:r>
      <w:r>
        <w:rPr>
          <w:spacing w:val="-5"/>
        </w:rPr>
        <w:t xml:space="preserve"> </w:t>
      </w:r>
      <w:r>
        <w:t>Harvard</w:t>
      </w:r>
      <w:r>
        <w:rPr>
          <w:spacing w:val="-5"/>
        </w:rPr>
        <w:t xml:space="preserve"> </w:t>
      </w:r>
      <w:r>
        <w:t>University</w:t>
      </w:r>
      <w:r>
        <w:rPr>
          <w:spacing w:val="-5"/>
        </w:rPr>
        <w:t xml:space="preserve"> </w:t>
      </w:r>
      <w:r>
        <w:rPr>
          <w:spacing w:val="-2"/>
        </w:rPr>
        <w:t>Press.</w:t>
      </w:r>
    </w:p>
    <w:p w14:paraId="7E002EEC" w14:textId="77777777" w:rsidR="009A58DB" w:rsidRDefault="009A58DB">
      <w:pPr>
        <w:pStyle w:val="BodyText"/>
        <w:sectPr w:rsidR="009A58DB">
          <w:pgSz w:w="12240" w:h="15840"/>
          <w:pgMar w:top="1380" w:right="1080" w:bottom="280" w:left="1080" w:header="720" w:footer="720" w:gutter="0"/>
          <w:cols w:space="720"/>
        </w:sectPr>
      </w:pPr>
    </w:p>
    <w:p w14:paraId="7E002EED" w14:textId="77777777" w:rsidR="009A58DB" w:rsidRDefault="00000000">
      <w:pPr>
        <w:spacing w:before="65" w:line="249" w:lineRule="auto"/>
        <w:ind w:left="720" w:right="366" w:hanging="360"/>
        <w:jc w:val="both"/>
        <w:rPr>
          <w:sz w:val="30"/>
        </w:rPr>
      </w:pPr>
      <w:r>
        <w:rPr>
          <w:sz w:val="30"/>
        </w:rPr>
        <w:t xml:space="preserve">Lewis, Clarence I. 1952. The modes of meaning. In L. Linsky (Ed.), </w:t>
      </w:r>
      <w:r>
        <w:rPr>
          <w:i/>
          <w:sz w:val="30"/>
        </w:rPr>
        <w:t xml:space="preserve">Semantics and the Philosophy of Language, </w:t>
      </w:r>
      <w:r>
        <w:rPr>
          <w:sz w:val="30"/>
        </w:rPr>
        <w:t>(pp. 50–66). Chicago: University of Illinois Press.</w:t>
      </w:r>
    </w:p>
    <w:p w14:paraId="7E002EEE" w14:textId="77777777" w:rsidR="009A58DB" w:rsidRDefault="00000000">
      <w:pPr>
        <w:pStyle w:val="BodyText"/>
        <w:spacing w:before="48" w:line="249" w:lineRule="auto"/>
        <w:ind w:left="720" w:right="364" w:hanging="360"/>
      </w:pPr>
      <w:r>
        <w:t xml:space="preserve">Lewis, David. 1975. Language and Languages. In A.P. Martinich (Ed.), </w:t>
      </w:r>
      <w:r>
        <w:rPr>
          <w:i/>
        </w:rPr>
        <w:t xml:space="preserve">The Philosophy of Language, </w:t>
      </w:r>
      <w:r>
        <w:t xml:space="preserve">(pp. 489–508). New York: Oxford University </w:t>
      </w:r>
      <w:r>
        <w:rPr>
          <w:spacing w:val="-2"/>
        </w:rPr>
        <w:t>Press.</w:t>
      </w:r>
    </w:p>
    <w:p w14:paraId="7E002EEF" w14:textId="77777777" w:rsidR="009A58DB" w:rsidRDefault="00000000">
      <w:pPr>
        <w:spacing w:before="34" w:line="249" w:lineRule="auto"/>
        <w:ind w:left="720" w:right="1305" w:hanging="360"/>
        <w:jc w:val="both"/>
        <w:rPr>
          <w:sz w:val="30"/>
        </w:rPr>
      </w:pPr>
      <w:r>
        <w:rPr>
          <w:sz w:val="30"/>
        </w:rPr>
        <w:t xml:space="preserve">Lewis, David. 1983. </w:t>
      </w:r>
      <w:r>
        <w:rPr>
          <w:i/>
          <w:sz w:val="30"/>
        </w:rPr>
        <w:t xml:space="preserve">Philosophical Papers, Volume 1. </w:t>
      </w:r>
      <w:r>
        <w:rPr>
          <w:sz w:val="30"/>
        </w:rPr>
        <w:t>New York: Oxford University Press.</w:t>
      </w:r>
    </w:p>
    <w:p w14:paraId="7E002EF0" w14:textId="77777777" w:rsidR="009A58DB" w:rsidRDefault="00000000">
      <w:pPr>
        <w:spacing w:before="47" w:line="271" w:lineRule="auto"/>
        <w:ind w:left="360" w:right="1305"/>
        <w:jc w:val="both"/>
        <w:rPr>
          <w:sz w:val="30"/>
        </w:rPr>
      </w:pPr>
      <w:r>
        <w:rPr>
          <w:sz w:val="30"/>
        </w:rPr>
        <w:t xml:space="preserve">Lewis, David. 1984. </w:t>
      </w:r>
      <w:r>
        <w:rPr>
          <w:i/>
          <w:sz w:val="30"/>
        </w:rPr>
        <w:t xml:space="preserve">On the Plurality of Worlds. </w:t>
      </w:r>
      <w:r>
        <w:rPr>
          <w:sz w:val="30"/>
        </w:rPr>
        <w:t>Oxford: Blackwell. Lewis,</w:t>
      </w:r>
      <w:r>
        <w:rPr>
          <w:spacing w:val="59"/>
          <w:sz w:val="30"/>
        </w:rPr>
        <w:t xml:space="preserve"> </w:t>
      </w:r>
      <w:r>
        <w:rPr>
          <w:sz w:val="30"/>
        </w:rPr>
        <w:t>David.</w:t>
      </w:r>
      <w:r>
        <w:rPr>
          <w:spacing w:val="61"/>
          <w:sz w:val="30"/>
        </w:rPr>
        <w:t xml:space="preserve"> </w:t>
      </w:r>
      <w:r>
        <w:rPr>
          <w:sz w:val="30"/>
        </w:rPr>
        <w:t>1987.</w:t>
      </w:r>
      <w:r>
        <w:rPr>
          <w:spacing w:val="62"/>
          <w:sz w:val="30"/>
        </w:rPr>
        <w:t xml:space="preserve"> </w:t>
      </w:r>
      <w:r>
        <w:rPr>
          <w:i/>
          <w:sz w:val="30"/>
        </w:rPr>
        <w:t>Philosophical</w:t>
      </w:r>
      <w:r>
        <w:rPr>
          <w:i/>
          <w:spacing w:val="60"/>
          <w:sz w:val="30"/>
        </w:rPr>
        <w:t xml:space="preserve"> </w:t>
      </w:r>
      <w:r>
        <w:rPr>
          <w:i/>
          <w:sz w:val="30"/>
        </w:rPr>
        <w:t>Papers,</w:t>
      </w:r>
      <w:r>
        <w:rPr>
          <w:i/>
          <w:spacing w:val="60"/>
          <w:sz w:val="30"/>
        </w:rPr>
        <w:t xml:space="preserve"> </w:t>
      </w:r>
      <w:r>
        <w:rPr>
          <w:i/>
          <w:sz w:val="30"/>
        </w:rPr>
        <w:t>Volume</w:t>
      </w:r>
      <w:r>
        <w:rPr>
          <w:i/>
          <w:spacing w:val="60"/>
          <w:sz w:val="30"/>
        </w:rPr>
        <w:t xml:space="preserve"> </w:t>
      </w:r>
      <w:r>
        <w:rPr>
          <w:i/>
          <w:sz w:val="30"/>
        </w:rPr>
        <w:t>2.</w:t>
      </w:r>
      <w:r>
        <w:rPr>
          <w:i/>
          <w:spacing w:val="61"/>
          <w:sz w:val="30"/>
        </w:rPr>
        <w:t xml:space="preserve"> </w:t>
      </w:r>
      <w:r>
        <w:rPr>
          <w:sz w:val="30"/>
        </w:rPr>
        <w:t>New</w:t>
      </w:r>
      <w:r>
        <w:rPr>
          <w:spacing w:val="71"/>
          <w:sz w:val="30"/>
        </w:rPr>
        <w:t xml:space="preserve"> </w:t>
      </w:r>
      <w:r>
        <w:rPr>
          <w:spacing w:val="-2"/>
          <w:sz w:val="30"/>
        </w:rPr>
        <w:t>York:</w:t>
      </w:r>
    </w:p>
    <w:p w14:paraId="7E002EF1" w14:textId="77777777" w:rsidR="009A58DB" w:rsidRDefault="00000000">
      <w:pPr>
        <w:pStyle w:val="BodyText"/>
        <w:spacing w:line="315" w:lineRule="exact"/>
        <w:ind w:left="720"/>
      </w:pPr>
      <w:r>
        <w:t>Oxford</w:t>
      </w:r>
      <w:r>
        <w:rPr>
          <w:spacing w:val="-5"/>
        </w:rPr>
        <w:t xml:space="preserve"> </w:t>
      </w:r>
      <w:r>
        <w:t>University</w:t>
      </w:r>
      <w:r>
        <w:rPr>
          <w:spacing w:val="-5"/>
        </w:rPr>
        <w:t xml:space="preserve"> </w:t>
      </w:r>
      <w:r>
        <w:rPr>
          <w:spacing w:val="-2"/>
        </w:rPr>
        <w:t>Press.</w:t>
      </w:r>
    </w:p>
    <w:p w14:paraId="7E002EF2" w14:textId="77777777" w:rsidR="009A58DB" w:rsidRDefault="00000000">
      <w:pPr>
        <w:spacing w:before="60" w:line="249" w:lineRule="auto"/>
        <w:ind w:left="720" w:right="794" w:hanging="360"/>
        <w:rPr>
          <w:sz w:val="30"/>
        </w:rPr>
      </w:pPr>
      <w:r>
        <w:rPr>
          <w:sz w:val="30"/>
        </w:rPr>
        <w:t>Lowe,</w:t>
      </w:r>
      <w:r>
        <w:rPr>
          <w:spacing w:val="80"/>
          <w:sz w:val="30"/>
        </w:rPr>
        <w:t xml:space="preserve"> </w:t>
      </w:r>
      <w:r>
        <w:rPr>
          <w:sz w:val="30"/>
        </w:rPr>
        <w:t>Chelsea.</w:t>
      </w:r>
      <w:r>
        <w:rPr>
          <w:spacing w:val="80"/>
          <w:sz w:val="30"/>
        </w:rPr>
        <w:t xml:space="preserve"> </w:t>
      </w:r>
      <w:r>
        <w:rPr>
          <w:sz w:val="30"/>
        </w:rPr>
        <w:t>2007.</w:t>
      </w:r>
      <w:r>
        <w:rPr>
          <w:spacing w:val="80"/>
          <w:sz w:val="30"/>
        </w:rPr>
        <w:t xml:space="preserve"> </w:t>
      </w:r>
      <w:r>
        <w:rPr>
          <w:i/>
          <w:sz w:val="30"/>
        </w:rPr>
        <w:t>The</w:t>
      </w:r>
      <w:r>
        <w:rPr>
          <w:i/>
          <w:spacing w:val="80"/>
          <w:sz w:val="30"/>
        </w:rPr>
        <w:t xml:space="preserve"> </w:t>
      </w:r>
      <w:r>
        <w:rPr>
          <w:i/>
          <w:sz w:val="30"/>
        </w:rPr>
        <w:t>Everything</w:t>
      </w:r>
      <w:r>
        <w:rPr>
          <w:i/>
          <w:spacing w:val="80"/>
          <w:sz w:val="30"/>
        </w:rPr>
        <w:t xml:space="preserve"> </w:t>
      </w:r>
      <w:r>
        <w:rPr>
          <w:i/>
          <w:sz w:val="30"/>
        </w:rPr>
        <w:t>Guide</w:t>
      </w:r>
      <w:r>
        <w:rPr>
          <w:i/>
          <w:spacing w:val="80"/>
          <w:sz w:val="30"/>
        </w:rPr>
        <w:t xml:space="preserve"> </w:t>
      </w:r>
      <w:r>
        <w:rPr>
          <w:i/>
          <w:sz w:val="30"/>
        </w:rPr>
        <w:t>to</w:t>
      </w:r>
      <w:r>
        <w:rPr>
          <w:i/>
          <w:spacing w:val="80"/>
          <w:sz w:val="30"/>
        </w:rPr>
        <w:t xml:space="preserve"> </w:t>
      </w:r>
      <w:r>
        <w:rPr>
          <w:i/>
          <w:sz w:val="30"/>
        </w:rPr>
        <w:t>ODC.</w:t>
      </w:r>
      <w:r>
        <w:rPr>
          <w:i/>
          <w:spacing w:val="80"/>
          <w:sz w:val="30"/>
        </w:rPr>
        <w:t xml:space="preserve"> </w:t>
      </w:r>
      <w:r>
        <w:rPr>
          <w:sz w:val="30"/>
        </w:rPr>
        <w:t>Chicago: Adams Press.</w:t>
      </w:r>
    </w:p>
    <w:p w14:paraId="7E002EF3" w14:textId="77777777" w:rsidR="009A58DB" w:rsidRDefault="00000000">
      <w:pPr>
        <w:spacing w:before="48" w:line="249" w:lineRule="auto"/>
        <w:ind w:left="720" w:right="365" w:hanging="360"/>
        <w:rPr>
          <w:sz w:val="30"/>
        </w:rPr>
      </w:pPr>
      <w:r>
        <w:rPr>
          <w:sz w:val="30"/>
        </w:rPr>
        <w:t xml:space="preserve">Lycan, William. 1984. </w:t>
      </w:r>
      <w:r>
        <w:rPr>
          <w:i/>
          <w:sz w:val="30"/>
        </w:rPr>
        <w:t xml:space="preserve">Logical Form in Natural Language. </w:t>
      </w:r>
      <w:r>
        <w:rPr>
          <w:sz w:val="30"/>
        </w:rPr>
        <w:t>Cambridge, MA: The MIT Press.</w:t>
      </w:r>
    </w:p>
    <w:p w14:paraId="7E002EF4" w14:textId="77777777" w:rsidR="009A58DB" w:rsidRDefault="00000000">
      <w:pPr>
        <w:pStyle w:val="BodyText"/>
        <w:spacing w:before="2" w:line="249" w:lineRule="auto"/>
        <w:ind w:right="2189"/>
      </w:pPr>
      <w:r>
        <w:t xml:space="preserve">Lyons, John. 1977. </w:t>
      </w:r>
      <w:r>
        <w:rPr>
          <w:i/>
        </w:rPr>
        <w:t xml:space="preserve">Semantics. </w:t>
      </w:r>
      <w:r>
        <w:t>Cambridge, U.K.: Cambridge University Press.</w:t>
      </w:r>
    </w:p>
    <w:p w14:paraId="7E002EF5" w14:textId="77777777" w:rsidR="009A58DB" w:rsidRDefault="00000000">
      <w:pPr>
        <w:spacing w:before="33"/>
        <w:ind w:left="360"/>
        <w:jc w:val="both"/>
        <w:rPr>
          <w:i/>
          <w:sz w:val="30"/>
        </w:rPr>
      </w:pPr>
      <w:r>
        <w:rPr>
          <w:sz w:val="30"/>
        </w:rPr>
        <w:t>Mackie,</w:t>
      </w:r>
      <w:r>
        <w:rPr>
          <w:spacing w:val="55"/>
          <w:w w:val="150"/>
          <w:sz w:val="30"/>
        </w:rPr>
        <w:t xml:space="preserve"> </w:t>
      </w:r>
      <w:r>
        <w:rPr>
          <w:sz w:val="30"/>
        </w:rPr>
        <w:t>John</w:t>
      </w:r>
      <w:r>
        <w:rPr>
          <w:spacing w:val="57"/>
          <w:w w:val="150"/>
          <w:sz w:val="30"/>
        </w:rPr>
        <w:t xml:space="preserve"> </w:t>
      </w:r>
      <w:r>
        <w:rPr>
          <w:sz w:val="30"/>
        </w:rPr>
        <w:t>Leslie.</w:t>
      </w:r>
      <w:r>
        <w:rPr>
          <w:spacing w:val="57"/>
          <w:w w:val="150"/>
          <w:sz w:val="30"/>
        </w:rPr>
        <w:t xml:space="preserve"> </w:t>
      </w:r>
      <w:r>
        <w:rPr>
          <w:sz w:val="30"/>
        </w:rPr>
        <w:t>1980.</w:t>
      </w:r>
      <w:r>
        <w:rPr>
          <w:spacing w:val="58"/>
          <w:w w:val="150"/>
          <w:sz w:val="30"/>
        </w:rPr>
        <w:t xml:space="preserve"> </w:t>
      </w:r>
      <w:r>
        <w:rPr>
          <w:i/>
          <w:sz w:val="30"/>
        </w:rPr>
        <w:t>The</w:t>
      </w:r>
      <w:r>
        <w:rPr>
          <w:i/>
          <w:spacing w:val="57"/>
          <w:w w:val="150"/>
          <w:sz w:val="30"/>
        </w:rPr>
        <w:t xml:space="preserve"> </w:t>
      </w:r>
      <w:r>
        <w:rPr>
          <w:i/>
          <w:sz w:val="30"/>
        </w:rPr>
        <w:t>Cement</w:t>
      </w:r>
      <w:r>
        <w:rPr>
          <w:i/>
          <w:spacing w:val="57"/>
          <w:w w:val="150"/>
          <w:sz w:val="30"/>
        </w:rPr>
        <w:t xml:space="preserve"> </w:t>
      </w:r>
      <w:r>
        <w:rPr>
          <w:i/>
          <w:sz w:val="30"/>
        </w:rPr>
        <w:t>of</w:t>
      </w:r>
      <w:r>
        <w:rPr>
          <w:i/>
          <w:spacing w:val="57"/>
          <w:w w:val="150"/>
          <w:sz w:val="30"/>
        </w:rPr>
        <w:t xml:space="preserve"> </w:t>
      </w:r>
      <w:r>
        <w:rPr>
          <w:i/>
          <w:sz w:val="30"/>
        </w:rPr>
        <w:t>the</w:t>
      </w:r>
      <w:r>
        <w:rPr>
          <w:i/>
          <w:spacing w:val="58"/>
          <w:w w:val="150"/>
          <w:sz w:val="30"/>
        </w:rPr>
        <w:t xml:space="preserve"> </w:t>
      </w:r>
      <w:r>
        <w:rPr>
          <w:i/>
          <w:spacing w:val="-2"/>
          <w:sz w:val="30"/>
        </w:rPr>
        <w:t>Universe.</w:t>
      </w:r>
    </w:p>
    <w:p w14:paraId="7E002EF6" w14:textId="77777777" w:rsidR="009A58DB" w:rsidRDefault="00000000">
      <w:pPr>
        <w:pStyle w:val="BodyText"/>
        <w:spacing w:before="15"/>
        <w:ind w:left="720"/>
      </w:pPr>
      <w:r>
        <w:t>Oxford:</w:t>
      </w:r>
      <w:r>
        <w:rPr>
          <w:spacing w:val="-4"/>
        </w:rPr>
        <w:t xml:space="preserve"> </w:t>
      </w:r>
      <w:r>
        <w:rPr>
          <w:spacing w:val="-2"/>
        </w:rPr>
        <w:t>Clarendon.</w:t>
      </w:r>
    </w:p>
    <w:p w14:paraId="7E002EF7" w14:textId="77777777" w:rsidR="009A58DB" w:rsidRDefault="00000000">
      <w:pPr>
        <w:spacing w:before="60" w:line="249" w:lineRule="auto"/>
        <w:ind w:left="720" w:right="361" w:hanging="360"/>
        <w:jc w:val="both"/>
        <w:rPr>
          <w:sz w:val="30"/>
        </w:rPr>
      </w:pPr>
      <w:r>
        <w:rPr>
          <w:sz w:val="30"/>
        </w:rPr>
        <w:t xml:space="preserve">Mates, Benson. 1952. Synonymy. In L. Linskey (Ed.), </w:t>
      </w:r>
      <w:r>
        <w:rPr>
          <w:i/>
          <w:sz w:val="30"/>
        </w:rPr>
        <w:t xml:space="preserve">Semantics and the Philosophy of Language, </w:t>
      </w:r>
      <w:r>
        <w:rPr>
          <w:sz w:val="30"/>
        </w:rPr>
        <w:t xml:space="preserve">(pp. 111–138). Chicago: University of Illinois </w:t>
      </w:r>
      <w:r>
        <w:rPr>
          <w:spacing w:val="-2"/>
          <w:sz w:val="30"/>
        </w:rPr>
        <w:t>Press.</w:t>
      </w:r>
    </w:p>
    <w:p w14:paraId="7E002EF8" w14:textId="77777777" w:rsidR="009A58DB" w:rsidRDefault="00000000">
      <w:pPr>
        <w:spacing w:before="4" w:line="249" w:lineRule="auto"/>
        <w:ind w:left="720" w:right="371" w:hanging="360"/>
        <w:jc w:val="both"/>
        <w:rPr>
          <w:sz w:val="30"/>
        </w:rPr>
      </w:pPr>
      <w:r>
        <w:rPr>
          <w:sz w:val="30"/>
        </w:rPr>
        <w:t xml:space="preserve">McCawley, James D. 1971. </w:t>
      </w:r>
      <w:r>
        <w:rPr>
          <w:i/>
          <w:sz w:val="30"/>
        </w:rPr>
        <w:t>Everything that Linguists Have Always Wanted</w:t>
      </w:r>
      <w:r>
        <w:rPr>
          <w:i/>
          <w:spacing w:val="40"/>
          <w:sz w:val="30"/>
        </w:rPr>
        <w:t xml:space="preserve"> </w:t>
      </w:r>
      <w:r>
        <w:rPr>
          <w:i/>
          <w:sz w:val="30"/>
        </w:rPr>
        <w:t xml:space="preserve">to Know about Logic. </w:t>
      </w:r>
      <w:r>
        <w:rPr>
          <w:sz w:val="30"/>
        </w:rPr>
        <w:t>Chicago: University of Chicago Press.</w:t>
      </w:r>
    </w:p>
    <w:p w14:paraId="7E002EF9" w14:textId="77777777" w:rsidR="009A58DB" w:rsidRDefault="00000000">
      <w:pPr>
        <w:spacing w:before="32" w:line="249" w:lineRule="auto"/>
        <w:ind w:left="720" w:right="964" w:hanging="360"/>
        <w:jc w:val="both"/>
        <w:rPr>
          <w:sz w:val="30"/>
        </w:rPr>
      </w:pPr>
      <w:r>
        <w:rPr>
          <w:sz w:val="30"/>
        </w:rPr>
        <w:t xml:space="preserve">McDowell, John. 1994. </w:t>
      </w:r>
      <w:r>
        <w:rPr>
          <w:i/>
          <w:sz w:val="30"/>
        </w:rPr>
        <w:t xml:space="preserve">Mind and World. </w:t>
      </w:r>
      <w:r>
        <w:rPr>
          <w:sz w:val="30"/>
        </w:rPr>
        <w:t>Cambridge, MA: Harvard University Press.</w:t>
      </w:r>
    </w:p>
    <w:p w14:paraId="7E002EFA" w14:textId="77777777" w:rsidR="009A58DB" w:rsidRDefault="00000000">
      <w:pPr>
        <w:spacing w:before="48" w:line="249" w:lineRule="auto"/>
        <w:ind w:left="720" w:right="960" w:hanging="360"/>
        <w:jc w:val="both"/>
        <w:rPr>
          <w:sz w:val="30"/>
        </w:rPr>
      </w:pPr>
      <w:r>
        <w:rPr>
          <w:sz w:val="30"/>
        </w:rPr>
        <w:t xml:space="preserve">McDowell, John. 1998. </w:t>
      </w:r>
      <w:r>
        <w:rPr>
          <w:i/>
          <w:sz w:val="30"/>
        </w:rPr>
        <w:t xml:space="preserve">Meaning, Knowledge &amp; Reality. </w:t>
      </w:r>
      <w:r>
        <w:rPr>
          <w:sz w:val="30"/>
        </w:rPr>
        <w:t>New York: Oxford University Press.</w:t>
      </w:r>
    </w:p>
    <w:p w14:paraId="7E002EFB" w14:textId="77777777" w:rsidR="009A58DB" w:rsidRDefault="00000000">
      <w:pPr>
        <w:spacing w:before="47" w:line="249" w:lineRule="auto"/>
        <w:ind w:left="720" w:right="360" w:hanging="360"/>
        <w:jc w:val="both"/>
        <w:rPr>
          <w:sz w:val="30"/>
        </w:rPr>
      </w:pPr>
      <w:r>
        <w:rPr>
          <w:sz w:val="30"/>
        </w:rPr>
        <w:t xml:space="preserve">McWilliams, Nancy. 1994a. </w:t>
      </w:r>
      <w:r>
        <w:rPr>
          <w:i/>
          <w:sz w:val="30"/>
        </w:rPr>
        <w:t xml:space="preserve">Psychoanalytic Diagnosis: Understanding Personality Structure in the Clinical Process. </w:t>
      </w:r>
      <w:r>
        <w:rPr>
          <w:sz w:val="30"/>
        </w:rPr>
        <w:t xml:space="preserve">New York: The Guilford </w:t>
      </w:r>
      <w:r>
        <w:rPr>
          <w:spacing w:val="-2"/>
          <w:sz w:val="30"/>
        </w:rPr>
        <w:t>Press.</w:t>
      </w:r>
    </w:p>
    <w:p w14:paraId="7E002EFC" w14:textId="77777777" w:rsidR="009A58DB" w:rsidRDefault="00000000">
      <w:pPr>
        <w:spacing w:before="4" w:line="249" w:lineRule="auto"/>
        <w:ind w:left="720" w:right="372" w:hanging="360"/>
        <w:jc w:val="both"/>
        <w:rPr>
          <w:sz w:val="30"/>
        </w:rPr>
      </w:pPr>
      <w:r>
        <w:rPr>
          <w:sz w:val="30"/>
        </w:rPr>
        <w:t xml:space="preserve">McWilliams, Nancy. 1994b. </w:t>
      </w:r>
      <w:r>
        <w:rPr>
          <w:i/>
          <w:sz w:val="30"/>
        </w:rPr>
        <w:t xml:space="preserve">Psychoanalytic Psychotherapy: A Practitioner’s Guide. </w:t>
      </w:r>
      <w:r>
        <w:rPr>
          <w:sz w:val="30"/>
        </w:rPr>
        <w:t>New York: The Guilford Press.</w:t>
      </w:r>
    </w:p>
    <w:p w14:paraId="7E002EFD" w14:textId="77777777" w:rsidR="009A58DB" w:rsidRDefault="00000000">
      <w:pPr>
        <w:spacing w:before="32"/>
        <w:ind w:left="360"/>
        <w:jc w:val="both"/>
        <w:rPr>
          <w:sz w:val="30"/>
        </w:rPr>
      </w:pPr>
      <w:r>
        <w:rPr>
          <w:sz w:val="30"/>
        </w:rPr>
        <w:t>Merleau-Ponty, Maurice.</w:t>
      </w:r>
      <w:r>
        <w:rPr>
          <w:spacing w:val="1"/>
          <w:sz w:val="30"/>
        </w:rPr>
        <w:t xml:space="preserve"> </w:t>
      </w:r>
      <w:r>
        <w:rPr>
          <w:sz w:val="30"/>
        </w:rPr>
        <w:t>1962.</w:t>
      </w:r>
      <w:r>
        <w:rPr>
          <w:spacing w:val="1"/>
          <w:sz w:val="30"/>
        </w:rPr>
        <w:t xml:space="preserve"> </w:t>
      </w:r>
      <w:r>
        <w:rPr>
          <w:i/>
          <w:sz w:val="30"/>
        </w:rPr>
        <w:t>The</w:t>
      </w:r>
      <w:r>
        <w:rPr>
          <w:i/>
          <w:spacing w:val="3"/>
          <w:sz w:val="30"/>
        </w:rPr>
        <w:t xml:space="preserve"> </w:t>
      </w:r>
      <w:r>
        <w:rPr>
          <w:i/>
          <w:sz w:val="30"/>
        </w:rPr>
        <w:t>Phenomenology</w:t>
      </w:r>
      <w:r>
        <w:rPr>
          <w:i/>
          <w:spacing w:val="4"/>
          <w:sz w:val="30"/>
        </w:rPr>
        <w:t xml:space="preserve"> </w:t>
      </w:r>
      <w:r>
        <w:rPr>
          <w:i/>
          <w:sz w:val="30"/>
        </w:rPr>
        <w:t>of</w:t>
      </w:r>
      <w:r>
        <w:rPr>
          <w:i/>
          <w:spacing w:val="3"/>
          <w:sz w:val="30"/>
        </w:rPr>
        <w:t xml:space="preserve"> </w:t>
      </w:r>
      <w:r>
        <w:rPr>
          <w:i/>
          <w:sz w:val="30"/>
        </w:rPr>
        <w:t>Perception.</w:t>
      </w:r>
      <w:r>
        <w:rPr>
          <w:i/>
          <w:spacing w:val="3"/>
          <w:sz w:val="30"/>
        </w:rPr>
        <w:t xml:space="preserve"> </w:t>
      </w:r>
      <w:r>
        <w:rPr>
          <w:sz w:val="30"/>
        </w:rPr>
        <w:t>In</w:t>
      </w:r>
      <w:r>
        <w:rPr>
          <w:spacing w:val="12"/>
          <w:sz w:val="30"/>
        </w:rPr>
        <w:t xml:space="preserve"> </w:t>
      </w:r>
      <w:r>
        <w:rPr>
          <w:spacing w:val="-2"/>
          <w:sz w:val="30"/>
        </w:rPr>
        <w:t>Robert</w:t>
      </w:r>
    </w:p>
    <w:p w14:paraId="7E002EFE" w14:textId="77777777" w:rsidR="009A58DB" w:rsidRDefault="009A58DB">
      <w:pPr>
        <w:jc w:val="both"/>
        <w:rPr>
          <w:sz w:val="30"/>
        </w:rPr>
        <w:sectPr w:rsidR="009A58DB">
          <w:pgSz w:w="12240" w:h="15840"/>
          <w:pgMar w:top="1380" w:right="1080" w:bottom="280" w:left="1080" w:header="720" w:footer="720" w:gutter="0"/>
          <w:cols w:space="720"/>
        </w:sectPr>
      </w:pPr>
    </w:p>
    <w:p w14:paraId="7E002EFF" w14:textId="77777777" w:rsidR="009A58DB" w:rsidRDefault="00000000">
      <w:pPr>
        <w:spacing w:before="63" w:line="249" w:lineRule="auto"/>
        <w:ind w:left="720" w:right="366"/>
        <w:jc w:val="both"/>
        <w:rPr>
          <w:sz w:val="30"/>
        </w:rPr>
      </w:pPr>
      <w:r>
        <w:rPr>
          <w:sz w:val="30"/>
        </w:rPr>
        <w:t xml:space="preserve">C. Solomon (Ed.), </w:t>
      </w:r>
      <w:r>
        <w:rPr>
          <w:i/>
          <w:sz w:val="30"/>
        </w:rPr>
        <w:t xml:space="preserve">Phenomenology and Existentialism, </w:t>
      </w:r>
      <w:r>
        <w:rPr>
          <w:sz w:val="30"/>
        </w:rPr>
        <w:t>(pp. 460–465). Boulder, CO: Rowman and Littlefield.</w:t>
      </w:r>
    </w:p>
    <w:p w14:paraId="7E002F00" w14:textId="77777777" w:rsidR="009A58DB" w:rsidRDefault="00000000">
      <w:pPr>
        <w:spacing w:before="49" w:line="249" w:lineRule="auto"/>
        <w:ind w:left="720" w:right="366" w:hanging="360"/>
        <w:jc w:val="both"/>
        <w:rPr>
          <w:sz w:val="30"/>
        </w:rPr>
      </w:pPr>
      <w:r>
        <w:rPr>
          <w:sz w:val="30"/>
        </w:rPr>
        <w:t>Merricks,</w:t>
      </w:r>
      <w:r>
        <w:rPr>
          <w:spacing w:val="-5"/>
          <w:sz w:val="30"/>
        </w:rPr>
        <w:t xml:space="preserve"> </w:t>
      </w:r>
      <w:r>
        <w:rPr>
          <w:sz w:val="30"/>
        </w:rPr>
        <w:t>Trenton.</w:t>
      </w:r>
      <w:r>
        <w:rPr>
          <w:spacing w:val="-5"/>
          <w:sz w:val="30"/>
        </w:rPr>
        <w:t xml:space="preserve"> </w:t>
      </w:r>
      <w:r>
        <w:rPr>
          <w:sz w:val="30"/>
        </w:rPr>
        <w:t>2001.</w:t>
      </w:r>
      <w:r>
        <w:rPr>
          <w:spacing w:val="-5"/>
          <w:sz w:val="30"/>
        </w:rPr>
        <w:t xml:space="preserve"> </w:t>
      </w:r>
      <w:r>
        <w:rPr>
          <w:i/>
          <w:sz w:val="30"/>
        </w:rPr>
        <w:t>Objects</w:t>
      </w:r>
      <w:r>
        <w:rPr>
          <w:i/>
          <w:spacing w:val="-6"/>
          <w:sz w:val="30"/>
        </w:rPr>
        <w:t xml:space="preserve"> </w:t>
      </w:r>
      <w:r>
        <w:rPr>
          <w:i/>
          <w:sz w:val="30"/>
        </w:rPr>
        <w:t>and</w:t>
      </w:r>
      <w:r>
        <w:rPr>
          <w:i/>
          <w:spacing w:val="-5"/>
          <w:sz w:val="30"/>
        </w:rPr>
        <w:t xml:space="preserve"> </w:t>
      </w:r>
      <w:r>
        <w:rPr>
          <w:i/>
          <w:sz w:val="30"/>
        </w:rPr>
        <w:t>Persons.</w:t>
      </w:r>
      <w:r>
        <w:rPr>
          <w:i/>
          <w:spacing w:val="-5"/>
          <w:sz w:val="30"/>
        </w:rPr>
        <w:t xml:space="preserve"> </w:t>
      </w:r>
      <w:r>
        <w:rPr>
          <w:sz w:val="30"/>
        </w:rPr>
        <w:t>New</w:t>
      </w:r>
      <w:r>
        <w:rPr>
          <w:spacing w:val="-1"/>
          <w:sz w:val="30"/>
        </w:rPr>
        <w:t xml:space="preserve"> </w:t>
      </w:r>
      <w:r>
        <w:rPr>
          <w:sz w:val="30"/>
        </w:rPr>
        <w:t>York:</w:t>
      </w:r>
      <w:r>
        <w:rPr>
          <w:spacing w:val="-1"/>
          <w:sz w:val="30"/>
        </w:rPr>
        <w:t xml:space="preserve"> </w:t>
      </w:r>
      <w:r>
        <w:rPr>
          <w:sz w:val="30"/>
        </w:rPr>
        <w:t>Oxford</w:t>
      </w:r>
      <w:r>
        <w:rPr>
          <w:spacing w:val="-1"/>
          <w:sz w:val="30"/>
        </w:rPr>
        <w:t xml:space="preserve"> </w:t>
      </w:r>
      <w:r>
        <w:rPr>
          <w:sz w:val="30"/>
        </w:rPr>
        <w:t xml:space="preserve">University </w:t>
      </w:r>
      <w:r>
        <w:rPr>
          <w:spacing w:val="-2"/>
          <w:sz w:val="30"/>
        </w:rPr>
        <w:t>Press.</w:t>
      </w:r>
    </w:p>
    <w:p w14:paraId="7E002F01" w14:textId="77777777" w:rsidR="009A58DB" w:rsidRDefault="00000000">
      <w:pPr>
        <w:pStyle w:val="BodyText"/>
        <w:spacing w:before="33" w:line="249" w:lineRule="auto"/>
        <w:ind w:left="720" w:right="361" w:hanging="360"/>
      </w:pPr>
      <w:r>
        <w:t xml:space="preserve">Montague, Richard. 1974a. The Proper Treatment of Quantification in Ordinary English. In Richard Thomason (Ed.), </w:t>
      </w:r>
      <w:r>
        <w:rPr>
          <w:i/>
        </w:rPr>
        <w:t xml:space="preserve">Formal Philosophy. </w:t>
      </w:r>
      <w:r>
        <w:t>New Haven, CT: Yale University Press.</w:t>
      </w:r>
    </w:p>
    <w:p w14:paraId="7E002F02" w14:textId="77777777" w:rsidR="009A58DB" w:rsidRDefault="00000000">
      <w:pPr>
        <w:spacing w:before="48" w:line="249" w:lineRule="auto"/>
        <w:ind w:left="720" w:right="371" w:hanging="360"/>
        <w:jc w:val="both"/>
        <w:rPr>
          <w:sz w:val="30"/>
        </w:rPr>
      </w:pPr>
      <w:r>
        <w:rPr>
          <w:sz w:val="30"/>
        </w:rPr>
        <w:t xml:space="preserve">Montague, Richard. 1974b. </w:t>
      </w:r>
      <w:r>
        <w:rPr>
          <w:i/>
          <w:sz w:val="30"/>
        </w:rPr>
        <w:t xml:space="preserve">Formal Philosophy: Selected Papers of Richard Montague. </w:t>
      </w:r>
      <w:r>
        <w:rPr>
          <w:sz w:val="30"/>
        </w:rPr>
        <w:t>New Haven, CT: Yale University Press.</w:t>
      </w:r>
    </w:p>
    <w:p w14:paraId="7E002F03" w14:textId="77777777" w:rsidR="009A58DB" w:rsidRDefault="00000000">
      <w:pPr>
        <w:pStyle w:val="BodyText"/>
        <w:spacing w:before="33" w:line="249" w:lineRule="auto"/>
        <w:ind w:left="720" w:right="1540" w:hanging="360"/>
        <w:jc w:val="left"/>
      </w:pPr>
      <w:r>
        <w:t xml:space="preserve">Moore, G.E. 1912. Ethics. Available online at: </w:t>
      </w:r>
      <w:hyperlink r:id="rId7">
        <w:r>
          <w:t>http://fair-use.org/g-</w:t>
        </w:r>
      </w:hyperlink>
      <w:r>
        <w:rPr>
          <w:spacing w:val="-2"/>
        </w:rPr>
        <w:t>e-moore/ethics/</w:t>
      </w:r>
    </w:p>
    <w:p w14:paraId="7E002F04" w14:textId="77777777" w:rsidR="009A58DB" w:rsidRDefault="00000000">
      <w:pPr>
        <w:spacing w:before="47" w:line="249" w:lineRule="auto"/>
        <w:ind w:left="720" w:right="1108" w:hanging="360"/>
        <w:rPr>
          <w:sz w:val="30"/>
        </w:rPr>
      </w:pPr>
      <w:r>
        <w:rPr>
          <w:sz w:val="30"/>
        </w:rPr>
        <w:t xml:space="preserve">Moore, Robert C. 1995. </w:t>
      </w:r>
      <w:r>
        <w:rPr>
          <w:i/>
          <w:sz w:val="30"/>
        </w:rPr>
        <w:t xml:space="preserve">Logic and Representation. </w:t>
      </w:r>
      <w:r>
        <w:rPr>
          <w:sz w:val="30"/>
        </w:rPr>
        <w:t>Palo Alto, CA: CSLI Publications.</w:t>
      </w:r>
    </w:p>
    <w:p w14:paraId="7E002F05" w14:textId="77777777" w:rsidR="009A58DB" w:rsidRDefault="00000000">
      <w:pPr>
        <w:spacing w:before="48" w:line="249" w:lineRule="auto"/>
        <w:ind w:left="720" w:right="794" w:hanging="360"/>
        <w:rPr>
          <w:sz w:val="30"/>
        </w:rPr>
      </w:pPr>
      <w:r>
        <w:rPr>
          <w:sz w:val="30"/>
        </w:rPr>
        <w:t>Nagel,</w:t>
      </w:r>
      <w:r>
        <w:rPr>
          <w:spacing w:val="40"/>
          <w:sz w:val="30"/>
        </w:rPr>
        <w:t xml:space="preserve"> </w:t>
      </w:r>
      <w:r>
        <w:rPr>
          <w:sz w:val="30"/>
        </w:rPr>
        <w:t>Ernest.</w:t>
      </w:r>
      <w:r>
        <w:rPr>
          <w:spacing w:val="40"/>
          <w:sz w:val="30"/>
        </w:rPr>
        <w:t xml:space="preserve"> </w:t>
      </w:r>
      <w:r>
        <w:rPr>
          <w:sz w:val="30"/>
        </w:rPr>
        <w:t>1962.</w:t>
      </w:r>
      <w:r>
        <w:rPr>
          <w:spacing w:val="40"/>
          <w:sz w:val="30"/>
        </w:rPr>
        <w:t xml:space="preserve"> </w:t>
      </w:r>
      <w:r>
        <w:rPr>
          <w:i/>
          <w:sz w:val="30"/>
        </w:rPr>
        <w:t>The</w:t>
      </w:r>
      <w:r>
        <w:rPr>
          <w:i/>
          <w:spacing w:val="40"/>
          <w:sz w:val="30"/>
        </w:rPr>
        <w:t xml:space="preserve"> </w:t>
      </w:r>
      <w:r>
        <w:rPr>
          <w:i/>
          <w:sz w:val="30"/>
        </w:rPr>
        <w:t>Structure</w:t>
      </w:r>
      <w:r>
        <w:rPr>
          <w:i/>
          <w:spacing w:val="40"/>
          <w:sz w:val="30"/>
        </w:rPr>
        <w:t xml:space="preserve"> </w:t>
      </w:r>
      <w:r>
        <w:rPr>
          <w:i/>
          <w:sz w:val="30"/>
        </w:rPr>
        <w:t>of</w:t>
      </w:r>
      <w:r>
        <w:rPr>
          <w:i/>
          <w:spacing w:val="40"/>
          <w:sz w:val="30"/>
        </w:rPr>
        <w:t xml:space="preserve"> </w:t>
      </w:r>
      <w:r>
        <w:rPr>
          <w:i/>
          <w:sz w:val="30"/>
        </w:rPr>
        <w:t>Science.</w:t>
      </w:r>
      <w:r>
        <w:rPr>
          <w:i/>
          <w:spacing w:val="40"/>
          <w:sz w:val="30"/>
        </w:rPr>
        <w:t xml:space="preserve"> </w:t>
      </w:r>
      <w:r>
        <w:rPr>
          <w:sz w:val="30"/>
        </w:rPr>
        <w:t>Indianapolis,</w:t>
      </w:r>
      <w:r>
        <w:rPr>
          <w:spacing w:val="40"/>
          <w:sz w:val="30"/>
        </w:rPr>
        <w:t xml:space="preserve"> </w:t>
      </w:r>
      <w:r>
        <w:rPr>
          <w:sz w:val="30"/>
        </w:rPr>
        <w:t xml:space="preserve">IN: </w:t>
      </w:r>
      <w:r>
        <w:rPr>
          <w:spacing w:val="-2"/>
          <w:sz w:val="30"/>
        </w:rPr>
        <w:t>Hackett.</w:t>
      </w:r>
    </w:p>
    <w:p w14:paraId="7E002F06" w14:textId="77777777" w:rsidR="009A58DB" w:rsidRDefault="00000000">
      <w:pPr>
        <w:pStyle w:val="BodyText"/>
        <w:tabs>
          <w:tab w:val="left" w:pos="3283"/>
          <w:tab w:val="left" w:pos="6423"/>
          <w:tab w:val="left" w:pos="8789"/>
        </w:tabs>
        <w:spacing w:before="32" w:line="280" w:lineRule="auto"/>
        <w:ind w:right="372"/>
        <w:jc w:val="left"/>
        <w:rPr>
          <w:i/>
        </w:rPr>
      </w:pPr>
      <w:r>
        <w:t xml:space="preserve">Nagel, Ernest. 2001. </w:t>
      </w:r>
      <w:r>
        <w:rPr>
          <w:i/>
        </w:rPr>
        <w:t xml:space="preserve">Gödel’s Proof. </w:t>
      </w:r>
      <w:r>
        <w:t>New York: New York University Press. Neurath,</w:t>
      </w:r>
      <w:r>
        <w:rPr>
          <w:spacing w:val="80"/>
        </w:rPr>
        <w:t xml:space="preserve"> </w:t>
      </w:r>
      <w:r>
        <w:t>Otto.</w:t>
      </w:r>
      <w:r>
        <w:rPr>
          <w:spacing w:val="80"/>
        </w:rPr>
        <w:t xml:space="preserve"> </w:t>
      </w:r>
      <w:r>
        <w:t>1932.</w:t>
      </w:r>
      <w:r>
        <w:tab/>
        <w:t>Protocol</w:t>
      </w:r>
      <w:r>
        <w:rPr>
          <w:spacing w:val="80"/>
        </w:rPr>
        <w:t xml:space="preserve"> </w:t>
      </w:r>
      <w:r>
        <w:t>Sentences.</w:t>
      </w:r>
      <w:r>
        <w:rPr>
          <w:spacing w:val="80"/>
        </w:rPr>
        <w:t xml:space="preserve"> </w:t>
      </w:r>
      <w:r>
        <w:t>In</w:t>
      </w:r>
      <w:r>
        <w:tab/>
        <w:t>A.J.</w:t>
      </w:r>
      <w:r>
        <w:rPr>
          <w:spacing w:val="80"/>
        </w:rPr>
        <w:t xml:space="preserve"> </w:t>
      </w:r>
      <w:r>
        <w:t>Ayer</w:t>
      </w:r>
      <w:r>
        <w:rPr>
          <w:spacing w:val="80"/>
        </w:rPr>
        <w:t xml:space="preserve"> </w:t>
      </w:r>
      <w:r>
        <w:t>(Ed.),</w:t>
      </w:r>
      <w:r>
        <w:tab/>
      </w:r>
      <w:r>
        <w:rPr>
          <w:i/>
          <w:spacing w:val="-2"/>
        </w:rPr>
        <w:t>Logical</w:t>
      </w:r>
    </w:p>
    <w:p w14:paraId="7E002F07" w14:textId="77777777" w:rsidR="009A58DB" w:rsidRDefault="00000000">
      <w:pPr>
        <w:spacing w:line="303" w:lineRule="exact"/>
        <w:ind w:left="720"/>
        <w:rPr>
          <w:sz w:val="30"/>
        </w:rPr>
      </w:pPr>
      <w:r>
        <w:rPr>
          <w:i/>
          <w:sz w:val="30"/>
        </w:rPr>
        <w:t>Positivism</w:t>
      </w:r>
      <w:r>
        <w:rPr>
          <w:i/>
          <w:spacing w:val="-6"/>
          <w:sz w:val="30"/>
        </w:rPr>
        <w:t xml:space="preserve"> </w:t>
      </w:r>
      <w:r>
        <w:rPr>
          <w:sz w:val="30"/>
        </w:rPr>
        <w:t>(pp.</w:t>
      </w:r>
      <w:r>
        <w:rPr>
          <w:spacing w:val="-3"/>
          <w:sz w:val="30"/>
        </w:rPr>
        <w:t xml:space="preserve"> </w:t>
      </w:r>
      <w:r>
        <w:rPr>
          <w:sz w:val="30"/>
        </w:rPr>
        <w:t>199–208).</w:t>
      </w:r>
      <w:r>
        <w:rPr>
          <w:spacing w:val="-2"/>
          <w:sz w:val="30"/>
        </w:rPr>
        <w:t xml:space="preserve"> </w:t>
      </w:r>
      <w:r>
        <w:rPr>
          <w:sz w:val="30"/>
        </w:rPr>
        <w:t>New</w:t>
      </w:r>
      <w:r>
        <w:rPr>
          <w:spacing w:val="-4"/>
          <w:sz w:val="30"/>
        </w:rPr>
        <w:t xml:space="preserve"> </w:t>
      </w:r>
      <w:r>
        <w:rPr>
          <w:sz w:val="30"/>
        </w:rPr>
        <w:t>York:</w:t>
      </w:r>
      <w:r>
        <w:rPr>
          <w:spacing w:val="-3"/>
          <w:sz w:val="30"/>
        </w:rPr>
        <w:t xml:space="preserve"> </w:t>
      </w:r>
      <w:r>
        <w:rPr>
          <w:sz w:val="30"/>
        </w:rPr>
        <w:t>The</w:t>
      </w:r>
      <w:r>
        <w:rPr>
          <w:spacing w:val="-4"/>
          <w:sz w:val="30"/>
        </w:rPr>
        <w:t xml:space="preserve"> </w:t>
      </w:r>
      <w:r>
        <w:rPr>
          <w:sz w:val="30"/>
        </w:rPr>
        <w:t>Free</w:t>
      </w:r>
      <w:r>
        <w:rPr>
          <w:spacing w:val="-3"/>
          <w:sz w:val="30"/>
        </w:rPr>
        <w:t xml:space="preserve"> </w:t>
      </w:r>
      <w:r>
        <w:rPr>
          <w:spacing w:val="-2"/>
          <w:sz w:val="30"/>
        </w:rPr>
        <w:t>Press.</w:t>
      </w:r>
    </w:p>
    <w:p w14:paraId="7E002F08" w14:textId="77777777" w:rsidR="009A58DB" w:rsidRDefault="00000000">
      <w:pPr>
        <w:spacing w:before="45" w:line="249" w:lineRule="auto"/>
        <w:ind w:left="720" w:right="3292" w:hanging="360"/>
        <w:rPr>
          <w:sz w:val="30"/>
        </w:rPr>
      </w:pPr>
      <w:r>
        <w:rPr>
          <w:sz w:val="30"/>
        </w:rPr>
        <w:t>Nietzsche,</w:t>
      </w:r>
      <w:r>
        <w:rPr>
          <w:spacing w:val="40"/>
          <w:sz w:val="30"/>
        </w:rPr>
        <w:t xml:space="preserve"> </w:t>
      </w:r>
      <w:r>
        <w:rPr>
          <w:sz w:val="30"/>
        </w:rPr>
        <w:t>F.</w:t>
      </w:r>
      <w:r>
        <w:rPr>
          <w:spacing w:val="40"/>
          <w:sz w:val="30"/>
        </w:rPr>
        <w:t xml:space="preserve"> </w:t>
      </w:r>
      <w:r>
        <w:rPr>
          <w:sz w:val="30"/>
        </w:rPr>
        <w:t>1966.</w:t>
      </w:r>
      <w:r>
        <w:rPr>
          <w:spacing w:val="40"/>
          <w:sz w:val="30"/>
        </w:rPr>
        <w:t xml:space="preserve"> </w:t>
      </w:r>
      <w:r>
        <w:rPr>
          <w:i/>
          <w:sz w:val="30"/>
        </w:rPr>
        <w:t>Beyond</w:t>
      </w:r>
      <w:r>
        <w:rPr>
          <w:i/>
          <w:spacing w:val="40"/>
          <w:sz w:val="30"/>
        </w:rPr>
        <w:t xml:space="preserve"> </w:t>
      </w:r>
      <w:r>
        <w:rPr>
          <w:i/>
          <w:sz w:val="30"/>
        </w:rPr>
        <w:t>Good</w:t>
      </w:r>
      <w:r>
        <w:rPr>
          <w:i/>
          <w:spacing w:val="40"/>
          <w:sz w:val="30"/>
        </w:rPr>
        <w:t xml:space="preserve"> </w:t>
      </w:r>
      <w:r>
        <w:rPr>
          <w:i/>
          <w:sz w:val="30"/>
        </w:rPr>
        <w:t>and</w:t>
      </w:r>
      <w:r>
        <w:rPr>
          <w:i/>
          <w:spacing w:val="40"/>
          <w:sz w:val="30"/>
        </w:rPr>
        <w:t xml:space="preserve"> </w:t>
      </w:r>
      <w:r>
        <w:rPr>
          <w:i/>
          <w:sz w:val="30"/>
        </w:rPr>
        <w:t>Evil.</w:t>
      </w:r>
      <w:r>
        <w:rPr>
          <w:i/>
          <w:spacing w:val="40"/>
          <w:sz w:val="30"/>
        </w:rPr>
        <w:t xml:space="preserve"> </w:t>
      </w:r>
      <w:r>
        <w:rPr>
          <w:sz w:val="30"/>
        </w:rPr>
        <w:t>New York: Vintage.</w:t>
      </w:r>
    </w:p>
    <w:p w14:paraId="7E002F09" w14:textId="77777777" w:rsidR="009A58DB" w:rsidRDefault="00000000">
      <w:pPr>
        <w:spacing w:before="48" w:line="249" w:lineRule="auto"/>
        <w:ind w:left="720" w:right="3292" w:hanging="360"/>
        <w:rPr>
          <w:sz w:val="30"/>
        </w:rPr>
      </w:pPr>
      <w:r>
        <w:rPr>
          <w:sz w:val="30"/>
        </w:rPr>
        <w:t>Nietzsche,</w:t>
      </w:r>
      <w:r>
        <w:rPr>
          <w:spacing w:val="40"/>
          <w:sz w:val="30"/>
        </w:rPr>
        <w:t xml:space="preserve"> </w:t>
      </w:r>
      <w:r>
        <w:rPr>
          <w:sz w:val="30"/>
        </w:rPr>
        <w:t>F.</w:t>
      </w:r>
      <w:r>
        <w:rPr>
          <w:spacing w:val="40"/>
          <w:sz w:val="30"/>
        </w:rPr>
        <w:t xml:space="preserve"> </w:t>
      </w:r>
      <w:r>
        <w:rPr>
          <w:sz w:val="30"/>
        </w:rPr>
        <w:t>1967a.</w:t>
      </w:r>
      <w:r>
        <w:rPr>
          <w:spacing w:val="40"/>
          <w:sz w:val="30"/>
        </w:rPr>
        <w:t xml:space="preserve"> </w:t>
      </w:r>
      <w:r>
        <w:rPr>
          <w:i/>
          <w:sz w:val="30"/>
        </w:rPr>
        <w:t>Genealogy</w:t>
      </w:r>
      <w:r>
        <w:rPr>
          <w:i/>
          <w:spacing w:val="40"/>
          <w:sz w:val="30"/>
        </w:rPr>
        <w:t xml:space="preserve"> </w:t>
      </w:r>
      <w:r>
        <w:rPr>
          <w:i/>
          <w:sz w:val="30"/>
        </w:rPr>
        <w:t>of</w:t>
      </w:r>
      <w:r>
        <w:rPr>
          <w:i/>
          <w:spacing w:val="40"/>
          <w:sz w:val="30"/>
        </w:rPr>
        <w:t xml:space="preserve"> </w:t>
      </w:r>
      <w:r>
        <w:rPr>
          <w:i/>
          <w:sz w:val="30"/>
        </w:rPr>
        <w:t>Morals.</w:t>
      </w:r>
      <w:r>
        <w:rPr>
          <w:i/>
          <w:spacing w:val="40"/>
          <w:sz w:val="30"/>
        </w:rPr>
        <w:t xml:space="preserve"> </w:t>
      </w:r>
      <w:r>
        <w:rPr>
          <w:sz w:val="30"/>
        </w:rPr>
        <w:t>New York: Vintage.</w:t>
      </w:r>
    </w:p>
    <w:p w14:paraId="7E002F0A" w14:textId="77777777" w:rsidR="009A58DB" w:rsidRDefault="00000000">
      <w:pPr>
        <w:spacing w:before="47" w:line="249" w:lineRule="auto"/>
        <w:ind w:left="720" w:right="3292" w:hanging="360"/>
        <w:rPr>
          <w:sz w:val="30"/>
        </w:rPr>
      </w:pPr>
      <w:r>
        <w:rPr>
          <w:sz w:val="30"/>
        </w:rPr>
        <w:t>Nietzsche,</w:t>
      </w:r>
      <w:r>
        <w:rPr>
          <w:spacing w:val="80"/>
          <w:sz w:val="30"/>
        </w:rPr>
        <w:t xml:space="preserve"> </w:t>
      </w:r>
      <w:r>
        <w:rPr>
          <w:sz w:val="30"/>
        </w:rPr>
        <w:t>F.</w:t>
      </w:r>
      <w:r>
        <w:rPr>
          <w:spacing w:val="80"/>
          <w:sz w:val="30"/>
        </w:rPr>
        <w:t xml:space="preserve"> </w:t>
      </w:r>
      <w:r>
        <w:rPr>
          <w:sz w:val="30"/>
        </w:rPr>
        <w:t>1967b.</w:t>
      </w:r>
      <w:r>
        <w:rPr>
          <w:spacing w:val="80"/>
          <w:sz w:val="30"/>
        </w:rPr>
        <w:t xml:space="preserve"> </w:t>
      </w:r>
      <w:r>
        <w:rPr>
          <w:i/>
          <w:sz w:val="30"/>
        </w:rPr>
        <w:t>The</w:t>
      </w:r>
      <w:r>
        <w:rPr>
          <w:i/>
          <w:spacing w:val="80"/>
          <w:sz w:val="30"/>
        </w:rPr>
        <w:t xml:space="preserve"> </w:t>
      </w:r>
      <w:r>
        <w:rPr>
          <w:i/>
          <w:sz w:val="30"/>
        </w:rPr>
        <w:t>Will</w:t>
      </w:r>
      <w:r>
        <w:rPr>
          <w:i/>
          <w:spacing w:val="80"/>
          <w:sz w:val="30"/>
        </w:rPr>
        <w:t xml:space="preserve"> </w:t>
      </w:r>
      <w:r>
        <w:rPr>
          <w:i/>
          <w:sz w:val="30"/>
        </w:rPr>
        <w:t>to</w:t>
      </w:r>
      <w:r>
        <w:rPr>
          <w:i/>
          <w:spacing w:val="80"/>
          <w:sz w:val="30"/>
        </w:rPr>
        <w:t xml:space="preserve"> </w:t>
      </w:r>
      <w:r>
        <w:rPr>
          <w:i/>
          <w:sz w:val="30"/>
        </w:rPr>
        <w:t>Power.</w:t>
      </w:r>
      <w:r>
        <w:rPr>
          <w:i/>
          <w:spacing w:val="80"/>
          <w:sz w:val="30"/>
        </w:rPr>
        <w:t xml:space="preserve"> </w:t>
      </w:r>
      <w:r>
        <w:rPr>
          <w:sz w:val="30"/>
        </w:rPr>
        <w:t>New York: Vintage.</w:t>
      </w:r>
    </w:p>
    <w:p w14:paraId="7E002F0B" w14:textId="77777777" w:rsidR="009A58DB" w:rsidRDefault="00000000">
      <w:pPr>
        <w:spacing w:before="32" w:line="280" w:lineRule="auto"/>
        <w:ind w:left="360" w:right="365"/>
        <w:rPr>
          <w:sz w:val="30"/>
        </w:rPr>
      </w:pPr>
      <w:r>
        <w:rPr>
          <w:sz w:val="30"/>
        </w:rPr>
        <w:t xml:space="preserve">Pap, Arthur. 1949. </w:t>
      </w:r>
      <w:r>
        <w:rPr>
          <w:i/>
          <w:sz w:val="30"/>
        </w:rPr>
        <w:t xml:space="preserve">Elements of Analytic Philosophy. </w:t>
      </w:r>
      <w:r>
        <w:rPr>
          <w:sz w:val="30"/>
        </w:rPr>
        <w:t>New York: Macmillan. Pap,</w:t>
      </w:r>
      <w:r>
        <w:rPr>
          <w:spacing w:val="35"/>
          <w:sz w:val="30"/>
        </w:rPr>
        <w:t xml:space="preserve"> </w:t>
      </w:r>
      <w:r>
        <w:rPr>
          <w:sz w:val="30"/>
        </w:rPr>
        <w:t>Arthur.</w:t>
      </w:r>
      <w:r>
        <w:rPr>
          <w:spacing w:val="36"/>
          <w:sz w:val="30"/>
        </w:rPr>
        <w:t xml:space="preserve"> </w:t>
      </w:r>
      <w:r>
        <w:rPr>
          <w:sz w:val="30"/>
        </w:rPr>
        <w:t>1958.</w:t>
      </w:r>
      <w:r>
        <w:rPr>
          <w:spacing w:val="36"/>
          <w:sz w:val="30"/>
        </w:rPr>
        <w:t xml:space="preserve"> </w:t>
      </w:r>
      <w:r>
        <w:rPr>
          <w:i/>
          <w:sz w:val="30"/>
        </w:rPr>
        <w:t>Semantics</w:t>
      </w:r>
      <w:r>
        <w:rPr>
          <w:i/>
          <w:spacing w:val="40"/>
          <w:sz w:val="30"/>
        </w:rPr>
        <w:t xml:space="preserve"> </w:t>
      </w:r>
      <w:r>
        <w:rPr>
          <w:i/>
          <w:sz w:val="30"/>
        </w:rPr>
        <w:t>and</w:t>
      </w:r>
      <w:r>
        <w:rPr>
          <w:i/>
          <w:spacing w:val="40"/>
          <w:sz w:val="30"/>
        </w:rPr>
        <w:t xml:space="preserve"> </w:t>
      </w:r>
      <w:r>
        <w:rPr>
          <w:i/>
          <w:sz w:val="30"/>
        </w:rPr>
        <w:t>Necessary</w:t>
      </w:r>
      <w:r>
        <w:rPr>
          <w:i/>
          <w:spacing w:val="40"/>
          <w:sz w:val="30"/>
        </w:rPr>
        <w:t xml:space="preserve"> </w:t>
      </w:r>
      <w:r>
        <w:rPr>
          <w:i/>
          <w:sz w:val="30"/>
        </w:rPr>
        <w:t>Truth.</w:t>
      </w:r>
      <w:r>
        <w:rPr>
          <w:i/>
          <w:spacing w:val="40"/>
          <w:sz w:val="30"/>
        </w:rPr>
        <w:t xml:space="preserve"> </w:t>
      </w:r>
      <w:r>
        <w:rPr>
          <w:sz w:val="30"/>
        </w:rPr>
        <w:t>New</w:t>
      </w:r>
      <w:r>
        <w:rPr>
          <w:spacing w:val="40"/>
          <w:sz w:val="30"/>
        </w:rPr>
        <w:t xml:space="preserve"> </w:t>
      </w:r>
      <w:r>
        <w:rPr>
          <w:sz w:val="30"/>
        </w:rPr>
        <w:t>Haven,</w:t>
      </w:r>
      <w:r>
        <w:rPr>
          <w:spacing w:val="40"/>
          <w:sz w:val="30"/>
        </w:rPr>
        <w:t xml:space="preserve"> </w:t>
      </w:r>
      <w:r>
        <w:rPr>
          <w:sz w:val="30"/>
        </w:rPr>
        <w:t>CT:</w:t>
      </w:r>
      <w:r>
        <w:rPr>
          <w:spacing w:val="40"/>
          <w:sz w:val="30"/>
        </w:rPr>
        <w:t xml:space="preserve"> </w:t>
      </w:r>
      <w:r>
        <w:rPr>
          <w:sz w:val="30"/>
        </w:rPr>
        <w:t>Yale</w:t>
      </w:r>
    </w:p>
    <w:p w14:paraId="7E002F0C" w14:textId="77777777" w:rsidR="009A58DB" w:rsidRDefault="00000000">
      <w:pPr>
        <w:pStyle w:val="BodyText"/>
        <w:spacing w:line="303" w:lineRule="exact"/>
        <w:ind w:left="720"/>
        <w:jc w:val="left"/>
      </w:pPr>
      <w:r>
        <w:t>University</w:t>
      </w:r>
      <w:r>
        <w:rPr>
          <w:spacing w:val="-7"/>
        </w:rPr>
        <w:t xml:space="preserve"> </w:t>
      </w:r>
      <w:r>
        <w:rPr>
          <w:spacing w:val="-2"/>
        </w:rPr>
        <w:t>Press.</w:t>
      </w:r>
    </w:p>
    <w:p w14:paraId="7E002F0D" w14:textId="77777777" w:rsidR="009A58DB" w:rsidRDefault="00000000">
      <w:pPr>
        <w:spacing w:before="46" w:line="249" w:lineRule="auto"/>
        <w:ind w:left="720" w:hanging="360"/>
        <w:rPr>
          <w:sz w:val="30"/>
        </w:rPr>
      </w:pPr>
      <w:r>
        <w:rPr>
          <w:sz w:val="30"/>
        </w:rPr>
        <w:t>Pap,</w:t>
      </w:r>
      <w:r>
        <w:rPr>
          <w:spacing w:val="35"/>
          <w:sz w:val="30"/>
        </w:rPr>
        <w:t xml:space="preserve"> </w:t>
      </w:r>
      <w:r>
        <w:rPr>
          <w:sz w:val="30"/>
        </w:rPr>
        <w:t>Arthur.</w:t>
      </w:r>
      <w:r>
        <w:rPr>
          <w:spacing w:val="36"/>
          <w:sz w:val="30"/>
        </w:rPr>
        <w:t xml:space="preserve"> </w:t>
      </w:r>
      <w:r>
        <w:rPr>
          <w:sz w:val="30"/>
        </w:rPr>
        <w:t>1962.</w:t>
      </w:r>
      <w:r>
        <w:rPr>
          <w:spacing w:val="36"/>
          <w:sz w:val="30"/>
        </w:rPr>
        <w:t xml:space="preserve"> </w:t>
      </w:r>
      <w:r>
        <w:rPr>
          <w:i/>
          <w:sz w:val="30"/>
        </w:rPr>
        <w:t>Introduction</w:t>
      </w:r>
      <w:r>
        <w:rPr>
          <w:i/>
          <w:spacing w:val="40"/>
          <w:sz w:val="30"/>
        </w:rPr>
        <w:t xml:space="preserve"> </w:t>
      </w:r>
      <w:r>
        <w:rPr>
          <w:i/>
          <w:sz w:val="30"/>
        </w:rPr>
        <w:t>to</w:t>
      </w:r>
      <w:r>
        <w:rPr>
          <w:i/>
          <w:spacing w:val="40"/>
          <w:sz w:val="30"/>
        </w:rPr>
        <w:t xml:space="preserve"> </w:t>
      </w:r>
      <w:r>
        <w:rPr>
          <w:i/>
          <w:sz w:val="30"/>
        </w:rPr>
        <w:t>the</w:t>
      </w:r>
      <w:r>
        <w:rPr>
          <w:i/>
          <w:spacing w:val="40"/>
          <w:sz w:val="30"/>
        </w:rPr>
        <w:t xml:space="preserve"> </w:t>
      </w:r>
      <w:r>
        <w:rPr>
          <w:i/>
          <w:sz w:val="30"/>
        </w:rPr>
        <w:t>Philosophy</w:t>
      </w:r>
      <w:r>
        <w:rPr>
          <w:i/>
          <w:spacing w:val="40"/>
          <w:sz w:val="30"/>
        </w:rPr>
        <w:t xml:space="preserve"> </w:t>
      </w:r>
      <w:r>
        <w:rPr>
          <w:i/>
          <w:sz w:val="30"/>
        </w:rPr>
        <w:t>of</w:t>
      </w:r>
      <w:r>
        <w:rPr>
          <w:i/>
          <w:spacing w:val="40"/>
          <w:sz w:val="30"/>
        </w:rPr>
        <w:t xml:space="preserve"> </w:t>
      </w:r>
      <w:r>
        <w:rPr>
          <w:i/>
          <w:sz w:val="30"/>
        </w:rPr>
        <w:t>Science.</w:t>
      </w:r>
      <w:r>
        <w:rPr>
          <w:i/>
          <w:spacing w:val="40"/>
          <w:sz w:val="30"/>
        </w:rPr>
        <w:t xml:space="preserve"> </w:t>
      </w:r>
      <w:r>
        <w:rPr>
          <w:sz w:val="30"/>
        </w:rPr>
        <w:t>New</w:t>
      </w:r>
      <w:r>
        <w:rPr>
          <w:spacing w:val="40"/>
          <w:sz w:val="30"/>
        </w:rPr>
        <w:t xml:space="preserve"> </w:t>
      </w:r>
      <w:r>
        <w:rPr>
          <w:sz w:val="30"/>
        </w:rPr>
        <w:t>Haven, CT: Yale University Press.</w:t>
      </w:r>
    </w:p>
    <w:p w14:paraId="7E002F0E" w14:textId="77777777" w:rsidR="009A58DB" w:rsidRDefault="00000000">
      <w:pPr>
        <w:spacing w:before="47" w:line="280" w:lineRule="auto"/>
        <w:ind w:left="360" w:right="1108"/>
        <w:rPr>
          <w:sz w:val="30"/>
        </w:rPr>
      </w:pPr>
      <w:r>
        <w:rPr>
          <w:sz w:val="30"/>
        </w:rPr>
        <w:t xml:space="preserve">Peirce, Charles S. 1955. </w:t>
      </w:r>
      <w:r>
        <w:rPr>
          <w:i/>
          <w:sz w:val="30"/>
        </w:rPr>
        <w:t xml:space="preserve">Selected Writings. </w:t>
      </w:r>
      <w:r>
        <w:rPr>
          <w:sz w:val="30"/>
        </w:rPr>
        <w:t>New York: Dover. Plantinga,</w:t>
      </w:r>
      <w:r>
        <w:rPr>
          <w:spacing w:val="-5"/>
          <w:sz w:val="30"/>
        </w:rPr>
        <w:t xml:space="preserve"> </w:t>
      </w:r>
      <w:r>
        <w:rPr>
          <w:sz w:val="30"/>
        </w:rPr>
        <w:t>Alvin.</w:t>
      </w:r>
      <w:r>
        <w:rPr>
          <w:spacing w:val="-5"/>
          <w:sz w:val="30"/>
        </w:rPr>
        <w:t xml:space="preserve"> </w:t>
      </w:r>
      <w:r>
        <w:rPr>
          <w:sz w:val="30"/>
        </w:rPr>
        <w:t>1974.</w:t>
      </w:r>
      <w:r>
        <w:rPr>
          <w:spacing w:val="-5"/>
          <w:sz w:val="30"/>
        </w:rPr>
        <w:t xml:space="preserve"> </w:t>
      </w:r>
      <w:r>
        <w:rPr>
          <w:i/>
          <w:sz w:val="30"/>
        </w:rPr>
        <w:t>The</w:t>
      </w:r>
      <w:r>
        <w:rPr>
          <w:i/>
          <w:spacing w:val="-6"/>
          <w:sz w:val="30"/>
        </w:rPr>
        <w:t xml:space="preserve"> </w:t>
      </w:r>
      <w:r>
        <w:rPr>
          <w:i/>
          <w:sz w:val="30"/>
        </w:rPr>
        <w:t>Nature</w:t>
      </w:r>
      <w:r>
        <w:rPr>
          <w:i/>
          <w:spacing w:val="-6"/>
          <w:sz w:val="30"/>
        </w:rPr>
        <w:t xml:space="preserve"> </w:t>
      </w:r>
      <w:r>
        <w:rPr>
          <w:i/>
          <w:sz w:val="30"/>
        </w:rPr>
        <w:t>of</w:t>
      </w:r>
      <w:r>
        <w:rPr>
          <w:i/>
          <w:spacing w:val="-6"/>
          <w:sz w:val="30"/>
        </w:rPr>
        <w:t xml:space="preserve"> </w:t>
      </w:r>
      <w:r>
        <w:rPr>
          <w:i/>
          <w:sz w:val="30"/>
        </w:rPr>
        <w:t>Necessity.</w:t>
      </w:r>
      <w:r>
        <w:rPr>
          <w:i/>
          <w:spacing w:val="-5"/>
          <w:sz w:val="30"/>
        </w:rPr>
        <w:t xml:space="preserve"> </w:t>
      </w:r>
      <w:r>
        <w:rPr>
          <w:sz w:val="30"/>
        </w:rPr>
        <w:t>New York: Oxford</w:t>
      </w:r>
    </w:p>
    <w:p w14:paraId="7E002F0F" w14:textId="77777777" w:rsidR="009A58DB" w:rsidRDefault="00000000">
      <w:pPr>
        <w:pStyle w:val="BodyText"/>
        <w:spacing w:line="303" w:lineRule="exact"/>
        <w:ind w:left="720"/>
        <w:jc w:val="left"/>
      </w:pPr>
      <w:r>
        <w:t>University</w:t>
      </w:r>
      <w:r>
        <w:rPr>
          <w:spacing w:val="-7"/>
        </w:rPr>
        <w:t xml:space="preserve"> </w:t>
      </w:r>
      <w:r>
        <w:rPr>
          <w:spacing w:val="-2"/>
        </w:rPr>
        <w:t>Press.</w:t>
      </w:r>
    </w:p>
    <w:p w14:paraId="7E002F10" w14:textId="77777777" w:rsidR="009A58DB" w:rsidRDefault="00000000">
      <w:pPr>
        <w:spacing w:before="45" w:line="249" w:lineRule="auto"/>
        <w:ind w:left="720" w:right="794" w:hanging="360"/>
        <w:rPr>
          <w:sz w:val="30"/>
        </w:rPr>
      </w:pPr>
      <w:r>
        <w:rPr>
          <w:sz w:val="30"/>
        </w:rPr>
        <w:t xml:space="preserve">Popper, Karl. 1957. </w:t>
      </w:r>
      <w:r>
        <w:rPr>
          <w:i/>
          <w:sz w:val="30"/>
        </w:rPr>
        <w:t xml:space="preserve">The Poverty of Historicism. </w:t>
      </w:r>
      <w:r>
        <w:rPr>
          <w:sz w:val="30"/>
        </w:rPr>
        <w:t xml:space="preserve">London: Taylor &amp; </w:t>
      </w:r>
      <w:r>
        <w:rPr>
          <w:spacing w:val="-2"/>
          <w:sz w:val="30"/>
        </w:rPr>
        <w:t>Francis.</w:t>
      </w:r>
    </w:p>
    <w:p w14:paraId="7E002F11" w14:textId="77777777" w:rsidR="009A58DB" w:rsidRDefault="009A58DB">
      <w:pPr>
        <w:spacing w:line="249" w:lineRule="auto"/>
        <w:rPr>
          <w:sz w:val="30"/>
        </w:rPr>
        <w:sectPr w:rsidR="009A58DB">
          <w:pgSz w:w="12240" w:h="15840"/>
          <w:pgMar w:top="1380" w:right="1080" w:bottom="280" w:left="1080" w:header="720" w:footer="720" w:gutter="0"/>
          <w:cols w:space="720"/>
        </w:sectPr>
      </w:pPr>
    </w:p>
    <w:p w14:paraId="7E002F12" w14:textId="77777777" w:rsidR="009A58DB" w:rsidRDefault="00000000">
      <w:pPr>
        <w:spacing w:before="65" w:line="249" w:lineRule="auto"/>
        <w:ind w:left="720" w:right="1840" w:hanging="360"/>
        <w:rPr>
          <w:sz w:val="30"/>
        </w:rPr>
      </w:pPr>
      <w:r>
        <w:rPr>
          <w:sz w:val="30"/>
        </w:rPr>
        <w:t>Popper,</w:t>
      </w:r>
      <w:r>
        <w:rPr>
          <w:spacing w:val="-1"/>
          <w:sz w:val="30"/>
        </w:rPr>
        <w:t xml:space="preserve"> </w:t>
      </w:r>
      <w:r>
        <w:rPr>
          <w:sz w:val="30"/>
        </w:rPr>
        <w:t>Karl.</w:t>
      </w:r>
      <w:r>
        <w:rPr>
          <w:spacing w:val="-1"/>
          <w:sz w:val="30"/>
        </w:rPr>
        <w:t xml:space="preserve"> </w:t>
      </w:r>
      <w:r>
        <w:rPr>
          <w:sz w:val="30"/>
        </w:rPr>
        <w:t xml:space="preserve">1959. </w:t>
      </w:r>
      <w:r>
        <w:rPr>
          <w:i/>
          <w:sz w:val="30"/>
        </w:rPr>
        <w:t xml:space="preserve">The Logic of Scientific Discovery. </w:t>
      </w:r>
      <w:r>
        <w:rPr>
          <w:sz w:val="30"/>
        </w:rPr>
        <w:t>London: Taylor &amp; Francis.</w:t>
      </w:r>
    </w:p>
    <w:p w14:paraId="7E002F13" w14:textId="77777777" w:rsidR="009A58DB" w:rsidRDefault="00000000">
      <w:pPr>
        <w:spacing w:before="47" w:line="249" w:lineRule="auto"/>
        <w:ind w:left="720" w:right="2223" w:hanging="360"/>
        <w:rPr>
          <w:sz w:val="30"/>
        </w:rPr>
      </w:pPr>
      <w:r>
        <w:rPr>
          <w:sz w:val="30"/>
        </w:rPr>
        <w:t xml:space="preserve">Popper, Karl. 1983. </w:t>
      </w:r>
      <w:r>
        <w:rPr>
          <w:i/>
          <w:sz w:val="30"/>
        </w:rPr>
        <w:t xml:space="preserve">Realism and the Aim of Science. </w:t>
      </w:r>
      <w:r>
        <w:rPr>
          <w:sz w:val="30"/>
        </w:rPr>
        <w:t>London:</w:t>
      </w:r>
      <w:r>
        <w:rPr>
          <w:spacing w:val="40"/>
          <w:sz w:val="30"/>
        </w:rPr>
        <w:t xml:space="preserve"> </w:t>
      </w:r>
      <w:r>
        <w:rPr>
          <w:sz w:val="30"/>
        </w:rPr>
        <w:t>Taylor &amp; Francis.</w:t>
      </w:r>
    </w:p>
    <w:p w14:paraId="7E002F14" w14:textId="77777777" w:rsidR="009A58DB" w:rsidRDefault="00000000">
      <w:pPr>
        <w:spacing w:before="33" w:line="249" w:lineRule="auto"/>
        <w:ind w:left="720" w:right="2223" w:hanging="360"/>
        <w:rPr>
          <w:sz w:val="30"/>
        </w:rPr>
      </w:pPr>
      <w:r>
        <w:rPr>
          <w:sz w:val="30"/>
        </w:rPr>
        <w:t>Popper,</w:t>
      </w:r>
      <w:r>
        <w:rPr>
          <w:spacing w:val="40"/>
          <w:sz w:val="30"/>
        </w:rPr>
        <w:t xml:space="preserve"> </w:t>
      </w:r>
      <w:r>
        <w:rPr>
          <w:sz w:val="30"/>
        </w:rPr>
        <w:t>Karl.</w:t>
      </w:r>
      <w:r>
        <w:rPr>
          <w:spacing w:val="40"/>
          <w:sz w:val="30"/>
        </w:rPr>
        <w:t xml:space="preserve"> </w:t>
      </w:r>
      <w:r>
        <w:rPr>
          <w:sz w:val="30"/>
        </w:rPr>
        <w:t>1992.</w:t>
      </w:r>
      <w:r>
        <w:rPr>
          <w:spacing w:val="40"/>
          <w:sz w:val="30"/>
        </w:rPr>
        <w:t xml:space="preserve"> </w:t>
      </w:r>
      <w:r>
        <w:rPr>
          <w:i/>
          <w:sz w:val="30"/>
        </w:rPr>
        <w:t>The</w:t>
      </w:r>
      <w:r>
        <w:rPr>
          <w:i/>
          <w:spacing w:val="40"/>
          <w:sz w:val="30"/>
        </w:rPr>
        <w:t xml:space="preserve"> </w:t>
      </w:r>
      <w:r>
        <w:rPr>
          <w:i/>
          <w:sz w:val="30"/>
        </w:rPr>
        <w:t>Open</w:t>
      </w:r>
      <w:r>
        <w:rPr>
          <w:i/>
          <w:spacing w:val="40"/>
          <w:sz w:val="30"/>
        </w:rPr>
        <w:t xml:space="preserve"> </w:t>
      </w:r>
      <w:r>
        <w:rPr>
          <w:i/>
          <w:sz w:val="30"/>
        </w:rPr>
        <w:t>Universe.</w:t>
      </w:r>
      <w:r>
        <w:rPr>
          <w:i/>
          <w:spacing w:val="40"/>
          <w:sz w:val="30"/>
        </w:rPr>
        <w:t xml:space="preserve"> </w:t>
      </w:r>
      <w:r>
        <w:rPr>
          <w:sz w:val="30"/>
        </w:rPr>
        <w:t>London:</w:t>
      </w:r>
      <w:r>
        <w:rPr>
          <w:spacing w:val="40"/>
          <w:sz w:val="30"/>
        </w:rPr>
        <w:t xml:space="preserve"> </w:t>
      </w:r>
      <w:r>
        <w:rPr>
          <w:sz w:val="30"/>
        </w:rPr>
        <w:t>Taylor</w:t>
      </w:r>
      <w:r>
        <w:rPr>
          <w:spacing w:val="40"/>
          <w:sz w:val="30"/>
        </w:rPr>
        <w:t xml:space="preserve"> </w:t>
      </w:r>
      <w:r>
        <w:rPr>
          <w:sz w:val="30"/>
        </w:rPr>
        <w:t xml:space="preserve">&amp; </w:t>
      </w:r>
      <w:r>
        <w:rPr>
          <w:spacing w:val="-2"/>
          <w:sz w:val="30"/>
        </w:rPr>
        <w:t>Francis.</w:t>
      </w:r>
    </w:p>
    <w:p w14:paraId="7E002F15" w14:textId="77777777" w:rsidR="009A58DB" w:rsidRDefault="00000000">
      <w:pPr>
        <w:pStyle w:val="BodyText"/>
        <w:spacing w:before="47" w:line="249" w:lineRule="auto"/>
        <w:ind w:left="720" w:hanging="360"/>
        <w:jc w:val="left"/>
      </w:pPr>
      <w:r>
        <w:t>Putnam,</w:t>
      </w:r>
      <w:r>
        <w:rPr>
          <w:spacing w:val="74"/>
        </w:rPr>
        <w:t xml:space="preserve"> </w:t>
      </w:r>
      <w:r>
        <w:t>Hilary.</w:t>
      </w:r>
      <w:r>
        <w:rPr>
          <w:spacing w:val="74"/>
        </w:rPr>
        <w:t xml:space="preserve"> </w:t>
      </w:r>
      <w:r>
        <w:t>1975.</w:t>
      </w:r>
      <w:r>
        <w:rPr>
          <w:spacing w:val="74"/>
        </w:rPr>
        <w:t xml:space="preserve"> </w:t>
      </w:r>
      <w:r>
        <w:t>The</w:t>
      </w:r>
      <w:r>
        <w:rPr>
          <w:spacing w:val="74"/>
        </w:rPr>
        <w:t xml:space="preserve"> </w:t>
      </w:r>
      <w:r>
        <w:t>Meaning</w:t>
      </w:r>
      <w:r>
        <w:rPr>
          <w:spacing w:val="74"/>
        </w:rPr>
        <w:t xml:space="preserve"> </w:t>
      </w:r>
      <w:r>
        <w:t>of</w:t>
      </w:r>
      <w:r>
        <w:rPr>
          <w:spacing w:val="74"/>
        </w:rPr>
        <w:t xml:space="preserve"> </w:t>
      </w:r>
      <w:r>
        <w:t>“Meaning.”</w:t>
      </w:r>
      <w:r>
        <w:rPr>
          <w:spacing w:val="74"/>
        </w:rPr>
        <w:t xml:space="preserve"> </w:t>
      </w:r>
      <w:r>
        <w:t>In</w:t>
      </w:r>
      <w:r>
        <w:rPr>
          <w:spacing w:val="74"/>
        </w:rPr>
        <w:t xml:space="preserve"> </w:t>
      </w:r>
      <w:r>
        <w:t>A.</w:t>
      </w:r>
      <w:r>
        <w:rPr>
          <w:spacing w:val="74"/>
        </w:rPr>
        <w:t xml:space="preserve"> </w:t>
      </w:r>
      <w:r>
        <w:t>Pessin</w:t>
      </w:r>
      <w:r>
        <w:rPr>
          <w:spacing w:val="74"/>
        </w:rPr>
        <w:t xml:space="preserve"> </w:t>
      </w:r>
      <w:r>
        <w:t>and</w:t>
      </w:r>
      <w:r>
        <w:rPr>
          <w:spacing w:val="74"/>
        </w:rPr>
        <w:t xml:space="preserve"> </w:t>
      </w:r>
      <w:r>
        <w:t>S. Goldberg</w:t>
      </w:r>
      <w:r>
        <w:rPr>
          <w:spacing w:val="39"/>
        </w:rPr>
        <w:t xml:space="preserve"> </w:t>
      </w:r>
      <w:r>
        <w:t>(Eds.),</w:t>
      </w:r>
      <w:r>
        <w:rPr>
          <w:spacing w:val="42"/>
        </w:rPr>
        <w:t xml:space="preserve"> </w:t>
      </w:r>
      <w:r>
        <w:rPr>
          <w:i/>
        </w:rPr>
        <w:t>The</w:t>
      </w:r>
      <w:r>
        <w:rPr>
          <w:i/>
          <w:spacing w:val="45"/>
        </w:rPr>
        <w:t xml:space="preserve"> </w:t>
      </w:r>
      <w:r>
        <w:rPr>
          <w:i/>
        </w:rPr>
        <w:t>Twin-Earth</w:t>
      </w:r>
      <w:r>
        <w:rPr>
          <w:i/>
          <w:spacing w:val="46"/>
        </w:rPr>
        <w:t xml:space="preserve"> </w:t>
      </w:r>
      <w:r>
        <w:rPr>
          <w:i/>
        </w:rPr>
        <w:t>Chronicles,</w:t>
      </w:r>
      <w:r>
        <w:rPr>
          <w:i/>
          <w:spacing w:val="46"/>
        </w:rPr>
        <w:t xml:space="preserve"> </w:t>
      </w:r>
      <w:r>
        <w:t>(pp.</w:t>
      </w:r>
      <w:r>
        <w:rPr>
          <w:spacing w:val="46"/>
        </w:rPr>
        <w:t xml:space="preserve"> </w:t>
      </w:r>
      <w:r>
        <w:t>1–52).</w:t>
      </w:r>
      <w:r>
        <w:rPr>
          <w:spacing w:val="45"/>
        </w:rPr>
        <w:t xml:space="preserve"> </w:t>
      </w:r>
      <w:r>
        <w:t>Armonk,</w:t>
      </w:r>
      <w:r>
        <w:rPr>
          <w:spacing w:val="46"/>
        </w:rPr>
        <w:t xml:space="preserve"> </w:t>
      </w:r>
      <w:r>
        <w:rPr>
          <w:spacing w:val="-5"/>
        </w:rPr>
        <w:t>NY:</w:t>
      </w:r>
    </w:p>
    <w:p w14:paraId="7E002F16" w14:textId="77777777" w:rsidR="009A58DB" w:rsidRDefault="00000000">
      <w:pPr>
        <w:pStyle w:val="BodyText"/>
        <w:spacing w:before="2"/>
        <w:ind w:left="720"/>
        <w:jc w:val="left"/>
      </w:pPr>
      <w:r>
        <w:t>M.E.</w:t>
      </w:r>
      <w:r>
        <w:rPr>
          <w:spacing w:val="-2"/>
        </w:rPr>
        <w:t xml:space="preserve"> Sharpe.</w:t>
      </w:r>
    </w:p>
    <w:p w14:paraId="7E002F17" w14:textId="77777777" w:rsidR="009A58DB" w:rsidRDefault="00000000">
      <w:pPr>
        <w:spacing w:before="45" w:line="249" w:lineRule="auto"/>
        <w:ind w:left="720" w:right="360" w:hanging="360"/>
        <w:jc w:val="both"/>
        <w:rPr>
          <w:sz w:val="30"/>
        </w:rPr>
      </w:pPr>
      <w:r>
        <w:rPr>
          <w:sz w:val="30"/>
        </w:rPr>
        <w:t xml:space="preserve">Putnam, Hilary. 1996. Introduction to </w:t>
      </w:r>
      <w:r>
        <w:rPr>
          <w:i/>
          <w:sz w:val="30"/>
        </w:rPr>
        <w:t xml:space="preserve">The Twin-Earth Chronicles. </w:t>
      </w:r>
      <w:r>
        <w:rPr>
          <w:sz w:val="30"/>
        </w:rPr>
        <w:t xml:space="preserve">In A. Pessin and S. Goldberg (Eds.), </w:t>
      </w:r>
      <w:r>
        <w:rPr>
          <w:i/>
          <w:sz w:val="30"/>
        </w:rPr>
        <w:t xml:space="preserve">The Twin-Earth Chronicles, </w:t>
      </w:r>
      <w:r>
        <w:rPr>
          <w:sz w:val="30"/>
        </w:rPr>
        <w:t>(pp. xv-xxii). Armonk, NY: M.E. Sharpe.</w:t>
      </w:r>
    </w:p>
    <w:p w14:paraId="7E002F18" w14:textId="77777777" w:rsidR="009A58DB" w:rsidRDefault="00000000">
      <w:pPr>
        <w:spacing w:before="49" w:line="249" w:lineRule="auto"/>
        <w:ind w:left="720" w:right="358" w:hanging="360"/>
        <w:jc w:val="both"/>
        <w:rPr>
          <w:sz w:val="30"/>
        </w:rPr>
      </w:pPr>
      <w:r>
        <w:rPr>
          <w:sz w:val="30"/>
        </w:rPr>
        <w:t>Pylyshin,</w:t>
      </w:r>
      <w:r>
        <w:rPr>
          <w:spacing w:val="-5"/>
          <w:sz w:val="30"/>
        </w:rPr>
        <w:t xml:space="preserve"> </w:t>
      </w:r>
      <w:r>
        <w:rPr>
          <w:sz w:val="30"/>
        </w:rPr>
        <w:t>Zenon</w:t>
      </w:r>
      <w:r>
        <w:rPr>
          <w:spacing w:val="-5"/>
          <w:sz w:val="30"/>
        </w:rPr>
        <w:t xml:space="preserve"> </w:t>
      </w:r>
      <w:r>
        <w:rPr>
          <w:sz w:val="30"/>
        </w:rPr>
        <w:t>W.</w:t>
      </w:r>
      <w:r>
        <w:rPr>
          <w:spacing w:val="-5"/>
          <w:sz w:val="30"/>
        </w:rPr>
        <w:t xml:space="preserve"> </w:t>
      </w:r>
      <w:r>
        <w:rPr>
          <w:sz w:val="30"/>
        </w:rPr>
        <w:t>1984.</w:t>
      </w:r>
      <w:r>
        <w:rPr>
          <w:spacing w:val="-5"/>
          <w:sz w:val="30"/>
        </w:rPr>
        <w:t xml:space="preserve"> </w:t>
      </w:r>
      <w:r>
        <w:rPr>
          <w:i/>
          <w:sz w:val="30"/>
        </w:rPr>
        <w:t>Computation</w:t>
      </w:r>
      <w:r>
        <w:rPr>
          <w:i/>
          <w:spacing w:val="-1"/>
          <w:sz w:val="30"/>
        </w:rPr>
        <w:t xml:space="preserve"> </w:t>
      </w:r>
      <w:r>
        <w:rPr>
          <w:i/>
          <w:sz w:val="30"/>
        </w:rPr>
        <w:t>and</w:t>
      </w:r>
      <w:r>
        <w:rPr>
          <w:i/>
          <w:spacing w:val="-1"/>
          <w:sz w:val="30"/>
        </w:rPr>
        <w:t xml:space="preserve"> </w:t>
      </w:r>
      <w:r>
        <w:rPr>
          <w:i/>
          <w:sz w:val="30"/>
        </w:rPr>
        <w:t xml:space="preserve">Cognition. </w:t>
      </w:r>
      <w:r>
        <w:rPr>
          <w:sz w:val="30"/>
        </w:rPr>
        <w:t>Cambridge, MA: The MIT Press.</w:t>
      </w:r>
    </w:p>
    <w:p w14:paraId="7E002F19" w14:textId="77777777" w:rsidR="009A58DB" w:rsidRDefault="00000000">
      <w:pPr>
        <w:pStyle w:val="BodyText"/>
        <w:spacing w:before="48" w:line="249" w:lineRule="auto"/>
        <w:ind w:left="720" w:hanging="360"/>
        <w:jc w:val="left"/>
      </w:pPr>
      <w:r>
        <w:t>Quine,</w:t>
      </w:r>
      <w:r>
        <w:rPr>
          <w:spacing w:val="40"/>
        </w:rPr>
        <w:t xml:space="preserve"> </w:t>
      </w:r>
      <w:r>
        <w:t>Willard</w:t>
      </w:r>
      <w:r>
        <w:rPr>
          <w:spacing w:val="40"/>
        </w:rPr>
        <w:t xml:space="preserve"> </w:t>
      </w:r>
      <w:r>
        <w:t>van</w:t>
      </w:r>
      <w:r>
        <w:rPr>
          <w:spacing w:val="40"/>
        </w:rPr>
        <w:t xml:space="preserve"> </w:t>
      </w:r>
      <w:r>
        <w:t>Orman.</w:t>
      </w:r>
      <w:r>
        <w:rPr>
          <w:spacing w:val="40"/>
        </w:rPr>
        <w:t xml:space="preserve"> </w:t>
      </w:r>
      <w:r>
        <w:t>1940.</w:t>
      </w:r>
      <w:r>
        <w:rPr>
          <w:spacing w:val="40"/>
        </w:rPr>
        <w:t xml:space="preserve"> </w:t>
      </w:r>
      <w:r>
        <w:rPr>
          <w:i/>
        </w:rPr>
        <w:t>Mathematical</w:t>
      </w:r>
      <w:r>
        <w:rPr>
          <w:i/>
          <w:spacing w:val="40"/>
        </w:rPr>
        <w:t xml:space="preserve"> </w:t>
      </w:r>
      <w:r>
        <w:rPr>
          <w:i/>
        </w:rPr>
        <w:t>Logic.</w:t>
      </w:r>
      <w:r>
        <w:rPr>
          <w:i/>
          <w:spacing w:val="40"/>
        </w:rPr>
        <w:t xml:space="preserve"> </w:t>
      </w:r>
      <w:r>
        <w:t>Cambridge,</w:t>
      </w:r>
      <w:r>
        <w:rPr>
          <w:spacing w:val="40"/>
        </w:rPr>
        <w:t xml:space="preserve"> </w:t>
      </w:r>
      <w:r>
        <w:t>MA:</w:t>
      </w:r>
      <w:r>
        <w:rPr>
          <w:spacing w:val="40"/>
        </w:rPr>
        <w:t xml:space="preserve"> </w:t>
      </w:r>
      <w:r>
        <w:t>Harvard University Press, pp. 139–151.</w:t>
      </w:r>
    </w:p>
    <w:p w14:paraId="7E002F1A"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2F1B" w14:textId="77777777" w:rsidR="009A58DB" w:rsidRDefault="00000000">
      <w:pPr>
        <w:pStyle w:val="BodyText"/>
        <w:spacing w:before="65" w:line="249" w:lineRule="auto"/>
        <w:ind w:left="720" w:right="367" w:hanging="360"/>
      </w:pPr>
      <w:r>
        <w:t>Quine, Willard Van Orman. 1951. Two dogmas of empiricism. In A.P. Martinich</w:t>
      </w:r>
      <w:r>
        <w:rPr>
          <w:spacing w:val="-4"/>
        </w:rPr>
        <w:t xml:space="preserve"> </w:t>
      </w:r>
      <w:r>
        <w:t>(Ed.),</w:t>
      </w:r>
      <w:r>
        <w:rPr>
          <w:spacing w:val="-4"/>
        </w:rPr>
        <w:t xml:space="preserve"> </w:t>
      </w:r>
      <w:r>
        <w:rPr>
          <w:i/>
        </w:rPr>
        <w:t>The</w:t>
      </w:r>
      <w:r>
        <w:rPr>
          <w:i/>
          <w:spacing w:val="-5"/>
        </w:rPr>
        <w:t xml:space="preserve"> </w:t>
      </w:r>
      <w:r>
        <w:rPr>
          <w:i/>
        </w:rPr>
        <w:t>Philosophy</w:t>
      </w:r>
      <w:r>
        <w:rPr>
          <w:i/>
          <w:spacing w:val="-5"/>
        </w:rPr>
        <w:t xml:space="preserve"> </w:t>
      </w:r>
      <w:r>
        <w:rPr>
          <w:i/>
        </w:rPr>
        <w:t>of</w:t>
      </w:r>
      <w:r>
        <w:rPr>
          <w:i/>
          <w:spacing w:val="-5"/>
        </w:rPr>
        <w:t xml:space="preserve"> </w:t>
      </w:r>
      <w:r>
        <w:rPr>
          <w:i/>
        </w:rPr>
        <w:t>Language,</w:t>
      </w:r>
      <w:r>
        <w:rPr>
          <w:i/>
          <w:spacing w:val="-4"/>
        </w:rPr>
        <w:t xml:space="preserve"> </w:t>
      </w:r>
      <w:r>
        <w:t>(pp</w:t>
      </w:r>
      <w:r>
        <w:rPr>
          <w:spacing w:val="-4"/>
        </w:rPr>
        <w:t xml:space="preserve"> </w:t>
      </w:r>
      <w:r>
        <w:t>26–39).</w:t>
      </w:r>
      <w:r>
        <w:rPr>
          <w:spacing w:val="-4"/>
        </w:rPr>
        <w:t xml:space="preserve"> </w:t>
      </w:r>
      <w:r>
        <w:t>Oxford:</w:t>
      </w:r>
      <w:r>
        <w:rPr>
          <w:spacing w:val="-5"/>
        </w:rPr>
        <w:t xml:space="preserve"> </w:t>
      </w:r>
      <w:r>
        <w:t>Oxford University Press.</w:t>
      </w:r>
    </w:p>
    <w:p w14:paraId="7E002F1C" w14:textId="77777777" w:rsidR="009A58DB" w:rsidRDefault="00000000">
      <w:pPr>
        <w:pStyle w:val="BodyText"/>
        <w:spacing w:before="48" w:line="249" w:lineRule="auto"/>
        <w:ind w:left="720" w:right="360" w:hanging="360"/>
      </w:pPr>
      <w:r>
        <w:t>Quine, Willard van Orman. 1953a. Reference and Modality. In W.V.O.</w:t>
      </w:r>
      <w:r>
        <w:rPr>
          <w:spacing w:val="40"/>
        </w:rPr>
        <w:t xml:space="preserve"> </w:t>
      </w:r>
      <w:r>
        <w:t xml:space="preserve">Quine (Ed.), </w:t>
      </w:r>
      <w:r>
        <w:rPr>
          <w:i/>
        </w:rPr>
        <w:t xml:space="preserve">From a Logical Point of View </w:t>
      </w:r>
      <w:r>
        <w:t>(pp. 139–151). Cambridge, MA: Harvard University Press.</w:t>
      </w:r>
    </w:p>
    <w:p w14:paraId="7E002F1D" w14:textId="77777777" w:rsidR="009A58DB" w:rsidRDefault="00000000">
      <w:pPr>
        <w:spacing w:before="34"/>
        <w:ind w:left="360"/>
        <w:jc w:val="both"/>
        <w:rPr>
          <w:i/>
          <w:sz w:val="30"/>
        </w:rPr>
      </w:pPr>
      <w:r>
        <w:rPr>
          <w:sz w:val="30"/>
        </w:rPr>
        <w:t>Quine,</w:t>
      </w:r>
      <w:r>
        <w:rPr>
          <w:spacing w:val="31"/>
          <w:sz w:val="30"/>
        </w:rPr>
        <w:t xml:space="preserve">  </w:t>
      </w:r>
      <w:r>
        <w:rPr>
          <w:sz w:val="30"/>
        </w:rPr>
        <w:t>Willard</w:t>
      </w:r>
      <w:r>
        <w:rPr>
          <w:spacing w:val="32"/>
          <w:sz w:val="30"/>
        </w:rPr>
        <w:t xml:space="preserve">  </w:t>
      </w:r>
      <w:r>
        <w:rPr>
          <w:sz w:val="30"/>
        </w:rPr>
        <w:t>van</w:t>
      </w:r>
      <w:r>
        <w:rPr>
          <w:spacing w:val="31"/>
          <w:sz w:val="30"/>
        </w:rPr>
        <w:t xml:space="preserve">  </w:t>
      </w:r>
      <w:r>
        <w:rPr>
          <w:sz w:val="30"/>
        </w:rPr>
        <w:t>Orman.</w:t>
      </w:r>
      <w:r>
        <w:rPr>
          <w:spacing w:val="32"/>
          <w:sz w:val="30"/>
        </w:rPr>
        <w:t xml:space="preserve">  </w:t>
      </w:r>
      <w:r>
        <w:rPr>
          <w:sz w:val="30"/>
        </w:rPr>
        <w:t>1953b.</w:t>
      </w:r>
      <w:r>
        <w:rPr>
          <w:spacing w:val="32"/>
          <w:sz w:val="30"/>
        </w:rPr>
        <w:t xml:space="preserve">  </w:t>
      </w:r>
      <w:r>
        <w:rPr>
          <w:i/>
          <w:sz w:val="30"/>
        </w:rPr>
        <w:t>From</w:t>
      </w:r>
      <w:r>
        <w:rPr>
          <w:i/>
          <w:spacing w:val="33"/>
          <w:sz w:val="30"/>
        </w:rPr>
        <w:t xml:space="preserve">  </w:t>
      </w:r>
      <w:r>
        <w:rPr>
          <w:i/>
          <w:sz w:val="30"/>
        </w:rPr>
        <w:t>a</w:t>
      </w:r>
      <w:r>
        <w:rPr>
          <w:i/>
          <w:spacing w:val="33"/>
          <w:sz w:val="30"/>
        </w:rPr>
        <w:t xml:space="preserve">  </w:t>
      </w:r>
      <w:r>
        <w:rPr>
          <w:i/>
          <w:sz w:val="30"/>
        </w:rPr>
        <w:t>Logical</w:t>
      </w:r>
      <w:r>
        <w:rPr>
          <w:i/>
          <w:spacing w:val="34"/>
          <w:sz w:val="30"/>
        </w:rPr>
        <w:t xml:space="preserve">  </w:t>
      </w:r>
      <w:r>
        <w:rPr>
          <w:i/>
          <w:sz w:val="30"/>
        </w:rPr>
        <w:t>Point</w:t>
      </w:r>
      <w:r>
        <w:rPr>
          <w:i/>
          <w:spacing w:val="33"/>
          <w:sz w:val="30"/>
        </w:rPr>
        <w:t xml:space="preserve">  </w:t>
      </w:r>
      <w:r>
        <w:rPr>
          <w:i/>
          <w:sz w:val="30"/>
        </w:rPr>
        <w:t>of</w:t>
      </w:r>
      <w:r>
        <w:rPr>
          <w:i/>
          <w:spacing w:val="33"/>
          <w:sz w:val="30"/>
        </w:rPr>
        <w:t xml:space="preserve">  </w:t>
      </w:r>
      <w:r>
        <w:rPr>
          <w:i/>
          <w:spacing w:val="-2"/>
          <w:sz w:val="30"/>
        </w:rPr>
        <w:t>View.</w:t>
      </w:r>
    </w:p>
    <w:p w14:paraId="7E002F1E" w14:textId="77777777" w:rsidR="009A58DB" w:rsidRDefault="00000000">
      <w:pPr>
        <w:pStyle w:val="BodyText"/>
        <w:spacing w:before="15"/>
        <w:ind w:left="720"/>
      </w:pPr>
      <w:r>
        <w:t>Cambridge,</w:t>
      </w:r>
      <w:r>
        <w:rPr>
          <w:spacing w:val="-6"/>
        </w:rPr>
        <w:t xml:space="preserve"> </w:t>
      </w:r>
      <w:r>
        <w:t>MA:</w:t>
      </w:r>
      <w:r>
        <w:rPr>
          <w:spacing w:val="-5"/>
        </w:rPr>
        <w:t xml:space="preserve"> </w:t>
      </w:r>
      <w:r>
        <w:t>Harvard</w:t>
      </w:r>
      <w:r>
        <w:rPr>
          <w:spacing w:val="-5"/>
        </w:rPr>
        <w:t xml:space="preserve"> </w:t>
      </w:r>
      <w:r>
        <w:t>University</w:t>
      </w:r>
      <w:r>
        <w:rPr>
          <w:spacing w:val="-5"/>
        </w:rPr>
        <w:t xml:space="preserve"> </w:t>
      </w:r>
      <w:r>
        <w:rPr>
          <w:spacing w:val="-2"/>
        </w:rPr>
        <w:t>Press.</w:t>
      </w:r>
    </w:p>
    <w:p w14:paraId="7E002F1F" w14:textId="77777777" w:rsidR="009A58DB" w:rsidRDefault="00000000">
      <w:pPr>
        <w:spacing w:before="60" w:line="249" w:lineRule="auto"/>
        <w:ind w:left="720" w:right="365" w:hanging="360"/>
        <w:jc w:val="both"/>
        <w:rPr>
          <w:sz w:val="30"/>
        </w:rPr>
      </w:pPr>
      <w:r>
        <w:rPr>
          <w:sz w:val="30"/>
        </w:rPr>
        <w:t xml:space="preserve">Quine, Willard van Orman. 1956. </w:t>
      </w:r>
      <w:r>
        <w:rPr>
          <w:i/>
          <w:sz w:val="30"/>
        </w:rPr>
        <w:t xml:space="preserve">Set Theory and Its Logic. </w:t>
      </w:r>
      <w:r>
        <w:rPr>
          <w:sz w:val="30"/>
        </w:rPr>
        <w:t>Cambridge, MA: Harvard University Press</w:t>
      </w:r>
    </w:p>
    <w:p w14:paraId="7E002F20" w14:textId="77777777" w:rsidR="009A58DB" w:rsidRDefault="00000000">
      <w:pPr>
        <w:spacing w:before="33" w:line="249" w:lineRule="auto"/>
        <w:ind w:left="720" w:right="362" w:hanging="360"/>
        <w:jc w:val="both"/>
        <w:rPr>
          <w:sz w:val="30"/>
        </w:rPr>
      </w:pPr>
      <w:r>
        <w:rPr>
          <w:sz w:val="30"/>
        </w:rPr>
        <w:t xml:space="preserve">Quine, Willard van Orman. 1960. </w:t>
      </w:r>
      <w:r>
        <w:rPr>
          <w:i/>
          <w:sz w:val="30"/>
        </w:rPr>
        <w:t xml:space="preserve">Word and Object. </w:t>
      </w:r>
      <w:r>
        <w:rPr>
          <w:sz w:val="30"/>
        </w:rPr>
        <w:t>Cambridge, MA: The MIT Press.</w:t>
      </w:r>
    </w:p>
    <w:p w14:paraId="7E002F21" w14:textId="77777777" w:rsidR="009A58DB" w:rsidRDefault="00000000">
      <w:pPr>
        <w:spacing w:before="47"/>
        <w:ind w:left="360"/>
        <w:rPr>
          <w:i/>
          <w:sz w:val="30"/>
        </w:rPr>
      </w:pPr>
      <w:r>
        <w:rPr>
          <w:sz w:val="30"/>
        </w:rPr>
        <w:t>Quine,</w:t>
      </w:r>
      <w:r>
        <w:rPr>
          <w:spacing w:val="28"/>
          <w:sz w:val="30"/>
        </w:rPr>
        <w:t xml:space="preserve"> </w:t>
      </w:r>
      <w:r>
        <w:rPr>
          <w:sz w:val="30"/>
        </w:rPr>
        <w:t>Willard</w:t>
      </w:r>
      <w:r>
        <w:rPr>
          <w:spacing w:val="31"/>
          <w:sz w:val="30"/>
        </w:rPr>
        <w:t xml:space="preserve"> </w:t>
      </w:r>
      <w:r>
        <w:rPr>
          <w:sz w:val="30"/>
        </w:rPr>
        <w:t>van</w:t>
      </w:r>
      <w:r>
        <w:rPr>
          <w:spacing w:val="31"/>
          <w:sz w:val="30"/>
        </w:rPr>
        <w:t xml:space="preserve"> </w:t>
      </w:r>
      <w:r>
        <w:rPr>
          <w:sz w:val="30"/>
        </w:rPr>
        <w:t>Orman.</w:t>
      </w:r>
      <w:r>
        <w:rPr>
          <w:spacing w:val="31"/>
          <w:sz w:val="30"/>
        </w:rPr>
        <w:t xml:space="preserve"> </w:t>
      </w:r>
      <w:r>
        <w:rPr>
          <w:sz w:val="30"/>
        </w:rPr>
        <w:t>1966.</w:t>
      </w:r>
      <w:r>
        <w:rPr>
          <w:spacing w:val="31"/>
          <w:sz w:val="30"/>
        </w:rPr>
        <w:t xml:space="preserve"> </w:t>
      </w:r>
      <w:r>
        <w:rPr>
          <w:i/>
          <w:sz w:val="30"/>
        </w:rPr>
        <w:t>The</w:t>
      </w:r>
      <w:r>
        <w:rPr>
          <w:i/>
          <w:spacing w:val="32"/>
          <w:sz w:val="30"/>
        </w:rPr>
        <w:t xml:space="preserve"> </w:t>
      </w:r>
      <w:r>
        <w:rPr>
          <w:i/>
          <w:sz w:val="30"/>
        </w:rPr>
        <w:t>Ways</w:t>
      </w:r>
      <w:r>
        <w:rPr>
          <w:i/>
          <w:spacing w:val="32"/>
          <w:sz w:val="30"/>
        </w:rPr>
        <w:t xml:space="preserve"> </w:t>
      </w:r>
      <w:r>
        <w:rPr>
          <w:i/>
          <w:sz w:val="30"/>
        </w:rPr>
        <w:t>of</w:t>
      </w:r>
      <w:r>
        <w:rPr>
          <w:i/>
          <w:spacing w:val="33"/>
          <w:sz w:val="30"/>
        </w:rPr>
        <w:t xml:space="preserve"> </w:t>
      </w:r>
      <w:r>
        <w:rPr>
          <w:i/>
          <w:sz w:val="30"/>
        </w:rPr>
        <w:t>Paradox</w:t>
      </w:r>
      <w:r>
        <w:rPr>
          <w:i/>
          <w:spacing w:val="32"/>
          <w:sz w:val="30"/>
        </w:rPr>
        <w:t xml:space="preserve"> </w:t>
      </w:r>
      <w:r>
        <w:rPr>
          <w:i/>
          <w:sz w:val="30"/>
        </w:rPr>
        <w:t>and</w:t>
      </w:r>
      <w:r>
        <w:rPr>
          <w:i/>
          <w:spacing w:val="32"/>
          <w:sz w:val="30"/>
        </w:rPr>
        <w:t xml:space="preserve"> </w:t>
      </w:r>
      <w:r>
        <w:rPr>
          <w:i/>
          <w:sz w:val="30"/>
        </w:rPr>
        <w:t>Other</w:t>
      </w:r>
      <w:r>
        <w:rPr>
          <w:i/>
          <w:spacing w:val="33"/>
          <w:sz w:val="30"/>
        </w:rPr>
        <w:t xml:space="preserve"> </w:t>
      </w:r>
      <w:r>
        <w:rPr>
          <w:i/>
          <w:spacing w:val="-2"/>
          <w:sz w:val="30"/>
        </w:rPr>
        <w:t>Essays.</w:t>
      </w:r>
    </w:p>
    <w:p w14:paraId="7E002F22" w14:textId="77777777" w:rsidR="009A58DB" w:rsidRDefault="00000000">
      <w:pPr>
        <w:pStyle w:val="BodyText"/>
        <w:spacing w:before="15"/>
        <w:ind w:left="720"/>
        <w:jc w:val="left"/>
      </w:pPr>
      <w:r>
        <w:t>Cambridge,</w:t>
      </w:r>
      <w:r>
        <w:rPr>
          <w:spacing w:val="-6"/>
        </w:rPr>
        <w:t xml:space="preserve"> </w:t>
      </w:r>
      <w:r>
        <w:t>MA:</w:t>
      </w:r>
      <w:r>
        <w:rPr>
          <w:spacing w:val="-5"/>
        </w:rPr>
        <w:t xml:space="preserve"> </w:t>
      </w:r>
      <w:r>
        <w:t>Harvard</w:t>
      </w:r>
      <w:r>
        <w:rPr>
          <w:spacing w:val="-5"/>
        </w:rPr>
        <w:t xml:space="preserve"> </w:t>
      </w:r>
      <w:r>
        <w:t>University</w:t>
      </w:r>
      <w:r>
        <w:rPr>
          <w:spacing w:val="-5"/>
        </w:rPr>
        <w:t xml:space="preserve"> </w:t>
      </w:r>
      <w:r>
        <w:rPr>
          <w:spacing w:val="-2"/>
        </w:rPr>
        <w:t>Press.</w:t>
      </w:r>
    </w:p>
    <w:p w14:paraId="7E002F23" w14:textId="77777777" w:rsidR="009A58DB" w:rsidRDefault="00000000">
      <w:pPr>
        <w:spacing w:before="60" w:line="249" w:lineRule="auto"/>
        <w:ind w:left="720" w:hanging="360"/>
        <w:rPr>
          <w:sz w:val="30"/>
        </w:rPr>
      </w:pPr>
      <w:r>
        <w:rPr>
          <w:sz w:val="30"/>
        </w:rPr>
        <w:t>Quine,</w:t>
      </w:r>
      <w:r>
        <w:rPr>
          <w:spacing w:val="40"/>
          <w:sz w:val="30"/>
        </w:rPr>
        <w:t xml:space="preserve"> </w:t>
      </w:r>
      <w:r>
        <w:rPr>
          <w:sz w:val="30"/>
        </w:rPr>
        <w:t>Willard</w:t>
      </w:r>
      <w:r>
        <w:rPr>
          <w:spacing w:val="40"/>
          <w:sz w:val="30"/>
        </w:rPr>
        <w:t xml:space="preserve"> </w:t>
      </w:r>
      <w:r>
        <w:rPr>
          <w:sz w:val="30"/>
        </w:rPr>
        <w:t>van</w:t>
      </w:r>
      <w:r>
        <w:rPr>
          <w:spacing w:val="40"/>
          <w:sz w:val="30"/>
        </w:rPr>
        <w:t xml:space="preserve"> </w:t>
      </w:r>
      <w:r>
        <w:rPr>
          <w:sz w:val="30"/>
        </w:rPr>
        <w:t>Orman.</w:t>
      </w:r>
      <w:r>
        <w:rPr>
          <w:spacing w:val="40"/>
          <w:sz w:val="30"/>
        </w:rPr>
        <w:t xml:space="preserve"> </w:t>
      </w:r>
      <w:r>
        <w:rPr>
          <w:sz w:val="30"/>
        </w:rPr>
        <w:t>1970.</w:t>
      </w:r>
      <w:r>
        <w:rPr>
          <w:spacing w:val="40"/>
          <w:sz w:val="30"/>
        </w:rPr>
        <w:t xml:space="preserve"> </w:t>
      </w:r>
      <w:r>
        <w:rPr>
          <w:i/>
          <w:sz w:val="30"/>
        </w:rPr>
        <w:t>Philo</w:t>
      </w:r>
      <w:r>
        <w:rPr>
          <w:i/>
          <w:spacing w:val="40"/>
          <w:sz w:val="30"/>
        </w:rPr>
        <w:t xml:space="preserve"> </w:t>
      </w:r>
      <w:r>
        <w:rPr>
          <w:i/>
          <w:sz w:val="30"/>
        </w:rPr>
        <w:t>sophy</w:t>
      </w:r>
      <w:r>
        <w:rPr>
          <w:i/>
          <w:spacing w:val="40"/>
          <w:sz w:val="30"/>
        </w:rPr>
        <w:t xml:space="preserve"> </w:t>
      </w:r>
      <w:r>
        <w:rPr>
          <w:i/>
          <w:sz w:val="30"/>
        </w:rPr>
        <w:t>of</w:t>
      </w:r>
      <w:r>
        <w:rPr>
          <w:i/>
          <w:spacing w:val="40"/>
          <w:sz w:val="30"/>
        </w:rPr>
        <w:t xml:space="preserve"> </w:t>
      </w:r>
      <w:r>
        <w:rPr>
          <w:i/>
          <w:sz w:val="30"/>
        </w:rPr>
        <w:t>Logic.</w:t>
      </w:r>
      <w:r>
        <w:rPr>
          <w:i/>
          <w:spacing w:val="40"/>
          <w:sz w:val="30"/>
        </w:rPr>
        <w:t xml:space="preserve"> </w:t>
      </w:r>
      <w:r>
        <w:rPr>
          <w:sz w:val="30"/>
        </w:rPr>
        <w:t>Cambridge,</w:t>
      </w:r>
      <w:r>
        <w:rPr>
          <w:spacing w:val="40"/>
          <w:sz w:val="30"/>
        </w:rPr>
        <w:t xml:space="preserve"> </w:t>
      </w:r>
      <w:r>
        <w:rPr>
          <w:sz w:val="30"/>
        </w:rPr>
        <w:t>MA: Harvard University Press.</w:t>
      </w:r>
    </w:p>
    <w:p w14:paraId="7E002F24" w14:textId="77777777" w:rsidR="009A58DB" w:rsidRDefault="00000000">
      <w:pPr>
        <w:spacing w:before="33"/>
        <w:ind w:left="360"/>
        <w:rPr>
          <w:i/>
          <w:sz w:val="30"/>
        </w:rPr>
      </w:pPr>
      <w:r>
        <w:rPr>
          <w:sz w:val="30"/>
        </w:rPr>
        <w:t>Quine,</w:t>
      </w:r>
      <w:r>
        <w:rPr>
          <w:spacing w:val="49"/>
          <w:sz w:val="30"/>
        </w:rPr>
        <w:t xml:space="preserve"> </w:t>
      </w:r>
      <w:r>
        <w:rPr>
          <w:sz w:val="30"/>
        </w:rPr>
        <w:t>Willard</w:t>
      </w:r>
      <w:r>
        <w:rPr>
          <w:spacing w:val="50"/>
          <w:sz w:val="30"/>
        </w:rPr>
        <w:t xml:space="preserve"> </w:t>
      </w:r>
      <w:r>
        <w:rPr>
          <w:sz w:val="30"/>
        </w:rPr>
        <w:t>van</w:t>
      </w:r>
      <w:r>
        <w:rPr>
          <w:spacing w:val="51"/>
          <w:sz w:val="30"/>
        </w:rPr>
        <w:t xml:space="preserve"> </w:t>
      </w:r>
      <w:r>
        <w:rPr>
          <w:sz w:val="30"/>
        </w:rPr>
        <w:t>Orman.</w:t>
      </w:r>
      <w:r>
        <w:rPr>
          <w:spacing w:val="50"/>
          <w:sz w:val="30"/>
        </w:rPr>
        <w:t xml:space="preserve"> </w:t>
      </w:r>
      <w:r>
        <w:rPr>
          <w:sz w:val="30"/>
        </w:rPr>
        <w:t>1977.</w:t>
      </w:r>
      <w:r>
        <w:rPr>
          <w:spacing w:val="51"/>
          <w:sz w:val="30"/>
        </w:rPr>
        <w:t xml:space="preserve"> </w:t>
      </w:r>
      <w:r>
        <w:rPr>
          <w:i/>
          <w:sz w:val="30"/>
        </w:rPr>
        <w:t>Ontological</w:t>
      </w:r>
      <w:r>
        <w:rPr>
          <w:i/>
          <w:spacing w:val="52"/>
          <w:sz w:val="30"/>
        </w:rPr>
        <w:t xml:space="preserve"> </w:t>
      </w:r>
      <w:r>
        <w:rPr>
          <w:i/>
          <w:sz w:val="30"/>
        </w:rPr>
        <w:t>relativity</w:t>
      </w:r>
      <w:r>
        <w:rPr>
          <w:i/>
          <w:spacing w:val="53"/>
          <w:sz w:val="30"/>
        </w:rPr>
        <w:t xml:space="preserve"> </w:t>
      </w:r>
      <w:r>
        <w:rPr>
          <w:i/>
          <w:sz w:val="30"/>
        </w:rPr>
        <w:t>and</w:t>
      </w:r>
      <w:r>
        <w:rPr>
          <w:i/>
          <w:spacing w:val="53"/>
          <w:sz w:val="30"/>
        </w:rPr>
        <w:t xml:space="preserve"> </w:t>
      </w:r>
      <w:r>
        <w:rPr>
          <w:i/>
          <w:sz w:val="30"/>
        </w:rPr>
        <w:t>other</w:t>
      </w:r>
      <w:r>
        <w:rPr>
          <w:i/>
          <w:spacing w:val="53"/>
          <w:sz w:val="30"/>
        </w:rPr>
        <w:t xml:space="preserve"> </w:t>
      </w:r>
      <w:r>
        <w:rPr>
          <w:i/>
          <w:spacing w:val="-2"/>
          <w:sz w:val="30"/>
        </w:rPr>
        <w:t>essays.</w:t>
      </w:r>
    </w:p>
    <w:p w14:paraId="7E002F25" w14:textId="77777777" w:rsidR="009A58DB" w:rsidRDefault="00000000">
      <w:pPr>
        <w:pStyle w:val="BodyText"/>
        <w:spacing w:before="15"/>
        <w:ind w:left="720"/>
        <w:jc w:val="left"/>
      </w:pPr>
      <w:r>
        <w:t>New</w:t>
      </w:r>
      <w:r>
        <w:rPr>
          <w:spacing w:val="-7"/>
        </w:rPr>
        <w:t xml:space="preserve"> </w:t>
      </w:r>
      <w:r>
        <w:t>York:</w:t>
      </w:r>
      <w:r>
        <w:rPr>
          <w:spacing w:val="-5"/>
        </w:rPr>
        <w:t xml:space="preserve"> </w:t>
      </w:r>
      <w:r>
        <w:t>Columbia</w:t>
      </w:r>
      <w:r>
        <w:rPr>
          <w:spacing w:val="-5"/>
        </w:rPr>
        <w:t xml:space="preserve"> </w:t>
      </w:r>
      <w:r>
        <w:t>University</w:t>
      </w:r>
      <w:r>
        <w:rPr>
          <w:spacing w:val="-3"/>
        </w:rPr>
        <w:t xml:space="preserve"> </w:t>
      </w:r>
      <w:r>
        <w:rPr>
          <w:spacing w:val="-2"/>
        </w:rPr>
        <w:t>Press.</w:t>
      </w:r>
    </w:p>
    <w:p w14:paraId="7E002F26" w14:textId="77777777" w:rsidR="009A58DB" w:rsidRDefault="00000000">
      <w:pPr>
        <w:spacing w:before="60" w:line="249" w:lineRule="auto"/>
        <w:ind w:left="720" w:hanging="360"/>
        <w:rPr>
          <w:sz w:val="30"/>
        </w:rPr>
      </w:pPr>
      <w:r>
        <w:rPr>
          <w:sz w:val="30"/>
        </w:rPr>
        <w:t>Quine,</w:t>
      </w:r>
      <w:r>
        <w:rPr>
          <w:spacing w:val="40"/>
          <w:sz w:val="30"/>
        </w:rPr>
        <w:t xml:space="preserve"> </w:t>
      </w:r>
      <w:r>
        <w:rPr>
          <w:sz w:val="30"/>
        </w:rPr>
        <w:t>Willard</w:t>
      </w:r>
      <w:r>
        <w:rPr>
          <w:spacing w:val="40"/>
          <w:sz w:val="30"/>
        </w:rPr>
        <w:t xml:space="preserve"> </w:t>
      </w:r>
      <w:r>
        <w:rPr>
          <w:sz w:val="30"/>
        </w:rPr>
        <w:t>van</w:t>
      </w:r>
      <w:r>
        <w:rPr>
          <w:spacing w:val="40"/>
          <w:sz w:val="30"/>
        </w:rPr>
        <w:t xml:space="preserve"> </w:t>
      </w:r>
      <w:r>
        <w:rPr>
          <w:sz w:val="30"/>
        </w:rPr>
        <w:t>Orman.</w:t>
      </w:r>
      <w:r>
        <w:rPr>
          <w:spacing w:val="40"/>
          <w:sz w:val="30"/>
        </w:rPr>
        <w:t xml:space="preserve"> </w:t>
      </w:r>
      <w:r>
        <w:rPr>
          <w:sz w:val="30"/>
        </w:rPr>
        <w:t>1981.</w:t>
      </w:r>
      <w:r>
        <w:rPr>
          <w:spacing w:val="40"/>
          <w:sz w:val="30"/>
        </w:rPr>
        <w:t xml:space="preserve"> </w:t>
      </w:r>
      <w:r>
        <w:rPr>
          <w:i/>
          <w:sz w:val="30"/>
        </w:rPr>
        <w:t>Theories</w:t>
      </w:r>
      <w:r>
        <w:rPr>
          <w:i/>
          <w:spacing w:val="40"/>
          <w:sz w:val="30"/>
        </w:rPr>
        <w:t xml:space="preserve"> </w:t>
      </w:r>
      <w:r>
        <w:rPr>
          <w:i/>
          <w:sz w:val="30"/>
        </w:rPr>
        <w:t>and</w:t>
      </w:r>
      <w:r>
        <w:rPr>
          <w:i/>
          <w:spacing w:val="40"/>
          <w:sz w:val="30"/>
        </w:rPr>
        <w:t xml:space="preserve"> </w:t>
      </w:r>
      <w:r>
        <w:rPr>
          <w:i/>
          <w:sz w:val="30"/>
        </w:rPr>
        <w:t>Things.</w:t>
      </w:r>
      <w:r>
        <w:rPr>
          <w:i/>
          <w:spacing w:val="40"/>
          <w:sz w:val="30"/>
        </w:rPr>
        <w:t xml:space="preserve"> </w:t>
      </w:r>
      <w:r>
        <w:rPr>
          <w:sz w:val="30"/>
        </w:rPr>
        <w:t>Cambridge,</w:t>
      </w:r>
      <w:r>
        <w:rPr>
          <w:spacing w:val="40"/>
          <w:sz w:val="30"/>
        </w:rPr>
        <w:t xml:space="preserve"> </w:t>
      </w:r>
      <w:r>
        <w:rPr>
          <w:sz w:val="30"/>
        </w:rPr>
        <w:t>MA: Harvard University Press.</w:t>
      </w:r>
    </w:p>
    <w:p w14:paraId="7E002F27" w14:textId="77777777" w:rsidR="009A58DB" w:rsidRDefault="00000000">
      <w:pPr>
        <w:spacing w:before="32" w:line="249" w:lineRule="auto"/>
        <w:ind w:left="720" w:right="365" w:hanging="360"/>
        <w:rPr>
          <w:sz w:val="30"/>
        </w:rPr>
      </w:pPr>
      <w:r>
        <w:rPr>
          <w:sz w:val="30"/>
        </w:rPr>
        <w:t xml:space="preserve">Rachels, James. 1986. </w:t>
      </w:r>
      <w:r>
        <w:rPr>
          <w:i/>
          <w:sz w:val="30"/>
        </w:rPr>
        <w:t xml:space="preserve">The Elements of Moral Philosophy. </w:t>
      </w:r>
      <w:r>
        <w:rPr>
          <w:sz w:val="30"/>
        </w:rPr>
        <w:t>New York: Random House.</w:t>
      </w:r>
    </w:p>
    <w:p w14:paraId="7E002F28" w14:textId="77777777" w:rsidR="009A58DB" w:rsidRDefault="00000000">
      <w:pPr>
        <w:tabs>
          <w:tab w:val="left" w:pos="1641"/>
          <w:tab w:val="left" w:pos="2655"/>
          <w:tab w:val="left" w:pos="3570"/>
          <w:tab w:val="left" w:pos="5476"/>
          <w:tab w:val="left" w:pos="6640"/>
          <w:tab w:val="left" w:pos="8303"/>
        </w:tabs>
        <w:spacing w:before="47" w:line="249" w:lineRule="auto"/>
        <w:ind w:left="720" w:right="1108" w:hanging="360"/>
        <w:rPr>
          <w:sz w:val="30"/>
        </w:rPr>
      </w:pPr>
      <w:r>
        <w:rPr>
          <w:spacing w:val="-2"/>
          <w:sz w:val="30"/>
        </w:rPr>
        <w:t>Ramsey,</w:t>
      </w:r>
      <w:r>
        <w:rPr>
          <w:sz w:val="30"/>
        </w:rPr>
        <w:tab/>
      </w:r>
      <w:r>
        <w:rPr>
          <w:spacing w:val="-2"/>
          <w:sz w:val="30"/>
        </w:rPr>
        <w:t>Frank.</w:t>
      </w:r>
      <w:r>
        <w:rPr>
          <w:sz w:val="30"/>
        </w:rPr>
        <w:tab/>
      </w:r>
      <w:r>
        <w:rPr>
          <w:spacing w:val="-2"/>
          <w:sz w:val="30"/>
        </w:rPr>
        <w:t>1990.</w:t>
      </w:r>
      <w:r>
        <w:rPr>
          <w:sz w:val="30"/>
        </w:rPr>
        <w:tab/>
      </w:r>
      <w:r>
        <w:rPr>
          <w:i/>
          <w:spacing w:val="-2"/>
          <w:sz w:val="30"/>
        </w:rPr>
        <w:t>Philosophical</w:t>
      </w:r>
      <w:r>
        <w:rPr>
          <w:i/>
          <w:sz w:val="30"/>
        </w:rPr>
        <w:tab/>
      </w:r>
      <w:r>
        <w:rPr>
          <w:i/>
          <w:spacing w:val="-2"/>
          <w:sz w:val="30"/>
        </w:rPr>
        <w:t>Papers.</w:t>
      </w:r>
      <w:r>
        <w:rPr>
          <w:i/>
          <w:sz w:val="30"/>
        </w:rPr>
        <w:tab/>
      </w:r>
      <w:r>
        <w:rPr>
          <w:spacing w:val="-2"/>
          <w:sz w:val="30"/>
        </w:rPr>
        <w:t>Cambridge,</w:t>
      </w:r>
      <w:r>
        <w:rPr>
          <w:sz w:val="30"/>
        </w:rPr>
        <w:tab/>
      </w:r>
      <w:r>
        <w:rPr>
          <w:spacing w:val="-2"/>
          <w:sz w:val="30"/>
        </w:rPr>
        <w:t xml:space="preserve">U.K.: </w:t>
      </w:r>
      <w:r>
        <w:rPr>
          <w:sz w:val="30"/>
        </w:rPr>
        <w:t>Cambridge University Press.</w:t>
      </w:r>
    </w:p>
    <w:p w14:paraId="7E002F29" w14:textId="77777777" w:rsidR="009A58DB" w:rsidRDefault="00000000">
      <w:pPr>
        <w:spacing w:before="48" w:line="249" w:lineRule="auto"/>
        <w:ind w:left="720" w:right="794" w:hanging="360"/>
        <w:rPr>
          <w:sz w:val="30"/>
        </w:rPr>
      </w:pPr>
      <w:r>
        <w:rPr>
          <w:sz w:val="30"/>
        </w:rPr>
        <w:t>Reichenbach,</w:t>
      </w:r>
      <w:r>
        <w:rPr>
          <w:spacing w:val="40"/>
          <w:sz w:val="30"/>
        </w:rPr>
        <w:t xml:space="preserve"> </w:t>
      </w:r>
      <w:r>
        <w:rPr>
          <w:sz w:val="30"/>
        </w:rPr>
        <w:t>Hans.</w:t>
      </w:r>
      <w:r>
        <w:rPr>
          <w:spacing w:val="40"/>
          <w:sz w:val="30"/>
        </w:rPr>
        <w:t xml:space="preserve"> </w:t>
      </w:r>
      <w:r>
        <w:rPr>
          <w:sz w:val="30"/>
        </w:rPr>
        <w:t>1947.</w:t>
      </w:r>
      <w:r>
        <w:rPr>
          <w:spacing w:val="40"/>
          <w:sz w:val="30"/>
        </w:rPr>
        <w:t xml:space="preserve"> </w:t>
      </w:r>
      <w:r>
        <w:rPr>
          <w:i/>
          <w:sz w:val="30"/>
        </w:rPr>
        <w:t>Elements</w:t>
      </w:r>
      <w:r>
        <w:rPr>
          <w:i/>
          <w:spacing w:val="40"/>
          <w:sz w:val="30"/>
        </w:rPr>
        <w:t xml:space="preserve"> </w:t>
      </w:r>
      <w:r>
        <w:rPr>
          <w:i/>
          <w:sz w:val="30"/>
        </w:rPr>
        <w:t>of</w:t>
      </w:r>
      <w:r>
        <w:rPr>
          <w:i/>
          <w:spacing w:val="40"/>
          <w:sz w:val="30"/>
        </w:rPr>
        <w:t xml:space="preserve"> </w:t>
      </w:r>
      <w:r>
        <w:rPr>
          <w:i/>
          <w:sz w:val="30"/>
        </w:rPr>
        <w:t>Symbolic</w:t>
      </w:r>
      <w:r>
        <w:rPr>
          <w:i/>
          <w:spacing w:val="40"/>
          <w:sz w:val="30"/>
        </w:rPr>
        <w:t xml:space="preserve"> </w:t>
      </w:r>
      <w:r>
        <w:rPr>
          <w:i/>
          <w:sz w:val="30"/>
        </w:rPr>
        <w:t>Logic.</w:t>
      </w:r>
      <w:r>
        <w:rPr>
          <w:i/>
          <w:spacing w:val="40"/>
          <w:sz w:val="30"/>
        </w:rPr>
        <w:t xml:space="preserve"> </w:t>
      </w:r>
      <w:r>
        <w:rPr>
          <w:sz w:val="30"/>
        </w:rPr>
        <w:t>New</w:t>
      </w:r>
      <w:r>
        <w:rPr>
          <w:spacing w:val="40"/>
          <w:sz w:val="30"/>
        </w:rPr>
        <w:t xml:space="preserve"> </w:t>
      </w:r>
      <w:r>
        <w:rPr>
          <w:sz w:val="30"/>
        </w:rPr>
        <w:t xml:space="preserve">York: </w:t>
      </w:r>
      <w:r>
        <w:rPr>
          <w:spacing w:val="-2"/>
          <w:sz w:val="30"/>
        </w:rPr>
        <w:t>Dover.</w:t>
      </w:r>
    </w:p>
    <w:p w14:paraId="7E002F2A" w14:textId="77777777" w:rsidR="009A58DB" w:rsidRDefault="00000000">
      <w:pPr>
        <w:spacing w:before="32" w:line="249" w:lineRule="auto"/>
        <w:ind w:left="720" w:hanging="360"/>
        <w:rPr>
          <w:sz w:val="30"/>
        </w:rPr>
      </w:pPr>
      <w:r>
        <w:rPr>
          <w:sz w:val="30"/>
        </w:rPr>
        <w:t>Reichenbach,</w:t>
      </w:r>
      <w:r>
        <w:rPr>
          <w:spacing w:val="40"/>
          <w:sz w:val="30"/>
        </w:rPr>
        <w:t xml:space="preserve"> </w:t>
      </w:r>
      <w:r>
        <w:rPr>
          <w:sz w:val="30"/>
        </w:rPr>
        <w:t>Hans.</w:t>
      </w:r>
      <w:r>
        <w:rPr>
          <w:spacing w:val="40"/>
          <w:sz w:val="30"/>
        </w:rPr>
        <w:t xml:space="preserve"> </w:t>
      </w:r>
      <w:r>
        <w:rPr>
          <w:sz w:val="30"/>
        </w:rPr>
        <w:t>1957.</w:t>
      </w:r>
      <w:r>
        <w:rPr>
          <w:spacing w:val="40"/>
          <w:sz w:val="30"/>
        </w:rPr>
        <w:t xml:space="preserve"> </w:t>
      </w:r>
      <w:r>
        <w:rPr>
          <w:i/>
          <w:sz w:val="30"/>
        </w:rPr>
        <w:t>The</w:t>
      </w:r>
      <w:r>
        <w:rPr>
          <w:i/>
          <w:spacing w:val="40"/>
          <w:sz w:val="30"/>
        </w:rPr>
        <w:t xml:space="preserve"> </w:t>
      </w:r>
      <w:r>
        <w:rPr>
          <w:i/>
          <w:sz w:val="30"/>
        </w:rPr>
        <w:t>Philosophy</w:t>
      </w:r>
      <w:r>
        <w:rPr>
          <w:i/>
          <w:spacing w:val="40"/>
          <w:sz w:val="30"/>
        </w:rPr>
        <w:t xml:space="preserve"> </w:t>
      </w:r>
      <w:r>
        <w:rPr>
          <w:i/>
          <w:sz w:val="30"/>
        </w:rPr>
        <w:t>of</w:t>
      </w:r>
      <w:r>
        <w:rPr>
          <w:i/>
          <w:spacing w:val="40"/>
          <w:sz w:val="30"/>
        </w:rPr>
        <w:t xml:space="preserve"> </w:t>
      </w:r>
      <w:r>
        <w:rPr>
          <w:i/>
          <w:sz w:val="30"/>
        </w:rPr>
        <w:t>Space</w:t>
      </w:r>
      <w:r>
        <w:rPr>
          <w:i/>
          <w:spacing w:val="40"/>
          <w:sz w:val="30"/>
        </w:rPr>
        <w:t xml:space="preserve"> </w:t>
      </w:r>
      <w:r>
        <w:rPr>
          <w:i/>
          <w:sz w:val="30"/>
        </w:rPr>
        <w:t>and</w:t>
      </w:r>
      <w:r>
        <w:rPr>
          <w:i/>
          <w:spacing w:val="40"/>
          <w:sz w:val="30"/>
        </w:rPr>
        <w:t xml:space="preserve"> </w:t>
      </w:r>
      <w:r>
        <w:rPr>
          <w:i/>
          <w:sz w:val="30"/>
        </w:rPr>
        <w:t>Time.</w:t>
      </w:r>
      <w:r>
        <w:rPr>
          <w:i/>
          <w:spacing w:val="40"/>
          <w:sz w:val="30"/>
        </w:rPr>
        <w:t xml:space="preserve"> </w:t>
      </w:r>
      <w:r>
        <w:rPr>
          <w:sz w:val="30"/>
        </w:rPr>
        <w:t>New</w:t>
      </w:r>
      <w:r>
        <w:rPr>
          <w:spacing w:val="40"/>
          <w:sz w:val="30"/>
        </w:rPr>
        <w:t xml:space="preserve"> </w:t>
      </w:r>
      <w:r>
        <w:rPr>
          <w:sz w:val="30"/>
        </w:rPr>
        <w:t xml:space="preserve">York: </w:t>
      </w:r>
      <w:r>
        <w:rPr>
          <w:spacing w:val="-2"/>
          <w:sz w:val="30"/>
        </w:rPr>
        <w:t>Dover.</w:t>
      </w:r>
    </w:p>
    <w:p w14:paraId="7E002F2B" w14:textId="77777777" w:rsidR="009A58DB" w:rsidRDefault="00000000">
      <w:pPr>
        <w:spacing w:before="48" w:line="249" w:lineRule="auto"/>
        <w:ind w:left="720" w:hanging="360"/>
        <w:rPr>
          <w:sz w:val="30"/>
        </w:rPr>
      </w:pPr>
      <w:r>
        <w:rPr>
          <w:sz w:val="30"/>
        </w:rPr>
        <w:t xml:space="preserve">Richard, Mark. 1991. </w:t>
      </w:r>
      <w:r>
        <w:rPr>
          <w:i/>
          <w:sz w:val="30"/>
        </w:rPr>
        <w:t xml:space="preserve">Propositional Attitudes. </w:t>
      </w:r>
      <w:r>
        <w:rPr>
          <w:sz w:val="30"/>
        </w:rPr>
        <w:t>Cambridge, U.K.: Cambridge University Press.</w:t>
      </w:r>
    </w:p>
    <w:p w14:paraId="7E002F2C" w14:textId="77777777" w:rsidR="009A58DB" w:rsidRDefault="00000000">
      <w:pPr>
        <w:spacing w:before="32" w:line="249" w:lineRule="auto"/>
        <w:ind w:left="720" w:hanging="360"/>
        <w:rPr>
          <w:sz w:val="30"/>
        </w:rPr>
      </w:pPr>
      <w:r>
        <w:rPr>
          <w:sz w:val="30"/>
        </w:rPr>
        <w:t>Rorty,</w:t>
      </w:r>
      <w:r>
        <w:rPr>
          <w:spacing w:val="79"/>
          <w:sz w:val="30"/>
        </w:rPr>
        <w:t xml:space="preserve"> </w:t>
      </w:r>
      <w:r>
        <w:rPr>
          <w:sz w:val="30"/>
        </w:rPr>
        <w:t>Richard.</w:t>
      </w:r>
      <w:r>
        <w:rPr>
          <w:spacing w:val="80"/>
          <w:sz w:val="30"/>
        </w:rPr>
        <w:t xml:space="preserve"> </w:t>
      </w:r>
      <w:r>
        <w:rPr>
          <w:sz w:val="30"/>
        </w:rPr>
        <w:t>1979.</w:t>
      </w:r>
      <w:r>
        <w:rPr>
          <w:spacing w:val="80"/>
          <w:sz w:val="30"/>
        </w:rPr>
        <w:t xml:space="preserve"> </w:t>
      </w:r>
      <w:r>
        <w:rPr>
          <w:i/>
          <w:sz w:val="30"/>
        </w:rPr>
        <w:t>Philosophy</w:t>
      </w:r>
      <w:r>
        <w:rPr>
          <w:i/>
          <w:spacing w:val="80"/>
          <w:sz w:val="30"/>
        </w:rPr>
        <w:t xml:space="preserve"> </w:t>
      </w:r>
      <w:r>
        <w:rPr>
          <w:i/>
          <w:sz w:val="30"/>
        </w:rPr>
        <w:t>and</w:t>
      </w:r>
      <w:r>
        <w:rPr>
          <w:i/>
          <w:spacing w:val="80"/>
          <w:sz w:val="30"/>
        </w:rPr>
        <w:t xml:space="preserve"> </w:t>
      </w:r>
      <w:r>
        <w:rPr>
          <w:i/>
          <w:sz w:val="30"/>
        </w:rPr>
        <w:t>the</w:t>
      </w:r>
      <w:r>
        <w:rPr>
          <w:i/>
          <w:spacing w:val="80"/>
          <w:sz w:val="30"/>
        </w:rPr>
        <w:t xml:space="preserve"> </w:t>
      </w:r>
      <w:r>
        <w:rPr>
          <w:i/>
          <w:sz w:val="30"/>
        </w:rPr>
        <w:t>Mirror</w:t>
      </w:r>
      <w:r>
        <w:rPr>
          <w:i/>
          <w:spacing w:val="80"/>
          <w:sz w:val="30"/>
        </w:rPr>
        <w:t xml:space="preserve"> </w:t>
      </w:r>
      <w:r>
        <w:rPr>
          <w:i/>
          <w:sz w:val="30"/>
        </w:rPr>
        <w:t>of</w:t>
      </w:r>
      <w:r>
        <w:rPr>
          <w:i/>
          <w:spacing w:val="80"/>
          <w:sz w:val="30"/>
        </w:rPr>
        <w:t xml:space="preserve"> </w:t>
      </w:r>
      <w:r>
        <w:rPr>
          <w:i/>
          <w:sz w:val="30"/>
        </w:rPr>
        <w:t>Nature.</w:t>
      </w:r>
      <w:r>
        <w:rPr>
          <w:i/>
          <w:spacing w:val="80"/>
          <w:sz w:val="30"/>
        </w:rPr>
        <w:t xml:space="preserve"> </w:t>
      </w:r>
      <w:r>
        <w:rPr>
          <w:sz w:val="30"/>
        </w:rPr>
        <w:t>Princeton: Princeton University Press.</w:t>
      </w:r>
    </w:p>
    <w:p w14:paraId="7E002F2D" w14:textId="77777777" w:rsidR="009A58DB" w:rsidRDefault="00000000">
      <w:pPr>
        <w:spacing w:before="48"/>
        <w:ind w:left="360"/>
        <w:rPr>
          <w:sz w:val="30"/>
        </w:rPr>
      </w:pPr>
      <w:r>
        <w:rPr>
          <w:sz w:val="30"/>
        </w:rPr>
        <w:t>Russell,</w:t>
      </w:r>
      <w:r>
        <w:rPr>
          <w:spacing w:val="71"/>
          <w:w w:val="150"/>
          <w:sz w:val="30"/>
        </w:rPr>
        <w:t xml:space="preserve"> </w:t>
      </w:r>
      <w:r>
        <w:rPr>
          <w:sz w:val="30"/>
        </w:rPr>
        <w:t>Bertrand.</w:t>
      </w:r>
      <w:r>
        <w:rPr>
          <w:spacing w:val="73"/>
          <w:w w:val="150"/>
          <w:sz w:val="30"/>
        </w:rPr>
        <w:t xml:space="preserve"> </w:t>
      </w:r>
      <w:r>
        <w:rPr>
          <w:sz w:val="30"/>
        </w:rPr>
        <w:t>1903.</w:t>
      </w:r>
      <w:r>
        <w:rPr>
          <w:spacing w:val="73"/>
          <w:w w:val="150"/>
          <w:sz w:val="30"/>
        </w:rPr>
        <w:t xml:space="preserve"> </w:t>
      </w:r>
      <w:r>
        <w:rPr>
          <w:i/>
          <w:sz w:val="30"/>
        </w:rPr>
        <w:t>Principles</w:t>
      </w:r>
      <w:r>
        <w:rPr>
          <w:i/>
          <w:spacing w:val="77"/>
          <w:w w:val="150"/>
          <w:sz w:val="30"/>
        </w:rPr>
        <w:t xml:space="preserve"> </w:t>
      </w:r>
      <w:r>
        <w:rPr>
          <w:i/>
          <w:sz w:val="30"/>
        </w:rPr>
        <w:t>of</w:t>
      </w:r>
      <w:r>
        <w:rPr>
          <w:i/>
          <w:spacing w:val="77"/>
          <w:w w:val="150"/>
          <w:sz w:val="30"/>
        </w:rPr>
        <w:t xml:space="preserve"> </w:t>
      </w:r>
      <w:r>
        <w:rPr>
          <w:i/>
          <w:sz w:val="30"/>
        </w:rPr>
        <w:t>Mathematics.</w:t>
      </w:r>
      <w:r>
        <w:rPr>
          <w:i/>
          <w:spacing w:val="77"/>
          <w:w w:val="150"/>
          <w:sz w:val="30"/>
        </w:rPr>
        <w:t xml:space="preserve"> </w:t>
      </w:r>
      <w:r>
        <w:rPr>
          <w:sz w:val="30"/>
        </w:rPr>
        <w:t>Cambridge,</w:t>
      </w:r>
      <w:r>
        <w:rPr>
          <w:spacing w:val="78"/>
          <w:w w:val="150"/>
          <w:sz w:val="30"/>
        </w:rPr>
        <w:t xml:space="preserve"> </w:t>
      </w:r>
      <w:r>
        <w:rPr>
          <w:spacing w:val="-2"/>
          <w:sz w:val="30"/>
        </w:rPr>
        <w:t>U.K.:</w:t>
      </w:r>
    </w:p>
    <w:p w14:paraId="7E002F2E" w14:textId="77777777" w:rsidR="009A58DB" w:rsidRDefault="009A58DB">
      <w:pPr>
        <w:rPr>
          <w:sz w:val="30"/>
        </w:rPr>
        <w:sectPr w:rsidR="009A58DB">
          <w:pgSz w:w="12240" w:h="15840"/>
          <w:pgMar w:top="1740" w:right="1080" w:bottom="280" w:left="1080" w:header="720" w:footer="720" w:gutter="0"/>
          <w:cols w:space="720"/>
        </w:sectPr>
      </w:pPr>
    </w:p>
    <w:p w14:paraId="7E002F2F" w14:textId="77777777" w:rsidR="009A58DB" w:rsidRDefault="00000000">
      <w:pPr>
        <w:pStyle w:val="BodyText"/>
        <w:spacing w:before="66"/>
        <w:ind w:left="720"/>
      </w:pPr>
      <w:r>
        <w:t>Cambridge</w:t>
      </w:r>
      <w:r>
        <w:rPr>
          <w:spacing w:val="-7"/>
        </w:rPr>
        <w:t xml:space="preserve"> </w:t>
      </w:r>
      <w:r>
        <w:t>University</w:t>
      </w:r>
      <w:r>
        <w:rPr>
          <w:spacing w:val="-6"/>
        </w:rPr>
        <w:t xml:space="preserve"> </w:t>
      </w:r>
      <w:r>
        <w:rPr>
          <w:spacing w:val="-2"/>
        </w:rPr>
        <w:t>Press.</w:t>
      </w:r>
    </w:p>
    <w:p w14:paraId="7E002F30" w14:textId="77777777" w:rsidR="009A58DB" w:rsidRDefault="00000000">
      <w:pPr>
        <w:spacing w:before="59" w:line="249" w:lineRule="auto"/>
        <w:ind w:left="720" w:right="369" w:hanging="360"/>
        <w:jc w:val="both"/>
        <w:rPr>
          <w:sz w:val="30"/>
        </w:rPr>
      </w:pPr>
      <w:r>
        <w:rPr>
          <w:sz w:val="30"/>
        </w:rPr>
        <w:t xml:space="preserve">Russell, Bertrand. 1905. On Denoting. In A.P. Martinich (Ed.), </w:t>
      </w:r>
      <w:r>
        <w:rPr>
          <w:i/>
          <w:sz w:val="30"/>
        </w:rPr>
        <w:t xml:space="preserve">The Philosophy of Language, </w:t>
      </w:r>
      <w:r>
        <w:rPr>
          <w:sz w:val="30"/>
        </w:rPr>
        <w:t xml:space="preserve">(pp. 203–211). </w:t>
      </w:r>
      <w:r>
        <w:rPr>
          <w:i/>
          <w:sz w:val="30"/>
        </w:rPr>
        <w:t xml:space="preserve">The Philosophy of Language. </w:t>
      </w:r>
      <w:r>
        <w:rPr>
          <w:sz w:val="30"/>
        </w:rPr>
        <w:t>Oxford: Oxford University Press.</w:t>
      </w:r>
    </w:p>
    <w:p w14:paraId="7E002F31" w14:textId="77777777" w:rsidR="009A58DB" w:rsidRDefault="00000000">
      <w:pPr>
        <w:spacing w:before="33" w:line="249" w:lineRule="auto"/>
        <w:ind w:left="720" w:right="363" w:hanging="360"/>
        <w:jc w:val="both"/>
        <w:rPr>
          <w:sz w:val="30"/>
        </w:rPr>
      </w:pPr>
      <w:r>
        <w:rPr>
          <w:sz w:val="30"/>
        </w:rPr>
        <w:t xml:space="preserve">Russell, Bertrand. 1908. Mathematical Logic as Based on the Theory of Types. </w:t>
      </w:r>
      <w:r>
        <w:rPr>
          <w:i/>
          <w:sz w:val="30"/>
        </w:rPr>
        <w:t xml:space="preserve">American Journal of Mathematics, 30, </w:t>
      </w:r>
      <w:r>
        <w:rPr>
          <w:sz w:val="30"/>
        </w:rPr>
        <w:t>222.</w:t>
      </w:r>
    </w:p>
    <w:p w14:paraId="7E002F32" w14:textId="77777777" w:rsidR="009A58DB" w:rsidRDefault="00000000">
      <w:pPr>
        <w:spacing w:before="48" w:line="249" w:lineRule="auto"/>
        <w:ind w:left="720" w:right="1840" w:hanging="360"/>
        <w:rPr>
          <w:sz w:val="30"/>
        </w:rPr>
      </w:pPr>
      <w:r>
        <w:rPr>
          <w:sz w:val="30"/>
        </w:rPr>
        <w:t>Russell,</w:t>
      </w:r>
      <w:r>
        <w:rPr>
          <w:spacing w:val="40"/>
          <w:sz w:val="30"/>
        </w:rPr>
        <w:t xml:space="preserve"> </w:t>
      </w:r>
      <w:r>
        <w:rPr>
          <w:sz w:val="30"/>
        </w:rPr>
        <w:t>Bertrand.</w:t>
      </w:r>
      <w:r>
        <w:rPr>
          <w:spacing w:val="40"/>
          <w:sz w:val="30"/>
        </w:rPr>
        <w:t xml:space="preserve"> </w:t>
      </w:r>
      <w:r>
        <w:rPr>
          <w:sz w:val="30"/>
        </w:rPr>
        <w:t>1912.</w:t>
      </w:r>
      <w:r>
        <w:rPr>
          <w:spacing w:val="40"/>
          <w:sz w:val="30"/>
        </w:rPr>
        <w:t xml:space="preserve"> </w:t>
      </w:r>
      <w:r>
        <w:rPr>
          <w:i/>
          <w:sz w:val="30"/>
        </w:rPr>
        <w:t>The</w:t>
      </w:r>
      <w:r>
        <w:rPr>
          <w:i/>
          <w:spacing w:val="40"/>
          <w:sz w:val="30"/>
        </w:rPr>
        <w:t xml:space="preserve"> </w:t>
      </w:r>
      <w:r>
        <w:rPr>
          <w:i/>
          <w:sz w:val="30"/>
        </w:rPr>
        <w:t>Problems</w:t>
      </w:r>
      <w:r>
        <w:rPr>
          <w:i/>
          <w:spacing w:val="40"/>
          <w:sz w:val="30"/>
        </w:rPr>
        <w:t xml:space="preserve"> </w:t>
      </w:r>
      <w:r>
        <w:rPr>
          <w:i/>
          <w:sz w:val="30"/>
        </w:rPr>
        <w:t>of</w:t>
      </w:r>
      <w:r>
        <w:rPr>
          <w:i/>
          <w:spacing w:val="40"/>
          <w:sz w:val="30"/>
        </w:rPr>
        <w:t xml:space="preserve"> </w:t>
      </w:r>
      <w:r>
        <w:rPr>
          <w:i/>
          <w:sz w:val="30"/>
        </w:rPr>
        <w:t>Philosophy.</w:t>
      </w:r>
      <w:r>
        <w:rPr>
          <w:i/>
          <w:spacing w:val="40"/>
          <w:sz w:val="30"/>
        </w:rPr>
        <w:t xml:space="preserve"> </w:t>
      </w:r>
      <w:r>
        <w:rPr>
          <w:sz w:val="30"/>
        </w:rPr>
        <w:t>London: George Allen Unwin.</w:t>
      </w:r>
    </w:p>
    <w:p w14:paraId="7E002F33" w14:textId="77777777" w:rsidR="009A58DB" w:rsidRDefault="00000000">
      <w:pPr>
        <w:spacing w:before="32" w:line="249" w:lineRule="auto"/>
        <w:ind w:left="720" w:right="1488" w:hanging="360"/>
        <w:rPr>
          <w:sz w:val="30"/>
        </w:rPr>
      </w:pPr>
      <w:r>
        <w:rPr>
          <w:sz w:val="30"/>
        </w:rPr>
        <w:t>Russell,</w:t>
      </w:r>
      <w:r>
        <w:rPr>
          <w:spacing w:val="40"/>
          <w:sz w:val="30"/>
        </w:rPr>
        <w:t xml:space="preserve"> </w:t>
      </w:r>
      <w:r>
        <w:rPr>
          <w:sz w:val="30"/>
        </w:rPr>
        <w:t>Bertrand.</w:t>
      </w:r>
      <w:r>
        <w:rPr>
          <w:spacing w:val="40"/>
          <w:sz w:val="30"/>
        </w:rPr>
        <w:t xml:space="preserve"> </w:t>
      </w:r>
      <w:r>
        <w:rPr>
          <w:sz w:val="30"/>
        </w:rPr>
        <w:t>1917.</w:t>
      </w:r>
      <w:r>
        <w:rPr>
          <w:spacing w:val="40"/>
          <w:sz w:val="30"/>
        </w:rPr>
        <w:t xml:space="preserve"> </w:t>
      </w:r>
      <w:r>
        <w:rPr>
          <w:i/>
          <w:sz w:val="30"/>
        </w:rPr>
        <w:t>Mysticism</w:t>
      </w:r>
      <w:r>
        <w:rPr>
          <w:i/>
          <w:spacing w:val="40"/>
          <w:sz w:val="30"/>
        </w:rPr>
        <w:t xml:space="preserve"> </w:t>
      </w:r>
      <w:r>
        <w:rPr>
          <w:i/>
          <w:sz w:val="30"/>
        </w:rPr>
        <w:t>and</w:t>
      </w:r>
      <w:r>
        <w:rPr>
          <w:i/>
          <w:spacing w:val="40"/>
          <w:sz w:val="30"/>
        </w:rPr>
        <w:t xml:space="preserve"> </w:t>
      </w:r>
      <w:r>
        <w:rPr>
          <w:i/>
          <w:sz w:val="30"/>
        </w:rPr>
        <w:t>Logic.</w:t>
      </w:r>
      <w:r>
        <w:rPr>
          <w:i/>
          <w:spacing w:val="40"/>
          <w:sz w:val="30"/>
        </w:rPr>
        <w:t xml:space="preserve"> </w:t>
      </w:r>
      <w:r>
        <w:rPr>
          <w:sz w:val="30"/>
        </w:rPr>
        <w:t>London:</w:t>
      </w:r>
      <w:r>
        <w:rPr>
          <w:spacing w:val="40"/>
          <w:sz w:val="30"/>
        </w:rPr>
        <w:t xml:space="preserve"> </w:t>
      </w:r>
      <w:r>
        <w:rPr>
          <w:sz w:val="30"/>
        </w:rPr>
        <w:t>George Allen Unwin.</w:t>
      </w:r>
    </w:p>
    <w:p w14:paraId="7E002F34" w14:textId="77777777" w:rsidR="009A58DB" w:rsidRDefault="00000000">
      <w:pPr>
        <w:pStyle w:val="BodyText"/>
        <w:spacing w:before="48" w:line="249" w:lineRule="auto"/>
        <w:ind w:left="720" w:right="365" w:hanging="360"/>
        <w:jc w:val="left"/>
      </w:pPr>
      <w:r>
        <w:t>Bertrand, Russell. 1918. The philosophy of logical atomism. In R.C. Marsh</w:t>
      </w:r>
      <w:r>
        <w:rPr>
          <w:spacing w:val="40"/>
        </w:rPr>
        <w:t xml:space="preserve"> </w:t>
      </w:r>
      <w:r>
        <w:t xml:space="preserve">(ed.), </w:t>
      </w:r>
      <w:r>
        <w:rPr>
          <w:i/>
        </w:rPr>
        <w:t xml:space="preserve">Logic and Knowledge, </w:t>
      </w:r>
      <w:r>
        <w:t>(pp. 175–282).</w:t>
      </w:r>
    </w:p>
    <w:p w14:paraId="7E002F35" w14:textId="77777777" w:rsidR="009A58DB" w:rsidRDefault="00000000">
      <w:pPr>
        <w:spacing w:before="47" w:line="249" w:lineRule="auto"/>
        <w:ind w:left="720" w:hanging="360"/>
        <w:rPr>
          <w:sz w:val="30"/>
        </w:rPr>
      </w:pPr>
      <w:r>
        <w:rPr>
          <w:sz w:val="30"/>
        </w:rPr>
        <w:t>Russell,</w:t>
      </w:r>
      <w:r>
        <w:rPr>
          <w:spacing w:val="-6"/>
          <w:sz w:val="30"/>
        </w:rPr>
        <w:t xml:space="preserve"> </w:t>
      </w:r>
      <w:r>
        <w:rPr>
          <w:sz w:val="30"/>
        </w:rPr>
        <w:t>Bertrand.</w:t>
      </w:r>
      <w:r>
        <w:rPr>
          <w:spacing w:val="-6"/>
          <w:sz w:val="30"/>
        </w:rPr>
        <w:t xml:space="preserve"> </w:t>
      </w:r>
      <w:r>
        <w:rPr>
          <w:sz w:val="30"/>
        </w:rPr>
        <w:t>1920.</w:t>
      </w:r>
      <w:r>
        <w:rPr>
          <w:spacing w:val="-6"/>
          <w:sz w:val="30"/>
        </w:rPr>
        <w:t xml:space="preserve"> </w:t>
      </w:r>
      <w:r>
        <w:rPr>
          <w:i/>
          <w:sz w:val="30"/>
        </w:rPr>
        <w:t>Introduction</w:t>
      </w:r>
      <w:r>
        <w:rPr>
          <w:i/>
          <w:spacing w:val="-6"/>
          <w:sz w:val="30"/>
        </w:rPr>
        <w:t xml:space="preserve"> </w:t>
      </w:r>
      <w:r>
        <w:rPr>
          <w:i/>
          <w:sz w:val="30"/>
        </w:rPr>
        <w:t>to</w:t>
      </w:r>
      <w:r>
        <w:rPr>
          <w:i/>
          <w:spacing w:val="-6"/>
          <w:sz w:val="30"/>
        </w:rPr>
        <w:t xml:space="preserve"> </w:t>
      </w:r>
      <w:r>
        <w:rPr>
          <w:i/>
          <w:sz w:val="30"/>
        </w:rPr>
        <w:t>Mathematical</w:t>
      </w:r>
      <w:r>
        <w:rPr>
          <w:i/>
          <w:spacing w:val="-7"/>
          <w:sz w:val="30"/>
        </w:rPr>
        <w:t xml:space="preserve"> </w:t>
      </w:r>
      <w:r>
        <w:rPr>
          <w:i/>
          <w:sz w:val="30"/>
        </w:rPr>
        <w:t>Philosophy.</w:t>
      </w:r>
      <w:r>
        <w:rPr>
          <w:i/>
          <w:spacing w:val="-6"/>
          <w:sz w:val="30"/>
        </w:rPr>
        <w:t xml:space="preserve"> </w:t>
      </w:r>
      <w:r>
        <w:rPr>
          <w:sz w:val="30"/>
        </w:rPr>
        <w:t>London: George Allen Unwin.</w:t>
      </w:r>
    </w:p>
    <w:p w14:paraId="7E002F36" w14:textId="77777777" w:rsidR="009A58DB" w:rsidRDefault="00000000">
      <w:pPr>
        <w:spacing w:before="33" w:line="249" w:lineRule="auto"/>
        <w:ind w:left="720" w:right="365" w:hanging="360"/>
        <w:rPr>
          <w:sz w:val="30"/>
        </w:rPr>
      </w:pPr>
      <w:r>
        <w:rPr>
          <w:sz w:val="30"/>
        </w:rPr>
        <w:t>Russell,</w:t>
      </w:r>
      <w:r>
        <w:rPr>
          <w:spacing w:val="40"/>
          <w:sz w:val="30"/>
        </w:rPr>
        <w:t xml:space="preserve"> </w:t>
      </w:r>
      <w:r>
        <w:rPr>
          <w:sz w:val="30"/>
        </w:rPr>
        <w:t>Bertrand.</w:t>
      </w:r>
      <w:r>
        <w:rPr>
          <w:spacing w:val="40"/>
          <w:sz w:val="30"/>
        </w:rPr>
        <w:t xml:space="preserve"> </w:t>
      </w:r>
      <w:r>
        <w:rPr>
          <w:sz w:val="30"/>
        </w:rPr>
        <w:t>1921.</w:t>
      </w:r>
      <w:r>
        <w:rPr>
          <w:spacing w:val="40"/>
          <w:sz w:val="30"/>
        </w:rPr>
        <w:t xml:space="preserve"> </w:t>
      </w:r>
      <w:r>
        <w:rPr>
          <w:i/>
          <w:sz w:val="30"/>
        </w:rPr>
        <w:t>The</w:t>
      </w:r>
      <w:r>
        <w:rPr>
          <w:i/>
          <w:spacing w:val="40"/>
          <w:sz w:val="30"/>
        </w:rPr>
        <w:t xml:space="preserve"> </w:t>
      </w:r>
      <w:r>
        <w:rPr>
          <w:i/>
          <w:sz w:val="30"/>
        </w:rPr>
        <w:t>Analysis</w:t>
      </w:r>
      <w:r>
        <w:rPr>
          <w:i/>
          <w:spacing w:val="40"/>
          <w:sz w:val="30"/>
        </w:rPr>
        <w:t xml:space="preserve"> </w:t>
      </w:r>
      <w:r>
        <w:rPr>
          <w:i/>
          <w:sz w:val="30"/>
        </w:rPr>
        <w:t>of</w:t>
      </w:r>
      <w:r>
        <w:rPr>
          <w:i/>
          <w:spacing w:val="40"/>
          <w:sz w:val="30"/>
        </w:rPr>
        <w:t xml:space="preserve"> </w:t>
      </w:r>
      <w:r>
        <w:rPr>
          <w:i/>
          <w:sz w:val="30"/>
        </w:rPr>
        <w:t>Mind.</w:t>
      </w:r>
      <w:r>
        <w:rPr>
          <w:i/>
          <w:spacing w:val="40"/>
          <w:sz w:val="30"/>
        </w:rPr>
        <w:t xml:space="preserve"> </w:t>
      </w:r>
      <w:r>
        <w:rPr>
          <w:sz w:val="30"/>
        </w:rPr>
        <w:t>London:</w:t>
      </w:r>
      <w:r>
        <w:rPr>
          <w:spacing w:val="40"/>
          <w:sz w:val="30"/>
        </w:rPr>
        <w:t xml:space="preserve"> </w:t>
      </w:r>
      <w:r>
        <w:rPr>
          <w:sz w:val="30"/>
        </w:rPr>
        <w:t>George</w:t>
      </w:r>
      <w:r>
        <w:rPr>
          <w:spacing w:val="40"/>
          <w:sz w:val="30"/>
        </w:rPr>
        <w:t xml:space="preserve"> </w:t>
      </w:r>
      <w:r>
        <w:rPr>
          <w:sz w:val="30"/>
        </w:rPr>
        <w:t>Allen</w:t>
      </w:r>
      <w:r>
        <w:rPr>
          <w:spacing w:val="80"/>
          <w:w w:val="150"/>
          <w:sz w:val="30"/>
        </w:rPr>
        <w:t xml:space="preserve"> </w:t>
      </w:r>
      <w:r>
        <w:rPr>
          <w:spacing w:val="-2"/>
          <w:sz w:val="30"/>
        </w:rPr>
        <w:t>Unwin.</w:t>
      </w:r>
    </w:p>
    <w:p w14:paraId="7E002F37" w14:textId="77777777" w:rsidR="009A58DB" w:rsidRDefault="00000000">
      <w:pPr>
        <w:spacing w:before="47" w:line="249" w:lineRule="auto"/>
        <w:ind w:left="720" w:right="1840" w:hanging="360"/>
        <w:rPr>
          <w:sz w:val="30"/>
        </w:rPr>
      </w:pPr>
      <w:r>
        <w:rPr>
          <w:sz w:val="30"/>
        </w:rPr>
        <w:t>Russell,</w:t>
      </w:r>
      <w:r>
        <w:rPr>
          <w:spacing w:val="80"/>
          <w:sz w:val="30"/>
        </w:rPr>
        <w:t xml:space="preserve"> </w:t>
      </w:r>
      <w:r>
        <w:rPr>
          <w:sz w:val="30"/>
        </w:rPr>
        <w:t>Bertrand.</w:t>
      </w:r>
      <w:r>
        <w:rPr>
          <w:spacing w:val="80"/>
          <w:sz w:val="30"/>
        </w:rPr>
        <w:t xml:space="preserve"> </w:t>
      </w:r>
      <w:r>
        <w:rPr>
          <w:sz w:val="30"/>
        </w:rPr>
        <w:t>1927.</w:t>
      </w:r>
      <w:r>
        <w:rPr>
          <w:spacing w:val="80"/>
          <w:sz w:val="30"/>
        </w:rPr>
        <w:t xml:space="preserve"> </w:t>
      </w:r>
      <w:r>
        <w:rPr>
          <w:i/>
          <w:sz w:val="30"/>
        </w:rPr>
        <w:t>An</w:t>
      </w:r>
      <w:r>
        <w:rPr>
          <w:i/>
          <w:spacing w:val="80"/>
          <w:sz w:val="30"/>
        </w:rPr>
        <w:t xml:space="preserve"> </w:t>
      </w:r>
      <w:r>
        <w:rPr>
          <w:i/>
          <w:sz w:val="30"/>
        </w:rPr>
        <w:t>Outline</w:t>
      </w:r>
      <w:r>
        <w:rPr>
          <w:i/>
          <w:spacing w:val="80"/>
          <w:sz w:val="30"/>
        </w:rPr>
        <w:t xml:space="preserve"> </w:t>
      </w:r>
      <w:r>
        <w:rPr>
          <w:i/>
          <w:sz w:val="30"/>
        </w:rPr>
        <w:t>of</w:t>
      </w:r>
      <w:r>
        <w:rPr>
          <w:i/>
          <w:spacing w:val="80"/>
          <w:sz w:val="30"/>
        </w:rPr>
        <w:t xml:space="preserve"> </w:t>
      </w:r>
      <w:r>
        <w:rPr>
          <w:i/>
          <w:sz w:val="30"/>
        </w:rPr>
        <w:t>Philosophy.</w:t>
      </w:r>
      <w:r>
        <w:rPr>
          <w:i/>
          <w:spacing w:val="80"/>
          <w:sz w:val="30"/>
        </w:rPr>
        <w:t xml:space="preserve"> </w:t>
      </w:r>
      <w:r>
        <w:rPr>
          <w:sz w:val="30"/>
        </w:rPr>
        <w:t>London: George Allen Unwin.</w:t>
      </w:r>
    </w:p>
    <w:p w14:paraId="7E002F38" w14:textId="77777777" w:rsidR="009A58DB" w:rsidRDefault="00000000">
      <w:pPr>
        <w:spacing w:before="33" w:line="249" w:lineRule="auto"/>
        <w:ind w:left="720" w:right="1840" w:hanging="360"/>
        <w:rPr>
          <w:sz w:val="30"/>
        </w:rPr>
      </w:pPr>
      <w:r>
        <w:rPr>
          <w:sz w:val="30"/>
        </w:rPr>
        <w:t>Russell,</w:t>
      </w:r>
      <w:r>
        <w:rPr>
          <w:spacing w:val="-5"/>
          <w:sz w:val="30"/>
        </w:rPr>
        <w:t xml:space="preserve"> </w:t>
      </w:r>
      <w:r>
        <w:rPr>
          <w:sz w:val="30"/>
        </w:rPr>
        <w:t>Bertrand.</w:t>
      </w:r>
      <w:r>
        <w:rPr>
          <w:spacing w:val="-5"/>
          <w:sz w:val="30"/>
        </w:rPr>
        <w:t xml:space="preserve"> </w:t>
      </w:r>
      <w:r>
        <w:rPr>
          <w:sz w:val="30"/>
        </w:rPr>
        <w:t>1928.</w:t>
      </w:r>
      <w:r>
        <w:rPr>
          <w:spacing w:val="-5"/>
          <w:sz w:val="30"/>
        </w:rPr>
        <w:t xml:space="preserve"> </w:t>
      </w:r>
      <w:r>
        <w:rPr>
          <w:i/>
          <w:sz w:val="30"/>
        </w:rPr>
        <w:t>The</w:t>
      </w:r>
      <w:r>
        <w:rPr>
          <w:i/>
          <w:spacing w:val="-2"/>
          <w:sz w:val="30"/>
        </w:rPr>
        <w:t xml:space="preserve"> </w:t>
      </w:r>
      <w:r>
        <w:rPr>
          <w:i/>
          <w:sz w:val="30"/>
        </w:rPr>
        <w:t>Analysis</w:t>
      </w:r>
      <w:r>
        <w:rPr>
          <w:i/>
          <w:spacing w:val="-2"/>
          <w:sz w:val="30"/>
        </w:rPr>
        <w:t xml:space="preserve"> </w:t>
      </w:r>
      <w:r>
        <w:rPr>
          <w:i/>
          <w:sz w:val="30"/>
        </w:rPr>
        <w:t>of</w:t>
      </w:r>
      <w:r>
        <w:rPr>
          <w:i/>
          <w:spacing w:val="-2"/>
          <w:sz w:val="30"/>
        </w:rPr>
        <w:t xml:space="preserve"> </w:t>
      </w:r>
      <w:r>
        <w:rPr>
          <w:i/>
          <w:sz w:val="30"/>
        </w:rPr>
        <w:t>Matter.</w:t>
      </w:r>
      <w:r>
        <w:rPr>
          <w:i/>
          <w:spacing w:val="-2"/>
          <w:sz w:val="30"/>
        </w:rPr>
        <w:t xml:space="preserve"> </w:t>
      </w:r>
      <w:r>
        <w:rPr>
          <w:sz w:val="30"/>
        </w:rPr>
        <w:t>London:</w:t>
      </w:r>
      <w:r>
        <w:rPr>
          <w:spacing w:val="-6"/>
          <w:sz w:val="30"/>
        </w:rPr>
        <w:t xml:space="preserve"> </w:t>
      </w:r>
      <w:r>
        <w:rPr>
          <w:sz w:val="30"/>
        </w:rPr>
        <w:t>George Allen Unwin.</w:t>
      </w:r>
    </w:p>
    <w:p w14:paraId="7E002F39" w14:textId="77777777" w:rsidR="009A58DB" w:rsidRDefault="00000000">
      <w:pPr>
        <w:spacing w:before="47" w:line="249" w:lineRule="auto"/>
        <w:ind w:left="720" w:hanging="360"/>
        <w:rPr>
          <w:sz w:val="30"/>
        </w:rPr>
      </w:pPr>
      <w:r>
        <w:rPr>
          <w:sz w:val="30"/>
        </w:rPr>
        <w:t xml:space="preserve">Russell, Bertrand. 1948. </w:t>
      </w:r>
      <w:r>
        <w:rPr>
          <w:i/>
          <w:sz w:val="30"/>
        </w:rPr>
        <w:t xml:space="preserve">Human Knowledge: Its Scope and Limits. </w:t>
      </w:r>
      <w:r>
        <w:rPr>
          <w:sz w:val="30"/>
        </w:rPr>
        <w:t>London:</w:t>
      </w:r>
      <w:r>
        <w:rPr>
          <w:spacing w:val="40"/>
          <w:sz w:val="30"/>
        </w:rPr>
        <w:t xml:space="preserve"> </w:t>
      </w:r>
      <w:r>
        <w:rPr>
          <w:sz w:val="30"/>
        </w:rPr>
        <w:t>George Allen Unwin.</w:t>
      </w:r>
    </w:p>
    <w:p w14:paraId="7E002F3A" w14:textId="77777777" w:rsidR="009A58DB" w:rsidRDefault="00000000">
      <w:pPr>
        <w:spacing w:before="47" w:line="249" w:lineRule="auto"/>
        <w:ind w:left="720" w:hanging="360"/>
        <w:rPr>
          <w:sz w:val="30"/>
        </w:rPr>
      </w:pPr>
      <w:r>
        <w:rPr>
          <w:sz w:val="30"/>
        </w:rPr>
        <w:t xml:space="preserve">Russell, Bertrand. 1950. Logical positivism. In R.C. Marsh (Ed.), </w:t>
      </w:r>
      <w:r>
        <w:rPr>
          <w:i/>
          <w:sz w:val="30"/>
        </w:rPr>
        <w:t xml:space="preserve">Logic and Knowledge, </w:t>
      </w:r>
      <w:r>
        <w:rPr>
          <w:sz w:val="30"/>
        </w:rPr>
        <w:t>(pp. 367–382).</w:t>
      </w:r>
    </w:p>
    <w:p w14:paraId="7E002F3B" w14:textId="77777777" w:rsidR="009A58DB" w:rsidRDefault="00000000">
      <w:pPr>
        <w:spacing w:before="33" w:line="249" w:lineRule="auto"/>
        <w:ind w:left="720" w:hanging="360"/>
        <w:rPr>
          <w:sz w:val="30"/>
        </w:rPr>
      </w:pPr>
      <w:r>
        <w:rPr>
          <w:sz w:val="30"/>
        </w:rPr>
        <w:t>Russell,</w:t>
      </w:r>
      <w:r>
        <w:rPr>
          <w:spacing w:val="40"/>
          <w:sz w:val="30"/>
        </w:rPr>
        <w:t xml:space="preserve"> </w:t>
      </w:r>
      <w:r>
        <w:rPr>
          <w:sz w:val="30"/>
        </w:rPr>
        <w:t>Bertrand.</w:t>
      </w:r>
      <w:r>
        <w:rPr>
          <w:spacing w:val="40"/>
          <w:sz w:val="30"/>
        </w:rPr>
        <w:t xml:space="preserve"> </w:t>
      </w:r>
      <w:r>
        <w:rPr>
          <w:sz w:val="30"/>
        </w:rPr>
        <w:t>1959.</w:t>
      </w:r>
      <w:r>
        <w:rPr>
          <w:spacing w:val="40"/>
          <w:sz w:val="30"/>
        </w:rPr>
        <w:t xml:space="preserve"> </w:t>
      </w:r>
      <w:r>
        <w:rPr>
          <w:i/>
          <w:sz w:val="30"/>
        </w:rPr>
        <w:t>My</w:t>
      </w:r>
      <w:r>
        <w:rPr>
          <w:i/>
          <w:spacing w:val="40"/>
          <w:sz w:val="30"/>
        </w:rPr>
        <w:t xml:space="preserve"> </w:t>
      </w:r>
      <w:r>
        <w:rPr>
          <w:i/>
          <w:sz w:val="30"/>
        </w:rPr>
        <w:t>Philosophical</w:t>
      </w:r>
      <w:r>
        <w:rPr>
          <w:i/>
          <w:spacing w:val="40"/>
          <w:sz w:val="30"/>
        </w:rPr>
        <w:t xml:space="preserve"> </w:t>
      </w:r>
      <w:r>
        <w:rPr>
          <w:i/>
          <w:sz w:val="30"/>
        </w:rPr>
        <w:t>Development.</w:t>
      </w:r>
      <w:r>
        <w:rPr>
          <w:i/>
          <w:spacing w:val="40"/>
          <w:sz w:val="30"/>
        </w:rPr>
        <w:t xml:space="preserve"> </w:t>
      </w:r>
      <w:r>
        <w:rPr>
          <w:sz w:val="30"/>
        </w:rPr>
        <w:t>London:</w:t>
      </w:r>
      <w:r>
        <w:rPr>
          <w:spacing w:val="40"/>
          <w:sz w:val="30"/>
        </w:rPr>
        <w:t xml:space="preserve"> </w:t>
      </w:r>
      <w:r>
        <w:rPr>
          <w:sz w:val="30"/>
        </w:rPr>
        <w:t>George Allen Unwin.</w:t>
      </w:r>
    </w:p>
    <w:p w14:paraId="7E002F3C" w14:textId="77777777" w:rsidR="009A58DB" w:rsidRDefault="00000000">
      <w:pPr>
        <w:tabs>
          <w:tab w:val="left" w:pos="1527"/>
          <w:tab w:val="left" w:pos="2861"/>
          <w:tab w:val="left" w:pos="3746"/>
          <w:tab w:val="left" w:pos="4806"/>
          <w:tab w:val="left" w:pos="5249"/>
          <w:tab w:val="left" w:pos="6883"/>
        </w:tabs>
        <w:spacing w:before="47" w:line="249" w:lineRule="auto"/>
        <w:ind w:left="720" w:right="2177" w:hanging="360"/>
        <w:rPr>
          <w:sz w:val="30"/>
        </w:rPr>
      </w:pPr>
      <w:r>
        <w:rPr>
          <w:spacing w:val="-2"/>
          <w:sz w:val="30"/>
        </w:rPr>
        <w:t>Russell,</w:t>
      </w:r>
      <w:r>
        <w:rPr>
          <w:sz w:val="30"/>
        </w:rPr>
        <w:tab/>
      </w:r>
      <w:r>
        <w:rPr>
          <w:spacing w:val="-2"/>
          <w:sz w:val="30"/>
        </w:rPr>
        <w:t>Bertrand.</w:t>
      </w:r>
      <w:r>
        <w:rPr>
          <w:sz w:val="30"/>
        </w:rPr>
        <w:tab/>
      </w:r>
      <w:r>
        <w:rPr>
          <w:spacing w:val="-2"/>
          <w:sz w:val="30"/>
        </w:rPr>
        <w:t>1984.</w:t>
      </w:r>
      <w:r>
        <w:rPr>
          <w:sz w:val="30"/>
        </w:rPr>
        <w:tab/>
      </w:r>
      <w:r>
        <w:rPr>
          <w:i/>
          <w:spacing w:val="-2"/>
          <w:sz w:val="30"/>
        </w:rPr>
        <w:t>Theory</w:t>
      </w:r>
      <w:r>
        <w:rPr>
          <w:i/>
          <w:sz w:val="30"/>
        </w:rPr>
        <w:tab/>
      </w:r>
      <w:r>
        <w:rPr>
          <w:i/>
          <w:spacing w:val="-6"/>
          <w:sz w:val="30"/>
        </w:rPr>
        <w:t>of</w:t>
      </w:r>
      <w:r>
        <w:rPr>
          <w:i/>
          <w:sz w:val="30"/>
        </w:rPr>
        <w:tab/>
      </w:r>
      <w:r>
        <w:rPr>
          <w:i/>
          <w:spacing w:val="-2"/>
          <w:sz w:val="30"/>
        </w:rPr>
        <w:t>Knowledge.</w:t>
      </w:r>
      <w:r>
        <w:rPr>
          <w:i/>
          <w:sz w:val="30"/>
        </w:rPr>
        <w:tab/>
      </w:r>
      <w:r>
        <w:rPr>
          <w:spacing w:val="-2"/>
          <w:sz w:val="30"/>
        </w:rPr>
        <w:t xml:space="preserve">London: </w:t>
      </w:r>
      <w:r>
        <w:rPr>
          <w:sz w:val="30"/>
        </w:rPr>
        <w:t>George Allen Unwin.</w:t>
      </w:r>
    </w:p>
    <w:p w14:paraId="7E002F3D" w14:textId="77777777" w:rsidR="009A58DB" w:rsidRDefault="00000000">
      <w:pPr>
        <w:spacing w:before="33" w:line="249" w:lineRule="auto"/>
        <w:ind w:left="720" w:right="2223" w:hanging="360"/>
        <w:rPr>
          <w:sz w:val="30"/>
        </w:rPr>
      </w:pPr>
      <w:r>
        <w:rPr>
          <w:sz w:val="30"/>
        </w:rPr>
        <w:t xml:space="preserve">Salmon, Nathan. 1986. </w:t>
      </w:r>
      <w:r>
        <w:rPr>
          <w:i/>
          <w:sz w:val="30"/>
        </w:rPr>
        <w:t xml:space="preserve">Frege’s Puzzle. </w:t>
      </w:r>
      <w:r>
        <w:rPr>
          <w:sz w:val="30"/>
        </w:rPr>
        <w:t>Cambridge, MA: The MIT Press.</w:t>
      </w:r>
    </w:p>
    <w:p w14:paraId="7E002F3E" w14:textId="77777777" w:rsidR="009A58DB" w:rsidRDefault="00000000">
      <w:pPr>
        <w:tabs>
          <w:tab w:val="left" w:pos="1675"/>
          <w:tab w:val="left" w:pos="2942"/>
          <w:tab w:val="left" w:pos="3942"/>
          <w:tab w:val="left" w:pos="5841"/>
          <w:tab w:val="left" w:pos="7790"/>
          <w:tab w:val="left" w:pos="8564"/>
        </w:tabs>
        <w:spacing w:before="47"/>
        <w:ind w:left="360"/>
        <w:rPr>
          <w:i/>
          <w:sz w:val="30"/>
        </w:rPr>
      </w:pPr>
      <w:r>
        <w:rPr>
          <w:spacing w:val="-2"/>
          <w:sz w:val="30"/>
        </w:rPr>
        <w:t>Salmon,</w:t>
      </w:r>
      <w:r>
        <w:rPr>
          <w:sz w:val="30"/>
        </w:rPr>
        <w:tab/>
      </w:r>
      <w:r>
        <w:rPr>
          <w:spacing w:val="-2"/>
          <w:sz w:val="30"/>
        </w:rPr>
        <w:t>Nathan.</w:t>
      </w:r>
      <w:r>
        <w:rPr>
          <w:sz w:val="30"/>
        </w:rPr>
        <w:tab/>
      </w:r>
      <w:r>
        <w:rPr>
          <w:spacing w:val="-2"/>
          <w:sz w:val="30"/>
        </w:rPr>
        <w:t>2005.</w:t>
      </w:r>
      <w:r>
        <w:rPr>
          <w:sz w:val="30"/>
        </w:rPr>
        <w:tab/>
      </w:r>
      <w:r>
        <w:rPr>
          <w:i/>
          <w:spacing w:val="-2"/>
          <w:sz w:val="30"/>
        </w:rPr>
        <w:t>Metaphysics,</w:t>
      </w:r>
      <w:r>
        <w:rPr>
          <w:i/>
          <w:sz w:val="30"/>
        </w:rPr>
        <w:tab/>
      </w:r>
      <w:r>
        <w:rPr>
          <w:i/>
          <w:spacing w:val="-2"/>
          <w:sz w:val="30"/>
        </w:rPr>
        <w:t>Mathematics,</w:t>
      </w:r>
      <w:r>
        <w:rPr>
          <w:i/>
          <w:sz w:val="30"/>
        </w:rPr>
        <w:tab/>
      </w:r>
      <w:r>
        <w:rPr>
          <w:i/>
          <w:spacing w:val="-5"/>
          <w:sz w:val="30"/>
        </w:rPr>
        <w:t>and</w:t>
      </w:r>
      <w:r>
        <w:rPr>
          <w:i/>
          <w:sz w:val="30"/>
        </w:rPr>
        <w:tab/>
      </w:r>
      <w:r>
        <w:rPr>
          <w:i/>
          <w:spacing w:val="-2"/>
          <w:sz w:val="30"/>
        </w:rPr>
        <w:t>Meaning.</w:t>
      </w:r>
    </w:p>
    <w:p w14:paraId="7E002F3F" w14:textId="77777777" w:rsidR="009A58DB" w:rsidRDefault="00000000">
      <w:pPr>
        <w:spacing w:before="15"/>
        <w:ind w:left="720"/>
        <w:rPr>
          <w:sz w:val="30"/>
        </w:rPr>
      </w:pPr>
      <w:r>
        <w:rPr>
          <w:i/>
          <w:sz w:val="30"/>
        </w:rPr>
        <w:t>Philosophical</w:t>
      </w:r>
      <w:r>
        <w:rPr>
          <w:i/>
          <w:spacing w:val="-7"/>
          <w:sz w:val="30"/>
        </w:rPr>
        <w:t xml:space="preserve"> </w:t>
      </w:r>
      <w:r>
        <w:rPr>
          <w:i/>
          <w:sz w:val="30"/>
        </w:rPr>
        <w:t>Papers</w:t>
      </w:r>
      <w:r>
        <w:rPr>
          <w:i/>
          <w:spacing w:val="-5"/>
          <w:sz w:val="30"/>
        </w:rPr>
        <w:t xml:space="preserve"> </w:t>
      </w:r>
      <w:r>
        <w:rPr>
          <w:i/>
          <w:sz w:val="30"/>
        </w:rPr>
        <w:t>II.</w:t>
      </w:r>
      <w:r>
        <w:rPr>
          <w:i/>
          <w:spacing w:val="-3"/>
          <w:sz w:val="30"/>
        </w:rPr>
        <w:t xml:space="preserve"> </w:t>
      </w:r>
      <w:r>
        <w:rPr>
          <w:sz w:val="30"/>
        </w:rPr>
        <w:t>New</w:t>
      </w:r>
      <w:r>
        <w:rPr>
          <w:spacing w:val="-5"/>
          <w:sz w:val="30"/>
        </w:rPr>
        <w:t xml:space="preserve"> </w:t>
      </w:r>
      <w:r>
        <w:rPr>
          <w:sz w:val="30"/>
        </w:rPr>
        <w:t>York:</w:t>
      </w:r>
      <w:r>
        <w:rPr>
          <w:spacing w:val="-4"/>
          <w:sz w:val="30"/>
        </w:rPr>
        <w:t xml:space="preserve"> </w:t>
      </w:r>
      <w:r>
        <w:rPr>
          <w:sz w:val="30"/>
        </w:rPr>
        <w:t>Oxford</w:t>
      </w:r>
      <w:r>
        <w:rPr>
          <w:spacing w:val="-4"/>
          <w:sz w:val="30"/>
        </w:rPr>
        <w:t xml:space="preserve"> </w:t>
      </w:r>
      <w:r>
        <w:rPr>
          <w:sz w:val="30"/>
        </w:rPr>
        <w:t>University</w:t>
      </w:r>
      <w:r>
        <w:rPr>
          <w:spacing w:val="-3"/>
          <w:sz w:val="30"/>
        </w:rPr>
        <w:t xml:space="preserve"> </w:t>
      </w:r>
      <w:r>
        <w:rPr>
          <w:spacing w:val="-2"/>
          <w:sz w:val="30"/>
        </w:rPr>
        <w:t>Press.</w:t>
      </w:r>
    </w:p>
    <w:p w14:paraId="7E002F40" w14:textId="77777777" w:rsidR="009A58DB" w:rsidRDefault="00000000">
      <w:pPr>
        <w:tabs>
          <w:tab w:val="left" w:pos="1681"/>
          <w:tab w:val="left" w:pos="2952"/>
          <w:tab w:val="left" w:pos="3957"/>
          <w:tab w:val="left" w:pos="5311"/>
          <w:tab w:val="left" w:pos="6916"/>
          <w:tab w:val="left" w:pos="7696"/>
        </w:tabs>
        <w:spacing w:before="60" w:line="249" w:lineRule="auto"/>
        <w:ind w:left="720" w:right="366" w:hanging="360"/>
        <w:rPr>
          <w:sz w:val="30"/>
        </w:rPr>
      </w:pPr>
      <w:r>
        <w:rPr>
          <w:spacing w:val="-2"/>
          <w:sz w:val="30"/>
        </w:rPr>
        <w:t>Salmon,</w:t>
      </w:r>
      <w:r>
        <w:rPr>
          <w:sz w:val="30"/>
        </w:rPr>
        <w:tab/>
      </w:r>
      <w:r>
        <w:rPr>
          <w:spacing w:val="-2"/>
          <w:sz w:val="30"/>
        </w:rPr>
        <w:t>Nathan.</w:t>
      </w:r>
      <w:r>
        <w:rPr>
          <w:sz w:val="30"/>
        </w:rPr>
        <w:tab/>
      </w:r>
      <w:r>
        <w:rPr>
          <w:spacing w:val="-2"/>
          <w:sz w:val="30"/>
        </w:rPr>
        <w:t>2007.</w:t>
      </w:r>
      <w:r>
        <w:rPr>
          <w:sz w:val="30"/>
        </w:rPr>
        <w:tab/>
      </w:r>
      <w:r>
        <w:rPr>
          <w:i/>
          <w:spacing w:val="-2"/>
          <w:sz w:val="30"/>
        </w:rPr>
        <w:t>Content,</w:t>
      </w:r>
      <w:r>
        <w:rPr>
          <w:i/>
          <w:sz w:val="30"/>
        </w:rPr>
        <w:tab/>
      </w:r>
      <w:r>
        <w:rPr>
          <w:i/>
          <w:spacing w:val="-2"/>
          <w:sz w:val="30"/>
        </w:rPr>
        <w:t>Cognition,</w:t>
      </w:r>
      <w:r>
        <w:rPr>
          <w:i/>
          <w:sz w:val="30"/>
        </w:rPr>
        <w:tab/>
      </w:r>
      <w:r>
        <w:rPr>
          <w:i/>
          <w:spacing w:val="-4"/>
          <w:sz w:val="30"/>
        </w:rPr>
        <w:t>and</w:t>
      </w:r>
      <w:r>
        <w:rPr>
          <w:i/>
          <w:sz w:val="30"/>
        </w:rPr>
        <w:tab/>
      </w:r>
      <w:r>
        <w:rPr>
          <w:i/>
          <w:spacing w:val="-2"/>
          <w:sz w:val="30"/>
        </w:rPr>
        <w:t xml:space="preserve">Communication: </w:t>
      </w:r>
      <w:r>
        <w:rPr>
          <w:i/>
          <w:sz w:val="30"/>
        </w:rPr>
        <w:t xml:space="preserve">Philosophical Papers II. </w:t>
      </w:r>
      <w:r>
        <w:rPr>
          <w:sz w:val="30"/>
        </w:rPr>
        <w:t>New York: Oxford University Press.</w:t>
      </w:r>
    </w:p>
    <w:p w14:paraId="7E002F41" w14:textId="77777777" w:rsidR="009A58DB" w:rsidRDefault="009A58DB">
      <w:pPr>
        <w:spacing w:line="249" w:lineRule="auto"/>
        <w:rPr>
          <w:sz w:val="30"/>
        </w:rPr>
        <w:sectPr w:rsidR="009A58DB">
          <w:pgSz w:w="12240" w:h="15840"/>
          <w:pgMar w:top="1380" w:right="1080" w:bottom="280" w:left="1080" w:header="720" w:footer="720" w:gutter="0"/>
          <w:cols w:space="720"/>
        </w:sectPr>
      </w:pPr>
    </w:p>
    <w:p w14:paraId="7E002F42" w14:textId="77777777" w:rsidR="009A58DB" w:rsidRDefault="00000000">
      <w:pPr>
        <w:spacing w:before="65" w:line="249" w:lineRule="auto"/>
        <w:ind w:left="720" w:hanging="360"/>
        <w:rPr>
          <w:sz w:val="30"/>
        </w:rPr>
      </w:pPr>
      <w:r>
        <w:rPr>
          <w:sz w:val="30"/>
        </w:rPr>
        <w:t>Salmon,</w:t>
      </w:r>
      <w:r>
        <w:rPr>
          <w:spacing w:val="-4"/>
          <w:sz w:val="30"/>
        </w:rPr>
        <w:t xml:space="preserve"> </w:t>
      </w:r>
      <w:r>
        <w:rPr>
          <w:sz w:val="30"/>
        </w:rPr>
        <w:t>Wesley.</w:t>
      </w:r>
      <w:r>
        <w:rPr>
          <w:spacing w:val="-4"/>
          <w:sz w:val="30"/>
        </w:rPr>
        <w:t xml:space="preserve"> </w:t>
      </w:r>
      <w:r>
        <w:rPr>
          <w:sz w:val="30"/>
        </w:rPr>
        <w:t>1984.</w:t>
      </w:r>
      <w:r>
        <w:rPr>
          <w:spacing w:val="-4"/>
          <w:sz w:val="30"/>
        </w:rPr>
        <w:t xml:space="preserve"> </w:t>
      </w:r>
      <w:r>
        <w:rPr>
          <w:i/>
          <w:sz w:val="30"/>
        </w:rPr>
        <w:t>Scientific</w:t>
      </w:r>
      <w:r>
        <w:rPr>
          <w:i/>
          <w:spacing w:val="-5"/>
          <w:sz w:val="30"/>
        </w:rPr>
        <w:t xml:space="preserve"> </w:t>
      </w:r>
      <w:r>
        <w:rPr>
          <w:i/>
          <w:sz w:val="30"/>
        </w:rPr>
        <w:t>Explanation</w:t>
      </w:r>
      <w:r>
        <w:rPr>
          <w:i/>
          <w:spacing w:val="-4"/>
          <w:sz w:val="30"/>
        </w:rPr>
        <w:t xml:space="preserve"> </w:t>
      </w:r>
      <w:r>
        <w:rPr>
          <w:i/>
          <w:sz w:val="30"/>
        </w:rPr>
        <w:t>and</w:t>
      </w:r>
      <w:r>
        <w:rPr>
          <w:i/>
          <w:spacing w:val="-4"/>
          <w:sz w:val="30"/>
        </w:rPr>
        <w:t xml:space="preserve"> </w:t>
      </w:r>
      <w:r>
        <w:rPr>
          <w:i/>
          <w:sz w:val="30"/>
        </w:rPr>
        <w:t>the</w:t>
      </w:r>
      <w:r>
        <w:rPr>
          <w:i/>
          <w:spacing w:val="-5"/>
          <w:sz w:val="30"/>
        </w:rPr>
        <w:t xml:space="preserve"> </w:t>
      </w:r>
      <w:r>
        <w:rPr>
          <w:i/>
          <w:sz w:val="30"/>
        </w:rPr>
        <w:t>Causal</w:t>
      </w:r>
      <w:r>
        <w:rPr>
          <w:i/>
          <w:spacing w:val="-5"/>
          <w:sz w:val="30"/>
        </w:rPr>
        <w:t xml:space="preserve"> </w:t>
      </w:r>
      <w:r>
        <w:rPr>
          <w:i/>
          <w:sz w:val="30"/>
        </w:rPr>
        <w:t>Structure</w:t>
      </w:r>
      <w:r>
        <w:rPr>
          <w:i/>
          <w:spacing w:val="-5"/>
          <w:sz w:val="30"/>
        </w:rPr>
        <w:t xml:space="preserve"> </w:t>
      </w:r>
      <w:r>
        <w:rPr>
          <w:i/>
          <w:sz w:val="30"/>
        </w:rPr>
        <w:t>of</w:t>
      </w:r>
      <w:r>
        <w:rPr>
          <w:i/>
          <w:spacing w:val="-5"/>
          <w:sz w:val="30"/>
        </w:rPr>
        <w:t xml:space="preserve"> </w:t>
      </w:r>
      <w:r>
        <w:rPr>
          <w:i/>
          <w:sz w:val="30"/>
        </w:rPr>
        <w:t xml:space="preserve">the World. </w:t>
      </w:r>
      <w:r>
        <w:rPr>
          <w:sz w:val="30"/>
        </w:rPr>
        <w:t>Princeton, NJ: Princeton University Press.</w:t>
      </w:r>
    </w:p>
    <w:p w14:paraId="7E002F43" w14:textId="77777777" w:rsidR="009A58DB" w:rsidRDefault="00000000">
      <w:pPr>
        <w:spacing w:before="47" w:line="249" w:lineRule="auto"/>
        <w:ind w:left="720" w:right="358" w:hanging="360"/>
        <w:rPr>
          <w:sz w:val="30"/>
        </w:rPr>
      </w:pPr>
      <w:r>
        <w:rPr>
          <w:sz w:val="30"/>
        </w:rPr>
        <w:t>Saussure,</w:t>
      </w:r>
      <w:r>
        <w:rPr>
          <w:spacing w:val="40"/>
          <w:sz w:val="30"/>
        </w:rPr>
        <w:t xml:space="preserve"> </w:t>
      </w:r>
      <w:r>
        <w:rPr>
          <w:sz w:val="30"/>
        </w:rPr>
        <w:t>Ferdinand</w:t>
      </w:r>
      <w:r>
        <w:rPr>
          <w:spacing w:val="40"/>
          <w:sz w:val="30"/>
        </w:rPr>
        <w:t xml:space="preserve"> </w:t>
      </w:r>
      <w:r>
        <w:rPr>
          <w:sz w:val="30"/>
        </w:rPr>
        <w:t>de.</w:t>
      </w:r>
      <w:r>
        <w:rPr>
          <w:spacing w:val="40"/>
          <w:sz w:val="30"/>
        </w:rPr>
        <w:t xml:space="preserve"> </w:t>
      </w:r>
      <w:r>
        <w:rPr>
          <w:sz w:val="30"/>
        </w:rPr>
        <w:t>1966.</w:t>
      </w:r>
      <w:r>
        <w:rPr>
          <w:spacing w:val="40"/>
          <w:sz w:val="30"/>
        </w:rPr>
        <w:t xml:space="preserve"> </w:t>
      </w:r>
      <w:r>
        <w:rPr>
          <w:i/>
          <w:sz w:val="30"/>
        </w:rPr>
        <w:t>Course</w:t>
      </w:r>
      <w:r>
        <w:rPr>
          <w:i/>
          <w:spacing w:val="40"/>
          <w:sz w:val="30"/>
        </w:rPr>
        <w:t xml:space="preserve"> </w:t>
      </w:r>
      <w:r>
        <w:rPr>
          <w:i/>
          <w:sz w:val="30"/>
        </w:rPr>
        <w:t>in</w:t>
      </w:r>
      <w:r>
        <w:rPr>
          <w:i/>
          <w:spacing w:val="40"/>
          <w:sz w:val="30"/>
        </w:rPr>
        <w:t xml:space="preserve"> </w:t>
      </w:r>
      <w:r>
        <w:rPr>
          <w:i/>
          <w:sz w:val="30"/>
        </w:rPr>
        <w:t>General</w:t>
      </w:r>
      <w:r>
        <w:rPr>
          <w:i/>
          <w:spacing w:val="40"/>
          <w:sz w:val="30"/>
        </w:rPr>
        <w:t xml:space="preserve"> </w:t>
      </w:r>
      <w:r>
        <w:rPr>
          <w:i/>
          <w:sz w:val="30"/>
        </w:rPr>
        <w:t>Linguistics.</w:t>
      </w:r>
      <w:r>
        <w:rPr>
          <w:i/>
          <w:spacing w:val="40"/>
          <w:sz w:val="30"/>
        </w:rPr>
        <w:t xml:space="preserve"> </w:t>
      </w:r>
      <w:r>
        <w:rPr>
          <w:sz w:val="30"/>
        </w:rPr>
        <w:t>New</w:t>
      </w:r>
      <w:r>
        <w:rPr>
          <w:spacing w:val="40"/>
          <w:sz w:val="30"/>
        </w:rPr>
        <w:t xml:space="preserve"> </w:t>
      </w:r>
      <w:r>
        <w:rPr>
          <w:sz w:val="30"/>
        </w:rPr>
        <w:t>York: McGraw-Hill Book Company.</w:t>
      </w:r>
    </w:p>
    <w:p w14:paraId="7E002F44" w14:textId="77777777" w:rsidR="009A58DB" w:rsidRDefault="009A58DB">
      <w:pPr>
        <w:spacing w:line="249" w:lineRule="auto"/>
        <w:rPr>
          <w:sz w:val="30"/>
        </w:rPr>
        <w:sectPr w:rsidR="009A58DB">
          <w:pgSz w:w="12240" w:h="15840"/>
          <w:pgMar w:top="1380" w:right="1080" w:bottom="280" w:left="1080" w:header="720" w:footer="720" w:gutter="0"/>
          <w:cols w:space="720"/>
        </w:sectPr>
      </w:pPr>
    </w:p>
    <w:p w14:paraId="7E002F45" w14:textId="77777777" w:rsidR="009A58DB" w:rsidRDefault="00000000">
      <w:pPr>
        <w:spacing w:before="65"/>
        <w:ind w:left="360"/>
        <w:jc w:val="both"/>
        <w:rPr>
          <w:i/>
          <w:sz w:val="30"/>
        </w:rPr>
      </w:pPr>
      <w:r>
        <w:rPr>
          <w:sz w:val="30"/>
        </w:rPr>
        <w:t>Smart,</w:t>
      </w:r>
      <w:r>
        <w:rPr>
          <w:spacing w:val="42"/>
          <w:sz w:val="30"/>
        </w:rPr>
        <w:t xml:space="preserve"> </w:t>
      </w:r>
      <w:r>
        <w:rPr>
          <w:sz w:val="30"/>
        </w:rPr>
        <w:t>J.J.C.</w:t>
      </w:r>
      <w:r>
        <w:rPr>
          <w:spacing w:val="45"/>
          <w:sz w:val="30"/>
        </w:rPr>
        <w:t xml:space="preserve"> </w:t>
      </w:r>
      <w:r>
        <w:rPr>
          <w:sz w:val="30"/>
        </w:rPr>
        <w:t>1959.</w:t>
      </w:r>
      <w:r>
        <w:rPr>
          <w:spacing w:val="45"/>
          <w:sz w:val="30"/>
        </w:rPr>
        <w:t xml:space="preserve"> </w:t>
      </w:r>
      <w:r>
        <w:rPr>
          <w:sz w:val="30"/>
        </w:rPr>
        <w:t>Sensations</w:t>
      </w:r>
      <w:r>
        <w:rPr>
          <w:spacing w:val="45"/>
          <w:sz w:val="30"/>
        </w:rPr>
        <w:t xml:space="preserve"> </w:t>
      </w:r>
      <w:r>
        <w:rPr>
          <w:sz w:val="30"/>
        </w:rPr>
        <w:t>and</w:t>
      </w:r>
      <w:r>
        <w:rPr>
          <w:spacing w:val="45"/>
          <w:sz w:val="30"/>
        </w:rPr>
        <w:t xml:space="preserve"> </w:t>
      </w:r>
      <w:r>
        <w:rPr>
          <w:sz w:val="30"/>
        </w:rPr>
        <w:t>Brain</w:t>
      </w:r>
      <w:r>
        <w:rPr>
          <w:spacing w:val="45"/>
          <w:sz w:val="30"/>
        </w:rPr>
        <w:t xml:space="preserve"> </w:t>
      </w:r>
      <w:r>
        <w:rPr>
          <w:sz w:val="30"/>
        </w:rPr>
        <w:t>Processes.</w:t>
      </w:r>
      <w:r>
        <w:rPr>
          <w:spacing w:val="45"/>
          <w:sz w:val="30"/>
        </w:rPr>
        <w:t xml:space="preserve"> </w:t>
      </w:r>
      <w:r>
        <w:rPr>
          <w:i/>
          <w:sz w:val="30"/>
        </w:rPr>
        <w:t>Philosophical</w:t>
      </w:r>
      <w:r>
        <w:rPr>
          <w:i/>
          <w:spacing w:val="55"/>
          <w:sz w:val="30"/>
        </w:rPr>
        <w:t xml:space="preserve"> </w:t>
      </w:r>
      <w:r>
        <w:rPr>
          <w:i/>
          <w:spacing w:val="-2"/>
          <w:sz w:val="30"/>
        </w:rPr>
        <w:t>Review,</w:t>
      </w:r>
    </w:p>
    <w:p w14:paraId="7E002F46" w14:textId="77777777" w:rsidR="009A58DB" w:rsidRDefault="00000000">
      <w:pPr>
        <w:pStyle w:val="BodyText"/>
        <w:spacing w:before="15"/>
        <w:ind w:left="720"/>
      </w:pPr>
      <w:r>
        <w:t>68, 141–</w:t>
      </w:r>
      <w:r>
        <w:rPr>
          <w:spacing w:val="-4"/>
        </w:rPr>
        <w:t>156.</w:t>
      </w:r>
    </w:p>
    <w:p w14:paraId="7E002F47" w14:textId="77777777" w:rsidR="009A58DB" w:rsidRDefault="00000000">
      <w:pPr>
        <w:spacing w:before="15" w:line="249" w:lineRule="auto"/>
        <w:ind w:left="720" w:right="369" w:hanging="360"/>
        <w:jc w:val="both"/>
        <w:rPr>
          <w:sz w:val="30"/>
        </w:rPr>
      </w:pPr>
      <w:r>
        <w:rPr>
          <w:sz w:val="30"/>
        </w:rPr>
        <w:t xml:space="preserve">Sartre, Jean-Paul. 1956. Being and Nothingness. In Robert C. Solomon (Ed.), </w:t>
      </w:r>
      <w:r>
        <w:rPr>
          <w:i/>
          <w:sz w:val="30"/>
        </w:rPr>
        <w:t xml:space="preserve">Phenomenology and Existentialism </w:t>
      </w:r>
      <w:r>
        <w:rPr>
          <w:sz w:val="30"/>
        </w:rPr>
        <w:t>(pp. 466–473). Boulder, CO: Rowman and Littlefield.</w:t>
      </w:r>
    </w:p>
    <w:p w14:paraId="7E002F48" w14:textId="77777777" w:rsidR="009A58DB" w:rsidRDefault="00000000">
      <w:pPr>
        <w:pStyle w:val="BodyText"/>
        <w:spacing w:before="48" w:line="249" w:lineRule="auto"/>
        <w:ind w:left="720" w:right="369" w:hanging="360"/>
      </w:pPr>
      <w:r>
        <w:t xml:space="preserve">Searle, John. 1969. </w:t>
      </w:r>
      <w:r>
        <w:rPr>
          <w:i/>
        </w:rPr>
        <w:t xml:space="preserve">Speech Acts. </w:t>
      </w:r>
      <w:r>
        <w:t xml:space="preserve">Cambridge, U.K.: Cambridge University </w:t>
      </w:r>
      <w:r>
        <w:rPr>
          <w:spacing w:val="-2"/>
        </w:rPr>
        <w:t>Press.</w:t>
      </w:r>
    </w:p>
    <w:p w14:paraId="7E002F49" w14:textId="77777777" w:rsidR="009A58DB" w:rsidRDefault="00000000">
      <w:pPr>
        <w:spacing w:before="33" w:line="249" w:lineRule="auto"/>
        <w:ind w:left="720" w:right="362" w:hanging="360"/>
        <w:jc w:val="both"/>
        <w:rPr>
          <w:sz w:val="30"/>
        </w:rPr>
      </w:pPr>
      <w:r>
        <w:rPr>
          <w:sz w:val="30"/>
        </w:rPr>
        <w:t xml:space="preserve">Searle, John. 1979. </w:t>
      </w:r>
      <w:r>
        <w:rPr>
          <w:i/>
          <w:sz w:val="30"/>
        </w:rPr>
        <w:t xml:space="preserve">Expression and Meaning. </w:t>
      </w:r>
      <w:r>
        <w:rPr>
          <w:sz w:val="30"/>
        </w:rPr>
        <w:t>Cambridge, U.K.: Cambridge University Press.</w:t>
      </w:r>
    </w:p>
    <w:p w14:paraId="7E002F4A" w14:textId="77777777" w:rsidR="009A58DB" w:rsidRDefault="00000000">
      <w:pPr>
        <w:spacing w:before="47"/>
        <w:ind w:left="360"/>
        <w:jc w:val="both"/>
        <w:rPr>
          <w:i/>
          <w:sz w:val="30"/>
        </w:rPr>
      </w:pPr>
      <w:r>
        <w:rPr>
          <w:sz w:val="30"/>
        </w:rPr>
        <w:t>Searle,</w:t>
      </w:r>
      <w:r>
        <w:rPr>
          <w:spacing w:val="72"/>
          <w:sz w:val="30"/>
        </w:rPr>
        <w:t xml:space="preserve"> </w:t>
      </w:r>
      <w:r>
        <w:rPr>
          <w:sz w:val="30"/>
        </w:rPr>
        <w:t>John.</w:t>
      </w:r>
      <w:r>
        <w:rPr>
          <w:spacing w:val="73"/>
          <w:sz w:val="30"/>
        </w:rPr>
        <w:t xml:space="preserve"> </w:t>
      </w:r>
      <w:r>
        <w:rPr>
          <w:sz w:val="30"/>
        </w:rPr>
        <w:t>1983.</w:t>
      </w:r>
      <w:r>
        <w:rPr>
          <w:spacing w:val="73"/>
          <w:sz w:val="30"/>
        </w:rPr>
        <w:t xml:space="preserve"> </w:t>
      </w:r>
      <w:r>
        <w:rPr>
          <w:i/>
          <w:sz w:val="30"/>
        </w:rPr>
        <w:t>Intentionality:</w:t>
      </w:r>
      <w:r>
        <w:rPr>
          <w:i/>
          <w:spacing w:val="78"/>
          <w:sz w:val="30"/>
        </w:rPr>
        <w:t xml:space="preserve"> </w:t>
      </w:r>
      <w:r>
        <w:rPr>
          <w:i/>
          <w:sz w:val="30"/>
        </w:rPr>
        <w:t>an</w:t>
      </w:r>
      <w:r>
        <w:rPr>
          <w:i/>
          <w:spacing w:val="79"/>
          <w:sz w:val="30"/>
        </w:rPr>
        <w:t xml:space="preserve"> </w:t>
      </w:r>
      <w:r>
        <w:rPr>
          <w:i/>
          <w:sz w:val="30"/>
        </w:rPr>
        <w:t>Essay</w:t>
      </w:r>
      <w:r>
        <w:rPr>
          <w:i/>
          <w:spacing w:val="78"/>
          <w:sz w:val="30"/>
        </w:rPr>
        <w:t xml:space="preserve"> </w:t>
      </w:r>
      <w:r>
        <w:rPr>
          <w:i/>
          <w:sz w:val="30"/>
        </w:rPr>
        <w:t>on</w:t>
      </w:r>
      <w:r>
        <w:rPr>
          <w:i/>
          <w:spacing w:val="79"/>
          <w:sz w:val="30"/>
        </w:rPr>
        <w:t xml:space="preserve"> </w:t>
      </w:r>
      <w:r>
        <w:rPr>
          <w:i/>
          <w:sz w:val="30"/>
        </w:rPr>
        <w:t>the</w:t>
      </w:r>
      <w:r>
        <w:rPr>
          <w:i/>
          <w:spacing w:val="78"/>
          <w:sz w:val="30"/>
        </w:rPr>
        <w:t xml:space="preserve"> </w:t>
      </w:r>
      <w:r>
        <w:rPr>
          <w:i/>
          <w:sz w:val="30"/>
        </w:rPr>
        <w:t>Philosophy</w:t>
      </w:r>
      <w:r>
        <w:rPr>
          <w:i/>
          <w:spacing w:val="79"/>
          <w:sz w:val="30"/>
        </w:rPr>
        <w:t xml:space="preserve"> </w:t>
      </w:r>
      <w:r>
        <w:rPr>
          <w:i/>
          <w:sz w:val="30"/>
        </w:rPr>
        <w:t>of</w:t>
      </w:r>
      <w:r>
        <w:rPr>
          <w:i/>
          <w:spacing w:val="79"/>
          <w:sz w:val="30"/>
        </w:rPr>
        <w:t xml:space="preserve"> </w:t>
      </w:r>
      <w:r>
        <w:rPr>
          <w:i/>
          <w:spacing w:val="-2"/>
          <w:sz w:val="30"/>
        </w:rPr>
        <w:t>Mind.</w:t>
      </w:r>
    </w:p>
    <w:p w14:paraId="7E002F4B" w14:textId="77777777" w:rsidR="009A58DB" w:rsidRDefault="00000000">
      <w:pPr>
        <w:pStyle w:val="BodyText"/>
        <w:spacing w:before="15"/>
        <w:ind w:left="720"/>
      </w:pPr>
      <w:r>
        <w:t>Cambridge,</w:t>
      </w:r>
      <w:r>
        <w:rPr>
          <w:spacing w:val="-6"/>
        </w:rPr>
        <w:t xml:space="preserve"> </w:t>
      </w:r>
      <w:r>
        <w:t>U.K.:</w:t>
      </w:r>
      <w:r>
        <w:rPr>
          <w:spacing w:val="-5"/>
        </w:rPr>
        <w:t xml:space="preserve"> </w:t>
      </w:r>
      <w:r>
        <w:t>Cambridge</w:t>
      </w:r>
      <w:r>
        <w:rPr>
          <w:spacing w:val="-6"/>
        </w:rPr>
        <w:t xml:space="preserve"> </w:t>
      </w:r>
      <w:r>
        <w:t>University</w:t>
      </w:r>
      <w:r>
        <w:rPr>
          <w:spacing w:val="-5"/>
        </w:rPr>
        <w:t xml:space="preserve"> </w:t>
      </w:r>
      <w:r>
        <w:rPr>
          <w:spacing w:val="-2"/>
        </w:rPr>
        <w:t>Press.</w:t>
      </w:r>
    </w:p>
    <w:p w14:paraId="7E002F4C" w14:textId="77777777" w:rsidR="009A58DB" w:rsidRDefault="00000000">
      <w:pPr>
        <w:spacing w:before="45" w:line="249" w:lineRule="auto"/>
        <w:ind w:left="720" w:right="953" w:hanging="360"/>
        <w:jc w:val="both"/>
        <w:rPr>
          <w:sz w:val="30"/>
        </w:rPr>
      </w:pPr>
      <w:r>
        <w:rPr>
          <w:sz w:val="30"/>
        </w:rPr>
        <w:t xml:space="preserve">Searle, John. 1984. </w:t>
      </w:r>
      <w:r>
        <w:rPr>
          <w:i/>
          <w:sz w:val="30"/>
        </w:rPr>
        <w:t xml:space="preserve">Minds, Brains, and Science. </w:t>
      </w:r>
      <w:r>
        <w:rPr>
          <w:sz w:val="30"/>
        </w:rPr>
        <w:t>Cambridge, U.K.: Harvard University Press.</w:t>
      </w:r>
    </w:p>
    <w:p w14:paraId="7E002F4D" w14:textId="77777777" w:rsidR="009A58DB" w:rsidRDefault="00000000">
      <w:pPr>
        <w:spacing w:before="48" w:line="249" w:lineRule="auto"/>
        <w:ind w:left="720" w:right="954" w:hanging="360"/>
        <w:jc w:val="both"/>
        <w:rPr>
          <w:sz w:val="30"/>
        </w:rPr>
      </w:pPr>
      <w:r>
        <w:rPr>
          <w:sz w:val="30"/>
        </w:rPr>
        <w:t xml:space="preserve">Searle, John. 1992. </w:t>
      </w:r>
      <w:r>
        <w:rPr>
          <w:i/>
          <w:sz w:val="30"/>
        </w:rPr>
        <w:t xml:space="preserve">The Rediscovery of the Mind. </w:t>
      </w:r>
      <w:r>
        <w:rPr>
          <w:sz w:val="30"/>
        </w:rPr>
        <w:t>Cambridge, MA: The MIT Press.</w:t>
      </w:r>
    </w:p>
    <w:p w14:paraId="7E002F4E" w14:textId="77777777" w:rsidR="009A58DB" w:rsidRDefault="00000000">
      <w:pPr>
        <w:spacing w:before="47"/>
        <w:ind w:left="360"/>
        <w:rPr>
          <w:sz w:val="30"/>
        </w:rPr>
      </w:pPr>
      <w:r>
        <w:rPr>
          <w:sz w:val="30"/>
        </w:rPr>
        <w:t>Sellars,</w:t>
      </w:r>
      <w:r>
        <w:rPr>
          <w:spacing w:val="68"/>
          <w:sz w:val="30"/>
        </w:rPr>
        <w:t xml:space="preserve"> </w:t>
      </w:r>
      <w:r>
        <w:rPr>
          <w:sz w:val="30"/>
        </w:rPr>
        <w:t>Wilfred.</w:t>
      </w:r>
      <w:r>
        <w:rPr>
          <w:spacing w:val="71"/>
          <w:sz w:val="30"/>
        </w:rPr>
        <w:t xml:space="preserve"> </w:t>
      </w:r>
      <w:r>
        <w:rPr>
          <w:sz w:val="30"/>
        </w:rPr>
        <w:t>1963.</w:t>
      </w:r>
      <w:r>
        <w:rPr>
          <w:spacing w:val="71"/>
          <w:sz w:val="30"/>
        </w:rPr>
        <w:t xml:space="preserve"> </w:t>
      </w:r>
      <w:r>
        <w:rPr>
          <w:i/>
          <w:sz w:val="30"/>
        </w:rPr>
        <w:t>Science,</w:t>
      </w:r>
      <w:r>
        <w:rPr>
          <w:i/>
          <w:spacing w:val="71"/>
          <w:sz w:val="30"/>
        </w:rPr>
        <w:t xml:space="preserve"> </w:t>
      </w:r>
      <w:r>
        <w:rPr>
          <w:i/>
          <w:sz w:val="30"/>
        </w:rPr>
        <w:t>Perception</w:t>
      </w:r>
      <w:r>
        <w:rPr>
          <w:i/>
          <w:spacing w:val="71"/>
          <w:sz w:val="30"/>
        </w:rPr>
        <w:t xml:space="preserve"> </w:t>
      </w:r>
      <w:r>
        <w:rPr>
          <w:i/>
          <w:sz w:val="30"/>
        </w:rPr>
        <w:t>and</w:t>
      </w:r>
      <w:r>
        <w:rPr>
          <w:i/>
          <w:spacing w:val="71"/>
          <w:sz w:val="30"/>
        </w:rPr>
        <w:t xml:space="preserve"> </w:t>
      </w:r>
      <w:r>
        <w:rPr>
          <w:i/>
          <w:sz w:val="30"/>
        </w:rPr>
        <w:t>Reality.</w:t>
      </w:r>
      <w:r>
        <w:rPr>
          <w:i/>
          <w:spacing w:val="71"/>
          <w:sz w:val="30"/>
        </w:rPr>
        <w:t xml:space="preserve"> </w:t>
      </w:r>
      <w:r>
        <w:rPr>
          <w:sz w:val="30"/>
        </w:rPr>
        <w:t>New</w:t>
      </w:r>
      <w:r>
        <w:rPr>
          <w:spacing w:val="70"/>
          <w:sz w:val="30"/>
        </w:rPr>
        <w:t xml:space="preserve"> </w:t>
      </w:r>
      <w:r>
        <w:rPr>
          <w:spacing w:val="-2"/>
          <w:sz w:val="30"/>
        </w:rPr>
        <w:t>York.</w:t>
      </w:r>
    </w:p>
    <w:p w14:paraId="7E002F4F" w14:textId="77777777" w:rsidR="009A58DB" w:rsidRDefault="00000000">
      <w:pPr>
        <w:pStyle w:val="BodyText"/>
        <w:spacing w:before="15"/>
        <w:ind w:left="720"/>
        <w:jc w:val="left"/>
      </w:pPr>
      <w:r>
        <w:t>Routledge</w:t>
      </w:r>
      <w:r>
        <w:rPr>
          <w:spacing w:val="-4"/>
        </w:rPr>
        <w:t xml:space="preserve"> </w:t>
      </w:r>
      <w:r>
        <w:t>&amp;</w:t>
      </w:r>
      <w:r>
        <w:rPr>
          <w:spacing w:val="-3"/>
        </w:rPr>
        <w:t xml:space="preserve"> </w:t>
      </w:r>
      <w:r>
        <w:t>Kegan</w:t>
      </w:r>
      <w:r>
        <w:rPr>
          <w:spacing w:val="-2"/>
        </w:rPr>
        <w:t xml:space="preserve"> Paul.</w:t>
      </w:r>
    </w:p>
    <w:p w14:paraId="7E002F50" w14:textId="77777777" w:rsidR="009A58DB" w:rsidRDefault="00000000">
      <w:pPr>
        <w:spacing w:before="45" w:line="249" w:lineRule="auto"/>
        <w:ind w:left="720" w:right="365" w:hanging="360"/>
        <w:rPr>
          <w:sz w:val="30"/>
        </w:rPr>
      </w:pPr>
      <w:r>
        <w:rPr>
          <w:sz w:val="30"/>
        </w:rPr>
        <w:t>Scheffler,</w:t>
      </w:r>
      <w:r>
        <w:rPr>
          <w:spacing w:val="80"/>
          <w:sz w:val="30"/>
        </w:rPr>
        <w:t xml:space="preserve"> </w:t>
      </w:r>
      <w:r>
        <w:rPr>
          <w:sz w:val="30"/>
        </w:rPr>
        <w:t>Israel.</w:t>
      </w:r>
      <w:r>
        <w:rPr>
          <w:spacing w:val="80"/>
          <w:sz w:val="30"/>
        </w:rPr>
        <w:t xml:space="preserve"> </w:t>
      </w:r>
      <w:r>
        <w:rPr>
          <w:sz w:val="30"/>
        </w:rPr>
        <w:t>1981.</w:t>
      </w:r>
      <w:r>
        <w:rPr>
          <w:spacing w:val="80"/>
          <w:sz w:val="30"/>
        </w:rPr>
        <w:t xml:space="preserve"> </w:t>
      </w:r>
      <w:r>
        <w:rPr>
          <w:i/>
          <w:sz w:val="30"/>
        </w:rPr>
        <w:t>The</w:t>
      </w:r>
      <w:r>
        <w:rPr>
          <w:i/>
          <w:spacing w:val="80"/>
          <w:sz w:val="30"/>
        </w:rPr>
        <w:t xml:space="preserve"> </w:t>
      </w:r>
      <w:r>
        <w:rPr>
          <w:i/>
          <w:sz w:val="30"/>
        </w:rPr>
        <w:t>Anatomy</w:t>
      </w:r>
      <w:r>
        <w:rPr>
          <w:i/>
          <w:spacing w:val="80"/>
          <w:sz w:val="30"/>
        </w:rPr>
        <w:t xml:space="preserve"> </w:t>
      </w:r>
      <w:r>
        <w:rPr>
          <w:i/>
          <w:sz w:val="30"/>
        </w:rPr>
        <w:t>of</w:t>
      </w:r>
      <w:r>
        <w:rPr>
          <w:i/>
          <w:spacing w:val="80"/>
          <w:sz w:val="30"/>
        </w:rPr>
        <w:t xml:space="preserve"> </w:t>
      </w:r>
      <w:r>
        <w:rPr>
          <w:i/>
          <w:sz w:val="30"/>
        </w:rPr>
        <w:t>Inquiry.</w:t>
      </w:r>
      <w:r>
        <w:rPr>
          <w:i/>
          <w:spacing w:val="80"/>
          <w:sz w:val="30"/>
        </w:rPr>
        <w:t xml:space="preserve"> </w:t>
      </w:r>
      <w:r>
        <w:rPr>
          <w:sz w:val="30"/>
        </w:rPr>
        <w:t>Indianapolis,</w:t>
      </w:r>
      <w:r>
        <w:rPr>
          <w:spacing w:val="80"/>
          <w:sz w:val="30"/>
        </w:rPr>
        <w:t xml:space="preserve"> </w:t>
      </w:r>
      <w:r>
        <w:rPr>
          <w:sz w:val="30"/>
        </w:rPr>
        <w:t xml:space="preserve">IN: </w:t>
      </w:r>
      <w:r>
        <w:rPr>
          <w:spacing w:val="-2"/>
          <w:sz w:val="30"/>
        </w:rPr>
        <w:t>Hackett.</w:t>
      </w:r>
    </w:p>
    <w:p w14:paraId="7E002F51" w14:textId="77777777" w:rsidR="009A58DB" w:rsidRDefault="00000000">
      <w:pPr>
        <w:pStyle w:val="BodyText"/>
        <w:spacing w:before="48" w:line="249" w:lineRule="auto"/>
        <w:ind w:left="720" w:hanging="360"/>
        <w:jc w:val="left"/>
      </w:pPr>
      <w:r>
        <w:t xml:space="preserve">Schlick, Moritz. 1932. Positivism and Realism. In A.J. Ayer (Ed.), </w:t>
      </w:r>
      <w:r>
        <w:rPr>
          <w:i/>
        </w:rPr>
        <w:t>Logical</w:t>
      </w:r>
      <w:r>
        <w:rPr>
          <w:i/>
          <w:spacing w:val="80"/>
          <w:w w:val="150"/>
        </w:rPr>
        <w:t xml:space="preserve"> </w:t>
      </w:r>
      <w:r>
        <w:rPr>
          <w:i/>
        </w:rPr>
        <w:t xml:space="preserve">Positivism, </w:t>
      </w:r>
      <w:r>
        <w:t>(pp. 82–107). New York: The Free Press.</w:t>
      </w:r>
    </w:p>
    <w:p w14:paraId="7E002F52" w14:textId="77777777" w:rsidR="009A58DB" w:rsidRDefault="00000000">
      <w:pPr>
        <w:pStyle w:val="BodyText"/>
        <w:spacing w:before="32"/>
        <w:jc w:val="left"/>
      </w:pPr>
      <w:r>
        <w:t>Schlick,</w:t>
      </w:r>
      <w:r>
        <w:rPr>
          <w:spacing w:val="34"/>
        </w:rPr>
        <w:t xml:space="preserve"> </w:t>
      </w:r>
      <w:r>
        <w:t>Moritz.</w:t>
      </w:r>
      <w:r>
        <w:rPr>
          <w:spacing w:val="37"/>
        </w:rPr>
        <w:t xml:space="preserve"> </w:t>
      </w:r>
      <w:r>
        <w:t>1934.</w:t>
      </w:r>
      <w:r>
        <w:rPr>
          <w:spacing w:val="37"/>
        </w:rPr>
        <w:t xml:space="preserve"> </w:t>
      </w:r>
      <w:r>
        <w:t>The</w:t>
      </w:r>
      <w:r>
        <w:rPr>
          <w:spacing w:val="36"/>
        </w:rPr>
        <w:t xml:space="preserve"> </w:t>
      </w:r>
      <w:r>
        <w:t>Foundation</w:t>
      </w:r>
      <w:r>
        <w:rPr>
          <w:spacing w:val="37"/>
        </w:rPr>
        <w:t xml:space="preserve"> </w:t>
      </w:r>
      <w:r>
        <w:t>of</w:t>
      </w:r>
      <w:r>
        <w:rPr>
          <w:spacing w:val="37"/>
        </w:rPr>
        <w:t xml:space="preserve"> </w:t>
      </w:r>
      <w:r>
        <w:t>Knowledge.</w:t>
      </w:r>
      <w:r>
        <w:rPr>
          <w:spacing w:val="37"/>
        </w:rPr>
        <w:t xml:space="preserve"> </w:t>
      </w:r>
      <w:r>
        <w:t>In</w:t>
      </w:r>
      <w:r>
        <w:rPr>
          <w:spacing w:val="36"/>
        </w:rPr>
        <w:t xml:space="preserve"> </w:t>
      </w:r>
      <w:r>
        <w:t>A.</w:t>
      </w:r>
      <w:r>
        <w:rPr>
          <w:spacing w:val="37"/>
        </w:rPr>
        <w:t xml:space="preserve"> </w:t>
      </w:r>
      <w:r>
        <w:t>J.</w:t>
      </w:r>
      <w:r>
        <w:rPr>
          <w:spacing w:val="37"/>
        </w:rPr>
        <w:t xml:space="preserve"> </w:t>
      </w:r>
      <w:r>
        <w:t>Ayer</w:t>
      </w:r>
      <w:r>
        <w:rPr>
          <w:spacing w:val="37"/>
        </w:rPr>
        <w:t xml:space="preserve"> </w:t>
      </w:r>
      <w:r>
        <w:rPr>
          <w:spacing w:val="-2"/>
        </w:rPr>
        <w:t>(Ed.),</w:t>
      </w:r>
    </w:p>
    <w:p w14:paraId="7E002F53" w14:textId="77777777" w:rsidR="009A58DB" w:rsidRDefault="00000000">
      <w:pPr>
        <w:spacing w:before="15"/>
        <w:ind w:left="720"/>
        <w:rPr>
          <w:sz w:val="30"/>
        </w:rPr>
      </w:pPr>
      <w:r>
        <w:rPr>
          <w:i/>
          <w:sz w:val="30"/>
        </w:rPr>
        <w:t>Logical</w:t>
      </w:r>
      <w:r>
        <w:rPr>
          <w:i/>
          <w:spacing w:val="-6"/>
          <w:sz w:val="30"/>
        </w:rPr>
        <w:t xml:space="preserve"> </w:t>
      </w:r>
      <w:r>
        <w:rPr>
          <w:i/>
          <w:sz w:val="30"/>
        </w:rPr>
        <w:t>Positivism,</w:t>
      </w:r>
      <w:r>
        <w:rPr>
          <w:i/>
          <w:spacing w:val="-3"/>
          <w:sz w:val="30"/>
        </w:rPr>
        <w:t xml:space="preserve"> </w:t>
      </w:r>
      <w:r>
        <w:rPr>
          <w:sz w:val="30"/>
        </w:rPr>
        <w:t>(pp.</w:t>
      </w:r>
      <w:r>
        <w:rPr>
          <w:spacing w:val="-3"/>
          <w:sz w:val="30"/>
        </w:rPr>
        <w:t xml:space="preserve"> </w:t>
      </w:r>
      <w:r>
        <w:rPr>
          <w:sz w:val="30"/>
        </w:rPr>
        <w:t>208–227).</w:t>
      </w:r>
      <w:r>
        <w:rPr>
          <w:spacing w:val="-3"/>
          <w:sz w:val="30"/>
        </w:rPr>
        <w:t xml:space="preserve"> </w:t>
      </w:r>
      <w:r>
        <w:rPr>
          <w:sz w:val="30"/>
        </w:rPr>
        <w:t>New</w:t>
      </w:r>
      <w:r>
        <w:rPr>
          <w:spacing w:val="-3"/>
          <w:sz w:val="30"/>
        </w:rPr>
        <w:t xml:space="preserve"> </w:t>
      </w:r>
      <w:r>
        <w:rPr>
          <w:sz w:val="30"/>
        </w:rPr>
        <w:t>York:</w:t>
      </w:r>
      <w:r>
        <w:rPr>
          <w:spacing w:val="-4"/>
          <w:sz w:val="30"/>
        </w:rPr>
        <w:t xml:space="preserve"> </w:t>
      </w:r>
      <w:r>
        <w:rPr>
          <w:sz w:val="30"/>
        </w:rPr>
        <w:t>The</w:t>
      </w:r>
      <w:r>
        <w:rPr>
          <w:spacing w:val="-4"/>
          <w:sz w:val="30"/>
        </w:rPr>
        <w:t xml:space="preserve"> </w:t>
      </w:r>
      <w:r>
        <w:rPr>
          <w:sz w:val="30"/>
        </w:rPr>
        <w:t>Free</w:t>
      </w:r>
      <w:r>
        <w:rPr>
          <w:spacing w:val="-3"/>
          <w:sz w:val="30"/>
        </w:rPr>
        <w:t xml:space="preserve"> </w:t>
      </w:r>
      <w:r>
        <w:rPr>
          <w:spacing w:val="-2"/>
          <w:sz w:val="30"/>
        </w:rPr>
        <w:t>Press.</w:t>
      </w:r>
    </w:p>
    <w:p w14:paraId="7E002F54" w14:textId="77777777" w:rsidR="009A58DB" w:rsidRDefault="00000000">
      <w:pPr>
        <w:spacing w:before="15" w:line="249" w:lineRule="auto"/>
        <w:ind w:left="720" w:hanging="360"/>
        <w:rPr>
          <w:sz w:val="30"/>
        </w:rPr>
      </w:pPr>
      <w:r>
        <w:rPr>
          <w:sz w:val="30"/>
        </w:rPr>
        <w:t>Shope,</w:t>
      </w:r>
      <w:r>
        <w:rPr>
          <w:spacing w:val="80"/>
          <w:sz w:val="30"/>
        </w:rPr>
        <w:t xml:space="preserve"> </w:t>
      </w:r>
      <w:r>
        <w:rPr>
          <w:sz w:val="30"/>
        </w:rPr>
        <w:t>R.K.</w:t>
      </w:r>
      <w:r>
        <w:rPr>
          <w:spacing w:val="80"/>
          <w:sz w:val="30"/>
        </w:rPr>
        <w:t xml:space="preserve"> </w:t>
      </w:r>
      <w:r>
        <w:rPr>
          <w:sz w:val="30"/>
        </w:rPr>
        <w:t>1983.</w:t>
      </w:r>
      <w:r>
        <w:rPr>
          <w:spacing w:val="80"/>
          <w:sz w:val="30"/>
        </w:rPr>
        <w:t xml:space="preserve"> </w:t>
      </w:r>
      <w:r>
        <w:rPr>
          <w:i/>
          <w:sz w:val="30"/>
        </w:rPr>
        <w:t>The</w:t>
      </w:r>
      <w:r>
        <w:rPr>
          <w:i/>
          <w:spacing w:val="80"/>
          <w:sz w:val="30"/>
        </w:rPr>
        <w:t xml:space="preserve"> </w:t>
      </w:r>
      <w:r>
        <w:rPr>
          <w:i/>
          <w:sz w:val="30"/>
        </w:rPr>
        <w:t>Analysis</w:t>
      </w:r>
      <w:r>
        <w:rPr>
          <w:i/>
          <w:spacing w:val="80"/>
          <w:sz w:val="30"/>
        </w:rPr>
        <w:t xml:space="preserve"> </w:t>
      </w:r>
      <w:r>
        <w:rPr>
          <w:i/>
          <w:sz w:val="30"/>
        </w:rPr>
        <w:t>of</w:t>
      </w:r>
      <w:r>
        <w:rPr>
          <w:i/>
          <w:spacing w:val="80"/>
          <w:sz w:val="30"/>
        </w:rPr>
        <w:t xml:space="preserve"> </w:t>
      </w:r>
      <w:r>
        <w:rPr>
          <w:i/>
          <w:sz w:val="30"/>
        </w:rPr>
        <w:t>Knowing.</w:t>
      </w:r>
      <w:r>
        <w:rPr>
          <w:i/>
          <w:spacing w:val="80"/>
          <w:sz w:val="30"/>
        </w:rPr>
        <w:t xml:space="preserve"> </w:t>
      </w:r>
      <w:r>
        <w:rPr>
          <w:sz w:val="30"/>
        </w:rPr>
        <w:t>Princeton,</w:t>
      </w:r>
      <w:r>
        <w:rPr>
          <w:spacing w:val="80"/>
          <w:sz w:val="30"/>
        </w:rPr>
        <w:t xml:space="preserve"> </w:t>
      </w:r>
      <w:r>
        <w:rPr>
          <w:sz w:val="30"/>
        </w:rPr>
        <w:t>NJ:</w:t>
      </w:r>
      <w:r>
        <w:rPr>
          <w:spacing w:val="80"/>
          <w:sz w:val="30"/>
        </w:rPr>
        <w:t xml:space="preserve"> </w:t>
      </w:r>
      <w:r>
        <w:rPr>
          <w:sz w:val="30"/>
        </w:rPr>
        <w:t>Princeton University Press.</w:t>
      </w:r>
    </w:p>
    <w:p w14:paraId="7E002F55" w14:textId="77777777" w:rsidR="009A58DB" w:rsidRDefault="00000000">
      <w:pPr>
        <w:tabs>
          <w:tab w:val="left" w:pos="1297"/>
          <w:tab w:val="left" w:pos="2784"/>
          <w:tab w:val="left" w:pos="3689"/>
          <w:tab w:val="left" w:pos="4709"/>
          <w:tab w:val="left" w:pos="5612"/>
          <w:tab w:val="left" w:pos="6291"/>
          <w:tab w:val="left" w:pos="7827"/>
          <w:tab w:val="left" w:pos="9210"/>
        </w:tabs>
        <w:spacing w:before="48" w:line="249" w:lineRule="auto"/>
        <w:ind w:left="720" w:right="367" w:hanging="360"/>
        <w:rPr>
          <w:sz w:val="30"/>
        </w:rPr>
      </w:pPr>
      <w:r>
        <w:rPr>
          <w:spacing w:val="-2"/>
          <w:sz w:val="30"/>
        </w:rPr>
        <w:t>Sklar,</w:t>
      </w:r>
      <w:r>
        <w:rPr>
          <w:sz w:val="30"/>
        </w:rPr>
        <w:tab/>
      </w:r>
      <w:r>
        <w:rPr>
          <w:spacing w:val="-2"/>
          <w:sz w:val="30"/>
        </w:rPr>
        <w:t>Lawrence.</w:t>
      </w:r>
      <w:r>
        <w:rPr>
          <w:sz w:val="30"/>
        </w:rPr>
        <w:tab/>
      </w:r>
      <w:r>
        <w:rPr>
          <w:spacing w:val="-2"/>
          <w:sz w:val="30"/>
        </w:rPr>
        <w:t>1974.</w:t>
      </w:r>
      <w:r>
        <w:rPr>
          <w:sz w:val="30"/>
        </w:rPr>
        <w:tab/>
      </w:r>
      <w:r>
        <w:rPr>
          <w:i/>
          <w:spacing w:val="-2"/>
          <w:sz w:val="30"/>
        </w:rPr>
        <w:t>Space,</w:t>
      </w:r>
      <w:r>
        <w:rPr>
          <w:i/>
          <w:sz w:val="30"/>
        </w:rPr>
        <w:tab/>
      </w:r>
      <w:r>
        <w:rPr>
          <w:i/>
          <w:spacing w:val="-2"/>
          <w:sz w:val="30"/>
        </w:rPr>
        <w:t>Time,</w:t>
      </w:r>
      <w:r>
        <w:rPr>
          <w:i/>
          <w:sz w:val="30"/>
        </w:rPr>
        <w:tab/>
      </w:r>
      <w:r>
        <w:rPr>
          <w:i/>
          <w:spacing w:val="-4"/>
          <w:sz w:val="30"/>
        </w:rPr>
        <w:t>and</w:t>
      </w:r>
      <w:r>
        <w:rPr>
          <w:i/>
          <w:sz w:val="30"/>
        </w:rPr>
        <w:tab/>
      </w:r>
      <w:r>
        <w:rPr>
          <w:i/>
          <w:spacing w:val="-2"/>
          <w:sz w:val="30"/>
        </w:rPr>
        <w:t>Spacetime.</w:t>
      </w:r>
      <w:r>
        <w:rPr>
          <w:i/>
          <w:sz w:val="30"/>
        </w:rPr>
        <w:tab/>
      </w:r>
      <w:r>
        <w:rPr>
          <w:spacing w:val="-2"/>
          <w:sz w:val="30"/>
        </w:rPr>
        <w:t>Berkeley,</w:t>
      </w:r>
      <w:r>
        <w:rPr>
          <w:sz w:val="30"/>
        </w:rPr>
        <w:tab/>
      </w:r>
      <w:r>
        <w:rPr>
          <w:spacing w:val="-4"/>
          <w:sz w:val="30"/>
        </w:rPr>
        <w:t xml:space="preserve">CA: </w:t>
      </w:r>
      <w:r>
        <w:rPr>
          <w:sz w:val="30"/>
        </w:rPr>
        <w:t>University of California Press.</w:t>
      </w:r>
    </w:p>
    <w:p w14:paraId="7E002F56" w14:textId="77777777" w:rsidR="009A58DB" w:rsidRDefault="00000000">
      <w:pPr>
        <w:spacing w:before="47" w:line="249" w:lineRule="auto"/>
        <w:ind w:left="720" w:hanging="360"/>
        <w:rPr>
          <w:sz w:val="30"/>
        </w:rPr>
      </w:pPr>
      <w:r>
        <w:rPr>
          <w:sz w:val="30"/>
        </w:rPr>
        <w:t xml:space="preserve">Soames, Scott. 2002. </w:t>
      </w:r>
      <w:r>
        <w:rPr>
          <w:i/>
          <w:sz w:val="30"/>
        </w:rPr>
        <w:t>Beyond Rigidity: The Unfinished Semantic Agenda of</w:t>
      </w:r>
      <w:r>
        <w:rPr>
          <w:i/>
          <w:spacing w:val="80"/>
          <w:sz w:val="30"/>
        </w:rPr>
        <w:t xml:space="preserve"> </w:t>
      </w:r>
      <w:r>
        <w:rPr>
          <w:i/>
          <w:sz w:val="30"/>
        </w:rPr>
        <w:t xml:space="preserve">Naming and Necessity. </w:t>
      </w:r>
      <w:r>
        <w:rPr>
          <w:sz w:val="30"/>
        </w:rPr>
        <w:t>New York: Oxford University Press.</w:t>
      </w:r>
    </w:p>
    <w:p w14:paraId="7E002F57" w14:textId="77777777" w:rsidR="009A58DB" w:rsidRDefault="00000000">
      <w:pPr>
        <w:spacing w:before="33" w:line="249" w:lineRule="auto"/>
        <w:ind w:left="720" w:right="365" w:hanging="360"/>
        <w:rPr>
          <w:sz w:val="30"/>
        </w:rPr>
      </w:pPr>
      <w:r>
        <w:rPr>
          <w:sz w:val="30"/>
        </w:rPr>
        <w:t xml:space="preserve">Soames, Scott. 2003. </w:t>
      </w:r>
      <w:r>
        <w:rPr>
          <w:i/>
          <w:sz w:val="30"/>
        </w:rPr>
        <w:t xml:space="preserve">Philosophical Analysis in the 20th Century. Volumes 1 and 2. </w:t>
      </w:r>
      <w:r>
        <w:rPr>
          <w:sz w:val="30"/>
        </w:rPr>
        <w:t>Princeton, NJ: Princeton University Press.</w:t>
      </w:r>
    </w:p>
    <w:p w14:paraId="7E002F58" w14:textId="77777777" w:rsidR="009A58DB" w:rsidRDefault="00000000">
      <w:pPr>
        <w:spacing w:before="47" w:line="249" w:lineRule="auto"/>
        <w:ind w:left="720" w:hanging="360"/>
        <w:rPr>
          <w:sz w:val="30"/>
        </w:rPr>
      </w:pPr>
      <w:r>
        <w:rPr>
          <w:sz w:val="30"/>
        </w:rPr>
        <w:t>Soames,</w:t>
      </w:r>
      <w:r>
        <w:rPr>
          <w:spacing w:val="40"/>
          <w:sz w:val="30"/>
        </w:rPr>
        <w:t xml:space="preserve"> </w:t>
      </w:r>
      <w:r>
        <w:rPr>
          <w:sz w:val="30"/>
        </w:rPr>
        <w:t>Scott.</w:t>
      </w:r>
      <w:r>
        <w:rPr>
          <w:spacing w:val="40"/>
          <w:sz w:val="30"/>
        </w:rPr>
        <w:t xml:space="preserve"> </w:t>
      </w:r>
      <w:r>
        <w:rPr>
          <w:sz w:val="30"/>
        </w:rPr>
        <w:t>2005.</w:t>
      </w:r>
      <w:r>
        <w:rPr>
          <w:spacing w:val="40"/>
          <w:sz w:val="30"/>
        </w:rPr>
        <w:t xml:space="preserve"> </w:t>
      </w:r>
      <w:r>
        <w:rPr>
          <w:i/>
          <w:sz w:val="30"/>
        </w:rPr>
        <w:t>Reference</w:t>
      </w:r>
      <w:r>
        <w:rPr>
          <w:i/>
          <w:spacing w:val="40"/>
          <w:sz w:val="30"/>
        </w:rPr>
        <w:t xml:space="preserve"> </w:t>
      </w:r>
      <w:r>
        <w:rPr>
          <w:i/>
          <w:sz w:val="30"/>
        </w:rPr>
        <w:t>and</w:t>
      </w:r>
      <w:r>
        <w:rPr>
          <w:i/>
          <w:spacing w:val="40"/>
          <w:sz w:val="30"/>
        </w:rPr>
        <w:t xml:space="preserve"> </w:t>
      </w:r>
      <w:r>
        <w:rPr>
          <w:i/>
          <w:sz w:val="30"/>
        </w:rPr>
        <w:t>Description.</w:t>
      </w:r>
      <w:r>
        <w:rPr>
          <w:i/>
          <w:spacing w:val="40"/>
          <w:sz w:val="30"/>
        </w:rPr>
        <w:t xml:space="preserve"> </w:t>
      </w:r>
      <w:r>
        <w:rPr>
          <w:sz w:val="30"/>
        </w:rPr>
        <w:t>Princeton,</w:t>
      </w:r>
      <w:r>
        <w:rPr>
          <w:spacing w:val="40"/>
          <w:sz w:val="30"/>
        </w:rPr>
        <w:t xml:space="preserve"> </w:t>
      </w:r>
      <w:r>
        <w:rPr>
          <w:sz w:val="30"/>
        </w:rPr>
        <w:t>NJ:</w:t>
      </w:r>
      <w:r>
        <w:rPr>
          <w:spacing w:val="40"/>
          <w:sz w:val="30"/>
        </w:rPr>
        <w:t xml:space="preserve"> </w:t>
      </w:r>
      <w:r>
        <w:rPr>
          <w:sz w:val="30"/>
        </w:rPr>
        <w:t>Princeton University Press.</w:t>
      </w:r>
    </w:p>
    <w:p w14:paraId="7E002F59" w14:textId="77777777" w:rsidR="009A58DB" w:rsidRDefault="009A58DB">
      <w:pPr>
        <w:spacing w:line="249" w:lineRule="auto"/>
        <w:rPr>
          <w:sz w:val="30"/>
        </w:rPr>
        <w:sectPr w:rsidR="009A58DB">
          <w:pgSz w:w="12240" w:h="15840"/>
          <w:pgMar w:top="1740" w:right="1080" w:bottom="280" w:left="1080" w:header="720" w:footer="720" w:gutter="0"/>
          <w:cols w:space="720"/>
        </w:sectPr>
      </w:pPr>
    </w:p>
    <w:p w14:paraId="7E002F5A" w14:textId="77777777" w:rsidR="009A58DB" w:rsidRDefault="00000000">
      <w:pPr>
        <w:pStyle w:val="BodyText"/>
        <w:spacing w:before="65"/>
      </w:pPr>
      <w:r>
        <w:t>Smullyan,</w:t>
      </w:r>
      <w:r>
        <w:rPr>
          <w:spacing w:val="64"/>
          <w:w w:val="150"/>
        </w:rPr>
        <w:t xml:space="preserve"> </w:t>
      </w:r>
      <w:r>
        <w:t>Arthur.</w:t>
      </w:r>
      <w:r>
        <w:rPr>
          <w:spacing w:val="65"/>
          <w:w w:val="150"/>
        </w:rPr>
        <w:t xml:space="preserve"> </w:t>
      </w:r>
      <w:r>
        <w:t>1948.</w:t>
      </w:r>
      <w:r>
        <w:rPr>
          <w:spacing w:val="64"/>
          <w:w w:val="150"/>
        </w:rPr>
        <w:t xml:space="preserve"> </w:t>
      </w:r>
      <w:r>
        <w:t>Modality</w:t>
      </w:r>
      <w:r>
        <w:rPr>
          <w:spacing w:val="65"/>
          <w:w w:val="150"/>
        </w:rPr>
        <w:t xml:space="preserve"> </w:t>
      </w:r>
      <w:r>
        <w:t>and</w:t>
      </w:r>
      <w:r>
        <w:rPr>
          <w:spacing w:val="64"/>
          <w:w w:val="150"/>
        </w:rPr>
        <w:t xml:space="preserve"> </w:t>
      </w:r>
      <w:r>
        <w:t>description.</w:t>
      </w:r>
      <w:r>
        <w:rPr>
          <w:spacing w:val="65"/>
          <w:w w:val="150"/>
        </w:rPr>
        <w:t xml:space="preserve"> </w:t>
      </w:r>
      <w:r>
        <w:t>In</w:t>
      </w:r>
      <w:r>
        <w:rPr>
          <w:spacing w:val="64"/>
          <w:w w:val="150"/>
        </w:rPr>
        <w:t xml:space="preserve"> </w:t>
      </w:r>
      <w:r>
        <w:t>L.</w:t>
      </w:r>
      <w:r>
        <w:rPr>
          <w:spacing w:val="65"/>
          <w:w w:val="150"/>
        </w:rPr>
        <w:t xml:space="preserve"> </w:t>
      </w:r>
      <w:r>
        <w:t>Linsky</w:t>
      </w:r>
      <w:r>
        <w:rPr>
          <w:spacing w:val="64"/>
          <w:w w:val="150"/>
        </w:rPr>
        <w:t xml:space="preserve"> </w:t>
      </w:r>
      <w:r>
        <w:rPr>
          <w:spacing w:val="-2"/>
        </w:rPr>
        <w:t>(Ed.),</w:t>
      </w:r>
    </w:p>
    <w:p w14:paraId="7E002F5B" w14:textId="77777777" w:rsidR="009A58DB" w:rsidRDefault="00000000">
      <w:pPr>
        <w:spacing w:before="15"/>
        <w:ind w:left="360" w:firstLine="360"/>
        <w:jc w:val="both"/>
        <w:rPr>
          <w:sz w:val="30"/>
        </w:rPr>
      </w:pPr>
      <w:r>
        <w:rPr>
          <w:i/>
          <w:sz w:val="30"/>
        </w:rPr>
        <w:t>Reference</w:t>
      </w:r>
      <w:r>
        <w:rPr>
          <w:i/>
          <w:spacing w:val="-6"/>
          <w:sz w:val="30"/>
        </w:rPr>
        <w:t xml:space="preserve"> </w:t>
      </w:r>
      <w:r>
        <w:rPr>
          <w:i/>
          <w:sz w:val="30"/>
        </w:rPr>
        <w:t>and</w:t>
      </w:r>
      <w:r>
        <w:rPr>
          <w:i/>
          <w:spacing w:val="-3"/>
          <w:sz w:val="30"/>
        </w:rPr>
        <w:t xml:space="preserve"> </w:t>
      </w:r>
      <w:r>
        <w:rPr>
          <w:i/>
          <w:sz w:val="30"/>
        </w:rPr>
        <w:t>Modality</w:t>
      </w:r>
      <w:r>
        <w:rPr>
          <w:i/>
          <w:spacing w:val="-4"/>
          <w:sz w:val="30"/>
        </w:rPr>
        <w:t xml:space="preserve"> </w:t>
      </w:r>
      <w:r>
        <w:rPr>
          <w:sz w:val="30"/>
        </w:rPr>
        <w:t>(pp.</w:t>
      </w:r>
      <w:r>
        <w:rPr>
          <w:spacing w:val="-3"/>
          <w:sz w:val="30"/>
        </w:rPr>
        <w:t xml:space="preserve"> </w:t>
      </w:r>
      <w:r>
        <w:rPr>
          <w:sz w:val="30"/>
        </w:rPr>
        <w:t>35–43).</w:t>
      </w:r>
      <w:r>
        <w:rPr>
          <w:spacing w:val="-3"/>
          <w:sz w:val="30"/>
        </w:rPr>
        <w:t xml:space="preserve"> </w:t>
      </w:r>
      <w:r>
        <w:rPr>
          <w:sz w:val="30"/>
        </w:rPr>
        <w:t>New</w:t>
      </w:r>
      <w:r>
        <w:rPr>
          <w:spacing w:val="-4"/>
          <w:sz w:val="30"/>
        </w:rPr>
        <w:t xml:space="preserve"> </w:t>
      </w:r>
      <w:r>
        <w:rPr>
          <w:sz w:val="30"/>
        </w:rPr>
        <w:t>York:</w:t>
      </w:r>
      <w:r>
        <w:rPr>
          <w:spacing w:val="-4"/>
          <w:sz w:val="30"/>
        </w:rPr>
        <w:t xml:space="preserve"> </w:t>
      </w:r>
      <w:r>
        <w:rPr>
          <w:sz w:val="30"/>
        </w:rPr>
        <w:t>Oxford</w:t>
      </w:r>
      <w:r>
        <w:rPr>
          <w:spacing w:val="-3"/>
          <w:sz w:val="30"/>
        </w:rPr>
        <w:t xml:space="preserve"> </w:t>
      </w:r>
      <w:r>
        <w:rPr>
          <w:sz w:val="30"/>
        </w:rPr>
        <w:t>University</w:t>
      </w:r>
      <w:r>
        <w:rPr>
          <w:spacing w:val="-3"/>
          <w:sz w:val="30"/>
        </w:rPr>
        <w:t xml:space="preserve"> </w:t>
      </w:r>
      <w:r>
        <w:rPr>
          <w:spacing w:val="-2"/>
          <w:sz w:val="30"/>
        </w:rPr>
        <w:t>Press.</w:t>
      </w:r>
    </w:p>
    <w:p w14:paraId="7E002F5C" w14:textId="77777777" w:rsidR="009A58DB" w:rsidRDefault="00000000">
      <w:pPr>
        <w:pStyle w:val="BodyText"/>
        <w:spacing w:before="15" w:line="249" w:lineRule="auto"/>
        <w:ind w:left="720" w:right="362" w:hanging="360"/>
      </w:pPr>
      <w:r>
        <w:t xml:space="preserve">Smullyan, Raymond. 2001. Gödel’s Incompleteness Theorems. In L. Goble (Ed.), </w:t>
      </w:r>
      <w:r>
        <w:rPr>
          <w:i/>
        </w:rPr>
        <w:t xml:space="preserve">Philosophical Logic </w:t>
      </w:r>
      <w:r>
        <w:t>(pp. 72–90). Malden, MA: Blackwell.</w:t>
      </w:r>
    </w:p>
    <w:p w14:paraId="7E002F5D" w14:textId="77777777" w:rsidR="009A58DB" w:rsidRDefault="00000000">
      <w:pPr>
        <w:pStyle w:val="BodyText"/>
        <w:spacing w:before="47"/>
      </w:pPr>
      <w:r>
        <w:t>Stalnaker,</w:t>
      </w:r>
      <w:r>
        <w:rPr>
          <w:spacing w:val="72"/>
        </w:rPr>
        <w:t xml:space="preserve"> </w:t>
      </w:r>
      <w:r>
        <w:t>Robert.</w:t>
      </w:r>
      <w:r>
        <w:rPr>
          <w:spacing w:val="73"/>
        </w:rPr>
        <w:t xml:space="preserve"> </w:t>
      </w:r>
      <w:r>
        <w:t>1976.</w:t>
      </w:r>
      <w:r>
        <w:rPr>
          <w:spacing w:val="73"/>
        </w:rPr>
        <w:t xml:space="preserve"> </w:t>
      </w:r>
      <w:r>
        <w:t>Modality.</w:t>
      </w:r>
      <w:r>
        <w:rPr>
          <w:spacing w:val="72"/>
        </w:rPr>
        <w:t xml:space="preserve"> </w:t>
      </w:r>
      <w:r>
        <w:t>In</w:t>
      </w:r>
      <w:r>
        <w:rPr>
          <w:spacing w:val="73"/>
        </w:rPr>
        <w:t xml:space="preserve"> </w:t>
      </w:r>
      <w:r>
        <w:t>J.</w:t>
      </w:r>
      <w:r>
        <w:rPr>
          <w:spacing w:val="73"/>
        </w:rPr>
        <w:t xml:space="preserve"> </w:t>
      </w:r>
      <w:r>
        <w:t>Garfield</w:t>
      </w:r>
      <w:r>
        <w:rPr>
          <w:spacing w:val="72"/>
        </w:rPr>
        <w:t xml:space="preserve"> </w:t>
      </w:r>
      <w:r>
        <w:t>and</w:t>
      </w:r>
      <w:r>
        <w:rPr>
          <w:spacing w:val="73"/>
        </w:rPr>
        <w:t xml:space="preserve"> </w:t>
      </w:r>
      <w:r>
        <w:t>M.</w:t>
      </w:r>
      <w:r>
        <w:rPr>
          <w:spacing w:val="73"/>
        </w:rPr>
        <w:t xml:space="preserve"> </w:t>
      </w:r>
      <w:r>
        <w:t>Kiteley</w:t>
      </w:r>
      <w:r>
        <w:rPr>
          <w:spacing w:val="73"/>
        </w:rPr>
        <w:t xml:space="preserve"> </w:t>
      </w:r>
      <w:r>
        <w:rPr>
          <w:spacing w:val="-2"/>
        </w:rPr>
        <w:t>(Eds.),</w:t>
      </w:r>
    </w:p>
    <w:p w14:paraId="7E002F5E" w14:textId="77777777" w:rsidR="009A58DB" w:rsidRDefault="00000000">
      <w:pPr>
        <w:spacing w:before="15"/>
        <w:ind w:left="720"/>
        <w:jc w:val="both"/>
        <w:rPr>
          <w:sz w:val="30"/>
        </w:rPr>
      </w:pPr>
      <w:r>
        <w:rPr>
          <w:i/>
          <w:sz w:val="30"/>
        </w:rPr>
        <w:t>Meaning</w:t>
      </w:r>
      <w:r>
        <w:rPr>
          <w:i/>
          <w:spacing w:val="-3"/>
          <w:sz w:val="30"/>
        </w:rPr>
        <w:t xml:space="preserve"> </w:t>
      </w:r>
      <w:r>
        <w:rPr>
          <w:i/>
          <w:sz w:val="30"/>
        </w:rPr>
        <w:t>and</w:t>
      </w:r>
      <w:r>
        <w:rPr>
          <w:i/>
          <w:spacing w:val="-2"/>
          <w:sz w:val="30"/>
        </w:rPr>
        <w:t xml:space="preserve"> </w:t>
      </w:r>
      <w:r>
        <w:rPr>
          <w:i/>
          <w:sz w:val="30"/>
        </w:rPr>
        <w:t>Truth</w:t>
      </w:r>
      <w:r>
        <w:rPr>
          <w:i/>
          <w:spacing w:val="-2"/>
          <w:sz w:val="30"/>
        </w:rPr>
        <w:t xml:space="preserve"> </w:t>
      </w:r>
      <w:r>
        <w:rPr>
          <w:sz w:val="30"/>
        </w:rPr>
        <w:t>(pp.</w:t>
      </w:r>
      <w:r>
        <w:rPr>
          <w:spacing w:val="-2"/>
          <w:sz w:val="30"/>
        </w:rPr>
        <w:t xml:space="preserve"> </w:t>
      </w:r>
      <w:r>
        <w:rPr>
          <w:sz w:val="30"/>
        </w:rPr>
        <w:t>467–477).</w:t>
      </w:r>
      <w:r>
        <w:rPr>
          <w:spacing w:val="-2"/>
          <w:sz w:val="30"/>
        </w:rPr>
        <w:t xml:space="preserve"> </w:t>
      </w:r>
      <w:r>
        <w:rPr>
          <w:sz w:val="30"/>
        </w:rPr>
        <w:t>St.</w:t>
      </w:r>
      <w:r>
        <w:rPr>
          <w:spacing w:val="-2"/>
          <w:sz w:val="30"/>
        </w:rPr>
        <w:t xml:space="preserve"> </w:t>
      </w:r>
      <w:r>
        <w:rPr>
          <w:sz w:val="30"/>
        </w:rPr>
        <w:t>Paul,</w:t>
      </w:r>
      <w:r>
        <w:rPr>
          <w:spacing w:val="-2"/>
          <w:sz w:val="30"/>
        </w:rPr>
        <w:t xml:space="preserve"> </w:t>
      </w:r>
      <w:r>
        <w:rPr>
          <w:sz w:val="30"/>
        </w:rPr>
        <w:t>MN:</w:t>
      </w:r>
      <w:r>
        <w:rPr>
          <w:spacing w:val="-3"/>
          <w:sz w:val="30"/>
        </w:rPr>
        <w:t xml:space="preserve"> </w:t>
      </w:r>
      <w:r>
        <w:rPr>
          <w:sz w:val="30"/>
        </w:rPr>
        <w:t>Paragon</w:t>
      </w:r>
      <w:r>
        <w:rPr>
          <w:spacing w:val="-2"/>
          <w:sz w:val="30"/>
        </w:rPr>
        <w:t xml:space="preserve"> Press.</w:t>
      </w:r>
    </w:p>
    <w:p w14:paraId="7E002F5F" w14:textId="77777777" w:rsidR="009A58DB" w:rsidRDefault="00000000">
      <w:pPr>
        <w:pStyle w:val="BodyText"/>
        <w:spacing w:before="15" w:line="271" w:lineRule="auto"/>
        <w:ind w:right="1030"/>
      </w:pPr>
      <w:r>
        <w:t xml:space="preserve">Stalnaker, Robert. 1984. </w:t>
      </w:r>
      <w:r>
        <w:rPr>
          <w:i/>
        </w:rPr>
        <w:t xml:space="preserve">Inquiry. </w:t>
      </w:r>
      <w:r>
        <w:t>Cambridge, MA: MIT Press. Stalnaker,</w:t>
      </w:r>
      <w:r>
        <w:rPr>
          <w:spacing w:val="-6"/>
        </w:rPr>
        <w:t xml:space="preserve"> </w:t>
      </w:r>
      <w:r>
        <w:t>Robert.</w:t>
      </w:r>
      <w:r>
        <w:rPr>
          <w:spacing w:val="-3"/>
        </w:rPr>
        <w:t xml:space="preserve"> </w:t>
      </w:r>
      <w:r>
        <w:t>1999.</w:t>
      </w:r>
      <w:r>
        <w:rPr>
          <w:spacing w:val="-4"/>
        </w:rPr>
        <w:t xml:space="preserve"> </w:t>
      </w:r>
      <w:r>
        <w:t>Context</w:t>
      </w:r>
      <w:r>
        <w:rPr>
          <w:spacing w:val="-4"/>
        </w:rPr>
        <w:t xml:space="preserve"> </w:t>
      </w:r>
      <w:r>
        <w:t>and</w:t>
      </w:r>
      <w:r>
        <w:rPr>
          <w:spacing w:val="-3"/>
        </w:rPr>
        <w:t xml:space="preserve"> </w:t>
      </w:r>
      <w:r>
        <w:t>Content.</w:t>
      </w:r>
      <w:r>
        <w:rPr>
          <w:spacing w:val="-4"/>
        </w:rPr>
        <w:t xml:space="preserve"> </w:t>
      </w:r>
      <w:r>
        <w:t>Oxford:</w:t>
      </w:r>
      <w:r>
        <w:rPr>
          <w:spacing w:val="-4"/>
        </w:rPr>
        <w:t xml:space="preserve"> </w:t>
      </w:r>
      <w:r>
        <w:t>Clarendon</w:t>
      </w:r>
      <w:r>
        <w:rPr>
          <w:spacing w:val="-3"/>
        </w:rPr>
        <w:t xml:space="preserve"> </w:t>
      </w:r>
      <w:r>
        <w:rPr>
          <w:spacing w:val="-2"/>
        </w:rPr>
        <w:t>Press.</w:t>
      </w:r>
    </w:p>
    <w:p w14:paraId="7E002F60" w14:textId="77777777" w:rsidR="009A58DB" w:rsidRDefault="00000000">
      <w:pPr>
        <w:pStyle w:val="BodyText"/>
        <w:spacing w:before="16" w:line="249" w:lineRule="auto"/>
        <w:ind w:left="720" w:right="371" w:hanging="360"/>
      </w:pPr>
      <w:r>
        <w:t xml:space="preserve">Stevenson, C. L. 1937. The Emotive Meaning of Ethical terms. In A. J. Ayer (Ed.), </w:t>
      </w:r>
      <w:r>
        <w:rPr>
          <w:i/>
        </w:rPr>
        <w:t xml:space="preserve">Logical Positivism, </w:t>
      </w:r>
      <w:r>
        <w:t>(pp. 264–281). New York: The Free Press.</w:t>
      </w:r>
    </w:p>
    <w:p w14:paraId="7E002F61" w14:textId="77777777" w:rsidR="009A58DB" w:rsidRDefault="00000000">
      <w:pPr>
        <w:pStyle w:val="BodyText"/>
        <w:spacing w:before="32" w:line="249" w:lineRule="auto"/>
        <w:ind w:left="720" w:right="363" w:hanging="360"/>
      </w:pPr>
      <w:r>
        <w:t xml:space="preserve">Stich, Stephen. 1978. Scientific versus folk psychology. In D. Rosenthal (Ed.), </w:t>
      </w:r>
      <w:r>
        <w:rPr>
          <w:i/>
        </w:rPr>
        <w:t xml:space="preserve">The Nature of Mind, </w:t>
      </w:r>
      <w:r>
        <w:t xml:space="preserve">(pp. 591–600). New York: Oxford University </w:t>
      </w:r>
      <w:r>
        <w:rPr>
          <w:spacing w:val="-2"/>
        </w:rPr>
        <w:t>Press.</w:t>
      </w:r>
    </w:p>
    <w:p w14:paraId="7E002F62" w14:textId="77777777" w:rsidR="009A58DB" w:rsidRDefault="00000000">
      <w:pPr>
        <w:spacing w:before="49" w:line="249" w:lineRule="auto"/>
        <w:ind w:left="720" w:right="358" w:hanging="360"/>
        <w:jc w:val="both"/>
        <w:rPr>
          <w:sz w:val="30"/>
        </w:rPr>
      </w:pPr>
      <w:r>
        <w:rPr>
          <w:sz w:val="30"/>
        </w:rPr>
        <w:t xml:space="preserve">Stich, Stephen P. 1983. </w:t>
      </w:r>
      <w:r>
        <w:rPr>
          <w:i/>
          <w:sz w:val="30"/>
        </w:rPr>
        <w:t xml:space="preserve">From Folk Psychology to Cognitive Science: A Case Against Belief. </w:t>
      </w:r>
      <w:r>
        <w:rPr>
          <w:sz w:val="30"/>
        </w:rPr>
        <w:t>Cambridge, MA: The MIT Press.</w:t>
      </w:r>
    </w:p>
    <w:p w14:paraId="7E002F63" w14:textId="77777777" w:rsidR="009A58DB" w:rsidRDefault="00000000">
      <w:pPr>
        <w:spacing w:before="47"/>
        <w:ind w:left="360"/>
        <w:jc w:val="both"/>
        <w:rPr>
          <w:sz w:val="30"/>
        </w:rPr>
      </w:pPr>
      <w:r>
        <w:rPr>
          <w:sz w:val="30"/>
        </w:rPr>
        <w:t>Stoll,</w:t>
      </w:r>
      <w:r>
        <w:rPr>
          <w:spacing w:val="-5"/>
          <w:sz w:val="30"/>
        </w:rPr>
        <w:t xml:space="preserve"> </w:t>
      </w:r>
      <w:r>
        <w:rPr>
          <w:sz w:val="30"/>
        </w:rPr>
        <w:t>Robert.</w:t>
      </w:r>
      <w:r>
        <w:rPr>
          <w:spacing w:val="-2"/>
          <w:sz w:val="30"/>
        </w:rPr>
        <w:t xml:space="preserve"> </w:t>
      </w:r>
      <w:r>
        <w:rPr>
          <w:sz w:val="30"/>
        </w:rPr>
        <w:t>1963.</w:t>
      </w:r>
      <w:r>
        <w:rPr>
          <w:spacing w:val="-2"/>
          <w:sz w:val="30"/>
        </w:rPr>
        <w:t xml:space="preserve"> </w:t>
      </w:r>
      <w:r>
        <w:rPr>
          <w:i/>
          <w:sz w:val="30"/>
        </w:rPr>
        <w:t>Set</w:t>
      </w:r>
      <w:r>
        <w:rPr>
          <w:i/>
          <w:spacing w:val="-3"/>
          <w:sz w:val="30"/>
        </w:rPr>
        <w:t xml:space="preserve"> </w:t>
      </w:r>
      <w:r>
        <w:rPr>
          <w:i/>
          <w:sz w:val="30"/>
        </w:rPr>
        <w:t>Theory</w:t>
      </w:r>
      <w:r>
        <w:rPr>
          <w:i/>
          <w:spacing w:val="-3"/>
          <w:sz w:val="30"/>
        </w:rPr>
        <w:t xml:space="preserve"> </w:t>
      </w:r>
      <w:r>
        <w:rPr>
          <w:i/>
          <w:sz w:val="30"/>
        </w:rPr>
        <w:t>and</w:t>
      </w:r>
      <w:r>
        <w:rPr>
          <w:i/>
          <w:spacing w:val="-2"/>
          <w:sz w:val="30"/>
        </w:rPr>
        <w:t xml:space="preserve"> </w:t>
      </w:r>
      <w:r>
        <w:rPr>
          <w:i/>
          <w:sz w:val="30"/>
        </w:rPr>
        <w:t>Logic.</w:t>
      </w:r>
      <w:r>
        <w:rPr>
          <w:i/>
          <w:spacing w:val="-2"/>
          <w:sz w:val="30"/>
        </w:rPr>
        <w:t xml:space="preserve"> </w:t>
      </w:r>
      <w:r>
        <w:rPr>
          <w:sz w:val="30"/>
        </w:rPr>
        <w:t>New</w:t>
      </w:r>
      <w:r>
        <w:rPr>
          <w:spacing w:val="-3"/>
          <w:sz w:val="30"/>
        </w:rPr>
        <w:t xml:space="preserve"> </w:t>
      </w:r>
      <w:r>
        <w:rPr>
          <w:sz w:val="30"/>
        </w:rPr>
        <w:t>York:</w:t>
      </w:r>
      <w:r>
        <w:rPr>
          <w:spacing w:val="-3"/>
          <w:sz w:val="30"/>
        </w:rPr>
        <w:t xml:space="preserve"> </w:t>
      </w:r>
      <w:r>
        <w:rPr>
          <w:spacing w:val="-2"/>
          <w:sz w:val="30"/>
        </w:rPr>
        <w:t>Dover.</w:t>
      </w:r>
    </w:p>
    <w:p w14:paraId="7E002F64" w14:textId="77777777" w:rsidR="009A58DB" w:rsidRDefault="00000000">
      <w:pPr>
        <w:spacing w:before="45" w:line="249" w:lineRule="auto"/>
        <w:ind w:left="720" w:right="358" w:hanging="360"/>
        <w:jc w:val="both"/>
        <w:rPr>
          <w:sz w:val="30"/>
        </w:rPr>
      </w:pPr>
      <w:r>
        <w:rPr>
          <w:sz w:val="30"/>
        </w:rPr>
        <w:t>Strawson,</w:t>
      </w:r>
      <w:r>
        <w:rPr>
          <w:spacing w:val="-4"/>
          <w:sz w:val="30"/>
        </w:rPr>
        <w:t xml:space="preserve"> </w:t>
      </w:r>
      <w:r>
        <w:rPr>
          <w:sz w:val="30"/>
        </w:rPr>
        <w:t>Peter.</w:t>
      </w:r>
      <w:r>
        <w:rPr>
          <w:spacing w:val="-4"/>
          <w:sz w:val="30"/>
        </w:rPr>
        <w:t xml:space="preserve"> </w:t>
      </w:r>
      <w:r>
        <w:rPr>
          <w:sz w:val="30"/>
        </w:rPr>
        <w:t>1950.</w:t>
      </w:r>
      <w:r>
        <w:rPr>
          <w:spacing w:val="-4"/>
          <w:sz w:val="30"/>
        </w:rPr>
        <w:t xml:space="preserve"> </w:t>
      </w:r>
      <w:r>
        <w:rPr>
          <w:sz w:val="30"/>
        </w:rPr>
        <w:t>On</w:t>
      </w:r>
      <w:r>
        <w:rPr>
          <w:spacing w:val="-4"/>
          <w:sz w:val="30"/>
        </w:rPr>
        <w:t xml:space="preserve"> </w:t>
      </w:r>
      <w:r>
        <w:rPr>
          <w:sz w:val="30"/>
        </w:rPr>
        <w:t>Referring.</w:t>
      </w:r>
      <w:r>
        <w:rPr>
          <w:spacing w:val="-4"/>
          <w:sz w:val="30"/>
        </w:rPr>
        <w:t xml:space="preserve"> </w:t>
      </w:r>
      <w:r>
        <w:rPr>
          <w:sz w:val="30"/>
        </w:rPr>
        <w:t>In</w:t>
      </w:r>
      <w:r>
        <w:rPr>
          <w:spacing w:val="-4"/>
          <w:sz w:val="30"/>
        </w:rPr>
        <w:t xml:space="preserve"> </w:t>
      </w:r>
      <w:r>
        <w:rPr>
          <w:sz w:val="30"/>
        </w:rPr>
        <w:t>A.P.</w:t>
      </w:r>
      <w:r>
        <w:rPr>
          <w:spacing w:val="-4"/>
          <w:sz w:val="30"/>
        </w:rPr>
        <w:t xml:space="preserve"> </w:t>
      </w:r>
      <w:r>
        <w:rPr>
          <w:sz w:val="30"/>
        </w:rPr>
        <w:t>Martinich</w:t>
      </w:r>
      <w:r>
        <w:rPr>
          <w:spacing w:val="-4"/>
          <w:sz w:val="30"/>
        </w:rPr>
        <w:t xml:space="preserve"> </w:t>
      </w:r>
      <w:r>
        <w:rPr>
          <w:sz w:val="30"/>
        </w:rPr>
        <w:t>(Ed.),</w:t>
      </w:r>
      <w:r>
        <w:rPr>
          <w:spacing w:val="-4"/>
          <w:sz w:val="30"/>
        </w:rPr>
        <w:t xml:space="preserve"> </w:t>
      </w:r>
      <w:r>
        <w:rPr>
          <w:i/>
          <w:sz w:val="30"/>
        </w:rPr>
        <w:t xml:space="preserve">The Philosophy of Language, </w:t>
      </w:r>
      <w:r>
        <w:rPr>
          <w:sz w:val="30"/>
        </w:rPr>
        <w:t>(pp. 219–234). New York: Oxford University Press.</w:t>
      </w:r>
    </w:p>
    <w:p w14:paraId="7E002F65" w14:textId="77777777" w:rsidR="009A58DB" w:rsidRDefault="00000000">
      <w:pPr>
        <w:spacing w:before="48"/>
        <w:ind w:left="360"/>
        <w:jc w:val="both"/>
        <w:rPr>
          <w:sz w:val="30"/>
        </w:rPr>
      </w:pPr>
      <w:r>
        <w:rPr>
          <w:sz w:val="30"/>
        </w:rPr>
        <w:t>Strawson,</w:t>
      </w:r>
      <w:r>
        <w:rPr>
          <w:spacing w:val="-6"/>
          <w:sz w:val="30"/>
        </w:rPr>
        <w:t xml:space="preserve"> </w:t>
      </w:r>
      <w:r>
        <w:rPr>
          <w:sz w:val="30"/>
        </w:rPr>
        <w:t>Peter.</w:t>
      </w:r>
      <w:r>
        <w:rPr>
          <w:spacing w:val="-4"/>
          <w:sz w:val="30"/>
        </w:rPr>
        <w:t xml:space="preserve"> </w:t>
      </w:r>
      <w:r>
        <w:rPr>
          <w:sz w:val="30"/>
        </w:rPr>
        <w:t>1959.</w:t>
      </w:r>
      <w:r>
        <w:rPr>
          <w:spacing w:val="-3"/>
          <w:sz w:val="30"/>
        </w:rPr>
        <w:t xml:space="preserve"> </w:t>
      </w:r>
      <w:r>
        <w:rPr>
          <w:i/>
          <w:sz w:val="30"/>
        </w:rPr>
        <w:t>Individuals.</w:t>
      </w:r>
      <w:r>
        <w:rPr>
          <w:i/>
          <w:spacing w:val="-4"/>
          <w:sz w:val="30"/>
        </w:rPr>
        <w:t xml:space="preserve"> </w:t>
      </w:r>
      <w:r>
        <w:rPr>
          <w:sz w:val="30"/>
        </w:rPr>
        <w:t>New</w:t>
      </w:r>
      <w:r>
        <w:rPr>
          <w:spacing w:val="-4"/>
          <w:sz w:val="30"/>
        </w:rPr>
        <w:t xml:space="preserve"> </w:t>
      </w:r>
      <w:r>
        <w:rPr>
          <w:sz w:val="30"/>
        </w:rPr>
        <w:t>York:</w:t>
      </w:r>
      <w:r>
        <w:rPr>
          <w:spacing w:val="-4"/>
          <w:sz w:val="30"/>
        </w:rPr>
        <w:t xml:space="preserve"> </w:t>
      </w:r>
      <w:r>
        <w:rPr>
          <w:spacing w:val="-2"/>
          <w:sz w:val="30"/>
        </w:rPr>
        <w:t>Routledge.</w:t>
      </w:r>
    </w:p>
    <w:p w14:paraId="7E002F66" w14:textId="77777777" w:rsidR="009A58DB" w:rsidRDefault="00000000">
      <w:pPr>
        <w:pStyle w:val="BodyText"/>
        <w:spacing w:before="45" w:line="249" w:lineRule="auto"/>
        <w:ind w:left="720" w:right="371" w:hanging="360"/>
      </w:pPr>
      <w:r>
        <w:t xml:space="preserve">Strawson, Peter. 1969. “Meaning and Truth.” In A.P. Martinich (Ed.), </w:t>
      </w:r>
      <w:r>
        <w:rPr>
          <w:i/>
        </w:rPr>
        <w:t xml:space="preserve">The Philosophy of Language, </w:t>
      </w:r>
      <w:r>
        <w:t>(pp. 91–101). Oxford: Oxford University Press.</w:t>
      </w:r>
    </w:p>
    <w:p w14:paraId="7E002F67" w14:textId="77777777" w:rsidR="009A58DB" w:rsidRDefault="00000000">
      <w:pPr>
        <w:spacing w:before="47" w:line="249" w:lineRule="auto"/>
        <w:ind w:left="720" w:right="2331" w:hanging="360"/>
        <w:jc w:val="both"/>
        <w:rPr>
          <w:sz w:val="30"/>
        </w:rPr>
      </w:pPr>
      <w:r>
        <w:rPr>
          <w:sz w:val="30"/>
        </w:rPr>
        <w:t xml:space="preserve">Stroud, Barry. 2001. </w:t>
      </w:r>
      <w:r>
        <w:rPr>
          <w:i/>
          <w:sz w:val="30"/>
        </w:rPr>
        <w:t xml:space="preserve">The Quest for Reality. </w:t>
      </w:r>
      <w:r>
        <w:rPr>
          <w:sz w:val="30"/>
        </w:rPr>
        <w:t xml:space="preserve">Oxford: Oxford University Press. Watson, John Broadus. 1924. </w:t>
      </w:r>
      <w:r>
        <w:rPr>
          <w:i/>
          <w:sz w:val="30"/>
        </w:rPr>
        <w:t xml:space="preserve">Behaviorism. </w:t>
      </w:r>
      <w:r>
        <w:rPr>
          <w:sz w:val="30"/>
        </w:rPr>
        <w:t>New York: Norton.</w:t>
      </w:r>
    </w:p>
    <w:p w14:paraId="7E002F68"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F69" w14:textId="77777777" w:rsidR="009A58DB" w:rsidRDefault="00000000">
      <w:pPr>
        <w:tabs>
          <w:tab w:val="left" w:pos="2171"/>
          <w:tab w:val="left" w:pos="3384"/>
          <w:tab w:val="left" w:pos="4264"/>
          <w:tab w:val="left" w:pos="5619"/>
          <w:tab w:val="left" w:pos="8156"/>
          <w:tab w:val="left" w:pos="8703"/>
        </w:tabs>
        <w:spacing w:before="65" w:line="249" w:lineRule="auto"/>
        <w:ind w:left="720" w:right="358" w:hanging="360"/>
        <w:rPr>
          <w:sz w:val="30"/>
        </w:rPr>
      </w:pPr>
      <w:r>
        <w:rPr>
          <w:spacing w:val="-2"/>
          <w:sz w:val="30"/>
        </w:rPr>
        <w:t>Wittgenstein,</w:t>
      </w:r>
      <w:r>
        <w:rPr>
          <w:sz w:val="30"/>
        </w:rPr>
        <w:tab/>
      </w:r>
      <w:r>
        <w:rPr>
          <w:spacing w:val="-2"/>
          <w:sz w:val="30"/>
        </w:rPr>
        <w:t>Ludwig.</w:t>
      </w:r>
      <w:r>
        <w:rPr>
          <w:sz w:val="30"/>
        </w:rPr>
        <w:tab/>
      </w:r>
      <w:r>
        <w:rPr>
          <w:spacing w:val="-2"/>
          <w:sz w:val="30"/>
        </w:rPr>
        <w:t>1922.</w:t>
      </w:r>
      <w:r>
        <w:rPr>
          <w:sz w:val="30"/>
        </w:rPr>
        <w:tab/>
      </w:r>
      <w:r>
        <w:rPr>
          <w:i/>
          <w:spacing w:val="-2"/>
          <w:sz w:val="30"/>
        </w:rPr>
        <w:t>Tractatus</w:t>
      </w:r>
      <w:r>
        <w:rPr>
          <w:i/>
          <w:sz w:val="30"/>
        </w:rPr>
        <w:tab/>
      </w:r>
      <w:r>
        <w:rPr>
          <w:i/>
          <w:spacing w:val="-2"/>
          <w:sz w:val="30"/>
        </w:rPr>
        <w:t>Logico-philosophic</w:t>
      </w:r>
      <w:r>
        <w:rPr>
          <w:i/>
          <w:sz w:val="30"/>
        </w:rPr>
        <w:tab/>
      </w:r>
      <w:r>
        <w:rPr>
          <w:i/>
          <w:spacing w:val="-4"/>
          <w:sz w:val="30"/>
        </w:rPr>
        <w:t>us.</w:t>
      </w:r>
      <w:r>
        <w:rPr>
          <w:i/>
          <w:sz w:val="30"/>
        </w:rPr>
        <w:tab/>
      </w:r>
      <w:r>
        <w:rPr>
          <w:spacing w:val="-2"/>
          <w:sz w:val="30"/>
        </w:rPr>
        <w:t xml:space="preserve">London: </w:t>
      </w:r>
      <w:r>
        <w:rPr>
          <w:sz w:val="30"/>
        </w:rPr>
        <w:t>Routledge, Kegan &amp; Paul.</w:t>
      </w:r>
    </w:p>
    <w:p w14:paraId="7E002F6A" w14:textId="77777777" w:rsidR="009A58DB" w:rsidRDefault="00000000">
      <w:pPr>
        <w:tabs>
          <w:tab w:val="left" w:pos="2171"/>
          <w:tab w:val="left" w:pos="3384"/>
          <w:tab w:val="left" w:pos="4264"/>
          <w:tab w:val="left" w:pos="4924"/>
          <w:tab w:val="left" w:pos="6800"/>
          <w:tab w:val="left" w:pos="8767"/>
        </w:tabs>
        <w:spacing w:before="2" w:line="249" w:lineRule="auto"/>
        <w:ind w:left="720" w:right="360" w:hanging="360"/>
        <w:rPr>
          <w:sz w:val="30"/>
        </w:rPr>
      </w:pPr>
      <w:r>
        <w:rPr>
          <w:spacing w:val="-2"/>
          <w:sz w:val="30"/>
        </w:rPr>
        <w:t>Wittgenstein,</w:t>
      </w:r>
      <w:r>
        <w:rPr>
          <w:sz w:val="30"/>
        </w:rPr>
        <w:tab/>
      </w:r>
      <w:r>
        <w:rPr>
          <w:spacing w:val="-2"/>
          <w:sz w:val="30"/>
        </w:rPr>
        <w:t>Ludwig.</w:t>
      </w:r>
      <w:r>
        <w:rPr>
          <w:sz w:val="30"/>
        </w:rPr>
        <w:tab/>
      </w:r>
      <w:r>
        <w:rPr>
          <w:spacing w:val="-2"/>
          <w:sz w:val="30"/>
        </w:rPr>
        <w:t>1958.</w:t>
      </w:r>
      <w:r>
        <w:rPr>
          <w:sz w:val="30"/>
        </w:rPr>
        <w:tab/>
      </w:r>
      <w:r>
        <w:rPr>
          <w:i/>
          <w:spacing w:val="-4"/>
          <w:sz w:val="30"/>
        </w:rPr>
        <w:t>The</w:t>
      </w:r>
      <w:r>
        <w:rPr>
          <w:i/>
          <w:sz w:val="30"/>
        </w:rPr>
        <w:tab/>
      </w:r>
      <w:r>
        <w:rPr>
          <w:i/>
          <w:spacing w:val="-2"/>
          <w:sz w:val="30"/>
        </w:rPr>
        <w:t>Philosophical</w:t>
      </w:r>
      <w:r>
        <w:rPr>
          <w:i/>
          <w:sz w:val="30"/>
        </w:rPr>
        <w:tab/>
      </w:r>
      <w:r>
        <w:rPr>
          <w:i/>
          <w:spacing w:val="-2"/>
          <w:sz w:val="30"/>
        </w:rPr>
        <w:t>Investigations.</w:t>
      </w:r>
      <w:r>
        <w:rPr>
          <w:i/>
          <w:sz w:val="30"/>
        </w:rPr>
        <w:tab/>
      </w:r>
      <w:r>
        <w:rPr>
          <w:spacing w:val="-2"/>
          <w:sz w:val="30"/>
        </w:rPr>
        <w:t>Oxford: Blackwell.</w:t>
      </w:r>
    </w:p>
    <w:p w14:paraId="7E002F6B" w14:textId="77777777" w:rsidR="009A58DB" w:rsidRDefault="00000000">
      <w:pPr>
        <w:spacing w:before="3" w:line="249" w:lineRule="auto"/>
        <w:ind w:left="720" w:right="3292" w:hanging="360"/>
        <w:rPr>
          <w:sz w:val="30"/>
        </w:rPr>
      </w:pPr>
      <w:r>
        <w:rPr>
          <w:sz w:val="30"/>
        </w:rPr>
        <w:t>Taylor,</w:t>
      </w:r>
      <w:r>
        <w:rPr>
          <w:spacing w:val="-7"/>
          <w:sz w:val="30"/>
        </w:rPr>
        <w:t xml:space="preserve"> </w:t>
      </w:r>
      <w:r>
        <w:rPr>
          <w:sz w:val="30"/>
        </w:rPr>
        <w:t>Kenneth.</w:t>
      </w:r>
      <w:r>
        <w:rPr>
          <w:spacing w:val="-7"/>
          <w:sz w:val="30"/>
        </w:rPr>
        <w:t xml:space="preserve"> </w:t>
      </w:r>
      <w:r>
        <w:rPr>
          <w:sz w:val="30"/>
        </w:rPr>
        <w:t>1998.</w:t>
      </w:r>
      <w:r>
        <w:rPr>
          <w:spacing w:val="-7"/>
          <w:sz w:val="30"/>
        </w:rPr>
        <w:t xml:space="preserve"> </w:t>
      </w:r>
      <w:r>
        <w:rPr>
          <w:i/>
          <w:sz w:val="30"/>
        </w:rPr>
        <w:t>Truth</w:t>
      </w:r>
      <w:r>
        <w:rPr>
          <w:i/>
          <w:spacing w:val="-3"/>
          <w:sz w:val="30"/>
        </w:rPr>
        <w:t xml:space="preserve"> </w:t>
      </w:r>
      <w:r>
        <w:rPr>
          <w:i/>
          <w:sz w:val="30"/>
        </w:rPr>
        <w:t>&amp;</w:t>
      </w:r>
      <w:r>
        <w:rPr>
          <w:i/>
          <w:spacing w:val="-3"/>
          <w:sz w:val="30"/>
        </w:rPr>
        <w:t xml:space="preserve"> </w:t>
      </w:r>
      <w:r>
        <w:rPr>
          <w:i/>
          <w:sz w:val="30"/>
        </w:rPr>
        <w:t>Meaning.</w:t>
      </w:r>
      <w:r>
        <w:rPr>
          <w:i/>
          <w:spacing w:val="-2"/>
          <w:sz w:val="30"/>
        </w:rPr>
        <w:t xml:space="preserve"> </w:t>
      </w:r>
      <w:r>
        <w:rPr>
          <w:sz w:val="30"/>
        </w:rPr>
        <w:t xml:space="preserve">Oxford: </w:t>
      </w:r>
      <w:r>
        <w:rPr>
          <w:spacing w:val="-2"/>
          <w:sz w:val="30"/>
        </w:rPr>
        <w:t>Blackwell.</w:t>
      </w:r>
    </w:p>
    <w:p w14:paraId="7E002F6C" w14:textId="77777777" w:rsidR="009A58DB" w:rsidRDefault="00000000">
      <w:pPr>
        <w:spacing w:before="2" w:line="249" w:lineRule="auto"/>
        <w:ind w:left="720" w:right="3292" w:hanging="360"/>
        <w:rPr>
          <w:sz w:val="30"/>
        </w:rPr>
      </w:pPr>
      <w:r>
        <w:rPr>
          <w:sz w:val="30"/>
        </w:rPr>
        <w:t>Van</w:t>
      </w:r>
      <w:r>
        <w:rPr>
          <w:spacing w:val="40"/>
          <w:sz w:val="30"/>
        </w:rPr>
        <w:t xml:space="preserve"> </w:t>
      </w:r>
      <w:r>
        <w:rPr>
          <w:sz w:val="30"/>
        </w:rPr>
        <w:t>Fraassen.</w:t>
      </w:r>
      <w:r>
        <w:rPr>
          <w:spacing w:val="40"/>
          <w:sz w:val="30"/>
        </w:rPr>
        <w:t xml:space="preserve"> </w:t>
      </w:r>
      <w:r>
        <w:rPr>
          <w:sz w:val="30"/>
        </w:rPr>
        <w:t>1980.</w:t>
      </w:r>
      <w:r>
        <w:rPr>
          <w:spacing w:val="40"/>
          <w:sz w:val="30"/>
        </w:rPr>
        <w:t xml:space="preserve"> </w:t>
      </w:r>
      <w:r>
        <w:rPr>
          <w:i/>
          <w:sz w:val="30"/>
        </w:rPr>
        <w:t>The</w:t>
      </w:r>
      <w:r>
        <w:rPr>
          <w:i/>
          <w:spacing w:val="40"/>
          <w:sz w:val="30"/>
        </w:rPr>
        <w:t xml:space="preserve"> </w:t>
      </w:r>
      <w:r>
        <w:rPr>
          <w:i/>
          <w:sz w:val="30"/>
        </w:rPr>
        <w:t>Scientific</w:t>
      </w:r>
      <w:r>
        <w:rPr>
          <w:i/>
          <w:spacing w:val="40"/>
          <w:sz w:val="30"/>
        </w:rPr>
        <w:t xml:space="preserve"> </w:t>
      </w:r>
      <w:r>
        <w:rPr>
          <w:i/>
          <w:sz w:val="30"/>
        </w:rPr>
        <w:t>Image.</w:t>
      </w:r>
      <w:r>
        <w:rPr>
          <w:i/>
          <w:spacing w:val="40"/>
          <w:sz w:val="30"/>
        </w:rPr>
        <w:t xml:space="preserve"> </w:t>
      </w:r>
      <w:r>
        <w:rPr>
          <w:sz w:val="30"/>
        </w:rPr>
        <w:t>New York: Oxford.</w:t>
      </w:r>
    </w:p>
    <w:p w14:paraId="7E002F6D" w14:textId="77777777" w:rsidR="009A58DB" w:rsidRDefault="00000000">
      <w:pPr>
        <w:spacing w:before="2" w:line="249" w:lineRule="auto"/>
        <w:ind w:left="720" w:right="3292" w:hanging="360"/>
        <w:rPr>
          <w:sz w:val="30"/>
        </w:rPr>
      </w:pPr>
      <w:r>
        <w:rPr>
          <w:sz w:val="30"/>
        </w:rPr>
        <w:t>Van</w:t>
      </w:r>
      <w:r>
        <w:rPr>
          <w:spacing w:val="40"/>
          <w:sz w:val="30"/>
        </w:rPr>
        <w:t xml:space="preserve"> </w:t>
      </w:r>
      <w:r>
        <w:rPr>
          <w:sz w:val="30"/>
        </w:rPr>
        <w:t>Fraassen.</w:t>
      </w:r>
      <w:r>
        <w:rPr>
          <w:spacing w:val="40"/>
          <w:sz w:val="30"/>
        </w:rPr>
        <w:t xml:space="preserve"> </w:t>
      </w:r>
      <w:r>
        <w:rPr>
          <w:sz w:val="30"/>
        </w:rPr>
        <w:t>1989.</w:t>
      </w:r>
      <w:r>
        <w:rPr>
          <w:spacing w:val="40"/>
          <w:sz w:val="30"/>
        </w:rPr>
        <w:t xml:space="preserve"> </w:t>
      </w:r>
      <w:r>
        <w:rPr>
          <w:i/>
          <w:sz w:val="30"/>
        </w:rPr>
        <w:t>Laws</w:t>
      </w:r>
      <w:r>
        <w:rPr>
          <w:i/>
          <w:spacing w:val="40"/>
          <w:sz w:val="30"/>
        </w:rPr>
        <w:t xml:space="preserve"> </w:t>
      </w:r>
      <w:r>
        <w:rPr>
          <w:i/>
          <w:sz w:val="30"/>
        </w:rPr>
        <w:t>and</w:t>
      </w:r>
      <w:r>
        <w:rPr>
          <w:i/>
          <w:spacing w:val="40"/>
          <w:sz w:val="30"/>
        </w:rPr>
        <w:t xml:space="preserve"> </w:t>
      </w:r>
      <w:r>
        <w:rPr>
          <w:i/>
          <w:sz w:val="30"/>
        </w:rPr>
        <w:t>Symmetry.</w:t>
      </w:r>
      <w:r>
        <w:rPr>
          <w:i/>
          <w:spacing w:val="40"/>
          <w:sz w:val="30"/>
        </w:rPr>
        <w:t xml:space="preserve"> </w:t>
      </w:r>
      <w:r>
        <w:rPr>
          <w:sz w:val="30"/>
        </w:rPr>
        <w:t>New York: Oxford.</w:t>
      </w:r>
    </w:p>
    <w:p w14:paraId="7E002F6E" w14:textId="77777777" w:rsidR="009A58DB" w:rsidRDefault="009A58DB">
      <w:pPr>
        <w:spacing w:line="249" w:lineRule="auto"/>
        <w:rPr>
          <w:sz w:val="30"/>
        </w:rPr>
        <w:sectPr w:rsidR="009A58DB">
          <w:pgSz w:w="12240" w:h="15840"/>
          <w:pgMar w:top="1740" w:right="1080" w:bottom="280" w:left="1080" w:header="720" w:footer="720" w:gutter="0"/>
          <w:cols w:space="720"/>
        </w:sectPr>
      </w:pPr>
    </w:p>
    <w:p w14:paraId="7E002F6F" w14:textId="77777777" w:rsidR="009A58DB" w:rsidRDefault="009A58DB">
      <w:pPr>
        <w:pStyle w:val="BodyText"/>
        <w:ind w:left="0"/>
        <w:jc w:val="left"/>
        <w:rPr>
          <w:sz w:val="20"/>
        </w:rPr>
      </w:pPr>
    </w:p>
    <w:p w14:paraId="7E002F70" w14:textId="77777777" w:rsidR="009A58DB" w:rsidRDefault="009A58DB">
      <w:pPr>
        <w:pStyle w:val="BodyText"/>
        <w:ind w:left="0"/>
        <w:jc w:val="left"/>
        <w:rPr>
          <w:sz w:val="20"/>
        </w:rPr>
      </w:pPr>
    </w:p>
    <w:p w14:paraId="7E002F71" w14:textId="77777777" w:rsidR="009A58DB" w:rsidRDefault="009A58DB">
      <w:pPr>
        <w:pStyle w:val="BodyText"/>
        <w:ind w:left="0"/>
        <w:jc w:val="left"/>
        <w:rPr>
          <w:sz w:val="20"/>
        </w:rPr>
      </w:pPr>
    </w:p>
    <w:p w14:paraId="7E002F72" w14:textId="77777777" w:rsidR="009A58DB" w:rsidRDefault="009A58DB">
      <w:pPr>
        <w:pStyle w:val="BodyText"/>
        <w:spacing w:before="35"/>
        <w:ind w:left="0"/>
        <w:jc w:val="left"/>
        <w:rPr>
          <w:sz w:val="20"/>
        </w:rPr>
      </w:pPr>
    </w:p>
    <w:p w14:paraId="7E002F73" w14:textId="77777777" w:rsidR="009A58DB" w:rsidRDefault="00000000">
      <w:pPr>
        <w:spacing w:line="20" w:lineRule="exact"/>
        <w:ind w:left="3495"/>
        <w:rPr>
          <w:sz w:val="2"/>
        </w:rPr>
      </w:pPr>
      <w:bookmarkStart w:id="599" w:name="_bookmark606"/>
      <w:bookmarkEnd w:id="599"/>
      <w:r>
        <w:rPr>
          <w:noProof/>
          <w:sz w:val="2"/>
        </w:rPr>
        <mc:AlternateContent>
          <mc:Choice Requires="wpg">
            <w:drawing>
              <wp:inline distT="0" distB="0" distL="0" distR="0" wp14:anchorId="7E0032AE" wp14:editId="7E0032AF">
                <wp:extent cx="1962150" cy="952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0" cy="9525"/>
                          <a:chOff x="0" y="0"/>
                          <a:chExt cx="1962150" cy="9525"/>
                        </a:xfrm>
                      </wpg:grpSpPr>
                      <wps:wsp>
                        <wps:cNvPr id="49" name="Graphic 49"/>
                        <wps:cNvSpPr/>
                        <wps:spPr>
                          <a:xfrm>
                            <a:off x="0" y="0"/>
                            <a:ext cx="1962150" cy="9525"/>
                          </a:xfrm>
                          <a:custGeom>
                            <a:avLst/>
                            <a:gdLst/>
                            <a:ahLst/>
                            <a:cxnLst/>
                            <a:rect l="l" t="t" r="r" b="b"/>
                            <a:pathLst>
                              <a:path w="1962150" h="9525">
                                <a:moveTo>
                                  <a:pt x="1962150" y="9525"/>
                                </a:moveTo>
                                <a:lnTo>
                                  <a:pt x="0" y="9525"/>
                                </a:lnTo>
                                <a:lnTo>
                                  <a:pt x="0" y="0"/>
                                </a:lnTo>
                                <a:lnTo>
                                  <a:pt x="1962150" y="0"/>
                                </a:lnTo>
                                <a:lnTo>
                                  <a:pt x="1962150" y="9525"/>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w14:anchorId="60D538B0" id="Group 48"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">
                <v:shape id="Graphic 49" o:spid="_x0000_s1027" style="position:absolute;width:19621;height:95;visibility:visible;mso-wrap-style:square;v-text-anchor:top" coordsize="1962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" path="m1962150,9525l,9525,,,1962150,r,9525xe" fillcolor="gray" stroked="f">
                  <v:path arrowok="t"/>
                </v:shape>
                <w10:anchorlock/>
              </v:group>
            </w:pict>
          </mc:Fallback>
        </mc:AlternateContent>
      </w:r>
    </w:p>
    <w:p w14:paraId="7E002F74" w14:textId="77777777" w:rsidR="009A58DB" w:rsidRDefault="00000000">
      <w:pPr>
        <w:spacing w:before="215"/>
        <w:ind w:left="360"/>
        <w:rPr>
          <w:i/>
          <w:sz w:val="30"/>
        </w:rPr>
      </w:pPr>
      <w:r>
        <w:rPr>
          <w:color w:val="0562C1"/>
          <w:position w:val="22"/>
          <w:sz w:val="30"/>
          <w:u w:val="single" w:color="0562C1"/>
        </w:rPr>
        <w:t>[1]</w:t>
      </w:r>
      <w:r>
        <w:rPr>
          <w:sz w:val="34"/>
        </w:rPr>
        <w:t>.</w:t>
      </w:r>
      <w:r>
        <w:rPr>
          <w:spacing w:val="-2"/>
          <w:sz w:val="34"/>
        </w:rPr>
        <w:t xml:space="preserve"> </w:t>
      </w:r>
      <w:r>
        <w:rPr>
          <w:i/>
          <w:sz w:val="30"/>
        </w:rPr>
        <w:t>“Mutatis</w:t>
      </w:r>
      <w:r>
        <w:rPr>
          <w:i/>
          <w:spacing w:val="4"/>
          <w:sz w:val="30"/>
        </w:rPr>
        <w:t xml:space="preserve"> </w:t>
      </w:r>
      <w:r>
        <w:rPr>
          <w:i/>
          <w:sz w:val="30"/>
        </w:rPr>
        <w:t>mutandis”</w:t>
      </w:r>
      <w:r>
        <w:rPr>
          <w:i/>
          <w:spacing w:val="5"/>
          <w:sz w:val="30"/>
        </w:rPr>
        <w:t xml:space="preserve"> </w:t>
      </w:r>
      <w:r>
        <w:rPr>
          <w:sz w:val="30"/>
        </w:rPr>
        <w:t>means:</w:t>
      </w:r>
      <w:r>
        <w:rPr>
          <w:spacing w:val="-3"/>
          <w:sz w:val="30"/>
        </w:rPr>
        <w:t xml:space="preserve"> </w:t>
      </w:r>
      <w:r>
        <w:rPr>
          <w:i/>
          <w:sz w:val="30"/>
        </w:rPr>
        <w:t>provided</w:t>
      </w:r>
      <w:r>
        <w:rPr>
          <w:i/>
          <w:spacing w:val="12"/>
          <w:sz w:val="30"/>
        </w:rPr>
        <w:t xml:space="preserve"> </w:t>
      </w:r>
      <w:r>
        <w:rPr>
          <w:i/>
          <w:sz w:val="30"/>
        </w:rPr>
        <w:t>that</w:t>
      </w:r>
      <w:r>
        <w:rPr>
          <w:i/>
          <w:spacing w:val="11"/>
          <w:sz w:val="30"/>
        </w:rPr>
        <w:t xml:space="preserve"> </w:t>
      </w:r>
      <w:r>
        <w:rPr>
          <w:i/>
          <w:sz w:val="30"/>
        </w:rPr>
        <w:t>the</w:t>
      </w:r>
      <w:r>
        <w:rPr>
          <w:i/>
          <w:spacing w:val="12"/>
          <w:sz w:val="30"/>
        </w:rPr>
        <w:t xml:space="preserve"> </w:t>
      </w:r>
      <w:r>
        <w:rPr>
          <w:i/>
          <w:sz w:val="30"/>
        </w:rPr>
        <w:t>needed</w:t>
      </w:r>
      <w:r>
        <w:rPr>
          <w:i/>
          <w:spacing w:val="12"/>
          <w:sz w:val="30"/>
        </w:rPr>
        <w:t xml:space="preserve"> </w:t>
      </w:r>
      <w:r>
        <w:rPr>
          <w:i/>
          <w:sz w:val="30"/>
        </w:rPr>
        <w:t>changes</w:t>
      </w:r>
      <w:r>
        <w:rPr>
          <w:i/>
          <w:spacing w:val="11"/>
          <w:sz w:val="30"/>
        </w:rPr>
        <w:t xml:space="preserve"> </w:t>
      </w:r>
      <w:r>
        <w:rPr>
          <w:i/>
          <w:sz w:val="30"/>
        </w:rPr>
        <w:t>are</w:t>
      </w:r>
      <w:r>
        <w:rPr>
          <w:i/>
          <w:spacing w:val="11"/>
          <w:sz w:val="30"/>
        </w:rPr>
        <w:t xml:space="preserve"> </w:t>
      </w:r>
      <w:r>
        <w:rPr>
          <w:i/>
          <w:spacing w:val="-2"/>
          <w:sz w:val="30"/>
        </w:rPr>
        <w:t>made</w:t>
      </w:r>
      <w:bookmarkStart w:id="600" w:name="_bookmark599"/>
      <w:bookmarkEnd w:id="600"/>
      <w:r>
        <w:rPr>
          <w:i/>
          <w:spacing w:val="-2"/>
          <w:sz w:val="30"/>
        </w:rPr>
        <w:t>.</w:t>
      </w:r>
    </w:p>
    <w:p w14:paraId="7E002F75" w14:textId="77777777" w:rsidR="009A58DB" w:rsidRDefault="00000000">
      <w:pPr>
        <w:pStyle w:val="BodyText"/>
        <w:spacing w:before="21"/>
        <w:ind w:left="615"/>
      </w:pPr>
      <w:r>
        <w:t>Consider</w:t>
      </w:r>
      <w:r>
        <w:rPr>
          <w:spacing w:val="-4"/>
        </w:rPr>
        <w:t xml:space="preserve"> </w:t>
      </w:r>
      <w:r>
        <w:t>the</w:t>
      </w:r>
      <w:r>
        <w:rPr>
          <w:spacing w:val="-3"/>
        </w:rPr>
        <w:t xml:space="preserve"> </w:t>
      </w:r>
      <w:r>
        <w:rPr>
          <w:spacing w:val="-2"/>
        </w:rPr>
        <w:t>statement:</w:t>
      </w:r>
    </w:p>
    <w:p w14:paraId="7E002F76" w14:textId="77777777" w:rsidR="009A58DB" w:rsidRDefault="00000000">
      <w:pPr>
        <w:pStyle w:val="ListParagraph"/>
        <w:numPr>
          <w:ilvl w:val="0"/>
          <w:numId w:val="8"/>
        </w:numPr>
        <w:tabs>
          <w:tab w:val="left" w:pos="978"/>
        </w:tabs>
        <w:spacing w:before="45" w:line="249" w:lineRule="auto"/>
        <w:ind w:right="366" w:firstLine="0"/>
        <w:jc w:val="both"/>
        <w:rPr>
          <w:sz w:val="30"/>
        </w:rPr>
      </w:pPr>
      <w:r>
        <w:rPr>
          <w:sz w:val="30"/>
        </w:rPr>
        <w:t>“if I make sure that I exercise and get plenty of rest, and everybody else does the same thing, the world will be a better place.”</w:t>
      </w:r>
    </w:p>
    <w:p w14:paraId="7E002F77" w14:textId="77777777" w:rsidR="009A58DB" w:rsidRDefault="00000000">
      <w:pPr>
        <w:pStyle w:val="ListParagraph"/>
        <w:numPr>
          <w:ilvl w:val="0"/>
          <w:numId w:val="7"/>
        </w:numPr>
        <w:tabs>
          <w:tab w:val="left" w:pos="970"/>
        </w:tabs>
        <w:spacing w:before="2"/>
        <w:ind w:left="970" w:hanging="355"/>
        <w:jc w:val="both"/>
        <w:rPr>
          <w:sz w:val="30"/>
        </w:rPr>
      </w:pPr>
      <w:r>
        <w:rPr>
          <w:sz w:val="30"/>
        </w:rPr>
        <w:t>is</w:t>
      </w:r>
      <w:r>
        <w:rPr>
          <w:spacing w:val="-6"/>
          <w:sz w:val="30"/>
        </w:rPr>
        <w:t xml:space="preserve"> </w:t>
      </w:r>
      <w:r>
        <w:rPr>
          <w:sz w:val="30"/>
        </w:rPr>
        <w:t>ambiguous.</w:t>
      </w:r>
      <w:r>
        <w:rPr>
          <w:spacing w:val="-2"/>
          <w:sz w:val="30"/>
        </w:rPr>
        <w:t xml:space="preserve"> </w:t>
      </w:r>
      <w:r>
        <w:rPr>
          <w:sz w:val="30"/>
        </w:rPr>
        <w:t>It</w:t>
      </w:r>
      <w:r>
        <w:rPr>
          <w:spacing w:val="-3"/>
          <w:sz w:val="30"/>
        </w:rPr>
        <w:t xml:space="preserve"> </w:t>
      </w:r>
      <w:r>
        <w:rPr>
          <w:sz w:val="30"/>
        </w:rPr>
        <w:t>could</w:t>
      </w:r>
      <w:r>
        <w:rPr>
          <w:spacing w:val="-2"/>
          <w:sz w:val="30"/>
        </w:rPr>
        <w:t xml:space="preserve"> </w:t>
      </w:r>
      <w:r>
        <w:rPr>
          <w:sz w:val="30"/>
        </w:rPr>
        <w:t>mean</w:t>
      </w:r>
      <w:r>
        <w:rPr>
          <w:spacing w:val="-2"/>
          <w:sz w:val="30"/>
        </w:rPr>
        <w:t xml:space="preserve"> either:</w:t>
      </w:r>
    </w:p>
    <w:p w14:paraId="7E002F78" w14:textId="77777777" w:rsidR="009A58DB" w:rsidRDefault="00000000">
      <w:pPr>
        <w:pStyle w:val="ListParagraph"/>
        <w:numPr>
          <w:ilvl w:val="0"/>
          <w:numId w:val="7"/>
        </w:numPr>
        <w:tabs>
          <w:tab w:val="left" w:pos="1066"/>
        </w:tabs>
        <w:spacing w:before="16" w:line="249" w:lineRule="auto"/>
        <w:ind w:left="615" w:right="360" w:firstLine="0"/>
        <w:jc w:val="both"/>
        <w:rPr>
          <w:sz w:val="30"/>
        </w:rPr>
      </w:pPr>
      <w:r>
        <w:rPr>
          <w:sz w:val="30"/>
        </w:rPr>
        <w:t>“if I do my best to make sure that I exercise and get plenty of rest, and everybody makes sure that I exercise and get plenty of rest, the world will be a better place,’</w:t>
      </w:r>
    </w:p>
    <w:p w14:paraId="7E002F79" w14:textId="77777777" w:rsidR="009A58DB" w:rsidRDefault="00000000">
      <w:pPr>
        <w:pStyle w:val="BodyText"/>
        <w:spacing w:before="3"/>
        <w:ind w:left="615"/>
        <w:jc w:val="left"/>
      </w:pPr>
      <w:r>
        <w:rPr>
          <w:spacing w:val="-5"/>
        </w:rPr>
        <w:t>or</w:t>
      </w:r>
    </w:p>
    <w:p w14:paraId="7E002F7A" w14:textId="77777777" w:rsidR="009A58DB" w:rsidRDefault="00000000">
      <w:pPr>
        <w:pStyle w:val="ListParagraph"/>
        <w:numPr>
          <w:ilvl w:val="0"/>
          <w:numId w:val="7"/>
        </w:numPr>
        <w:tabs>
          <w:tab w:val="left" w:pos="1142"/>
        </w:tabs>
        <w:spacing w:before="15" w:line="249" w:lineRule="auto"/>
        <w:ind w:left="615" w:right="365" w:firstLine="0"/>
        <w:jc w:val="both"/>
        <w:rPr>
          <w:sz w:val="30"/>
        </w:rPr>
      </w:pPr>
      <w:r>
        <w:rPr>
          <w:sz w:val="30"/>
        </w:rPr>
        <w:t>“if I do my best to make sure that I exercise and get plenty of rest, and each other person makes sure that he or she exercises and gets plenty of rest, the world will be a better place.”</w:t>
      </w:r>
    </w:p>
    <w:p w14:paraId="7E002F7B" w14:textId="77777777" w:rsidR="009A58DB" w:rsidRDefault="00000000">
      <w:pPr>
        <w:pStyle w:val="BodyText"/>
        <w:spacing w:before="4"/>
        <w:ind w:left="615"/>
      </w:pPr>
      <w:r>
        <w:t>Unlike</w:t>
      </w:r>
      <w:r>
        <w:rPr>
          <w:spacing w:val="-6"/>
        </w:rPr>
        <w:t xml:space="preserve"> </w:t>
      </w:r>
      <w:r>
        <w:t>(i),</w:t>
      </w:r>
      <w:r>
        <w:rPr>
          <w:spacing w:val="-3"/>
        </w:rPr>
        <w:t xml:space="preserve"> </w:t>
      </w:r>
      <w:r>
        <w:t>the</w:t>
      </w:r>
      <w:r>
        <w:rPr>
          <w:spacing w:val="-4"/>
        </w:rPr>
        <w:t xml:space="preserve"> </w:t>
      </w:r>
      <w:r>
        <w:t>following</w:t>
      </w:r>
      <w:r>
        <w:rPr>
          <w:spacing w:val="-3"/>
        </w:rPr>
        <w:t xml:space="preserve"> </w:t>
      </w:r>
      <w:r>
        <w:t>sentence</w:t>
      </w:r>
      <w:r>
        <w:rPr>
          <w:spacing w:val="-4"/>
        </w:rPr>
        <w:t xml:space="preserve"> </w:t>
      </w:r>
      <w:r>
        <w:rPr>
          <w:i/>
        </w:rPr>
        <w:t>unambiguously</w:t>
      </w:r>
      <w:r>
        <w:rPr>
          <w:i/>
          <w:spacing w:val="-4"/>
        </w:rPr>
        <w:t xml:space="preserve"> </w:t>
      </w:r>
      <w:r>
        <w:t>has</w:t>
      </w:r>
      <w:r>
        <w:rPr>
          <w:spacing w:val="-4"/>
        </w:rPr>
        <w:t xml:space="preserve"> </w:t>
      </w:r>
      <w:r>
        <w:t>(iii)</w:t>
      </w:r>
      <w:r>
        <w:rPr>
          <w:spacing w:val="-4"/>
        </w:rPr>
        <w:t xml:space="preserve"> </w:t>
      </w:r>
      <w:r>
        <w:t>for</w:t>
      </w:r>
      <w:r>
        <w:rPr>
          <w:spacing w:val="-4"/>
        </w:rPr>
        <w:t xml:space="preserve"> </w:t>
      </w:r>
      <w:r>
        <w:t>its</w:t>
      </w:r>
      <w:r>
        <w:rPr>
          <w:spacing w:val="-3"/>
        </w:rPr>
        <w:t xml:space="preserve"> </w:t>
      </w:r>
      <w:r>
        <w:rPr>
          <w:spacing w:val="-2"/>
        </w:rPr>
        <w:t>meaning:</w:t>
      </w:r>
    </w:p>
    <w:p w14:paraId="7E002F7C" w14:textId="77777777" w:rsidR="009A58DB" w:rsidRDefault="00000000">
      <w:pPr>
        <w:pStyle w:val="ListParagraph"/>
        <w:numPr>
          <w:ilvl w:val="0"/>
          <w:numId w:val="7"/>
        </w:numPr>
        <w:tabs>
          <w:tab w:val="left" w:pos="1157"/>
        </w:tabs>
        <w:spacing w:before="15" w:line="249" w:lineRule="auto"/>
        <w:ind w:left="615" w:right="359" w:firstLine="0"/>
        <w:jc w:val="both"/>
        <w:rPr>
          <w:sz w:val="30"/>
        </w:rPr>
      </w:pPr>
      <w:r>
        <w:rPr>
          <w:sz w:val="30"/>
        </w:rPr>
        <w:t xml:space="preserve">“if I make sure that I exercise and get plenty of rest, and everybody else does the same thing </w:t>
      </w:r>
      <w:r>
        <w:rPr>
          <w:i/>
          <w:sz w:val="30"/>
        </w:rPr>
        <w:t xml:space="preserve">mutatis mutandis, </w:t>
      </w:r>
      <w:r>
        <w:rPr>
          <w:sz w:val="30"/>
        </w:rPr>
        <w:t>the world will be a better</w:t>
      </w:r>
      <w:r>
        <w:rPr>
          <w:spacing w:val="40"/>
          <w:sz w:val="30"/>
        </w:rPr>
        <w:t xml:space="preserve"> </w:t>
      </w:r>
      <w:r>
        <w:rPr>
          <w:spacing w:val="-2"/>
          <w:sz w:val="30"/>
        </w:rPr>
        <w:t>place.”</w:t>
      </w:r>
    </w:p>
    <w:p w14:paraId="7E002F7D" w14:textId="77777777" w:rsidR="009A58DB" w:rsidRDefault="00000000">
      <w:pPr>
        <w:pStyle w:val="BodyText"/>
        <w:spacing w:before="4" w:line="249" w:lineRule="auto"/>
        <w:ind w:left="615" w:right="363"/>
      </w:pPr>
      <w:r>
        <w:t xml:space="preserve">Sentences that are ambiguous in much the same way as (i) often occur in analytic philosophy, and it’s often unclear how they are to be disambiguated. But the “mutatis mutandis” makes it easy to disambiguate </w:t>
      </w:r>
      <w:r>
        <w:rPr>
          <w:spacing w:val="-2"/>
        </w:rPr>
        <w:t>them.</w:t>
      </w:r>
    </w:p>
    <w:p w14:paraId="7E002F7E" w14:textId="77777777" w:rsidR="009A58DB" w:rsidRDefault="00000000">
      <w:pPr>
        <w:pStyle w:val="BodyText"/>
        <w:spacing w:before="10" w:line="252" w:lineRule="auto"/>
        <w:ind w:left="720" w:right="361" w:hanging="255"/>
      </w:pPr>
      <w:bookmarkStart w:id="601" w:name="_bookmark600"/>
      <w:bookmarkEnd w:id="601"/>
      <w:r>
        <w:rPr>
          <w:color w:val="0562C1"/>
          <w:position w:val="22"/>
          <w:u w:val="single" w:color="0562C1"/>
        </w:rPr>
        <w:t>[2]</w:t>
      </w:r>
      <w:r>
        <w:rPr>
          <w:sz w:val="34"/>
        </w:rPr>
        <w:t xml:space="preserve">. </w:t>
      </w:r>
      <w:r>
        <w:t>Expressions that are italicized and boldfaced are very important one</w:t>
      </w:r>
      <w:bookmarkStart w:id="602" w:name="_bookmark601"/>
      <w:bookmarkEnd w:id="602"/>
      <w:r>
        <w:t>s whose meanings must be known. In most cases, those terms are define</w:t>
      </w:r>
      <w:bookmarkStart w:id="603" w:name="_bookmark602"/>
      <w:bookmarkEnd w:id="603"/>
      <w:r>
        <w:t>d and explained in the analytic index, where they are alphabetically listed. When such an expression isn’t defined in the analytic index, it’s define</w:t>
      </w:r>
      <w:bookmarkStart w:id="604" w:name="_bookmark603"/>
      <w:bookmarkEnd w:id="604"/>
      <w:r>
        <w:t>d</w:t>
      </w:r>
      <w:r>
        <w:rPr>
          <w:spacing w:val="40"/>
        </w:rPr>
        <w:t xml:space="preserve"> </w:t>
      </w:r>
      <w:r>
        <w:t xml:space="preserve">on the </w:t>
      </w:r>
      <w:r>
        <w:rPr>
          <w:i/>
        </w:rPr>
        <w:t xml:space="preserve">first </w:t>
      </w:r>
      <w:r>
        <w:t>page where it occurs. In cases where I judge the expression to be an especially important one, it is defined both on the first page of it</w:t>
      </w:r>
      <w:bookmarkStart w:id="605" w:name="_bookmark604"/>
      <w:bookmarkEnd w:id="605"/>
      <w:r>
        <w:t>s occurrence and in the analytic index.</w:t>
      </w:r>
    </w:p>
    <w:p w14:paraId="7E002F7F" w14:textId="77777777" w:rsidR="009A58DB" w:rsidRDefault="00000000">
      <w:pPr>
        <w:pStyle w:val="BodyText"/>
        <w:spacing w:before="33" w:line="249" w:lineRule="auto"/>
        <w:ind w:left="720" w:right="365" w:firstLine="262"/>
      </w:pPr>
      <w:r>
        <w:t>An idea is” “incoherent” if it is expressed by a statement that eithe</w:t>
      </w:r>
      <w:bookmarkStart w:id="606" w:name="_bookmark605"/>
      <w:bookmarkEnd w:id="606"/>
      <w:r>
        <w:t>r explicitly or implicitly contradicts itself.</w:t>
      </w:r>
    </w:p>
    <w:p w14:paraId="7E002F80" w14:textId="77777777" w:rsidR="009A58DB" w:rsidRDefault="009A58DB">
      <w:pPr>
        <w:pStyle w:val="BodyText"/>
        <w:spacing w:line="249" w:lineRule="auto"/>
        <w:sectPr w:rsidR="009A58DB">
          <w:pgSz w:w="12240" w:h="15840"/>
          <w:pgMar w:top="1820" w:right="1080" w:bottom="280" w:left="1080" w:header="720" w:footer="720" w:gutter="0"/>
          <w:cols w:space="720"/>
        </w:sectPr>
      </w:pPr>
    </w:p>
    <w:p w14:paraId="7E002F81" w14:textId="77777777" w:rsidR="009A58DB" w:rsidRDefault="00000000">
      <w:pPr>
        <w:pStyle w:val="BodyText"/>
        <w:spacing w:before="70" w:line="252" w:lineRule="auto"/>
        <w:ind w:left="720" w:right="360" w:hanging="255"/>
      </w:pPr>
      <w:bookmarkStart w:id="607" w:name="_bookmark607"/>
      <w:bookmarkEnd w:id="607"/>
      <w:r>
        <w:rPr>
          <w:color w:val="0562C1"/>
          <w:position w:val="22"/>
          <w:u w:val="single" w:color="0562C1"/>
        </w:rPr>
        <w:t>[3]</w:t>
      </w:r>
      <w:r>
        <w:t>. Creating the right mechanisms may involve an enormous amount of theoretical knowledge—a N.A.S.A. engineer may know a lot more about physical law than many a professor of theoretical physics. Whether one i</w:t>
      </w:r>
      <w:bookmarkStart w:id="608" w:name="_bookmark608"/>
      <w:bookmarkEnd w:id="608"/>
      <w:r>
        <w:t>s an engineer as opposed to a physicist is a function, not of how much on</w:t>
      </w:r>
      <w:bookmarkStart w:id="609" w:name="_bookmark609"/>
      <w:bookmarkEnd w:id="609"/>
      <w:r>
        <w:t>e knows about physics, but about one’s attitude towards that knowledge</w:t>
      </w:r>
      <w:hyperlink w:anchor="_bookmark20" w:history="1">
        <w:r>
          <w:t>.</w:t>
        </w:r>
      </w:hyperlink>
      <w:r>
        <w:rPr>
          <w:spacing w:val="40"/>
        </w:rPr>
        <w:t xml:space="preserve"> </w:t>
      </w:r>
      <w:r>
        <w:t>The engineer is interested in physical law only to the extent that it help</w:t>
      </w:r>
      <w:bookmarkStart w:id="610" w:name="_bookmark610"/>
      <w:bookmarkEnd w:id="610"/>
      <w:r>
        <w:t>s build bridges and tanks. The physicist is interested in bridges and tanks only to the extent that it helps identify physical laws. That is why, even though Newton was one of the greatest physicists of all time, many a contemporary engineer knows more about physical law than he did.</w:t>
      </w:r>
    </w:p>
    <w:p w14:paraId="7E002F82" w14:textId="77777777" w:rsidR="009A58DB" w:rsidRDefault="00000000">
      <w:pPr>
        <w:pStyle w:val="BodyText"/>
        <w:spacing w:before="42"/>
        <w:ind w:left="465"/>
        <w:jc w:val="left"/>
      </w:pPr>
      <w:bookmarkStart w:id="611" w:name="_bookmark611"/>
      <w:bookmarkEnd w:id="611"/>
      <w:r>
        <w:rPr>
          <w:color w:val="0562C1"/>
          <w:position w:val="22"/>
          <w:u w:val="single" w:color="0562C1"/>
        </w:rPr>
        <w:t>[4]</w:t>
      </w:r>
      <w:r>
        <w:t>.</w:t>
      </w:r>
      <w:r>
        <w:rPr>
          <w:spacing w:val="7"/>
        </w:rPr>
        <w:t xml:space="preserve"> </w:t>
      </w:r>
      <w:r>
        <w:t>Dummett</w:t>
      </w:r>
      <w:r>
        <w:rPr>
          <w:spacing w:val="-4"/>
        </w:rPr>
        <w:t xml:space="preserve"> </w:t>
      </w:r>
      <w:r>
        <w:t>(1978,</w:t>
      </w:r>
      <w:r>
        <w:rPr>
          <w:spacing w:val="-3"/>
        </w:rPr>
        <w:t xml:space="preserve"> </w:t>
      </w:r>
      <w:r>
        <w:t>Chapter</w:t>
      </w:r>
      <w:r>
        <w:rPr>
          <w:spacing w:val="-3"/>
        </w:rPr>
        <w:t xml:space="preserve"> </w:t>
      </w:r>
      <w:r>
        <w:rPr>
          <w:spacing w:val="-4"/>
        </w:rPr>
        <w:t>25).</w:t>
      </w:r>
    </w:p>
    <w:p w14:paraId="7E002F83" w14:textId="77777777" w:rsidR="009A58DB" w:rsidRDefault="00000000">
      <w:pPr>
        <w:pStyle w:val="BodyText"/>
        <w:spacing w:before="65" w:line="252" w:lineRule="auto"/>
        <w:ind w:left="720" w:right="360" w:hanging="255"/>
      </w:pPr>
      <w:bookmarkStart w:id="612" w:name="_bookmark612"/>
      <w:bookmarkEnd w:id="612"/>
      <w:r>
        <w:rPr>
          <w:rFonts w:ascii="Liberation Serif" w:hAnsi="Liberation Serif"/>
          <w:color w:val="0562C1"/>
          <w:position w:val="22"/>
          <w:u w:val="single" w:color="0562C1"/>
        </w:rPr>
        <w:t>[5]</w:t>
      </w:r>
      <w:r>
        <w:rPr>
          <w:sz w:val="34"/>
        </w:rPr>
        <w:t xml:space="preserve">. </w:t>
      </w:r>
      <w:r>
        <w:t>This is now contested. Some philosophers hold that there are coherent statements—statements that don’t embody internal inconsistencies—that cannot possibly be true. See Putnam (1975) and Kripke (1980). In Chapter 8, it is argued that this is false.</w:t>
      </w:r>
    </w:p>
    <w:p w14:paraId="7E002F84" w14:textId="77777777" w:rsidR="009A58DB" w:rsidRDefault="00000000">
      <w:pPr>
        <w:pStyle w:val="BodyText"/>
        <w:spacing w:before="46"/>
        <w:ind w:left="465"/>
        <w:jc w:val="left"/>
      </w:pPr>
      <w:bookmarkStart w:id="613" w:name="_bookmark613"/>
      <w:bookmarkEnd w:id="613"/>
      <w:r>
        <w:rPr>
          <w:color w:val="0562C1"/>
          <w:position w:val="22"/>
          <w:u w:val="single" w:color="0562C1"/>
        </w:rPr>
        <w:t>[6]</w:t>
      </w:r>
      <w:r>
        <w:rPr>
          <w:sz w:val="34"/>
        </w:rPr>
        <w:t>.</w:t>
      </w:r>
      <w:r>
        <w:rPr>
          <w:spacing w:val="-2"/>
          <w:sz w:val="34"/>
        </w:rPr>
        <w:t xml:space="preserve"> </w:t>
      </w:r>
      <w:r>
        <w:t>“FL”</w:t>
      </w:r>
      <w:r>
        <w:rPr>
          <w:spacing w:val="-3"/>
        </w:rPr>
        <w:t xml:space="preserve"> </w:t>
      </w:r>
      <w:r>
        <w:t>is</w:t>
      </w:r>
      <w:r>
        <w:rPr>
          <w:spacing w:val="-4"/>
        </w:rPr>
        <w:t xml:space="preserve"> </w:t>
      </w:r>
      <w:r>
        <w:t>short</w:t>
      </w:r>
      <w:r>
        <w:rPr>
          <w:spacing w:val="-3"/>
        </w:rPr>
        <w:t xml:space="preserve"> </w:t>
      </w:r>
      <w:r>
        <w:t>for</w:t>
      </w:r>
      <w:r>
        <w:rPr>
          <w:spacing w:val="-3"/>
        </w:rPr>
        <w:t xml:space="preserve"> </w:t>
      </w:r>
      <w:r>
        <w:t>“Frege’s</w:t>
      </w:r>
      <w:r>
        <w:rPr>
          <w:spacing w:val="-4"/>
        </w:rPr>
        <w:t xml:space="preserve"> </w:t>
      </w:r>
      <w:r>
        <w:rPr>
          <w:spacing w:val="-2"/>
        </w:rPr>
        <w:t>legacy.”</w:t>
      </w:r>
    </w:p>
    <w:p w14:paraId="7E002F85" w14:textId="77777777" w:rsidR="009A58DB" w:rsidRDefault="00000000">
      <w:pPr>
        <w:pStyle w:val="BodyText"/>
        <w:spacing w:before="56"/>
        <w:ind w:left="465"/>
        <w:jc w:val="left"/>
      </w:pPr>
      <w:bookmarkStart w:id="614" w:name="_bookmark614"/>
      <w:bookmarkEnd w:id="614"/>
      <w:r>
        <w:rPr>
          <w:color w:val="0562C1"/>
          <w:position w:val="22"/>
          <w:u w:val="single" w:color="0562C1"/>
        </w:rPr>
        <w:t>[7]</w:t>
      </w:r>
      <w:r>
        <w:t>.</w:t>
      </w:r>
      <w:r>
        <w:rPr>
          <w:spacing w:val="28"/>
        </w:rPr>
        <w:t xml:space="preserve"> </w:t>
      </w:r>
      <w:r>
        <w:t>See</w:t>
      </w:r>
      <w:r>
        <w:rPr>
          <w:spacing w:val="28"/>
        </w:rPr>
        <w:t xml:space="preserve"> </w:t>
      </w:r>
      <w:r>
        <w:t>Frege</w:t>
      </w:r>
      <w:r>
        <w:rPr>
          <w:spacing w:val="28"/>
        </w:rPr>
        <w:t xml:space="preserve"> </w:t>
      </w:r>
      <w:r>
        <w:t>(1980).</w:t>
      </w:r>
      <w:r>
        <w:rPr>
          <w:spacing w:val="28"/>
        </w:rPr>
        <w:t xml:space="preserve"> </w:t>
      </w:r>
      <w:r>
        <w:t>Russell</w:t>
      </w:r>
      <w:r>
        <w:rPr>
          <w:spacing w:val="28"/>
        </w:rPr>
        <w:t xml:space="preserve"> </w:t>
      </w:r>
      <w:r>
        <w:t>(1905,</w:t>
      </w:r>
      <w:r>
        <w:rPr>
          <w:spacing w:val="29"/>
        </w:rPr>
        <w:t xml:space="preserve"> </w:t>
      </w:r>
      <w:r>
        <w:t>1914,</w:t>
      </w:r>
      <w:r>
        <w:rPr>
          <w:spacing w:val="28"/>
        </w:rPr>
        <w:t xml:space="preserve"> </w:t>
      </w:r>
      <w:r>
        <w:t>1917,</w:t>
      </w:r>
      <w:r>
        <w:rPr>
          <w:spacing w:val="29"/>
        </w:rPr>
        <w:t xml:space="preserve"> </w:t>
      </w:r>
      <w:r>
        <w:t>1918,</w:t>
      </w:r>
      <w:r>
        <w:rPr>
          <w:spacing w:val="29"/>
        </w:rPr>
        <w:t xml:space="preserve"> </w:t>
      </w:r>
      <w:r>
        <w:t>1927,</w:t>
      </w:r>
      <w:r>
        <w:rPr>
          <w:spacing w:val="28"/>
        </w:rPr>
        <w:t xml:space="preserve"> </w:t>
      </w:r>
      <w:r>
        <w:t>1948)</w:t>
      </w:r>
      <w:r>
        <w:rPr>
          <w:spacing w:val="28"/>
        </w:rPr>
        <w:t xml:space="preserve"> </w:t>
      </w:r>
      <w:r>
        <w:t>did</w:t>
      </w:r>
      <w:r>
        <w:rPr>
          <w:spacing w:val="29"/>
        </w:rPr>
        <w:t xml:space="preserve"> </w:t>
      </w:r>
      <w:r>
        <w:rPr>
          <w:spacing w:val="-10"/>
        </w:rPr>
        <w:t>a</w:t>
      </w:r>
    </w:p>
    <w:p w14:paraId="7E002F86" w14:textId="77777777" w:rsidR="009A58DB" w:rsidRDefault="00000000">
      <w:pPr>
        <w:pStyle w:val="BodyText"/>
        <w:spacing w:before="15" w:line="285" w:lineRule="auto"/>
        <w:ind w:left="465" w:right="2223" w:firstLine="255"/>
        <w:jc w:val="left"/>
      </w:pPr>
      <w:r>
        <w:t>very</w:t>
      </w:r>
      <w:r>
        <w:rPr>
          <w:spacing w:val="-5"/>
        </w:rPr>
        <w:t xml:space="preserve"> </w:t>
      </w:r>
      <w:r>
        <w:t>good</w:t>
      </w:r>
      <w:r>
        <w:rPr>
          <w:spacing w:val="-5"/>
        </w:rPr>
        <w:t xml:space="preserve"> </w:t>
      </w:r>
      <w:r>
        <w:t>job</w:t>
      </w:r>
      <w:r>
        <w:rPr>
          <w:spacing w:val="-5"/>
        </w:rPr>
        <w:t xml:space="preserve"> </w:t>
      </w:r>
      <w:r>
        <w:t>of</w:t>
      </w:r>
      <w:r>
        <w:rPr>
          <w:spacing w:val="-6"/>
        </w:rPr>
        <w:t xml:space="preserve"> </w:t>
      </w:r>
      <w:r>
        <w:t>clarifying</w:t>
      </w:r>
      <w:r>
        <w:rPr>
          <w:spacing w:val="-5"/>
        </w:rPr>
        <w:t xml:space="preserve"> </w:t>
      </w:r>
      <w:r>
        <w:t>and</w:t>
      </w:r>
      <w:r>
        <w:rPr>
          <w:spacing w:val="-5"/>
        </w:rPr>
        <w:t xml:space="preserve"> </w:t>
      </w:r>
      <w:r>
        <w:t>developing</w:t>
      </w:r>
      <w:r>
        <w:rPr>
          <w:spacing w:val="-5"/>
        </w:rPr>
        <w:t xml:space="preserve"> </w:t>
      </w:r>
      <w:r>
        <w:t>this</w:t>
      </w:r>
      <w:r>
        <w:rPr>
          <w:spacing w:val="-6"/>
        </w:rPr>
        <w:t xml:space="preserve"> </w:t>
      </w:r>
      <w:r>
        <w:t xml:space="preserve">viewpoint. </w:t>
      </w:r>
      <w:bookmarkStart w:id="615" w:name="_bookmark615"/>
      <w:bookmarkEnd w:id="615"/>
      <w:r>
        <w:rPr>
          <w:color w:val="0562C1"/>
          <w:position w:val="22"/>
          <w:u w:val="single" w:color="0562C1"/>
        </w:rPr>
        <w:t>[8]</w:t>
      </w:r>
      <w:r>
        <w:t>. Russell (1903).</w:t>
      </w:r>
    </w:p>
    <w:p w14:paraId="7E002F87" w14:textId="77777777" w:rsidR="009A58DB" w:rsidRDefault="00000000">
      <w:pPr>
        <w:pStyle w:val="BodyText"/>
        <w:spacing w:line="280" w:lineRule="auto"/>
        <w:ind w:left="345" w:right="1340" w:firstLine="120"/>
        <w:jc w:val="left"/>
      </w:pPr>
      <w:bookmarkStart w:id="616" w:name="_bookmark616"/>
      <w:bookmarkEnd w:id="616"/>
      <w:r>
        <w:rPr>
          <w:color w:val="0562C1"/>
          <w:position w:val="22"/>
          <w:u w:val="single" w:color="0562C1"/>
        </w:rPr>
        <w:t>[9]</w:t>
      </w:r>
      <w:r>
        <w:t>.</w:t>
      </w:r>
      <w:r>
        <w:rPr>
          <w:spacing w:val="-3"/>
        </w:rPr>
        <w:t xml:space="preserve"> </w:t>
      </w:r>
      <w:r>
        <w:t>The</w:t>
      </w:r>
      <w:r>
        <w:rPr>
          <w:spacing w:val="-4"/>
        </w:rPr>
        <w:t xml:space="preserve"> </w:t>
      </w:r>
      <w:r>
        <w:t>argument</w:t>
      </w:r>
      <w:r>
        <w:rPr>
          <w:spacing w:val="-4"/>
        </w:rPr>
        <w:t xml:space="preserve"> </w:t>
      </w:r>
      <w:r>
        <w:t>about</w:t>
      </w:r>
      <w:r>
        <w:rPr>
          <w:spacing w:val="-4"/>
        </w:rPr>
        <w:t xml:space="preserve"> </w:t>
      </w:r>
      <w:r>
        <w:t>to</w:t>
      </w:r>
      <w:r>
        <w:rPr>
          <w:spacing w:val="-3"/>
        </w:rPr>
        <w:t xml:space="preserve"> </w:t>
      </w:r>
      <w:r>
        <w:t>be</w:t>
      </w:r>
      <w:r>
        <w:rPr>
          <w:spacing w:val="-4"/>
        </w:rPr>
        <w:t xml:space="preserve"> </w:t>
      </w:r>
      <w:r>
        <w:t>given</w:t>
      </w:r>
      <w:r>
        <w:rPr>
          <w:spacing w:val="-3"/>
        </w:rPr>
        <w:t xml:space="preserve"> </w:t>
      </w:r>
      <w:r>
        <w:t>was</w:t>
      </w:r>
      <w:r>
        <w:rPr>
          <w:spacing w:val="-4"/>
        </w:rPr>
        <w:t xml:space="preserve"> </w:t>
      </w:r>
      <w:r>
        <w:t>put</w:t>
      </w:r>
      <w:r>
        <w:rPr>
          <w:spacing w:val="-4"/>
        </w:rPr>
        <w:t xml:space="preserve"> </w:t>
      </w:r>
      <w:r>
        <w:t>forth</w:t>
      </w:r>
      <w:r>
        <w:rPr>
          <w:spacing w:val="-3"/>
        </w:rPr>
        <w:t xml:space="preserve"> </w:t>
      </w:r>
      <w:r>
        <w:t>by</w:t>
      </w:r>
      <w:r>
        <w:rPr>
          <w:spacing w:val="-3"/>
        </w:rPr>
        <w:t xml:space="preserve"> </w:t>
      </w:r>
      <w:r>
        <w:t>Russell</w:t>
      </w:r>
      <w:r>
        <w:rPr>
          <w:spacing w:val="-4"/>
        </w:rPr>
        <w:t xml:space="preserve"> </w:t>
      </w:r>
      <w:r>
        <w:t xml:space="preserve">(1920). </w:t>
      </w:r>
      <w:r>
        <w:rPr>
          <w:color w:val="0562C1"/>
          <w:position w:val="22"/>
          <w:u w:val="single" w:color="0562C1"/>
        </w:rPr>
        <w:t>[10]</w:t>
      </w:r>
      <w:r>
        <w:t xml:space="preserve">. See Pap (1949). Also see Carnap (1932) and Schlick (1934). </w:t>
      </w:r>
      <w:r>
        <w:rPr>
          <w:color w:val="0562C1"/>
          <w:position w:val="22"/>
          <w:u w:val="single" w:color="0562C1"/>
        </w:rPr>
        <w:t>[11]</w:t>
      </w:r>
      <w:r>
        <w:t>. “TP” is short for” “tall person.”</w:t>
      </w:r>
    </w:p>
    <w:p w14:paraId="7E002F88" w14:textId="77777777" w:rsidR="009A58DB" w:rsidRDefault="00000000">
      <w:pPr>
        <w:pStyle w:val="BodyText"/>
        <w:spacing w:line="285" w:lineRule="auto"/>
        <w:ind w:left="345" w:right="3145"/>
        <w:jc w:val="left"/>
      </w:pPr>
      <w:r>
        <w:rPr>
          <w:color w:val="0562C1"/>
          <w:position w:val="22"/>
          <w:u w:val="single" w:color="0562C1"/>
        </w:rPr>
        <w:t>[12]</w:t>
      </w:r>
      <w:r>
        <w:t>.</w:t>
      </w:r>
      <w:r>
        <w:rPr>
          <w:spacing w:val="-6"/>
        </w:rPr>
        <w:t xml:space="preserve"> </w:t>
      </w:r>
      <w:r>
        <w:t>Frege</w:t>
      </w:r>
      <w:r>
        <w:rPr>
          <w:spacing w:val="-6"/>
        </w:rPr>
        <w:t xml:space="preserve"> </w:t>
      </w:r>
      <w:r>
        <w:t>used</w:t>
      </w:r>
      <w:r>
        <w:rPr>
          <w:spacing w:val="-6"/>
        </w:rPr>
        <w:t xml:space="preserve"> </w:t>
      </w:r>
      <w:r>
        <w:t>the</w:t>
      </w:r>
      <w:r>
        <w:rPr>
          <w:spacing w:val="-6"/>
        </w:rPr>
        <w:t xml:space="preserve"> </w:t>
      </w:r>
      <w:r>
        <w:t>word</w:t>
      </w:r>
      <w:r>
        <w:rPr>
          <w:spacing w:val="-6"/>
        </w:rPr>
        <w:t xml:space="preserve"> </w:t>
      </w:r>
      <w:r>
        <w:t>“concept,”</w:t>
      </w:r>
      <w:r>
        <w:rPr>
          <w:spacing w:val="-6"/>
        </w:rPr>
        <w:t xml:space="preserve"> </w:t>
      </w:r>
      <w:r>
        <w:t>not”</w:t>
      </w:r>
      <w:r>
        <w:rPr>
          <w:spacing w:val="-7"/>
        </w:rPr>
        <w:t xml:space="preserve"> </w:t>
      </w:r>
      <w:r>
        <w:t xml:space="preserve">“property.” </w:t>
      </w:r>
      <w:r>
        <w:rPr>
          <w:color w:val="0562C1"/>
          <w:position w:val="22"/>
          <w:u w:val="single" w:color="0562C1"/>
        </w:rPr>
        <w:t>[13]</w:t>
      </w:r>
      <w:r>
        <w:t>. “LP” is short for “Larry perception.”</w:t>
      </w:r>
    </w:p>
    <w:p w14:paraId="7E002F89" w14:textId="77777777" w:rsidR="009A58DB" w:rsidRDefault="00000000">
      <w:pPr>
        <w:pStyle w:val="BodyText"/>
        <w:spacing w:line="564" w:lineRule="exact"/>
        <w:ind w:left="345"/>
        <w:jc w:val="left"/>
      </w:pPr>
      <w:r>
        <w:rPr>
          <w:color w:val="0562C1"/>
          <w:position w:val="22"/>
          <w:u w:val="single" w:color="0562C1"/>
        </w:rPr>
        <w:t>[14]</w:t>
      </w:r>
      <w:r>
        <w:t>.</w:t>
      </w:r>
      <w:r>
        <w:rPr>
          <w:spacing w:val="-3"/>
        </w:rPr>
        <w:t xml:space="preserve"> </w:t>
      </w:r>
      <w:r>
        <w:t>“LS”</w:t>
      </w:r>
      <w:r>
        <w:rPr>
          <w:spacing w:val="-3"/>
        </w:rPr>
        <w:t xml:space="preserve"> </w:t>
      </w:r>
      <w:r>
        <w:t>is</w:t>
      </w:r>
      <w:r>
        <w:rPr>
          <w:spacing w:val="-3"/>
        </w:rPr>
        <w:t xml:space="preserve"> </w:t>
      </w:r>
      <w:r>
        <w:t>short</w:t>
      </w:r>
      <w:r>
        <w:rPr>
          <w:spacing w:val="-4"/>
        </w:rPr>
        <w:t xml:space="preserve"> </w:t>
      </w:r>
      <w:r>
        <w:t>for</w:t>
      </w:r>
      <w:r>
        <w:rPr>
          <w:spacing w:val="-3"/>
        </w:rPr>
        <w:t xml:space="preserve"> </w:t>
      </w:r>
      <w:r>
        <w:t>“Larry</w:t>
      </w:r>
      <w:r>
        <w:rPr>
          <w:spacing w:val="-2"/>
        </w:rPr>
        <w:t xml:space="preserve"> sentence.”</w:t>
      </w:r>
    </w:p>
    <w:p w14:paraId="7E002F8A" w14:textId="77777777" w:rsidR="009A58DB" w:rsidRDefault="00000000">
      <w:pPr>
        <w:pStyle w:val="BodyText"/>
        <w:spacing w:before="38"/>
        <w:ind w:left="345"/>
        <w:jc w:val="left"/>
      </w:pPr>
      <w:r>
        <w:rPr>
          <w:color w:val="0562C1"/>
          <w:position w:val="22"/>
          <w:u w:val="single" w:color="0562C1"/>
        </w:rPr>
        <w:t>[15]</w:t>
      </w:r>
      <w:r>
        <w:t>.</w:t>
      </w:r>
      <w:r>
        <w:rPr>
          <w:spacing w:val="37"/>
        </w:rPr>
        <w:t xml:space="preserve"> </w:t>
      </w:r>
      <w:r>
        <w:t>An</w:t>
      </w:r>
      <w:r>
        <w:rPr>
          <w:spacing w:val="40"/>
        </w:rPr>
        <w:t xml:space="preserve"> </w:t>
      </w:r>
      <w:r>
        <w:t>expression</w:t>
      </w:r>
      <w:r>
        <w:rPr>
          <w:spacing w:val="40"/>
        </w:rPr>
        <w:t xml:space="preserve"> </w:t>
      </w:r>
      <w:r>
        <w:t>is”</w:t>
      </w:r>
      <w:r>
        <w:rPr>
          <w:spacing w:val="39"/>
        </w:rPr>
        <w:t xml:space="preserve"> </w:t>
      </w:r>
      <w:r>
        <w:t>“semantically</w:t>
      </w:r>
      <w:r>
        <w:rPr>
          <w:spacing w:val="40"/>
        </w:rPr>
        <w:t xml:space="preserve"> </w:t>
      </w:r>
      <w:r>
        <w:t>simple”</w:t>
      </w:r>
      <w:r>
        <w:rPr>
          <w:spacing w:val="40"/>
        </w:rPr>
        <w:t xml:space="preserve"> </w:t>
      </w:r>
      <w:r>
        <w:t>if</w:t>
      </w:r>
      <w:r>
        <w:rPr>
          <w:spacing w:val="40"/>
        </w:rPr>
        <w:t xml:space="preserve"> </w:t>
      </w:r>
      <w:r>
        <w:t>it</w:t>
      </w:r>
      <w:r>
        <w:rPr>
          <w:spacing w:val="39"/>
        </w:rPr>
        <w:t xml:space="preserve"> </w:t>
      </w:r>
      <w:r>
        <w:t>doesn’t</w:t>
      </w:r>
      <w:r>
        <w:rPr>
          <w:spacing w:val="40"/>
        </w:rPr>
        <w:t xml:space="preserve"> </w:t>
      </w:r>
      <w:r>
        <w:t>consist</w:t>
      </w:r>
      <w:r>
        <w:rPr>
          <w:spacing w:val="40"/>
        </w:rPr>
        <w:t xml:space="preserve"> </w:t>
      </w:r>
      <w:r>
        <w:t>of</w:t>
      </w:r>
      <w:r>
        <w:rPr>
          <w:spacing w:val="40"/>
        </w:rPr>
        <w:t xml:space="preserve"> </w:t>
      </w:r>
      <w:r>
        <w:rPr>
          <w:spacing w:val="-2"/>
        </w:rPr>
        <w:t>other</w:t>
      </w:r>
    </w:p>
    <w:p w14:paraId="7E002F8B" w14:textId="77777777" w:rsidR="009A58DB" w:rsidRDefault="009A58DB">
      <w:pPr>
        <w:pStyle w:val="BodyText"/>
        <w:jc w:val="left"/>
        <w:sectPr w:rsidR="009A58DB">
          <w:pgSz w:w="12240" w:h="15840"/>
          <w:pgMar w:top="1380" w:right="1080" w:bottom="280" w:left="1080" w:header="720" w:footer="720" w:gutter="0"/>
          <w:cols w:space="720"/>
        </w:sectPr>
      </w:pPr>
    </w:p>
    <w:p w14:paraId="7E002F8C" w14:textId="77777777" w:rsidR="009A58DB" w:rsidRDefault="00000000">
      <w:pPr>
        <w:pStyle w:val="BodyText"/>
        <w:spacing w:before="63" w:line="249" w:lineRule="auto"/>
        <w:ind w:left="720" w:right="370"/>
      </w:pPr>
      <w:r>
        <w:t>expressions. So” “the person in the cockpit at the time of the call” is semantically complex, but” “Socrates” and” “Larry” are not.</w:t>
      </w:r>
    </w:p>
    <w:p w14:paraId="7E002F8D" w14:textId="77777777" w:rsidR="009A58DB" w:rsidRDefault="00000000">
      <w:pPr>
        <w:spacing w:before="54" w:line="276" w:lineRule="auto"/>
        <w:ind w:left="345" w:right="794"/>
        <w:rPr>
          <w:i/>
          <w:sz w:val="30"/>
        </w:rPr>
      </w:pPr>
      <w:r>
        <w:rPr>
          <w:color w:val="0562C1"/>
          <w:position w:val="22"/>
          <w:sz w:val="30"/>
          <w:u w:val="single" w:color="0562C1"/>
        </w:rPr>
        <w:t>[16]</w:t>
      </w:r>
      <w:r>
        <w:rPr>
          <w:sz w:val="30"/>
        </w:rPr>
        <w:t>.</w:t>
      </w:r>
      <w:r>
        <w:rPr>
          <w:spacing w:val="-4"/>
          <w:sz w:val="30"/>
        </w:rPr>
        <w:t xml:space="preserve"> </w:t>
      </w:r>
      <w:r>
        <w:rPr>
          <w:sz w:val="30"/>
        </w:rPr>
        <w:t>See</w:t>
      </w:r>
      <w:r>
        <w:rPr>
          <w:spacing w:val="-5"/>
          <w:sz w:val="30"/>
        </w:rPr>
        <w:t xml:space="preserve"> </w:t>
      </w:r>
      <w:r>
        <w:rPr>
          <w:sz w:val="30"/>
        </w:rPr>
        <w:t>Russell</w:t>
      </w:r>
      <w:r>
        <w:rPr>
          <w:spacing w:val="-5"/>
          <w:sz w:val="30"/>
        </w:rPr>
        <w:t xml:space="preserve"> </w:t>
      </w:r>
      <w:r>
        <w:rPr>
          <w:sz w:val="30"/>
        </w:rPr>
        <w:t>(1917,</w:t>
      </w:r>
      <w:r>
        <w:rPr>
          <w:spacing w:val="-4"/>
          <w:sz w:val="30"/>
        </w:rPr>
        <w:t xml:space="preserve"> </w:t>
      </w:r>
      <w:r>
        <w:rPr>
          <w:sz w:val="30"/>
        </w:rPr>
        <w:t>Chapter</w:t>
      </w:r>
      <w:r>
        <w:rPr>
          <w:spacing w:val="-5"/>
          <w:sz w:val="30"/>
        </w:rPr>
        <w:t xml:space="preserve"> </w:t>
      </w:r>
      <w:r>
        <w:rPr>
          <w:sz w:val="30"/>
        </w:rPr>
        <w:t>X),</w:t>
      </w:r>
      <w:r>
        <w:rPr>
          <w:spacing w:val="-4"/>
          <w:sz w:val="30"/>
        </w:rPr>
        <w:t xml:space="preserve"> </w:t>
      </w:r>
      <w:r>
        <w:rPr>
          <w:sz w:val="30"/>
        </w:rPr>
        <w:t>Barwise</w:t>
      </w:r>
      <w:r>
        <w:rPr>
          <w:spacing w:val="-5"/>
          <w:sz w:val="30"/>
        </w:rPr>
        <w:t xml:space="preserve"> </w:t>
      </w:r>
      <w:r>
        <w:rPr>
          <w:sz w:val="30"/>
        </w:rPr>
        <w:t>(1983),</w:t>
      </w:r>
      <w:r>
        <w:rPr>
          <w:spacing w:val="-4"/>
          <w:sz w:val="30"/>
        </w:rPr>
        <w:t xml:space="preserve"> </w:t>
      </w:r>
      <w:r>
        <w:rPr>
          <w:sz w:val="30"/>
        </w:rPr>
        <w:t>Kuczynski</w:t>
      </w:r>
      <w:r>
        <w:rPr>
          <w:spacing w:val="-5"/>
          <w:sz w:val="30"/>
        </w:rPr>
        <w:t xml:space="preserve"> </w:t>
      </w:r>
      <w:r>
        <w:rPr>
          <w:sz w:val="30"/>
        </w:rPr>
        <w:t xml:space="preserve">(2007). </w:t>
      </w:r>
      <w:r>
        <w:rPr>
          <w:color w:val="0562C1"/>
          <w:position w:val="22"/>
          <w:sz w:val="30"/>
          <w:u w:val="single" w:color="0562C1"/>
        </w:rPr>
        <w:t>[17]</w:t>
      </w:r>
      <w:r>
        <w:rPr>
          <w:sz w:val="30"/>
        </w:rPr>
        <w:t xml:space="preserve">. See Brentano’s </w:t>
      </w:r>
      <w:r>
        <w:rPr>
          <w:i/>
          <w:sz w:val="30"/>
        </w:rPr>
        <w:t>Psychology from an Empirical Standpoint.</w:t>
      </w:r>
    </w:p>
    <w:p w14:paraId="7E002F8E" w14:textId="77777777" w:rsidR="009A58DB" w:rsidRDefault="00000000">
      <w:pPr>
        <w:pStyle w:val="BodyText"/>
        <w:spacing w:before="12" w:line="249" w:lineRule="auto"/>
        <w:ind w:left="720" w:hanging="375"/>
        <w:jc w:val="left"/>
      </w:pPr>
      <w:r>
        <w:rPr>
          <w:color w:val="0562C1"/>
          <w:position w:val="22"/>
          <w:u w:val="single" w:color="0562C1"/>
        </w:rPr>
        <w:t>[18]</w:t>
      </w:r>
      <w:r>
        <w:t>.</w:t>
      </w:r>
      <w:r>
        <w:rPr>
          <w:spacing w:val="39"/>
        </w:rPr>
        <w:t xml:space="preserve"> </w:t>
      </w:r>
      <w:r>
        <w:t>For</w:t>
      </w:r>
      <w:r>
        <w:rPr>
          <w:spacing w:val="39"/>
        </w:rPr>
        <w:t xml:space="preserve"> </w:t>
      </w:r>
      <w:r>
        <w:t>points</w:t>
      </w:r>
      <w:r>
        <w:rPr>
          <w:spacing w:val="39"/>
        </w:rPr>
        <w:t xml:space="preserve"> </w:t>
      </w:r>
      <w:r>
        <w:t>similar</w:t>
      </w:r>
      <w:r>
        <w:rPr>
          <w:spacing w:val="39"/>
        </w:rPr>
        <w:t xml:space="preserve"> </w:t>
      </w:r>
      <w:r>
        <w:t>to</w:t>
      </w:r>
      <w:r>
        <w:rPr>
          <w:spacing w:val="39"/>
        </w:rPr>
        <w:t xml:space="preserve"> </w:t>
      </w:r>
      <w:r>
        <w:t>those</w:t>
      </w:r>
      <w:r>
        <w:rPr>
          <w:spacing w:val="39"/>
        </w:rPr>
        <w:t xml:space="preserve"> </w:t>
      </w:r>
      <w:r>
        <w:t>just</w:t>
      </w:r>
      <w:r>
        <w:rPr>
          <w:spacing w:val="39"/>
        </w:rPr>
        <w:t xml:space="preserve"> </w:t>
      </w:r>
      <w:r>
        <w:t>made,</w:t>
      </w:r>
      <w:r>
        <w:rPr>
          <w:spacing w:val="39"/>
        </w:rPr>
        <w:t xml:space="preserve"> </w:t>
      </w:r>
      <w:r>
        <w:t>see</w:t>
      </w:r>
      <w:r>
        <w:rPr>
          <w:spacing w:val="39"/>
        </w:rPr>
        <w:t xml:space="preserve"> </w:t>
      </w:r>
      <w:r>
        <w:t>Russell</w:t>
      </w:r>
      <w:r>
        <w:rPr>
          <w:spacing w:val="39"/>
        </w:rPr>
        <w:t xml:space="preserve"> </w:t>
      </w:r>
      <w:r>
        <w:t>(1917,</w:t>
      </w:r>
      <w:r>
        <w:rPr>
          <w:spacing w:val="39"/>
        </w:rPr>
        <w:t xml:space="preserve"> </w:t>
      </w:r>
      <w:r>
        <w:t>Chapter</w:t>
      </w:r>
      <w:r>
        <w:rPr>
          <w:spacing w:val="39"/>
        </w:rPr>
        <w:t xml:space="preserve"> </w:t>
      </w:r>
      <w:r>
        <w:t>X), and Russell (1984).</w:t>
      </w:r>
    </w:p>
    <w:p w14:paraId="7E002F8F" w14:textId="77777777" w:rsidR="009A58DB" w:rsidRDefault="00000000">
      <w:pPr>
        <w:pStyle w:val="BodyText"/>
        <w:spacing w:before="32" w:line="249" w:lineRule="auto"/>
        <w:ind w:left="720" w:right="359"/>
      </w:pPr>
      <w:r>
        <w:t>Nathan</w:t>
      </w:r>
      <w:r>
        <w:rPr>
          <w:spacing w:val="-2"/>
        </w:rPr>
        <w:t xml:space="preserve"> </w:t>
      </w:r>
      <w:r>
        <w:t>Salmon</w:t>
      </w:r>
      <w:r>
        <w:rPr>
          <w:spacing w:val="-2"/>
        </w:rPr>
        <w:t xml:space="preserve"> </w:t>
      </w:r>
      <w:r>
        <w:t>holds</w:t>
      </w:r>
      <w:r>
        <w:rPr>
          <w:spacing w:val="-2"/>
        </w:rPr>
        <w:t xml:space="preserve"> </w:t>
      </w:r>
      <w:r>
        <w:t>that</w:t>
      </w:r>
      <w:r>
        <w:rPr>
          <w:spacing w:val="-2"/>
        </w:rPr>
        <w:t xml:space="preserve"> </w:t>
      </w:r>
      <w:r>
        <w:t>Bart</w:t>
      </w:r>
      <w:r>
        <w:rPr>
          <w:spacing w:val="-2"/>
        </w:rPr>
        <w:t xml:space="preserve"> </w:t>
      </w:r>
      <w:r>
        <w:t>Simpson,</w:t>
      </w:r>
      <w:r>
        <w:rPr>
          <w:spacing w:val="-2"/>
        </w:rPr>
        <w:t xml:space="preserve"> </w:t>
      </w:r>
      <w:r>
        <w:t>Zeus,</w:t>
      </w:r>
      <w:r>
        <w:rPr>
          <w:spacing w:val="-2"/>
        </w:rPr>
        <w:t xml:space="preserve"> </w:t>
      </w:r>
      <w:r>
        <w:t>etc.</w:t>
      </w:r>
      <w:r>
        <w:rPr>
          <w:spacing w:val="-2"/>
        </w:rPr>
        <w:t xml:space="preserve"> </w:t>
      </w:r>
      <w:r>
        <w:t>do</w:t>
      </w:r>
      <w:r>
        <w:rPr>
          <w:spacing w:val="-2"/>
        </w:rPr>
        <w:t xml:space="preserve"> </w:t>
      </w:r>
      <w:r>
        <w:t>exist.</w:t>
      </w:r>
      <w:r>
        <w:rPr>
          <w:spacing w:val="-2"/>
        </w:rPr>
        <w:t xml:space="preserve"> </w:t>
      </w:r>
      <w:r>
        <w:t>He</w:t>
      </w:r>
      <w:r>
        <w:rPr>
          <w:spacing w:val="-2"/>
        </w:rPr>
        <w:t xml:space="preserve"> </w:t>
      </w:r>
      <w:r>
        <w:t>holds</w:t>
      </w:r>
      <w:r>
        <w:rPr>
          <w:spacing w:val="-2"/>
        </w:rPr>
        <w:t xml:space="preserve"> </w:t>
      </w:r>
      <w:r>
        <w:t>that, in act, square circles and even primes greater than two exist. See Salmon (2005,</w:t>
      </w:r>
      <w:r>
        <w:rPr>
          <w:spacing w:val="-1"/>
        </w:rPr>
        <w:t xml:space="preserve"> </w:t>
      </w:r>
      <w:r>
        <w:t>Chapters</w:t>
      </w:r>
      <w:r>
        <w:rPr>
          <w:spacing w:val="-1"/>
        </w:rPr>
        <w:t xml:space="preserve"> </w:t>
      </w:r>
      <w:r>
        <w:t>1–3). Salmon’s</w:t>
      </w:r>
      <w:r>
        <w:rPr>
          <w:spacing w:val="-1"/>
        </w:rPr>
        <w:t xml:space="preserve"> </w:t>
      </w:r>
      <w:r>
        <w:t>view and</w:t>
      </w:r>
      <w:r>
        <w:rPr>
          <w:spacing w:val="-1"/>
        </w:rPr>
        <w:t xml:space="preserve"> </w:t>
      </w:r>
      <w:r>
        <w:t>his argument</w:t>
      </w:r>
      <w:r>
        <w:rPr>
          <w:spacing w:val="-1"/>
        </w:rPr>
        <w:t xml:space="preserve"> </w:t>
      </w:r>
      <w:r>
        <w:t>for it</w:t>
      </w:r>
      <w:r>
        <w:rPr>
          <w:spacing w:val="-1"/>
        </w:rPr>
        <w:t xml:space="preserve"> </w:t>
      </w:r>
      <w:r>
        <w:t>are discussed in Chapters 6, 8, and 9. It will be seen that they coincide very nearly with those of Brentano and Meinong.</w:t>
      </w:r>
    </w:p>
    <w:p w14:paraId="7E002F90" w14:textId="77777777" w:rsidR="009A58DB" w:rsidRDefault="00000000">
      <w:pPr>
        <w:pStyle w:val="BodyText"/>
        <w:spacing w:before="51" w:line="249" w:lineRule="auto"/>
        <w:ind w:left="720" w:right="359"/>
        <w:rPr>
          <w:i/>
        </w:rPr>
      </w:pPr>
      <w:r>
        <w:t xml:space="preserve">In fairness to Salmon, whose important work I urge all aspiring philosophers to study, I should point out that my criticisms of his viewpoints are heavily biased by my conviction that philosophical problems ought to be adjudicated through use of post-Fregean methods. For this reason, those criticisms should be taken </w:t>
      </w:r>
      <w:r>
        <w:rPr>
          <w:i/>
        </w:rPr>
        <w:t>cum grano salis.</w:t>
      </w:r>
    </w:p>
    <w:p w14:paraId="7E002F91" w14:textId="77777777" w:rsidR="009A58DB" w:rsidRDefault="00000000">
      <w:pPr>
        <w:pStyle w:val="BodyText"/>
        <w:spacing w:before="6" w:line="249" w:lineRule="auto"/>
        <w:ind w:left="720" w:right="358"/>
      </w:pPr>
      <w:r>
        <w:t>And there’s no denying that Salmon’s views have a certain consonanc</w:t>
      </w:r>
      <w:bookmarkStart w:id="617" w:name="_bookmark617"/>
      <w:bookmarkEnd w:id="617"/>
      <w:r>
        <w:t>e with common sense. Many of my students say that truth is subjective—that everyone has their own truth. If that position is right, then Bart Simpson</w:t>
      </w:r>
      <w:r>
        <w:rPr>
          <w:spacing w:val="-3"/>
        </w:rPr>
        <w:t xml:space="preserve"> </w:t>
      </w:r>
      <w:r>
        <w:t>and</w:t>
      </w:r>
      <w:r>
        <w:rPr>
          <w:spacing w:val="-3"/>
        </w:rPr>
        <w:t xml:space="preserve"> </w:t>
      </w:r>
      <w:r>
        <w:t>Fred</w:t>
      </w:r>
      <w:r>
        <w:rPr>
          <w:spacing w:val="-3"/>
        </w:rPr>
        <w:t xml:space="preserve"> </w:t>
      </w:r>
      <w:r>
        <w:t>Flintstone</w:t>
      </w:r>
      <w:r>
        <w:rPr>
          <w:spacing w:val="-4"/>
        </w:rPr>
        <w:t xml:space="preserve"> </w:t>
      </w:r>
      <w:r>
        <w:rPr>
          <w:i/>
        </w:rPr>
        <w:t>do</w:t>
      </w:r>
      <w:r>
        <w:rPr>
          <w:i/>
          <w:spacing w:val="-3"/>
        </w:rPr>
        <w:t xml:space="preserve"> </w:t>
      </w:r>
      <w:r>
        <w:t>exist. Their sentiments, I would guess, ar</w:t>
      </w:r>
      <w:bookmarkStart w:id="618" w:name="_bookmark618"/>
      <w:bookmarkEnd w:id="618"/>
      <w:r>
        <w:t>e more in alignment with Salmon’s views than they are with mine.</w:t>
      </w:r>
    </w:p>
    <w:p w14:paraId="7E002F92" w14:textId="77777777" w:rsidR="009A58DB" w:rsidRDefault="00000000">
      <w:pPr>
        <w:pStyle w:val="BodyText"/>
        <w:spacing w:before="52" w:line="249" w:lineRule="auto"/>
        <w:ind w:left="720" w:right="358"/>
      </w:pPr>
      <w:r>
        <w:t>Salmon also holds that there exist non-existent objects. (See Salmon 2005, Chapters 1–3.) For example, he holds that the sentence “Socrates was wise” is meaningful and, therefore, that there exists something that is its meaning. But he also holds that this very meaning doesn’t exist. And Salmon</w:t>
      </w:r>
      <w:r>
        <w:rPr>
          <w:spacing w:val="-2"/>
        </w:rPr>
        <w:t xml:space="preserve"> </w:t>
      </w:r>
      <w:r>
        <w:t>holds</w:t>
      </w:r>
      <w:r>
        <w:rPr>
          <w:spacing w:val="-1"/>
        </w:rPr>
        <w:t xml:space="preserve"> </w:t>
      </w:r>
      <w:r>
        <w:t>that</w:t>
      </w:r>
      <w:r>
        <w:rPr>
          <w:spacing w:val="-2"/>
        </w:rPr>
        <w:t xml:space="preserve"> </w:t>
      </w:r>
      <w:r>
        <w:t>one</w:t>
      </w:r>
      <w:r>
        <w:rPr>
          <w:spacing w:val="-1"/>
        </w:rPr>
        <w:t xml:space="preserve"> </w:t>
      </w:r>
      <w:r>
        <w:t>can</w:t>
      </w:r>
      <w:r>
        <w:rPr>
          <w:spacing w:val="-2"/>
        </w:rPr>
        <w:t xml:space="preserve"> </w:t>
      </w:r>
      <w:r>
        <w:t>rationally</w:t>
      </w:r>
      <w:r>
        <w:rPr>
          <w:spacing w:val="-1"/>
        </w:rPr>
        <w:t xml:space="preserve"> </w:t>
      </w:r>
      <w:r>
        <w:t>believe</w:t>
      </w:r>
      <w:r>
        <w:rPr>
          <w:spacing w:val="-1"/>
        </w:rPr>
        <w:t xml:space="preserve"> </w:t>
      </w:r>
      <w:r>
        <w:t>a</w:t>
      </w:r>
      <w:r>
        <w:rPr>
          <w:spacing w:val="-2"/>
        </w:rPr>
        <w:t xml:space="preserve"> </w:t>
      </w:r>
      <w:r>
        <w:t>proposition</w:t>
      </w:r>
      <w:r>
        <w:rPr>
          <w:spacing w:val="-1"/>
        </w:rPr>
        <w:t xml:space="preserve"> </w:t>
      </w:r>
      <w:r>
        <w:rPr>
          <w:i/>
        </w:rPr>
        <w:t>and</w:t>
      </w:r>
      <w:r>
        <w:rPr>
          <w:i/>
          <w:spacing w:val="-3"/>
        </w:rPr>
        <w:t xml:space="preserve"> </w:t>
      </w:r>
      <w:r>
        <w:t>its</w:t>
      </w:r>
      <w:r>
        <w:rPr>
          <w:spacing w:val="12"/>
        </w:rPr>
        <w:t xml:space="preserve"> </w:t>
      </w:r>
      <w:r>
        <w:rPr>
          <w:spacing w:val="-2"/>
        </w:rPr>
        <w:t>negation</w:t>
      </w:r>
    </w:p>
    <w:p w14:paraId="7E002F93" w14:textId="77777777" w:rsidR="009A58DB" w:rsidRDefault="00000000">
      <w:pPr>
        <w:pStyle w:val="BodyText"/>
        <w:spacing w:before="6" w:line="249" w:lineRule="auto"/>
        <w:ind w:left="720" w:right="363"/>
      </w:pPr>
      <w:r>
        <w:t xml:space="preserve">—that, for example, one can, without being irrational, believe </w:t>
      </w:r>
      <w:r>
        <w:rPr>
          <w:i/>
        </w:rPr>
        <w:t>Smith is i</w:t>
      </w:r>
      <w:bookmarkStart w:id="619" w:name="_bookmark619"/>
      <w:bookmarkEnd w:id="619"/>
      <w:r>
        <w:rPr>
          <w:i/>
        </w:rPr>
        <w:t xml:space="preserve">n Virginia </w:t>
      </w:r>
      <w:r>
        <w:t xml:space="preserve">and </w:t>
      </w:r>
      <w:r>
        <w:rPr>
          <w:i/>
        </w:rPr>
        <w:t>Smith is not in Virginia (since Smith is on the Moon</w:t>
      </w:r>
      <w:r>
        <w:t>) at the very same time. (See Salmon 2007, especially the chapter titled “Irrational belief.’) In Chapters 6, 8, and 9 we’ll discuss Salmon’s arguments for these views. But it’s a matter of secondary importance whether these positions of his are accurate. For should they turn out to be false, the</w:t>
      </w:r>
      <w:bookmarkStart w:id="620" w:name="_bookmark620"/>
      <w:bookmarkEnd w:id="620"/>
      <w:r>
        <w:t>y would,</w:t>
      </w:r>
      <w:r>
        <w:rPr>
          <w:spacing w:val="28"/>
        </w:rPr>
        <w:t xml:space="preserve"> </w:t>
      </w:r>
      <w:r>
        <w:t>for</w:t>
      </w:r>
      <w:r>
        <w:rPr>
          <w:spacing w:val="31"/>
        </w:rPr>
        <w:t xml:space="preserve"> </w:t>
      </w:r>
      <w:r>
        <w:t>that</w:t>
      </w:r>
      <w:r>
        <w:rPr>
          <w:spacing w:val="31"/>
        </w:rPr>
        <w:t xml:space="preserve"> </w:t>
      </w:r>
      <w:r>
        <w:t>very</w:t>
      </w:r>
      <w:r>
        <w:rPr>
          <w:spacing w:val="31"/>
        </w:rPr>
        <w:t xml:space="preserve"> </w:t>
      </w:r>
      <w:r>
        <w:t>reason,</w:t>
      </w:r>
      <w:r>
        <w:rPr>
          <w:spacing w:val="31"/>
        </w:rPr>
        <w:t xml:space="preserve"> </w:t>
      </w:r>
      <w:r>
        <w:t>be</w:t>
      </w:r>
      <w:r>
        <w:rPr>
          <w:spacing w:val="31"/>
        </w:rPr>
        <w:t xml:space="preserve"> </w:t>
      </w:r>
      <w:r>
        <w:t>true!</w:t>
      </w:r>
      <w:r>
        <w:rPr>
          <w:spacing w:val="31"/>
        </w:rPr>
        <w:t xml:space="preserve"> </w:t>
      </w:r>
      <w:r>
        <w:t>Remember</w:t>
      </w:r>
      <w:r>
        <w:rPr>
          <w:spacing w:val="31"/>
        </w:rPr>
        <w:t xml:space="preserve"> </w:t>
      </w:r>
      <w:r>
        <w:t>what</w:t>
      </w:r>
      <w:r>
        <w:rPr>
          <w:spacing w:val="31"/>
        </w:rPr>
        <w:t xml:space="preserve"> </w:t>
      </w:r>
      <w:r>
        <w:t>Salmon</w:t>
      </w:r>
      <w:r>
        <w:rPr>
          <w:spacing w:val="31"/>
        </w:rPr>
        <w:t xml:space="preserve"> </w:t>
      </w:r>
      <w:r>
        <w:t>is</w:t>
      </w:r>
      <w:r>
        <w:rPr>
          <w:spacing w:val="32"/>
        </w:rPr>
        <w:t xml:space="preserve"> </w:t>
      </w:r>
      <w:r>
        <w:rPr>
          <w:spacing w:val="-2"/>
        </w:rPr>
        <w:t>arguing</w:t>
      </w:r>
    </w:p>
    <w:p w14:paraId="7E002F9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F95" w14:textId="77777777" w:rsidR="009A58DB" w:rsidRDefault="00000000">
      <w:pPr>
        <w:pStyle w:val="BodyText"/>
        <w:spacing w:before="71" w:line="249" w:lineRule="auto"/>
        <w:ind w:left="720" w:right="364"/>
      </w:pPr>
      <w:r>
        <w:t xml:space="preserve">for: (i) the non-existent exists and (ii) it is sometimes rational believe </w:t>
      </w:r>
      <w:bookmarkStart w:id="621" w:name="_bookmark621"/>
      <w:bookmarkEnd w:id="621"/>
      <w:r>
        <w:t>P and not-P at the same time. The very fact of there being no good reasons</w:t>
      </w:r>
      <w:r>
        <w:rPr>
          <w:spacing w:val="40"/>
        </w:rPr>
        <w:t xml:space="preserve"> </w:t>
      </w:r>
      <w:r>
        <w:t xml:space="preserve">to accept (i) would entail that there </w:t>
      </w:r>
      <w:r>
        <w:rPr>
          <w:i/>
        </w:rPr>
        <w:t>did</w:t>
      </w:r>
      <w:r>
        <w:rPr>
          <w:i/>
          <w:spacing w:val="-2"/>
        </w:rPr>
        <w:t xml:space="preserve"> </w:t>
      </w:r>
      <w:r>
        <w:t>exist good reasons to accept it; an</w:t>
      </w:r>
      <w:bookmarkStart w:id="622" w:name="_bookmark622"/>
      <w:bookmarkEnd w:id="622"/>
      <w:r>
        <w:t>d the very fact of our having reason to reject (ii) would mean that, at least potentially, we had good reason to accept it. Thus, Salmon’s arguments, i</w:t>
      </w:r>
      <w:bookmarkStart w:id="623" w:name="_bookmark623"/>
      <w:bookmarkEnd w:id="623"/>
      <w:r>
        <w:t>f unsuccessful, are successful for that very reason, and they are therefore self-validating. One can only marvel at such intellectual virtuosity.</w:t>
      </w:r>
    </w:p>
    <w:p w14:paraId="7E002F96" w14:textId="77777777" w:rsidR="009A58DB" w:rsidRDefault="00000000">
      <w:pPr>
        <w:pStyle w:val="BodyText"/>
        <w:spacing w:before="47" w:line="249" w:lineRule="auto"/>
        <w:ind w:left="720" w:right="360"/>
      </w:pPr>
      <w:r>
        <w:t xml:space="preserve">But even if, by some remote chance, the non-existent </w:t>
      </w:r>
      <w:r>
        <w:rPr>
          <w:i/>
        </w:rPr>
        <w:t xml:space="preserve">does </w:t>
      </w:r>
      <w:r>
        <w:t>turn out to b</w:t>
      </w:r>
      <w:bookmarkStart w:id="624" w:name="_bookmark624"/>
      <w:bookmarkEnd w:id="624"/>
      <w:r>
        <w:t xml:space="preserve">e non-existent, and even if self-contradictory beliefs </w:t>
      </w:r>
      <w:r>
        <w:rPr>
          <w:i/>
        </w:rPr>
        <w:t xml:space="preserve">do </w:t>
      </w:r>
      <w:r>
        <w:t>turn out to be unreasonable ones—even if, I dare say, these strictly theoretica</w:t>
      </w:r>
      <w:bookmarkStart w:id="625" w:name="_bookmark625"/>
      <w:bookmarkEnd w:id="625"/>
      <w:r>
        <w:t>l possibilities should materialize, the very fact of Salmon’s having said otherwise is what is important. In saying that the non-existent exists and that the contradictory can be rationally accepted, Salmon is, it seems t</w:t>
      </w:r>
      <w:bookmarkStart w:id="626" w:name="_bookmark626"/>
      <w:bookmarkEnd w:id="626"/>
      <w:r>
        <w:t>o me, trying to break down rigid categories that hobble thought. His fascinating and daring views are like Zen koans, the purpose of which</w:t>
      </w:r>
      <w:r>
        <w:rPr>
          <w:spacing w:val="40"/>
        </w:rPr>
        <w:t xml:space="preserve"> </w:t>
      </w:r>
      <w:r>
        <w:t>isn’t so much to show one the truth, or to delineate truth-conducive methods of reasoning, as it is to rethink one’s views as to what it is that one is learning in learning the truth.</w:t>
      </w:r>
    </w:p>
    <w:p w14:paraId="7E002F97" w14:textId="77777777" w:rsidR="009A58DB" w:rsidRDefault="00000000">
      <w:pPr>
        <w:pStyle w:val="BodyText"/>
        <w:spacing w:before="49" w:line="249" w:lineRule="auto"/>
        <w:ind w:left="720" w:right="358" w:hanging="375"/>
      </w:pPr>
      <w:r>
        <w:rPr>
          <w:color w:val="0562C1"/>
          <w:position w:val="22"/>
          <w:u w:val="single" w:color="0562C1"/>
        </w:rPr>
        <w:t>[19]</w:t>
      </w:r>
      <w:r>
        <w:t>.</w:t>
      </w:r>
      <w:r>
        <w:rPr>
          <w:spacing w:val="-1"/>
        </w:rPr>
        <w:t xml:space="preserve"> </w:t>
      </w:r>
      <w:r>
        <w:t>This</w:t>
      </w:r>
      <w:r>
        <w:rPr>
          <w:spacing w:val="-1"/>
        </w:rPr>
        <w:t xml:space="preserve"> </w:t>
      </w:r>
      <w:r>
        <w:t>apt</w:t>
      </w:r>
      <w:r>
        <w:rPr>
          <w:spacing w:val="-1"/>
        </w:rPr>
        <w:t xml:space="preserve"> </w:t>
      </w:r>
      <w:r>
        <w:t>way</w:t>
      </w:r>
      <w:r>
        <w:rPr>
          <w:spacing w:val="-1"/>
        </w:rPr>
        <w:t xml:space="preserve"> </w:t>
      </w:r>
      <w:r>
        <w:t>of</w:t>
      </w:r>
      <w:r>
        <w:rPr>
          <w:spacing w:val="-1"/>
        </w:rPr>
        <w:t xml:space="preserve"> </w:t>
      </w:r>
      <w:r>
        <w:t>summing</w:t>
      </w:r>
      <w:r>
        <w:rPr>
          <w:spacing w:val="-1"/>
        </w:rPr>
        <w:t xml:space="preserve"> </w:t>
      </w:r>
      <w:r>
        <w:t>up</w:t>
      </w:r>
      <w:r>
        <w:rPr>
          <w:spacing w:val="-1"/>
        </w:rPr>
        <w:t xml:space="preserve"> </w:t>
      </w:r>
      <w:r>
        <w:t>special</w:t>
      </w:r>
      <w:r>
        <w:rPr>
          <w:spacing w:val="-1"/>
        </w:rPr>
        <w:t xml:space="preserve"> </w:t>
      </w:r>
      <w:r>
        <w:t>relativity</w:t>
      </w:r>
      <w:r>
        <w:rPr>
          <w:spacing w:val="-1"/>
        </w:rPr>
        <w:t xml:space="preserve"> </w:t>
      </w:r>
      <w:r>
        <w:t>is</w:t>
      </w:r>
      <w:r>
        <w:rPr>
          <w:spacing w:val="-1"/>
        </w:rPr>
        <w:t xml:space="preserve"> </w:t>
      </w:r>
      <w:r>
        <w:t>due</w:t>
      </w:r>
      <w:r>
        <w:rPr>
          <w:spacing w:val="-1"/>
        </w:rPr>
        <w:t xml:space="preserve"> </w:t>
      </w:r>
      <w:r>
        <w:t>to</w:t>
      </w:r>
      <w:r>
        <w:rPr>
          <w:spacing w:val="-1"/>
        </w:rPr>
        <w:t xml:space="preserve"> </w:t>
      </w:r>
      <w:r>
        <w:t>Howard</w:t>
      </w:r>
      <w:r>
        <w:rPr>
          <w:spacing w:val="-1"/>
        </w:rPr>
        <w:t xml:space="preserve"> </w:t>
      </w:r>
      <w:r>
        <w:t xml:space="preserve">Gardner </w:t>
      </w:r>
      <w:r>
        <w:rPr>
          <w:spacing w:val="-2"/>
        </w:rPr>
        <w:t>(1976).</w:t>
      </w:r>
    </w:p>
    <w:p w14:paraId="7E002F98" w14:textId="77777777" w:rsidR="009A58DB" w:rsidRDefault="00000000">
      <w:pPr>
        <w:pStyle w:val="BodyText"/>
        <w:spacing w:before="52" w:line="249" w:lineRule="auto"/>
        <w:ind w:left="720" w:right="357" w:hanging="375"/>
      </w:pPr>
      <w:r>
        <w:rPr>
          <w:color w:val="0562C1"/>
          <w:position w:val="22"/>
          <w:u w:val="single" w:color="0562C1"/>
        </w:rPr>
        <w:t>[20]</w:t>
      </w:r>
      <w:r>
        <w:t>. Empirical discoveries in psychology and physics do play a part in the dissolution of philosophical problems. But usually when some empirical discovery sheds light on a philosophical issue, it is by prompting philosophers</w:t>
      </w:r>
      <w:r>
        <w:rPr>
          <w:spacing w:val="-2"/>
        </w:rPr>
        <w:t xml:space="preserve"> </w:t>
      </w:r>
      <w:r>
        <w:t>to</w:t>
      </w:r>
      <w:r>
        <w:rPr>
          <w:spacing w:val="-1"/>
        </w:rPr>
        <w:t xml:space="preserve"> </w:t>
      </w:r>
      <w:r>
        <w:t>produce</w:t>
      </w:r>
      <w:r>
        <w:rPr>
          <w:spacing w:val="-1"/>
        </w:rPr>
        <w:t xml:space="preserve"> </w:t>
      </w:r>
      <w:r>
        <w:t>the</w:t>
      </w:r>
      <w:r>
        <w:rPr>
          <w:spacing w:val="-1"/>
        </w:rPr>
        <w:t xml:space="preserve"> </w:t>
      </w:r>
      <w:r>
        <w:t>relevant</w:t>
      </w:r>
      <w:r>
        <w:rPr>
          <w:spacing w:val="-2"/>
        </w:rPr>
        <w:t xml:space="preserve"> </w:t>
      </w:r>
      <w:r>
        <w:t>analytic</w:t>
      </w:r>
      <w:r>
        <w:rPr>
          <w:spacing w:val="-2"/>
        </w:rPr>
        <w:t xml:space="preserve"> </w:t>
      </w:r>
      <w:r>
        <w:t>knowledge.</w:t>
      </w:r>
      <w:r>
        <w:rPr>
          <w:spacing w:val="-1"/>
        </w:rPr>
        <w:t xml:space="preserve"> </w:t>
      </w:r>
      <w:r>
        <w:t>Certainly</w:t>
      </w:r>
      <w:r>
        <w:rPr>
          <w:spacing w:val="-1"/>
        </w:rPr>
        <w:t xml:space="preserve"> </w:t>
      </w:r>
      <w:r>
        <w:t>a</w:t>
      </w:r>
      <w:r>
        <w:rPr>
          <w:spacing w:val="-1"/>
        </w:rPr>
        <w:t xml:space="preserve"> </w:t>
      </w:r>
      <w:r>
        <w:t>lot</w:t>
      </w:r>
      <w:r>
        <w:rPr>
          <w:spacing w:val="-2"/>
        </w:rPr>
        <w:t xml:space="preserve"> </w:t>
      </w:r>
      <w:r>
        <w:t xml:space="preserve">of good philosophy was </w:t>
      </w:r>
      <w:r>
        <w:rPr>
          <w:i/>
        </w:rPr>
        <w:t xml:space="preserve">prompted </w:t>
      </w:r>
      <w:r>
        <w:t>by what Einstein and Freud had to say.</w:t>
      </w:r>
      <w:r>
        <w:rPr>
          <w:spacing w:val="40"/>
        </w:rPr>
        <w:t xml:space="preserve"> </w:t>
      </w:r>
      <w:r>
        <w:t>But the ensuing philosophical insights were ones that, theoretically, coul</w:t>
      </w:r>
      <w:bookmarkStart w:id="627" w:name="_bookmark627"/>
      <w:bookmarkEnd w:id="627"/>
      <w:r>
        <w:t>d have been arrived at independently of what they said.</w:t>
      </w:r>
    </w:p>
    <w:p w14:paraId="7E002F99" w14:textId="77777777" w:rsidR="009A58DB" w:rsidRDefault="00000000">
      <w:pPr>
        <w:pStyle w:val="BodyText"/>
        <w:spacing w:before="44" w:line="249" w:lineRule="auto"/>
        <w:ind w:left="720" w:right="358" w:hanging="375"/>
      </w:pPr>
      <w:r>
        <w:rPr>
          <w:color w:val="0562C1"/>
          <w:position w:val="22"/>
          <w:u w:val="single" w:color="0562C1"/>
        </w:rPr>
        <w:t>[21]</w:t>
      </w:r>
      <w:r>
        <w:t>. And Frege’s knowledge of the meanings of specific German sentences, while obviously empirical, wasn’t materially implicated in the points he was making. He could have made those points had he not known a wor</w:t>
      </w:r>
      <w:bookmarkStart w:id="628" w:name="_bookmark628"/>
      <w:bookmarkEnd w:id="628"/>
      <w:r>
        <w:t>d</w:t>
      </w:r>
      <w:r>
        <w:rPr>
          <w:spacing w:val="40"/>
        </w:rPr>
        <w:t xml:space="preserve"> </w:t>
      </w:r>
      <w:r>
        <w:t>of German and had been writing in, for example, Hindi or Spanish.</w:t>
      </w:r>
    </w:p>
    <w:p w14:paraId="7E002F9A" w14:textId="77777777" w:rsidR="009A58DB" w:rsidRDefault="00000000">
      <w:pPr>
        <w:pStyle w:val="BodyText"/>
        <w:spacing w:before="55"/>
        <w:ind w:left="345"/>
        <w:jc w:val="left"/>
      </w:pPr>
      <w:r>
        <w:rPr>
          <w:color w:val="0562C1"/>
          <w:position w:val="22"/>
          <w:u w:val="single" w:color="0562C1"/>
        </w:rPr>
        <w:t>[22]</w:t>
      </w:r>
      <w:r>
        <w:t>.</w:t>
      </w:r>
      <w:r>
        <w:rPr>
          <w:spacing w:val="-6"/>
        </w:rPr>
        <w:t xml:space="preserve"> </w:t>
      </w:r>
      <w:r>
        <w:t>Wittgenstein</w:t>
      </w:r>
      <w:r>
        <w:rPr>
          <w:spacing w:val="-5"/>
        </w:rPr>
        <w:t xml:space="preserve"> </w:t>
      </w:r>
      <w:r>
        <w:rPr>
          <w:spacing w:val="-2"/>
        </w:rPr>
        <w:t>(1958).</w:t>
      </w:r>
    </w:p>
    <w:p w14:paraId="7E002F9B" w14:textId="77777777" w:rsidR="009A58DB" w:rsidRDefault="009A58DB">
      <w:pPr>
        <w:pStyle w:val="BodyText"/>
        <w:jc w:val="left"/>
        <w:sectPr w:rsidR="009A58DB">
          <w:pgSz w:w="12240" w:h="15840"/>
          <w:pgMar w:top="1380" w:right="1080" w:bottom="280" w:left="1080" w:header="720" w:footer="720" w:gutter="0"/>
          <w:cols w:space="720"/>
        </w:sectPr>
      </w:pPr>
    </w:p>
    <w:p w14:paraId="7E002F9C" w14:textId="77777777" w:rsidR="009A58DB" w:rsidRDefault="00000000">
      <w:pPr>
        <w:pStyle w:val="BodyText"/>
        <w:spacing w:before="70"/>
        <w:ind w:left="345"/>
        <w:jc w:val="left"/>
      </w:pPr>
      <w:r>
        <w:rPr>
          <w:color w:val="0562C1"/>
          <w:position w:val="22"/>
          <w:u w:val="single" w:color="0562C1"/>
        </w:rPr>
        <w:t>[23]</w:t>
      </w:r>
      <w:r>
        <w:t>.</w:t>
      </w:r>
      <w:r>
        <w:rPr>
          <w:spacing w:val="-6"/>
        </w:rPr>
        <w:t xml:space="preserve"> </w:t>
      </w:r>
      <w:r>
        <w:t>Wittgenstein</w:t>
      </w:r>
      <w:r>
        <w:rPr>
          <w:spacing w:val="-5"/>
        </w:rPr>
        <w:t xml:space="preserve"> </w:t>
      </w:r>
      <w:r>
        <w:rPr>
          <w:spacing w:val="-2"/>
        </w:rPr>
        <w:t>(1922).</w:t>
      </w:r>
    </w:p>
    <w:p w14:paraId="7E002F9D" w14:textId="77777777" w:rsidR="009A58DB" w:rsidRDefault="00000000">
      <w:pPr>
        <w:pStyle w:val="BodyText"/>
        <w:spacing w:before="65"/>
        <w:ind w:left="345"/>
        <w:jc w:val="left"/>
      </w:pPr>
      <w:r>
        <w:rPr>
          <w:color w:val="0562C1"/>
          <w:position w:val="22"/>
          <w:u w:val="single" w:color="0562C1"/>
        </w:rPr>
        <w:t>[24]</w:t>
      </w:r>
      <w:r>
        <w:t>.</w:t>
      </w:r>
      <w:r>
        <w:rPr>
          <w:spacing w:val="-5"/>
        </w:rPr>
        <w:t xml:space="preserve"> </w:t>
      </w:r>
      <w:r>
        <w:t>Epistemology</w:t>
      </w:r>
      <w:r>
        <w:rPr>
          <w:spacing w:val="-2"/>
        </w:rPr>
        <w:t xml:space="preserve"> </w:t>
      </w:r>
      <w:r>
        <w:t>is</w:t>
      </w:r>
      <w:r>
        <w:rPr>
          <w:spacing w:val="-4"/>
        </w:rPr>
        <w:t xml:space="preserve"> </w:t>
      </w:r>
      <w:r>
        <w:t>the</w:t>
      </w:r>
      <w:r>
        <w:rPr>
          <w:spacing w:val="-3"/>
        </w:rPr>
        <w:t xml:space="preserve"> </w:t>
      </w:r>
      <w:r>
        <w:t>theory</w:t>
      </w:r>
      <w:r>
        <w:rPr>
          <w:spacing w:val="-2"/>
        </w:rPr>
        <w:t xml:space="preserve"> </w:t>
      </w:r>
      <w:r>
        <w:t>of</w:t>
      </w:r>
      <w:r>
        <w:rPr>
          <w:spacing w:val="-3"/>
        </w:rPr>
        <w:t xml:space="preserve"> </w:t>
      </w:r>
      <w:r>
        <w:rPr>
          <w:spacing w:val="-2"/>
        </w:rPr>
        <w:t>knowledge.</w:t>
      </w:r>
    </w:p>
    <w:p w14:paraId="7E002F9E" w14:textId="77777777" w:rsidR="009A58DB" w:rsidRDefault="00000000">
      <w:pPr>
        <w:spacing w:before="50"/>
        <w:ind w:left="345"/>
        <w:rPr>
          <w:sz w:val="30"/>
        </w:rPr>
      </w:pPr>
      <w:r>
        <w:rPr>
          <w:color w:val="0562C1"/>
          <w:position w:val="22"/>
          <w:sz w:val="30"/>
          <w:u w:val="single" w:color="0562C1"/>
        </w:rPr>
        <w:t>[25]</w:t>
      </w:r>
      <w:r>
        <w:rPr>
          <w:sz w:val="30"/>
        </w:rPr>
        <w:t>.</w:t>
      </w:r>
      <w:r>
        <w:rPr>
          <w:spacing w:val="56"/>
          <w:sz w:val="30"/>
        </w:rPr>
        <w:t xml:space="preserve"> </w:t>
      </w:r>
      <w:r>
        <w:rPr>
          <w:sz w:val="30"/>
        </w:rPr>
        <w:t>See</w:t>
      </w:r>
      <w:r>
        <w:rPr>
          <w:spacing w:val="58"/>
          <w:sz w:val="30"/>
        </w:rPr>
        <w:t xml:space="preserve"> </w:t>
      </w:r>
      <w:r>
        <w:rPr>
          <w:sz w:val="30"/>
        </w:rPr>
        <w:t>Fodor’s</w:t>
      </w:r>
      <w:r>
        <w:rPr>
          <w:spacing w:val="57"/>
          <w:sz w:val="30"/>
        </w:rPr>
        <w:t xml:space="preserve"> </w:t>
      </w:r>
      <w:r>
        <w:rPr>
          <w:sz w:val="30"/>
        </w:rPr>
        <w:t>(1990)</w:t>
      </w:r>
      <w:r>
        <w:rPr>
          <w:spacing w:val="58"/>
          <w:sz w:val="30"/>
        </w:rPr>
        <w:t xml:space="preserve"> </w:t>
      </w:r>
      <w:r>
        <w:rPr>
          <w:sz w:val="30"/>
        </w:rPr>
        <w:t>book</w:t>
      </w:r>
      <w:r>
        <w:rPr>
          <w:spacing w:val="58"/>
          <w:sz w:val="30"/>
        </w:rPr>
        <w:t xml:space="preserve"> </w:t>
      </w:r>
      <w:r>
        <w:rPr>
          <w:i/>
          <w:sz w:val="30"/>
        </w:rPr>
        <w:t>A</w:t>
      </w:r>
      <w:r>
        <w:rPr>
          <w:i/>
          <w:spacing w:val="58"/>
          <w:sz w:val="30"/>
        </w:rPr>
        <w:t xml:space="preserve"> </w:t>
      </w:r>
      <w:r>
        <w:rPr>
          <w:i/>
          <w:sz w:val="30"/>
        </w:rPr>
        <w:t>Theory</w:t>
      </w:r>
      <w:r>
        <w:rPr>
          <w:i/>
          <w:spacing w:val="58"/>
          <w:sz w:val="30"/>
        </w:rPr>
        <w:t xml:space="preserve"> </w:t>
      </w:r>
      <w:r>
        <w:rPr>
          <w:i/>
          <w:sz w:val="30"/>
        </w:rPr>
        <w:t>of</w:t>
      </w:r>
      <w:r>
        <w:rPr>
          <w:i/>
          <w:spacing w:val="57"/>
          <w:sz w:val="30"/>
        </w:rPr>
        <w:t xml:space="preserve"> </w:t>
      </w:r>
      <w:r>
        <w:rPr>
          <w:i/>
          <w:sz w:val="30"/>
        </w:rPr>
        <w:t>Content</w:t>
      </w:r>
      <w:r>
        <w:rPr>
          <w:i/>
          <w:spacing w:val="58"/>
          <w:sz w:val="30"/>
        </w:rPr>
        <w:t xml:space="preserve"> </w:t>
      </w:r>
      <w:r>
        <w:rPr>
          <w:sz w:val="30"/>
        </w:rPr>
        <w:t>and</w:t>
      </w:r>
      <w:r>
        <w:rPr>
          <w:spacing w:val="62"/>
          <w:sz w:val="30"/>
        </w:rPr>
        <w:t xml:space="preserve"> </w:t>
      </w:r>
      <w:r>
        <w:rPr>
          <w:sz w:val="30"/>
        </w:rPr>
        <w:t>his</w:t>
      </w:r>
      <w:r>
        <w:rPr>
          <w:spacing w:val="63"/>
          <w:sz w:val="30"/>
        </w:rPr>
        <w:t xml:space="preserve"> </w:t>
      </w:r>
      <w:r>
        <w:rPr>
          <w:sz w:val="30"/>
        </w:rPr>
        <w:t>(1998)</w:t>
      </w:r>
      <w:r>
        <w:rPr>
          <w:spacing w:val="64"/>
          <w:sz w:val="30"/>
        </w:rPr>
        <w:t xml:space="preserve"> </w:t>
      </w:r>
      <w:r>
        <w:rPr>
          <w:spacing w:val="-4"/>
          <w:sz w:val="30"/>
        </w:rPr>
        <w:t>boo</w:t>
      </w:r>
      <w:bookmarkStart w:id="629" w:name="_bookmark629"/>
      <w:bookmarkStart w:id="630" w:name="_bookmark630"/>
      <w:bookmarkEnd w:id="629"/>
      <w:bookmarkEnd w:id="630"/>
      <w:r>
        <w:rPr>
          <w:spacing w:val="-4"/>
          <w:sz w:val="30"/>
        </w:rPr>
        <w:t>k</w:t>
      </w:r>
    </w:p>
    <w:p w14:paraId="7E002F9F" w14:textId="77777777" w:rsidR="009A58DB" w:rsidRDefault="00000000">
      <w:pPr>
        <w:spacing w:before="15"/>
        <w:ind w:left="720"/>
        <w:rPr>
          <w:i/>
          <w:sz w:val="30"/>
        </w:rPr>
      </w:pPr>
      <w:r>
        <w:rPr>
          <w:i/>
          <w:spacing w:val="-2"/>
          <w:sz w:val="30"/>
        </w:rPr>
        <w:t>Concepts.</w:t>
      </w:r>
    </w:p>
    <w:p w14:paraId="7E002FA0" w14:textId="77777777" w:rsidR="009A58DB" w:rsidRDefault="00000000">
      <w:pPr>
        <w:spacing w:before="65" w:line="249" w:lineRule="auto"/>
        <w:ind w:left="720" w:right="364" w:hanging="375"/>
        <w:jc w:val="both"/>
        <w:rPr>
          <w:i/>
          <w:sz w:val="30"/>
        </w:rPr>
      </w:pPr>
      <w:r>
        <w:rPr>
          <w:color w:val="0562C1"/>
          <w:position w:val="22"/>
          <w:sz w:val="30"/>
          <w:u w:val="single" w:color="0562C1"/>
        </w:rPr>
        <w:t>[26]</w:t>
      </w:r>
      <w:r>
        <w:rPr>
          <w:sz w:val="30"/>
        </w:rPr>
        <w:t xml:space="preserve">. See my (2007) book </w:t>
      </w:r>
      <w:r>
        <w:rPr>
          <w:i/>
          <w:sz w:val="30"/>
        </w:rPr>
        <w:t>Conceptual Atomism and the Computational Theory of Mind.</w:t>
      </w:r>
    </w:p>
    <w:p w14:paraId="7E002FA1" w14:textId="77777777" w:rsidR="009A58DB" w:rsidRDefault="00000000">
      <w:pPr>
        <w:pStyle w:val="BodyText"/>
        <w:spacing w:before="37" w:line="249" w:lineRule="auto"/>
        <w:ind w:left="720" w:right="371" w:hanging="375"/>
      </w:pPr>
      <w:r>
        <w:rPr>
          <w:color w:val="0562C1"/>
          <w:position w:val="22"/>
          <w:u w:val="single" w:color="0562C1"/>
        </w:rPr>
        <w:t>[27]</w:t>
      </w:r>
      <w:r>
        <w:t>. Although this position is not as popular as Fodor’s, I am not alone i</w:t>
      </w:r>
      <w:bookmarkStart w:id="631" w:name="_bookmark631"/>
      <w:bookmarkEnd w:id="631"/>
      <w:r>
        <w:t>n holding it. For example, Laurence Bonjour (1998) holds it.</w:t>
      </w:r>
    </w:p>
    <w:p w14:paraId="7E002FA2" w14:textId="77777777" w:rsidR="009A58DB" w:rsidRDefault="00000000">
      <w:pPr>
        <w:pStyle w:val="BodyText"/>
        <w:spacing w:before="53" w:line="249" w:lineRule="auto"/>
        <w:ind w:left="720" w:right="358" w:hanging="375"/>
      </w:pPr>
      <w:r>
        <w:rPr>
          <w:color w:val="0562C1"/>
          <w:position w:val="22"/>
          <w:u w:val="single" w:color="0562C1"/>
        </w:rPr>
        <w:t>[28]</w:t>
      </w:r>
      <w:r>
        <w:t>. Actually, Quine, in his paper “Epistemology Naturalized,” said that epistemological</w:t>
      </w:r>
      <w:r>
        <w:rPr>
          <w:spacing w:val="-2"/>
        </w:rPr>
        <w:t xml:space="preserve"> </w:t>
      </w:r>
      <w:r>
        <w:t>questions</w:t>
      </w:r>
      <w:r>
        <w:rPr>
          <w:spacing w:val="-1"/>
        </w:rPr>
        <w:t xml:space="preserve"> </w:t>
      </w:r>
      <w:r>
        <w:t>are</w:t>
      </w:r>
      <w:r>
        <w:rPr>
          <w:spacing w:val="-1"/>
        </w:rPr>
        <w:t xml:space="preserve"> </w:t>
      </w:r>
      <w:r>
        <w:t>not</w:t>
      </w:r>
      <w:r>
        <w:rPr>
          <w:spacing w:val="-1"/>
        </w:rPr>
        <w:t xml:space="preserve"> </w:t>
      </w:r>
      <w:r>
        <w:t>to</w:t>
      </w:r>
      <w:r>
        <w:rPr>
          <w:spacing w:val="-1"/>
        </w:rPr>
        <w:t xml:space="preserve"> </w:t>
      </w:r>
      <w:r>
        <w:t>be</w:t>
      </w:r>
      <w:r>
        <w:rPr>
          <w:spacing w:val="-1"/>
        </w:rPr>
        <w:t xml:space="preserve"> </w:t>
      </w:r>
      <w:r>
        <w:t>answered</w:t>
      </w:r>
      <w:r>
        <w:rPr>
          <w:spacing w:val="-1"/>
        </w:rPr>
        <w:t xml:space="preserve"> </w:t>
      </w:r>
      <w:r>
        <w:t>in</w:t>
      </w:r>
      <w:r>
        <w:rPr>
          <w:spacing w:val="-1"/>
        </w:rPr>
        <w:t xml:space="preserve"> </w:t>
      </w:r>
      <w:r>
        <w:t>this</w:t>
      </w:r>
      <w:r>
        <w:rPr>
          <w:spacing w:val="-1"/>
        </w:rPr>
        <w:t xml:space="preserve"> </w:t>
      </w:r>
      <w:r>
        <w:t>way,</w:t>
      </w:r>
      <w:r>
        <w:rPr>
          <w:spacing w:val="-1"/>
        </w:rPr>
        <w:t xml:space="preserve"> </w:t>
      </w:r>
      <w:r>
        <w:t>and</w:t>
      </w:r>
      <w:r>
        <w:rPr>
          <w:spacing w:val="-1"/>
        </w:rPr>
        <w:t xml:space="preserve"> </w:t>
      </w:r>
      <w:r>
        <w:t>are</w:t>
      </w:r>
      <w:r>
        <w:rPr>
          <w:spacing w:val="-1"/>
        </w:rPr>
        <w:t xml:space="preserve"> </w:t>
      </w:r>
      <w:r>
        <w:t>to</w:t>
      </w:r>
      <w:r>
        <w:rPr>
          <w:spacing w:val="-1"/>
        </w:rPr>
        <w:t xml:space="preserve"> </w:t>
      </w:r>
      <w:r>
        <w:t>be answered in the same way as scientific questions; e.g., “what is the</w:t>
      </w:r>
      <w:r>
        <w:rPr>
          <w:spacing w:val="40"/>
        </w:rPr>
        <w:t xml:space="preserve"> </w:t>
      </w:r>
      <w:r>
        <w:t>Moon’s chemical composition?” There are two points to make here. Firs</w:t>
      </w:r>
      <w:bookmarkStart w:id="632" w:name="_bookmark632"/>
      <w:bookmarkEnd w:id="632"/>
      <w:r>
        <w:t>t of all, even though Quine was an analytic philosopher by trade, it doesn’t follow that all of his views were those of an analytic philosopher; and in this</w:t>
      </w:r>
      <w:r>
        <w:rPr>
          <w:spacing w:val="-3"/>
        </w:rPr>
        <w:t xml:space="preserve"> </w:t>
      </w:r>
      <w:r>
        <w:t>context,</w:t>
      </w:r>
      <w:r>
        <w:rPr>
          <w:spacing w:val="-2"/>
        </w:rPr>
        <w:t xml:space="preserve"> </w:t>
      </w:r>
      <w:r>
        <w:t>I</w:t>
      </w:r>
      <w:r>
        <w:rPr>
          <w:spacing w:val="-3"/>
        </w:rPr>
        <w:t xml:space="preserve"> </w:t>
      </w:r>
      <w:r>
        <w:t>would</w:t>
      </w:r>
      <w:r>
        <w:rPr>
          <w:spacing w:val="-2"/>
        </w:rPr>
        <w:t xml:space="preserve"> </w:t>
      </w:r>
      <w:r>
        <w:t>suggest,</w:t>
      </w:r>
      <w:r>
        <w:rPr>
          <w:spacing w:val="-2"/>
        </w:rPr>
        <w:t xml:space="preserve"> </w:t>
      </w:r>
      <w:r>
        <w:t>he</w:t>
      </w:r>
      <w:r>
        <w:rPr>
          <w:spacing w:val="-3"/>
        </w:rPr>
        <w:t xml:space="preserve"> </w:t>
      </w:r>
      <w:r>
        <w:t>was</w:t>
      </w:r>
      <w:r>
        <w:rPr>
          <w:spacing w:val="-3"/>
        </w:rPr>
        <w:t xml:space="preserve"> </w:t>
      </w:r>
      <w:r>
        <w:t>not</w:t>
      </w:r>
      <w:r>
        <w:rPr>
          <w:spacing w:val="-3"/>
        </w:rPr>
        <w:t xml:space="preserve"> </w:t>
      </w:r>
      <w:r>
        <w:t>being</w:t>
      </w:r>
      <w:r>
        <w:rPr>
          <w:spacing w:val="-2"/>
        </w:rPr>
        <w:t xml:space="preserve"> </w:t>
      </w:r>
      <w:r>
        <w:t>an</w:t>
      </w:r>
      <w:r>
        <w:rPr>
          <w:spacing w:val="-2"/>
        </w:rPr>
        <w:t xml:space="preserve"> </w:t>
      </w:r>
      <w:r>
        <w:t>analytic</w:t>
      </w:r>
      <w:r>
        <w:rPr>
          <w:spacing w:val="-3"/>
        </w:rPr>
        <w:t xml:space="preserve"> </w:t>
      </w:r>
      <w:r>
        <w:t>philosopher.</w:t>
      </w:r>
      <w:r>
        <w:rPr>
          <w:spacing w:val="-2"/>
        </w:rPr>
        <w:t xml:space="preserve"> </w:t>
      </w:r>
      <w:r>
        <w:t>He was being an opponent of analytic philosophy. Second, Quine’s view is incoherent. Natural science is based on empirical observation. Empirical observation cannot tell you that it itself is a source of knowledge. Therefore,</w:t>
      </w:r>
      <w:r>
        <w:rPr>
          <w:spacing w:val="-2"/>
        </w:rPr>
        <w:t xml:space="preserve"> </w:t>
      </w:r>
      <w:r>
        <w:t>it</w:t>
      </w:r>
      <w:r>
        <w:rPr>
          <w:spacing w:val="-2"/>
        </w:rPr>
        <w:t xml:space="preserve"> </w:t>
      </w:r>
      <w:r>
        <w:t>cannot</w:t>
      </w:r>
      <w:r>
        <w:rPr>
          <w:spacing w:val="-2"/>
        </w:rPr>
        <w:t xml:space="preserve"> </w:t>
      </w:r>
      <w:r>
        <w:t>be</w:t>
      </w:r>
      <w:r>
        <w:rPr>
          <w:spacing w:val="-2"/>
        </w:rPr>
        <w:t xml:space="preserve"> </w:t>
      </w:r>
      <w:r>
        <w:t>known</w:t>
      </w:r>
      <w:r>
        <w:rPr>
          <w:spacing w:val="-2"/>
        </w:rPr>
        <w:t xml:space="preserve"> </w:t>
      </w:r>
      <w:r>
        <w:t>through</w:t>
      </w:r>
      <w:r>
        <w:rPr>
          <w:spacing w:val="-2"/>
        </w:rPr>
        <w:t xml:space="preserve"> </w:t>
      </w:r>
      <w:r>
        <w:t>natural</w:t>
      </w:r>
      <w:r>
        <w:rPr>
          <w:spacing w:val="-2"/>
        </w:rPr>
        <w:t xml:space="preserve"> </w:t>
      </w:r>
      <w:r>
        <w:t>science</w:t>
      </w:r>
      <w:r>
        <w:rPr>
          <w:spacing w:val="-2"/>
        </w:rPr>
        <w:t xml:space="preserve"> </w:t>
      </w:r>
      <w:r>
        <w:t>that</w:t>
      </w:r>
      <w:r>
        <w:rPr>
          <w:spacing w:val="-2"/>
        </w:rPr>
        <w:t xml:space="preserve"> </w:t>
      </w:r>
      <w:r>
        <w:t>observation</w:t>
      </w:r>
      <w:r>
        <w:rPr>
          <w:spacing w:val="-2"/>
        </w:rPr>
        <w:t xml:space="preserve"> </w:t>
      </w:r>
      <w:r>
        <w:t>is</w:t>
      </w:r>
      <w:r>
        <w:rPr>
          <w:spacing w:val="-2"/>
        </w:rPr>
        <w:t xml:space="preserve"> </w:t>
      </w:r>
      <w:r>
        <w:t>a source of knowledge, and it must there-fore be known in some non-empirical, and therefore non-scientific, manner. Jaegwon Kim (1993) makes a similar point.</w:t>
      </w:r>
    </w:p>
    <w:p w14:paraId="7E002FA3" w14:textId="77777777" w:rsidR="009A58DB" w:rsidRDefault="00000000">
      <w:pPr>
        <w:pStyle w:val="BodyText"/>
        <w:spacing w:before="67" w:line="249" w:lineRule="auto"/>
        <w:ind w:left="720" w:right="359" w:hanging="375"/>
      </w:pPr>
      <w:r>
        <w:rPr>
          <w:color w:val="0562C1"/>
          <w:position w:val="22"/>
          <w:u w:val="single" w:color="0562C1"/>
        </w:rPr>
        <w:t>[29]</w:t>
      </w:r>
      <w:r>
        <w:t>. Incidentally, the very fact that JK is to be adjudicated in a non-observational manner shows that JK is false. Supposing JK correct, the</w:t>
      </w:r>
      <w:r>
        <w:rPr>
          <w:spacing w:val="40"/>
        </w:rPr>
        <w:t xml:space="preserve"> </w:t>
      </w:r>
      <w:r>
        <w:t>fact it describes is that one statement is inconsistent with another; and that fact is obviously causally inert, that being why it cannot be observed.</w:t>
      </w:r>
    </w:p>
    <w:p w14:paraId="7E002FA4" w14:textId="77777777" w:rsidR="009A58DB" w:rsidRDefault="00000000">
      <w:pPr>
        <w:spacing w:before="40" w:line="249" w:lineRule="auto"/>
        <w:ind w:left="720" w:right="362" w:hanging="375"/>
        <w:jc w:val="both"/>
        <w:rPr>
          <w:sz w:val="30"/>
        </w:rPr>
      </w:pPr>
      <w:r>
        <w:rPr>
          <w:color w:val="0562C1"/>
          <w:position w:val="22"/>
          <w:sz w:val="30"/>
          <w:u w:val="single" w:color="0562C1"/>
        </w:rPr>
        <w:t>[30]</w:t>
      </w:r>
      <w:r>
        <w:rPr>
          <w:sz w:val="30"/>
        </w:rPr>
        <w:t xml:space="preserve">. In this context, the word “sentence” will stand for both </w:t>
      </w:r>
      <w:r>
        <w:rPr>
          <w:b/>
          <w:i/>
          <w:sz w:val="30"/>
        </w:rPr>
        <w:t>sentence-type</w:t>
      </w:r>
      <w:bookmarkStart w:id="633" w:name="_bookmark633"/>
      <w:bookmarkEnd w:id="633"/>
      <w:r>
        <w:rPr>
          <w:b/>
          <w:i/>
          <w:sz w:val="30"/>
        </w:rPr>
        <w:t xml:space="preserve">s </w:t>
      </w:r>
      <w:r>
        <w:rPr>
          <w:sz w:val="30"/>
        </w:rPr>
        <w:t xml:space="preserve">and </w:t>
      </w:r>
      <w:r>
        <w:rPr>
          <w:b/>
          <w:i/>
          <w:sz w:val="30"/>
        </w:rPr>
        <w:t xml:space="preserve">sentence-tokens; </w:t>
      </w:r>
      <w:r>
        <w:rPr>
          <w:sz w:val="30"/>
        </w:rPr>
        <w:t xml:space="preserve">i.e., for sentences </w:t>
      </w:r>
      <w:r>
        <w:rPr>
          <w:i/>
          <w:sz w:val="30"/>
        </w:rPr>
        <w:t xml:space="preserve">per se </w:t>
      </w:r>
      <w:r>
        <w:rPr>
          <w:sz w:val="30"/>
        </w:rPr>
        <w:t>and also for people’s utterances and inscriptions of them.</w:t>
      </w:r>
    </w:p>
    <w:p w14:paraId="7E002FA5" w14:textId="77777777" w:rsidR="009A58DB" w:rsidRDefault="009A58DB">
      <w:pPr>
        <w:spacing w:line="249" w:lineRule="auto"/>
        <w:jc w:val="both"/>
        <w:rPr>
          <w:sz w:val="30"/>
        </w:rPr>
        <w:sectPr w:rsidR="009A58DB">
          <w:pgSz w:w="12240" w:h="15840"/>
          <w:pgMar w:top="1380" w:right="1080" w:bottom="280" w:left="1080" w:header="720" w:footer="720" w:gutter="0"/>
          <w:cols w:space="720"/>
        </w:sectPr>
      </w:pPr>
    </w:p>
    <w:p w14:paraId="7E002FA6" w14:textId="77777777" w:rsidR="009A58DB" w:rsidRDefault="00000000">
      <w:pPr>
        <w:pStyle w:val="BodyText"/>
        <w:spacing w:before="70"/>
        <w:ind w:left="345"/>
        <w:jc w:val="left"/>
      </w:pPr>
      <w:r>
        <w:rPr>
          <w:color w:val="0562C1"/>
          <w:position w:val="22"/>
          <w:u w:val="single" w:color="0562C1"/>
        </w:rPr>
        <w:t>[31]</w:t>
      </w:r>
      <w:r>
        <w:t>.</w:t>
      </w:r>
      <w:r>
        <w:rPr>
          <w:spacing w:val="-3"/>
        </w:rPr>
        <w:t xml:space="preserve"> </w:t>
      </w:r>
      <w:r>
        <w:t>See</w:t>
      </w:r>
      <w:r>
        <w:rPr>
          <w:spacing w:val="-3"/>
        </w:rPr>
        <w:t xml:space="preserve"> </w:t>
      </w:r>
      <w:r>
        <w:t>Frege</w:t>
      </w:r>
      <w:r>
        <w:rPr>
          <w:spacing w:val="-3"/>
        </w:rPr>
        <w:t xml:space="preserve"> </w:t>
      </w:r>
      <w:r>
        <w:rPr>
          <w:spacing w:val="-2"/>
        </w:rPr>
        <w:t>(1918).</w:t>
      </w:r>
    </w:p>
    <w:p w14:paraId="7E002FA7" w14:textId="77777777" w:rsidR="009A58DB" w:rsidRDefault="00000000">
      <w:pPr>
        <w:pStyle w:val="BodyText"/>
        <w:spacing w:before="65" w:line="249" w:lineRule="auto"/>
        <w:ind w:left="720" w:right="358" w:hanging="375"/>
      </w:pPr>
      <w:r>
        <w:rPr>
          <w:color w:val="0562C1"/>
          <w:position w:val="22"/>
          <w:u w:val="single" w:color="0562C1"/>
        </w:rPr>
        <w:t>[32]</w:t>
      </w:r>
      <w:r>
        <w:t xml:space="preserve">. In the sentence, “x is a certain way,’ the word “is” doesn’t denote the relation of identity. The “is” is being used </w:t>
      </w:r>
      <w:r>
        <w:rPr>
          <w:b/>
          <w:i/>
        </w:rPr>
        <w:t>predicatively.</w:t>
      </w:r>
      <w:r>
        <w:rPr>
          <w:b/>
          <w:i/>
          <w:spacing w:val="-3"/>
        </w:rPr>
        <w:t xml:space="preserve"> </w:t>
      </w:r>
      <w:r>
        <w:t>It’s being used i</w:t>
      </w:r>
      <w:bookmarkStart w:id="634" w:name="_bookmark634"/>
      <w:bookmarkEnd w:id="634"/>
      <w:r>
        <w:t>n the</w:t>
      </w:r>
      <w:r>
        <w:rPr>
          <w:spacing w:val="-4"/>
        </w:rPr>
        <w:t xml:space="preserve"> </w:t>
      </w:r>
      <w:r>
        <w:t>way</w:t>
      </w:r>
      <w:r>
        <w:rPr>
          <w:spacing w:val="-3"/>
        </w:rPr>
        <w:t xml:space="preserve"> </w:t>
      </w:r>
      <w:r>
        <w:t>it</w:t>
      </w:r>
      <w:r>
        <w:rPr>
          <w:spacing w:val="-4"/>
        </w:rPr>
        <w:t xml:space="preserve"> </w:t>
      </w:r>
      <w:r>
        <w:t>is</w:t>
      </w:r>
      <w:r>
        <w:rPr>
          <w:spacing w:val="-4"/>
        </w:rPr>
        <w:t xml:space="preserve"> </w:t>
      </w:r>
      <w:r>
        <w:t>in</w:t>
      </w:r>
      <w:r>
        <w:rPr>
          <w:spacing w:val="-3"/>
        </w:rPr>
        <w:t xml:space="preserve"> </w:t>
      </w:r>
      <w:r>
        <w:t>the</w:t>
      </w:r>
      <w:r>
        <w:rPr>
          <w:spacing w:val="-4"/>
        </w:rPr>
        <w:t xml:space="preserve"> </w:t>
      </w:r>
      <w:r>
        <w:t>sentence</w:t>
      </w:r>
      <w:r>
        <w:rPr>
          <w:spacing w:val="-4"/>
        </w:rPr>
        <w:t xml:space="preserve"> </w:t>
      </w:r>
      <w:r>
        <w:t>“Smith</w:t>
      </w:r>
      <w:r>
        <w:rPr>
          <w:spacing w:val="-3"/>
        </w:rPr>
        <w:t xml:space="preserve"> </w:t>
      </w:r>
      <w:r>
        <w:t>is</w:t>
      </w:r>
      <w:r>
        <w:rPr>
          <w:spacing w:val="-4"/>
        </w:rPr>
        <w:t xml:space="preserve"> </w:t>
      </w:r>
      <w:r>
        <w:t>happy,’</w:t>
      </w:r>
      <w:r>
        <w:rPr>
          <w:spacing w:val="-4"/>
        </w:rPr>
        <w:t xml:space="preserve"> </w:t>
      </w:r>
      <w:r>
        <w:t>which</w:t>
      </w:r>
      <w:r>
        <w:rPr>
          <w:spacing w:val="-3"/>
        </w:rPr>
        <w:t xml:space="preserve"> </w:t>
      </w:r>
      <w:r>
        <w:t>obviously</w:t>
      </w:r>
      <w:r>
        <w:rPr>
          <w:spacing w:val="-3"/>
        </w:rPr>
        <w:t xml:space="preserve"> </w:t>
      </w:r>
      <w:r>
        <w:t>doesn’t</w:t>
      </w:r>
      <w:r>
        <w:rPr>
          <w:spacing w:val="-4"/>
        </w:rPr>
        <w:t xml:space="preserve"> </w:t>
      </w:r>
      <w:r>
        <w:t xml:space="preserve">say that Smith is </w:t>
      </w:r>
      <w:r>
        <w:rPr>
          <w:i/>
        </w:rPr>
        <w:t xml:space="preserve">identical </w:t>
      </w:r>
      <w:r>
        <w:t>with happiness, and not in the way it’s being used</w:t>
      </w:r>
      <w:r>
        <w:rPr>
          <w:spacing w:val="40"/>
        </w:rPr>
        <w:t xml:space="preserve"> </w:t>
      </w:r>
      <w:r>
        <w:t>in the sentence “Smith is the guy who stole my car.” See Chapter 16, Section 1.1 for further discussion.</w:t>
      </w:r>
    </w:p>
    <w:p w14:paraId="7E002FA8" w14:textId="77777777" w:rsidR="009A58DB" w:rsidRDefault="00000000">
      <w:pPr>
        <w:pStyle w:val="BodyText"/>
        <w:spacing w:before="42" w:line="249" w:lineRule="auto"/>
        <w:ind w:left="720" w:right="358" w:hanging="375"/>
      </w:pPr>
      <w:r>
        <w:rPr>
          <w:color w:val="0562C1"/>
          <w:position w:val="22"/>
          <w:u w:val="single" w:color="0562C1"/>
        </w:rPr>
        <w:t>[33]</w:t>
      </w:r>
      <w:r>
        <w:t xml:space="preserve">. Actually, we’ll see in Chapter 2, that propositions are </w:t>
      </w:r>
      <w:r>
        <w:rPr>
          <w:i/>
        </w:rPr>
        <w:t>sets</w:t>
      </w:r>
      <w:r>
        <w:rPr>
          <w:i/>
          <w:spacing w:val="-3"/>
        </w:rPr>
        <w:t xml:space="preserve"> </w:t>
      </w:r>
      <w:r>
        <w:t xml:space="preserve">of properties. But this is a nuance. And it’s an irrelevant nuance, since, as we’ll see in Chapter 2, sets </w:t>
      </w:r>
      <w:r>
        <w:rPr>
          <w:i/>
        </w:rPr>
        <w:t xml:space="preserve">are </w:t>
      </w:r>
      <w:r>
        <w:t xml:space="preserve">properties and, therefore, propositions are identical with sets. This must be understood aright. The property of being a bird is </w:t>
      </w:r>
      <w:r>
        <w:rPr>
          <w:i/>
        </w:rPr>
        <w:t xml:space="preserve">not </w:t>
      </w:r>
      <w:r>
        <w:t>identical with the set of all birds—contrary to what Quine (1960,</w:t>
      </w:r>
      <w:r>
        <w:rPr>
          <w:spacing w:val="40"/>
        </w:rPr>
        <w:t xml:space="preserve"> </w:t>
      </w:r>
      <w:r>
        <w:t>1970) and other anti-Platonist philosophers have held.</w:t>
      </w:r>
    </w:p>
    <w:p w14:paraId="7E002FA9" w14:textId="77777777" w:rsidR="009A58DB" w:rsidRDefault="00000000">
      <w:pPr>
        <w:pStyle w:val="BodyText"/>
        <w:spacing w:before="57" w:line="249" w:lineRule="auto"/>
        <w:ind w:left="720" w:right="363" w:hanging="375"/>
      </w:pPr>
      <w:r>
        <w:rPr>
          <w:color w:val="0562C1"/>
          <w:position w:val="22"/>
          <w:u w:val="single" w:color="0562C1"/>
        </w:rPr>
        <w:t>[34]</w:t>
      </w:r>
      <w:r>
        <w:t xml:space="preserve">. And so far as it </w:t>
      </w:r>
      <w:r>
        <w:rPr>
          <w:i/>
        </w:rPr>
        <w:t>is</w:t>
      </w:r>
      <w:r>
        <w:rPr>
          <w:i/>
          <w:spacing w:val="-2"/>
        </w:rPr>
        <w:t xml:space="preserve"> </w:t>
      </w:r>
      <w:r>
        <w:t xml:space="preserve">up to us how it is, it’s up to us in a </w:t>
      </w:r>
      <w:r>
        <w:rPr>
          <w:i/>
        </w:rPr>
        <w:t>causal</w:t>
      </w:r>
      <w:r>
        <w:rPr>
          <w:i/>
          <w:spacing w:val="-2"/>
        </w:rPr>
        <w:t xml:space="preserve"> </w:t>
      </w:r>
      <w:r>
        <w:t>sense. It is people’s actions, not their opinions, that make things true. Even though</w:t>
      </w:r>
      <w:bookmarkStart w:id="635" w:name="_bookmark635"/>
      <w:bookmarkEnd w:id="635"/>
      <w:r>
        <w:t>,</w:t>
      </w:r>
      <w:r>
        <w:rPr>
          <w:spacing w:val="40"/>
        </w:rPr>
        <w:t xml:space="preserve"> </w:t>
      </w:r>
      <w:r>
        <w:t>on the basis of an opinion, one may perform acts that wrench the world into</w:t>
      </w:r>
      <w:r>
        <w:rPr>
          <w:spacing w:val="-2"/>
        </w:rPr>
        <w:t xml:space="preserve"> </w:t>
      </w:r>
      <w:r>
        <w:t>a</w:t>
      </w:r>
      <w:r>
        <w:rPr>
          <w:spacing w:val="-3"/>
        </w:rPr>
        <w:t xml:space="preserve"> </w:t>
      </w:r>
      <w:r>
        <w:t>certain</w:t>
      </w:r>
      <w:r>
        <w:rPr>
          <w:spacing w:val="-2"/>
        </w:rPr>
        <w:t xml:space="preserve"> </w:t>
      </w:r>
      <w:r>
        <w:t>form,</w:t>
      </w:r>
      <w:r>
        <w:rPr>
          <w:spacing w:val="-2"/>
        </w:rPr>
        <w:t xml:space="preserve"> </w:t>
      </w:r>
      <w:r>
        <w:t>one’s</w:t>
      </w:r>
      <w:r>
        <w:rPr>
          <w:spacing w:val="-3"/>
        </w:rPr>
        <w:t xml:space="preserve"> </w:t>
      </w:r>
      <w:r>
        <w:t>opinion</w:t>
      </w:r>
      <w:r>
        <w:rPr>
          <w:spacing w:val="-2"/>
        </w:rPr>
        <w:t xml:space="preserve"> </w:t>
      </w:r>
      <w:r>
        <w:rPr>
          <w:i/>
        </w:rPr>
        <w:t>per</w:t>
      </w:r>
      <w:r>
        <w:rPr>
          <w:i/>
          <w:spacing w:val="-3"/>
        </w:rPr>
        <w:t xml:space="preserve"> </w:t>
      </w:r>
      <w:r>
        <w:rPr>
          <w:i/>
        </w:rPr>
        <w:t>se</w:t>
      </w:r>
      <w:r>
        <w:rPr>
          <w:i/>
          <w:spacing w:val="-3"/>
        </w:rPr>
        <w:t xml:space="preserve"> </w:t>
      </w:r>
      <w:r>
        <w:t>is</w:t>
      </w:r>
      <w:r>
        <w:rPr>
          <w:spacing w:val="-3"/>
        </w:rPr>
        <w:t xml:space="preserve"> </w:t>
      </w:r>
      <w:r>
        <w:t>innocuous:</w:t>
      </w:r>
      <w:r>
        <w:rPr>
          <w:spacing w:val="-3"/>
        </w:rPr>
        <w:t xml:space="preserve"> </w:t>
      </w:r>
      <w:r>
        <w:t>the</w:t>
      </w:r>
      <w:r>
        <w:rPr>
          <w:spacing w:val="-3"/>
        </w:rPr>
        <w:t xml:space="preserve"> </w:t>
      </w:r>
      <w:r>
        <w:t>world</w:t>
      </w:r>
      <w:r>
        <w:rPr>
          <w:spacing w:val="-2"/>
        </w:rPr>
        <w:t xml:space="preserve"> </w:t>
      </w:r>
      <w:r>
        <w:t>is</w:t>
      </w:r>
      <w:r>
        <w:rPr>
          <w:spacing w:val="-3"/>
        </w:rPr>
        <w:t xml:space="preserve"> </w:t>
      </w:r>
      <w:r>
        <w:t>the</w:t>
      </w:r>
      <w:r>
        <w:rPr>
          <w:spacing w:val="-3"/>
        </w:rPr>
        <w:t xml:space="preserve"> </w:t>
      </w:r>
      <w:r>
        <w:t>way it is regardless of that opinion.</w:t>
      </w:r>
    </w:p>
    <w:p w14:paraId="7E002FAA" w14:textId="77777777" w:rsidR="009A58DB" w:rsidRDefault="00000000">
      <w:pPr>
        <w:pStyle w:val="BodyText"/>
        <w:spacing w:before="37" w:line="249" w:lineRule="auto"/>
        <w:ind w:left="720" w:right="358" w:firstLine="151"/>
      </w:pPr>
      <w:r>
        <w:t>Also, it’s not a matter of opinion what opinions we have; it’s a matter o</w:t>
      </w:r>
      <w:bookmarkStart w:id="636" w:name="_bookmark636"/>
      <w:bookmarkEnd w:id="636"/>
      <w:r>
        <w:t>f fact. We have the opinions that we have and, so far as we know ourselves, our opinions as to what those opinions are track those pre-existing facts</w:t>
      </w:r>
      <w:bookmarkStart w:id="637" w:name="_bookmark637"/>
      <w:bookmarkEnd w:id="637"/>
      <w:r>
        <w:t>. Our second-order opinions—i.e., our opinions about opinions—no more make our first opinions be the way they are than our first-order opinions about the stars make the stars be the way they are. Our second-orde</w:t>
      </w:r>
      <w:bookmarkStart w:id="638" w:name="_bookmark638"/>
      <w:bookmarkEnd w:id="638"/>
      <w:r>
        <w:t xml:space="preserve">r opinions may induce us to engage in acts that result in the modification of our first opinions, whereas, our opinions about the stars cannot possibly induce us to engage in acts that change the stars. But that’s irrelevant, since it doesn’t phase the fact that it is never </w:t>
      </w:r>
      <w:r>
        <w:rPr>
          <w:i/>
        </w:rPr>
        <w:t xml:space="preserve">in virtue of </w:t>
      </w:r>
      <w:r>
        <w:t>what one’s opinions are that the world is, or is not, in any respect, a given way.</w:t>
      </w:r>
    </w:p>
    <w:p w14:paraId="7E002FAB" w14:textId="77777777" w:rsidR="009A58DB" w:rsidRDefault="00000000">
      <w:pPr>
        <w:spacing w:before="63" w:line="249" w:lineRule="auto"/>
        <w:ind w:left="720" w:right="361" w:hanging="375"/>
        <w:jc w:val="both"/>
        <w:rPr>
          <w:b/>
          <w:i/>
          <w:sz w:val="30"/>
        </w:rPr>
      </w:pPr>
      <w:r>
        <w:rPr>
          <w:color w:val="0562C1"/>
          <w:position w:val="22"/>
          <w:sz w:val="30"/>
          <w:u w:val="single" w:color="0562C1"/>
        </w:rPr>
        <w:t>[35]</w:t>
      </w:r>
      <w:r>
        <w:rPr>
          <w:sz w:val="30"/>
        </w:rPr>
        <w:t xml:space="preserve">. This is the branch of philosophy that aspires to clarify the concepts that are used in formal logic but that themselves resist formal treatment; e.g. </w:t>
      </w:r>
      <w:r>
        <w:rPr>
          <w:b/>
          <w:i/>
          <w:sz w:val="30"/>
        </w:rPr>
        <w:t>entailment,</w:t>
      </w:r>
      <w:r>
        <w:rPr>
          <w:b/>
          <w:i/>
          <w:spacing w:val="80"/>
          <w:sz w:val="30"/>
        </w:rPr>
        <w:t xml:space="preserve"> </w:t>
      </w:r>
      <w:r>
        <w:rPr>
          <w:b/>
          <w:i/>
          <w:sz w:val="30"/>
        </w:rPr>
        <w:t>formal</w:t>
      </w:r>
      <w:r>
        <w:rPr>
          <w:b/>
          <w:i/>
          <w:spacing w:val="80"/>
          <w:sz w:val="30"/>
        </w:rPr>
        <w:t xml:space="preserve"> </w:t>
      </w:r>
      <w:r>
        <w:rPr>
          <w:b/>
          <w:i/>
          <w:sz w:val="30"/>
        </w:rPr>
        <w:t>truth,</w:t>
      </w:r>
      <w:r>
        <w:rPr>
          <w:b/>
          <w:i/>
          <w:spacing w:val="80"/>
          <w:sz w:val="30"/>
        </w:rPr>
        <w:t xml:space="preserve"> </w:t>
      </w:r>
      <w:r>
        <w:rPr>
          <w:b/>
          <w:i/>
          <w:sz w:val="30"/>
        </w:rPr>
        <w:t>informal</w:t>
      </w:r>
      <w:r>
        <w:rPr>
          <w:b/>
          <w:i/>
          <w:spacing w:val="80"/>
          <w:sz w:val="30"/>
        </w:rPr>
        <w:t xml:space="preserve"> </w:t>
      </w:r>
      <w:r>
        <w:rPr>
          <w:b/>
          <w:i/>
          <w:sz w:val="30"/>
        </w:rPr>
        <w:t>analytic</w:t>
      </w:r>
      <w:r>
        <w:rPr>
          <w:b/>
          <w:i/>
          <w:spacing w:val="80"/>
          <w:sz w:val="30"/>
        </w:rPr>
        <w:t xml:space="preserve"> </w:t>
      </w:r>
      <w:r>
        <w:rPr>
          <w:b/>
          <w:i/>
          <w:sz w:val="30"/>
        </w:rPr>
        <w:t>truth,</w:t>
      </w:r>
      <w:r>
        <w:rPr>
          <w:b/>
          <w:i/>
          <w:spacing w:val="80"/>
          <w:sz w:val="30"/>
        </w:rPr>
        <w:t xml:space="preserve"> </w:t>
      </w:r>
      <w:r>
        <w:rPr>
          <w:b/>
          <w:i/>
          <w:sz w:val="30"/>
        </w:rPr>
        <w:t>possibility,</w:t>
      </w:r>
      <w:r>
        <w:rPr>
          <w:b/>
          <w:i/>
          <w:spacing w:val="80"/>
          <w:sz w:val="30"/>
        </w:rPr>
        <w:t xml:space="preserve"> </w:t>
      </w:r>
      <w:r>
        <w:rPr>
          <w:b/>
          <w:i/>
          <w:sz w:val="30"/>
        </w:rPr>
        <w:t>logical</w:t>
      </w:r>
    </w:p>
    <w:p w14:paraId="7E002FAC" w14:textId="77777777" w:rsidR="009A58DB" w:rsidRDefault="009A58DB">
      <w:pPr>
        <w:spacing w:line="249" w:lineRule="auto"/>
        <w:jc w:val="both"/>
        <w:rPr>
          <w:b/>
          <w:i/>
          <w:sz w:val="30"/>
        </w:rPr>
        <w:sectPr w:rsidR="009A58DB">
          <w:pgSz w:w="12240" w:h="15840"/>
          <w:pgMar w:top="1380" w:right="1080" w:bottom="280" w:left="1080" w:header="720" w:footer="720" w:gutter="0"/>
          <w:cols w:space="720"/>
        </w:sectPr>
      </w:pPr>
    </w:p>
    <w:p w14:paraId="7E002FAD" w14:textId="77777777" w:rsidR="009A58DB" w:rsidRDefault="00000000">
      <w:pPr>
        <w:pStyle w:val="BodyText"/>
        <w:spacing w:before="65" w:line="249" w:lineRule="auto"/>
        <w:ind w:left="720" w:right="360"/>
      </w:pPr>
      <w:r>
        <w:rPr>
          <w:b/>
          <w:i/>
        </w:rPr>
        <w:t xml:space="preserve">form, </w:t>
      </w:r>
      <w:r>
        <w:t>etc. See Section 7.0 for further discussion. Most of what is said i</w:t>
      </w:r>
      <w:bookmarkStart w:id="639" w:name="_bookmark639"/>
      <w:bookmarkEnd w:id="639"/>
      <w:r>
        <w:t xml:space="preserve">n Part 1 of the present book falls within the jurisdiction of philosophical </w:t>
      </w:r>
      <w:r>
        <w:rPr>
          <w:spacing w:val="-2"/>
        </w:rPr>
        <w:t>logic.</w:t>
      </w:r>
    </w:p>
    <w:p w14:paraId="7E002FAE" w14:textId="77777777" w:rsidR="009A58DB" w:rsidRDefault="00000000">
      <w:pPr>
        <w:pStyle w:val="BodyText"/>
        <w:spacing w:before="53" w:line="249" w:lineRule="auto"/>
        <w:ind w:left="720" w:right="358" w:hanging="375"/>
      </w:pPr>
      <w:r>
        <w:rPr>
          <w:color w:val="0562C1"/>
          <w:position w:val="22"/>
          <w:u w:val="single" w:color="0562C1"/>
        </w:rPr>
        <w:t>[36]</w:t>
      </w:r>
      <w:r>
        <w:t>. At certain junctures, this belief of theirs is correct—but only to a certain degree. Logic and rigor only go so far. They’re no substitute for insight or creativity—especially not in fields such as ethics, politics, and religion. Logic and rigor have only a secondary function. They’re helpful in evaluating insights already generated. But they’re useless when it comes</w:t>
      </w:r>
      <w:r>
        <w:rPr>
          <w:spacing w:val="40"/>
        </w:rPr>
        <w:t xml:space="preserve"> </w:t>
      </w:r>
      <w:r>
        <w:t>to generating them. Political philosophy has benefited enormously from post-Fregean love of rigor. For some reason, political philosophers didn’t take it too far: respect for rigor did not, in their case, turn into rigor-worship. The same cannot be said of every other branch of analytic philosophy. As we’ll see in Chapter 25, the philosophy of religion has become one of the most arcane and technical branches of philosophy, and it’s not always clear that what analytic philosophers of religion are doing has much to do with religion.</w:t>
      </w:r>
    </w:p>
    <w:p w14:paraId="7E002FAF" w14:textId="77777777" w:rsidR="009A58DB" w:rsidRDefault="00000000">
      <w:pPr>
        <w:pStyle w:val="BodyText"/>
        <w:spacing w:before="51" w:line="249" w:lineRule="auto"/>
        <w:ind w:left="720" w:right="359" w:hanging="375"/>
      </w:pPr>
      <w:r>
        <w:rPr>
          <w:color w:val="0562C1"/>
          <w:position w:val="22"/>
          <w:u w:val="single" w:color="0562C1"/>
        </w:rPr>
        <w:t>[37]</w:t>
      </w:r>
      <w:r>
        <w:t xml:space="preserve">. “Acoustical” means “noise-related,” and “morphological” means </w:t>
      </w:r>
      <w:r>
        <w:rPr>
          <w:spacing w:val="-2"/>
        </w:rPr>
        <w:t>“shape-related.”</w:t>
      </w:r>
    </w:p>
    <w:p w14:paraId="7E002FB0" w14:textId="77777777" w:rsidR="009A58DB" w:rsidRDefault="00000000">
      <w:pPr>
        <w:pStyle w:val="BodyText"/>
        <w:spacing w:before="53" w:line="249" w:lineRule="auto"/>
        <w:ind w:left="720" w:right="369" w:hanging="375"/>
      </w:pPr>
      <w:r>
        <w:rPr>
          <w:color w:val="0562C1"/>
          <w:position w:val="22"/>
          <w:u w:val="single" w:color="0562C1"/>
        </w:rPr>
        <w:t>[38]</w:t>
      </w:r>
      <w:r>
        <w:t>. But, as a matter of exegetical fact, I have in no way exaggerated Wittgenstein’s claims.</w:t>
      </w:r>
    </w:p>
    <w:p w14:paraId="7E002FB1" w14:textId="77777777" w:rsidR="009A58DB" w:rsidRDefault="00000000">
      <w:pPr>
        <w:pStyle w:val="BodyText"/>
        <w:spacing w:before="37" w:line="249" w:lineRule="auto"/>
        <w:ind w:left="720" w:right="364" w:hanging="375"/>
      </w:pPr>
      <w:r>
        <w:rPr>
          <w:color w:val="0562C1"/>
          <w:position w:val="22"/>
          <w:u w:val="single" w:color="0562C1"/>
        </w:rPr>
        <w:t>[39]</w:t>
      </w:r>
      <w:r>
        <w:t>. He hedges by “roughly speaking, meaning is use.” He never explains</w:t>
      </w:r>
      <w:r>
        <w:rPr>
          <w:spacing w:val="40"/>
        </w:rPr>
        <w:t xml:space="preserve"> </w:t>
      </w:r>
      <w:r>
        <w:t>the</w:t>
      </w:r>
      <w:r>
        <w:rPr>
          <w:spacing w:val="-4"/>
        </w:rPr>
        <w:t xml:space="preserve"> </w:t>
      </w:r>
      <w:r>
        <w:t>hedge.</w:t>
      </w:r>
      <w:r>
        <w:rPr>
          <w:spacing w:val="-3"/>
        </w:rPr>
        <w:t xml:space="preserve"> </w:t>
      </w:r>
      <w:r>
        <w:t>I’ve</w:t>
      </w:r>
      <w:r>
        <w:rPr>
          <w:spacing w:val="-4"/>
        </w:rPr>
        <w:t xml:space="preserve"> </w:t>
      </w:r>
      <w:r>
        <w:t>omitted</w:t>
      </w:r>
      <w:r>
        <w:rPr>
          <w:spacing w:val="-3"/>
        </w:rPr>
        <w:t xml:space="preserve"> </w:t>
      </w:r>
      <w:r>
        <w:t>the</w:t>
      </w:r>
      <w:r>
        <w:rPr>
          <w:spacing w:val="-4"/>
        </w:rPr>
        <w:t xml:space="preserve"> </w:t>
      </w:r>
      <w:r>
        <w:t>first</w:t>
      </w:r>
      <w:r>
        <w:rPr>
          <w:spacing w:val="-4"/>
        </w:rPr>
        <w:t xml:space="preserve"> </w:t>
      </w:r>
      <w:r>
        <w:t>two</w:t>
      </w:r>
      <w:r>
        <w:rPr>
          <w:spacing w:val="-3"/>
        </w:rPr>
        <w:t xml:space="preserve"> </w:t>
      </w:r>
      <w:r>
        <w:t>words,</w:t>
      </w:r>
      <w:r>
        <w:rPr>
          <w:spacing w:val="-3"/>
        </w:rPr>
        <w:t xml:space="preserve"> </w:t>
      </w:r>
      <w:r>
        <w:t>since</w:t>
      </w:r>
      <w:r>
        <w:rPr>
          <w:spacing w:val="-4"/>
        </w:rPr>
        <w:t xml:space="preserve"> </w:t>
      </w:r>
      <w:r>
        <w:t>they</w:t>
      </w:r>
      <w:r>
        <w:rPr>
          <w:spacing w:val="-3"/>
        </w:rPr>
        <w:t xml:space="preserve"> </w:t>
      </w:r>
      <w:r>
        <w:t>serve</w:t>
      </w:r>
      <w:r>
        <w:rPr>
          <w:spacing w:val="-4"/>
        </w:rPr>
        <w:t xml:space="preserve"> </w:t>
      </w:r>
      <w:r>
        <w:t>no</w:t>
      </w:r>
      <w:r>
        <w:rPr>
          <w:spacing w:val="-3"/>
        </w:rPr>
        <w:t xml:space="preserve"> </w:t>
      </w:r>
      <w:r>
        <w:t xml:space="preserve">identifiable </w:t>
      </w:r>
      <w:r>
        <w:rPr>
          <w:spacing w:val="-2"/>
        </w:rPr>
        <w:t>purpose.</w:t>
      </w:r>
    </w:p>
    <w:p w14:paraId="7E002FB2" w14:textId="77777777" w:rsidR="009A58DB" w:rsidRDefault="00000000">
      <w:pPr>
        <w:pStyle w:val="BodyText"/>
        <w:spacing w:before="54" w:line="249" w:lineRule="auto"/>
        <w:ind w:left="720" w:right="358" w:hanging="375"/>
      </w:pPr>
      <w:r>
        <w:rPr>
          <w:color w:val="0562C1"/>
          <w:position w:val="22"/>
          <w:u w:val="single" w:color="0562C1"/>
        </w:rPr>
        <w:t>[40]</w:t>
      </w:r>
      <w:r>
        <w:t>. “WA” is short for “Wittgenstein’s argument.” This is not a quotation</w:t>
      </w:r>
      <w:bookmarkStart w:id="640" w:name="_bookmark640"/>
      <w:bookmarkEnd w:id="640"/>
      <w:r>
        <w:t>. There is no one passage where Wittgenstein argues on behalf of his thesis that</w:t>
      </w:r>
      <w:r>
        <w:rPr>
          <w:spacing w:val="-4"/>
        </w:rPr>
        <w:t xml:space="preserve"> </w:t>
      </w:r>
      <w:r>
        <w:t>meaning</w:t>
      </w:r>
      <w:r>
        <w:rPr>
          <w:spacing w:val="-3"/>
        </w:rPr>
        <w:t xml:space="preserve"> </w:t>
      </w:r>
      <w:r>
        <w:t>is</w:t>
      </w:r>
      <w:r>
        <w:rPr>
          <w:spacing w:val="-4"/>
        </w:rPr>
        <w:t xml:space="preserve"> </w:t>
      </w:r>
      <w:r>
        <w:t>use.</w:t>
      </w:r>
      <w:r>
        <w:rPr>
          <w:spacing w:val="-3"/>
        </w:rPr>
        <w:t xml:space="preserve"> </w:t>
      </w:r>
      <w:r>
        <w:t>His</w:t>
      </w:r>
      <w:r>
        <w:rPr>
          <w:spacing w:val="-4"/>
        </w:rPr>
        <w:t xml:space="preserve"> </w:t>
      </w:r>
      <w:r>
        <w:t>arguments</w:t>
      </w:r>
      <w:r>
        <w:rPr>
          <w:spacing w:val="-4"/>
        </w:rPr>
        <w:t xml:space="preserve"> </w:t>
      </w:r>
      <w:r>
        <w:t>are</w:t>
      </w:r>
      <w:r>
        <w:rPr>
          <w:spacing w:val="-4"/>
        </w:rPr>
        <w:t xml:space="preserve"> </w:t>
      </w:r>
      <w:r>
        <w:t>dispersed</w:t>
      </w:r>
      <w:r>
        <w:rPr>
          <w:spacing w:val="-3"/>
        </w:rPr>
        <w:t xml:space="preserve"> </w:t>
      </w:r>
      <w:r>
        <w:t>over</w:t>
      </w:r>
      <w:r>
        <w:rPr>
          <w:spacing w:val="-4"/>
        </w:rPr>
        <w:t xml:space="preserve"> </w:t>
      </w:r>
      <w:r>
        <w:t>many</w:t>
      </w:r>
      <w:r>
        <w:rPr>
          <w:spacing w:val="-3"/>
        </w:rPr>
        <w:t xml:space="preserve"> </w:t>
      </w:r>
      <w:r>
        <w:t>pages,</w:t>
      </w:r>
      <w:r>
        <w:rPr>
          <w:spacing w:val="-3"/>
        </w:rPr>
        <w:t xml:space="preserve"> </w:t>
      </w:r>
      <w:r>
        <w:t>in</w:t>
      </w:r>
      <w:r>
        <w:rPr>
          <w:spacing w:val="-3"/>
        </w:rPr>
        <w:t xml:space="preserve"> </w:t>
      </w:r>
      <w:r>
        <w:t>most cases being presented in the form of aphorisms and rhetorical questions</w:t>
      </w:r>
      <w:bookmarkStart w:id="641" w:name="_bookmark641"/>
      <w:bookmarkEnd w:id="641"/>
      <w:r>
        <w:t>. Quine (1960) advocates the position about to be presented, and he states it very crisply. Some of the locutions that occur in WA are found in Quine (</w:t>
      </w:r>
      <w:r>
        <w:rPr>
          <w:i/>
        </w:rPr>
        <w:t>op.</w:t>
      </w:r>
      <w:r>
        <w:rPr>
          <w:i/>
          <w:spacing w:val="-3"/>
        </w:rPr>
        <w:t xml:space="preserve"> </w:t>
      </w:r>
      <w:r>
        <w:rPr>
          <w:i/>
        </w:rPr>
        <w:t>cit.</w:t>
      </w:r>
      <w:r>
        <w:t>), and some, though not (so far as I know) used by Quine himself, are Quinean.</w:t>
      </w:r>
    </w:p>
    <w:p w14:paraId="7E002FB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FB4" w14:textId="77777777" w:rsidR="009A58DB" w:rsidRDefault="00000000">
      <w:pPr>
        <w:pStyle w:val="BodyText"/>
        <w:spacing w:before="70" w:line="249" w:lineRule="auto"/>
        <w:ind w:left="720" w:right="359" w:hanging="375"/>
      </w:pPr>
      <w:r>
        <w:rPr>
          <w:color w:val="0562C1"/>
          <w:position w:val="22"/>
          <w:u w:val="single" w:color="0562C1"/>
        </w:rPr>
        <w:t>[41]</w:t>
      </w:r>
      <w:r>
        <w:t>. Wittgenstein is right to assume that propositions, if they exist, are non</w:t>
      </w:r>
      <w:bookmarkStart w:id="642" w:name="_bookmark642"/>
      <w:bookmarkEnd w:id="642"/>
      <w:r>
        <w:t>-spatiotemporal. (What follows is my own defense of this assumption.) First of all, propositions, if existent, aren’t facts. “JMK owns a hundre</w:t>
      </w:r>
      <w:bookmarkStart w:id="643" w:name="_bookmark643"/>
      <w:bookmarkEnd w:id="643"/>
      <w:r>
        <w:t xml:space="preserve">d yachts” is meaningful; if its meaning were the </w:t>
      </w:r>
      <w:r>
        <w:rPr>
          <w:i/>
        </w:rPr>
        <w:t xml:space="preserve">fact </w:t>
      </w:r>
      <w:r>
        <w:t>that JMK owns a hundred yachts, it would have no meaning, since there is no such fact. Propositions obviously aren’t rocks or trees or explosions or anything tha</w:t>
      </w:r>
      <w:bookmarkStart w:id="644" w:name="_bookmark644"/>
      <w:bookmarkEnd w:id="644"/>
      <w:r>
        <w:t>t we’ll encounter in the external world.</w:t>
      </w:r>
    </w:p>
    <w:p w14:paraId="7E002FB5" w14:textId="77777777" w:rsidR="009A58DB" w:rsidRDefault="00000000">
      <w:pPr>
        <w:pStyle w:val="BodyText"/>
        <w:spacing w:before="53" w:line="249" w:lineRule="auto"/>
        <w:ind w:left="720" w:right="358" w:firstLine="320"/>
      </w:pPr>
      <w:r>
        <w:t xml:space="preserve">Nor are they mental entities. </w:t>
      </w:r>
      <w:r>
        <w:rPr>
          <w:i/>
        </w:rPr>
        <w:t xml:space="preserve">The </w:t>
      </w:r>
      <w:r>
        <w:t>proposition that snow is white isn’t some event or structure in my mind or in yours or in anyone else’s. Tha</w:t>
      </w:r>
      <w:bookmarkStart w:id="645" w:name="_bookmark645"/>
      <w:bookmarkEnd w:id="645"/>
      <w:r>
        <w:t>t proposition will exist after we and our ideas are gone. It doesn’t help to</w:t>
      </w:r>
      <w:r>
        <w:rPr>
          <w:spacing w:val="40"/>
        </w:rPr>
        <w:t xml:space="preserve"> </w:t>
      </w:r>
      <w:r>
        <w:t>say that propositions are artifacts, like churches and lawn-mowers</w:t>
      </w:r>
      <w:bookmarkStart w:id="646" w:name="_bookmark646"/>
      <w:bookmarkEnd w:id="646"/>
      <w:r>
        <w:t>. Churches and lawnmowers are objects in the external world; proposition</w:t>
      </w:r>
      <w:hyperlink w:anchor="_bookmark51" w:history="1">
        <w:r>
          <w:t>s</w:t>
        </w:r>
      </w:hyperlink>
      <w:r>
        <w:t xml:space="preserve"> are not.</w:t>
      </w:r>
    </w:p>
    <w:p w14:paraId="7E002FB6" w14:textId="77777777" w:rsidR="009A58DB" w:rsidRDefault="00000000">
      <w:pPr>
        <w:pStyle w:val="BodyText"/>
        <w:spacing w:before="38" w:line="249" w:lineRule="auto"/>
        <w:ind w:left="720" w:right="358" w:firstLine="135"/>
      </w:pPr>
      <w:r>
        <w:t>I’ve heard it said that propositions, though not constituents of this or tha</w:t>
      </w:r>
      <w:bookmarkStart w:id="647" w:name="_bookmark647"/>
      <w:bookmarkEnd w:id="647"/>
      <w:r>
        <w:t>t person’s mind, are constituents of some “collective mind.” But so far as it has any meaning, this proposal is useless. If, in saying that propositions</w:t>
      </w:r>
      <w:r>
        <w:rPr>
          <w:spacing w:val="40"/>
        </w:rPr>
        <w:t xml:space="preserve"> </w:t>
      </w:r>
      <w:r>
        <w:t>are ideas in a “collective mind,” one is saying that they are ideas in the minds of various individuals, one is simply wrong as we just saw. If, i</w:t>
      </w:r>
      <w:bookmarkStart w:id="648" w:name="_bookmark648"/>
      <w:bookmarkEnd w:id="648"/>
      <w:r>
        <w:t xml:space="preserve">n saying this, one is saying that they are ideas in some mind that, though composed of various individuals mind, isn’t identical with any one of them, one is making the doubtful, and very likely incoherent, assumption that there exists such a mind. We may conclude that no proposition is identical with </w:t>
      </w:r>
      <w:r>
        <w:rPr>
          <w:i/>
        </w:rPr>
        <w:t xml:space="preserve">anything </w:t>
      </w:r>
      <w:r>
        <w:t xml:space="preserve">you’ll find if you take an inventory of the spatiotemporal world. If they exist, propositions are non-spatiotemporal </w:t>
      </w:r>
      <w:r>
        <w:rPr>
          <w:spacing w:val="-2"/>
        </w:rPr>
        <w:t>entities.</w:t>
      </w:r>
    </w:p>
    <w:p w14:paraId="7E002FB7" w14:textId="77777777" w:rsidR="009A58DB" w:rsidRDefault="00000000">
      <w:pPr>
        <w:pStyle w:val="BodyText"/>
        <w:spacing w:before="64" w:line="249" w:lineRule="auto"/>
        <w:ind w:left="720" w:right="363" w:hanging="375"/>
      </w:pPr>
      <w:r>
        <w:rPr>
          <w:color w:val="0562C1"/>
          <w:position w:val="22"/>
          <w:u w:val="single" w:color="0562C1"/>
        </w:rPr>
        <w:t>[42]</w:t>
      </w:r>
      <w:r>
        <w:t>. The argument being put forth is found in precisely this form in Quine (1960). It is also Wittgenstein’s position. But Wittgenstein doesn’t state it as crisply as Quine.</w:t>
      </w:r>
    </w:p>
    <w:p w14:paraId="7E002FB8" w14:textId="77777777" w:rsidR="009A58DB" w:rsidRDefault="00000000">
      <w:pPr>
        <w:pStyle w:val="BodyText"/>
        <w:spacing w:before="39" w:line="249" w:lineRule="auto"/>
        <w:ind w:left="720" w:right="361" w:hanging="375"/>
      </w:pPr>
      <w:r>
        <w:rPr>
          <w:color w:val="0562C1"/>
          <w:position w:val="22"/>
          <w:u w:val="single" w:color="0562C1"/>
        </w:rPr>
        <w:t>[43]</w:t>
      </w:r>
      <w:r>
        <w:t xml:space="preserve">. A person who </w:t>
      </w:r>
      <w:r>
        <w:rPr>
          <w:i/>
        </w:rPr>
        <w:t xml:space="preserve">did </w:t>
      </w:r>
      <w:r>
        <w:t>know that language would agree that I hadn’t said anything</w:t>
      </w:r>
      <w:r>
        <w:rPr>
          <w:spacing w:val="-3"/>
        </w:rPr>
        <w:t xml:space="preserve"> </w:t>
      </w:r>
      <w:r>
        <w:rPr>
          <w:i/>
        </w:rPr>
        <w:t>after</w:t>
      </w:r>
      <w:r>
        <w:rPr>
          <w:i/>
          <w:spacing w:val="-4"/>
        </w:rPr>
        <w:t xml:space="preserve"> </w:t>
      </w:r>
      <w:r>
        <w:t xml:space="preserve">that person had learned that I didn’t know what they meant. That’s why if those noises were offensive, that person would cease to be offended </w:t>
      </w:r>
      <w:r>
        <w:rPr>
          <w:i/>
        </w:rPr>
        <w:t xml:space="preserve">after </w:t>
      </w:r>
      <w:r>
        <w:t>he learned that I didn’t know what they meant.</w:t>
      </w:r>
    </w:p>
    <w:p w14:paraId="7E002FB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FBA" w14:textId="77777777" w:rsidR="009A58DB" w:rsidRDefault="00000000">
      <w:pPr>
        <w:pStyle w:val="BodyText"/>
        <w:spacing w:before="70" w:line="249" w:lineRule="auto"/>
        <w:ind w:left="720" w:hanging="375"/>
        <w:jc w:val="left"/>
      </w:pPr>
      <w:r>
        <w:rPr>
          <w:color w:val="0562C1"/>
          <w:position w:val="22"/>
          <w:u w:val="single" w:color="0562C1"/>
        </w:rPr>
        <w:t>[44]</w:t>
      </w:r>
      <w:r>
        <w:t>.</w:t>
      </w:r>
      <w:r>
        <w:rPr>
          <w:spacing w:val="80"/>
        </w:rPr>
        <w:t xml:space="preserve"> </w:t>
      </w:r>
      <w:r>
        <w:t>There</w:t>
      </w:r>
      <w:r>
        <w:rPr>
          <w:spacing w:val="80"/>
        </w:rPr>
        <w:t xml:space="preserve"> </w:t>
      </w:r>
      <w:r>
        <w:t>are</w:t>
      </w:r>
      <w:r>
        <w:rPr>
          <w:spacing w:val="80"/>
        </w:rPr>
        <w:t xml:space="preserve"> </w:t>
      </w:r>
      <w:r>
        <w:t>different</w:t>
      </w:r>
      <w:r>
        <w:rPr>
          <w:spacing w:val="80"/>
        </w:rPr>
        <w:t xml:space="preserve"> </w:t>
      </w:r>
      <w:r>
        <w:t>views</w:t>
      </w:r>
      <w:r>
        <w:rPr>
          <w:spacing w:val="80"/>
        </w:rPr>
        <w:t xml:space="preserve"> </w:t>
      </w:r>
      <w:r>
        <w:t>as</w:t>
      </w:r>
      <w:r>
        <w:rPr>
          <w:spacing w:val="80"/>
        </w:rPr>
        <w:t xml:space="preserve"> </w:t>
      </w:r>
      <w:r>
        <w:t>to</w:t>
      </w:r>
      <w:r>
        <w:rPr>
          <w:spacing w:val="80"/>
        </w:rPr>
        <w:t xml:space="preserve"> </w:t>
      </w:r>
      <w:r>
        <w:t>what</w:t>
      </w:r>
      <w:r>
        <w:rPr>
          <w:spacing w:val="80"/>
        </w:rPr>
        <w:t xml:space="preserve"> </w:t>
      </w:r>
      <w:r>
        <w:t>it</w:t>
      </w:r>
      <w:r>
        <w:rPr>
          <w:spacing w:val="80"/>
        </w:rPr>
        <w:t xml:space="preserve"> </w:t>
      </w:r>
      <w:r>
        <w:t>is.</w:t>
      </w:r>
      <w:r>
        <w:rPr>
          <w:spacing w:val="80"/>
        </w:rPr>
        <w:t xml:space="preserve"> </w:t>
      </w:r>
      <w:r>
        <w:t>But,</w:t>
      </w:r>
      <w:r>
        <w:rPr>
          <w:spacing w:val="80"/>
        </w:rPr>
        <w:t xml:space="preserve"> </w:t>
      </w:r>
      <w:r>
        <w:t>as</w:t>
      </w:r>
      <w:r>
        <w:rPr>
          <w:spacing w:val="80"/>
        </w:rPr>
        <w:t xml:space="preserve"> </w:t>
      </w:r>
      <w:r>
        <w:t>is</w:t>
      </w:r>
      <w:r>
        <w:rPr>
          <w:spacing w:val="80"/>
        </w:rPr>
        <w:t xml:space="preserve"> </w:t>
      </w:r>
      <w:r>
        <w:t>universally conceded, they are not themselves sentences. See Chapter 4.</w:t>
      </w:r>
    </w:p>
    <w:p w14:paraId="7E002FBB" w14:textId="77777777" w:rsidR="009A58DB" w:rsidRDefault="00000000">
      <w:pPr>
        <w:pStyle w:val="BodyText"/>
        <w:spacing w:before="52" w:line="249" w:lineRule="auto"/>
        <w:ind w:left="720" w:hanging="375"/>
        <w:jc w:val="left"/>
      </w:pPr>
      <w:r>
        <w:rPr>
          <w:color w:val="0562C1"/>
          <w:position w:val="22"/>
          <w:u w:val="single" w:color="0562C1"/>
        </w:rPr>
        <w:t>[45]</w:t>
      </w:r>
      <w:r>
        <w:t>.</w:t>
      </w:r>
      <w:r>
        <w:rPr>
          <w:spacing w:val="70"/>
        </w:rPr>
        <w:t xml:space="preserve"> </w:t>
      </w:r>
      <w:r>
        <w:t>‘TA’</w:t>
      </w:r>
      <w:r>
        <w:rPr>
          <w:spacing w:val="70"/>
        </w:rPr>
        <w:t xml:space="preserve"> </w:t>
      </w:r>
      <w:r>
        <w:t>is</w:t>
      </w:r>
      <w:r>
        <w:rPr>
          <w:spacing w:val="70"/>
        </w:rPr>
        <w:t xml:space="preserve"> </w:t>
      </w:r>
      <w:r>
        <w:t>short</w:t>
      </w:r>
      <w:r>
        <w:rPr>
          <w:spacing w:val="70"/>
        </w:rPr>
        <w:t xml:space="preserve"> </w:t>
      </w:r>
      <w:r>
        <w:t>for</w:t>
      </w:r>
      <w:r>
        <w:rPr>
          <w:spacing w:val="70"/>
        </w:rPr>
        <w:t xml:space="preserve"> </w:t>
      </w:r>
      <w:r>
        <w:t>‘Tractarian</w:t>
      </w:r>
      <w:r>
        <w:rPr>
          <w:spacing w:val="70"/>
        </w:rPr>
        <w:t xml:space="preserve"> </w:t>
      </w:r>
      <w:r>
        <w:t>argument.’</w:t>
      </w:r>
      <w:r>
        <w:rPr>
          <w:spacing w:val="70"/>
        </w:rPr>
        <w:t xml:space="preserve"> </w:t>
      </w:r>
      <w:r>
        <w:t>TA</w:t>
      </w:r>
      <w:r>
        <w:rPr>
          <w:spacing w:val="70"/>
        </w:rPr>
        <w:t xml:space="preserve"> </w:t>
      </w:r>
      <w:r>
        <w:t>is</w:t>
      </w:r>
      <w:r>
        <w:rPr>
          <w:spacing w:val="70"/>
        </w:rPr>
        <w:t xml:space="preserve"> </w:t>
      </w:r>
      <w:r>
        <w:t>a</w:t>
      </w:r>
      <w:r>
        <w:rPr>
          <w:spacing w:val="70"/>
        </w:rPr>
        <w:t xml:space="preserve"> </w:t>
      </w:r>
      <w:r>
        <w:t>paraphrase,</w:t>
      </w:r>
      <w:r>
        <w:rPr>
          <w:spacing w:val="70"/>
        </w:rPr>
        <w:t xml:space="preserve"> </w:t>
      </w:r>
      <w:r>
        <w:t>not</w:t>
      </w:r>
      <w:r>
        <w:rPr>
          <w:spacing w:val="70"/>
        </w:rPr>
        <w:t xml:space="preserve"> </w:t>
      </w:r>
      <w:r>
        <w:t>a quotation. But some parts (e.g., BG) are direct quotations.</w:t>
      </w:r>
    </w:p>
    <w:p w14:paraId="7E002FBC" w14:textId="77777777" w:rsidR="009A58DB" w:rsidRDefault="00000000">
      <w:pPr>
        <w:pStyle w:val="BodyText"/>
        <w:tabs>
          <w:tab w:val="left" w:pos="1144"/>
          <w:tab w:val="left" w:pos="2519"/>
          <w:tab w:val="left" w:pos="5434"/>
          <w:tab w:val="left" w:pos="6561"/>
          <w:tab w:val="left" w:pos="7539"/>
          <w:tab w:val="left" w:pos="7867"/>
          <w:tab w:val="left" w:pos="8462"/>
          <w:tab w:val="left" w:pos="9340"/>
        </w:tabs>
        <w:spacing w:before="38" w:line="249" w:lineRule="auto"/>
        <w:ind w:left="720" w:right="371" w:hanging="375"/>
        <w:jc w:val="left"/>
      </w:pPr>
      <w:r>
        <w:rPr>
          <w:color w:val="0562C1"/>
          <w:spacing w:val="-2"/>
          <w:position w:val="22"/>
          <w:u w:val="single" w:color="0562C1"/>
        </w:rPr>
        <w:t>[46]</w:t>
      </w:r>
      <w:r>
        <w:rPr>
          <w:spacing w:val="-2"/>
        </w:rPr>
        <w:t>.</w:t>
      </w:r>
      <w:r>
        <w:tab/>
      </w:r>
      <w:r>
        <w:rPr>
          <w:i/>
          <w:spacing w:val="-2"/>
        </w:rPr>
        <w:t>Tractatus</w:t>
      </w:r>
      <w:r>
        <w:rPr>
          <w:i/>
        </w:rPr>
        <w:tab/>
      </w:r>
      <w:r>
        <w:rPr>
          <w:i/>
          <w:spacing w:val="-2"/>
        </w:rPr>
        <w:t>Logico-</w:t>
      </w:r>
      <w:r>
        <w:rPr>
          <w:spacing w:val="-2"/>
        </w:rPr>
        <w:t>Philosophicus</w:t>
      </w:r>
      <w:r>
        <w:rPr>
          <w:i/>
          <w:spacing w:val="-2"/>
        </w:rPr>
        <w:t>,</w:t>
      </w:r>
      <w:r>
        <w:rPr>
          <w:i/>
        </w:rPr>
        <w:tab/>
      </w:r>
      <w:r>
        <w:rPr>
          <w:spacing w:val="-2"/>
        </w:rPr>
        <w:t>Section</w:t>
      </w:r>
      <w:r>
        <w:tab/>
      </w:r>
      <w:r>
        <w:rPr>
          <w:spacing w:val="-2"/>
        </w:rPr>
        <w:t>4.003.</w:t>
      </w:r>
      <w:r>
        <w:tab/>
      </w:r>
      <w:r>
        <w:rPr>
          <w:spacing w:val="-10"/>
        </w:rPr>
        <w:t>I</w:t>
      </w:r>
      <w:r>
        <w:tab/>
      </w:r>
      <w:r>
        <w:rPr>
          <w:spacing w:val="-6"/>
        </w:rPr>
        <w:t>am</w:t>
      </w:r>
      <w:r>
        <w:tab/>
      </w:r>
      <w:r>
        <w:rPr>
          <w:spacing w:val="-2"/>
        </w:rPr>
        <w:t>using</w:t>
      </w:r>
      <w:r>
        <w:tab/>
      </w:r>
      <w:r>
        <w:rPr>
          <w:spacing w:val="-4"/>
        </w:rPr>
        <w:t xml:space="preserve">the </w:t>
      </w:r>
      <w:r>
        <w:t>Pears/McGuinness translation.</w:t>
      </w:r>
    </w:p>
    <w:p w14:paraId="7E002FBD" w14:textId="77777777" w:rsidR="009A58DB" w:rsidRDefault="00000000">
      <w:pPr>
        <w:tabs>
          <w:tab w:val="left" w:pos="1129"/>
          <w:tab w:val="left" w:pos="2504"/>
          <w:tab w:val="left" w:pos="5452"/>
          <w:tab w:val="left" w:pos="6576"/>
          <w:tab w:val="left" w:pos="7551"/>
          <w:tab w:val="left" w:pos="7876"/>
          <w:tab w:val="left" w:pos="8468"/>
          <w:tab w:val="left" w:pos="9343"/>
        </w:tabs>
        <w:spacing w:before="52" w:line="249" w:lineRule="auto"/>
        <w:ind w:left="720" w:right="368" w:hanging="375"/>
        <w:rPr>
          <w:sz w:val="30"/>
        </w:rPr>
      </w:pPr>
      <w:r>
        <w:rPr>
          <w:color w:val="0562C1"/>
          <w:spacing w:val="-2"/>
          <w:position w:val="22"/>
          <w:sz w:val="30"/>
          <w:u w:val="single" w:color="0562C1"/>
        </w:rPr>
        <w:t>[47]</w:t>
      </w:r>
      <w:r>
        <w:rPr>
          <w:spacing w:val="-2"/>
          <w:sz w:val="30"/>
        </w:rPr>
        <w:t>.</w:t>
      </w:r>
      <w:r>
        <w:rPr>
          <w:sz w:val="30"/>
        </w:rPr>
        <w:tab/>
      </w:r>
      <w:r>
        <w:rPr>
          <w:i/>
          <w:spacing w:val="-2"/>
          <w:sz w:val="30"/>
        </w:rPr>
        <w:t>Tractatus</w:t>
      </w:r>
      <w:r>
        <w:rPr>
          <w:i/>
          <w:sz w:val="30"/>
        </w:rPr>
        <w:tab/>
      </w:r>
      <w:r>
        <w:rPr>
          <w:spacing w:val="-2"/>
          <w:sz w:val="30"/>
        </w:rPr>
        <w:t>Logico</w:t>
      </w:r>
      <w:r>
        <w:rPr>
          <w:i/>
          <w:spacing w:val="-2"/>
          <w:sz w:val="30"/>
        </w:rPr>
        <w:t>-Philosophicus,</w:t>
      </w:r>
      <w:r>
        <w:rPr>
          <w:i/>
          <w:sz w:val="30"/>
        </w:rPr>
        <w:tab/>
      </w:r>
      <w:r>
        <w:rPr>
          <w:spacing w:val="-2"/>
          <w:sz w:val="30"/>
        </w:rPr>
        <w:t>Section</w:t>
      </w:r>
      <w:r>
        <w:rPr>
          <w:sz w:val="30"/>
        </w:rPr>
        <w:tab/>
      </w:r>
      <w:r>
        <w:rPr>
          <w:spacing w:val="-2"/>
          <w:sz w:val="30"/>
        </w:rPr>
        <w:t>4.003.</w:t>
      </w:r>
      <w:r>
        <w:rPr>
          <w:sz w:val="30"/>
        </w:rPr>
        <w:tab/>
      </w:r>
      <w:r>
        <w:rPr>
          <w:spacing w:val="-10"/>
          <w:sz w:val="30"/>
        </w:rPr>
        <w:t>I</w:t>
      </w:r>
      <w:r>
        <w:rPr>
          <w:sz w:val="30"/>
        </w:rPr>
        <w:tab/>
      </w:r>
      <w:r>
        <w:rPr>
          <w:spacing w:val="-6"/>
          <w:sz w:val="30"/>
        </w:rPr>
        <w:t>am</w:t>
      </w:r>
      <w:r>
        <w:rPr>
          <w:sz w:val="30"/>
        </w:rPr>
        <w:tab/>
      </w:r>
      <w:r>
        <w:rPr>
          <w:spacing w:val="-2"/>
          <w:sz w:val="30"/>
        </w:rPr>
        <w:t>using</w:t>
      </w:r>
      <w:r>
        <w:rPr>
          <w:sz w:val="30"/>
        </w:rPr>
        <w:tab/>
      </w:r>
      <w:r>
        <w:rPr>
          <w:spacing w:val="-4"/>
          <w:sz w:val="30"/>
        </w:rPr>
        <w:t xml:space="preserve">the </w:t>
      </w:r>
      <w:r>
        <w:rPr>
          <w:sz w:val="30"/>
        </w:rPr>
        <w:t>Pears/McGuinness translation.</w:t>
      </w:r>
    </w:p>
    <w:p w14:paraId="7E002FBE" w14:textId="77777777" w:rsidR="009A58DB" w:rsidRDefault="00000000">
      <w:pPr>
        <w:pStyle w:val="BodyText"/>
        <w:spacing w:before="37"/>
        <w:ind w:left="345"/>
        <w:jc w:val="left"/>
      </w:pPr>
      <w:r>
        <w:rPr>
          <w:color w:val="0562C1"/>
          <w:position w:val="22"/>
          <w:u w:val="single" w:color="0562C1"/>
        </w:rPr>
        <w:t>[48]</w:t>
      </w:r>
      <w:r>
        <w:t>.</w:t>
      </w:r>
      <w:r>
        <w:rPr>
          <w:spacing w:val="-3"/>
        </w:rPr>
        <w:t xml:space="preserve"> </w:t>
      </w:r>
      <w:r>
        <w:t>Ryle</w:t>
      </w:r>
      <w:r>
        <w:rPr>
          <w:spacing w:val="-2"/>
        </w:rPr>
        <w:t xml:space="preserve"> (1949).</w:t>
      </w:r>
    </w:p>
    <w:p w14:paraId="7E002FBF" w14:textId="77777777" w:rsidR="009A58DB" w:rsidRDefault="00000000">
      <w:pPr>
        <w:pStyle w:val="ListParagraph"/>
        <w:numPr>
          <w:ilvl w:val="0"/>
          <w:numId w:val="6"/>
        </w:numPr>
        <w:tabs>
          <w:tab w:val="left" w:pos="720"/>
          <w:tab w:val="left" w:pos="907"/>
        </w:tabs>
        <w:spacing w:before="53" w:line="252" w:lineRule="auto"/>
        <w:ind w:right="366" w:hanging="375"/>
        <w:jc w:val="both"/>
        <w:rPr>
          <w:color w:val="0562C1"/>
          <w:position w:val="12"/>
          <w:sz w:val="34"/>
          <w:u w:val="single" w:color="0562C1"/>
        </w:rPr>
      </w:pPr>
      <w:r>
        <w:rPr>
          <w:sz w:val="30"/>
        </w:rPr>
        <w:t>Wittgentein</w:t>
      </w:r>
      <w:r>
        <w:rPr>
          <w:spacing w:val="40"/>
          <w:sz w:val="30"/>
        </w:rPr>
        <w:t xml:space="preserve"> </w:t>
      </w:r>
      <w:r>
        <w:rPr>
          <w:sz w:val="30"/>
        </w:rPr>
        <w:t>acknowledges</w:t>
      </w:r>
      <w:r>
        <w:rPr>
          <w:spacing w:val="40"/>
          <w:sz w:val="30"/>
        </w:rPr>
        <w:t xml:space="preserve"> </w:t>
      </w:r>
      <w:r>
        <w:rPr>
          <w:sz w:val="30"/>
        </w:rPr>
        <w:t>that</w:t>
      </w:r>
      <w:r>
        <w:rPr>
          <w:spacing w:val="40"/>
          <w:sz w:val="30"/>
        </w:rPr>
        <w:t xml:space="preserve"> </w:t>
      </w:r>
      <w:r>
        <w:rPr>
          <w:sz w:val="30"/>
        </w:rPr>
        <w:t>his</w:t>
      </w:r>
      <w:r>
        <w:rPr>
          <w:spacing w:val="40"/>
          <w:sz w:val="30"/>
        </w:rPr>
        <w:t xml:space="preserve"> </w:t>
      </w:r>
      <w:r>
        <w:rPr>
          <w:sz w:val="30"/>
        </w:rPr>
        <w:t>view</w:t>
      </w:r>
      <w:r>
        <w:rPr>
          <w:spacing w:val="40"/>
          <w:sz w:val="30"/>
        </w:rPr>
        <w:t xml:space="preserve"> </w:t>
      </w:r>
      <w:r>
        <w:rPr>
          <w:sz w:val="30"/>
        </w:rPr>
        <w:t>has</w:t>
      </w:r>
      <w:r>
        <w:rPr>
          <w:spacing w:val="40"/>
          <w:sz w:val="30"/>
        </w:rPr>
        <w:t xml:space="preserve"> </w:t>
      </w:r>
      <w:r>
        <w:rPr>
          <w:sz w:val="30"/>
        </w:rPr>
        <w:t>this</w:t>
      </w:r>
      <w:r>
        <w:rPr>
          <w:spacing w:val="40"/>
          <w:sz w:val="30"/>
        </w:rPr>
        <w:t xml:space="preserve"> </w:t>
      </w:r>
      <w:r>
        <w:rPr>
          <w:sz w:val="30"/>
        </w:rPr>
        <w:t>consequence.</w:t>
      </w:r>
      <w:r>
        <w:rPr>
          <w:spacing w:val="40"/>
          <w:sz w:val="30"/>
        </w:rPr>
        <w:t xml:space="preserve"> </w:t>
      </w:r>
      <w:r>
        <w:rPr>
          <w:sz w:val="30"/>
        </w:rPr>
        <w:t>At</w:t>
      </w:r>
      <w:r>
        <w:rPr>
          <w:spacing w:val="40"/>
          <w:sz w:val="30"/>
        </w:rPr>
        <w:t xml:space="preserve"> </w:t>
      </w:r>
      <w:r>
        <w:rPr>
          <w:sz w:val="30"/>
        </w:rPr>
        <w:t>th</w:t>
      </w:r>
      <w:bookmarkStart w:id="649" w:name="_bookmark649"/>
      <w:bookmarkEnd w:id="649"/>
      <w:r>
        <w:rPr>
          <w:sz w:val="30"/>
        </w:rPr>
        <w:t xml:space="preserve">e very end of the TLP, he says that anyone who understands what he has said will see that it is meaningless. But this is incoherent: to understand </w:t>
      </w:r>
      <w:bookmarkStart w:id="650" w:name="_bookmark650"/>
      <w:bookmarkEnd w:id="650"/>
      <w:r>
        <w:rPr>
          <w:sz w:val="30"/>
        </w:rPr>
        <w:t>a statement</w:t>
      </w:r>
      <w:r>
        <w:rPr>
          <w:spacing w:val="-1"/>
          <w:sz w:val="30"/>
        </w:rPr>
        <w:t xml:space="preserve"> </w:t>
      </w:r>
      <w:r>
        <w:rPr>
          <w:sz w:val="30"/>
        </w:rPr>
        <w:t>is</w:t>
      </w:r>
      <w:r>
        <w:rPr>
          <w:spacing w:val="-1"/>
          <w:sz w:val="30"/>
        </w:rPr>
        <w:t xml:space="preserve"> </w:t>
      </w:r>
      <w:r>
        <w:rPr>
          <w:sz w:val="30"/>
        </w:rPr>
        <w:t>to</w:t>
      </w:r>
      <w:r>
        <w:rPr>
          <w:spacing w:val="-1"/>
          <w:sz w:val="30"/>
        </w:rPr>
        <w:t xml:space="preserve"> </w:t>
      </w:r>
      <w:r>
        <w:rPr>
          <w:sz w:val="30"/>
        </w:rPr>
        <w:t>know</w:t>
      </w:r>
      <w:r>
        <w:rPr>
          <w:spacing w:val="-1"/>
          <w:sz w:val="30"/>
        </w:rPr>
        <w:t xml:space="preserve"> </w:t>
      </w:r>
      <w:r>
        <w:rPr>
          <w:sz w:val="30"/>
        </w:rPr>
        <w:t>what</w:t>
      </w:r>
      <w:r>
        <w:rPr>
          <w:spacing w:val="-1"/>
          <w:sz w:val="30"/>
        </w:rPr>
        <w:t xml:space="preserve"> </w:t>
      </w:r>
      <w:r>
        <w:rPr>
          <w:sz w:val="30"/>
        </w:rPr>
        <w:t>its</w:t>
      </w:r>
      <w:r>
        <w:rPr>
          <w:spacing w:val="-1"/>
          <w:sz w:val="30"/>
        </w:rPr>
        <w:t xml:space="preserve"> </w:t>
      </w:r>
      <w:r>
        <w:rPr>
          <w:sz w:val="30"/>
        </w:rPr>
        <w:t>meaning</w:t>
      </w:r>
      <w:r>
        <w:rPr>
          <w:spacing w:val="-1"/>
          <w:sz w:val="30"/>
        </w:rPr>
        <w:t xml:space="preserve"> </w:t>
      </w:r>
      <w:r>
        <w:rPr>
          <w:sz w:val="30"/>
        </w:rPr>
        <w:t>is;</w:t>
      </w:r>
      <w:r>
        <w:rPr>
          <w:spacing w:val="-1"/>
          <w:sz w:val="30"/>
        </w:rPr>
        <w:t xml:space="preserve"> </w:t>
      </w:r>
      <w:r>
        <w:rPr>
          <w:sz w:val="30"/>
        </w:rPr>
        <w:t>so</w:t>
      </w:r>
      <w:r>
        <w:rPr>
          <w:spacing w:val="-1"/>
          <w:sz w:val="30"/>
        </w:rPr>
        <w:t xml:space="preserve"> </w:t>
      </w:r>
      <w:r>
        <w:rPr>
          <w:sz w:val="30"/>
        </w:rPr>
        <w:t>Wittgenstein’s</w:t>
      </w:r>
      <w:r>
        <w:rPr>
          <w:spacing w:val="-1"/>
          <w:sz w:val="30"/>
        </w:rPr>
        <w:t xml:space="preserve"> </w:t>
      </w:r>
      <w:r>
        <w:rPr>
          <w:sz w:val="30"/>
        </w:rPr>
        <w:t>words</w:t>
      </w:r>
      <w:r>
        <w:rPr>
          <w:spacing w:val="-1"/>
          <w:sz w:val="30"/>
        </w:rPr>
        <w:t xml:space="preserve"> </w:t>
      </w:r>
      <w:r>
        <w:rPr>
          <w:sz w:val="30"/>
        </w:rPr>
        <w:t>can’t</w:t>
      </w:r>
      <w:r>
        <w:rPr>
          <w:spacing w:val="-1"/>
          <w:sz w:val="30"/>
        </w:rPr>
        <w:t xml:space="preserve"> </w:t>
      </w:r>
      <w:r>
        <w:rPr>
          <w:sz w:val="30"/>
        </w:rPr>
        <w:t>be understood unless they are meaningful.</w:t>
      </w:r>
    </w:p>
    <w:p w14:paraId="7E002FC0" w14:textId="77777777" w:rsidR="009A58DB" w:rsidRDefault="00000000">
      <w:pPr>
        <w:pStyle w:val="ListParagraph"/>
        <w:numPr>
          <w:ilvl w:val="0"/>
          <w:numId w:val="6"/>
        </w:numPr>
        <w:tabs>
          <w:tab w:val="left" w:pos="720"/>
        </w:tabs>
        <w:spacing w:before="38" w:line="249" w:lineRule="auto"/>
        <w:ind w:right="357" w:hanging="375"/>
        <w:jc w:val="both"/>
        <w:rPr>
          <w:color w:val="0562C1"/>
          <w:position w:val="12"/>
          <w:sz w:val="30"/>
          <w:u w:val="single" w:color="0562C1"/>
        </w:rPr>
      </w:pPr>
      <w:r>
        <w:rPr>
          <w:sz w:val="30"/>
        </w:rPr>
        <w:t xml:space="preserve"> Russell (1905) holds (correctly, I will argue) that one cannot possibly sa</w:t>
      </w:r>
      <w:bookmarkStart w:id="651" w:name="_bookmark651"/>
      <w:bookmarkStart w:id="652" w:name="_bookmark652"/>
      <w:bookmarkEnd w:id="651"/>
      <w:bookmarkEnd w:id="652"/>
      <w:r>
        <w:rPr>
          <w:sz w:val="30"/>
        </w:rPr>
        <w:t xml:space="preserve">y of some individual x either that x does exist or that x does not exist. When one says “the even prime greater than two doesn’t exist,” one isn’t saying </w:t>
      </w:r>
      <w:r>
        <w:rPr>
          <w:i/>
          <w:sz w:val="30"/>
        </w:rPr>
        <w:t xml:space="preserve">of </w:t>
      </w:r>
      <w:r>
        <w:rPr>
          <w:sz w:val="30"/>
        </w:rPr>
        <w:t xml:space="preserve">some number x such that x is an even prime greater than two that </w:t>
      </w:r>
      <w:bookmarkStart w:id="653" w:name="_bookmark653"/>
      <w:bookmarkEnd w:id="653"/>
      <w:r>
        <w:rPr>
          <w:sz w:val="30"/>
        </w:rPr>
        <w:t xml:space="preserve">x doesn’t exist. If </w:t>
      </w:r>
      <w:r>
        <w:rPr>
          <w:i/>
          <w:sz w:val="30"/>
        </w:rPr>
        <w:t xml:space="preserve">that’s </w:t>
      </w:r>
      <w:r>
        <w:rPr>
          <w:sz w:val="30"/>
        </w:rPr>
        <w:t>what one were saying, the existence of just such a number would be presupposed by that very statement. What one i</w:t>
      </w:r>
      <w:bookmarkStart w:id="654" w:name="_bookmark654"/>
      <w:bookmarkEnd w:id="654"/>
      <w:r>
        <w:rPr>
          <w:sz w:val="30"/>
        </w:rPr>
        <w:t>s</w:t>
      </w:r>
      <w:r>
        <w:rPr>
          <w:spacing w:val="40"/>
          <w:sz w:val="30"/>
        </w:rPr>
        <w:t xml:space="preserve"> </w:t>
      </w:r>
      <w:r>
        <w:rPr>
          <w:sz w:val="30"/>
        </w:rPr>
        <w:t xml:space="preserve">actually saying is that the class of even numbers greater than two doesn’t overlap with the class of prime numbers. All meaningful </w:t>
      </w:r>
      <w:r>
        <w:rPr>
          <w:b/>
          <w:sz w:val="30"/>
        </w:rPr>
        <w:t xml:space="preserve">negative existentials </w:t>
      </w:r>
      <w:r>
        <w:rPr>
          <w:sz w:val="30"/>
        </w:rPr>
        <w:t xml:space="preserve">are to be similarly analyzed. (Incidentally, Nathan Salmon (2005, Chapters 1–3) disagrees with this. He says that one </w:t>
      </w:r>
      <w:r>
        <w:rPr>
          <w:i/>
          <w:sz w:val="30"/>
        </w:rPr>
        <w:t xml:space="preserve">can </w:t>
      </w:r>
      <w:r>
        <w:rPr>
          <w:sz w:val="30"/>
        </w:rPr>
        <w:t xml:space="preserve">both meaningfully </w:t>
      </w:r>
      <w:r>
        <w:rPr>
          <w:i/>
          <w:sz w:val="30"/>
        </w:rPr>
        <w:t xml:space="preserve">and correctly </w:t>
      </w:r>
      <w:r>
        <w:rPr>
          <w:sz w:val="30"/>
        </w:rPr>
        <w:t>say of some object x that x doesn’t exist. He says, in other words, that it’s possible for there to exist an object x suc</w:t>
      </w:r>
      <w:bookmarkStart w:id="655" w:name="_bookmark655"/>
      <w:bookmarkEnd w:id="655"/>
      <w:r>
        <w:fldChar w:fldCharType="begin"/>
      </w:r>
      <w:r>
        <w:instrText>HYPERLINK \l "_bookmark60"</w:instrText>
      </w:r>
      <w:r>
        <w:fldChar w:fldCharType="separate"/>
      </w:r>
      <w:r>
        <w:rPr>
          <w:sz w:val="30"/>
        </w:rPr>
        <w:t>h</w:t>
      </w:r>
      <w:r>
        <w:fldChar w:fldCharType="end"/>
      </w:r>
      <w:r>
        <w:rPr>
          <w:sz w:val="30"/>
        </w:rPr>
        <w:t xml:space="preserve"> that one meaningfully and correctly says that x doesn’t exist. This is, quite obviously, false. In Chapters 6, 7, and 18, the problems with Salmon’s view are detailed.)</w:t>
      </w:r>
    </w:p>
    <w:p w14:paraId="7E002FC1" w14:textId="77777777" w:rsidR="009A58DB" w:rsidRDefault="00000000">
      <w:pPr>
        <w:pStyle w:val="BodyText"/>
        <w:spacing w:before="49"/>
        <w:ind w:left="1022"/>
        <w:rPr>
          <w:i/>
        </w:rPr>
      </w:pPr>
      <w:r>
        <w:t>Supposing</w:t>
      </w:r>
      <w:r>
        <w:rPr>
          <w:spacing w:val="36"/>
        </w:rPr>
        <w:t xml:space="preserve"> </w:t>
      </w:r>
      <w:r>
        <w:t>that</w:t>
      </w:r>
      <w:r>
        <w:rPr>
          <w:spacing w:val="36"/>
        </w:rPr>
        <w:t xml:space="preserve"> </w:t>
      </w:r>
      <w:r>
        <w:t>Russell</w:t>
      </w:r>
      <w:r>
        <w:rPr>
          <w:spacing w:val="37"/>
        </w:rPr>
        <w:t xml:space="preserve"> </w:t>
      </w:r>
      <w:r>
        <w:t>is</w:t>
      </w:r>
      <w:r>
        <w:rPr>
          <w:spacing w:val="36"/>
        </w:rPr>
        <w:t xml:space="preserve"> </w:t>
      </w:r>
      <w:r>
        <w:t>right</w:t>
      </w:r>
      <w:r>
        <w:rPr>
          <w:spacing w:val="37"/>
        </w:rPr>
        <w:t xml:space="preserve"> </w:t>
      </w:r>
      <w:r>
        <w:t>about</w:t>
      </w:r>
      <w:r>
        <w:rPr>
          <w:spacing w:val="36"/>
        </w:rPr>
        <w:t xml:space="preserve"> </w:t>
      </w:r>
      <w:r>
        <w:t>this,</w:t>
      </w:r>
      <w:r>
        <w:rPr>
          <w:spacing w:val="36"/>
        </w:rPr>
        <w:t xml:space="preserve"> </w:t>
      </w:r>
      <w:r>
        <w:t>it</w:t>
      </w:r>
      <w:r>
        <w:rPr>
          <w:spacing w:val="37"/>
        </w:rPr>
        <w:t xml:space="preserve"> </w:t>
      </w:r>
      <w:r>
        <w:t>might</w:t>
      </w:r>
      <w:r>
        <w:rPr>
          <w:spacing w:val="36"/>
        </w:rPr>
        <w:t xml:space="preserve"> </w:t>
      </w:r>
      <w:r>
        <w:t>follow</w:t>
      </w:r>
      <w:r>
        <w:rPr>
          <w:spacing w:val="37"/>
        </w:rPr>
        <w:t xml:space="preserve"> </w:t>
      </w:r>
      <w:r>
        <w:t>that</w:t>
      </w:r>
      <w:r>
        <w:rPr>
          <w:spacing w:val="36"/>
        </w:rPr>
        <w:t xml:space="preserve"> </w:t>
      </w:r>
      <w:r>
        <w:t>NS</w:t>
      </w:r>
      <w:r>
        <w:rPr>
          <w:vertAlign w:val="subscript"/>
        </w:rPr>
        <w:t>2</w:t>
      </w:r>
      <w:r>
        <w:rPr>
          <w:spacing w:val="44"/>
        </w:rPr>
        <w:t xml:space="preserve"> </w:t>
      </w:r>
      <w:r>
        <w:rPr>
          <w:i/>
          <w:spacing w:val="-5"/>
        </w:rPr>
        <w:t>is</w:t>
      </w:r>
    </w:p>
    <w:p w14:paraId="7E002FC2" w14:textId="77777777" w:rsidR="009A58DB" w:rsidRDefault="009A58DB">
      <w:pPr>
        <w:pStyle w:val="BodyText"/>
        <w:rPr>
          <w:i/>
        </w:rPr>
        <w:sectPr w:rsidR="009A58DB">
          <w:pgSz w:w="12240" w:h="15840"/>
          <w:pgMar w:top="1380" w:right="1080" w:bottom="280" w:left="1080" w:header="720" w:footer="720" w:gutter="0"/>
          <w:cols w:space="720"/>
        </w:sectPr>
      </w:pPr>
    </w:p>
    <w:p w14:paraId="7E002FC3" w14:textId="77777777" w:rsidR="009A58DB" w:rsidRDefault="00000000">
      <w:pPr>
        <w:pStyle w:val="BodyText"/>
        <w:spacing w:before="62" w:line="271" w:lineRule="auto"/>
        <w:ind w:left="720" w:right="361"/>
      </w:pPr>
      <w:r>
        <w:t>meaningless, since NS</w:t>
      </w:r>
      <w:r>
        <w:rPr>
          <w:vertAlign w:val="subscript"/>
        </w:rPr>
        <w:t>2</w:t>
      </w:r>
      <w:r>
        <w:t xml:space="preserve"> seems to say of some individual x that x doesn’t exist. Because I believe that Russell’s analysis of negative existentials is correct,</w:t>
      </w:r>
      <w:r>
        <w:rPr>
          <w:spacing w:val="77"/>
        </w:rPr>
        <w:t xml:space="preserve"> </w:t>
      </w:r>
      <w:r>
        <w:t>I</w:t>
      </w:r>
      <w:r>
        <w:rPr>
          <w:spacing w:val="77"/>
        </w:rPr>
        <w:t xml:space="preserve"> </w:t>
      </w:r>
      <w:r>
        <w:t>agree</w:t>
      </w:r>
      <w:r>
        <w:rPr>
          <w:spacing w:val="77"/>
        </w:rPr>
        <w:t xml:space="preserve"> </w:t>
      </w:r>
      <w:r>
        <w:t>that</w:t>
      </w:r>
      <w:r>
        <w:rPr>
          <w:spacing w:val="77"/>
        </w:rPr>
        <w:t xml:space="preserve"> </w:t>
      </w:r>
      <w:r>
        <w:rPr>
          <w:i/>
        </w:rPr>
        <w:t>if</w:t>
      </w:r>
      <w:r>
        <w:rPr>
          <w:i/>
          <w:spacing w:val="73"/>
        </w:rPr>
        <w:t xml:space="preserve"> </w:t>
      </w:r>
      <w:r>
        <w:t>NS</w:t>
      </w:r>
      <w:r>
        <w:rPr>
          <w:vertAlign w:val="subscript"/>
        </w:rPr>
        <w:t>2</w:t>
      </w:r>
      <w:r>
        <w:rPr>
          <w:spacing w:val="77"/>
        </w:rPr>
        <w:t xml:space="preserve"> </w:t>
      </w:r>
      <w:r>
        <w:t>is</w:t>
      </w:r>
      <w:r>
        <w:rPr>
          <w:spacing w:val="77"/>
        </w:rPr>
        <w:t xml:space="preserve"> </w:t>
      </w:r>
      <w:r>
        <w:t>indeed</w:t>
      </w:r>
      <w:r>
        <w:rPr>
          <w:spacing w:val="77"/>
        </w:rPr>
        <w:t xml:space="preserve"> </w:t>
      </w:r>
      <w:r>
        <w:t>meaningless</w:t>
      </w:r>
      <w:r>
        <w:rPr>
          <w:spacing w:val="77"/>
        </w:rPr>
        <w:t xml:space="preserve"> </w:t>
      </w:r>
      <w:r>
        <w:rPr>
          <w:i/>
        </w:rPr>
        <w:t>if</w:t>
      </w:r>
      <w:r>
        <w:rPr>
          <w:i/>
          <w:spacing w:val="73"/>
        </w:rPr>
        <w:t xml:space="preserve"> </w:t>
      </w:r>
      <w:r>
        <w:t>it</w:t>
      </w:r>
      <w:r>
        <w:rPr>
          <w:spacing w:val="80"/>
        </w:rPr>
        <w:t xml:space="preserve"> </w:t>
      </w:r>
      <w:r>
        <w:t>says</w:t>
      </w:r>
      <w:r>
        <w:rPr>
          <w:spacing w:val="80"/>
        </w:rPr>
        <w:t xml:space="preserve"> </w:t>
      </w:r>
      <w:r>
        <w:t>of</w:t>
      </w:r>
      <w:r>
        <w:rPr>
          <w:spacing w:val="80"/>
        </w:rPr>
        <w:t xml:space="preserve"> </w:t>
      </w:r>
      <w:r>
        <w:t>some</w:t>
      </w:r>
    </w:p>
    <w:p w14:paraId="7E002FC4" w14:textId="77777777" w:rsidR="009A58DB" w:rsidRDefault="00000000">
      <w:pPr>
        <w:pStyle w:val="BodyText"/>
        <w:spacing w:before="31" w:line="271" w:lineRule="auto"/>
        <w:ind w:left="720" w:right="358"/>
      </w:pPr>
      <w:r>
        <w:t>individual x that x doesn’t exist. But it’s pretty clear that those who say that NS entails NS</w:t>
      </w:r>
      <w:r>
        <w:rPr>
          <w:vertAlign w:val="subscript"/>
        </w:rPr>
        <w:t>1</w:t>
      </w:r>
      <w:r>
        <w:t>, and who therefore implicitly accept NS</w:t>
      </w:r>
      <w:r>
        <w:rPr>
          <w:vertAlign w:val="subscript"/>
        </w:rPr>
        <w:t>2</w:t>
      </w:r>
      <w:r>
        <w:t xml:space="preserve">, are saying </w:t>
      </w:r>
      <w:r>
        <w:rPr>
          <w:i/>
        </w:rPr>
        <w:t>something.</w:t>
      </w:r>
      <w:r>
        <w:rPr>
          <w:i/>
          <w:spacing w:val="12"/>
        </w:rPr>
        <w:t xml:space="preserve"> </w:t>
      </w:r>
      <w:r>
        <w:t>The</w:t>
      </w:r>
      <w:r>
        <w:rPr>
          <w:spacing w:val="13"/>
        </w:rPr>
        <w:t xml:space="preserve"> </w:t>
      </w:r>
      <w:r>
        <w:t>problem</w:t>
      </w:r>
      <w:r>
        <w:rPr>
          <w:spacing w:val="14"/>
        </w:rPr>
        <w:t xml:space="preserve"> </w:t>
      </w:r>
      <w:r>
        <w:t>isn’t</w:t>
      </w:r>
      <w:r>
        <w:rPr>
          <w:spacing w:val="13"/>
        </w:rPr>
        <w:t xml:space="preserve"> </w:t>
      </w:r>
      <w:r>
        <w:t>that</w:t>
      </w:r>
      <w:r>
        <w:rPr>
          <w:spacing w:val="14"/>
        </w:rPr>
        <w:t xml:space="preserve"> </w:t>
      </w:r>
      <w:r>
        <w:t>their</w:t>
      </w:r>
      <w:r>
        <w:rPr>
          <w:spacing w:val="13"/>
        </w:rPr>
        <w:t xml:space="preserve"> </w:t>
      </w:r>
      <w:r>
        <w:t>words</w:t>
      </w:r>
      <w:r>
        <w:rPr>
          <w:spacing w:val="14"/>
        </w:rPr>
        <w:t xml:space="preserve"> </w:t>
      </w:r>
      <w:r>
        <w:t>lack</w:t>
      </w:r>
      <w:r>
        <w:rPr>
          <w:spacing w:val="13"/>
        </w:rPr>
        <w:t xml:space="preserve"> </w:t>
      </w:r>
      <w:r>
        <w:t>meaning,</w:t>
      </w:r>
      <w:r>
        <w:rPr>
          <w:spacing w:val="14"/>
        </w:rPr>
        <w:t xml:space="preserve"> </w:t>
      </w:r>
      <w:r>
        <w:t>but</w:t>
      </w:r>
      <w:r>
        <w:rPr>
          <w:spacing w:val="13"/>
        </w:rPr>
        <w:t xml:space="preserve"> </w:t>
      </w:r>
      <w:r>
        <w:t>that</w:t>
      </w:r>
      <w:r>
        <w:rPr>
          <w:spacing w:val="14"/>
        </w:rPr>
        <w:t xml:space="preserve"> </w:t>
      </w:r>
      <w:r>
        <w:rPr>
          <w:spacing w:val="-4"/>
        </w:rPr>
        <w:t>the</w:t>
      </w:r>
      <w:bookmarkStart w:id="656" w:name="_bookmark656"/>
      <w:bookmarkEnd w:id="656"/>
      <w:r>
        <w:fldChar w:fldCharType="begin"/>
      </w:r>
      <w:r>
        <w:instrText>HYPERLINK \l "_bookmark61"</w:instrText>
      </w:r>
      <w:r>
        <w:fldChar w:fldCharType="separate"/>
      </w:r>
      <w:r>
        <w:rPr>
          <w:spacing w:val="-4"/>
        </w:rPr>
        <w:t>y</w:t>
      </w:r>
      <w:r>
        <w:fldChar w:fldCharType="end"/>
      </w:r>
    </w:p>
    <w:p w14:paraId="7E002FC5" w14:textId="77777777" w:rsidR="009A58DB" w:rsidRDefault="00000000">
      <w:pPr>
        <w:pStyle w:val="BodyText"/>
        <w:spacing w:line="316" w:lineRule="exact"/>
        <w:ind w:left="720"/>
      </w:pPr>
      <w:r>
        <w:t>bear</w:t>
      </w:r>
      <w:r>
        <w:rPr>
          <w:spacing w:val="21"/>
        </w:rPr>
        <w:t xml:space="preserve"> </w:t>
      </w:r>
      <w:r>
        <w:t>a</w:t>
      </w:r>
      <w:r>
        <w:rPr>
          <w:spacing w:val="21"/>
        </w:rPr>
        <w:t xml:space="preserve"> </w:t>
      </w:r>
      <w:r>
        <w:t>very</w:t>
      </w:r>
      <w:r>
        <w:rPr>
          <w:spacing w:val="22"/>
        </w:rPr>
        <w:t xml:space="preserve"> </w:t>
      </w:r>
      <w:r>
        <w:t>wrong</w:t>
      </w:r>
      <w:r>
        <w:rPr>
          <w:spacing w:val="21"/>
        </w:rPr>
        <w:t xml:space="preserve"> </w:t>
      </w:r>
      <w:r>
        <w:t>meaning.</w:t>
      </w:r>
      <w:r>
        <w:rPr>
          <w:spacing w:val="22"/>
        </w:rPr>
        <w:t xml:space="preserve"> </w:t>
      </w:r>
      <w:r>
        <w:t>Since</w:t>
      </w:r>
      <w:r>
        <w:rPr>
          <w:spacing w:val="21"/>
        </w:rPr>
        <w:t xml:space="preserve"> </w:t>
      </w:r>
      <w:r>
        <w:t>NS</w:t>
      </w:r>
      <w:r>
        <w:rPr>
          <w:vertAlign w:val="subscript"/>
        </w:rPr>
        <w:t>2</w:t>
      </w:r>
      <w:r>
        <w:rPr>
          <w:spacing w:val="14"/>
        </w:rPr>
        <w:t xml:space="preserve"> </w:t>
      </w:r>
      <w:r>
        <w:rPr>
          <w:i/>
        </w:rPr>
        <w:t>is</w:t>
      </w:r>
      <w:r>
        <w:rPr>
          <w:i/>
          <w:spacing w:val="14"/>
        </w:rPr>
        <w:t xml:space="preserve"> </w:t>
      </w:r>
      <w:r>
        <w:t>meaningful,</w:t>
      </w:r>
      <w:r>
        <w:rPr>
          <w:spacing w:val="25"/>
        </w:rPr>
        <w:t xml:space="preserve"> </w:t>
      </w:r>
      <w:r>
        <w:t>and</w:t>
      </w:r>
      <w:r>
        <w:rPr>
          <w:spacing w:val="26"/>
        </w:rPr>
        <w:t xml:space="preserve"> </w:t>
      </w:r>
      <w:r>
        <w:t>since</w:t>
      </w:r>
      <w:r>
        <w:rPr>
          <w:spacing w:val="25"/>
        </w:rPr>
        <w:t xml:space="preserve"> </w:t>
      </w:r>
      <w:r>
        <w:t>it</w:t>
      </w:r>
      <w:r>
        <w:rPr>
          <w:spacing w:val="25"/>
        </w:rPr>
        <w:t xml:space="preserve"> </w:t>
      </w:r>
      <w:r>
        <w:rPr>
          <w:spacing w:val="-2"/>
        </w:rPr>
        <w:t>would</w:t>
      </w:r>
    </w:p>
    <w:p w14:paraId="7E002FC6" w14:textId="77777777" w:rsidR="009A58DB" w:rsidRDefault="00000000">
      <w:pPr>
        <w:pStyle w:val="BodyText"/>
        <w:spacing w:before="75" w:line="249" w:lineRule="auto"/>
        <w:ind w:left="720" w:right="368"/>
      </w:pPr>
      <w:r>
        <w:t>be</w:t>
      </w:r>
      <w:r>
        <w:rPr>
          <w:spacing w:val="-1"/>
        </w:rPr>
        <w:t xml:space="preserve"> </w:t>
      </w:r>
      <w:r>
        <w:t>meaningless if</w:t>
      </w:r>
      <w:r>
        <w:rPr>
          <w:spacing w:val="-1"/>
        </w:rPr>
        <w:t xml:space="preserve"> </w:t>
      </w:r>
      <w:r>
        <w:t>it</w:t>
      </w:r>
      <w:r>
        <w:rPr>
          <w:spacing w:val="-1"/>
        </w:rPr>
        <w:t xml:space="preserve"> </w:t>
      </w:r>
      <w:r>
        <w:t xml:space="preserve">said </w:t>
      </w:r>
      <w:r>
        <w:rPr>
          <w:i/>
        </w:rPr>
        <w:t>of</w:t>
      </w:r>
      <w:r>
        <w:rPr>
          <w:i/>
          <w:spacing w:val="-4"/>
        </w:rPr>
        <w:t xml:space="preserve"> </w:t>
      </w:r>
      <w:r>
        <w:t>some individual x that x didn’t exist, it must be taken to mean that:</w:t>
      </w:r>
    </w:p>
    <w:p w14:paraId="7E002FC7" w14:textId="77777777" w:rsidR="009A58DB" w:rsidRDefault="00000000">
      <w:pPr>
        <w:pStyle w:val="BodyText"/>
        <w:spacing w:before="50" w:line="292" w:lineRule="auto"/>
        <w:ind w:left="720" w:right="358" w:firstLine="105"/>
      </w:pPr>
      <w:r>
        <w:t>(NS</w:t>
      </w:r>
      <w:r>
        <w:rPr>
          <w:vertAlign w:val="subscript"/>
        </w:rPr>
        <w:t>3</w:t>
      </w:r>
      <w:r>
        <w:t>) “there exists a square circle, and there fails to exist anything that is both square and a circle,” which, though absurd, is meaningful.</w:t>
      </w:r>
    </w:p>
    <w:p w14:paraId="7E002FC8" w14:textId="77777777" w:rsidR="009A58DB" w:rsidRDefault="00000000">
      <w:pPr>
        <w:pStyle w:val="ListParagraph"/>
        <w:numPr>
          <w:ilvl w:val="0"/>
          <w:numId w:val="6"/>
        </w:numPr>
        <w:tabs>
          <w:tab w:val="left" w:pos="918"/>
        </w:tabs>
        <w:spacing w:line="433" w:lineRule="exact"/>
        <w:ind w:left="918" w:hanging="573"/>
        <w:rPr>
          <w:color w:val="0562C1"/>
          <w:position w:val="12"/>
          <w:sz w:val="30"/>
          <w:u w:val="single" w:color="0562C1"/>
        </w:rPr>
      </w:pPr>
      <w:r>
        <w:rPr>
          <w:sz w:val="30"/>
        </w:rPr>
        <w:t>A</w:t>
      </w:r>
      <w:r>
        <w:rPr>
          <w:spacing w:val="23"/>
          <w:sz w:val="30"/>
        </w:rPr>
        <w:t xml:space="preserve">  </w:t>
      </w:r>
      <w:r>
        <w:rPr>
          <w:sz w:val="30"/>
        </w:rPr>
        <w:t>conjunct</w:t>
      </w:r>
      <w:r>
        <w:rPr>
          <w:spacing w:val="23"/>
          <w:sz w:val="30"/>
        </w:rPr>
        <w:t xml:space="preserve">  </w:t>
      </w:r>
      <w:r>
        <w:rPr>
          <w:sz w:val="30"/>
        </w:rPr>
        <w:t>is</w:t>
      </w:r>
      <w:r>
        <w:rPr>
          <w:spacing w:val="23"/>
          <w:sz w:val="30"/>
        </w:rPr>
        <w:t xml:space="preserve">  </w:t>
      </w:r>
      <w:r>
        <w:rPr>
          <w:sz w:val="30"/>
        </w:rPr>
        <w:t>one</w:t>
      </w:r>
      <w:r>
        <w:rPr>
          <w:spacing w:val="24"/>
          <w:sz w:val="30"/>
        </w:rPr>
        <w:t xml:space="preserve">  </w:t>
      </w:r>
      <w:r>
        <w:rPr>
          <w:sz w:val="30"/>
        </w:rPr>
        <w:t>of</w:t>
      </w:r>
      <w:r>
        <w:rPr>
          <w:spacing w:val="23"/>
          <w:sz w:val="30"/>
        </w:rPr>
        <w:t xml:space="preserve">  </w:t>
      </w:r>
      <w:r>
        <w:rPr>
          <w:sz w:val="30"/>
        </w:rPr>
        <w:t>the</w:t>
      </w:r>
      <w:r>
        <w:rPr>
          <w:spacing w:val="23"/>
          <w:sz w:val="30"/>
        </w:rPr>
        <w:t xml:space="preserve">  </w:t>
      </w:r>
      <w:r>
        <w:rPr>
          <w:sz w:val="30"/>
        </w:rPr>
        <w:t>sentences</w:t>
      </w:r>
      <w:r>
        <w:rPr>
          <w:spacing w:val="23"/>
          <w:sz w:val="30"/>
        </w:rPr>
        <w:t xml:space="preserve">  </w:t>
      </w:r>
      <w:r>
        <w:rPr>
          <w:sz w:val="30"/>
        </w:rPr>
        <w:t>composing</w:t>
      </w:r>
      <w:r>
        <w:rPr>
          <w:spacing w:val="24"/>
          <w:sz w:val="30"/>
        </w:rPr>
        <w:t xml:space="preserve">  </w:t>
      </w:r>
      <w:r>
        <w:rPr>
          <w:sz w:val="30"/>
        </w:rPr>
        <w:t>a</w:t>
      </w:r>
      <w:r>
        <w:rPr>
          <w:spacing w:val="23"/>
          <w:sz w:val="30"/>
        </w:rPr>
        <w:t xml:space="preserve">  </w:t>
      </w:r>
      <w:r>
        <w:rPr>
          <w:sz w:val="30"/>
        </w:rPr>
        <w:t>conjunction.</w:t>
      </w:r>
      <w:r>
        <w:rPr>
          <w:spacing w:val="23"/>
          <w:sz w:val="30"/>
        </w:rPr>
        <w:t xml:space="preserve">  </w:t>
      </w:r>
      <w:bookmarkStart w:id="657" w:name="_bookmark657"/>
      <w:bookmarkEnd w:id="657"/>
      <w:r>
        <w:rPr>
          <w:spacing w:val="-10"/>
          <w:sz w:val="30"/>
        </w:rPr>
        <w:t>A</w:t>
      </w:r>
    </w:p>
    <w:p w14:paraId="7E002FC9" w14:textId="77777777" w:rsidR="009A58DB" w:rsidRDefault="00000000">
      <w:pPr>
        <w:pStyle w:val="BodyText"/>
        <w:spacing w:before="15" w:line="249" w:lineRule="auto"/>
        <w:ind w:left="720" w:right="372"/>
      </w:pPr>
      <w:r>
        <w:t>conjunction is a sentence that consists of two or more sentences that are joined by an “and” (or some other comparable expression, e.g. “but”).</w:t>
      </w:r>
    </w:p>
    <w:p w14:paraId="7E002FCA" w14:textId="77777777" w:rsidR="009A58DB" w:rsidRDefault="00000000">
      <w:pPr>
        <w:pStyle w:val="ListParagraph"/>
        <w:numPr>
          <w:ilvl w:val="0"/>
          <w:numId w:val="6"/>
        </w:numPr>
        <w:tabs>
          <w:tab w:val="left" w:pos="795"/>
        </w:tabs>
        <w:spacing w:before="47"/>
        <w:ind w:left="795" w:hanging="450"/>
        <w:rPr>
          <w:color w:val="0562C1"/>
          <w:position w:val="12"/>
          <w:sz w:val="30"/>
          <w:u w:val="single" w:color="0562C1"/>
        </w:rPr>
      </w:pPr>
      <w:r>
        <w:rPr>
          <w:sz w:val="30"/>
        </w:rPr>
        <w:t>See</w:t>
      </w:r>
      <w:r>
        <w:rPr>
          <w:spacing w:val="-5"/>
          <w:sz w:val="30"/>
        </w:rPr>
        <w:t xml:space="preserve"> </w:t>
      </w:r>
      <w:r>
        <w:rPr>
          <w:sz w:val="30"/>
        </w:rPr>
        <w:t>Appendix</w:t>
      </w:r>
      <w:r>
        <w:rPr>
          <w:spacing w:val="-2"/>
          <w:sz w:val="30"/>
        </w:rPr>
        <w:t xml:space="preserve"> </w:t>
      </w:r>
      <w:r>
        <w:rPr>
          <w:sz w:val="30"/>
        </w:rPr>
        <w:t>2</w:t>
      </w:r>
      <w:r>
        <w:rPr>
          <w:spacing w:val="-2"/>
          <w:sz w:val="30"/>
        </w:rPr>
        <w:t xml:space="preserve"> </w:t>
      </w:r>
      <w:r>
        <w:rPr>
          <w:sz w:val="30"/>
        </w:rPr>
        <w:t>for</w:t>
      </w:r>
      <w:r>
        <w:rPr>
          <w:spacing w:val="-3"/>
          <w:sz w:val="30"/>
        </w:rPr>
        <w:t xml:space="preserve"> </w:t>
      </w:r>
      <w:r>
        <w:rPr>
          <w:sz w:val="30"/>
        </w:rPr>
        <w:t>a</w:t>
      </w:r>
      <w:r>
        <w:rPr>
          <w:spacing w:val="-2"/>
          <w:sz w:val="30"/>
        </w:rPr>
        <w:t xml:space="preserve"> </w:t>
      </w:r>
      <w:r>
        <w:rPr>
          <w:sz w:val="30"/>
        </w:rPr>
        <w:t>discussion</w:t>
      </w:r>
      <w:r>
        <w:rPr>
          <w:spacing w:val="-2"/>
          <w:sz w:val="30"/>
        </w:rPr>
        <w:t xml:space="preserve"> </w:t>
      </w:r>
      <w:r>
        <w:rPr>
          <w:sz w:val="30"/>
        </w:rPr>
        <w:t>of</w:t>
      </w:r>
      <w:r>
        <w:rPr>
          <w:spacing w:val="-3"/>
          <w:sz w:val="30"/>
        </w:rPr>
        <w:t xml:space="preserve"> </w:t>
      </w:r>
      <w:r>
        <w:rPr>
          <w:sz w:val="30"/>
        </w:rPr>
        <w:t>this</w:t>
      </w:r>
      <w:r>
        <w:rPr>
          <w:spacing w:val="-2"/>
          <w:sz w:val="30"/>
        </w:rPr>
        <w:t xml:space="preserve"> principle.</w:t>
      </w:r>
    </w:p>
    <w:p w14:paraId="7E002FCB" w14:textId="77777777" w:rsidR="009A58DB" w:rsidRDefault="00000000">
      <w:pPr>
        <w:pStyle w:val="ListParagraph"/>
        <w:numPr>
          <w:ilvl w:val="0"/>
          <w:numId w:val="6"/>
        </w:numPr>
        <w:tabs>
          <w:tab w:val="left" w:pos="795"/>
        </w:tabs>
        <w:spacing w:before="45"/>
        <w:ind w:left="795" w:hanging="450"/>
        <w:rPr>
          <w:color w:val="0562C1"/>
          <w:position w:val="12"/>
          <w:sz w:val="30"/>
          <w:u w:val="single" w:color="0562C1"/>
        </w:rPr>
      </w:pPr>
      <w:r>
        <w:rPr>
          <w:sz w:val="30"/>
        </w:rPr>
        <w:t>“CT”</w:t>
      </w:r>
      <w:r>
        <w:rPr>
          <w:spacing w:val="-4"/>
          <w:sz w:val="30"/>
        </w:rPr>
        <w:t xml:space="preserve"> </w:t>
      </w:r>
      <w:r>
        <w:rPr>
          <w:sz w:val="30"/>
        </w:rPr>
        <w:t>is</w:t>
      </w:r>
      <w:r>
        <w:rPr>
          <w:spacing w:val="-4"/>
          <w:sz w:val="30"/>
        </w:rPr>
        <w:t xml:space="preserve"> </w:t>
      </w:r>
      <w:r>
        <w:rPr>
          <w:sz w:val="30"/>
        </w:rPr>
        <w:t>short</w:t>
      </w:r>
      <w:r>
        <w:rPr>
          <w:spacing w:val="-3"/>
          <w:sz w:val="30"/>
        </w:rPr>
        <w:t xml:space="preserve"> </w:t>
      </w:r>
      <w:r>
        <w:rPr>
          <w:sz w:val="30"/>
        </w:rPr>
        <w:t>for</w:t>
      </w:r>
      <w:r>
        <w:rPr>
          <w:spacing w:val="-4"/>
          <w:sz w:val="30"/>
        </w:rPr>
        <w:t xml:space="preserve"> </w:t>
      </w:r>
      <w:r>
        <w:rPr>
          <w:sz w:val="30"/>
        </w:rPr>
        <w:t>“central</w:t>
      </w:r>
      <w:r>
        <w:rPr>
          <w:spacing w:val="-3"/>
          <w:sz w:val="30"/>
        </w:rPr>
        <w:t xml:space="preserve"> </w:t>
      </w:r>
      <w:r>
        <w:rPr>
          <w:spacing w:val="-2"/>
          <w:sz w:val="30"/>
        </w:rPr>
        <w:t>thesis.”</w:t>
      </w:r>
    </w:p>
    <w:p w14:paraId="7E002FCC" w14:textId="77777777" w:rsidR="009A58DB" w:rsidRDefault="00000000">
      <w:pPr>
        <w:pStyle w:val="ListParagraph"/>
        <w:numPr>
          <w:ilvl w:val="0"/>
          <w:numId w:val="6"/>
        </w:numPr>
        <w:tabs>
          <w:tab w:val="left" w:pos="720"/>
          <w:tab w:val="left" w:pos="837"/>
        </w:tabs>
        <w:spacing w:before="60" w:line="249" w:lineRule="auto"/>
        <w:ind w:right="364" w:hanging="375"/>
        <w:jc w:val="both"/>
        <w:rPr>
          <w:color w:val="0562C1"/>
          <w:position w:val="12"/>
          <w:sz w:val="30"/>
          <w:u w:val="single" w:color="0562C1"/>
        </w:rPr>
      </w:pPr>
      <w:r>
        <w:rPr>
          <w:sz w:val="30"/>
        </w:rPr>
        <w:t>“Corollary” is a synonym of “consequence.” A corollary of nation X’s having</w:t>
      </w:r>
      <w:r>
        <w:rPr>
          <w:spacing w:val="-2"/>
          <w:sz w:val="30"/>
        </w:rPr>
        <w:t xml:space="preserve"> </w:t>
      </w:r>
      <w:r>
        <w:rPr>
          <w:sz w:val="30"/>
        </w:rPr>
        <w:t>all</w:t>
      </w:r>
      <w:r>
        <w:rPr>
          <w:spacing w:val="-3"/>
          <w:sz w:val="30"/>
        </w:rPr>
        <w:t xml:space="preserve"> </w:t>
      </w:r>
      <w:r>
        <w:rPr>
          <w:sz w:val="30"/>
        </w:rPr>
        <w:t>its</w:t>
      </w:r>
      <w:r>
        <w:rPr>
          <w:spacing w:val="-3"/>
          <w:sz w:val="30"/>
        </w:rPr>
        <w:t xml:space="preserve"> </w:t>
      </w:r>
      <w:r>
        <w:rPr>
          <w:sz w:val="30"/>
        </w:rPr>
        <w:t>troops</w:t>
      </w:r>
      <w:r>
        <w:rPr>
          <w:spacing w:val="-3"/>
          <w:sz w:val="30"/>
        </w:rPr>
        <w:t xml:space="preserve"> </w:t>
      </w:r>
      <w:r>
        <w:rPr>
          <w:sz w:val="30"/>
        </w:rPr>
        <w:t>in</w:t>
      </w:r>
      <w:r>
        <w:rPr>
          <w:spacing w:val="-2"/>
          <w:sz w:val="30"/>
        </w:rPr>
        <w:t xml:space="preserve"> </w:t>
      </w:r>
      <w:r>
        <w:rPr>
          <w:sz w:val="30"/>
        </w:rPr>
        <w:t>Nation</w:t>
      </w:r>
      <w:r>
        <w:rPr>
          <w:spacing w:val="-2"/>
          <w:sz w:val="30"/>
        </w:rPr>
        <w:t xml:space="preserve"> </w:t>
      </w:r>
      <w:r>
        <w:rPr>
          <w:sz w:val="30"/>
        </w:rPr>
        <w:t>Y</w:t>
      </w:r>
      <w:r>
        <w:rPr>
          <w:spacing w:val="-3"/>
          <w:sz w:val="30"/>
        </w:rPr>
        <w:t xml:space="preserve"> </w:t>
      </w:r>
      <w:r>
        <w:rPr>
          <w:sz w:val="30"/>
        </w:rPr>
        <w:t>is</w:t>
      </w:r>
      <w:r>
        <w:rPr>
          <w:spacing w:val="-3"/>
          <w:sz w:val="30"/>
        </w:rPr>
        <w:t xml:space="preserve"> </w:t>
      </w:r>
      <w:r>
        <w:rPr>
          <w:sz w:val="30"/>
        </w:rPr>
        <w:t>that</w:t>
      </w:r>
      <w:r>
        <w:rPr>
          <w:spacing w:val="-3"/>
          <w:sz w:val="30"/>
        </w:rPr>
        <w:t xml:space="preserve"> </w:t>
      </w:r>
      <w:r>
        <w:rPr>
          <w:sz w:val="30"/>
        </w:rPr>
        <w:t>it</w:t>
      </w:r>
      <w:r>
        <w:rPr>
          <w:spacing w:val="-3"/>
          <w:sz w:val="30"/>
        </w:rPr>
        <w:t xml:space="preserve"> </w:t>
      </w:r>
      <w:r>
        <w:rPr>
          <w:sz w:val="30"/>
        </w:rPr>
        <w:t>can’t</w:t>
      </w:r>
      <w:r>
        <w:rPr>
          <w:spacing w:val="-3"/>
          <w:sz w:val="30"/>
        </w:rPr>
        <w:t xml:space="preserve"> </w:t>
      </w:r>
      <w:r>
        <w:rPr>
          <w:sz w:val="30"/>
        </w:rPr>
        <w:t>station</w:t>
      </w:r>
      <w:r>
        <w:rPr>
          <w:spacing w:val="-2"/>
          <w:sz w:val="30"/>
        </w:rPr>
        <w:t xml:space="preserve"> </w:t>
      </w:r>
      <w:r>
        <w:rPr>
          <w:sz w:val="30"/>
        </w:rPr>
        <w:t>any</w:t>
      </w:r>
      <w:r>
        <w:rPr>
          <w:spacing w:val="-2"/>
          <w:sz w:val="30"/>
        </w:rPr>
        <w:t xml:space="preserve"> </w:t>
      </w:r>
      <w:r>
        <w:rPr>
          <w:sz w:val="30"/>
        </w:rPr>
        <w:t>troops</w:t>
      </w:r>
      <w:r>
        <w:rPr>
          <w:spacing w:val="-3"/>
          <w:sz w:val="30"/>
        </w:rPr>
        <w:t xml:space="preserve"> </w:t>
      </w:r>
      <w:r>
        <w:rPr>
          <w:sz w:val="30"/>
        </w:rPr>
        <w:t>in</w:t>
      </w:r>
      <w:r>
        <w:rPr>
          <w:spacing w:val="-2"/>
          <w:sz w:val="30"/>
        </w:rPr>
        <w:t xml:space="preserve"> </w:t>
      </w:r>
      <w:r>
        <w:rPr>
          <w:sz w:val="30"/>
        </w:rPr>
        <w:t xml:space="preserve">Nation </w:t>
      </w:r>
      <w:r>
        <w:rPr>
          <w:spacing w:val="-6"/>
          <w:sz w:val="30"/>
        </w:rPr>
        <w:t>Z.</w:t>
      </w:r>
    </w:p>
    <w:p w14:paraId="7E002FCD" w14:textId="77777777" w:rsidR="009A58DB" w:rsidRDefault="00000000">
      <w:pPr>
        <w:pStyle w:val="ListParagraph"/>
        <w:numPr>
          <w:ilvl w:val="0"/>
          <w:numId w:val="6"/>
        </w:numPr>
        <w:tabs>
          <w:tab w:val="left" w:pos="863"/>
        </w:tabs>
        <w:spacing w:before="49"/>
        <w:ind w:left="863" w:hanging="518"/>
        <w:rPr>
          <w:color w:val="0562C1"/>
          <w:position w:val="12"/>
          <w:sz w:val="30"/>
          <w:u w:val="single" w:color="0562C1"/>
        </w:rPr>
      </w:pPr>
      <w:r>
        <w:rPr>
          <w:sz w:val="30"/>
        </w:rPr>
        <w:t>See</w:t>
      </w:r>
      <w:r>
        <w:rPr>
          <w:spacing w:val="62"/>
          <w:sz w:val="30"/>
        </w:rPr>
        <w:t xml:space="preserve"> </w:t>
      </w:r>
      <w:r>
        <w:rPr>
          <w:sz w:val="30"/>
        </w:rPr>
        <w:t>Wittgenstein</w:t>
      </w:r>
      <w:r>
        <w:rPr>
          <w:spacing w:val="65"/>
          <w:sz w:val="30"/>
        </w:rPr>
        <w:t xml:space="preserve"> </w:t>
      </w:r>
      <w:r>
        <w:rPr>
          <w:sz w:val="30"/>
        </w:rPr>
        <w:t>(1922),</w:t>
      </w:r>
      <w:r>
        <w:rPr>
          <w:spacing w:val="65"/>
          <w:sz w:val="30"/>
        </w:rPr>
        <w:t xml:space="preserve"> </w:t>
      </w:r>
      <w:r>
        <w:rPr>
          <w:sz w:val="30"/>
        </w:rPr>
        <w:t>Carnap</w:t>
      </w:r>
      <w:r>
        <w:rPr>
          <w:spacing w:val="65"/>
          <w:sz w:val="30"/>
        </w:rPr>
        <w:t xml:space="preserve"> </w:t>
      </w:r>
      <w:r>
        <w:rPr>
          <w:sz w:val="30"/>
        </w:rPr>
        <w:t>(1932,</w:t>
      </w:r>
      <w:r>
        <w:rPr>
          <w:spacing w:val="65"/>
          <w:sz w:val="30"/>
        </w:rPr>
        <w:t xml:space="preserve"> </w:t>
      </w:r>
      <w:r>
        <w:rPr>
          <w:sz w:val="30"/>
        </w:rPr>
        <w:t>1934),</w:t>
      </w:r>
      <w:r>
        <w:rPr>
          <w:spacing w:val="65"/>
          <w:sz w:val="30"/>
        </w:rPr>
        <w:t xml:space="preserve"> </w:t>
      </w:r>
      <w:r>
        <w:rPr>
          <w:sz w:val="30"/>
        </w:rPr>
        <w:t>Schlick</w:t>
      </w:r>
      <w:r>
        <w:rPr>
          <w:spacing w:val="65"/>
          <w:sz w:val="30"/>
        </w:rPr>
        <w:t xml:space="preserve"> </w:t>
      </w:r>
      <w:r>
        <w:rPr>
          <w:sz w:val="30"/>
        </w:rPr>
        <w:t>(1932,</w:t>
      </w:r>
      <w:r>
        <w:rPr>
          <w:spacing w:val="65"/>
          <w:sz w:val="30"/>
        </w:rPr>
        <w:t xml:space="preserve"> </w:t>
      </w:r>
      <w:r>
        <w:rPr>
          <w:spacing w:val="-2"/>
          <w:sz w:val="30"/>
        </w:rPr>
        <w:t>1934),</w:t>
      </w:r>
    </w:p>
    <w:p w14:paraId="7E002FCE" w14:textId="77777777" w:rsidR="009A58DB" w:rsidRDefault="00000000">
      <w:pPr>
        <w:pStyle w:val="BodyText"/>
        <w:spacing w:before="15"/>
        <w:ind w:left="720"/>
      </w:pPr>
      <w:r>
        <w:t>Hahn</w:t>
      </w:r>
      <w:r>
        <w:rPr>
          <w:spacing w:val="-5"/>
        </w:rPr>
        <w:t xml:space="preserve"> </w:t>
      </w:r>
      <w:r>
        <w:t>(1933),</w:t>
      </w:r>
      <w:r>
        <w:rPr>
          <w:spacing w:val="-3"/>
        </w:rPr>
        <w:t xml:space="preserve"> </w:t>
      </w:r>
      <w:r>
        <w:t>Stevenson</w:t>
      </w:r>
      <w:r>
        <w:rPr>
          <w:spacing w:val="-3"/>
        </w:rPr>
        <w:t xml:space="preserve"> </w:t>
      </w:r>
      <w:r>
        <w:t>(1937),</w:t>
      </w:r>
      <w:r>
        <w:rPr>
          <w:spacing w:val="-2"/>
        </w:rPr>
        <w:t xml:space="preserve"> </w:t>
      </w:r>
      <w:r>
        <w:t>Hempel</w:t>
      </w:r>
      <w:r>
        <w:rPr>
          <w:spacing w:val="-4"/>
        </w:rPr>
        <w:t xml:space="preserve"> </w:t>
      </w:r>
      <w:r>
        <w:t>(1950),</w:t>
      </w:r>
      <w:r>
        <w:rPr>
          <w:spacing w:val="-3"/>
        </w:rPr>
        <w:t xml:space="preserve"> </w:t>
      </w:r>
      <w:r>
        <w:t>Ayer</w:t>
      </w:r>
      <w:r>
        <w:rPr>
          <w:spacing w:val="-3"/>
        </w:rPr>
        <w:t xml:space="preserve"> </w:t>
      </w:r>
      <w:r>
        <w:rPr>
          <w:spacing w:val="-2"/>
        </w:rPr>
        <w:t>(1952).</w:t>
      </w:r>
    </w:p>
    <w:p w14:paraId="7E002FCF" w14:textId="77777777" w:rsidR="009A58DB" w:rsidRDefault="00000000">
      <w:pPr>
        <w:pStyle w:val="ListParagraph"/>
        <w:numPr>
          <w:ilvl w:val="0"/>
          <w:numId w:val="6"/>
        </w:numPr>
        <w:tabs>
          <w:tab w:val="left" w:pos="720"/>
        </w:tabs>
        <w:spacing w:before="45" w:line="249" w:lineRule="auto"/>
        <w:ind w:right="366" w:hanging="375"/>
        <w:jc w:val="both"/>
        <w:rPr>
          <w:color w:val="0562C1"/>
          <w:position w:val="12"/>
          <w:sz w:val="30"/>
          <w:u w:val="single" w:color="0562C1"/>
        </w:rPr>
      </w:pPr>
      <w:r>
        <w:rPr>
          <w:sz w:val="30"/>
        </w:rPr>
        <w:t xml:space="preserve"> “Iff” means “if and only if.” “S</w:t>
      </w:r>
      <w:r>
        <w:rPr>
          <w:position w:val="-7"/>
        </w:rPr>
        <w:t>1</w:t>
      </w:r>
      <w:r>
        <w:rPr>
          <w:spacing w:val="40"/>
          <w:position w:val="-7"/>
        </w:rPr>
        <w:t xml:space="preserve"> </w:t>
      </w:r>
      <w:r>
        <w:rPr>
          <w:sz w:val="30"/>
        </w:rPr>
        <w:t>iff S</w:t>
      </w:r>
      <w:r>
        <w:rPr>
          <w:position w:val="-7"/>
        </w:rPr>
        <w:t>2</w:t>
      </w:r>
      <w:r>
        <w:rPr>
          <w:sz w:val="30"/>
        </w:rPr>
        <w:t>” means “if S</w:t>
      </w:r>
      <w:r>
        <w:rPr>
          <w:position w:val="-7"/>
        </w:rPr>
        <w:t>1</w:t>
      </w:r>
      <w:r>
        <w:rPr>
          <w:spacing w:val="40"/>
          <w:position w:val="-7"/>
        </w:rPr>
        <w:t xml:space="preserve"> </w:t>
      </w:r>
      <w:r>
        <w:rPr>
          <w:sz w:val="30"/>
        </w:rPr>
        <w:t>is true, it follows that</w:t>
      </w:r>
      <w:r>
        <w:rPr>
          <w:spacing w:val="-2"/>
          <w:sz w:val="30"/>
        </w:rPr>
        <w:t xml:space="preserve"> </w:t>
      </w:r>
      <w:r>
        <w:rPr>
          <w:sz w:val="30"/>
        </w:rPr>
        <w:t>S</w:t>
      </w:r>
      <w:r>
        <w:rPr>
          <w:position w:val="-7"/>
        </w:rPr>
        <w:t xml:space="preserve">2 </w:t>
      </w:r>
      <w:r>
        <w:rPr>
          <w:sz w:val="30"/>
        </w:rPr>
        <w:t>is true; and if S</w:t>
      </w:r>
      <w:r>
        <w:rPr>
          <w:position w:val="-7"/>
        </w:rPr>
        <w:t xml:space="preserve">2 </w:t>
      </w:r>
      <w:r>
        <w:rPr>
          <w:sz w:val="30"/>
        </w:rPr>
        <w:t>is true, it follows that S</w:t>
      </w:r>
      <w:r>
        <w:rPr>
          <w:position w:val="-7"/>
        </w:rPr>
        <w:t xml:space="preserve">1 </w:t>
      </w:r>
      <w:r>
        <w:rPr>
          <w:sz w:val="30"/>
        </w:rPr>
        <w:t>is true.” Thus, “S</w:t>
      </w:r>
      <w:r>
        <w:rPr>
          <w:position w:val="-7"/>
        </w:rPr>
        <w:t>1</w:t>
      </w:r>
      <w:r>
        <w:rPr>
          <w:spacing w:val="26"/>
          <w:position w:val="-7"/>
        </w:rPr>
        <w:t xml:space="preserve"> </w:t>
      </w:r>
      <w:r>
        <w:rPr>
          <w:sz w:val="30"/>
        </w:rPr>
        <w:t>iff S</w:t>
      </w:r>
      <w:r>
        <w:rPr>
          <w:position w:val="-7"/>
        </w:rPr>
        <w:t>2</w:t>
      </w:r>
      <w:r>
        <w:rPr>
          <w:sz w:val="30"/>
        </w:rPr>
        <w:t>” means that the truth of S</w:t>
      </w:r>
      <w:r>
        <w:rPr>
          <w:sz w:val="30"/>
          <w:vertAlign w:val="subscript"/>
        </w:rPr>
        <w:t>1</w:t>
      </w:r>
      <w:r>
        <w:rPr>
          <w:sz w:val="30"/>
        </w:rPr>
        <w:t xml:space="preserve"> is both </w:t>
      </w:r>
      <w:r>
        <w:rPr>
          <w:b/>
          <w:i/>
          <w:sz w:val="30"/>
        </w:rPr>
        <w:t xml:space="preserve">necessary </w:t>
      </w:r>
      <w:r>
        <w:rPr>
          <w:sz w:val="30"/>
        </w:rPr>
        <w:t xml:space="preserve">and </w:t>
      </w:r>
      <w:r>
        <w:rPr>
          <w:b/>
          <w:i/>
          <w:sz w:val="30"/>
        </w:rPr>
        <w:t xml:space="preserve">sufficient </w:t>
      </w:r>
      <w:r>
        <w:rPr>
          <w:sz w:val="30"/>
        </w:rPr>
        <w:t>for the truth of</w:t>
      </w:r>
    </w:p>
    <w:p w14:paraId="7E002FD0" w14:textId="77777777" w:rsidR="009A58DB" w:rsidRDefault="00000000">
      <w:pPr>
        <w:spacing w:before="58"/>
        <w:ind w:left="720"/>
        <w:rPr>
          <w:sz w:val="30"/>
        </w:rPr>
      </w:pPr>
      <w:r>
        <w:rPr>
          <w:spacing w:val="-5"/>
          <w:sz w:val="30"/>
        </w:rPr>
        <w:t>S</w:t>
      </w:r>
      <w:r>
        <w:rPr>
          <w:spacing w:val="-5"/>
          <w:position w:val="-7"/>
        </w:rPr>
        <w:t>2</w:t>
      </w:r>
      <w:r>
        <w:rPr>
          <w:spacing w:val="-5"/>
          <w:sz w:val="30"/>
        </w:rPr>
        <w:t>.</w:t>
      </w:r>
    </w:p>
    <w:p w14:paraId="7E002FD1" w14:textId="77777777" w:rsidR="009A58DB" w:rsidRDefault="00000000">
      <w:pPr>
        <w:pStyle w:val="ListParagraph"/>
        <w:numPr>
          <w:ilvl w:val="0"/>
          <w:numId w:val="6"/>
        </w:numPr>
        <w:tabs>
          <w:tab w:val="left" w:pos="795"/>
        </w:tabs>
        <w:spacing w:before="58"/>
        <w:ind w:left="795" w:hanging="450"/>
        <w:rPr>
          <w:color w:val="0562C1"/>
          <w:position w:val="12"/>
          <w:sz w:val="30"/>
          <w:u w:val="single" w:color="0562C1"/>
        </w:rPr>
      </w:pPr>
      <w:r>
        <w:rPr>
          <w:sz w:val="30"/>
        </w:rPr>
        <w:t>In</w:t>
      </w:r>
      <w:r>
        <w:rPr>
          <w:spacing w:val="-3"/>
          <w:sz w:val="30"/>
        </w:rPr>
        <w:t xml:space="preserve"> </w:t>
      </w:r>
      <w:r>
        <w:rPr>
          <w:sz w:val="30"/>
        </w:rPr>
        <w:t>addition</w:t>
      </w:r>
      <w:r>
        <w:rPr>
          <w:spacing w:val="-2"/>
          <w:sz w:val="30"/>
        </w:rPr>
        <w:t xml:space="preserve"> </w:t>
      </w:r>
      <w:r>
        <w:rPr>
          <w:sz w:val="30"/>
        </w:rPr>
        <w:t>to</w:t>
      </w:r>
      <w:r>
        <w:rPr>
          <w:spacing w:val="-3"/>
          <w:sz w:val="30"/>
        </w:rPr>
        <w:t xml:space="preserve"> </w:t>
      </w:r>
      <w:r>
        <w:rPr>
          <w:sz w:val="30"/>
        </w:rPr>
        <w:t>being</w:t>
      </w:r>
      <w:r>
        <w:rPr>
          <w:spacing w:val="-2"/>
          <w:sz w:val="30"/>
        </w:rPr>
        <w:t xml:space="preserve"> </w:t>
      </w:r>
      <w:r>
        <w:rPr>
          <w:sz w:val="30"/>
        </w:rPr>
        <w:t>false,</w:t>
      </w:r>
      <w:r>
        <w:rPr>
          <w:spacing w:val="-2"/>
          <w:sz w:val="30"/>
        </w:rPr>
        <w:t xml:space="preserve"> </w:t>
      </w:r>
      <w:r>
        <w:rPr>
          <w:sz w:val="30"/>
        </w:rPr>
        <w:t>the</w:t>
      </w:r>
      <w:r>
        <w:rPr>
          <w:spacing w:val="-3"/>
          <w:sz w:val="30"/>
        </w:rPr>
        <w:t xml:space="preserve"> </w:t>
      </w:r>
      <w:r>
        <w:rPr>
          <w:spacing w:val="-2"/>
          <w:sz w:val="30"/>
        </w:rPr>
        <w:t>statement:</w:t>
      </w:r>
    </w:p>
    <w:p w14:paraId="7E002FD2" w14:textId="77777777" w:rsidR="009A58DB" w:rsidRDefault="00000000">
      <w:pPr>
        <w:pStyle w:val="BodyText"/>
        <w:spacing w:before="45" w:line="249" w:lineRule="auto"/>
        <w:ind w:left="720" w:right="359" w:firstLine="81"/>
      </w:pPr>
      <w:r>
        <w:t>(VE)</w:t>
      </w:r>
      <w:r>
        <w:rPr>
          <w:spacing w:val="-4"/>
        </w:rPr>
        <w:t xml:space="preserve"> </w:t>
      </w:r>
      <w:r>
        <w:t>“all</w:t>
      </w:r>
      <w:r>
        <w:rPr>
          <w:spacing w:val="-5"/>
        </w:rPr>
        <w:t xml:space="preserve"> </w:t>
      </w:r>
      <w:r>
        <w:t>meaningful</w:t>
      </w:r>
      <w:r>
        <w:rPr>
          <w:spacing w:val="-4"/>
        </w:rPr>
        <w:t xml:space="preserve"> </w:t>
      </w:r>
      <w:r>
        <w:t>non-tautologies</w:t>
      </w:r>
      <w:r>
        <w:rPr>
          <w:spacing w:val="-5"/>
        </w:rPr>
        <w:t xml:space="preserve"> </w:t>
      </w:r>
      <w:r>
        <w:t>are</w:t>
      </w:r>
      <w:r>
        <w:rPr>
          <w:spacing w:val="-4"/>
        </w:rPr>
        <w:t xml:space="preserve"> </w:t>
      </w:r>
      <w:r>
        <w:t>capable</w:t>
      </w:r>
      <w:r>
        <w:rPr>
          <w:spacing w:val="-5"/>
        </w:rPr>
        <w:t xml:space="preserve"> </w:t>
      </w:r>
      <w:r>
        <w:t>of</w:t>
      </w:r>
      <w:r>
        <w:rPr>
          <w:spacing w:val="-4"/>
        </w:rPr>
        <w:t xml:space="preserve"> </w:t>
      </w:r>
      <w:r>
        <w:t>being</w:t>
      </w:r>
      <w:r>
        <w:rPr>
          <w:spacing w:val="-4"/>
        </w:rPr>
        <w:t xml:space="preserve"> </w:t>
      </w:r>
      <w:r>
        <w:t xml:space="preserve">observationally </w:t>
      </w:r>
      <w:r>
        <w:rPr>
          <w:spacing w:val="-2"/>
        </w:rPr>
        <w:t>verified”</w:t>
      </w:r>
    </w:p>
    <w:p w14:paraId="7E002FD3" w14:textId="77777777" w:rsidR="009A58DB" w:rsidRDefault="00000000">
      <w:pPr>
        <w:pStyle w:val="BodyText"/>
        <w:spacing w:before="47" w:line="249" w:lineRule="auto"/>
        <w:ind w:left="720" w:right="358" w:firstLine="210"/>
      </w:pPr>
      <w:r>
        <w:t>isn’t a tautology, since it’s debatable (and false, as we saw). Given that VE isn’t a tautology, one who accepts VE must assume it verifiable if not meaningless,</w:t>
      </w:r>
      <w:r>
        <w:rPr>
          <w:spacing w:val="36"/>
        </w:rPr>
        <w:t xml:space="preserve">  </w:t>
      </w:r>
      <w:r>
        <w:t>and</w:t>
      </w:r>
      <w:r>
        <w:rPr>
          <w:spacing w:val="36"/>
        </w:rPr>
        <w:t xml:space="preserve">  </w:t>
      </w:r>
      <w:r>
        <w:t>must</w:t>
      </w:r>
      <w:r>
        <w:rPr>
          <w:spacing w:val="35"/>
        </w:rPr>
        <w:t xml:space="preserve">  </w:t>
      </w:r>
      <w:r>
        <w:t>therefore</w:t>
      </w:r>
      <w:r>
        <w:rPr>
          <w:spacing w:val="35"/>
        </w:rPr>
        <w:t xml:space="preserve">  </w:t>
      </w:r>
      <w:r>
        <w:t>assume</w:t>
      </w:r>
      <w:r>
        <w:rPr>
          <w:spacing w:val="35"/>
        </w:rPr>
        <w:t xml:space="preserve">  </w:t>
      </w:r>
      <w:r>
        <w:t>it</w:t>
      </w:r>
      <w:r>
        <w:rPr>
          <w:spacing w:val="35"/>
        </w:rPr>
        <w:t xml:space="preserve">  </w:t>
      </w:r>
      <w:r>
        <w:t>verifiable.</w:t>
      </w:r>
      <w:r>
        <w:rPr>
          <w:spacing w:val="36"/>
        </w:rPr>
        <w:t xml:space="preserve">  </w:t>
      </w:r>
      <w:r>
        <w:t>But</w:t>
      </w:r>
      <w:r>
        <w:rPr>
          <w:spacing w:val="35"/>
        </w:rPr>
        <w:t xml:space="preserve">  </w:t>
      </w:r>
      <w:r>
        <w:t>VE</w:t>
      </w:r>
      <w:r>
        <w:rPr>
          <w:spacing w:val="35"/>
        </w:rPr>
        <w:t xml:space="preserve">  </w:t>
      </w:r>
      <w:r>
        <w:t>is</w:t>
      </w:r>
    </w:p>
    <w:p w14:paraId="7E002FD4"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FD5" w14:textId="77777777" w:rsidR="009A58DB" w:rsidRDefault="00000000">
      <w:pPr>
        <w:pStyle w:val="BodyText"/>
        <w:spacing w:before="66" w:line="249" w:lineRule="auto"/>
        <w:ind w:left="720" w:right="361"/>
      </w:pPr>
      <w:r>
        <w:t>unverifiable for the same reason as “all metal expands when heated.” Any attempt to show otherwise would be self-refuting. One can’t try to show that</w:t>
      </w:r>
      <w:r>
        <w:rPr>
          <w:spacing w:val="-1"/>
        </w:rPr>
        <w:t xml:space="preserve"> </w:t>
      </w:r>
      <w:r>
        <w:t>VE</w:t>
      </w:r>
      <w:r>
        <w:rPr>
          <w:spacing w:val="-1"/>
        </w:rPr>
        <w:t xml:space="preserve"> </w:t>
      </w:r>
      <w:r>
        <w:t>is</w:t>
      </w:r>
      <w:r>
        <w:rPr>
          <w:spacing w:val="-1"/>
        </w:rPr>
        <w:t xml:space="preserve"> </w:t>
      </w:r>
      <w:r>
        <w:t>verifiable</w:t>
      </w:r>
      <w:r>
        <w:rPr>
          <w:spacing w:val="-1"/>
        </w:rPr>
        <w:t xml:space="preserve"> </w:t>
      </w:r>
      <w:r>
        <w:t>without</w:t>
      </w:r>
      <w:r>
        <w:rPr>
          <w:spacing w:val="-1"/>
        </w:rPr>
        <w:t xml:space="preserve"> </w:t>
      </w:r>
      <w:r>
        <w:t>first</w:t>
      </w:r>
      <w:r>
        <w:rPr>
          <w:spacing w:val="-1"/>
        </w:rPr>
        <w:t xml:space="preserve"> </w:t>
      </w:r>
      <w:r>
        <w:t>assuming</w:t>
      </w:r>
      <w:r>
        <w:rPr>
          <w:spacing w:val="-1"/>
        </w:rPr>
        <w:t xml:space="preserve"> </w:t>
      </w:r>
      <w:r>
        <w:t>it</w:t>
      </w:r>
      <w:r>
        <w:rPr>
          <w:spacing w:val="-1"/>
        </w:rPr>
        <w:t xml:space="preserve"> </w:t>
      </w:r>
      <w:r>
        <w:t>meaningful.</w:t>
      </w:r>
      <w:r>
        <w:rPr>
          <w:spacing w:val="-1"/>
        </w:rPr>
        <w:t xml:space="preserve"> </w:t>
      </w:r>
      <w:r>
        <w:t>But</w:t>
      </w:r>
      <w:r>
        <w:rPr>
          <w:spacing w:val="-1"/>
        </w:rPr>
        <w:t xml:space="preserve"> </w:t>
      </w:r>
      <w:r>
        <w:t>in</w:t>
      </w:r>
      <w:r>
        <w:rPr>
          <w:spacing w:val="-1"/>
        </w:rPr>
        <w:t xml:space="preserve"> </w:t>
      </w:r>
      <w:r>
        <w:t xml:space="preserve">assuming this, one is assuming that unverifiable non-tautologies </w:t>
      </w:r>
      <w:r>
        <w:rPr>
          <w:i/>
        </w:rPr>
        <w:t xml:space="preserve">can </w:t>
      </w:r>
      <w:r>
        <w:t>be meaningful and, therefore, that VE is false.</w:t>
      </w:r>
    </w:p>
    <w:p w14:paraId="7E002FD6" w14:textId="77777777" w:rsidR="009A58DB" w:rsidRDefault="00000000">
      <w:pPr>
        <w:pStyle w:val="ListParagraph"/>
        <w:numPr>
          <w:ilvl w:val="0"/>
          <w:numId w:val="6"/>
        </w:numPr>
        <w:tabs>
          <w:tab w:val="left" w:pos="720"/>
        </w:tabs>
        <w:spacing w:before="50" w:line="249" w:lineRule="auto"/>
        <w:ind w:right="357" w:hanging="375"/>
        <w:jc w:val="both"/>
        <w:rPr>
          <w:color w:val="0562C1"/>
          <w:position w:val="12"/>
          <w:sz w:val="30"/>
          <w:u w:val="single" w:color="0562C1"/>
        </w:rPr>
      </w:pPr>
      <w:r>
        <w:rPr>
          <w:sz w:val="30"/>
        </w:rPr>
        <w:t xml:space="preserve"> The term “falsificationism” is associated with Karl Popper (1902–1994). But, contrary to what is sometimes alleged, Popper didn’t advocate the doctrine to which that expression refers in this context. He did not hold that</w:t>
      </w:r>
      <w:r>
        <w:rPr>
          <w:spacing w:val="-4"/>
          <w:sz w:val="30"/>
        </w:rPr>
        <w:t xml:space="preserve"> </w:t>
      </w:r>
      <w:r>
        <w:rPr>
          <w:sz w:val="30"/>
        </w:rPr>
        <w:t>a</w:t>
      </w:r>
      <w:r>
        <w:rPr>
          <w:spacing w:val="-4"/>
          <w:sz w:val="30"/>
        </w:rPr>
        <w:t xml:space="preserve"> </w:t>
      </w:r>
      <w:r>
        <w:rPr>
          <w:sz w:val="30"/>
        </w:rPr>
        <w:t>statement</w:t>
      </w:r>
      <w:r>
        <w:rPr>
          <w:spacing w:val="-4"/>
          <w:sz w:val="30"/>
        </w:rPr>
        <w:t xml:space="preserve"> </w:t>
      </w:r>
      <w:r>
        <w:rPr>
          <w:sz w:val="30"/>
        </w:rPr>
        <w:t>had</w:t>
      </w:r>
      <w:r>
        <w:rPr>
          <w:spacing w:val="-3"/>
          <w:sz w:val="30"/>
        </w:rPr>
        <w:t xml:space="preserve"> </w:t>
      </w:r>
      <w:r>
        <w:rPr>
          <w:sz w:val="30"/>
        </w:rPr>
        <w:t>to</w:t>
      </w:r>
      <w:r>
        <w:rPr>
          <w:spacing w:val="-3"/>
          <w:sz w:val="30"/>
        </w:rPr>
        <w:t xml:space="preserve"> </w:t>
      </w:r>
      <w:r>
        <w:rPr>
          <w:sz w:val="30"/>
        </w:rPr>
        <w:t>be</w:t>
      </w:r>
      <w:r>
        <w:rPr>
          <w:spacing w:val="-4"/>
          <w:sz w:val="30"/>
        </w:rPr>
        <w:t xml:space="preserve"> </w:t>
      </w:r>
      <w:r>
        <w:rPr>
          <w:sz w:val="30"/>
        </w:rPr>
        <w:t>falsifiable</w:t>
      </w:r>
      <w:r>
        <w:rPr>
          <w:spacing w:val="-4"/>
          <w:sz w:val="30"/>
        </w:rPr>
        <w:t xml:space="preserve"> </w:t>
      </w:r>
      <w:r>
        <w:rPr>
          <w:sz w:val="30"/>
        </w:rPr>
        <w:t>to</w:t>
      </w:r>
      <w:r>
        <w:rPr>
          <w:spacing w:val="-3"/>
          <w:sz w:val="30"/>
        </w:rPr>
        <w:t xml:space="preserve"> </w:t>
      </w:r>
      <w:r>
        <w:rPr>
          <w:sz w:val="30"/>
        </w:rPr>
        <w:t>be</w:t>
      </w:r>
      <w:r>
        <w:rPr>
          <w:spacing w:val="-4"/>
          <w:sz w:val="30"/>
        </w:rPr>
        <w:t xml:space="preserve"> </w:t>
      </w:r>
      <w:r>
        <w:rPr>
          <w:i/>
          <w:sz w:val="30"/>
        </w:rPr>
        <w:t>meaningful.</w:t>
      </w:r>
      <w:r>
        <w:rPr>
          <w:i/>
          <w:spacing w:val="-3"/>
          <w:sz w:val="30"/>
        </w:rPr>
        <w:t xml:space="preserve"> </w:t>
      </w:r>
      <w:r>
        <w:rPr>
          <w:sz w:val="30"/>
        </w:rPr>
        <w:t xml:space="preserve">Popper accepted the doctrine that for a statement to be </w:t>
      </w:r>
      <w:r>
        <w:rPr>
          <w:i/>
          <w:sz w:val="30"/>
        </w:rPr>
        <w:t>scientific</w:t>
      </w:r>
      <w:r>
        <w:rPr>
          <w:i/>
          <w:spacing w:val="-3"/>
          <w:sz w:val="30"/>
        </w:rPr>
        <w:t xml:space="preserve"> </w:t>
      </w:r>
      <w:r>
        <w:rPr>
          <w:sz w:val="30"/>
        </w:rPr>
        <w:t xml:space="preserve">is for it to be falsifiable. (Both doctrines are known as “falsificationism.” Hence the mix-up.) He makes this clear in his (1983) book </w:t>
      </w:r>
      <w:r>
        <w:rPr>
          <w:i/>
          <w:sz w:val="30"/>
        </w:rPr>
        <w:t>Realism and the Aim of Science.</w:t>
      </w:r>
    </w:p>
    <w:p w14:paraId="7E002FD7" w14:textId="77777777" w:rsidR="009A58DB" w:rsidRDefault="00000000">
      <w:pPr>
        <w:pStyle w:val="ListParagraph"/>
        <w:numPr>
          <w:ilvl w:val="0"/>
          <w:numId w:val="6"/>
        </w:numPr>
        <w:tabs>
          <w:tab w:val="left" w:pos="720"/>
          <w:tab w:val="left" w:pos="847"/>
        </w:tabs>
        <w:spacing w:before="38" w:line="249" w:lineRule="auto"/>
        <w:ind w:right="361" w:hanging="375"/>
        <w:jc w:val="both"/>
        <w:rPr>
          <w:color w:val="0562C1"/>
          <w:position w:val="12"/>
          <w:sz w:val="30"/>
          <w:u w:val="single" w:color="0562C1"/>
        </w:rPr>
      </w:pPr>
      <w:r>
        <w:rPr>
          <w:sz w:val="30"/>
        </w:rPr>
        <w:t>Carl Hempel (1905–1997) made points similar to the ones just stated.</w:t>
      </w:r>
      <w:r>
        <w:rPr>
          <w:spacing w:val="80"/>
          <w:w w:val="150"/>
          <w:sz w:val="30"/>
        </w:rPr>
        <w:t xml:space="preserve"> </w:t>
      </w:r>
      <w:r>
        <w:rPr>
          <w:sz w:val="30"/>
        </w:rPr>
        <w:t>(See Hempel 1965, Chapter 3.) Hempel starts out by identifying two principles.</w:t>
      </w:r>
      <w:r>
        <w:rPr>
          <w:spacing w:val="-4"/>
          <w:sz w:val="30"/>
        </w:rPr>
        <w:t xml:space="preserve"> </w:t>
      </w:r>
      <w:r>
        <w:rPr>
          <w:sz w:val="30"/>
        </w:rPr>
        <w:t>(i)</w:t>
      </w:r>
      <w:r>
        <w:rPr>
          <w:spacing w:val="-5"/>
          <w:sz w:val="30"/>
        </w:rPr>
        <w:t xml:space="preserve"> </w:t>
      </w:r>
      <w:r>
        <w:rPr>
          <w:sz w:val="30"/>
        </w:rPr>
        <w:t>The</w:t>
      </w:r>
      <w:r>
        <w:rPr>
          <w:spacing w:val="-5"/>
          <w:sz w:val="30"/>
        </w:rPr>
        <w:t xml:space="preserve"> </w:t>
      </w:r>
      <w:r>
        <w:rPr>
          <w:b/>
          <w:i/>
          <w:sz w:val="30"/>
        </w:rPr>
        <w:t>negation</w:t>
      </w:r>
      <w:r>
        <w:rPr>
          <w:b/>
          <w:i/>
          <w:spacing w:val="-5"/>
          <w:sz w:val="30"/>
        </w:rPr>
        <w:t xml:space="preserve"> </w:t>
      </w:r>
      <w:r>
        <w:rPr>
          <w:sz w:val="30"/>
        </w:rPr>
        <w:t>of</w:t>
      </w:r>
      <w:r>
        <w:rPr>
          <w:spacing w:val="-2"/>
          <w:sz w:val="30"/>
        </w:rPr>
        <w:t xml:space="preserve"> </w:t>
      </w:r>
      <w:r>
        <w:rPr>
          <w:sz w:val="30"/>
        </w:rPr>
        <w:t>a</w:t>
      </w:r>
      <w:r>
        <w:rPr>
          <w:spacing w:val="-2"/>
          <w:sz w:val="30"/>
        </w:rPr>
        <w:t xml:space="preserve"> </w:t>
      </w:r>
      <w:r>
        <w:rPr>
          <w:sz w:val="30"/>
        </w:rPr>
        <w:t>meaningful</w:t>
      </w:r>
      <w:r>
        <w:rPr>
          <w:spacing w:val="-2"/>
          <w:sz w:val="30"/>
        </w:rPr>
        <w:t xml:space="preserve"> </w:t>
      </w:r>
      <w:r>
        <w:rPr>
          <w:sz w:val="30"/>
        </w:rPr>
        <w:t>statement</w:t>
      </w:r>
      <w:r>
        <w:rPr>
          <w:spacing w:val="-2"/>
          <w:sz w:val="30"/>
        </w:rPr>
        <w:t xml:space="preserve"> </w:t>
      </w:r>
      <w:r>
        <w:rPr>
          <w:sz w:val="30"/>
        </w:rPr>
        <w:t>is</w:t>
      </w:r>
      <w:r>
        <w:rPr>
          <w:spacing w:val="-2"/>
          <w:sz w:val="30"/>
        </w:rPr>
        <w:t xml:space="preserve"> </w:t>
      </w:r>
      <w:r>
        <w:rPr>
          <w:sz w:val="30"/>
        </w:rPr>
        <w:t>itself</w:t>
      </w:r>
      <w:r>
        <w:rPr>
          <w:spacing w:val="-2"/>
          <w:sz w:val="30"/>
        </w:rPr>
        <w:t xml:space="preserve"> </w:t>
      </w:r>
      <w:r>
        <w:rPr>
          <w:sz w:val="30"/>
        </w:rPr>
        <w:t>meaningful.</w:t>
      </w:r>
    </w:p>
    <w:p w14:paraId="7E002FD8" w14:textId="77777777" w:rsidR="009A58DB" w:rsidRDefault="00000000">
      <w:pPr>
        <w:pStyle w:val="BodyText"/>
        <w:spacing w:before="4" w:line="249" w:lineRule="auto"/>
        <w:ind w:left="720" w:right="361"/>
      </w:pPr>
      <w:r>
        <w:t xml:space="preserve">(ii) A meaningful statement can neither entail nor confirm a meaningless </w:t>
      </w:r>
      <w:r>
        <w:rPr>
          <w:spacing w:val="-4"/>
        </w:rPr>
        <w:t>one.</w:t>
      </w:r>
    </w:p>
    <w:p w14:paraId="7E002FD9" w14:textId="77777777" w:rsidR="009A58DB" w:rsidRDefault="00000000">
      <w:pPr>
        <w:pStyle w:val="BodyText"/>
        <w:spacing w:before="48" w:line="249" w:lineRule="auto"/>
        <w:ind w:left="720" w:right="359"/>
      </w:pPr>
      <w:r>
        <w:t>The negation of “snow is white” is “it is not the case that snow is white” or, more simply, “snow is not white.” For one sentence to negate another</w:t>
      </w:r>
      <w:r>
        <w:rPr>
          <w:spacing w:val="40"/>
        </w:rPr>
        <w:t xml:space="preserve"> </w:t>
      </w:r>
      <w:r>
        <w:t>is for the one to affirm the falsity of the statement made by the other. If a sentence has no meaning, and thus makes no statement, there is n</w:t>
      </w:r>
      <w:bookmarkStart w:id="658" w:name="_bookmark658"/>
      <w:bookmarkEnd w:id="658"/>
      <w:r>
        <w:t>o statement whose falsity its negation affirms and, consequently, no statement that it makes. (Given that ‘arga bunga blurb’ makes n</w:t>
      </w:r>
      <w:bookmarkStart w:id="659" w:name="_bookmark659"/>
      <w:bookmarkEnd w:id="659"/>
      <w:r>
        <w:t>o statement, there is no statement whose falsity is affirmed by “it is not the case arga bunga blurb.”) Hence (i).</w:t>
      </w:r>
    </w:p>
    <w:p w14:paraId="7E002FDA" w14:textId="77777777" w:rsidR="009A58DB" w:rsidRDefault="00000000">
      <w:pPr>
        <w:pStyle w:val="BodyText"/>
        <w:spacing w:before="39" w:line="249" w:lineRule="auto"/>
        <w:ind w:left="720" w:right="365"/>
      </w:pPr>
      <w:r>
        <w:t>For one sentence to entail another is for the statement made by the secon</w:t>
      </w:r>
      <w:bookmarkStart w:id="660" w:name="_bookmark660"/>
      <w:bookmarkEnd w:id="660"/>
      <w:r>
        <w:t xml:space="preserve">d to be a consequence of the statement made by the first. Thus, “x is </w:t>
      </w:r>
      <w:bookmarkStart w:id="661" w:name="_bookmark661"/>
      <w:bookmarkEnd w:id="661"/>
      <w:r>
        <w:t>a triangle” entails “x has more than one side,” since the statement made by the</w:t>
      </w:r>
      <w:r>
        <w:rPr>
          <w:spacing w:val="-3"/>
        </w:rPr>
        <w:t xml:space="preserve"> </w:t>
      </w:r>
      <w:r>
        <w:t>second</w:t>
      </w:r>
      <w:r>
        <w:rPr>
          <w:spacing w:val="-3"/>
        </w:rPr>
        <w:t xml:space="preserve"> </w:t>
      </w:r>
      <w:r>
        <w:t>follows</w:t>
      </w:r>
      <w:r>
        <w:rPr>
          <w:spacing w:val="-3"/>
        </w:rPr>
        <w:t xml:space="preserve"> </w:t>
      </w:r>
      <w:r>
        <w:t>from</w:t>
      </w:r>
      <w:r>
        <w:rPr>
          <w:spacing w:val="-3"/>
        </w:rPr>
        <w:t xml:space="preserve"> </w:t>
      </w:r>
      <w:r>
        <w:t>the</w:t>
      </w:r>
      <w:r>
        <w:rPr>
          <w:spacing w:val="-3"/>
        </w:rPr>
        <w:t xml:space="preserve"> </w:t>
      </w:r>
      <w:r>
        <w:t>statement</w:t>
      </w:r>
      <w:r>
        <w:rPr>
          <w:spacing w:val="-3"/>
        </w:rPr>
        <w:t xml:space="preserve"> </w:t>
      </w:r>
      <w:r>
        <w:t>made</w:t>
      </w:r>
      <w:r>
        <w:rPr>
          <w:spacing w:val="-3"/>
        </w:rPr>
        <w:t xml:space="preserve"> </w:t>
      </w:r>
      <w:r>
        <w:t>by</w:t>
      </w:r>
      <w:r>
        <w:rPr>
          <w:spacing w:val="-3"/>
        </w:rPr>
        <w:t xml:space="preserve"> </w:t>
      </w:r>
      <w:r>
        <w:t>the</w:t>
      </w:r>
      <w:r>
        <w:rPr>
          <w:spacing w:val="-3"/>
        </w:rPr>
        <w:t xml:space="preserve"> </w:t>
      </w:r>
      <w:r>
        <w:t>first.</w:t>
      </w:r>
      <w:r>
        <w:rPr>
          <w:spacing w:val="-3"/>
        </w:rPr>
        <w:t xml:space="preserve"> </w:t>
      </w:r>
      <w:r>
        <w:t>Thus,</w:t>
      </w:r>
      <w:r>
        <w:rPr>
          <w:spacing w:val="-3"/>
        </w:rPr>
        <w:t xml:space="preserve"> </w:t>
      </w:r>
      <w:r>
        <w:t>no</w:t>
      </w:r>
      <w:r>
        <w:rPr>
          <w:spacing w:val="-3"/>
        </w:rPr>
        <w:t xml:space="preserve"> </w:t>
      </w:r>
      <w:r>
        <w:t>sentence that has a meaning (i.e. makes a statement) can entail one that does not. I</w:t>
      </w:r>
      <w:bookmarkStart w:id="662" w:name="_bookmark662"/>
      <w:bookmarkEnd w:id="662"/>
      <w:r>
        <w:t>t follows that no sentence that has a meaning can confirm one that does not. Hence (ii).</w:t>
      </w:r>
    </w:p>
    <w:p w14:paraId="7E002FDB" w14:textId="77777777" w:rsidR="009A58DB" w:rsidRDefault="00000000">
      <w:pPr>
        <w:pStyle w:val="BodyText"/>
        <w:spacing w:before="9" w:line="249" w:lineRule="auto"/>
        <w:ind w:left="720" w:right="365"/>
      </w:pPr>
      <w:r>
        <w:t>Some verifiable sentences (e.g., “some metal object doesn’t expand whe</w:t>
      </w:r>
      <w:bookmarkStart w:id="663" w:name="_bookmark663"/>
      <w:bookmarkEnd w:id="663"/>
      <w:r>
        <w:t>n heated”)</w:t>
      </w:r>
      <w:r>
        <w:rPr>
          <w:spacing w:val="76"/>
        </w:rPr>
        <w:t xml:space="preserve"> </w:t>
      </w:r>
      <w:r>
        <w:t>have</w:t>
      </w:r>
      <w:r>
        <w:rPr>
          <w:spacing w:val="76"/>
        </w:rPr>
        <w:t xml:space="preserve"> </w:t>
      </w:r>
      <w:r>
        <w:t>unverifiable</w:t>
      </w:r>
      <w:r>
        <w:rPr>
          <w:spacing w:val="76"/>
        </w:rPr>
        <w:t xml:space="preserve"> </w:t>
      </w:r>
      <w:r>
        <w:t>negations</w:t>
      </w:r>
      <w:r>
        <w:rPr>
          <w:spacing w:val="76"/>
        </w:rPr>
        <w:t xml:space="preserve"> </w:t>
      </w:r>
      <w:r>
        <w:t>(“all</w:t>
      </w:r>
      <w:r>
        <w:rPr>
          <w:spacing w:val="76"/>
        </w:rPr>
        <w:t xml:space="preserve"> </w:t>
      </w:r>
      <w:r>
        <w:t>metal</w:t>
      </w:r>
      <w:r>
        <w:rPr>
          <w:spacing w:val="76"/>
        </w:rPr>
        <w:t xml:space="preserve"> </w:t>
      </w:r>
      <w:r>
        <w:t>objects</w:t>
      </w:r>
      <w:r>
        <w:rPr>
          <w:spacing w:val="76"/>
        </w:rPr>
        <w:t xml:space="preserve"> </w:t>
      </w:r>
      <w:r>
        <w:t>expand</w:t>
      </w:r>
      <w:r>
        <w:rPr>
          <w:spacing w:val="76"/>
        </w:rPr>
        <w:t xml:space="preserve"> </w:t>
      </w:r>
      <w:r>
        <w:t>whe</w:t>
      </w:r>
      <w:bookmarkStart w:id="664" w:name="_bookmark664"/>
      <w:bookmarkEnd w:id="664"/>
      <w:r>
        <w:t>n</w:t>
      </w:r>
    </w:p>
    <w:p w14:paraId="7E002FD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2FDD" w14:textId="77777777" w:rsidR="009A58DB" w:rsidRDefault="00000000">
      <w:pPr>
        <w:pStyle w:val="BodyText"/>
        <w:spacing w:before="59" w:line="249" w:lineRule="auto"/>
        <w:ind w:left="720" w:right="359"/>
      </w:pPr>
      <w:r>
        <w:t>heated”). Thus, verificationism is false. Some falsifiable sentences (e.g., “no metal objects expand when heated”) have unfalsifiable negations (‘some</w:t>
      </w:r>
      <w:r>
        <w:rPr>
          <w:spacing w:val="-3"/>
        </w:rPr>
        <w:t xml:space="preserve"> </w:t>
      </w:r>
      <w:r>
        <w:t>metal</w:t>
      </w:r>
      <w:r>
        <w:rPr>
          <w:spacing w:val="-3"/>
        </w:rPr>
        <w:t xml:space="preserve"> </w:t>
      </w:r>
      <w:r>
        <w:t>object</w:t>
      </w:r>
      <w:r>
        <w:rPr>
          <w:spacing w:val="-3"/>
        </w:rPr>
        <w:t xml:space="preserve"> </w:t>
      </w:r>
      <w:r>
        <w:t>expands</w:t>
      </w:r>
      <w:r>
        <w:rPr>
          <w:spacing w:val="-3"/>
        </w:rPr>
        <w:t xml:space="preserve"> </w:t>
      </w:r>
      <w:r>
        <w:t>when</w:t>
      </w:r>
      <w:r>
        <w:rPr>
          <w:spacing w:val="-3"/>
        </w:rPr>
        <w:t xml:space="preserve"> </w:t>
      </w:r>
      <w:r>
        <w:t>heated’).</w:t>
      </w:r>
      <w:r>
        <w:rPr>
          <w:spacing w:val="-3"/>
        </w:rPr>
        <w:t xml:space="preserve"> </w:t>
      </w:r>
      <w:r>
        <w:t>Thus,</w:t>
      </w:r>
      <w:r>
        <w:rPr>
          <w:spacing w:val="-3"/>
        </w:rPr>
        <w:t xml:space="preserve"> </w:t>
      </w:r>
      <w:r>
        <w:t>falsificationism</w:t>
      </w:r>
      <w:r>
        <w:rPr>
          <w:spacing w:val="-3"/>
        </w:rPr>
        <w:t xml:space="preserve"> </w:t>
      </w:r>
      <w:r>
        <w:t>is</w:t>
      </w:r>
      <w:r>
        <w:rPr>
          <w:spacing w:val="-3"/>
        </w:rPr>
        <w:t xml:space="preserve"> </w:t>
      </w:r>
      <w:r>
        <w:t>false. Some meaningless sentences (e.g., ‘either the universe is a perfect unity or snow is white’) follow from confirmable ones (e.g., ‘snow is white’). Thus, confirmationalism is false.</w:t>
      </w:r>
    </w:p>
    <w:p w14:paraId="7E002FDE" w14:textId="77777777" w:rsidR="009A58DB" w:rsidRDefault="00000000">
      <w:pPr>
        <w:pStyle w:val="BodyText"/>
        <w:spacing w:before="58" w:line="254" w:lineRule="auto"/>
        <w:ind w:left="720" w:right="361"/>
      </w:pPr>
      <w:r>
        <w:t>According to some philosophers, Hempel points out, a sentence S is meaningful if it can be translated into a statement that concerns only one’s sensations. (George Berkeley</w:t>
      </w:r>
      <w:r>
        <w:rPr>
          <w:vertAlign w:val="superscript"/>
        </w:rPr>
        <w:t>60</w:t>
      </w:r>
      <w:r>
        <w:t xml:space="preserve"> (1685–1723) held this, as did Ernst</w:t>
      </w:r>
      <w:r>
        <w:rPr>
          <w:spacing w:val="80"/>
          <w:w w:val="150"/>
        </w:rPr>
        <w:t xml:space="preserve"> </w:t>
      </w:r>
      <w:r>
        <w:t>Mach</w:t>
      </w:r>
      <w:r>
        <w:rPr>
          <w:vertAlign w:val="superscript"/>
        </w:rPr>
        <w:t>60</w:t>
      </w:r>
      <w:r>
        <w:t xml:space="preserve"> (1838–1916) and Rudolph Carnap</w:t>
      </w:r>
      <w:r>
        <w:rPr>
          <w:vertAlign w:val="superscript"/>
        </w:rPr>
        <w:t>60</w:t>
      </w:r>
      <w:r>
        <w:t xml:space="preserve"> (1890–1970).) Thi</w:t>
      </w:r>
      <w:bookmarkStart w:id="665" w:name="_bookmark665"/>
      <w:bookmarkEnd w:id="665"/>
      <w:r>
        <w:t>s</w:t>
      </w:r>
      <w:r>
        <w:rPr>
          <w:spacing w:val="80"/>
        </w:rPr>
        <w:t xml:space="preserve"> </w:t>
      </w:r>
      <w:r>
        <w:t xml:space="preserve">contention is false, Hempel rightly points out, given that it’s a very strong version of the view that only completely verifiable sentences are </w:t>
      </w:r>
      <w:r>
        <w:rPr>
          <w:spacing w:val="-2"/>
        </w:rPr>
        <w:t>meaningful.</w:t>
      </w:r>
    </w:p>
    <w:p w14:paraId="7E002FDF" w14:textId="77777777" w:rsidR="009A58DB" w:rsidRDefault="00000000">
      <w:pPr>
        <w:pStyle w:val="BodyText"/>
        <w:spacing w:before="20" w:line="249" w:lineRule="auto"/>
        <w:ind w:left="720" w:right="362"/>
      </w:pPr>
      <w:r>
        <w:t xml:space="preserve">The fact that this view is false shows that </w:t>
      </w:r>
      <w:r>
        <w:rPr>
          <w:b/>
          <w:i/>
        </w:rPr>
        <w:t xml:space="preserve">strict empiricism </w:t>
      </w:r>
      <w:r>
        <w:t>is false. Strict empiricism is the view that all non-trivial knowledge has a strictly sensory basis.</w:t>
      </w:r>
      <w:r>
        <w:rPr>
          <w:spacing w:val="-2"/>
        </w:rPr>
        <w:t xml:space="preserve"> </w:t>
      </w:r>
      <w:r>
        <w:t>To</w:t>
      </w:r>
      <w:r>
        <w:rPr>
          <w:spacing w:val="-1"/>
        </w:rPr>
        <w:t xml:space="preserve"> </w:t>
      </w:r>
      <w:r>
        <w:t>say</w:t>
      </w:r>
      <w:r>
        <w:rPr>
          <w:spacing w:val="-2"/>
        </w:rPr>
        <w:t xml:space="preserve"> </w:t>
      </w:r>
      <w:r>
        <w:t>that</w:t>
      </w:r>
      <w:r>
        <w:rPr>
          <w:spacing w:val="-1"/>
        </w:rPr>
        <w:t xml:space="preserve"> </w:t>
      </w:r>
      <w:r>
        <w:t>knowledge</w:t>
      </w:r>
      <w:r>
        <w:rPr>
          <w:spacing w:val="-2"/>
        </w:rPr>
        <w:t xml:space="preserve"> </w:t>
      </w:r>
      <w:r>
        <w:t>has</w:t>
      </w:r>
      <w:r>
        <w:rPr>
          <w:spacing w:val="-1"/>
        </w:rPr>
        <w:t xml:space="preserve"> </w:t>
      </w:r>
      <w:r>
        <w:t>a</w:t>
      </w:r>
      <w:r>
        <w:rPr>
          <w:spacing w:val="-1"/>
        </w:rPr>
        <w:t xml:space="preserve"> </w:t>
      </w:r>
      <w:r>
        <w:t>strictly</w:t>
      </w:r>
      <w:r>
        <w:rPr>
          <w:spacing w:val="-2"/>
        </w:rPr>
        <w:t xml:space="preserve"> </w:t>
      </w:r>
      <w:r>
        <w:t>sensory</w:t>
      </w:r>
      <w:r>
        <w:rPr>
          <w:spacing w:val="-1"/>
        </w:rPr>
        <w:t xml:space="preserve"> </w:t>
      </w:r>
      <w:r>
        <w:t>basis</w:t>
      </w:r>
      <w:r>
        <w:rPr>
          <w:spacing w:val="-2"/>
        </w:rPr>
        <w:t xml:space="preserve"> </w:t>
      </w:r>
      <w:r>
        <w:t>is</w:t>
      </w:r>
      <w:r>
        <w:rPr>
          <w:spacing w:val="-1"/>
        </w:rPr>
        <w:t xml:space="preserve"> </w:t>
      </w:r>
      <w:r>
        <w:t>to</w:t>
      </w:r>
      <w:r>
        <w:rPr>
          <w:spacing w:val="-2"/>
        </w:rPr>
        <w:t xml:space="preserve"> </w:t>
      </w:r>
      <w:r>
        <w:t>say</w:t>
      </w:r>
      <w:r>
        <w:rPr>
          <w:spacing w:val="-1"/>
        </w:rPr>
        <w:t xml:space="preserve"> </w:t>
      </w:r>
      <w:r>
        <w:t>that</w:t>
      </w:r>
      <w:r>
        <w:rPr>
          <w:spacing w:val="-1"/>
        </w:rPr>
        <w:t xml:space="preserve"> </w:t>
      </w:r>
      <w:r>
        <w:t>what is known is either (i) directly observed to be the case or (ii) is inferred from what is directly observed to be the case by means of an inference</w:t>
      </w:r>
      <w:bookmarkStart w:id="666" w:name="_bookmark666"/>
      <w:bookmarkEnd w:id="666"/>
      <w:r>
        <w:t>-rule of whose legitimacy one’s own observations made one aware.</w:t>
      </w:r>
    </w:p>
    <w:p w14:paraId="7E002FE0" w14:textId="77777777" w:rsidR="009A58DB" w:rsidRDefault="00000000">
      <w:pPr>
        <w:pStyle w:val="BodyText"/>
        <w:spacing w:before="53" w:line="249" w:lineRule="auto"/>
        <w:ind w:left="720" w:right="358" w:firstLine="170"/>
      </w:pPr>
      <w:r>
        <w:t>In Section 7.1, we’ll consider another, subtler argument of Hempel’s fo</w:t>
      </w:r>
      <w:bookmarkStart w:id="667" w:name="_bookmark667"/>
      <w:bookmarkEnd w:id="667"/>
      <w:r>
        <w:t>r the position that not all knowledge is observation-based.</w:t>
      </w:r>
    </w:p>
    <w:p w14:paraId="7E002FE1" w14:textId="77777777" w:rsidR="009A58DB" w:rsidRDefault="00000000">
      <w:pPr>
        <w:pStyle w:val="ListParagraph"/>
        <w:numPr>
          <w:ilvl w:val="0"/>
          <w:numId w:val="6"/>
        </w:numPr>
        <w:tabs>
          <w:tab w:val="left" w:pos="795"/>
        </w:tabs>
        <w:spacing w:before="32"/>
        <w:ind w:left="795" w:hanging="450"/>
        <w:rPr>
          <w:color w:val="0562C1"/>
          <w:position w:val="12"/>
          <w:sz w:val="30"/>
          <w:u w:val="single" w:color="0562C1"/>
        </w:rPr>
      </w:pPr>
      <w:r>
        <w:rPr>
          <w:sz w:val="30"/>
        </w:rPr>
        <w:t>In</w:t>
      </w:r>
      <w:r>
        <w:rPr>
          <w:spacing w:val="-3"/>
          <w:sz w:val="30"/>
        </w:rPr>
        <w:t xml:space="preserve"> </w:t>
      </w:r>
      <w:r>
        <w:rPr>
          <w:sz w:val="30"/>
        </w:rPr>
        <w:t>Section</w:t>
      </w:r>
      <w:r>
        <w:rPr>
          <w:spacing w:val="-3"/>
          <w:sz w:val="30"/>
        </w:rPr>
        <w:t xml:space="preserve"> </w:t>
      </w:r>
      <w:r>
        <w:rPr>
          <w:sz w:val="30"/>
        </w:rPr>
        <w:t>4.8</w:t>
      </w:r>
      <w:r>
        <w:rPr>
          <w:spacing w:val="-3"/>
          <w:sz w:val="30"/>
        </w:rPr>
        <w:t xml:space="preserve"> </w:t>
      </w:r>
      <w:r>
        <w:rPr>
          <w:sz w:val="30"/>
        </w:rPr>
        <w:t>we’ll</w:t>
      </w:r>
      <w:r>
        <w:rPr>
          <w:spacing w:val="-3"/>
          <w:sz w:val="30"/>
        </w:rPr>
        <w:t xml:space="preserve"> </w:t>
      </w:r>
      <w:r>
        <w:rPr>
          <w:sz w:val="30"/>
        </w:rPr>
        <w:t>question</w:t>
      </w:r>
      <w:r>
        <w:rPr>
          <w:spacing w:val="-3"/>
          <w:sz w:val="30"/>
        </w:rPr>
        <w:t xml:space="preserve"> </w:t>
      </w:r>
      <w:r>
        <w:rPr>
          <w:sz w:val="30"/>
        </w:rPr>
        <w:t>this</w:t>
      </w:r>
      <w:r>
        <w:rPr>
          <w:spacing w:val="-3"/>
          <w:sz w:val="30"/>
        </w:rPr>
        <w:t xml:space="preserve"> </w:t>
      </w:r>
      <w:r>
        <w:rPr>
          <w:spacing w:val="-2"/>
          <w:sz w:val="30"/>
        </w:rPr>
        <w:t>assumption.</w:t>
      </w:r>
    </w:p>
    <w:p w14:paraId="7E002FE2" w14:textId="77777777" w:rsidR="009A58DB" w:rsidRDefault="00000000">
      <w:pPr>
        <w:pStyle w:val="ListParagraph"/>
        <w:numPr>
          <w:ilvl w:val="0"/>
          <w:numId w:val="6"/>
        </w:numPr>
        <w:tabs>
          <w:tab w:val="left" w:pos="720"/>
          <w:tab w:val="left" w:pos="840"/>
        </w:tabs>
        <w:spacing w:before="60" w:line="249" w:lineRule="auto"/>
        <w:ind w:right="363" w:hanging="375"/>
        <w:rPr>
          <w:color w:val="0562C1"/>
          <w:position w:val="12"/>
          <w:sz w:val="30"/>
          <w:u w:val="single" w:color="0562C1"/>
        </w:rPr>
      </w:pPr>
      <w:r>
        <w:rPr>
          <w:sz w:val="30"/>
        </w:rPr>
        <w:t>Technically,</w:t>
      </w:r>
      <w:r>
        <w:rPr>
          <w:spacing w:val="40"/>
          <w:sz w:val="30"/>
        </w:rPr>
        <w:t xml:space="preserve"> </w:t>
      </w:r>
      <w:r>
        <w:rPr>
          <w:sz w:val="30"/>
        </w:rPr>
        <w:t>ink</w:t>
      </w:r>
      <w:r>
        <w:rPr>
          <w:spacing w:val="40"/>
          <w:sz w:val="30"/>
        </w:rPr>
        <w:t xml:space="preserve"> </w:t>
      </w:r>
      <w:r>
        <w:rPr>
          <w:sz w:val="30"/>
        </w:rPr>
        <w:t>marks,</w:t>
      </w:r>
      <w:r>
        <w:rPr>
          <w:spacing w:val="40"/>
          <w:sz w:val="30"/>
        </w:rPr>
        <w:t xml:space="preserve"> </w:t>
      </w:r>
      <w:r>
        <w:rPr>
          <w:sz w:val="30"/>
        </w:rPr>
        <w:t>noises,</w:t>
      </w:r>
      <w:r>
        <w:rPr>
          <w:spacing w:val="40"/>
          <w:sz w:val="30"/>
        </w:rPr>
        <w:t xml:space="preserve"> </w:t>
      </w:r>
      <w:r>
        <w:rPr>
          <w:sz w:val="30"/>
        </w:rPr>
        <w:t>etc.</w:t>
      </w:r>
      <w:r>
        <w:rPr>
          <w:spacing w:val="40"/>
          <w:sz w:val="30"/>
        </w:rPr>
        <w:t xml:space="preserve"> </w:t>
      </w:r>
      <w:r>
        <w:rPr>
          <w:sz w:val="30"/>
        </w:rPr>
        <w:t>are</w:t>
      </w:r>
      <w:r>
        <w:rPr>
          <w:spacing w:val="40"/>
          <w:sz w:val="30"/>
        </w:rPr>
        <w:t xml:space="preserve"> </w:t>
      </w:r>
      <w:r>
        <w:rPr>
          <w:sz w:val="30"/>
        </w:rPr>
        <w:t>sentence</w:t>
      </w:r>
      <w:r>
        <w:rPr>
          <w:spacing w:val="40"/>
          <w:sz w:val="30"/>
        </w:rPr>
        <w:t xml:space="preserve"> </w:t>
      </w:r>
      <w:r>
        <w:rPr>
          <w:sz w:val="30"/>
        </w:rPr>
        <w:t>tokens,</w:t>
      </w:r>
      <w:r>
        <w:rPr>
          <w:spacing w:val="40"/>
          <w:sz w:val="30"/>
        </w:rPr>
        <w:t xml:space="preserve"> </w:t>
      </w:r>
      <w:r>
        <w:rPr>
          <w:sz w:val="30"/>
        </w:rPr>
        <w:t>not</w:t>
      </w:r>
      <w:r>
        <w:rPr>
          <w:spacing w:val="40"/>
          <w:sz w:val="30"/>
        </w:rPr>
        <w:t xml:space="preserve"> </w:t>
      </w:r>
      <w:r>
        <w:rPr>
          <w:sz w:val="30"/>
        </w:rPr>
        <w:t>sentences. But we can set that aside here.</w:t>
      </w:r>
    </w:p>
    <w:p w14:paraId="7E002FE3" w14:textId="77777777" w:rsidR="009A58DB" w:rsidRDefault="00000000">
      <w:pPr>
        <w:pStyle w:val="ListParagraph"/>
        <w:numPr>
          <w:ilvl w:val="0"/>
          <w:numId w:val="6"/>
        </w:numPr>
        <w:tabs>
          <w:tab w:val="left" w:pos="795"/>
        </w:tabs>
        <w:spacing w:before="48"/>
        <w:ind w:left="795" w:hanging="450"/>
        <w:rPr>
          <w:color w:val="0562C1"/>
          <w:position w:val="12"/>
          <w:sz w:val="30"/>
          <w:u w:val="single" w:color="0562C1"/>
        </w:rPr>
      </w:pPr>
      <w:r>
        <w:rPr>
          <w:sz w:val="30"/>
        </w:rPr>
        <w:t>Carnap</w:t>
      </w:r>
      <w:r>
        <w:rPr>
          <w:spacing w:val="-4"/>
          <w:sz w:val="30"/>
        </w:rPr>
        <w:t xml:space="preserve"> </w:t>
      </w:r>
      <w:r>
        <w:rPr>
          <w:spacing w:val="-2"/>
          <w:sz w:val="30"/>
        </w:rPr>
        <w:t>(1934).</w:t>
      </w:r>
    </w:p>
    <w:p w14:paraId="7E002FE4" w14:textId="77777777" w:rsidR="009A58DB" w:rsidRDefault="00000000">
      <w:pPr>
        <w:pStyle w:val="ListParagraph"/>
        <w:numPr>
          <w:ilvl w:val="0"/>
          <w:numId w:val="6"/>
        </w:numPr>
        <w:tabs>
          <w:tab w:val="left" w:pos="720"/>
        </w:tabs>
        <w:spacing w:before="45" w:line="249" w:lineRule="auto"/>
        <w:ind w:right="368" w:hanging="375"/>
        <w:jc w:val="both"/>
        <w:rPr>
          <w:color w:val="0562C1"/>
          <w:position w:val="12"/>
          <w:sz w:val="30"/>
          <w:u w:val="single" w:color="0562C1"/>
        </w:rPr>
      </w:pPr>
      <w:r>
        <w:rPr>
          <w:sz w:val="30"/>
        </w:rPr>
        <w:t xml:space="preserve"> He didn’t put it this starkly. And he probably wouldn’t have accepted it</w:t>
      </w:r>
      <w:bookmarkStart w:id="668" w:name="_bookmark668"/>
      <w:bookmarkEnd w:id="668"/>
      <w:r>
        <w:rPr>
          <w:sz w:val="30"/>
        </w:rPr>
        <w:t>—at least not for long—if it had been presened to him this starkly. But that doesn’t mean that it wasn’t his view. It was.</w:t>
      </w:r>
    </w:p>
    <w:p w14:paraId="7E002FE5" w14:textId="77777777" w:rsidR="009A58DB" w:rsidRDefault="00000000">
      <w:pPr>
        <w:pStyle w:val="ListParagraph"/>
        <w:numPr>
          <w:ilvl w:val="0"/>
          <w:numId w:val="6"/>
        </w:numPr>
        <w:tabs>
          <w:tab w:val="left" w:pos="720"/>
          <w:tab w:val="left" w:pos="840"/>
        </w:tabs>
        <w:spacing w:before="48" w:line="249" w:lineRule="auto"/>
        <w:ind w:right="367" w:hanging="375"/>
        <w:jc w:val="both"/>
        <w:rPr>
          <w:color w:val="0562C1"/>
          <w:position w:val="12"/>
          <w:sz w:val="30"/>
          <w:u w:val="single" w:color="0562C1"/>
        </w:rPr>
      </w:pPr>
      <w:r>
        <w:rPr>
          <w:sz w:val="30"/>
        </w:rPr>
        <w:t>This is the view of Wittgenstein (1958), W.V.O. Quine (1960), Hartr</w:t>
      </w:r>
      <w:bookmarkStart w:id="669" w:name="_bookmark669"/>
      <w:bookmarkStart w:id="670" w:name="_bookmark670"/>
      <w:bookmarkEnd w:id="669"/>
      <w:bookmarkEnd w:id="670"/>
      <w:r>
        <w:rPr>
          <w:sz w:val="30"/>
        </w:rPr>
        <w:t>y Field (1977), Robert Brandom (1994), and John McDowell (1998).</w:t>
      </w:r>
    </w:p>
    <w:p w14:paraId="7E002FE6" w14:textId="77777777" w:rsidR="009A58DB" w:rsidRDefault="00000000">
      <w:pPr>
        <w:pStyle w:val="ListParagraph"/>
        <w:numPr>
          <w:ilvl w:val="0"/>
          <w:numId w:val="6"/>
        </w:numPr>
        <w:tabs>
          <w:tab w:val="left" w:pos="795"/>
        </w:tabs>
        <w:spacing w:before="33"/>
        <w:ind w:left="795" w:hanging="450"/>
        <w:jc w:val="both"/>
        <w:rPr>
          <w:color w:val="0562C1"/>
          <w:position w:val="12"/>
          <w:sz w:val="30"/>
          <w:u w:val="single" w:color="0562C1"/>
        </w:rPr>
      </w:pPr>
      <w:r>
        <w:rPr>
          <w:sz w:val="30"/>
        </w:rPr>
        <w:t>“NT”</w:t>
      </w:r>
      <w:r>
        <w:rPr>
          <w:spacing w:val="-4"/>
          <w:sz w:val="30"/>
        </w:rPr>
        <w:t xml:space="preserve"> </w:t>
      </w:r>
      <w:r>
        <w:rPr>
          <w:sz w:val="30"/>
        </w:rPr>
        <w:t>is</w:t>
      </w:r>
      <w:r>
        <w:rPr>
          <w:spacing w:val="-4"/>
          <w:sz w:val="30"/>
        </w:rPr>
        <w:t xml:space="preserve"> </w:t>
      </w:r>
      <w:r>
        <w:rPr>
          <w:sz w:val="30"/>
        </w:rPr>
        <w:t>short</w:t>
      </w:r>
      <w:r>
        <w:rPr>
          <w:spacing w:val="-3"/>
          <w:sz w:val="30"/>
        </w:rPr>
        <w:t xml:space="preserve"> </w:t>
      </w:r>
      <w:r>
        <w:rPr>
          <w:sz w:val="30"/>
        </w:rPr>
        <w:t>for</w:t>
      </w:r>
      <w:r>
        <w:rPr>
          <w:spacing w:val="-4"/>
          <w:sz w:val="30"/>
        </w:rPr>
        <w:t xml:space="preserve"> </w:t>
      </w:r>
      <w:r>
        <w:rPr>
          <w:sz w:val="30"/>
        </w:rPr>
        <w:t>“Newton’s</w:t>
      </w:r>
      <w:r>
        <w:rPr>
          <w:spacing w:val="-3"/>
          <w:sz w:val="30"/>
        </w:rPr>
        <w:t xml:space="preserve"> </w:t>
      </w:r>
      <w:r>
        <w:rPr>
          <w:spacing w:val="-2"/>
          <w:sz w:val="30"/>
        </w:rPr>
        <w:t>theory.”</w:t>
      </w:r>
    </w:p>
    <w:p w14:paraId="7E002FE7" w14:textId="77777777" w:rsidR="009A58DB" w:rsidRDefault="00000000">
      <w:pPr>
        <w:pStyle w:val="ListParagraph"/>
        <w:numPr>
          <w:ilvl w:val="0"/>
          <w:numId w:val="6"/>
        </w:numPr>
        <w:tabs>
          <w:tab w:val="left" w:pos="795"/>
        </w:tabs>
        <w:spacing w:before="60"/>
        <w:ind w:left="795" w:hanging="450"/>
        <w:jc w:val="both"/>
        <w:rPr>
          <w:color w:val="0562C1"/>
          <w:position w:val="12"/>
          <w:sz w:val="30"/>
          <w:u w:val="single" w:color="0562C1"/>
        </w:rPr>
      </w:pPr>
      <w:r>
        <w:rPr>
          <w:sz w:val="30"/>
        </w:rPr>
        <w:t>Note:</w:t>
      </w:r>
      <w:r>
        <w:rPr>
          <w:spacing w:val="-7"/>
          <w:sz w:val="30"/>
        </w:rPr>
        <w:t xml:space="preserve"> </w:t>
      </w:r>
      <w:r>
        <w:rPr>
          <w:sz w:val="30"/>
        </w:rPr>
        <w:t>the</w:t>
      </w:r>
      <w:r>
        <w:rPr>
          <w:spacing w:val="-4"/>
          <w:sz w:val="30"/>
        </w:rPr>
        <w:t xml:space="preserve"> </w:t>
      </w:r>
      <w:r>
        <w:rPr>
          <w:sz w:val="30"/>
        </w:rPr>
        <w:t>bracket-like</w:t>
      </w:r>
      <w:r>
        <w:rPr>
          <w:spacing w:val="-4"/>
          <w:sz w:val="30"/>
        </w:rPr>
        <w:t xml:space="preserve"> </w:t>
      </w:r>
      <w:r>
        <w:rPr>
          <w:sz w:val="30"/>
        </w:rPr>
        <w:t>expressions</w:t>
      </w:r>
      <w:r>
        <w:rPr>
          <w:spacing w:val="-5"/>
          <w:sz w:val="30"/>
        </w:rPr>
        <w:t xml:space="preserve"> </w:t>
      </w:r>
      <w:r>
        <w:rPr>
          <w:sz w:val="30"/>
        </w:rPr>
        <w:t>that</w:t>
      </w:r>
      <w:r>
        <w:rPr>
          <w:spacing w:val="-4"/>
          <w:sz w:val="30"/>
        </w:rPr>
        <w:t xml:space="preserve"> </w:t>
      </w:r>
      <w:r>
        <w:rPr>
          <w:sz w:val="30"/>
        </w:rPr>
        <w:t>occur</w:t>
      </w:r>
      <w:r>
        <w:rPr>
          <w:spacing w:val="-4"/>
          <w:sz w:val="30"/>
        </w:rPr>
        <w:t xml:space="preserve"> </w:t>
      </w:r>
      <w:r>
        <w:rPr>
          <w:sz w:val="30"/>
        </w:rPr>
        <w:t>in</w:t>
      </w:r>
      <w:r>
        <w:rPr>
          <w:spacing w:val="-4"/>
          <w:sz w:val="30"/>
        </w:rPr>
        <w:t xml:space="preserve"> </w:t>
      </w:r>
      <w:r>
        <w:rPr>
          <w:sz w:val="30"/>
        </w:rPr>
        <w:t>what</w:t>
      </w:r>
      <w:r>
        <w:rPr>
          <w:spacing w:val="-4"/>
          <w:sz w:val="30"/>
        </w:rPr>
        <w:t xml:space="preserve"> </w:t>
      </w:r>
      <w:r>
        <w:rPr>
          <w:sz w:val="30"/>
        </w:rPr>
        <w:t>follows—the</w:t>
      </w:r>
      <w:r>
        <w:rPr>
          <w:spacing w:val="-4"/>
          <w:sz w:val="30"/>
        </w:rPr>
        <w:t xml:space="preserve"> </w:t>
      </w:r>
      <w:r>
        <w:rPr>
          <w:sz w:val="30"/>
        </w:rPr>
        <w:t>“‹”</w:t>
      </w:r>
      <w:r>
        <w:rPr>
          <w:spacing w:val="-4"/>
          <w:sz w:val="30"/>
        </w:rPr>
        <w:t xml:space="preserve"> </w:t>
      </w:r>
      <w:r>
        <w:rPr>
          <w:spacing w:val="-5"/>
          <w:sz w:val="30"/>
        </w:rPr>
        <w:t>an</w:t>
      </w:r>
      <w:bookmarkStart w:id="671" w:name="_bookmark671"/>
      <w:bookmarkEnd w:id="671"/>
      <w:r>
        <w:rPr>
          <w:spacing w:val="-5"/>
          <w:sz w:val="30"/>
        </w:rPr>
        <w:t>d</w:t>
      </w:r>
    </w:p>
    <w:p w14:paraId="7E002FE8" w14:textId="77777777" w:rsidR="009A58DB" w:rsidRDefault="009A58DB">
      <w:pPr>
        <w:pStyle w:val="ListParagraph"/>
        <w:jc w:val="both"/>
        <w:rPr>
          <w:position w:val="12"/>
          <w:sz w:val="30"/>
        </w:rPr>
        <w:sectPr w:rsidR="009A58DB">
          <w:pgSz w:w="12240" w:h="15840"/>
          <w:pgMar w:top="1380" w:right="1080" w:bottom="280" w:left="1080" w:header="720" w:footer="720" w:gutter="0"/>
          <w:cols w:space="720"/>
        </w:sectPr>
      </w:pPr>
    </w:p>
    <w:p w14:paraId="7E002FE9" w14:textId="77777777" w:rsidR="009A58DB" w:rsidRDefault="00000000">
      <w:pPr>
        <w:pStyle w:val="BodyText"/>
        <w:spacing w:before="66" w:line="249" w:lineRule="auto"/>
        <w:ind w:left="720" w:right="363"/>
      </w:pPr>
      <w:r>
        <w:t xml:space="preserve">the “›”—are known as </w:t>
      </w:r>
      <w:r>
        <w:rPr>
          <w:b/>
          <w:i/>
        </w:rPr>
        <w:t xml:space="preserve">quasi-quotation </w:t>
      </w:r>
      <w:r>
        <w:t>marks. They occur frequently i</w:t>
      </w:r>
      <w:bookmarkStart w:id="672" w:name="_bookmark672"/>
      <w:bookmarkEnd w:id="672"/>
      <w:r>
        <w:t>n words on the philosophy of language and they will occur frequently in thi</w:t>
      </w:r>
      <w:bookmarkStart w:id="673" w:name="_bookmark673"/>
      <w:bookmarkEnd w:id="673"/>
      <w:r>
        <w:t>s book. In this context, they may be treated as quotation marks. But there</w:t>
      </w:r>
      <w:r>
        <w:rPr>
          <w:spacing w:val="40"/>
        </w:rPr>
        <w:t xml:space="preserve"> </w:t>
      </w:r>
      <w:r>
        <w:t>are subtle differences between them and quotation-marks, because o</w:t>
      </w:r>
      <w:bookmarkStart w:id="674" w:name="_bookmark674"/>
      <w:bookmarkEnd w:id="674"/>
      <w:r>
        <w:t>f which they are not technically interchangeable with quotation-marks</w:t>
      </w:r>
      <w:bookmarkStart w:id="675" w:name="_bookmark675"/>
      <w:bookmarkEnd w:id="675"/>
      <w:r>
        <w:t>. These are identified in Appendix 2, where a definition of quasi-quotation is given. See the entry titled “quasi-quotation marks.</w:t>
      </w:r>
    </w:p>
    <w:p w14:paraId="7E002FEA" w14:textId="77777777" w:rsidR="009A58DB" w:rsidRDefault="00000000">
      <w:pPr>
        <w:pStyle w:val="BodyText"/>
        <w:spacing w:before="52" w:line="249" w:lineRule="auto"/>
        <w:ind w:left="720" w:right="365" w:firstLine="138"/>
      </w:pPr>
      <w:r>
        <w:t>Quine (1940) invented quasi-quotation marks. In so doing, he did a grea</w:t>
      </w:r>
      <w:bookmarkStart w:id="676" w:name="_bookmark676"/>
      <w:bookmarkEnd w:id="676"/>
      <w:r>
        <w:t>t service to semantics and logic, for reasons that are given in Appendix 2.</w:t>
      </w:r>
    </w:p>
    <w:p w14:paraId="7E002FEB" w14:textId="77777777" w:rsidR="009A58DB" w:rsidRDefault="00000000">
      <w:pPr>
        <w:pStyle w:val="ListParagraph"/>
        <w:numPr>
          <w:ilvl w:val="0"/>
          <w:numId w:val="6"/>
        </w:numPr>
        <w:tabs>
          <w:tab w:val="left" w:pos="720"/>
        </w:tabs>
        <w:spacing w:before="33" w:line="271" w:lineRule="auto"/>
        <w:ind w:right="360" w:hanging="375"/>
        <w:jc w:val="both"/>
        <w:rPr>
          <w:color w:val="0562C1"/>
          <w:position w:val="12"/>
          <w:sz w:val="30"/>
          <w:u w:val="single" w:color="0562C1"/>
        </w:rPr>
      </w:pPr>
      <w:r>
        <w:rPr>
          <w:sz w:val="30"/>
        </w:rPr>
        <w:t xml:space="preserve"> Strictly speaking, it doesn’t quite say this. S would say how a bodies x</w:t>
      </w:r>
      <w:r>
        <w:rPr>
          <w:sz w:val="30"/>
          <w:vertAlign w:val="subscript"/>
        </w:rPr>
        <w:t>1</w:t>
      </w:r>
      <w:r>
        <w:rPr>
          <w:sz w:val="30"/>
        </w:rPr>
        <w:t xml:space="preserve"> and x</w:t>
      </w:r>
      <w:r>
        <w:rPr>
          <w:position w:val="-7"/>
        </w:rPr>
        <w:t>2</w:t>
      </w:r>
      <w:r>
        <w:rPr>
          <w:sz w:val="30"/>
        </w:rPr>
        <w:t>, having masses m</w:t>
      </w:r>
      <w:r>
        <w:rPr>
          <w:position w:val="-7"/>
        </w:rPr>
        <w:t xml:space="preserve">1 </w:t>
      </w:r>
      <w:r>
        <w:rPr>
          <w:sz w:val="30"/>
        </w:rPr>
        <w:t>and m</w:t>
      </w:r>
      <w:r>
        <w:rPr>
          <w:position w:val="-7"/>
        </w:rPr>
        <w:t>2</w:t>
      </w:r>
      <w:r>
        <w:rPr>
          <w:sz w:val="30"/>
        </w:rPr>
        <w:t xml:space="preserve">, would behave </w:t>
      </w:r>
      <w:r>
        <w:rPr>
          <w:i/>
          <w:sz w:val="30"/>
        </w:rPr>
        <w:t xml:space="preserve">to the extent that </w:t>
      </w:r>
      <w:r>
        <w:rPr>
          <w:sz w:val="30"/>
        </w:rPr>
        <w:t>their behaviors would be functions of their having those masses and being tha</w:t>
      </w:r>
      <w:bookmarkStart w:id="677" w:name="_bookmark677"/>
      <w:bookmarkEnd w:id="677"/>
      <w:r>
        <w:fldChar w:fldCharType="begin"/>
      </w:r>
      <w:r>
        <w:instrText>HYPERLINK \l "_bookmark82"</w:instrText>
      </w:r>
      <w:r>
        <w:fldChar w:fldCharType="separate"/>
      </w:r>
      <w:r>
        <w:rPr>
          <w:sz w:val="30"/>
        </w:rPr>
        <w:t>t</w:t>
      </w:r>
      <w:r>
        <w:fldChar w:fldCharType="end"/>
      </w:r>
    </w:p>
    <w:p w14:paraId="7E002FEC" w14:textId="77777777" w:rsidR="009A58DB" w:rsidRDefault="00000000">
      <w:pPr>
        <w:pStyle w:val="BodyText"/>
        <w:spacing w:line="313" w:lineRule="exact"/>
        <w:ind w:left="720"/>
      </w:pPr>
      <w:r>
        <w:t>distance</w:t>
      </w:r>
      <w:r>
        <w:rPr>
          <w:spacing w:val="5"/>
        </w:rPr>
        <w:t xml:space="preserve"> </w:t>
      </w:r>
      <w:r>
        <w:t>from</w:t>
      </w:r>
      <w:r>
        <w:rPr>
          <w:spacing w:val="8"/>
        </w:rPr>
        <w:t xml:space="preserve"> </w:t>
      </w:r>
      <w:r>
        <w:t>one</w:t>
      </w:r>
      <w:r>
        <w:rPr>
          <w:spacing w:val="7"/>
        </w:rPr>
        <w:t xml:space="preserve"> </w:t>
      </w:r>
      <w:r>
        <w:t>another.</w:t>
      </w:r>
      <w:r>
        <w:rPr>
          <w:spacing w:val="8"/>
        </w:rPr>
        <w:t xml:space="preserve"> </w:t>
      </w:r>
      <w:r>
        <w:t>But</w:t>
      </w:r>
      <w:r>
        <w:rPr>
          <w:spacing w:val="8"/>
        </w:rPr>
        <w:t xml:space="preserve"> </w:t>
      </w:r>
      <w:r>
        <w:t>other</w:t>
      </w:r>
      <w:r>
        <w:rPr>
          <w:spacing w:val="7"/>
        </w:rPr>
        <w:t xml:space="preserve"> </w:t>
      </w:r>
      <w:r>
        <w:t>factors</w:t>
      </w:r>
      <w:r>
        <w:rPr>
          <w:spacing w:val="8"/>
        </w:rPr>
        <w:t xml:space="preserve"> </w:t>
      </w:r>
      <w:r>
        <w:t>might</w:t>
      </w:r>
      <w:r>
        <w:rPr>
          <w:spacing w:val="7"/>
        </w:rPr>
        <w:t xml:space="preserve"> </w:t>
      </w:r>
      <w:r>
        <w:t>obviously</w:t>
      </w:r>
      <w:r>
        <w:rPr>
          <w:spacing w:val="8"/>
        </w:rPr>
        <w:t xml:space="preserve"> </w:t>
      </w:r>
      <w:r>
        <w:t>be</w:t>
      </w:r>
      <w:r>
        <w:rPr>
          <w:spacing w:val="8"/>
        </w:rPr>
        <w:t xml:space="preserve"> </w:t>
      </w:r>
      <w:r>
        <w:rPr>
          <w:spacing w:val="-2"/>
        </w:rPr>
        <w:t>involved;</w:t>
      </w:r>
    </w:p>
    <w:p w14:paraId="7E002FED" w14:textId="77777777" w:rsidR="009A58DB" w:rsidRDefault="00000000">
      <w:pPr>
        <w:pStyle w:val="BodyText"/>
        <w:spacing w:before="15" w:line="292" w:lineRule="auto"/>
        <w:ind w:left="720" w:right="359"/>
      </w:pPr>
      <w:r>
        <w:t>e.g., x</w:t>
      </w:r>
      <w:r>
        <w:rPr>
          <w:vertAlign w:val="subscript"/>
        </w:rPr>
        <w:t>2</w:t>
      </w:r>
      <w:r>
        <w:t xml:space="preserve"> might be near some third body x</w:t>
      </w:r>
      <w:r>
        <w:rPr>
          <w:vertAlign w:val="subscript"/>
        </w:rPr>
        <w:t>3</w:t>
      </w:r>
      <w:r>
        <w:t xml:space="preserve"> whose gravitational pull was much</w:t>
      </w:r>
      <w:r>
        <w:rPr>
          <w:spacing w:val="-2"/>
        </w:rPr>
        <w:t xml:space="preserve"> </w:t>
      </w:r>
      <w:r>
        <w:t>stronger</w:t>
      </w:r>
      <w:r>
        <w:rPr>
          <w:spacing w:val="-3"/>
        </w:rPr>
        <w:t xml:space="preserve"> </w:t>
      </w:r>
      <w:r>
        <w:t>than</w:t>
      </w:r>
      <w:r>
        <w:rPr>
          <w:spacing w:val="-2"/>
        </w:rPr>
        <w:t xml:space="preserve"> </w:t>
      </w:r>
      <w:r>
        <w:t>x</w:t>
      </w:r>
      <w:r>
        <w:rPr>
          <w:vertAlign w:val="subscript"/>
        </w:rPr>
        <w:t>1</w:t>
      </w:r>
      <w:r>
        <w:t>s’</w:t>
      </w:r>
      <w:r>
        <w:rPr>
          <w:spacing w:val="-3"/>
        </w:rPr>
        <w:t xml:space="preserve"> </w:t>
      </w:r>
      <w:r>
        <w:t>or</w:t>
      </w:r>
      <w:r>
        <w:rPr>
          <w:spacing w:val="-3"/>
        </w:rPr>
        <w:t xml:space="preserve"> </w:t>
      </w:r>
      <w:r>
        <w:t>it</w:t>
      </w:r>
      <w:r>
        <w:rPr>
          <w:spacing w:val="-3"/>
        </w:rPr>
        <w:t xml:space="preserve"> </w:t>
      </w:r>
      <w:r>
        <w:t>under</w:t>
      </w:r>
      <w:r>
        <w:rPr>
          <w:spacing w:val="-3"/>
        </w:rPr>
        <w:t xml:space="preserve"> </w:t>
      </w:r>
      <w:r>
        <w:t>the</w:t>
      </w:r>
      <w:r>
        <w:rPr>
          <w:spacing w:val="-3"/>
        </w:rPr>
        <w:t xml:space="preserve"> </w:t>
      </w:r>
      <w:r>
        <w:t>influence</w:t>
      </w:r>
      <w:r>
        <w:rPr>
          <w:spacing w:val="-3"/>
        </w:rPr>
        <w:t xml:space="preserve"> </w:t>
      </w:r>
      <w:r>
        <w:t>of</w:t>
      </w:r>
      <w:r>
        <w:rPr>
          <w:spacing w:val="-3"/>
        </w:rPr>
        <w:t xml:space="preserve"> </w:t>
      </w:r>
      <w:r>
        <w:t>some</w:t>
      </w:r>
      <w:r>
        <w:rPr>
          <w:spacing w:val="-3"/>
        </w:rPr>
        <w:t xml:space="preserve"> </w:t>
      </w:r>
      <w:r>
        <w:t xml:space="preserve">non-gravitational </w:t>
      </w:r>
      <w:r>
        <w:rPr>
          <w:spacing w:val="-2"/>
        </w:rPr>
        <w:t>force.</w:t>
      </w:r>
    </w:p>
    <w:p w14:paraId="7E002FEE" w14:textId="77777777" w:rsidR="009A58DB" w:rsidRDefault="00000000">
      <w:pPr>
        <w:pStyle w:val="ListParagraph"/>
        <w:numPr>
          <w:ilvl w:val="0"/>
          <w:numId w:val="6"/>
        </w:numPr>
        <w:tabs>
          <w:tab w:val="left" w:pos="795"/>
        </w:tabs>
        <w:spacing w:line="447" w:lineRule="exact"/>
        <w:ind w:left="795" w:hanging="450"/>
        <w:rPr>
          <w:color w:val="0562C1"/>
          <w:position w:val="12"/>
          <w:sz w:val="30"/>
          <w:u w:val="single" w:color="0562C1"/>
        </w:rPr>
      </w:pPr>
      <w:r>
        <w:rPr>
          <w:sz w:val="30"/>
        </w:rPr>
        <w:t>See</w:t>
      </w:r>
      <w:r>
        <w:rPr>
          <w:spacing w:val="-6"/>
          <w:sz w:val="30"/>
        </w:rPr>
        <w:t xml:space="preserve"> </w:t>
      </w:r>
      <w:r>
        <w:rPr>
          <w:sz w:val="30"/>
        </w:rPr>
        <w:t>Hempel</w:t>
      </w:r>
      <w:r>
        <w:rPr>
          <w:spacing w:val="-4"/>
          <w:sz w:val="30"/>
        </w:rPr>
        <w:t xml:space="preserve"> </w:t>
      </w:r>
      <w:r>
        <w:rPr>
          <w:sz w:val="30"/>
        </w:rPr>
        <w:t>(1965,</w:t>
      </w:r>
      <w:r>
        <w:rPr>
          <w:spacing w:val="-3"/>
          <w:sz w:val="30"/>
        </w:rPr>
        <w:t xml:space="preserve"> </w:t>
      </w:r>
      <w:r>
        <w:rPr>
          <w:sz w:val="30"/>
        </w:rPr>
        <w:t>Chapter</w:t>
      </w:r>
      <w:r>
        <w:rPr>
          <w:spacing w:val="-3"/>
          <w:sz w:val="30"/>
        </w:rPr>
        <w:t xml:space="preserve"> </w:t>
      </w:r>
      <w:r>
        <w:rPr>
          <w:sz w:val="30"/>
        </w:rPr>
        <w:t>3),</w:t>
      </w:r>
      <w:r>
        <w:rPr>
          <w:spacing w:val="-3"/>
          <w:sz w:val="30"/>
        </w:rPr>
        <w:t xml:space="preserve"> </w:t>
      </w:r>
      <w:r>
        <w:rPr>
          <w:sz w:val="30"/>
        </w:rPr>
        <w:t>Sheffler</w:t>
      </w:r>
      <w:r>
        <w:rPr>
          <w:spacing w:val="-4"/>
          <w:sz w:val="30"/>
        </w:rPr>
        <w:t xml:space="preserve"> </w:t>
      </w:r>
      <w:r>
        <w:rPr>
          <w:sz w:val="30"/>
        </w:rPr>
        <w:t>(1981,</w:t>
      </w:r>
      <w:r>
        <w:rPr>
          <w:spacing w:val="-3"/>
          <w:sz w:val="30"/>
        </w:rPr>
        <w:t xml:space="preserve"> </w:t>
      </w:r>
      <w:r>
        <w:rPr>
          <w:sz w:val="30"/>
        </w:rPr>
        <w:t>Part</w:t>
      </w:r>
      <w:r>
        <w:rPr>
          <w:spacing w:val="-3"/>
          <w:sz w:val="30"/>
        </w:rPr>
        <w:t xml:space="preserve"> </w:t>
      </w:r>
      <w:r>
        <w:rPr>
          <w:spacing w:val="-4"/>
          <w:sz w:val="30"/>
        </w:rPr>
        <w:t>II).</w:t>
      </w:r>
    </w:p>
    <w:p w14:paraId="7E002FEF" w14:textId="77777777" w:rsidR="009A58DB" w:rsidRDefault="00000000">
      <w:pPr>
        <w:pStyle w:val="ListParagraph"/>
        <w:numPr>
          <w:ilvl w:val="0"/>
          <w:numId w:val="6"/>
        </w:numPr>
        <w:tabs>
          <w:tab w:val="left" w:pos="720"/>
        </w:tabs>
        <w:spacing w:before="45" w:line="249" w:lineRule="auto"/>
        <w:ind w:right="358" w:hanging="375"/>
        <w:jc w:val="both"/>
        <w:rPr>
          <w:color w:val="0562C1"/>
          <w:position w:val="12"/>
          <w:sz w:val="30"/>
          <w:u w:val="single" w:color="0562C1"/>
        </w:rPr>
      </w:pPr>
      <w:r>
        <w:rPr>
          <w:spacing w:val="-1"/>
          <w:sz w:val="30"/>
        </w:rPr>
        <w:t xml:space="preserve"> </w:t>
      </w:r>
      <w:r>
        <w:rPr>
          <w:sz w:val="30"/>
        </w:rPr>
        <w:t>Wittgenstein,</w:t>
      </w:r>
      <w:r>
        <w:rPr>
          <w:spacing w:val="-1"/>
          <w:sz w:val="30"/>
        </w:rPr>
        <w:t xml:space="preserve"> </w:t>
      </w:r>
      <w:r>
        <w:rPr>
          <w:sz w:val="30"/>
        </w:rPr>
        <w:t>himself</w:t>
      </w:r>
      <w:r>
        <w:rPr>
          <w:spacing w:val="-1"/>
          <w:sz w:val="30"/>
        </w:rPr>
        <w:t xml:space="preserve"> </w:t>
      </w:r>
      <w:r>
        <w:rPr>
          <w:sz w:val="30"/>
        </w:rPr>
        <w:t>LP’s</w:t>
      </w:r>
      <w:r>
        <w:rPr>
          <w:spacing w:val="-1"/>
          <w:sz w:val="30"/>
        </w:rPr>
        <w:t xml:space="preserve"> </w:t>
      </w:r>
      <w:r>
        <w:rPr>
          <w:sz w:val="30"/>
        </w:rPr>
        <w:t>founding</w:t>
      </w:r>
      <w:r>
        <w:rPr>
          <w:spacing w:val="-1"/>
          <w:sz w:val="30"/>
        </w:rPr>
        <w:t xml:space="preserve"> </w:t>
      </w:r>
      <w:r>
        <w:rPr>
          <w:sz w:val="30"/>
        </w:rPr>
        <w:t>father,</w:t>
      </w:r>
      <w:r>
        <w:rPr>
          <w:spacing w:val="-1"/>
          <w:sz w:val="30"/>
        </w:rPr>
        <w:t xml:space="preserve"> </w:t>
      </w:r>
      <w:r>
        <w:rPr>
          <w:i/>
          <w:sz w:val="30"/>
        </w:rPr>
        <w:t>did</w:t>
      </w:r>
      <w:r>
        <w:rPr>
          <w:i/>
          <w:spacing w:val="-3"/>
          <w:sz w:val="30"/>
        </w:rPr>
        <w:t xml:space="preserve"> </w:t>
      </w:r>
      <w:r>
        <w:rPr>
          <w:sz w:val="30"/>
        </w:rPr>
        <w:t>try to make a case that L</w:t>
      </w:r>
      <w:bookmarkStart w:id="678" w:name="_bookmark678"/>
      <w:bookmarkEnd w:id="678"/>
      <w:r>
        <w:rPr>
          <w:sz w:val="30"/>
        </w:rPr>
        <w:t xml:space="preserve">P was fundamentally misguided, and not just technically faulty. He spent 20 years trying to make a case for this, and his efforts were embodied in a now famous book known as the </w:t>
      </w:r>
      <w:r>
        <w:rPr>
          <w:i/>
          <w:sz w:val="30"/>
        </w:rPr>
        <w:t xml:space="preserve">Logical Investigations. </w:t>
      </w:r>
      <w:r>
        <w:rPr>
          <w:sz w:val="30"/>
        </w:rPr>
        <w:t xml:space="preserve">But the doctrines put forth in the </w:t>
      </w:r>
      <w:r>
        <w:rPr>
          <w:i/>
          <w:sz w:val="30"/>
        </w:rPr>
        <w:t xml:space="preserve">Investigations </w:t>
      </w:r>
      <w:r>
        <w:rPr>
          <w:sz w:val="30"/>
        </w:rPr>
        <w:t>are quite as incoherent as LP itself. See Chapter 5.</w:t>
      </w:r>
    </w:p>
    <w:p w14:paraId="7E002FF0" w14:textId="77777777" w:rsidR="009A58DB" w:rsidRDefault="00000000">
      <w:pPr>
        <w:pStyle w:val="ListParagraph"/>
        <w:numPr>
          <w:ilvl w:val="0"/>
          <w:numId w:val="6"/>
        </w:numPr>
        <w:tabs>
          <w:tab w:val="left" w:pos="720"/>
          <w:tab w:val="left" w:pos="861"/>
        </w:tabs>
        <w:spacing w:before="52" w:line="249" w:lineRule="auto"/>
        <w:ind w:right="360" w:hanging="375"/>
        <w:jc w:val="both"/>
        <w:rPr>
          <w:color w:val="0562C1"/>
          <w:position w:val="12"/>
          <w:sz w:val="30"/>
          <w:u w:val="single" w:color="0562C1"/>
        </w:rPr>
      </w:pPr>
      <w:r>
        <w:rPr>
          <w:sz w:val="30"/>
        </w:rPr>
        <w:t>Here is a similar argument. LP is a theory—a theory concerning the conditions sentences must satisfy to be meaningful. Tautologies aren’t theories. Tautologies are conventions. Conventions aren’t theories. Therefore, LP isn’t a tautology.</w:t>
      </w:r>
    </w:p>
    <w:p w14:paraId="7E002FF1" w14:textId="77777777" w:rsidR="009A58DB" w:rsidRDefault="00000000">
      <w:pPr>
        <w:pStyle w:val="ListParagraph"/>
        <w:numPr>
          <w:ilvl w:val="0"/>
          <w:numId w:val="6"/>
        </w:numPr>
        <w:tabs>
          <w:tab w:val="left" w:pos="795"/>
        </w:tabs>
        <w:spacing w:before="50"/>
        <w:ind w:left="795" w:hanging="450"/>
        <w:rPr>
          <w:color w:val="0562C1"/>
          <w:position w:val="12"/>
          <w:sz w:val="30"/>
          <w:u w:val="single" w:color="0562C1"/>
        </w:rPr>
      </w:pPr>
      <w:r>
        <w:rPr>
          <w:sz w:val="30"/>
        </w:rPr>
        <w:t>I’m</w:t>
      </w:r>
      <w:r>
        <w:rPr>
          <w:spacing w:val="-7"/>
          <w:sz w:val="30"/>
        </w:rPr>
        <w:t xml:space="preserve"> </w:t>
      </w:r>
      <w:r>
        <w:rPr>
          <w:sz w:val="30"/>
        </w:rPr>
        <w:t>quoting</w:t>
      </w:r>
      <w:r>
        <w:rPr>
          <w:spacing w:val="-4"/>
          <w:sz w:val="30"/>
        </w:rPr>
        <w:t xml:space="preserve"> </w:t>
      </w:r>
      <w:r>
        <w:rPr>
          <w:sz w:val="30"/>
        </w:rPr>
        <w:t>from</w:t>
      </w:r>
      <w:r>
        <w:rPr>
          <w:spacing w:val="-5"/>
          <w:sz w:val="30"/>
        </w:rPr>
        <w:t xml:space="preserve"> </w:t>
      </w:r>
      <w:r>
        <w:rPr>
          <w:sz w:val="30"/>
        </w:rPr>
        <w:t>the</w:t>
      </w:r>
      <w:r>
        <w:rPr>
          <w:spacing w:val="-5"/>
          <w:sz w:val="30"/>
        </w:rPr>
        <w:t xml:space="preserve"> </w:t>
      </w:r>
      <w:r>
        <w:rPr>
          <w:sz w:val="30"/>
        </w:rPr>
        <w:t>McGuiness/Pears</w:t>
      </w:r>
      <w:r>
        <w:rPr>
          <w:spacing w:val="-4"/>
          <w:sz w:val="30"/>
        </w:rPr>
        <w:t xml:space="preserve"> </w:t>
      </w:r>
      <w:r>
        <w:rPr>
          <w:spacing w:val="-2"/>
          <w:sz w:val="30"/>
        </w:rPr>
        <w:t>translation.</w:t>
      </w:r>
    </w:p>
    <w:p w14:paraId="7E002FF2" w14:textId="77777777" w:rsidR="009A58DB" w:rsidRDefault="00000000">
      <w:pPr>
        <w:pStyle w:val="ListParagraph"/>
        <w:numPr>
          <w:ilvl w:val="0"/>
          <w:numId w:val="6"/>
        </w:numPr>
        <w:tabs>
          <w:tab w:val="left" w:pos="795"/>
        </w:tabs>
        <w:spacing w:before="45"/>
        <w:ind w:left="795" w:hanging="450"/>
        <w:rPr>
          <w:color w:val="0562C1"/>
          <w:position w:val="12"/>
          <w:sz w:val="30"/>
          <w:u w:val="single" w:color="0562C1"/>
        </w:rPr>
      </w:pPr>
      <w:r>
        <w:rPr>
          <w:sz w:val="30"/>
        </w:rPr>
        <w:t>Russell</w:t>
      </w:r>
      <w:r>
        <w:rPr>
          <w:spacing w:val="-3"/>
          <w:sz w:val="30"/>
        </w:rPr>
        <w:t xml:space="preserve"> </w:t>
      </w:r>
      <w:r>
        <w:rPr>
          <w:sz w:val="30"/>
        </w:rPr>
        <w:t>(1941,</w:t>
      </w:r>
      <w:r>
        <w:rPr>
          <w:spacing w:val="-2"/>
          <w:sz w:val="30"/>
        </w:rPr>
        <w:t xml:space="preserve"> </w:t>
      </w:r>
      <w:r>
        <w:rPr>
          <w:sz w:val="30"/>
        </w:rPr>
        <w:t>pp.</w:t>
      </w:r>
      <w:r>
        <w:rPr>
          <w:spacing w:val="-2"/>
          <w:sz w:val="30"/>
        </w:rPr>
        <w:t xml:space="preserve"> </w:t>
      </w:r>
      <w:r>
        <w:rPr>
          <w:sz w:val="30"/>
        </w:rPr>
        <w:t>14–</w:t>
      </w:r>
      <w:r>
        <w:rPr>
          <w:spacing w:val="-4"/>
          <w:sz w:val="30"/>
        </w:rPr>
        <w:t>15).</w:t>
      </w:r>
    </w:p>
    <w:p w14:paraId="7E002FF3" w14:textId="77777777" w:rsidR="009A58DB" w:rsidRDefault="00000000">
      <w:pPr>
        <w:pStyle w:val="ListParagraph"/>
        <w:numPr>
          <w:ilvl w:val="0"/>
          <w:numId w:val="6"/>
        </w:numPr>
        <w:tabs>
          <w:tab w:val="left" w:pos="720"/>
        </w:tabs>
        <w:spacing w:before="60" w:line="256" w:lineRule="auto"/>
        <w:ind w:right="359" w:hanging="375"/>
        <w:jc w:val="both"/>
        <w:rPr>
          <w:color w:val="0562C1"/>
          <w:position w:val="12"/>
          <w:sz w:val="30"/>
          <w:u w:val="single" w:color="0562C1"/>
        </w:rPr>
      </w:pPr>
      <w:r>
        <w:rPr>
          <w:sz w:val="30"/>
        </w:rPr>
        <w:t xml:space="preserve"> In her very good book </w:t>
      </w:r>
      <w:r>
        <w:rPr>
          <w:i/>
          <w:sz w:val="30"/>
        </w:rPr>
        <w:t xml:space="preserve">Physics and the Philosophers, </w:t>
      </w:r>
      <w:r>
        <w:rPr>
          <w:sz w:val="30"/>
        </w:rPr>
        <w:t>L. Susan Stebbin</w:t>
      </w:r>
      <w:bookmarkStart w:id="679" w:name="_bookmark679"/>
      <w:bookmarkEnd w:id="679"/>
      <w:r>
        <w:rPr>
          <w:sz w:val="30"/>
        </w:rPr>
        <w:t>g makes similar points. (Stebbing is discussing an argument given by Arthur Edington that is similar to Russell’s.)</w:t>
      </w:r>
    </w:p>
    <w:p w14:paraId="7E002FF4" w14:textId="77777777" w:rsidR="009A58DB" w:rsidRDefault="009A58DB">
      <w:pPr>
        <w:pStyle w:val="ListParagraph"/>
        <w:spacing w:line="256" w:lineRule="auto"/>
        <w:jc w:val="both"/>
        <w:rPr>
          <w:position w:val="12"/>
          <w:sz w:val="30"/>
        </w:rPr>
        <w:sectPr w:rsidR="009A58DB">
          <w:pgSz w:w="12240" w:h="15840"/>
          <w:pgMar w:top="1380" w:right="1080" w:bottom="280" w:left="1080" w:header="720" w:footer="720" w:gutter="0"/>
          <w:cols w:space="720"/>
        </w:sectPr>
      </w:pPr>
    </w:p>
    <w:p w14:paraId="7E002FF5" w14:textId="77777777" w:rsidR="009A58DB" w:rsidRDefault="00000000">
      <w:pPr>
        <w:pStyle w:val="ListParagraph"/>
        <w:numPr>
          <w:ilvl w:val="0"/>
          <w:numId w:val="6"/>
        </w:numPr>
        <w:tabs>
          <w:tab w:val="left" w:pos="806"/>
        </w:tabs>
        <w:spacing w:before="65"/>
        <w:ind w:left="806" w:hanging="461"/>
        <w:rPr>
          <w:color w:val="0562C1"/>
          <w:position w:val="12"/>
          <w:sz w:val="30"/>
          <w:u w:val="single" w:color="0562C1"/>
        </w:rPr>
      </w:pPr>
      <w:r>
        <w:rPr>
          <w:sz w:val="30"/>
        </w:rPr>
        <w:t>The</w:t>
      </w:r>
      <w:r>
        <w:rPr>
          <w:spacing w:val="-6"/>
          <w:sz w:val="30"/>
        </w:rPr>
        <w:t xml:space="preserve"> </w:t>
      </w:r>
      <w:r>
        <w:rPr>
          <w:sz w:val="30"/>
        </w:rPr>
        <w:t>argument</w:t>
      </w:r>
      <w:r>
        <w:rPr>
          <w:spacing w:val="-4"/>
          <w:sz w:val="30"/>
        </w:rPr>
        <w:t xml:space="preserve"> </w:t>
      </w:r>
      <w:r>
        <w:rPr>
          <w:sz w:val="30"/>
        </w:rPr>
        <w:t>about</w:t>
      </w:r>
      <w:r>
        <w:rPr>
          <w:spacing w:val="-3"/>
          <w:sz w:val="30"/>
        </w:rPr>
        <w:t xml:space="preserve"> </w:t>
      </w:r>
      <w:r>
        <w:rPr>
          <w:sz w:val="30"/>
        </w:rPr>
        <w:t>to</w:t>
      </w:r>
      <w:r>
        <w:rPr>
          <w:spacing w:val="-3"/>
          <w:sz w:val="30"/>
        </w:rPr>
        <w:t xml:space="preserve"> </w:t>
      </w:r>
      <w:r>
        <w:rPr>
          <w:sz w:val="30"/>
        </w:rPr>
        <w:t>be</w:t>
      </w:r>
      <w:r>
        <w:rPr>
          <w:spacing w:val="-4"/>
          <w:sz w:val="30"/>
        </w:rPr>
        <w:t xml:space="preserve"> </w:t>
      </w:r>
      <w:r>
        <w:rPr>
          <w:sz w:val="30"/>
        </w:rPr>
        <w:t>presented</w:t>
      </w:r>
      <w:r>
        <w:rPr>
          <w:spacing w:val="-2"/>
          <w:sz w:val="30"/>
        </w:rPr>
        <w:t xml:space="preserve"> </w:t>
      </w:r>
      <w:r>
        <w:rPr>
          <w:sz w:val="30"/>
        </w:rPr>
        <w:t>is</w:t>
      </w:r>
      <w:r>
        <w:rPr>
          <w:spacing w:val="-4"/>
          <w:sz w:val="30"/>
        </w:rPr>
        <w:t xml:space="preserve"> </w:t>
      </w:r>
      <w:r>
        <w:rPr>
          <w:sz w:val="30"/>
        </w:rPr>
        <w:t>further</w:t>
      </w:r>
      <w:r>
        <w:rPr>
          <w:spacing w:val="-4"/>
          <w:sz w:val="30"/>
        </w:rPr>
        <w:t xml:space="preserve"> </w:t>
      </w:r>
      <w:r>
        <w:rPr>
          <w:sz w:val="30"/>
        </w:rPr>
        <w:t>discussed</w:t>
      </w:r>
      <w:r>
        <w:rPr>
          <w:spacing w:val="-2"/>
          <w:sz w:val="30"/>
        </w:rPr>
        <w:t xml:space="preserve"> </w:t>
      </w:r>
      <w:r>
        <w:rPr>
          <w:sz w:val="30"/>
        </w:rPr>
        <w:t>in</w:t>
      </w:r>
      <w:r>
        <w:rPr>
          <w:spacing w:val="-3"/>
          <w:sz w:val="30"/>
        </w:rPr>
        <w:t xml:space="preserve"> </w:t>
      </w:r>
      <w:r>
        <w:rPr>
          <w:sz w:val="30"/>
        </w:rPr>
        <w:t>Chapter</w:t>
      </w:r>
      <w:r>
        <w:rPr>
          <w:spacing w:val="-3"/>
          <w:sz w:val="30"/>
        </w:rPr>
        <w:t xml:space="preserve"> </w:t>
      </w:r>
      <w:r>
        <w:rPr>
          <w:spacing w:val="-5"/>
          <w:sz w:val="30"/>
        </w:rPr>
        <w:t>18.</w:t>
      </w:r>
    </w:p>
    <w:p w14:paraId="7E002FF6" w14:textId="77777777" w:rsidR="009A58DB" w:rsidRDefault="00000000">
      <w:pPr>
        <w:pStyle w:val="ListParagraph"/>
        <w:numPr>
          <w:ilvl w:val="0"/>
          <w:numId w:val="6"/>
        </w:numPr>
        <w:tabs>
          <w:tab w:val="left" w:pos="806"/>
        </w:tabs>
        <w:spacing w:before="75"/>
        <w:ind w:left="806" w:hanging="461"/>
        <w:rPr>
          <w:color w:val="0562C1"/>
          <w:position w:val="12"/>
          <w:sz w:val="30"/>
          <w:u w:val="single" w:color="0562C1"/>
        </w:rPr>
      </w:pPr>
      <w:r>
        <w:rPr>
          <w:sz w:val="30"/>
        </w:rPr>
        <w:t>“GA”</w:t>
      </w:r>
      <w:r>
        <w:rPr>
          <w:spacing w:val="-6"/>
          <w:sz w:val="30"/>
        </w:rPr>
        <w:t xml:space="preserve"> </w:t>
      </w:r>
      <w:r>
        <w:rPr>
          <w:sz w:val="30"/>
        </w:rPr>
        <w:t>stands</w:t>
      </w:r>
      <w:r>
        <w:rPr>
          <w:spacing w:val="-3"/>
          <w:sz w:val="30"/>
        </w:rPr>
        <w:t xml:space="preserve"> </w:t>
      </w:r>
      <w:r>
        <w:rPr>
          <w:sz w:val="30"/>
        </w:rPr>
        <w:t>for</w:t>
      </w:r>
      <w:r>
        <w:rPr>
          <w:spacing w:val="-3"/>
          <w:sz w:val="30"/>
        </w:rPr>
        <w:t xml:space="preserve"> </w:t>
      </w:r>
      <w:r>
        <w:rPr>
          <w:sz w:val="30"/>
        </w:rPr>
        <w:t>“Goodman’s</w:t>
      </w:r>
      <w:r>
        <w:rPr>
          <w:spacing w:val="-3"/>
          <w:sz w:val="30"/>
        </w:rPr>
        <w:t xml:space="preserve"> </w:t>
      </w:r>
      <w:r>
        <w:rPr>
          <w:sz w:val="30"/>
        </w:rPr>
        <w:t>argument.”</w:t>
      </w:r>
      <w:r>
        <w:rPr>
          <w:spacing w:val="-4"/>
          <w:sz w:val="30"/>
        </w:rPr>
        <w:t xml:space="preserve"> </w:t>
      </w:r>
      <w:r>
        <w:rPr>
          <w:sz w:val="30"/>
        </w:rPr>
        <w:t>This</w:t>
      </w:r>
      <w:r>
        <w:rPr>
          <w:spacing w:val="-3"/>
          <w:sz w:val="30"/>
        </w:rPr>
        <w:t xml:space="preserve"> </w:t>
      </w:r>
      <w:r>
        <w:rPr>
          <w:sz w:val="30"/>
        </w:rPr>
        <w:t>is</w:t>
      </w:r>
      <w:r>
        <w:rPr>
          <w:spacing w:val="-3"/>
          <w:sz w:val="30"/>
        </w:rPr>
        <w:t xml:space="preserve"> </w:t>
      </w:r>
      <w:r>
        <w:rPr>
          <w:sz w:val="30"/>
        </w:rPr>
        <w:t>not</w:t>
      </w:r>
      <w:r>
        <w:rPr>
          <w:spacing w:val="-3"/>
          <w:sz w:val="30"/>
        </w:rPr>
        <w:t xml:space="preserve"> </w:t>
      </w:r>
      <w:r>
        <w:rPr>
          <w:sz w:val="30"/>
        </w:rPr>
        <w:t>a</w:t>
      </w:r>
      <w:r>
        <w:rPr>
          <w:spacing w:val="-3"/>
          <w:sz w:val="30"/>
        </w:rPr>
        <w:t xml:space="preserve"> </w:t>
      </w:r>
      <w:r>
        <w:rPr>
          <w:spacing w:val="-2"/>
          <w:sz w:val="30"/>
        </w:rPr>
        <w:t>quotation.</w:t>
      </w:r>
    </w:p>
    <w:p w14:paraId="7E002FF7" w14:textId="77777777" w:rsidR="009A58DB" w:rsidRDefault="00000000">
      <w:pPr>
        <w:pStyle w:val="ListParagraph"/>
        <w:numPr>
          <w:ilvl w:val="0"/>
          <w:numId w:val="6"/>
        </w:numPr>
        <w:tabs>
          <w:tab w:val="left" w:pos="806"/>
        </w:tabs>
        <w:spacing w:before="60"/>
        <w:ind w:left="806" w:hanging="461"/>
        <w:rPr>
          <w:color w:val="0562C1"/>
          <w:position w:val="12"/>
          <w:sz w:val="30"/>
          <w:u w:val="single" w:color="0562C1"/>
        </w:rPr>
      </w:pPr>
      <w:r>
        <w:rPr>
          <w:sz w:val="30"/>
        </w:rPr>
        <w:t>What</w:t>
      </w:r>
      <w:r>
        <w:rPr>
          <w:spacing w:val="-6"/>
          <w:sz w:val="30"/>
        </w:rPr>
        <w:t xml:space="preserve"> </w:t>
      </w:r>
      <w:r>
        <w:rPr>
          <w:sz w:val="30"/>
        </w:rPr>
        <w:t>follows</w:t>
      </w:r>
      <w:r>
        <w:rPr>
          <w:spacing w:val="-4"/>
          <w:sz w:val="30"/>
        </w:rPr>
        <w:t xml:space="preserve"> </w:t>
      </w:r>
      <w:r>
        <w:rPr>
          <w:sz w:val="30"/>
        </w:rPr>
        <w:t>wasn’t</w:t>
      </w:r>
      <w:r>
        <w:rPr>
          <w:spacing w:val="-3"/>
          <w:sz w:val="30"/>
        </w:rPr>
        <w:t xml:space="preserve"> </w:t>
      </w:r>
      <w:r>
        <w:rPr>
          <w:sz w:val="30"/>
        </w:rPr>
        <w:t>said</w:t>
      </w:r>
      <w:r>
        <w:rPr>
          <w:spacing w:val="-3"/>
          <w:sz w:val="30"/>
        </w:rPr>
        <w:t xml:space="preserve"> </w:t>
      </w:r>
      <w:r>
        <w:rPr>
          <w:sz w:val="30"/>
        </w:rPr>
        <w:t>by</w:t>
      </w:r>
      <w:r>
        <w:rPr>
          <w:spacing w:val="-2"/>
          <w:sz w:val="30"/>
        </w:rPr>
        <w:t xml:space="preserve"> </w:t>
      </w:r>
      <w:r>
        <w:rPr>
          <w:sz w:val="30"/>
        </w:rPr>
        <w:t>Goodman;</w:t>
      </w:r>
      <w:r>
        <w:rPr>
          <w:spacing w:val="-4"/>
          <w:sz w:val="30"/>
        </w:rPr>
        <w:t xml:space="preserve"> </w:t>
      </w:r>
      <w:r>
        <w:rPr>
          <w:sz w:val="30"/>
        </w:rPr>
        <w:t>I’m</w:t>
      </w:r>
      <w:r>
        <w:rPr>
          <w:spacing w:val="-3"/>
          <w:sz w:val="30"/>
        </w:rPr>
        <w:t xml:space="preserve"> </w:t>
      </w:r>
      <w:r>
        <w:rPr>
          <w:sz w:val="30"/>
        </w:rPr>
        <w:t>developing</w:t>
      </w:r>
      <w:r>
        <w:rPr>
          <w:spacing w:val="-3"/>
          <w:sz w:val="30"/>
        </w:rPr>
        <w:t xml:space="preserve"> </w:t>
      </w:r>
      <w:r>
        <w:rPr>
          <w:sz w:val="30"/>
        </w:rPr>
        <w:t>his</w:t>
      </w:r>
      <w:r>
        <w:rPr>
          <w:spacing w:val="-3"/>
          <w:sz w:val="30"/>
        </w:rPr>
        <w:t xml:space="preserve"> </w:t>
      </w:r>
      <w:r>
        <w:rPr>
          <w:spacing w:val="-2"/>
          <w:sz w:val="30"/>
        </w:rPr>
        <w:t>point.</w:t>
      </w:r>
    </w:p>
    <w:p w14:paraId="7E002FF8" w14:textId="77777777" w:rsidR="009A58DB" w:rsidRDefault="00000000">
      <w:pPr>
        <w:pStyle w:val="ListParagraph"/>
        <w:numPr>
          <w:ilvl w:val="0"/>
          <w:numId w:val="6"/>
        </w:numPr>
        <w:tabs>
          <w:tab w:val="left" w:pos="720"/>
          <w:tab w:val="left" w:pos="836"/>
        </w:tabs>
        <w:spacing w:before="75" w:line="261" w:lineRule="auto"/>
        <w:ind w:right="366" w:hanging="375"/>
        <w:jc w:val="both"/>
        <w:rPr>
          <w:color w:val="0562C1"/>
          <w:position w:val="12"/>
          <w:sz w:val="30"/>
          <w:u w:val="single" w:color="0562C1"/>
        </w:rPr>
      </w:pPr>
      <w:r>
        <w:rPr>
          <w:sz w:val="30"/>
        </w:rPr>
        <w:t>See Mates (1952) for some arguments that, in my judgment, embody a failure to take these points into account.</w:t>
      </w:r>
    </w:p>
    <w:p w14:paraId="7E002FF9" w14:textId="77777777" w:rsidR="009A58DB" w:rsidRDefault="00000000">
      <w:pPr>
        <w:pStyle w:val="ListParagraph"/>
        <w:numPr>
          <w:ilvl w:val="0"/>
          <w:numId w:val="6"/>
        </w:numPr>
        <w:tabs>
          <w:tab w:val="left" w:pos="720"/>
        </w:tabs>
        <w:spacing w:before="13" w:line="254" w:lineRule="auto"/>
        <w:ind w:right="364" w:hanging="375"/>
        <w:jc w:val="both"/>
        <w:rPr>
          <w:color w:val="0562C1"/>
          <w:position w:val="12"/>
          <w:sz w:val="30"/>
          <w:u w:val="single" w:color="0562C1"/>
        </w:rPr>
      </w:pPr>
      <w:r>
        <w:rPr>
          <w:sz w:val="30"/>
        </w:rPr>
        <w:t xml:space="preserve"> Wittgenstein says that the alphabet is a picture ‘in the ordinary sense’ of the corresponding sounds—that “k” is a picture, “in the ordinary sense,”</w:t>
      </w:r>
      <w:r>
        <w:rPr>
          <w:spacing w:val="40"/>
          <w:sz w:val="30"/>
        </w:rPr>
        <w:t xml:space="preserve"> </w:t>
      </w:r>
      <w:r>
        <w:rPr>
          <w:sz w:val="30"/>
        </w:rPr>
        <w:t>of the corresponding sound. That isn’t true. The relationship between “k” and the corresponding sound is conventional, not iconic.</w:t>
      </w:r>
    </w:p>
    <w:p w14:paraId="7E002FFA" w14:textId="77777777" w:rsidR="009A58DB" w:rsidRDefault="00000000">
      <w:pPr>
        <w:pStyle w:val="ListParagraph"/>
        <w:numPr>
          <w:ilvl w:val="0"/>
          <w:numId w:val="6"/>
        </w:numPr>
        <w:tabs>
          <w:tab w:val="left" w:pos="720"/>
          <w:tab w:val="left" w:pos="851"/>
        </w:tabs>
        <w:spacing w:before="37" w:line="261" w:lineRule="auto"/>
        <w:ind w:right="361" w:hanging="375"/>
        <w:jc w:val="both"/>
        <w:rPr>
          <w:color w:val="0562C1"/>
          <w:position w:val="12"/>
          <w:sz w:val="30"/>
          <w:u w:val="single" w:color="0562C1"/>
        </w:rPr>
      </w:pPr>
      <w:r>
        <w:rPr>
          <w:sz w:val="30"/>
        </w:rPr>
        <w:t>A semantic rule is what is expressed by any sentence saying what is</w:t>
      </w:r>
      <w:r>
        <w:rPr>
          <w:spacing w:val="80"/>
          <w:w w:val="150"/>
          <w:sz w:val="30"/>
        </w:rPr>
        <w:t xml:space="preserve"> </w:t>
      </w:r>
      <w:r>
        <w:rPr>
          <w:sz w:val="30"/>
        </w:rPr>
        <w:t>meant by an expression of a language.</w:t>
      </w:r>
    </w:p>
    <w:p w14:paraId="7E002FFB" w14:textId="77777777" w:rsidR="009A58DB" w:rsidRDefault="00000000">
      <w:pPr>
        <w:pStyle w:val="BodyText"/>
        <w:spacing w:before="28" w:line="249" w:lineRule="auto"/>
        <w:ind w:left="720" w:right="361" w:firstLine="292"/>
      </w:pPr>
      <w:r>
        <w:t>So if, while pointing to individual x—who, we will stipulate, is Mick Jagger—I say “that guy’s name is Mick Jagger,” I’m stating a semantic rule, since what I’m saying is that “Mick Jagger” refers to x.</w:t>
      </w:r>
    </w:p>
    <w:p w14:paraId="7E002FFC" w14:textId="77777777" w:rsidR="009A58DB" w:rsidRDefault="00000000">
      <w:pPr>
        <w:pStyle w:val="ListParagraph"/>
        <w:numPr>
          <w:ilvl w:val="0"/>
          <w:numId w:val="6"/>
        </w:numPr>
        <w:tabs>
          <w:tab w:val="left" w:pos="720"/>
          <w:tab w:val="left" w:pos="836"/>
        </w:tabs>
        <w:spacing w:before="34" w:line="252" w:lineRule="auto"/>
        <w:ind w:right="357" w:hanging="375"/>
        <w:jc w:val="both"/>
        <w:rPr>
          <w:color w:val="0562C1"/>
          <w:position w:val="12"/>
          <w:sz w:val="30"/>
          <w:u w:val="single" w:color="0562C1"/>
        </w:rPr>
      </w:pPr>
      <w:r>
        <w:rPr>
          <w:sz w:val="30"/>
        </w:rPr>
        <w:t xml:space="preserve">Frege, who held the same view, said that “propositions are true facts.” Frege’s view isn’t quite accurate. False propositions aren’t facts. It isn’t a fact </w:t>
      </w:r>
      <w:r>
        <w:rPr>
          <w:i/>
          <w:sz w:val="30"/>
        </w:rPr>
        <w:t xml:space="preserve">that the moon is made of cheese. </w:t>
      </w:r>
      <w:r>
        <w:rPr>
          <w:sz w:val="30"/>
        </w:rPr>
        <w:t xml:space="preserve">Bearng in mind that false propositions aren’t facts, let’s suppose, with Frege, that true propositions </w:t>
      </w:r>
      <w:r>
        <w:rPr>
          <w:i/>
          <w:sz w:val="30"/>
        </w:rPr>
        <w:t>are</w:t>
      </w:r>
      <w:r>
        <w:rPr>
          <w:i/>
          <w:spacing w:val="-4"/>
          <w:sz w:val="30"/>
        </w:rPr>
        <w:t xml:space="preserve"> </w:t>
      </w:r>
      <w:r>
        <w:rPr>
          <w:sz w:val="30"/>
        </w:rPr>
        <w:t>facts.</w:t>
      </w:r>
      <w:r>
        <w:rPr>
          <w:spacing w:val="-3"/>
          <w:sz w:val="30"/>
        </w:rPr>
        <w:t xml:space="preserve"> </w:t>
      </w:r>
      <w:r>
        <w:rPr>
          <w:sz w:val="30"/>
        </w:rPr>
        <w:t>Facts</w:t>
      </w:r>
      <w:r>
        <w:rPr>
          <w:spacing w:val="-4"/>
          <w:sz w:val="30"/>
        </w:rPr>
        <w:t xml:space="preserve"> </w:t>
      </w:r>
      <w:r>
        <w:rPr>
          <w:sz w:val="30"/>
        </w:rPr>
        <w:t>are,</w:t>
      </w:r>
      <w:r>
        <w:rPr>
          <w:spacing w:val="-3"/>
          <w:sz w:val="30"/>
        </w:rPr>
        <w:t xml:space="preserve"> </w:t>
      </w:r>
      <w:r>
        <w:rPr>
          <w:sz w:val="30"/>
        </w:rPr>
        <w:t>in</w:t>
      </w:r>
      <w:r>
        <w:rPr>
          <w:spacing w:val="-3"/>
          <w:sz w:val="30"/>
        </w:rPr>
        <w:t xml:space="preserve"> </w:t>
      </w:r>
      <w:r>
        <w:rPr>
          <w:sz w:val="30"/>
        </w:rPr>
        <w:t>at</w:t>
      </w:r>
      <w:r>
        <w:rPr>
          <w:spacing w:val="-4"/>
          <w:sz w:val="30"/>
        </w:rPr>
        <w:t xml:space="preserve"> </w:t>
      </w:r>
      <w:r>
        <w:rPr>
          <w:sz w:val="30"/>
        </w:rPr>
        <w:t>least</w:t>
      </w:r>
      <w:r>
        <w:rPr>
          <w:spacing w:val="-4"/>
          <w:sz w:val="30"/>
        </w:rPr>
        <w:t xml:space="preserve"> </w:t>
      </w:r>
      <w:r>
        <w:rPr>
          <w:sz w:val="30"/>
        </w:rPr>
        <w:t>some</w:t>
      </w:r>
      <w:r>
        <w:rPr>
          <w:spacing w:val="-4"/>
          <w:sz w:val="30"/>
        </w:rPr>
        <w:t xml:space="preserve"> </w:t>
      </w:r>
      <w:r>
        <w:rPr>
          <w:sz w:val="30"/>
        </w:rPr>
        <w:t>cases,</w:t>
      </w:r>
      <w:r>
        <w:rPr>
          <w:spacing w:val="-3"/>
          <w:sz w:val="30"/>
        </w:rPr>
        <w:t xml:space="preserve"> </w:t>
      </w:r>
      <w:r>
        <w:rPr>
          <w:sz w:val="30"/>
        </w:rPr>
        <w:t>spatiotemporal</w:t>
      </w:r>
      <w:r>
        <w:rPr>
          <w:spacing w:val="-4"/>
          <w:sz w:val="30"/>
        </w:rPr>
        <w:t xml:space="preserve"> </w:t>
      </w:r>
      <w:r>
        <w:rPr>
          <w:sz w:val="30"/>
        </w:rPr>
        <w:t>entities.</w:t>
      </w:r>
      <w:r>
        <w:rPr>
          <w:spacing w:val="-3"/>
          <w:sz w:val="30"/>
        </w:rPr>
        <w:t xml:space="preserve"> </w:t>
      </w:r>
      <w:r>
        <w:rPr>
          <w:sz w:val="30"/>
        </w:rPr>
        <w:t>The</w:t>
      </w:r>
      <w:r>
        <w:rPr>
          <w:spacing w:val="-4"/>
          <w:sz w:val="30"/>
        </w:rPr>
        <w:t xml:space="preserve"> </w:t>
      </w:r>
      <w:r>
        <w:rPr>
          <w:sz w:val="30"/>
        </w:rPr>
        <w:t>fact of my typing right now consists of various displacements of mass-energy.</w:t>
      </w:r>
    </w:p>
    <w:p w14:paraId="7E002FFD" w14:textId="77777777" w:rsidR="009A58DB" w:rsidRDefault="00000000">
      <w:pPr>
        <w:pStyle w:val="BodyText"/>
        <w:spacing w:before="46" w:line="249" w:lineRule="auto"/>
        <w:ind w:left="720" w:right="358" w:firstLine="384"/>
      </w:pPr>
      <w:r>
        <w:t>So if true propositions were facts, then some propositions would be spatiotemporal entities, whereas false ones would categorically fail to be such entities. But it would be theoretical arbitrariness of the worst kind to hold that some members of the class of propositions—which is obviously</w:t>
      </w:r>
      <w:r>
        <w:rPr>
          <w:spacing w:val="40"/>
        </w:rPr>
        <w:t xml:space="preserve"> </w:t>
      </w:r>
      <w:r>
        <w:t>a unified, highly integrated class—were spatiotemoral, whereas other members of that same class were not.</w:t>
      </w:r>
    </w:p>
    <w:p w14:paraId="7E002FFE" w14:textId="77777777" w:rsidR="009A58DB" w:rsidRDefault="00000000">
      <w:pPr>
        <w:pStyle w:val="ListParagraph"/>
        <w:numPr>
          <w:ilvl w:val="0"/>
          <w:numId w:val="6"/>
        </w:numPr>
        <w:tabs>
          <w:tab w:val="left" w:pos="720"/>
        </w:tabs>
        <w:spacing w:before="38" w:line="252" w:lineRule="auto"/>
        <w:ind w:right="365" w:hanging="375"/>
        <w:jc w:val="both"/>
        <w:rPr>
          <w:color w:val="0562C1"/>
          <w:position w:val="12"/>
          <w:sz w:val="30"/>
          <w:u w:val="single" w:color="0562C1"/>
        </w:rPr>
      </w:pPr>
      <w:r>
        <w:rPr>
          <w:sz w:val="30"/>
        </w:rPr>
        <w:t xml:space="preserve"> When putting forth the picture theory of meaning, Wittgenstein uses the German word “satz,” which means “sentence.” But Wittgenstein’s translators sometimes translate it as “proposition.” Supposing that they’re right to do so, the picture theory of meaning is the view that propositions, not the sentences that express them, are pictures of the facts they describe.</w:t>
      </w:r>
    </w:p>
    <w:p w14:paraId="7E002FFF" w14:textId="77777777" w:rsidR="009A58DB" w:rsidRDefault="009A58DB">
      <w:pPr>
        <w:pStyle w:val="ListParagraph"/>
        <w:spacing w:line="252" w:lineRule="auto"/>
        <w:jc w:val="both"/>
        <w:rPr>
          <w:position w:val="12"/>
          <w:sz w:val="30"/>
        </w:rPr>
        <w:sectPr w:rsidR="009A58DB">
          <w:pgSz w:w="12240" w:h="15840"/>
          <w:pgMar w:top="1380" w:right="1080" w:bottom="280" w:left="1080" w:header="720" w:footer="720" w:gutter="0"/>
          <w:cols w:space="720"/>
        </w:sectPr>
      </w:pPr>
    </w:p>
    <w:p w14:paraId="7E003000" w14:textId="77777777" w:rsidR="009A58DB" w:rsidRDefault="00000000">
      <w:pPr>
        <w:pStyle w:val="BodyText"/>
        <w:spacing w:before="65" w:line="249" w:lineRule="auto"/>
        <w:ind w:left="720" w:right="358"/>
      </w:pPr>
      <w:r>
        <w:t xml:space="preserve">Thus interpreted, Wittgenstein’s thesis is false. Like the states of affairs they depict, actual pictures (e.g., drawings, photographs) are spatiotemporal entities, and can thus bear a </w:t>
      </w:r>
      <w:r>
        <w:rPr>
          <w:i/>
        </w:rPr>
        <w:t xml:space="preserve">physical </w:t>
      </w:r>
      <w:r>
        <w:t>resemblance to those states of affairs. But propositions are not spatiotemporal entities; they’re abstract objects. Therefore, they cannot in any literal sense resemble the facts to which, when they’re true, they correspond. To be sure, propositions must resemble those facts in some way or other. But that’s trivial, given that, for any two things, there is a respect in which they’re similar to each other.</w:t>
      </w:r>
    </w:p>
    <w:p w14:paraId="7E003001" w14:textId="77777777" w:rsidR="009A58DB" w:rsidRDefault="00000000">
      <w:pPr>
        <w:pStyle w:val="BodyText"/>
        <w:spacing w:before="56" w:line="249" w:lineRule="auto"/>
        <w:ind w:left="720" w:right="358"/>
      </w:pPr>
      <w:r>
        <w:t>A terminological point before we continue: Given a proposition, we’ll refer to the fact that must hold for that proposition to be true as its “truth-maker.” So, supposing that John is North Carolina, the truth-maker of that proposition is the fact that John is North Carolina.</w:t>
      </w:r>
    </w:p>
    <w:p w14:paraId="7E003002" w14:textId="77777777" w:rsidR="009A58DB" w:rsidRDefault="00000000">
      <w:pPr>
        <w:pStyle w:val="BodyText"/>
        <w:spacing w:before="35" w:line="252" w:lineRule="auto"/>
        <w:ind w:left="720" w:right="357"/>
      </w:pPr>
      <w:r>
        <w:t>For</w:t>
      </w:r>
      <w:r>
        <w:rPr>
          <w:spacing w:val="-4"/>
        </w:rPr>
        <w:t xml:space="preserve"> </w:t>
      </w:r>
      <w:r>
        <w:t>the</w:t>
      </w:r>
      <w:r>
        <w:rPr>
          <w:spacing w:val="-4"/>
        </w:rPr>
        <w:t xml:space="preserve"> </w:t>
      </w:r>
      <w:r>
        <w:t>theory</w:t>
      </w:r>
      <w:r>
        <w:rPr>
          <w:spacing w:val="-3"/>
        </w:rPr>
        <w:t xml:space="preserve"> </w:t>
      </w:r>
      <w:r>
        <w:t>that</w:t>
      </w:r>
      <w:r>
        <w:rPr>
          <w:spacing w:val="-4"/>
        </w:rPr>
        <w:t xml:space="preserve"> </w:t>
      </w:r>
      <w:r>
        <w:t>proposition</w:t>
      </w:r>
      <w:r>
        <w:rPr>
          <w:spacing w:val="-3"/>
        </w:rPr>
        <w:t xml:space="preserve"> </w:t>
      </w:r>
      <w:r>
        <w:t>are</w:t>
      </w:r>
      <w:r>
        <w:rPr>
          <w:spacing w:val="-4"/>
        </w:rPr>
        <w:t xml:space="preserve"> </w:t>
      </w:r>
      <w:r>
        <w:t>pictures</w:t>
      </w:r>
      <w:r>
        <w:rPr>
          <w:spacing w:val="-4"/>
        </w:rPr>
        <w:t xml:space="preserve"> </w:t>
      </w:r>
      <w:r>
        <w:t>of</w:t>
      </w:r>
      <w:r>
        <w:rPr>
          <w:spacing w:val="-4"/>
        </w:rPr>
        <w:t xml:space="preserve"> </w:t>
      </w:r>
      <w:r>
        <w:t>their</w:t>
      </w:r>
      <w:r>
        <w:rPr>
          <w:spacing w:val="-4"/>
        </w:rPr>
        <w:t xml:space="preserve"> </w:t>
      </w:r>
      <w:r>
        <w:t>truth-makers</w:t>
      </w:r>
      <w:r>
        <w:rPr>
          <w:spacing w:val="-4"/>
        </w:rPr>
        <w:t xml:space="preserve"> </w:t>
      </w:r>
      <w:r>
        <w:t>to</w:t>
      </w:r>
      <w:r>
        <w:rPr>
          <w:spacing w:val="-3"/>
        </w:rPr>
        <w:t xml:space="preserve"> </w:t>
      </w:r>
      <w:r>
        <w:t>be</w:t>
      </w:r>
      <w:r>
        <w:rPr>
          <w:spacing w:val="-4"/>
        </w:rPr>
        <w:t xml:space="preserve"> </w:t>
      </w:r>
      <w:r>
        <w:t>have any substance, it would have to be said how exactly they resemble those truth-makers;</w:t>
      </w:r>
      <w:r>
        <w:rPr>
          <w:spacing w:val="-1"/>
        </w:rPr>
        <w:t xml:space="preserve"> </w:t>
      </w:r>
      <w:r>
        <w:t>and in order</w:t>
      </w:r>
      <w:r>
        <w:rPr>
          <w:spacing w:val="-1"/>
        </w:rPr>
        <w:t xml:space="preserve"> </w:t>
      </w:r>
      <w:r>
        <w:t>to do that, it</w:t>
      </w:r>
      <w:r>
        <w:rPr>
          <w:spacing w:val="-1"/>
        </w:rPr>
        <w:t xml:space="preserve"> </w:t>
      </w:r>
      <w:r>
        <w:t>would have to be said what exactly propositions are. Usually, Wittgenstein spurns propositions. But every</w:t>
      </w:r>
      <w:r>
        <w:rPr>
          <w:spacing w:val="40"/>
        </w:rPr>
        <w:t xml:space="preserve"> </w:t>
      </w:r>
      <w:r>
        <w:t>now</w:t>
      </w:r>
      <w:r>
        <w:rPr>
          <w:spacing w:val="-3"/>
        </w:rPr>
        <w:t xml:space="preserve"> </w:t>
      </w:r>
      <w:r>
        <w:t>and</w:t>
      </w:r>
      <w:r>
        <w:rPr>
          <w:spacing w:val="-2"/>
        </w:rPr>
        <w:t xml:space="preserve"> </w:t>
      </w:r>
      <w:r>
        <w:t>then</w:t>
      </w:r>
      <w:r>
        <w:rPr>
          <w:spacing w:val="-2"/>
        </w:rPr>
        <w:t xml:space="preserve"> </w:t>
      </w:r>
      <w:r>
        <w:t>he</w:t>
      </w:r>
      <w:r>
        <w:rPr>
          <w:spacing w:val="-3"/>
        </w:rPr>
        <w:t xml:space="preserve"> </w:t>
      </w:r>
      <w:r>
        <w:t>seems</w:t>
      </w:r>
      <w:r>
        <w:rPr>
          <w:spacing w:val="-3"/>
        </w:rPr>
        <w:t xml:space="preserve"> </w:t>
      </w:r>
      <w:r>
        <w:t>to</w:t>
      </w:r>
      <w:r>
        <w:rPr>
          <w:spacing w:val="-2"/>
        </w:rPr>
        <w:t xml:space="preserve"> </w:t>
      </w:r>
      <w:r>
        <w:t>concede</w:t>
      </w:r>
      <w:r>
        <w:rPr>
          <w:spacing w:val="-3"/>
        </w:rPr>
        <w:t xml:space="preserve"> </w:t>
      </w:r>
      <w:r>
        <w:t>their</w:t>
      </w:r>
      <w:r>
        <w:rPr>
          <w:spacing w:val="-3"/>
        </w:rPr>
        <w:t xml:space="preserve"> </w:t>
      </w:r>
      <w:r>
        <w:t>existence.</w:t>
      </w:r>
      <w:r>
        <w:rPr>
          <w:spacing w:val="-2"/>
        </w:rPr>
        <w:t xml:space="preserve"> </w:t>
      </w:r>
      <w:r>
        <w:t>So</w:t>
      </w:r>
      <w:r>
        <w:rPr>
          <w:spacing w:val="-2"/>
        </w:rPr>
        <w:t xml:space="preserve"> </w:t>
      </w:r>
      <w:r>
        <w:t>far</w:t>
      </w:r>
      <w:r>
        <w:rPr>
          <w:spacing w:val="-3"/>
        </w:rPr>
        <w:t xml:space="preserve"> </w:t>
      </w:r>
      <w:r>
        <w:t>as</w:t>
      </w:r>
      <w:r>
        <w:rPr>
          <w:spacing w:val="-3"/>
        </w:rPr>
        <w:t xml:space="preserve"> </w:t>
      </w:r>
      <w:r>
        <w:t>he</w:t>
      </w:r>
      <w:r>
        <w:rPr>
          <w:spacing w:val="-3"/>
        </w:rPr>
        <w:t xml:space="preserve"> </w:t>
      </w:r>
      <w:r>
        <w:t>does</w:t>
      </w:r>
      <w:r>
        <w:rPr>
          <w:spacing w:val="-3"/>
        </w:rPr>
        <w:t xml:space="preserve"> </w:t>
      </w:r>
      <w:r>
        <w:t>so,</w:t>
      </w:r>
      <w:r>
        <w:rPr>
          <w:spacing w:val="-2"/>
        </w:rPr>
        <w:t xml:space="preserve"> </w:t>
      </w:r>
      <w:r>
        <w:t>his view is that they are veritable models of their truth-makers—that, in other words,</w:t>
      </w:r>
      <w:r>
        <w:rPr>
          <w:spacing w:val="-2"/>
        </w:rPr>
        <w:t xml:space="preserve"> </w:t>
      </w:r>
      <w:r>
        <w:t>a</w:t>
      </w:r>
      <w:r>
        <w:rPr>
          <w:spacing w:val="-2"/>
        </w:rPr>
        <w:t xml:space="preserve"> </w:t>
      </w:r>
      <w:r>
        <w:t>given</w:t>
      </w:r>
      <w:r>
        <w:rPr>
          <w:spacing w:val="-2"/>
        </w:rPr>
        <w:t xml:space="preserve"> </w:t>
      </w:r>
      <w:r>
        <w:t>proposition</w:t>
      </w:r>
      <w:r>
        <w:rPr>
          <w:spacing w:val="-2"/>
        </w:rPr>
        <w:t xml:space="preserve"> </w:t>
      </w:r>
      <w:r>
        <w:t>actually</w:t>
      </w:r>
      <w:r>
        <w:rPr>
          <w:spacing w:val="-2"/>
        </w:rPr>
        <w:t xml:space="preserve"> </w:t>
      </w:r>
      <w:r>
        <w:t>consists</w:t>
      </w:r>
      <w:r>
        <w:rPr>
          <w:spacing w:val="-2"/>
        </w:rPr>
        <w:t xml:space="preserve"> </w:t>
      </w:r>
      <w:r>
        <w:t>of</w:t>
      </w:r>
      <w:r>
        <w:rPr>
          <w:spacing w:val="-2"/>
        </w:rPr>
        <w:t xml:space="preserve"> </w:t>
      </w:r>
      <w:r>
        <w:t>the</w:t>
      </w:r>
      <w:r>
        <w:rPr>
          <w:spacing w:val="-2"/>
        </w:rPr>
        <w:t xml:space="preserve"> </w:t>
      </w:r>
      <w:r>
        <w:t>very</w:t>
      </w:r>
      <w:r>
        <w:rPr>
          <w:spacing w:val="-2"/>
        </w:rPr>
        <w:t xml:space="preserve"> </w:t>
      </w:r>
      <w:r>
        <w:t>objects</w:t>
      </w:r>
      <w:r>
        <w:rPr>
          <w:spacing w:val="-2"/>
        </w:rPr>
        <w:t xml:space="preserve"> </w:t>
      </w:r>
      <w:r>
        <w:t>involved</w:t>
      </w:r>
      <w:r>
        <w:rPr>
          <w:spacing w:val="-2"/>
        </w:rPr>
        <w:t xml:space="preserve"> </w:t>
      </w:r>
      <w:r>
        <w:t>in the fact that, supposing it true, it describes and that, in that proposition, those objects are interrelated in the way they would be in the corresponding fact, were the latter to exist.</w:t>
      </w:r>
      <w:r>
        <w:rPr>
          <w:vertAlign w:val="superscript"/>
        </w:rPr>
        <w:t>82</w:t>
      </w:r>
      <w:r>
        <w:t xml:space="preserve"> But that theory is rank absurdity. For, if true, the proposition can’t even exist without being true. If the proposition that Smith punched Jones is a structure consisting of Smith and Jones in which the former punches the latter, then that proposition is </w:t>
      </w:r>
      <w:r>
        <w:rPr>
          <w:i/>
        </w:rPr>
        <w:t xml:space="preserve">it self </w:t>
      </w:r>
      <w:r>
        <w:t>a case of Smith’s punching Jones. And in that case, that proposition can’t even exist without being true. But that proposition can exist without being true. The proposition that JMK jumped over the Empire State building exists but isn’t true.</w:t>
      </w:r>
    </w:p>
    <w:p w14:paraId="7E003003" w14:textId="77777777" w:rsidR="009A58DB" w:rsidRDefault="00000000">
      <w:pPr>
        <w:pStyle w:val="BodyText"/>
        <w:spacing w:line="322" w:lineRule="exact"/>
        <w:ind w:left="720"/>
      </w:pPr>
      <w:r>
        <w:t>There’s</w:t>
      </w:r>
      <w:r>
        <w:rPr>
          <w:spacing w:val="19"/>
        </w:rPr>
        <w:t xml:space="preserve"> </w:t>
      </w:r>
      <w:r>
        <w:t>also</w:t>
      </w:r>
      <w:r>
        <w:rPr>
          <w:spacing w:val="21"/>
        </w:rPr>
        <w:t xml:space="preserve"> </w:t>
      </w:r>
      <w:r>
        <w:t>the</w:t>
      </w:r>
      <w:r>
        <w:rPr>
          <w:spacing w:val="21"/>
        </w:rPr>
        <w:t xml:space="preserve"> </w:t>
      </w:r>
      <w:r>
        <w:t>problem</w:t>
      </w:r>
      <w:r>
        <w:rPr>
          <w:spacing w:val="21"/>
        </w:rPr>
        <w:t xml:space="preserve"> </w:t>
      </w:r>
      <w:r>
        <w:t>that,</w:t>
      </w:r>
      <w:r>
        <w:rPr>
          <w:spacing w:val="21"/>
        </w:rPr>
        <w:t xml:space="preserve"> </w:t>
      </w:r>
      <w:r>
        <w:t>even</w:t>
      </w:r>
      <w:r>
        <w:rPr>
          <w:spacing w:val="22"/>
        </w:rPr>
        <w:t xml:space="preserve"> </w:t>
      </w:r>
      <w:r>
        <w:t>though</w:t>
      </w:r>
      <w:r>
        <w:rPr>
          <w:spacing w:val="21"/>
        </w:rPr>
        <w:t xml:space="preserve"> </w:t>
      </w:r>
      <w:r>
        <w:t>Socrates</w:t>
      </w:r>
      <w:r>
        <w:rPr>
          <w:spacing w:val="21"/>
        </w:rPr>
        <w:t xml:space="preserve"> </w:t>
      </w:r>
      <w:r>
        <w:t>no</w:t>
      </w:r>
      <w:r>
        <w:rPr>
          <w:spacing w:val="21"/>
        </w:rPr>
        <w:t xml:space="preserve"> </w:t>
      </w:r>
      <w:r>
        <w:t>longer</w:t>
      </w:r>
      <w:r>
        <w:rPr>
          <w:spacing w:val="21"/>
        </w:rPr>
        <w:t xml:space="preserve"> </w:t>
      </w:r>
      <w:r>
        <w:t>exists,</w:t>
      </w:r>
      <w:r>
        <w:rPr>
          <w:spacing w:val="22"/>
        </w:rPr>
        <w:t xml:space="preserve"> </w:t>
      </w:r>
      <w:r>
        <w:rPr>
          <w:spacing w:val="-5"/>
        </w:rPr>
        <w:t>the</w:t>
      </w:r>
    </w:p>
    <w:p w14:paraId="7E003004" w14:textId="77777777" w:rsidR="009A58DB" w:rsidRDefault="00000000">
      <w:pPr>
        <w:pStyle w:val="BodyText"/>
        <w:spacing w:before="15" w:line="249" w:lineRule="auto"/>
        <w:ind w:left="720" w:right="360"/>
      </w:pPr>
      <w:r>
        <w:t xml:space="preserve">proposition </w:t>
      </w:r>
      <w:r>
        <w:rPr>
          <w:i/>
        </w:rPr>
        <w:t xml:space="preserve">Socrates admired Pal to </w:t>
      </w:r>
      <w:r>
        <w:t>still does. Interestingly, Nathan Salmon (1986, 2005, 2007) holds that, for this very reason, that proposition doesn’t exist. Salmon’s position is that the sentence “Socrates admired Plato” is meaningful and that it’s meaning is the proposition tha</w:t>
      </w:r>
      <w:bookmarkStart w:id="680" w:name="_bookmark680"/>
      <w:bookmarkEnd w:id="680"/>
      <w:r>
        <w:t>t</w:t>
      </w:r>
    </w:p>
    <w:p w14:paraId="7E003005"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006" w14:textId="77777777" w:rsidR="009A58DB" w:rsidRDefault="00000000">
      <w:pPr>
        <w:pStyle w:val="BodyText"/>
        <w:spacing w:before="62" w:line="249" w:lineRule="auto"/>
        <w:ind w:left="720" w:right="359"/>
      </w:pPr>
      <w:r>
        <w:t>Socrates admired Plato. But, says Salmon, that meaning is non-existent, the reason being that Socrates, one of components, is non-existent. Thus</w:t>
      </w:r>
      <w:bookmarkStart w:id="681" w:name="_bookmark681"/>
      <w:bookmarkEnd w:id="681"/>
      <w:r>
        <w:t xml:space="preserve">, says Salmon, there exists a proposition that doesn’t exist that is the meaning of “Socrates admired Plato.” This is what Salmon </w:t>
      </w:r>
      <w:r>
        <w:rPr>
          <w:i/>
        </w:rPr>
        <w:t>himself</w:t>
      </w:r>
      <w:r>
        <w:rPr>
          <w:i/>
          <w:spacing w:val="-4"/>
        </w:rPr>
        <w:t xml:space="preserve"> </w:t>
      </w:r>
      <w:r>
        <w:t xml:space="preserve">says. It is not an unintended consequence of his view; it </w:t>
      </w:r>
      <w:r>
        <w:rPr>
          <w:i/>
        </w:rPr>
        <w:t xml:space="preserve">is </w:t>
      </w:r>
      <w:r>
        <w:t>his view. (See Salmon (2005), Chapters 2 and 3.) The merits of this view are discussed i</w:t>
      </w:r>
      <w:bookmarkStart w:id="682" w:name="_bookmark682"/>
      <w:bookmarkEnd w:id="682"/>
      <w:r>
        <w:t>n</w:t>
      </w:r>
      <w:r>
        <w:rPr>
          <w:spacing w:val="40"/>
        </w:rPr>
        <w:t xml:space="preserve"> </w:t>
      </w:r>
      <w:r>
        <w:t>Chapter 3.</w:t>
      </w:r>
    </w:p>
    <w:p w14:paraId="7E003007" w14:textId="77777777" w:rsidR="009A58DB" w:rsidRDefault="00000000">
      <w:pPr>
        <w:pStyle w:val="BodyText"/>
        <w:spacing w:before="56" w:line="249" w:lineRule="auto"/>
        <w:ind w:left="720" w:right="358"/>
      </w:pPr>
      <w:r>
        <w:t>In any case, Salmon’s view is a quasi-Tractarian one. He says that (so far as it exists) the proposition that Socrates admired Plato consists of</w:t>
      </w:r>
      <w:r>
        <w:rPr>
          <w:spacing w:val="40"/>
        </w:rPr>
        <w:t xml:space="preserve"> </w:t>
      </w:r>
      <w:r>
        <w:t>Socrates and Plato—those two individuals themselves, not concept</w:t>
      </w:r>
      <w:bookmarkStart w:id="683" w:name="_bookmark683"/>
      <w:bookmarkEnd w:id="683"/>
      <w:r>
        <w:t>s thereof—and that, in that proposition, the former stands in the relation of admiring with respect to the latter or stands in some analogous</w:t>
      </w:r>
      <w:r>
        <w:rPr>
          <w:spacing w:val="40"/>
        </w:rPr>
        <w:t xml:space="preserve"> </w:t>
      </w:r>
      <w:r>
        <w:t>relationship to him. Apart from the fact that Socrates and Plato aren’t around to do the work that Salmon’s theory requires of them, that theory has the drawback that the mere existence of the proposition in question prejudges a number of open empirical issues. If, in that proposition</w:t>
      </w:r>
      <w:bookmarkStart w:id="684" w:name="_bookmark684"/>
      <w:bookmarkEnd w:id="684"/>
      <w:r>
        <w:t xml:space="preserve">, Socrates must </w:t>
      </w:r>
      <w:r>
        <w:rPr>
          <w:i/>
        </w:rPr>
        <w:t xml:space="preserve">actually </w:t>
      </w:r>
      <w:r>
        <w:t>admire Plato, then the mere existence of that proposition predetermines its own truth. If it’s some other relationship that Socrates</w:t>
      </w:r>
      <w:r>
        <w:rPr>
          <w:spacing w:val="-2"/>
        </w:rPr>
        <w:t xml:space="preserve"> </w:t>
      </w:r>
      <w:r>
        <w:t>bears</w:t>
      </w:r>
      <w:r>
        <w:rPr>
          <w:spacing w:val="-2"/>
        </w:rPr>
        <w:t xml:space="preserve"> </w:t>
      </w:r>
      <w:r>
        <w:t>with</w:t>
      </w:r>
      <w:r>
        <w:rPr>
          <w:spacing w:val="-2"/>
        </w:rPr>
        <w:t xml:space="preserve"> </w:t>
      </w:r>
      <w:r>
        <w:t>respect</w:t>
      </w:r>
      <w:r>
        <w:rPr>
          <w:spacing w:val="-2"/>
        </w:rPr>
        <w:t xml:space="preserve"> </w:t>
      </w:r>
      <w:r>
        <w:t>to</w:t>
      </w:r>
      <w:r>
        <w:rPr>
          <w:spacing w:val="-2"/>
        </w:rPr>
        <w:t xml:space="preserve"> </w:t>
      </w:r>
      <w:r>
        <w:t>Plato,</w:t>
      </w:r>
      <w:r>
        <w:rPr>
          <w:spacing w:val="-2"/>
        </w:rPr>
        <w:t xml:space="preserve"> </w:t>
      </w:r>
      <w:r>
        <w:t>some</w:t>
      </w:r>
      <w:r>
        <w:rPr>
          <w:spacing w:val="-2"/>
        </w:rPr>
        <w:t xml:space="preserve"> </w:t>
      </w:r>
      <w:r>
        <w:t>other</w:t>
      </w:r>
      <w:r>
        <w:rPr>
          <w:spacing w:val="-2"/>
        </w:rPr>
        <w:t xml:space="preserve"> </w:t>
      </w:r>
      <w:r>
        <w:t>issue</w:t>
      </w:r>
      <w:r>
        <w:rPr>
          <w:spacing w:val="-2"/>
        </w:rPr>
        <w:t xml:space="preserve"> </w:t>
      </w:r>
      <w:r>
        <w:t>will</w:t>
      </w:r>
      <w:r>
        <w:rPr>
          <w:spacing w:val="-2"/>
        </w:rPr>
        <w:t xml:space="preserve"> </w:t>
      </w:r>
      <w:r>
        <w:t>be</w:t>
      </w:r>
      <w:r>
        <w:rPr>
          <w:spacing w:val="-2"/>
        </w:rPr>
        <w:t xml:space="preserve"> </w:t>
      </w:r>
      <w:r>
        <w:t>prejudged.</w:t>
      </w:r>
      <w:r>
        <w:rPr>
          <w:spacing w:val="-2"/>
        </w:rPr>
        <w:t xml:space="preserve"> </w:t>
      </w:r>
      <w:r>
        <w:t xml:space="preserve">In addition, the question will arise why it is that the proposition in question consists of Socrates’ bearing </w:t>
      </w:r>
      <w:r>
        <w:rPr>
          <w:i/>
        </w:rPr>
        <w:t xml:space="preserve">that </w:t>
      </w:r>
      <w:r>
        <w:t>relation to Plato. What is so special</w:t>
      </w:r>
      <w:r>
        <w:rPr>
          <w:spacing w:val="40"/>
        </w:rPr>
        <w:t xml:space="preserve"> </w:t>
      </w:r>
      <w:r>
        <w:t>about that relationship? And to answer this question, Salmon would actually have to identify the relationship in question.</w:t>
      </w:r>
    </w:p>
    <w:p w14:paraId="7E003008" w14:textId="77777777" w:rsidR="009A58DB" w:rsidRDefault="00000000">
      <w:pPr>
        <w:pStyle w:val="BodyText"/>
        <w:spacing w:before="50" w:line="249" w:lineRule="auto"/>
        <w:ind w:left="720" w:right="358"/>
      </w:pPr>
      <w:r>
        <w:t>To Salmon’s credit, he has attempted to identify this relationship. He ha</w:t>
      </w:r>
      <w:bookmarkStart w:id="685" w:name="_bookmark685"/>
      <w:bookmarkEnd w:id="685"/>
      <w:r>
        <w:t>s said that the proposition that Socrates admired Plato is the following ordered pair: &lt;the relationship of admiring &lt;Socrates, Plato&gt;&gt;. Thus, he has said, in effect, that the relationship in question—the one that Socrate</w:t>
      </w:r>
      <w:bookmarkStart w:id="686" w:name="_bookmark686"/>
      <w:bookmarkEnd w:id="686"/>
      <w:r>
        <w:t>s bears to Plato in the proposition in question—is one that a thing x bears to a thing y in virtue of its being the case that the following ordered pair exists: &lt;the relationship of admiring, &lt;x, y&gt;&gt;.</w:t>
      </w:r>
    </w:p>
    <w:p w14:paraId="7E003009" w14:textId="77777777" w:rsidR="009A58DB" w:rsidRDefault="00000000">
      <w:pPr>
        <w:pStyle w:val="BodyText"/>
        <w:spacing w:before="54" w:line="249" w:lineRule="auto"/>
        <w:ind w:left="720" w:right="368" w:firstLine="302"/>
      </w:pPr>
      <w:r>
        <w:t>This is certainly very helpful. But we have a slight problem. Ordere</w:t>
      </w:r>
      <w:bookmarkStart w:id="687" w:name="_bookmark687"/>
      <w:bookmarkEnd w:id="687"/>
      <w:r>
        <w:t>d pairs</w:t>
      </w:r>
      <w:r>
        <w:rPr>
          <w:spacing w:val="32"/>
        </w:rPr>
        <w:t xml:space="preserve"> </w:t>
      </w:r>
      <w:r>
        <w:t>aren’t</w:t>
      </w:r>
      <w:r>
        <w:rPr>
          <w:spacing w:val="32"/>
        </w:rPr>
        <w:t xml:space="preserve"> </w:t>
      </w:r>
      <w:r>
        <w:t>true</w:t>
      </w:r>
      <w:r>
        <w:rPr>
          <w:spacing w:val="32"/>
        </w:rPr>
        <w:t xml:space="preserve"> </w:t>
      </w:r>
      <w:r>
        <w:t>or</w:t>
      </w:r>
      <w:r>
        <w:rPr>
          <w:spacing w:val="32"/>
        </w:rPr>
        <w:t xml:space="preserve"> </w:t>
      </w:r>
      <w:r>
        <w:t>false.</w:t>
      </w:r>
      <w:r>
        <w:rPr>
          <w:spacing w:val="32"/>
        </w:rPr>
        <w:t xml:space="preserve"> </w:t>
      </w:r>
      <w:r>
        <w:t>The</w:t>
      </w:r>
      <w:r>
        <w:rPr>
          <w:spacing w:val="32"/>
        </w:rPr>
        <w:t xml:space="preserve"> </w:t>
      </w:r>
      <w:r>
        <w:t>ordered</w:t>
      </w:r>
      <w:r>
        <w:rPr>
          <w:spacing w:val="32"/>
        </w:rPr>
        <w:t xml:space="preserve"> </w:t>
      </w:r>
      <w:r>
        <w:t>pair</w:t>
      </w:r>
      <w:r>
        <w:rPr>
          <w:spacing w:val="32"/>
        </w:rPr>
        <w:t xml:space="preserve"> </w:t>
      </w:r>
      <w:r>
        <w:t>&lt;the</w:t>
      </w:r>
      <w:r>
        <w:rPr>
          <w:spacing w:val="32"/>
        </w:rPr>
        <w:t xml:space="preserve"> </w:t>
      </w:r>
      <w:r>
        <w:t>relationship</w:t>
      </w:r>
      <w:r>
        <w:rPr>
          <w:spacing w:val="32"/>
        </w:rPr>
        <w:t xml:space="preserve"> </w:t>
      </w:r>
      <w:r>
        <w:t>of</w:t>
      </w:r>
      <w:r>
        <w:rPr>
          <w:spacing w:val="32"/>
        </w:rPr>
        <w:t xml:space="preserve"> </w:t>
      </w:r>
      <w:r>
        <w:t>admiring</w:t>
      </w:r>
    </w:p>
    <w:p w14:paraId="7E00300A" w14:textId="77777777" w:rsidR="009A58DB" w:rsidRDefault="00000000">
      <w:pPr>
        <w:pStyle w:val="BodyText"/>
        <w:spacing w:before="2" w:line="249" w:lineRule="auto"/>
        <w:ind w:left="720" w:right="361"/>
      </w:pPr>
      <w:r>
        <w:t>&lt;Socrates, Plato&gt;&gt; true or false. (John Perry points makes this exact point.) An alternative to Salmon’s theory is put forth in Chapter 3.</w:t>
      </w:r>
    </w:p>
    <w:p w14:paraId="7E00300B" w14:textId="77777777" w:rsidR="009A58DB" w:rsidRDefault="00000000">
      <w:pPr>
        <w:pStyle w:val="ListParagraph"/>
        <w:numPr>
          <w:ilvl w:val="0"/>
          <w:numId w:val="6"/>
        </w:numPr>
        <w:tabs>
          <w:tab w:val="left" w:pos="806"/>
        </w:tabs>
        <w:spacing w:before="32"/>
        <w:ind w:left="806" w:hanging="461"/>
        <w:rPr>
          <w:color w:val="0562C1"/>
          <w:position w:val="12"/>
          <w:sz w:val="30"/>
          <w:u w:val="single" w:color="0562C1"/>
        </w:rPr>
      </w:pPr>
      <w:r>
        <w:rPr>
          <w:sz w:val="30"/>
        </w:rPr>
        <w:t>Goodman</w:t>
      </w:r>
      <w:r>
        <w:rPr>
          <w:spacing w:val="10"/>
          <w:sz w:val="30"/>
        </w:rPr>
        <w:t xml:space="preserve"> </w:t>
      </w:r>
      <w:r>
        <w:rPr>
          <w:sz w:val="30"/>
        </w:rPr>
        <w:t>(1976)</w:t>
      </w:r>
      <w:r>
        <w:rPr>
          <w:spacing w:val="11"/>
          <w:sz w:val="30"/>
        </w:rPr>
        <w:t xml:space="preserve"> </w:t>
      </w:r>
      <w:r>
        <w:rPr>
          <w:sz w:val="30"/>
        </w:rPr>
        <w:t>discusses</w:t>
      </w:r>
      <w:r>
        <w:rPr>
          <w:spacing w:val="11"/>
          <w:sz w:val="30"/>
        </w:rPr>
        <w:t xml:space="preserve"> </w:t>
      </w:r>
      <w:r>
        <w:rPr>
          <w:sz w:val="30"/>
        </w:rPr>
        <w:t>the</w:t>
      </w:r>
      <w:r>
        <w:rPr>
          <w:spacing w:val="11"/>
          <w:sz w:val="30"/>
        </w:rPr>
        <w:t xml:space="preserve"> </w:t>
      </w:r>
      <w:r>
        <w:rPr>
          <w:sz w:val="30"/>
        </w:rPr>
        <w:t>concept</w:t>
      </w:r>
      <w:r>
        <w:rPr>
          <w:spacing w:val="11"/>
          <w:sz w:val="30"/>
        </w:rPr>
        <w:t xml:space="preserve"> </w:t>
      </w:r>
      <w:r>
        <w:rPr>
          <w:sz w:val="30"/>
        </w:rPr>
        <w:t>of</w:t>
      </w:r>
      <w:r>
        <w:rPr>
          <w:spacing w:val="11"/>
          <w:sz w:val="30"/>
        </w:rPr>
        <w:t xml:space="preserve"> </w:t>
      </w:r>
      <w:r>
        <w:rPr>
          <w:sz w:val="30"/>
        </w:rPr>
        <w:t>a</w:t>
      </w:r>
      <w:r>
        <w:rPr>
          <w:spacing w:val="11"/>
          <w:sz w:val="30"/>
        </w:rPr>
        <w:t xml:space="preserve"> </w:t>
      </w:r>
      <w:r>
        <w:rPr>
          <w:sz w:val="30"/>
        </w:rPr>
        <w:t>digital</w:t>
      </w:r>
      <w:r>
        <w:rPr>
          <w:spacing w:val="11"/>
          <w:sz w:val="30"/>
        </w:rPr>
        <w:t xml:space="preserve"> </w:t>
      </w:r>
      <w:r>
        <w:rPr>
          <w:sz w:val="30"/>
        </w:rPr>
        <w:t>representation</w:t>
      </w:r>
      <w:r>
        <w:rPr>
          <w:spacing w:val="12"/>
          <w:sz w:val="30"/>
        </w:rPr>
        <w:t xml:space="preserve"> </w:t>
      </w:r>
      <w:r>
        <w:rPr>
          <w:sz w:val="30"/>
        </w:rPr>
        <w:t>as</w:t>
      </w:r>
      <w:r>
        <w:rPr>
          <w:spacing w:val="12"/>
          <w:sz w:val="30"/>
        </w:rPr>
        <w:t xml:space="preserve"> </w:t>
      </w:r>
      <w:r>
        <w:rPr>
          <w:spacing w:val="-4"/>
          <w:sz w:val="30"/>
        </w:rPr>
        <w:t>well</w:t>
      </w:r>
    </w:p>
    <w:p w14:paraId="7E00300C" w14:textId="77777777" w:rsidR="009A58DB" w:rsidRDefault="009A58DB">
      <w:pPr>
        <w:pStyle w:val="ListParagraph"/>
        <w:rPr>
          <w:position w:val="12"/>
          <w:sz w:val="30"/>
        </w:rPr>
        <w:sectPr w:rsidR="009A58DB">
          <w:pgSz w:w="12240" w:h="15840"/>
          <w:pgMar w:top="1380" w:right="1080" w:bottom="280" w:left="1080" w:header="720" w:footer="720" w:gutter="0"/>
          <w:cols w:space="720"/>
        </w:sectPr>
      </w:pPr>
    </w:p>
    <w:p w14:paraId="7E00300D" w14:textId="77777777" w:rsidR="009A58DB" w:rsidRDefault="00000000">
      <w:pPr>
        <w:pStyle w:val="BodyText"/>
        <w:spacing w:before="59"/>
        <w:ind w:left="720"/>
      </w:pPr>
      <w:r>
        <w:t>as</w:t>
      </w:r>
      <w:r>
        <w:rPr>
          <w:spacing w:val="-5"/>
        </w:rPr>
        <w:t xml:space="preserve"> </w:t>
      </w:r>
      <w:r>
        <w:t>the,</w:t>
      </w:r>
      <w:r>
        <w:rPr>
          <w:spacing w:val="-2"/>
        </w:rPr>
        <w:t xml:space="preserve"> </w:t>
      </w:r>
      <w:r>
        <w:t>soon</w:t>
      </w:r>
      <w:r>
        <w:rPr>
          <w:spacing w:val="-2"/>
        </w:rPr>
        <w:t xml:space="preserve"> </w:t>
      </w:r>
      <w:r>
        <w:t>to</w:t>
      </w:r>
      <w:r>
        <w:rPr>
          <w:spacing w:val="-1"/>
        </w:rPr>
        <w:t xml:space="preserve"> </w:t>
      </w:r>
      <w:r>
        <w:t>be</w:t>
      </w:r>
      <w:r>
        <w:rPr>
          <w:spacing w:val="-3"/>
        </w:rPr>
        <w:t xml:space="preserve"> </w:t>
      </w:r>
      <w:r>
        <w:t>mentioned,</w:t>
      </w:r>
      <w:r>
        <w:rPr>
          <w:spacing w:val="-2"/>
        </w:rPr>
        <w:t xml:space="preserve"> </w:t>
      </w:r>
      <w:r>
        <w:t>concept</w:t>
      </w:r>
      <w:r>
        <w:rPr>
          <w:spacing w:val="-2"/>
        </w:rPr>
        <w:t xml:space="preserve"> </w:t>
      </w:r>
      <w:r>
        <w:t>of</w:t>
      </w:r>
      <w:r>
        <w:rPr>
          <w:spacing w:val="-3"/>
        </w:rPr>
        <w:t xml:space="preserve"> </w:t>
      </w:r>
      <w:r>
        <w:t>an</w:t>
      </w:r>
      <w:r>
        <w:rPr>
          <w:spacing w:val="-2"/>
        </w:rPr>
        <w:t xml:space="preserve"> </w:t>
      </w:r>
      <w:r>
        <w:t>analogue</w:t>
      </w:r>
      <w:r>
        <w:rPr>
          <w:spacing w:val="-2"/>
        </w:rPr>
        <w:t xml:space="preserve"> representation.</w:t>
      </w:r>
    </w:p>
    <w:p w14:paraId="7E00300E" w14:textId="77777777" w:rsidR="009A58DB" w:rsidRDefault="00000000">
      <w:pPr>
        <w:pStyle w:val="ListParagraph"/>
        <w:numPr>
          <w:ilvl w:val="0"/>
          <w:numId w:val="6"/>
        </w:numPr>
        <w:tabs>
          <w:tab w:val="left" w:pos="720"/>
        </w:tabs>
        <w:spacing w:before="66" w:line="254" w:lineRule="auto"/>
        <w:ind w:right="363" w:hanging="375"/>
        <w:jc w:val="both"/>
        <w:rPr>
          <w:color w:val="0562C1"/>
          <w:position w:val="12"/>
          <w:sz w:val="30"/>
          <w:u w:val="single" w:color="0562C1"/>
        </w:rPr>
      </w:pPr>
      <w:r>
        <w:rPr>
          <w:sz w:val="30"/>
        </w:rPr>
        <w:t xml:space="preserve"> The</w:t>
      </w:r>
      <w:r>
        <w:rPr>
          <w:spacing w:val="-3"/>
          <w:sz w:val="30"/>
        </w:rPr>
        <w:t xml:space="preserve"> </w:t>
      </w:r>
      <w:r>
        <w:rPr>
          <w:sz w:val="30"/>
        </w:rPr>
        <w:t>differences</w:t>
      </w:r>
      <w:r>
        <w:rPr>
          <w:spacing w:val="-3"/>
          <w:sz w:val="30"/>
        </w:rPr>
        <w:t xml:space="preserve"> </w:t>
      </w:r>
      <w:r>
        <w:rPr>
          <w:sz w:val="30"/>
        </w:rPr>
        <w:t>between</w:t>
      </w:r>
      <w:r>
        <w:rPr>
          <w:spacing w:val="-3"/>
          <w:sz w:val="30"/>
        </w:rPr>
        <w:t xml:space="preserve"> </w:t>
      </w:r>
      <w:r>
        <w:rPr>
          <w:sz w:val="30"/>
        </w:rPr>
        <w:t>iconic</w:t>
      </w:r>
      <w:r>
        <w:rPr>
          <w:spacing w:val="-3"/>
          <w:sz w:val="30"/>
        </w:rPr>
        <w:t xml:space="preserve"> </w:t>
      </w:r>
      <w:r>
        <w:rPr>
          <w:sz w:val="30"/>
        </w:rPr>
        <w:t>and</w:t>
      </w:r>
      <w:r>
        <w:rPr>
          <w:spacing w:val="-3"/>
          <w:sz w:val="30"/>
        </w:rPr>
        <w:t xml:space="preserve"> </w:t>
      </w:r>
      <w:r>
        <w:rPr>
          <w:sz w:val="30"/>
        </w:rPr>
        <w:t>linguistic</w:t>
      </w:r>
      <w:r>
        <w:rPr>
          <w:spacing w:val="-3"/>
          <w:sz w:val="30"/>
        </w:rPr>
        <w:t xml:space="preserve"> </w:t>
      </w:r>
      <w:r>
        <w:rPr>
          <w:sz w:val="30"/>
        </w:rPr>
        <w:t>representation</w:t>
      </w:r>
      <w:r>
        <w:rPr>
          <w:spacing w:val="-3"/>
          <w:sz w:val="30"/>
        </w:rPr>
        <w:t xml:space="preserve"> </w:t>
      </w:r>
      <w:r>
        <w:rPr>
          <w:sz w:val="30"/>
        </w:rPr>
        <w:t>are</w:t>
      </w:r>
      <w:r>
        <w:rPr>
          <w:spacing w:val="-3"/>
          <w:sz w:val="30"/>
        </w:rPr>
        <w:t xml:space="preserve"> </w:t>
      </w:r>
      <w:r>
        <w:rPr>
          <w:sz w:val="30"/>
        </w:rPr>
        <w:t>discusse</w:t>
      </w:r>
      <w:bookmarkStart w:id="688" w:name="_bookmark688"/>
      <w:bookmarkEnd w:id="688"/>
      <w:r>
        <w:rPr>
          <w:sz w:val="30"/>
        </w:rPr>
        <w:t xml:space="preserve">d at length in Chapters 21–23 of my (2007) book </w:t>
      </w:r>
      <w:r>
        <w:rPr>
          <w:i/>
          <w:sz w:val="30"/>
        </w:rPr>
        <w:t>Conceptual Atomism and the Computational Theory of Mind: A Defense of Content-internalism and Semantic externalism.</w:t>
      </w:r>
    </w:p>
    <w:p w14:paraId="7E00300F" w14:textId="77777777" w:rsidR="009A58DB" w:rsidRDefault="00000000">
      <w:pPr>
        <w:pStyle w:val="ListParagraph"/>
        <w:numPr>
          <w:ilvl w:val="0"/>
          <w:numId w:val="6"/>
        </w:numPr>
        <w:tabs>
          <w:tab w:val="left" w:pos="720"/>
        </w:tabs>
        <w:spacing w:before="22" w:line="256" w:lineRule="auto"/>
        <w:ind w:right="358" w:hanging="375"/>
        <w:jc w:val="both"/>
        <w:rPr>
          <w:color w:val="0562C1"/>
          <w:position w:val="12"/>
          <w:sz w:val="30"/>
          <w:u w:val="single" w:color="0562C1"/>
        </w:rPr>
      </w:pPr>
      <w:r>
        <w:rPr>
          <w:sz w:val="30"/>
        </w:rPr>
        <w:t xml:space="preserve"> “Grass is greed and snow is white” is the result of </w:t>
      </w:r>
      <w:r>
        <w:rPr>
          <w:b/>
          <w:i/>
          <w:sz w:val="30"/>
        </w:rPr>
        <w:t xml:space="preserve">conjoining </w:t>
      </w:r>
      <w:r>
        <w:rPr>
          <w:sz w:val="30"/>
        </w:rPr>
        <w:t xml:space="preserve">“snow is white” and “grass is green,” and “Grass is greed or snow is white” is the result of </w:t>
      </w:r>
      <w:r>
        <w:rPr>
          <w:b/>
          <w:i/>
          <w:sz w:val="30"/>
        </w:rPr>
        <w:t xml:space="preserve">disjoining </w:t>
      </w:r>
      <w:r>
        <w:rPr>
          <w:sz w:val="30"/>
        </w:rPr>
        <w:t>them.</w:t>
      </w:r>
    </w:p>
    <w:p w14:paraId="7E003010" w14:textId="77777777" w:rsidR="009A58DB" w:rsidRDefault="00000000">
      <w:pPr>
        <w:pStyle w:val="ListParagraph"/>
        <w:numPr>
          <w:ilvl w:val="0"/>
          <w:numId w:val="6"/>
        </w:numPr>
        <w:tabs>
          <w:tab w:val="left" w:pos="720"/>
          <w:tab w:val="left" w:pos="851"/>
        </w:tabs>
        <w:spacing w:before="33" w:line="252" w:lineRule="auto"/>
        <w:ind w:right="359" w:hanging="375"/>
        <w:jc w:val="both"/>
        <w:rPr>
          <w:color w:val="0562C1"/>
          <w:position w:val="12"/>
          <w:sz w:val="30"/>
          <w:u w:val="single" w:color="0562C1"/>
        </w:rPr>
      </w:pPr>
      <w:r>
        <w:rPr>
          <w:sz w:val="30"/>
        </w:rPr>
        <w:t>A statement is vacuously true if it’s trivially incapable being counter-exampled. An example is: “every human being who lives on Neptune plays the accordion” In order for that sentence to be false, there would have to be a human being on Neptune who didn’t play the accordion.</w:t>
      </w:r>
      <w:r>
        <w:rPr>
          <w:spacing w:val="40"/>
          <w:sz w:val="30"/>
        </w:rPr>
        <w:t xml:space="preserve"> </w:t>
      </w:r>
      <w:r>
        <w:rPr>
          <w:sz w:val="30"/>
        </w:rPr>
        <w:t>Since there are no human beings on Neptune to begin with, there are none who don’t play the accordion.</w:t>
      </w:r>
    </w:p>
    <w:p w14:paraId="7E003011" w14:textId="77777777" w:rsidR="009A58DB" w:rsidRDefault="00000000">
      <w:pPr>
        <w:pStyle w:val="ListParagraph"/>
        <w:numPr>
          <w:ilvl w:val="0"/>
          <w:numId w:val="6"/>
        </w:numPr>
        <w:tabs>
          <w:tab w:val="left" w:pos="720"/>
        </w:tabs>
        <w:spacing w:before="31" w:line="261" w:lineRule="auto"/>
        <w:ind w:right="365" w:hanging="375"/>
        <w:jc w:val="both"/>
        <w:rPr>
          <w:color w:val="0562C1"/>
          <w:position w:val="12"/>
          <w:sz w:val="30"/>
          <w:u w:val="single" w:color="0562C1"/>
        </w:rPr>
      </w:pPr>
      <w:r>
        <w:rPr>
          <w:sz w:val="30"/>
        </w:rPr>
        <w:t xml:space="preserve"> Berkeley made this point very clearly in his (1734) work </w:t>
      </w:r>
      <w:r>
        <w:rPr>
          <w:i/>
          <w:sz w:val="30"/>
        </w:rPr>
        <w:t>The Principles</w:t>
      </w:r>
      <w:r>
        <w:rPr>
          <w:i/>
          <w:spacing w:val="40"/>
          <w:sz w:val="30"/>
        </w:rPr>
        <w:t xml:space="preserve"> </w:t>
      </w:r>
      <w:r>
        <w:rPr>
          <w:i/>
          <w:sz w:val="30"/>
        </w:rPr>
        <w:t>of Human Knowledge.</w:t>
      </w:r>
    </w:p>
    <w:p w14:paraId="7E003012" w14:textId="77777777" w:rsidR="009A58DB" w:rsidRDefault="00000000">
      <w:pPr>
        <w:pStyle w:val="ListParagraph"/>
        <w:numPr>
          <w:ilvl w:val="0"/>
          <w:numId w:val="6"/>
        </w:numPr>
        <w:tabs>
          <w:tab w:val="left" w:pos="720"/>
          <w:tab w:val="left" w:pos="841"/>
        </w:tabs>
        <w:spacing w:before="28" w:line="249" w:lineRule="auto"/>
        <w:ind w:right="357" w:hanging="375"/>
        <w:jc w:val="both"/>
        <w:rPr>
          <w:sz w:val="30"/>
        </w:rPr>
      </w:pPr>
      <w:r>
        <w:rPr>
          <w:sz w:val="30"/>
        </w:rPr>
        <w:t>Sometimes the word “‘iconic” is used to mean a picture-</w:t>
      </w:r>
      <w:r>
        <w:rPr>
          <w:i/>
          <w:sz w:val="30"/>
        </w:rPr>
        <w:t xml:space="preserve">like </w:t>
      </w:r>
      <w:r>
        <w:rPr>
          <w:sz w:val="30"/>
        </w:rPr>
        <w:t>linguistic representation that isn’t really a picture. Thus, hieroglphys are “iconic,” since they look like the things they represent. But in this context, ‘iconic’ will be synonymous with ‘pictorial’, ‘imagistic,’ etc.</w:t>
      </w:r>
    </w:p>
    <w:p w14:paraId="7E003013" w14:textId="77777777" w:rsidR="009A58DB" w:rsidRDefault="00000000">
      <w:pPr>
        <w:pStyle w:val="ListParagraph"/>
        <w:numPr>
          <w:ilvl w:val="0"/>
          <w:numId w:val="6"/>
        </w:numPr>
        <w:tabs>
          <w:tab w:val="left" w:pos="862"/>
        </w:tabs>
        <w:spacing w:before="43"/>
        <w:ind w:left="862" w:hanging="517"/>
        <w:jc w:val="both"/>
        <w:rPr>
          <w:sz w:val="34"/>
        </w:rPr>
      </w:pPr>
      <w:r>
        <w:rPr>
          <w:sz w:val="30"/>
        </w:rPr>
        <w:t>Short</w:t>
      </w:r>
      <w:r>
        <w:rPr>
          <w:spacing w:val="-2"/>
          <w:sz w:val="30"/>
        </w:rPr>
        <w:t xml:space="preserve"> </w:t>
      </w:r>
      <w:r>
        <w:rPr>
          <w:sz w:val="30"/>
        </w:rPr>
        <w:t>for</w:t>
      </w:r>
      <w:r>
        <w:rPr>
          <w:spacing w:val="-2"/>
          <w:sz w:val="30"/>
        </w:rPr>
        <w:t xml:space="preserve"> </w:t>
      </w:r>
      <w:r>
        <w:rPr>
          <w:sz w:val="30"/>
        </w:rPr>
        <w:t>“image</w:t>
      </w:r>
      <w:r>
        <w:rPr>
          <w:spacing w:val="10"/>
          <w:sz w:val="30"/>
        </w:rPr>
        <w:t xml:space="preserve"> </w:t>
      </w:r>
      <w:r>
        <w:rPr>
          <w:sz w:val="34"/>
        </w:rPr>
        <w:t xml:space="preserve">of </w:t>
      </w:r>
      <w:r>
        <w:rPr>
          <w:sz w:val="30"/>
        </w:rPr>
        <w:t>a</w:t>
      </w:r>
      <w:r>
        <w:rPr>
          <w:spacing w:val="-2"/>
          <w:sz w:val="30"/>
        </w:rPr>
        <w:t xml:space="preserve"> triangle</w:t>
      </w:r>
      <w:r>
        <w:rPr>
          <w:spacing w:val="-2"/>
          <w:sz w:val="34"/>
        </w:rPr>
        <w:t>.”</w:t>
      </w:r>
    </w:p>
    <w:p w14:paraId="7E003014" w14:textId="77777777" w:rsidR="009A58DB" w:rsidRDefault="00000000">
      <w:pPr>
        <w:pStyle w:val="ListParagraph"/>
        <w:numPr>
          <w:ilvl w:val="0"/>
          <w:numId w:val="6"/>
        </w:numPr>
        <w:tabs>
          <w:tab w:val="left" w:pos="720"/>
        </w:tabs>
        <w:spacing w:before="51" w:line="256" w:lineRule="auto"/>
        <w:ind w:right="371" w:hanging="375"/>
        <w:jc w:val="both"/>
        <w:rPr>
          <w:color w:val="0562C1"/>
          <w:position w:val="12"/>
          <w:sz w:val="30"/>
          <w:u w:val="single" w:color="0562C1"/>
        </w:rPr>
      </w:pPr>
      <w:r>
        <w:rPr>
          <w:sz w:val="30"/>
        </w:rPr>
        <w:t xml:space="preserve"> This is an adaptation of the Pears/McGuinness translation. I’ve replaced each occurrence therein of “proposition” with “sentence,” for the reasons given earlier. The italics are in the original.</w:t>
      </w:r>
    </w:p>
    <w:p w14:paraId="7E003015" w14:textId="77777777" w:rsidR="009A58DB" w:rsidRDefault="00000000">
      <w:pPr>
        <w:pStyle w:val="ListParagraph"/>
        <w:numPr>
          <w:ilvl w:val="0"/>
          <w:numId w:val="6"/>
        </w:numPr>
        <w:tabs>
          <w:tab w:val="left" w:pos="720"/>
        </w:tabs>
        <w:spacing w:before="33" w:line="261" w:lineRule="auto"/>
        <w:ind w:right="363" w:hanging="375"/>
        <w:jc w:val="both"/>
        <w:rPr>
          <w:color w:val="0562C1"/>
          <w:position w:val="12"/>
          <w:sz w:val="30"/>
          <w:u w:val="single" w:color="0562C1"/>
        </w:rPr>
      </w:pPr>
      <w:r>
        <w:rPr>
          <w:sz w:val="30"/>
        </w:rPr>
        <w:t xml:space="preserve"> I</w:t>
      </w:r>
      <w:r>
        <w:rPr>
          <w:spacing w:val="-1"/>
          <w:sz w:val="30"/>
        </w:rPr>
        <w:t xml:space="preserve"> </w:t>
      </w:r>
      <w:r>
        <w:rPr>
          <w:sz w:val="30"/>
        </w:rPr>
        <w:t>suspect</w:t>
      </w:r>
      <w:r>
        <w:rPr>
          <w:spacing w:val="-1"/>
          <w:sz w:val="30"/>
        </w:rPr>
        <w:t xml:space="preserve"> </w:t>
      </w:r>
      <w:r>
        <w:rPr>
          <w:sz w:val="30"/>
        </w:rPr>
        <w:t>that</w:t>
      </w:r>
      <w:r>
        <w:rPr>
          <w:spacing w:val="-1"/>
          <w:sz w:val="30"/>
        </w:rPr>
        <w:t xml:space="preserve"> </w:t>
      </w:r>
      <w:r>
        <w:rPr>
          <w:sz w:val="30"/>
        </w:rPr>
        <w:t>it</w:t>
      </w:r>
      <w:r>
        <w:rPr>
          <w:spacing w:val="-1"/>
          <w:sz w:val="30"/>
        </w:rPr>
        <w:t xml:space="preserve"> </w:t>
      </w:r>
      <w:r>
        <w:rPr>
          <w:sz w:val="30"/>
        </w:rPr>
        <w:t>was</w:t>
      </w:r>
      <w:r>
        <w:rPr>
          <w:spacing w:val="-1"/>
          <w:sz w:val="30"/>
        </w:rPr>
        <w:t xml:space="preserve"> </w:t>
      </w:r>
      <w:r>
        <w:rPr>
          <w:sz w:val="30"/>
        </w:rPr>
        <w:t>his</w:t>
      </w:r>
      <w:r>
        <w:rPr>
          <w:spacing w:val="-1"/>
          <w:sz w:val="30"/>
        </w:rPr>
        <w:t xml:space="preserve"> </w:t>
      </w:r>
      <w:r>
        <w:rPr>
          <w:sz w:val="30"/>
        </w:rPr>
        <w:t>awareness</w:t>
      </w:r>
      <w:r>
        <w:rPr>
          <w:spacing w:val="-1"/>
          <w:sz w:val="30"/>
        </w:rPr>
        <w:t xml:space="preserve"> </w:t>
      </w:r>
      <w:r>
        <w:rPr>
          <w:sz w:val="30"/>
        </w:rPr>
        <w:t>of</w:t>
      </w:r>
      <w:r>
        <w:rPr>
          <w:spacing w:val="-1"/>
          <w:sz w:val="30"/>
        </w:rPr>
        <w:t xml:space="preserve"> </w:t>
      </w:r>
      <w:r>
        <w:rPr>
          <w:sz w:val="30"/>
        </w:rPr>
        <w:t>this</w:t>
      </w:r>
      <w:r>
        <w:rPr>
          <w:spacing w:val="-1"/>
          <w:sz w:val="30"/>
        </w:rPr>
        <w:t xml:space="preserve"> </w:t>
      </w:r>
      <w:r>
        <w:rPr>
          <w:sz w:val="30"/>
        </w:rPr>
        <w:t>fact</w:t>
      </w:r>
      <w:r>
        <w:rPr>
          <w:spacing w:val="-1"/>
          <w:sz w:val="30"/>
        </w:rPr>
        <w:t xml:space="preserve"> </w:t>
      </w:r>
      <w:r>
        <w:rPr>
          <w:sz w:val="30"/>
        </w:rPr>
        <w:t>that</w:t>
      </w:r>
      <w:r>
        <w:rPr>
          <w:spacing w:val="-1"/>
          <w:sz w:val="30"/>
        </w:rPr>
        <w:t xml:space="preserve"> </w:t>
      </w:r>
      <w:r>
        <w:rPr>
          <w:sz w:val="30"/>
        </w:rPr>
        <w:t>led</w:t>
      </w:r>
      <w:r>
        <w:rPr>
          <w:spacing w:val="-1"/>
          <w:sz w:val="30"/>
        </w:rPr>
        <w:t xml:space="preserve"> </w:t>
      </w:r>
      <w:r>
        <w:rPr>
          <w:sz w:val="30"/>
        </w:rPr>
        <w:t>him</w:t>
      </w:r>
      <w:r>
        <w:rPr>
          <w:spacing w:val="-1"/>
          <w:sz w:val="30"/>
        </w:rPr>
        <w:t xml:space="preserve"> </w:t>
      </w:r>
      <w:r>
        <w:rPr>
          <w:sz w:val="30"/>
        </w:rPr>
        <w:t>to</w:t>
      </w:r>
      <w:r>
        <w:rPr>
          <w:spacing w:val="-1"/>
          <w:sz w:val="30"/>
        </w:rPr>
        <w:t xml:space="preserve"> </w:t>
      </w:r>
      <w:r>
        <w:rPr>
          <w:sz w:val="30"/>
        </w:rPr>
        <w:t>end</w:t>
      </w:r>
      <w:r>
        <w:rPr>
          <w:spacing w:val="-1"/>
          <w:sz w:val="30"/>
        </w:rPr>
        <w:t xml:space="preserve"> </w:t>
      </w:r>
      <w:r>
        <w:rPr>
          <w:sz w:val="30"/>
        </w:rPr>
        <w:t>his</w:t>
      </w:r>
      <w:r>
        <w:rPr>
          <w:spacing w:val="-1"/>
          <w:sz w:val="30"/>
        </w:rPr>
        <w:t xml:space="preserve"> </w:t>
      </w:r>
      <w:r>
        <w:rPr>
          <w:sz w:val="30"/>
        </w:rPr>
        <w:t>book by saying that everything in it is nonsense.</w:t>
      </w:r>
    </w:p>
    <w:p w14:paraId="7E003016" w14:textId="77777777" w:rsidR="009A58DB" w:rsidRDefault="00000000">
      <w:pPr>
        <w:pStyle w:val="ListParagraph"/>
        <w:numPr>
          <w:ilvl w:val="0"/>
          <w:numId w:val="6"/>
        </w:numPr>
        <w:tabs>
          <w:tab w:val="left" w:pos="720"/>
          <w:tab w:val="left" w:pos="866"/>
        </w:tabs>
        <w:spacing w:before="13" w:line="252" w:lineRule="auto"/>
        <w:ind w:right="359" w:hanging="375"/>
        <w:jc w:val="both"/>
        <w:rPr>
          <w:color w:val="0562C1"/>
          <w:position w:val="12"/>
          <w:sz w:val="30"/>
          <w:u w:val="single" w:color="0562C1"/>
        </w:rPr>
      </w:pPr>
      <w:r>
        <w:rPr>
          <w:sz w:val="30"/>
        </w:rPr>
        <w:t>Wittgenstein’s (personal and philosophical) mentor, Bertrand Russell</w:t>
      </w:r>
      <w:bookmarkStart w:id="689" w:name="_bookmark689"/>
      <w:bookmarkEnd w:id="689"/>
      <w:r>
        <w:rPr>
          <w:sz w:val="30"/>
        </w:rPr>
        <w:t>,</w:t>
      </w:r>
      <w:r>
        <w:rPr>
          <w:spacing w:val="80"/>
          <w:w w:val="150"/>
          <w:sz w:val="30"/>
        </w:rPr>
        <w:t xml:space="preserve"> </w:t>
      </w:r>
      <w:r>
        <w:rPr>
          <w:sz w:val="30"/>
        </w:rPr>
        <w:t>was at that point the world’s authority on paradoxes of this kind. Russell’s work on these puzzles is by no means obsolete. Wittgenstein was in daily contact with Russell during much of the five year period preceding his writing the TLP.</w:t>
      </w:r>
    </w:p>
    <w:p w14:paraId="7E003017" w14:textId="77777777" w:rsidR="009A58DB" w:rsidRDefault="009A58DB">
      <w:pPr>
        <w:pStyle w:val="ListParagraph"/>
        <w:spacing w:line="252" w:lineRule="auto"/>
        <w:jc w:val="both"/>
        <w:rPr>
          <w:position w:val="12"/>
          <w:sz w:val="30"/>
        </w:rPr>
        <w:sectPr w:rsidR="009A58DB">
          <w:pgSz w:w="12240" w:h="15840"/>
          <w:pgMar w:top="1380" w:right="1080" w:bottom="280" w:left="1080" w:header="720" w:footer="720" w:gutter="0"/>
          <w:cols w:space="720"/>
        </w:sectPr>
      </w:pPr>
    </w:p>
    <w:p w14:paraId="7E003018" w14:textId="77777777" w:rsidR="009A58DB" w:rsidRDefault="00000000">
      <w:pPr>
        <w:pStyle w:val="ListParagraph"/>
        <w:numPr>
          <w:ilvl w:val="0"/>
          <w:numId w:val="6"/>
        </w:numPr>
        <w:tabs>
          <w:tab w:val="left" w:pos="720"/>
          <w:tab w:val="left" w:pos="836"/>
        </w:tabs>
        <w:spacing w:before="65" w:line="254" w:lineRule="auto"/>
        <w:ind w:right="365" w:hanging="375"/>
        <w:jc w:val="both"/>
        <w:rPr>
          <w:color w:val="0562C1"/>
          <w:position w:val="12"/>
          <w:sz w:val="30"/>
          <w:u w:val="single" w:color="0562C1"/>
        </w:rPr>
      </w:pPr>
      <w:r>
        <w:rPr>
          <w:sz w:val="30"/>
        </w:rPr>
        <w:t>And make them go away is what, in effect, Russell (1908) tried to do. Russell said that, even though they seem meaningful, statements that, like (i), self-refer are meaningless. They’re pseudo-statements. They have the surface structure of real statements, but not the logical form.</w:t>
      </w:r>
    </w:p>
    <w:p w14:paraId="7E003019" w14:textId="77777777" w:rsidR="009A58DB" w:rsidRDefault="00000000">
      <w:pPr>
        <w:pStyle w:val="BodyText"/>
        <w:spacing w:before="37" w:line="249" w:lineRule="auto"/>
        <w:ind w:left="720" w:right="358"/>
      </w:pPr>
      <w:r>
        <w:t>Russell found that some intuitively reasonable logical principles entail self-contradictory statements and must therefore be false, and he found</w:t>
      </w:r>
      <w:r>
        <w:rPr>
          <w:spacing w:val="40"/>
        </w:rPr>
        <w:t xml:space="preserve"> </w:t>
      </w:r>
      <w:r>
        <w:t>that</w:t>
      </w:r>
      <w:r>
        <w:rPr>
          <w:spacing w:val="-4"/>
        </w:rPr>
        <w:t xml:space="preserve"> </w:t>
      </w:r>
      <w:r>
        <w:t>those</w:t>
      </w:r>
      <w:r>
        <w:rPr>
          <w:spacing w:val="-4"/>
        </w:rPr>
        <w:t xml:space="preserve"> </w:t>
      </w:r>
      <w:r>
        <w:t>principles</w:t>
      </w:r>
      <w:r>
        <w:rPr>
          <w:spacing w:val="-4"/>
        </w:rPr>
        <w:t xml:space="preserve"> </w:t>
      </w:r>
      <w:r>
        <w:rPr>
          <w:i/>
        </w:rPr>
        <w:t>in</w:t>
      </w:r>
      <w:r>
        <w:rPr>
          <w:i/>
          <w:spacing w:val="-3"/>
        </w:rPr>
        <w:t xml:space="preserve"> </w:t>
      </w:r>
      <w:r>
        <w:rPr>
          <w:i/>
        </w:rPr>
        <w:t>fact</w:t>
      </w:r>
      <w:r>
        <w:rPr>
          <w:i/>
          <w:spacing w:val="-4"/>
        </w:rPr>
        <w:t xml:space="preserve"> </w:t>
      </w:r>
      <w:r>
        <w:t>referred</w:t>
      </w:r>
      <w:r>
        <w:rPr>
          <w:spacing w:val="-3"/>
        </w:rPr>
        <w:t xml:space="preserve"> </w:t>
      </w:r>
      <w:r>
        <w:t>to</w:t>
      </w:r>
      <w:r>
        <w:rPr>
          <w:spacing w:val="-3"/>
        </w:rPr>
        <w:t xml:space="preserve"> </w:t>
      </w:r>
      <w:r>
        <w:t>themselves,</w:t>
      </w:r>
      <w:r>
        <w:rPr>
          <w:spacing w:val="-3"/>
        </w:rPr>
        <w:t xml:space="preserve"> </w:t>
      </w:r>
      <w:r>
        <w:t>even</w:t>
      </w:r>
      <w:r>
        <w:rPr>
          <w:spacing w:val="-3"/>
        </w:rPr>
        <w:t xml:space="preserve"> </w:t>
      </w:r>
      <w:r>
        <w:t>though</w:t>
      </w:r>
      <w:r>
        <w:rPr>
          <w:spacing w:val="-3"/>
        </w:rPr>
        <w:t xml:space="preserve"> </w:t>
      </w:r>
      <w:r>
        <w:t>they</w:t>
      </w:r>
      <w:r>
        <w:rPr>
          <w:spacing w:val="-3"/>
        </w:rPr>
        <w:t xml:space="preserve"> </w:t>
      </w:r>
      <w:r>
        <w:t xml:space="preserve">didn’t seem to. The most famous example concerned the </w:t>
      </w:r>
      <w:r>
        <w:rPr>
          <w:b/>
          <w:i/>
        </w:rPr>
        <w:t xml:space="preserve">axiom of comprehension, </w:t>
      </w:r>
      <w:r>
        <w:t xml:space="preserve">viz: (AC) Given any property, there is some class of objects containing everything that has that property and nothing that lacks </w:t>
      </w:r>
      <w:r>
        <w:rPr>
          <w:spacing w:val="-4"/>
        </w:rPr>
        <w:t>it.</w:t>
      </w:r>
    </w:p>
    <w:p w14:paraId="7E00301A" w14:textId="77777777" w:rsidR="009A58DB" w:rsidRDefault="00000000">
      <w:pPr>
        <w:pStyle w:val="BodyText"/>
        <w:spacing w:before="39" w:line="252" w:lineRule="auto"/>
        <w:ind w:left="720" w:right="359"/>
      </w:pPr>
      <w:r>
        <w:t>AC is obviously a very reasonable principle. Consider the property o</w:t>
      </w:r>
      <w:bookmarkStart w:id="690" w:name="_bookmark690"/>
      <w:bookmarkEnd w:id="690"/>
      <w:r>
        <w:fldChar w:fldCharType="begin"/>
      </w:r>
      <w:r>
        <w:instrText>HYPERLINK \l "_bookmark95"</w:instrText>
      </w:r>
      <w:r>
        <w:fldChar w:fldCharType="separate"/>
      </w:r>
      <w:r>
        <w:t>f</w:t>
      </w:r>
      <w:r>
        <w:fldChar w:fldCharType="end"/>
      </w:r>
      <w:r>
        <w:t xml:space="preserve"> being a bird. There is some class that contains every bird in existence, and doesn’t contain any non-birds.</w:t>
      </w:r>
      <w:r>
        <w:rPr>
          <w:vertAlign w:val="superscript"/>
        </w:rPr>
        <w:t>93</w:t>
      </w:r>
      <w:r>
        <w:t xml:space="preserve"> But Russell poked a major hole in AC</w:t>
      </w:r>
      <w:bookmarkStart w:id="691" w:name="_bookmark691"/>
      <w:bookmarkEnd w:id="691"/>
      <w:r>
        <w:t>.</w:t>
      </w:r>
      <w:r>
        <w:rPr>
          <w:spacing w:val="40"/>
        </w:rPr>
        <w:t xml:space="preserve"> </w:t>
      </w:r>
      <w:r>
        <w:t>Let K be the class of all classes that don’t belong to themselves. K must belong to itself if it doesn’t, since it’s the class to which all classes that don’t belong to themselves belong. But, for the same reason, K cannot belong to itself if it does. But, for the very same reason, if K belongs to itself, then it doesn’t belong to itself. So K belongs to itself if it doesn’t</w:t>
      </w:r>
      <w:bookmarkStart w:id="692" w:name="_bookmark692"/>
      <w:bookmarkEnd w:id="692"/>
      <w:r>
        <w:t>, and it doesn’t if it does. It follows that (K) the class of all classes that</w:t>
      </w:r>
      <w:r>
        <w:rPr>
          <w:spacing w:val="40"/>
        </w:rPr>
        <w:t xml:space="preserve"> </w:t>
      </w:r>
      <w:r>
        <w:t>don’t belong to themselves is a member of itself</w:t>
      </w:r>
    </w:p>
    <w:p w14:paraId="7E00301B" w14:textId="77777777" w:rsidR="009A58DB" w:rsidRDefault="00000000">
      <w:pPr>
        <w:spacing w:before="52" w:line="249" w:lineRule="auto"/>
        <w:ind w:left="720" w:right="366"/>
        <w:jc w:val="both"/>
        <w:rPr>
          <w:sz w:val="30"/>
        </w:rPr>
      </w:pPr>
      <w:r>
        <w:rPr>
          <w:sz w:val="30"/>
        </w:rPr>
        <w:t xml:space="preserve">entails its own negation, and that the negation of K entails </w:t>
      </w:r>
      <w:r>
        <w:rPr>
          <w:i/>
          <w:sz w:val="30"/>
        </w:rPr>
        <w:t xml:space="preserve">t i s </w:t>
      </w:r>
      <w:r>
        <w:rPr>
          <w:sz w:val="30"/>
        </w:rPr>
        <w:t>ow</w:t>
      </w:r>
      <w:bookmarkStart w:id="693" w:name="_bookmark693"/>
      <w:bookmarkStart w:id="694" w:name="_bookmark694"/>
      <w:bookmarkEnd w:id="693"/>
      <w:bookmarkEnd w:id="694"/>
      <w:r>
        <w:rPr>
          <w:sz w:val="30"/>
        </w:rPr>
        <w:t>n negation. Since, according to the law of excluded middle (</w:t>
      </w:r>
      <w:r>
        <w:rPr>
          <w:i/>
          <w:sz w:val="30"/>
        </w:rPr>
        <w:t>any given proposition is either true or false</w:t>
      </w:r>
      <w:r>
        <w:rPr>
          <w:sz w:val="30"/>
        </w:rPr>
        <w:t xml:space="preserve">), either K or its negation is true, it follows that K </w:t>
      </w:r>
      <w:r>
        <w:rPr>
          <w:i/>
          <w:sz w:val="30"/>
        </w:rPr>
        <w:t>and</w:t>
      </w:r>
      <w:r>
        <w:rPr>
          <w:i/>
          <w:spacing w:val="-3"/>
          <w:sz w:val="30"/>
        </w:rPr>
        <w:t xml:space="preserve"> </w:t>
      </w:r>
      <w:r>
        <w:rPr>
          <w:sz w:val="30"/>
        </w:rPr>
        <w:t>its negation are true. But, according to the law of non</w:t>
      </w:r>
      <w:bookmarkStart w:id="695" w:name="_bookmark695"/>
      <w:bookmarkEnd w:id="695"/>
      <w:r>
        <w:fldChar w:fldCharType="begin"/>
      </w:r>
      <w:r>
        <w:instrText>HYPERLINK \l "_bookmark100"</w:instrText>
      </w:r>
      <w:r>
        <w:fldChar w:fldCharType="separate"/>
      </w:r>
      <w:r>
        <w:rPr>
          <w:sz w:val="30"/>
        </w:rPr>
        <w:t>-</w:t>
      </w:r>
      <w:r>
        <w:fldChar w:fldCharType="end"/>
      </w:r>
      <w:r>
        <w:rPr>
          <w:sz w:val="30"/>
        </w:rPr>
        <w:t>contradiction (</w:t>
      </w:r>
      <w:r>
        <w:rPr>
          <w:i/>
          <w:sz w:val="30"/>
        </w:rPr>
        <w:t>no proposition s i both true and false</w:t>
      </w:r>
      <w:r>
        <w:rPr>
          <w:sz w:val="30"/>
        </w:rPr>
        <w:t>), this isn’t possible.</w:t>
      </w:r>
    </w:p>
    <w:p w14:paraId="7E00301C" w14:textId="77777777" w:rsidR="009A58DB" w:rsidRDefault="00000000">
      <w:pPr>
        <w:pStyle w:val="BodyText"/>
        <w:spacing w:before="7" w:line="249" w:lineRule="auto"/>
        <w:ind w:left="720" w:right="362" w:firstLine="424"/>
      </w:pPr>
      <w:r>
        <w:t>Russell dealt with this by saying that nothing can be true of itself. Properties cannot be their own instances; statements cannot describe themselves. Thus, AC is ruled out, and so is (i).</w:t>
      </w:r>
    </w:p>
    <w:p w14:paraId="7E00301D" w14:textId="77777777" w:rsidR="009A58DB" w:rsidRDefault="00000000">
      <w:pPr>
        <w:pStyle w:val="ListParagraph"/>
        <w:numPr>
          <w:ilvl w:val="0"/>
          <w:numId w:val="6"/>
        </w:numPr>
        <w:tabs>
          <w:tab w:val="left" w:pos="720"/>
          <w:tab w:val="left" w:pos="836"/>
        </w:tabs>
        <w:spacing w:before="48" w:line="252" w:lineRule="auto"/>
        <w:ind w:right="359" w:hanging="375"/>
        <w:jc w:val="both"/>
        <w:rPr>
          <w:color w:val="0562C1"/>
          <w:position w:val="12"/>
          <w:sz w:val="30"/>
          <w:u w:val="single" w:color="0562C1"/>
        </w:rPr>
      </w:pPr>
      <w:r>
        <w:rPr>
          <w:sz w:val="30"/>
        </w:rPr>
        <w:t xml:space="preserve">A historical point: In his (1734) book </w:t>
      </w:r>
      <w:r>
        <w:rPr>
          <w:i/>
          <w:sz w:val="30"/>
        </w:rPr>
        <w:t xml:space="preserve">Principles of Human Knowledge, </w:t>
      </w:r>
      <w:r>
        <w:rPr>
          <w:sz w:val="30"/>
        </w:rPr>
        <w:t xml:space="preserve">George Berkeley made virtually every point that Wittgenstein made in the </w:t>
      </w:r>
      <w:r>
        <w:rPr>
          <w:i/>
          <w:sz w:val="30"/>
        </w:rPr>
        <w:t xml:space="preserve">Tractatus. </w:t>
      </w:r>
      <w:r>
        <w:rPr>
          <w:sz w:val="30"/>
        </w:rPr>
        <w:t xml:space="preserve">Moreover, in the </w:t>
      </w:r>
      <w:r>
        <w:rPr>
          <w:i/>
          <w:sz w:val="30"/>
        </w:rPr>
        <w:t xml:space="preserve">Principles </w:t>
      </w:r>
      <w:r>
        <w:rPr>
          <w:sz w:val="30"/>
        </w:rPr>
        <w:t xml:space="preserve">and in other works (e.g., </w:t>
      </w:r>
      <w:r>
        <w:rPr>
          <w:i/>
          <w:sz w:val="30"/>
        </w:rPr>
        <w:t>An Essay Towards a New Theory of Vision</w:t>
      </w:r>
      <w:r>
        <w:rPr>
          <w:sz w:val="30"/>
        </w:rPr>
        <w:t>) Berkeley made a number of cogent, insightful,</w:t>
      </w:r>
      <w:r>
        <w:rPr>
          <w:spacing w:val="21"/>
          <w:sz w:val="30"/>
        </w:rPr>
        <w:t xml:space="preserve"> </w:t>
      </w:r>
      <w:r>
        <w:rPr>
          <w:sz w:val="30"/>
        </w:rPr>
        <w:t>and</w:t>
      </w:r>
      <w:r>
        <w:rPr>
          <w:spacing w:val="21"/>
          <w:sz w:val="30"/>
        </w:rPr>
        <w:t xml:space="preserve"> </w:t>
      </w:r>
      <w:r>
        <w:rPr>
          <w:sz w:val="30"/>
        </w:rPr>
        <w:t>strikingly</w:t>
      </w:r>
      <w:r>
        <w:rPr>
          <w:spacing w:val="21"/>
          <w:sz w:val="30"/>
        </w:rPr>
        <w:t xml:space="preserve"> </w:t>
      </w:r>
      <w:r>
        <w:rPr>
          <w:sz w:val="30"/>
        </w:rPr>
        <w:t>modern</w:t>
      </w:r>
      <w:r>
        <w:rPr>
          <w:spacing w:val="21"/>
          <w:sz w:val="30"/>
        </w:rPr>
        <w:t xml:space="preserve"> </w:t>
      </w:r>
      <w:r>
        <w:rPr>
          <w:sz w:val="30"/>
        </w:rPr>
        <w:t>points,</w:t>
      </w:r>
      <w:r>
        <w:rPr>
          <w:spacing w:val="21"/>
          <w:sz w:val="30"/>
        </w:rPr>
        <w:t xml:space="preserve"> </w:t>
      </w:r>
      <w:r>
        <w:rPr>
          <w:sz w:val="30"/>
        </w:rPr>
        <w:t>all</w:t>
      </w:r>
      <w:r>
        <w:rPr>
          <w:spacing w:val="21"/>
          <w:sz w:val="30"/>
        </w:rPr>
        <w:t xml:space="preserve"> </w:t>
      </w:r>
      <w:r>
        <w:rPr>
          <w:sz w:val="30"/>
        </w:rPr>
        <w:t>of</w:t>
      </w:r>
      <w:r>
        <w:rPr>
          <w:spacing w:val="21"/>
          <w:sz w:val="30"/>
        </w:rPr>
        <w:t xml:space="preserve"> </w:t>
      </w:r>
      <w:r>
        <w:rPr>
          <w:sz w:val="30"/>
        </w:rPr>
        <w:t>which</w:t>
      </w:r>
      <w:r>
        <w:rPr>
          <w:spacing w:val="21"/>
          <w:sz w:val="30"/>
        </w:rPr>
        <w:t xml:space="preserve"> </w:t>
      </w:r>
      <w:r>
        <w:rPr>
          <w:sz w:val="30"/>
        </w:rPr>
        <w:t>are</w:t>
      </w:r>
      <w:r>
        <w:rPr>
          <w:spacing w:val="21"/>
          <w:sz w:val="30"/>
        </w:rPr>
        <w:t xml:space="preserve"> </w:t>
      </w:r>
      <w:r>
        <w:rPr>
          <w:sz w:val="30"/>
        </w:rPr>
        <w:t>absent</w:t>
      </w:r>
      <w:r>
        <w:rPr>
          <w:spacing w:val="21"/>
          <w:sz w:val="30"/>
        </w:rPr>
        <w:t xml:space="preserve"> </w:t>
      </w:r>
      <w:r>
        <w:rPr>
          <w:sz w:val="30"/>
        </w:rPr>
        <w:t>from</w:t>
      </w:r>
      <w:r>
        <w:rPr>
          <w:spacing w:val="21"/>
          <w:sz w:val="30"/>
        </w:rPr>
        <w:t xml:space="preserve"> </w:t>
      </w:r>
      <w:r>
        <w:rPr>
          <w:sz w:val="30"/>
        </w:rPr>
        <w:t>the</w:t>
      </w:r>
    </w:p>
    <w:p w14:paraId="7E00301E" w14:textId="77777777" w:rsidR="009A58DB" w:rsidRDefault="009A58DB">
      <w:pPr>
        <w:pStyle w:val="ListParagraph"/>
        <w:spacing w:line="252" w:lineRule="auto"/>
        <w:jc w:val="both"/>
        <w:rPr>
          <w:position w:val="12"/>
          <w:sz w:val="30"/>
        </w:rPr>
        <w:sectPr w:rsidR="009A58DB">
          <w:pgSz w:w="12240" w:h="15840"/>
          <w:pgMar w:top="1380" w:right="1080" w:bottom="280" w:left="1080" w:header="720" w:footer="720" w:gutter="0"/>
          <w:cols w:space="720"/>
        </w:sectPr>
      </w:pPr>
    </w:p>
    <w:p w14:paraId="7E00301F" w14:textId="77777777" w:rsidR="009A58DB" w:rsidRDefault="00000000">
      <w:pPr>
        <w:pStyle w:val="BodyText"/>
        <w:spacing w:before="68"/>
        <w:ind w:left="720"/>
      </w:pPr>
      <w:r>
        <w:t>TLP.</w:t>
      </w:r>
      <w:r>
        <w:rPr>
          <w:spacing w:val="-6"/>
        </w:rPr>
        <w:t xml:space="preserve"> </w:t>
      </w:r>
      <w:r>
        <w:t>Berkeley’s</w:t>
      </w:r>
      <w:r>
        <w:rPr>
          <w:spacing w:val="-4"/>
        </w:rPr>
        <w:t xml:space="preserve"> </w:t>
      </w:r>
      <w:r>
        <w:t>important</w:t>
      </w:r>
      <w:r>
        <w:rPr>
          <w:spacing w:val="-5"/>
        </w:rPr>
        <w:t xml:space="preserve"> </w:t>
      </w:r>
      <w:r>
        <w:t>work</w:t>
      </w:r>
      <w:r>
        <w:rPr>
          <w:spacing w:val="-3"/>
        </w:rPr>
        <w:t xml:space="preserve"> </w:t>
      </w:r>
      <w:r>
        <w:t>will</w:t>
      </w:r>
      <w:r>
        <w:rPr>
          <w:spacing w:val="-5"/>
        </w:rPr>
        <w:t xml:space="preserve"> </w:t>
      </w:r>
      <w:r>
        <w:t>be</w:t>
      </w:r>
      <w:r>
        <w:rPr>
          <w:spacing w:val="-4"/>
        </w:rPr>
        <w:t xml:space="preserve"> </w:t>
      </w:r>
      <w:r>
        <w:t>discussed</w:t>
      </w:r>
      <w:r>
        <w:rPr>
          <w:spacing w:val="-4"/>
        </w:rPr>
        <w:t xml:space="preserve"> </w:t>
      </w:r>
      <w:r>
        <w:t>in</w:t>
      </w:r>
      <w:r>
        <w:rPr>
          <w:spacing w:val="-3"/>
        </w:rPr>
        <w:t xml:space="preserve"> </w:t>
      </w:r>
      <w:r>
        <w:t>Chapter</w:t>
      </w:r>
      <w:r>
        <w:rPr>
          <w:spacing w:val="-4"/>
        </w:rPr>
        <w:t xml:space="preserve"> </w:t>
      </w:r>
      <w:r>
        <w:rPr>
          <w:spacing w:val="-5"/>
        </w:rPr>
        <w:t>13.</w:t>
      </w:r>
    </w:p>
    <w:p w14:paraId="7E003020" w14:textId="77777777" w:rsidR="009A58DB" w:rsidRDefault="00000000">
      <w:pPr>
        <w:pStyle w:val="BodyText"/>
        <w:spacing w:before="57" w:line="249" w:lineRule="auto"/>
        <w:ind w:left="720" w:right="359"/>
      </w:pPr>
      <w:r>
        <w:t>The one claim that is clearly present in the TLP that is clearly absent fro</w:t>
      </w:r>
      <w:bookmarkStart w:id="696" w:name="_bookmark696"/>
      <w:bookmarkEnd w:id="696"/>
      <w:r>
        <w:t xml:space="preserve">m the </w:t>
      </w:r>
      <w:r>
        <w:rPr>
          <w:i/>
        </w:rPr>
        <w:t xml:space="preserve">Principles </w:t>
      </w:r>
      <w:r>
        <w:t>is the thesis that for a sentence to be meaningless is to b</w:t>
      </w:r>
      <w:bookmarkStart w:id="697" w:name="_bookmark697"/>
      <w:bookmarkEnd w:id="697"/>
      <w:r>
        <w:t>e syntactically ill-formed. Berkeley claimed that for a sentence to be meaningless is for it to be unverifiable, i.e., incapable of being definitivel</w:t>
      </w:r>
      <w:bookmarkStart w:id="698" w:name="_bookmark698"/>
      <w:bookmarkEnd w:id="698"/>
      <w:r>
        <w:fldChar w:fldCharType="begin"/>
      </w:r>
      <w:r>
        <w:instrText>HYPERLINK \l "_bookmark103"</w:instrText>
      </w:r>
      <w:r>
        <w:fldChar w:fldCharType="separate"/>
      </w:r>
      <w:r>
        <w:t>y</w:t>
      </w:r>
      <w:r>
        <w:fldChar w:fldCharType="end"/>
      </w:r>
      <w:r>
        <w:t xml:space="preserve"> shown to be true on the basis only of what one’s senses tell one. In other words, Berkeley was a verificationist.</w:t>
      </w:r>
    </w:p>
    <w:p w14:paraId="7E003021" w14:textId="77777777" w:rsidR="009A58DB" w:rsidRDefault="00000000">
      <w:pPr>
        <w:pStyle w:val="BodyText"/>
        <w:spacing w:before="37" w:line="249" w:lineRule="auto"/>
        <w:ind w:left="720" w:right="363" w:firstLine="383"/>
      </w:pPr>
      <w:r>
        <w:t>Of course, the TLP advocates verificationism. But verificationism is inconsistent with one of the other main claims of the TLP, namely, that meaninglessness is categorically the result of bad syntax. I leave it to the reader as an exercise to demonstrate this.</w:t>
      </w:r>
    </w:p>
    <w:p w14:paraId="7E003022" w14:textId="77777777" w:rsidR="009A58DB" w:rsidRDefault="00000000">
      <w:pPr>
        <w:pStyle w:val="ListParagraph"/>
        <w:numPr>
          <w:ilvl w:val="0"/>
          <w:numId w:val="6"/>
        </w:numPr>
        <w:tabs>
          <w:tab w:val="left" w:pos="720"/>
          <w:tab w:val="left" w:pos="851"/>
        </w:tabs>
        <w:spacing w:before="50" w:line="261" w:lineRule="auto"/>
        <w:ind w:right="358" w:hanging="375"/>
        <w:jc w:val="both"/>
        <w:rPr>
          <w:color w:val="0562C1"/>
          <w:position w:val="12"/>
          <w:sz w:val="30"/>
          <w:u w:val="single" w:color="0562C1"/>
        </w:rPr>
      </w:pPr>
      <w:r>
        <w:rPr>
          <w:sz w:val="30"/>
        </w:rPr>
        <w:t>Such references are found in the work of Russell (1918), Wittgenstei</w:t>
      </w:r>
      <w:bookmarkStart w:id="699" w:name="_bookmark699"/>
      <w:bookmarkStart w:id="700" w:name="_bookmark700"/>
      <w:bookmarkEnd w:id="699"/>
      <w:bookmarkEnd w:id="700"/>
      <w:r>
        <w:rPr>
          <w:sz w:val="30"/>
        </w:rPr>
        <w:t>n (1922), and Hempel (1950).</w:t>
      </w:r>
    </w:p>
    <w:p w14:paraId="7E003023" w14:textId="77777777" w:rsidR="009A58DB" w:rsidRDefault="00000000">
      <w:pPr>
        <w:pStyle w:val="ListParagraph"/>
        <w:numPr>
          <w:ilvl w:val="0"/>
          <w:numId w:val="6"/>
        </w:numPr>
        <w:tabs>
          <w:tab w:val="left" w:pos="720"/>
        </w:tabs>
        <w:spacing w:before="13" w:line="252" w:lineRule="auto"/>
        <w:ind w:right="361" w:hanging="375"/>
        <w:jc w:val="both"/>
        <w:rPr>
          <w:color w:val="0562C1"/>
          <w:position w:val="12"/>
          <w:sz w:val="30"/>
          <w:u w:val="single" w:color="0562C1"/>
        </w:rPr>
      </w:pPr>
      <w:r>
        <w:rPr>
          <w:sz w:val="30"/>
        </w:rPr>
        <w:t xml:space="preserve"> A “logically perfect language” isn’t the same thing as a formal language</w:t>
      </w:r>
      <w:bookmarkStart w:id="701" w:name="_bookmark701"/>
      <w:bookmarkEnd w:id="701"/>
      <w:r>
        <w:rPr>
          <w:sz w:val="30"/>
        </w:rPr>
        <w:t>. But, like many others in his time and ours, Hempel didn’t see this. The thesis that meaningful sentences are those that can be expressed in logically perfect languages is, I am certain, an expression of this</w:t>
      </w:r>
      <w:r>
        <w:rPr>
          <w:spacing w:val="40"/>
          <w:sz w:val="30"/>
        </w:rPr>
        <w:t xml:space="preserve"> </w:t>
      </w:r>
      <w:r>
        <w:rPr>
          <w:spacing w:val="-2"/>
          <w:sz w:val="30"/>
        </w:rPr>
        <w:t>confusion.</w:t>
      </w:r>
    </w:p>
    <w:p w14:paraId="7E003024" w14:textId="77777777" w:rsidR="009A58DB" w:rsidRDefault="00000000">
      <w:pPr>
        <w:pStyle w:val="ListParagraph"/>
        <w:numPr>
          <w:ilvl w:val="0"/>
          <w:numId w:val="6"/>
        </w:numPr>
        <w:tabs>
          <w:tab w:val="left" w:pos="806"/>
        </w:tabs>
        <w:spacing w:before="49"/>
        <w:ind w:left="806" w:hanging="461"/>
        <w:jc w:val="both"/>
        <w:rPr>
          <w:color w:val="0562C1"/>
          <w:position w:val="12"/>
          <w:sz w:val="30"/>
          <w:u w:val="single" w:color="0562C1"/>
        </w:rPr>
      </w:pPr>
      <w:r>
        <w:rPr>
          <w:sz w:val="30"/>
        </w:rPr>
        <w:t>Hempel</w:t>
      </w:r>
      <w:r>
        <w:rPr>
          <w:spacing w:val="-4"/>
          <w:sz w:val="30"/>
        </w:rPr>
        <w:t xml:space="preserve"> </w:t>
      </w:r>
      <w:r>
        <w:rPr>
          <w:sz w:val="30"/>
        </w:rPr>
        <w:t>(1952,</w:t>
      </w:r>
      <w:r>
        <w:rPr>
          <w:spacing w:val="-2"/>
          <w:sz w:val="30"/>
        </w:rPr>
        <w:t xml:space="preserve"> 1965).</w:t>
      </w:r>
    </w:p>
    <w:p w14:paraId="7E003025" w14:textId="77777777" w:rsidR="009A58DB" w:rsidRDefault="00000000">
      <w:pPr>
        <w:pStyle w:val="ListParagraph"/>
        <w:numPr>
          <w:ilvl w:val="0"/>
          <w:numId w:val="6"/>
        </w:numPr>
        <w:tabs>
          <w:tab w:val="left" w:pos="806"/>
        </w:tabs>
        <w:spacing w:before="75"/>
        <w:ind w:left="806" w:hanging="461"/>
        <w:jc w:val="both"/>
        <w:rPr>
          <w:color w:val="0562C1"/>
          <w:position w:val="12"/>
          <w:sz w:val="30"/>
          <w:u w:val="single" w:color="0562C1"/>
        </w:rPr>
      </w:pPr>
      <w:r>
        <w:rPr>
          <w:sz w:val="30"/>
        </w:rPr>
        <w:t>“HA”</w:t>
      </w:r>
      <w:r>
        <w:rPr>
          <w:spacing w:val="-5"/>
          <w:sz w:val="30"/>
        </w:rPr>
        <w:t xml:space="preserve"> </w:t>
      </w:r>
      <w:r>
        <w:rPr>
          <w:sz w:val="30"/>
        </w:rPr>
        <w:t>stands</w:t>
      </w:r>
      <w:r>
        <w:rPr>
          <w:spacing w:val="-4"/>
          <w:sz w:val="30"/>
        </w:rPr>
        <w:t xml:space="preserve"> </w:t>
      </w:r>
      <w:r>
        <w:rPr>
          <w:sz w:val="30"/>
        </w:rPr>
        <w:t>for</w:t>
      </w:r>
      <w:r>
        <w:rPr>
          <w:spacing w:val="-5"/>
          <w:sz w:val="30"/>
        </w:rPr>
        <w:t xml:space="preserve"> </w:t>
      </w:r>
      <w:r>
        <w:rPr>
          <w:sz w:val="30"/>
        </w:rPr>
        <w:t>“Hempel’s</w:t>
      </w:r>
      <w:r>
        <w:rPr>
          <w:spacing w:val="-4"/>
          <w:sz w:val="30"/>
        </w:rPr>
        <w:t xml:space="preserve"> </w:t>
      </w:r>
      <w:r>
        <w:rPr>
          <w:spacing w:val="-2"/>
          <w:sz w:val="30"/>
        </w:rPr>
        <w:t>argument.”</w:t>
      </w:r>
    </w:p>
    <w:p w14:paraId="7E003026" w14:textId="77777777" w:rsidR="009A58DB" w:rsidRDefault="00000000">
      <w:pPr>
        <w:pStyle w:val="ListParagraph"/>
        <w:numPr>
          <w:ilvl w:val="0"/>
          <w:numId w:val="6"/>
        </w:numPr>
        <w:tabs>
          <w:tab w:val="left" w:pos="720"/>
          <w:tab w:val="left" w:pos="866"/>
        </w:tabs>
        <w:spacing w:before="60" w:line="261" w:lineRule="auto"/>
        <w:ind w:right="361" w:hanging="375"/>
        <w:jc w:val="both"/>
        <w:rPr>
          <w:color w:val="0562C1"/>
          <w:position w:val="12"/>
          <w:sz w:val="30"/>
          <w:u w:val="single" w:color="0562C1"/>
        </w:rPr>
      </w:pPr>
      <w:r>
        <w:rPr>
          <w:sz w:val="30"/>
        </w:rPr>
        <w:t>Hempel (1952) does an extremely good job of making it clear what conditions an object must fulfill if it is to serve as a metric standard.</w:t>
      </w:r>
    </w:p>
    <w:p w14:paraId="7E003027" w14:textId="77777777" w:rsidR="009A58DB" w:rsidRDefault="00000000">
      <w:pPr>
        <w:pStyle w:val="ListParagraph"/>
        <w:numPr>
          <w:ilvl w:val="0"/>
          <w:numId w:val="6"/>
        </w:numPr>
        <w:tabs>
          <w:tab w:val="left" w:pos="720"/>
          <w:tab w:val="left" w:pos="1567"/>
        </w:tabs>
        <w:spacing w:before="41" w:line="230" w:lineRule="auto"/>
        <w:ind w:right="358" w:hanging="420"/>
        <w:jc w:val="both"/>
        <w:rPr>
          <w:color w:val="0562C1"/>
          <w:position w:val="12"/>
          <w:sz w:val="30"/>
          <w:u w:val="single" w:color="0562C1"/>
        </w:rPr>
      </w:pPr>
      <w:r>
        <w:rPr>
          <w:sz w:val="30"/>
        </w:rPr>
        <w:t xml:space="preserve">To say that </w:t>
      </w:r>
      <w:r>
        <w:rPr>
          <w:rFonts w:ascii="Segoe UI Symbol" w:hAnsi="Segoe UI Symbol"/>
          <w:sz w:val="30"/>
        </w:rPr>
        <w:t>✓</w:t>
      </w:r>
      <w:r>
        <w:rPr>
          <w:sz w:val="30"/>
        </w:rPr>
        <w:t>2 is an irrational number is to say that there are no</w:t>
      </w:r>
      <w:r>
        <w:rPr>
          <w:spacing w:val="-3"/>
          <w:sz w:val="30"/>
        </w:rPr>
        <w:t xml:space="preserve"> </w:t>
      </w:r>
      <w:r>
        <w:rPr>
          <w:sz w:val="30"/>
        </w:rPr>
        <w:t xml:space="preserve">whole numbers p and q such that p/q = </w:t>
      </w:r>
      <w:r>
        <w:rPr>
          <w:rFonts w:ascii="Segoe UI Symbol" w:hAnsi="Segoe UI Symbol"/>
          <w:sz w:val="30"/>
        </w:rPr>
        <w:t>✓</w:t>
      </w:r>
      <w:r>
        <w:rPr>
          <w:sz w:val="30"/>
        </w:rPr>
        <w:t>2. This entails that, given a length</w:t>
      </w:r>
      <w:r>
        <w:rPr>
          <w:spacing w:val="-1"/>
          <w:sz w:val="30"/>
        </w:rPr>
        <w:t xml:space="preserve"> </w:t>
      </w:r>
      <w:r>
        <w:rPr>
          <w:sz w:val="30"/>
        </w:rPr>
        <w:t>L</w:t>
      </w:r>
      <w:r>
        <w:rPr>
          <w:sz w:val="30"/>
          <w:vertAlign w:val="subscript"/>
        </w:rPr>
        <w:t>1</w:t>
      </w:r>
      <w:r>
        <w:rPr>
          <w:spacing w:val="40"/>
          <w:sz w:val="30"/>
        </w:rPr>
        <w:t xml:space="preserve"> </w:t>
      </w:r>
      <w:r>
        <w:rPr>
          <w:sz w:val="30"/>
        </w:rPr>
        <w:t xml:space="preserve">of </w:t>
      </w:r>
      <w:r>
        <w:rPr>
          <w:rFonts w:ascii="Segoe UI Symbol" w:hAnsi="Segoe UI Symbol"/>
          <w:sz w:val="30"/>
        </w:rPr>
        <w:t>✓</w:t>
      </w:r>
      <w:r>
        <w:rPr>
          <w:sz w:val="30"/>
        </w:rPr>
        <w:t>2</w:t>
      </w:r>
      <w:r>
        <w:rPr>
          <w:spacing w:val="40"/>
          <w:sz w:val="30"/>
        </w:rPr>
        <w:t xml:space="preserve"> </w:t>
      </w:r>
      <w:r>
        <w:rPr>
          <w:sz w:val="30"/>
        </w:rPr>
        <w:t>units</w:t>
      </w:r>
      <w:r>
        <w:rPr>
          <w:spacing w:val="40"/>
          <w:sz w:val="30"/>
        </w:rPr>
        <w:t xml:space="preserve"> </w:t>
      </w:r>
      <w:r>
        <w:rPr>
          <w:sz w:val="30"/>
        </w:rPr>
        <w:t>and</w:t>
      </w:r>
      <w:r>
        <w:rPr>
          <w:spacing w:val="40"/>
          <w:sz w:val="30"/>
        </w:rPr>
        <w:t xml:space="preserve"> </w:t>
      </w:r>
      <w:r>
        <w:rPr>
          <w:sz w:val="30"/>
        </w:rPr>
        <w:t>also</w:t>
      </w:r>
      <w:r>
        <w:rPr>
          <w:spacing w:val="40"/>
          <w:sz w:val="30"/>
        </w:rPr>
        <w:t xml:space="preserve"> </w:t>
      </w:r>
      <w:r>
        <w:rPr>
          <w:sz w:val="30"/>
        </w:rPr>
        <w:t>a</w:t>
      </w:r>
      <w:r>
        <w:rPr>
          <w:spacing w:val="40"/>
          <w:sz w:val="30"/>
        </w:rPr>
        <w:t xml:space="preserve"> </w:t>
      </w:r>
      <w:r>
        <w:rPr>
          <w:sz w:val="30"/>
        </w:rPr>
        <w:t>length</w:t>
      </w:r>
      <w:r>
        <w:rPr>
          <w:spacing w:val="40"/>
          <w:sz w:val="30"/>
        </w:rPr>
        <w:t xml:space="preserve"> </w:t>
      </w:r>
      <w:r>
        <w:rPr>
          <w:sz w:val="30"/>
        </w:rPr>
        <w:t>L</w:t>
      </w:r>
      <w:r>
        <w:rPr>
          <w:sz w:val="30"/>
          <w:vertAlign w:val="subscript"/>
        </w:rPr>
        <w:t>2</w:t>
      </w:r>
      <w:r>
        <w:rPr>
          <w:spacing w:val="67"/>
          <w:sz w:val="30"/>
        </w:rPr>
        <w:t xml:space="preserve"> </w:t>
      </w:r>
      <w:r>
        <w:rPr>
          <w:sz w:val="30"/>
        </w:rPr>
        <w:t>of</w:t>
      </w:r>
      <w:r>
        <w:rPr>
          <w:spacing w:val="66"/>
          <w:sz w:val="30"/>
        </w:rPr>
        <w:t xml:space="preserve"> </w:t>
      </w:r>
      <w:r>
        <w:rPr>
          <w:sz w:val="30"/>
        </w:rPr>
        <w:t>N</w:t>
      </w:r>
      <w:r>
        <w:rPr>
          <w:spacing w:val="66"/>
          <w:sz w:val="30"/>
        </w:rPr>
        <w:t xml:space="preserve"> </w:t>
      </w:r>
      <w:r>
        <w:rPr>
          <w:sz w:val="30"/>
        </w:rPr>
        <w:t>units,</w:t>
      </w:r>
      <w:r>
        <w:rPr>
          <w:spacing w:val="67"/>
          <w:sz w:val="30"/>
        </w:rPr>
        <w:t xml:space="preserve"> </w:t>
      </w:r>
      <w:r>
        <w:rPr>
          <w:sz w:val="30"/>
        </w:rPr>
        <w:t>where</w:t>
      </w:r>
      <w:r>
        <w:rPr>
          <w:spacing w:val="66"/>
          <w:sz w:val="30"/>
        </w:rPr>
        <w:t xml:space="preserve"> </w:t>
      </w:r>
      <w:r>
        <w:rPr>
          <w:sz w:val="30"/>
        </w:rPr>
        <w:t>N</w:t>
      </w:r>
      <w:r>
        <w:rPr>
          <w:spacing w:val="66"/>
          <w:sz w:val="30"/>
        </w:rPr>
        <w:t xml:space="preserve"> </w:t>
      </w:r>
      <w:r>
        <w:rPr>
          <w:sz w:val="30"/>
        </w:rPr>
        <w:t>is</w:t>
      </w:r>
      <w:r>
        <w:rPr>
          <w:spacing w:val="66"/>
          <w:sz w:val="30"/>
        </w:rPr>
        <w:t xml:space="preserve"> </w:t>
      </w:r>
      <w:r>
        <w:rPr>
          <w:sz w:val="30"/>
        </w:rPr>
        <w:t>a</w:t>
      </w:r>
      <w:r>
        <w:rPr>
          <w:spacing w:val="66"/>
          <w:sz w:val="30"/>
        </w:rPr>
        <w:t xml:space="preserve"> </w:t>
      </w:r>
      <w:r>
        <w:rPr>
          <w:sz w:val="30"/>
        </w:rPr>
        <w:t>rational</w:t>
      </w:r>
    </w:p>
    <w:p w14:paraId="7E003028" w14:textId="77777777" w:rsidR="009A58DB" w:rsidRDefault="00000000">
      <w:pPr>
        <w:pStyle w:val="BodyText"/>
        <w:spacing w:before="66" w:line="271" w:lineRule="auto"/>
        <w:ind w:left="720" w:right="365"/>
      </w:pPr>
      <w:r>
        <w:t>number, there is no rational number M, such that each of L</w:t>
      </w:r>
      <w:r>
        <w:rPr>
          <w:vertAlign w:val="subscript"/>
        </w:rPr>
        <w:t>1</w:t>
      </w:r>
      <w:r>
        <w:t xml:space="preserve"> and L</w:t>
      </w:r>
      <w:r>
        <w:rPr>
          <w:vertAlign w:val="subscript"/>
        </w:rPr>
        <w:t>2</w:t>
      </w:r>
      <w:r>
        <w:t xml:space="preserve"> can be divided, without remainder, into M units. Two lengths that are related to each</w:t>
      </w:r>
      <w:r>
        <w:rPr>
          <w:spacing w:val="43"/>
        </w:rPr>
        <w:t xml:space="preserve"> </w:t>
      </w:r>
      <w:r>
        <w:t>other</w:t>
      </w:r>
      <w:r>
        <w:rPr>
          <w:spacing w:val="43"/>
        </w:rPr>
        <w:t xml:space="preserve"> </w:t>
      </w:r>
      <w:r>
        <w:t>in</w:t>
      </w:r>
      <w:r>
        <w:rPr>
          <w:spacing w:val="43"/>
        </w:rPr>
        <w:t xml:space="preserve"> </w:t>
      </w:r>
      <w:r>
        <w:t>this</w:t>
      </w:r>
      <w:r>
        <w:rPr>
          <w:spacing w:val="44"/>
        </w:rPr>
        <w:t xml:space="preserve"> </w:t>
      </w:r>
      <w:r>
        <w:t>are</w:t>
      </w:r>
      <w:r>
        <w:rPr>
          <w:spacing w:val="43"/>
        </w:rPr>
        <w:t xml:space="preserve"> </w:t>
      </w:r>
      <w:r>
        <w:t>“incommensurable.”</w:t>
      </w:r>
      <w:r>
        <w:rPr>
          <w:spacing w:val="43"/>
        </w:rPr>
        <w:t xml:space="preserve"> </w:t>
      </w:r>
      <w:r>
        <w:t>It</w:t>
      </w:r>
      <w:r>
        <w:rPr>
          <w:spacing w:val="43"/>
        </w:rPr>
        <w:t xml:space="preserve"> </w:t>
      </w:r>
      <w:r>
        <w:t>was,</w:t>
      </w:r>
      <w:r>
        <w:rPr>
          <w:spacing w:val="44"/>
        </w:rPr>
        <w:t xml:space="preserve"> </w:t>
      </w:r>
      <w:r>
        <w:t>it</w:t>
      </w:r>
      <w:r>
        <w:rPr>
          <w:spacing w:val="43"/>
        </w:rPr>
        <w:t xml:space="preserve"> </w:t>
      </w:r>
      <w:r>
        <w:t>is</w:t>
      </w:r>
      <w:r>
        <w:rPr>
          <w:spacing w:val="43"/>
        </w:rPr>
        <w:t xml:space="preserve"> </w:t>
      </w:r>
      <w:r>
        <w:t>said,</w:t>
      </w:r>
      <w:r>
        <w:rPr>
          <w:spacing w:val="44"/>
        </w:rPr>
        <w:t xml:space="preserve"> </w:t>
      </w:r>
      <w:r>
        <w:rPr>
          <w:spacing w:val="-2"/>
        </w:rPr>
        <w:t>Pythagoras</w:t>
      </w:r>
    </w:p>
    <w:p w14:paraId="7E003029" w14:textId="77777777" w:rsidR="009A58DB" w:rsidRDefault="00000000">
      <w:pPr>
        <w:pStyle w:val="BodyText"/>
        <w:spacing w:line="316" w:lineRule="exact"/>
        <w:ind w:left="720"/>
      </w:pPr>
      <w:r>
        <w:t>who</w:t>
      </w:r>
      <w:r>
        <w:rPr>
          <w:spacing w:val="61"/>
        </w:rPr>
        <w:t xml:space="preserve"> </w:t>
      </w:r>
      <w:r>
        <w:t>discovered</w:t>
      </w:r>
      <w:r>
        <w:rPr>
          <w:spacing w:val="64"/>
        </w:rPr>
        <w:t xml:space="preserve"> </w:t>
      </w:r>
      <w:r>
        <w:t>the</w:t>
      </w:r>
      <w:r>
        <w:rPr>
          <w:spacing w:val="64"/>
        </w:rPr>
        <w:t xml:space="preserve"> </w:t>
      </w:r>
      <w:r>
        <w:t>existence</w:t>
      </w:r>
      <w:r>
        <w:rPr>
          <w:spacing w:val="63"/>
        </w:rPr>
        <w:t xml:space="preserve"> </w:t>
      </w:r>
      <w:r>
        <w:t>of</w:t>
      </w:r>
      <w:r>
        <w:rPr>
          <w:spacing w:val="64"/>
        </w:rPr>
        <w:t xml:space="preserve"> </w:t>
      </w:r>
      <w:r>
        <w:t>incommensurables.</w:t>
      </w:r>
      <w:r>
        <w:rPr>
          <w:spacing w:val="64"/>
        </w:rPr>
        <w:t xml:space="preserve"> </w:t>
      </w:r>
      <w:r>
        <w:t>Richard</w:t>
      </w:r>
      <w:r>
        <w:rPr>
          <w:spacing w:val="64"/>
        </w:rPr>
        <w:t xml:space="preserve"> </w:t>
      </w:r>
      <w:r>
        <w:rPr>
          <w:spacing w:val="-2"/>
        </w:rPr>
        <w:t>Dedekind</w:t>
      </w:r>
    </w:p>
    <w:p w14:paraId="7E00302A" w14:textId="77777777" w:rsidR="009A58DB" w:rsidRDefault="00000000">
      <w:pPr>
        <w:pStyle w:val="BodyText"/>
        <w:spacing w:before="15" w:line="249" w:lineRule="auto"/>
        <w:ind w:left="720" w:right="370"/>
      </w:pPr>
      <w:r>
        <w:t>(1831–1916) and Bertrand Russell (1872–1970) jointly provided the first clear analysis of incommensurability. See Chapter 7.</w:t>
      </w:r>
    </w:p>
    <w:p w14:paraId="7E00302B"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02C" w14:textId="77777777" w:rsidR="009A58DB" w:rsidRDefault="00000000">
      <w:pPr>
        <w:pStyle w:val="ListParagraph"/>
        <w:numPr>
          <w:ilvl w:val="0"/>
          <w:numId w:val="6"/>
        </w:numPr>
        <w:tabs>
          <w:tab w:val="left" w:pos="720"/>
          <w:tab w:val="left" w:pos="1357"/>
        </w:tabs>
        <w:spacing w:before="65" w:line="261" w:lineRule="auto"/>
        <w:ind w:right="371" w:hanging="420"/>
        <w:jc w:val="both"/>
        <w:rPr>
          <w:color w:val="0562C1"/>
          <w:position w:val="12"/>
          <w:sz w:val="30"/>
          <w:u w:val="single" w:color="0562C1"/>
        </w:rPr>
      </w:pPr>
      <w:r>
        <w:rPr>
          <w:sz w:val="30"/>
        </w:rPr>
        <w:t>As previously stated, a number N is irrational if there are no numbers p and q such that N = p/q. See Chapter 7.</w:t>
      </w:r>
    </w:p>
    <w:p w14:paraId="7E00302D" w14:textId="77777777" w:rsidR="009A58DB" w:rsidRDefault="00000000">
      <w:pPr>
        <w:pStyle w:val="ListParagraph"/>
        <w:numPr>
          <w:ilvl w:val="0"/>
          <w:numId w:val="6"/>
        </w:numPr>
        <w:tabs>
          <w:tab w:val="left" w:pos="1342"/>
        </w:tabs>
        <w:spacing w:before="28"/>
        <w:ind w:left="1342" w:hanging="1042"/>
        <w:rPr>
          <w:color w:val="0562C1"/>
          <w:position w:val="12"/>
          <w:sz w:val="30"/>
          <w:u w:val="single" w:color="0562C1"/>
        </w:rPr>
      </w:pPr>
      <w:r>
        <w:rPr>
          <w:sz w:val="30"/>
        </w:rPr>
        <w:t>Hempel</w:t>
      </w:r>
      <w:r>
        <w:rPr>
          <w:spacing w:val="-4"/>
          <w:sz w:val="30"/>
        </w:rPr>
        <w:t xml:space="preserve"> </w:t>
      </w:r>
      <w:r>
        <w:rPr>
          <w:sz w:val="30"/>
        </w:rPr>
        <w:t>(1952,</w:t>
      </w:r>
      <w:r>
        <w:rPr>
          <w:spacing w:val="-2"/>
          <w:sz w:val="30"/>
        </w:rPr>
        <w:t xml:space="preserve"> 1965).</w:t>
      </w:r>
    </w:p>
    <w:p w14:paraId="7E00302E" w14:textId="77777777" w:rsidR="009A58DB" w:rsidRDefault="00000000">
      <w:pPr>
        <w:pStyle w:val="ListParagraph"/>
        <w:numPr>
          <w:ilvl w:val="0"/>
          <w:numId w:val="6"/>
        </w:numPr>
        <w:tabs>
          <w:tab w:val="left" w:pos="720"/>
          <w:tab w:val="left" w:pos="1492"/>
        </w:tabs>
        <w:spacing w:before="60" w:line="252" w:lineRule="auto"/>
        <w:ind w:right="358" w:hanging="420"/>
        <w:jc w:val="both"/>
        <w:rPr>
          <w:color w:val="0562C1"/>
          <w:position w:val="12"/>
          <w:sz w:val="30"/>
          <w:u w:val="single" w:color="0562C1"/>
        </w:rPr>
      </w:pPr>
      <w:r>
        <w:rPr>
          <w:sz w:val="30"/>
        </w:rPr>
        <w:t xml:space="preserve">See Nagel (1962), especially the chapter titled “Indeterminism and causality in quantum-physics.” Nagel brilliantly argues that, although sub-atomic phenomena are indeterministic </w:t>
      </w:r>
      <w:r>
        <w:rPr>
          <w:i/>
          <w:sz w:val="30"/>
        </w:rPr>
        <w:t xml:space="preserve">with respect to </w:t>
      </w:r>
      <w:r>
        <w:rPr>
          <w:sz w:val="30"/>
        </w:rPr>
        <w:t>the categories used to described macro-scopic (and otherwise super-atomic) phenomena, it is possible to identify categories with respect to which sub-atomic phenomena are deterministic. Philipp Frank (1949) has a similar view.</w:t>
      </w:r>
    </w:p>
    <w:p w14:paraId="7E00302F" w14:textId="77777777" w:rsidR="009A58DB" w:rsidRDefault="00000000">
      <w:pPr>
        <w:pStyle w:val="ListParagraph"/>
        <w:numPr>
          <w:ilvl w:val="0"/>
          <w:numId w:val="6"/>
        </w:numPr>
        <w:tabs>
          <w:tab w:val="left" w:pos="1342"/>
        </w:tabs>
        <w:spacing w:before="46"/>
        <w:ind w:left="1342" w:hanging="1042"/>
        <w:rPr>
          <w:color w:val="0562C1"/>
          <w:position w:val="12"/>
          <w:sz w:val="30"/>
          <w:u w:val="single" w:color="0562C1"/>
        </w:rPr>
      </w:pPr>
      <w:r>
        <w:rPr>
          <w:sz w:val="30"/>
        </w:rPr>
        <w:t>See</w:t>
      </w:r>
      <w:r>
        <w:rPr>
          <w:spacing w:val="-5"/>
          <w:sz w:val="30"/>
        </w:rPr>
        <w:t xml:space="preserve"> </w:t>
      </w:r>
      <w:r>
        <w:rPr>
          <w:sz w:val="30"/>
        </w:rPr>
        <w:t>van</w:t>
      </w:r>
      <w:r>
        <w:rPr>
          <w:spacing w:val="-3"/>
          <w:sz w:val="30"/>
        </w:rPr>
        <w:t xml:space="preserve"> </w:t>
      </w:r>
      <w:r>
        <w:rPr>
          <w:sz w:val="30"/>
        </w:rPr>
        <w:t>fraassen</w:t>
      </w:r>
      <w:r>
        <w:rPr>
          <w:spacing w:val="-3"/>
          <w:sz w:val="30"/>
        </w:rPr>
        <w:t xml:space="preserve"> </w:t>
      </w:r>
      <w:r>
        <w:rPr>
          <w:spacing w:val="-2"/>
          <w:sz w:val="30"/>
        </w:rPr>
        <w:t>(1989).</w:t>
      </w:r>
    </w:p>
    <w:p w14:paraId="7E003030" w14:textId="77777777" w:rsidR="009A58DB" w:rsidRDefault="00000000">
      <w:pPr>
        <w:pStyle w:val="ListParagraph"/>
        <w:numPr>
          <w:ilvl w:val="0"/>
          <w:numId w:val="6"/>
        </w:numPr>
        <w:tabs>
          <w:tab w:val="left" w:pos="1342"/>
        </w:tabs>
        <w:spacing w:before="60"/>
        <w:ind w:left="1342" w:hanging="1042"/>
        <w:rPr>
          <w:color w:val="0562C1"/>
          <w:position w:val="12"/>
          <w:sz w:val="30"/>
          <w:u w:val="single" w:color="0562C1"/>
        </w:rPr>
      </w:pPr>
      <w:r>
        <w:rPr>
          <w:sz w:val="30"/>
        </w:rPr>
        <w:t>The</w:t>
      </w:r>
      <w:r>
        <w:rPr>
          <w:spacing w:val="-9"/>
          <w:sz w:val="30"/>
        </w:rPr>
        <w:t xml:space="preserve"> </w:t>
      </w:r>
      <w:r>
        <w:rPr>
          <w:sz w:val="30"/>
        </w:rPr>
        <w:t>plural</w:t>
      </w:r>
      <w:r>
        <w:rPr>
          <w:spacing w:val="-6"/>
          <w:sz w:val="30"/>
        </w:rPr>
        <w:t xml:space="preserve"> </w:t>
      </w:r>
      <w:r>
        <w:rPr>
          <w:sz w:val="30"/>
        </w:rPr>
        <w:t>of</w:t>
      </w:r>
      <w:r>
        <w:rPr>
          <w:spacing w:val="-6"/>
          <w:sz w:val="30"/>
        </w:rPr>
        <w:t xml:space="preserve"> </w:t>
      </w:r>
      <w:r>
        <w:rPr>
          <w:sz w:val="30"/>
        </w:rPr>
        <w:t>“sentence-schema”</w:t>
      </w:r>
      <w:r>
        <w:rPr>
          <w:spacing w:val="-6"/>
          <w:sz w:val="30"/>
        </w:rPr>
        <w:t xml:space="preserve"> </w:t>
      </w:r>
      <w:r>
        <w:rPr>
          <w:sz w:val="30"/>
        </w:rPr>
        <w:t>is</w:t>
      </w:r>
      <w:r>
        <w:rPr>
          <w:spacing w:val="-6"/>
          <w:sz w:val="30"/>
        </w:rPr>
        <w:t xml:space="preserve"> </w:t>
      </w:r>
      <w:r>
        <w:rPr>
          <w:sz w:val="30"/>
        </w:rPr>
        <w:t>“sentence-</w:t>
      </w:r>
      <w:r>
        <w:rPr>
          <w:spacing w:val="-2"/>
          <w:sz w:val="30"/>
        </w:rPr>
        <w:t>schemata.”</w:t>
      </w:r>
    </w:p>
    <w:p w14:paraId="7E003031" w14:textId="77777777" w:rsidR="009A58DB" w:rsidRDefault="00000000">
      <w:pPr>
        <w:pStyle w:val="ListParagraph"/>
        <w:numPr>
          <w:ilvl w:val="0"/>
          <w:numId w:val="6"/>
        </w:numPr>
        <w:tabs>
          <w:tab w:val="left" w:pos="720"/>
          <w:tab w:val="left" w:pos="1582"/>
        </w:tabs>
        <w:spacing w:before="75" w:line="256" w:lineRule="auto"/>
        <w:ind w:right="363" w:hanging="420"/>
        <w:jc w:val="both"/>
        <w:rPr>
          <w:color w:val="0562C1"/>
          <w:position w:val="12"/>
          <w:sz w:val="30"/>
          <w:u w:val="single" w:color="0562C1"/>
        </w:rPr>
      </w:pPr>
      <w:r>
        <w:rPr>
          <w:sz w:val="30"/>
        </w:rPr>
        <w:t>In</w:t>
      </w:r>
      <w:r>
        <w:rPr>
          <w:spacing w:val="40"/>
          <w:sz w:val="30"/>
        </w:rPr>
        <w:t xml:space="preserve"> </w:t>
      </w:r>
      <w:r>
        <w:rPr>
          <w:sz w:val="30"/>
        </w:rPr>
        <w:t>Chapter</w:t>
      </w:r>
      <w:r>
        <w:rPr>
          <w:spacing w:val="40"/>
          <w:sz w:val="30"/>
        </w:rPr>
        <w:t xml:space="preserve"> </w:t>
      </w:r>
      <w:r>
        <w:rPr>
          <w:sz w:val="30"/>
        </w:rPr>
        <w:t>13,</w:t>
      </w:r>
      <w:r>
        <w:rPr>
          <w:spacing w:val="40"/>
          <w:sz w:val="30"/>
        </w:rPr>
        <w:t xml:space="preserve"> </w:t>
      </w:r>
      <w:r>
        <w:rPr>
          <w:sz w:val="30"/>
        </w:rPr>
        <w:t>it</w:t>
      </w:r>
      <w:r>
        <w:rPr>
          <w:spacing w:val="40"/>
          <w:sz w:val="30"/>
        </w:rPr>
        <w:t xml:space="preserve"> </w:t>
      </w:r>
      <w:r>
        <w:rPr>
          <w:sz w:val="30"/>
        </w:rPr>
        <w:t>is</w:t>
      </w:r>
      <w:r>
        <w:rPr>
          <w:spacing w:val="40"/>
          <w:sz w:val="30"/>
        </w:rPr>
        <w:t xml:space="preserve"> </w:t>
      </w:r>
      <w:r>
        <w:rPr>
          <w:sz w:val="30"/>
        </w:rPr>
        <w:t>argued</w:t>
      </w:r>
      <w:r>
        <w:rPr>
          <w:spacing w:val="40"/>
          <w:sz w:val="30"/>
        </w:rPr>
        <w:t xml:space="preserve"> </w:t>
      </w:r>
      <w:r>
        <w:rPr>
          <w:sz w:val="30"/>
        </w:rPr>
        <w:t>that,</w:t>
      </w:r>
      <w:r>
        <w:rPr>
          <w:spacing w:val="40"/>
          <w:sz w:val="30"/>
        </w:rPr>
        <w:t xml:space="preserve"> </w:t>
      </w:r>
      <w:r>
        <w:rPr>
          <w:sz w:val="30"/>
        </w:rPr>
        <w:t>in</w:t>
      </w:r>
      <w:r>
        <w:rPr>
          <w:spacing w:val="40"/>
          <w:sz w:val="30"/>
        </w:rPr>
        <w:t xml:space="preserve"> </w:t>
      </w:r>
      <w:r>
        <w:rPr>
          <w:sz w:val="30"/>
        </w:rPr>
        <w:t>his</w:t>
      </w:r>
      <w:r>
        <w:rPr>
          <w:spacing w:val="40"/>
          <w:sz w:val="30"/>
        </w:rPr>
        <w:t xml:space="preserve"> </w:t>
      </w:r>
      <w:r>
        <w:rPr>
          <w:sz w:val="30"/>
        </w:rPr>
        <w:t>(1734)</w:t>
      </w:r>
      <w:r>
        <w:rPr>
          <w:spacing w:val="40"/>
          <w:sz w:val="30"/>
        </w:rPr>
        <w:t xml:space="preserve"> </w:t>
      </w:r>
      <w:r>
        <w:rPr>
          <w:sz w:val="30"/>
        </w:rPr>
        <w:t>work</w:t>
      </w:r>
      <w:r>
        <w:rPr>
          <w:spacing w:val="40"/>
          <w:sz w:val="30"/>
        </w:rPr>
        <w:t xml:space="preserve"> </w:t>
      </w:r>
      <w:r>
        <w:rPr>
          <w:i/>
          <w:sz w:val="30"/>
        </w:rPr>
        <w:t>Principles</w:t>
      </w:r>
      <w:r>
        <w:rPr>
          <w:i/>
          <w:spacing w:val="40"/>
          <w:sz w:val="30"/>
        </w:rPr>
        <w:t xml:space="preserve"> </w:t>
      </w:r>
      <w:r>
        <w:rPr>
          <w:i/>
          <w:sz w:val="30"/>
        </w:rPr>
        <w:t xml:space="preserve">of Human Knowledge, </w:t>
      </w:r>
      <w:r>
        <w:rPr>
          <w:sz w:val="30"/>
        </w:rPr>
        <w:t>George Berkeley stated these very points, or at least came close to doing so.</w:t>
      </w:r>
    </w:p>
    <w:p w14:paraId="7E003032" w14:textId="77777777" w:rsidR="009A58DB" w:rsidRDefault="00000000">
      <w:pPr>
        <w:tabs>
          <w:tab w:val="left" w:pos="1015"/>
        </w:tabs>
        <w:spacing w:before="138"/>
        <w:ind w:left="360"/>
        <w:rPr>
          <w:i/>
          <w:sz w:val="30"/>
        </w:rPr>
      </w:pPr>
      <w:bookmarkStart w:id="702" w:name="_bookmark702"/>
      <w:bookmarkEnd w:id="702"/>
      <w:r>
        <w:rPr>
          <w:color w:val="0562C1"/>
          <w:spacing w:val="-2"/>
          <w:sz w:val="30"/>
          <w:u w:val="single" w:color="0562C1"/>
          <w:vertAlign w:val="superscript"/>
        </w:rPr>
        <w:t>[49]</w:t>
      </w:r>
      <w:r>
        <w:rPr>
          <w:spacing w:val="-2"/>
        </w:rPr>
        <w:t>.</w:t>
      </w:r>
      <w:r>
        <w:tab/>
      </w:r>
      <w:r>
        <w:rPr>
          <w:sz w:val="30"/>
        </w:rPr>
        <w:t>Russell</w:t>
      </w:r>
      <w:r>
        <w:rPr>
          <w:spacing w:val="-6"/>
          <w:sz w:val="30"/>
        </w:rPr>
        <w:t xml:space="preserve"> </w:t>
      </w:r>
      <w:r>
        <w:rPr>
          <w:sz w:val="30"/>
        </w:rPr>
        <w:t>makes</w:t>
      </w:r>
      <w:r>
        <w:rPr>
          <w:spacing w:val="-3"/>
          <w:sz w:val="30"/>
        </w:rPr>
        <w:t xml:space="preserve"> </w:t>
      </w:r>
      <w:r>
        <w:rPr>
          <w:sz w:val="30"/>
        </w:rPr>
        <w:t>this</w:t>
      </w:r>
      <w:r>
        <w:rPr>
          <w:spacing w:val="-3"/>
          <w:sz w:val="30"/>
        </w:rPr>
        <w:t xml:space="preserve"> </w:t>
      </w:r>
      <w:r>
        <w:rPr>
          <w:sz w:val="30"/>
        </w:rPr>
        <w:t>very</w:t>
      </w:r>
      <w:r>
        <w:rPr>
          <w:spacing w:val="-2"/>
          <w:sz w:val="30"/>
        </w:rPr>
        <w:t xml:space="preserve"> </w:t>
      </w:r>
      <w:r>
        <w:rPr>
          <w:sz w:val="30"/>
        </w:rPr>
        <w:t>point</w:t>
      </w:r>
      <w:r>
        <w:rPr>
          <w:spacing w:val="-3"/>
          <w:sz w:val="30"/>
        </w:rPr>
        <w:t xml:space="preserve"> </w:t>
      </w:r>
      <w:r>
        <w:rPr>
          <w:sz w:val="30"/>
        </w:rPr>
        <w:t>in</w:t>
      </w:r>
      <w:r>
        <w:rPr>
          <w:spacing w:val="-3"/>
          <w:sz w:val="30"/>
        </w:rPr>
        <w:t xml:space="preserve"> </w:t>
      </w:r>
      <w:r>
        <w:rPr>
          <w:i/>
          <w:sz w:val="30"/>
        </w:rPr>
        <w:t>An</w:t>
      </w:r>
      <w:r>
        <w:rPr>
          <w:i/>
          <w:spacing w:val="-2"/>
          <w:sz w:val="30"/>
        </w:rPr>
        <w:t xml:space="preserve"> </w:t>
      </w:r>
      <w:r>
        <w:rPr>
          <w:i/>
          <w:sz w:val="30"/>
        </w:rPr>
        <w:t>Inquiry</w:t>
      </w:r>
      <w:r>
        <w:rPr>
          <w:i/>
          <w:spacing w:val="-3"/>
          <w:sz w:val="30"/>
        </w:rPr>
        <w:t xml:space="preserve"> </w:t>
      </w:r>
      <w:r>
        <w:rPr>
          <w:i/>
          <w:sz w:val="30"/>
        </w:rPr>
        <w:t>into</w:t>
      </w:r>
      <w:r>
        <w:rPr>
          <w:i/>
          <w:spacing w:val="-2"/>
          <w:sz w:val="30"/>
        </w:rPr>
        <w:t xml:space="preserve"> </w:t>
      </w:r>
      <w:r>
        <w:rPr>
          <w:i/>
          <w:sz w:val="30"/>
        </w:rPr>
        <w:t>Meaning</w:t>
      </w:r>
      <w:r>
        <w:rPr>
          <w:i/>
          <w:spacing w:val="-2"/>
          <w:sz w:val="30"/>
        </w:rPr>
        <w:t xml:space="preserve"> </w:t>
      </w:r>
      <w:r>
        <w:rPr>
          <w:i/>
          <w:sz w:val="30"/>
        </w:rPr>
        <w:t>and</w:t>
      </w:r>
      <w:r>
        <w:rPr>
          <w:i/>
          <w:spacing w:val="-2"/>
          <w:sz w:val="30"/>
        </w:rPr>
        <w:t xml:space="preserve"> Truth.</w:t>
      </w:r>
    </w:p>
    <w:p w14:paraId="7E003033" w14:textId="77777777" w:rsidR="009A58DB" w:rsidRDefault="00000000">
      <w:pPr>
        <w:pStyle w:val="BodyText"/>
        <w:tabs>
          <w:tab w:val="left" w:pos="1015"/>
        </w:tabs>
        <w:spacing w:before="120"/>
        <w:jc w:val="left"/>
      </w:pPr>
      <w:bookmarkStart w:id="703" w:name="_bookmark703"/>
      <w:bookmarkEnd w:id="703"/>
      <w:r>
        <w:rPr>
          <w:color w:val="0562C1"/>
          <w:spacing w:val="-2"/>
          <w:u w:val="single" w:color="0562C1"/>
          <w:vertAlign w:val="superscript"/>
        </w:rPr>
        <w:t>[50]</w:t>
      </w:r>
      <w:r>
        <w:rPr>
          <w:spacing w:val="-2"/>
          <w:sz w:val="22"/>
        </w:rPr>
        <w:t>.</w:t>
      </w:r>
      <w:r>
        <w:rPr>
          <w:sz w:val="22"/>
        </w:rPr>
        <w:tab/>
      </w:r>
      <w:r>
        <w:t>E.g.</w:t>
      </w:r>
      <w:r>
        <w:rPr>
          <w:spacing w:val="-5"/>
        </w:rPr>
        <w:t xml:space="preserve"> </w:t>
      </w:r>
      <w:r>
        <w:t>Wittgenstein</w:t>
      </w:r>
      <w:r>
        <w:rPr>
          <w:spacing w:val="-5"/>
        </w:rPr>
        <w:t xml:space="preserve"> </w:t>
      </w:r>
      <w:r>
        <w:rPr>
          <w:spacing w:val="-2"/>
        </w:rPr>
        <w:t>(1922).</w:t>
      </w:r>
    </w:p>
    <w:p w14:paraId="7E003034" w14:textId="77777777" w:rsidR="009A58DB" w:rsidRDefault="00000000">
      <w:pPr>
        <w:pStyle w:val="BodyText"/>
        <w:tabs>
          <w:tab w:val="left" w:pos="1015"/>
        </w:tabs>
        <w:spacing w:before="120"/>
        <w:jc w:val="left"/>
      </w:pPr>
      <w:bookmarkStart w:id="704" w:name="_bookmark704"/>
      <w:bookmarkEnd w:id="704"/>
      <w:r>
        <w:rPr>
          <w:color w:val="0562C1"/>
          <w:spacing w:val="-2"/>
          <w:u w:val="single" w:color="0562C1"/>
          <w:vertAlign w:val="superscript"/>
        </w:rPr>
        <w:t>[51]</w:t>
      </w:r>
      <w:r>
        <w:rPr>
          <w:spacing w:val="-2"/>
          <w:sz w:val="22"/>
        </w:rPr>
        <w:t>.</w:t>
      </w:r>
      <w:r>
        <w:rPr>
          <w:sz w:val="22"/>
        </w:rPr>
        <w:tab/>
      </w:r>
      <w:r>
        <w:t>The</w:t>
      </w:r>
      <w:r>
        <w:rPr>
          <w:spacing w:val="-6"/>
        </w:rPr>
        <w:t xml:space="preserve"> </w:t>
      </w:r>
      <w:r>
        <w:t>word</w:t>
      </w:r>
      <w:r>
        <w:rPr>
          <w:spacing w:val="-2"/>
        </w:rPr>
        <w:t xml:space="preserve"> </w:t>
      </w:r>
      <w:r>
        <w:t>“nomic”</w:t>
      </w:r>
      <w:r>
        <w:rPr>
          <w:spacing w:val="-3"/>
        </w:rPr>
        <w:t xml:space="preserve"> </w:t>
      </w:r>
      <w:r>
        <w:t>means</w:t>
      </w:r>
      <w:r>
        <w:rPr>
          <w:spacing w:val="-4"/>
        </w:rPr>
        <w:t xml:space="preserve"> </w:t>
      </w:r>
      <w:r>
        <w:t>“having</w:t>
      </w:r>
      <w:r>
        <w:rPr>
          <w:spacing w:val="-2"/>
        </w:rPr>
        <w:t xml:space="preserve"> </w:t>
      </w:r>
      <w:r>
        <w:t>to</w:t>
      </w:r>
      <w:r>
        <w:rPr>
          <w:spacing w:val="-2"/>
        </w:rPr>
        <w:t xml:space="preserve"> </w:t>
      </w:r>
      <w:r>
        <w:t>do</w:t>
      </w:r>
      <w:r>
        <w:rPr>
          <w:spacing w:val="-3"/>
        </w:rPr>
        <w:t xml:space="preserve"> </w:t>
      </w:r>
      <w:r>
        <w:t>with</w:t>
      </w:r>
      <w:r>
        <w:rPr>
          <w:spacing w:val="-2"/>
        </w:rPr>
        <w:t xml:space="preserve"> </w:t>
      </w:r>
      <w:r>
        <w:t>natural</w:t>
      </w:r>
      <w:r>
        <w:rPr>
          <w:spacing w:val="-3"/>
        </w:rPr>
        <w:t xml:space="preserve"> </w:t>
      </w:r>
      <w:r>
        <w:rPr>
          <w:spacing w:val="-2"/>
        </w:rPr>
        <w:t>law.”</w:t>
      </w:r>
    </w:p>
    <w:p w14:paraId="7E003035" w14:textId="77777777" w:rsidR="009A58DB" w:rsidRDefault="00000000">
      <w:pPr>
        <w:pStyle w:val="BodyText"/>
        <w:tabs>
          <w:tab w:val="left" w:pos="1015"/>
        </w:tabs>
        <w:spacing w:before="120"/>
        <w:jc w:val="left"/>
      </w:pPr>
      <w:bookmarkStart w:id="705" w:name="_bookmark705"/>
      <w:bookmarkEnd w:id="705"/>
      <w:r>
        <w:rPr>
          <w:color w:val="0562C1"/>
          <w:spacing w:val="-2"/>
          <w:u w:val="single" w:color="0562C1"/>
          <w:vertAlign w:val="superscript"/>
        </w:rPr>
        <w:t>[52]</w:t>
      </w:r>
      <w:r>
        <w:rPr>
          <w:spacing w:val="-2"/>
          <w:sz w:val="22"/>
        </w:rPr>
        <w:t>.</w:t>
      </w:r>
      <w:r>
        <w:rPr>
          <w:sz w:val="22"/>
        </w:rPr>
        <w:tab/>
      </w:r>
      <w:r>
        <w:t>See</w:t>
      </w:r>
      <w:r>
        <w:rPr>
          <w:spacing w:val="-5"/>
        </w:rPr>
        <w:t xml:space="preserve"> </w:t>
      </w:r>
      <w:r>
        <w:t>Armstrong</w:t>
      </w:r>
      <w:r>
        <w:rPr>
          <w:spacing w:val="-4"/>
        </w:rPr>
        <w:t xml:space="preserve"> </w:t>
      </w:r>
      <w:r>
        <w:rPr>
          <w:spacing w:val="-2"/>
        </w:rPr>
        <w:t>(1993).</w:t>
      </w:r>
    </w:p>
    <w:p w14:paraId="7E003036" w14:textId="77777777" w:rsidR="009A58DB" w:rsidRDefault="00000000">
      <w:pPr>
        <w:pStyle w:val="BodyText"/>
        <w:tabs>
          <w:tab w:val="left" w:pos="1015"/>
        </w:tabs>
        <w:spacing w:before="120" w:line="249" w:lineRule="auto"/>
        <w:ind w:left="720" w:right="492" w:hanging="360"/>
        <w:jc w:val="left"/>
      </w:pPr>
      <w:bookmarkStart w:id="706" w:name="_bookmark706"/>
      <w:bookmarkEnd w:id="706"/>
      <w:r>
        <w:rPr>
          <w:color w:val="0562C1"/>
          <w:spacing w:val="-2"/>
          <w:u w:val="single" w:color="0562C1"/>
          <w:vertAlign w:val="superscript"/>
        </w:rPr>
        <w:t>[53]</w:t>
      </w:r>
      <w:r>
        <w:rPr>
          <w:spacing w:val="-2"/>
          <w:sz w:val="22"/>
        </w:rPr>
        <w:t>.</w:t>
      </w:r>
      <w:r>
        <w:rPr>
          <w:sz w:val="22"/>
        </w:rPr>
        <w:tab/>
      </w:r>
      <w:r>
        <w:t>Quine</w:t>
      </w:r>
      <w:r>
        <w:rPr>
          <w:spacing w:val="-4"/>
        </w:rPr>
        <w:t xml:space="preserve"> </w:t>
      </w:r>
      <w:r>
        <w:t>(1960)</w:t>
      </w:r>
      <w:r>
        <w:rPr>
          <w:spacing w:val="-4"/>
        </w:rPr>
        <w:t xml:space="preserve"> </w:t>
      </w:r>
      <w:r>
        <w:t>held</w:t>
      </w:r>
      <w:r>
        <w:rPr>
          <w:spacing w:val="-3"/>
        </w:rPr>
        <w:t xml:space="preserve"> </w:t>
      </w:r>
      <w:r>
        <w:t>it.</w:t>
      </w:r>
      <w:r>
        <w:rPr>
          <w:spacing w:val="-3"/>
        </w:rPr>
        <w:t xml:space="preserve"> </w:t>
      </w:r>
      <w:r>
        <w:t>(See</w:t>
      </w:r>
      <w:r>
        <w:rPr>
          <w:spacing w:val="-4"/>
        </w:rPr>
        <w:t xml:space="preserve"> </w:t>
      </w:r>
      <w:r>
        <w:t>also</w:t>
      </w:r>
      <w:r>
        <w:rPr>
          <w:spacing w:val="-3"/>
        </w:rPr>
        <w:t xml:space="preserve"> </w:t>
      </w:r>
      <w:r>
        <w:t>his</w:t>
      </w:r>
      <w:r>
        <w:rPr>
          <w:spacing w:val="-4"/>
        </w:rPr>
        <w:t xml:space="preserve"> </w:t>
      </w:r>
      <w:r>
        <w:t>book</w:t>
      </w:r>
      <w:r>
        <w:rPr>
          <w:spacing w:val="-4"/>
        </w:rPr>
        <w:t xml:space="preserve"> </w:t>
      </w:r>
      <w:r>
        <w:rPr>
          <w:i/>
        </w:rPr>
        <w:t>The</w:t>
      </w:r>
      <w:r>
        <w:rPr>
          <w:i/>
          <w:spacing w:val="-4"/>
        </w:rPr>
        <w:t xml:space="preserve"> </w:t>
      </w:r>
      <w:r>
        <w:rPr>
          <w:i/>
        </w:rPr>
        <w:t>Roots</w:t>
      </w:r>
      <w:r>
        <w:rPr>
          <w:i/>
          <w:spacing w:val="-4"/>
        </w:rPr>
        <w:t xml:space="preserve"> </w:t>
      </w:r>
      <w:r>
        <w:rPr>
          <w:i/>
        </w:rPr>
        <w:t>of</w:t>
      </w:r>
      <w:r>
        <w:rPr>
          <w:i/>
          <w:spacing w:val="-4"/>
        </w:rPr>
        <w:t xml:space="preserve"> </w:t>
      </w:r>
      <w:r>
        <w:rPr>
          <w:i/>
        </w:rPr>
        <w:t>Reference.</w:t>
      </w:r>
      <w:r>
        <w:t>)</w:t>
      </w:r>
      <w:r>
        <w:rPr>
          <w:spacing w:val="-4"/>
        </w:rPr>
        <w:t xml:space="preserve"> </w:t>
      </w:r>
      <w:r>
        <w:t>In</w:t>
      </w:r>
      <w:r>
        <w:rPr>
          <w:spacing w:val="-3"/>
        </w:rPr>
        <w:t xml:space="preserve"> </w:t>
      </w:r>
      <w:r>
        <w:t xml:space="preserve">his view, the property of being water is </w:t>
      </w:r>
      <w:r>
        <w:rPr>
          <w:sz w:val="22"/>
        </w:rPr>
        <w:t>identical</w:t>
      </w:r>
      <w:r>
        <w:rPr>
          <w:spacing w:val="31"/>
          <w:sz w:val="22"/>
        </w:rPr>
        <w:t xml:space="preserve"> </w:t>
      </w:r>
      <w:r>
        <w:t>with the scattered object consisting of all and only water-molecules. It’s now a popular one. I suspect that this is largely because Quine countenanced it.</w:t>
      </w:r>
    </w:p>
    <w:p w14:paraId="7E003037" w14:textId="77777777" w:rsidR="009A58DB" w:rsidRDefault="00000000">
      <w:pPr>
        <w:pStyle w:val="BodyText"/>
        <w:tabs>
          <w:tab w:val="left" w:pos="1015"/>
        </w:tabs>
        <w:spacing w:before="110" w:line="249" w:lineRule="auto"/>
        <w:ind w:left="720" w:right="766" w:hanging="360"/>
        <w:jc w:val="left"/>
      </w:pPr>
      <w:bookmarkStart w:id="707" w:name="_bookmark707"/>
      <w:bookmarkEnd w:id="707"/>
      <w:r>
        <w:rPr>
          <w:color w:val="0562C1"/>
          <w:spacing w:val="-2"/>
          <w:u w:val="single" w:color="0562C1"/>
          <w:vertAlign w:val="superscript"/>
        </w:rPr>
        <w:t>[54]</w:t>
      </w:r>
      <w:r>
        <w:rPr>
          <w:spacing w:val="-2"/>
          <w:sz w:val="22"/>
        </w:rPr>
        <w:t>.</w:t>
      </w:r>
      <w:r>
        <w:rPr>
          <w:sz w:val="22"/>
        </w:rPr>
        <w:tab/>
      </w:r>
      <w:r>
        <w:t>Quine</w:t>
      </w:r>
      <w:r>
        <w:rPr>
          <w:spacing w:val="-4"/>
        </w:rPr>
        <w:t xml:space="preserve"> </w:t>
      </w:r>
      <w:r>
        <w:t>(1960,</w:t>
      </w:r>
      <w:r>
        <w:rPr>
          <w:spacing w:val="-3"/>
        </w:rPr>
        <w:t xml:space="preserve"> </w:t>
      </w:r>
      <w:r>
        <w:t>1981)</w:t>
      </w:r>
      <w:r>
        <w:rPr>
          <w:spacing w:val="-4"/>
        </w:rPr>
        <w:t xml:space="preserve"> </w:t>
      </w:r>
      <w:r>
        <w:t>has</w:t>
      </w:r>
      <w:r>
        <w:rPr>
          <w:spacing w:val="-4"/>
        </w:rPr>
        <w:t xml:space="preserve"> </w:t>
      </w:r>
      <w:r>
        <w:t>this</w:t>
      </w:r>
      <w:r>
        <w:rPr>
          <w:spacing w:val="-4"/>
        </w:rPr>
        <w:t xml:space="preserve"> </w:t>
      </w:r>
      <w:r>
        <w:t>view.</w:t>
      </w:r>
      <w:r>
        <w:rPr>
          <w:spacing w:val="-3"/>
        </w:rPr>
        <w:t xml:space="preserve"> </w:t>
      </w:r>
      <w:r>
        <w:t>So</w:t>
      </w:r>
      <w:r>
        <w:rPr>
          <w:spacing w:val="-3"/>
        </w:rPr>
        <w:t xml:space="preserve"> </w:t>
      </w:r>
      <w:r>
        <w:t>do</w:t>
      </w:r>
      <w:r>
        <w:rPr>
          <w:spacing w:val="-3"/>
        </w:rPr>
        <w:t xml:space="preserve"> </w:t>
      </w:r>
      <w:r>
        <w:t>William</w:t>
      </w:r>
      <w:r>
        <w:rPr>
          <w:spacing w:val="-4"/>
        </w:rPr>
        <w:t xml:space="preserve"> </w:t>
      </w:r>
      <w:r>
        <w:t>of</w:t>
      </w:r>
      <w:r>
        <w:rPr>
          <w:spacing w:val="-4"/>
        </w:rPr>
        <w:t xml:space="preserve"> </w:t>
      </w:r>
      <w:r>
        <w:t>Ockham</w:t>
      </w:r>
      <w:r>
        <w:rPr>
          <w:spacing w:val="-4"/>
        </w:rPr>
        <w:t xml:space="preserve"> </w:t>
      </w:r>
      <w:r>
        <w:t>(see</w:t>
      </w:r>
      <w:r>
        <w:rPr>
          <w:spacing w:val="-4"/>
        </w:rPr>
        <w:t xml:space="preserve"> </w:t>
      </w:r>
      <w:r>
        <w:t xml:space="preserve">his book </w:t>
      </w:r>
      <w:r>
        <w:rPr>
          <w:i/>
        </w:rPr>
        <w:t>Logical Problems</w:t>
      </w:r>
      <w:r>
        <w:t>) and Bertrand Russell (1973).</w:t>
      </w:r>
    </w:p>
    <w:p w14:paraId="7E003038" w14:textId="77777777" w:rsidR="009A58DB" w:rsidRDefault="00000000">
      <w:pPr>
        <w:tabs>
          <w:tab w:val="left" w:pos="1015"/>
        </w:tabs>
        <w:spacing w:before="108" w:line="249" w:lineRule="auto"/>
        <w:ind w:left="720" w:right="675" w:hanging="360"/>
        <w:rPr>
          <w:sz w:val="30"/>
        </w:rPr>
      </w:pPr>
      <w:bookmarkStart w:id="708" w:name="_bookmark708"/>
      <w:bookmarkEnd w:id="708"/>
      <w:r>
        <w:rPr>
          <w:color w:val="0562C1"/>
          <w:spacing w:val="-2"/>
          <w:sz w:val="30"/>
          <w:u w:val="single" w:color="0562C1"/>
          <w:vertAlign w:val="superscript"/>
        </w:rPr>
        <w:t>[55]</w:t>
      </w:r>
      <w:r>
        <w:rPr>
          <w:spacing w:val="-2"/>
        </w:rPr>
        <w:t>.</w:t>
      </w:r>
      <w:r>
        <w:tab/>
      </w:r>
      <w:r>
        <w:rPr>
          <w:sz w:val="30"/>
        </w:rPr>
        <w:t>Plato</w:t>
      </w:r>
      <w:r>
        <w:rPr>
          <w:spacing w:val="-4"/>
          <w:sz w:val="30"/>
        </w:rPr>
        <w:t xml:space="preserve"> </w:t>
      </w:r>
      <w:r>
        <w:rPr>
          <w:sz w:val="30"/>
        </w:rPr>
        <w:t>himself</w:t>
      </w:r>
      <w:r>
        <w:rPr>
          <w:spacing w:val="-5"/>
          <w:sz w:val="30"/>
        </w:rPr>
        <w:t xml:space="preserve"> </w:t>
      </w:r>
      <w:r>
        <w:rPr>
          <w:sz w:val="30"/>
        </w:rPr>
        <w:t>gives</w:t>
      </w:r>
      <w:r>
        <w:rPr>
          <w:spacing w:val="-5"/>
          <w:sz w:val="30"/>
        </w:rPr>
        <w:t xml:space="preserve"> </w:t>
      </w:r>
      <w:r>
        <w:rPr>
          <w:sz w:val="30"/>
        </w:rPr>
        <w:t>this</w:t>
      </w:r>
      <w:r>
        <w:rPr>
          <w:spacing w:val="-5"/>
          <w:sz w:val="30"/>
        </w:rPr>
        <w:t xml:space="preserve"> </w:t>
      </w:r>
      <w:r>
        <w:rPr>
          <w:sz w:val="30"/>
        </w:rPr>
        <w:t>argument</w:t>
      </w:r>
      <w:r>
        <w:rPr>
          <w:spacing w:val="-5"/>
          <w:sz w:val="30"/>
        </w:rPr>
        <w:t xml:space="preserve"> </w:t>
      </w:r>
      <w:r>
        <w:rPr>
          <w:sz w:val="30"/>
        </w:rPr>
        <w:t>in</w:t>
      </w:r>
      <w:r>
        <w:rPr>
          <w:spacing w:val="-4"/>
          <w:sz w:val="30"/>
        </w:rPr>
        <w:t xml:space="preserve"> </w:t>
      </w:r>
      <w:r>
        <w:rPr>
          <w:sz w:val="30"/>
        </w:rPr>
        <w:t>his</w:t>
      </w:r>
      <w:r>
        <w:rPr>
          <w:spacing w:val="-5"/>
          <w:sz w:val="30"/>
        </w:rPr>
        <w:t xml:space="preserve"> </w:t>
      </w:r>
      <w:r>
        <w:rPr>
          <w:sz w:val="30"/>
        </w:rPr>
        <w:t>dialogue</w:t>
      </w:r>
      <w:r>
        <w:rPr>
          <w:spacing w:val="-4"/>
          <w:sz w:val="30"/>
        </w:rPr>
        <w:t xml:space="preserve"> </w:t>
      </w:r>
      <w:r>
        <w:rPr>
          <w:i/>
          <w:sz w:val="30"/>
        </w:rPr>
        <w:t>the</w:t>
      </w:r>
      <w:r>
        <w:rPr>
          <w:i/>
          <w:spacing w:val="-5"/>
          <w:sz w:val="30"/>
        </w:rPr>
        <w:t xml:space="preserve"> </w:t>
      </w:r>
      <w:r>
        <w:rPr>
          <w:i/>
          <w:sz w:val="30"/>
        </w:rPr>
        <w:t>Parmenides,</w:t>
      </w:r>
      <w:r>
        <w:rPr>
          <w:i/>
          <w:spacing w:val="-5"/>
          <w:sz w:val="30"/>
        </w:rPr>
        <w:t xml:space="preserve"> </w:t>
      </w:r>
      <w:r>
        <w:rPr>
          <w:sz w:val="30"/>
        </w:rPr>
        <w:t xml:space="preserve">and so did Aristotle in the </w:t>
      </w:r>
      <w:r>
        <w:rPr>
          <w:i/>
          <w:sz w:val="30"/>
        </w:rPr>
        <w:t xml:space="preserve">Metaphysics. </w:t>
      </w:r>
      <w:r>
        <w:rPr>
          <w:sz w:val="30"/>
        </w:rPr>
        <w:t>Aristotle gave it its current name.</w:t>
      </w:r>
    </w:p>
    <w:p w14:paraId="7E003039" w14:textId="77777777" w:rsidR="009A58DB" w:rsidRDefault="00000000">
      <w:pPr>
        <w:pStyle w:val="BodyText"/>
        <w:tabs>
          <w:tab w:val="left" w:pos="1015"/>
        </w:tabs>
        <w:spacing w:before="107"/>
        <w:jc w:val="left"/>
      </w:pPr>
      <w:bookmarkStart w:id="709" w:name="_bookmark709"/>
      <w:bookmarkEnd w:id="709"/>
      <w:r>
        <w:rPr>
          <w:color w:val="0562C1"/>
          <w:spacing w:val="-2"/>
          <w:u w:val="single" w:color="0562C1"/>
          <w:vertAlign w:val="superscript"/>
        </w:rPr>
        <w:t>[56]</w:t>
      </w:r>
      <w:r>
        <w:rPr>
          <w:spacing w:val="-2"/>
          <w:sz w:val="22"/>
        </w:rPr>
        <w:t>.</w:t>
      </w:r>
      <w:r>
        <w:rPr>
          <w:sz w:val="22"/>
        </w:rPr>
        <w:tab/>
      </w:r>
      <w:r>
        <w:t>This</w:t>
      </w:r>
      <w:r>
        <w:rPr>
          <w:spacing w:val="-3"/>
        </w:rPr>
        <w:t xml:space="preserve"> </w:t>
      </w:r>
      <w:r>
        <w:t>is</w:t>
      </w:r>
      <w:r>
        <w:rPr>
          <w:spacing w:val="-3"/>
        </w:rPr>
        <w:t xml:space="preserve"> </w:t>
      </w:r>
      <w:r>
        <w:t>pronounced</w:t>
      </w:r>
      <w:r>
        <w:rPr>
          <w:spacing w:val="-1"/>
        </w:rPr>
        <w:t xml:space="preserve"> </w:t>
      </w:r>
      <w:r>
        <w:t>“one</w:t>
      </w:r>
      <w:r>
        <w:rPr>
          <w:spacing w:val="-3"/>
        </w:rPr>
        <w:t xml:space="preserve"> </w:t>
      </w:r>
      <w:r>
        <w:t>to</w:t>
      </w:r>
      <w:r>
        <w:rPr>
          <w:spacing w:val="-1"/>
        </w:rPr>
        <w:t xml:space="preserve"> </w:t>
      </w:r>
      <w:r>
        <w:rPr>
          <w:spacing w:val="-4"/>
        </w:rPr>
        <w:t>one.”</w:t>
      </w:r>
    </w:p>
    <w:p w14:paraId="7E00303A" w14:textId="77777777" w:rsidR="009A58DB" w:rsidRDefault="00000000">
      <w:pPr>
        <w:pStyle w:val="BodyText"/>
        <w:tabs>
          <w:tab w:val="left" w:pos="1015"/>
        </w:tabs>
        <w:spacing w:before="120"/>
        <w:jc w:val="left"/>
      </w:pPr>
      <w:bookmarkStart w:id="710" w:name="_bookmark710"/>
      <w:bookmarkEnd w:id="710"/>
      <w:r>
        <w:rPr>
          <w:color w:val="0562C1"/>
          <w:spacing w:val="-2"/>
          <w:u w:val="single" w:color="0562C1"/>
          <w:vertAlign w:val="superscript"/>
        </w:rPr>
        <w:t>[57]</w:t>
      </w:r>
      <w:r>
        <w:rPr>
          <w:spacing w:val="-2"/>
          <w:sz w:val="22"/>
        </w:rPr>
        <w:t>.</w:t>
      </w:r>
      <w:r>
        <w:rPr>
          <w:sz w:val="22"/>
        </w:rPr>
        <w:tab/>
      </w:r>
      <w:r>
        <w:t>See</w:t>
      </w:r>
      <w:r>
        <w:rPr>
          <w:spacing w:val="-5"/>
        </w:rPr>
        <w:t xml:space="preserve"> </w:t>
      </w:r>
      <w:r>
        <w:t>Russell</w:t>
      </w:r>
      <w:r>
        <w:rPr>
          <w:spacing w:val="-4"/>
        </w:rPr>
        <w:t xml:space="preserve"> </w:t>
      </w:r>
      <w:r>
        <w:rPr>
          <w:spacing w:val="-2"/>
        </w:rPr>
        <w:t>(1920).</w:t>
      </w:r>
    </w:p>
    <w:p w14:paraId="7E00303B" w14:textId="77777777" w:rsidR="009A58DB" w:rsidRDefault="00000000">
      <w:pPr>
        <w:pStyle w:val="BodyText"/>
        <w:tabs>
          <w:tab w:val="left" w:pos="1015"/>
        </w:tabs>
        <w:spacing w:before="120"/>
        <w:jc w:val="left"/>
      </w:pPr>
      <w:bookmarkStart w:id="711" w:name="_bookmark711"/>
      <w:bookmarkEnd w:id="711"/>
      <w:r>
        <w:rPr>
          <w:color w:val="0562C1"/>
          <w:spacing w:val="-2"/>
          <w:u w:val="single" w:color="0562C1"/>
          <w:vertAlign w:val="superscript"/>
        </w:rPr>
        <w:t>[58]</w:t>
      </w:r>
      <w:r>
        <w:rPr>
          <w:spacing w:val="-2"/>
          <w:sz w:val="22"/>
        </w:rPr>
        <w:t>.</w:t>
      </w:r>
      <w:r>
        <w:rPr>
          <w:sz w:val="22"/>
        </w:rPr>
        <w:tab/>
      </w:r>
      <w:r>
        <w:t>See</w:t>
      </w:r>
      <w:r>
        <w:rPr>
          <w:spacing w:val="-4"/>
        </w:rPr>
        <w:t xml:space="preserve"> </w:t>
      </w:r>
      <w:r>
        <w:t>Benacerraf</w:t>
      </w:r>
      <w:r>
        <w:rPr>
          <w:spacing w:val="-3"/>
        </w:rPr>
        <w:t xml:space="preserve"> </w:t>
      </w:r>
      <w:r>
        <w:t>(1965),</w:t>
      </w:r>
      <w:r>
        <w:rPr>
          <w:spacing w:val="-3"/>
        </w:rPr>
        <w:t xml:space="preserve"> </w:t>
      </w:r>
      <w:r>
        <w:t>Dretske</w:t>
      </w:r>
      <w:r>
        <w:rPr>
          <w:spacing w:val="-3"/>
        </w:rPr>
        <w:t xml:space="preserve"> </w:t>
      </w:r>
      <w:r>
        <w:t>(1982),</w:t>
      </w:r>
      <w:r>
        <w:rPr>
          <w:spacing w:val="-3"/>
        </w:rPr>
        <w:t xml:space="preserve"> </w:t>
      </w:r>
      <w:r>
        <w:t>and</w:t>
      </w:r>
      <w:r>
        <w:rPr>
          <w:spacing w:val="-2"/>
        </w:rPr>
        <w:t xml:space="preserve"> </w:t>
      </w:r>
      <w:r>
        <w:t>Fodor</w:t>
      </w:r>
      <w:r>
        <w:rPr>
          <w:spacing w:val="-4"/>
        </w:rPr>
        <w:t xml:space="preserve"> </w:t>
      </w:r>
      <w:r>
        <w:t>(1987,</w:t>
      </w:r>
      <w:r>
        <w:rPr>
          <w:spacing w:val="-2"/>
        </w:rPr>
        <w:t xml:space="preserve"> </w:t>
      </w:r>
      <w:r>
        <w:t>1990,</w:t>
      </w:r>
      <w:r>
        <w:rPr>
          <w:spacing w:val="-2"/>
        </w:rPr>
        <w:t xml:space="preserve"> 1998).</w:t>
      </w:r>
    </w:p>
    <w:p w14:paraId="7E00303C" w14:textId="77777777" w:rsidR="009A58DB" w:rsidRDefault="009A58DB">
      <w:pPr>
        <w:pStyle w:val="BodyText"/>
        <w:jc w:val="left"/>
        <w:sectPr w:rsidR="009A58DB">
          <w:pgSz w:w="12240" w:h="15840"/>
          <w:pgMar w:top="1380" w:right="1080" w:bottom="280" w:left="1080" w:header="720" w:footer="720" w:gutter="0"/>
          <w:cols w:space="720"/>
        </w:sectPr>
      </w:pPr>
    </w:p>
    <w:p w14:paraId="7E00303D" w14:textId="77777777" w:rsidR="009A58DB" w:rsidRDefault="00000000">
      <w:pPr>
        <w:pStyle w:val="BodyText"/>
        <w:tabs>
          <w:tab w:val="left" w:pos="1015"/>
        </w:tabs>
        <w:spacing w:before="190" w:line="249" w:lineRule="auto"/>
        <w:ind w:left="720" w:right="584" w:hanging="360"/>
        <w:jc w:val="left"/>
      </w:pPr>
      <w:bookmarkStart w:id="712" w:name="_bookmark712"/>
      <w:bookmarkEnd w:id="712"/>
      <w:r>
        <w:rPr>
          <w:color w:val="0562C1"/>
          <w:spacing w:val="-2"/>
          <w:u w:val="single" w:color="0562C1"/>
          <w:vertAlign w:val="superscript"/>
        </w:rPr>
        <w:t>[59]</w:t>
      </w:r>
      <w:r>
        <w:rPr>
          <w:spacing w:val="-2"/>
          <w:sz w:val="22"/>
        </w:rPr>
        <w:t>.</w:t>
      </w:r>
      <w:r>
        <w:rPr>
          <w:sz w:val="22"/>
        </w:rPr>
        <w:tab/>
      </w:r>
      <w:r>
        <w:t>Locke</w:t>
      </w:r>
      <w:r>
        <w:rPr>
          <w:spacing w:val="-5"/>
        </w:rPr>
        <w:t xml:space="preserve"> </w:t>
      </w:r>
      <w:r>
        <w:t>advocates</w:t>
      </w:r>
      <w:r>
        <w:rPr>
          <w:spacing w:val="-5"/>
        </w:rPr>
        <w:t xml:space="preserve"> </w:t>
      </w:r>
      <w:r>
        <w:t>this</w:t>
      </w:r>
      <w:r>
        <w:rPr>
          <w:spacing w:val="-5"/>
        </w:rPr>
        <w:t xml:space="preserve"> </w:t>
      </w:r>
      <w:r>
        <w:t>view.</w:t>
      </w:r>
      <w:r>
        <w:rPr>
          <w:spacing w:val="-4"/>
        </w:rPr>
        <w:t xml:space="preserve"> </w:t>
      </w:r>
      <w:r>
        <w:t>Many</w:t>
      </w:r>
      <w:r>
        <w:rPr>
          <w:spacing w:val="-4"/>
        </w:rPr>
        <w:t xml:space="preserve"> </w:t>
      </w:r>
      <w:r>
        <w:t>who</w:t>
      </w:r>
      <w:r>
        <w:rPr>
          <w:spacing w:val="-4"/>
        </w:rPr>
        <w:t xml:space="preserve"> </w:t>
      </w:r>
      <w:r>
        <w:t>do</w:t>
      </w:r>
      <w:r>
        <w:rPr>
          <w:spacing w:val="-4"/>
        </w:rPr>
        <w:t xml:space="preserve"> </w:t>
      </w:r>
      <w:r>
        <w:t>not</w:t>
      </w:r>
      <w:r>
        <w:rPr>
          <w:spacing w:val="-5"/>
        </w:rPr>
        <w:t xml:space="preserve"> </w:t>
      </w:r>
      <w:r>
        <w:t>explicitly</w:t>
      </w:r>
      <w:r>
        <w:rPr>
          <w:spacing w:val="-4"/>
        </w:rPr>
        <w:t xml:space="preserve"> </w:t>
      </w:r>
      <w:r>
        <w:t>advocate</w:t>
      </w:r>
      <w:r>
        <w:rPr>
          <w:spacing w:val="-5"/>
        </w:rPr>
        <w:t xml:space="preserve"> </w:t>
      </w:r>
      <w:r>
        <w:t>it</w:t>
      </w:r>
      <w:r>
        <w:rPr>
          <w:spacing w:val="-5"/>
        </w:rPr>
        <w:t xml:space="preserve"> </w:t>
      </w:r>
      <w:r>
        <w:t>are committed to it;</w:t>
      </w:r>
      <w:r>
        <w:rPr>
          <w:spacing w:val="-1"/>
        </w:rPr>
        <w:t xml:space="preserve"> </w:t>
      </w:r>
      <w:r>
        <w:t>in other</w:t>
      </w:r>
      <w:r>
        <w:rPr>
          <w:spacing w:val="-1"/>
        </w:rPr>
        <w:t xml:space="preserve"> </w:t>
      </w:r>
      <w:r>
        <w:t>words, the</w:t>
      </w:r>
      <w:r>
        <w:rPr>
          <w:spacing w:val="-1"/>
        </w:rPr>
        <w:t xml:space="preserve"> </w:t>
      </w:r>
      <w:r>
        <w:t>doctrines</w:t>
      </w:r>
      <w:r>
        <w:rPr>
          <w:spacing w:val="-1"/>
        </w:rPr>
        <w:t xml:space="preserve"> </w:t>
      </w:r>
      <w:r>
        <w:t>they do explicitly advocate are false unless conceptualism is true. Every form of empiricism presupposes the truth of conceptualism.</w:t>
      </w:r>
    </w:p>
    <w:p w14:paraId="7E00303E" w14:textId="77777777" w:rsidR="009A58DB" w:rsidRDefault="00000000">
      <w:pPr>
        <w:pStyle w:val="BodyText"/>
        <w:tabs>
          <w:tab w:val="left" w:pos="1015"/>
        </w:tabs>
        <w:spacing w:before="110"/>
        <w:jc w:val="left"/>
      </w:pPr>
      <w:bookmarkStart w:id="713" w:name="_bookmark713"/>
      <w:bookmarkEnd w:id="713"/>
      <w:r>
        <w:rPr>
          <w:color w:val="0562C1"/>
          <w:spacing w:val="-2"/>
          <w:u w:val="single" w:color="0562C1"/>
          <w:vertAlign w:val="superscript"/>
        </w:rPr>
        <w:t>[60]</w:t>
      </w:r>
      <w:r>
        <w:rPr>
          <w:spacing w:val="-2"/>
          <w:sz w:val="22"/>
        </w:rPr>
        <w:t>.</w:t>
      </w:r>
      <w:r>
        <w:rPr>
          <w:sz w:val="22"/>
        </w:rPr>
        <w:tab/>
      </w:r>
      <w:r>
        <w:t>This</w:t>
      </w:r>
      <w:r>
        <w:rPr>
          <w:spacing w:val="-6"/>
        </w:rPr>
        <w:t xml:space="preserve"> </w:t>
      </w:r>
      <w:r>
        <w:t>argument</w:t>
      </w:r>
      <w:r>
        <w:rPr>
          <w:spacing w:val="-4"/>
        </w:rPr>
        <w:t xml:space="preserve"> </w:t>
      </w:r>
      <w:r>
        <w:t>is</w:t>
      </w:r>
      <w:r>
        <w:rPr>
          <w:spacing w:val="-3"/>
        </w:rPr>
        <w:t xml:space="preserve"> </w:t>
      </w:r>
      <w:r>
        <w:t>given</w:t>
      </w:r>
      <w:r>
        <w:rPr>
          <w:spacing w:val="-3"/>
        </w:rPr>
        <w:t xml:space="preserve"> </w:t>
      </w:r>
      <w:r>
        <w:t>by</w:t>
      </w:r>
      <w:r>
        <w:rPr>
          <w:spacing w:val="-2"/>
        </w:rPr>
        <w:t xml:space="preserve"> </w:t>
      </w:r>
      <w:r>
        <w:t>George</w:t>
      </w:r>
      <w:r>
        <w:rPr>
          <w:spacing w:val="-4"/>
        </w:rPr>
        <w:t xml:space="preserve"> </w:t>
      </w:r>
      <w:r>
        <w:t>Berkeley</w:t>
      </w:r>
      <w:r>
        <w:rPr>
          <w:spacing w:val="-2"/>
        </w:rPr>
        <w:t xml:space="preserve"> (1710).</w:t>
      </w:r>
    </w:p>
    <w:p w14:paraId="7E00303F" w14:textId="77777777" w:rsidR="009A58DB" w:rsidRDefault="00000000">
      <w:pPr>
        <w:pStyle w:val="BodyText"/>
        <w:tabs>
          <w:tab w:val="left" w:pos="1015"/>
        </w:tabs>
        <w:spacing w:before="120" w:line="249" w:lineRule="auto"/>
        <w:ind w:left="720" w:right="683" w:hanging="360"/>
        <w:jc w:val="left"/>
      </w:pPr>
      <w:bookmarkStart w:id="714" w:name="_bookmark714"/>
      <w:bookmarkEnd w:id="714"/>
      <w:r>
        <w:rPr>
          <w:color w:val="0562C1"/>
          <w:spacing w:val="-2"/>
          <w:u w:val="single" w:color="0562C1"/>
          <w:vertAlign w:val="superscript"/>
        </w:rPr>
        <w:t>[61]</w:t>
      </w:r>
      <w:r>
        <w:rPr>
          <w:spacing w:val="-2"/>
          <w:sz w:val="22"/>
        </w:rPr>
        <w:t>.</w:t>
      </w:r>
      <w:r>
        <w:rPr>
          <w:sz w:val="22"/>
        </w:rPr>
        <w:tab/>
      </w:r>
      <w:r>
        <w:t>Ayer</w:t>
      </w:r>
      <w:r>
        <w:rPr>
          <w:spacing w:val="-4"/>
        </w:rPr>
        <w:t xml:space="preserve"> </w:t>
      </w:r>
      <w:r>
        <w:t>(1952)</w:t>
      </w:r>
      <w:r>
        <w:rPr>
          <w:spacing w:val="-4"/>
        </w:rPr>
        <w:t xml:space="preserve"> </w:t>
      </w:r>
      <w:r>
        <w:t>and</w:t>
      </w:r>
      <w:r>
        <w:rPr>
          <w:spacing w:val="-3"/>
        </w:rPr>
        <w:t xml:space="preserve"> </w:t>
      </w:r>
      <w:r>
        <w:t>Carnap</w:t>
      </w:r>
      <w:r>
        <w:rPr>
          <w:spacing w:val="-3"/>
        </w:rPr>
        <w:t xml:space="preserve"> </w:t>
      </w:r>
      <w:r>
        <w:t>(1934)</w:t>
      </w:r>
      <w:r>
        <w:rPr>
          <w:spacing w:val="-4"/>
        </w:rPr>
        <w:t xml:space="preserve"> </w:t>
      </w:r>
      <w:r>
        <w:t>give</w:t>
      </w:r>
      <w:r>
        <w:rPr>
          <w:spacing w:val="-4"/>
        </w:rPr>
        <w:t xml:space="preserve"> </w:t>
      </w:r>
      <w:r>
        <w:t>this</w:t>
      </w:r>
      <w:r>
        <w:rPr>
          <w:spacing w:val="-4"/>
        </w:rPr>
        <w:t xml:space="preserve"> </w:t>
      </w:r>
      <w:r>
        <w:t>argument,</w:t>
      </w:r>
      <w:r>
        <w:rPr>
          <w:spacing w:val="-3"/>
        </w:rPr>
        <w:t xml:space="preserve"> </w:t>
      </w:r>
      <w:r>
        <w:t>or</w:t>
      </w:r>
      <w:r>
        <w:rPr>
          <w:spacing w:val="-4"/>
        </w:rPr>
        <w:t xml:space="preserve"> </w:t>
      </w:r>
      <w:r>
        <w:t>at</w:t>
      </w:r>
      <w:r>
        <w:rPr>
          <w:spacing w:val="-4"/>
        </w:rPr>
        <w:t xml:space="preserve"> </w:t>
      </w:r>
      <w:r>
        <w:t>least</w:t>
      </w:r>
      <w:r>
        <w:rPr>
          <w:spacing w:val="-4"/>
        </w:rPr>
        <w:t xml:space="preserve"> </w:t>
      </w:r>
      <w:r>
        <w:t>assume its cogency.</w:t>
      </w:r>
    </w:p>
    <w:p w14:paraId="7E003040" w14:textId="77777777" w:rsidR="009A58DB" w:rsidRDefault="00000000">
      <w:pPr>
        <w:pStyle w:val="BodyText"/>
        <w:tabs>
          <w:tab w:val="left" w:pos="1015"/>
        </w:tabs>
        <w:spacing w:before="107"/>
        <w:jc w:val="left"/>
      </w:pPr>
      <w:bookmarkStart w:id="715" w:name="_bookmark715"/>
      <w:bookmarkEnd w:id="715"/>
      <w:r>
        <w:rPr>
          <w:color w:val="0562C1"/>
          <w:spacing w:val="-2"/>
          <w:u w:val="single" w:color="0562C1"/>
          <w:vertAlign w:val="superscript"/>
        </w:rPr>
        <w:t>[62]</w:t>
      </w:r>
      <w:r>
        <w:rPr>
          <w:spacing w:val="-2"/>
          <w:sz w:val="22"/>
        </w:rPr>
        <w:t>.</w:t>
      </w:r>
      <w:r>
        <w:rPr>
          <w:sz w:val="22"/>
        </w:rPr>
        <w:tab/>
      </w:r>
      <w:r>
        <w:t>The</w:t>
      </w:r>
      <w:r>
        <w:rPr>
          <w:spacing w:val="-5"/>
        </w:rPr>
        <w:t xml:space="preserve"> </w:t>
      </w:r>
      <w:r>
        <w:t>argument</w:t>
      </w:r>
      <w:r>
        <w:rPr>
          <w:spacing w:val="-2"/>
        </w:rPr>
        <w:t xml:space="preserve"> </w:t>
      </w:r>
      <w:r>
        <w:t>about</w:t>
      </w:r>
      <w:r>
        <w:rPr>
          <w:spacing w:val="-3"/>
        </w:rPr>
        <w:t xml:space="preserve"> </w:t>
      </w:r>
      <w:r>
        <w:t>to</w:t>
      </w:r>
      <w:r>
        <w:rPr>
          <w:spacing w:val="-1"/>
        </w:rPr>
        <w:t xml:space="preserve"> </w:t>
      </w:r>
      <w:r>
        <w:t>be</w:t>
      </w:r>
      <w:r>
        <w:rPr>
          <w:spacing w:val="-2"/>
        </w:rPr>
        <w:t xml:space="preserve"> </w:t>
      </w:r>
      <w:r>
        <w:t>given</w:t>
      </w:r>
      <w:r>
        <w:rPr>
          <w:spacing w:val="-2"/>
        </w:rPr>
        <w:t xml:space="preserve"> </w:t>
      </w:r>
      <w:r>
        <w:t>was</w:t>
      </w:r>
      <w:r>
        <w:rPr>
          <w:spacing w:val="-2"/>
        </w:rPr>
        <w:t xml:space="preserve"> </w:t>
      </w:r>
      <w:r>
        <w:t>put</w:t>
      </w:r>
      <w:r>
        <w:rPr>
          <w:spacing w:val="-3"/>
        </w:rPr>
        <w:t xml:space="preserve"> </w:t>
      </w:r>
      <w:r>
        <w:t>forth</w:t>
      </w:r>
      <w:r>
        <w:rPr>
          <w:spacing w:val="-1"/>
        </w:rPr>
        <w:t xml:space="preserve"> </w:t>
      </w:r>
      <w:r>
        <w:t>by</w:t>
      </w:r>
      <w:r>
        <w:rPr>
          <w:spacing w:val="-1"/>
        </w:rPr>
        <w:t xml:space="preserve"> </w:t>
      </w:r>
      <w:r>
        <w:rPr>
          <w:spacing w:val="-2"/>
        </w:rPr>
        <w:t>Quine.</w:t>
      </w:r>
    </w:p>
    <w:p w14:paraId="7E003041" w14:textId="77777777" w:rsidR="009A58DB" w:rsidRDefault="00000000">
      <w:pPr>
        <w:pStyle w:val="BodyText"/>
        <w:tabs>
          <w:tab w:val="left" w:pos="1015"/>
        </w:tabs>
        <w:spacing w:before="120"/>
        <w:jc w:val="left"/>
      </w:pPr>
      <w:bookmarkStart w:id="716" w:name="_bookmark716"/>
      <w:bookmarkEnd w:id="716"/>
      <w:r>
        <w:rPr>
          <w:color w:val="0562C1"/>
          <w:spacing w:val="-2"/>
          <w:u w:val="single" w:color="0562C1"/>
          <w:vertAlign w:val="superscript"/>
        </w:rPr>
        <w:t>[63]</w:t>
      </w:r>
      <w:r>
        <w:rPr>
          <w:spacing w:val="-2"/>
          <w:sz w:val="22"/>
        </w:rPr>
        <w:t>.</w:t>
      </w:r>
      <w:r>
        <w:rPr>
          <w:sz w:val="22"/>
        </w:rPr>
        <w:tab/>
      </w:r>
      <w:r>
        <w:t>Quine</w:t>
      </w:r>
      <w:r>
        <w:rPr>
          <w:spacing w:val="-4"/>
        </w:rPr>
        <w:t xml:space="preserve"> </w:t>
      </w:r>
      <w:r>
        <w:t>(1966)</w:t>
      </w:r>
      <w:r>
        <w:rPr>
          <w:spacing w:val="-3"/>
        </w:rPr>
        <w:t xml:space="preserve"> </w:t>
      </w:r>
      <w:r>
        <w:t>gives</w:t>
      </w:r>
      <w:r>
        <w:rPr>
          <w:spacing w:val="-3"/>
        </w:rPr>
        <w:t xml:space="preserve"> </w:t>
      </w:r>
      <w:r>
        <w:t>a</w:t>
      </w:r>
      <w:r>
        <w:rPr>
          <w:spacing w:val="-3"/>
        </w:rPr>
        <w:t xml:space="preserve"> </w:t>
      </w:r>
      <w:r>
        <w:t>similar</w:t>
      </w:r>
      <w:r>
        <w:rPr>
          <w:spacing w:val="-3"/>
        </w:rPr>
        <w:t xml:space="preserve"> </w:t>
      </w:r>
      <w:r>
        <w:rPr>
          <w:spacing w:val="-2"/>
        </w:rPr>
        <w:t>argument.</w:t>
      </w:r>
    </w:p>
    <w:p w14:paraId="7E003042" w14:textId="77777777" w:rsidR="009A58DB" w:rsidRDefault="00000000">
      <w:pPr>
        <w:pStyle w:val="BodyText"/>
        <w:tabs>
          <w:tab w:val="left" w:pos="1015"/>
        </w:tabs>
        <w:spacing w:before="120" w:line="249" w:lineRule="auto"/>
        <w:ind w:left="720" w:right="422" w:hanging="360"/>
        <w:jc w:val="left"/>
      </w:pPr>
      <w:bookmarkStart w:id="717" w:name="_bookmark717"/>
      <w:bookmarkEnd w:id="717"/>
      <w:r>
        <w:rPr>
          <w:color w:val="0562C1"/>
          <w:spacing w:val="-2"/>
          <w:u w:val="single" w:color="0562C1"/>
          <w:vertAlign w:val="superscript"/>
        </w:rPr>
        <w:t>[64]</w:t>
      </w:r>
      <w:r>
        <w:rPr>
          <w:spacing w:val="-2"/>
          <w:sz w:val="22"/>
        </w:rPr>
        <w:t>.</w:t>
      </w:r>
      <w:r>
        <w:rPr>
          <w:sz w:val="22"/>
        </w:rPr>
        <w:tab/>
      </w:r>
      <w:r>
        <w:t>C.S.</w:t>
      </w:r>
      <w:r>
        <w:rPr>
          <w:spacing w:val="-3"/>
        </w:rPr>
        <w:t xml:space="preserve"> </w:t>
      </w:r>
      <w:r>
        <w:t>Peirce</w:t>
      </w:r>
      <w:r>
        <w:rPr>
          <w:spacing w:val="-4"/>
        </w:rPr>
        <w:t xml:space="preserve"> </w:t>
      </w:r>
      <w:r>
        <w:t>puts</w:t>
      </w:r>
      <w:r>
        <w:rPr>
          <w:spacing w:val="-4"/>
        </w:rPr>
        <w:t xml:space="preserve"> </w:t>
      </w:r>
      <w:r>
        <w:t>forth</w:t>
      </w:r>
      <w:r>
        <w:rPr>
          <w:spacing w:val="-3"/>
        </w:rPr>
        <w:t xml:space="preserve"> </w:t>
      </w:r>
      <w:r>
        <w:t>a</w:t>
      </w:r>
      <w:r>
        <w:rPr>
          <w:spacing w:val="-4"/>
        </w:rPr>
        <w:t xml:space="preserve"> </w:t>
      </w:r>
      <w:r>
        <w:t>similar</w:t>
      </w:r>
      <w:r>
        <w:rPr>
          <w:spacing w:val="-4"/>
        </w:rPr>
        <w:t xml:space="preserve"> </w:t>
      </w:r>
      <w:r>
        <w:t>argument</w:t>
      </w:r>
      <w:r>
        <w:rPr>
          <w:spacing w:val="-4"/>
        </w:rPr>
        <w:t xml:space="preserve"> </w:t>
      </w:r>
      <w:r>
        <w:t>and</w:t>
      </w:r>
      <w:r>
        <w:rPr>
          <w:spacing w:val="-3"/>
        </w:rPr>
        <w:t xml:space="preserve"> </w:t>
      </w:r>
      <w:r>
        <w:t>was</w:t>
      </w:r>
      <w:r>
        <w:rPr>
          <w:spacing w:val="-4"/>
        </w:rPr>
        <w:t xml:space="preserve"> </w:t>
      </w:r>
      <w:r>
        <w:t>the</w:t>
      </w:r>
      <w:r>
        <w:rPr>
          <w:spacing w:val="-4"/>
        </w:rPr>
        <w:t xml:space="preserve"> </w:t>
      </w:r>
      <w:r>
        <w:t>first</w:t>
      </w:r>
      <w:r>
        <w:rPr>
          <w:spacing w:val="-4"/>
        </w:rPr>
        <w:t xml:space="preserve"> </w:t>
      </w:r>
      <w:r>
        <w:t>person,</w:t>
      </w:r>
      <w:r>
        <w:rPr>
          <w:spacing w:val="-3"/>
        </w:rPr>
        <w:t xml:space="preserve"> </w:t>
      </w:r>
      <w:r>
        <w:t>so</w:t>
      </w:r>
      <w:r>
        <w:rPr>
          <w:spacing w:val="-3"/>
        </w:rPr>
        <w:t xml:space="preserve"> </w:t>
      </w:r>
      <w:r>
        <w:t>far as I know, to use the words “type” and “token” in this way.</w:t>
      </w:r>
    </w:p>
    <w:p w14:paraId="7E003043" w14:textId="77777777" w:rsidR="009A58DB" w:rsidRDefault="00000000">
      <w:pPr>
        <w:pStyle w:val="BodyText"/>
        <w:tabs>
          <w:tab w:val="left" w:pos="1015"/>
        </w:tabs>
        <w:spacing w:before="108" w:line="249" w:lineRule="auto"/>
        <w:ind w:left="720" w:right="539" w:hanging="360"/>
        <w:jc w:val="left"/>
      </w:pPr>
      <w:bookmarkStart w:id="718" w:name="_bookmark718"/>
      <w:bookmarkEnd w:id="718"/>
      <w:r>
        <w:rPr>
          <w:color w:val="0562C1"/>
          <w:spacing w:val="-2"/>
          <w:u w:val="single" w:color="0562C1"/>
          <w:vertAlign w:val="superscript"/>
        </w:rPr>
        <w:t>[65]</w:t>
      </w:r>
      <w:r>
        <w:rPr>
          <w:spacing w:val="-2"/>
          <w:sz w:val="22"/>
        </w:rPr>
        <w:t>.</w:t>
      </w:r>
      <w:r>
        <w:rPr>
          <w:sz w:val="22"/>
        </w:rPr>
        <w:tab/>
      </w:r>
      <w:r>
        <w:t>In any case, anything that is in space-time is an actualized possibility. But</w:t>
      </w:r>
      <w:r>
        <w:rPr>
          <w:spacing w:val="-5"/>
        </w:rPr>
        <w:t xml:space="preserve"> </w:t>
      </w:r>
      <w:r>
        <w:t>not</w:t>
      </w:r>
      <w:r>
        <w:rPr>
          <w:spacing w:val="-5"/>
        </w:rPr>
        <w:t xml:space="preserve"> </w:t>
      </w:r>
      <w:r>
        <w:t>all</w:t>
      </w:r>
      <w:r>
        <w:rPr>
          <w:spacing w:val="-5"/>
        </w:rPr>
        <w:t xml:space="preserve"> </w:t>
      </w:r>
      <w:r>
        <w:t>actualized</w:t>
      </w:r>
      <w:r>
        <w:rPr>
          <w:spacing w:val="-4"/>
        </w:rPr>
        <w:t xml:space="preserve"> </w:t>
      </w:r>
      <w:r>
        <w:t>possibilities</w:t>
      </w:r>
      <w:r>
        <w:rPr>
          <w:spacing w:val="-5"/>
        </w:rPr>
        <w:t xml:space="preserve"> </w:t>
      </w:r>
      <w:r>
        <w:t>are</w:t>
      </w:r>
      <w:r>
        <w:rPr>
          <w:spacing w:val="-5"/>
        </w:rPr>
        <w:t xml:space="preserve"> </w:t>
      </w:r>
      <w:r>
        <w:t>in</w:t>
      </w:r>
      <w:r>
        <w:rPr>
          <w:spacing w:val="-4"/>
        </w:rPr>
        <w:t xml:space="preserve"> </w:t>
      </w:r>
      <w:r>
        <w:t>space-time.</w:t>
      </w:r>
      <w:r>
        <w:rPr>
          <w:spacing w:val="-4"/>
        </w:rPr>
        <w:t xml:space="preserve"> </w:t>
      </w:r>
      <w:r>
        <w:t>The</w:t>
      </w:r>
      <w:r>
        <w:rPr>
          <w:spacing w:val="-5"/>
        </w:rPr>
        <w:t xml:space="preserve"> </w:t>
      </w:r>
      <w:r>
        <w:t>number</w:t>
      </w:r>
      <w:r>
        <w:rPr>
          <w:spacing w:val="-5"/>
        </w:rPr>
        <w:t xml:space="preserve"> </w:t>
      </w:r>
      <w:r>
        <w:t>two,</w:t>
      </w:r>
      <w:r>
        <w:rPr>
          <w:spacing w:val="-4"/>
        </w:rPr>
        <w:t xml:space="preserve"> </w:t>
      </w:r>
      <w:r>
        <w:t>for example, is an instance of the property of being even, and is thus an actualization of the possibility of there being even numbers. But the number two is not in space-time.</w:t>
      </w:r>
    </w:p>
    <w:p w14:paraId="7E003044" w14:textId="77777777" w:rsidR="009A58DB" w:rsidRDefault="00000000">
      <w:pPr>
        <w:pStyle w:val="BodyText"/>
        <w:spacing w:line="252" w:lineRule="auto"/>
        <w:ind w:left="720" w:right="361" w:hanging="360"/>
      </w:pPr>
      <w:bookmarkStart w:id="719" w:name="_bookmark719"/>
      <w:bookmarkEnd w:id="719"/>
      <w:r>
        <w:rPr>
          <w:color w:val="0562C1"/>
          <w:position w:val="24"/>
          <w:sz w:val="34"/>
          <w:u w:val="single" w:color="0562C1"/>
        </w:rPr>
        <w:t>[66]</w:t>
      </w:r>
      <w:r>
        <w:rPr>
          <w:sz w:val="34"/>
        </w:rPr>
        <w:t>.</w:t>
      </w:r>
      <w:r>
        <w:rPr>
          <w:spacing w:val="40"/>
          <w:sz w:val="34"/>
        </w:rPr>
        <w:t xml:space="preserve">  </w:t>
      </w:r>
      <w:r>
        <w:t>This chapter is very hard. During a first reading of this book, only read through Section 2.2.</w:t>
      </w:r>
    </w:p>
    <w:p w14:paraId="7E003045" w14:textId="77777777" w:rsidR="009A58DB" w:rsidRDefault="00000000">
      <w:pPr>
        <w:pStyle w:val="BodyText"/>
        <w:spacing w:line="252" w:lineRule="auto"/>
        <w:ind w:left="720" w:right="365" w:hanging="360"/>
      </w:pPr>
      <w:bookmarkStart w:id="720" w:name="_bookmark720"/>
      <w:bookmarkEnd w:id="720"/>
      <w:r>
        <w:rPr>
          <w:color w:val="0562C1"/>
          <w:position w:val="24"/>
          <w:sz w:val="34"/>
          <w:u w:val="single" w:color="0562C1"/>
        </w:rPr>
        <w:t>[67]</w:t>
      </w:r>
      <w:r>
        <w:rPr>
          <w:sz w:val="34"/>
        </w:rPr>
        <w:t>.</w:t>
      </w:r>
      <w:r>
        <w:rPr>
          <w:spacing w:val="80"/>
          <w:w w:val="150"/>
          <w:sz w:val="34"/>
        </w:rPr>
        <w:t xml:space="preserve"> </w:t>
      </w:r>
      <w:r>
        <w:t>For expository simplicity, we’re leaving aside niceties relating to tense-markers and place-indicators.</w:t>
      </w:r>
    </w:p>
    <w:p w14:paraId="7E003046" w14:textId="77777777" w:rsidR="009A58DB" w:rsidRDefault="00000000">
      <w:pPr>
        <w:pStyle w:val="BodyText"/>
        <w:spacing w:line="252" w:lineRule="auto"/>
        <w:ind w:left="720" w:right="358" w:hanging="360"/>
      </w:pPr>
      <w:bookmarkStart w:id="721" w:name="_bookmark721"/>
      <w:bookmarkEnd w:id="721"/>
      <w:r>
        <w:rPr>
          <w:color w:val="0562C1"/>
          <w:position w:val="24"/>
          <w:sz w:val="34"/>
          <w:u w:val="single" w:color="0562C1"/>
        </w:rPr>
        <w:t>[68]</w:t>
      </w:r>
      <w:r>
        <w:rPr>
          <w:sz w:val="34"/>
        </w:rPr>
        <w:t>.</w:t>
      </w:r>
      <w:r>
        <w:rPr>
          <w:spacing w:val="80"/>
          <w:sz w:val="34"/>
        </w:rPr>
        <w:t xml:space="preserve"> </w:t>
      </w:r>
      <w:r>
        <w:t xml:space="preserve">Brandom (1994) holds this view. See Fodor and Lepore (2002) for some incisive criticisms of this view. This view, then, is not completely </w:t>
      </w:r>
      <w:r>
        <w:rPr>
          <w:spacing w:val="-2"/>
        </w:rPr>
        <w:t>anachronistic.</w:t>
      </w:r>
    </w:p>
    <w:p w14:paraId="7E003047" w14:textId="77777777" w:rsidR="009A58DB" w:rsidRDefault="00000000">
      <w:pPr>
        <w:tabs>
          <w:tab w:val="left" w:pos="1279"/>
        </w:tabs>
        <w:spacing w:line="621" w:lineRule="exact"/>
        <w:ind w:left="360"/>
        <w:rPr>
          <w:sz w:val="30"/>
        </w:rPr>
      </w:pPr>
      <w:bookmarkStart w:id="722" w:name="_bookmark722"/>
      <w:bookmarkEnd w:id="722"/>
      <w:r>
        <w:rPr>
          <w:color w:val="0562C1"/>
          <w:spacing w:val="-2"/>
          <w:position w:val="24"/>
          <w:sz w:val="34"/>
          <w:u w:val="single" w:color="0562C1"/>
        </w:rPr>
        <w:t>[69]</w:t>
      </w:r>
      <w:r>
        <w:rPr>
          <w:spacing w:val="-2"/>
          <w:sz w:val="34"/>
        </w:rPr>
        <w:t>.</w:t>
      </w:r>
      <w:r>
        <w:rPr>
          <w:sz w:val="34"/>
        </w:rPr>
        <w:tab/>
      </w:r>
      <w:r>
        <w:rPr>
          <w:sz w:val="30"/>
        </w:rPr>
        <w:t>Cf.</w:t>
      </w:r>
      <w:r>
        <w:rPr>
          <w:spacing w:val="-4"/>
          <w:sz w:val="30"/>
        </w:rPr>
        <w:t xml:space="preserve"> </w:t>
      </w:r>
      <w:r>
        <w:rPr>
          <w:sz w:val="30"/>
        </w:rPr>
        <w:t>Lewis</w:t>
      </w:r>
      <w:r>
        <w:rPr>
          <w:spacing w:val="-3"/>
          <w:sz w:val="30"/>
        </w:rPr>
        <w:t xml:space="preserve"> </w:t>
      </w:r>
      <w:r>
        <w:rPr>
          <w:spacing w:val="-2"/>
          <w:sz w:val="30"/>
        </w:rPr>
        <w:t>(1986).</w:t>
      </w:r>
    </w:p>
    <w:p w14:paraId="7E003048" w14:textId="77777777" w:rsidR="009A58DB" w:rsidRDefault="00000000">
      <w:pPr>
        <w:pStyle w:val="BodyText"/>
        <w:tabs>
          <w:tab w:val="left" w:pos="1279"/>
        </w:tabs>
        <w:jc w:val="left"/>
      </w:pPr>
      <w:bookmarkStart w:id="723" w:name="_bookmark723"/>
      <w:bookmarkEnd w:id="723"/>
      <w:r>
        <w:rPr>
          <w:color w:val="0562C1"/>
          <w:spacing w:val="-2"/>
          <w:position w:val="24"/>
          <w:sz w:val="34"/>
          <w:u w:val="single" w:color="0562C1"/>
        </w:rPr>
        <w:t>[70]</w:t>
      </w:r>
      <w:r>
        <w:rPr>
          <w:spacing w:val="-2"/>
          <w:sz w:val="34"/>
        </w:rPr>
        <w:t>.</w:t>
      </w:r>
      <w:r>
        <w:rPr>
          <w:sz w:val="34"/>
        </w:rPr>
        <w:tab/>
      </w:r>
      <w:r>
        <w:t>Cf.</w:t>
      </w:r>
      <w:r>
        <w:rPr>
          <w:spacing w:val="-2"/>
        </w:rPr>
        <w:t xml:space="preserve"> </w:t>
      </w:r>
      <w:r>
        <w:t>Quine</w:t>
      </w:r>
      <w:r>
        <w:rPr>
          <w:spacing w:val="-2"/>
        </w:rPr>
        <w:t xml:space="preserve"> </w:t>
      </w:r>
      <w:r>
        <w:t>(1960)</w:t>
      </w:r>
      <w:r>
        <w:rPr>
          <w:spacing w:val="-3"/>
        </w:rPr>
        <w:t xml:space="preserve"> </w:t>
      </w:r>
      <w:r>
        <w:t>and</w:t>
      </w:r>
      <w:r>
        <w:rPr>
          <w:spacing w:val="-1"/>
        </w:rPr>
        <w:t xml:space="preserve"> </w:t>
      </w:r>
      <w:r>
        <w:rPr>
          <w:spacing w:val="-2"/>
        </w:rPr>
        <w:t>(1981).</w:t>
      </w:r>
    </w:p>
    <w:p w14:paraId="7E003049" w14:textId="77777777" w:rsidR="009A58DB" w:rsidRDefault="00000000">
      <w:pPr>
        <w:pStyle w:val="BodyText"/>
        <w:spacing w:before="23"/>
        <w:jc w:val="left"/>
      </w:pPr>
      <w:bookmarkStart w:id="724" w:name="_bookmark724"/>
      <w:bookmarkEnd w:id="724"/>
      <w:r>
        <w:rPr>
          <w:color w:val="0562C1"/>
          <w:position w:val="19"/>
          <w:u w:val="single" w:color="0562C1"/>
        </w:rPr>
        <w:t>[71]</w:t>
      </w:r>
      <w:r>
        <w:t>.</w:t>
      </w:r>
      <w:r>
        <w:rPr>
          <w:spacing w:val="-6"/>
        </w:rPr>
        <w:t xml:space="preserve"> </w:t>
      </w:r>
      <w:r>
        <w:t>See</w:t>
      </w:r>
      <w:r>
        <w:rPr>
          <w:spacing w:val="-5"/>
        </w:rPr>
        <w:t xml:space="preserve"> </w:t>
      </w:r>
      <w:r>
        <w:t>Grice’s</w:t>
      </w:r>
      <w:r>
        <w:rPr>
          <w:spacing w:val="-5"/>
        </w:rPr>
        <w:t xml:space="preserve"> </w:t>
      </w:r>
      <w:r>
        <w:t>classic</w:t>
      </w:r>
      <w:r>
        <w:rPr>
          <w:spacing w:val="-5"/>
        </w:rPr>
        <w:t xml:space="preserve"> </w:t>
      </w:r>
      <w:r>
        <w:t>(1957)</w:t>
      </w:r>
      <w:r>
        <w:rPr>
          <w:spacing w:val="-5"/>
        </w:rPr>
        <w:t xml:space="preserve"> </w:t>
      </w:r>
      <w:r>
        <w:t>article</w:t>
      </w:r>
      <w:r>
        <w:rPr>
          <w:spacing w:val="-4"/>
        </w:rPr>
        <w:t xml:space="preserve"> </w:t>
      </w:r>
      <w:r>
        <w:rPr>
          <w:spacing w:val="-2"/>
        </w:rPr>
        <w:t>“Meaning.”</w:t>
      </w:r>
    </w:p>
    <w:p w14:paraId="7E00304A" w14:textId="77777777" w:rsidR="009A58DB" w:rsidRDefault="00000000">
      <w:pPr>
        <w:pStyle w:val="BodyText"/>
        <w:spacing w:before="20" w:line="249" w:lineRule="auto"/>
        <w:ind w:left="720" w:right="470" w:hanging="360"/>
      </w:pPr>
      <w:bookmarkStart w:id="725" w:name="_bookmark725"/>
      <w:bookmarkEnd w:id="725"/>
      <w:r>
        <w:rPr>
          <w:color w:val="0562C1"/>
          <w:position w:val="19"/>
          <w:u w:val="single" w:color="0562C1"/>
        </w:rPr>
        <w:t>[72]</w:t>
      </w:r>
      <w:r>
        <w:t>.</w:t>
      </w:r>
      <w:r>
        <w:rPr>
          <w:spacing w:val="-1"/>
        </w:rPr>
        <w:t xml:space="preserve"> </w:t>
      </w:r>
      <w:r>
        <w:t>In</w:t>
      </w:r>
      <w:r>
        <w:rPr>
          <w:spacing w:val="-1"/>
        </w:rPr>
        <w:t xml:space="preserve"> </w:t>
      </w:r>
      <w:r>
        <w:t>this</w:t>
      </w:r>
      <w:r>
        <w:rPr>
          <w:spacing w:val="-2"/>
        </w:rPr>
        <w:t xml:space="preserve"> </w:t>
      </w:r>
      <w:r>
        <w:t>context,</w:t>
      </w:r>
      <w:r>
        <w:rPr>
          <w:spacing w:val="-1"/>
        </w:rPr>
        <w:t xml:space="preserve"> </w:t>
      </w:r>
      <w:r>
        <w:t>the</w:t>
      </w:r>
      <w:r>
        <w:rPr>
          <w:spacing w:val="-2"/>
        </w:rPr>
        <w:t xml:space="preserve"> </w:t>
      </w:r>
      <w:r>
        <w:t>word</w:t>
      </w:r>
      <w:r>
        <w:rPr>
          <w:spacing w:val="-1"/>
        </w:rPr>
        <w:t xml:space="preserve"> </w:t>
      </w:r>
      <w:r>
        <w:t>“people”</w:t>
      </w:r>
      <w:r>
        <w:rPr>
          <w:spacing w:val="-2"/>
        </w:rPr>
        <w:t xml:space="preserve"> </w:t>
      </w:r>
      <w:r>
        <w:t>is</w:t>
      </w:r>
      <w:r>
        <w:rPr>
          <w:spacing w:val="-2"/>
        </w:rPr>
        <w:t xml:space="preserve"> </w:t>
      </w:r>
      <w:r>
        <w:t>meant</w:t>
      </w:r>
      <w:r>
        <w:rPr>
          <w:spacing w:val="-2"/>
        </w:rPr>
        <w:t xml:space="preserve"> </w:t>
      </w:r>
      <w:r>
        <w:t>to</w:t>
      </w:r>
      <w:r>
        <w:rPr>
          <w:spacing w:val="-1"/>
        </w:rPr>
        <w:t xml:space="preserve"> </w:t>
      </w:r>
      <w:r>
        <w:t>refer</w:t>
      </w:r>
      <w:r>
        <w:rPr>
          <w:spacing w:val="-2"/>
        </w:rPr>
        <w:t xml:space="preserve"> </w:t>
      </w:r>
      <w:r>
        <w:t>to</w:t>
      </w:r>
      <w:r>
        <w:rPr>
          <w:spacing w:val="-1"/>
        </w:rPr>
        <w:t xml:space="preserve"> </w:t>
      </w:r>
      <w:r>
        <w:t>sentient</w:t>
      </w:r>
      <w:r>
        <w:rPr>
          <w:spacing w:val="-2"/>
        </w:rPr>
        <w:t xml:space="preserve"> </w:t>
      </w:r>
      <w:r>
        <w:t>creatures of</w:t>
      </w:r>
      <w:r>
        <w:rPr>
          <w:spacing w:val="-6"/>
        </w:rPr>
        <w:t xml:space="preserve"> </w:t>
      </w:r>
      <w:r>
        <w:t>any</w:t>
      </w:r>
      <w:r>
        <w:rPr>
          <w:spacing w:val="-2"/>
        </w:rPr>
        <w:t xml:space="preserve"> </w:t>
      </w:r>
      <w:r>
        <w:t>kind—Martians,</w:t>
      </w:r>
      <w:r>
        <w:rPr>
          <w:spacing w:val="-2"/>
        </w:rPr>
        <w:t xml:space="preserve"> </w:t>
      </w:r>
      <w:r>
        <w:t>dolphins,</w:t>
      </w:r>
      <w:r>
        <w:rPr>
          <w:spacing w:val="-3"/>
        </w:rPr>
        <w:t xml:space="preserve"> </w:t>
      </w:r>
      <w:r>
        <w:t>etc.</w:t>
      </w:r>
      <w:r>
        <w:rPr>
          <w:spacing w:val="-2"/>
        </w:rPr>
        <w:t xml:space="preserve"> </w:t>
      </w:r>
      <w:r>
        <w:t>I</w:t>
      </w:r>
      <w:r>
        <w:rPr>
          <w:spacing w:val="-4"/>
        </w:rPr>
        <w:t xml:space="preserve"> </w:t>
      </w:r>
      <w:r>
        <w:t>wish</w:t>
      </w:r>
      <w:r>
        <w:rPr>
          <w:spacing w:val="-2"/>
        </w:rPr>
        <w:t xml:space="preserve"> </w:t>
      </w:r>
      <w:r>
        <w:t>to</w:t>
      </w:r>
      <w:r>
        <w:rPr>
          <w:spacing w:val="-2"/>
        </w:rPr>
        <w:t xml:space="preserve"> </w:t>
      </w:r>
      <w:r>
        <w:t>leave</w:t>
      </w:r>
      <w:r>
        <w:rPr>
          <w:spacing w:val="-4"/>
        </w:rPr>
        <w:t xml:space="preserve"> </w:t>
      </w:r>
      <w:r>
        <w:t>it</w:t>
      </w:r>
      <w:r>
        <w:rPr>
          <w:spacing w:val="-3"/>
        </w:rPr>
        <w:t xml:space="preserve"> </w:t>
      </w:r>
      <w:r>
        <w:t>open</w:t>
      </w:r>
      <w:r>
        <w:rPr>
          <w:spacing w:val="-2"/>
        </w:rPr>
        <w:t xml:space="preserve"> </w:t>
      </w:r>
      <w:r>
        <w:t>whether</w:t>
      </w:r>
      <w:r>
        <w:rPr>
          <w:spacing w:val="-3"/>
        </w:rPr>
        <w:t xml:space="preserve"> </w:t>
      </w:r>
      <w:r>
        <w:rPr>
          <w:spacing w:val="-4"/>
        </w:rPr>
        <w:t>non-</w:t>
      </w:r>
    </w:p>
    <w:p w14:paraId="7E00304B" w14:textId="77777777" w:rsidR="009A58DB" w:rsidRDefault="009A58DB">
      <w:pPr>
        <w:pStyle w:val="BodyText"/>
        <w:spacing w:line="249" w:lineRule="auto"/>
        <w:sectPr w:rsidR="009A58DB">
          <w:pgSz w:w="12240" w:h="15840"/>
          <w:pgMar w:top="1360" w:right="1080" w:bottom="280" w:left="1080" w:header="720" w:footer="720" w:gutter="0"/>
          <w:cols w:space="720"/>
        </w:sectPr>
      </w:pPr>
    </w:p>
    <w:p w14:paraId="7E00304C" w14:textId="77777777" w:rsidR="009A58DB" w:rsidRDefault="00000000">
      <w:pPr>
        <w:pStyle w:val="BodyText"/>
        <w:spacing w:before="65"/>
        <w:ind w:left="720"/>
        <w:jc w:val="left"/>
      </w:pPr>
      <w:r>
        <w:t>human</w:t>
      </w:r>
      <w:r>
        <w:rPr>
          <w:spacing w:val="-6"/>
        </w:rPr>
        <w:t xml:space="preserve"> </w:t>
      </w:r>
      <w:r>
        <w:t>creatures</w:t>
      </w:r>
      <w:r>
        <w:rPr>
          <w:spacing w:val="-5"/>
        </w:rPr>
        <w:t xml:space="preserve"> </w:t>
      </w:r>
      <w:r>
        <w:t>have</w:t>
      </w:r>
      <w:r>
        <w:rPr>
          <w:spacing w:val="-4"/>
        </w:rPr>
        <w:t xml:space="preserve"> </w:t>
      </w:r>
      <w:r>
        <w:t>conventions</w:t>
      </w:r>
      <w:r>
        <w:rPr>
          <w:spacing w:val="-5"/>
        </w:rPr>
        <w:t xml:space="preserve"> </w:t>
      </w:r>
      <w:r>
        <w:t>or,</w:t>
      </w:r>
      <w:r>
        <w:rPr>
          <w:spacing w:val="-4"/>
        </w:rPr>
        <w:t xml:space="preserve"> </w:t>
      </w:r>
      <w:r>
        <w:t>therefore,</w:t>
      </w:r>
      <w:r>
        <w:rPr>
          <w:spacing w:val="-3"/>
        </w:rPr>
        <w:t xml:space="preserve"> </w:t>
      </w:r>
      <w:r>
        <w:rPr>
          <w:spacing w:val="-2"/>
        </w:rPr>
        <w:t>languages.</w:t>
      </w:r>
    </w:p>
    <w:p w14:paraId="7E00304D" w14:textId="77777777" w:rsidR="009A58DB" w:rsidRDefault="00000000">
      <w:pPr>
        <w:pStyle w:val="BodyText"/>
        <w:spacing w:before="20" w:line="249" w:lineRule="auto"/>
        <w:ind w:left="720" w:right="365" w:hanging="360"/>
        <w:jc w:val="left"/>
      </w:pPr>
      <w:bookmarkStart w:id="726" w:name="_bookmark726"/>
      <w:bookmarkEnd w:id="726"/>
      <w:r>
        <w:rPr>
          <w:color w:val="0562C1"/>
          <w:position w:val="19"/>
          <w:u w:val="single" w:color="0562C1"/>
        </w:rPr>
        <w:t>[73]</w:t>
      </w:r>
      <w:r>
        <w:t>.</w:t>
      </w:r>
      <w:r>
        <w:rPr>
          <w:spacing w:val="-3"/>
        </w:rPr>
        <w:t xml:space="preserve"> </w:t>
      </w:r>
      <w:r>
        <w:t>I</w:t>
      </w:r>
      <w:r>
        <w:rPr>
          <w:spacing w:val="-4"/>
        </w:rPr>
        <w:t xml:space="preserve"> </w:t>
      </w:r>
      <w:r>
        <w:t>say</w:t>
      </w:r>
      <w:r>
        <w:rPr>
          <w:spacing w:val="-3"/>
        </w:rPr>
        <w:t xml:space="preserve"> </w:t>
      </w:r>
      <w:r>
        <w:t>“typically”</w:t>
      </w:r>
      <w:r>
        <w:rPr>
          <w:spacing w:val="-4"/>
        </w:rPr>
        <w:t xml:space="preserve"> </w:t>
      </w:r>
      <w:r>
        <w:t>because</w:t>
      </w:r>
      <w:r>
        <w:rPr>
          <w:spacing w:val="-4"/>
        </w:rPr>
        <w:t xml:space="preserve"> </w:t>
      </w:r>
      <w:r>
        <w:t>not</w:t>
      </w:r>
      <w:r>
        <w:rPr>
          <w:spacing w:val="-4"/>
        </w:rPr>
        <w:t xml:space="preserve"> </w:t>
      </w:r>
      <w:r>
        <w:t>all</w:t>
      </w:r>
      <w:r>
        <w:rPr>
          <w:spacing w:val="-4"/>
        </w:rPr>
        <w:t xml:space="preserve"> </w:t>
      </w:r>
      <w:r>
        <w:t>linguists</w:t>
      </w:r>
      <w:r>
        <w:rPr>
          <w:spacing w:val="-4"/>
        </w:rPr>
        <w:t xml:space="preserve"> </w:t>
      </w:r>
      <w:r>
        <w:t>or</w:t>
      </w:r>
      <w:r>
        <w:rPr>
          <w:spacing w:val="-4"/>
        </w:rPr>
        <w:t xml:space="preserve"> </w:t>
      </w:r>
      <w:r>
        <w:t>philosophers</w:t>
      </w:r>
      <w:r>
        <w:rPr>
          <w:spacing w:val="-4"/>
        </w:rPr>
        <w:t xml:space="preserve"> </w:t>
      </w:r>
      <w:r>
        <w:t>of</w:t>
      </w:r>
      <w:r>
        <w:rPr>
          <w:spacing w:val="-4"/>
        </w:rPr>
        <w:t xml:space="preserve"> </w:t>
      </w:r>
      <w:r>
        <w:t>language consider this division to be a legitimate one. Wittgenstein (1958), for example, thought that semantics collapsed into pragmatics.</w:t>
      </w:r>
    </w:p>
    <w:p w14:paraId="7E00304E" w14:textId="77777777" w:rsidR="009A58DB" w:rsidRDefault="00000000">
      <w:pPr>
        <w:pStyle w:val="BodyText"/>
        <w:spacing w:before="8" w:line="254" w:lineRule="auto"/>
        <w:ind w:right="2223"/>
        <w:jc w:val="left"/>
      </w:pPr>
      <w:bookmarkStart w:id="727" w:name="_bookmark727"/>
      <w:bookmarkEnd w:id="727"/>
      <w:r>
        <w:rPr>
          <w:color w:val="0562C1"/>
          <w:position w:val="19"/>
          <w:u w:val="single" w:color="0562C1"/>
        </w:rPr>
        <w:t>[74]</w:t>
      </w:r>
      <w:r>
        <w:t>.</w:t>
      </w:r>
      <w:r>
        <w:rPr>
          <w:spacing w:val="-4"/>
        </w:rPr>
        <w:t xml:space="preserve"> </w:t>
      </w:r>
      <w:r>
        <w:t>The</w:t>
      </w:r>
      <w:r>
        <w:rPr>
          <w:spacing w:val="-5"/>
        </w:rPr>
        <w:t xml:space="preserve"> </w:t>
      </w:r>
      <w:r>
        <w:t>“R”</w:t>
      </w:r>
      <w:r>
        <w:rPr>
          <w:spacing w:val="-5"/>
        </w:rPr>
        <w:t xml:space="preserve"> </w:t>
      </w:r>
      <w:r>
        <w:t>stands</w:t>
      </w:r>
      <w:r>
        <w:rPr>
          <w:spacing w:val="-5"/>
        </w:rPr>
        <w:t xml:space="preserve"> </w:t>
      </w:r>
      <w:r>
        <w:t>for</w:t>
      </w:r>
      <w:r>
        <w:rPr>
          <w:spacing w:val="-5"/>
        </w:rPr>
        <w:t xml:space="preserve"> </w:t>
      </w:r>
      <w:r>
        <w:t>“right,”</w:t>
      </w:r>
      <w:r>
        <w:rPr>
          <w:spacing w:val="-5"/>
        </w:rPr>
        <w:t xml:space="preserve"> </w:t>
      </w:r>
      <w:r>
        <w:t>as</w:t>
      </w:r>
      <w:r>
        <w:rPr>
          <w:spacing w:val="-5"/>
        </w:rPr>
        <w:t xml:space="preserve"> </w:t>
      </w:r>
      <w:r>
        <w:t>in</w:t>
      </w:r>
      <w:r>
        <w:rPr>
          <w:spacing w:val="-4"/>
        </w:rPr>
        <w:t xml:space="preserve"> </w:t>
      </w:r>
      <w:r>
        <w:t>“the</w:t>
      </w:r>
      <w:r>
        <w:rPr>
          <w:spacing w:val="-5"/>
        </w:rPr>
        <w:t xml:space="preserve"> </w:t>
      </w:r>
      <w:r>
        <w:t>right</w:t>
      </w:r>
      <w:r>
        <w:rPr>
          <w:spacing w:val="-5"/>
        </w:rPr>
        <w:t xml:space="preserve"> </w:t>
      </w:r>
      <w:r>
        <w:t xml:space="preserve">analysis.” </w:t>
      </w:r>
      <w:bookmarkStart w:id="728" w:name="_bookmark728"/>
      <w:bookmarkEnd w:id="728"/>
      <w:r>
        <w:rPr>
          <w:color w:val="0562C1"/>
          <w:position w:val="19"/>
          <w:u w:val="single" w:color="0562C1"/>
        </w:rPr>
        <w:t>[75]</w:t>
      </w:r>
      <w:r>
        <w:t>. “CA” stands for “complete analysis.”</w:t>
      </w:r>
    </w:p>
    <w:p w14:paraId="7E00304F" w14:textId="77777777" w:rsidR="009A58DB" w:rsidRDefault="00000000">
      <w:pPr>
        <w:pStyle w:val="BodyText"/>
        <w:spacing w:line="249" w:lineRule="auto"/>
        <w:ind w:left="720" w:right="365" w:hanging="360"/>
        <w:jc w:val="left"/>
        <w:rPr>
          <w:b/>
          <w:i/>
        </w:rPr>
      </w:pPr>
      <w:bookmarkStart w:id="729" w:name="_bookmark729"/>
      <w:bookmarkEnd w:id="729"/>
      <w:r>
        <w:rPr>
          <w:color w:val="0562C1"/>
          <w:position w:val="19"/>
          <w:u w:val="single" w:color="0562C1"/>
        </w:rPr>
        <w:t>[76]</w:t>
      </w:r>
      <w:r>
        <w:t>. Given that I’m only indicating in broad terms what the discipline of semantics is about, I’ve omitted some steps from this argument. See Kaplan</w:t>
      </w:r>
      <w:r>
        <w:rPr>
          <w:spacing w:val="-4"/>
        </w:rPr>
        <w:t xml:space="preserve"> </w:t>
      </w:r>
      <w:r>
        <w:t>(1989)</w:t>
      </w:r>
      <w:r>
        <w:rPr>
          <w:spacing w:val="-5"/>
        </w:rPr>
        <w:t xml:space="preserve"> </w:t>
      </w:r>
      <w:r>
        <w:t>for</w:t>
      </w:r>
      <w:r>
        <w:rPr>
          <w:spacing w:val="-5"/>
        </w:rPr>
        <w:t xml:space="preserve"> </w:t>
      </w:r>
      <w:r>
        <w:t>a</w:t>
      </w:r>
      <w:r>
        <w:rPr>
          <w:spacing w:val="-5"/>
        </w:rPr>
        <w:t xml:space="preserve"> </w:t>
      </w:r>
      <w:r>
        <w:t>more</w:t>
      </w:r>
      <w:r>
        <w:rPr>
          <w:spacing w:val="-5"/>
        </w:rPr>
        <w:t xml:space="preserve"> </w:t>
      </w:r>
      <w:r>
        <w:t>thorough</w:t>
      </w:r>
      <w:r>
        <w:rPr>
          <w:spacing w:val="-4"/>
        </w:rPr>
        <w:t xml:space="preserve"> </w:t>
      </w:r>
      <w:r>
        <w:t>analysis</w:t>
      </w:r>
      <w:r>
        <w:rPr>
          <w:spacing w:val="-5"/>
        </w:rPr>
        <w:t xml:space="preserve"> </w:t>
      </w:r>
      <w:r>
        <w:t>of</w:t>
      </w:r>
      <w:r>
        <w:rPr>
          <w:spacing w:val="-5"/>
        </w:rPr>
        <w:t xml:space="preserve"> </w:t>
      </w:r>
      <w:r>
        <w:t>sentence-utterances</w:t>
      </w:r>
      <w:r>
        <w:rPr>
          <w:spacing w:val="-5"/>
        </w:rPr>
        <w:t xml:space="preserve"> </w:t>
      </w:r>
      <w:r>
        <w:t>like</w:t>
      </w:r>
      <w:r>
        <w:rPr>
          <w:spacing w:val="-5"/>
        </w:rPr>
        <w:t xml:space="preserve"> </w:t>
      </w:r>
      <w:r>
        <w:t xml:space="preserve">the one being discussed (viz. sentence-utterances that contain </w:t>
      </w:r>
      <w:r>
        <w:rPr>
          <w:b/>
          <w:i/>
        </w:rPr>
        <w:t>demonstratives</w:t>
      </w:r>
    </w:p>
    <w:p w14:paraId="7E003050" w14:textId="77777777" w:rsidR="009A58DB" w:rsidRDefault="00000000">
      <w:pPr>
        <w:pStyle w:val="BodyText"/>
        <w:spacing w:before="4" w:line="249" w:lineRule="auto"/>
        <w:ind w:left="720" w:right="365"/>
        <w:jc w:val="left"/>
      </w:pPr>
      <w:r>
        <w:t xml:space="preserve">—words like “this” and “that.”) There’s a second reason why my adding the missing steps unnecessary. The point I’m trying to make (viz. that it isn’t always obvious what is literally meant by an expression) is </w:t>
      </w:r>
      <w:r>
        <w:rPr>
          <w:i/>
        </w:rPr>
        <w:t xml:space="preserve">itself </w:t>
      </w:r>
      <w:r>
        <w:t>illustrated</w:t>
      </w:r>
      <w:r>
        <w:rPr>
          <w:spacing w:val="-3"/>
        </w:rPr>
        <w:t xml:space="preserve"> </w:t>
      </w:r>
      <w:r>
        <w:t>by</w:t>
      </w:r>
      <w:r>
        <w:rPr>
          <w:spacing w:val="-3"/>
        </w:rPr>
        <w:t xml:space="preserve"> </w:t>
      </w:r>
      <w:r>
        <w:t>the</w:t>
      </w:r>
      <w:r>
        <w:rPr>
          <w:spacing w:val="-4"/>
        </w:rPr>
        <w:t xml:space="preserve"> </w:t>
      </w:r>
      <w:r>
        <w:t>fact</w:t>
      </w:r>
      <w:r>
        <w:rPr>
          <w:spacing w:val="-4"/>
        </w:rPr>
        <w:t xml:space="preserve"> </w:t>
      </w:r>
      <w:r>
        <w:t>that</w:t>
      </w:r>
      <w:r>
        <w:rPr>
          <w:spacing w:val="-4"/>
        </w:rPr>
        <w:t xml:space="preserve"> </w:t>
      </w:r>
      <w:r>
        <w:t>it</w:t>
      </w:r>
      <w:r>
        <w:rPr>
          <w:spacing w:val="-4"/>
        </w:rPr>
        <w:t xml:space="preserve"> </w:t>
      </w:r>
      <w:r>
        <w:t>may</w:t>
      </w:r>
      <w:r>
        <w:rPr>
          <w:spacing w:val="-3"/>
        </w:rPr>
        <w:t xml:space="preserve"> </w:t>
      </w:r>
      <w:r>
        <w:t>be</w:t>
      </w:r>
      <w:r>
        <w:rPr>
          <w:spacing w:val="-4"/>
        </w:rPr>
        <w:t xml:space="preserve"> </w:t>
      </w:r>
      <w:r>
        <w:t>debated</w:t>
      </w:r>
      <w:r>
        <w:rPr>
          <w:spacing w:val="-3"/>
        </w:rPr>
        <w:t xml:space="preserve"> </w:t>
      </w:r>
      <w:r>
        <w:t>whether</w:t>
      </w:r>
      <w:r>
        <w:rPr>
          <w:spacing w:val="-4"/>
        </w:rPr>
        <w:t xml:space="preserve"> </w:t>
      </w:r>
      <w:r>
        <w:t>U1</w:t>
      </w:r>
      <w:r>
        <w:rPr>
          <w:spacing w:val="-3"/>
        </w:rPr>
        <w:t xml:space="preserve"> </w:t>
      </w:r>
      <w:r>
        <w:t>and</w:t>
      </w:r>
      <w:r>
        <w:rPr>
          <w:spacing w:val="-3"/>
        </w:rPr>
        <w:t xml:space="preserve"> </w:t>
      </w:r>
      <w:r>
        <w:t>U2</w:t>
      </w:r>
      <w:r>
        <w:rPr>
          <w:spacing w:val="-3"/>
        </w:rPr>
        <w:t xml:space="preserve"> </w:t>
      </w:r>
      <w:r>
        <w:t>have</w:t>
      </w:r>
      <w:r>
        <w:rPr>
          <w:spacing w:val="-4"/>
        </w:rPr>
        <w:t xml:space="preserve"> </w:t>
      </w:r>
      <w:r>
        <w:t>the same meaning.</w:t>
      </w:r>
    </w:p>
    <w:p w14:paraId="7E003051" w14:textId="77777777" w:rsidR="009A58DB" w:rsidRDefault="00000000">
      <w:pPr>
        <w:pStyle w:val="BodyText"/>
        <w:spacing w:before="11" w:line="249" w:lineRule="auto"/>
        <w:ind w:left="720" w:right="440" w:hanging="360"/>
        <w:jc w:val="left"/>
      </w:pPr>
      <w:bookmarkStart w:id="730" w:name="_bookmark730"/>
      <w:bookmarkEnd w:id="730"/>
      <w:r>
        <w:rPr>
          <w:color w:val="0562C1"/>
          <w:position w:val="19"/>
          <w:u w:val="single" w:color="0562C1"/>
        </w:rPr>
        <w:t>[77]</w:t>
      </w:r>
      <w:r>
        <w:t>. Although he does an, in some ways, creditable job of defending this analysis of utterances containing demonstratives, Kaplan doesn’t answer this very question. And this question, it seems to me, is much more important than the narrowly semantic question of what the literal meanings</w:t>
      </w:r>
      <w:r>
        <w:rPr>
          <w:spacing w:val="-4"/>
        </w:rPr>
        <w:t xml:space="preserve"> </w:t>
      </w:r>
      <w:r>
        <w:t>of</w:t>
      </w:r>
      <w:r>
        <w:rPr>
          <w:spacing w:val="-4"/>
        </w:rPr>
        <w:t xml:space="preserve"> </w:t>
      </w:r>
      <w:r>
        <w:t>utterances</w:t>
      </w:r>
      <w:r>
        <w:rPr>
          <w:spacing w:val="-4"/>
        </w:rPr>
        <w:t xml:space="preserve"> </w:t>
      </w:r>
      <w:r>
        <w:t>of</w:t>
      </w:r>
      <w:r>
        <w:rPr>
          <w:spacing w:val="-4"/>
        </w:rPr>
        <w:t xml:space="preserve"> </w:t>
      </w:r>
      <w:r>
        <w:t>“that</w:t>
      </w:r>
      <w:r>
        <w:rPr>
          <w:spacing w:val="-4"/>
        </w:rPr>
        <w:t xml:space="preserve"> </w:t>
      </w:r>
      <w:r>
        <w:t>man,”</w:t>
      </w:r>
      <w:r>
        <w:rPr>
          <w:spacing w:val="-4"/>
        </w:rPr>
        <w:t xml:space="preserve"> </w:t>
      </w:r>
      <w:r>
        <w:t>“this</w:t>
      </w:r>
      <w:r>
        <w:rPr>
          <w:spacing w:val="-4"/>
        </w:rPr>
        <w:t xml:space="preserve"> </w:t>
      </w:r>
      <w:r>
        <w:t>world,”</w:t>
      </w:r>
      <w:r>
        <w:rPr>
          <w:spacing w:val="-4"/>
        </w:rPr>
        <w:t xml:space="preserve"> </w:t>
      </w:r>
      <w:r>
        <w:t>etc.,</w:t>
      </w:r>
      <w:r>
        <w:rPr>
          <w:spacing w:val="-3"/>
        </w:rPr>
        <w:t xml:space="preserve"> </w:t>
      </w:r>
      <w:r>
        <w:t>are.</w:t>
      </w:r>
      <w:r>
        <w:rPr>
          <w:spacing w:val="-3"/>
        </w:rPr>
        <w:t xml:space="preserve"> </w:t>
      </w:r>
      <w:r>
        <w:t>Kaplan</w:t>
      </w:r>
      <w:r>
        <w:rPr>
          <w:spacing w:val="-3"/>
        </w:rPr>
        <w:t xml:space="preserve"> </w:t>
      </w:r>
      <w:r>
        <w:t>notes the difficult (viz. that sentence-tokens that have the very same literal meaning</w:t>
      </w:r>
      <w:r>
        <w:rPr>
          <w:spacing w:val="-5"/>
        </w:rPr>
        <w:t xml:space="preserve"> </w:t>
      </w:r>
      <w:r>
        <w:t>can</w:t>
      </w:r>
      <w:r>
        <w:rPr>
          <w:spacing w:val="-5"/>
        </w:rPr>
        <w:t xml:space="preserve"> </w:t>
      </w:r>
      <w:r>
        <w:t>differ</w:t>
      </w:r>
      <w:r>
        <w:rPr>
          <w:spacing w:val="-6"/>
        </w:rPr>
        <w:t xml:space="preserve"> </w:t>
      </w:r>
      <w:r>
        <w:t>dramatically</w:t>
      </w:r>
      <w:r>
        <w:rPr>
          <w:spacing w:val="-5"/>
        </w:rPr>
        <w:t xml:space="preserve"> </w:t>
      </w:r>
      <w:r>
        <w:t>in</w:t>
      </w:r>
      <w:r>
        <w:rPr>
          <w:spacing w:val="-5"/>
        </w:rPr>
        <w:t xml:space="preserve"> </w:t>
      </w:r>
      <w:r>
        <w:t>what</w:t>
      </w:r>
      <w:r>
        <w:rPr>
          <w:spacing w:val="-6"/>
        </w:rPr>
        <w:t xml:space="preserve"> </w:t>
      </w:r>
      <w:r>
        <w:t>they</w:t>
      </w:r>
      <w:r>
        <w:rPr>
          <w:spacing w:val="-5"/>
        </w:rPr>
        <w:t xml:space="preserve"> </w:t>
      </w:r>
      <w:r>
        <w:t>communicate),</w:t>
      </w:r>
      <w:r>
        <w:rPr>
          <w:spacing w:val="-5"/>
        </w:rPr>
        <w:t xml:space="preserve"> </w:t>
      </w:r>
      <w:r>
        <w:t>and</w:t>
      </w:r>
      <w:r>
        <w:rPr>
          <w:spacing w:val="-5"/>
        </w:rPr>
        <w:t xml:space="preserve"> </w:t>
      </w:r>
      <w:r>
        <w:t xml:space="preserve">responds by saying (I quote, without omitting relevant contextual material): “Uh oh!” (See Kaplan (1989).)Which pretty much exhausts what he has to say about the matter. It also exhausts what Kaplan-disciples, such as Nathan Salmon, have to say about the matter. (See Salmon (1986), (2005), </w:t>
      </w:r>
      <w:r>
        <w:rPr>
          <w:spacing w:val="-2"/>
        </w:rPr>
        <w:t>(2007).)</w:t>
      </w:r>
    </w:p>
    <w:p w14:paraId="7E003052" w14:textId="77777777" w:rsidR="009A58DB" w:rsidRDefault="00000000">
      <w:pPr>
        <w:spacing w:before="20"/>
        <w:ind w:left="360"/>
        <w:rPr>
          <w:i/>
          <w:sz w:val="30"/>
        </w:rPr>
      </w:pPr>
      <w:bookmarkStart w:id="731" w:name="_bookmark731"/>
      <w:bookmarkEnd w:id="731"/>
      <w:r>
        <w:rPr>
          <w:color w:val="0562C1"/>
          <w:position w:val="19"/>
          <w:sz w:val="30"/>
          <w:u w:val="single" w:color="0562C1"/>
        </w:rPr>
        <w:t>[78]</w:t>
      </w:r>
      <w:r>
        <w:rPr>
          <w:sz w:val="30"/>
        </w:rPr>
        <w:t>.</w:t>
      </w:r>
      <w:r>
        <w:rPr>
          <w:spacing w:val="-4"/>
          <w:sz w:val="30"/>
        </w:rPr>
        <w:t xml:space="preserve"> </w:t>
      </w:r>
      <w:r>
        <w:rPr>
          <w:sz w:val="30"/>
        </w:rPr>
        <w:t>In</w:t>
      </w:r>
      <w:r>
        <w:rPr>
          <w:spacing w:val="-2"/>
          <w:sz w:val="30"/>
        </w:rPr>
        <w:t xml:space="preserve"> </w:t>
      </w:r>
      <w:r>
        <w:rPr>
          <w:sz w:val="30"/>
        </w:rPr>
        <w:t>2004,</w:t>
      </w:r>
      <w:r>
        <w:rPr>
          <w:spacing w:val="-2"/>
          <w:sz w:val="30"/>
        </w:rPr>
        <w:t xml:space="preserve"> </w:t>
      </w:r>
      <w:r>
        <w:rPr>
          <w:sz w:val="30"/>
        </w:rPr>
        <w:t>in</w:t>
      </w:r>
      <w:r>
        <w:rPr>
          <w:spacing w:val="-1"/>
          <w:sz w:val="30"/>
        </w:rPr>
        <w:t xml:space="preserve"> </w:t>
      </w:r>
      <w:r>
        <w:rPr>
          <w:sz w:val="30"/>
        </w:rPr>
        <w:t>the</w:t>
      </w:r>
      <w:r>
        <w:rPr>
          <w:spacing w:val="-3"/>
          <w:sz w:val="30"/>
        </w:rPr>
        <w:t xml:space="preserve"> </w:t>
      </w:r>
      <w:r>
        <w:rPr>
          <w:sz w:val="30"/>
        </w:rPr>
        <w:t>journal</w:t>
      </w:r>
      <w:r>
        <w:rPr>
          <w:spacing w:val="-3"/>
          <w:sz w:val="30"/>
        </w:rPr>
        <w:t xml:space="preserve"> </w:t>
      </w:r>
      <w:r>
        <w:rPr>
          <w:i/>
          <w:sz w:val="30"/>
        </w:rPr>
        <w:t>History</w:t>
      </w:r>
      <w:r>
        <w:rPr>
          <w:i/>
          <w:spacing w:val="-2"/>
          <w:sz w:val="30"/>
        </w:rPr>
        <w:t xml:space="preserve"> </w:t>
      </w:r>
      <w:r>
        <w:rPr>
          <w:i/>
          <w:sz w:val="30"/>
        </w:rPr>
        <w:t>and</w:t>
      </w:r>
      <w:r>
        <w:rPr>
          <w:i/>
          <w:spacing w:val="-2"/>
          <w:sz w:val="30"/>
        </w:rPr>
        <w:t xml:space="preserve"> </w:t>
      </w:r>
      <w:r>
        <w:rPr>
          <w:i/>
          <w:sz w:val="30"/>
        </w:rPr>
        <w:t>Philosophy</w:t>
      </w:r>
      <w:r>
        <w:rPr>
          <w:i/>
          <w:spacing w:val="-3"/>
          <w:sz w:val="30"/>
        </w:rPr>
        <w:t xml:space="preserve"> </w:t>
      </w:r>
      <w:r>
        <w:rPr>
          <w:i/>
          <w:sz w:val="30"/>
        </w:rPr>
        <w:t>of</w:t>
      </w:r>
      <w:r>
        <w:rPr>
          <w:i/>
          <w:spacing w:val="-2"/>
          <w:sz w:val="30"/>
        </w:rPr>
        <w:t xml:space="preserve"> Logic.</w:t>
      </w:r>
    </w:p>
    <w:p w14:paraId="7E003053" w14:textId="77777777" w:rsidR="009A58DB" w:rsidRDefault="00000000">
      <w:pPr>
        <w:pStyle w:val="BodyText"/>
        <w:spacing w:before="20" w:line="249" w:lineRule="auto"/>
        <w:ind w:left="720" w:hanging="360"/>
        <w:jc w:val="left"/>
      </w:pPr>
      <w:bookmarkStart w:id="732" w:name="_bookmark732"/>
      <w:bookmarkEnd w:id="732"/>
      <w:r>
        <w:rPr>
          <w:color w:val="0562C1"/>
          <w:position w:val="19"/>
          <w:u w:val="single" w:color="0562C1"/>
        </w:rPr>
        <w:t>[79]</w:t>
      </w:r>
      <w:r>
        <w:t>.</w:t>
      </w:r>
      <w:r>
        <w:rPr>
          <w:spacing w:val="-3"/>
        </w:rPr>
        <w:t xml:space="preserve"> </w:t>
      </w:r>
      <w:r>
        <w:t>Note:</w:t>
      </w:r>
      <w:r>
        <w:rPr>
          <w:spacing w:val="-4"/>
        </w:rPr>
        <w:t xml:space="preserve"> </w:t>
      </w:r>
      <w:r>
        <w:t>To</w:t>
      </w:r>
      <w:r>
        <w:rPr>
          <w:spacing w:val="-3"/>
        </w:rPr>
        <w:t xml:space="preserve"> </w:t>
      </w:r>
      <w:r>
        <w:t>understand</w:t>
      </w:r>
      <w:r>
        <w:rPr>
          <w:spacing w:val="-3"/>
        </w:rPr>
        <w:t xml:space="preserve"> </w:t>
      </w:r>
      <w:r>
        <w:t>this</w:t>
      </w:r>
      <w:r>
        <w:rPr>
          <w:spacing w:val="-4"/>
        </w:rPr>
        <w:t xml:space="preserve"> </w:t>
      </w:r>
      <w:r>
        <w:t>section,</w:t>
      </w:r>
      <w:r>
        <w:rPr>
          <w:spacing w:val="-3"/>
        </w:rPr>
        <w:t xml:space="preserve"> </w:t>
      </w:r>
      <w:r>
        <w:t>it</w:t>
      </w:r>
      <w:r>
        <w:rPr>
          <w:spacing w:val="-4"/>
        </w:rPr>
        <w:t xml:space="preserve"> </w:t>
      </w:r>
      <w:r>
        <w:t>is</w:t>
      </w:r>
      <w:r>
        <w:rPr>
          <w:spacing w:val="-4"/>
        </w:rPr>
        <w:t xml:space="preserve"> </w:t>
      </w:r>
      <w:r>
        <w:t>necessary</w:t>
      </w:r>
      <w:r>
        <w:rPr>
          <w:spacing w:val="-3"/>
        </w:rPr>
        <w:t xml:space="preserve"> </w:t>
      </w:r>
      <w:r>
        <w:t>to</w:t>
      </w:r>
      <w:r>
        <w:rPr>
          <w:spacing w:val="-3"/>
        </w:rPr>
        <w:t xml:space="preserve"> </w:t>
      </w:r>
      <w:r>
        <w:t>know</w:t>
      </w:r>
      <w:r>
        <w:rPr>
          <w:spacing w:val="-4"/>
        </w:rPr>
        <w:t xml:space="preserve"> </w:t>
      </w:r>
      <w:r>
        <w:t>what</w:t>
      </w:r>
      <w:r>
        <w:rPr>
          <w:spacing w:val="-4"/>
        </w:rPr>
        <w:t xml:space="preserve"> </w:t>
      </w:r>
      <w:r>
        <w:t>the</w:t>
      </w:r>
      <w:r>
        <w:rPr>
          <w:spacing w:val="-4"/>
        </w:rPr>
        <w:t xml:space="preserve"> </w:t>
      </w:r>
      <w:r>
        <w:t>words “token” and “type” mean when used in semantic discourse.</w:t>
      </w:r>
    </w:p>
    <w:p w14:paraId="7E003054" w14:textId="77777777" w:rsidR="009A58DB" w:rsidRDefault="00000000">
      <w:pPr>
        <w:pStyle w:val="BodyText"/>
        <w:spacing w:before="7"/>
        <w:jc w:val="left"/>
      </w:pPr>
      <w:bookmarkStart w:id="733" w:name="_bookmark733"/>
      <w:bookmarkEnd w:id="733"/>
      <w:r>
        <w:rPr>
          <w:color w:val="0562C1"/>
          <w:position w:val="19"/>
          <w:u w:val="single" w:color="0562C1"/>
        </w:rPr>
        <w:t>[80]</w:t>
      </w:r>
      <w:r>
        <w:t>.</w:t>
      </w:r>
      <w:r>
        <w:rPr>
          <w:spacing w:val="-4"/>
        </w:rPr>
        <w:t xml:space="preserve"> </w:t>
      </w:r>
      <w:r>
        <w:t>Lewis</w:t>
      </w:r>
      <w:r>
        <w:rPr>
          <w:spacing w:val="-3"/>
        </w:rPr>
        <w:t xml:space="preserve"> </w:t>
      </w:r>
      <w:r>
        <w:rPr>
          <w:spacing w:val="-2"/>
        </w:rPr>
        <w:t>(1975).</w:t>
      </w:r>
    </w:p>
    <w:p w14:paraId="7E003055" w14:textId="77777777" w:rsidR="009A58DB" w:rsidRDefault="009A58DB">
      <w:pPr>
        <w:pStyle w:val="BodyText"/>
        <w:jc w:val="left"/>
        <w:sectPr w:rsidR="009A58DB">
          <w:pgSz w:w="12240" w:h="15840"/>
          <w:pgMar w:top="1380" w:right="1080" w:bottom="280" w:left="1080" w:header="720" w:footer="720" w:gutter="0"/>
          <w:cols w:space="720"/>
        </w:sectPr>
      </w:pPr>
    </w:p>
    <w:p w14:paraId="7E003056" w14:textId="77777777" w:rsidR="009A58DB" w:rsidRDefault="00000000">
      <w:pPr>
        <w:pStyle w:val="BodyText"/>
        <w:spacing w:before="70"/>
        <w:jc w:val="left"/>
      </w:pPr>
      <w:bookmarkStart w:id="734" w:name="_bookmark734"/>
      <w:bookmarkEnd w:id="734"/>
      <w:r>
        <w:rPr>
          <w:color w:val="0562C1"/>
          <w:position w:val="19"/>
          <w:u w:val="single" w:color="0562C1"/>
        </w:rPr>
        <w:t>[81]</w:t>
      </w:r>
      <w:r>
        <w:t>.</w:t>
      </w:r>
      <w:r>
        <w:rPr>
          <w:spacing w:val="-4"/>
        </w:rPr>
        <w:t xml:space="preserve"> </w:t>
      </w:r>
      <w:r>
        <w:t>See</w:t>
      </w:r>
      <w:r>
        <w:rPr>
          <w:spacing w:val="-3"/>
        </w:rPr>
        <w:t xml:space="preserve"> </w:t>
      </w:r>
      <w:r>
        <w:t>Blackburn</w:t>
      </w:r>
      <w:r>
        <w:rPr>
          <w:spacing w:val="-3"/>
        </w:rPr>
        <w:t xml:space="preserve"> </w:t>
      </w:r>
      <w:r>
        <w:rPr>
          <w:spacing w:val="-2"/>
        </w:rPr>
        <w:t>(1984).</w:t>
      </w:r>
    </w:p>
    <w:p w14:paraId="7E003057" w14:textId="77777777" w:rsidR="009A58DB" w:rsidRDefault="00000000">
      <w:pPr>
        <w:pStyle w:val="BodyText"/>
        <w:spacing w:before="20" w:line="249" w:lineRule="auto"/>
        <w:ind w:left="720" w:right="422" w:hanging="360"/>
        <w:jc w:val="left"/>
      </w:pPr>
      <w:bookmarkStart w:id="735" w:name="_bookmark735"/>
      <w:bookmarkEnd w:id="735"/>
      <w:r>
        <w:rPr>
          <w:color w:val="0562C1"/>
          <w:position w:val="19"/>
          <w:u w:val="single" w:color="0562C1"/>
        </w:rPr>
        <w:t>[82]</w:t>
      </w:r>
      <w:r>
        <w:t xml:space="preserve">. One of the problems with logical positivism was that it assumed, incoherently, that </w:t>
      </w:r>
      <w:r>
        <w:rPr>
          <w:i/>
        </w:rPr>
        <w:t xml:space="preserve">expressions </w:t>
      </w:r>
      <w:r>
        <w:t>could be meaningless. There can be meaningless expression-like entities—but no meaningless expressions. And if, as the logical positivists contended, “there is no free will in a deterministic</w:t>
      </w:r>
      <w:r>
        <w:rPr>
          <w:spacing w:val="-2"/>
        </w:rPr>
        <w:t xml:space="preserve"> </w:t>
      </w:r>
      <w:r>
        <w:t>universe”</w:t>
      </w:r>
      <w:r>
        <w:rPr>
          <w:spacing w:val="-2"/>
        </w:rPr>
        <w:t xml:space="preserve"> </w:t>
      </w:r>
      <w:r>
        <w:t>is</w:t>
      </w:r>
      <w:r>
        <w:rPr>
          <w:spacing w:val="-2"/>
        </w:rPr>
        <w:t xml:space="preserve"> </w:t>
      </w:r>
      <w:r>
        <w:t>truly</w:t>
      </w:r>
      <w:r>
        <w:rPr>
          <w:spacing w:val="-1"/>
        </w:rPr>
        <w:t xml:space="preserve"> </w:t>
      </w:r>
      <w:r>
        <w:t>meaningless,</w:t>
      </w:r>
      <w:r>
        <w:rPr>
          <w:spacing w:val="-1"/>
        </w:rPr>
        <w:t xml:space="preserve"> </w:t>
      </w:r>
      <w:r>
        <w:t>then</w:t>
      </w:r>
      <w:r>
        <w:rPr>
          <w:spacing w:val="-1"/>
        </w:rPr>
        <w:t xml:space="preserve"> </w:t>
      </w:r>
      <w:r>
        <w:t>it</w:t>
      </w:r>
      <w:r>
        <w:rPr>
          <w:spacing w:val="-2"/>
        </w:rPr>
        <w:t xml:space="preserve"> </w:t>
      </w:r>
      <w:r>
        <w:t>isn’t</w:t>
      </w:r>
      <w:r>
        <w:rPr>
          <w:spacing w:val="-2"/>
        </w:rPr>
        <w:t xml:space="preserve"> </w:t>
      </w:r>
      <w:r>
        <w:t>a</w:t>
      </w:r>
      <w:r>
        <w:rPr>
          <w:spacing w:val="-2"/>
        </w:rPr>
        <w:t xml:space="preserve"> </w:t>
      </w:r>
      <w:r>
        <w:t>sentence</w:t>
      </w:r>
      <w:r>
        <w:rPr>
          <w:spacing w:val="-2"/>
        </w:rPr>
        <w:t xml:space="preserve"> </w:t>
      </w:r>
      <w:r>
        <w:t>at</w:t>
      </w:r>
      <w:r>
        <w:rPr>
          <w:spacing w:val="-2"/>
        </w:rPr>
        <w:t xml:space="preserve"> </w:t>
      </w:r>
      <w:r>
        <w:t xml:space="preserve">all; it is, at best, a sentence-like entity. But it plainly is a sentence. It may be (though I do not myself believe this) that “there is no free will in a deterministic universe” is in some way or other an </w:t>
      </w:r>
      <w:r>
        <w:rPr>
          <w:i/>
        </w:rPr>
        <w:t xml:space="preserve">incoherent </w:t>
      </w:r>
      <w:r>
        <w:t>statement. But an incoherent sentence is one that bears a self-undermining meaning. And</w:t>
      </w:r>
      <w:r>
        <w:rPr>
          <w:spacing w:val="-5"/>
        </w:rPr>
        <w:t xml:space="preserve"> </w:t>
      </w:r>
      <w:r>
        <w:t>there’s</w:t>
      </w:r>
      <w:r>
        <w:rPr>
          <w:spacing w:val="-6"/>
        </w:rPr>
        <w:t xml:space="preserve"> </w:t>
      </w:r>
      <w:r>
        <w:t>a</w:t>
      </w:r>
      <w:r>
        <w:rPr>
          <w:spacing w:val="-6"/>
        </w:rPr>
        <w:t xml:space="preserve"> </w:t>
      </w:r>
      <w:r>
        <w:t>big</w:t>
      </w:r>
      <w:r>
        <w:rPr>
          <w:spacing w:val="-5"/>
        </w:rPr>
        <w:t xml:space="preserve"> </w:t>
      </w:r>
      <w:r>
        <w:t>difference</w:t>
      </w:r>
      <w:r>
        <w:rPr>
          <w:spacing w:val="-6"/>
        </w:rPr>
        <w:t xml:space="preserve"> </w:t>
      </w:r>
      <w:r>
        <w:t>between</w:t>
      </w:r>
      <w:r>
        <w:rPr>
          <w:spacing w:val="-5"/>
        </w:rPr>
        <w:t xml:space="preserve"> </w:t>
      </w:r>
      <w:r>
        <w:t>bearing</w:t>
      </w:r>
      <w:r>
        <w:rPr>
          <w:spacing w:val="-5"/>
        </w:rPr>
        <w:t xml:space="preserve"> </w:t>
      </w:r>
      <w:r>
        <w:t>a</w:t>
      </w:r>
      <w:r>
        <w:rPr>
          <w:spacing w:val="-6"/>
        </w:rPr>
        <w:t xml:space="preserve"> </w:t>
      </w:r>
      <w:r>
        <w:t>self-undermining</w:t>
      </w:r>
      <w:r>
        <w:rPr>
          <w:spacing w:val="-5"/>
        </w:rPr>
        <w:t xml:space="preserve"> </w:t>
      </w:r>
      <w:r>
        <w:t xml:space="preserve">meaning and bearing </w:t>
      </w:r>
      <w:r>
        <w:rPr>
          <w:i/>
        </w:rPr>
        <w:t xml:space="preserve">no </w:t>
      </w:r>
      <w:r>
        <w:t xml:space="preserve">meaning. The logical positivists didn’t make this </w:t>
      </w:r>
      <w:r>
        <w:rPr>
          <w:spacing w:val="-2"/>
        </w:rPr>
        <w:t>distinction.</w:t>
      </w:r>
    </w:p>
    <w:p w14:paraId="7E003058" w14:textId="77777777" w:rsidR="009A58DB" w:rsidRDefault="00000000">
      <w:pPr>
        <w:spacing w:before="19" w:line="249" w:lineRule="auto"/>
        <w:ind w:left="720" w:right="365" w:hanging="360"/>
        <w:rPr>
          <w:i/>
          <w:sz w:val="30"/>
        </w:rPr>
      </w:pPr>
      <w:bookmarkStart w:id="736" w:name="_bookmark736"/>
      <w:bookmarkEnd w:id="736"/>
      <w:r>
        <w:rPr>
          <w:color w:val="0562C1"/>
          <w:position w:val="19"/>
          <w:sz w:val="30"/>
          <w:u w:val="single" w:color="0562C1"/>
        </w:rPr>
        <w:t>[83]</w:t>
      </w:r>
      <w:r>
        <w:rPr>
          <w:sz w:val="30"/>
        </w:rPr>
        <w:t>.</w:t>
      </w:r>
      <w:r>
        <w:rPr>
          <w:spacing w:val="-3"/>
          <w:sz w:val="30"/>
        </w:rPr>
        <w:t xml:space="preserve"> </w:t>
      </w:r>
      <w:r>
        <w:rPr>
          <w:sz w:val="30"/>
        </w:rPr>
        <w:t>Jerry</w:t>
      </w:r>
      <w:r>
        <w:rPr>
          <w:spacing w:val="-3"/>
          <w:sz w:val="30"/>
        </w:rPr>
        <w:t xml:space="preserve"> </w:t>
      </w:r>
      <w:r>
        <w:rPr>
          <w:sz w:val="30"/>
        </w:rPr>
        <w:t>Fodor</w:t>
      </w:r>
      <w:r>
        <w:rPr>
          <w:spacing w:val="-4"/>
          <w:sz w:val="30"/>
        </w:rPr>
        <w:t xml:space="preserve"> </w:t>
      </w:r>
      <w:r>
        <w:rPr>
          <w:sz w:val="30"/>
        </w:rPr>
        <w:t>and</w:t>
      </w:r>
      <w:r>
        <w:rPr>
          <w:spacing w:val="-3"/>
          <w:sz w:val="30"/>
        </w:rPr>
        <w:t xml:space="preserve"> </w:t>
      </w:r>
      <w:r>
        <w:rPr>
          <w:sz w:val="30"/>
        </w:rPr>
        <w:t>Ernie</w:t>
      </w:r>
      <w:r>
        <w:rPr>
          <w:spacing w:val="-4"/>
          <w:sz w:val="30"/>
        </w:rPr>
        <w:t xml:space="preserve"> </w:t>
      </w:r>
      <w:r>
        <w:rPr>
          <w:sz w:val="30"/>
        </w:rPr>
        <w:t>Lepore</w:t>
      </w:r>
      <w:r>
        <w:rPr>
          <w:spacing w:val="-4"/>
          <w:sz w:val="30"/>
        </w:rPr>
        <w:t xml:space="preserve"> </w:t>
      </w:r>
      <w:r>
        <w:rPr>
          <w:sz w:val="30"/>
        </w:rPr>
        <w:t>do</w:t>
      </w:r>
      <w:r>
        <w:rPr>
          <w:spacing w:val="-3"/>
          <w:sz w:val="30"/>
        </w:rPr>
        <w:t xml:space="preserve"> </w:t>
      </w:r>
      <w:r>
        <w:rPr>
          <w:sz w:val="30"/>
        </w:rPr>
        <w:t>a</w:t>
      </w:r>
      <w:r>
        <w:rPr>
          <w:spacing w:val="-4"/>
          <w:sz w:val="30"/>
        </w:rPr>
        <w:t xml:space="preserve"> </w:t>
      </w:r>
      <w:r>
        <w:rPr>
          <w:sz w:val="30"/>
        </w:rPr>
        <w:t>beautiful</w:t>
      </w:r>
      <w:r>
        <w:rPr>
          <w:spacing w:val="-4"/>
          <w:sz w:val="30"/>
        </w:rPr>
        <w:t xml:space="preserve"> </w:t>
      </w:r>
      <w:r>
        <w:rPr>
          <w:sz w:val="30"/>
        </w:rPr>
        <w:t>job</w:t>
      </w:r>
      <w:r>
        <w:rPr>
          <w:spacing w:val="-3"/>
          <w:sz w:val="30"/>
        </w:rPr>
        <w:t xml:space="preserve"> </w:t>
      </w:r>
      <w:r>
        <w:rPr>
          <w:sz w:val="30"/>
        </w:rPr>
        <w:t>of</w:t>
      </w:r>
      <w:r>
        <w:rPr>
          <w:spacing w:val="-4"/>
          <w:sz w:val="30"/>
        </w:rPr>
        <w:t xml:space="preserve"> </w:t>
      </w:r>
      <w:r>
        <w:rPr>
          <w:sz w:val="30"/>
        </w:rPr>
        <w:t>stating</w:t>
      </w:r>
      <w:r>
        <w:rPr>
          <w:spacing w:val="-3"/>
          <w:sz w:val="30"/>
        </w:rPr>
        <w:t xml:space="preserve"> </w:t>
      </w:r>
      <w:r>
        <w:rPr>
          <w:sz w:val="30"/>
        </w:rPr>
        <w:t>this</w:t>
      </w:r>
      <w:r>
        <w:rPr>
          <w:spacing w:val="-4"/>
          <w:sz w:val="30"/>
        </w:rPr>
        <w:t xml:space="preserve"> </w:t>
      </w:r>
      <w:r>
        <w:rPr>
          <w:sz w:val="30"/>
        </w:rPr>
        <w:t xml:space="preserve">argument and others like it in </w:t>
      </w:r>
      <w:r>
        <w:rPr>
          <w:i/>
          <w:sz w:val="30"/>
        </w:rPr>
        <w:t>The compositionality Papers.</w:t>
      </w:r>
    </w:p>
    <w:p w14:paraId="7E003059" w14:textId="77777777" w:rsidR="009A58DB" w:rsidRDefault="00000000">
      <w:pPr>
        <w:pStyle w:val="BodyText"/>
        <w:spacing w:before="8" w:line="249" w:lineRule="auto"/>
        <w:ind w:left="720" w:right="794" w:hanging="360"/>
        <w:jc w:val="left"/>
      </w:pPr>
      <w:bookmarkStart w:id="737" w:name="_bookmark737"/>
      <w:bookmarkEnd w:id="737"/>
      <w:r>
        <w:rPr>
          <w:color w:val="0562C1"/>
          <w:position w:val="19"/>
          <w:u w:val="single" w:color="0562C1"/>
        </w:rPr>
        <w:t>[84]</w:t>
      </w:r>
      <w:r>
        <w:t>.</w:t>
      </w:r>
      <w:r>
        <w:rPr>
          <w:spacing w:val="-3"/>
        </w:rPr>
        <w:t xml:space="preserve"> </w:t>
      </w:r>
      <w:r>
        <w:t>See</w:t>
      </w:r>
      <w:r>
        <w:rPr>
          <w:spacing w:val="-4"/>
        </w:rPr>
        <w:t xml:space="preserve"> </w:t>
      </w:r>
      <w:r>
        <w:t>Kaplan</w:t>
      </w:r>
      <w:r>
        <w:rPr>
          <w:spacing w:val="-3"/>
        </w:rPr>
        <w:t xml:space="preserve"> </w:t>
      </w:r>
      <w:r>
        <w:t>(1989)</w:t>
      </w:r>
      <w:r>
        <w:rPr>
          <w:spacing w:val="-4"/>
        </w:rPr>
        <w:t xml:space="preserve"> </w:t>
      </w:r>
      <w:r>
        <w:t>for</w:t>
      </w:r>
      <w:r>
        <w:rPr>
          <w:spacing w:val="-4"/>
        </w:rPr>
        <w:t xml:space="preserve"> </w:t>
      </w:r>
      <w:r>
        <w:t>points</w:t>
      </w:r>
      <w:r>
        <w:rPr>
          <w:spacing w:val="-4"/>
        </w:rPr>
        <w:t xml:space="preserve"> </w:t>
      </w:r>
      <w:r>
        <w:t>very</w:t>
      </w:r>
      <w:r>
        <w:rPr>
          <w:spacing w:val="-3"/>
        </w:rPr>
        <w:t xml:space="preserve"> </w:t>
      </w:r>
      <w:r>
        <w:t>similar</w:t>
      </w:r>
      <w:r>
        <w:rPr>
          <w:spacing w:val="-4"/>
        </w:rPr>
        <w:t xml:space="preserve"> </w:t>
      </w:r>
      <w:r>
        <w:t>to</w:t>
      </w:r>
      <w:r>
        <w:rPr>
          <w:spacing w:val="-3"/>
        </w:rPr>
        <w:t xml:space="preserve"> </w:t>
      </w:r>
      <w:r>
        <w:t>those</w:t>
      </w:r>
      <w:r>
        <w:rPr>
          <w:spacing w:val="-4"/>
        </w:rPr>
        <w:t xml:space="preserve"> </w:t>
      </w:r>
      <w:r>
        <w:t>given</w:t>
      </w:r>
      <w:r>
        <w:rPr>
          <w:spacing w:val="-3"/>
        </w:rPr>
        <w:t xml:space="preserve"> </w:t>
      </w:r>
      <w:r>
        <w:t>in</w:t>
      </w:r>
      <w:r>
        <w:rPr>
          <w:spacing w:val="-3"/>
        </w:rPr>
        <w:t xml:space="preserve"> </w:t>
      </w:r>
      <w:r>
        <w:t xml:space="preserve">Sections </w:t>
      </w:r>
      <w:r>
        <w:rPr>
          <w:spacing w:val="-2"/>
        </w:rPr>
        <w:t>7.1–7.21.</w:t>
      </w:r>
    </w:p>
    <w:p w14:paraId="7E00305A" w14:textId="77777777" w:rsidR="009A58DB" w:rsidRDefault="00000000">
      <w:pPr>
        <w:pStyle w:val="BodyText"/>
        <w:spacing w:before="7" w:line="249" w:lineRule="auto"/>
        <w:ind w:left="720" w:right="430" w:hanging="360"/>
        <w:jc w:val="left"/>
      </w:pPr>
      <w:bookmarkStart w:id="738" w:name="_bookmark738"/>
      <w:bookmarkEnd w:id="738"/>
      <w:r>
        <w:rPr>
          <w:color w:val="0562C1"/>
          <w:position w:val="19"/>
          <w:u w:val="single" w:color="0562C1"/>
        </w:rPr>
        <w:t>[85]</w:t>
      </w:r>
      <w:r>
        <w:t>. Mediating concepts are obviously similar to what Frege refers to as ‘senses.’</w:t>
      </w:r>
      <w:r>
        <w:rPr>
          <w:spacing w:val="-5"/>
        </w:rPr>
        <w:t xml:space="preserve"> </w:t>
      </w:r>
      <w:r>
        <w:t>See</w:t>
      </w:r>
      <w:r>
        <w:rPr>
          <w:spacing w:val="-5"/>
        </w:rPr>
        <w:t xml:space="preserve"> </w:t>
      </w:r>
      <w:r>
        <w:t>Chapter</w:t>
      </w:r>
      <w:r>
        <w:rPr>
          <w:spacing w:val="-5"/>
        </w:rPr>
        <w:t xml:space="preserve"> </w:t>
      </w:r>
      <w:r>
        <w:t>5.</w:t>
      </w:r>
      <w:r>
        <w:rPr>
          <w:spacing w:val="-4"/>
        </w:rPr>
        <w:t xml:space="preserve"> </w:t>
      </w:r>
      <w:r>
        <w:t>But,</w:t>
      </w:r>
      <w:r>
        <w:rPr>
          <w:spacing w:val="-4"/>
        </w:rPr>
        <w:t xml:space="preserve"> </w:t>
      </w:r>
      <w:r>
        <w:t>not</w:t>
      </w:r>
      <w:r>
        <w:rPr>
          <w:spacing w:val="-5"/>
        </w:rPr>
        <w:t xml:space="preserve"> </w:t>
      </w:r>
      <w:r>
        <w:t>wanting</w:t>
      </w:r>
      <w:r>
        <w:rPr>
          <w:spacing w:val="-4"/>
        </w:rPr>
        <w:t xml:space="preserve"> </w:t>
      </w:r>
      <w:r>
        <w:t>to</w:t>
      </w:r>
      <w:r>
        <w:rPr>
          <w:spacing w:val="-4"/>
        </w:rPr>
        <w:t xml:space="preserve"> </w:t>
      </w:r>
      <w:r>
        <w:t>prejudge</w:t>
      </w:r>
      <w:r>
        <w:rPr>
          <w:spacing w:val="-5"/>
        </w:rPr>
        <w:t xml:space="preserve"> </w:t>
      </w:r>
      <w:r>
        <w:t>the</w:t>
      </w:r>
      <w:r>
        <w:rPr>
          <w:spacing w:val="-5"/>
        </w:rPr>
        <w:t xml:space="preserve"> </w:t>
      </w:r>
      <w:r>
        <w:t>delicate</w:t>
      </w:r>
      <w:r>
        <w:rPr>
          <w:spacing w:val="-5"/>
        </w:rPr>
        <w:t xml:space="preserve"> </w:t>
      </w:r>
      <w:r>
        <w:t>question of whether they’re identical with Fregean senses, I’ve decided to give them a different name.</w:t>
      </w:r>
    </w:p>
    <w:p w14:paraId="7E00305B" w14:textId="77777777" w:rsidR="009A58DB" w:rsidRDefault="00000000">
      <w:pPr>
        <w:pStyle w:val="BodyText"/>
        <w:spacing w:before="10" w:line="249" w:lineRule="auto"/>
        <w:ind w:left="720" w:right="417" w:hanging="360"/>
        <w:jc w:val="left"/>
      </w:pPr>
      <w:bookmarkStart w:id="739" w:name="_bookmark739"/>
      <w:bookmarkEnd w:id="739"/>
      <w:r>
        <w:rPr>
          <w:color w:val="0562C1"/>
          <w:position w:val="19"/>
          <w:u w:val="single" w:color="0562C1"/>
        </w:rPr>
        <w:t>[86]</w:t>
      </w:r>
      <w:r>
        <w:t xml:space="preserve">. My personal view is that </w:t>
      </w:r>
      <w:r>
        <w:rPr>
          <w:i/>
        </w:rPr>
        <w:t xml:space="preserve">ultimately </w:t>
      </w:r>
      <w:r>
        <w:t xml:space="preserve">definite descriptions are devices of reference. But they are not to be understood in remotely the way that Frege thought. My official policy in this book is that they are to be understood in the way that Russell proposed. Russell’s analysis, though not (in my view) a correct answer to the narrowly </w:t>
      </w:r>
      <w:r>
        <w:rPr>
          <w:i/>
        </w:rPr>
        <w:t xml:space="preserve">semantic </w:t>
      </w:r>
      <w:r>
        <w:t>question ‘are definite descriptions referring terms?’ makes it much easier to absorb the larger, more important epistemological, logical, and metaphysical points that it was his real purpose in putting forth the Theory of Descriptions to defend.</w:t>
      </w:r>
      <w:r>
        <w:rPr>
          <w:spacing w:val="-3"/>
        </w:rPr>
        <w:t xml:space="preserve"> </w:t>
      </w:r>
      <w:r>
        <w:t>See</w:t>
      </w:r>
      <w:r>
        <w:rPr>
          <w:spacing w:val="-4"/>
        </w:rPr>
        <w:t xml:space="preserve"> </w:t>
      </w:r>
      <w:r>
        <w:t>Kuczynski</w:t>
      </w:r>
      <w:r>
        <w:rPr>
          <w:spacing w:val="-4"/>
        </w:rPr>
        <w:t xml:space="preserve"> </w:t>
      </w:r>
      <w:r>
        <w:t>(2007),</w:t>
      </w:r>
      <w:r>
        <w:rPr>
          <w:spacing w:val="-3"/>
        </w:rPr>
        <w:t xml:space="preserve"> </w:t>
      </w:r>
      <w:r>
        <w:t>Chapters</w:t>
      </w:r>
      <w:r>
        <w:rPr>
          <w:spacing w:val="-4"/>
        </w:rPr>
        <w:t xml:space="preserve"> </w:t>
      </w:r>
      <w:r>
        <w:t>1–4</w:t>
      </w:r>
      <w:r>
        <w:rPr>
          <w:spacing w:val="-3"/>
        </w:rPr>
        <w:t xml:space="preserve"> </w:t>
      </w:r>
      <w:r>
        <w:t>for</w:t>
      </w:r>
      <w:r>
        <w:rPr>
          <w:spacing w:val="-4"/>
        </w:rPr>
        <w:t xml:space="preserve"> </w:t>
      </w:r>
      <w:r>
        <w:t>a</w:t>
      </w:r>
      <w:r>
        <w:rPr>
          <w:spacing w:val="-4"/>
        </w:rPr>
        <w:t xml:space="preserve"> </w:t>
      </w:r>
      <w:r>
        <w:t>defense</w:t>
      </w:r>
      <w:r>
        <w:rPr>
          <w:spacing w:val="-4"/>
        </w:rPr>
        <w:t xml:space="preserve"> </w:t>
      </w:r>
      <w:r>
        <w:t>of</w:t>
      </w:r>
      <w:r>
        <w:rPr>
          <w:spacing w:val="-4"/>
        </w:rPr>
        <w:t xml:space="preserve"> </w:t>
      </w:r>
      <w:r>
        <w:t>the</w:t>
      </w:r>
      <w:r>
        <w:rPr>
          <w:spacing w:val="-4"/>
        </w:rPr>
        <w:t xml:space="preserve"> </w:t>
      </w:r>
      <w:r>
        <w:t>view</w:t>
      </w:r>
      <w:r>
        <w:rPr>
          <w:spacing w:val="-4"/>
        </w:rPr>
        <w:t xml:space="preserve"> </w:t>
      </w:r>
      <w:r>
        <w:t>that definite descriptions are (non-Fregean) referring terms.</w:t>
      </w:r>
    </w:p>
    <w:p w14:paraId="7E00305C" w14:textId="77777777" w:rsidR="009A58DB" w:rsidRDefault="00000000">
      <w:pPr>
        <w:pStyle w:val="BodyText"/>
        <w:spacing w:before="18"/>
        <w:jc w:val="left"/>
      </w:pPr>
      <w:bookmarkStart w:id="740" w:name="_bookmark740"/>
      <w:bookmarkEnd w:id="740"/>
      <w:r>
        <w:rPr>
          <w:color w:val="0562C1"/>
          <w:position w:val="19"/>
          <w:u w:val="single" w:color="0562C1"/>
        </w:rPr>
        <w:t>[87]</w:t>
      </w:r>
      <w:r>
        <w:t>.</w:t>
      </w:r>
      <w:r>
        <w:rPr>
          <w:spacing w:val="-5"/>
        </w:rPr>
        <w:t xml:space="preserve"> </w:t>
      </w:r>
      <w:r>
        <w:t>See</w:t>
      </w:r>
      <w:r>
        <w:rPr>
          <w:spacing w:val="-4"/>
        </w:rPr>
        <w:t xml:space="preserve"> </w:t>
      </w:r>
      <w:r>
        <w:t>Barwise</w:t>
      </w:r>
      <w:r>
        <w:rPr>
          <w:spacing w:val="-3"/>
        </w:rPr>
        <w:t xml:space="preserve"> </w:t>
      </w:r>
      <w:r>
        <w:t>and</w:t>
      </w:r>
      <w:r>
        <w:rPr>
          <w:spacing w:val="-3"/>
        </w:rPr>
        <w:t xml:space="preserve"> </w:t>
      </w:r>
      <w:r>
        <w:t>Perry</w:t>
      </w:r>
      <w:r>
        <w:rPr>
          <w:spacing w:val="-3"/>
        </w:rPr>
        <w:t xml:space="preserve"> </w:t>
      </w:r>
      <w:r>
        <w:t>(1983)</w:t>
      </w:r>
      <w:r>
        <w:rPr>
          <w:spacing w:val="-3"/>
        </w:rPr>
        <w:t xml:space="preserve"> </w:t>
      </w:r>
      <w:r>
        <w:t>and</w:t>
      </w:r>
      <w:r>
        <w:rPr>
          <w:spacing w:val="-3"/>
        </w:rPr>
        <w:t xml:space="preserve"> </w:t>
      </w:r>
      <w:r>
        <w:t>Kuczynski</w:t>
      </w:r>
      <w:r>
        <w:rPr>
          <w:spacing w:val="-3"/>
        </w:rPr>
        <w:t xml:space="preserve"> </w:t>
      </w:r>
      <w:r>
        <w:rPr>
          <w:spacing w:val="-2"/>
        </w:rPr>
        <w:t>(2006).</w:t>
      </w:r>
    </w:p>
    <w:p w14:paraId="7E00305D" w14:textId="77777777" w:rsidR="009A58DB" w:rsidRDefault="009A58DB">
      <w:pPr>
        <w:pStyle w:val="BodyText"/>
        <w:jc w:val="left"/>
        <w:sectPr w:rsidR="009A58DB">
          <w:pgSz w:w="12240" w:h="15840"/>
          <w:pgMar w:top="1380" w:right="1080" w:bottom="280" w:left="1080" w:header="720" w:footer="720" w:gutter="0"/>
          <w:cols w:space="720"/>
        </w:sectPr>
      </w:pPr>
    </w:p>
    <w:p w14:paraId="7E00305E" w14:textId="77777777" w:rsidR="009A58DB" w:rsidRDefault="00000000">
      <w:pPr>
        <w:pStyle w:val="BodyText"/>
        <w:spacing w:before="70" w:line="254" w:lineRule="auto"/>
        <w:ind w:right="4416"/>
        <w:jc w:val="left"/>
      </w:pPr>
      <w:bookmarkStart w:id="741" w:name="_bookmark741"/>
      <w:bookmarkEnd w:id="741"/>
      <w:r>
        <w:rPr>
          <w:color w:val="0562C1"/>
          <w:position w:val="19"/>
          <w:u w:val="single" w:color="0562C1"/>
        </w:rPr>
        <w:t>[88]</w:t>
      </w:r>
      <w:r>
        <w:t xml:space="preserve">. “IA” is short for “interior angles.” </w:t>
      </w:r>
      <w:bookmarkStart w:id="742" w:name="_bookmark742"/>
      <w:bookmarkEnd w:id="742"/>
      <w:r>
        <w:rPr>
          <w:color w:val="0562C1"/>
          <w:position w:val="19"/>
          <w:u w:val="single" w:color="0562C1"/>
        </w:rPr>
        <w:t>[89]</w:t>
      </w:r>
      <w:r>
        <w:t>.</w:t>
      </w:r>
      <w:r>
        <w:rPr>
          <w:spacing w:val="-6"/>
        </w:rPr>
        <w:t xml:space="preserve"> </w:t>
      </w:r>
      <w:r>
        <w:t>“BH”</w:t>
      </w:r>
      <w:r>
        <w:rPr>
          <w:spacing w:val="-7"/>
        </w:rPr>
        <w:t xml:space="preserve"> </w:t>
      </w:r>
      <w:r>
        <w:t>is</w:t>
      </w:r>
      <w:r>
        <w:rPr>
          <w:spacing w:val="-7"/>
        </w:rPr>
        <w:t xml:space="preserve"> </w:t>
      </w:r>
      <w:r>
        <w:t>short</w:t>
      </w:r>
      <w:r>
        <w:rPr>
          <w:spacing w:val="-7"/>
        </w:rPr>
        <w:t xml:space="preserve"> </w:t>
      </w:r>
      <w:r>
        <w:t>for</w:t>
      </w:r>
      <w:r>
        <w:rPr>
          <w:spacing w:val="-7"/>
        </w:rPr>
        <w:t xml:space="preserve"> </w:t>
      </w:r>
      <w:r>
        <w:t>“Bill’s</w:t>
      </w:r>
      <w:r>
        <w:rPr>
          <w:spacing w:val="-7"/>
        </w:rPr>
        <w:t xml:space="preserve"> </w:t>
      </w:r>
      <w:r>
        <w:t>holdings.”</w:t>
      </w:r>
    </w:p>
    <w:p w14:paraId="7E00305F" w14:textId="77777777" w:rsidR="009A58DB" w:rsidRDefault="00000000">
      <w:pPr>
        <w:pStyle w:val="BodyText"/>
        <w:spacing w:line="249" w:lineRule="auto"/>
        <w:ind w:left="720" w:right="422" w:hanging="360"/>
        <w:jc w:val="left"/>
      </w:pPr>
      <w:bookmarkStart w:id="743" w:name="_bookmark743"/>
      <w:bookmarkEnd w:id="743"/>
      <w:r>
        <w:rPr>
          <w:color w:val="0562C1"/>
          <w:position w:val="19"/>
          <w:u w:val="single" w:color="0562C1"/>
        </w:rPr>
        <w:t>[90]</w:t>
      </w:r>
      <w:r>
        <w:t>. Barwise and Perry (1983) make similar points. See Kuczynski (2007) for</w:t>
      </w:r>
      <w:r>
        <w:rPr>
          <w:spacing w:val="-4"/>
        </w:rPr>
        <w:t xml:space="preserve"> </w:t>
      </w:r>
      <w:r>
        <w:t>a</w:t>
      </w:r>
      <w:r>
        <w:rPr>
          <w:spacing w:val="-4"/>
        </w:rPr>
        <w:t xml:space="preserve"> </w:t>
      </w:r>
      <w:r>
        <w:t>thorough</w:t>
      </w:r>
      <w:r>
        <w:rPr>
          <w:spacing w:val="-3"/>
        </w:rPr>
        <w:t xml:space="preserve"> </w:t>
      </w:r>
      <w:r>
        <w:t>defense</w:t>
      </w:r>
      <w:r>
        <w:rPr>
          <w:spacing w:val="-4"/>
        </w:rPr>
        <w:t xml:space="preserve"> </w:t>
      </w:r>
      <w:r>
        <w:t>of</w:t>
      </w:r>
      <w:r>
        <w:rPr>
          <w:spacing w:val="-4"/>
        </w:rPr>
        <w:t xml:space="preserve"> </w:t>
      </w:r>
      <w:r>
        <w:t>this</w:t>
      </w:r>
      <w:r>
        <w:rPr>
          <w:spacing w:val="-4"/>
        </w:rPr>
        <w:t xml:space="preserve"> </w:t>
      </w:r>
      <w:r>
        <w:t>position.</w:t>
      </w:r>
      <w:r>
        <w:rPr>
          <w:spacing w:val="-3"/>
        </w:rPr>
        <w:t xml:space="preserve"> </w:t>
      </w:r>
      <w:r>
        <w:t>P.F.</w:t>
      </w:r>
      <w:r>
        <w:rPr>
          <w:spacing w:val="-3"/>
        </w:rPr>
        <w:t xml:space="preserve"> </w:t>
      </w:r>
      <w:r>
        <w:t>Strawson</w:t>
      </w:r>
      <w:r>
        <w:rPr>
          <w:spacing w:val="-3"/>
        </w:rPr>
        <w:t xml:space="preserve"> </w:t>
      </w:r>
      <w:r>
        <w:t>(1950)</w:t>
      </w:r>
      <w:r>
        <w:rPr>
          <w:spacing w:val="-4"/>
        </w:rPr>
        <w:t xml:space="preserve"> </w:t>
      </w:r>
      <w:r>
        <w:t>was</w:t>
      </w:r>
      <w:r>
        <w:rPr>
          <w:spacing w:val="-4"/>
        </w:rPr>
        <w:t xml:space="preserve"> </w:t>
      </w:r>
      <w:r>
        <w:t>the</w:t>
      </w:r>
      <w:r>
        <w:rPr>
          <w:spacing w:val="-4"/>
        </w:rPr>
        <w:t xml:space="preserve"> </w:t>
      </w:r>
      <w:r>
        <w:t>first author to put forth a viewpoint of this general kind.</w:t>
      </w:r>
    </w:p>
    <w:p w14:paraId="7E003060" w14:textId="77777777" w:rsidR="009A58DB" w:rsidRDefault="00000000">
      <w:pPr>
        <w:pStyle w:val="BodyText"/>
        <w:spacing w:before="7"/>
        <w:jc w:val="left"/>
      </w:pPr>
      <w:bookmarkStart w:id="744" w:name="_bookmark744"/>
      <w:bookmarkEnd w:id="744"/>
      <w:r>
        <w:rPr>
          <w:color w:val="0562C1"/>
          <w:position w:val="19"/>
          <w:u w:val="single" w:color="0562C1"/>
        </w:rPr>
        <w:t>[91]</w:t>
      </w:r>
      <w:r>
        <w:t>.</w:t>
      </w:r>
      <w:r>
        <w:rPr>
          <w:spacing w:val="-3"/>
        </w:rPr>
        <w:t xml:space="preserve"> </w:t>
      </w:r>
      <w:r>
        <w:t>Frege</w:t>
      </w:r>
      <w:r>
        <w:rPr>
          <w:spacing w:val="-3"/>
        </w:rPr>
        <w:t xml:space="preserve"> </w:t>
      </w:r>
      <w:r>
        <w:rPr>
          <w:spacing w:val="-2"/>
        </w:rPr>
        <w:t>(1954).</w:t>
      </w:r>
    </w:p>
    <w:p w14:paraId="7E003061" w14:textId="77777777" w:rsidR="009A58DB" w:rsidRDefault="00000000">
      <w:pPr>
        <w:pStyle w:val="BodyText"/>
        <w:spacing w:before="20" w:line="249" w:lineRule="auto"/>
        <w:ind w:left="720" w:right="794" w:hanging="360"/>
        <w:jc w:val="left"/>
      </w:pPr>
      <w:bookmarkStart w:id="745" w:name="_bookmark745"/>
      <w:bookmarkEnd w:id="745"/>
      <w:r>
        <w:rPr>
          <w:color w:val="0562C1"/>
          <w:position w:val="19"/>
          <w:u w:val="single" w:color="0562C1"/>
        </w:rPr>
        <w:t>[92]</w:t>
      </w:r>
      <w:r>
        <w:t>.</w:t>
      </w:r>
      <w:r>
        <w:rPr>
          <w:spacing w:val="-4"/>
        </w:rPr>
        <w:t xml:space="preserve"> </w:t>
      </w:r>
      <w:r>
        <w:t>Two</w:t>
      </w:r>
      <w:r>
        <w:rPr>
          <w:spacing w:val="-4"/>
        </w:rPr>
        <w:t xml:space="preserve"> </w:t>
      </w:r>
      <w:r>
        <w:t>statements</w:t>
      </w:r>
      <w:r>
        <w:rPr>
          <w:spacing w:val="-5"/>
        </w:rPr>
        <w:t xml:space="preserve"> </w:t>
      </w:r>
      <w:r>
        <w:t>are</w:t>
      </w:r>
      <w:r>
        <w:rPr>
          <w:spacing w:val="-5"/>
        </w:rPr>
        <w:t xml:space="preserve"> </w:t>
      </w:r>
      <w:r>
        <w:t>compatible</w:t>
      </w:r>
      <w:r>
        <w:rPr>
          <w:spacing w:val="-5"/>
        </w:rPr>
        <w:t xml:space="preserve"> </w:t>
      </w:r>
      <w:r>
        <w:t>if</w:t>
      </w:r>
      <w:r>
        <w:rPr>
          <w:spacing w:val="-5"/>
        </w:rPr>
        <w:t xml:space="preserve"> </w:t>
      </w:r>
      <w:r>
        <w:t>neither</w:t>
      </w:r>
      <w:r>
        <w:rPr>
          <w:spacing w:val="-5"/>
        </w:rPr>
        <w:t xml:space="preserve"> </w:t>
      </w:r>
      <w:r>
        <w:t>entails</w:t>
      </w:r>
      <w:r>
        <w:rPr>
          <w:spacing w:val="-5"/>
        </w:rPr>
        <w:t xml:space="preserve"> </w:t>
      </w:r>
      <w:r>
        <w:t>the</w:t>
      </w:r>
      <w:r>
        <w:rPr>
          <w:spacing w:val="-5"/>
        </w:rPr>
        <w:t xml:space="preserve"> </w:t>
      </w:r>
      <w:r>
        <w:t>negation</w:t>
      </w:r>
      <w:r>
        <w:rPr>
          <w:spacing w:val="-4"/>
        </w:rPr>
        <w:t xml:space="preserve"> </w:t>
      </w:r>
      <w:r>
        <w:t>of</w:t>
      </w:r>
      <w:r>
        <w:rPr>
          <w:spacing w:val="-5"/>
        </w:rPr>
        <w:t xml:space="preserve"> </w:t>
      </w:r>
      <w:r>
        <w:t xml:space="preserve">the </w:t>
      </w:r>
      <w:r>
        <w:rPr>
          <w:spacing w:val="-2"/>
        </w:rPr>
        <w:t>other.</w:t>
      </w:r>
    </w:p>
    <w:p w14:paraId="7E003062" w14:textId="77777777" w:rsidR="009A58DB" w:rsidRDefault="00000000">
      <w:pPr>
        <w:pStyle w:val="BodyText"/>
        <w:spacing w:before="7"/>
        <w:jc w:val="left"/>
      </w:pPr>
      <w:bookmarkStart w:id="746" w:name="_bookmark746"/>
      <w:bookmarkEnd w:id="746"/>
      <w:r>
        <w:rPr>
          <w:color w:val="0562C1"/>
          <w:position w:val="19"/>
          <w:u w:val="single" w:color="0562C1"/>
        </w:rPr>
        <w:t>[93]</w:t>
      </w:r>
      <w:r>
        <w:t>.</w:t>
      </w:r>
      <w:r>
        <w:rPr>
          <w:spacing w:val="-5"/>
        </w:rPr>
        <w:t xml:space="preserve"> </w:t>
      </w:r>
      <w:r>
        <w:t>“WRS”</w:t>
      </w:r>
      <w:r>
        <w:rPr>
          <w:spacing w:val="-4"/>
        </w:rPr>
        <w:t xml:space="preserve"> </w:t>
      </w:r>
      <w:r>
        <w:t>stands</w:t>
      </w:r>
      <w:r>
        <w:rPr>
          <w:spacing w:val="-3"/>
        </w:rPr>
        <w:t xml:space="preserve"> </w:t>
      </w:r>
      <w:r>
        <w:t>for</w:t>
      </w:r>
      <w:r>
        <w:rPr>
          <w:spacing w:val="-4"/>
        </w:rPr>
        <w:t xml:space="preserve"> </w:t>
      </w:r>
      <w:r>
        <w:t>“wrong</w:t>
      </w:r>
      <w:r>
        <w:rPr>
          <w:spacing w:val="-3"/>
        </w:rPr>
        <w:t xml:space="preserve"> </w:t>
      </w:r>
      <w:r>
        <w:t>rule</w:t>
      </w:r>
      <w:r>
        <w:rPr>
          <w:spacing w:val="-3"/>
        </w:rPr>
        <w:t xml:space="preserve"> </w:t>
      </w:r>
      <w:r>
        <w:t>for</w:t>
      </w:r>
      <w:r>
        <w:rPr>
          <w:spacing w:val="-4"/>
        </w:rPr>
        <w:t xml:space="preserve"> </w:t>
      </w:r>
      <w:r>
        <w:t>‘someone.’</w:t>
      </w:r>
      <w:r>
        <w:rPr>
          <w:spacing w:val="-3"/>
        </w:rPr>
        <w:t xml:space="preserve"> </w:t>
      </w:r>
      <w:r>
        <w:rPr>
          <w:spacing w:val="-10"/>
        </w:rPr>
        <w:t>”</w:t>
      </w:r>
    </w:p>
    <w:p w14:paraId="7E003063" w14:textId="77777777" w:rsidR="009A58DB" w:rsidRDefault="00000000">
      <w:pPr>
        <w:pStyle w:val="BodyText"/>
        <w:spacing w:before="20"/>
        <w:jc w:val="left"/>
      </w:pPr>
      <w:bookmarkStart w:id="747" w:name="_bookmark747"/>
      <w:bookmarkEnd w:id="747"/>
      <w:r>
        <w:rPr>
          <w:color w:val="0562C1"/>
          <w:position w:val="19"/>
          <w:u w:val="single" w:color="0562C1"/>
        </w:rPr>
        <w:t>[94]</w:t>
      </w:r>
      <w:r>
        <w:t>.</w:t>
      </w:r>
      <w:r>
        <w:rPr>
          <w:spacing w:val="-5"/>
        </w:rPr>
        <w:t xml:space="preserve"> </w:t>
      </w:r>
      <w:r>
        <w:t>Arguably,</w:t>
      </w:r>
      <w:r>
        <w:rPr>
          <w:spacing w:val="-3"/>
        </w:rPr>
        <w:t xml:space="preserve"> </w:t>
      </w:r>
      <w:r>
        <w:t>not</w:t>
      </w:r>
      <w:r>
        <w:rPr>
          <w:spacing w:val="-4"/>
        </w:rPr>
        <w:t xml:space="preserve"> </w:t>
      </w:r>
      <w:r>
        <w:t>all</w:t>
      </w:r>
      <w:r>
        <w:rPr>
          <w:spacing w:val="-4"/>
        </w:rPr>
        <w:t xml:space="preserve"> </w:t>
      </w:r>
      <w:r>
        <w:t>sentences</w:t>
      </w:r>
      <w:r>
        <w:rPr>
          <w:spacing w:val="-4"/>
        </w:rPr>
        <w:t xml:space="preserve"> </w:t>
      </w:r>
      <w:r>
        <w:t>containing</w:t>
      </w:r>
      <w:r>
        <w:rPr>
          <w:spacing w:val="-3"/>
        </w:rPr>
        <w:t xml:space="preserve"> </w:t>
      </w:r>
      <w:r>
        <w:t>‘someone’</w:t>
      </w:r>
      <w:r>
        <w:rPr>
          <w:spacing w:val="-4"/>
        </w:rPr>
        <w:t xml:space="preserve"> </w:t>
      </w:r>
      <w:r>
        <w:t>have</w:t>
      </w:r>
      <w:r>
        <w:rPr>
          <w:spacing w:val="-4"/>
        </w:rPr>
        <w:t xml:space="preserve"> </w:t>
      </w:r>
      <w:r>
        <w:t>the</w:t>
      </w:r>
      <w:r>
        <w:rPr>
          <w:spacing w:val="-3"/>
        </w:rPr>
        <w:t xml:space="preserve"> </w:t>
      </w:r>
      <w:r>
        <w:rPr>
          <w:spacing w:val="-4"/>
        </w:rPr>
        <w:t>form</w:t>
      </w:r>
    </w:p>
    <w:p w14:paraId="7E003064" w14:textId="77777777" w:rsidR="009A58DB" w:rsidRDefault="00000000">
      <w:pPr>
        <w:pStyle w:val="BodyText"/>
        <w:spacing w:before="16" w:line="249" w:lineRule="auto"/>
        <w:ind w:left="720" w:right="422"/>
        <w:jc w:val="left"/>
      </w:pPr>
      <w:r>
        <w:t>‹someone has psi.› For example, “Plato kicked someone” seems not to have</w:t>
      </w:r>
      <w:r>
        <w:rPr>
          <w:spacing w:val="-4"/>
        </w:rPr>
        <w:t xml:space="preserve"> </w:t>
      </w:r>
      <w:r>
        <w:t>that</w:t>
      </w:r>
      <w:r>
        <w:rPr>
          <w:spacing w:val="-4"/>
        </w:rPr>
        <w:t xml:space="preserve"> </w:t>
      </w:r>
      <w:r>
        <w:t>form.</w:t>
      </w:r>
      <w:r>
        <w:rPr>
          <w:spacing w:val="-3"/>
        </w:rPr>
        <w:t xml:space="preserve"> </w:t>
      </w:r>
      <w:r>
        <w:t>For</w:t>
      </w:r>
      <w:r>
        <w:rPr>
          <w:spacing w:val="-4"/>
        </w:rPr>
        <w:t xml:space="preserve"> </w:t>
      </w:r>
      <w:r>
        <w:t>this</w:t>
      </w:r>
      <w:r>
        <w:rPr>
          <w:spacing w:val="-4"/>
        </w:rPr>
        <w:t xml:space="preserve"> </w:t>
      </w:r>
      <w:r>
        <w:t>reason,</w:t>
      </w:r>
      <w:r>
        <w:rPr>
          <w:spacing w:val="-3"/>
        </w:rPr>
        <w:t xml:space="preserve"> </w:t>
      </w:r>
      <w:r>
        <w:t>RFS,</w:t>
      </w:r>
      <w:r>
        <w:rPr>
          <w:spacing w:val="-3"/>
        </w:rPr>
        <w:t xml:space="preserve"> </w:t>
      </w:r>
      <w:r>
        <w:t>at</w:t>
      </w:r>
      <w:r>
        <w:rPr>
          <w:spacing w:val="-4"/>
        </w:rPr>
        <w:t xml:space="preserve"> </w:t>
      </w:r>
      <w:r>
        <w:t>least</w:t>
      </w:r>
      <w:r>
        <w:rPr>
          <w:spacing w:val="-4"/>
        </w:rPr>
        <w:t xml:space="preserve"> </w:t>
      </w:r>
      <w:r>
        <w:t>arguably,</w:t>
      </w:r>
      <w:r>
        <w:rPr>
          <w:spacing w:val="-3"/>
        </w:rPr>
        <w:t xml:space="preserve"> </w:t>
      </w:r>
      <w:r>
        <w:t>isn’t</w:t>
      </w:r>
      <w:r>
        <w:rPr>
          <w:spacing w:val="-4"/>
        </w:rPr>
        <w:t xml:space="preserve"> </w:t>
      </w:r>
      <w:r>
        <w:t>adequate.</w:t>
      </w:r>
      <w:r>
        <w:rPr>
          <w:spacing w:val="-3"/>
        </w:rPr>
        <w:t xml:space="preserve"> </w:t>
      </w:r>
      <w:r>
        <w:t>A more accurate, because more general, definition of “someone” is:</w:t>
      </w:r>
    </w:p>
    <w:p w14:paraId="7E003065" w14:textId="77777777" w:rsidR="009A58DB" w:rsidRDefault="00000000">
      <w:pPr>
        <w:pStyle w:val="BodyText"/>
        <w:spacing w:before="3" w:line="249" w:lineRule="auto"/>
        <w:ind w:left="720" w:right="492" w:firstLine="90"/>
        <w:jc w:val="left"/>
      </w:pPr>
      <w:r>
        <w:t>RFS*) In virtue of having the form ‹...someone...›, a sentence says that the</w:t>
      </w:r>
      <w:r>
        <w:rPr>
          <w:spacing w:val="-5"/>
        </w:rPr>
        <w:t xml:space="preserve"> </w:t>
      </w:r>
      <w:r>
        <w:t>property</w:t>
      </w:r>
      <w:r>
        <w:rPr>
          <w:spacing w:val="-4"/>
        </w:rPr>
        <w:t xml:space="preserve"> </w:t>
      </w:r>
      <w:r>
        <w:t>...</w:t>
      </w:r>
      <w:r>
        <w:rPr>
          <w:i/>
        </w:rPr>
        <w:t>x</w:t>
      </w:r>
      <w:r>
        <w:t>...</w:t>
      </w:r>
      <w:r>
        <w:rPr>
          <w:spacing w:val="-4"/>
        </w:rPr>
        <w:t xml:space="preserve"> </w:t>
      </w:r>
      <w:r>
        <w:t>is</w:t>
      </w:r>
      <w:r>
        <w:rPr>
          <w:spacing w:val="-5"/>
        </w:rPr>
        <w:t xml:space="preserve"> </w:t>
      </w:r>
      <w:r>
        <w:t>instantiated.</w:t>
      </w:r>
      <w:r>
        <w:rPr>
          <w:spacing w:val="-4"/>
        </w:rPr>
        <w:t xml:space="preserve"> </w:t>
      </w:r>
      <w:r>
        <w:t>Thus,</w:t>
      </w:r>
      <w:r>
        <w:rPr>
          <w:spacing w:val="-4"/>
        </w:rPr>
        <w:t xml:space="preserve"> </w:t>
      </w:r>
      <w:r>
        <w:t>“Plato</w:t>
      </w:r>
      <w:r>
        <w:rPr>
          <w:spacing w:val="-4"/>
        </w:rPr>
        <w:t xml:space="preserve"> </w:t>
      </w:r>
      <w:r>
        <w:t>kicked</w:t>
      </w:r>
      <w:r>
        <w:rPr>
          <w:spacing w:val="-4"/>
        </w:rPr>
        <w:t xml:space="preserve"> </w:t>
      </w:r>
      <w:r>
        <w:t>someone”</w:t>
      </w:r>
      <w:r>
        <w:rPr>
          <w:spacing w:val="-5"/>
        </w:rPr>
        <w:t xml:space="preserve"> </w:t>
      </w:r>
      <w:r>
        <w:t>says</w:t>
      </w:r>
      <w:r>
        <w:rPr>
          <w:spacing w:val="-5"/>
        </w:rPr>
        <w:t xml:space="preserve"> </w:t>
      </w:r>
      <w:r>
        <w:t>that the property being a thing that is kicked by Plato is instantiated. RFS* collapses into RFS, the reason being that any sentence of the form</w:t>
      </w:r>
    </w:p>
    <w:p w14:paraId="7E003066" w14:textId="77777777" w:rsidR="009A58DB" w:rsidRDefault="00000000">
      <w:pPr>
        <w:pStyle w:val="BodyText"/>
        <w:spacing w:before="5" w:line="249" w:lineRule="auto"/>
        <w:ind w:left="720" w:right="365"/>
        <w:jc w:val="left"/>
      </w:pPr>
      <w:r>
        <w:t>‹...someone...› can be represented as having the form ‹someone has psi.› For</w:t>
      </w:r>
      <w:r>
        <w:rPr>
          <w:spacing w:val="-5"/>
        </w:rPr>
        <w:t xml:space="preserve"> </w:t>
      </w:r>
      <w:r>
        <w:t>example,</w:t>
      </w:r>
      <w:r>
        <w:rPr>
          <w:spacing w:val="-4"/>
        </w:rPr>
        <w:t xml:space="preserve"> </w:t>
      </w:r>
      <w:r>
        <w:t>“Plato</w:t>
      </w:r>
      <w:r>
        <w:rPr>
          <w:spacing w:val="-4"/>
        </w:rPr>
        <w:t xml:space="preserve"> </w:t>
      </w:r>
      <w:r>
        <w:t>kicked</w:t>
      </w:r>
      <w:r>
        <w:rPr>
          <w:spacing w:val="-4"/>
        </w:rPr>
        <w:t xml:space="preserve"> </w:t>
      </w:r>
      <w:r>
        <w:t>someone”</w:t>
      </w:r>
      <w:r>
        <w:rPr>
          <w:spacing w:val="-5"/>
        </w:rPr>
        <w:t xml:space="preserve"> </w:t>
      </w:r>
      <w:r>
        <w:t>says</w:t>
      </w:r>
      <w:r>
        <w:rPr>
          <w:spacing w:val="-5"/>
        </w:rPr>
        <w:t xml:space="preserve"> </w:t>
      </w:r>
      <w:r>
        <w:t>the</w:t>
      </w:r>
      <w:r>
        <w:rPr>
          <w:spacing w:val="-5"/>
        </w:rPr>
        <w:t xml:space="preserve"> </w:t>
      </w:r>
      <w:r>
        <w:t>same</w:t>
      </w:r>
      <w:r>
        <w:rPr>
          <w:spacing w:val="-5"/>
        </w:rPr>
        <w:t xml:space="preserve"> </w:t>
      </w:r>
      <w:r>
        <w:t>thing</w:t>
      </w:r>
      <w:r>
        <w:rPr>
          <w:spacing w:val="-4"/>
        </w:rPr>
        <w:t xml:space="preserve"> </w:t>
      </w:r>
      <w:r>
        <w:t>as</w:t>
      </w:r>
      <w:r>
        <w:rPr>
          <w:spacing w:val="-5"/>
        </w:rPr>
        <w:t xml:space="preserve"> </w:t>
      </w:r>
      <w:r>
        <w:t>“someone</w:t>
      </w:r>
      <w:r>
        <w:rPr>
          <w:spacing w:val="-5"/>
        </w:rPr>
        <w:t xml:space="preserve"> </w:t>
      </w:r>
      <w:r>
        <w:t>is such that Plato kicked that person.”</w:t>
      </w:r>
    </w:p>
    <w:p w14:paraId="7E003067" w14:textId="77777777" w:rsidR="009A58DB" w:rsidRDefault="00000000">
      <w:pPr>
        <w:pStyle w:val="BodyText"/>
        <w:spacing w:before="4" w:line="249" w:lineRule="auto"/>
        <w:ind w:left="720" w:right="422" w:firstLine="90"/>
        <w:jc w:val="left"/>
      </w:pPr>
      <w:r>
        <w:t xml:space="preserve">What we just said about ‘someone’ is true </w:t>
      </w:r>
      <w:r>
        <w:rPr>
          <w:i/>
        </w:rPr>
        <w:t xml:space="preserve">mutatis mutandis </w:t>
      </w:r>
      <w:r>
        <w:t>of all other expressions</w:t>
      </w:r>
      <w:r>
        <w:rPr>
          <w:spacing w:val="-5"/>
        </w:rPr>
        <w:t xml:space="preserve"> </w:t>
      </w:r>
      <w:r>
        <w:t>that</w:t>
      </w:r>
      <w:r>
        <w:rPr>
          <w:spacing w:val="-5"/>
        </w:rPr>
        <w:t xml:space="preserve"> </w:t>
      </w:r>
      <w:r>
        <w:t>are</w:t>
      </w:r>
      <w:r>
        <w:rPr>
          <w:spacing w:val="-5"/>
        </w:rPr>
        <w:t xml:space="preserve"> </w:t>
      </w:r>
      <w:r>
        <w:t>to</w:t>
      </w:r>
      <w:r>
        <w:rPr>
          <w:spacing w:val="-4"/>
        </w:rPr>
        <w:t xml:space="preserve"> </w:t>
      </w:r>
      <w:r>
        <w:t>be</w:t>
      </w:r>
      <w:r>
        <w:rPr>
          <w:spacing w:val="-5"/>
        </w:rPr>
        <w:t xml:space="preserve"> </w:t>
      </w:r>
      <w:r>
        <w:t>defined</w:t>
      </w:r>
      <w:r>
        <w:rPr>
          <w:spacing w:val="-4"/>
        </w:rPr>
        <w:t xml:space="preserve"> </w:t>
      </w:r>
      <w:r>
        <w:t>contextually,</w:t>
      </w:r>
      <w:r>
        <w:rPr>
          <w:spacing w:val="-4"/>
        </w:rPr>
        <w:t xml:space="preserve"> </w:t>
      </w:r>
      <w:r>
        <w:t>which,</w:t>
      </w:r>
      <w:r>
        <w:rPr>
          <w:spacing w:val="-4"/>
        </w:rPr>
        <w:t xml:space="preserve"> </w:t>
      </w:r>
      <w:r>
        <w:t>given</w:t>
      </w:r>
      <w:r>
        <w:rPr>
          <w:spacing w:val="-4"/>
        </w:rPr>
        <w:t xml:space="preserve"> </w:t>
      </w:r>
      <w:r>
        <w:t>the</w:t>
      </w:r>
      <w:r>
        <w:rPr>
          <w:spacing w:val="-5"/>
        </w:rPr>
        <w:t xml:space="preserve"> </w:t>
      </w:r>
      <w:r>
        <w:t>fact</w:t>
      </w:r>
      <w:r>
        <w:rPr>
          <w:spacing w:val="-5"/>
        </w:rPr>
        <w:t xml:space="preserve"> </w:t>
      </w:r>
      <w:r>
        <w:t xml:space="preserve">that all expressions are to be defined contextually, means that it’s true of all </w:t>
      </w:r>
      <w:r>
        <w:rPr>
          <w:spacing w:val="-2"/>
        </w:rPr>
        <w:t>expressions.</w:t>
      </w:r>
    </w:p>
    <w:p w14:paraId="7E003068" w14:textId="77777777" w:rsidR="009A58DB" w:rsidRDefault="00000000">
      <w:pPr>
        <w:pStyle w:val="BodyText"/>
        <w:spacing w:before="10"/>
        <w:jc w:val="left"/>
      </w:pPr>
      <w:bookmarkStart w:id="748" w:name="_bookmark748"/>
      <w:bookmarkEnd w:id="748"/>
      <w:r>
        <w:rPr>
          <w:color w:val="0562C1"/>
          <w:position w:val="19"/>
          <w:u w:val="single" w:color="0562C1"/>
        </w:rPr>
        <w:t>[95]</w:t>
      </w:r>
      <w:r>
        <w:t>.</w:t>
      </w:r>
      <w:r>
        <w:rPr>
          <w:spacing w:val="-3"/>
        </w:rPr>
        <w:t xml:space="preserve"> </w:t>
      </w:r>
      <w:r>
        <w:t>‘PS’</w:t>
      </w:r>
      <w:r>
        <w:rPr>
          <w:spacing w:val="-3"/>
        </w:rPr>
        <w:t xml:space="preserve"> </w:t>
      </w:r>
      <w:r>
        <w:t>stands</w:t>
      </w:r>
      <w:r>
        <w:rPr>
          <w:spacing w:val="-3"/>
        </w:rPr>
        <w:t xml:space="preserve"> </w:t>
      </w:r>
      <w:r>
        <w:t>for</w:t>
      </w:r>
      <w:r>
        <w:rPr>
          <w:spacing w:val="-3"/>
        </w:rPr>
        <w:t xml:space="preserve"> </w:t>
      </w:r>
      <w:r>
        <w:t>“the</w:t>
      </w:r>
      <w:r>
        <w:rPr>
          <w:spacing w:val="-3"/>
        </w:rPr>
        <w:t xml:space="preserve"> </w:t>
      </w:r>
      <w:r>
        <w:t>property</w:t>
      </w:r>
      <w:r>
        <w:rPr>
          <w:spacing w:val="-2"/>
        </w:rPr>
        <w:t xml:space="preserve"> </w:t>
      </w:r>
      <w:r>
        <w:t>of</w:t>
      </w:r>
      <w:r>
        <w:rPr>
          <w:spacing w:val="-3"/>
        </w:rPr>
        <w:t xml:space="preserve"> </w:t>
      </w:r>
      <w:r>
        <w:rPr>
          <w:spacing w:val="-2"/>
        </w:rPr>
        <w:t>snoring.”</w:t>
      </w:r>
    </w:p>
    <w:p w14:paraId="7E003069" w14:textId="77777777" w:rsidR="009A58DB" w:rsidRDefault="00000000">
      <w:pPr>
        <w:pStyle w:val="BodyText"/>
        <w:spacing w:before="20" w:line="249" w:lineRule="auto"/>
        <w:ind w:left="720" w:right="365" w:hanging="360"/>
        <w:jc w:val="left"/>
      </w:pPr>
      <w:bookmarkStart w:id="749" w:name="_bookmark749"/>
      <w:bookmarkEnd w:id="749"/>
      <w:r>
        <w:rPr>
          <w:color w:val="0562C1"/>
          <w:position w:val="19"/>
          <w:u w:val="single" w:color="0562C1"/>
        </w:rPr>
        <w:t>[96]</w:t>
      </w:r>
      <w:r>
        <w:t>. Frege (1891, 1892b). A research program in linguistics, known as “Montague</w:t>
      </w:r>
      <w:r>
        <w:rPr>
          <w:spacing w:val="-5"/>
        </w:rPr>
        <w:t xml:space="preserve"> </w:t>
      </w:r>
      <w:r>
        <w:t>grammar”</w:t>
      </w:r>
      <w:r>
        <w:rPr>
          <w:spacing w:val="-5"/>
        </w:rPr>
        <w:t xml:space="preserve"> </w:t>
      </w:r>
      <w:r>
        <w:t>is</w:t>
      </w:r>
      <w:r>
        <w:rPr>
          <w:spacing w:val="-5"/>
        </w:rPr>
        <w:t xml:space="preserve"> </w:t>
      </w:r>
      <w:r>
        <w:t>based</w:t>
      </w:r>
      <w:r>
        <w:rPr>
          <w:spacing w:val="-4"/>
        </w:rPr>
        <w:t xml:space="preserve"> </w:t>
      </w:r>
      <w:r>
        <w:t>on</w:t>
      </w:r>
      <w:r>
        <w:rPr>
          <w:spacing w:val="-4"/>
        </w:rPr>
        <w:t xml:space="preserve"> </w:t>
      </w:r>
      <w:r>
        <w:t>developments</w:t>
      </w:r>
      <w:r>
        <w:rPr>
          <w:spacing w:val="-5"/>
        </w:rPr>
        <w:t xml:space="preserve"> </w:t>
      </w:r>
      <w:r>
        <w:t>of</w:t>
      </w:r>
      <w:r>
        <w:rPr>
          <w:spacing w:val="-5"/>
        </w:rPr>
        <w:t xml:space="preserve"> </w:t>
      </w:r>
      <w:r>
        <w:t>these</w:t>
      </w:r>
      <w:r>
        <w:rPr>
          <w:spacing w:val="-5"/>
        </w:rPr>
        <w:t xml:space="preserve"> </w:t>
      </w:r>
      <w:r>
        <w:t>points</w:t>
      </w:r>
      <w:r>
        <w:rPr>
          <w:spacing w:val="-5"/>
        </w:rPr>
        <w:t xml:space="preserve"> </w:t>
      </w:r>
      <w:r>
        <w:t>of</w:t>
      </w:r>
      <w:r>
        <w:rPr>
          <w:spacing w:val="-5"/>
        </w:rPr>
        <w:t xml:space="preserve"> </w:t>
      </w:r>
      <w:r>
        <w:t>Frege’s due to Richard Montague (1930–1971). See Montague (1974).</w:t>
      </w:r>
    </w:p>
    <w:p w14:paraId="7E00306A" w14:textId="77777777" w:rsidR="009A58DB" w:rsidRDefault="00000000">
      <w:pPr>
        <w:spacing w:before="3" w:line="256" w:lineRule="auto"/>
        <w:ind w:left="720" w:right="362" w:hanging="360"/>
        <w:jc w:val="both"/>
        <w:rPr>
          <w:i/>
        </w:rPr>
      </w:pPr>
      <w:bookmarkStart w:id="750" w:name="_bookmark750"/>
      <w:bookmarkEnd w:id="750"/>
      <w:r>
        <w:rPr>
          <w:color w:val="0562C1"/>
          <w:position w:val="18"/>
          <w:u w:val="single" w:color="0562C1"/>
        </w:rPr>
        <w:t>[97]</w:t>
      </w:r>
      <w:r>
        <w:t>.</w:t>
      </w:r>
      <w:r>
        <w:rPr>
          <w:spacing w:val="80"/>
        </w:rPr>
        <w:t xml:space="preserve">  </w:t>
      </w:r>
      <w:r>
        <w:t>Wittgenstein</w:t>
      </w:r>
      <w:r>
        <w:rPr>
          <w:spacing w:val="40"/>
        </w:rPr>
        <w:t xml:space="preserve"> </w:t>
      </w:r>
      <w:r>
        <w:t>(1958)</w:t>
      </w:r>
      <w:r>
        <w:rPr>
          <w:spacing w:val="40"/>
        </w:rPr>
        <w:t xml:space="preserve"> </w:t>
      </w:r>
      <w:r>
        <w:t>and</w:t>
      </w:r>
      <w:r>
        <w:rPr>
          <w:spacing w:val="40"/>
        </w:rPr>
        <w:t xml:space="preserve"> </w:t>
      </w:r>
      <w:r>
        <w:t>new-Wittgensteinians,</w:t>
      </w:r>
      <w:r>
        <w:rPr>
          <w:spacing w:val="40"/>
        </w:rPr>
        <w:t xml:space="preserve"> </w:t>
      </w:r>
      <w:r>
        <w:t>such</w:t>
      </w:r>
      <w:r>
        <w:rPr>
          <w:spacing w:val="40"/>
        </w:rPr>
        <w:t xml:space="preserve"> </w:t>
      </w:r>
      <w:r>
        <w:t>as</w:t>
      </w:r>
      <w:r>
        <w:rPr>
          <w:spacing w:val="40"/>
        </w:rPr>
        <w:t xml:space="preserve"> </w:t>
      </w:r>
      <w:r>
        <w:t>John</w:t>
      </w:r>
      <w:r>
        <w:rPr>
          <w:spacing w:val="40"/>
        </w:rPr>
        <w:t xml:space="preserve"> </w:t>
      </w:r>
      <w:r>
        <w:t>McDowell,</w:t>
      </w:r>
      <w:r>
        <w:rPr>
          <w:spacing w:val="40"/>
        </w:rPr>
        <w:t xml:space="preserve"> </w:t>
      </w:r>
      <w:r>
        <w:t>hold</w:t>
      </w:r>
      <w:r>
        <w:rPr>
          <w:spacing w:val="40"/>
        </w:rPr>
        <w:t xml:space="preserve"> </w:t>
      </w:r>
      <w:r>
        <w:t>this.</w:t>
      </w:r>
      <w:r>
        <w:rPr>
          <w:spacing w:val="40"/>
        </w:rPr>
        <w:t xml:space="preserve"> </w:t>
      </w:r>
      <w:r>
        <w:t xml:space="preserve">See McDowell (1994, 1998). Donald Davidson has argued for this thesis on several occasions. See his book </w:t>
      </w:r>
      <w:r>
        <w:rPr>
          <w:i/>
        </w:rPr>
        <w:t>Inquiries into Truth and Intepretation.</w:t>
      </w:r>
    </w:p>
    <w:p w14:paraId="7E00306B" w14:textId="77777777" w:rsidR="009A58DB" w:rsidRDefault="009A58DB">
      <w:pPr>
        <w:spacing w:line="256" w:lineRule="auto"/>
        <w:jc w:val="both"/>
        <w:rPr>
          <w:i/>
        </w:rPr>
        <w:sectPr w:rsidR="009A58DB">
          <w:pgSz w:w="12240" w:h="15840"/>
          <w:pgMar w:top="1380" w:right="1080" w:bottom="280" w:left="1080" w:header="720" w:footer="720" w:gutter="0"/>
          <w:cols w:space="720"/>
        </w:sectPr>
      </w:pPr>
    </w:p>
    <w:p w14:paraId="7E00306C" w14:textId="77777777" w:rsidR="009A58DB" w:rsidRDefault="00000000">
      <w:pPr>
        <w:spacing w:before="84" w:line="256" w:lineRule="auto"/>
        <w:ind w:left="720" w:right="367" w:hanging="360"/>
        <w:jc w:val="both"/>
      </w:pPr>
      <w:bookmarkStart w:id="751" w:name="_bookmark751"/>
      <w:bookmarkEnd w:id="751"/>
      <w:r>
        <w:rPr>
          <w:color w:val="0562C1"/>
          <w:position w:val="18"/>
          <w:u w:val="single" w:color="0562C1"/>
        </w:rPr>
        <w:t>[98]</w:t>
      </w:r>
      <w:r>
        <w:t>.</w:t>
      </w:r>
      <w:r>
        <w:rPr>
          <w:spacing w:val="80"/>
        </w:rPr>
        <w:t xml:space="preserve">  </w:t>
      </w:r>
      <w:r>
        <w:t>The most well-known advocate of this view is Jerry Fodor. See Fodor (1975, 1981, 1987). See also Fodor and Pylyshin (1987) and Pylyshin (1984).</w:t>
      </w:r>
    </w:p>
    <w:p w14:paraId="7E00306D" w14:textId="77777777" w:rsidR="009A58DB" w:rsidRDefault="00000000">
      <w:pPr>
        <w:tabs>
          <w:tab w:val="left" w:pos="1015"/>
        </w:tabs>
        <w:spacing w:line="432" w:lineRule="exact"/>
        <w:ind w:left="360"/>
      </w:pPr>
      <w:bookmarkStart w:id="752" w:name="_bookmark752"/>
      <w:bookmarkEnd w:id="752"/>
      <w:r>
        <w:rPr>
          <w:color w:val="0562C1"/>
          <w:spacing w:val="-2"/>
          <w:position w:val="18"/>
          <w:u w:val="single" w:color="0562C1"/>
        </w:rPr>
        <w:t>[99]</w:t>
      </w:r>
      <w:r>
        <w:rPr>
          <w:spacing w:val="-2"/>
        </w:rPr>
        <w:t>.</w:t>
      </w:r>
      <w:r>
        <w:tab/>
        <w:t>Fodor</w:t>
      </w:r>
      <w:r>
        <w:rPr>
          <w:spacing w:val="10"/>
        </w:rPr>
        <w:t xml:space="preserve"> </w:t>
      </w:r>
      <w:r>
        <w:t>(1998b)</w:t>
      </w:r>
      <w:r>
        <w:rPr>
          <w:spacing w:val="10"/>
        </w:rPr>
        <w:t xml:space="preserve"> </w:t>
      </w:r>
      <w:r>
        <w:t>makes</w:t>
      </w:r>
      <w:r>
        <w:rPr>
          <w:spacing w:val="10"/>
        </w:rPr>
        <w:t xml:space="preserve"> </w:t>
      </w:r>
      <w:r>
        <w:t>similar</w:t>
      </w:r>
      <w:r>
        <w:rPr>
          <w:spacing w:val="10"/>
        </w:rPr>
        <w:t xml:space="preserve"> </w:t>
      </w:r>
      <w:r>
        <w:t>points</w:t>
      </w:r>
      <w:r>
        <w:rPr>
          <w:spacing w:val="11"/>
        </w:rPr>
        <w:t xml:space="preserve"> </w:t>
      </w:r>
      <w:r>
        <w:t>(though</w:t>
      </w:r>
      <w:r>
        <w:rPr>
          <w:spacing w:val="10"/>
        </w:rPr>
        <w:t xml:space="preserve"> </w:t>
      </w:r>
      <w:r>
        <w:t>not</w:t>
      </w:r>
      <w:r>
        <w:rPr>
          <w:spacing w:val="10"/>
        </w:rPr>
        <w:t xml:space="preserve"> </w:t>
      </w:r>
      <w:r>
        <w:t>quite</w:t>
      </w:r>
      <w:r>
        <w:rPr>
          <w:spacing w:val="10"/>
        </w:rPr>
        <w:t xml:space="preserve"> </w:t>
      </w:r>
      <w:r>
        <w:t>coincident</w:t>
      </w:r>
      <w:r>
        <w:rPr>
          <w:spacing w:val="11"/>
        </w:rPr>
        <w:t xml:space="preserve"> </w:t>
      </w:r>
      <w:r>
        <w:rPr>
          <w:spacing w:val="-2"/>
        </w:rPr>
        <w:t>ones).</w:t>
      </w:r>
    </w:p>
    <w:p w14:paraId="7E00306E" w14:textId="77777777" w:rsidR="009A58DB" w:rsidRDefault="00000000">
      <w:pPr>
        <w:tabs>
          <w:tab w:val="left" w:pos="1139"/>
        </w:tabs>
        <w:spacing w:before="17" w:line="256" w:lineRule="auto"/>
        <w:ind w:left="360" w:right="365"/>
      </w:pPr>
      <w:bookmarkStart w:id="753" w:name="_bookmark753"/>
      <w:bookmarkEnd w:id="753"/>
      <w:r>
        <w:rPr>
          <w:color w:val="0562C1"/>
          <w:position w:val="18"/>
          <w:u w:val="single" w:color="0562C1"/>
        </w:rPr>
        <w:t>[100]</w:t>
      </w:r>
      <w:r>
        <w:t>.</w:t>
      </w:r>
      <w:r>
        <w:rPr>
          <w:spacing w:val="80"/>
          <w:w w:val="150"/>
        </w:rPr>
        <w:t xml:space="preserve"> </w:t>
      </w:r>
      <w:r>
        <w:t xml:space="preserve">Fodor (1998b) gives arguments similar to, if not coincident with, this argument and the next. </w:t>
      </w:r>
      <w:bookmarkStart w:id="754" w:name="_bookmark754"/>
      <w:bookmarkEnd w:id="754"/>
      <w:r>
        <w:rPr>
          <w:color w:val="0562C1"/>
          <w:spacing w:val="-2"/>
          <w:position w:val="18"/>
          <w:u w:val="single" w:color="0562C1"/>
        </w:rPr>
        <w:t>[101]</w:t>
      </w:r>
      <w:r>
        <w:rPr>
          <w:spacing w:val="-2"/>
        </w:rPr>
        <w:t>.</w:t>
      </w:r>
      <w:r>
        <w:tab/>
        <w:t>Frege</w:t>
      </w:r>
      <w:r>
        <w:rPr>
          <w:spacing w:val="31"/>
        </w:rPr>
        <w:t xml:space="preserve"> </w:t>
      </w:r>
      <w:r>
        <w:t>(1918)</w:t>
      </w:r>
      <w:r>
        <w:rPr>
          <w:spacing w:val="31"/>
        </w:rPr>
        <w:t xml:space="preserve"> </w:t>
      </w:r>
      <w:r>
        <w:t>said</w:t>
      </w:r>
      <w:r>
        <w:rPr>
          <w:spacing w:val="31"/>
        </w:rPr>
        <w:t xml:space="preserve"> </w:t>
      </w:r>
      <w:r>
        <w:t>that,</w:t>
      </w:r>
      <w:r>
        <w:rPr>
          <w:spacing w:val="31"/>
        </w:rPr>
        <w:t xml:space="preserve"> </w:t>
      </w:r>
      <w:r>
        <w:t>in</w:t>
      </w:r>
      <w:r>
        <w:rPr>
          <w:spacing w:val="31"/>
        </w:rPr>
        <w:t xml:space="preserve"> </w:t>
      </w:r>
      <w:r>
        <w:t>all</w:t>
      </w:r>
      <w:r>
        <w:rPr>
          <w:spacing w:val="31"/>
        </w:rPr>
        <w:t xml:space="preserve"> </w:t>
      </w:r>
      <w:r>
        <w:t>likelihood,</w:t>
      </w:r>
      <w:r>
        <w:rPr>
          <w:spacing w:val="31"/>
        </w:rPr>
        <w:t xml:space="preserve"> </w:t>
      </w:r>
      <w:r>
        <w:rPr>
          <w:i/>
        </w:rPr>
        <w:t>all</w:t>
      </w:r>
      <w:r>
        <w:rPr>
          <w:i/>
          <w:spacing w:val="24"/>
        </w:rPr>
        <w:t xml:space="preserve"> </w:t>
      </w:r>
      <w:r>
        <w:t>human</w:t>
      </w:r>
      <w:r>
        <w:rPr>
          <w:spacing w:val="33"/>
        </w:rPr>
        <w:t xml:space="preserve"> </w:t>
      </w:r>
      <w:r>
        <w:t>beings</w:t>
      </w:r>
      <w:r>
        <w:rPr>
          <w:spacing w:val="33"/>
        </w:rPr>
        <w:t xml:space="preserve"> </w:t>
      </w:r>
      <w:r>
        <w:t>cannot</w:t>
      </w:r>
      <w:r>
        <w:rPr>
          <w:spacing w:val="33"/>
        </w:rPr>
        <w:t xml:space="preserve"> </w:t>
      </w:r>
      <w:r>
        <w:t>reason</w:t>
      </w:r>
      <w:r>
        <w:rPr>
          <w:spacing w:val="33"/>
        </w:rPr>
        <w:t xml:space="preserve"> </w:t>
      </w:r>
      <w:r>
        <w:t>without</w:t>
      </w:r>
      <w:r>
        <w:rPr>
          <w:spacing w:val="33"/>
        </w:rPr>
        <w:t xml:space="preserve"> </w:t>
      </w:r>
      <w:r>
        <w:t>the</w:t>
      </w:r>
      <w:r>
        <w:rPr>
          <w:spacing w:val="33"/>
        </w:rPr>
        <w:t xml:space="preserve"> </w:t>
      </w:r>
      <w:r>
        <w:t>help</w:t>
      </w:r>
      <w:r>
        <w:rPr>
          <w:spacing w:val="33"/>
        </w:rPr>
        <w:t xml:space="preserve"> </w:t>
      </w:r>
      <w:r>
        <w:t>of</w:t>
      </w:r>
    </w:p>
    <w:p w14:paraId="7E00306F" w14:textId="77777777" w:rsidR="009A58DB" w:rsidRDefault="00000000">
      <w:pPr>
        <w:spacing w:line="252" w:lineRule="exact"/>
        <w:ind w:left="720"/>
        <w:jc w:val="both"/>
      </w:pPr>
      <w:r>
        <w:t>mental</w:t>
      </w:r>
      <w:r>
        <w:rPr>
          <w:spacing w:val="8"/>
        </w:rPr>
        <w:t xml:space="preserve"> </w:t>
      </w:r>
      <w:r>
        <w:rPr>
          <w:spacing w:val="-2"/>
        </w:rPr>
        <w:t>imagery.</w:t>
      </w:r>
    </w:p>
    <w:p w14:paraId="7E003070" w14:textId="77777777" w:rsidR="009A58DB" w:rsidRDefault="00000000">
      <w:pPr>
        <w:spacing w:before="17" w:line="256" w:lineRule="auto"/>
        <w:ind w:left="720" w:right="359" w:hanging="360"/>
        <w:jc w:val="both"/>
      </w:pPr>
      <w:bookmarkStart w:id="755" w:name="_bookmark755"/>
      <w:bookmarkEnd w:id="755"/>
      <w:r>
        <w:rPr>
          <w:color w:val="0562C1"/>
          <w:position w:val="18"/>
          <w:u w:val="single" w:color="0562C1"/>
        </w:rPr>
        <w:t>[102]</w:t>
      </w:r>
      <w:r>
        <w:t>.</w:t>
      </w:r>
      <w:r>
        <w:rPr>
          <w:spacing w:val="80"/>
          <w:w w:val="150"/>
        </w:rPr>
        <w:t xml:space="preserve"> </w:t>
      </w:r>
      <w:r>
        <w:t>There isn’t anything it is like to believe that 2 + 2 = 4, but there is something it is like to experience a pain or a pleasure or a tickle. The latter, but not the former, thus have “phenomenology”—they</w:t>
      </w:r>
      <w:r>
        <w:rPr>
          <w:spacing w:val="40"/>
        </w:rPr>
        <w:t xml:space="preserve"> </w:t>
      </w:r>
      <w:r>
        <w:t>are</w:t>
      </w:r>
      <w:r>
        <w:rPr>
          <w:spacing w:val="40"/>
        </w:rPr>
        <w:t xml:space="preserve"> </w:t>
      </w:r>
      <w:r>
        <w:t>“phenomenologically</w:t>
      </w:r>
      <w:r>
        <w:rPr>
          <w:spacing w:val="40"/>
        </w:rPr>
        <w:t xml:space="preserve"> </w:t>
      </w:r>
      <w:r>
        <w:t>pregnant”</w:t>
      </w:r>
      <w:r>
        <w:rPr>
          <w:spacing w:val="40"/>
        </w:rPr>
        <w:t xml:space="preserve"> </w:t>
      </w:r>
      <w:r>
        <w:t>or,</w:t>
      </w:r>
      <w:r>
        <w:rPr>
          <w:spacing w:val="40"/>
        </w:rPr>
        <w:t xml:space="preserve"> </w:t>
      </w:r>
      <w:r>
        <w:t>put</w:t>
      </w:r>
      <w:r>
        <w:rPr>
          <w:spacing w:val="40"/>
        </w:rPr>
        <w:t xml:space="preserve"> </w:t>
      </w:r>
      <w:r>
        <w:t>another</w:t>
      </w:r>
      <w:r>
        <w:rPr>
          <w:spacing w:val="40"/>
        </w:rPr>
        <w:t xml:space="preserve"> </w:t>
      </w:r>
      <w:r>
        <w:t>way,</w:t>
      </w:r>
      <w:r>
        <w:rPr>
          <w:spacing w:val="40"/>
        </w:rPr>
        <w:t xml:space="preserve"> </w:t>
      </w:r>
      <w:r>
        <w:t xml:space="preserve">have “phenomenal content.” Anything that there is anything it is like to experience </w:t>
      </w:r>
      <w:r>
        <w:rPr>
          <w:i/>
        </w:rPr>
        <w:t>ipso facto</w:t>
      </w:r>
      <w:r>
        <w:rPr>
          <w:i/>
          <w:spacing w:val="40"/>
        </w:rPr>
        <w:t xml:space="preserve"> </w:t>
      </w:r>
      <w:r>
        <w:t>has phenomenal content (i.e., is phenomenologically pregnant).</w:t>
      </w:r>
    </w:p>
    <w:p w14:paraId="7E003071" w14:textId="77777777" w:rsidR="009A58DB" w:rsidRDefault="00000000">
      <w:pPr>
        <w:spacing w:line="256" w:lineRule="auto"/>
        <w:ind w:left="720" w:right="358" w:hanging="360"/>
        <w:jc w:val="both"/>
      </w:pPr>
      <w:bookmarkStart w:id="756" w:name="_bookmark756"/>
      <w:bookmarkEnd w:id="756"/>
      <w:r>
        <w:rPr>
          <w:color w:val="0562C1"/>
          <w:position w:val="18"/>
          <w:u w:val="single" w:color="0562C1"/>
        </w:rPr>
        <w:t>[103]</w:t>
      </w:r>
      <w:r>
        <w:t>.</w:t>
      </w:r>
      <w:r>
        <w:rPr>
          <w:spacing w:val="40"/>
        </w:rPr>
        <w:t xml:space="preserve">  </w:t>
      </w:r>
      <w:r>
        <w:t>Robert</w:t>
      </w:r>
      <w:r>
        <w:rPr>
          <w:spacing w:val="27"/>
        </w:rPr>
        <w:t xml:space="preserve"> </w:t>
      </w:r>
      <w:r>
        <w:t>Brandom</w:t>
      </w:r>
      <w:r>
        <w:rPr>
          <w:spacing w:val="27"/>
        </w:rPr>
        <w:t xml:space="preserve"> </w:t>
      </w:r>
      <w:r>
        <w:t>(1994)</w:t>
      </w:r>
      <w:r>
        <w:rPr>
          <w:spacing w:val="27"/>
        </w:rPr>
        <w:t xml:space="preserve"> </w:t>
      </w:r>
      <w:r>
        <w:t>accepts</w:t>
      </w:r>
      <w:r>
        <w:rPr>
          <w:spacing w:val="27"/>
        </w:rPr>
        <w:t xml:space="preserve"> </w:t>
      </w:r>
      <w:r>
        <w:t>Wittgenstein’s</w:t>
      </w:r>
      <w:r>
        <w:rPr>
          <w:spacing w:val="27"/>
        </w:rPr>
        <w:t xml:space="preserve"> </w:t>
      </w:r>
      <w:r>
        <w:t>position.</w:t>
      </w:r>
      <w:r>
        <w:rPr>
          <w:spacing w:val="27"/>
        </w:rPr>
        <w:t xml:space="preserve"> </w:t>
      </w:r>
      <w:r>
        <w:t>And,</w:t>
      </w:r>
      <w:r>
        <w:rPr>
          <w:spacing w:val="27"/>
        </w:rPr>
        <w:t xml:space="preserve"> </w:t>
      </w:r>
      <w:r>
        <w:t>on</w:t>
      </w:r>
      <w:r>
        <w:rPr>
          <w:spacing w:val="28"/>
        </w:rPr>
        <w:t xml:space="preserve"> </w:t>
      </w:r>
      <w:r>
        <w:t>the</w:t>
      </w:r>
      <w:r>
        <w:rPr>
          <w:spacing w:val="27"/>
        </w:rPr>
        <w:t xml:space="preserve"> </w:t>
      </w:r>
      <w:r>
        <w:t>basis</w:t>
      </w:r>
      <w:r>
        <w:rPr>
          <w:spacing w:val="27"/>
        </w:rPr>
        <w:t xml:space="preserve"> </w:t>
      </w:r>
      <w:r>
        <w:t>of</w:t>
      </w:r>
      <w:r>
        <w:rPr>
          <w:spacing w:val="27"/>
        </w:rPr>
        <w:t xml:space="preserve"> </w:t>
      </w:r>
      <w:r>
        <w:t>it,</w:t>
      </w:r>
      <w:r>
        <w:rPr>
          <w:spacing w:val="27"/>
        </w:rPr>
        <w:t xml:space="preserve"> </w:t>
      </w:r>
      <w:r>
        <w:t>he</w:t>
      </w:r>
      <w:r>
        <w:rPr>
          <w:spacing w:val="27"/>
        </w:rPr>
        <w:t xml:space="preserve"> </w:t>
      </w:r>
      <w:r>
        <w:t>arrives</w:t>
      </w:r>
      <w:r>
        <w:rPr>
          <w:spacing w:val="27"/>
        </w:rPr>
        <w:t xml:space="preserve"> </w:t>
      </w:r>
      <w:r>
        <w:t xml:space="preserve">at the conclusion that individuals </w:t>
      </w:r>
      <w:r>
        <w:rPr>
          <w:i/>
        </w:rPr>
        <w:t xml:space="preserve">never </w:t>
      </w:r>
      <w:r>
        <w:t>think—that it is only whole societies that do so. Brandom doesn’t consider any of the points made in Section 6.0.</w:t>
      </w:r>
    </w:p>
    <w:p w14:paraId="7E003072" w14:textId="77777777" w:rsidR="009A58DB" w:rsidRDefault="00000000">
      <w:pPr>
        <w:spacing w:line="256" w:lineRule="auto"/>
        <w:ind w:left="360" w:right="1840"/>
      </w:pPr>
      <w:bookmarkStart w:id="757" w:name="_bookmark757"/>
      <w:bookmarkEnd w:id="757"/>
      <w:r>
        <w:rPr>
          <w:color w:val="0562C1"/>
          <w:position w:val="18"/>
          <w:u w:val="single" w:color="0562C1"/>
        </w:rPr>
        <w:t>[104]</w:t>
      </w:r>
      <w:r>
        <w:t>.</w:t>
      </w:r>
      <w:r>
        <w:rPr>
          <w:spacing w:val="80"/>
        </w:rPr>
        <w:t xml:space="preserve"> </w:t>
      </w:r>
      <w:r>
        <w:t xml:space="preserve">“Quale” (plural, “qualia”) is a sensation or, more generally, anything that is felt. </w:t>
      </w:r>
      <w:bookmarkStart w:id="758" w:name="_bookmark758"/>
      <w:bookmarkEnd w:id="758"/>
      <w:r>
        <w:rPr>
          <w:color w:val="0562C1"/>
          <w:position w:val="18"/>
          <w:u w:val="single" w:color="0562C1"/>
        </w:rPr>
        <w:t>[105]</w:t>
      </w:r>
      <w:r>
        <w:t>.</w:t>
      </w:r>
      <w:r>
        <w:rPr>
          <w:spacing w:val="80"/>
        </w:rPr>
        <w:t xml:space="preserve"> </w:t>
      </w:r>
      <w:r>
        <w:t>Hume (1740, p. 252).</w:t>
      </w:r>
    </w:p>
    <w:p w14:paraId="7E003073" w14:textId="77777777" w:rsidR="009A58DB" w:rsidRDefault="00000000">
      <w:pPr>
        <w:pStyle w:val="ListParagraph"/>
        <w:numPr>
          <w:ilvl w:val="0"/>
          <w:numId w:val="5"/>
        </w:numPr>
        <w:tabs>
          <w:tab w:val="left" w:pos="753"/>
        </w:tabs>
        <w:spacing w:line="252" w:lineRule="exact"/>
        <w:ind w:hanging="393"/>
        <w:rPr>
          <w:u w:val="single" w:color="0562C1"/>
        </w:rPr>
      </w:pPr>
      <w:r>
        <w:t>See</w:t>
      </w:r>
      <w:r>
        <w:rPr>
          <w:spacing w:val="6"/>
        </w:rPr>
        <w:t xml:space="preserve"> </w:t>
      </w:r>
      <w:r>
        <w:t>Freud</w:t>
      </w:r>
      <w:r>
        <w:rPr>
          <w:spacing w:val="7"/>
        </w:rPr>
        <w:t xml:space="preserve"> </w:t>
      </w:r>
      <w:r>
        <w:t>(1915)</w:t>
      </w:r>
      <w:r>
        <w:rPr>
          <w:spacing w:val="7"/>
        </w:rPr>
        <w:t xml:space="preserve"> </w:t>
      </w:r>
      <w:r>
        <w:t>for</w:t>
      </w:r>
      <w:r>
        <w:rPr>
          <w:spacing w:val="7"/>
        </w:rPr>
        <w:t xml:space="preserve"> </w:t>
      </w:r>
      <w:r>
        <w:t>a</w:t>
      </w:r>
      <w:r>
        <w:rPr>
          <w:spacing w:val="6"/>
        </w:rPr>
        <w:t xml:space="preserve"> </w:t>
      </w:r>
      <w:r>
        <w:t>similar</w:t>
      </w:r>
      <w:r>
        <w:rPr>
          <w:spacing w:val="7"/>
        </w:rPr>
        <w:t xml:space="preserve"> </w:t>
      </w:r>
      <w:r>
        <w:rPr>
          <w:spacing w:val="-2"/>
        </w:rPr>
        <w:t>viewpoint.</w:t>
      </w:r>
    </w:p>
    <w:p w14:paraId="7E003074" w14:textId="77777777" w:rsidR="009A58DB" w:rsidRDefault="00000000">
      <w:pPr>
        <w:pStyle w:val="ListParagraph"/>
        <w:numPr>
          <w:ilvl w:val="0"/>
          <w:numId w:val="5"/>
        </w:numPr>
        <w:tabs>
          <w:tab w:val="left" w:pos="753"/>
        </w:tabs>
        <w:spacing w:before="12"/>
        <w:ind w:hanging="393"/>
        <w:rPr>
          <w:u w:val="single" w:color="0562C1"/>
        </w:rPr>
      </w:pPr>
      <w:r>
        <w:t>See</w:t>
      </w:r>
      <w:r>
        <w:rPr>
          <w:spacing w:val="7"/>
        </w:rPr>
        <w:t xml:space="preserve"> </w:t>
      </w:r>
      <w:r>
        <w:t>Freud</w:t>
      </w:r>
      <w:r>
        <w:rPr>
          <w:spacing w:val="8"/>
        </w:rPr>
        <w:t xml:space="preserve"> </w:t>
      </w:r>
      <w:r>
        <w:t>(1923)</w:t>
      </w:r>
      <w:r>
        <w:rPr>
          <w:spacing w:val="7"/>
        </w:rPr>
        <w:t xml:space="preserve"> </w:t>
      </w:r>
      <w:r>
        <w:t>for</w:t>
      </w:r>
      <w:r>
        <w:rPr>
          <w:spacing w:val="8"/>
        </w:rPr>
        <w:t xml:space="preserve"> </w:t>
      </w:r>
      <w:r>
        <w:t>similar</w:t>
      </w:r>
      <w:r>
        <w:rPr>
          <w:spacing w:val="7"/>
        </w:rPr>
        <w:t xml:space="preserve"> </w:t>
      </w:r>
      <w:r>
        <w:rPr>
          <w:spacing w:val="-2"/>
        </w:rPr>
        <w:t>remarks.</w:t>
      </w:r>
    </w:p>
    <w:p w14:paraId="7E003075" w14:textId="77777777" w:rsidR="009A58DB" w:rsidRDefault="00000000">
      <w:pPr>
        <w:pStyle w:val="ListParagraph"/>
        <w:numPr>
          <w:ilvl w:val="0"/>
          <w:numId w:val="5"/>
        </w:numPr>
        <w:tabs>
          <w:tab w:val="left" w:pos="866"/>
        </w:tabs>
        <w:spacing w:before="17"/>
        <w:ind w:left="866" w:hanging="506"/>
        <w:rPr>
          <w:color w:val="0562C1"/>
          <w:position w:val="9"/>
          <w:u w:val="single" w:color="0562C1"/>
        </w:rPr>
      </w:pPr>
      <w:bookmarkStart w:id="759" w:name="_bookmark759"/>
      <w:bookmarkEnd w:id="759"/>
      <w:r>
        <w:t>He</w:t>
      </w:r>
      <w:r>
        <w:rPr>
          <w:spacing w:val="7"/>
        </w:rPr>
        <w:t xml:space="preserve"> </w:t>
      </w:r>
      <w:r>
        <w:t>does</w:t>
      </w:r>
      <w:r>
        <w:rPr>
          <w:spacing w:val="7"/>
        </w:rPr>
        <w:t xml:space="preserve"> </w:t>
      </w:r>
      <w:r>
        <w:t>this</w:t>
      </w:r>
      <w:r>
        <w:rPr>
          <w:spacing w:val="7"/>
        </w:rPr>
        <w:t xml:space="preserve"> </w:t>
      </w:r>
      <w:r>
        <w:t>in</w:t>
      </w:r>
      <w:r>
        <w:rPr>
          <w:spacing w:val="8"/>
        </w:rPr>
        <w:t xml:space="preserve"> </w:t>
      </w:r>
      <w:r>
        <w:t>Wittgenstein</w:t>
      </w:r>
      <w:r>
        <w:rPr>
          <w:spacing w:val="7"/>
        </w:rPr>
        <w:t xml:space="preserve"> </w:t>
      </w:r>
      <w:r>
        <w:rPr>
          <w:spacing w:val="-2"/>
        </w:rPr>
        <w:t>(1958).</w:t>
      </w:r>
    </w:p>
    <w:p w14:paraId="7E003076" w14:textId="77777777" w:rsidR="009A58DB" w:rsidRDefault="00000000">
      <w:pPr>
        <w:pStyle w:val="ListParagraph"/>
        <w:numPr>
          <w:ilvl w:val="0"/>
          <w:numId w:val="5"/>
        </w:numPr>
        <w:tabs>
          <w:tab w:val="left" w:pos="720"/>
          <w:tab w:val="left" w:pos="889"/>
        </w:tabs>
        <w:spacing w:before="17" w:line="256" w:lineRule="auto"/>
        <w:ind w:left="720" w:right="358" w:hanging="360"/>
        <w:jc w:val="both"/>
        <w:rPr>
          <w:color w:val="0562C1"/>
          <w:position w:val="9"/>
          <w:u w:val="single" w:color="0562C1"/>
        </w:rPr>
      </w:pPr>
      <w:bookmarkStart w:id="760" w:name="_bookmark760"/>
      <w:bookmarkEnd w:id="760"/>
      <w:r>
        <w:tab/>
        <w:t>I say “seemed” because his writing is very obscure. And no sooner does somebody claim to have interpreted Wittgenstein than somebody else, often a Wittgenstein expert, claims that Wittgenstein was in fact saying the exact opposite of what the first person claimed. For example, Saul Kripke (1983) wrote a very helpful book in which he put forth plausible interpretations of two very famous argument’s of Wittgenstein’s—the very one’s that we’ll consider in this section. Kripke’s interpretation fits the text pretty well. But after he’d published this book, two Wittgenstein experts from Oxford University claimed that, although Wittgenstein had said those things, he was being</w:t>
      </w:r>
      <w:r>
        <w:rPr>
          <w:spacing w:val="40"/>
        </w:rPr>
        <w:t xml:space="preserve"> </w:t>
      </w:r>
      <w:r>
        <w:t>ironic when doing so. He was, they said, saying the exact opposite of what he seemed to be saying</w:t>
      </w:r>
      <w:r>
        <w:rPr>
          <w:spacing w:val="40"/>
        </w:rPr>
        <w:t xml:space="preserve"> </w:t>
      </w:r>
      <w:r>
        <w:t>and</w:t>
      </w:r>
      <w:r>
        <w:rPr>
          <w:spacing w:val="28"/>
        </w:rPr>
        <w:t xml:space="preserve"> </w:t>
      </w:r>
      <w:r>
        <w:t>of</w:t>
      </w:r>
      <w:r>
        <w:rPr>
          <w:spacing w:val="28"/>
        </w:rPr>
        <w:t xml:space="preserve"> </w:t>
      </w:r>
      <w:r>
        <w:t>what</w:t>
      </w:r>
      <w:r>
        <w:rPr>
          <w:spacing w:val="28"/>
        </w:rPr>
        <w:t xml:space="preserve"> </w:t>
      </w:r>
      <w:r>
        <w:t>Kripke</w:t>
      </w:r>
      <w:r>
        <w:rPr>
          <w:spacing w:val="28"/>
        </w:rPr>
        <w:t xml:space="preserve"> </w:t>
      </w:r>
      <w:r>
        <w:t>said</w:t>
      </w:r>
      <w:r>
        <w:rPr>
          <w:spacing w:val="28"/>
        </w:rPr>
        <w:t xml:space="preserve"> </w:t>
      </w:r>
      <w:r>
        <w:t>that</w:t>
      </w:r>
      <w:r>
        <w:rPr>
          <w:spacing w:val="28"/>
        </w:rPr>
        <w:t xml:space="preserve"> </w:t>
      </w:r>
      <w:r>
        <w:t>he</w:t>
      </w:r>
      <w:r>
        <w:rPr>
          <w:spacing w:val="28"/>
        </w:rPr>
        <w:t xml:space="preserve"> </w:t>
      </w:r>
      <w:r>
        <w:t>was</w:t>
      </w:r>
      <w:r>
        <w:rPr>
          <w:spacing w:val="28"/>
        </w:rPr>
        <w:t xml:space="preserve"> </w:t>
      </w:r>
      <w:r>
        <w:t>saying.</w:t>
      </w:r>
      <w:r>
        <w:rPr>
          <w:spacing w:val="28"/>
        </w:rPr>
        <w:t xml:space="preserve"> </w:t>
      </w:r>
      <w:r>
        <w:t>I’m</w:t>
      </w:r>
      <w:r>
        <w:rPr>
          <w:spacing w:val="28"/>
        </w:rPr>
        <w:t xml:space="preserve"> </w:t>
      </w:r>
      <w:r>
        <w:t>no</w:t>
      </w:r>
      <w:r>
        <w:rPr>
          <w:spacing w:val="28"/>
        </w:rPr>
        <w:t xml:space="preserve"> </w:t>
      </w:r>
      <w:r>
        <w:t>Wittgenstein</w:t>
      </w:r>
      <w:r>
        <w:rPr>
          <w:spacing w:val="28"/>
        </w:rPr>
        <w:t xml:space="preserve"> </w:t>
      </w:r>
      <w:r>
        <w:t>expert.</w:t>
      </w:r>
      <w:r>
        <w:rPr>
          <w:spacing w:val="28"/>
        </w:rPr>
        <w:t xml:space="preserve"> </w:t>
      </w:r>
      <w:r>
        <w:t>But</w:t>
      </w:r>
      <w:r>
        <w:rPr>
          <w:spacing w:val="28"/>
        </w:rPr>
        <w:t xml:space="preserve"> </w:t>
      </w:r>
      <w:r>
        <w:t>it</w:t>
      </w:r>
      <w:r>
        <w:rPr>
          <w:spacing w:val="28"/>
        </w:rPr>
        <w:t xml:space="preserve"> </w:t>
      </w:r>
      <w:r>
        <w:t>does</w:t>
      </w:r>
      <w:r>
        <w:rPr>
          <w:spacing w:val="28"/>
        </w:rPr>
        <w:t xml:space="preserve"> </w:t>
      </w:r>
      <w:r>
        <w:t>seem</w:t>
      </w:r>
      <w:r>
        <w:rPr>
          <w:spacing w:val="28"/>
        </w:rPr>
        <w:t xml:space="preserve"> </w:t>
      </w:r>
      <w:r>
        <w:t>a</w:t>
      </w:r>
      <w:r>
        <w:rPr>
          <w:spacing w:val="28"/>
        </w:rPr>
        <w:t xml:space="preserve"> </w:t>
      </w:r>
      <w:r>
        <w:t>little odd</w:t>
      </w:r>
      <w:r>
        <w:rPr>
          <w:spacing w:val="40"/>
        </w:rPr>
        <w:t xml:space="preserve"> </w:t>
      </w:r>
      <w:r>
        <w:t>that,</w:t>
      </w:r>
      <w:r>
        <w:rPr>
          <w:spacing w:val="40"/>
        </w:rPr>
        <w:t xml:space="preserve"> </w:t>
      </w:r>
      <w:r>
        <w:t>in</w:t>
      </w:r>
      <w:r>
        <w:rPr>
          <w:spacing w:val="40"/>
        </w:rPr>
        <w:t xml:space="preserve"> </w:t>
      </w:r>
      <w:r>
        <w:t>a</w:t>
      </w:r>
      <w:r>
        <w:rPr>
          <w:spacing w:val="40"/>
        </w:rPr>
        <w:t xml:space="preserve"> </w:t>
      </w:r>
      <w:r>
        <w:t>three</w:t>
      </w:r>
      <w:r>
        <w:rPr>
          <w:spacing w:val="40"/>
        </w:rPr>
        <w:t xml:space="preserve"> </w:t>
      </w:r>
      <w:r>
        <w:t>hundred</w:t>
      </w:r>
      <w:r>
        <w:rPr>
          <w:spacing w:val="40"/>
        </w:rPr>
        <w:t xml:space="preserve"> </w:t>
      </w:r>
      <w:r>
        <w:t>page</w:t>
      </w:r>
      <w:r>
        <w:rPr>
          <w:spacing w:val="40"/>
        </w:rPr>
        <w:t xml:space="preserve"> </w:t>
      </w:r>
      <w:r>
        <w:t>book,</w:t>
      </w:r>
      <w:r>
        <w:rPr>
          <w:spacing w:val="40"/>
        </w:rPr>
        <w:t xml:space="preserve"> </w:t>
      </w:r>
      <w:r>
        <w:t>Wittgenstein</w:t>
      </w:r>
      <w:r>
        <w:rPr>
          <w:spacing w:val="40"/>
        </w:rPr>
        <w:t xml:space="preserve"> </w:t>
      </w:r>
      <w:r>
        <w:t>wouldn’t</w:t>
      </w:r>
      <w:r>
        <w:rPr>
          <w:spacing w:val="40"/>
        </w:rPr>
        <w:t xml:space="preserve"> </w:t>
      </w:r>
      <w:r>
        <w:t>anywhere</w:t>
      </w:r>
      <w:r>
        <w:rPr>
          <w:spacing w:val="40"/>
        </w:rPr>
        <w:t xml:space="preserve"> </w:t>
      </w:r>
      <w:r>
        <w:t>have</w:t>
      </w:r>
      <w:r>
        <w:rPr>
          <w:spacing w:val="40"/>
        </w:rPr>
        <w:t xml:space="preserve"> </w:t>
      </w:r>
      <w:r>
        <w:t>said</w:t>
      </w:r>
      <w:r>
        <w:rPr>
          <w:spacing w:val="40"/>
        </w:rPr>
        <w:t xml:space="preserve"> </w:t>
      </w:r>
      <w:r>
        <w:t>that</w:t>
      </w:r>
      <w:r>
        <w:rPr>
          <w:spacing w:val="40"/>
        </w:rPr>
        <w:t xml:space="preserve"> </w:t>
      </w:r>
      <w:r>
        <w:t>he</w:t>
      </w:r>
      <w:r>
        <w:rPr>
          <w:spacing w:val="40"/>
        </w:rPr>
        <w:t xml:space="preserve"> </w:t>
      </w:r>
      <w:r>
        <w:t>was being ironic. In any case, the interpretations that I’ll put forth are vaguely similar to Kripke’s.</w:t>
      </w:r>
    </w:p>
    <w:p w14:paraId="7E003077" w14:textId="77777777" w:rsidR="009A58DB" w:rsidRDefault="00000000">
      <w:pPr>
        <w:pStyle w:val="ListParagraph"/>
        <w:numPr>
          <w:ilvl w:val="0"/>
          <w:numId w:val="5"/>
        </w:numPr>
        <w:tabs>
          <w:tab w:val="left" w:pos="866"/>
        </w:tabs>
        <w:spacing w:line="335" w:lineRule="exact"/>
        <w:ind w:left="866" w:hanging="506"/>
        <w:rPr>
          <w:color w:val="0562C1"/>
          <w:position w:val="9"/>
          <w:u w:val="single" w:color="0562C1"/>
        </w:rPr>
      </w:pPr>
      <w:bookmarkStart w:id="761" w:name="_bookmark761"/>
      <w:bookmarkEnd w:id="761"/>
      <w:r>
        <w:t>“RF”</w:t>
      </w:r>
      <w:r>
        <w:rPr>
          <w:spacing w:val="7"/>
        </w:rPr>
        <w:t xml:space="preserve"> </w:t>
      </w:r>
      <w:r>
        <w:t>stands</w:t>
      </w:r>
      <w:r>
        <w:rPr>
          <w:spacing w:val="7"/>
        </w:rPr>
        <w:t xml:space="preserve"> </w:t>
      </w:r>
      <w:r>
        <w:t>for</w:t>
      </w:r>
      <w:r>
        <w:rPr>
          <w:spacing w:val="7"/>
        </w:rPr>
        <w:t xml:space="preserve"> </w:t>
      </w:r>
      <w:r>
        <w:t>“rule</w:t>
      </w:r>
      <w:r>
        <w:rPr>
          <w:spacing w:val="7"/>
        </w:rPr>
        <w:t xml:space="preserve"> </w:t>
      </w:r>
      <w:r>
        <w:rPr>
          <w:spacing w:val="-2"/>
        </w:rPr>
        <w:t>following.”</w:t>
      </w:r>
    </w:p>
    <w:p w14:paraId="7E003078" w14:textId="77777777" w:rsidR="009A58DB" w:rsidRDefault="00000000">
      <w:pPr>
        <w:pStyle w:val="ListParagraph"/>
        <w:numPr>
          <w:ilvl w:val="0"/>
          <w:numId w:val="5"/>
        </w:numPr>
        <w:tabs>
          <w:tab w:val="left" w:pos="720"/>
          <w:tab w:val="left" w:pos="1046"/>
        </w:tabs>
        <w:spacing w:before="17" w:line="256" w:lineRule="auto"/>
        <w:ind w:left="720" w:right="358" w:hanging="360"/>
        <w:jc w:val="both"/>
        <w:rPr>
          <w:color w:val="0562C1"/>
          <w:position w:val="9"/>
          <w:u w:val="single" w:color="0562C1"/>
        </w:rPr>
      </w:pPr>
      <w:bookmarkStart w:id="762" w:name="_bookmark762"/>
      <w:bookmarkEnd w:id="762"/>
      <w:r>
        <w:tab/>
        <w:t>Like this argument of Wittgenstein’s, David Hume’s argument for his analysis of personal</w:t>
      </w:r>
      <w:r>
        <w:rPr>
          <w:spacing w:val="80"/>
        </w:rPr>
        <w:t xml:space="preserve"> </w:t>
      </w:r>
      <w:r>
        <w:t>identity assumes that there is nothing more to a person’s mind than the images and sensations that populate his consciousness. We’ll consider Hume’s analysis, and his argument for it, in Chapter 16. But Hume’s argument doesn’t depend as deeply on this assumption as does Wittgenstein’s. There is an</w:t>
      </w:r>
      <w:r>
        <w:rPr>
          <w:spacing w:val="40"/>
        </w:rPr>
        <w:t xml:space="preserve"> </w:t>
      </w:r>
      <w:r>
        <w:t>argument</w:t>
      </w:r>
      <w:r>
        <w:rPr>
          <w:spacing w:val="40"/>
        </w:rPr>
        <w:t xml:space="preserve"> </w:t>
      </w:r>
      <w:r>
        <w:t>very</w:t>
      </w:r>
      <w:r>
        <w:rPr>
          <w:spacing w:val="40"/>
        </w:rPr>
        <w:t xml:space="preserve"> </w:t>
      </w:r>
      <w:r>
        <w:t>similar</w:t>
      </w:r>
      <w:r>
        <w:rPr>
          <w:spacing w:val="40"/>
        </w:rPr>
        <w:t xml:space="preserve"> </w:t>
      </w:r>
      <w:r>
        <w:t>to</w:t>
      </w:r>
      <w:r>
        <w:rPr>
          <w:spacing w:val="40"/>
        </w:rPr>
        <w:t xml:space="preserve"> </w:t>
      </w:r>
      <w:r>
        <w:t>Hume’s,</w:t>
      </w:r>
      <w:r>
        <w:rPr>
          <w:spacing w:val="40"/>
        </w:rPr>
        <w:t xml:space="preserve"> </w:t>
      </w:r>
      <w:r>
        <w:t>for</w:t>
      </w:r>
      <w:r>
        <w:rPr>
          <w:spacing w:val="40"/>
        </w:rPr>
        <w:t xml:space="preserve"> </w:t>
      </w:r>
      <w:r>
        <w:t>a</w:t>
      </w:r>
      <w:r>
        <w:rPr>
          <w:spacing w:val="40"/>
        </w:rPr>
        <w:t xml:space="preserve"> </w:t>
      </w:r>
      <w:r>
        <w:t>position</w:t>
      </w:r>
      <w:r>
        <w:rPr>
          <w:spacing w:val="40"/>
        </w:rPr>
        <w:t xml:space="preserve"> </w:t>
      </w:r>
      <w:r>
        <w:t>very</w:t>
      </w:r>
      <w:r>
        <w:rPr>
          <w:spacing w:val="40"/>
        </w:rPr>
        <w:t xml:space="preserve"> </w:t>
      </w:r>
      <w:r>
        <w:t>similar</w:t>
      </w:r>
      <w:r>
        <w:rPr>
          <w:spacing w:val="40"/>
        </w:rPr>
        <w:t xml:space="preserve"> </w:t>
      </w:r>
      <w:r>
        <w:t>to</w:t>
      </w:r>
      <w:r>
        <w:rPr>
          <w:spacing w:val="40"/>
        </w:rPr>
        <w:t xml:space="preserve"> </w:t>
      </w:r>
      <w:r>
        <w:t>the</w:t>
      </w:r>
      <w:r>
        <w:rPr>
          <w:spacing w:val="40"/>
        </w:rPr>
        <w:t xml:space="preserve"> </w:t>
      </w:r>
      <w:r>
        <w:t>one</w:t>
      </w:r>
      <w:r>
        <w:rPr>
          <w:spacing w:val="40"/>
        </w:rPr>
        <w:t xml:space="preserve"> </w:t>
      </w:r>
      <w:r>
        <w:t>it’s</w:t>
      </w:r>
      <w:r>
        <w:rPr>
          <w:spacing w:val="40"/>
        </w:rPr>
        <w:t xml:space="preserve"> </w:t>
      </w:r>
      <w:r>
        <w:t>supposed</w:t>
      </w:r>
      <w:r>
        <w:rPr>
          <w:spacing w:val="40"/>
        </w:rPr>
        <w:t xml:space="preserve"> </w:t>
      </w:r>
      <w:r>
        <w:t>to establish, that doesn’t involve that doubtful assumption. But nothing even remotely like Wittgenstein’s argument is free of that assumption, and there is not, as far as I can tell, any interpretation</w:t>
      </w:r>
      <w:r>
        <w:rPr>
          <w:spacing w:val="15"/>
        </w:rPr>
        <w:t xml:space="preserve"> </w:t>
      </w:r>
      <w:r>
        <w:t>of</w:t>
      </w:r>
      <w:r>
        <w:rPr>
          <w:spacing w:val="15"/>
        </w:rPr>
        <w:t xml:space="preserve"> </w:t>
      </w:r>
      <w:r>
        <w:t>Wittgenstein’s</w:t>
      </w:r>
      <w:r>
        <w:rPr>
          <w:spacing w:val="15"/>
        </w:rPr>
        <w:t xml:space="preserve"> </w:t>
      </w:r>
      <w:r>
        <w:t>argument,</w:t>
      </w:r>
      <w:r>
        <w:rPr>
          <w:spacing w:val="15"/>
        </w:rPr>
        <w:t xml:space="preserve"> </w:t>
      </w:r>
      <w:r>
        <w:t>no</w:t>
      </w:r>
      <w:r>
        <w:rPr>
          <w:spacing w:val="15"/>
        </w:rPr>
        <w:t xml:space="preserve"> </w:t>
      </w:r>
      <w:r>
        <w:t>matter</w:t>
      </w:r>
      <w:r>
        <w:rPr>
          <w:spacing w:val="15"/>
        </w:rPr>
        <w:t xml:space="preserve"> </w:t>
      </w:r>
      <w:r>
        <w:t>how</w:t>
      </w:r>
      <w:r>
        <w:rPr>
          <w:spacing w:val="15"/>
        </w:rPr>
        <w:t xml:space="preserve"> </w:t>
      </w:r>
      <w:r>
        <w:t>liberal,</w:t>
      </w:r>
      <w:r>
        <w:rPr>
          <w:spacing w:val="15"/>
        </w:rPr>
        <w:t xml:space="preserve"> </w:t>
      </w:r>
      <w:r>
        <w:t>whereby</w:t>
      </w:r>
      <w:r>
        <w:rPr>
          <w:spacing w:val="15"/>
        </w:rPr>
        <w:t xml:space="preserve"> </w:t>
      </w:r>
      <w:r>
        <w:t>it</w:t>
      </w:r>
      <w:r>
        <w:rPr>
          <w:spacing w:val="15"/>
        </w:rPr>
        <w:t xml:space="preserve"> </w:t>
      </w:r>
      <w:r>
        <w:t>comes</w:t>
      </w:r>
      <w:r>
        <w:rPr>
          <w:spacing w:val="15"/>
        </w:rPr>
        <w:t xml:space="preserve"> </w:t>
      </w:r>
      <w:r>
        <w:t>close</w:t>
      </w:r>
      <w:r>
        <w:rPr>
          <w:spacing w:val="15"/>
        </w:rPr>
        <w:t xml:space="preserve"> </w:t>
      </w:r>
      <w:r>
        <w:t>to</w:t>
      </w:r>
      <w:r>
        <w:rPr>
          <w:spacing w:val="15"/>
        </w:rPr>
        <w:t xml:space="preserve"> </w:t>
      </w:r>
      <w:r>
        <w:t>making a case for anything at all plausible, let alone accurate.</w:t>
      </w:r>
    </w:p>
    <w:p w14:paraId="7E003079" w14:textId="77777777" w:rsidR="009A58DB" w:rsidRDefault="00000000">
      <w:pPr>
        <w:pStyle w:val="ListParagraph"/>
        <w:numPr>
          <w:ilvl w:val="0"/>
          <w:numId w:val="5"/>
        </w:numPr>
        <w:tabs>
          <w:tab w:val="left" w:pos="971"/>
        </w:tabs>
        <w:spacing w:line="337" w:lineRule="exact"/>
        <w:ind w:left="971" w:hanging="611"/>
        <w:rPr>
          <w:color w:val="0562C1"/>
          <w:position w:val="9"/>
          <w:u w:val="single" w:color="0562C1"/>
        </w:rPr>
      </w:pPr>
      <w:bookmarkStart w:id="763" w:name="_bookmark763"/>
      <w:bookmarkEnd w:id="763"/>
      <w:r>
        <w:rPr>
          <w:b/>
        </w:rPr>
        <w:t>And</w:t>
      </w:r>
      <w:r>
        <w:rPr>
          <w:b/>
          <w:spacing w:val="39"/>
        </w:rPr>
        <w:t xml:space="preserve"> </w:t>
      </w:r>
      <w:r>
        <w:rPr>
          <w:b/>
        </w:rPr>
        <w:t>it’s</w:t>
      </w:r>
      <w:r>
        <w:rPr>
          <w:b/>
          <w:spacing w:val="40"/>
        </w:rPr>
        <w:t xml:space="preserve"> </w:t>
      </w:r>
      <w:r>
        <w:rPr>
          <w:b/>
        </w:rPr>
        <w:t>thus—so</w:t>
      </w:r>
      <w:r>
        <w:rPr>
          <w:b/>
          <w:spacing w:val="40"/>
        </w:rPr>
        <w:t xml:space="preserve"> </w:t>
      </w:r>
      <w:r>
        <w:rPr>
          <w:b/>
        </w:rPr>
        <w:t>Wittgenstein</w:t>
      </w:r>
      <w:r>
        <w:rPr>
          <w:b/>
          <w:spacing w:val="40"/>
        </w:rPr>
        <w:t xml:space="preserve"> </w:t>
      </w:r>
      <w:r>
        <w:rPr>
          <w:b/>
        </w:rPr>
        <w:t>thinks—a</w:t>
      </w:r>
      <w:r>
        <w:rPr>
          <w:b/>
          <w:spacing w:val="40"/>
        </w:rPr>
        <w:t xml:space="preserve"> </w:t>
      </w:r>
      <w:r>
        <w:rPr>
          <w:b/>
        </w:rPr>
        <w:t>case</w:t>
      </w:r>
      <w:r>
        <w:rPr>
          <w:b/>
          <w:spacing w:val="40"/>
        </w:rPr>
        <w:t xml:space="preserve"> </w:t>
      </w:r>
      <w:r>
        <w:rPr>
          <w:b/>
        </w:rPr>
        <w:t>of</w:t>
      </w:r>
      <w:r>
        <w:rPr>
          <w:b/>
          <w:spacing w:val="40"/>
        </w:rPr>
        <w:t xml:space="preserve"> </w:t>
      </w:r>
      <w:r>
        <w:rPr>
          <w:b/>
        </w:rPr>
        <w:t>the</w:t>
      </w:r>
      <w:r>
        <w:rPr>
          <w:b/>
          <w:spacing w:val="40"/>
        </w:rPr>
        <w:t xml:space="preserve"> </w:t>
      </w:r>
      <w:r>
        <w:rPr>
          <w:b/>
        </w:rPr>
        <w:t>“homunculus</w:t>
      </w:r>
      <w:r>
        <w:rPr>
          <w:b/>
          <w:spacing w:val="39"/>
        </w:rPr>
        <w:t xml:space="preserve"> </w:t>
      </w:r>
      <w:r>
        <w:rPr>
          <w:b/>
        </w:rPr>
        <w:t>fallacy.”</w:t>
      </w:r>
      <w:r>
        <w:rPr>
          <w:position w:val="9"/>
        </w:rPr>
        <w:t>16</w:t>
      </w:r>
      <w:r>
        <w:rPr>
          <w:spacing w:val="40"/>
          <w:position w:val="9"/>
        </w:rPr>
        <w:t xml:space="preserve"> </w:t>
      </w:r>
      <w:r>
        <w:t>See</w:t>
      </w:r>
      <w:r>
        <w:rPr>
          <w:spacing w:val="40"/>
        </w:rPr>
        <w:t xml:space="preserve"> </w:t>
      </w:r>
      <w:r>
        <w:rPr>
          <w:spacing w:val="-2"/>
        </w:rPr>
        <w:t>Searle</w:t>
      </w:r>
    </w:p>
    <w:p w14:paraId="7E00307A" w14:textId="77777777" w:rsidR="009A58DB" w:rsidRDefault="009A58DB">
      <w:pPr>
        <w:pStyle w:val="ListParagraph"/>
        <w:spacing w:line="337" w:lineRule="exact"/>
        <w:rPr>
          <w:position w:val="9"/>
        </w:rPr>
        <w:sectPr w:rsidR="009A58DB">
          <w:pgSz w:w="12240" w:h="15840"/>
          <w:pgMar w:top="1360" w:right="1080" w:bottom="280" w:left="1080" w:header="720" w:footer="720" w:gutter="0"/>
          <w:cols w:space="720"/>
        </w:sectPr>
      </w:pPr>
    </w:p>
    <w:p w14:paraId="7E00307B" w14:textId="77777777" w:rsidR="009A58DB" w:rsidRDefault="00000000">
      <w:pPr>
        <w:spacing w:before="84"/>
        <w:ind w:left="720"/>
        <w:jc w:val="both"/>
      </w:pPr>
      <w:r>
        <w:t>(1992).</w:t>
      </w:r>
      <w:r>
        <w:rPr>
          <w:spacing w:val="9"/>
        </w:rPr>
        <w:t xml:space="preserve"> </w:t>
      </w:r>
      <w:r>
        <w:t>Searle</w:t>
      </w:r>
      <w:r>
        <w:rPr>
          <w:spacing w:val="9"/>
        </w:rPr>
        <w:t xml:space="preserve"> </w:t>
      </w:r>
      <w:r>
        <w:t>regards</w:t>
      </w:r>
      <w:r>
        <w:rPr>
          <w:spacing w:val="9"/>
        </w:rPr>
        <w:t xml:space="preserve"> </w:t>
      </w:r>
      <w:r>
        <w:t>this</w:t>
      </w:r>
      <w:r>
        <w:rPr>
          <w:spacing w:val="9"/>
        </w:rPr>
        <w:t xml:space="preserve"> </w:t>
      </w:r>
      <w:r>
        <w:t>argument</w:t>
      </w:r>
      <w:r>
        <w:rPr>
          <w:spacing w:val="9"/>
        </w:rPr>
        <w:t xml:space="preserve"> </w:t>
      </w:r>
      <w:r>
        <w:t>of</w:t>
      </w:r>
      <w:r>
        <w:rPr>
          <w:spacing w:val="9"/>
        </w:rPr>
        <w:t xml:space="preserve"> </w:t>
      </w:r>
      <w:r>
        <w:t>Wittgenstein’s</w:t>
      </w:r>
      <w:r>
        <w:rPr>
          <w:spacing w:val="9"/>
        </w:rPr>
        <w:t xml:space="preserve"> </w:t>
      </w:r>
      <w:r>
        <w:t>as</w:t>
      </w:r>
      <w:r>
        <w:rPr>
          <w:spacing w:val="9"/>
        </w:rPr>
        <w:t xml:space="preserve"> </w:t>
      </w:r>
      <w:r>
        <w:rPr>
          <w:spacing w:val="-2"/>
        </w:rPr>
        <w:t>probative.</w:t>
      </w:r>
    </w:p>
    <w:p w14:paraId="7E00307C" w14:textId="77777777" w:rsidR="009A58DB" w:rsidRDefault="00000000">
      <w:pPr>
        <w:pStyle w:val="ListParagraph"/>
        <w:numPr>
          <w:ilvl w:val="0"/>
          <w:numId w:val="5"/>
        </w:numPr>
        <w:tabs>
          <w:tab w:val="left" w:pos="720"/>
          <w:tab w:val="left" w:pos="879"/>
        </w:tabs>
        <w:spacing w:before="17" w:line="256" w:lineRule="auto"/>
        <w:ind w:left="720" w:right="366" w:hanging="360"/>
        <w:jc w:val="both"/>
        <w:rPr>
          <w:color w:val="0562C1"/>
          <w:position w:val="9"/>
          <w:u w:val="single" w:color="0562C1"/>
        </w:rPr>
      </w:pPr>
      <w:bookmarkStart w:id="764" w:name="_bookmark764"/>
      <w:bookmarkEnd w:id="764"/>
      <w:r>
        <w:tab/>
        <w:t xml:space="preserve">Actually, TMA was first put forth—extremely clearly, I might add—by Plato, in his dialogue </w:t>
      </w:r>
      <w:r>
        <w:rPr>
          <w:i/>
        </w:rPr>
        <w:t xml:space="preserve">The </w:t>
      </w:r>
      <w:r>
        <w:rPr>
          <w:i/>
          <w:spacing w:val="-2"/>
        </w:rPr>
        <w:t>Parmenides.</w:t>
      </w:r>
    </w:p>
    <w:p w14:paraId="7E00307D" w14:textId="77777777" w:rsidR="009A58DB" w:rsidRDefault="00000000">
      <w:pPr>
        <w:pStyle w:val="ListParagraph"/>
        <w:numPr>
          <w:ilvl w:val="0"/>
          <w:numId w:val="5"/>
        </w:numPr>
        <w:tabs>
          <w:tab w:val="left" w:pos="720"/>
          <w:tab w:val="left" w:pos="940"/>
        </w:tabs>
        <w:spacing w:line="256" w:lineRule="auto"/>
        <w:ind w:left="720" w:right="363" w:hanging="360"/>
        <w:jc w:val="both"/>
        <w:rPr>
          <w:color w:val="0562C1"/>
          <w:position w:val="9"/>
          <w:u w:val="single" w:color="0562C1"/>
        </w:rPr>
      </w:pPr>
      <w:bookmarkStart w:id="765" w:name="_bookmark765"/>
      <w:bookmarkEnd w:id="765"/>
      <w:r>
        <w:tab/>
        <w:t>Plato</w:t>
      </w:r>
      <w:r>
        <w:rPr>
          <w:spacing w:val="30"/>
        </w:rPr>
        <w:t xml:space="preserve"> </w:t>
      </w:r>
      <w:r>
        <w:t>himself</w:t>
      </w:r>
      <w:r>
        <w:rPr>
          <w:spacing w:val="30"/>
        </w:rPr>
        <w:t xml:space="preserve"> </w:t>
      </w:r>
      <w:r>
        <w:t>encourage</w:t>
      </w:r>
      <w:r>
        <w:rPr>
          <w:spacing w:val="30"/>
        </w:rPr>
        <w:t xml:space="preserve"> </w:t>
      </w:r>
      <w:r>
        <w:t>this</w:t>
      </w:r>
      <w:r>
        <w:rPr>
          <w:spacing w:val="30"/>
        </w:rPr>
        <w:t xml:space="preserve"> </w:t>
      </w:r>
      <w:r>
        <w:t>misinterpretation</w:t>
      </w:r>
      <w:r>
        <w:rPr>
          <w:spacing w:val="30"/>
        </w:rPr>
        <w:t xml:space="preserve"> </w:t>
      </w:r>
      <w:r>
        <w:t>of</w:t>
      </w:r>
      <w:r>
        <w:rPr>
          <w:spacing w:val="30"/>
        </w:rPr>
        <w:t xml:space="preserve"> </w:t>
      </w:r>
      <w:r>
        <w:t>his</w:t>
      </w:r>
      <w:r>
        <w:rPr>
          <w:spacing w:val="30"/>
        </w:rPr>
        <w:t xml:space="preserve"> </w:t>
      </w:r>
      <w:r>
        <w:t>own</w:t>
      </w:r>
      <w:r>
        <w:rPr>
          <w:spacing w:val="30"/>
        </w:rPr>
        <w:t xml:space="preserve"> </w:t>
      </w:r>
      <w:r>
        <w:t>doctrine,</w:t>
      </w:r>
      <w:r>
        <w:rPr>
          <w:spacing w:val="30"/>
        </w:rPr>
        <w:t xml:space="preserve"> </w:t>
      </w:r>
      <w:r>
        <w:t>since</w:t>
      </w:r>
      <w:r>
        <w:rPr>
          <w:spacing w:val="30"/>
        </w:rPr>
        <w:t xml:space="preserve"> </w:t>
      </w:r>
      <w:r>
        <w:t>he</w:t>
      </w:r>
      <w:r>
        <w:rPr>
          <w:spacing w:val="30"/>
        </w:rPr>
        <w:t xml:space="preserve"> </w:t>
      </w:r>
      <w:r>
        <w:t>tried</w:t>
      </w:r>
      <w:r>
        <w:rPr>
          <w:spacing w:val="30"/>
        </w:rPr>
        <w:t xml:space="preserve"> </w:t>
      </w:r>
      <w:r>
        <w:t>to</w:t>
      </w:r>
      <w:r>
        <w:rPr>
          <w:spacing w:val="30"/>
        </w:rPr>
        <w:t xml:space="preserve"> </w:t>
      </w:r>
      <w:r>
        <w:t xml:space="preserve">understand the instantiation-relation in terms of relations (e.g., covering, resemblance, part-hood) that spatiotemporal entities bear to one another. See his dialogue, the </w:t>
      </w:r>
      <w:r>
        <w:rPr>
          <w:i/>
        </w:rPr>
        <w:t>Parmenides.</w:t>
      </w:r>
    </w:p>
    <w:p w14:paraId="7E00307E" w14:textId="77777777" w:rsidR="009A58DB" w:rsidRDefault="00000000">
      <w:pPr>
        <w:pStyle w:val="ListParagraph"/>
        <w:numPr>
          <w:ilvl w:val="0"/>
          <w:numId w:val="5"/>
        </w:numPr>
        <w:tabs>
          <w:tab w:val="left" w:pos="720"/>
          <w:tab w:val="left" w:pos="949"/>
        </w:tabs>
        <w:spacing w:line="256" w:lineRule="auto"/>
        <w:ind w:left="720" w:right="369" w:hanging="360"/>
        <w:jc w:val="both"/>
        <w:rPr>
          <w:color w:val="0562C1"/>
          <w:position w:val="9"/>
          <w:u w:val="single" w:color="0562C1"/>
        </w:rPr>
      </w:pPr>
      <w:bookmarkStart w:id="766" w:name="_bookmark766"/>
      <w:bookmarkEnd w:id="766"/>
      <w:r>
        <w:tab/>
        <w:t>Some properties would appear to be self-instances (e.g., the property of being a property). But Russell (1908) disagrees.</w:t>
      </w:r>
    </w:p>
    <w:p w14:paraId="7E00307F" w14:textId="77777777" w:rsidR="009A58DB" w:rsidRDefault="00000000">
      <w:pPr>
        <w:pStyle w:val="ListParagraph"/>
        <w:numPr>
          <w:ilvl w:val="0"/>
          <w:numId w:val="5"/>
        </w:numPr>
        <w:tabs>
          <w:tab w:val="left" w:pos="720"/>
          <w:tab w:val="left" w:pos="1147"/>
        </w:tabs>
        <w:spacing w:line="256" w:lineRule="auto"/>
        <w:ind w:left="720" w:right="369" w:hanging="360"/>
        <w:jc w:val="both"/>
        <w:rPr>
          <w:color w:val="0562C1"/>
          <w:position w:val="9"/>
          <w:u w:val="single" w:color="0562C1"/>
        </w:rPr>
      </w:pPr>
      <w:bookmarkStart w:id="767" w:name="_bookmark767"/>
      <w:bookmarkEnd w:id="767"/>
      <w:r>
        <w:tab/>
        <w:t>Readers familiar with Chomsky (1965) will see that I’m using his distinction between performance and competence. The argument being put forth is a highly Chomskyan one.</w:t>
      </w:r>
    </w:p>
    <w:p w14:paraId="7E003080" w14:textId="77777777" w:rsidR="009A58DB" w:rsidRDefault="00000000">
      <w:pPr>
        <w:pStyle w:val="ListParagraph"/>
        <w:numPr>
          <w:ilvl w:val="0"/>
          <w:numId w:val="5"/>
        </w:numPr>
        <w:tabs>
          <w:tab w:val="left" w:pos="866"/>
        </w:tabs>
        <w:spacing w:line="342" w:lineRule="exact"/>
        <w:ind w:left="866" w:hanging="506"/>
        <w:jc w:val="both"/>
        <w:rPr>
          <w:color w:val="0562C1"/>
          <w:position w:val="9"/>
          <w:u w:val="single" w:color="0562C1"/>
        </w:rPr>
      </w:pPr>
      <w:bookmarkStart w:id="768" w:name="_bookmark768"/>
      <w:bookmarkEnd w:id="768"/>
      <w:r>
        <w:t>“WA”</w:t>
      </w:r>
      <w:r>
        <w:rPr>
          <w:spacing w:val="10"/>
        </w:rPr>
        <w:t xml:space="preserve"> </w:t>
      </w:r>
      <w:r>
        <w:t>stands</w:t>
      </w:r>
      <w:r>
        <w:rPr>
          <w:spacing w:val="10"/>
        </w:rPr>
        <w:t xml:space="preserve"> </w:t>
      </w:r>
      <w:r>
        <w:t>for</w:t>
      </w:r>
      <w:r>
        <w:rPr>
          <w:spacing w:val="10"/>
        </w:rPr>
        <w:t xml:space="preserve"> </w:t>
      </w:r>
      <w:r>
        <w:t>“Wittgenstein’s</w:t>
      </w:r>
      <w:r>
        <w:rPr>
          <w:spacing w:val="10"/>
        </w:rPr>
        <w:t xml:space="preserve"> </w:t>
      </w:r>
      <w:r>
        <w:rPr>
          <w:spacing w:val="-2"/>
        </w:rPr>
        <w:t>argument.”</w:t>
      </w:r>
    </w:p>
    <w:p w14:paraId="7E003081" w14:textId="77777777" w:rsidR="009A58DB" w:rsidRDefault="00000000">
      <w:pPr>
        <w:pStyle w:val="ListParagraph"/>
        <w:numPr>
          <w:ilvl w:val="0"/>
          <w:numId w:val="5"/>
        </w:numPr>
        <w:tabs>
          <w:tab w:val="left" w:pos="720"/>
          <w:tab w:val="left" w:pos="913"/>
        </w:tabs>
        <w:spacing w:before="13" w:line="256" w:lineRule="auto"/>
        <w:ind w:left="720" w:right="361" w:hanging="360"/>
        <w:jc w:val="both"/>
        <w:rPr>
          <w:color w:val="0562C1"/>
          <w:position w:val="9"/>
          <w:u w:val="single" w:color="0562C1"/>
        </w:rPr>
      </w:pPr>
      <w:bookmarkStart w:id="769" w:name="_bookmark769"/>
      <w:bookmarkEnd w:id="769"/>
      <w:r>
        <w:tab/>
        <w:t>Ayer (1968) makes the same point. Ayer (1968) is, in general, a powerful critique of the private language argument.</w:t>
      </w:r>
    </w:p>
    <w:p w14:paraId="7E003082" w14:textId="77777777" w:rsidR="009A58DB" w:rsidRDefault="00000000">
      <w:pPr>
        <w:pStyle w:val="ListParagraph"/>
        <w:numPr>
          <w:ilvl w:val="0"/>
          <w:numId w:val="5"/>
        </w:numPr>
        <w:tabs>
          <w:tab w:val="left" w:pos="720"/>
          <w:tab w:val="left" w:pos="896"/>
        </w:tabs>
        <w:spacing w:line="256" w:lineRule="auto"/>
        <w:ind w:left="720" w:right="358" w:hanging="360"/>
        <w:jc w:val="both"/>
        <w:rPr>
          <w:color w:val="0562C1"/>
          <w:position w:val="9"/>
          <w:u w:val="single" w:color="0562C1"/>
        </w:rPr>
      </w:pPr>
      <w:bookmarkStart w:id="770" w:name="_bookmark770"/>
      <w:bookmarkEnd w:id="770"/>
      <w:r>
        <w:tab/>
        <w:t>We use the expression “the English language” to refer to what are in fact distinct, but connected, languages. The language that Chaucer spoke is an ancestor of the language that we speak. The same</w:t>
      </w:r>
      <w:r>
        <w:rPr>
          <w:spacing w:val="80"/>
        </w:rPr>
        <w:t xml:space="preserve"> </w:t>
      </w:r>
      <w:r>
        <w:t>is true, though less obviously, of the language that Shakespeare spoke. A language, in the strict</w:t>
      </w:r>
      <w:r>
        <w:rPr>
          <w:spacing w:val="80"/>
          <w:w w:val="150"/>
        </w:rPr>
        <w:t xml:space="preserve"> </w:t>
      </w:r>
      <w:r>
        <w:t>sense, is a set of semantic rules.</w:t>
      </w:r>
    </w:p>
    <w:p w14:paraId="7E003083" w14:textId="77777777" w:rsidR="009A58DB" w:rsidRDefault="00000000">
      <w:pPr>
        <w:tabs>
          <w:tab w:val="left" w:pos="1353"/>
        </w:tabs>
        <w:spacing w:line="430" w:lineRule="exact"/>
        <w:ind w:left="360"/>
      </w:pPr>
      <w:bookmarkStart w:id="771" w:name="_bookmark771"/>
      <w:bookmarkEnd w:id="771"/>
      <w:r>
        <w:rPr>
          <w:color w:val="0562C1"/>
          <w:spacing w:val="-2"/>
          <w:position w:val="18"/>
          <w:u w:val="single" w:color="0562C1"/>
        </w:rPr>
        <w:t>[106]</w:t>
      </w:r>
      <w:r>
        <w:rPr>
          <w:spacing w:val="-2"/>
        </w:rPr>
        <w:t>.</w:t>
      </w:r>
      <w:r>
        <w:tab/>
        <w:t>See</w:t>
      </w:r>
      <w:r>
        <w:rPr>
          <w:spacing w:val="9"/>
        </w:rPr>
        <w:t xml:space="preserve"> </w:t>
      </w:r>
      <w:r>
        <w:t>Russell</w:t>
      </w:r>
      <w:r>
        <w:rPr>
          <w:spacing w:val="10"/>
        </w:rPr>
        <w:t xml:space="preserve"> </w:t>
      </w:r>
      <w:r>
        <w:t>(1905,</w:t>
      </w:r>
      <w:r>
        <w:rPr>
          <w:spacing w:val="10"/>
        </w:rPr>
        <w:t xml:space="preserve"> </w:t>
      </w:r>
      <w:r>
        <w:t>1917,</w:t>
      </w:r>
      <w:r>
        <w:rPr>
          <w:spacing w:val="10"/>
        </w:rPr>
        <w:t xml:space="preserve"> </w:t>
      </w:r>
      <w:r>
        <w:t>1918,</w:t>
      </w:r>
      <w:r>
        <w:rPr>
          <w:spacing w:val="10"/>
        </w:rPr>
        <w:t xml:space="preserve"> </w:t>
      </w:r>
      <w:r>
        <w:t>1920,</w:t>
      </w:r>
      <w:r>
        <w:rPr>
          <w:spacing w:val="10"/>
        </w:rPr>
        <w:t xml:space="preserve"> </w:t>
      </w:r>
      <w:r>
        <w:t>1948,</w:t>
      </w:r>
      <w:r>
        <w:rPr>
          <w:spacing w:val="10"/>
        </w:rPr>
        <w:t xml:space="preserve"> </w:t>
      </w:r>
      <w:r>
        <w:rPr>
          <w:spacing w:val="-2"/>
        </w:rPr>
        <w:t>1956).</w:t>
      </w:r>
    </w:p>
    <w:p w14:paraId="7E003084" w14:textId="77777777" w:rsidR="009A58DB" w:rsidRDefault="00000000">
      <w:pPr>
        <w:tabs>
          <w:tab w:val="left" w:pos="1353"/>
        </w:tabs>
        <w:spacing w:before="15" w:line="256" w:lineRule="auto"/>
        <w:ind w:left="360" w:right="4727"/>
      </w:pPr>
      <w:bookmarkStart w:id="772" w:name="_bookmark772"/>
      <w:bookmarkEnd w:id="772"/>
      <w:r>
        <w:rPr>
          <w:color w:val="0562C1"/>
          <w:spacing w:val="-2"/>
          <w:position w:val="18"/>
          <w:u w:val="single" w:color="0562C1"/>
        </w:rPr>
        <w:t>[107]</w:t>
      </w:r>
      <w:r>
        <w:rPr>
          <w:spacing w:val="-2"/>
        </w:rPr>
        <w:t>.</w:t>
      </w:r>
      <w:r>
        <w:tab/>
        <w:t xml:space="preserve">“DD” is short for “definite descriptions.” </w:t>
      </w:r>
      <w:bookmarkStart w:id="773" w:name="_bookmark773"/>
      <w:bookmarkEnd w:id="773"/>
      <w:r>
        <w:rPr>
          <w:color w:val="0562C1"/>
          <w:spacing w:val="-2"/>
          <w:position w:val="18"/>
          <w:u w:val="single" w:color="0562C1"/>
        </w:rPr>
        <w:t>[108]</w:t>
      </w:r>
      <w:r>
        <w:rPr>
          <w:spacing w:val="-2"/>
        </w:rPr>
        <w:t>.</w:t>
      </w:r>
      <w:r>
        <w:tab/>
        <w:t xml:space="preserve">Kripke (1980) puts forth this argument. </w:t>
      </w:r>
      <w:bookmarkStart w:id="774" w:name="_bookmark774"/>
      <w:bookmarkEnd w:id="774"/>
      <w:r>
        <w:rPr>
          <w:color w:val="0562C1"/>
          <w:spacing w:val="-2"/>
          <w:position w:val="18"/>
          <w:u w:val="single" w:color="0562C1"/>
        </w:rPr>
        <w:t>[109]</w:t>
      </w:r>
      <w:r>
        <w:rPr>
          <w:spacing w:val="-2"/>
        </w:rPr>
        <w:t>.</w:t>
      </w:r>
      <w:r>
        <w:tab/>
        <w:t xml:space="preserve">See his book </w:t>
      </w:r>
      <w:r>
        <w:rPr>
          <w:i/>
        </w:rPr>
        <w:t xml:space="preserve">Psychology and Object-theory. </w:t>
      </w:r>
      <w:bookmarkStart w:id="775" w:name="_bookmark775"/>
      <w:bookmarkEnd w:id="775"/>
      <w:r>
        <w:rPr>
          <w:color w:val="0562C1"/>
          <w:spacing w:val="-2"/>
          <w:position w:val="18"/>
          <w:u w:val="single" w:color="0562C1"/>
        </w:rPr>
        <w:t>[110]</w:t>
      </w:r>
      <w:r>
        <w:rPr>
          <w:spacing w:val="-2"/>
        </w:rPr>
        <w:t>.</w:t>
      </w:r>
      <w:r>
        <w:tab/>
        <w:t>“FR” is short for “Frege.”</w:t>
      </w:r>
    </w:p>
    <w:p w14:paraId="7E003085" w14:textId="77777777" w:rsidR="009A58DB" w:rsidRDefault="00000000">
      <w:pPr>
        <w:tabs>
          <w:tab w:val="left" w:pos="1353"/>
        </w:tabs>
        <w:spacing w:line="430" w:lineRule="exact"/>
        <w:ind w:left="360"/>
      </w:pPr>
      <w:bookmarkStart w:id="776" w:name="_bookmark776"/>
      <w:bookmarkEnd w:id="776"/>
      <w:r>
        <w:rPr>
          <w:color w:val="0562C1"/>
          <w:spacing w:val="-2"/>
          <w:position w:val="18"/>
          <w:u w:val="single" w:color="0562C1"/>
        </w:rPr>
        <w:t>[111]</w:t>
      </w:r>
      <w:r>
        <w:rPr>
          <w:spacing w:val="-2"/>
        </w:rPr>
        <w:t>.</w:t>
      </w:r>
      <w:r>
        <w:tab/>
        <w:t>Frege</w:t>
      </w:r>
      <w:r>
        <w:rPr>
          <w:spacing w:val="8"/>
        </w:rPr>
        <w:t xml:space="preserve"> </w:t>
      </w:r>
      <w:r>
        <w:rPr>
          <w:spacing w:val="-2"/>
        </w:rPr>
        <w:t>(1892).</w:t>
      </w:r>
    </w:p>
    <w:p w14:paraId="7E003086" w14:textId="77777777" w:rsidR="009A58DB" w:rsidRDefault="00000000">
      <w:pPr>
        <w:tabs>
          <w:tab w:val="left" w:pos="1353"/>
        </w:tabs>
        <w:spacing w:before="17"/>
        <w:ind w:left="360"/>
      </w:pPr>
      <w:bookmarkStart w:id="777" w:name="_bookmark777"/>
      <w:bookmarkEnd w:id="777"/>
      <w:r>
        <w:rPr>
          <w:color w:val="0562C1"/>
          <w:spacing w:val="-2"/>
          <w:position w:val="18"/>
          <w:u w:val="single" w:color="0562C1"/>
        </w:rPr>
        <w:t>[112]</w:t>
      </w:r>
      <w:r>
        <w:rPr>
          <w:spacing w:val="-2"/>
        </w:rPr>
        <w:t>.</w:t>
      </w:r>
      <w:r>
        <w:tab/>
        <w:t>“IB”</w:t>
      </w:r>
      <w:r>
        <w:rPr>
          <w:spacing w:val="6"/>
        </w:rPr>
        <w:t xml:space="preserve"> </w:t>
      </w:r>
      <w:r>
        <w:t>is</w:t>
      </w:r>
      <w:r>
        <w:rPr>
          <w:spacing w:val="7"/>
        </w:rPr>
        <w:t xml:space="preserve"> </w:t>
      </w:r>
      <w:r>
        <w:t>short</w:t>
      </w:r>
      <w:r>
        <w:rPr>
          <w:spacing w:val="6"/>
        </w:rPr>
        <w:t xml:space="preserve"> </w:t>
      </w:r>
      <w:r>
        <w:t>for</w:t>
      </w:r>
      <w:r>
        <w:rPr>
          <w:spacing w:val="7"/>
        </w:rPr>
        <w:t xml:space="preserve"> </w:t>
      </w:r>
      <w:r>
        <w:t>“the</w:t>
      </w:r>
      <w:r>
        <w:rPr>
          <w:spacing w:val="6"/>
        </w:rPr>
        <w:t xml:space="preserve"> </w:t>
      </w:r>
      <w:r>
        <w:t>inventor</w:t>
      </w:r>
      <w:r>
        <w:rPr>
          <w:spacing w:val="7"/>
        </w:rPr>
        <w:t xml:space="preserve"> </w:t>
      </w:r>
      <w:r>
        <w:t>of</w:t>
      </w:r>
      <w:r>
        <w:rPr>
          <w:spacing w:val="6"/>
        </w:rPr>
        <w:t xml:space="preserve"> </w:t>
      </w:r>
      <w:r>
        <w:rPr>
          <w:spacing w:val="-2"/>
        </w:rPr>
        <w:t>bifocals.”</w:t>
      </w:r>
    </w:p>
    <w:p w14:paraId="7E003087" w14:textId="77777777" w:rsidR="009A58DB" w:rsidRDefault="00000000">
      <w:pPr>
        <w:tabs>
          <w:tab w:val="left" w:pos="1353"/>
        </w:tabs>
        <w:spacing w:before="17" w:line="256" w:lineRule="auto"/>
        <w:ind w:left="720" w:right="794" w:hanging="360"/>
      </w:pPr>
      <w:bookmarkStart w:id="778" w:name="_bookmark778"/>
      <w:bookmarkEnd w:id="778"/>
      <w:r>
        <w:rPr>
          <w:color w:val="0562C1"/>
          <w:spacing w:val="-2"/>
          <w:position w:val="18"/>
          <w:u w:val="single" w:color="0562C1"/>
        </w:rPr>
        <w:t>[113]</w:t>
      </w:r>
      <w:r>
        <w:rPr>
          <w:spacing w:val="-2"/>
        </w:rPr>
        <w:t>.</w:t>
      </w:r>
      <w:r>
        <w:tab/>
        <w:t xml:space="preserve">He used the words “ungerade” and “gerade,” which are literally translated as “direct” and </w:t>
      </w:r>
      <w:r>
        <w:rPr>
          <w:spacing w:val="-2"/>
        </w:rPr>
        <w:t>“indirect.”</w:t>
      </w:r>
    </w:p>
    <w:p w14:paraId="7E003088" w14:textId="77777777" w:rsidR="009A58DB" w:rsidRDefault="00000000">
      <w:pPr>
        <w:pStyle w:val="ListParagraph"/>
        <w:numPr>
          <w:ilvl w:val="0"/>
          <w:numId w:val="4"/>
        </w:numPr>
        <w:tabs>
          <w:tab w:val="left" w:pos="809"/>
        </w:tabs>
        <w:spacing w:line="252" w:lineRule="exact"/>
        <w:ind w:left="809" w:hanging="449"/>
        <w:rPr>
          <w:u w:val="single" w:color="0562C1"/>
        </w:rPr>
      </w:pPr>
      <w:r>
        <w:t>”IFT”</w:t>
      </w:r>
      <w:r>
        <w:rPr>
          <w:spacing w:val="7"/>
        </w:rPr>
        <w:t xml:space="preserve"> </w:t>
      </w:r>
      <w:r>
        <w:t>stands</w:t>
      </w:r>
      <w:r>
        <w:rPr>
          <w:spacing w:val="8"/>
        </w:rPr>
        <w:t xml:space="preserve"> </w:t>
      </w:r>
      <w:r>
        <w:t>for</w:t>
      </w:r>
      <w:r>
        <w:rPr>
          <w:spacing w:val="8"/>
        </w:rPr>
        <w:t xml:space="preserve"> </w:t>
      </w:r>
      <w:r>
        <w:t>“idea</w:t>
      </w:r>
      <w:r>
        <w:rPr>
          <w:spacing w:val="8"/>
        </w:rPr>
        <w:t xml:space="preserve"> </w:t>
      </w:r>
      <w:r>
        <w:t>embodied</w:t>
      </w:r>
      <w:r>
        <w:rPr>
          <w:spacing w:val="8"/>
        </w:rPr>
        <w:t xml:space="preserve"> </w:t>
      </w:r>
      <w:r>
        <w:t>in</w:t>
      </w:r>
      <w:r>
        <w:rPr>
          <w:spacing w:val="8"/>
        </w:rPr>
        <w:t xml:space="preserve"> </w:t>
      </w:r>
      <w:r>
        <w:t>Frege’s</w:t>
      </w:r>
      <w:r>
        <w:rPr>
          <w:spacing w:val="8"/>
        </w:rPr>
        <w:t xml:space="preserve"> </w:t>
      </w:r>
      <w:r>
        <w:rPr>
          <w:spacing w:val="-2"/>
        </w:rPr>
        <w:t>theory.”</w:t>
      </w:r>
    </w:p>
    <w:p w14:paraId="7E003089" w14:textId="77777777" w:rsidR="009A58DB" w:rsidRDefault="00000000">
      <w:pPr>
        <w:pStyle w:val="ListParagraph"/>
        <w:numPr>
          <w:ilvl w:val="0"/>
          <w:numId w:val="4"/>
        </w:numPr>
        <w:tabs>
          <w:tab w:val="left" w:pos="720"/>
          <w:tab w:val="left" w:pos="753"/>
        </w:tabs>
        <w:spacing w:before="17" w:line="256" w:lineRule="auto"/>
        <w:ind w:left="720" w:right="494" w:hanging="360"/>
        <w:rPr>
          <w:color w:val="0562C1"/>
          <w:position w:val="9"/>
          <w:u w:val="single" w:color="0562C1"/>
        </w:rPr>
      </w:pPr>
      <w:bookmarkStart w:id="779" w:name="_bookmark779"/>
      <w:bookmarkEnd w:id="779"/>
      <w:r>
        <w:tab/>
        <w:t>See Russell (1905), Frege (1879, 1954), and Taylor (1998). The term “syntactic ambiguity” is due</w:t>
      </w:r>
      <w:r>
        <w:rPr>
          <w:spacing w:val="40"/>
        </w:rPr>
        <w:t xml:space="preserve"> </w:t>
      </w:r>
      <w:r>
        <w:t>to Russell (1905). The concept of syntactic ambiguity was first clearly analyzed by Frege (1879).</w:t>
      </w:r>
    </w:p>
    <w:p w14:paraId="7E00308A" w14:textId="77777777" w:rsidR="009A58DB" w:rsidRDefault="00000000">
      <w:pPr>
        <w:pStyle w:val="ListParagraph"/>
        <w:numPr>
          <w:ilvl w:val="0"/>
          <w:numId w:val="4"/>
        </w:numPr>
        <w:tabs>
          <w:tab w:val="left" w:pos="720"/>
          <w:tab w:val="left" w:pos="753"/>
        </w:tabs>
        <w:spacing w:line="256" w:lineRule="auto"/>
        <w:ind w:left="720" w:right="413" w:hanging="360"/>
        <w:rPr>
          <w:color w:val="0562C1"/>
          <w:position w:val="9"/>
          <w:u w:val="single" w:color="0562C1"/>
        </w:rPr>
      </w:pPr>
      <w:bookmarkStart w:id="780" w:name="_bookmark780"/>
      <w:bookmarkEnd w:id="780"/>
      <w:r>
        <w:tab/>
        <w:t>An</w:t>
      </w:r>
      <w:r>
        <w:rPr>
          <w:spacing w:val="19"/>
        </w:rPr>
        <w:t xml:space="preserve"> </w:t>
      </w:r>
      <w:r>
        <w:t>open-sentence</w:t>
      </w:r>
      <w:r>
        <w:rPr>
          <w:spacing w:val="19"/>
        </w:rPr>
        <w:t xml:space="preserve"> </w:t>
      </w:r>
      <w:r>
        <w:t>containing</w:t>
      </w:r>
      <w:r>
        <w:rPr>
          <w:spacing w:val="19"/>
        </w:rPr>
        <w:t xml:space="preserve"> </w:t>
      </w:r>
      <w:r>
        <w:t>two</w:t>
      </w:r>
      <w:r>
        <w:rPr>
          <w:spacing w:val="19"/>
        </w:rPr>
        <w:t xml:space="preserve"> </w:t>
      </w:r>
      <w:r>
        <w:t>or</w:t>
      </w:r>
      <w:r>
        <w:rPr>
          <w:spacing w:val="19"/>
        </w:rPr>
        <w:t xml:space="preserve"> </w:t>
      </w:r>
      <w:r>
        <w:t>more</w:t>
      </w:r>
      <w:r>
        <w:rPr>
          <w:spacing w:val="19"/>
        </w:rPr>
        <w:t xml:space="preserve"> </w:t>
      </w:r>
      <w:r>
        <w:t>free</w:t>
      </w:r>
      <w:r>
        <w:rPr>
          <w:spacing w:val="19"/>
        </w:rPr>
        <w:t xml:space="preserve"> </w:t>
      </w:r>
      <w:r>
        <w:t>variables</w:t>
      </w:r>
      <w:r>
        <w:rPr>
          <w:spacing w:val="19"/>
        </w:rPr>
        <w:t xml:space="preserve"> </w:t>
      </w:r>
      <w:r>
        <w:t>(e.g.,</w:t>
      </w:r>
      <w:r>
        <w:rPr>
          <w:spacing w:val="19"/>
        </w:rPr>
        <w:t xml:space="preserve"> </w:t>
      </w:r>
      <w:r>
        <w:t>“x</w:t>
      </w:r>
      <w:r>
        <w:rPr>
          <w:spacing w:val="19"/>
        </w:rPr>
        <w:t xml:space="preserve"> </w:t>
      </w:r>
      <w:r>
        <w:t>loves</w:t>
      </w:r>
      <w:r>
        <w:rPr>
          <w:spacing w:val="19"/>
        </w:rPr>
        <w:t xml:space="preserve"> </w:t>
      </w:r>
      <w:r>
        <w:t>y,”</w:t>
      </w:r>
      <w:r>
        <w:rPr>
          <w:spacing w:val="19"/>
        </w:rPr>
        <w:t xml:space="preserve"> </w:t>
      </w:r>
      <w:r>
        <w:t>is</w:t>
      </w:r>
      <w:r>
        <w:rPr>
          <w:spacing w:val="19"/>
        </w:rPr>
        <w:t xml:space="preserve"> </w:t>
      </w:r>
      <w:r>
        <w:t>satisfied</w:t>
      </w:r>
      <w:r>
        <w:rPr>
          <w:spacing w:val="19"/>
        </w:rPr>
        <w:t xml:space="preserve"> </w:t>
      </w:r>
      <w:r>
        <w:t>by</w:t>
      </w:r>
      <w:r>
        <w:rPr>
          <w:spacing w:val="19"/>
        </w:rPr>
        <w:t xml:space="preserve"> </w:t>
      </w:r>
      <w:r>
        <w:t>an ordered n-tuple of expressions that satisfy). Thus, the ordered pair &lt;“Romeo,” “Juliet”&gt; satisfies “x loves y.”</w:t>
      </w:r>
    </w:p>
    <w:p w14:paraId="7E00308B" w14:textId="77777777" w:rsidR="009A58DB" w:rsidRDefault="00000000">
      <w:pPr>
        <w:pStyle w:val="ListParagraph"/>
        <w:numPr>
          <w:ilvl w:val="0"/>
          <w:numId w:val="4"/>
        </w:numPr>
        <w:tabs>
          <w:tab w:val="left" w:pos="753"/>
        </w:tabs>
        <w:spacing w:line="341" w:lineRule="exact"/>
        <w:ind w:left="753" w:hanging="393"/>
        <w:jc w:val="both"/>
        <w:rPr>
          <w:color w:val="0562C1"/>
          <w:position w:val="9"/>
          <w:u w:val="single" w:color="0562C1"/>
        </w:rPr>
      </w:pPr>
      <w:bookmarkStart w:id="781" w:name="_bookmark781"/>
      <w:bookmarkEnd w:id="781"/>
      <w:r>
        <w:t>In</w:t>
      </w:r>
      <w:r>
        <w:rPr>
          <w:spacing w:val="6"/>
        </w:rPr>
        <w:t xml:space="preserve"> </w:t>
      </w:r>
      <w:r>
        <w:t>the</w:t>
      </w:r>
      <w:r>
        <w:rPr>
          <w:spacing w:val="7"/>
        </w:rPr>
        <w:t xml:space="preserve"> </w:t>
      </w:r>
      <w:r>
        <w:t>1980’s,</w:t>
      </w:r>
      <w:r>
        <w:rPr>
          <w:spacing w:val="7"/>
        </w:rPr>
        <w:t xml:space="preserve"> </w:t>
      </w:r>
      <w:r>
        <w:t>there</w:t>
      </w:r>
      <w:r>
        <w:rPr>
          <w:spacing w:val="7"/>
        </w:rPr>
        <w:t xml:space="preserve"> </w:t>
      </w:r>
      <w:r>
        <w:t>was</w:t>
      </w:r>
      <w:r>
        <w:rPr>
          <w:spacing w:val="6"/>
        </w:rPr>
        <w:t xml:space="preserve"> </w:t>
      </w:r>
      <w:r>
        <w:t>a</w:t>
      </w:r>
      <w:r>
        <w:rPr>
          <w:spacing w:val="7"/>
        </w:rPr>
        <w:t xml:space="preserve"> </w:t>
      </w:r>
      <w:r>
        <w:rPr>
          <w:i/>
        </w:rPr>
        <w:t>Saturday</w:t>
      </w:r>
      <w:r>
        <w:rPr>
          <w:i/>
          <w:spacing w:val="7"/>
        </w:rPr>
        <w:t xml:space="preserve"> </w:t>
      </w:r>
      <w:r>
        <w:rPr>
          <w:i/>
        </w:rPr>
        <w:t>Night</w:t>
      </w:r>
      <w:r>
        <w:rPr>
          <w:i/>
          <w:spacing w:val="7"/>
        </w:rPr>
        <w:t xml:space="preserve"> </w:t>
      </w:r>
      <w:r>
        <w:rPr>
          <w:i/>
        </w:rPr>
        <w:t>Live</w:t>
      </w:r>
      <w:r>
        <w:rPr>
          <w:i/>
          <w:spacing w:val="6"/>
        </w:rPr>
        <w:t xml:space="preserve"> </w:t>
      </w:r>
      <w:r>
        <w:t>skit</w:t>
      </w:r>
      <w:r>
        <w:rPr>
          <w:spacing w:val="7"/>
        </w:rPr>
        <w:t xml:space="preserve"> </w:t>
      </w:r>
      <w:r>
        <w:t>that</w:t>
      </w:r>
      <w:r>
        <w:rPr>
          <w:spacing w:val="7"/>
        </w:rPr>
        <w:t xml:space="preserve"> </w:t>
      </w:r>
      <w:r>
        <w:t>was</w:t>
      </w:r>
      <w:r>
        <w:rPr>
          <w:spacing w:val="7"/>
        </w:rPr>
        <w:t xml:space="preserve"> </w:t>
      </w:r>
      <w:r>
        <w:t>based</w:t>
      </w:r>
      <w:r>
        <w:rPr>
          <w:spacing w:val="7"/>
        </w:rPr>
        <w:t xml:space="preserve"> </w:t>
      </w:r>
      <w:r>
        <w:t>on</w:t>
      </w:r>
      <w:r>
        <w:rPr>
          <w:spacing w:val="6"/>
        </w:rPr>
        <w:t xml:space="preserve"> </w:t>
      </w:r>
      <w:r>
        <w:t>this</w:t>
      </w:r>
      <w:r>
        <w:rPr>
          <w:spacing w:val="7"/>
        </w:rPr>
        <w:t xml:space="preserve"> </w:t>
      </w:r>
      <w:r>
        <w:t>very</w:t>
      </w:r>
      <w:r>
        <w:rPr>
          <w:spacing w:val="7"/>
        </w:rPr>
        <w:t xml:space="preserve"> </w:t>
      </w:r>
      <w:r>
        <w:rPr>
          <w:spacing w:val="-2"/>
        </w:rPr>
        <w:t>ambiguity.</w:t>
      </w:r>
    </w:p>
    <w:p w14:paraId="7E00308C" w14:textId="77777777" w:rsidR="009A58DB" w:rsidRDefault="00000000">
      <w:pPr>
        <w:pStyle w:val="ListParagraph"/>
        <w:numPr>
          <w:ilvl w:val="0"/>
          <w:numId w:val="4"/>
        </w:numPr>
        <w:tabs>
          <w:tab w:val="left" w:pos="720"/>
          <w:tab w:val="left" w:pos="753"/>
        </w:tabs>
        <w:spacing w:before="16" w:line="256" w:lineRule="auto"/>
        <w:ind w:left="720" w:right="482" w:hanging="360"/>
        <w:rPr>
          <w:color w:val="0562C1"/>
          <w:position w:val="9"/>
          <w:u w:val="single" w:color="0562C1"/>
        </w:rPr>
      </w:pPr>
      <w:bookmarkStart w:id="782" w:name="_bookmark782"/>
      <w:bookmarkEnd w:id="782"/>
      <w:r>
        <w:tab/>
        <w:t>Sometimes generating the narrow-scope reading is a sensitive task, as this example shows. It can’t always be done by permuting expressions that even resemble those found at the level of surface-</w:t>
      </w:r>
      <w:r>
        <w:rPr>
          <w:spacing w:val="-2"/>
        </w:rPr>
        <w:t>structure.</w:t>
      </w:r>
    </w:p>
    <w:p w14:paraId="7E00308D" w14:textId="77777777" w:rsidR="009A58DB" w:rsidRDefault="00000000">
      <w:pPr>
        <w:pStyle w:val="ListParagraph"/>
        <w:numPr>
          <w:ilvl w:val="0"/>
          <w:numId w:val="4"/>
        </w:numPr>
        <w:tabs>
          <w:tab w:val="left" w:pos="753"/>
        </w:tabs>
        <w:spacing w:line="341" w:lineRule="exact"/>
        <w:ind w:left="753" w:hanging="393"/>
        <w:jc w:val="both"/>
        <w:rPr>
          <w:color w:val="0562C1"/>
          <w:position w:val="9"/>
          <w:u w:val="single" w:color="0562C1"/>
        </w:rPr>
      </w:pPr>
      <w:bookmarkStart w:id="783" w:name="_bookmark783"/>
      <w:bookmarkEnd w:id="783"/>
      <w:r>
        <w:t>See</w:t>
      </w:r>
      <w:r>
        <w:rPr>
          <w:spacing w:val="9"/>
        </w:rPr>
        <w:t xml:space="preserve"> </w:t>
      </w:r>
      <w:r>
        <w:t>Quine</w:t>
      </w:r>
      <w:r>
        <w:rPr>
          <w:spacing w:val="10"/>
        </w:rPr>
        <w:t xml:space="preserve"> </w:t>
      </w:r>
      <w:r>
        <w:t>(1953,</w:t>
      </w:r>
      <w:r>
        <w:rPr>
          <w:spacing w:val="9"/>
        </w:rPr>
        <w:t xml:space="preserve"> </w:t>
      </w:r>
      <w:r>
        <w:t>1960,</w:t>
      </w:r>
      <w:r>
        <w:rPr>
          <w:spacing w:val="10"/>
        </w:rPr>
        <w:t xml:space="preserve"> </w:t>
      </w:r>
      <w:r>
        <w:t>1966,</w:t>
      </w:r>
      <w:r>
        <w:rPr>
          <w:spacing w:val="10"/>
        </w:rPr>
        <w:t xml:space="preserve"> </w:t>
      </w:r>
      <w:r>
        <w:rPr>
          <w:spacing w:val="-2"/>
        </w:rPr>
        <w:t>1981).</w:t>
      </w:r>
    </w:p>
    <w:p w14:paraId="7E00308E" w14:textId="77777777" w:rsidR="009A58DB" w:rsidRDefault="00000000">
      <w:pPr>
        <w:pStyle w:val="ListParagraph"/>
        <w:numPr>
          <w:ilvl w:val="0"/>
          <w:numId w:val="4"/>
        </w:numPr>
        <w:tabs>
          <w:tab w:val="left" w:pos="753"/>
        </w:tabs>
        <w:spacing w:before="17"/>
        <w:ind w:left="753" w:hanging="393"/>
        <w:jc w:val="both"/>
        <w:rPr>
          <w:color w:val="0562C1"/>
          <w:position w:val="9"/>
          <w:u w:val="single" w:color="0562C1"/>
        </w:rPr>
      </w:pPr>
      <w:bookmarkStart w:id="784" w:name="_bookmark784"/>
      <w:bookmarkEnd w:id="784"/>
      <w:r>
        <w:t>“QA”</w:t>
      </w:r>
      <w:r>
        <w:rPr>
          <w:spacing w:val="8"/>
        </w:rPr>
        <w:t xml:space="preserve"> </w:t>
      </w:r>
      <w:r>
        <w:t>stands</w:t>
      </w:r>
      <w:r>
        <w:rPr>
          <w:spacing w:val="9"/>
        </w:rPr>
        <w:t xml:space="preserve"> </w:t>
      </w:r>
      <w:r>
        <w:t>for</w:t>
      </w:r>
      <w:r>
        <w:rPr>
          <w:spacing w:val="8"/>
        </w:rPr>
        <w:t xml:space="preserve"> </w:t>
      </w:r>
      <w:r>
        <w:t>“Quine’s</w:t>
      </w:r>
      <w:r>
        <w:rPr>
          <w:spacing w:val="9"/>
        </w:rPr>
        <w:t xml:space="preserve"> </w:t>
      </w:r>
      <w:r>
        <w:rPr>
          <w:spacing w:val="-2"/>
        </w:rPr>
        <w:t>argument.”</w:t>
      </w:r>
    </w:p>
    <w:p w14:paraId="7E00308F" w14:textId="77777777" w:rsidR="009A58DB" w:rsidRDefault="009A58DB">
      <w:pPr>
        <w:pStyle w:val="ListParagraph"/>
        <w:jc w:val="both"/>
        <w:rPr>
          <w:position w:val="9"/>
        </w:rPr>
        <w:sectPr w:rsidR="009A58DB">
          <w:pgSz w:w="12240" w:h="15840"/>
          <w:pgMar w:top="1360" w:right="1080" w:bottom="280" w:left="1080" w:header="720" w:footer="720" w:gutter="0"/>
          <w:cols w:space="720"/>
        </w:sectPr>
      </w:pPr>
    </w:p>
    <w:p w14:paraId="7E003090" w14:textId="77777777" w:rsidR="009A58DB" w:rsidRDefault="00000000">
      <w:pPr>
        <w:pStyle w:val="ListParagraph"/>
        <w:numPr>
          <w:ilvl w:val="0"/>
          <w:numId w:val="4"/>
        </w:numPr>
        <w:tabs>
          <w:tab w:val="left" w:pos="720"/>
          <w:tab w:val="left" w:pos="753"/>
        </w:tabs>
        <w:spacing w:before="84" w:line="256" w:lineRule="auto"/>
        <w:ind w:left="720" w:right="775" w:hanging="360"/>
        <w:rPr>
          <w:color w:val="0562C1"/>
          <w:position w:val="9"/>
          <w:u w:val="single" w:color="0562C1"/>
        </w:rPr>
      </w:pPr>
      <w:bookmarkStart w:id="785" w:name="_bookmark785"/>
      <w:bookmarkEnd w:id="785"/>
      <w:r>
        <w:tab/>
        <w:t xml:space="preserve">This is the principle that if x is the same thing as y, then x has any property that y has (and </w:t>
      </w:r>
      <w:r>
        <w:rPr>
          <w:i/>
        </w:rPr>
        <w:t xml:space="preserve">vice </w:t>
      </w:r>
      <w:r>
        <w:rPr>
          <w:i/>
          <w:spacing w:val="-2"/>
        </w:rPr>
        <w:t>versa</w:t>
      </w:r>
      <w:r>
        <w:rPr>
          <w:spacing w:val="-2"/>
        </w:rPr>
        <w:t>).</w:t>
      </w:r>
    </w:p>
    <w:p w14:paraId="7E003091" w14:textId="77777777" w:rsidR="009A58DB" w:rsidRDefault="00000000">
      <w:pPr>
        <w:pStyle w:val="ListParagraph"/>
        <w:numPr>
          <w:ilvl w:val="0"/>
          <w:numId w:val="4"/>
        </w:numPr>
        <w:tabs>
          <w:tab w:val="left" w:pos="720"/>
          <w:tab w:val="left" w:pos="753"/>
        </w:tabs>
        <w:spacing w:line="256" w:lineRule="auto"/>
        <w:ind w:left="720" w:right="390" w:hanging="360"/>
        <w:rPr>
          <w:color w:val="0562C1"/>
          <w:position w:val="9"/>
          <w:u w:val="single" w:color="0562C1"/>
        </w:rPr>
      </w:pPr>
      <w:bookmarkStart w:id="786" w:name="_bookmark786"/>
      <w:bookmarkEnd w:id="786"/>
      <w:r>
        <w:tab/>
        <w:t>Frege was the first to identify the logical forms of quantified statements and to give a clear analysis of the phenomenon of syntactic ambiguity.</w:t>
      </w:r>
    </w:p>
    <w:p w14:paraId="7E003092" w14:textId="77777777" w:rsidR="009A58DB" w:rsidRDefault="00000000">
      <w:pPr>
        <w:spacing w:before="58"/>
        <w:ind w:left="360"/>
      </w:pPr>
      <w:bookmarkStart w:id="787" w:name="_bookmark787"/>
      <w:bookmarkEnd w:id="787"/>
      <w:r>
        <w:rPr>
          <w:color w:val="0562C1"/>
          <w:position w:val="18"/>
          <w:u w:val="single" w:color="0562C1"/>
        </w:rPr>
        <w:t>[114]</w:t>
      </w:r>
      <w:r>
        <w:t>.</w:t>
      </w:r>
      <w:r>
        <w:rPr>
          <w:spacing w:val="17"/>
        </w:rPr>
        <w:t xml:space="preserve"> </w:t>
      </w:r>
      <w:r>
        <w:t>Frege</w:t>
      </w:r>
      <w:r>
        <w:rPr>
          <w:spacing w:val="17"/>
        </w:rPr>
        <w:t xml:space="preserve"> </w:t>
      </w:r>
      <w:r>
        <w:t>(1879,</w:t>
      </w:r>
      <w:r>
        <w:rPr>
          <w:spacing w:val="18"/>
        </w:rPr>
        <w:t xml:space="preserve"> </w:t>
      </w:r>
      <w:r>
        <w:t>1884,</w:t>
      </w:r>
      <w:r>
        <w:rPr>
          <w:spacing w:val="17"/>
        </w:rPr>
        <w:t xml:space="preserve"> </w:t>
      </w:r>
      <w:r>
        <w:t>1892b).</w:t>
      </w:r>
      <w:r>
        <w:rPr>
          <w:spacing w:val="17"/>
        </w:rPr>
        <w:t xml:space="preserve"> </w:t>
      </w:r>
      <w:r>
        <w:t>See</w:t>
      </w:r>
      <w:r>
        <w:rPr>
          <w:spacing w:val="18"/>
        </w:rPr>
        <w:t xml:space="preserve"> </w:t>
      </w:r>
      <w:r>
        <w:t>also</w:t>
      </w:r>
      <w:r>
        <w:rPr>
          <w:spacing w:val="17"/>
        </w:rPr>
        <w:t xml:space="preserve"> </w:t>
      </w:r>
      <w:r>
        <w:t>Russell</w:t>
      </w:r>
      <w:r>
        <w:rPr>
          <w:spacing w:val="17"/>
        </w:rPr>
        <w:t xml:space="preserve"> </w:t>
      </w:r>
      <w:r>
        <w:t>(1920),</w:t>
      </w:r>
      <w:r>
        <w:rPr>
          <w:spacing w:val="18"/>
        </w:rPr>
        <w:t xml:space="preserve"> </w:t>
      </w:r>
      <w:r>
        <w:t>Quine</w:t>
      </w:r>
      <w:r>
        <w:rPr>
          <w:spacing w:val="17"/>
        </w:rPr>
        <w:t xml:space="preserve"> </w:t>
      </w:r>
      <w:r>
        <w:t>(1940),</w:t>
      </w:r>
      <w:r>
        <w:rPr>
          <w:spacing w:val="18"/>
        </w:rPr>
        <w:t xml:space="preserve"> </w:t>
      </w:r>
      <w:r>
        <w:t>Reichenbach</w:t>
      </w:r>
      <w:r>
        <w:rPr>
          <w:spacing w:val="17"/>
        </w:rPr>
        <w:t xml:space="preserve"> </w:t>
      </w:r>
      <w:r>
        <w:t>(1947),</w:t>
      </w:r>
      <w:r>
        <w:rPr>
          <w:spacing w:val="17"/>
        </w:rPr>
        <w:t xml:space="preserve"> </w:t>
      </w:r>
      <w:r>
        <w:rPr>
          <w:spacing w:val="-2"/>
        </w:rPr>
        <w:t>Carnap</w:t>
      </w:r>
    </w:p>
    <w:p w14:paraId="7E003093" w14:textId="77777777" w:rsidR="009A58DB" w:rsidRDefault="00000000">
      <w:pPr>
        <w:spacing w:before="17"/>
        <w:ind w:left="570"/>
      </w:pPr>
      <w:r>
        <w:t>(1958),</w:t>
      </w:r>
      <w:r>
        <w:rPr>
          <w:spacing w:val="8"/>
        </w:rPr>
        <w:t xml:space="preserve"> </w:t>
      </w:r>
      <w:r>
        <w:t>and</w:t>
      </w:r>
      <w:r>
        <w:rPr>
          <w:spacing w:val="8"/>
        </w:rPr>
        <w:t xml:space="preserve"> </w:t>
      </w:r>
      <w:r>
        <w:t>Stoll</w:t>
      </w:r>
      <w:r>
        <w:rPr>
          <w:spacing w:val="8"/>
        </w:rPr>
        <w:t xml:space="preserve"> </w:t>
      </w:r>
      <w:r>
        <w:rPr>
          <w:spacing w:val="-2"/>
        </w:rPr>
        <w:t>(1963).</w:t>
      </w:r>
    </w:p>
    <w:p w14:paraId="7E003094" w14:textId="77777777" w:rsidR="009A58DB" w:rsidRDefault="00000000">
      <w:pPr>
        <w:spacing w:before="77"/>
        <w:ind w:left="360"/>
      </w:pPr>
      <w:bookmarkStart w:id="788" w:name="_bookmark788"/>
      <w:bookmarkEnd w:id="788"/>
      <w:r>
        <w:rPr>
          <w:color w:val="0562C1"/>
          <w:position w:val="18"/>
          <w:u w:val="single" w:color="0562C1"/>
        </w:rPr>
        <w:t>[115]</w:t>
      </w:r>
      <w:r>
        <w:t>.</w:t>
      </w:r>
      <w:r>
        <w:rPr>
          <w:spacing w:val="7"/>
        </w:rPr>
        <w:t xml:space="preserve"> </w:t>
      </w:r>
      <w:r>
        <w:t>“SI”</w:t>
      </w:r>
      <w:r>
        <w:rPr>
          <w:spacing w:val="7"/>
        </w:rPr>
        <w:t xml:space="preserve"> </w:t>
      </w:r>
      <w:r>
        <w:t>is</w:t>
      </w:r>
      <w:r>
        <w:rPr>
          <w:spacing w:val="7"/>
        </w:rPr>
        <w:t xml:space="preserve"> </w:t>
      </w:r>
      <w:r>
        <w:t>short</w:t>
      </w:r>
      <w:r>
        <w:rPr>
          <w:spacing w:val="7"/>
        </w:rPr>
        <w:t xml:space="preserve"> </w:t>
      </w:r>
      <w:r>
        <w:t>for</w:t>
      </w:r>
      <w:r>
        <w:rPr>
          <w:spacing w:val="7"/>
        </w:rPr>
        <w:t xml:space="preserve"> </w:t>
      </w:r>
      <w:r>
        <w:t>“self-</w:t>
      </w:r>
      <w:r>
        <w:rPr>
          <w:spacing w:val="-2"/>
        </w:rPr>
        <w:t>identical.”</w:t>
      </w:r>
    </w:p>
    <w:p w14:paraId="7E003095" w14:textId="77777777" w:rsidR="009A58DB" w:rsidRDefault="00000000">
      <w:pPr>
        <w:spacing w:before="77" w:line="254" w:lineRule="auto"/>
        <w:ind w:left="570" w:right="375" w:hanging="210"/>
        <w:jc w:val="both"/>
      </w:pPr>
      <w:bookmarkStart w:id="789" w:name="_bookmark789"/>
      <w:bookmarkEnd w:id="789"/>
      <w:r>
        <w:rPr>
          <w:color w:val="0562C1"/>
          <w:position w:val="21"/>
          <w:u w:val="single" w:color="0562C1"/>
        </w:rPr>
        <w:t>[116]</w:t>
      </w:r>
      <w:r>
        <w:rPr>
          <w:sz w:val="34"/>
        </w:rPr>
        <w:t xml:space="preserve">. </w:t>
      </w:r>
      <w:r>
        <w:t>Frege</w:t>
      </w:r>
      <w:r>
        <w:rPr>
          <w:spacing w:val="40"/>
        </w:rPr>
        <w:t xml:space="preserve"> </w:t>
      </w:r>
      <w:r>
        <w:t>hoped</w:t>
      </w:r>
      <w:r>
        <w:rPr>
          <w:spacing w:val="40"/>
        </w:rPr>
        <w:t xml:space="preserve"> </w:t>
      </w:r>
      <w:r>
        <w:t>to</w:t>
      </w:r>
      <w:r>
        <w:rPr>
          <w:spacing w:val="40"/>
        </w:rPr>
        <w:t xml:space="preserve"> </w:t>
      </w:r>
      <w:r>
        <w:t>formalize</w:t>
      </w:r>
      <w:r>
        <w:rPr>
          <w:spacing w:val="40"/>
        </w:rPr>
        <w:t xml:space="preserve"> </w:t>
      </w:r>
      <w:r>
        <w:rPr>
          <w:i/>
        </w:rPr>
        <w:t>a</w:t>
      </w:r>
      <w:r>
        <w:rPr>
          <w:b/>
          <w:i/>
        </w:rPr>
        <w:t>l</w:t>
      </w:r>
      <w:r>
        <w:rPr>
          <w:b/>
          <w:i/>
          <w:spacing w:val="40"/>
        </w:rPr>
        <w:t xml:space="preserve"> </w:t>
      </w:r>
      <w:r>
        <w:t>inferences</w:t>
      </w:r>
      <w:r>
        <w:rPr>
          <w:spacing w:val="40"/>
        </w:rPr>
        <w:t xml:space="preserve"> </w:t>
      </w:r>
      <w:r>
        <w:t>using</w:t>
      </w:r>
      <w:r>
        <w:rPr>
          <w:spacing w:val="40"/>
        </w:rPr>
        <w:t xml:space="preserve"> </w:t>
      </w:r>
      <w:r>
        <w:t>quantifiers.</w:t>
      </w:r>
      <w:r>
        <w:rPr>
          <w:spacing w:val="40"/>
        </w:rPr>
        <w:t xml:space="preserve"> </w:t>
      </w:r>
      <w:r>
        <w:t>He</w:t>
      </w:r>
      <w:r>
        <w:rPr>
          <w:spacing w:val="40"/>
        </w:rPr>
        <w:t xml:space="preserve"> </w:t>
      </w:r>
      <w:r>
        <w:t>also</w:t>
      </w:r>
      <w:r>
        <w:rPr>
          <w:spacing w:val="40"/>
        </w:rPr>
        <w:t xml:space="preserve"> </w:t>
      </w:r>
      <w:r>
        <w:t>believed,</w:t>
      </w:r>
      <w:r>
        <w:rPr>
          <w:spacing w:val="40"/>
        </w:rPr>
        <w:t xml:space="preserve"> </w:t>
      </w:r>
      <w:r>
        <w:t>for</w:t>
      </w:r>
      <w:r>
        <w:rPr>
          <w:spacing w:val="40"/>
        </w:rPr>
        <w:t xml:space="preserve"> </w:t>
      </w:r>
      <w:r>
        <w:t>reasons</w:t>
      </w:r>
      <w:r>
        <w:rPr>
          <w:spacing w:val="40"/>
        </w:rPr>
        <w:t xml:space="preserve"> </w:t>
      </w:r>
      <w:r>
        <w:t>that aren’t important, that all formal, quantified inferences can be represented as inferences whose constituent sentences use only two quantifiers, these being “all” and “some” (or, respectively, “for all x” and “for some x”).</w:t>
      </w:r>
    </w:p>
    <w:p w14:paraId="7E003096" w14:textId="77777777" w:rsidR="009A58DB" w:rsidRDefault="00000000">
      <w:pPr>
        <w:spacing w:before="63" w:line="256" w:lineRule="auto"/>
        <w:ind w:left="570" w:right="376" w:firstLine="360"/>
        <w:jc w:val="both"/>
      </w:pPr>
      <w:r>
        <w:t>He got far. But it turned out some quantified inferences cannot be represented as inferences involving no quantifiers besides the two just mentioned. For example, Dana Scott proved that inferences involving “most” can’t be formalized in this way.</w:t>
      </w:r>
    </w:p>
    <w:p w14:paraId="7E003097" w14:textId="77777777" w:rsidR="009A58DB" w:rsidRDefault="00000000">
      <w:pPr>
        <w:spacing w:line="256" w:lineRule="auto"/>
        <w:ind w:left="360" w:right="6065"/>
      </w:pPr>
      <w:bookmarkStart w:id="790" w:name="_bookmark790"/>
      <w:bookmarkEnd w:id="790"/>
      <w:r>
        <w:rPr>
          <w:color w:val="0562C1"/>
          <w:position w:val="18"/>
          <w:u w:val="single" w:color="0562C1"/>
        </w:rPr>
        <w:t>[117]</w:t>
      </w:r>
      <w:r>
        <w:t>. “RP” stands for “reparsed.”</w:t>
      </w:r>
      <w:r>
        <w:rPr>
          <w:spacing w:val="80"/>
          <w:w w:val="150"/>
        </w:rPr>
        <w:t xml:space="preserve"> </w:t>
      </w:r>
      <w:bookmarkStart w:id="791" w:name="_bookmark791"/>
      <w:bookmarkEnd w:id="791"/>
      <w:r>
        <w:rPr>
          <w:color w:val="0562C1"/>
          <w:position w:val="18"/>
          <w:u w:val="single" w:color="0562C1"/>
        </w:rPr>
        <w:t>[118]</w:t>
      </w:r>
      <w:r>
        <w:t xml:space="preserve">. “S” stands for “symbolized.” </w:t>
      </w:r>
      <w:bookmarkStart w:id="792" w:name="_bookmark792"/>
      <w:bookmarkEnd w:id="792"/>
      <w:r>
        <w:rPr>
          <w:color w:val="0562C1"/>
          <w:position w:val="18"/>
          <w:u w:val="single" w:color="0562C1"/>
        </w:rPr>
        <w:t>[119]</w:t>
      </w:r>
      <w:r>
        <w:t>. The “G” stands for “generalized.”</w:t>
      </w:r>
    </w:p>
    <w:p w14:paraId="7E003098" w14:textId="77777777" w:rsidR="009A58DB" w:rsidRDefault="00000000">
      <w:pPr>
        <w:spacing w:line="256" w:lineRule="auto"/>
        <w:ind w:left="360" w:right="5135"/>
      </w:pPr>
      <w:bookmarkStart w:id="793" w:name="_bookmark793"/>
      <w:bookmarkEnd w:id="793"/>
      <w:r>
        <w:rPr>
          <w:color w:val="0562C1"/>
          <w:position w:val="18"/>
          <w:u w:val="single" w:color="0562C1"/>
        </w:rPr>
        <w:t>[120]</w:t>
      </w:r>
      <w:r>
        <w:t xml:space="preserve">. The “AA” stands for “alternate argument.” </w:t>
      </w:r>
      <w:bookmarkStart w:id="794" w:name="_bookmark794"/>
      <w:bookmarkEnd w:id="794"/>
      <w:r>
        <w:rPr>
          <w:color w:val="0562C1"/>
          <w:position w:val="18"/>
          <w:u w:val="single" w:color="0562C1"/>
        </w:rPr>
        <w:t>[121]</w:t>
      </w:r>
      <w:r>
        <w:t>. Frege (1954).</w:t>
      </w:r>
    </w:p>
    <w:p w14:paraId="7E003099" w14:textId="77777777" w:rsidR="009A58DB" w:rsidRDefault="00000000">
      <w:pPr>
        <w:spacing w:line="256" w:lineRule="auto"/>
        <w:ind w:left="360" w:right="365"/>
        <w:jc w:val="both"/>
      </w:pPr>
      <w:bookmarkStart w:id="795" w:name="_bookmark795"/>
      <w:bookmarkEnd w:id="795"/>
      <w:r>
        <w:rPr>
          <w:color w:val="0562C1"/>
          <w:position w:val="18"/>
          <w:u w:val="single" w:color="0562C1"/>
        </w:rPr>
        <w:t>[122]</w:t>
      </w:r>
      <w:r>
        <w:t>. Part of why he believed this, I think, is that he falsely identified formal truth with analytic truth,</w:t>
      </w:r>
      <w:r>
        <w:rPr>
          <w:spacing w:val="40"/>
        </w:rPr>
        <w:t xml:space="preserve"> </w:t>
      </w:r>
      <w:r>
        <w:t>and thus thought that, if arithmetical truths weren’t formally true, it would follow that they were</w:t>
      </w:r>
      <w:r>
        <w:rPr>
          <w:spacing w:val="40"/>
        </w:rPr>
        <w:t xml:space="preserve"> </w:t>
      </w:r>
      <w:r>
        <w:t>synthetic. Given his (totally correctly) held that arithmetical truths are not synthetic, he was forced to</w:t>
      </w:r>
      <w:r>
        <w:rPr>
          <w:spacing w:val="80"/>
        </w:rPr>
        <w:t xml:space="preserve"> </w:t>
      </w:r>
      <w:r>
        <w:t>hold (falsely, as we’ll see) that arithmetical truths are formally true.</w:t>
      </w:r>
    </w:p>
    <w:p w14:paraId="7E00309A" w14:textId="77777777" w:rsidR="009A58DB" w:rsidRDefault="00000000">
      <w:pPr>
        <w:spacing w:before="52" w:line="252" w:lineRule="auto"/>
        <w:ind w:left="720" w:right="371" w:hanging="360"/>
        <w:jc w:val="both"/>
      </w:pPr>
      <w:bookmarkStart w:id="796" w:name="_bookmark796"/>
      <w:bookmarkEnd w:id="796"/>
      <w:r>
        <w:rPr>
          <w:color w:val="0562C1"/>
          <w:position w:val="21"/>
          <w:u w:val="single" w:color="0562C1"/>
        </w:rPr>
        <w:t>[123]</w:t>
      </w:r>
      <w:r>
        <w:rPr>
          <w:sz w:val="34"/>
        </w:rPr>
        <w:t xml:space="preserve">. </w:t>
      </w:r>
      <w:r>
        <w:t>Immanuel Kant (1724–1804) held that all non-formal truths are synthetic. And since he</w:t>
      </w:r>
      <w:r>
        <w:rPr>
          <w:spacing w:val="40"/>
        </w:rPr>
        <w:t xml:space="preserve"> </w:t>
      </w:r>
      <w:r>
        <w:t>recognized that</w:t>
      </w:r>
    </w:p>
    <w:p w14:paraId="7E00309B" w14:textId="77777777" w:rsidR="009A58DB" w:rsidRDefault="00000000">
      <w:pPr>
        <w:spacing w:before="5" w:line="256" w:lineRule="auto"/>
        <w:ind w:left="720" w:right="358"/>
        <w:jc w:val="both"/>
      </w:pPr>
      <w:r>
        <w:t>“2 + 2 = 4” and other arithmetical statements are informal truths, he held that they were synthetic</w:t>
      </w:r>
      <w:r>
        <w:rPr>
          <w:spacing w:val="40"/>
        </w:rPr>
        <w:t xml:space="preserve"> </w:t>
      </w:r>
      <w:r>
        <w:t>(i.e., that they didn’t hold entirely in virtue of the structures of the concepts involved in them.) He</w:t>
      </w:r>
      <w:r>
        <w:rPr>
          <w:spacing w:val="40"/>
        </w:rPr>
        <w:t xml:space="preserve"> </w:t>
      </w:r>
      <w:r>
        <w:t>said that</w:t>
      </w:r>
    </w:p>
    <w:p w14:paraId="7E00309C" w14:textId="77777777" w:rsidR="009A58DB" w:rsidRDefault="00000000">
      <w:pPr>
        <w:spacing w:line="251" w:lineRule="exact"/>
        <w:ind w:left="720"/>
        <w:jc w:val="both"/>
      </w:pPr>
      <w:r>
        <w:t>“7</w:t>
      </w:r>
      <w:r>
        <w:rPr>
          <w:spacing w:val="5"/>
        </w:rPr>
        <w:t xml:space="preserve"> </w:t>
      </w:r>
      <w:r>
        <w:t>+</w:t>
      </w:r>
      <w:r>
        <w:rPr>
          <w:spacing w:val="5"/>
        </w:rPr>
        <w:t xml:space="preserve"> </w:t>
      </w:r>
      <w:r>
        <w:t>5</w:t>
      </w:r>
      <w:r>
        <w:rPr>
          <w:spacing w:val="6"/>
        </w:rPr>
        <w:t xml:space="preserve"> </w:t>
      </w:r>
      <w:r>
        <w:t>=</w:t>
      </w:r>
      <w:r>
        <w:rPr>
          <w:spacing w:val="5"/>
        </w:rPr>
        <w:t xml:space="preserve"> </w:t>
      </w:r>
      <w:r>
        <w:t>12”</w:t>
      </w:r>
      <w:r>
        <w:rPr>
          <w:spacing w:val="5"/>
        </w:rPr>
        <w:t xml:space="preserve"> </w:t>
      </w:r>
      <w:r>
        <w:t>is</w:t>
      </w:r>
      <w:r>
        <w:rPr>
          <w:spacing w:val="6"/>
        </w:rPr>
        <w:t xml:space="preserve"> </w:t>
      </w:r>
      <w:r>
        <w:t>a</w:t>
      </w:r>
      <w:r>
        <w:rPr>
          <w:spacing w:val="5"/>
        </w:rPr>
        <w:t xml:space="preserve"> </w:t>
      </w:r>
      <w:r>
        <w:rPr>
          <w:i/>
        </w:rPr>
        <w:t>synthetic</w:t>
      </w:r>
      <w:r>
        <w:rPr>
          <w:i/>
          <w:spacing w:val="6"/>
        </w:rPr>
        <w:t xml:space="preserve"> </w:t>
      </w:r>
      <w:r>
        <w:t>truth</w:t>
      </w:r>
      <w:r>
        <w:rPr>
          <w:spacing w:val="5"/>
        </w:rPr>
        <w:t xml:space="preserve"> </w:t>
      </w:r>
      <w:r>
        <w:t>(i.e.,</w:t>
      </w:r>
      <w:r>
        <w:rPr>
          <w:spacing w:val="5"/>
        </w:rPr>
        <w:t xml:space="preserve"> </w:t>
      </w:r>
      <w:r>
        <w:t>that</w:t>
      </w:r>
      <w:r>
        <w:rPr>
          <w:spacing w:val="6"/>
        </w:rPr>
        <w:t xml:space="preserve"> </w:t>
      </w:r>
      <w:r>
        <w:t>it</w:t>
      </w:r>
      <w:r>
        <w:rPr>
          <w:spacing w:val="5"/>
        </w:rPr>
        <w:t xml:space="preserve"> </w:t>
      </w:r>
      <w:r>
        <w:t>doesn’t</w:t>
      </w:r>
      <w:r>
        <w:rPr>
          <w:spacing w:val="5"/>
        </w:rPr>
        <w:t xml:space="preserve"> </w:t>
      </w:r>
      <w:r>
        <w:t>hold</w:t>
      </w:r>
      <w:r>
        <w:rPr>
          <w:spacing w:val="6"/>
        </w:rPr>
        <w:t xml:space="preserve"> </w:t>
      </w:r>
      <w:r>
        <w:t>in</w:t>
      </w:r>
      <w:r>
        <w:rPr>
          <w:spacing w:val="5"/>
        </w:rPr>
        <w:t xml:space="preserve"> </w:t>
      </w:r>
      <w:r>
        <w:t>virtue</w:t>
      </w:r>
      <w:r>
        <w:rPr>
          <w:spacing w:val="6"/>
        </w:rPr>
        <w:t xml:space="preserve"> </w:t>
      </w:r>
      <w:r>
        <w:t>of</w:t>
      </w:r>
      <w:r>
        <w:rPr>
          <w:spacing w:val="5"/>
        </w:rPr>
        <w:t xml:space="preserve"> </w:t>
      </w:r>
      <w:r>
        <w:t>its</w:t>
      </w:r>
      <w:r>
        <w:rPr>
          <w:spacing w:val="5"/>
        </w:rPr>
        <w:t xml:space="preserve"> </w:t>
      </w:r>
      <w:r>
        <w:rPr>
          <w:spacing w:val="-2"/>
        </w:rPr>
        <w:t>meaning).</w:t>
      </w:r>
    </w:p>
    <w:p w14:paraId="7E00309D" w14:textId="77777777" w:rsidR="009A58DB" w:rsidRDefault="00000000">
      <w:pPr>
        <w:spacing w:before="77" w:line="256" w:lineRule="auto"/>
        <w:ind w:left="720" w:right="360" w:firstLine="360"/>
        <w:jc w:val="both"/>
      </w:pPr>
      <w:r>
        <w:t>This</w:t>
      </w:r>
      <w:r>
        <w:rPr>
          <w:spacing w:val="24"/>
        </w:rPr>
        <w:t xml:space="preserve"> </w:t>
      </w:r>
      <w:r>
        <w:t>theory</w:t>
      </w:r>
      <w:r>
        <w:rPr>
          <w:spacing w:val="25"/>
        </w:rPr>
        <w:t xml:space="preserve"> </w:t>
      </w:r>
      <w:r>
        <w:t>of</w:t>
      </w:r>
      <w:r>
        <w:rPr>
          <w:spacing w:val="24"/>
        </w:rPr>
        <w:t xml:space="preserve"> </w:t>
      </w:r>
      <w:r>
        <w:t>Kant’s</w:t>
      </w:r>
      <w:r>
        <w:rPr>
          <w:spacing w:val="24"/>
        </w:rPr>
        <w:t xml:space="preserve"> </w:t>
      </w:r>
      <w:r>
        <w:t>was</w:t>
      </w:r>
      <w:r>
        <w:rPr>
          <w:spacing w:val="24"/>
        </w:rPr>
        <w:t xml:space="preserve"> </w:t>
      </w:r>
      <w:r>
        <w:t>a</w:t>
      </w:r>
      <w:r>
        <w:rPr>
          <w:spacing w:val="25"/>
        </w:rPr>
        <w:t xml:space="preserve"> </w:t>
      </w:r>
      <w:r>
        <w:t>disaster</w:t>
      </w:r>
      <w:r>
        <w:rPr>
          <w:spacing w:val="24"/>
        </w:rPr>
        <w:t xml:space="preserve"> </w:t>
      </w:r>
      <w:r>
        <w:t>for</w:t>
      </w:r>
      <w:r>
        <w:rPr>
          <w:spacing w:val="24"/>
        </w:rPr>
        <w:t xml:space="preserve"> </w:t>
      </w:r>
      <w:r>
        <w:t>philosophy.</w:t>
      </w:r>
      <w:r>
        <w:rPr>
          <w:spacing w:val="24"/>
        </w:rPr>
        <w:t xml:space="preserve"> </w:t>
      </w:r>
      <w:r>
        <w:t>“7</w:t>
      </w:r>
      <w:r>
        <w:rPr>
          <w:spacing w:val="25"/>
        </w:rPr>
        <w:t xml:space="preserve"> </w:t>
      </w:r>
      <w:r>
        <w:t>+</w:t>
      </w:r>
      <w:r>
        <w:rPr>
          <w:spacing w:val="24"/>
        </w:rPr>
        <w:t xml:space="preserve"> </w:t>
      </w:r>
      <w:r>
        <w:t>5</w:t>
      </w:r>
      <w:r>
        <w:rPr>
          <w:spacing w:val="25"/>
        </w:rPr>
        <w:t xml:space="preserve"> </w:t>
      </w:r>
      <w:r>
        <w:t>=</w:t>
      </w:r>
      <w:r>
        <w:rPr>
          <w:spacing w:val="24"/>
        </w:rPr>
        <w:t xml:space="preserve"> </w:t>
      </w:r>
      <w:r>
        <w:t>12”</w:t>
      </w:r>
      <w:r>
        <w:rPr>
          <w:spacing w:val="25"/>
        </w:rPr>
        <w:t xml:space="preserve"> </w:t>
      </w:r>
      <w:r>
        <w:t>is</w:t>
      </w:r>
      <w:r>
        <w:rPr>
          <w:spacing w:val="24"/>
        </w:rPr>
        <w:t xml:space="preserve"> </w:t>
      </w:r>
      <w:r>
        <w:t>not</w:t>
      </w:r>
      <w:r>
        <w:rPr>
          <w:spacing w:val="24"/>
        </w:rPr>
        <w:t xml:space="preserve"> </w:t>
      </w:r>
      <w:r>
        <w:t>an</w:t>
      </w:r>
      <w:r>
        <w:rPr>
          <w:spacing w:val="25"/>
        </w:rPr>
        <w:t xml:space="preserve"> </w:t>
      </w:r>
      <w:r>
        <w:rPr>
          <w:i/>
        </w:rPr>
        <w:t>empirical</w:t>
      </w:r>
      <w:r>
        <w:rPr>
          <w:i/>
          <w:spacing w:val="23"/>
        </w:rPr>
        <w:t xml:space="preserve"> </w:t>
      </w:r>
      <w:r>
        <w:t>truth.</w:t>
      </w:r>
      <w:r>
        <w:rPr>
          <w:spacing w:val="23"/>
        </w:rPr>
        <w:t xml:space="preserve"> </w:t>
      </w:r>
      <w:r>
        <w:t xml:space="preserve">It has nothing to do with physical operations. That’s why, if putting a seven-pound weight on top of a five-pound weight that’s on an otherwise unoccupied balancing pan yields a total weight of </w:t>
      </w:r>
      <w:r>
        <w:rPr>
          <w:i/>
        </w:rPr>
        <w:t>more</w:t>
      </w:r>
      <w:r>
        <w:rPr>
          <w:i/>
          <w:spacing w:val="80"/>
        </w:rPr>
        <w:t xml:space="preserve"> </w:t>
      </w:r>
      <w:r>
        <w:t xml:space="preserve">than twelve pounds, we don’t say that 7 + 5 ≠ 12. Instead we say that weight isn’t a strictly additive quantity. And that’s precisely what physicists </w:t>
      </w:r>
      <w:r>
        <w:rPr>
          <w:i/>
        </w:rPr>
        <w:t xml:space="preserve">do </w:t>
      </w:r>
      <w:r>
        <w:t xml:space="preserve">say, since it is a consequence of Relativity Theory that, indeed, the total poundage of those two weights is just slightly </w:t>
      </w:r>
      <w:r>
        <w:rPr>
          <w:i/>
        </w:rPr>
        <w:t xml:space="preserve">over </w:t>
      </w:r>
      <w:r>
        <w:t>twelve lbs.</w:t>
      </w:r>
    </w:p>
    <w:p w14:paraId="7E00309E" w14:textId="77777777" w:rsidR="009A58DB" w:rsidRDefault="00000000">
      <w:pPr>
        <w:spacing w:before="41" w:line="256" w:lineRule="auto"/>
        <w:ind w:left="720" w:right="359" w:firstLine="360"/>
        <w:jc w:val="both"/>
      </w:pPr>
      <w:r>
        <w:t>Kant saw that “7 + 5 = 12” is not empirical. He should have concluded that it is analytic. But</w:t>
      </w:r>
      <w:r>
        <w:rPr>
          <w:spacing w:val="40"/>
        </w:rPr>
        <w:t xml:space="preserve"> </w:t>
      </w:r>
      <w:r>
        <w:t>Kant</w:t>
      </w:r>
      <w:r>
        <w:rPr>
          <w:spacing w:val="34"/>
        </w:rPr>
        <w:t xml:space="preserve"> </w:t>
      </w:r>
      <w:r>
        <w:t>had</w:t>
      </w:r>
      <w:r>
        <w:rPr>
          <w:spacing w:val="34"/>
        </w:rPr>
        <w:t xml:space="preserve"> </w:t>
      </w:r>
      <w:r>
        <w:t>a</w:t>
      </w:r>
      <w:r>
        <w:rPr>
          <w:spacing w:val="34"/>
        </w:rPr>
        <w:t xml:space="preserve"> </w:t>
      </w:r>
      <w:r>
        <w:t>very</w:t>
      </w:r>
      <w:r>
        <w:rPr>
          <w:spacing w:val="34"/>
        </w:rPr>
        <w:t xml:space="preserve"> </w:t>
      </w:r>
      <w:r>
        <w:t>narrow,</w:t>
      </w:r>
      <w:r>
        <w:rPr>
          <w:spacing w:val="34"/>
        </w:rPr>
        <w:t xml:space="preserve"> </w:t>
      </w:r>
      <w:r>
        <w:t>and</w:t>
      </w:r>
      <w:r>
        <w:rPr>
          <w:spacing w:val="34"/>
        </w:rPr>
        <w:t xml:space="preserve"> </w:t>
      </w:r>
      <w:r>
        <w:t>also</w:t>
      </w:r>
      <w:r>
        <w:rPr>
          <w:spacing w:val="34"/>
        </w:rPr>
        <w:t xml:space="preserve"> </w:t>
      </w:r>
      <w:r>
        <w:t>a</w:t>
      </w:r>
      <w:r>
        <w:rPr>
          <w:spacing w:val="34"/>
        </w:rPr>
        <w:t xml:space="preserve"> </w:t>
      </w:r>
      <w:r>
        <w:t>completely</w:t>
      </w:r>
      <w:r>
        <w:rPr>
          <w:spacing w:val="34"/>
        </w:rPr>
        <w:t xml:space="preserve"> </w:t>
      </w:r>
      <w:r>
        <w:t>incoherent,</w:t>
      </w:r>
      <w:r>
        <w:rPr>
          <w:spacing w:val="34"/>
        </w:rPr>
        <w:t xml:space="preserve"> </w:t>
      </w:r>
      <w:r>
        <w:t>conception</w:t>
      </w:r>
      <w:r>
        <w:rPr>
          <w:spacing w:val="34"/>
        </w:rPr>
        <w:t xml:space="preserve"> </w:t>
      </w:r>
      <w:r>
        <w:t>of</w:t>
      </w:r>
      <w:r>
        <w:rPr>
          <w:spacing w:val="34"/>
        </w:rPr>
        <w:t xml:space="preserve"> </w:t>
      </w:r>
      <w:r>
        <w:t>analyticity.</w:t>
      </w:r>
      <w:r>
        <w:rPr>
          <w:spacing w:val="34"/>
        </w:rPr>
        <w:t xml:space="preserve"> </w:t>
      </w:r>
      <w:r>
        <w:t>He</w:t>
      </w:r>
      <w:r>
        <w:rPr>
          <w:spacing w:val="34"/>
        </w:rPr>
        <w:t xml:space="preserve"> </w:t>
      </w:r>
      <w:r>
        <w:t>thought that</w:t>
      </w:r>
      <w:r>
        <w:rPr>
          <w:spacing w:val="26"/>
        </w:rPr>
        <w:t xml:space="preserve"> </w:t>
      </w:r>
      <w:r>
        <w:t>all</w:t>
      </w:r>
      <w:r>
        <w:rPr>
          <w:spacing w:val="26"/>
        </w:rPr>
        <w:t xml:space="preserve"> </w:t>
      </w:r>
      <w:r>
        <w:t>analytic</w:t>
      </w:r>
      <w:r>
        <w:rPr>
          <w:spacing w:val="27"/>
        </w:rPr>
        <w:t xml:space="preserve"> </w:t>
      </w:r>
      <w:r>
        <w:t>truths</w:t>
      </w:r>
      <w:r>
        <w:rPr>
          <w:spacing w:val="26"/>
        </w:rPr>
        <w:t xml:space="preserve"> </w:t>
      </w:r>
      <w:r>
        <w:t>are</w:t>
      </w:r>
      <w:r>
        <w:rPr>
          <w:spacing w:val="27"/>
        </w:rPr>
        <w:t xml:space="preserve"> </w:t>
      </w:r>
      <w:r>
        <w:t>formal</w:t>
      </w:r>
      <w:r>
        <w:rPr>
          <w:spacing w:val="26"/>
        </w:rPr>
        <w:t xml:space="preserve"> </w:t>
      </w:r>
      <w:r>
        <w:t>truths.</w:t>
      </w:r>
      <w:r>
        <w:rPr>
          <w:spacing w:val="27"/>
        </w:rPr>
        <w:t xml:space="preserve"> </w:t>
      </w:r>
      <w:r>
        <w:t>(Why</w:t>
      </w:r>
      <w:r>
        <w:rPr>
          <w:spacing w:val="27"/>
        </w:rPr>
        <w:t xml:space="preserve"> </w:t>
      </w:r>
      <w:r>
        <w:t>this</w:t>
      </w:r>
      <w:r>
        <w:rPr>
          <w:spacing w:val="26"/>
        </w:rPr>
        <w:t xml:space="preserve"> </w:t>
      </w:r>
      <w:r>
        <w:t>is</w:t>
      </w:r>
      <w:r>
        <w:rPr>
          <w:spacing w:val="26"/>
        </w:rPr>
        <w:t xml:space="preserve"> </w:t>
      </w:r>
      <w:r>
        <w:t>false</w:t>
      </w:r>
      <w:r>
        <w:rPr>
          <w:spacing w:val="27"/>
        </w:rPr>
        <w:t xml:space="preserve"> </w:t>
      </w:r>
      <w:r>
        <w:t>and</w:t>
      </w:r>
      <w:r>
        <w:rPr>
          <w:spacing w:val="27"/>
        </w:rPr>
        <w:t xml:space="preserve"> </w:t>
      </w:r>
      <w:r>
        <w:t>incoherent</w:t>
      </w:r>
      <w:r>
        <w:rPr>
          <w:spacing w:val="26"/>
        </w:rPr>
        <w:t xml:space="preserve"> </w:t>
      </w:r>
      <w:r>
        <w:t>is</w:t>
      </w:r>
      <w:r>
        <w:rPr>
          <w:spacing w:val="26"/>
        </w:rPr>
        <w:t xml:space="preserve"> </w:t>
      </w:r>
      <w:r>
        <w:t>discussed</w:t>
      </w:r>
      <w:r>
        <w:rPr>
          <w:spacing w:val="27"/>
        </w:rPr>
        <w:t xml:space="preserve"> </w:t>
      </w:r>
      <w:r>
        <w:t>in</w:t>
      </w:r>
      <w:r>
        <w:rPr>
          <w:spacing w:val="27"/>
        </w:rPr>
        <w:t xml:space="preserve"> </w:t>
      </w:r>
      <w:r>
        <w:t>Chapter</w:t>
      </w:r>
    </w:p>
    <w:p w14:paraId="7E00309F" w14:textId="77777777" w:rsidR="009A58DB" w:rsidRDefault="009A58DB">
      <w:pPr>
        <w:spacing w:line="256" w:lineRule="auto"/>
        <w:jc w:val="both"/>
        <w:sectPr w:rsidR="009A58DB">
          <w:pgSz w:w="12240" w:h="15840"/>
          <w:pgMar w:top="1360" w:right="1080" w:bottom="280" w:left="1080" w:header="720" w:footer="720" w:gutter="0"/>
          <w:cols w:space="720"/>
        </w:sectPr>
      </w:pPr>
    </w:p>
    <w:p w14:paraId="7E0030A0" w14:textId="77777777" w:rsidR="009A58DB" w:rsidRDefault="00000000">
      <w:pPr>
        <w:spacing w:before="70" w:line="256" w:lineRule="auto"/>
        <w:ind w:left="720" w:right="358"/>
        <w:jc w:val="both"/>
      </w:pPr>
      <w:r>
        <w:t>18.) Kant was thus stuck with the problem of explaining how we could have non-empirical</w:t>
      </w:r>
      <w:r>
        <w:rPr>
          <w:spacing w:val="40"/>
        </w:rPr>
        <w:t xml:space="preserve"> </w:t>
      </w:r>
      <w:r>
        <w:t>knowledge of non-analytic truths. (Kant used the term “a priori,” instead of “non-empirical.”)</w:t>
      </w:r>
    </w:p>
    <w:p w14:paraId="7E0030A1" w14:textId="77777777" w:rsidR="009A58DB" w:rsidRDefault="00000000">
      <w:pPr>
        <w:spacing w:before="38" w:line="256" w:lineRule="auto"/>
        <w:ind w:left="720" w:right="359" w:firstLine="360"/>
        <w:jc w:val="both"/>
      </w:pPr>
      <w:r>
        <w:t>But this problem is unsolvable. Analytic truths hold entirely in virtue of their meanings.</w:t>
      </w:r>
      <w:r>
        <w:rPr>
          <w:spacing w:val="80"/>
        </w:rPr>
        <w:t xml:space="preserve"> </w:t>
      </w:r>
      <w:r>
        <w:t>Synthetic</w:t>
      </w:r>
      <w:r>
        <w:rPr>
          <w:spacing w:val="40"/>
        </w:rPr>
        <w:t xml:space="preserve"> </w:t>
      </w:r>
      <w:r>
        <w:t>truths</w:t>
      </w:r>
      <w:r>
        <w:rPr>
          <w:spacing w:val="39"/>
        </w:rPr>
        <w:t xml:space="preserve"> </w:t>
      </w:r>
      <w:r>
        <w:t>don’t</w:t>
      </w:r>
      <w:r>
        <w:rPr>
          <w:spacing w:val="39"/>
        </w:rPr>
        <w:t xml:space="preserve"> </w:t>
      </w:r>
      <w:r>
        <w:t>and</w:t>
      </w:r>
      <w:r>
        <w:rPr>
          <w:spacing w:val="40"/>
        </w:rPr>
        <w:t xml:space="preserve"> </w:t>
      </w:r>
      <w:r>
        <w:t>therefore</w:t>
      </w:r>
      <w:r>
        <w:rPr>
          <w:spacing w:val="40"/>
        </w:rPr>
        <w:t xml:space="preserve"> </w:t>
      </w:r>
      <w:r>
        <w:t>hold</w:t>
      </w:r>
      <w:r>
        <w:rPr>
          <w:spacing w:val="40"/>
        </w:rPr>
        <w:t xml:space="preserve"> </w:t>
      </w:r>
      <w:r>
        <w:t>in</w:t>
      </w:r>
      <w:r>
        <w:rPr>
          <w:spacing w:val="40"/>
        </w:rPr>
        <w:t xml:space="preserve"> </w:t>
      </w:r>
      <w:r>
        <w:t>virtue</w:t>
      </w:r>
      <w:r>
        <w:rPr>
          <w:spacing w:val="40"/>
        </w:rPr>
        <w:t xml:space="preserve"> </w:t>
      </w:r>
      <w:r>
        <w:t>of</w:t>
      </w:r>
      <w:r>
        <w:rPr>
          <w:spacing w:val="39"/>
        </w:rPr>
        <w:t xml:space="preserve"> </w:t>
      </w:r>
      <w:r>
        <w:t>meaning-independent</w:t>
      </w:r>
      <w:r>
        <w:rPr>
          <w:spacing w:val="39"/>
        </w:rPr>
        <w:t xml:space="preserve"> </w:t>
      </w:r>
      <w:r>
        <w:t>facts.</w:t>
      </w:r>
      <w:r>
        <w:rPr>
          <w:spacing w:val="40"/>
        </w:rPr>
        <w:t xml:space="preserve"> </w:t>
      </w:r>
      <w:r>
        <w:t>So</w:t>
      </w:r>
      <w:r>
        <w:rPr>
          <w:spacing w:val="40"/>
        </w:rPr>
        <w:t xml:space="preserve"> </w:t>
      </w:r>
      <w:r>
        <w:t>a</w:t>
      </w:r>
      <w:r>
        <w:rPr>
          <w:spacing w:val="40"/>
        </w:rPr>
        <w:t xml:space="preserve"> </w:t>
      </w:r>
      <w:r>
        <w:t>synthetic, non-empirical truth is one that holds neither in virtue of its meaning nor in virtue of virtue of meaning-independent facts and therefore isn’t a truth at all.</w:t>
      </w:r>
    </w:p>
    <w:p w14:paraId="7E0030A2" w14:textId="77777777" w:rsidR="009A58DB" w:rsidRDefault="00000000">
      <w:pPr>
        <w:spacing w:before="27" w:line="256" w:lineRule="auto"/>
        <w:ind w:left="720" w:right="361" w:firstLine="360"/>
        <w:jc w:val="both"/>
      </w:pPr>
      <w:r>
        <w:t>Kant</w:t>
      </w:r>
      <w:r>
        <w:rPr>
          <w:spacing w:val="20"/>
        </w:rPr>
        <w:t xml:space="preserve"> </w:t>
      </w:r>
      <w:r>
        <w:t>saw</w:t>
      </w:r>
      <w:r>
        <w:rPr>
          <w:spacing w:val="20"/>
        </w:rPr>
        <w:t xml:space="preserve"> </w:t>
      </w:r>
      <w:r>
        <w:t>this.</w:t>
      </w:r>
      <w:r>
        <w:rPr>
          <w:spacing w:val="20"/>
        </w:rPr>
        <w:t xml:space="preserve"> </w:t>
      </w:r>
      <w:r>
        <w:t>But</w:t>
      </w:r>
      <w:r>
        <w:rPr>
          <w:spacing w:val="20"/>
        </w:rPr>
        <w:t xml:space="preserve"> </w:t>
      </w:r>
      <w:r>
        <w:t>instead</w:t>
      </w:r>
      <w:r>
        <w:rPr>
          <w:spacing w:val="20"/>
        </w:rPr>
        <w:t xml:space="preserve"> </w:t>
      </w:r>
      <w:r>
        <w:t>of</w:t>
      </w:r>
      <w:r>
        <w:rPr>
          <w:spacing w:val="20"/>
        </w:rPr>
        <w:t xml:space="preserve"> </w:t>
      </w:r>
      <w:r>
        <w:t>drawing</w:t>
      </w:r>
      <w:r>
        <w:rPr>
          <w:spacing w:val="21"/>
        </w:rPr>
        <w:t xml:space="preserve"> </w:t>
      </w:r>
      <w:r>
        <w:t>the</w:t>
      </w:r>
      <w:r>
        <w:rPr>
          <w:spacing w:val="20"/>
        </w:rPr>
        <w:t xml:space="preserve"> </w:t>
      </w:r>
      <w:r>
        <w:t>correct</w:t>
      </w:r>
      <w:r>
        <w:rPr>
          <w:spacing w:val="20"/>
        </w:rPr>
        <w:t xml:space="preserve"> </w:t>
      </w:r>
      <w:r>
        <w:t>inference—namely,</w:t>
      </w:r>
      <w:r>
        <w:rPr>
          <w:spacing w:val="20"/>
        </w:rPr>
        <w:t xml:space="preserve"> </w:t>
      </w:r>
      <w:r>
        <w:t>that</w:t>
      </w:r>
      <w:r>
        <w:rPr>
          <w:spacing w:val="20"/>
        </w:rPr>
        <w:t xml:space="preserve"> </w:t>
      </w:r>
      <w:r>
        <w:t>there</w:t>
      </w:r>
      <w:r>
        <w:rPr>
          <w:spacing w:val="20"/>
        </w:rPr>
        <w:t xml:space="preserve"> </w:t>
      </w:r>
      <w:r>
        <w:t>is</w:t>
      </w:r>
      <w:r>
        <w:rPr>
          <w:spacing w:val="20"/>
        </w:rPr>
        <w:t xml:space="preserve"> </w:t>
      </w:r>
      <w:r>
        <w:t>no</w:t>
      </w:r>
      <w:r>
        <w:rPr>
          <w:spacing w:val="21"/>
        </w:rPr>
        <w:t xml:space="preserve"> </w:t>
      </w:r>
      <w:r>
        <w:t>synthetic a priori truth—he draws the conclusion that “7 + 5 = 12” is a fact about our minds that we project</w:t>
      </w:r>
      <w:r>
        <w:rPr>
          <w:spacing w:val="80"/>
        </w:rPr>
        <w:t xml:space="preserve"> </w:t>
      </w:r>
      <w:r>
        <w:t>into reality. And, true to this position, Kant says that, for creatures with different cognitive architectures, “7 + 5 = 12” isn’t true. So, for Kant, “7 + 5 = 12” isn’t really true at all.</w:t>
      </w:r>
    </w:p>
    <w:p w14:paraId="7E0030A3" w14:textId="77777777" w:rsidR="009A58DB" w:rsidRDefault="00000000">
      <w:pPr>
        <w:spacing w:before="42" w:line="256" w:lineRule="auto"/>
        <w:ind w:left="720" w:right="371" w:firstLine="360"/>
        <w:jc w:val="both"/>
      </w:pPr>
      <w:r>
        <w:t>Kant’s position is desperate and implausible. Frege put a swift and fitting end to Kant’s</w:t>
      </w:r>
      <w:r>
        <w:rPr>
          <w:spacing w:val="40"/>
        </w:rPr>
        <w:t xml:space="preserve"> </w:t>
      </w:r>
      <w:r>
        <w:t>chicanery.</w:t>
      </w:r>
      <w:r>
        <w:rPr>
          <w:spacing w:val="29"/>
        </w:rPr>
        <w:t xml:space="preserve"> </w:t>
      </w:r>
      <w:r>
        <w:t>Frege</w:t>
      </w:r>
      <w:r>
        <w:rPr>
          <w:spacing w:val="31"/>
        </w:rPr>
        <w:t xml:space="preserve"> </w:t>
      </w:r>
      <w:r>
        <w:t>saw</w:t>
      </w:r>
      <w:r>
        <w:rPr>
          <w:spacing w:val="31"/>
        </w:rPr>
        <w:t xml:space="preserve"> </w:t>
      </w:r>
      <w:r>
        <w:t>that,</w:t>
      </w:r>
      <w:r>
        <w:rPr>
          <w:spacing w:val="29"/>
        </w:rPr>
        <w:t xml:space="preserve"> </w:t>
      </w:r>
      <w:r>
        <w:t>even</w:t>
      </w:r>
      <w:r>
        <w:rPr>
          <w:spacing w:val="31"/>
        </w:rPr>
        <w:t xml:space="preserve"> </w:t>
      </w:r>
      <w:r>
        <w:t>though</w:t>
      </w:r>
      <w:r>
        <w:rPr>
          <w:spacing w:val="31"/>
        </w:rPr>
        <w:t xml:space="preserve"> </w:t>
      </w:r>
      <w:r>
        <w:t>it</w:t>
      </w:r>
      <w:r>
        <w:rPr>
          <w:spacing w:val="29"/>
        </w:rPr>
        <w:t xml:space="preserve"> </w:t>
      </w:r>
      <w:r>
        <w:t>is</w:t>
      </w:r>
      <w:r>
        <w:rPr>
          <w:spacing w:val="31"/>
        </w:rPr>
        <w:t xml:space="preserve"> </w:t>
      </w:r>
      <w:r>
        <w:t>not</w:t>
      </w:r>
      <w:r>
        <w:rPr>
          <w:spacing w:val="31"/>
        </w:rPr>
        <w:t xml:space="preserve"> </w:t>
      </w:r>
      <w:r>
        <w:t>a</w:t>
      </w:r>
      <w:r>
        <w:rPr>
          <w:spacing w:val="29"/>
        </w:rPr>
        <w:t xml:space="preserve"> </w:t>
      </w:r>
      <w:r>
        <w:t>formal</w:t>
      </w:r>
      <w:r>
        <w:rPr>
          <w:spacing w:val="31"/>
        </w:rPr>
        <w:t xml:space="preserve"> </w:t>
      </w:r>
      <w:r>
        <w:t>truth,</w:t>
      </w:r>
      <w:r>
        <w:rPr>
          <w:spacing w:val="31"/>
        </w:rPr>
        <w:t xml:space="preserve"> </w:t>
      </w:r>
      <w:r>
        <w:t>“7</w:t>
      </w:r>
      <w:r>
        <w:rPr>
          <w:spacing w:val="29"/>
        </w:rPr>
        <w:t xml:space="preserve"> </w:t>
      </w:r>
      <w:r>
        <w:t>+</w:t>
      </w:r>
      <w:r>
        <w:rPr>
          <w:spacing w:val="31"/>
        </w:rPr>
        <w:t xml:space="preserve"> </w:t>
      </w:r>
      <w:r>
        <w:t>5</w:t>
      </w:r>
      <w:r>
        <w:rPr>
          <w:spacing w:val="31"/>
        </w:rPr>
        <w:t xml:space="preserve"> </w:t>
      </w:r>
      <w:r>
        <w:t>=</w:t>
      </w:r>
      <w:r>
        <w:rPr>
          <w:spacing w:val="29"/>
        </w:rPr>
        <w:t xml:space="preserve"> </w:t>
      </w:r>
      <w:r>
        <w:t>12”</w:t>
      </w:r>
      <w:r>
        <w:rPr>
          <w:spacing w:val="31"/>
        </w:rPr>
        <w:t xml:space="preserve"> </w:t>
      </w:r>
      <w:r>
        <w:t>is</w:t>
      </w:r>
      <w:r>
        <w:rPr>
          <w:spacing w:val="31"/>
        </w:rPr>
        <w:t xml:space="preserve"> </w:t>
      </w:r>
      <w:r>
        <w:t>analytically</w:t>
      </w:r>
      <w:r>
        <w:rPr>
          <w:spacing w:val="29"/>
        </w:rPr>
        <w:t xml:space="preserve"> </w:t>
      </w:r>
      <w:r>
        <w:t>true. Frege thus discovered the profoundly important fact that there are analytic, non-trivial truths.</w:t>
      </w:r>
    </w:p>
    <w:p w14:paraId="7E0030A4" w14:textId="77777777" w:rsidR="009A58DB" w:rsidRDefault="00000000">
      <w:pPr>
        <w:spacing w:before="28" w:line="256" w:lineRule="auto"/>
        <w:ind w:left="720" w:right="357" w:firstLine="360"/>
        <w:jc w:val="both"/>
      </w:pPr>
      <w:r>
        <w:t xml:space="preserve">With this discovery analytic philosophy began. Moritz Schlick (1882–1936), an early analytic philosopher of extreme ability, if not genius, said that the essence of analytic philosophy could be distilled into one slogan: “no synthetic a priori.” See Schlick (1934). Philosophy </w:t>
      </w:r>
      <w:r>
        <w:rPr>
          <w:i/>
        </w:rPr>
        <w:t xml:space="preserve">is </w:t>
      </w:r>
      <w:r>
        <w:t>the study of informal</w:t>
      </w:r>
      <w:r>
        <w:rPr>
          <w:spacing w:val="35"/>
        </w:rPr>
        <w:t xml:space="preserve"> </w:t>
      </w:r>
      <w:r>
        <w:t>analytic</w:t>
      </w:r>
      <w:r>
        <w:rPr>
          <w:spacing w:val="35"/>
        </w:rPr>
        <w:t xml:space="preserve"> </w:t>
      </w:r>
      <w:r>
        <w:t>truth.</w:t>
      </w:r>
      <w:r>
        <w:rPr>
          <w:spacing w:val="35"/>
        </w:rPr>
        <w:t xml:space="preserve"> </w:t>
      </w:r>
      <w:r>
        <w:t>Formal</w:t>
      </w:r>
      <w:r>
        <w:rPr>
          <w:spacing w:val="35"/>
        </w:rPr>
        <w:t xml:space="preserve"> </w:t>
      </w:r>
      <w:r>
        <w:t>truths</w:t>
      </w:r>
      <w:r>
        <w:rPr>
          <w:spacing w:val="35"/>
        </w:rPr>
        <w:t xml:space="preserve"> </w:t>
      </w:r>
      <w:r>
        <w:t>fall</w:t>
      </w:r>
      <w:r>
        <w:rPr>
          <w:spacing w:val="35"/>
        </w:rPr>
        <w:t xml:space="preserve"> </w:t>
      </w:r>
      <w:r>
        <w:t>within</w:t>
      </w:r>
      <w:r>
        <w:rPr>
          <w:spacing w:val="36"/>
        </w:rPr>
        <w:t xml:space="preserve"> </w:t>
      </w:r>
      <w:r>
        <w:t>the</w:t>
      </w:r>
      <w:r>
        <w:rPr>
          <w:spacing w:val="35"/>
        </w:rPr>
        <w:t xml:space="preserve"> </w:t>
      </w:r>
      <w:r>
        <w:t>jurisdiction</w:t>
      </w:r>
      <w:r>
        <w:rPr>
          <w:spacing w:val="36"/>
        </w:rPr>
        <w:t xml:space="preserve"> </w:t>
      </w:r>
      <w:r>
        <w:t>of</w:t>
      </w:r>
      <w:r>
        <w:rPr>
          <w:spacing w:val="35"/>
        </w:rPr>
        <w:t xml:space="preserve"> </w:t>
      </w:r>
      <w:r>
        <w:t>mathematics.</w:t>
      </w:r>
      <w:r>
        <w:rPr>
          <w:spacing w:val="35"/>
        </w:rPr>
        <w:t xml:space="preserve"> </w:t>
      </w:r>
      <w:r>
        <w:t>Synthetic</w:t>
      </w:r>
      <w:r>
        <w:rPr>
          <w:spacing w:val="36"/>
        </w:rPr>
        <w:t xml:space="preserve"> </w:t>
      </w:r>
      <w:r>
        <w:t>truths fall within the jurisdiction of empirical science. Informal non-empirical truths fall within the jurisdiction of philosophy. Are there such truths? Yes. For any given formal truth (e.g., ‹ if P and Q, then Q›), there are infinitely many informal analytic truths.</w:t>
      </w:r>
    </w:p>
    <w:p w14:paraId="7E0030A5" w14:textId="77777777" w:rsidR="009A58DB" w:rsidRDefault="00000000">
      <w:pPr>
        <w:spacing w:before="41"/>
        <w:ind w:left="360"/>
      </w:pPr>
      <w:bookmarkStart w:id="797" w:name="_bookmark797"/>
      <w:bookmarkEnd w:id="797"/>
      <w:r>
        <w:rPr>
          <w:color w:val="0562C1"/>
          <w:position w:val="18"/>
          <w:u w:val="single" w:color="0562C1"/>
        </w:rPr>
        <w:t>[124]</w:t>
      </w:r>
      <w:r>
        <w:t>.</w:t>
      </w:r>
      <w:r>
        <w:rPr>
          <w:spacing w:val="9"/>
        </w:rPr>
        <w:t xml:space="preserve"> </w:t>
      </w:r>
      <w:r>
        <w:t>Russell</w:t>
      </w:r>
      <w:r>
        <w:rPr>
          <w:spacing w:val="9"/>
        </w:rPr>
        <w:t xml:space="preserve"> </w:t>
      </w:r>
      <w:r>
        <w:rPr>
          <w:spacing w:val="-2"/>
        </w:rPr>
        <w:t>(1920).</w:t>
      </w:r>
    </w:p>
    <w:p w14:paraId="7E0030A6" w14:textId="77777777" w:rsidR="009A58DB" w:rsidRDefault="00000000">
      <w:pPr>
        <w:spacing w:before="17"/>
        <w:ind w:left="360"/>
      </w:pPr>
      <w:bookmarkStart w:id="798" w:name="_bookmark798"/>
      <w:bookmarkEnd w:id="798"/>
      <w:r>
        <w:rPr>
          <w:color w:val="0562C1"/>
          <w:position w:val="18"/>
          <w:u w:val="single" w:color="0562C1"/>
        </w:rPr>
        <w:t>[125]</w:t>
      </w:r>
      <w:r>
        <w:t>.</w:t>
      </w:r>
      <w:r>
        <w:rPr>
          <w:spacing w:val="8"/>
        </w:rPr>
        <w:t xml:space="preserve"> </w:t>
      </w:r>
      <w:r>
        <w:t>Frege</w:t>
      </w:r>
      <w:r>
        <w:rPr>
          <w:spacing w:val="9"/>
        </w:rPr>
        <w:t xml:space="preserve"> </w:t>
      </w:r>
      <w:r>
        <w:rPr>
          <w:spacing w:val="-2"/>
        </w:rPr>
        <w:t>(1954).</w:t>
      </w:r>
    </w:p>
    <w:p w14:paraId="7E0030A7" w14:textId="77777777" w:rsidR="009A58DB" w:rsidRDefault="00000000">
      <w:pPr>
        <w:spacing w:before="17" w:line="256" w:lineRule="auto"/>
        <w:ind w:left="645" w:right="373" w:hanging="285"/>
        <w:jc w:val="both"/>
      </w:pPr>
      <w:bookmarkStart w:id="799" w:name="_bookmark799"/>
      <w:bookmarkEnd w:id="799"/>
      <w:r>
        <w:rPr>
          <w:color w:val="0562C1"/>
          <w:position w:val="18"/>
          <w:u w:val="single" w:color="0562C1"/>
        </w:rPr>
        <w:t>[126]</w:t>
      </w:r>
      <w:r>
        <w:t xml:space="preserve">. (2) contains the quantifiers “something x” and “something y.” Since “something x is an apple on the table” is equivalent with “at least one thing is an apple on the table” it might seem as though (2) </w:t>
      </w:r>
      <w:r>
        <w:rPr>
          <w:i/>
        </w:rPr>
        <w:t xml:space="preserve">does </w:t>
      </w:r>
      <w:r>
        <w:t>(implicitly) contain an expression referring to the number one. But this isn’t so, since</w:t>
      </w:r>
      <w:r>
        <w:rPr>
          <w:spacing w:val="80"/>
        </w:rPr>
        <w:t xml:space="preserve"> </w:t>
      </w:r>
      <w:r>
        <w:t xml:space="preserve">“something x is an apple on the table” can be rewritten as </w:t>
      </w:r>
      <w:r>
        <w:rPr>
          <w:i/>
        </w:rPr>
        <w:t xml:space="preserve">A and B are not mutually exclusive properties, </w:t>
      </w:r>
      <w:r>
        <w:t>where A(B) is the properties possession of which is necessary and sufficient for being an apple (being on top of the table).</w:t>
      </w:r>
    </w:p>
    <w:p w14:paraId="7E0030A8" w14:textId="77777777" w:rsidR="009A58DB" w:rsidRDefault="00000000">
      <w:pPr>
        <w:spacing w:line="429" w:lineRule="exact"/>
        <w:ind w:left="360"/>
      </w:pPr>
      <w:bookmarkStart w:id="800" w:name="_bookmark800"/>
      <w:bookmarkEnd w:id="800"/>
      <w:r>
        <w:rPr>
          <w:color w:val="0562C1"/>
          <w:position w:val="18"/>
          <w:u w:val="single" w:color="0562C1"/>
        </w:rPr>
        <w:t>[127]</w:t>
      </w:r>
      <w:r>
        <w:t>.</w:t>
      </w:r>
      <w:r>
        <w:rPr>
          <w:spacing w:val="8"/>
        </w:rPr>
        <w:t xml:space="preserve"> </w:t>
      </w:r>
      <w:r>
        <w:t>Frege</w:t>
      </w:r>
      <w:r>
        <w:rPr>
          <w:spacing w:val="9"/>
        </w:rPr>
        <w:t xml:space="preserve"> </w:t>
      </w:r>
      <w:r>
        <w:rPr>
          <w:spacing w:val="-2"/>
        </w:rPr>
        <w:t>(1954).</w:t>
      </w:r>
    </w:p>
    <w:p w14:paraId="7E0030A9" w14:textId="77777777" w:rsidR="009A58DB" w:rsidRDefault="00000000">
      <w:pPr>
        <w:spacing w:before="17"/>
        <w:ind w:left="360"/>
      </w:pPr>
      <w:bookmarkStart w:id="801" w:name="_bookmark801"/>
      <w:bookmarkEnd w:id="801"/>
      <w:r>
        <w:rPr>
          <w:color w:val="0562C1"/>
          <w:position w:val="18"/>
          <w:u w:val="single" w:color="0562C1"/>
        </w:rPr>
        <w:t>[128]</w:t>
      </w:r>
      <w:r>
        <w:t>.</w:t>
      </w:r>
      <w:r>
        <w:rPr>
          <w:spacing w:val="9"/>
        </w:rPr>
        <w:t xml:space="preserve"> </w:t>
      </w:r>
      <w:r>
        <w:t>I’m</w:t>
      </w:r>
      <w:r>
        <w:rPr>
          <w:spacing w:val="9"/>
        </w:rPr>
        <w:t xml:space="preserve"> </w:t>
      </w:r>
      <w:r>
        <w:t>modifying</w:t>
      </w:r>
      <w:r>
        <w:rPr>
          <w:spacing w:val="9"/>
        </w:rPr>
        <w:t xml:space="preserve"> </w:t>
      </w:r>
      <w:r>
        <w:t>Frege’s</w:t>
      </w:r>
      <w:r>
        <w:rPr>
          <w:spacing w:val="9"/>
        </w:rPr>
        <w:t xml:space="preserve"> </w:t>
      </w:r>
      <w:r>
        <w:t>solution</w:t>
      </w:r>
      <w:r>
        <w:rPr>
          <w:spacing w:val="10"/>
        </w:rPr>
        <w:t xml:space="preserve"> </w:t>
      </w:r>
      <w:r>
        <w:t>to</w:t>
      </w:r>
      <w:r>
        <w:rPr>
          <w:spacing w:val="9"/>
        </w:rPr>
        <w:t xml:space="preserve"> </w:t>
      </w:r>
      <w:r>
        <w:t>avoid</w:t>
      </w:r>
      <w:r>
        <w:rPr>
          <w:spacing w:val="9"/>
        </w:rPr>
        <w:t xml:space="preserve"> </w:t>
      </w:r>
      <w:r>
        <w:t>irrelevant</w:t>
      </w:r>
      <w:r>
        <w:rPr>
          <w:spacing w:val="9"/>
        </w:rPr>
        <w:t xml:space="preserve"> </w:t>
      </w:r>
      <w:r>
        <w:rPr>
          <w:spacing w:val="-2"/>
        </w:rPr>
        <w:t>technicalities.</w:t>
      </w:r>
    </w:p>
    <w:p w14:paraId="7E0030AA" w14:textId="77777777" w:rsidR="009A58DB" w:rsidRDefault="00000000">
      <w:pPr>
        <w:spacing w:before="17" w:line="256" w:lineRule="auto"/>
        <w:ind w:left="360" w:right="364"/>
      </w:pPr>
      <w:bookmarkStart w:id="802" w:name="_bookmark802"/>
      <w:bookmarkEnd w:id="802"/>
      <w:r>
        <w:rPr>
          <w:color w:val="0562C1"/>
          <w:position w:val="18"/>
          <w:u w:val="single" w:color="0562C1"/>
        </w:rPr>
        <w:t>[129]</w:t>
      </w:r>
      <w:r>
        <w:t>.</w:t>
      </w:r>
      <w:r>
        <w:rPr>
          <w:spacing w:val="24"/>
        </w:rPr>
        <w:t xml:space="preserve"> </w:t>
      </w:r>
      <w:r>
        <w:t>This</w:t>
      </w:r>
      <w:r>
        <w:rPr>
          <w:spacing w:val="24"/>
        </w:rPr>
        <w:t xml:space="preserve"> </w:t>
      </w:r>
      <w:r>
        <w:t>terminology</w:t>
      </w:r>
      <w:r>
        <w:rPr>
          <w:spacing w:val="24"/>
        </w:rPr>
        <w:t xml:space="preserve"> </w:t>
      </w:r>
      <w:r>
        <w:t>is</w:t>
      </w:r>
      <w:r>
        <w:rPr>
          <w:spacing w:val="24"/>
        </w:rPr>
        <w:t xml:space="preserve"> </w:t>
      </w:r>
      <w:r>
        <w:t>borrowed</w:t>
      </w:r>
      <w:r>
        <w:rPr>
          <w:spacing w:val="24"/>
        </w:rPr>
        <w:t xml:space="preserve"> </w:t>
      </w:r>
      <w:r>
        <w:t>from</w:t>
      </w:r>
      <w:r>
        <w:rPr>
          <w:spacing w:val="24"/>
        </w:rPr>
        <w:t xml:space="preserve"> </w:t>
      </w:r>
      <w:r>
        <w:t>Russell</w:t>
      </w:r>
      <w:r>
        <w:rPr>
          <w:spacing w:val="24"/>
        </w:rPr>
        <w:t xml:space="preserve"> </w:t>
      </w:r>
      <w:r>
        <w:t>(1920),</w:t>
      </w:r>
      <w:r>
        <w:rPr>
          <w:spacing w:val="24"/>
        </w:rPr>
        <w:t xml:space="preserve"> </w:t>
      </w:r>
      <w:r>
        <w:t>who</w:t>
      </w:r>
      <w:r>
        <w:rPr>
          <w:spacing w:val="24"/>
        </w:rPr>
        <w:t xml:space="preserve"> </w:t>
      </w:r>
      <w:r>
        <w:t>borrowed</w:t>
      </w:r>
      <w:r>
        <w:rPr>
          <w:spacing w:val="24"/>
        </w:rPr>
        <w:t xml:space="preserve"> </w:t>
      </w:r>
      <w:r>
        <w:t>it</w:t>
      </w:r>
      <w:r>
        <w:rPr>
          <w:spacing w:val="24"/>
        </w:rPr>
        <w:t xml:space="preserve"> </w:t>
      </w:r>
      <w:r>
        <w:t>from</w:t>
      </w:r>
      <w:r>
        <w:rPr>
          <w:spacing w:val="24"/>
        </w:rPr>
        <w:t xml:space="preserve"> </w:t>
      </w:r>
      <w:r>
        <w:t>Dedekind</w:t>
      </w:r>
      <w:r>
        <w:rPr>
          <w:spacing w:val="24"/>
        </w:rPr>
        <w:t xml:space="preserve"> </w:t>
      </w:r>
      <w:r>
        <w:t xml:space="preserve">(1888). </w:t>
      </w:r>
      <w:bookmarkStart w:id="803" w:name="_bookmark803"/>
      <w:bookmarkEnd w:id="803"/>
      <w:r>
        <w:rPr>
          <w:color w:val="0562C1"/>
          <w:position w:val="18"/>
          <w:u w:val="single" w:color="0562C1"/>
        </w:rPr>
        <w:t>[130]</w:t>
      </w:r>
      <w:r>
        <w:t>.</w:t>
      </w:r>
      <w:r>
        <w:rPr>
          <w:spacing w:val="30"/>
        </w:rPr>
        <w:t xml:space="preserve"> </w:t>
      </w:r>
      <w:r>
        <w:t>Bertrand</w:t>
      </w:r>
      <w:r>
        <w:rPr>
          <w:spacing w:val="30"/>
        </w:rPr>
        <w:t xml:space="preserve"> </w:t>
      </w:r>
      <w:r>
        <w:t>Russell</w:t>
      </w:r>
      <w:r>
        <w:rPr>
          <w:spacing w:val="30"/>
        </w:rPr>
        <w:t xml:space="preserve"> </w:t>
      </w:r>
      <w:r>
        <w:t>(1903)</w:t>
      </w:r>
      <w:r>
        <w:rPr>
          <w:spacing w:val="30"/>
        </w:rPr>
        <w:t xml:space="preserve"> </w:t>
      </w:r>
      <w:r>
        <w:t>was</w:t>
      </w:r>
      <w:r>
        <w:rPr>
          <w:spacing w:val="30"/>
        </w:rPr>
        <w:t xml:space="preserve"> </w:t>
      </w:r>
      <w:r>
        <w:t>the</w:t>
      </w:r>
      <w:r>
        <w:rPr>
          <w:spacing w:val="30"/>
        </w:rPr>
        <w:t xml:space="preserve"> </w:t>
      </w:r>
      <w:r>
        <w:t>first</w:t>
      </w:r>
      <w:r>
        <w:rPr>
          <w:spacing w:val="30"/>
        </w:rPr>
        <w:t xml:space="preserve"> </w:t>
      </w:r>
      <w:r>
        <w:t>to</w:t>
      </w:r>
      <w:r>
        <w:rPr>
          <w:spacing w:val="30"/>
        </w:rPr>
        <w:t xml:space="preserve"> </w:t>
      </w:r>
      <w:r>
        <w:t>make</w:t>
      </w:r>
      <w:r>
        <w:rPr>
          <w:spacing w:val="30"/>
        </w:rPr>
        <w:t xml:space="preserve"> </w:t>
      </w:r>
      <w:r>
        <w:t>this</w:t>
      </w:r>
      <w:r>
        <w:rPr>
          <w:spacing w:val="30"/>
        </w:rPr>
        <w:t xml:space="preserve"> </w:t>
      </w:r>
      <w:r>
        <w:t>clear.</w:t>
      </w:r>
      <w:r>
        <w:rPr>
          <w:spacing w:val="30"/>
        </w:rPr>
        <w:t xml:space="preserve"> </w:t>
      </w:r>
      <w:r>
        <w:t>Russell’s</w:t>
      </w:r>
      <w:r>
        <w:rPr>
          <w:spacing w:val="30"/>
        </w:rPr>
        <w:t xml:space="preserve"> </w:t>
      </w:r>
      <w:r>
        <w:t>insight</w:t>
      </w:r>
      <w:r>
        <w:rPr>
          <w:spacing w:val="30"/>
        </w:rPr>
        <w:t xml:space="preserve"> </w:t>
      </w:r>
      <w:r>
        <w:t>was</w:t>
      </w:r>
      <w:r>
        <w:rPr>
          <w:spacing w:val="30"/>
        </w:rPr>
        <w:t xml:space="preserve"> </w:t>
      </w:r>
      <w:r>
        <w:t>a</w:t>
      </w:r>
      <w:r>
        <w:rPr>
          <w:spacing w:val="30"/>
        </w:rPr>
        <w:t xml:space="preserve"> </w:t>
      </w:r>
      <w:r>
        <w:t>refinement</w:t>
      </w:r>
      <w:r>
        <w:rPr>
          <w:spacing w:val="30"/>
        </w:rPr>
        <w:t xml:space="preserve"> </w:t>
      </w:r>
      <w:r>
        <w:t>of</w:t>
      </w:r>
    </w:p>
    <w:p w14:paraId="7E0030AB" w14:textId="77777777" w:rsidR="009A58DB" w:rsidRDefault="00000000">
      <w:pPr>
        <w:spacing w:line="252" w:lineRule="exact"/>
        <w:ind w:left="645"/>
        <w:jc w:val="both"/>
      </w:pPr>
      <w:r>
        <w:t>one</w:t>
      </w:r>
      <w:r>
        <w:rPr>
          <w:spacing w:val="10"/>
        </w:rPr>
        <w:t xml:space="preserve"> </w:t>
      </w:r>
      <w:r>
        <w:t>due</w:t>
      </w:r>
      <w:r>
        <w:rPr>
          <w:spacing w:val="11"/>
        </w:rPr>
        <w:t xml:space="preserve"> </w:t>
      </w:r>
      <w:r>
        <w:t>to</w:t>
      </w:r>
      <w:r>
        <w:rPr>
          <w:spacing w:val="11"/>
        </w:rPr>
        <w:t xml:space="preserve"> </w:t>
      </w:r>
      <w:r>
        <w:t>Richard</w:t>
      </w:r>
      <w:r>
        <w:rPr>
          <w:spacing w:val="10"/>
        </w:rPr>
        <w:t xml:space="preserve"> </w:t>
      </w:r>
      <w:r>
        <w:t>Dedekind</w:t>
      </w:r>
      <w:r>
        <w:rPr>
          <w:spacing w:val="11"/>
        </w:rPr>
        <w:t xml:space="preserve"> </w:t>
      </w:r>
      <w:r>
        <w:t>(1831–</w:t>
      </w:r>
      <w:r>
        <w:rPr>
          <w:spacing w:val="-2"/>
        </w:rPr>
        <w:t>1916).</w:t>
      </w:r>
    </w:p>
    <w:p w14:paraId="7E0030AC" w14:textId="77777777" w:rsidR="009A58DB" w:rsidRDefault="00000000">
      <w:pPr>
        <w:spacing w:before="17" w:line="256" w:lineRule="auto"/>
        <w:ind w:left="645" w:right="380" w:hanging="285"/>
        <w:jc w:val="both"/>
      </w:pPr>
      <w:bookmarkStart w:id="804" w:name="_bookmark804"/>
      <w:bookmarkEnd w:id="804"/>
      <w:r>
        <w:rPr>
          <w:color w:val="0562C1"/>
          <w:position w:val="18"/>
          <w:u w:val="single" w:color="0562C1"/>
        </w:rPr>
        <w:t>[131]</w:t>
      </w:r>
      <w:r>
        <w:t>.</w:t>
      </w:r>
      <w:r>
        <w:rPr>
          <w:spacing w:val="40"/>
        </w:rPr>
        <w:t xml:space="preserve"> </w:t>
      </w:r>
      <w:r>
        <w:t>In</w:t>
      </w:r>
      <w:r>
        <w:rPr>
          <w:spacing w:val="40"/>
        </w:rPr>
        <w:t xml:space="preserve"> </w:t>
      </w:r>
      <w:r>
        <w:t>this</w:t>
      </w:r>
      <w:r>
        <w:rPr>
          <w:spacing w:val="40"/>
        </w:rPr>
        <w:t xml:space="preserve"> </w:t>
      </w:r>
      <w:r>
        <w:t>section,</w:t>
      </w:r>
      <w:r>
        <w:rPr>
          <w:spacing w:val="40"/>
        </w:rPr>
        <w:t xml:space="preserve"> </w:t>
      </w:r>
      <w:r>
        <w:t>the</w:t>
      </w:r>
      <w:r>
        <w:rPr>
          <w:spacing w:val="40"/>
        </w:rPr>
        <w:t xml:space="preserve"> </w:t>
      </w:r>
      <w:r>
        <w:t>word</w:t>
      </w:r>
      <w:r>
        <w:rPr>
          <w:spacing w:val="40"/>
        </w:rPr>
        <w:t xml:space="preserve"> </w:t>
      </w:r>
      <w:r>
        <w:t>“logic”</w:t>
      </w:r>
      <w:r>
        <w:rPr>
          <w:spacing w:val="40"/>
        </w:rPr>
        <w:t xml:space="preserve"> </w:t>
      </w:r>
      <w:r>
        <w:t>should,</w:t>
      </w:r>
      <w:r>
        <w:rPr>
          <w:spacing w:val="40"/>
        </w:rPr>
        <w:t xml:space="preserve"> </w:t>
      </w:r>
      <w:r>
        <w:t>whenever</w:t>
      </w:r>
      <w:r>
        <w:rPr>
          <w:spacing w:val="40"/>
        </w:rPr>
        <w:t xml:space="preserve"> </w:t>
      </w:r>
      <w:r>
        <w:t>the</w:t>
      </w:r>
      <w:r>
        <w:rPr>
          <w:spacing w:val="40"/>
        </w:rPr>
        <w:t xml:space="preserve"> </w:t>
      </w:r>
      <w:r>
        <w:t>context</w:t>
      </w:r>
      <w:r>
        <w:rPr>
          <w:spacing w:val="40"/>
        </w:rPr>
        <w:t xml:space="preserve"> </w:t>
      </w:r>
      <w:r>
        <w:t>requires</w:t>
      </w:r>
      <w:r>
        <w:rPr>
          <w:spacing w:val="40"/>
        </w:rPr>
        <w:t xml:space="preserve"> </w:t>
      </w:r>
      <w:r>
        <w:t>it,</w:t>
      </w:r>
      <w:r>
        <w:rPr>
          <w:spacing w:val="40"/>
        </w:rPr>
        <w:t xml:space="preserve"> </w:t>
      </w:r>
      <w:r>
        <w:t>be</w:t>
      </w:r>
      <w:r>
        <w:rPr>
          <w:spacing w:val="40"/>
        </w:rPr>
        <w:t xml:space="preserve"> </w:t>
      </w:r>
      <w:r>
        <w:t>taken</w:t>
      </w:r>
      <w:r>
        <w:rPr>
          <w:spacing w:val="40"/>
        </w:rPr>
        <w:t xml:space="preserve"> </w:t>
      </w:r>
      <w:r>
        <w:t>to</w:t>
      </w:r>
      <w:r>
        <w:rPr>
          <w:spacing w:val="40"/>
        </w:rPr>
        <w:t xml:space="preserve"> </w:t>
      </w:r>
      <w:r>
        <w:t xml:space="preserve">mean “logic </w:t>
      </w:r>
      <w:r>
        <w:rPr>
          <w:i/>
        </w:rPr>
        <w:t xml:space="preserve">plus </w:t>
      </w:r>
      <w:r>
        <w:t>set theory.” See note 20 for clarification.</w:t>
      </w:r>
    </w:p>
    <w:p w14:paraId="7E0030AD" w14:textId="77777777" w:rsidR="009A58DB" w:rsidRDefault="00000000">
      <w:pPr>
        <w:spacing w:before="58" w:line="254" w:lineRule="auto"/>
        <w:ind w:left="720" w:right="360" w:hanging="360"/>
        <w:jc w:val="both"/>
      </w:pPr>
      <w:bookmarkStart w:id="805" w:name="_bookmark805"/>
      <w:bookmarkEnd w:id="805"/>
      <w:r>
        <w:rPr>
          <w:color w:val="0562C1"/>
          <w:position w:val="21"/>
          <w:u w:val="single" w:color="0562C1"/>
        </w:rPr>
        <w:t>[132]</w:t>
      </w:r>
      <w:r>
        <w:rPr>
          <w:sz w:val="34"/>
        </w:rPr>
        <w:t xml:space="preserve">. </w:t>
      </w:r>
      <w:r>
        <w:t xml:space="preserve">A sentence is </w:t>
      </w:r>
      <w:r>
        <w:rPr>
          <w:b/>
          <w:i/>
        </w:rPr>
        <w:t xml:space="preserve">formally true </w:t>
      </w:r>
      <w:r>
        <w:t>iff every sentence having the same form is true. “Either Smith is tall</w:t>
      </w:r>
      <w:r>
        <w:rPr>
          <w:spacing w:val="80"/>
        </w:rPr>
        <w:t xml:space="preserve"> </w:t>
      </w:r>
      <w:r>
        <w:t>or it is not the case that Smith is tall” (henceforth “ST”) is formally true because every sentence of</w:t>
      </w:r>
      <w:r>
        <w:rPr>
          <w:spacing w:val="80"/>
        </w:rPr>
        <w:t xml:space="preserve"> </w:t>
      </w:r>
      <w:r>
        <w:t xml:space="preserve">the form ‹P or not-P› is true. “Any case of knowledge is a case justified belief” (henceforth “KJ”) is </w:t>
      </w:r>
      <w:r>
        <w:rPr>
          <w:i/>
        </w:rPr>
        <w:t>not</w:t>
      </w:r>
      <w:r>
        <w:rPr>
          <w:i/>
          <w:spacing w:val="37"/>
        </w:rPr>
        <w:t xml:space="preserve"> </w:t>
      </w:r>
      <w:r>
        <w:t>formally</w:t>
      </w:r>
      <w:r>
        <w:rPr>
          <w:spacing w:val="40"/>
        </w:rPr>
        <w:t xml:space="preserve"> </w:t>
      </w:r>
      <w:r>
        <w:t>true</w:t>
      </w:r>
      <w:r>
        <w:rPr>
          <w:spacing w:val="40"/>
        </w:rPr>
        <w:t xml:space="preserve"> </w:t>
      </w:r>
      <w:r>
        <w:t>because</w:t>
      </w:r>
      <w:r>
        <w:rPr>
          <w:spacing w:val="40"/>
        </w:rPr>
        <w:t xml:space="preserve"> </w:t>
      </w:r>
      <w:r>
        <w:t>it</w:t>
      </w:r>
      <w:r>
        <w:rPr>
          <w:spacing w:val="40"/>
        </w:rPr>
        <w:t xml:space="preserve"> </w:t>
      </w:r>
      <w:r>
        <w:t>has</w:t>
      </w:r>
      <w:r>
        <w:rPr>
          <w:spacing w:val="40"/>
        </w:rPr>
        <w:t xml:space="preserve"> </w:t>
      </w:r>
      <w:r>
        <w:t>the</w:t>
      </w:r>
      <w:r>
        <w:rPr>
          <w:spacing w:val="40"/>
        </w:rPr>
        <w:t xml:space="preserve"> </w:t>
      </w:r>
      <w:r>
        <w:t>same</w:t>
      </w:r>
      <w:r>
        <w:rPr>
          <w:spacing w:val="40"/>
        </w:rPr>
        <w:t xml:space="preserve"> </w:t>
      </w:r>
      <w:r>
        <w:t>form</w:t>
      </w:r>
      <w:r>
        <w:rPr>
          <w:spacing w:val="40"/>
        </w:rPr>
        <w:t xml:space="preserve"> </w:t>
      </w:r>
      <w:r>
        <w:t>as</w:t>
      </w:r>
      <w:r>
        <w:rPr>
          <w:spacing w:val="40"/>
        </w:rPr>
        <w:t xml:space="preserve"> </w:t>
      </w:r>
      <w:r>
        <w:t>“any</w:t>
      </w:r>
      <w:r>
        <w:rPr>
          <w:spacing w:val="40"/>
        </w:rPr>
        <w:t xml:space="preserve"> </w:t>
      </w:r>
      <w:r>
        <w:t>case</w:t>
      </w:r>
      <w:r>
        <w:rPr>
          <w:spacing w:val="40"/>
        </w:rPr>
        <w:t xml:space="preserve"> </w:t>
      </w:r>
      <w:r>
        <w:t>of</w:t>
      </w:r>
      <w:r>
        <w:rPr>
          <w:spacing w:val="40"/>
        </w:rPr>
        <w:t xml:space="preserve"> </w:t>
      </w:r>
      <w:r>
        <w:t>ignorance</w:t>
      </w:r>
      <w:r>
        <w:rPr>
          <w:spacing w:val="40"/>
        </w:rPr>
        <w:t xml:space="preserve"> </w:t>
      </w:r>
      <w:r>
        <w:t>is</w:t>
      </w:r>
      <w:r>
        <w:rPr>
          <w:spacing w:val="40"/>
        </w:rPr>
        <w:t xml:space="preserve"> </w:t>
      </w:r>
      <w:r>
        <w:t>a</w:t>
      </w:r>
      <w:r>
        <w:rPr>
          <w:spacing w:val="40"/>
        </w:rPr>
        <w:t xml:space="preserve"> </w:t>
      </w:r>
      <w:r>
        <w:t>case</w:t>
      </w:r>
      <w:r>
        <w:rPr>
          <w:spacing w:val="40"/>
        </w:rPr>
        <w:t xml:space="preserve"> </w:t>
      </w:r>
      <w:r>
        <w:t>of</w:t>
      </w:r>
      <w:r>
        <w:rPr>
          <w:spacing w:val="40"/>
        </w:rPr>
        <w:t xml:space="preserve"> </w:t>
      </w:r>
      <w:r>
        <w:t>justified belief”</w:t>
      </w:r>
      <w:r>
        <w:rPr>
          <w:spacing w:val="40"/>
        </w:rPr>
        <w:t xml:space="preserve"> </w:t>
      </w:r>
      <w:r>
        <w:t>which</w:t>
      </w:r>
      <w:r>
        <w:rPr>
          <w:spacing w:val="40"/>
        </w:rPr>
        <w:t xml:space="preserve"> </w:t>
      </w:r>
      <w:r>
        <w:t>is</w:t>
      </w:r>
      <w:r>
        <w:rPr>
          <w:spacing w:val="40"/>
        </w:rPr>
        <w:t xml:space="preserve"> </w:t>
      </w:r>
      <w:r>
        <w:t>false.</w:t>
      </w:r>
      <w:r>
        <w:rPr>
          <w:spacing w:val="40"/>
        </w:rPr>
        <w:t xml:space="preserve"> </w:t>
      </w:r>
      <w:r>
        <w:t>KJ</w:t>
      </w:r>
      <w:r>
        <w:rPr>
          <w:spacing w:val="40"/>
        </w:rPr>
        <w:t xml:space="preserve"> </w:t>
      </w:r>
      <w:r>
        <w:t>is</w:t>
      </w:r>
      <w:r>
        <w:rPr>
          <w:spacing w:val="40"/>
        </w:rPr>
        <w:t xml:space="preserve"> </w:t>
      </w:r>
      <w:r>
        <w:rPr>
          <w:b/>
          <w:i/>
        </w:rPr>
        <w:t>analytically</w:t>
      </w:r>
      <w:r>
        <w:rPr>
          <w:b/>
          <w:i/>
          <w:spacing w:val="40"/>
        </w:rPr>
        <w:t xml:space="preserve"> </w:t>
      </w:r>
      <w:r>
        <w:rPr>
          <w:b/>
          <w:i/>
        </w:rPr>
        <w:t>true</w:t>
      </w:r>
      <w:r>
        <w:rPr>
          <w:b/>
          <w:i/>
          <w:spacing w:val="40"/>
        </w:rPr>
        <w:t xml:space="preserve"> </w:t>
      </w:r>
      <w:r>
        <w:t>(or</w:t>
      </w:r>
      <w:r>
        <w:rPr>
          <w:spacing w:val="39"/>
        </w:rPr>
        <w:t xml:space="preserve"> </w:t>
      </w:r>
      <w:r>
        <w:rPr>
          <w:b/>
          <w:i/>
        </w:rPr>
        <w:t>analytic</w:t>
      </w:r>
      <w:r>
        <w:t>)</w:t>
      </w:r>
      <w:r>
        <w:rPr>
          <w:spacing w:val="40"/>
        </w:rPr>
        <w:t xml:space="preserve"> </w:t>
      </w:r>
      <w:r>
        <w:t>because,</w:t>
      </w:r>
      <w:r>
        <w:rPr>
          <w:spacing w:val="40"/>
        </w:rPr>
        <w:t xml:space="preserve"> </w:t>
      </w:r>
      <w:r>
        <w:t>setting</w:t>
      </w:r>
      <w:r>
        <w:rPr>
          <w:spacing w:val="40"/>
        </w:rPr>
        <w:t xml:space="preserve"> </w:t>
      </w:r>
      <w:r>
        <w:t>aside</w:t>
      </w:r>
      <w:r>
        <w:rPr>
          <w:spacing w:val="40"/>
        </w:rPr>
        <w:t xml:space="preserve"> </w:t>
      </w:r>
      <w:r>
        <w:t>the</w:t>
      </w:r>
      <w:r>
        <w:rPr>
          <w:spacing w:val="40"/>
        </w:rPr>
        <w:t xml:space="preserve"> </w:t>
      </w:r>
      <w:r>
        <w:t>empirical</w:t>
      </w:r>
    </w:p>
    <w:p w14:paraId="7E0030AE" w14:textId="77777777" w:rsidR="009A58DB" w:rsidRDefault="009A58DB">
      <w:pPr>
        <w:spacing w:line="254" w:lineRule="auto"/>
        <w:jc w:val="both"/>
        <w:sectPr w:rsidR="009A58DB">
          <w:pgSz w:w="12240" w:h="15840"/>
          <w:pgMar w:top="1380" w:right="1080" w:bottom="280" w:left="1080" w:header="720" w:footer="720" w:gutter="0"/>
          <w:cols w:space="720"/>
        </w:sectPr>
      </w:pPr>
    </w:p>
    <w:p w14:paraId="7E0030AF" w14:textId="77777777" w:rsidR="009A58DB" w:rsidRDefault="00000000">
      <w:pPr>
        <w:spacing w:before="85" w:line="256" w:lineRule="auto"/>
        <w:ind w:left="720" w:right="364"/>
        <w:jc w:val="both"/>
      </w:pPr>
      <w:r>
        <w:t>knowledge</w:t>
      </w:r>
      <w:r>
        <w:rPr>
          <w:spacing w:val="23"/>
        </w:rPr>
        <w:t xml:space="preserve"> </w:t>
      </w:r>
      <w:r>
        <w:t>needed</w:t>
      </w:r>
      <w:r>
        <w:rPr>
          <w:spacing w:val="24"/>
        </w:rPr>
        <w:t xml:space="preserve"> </w:t>
      </w:r>
      <w:r>
        <w:t>to</w:t>
      </w:r>
      <w:r>
        <w:rPr>
          <w:spacing w:val="23"/>
        </w:rPr>
        <w:t xml:space="preserve"> </w:t>
      </w:r>
      <w:r>
        <w:t>grasp</w:t>
      </w:r>
      <w:r>
        <w:rPr>
          <w:spacing w:val="24"/>
        </w:rPr>
        <w:t xml:space="preserve"> </w:t>
      </w:r>
      <w:r>
        <w:t>it,</w:t>
      </w:r>
      <w:r>
        <w:rPr>
          <w:spacing w:val="23"/>
        </w:rPr>
        <w:t xml:space="preserve"> </w:t>
      </w:r>
      <w:r>
        <w:t>no</w:t>
      </w:r>
      <w:r>
        <w:rPr>
          <w:spacing w:val="24"/>
        </w:rPr>
        <w:t xml:space="preserve"> </w:t>
      </w:r>
      <w:r>
        <w:t>empirical</w:t>
      </w:r>
      <w:r>
        <w:rPr>
          <w:spacing w:val="23"/>
        </w:rPr>
        <w:t xml:space="preserve"> </w:t>
      </w:r>
      <w:r>
        <w:t>knowledge</w:t>
      </w:r>
      <w:r>
        <w:rPr>
          <w:spacing w:val="24"/>
        </w:rPr>
        <w:t xml:space="preserve"> </w:t>
      </w:r>
      <w:r>
        <w:t>is</w:t>
      </w:r>
      <w:r>
        <w:rPr>
          <w:spacing w:val="23"/>
        </w:rPr>
        <w:t xml:space="preserve"> </w:t>
      </w:r>
      <w:r>
        <w:t>needed</w:t>
      </w:r>
      <w:r>
        <w:rPr>
          <w:spacing w:val="24"/>
        </w:rPr>
        <w:t xml:space="preserve"> </w:t>
      </w:r>
      <w:r>
        <w:t>to</w:t>
      </w:r>
      <w:r>
        <w:rPr>
          <w:spacing w:val="24"/>
        </w:rPr>
        <w:t xml:space="preserve"> </w:t>
      </w:r>
      <w:r>
        <w:t>know</w:t>
      </w:r>
      <w:r>
        <w:rPr>
          <w:spacing w:val="23"/>
        </w:rPr>
        <w:t xml:space="preserve"> </w:t>
      </w:r>
      <w:r>
        <w:t>that</w:t>
      </w:r>
      <w:r>
        <w:rPr>
          <w:spacing w:val="24"/>
        </w:rPr>
        <w:t xml:space="preserve"> </w:t>
      </w:r>
      <w:r>
        <w:t>it</w:t>
      </w:r>
      <w:r>
        <w:rPr>
          <w:spacing w:val="23"/>
        </w:rPr>
        <w:t xml:space="preserve"> </w:t>
      </w:r>
      <w:r>
        <w:t>is</w:t>
      </w:r>
      <w:r>
        <w:rPr>
          <w:spacing w:val="24"/>
        </w:rPr>
        <w:t xml:space="preserve"> </w:t>
      </w:r>
      <w:r>
        <w:t>true.</w:t>
      </w:r>
      <w:r>
        <w:rPr>
          <w:spacing w:val="23"/>
        </w:rPr>
        <w:t xml:space="preserve"> </w:t>
      </w:r>
      <w:r>
        <w:t>That</w:t>
      </w:r>
      <w:r>
        <w:rPr>
          <w:spacing w:val="24"/>
        </w:rPr>
        <w:t xml:space="preserve"> </w:t>
      </w:r>
      <w:r>
        <w:t>it</w:t>
      </w:r>
      <w:r>
        <w:rPr>
          <w:spacing w:val="23"/>
        </w:rPr>
        <w:t xml:space="preserve"> </w:t>
      </w:r>
      <w:r>
        <w:t>is true is to be seen by understanding the relevant facts about the concepts composing its meaning; empirical inquiry is irrelevant.</w:t>
      </w:r>
    </w:p>
    <w:p w14:paraId="7E0030B0" w14:textId="77777777" w:rsidR="009A58DB" w:rsidRDefault="00000000">
      <w:pPr>
        <w:spacing w:before="57" w:line="256" w:lineRule="auto"/>
        <w:ind w:left="720" w:right="365" w:firstLine="360"/>
        <w:jc w:val="both"/>
      </w:pPr>
      <w:r>
        <w:t>In</w:t>
      </w:r>
      <w:r>
        <w:rPr>
          <w:spacing w:val="40"/>
        </w:rPr>
        <w:t xml:space="preserve"> </w:t>
      </w:r>
      <w:r>
        <w:t>addition</w:t>
      </w:r>
      <w:r>
        <w:rPr>
          <w:spacing w:val="40"/>
        </w:rPr>
        <w:t xml:space="preserve"> </w:t>
      </w:r>
      <w:r>
        <w:t>to</w:t>
      </w:r>
      <w:r>
        <w:rPr>
          <w:spacing w:val="40"/>
        </w:rPr>
        <w:t xml:space="preserve"> </w:t>
      </w:r>
      <w:r>
        <w:t>being</w:t>
      </w:r>
      <w:r>
        <w:rPr>
          <w:spacing w:val="40"/>
        </w:rPr>
        <w:t xml:space="preserve"> </w:t>
      </w:r>
      <w:r>
        <w:t>formally</w:t>
      </w:r>
      <w:r>
        <w:rPr>
          <w:spacing w:val="40"/>
        </w:rPr>
        <w:t xml:space="preserve"> </w:t>
      </w:r>
      <w:r>
        <w:t>true,</w:t>
      </w:r>
      <w:r>
        <w:rPr>
          <w:spacing w:val="40"/>
        </w:rPr>
        <w:t xml:space="preserve"> </w:t>
      </w:r>
      <w:r>
        <w:t>ST</w:t>
      </w:r>
      <w:r>
        <w:rPr>
          <w:spacing w:val="40"/>
        </w:rPr>
        <w:t xml:space="preserve"> </w:t>
      </w:r>
      <w:r>
        <w:t>is</w:t>
      </w:r>
      <w:r>
        <w:rPr>
          <w:spacing w:val="40"/>
        </w:rPr>
        <w:t xml:space="preserve"> </w:t>
      </w:r>
      <w:r>
        <w:t>analytically</w:t>
      </w:r>
      <w:r>
        <w:rPr>
          <w:spacing w:val="40"/>
        </w:rPr>
        <w:t xml:space="preserve"> </w:t>
      </w:r>
      <w:r>
        <w:t>true.</w:t>
      </w:r>
      <w:r>
        <w:rPr>
          <w:spacing w:val="40"/>
        </w:rPr>
        <w:t xml:space="preserve"> </w:t>
      </w:r>
      <w:r>
        <w:t>Setting</w:t>
      </w:r>
      <w:r>
        <w:rPr>
          <w:spacing w:val="40"/>
        </w:rPr>
        <w:t xml:space="preserve"> </w:t>
      </w:r>
      <w:r>
        <w:t>aside</w:t>
      </w:r>
      <w:r>
        <w:rPr>
          <w:spacing w:val="40"/>
        </w:rPr>
        <w:t xml:space="preserve"> </w:t>
      </w:r>
      <w:r>
        <w:t>the</w:t>
      </w:r>
      <w:r>
        <w:rPr>
          <w:spacing w:val="40"/>
        </w:rPr>
        <w:t xml:space="preserve"> </w:t>
      </w:r>
      <w:r>
        <w:t>empirical knowledge</w:t>
      </w:r>
      <w:r>
        <w:rPr>
          <w:spacing w:val="20"/>
        </w:rPr>
        <w:t xml:space="preserve"> </w:t>
      </w:r>
      <w:r>
        <w:t>needed</w:t>
      </w:r>
      <w:r>
        <w:rPr>
          <w:spacing w:val="20"/>
        </w:rPr>
        <w:t xml:space="preserve"> </w:t>
      </w:r>
      <w:r>
        <w:t>to</w:t>
      </w:r>
      <w:r>
        <w:rPr>
          <w:spacing w:val="20"/>
        </w:rPr>
        <w:t xml:space="preserve"> </w:t>
      </w:r>
      <w:r>
        <w:t>grasp</w:t>
      </w:r>
      <w:r>
        <w:rPr>
          <w:spacing w:val="20"/>
        </w:rPr>
        <w:t xml:space="preserve"> </w:t>
      </w:r>
      <w:r>
        <w:t>ST</w:t>
      </w:r>
      <w:r>
        <w:rPr>
          <w:spacing w:val="20"/>
        </w:rPr>
        <w:t xml:space="preserve"> </w:t>
      </w:r>
      <w:r>
        <w:t>itself,</w:t>
      </w:r>
      <w:r>
        <w:rPr>
          <w:spacing w:val="20"/>
        </w:rPr>
        <w:t xml:space="preserve"> </w:t>
      </w:r>
      <w:r>
        <w:t>no</w:t>
      </w:r>
      <w:r>
        <w:rPr>
          <w:spacing w:val="20"/>
        </w:rPr>
        <w:t xml:space="preserve"> </w:t>
      </w:r>
      <w:r>
        <w:t>empirical</w:t>
      </w:r>
      <w:r>
        <w:rPr>
          <w:spacing w:val="20"/>
        </w:rPr>
        <w:t xml:space="preserve"> </w:t>
      </w:r>
      <w:r>
        <w:t>knowledge</w:t>
      </w:r>
      <w:r>
        <w:rPr>
          <w:spacing w:val="20"/>
        </w:rPr>
        <w:t xml:space="preserve"> </w:t>
      </w:r>
      <w:r>
        <w:t>is</w:t>
      </w:r>
      <w:r>
        <w:rPr>
          <w:spacing w:val="20"/>
        </w:rPr>
        <w:t xml:space="preserve"> </w:t>
      </w:r>
      <w:r>
        <w:t>needed</w:t>
      </w:r>
      <w:r>
        <w:rPr>
          <w:spacing w:val="20"/>
        </w:rPr>
        <w:t xml:space="preserve"> </w:t>
      </w:r>
      <w:r>
        <w:t>to</w:t>
      </w:r>
      <w:r>
        <w:rPr>
          <w:spacing w:val="20"/>
        </w:rPr>
        <w:t xml:space="preserve"> </w:t>
      </w:r>
      <w:r>
        <w:t>know</w:t>
      </w:r>
      <w:r>
        <w:rPr>
          <w:spacing w:val="20"/>
        </w:rPr>
        <w:t xml:space="preserve"> </w:t>
      </w:r>
      <w:r>
        <w:t>whether</w:t>
      </w:r>
      <w:r>
        <w:rPr>
          <w:spacing w:val="20"/>
        </w:rPr>
        <w:t xml:space="preserve"> </w:t>
      </w:r>
      <w:r>
        <w:t>it</w:t>
      </w:r>
      <w:r>
        <w:rPr>
          <w:spacing w:val="20"/>
        </w:rPr>
        <w:t xml:space="preserve"> </w:t>
      </w:r>
      <w:r>
        <w:t>is</w:t>
      </w:r>
      <w:r>
        <w:rPr>
          <w:spacing w:val="20"/>
        </w:rPr>
        <w:t xml:space="preserve"> </w:t>
      </w:r>
      <w:r>
        <w:t>true or false. All formal truths are analytic truths; but not all analytic truths are formal truths (e.g., KJ is analytic but not formal).</w:t>
      </w:r>
    </w:p>
    <w:p w14:paraId="7E0030B1" w14:textId="77777777" w:rsidR="009A58DB" w:rsidRDefault="00000000">
      <w:pPr>
        <w:spacing w:before="43" w:line="256" w:lineRule="auto"/>
        <w:ind w:left="645" w:right="381" w:hanging="285"/>
        <w:jc w:val="both"/>
      </w:pPr>
      <w:bookmarkStart w:id="806" w:name="_bookmark806"/>
      <w:bookmarkEnd w:id="806"/>
      <w:r>
        <w:rPr>
          <w:color w:val="0562C1"/>
          <w:position w:val="18"/>
          <w:u w:val="single" w:color="0562C1"/>
        </w:rPr>
        <w:t>[133]</w:t>
      </w:r>
      <w:r>
        <w:t>. During its hey-day, formal logic wasn’t clearly distinguished from set-theory; it was thought that the latter is a branch of the former. The great pioneer logicists—Frege, Russell, Whitehead—attempted to reduce arithmetic to set theory, which they wrongly described as “logic.”</w:t>
      </w:r>
    </w:p>
    <w:p w14:paraId="7E0030B2" w14:textId="77777777" w:rsidR="009A58DB" w:rsidRDefault="00000000">
      <w:pPr>
        <w:spacing w:line="256" w:lineRule="auto"/>
        <w:ind w:left="645" w:right="373" w:hanging="285"/>
        <w:jc w:val="both"/>
      </w:pPr>
      <w:bookmarkStart w:id="807" w:name="_bookmark807"/>
      <w:bookmarkEnd w:id="807"/>
      <w:r>
        <w:rPr>
          <w:color w:val="0562C1"/>
          <w:position w:val="18"/>
          <w:u w:val="single" w:color="0562C1"/>
        </w:rPr>
        <w:t>[134]</w:t>
      </w:r>
      <w:r>
        <w:t>.</w:t>
      </w:r>
      <w:r>
        <w:rPr>
          <w:spacing w:val="40"/>
        </w:rPr>
        <w:t xml:space="preserve"> </w:t>
      </w:r>
      <w:r>
        <w:t>For</w:t>
      </w:r>
      <w:r>
        <w:rPr>
          <w:spacing w:val="40"/>
        </w:rPr>
        <w:t xml:space="preserve"> </w:t>
      </w:r>
      <w:r>
        <w:t>reasons</w:t>
      </w:r>
      <w:r>
        <w:rPr>
          <w:spacing w:val="40"/>
        </w:rPr>
        <w:t xml:space="preserve"> </w:t>
      </w:r>
      <w:r>
        <w:t>given</w:t>
      </w:r>
      <w:r>
        <w:rPr>
          <w:spacing w:val="40"/>
        </w:rPr>
        <w:t xml:space="preserve"> </w:t>
      </w:r>
      <w:r>
        <w:t>in</w:t>
      </w:r>
      <w:r>
        <w:rPr>
          <w:spacing w:val="40"/>
        </w:rPr>
        <w:t xml:space="preserve"> </w:t>
      </w:r>
      <w:r>
        <w:t>Chapter</w:t>
      </w:r>
      <w:r>
        <w:rPr>
          <w:spacing w:val="40"/>
        </w:rPr>
        <w:t xml:space="preserve"> </w:t>
      </w:r>
      <w:r>
        <w:t>4,</w:t>
      </w:r>
      <w:r>
        <w:rPr>
          <w:spacing w:val="40"/>
        </w:rPr>
        <w:t xml:space="preserve"> </w:t>
      </w:r>
      <w:r>
        <w:t>I</w:t>
      </w:r>
      <w:r>
        <w:rPr>
          <w:spacing w:val="40"/>
        </w:rPr>
        <w:t xml:space="preserve"> </w:t>
      </w:r>
      <w:r>
        <w:t>believe</w:t>
      </w:r>
      <w:r>
        <w:rPr>
          <w:spacing w:val="40"/>
        </w:rPr>
        <w:t xml:space="preserve"> </w:t>
      </w:r>
      <w:r>
        <w:t>that</w:t>
      </w:r>
      <w:r>
        <w:rPr>
          <w:spacing w:val="40"/>
        </w:rPr>
        <w:t xml:space="preserve"> </w:t>
      </w:r>
      <w:r>
        <w:t>it’s</w:t>
      </w:r>
      <w:r>
        <w:rPr>
          <w:spacing w:val="40"/>
        </w:rPr>
        <w:t xml:space="preserve"> </w:t>
      </w:r>
      <w:r>
        <w:t>sentence-tokens</w:t>
      </w:r>
      <w:r>
        <w:rPr>
          <w:spacing w:val="40"/>
        </w:rPr>
        <w:t xml:space="preserve"> </w:t>
      </w:r>
      <w:r>
        <w:t>that</w:t>
      </w:r>
      <w:r>
        <w:rPr>
          <w:spacing w:val="40"/>
        </w:rPr>
        <w:t xml:space="preserve"> </w:t>
      </w:r>
      <w:r>
        <w:t>are</w:t>
      </w:r>
      <w:r>
        <w:rPr>
          <w:spacing w:val="40"/>
        </w:rPr>
        <w:t xml:space="preserve"> </w:t>
      </w:r>
      <w:r>
        <w:t>formally</w:t>
      </w:r>
      <w:r>
        <w:rPr>
          <w:spacing w:val="40"/>
        </w:rPr>
        <w:t xml:space="preserve"> </w:t>
      </w:r>
      <w:r>
        <w:t>true,</w:t>
      </w:r>
      <w:r>
        <w:rPr>
          <w:spacing w:val="40"/>
        </w:rPr>
        <w:t xml:space="preserve"> </w:t>
      </w:r>
      <w:r>
        <w:t xml:space="preserve">the reason being that it’s </w:t>
      </w:r>
      <w:r>
        <w:rPr>
          <w:b/>
          <w:i/>
        </w:rPr>
        <w:t xml:space="preserve">sentence-tokens, </w:t>
      </w:r>
      <w:r>
        <w:t xml:space="preserve">not sentences </w:t>
      </w:r>
      <w:r>
        <w:rPr>
          <w:i/>
        </w:rPr>
        <w:t xml:space="preserve">per se </w:t>
      </w:r>
      <w:r>
        <w:t xml:space="preserve">(i.e., not </w:t>
      </w:r>
      <w:r>
        <w:rPr>
          <w:b/>
          <w:i/>
        </w:rPr>
        <w:t>sentence-types</w:t>
      </w:r>
      <w:r>
        <w:t>), that are either true</w:t>
      </w:r>
      <w:r>
        <w:rPr>
          <w:spacing w:val="15"/>
        </w:rPr>
        <w:t xml:space="preserve"> </w:t>
      </w:r>
      <w:r>
        <w:t>or</w:t>
      </w:r>
      <w:r>
        <w:rPr>
          <w:spacing w:val="15"/>
        </w:rPr>
        <w:t xml:space="preserve"> </w:t>
      </w:r>
      <w:r>
        <w:t>false</w:t>
      </w:r>
      <w:r>
        <w:rPr>
          <w:spacing w:val="15"/>
        </w:rPr>
        <w:t xml:space="preserve"> </w:t>
      </w:r>
      <w:r>
        <w:t>to</w:t>
      </w:r>
      <w:r>
        <w:rPr>
          <w:spacing w:val="15"/>
        </w:rPr>
        <w:t xml:space="preserve"> </w:t>
      </w:r>
      <w:r>
        <w:t>begin</w:t>
      </w:r>
      <w:r>
        <w:rPr>
          <w:spacing w:val="15"/>
        </w:rPr>
        <w:t xml:space="preserve"> </w:t>
      </w:r>
      <w:r>
        <w:t>with.</w:t>
      </w:r>
      <w:r>
        <w:rPr>
          <w:spacing w:val="15"/>
        </w:rPr>
        <w:t xml:space="preserve"> </w:t>
      </w:r>
      <w:r>
        <w:t>(In</w:t>
      </w:r>
      <w:r>
        <w:rPr>
          <w:spacing w:val="15"/>
        </w:rPr>
        <w:t xml:space="preserve"> </w:t>
      </w:r>
      <w:r>
        <w:t>what</w:t>
      </w:r>
      <w:r>
        <w:rPr>
          <w:spacing w:val="15"/>
        </w:rPr>
        <w:t xml:space="preserve"> </w:t>
      </w:r>
      <w:r>
        <w:t>remains</w:t>
      </w:r>
      <w:r>
        <w:rPr>
          <w:spacing w:val="15"/>
        </w:rPr>
        <w:t xml:space="preserve"> </w:t>
      </w:r>
      <w:r>
        <w:t>of</w:t>
      </w:r>
      <w:r>
        <w:rPr>
          <w:spacing w:val="15"/>
        </w:rPr>
        <w:t xml:space="preserve"> </w:t>
      </w:r>
      <w:r>
        <w:t>this</w:t>
      </w:r>
      <w:r>
        <w:rPr>
          <w:spacing w:val="15"/>
        </w:rPr>
        <w:t xml:space="preserve"> </w:t>
      </w:r>
      <w:r>
        <w:t>chapter,</w:t>
      </w:r>
      <w:r>
        <w:rPr>
          <w:spacing w:val="15"/>
        </w:rPr>
        <w:t xml:space="preserve"> </w:t>
      </w:r>
      <w:r>
        <w:t>including</w:t>
      </w:r>
      <w:r>
        <w:rPr>
          <w:spacing w:val="15"/>
        </w:rPr>
        <w:t xml:space="preserve"> </w:t>
      </w:r>
      <w:r>
        <w:t>this</w:t>
      </w:r>
      <w:r>
        <w:rPr>
          <w:spacing w:val="15"/>
        </w:rPr>
        <w:t xml:space="preserve"> </w:t>
      </w:r>
      <w:r>
        <w:t>footnote,</w:t>
      </w:r>
      <w:r>
        <w:rPr>
          <w:spacing w:val="15"/>
        </w:rPr>
        <w:t xml:space="preserve"> </w:t>
      </w:r>
      <w:r>
        <w:t>take</w:t>
      </w:r>
      <w:r>
        <w:rPr>
          <w:spacing w:val="15"/>
        </w:rPr>
        <w:t xml:space="preserve"> </w:t>
      </w:r>
      <w:r>
        <w:t>“sentence” to</w:t>
      </w:r>
      <w:r>
        <w:rPr>
          <w:spacing w:val="33"/>
        </w:rPr>
        <w:t xml:space="preserve"> </w:t>
      </w:r>
      <w:r>
        <w:t>mean</w:t>
      </w:r>
      <w:r>
        <w:rPr>
          <w:spacing w:val="33"/>
        </w:rPr>
        <w:t xml:space="preserve"> </w:t>
      </w:r>
      <w:r>
        <w:t>“sentence-type”</w:t>
      </w:r>
      <w:r>
        <w:rPr>
          <w:spacing w:val="33"/>
        </w:rPr>
        <w:t xml:space="preserve"> </w:t>
      </w:r>
      <w:r>
        <w:rPr>
          <w:i/>
        </w:rPr>
        <w:t xml:space="preserve">or </w:t>
      </w:r>
      <w:r>
        <w:t>“sentence-token,”</w:t>
      </w:r>
      <w:r>
        <w:rPr>
          <w:spacing w:val="40"/>
        </w:rPr>
        <w:t xml:space="preserve"> </w:t>
      </w:r>
      <w:r>
        <w:t>depending</w:t>
      </w:r>
      <w:r>
        <w:rPr>
          <w:spacing w:val="40"/>
        </w:rPr>
        <w:t xml:space="preserve"> </w:t>
      </w:r>
      <w:r>
        <w:t>on</w:t>
      </w:r>
      <w:r>
        <w:rPr>
          <w:spacing w:val="40"/>
        </w:rPr>
        <w:t xml:space="preserve"> </w:t>
      </w:r>
      <w:r>
        <w:t>how</w:t>
      </w:r>
      <w:r>
        <w:rPr>
          <w:spacing w:val="40"/>
        </w:rPr>
        <w:t xml:space="preserve"> </w:t>
      </w:r>
      <w:r>
        <w:t>the</w:t>
      </w:r>
      <w:r>
        <w:rPr>
          <w:spacing w:val="40"/>
        </w:rPr>
        <w:t xml:space="preserve"> </w:t>
      </w:r>
      <w:r>
        <w:t>context</w:t>
      </w:r>
      <w:r>
        <w:rPr>
          <w:spacing w:val="40"/>
        </w:rPr>
        <w:t xml:space="preserve"> </w:t>
      </w:r>
      <w:r>
        <w:t>in</w:t>
      </w:r>
      <w:r>
        <w:rPr>
          <w:spacing w:val="40"/>
        </w:rPr>
        <w:t xml:space="preserve"> </w:t>
      </w:r>
      <w:r>
        <w:t>question</w:t>
      </w:r>
      <w:r>
        <w:rPr>
          <w:spacing w:val="40"/>
        </w:rPr>
        <w:t xml:space="preserve"> </w:t>
      </w:r>
      <w:r>
        <w:t>suggests that</w:t>
      </w:r>
      <w:r>
        <w:rPr>
          <w:spacing w:val="40"/>
        </w:rPr>
        <w:t xml:space="preserve"> </w:t>
      </w:r>
      <w:r>
        <w:t>it</w:t>
      </w:r>
      <w:r>
        <w:rPr>
          <w:spacing w:val="40"/>
        </w:rPr>
        <w:t xml:space="preserve"> </w:t>
      </w:r>
      <w:r>
        <w:t>ought</w:t>
      </w:r>
      <w:r>
        <w:rPr>
          <w:spacing w:val="40"/>
        </w:rPr>
        <w:t xml:space="preserve"> </w:t>
      </w:r>
      <w:r>
        <w:t>to</w:t>
      </w:r>
      <w:r>
        <w:rPr>
          <w:spacing w:val="40"/>
        </w:rPr>
        <w:t xml:space="preserve"> </w:t>
      </w:r>
      <w:r>
        <w:t>be</w:t>
      </w:r>
      <w:r>
        <w:rPr>
          <w:spacing w:val="40"/>
        </w:rPr>
        <w:t xml:space="preserve"> </w:t>
      </w:r>
      <w:r>
        <w:t>disambiguated.)</w:t>
      </w:r>
      <w:r>
        <w:rPr>
          <w:spacing w:val="40"/>
        </w:rPr>
        <w:t xml:space="preserve"> </w:t>
      </w:r>
      <w:r>
        <w:t>I</w:t>
      </w:r>
      <w:r>
        <w:rPr>
          <w:spacing w:val="40"/>
        </w:rPr>
        <w:t xml:space="preserve"> </w:t>
      </w:r>
      <w:r>
        <w:t>also</w:t>
      </w:r>
      <w:r>
        <w:rPr>
          <w:spacing w:val="40"/>
        </w:rPr>
        <w:t xml:space="preserve"> </w:t>
      </w:r>
      <w:r>
        <w:t>believe</w:t>
      </w:r>
      <w:r>
        <w:rPr>
          <w:spacing w:val="40"/>
        </w:rPr>
        <w:t xml:space="preserve"> </w:t>
      </w:r>
      <w:r>
        <w:t>that,</w:t>
      </w:r>
      <w:r>
        <w:rPr>
          <w:spacing w:val="40"/>
        </w:rPr>
        <w:t xml:space="preserve"> </w:t>
      </w:r>
      <w:r>
        <w:t>although</w:t>
      </w:r>
      <w:r>
        <w:rPr>
          <w:spacing w:val="40"/>
        </w:rPr>
        <w:t xml:space="preserve"> </w:t>
      </w:r>
      <w:r>
        <w:t>formal</w:t>
      </w:r>
      <w:r>
        <w:rPr>
          <w:spacing w:val="40"/>
        </w:rPr>
        <w:t xml:space="preserve"> </w:t>
      </w:r>
      <w:r>
        <w:t>truth</w:t>
      </w:r>
      <w:r>
        <w:rPr>
          <w:spacing w:val="40"/>
        </w:rPr>
        <w:t xml:space="preserve"> </w:t>
      </w:r>
      <w:r>
        <w:t>is</w:t>
      </w:r>
      <w:r>
        <w:rPr>
          <w:spacing w:val="40"/>
        </w:rPr>
        <w:t xml:space="preserve"> </w:t>
      </w:r>
      <w:r>
        <w:t>a</w:t>
      </w:r>
      <w:r>
        <w:rPr>
          <w:spacing w:val="40"/>
        </w:rPr>
        <w:t xml:space="preserve"> </w:t>
      </w:r>
      <w:r>
        <w:t>property</w:t>
      </w:r>
      <w:r>
        <w:rPr>
          <w:spacing w:val="40"/>
        </w:rPr>
        <w:t xml:space="preserve"> </w:t>
      </w:r>
      <w:r>
        <w:t>of sentences, there is a non-sentential analogue of it; there is a property that propositions (sentence-meanings, as opposed to sentences) have that is similar to the property of being formally true.</w:t>
      </w:r>
    </w:p>
    <w:p w14:paraId="7E0030B3" w14:textId="77777777" w:rsidR="009A58DB" w:rsidRDefault="00000000">
      <w:pPr>
        <w:spacing w:line="428" w:lineRule="exact"/>
        <w:ind w:left="360"/>
      </w:pPr>
      <w:bookmarkStart w:id="808" w:name="_bookmark808"/>
      <w:bookmarkEnd w:id="808"/>
      <w:r>
        <w:rPr>
          <w:color w:val="0562C1"/>
          <w:position w:val="18"/>
          <w:u w:val="single" w:color="0562C1"/>
        </w:rPr>
        <w:t>[135]</w:t>
      </w:r>
      <w:r>
        <w:t>.</w:t>
      </w:r>
      <w:r>
        <w:rPr>
          <w:spacing w:val="6"/>
        </w:rPr>
        <w:t xml:space="preserve"> </w:t>
      </w:r>
      <w:r>
        <w:t>“TPT”</w:t>
      </w:r>
      <w:r>
        <w:rPr>
          <w:spacing w:val="7"/>
        </w:rPr>
        <w:t xml:space="preserve"> </w:t>
      </w:r>
      <w:r>
        <w:t>is</w:t>
      </w:r>
      <w:r>
        <w:rPr>
          <w:spacing w:val="7"/>
        </w:rPr>
        <w:t xml:space="preserve"> </w:t>
      </w:r>
      <w:r>
        <w:t>short</w:t>
      </w:r>
      <w:r>
        <w:rPr>
          <w:spacing w:val="7"/>
        </w:rPr>
        <w:t xml:space="preserve"> </w:t>
      </w:r>
      <w:r>
        <w:t>for</w:t>
      </w:r>
      <w:r>
        <w:rPr>
          <w:spacing w:val="7"/>
        </w:rPr>
        <w:t xml:space="preserve"> </w:t>
      </w:r>
      <w:r>
        <w:t>“two</w:t>
      </w:r>
      <w:r>
        <w:rPr>
          <w:spacing w:val="7"/>
        </w:rPr>
        <w:t xml:space="preserve"> </w:t>
      </w:r>
      <w:r>
        <w:t>plus</w:t>
      </w:r>
      <w:r>
        <w:rPr>
          <w:spacing w:val="7"/>
        </w:rPr>
        <w:t xml:space="preserve"> </w:t>
      </w:r>
      <w:r>
        <w:rPr>
          <w:spacing w:val="-2"/>
        </w:rPr>
        <w:t>two.”</w:t>
      </w:r>
    </w:p>
    <w:p w14:paraId="7E0030B4" w14:textId="77777777" w:rsidR="009A58DB" w:rsidRDefault="00000000">
      <w:pPr>
        <w:spacing w:before="14" w:line="256" w:lineRule="auto"/>
        <w:ind w:left="645" w:right="384" w:hanging="285"/>
        <w:jc w:val="both"/>
      </w:pPr>
      <w:bookmarkStart w:id="809" w:name="_bookmark809"/>
      <w:bookmarkEnd w:id="809"/>
      <w:r>
        <w:rPr>
          <w:color w:val="0562C1"/>
          <w:position w:val="18"/>
          <w:u w:val="single" w:color="0562C1"/>
        </w:rPr>
        <w:t>[136]</w:t>
      </w:r>
      <w:r>
        <w:t>.</w:t>
      </w:r>
      <w:r>
        <w:rPr>
          <w:spacing w:val="40"/>
        </w:rPr>
        <w:t xml:space="preserve"> </w:t>
      </w:r>
      <w:r>
        <w:t>I</w:t>
      </w:r>
      <w:r>
        <w:rPr>
          <w:spacing w:val="40"/>
        </w:rPr>
        <w:t xml:space="preserve"> </w:t>
      </w:r>
      <w:r>
        <w:t>repeat</w:t>
      </w:r>
      <w:r>
        <w:rPr>
          <w:spacing w:val="40"/>
        </w:rPr>
        <w:t xml:space="preserve"> </w:t>
      </w:r>
      <w:r>
        <w:t>my</w:t>
      </w:r>
      <w:r>
        <w:rPr>
          <w:spacing w:val="40"/>
        </w:rPr>
        <w:t xml:space="preserve"> </w:t>
      </w:r>
      <w:r>
        <w:t>previous</w:t>
      </w:r>
      <w:r>
        <w:rPr>
          <w:spacing w:val="40"/>
        </w:rPr>
        <w:t xml:space="preserve"> </w:t>
      </w:r>
      <w:r>
        <w:t>point</w:t>
      </w:r>
      <w:r>
        <w:rPr>
          <w:spacing w:val="40"/>
        </w:rPr>
        <w:t xml:space="preserve"> </w:t>
      </w:r>
      <w:r>
        <w:t>that,</w:t>
      </w:r>
      <w:r>
        <w:rPr>
          <w:spacing w:val="40"/>
        </w:rPr>
        <w:t xml:space="preserve"> </w:t>
      </w:r>
      <w:r>
        <w:t>in</w:t>
      </w:r>
      <w:r>
        <w:rPr>
          <w:spacing w:val="40"/>
        </w:rPr>
        <w:t xml:space="preserve"> </w:t>
      </w:r>
      <w:r>
        <w:t>this</w:t>
      </w:r>
      <w:r>
        <w:rPr>
          <w:spacing w:val="40"/>
        </w:rPr>
        <w:t xml:space="preserve"> </w:t>
      </w:r>
      <w:r>
        <w:t>context,</w:t>
      </w:r>
      <w:r>
        <w:rPr>
          <w:spacing w:val="40"/>
        </w:rPr>
        <w:t xml:space="preserve"> </w:t>
      </w:r>
      <w:r>
        <w:t>“sentence”</w:t>
      </w:r>
      <w:r>
        <w:rPr>
          <w:spacing w:val="40"/>
        </w:rPr>
        <w:t xml:space="preserve"> </w:t>
      </w:r>
      <w:r>
        <w:t>is</w:t>
      </w:r>
      <w:r>
        <w:rPr>
          <w:spacing w:val="40"/>
        </w:rPr>
        <w:t xml:space="preserve"> </w:t>
      </w:r>
      <w:r>
        <w:t>ambiguous</w:t>
      </w:r>
      <w:r>
        <w:rPr>
          <w:spacing w:val="40"/>
        </w:rPr>
        <w:t xml:space="preserve"> </w:t>
      </w:r>
      <w:r>
        <w:t>between</w:t>
      </w:r>
      <w:r>
        <w:rPr>
          <w:spacing w:val="40"/>
        </w:rPr>
        <w:t xml:space="preserve"> </w:t>
      </w:r>
      <w:r>
        <w:t>“sentence-type” or “sentence-token” and is to be disambiguated charitably.</w:t>
      </w:r>
    </w:p>
    <w:p w14:paraId="7E0030B5" w14:textId="77777777" w:rsidR="009A58DB" w:rsidRDefault="00000000">
      <w:pPr>
        <w:spacing w:before="59" w:line="256" w:lineRule="auto"/>
        <w:ind w:left="720" w:right="358" w:hanging="360"/>
        <w:jc w:val="both"/>
      </w:pPr>
      <w:bookmarkStart w:id="810" w:name="_bookmark810"/>
      <w:bookmarkEnd w:id="810"/>
      <w:r>
        <w:rPr>
          <w:color w:val="0562C1"/>
          <w:position w:val="21"/>
          <w:u w:val="single" w:color="0562C1"/>
        </w:rPr>
        <w:t>[137]</w:t>
      </w:r>
      <w:r>
        <w:rPr>
          <w:sz w:val="34"/>
        </w:rPr>
        <w:t xml:space="preserve">. </w:t>
      </w:r>
      <w:r>
        <w:t>He</w:t>
      </w:r>
      <w:r>
        <w:rPr>
          <w:spacing w:val="40"/>
        </w:rPr>
        <w:t xml:space="preserve"> </w:t>
      </w:r>
      <w:r>
        <w:t>did</w:t>
      </w:r>
      <w:r>
        <w:rPr>
          <w:spacing w:val="40"/>
        </w:rPr>
        <w:t xml:space="preserve"> </w:t>
      </w:r>
      <w:r>
        <w:t>this</w:t>
      </w:r>
      <w:r>
        <w:rPr>
          <w:spacing w:val="40"/>
        </w:rPr>
        <w:t xml:space="preserve"> </w:t>
      </w:r>
      <w:r>
        <w:t>in</w:t>
      </w:r>
      <w:r>
        <w:rPr>
          <w:spacing w:val="40"/>
        </w:rPr>
        <w:t xml:space="preserve"> </w:t>
      </w:r>
      <w:r>
        <w:t>his</w:t>
      </w:r>
      <w:r>
        <w:rPr>
          <w:spacing w:val="40"/>
        </w:rPr>
        <w:t xml:space="preserve"> </w:t>
      </w:r>
      <w:r>
        <w:t>now</w:t>
      </w:r>
      <w:r>
        <w:rPr>
          <w:spacing w:val="40"/>
        </w:rPr>
        <w:t xml:space="preserve"> </w:t>
      </w:r>
      <w:r>
        <w:t>famous</w:t>
      </w:r>
      <w:r>
        <w:rPr>
          <w:spacing w:val="40"/>
        </w:rPr>
        <w:t xml:space="preserve"> </w:t>
      </w:r>
      <w:r>
        <w:t>(1931)</w:t>
      </w:r>
      <w:r>
        <w:rPr>
          <w:spacing w:val="40"/>
        </w:rPr>
        <w:t xml:space="preserve"> </w:t>
      </w:r>
      <w:r>
        <w:t>paper</w:t>
      </w:r>
      <w:r>
        <w:rPr>
          <w:spacing w:val="40"/>
        </w:rPr>
        <w:t xml:space="preserve"> </w:t>
      </w:r>
      <w:r>
        <w:t>“On</w:t>
      </w:r>
      <w:r>
        <w:rPr>
          <w:spacing w:val="40"/>
        </w:rPr>
        <w:t xml:space="preserve"> </w:t>
      </w:r>
      <w:r>
        <w:t>Formally</w:t>
      </w:r>
      <w:r>
        <w:rPr>
          <w:spacing w:val="40"/>
        </w:rPr>
        <w:t xml:space="preserve"> </w:t>
      </w:r>
      <w:r>
        <w:t>Undecidable</w:t>
      </w:r>
      <w:r>
        <w:rPr>
          <w:spacing w:val="40"/>
        </w:rPr>
        <w:t xml:space="preserve"> </w:t>
      </w:r>
      <w:r>
        <w:t>Propositions</w:t>
      </w:r>
      <w:r>
        <w:rPr>
          <w:spacing w:val="40"/>
        </w:rPr>
        <w:t xml:space="preserve"> </w:t>
      </w:r>
      <w:r>
        <w:t xml:space="preserve">of </w:t>
      </w:r>
      <w:r>
        <w:rPr>
          <w:i/>
        </w:rPr>
        <w:t>Principia</w:t>
      </w:r>
      <w:r>
        <w:rPr>
          <w:i/>
          <w:spacing w:val="19"/>
        </w:rPr>
        <w:t xml:space="preserve"> </w:t>
      </w:r>
      <w:r>
        <w:rPr>
          <w:i/>
        </w:rPr>
        <w:t>Mathematica</w:t>
      </w:r>
      <w:r>
        <w:rPr>
          <w:i/>
          <w:spacing w:val="19"/>
        </w:rPr>
        <w:t xml:space="preserve"> </w:t>
      </w:r>
      <w:r>
        <w:t>and</w:t>
      </w:r>
      <w:r>
        <w:rPr>
          <w:spacing w:val="22"/>
        </w:rPr>
        <w:t xml:space="preserve"> </w:t>
      </w:r>
      <w:r>
        <w:t>Related</w:t>
      </w:r>
      <w:r>
        <w:rPr>
          <w:spacing w:val="22"/>
        </w:rPr>
        <w:t xml:space="preserve"> </w:t>
      </w:r>
      <w:r>
        <w:t>Systems,”</w:t>
      </w:r>
      <w:r>
        <w:rPr>
          <w:spacing w:val="22"/>
        </w:rPr>
        <w:t xml:space="preserve"> </w:t>
      </w:r>
      <w:r>
        <w:t>which</w:t>
      </w:r>
      <w:r>
        <w:rPr>
          <w:spacing w:val="22"/>
        </w:rPr>
        <w:t xml:space="preserve"> </w:t>
      </w:r>
      <w:r>
        <w:t>is</w:t>
      </w:r>
      <w:r>
        <w:rPr>
          <w:spacing w:val="22"/>
        </w:rPr>
        <w:t xml:space="preserve"> </w:t>
      </w:r>
      <w:r>
        <w:t>available</w:t>
      </w:r>
      <w:r>
        <w:rPr>
          <w:spacing w:val="22"/>
        </w:rPr>
        <w:t xml:space="preserve"> </w:t>
      </w:r>
      <w:r>
        <w:t>online.</w:t>
      </w:r>
      <w:r>
        <w:rPr>
          <w:spacing w:val="22"/>
        </w:rPr>
        <w:t xml:space="preserve"> </w:t>
      </w:r>
      <w:r>
        <w:t>But</w:t>
      </w:r>
      <w:r>
        <w:rPr>
          <w:spacing w:val="22"/>
        </w:rPr>
        <w:t xml:space="preserve"> </w:t>
      </w:r>
      <w:r>
        <w:t>I</w:t>
      </w:r>
      <w:r>
        <w:rPr>
          <w:spacing w:val="22"/>
        </w:rPr>
        <w:t xml:space="preserve"> </w:t>
      </w:r>
      <w:r>
        <w:t>recommend</w:t>
      </w:r>
      <w:r>
        <w:rPr>
          <w:spacing w:val="22"/>
        </w:rPr>
        <w:t xml:space="preserve"> </w:t>
      </w:r>
      <w:r>
        <w:t xml:space="preserve">reading a summary of it beforehand. In his book </w:t>
      </w:r>
      <w:r>
        <w:rPr>
          <w:i/>
        </w:rPr>
        <w:t xml:space="preserve">The Infinite, </w:t>
      </w:r>
      <w:r>
        <w:t>A.W. Moore clearly and concisely states the main ideas. The outline about to be presented of Gödel’s argument borrows heavily from one of the two outlines that Moore presents of it in that book. Gödel’s argument was, to some extent, modeled</w:t>
      </w:r>
      <w:r>
        <w:rPr>
          <w:spacing w:val="40"/>
        </w:rPr>
        <w:t xml:space="preserve"> </w:t>
      </w:r>
      <w:r>
        <w:t>on George Cantor’s brilliant proof that, although there are infinitely whole numbers and also</w:t>
      </w:r>
      <w:r>
        <w:rPr>
          <w:spacing w:val="40"/>
        </w:rPr>
        <w:t xml:space="preserve"> </w:t>
      </w:r>
      <w:r>
        <w:t xml:space="preserve">infinitely many real numbers, there are </w:t>
      </w:r>
      <w:r>
        <w:rPr>
          <w:i/>
        </w:rPr>
        <w:t xml:space="preserve">more </w:t>
      </w:r>
      <w:r>
        <w:t>real numbers than there are whole numbers. Moore makes it more clear than any other author I’ve read, including Gödel himself, how exactly Gödel’s proof is modeled on Cantor’s. And the outline about to be given owes much to Moore’s crisp and lucid discussion of it.</w:t>
      </w:r>
    </w:p>
    <w:p w14:paraId="7E0030B6" w14:textId="77777777" w:rsidR="009A58DB" w:rsidRDefault="00000000">
      <w:pPr>
        <w:spacing w:before="48" w:line="256" w:lineRule="auto"/>
        <w:ind w:left="720" w:right="360" w:firstLine="360"/>
        <w:jc w:val="both"/>
      </w:pPr>
      <w:r>
        <w:t>A point made by Richard Dedekind will help us outline Cantor’s striking insights into the</w:t>
      </w:r>
      <w:r>
        <w:rPr>
          <w:spacing w:val="80"/>
        </w:rPr>
        <w:t xml:space="preserve"> </w:t>
      </w:r>
      <w:r>
        <w:t>concept</w:t>
      </w:r>
      <w:r>
        <w:rPr>
          <w:spacing w:val="24"/>
        </w:rPr>
        <w:t xml:space="preserve"> </w:t>
      </w:r>
      <w:r>
        <w:t>of</w:t>
      </w:r>
      <w:r>
        <w:rPr>
          <w:spacing w:val="24"/>
        </w:rPr>
        <w:t xml:space="preserve"> </w:t>
      </w:r>
      <w:r>
        <w:t>an</w:t>
      </w:r>
      <w:r>
        <w:rPr>
          <w:spacing w:val="24"/>
        </w:rPr>
        <w:t xml:space="preserve"> </w:t>
      </w:r>
      <w:r>
        <w:t>infinitely</w:t>
      </w:r>
      <w:r>
        <w:rPr>
          <w:spacing w:val="24"/>
        </w:rPr>
        <w:t xml:space="preserve"> </w:t>
      </w:r>
      <w:r>
        <w:t>large</w:t>
      </w:r>
      <w:r>
        <w:rPr>
          <w:spacing w:val="24"/>
        </w:rPr>
        <w:t xml:space="preserve"> </w:t>
      </w:r>
      <w:r>
        <w:t>set.</w:t>
      </w:r>
      <w:r>
        <w:rPr>
          <w:spacing w:val="24"/>
        </w:rPr>
        <w:t xml:space="preserve"> </w:t>
      </w:r>
      <w:r>
        <w:t>S</w:t>
      </w:r>
      <w:r>
        <w:rPr>
          <w:spacing w:val="24"/>
        </w:rPr>
        <w:t xml:space="preserve"> </w:t>
      </w:r>
      <w:r>
        <w:t>is</w:t>
      </w:r>
      <w:r>
        <w:rPr>
          <w:spacing w:val="24"/>
        </w:rPr>
        <w:t xml:space="preserve"> </w:t>
      </w:r>
      <w:r>
        <w:t>an</w:t>
      </w:r>
      <w:r>
        <w:rPr>
          <w:spacing w:val="24"/>
        </w:rPr>
        <w:t xml:space="preserve"> </w:t>
      </w:r>
      <w:r>
        <w:t>infinitely</w:t>
      </w:r>
      <w:r>
        <w:rPr>
          <w:spacing w:val="24"/>
        </w:rPr>
        <w:t xml:space="preserve"> </w:t>
      </w:r>
      <w:r>
        <w:t>large</w:t>
      </w:r>
      <w:r>
        <w:rPr>
          <w:spacing w:val="24"/>
        </w:rPr>
        <w:t xml:space="preserve"> </w:t>
      </w:r>
      <w:r>
        <w:t>set</w:t>
      </w:r>
      <w:r>
        <w:rPr>
          <w:spacing w:val="24"/>
        </w:rPr>
        <w:t xml:space="preserve"> </w:t>
      </w:r>
      <w:r>
        <w:t>iff</w:t>
      </w:r>
      <w:r>
        <w:rPr>
          <w:spacing w:val="24"/>
        </w:rPr>
        <w:t xml:space="preserve"> </w:t>
      </w:r>
      <w:r>
        <w:t>it</w:t>
      </w:r>
      <w:r>
        <w:rPr>
          <w:spacing w:val="24"/>
        </w:rPr>
        <w:t xml:space="preserve"> </w:t>
      </w:r>
      <w:r>
        <w:t>can</w:t>
      </w:r>
      <w:r>
        <w:rPr>
          <w:spacing w:val="24"/>
        </w:rPr>
        <w:t xml:space="preserve"> </w:t>
      </w:r>
      <w:r>
        <w:t>be</w:t>
      </w:r>
      <w:r>
        <w:rPr>
          <w:spacing w:val="24"/>
        </w:rPr>
        <w:t xml:space="preserve"> </w:t>
      </w:r>
      <w:r>
        <w:t>put</w:t>
      </w:r>
      <w:r>
        <w:rPr>
          <w:spacing w:val="24"/>
        </w:rPr>
        <w:t xml:space="preserve"> </w:t>
      </w:r>
      <w:r>
        <w:t>into</w:t>
      </w:r>
      <w:r>
        <w:rPr>
          <w:spacing w:val="24"/>
        </w:rPr>
        <w:t xml:space="preserve"> </w:t>
      </w:r>
      <w:r>
        <w:t>a</w:t>
      </w:r>
      <w:r>
        <w:rPr>
          <w:spacing w:val="24"/>
        </w:rPr>
        <w:t xml:space="preserve"> </w:t>
      </w:r>
      <w:r>
        <w:t>one-one</w:t>
      </w:r>
      <w:r>
        <w:rPr>
          <w:spacing w:val="24"/>
        </w:rPr>
        <w:t xml:space="preserve"> </w:t>
      </w:r>
      <w:r>
        <w:t>(read: “one</w:t>
      </w:r>
      <w:r>
        <w:rPr>
          <w:spacing w:val="36"/>
        </w:rPr>
        <w:t xml:space="preserve"> </w:t>
      </w:r>
      <w:r>
        <w:t>to</w:t>
      </w:r>
      <w:r>
        <w:rPr>
          <w:spacing w:val="36"/>
        </w:rPr>
        <w:t xml:space="preserve"> </w:t>
      </w:r>
      <w:r>
        <w:t>one”)</w:t>
      </w:r>
      <w:r>
        <w:rPr>
          <w:spacing w:val="36"/>
        </w:rPr>
        <w:t xml:space="preserve"> </w:t>
      </w:r>
      <w:r>
        <w:t>correspondence</w:t>
      </w:r>
      <w:r>
        <w:rPr>
          <w:spacing w:val="36"/>
        </w:rPr>
        <w:t xml:space="preserve"> </w:t>
      </w:r>
      <w:r>
        <w:t>with</w:t>
      </w:r>
      <w:r>
        <w:rPr>
          <w:spacing w:val="36"/>
        </w:rPr>
        <w:t xml:space="preserve"> </w:t>
      </w:r>
      <w:r>
        <w:t>a</w:t>
      </w:r>
      <w:r>
        <w:rPr>
          <w:spacing w:val="36"/>
        </w:rPr>
        <w:t xml:space="preserve"> </w:t>
      </w:r>
      <w:r>
        <w:t>proper</w:t>
      </w:r>
      <w:r>
        <w:rPr>
          <w:spacing w:val="36"/>
        </w:rPr>
        <w:t xml:space="preserve"> </w:t>
      </w:r>
      <w:r>
        <w:t>subset</w:t>
      </w:r>
      <w:r>
        <w:rPr>
          <w:spacing w:val="36"/>
        </w:rPr>
        <w:t xml:space="preserve"> </w:t>
      </w:r>
      <w:r>
        <w:t>of</w:t>
      </w:r>
      <w:r>
        <w:rPr>
          <w:spacing w:val="36"/>
        </w:rPr>
        <w:t xml:space="preserve"> </w:t>
      </w:r>
      <w:r>
        <w:t>itself.</w:t>
      </w:r>
      <w:r>
        <w:rPr>
          <w:spacing w:val="36"/>
        </w:rPr>
        <w:t xml:space="preserve"> </w:t>
      </w:r>
      <w:r>
        <w:t>Consider</w:t>
      </w:r>
      <w:r>
        <w:rPr>
          <w:spacing w:val="36"/>
        </w:rPr>
        <w:t xml:space="preserve"> </w:t>
      </w:r>
      <w:r>
        <w:t>the</w:t>
      </w:r>
      <w:r>
        <w:rPr>
          <w:spacing w:val="36"/>
        </w:rPr>
        <w:t xml:space="preserve"> </w:t>
      </w:r>
      <w:r>
        <w:t>set</w:t>
      </w:r>
      <w:r>
        <w:rPr>
          <w:spacing w:val="36"/>
        </w:rPr>
        <w:t xml:space="preserve"> </w:t>
      </w:r>
      <w:r>
        <w:t>of</w:t>
      </w:r>
      <w:r>
        <w:rPr>
          <w:spacing w:val="36"/>
        </w:rPr>
        <w:t xml:space="preserve"> </w:t>
      </w:r>
      <w:r>
        <w:t>whole</w:t>
      </w:r>
      <w:r>
        <w:rPr>
          <w:spacing w:val="36"/>
        </w:rPr>
        <w:t xml:space="preserve"> </w:t>
      </w:r>
      <w:r>
        <w:t>numbers. The members of that set can be put into a one-one correspondence with the set of even numbers. (Assign 1 to 2, 2 to 4, etc.) Given that there are infinitely many even numbers, it follows that the set</w:t>
      </w:r>
      <w:r>
        <w:rPr>
          <w:spacing w:val="40"/>
        </w:rPr>
        <w:t xml:space="preserve"> </w:t>
      </w:r>
      <w:r>
        <w:t>of whole numbers is infinitely large.</w:t>
      </w:r>
    </w:p>
    <w:p w14:paraId="7E0030B7" w14:textId="77777777" w:rsidR="009A58DB" w:rsidRDefault="00000000">
      <w:pPr>
        <w:spacing w:before="25" w:line="256" w:lineRule="auto"/>
        <w:ind w:left="720" w:right="361" w:firstLine="360"/>
        <w:jc w:val="both"/>
      </w:pPr>
      <w:r>
        <w:t>Now for Cantor’s insights. The set of whole numbers is equinumerous with (has the same</w:t>
      </w:r>
      <w:r>
        <w:rPr>
          <w:spacing w:val="80"/>
        </w:rPr>
        <w:t xml:space="preserve"> </w:t>
      </w:r>
      <w:r>
        <w:t>number of members as) the set of rationals. Let L be the following list: 1/1, 1/2, 2/2, 1/3, 2/3, 3/3,</w:t>
      </w:r>
      <w:r>
        <w:rPr>
          <w:spacing w:val="80"/>
        </w:rPr>
        <w:t xml:space="preserve"> </w:t>
      </w:r>
      <w:r>
        <w:t>1/4, 2/4, 3/4, 4/4, etc. Given any rational number R, R will occur somewhere on L. It’s obvious that L’s members can put into a one-one correspondence with the members of the set of whole numbers. (Assign 1 to 1/1, 2 to 1/2, etc.) Therefore, counterintuitive though it may seem, there are exactly as many whole numbers as there are rationals.</w:t>
      </w:r>
    </w:p>
    <w:p w14:paraId="7E0030B8" w14:textId="77777777" w:rsidR="009A58DB" w:rsidRDefault="00000000">
      <w:pPr>
        <w:spacing w:before="41"/>
        <w:ind w:left="1080"/>
        <w:jc w:val="both"/>
      </w:pPr>
      <w:r>
        <w:t>But</w:t>
      </w:r>
      <w:r>
        <w:rPr>
          <w:spacing w:val="10"/>
        </w:rPr>
        <w:t xml:space="preserve"> </w:t>
      </w:r>
      <w:r>
        <w:t>there</w:t>
      </w:r>
      <w:r>
        <w:rPr>
          <w:spacing w:val="11"/>
        </w:rPr>
        <w:t xml:space="preserve"> </w:t>
      </w:r>
      <w:r>
        <w:t>are</w:t>
      </w:r>
      <w:r>
        <w:rPr>
          <w:spacing w:val="11"/>
        </w:rPr>
        <w:t xml:space="preserve"> </w:t>
      </w:r>
      <w:r>
        <w:t>more</w:t>
      </w:r>
      <w:r>
        <w:rPr>
          <w:spacing w:val="11"/>
        </w:rPr>
        <w:t xml:space="preserve"> </w:t>
      </w:r>
      <w:r>
        <w:t>real</w:t>
      </w:r>
      <w:r>
        <w:rPr>
          <w:spacing w:val="10"/>
        </w:rPr>
        <w:t xml:space="preserve"> </w:t>
      </w:r>
      <w:r>
        <w:t>numbers</w:t>
      </w:r>
      <w:r>
        <w:rPr>
          <w:spacing w:val="11"/>
        </w:rPr>
        <w:t xml:space="preserve"> </w:t>
      </w:r>
      <w:r>
        <w:t>than</w:t>
      </w:r>
      <w:r>
        <w:rPr>
          <w:spacing w:val="11"/>
        </w:rPr>
        <w:t xml:space="preserve"> </w:t>
      </w:r>
      <w:r>
        <w:t>there</w:t>
      </w:r>
      <w:r>
        <w:rPr>
          <w:spacing w:val="11"/>
        </w:rPr>
        <w:t xml:space="preserve"> </w:t>
      </w:r>
      <w:r>
        <w:t>are</w:t>
      </w:r>
      <w:r>
        <w:rPr>
          <w:spacing w:val="11"/>
        </w:rPr>
        <w:t xml:space="preserve"> </w:t>
      </w:r>
      <w:r>
        <w:t>whole</w:t>
      </w:r>
      <w:r>
        <w:rPr>
          <w:spacing w:val="10"/>
        </w:rPr>
        <w:t xml:space="preserve"> </w:t>
      </w:r>
      <w:r>
        <w:t>numbers.</w:t>
      </w:r>
      <w:r>
        <w:rPr>
          <w:spacing w:val="11"/>
        </w:rPr>
        <w:t xml:space="preserve"> </w:t>
      </w:r>
      <w:r>
        <w:t>One</w:t>
      </w:r>
      <w:r>
        <w:rPr>
          <w:spacing w:val="11"/>
        </w:rPr>
        <w:t xml:space="preserve"> </w:t>
      </w:r>
      <w:r>
        <w:t>set</w:t>
      </w:r>
      <w:r>
        <w:rPr>
          <w:spacing w:val="11"/>
        </w:rPr>
        <w:t xml:space="preserve"> </w:t>
      </w:r>
      <w:r>
        <w:t>S</w:t>
      </w:r>
      <w:r>
        <w:rPr>
          <w:spacing w:val="11"/>
        </w:rPr>
        <w:t xml:space="preserve"> </w:t>
      </w:r>
      <w:r>
        <w:t>is</w:t>
      </w:r>
      <w:r>
        <w:rPr>
          <w:spacing w:val="10"/>
        </w:rPr>
        <w:t xml:space="preserve"> </w:t>
      </w:r>
      <w:r>
        <w:t>larger</w:t>
      </w:r>
      <w:r>
        <w:rPr>
          <w:spacing w:val="11"/>
        </w:rPr>
        <w:t xml:space="preserve"> </w:t>
      </w:r>
      <w:r>
        <w:t>than</w:t>
      </w:r>
      <w:r>
        <w:rPr>
          <w:spacing w:val="11"/>
        </w:rPr>
        <w:t xml:space="preserve"> </w:t>
      </w:r>
      <w:r>
        <w:rPr>
          <w:spacing w:val="-2"/>
        </w:rPr>
        <w:t>another</w:t>
      </w:r>
    </w:p>
    <w:p w14:paraId="7E0030B9" w14:textId="77777777" w:rsidR="009A58DB" w:rsidRDefault="009A58DB">
      <w:pPr>
        <w:jc w:val="both"/>
        <w:sectPr w:rsidR="009A58DB">
          <w:pgSz w:w="12240" w:h="15840"/>
          <w:pgMar w:top="1360" w:right="1080" w:bottom="280" w:left="1080" w:header="720" w:footer="720" w:gutter="0"/>
          <w:cols w:space="720"/>
        </w:sectPr>
      </w:pPr>
    </w:p>
    <w:p w14:paraId="7E0030BA" w14:textId="77777777" w:rsidR="009A58DB" w:rsidRDefault="00000000">
      <w:pPr>
        <w:spacing w:before="68" w:line="256" w:lineRule="auto"/>
        <w:ind w:left="720" w:right="357"/>
        <w:jc w:val="both"/>
      </w:pPr>
      <w:r>
        <w:t>set S* iff, supposing that each member of S* is paired off with exactly one member of S, some member of S will remain unpaired with any member of S*. Bearing this in mind, suppose for argument’s</w:t>
      </w:r>
      <w:r>
        <w:rPr>
          <w:spacing w:val="40"/>
        </w:rPr>
        <w:t xml:space="preserve"> </w:t>
      </w:r>
      <w:r>
        <w:t>sake</w:t>
      </w:r>
      <w:r>
        <w:rPr>
          <w:spacing w:val="40"/>
        </w:rPr>
        <w:t xml:space="preserve"> </w:t>
      </w:r>
      <w:r>
        <w:t>that</w:t>
      </w:r>
      <w:r>
        <w:rPr>
          <w:spacing w:val="40"/>
        </w:rPr>
        <w:t xml:space="preserve"> </w:t>
      </w:r>
      <w:r>
        <w:t>LR</w:t>
      </w:r>
      <w:r>
        <w:rPr>
          <w:spacing w:val="40"/>
        </w:rPr>
        <w:t xml:space="preserve"> </w:t>
      </w:r>
      <w:r>
        <w:t>is</w:t>
      </w:r>
      <w:r>
        <w:rPr>
          <w:spacing w:val="40"/>
        </w:rPr>
        <w:t xml:space="preserve"> </w:t>
      </w:r>
      <w:r>
        <w:t>a</w:t>
      </w:r>
      <w:r>
        <w:rPr>
          <w:spacing w:val="40"/>
        </w:rPr>
        <w:t xml:space="preserve"> </w:t>
      </w:r>
      <w:r>
        <w:t>list</w:t>
      </w:r>
      <w:r>
        <w:rPr>
          <w:spacing w:val="40"/>
        </w:rPr>
        <w:t xml:space="preserve"> </w:t>
      </w:r>
      <w:r>
        <w:t>of</w:t>
      </w:r>
      <w:r>
        <w:rPr>
          <w:spacing w:val="40"/>
        </w:rPr>
        <w:t xml:space="preserve"> </w:t>
      </w:r>
      <w:r>
        <w:t>all</w:t>
      </w:r>
      <w:r>
        <w:rPr>
          <w:spacing w:val="40"/>
        </w:rPr>
        <w:t xml:space="preserve"> </w:t>
      </w:r>
      <w:r>
        <w:t>the</w:t>
      </w:r>
      <w:r>
        <w:rPr>
          <w:spacing w:val="40"/>
        </w:rPr>
        <w:t xml:space="preserve"> </w:t>
      </w:r>
      <w:r>
        <w:t>real</w:t>
      </w:r>
      <w:r>
        <w:rPr>
          <w:spacing w:val="40"/>
        </w:rPr>
        <w:t xml:space="preserve"> </w:t>
      </w:r>
      <w:r>
        <w:t>numbers.</w:t>
      </w:r>
      <w:r>
        <w:rPr>
          <w:spacing w:val="40"/>
        </w:rPr>
        <w:t xml:space="preserve"> </w:t>
      </w:r>
      <w:r>
        <w:t>Each</w:t>
      </w:r>
      <w:r>
        <w:rPr>
          <w:spacing w:val="40"/>
        </w:rPr>
        <w:t xml:space="preserve"> </w:t>
      </w:r>
      <w:r>
        <w:t>real</w:t>
      </w:r>
      <w:r>
        <w:rPr>
          <w:spacing w:val="40"/>
        </w:rPr>
        <w:t xml:space="preserve"> </w:t>
      </w:r>
      <w:r>
        <w:t>may</w:t>
      </w:r>
      <w:r>
        <w:rPr>
          <w:spacing w:val="40"/>
        </w:rPr>
        <w:t xml:space="preserve"> </w:t>
      </w:r>
      <w:r>
        <w:t>be</w:t>
      </w:r>
      <w:r>
        <w:rPr>
          <w:spacing w:val="40"/>
        </w:rPr>
        <w:t xml:space="preserve"> </w:t>
      </w:r>
      <w:r>
        <w:t>represented</w:t>
      </w:r>
      <w:r>
        <w:rPr>
          <w:spacing w:val="40"/>
        </w:rPr>
        <w:t xml:space="preserve"> </w:t>
      </w:r>
      <w:r>
        <w:t>as</w:t>
      </w:r>
      <w:r>
        <w:rPr>
          <w:spacing w:val="40"/>
        </w:rPr>
        <w:t xml:space="preserve"> </w:t>
      </w:r>
      <w:r>
        <w:t>an infinitely long series of decimals. (So the real number corresponding to the whole number 5 may be represented as “5.0000000 ‹repeating›.”) Let F be a function that is defined as follows. For each number n, if the nth digit on the nth item on LR is a “5,” F replaces the “5” with a “4,” and if that</w:t>
      </w:r>
      <w:r>
        <w:rPr>
          <w:spacing w:val="40"/>
        </w:rPr>
        <w:t xml:space="preserve"> </w:t>
      </w:r>
      <w:r>
        <w:t xml:space="preserve">item is </w:t>
      </w:r>
      <w:r>
        <w:rPr>
          <w:i/>
        </w:rPr>
        <w:t xml:space="preserve">not </w:t>
      </w:r>
      <w:r>
        <w:t>a “5”, F replaces it with a “5.” This procedure defines an infinitely long series of digits</w:t>
      </w:r>
      <w:r>
        <w:rPr>
          <w:spacing w:val="80"/>
        </w:rPr>
        <w:t xml:space="preserve"> </w:t>
      </w:r>
      <w:r>
        <w:t>and thus corresponds to some real number RN. But the first decimal of RN differs from the 1st digit composing</w:t>
      </w:r>
      <w:r>
        <w:rPr>
          <w:spacing w:val="40"/>
        </w:rPr>
        <w:t xml:space="preserve"> </w:t>
      </w:r>
      <w:r>
        <w:t>the</w:t>
      </w:r>
      <w:r>
        <w:rPr>
          <w:spacing w:val="40"/>
        </w:rPr>
        <w:t xml:space="preserve"> </w:t>
      </w:r>
      <w:r>
        <w:t>first</w:t>
      </w:r>
      <w:r>
        <w:rPr>
          <w:spacing w:val="40"/>
        </w:rPr>
        <w:t xml:space="preserve"> </w:t>
      </w:r>
      <w:r>
        <w:t>entry</w:t>
      </w:r>
      <w:r>
        <w:rPr>
          <w:spacing w:val="40"/>
        </w:rPr>
        <w:t xml:space="preserve"> </w:t>
      </w:r>
      <w:r>
        <w:t>on</w:t>
      </w:r>
      <w:r>
        <w:rPr>
          <w:spacing w:val="40"/>
        </w:rPr>
        <w:t xml:space="preserve"> </w:t>
      </w:r>
      <w:r>
        <w:t>LR,</w:t>
      </w:r>
      <w:r>
        <w:rPr>
          <w:spacing w:val="40"/>
        </w:rPr>
        <w:t xml:space="preserve"> </w:t>
      </w:r>
      <w:r>
        <w:t>and</w:t>
      </w:r>
      <w:r>
        <w:rPr>
          <w:spacing w:val="40"/>
        </w:rPr>
        <w:t xml:space="preserve"> </w:t>
      </w:r>
      <w:r>
        <w:t>the</w:t>
      </w:r>
      <w:r>
        <w:rPr>
          <w:spacing w:val="40"/>
        </w:rPr>
        <w:t xml:space="preserve"> </w:t>
      </w:r>
      <w:r>
        <w:t>second</w:t>
      </w:r>
      <w:r>
        <w:rPr>
          <w:spacing w:val="40"/>
        </w:rPr>
        <w:t xml:space="preserve"> </w:t>
      </w:r>
      <w:r>
        <w:t>decimal</w:t>
      </w:r>
      <w:r>
        <w:rPr>
          <w:spacing w:val="40"/>
        </w:rPr>
        <w:t xml:space="preserve"> </w:t>
      </w:r>
      <w:r>
        <w:t>of</w:t>
      </w:r>
      <w:r>
        <w:rPr>
          <w:spacing w:val="40"/>
        </w:rPr>
        <w:t xml:space="preserve"> </w:t>
      </w:r>
      <w:r>
        <w:t>RN</w:t>
      </w:r>
      <w:r>
        <w:rPr>
          <w:spacing w:val="40"/>
        </w:rPr>
        <w:t xml:space="preserve"> </w:t>
      </w:r>
      <w:r>
        <w:t>differs</w:t>
      </w:r>
      <w:r>
        <w:rPr>
          <w:spacing w:val="40"/>
        </w:rPr>
        <w:t xml:space="preserve"> </w:t>
      </w:r>
      <w:r>
        <w:t>from</w:t>
      </w:r>
      <w:r>
        <w:rPr>
          <w:spacing w:val="40"/>
        </w:rPr>
        <w:t xml:space="preserve"> </w:t>
      </w:r>
      <w:r>
        <w:t>the</w:t>
      </w:r>
      <w:r>
        <w:rPr>
          <w:spacing w:val="40"/>
        </w:rPr>
        <w:t xml:space="preserve"> </w:t>
      </w:r>
      <w:r>
        <w:t>2nd</w:t>
      </w:r>
      <w:r>
        <w:rPr>
          <w:spacing w:val="40"/>
        </w:rPr>
        <w:t xml:space="preserve"> </w:t>
      </w:r>
      <w:r>
        <w:t>digit composing</w:t>
      </w:r>
      <w:r>
        <w:rPr>
          <w:spacing w:val="14"/>
        </w:rPr>
        <w:t xml:space="preserve"> </w:t>
      </w:r>
      <w:r>
        <w:t>the</w:t>
      </w:r>
      <w:r>
        <w:rPr>
          <w:spacing w:val="15"/>
        </w:rPr>
        <w:t xml:space="preserve"> </w:t>
      </w:r>
      <w:r>
        <w:t>second</w:t>
      </w:r>
      <w:r>
        <w:rPr>
          <w:spacing w:val="15"/>
        </w:rPr>
        <w:t xml:space="preserve"> </w:t>
      </w:r>
      <w:r>
        <w:t>entry</w:t>
      </w:r>
      <w:r>
        <w:rPr>
          <w:spacing w:val="15"/>
        </w:rPr>
        <w:t xml:space="preserve"> </w:t>
      </w:r>
      <w:r>
        <w:t>on</w:t>
      </w:r>
      <w:r>
        <w:rPr>
          <w:spacing w:val="14"/>
        </w:rPr>
        <w:t xml:space="preserve"> </w:t>
      </w:r>
      <w:r>
        <w:t>LR,</w:t>
      </w:r>
      <w:r>
        <w:rPr>
          <w:spacing w:val="15"/>
        </w:rPr>
        <w:t xml:space="preserve"> </w:t>
      </w:r>
      <w:r>
        <w:t>and</w:t>
      </w:r>
      <w:r>
        <w:rPr>
          <w:spacing w:val="15"/>
        </w:rPr>
        <w:t xml:space="preserve"> </w:t>
      </w:r>
      <w:r>
        <w:t>so</w:t>
      </w:r>
      <w:r>
        <w:rPr>
          <w:spacing w:val="15"/>
        </w:rPr>
        <w:t xml:space="preserve"> </w:t>
      </w:r>
      <w:r>
        <w:t>on.</w:t>
      </w:r>
      <w:r>
        <w:rPr>
          <w:spacing w:val="15"/>
        </w:rPr>
        <w:t xml:space="preserve"> </w:t>
      </w:r>
      <w:r>
        <w:t>It</w:t>
      </w:r>
      <w:r>
        <w:rPr>
          <w:spacing w:val="14"/>
        </w:rPr>
        <w:t xml:space="preserve"> </w:t>
      </w:r>
      <w:r>
        <w:t>follows</w:t>
      </w:r>
      <w:r>
        <w:rPr>
          <w:spacing w:val="14"/>
        </w:rPr>
        <w:t xml:space="preserve"> </w:t>
      </w:r>
      <w:r>
        <w:t>that</w:t>
      </w:r>
      <w:r>
        <w:rPr>
          <w:spacing w:val="14"/>
        </w:rPr>
        <w:t xml:space="preserve"> </w:t>
      </w:r>
      <w:r>
        <w:t>there</w:t>
      </w:r>
      <w:r>
        <w:rPr>
          <w:spacing w:val="15"/>
        </w:rPr>
        <w:t xml:space="preserve"> </w:t>
      </w:r>
      <w:r>
        <w:t>is</w:t>
      </w:r>
      <w:r>
        <w:rPr>
          <w:spacing w:val="14"/>
        </w:rPr>
        <w:t xml:space="preserve"> </w:t>
      </w:r>
      <w:r>
        <w:t>no</w:t>
      </w:r>
      <w:r>
        <w:rPr>
          <w:spacing w:val="15"/>
        </w:rPr>
        <w:t xml:space="preserve"> </w:t>
      </w:r>
      <w:r>
        <w:t>entry</w:t>
      </w:r>
      <w:r>
        <w:rPr>
          <w:spacing w:val="14"/>
        </w:rPr>
        <w:t xml:space="preserve"> </w:t>
      </w:r>
      <w:r>
        <w:t>on</w:t>
      </w:r>
      <w:r>
        <w:rPr>
          <w:spacing w:val="15"/>
        </w:rPr>
        <w:t xml:space="preserve"> </w:t>
      </w:r>
      <w:r>
        <w:t>LR</w:t>
      </w:r>
      <w:r>
        <w:rPr>
          <w:spacing w:val="14"/>
        </w:rPr>
        <w:t xml:space="preserve"> </w:t>
      </w:r>
      <w:r>
        <w:t>such</w:t>
      </w:r>
      <w:r>
        <w:rPr>
          <w:spacing w:val="15"/>
        </w:rPr>
        <w:t xml:space="preserve"> </w:t>
      </w:r>
      <w:r>
        <w:t>that</w:t>
      </w:r>
      <w:r>
        <w:rPr>
          <w:spacing w:val="14"/>
        </w:rPr>
        <w:t xml:space="preserve"> </w:t>
      </w:r>
      <w:r>
        <w:t>RN is identical with that entry. If we add RN to LR, we can simply repeat the procedure just described, and</w:t>
      </w:r>
      <w:r>
        <w:rPr>
          <w:spacing w:val="20"/>
        </w:rPr>
        <w:t xml:space="preserve"> </w:t>
      </w:r>
      <w:r>
        <w:t>the</w:t>
      </w:r>
      <w:r>
        <w:rPr>
          <w:spacing w:val="20"/>
        </w:rPr>
        <w:t xml:space="preserve"> </w:t>
      </w:r>
      <w:r>
        <w:t>result</w:t>
      </w:r>
      <w:r>
        <w:rPr>
          <w:spacing w:val="20"/>
        </w:rPr>
        <w:t xml:space="preserve"> </w:t>
      </w:r>
      <w:r>
        <w:t>will</w:t>
      </w:r>
      <w:r>
        <w:rPr>
          <w:spacing w:val="20"/>
        </w:rPr>
        <w:t xml:space="preserve"> </w:t>
      </w:r>
      <w:r>
        <w:t>be</w:t>
      </w:r>
      <w:r>
        <w:rPr>
          <w:spacing w:val="20"/>
        </w:rPr>
        <w:t xml:space="preserve"> </w:t>
      </w:r>
      <w:r>
        <w:rPr>
          <w:i/>
        </w:rPr>
        <w:t xml:space="preserve">another </w:t>
      </w:r>
      <w:r>
        <w:t>real</w:t>
      </w:r>
      <w:r>
        <w:rPr>
          <w:spacing w:val="23"/>
        </w:rPr>
        <w:t xml:space="preserve"> </w:t>
      </w:r>
      <w:r>
        <w:t>that</w:t>
      </w:r>
      <w:r>
        <w:rPr>
          <w:spacing w:val="23"/>
        </w:rPr>
        <w:t xml:space="preserve"> </w:t>
      </w:r>
      <w:r>
        <w:t>isn’t</w:t>
      </w:r>
      <w:r>
        <w:rPr>
          <w:spacing w:val="23"/>
        </w:rPr>
        <w:t xml:space="preserve"> </w:t>
      </w:r>
      <w:r>
        <w:t>on</w:t>
      </w:r>
      <w:r>
        <w:rPr>
          <w:spacing w:val="23"/>
        </w:rPr>
        <w:t xml:space="preserve"> </w:t>
      </w:r>
      <w:r>
        <w:t>the</w:t>
      </w:r>
      <w:r>
        <w:rPr>
          <w:spacing w:val="23"/>
        </w:rPr>
        <w:t xml:space="preserve"> </w:t>
      </w:r>
      <w:r>
        <w:t>list.</w:t>
      </w:r>
      <w:r>
        <w:rPr>
          <w:spacing w:val="23"/>
        </w:rPr>
        <w:t xml:space="preserve"> </w:t>
      </w:r>
      <w:r>
        <w:t>Thus,</w:t>
      </w:r>
      <w:r>
        <w:rPr>
          <w:spacing w:val="23"/>
        </w:rPr>
        <w:t xml:space="preserve"> </w:t>
      </w:r>
      <w:r>
        <w:t>any</w:t>
      </w:r>
      <w:r>
        <w:rPr>
          <w:spacing w:val="23"/>
        </w:rPr>
        <w:t xml:space="preserve"> </w:t>
      </w:r>
      <w:r>
        <w:t>attempt</w:t>
      </w:r>
      <w:r>
        <w:rPr>
          <w:spacing w:val="23"/>
        </w:rPr>
        <w:t xml:space="preserve"> </w:t>
      </w:r>
      <w:r>
        <w:t>to</w:t>
      </w:r>
      <w:r>
        <w:rPr>
          <w:spacing w:val="23"/>
        </w:rPr>
        <w:t xml:space="preserve"> </w:t>
      </w:r>
      <w:r>
        <w:t>“enumerate”</w:t>
      </w:r>
      <w:r>
        <w:rPr>
          <w:spacing w:val="23"/>
        </w:rPr>
        <w:t xml:space="preserve"> </w:t>
      </w:r>
      <w:r>
        <w:t>(make</w:t>
      </w:r>
      <w:r>
        <w:rPr>
          <w:spacing w:val="23"/>
        </w:rPr>
        <w:t xml:space="preserve"> </w:t>
      </w:r>
      <w:r>
        <w:t xml:space="preserve">a list of) the reals falls short: there is always some real that can’t be tagged. Alternatively, the supposition that a given list LR is the list of all the reals entails that there is some number RN that </w:t>
      </w:r>
      <w:r>
        <w:rPr>
          <w:i/>
        </w:rPr>
        <w:t>isn’t</w:t>
      </w:r>
      <w:r>
        <w:rPr>
          <w:i/>
          <w:spacing w:val="40"/>
        </w:rPr>
        <w:t xml:space="preserve"> </w:t>
      </w:r>
      <w:r>
        <w:t>on</w:t>
      </w:r>
      <w:r>
        <w:rPr>
          <w:spacing w:val="40"/>
        </w:rPr>
        <w:t xml:space="preserve"> </w:t>
      </w:r>
      <w:r>
        <w:t>that</w:t>
      </w:r>
      <w:r>
        <w:rPr>
          <w:spacing w:val="40"/>
        </w:rPr>
        <w:t xml:space="preserve"> </w:t>
      </w:r>
      <w:r>
        <w:t>list;</w:t>
      </w:r>
      <w:r>
        <w:rPr>
          <w:spacing w:val="40"/>
        </w:rPr>
        <w:t xml:space="preserve"> </w:t>
      </w:r>
      <w:r>
        <w:t>and,</w:t>
      </w:r>
      <w:r>
        <w:rPr>
          <w:spacing w:val="40"/>
        </w:rPr>
        <w:t xml:space="preserve"> </w:t>
      </w:r>
      <w:r>
        <w:t>consequently,</w:t>
      </w:r>
      <w:r>
        <w:rPr>
          <w:spacing w:val="40"/>
        </w:rPr>
        <w:t xml:space="preserve"> </w:t>
      </w:r>
      <w:r>
        <w:t>that</w:t>
      </w:r>
      <w:r>
        <w:rPr>
          <w:spacing w:val="40"/>
        </w:rPr>
        <w:t xml:space="preserve"> </w:t>
      </w:r>
      <w:r>
        <w:t>supposition</w:t>
      </w:r>
      <w:r>
        <w:rPr>
          <w:spacing w:val="40"/>
        </w:rPr>
        <w:t xml:space="preserve"> </w:t>
      </w:r>
      <w:r>
        <w:t>is</w:t>
      </w:r>
      <w:r>
        <w:rPr>
          <w:spacing w:val="40"/>
        </w:rPr>
        <w:t xml:space="preserve"> </w:t>
      </w:r>
      <w:r>
        <w:t>incoherent.</w:t>
      </w:r>
      <w:r>
        <w:rPr>
          <w:spacing w:val="40"/>
        </w:rPr>
        <w:t xml:space="preserve"> </w:t>
      </w:r>
      <w:r>
        <w:t>So</w:t>
      </w:r>
      <w:r>
        <w:rPr>
          <w:spacing w:val="40"/>
        </w:rPr>
        <w:t xml:space="preserve"> </w:t>
      </w:r>
      <w:r>
        <w:t>there</w:t>
      </w:r>
      <w:r>
        <w:rPr>
          <w:spacing w:val="40"/>
        </w:rPr>
        <w:t xml:space="preserve"> </w:t>
      </w:r>
      <w:r>
        <w:t>are</w:t>
      </w:r>
      <w:r>
        <w:rPr>
          <w:spacing w:val="40"/>
        </w:rPr>
        <w:t xml:space="preserve"> </w:t>
      </w:r>
      <w:r>
        <w:t>more</w:t>
      </w:r>
      <w:r>
        <w:rPr>
          <w:spacing w:val="40"/>
        </w:rPr>
        <w:t xml:space="preserve"> </w:t>
      </w:r>
      <w:r>
        <w:t>reals</w:t>
      </w:r>
      <w:r>
        <w:rPr>
          <w:spacing w:val="40"/>
        </w:rPr>
        <w:t xml:space="preserve"> </w:t>
      </w:r>
      <w:r>
        <w:t>than there</w:t>
      </w:r>
      <w:r>
        <w:rPr>
          <w:spacing w:val="40"/>
        </w:rPr>
        <w:t xml:space="preserve"> </w:t>
      </w:r>
      <w:r>
        <w:t>are</w:t>
      </w:r>
      <w:r>
        <w:rPr>
          <w:spacing w:val="40"/>
        </w:rPr>
        <w:t xml:space="preserve"> </w:t>
      </w:r>
      <w:r>
        <w:t>whole</w:t>
      </w:r>
      <w:r>
        <w:rPr>
          <w:spacing w:val="40"/>
        </w:rPr>
        <w:t xml:space="preserve"> </w:t>
      </w:r>
      <w:r>
        <w:t>numbers.</w:t>
      </w:r>
      <w:r>
        <w:rPr>
          <w:spacing w:val="40"/>
        </w:rPr>
        <w:t xml:space="preserve"> </w:t>
      </w:r>
      <w:r>
        <w:t>Since,</w:t>
      </w:r>
      <w:r>
        <w:rPr>
          <w:spacing w:val="40"/>
        </w:rPr>
        <w:t xml:space="preserve"> </w:t>
      </w:r>
      <w:r>
        <w:t>as</w:t>
      </w:r>
      <w:r>
        <w:rPr>
          <w:spacing w:val="40"/>
        </w:rPr>
        <w:t xml:space="preserve"> </w:t>
      </w:r>
      <w:r>
        <w:t>we</w:t>
      </w:r>
      <w:r>
        <w:rPr>
          <w:spacing w:val="40"/>
        </w:rPr>
        <w:t xml:space="preserve"> </w:t>
      </w:r>
      <w:r>
        <w:t>saw,</w:t>
      </w:r>
      <w:r>
        <w:rPr>
          <w:spacing w:val="40"/>
        </w:rPr>
        <w:t xml:space="preserve"> </w:t>
      </w:r>
      <w:r>
        <w:t>there</w:t>
      </w:r>
      <w:r>
        <w:rPr>
          <w:spacing w:val="40"/>
        </w:rPr>
        <w:t xml:space="preserve"> </w:t>
      </w:r>
      <w:r>
        <w:t>are</w:t>
      </w:r>
      <w:r>
        <w:rPr>
          <w:spacing w:val="40"/>
        </w:rPr>
        <w:t xml:space="preserve"> </w:t>
      </w:r>
      <w:r>
        <w:t>as</w:t>
      </w:r>
      <w:r>
        <w:rPr>
          <w:spacing w:val="40"/>
        </w:rPr>
        <w:t xml:space="preserve"> </w:t>
      </w:r>
      <w:r>
        <w:t>many</w:t>
      </w:r>
      <w:r>
        <w:rPr>
          <w:spacing w:val="40"/>
        </w:rPr>
        <w:t xml:space="preserve"> </w:t>
      </w:r>
      <w:r>
        <w:t>wholes</w:t>
      </w:r>
      <w:r>
        <w:rPr>
          <w:spacing w:val="40"/>
        </w:rPr>
        <w:t xml:space="preserve"> </w:t>
      </w:r>
      <w:r>
        <w:t>as</w:t>
      </w:r>
      <w:r>
        <w:rPr>
          <w:spacing w:val="40"/>
        </w:rPr>
        <w:t xml:space="preserve"> </w:t>
      </w:r>
      <w:r>
        <w:t>there</w:t>
      </w:r>
      <w:r>
        <w:rPr>
          <w:spacing w:val="40"/>
        </w:rPr>
        <w:t xml:space="preserve"> </w:t>
      </w:r>
      <w:r>
        <w:t>are</w:t>
      </w:r>
      <w:r>
        <w:rPr>
          <w:spacing w:val="40"/>
        </w:rPr>
        <w:t xml:space="preserve"> </w:t>
      </w:r>
      <w:r>
        <w:t>rationals,</w:t>
      </w:r>
      <w:r>
        <w:rPr>
          <w:spacing w:val="40"/>
        </w:rPr>
        <w:t xml:space="preserve"> </w:t>
      </w:r>
      <w:r>
        <w:t>it follows that there are more reals than there are rationals.</w:t>
      </w:r>
    </w:p>
    <w:p w14:paraId="7E0030BB" w14:textId="77777777" w:rsidR="009A58DB" w:rsidRDefault="00000000">
      <w:pPr>
        <w:spacing w:before="30" w:line="256" w:lineRule="auto"/>
        <w:ind w:left="645" w:right="373" w:hanging="285"/>
        <w:jc w:val="both"/>
      </w:pPr>
      <w:bookmarkStart w:id="811" w:name="_bookmark811"/>
      <w:bookmarkEnd w:id="811"/>
      <w:r>
        <w:rPr>
          <w:color w:val="0562C1"/>
          <w:position w:val="18"/>
          <w:u w:val="single" w:color="0562C1"/>
        </w:rPr>
        <w:t>[138]</w:t>
      </w:r>
      <w:r>
        <w:t>. George Berkeley foreshadowed the use of this technique when he said that for x and y to be instances of some property P is for x to resemble y in some respect. See Chapter 2. For a clear discussion of the concept of definition by abstraction, see Reichenbach (1947, p. 248).</w:t>
      </w:r>
    </w:p>
    <w:p w14:paraId="7E0030BC" w14:textId="77777777" w:rsidR="009A58DB" w:rsidRDefault="00000000">
      <w:pPr>
        <w:spacing w:line="431" w:lineRule="exact"/>
        <w:ind w:left="360"/>
      </w:pPr>
      <w:bookmarkStart w:id="812" w:name="_bookmark812"/>
      <w:bookmarkEnd w:id="812"/>
      <w:r>
        <w:rPr>
          <w:color w:val="0562C1"/>
          <w:position w:val="18"/>
          <w:u w:val="single" w:color="0562C1"/>
        </w:rPr>
        <w:t>[139]</w:t>
      </w:r>
      <w:r>
        <w:t>.</w:t>
      </w:r>
      <w:r>
        <w:rPr>
          <w:spacing w:val="8"/>
        </w:rPr>
        <w:t xml:space="preserve"> </w:t>
      </w:r>
      <w:r>
        <w:t>See</w:t>
      </w:r>
      <w:r>
        <w:rPr>
          <w:spacing w:val="8"/>
        </w:rPr>
        <w:t xml:space="preserve"> </w:t>
      </w:r>
      <w:r>
        <w:t>Section</w:t>
      </w:r>
      <w:r>
        <w:rPr>
          <w:spacing w:val="8"/>
        </w:rPr>
        <w:t xml:space="preserve"> </w:t>
      </w:r>
      <w:r>
        <w:rPr>
          <w:spacing w:val="-4"/>
        </w:rPr>
        <w:t>2.3.</w:t>
      </w:r>
    </w:p>
    <w:p w14:paraId="7E0030BD" w14:textId="77777777" w:rsidR="009A58DB" w:rsidRDefault="00000000">
      <w:pPr>
        <w:spacing w:before="17"/>
        <w:ind w:left="360"/>
      </w:pPr>
      <w:bookmarkStart w:id="813" w:name="_bookmark813"/>
      <w:bookmarkEnd w:id="813"/>
      <w:r>
        <w:rPr>
          <w:color w:val="0562C1"/>
          <w:position w:val="18"/>
          <w:u w:val="single" w:color="0562C1"/>
        </w:rPr>
        <w:t>[140]</w:t>
      </w:r>
      <w:r>
        <w:t>.</w:t>
      </w:r>
      <w:r>
        <w:rPr>
          <w:spacing w:val="7"/>
        </w:rPr>
        <w:t xml:space="preserve"> </w:t>
      </w:r>
      <w:r>
        <w:t>See</w:t>
      </w:r>
      <w:r>
        <w:rPr>
          <w:spacing w:val="8"/>
        </w:rPr>
        <w:t xml:space="preserve"> </w:t>
      </w:r>
      <w:r>
        <w:t>Russell</w:t>
      </w:r>
      <w:r>
        <w:rPr>
          <w:spacing w:val="8"/>
        </w:rPr>
        <w:t xml:space="preserve"> </w:t>
      </w:r>
      <w:r>
        <w:rPr>
          <w:spacing w:val="-2"/>
        </w:rPr>
        <w:t>(1948).</w:t>
      </w:r>
    </w:p>
    <w:p w14:paraId="7E0030BE" w14:textId="77777777" w:rsidR="009A58DB" w:rsidRDefault="00000000">
      <w:pPr>
        <w:spacing w:before="17" w:line="256" w:lineRule="auto"/>
        <w:ind w:left="690" w:right="368" w:hanging="330"/>
        <w:jc w:val="both"/>
      </w:pPr>
      <w:bookmarkStart w:id="814" w:name="_bookmark814"/>
      <w:bookmarkEnd w:id="814"/>
      <w:r>
        <w:rPr>
          <w:color w:val="0562C1"/>
          <w:position w:val="18"/>
          <w:u w:val="single" w:color="0562C1"/>
        </w:rPr>
        <w:t>[141]</w:t>
      </w:r>
      <w:r>
        <w:t xml:space="preserve">. Many of these qualifications relate to a stunning discovery made by Alonzo Church (1901–1995) and, working independently of Church, Alan Turing. Church and Turing showed that there is no decision procedure for </w:t>
      </w:r>
      <w:r>
        <w:rPr>
          <w:b/>
          <w:i/>
        </w:rPr>
        <w:t xml:space="preserve">first order logic. </w:t>
      </w:r>
      <w:r>
        <w:t>(See Quine (1995) for an excellent discussion.) First order logic</w:t>
      </w:r>
      <w:r>
        <w:rPr>
          <w:spacing w:val="36"/>
        </w:rPr>
        <w:t xml:space="preserve"> </w:t>
      </w:r>
      <w:r>
        <w:t>is</w:t>
      </w:r>
      <w:r>
        <w:rPr>
          <w:spacing w:val="36"/>
        </w:rPr>
        <w:t xml:space="preserve"> </w:t>
      </w:r>
      <w:r>
        <w:t>the</w:t>
      </w:r>
      <w:r>
        <w:rPr>
          <w:spacing w:val="36"/>
        </w:rPr>
        <w:t xml:space="preserve"> </w:t>
      </w:r>
      <w:r>
        <w:t>branch</w:t>
      </w:r>
      <w:r>
        <w:rPr>
          <w:spacing w:val="36"/>
        </w:rPr>
        <w:t xml:space="preserve"> </w:t>
      </w:r>
      <w:r>
        <w:t>of</w:t>
      </w:r>
      <w:r>
        <w:rPr>
          <w:spacing w:val="36"/>
        </w:rPr>
        <w:t xml:space="preserve"> </w:t>
      </w:r>
      <w:r>
        <w:t>logic</w:t>
      </w:r>
      <w:r>
        <w:rPr>
          <w:spacing w:val="36"/>
        </w:rPr>
        <w:t xml:space="preserve"> </w:t>
      </w:r>
      <w:r>
        <w:t>that</w:t>
      </w:r>
      <w:r>
        <w:rPr>
          <w:spacing w:val="36"/>
        </w:rPr>
        <w:t xml:space="preserve"> </w:t>
      </w:r>
      <w:r>
        <w:t>studies</w:t>
      </w:r>
      <w:r>
        <w:rPr>
          <w:spacing w:val="36"/>
        </w:rPr>
        <w:t xml:space="preserve"> </w:t>
      </w:r>
      <w:r>
        <w:t>those</w:t>
      </w:r>
      <w:r>
        <w:rPr>
          <w:spacing w:val="36"/>
        </w:rPr>
        <w:t xml:space="preserve"> </w:t>
      </w:r>
      <w:r>
        <w:t>dependence-relations</w:t>
      </w:r>
      <w:r>
        <w:rPr>
          <w:spacing w:val="36"/>
        </w:rPr>
        <w:t xml:space="preserve"> </w:t>
      </w:r>
      <w:r>
        <w:t>holding</w:t>
      </w:r>
      <w:r>
        <w:rPr>
          <w:spacing w:val="36"/>
        </w:rPr>
        <w:t xml:space="preserve"> </w:t>
      </w:r>
      <w:r>
        <w:t>among</w:t>
      </w:r>
      <w:r>
        <w:rPr>
          <w:spacing w:val="36"/>
        </w:rPr>
        <w:t xml:space="preserve"> </w:t>
      </w:r>
      <w:r>
        <w:t>sentences</w:t>
      </w:r>
      <w:r>
        <w:rPr>
          <w:spacing w:val="36"/>
        </w:rPr>
        <w:t xml:space="preserve"> </w:t>
      </w:r>
      <w:r>
        <w:t>that can be understood in terms of the concepts expressed by the following expressions: “or,” “and,”</w:t>
      </w:r>
      <w:r>
        <w:rPr>
          <w:spacing w:val="40"/>
        </w:rPr>
        <w:t xml:space="preserve"> </w:t>
      </w:r>
      <w:r>
        <w:t>“not,” “for some,” and “for all.”</w:t>
      </w:r>
    </w:p>
    <w:p w14:paraId="7E0030BF" w14:textId="77777777" w:rsidR="009A58DB" w:rsidRDefault="00000000">
      <w:pPr>
        <w:spacing w:line="256" w:lineRule="auto"/>
        <w:ind w:left="645" w:right="387" w:hanging="285"/>
        <w:jc w:val="both"/>
      </w:pPr>
      <w:bookmarkStart w:id="815" w:name="_bookmark815"/>
      <w:bookmarkEnd w:id="815"/>
      <w:r>
        <w:rPr>
          <w:color w:val="0562C1"/>
          <w:position w:val="18"/>
          <w:u w:val="single" w:color="0562C1"/>
        </w:rPr>
        <w:t>[142]</w:t>
      </w:r>
      <w:r>
        <w:t>. Including Jerry Fodor (1975, 1987) and Zenon Pylyshin (1984). I regard this view as deeply misguided. See Kuczynski (2002, 2004, 2005, 2006, 2006b, and 2007).</w:t>
      </w:r>
    </w:p>
    <w:p w14:paraId="7E0030C0" w14:textId="77777777" w:rsidR="009A58DB" w:rsidRDefault="00000000">
      <w:pPr>
        <w:spacing w:line="256" w:lineRule="auto"/>
        <w:ind w:left="360" w:right="5135"/>
      </w:pPr>
      <w:bookmarkStart w:id="816" w:name="_bookmark816"/>
      <w:bookmarkEnd w:id="816"/>
      <w:r>
        <w:rPr>
          <w:color w:val="0562C1"/>
          <w:position w:val="18"/>
          <w:u w:val="single" w:color="0562C1"/>
        </w:rPr>
        <w:t>[143]</w:t>
      </w:r>
      <w:r>
        <w:t xml:space="preserve">. But not sufficient. See Kuczynski (2006b). </w:t>
      </w:r>
      <w:bookmarkStart w:id="817" w:name="_bookmark817"/>
      <w:bookmarkEnd w:id="817"/>
      <w:r>
        <w:rPr>
          <w:color w:val="0562C1"/>
          <w:position w:val="18"/>
          <w:u w:val="single" w:color="0562C1"/>
        </w:rPr>
        <w:t>[144]</w:t>
      </w:r>
      <w:r>
        <w:t>. See Gödel (1953).</w:t>
      </w:r>
    </w:p>
    <w:p w14:paraId="7E0030C1" w14:textId="77777777" w:rsidR="009A58DB" w:rsidRDefault="00000000">
      <w:pPr>
        <w:pStyle w:val="BodyText"/>
        <w:spacing w:before="98" w:line="249" w:lineRule="auto"/>
        <w:ind w:left="585" w:right="373" w:hanging="225"/>
      </w:pPr>
      <w:bookmarkStart w:id="818" w:name="_bookmark818"/>
      <w:bookmarkEnd w:id="818"/>
      <w:r>
        <w:rPr>
          <w:color w:val="0562C1"/>
          <w:u w:val="single" w:color="0562C1"/>
          <w:vertAlign w:val="superscript"/>
        </w:rPr>
        <w:t>[145]</w:t>
      </w:r>
      <w:r>
        <w:rPr>
          <w:sz w:val="22"/>
        </w:rPr>
        <w:t>.</w:t>
      </w:r>
      <w:r>
        <w:rPr>
          <w:spacing w:val="19"/>
          <w:sz w:val="22"/>
        </w:rPr>
        <w:t xml:space="preserve"> </w:t>
      </w:r>
      <w:r>
        <w:t>It</w:t>
      </w:r>
      <w:r>
        <w:rPr>
          <w:spacing w:val="17"/>
        </w:rPr>
        <w:t xml:space="preserve"> </w:t>
      </w:r>
      <w:r>
        <w:t>should</w:t>
      </w:r>
      <w:r>
        <w:rPr>
          <w:spacing w:val="18"/>
        </w:rPr>
        <w:t xml:space="preserve"> </w:t>
      </w:r>
      <w:r>
        <w:t>be</w:t>
      </w:r>
      <w:r>
        <w:rPr>
          <w:spacing w:val="17"/>
        </w:rPr>
        <w:t xml:space="preserve"> </w:t>
      </w:r>
      <w:r>
        <w:t>pointed</w:t>
      </w:r>
      <w:r>
        <w:rPr>
          <w:spacing w:val="18"/>
        </w:rPr>
        <w:t xml:space="preserve"> </w:t>
      </w:r>
      <w:r>
        <w:t>out</w:t>
      </w:r>
      <w:r>
        <w:rPr>
          <w:spacing w:val="17"/>
        </w:rPr>
        <w:t xml:space="preserve"> </w:t>
      </w:r>
      <w:r>
        <w:t>that</w:t>
      </w:r>
      <w:r>
        <w:rPr>
          <w:spacing w:val="17"/>
        </w:rPr>
        <w:t xml:space="preserve"> </w:t>
      </w:r>
      <w:r>
        <w:t>relations</w:t>
      </w:r>
      <w:r>
        <w:rPr>
          <w:spacing w:val="17"/>
        </w:rPr>
        <w:t xml:space="preserve"> </w:t>
      </w:r>
      <w:r>
        <w:t>can</w:t>
      </w:r>
      <w:r>
        <w:rPr>
          <w:spacing w:val="18"/>
        </w:rPr>
        <w:t xml:space="preserve"> </w:t>
      </w:r>
      <w:r>
        <w:t>be</w:t>
      </w:r>
      <w:r>
        <w:rPr>
          <w:spacing w:val="17"/>
        </w:rPr>
        <w:t xml:space="preserve"> </w:t>
      </w:r>
      <w:r>
        <w:t>thought</w:t>
      </w:r>
      <w:r>
        <w:rPr>
          <w:spacing w:val="17"/>
        </w:rPr>
        <w:t xml:space="preserve"> </w:t>
      </w:r>
      <w:r>
        <w:t>of</w:t>
      </w:r>
      <w:r>
        <w:rPr>
          <w:spacing w:val="17"/>
        </w:rPr>
        <w:t xml:space="preserve"> </w:t>
      </w:r>
      <w:r>
        <w:t>as</w:t>
      </w:r>
      <w:r>
        <w:rPr>
          <w:spacing w:val="17"/>
        </w:rPr>
        <w:t xml:space="preserve"> </w:t>
      </w:r>
      <w:r>
        <w:t xml:space="preserve">properties—as properties of ordered-pairs (or, more generally, n-tuples) of objects. The relation of the being taller than can be thought of as a property had by the ordered pair &lt;x, y&gt; exactly if x is taller than y. The relation of being in between can be thought of as a property had by the ordered triple &lt;x, y, z&gt; exactly if x is in between y and z. And so on. Instances of relations </w:t>
      </w:r>
      <w:r>
        <w:rPr>
          <w:i/>
        </w:rPr>
        <w:t xml:space="preserve">are </w:t>
      </w:r>
      <w:r>
        <w:t>instances of properties. There is therefore nothing to seeing that an instance of</w:t>
      </w:r>
      <w:r>
        <w:rPr>
          <w:spacing w:val="8"/>
        </w:rPr>
        <w:t xml:space="preserve"> </w:t>
      </w:r>
      <w:r>
        <w:t>one</w:t>
      </w:r>
      <w:r>
        <w:rPr>
          <w:spacing w:val="9"/>
        </w:rPr>
        <w:t xml:space="preserve"> </w:t>
      </w:r>
      <w:r>
        <w:t>property</w:t>
      </w:r>
      <w:r>
        <w:rPr>
          <w:spacing w:val="9"/>
        </w:rPr>
        <w:t xml:space="preserve"> </w:t>
      </w:r>
      <w:r>
        <w:t>(e.g.,</w:t>
      </w:r>
      <w:r>
        <w:rPr>
          <w:spacing w:val="8"/>
        </w:rPr>
        <w:t xml:space="preserve"> </w:t>
      </w:r>
      <w:r>
        <w:t>that</w:t>
      </w:r>
      <w:r>
        <w:rPr>
          <w:spacing w:val="9"/>
        </w:rPr>
        <w:t xml:space="preserve"> </w:t>
      </w:r>
      <w:r>
        <w:t>of</w:t>
      </w:r>
      <w:r>
        <w:rPr>
          <w:spacing w:val="9"/>
        </w:rPr>
        <w:t xml:space="preserve"> </w:t>
      </w:r>
      <w:r>
        <w:t>being</w:t>
      </w:r>
      <w:r>
        <w:rPr>
          <w:spacing w:val="8"/>
        </w:rPr>
        <w:t xml:space="preserve"> </w:t>
      </w:r>
      <w:r>
        <w:t>green)</w:t>
      </w:r>
      <w:r>
        <w:rPr>
          <w:spacing w:val="9"/>
        </w:rPr>
        <w:t xml:space="preserve"> </w:t>
      </w:r>
      <w:r>
        <w:t>bears</w:t>
      </w:r>
      <w:r>
        <w:rPr>
          <w:spacing w:val="9"/>
        </w:rPr>
        <w:t xml:space="preserve"> </w:t>
      </w:r>
      <w:r>
        <w:t>a</w:t>
      </w:r>
      <w:r>
        <w:rPr>
          <w:spacing w:val="8"/>
        </w:rPr>
        <w:t xml:space="preserve"> </w:t>
      </w:r>
      <w:r>
        <w:t>certain</w:t>
      </w:r>
      <w:r>
        <w:rPr>
          <w:spacing w:val="9"/>
        </w:rPr>
        <w:t xml:space="preserve"> </w:t>
      </w:r>
      <w:r>
        <w:t>relation</w:t>
      </w:r>
      <w:r>
        <w:rPr>
          <w:spacing w:val="9"/>
        </w:rPr>
        <w:t xml:space="preserve"> </w:t>
      </w:r>
      <w:r>
        <w:t>(e.g.,</w:t>
      </w:r>
      <w:r>
        <w:rPr>
          <w:spacing w:val="9"/>
        </w:rPr>
        <w:t xml:space="preserve"> </w:t>
      </w:r>
      <w:r>
        <w:rPr>
          <w:spacing w:val="-4"/>
        </w:rPr>
        <w:t>that</w:t>
      </w:r>
    </w:p>
    <w:p w14:paraId="7E0030C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0C3" w14:textId="77777777" w:rsidR="009A58DB" w:rsidRDefault="00000000">
      <w:pPr>
        <w:pStyle w:val="BodyText"/>
        <w:spacing w:before="71" w:line="249" w:lineRule="auto"/>
        <w:ind w:left="585" w:right="378"/>
      </w:pPr>
      <w:r>
        <w:t xml:space="preserve">of being on top of) to an instance of some other property (e.g., that of being orange) other than your seeing there to an instance of some third property. It follows that your seeing Pat is identical with your seeing various property-instances and is therefore identical with your being visually given an existence-claim (to the effect that the corresponding properties are </w:t>
      </w:r>
      <w:r>
        <w:rPr>
          <w:spacing w:val="-2"/>
        </w:rPr>
        <w:t>instantiated).</w:t>
      </w:r>
    </w:p>
    <w:p w14:paraId="7E0030C4" w14:textId="77777777" w:rsidR="009A58DB" w:rsidRDefault="00000000">
      <w:pPr>
        <w:spacing w:before="13" w:line="466" w:lineRule="exact"/>
        <w:ind w:left="360" w:right="5627"/>
        <w:rPr>
          <w:sz w:val="30"/>
        </w:rPr>
      </w:pPr>
      <w:bookmarkStart w:id="819" w:name="_bookmark819"/>
      <w:bookmarkEnd w:id="819"/>
      <w:r>
        <w:rPr>
          <w:color w:val="0562C1"/>
          <w:sz w:val="30"/>
          <w:u w:val="single" w:color="0562C1"/>
          <w:vertAlign w:val="superscript"/>
        </w:rPr>
        <w:t>[146]</w:t>
      </w:r>
      <w:r>
        <w:t xml:space="preserve">. </w:t>
      </w:r>
      <w:r>
        <w:rPr>
          <w:sz w:val="30"/>
        </w:rPr>
        <w:t xml:space="preserve">“F1” is short for “Fred 1.” </w:t>
      </w:r>
      <w:bookmarkStart w:id="820" w:name="_bookmark820"/>
      <w:bookmarkEnd w:id="820"/>
      <w:r>
        <w:rPr>
          <w:color w:val="0562C1"/>
          <w:sz w:val="30"/>
          <w:u w:val="single" w:color="0562C1"/>
          <w:vertAlign w:val="superscript"/>
        </w:rPr>
        <w:t>[147]</w:t>
      </w:r>
      <w:r>
        <w:t xml:space="preserve">. </w:t>
      </w:r>
      <w:r>
        <w:rPr>
          <w:sz w:val="30"/>
        </w:rPr>
        <w:t xml:space="preserve">See Mill: </w:t>
      </w:r>
      <w:r>
        <w:rPr>
          <w:i/>
          <w:sz w:val="30"/>
        </w:rPr>
        <w:t xml:space="preserve">A System of Logic. </w:t>
      </w:r>
      <w:bookmarkStart w:id="821" w:name="_bookmark821"/>
      <w:bookmarkEnd w:id="821"/>
      <w:r>
        <w:rPr>
          <w:color w:val="0562C1"/>
          <w:sz w:val="30"/>
          <w:u w:val="single" w:color="0562C1"/>
          <w:vertAlign w:val="superscript"/>
        </w:rPr>
        <w:t>[148]</w:t>
      </w:r>
      <w:r>
        <w:t xml:space="preserve">. </w:t>
      </w:r>
      <w:r>
        <w:rPr>
          <w:sz w:val="30"/>
        </w:rPr>
        <w:t>“BT” is short for “bolo tie.”</w:t>
      </w:r>
    </w:p>
    <w:p w14:paraId="7E0030C5" w14:textId="77777777" w:rsidR="009A58DB" w:rsidRDefault="00000000">
      <w:pPr>
        <w:pStyle w:val="BodyText"/>
        <w:spacing w:before="90" w:line="249" w:lineRule="auto"/>
        <w:ind w:left="585" w:hanging="225"/>
        <w:jc w:val="left"/>
      </w:pPr>
      <w:bookmarkStart w:id="822" w:name="_bookmark822"/>
      <w:bookmarkEnd w:id="822"/>
      <w:r>
        <w:rPr>
          <w:color w:val="0562C1"/>
          <w:u w:val="single" w:color="0562C1"/>
          <w:vertAlign w:val="superscript"/>
        </w:rPr>
        <w:t>[149]</w:t>
      </w:r>
      <w:r>
        <w:rPr>
          <w:sz w:val="22"/>
        </w:rPr>
        <w:t>.</w:t>
      </w:r>
      <w:r>
        <w:rPr>
          <w:spacing w:val="80"/>
          <w:sz w:val="22"/>
        </w:rPr>
        <w:t xml:space="preserve"> </w:t>
      </w:r>
      <w:r>
        <w:t>Kripke</w:t>
      </w:r>
      <w:r>
        <w:rPr>
          <w:spacing w:val="80"/>
        </w:rPr>
        <w:t xml:space="preserve"> </w:t>
      </w:r>
      <w:r>
        <w:t>(1980)</w:t>
      </w:r>
      <w:r>
        <w:rPr>
          <w:spacing w:val="80"/>
        </w:rPr>
        <w:t xml:space="preserve"> </w:t>
      </w:r>
      <w:r>
        <w:t>deserves</w:t>
      </w:r>
      <w:r>
        <w:rPr>
          <w:spacing w:val="80"/>
        </w:rPr>
        <w:t xml:space="preserve"> </w:t>
      </w:r>
      <w:r>
        <w:t>credit</w:t>
      </w:r>
      <w:r>
        <w:rPr>
          <w:spacing w:val="80"/>
        </w:rPr>
        <w:t xml:space="preserve"> </w:t>
      </w:r>
      <w:r>
        <w:t>for</w:t>
      </w:r>
      <w:r>
        <w:rPr>
          <w:spacing w:val="80"/>
        </w:rPr>
        <w:t xml:space="preserve"> </w:t>
      </w:r>
      <w:r>
        <w:t>introducing</w:t>
      </w:r>
      <w:r>
        <w:rPr>
          <w:spacing w:val="80"/>
        </w:rPr>
        <w:t xml:space="preserve"> </w:t>
      </w:r>
      <w:r>
        <w:t>this</w:t>
      </w:r>
      <w:r>
        <w:rPr>
          <w:spacing w:val="80"/>
        </w:rPr>
        <w:t xml:space="preserve"> </w:t>
      </w:r>
      <w:r>
        <w:t>vitally</w:t>
      </w:r>
      <w:r>
        <w:rPr>
          <w:spacing w:val="80"/>
        </w:rPr>
        <w:t xml:space="preserve"> </w:t>
      </w:r>
      <w:r>
        <w:t>important distinction to philosophy.</w:t>
      </w:r>
    </w:p>
    <w:p w14:paraId="7E0030C6" w14:textId="77777777" w:rsidR="009A58DB" w:rsidRDefault="00000000">
      <w:pPr>
        <w:pStyle w:val="BodyText"/>
        <w:spacing w:before="107"/>
        <w:jc w:val="left"/>
      </w:pPr>
      <w:bookmarkStart w:id="823" w:name="_bookmark823"/>
      <w:bookmarkEnd w:id="823"/>
      <w:r>
        <w:rPr>
          <w:color w:val="0562C1"/>
          <w:w w:val="105"/>
          <w:u w:val="single" w:color="0562C1"/>
          <w:vertAlign w:val="superscript"/>
        </w:rPr>
        <w:t>[150]</w:t>
      </w:r>
      <w:r>
        <w:rPr>
          <w:w w:val="105"/>
          <w:sz w:val="22"/>
        </w:rPr>
        <w:t>.</w:t>
      </w:r>
      <w:r>
        <w:rPr>
          <w:spacing w:val="9"/>
          <w:w w:val="105"/>
          <w:sz w:val="22"/>
        </w:rPr>
        <w:t xml:space="preserve"> </w:t>
      </w:r>
      <w:r>
        <w:rPr>
          <w:w w:val="105"/>
        </w:rPr>
        <w:t>Frege</w:t>
      </w:r>
      <w:r>
        <w:rPr>
          <w:spacing w:val="9"/>
          <w:w w:val="105"/>
        </w:rPr>
        <w:t xml:space="preserve"> </w:t>
      </w:r>
      <w:r>
        <w:rPr>
          <w:spacing w:val="-2"/>
          <w:w w:val="105"/>
        </w:rPr>
        <w:t>(1892).</w:t>
      </w:r>
    </w:p>
    <w:p w14:paraId="7E0030C7" w14:textId="77777777" w:rsidR="009A58DB" w:rsidRDefault="00000000">
      <w:pPr>
        <w:pStyle w:val="BodyText"/>
        <w:spacing w:before="120"/>
        <w:jc w:val="left"/>
      </w:pPr>
      <w:bookmarkStart w:id="824" w:name="_bookmark824"/>
      <w:bookmarkEnd w:id="824"/>
      <w:r>
        <w:rPr>
          <w:color w:val="0562C1"/>
          <w:spacing w:val="-2"/>
          <w:w w:val="105"/>
          <w:u w:val="single" w:color="0562C1"/>
          <w:vertAlign w:val="superscript"/>
        </w:rPr>
        <w:t>[151]</w:t>
      </w:r>
      <w:r>
        <w:rPr>
          <w:spacing w:val="-2"/>
          <w:w w:val="105"/>
          <w:sz w:val="22"/>
        </w:rPr>
        <w:t>.</w:t>
      </w:r>
      <w:r>
        <w:rPr>
          <w:spacing w:val="-5"/>
          <w:w w:val="105"/>
          <w:sz w:val="22"/>
        </w:rPr>
        <w:t xml:space="preserve"> </w:t>
      </w:r>
      <w:r>
        <w:rPr>
          <w:spacing w:val="-2"/>
          <w:w w:val="105"/>
        </w:rPr>
        <w:t>Russell</w:t>
      </w:r>
      <w:r>
        <w:rPr>
          <w:spacing w:val="-8"/>
          <w:w w:val="105"/>
        </w:rPr>
        <w:t xml:space="preserve"> </w:t>
      </w:r>
      <w:r>
        <w:rPr>
          <w:spacing w:val="-2"/>
          <w:w w:val="105"/>
        </w:rPr>
        <w:t>(1905,</w:t>
      </w:r>
      <w:r>
        <w:rPr>
          <w:spacing w:val="-7"/>
          <w:w w:val="105"/>
        </w:rPr>
        <w:t xml:space="preserve"> </w:t>
      </w:r>
      <w:r>
        <w:rPr>
          <w:spacing w:val="-2"/>
          <w:w w:val="105"/>
        </w:rPr>
        <w:t>1917,</w:t>
      </w:r>
      <w:r>
        <w:rPr>
          <w:spacing w:val="-7"/>
          <w:w w:val="105"/>
        </w:rPr>
        <w:t xml:space="preserve"> </w:t>
      </w:r>
      <w:r>
        <w:rPr>
          <w:spacing w:val="-2"/>
          <w:w w:val="105"/>
        </w:rPr>
        <w:t>1948).</w:t>
      </w:r>
    </w:p>
    <w:p w14:paraId="7E0030C8" w14:textId="77777777" w:rsidR="009A58DB" w:rsidRDefault="00000000">
      <w:pPr>
        <w:pStyle w:val="BodyText"/>
        <w:spacing w:before="121" w:line="249" w:lineRule="auto"/>
        <w:ind w:right="364"/>
        <w:jc w:val="left"/>
      </w:pPr>
      <w:bookmarkStart w:id="825" w:name="_bookmark825"/>
      <w:bookmarkEnd w:id="825"/>
      <w:r>
        <w:rPr>
          <w:color w:val="0562C1"/>
          <w:u w:val="single" w:color="0562C1"/>
          <w:vertAlign w:val="superscript"/>
        </w:rPr>
        <w:t>[152]</w:t>
      </w:r>
      <w:r>
        <w:rPr>
          <w:sz w:val="22"/>
        </w:rPr>
        <w:t>.</w:t>
      </w:r>
      <w:r>
        <w:rPr>
          <w:spacing w:val="80"/>
          <w:sz w:val="22"/>
        </w:rPr>
        <w:t xml:space="preserve"> </w:t>
      </w:r>
      <w:r>
        <w:t>See</w:t>
      </w:r>
      <w:r>
        <w:rPr>
          <w:spacing w:val="80"/>
        </w:rPr>
        <w:t xml:space="preserve"> </w:t>
      </w:r>
      <w:r>
        <w:t>Kripke</w:t>
      </w:r>
      <w:r>
        <w:rPr>
          <w:spacing w:val="80"/>
        </w:rPr>
        <w:t xml:space="preserve"> </w:t>
      </w:r>
      <w:r>
        <w:t>(1980).</w:t>
      </w:r>
      <w:r>
        <w:rPr>
          <w:spacing w:val="80"/>
        </w:rPr>
        <w:t xml:space="preserve"> </w:t>
      </w:r>
      <w:r>
        <w:t>Kripke</w:t>
      </w:r>
      <w:r>
        <w:rPr>
          <w:spacing w:val="80"/>
        </w:rPr>
        <w:t xml:space="preserve"> </w:t>
      </w:r>
      <w:r>
        <w:t>was</w:t>
      </w:r>
      <w:r>
        <w:rPr>
          <w:spacing w:val="80"/>
        </w:rPr>
        <w:t xml:space="preserve"> </w:t>
      </w:r>
      <w:r>
        <w:t>the</w:t>
      </w:r>
      <w:r>
        <w:rPr>
          <w:spacing w:val="80"/>
        </w:rPr>
        <w:t xml:space="preserve"> </w:t>
      </w:r>
      <w:r>
        <w:t>first</w:t>
      </w:r>
      <w:r>
        <w:rPr>
          <w:spacing w:val="80"/>
        </w:rPr>
        <w:t xml:space="preserve"> </w:t>
      </w:r>
      <w:r>
        <w:t>to</w:t>
      </w:r>
      <w:r>
        <w:rPr>
          <w:spacing w:val="80"/>
        </w:rPr>
        <w:t xml:space="preserve"> </w:t>
      </w:r>
      <w:r>
        <w:t>make</w:t>
      </w:r>
      <w:r>
        <w:rPr>
          <w:spacing w:val="80"/>
        </w:rPr>
        <w:t xml:space="preserve"> </w:t>
      </w:r>
      <w:r>
        <w:t>many</w:t>
      </w:r>
      <w:r>
        <w:rPr>
          <w:spacing w:val="80"/>
        </w:rPr>
        <w:t xml:space="preserve"> </w:t>
      </w:r>
      <w:r>
        <w:t>of</w:t>
      </w:r>
      <w:r>
        <w:rPr>
          <w:spacing w:val="80"/>
        </w:rPr>
        <w:t xml:space="preserve"> </w:t>
      </w:r>
      <w:r>
        <w:t>these</w:t>
      </w:r>
      <w:r>
        <w:rPr>
          <w:spacing w:val="80"/>
          <w:w w:val="150"/>
        </w:rPr>
        <w:t xml:space="preserve"> </w:t>
      </w:r>
      <w:r>
        <w:t>important points.</w:t>
      </w:r>
    </w:p>
    <w:p w14:paraId="7E0030C9" w14:textId="77777777" w:rsidR="009A58DB" w:rsidRDefault="00000000">
      <w:pPr>
        <w:pStyle w:val="BodyText"/>
        <w:spacing w:before="107"/>
        <w:jc w:val="left"/>
      </w:pPr>
      <w:bookmarkStart w:id="826" w:name="_bookmark826"/>
      <w:bookmarkEnd w:id="826"/>
      <w:r>
        <w:rPr>
          <w:color w:val="0562C1"/>
          <w:w w:val="105"/>
          <w:u w:val="single" w:color="0562C1"/>
          <w:vertAlign w:val="superscript"/>
        </w:rPr>
        <w:t>[153]</w:t>
      </w:r>
      <w:r>
        <w:rPr>
          <w:w w:val="105"/>
          <w:sz w:val="22"/>
        </w:rPr>
        <w:t>.</w:t>
      </w:r>
      <w:r>
        <w:rPr>
          <w:spacing w:val="3"/>
          <w:w w:val="105"/>
          <w:sz w:val="22"/>
        </w:rPr>
        <w:t xml:space="preserve"> </w:t>
      </w:r>
      <w:r>
        <w:rPr>
          <w:w w:val="105"/>
        </w:rPr>
        <w:t>Salmon</w:t>
      </w:r>
      <w:r>
        <w:rPr>
          <w:spacing w:val="3"/>
          <w:w w:val="105"/>
        </w:rPr>
        <w:t xml:space="preserve"> </w:t>
      </w:r>
      <w:r>
        <w:rPr>
          <w:spacing w:val="-2"/>
          <w:w w:val="105"/>
        </w:rPr>
        <w:t>(2007).</w:t>
      </w:r>
    </w:p>
    <w:p w14:paraId="7E0030CA" w14:textId="77777777" w:rsidR="009A58DB" w:rsidRDefault="00000000">
      <w:pPr>
        <w:pStyle w:val="BodyText"/>
        <w:spacing w:before="120" w:line="249" w:lineRule="auto"/>
        <w:ind w:left="645" w:right="377" w:hanging="285"/>
      </w:pPr>
      <w:bookmarkStart w:id="827" w:name="_bookmark827"/>
      <w:bookmarkEnd w:id="827"/>
      <w:r>
        <w:rPr>
          <w:color w:val="0562C1"/>
          <w:u w:val="single" w:color="0562C1"/>
          <w:vertAlign w:val="superscript"/>
        </w:rPr>
        <w:t>[154]</w:t>
      </w:r>
      <w:r>
        <w:rPr>
          <w:sz w:val="22"/>
        </w:rPr>
        <w:t xml:space="preserve">. </w:t>
      </w:r>
      <w:r>
        <w:t>The argument just outlined is thoroughly discussed in Chapter 8. Actually, “Socrates” describes Socrates even less than your social security number describes you. That number encodes information about when you were borne (etc.), whereas “Socrates” doesn’t even do that.</w:t>
      </w:r>
    </w:p>
    <w:p w14:paraId="7E0030CB" w14:textId="77777777" w:rsidR="009A58DB" w:rsidRDefault="00000000">
      <w:pPr>
        <w:pStyle w:val="BodyText"/>
        <w:spacing w:before="110" w:line="249" w:lineRule="auto"/>
        <w:ind w:left="645" w:right="375" w:hanging="285"/>
      </w:pPr>
      <w:bookmarkStart w:id="828" w:name="_bookmark828"/>
      <w:bookmarkEnd w:id="828"/>
      <w:r>
        <w:rPr>
          <w:color w:val="0562C1"/>
          <w:u w:val="single" w:color="0562C1"/>
          <w:vertAlign w:val="superscript"/>
        </w:rPr>
        <w:t>[155]</w:t>
      </w:r>
      <w:r>
        <w:rPr>
          <w:sz w:val="22"/>
        </w:rPr>
        <w:t xml:space="preserve">. </w:t>
      </w:r>
      <w:r>
        <w:t xml:space="preserve">We’re setting aside the irrelevant fact that there probably is somebody </w:t>
      </w:r>
      <w:r>
        <w:rPr>
          <w:i/>
        </w:rPr>
        <w:t xml:space="preserve">other </w:t>
      </w:r>
      <w:r>
        <w:t>than the great statesman in questing who is named “Winston Churchill.” The problem we are dealing with has to do with the fact that, when it’s taken to refer to the wartime British prime minister, “Winston Churchill” does not, at this point in time, have an existing referent.</w:t>
      </w:r>
    </w:p>
    <w:p w14:paraId="7E0030CC" w14:textId="77777777" w:rsidR="009A58DB" w:rsidRDefault="00000000">
      <w:pPr>
        <w:pStyle w:val="BodyText"/>
        <w:spacing w:before="111" w:line="249" w:lineRule="auto"/>
        <w:ind w:left="645" w:right="373" w:hanging="285"/>
      </w:pPr>
      <w:bookmarkStart w:id="829" w:name="_bookmark829"/>
      <w:bookmarkEnd w:id="829"/>
      <w:r>
        <w:rPr>
          <w:color w:val="0562C1"/>
          <w:u w:val="single" w:color="0562C1"/>
          <w:vertAlign w:val="superscript"/>
        </w:rPr>
        <w:t>[156]</w:t>
      </w:r>
      <w:r>
        <w:rPr>
          <w:sz w:val="22"/>
        </w:rPr>
        <w:t xml:space="preserve">. </w:t>
      </w:r>
      <w:r>
        <w:t>See Kuczynski (2007) for an extensive discussion of the nature of this property of being identical with JMK (or any other specific individual).</w:t>
      </w:r>
      <w:r>
        <w:rPr>
          <w:spacing w:val="40"/>
        </w:rPr>
        <w:t xml:space="preserve"> </w:t>
      </w:r>
      <w:r>
        <w:t>But a word on it may be appropriate here. My existence is not a brute fact. Various events are constitutively involved. These events are of various kind, ranging in nature from the sub-atomic to the psychological. These events are organized; they collectively form a structure. I will continue to exist</w:t>
      </w:r>
      <w:r>
        <w:rPr>
          <w:spacing w:val="17"/>
        </w:rPr>
        <w:t xml:space="preserve"> </w:t>
      </w:r>
      <w:r>
        <w:t>as</w:t>
      </w:r>
      <w:r>
        <w:rPr>
          <w:spacing w:val="17"/>
        </w:rPr>
        <w:t xml:space="preserve"> </w:t>
      </w:r>
      <w:r>
        <w:t>long</w:t>
      </w:r>
      <w:r>
        <w:rPr>
          <w:spacing w:val="17"/>
        </w:rPr>
        <w:t xml:space="preserve"> </w:t>
      </w:r>
      <w:r>
        <w:t>as</w:t>
      </w:r>
      <w:r>
        <w:rPr>
          <w:spacing w:val="17"/>
        </w:rPr>
        <w:t xml:space="preserve"> </w:t>
      </w:r>
      <w:r>
        <w:t>that</w:t>
      </w:r>
      <w:r>
        <w:rPr>
          <w:spacing w:val="17"/>
        </w:rPr>
        <w:t xml:space="preserve"> </w:t>
      </w:r>
      <w:r>
        <w:t>swarm</w:t>
      </w:r>
      <w:r>
        <w:rPr>
          <w:spacing w:val="17"/>
        </w:rPr>
        <w:t xml:space="preserve"> </w:t>
      </w:r>
      <w:r>
        <w:t>of</w:t>
      </w:r>
      <w:r>
        <w:rPr>
          <w:spacing w:val="17"/>
        </w:rPr>
        <w:t xml:space="preserve"> </w:t>
      </w:r>
      <w:r>
        <w:t>events</w:t>
      </w:r>
      <w:r>
        <w:rPr>
          <w:spacing w:val="17"/>
        </w:rPr>
        <w:t xml:space="preserve"> </w:t>
      </w:r>
      <w:r>
        <w:t>retains</w:t>
      </w:r>
      <w:r>
        <w:rPr>
          <w:spacing w:val="17"/>
        </w:rPr>
        <w:t xml:space="preserve"> </w:t>
      </w:r>
      <w:r>
        <w:t>that</w:t>
      </w:r>
      <w:r>
        <w:rPr>
          <w:spacing w:val="17"/>
        </w:rPr>
        <w:t xml:space="preserve"> </w:t>
      </w:r>
      <w:r>
        <w:t>structure,</w:t>
      </w:r>
      <w:r>
        <w:rPr>
          <w:spacing w:val="17"/>
        </w:rPr>
        <w:t xml:space="preserve"> </w:t>
      </w:r>
      <w:r>
        <w:t>and</w:t>
      </w:r>
      <w:r>
        <w:rPr>
          <w:spacing w:val="17"/>
        </w:rPr>
        <w:t xml:space="preserve"> </w:t>
      </w:r>
      <w:r>
        <w:t>no</w:t>
      </w:r>
      <w:r>
        <w:rPr>
          <w:spacing w:val="17"/>
        </w:rPr>
        <w:t xml:space="preserve"> </w:t>
      </w:r>
      <w:r>
        <w:t>longer.</w:t>
      </w:r>
    </w:p>
    <w:p w14:paraId="7E0030C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0CE" w14:textId="77777777" w:rsidR="009A58DB" w:rsidRDefault="00000000">
      <w:pPr>
        <w:pStyle w:val="BodyText"/>
        <w:spacing w:before="65" w:line="249" w:lineRule="auto"/>
        <w:ind w:left="645" w:right="373"/>
      </w:pPr>
      <w:r>
        <w:t>The swarm of events that currently constitute me is an installment in a series of such swarms whose origins ultimately lie in the union of a certain sperm and egg. In light of these points, let P be the property of being a swarm</w:t>
      </w:r>
      <w:r>
        <w:rPr>
          <w:spacing w:val="-4"/>
        </w:rPr>
        <w:t xml:space="preserve"> </w:t>
      </w:r>
      <w:r>
        <w:t>of</w:t>
      </w:r>
      <w:r>
        <w:rPr>
          <w:spacing w:val="-4"/>
        </w:rPr>
        <w:t xml:space="preserve"> </w:t>
      </w:r>
      <w:r>
        <w:t>events</w:t>
      </w:r>
      <w:r>
        <w:rPr>
          <w:spacing w:val="-4"/>
        </w:rPr>
        <w:t xml:space="preserve"> </w:t>
      </w:r>
      <w:r>
        <w:t>of</w:t>
      </w:r>
      <w:r>
        <w:rPr>
          <w:spacing w:val="-4"/>
        </w:rPr>
        <w:t xml:space="preserve"> </w:t>
      </w:r>
      <w:r>
        <w:t>the</w:t>
      </w:r>
      <w:r>
        <w:rPr>
          <w:spacing w:val="-4"/>
        </w:rPr>
        <w:t xml:space="preserve"> </w:t>
      </w:r>
      <w:r>
        <w:t>just-described</w:t>
      </w:r>
      <w:r>
        <w:rPr>
          <w:spacing w:val="-3"/>
        </w:rPr>
        <w:t xml:space="preserve"> </w:t>
      </w:r>
      <w:r>
        <w:t>kind</w:t>
      </w:r>
      <w:r>
        <w:rPr>
          <w:spacing w:val="-3"/>
        </w:rPr>
        <w:t xml:space="preserve"> </w:t>
      </w:r>
      <w:r>
        <w:t>having</w:t>
      </w:r>
      <w:r>
        <w:rPr>
          <w:spacing w:val="-3"/>
        </w:rPr>
        <w:t xml:space="preserve"> </w:t>
      </w:r>
      <w:r>
        <w:t>the</w:t>
      </w:r>
      <w:r>
        <w:rPr>
          <w:spacing w:val="-4"/>
        </w:rPr>
        <w:t xml:space="preserve"> </w:t>
      </w:r>
      <w:r>
        <w:t>just-described</w:t>
      </w:r>
      <w:r>
        <w:rPr>
          <w:spacing w:val="-3"/>
        </w:rPr>
        <w:t xml:space="preserve"> </w:t>
      </w:r>
      <w:r>
        <w:t>origin. In that case, my existing is indistinguishable from P’s being instantiated.</w:t>
      </w:r>
    </w:p>
    <w:p w14:paraId="7E0030CF" w14:textId="77777777" w:rsidR="009A58DB" w:rsidRDefault="00000000">
      <w:pPr>
        <w:pStyle w:val="BodyText"/>
        <w:spacing w:before="111" w:line="249" w:lineRule="auto"/>
        <w:ind w:left="645" w:right="374" w:hanging="285"/>
      </w:pPr>
      <w:bookmarkStart w:id="830" w:name="_bookmark830"/>
      <w:bookmarkEnd w:id="830"/>
      <w:r>
        <w:rPr>
          <w:color w:val="0562C1"/>
          <w:u w:val="single" w:color="0562C1"/>
          <w:vertAlign w:val="superscript"/>
        </w:rPr>
        <w:t>[157]</w:t>
      </w:r>
      <w:r>
        <w:rPr>
          <w:sz w:val="22"/>
        </w:rPr>
        <w:t xml:space="preserve">. </w:t>
      </w:r>
      <w:r>
        <w:t>It might seem that PTP and PJMK are redundant in this context. P</w:t>
      </w:r>
      <w:r>
        <w:rPr>
          <w:position w:val="-7"/>
          <w:sz w:val="22"/>
        </w:rPr>
        <w:t>1</w:t>
      </w:r>
      <w:r>
        <w:t>, it is readily seen, is true iff PJMT is instantiated. (If PJMT is instantiated, PTP and</w:t>
      </w:r>
      <w:r>
        <w:rPr>
          <w:spacing w:val="40"/>
        </w:rPr>
        <w:t xml:space="preserve"> </w:t>
      </w:r>
      <w:r>
        <w:t>PJMK</w:t>
      </w:r>
      <w:r>
        <w:rPr>
          <w:spacing w:val="40"/>
        </w:rPr>
        <w:t xml:space="preserve"> </w:t>
      </w:r>
      <w:r>
        <w:t>are</w:t>
      </w:r>
      <w:r>
        <w:rPr>
          <w:spacing w:val="40"/>
        </w:rPr>
        <w:t xml:space="preserve"> </w:t>
      </w:r>
      <w:r>
        <w:t>automatically</w:t>
      </w:r>
      <w:r>
        <w:rPr>
          <w:spacing w:val="40"/>
        </w:rPr>
        <w:t xml:space="preserve"> </w:t>
      </w:r>
      <w:r>
        <w:t>instantiated.)</w:t>
      </w:r>
      <w:r>
        <w:rPr>
          <w:spacing w:val="40"/>
        </w:rPr>
        <w:t xml:space="preserve"> </w:t>
      </w:r>
      <w:r>
        <w:t>So</w:t>
      </w:r>
      <w:r>
        <w:rPr>
          <w:spacing w:val="40"/>
        </w:rPr>
        <w:t xml:space="preserve"> </w:t>
      </w:r>
      <w:r>
        <w:t>why</w:t>
      </w:r>
      <w:r>
        <w:rPr>
          <w:spacing w:val="40"/>
        </w:rPr>
        <w:t xml:space="preserve"> </w:t>
      </w:r>
      <w:r>
        <w:t>need</w:t>
      </w:r>
      <w:r>
        <w:rPr>
          <w:spacing w:val="40"/>
        </w:rPr>
        <w:t xml:space="preserve"> </w:t>
      </w:r>
      <w:r>
        <w:t>we</w:t>
      </w:r>
      <w:r>
        <w:rPr>
          <w:spacing w:val="40"/>
        </w:rPr>
        <w:t xml:space="preserve"> </w:t>
      </w:r>
      <w:r>
        <w:t>identify</w:t>
      </w:r>
      <w:r>
        <w:rPr>
          <w:spacing w:val="40"/>
        </w:rPr>
        <w:t xml:space="preserve"> </w:t>
      </w:r>
      <w:r>
        <w:t>P</w:t>
      </w:r>
      <w:r>
        <w:rPr>
          <w:vertAlign w:val="subscript"/>
        </w:rPr>
        <w:t>1</w:t>
      </w:r>
    </w:p>
    <w:p w14:paraId="7E0030D0" w14:textId="77777777" w:rsidR="009A58DB" w:rsidRDefault="00000000">
      <w:pPr>
        <w:pStyle w:val="BodyText"/>
        <w:spacing w:before="61" w:line="249" w:lineRule="auto"/>
        <w:ind w:left="645" w:right="377"/>
      </w:pPr>
      <w:r>
        <w:t>with</w:t>
      </w:r>
      <w:r>
        <w:rPr>
          <w:spacing w:val="-3"/>
        </w:rPr>
        <w:t xml:space="preserve"> </w:t>
      </w:r>
      <w:r>
        <w:t>P#?</w:t>
      </w:r>
      <w:r>
        <w:rPr>
          <w:spacing w:val="-4"/>
        </w:rPr>
        <w:t xml:space="preserve"> </w:t>
      </w:r>
      <w:r>
        <w:t>Why</w:t>
      </w:r>
      <w:r>
        <w:rPr>
          <w:spacing w:val="-3"/>
        </w:rPr>
        <w:t xml:space="preserve"> </w:t>
      </w:r>
      <w:r>
        <w:t>not</w:t>
      </w:r>
      <w:r>
        <w:rPr>
          <w:spacing w:val="-4"/>
        </w:rPr>
        <w:t xml:space="preserve"> </w:t>
      </w:r>
      <w:r>
        <w:t>identify</w:t>
      </w:r>
      <w:r>
        <w:rPr>
          <w:spacing w:val="-3"/>
        </w:rPr>
        <w:t xml:space="preserve"> </w:t>
      </w:r>
      <w:r>
        <w:t>it</w:t>
      </w:r>
      <w:r>
        <w:rPr>
          <w:spacing w:val="-4"/>
        </w:rPr>
        <w:t xml:space="preserve"> </w:t>
      </w:r>
      <w:r>
        <w:t>with</w:t>
      </w:r>
      <w:r>
        <w:rPr>
          <w:spacing w:val="-3"/>
        </w:rPr>
        <w:t xml:space="preserve"> </w:t>
      </w:r>
      <w:r>
        <w:t>a</w:t>
      </w:r>
      <w:r>
        <w:rPr>
          <w:spacing w:val="-4"/>
        </w:rPr>
        <w:t xml:space="preserve"> </w:t>
      </w:r>
      <w:r>
        <w:t>set</w:t>
      </w:r>
      <w:r>
        <w:rPr>
          <w:spacing w:val="-4"/>
        </w:rPr>
        <w:t xml:space="preserve"> </w:t>
      </w:r>
      <w:r>
        <w:t>containing</w:t>
      </w:r>
      <w:r>
        <w:rPr>
          <w:spacing w:val="-3"/>
        </w:rPr>
        <w:t xml:space="preserve"> </w:t>
      </w:r>
      <w:r>
        <w:t>just</w:t>
      </w:r>
      <w:r>
        <w:rPr>
          <w:spacing w:val="-4"/>
        </w:rPr>
        <w:t xml:space="preserve"> </w:t>
      </w:r>
      <w:r>
        <w:t>PJMK?</w:t>
      </w:r>
      <w:r>
        <w:rPr>
          <w:spacing w:val="-4"/>
        </w:rPr>
        <w:t xml:space="preserve"> </w:t>
      </w:r>
      <w:r>
        <w:t>Propositions must have certain structural properties in common with the sentences that express them. (The reasons for this are given in Chapters 3 and 4.) P# has the</w:t>
      </w:r>
      <w:r>
        <w:rPr>
          <w:spacing w:val="24"/>
        </w:rPr>
        <w:t xml:space="preserve"> </w:t>
      </w:r>
      <w:r>
        <w:t>relevant</w:t>
      </w:r>
      <w:r>
        <w:rPr>
          <w:spacing w:val="24"/>
        </w:rPr>
        <w:t xml:space="preserve"> </w:t>
      </w:r>
      <w:r>
        <w:t>structural</w:t>
      </w:r>
      <w:r>
        <w:rPr>
          <w:spacing w:val="24"/>
        </w:rPr>
        <w:t xml:space="preserve"> </w:t>
      </w:r>
      <w:r>
        <w:t>similarities</w:t>
      </w:r>
      <w:r>
        <w:rPr>
          <w:spacing w:val="24"/>
        </w:rPr>
        <w:t xml:space="preserve"> </w:t>
      </w:r>
      <w:r>
        <w:t>with</w:t>
      </w:r>
      <w:r>
        <w:rPr>
          <w:spacing w:val="25"/>
        </w:rPr>
        <w:t xml:space="preserve"> </w:t>
      </w:r>
      <w:r>
        <w:t>S</w:t>
      </w:r>
      <w:r>
        <w:rPr>
          <w:vertAlign w:val="subscript"/>
        </w:rPr>
        <w:t>1</w:t>
      </w:r>
      <w:r>
        <w:t>.</w:t>
      </w:r>
      <w:r>
        <w:rPr>
          <w:spacing w:val="25"/>
        </w:rPr>
        <w:t xml:space="preserve"> </w:t>
      </w:r>
      <w:r>
        <w:t>(Notice</w:t>
      </w:r>
      <w:r>
        <w:rPr>
          <w:spacing w:val="25"/>
        </w:rPr>
        <w:t xml:space="preserve"> </w:t>
      </w:r>
      <w:r>
        <w:t>that</w:t>
      </w:r>
      <w:r>
        <w:rPr>
          <w:spacing w:val="25"/>
        </w:rPr>
        <w:t xml:space="preserve"> </w:t>
      </w:r>
      <w:r>
        <w:t>there</w:t>
      </w:r>
      <w:r>
        <w:rPr>
          <w:spacing w:val="25"/>
        </w:rPr>
        <w:t xml:space="preserve"> </w:t>
      </w:r>
      <w:r>
        <w:t>is</w:t>
      </w:r>
      <w:r>
        <w:rPr>
          <w:spacing w:val="25"/>
        </w:rPr>
        <w:t xml:space="preserve"> </w:t>
      </w:r>
      <w:r>
        <w:t>a</w:t>
      </w:r>
      <w:r>
        <w:rPr>
          <w:spacing w:val="25"/>
        </w:rPr>
        <w:t xml:space="preserve"> </w:t>
      </w:r>
      <w:r>
        <w:t>one-one</w:t>
      </w:r>
    </w:p>
    <w:p w14:paraId="7E0030D1" w14:textId="77777777" w:rsidR="009A58DB" w:rsidRDefault="00000000">
      <w:pPr>
        <w:pStyle w:val="BodyText"/>
        <w:spacing w:before="65" w:line="271" w:lineRule="auto"/>
        <w:ind w:left="645" w:right="377"/>
      </w:pPr>
      <w:r>
        <w:t>correspondence between P#’s membership and S</w:t>
      </w:r>
      <w:r>
        <w:rPr>
          <w:vertAlign w:val="subscript"/>
        </w:rPr>
        <w:t>1</w:t>
      </w:r>
      <w:r>
        <w:t>’s decomposition.) By,</w:t>
      </w:r>
      <w:r>
        <w:rPr>
          <w:spacing w:val="40"/>
        </w:rPr>
        <w:t xml:space="preserve"> </w:t>
      </w:r>
      <w:r>
        <w:t>by itself, PJMT doesn’t have those properties, and neither does a set containing</w:t>
      </w:r>
      <w:r>
        <w:rPr>
          <w:spacing w:val="31"/>
        </w:rPr>
        <w:t xml:space="preserve"> </w:t>
      </w:r>
      <w:r>
        <w:t>only</w:t>
      </w:r>
      <w:r>
        <w:rPr>
          <w:spacing w:val="31"/>
        </w:rPr>
        <w:t xml:space="preserve"> </w:t>
      </w:r>
      <w:r>
        <w:t>PJMT.</w:t>
      </w:r>
      <w:r>
        <w:rPr>
          <w:spacing w:val="31"/>
        </w:rPr>
        <w:t xml:space="preserve"> </w:t>
      </w:r>
      <w:r>
        <w:t>Because</w:t>
      </w:r>
      <w:r>
        <w:rPr>
          <w:spacing w:val="31"/>
        </w:rPr>
        <w:t xml:space="preserve"> </w:t>
      </w:r>
      <w:r>
        <w:t>if</w:t>
      </w:r>
      <w:r>
        <w:rPr>
          <w:spacing w:val="31"/>
        </w:rPr>
        <w:t xml:space="preserve"> </w:t>
      </w:r>
      <w:r>
        <w:t>we</w:t>
      </w:r>
      <w:r>
        <w:rPr>
          <w:spacing w:val="31"/>
        </w:rPr>
        <w:t xml:space="preserve"> </w:t>
      </w:r>
      <w:r>
        <w:t>identify</w:t>
      </w:r>
      <w:r>
        <w:rPr>
          <w:spacing w:val="31"/>
        </w:rPr>
        <w:t xml:space="preserve"> </w:t>
      </w:r>
      <w:r>
        <w:t>P</w:t>
      </w:r>
      <w:r>
        <w:rPr>
          <w:vertAlign w:val="subscript"/>
        </w:rPr>
        <w:t>1</w:t>
      </w:r>
      <w:r>
        <w:rPr>
          <w:spacing w:val="31"/>
        </w:rPr>
        <w:t xml:space="preserve"> </w:t>
      </w:r>
      <w:r>
        <w:t>with</w:t>
      </w:r>
      <w:r>
        <w:rPr>
          <w:spacing w:val="32"/>
        </w:rPr>
        <w:t xml:space="preserve"> </w:t>
      </w:r>
      <w:r>
        <w:t>P#</w:t>
      </w:r>
      <w:r>
        <w:rPr>
          <w:spacing w:val="32"/>
        </w:rPr>
        <w:t xml:space="preserve"> </w:t>
      </w:r>
      <w:r>
        <w:t>given</w:t>
      </w:r>
      <w:r>
        <w:rPr>
          <w:spacing w:val="32"/>
        </w:rPr>
        <w:t xml:space="preserve"> </w:t>
      </w:r>
      <w:r>
        <w:t>that</w:t>
      </w:r>
      <w:r>
        <w:rPr>
          <w:spacing w:val="31"/>
        </w:rPr>
        <w:t xml:space="preserve"> </w:t>
      </w:r>
      <w:r>
        <w:rPr>
          <w:spacing w:val="-4"/>
        </w:rPr>
        <w:t>(for</w:t>
      </w:r>
    </w:p>
    <w:p w14:paraId="7E0030D2" w14:textId="77777777" w:rsidR="009A58DB" w:rsidRDefault="00000000">
      <w:pPr>
        <w:pStyle w:val="BodyText"/>
        <w:spacing w:before="30" w:line="249" w:lineRule="auto"/>
        <w:ind w:left="645" w:right="380"/>
      </w:pPr>
      <w:r>
        <w:t>reasons discussed in Chapters 3 and 4) propositions are isomorphic with the sentence.</w:t>
      </w:r>
    </w:p>
    <w:p w14:paraId="7E0030D3" w14:textId="77777777" w:rsidR="009A58DB" w:rsidRDefault="00000000">
      <w:pPr>
        <w:pStyle w:val="BodyText"/>
        <w:spacing w:before="108"/>
        <w:jc w:val="left"/>
      </w:pPr>
      <w:bookmarkStart w:id="831" w:name="_bookmark831"/>
      <w:bookmarkEnd w:id="831"/>
      <w:r>
        <w:rPr>
          <w:color w:val="0562C1"/>
          <w:u w:val="single" w:color="0562C1"/>
          <w:vertAlign w:val="superscript"/>
        </w:rPr>
        <w:t>[158]</w:t>
      </w:r>
      <w:r>
        <w:rPr>
          <w:sz w:val="22"/>
        </w:rPr>
        <w:t>.</w:t>
      </w:r>
      <w:r>
        <w:rPr>
          <w:spacing w:val="7"/>
          <w:sz w:val="22"/>
        </w:rPr>
        <w:t xml:space="preserve"> </w:t>
      </w:r>
      <w:r>
        <w:t>“TCS</w:t>
      </w:r>
      <w:r>
        <w:rPr>
          <w:position w:val="-7"/>
          <w:sz w:val="22"/>
        </w:rPr>
        <w:t>1</w:t>
      </w:r>
      <w:r>
        <w:t>”</w:t>
      </w:r>
      <w:r>
        <w:rPr>
          <w:spacing w:val="7"/>
        </w:rPr>
        <w:t xml:space="preserve"> </w:t>
      </w:r>
      <w:r>
        <w:t>is</w:t>
      </w:r>
      <w:r>
        <w:rPr>
          <w:spacing w:val="7"/>
        </w:rPr>
        <w:t xml:space="preserve"> </w:t>
      </w:r>
      <w:r>
        <w:t>short</w:t>
      </w:r>
      <w:r>
        <w:rPr>
          <w:spacing w:val="7"/>
        </w:rPr>
        <w:t xml:space="preserve"> </w:t>
      </w:r>
      <w:r>
        <w:t>for</w:t>
      </w:r>
      <w:r>
        <w:rPr>
          <w:spacing w:val="7"/>
        </w:rPr>
        <w:t xml:space="preserve"> </w:t>
      </w:r>
      <w:r>
        <w:t>“the</w:t>
      </w:r>
      <w:r>
        <w:rPr>
          <w:spacing w:val="7"/>
        </w:rPr>
        <w:t xml:space="preserve"> </w:t>
      </w:r>
      <w:r>
        <w:t>truth</w:t>
      </w:r>
      <w:r>
        <w:rPr>
          <w:spacing w:val="8"/>
        </w:rPr>
        <w:t xml:space="preserve"> </w:t>
      </w:r>
      <w:r>
        <w:t>conditions</w:t>
      </w:r>
      <w:r>
        <w:rPr>
          <w:spacing w:val="7"/>
        </w:rPr>
        <w:t xml:space="preserve"> </w:t>
      </w:r>
      <w:r>
        <w:t>of</w:t>
      </w:r>
      <w:r>
        <w:rPr>
          <w:spacing w:val="7"/>
        </w:rPr>
        <w:t xml:space="preserve"> </w:t>
      </w:r>
      <w:r>
        <w:rPr>
          <w:spacing w:val="-4"/>
        </w:rPr>
        <w:t>S</w:t>
      </w:r>
      <w:r>
        <w:rPr>
          <w:spacing w:val="-4"/>
          <w:position w:val="-7"/>
          <w:sz w:val="22"/>
        </w:rPr>
        <w:t>1</w:t>
      </w:r>
      <w:r>
        <w:rPr>
          <w:spacing w:val="-4"/>
        </w:rPr>
        <w:t>.”</w:t>
      </w:r>
    </w:p>
    <w:p w14:paraId="7E0030D4" w14:textId="77777777" w:rsidR="009A58DB" w:rsidRDefault="00000000">
      <w:pPr>
        <w:pStyle w:val="BodyText"/>
        <w:spacing w:before="117"/>
        <w:jc w:val="left"/>
      </w:pPr>
      <w:bookmarkStart w:id="832" w:name="_bookmark832"/>
      <w:bookmarkEnd w:id="832"/>
      <w:r>
        <w:rPr>
          <w:color w:val="0562C1"/>
          <w:u w:val="single" w:color="0562C1"/>
          <w:vertAlign w:val="superscript"/>
        </w:rPr>
        <w:t>[159]</w:t>
      </w:r>
      <w:r>
        <w:rPr>
          <w:sz w:val="22"/>
        </w:rPr>
        <w:t>.</w:t>
      </w:r>
      <w:r>
        <w:rPr>
          <w:spacing w:val="9"/>
          <w:sz w:val="22"/>
        </w:rPr>
        <w:t xml:space="preserve"> </w:t>
      </w:r>
      <w:r>
        <w:t>“SG”</w:t>
      </w:r>
      <w:r>
        <w:rPr>
          <w:spacing w:val="10"/>
        </w:rPr>
        <w:t xml:space="preserve"> </w:t>
      </w:r>
      <w:r>
        <w:t>stands</w:t>
      </w:r>
      <w:r>
        <w:rPr>
          <w:spacing w:val="9"/>
        </w:rPr>
        <w:t xml:space="preserve"> </w:t>
      </w:r>
      <w:r>
        <w:t>for</w:t>
      </w:r>
      <w:r>
        <w:rPr>
          <w:spacing w:val="10"/>
        </w:rPr>
        <w:t xml:space="preserve"> </w:t>
      </w:r>
      <w:r>
        <w:t>“the</w:t>
      </w:r>
      <w:r>
        <w:rPr>
          <w:spacing w:val="10"/>
        </w:rPr>
        <w:t xml:space="preserve"> </w:t>
      </w:r>
      <w:r>
        <w:t>story</w:t>
      </w:r>
      <w:r>
        <w:rPr>
          <w:spacing w:val="11"/>
        </w:rPr>
        <w:t xml:space="preserve"> </w:t>
      </w:r>
      <w:r>
        <w:t>of</w:t>
      </w:r>
      <w:r>
        <w:rPr>
          <w:spacing w:val="10"/>
        </w:rPr>
        <w:t xml:space="preserve"> </w:t>
      </w:r>
      <w:r>
        <w:rPr>
          <w:spacing w:val="-2"/>
        </w:rPr>
        <w:t>Gigantus.”</w:t>
      </w:r>
    </w:p>
    <w:p w14:paraId="7E0030D5" w14:textId="77777777" w:rsidR="009A58DB" w:rsidRDefault="00000000">
      <w:pPr>
        <w:pStyle w:val="BodyText"/>
        <w:spacing w:before="120"/>
        <w:jc w:val="left"/>
      </w:pPr>
      <w:bookmarkStart w:id="833" w:name="_bookmark833"/>
      <w:bookmarkEnd w:id="833"/>
      <w:r>
        <w:rPr>
          <w:color w:val="0562C1"/>
          <w:w w:val="105"/>
          <w:u w:val="single" w:color="0562C1"/>
          <w:vertAlign w:val="superscript"/>
        </w:rPr>
        <w:t>[160]</w:t>
      </w:r>
      <w:r>
        <w:rPr>
          <w:w w:val="105"/>
          <w:sz w:val="22"/>
        </w:rPr>
        <w:t>.</w:t>
      </w:r>
      <w:r>
        <w:rPr>
          <w:spacing w:val="-12"/>
          <w:w w:val="105"/>
          <w:sz w:val="22"/>
        </w:rPr>
        <w:t xml:space="preserve"> </w:t>
      </w:r>
      <w:r>
        <w:rPr>
          <w:w w:val="105"/>
        </w:rPr>
        <w:t>Chapter</w:t>
      </w:r>
      <w:r>
        <w:rPr>
          <w:spacing w:val="-17"/>
          <w:w w:val="105"/>
        </w:rPr>
        <w:t xml:space="preserve"> </w:t>
      </w:r>
      <w:r>
        <w:rPr>
          <w:w w:val="105"/>
        </w:rPr>
        <w:t>3</w:t>
      </w:r>
      <w:r>
        <w:rPr>
          <w:spacing w:val="-16"/>
          <w:w w:val="105"/>
        </w:rPr>
        <w:t xml:space="preserve"> </w:t>
      </w:r>
      <w:r>
        <w:rPr>
          <w:w w:val="105"/>
        </w:rPr>
        <w:t>of</w:t>
      </w:r>
      <w:r>
        <w:rPr>
          <w:spacing w:val="-17"/>
          <w:w w:val="105"/>
        </w:rPr>
        <w:t xml:space="preserve"> </w:t>
      </w:r>
      <w:r>
        <w:rPr>
          <w:w w:val="105"/>
        </w:rPr>
        <w:t>Salmon</w:t>
      </w:r>
      <w:r>
        <w:rPr>
          <w:spacing w:val="-16"/>
          <w:w w:val="105"/>
        </w:rPr>
        <w:t xml:space="preserve"> </w:t>
      </w:r>
      <w:r>
        <w:rPr>
          <w:spacing w:val="-2"/>
          <w:w w:val="105"/>
        </w:rPr>
        <w:t>(2005).</w:t>
      </w:r>
    </w:p>
    <w:p w14:paraId="7E0030D6" w14:textId="77777777" w:rsidR="009A58DB" w:rsidRDefault="00000000">
      <w:pPr>
        <w:pStyle w:val="BodyText"/>
        <w:spacing w:before="120" w:line="249" w:lineRule="auto"/>
        <w:ind w:left="645" w:right="373" w:hanging="285"/>
      </w:pPr>
      <w:bookmarkStart w:id="834" w:name="_bookmark834"/>
      <w:bookmarkEnd w:id="834"/>
      <w:r>
        <w:rPr>
          <w:color w:val="0562C1"/>
          <w:u w:val="single" w:color="0562C1"/>
          <w:vertAlign w:val="superscript"/>
        </w:rPr>
        <w:t>[161]</w:t>
      </w:r>
      <w:r>
        <w:rPr>
          <w:sz w:val="22"/>
        </w:rPr>
        <w:t xml:space="preserve">. </w:t>
      </w:r>
      <w:r>
        <w:t>“MO” is short for “mythical object.” Salmon’s argument is told, not in terms of “Zeus,” but in terms of “Maggoty Meg,” a fictitious witch. I’ve made other, equally inconsequential changes.</w:t>
      </w:r>
    </w:p>
    <w:p w14:paraId="7E0030D7" w14:textId="77777777" w:rsidR="009A58DB" w:rsidRDefault="00000000">
      <w:pPr>
        <w:pStyle w:val="BodyText"/>
        <w:spacing w:before="109"/>
        <w:jc w:val="left"/>
      </w:pPr>
      <w:bookmarkStart w:id="835" w:name="_bookmark835"/>
      <w:bookmarkEnd w:id="835"/>
      <w:r>
        <w:rPr>
          <w:color w:val="0562C1"/>
          <w:u w:val="single" w:color="0562C1"/>
          <w:vertAlign w:val="superscript"/>
        </w:rPr>
        <w:t>[162]</w:t>
      </w:r>
      <w:r>
        <w:rPr>
          <w:sz w:val="22"/>
        </w:rPr>
        <w:t>.</w:t>
      </w:r>
      <w:r>
        <w:rPr>
          <w:spacing w:val="12"/>
          <w:sz w:val="22"/>
        </w:rPr>
        <w:t xml:space="preserve"> </w:t>
      </w:r>
      <w:r>
        <w:t>“KA”</w:t>
      </w:r>
      <w:r>
        <w:rPr>
          <w:spacing w:val="14"/>
        </w:rPr>
        <w:t xml:space="preserve"> </w:t>
      </w:r>
      <w:r>
        <w:t>stands</w:t>
      </w:r>
      <w:r>
        <w:rPr>
          <w:spacing w:val="15"/>
        </w:rPr>
        <w:t xml:space="preserve"> </w:t>
      </w:r>
      <w:r>
        <w:t>for</w:t>
      </w:r>
      <w:r>
        <w:rPr>
          <w:spacing w:val="14"/>
        </w:rPr>
        <w:t xml:space="preserve"> </w:t>
      </w:r>
      <w:r>
        <w:t>“Kripke’s</w:t>
      </w:r>
      <w:r>
        <w:rPr>
          <w:spacing w:val="14"/>
        </w:rPr>
        <w:t xml:space="preserve"> </w:t>
      </w:r>
      <w:r>
        <w:rPr>
          <w:spacing w:val="-2"/>
        </w:rPr>
        <w:t>argument.”</w:t>
      </w:r>
    </w:p>
    <w:p w14:paraId="7E0030D8" w14:textId="77777777" w:rsidR="009A58DB" w:rsidRDefault="00000000">
      <w:pPr>
        <w:pStyle w:val="BodyText"/>
        <w:spacing w:before="120"/>
        <w:jc w:val="left"/>
      </w:pPr>
      <w:bookmarkStart w:id="836" w:name="_bookmark836"/>
      <w:bookmarkEnd w:id="836"/>
      <w:r>
        <w:rPr>
          <w:color w:val="0562C1"/>
          <w:u w:val="single" w:color="0562C1"/>
          <w:vertAlign w:val="superscript"/>
        </w:rPr>
        <w:t>[163]</w:t>
      </w:r>
      <w:r>
        <w:rPr>
          <w:sz w:val="22"/>
        </w:rPr>
        <w:t>.</w:t>
      </w:r>
      <w:r>
        <w:rPr>
          <w:spacing w:val="10"/>
          <w:sz w:val="22"/>
        </w:rPr>
        <w:t xml:space="preserve"> </w:t>
      </w:r>
      <w:r>
        <w:t>“SE”</w:t>
      </w:r>
      <w:r>
        <w:rPr>
          <w:spacing w:val="12"/>
        </w:rPr>
        <w:t xml:space="preserve"> </w:t>
      </w:r>
      <w:r>
        <w:t>is</w:t>
      </w:r>
      <w:r>
        <w:rPr>
          <w:spacing w:val="12"/>
        </w:rPr>
        <w:t xml:space="preserve"> </w:t>
      </w:r>
      <w:r>
        <w:t>short</w:t>
      </w:r>
      <w:r>
        <w:rPr>
          <w:spacing w:val="11"/>
        </w:rPr>
        <w:t xml:space="preserve"> </w:t>
      </w:r>
      <w:r>
        <w:t>for</w:t>
      </w:r>
      <w:r>
        <w:rPr>
          <w:spacing w:val="12"/>
        </w:rPr>
        <w:t xml:space="preserve"> </w:t>
      </w:r>
      <w:r>
        <w:t>“Smith</w:t>
      </w:r>
      <w:r>
        <w:rPr>
          <w:spacing w:val="13"/>
        </w:rPr>
        <w:t xml:space="preserve"> </w:t>
      </w:r>
      <w:r>
        <w:rPr>
          <w:spacing w:val="-2"/>
        </w:rPr>
        <w:t>Earth.”</w:t>
      </w:r>
    </w:p>
    <w:p w14:paraId="7E0030D9" w14:textId="77777777" w:rsidR="009A58DB" w:rsidRDefault="00000000">
      <w:pPr>
        <w:pStyle w:val="BodyText"/>
        <w:spacing w:before="120"/>
        <w:jc w:val="left"/>
      </w:pPr>
      <w:bookmarkStart w:id="837" w:name="_bookmark837"/>
      <w:bookmarkEnd w:id="837"/>
      <w:r>
        <w:rPr>
          <w:color w:val="0562C1"/>
          <w:u w:val="single" w:color="0562C1"/>
          <w:vertAlign w:val="superscript"/>
        </w:rPr>
        <w:t>[164]</w:t>
      </w:r>
      <w:r>
        <w:rPr>
          <w:sz w:val="22"/>
        </w:rPr>
        <w:t>.</w:t>
      </w:r>
      <w:r>
        <w:rPr>
          <w:spacing w:val="12"/>
          <w:sz w:val="22"/>
        </w:rPr>
        <w:t xml:space="preserve"> </w:t>
      </w:r>
      <w:r>
        <w:t>“TS”</w:t>
      </w:r>
      <w:r>
        <w:rPr>
          <w:spacing w:val="15"/>
        </w:rPr>
        <w:t xml:space="preserve"> </w:t>
      </w:r>
      <w:r>
        <w:t>is</w:t>
      </w:r>
      <w:r>
        <w:rPr>
          <w:spacing w:val="14"/>
        </w:rPr>
        <w:t xml:space="preserve"> </w:t>
      </w:r>
      <w:r>
        <w:t>short</w:t>
      </w:r>
      <w:r>
        <w:rPr>
          <w:spacing w:val="15"/>
        </w:rPr>
        <w:t xml:space="preserve"> </w:t>
      </w:r>
      <w:r>
        <w:t>for</w:t>
      </w:r>
      <w:r>
        <w:rPr>
          <w:spacing w:val="14"/>
        </w:rPr>
        <w:t xml:space="preserve"> </w:t>
      </w:r>
      <w:r>
        <w:t>“Twin-</w:t>
      </w:r>
      <w:r>
        <w:rPr>
          <w:spacing w:val="-2"/>
        </w:rPr>
        <w:t>Smith.”</w:t>
      </w:r>
    </w:p>
    <w:p w14:paraId="7E0030DA" w14:textId="77777777" w:rsidR="009A58DB" w:rsidRDefault="00000000">
      <w:pPr>
        <w:pStyle w:val="BodyText"/>
        <w:spacing w:before="120" w:line="249" w:lineRule="auto"/>
        <w:ind w:left="570" w:right="365" w:hanging="210"/>
        <w:jc w:val="left"/>
      </w:pPr>
      <w:bookmarkStart w:id="838" w:name="_bookmark838"/>
      <w:bookmarkEnd w:id="838"/>
      <w:r>
        <w:rPr>
          <w:color w:val="0562C1"/>
          <w:u w:val="single" w:color="0562C1"/>
          <w:vertAlign w:val="superscript"/>
        </w:rPr>
        <w:t>[165]</w:t>
      </w:r>
      <w:r>
        <w:rPr>
          <w:sz w:val="22"/>
        </w:rPr>
        <w:t xml:space="preserve">. </w:t>
      </w:r>
      <w:r>
        <w:t>What a speaker means often diverges from what his words mean. If I tell an employee, “I think it might be a good idea for you to clear your desk,” I’m really telling him that he’s been fired. But my words don’t literally mean: you’re fired. Their literal meaning is innocuous. See Chapter 4 for a discussion of this.</w:t>
      </w:r>
    </w:p>
    <w:p w14:paraId="7E0030DB" w14:textId="77777777" w:rsidR="009A58DB" w:rsidRDefault="00000000">
      <w:pPr>
        <w:pStyle w:val="BodyText"/>
        <w:spacing w:before="111"/>
        <w:jc w:val="left"/>
      </w:pPr>
      <w:bookmarkStart w:id="839" w:name="_bookmark839"/>
      <w:bookmarkEnd w:id="839"/>
      <w:r>
        <w:rPr>
          <w:color w:val="0562C1"/>
          <w:w w:val="105"/>
          <w:u w:val="single" w:color="0562C1"/>
          <w:vertAlign w:val="superscript"/>
        </w:rPr>
        <w:t>[166]</w:t>
      </w:r>
      <w:r>
        <w:rPr>
          <w:w w:val="105"/>
          <w:sz w:val="22"/>
        </w:rPr>
        <w:t>.</w:t>
      </w:r>
      <w:r>
        <w:rPr>
          <w:spacing w:val="-10"/>
          <w:w w:val="105"/>
          <w:sz w:val="22"/>
        </w:rPr>
        <w:t xml:space="preserve"> </w:t>
      </w:r>
      <w:r>
        <w:rPr>
          <w:w w:val="105"/>
        </w:rPr>
        <w:t>See</w:t>
      </w:r>
      <w:r>
        <w:rPr>
          <w:spacing w:val="-16"/>
          <w:w w:val="105"/>
        </w:rPr>
        <w:t xml:space="preserve"> </w:t>
      </w:r>
      <w:r>
        <w:rPr>
          <w:w w:val="105"/>
        </w:rPr>
        <w:t>Burge</w:t>
      </w:r>
      <w:r>
        <w:rPr>
          <w:spacing w:val="-15"/>
          <w:w w:val="105"/>
        </w:rPr>
        <w:t xml:space="preserve"> </w:t>
      </w:r>
      <w:r>
        <w:rPr>
          <w:w w:val="105"/>
        </w:rPr>
        <w:t>(1979,</w:t>
      </w:r>
      <w:r>
        <w:rPr>
          <w:spacing w:val="-14"/>
          <w:w w:val="105"/>
        </w:rPr>
        <w:t xml:space="preserve"> </w:t>
      </w:r>
      <w:r>
        <w:rPr>
          <w:spacing w:val="-2"/>
          <w:w w:val="105"/>
        </w:rPr>
        <w:t>1982).</w:t>
      </w:r>
    </w:p>
    <w:p w14:paraId="7E0030DC" w14:textId="77777777" w:rsidR="009A58DB" w:rsidRDefault="009A58DB">
      <w:pPr>
        <w:pStyle w:val="BodyText"/>
        <w:jc w:val="left"/>
        <w:sectPr w:rsidR="009A58DB">
          <w:pgSz w:w="12240" w:h="15840"/>
          <w:pgMar w:top="1380" w:right="1080" w:bottom="280" w:left="1080" w:header="720" w:footer="720" w:gutter="0"/>
          <w:cols w:space="720"/>
        </w:sectPr>
      </w:pPr>
    </w:p>
    <w:p w14:paraId="7E0030DD" w14:textId="77777777" w:rsidR="009A58DB" w:rsidRDefault="00000000">
      <w:pPr>
        <w:pStyle w:val="BodyText"/>
        <w:spacing w:before="190"/>
        <w:jc w:val="left"/>
      </w:pPr>
      <w:bookmarkStart w:id="840" w:name="_bookmark840"/>
      <w:bookmarkEnd w:id="840"/>
      <w:r>
        <w:rPr>
          <w:color w:val="0562C1"/>
          <w:w w:val="105"/>
          <w:u w:val="single" w:color="0562C1"/>
          <w:vertAlign w:val="superscript"/>
        </w:rPr>
        <w:t>[167]</w:t>
      </w:r>
      <w:r>
        <w:rPr>
          <w:w w:val="105"/>
          <w:sz w:val="22"/>
        </w:rPr>
        <w:t>.</w:t>
      </w:r>
      <w:r>
        <w:rPr>
          <w:spacing w:val="4"/>
          <w:w w:val="105"/>
          <w:sz w:val="22"/>
        </w:rPr>
        <w:t xml:space="preserve"> </w:t>
      </w:r>
      <w:r>
        <w:rPr>
          <w:w w:val="105"/>
        </w:rPr>
        <w:t>Putnam</w:t>
      </w:r>
      <w:r>
        <w:rPr>
          <w:spacing w:val="2"/>
          <w:w w:val="105"/>
        </w:rPr>
        <w:t xml:space="preserve"> </w:t>
      </w:r>
      <w:r>
        <w:rPr>
          <w:spacing w:val="-2"/>
          <w:w w:val="105"/>
        </w:rPr>
        <w:t>(1996).</w:t>
      </w:r>
    </w:p>
    <w:p w14:paraId="7E0030DE" w14:textId="77777777" w:rsidR="009A58DB" w:rsidRDefault="00000000">
      <w:pPr>
        <w:pStyle w:val="BodyText"/>
        <w:spacing w:before="120" w:line="249" w:lineRule="auto"/>
        <w:ind w:left="570" w:right="365" w:hanging="210"/>
        <w:jc w:val="left"/>
      </w:pPr>
      <w:bookmarkStart w:id="841" w:name="_bookmark841"/>
      <w:bookmarkEnd w:id="841"/>
      <w:r>
        <w:rPr>
          <w:color w:val="0562C1"/>
          <w:u w:val="single" w:color="0562C1"/>
          <w:vertAlign w:val="superscript"/>
        </w:rPr>
        <w:t>[168]</w:t>
      </w:r>
      <w:r>
        <w:rPr>
          <w:sz w:val="22"/>
        </w:rPr>
        <w:t xml:space="preserve">. </w:t>
      </w:r>
      <w:r>
        <w:t>“BA” is short for “Burge’s anti-individualism.” In a moment, I’ll define the term “anti-individualism.”</w:t>
      </w:r>
    </w:p>
    <w:p w14:paraId="7E0030DF" w14:textId="77777777" w:rsidR="009A58DB" w:rsidRDefault="00000000">
      <w:pPr>
        <w:pStyle w:val="BodyText"/>
        <w:spacing w:before="107"/>
        <w:jc w:val="left"/>
      </w:pPr>
      <w:bookmarkStart w:id="842" w:name="_bookmark842"/>
      <w:bookmarkEnd w:id="842"/>
      <w:r>
        <w:rPr>
          <w:color w:val="0562C1"/>
          <w:u w:val="single" w:color="0562C1"/>
          <w:vertAlign w:val="superscript"/>
        </w:rPr>
        <w:t>[169]</w:t>
      </w:r>
      <w:r>
        <w:rPr>
          <w:sz w:val="22"/>
        </w:rPr>
        <w:t>.</w:t>
      </w:r>
      <w:r>
        <w:rPr>
          <w:spacing w:val="10"/>
          <w:sz w:val="22"/>
        </w:rPr>
        <w:t xml:space="preserve"> </w:t>
      </w:r>
      <w:r>
        <w:t>“AU”</w:t>
      </w:r>
      <w:r>
        <w:rPr>
          <w:spacing w:val="11"/>
        </w:rPr>
        <w:t xml:space="preserve"> </w:t>
      </w:r>
      <w:r>
        <w:t>is</w:t>
      </w:r>
      <w:r>
        <w:rPr>
          <w:spacing w:val="11"/>
        </w:rPr>
        <w:t xml:space="preserve"> </w:t>
      </w:r>
      <w:r>
        <w:t>short</w:t>
      </w:r>
      <w:r>
        <w:rPr>
          <w:spacing w:val="12"/>
        </w:rPr>
        <w:t xml:space="preserve"> </w:t>
      </w:r>
      <w:r>
        <w:t>for</w:t>
      </w:r>
      <w:r>
        <w:rPr>
          <w:spacing w:val="11"/>
        </w:rPr>
        <w:t xml:space="preserve"> </w:t>
      </w:r>
      <w:r>
        <w:t>“arthritis</w:t>
      </w:r>
      <w:r>
        <w:rPr>
          <w:spacing w:val="11"/>
        </w:rPr>
        <w:t xml:space="preserve"> </w:t>
      </w:r>
      <w:r>
        <w:rPr>
          <w:spacing w:val="-2"/>
        </w:rPr>
        <w:t>unpleasant.”</w:t>
      </w:r>
    </w:p>
    <w:p w14:paraId="7E0030E0" w14:textId="77777777" w:rsidR="009A58DB" w:rsidRDefault="00000000">
      <w:pPr>
        <w:pStyle w:val="BodyText"/>
        <w:spacing w:before="120"/>
        <w:jc w:val="left"/>
      </w:pPr>
      <w:bookmarkStart w:id="843" w:name="_bookmark843"/>
      <w:bookmarkEnd w:id="843"/>
      <w:r>
        <w:rPr>
          <w:color w:val="0562C1"/>
          <w:u w:val="single" w:color="0562C1"/>
          <w:vertAlign w:val="superscript"/>
        </w:rPr>
        <w:t>[170]</w:t>
      </w:r>
      <w:r>
        <w:rPr>
          <w:sz w:val="22"/>
        </w:rPr>
        <w:t>.</w:t>
      </w:r>
      <w:r>
        <w:rPr>
          <w:spacing w:val="5"/>
          <w:sz w:val="22"/>
        </w:rPr>
        <w:t xml:space="preserve"> </w:t>
      </w:r>
      <w:r>
        <w:t>See</w:t>
      </w:r>
      <w:r>
        <w:rPr>
          <w:spacing w:val="5"/>
        </w:rPr>
        <w:t xml:space="preserve"> </w:t>
      </w:r>
      <w:r>
        <w:t>Burge</w:t>
      </w:r>
      <w:r>
        <w:rPr>
          <w:spacing w:val="5"/>
        </w:rPr>
        <w:t xml:space="preserve"> </w:t>
      </w:r>
      <w:r>
        <w:t>(1979,</w:t>
      </w:r>
      <w:r>
        <w:rPr>
          <w:spacing w:val="7"/>
        </w:rPr>
        <w:t xml:space="preserve"> </w:t>
      </w:r>
      <w:r>
        <w:t>1982).</w:t>
      </w:r>
      <w:r>
        <w:rPr>
          <w:spacing w:val="6"/>
        </w:rPr>
        <w:t xml:space="preserve"> </w:t>
      </w:r>
      <w:r>
        <w:t>Evans</w:t>
      </w:r>
      <w:r>
        <w:rPr>
          <w:spacing w:val="5"/>
        </w:rPr>
        <w:t xml:space="preserve"> </w:t>
      </w:r>
      <w:r>
        <w:t>(1982)</w:t>
      </w:r>
      <w:r>
        <w:rPr>
          <w:spacing w:val="5"/>
        </w:rPr>
        <w:t xml:space="preserve"> </w:t>
      </w:r>
      <w:r>
        <w:t>puts</w:t>
      </w:r>
      <w:r>
        <w:rPr>
          <w:spacing w:val="5"/>
        </w:rPr>
        <w:t xml:space="preserve"> </w:t>
      </w:r>
      <w:r>
        <w:t>forth</w:t>
      </w:r>
      <w:r>
        <w:rPr>
          <w:spacing w:val="7"/>
        </w:rPr>
        <w:t xml:space="preserve"> </w:t>
      </w:r>
      <w:r>
        <w:t>a</w:t>
      </w:r>
      <w:r>
        <w:rPr>
          <w:spacing w:val="5"/>
        </w:rPr>
        <w:t xml:space="preserve"> </w:t>
      </w:r>
      <w:r>
        <w:t>similar</w:t>
      </w:r>
      <w:r>
        <w:rPr>
          <w:spacing w:val="5"/>
        </w:rPr>
        <w:t xml:space="preserve"> </w:t>
      </w:r>
      <w:r>
        <w:rPr>
          <w:spacing w:val="-2"/>
        </w:rPr>
        <w:t>argument.</w:t>
      </w:r>
    </w:p>
    <w:p w14:paraId="7E0030E1" w14:textId="77777777" w:rsidR="009A58DB" w:rsidRDefault="00000000">
      <w:pPr>
        <w:pStyle w:val="BodyText"/>
        <w:spacing w:before="120"/>
        <w:jc w:val="left"/>
      </w:pPr>
      <w:bookmarkStart w:id="844" w:name="_bookmark844"/>
      <w:bookmarkEnd w:id="844"/>
      <w:r>
        <w:rPr>
          <w:color w:val="0562C1"/>
          <w:u w:val="single" w:color="0562C1"/>
          <w:vertAlign w:val="superscript"/>
        </w:rPr>
        <w:t>[171]</w:t>
      </w:r>
      <w:r>
        <w:rPr>
          <w:sz w:val="22"/>
        </w:rPr>
        <w:t>.</w:t>
      </w:r>
      <w:r>
        <w:rPr>
          <w:spacing w:val="10"/>
          <w:sz w:val="22"/>
        </w:rPr>
        <w:t xml:space="preserve"> </w:t>
      </w:r>
      <w:r>
        <w:t>“U</w:t>
      </w:r>
      <w:r>
        <w:rPr>
          <w:position w:val="-7"/>
          <w:sz w:val="22"/>
        </w:rPr>
        <w:t>1</w:t>
      </w:r>
      <w:r>
        <w:t>”</w:t>
      </w:r>
      <w:r>
        <w:rPr>
          <w:spacing w:val="12"/>
        </w:rPr>
        <w:t xml:space="preserve"> </w:t>
      </w:r>
      <w:r>
        <w:t>is</w:t>
      </w:r>
      <w:r>
        <w:rPr>
          <w:spacing w:val="12"/>
        </w:rPr>
        <w:t xml:space="preserve"> </w:t>
      </w:r>
      <w:r>
        <w:t>short</w:t>
      </w:r>
      <w:r>
        <w:rPr>
          <w:spacing w:val="12"/>
        </w:rPr>
        <w:t xml:space="preserve"> </w:t>
      </w:r>
      <w:r>
        <w:t>for</w:t>
      </w:r>
      <w:r>
        <w:rPr>
          <w:spacing w:val="12"/>
        </w:rPr>
        <w:t xml:space="preserve"> </w:t>
      </w:r>
      <w:r>
        <w:t>“utterance</w:t>
      </w:r>
      <w:r>
        <w:rPr>
          <w:spacing w:val="12"/>
        </w:rPr>
        <w:t xml:space="preserve"> </w:t>
      </w:r>
      <w:r>
        <w:rPr>
          <w:spacing w:val="-4"/>
        </w:rPr>
        <w:t>#1.”</w:t>
      </w:r>
    </w:p>
    <w:p w14:paraId="7E0030E2" w14:textId="77777777" w:rsidR="009A58DB" w:rsidRDefault="00000000">
      <w:pPr>
        <w:pStyle w:val="BodyText"/>
        <w:spacing w:before="118"/>
        <w:jc w:val="left"/>
      </w:pPr>
      <w:bookmarkStart w:id="845" w:name="_bookmark845"/>
      <w:bookmarkEnd w:id="845"/>
      <w:r>
        <w:rPr>
          <w:color w:val="0562C1"/>
          <w:u w:val="single" w:color="0562C1"/>
          <w:vertAlign w:val="superscript"/>
        </w:rPr>
        <w:t>[172]</w:t>
      </w:r>
      <w:r>
        <w:rPr>
          <w:sz w:val="22"/>
        </w:rPr>
        <w:t>.</w:t>
      </w:r>
      <w:r>
        <w:rPr>
          <w:spacing w:val="10"/>
          <w:sz w:val="22"/>
        </w:rPr>
        <w:t xml:space="preserve"> </w:t>
      </w:r>
      <w:r>
        <w:t>“MP”</w:t>
      </w:r>
      <w:r>
        <w:rPr>
          <w:spacing w:val="13"/>
        </w:rPr>
        <w:t xml:space="preserve"> </w:t>
      </w:r>
      <w:r>
        <w:t>is</w:t>
      </w:r>
      <w:r>
        <w:rPr>
          <w:spacing w:val="12"/>
        </w:rPr>
        <w:t xml:space="preserve"> </w:t>
      </w:r>
      <w:r>
        <w:t>short</w:t>
      </w:r>
      <w:r>
        <w:rPr>
          <w:spacing w:val="12"/>
        </w:rPr>
        <w:t xml:space="preserve"> </w:t>
      </w:r>
      <w:r>
        <w:t>for</w:t>
      </w:r>
      <w:r>
        <w:rPr>
          <w:spacing w:val="12"/>
        </w:rPr>
        <w:t xml:space="preserve"> </w:t>
      </w:r>
      <w:r>
        <w:t>“Max</w:t>
      </w:r>
      <w:r>
        <w:rPr>
          <w:spacing w:val="13"/>
        </w:rPr>
        <w:t xml:space="preserve"> </w:t>
      </w:r>
      <w:r>
        <w:rPr>
          <w:spacing w:val="-2"/>
        </w:rPr>
        <w:t>plaid.”</w:t>
      </w:r>
    </w:p>
    <w:p w14:paraId="7E0030E3" w14:textId="77777777" w:rsidR="009A58DB" w:rsidRDefault="00000000">
      <w:pPr>
        <w:pStyle w:val="BodyText"/>
        <w:spacing w:before="120"/>
        <w:jc w:val="left"/>
      </w:pPr>
      <w:bookmarkStart w:id="846" w:name="_bookmark846"/>
      <w:bookmarkEnd w:id="846"/>
      <w:r>
        <w:rPr>
          <w:color w:val="0562C1"/>
          <w:u w:val="single" w:color="0562C1"/>
          <w:vertAlign w:val="superscript"/>
        </w:rPr>
        <w:t>[173]</w:t>
      </w:r>
      <w:r>
        <w:rPr>
          <w:sz w:val="22"/>
        </w:rPr>
        <w:t>.</w:t>
      </w:r>
      <w:r>
        <w:rPr>
          <w:spacing w:val="7"/>
          <w:sz w:val="22"/>
        </w:rPr>
        <w:t xml:space="preserve"> </w:t>
      </w:r>
      <w:r>
        <w:t>“VR”</w:t>
      </w:r>
      <w:r>
        <w:rPr>
          <w:spacing w:val="8"/>
        </w:rPr>
        <w:t xml:space="preserve"> </w:t>
      </w:r>
      <w:r>
        <w:t>is</w:t>
      </w:r>
      <w:r>
        <w:rPr>
          <w:spacing w:val="8"/>
        </w:rPr>
        <w:t xml:space="preserve"> </w:t>
      </w:r>
      <w:r>
        <w:t>short</w:t>
      </w:r>
      <w:r>
        <w:rPr>
          <w:spacing w:val="8"/>
        </w:rPr>
        <w:t xml:space="preserve"> </w:t>
      </w:r>
      <w:r>
        <w:t>for</w:t>
      </w:r>
      <w:r>
        <w:rPr>
          <w:spacing w:val="7"/>
        </w:rPr>
        <w:t xml:space="preserve"> </w:t>
      </w:r>
      <w:r>
        <w:t>“visual</w:t>
      </w:r>
      <w:r>
        <w:rPr>
          <w:spacing w:val="8"/>
        </w:rPr>
        <w:t xml:space="preserve"> </w:t>
      </w:r>
      <w:r>
        <w:t>perception</w:t>
      </w:r>
      <w:r>
        <w:rPr>
          <w:spacing w:val="9"/>
        </w:rPr>
        <w:t xml:space="preserve"> </w:t>
      </w:r>
      <w:r>
        <w:t>of</w:t>
      </w:r>
      <w:r>
        <w:rPr>
          <w:spacing w:val="8"/>
        </w:rPr>
        <w:t xml:space="preserve"> </w:t>
      </w:r>
      <w:r>
        <w:rPr>
          <w:spacing w:val="-2"/>
        </w:rPr>
        <w:t>robot.”</w:t>
      </w:r>
    </w:p>
    <w:p w14:paraId="7E0030E4" w14:textId="77777777" w:rsidR="009A58DB" w:rsidRDefault="00000000">
      <w:pPr>
        <w:spacing w:before="5" w:line="460" w:lineRule="atLeast"/>
        <w:ind w:left="360" w:right="4951"/>
        <w:rPr>
          <w:sz w:val="30"/>
        </w:rPr>
      </w:pPr>
      <w:bookmarkStart w:id="847" w:name="_bookmark847"/>
      <w:bookmarkEnd w:id="847"/>
      <w:r>
        <w:rPr>
          <w:color w:val="0562C1"/>
          <w:position w:val="18"/>
          <w:u w:val="single" w:color="0562C1"/>
        </w:rPr>
        <w:t>[174]</w:t>
      </w:r>
      <w:r>
        <w:t xml:space="preserve">. </w:t>
      </w:r>
      <w:r>
        <w:rPr>
          <w:sz w:val="30"/>
        </w:rPr>
        <w:t>“CVR” i</w:t>
      </w:r>
      <w:r>
        <w:t xml:space="preserve">s short for “content of ” “VR.” </w:t>
      </w:r>
      <w:bookmarkStart w:id="848" w:name="_bookmark848"/>
      <w:bookmarkEnd w:id="848"/>
      <w:r>
        <w:rPr>
          <w:color w:val="0562C1"/>
          <w:sz w:val="30"/>
          <w:u w:val="single" w:color="0562C1"/>
          <w:vertAlign w:val="superscript"/>
        </w:rPr>
        <w:t>[175]</w:t>
      </w:r>
      <w:r>
        <w:t xml:space="preserve">. </w:t>
      </w:r>
      <w:r>
        <w:rPr>
          <w:sz w:val="30"/>
        </w:rPr>
        <w:t>See also Russell (1948: 271–294).</w:t>
      </w:r>
    </w:p>
    <w:p w14:paraId="7E0030E5" w14:textId="77777777" w:rsidR="009A58DB" w:rsidRDefault="00000000">
      <w:pPr>
        <w:pStyle w:val="BodyText"/>
        <w:spacing w:before="125" w:line="249" w:lineRule="auto"/>
        <w:ind w:left="645" w:right="794" w:hanging="285"/>
        <w:jc w:val="left"/>
      </w:pPr>
      <w:bookmarkStart w:id="849" w:name="_bookmark849"/>
      <w:bookmarkEnd w:id="849"/>
      <w:r>
        <w:rPr>
          <w:color w:val="0562C1"/>
          <w:u w:val="single" w:color="0562C1"/>
          <w:vertAlign w:val="superscript"/>
        </w:rPr>
        <w:t>[176]</w:t>
      </w:r>
      <w:r>
        <w:rPr>
          <w:sz w:val="22"/>
        </w:rPr>
        <w:t xml:space="preserve">. </w:t>
      </w:r>
      <w:r>
        <w:t>Gareth Evans (1982) was the first, as I know, to see that Burge’s position</w:t>
      </w:r>
      <w:r>
        <w:rPr>
          <w:spacing w:val="-5"/>
        </w:rPr>
        <w:t xml:space="preserve"> </w:t>
      </w:r>
      <w:r>
        <w:t>has</w:t>
      </w:r>
      <w:r>
        <w:rPr>
          <w:spacing w:val="-6"/>
        </w:rPr>
        <w:t xml:space="preserve"> </w:t>
      </w:r>
      <w:r>
        <w:t>this</w:t>
      </w:r>
      <w:r>
        <w:rPr>
          <w:spacing w:val="-6"/>
        </w:rPr>
        <w:t xml:space="preserve"> </w:t>
      </w:r>
      <w:r>
        <w:t>consequence.</w:t>
      </w:r>
      <w:r>
        <w:rPr>
          <w:spacing w:val="-5"/>
        </w:rPr>
        <w:t xml:space="preserve"> </w:t>
      </w:r>
      <w:r>
        <w:t>But</w:t>
      </w:r>
      <w:r>
        <w:rPr>
          <w:spacing w:val="-6"/>
        </w:rPr>
        <w:t xml:space="preserve"> </w:t>
      </w:r>
      <w:r>
        <w:t>Evans,</w:t>
      </w:r>
      <w:r>
        <w:rPr>
          <w:spacing w:val="-5"/>
        </w:rPr>
        <w:t xml:space="preserve"> </w:t>
      </w:r>
      <w:r>
        <w:t>being</w:t>
      </w:r>
      <w:r>
        <w:rPr>
          <w:spacing w:val="-5"/>
        </w:rPr>
        <w:t xml:space="preserve"> </w:t>
      </w:r>
      <w:r>
        <w:t>a</w:t>
      </w:r>
      <w:r>
        <w:rPr>
          <w:spacing w:val="-6"/>
        </w:rPr>
        <w:t xml:space="preserve"> </w:t>
      </w:r>
      <w:r>
        <w:t>content-externalist, accepts this consequence, deeply bizarre though it is.</w:t>
      </w:r>
    </w:p>
    <w:p w14:paraId="7E0030E6" w14:textId="77777777" w:rsidR="009A58DB" w:rsidRDefault="00000000">
      <w:pPr>
        <w:pStyle w:val="BodyText"/>
        <w:spacing w:before="108"/>
        <w:jc w:val="left"/>
      </w:pPr>
      <w:bookmarkStart w:id="850" w:name="_bookmark850"/>
      <w:bookmarkEnd w:id="850"/>
      <w:r>
        <w:rPr>
          <w:color w:val="0562C1"/>
          <w:u w:val="single" w:color="0562C1"/>
          <w:vertAlign w:val="superscript"/>
        </w:rPr>
        <w:t>[177]</w:t>
      </w:r>
      <w:r>
        <w:rPr>
          <w:sz w:val="22"/>
        </w:rPr>
        <w:t>.</w:t>
      </w:r>
      <w:r>
        <w:rPr>
          <w:spacing w:val="10"/>
          <w:sz w:val="22"/>
        </w:rPr>
        <w:t xml:space="preserve"> </w:t>
      </w:r>
      <w:r>
        <w:t>“MP”</w:t>
      </w:r>
      <w:r>
        <w:rPr>
          <w:spacing w:val="13"/>
        </w:rPr>
        <w:t xml:space="preserve"> </w:t>
      </w:r>
      <w:r>
        <w:t>is</w:t>
      </w:r>
      <w:r>
        <w:rPr>
          <w:spacing w:val="12"/>
        </w:rPr>
        <w:t xml:space="preserve"> </w:t>
      </w:r>
      <w:r>
        <w:t>short</w:t>
      </w:r>
      <w:r>
        <w:rPr>
          <w:spacing w:val="12"/>
        </w:rPr>
        <w:t xml:space="preserve"> </w:t>
      </w:r>
      <w:r>
        <w:t>for</w:t>
      </w:r>
      <w:r>
        <w:rPr>
          <w:spacing w:val="12"/>
        </w:rPr>
        <w:t xml:space="preserve"> </w:t>
      </w:r>
      <w:r>
        <w:t>“Max</w:t>
      </w:r>
      <w:r>
        <w:rPr>
          <w:spacing w:val="13"/>
        </w:rPr>
        <w:t xml:space="preserve"> </w:t>
      </w:r>
      <w:r>
        <w:rPr>
          <w:spacing w:val="-2"/>
        </w:rPr>
        <w:t>plaid.”</w:t>
      </w:r>
    </w:p>
    <w:p w14:paraId="7E0030E7" w14:textId="77777777" w:rsidR="009A58DB" w:rsidRDefault="00000000">
      <w:pPr>
        <w:pStyle w:val="BodyText"/>
        <w:spacing w:before="120"/>
        <w:jc w:val="left"/>
      </w:pPr>
      <w:bookmarkStart w:id="851" w:name="_bookmark851"/>
      <w:bookmarkEnd w:id="851"/>
      <w:r>
        <w:rPr>
          <w:color w:val="0562C1"/>
          <w:u w:val="single" w:color="0562C1"/>
          <w:vertAlign w:val="superscript"/>
        </w:rPr>
        <w:t>[178]</w:t>
      </w:r>
      <w:r>
        <w:rPr>
          <w:sz w:val="22"/>
        </w:rPr>
        <w:t>.</w:t>
      </w:r>
      <w:r>
        <w:rPr>
          <w:spacing w:val="10"/>
          <w:sz w:val="22"/>
        </w:rPr>
        <w:t xml:space="preserve"> </w:t>
      </w:r>
      <w:r>
        <w:t>Strawson</w:t>
      </w:r>
      <w:r>
        <w:rPr>
          <w:spacing w:val="12"/>
        </w:rPr>
        <w:t xml:space="preserve"> </w:t>
      </w:r>
      <w:r>
        <w:t>(1950)</w:t>
      </w:r>
      <w:r>
        <w:rPr>
          <w:spacing w:val="11"/>
        </w:rPr>
        <w:t xml:space="preserve"> </w:t>
      </w:r>
      <w:r>
        <w:t>makes</w:t>
      </w:r>
      <w:r>
        <w:rPr>
          <w:spacing w:val="11"/>
        </w:rPr>
        <w:t xml:space="preserve"> </w:t>
      </w:r>
      <w:r>
        <w:t>a</w:t>
      </w:r>
      <w:r>
        <w:rPr>
          <w:spacing w:val="11"/>
        </w:rPr>
        <w:t xml:space="preserve"> </w:t>
      </w:r>
      <w:r>
        <w:t>similar</w:t>
      </w:r>
      <w:r>
        <w:rPr>
          <w:spacing w:val="11"/>
        </w:rPr>
        <w:t xml:space="preserve"> </w:t>
      </w:r>
      <w:r>
        <w:rPr>
          <w:spacing w:val="-2"/>
        </w:rPr>
        <w:t>point.</w:t>
      </w:r>
    </w:p>
    <w:p w14:paraId="7E0030E8" w14:textId="77777777" w:rsidR="009A58DB" w:rsidRDefault="00000000">
      <w:pPr>
        <w:pStyle w:val="BodyText"/>
        <w:spacing w:before="120"/>
        <w:jc w:val="left"/>
      </w:pPr>
      <w:bookmarkStart w:id="852" w:name="_bookmark852"/>
      <w:bookmarkEnd w:id="852"/>
      <w:r>
        <w:rPr>
          <w:color w:val="0562C1"/>
          <w:u w:val="single" w:color="0562C1"/>
          <w:vertAlign w:val="superscript"/>
        </w:rPr>
        <w:t>[179]</w:t>
      </w:r>
      <w:r>
        <w:rPr>
          <w:sz w:val="22"/>
        </w:rPr>
        <w:t>.</w:t>
      </w:r>
      <w:r>
        <w:rPr>
          <w:spacing w:val="10"/>
          <w:sz w:val="22"/>
        </w:rPr>
        <w:t xml:space="preserve"> </w:t>
      </w:r>
      <w:r>
        <w:t>“BV”</w:t>
      </w:r>
      <w:r>
        <w:rPr>
          <w:spacing w:val="12"/>
        </w:rPr>
        <w:t xml:space="preserve"> </w:t>
      </w:r>
      <w:r>
        <w:t>is</w:t>
      </w:r>
      <w:r>
        <w:rPr>
          <w:spacing w:val="12"/>
        </w:rPr>
        <w:t xml:space="preserve"> </w:t>
      </w:r>
      <w:r>
        <w:t>short</w:t>
      </w:r>
      <w:r>
        <w:rPr>
          <w:spacing w:val="11"/>
        </w:rPr>
        <w:t xml:space="preserve"> </w:t>
      </w:r>
      <w:r>
        <w:t>for</w:t>
      </w:r>
      <w:r>
        <w:rPr>
          <w:spacing w:val="12"/>
        </w:rPr>
        <w:t xml:space="preserve"> </w:t>
      </w:r>
      <w:r>
        <w:t>“Burge’s</w:t>
      </w:r>
      <w:r>
        <w:rPr>
          <w:spacing w:val="12"/>
        </w:rPr>
        <w:t xml:space="preserve"> </w:t>
      </w:r>
      <w:r>
        <w:rPr>
          <w:spacing w:val="-2"/>
        </w:rPr>
        <w:t>view.”</w:t>
      </w:r>
    </w:p>
    <w:p w14:paraId="7E0030E9" w14:textId="77777777" w:rsidR="009A58DB" w:rsidRDefault="00000000">
      <w:pPr>
        <w:pStyle w:val="BodyText"/>
        <w:spacing w:before="120" w:line="249" w:lineRule="auto"/>
        <w:ind w:left="645" w:right="422" w:hanging="285"/>
        <w:jc w:val="left"/>
      </w:pPr>
      <w:bookmarkStart w:id="853" w:name="_bookmark853"/>
      <w:bookmarkEnd w:id="853"/>
      <w:r>
        <w:rPr>
          <w:color w:val="0562C1"/>
          <w:u w:val="single" w:color="0562C1"/>
          <w:vertAlign w:val="superscript"/>
        </w:rPr>
        <w:t>[180]</w:t>
      </w:r>
      <w:r>
        <w:rPr>
          <w:sz w:val="22"/>
        </w:rPr>
        <w:t xml:space="preserve">. </w:t>
      </w:r>
      <w:r>
        <w:t>Wittgenstein (1958) repeatedly says that thought isn’t a psychological (or,</w:t>
      </w:r>
      <w:r>
        <w:rPr>
          <w:spacing w:val="-4"/>
        </w:rPr>
        <w:t xml:space="preserve"> </w:t>
      </w:r>
      <w:r>
        <w:t>as</w:t>
      </w:r>
      <w:r>
        <w:rPr>
          <w:spacing w:val="-5"/>
        </w:rPr>
        <w:t xml:space="preserve"> </w:t>
      </w:r>
      <w:r>
        <w:t>he</w:t>
      </w:r>
      <w:r>
        <w:rPr>
          <w:spacing w:val="-5"/>
        </w:rPr>
        <w:t xml:space="preserve"> </w:t>
      </w:r>
      <w:r>
        <w:t>puts</w:t>
      </w:r>
      <w:r>
        <w:rPr>
          <w:spacing w:val="-5"/>
        </w:rPr>
        <w:t xml:space="preserve"> </w:t>
      </w:r>
      <w:r>
        <w:t>it,</w:t>
      </w:r>
      <w:r>
        <w:rPr>
          <w:spacing w:val="-4"/>
        </w:rPr>
        <w:t xml:space="preserve"> </w:t>
      </w:r>
      <w:r>
        <w:t>an</w:t>
      </w:r>
      <w:r>
        <w:rPr>
          <w:spacing w:val="-4"/>
        </w:rPr>
        <w:t xml:space="preserve"> </w:t>
      </w:r>
      <w:r>
        <w:t>“inward”)</w:t>
      </w:r>
      <w:r>
        <w:rPr>
          <w:spacing w:val="-5"/>
        </w:rPr>
        <w:t xml:space="preserve"> </w:t>
      </w:r>
      <w:r>
        <w:t>process.</w:t>
      </w:r>
      <w:r>
        <w:rPr>
          <w:spacing w:val="-4"/>
        </w:rPr>
        <w:t xml:space="preserve"> </w:t>
      </w:r>
      <w:r>
        <w:t>Wittgenstein’s</w:t>
      </w:r>
      <w:r>
        <w:rPr>
          <w:spacing w:val="-5"/>
        </w:rPr>
        <w:t xml:space="preserve"> </w:t>
      </w:r>
      <w:r>
        <w:t>argument’s</w:t>
      </w:r>
      <w:r>
        <w:rPr>
          <w:spacing w:val="-5"/>
        </w:rPr>
        <w:t xml:space="preserve"> </w:t>
      </w:r>
      <w:r>
        <w:t>for</w:t>
      </w:r>
      <w:r>
        <w:rPr>
          <w:spacing w:val="-5"/>
        </w:rPr>
        <w:t xml:space="preserve"> </w:t>
      </w:r>
      <w:r>
        <w:t>this ludicrous position are thoroughly examined in Chapter 5. Burge’s argumentation, though deeply flawed in my view, is considerably better than Wittgenstein’s.</w:t>
      </w:r>
    </w:p>
    <w:p w14:paraId="7E0030EA" w14:textId="77777777" w:rsidR="009A58DB" w:rsidRDefault="00000000">
      <w:pPr>
        <w:pStyle w:val="BodyText"/>
        <w:spacing w:before="111"/>
        <w:jc w:val="left"/>
      </w:pPr>
      <w:bookmarkStart w:id="854" w:name="_bookmark854"/>
      <w:bookmarkEnd w:id="854"/>
      <w:r>
        <w:rPr>
          <w:color w:val="0562C1"/>
          <w:w w:val="105"/>
          <w:u w:val="single" w:color="0562C1"/>
          <w:vertAlign w:val="superscript"/>
        </w:rPr>
        <w:t>[181]</w:t>
      </w:r>
      <w:r>
        <w:rPr>
          <w:w w:val="105"/>
          <w:sz w:val="22"/>
        </w:rPr>
        <w:t>.</w:t>
      </w:r>
      <w:r>
        <w:rPr>
          <w:spacing w:val="-2"/>
          <w:w w:val="105"/>
          <w:sz w:val="22"/>
        </w:rPr>
        <w:t xml:space="preserve"> </w:t>
      </w:r>
      <w:r>
        <w:rPr>
          <w:w w:val="105"/>
        </w:rPr>
        <w:t>See</w:t>
      </w:r>
      <w:r>
        <w:rPr>
          <w:spacing w:val="-5"/>
          <w:w w:val="105"/>
        </w:rPr>
        <w:t xml:space="preserve"> </w:t>
      </w:r>
      <w:r>
        <w:rPr>
          <w:w w:val="105"/>
        </w:rPr>
        <w:t>Burge</w:t>
      </w:r>
      <w:r>
        <w:rPr>
          <w:spacing w:val="-5"/>
          <w:w w:val="105"/>
        </w:rPr>
        <w:t xml:space="preserve"> </w:t>
      </w:r>
      <w:r>
        <w:rPr>
          <w:spacing w:val="-2"/>
          <w:w w:val="105"/>
        </w:rPr>
        <w:t>(1986).</w:t>
      </w:r>
    </w:p>
    <w:p w14:paraId="7E0030EB" w14:textId="77777777" w:rsidR="009A58DB" w:rsidRDefault="00000000">
      <w:pPr>
        <w:pStyle w:val="BodyText"/>
        <w:spacing w:before="121" w:line="249" w:lineRule="auto"/>
        <w:ind w:left="645" w:right="939" w:hanging="285"/>
        <w:jc w:val="left"/>
      </w:pPr>
      <w:bookmarkStart w:id="855" w:name="_bookmark855"/>
      <w:bookmarkEnd w:id="855"/>
      <w:r>
        <w:rPr>
          <w:color w:val="0562C1"/>
          <w:u w:val="single" w:color="0562C1"/>
          <w:vertAlign w:val="superscript"/>
        </w:rPr>
        <w:t>[182]</w:t>
      </w:r>
      <w:r>
        <w:rPr>
          <w:sz w:val="22"/>
        </w:rPr>
        <w:t xml:space="preserve">. </w:t>
      </w:r>
      <w:r>
        <w:t xml:space="preserve">See Falvey and Owns (1994) for an example of the lengths to which content-externalists have gone to validate their clearly degenerating </w:t>
      </w:r>
      <w:r>
        <w:rPr>
          <w:spacing w:val="-2"/>
        </w:rPr>
        <w:t>research-program.</w:t>
      </w:r>
    </w:p>
    <w:p w14:paraId="7E0030EC" w14:textId="77777777" w:rsidR="009A58DB" w:rsidRDefault="00000000">
      <w:pPr>
        <w:pStyle w:val="BodyText"/>
        <w:spacing w:before="108"/>
        <w:jc w:val="left"/>
      </w:pPr>
      <w:bookmarkStart w:id="856" w:name="_bookmark856"/>
      <w:bookmarkEnd w:id="856"/>
      <w:r>
        <w:rPr>
          <w:color w:val="0562C1"/>
          <w:u w:val="single" w:color="0562C1"/>
          <w:vertAlign w:val="superscript"/>
        </w:rPr>
        <w:t>[183]</w:t>
      </w:r>
      <w:r>
        <w:rPr>
          <w:sz w:val="22"/>
        </w:rPr>
        <w:t>.</w:t>
      </w:r>
      <w:r>
        <w:rPr>
          <w:spacing w:val="9"/>
          <w:sz w:val="22"/>
        </w:rPr>
        <w:t xml:space="preserve"> </w:t>
      </w:r>
      <w:r>
        <w:t>See</w:t>
      </w:r>
      <w:r>
        <w:rPr>
          <w:spacing w:val="10"/>
        </w:rPr>
        <w:t xml:space="preserve"> </w:t>
      </w:r>
      <w:r>
        <w:t>Kuczynski</w:t>
      </w:r>
      <w:r>
        <w:rPr>
          <w:spacing w:val="10"/>
        </w:rPr>
        <w:t xml:space="preserve"> </w:t>
      </w:r>
      <w:r>
        <w:t>(2007)</w:t>
      </w:r>
      <w:r>
        <w:rPr>
          <w:spacing w:val="10"/>
        </w:rPr>
        <w:t xml:space="preserve"> </w:t>
      </w:r>
      <w:r>
        <w:t>for</w:t>
      </w:r>
      <w:r>
        <w:rPr>
          <w:spacing w:val="11"/>
        </w:rPr>
        <w:t xml:space="preserve"> </w:t>
      </w:r>
      <w:r>
        <w:t>a</w:t>
      </w:r>
      <w:r>
        <w:rPr>
          <w:spacing w:val="10"/>
        </w:rPr>
        <w:t xml:space="preserve"> </w:t>
      </w:r>
      <w:r>
        <w:t>thorough</w:t>
      </w:r>
      <w:r>
        <w:rPr>
          <w:spacing w:val="11"/>
        </w:rPr>
        <w:t xml:space="preserve"> </w:t>
      </w:r>
      <w:r>
        <w:rPr>
          <w:spacing w:val="-2"/>
        </w:rPr>
        <w:t>discussion.</w:t>
      </w:r>
    </w:p>
    <w:p w14:paraId="7E0030ED" w14:textId="77777777" w:rsidR="009A58DB" w:rsidRDefault="00000000">
      <w:pPr>
        <w:spacing w:before="120" w:line="249" w:lineRule="auto"/>
        <w:ind w:left="645" w:hanging="285"/>
        <w:rPr>
          <w:i/>
          <w:sz w:val="30"/>
        </w:rPr>
      </w:pPr>
      <w:bookmarkStart w:id="857" w:name="_bookmark857"/>
      <w:bookmarkEnd w:id="857"/>
      <w:r>
        <w:rPr>
          <w:color w:val="0562C1"/>
          <w:sz w:val="30"/>
          <w:u w:val="single" w:color="0562C1"/>
          <w:vertAlign w:val="superscript"/>
        </w:rPr>
        <w:t>[184]</w:t>
      </w:r>
      <w:r>
        <w:t xml:space="preserve">. </w:t>
      </w:r>
      <w:r>
        <w:rPr>
          <w:sz w:val="30"/>
        </w:rPr>
        <w:t xml:space="preserve">See, for example, Bertrand Russell’s 1948 book </w:t>
      </w:r>
      <w:r>
        <w:rPr>
          <w:i/>
          <w:sz w:val="30"/>
        </w:rPr>
        <w:t>Human Knowledge: Its Scope and Limits.</w:t>
      </w:r>
    </w:p>
    <w:p w14:paraId="7E0030EE" w14:textId="77777777" w:rsidR="009A58DB" w:rsidRDefault="00000000">
      <w:pPr>
        <w:pStyle w:val="BodyText"/>
        <w:spacing w:before="108"/>
        <w:jc w:val="left"/>
      </w:pPr>
      <w:bookmarkStart w:id="858" w:name="_bookmark858"/>
      <w:bookmarkEnd w:id="858"/>
      <w:r>
        <w:rPr>
          <w:color w:val="0562C1"/>
          <w:u w:val="single" w:color="0562C1"/>
          <w:vertAlign w:val="superscript"/>
        </w:rPr>
        <w:t>[185]</w:t>
      </w:r>
      <w:r>
        <w:rPr>
          <w:sz w:val="22"/>
        </w:rPr>
        <w:t>.</w:t>
      </w:r>
      <w:r>
        <w:rPr>
          <w:spacing w:val="7"/>
          <w:sz w:val="22"/>
        </w:rPr>
        <w:t xml:space="preserve"> </w:t>
      </w:r>
      <w:r>
        <w:t>See</w:t>
      </w:r>
      <w:r>
        <w:rPr>
          <w:spacing w:val="7"/>
        </w:rPr>
        <w:t xml:space="preserve"> </w:t>
      </w:r>
      <w:r>
        <w:t>Gettier</w:t>
      </w:r>
      <w:r>
        <w:rPr>
          <w:spacing w:val="7"/>
        </w:rPr>
        <w:t xml:space="preserve"> </w:t>
      </w:r>
      <w:r>
        <w:t>(1963).</w:t>
      </w:r>
      <w:r>
        <w:rPr>
          <w:spacing w:val="8"/>
        </w:rPr>
        <w:t xml:space="preserve"> </w:t>
      </w:r>
      <w:r>
        <w:t>These</w:t>
      </w:r>
      <w:r>
        <w:rPr>
          <w:spacing w:val="7"/>
        </w:rPr>
        <w:t xml:space="preserve"> </w:t>
      </w:r>
      <w:r>
        <w:t>very</w:t>
      </w:r>
      <w:r>
        <w:rPr>
          <w:spacing w:val="9"/>
        </w:rPr>
        <w:t xml:space="preserve"> </w:t>
      </w:r>
      <w:r>
        <w:t>examples</w:t>
      </w:r>
      <w:r>
        <w:rPr>
          <w:spacing w:val="7"/>
        </w:rPr>
        <w:t xml:space="preserve"> </w:t>
      </w:r>
      <w:r>
        <w:t>are</w:t>
      </w:r>
      <w:r>
        <w:rPr>
          <w:spacing w:val="7"/>
        </w:rPr>
        <w:t xml:space="preserve"> </w:t>
      </w:r>
      <w:r>
        <w:rPr>
          <w:spacing w:val="-2"/>
        </w:rPr>
        <w:t>Gettier’s.</w:t>
      </w:r>
    </w:p>
    <w:p w14:paraId="7E0030EF" w14:textId="77777777" w:rsidR="009A58DB" w:rsidRDefault="00000000">
      <w:pPr>
        <w:pStyle w:val="BodyText"/>
        <w:spacing w:before="120"/>
        <w:jc w:val="left"/>
      </w:pPr>
      <w:bookmarkStart w:id="859" w:name="_bookmark859"/>
      <w:bookmarkEnd w:id="859"/>
      <w:r>
        <w:rPr>
          <w:color w:val="0562C1"/>
          <w:w w:val="105"/>
          <w:u w:val="single" w:color="0562C1"/>
          <w:vertAlign w:val="superscript"/>
        </w:rPr>
        <w:t>[186]</w:t>
      </w:r>
      <w:r>
        <w:rPr>
          <w:w w:val="105"/>
          <w:sz w:val="22"/>
        </w:rPr>
        <w:t>.</w:t>
      </w:r>
      <w:r>
        <w:rPr>
          <w:spacing w:val="-6"/>
          <w:w w:val="105"/>
          <w:sz w:val="22"/>
        </w:rPr>
        <w:t xml:space="preserve"> </w:t>
      </w:r>
      <w:r>
        <w:rPr>
          <w:w w:val="105"/>
        </w:rPr>
        <w:t>See</w:t>
      </w:r>
      <w:r>
        <w:rPr>
          <w:spacing w:val="-9"/>
          <w:w w:val="105"/>
        </w:rPr>
        <w:t xml:space="preserve"> </w:t>
      </w:r>
      <w:r>
        <w:rPr>
          <w:w w:val="105"/>
        </w:rPr>
        <w:t>Chapter</w:t>
      </w:r>
      <w:r>
        <w:rPr>
          <w:spacing w:val="-10"/>
          <w:w w:val="105"/>
        </w:rPr>
        <w:t xml:space="preserve"> </w:t>
      </w:r>
      <w:r>
        <w:rPr>
          <w:spacing w:val="-5"/>
          <w:w w:val="105"/>
        </w:rPr>
        <w:t>7.</w:t>
      </w:r>
    </w:p>
    <w:p w14:paraId="7E0030F0" w14:textId="77777777" w:rsidR="009A58DB" w:rsidRDefault="009A58DB">
      <w:pPr>
        <w:pStyle w:val="BodyText"/>
        <w:jc w:val="left"/>
        <w:sectPr w:rsidR="009A58DB">
          <w:pgSz w:w="12240" w:h="15840"/>
          <w:pgMar w:top="1360" w:right="1080" w:bottom="280" w:left="1080" w:header="720" w:footer="720" w:gutter="0"/>
          <w:cols w:space="720"/>
        </w:sectPr>
      </w:pPr>
    </w:p>
    <w:p w14:paraId="7E0030F1" w14:textId="77777777" w:rsidR="009A58DB" w:rsidRDefault="00000000">
      <w:pPr>
        <w:pStyle w:val="BodyText"/>
        <w:spacing w:before="190"/>
        <w:jc w:val="left"/>
      </w:pPr>
      <w:bookmarkStart w:id="860" w:name="_bookmark860"/>
      <w:bookmarkEnd w:id="860"/>
      <w:r>
        <w:rPr>
          <w:color w:val="0562C1"/>
          <w:u w:val="single" w:color="0562C1"/>
          <w:vertAlign w:val="superscript"/>
        </w:rPr>
        <w:t>[187]</w:t>
      </w:r>
      <w:r>
        <w:rPr>
          <w:sz w:val="22"/>
        </w:rPr>
        <w:t>.</w:t>
      </w:r>
      <w:r>
        <w:rPr>
          <w:spacing w:val="6"/>
          <w:sz w:val="22"/>
        </w:rPr>
        <w:t xml:space="preserve"> </w:t>
      </w:r>
      <w:r>
        <w:t>I</w:t>
      </w:r>
      <w:r>
        <w:rPr>
          <w:spacing w:val="6"/>
        </w:rPr>
        <w:t xml:space="preserve"> </w:t>
      </w:r>
      <w:r>
        <w:t>am</w:t>
      </w:r>
      <w:r>
        <w:rPr>
          <w:spacing w:val="6"/>
        </w:rPr>
        <w:t xml:space="preserve"> </w:t>
      </w:r>
      <w:r>
        <w:t>using</w:t>
      </w:r>
      <w:r>
        <w:rPr>
          <w:spacing w:val="7"/>
        </w:rPr>
        <w:t xml:space="preserve"> </w:t>
      </w:r>
      <w:r>
        <w:t>the</w:t>
      </w:r>
      <w:r>
        <w:rPr>
          <w:spacing w:val="6"/>
        </w:rPr>
        <w:t xml:space="preserve"> </w:t>
      </w:r>
      <w:r>
        <w:t>word</w:t>
      </w:r>
      <w:r>
        <w:rPr>
          <w:spacing w:val="7"/>
        </w:rPr>
        <w:t xml:space="preserve"> </w:t>
      </w:r>
      <w:r>
        <w:t>“laws”</w:t>
      </w:r>
      <w:r>
        <w:rPr>
          <w:spacing w:val="6"/>
        </w:rPr>
        <w:t xml:space="preserve"> </w:t>
      </w:r>
      <w:r>
        <w:t>broadly</w:t>
      </w:r>
      <w:r>
        <w:rPr>
          <w:spacing w:val="7"/>
        </w:rPr>
        <w:t xml:space="preserve"> </w:t>
      </w:r>
      <w:r>
        <w:t>in</w:t>
      </w:r>
      <w:r>
        <w:rPr>
          <w:spacing w:val="7"/>
        </w:rPr>
        <w:t xml:space="preserve"> </w:t>
      </w:r>
      <w:r>
        <w:t>this</w:t>
      </w:r>
      <w:r>
        <w:rPr>
          <w:spacing w:val="6"/>
        </w:rPr>
        <w:t xml:space="preserve"> </w:t>
      </w:r>
      <w:r>
        <w:rPr>
          <w:spacing w:val="-2"/>
        </w:rPr>
        <w:t>context.</w:t>
      </w:r>
    </w:p>
    <w:p w14:paraId="7E0030F2" w14:textId="77777777" w:rsidR="009A58DB" w:rsidRDefault="00000000">
      <w:pPr>
        <w:pStyle w:val="BodyText"/>
        <w:spacing w:before="120"/>
        <w:jc w:val="left"/>
      </w:pPr>
      <w:bookmarkStart w:id="861" w:name="_bookmark861"/>
      <w:bookmarkEnd w:id="861"/>
      <w:r>
        <w:rPr>
          <w:color w:val="0562C1"/>
          <w:u w:val="single" w:color="0562C1"/>
          <w:vertAlign w:val="superscript"/>
        </w:rPr>
        <w:t>[188]</w:t>
      </w:r>
      <w:r>
        <w:rPr>
          <w:sz w:val="22"/>
        </w:rPr>
        <w:t>.</w:t>
      </w:r>
      <w:r>
        <w:rPr>
          <w:spacing w:val="9"/>
          <w:sz w:val="22"/>
        </w:rPr>
        <w:t xml:space="preserve"> </w:t>
      </w:r>
      <w:r>
        <w:t>See</w:t>
      </w:r>
      <w:r>
        <w:rPr>
          <w:spacing w:val="10"/>
        </w:rPr>
        <w:t xml:space="preserve"> </w:t>
      </w:r>
      <w:r>
        <w:t>Lewis</w:t>
      </w:r>
      <w:r>
        <w:rPr>
          <w:spacing w:val="10"/>
        </w:rPr>
        <w:t xml:space="preserve"> </w:t>
      </w:r>
      <w:r>
        <w:t>(1973,</w:t>
      </w:r>
      <w:r>
        <w:rPr>
          <w:spacing w:val="11"/>
        </w:rPr>
        <w:t xml:space="preserve"> </w:t>
      </w:r>
      <w:r>
        <w:t>1984)</w:t>
      </w:r>
      <w:r>
        <w:rPr>
          <w:spacing w:val="10"/>
        </w:rPr>
        <w:t xml:space="preserve"> </w:t>
      </w:r>
      <w:r>
        <w:t>and</w:t>
      </w:r>
      <w:r>
        <w:rPr>
          <w:spacing w:val="11"/>
        </w:rPr>
        <w:t xml:space="preserve"> </w:t>
      </w:r>
      <w:r>
        <w:t>Kment</w:t>
      </w:r>
      <w:r>
        <w:rPr>
          <w:spacing w:val="10"/>
        </w:rPr>
        <w:t xml:space="preserve"> </w:t>
      </w:r>
      <w:r>
        <w:rPr>
          <w:spacing w:val="-2"/>
        </w:rPr>
        <w:t>(2007).</w:t>
      </w:r>
    </w:p>
    <w:p w14:paraId="7E0030F3" w14:textId="77777777" w:rsidR="009A58DB" w:rsidRDefault="00000000">
      <w:pPr>
        <w:pStyle w:val="BodyText"/>
        <w:spacing w:before="120"/>
        <w:jc w:val="left"/>
      </w:pPr>
      <w:bookmarkStart w:id="862" w:name="_bookmark862"/>
      <w:bookmarkEnd w:id="862"/>
      <w:r>
        <w:rPr>
          <w:color w:val="0562C1"/>
          <w:w w:val="105"/>
          <w:u w:val="single" w:color="0562C1"/>
          <w:vertAlign w:val="superscript"/>
        </w:rPr>
        <w:t>[189]</w:t>
      </w:r>
      <w:r>
        <w:rPr>
          <w:w w:val="105"/>
          <w:sz w:val="22"/>
        </w:rPr>
        <w:t>.</w:t>
      </w:r>
      <w:r>
        <w:rPr>
          <w:spacing w:val="-12"/>
          <w:w w:val="105"/>
          <w:sz w:val="22"/>
        </w:rPr>
        <w:t xml:space="preserve"> </w:t>
      </w:r>
      <w:r>
        <w:rPr>
          <w:w w:val="105"/>
        </w:rPr>
        <w:t>See</w:t>
      </w:r>
      <w:r>
        <w:rPr>
          <w:spacing w:val="-18"/>
          <w:w w:val="105"/>
        </w:rPr>
        <w:t xml:space="preserve"> </w:t>
      </w:r>
      <w:r>
        <w:rPr>
          <w:w w:val="105"/>
        </w:rPr>
        <w:t>Churchland</w:t>
      </w:r>
      <w:r>
        <w:rPr>
          <w:spacing w:val="-17"/>
          <w:w w:val="105"/>
        </w:rPr>
        <w:t xml:space="preserve"> </w:t>
      </w:r>
      <w:r>
        <w:rPr>
          <w:spacing w:val="-2"/>
          <w:w w:val="105"/>
        </w:rPr>
        <w:t>(1988).</w:t>
      </w:r>
    </w:p>
    <w:p w14:paraId="7E0030F4" w14:textId="77777777" w:rsidR="009A58DB" w:rsidRDefault="00000000">
      <w:pPr>
        <w:pStyle w:val="BodyText"/>
        <w:spacing w:before="120" w:line="249" w:lineRule="auto"/>
        <w:ind w:left="585" w:right="1240" w:hanging="225"/>
      </w:pPr>
      <w:bookmarkStart w:id="863" w:name="_bookmark863"/>
      <w:bookmarkEnd w:id="863"/>
      <w:r>
        <w:rPr>
          <w:color w:val="0562C1"/>
          <w:u w:val="single" w:color="0562C1"/>
          <w:vertAlign w:val="superscript"/>
        </w:rPr>
        <w:t>[190]</w:t>
      </w:r>
      <w:r>
        <w:rPr>
          <w:sz w:val="22"/>
        </w:rPr>
        <w:t xml:space="preserve">. </w:t>
      </w:r>
      <w:r>
        <w:t xml:space="preserve">Here I am heavily modifying and developing the idea that Ronald Dworkin (1977) made, and put to excellent use, in a totally different </w:t>
      </w:r>
      <w:r>
        <w:rPr>
          <w:spacing w:val="-2"/>
        </w:rPr>
        <w:t>context.</w:t>
      </w:r>
    </w:p>
    <w:p w14:paraId="7E0030F5" w14:textId="77777777" w:rsidR="009A58DB" w:rsidRDefault="00000000">
      <w:pPr>
        <w:pStyle w:val="BodyText"/>
        <w:spacing w:before="108" w:line="249" w:lineRule="auto"/>
        <w:ind w:left="585" w:right="365" w:hanging="225"/>
        <w:jc w:val="left"/>
      </w:pPr>
      <w:bookmarkStart w:id="864" w:name="_bookmark864"/>
      <w:bookmarkEnd w:id="864"/>
      <w:r>
        <w:rPr>
          <w:color w:val="0562C1"/>
          <w:u w:val="single" w:color="0562C1"/>
          <w:vertAlign w:val="superscript"/>
        </w:rPr>
        <w:t>[191]</w:t>
      </w:r>
      <w:r>
        <w:rPr>
          <w:sz w:val="22"/>
        </w:rPr>
        <w:t xml:space="preserve">. </w:t>
      </w:r>
      <w:r>
        <w:t>The whole concept of defeasibility is alien to empiricism, since it involves</w:t>
      </w:r>
      <w:r>
        <w:rPr>
          <w:spacing w:val="-4"/>
        </w:rPr>
        <w:t xml:space="preserve"> </w:t>
      </w:r>
      <w:r>
        <w:t>the</w:t>
      </w:r>
      <w:r>
        <w:rPr>
          <w:spacing w:val="-4"/>
        </w:rPr>
        <w:t xml:space="preserve"> </w:t>
      </w:r>
      <w:r>
        <w:t>concepts</w:t>
      </w:r>
      <w:r>
        <w:rPr>
          <w:spacing w:val="-4"/>
        </w:rPr>
        <w:t xml:space="preserve"> </w:t>
      </w:r>
      <w:r>
        <w:t>of</w:t>
      </w:r>
      <w:r>
        <w:rPr>
          <w:spacing w:val="-4"/>
        </w:rPr>
        <w:t xml:space="preserve"> </w:t>
      </w:r>
      <w:r>
        <w:t>power,</w:t>
      </w:r>
      <w:r>
        <w:rPr>
          <w:spacing w:val="-3"/>
        </w:rPr>
        <w:t xml:space="preserve"> </w:t>
      </w:r>
      <w:r>
        <w:t>which</w:t>
      </w:r>
      <w:r>
        <w:rPr>
          <w:spacing w:val="-3"/>
        </w:rPr>
        <w:t xml:space="preserve"> </w:t>
      </w:r>
      <w:r>
        <w:t>is</w:t>
      </w:r>
      <w:r>
        <w:rPr>
          <w:spacing w:val="-4"/>
        </w:rPr>
        <w:t xml:space="preserve"> </w:t>
      </w:r>
      <w:r>
        <w:t>one</w:t>
      </w:r>
      <w:r>
        <w:rPr>
          <w:spacing w:val="-4"/>
        </w:rPr>
        <w:t xml:space="preserve"> </w:t>
      </w:r>
      <w:r>
        <w:t>that</w:t>
      </w:r>
      <w:r>
        <w:rPr>
          <w:spacing w:val="-4"/>
        </w:rPr>
        <w:t xml:space="preserve"> </w:t>
      </w:r>
      <w:r>
        <w:t>cannot</w:t>
      </w:r>
      <w:r>
        <w:rPr>
          <w:spacing w:val="-4"/>
        </w:rPr>
        <w:t xml:space="preserve"> </w:t>
      </w:r>
      <w:r>
        <w:t>be</w:t>
      </w:r>
      <w:r>
        <w:rPr>
          <w:spacing w:val="-4"/>
        </w:rPr>
        <w:t xml:space="preserve"> </w:t>
      </w:r>
      <w:r>
        <w:t>understood</w:t>
      </w:r>
      <w:r>
        <w:rPr>
          <w:spacing w:val="-3"/>
        </w:rPr>
        <w:t xml:space="preserve"> </w:t>
      </w:r>
      <w:r>
        <w:t>in empiricist terms.</w:t>
      </w:r>
    </w:p>
    <w:p w14:paraId="7E0030F6" w14:textId="77777777" w:rsidR="009A58DB" w:rsidRDefault="00000000">
      <w:pPr>
        <w:spacing w:before="109"/>
        <w:ind w:left="360"/>
        <w:rPr>
          <w:i/>
          <w:sz w:val="30"/>
        </w:rPr>
      </w:pPr>
      <w:bookmarkStart w:id="865" w:name="_bookmark865"/>
      <w:bookmarkEnd w:id="865"/>
      <w:r>
        <w:rPr>
          <w:color w:val="0562C1"/>
          <w:sz w:val="30"/>
          <w:u w:val="single" w:color="0562C1"/>
          <w:vertAlign w:val="superscript"/>
        </w:rPr>
        <w:t>[192]</w:t>
      </w:r>
      <w:r>
        <w:t>.</w:t>
      </w:r>
      <w:r>
        <w:rPr>
          <w:spacing w:val="4"/>
        </w:rPr>
        <w:t xml:space="preserve"> </w:t>
      </w:r>
      <w:r>
        <w:rPr>
          <w:sz w:val="30"/>
        </w:rPr>
        <w:t>This</w:t>
      </w:r>
      <w:r>
        <w:rPr>
          <w:spacing w:val="3"/>
          <w:sz w:val="30"/>
        </w:rPr>
        <w:t xml:space="preserve"> </w:t>
      </w:r>
      <w:r>
        <w:rPr>
          <w:sz w:val="30"/>
        </w:rPr>
        <w:t>argument</w:t>
      </w:r>
      <w:r>
        <w:rPr>
          <w:spacing w:val="3"/>
          <w:sz w:val="30"/>
        </w:rPr>
        <w:t xml:space="preserve"> </w:t>
      </w:r>
      <w:r>
        <w:rPr>
          <w:sz w:val="30"/>
        </w:rPr>
        <w:t>was</w:t>
      </w:r>
      <w:r>
        <w:rPr>
          <w:spacing w:val="3"/>
          <w:sz w:val="30"/>
        </w:rPr>
        <w:t xml:space="preserve"> </w:t>
      </w:r>
      <w:r>
        <w:rPr>
          <w:sz w:val="30"/>
        </w:rPr>
        <w:t>put</w:t>
      </w:r>
      <w:r>
        <w:rPr>
          <w:spacing w:val="3"/>
          <w:sz w:val="30"/>
        </w:rPr>
        <w:t xml:space="preserve"> </w:t>
      </w:r>
      <w:r>
        <w:rPr>
          <w:sz w:val="30"/>
        </w:rPr>
        <w:t>forth</w:t>
      </w:r>
      <w:r>
        <w:rPr>
          <w:spacing w:val="4"/>
          <w:sz w:val="30"/>
        </w:rPr>
        <w:t xml:space="preserve"> </w:t>
      </w:r>
      <w:r>
        <w:rPr>
          <w:sz w:val="30"/>
        </w:rPr>
        <w:t>by</w:t>
      </w:r>
      <w:r>
        <w:rPr>
          <w:spacing w:val="4"/>
          <w:sz w:val="30"/>
        </w:rPr>
        <w:t xml:space="preserve"> </w:t>
      </w:r>
      <w:r>
        <w:rPr>
          <w:sz w:val="30"/>
        </w:rPr>
        <w:t>John</w:t>
      </w:r>
      <w:r>
        <w:rPr>
          <w:spacing w:val="4"/>
          <w:sz w:val="30"/>
        </w:rPr>
        <w:t xml:space="preserve"> </w:t>
      </w:r>
      <w:r>
        <w:rPr>
          <w:sz w:val="30"/>
        </w:rPr>
        <w:t>Stuart</w:t>
      </w:r>
      <w:r>
        <w:rPr>
          <w:spacing w:val="3"/>
          <w:sz w:val="30"/>
        </w:rPr>
        <w:t xml:space="preserve"> </w:t>
      </w:r>
      <w:r>
        <w:rPr>
          <w:sz w:val="30"/>
        </w:rPr>
        <w:t>Mill</w:t>
      </w:r>
      <w:r>
        <w:rPr>
          <w:spacing w:val="3"/>
          <w:sz w:val="30"/>
        </w:rPr>
        <w:t xml:space="preserve"> </w:t>
      </w:r>
      <w:r>
        <w:rPr>
          <w:sz w:val="30"/>
        </w:rPr>
        <w:t>in</w:t>
      </w:r>
      <w:r>
        <w:rPr>
          <w:spacing w:val="3"/>
          <w:sz w:val="30"/>
        </w:rPr>
        <w:t xml:space="preserve"> </w:t>
      </w:r>
      <w:r>
        <w:rPr>
          <w:i/>
          <w:sz w:val="30"/>
        </w:rPr>
        <w:t>A</w:t>
      </w:r>
      <w:r>
        <w:rPr>
          <w:i/>
          <w:spacing w:val="3"/>
          <w:sz w:val="30"/>
        </w:rPr>
        <w:t xml:space="preserve"> </w:t>
      </w:r>
      <w:r>
        <w:rPr>
          <w:i/>
          <w:sz w:val="30"/>
        </w:rPr>
        <w:t>System</w:t>
      </w:r>
      <w:r>
        <w:rPr>
          <w:i/>
          <w:spacing w:val="3"/>
          <w:sz w:val="30"/>
        </w:rPr>
        <w:t xml:space="preserve"> </w:t>
      </w:r>
      <w:r>
        <w:rPr>
          <w:i/>
          <w:sz w:val="30"/>
        </w:rPr>
        <w:t>of</w:t>
      </w:r>
      <w:r>
        <w:rPr>
          <w:i/>
          <w:spacing w:val="3"/>
          <w:sz w:val="30"/>
        </w:rPr>
        <w:t xml:space="preserve"> </w:t>
      </w:r>
      <w:r>
        <w:rPr>
          <w:i/>
          <w:sz w:val="30"/>
        </w:rPr>
        <w:t>Logic</w:t>
      </w:r>
      <w:r>
        <w:rPr>
          <w:i/>
          <w:spacing w:val="3"/>
          <w:sz w:val="30"/>
        </w:rPr>
        <w:t xml:space="preserve"> </w:t>
      </w:r>
      <w:r>
        <w:rPr>
          <w:i/>
          <w:spacing w:val="-10"/>
          <w:sz w:val="30"/>
        </w:rPr>
        <w:t>.</w:t>
      </w:r>
    </w:p>
    <w:p w14:paraId="7E0030F7" w14:textId="77777777" w:rsidR="009A58DB" w:rsidRDefault="00000000">
      <w:pPr>
        <w:pStyle w:val="BodyText"/>
        <w:spacing w:before="120"/>
        <w:jc w:val="left"/>
      </w:pPr>
      <w:bookmarkStart w:id="866" w:name="_bookmark866"/>
      <w:bookmarkEnd w:id="866"/>
      <w:r>
        <w:rPr>
          <w:color w:val="0562C1"/>
          <w:u w:val="single" w:color="0562C1"/>
          <w:vertAlign w:val="superscript"/>
        </w:rPr>
        <w:t>[193]</w:t>
      </w:r>
      <w:r>
        <w:rPr>
          <w:sz w:val="22"/>
        </w:rPr>
        <w:t>.</w:t>
      </w:r>
      <w:r>
        <w:rPr>
          <w:spacing w:val="12"/>
          <w:sz w:val="22"/>
        </w:rPr>
        <w:t xml:space="preserve"> </w:t>
      </w:r>
      <w:r>
        <w:t>See,</w:t>
      </w:r>
      <w:r>
        <w:rPr>
          <w:spacing w:val="15"/>
        </w:rPr>
        <w:t xml:space="preserve"> </w:t>
      </w:r>
      <w:r>
        <w:t>for</w:t>
      </w:r>
      <w:r>
        <w:rPr>
          <w:spacing w:val="14"/>
        </w:rPr>
        <w:t xml:space="preserve"> </w:t>
      </w:r>
      <w:r>
        <w:t>example,</w:t>
      </w:r>
      <w:r>
        <w:rPr>
          <w:spacing w:val="15"/>
        </w:rPr>
        <w:t xml:space="preserve"> </w:t>
      </w:r>
      <w:r>
        <w:t>Searle</w:t>
      </w:r>
      <w:r>
        <w:rPr>
          <w:spacing w:val="14"/>
        </w:rPr>
        <w:t xml:space="preserve"> </w:t>
      </w:r>
      <w:r>
        <w:rPr>
          <w:spacing w:val="-2"/>
        </w:rPr>
        <w:t>(1992).</w:t>
      </w:r>
    </w:p>
    <w:p w14:paraId="7E0030F8" w14:textId="77777777" w:rsidR="009A58DB" w:rsidRDefault="00000000">
      <w:pPr>
        <w:pStyle w:val="BodyText"/>
        <w:spacing w:before="120"/>
        <w:jc w:val="left"/>
      </w:pPr>
      <w:bookmarkStart w:id="867" w:name="_bookmark867"/>
      <w:bookmarkEnd w:id="867"/>
      <w:r>
        <w:rPr>
          <w:color w:val="0562C1"/>
          <w:u w:val="single" w:color="0562C1"/>
          <w:vertAlign w:val="superscript"/>
        </w:rPr>
        <w:t>[194]</w:t>
      </w:r>
      <w:r>
        <w:rPr>
          <w:sz w:val="22"/>
        </w:rPr>
        <w:t>.</w:t>
      </w:r>
      <w:r>
        <w:rPr>
          <w:spacing w:val="4"/>
          <w:sz w:val="22"/>
        </w:rPr>
        <w:t xml:space="preserve"> </w:t>
      </w:r>
      <w:r>
        <w:t>See</w:t>
      </w:r>
      <w:r>
        <w:rPr>
          <w:spacing w:val="4"/>
        </w:rPr>
        <w:t xml:space="preserve"> </w:t>
      </w:r>
      <w:r>
        <w:t>Freud</w:t>
      </w:r>
      <w:r>
        <w:rPr>
          <w:spacing w:val="4"/>
        </w:rPr>
        <w:t xml:space="preserve"> </w:t>
      </w:r>
      <w:r>
        <w:t>(1915)</w:t>
      </w:r>
      <w:r>
        <w:rPr>
          <w:spacing w:val="4"/>
        </w:rPr>
        <w:t xml:space="preserve"> </w:t>
      </w:r>
      <w:r>
        <w:t>for</w:t>
      </w:r>
      <w:r>
        <w:rPr>
          <w:spacing w:val="3"/>
        </w:rPr>
        <w:t xml:space="preserve"> </w:t>
      </w:r>
      <w:r>
        <w:t>a</w:t>
      </w:r>
      <w:r>
        <w:rPr>
          <w:spacing w:val="4"/>
        </w:rPr>
        <w:t xml:space="preserve"> </w:t>
      </w:r>
      <w:r>
        <w:t>telescoped</w:t>
      </w:r>
      <w:r>
        <w:rPr>
          <w:spacing w:val="5"/>
        </w:rPr>
        <w:t xml:space="preserve"> </w:t>
      </w:r>
      <w:r>
        <w:t>rendition</w:t>
      </w:r>
      <w:r>
        <w:rPr>
          <w:spacing w:val="4"/>
        </w:rPr>
        <w:t xml:space="preserve"> </w:t>
      </w:r>
      <w:r>
        <w:t>of</w:t>
      </w:r>
      <w:r>
        <w:rPr>
          <w:spacing w:val="4"/>
        </w:rPr>
        <w:t xml:space="preserve"> </w:t>
      </w:r>
      <w:r>
        <w:t>a</w:t>
      </w:r>
      <w:r>
        <w:rPr>
          <w:spacing w:val="3"/>
        </w:rPr>
        <w:t xml:space="preserve"> </w:t>
      </w:r>
      <w:r>
        <w:t>similar</w:t>
      </w:r>
      <w:r>
        <w:rPr>
          <w:spacing w:val="4"/>
        </w:rPr>
        <w:t xml:space="preserve"> </w:t>
      </w:r>
      <w:r>
        <w:t>line</w:t>
      </w:r>
      <w:r>
        <w:rPr>
          <w:spacing w:val="3"/>
        </w:rPr>
        <w:t xml:space="preserve"> </w:t>
      </w:r>
      <w:r>
        <w:t>of</w:t>
      </w:r>
      <w:r>
        <w:rPr>
          <w:spacing w:val="4"/>
        </w:rPr>
        <w:t xml:space="preserve"> </w:t>
      </w:r>
      <w:r>
        <w:rPr>
          <w:spacing w:val="-2"/>
        </w:rPr>
        <w:t>thought.</w:t>
      </w:r>
    </w:p>
    <w:p w14:paraId="7E0030F9" w14:textId="77777777" w:rsidR="009A58DB" w:rsidRDefault="00000000">
      <w:pPr>
        <w:pStyle w:val="BodyText"/>
        <w:spacing w:before="120" w:line="249" w:lineRule="auto"/>
        <w:ind w:left="645" w:right="365" w:hanging="285"/>
        <w:jc w:val="left"/>
      </w:pPr>
      <w:bookmarkStart w:id="868" w:name="_bookmark868"/>
      <w:bookmarkEnd w:id="868"/>
      <w:r>
        <w:rPr>
          <w:color w:val="0562C1"/>
          <w:u w:val="single" w:color="0562C1"/>
          <w:vertAlign w:val="superscript"/>
        </w:rPr>
        <w:t>[195]</w:t>
      </w:r>
      <w:r>
        <w:rPr>
          <w:sz w:val="22"/>
        </w:rPr>
        <w:t xml:space="preserve">. </w:t>
      </w:r>
      <w:r>
        <w:t>Russell (1917) puts forth a similar argument. Tyler Burge rejects the position for which I am arguing. See Burge (2007).</w:t>
      </w:r>
    </w:p>
    <w:p w14:paraId="7E0030FA" w14:textId="77777777" w:rsidR="009A58DB" w:rsidRDefault="00000000">
      <w:pPr>
        <w:pStyle w:val="BodyText"/>
        <w:spacing w:before="108"/>
        <w:jc w:val="left"/>
      </w:pPr>
      <w:bookmarkStart w:id="869" w:name="_bookmark869"/>
      <w:bookmarkEnd w:id="869"/>
      <w:r>
        <w:rPr>
          <w:color w:val="0562C1"/>
          <w:u w:val="single" w:color="0562C1"/>
          <w:vertAlign w:val="superscript"/>
        </w:rPr>
        <w:t>[196]</w:t>
      </w:r>
      <w:r>
        <w:rPr>
          <w:sz w:val="22"/>
        </w:rPr>
        <w:t>.</w:t>
      </w:r>
      <w:r>
        <w:rPr>
          <w:spacing w:val="10"/>
          <w:sz w:val="22"/>
        </w:rPr>
        <w:t xml:space="preserve"> </w:t>
      </w:r>
      <w:r>
        <w:t>“KH”</w:t>
      </w:r>
      <w:r>
        <w:rPr>
          <w:spacing w:val="12"/>
        </w:rPr>
        <w:t xml:space="preserve"> </w:t>
      </w:r>
      <w:r>
        <w:t>is</w:t>
      </w:r>
      <w:r>
        <w:rPr>
          <w:spacing w:val="12"/>
        </w:rPr>
        <w:t xml:space="preserve"> </w:t>
      </w:r>
      <w:r>
        <w:t>short</w:t>
      </w:r>
      <w:r>
        <w:rPr>
          <w:spacing w:val="12"/>
        </w:rPr>
        <w:t xml:space="preserve"> </w:t>
      </w:r>
      <w:r>
        <w:t>for</w:t>
      </w:r>
      <w:r>
        <w:rPr>
          <w:spacing w:val="12"/>
        </w:rPr>
        <w:t xml:space="preserve"> </w:t>
      </w:r>
      <w:r>
        <w:t>“knowledge</w:t>
      </w:r>
      <w:r>
        <w:rPr>
          <w:spacing w:val="12"/>
        </w:rPr>
        <w:t xml:space="preserve"> </w:t>
      </w:r>
      <w:r>
        <w:rPr>
          <w:spacing w:val="-4"/>
        </w:rPr>
        <w:t>how.”</w:t>
      </w:r>
    </w:p>
    <w:p w14:paraId="7E0030FB" w14:textId="77777777" w:rsidR="009A58DB" w:rsidRDefault="00000000">
      <w:pPr>
        <w:spacing w:before="112"/>
        <w:ind w:left="360"/>
        <w:rPr>
          <w:i/>
          <w:sz w:val="30"/>
        </w:rPr>
      </w:pPr>
      <w:bookmarkStart w:id="870" w:name="_bookmark870"/>
      <w:bookmarkEnd w:id="870"/>
      <w:r>
        <w:rPr>
          <w:color w:val="0562C1"/>
          <w:sz w:val="34"/>
          <w:u w:val="single" w:color="0562C1"/>
          <w:vertAlign w:val="superscript"/>
        </w:rPr>
        <w:t>[197]</w:t>
      </w:r>
      <w:r>
        <w:rPr>
          <w:sz w:val="34"/>
        </w:rPr>
        <w:t xml:space="preserve">. </w:t>
      </w:r>
      <w:r>
        <w:rPr>
          <w:sz w:val="30"/>
        </w:rPr>
        <w:t>Karl</w:t>
      </w:r>
      <w:r>
        <w:rPr>
          <w:spacing w:val="-1"/>
          <w:sz w:val="30"/>
        </w:rPr>
        <w:t xml:space="preserve"> </w:t>
      </w:r>
      <w:r>
        <w:rPr>
          <w:sz w:val="30"/>
        </w:rPr>
        <w:t>Popper</w:t>
      </w:r>
      <w:r>
        <w:rPr>
          <w:spacing w:val="-1"/>
          <w:sz w:val="30"/>
        </w:rPr>
        <w:t xml:space="preserve"> </w:t>
      </w:r>
      <w:r>
        <w:rPr>
          <w:sz w:val="30"/>
        </w:rPr>
        <w:t>(1902–1994)</w:t>
      </w:r>
      <w:r>
        <w:rPr>
          <w:spacing w:val="-2"/>
          <w:sz w:val="30"/>
        </w:rPr>
        <w:t xml:space="preserve"> </w:t>
      </w:r>
      <w:r>
        <w:rPr>
          <w:sz w:val="30"/>
        </w:rPr>
        <w:t>says</w:t>
      </w:r>
      <w:r>
        <w:rPr>
          <w:spacing w:val="-1"/>
          <w:sz w:val="30"/>
        </w:rPr>
        <w:t xml:space="preserve"> </w:t>
      </w:r>
      <w:r>
        <w:rPr>
          <w:sz w:val="30"/>
        </w:rPr>
        <w:t>this</w:t>
      </w:r>
      <w:r>
        <w:rPr>
          <w:spacing w:val="-1"/>
          <w:sz w:val="30"/>
        </w:rPr>
        <w:t xml:space="preserve"> </w:t>
      </w:r>
      <w:r>
        <w:rPr>
          <w:sz w:val="30"/>
        </w:rPr>
        <w:t xml:space="preserve">in </w:t>
      </w:r>
      <w:r>
        <w:rPr>
          <w:i/>
          <w:sz w:val="30"/>
        </w:rPr>
        <w:t>The</w:t>
      </w:r>
      <w:r>
        <w:rPr>
          <w:i/>
          <w:spacing w:val="-2"/>
          <w:sz w:val="30"/>
        </w:rPr>
        <w:t xml:space="preserve"> </w:t>
      </w:r>
      <w:r>
        <w:rPr>
          <w:i/>
          <w:sz w:val="30"/>
        </w:rPr>
        <w:t>Logic</w:t>
      </w:r>
      <w:r>
        <w:rPr>
          <w:i/>
          <w:spacing w:val="-1"/>
          <w:sz w:val="30"/>
        </w:rPr>
        <w:t xml:space="preserve"> </w:t>
      </w:r>
      <w:r>
        <w:rPr>
          <w:i/>
          <w:sz w:val="30"/>
        </w:rPr>
        <w:t>of</w:t>
      </w:r>
      <w:r>
        <w:rPr>
          <w:i/>
          <w:spacing w:val="-1"/>
          <w:sz w:val="30"/>
        </w:rPr>
        <w:t xml:space="preserve"> </w:t>
      </w:r>
      <w:r>
        <w:rPr>
          <w:i/>
          <w:sz w:val="30"/>
        </w:rPr>
        <w:t>Scientific</w:t>
      </w:r>
      <w:r>
        <w:rPr>
          <w:i/>
          <w:spacing w:val="-2"/>
          <w:sz w:val="30"/>
        </w:rPr>
        <w:t xml:space="preserve"> Discovery.</w:t>
      </w:r>
    </w:p>
    <w:p w14:paraId="7E0030FC" w14:textId="77777777" w:rsidR="009A58DB" w:rsidRDefault="00000000">
      <w:pPr>
        <w:spacing w:before="22" w:line="249" w:lineRule="auto"/>
        <w:ind w:left="645" w:right="360"/>
        <w:rPr>
          <w:i/>
          <w:sz w:val="30"/>
        </w:rPr>
      </w:pPr>
      <w:r>
        <w:rPr>
          <w:sz w:val="30"/>
        </w:rPr>
        <w:t xml:space="preserve">Hans Reichenbach (1891–1953) says it in </w:t>
      </w:r>
      <w:r>
        <w:rPr>
          <w:i/>
          <w:sz w:val="30"/>
        </w:rPr>
        <w:t xml:space="preserve">Experience and Prediction. </w:t>
      </w:r>
      <w:r>
        <w:rPr>
          <w:sz w:val="30"/>
        </w:rPr>
        <w:t xml:space="preserve">Rudolf Carnap (1891–1970) says it is in </w:t>
      </w:r>
      <w:r>
        <w:rPr>
          <w:i/>
          <w:sz w:val="30"/>
        </w:rPr>
        <w:t xml:space="preserve">The Philosophy of Science. </w:t>
      </w:r>
      <w:r>
        <w:rPr>
          <w:sz w:val="30"/>
        </w:rPr>
        <w:t>And Carl</w:t>
      </w:r>
      <w:r>
        <w:rPr>
          <w:spacing w:val="-4"/>
          <w:sz w:val="30"/>
        </w:rPr>
        <w:t xml:space="preserve"> </w:t>
      </w:r>
      <w:r>
        <w:rPr>
          <w:sz w:val="30"/>
        </w:rPr>
        <w:t>Hempel</w:t>
      </w:r>
      <w:r>
        <w:rPr>
          <w:spacing w:val="-4"/>
          <w:sz w:val="30"/>
        </w:rPr>
        <w:t xml:space="preserve"> </w:t>
      </w:r>
      <w:r>
        <w:rPr>
          <w:sz w:val="30"/>
        </w:rPr>
        <w:t>(1905–1997)</w:t>
      </w:r>
      <w:r>
        <w:rPr>
          <w:spacing w:val="-4"/>
          <w:sz w:val="30"/>
        </w:rPr>
        <w:t xml:space="preserve"> </w:t>
      </w:r>
      <w:r>
        <w:rPr>
          <w:sz w:val="30"/>
        </w:rPr>
        <w:t>says</w:t>
      </w:r>
      <w:r>
        <w:rPr>
          <w:spacing w:val="-4"/>
          <w:sz w:val="30"/>
        </w:rPr>
        <w:t xml:space="preserve"> </w:t>
      </w:r>
      <w:r>
        <w:rPr>
          <w:sz w:val="30"/>
        </w:rPr>
        <w:t>it</w:t>
      </w:r>
      <w:r>
        <w:rPr>
          <w:spacing w:val="-4"/>
          <w:sz w:val="30"/>
        </w:rPr>
        <w:t xml:space="preserve"> </w:t>
      </w:r>
      <w:r>
        <w:rPr>
          <w:sz w:val="30"/>
        </w:rPr>
        <w:t>in</w:t>
      </w:r>
      <w:r>
        <w:rPr>
          <w:spacing w:val="-3"/>
          <w:sz w:val="30"/>
        </w:rPr>
        <w:t xml:space="preserve"> </w:t>
      </w:r>
      <w:r>
        <w:rPr>
          <w:i/>
          <w:sz w:val="30"/>
        </w:rPr>
        <w:t>The</w:t>
      </w:r>
      <w:r>
        <w:rPr>
          <w:i/>
          <w:spacing w:val="-4"/>
          <w:sz w:val="30"/>
        </w:rPr>
        <w:t xml:space="preserve"> </w:t>
      </w:r>
      <w:r>
        <w:rPr>
          <w:i/>
          <w:sz w:val="30"/>
        </w:rPr>
        <w:t>Philosophy</w:t>
      </w:r>
      <w:r>
        <w:rPr>
          <w:i/>
          <w:spacing w:val="-4"/>
          <w:sz w:val="30"/>
        </w:rPr>
        <w:t xml:space="preserve"> </w:t>
      </w:r>
      <w:r>
        <w:rPr>
          <w:i/>
          <w:sz w:val="30"/>
        </w:rPr>
        <w:t>of</w:t>
      </w:r>
      <w:r>
        <w:rPr>
          <w:i/>
          <w:spacing w:val="-4"/>
          <w:sz w:val="30"/>
        </w:rPr>
        <w:t xml:space="preserve"> </w:t>
      </w:r>
      <w:r>
        <w:rPr>
          <w:i/>
          <w:sz w:val="30"/>
        </w:rPr>
        <w:t>Natural</w:t>
      </w:r>
      <w:r>
        <w:rPr>
          <w:i/>
          <w:spacing w:val="-4"/>
          <w:sz w:val="30"/>
        </w:rPr>
        <w:t xml:space="preserve"> </w:t>
      </w:r>
      <w:r>
        <w:rPr>
          <w:i/>
          <w:sz w:val="30"/>
        </w:rPr>
        <w:t>Science</w:t>
      </w:r>
      <w:r>
        <w:rPr>
          <w:i/>
          <w:spacing w:val="-4"/>
          <w:sz w:val="30"/>
        </w:rPr>
        <w:t xml:space="preserve"> </w:t>
      </w:r>
      <w:r>
        <w:rPr>
          <w:sz w:val="30"/>
        </w:rPr>
        <w:t xml:space="preserve">and in </w:t>
      </w:r>
      <w:r>
        <w:rPr>
          <w:i/>
          <w:sz w:val="30"/>
        </w:rPr>
        <w:t>Aspects of Scientific Explanation.</w:t>
      </w:r>
    </w:p>
    <w:p w14:paraId="7E0030FD" w14:textId="77777777" w:rsidR="009A58DB" w:rsidRDefault="00000000">
      <w:pPr>
        <w:pStyle w:val="BodyText"/>
        <w:spacing w:before="110"/>
        <w:jc w:val="left"/>
      </w:pPr>
      <w:bookmarkStart w:id="871" w:name="_bookmark871"/>
      <w:bookmarkEnd w:id="871"/>
      <w:r>
        <w:rPr>
          <w:color w:val="0562C1"/>
          <w:u w:val="single" w:color="0562C1"/>
          <w:vertAlign w:val="superscript"/>
        </w:rPr>
        <w:t>[198]</w:t>
      </w:r>
      <w:r>
        <w:rPr>
          <w:sz w:val="22"/>
        </w:rPr>
        <w:t>.</w:t>
      </w:r>
      <w:r>
        <w:rPr>
          <w:spacing w:val="13"/>
          <w:sz w:val="22"/>
        </w:rPr>
        <w:t xml:space="preserve"> </w:t>
      </w:r>
      <w:r>
        <w:t>By</w:t>
      </w:r>
      <w:r>
        <w:rPr>
          <w:spacing w:val="17"/>
        </w:rPr>
        <w:t xml:space="preserve"> </w:t>
      </w:r>
      <w:r>
        <w:t>“prove”</w:t>
      </w:r>
      <w:r>
        <w:rPr>
          <w:spacing w:val="15"/>
        </w:rPr>
        <w:t xml:space="preserve"> </w:t>
      </w:r>
      <w:r>
        <w:t>he</w:t>
      </w:r>
      <w:r>
        <w:rPr>
          <w:spacing w:val="16"/>
        </w:rPr>
        <w:t xml:space="preserve"> </w:t>
      </w:r>
      <w:r>
        <w:t>meant</w:t>
      </w:r>
      <w:r>
        <w:rPr>
          <w:spacing w:val="15"/>
        </w:rPr>
        <w:t xml:space="preserve"> </w:t>
      </w:r>
      <w:r>
        <w:rPr>
          <w:spacing w:val="-2"/>
        </w:rPr>
        <w:t>“justify.”</w:t>
      </w:r>
    </w:p>
    <w:p w14:paraId="7E0030FE" w14:textId="77777777" w:rsidR="009A58DB" w:rsidRDefault="00000000">
      <w:pPr>
        <w:pStyle w:val="BodyText"/>
        <w:spacing w:before="120" w:line="249" w:lineRule="auto"/>
        <w:ind w:left="645" w:hanging="285"/>
        <w:jc w:val="left"/>
      </w:pPr>
      <w:bookmarkStart w:id="872" w:name="_bookmark872"/>
      <w:bookmarkEnd w:id="872"/>
      <w:r>
        <w:rPr>
          <w:color w:val="0562C1"/>
          <w:u w:val="single" w:color="0562C1"/>
          <w:vertAlign w:val="superscript"/>
        </w:rPr>
        <w:t>[199]</w:t>
      </w:r>
      <w:r>
        <w:rPr>
          <w:sz w:val="22"/>
        </w:rPr>
        <w:t xml:space="preserve">. </w:t>
      </w:r>
      <w:r>
        <w:t>Empiricism is rooted in a failure to distinguish knowledge-conducive thought from the things that trigger it. (This is shown in Chapter 13.)</w:t>
      </w:r>
    </w:p>
    <w:p w14:paraId="7E0030FF" w14:textId="77777777" w:rsidR="009A58DB" w:rsidRDefault="00000000">
      <w:pPr>
        <w:pStyle w:val="BodyText"/>
        <w:spacing w:before="107" w:line="249" w:lineRule="auto"/>
        <w:ind w:left="645" w:right="365" w:hanging="285"/>
        <w:jc w:val="left"/>
      </w:pPr>
      <w:bookmarkStart w:id="873" w:name="_bookmark873"/>
      <w:bookmarkEnd w:id="873"/>
      <w:r>
        <w:rPr>
          <w:color w:val="0562C1"/>
          <w:u w:val="single" w:color="0562C1"/>
          <w:vertAlign w:val="superscript"/>
        </w:rPr>
        <w:t>[200]</w:t>
      </w:r>
      <w:r>
        <w:rPr>
          <w:sz w:val="22"/>
        </w:rPr>
        <w:t xml:space="preserve">. </w:t>
      </w:r>
      <w:r>
        <w:t>I can only speculate as to why this is so. But it is, I suspect, because philosophers</w:t>
      </w:r>
      <w:r>
        <w:rPr>
          <w:spacing w:val="-5"/>
        </w:rPr>
        <w:t xml:space="preserve"> </w:t>
      </w:r>
      <w:r>
        <w:t>of</w:t>
      </w:r>
      <w:r>
        <w:rPr>
          <w:spacing w:val="-5"/>
        </w:rPr>
        <w:t xml:space="preserve"> </w:t>
      </w:r>
      <w:r>
        <w:t>science</w:t>
      </w:r>
      <w:r>
        <w:rPr>
          <w:spacing w:val="-5"/>
        </w:rPr>
        <w:t xml:space="preserve"> </w:t>
      </w:r>
      <w:r>
        <w:t>tend</w:t>
      </w:r>
      <w:r>
        <w:rPr>
          <w:spacing w:val="-4"/>
        </w:rPr>
        <w:t xml:space="preserve"> </w:t>
      </w:r>
      <w:r>
        <w:t>to</w:t>
      </w:r>
      <w:r>
        <w:rPr>
          <w:spacing w:val="-4"/>
        </w:rPr>
        <w:t xml:space="preserve"> </w:t>
      </w:r>
      <w:r>
        <w:t>be</w:t>
      </w:r>
      <w:r>
        <w:rPr>
          <w:spacing w:val="-5"/>
        </w:rPr>
        <w:t xml:space="preserve"> </w:t>
      </w:r>
      <w:r>
        <w:t>extremely</w:t>
      </w:r>
      <w:r>
        <w:rPr>
          <w:spacing w:val="-4"/>
        </w:rPr>
        <w:t xml:space="preserve"> </w:t>
      </w:r>
      <w:r>
        <w:t>dismissive</w:t>
      </w:r>
      <w:r>
        <w:rPr>
          <w:spacing w:val="-5"/>
        </w:rPr>
        <w:t xml:space="preserve"> </w:t>
      </w:r>
      <w:r>
        <w:t>of</w:t>
      </w:r>
      <w:r>
        <w:rPr>
          <w:spacing w:val="-5"/>
        </w:rPr>
        <w:t xml:space="preserve"> </w:t>
      </w:r>
      <w:r>
        <w:t>any</w:t>
      </w:r>
      <w:r>
        <w:rPr>
          <w:spacing w:val="-4"/>
        </w:rPr>
        <w:t xml:space="preserve"> </w:t>
      </w:r>
      <w:r>
        <w:t>viewpoint that grants the existence of unconscious thought or otherwise makes concessions to psychoanalytic thought.</w:t>
      </w:r>
    </w:p>
    <w:p w14:paraId="7E003100" w14:textId="77777777" w:rsidR="009A58DB" w:rsidRDefault="00000000">
      <w:pPr>
        <w:pStyle w:val="BodyText"/>
        <w:spacing w:before="110"/>
        <w:jc w:val="left"/>
      </w:pPr>
      <w:bookmarkStart w:id="874" w:name="_bookmark874"/>
      <w:bookmarkEnd w:id="874"/>
      <w:r>
        <w:rPr>
          <w:color w:val="0562C1"/>
          <w:u w:val="single" w:color="0562C1"/>
          <w:vertAlign w:val="superscript"/>
        </w:rPr>
        <w:t>[201]</w:t>
      </w:r>
      <w:r>
        <w:rPr>
          <w:sz w:val="22"/>
        </w:rPr>
        <w:t>.</w:t>
      </w:r>
      <w:r>
        <w:rPr>
          <w:spacing w:val="5"/>
          <w:sz w:val="22"/>
        </w:rPr>
        <w:t xml:space="preserve"> </w:t>
      </w:r>
      <w:r>
        <w:t>Hilbert</w:t>
      </w:r>
      <w:r>
        <w:rPr>
          <w:spacing w:val="4"/>
        </w:rPr>
        <w:t xml:space="preserve"> </w:t>
      </w:r>
      <w:r>
        <w:t>(1999)</w:t>
      </w:r>
      <w:r>
        <w:rPr>
          <w:spacing w:val="4"/>
        </w:rPr>
        <w:t xml:space="preserve"> </w:t>
      </w:r>
      <w:r>
        <w:t>makes</w:t>
      </w:r>
      <w:r>
        <w:rPr>
          <w:spacing w:val="5"/>
        </w:rPr>
        <w:t xml:space="preserve"> </w:t>
      </w:r>
      <w:r>
        <w:t>it</w:t>
      </w:r>
      <w:r>
        <w:rPr>
          <w:spacing w:val="4"/>
        </w:rPr>
        <w:t xml:space="preserve"> </w:t>
      </w:r>
      <w:r>
        <w:t>clear</w:t>
      </w:r>
      <w:r>
        <w:rPr>
          <w:spacing w:val="4"/>
        </w:rPr>
        <w:t xml:space="preserve"> </w:t>
      </w:r>
      <w:r>
        <w:t>why</w:t>
      </w:r>
      <w:r>
        <w:rPr>
          <w:spacing w:val="6"/>
        </w:rPr>
        <w:t xml:space="preserve"> </w:t>
      </w:r>
      <w:r>
        <w:t>Euclid’s</w:t>
      </w:r>
      <w:r>
        <w:rPr>
          <w:spacing w:val="4"/>
        </w:rPr>
        <w:t xml:space="preserve"> </w:t>
      </w:r>
      <w:r>
        <w:t>efforts</w:t>
      </w:r>
      <w:r>
        <w:rPr>
          <w:spacing w:val="4"/>
        </w:rPr>
        <w:t xml:space="preserve"> </w:t>
      </w:r>
      <w:r>
        <w:t>don’t</w:t>
      </w:r>
      <w:r>
        <w:rPr>
          <w:spacing w:val="5"/>
        </w:rPr>
        <w:t xml:space="preserve"> </w:t>
      </w:r>
      <w:r>
        <w:t>quite</w:t>
      </w:r>
      <w:r>
        <w:rPr>
          <w:spacing w:val="4"/>
        </w:rPr>
        <w:t xml:space="preserve"> </w:t>
      </w:r>
      <w:r>
        <w:rPr>
          <w:spacing w:val="-2"/>
        </w:rPr>
        <w:t>succeed.</w:t>
      </w:r>
    </w:p>
    <w:p w14:paraId="7E003101" w14:textId="77777777" w:rsidR="009A58DB" w:rsidRDefault="00000000">
      <w:pPr>
        <w:pStyle w:val="BodyText"/>
        <w:spacing w:before="120" w:line="249" w:lineRule="auto"/>
        <w:ind w:left="645" w:right="365" w:hanging="285"/>
        <w:jc w:val="left"/>
      </w:pPr>
      <w:bookmarkStart w:id="875" w:name="_bookmark875"/>
      <w:bookmarkEnd w:id="875"/>
      <w:r>
        <w:rPr>
          <w:color w:val="0562C1"/>
          <w:u w:val="single" w:color="0562C1"/>
          <w:vertAlign w:val="superscript"/>
        </w:rPr>
        <w:t>[202]</w:t>
      </w:r>
      <w:r>
        <w:rPr>
          <w:color w:val="0562C1"/>
          <w:spacing w:val="-16"/>
        </w:rPr>
        <w:t xml:space="preserve"> </w:t>
      </w:r>
      <w:r>
        <w:rPr>
          <w:sz w:val="22"/>
        </w:rPr>
        <w:t>.</w:t>
      </w:r>
      <w:r>
        <w:t>Moritz Schlick (1934), Russell (1984), and Roderick Chisholm (1976) were foundationalists.</w:t>
      </w:r>
    </w:p>
    <w:p w14:paraId="7E003102" w14:textId="77777777" w:rsidR="009A58DB" w:rsidRDefault="009A58DB">
      <w:pPr>
        <w:pStyle w:val="BodyText"/>
        <w:spacing w:line="249" w:lineRule="auto"/>
        <w:jc w:val="left"/>
        <w:sectPr w:rsidR="009A58DB">
          <w:pgSz w:w="12240" w:h="15840"/>
          <w:pgMar w:top="1360" w:right="1080" w:bottom="280" w:left="1080" w:header="720" w:footer="720" w:gutter="0"/>
          <w:cols w:space="720"/>
        </w:sectPr>
      </w:pPr>
    </w:p>
    <w:p w14:paraId="7E003103" w14:textId="77777777" w:rsidR="009A58DB" w:rsidRDefault="00000000">
      <w:pPr>
        <w:pStyle w:val="BodyText"/>
        <w:spacing w:before="190"/>
        <w:jc w:val="left"/>
      </w:pPr>
      <w:bookmarkStart w:id="876" w:name="_bookmark876"/>
      <w:bookmarkEnd w:id="876"/>
      <w:r>
        <w:rPr>
          <w:color w:val="0562C1"/>
          <w:u w:val="single" w:color="0562C1"/>
          <w:vertAlign w:val="superscript"/>
        </w:rPr>
        <w:t>[203]</w:t>
      </w:r>
      <w:r>
        <w:rPr>
          <w:sz w:val="22"/>
        </w:rPr>
        <w:t>.</w:t>
      </w:r>
      <w:r>
        <w:rPr>
          <w:spacing w:val="5"/>
          <w:sz w:val="22"/>
        </w:rPr>
        <w:t xml:space="preserve"> </w:t>
      </w:r>
      <w:r>
        <w:t>Otto</w:t>
      </w:r>
      <w:r>
        <w:rPr>
          <w:spacing w:val="5"/>
        </w:rPr>
        <w:t xml:space="preserve"> </w:t>
      </w:r>
      <w:r>
        <w:t>Neurath</w:t>
      </w:r>
      <w:r>
        <w:rPr>
          <w:spacing w:val="5"/>
        </w:rPr>
        <w:t xml:space="preserve"> </w:t>
      </w:r>
      <w:r>
        <w:t>(1932)</w:t>
      </w:r>
      <w:r>
        <w:rPr>
          <w:spacing w:val="5"/>
        </w:rPr>
        <w:t xml:space="preserve"> </w:t>
      </w:r>
      <w:r>
        <w:t>was</w:t>
      </w:r>
      <w:r>
        <w:rPr>
          <w:spacing w:val="4"/>
        </w:rPr>
        <w:t xml:space="preserve"> </w:t>
      </w:r>
      <w:r>
        <w:t>a</w:t>
      </w:r>
      <w:r>
        <w:rPr>
          <w:spacing w:val="4"/>
        </w:rPr>
        <w:t xml:space="preserve"> </w:t>
      </w:r>
      <w:r>
        <w:t>coherentist.</w:t>
      </w:r>
      <w:r>
        <w:rPr>
          <w:spacing w:val="6"/>
        </w:rPr>
        <w:t xml:space="preserve"> </w:t>
      </w:r>
      <w:r>
        <w:t>So</w:t>
      </w:r>
      <w:r>
        <w:rPr>
          <w:spacing w:val="5"/>
        </w:rPr>
        <w:t xml:space="preserve"> </w:t>
      </w:r>
      <w:r>
        <w:t>is</w:t>
      </w:r>
      <w:r>
        <w:rPr>
          <w:spacing w:val="4"/>
        </w:rPr>
        <w:t xml:space="preserve"> </w:t>
      </w:r>
      <w:r>
        <w:t>Laurence</w:t>
      </w:r>
      <w:r>
        <w:rPr>
          <w:spacing w:val="5"/>
        </w:rPr>
        <w:t xml:space="preserve"> </w:t>
      </w:r>
      <w:r>
        <w:t>Bonjour</w:t>
      </w:r>
      <w:r>
        <w:rPr>
          <w:spacing w:val="4"/>
        </w:rPr>
        <w:t xml:space="preserve"> </w:t>
      </w:r>
      <w:r>
        <w:rPr>
          <w:spacing w:val="-2"/>
        </w:rPr>
        <w:t>(1985).</w:t>
      </w:r>
    </w:p>
    <w:p w14:paraId="7E003104" w14:textId="77777777" w:rsidR="009A58DB" w:rsidRDefault="00000000">
      <w:pPr>
        <w:pStyle w:val="BodyText"/>
        <w:spacing w:before="120" w:line="249" w:lineRule="auto"/>
        <w:ind w:left="645" w:right="365" w:hanging="285"/>
        <w:jc w:val="left"/>
      </w:pPr>
      <w:bookmarkStart w:id="877" w:name="_bookmark877"/>
      <w:bookmarkEnd w:id="877"/>
      <w:r>
        <w:rPr>
          <w:color w:val="0562C1"/>
          <w:u w:val="single" w:color="0562C1"/>
          <w:vertAlign w:val="superscript"/>
        </w:rPr>
        <w:t>[204]</w:t>
      </w:r>
      <w:r>
        <w:rPr>
          <w:sz w:val="22"/>
        </w:rPr>
        <w:t xml:space="preserve">. </w:t>
      </w:r>
      <w:r>
        <w:t xml:space="preserve">Advocates include: Plato, Descartes, Leibniz, Karl Popper, and Saul </w:t>
      </w:r>
      <w:r>
        <w:rPr>
          <w:spacing w:val="-2"/>
        </w:rPr>
        <w:t>Kripke.</w:t>
      </w:r>
    </w:p>
    <w:p w14:paraId="7E003105" w14:textId="77777777" w:rsidR="009A58DB" w:rsidRDefault="00000000">
      <w:pPr>
        <w:pStyle w:val="BodyText"/>
        <w:spacing w:before="107" w:line="249" w:lineRule="auto"/>
        <w:ind w:left="645" w:right="794" w:hanging="285"/>
        <w:jc w:val="left"/>
      </w:pPr>
      <w:bookmarkStart w:id="878" w:name="_bookmark878"/>
      <w:bookmarkEnd w:id="878"/>
      <w:r>
        <w:rPr>
          <w:color w:val="0562C1"/>
          <w:u w:val="single" w:color="0562C1"/>
          <w:vertAlign w:val="superscript"/>
        </w:rPr>
        <w:t>[205]</w:t>
      </w:r>
      <w:r>
        <w:rPr>
          <w:sz w:val="22"/>
        </w:rPr>
        <w:t xml:space="preserve">. </w:t>
      </w:r>
      <w:r>
        <w:t>Advocates include: Aristotle, Thomas Hobbes, J.J. Smart, Hilary Putnam, and Jerry Fodor.</w:t>
      </w:r>
    </w:p>
    <w:p w14:paraId="7E003106" w14:textId="77777777" w:rsidR="009A58DB" w:rsidRDefault="00000000">
      <w:pPr>
        <w:pStyle w:val="BodyText"/>
        <w:spacing w:before="108"/>
        <w:jc w:val="left"/>
      </w:pPr>
      <w:bookmarkStart w:id="879" w:name="_bookmark879"/>
      <w:bookmarkEnd w:id="879"/>
      <w:r>
        <w:rPr>
          <w:color w:val="0562C1"/>
          <w:u w:val="single" w:color="0562C1"/>
          <w:vertAlign w:val="superscript"/>
        </w:rPr>
        <w:t>[206]</w:t>
      </w:r>
      <w:r>
        <w:rPr>
          <w:sz w:val="22"/>
        </w:rPr>
        <w:t>.</w:t>
      </w:r>
      <w:r>
        <w:rPr>
          <w:spacing w:val="16"/>
          <w:sz w:val="22"/>
        </w:rPr>
        <w:t xml:space="preserve"> </w:t>
      </w:r>
      <w:r>
        <w:t>Spinoza</w:t>
      </w:r>
      <w:r>
        <w:rPr>
          <w:spacing w:val="19"/>
        </w:rPr>
        <w:t xml:space="preserve"> </w:t>
      </w:r>
      <w:r>
        <w:t>advocated</w:t>
      </w:r>
      <w:r>
        <w:rPr>
          <w:spacing w:val="20"/>
        </w:rPr>
        <w:t xml:space="preserve"> </w:t>
      </w:r>
      <w:r>
        <w:t>this</w:t>
      </w:r>
      <w:r>
        <w:rPr>
          <w:spacing w:val="19"/>
        </w:rPr>
        <w:t xml:space="preserve"> </w:t>
      </w:r>
      <w:r>
        <w:rPr>
          <w:spacing w:val="-4"/>
        </w:rPr>
        <w:t>view.</w:t>
      </w:r>
    </w:p>
    <w:p w14:paraId="7E003107" w14:textId="77777777" w:rsidR="009A58DB" w:rsidRDefault="00000000">
      <w:pPr>
        <w:pStyle w:val="BodyText"/>
        <w:spacing w:before="120"/>
        <w:jc w:val="left"/>
      </w:pPr>
      <w:bookmarkStart w:id="880" w:name="_bookmark880"/>
      <w:bookmarkEnd w:id="880"/>
      <w:r>
        <w:rPr>
          <w:color w:val="0562C1"/>
          <w:u w:val="single" w:color="0562C1"/>
          <w:vertAlign w:val="superscript"/>
        </w:rPr>
        <w:t>[207]</w:t>
      </w:r>
      <w:r>
        <w:rPr>
          <w:sz w:val="22"/>
        </w:rPr>
        <w:t>.</w:t>
      </w:r>
      <w:r>
        <w:rPr>
          <w:spacing w:val="13"/>
          <w:sz w:val="22"/>
        </w:rPr>
        <w:t xml:space="preserve"> </w:t>
      </w:r>
      <w:r>
        <w:t>Quine</w:t>
      </w:r>
      <w:r>
        <w:rPr>
          <w:spacing w:val="14"/>
        </w:rPr>
        <w:t xml:space="preserve"> </w:t>
      </w:r>
      <w:r>
        <w:t>(1960)</w:t>
      </w:r>
      <w:r>
        <w:rPr>
          <w:spacing w:val="15"/>
        </w:rPr>
        <w:t xml:space="preserve"> </w:t>
      </w:r>
      <w:r>
        <w:t>advocates</w:t>
      </w:r>
      <w:r>
        <w:rPr>
          <w:spacing w:val="15"/>
        </w:rPr>
        <w:t xml:space="preserve"> </w:t>
      </w:r>
      <w:r>
        <w:t>this</w:t>
      </w:r>
      <w:r>
        <w:rPr>
          <w:spacing w:val="15"/>
        </w:rPr>
        <w:t xml:space="preserve"> </w:t>
      </w:r>
      <w:r>
        <w:rPr>
          <w:spacing w:val="-4"/>
        </w:rPr>
        <w:t>view.</w:t>
      </w:r>
    </w:p>
    <w:p w14:paraId="7E003108" w14:textId="77777777" w:rsidR="009A58DB" w:rsidRDefault="00000000">
      <w:pPr>
        <w:spacing w:before="120" w:line="249" w:lineRule="auto"/>
        <w:ind w:left="645" w:right="365" w:hanging="285"/>
        <w:rPr>
          <w:sz w:val="30"/>
        </w:rPr>
      </w:pPr>
      <w:bookmarkStart w:id="881" w:name="_bookmark881"/>
      <w:bookmarkEnd w:id="881"/>
      <w:r>
        <w:rPr>
          <w:color w:val="0562C1"/>
          <w:sz w:val="30"/>
          <w:u w:val="single" w:color="0562C1"/>
          <w:vertAlign w:val="superscript"/>
        </w:rPr>
        <w:t>[208]</w:t>
      </w:r>
      <w:r>
        <w:rPr>
          <w:sz w:val="30"/>
        </w:rPr>
        <w:t xml:space="preserve">. In </w:t>
      </w:r>
      <w:r>
        <w:rPr>
          <w:i/>
          <w:sz w:val="30"/>
        </w:rPr>
        <w:t xml:space="preserve">The Principles of Human Knowledge, </w:t>
      </w:r>
      <w:r>
        <w:rPr>
          <w:sz w:val="30"/>
        </w:rPr>
        <w:t>George Berkeley. Other advocates</w:t>
      </w:r>
      <w:r>
        <w:rPr>
          <w:spacing w:val="-5"/>
          <w:sz w:val="30"/>
        </w:rPr>
        <w:t xml:space="preserve"> </w:t>
      </w:r>
      <w:r>
        <w:rPr>
          <w:sz w:val="30"/>
        </w:rPr>
        <w:t>include</w:t>
      </w:r>
      <w:r>
        <w:rPr>
          <w:spacing w:val="-5"/>
          <w:sz w:val="30"/>
        </w:rPr>
        <w:t xml:space="preserve"> </w:t>
      </w:r>
      <w:r>
        <w:rPr>
          <w:sz w:val="30"/>
        </w:rPr>
        <w:t>Bertrand</w:t>
      </w:r>
      <w:r>
        <w:rPr>
          <w:spacing w:val="-4"/>
          <w:sz w:val="30"/>
        </w:rPr>
        <w:t xml:space="preserve"> </w:t>
      </w:r>
      <w:r>
        <w:rPr>
          <w:sz w:val="30"/>
        </w:rPr>
        <w:t>Russell</w:t>
      </w:r>
      <w:r>
        <w:rPr>
          <w:spacing w:val="-5"/>
          <w:sz w:val="30"/>
        </w:rPr>
        <w:t xml:space="preserve"> </w:t>
      </w:r>
      <w:r>
        <w:rPr>
          <w:sz w:val="30"/>
        </w:rPr>
        <w:t>(</w:t>
      </w:r>
      <w:r>
        <w:rPr>
          <w:i/>
          <w:sz w:val="30"/>
        </w:rPr>
        <w:t>The</w:t>
      </w:r>
      <w:r>
        <w:rPr>
          <w:i/>
          <w:spacing w:val="-5"/>
          <w:sz w:val="30"/>
        </w:rPr>
        <w:t xml:space="preserve"> </w:t>
      </w:r>
      <w:r>
        <w:rPr>
          <w:i/>
          <w:sz w:val="30"/>
        </w:rPr>
        <w:t>Analysis</w:t>
      </w:r>
      <w:r>
        <w:rPr>
          <w:i/>
          <w:spacing w:val="-5"/>
          <w:sz w:val="30"/>
        </w:rPr>
        <w:t xml:space="preserve"> </w:t>
      </w:r>
      <w:r>
        <w:rPr>
          <w:i/>
          <w:sz w:val="30"/>
        </w:rPr>
        <w:t>of</w:t>
      </w:r>
      <w:r>
        <w:rPr>
          <w:i/>
          <w:spacing w:val="-5"/>
          <w:sz w:val="30"/>
        </w:rPr>
        <w:t xml:space="preserve"> </w:t>
      </w:r>
      <w:r>
        <w:rPr>
          <w:i/>
          <w:sz w:val="30"/>
        </w:rPr>
        <w:t>Matter</w:t>
      </w:r>
      <w:r>
        <w:rPr>
          <w:sz w:val="30"/>
        </w:rPr>
        <w:t>)</w:t>
      </w:r>
      <w:r>
        <w:rPr>
          <w:spacing w:val="-5"/>
          <w:sz w:val="30"/>
        </w:rPr>
        <w:t xml:space="preserve"> </w:t>
      </w:r>
      <w:r>
        <w:rPr>
          <w:sz w:val="30"/>
        </w:rPr>
        <w:t>and</w:t>
      </w:r>
      <w:r>
        <w:rPr>
          <w:spacing w:val="-4"/>
          <w:sz w:val="30"/>
        </w:rPr>
        <w:t xml:space="preserve"> </w:t>
      </w:r>
      <w:r>
        <w:rPr>
          <w:sz w:val="30"/>
        </w:rPr>
        <w:t>William James (</w:t>
      </w:r>
      <w:r>
        <w:rPr>
          <w:i/>
          <w:sz w:val="30"/>
        </w:rPr>
        <w:t>Essays in Radical Empiricism</w:t>
      </w:r>
      <w:r>
        <w:rPr>
          <w:sz w:val="30"/>
        </w:rPr>
        <w:t>).</w:t>
      </w:r>
    </w:p>
    <w:p w14:paraId="7E003109" w14:textId="77777777" w:rsidR="009A58DB" w:rsidRDefault="00000000">
      <w:pPr>
        <w:pStyle w:val="BodyText"/>
        <w:spacing w:before="108" w:line="249" w:lineRule="auto"/>
        <w:ind w:left="645" w:right="794" w:hanging="285"/>
        <w:jc w:val="left"/>
      </w:pPr>
      <w:bookmarkStart w:id="882" w:name="_bookmark882"/>
      <w:bookmarkEnd w:id="882"/>
      <w:r>
        <w:rPr>
          <w:color w:val="0562C1"/>
          <w:u w:val="single" w:color="0562C1"/>
          <w:vertAlign w:val="superscript"/>
        </w:rPr>
        <w:t>[209]</w:t>
      </w:r>
      <w:r>
        <w:rPr>
          <w:sz w:val="22"/>
        </w:rPr>
        <w:t xml:space="preserve">. </w:t>
      </w:r>
      <w:r>
        <w:t xml:space="preserve">In the </w:t>
      </w:r>
      <w:r>
        <w:rPr>
          <w:i/>
        </w:rPr>
        <w:t xml:space="preserve">Monadology, </w:t>
      </w:r>
      <w:r>
        <w:t>Leibniz gives a similar argument, and so does Gottlob Frege (1918).</w:t>
      </w:r>
    </w:p>
    <w:p w14:paraId="7E00310A" w14:textId="77777777" w:rsidR="009A58DB" w:rsidRDefault="00000000">
      <w:pPr>
        <w:pStyle w:val="BodyText"/>
        <w:spacing w:before="108" w:line="249" w:lineRule="auto"/>
        <w:ind w:left="645" w:right="794" w:hanging="285"/>
        <w:jc w:val="left"/>
      </w:pPr>
      <w:bookmarkStart w:id="883" w:name="_bookmark883"/>
      <w:bookmarkEnd w:id="883"/>
      <w:r>
        <w:rPr>
          <w:color w:val="0562C1"/>
          <w:u w:val="single" w:color="0562C1"/>
          <w:vertAlign w:val="superscript"/>
        </w:rPr>
        <w:t>[210]</w:t>
      </w:r>
      <w:r>
        <w:rPr>
          <w:sz w:val="22"/>
        </w:rPr>
        <w:t xml:space="preserve">. </w:t>
      </w:r>
      <w:r>
        <w:t>Frank Jackson forcefully makes this point in several articles. See Jackson (1998).</w:t>
      </w:r>
    </w:p>
    <w:p w14:paraId="7E00310B" w14:textId="77777777" w:rsidR="009A58DB" w:rsidRDefault="00000000">
      <w:pPr>
        <w:pStyle w:val="BodyText"/>
        <w:spacing w:before="107" w:line="249" w:lineRule="auto"/>
        <w:ind w:left="645" w:right="365" w:hanging="285"/>
        <w:jc w:val="left"/>
      </w:pPr>
      <w:bookmarkStart w:id="884" w:name="_bookmark884"/>
      <w:bookmarkEnd w:id="884"/>
      <w:r>
        <w:rPr>
          <w:color w:val="0562C1"/>
          <w:u w:val="single" w:color="0562C1"/>
          <w:vertAlign w:val="superscript"/>
        </w:rPr>
        <w:t>[211]</w:t>
      </w:r>
      <w:r>
        <w:rPr>
          <w:sz w:val="22"/>
        </w:rPr>
        <w:t xml:space="preserve">. </w:t>
      </w:r>
      <w:r>
        <w:t>In his paper, “Mental Events,” Donald Davidson argues for this position, or one close to. We’ll consider Davidson’s argument in Section 9.2.1.</w:t>
      </w:r>
    </w:p>
    <w:p w14:paraId="7E00310C" w14:textId="77777777" w:rsidR="009A58DB" w:rsidRDefault="00000000">
      <w:pPr>
        <w:spacing w:before="108" w:line="249" w:lineRule="auto"/>
        <w:ind w:left="645" w:right="492" w:hanging="285"/>
        <w:rPr>
          <w:i/>
          <w:sz w:val="30"/>
        </w:rPr>
      </w:pPr>
      <w:bookmarkStart w:id="885" w:name="_bookmark885"/>
      <w:bookmarkEnd w:id="885"/>
      <w:r>
        <w:rPr>
          <w:color w:val="0562C1"/>
          <w:sz w:val="30"/>
          <w:u w:val="single" w:color="0562C1"/>
          <w:vertAlign w:val="superscript"/>
        </w:rPr>
        <w:t>[212]</w:t>
      </w:r>
      <w:r>
        <w:t xml:space="preserve">. </w:t>
      </w:r>
      <w:r>
        <w:rPr>
          <w:sz w:val="30"/>
        </w:rPr>
        <w:t xml:space="preserve">Joseph Levine has published many papers in which he argues that there is an explanatory gap. See his paper “Conceivability, Identity, and the Explanatory Gap,” which is available online at: </w:t>
      </w:r>
      <w:hyperlink r:id="rId8">
        <w:r>
          <w:rPr>
            <w:i/>
            <w:spacing w:val="-2"/>
            <w:sz w:val="30"/>
          </w:rPr>
          <w:t>http://cognet.mit.edu/posters/TUCSON3/Levine.html</w:t>
        </w:r>
      </w:hyperlink>
    </w:p>
    <w:p w14:paraId="7E00310D" w14:textId="77777777" w:rsidR="009A58DB" w:rsidRDefault="00000000">
      <w:pPr>
        <w:pStyle w:val="BodyText"/>
        <w:spacing w:before="110"/>
        <w:jc w:val="left"/>
      </w:pPr>
      <w:bookmarkStart w:id="886" w:name="_bookmark886"/>
      <w:bookmarkEnd w:id="886"/>
      <w:r>
        <w:rPr>
          <w:color w:val="0562C1"/>
          <w:w w:val="105"/>
          <w:u w:val="single" w:color="0562C1"/>
          <w:vertAlign w:val="superscript"/>
        </w:rPr>
        <w:t>[213]</w:t>
      </w:r>
      <w:r>
        <w:rPr>
          <w:w w:val="105"/>
          <w:sz w:val="22"/>
        </w:rPr>
        <w:t>.</w:t>
      </w:r>
      <w:r>
        <w:rPr>
          <w:spacing w:val="-6"/>
          <w:w w:val="105"/>
          <w:sz w:val="22"/>
        </w:rPr>
        <w:t xml:space="preserve"> </w:t>
      </w:r>
      <w:r>
        <w:rPr>
          <w:w w:val="105"/>
        </w:rPr>
        <w:t>See</w:t>
      </w:r>
      <w:r>
        <w:rPr>
          <w:spacing w:val="-9"/>
          <w:w w:val="105"/>
        </w:rPr>
        <w:t xml:space="preserve"> </w:t>
      </w:r>
      <w:r>
        <w:rPr>
          <w:w w:val="105"/>
        </w:rPr>
        <w:t>Hempel</w:t>
      </w:r>
      <w:r>
        <w:rPr>
          <w:spacing w:val="-10"/>
          <w:w w:val="105"/>
        </w:rPr>
        <w:t xml:space="preserve"> </w:t>
      </w:r>
      <w:r>
        <w:rPr>
          <w:spacing w:val="-2"/>
          <w:w w:val="105"/>
        </w:rPr>
        <w:t>(1966).</w:t>
      </w:r>
    </w:p>
    <w:p w14:paraId="7E00310E" w14:textId="77777777" w:rsidR="009A58DB" w:rsidRDefault="00000000">
      <w:pPr>
        <w:spacing w:before="120"/>
        <w:ind w:left="360"/>
        <w:rPr>
          <w:i/>
          <w:sz w:val="30"/>
        </w:rPr>
      </w:pPr>
      <w:bookmarkStart w:id="887" w:name="_bookmark887"/>
      <w:bookmarkEnd w:id="887"/>
      <w:r>
        <w:rPr>
          <w:color w:val="0562C1"/>
          <w:sz w:val="30"/>
          <w:u w:val="single" w:color="0562C1"/>
          <w:vertAlign w:val="superscript"/>
        </w:rPr>
        <w:t>[214]</w:t>
      </w:r>
      <w:r>
        <w:t>.</w:t>
      </w:r>
      <w:r>
        <w:rPr>
          <w:spacing w:val="8"/>
        </w:rPr>
        <w:t xml:space="preserve"> </w:t>
      </w:r>
      <w:r>
        <w:rPr>
          <w:sz w:val="30"/>
        </w:rPr>
        <w:t>In</w:t>
      </w:r>
      <w:r>
        <w:rPr>
          <w:spacing w:val="10"/>
          <w:sz w:val="30"/>
        </w:rPr>
        <w:t xml:space="preserve"> </w:t>
      </w:r>
      <w:r>
        <w:rPr>
          <w:sz w:val="30"/>
        </w:rPr>
        <w:t>his</w:t>
      </w:r>
      <w:r>
        <w:rPr>
          <w:spacing w:val="8"/>
          <w:sz w:val="30"/>
        </w:rPr>
        <w:t xml:space="preserve"> </w:t>
      </w:r>
      <w:r>
        <w:rPr>
          <w:sz w:val="30"/>
        </w:rPr>
        <w:t>book</w:t>
      </w:r>
      <w:r>
        <w:rPr>
          <w:spacing w:val="9"/>
          <w:sz w:val="30"/>
        </w:rPr>
        <w:t xml:space="preserve"> </w:t>
      </w:r>
      <w:r>
        <w:rPr>
          <w:i/>
          <w:sz w:val="30"/>
        </w:rPr>
        <w:t>Essays</w:t>
      </w:r>
      <w:r>
        <w:rPr>
          <w:i/>
          <w:spacing w:val="9"/>
          <w:sz w:val="30"/>
        </w:rPr>
        <w:t xml:space="preserve"> </w:t>
      </w:r>
      <w:r>
        <w:rPr>
          <w:i/>
          <w:sz w:val="30"/>
        </w:rPr>
        <w:t>on</w:t>
      </w:r>
      <w:r>
        <w:rPr>
          <w:i/>
          <w:spacing w:val="10"/>
          <w:sz w:val="30"/>
        </w:rPr>
        <w:t xml:space="preserve"> </w:t>
      </w:r>
      <w:r>
        <w:rPr>
          <w:i/>
          <w:sz w:val="30"/>
        </w:rPr>
        <w:t>Actions</w:t>
      </w:r>
      <w:r>
        <w:rPr>
          <w:i/>
          <w:spacing w:val="8"/>
          <w:sz w:val="30"/>
        </w:rPr>
        <w:t xml:space="preserve"> </w:t>
      </w:r>
      <w:r>
        <w:rPr>
          <w:i/>
          <w:sz w:val="30"/>
        </w:rPr>
        <w:t>and</w:t>
      </w:r>
      <w:r>
        <w:rPr>
          <w:i/>
          <w:spacing w:val="10"/>
          <w:sz w:val="30"/>
        </w:rPr>
        <w:t xml:space="preserve"> </w:t>
      </w:r>
      <w:r>
        <w:rPr>
          <w:i/>
          <w:spacing w:val="-2"/>
          <w:sz w:val="30"/>
        </w:rPr>
        <w:t>Events.</w:t>
      </w:r>
    </w:p>
    <w:p w14:paraId="7E00310F" w14:textId="77777777" w:rsidR="009A58DB" w:rsidRDefault="00000000">
      <w:pPr>
        <w:pStyle w:val="BodyText"/>
        <w:spacing w:before="120"/>
        <w:jc w:val="left"/>
      </w:pPr>
      <w:bookmarkStart w:id="888" w:name="_bookmark888"/>
      <w:bookmarkEnd w:id="888"/>
      <w:r>
        <w:rPr>
          <w:color w:val="0562C1"/>
          <w:u w:val="single" w:color="0562C1"/>
          <w:vertAlign w:val="superscript"/>
        </w:rPr>
        <w:t>[215]</w:t>
      </w:r>
      <w:r>
        <w:rPr>
          <w:sz w:val="22"/>
        </w:rPr>
        <w:t>.</w:t>
      </w:r>
      <w:r>
        <w:rPr>
          <w:spacing w:val="32"/>
          <w:sz w:val="22"/>
        </w:rPr>
        <w:t xml:space="preserve"> </w:t>
      </w:r>
      <w:r>
        <w:t>“DA”</w:t>
      </w:r>
      <w:r>
        <w:rPr>
          <w:spacing w:val="11"/>
        </w:rPr>
        <w:t xml:space="preserve"> </w:t>
      </w:r>
      <w:r>
        <w:t>is</w:t>
      </w:r>
      <w:r>
        <w:rPr>
          <w:spacing w:val="11"/>
        </w:rPr>
        <w:t xml:space="preserve"> </w:t>
      </w:r>
      <w:r>
        <w:t>short</w:t>
      </w:r>
      <w:r>
        <w:rPr>
          <w:spacing w:val="12"/>
        </w:rPr>
        <w:t xml:space="preserve"> </w:t>
      </w:r>
      <w:r>
        <w:t>for</w:t>
      </w:r>
      <w:r>
        <w:rPr>
          <w:spacing w:val="11"/>
        </w:rPr>
        <w:t xml:space="preserve"> </w:t>
      </w:r>
      <w:r>
        <w:t>Davidson’s</w:t>
      </w:r>
      <w:r>
        <w:rPr>
          <w:spacing w:val="11"/>
        </w:rPr>
        <w:t xml:space="preserve"> </w:t>
      </w:r>
      <w:r>
        <w:rPr>
          <w:spacing w:val="-2"/>
        </w:rPr>
        <w:t>argument.</w:t>
      </w:r>
    </w:p>
    <w:p w14:paraId="7E003110" w14:textId="77777777" w:rsidR="009A58DB" w:rsidRDefault="00000000">
      <w:pPr>
        <w:spacing w:before="120" w:line="249" w:lineRule="auto"/>
        <w:ind w:left="645" w:right="365" w:hanging="285"/>
        <w:rPr>
          <w:sz w:val="30"/>
        </w:rPr>
      </w:pPr>
      <w:bookmarkStart w:id="889" w:name="_bookmark889"/>
      <w:bookmarkEnd w:id="889"/>
      <w:r>
        <w:rPr>
          <w:color w:val="0562C1"/>
          <w:sz w:val="30"/>
          <w:u w:val="single" w:color="0562C1"/>
          <w:vertAlign w:val="superscript"/>
        </w:rPr>
        <w:t>[216]</w:t>
      </w:r>
      <w:r>
        <w:t xml:space="preserve">. </w:t>
      </w:r>
      <w:r>
        <w:rPr>
          <w:sz w:val="30"/>
        </w:rPr>
        <w:t xml:space="preserve">The following argument is due to Quine (p. 153 of </w:t>
      </w:r>
      <w:r>
        <w:rPr>
          <w:i/>
          <w:sz w:val="30"/>
        </w:rPr>
        <w:t>From a Logical Point of View</w:t>
      </w:r>
      <w:r>
        <w:rPr>
          <w:sz w:val="30"/>
        </w:rPr>
        <w:t>).</w:t>
      </w:r>
    </w:p>
    <w:p w14:paraId="7E003111" w14:textId="77777777" w:rsidR="009A58DB" w:rsidRDefault="00000000">
      <w:pPr>
        <w:pStyle w:val="BodyText"/>
        <w:spacing w:before="107" w:line="249" w:lineRule="auto"/>
        <w:ind w:left="645" w:right="365" w:hanging="285"/>
        <w:jc w:val="left"/>
      </w:pPr>
      <w:bookmarkStart w:id="890" w:name="_bookmark890"/>
      <w:bookmarkEnd w:id="890"/>
      <w:r>
        <w:rPr>
          <w:color w:val="0562C1"/>
          <w:u w:val="single" w:color="0562C1"/>
          <w:vertAlign w:val="superscript"/>
        </w:rPr>
        <w:t>[217]</w:t>
      </w:r>
      <w:r>
        <w:rPr>
          <w:sz w:val="22"/>
        </w:rPr>
        <w:t xml:space="preserve">. </w:t>
      </w:r>
      <w:r>
        <w:t>Hempel (1952) and Pap (1958) made this point. Kripke (1972) and Putnam (1975) put it to good use.</w:t>
      </w:r>
    </w:p>
    <w:p w14:paraId="7E003112" w14:textId="77777777" w:rsidR="009A58DB" w:rsidRDefault="00000000">
      <w:pPr>
        <w:pStyle w:val="BodyText"/>
        <w:spacing w:before="108"/>
        <w:jc w:val="left"/>
      </w:pPr>
      <w:bookmarkStart w:id="891" w:name="_bookmark891"/>
      <w:bookmarkEnd w:id="891"/>
      <w:r>
        <w:rPr>
          <w:color w:val="0562C1"/>
          <w:u w:val="single" w:color="0562C1"/>
          <w:vertAlign w:val="superscript"/>
        </w:rPr>
        <w:t>[218]</w:t>
      </w:r>
      <w:r>
        <w:rPr>
          <w:sz w:val="22"/>
        </w:rPr>
        <w:t>.</w:t>
      </w:r>
      <w:r>
        <w:rPr>
          <w:spacing w:val="6"/>
          <w:sz w:val="22"/>
        </w:rPr>
        <w:t xml:space="preserve"> </w:t>
      </w:r>
      <w:r>
        <w:t>J.J.</w:t>
      </w:r>
      <w:r>
        <w:rPr>
          <w:spacing w:val="7"/>
        </w:rPr>
        <w:t xml:space="preserve"> </w:t>
      </w:r>
      <w:r>
        <w:t>Smart</w:t>
      </w:r>
      <w:r>
        <w:rPr>
          <w:spacing w:val="5"/>
        </w:rPr>
        <w:t xml:space="preserve"> </w:t>
      </w:r>
      <w:r>
        <w:t>(1959)</w:t>
      </w:r>
      <w:r>
        <w:rPr>
          <w:spacing w:val="6"/>
        </w:rPr>
        <w:t xml:space="preserve"> </w:t>
      </w:r>
      <w:r>
        <w:t>gives</w:t>
      </w:r>
      <w:r>
        <w:rPr>
          <w:spacing w:val="6"/>
        </w:rPr>
        <w:t xml:space="preserve"> </w:t>
      </w:r>
      <w:r>
        <w:t>this</w:t>
      </w:r>
      <w:r>
        <w:rPr>
          <w:spacing w:val="6"/>
        </w:rPr>
        <w:t xml:space="preserve"> </w:t>
      </w:r>
      <w:r>
        <w:t>argument.</w:t>
      </w:r>
      <w:r>
        <w:rPr>
          <w:spacing w:val="7"/>
        </w:rPr>
        <w:t xml:space="preserve"> </w:t>
      </w:r>
      <w:r>
        <w:t>So</w:t>
      </w:r>
      <w:r>
        <w:rPr>
          <w:spacing w:val="6"/>
        </w:rPr>
        <w:t xml:space="preserve"> </w:t>
      </w:r>
      <w:r>
        <w:t>does</w:t>
      </w:r>
      <w:r>
        <w:rPr>
          <w:spacing w:val="6"/>
        </w:rPr>
        <w:t xml:space="preserve"> </w:t>
      </w:r>
      <w:r>
        <w:t>Fodor</w:t>
      </w:r>
      <w:r>
        <w:rPr>
          <w:spacing w:val="6"/>
        </w:rPr>
        <w:t xml:space="preserve"> </w:t>
      </w:r>
      <w:r>
        <w:rPr>
          <w:spacing w:val="-2"/>
        </w:rPr>
        <w:t>(1968).</w:t>
      </w:r>
    </w:p>
    <w:p w14:paraId="7E003113" w14:textId="77777777" w:rsidR="009A58DB" w:rsidRDefault="00000000">
      <w:pPr>
        <w:spacing w:before="120"/>
        <w:ind w:left="360"/>
        <w:rPr>
          <w:i/>
          <w:sz w:val="30"/>
        </w:rPr>
      </w:pPr>
      <w:bookmarkStart w:id="892" w:name="_bookmark892"/>
      <w:bookmarkEnd w:id="892"/>
      <w:r>
        <w:rPr>
          <w:color w:val="0562C1"/>
          <w:sz w:val="30"/>
          <w:u w:val="single" w:color="0562C1"/>
          <w:vertAlign w:val="superscript"/>
        </w:rPr>
        <w:t>[219]</w:t>
      </w:r>
      <w:r>
        <w:t>.</w:t>
      </w:r>
      <w:r>
        <w:rPr>
          <w:spacing w:val="4"/>
        </w:rPr>
        <w:t xml:space="preserve"> </w:t>
      </w:r>
      <w:r>
        <w:rPr>
          <w:sz w:val="30"/>
        </w:rPr>
        <w:t>C.D.</w:t>
      </w:r>
      <w:r>
        <w:rPr>
          <w:spacing w:val="4"/>
          <w:sz w:val="30"/>
        </w:rPr>
        <w:t xml:space="preserve"> </w:t>
      </w:r>
      <w:r>
        <w:rPr>
          <w:sz w:val="30"/>
        </w:rPr>
        <w:t>Broad</w:t>
      </w:r>
      <w:r>
        <w:rPr>
          <w:spacing w:val="5"/>
          <w:sz w:val="30"/>
        </w:rPr>
        <w:t xml:space="preserve"> </w:t>
      </w:r>
      <w:r>
        <w:rPr>
          <w:sz w:val="30"/>
        </w:rPr>
        <w:t>makes</w:t>
      </w:r>
      <w:r>
        <w:rPr>
          <w:spacing w:val="3"/>
          <w:sz w:val="30"/>
        </w:rPr>
        <w:t xml:space="preserve"> </w:t>
      </w:r>
      <w:r>
        <w:rPr>
          <w:sz w:val="30"/>
        </w:rPr>
        <w:t>a</w:t>
      </w:r>
      <w:r>
        <w:rPr>
          <w:spacing w:val="3"/>
          <w:sz w:val="30"/>
        </w:rPr>
        <w:t xml:space="preserve"> </w:t>
      </w:r>
      <w:r>
        <w:rPr>
          <w:sz w:val="30"/>
        </w:rPr>
        <w:t>similar</w:t>
      </w:r>
      <w:r>
        <w:rPr>
          <w:spacing w:val="4"/>
          <w:sz w:val="30"/>
        </w:rPr>
        <w:t xml:space="preserve"> </w:t>
      </w:r>
      <w:r>
        <w:rPr>
          <w:sz w:val="30"/>
        </w:rPr>
        <w:t>point</w:t>
      </w:r>
      <w:r>
        <w:rPr>
          <w:spacing w:val="3"/>
          <w:sz w:val="30"/>
        </w:rPr>
        <w:t xml:space="preserve"> </w:t>
      </w:r>
      <w:r>
        <w:rPr>
          <w:sz w:val="30"/>
        </w:rPr>
        <w:t>in</w:t>
      </w:r>
      <w:r>
        <w:rPr>
          <w:spacing w:val="5"/>
          <w:sz w:val="30"/>
        </w:rPr>
        <w:t xml:space="preserve"> </w:t>
      </w:r>
      <w:r>
        <w:rPr>
          <w:i/>
          <w:sz w:val="30"/>
        </w:rPr>
        <w:t>The</w:t>
      </w:r>
      <w:r>
        <w:rPr>
          <w:i/>
          <w:spacing w:val="3"/>
          <w:sz w:val="30"/>
        </w:rPr>
        <w:t xml:space="preserve"> </w:t>
      </w:r>
      <w:r>
        <w:rPr>
          <w:i/>
          <w:sz w:val="30"/>
        </w:rPr>
        <w:t>Mind</w:t>
      </w:r>
      <w:r>
        <w:rPr>
          <w:i/>
          <w:spacing w:val="4"/>
          <w:sz w:val="30"/>
        </w:rPr>
        <w:t xml:space="preserve"> </w:t>
      </w:r>
      <w:r>
        <w:rPr>
          <w:i/>
          <w:sz w:val="30"/>
        </w:rPr>
        <w:t>and</w:t>
      </w:r>
      <w:r>
        <w:rPr>
          <w:i/>
          <w:spacing w:val="5"/>
          <w:sz w:val="30"/>
        </w:rPr>
        <w:t xml:space="preserve"> </w:t>
      </w:r>
      <w:r>
        <w:rPr>
          <w:i/>
          <w:sz w:val="30"/>
        </w:rPr>
        <w:t>Its</w:t>
      </w:r>
      <w:r>
        <w:rPr>
          <w:i/>
          <w:spacing w:val="3"/>
          <w:sz w:val="30"/>
        </w:rPr>
        <w:t xml:space="preserve"> </w:t>
      </w:r>
      <w:r>
        <w:rPr>
          <w:i/>
          <w:sz w:val="30"/>
        </w:rPr>
        <w:t>Place</w:t>
      </w:r>
      <w:r>
        <w:rPr>
          <w:i/>
          <w:spacing w:val="4"/>
          <w:sz w:val="30"/>
        </w:rPr>
        <w:t xml:space="preserve"> </w:t>
      </w:r>
      <w:r>
        <w:rPr>
          <w:i/>
          <w:sz w:val="30"/>
        </w:rPr>
        <w:t>in</w:t>
      </w:r>
      <w:r>
        <w:rPr>
          <w:i/>
          <w:spacing w:val="4"/>
          <w:sz w:val="30"/>
        </w:rPr>
        <w:t xml:space="preserve"> </w:t>
      </w:r>
      <w:r>
        <w:rPr>
          <w:i/>
          <w:spacing w:val="-2"/>
          <w:sz w:val="30"/>
        </w:rPr>
        <w:t>Nature.</w:t>
      </w:r>
    </w:p>
    <w:p w14:paraId="7E003114" w14:textId="77777777" w:rsidR="009A58DB" w:rsidRDefault="00000000">
      <w:pPr>
        <w:pStyle w:val="BodyText"/>
        <w:spacing w:before="120"/>
        <w:jc w:val="left"/>
      </w:pPr>
      <w:bookmarkStart w:id="893" w:name="_bookmark893"/>
      <w:bookmarkEnd w:id="893"/>
      <w:r>
        <w:rPr>
          <w:color w:val="0562C1"/>
          <w:u w:val="single" w:color="0562C1"/>
          <w:vertAlign w:val="superscript"/>
        </w:rPr>
        <w:t>[220]</w:t>
      </w:r>
      <w:r>
        <w:rPr>
          <w:sz w:val="22"/>
        </w:rPr>
        <w:t>.</w:t>
      </w:r>
      <w:r>
        <w:rPr>
          <w:spacing w:val="4"/>
          <w:sz w:val="22"/>
        </w:rPr>
        <w:t xml:space="preserve"> </w:t>
      </w:r>
      <w:r>
        <w:t>My</w:t>
      </w:r>
      <w:r>
        <w:rPr>
          <w:spacing w:val="4"/>
        </w:rPr>
        <w:t xml:space="preserve"> </w:t>
      </w:r>
      <w:r>
        <w:t>own</w:t>
      </w:r>
      <w:r>
        <w:rPr>
          <w:spacing w:val="4"/>
        </w:rPr>
        <w:t xml:space="preserve"> </w:t>
      </w:r>
      <w:r>
        <w:t>view</w:t>
      </w:r>
      <w:r>
        <w:rPr>
          <w:spacing w:val="4"/>
        </w:rPr>
        <w:t xml:space="preserve"> </w:t>
      </w:r>
      <w:r>
        <w:t>is</w:t>
      </w:r>
      <w:r>
        <w:rPr>
          <w:spacing w:val="3"/>
        </w:rPr>
        <w:t xml:space="preserve"> </w:t>
      </w:r>
      <w:r>
        <w:t>that</w:t>
      </w:r>
      <w:r>
        <w:rPr>
          <w:spacing w:val="3"/>
        </w:rPr>
        <w:t xml:space="preserve"> </w:t>
      </w:r>
      <w:r>
        <w:t>this</w:t>
      </w:r>
      <w:r>
        <w:rPr>
          <w:spacing w:val="4"/>
        </w:rPr>
        <w:t xml:space="preserve"> </w:t>
      </w:r>
      <w:r>
        <w:t>reasoning</w:t>
      </w:r>
      <w:r>
        <w:rPr>
          <w:spacing w:val="4"/>
        </w:rPr>
        <w:t xml:space="preserve"> </w:t>
      </w:r>
      <w:r>
        <w:t>is</w:t>
      </w:r>
      <w:r>
        <w:rPr>
          <w:spacing w:val="3"/>
        </w:rPr>
        <w:t xml:space="preserve"> </w:t>
      </w:r>
      <w:r>
        <w:t>solid.</w:t>
      </w:r>
      <w:r>
        <w:rPr>
          <w:spacing w:val="5"/>
        </w:rPr>
        <w:t xml:space="preserve"> </w:t>
      </w:r>
      <w:r>
        <w:t>I</w:t>
      </w:r>
      <w:r>
        <w:rPr>
          <w:spacing w:val="3"/>
        </w:rPr>
        <w:t xml:space="preserve"> </w:t>
      </w:r>
      <w:r>
        <w:t>say</w:t>
      </w:r>
      <w:r>
        <w:rPr>
          <w:spacing w:val="4"/>
        </w:rPr>
        <w:t xml:space="preserve"> </w:t>
      </w:r>
      <w:r>
        <w:t>this</w:t>
      </w:r>
      <w:r>
        <w:rPr>
          <w:spacing w:val="4"/>
        </w:rPr>
        <w:t xml:space="preserve"> </w:t>
      </w:r>
      <w:r>
        <w:t>despite</w:t>
      </w:r>
      <w:r>
        <w:rPr>
          <w:spacing w:val="3"/>
        </w:rPr>
        <w:t xml:space="preserve"> </w:t>
      </w:r>
      <w:r>
        <w:rPr>
          <w:spacing w:val="-5"/>
        </w:rPr>
        <w:t>my</w:t>
      </w:r>
    </w:p>
    <w:p w14:paraId="7E003115" w14:textId="77777777" w:rsidR="009A58DB" w:rsidRDefault="009A58DB">
      <w:pPr>
        <w:pStyle w:val="BodyText"/>
        <w:jc w:val="left"/>
        <w:sectPr w:rsidR="009A58DB">
          <w:pgSz w:w="12240" w:h="15840"/>
          <w:pgMar w:top="1360" w:right="1080" w:bottom="280" w:left="1080" w:header="720" w:footer="720" w:gutter="0"/>
          <w:cols w:space="720"/>
        </w:sectPr>
      </w:pPr>
    </w:p>
    <w:p w14:paraId="7E003116" w14:textId="77777777" w:rsidR="009A58DB" w:rsidRDefault="00000000">
      <w:pPr>
        <w:pStyle w:val="BodyText"/>
        <w:spacing w:before="65" w:line="249" w:lineRule="auto"/>
        <w:ind w:left="645" w:right="549"/>
        <w:jc w:val="left"/>
      </w:pPr>
      <w:r>
        <w:t>unshakable,</w:t>
      </w:r>
      <w:r>
        <w:rPr>
          <w:spacing w:val="-4"/>
        </w:rPr>
        <w:t xml:space="preserve"> </w:t>
      </w:r>
      <w:r>
        <w:t>but—so</w:t>
      </w:r>
      <w:r>
        <w:rPr>
          <w:spacing w:val="-4"/>
        </w:rPr>
        <w:t xml:space="preserve"> </w:t>
      </w:r>
      <w:r>
        <w:t>far</w:t>
      </w:r>
      <w:r>
        <w:rPr>
          <w:spacing w:val="-5"/>
        </w:rPr>
        <w:t xml:space="preserve"> </w:t>
      </w:r>
      <w:r>
        <w:t>as</w:t>
      </w:r>
      <w:r>
        <w:rPr>
          <w:spacing w:val="-5"/>
        </w:rPr>
        <w:t xml:space="preserve"> </w:t>
      </w:r>
      <w:r>
        <w:t>I</w:t>
      </w:r>
      <w:r>
        <w:rPr>
          <w:spacing w:val="-5"/>
        </w:rPr>
        <w:t xml:space="preserve"> </w:t>
      </w:r>
      <w:r>
        <w:t>know</w:t>
      </w:r>
      <w:r>
        <w:rPr>
          <w:spacing w:val="-5"/>
        </w:rPr>
        <w:t xml:space="preserve"> </w:t>
      </w:r>
      <w:r>
        <w:t>now—</w:t>
      </w:r>
      <w:r>
        <w:rPr>
          <w:spacing w:val="-4"/>
        </w:rPr>
        <w:t xml:space="preserve"> </w:t>
      </w:r>
      <w:r>
        <w:t>very</w:t>
      </w:r>
      <w:r>
        <w:rPr>
          <w:spacing w:val="-4"/>
        </w:rPr>
        <w:t xml:space="preserve"> </w:t>
      </w:r>
      <w:r>
        <w:t>hard</w:t>
      </w:r>
      <w:r>
        <w:rPr>
          <w:spacing w:val="-4"/>
        </w:rPr>
        <w:t xml:space="preserve"> </w:t>
      </w:r>
      <w:r>
        <w:t>to</w:t>
      </w:r>
      <w:r>
        <w:rPr>
          <w:spacing w:val="-4"/>
        </w:rPr>
        <w:t xml:space="preserve"> </w:t>
      </w:r>
      <w:r>
        <w:t>defend</w:t>
      </w:r>
      <w:r>
        <w:rPr>
          <w:spacing w:val="-4"/>
        </w:rPr>
        <w:t xml:space="preserve"> </w:t>
      </w:r>
      <w:r>
        <w:t>suspicion that dualism cannot be completely wrong.</w:t>
      </w:r>
    </w:p>
    <w:p w14:paraId="7E003117" w14:textId="77777777" w:rsidR="009A58DB" w:rsidRDefault="00000000">
      <w:pPr>
        <w:pStyle w:val="BodyText"/>
        <w:spacing w:before="107" w:line="249" w:lineRule="auto"/>
        <w:ind w:left="645" w:right="365" w:hanging="285"/>
        <w:jc w:val="left"/>
      </w:pPr>
      <w:bookmarkStart w:id="894" w:name="_bookmark894"/>
      <w:bookmarkEnd w:id="894"/>
      <w:r>
        <w:rPr>
          <w:color w:val="0562C1"/>
          <w:u w:val="single" w:color="0562C1"/>
          <w:vertAlign w:val="superscript"/>
        </w:rPr>
        <w:t>[221]</w:t>
      </w:r>
      <w:r>
        <w:rPr>
          <w:sz w:val="22"/>
        </w:rPr>
        <w:t xml:space="preserve">. </w:t>
      </w:r>
      <w:r>
        <w:t>In Chapter 17, it is said what exactly it means to identify objects with causal</w:t>
      </w:r>
      <w:r>
        <w:rPr>
          <w:spacing w:val="-4"/>
        </w:rPr>
        <w:t xml:space="preserve"> </w:t>
      </w:r>
      <w:r>
        <w:t>sequences,</w:t>
      </w:r>
      <w:r>
        <w:rPr>
          <w:spacing w:val="-3"/>
        </w:rPr>
        <w:t xml:space="preserve"> </w:t>
      </w:r>
      <w:r>
        <w:t>and</w:t>
      </w:r>
      <w:r>
        <w:rPr>
          <w:spacing w:val="-3"/>
        </w:rPr>
        <w:t xml:space="preserve"> </w:t>
      </w:r>
      <w:r>
        <w:t>it</w:t>
      </w:r>
      <w:r>
        <w:rPr>
          <w:spacing w:val="-4"/>
        </w:rPr>
        <w:t xml:space="preserve"> </w:t>
      </w:r>
      <w:r>
        <w:t>is</w:t>
      </w:r>
      <w:r>
        <w:rPr>
          <w:spacing w:val="-4"/>
        </w:rPr>
        <w:t xml:space="preserve"> </w:t>
      </w:r>
      <w:r>
        <w:t>also</w:t>
      </w:r>
      <w:r>
        <w:rPr>
          <w:spacing w:val="-3"/>
        </w:rPr>
        <w:t xml:space="preserve"> </w:t>
      </w:r>
      <w:r>
        <w:t>said</w:t>
      </w:r>
      <w:r>
        <w:rPr>
          <w:spacing w:val="-3"/>
        </w:rPr>
        <w:t xml:space="preserve"> </w:t>
      </w:r>
      <w:r>
        <w:t>why</w:t>
      </w:r>
      <w:r>
        <w:rPr>
          <w:spacing w:val="-3"/>
        </w:rPr>
        <w:t xml:space="preserve"> </w:t>
      </w:r>
      <w:r>
        <w:t>exactly</w:t>
      </w:r>
      <w:r>
        <w:rPr>
          <w:spacing w:val="-3"/>
        </w:rPr>
        <w:t xml:space="preserve"> </w:t>
      </w:r>
      <w:r>
        <w:t>objects</w:t>
      </w:r>
      <w:r>
        <w:rPr>
          <w:spacing w:val="-4"/>
        </w:rPr>
        <w:t xml:space="preserve"> </w:t>
      </w:r>
      <w:r>
        <w:t>must</w:t>
      </w:r>
      <w:r>
        <w:rPr>
          <w:spacing w:val="-4"/>
        </w:rPr>
        <w:t xml:space="preserve"> </w:t>
      </w:r>
      <w:r>
        <w:t>be</w:t>
      </w:r>
      <w:r>
        <w:rPr>
          <w:spacing w:val="-4"/>
        </w:rPr>
        <w:t xml:space="preserve"> </w:t>
      </w:r>
      <w:r>
        <w:t>identified such sequences.</w:t>
      </w:r>
    </w:p>
    <w:p w14:paraId="7E003118" w14:textId="77777777" w:rsidR="009A58DB" w:rsidRDefault="00000000">
      <w:pPr>
        <w:pStyle w:val="BodyText"/>
        <w:spacing w:before="109"/>
        <w:jc w:val="left"/>
      </w:pPr>
      <w:bookmarkStart w:id="895" w:name="_bookmark895"/>
      <w:bookmarkEnd w:id="895"/>
      <w:r>
        <w:rPr>
          <w:color w:val="0562C1"/>
          <w:w w:val="105"/>
          <w:u w:val="single" w:color="0562C1"/>
          <w:vertAlign w:val="superscript"/>
        </w:rPr>
        <w:t>[222]</w:t>
      </w:r>
      <w:r>
        <w:rPr>
          <w:w w:val="105"/>
          <w:sz w:val="22"/>
        </w:rPr>
        <w:t>.</w:t>
      </w:r>
      <w:r>
        <w:rPr>
          <w:spacing w:val="9"/>
          <w:w w:val="105"/>
          <w:sz w:val="22"/>
        </w:rPr>
        <w:t xml:space="preserve"> </w:t>
      </w:r>
      <w:r>
        <w:rPr>
          <w:w w:val="105"/>
        </w:rPr>
        <w:t>Fodor</w:t>
      </w:r>
      <w:r>
        <w:rPr>
          <w:spacing w:val="9"/>
          <w:w w:val="105"/>
        </w:rPr>
        <w:t xml:space="preserve"> </w:t>
      </w:r>
      <w:r>
        <w:rPr>
          <w:spacing w:val="-2"/>
          <w:w w:val="105"/>
        </w:rPr>
        <w:t>(1968).</w:t>
      </w:r>
    </w:p>
    <w:p w14:paraId="7E003119" w14:textId="77777777" w:rsidR="009A58DB" w:rsidRDefault="00000000">
      <w:pPr>
        <w:pStyle w:val="BodyText"/>
        <w:spacing w:before="120"/>
        <w:jc w:val="left"/>
      </w:pPr>
      <w:bookmarkStart w:id="896" w:name="_bookmark896"/>
      <w:bookmarkEnd w:id="896"/>
      <w:r>
        <w:rPr>
          <w:color w:val="0562C1"/>
          <w:u w:val="single" w:color="0562C1"/>
          <w:vertAlign w:val="superscript"/>
        </w:rPr>
        <w:t>[223]</w:t>
      </w:r>
      <w:r>
        <w:rPr>
          <w:sz w:val="22"/>
        </w:rPr>
        <w:t>.</w:t>
      </w:r>
      <w:r>
        <w:rPr>
          <w:spacing w:val="10"/>
          <w:sz w:val="22"/>
        </w:rPr>
        <w:t xml:space="preserve"> </w:t>
      </w:r>
      <w:r>
        <w:t>Richard</w:t>
      </w:r>
      <w:r>
        <w:rPr>
          <w:spacing w:val="12"/>
        </w:rPr>
        <w:t xml:space="preserve"> </w:t>
      </w:r>
      <w:r>
        <w:t>Rorty</w:t>
      </w:r>
      <w:r>
        <w:rPr>
          <w:spacing w:val="13"/>
        </w:rPr>
        <w:t xml:space="preserve"> </w:t>
      </w:r>
      <w:r>
        <w:t>(1979)</w:t>
      </w:r>
      <w:r>
        <w:rPr>
          <w:spacing w:val="11"/>
        </w:rPr>
        <w:t xml:space="preserve"> </w:t>
      </w:r>
      <w:r>
        <w:t>makes</w:t>
      </w:r>
      <w:r>
        <w:rPr>
          <w:spacing w:val="12"/>
        </w:rPr>
        <w:t xml:space="preserve"> </w:t>
      </w:r>
      <w:r>
        <w:t>this</w:t>
      </w:r>
      <w:r>
        <w:rPr>
          <w:spacing w:val="11"/>
        </w:rPr>
        <w:t xml:space="preserve"> </w:t>
      </w:r>
      <w:r>
        <w:rPr>
          <w:spacing w:val="-2"/>
        </w:rPr>
        <w:t>point.</w:t>
      </w:r>
    </w:p>
    <w:p w14:paraId="7E00311A" w14:textId="77777777" w:rsidR="009A58DB" w:rsidRDefault="00000000">
      <w:pPr>
        <w:spacing w:before="120" w:line="249" w:lineRule="auto"/>
        <w:ind w:left="645" w:hanging="285"/>
        <w:rPr>
          <w:i/>
          <w:sz w:val="30"/>
        </w:rPr>
      </w:pPr>
      <w:bookmarkStart w:id="897" w:name="_bookmark897"/>
      <w:bookmarkEnd w:id="897"/>
      <w:r>
        <w:rPr>
          <w:color w:val="0562C1"/>
          <w:sz w:val="30"/>
          <w:u w:val="single" w:color="0562C1"/>
          <w:vertAlign w:val="superscript"/>
        </w:rPr>
        <w:t>[224]</w:t>
      </w:r>
      <w:r>
        <w:t xml:space="preserve">. </w:t>
      </w:r>
      <w:r>
        <w:rPr>
          <w:sz w:val="30"/>
        </w:rPr>
        <w:t xml:space="preserve">These two meanings are clearly distinguished by John Searle in </w:t>
      </w:r>
      <w:r>
        <w:rPr>
          <w:i/>
          <w:sz w:val="30"/>
        </w:rPr>
        <w:t>The Rediscovery of the Mind.</w:t>
      </w:r>
    </w:p>
    <w:p w14:paraId="7E00311B" w14:textId="77777777" w:rsidR="009A58DB" w:rsidRDefault="00000000">
      <w:pPr>
        <w:pStyle w:val="BodyText"/>
        <w:spacing w:before="107"/>
        <w:jc w:val="left"/>
      </w:pPr>
      <w:bookmarkStart w:id="898" w:name="_bookmark898"/>
      <w:bookmarkEnd w:id="898"/>
      <w:r>
        <w:rPr>
          <w:color w:val="0562C1"/>
          <w:u w:val="single" w:color="0562C1"/>
          <w:vertAlign w:val="superscript"/>
        </w:rPr>
        <w:t>[225]</w:t>
      </w:r>
      <w:r>
        <w:rPr>
          <w:sz w:val="22"/>
        </w:rPr>
        <w:t>.</w:t>
      </w:r>
      <w:r>
        <w:rPr>
          <w:spacing w:val="10"/>
          <w:sz w:val="22"/>
        </w:rPr>
        <w:t xml:space="preserve"> </w:t>
      </w:r>
      <w:r>
        <w:t>See</w:t>
      </w:r>
      <w:r>
        <w:rPr>
          <w:spacing w:val="12"/>
        </w:rPr>
        <w:t xml:space="preserve"> </w:t>
      </w:r>
      <w:r>
        <w:t>Watson</w:t>
      </w:r>
      <w:r>
        <w:rPr>
          <w:spacing w:val="13"/>
        </w:rPr>
        <w:t xml:space="preserve"> </w:t>
      </w:r>
      <w:r>
        <w:t>(1924)</w:t>
      </w:r>
      <w:r>
        <w:rPr>
          <w:spacing w:val="11"/>
        </w:rPr>
        <w:t xml:space="preserve"> </w:t>
      </w:r>
      <w:r>
        <w:t>and</w:t>
      </w:r>
      <w:r>
        <w:rPr>
          <w:spacing w:val="13"/>
        </w:rPr>
        <w:t xml:space="preserve"> </w:t>
      </w:r>
      <w:r>
        <w:t>Carnap</w:t>
      </w:r>
      <w:r>
        <w:rPr>
          <w:spacing w:val="13"/>
        </w:rPr>
        <w:t xml:space="preserve"> </w:t>
      </w:r>
      <w:r>
        <w:rPr>
          <w:spacing w:val="-2"/>
        </w:rPr>
        <w:t>(1934).</w:t>
      </w:r>
    </w:p>
    <w:p w14:paraId="7E00311C" w14:textId="77777777" w:rsidR="009A58DB" w:rsidRDefault="00000000">
      <w:pPr>
        <w:pStyle w:val="BodyText"/>
        <w:spacing w:before="120" w:line="249" w:lineRule="auto"/>
        <w:ind w:left="645" w:right="794" w:hanging="285"/>
        <w:jc w:val="left"/>
      </w:pPr>
      <w:bookmarkStart w:id="899" w:name="_bookmark899"/>
      <w:bookmarkEnd w:id="899"/>
      <w:r>
        <w:rPr>
          <w:color w:val="0562C1"/>
          <w:u w:val="single" w:color="0562C1"/>
          <w:vertAlign w:val="superscript"/>
        </w:rPr>
        <w:t>[226]</w:t>
      </w:r>
      <w:r>
        <w:rPr>
          <w:sz w:val="22"/>
        </w:rPr>
        <w:t>.</w:t>
      </w:r>
      <w:r>
        <w:rPr>
          <w:spacing w:val="34"/>
          <w:sz w:val="22"/>
        </w:rPr>
        <w:t xml:space="preserve"> </w:t>
      </w:r>
      <w:r>
        <w:t>“RS” is short for “Ramsey sentence.” RS is given by David Lewis (1972).</w:t>
      </w:r>
      <w:r>
        <w:rPr>
          <w:spacing w:val="-6"/>
        </w:rPr>
        <w:t xml:space="preserve"> </w:t>
      </w:r>
      <w:r>
        <w:t>In</w:t>
      </w:r>
      <w:r>
        <w:rPr>
          <w:spacing w:val="-6"/>
        </w:rPr>
        <w:t xml:space="preserve"> </w:t>
      </w:r>
      <w:r>
        <w:t>his</w:t>
      </w:r>
      <w:r>
        <w:rPr>
          <w:spacing w:val="-7"/>
        </w:rPr>
        <w:t xml:space="preserve"> </w:t>
      </w:r>
      <w:r>
        <w:t>paper</w:t>
      </w:r>
      <w:r>
        <w:rPr>
          <w:spacing w:val="-7"/>
        </w:rPr>
        <w:t xml:space="preserve"> </w:t>
      </w:r>
      <w:r>
        <w:t>“Psychophysical</w:t>
      </w:r>
      <w:r>
        <w:rPr>
          <w:spacing w:val="-7"/>
        </w:rPr>
        <w:t xml:space="preserve"> </w:t>
      </w:r>
      <w:r>
        <w:t>and</w:t>
      </w:r>
      <w:r>
        <w:rPr>
          <w:spacing w:val="-6"/>
        </w:rPr>
        <w:t xml:space="preserve"> </w:t>
      </w:r>
      <w:r>
        <w:t>Theoretical</w:t>
      </w:r>
      <w:r>
        <w:rPr>
          <w:spacing w:val="-7"/>
        </w:rPr>
        <w:t xml:space="preserve"> </w:t>
      </w:r>
      <w:r>
        <w:t>Identifications.” David Lewis (1983). See also Frank Ramsey’s paper “Theories,” in Ramsey (1990) and “The Ramsey Sentence,” Carnap (1966).</w:t>
      </w:r>
    </w:p>
    <w:p w14:paraId="7E00311D" w14:textId="77777777" w:rsidR="009A58DB" w:rsidRDefault="00000000">
      <w:pPr>
        <w:pStyle w:val="BodyText"/>
        <w:spacing w:before="110"/>
        <w:jc w:val="left"/>
      </w:pPr>
      <w:bookmarkStart w:id="900" w:name="_bookmark900"/>
      <w:bookmarkEnd w:id="900"/>
      <w:r>
        <w:rPr>
          <w:color w:val="0562C1"/>
          <w:u w:val="single" w:color="0562C1"/>
          <w:vertAlign w:val="superscript"/>
        </w:rPr>
        <w:t>[227]</w:t>
      </w:r>
      <w:r>
        <w:rPr>
          <w:sz w:val="22"/>
        </w:rPr>
        <w:t>.</w:t>
      </w:r>
      <w:r>
        <w:rPr>
          <w:spacing w:val="12"/>
          <w:sz w:val="22"/>
        </w:rPr>
        <w:t xml:space="preserve"> </w:t>
      </w:r>
      <w:r>
        <w:t>“HA”</w:t>
      </w:r>
      <w:r>
        <w:rPr>
          <w:spacing w:val="15"/>
        </w:rPr>
        <w:t xml:space="preserve"> </w:t>
      </w:r>
      <w:r>
        <w:t>stands</w:t>
      </w:r>
      <w:r>
        <w:rPr>
          <w:spacing w:val="14"/>
        </w:rPr>
        <w:t xml:space="preserve"> </w:t>
      </w:r>
      <w:r>
        <w:t>for</w:t>
      </w:r>
      <w:r>
        <w:rPr>
          <w:spacing w:val="15"/>
        </w:rPr>
        <w:t xml:space="preserve"> </w:t>
      </w:r>
      <w:r>
        <w:t>“Hume’s</w:t>
      </w:r>
      <w:r>
        <w:rPr>
          <w:spacing w:val="14"/>
        </w:rPr>
        <w:t xml:space="preserve"> </w:t>
      </w:r>
      <w:r>
        <w:rPr>
          <w:spacing w:val="-2"/>
        </w:rPr>
        <w:t>argument.”</w:t>
      </w:r>
    </w:p>
    <w:p w14:paraId="7E00311E" w14:textId="77777777" w:rsidR="009A58DB" w:rsidRDefault="00000000">
      <w:pPr>
        <w:spacing w:before="120"/>
        <w:ind w:left="360"/>
        <w:rPr>
          <w:sz w:val="30"/>
        </w:rPr>
      </w:pPr>
      <w:bookmarkStart w:id="901" w:name="_bookmark901"/>
      <w:bookmarkEnd w:id="901"/>
      <w:r>
        <w:rPr>
          <w:color w:val="0562C1"/>
          <w:sz w:val="30"/>
          <w:u w:val="single" w:color="0562C1"/>
          <w:vertAlign w:val="superscript"/>
        </w:rPr>
        <w:t>[228]</w:t>
      </w:r>
      <w:r>
        <w:t>.</w:t>
      </w:r>
      <w:r>
        <w:rPr>
          <w:spacing w:val="5"/>
        </w:rPr>
        <w:t xml:space="preserve"> </w:t>
      </w:r>
      <w:r>
        <w:rPr>
          <w:sz w:val="30"/>
        </w:rPr>
        <w:t>See</w:t>
      </w:r>
      <w:r>
        <w:rPr>
          <w:spacing w:val="5"/>
          <w:sz w:val="30"/>
        </w:rPr>
        <w:t xml:space="preserve"> </w:t>
      </w:r>
      <w:r>
        <w:rPr>
          <w:sz w:val="30"/>
        </w:rPr>
        <w:t>Hume</w:t>
      </w:r>
      <w:r>
        <w:rPr>
          <w:spacing w:val="4"/>
          <w:sz w:val="30"/>
        </w:rPr>
        <w:t xml:space="preserve"> </w:t>
      </w:r>
      <w:r>
        <w:rPr>
          <w:i/>
          <w:sz w:val="30"/>
        </w:rPr>
        <w:t>A</w:t>
      </w:r>
      <w:r>
        <w:rPr>
          <w:i/>
          <w:spacing w:val="5"/>
          <w:sz w:val="30"/>
        </w:rPr>
        <w:t xml:space="preserve"> </w:t>
      </w:r>
      <w:r>
        <w:rPr>
          <w:i/>
          <w:sz w:val="30"/>
        </w:rPr>
        <w:t>Treatise</w:t>
      </w:r>
      <w:r>
        <w:rPr>
          <w:i/>
          <w:spacing w:val="5"/>
          <w:sz w:val="30"/>
        </w:rPr>
        <w:t xml:space="preserve"> </w:t>
      </w:r>
      <w:r>
        <w:rPr>
          <w:i/>
          <w:sz w:val="30"/>
        </w:rPr>
        <w:t>Concerning</w:t>
      </w:r>
      <w:r>
        <w:rPr>
          <w:i/>
          <w:spacing w:val="5"/>
          <w:sz w:val="30"/>
        </w:rPr>
        <w:t xml:space="preserve"> </w:t>
      </w:r>
      <w:r>
        <w:rPr>
          <w:i/>
          <w:sz w:val="30"/>
        </w:rPr>
        <w:t>Human</w:t>
      </w:r>
      <w:r>
        <w:rPr>
          <w:i/>
          <w:spacing w:val="6"/>
          <w:sz w:val="30"/>
        </w:rPr>
        <w:t xml:space="preserve"> </w:t>
      </w:r>
      <w:r>
        <w:rPr>
          <w:i/>
          <w:sz w:val="30"/>
        </w:rPr>
        <w:t>Nature</w:t>
      </w:r>
      <w:r>
        <w:rPr>
          <w:i/>
          <w:spacing w:val="5"/>
          <w:sz w:val="30"/>
        </w:rPr>
        <w:t xml:space="preserve"> </w:t>
      </w:r>
      <w:r>
        <w:rPr>
          <w:sz w:val="30"/>
        </w:rPr>
        <w:t>Book</w:t>
      </w:r>
      <w:r>
        <w:rPr>
          <w:spacing w:val="6"/>
          <w:sz w:val="30"/>
        </w:rPr>
        <w:t xml:space="preserve"> </w:t>
      </w:r>
      <w:r>
        <w:rPr>
          <w:sz w:val="30"/>
        </w:rPr>
        <w:t>1,</w:t>
      </w:r>
      <w:r>
        <w:rPr>
          <w:spacing w:val="5"/>
          <w:sz w:val="30"/>
        </w:rPr>
        <w:t xml:space="preserve"> </w:t>
      </w:r>
      <w:r>
        <w:rPr>
          <w:sz w:val="30"/>
        </w:rPr>
        <w:t>Part</w:t>
      </w:r>
      <w:r>
        <w:rPr>
          <w:spacing w:val="5"/>
          <w:sz w:val="30"/>
        </w:rPr>
        <w:t xml:space="preserve"> </w:t>
      </w:r>
      <w:r>
        <w:rPr>
          <w:spacing w:val="-5"/>
          <w:sz w:val="30"/>
        </w:rPr>
        <w:t>4.</w:t>
      </w:r>
    </w:p>
    <w:p w14:paraId="7E00311F" w14:textId="77777777" w:rsidR="009A58DB" w:rsidRDefault="00000000">
      <w:pPr>
        <w:pStyle w:val="BodyText"/>
        <w:spacing w:before="5" w:line="460" w:lineRule="atLeast"/>
        <w:ind w:right="3971"/>
        <w:jc w:val="left"/>
      </w:pPr>
      <w:bookmarkStart w:id="902" w:name="_bookmark902"/>
      <w:bookmarkEnd w:id="902"/>
      <w:r>
        <w:rPr>
          <w:color w:val="0562C1"/>
          <w:u w:val="single" w:color="0562C1"/>
          <w:vertAlign w:val="superscript"/>
        </w:rPr>
        <w:t>[229]</w:t>
      </w:r>
      <w:r>
        <w:rPr>
          <w:sz w:val="22"/>
        </w:rPr>
        <w:t xml:space="preserve">. </w:t>
      </w:r>
      <w:r>
        <w:t xml:space="preserve">Reichenbach (1956) makes a similar point. </w:t>
      </w:r>
      <w:bookmarkStart w:id="903" w:name="_bookmark903"/>
      <w:bookmarkEnd w:id="903"/>
      <w:r>
        <w:rPr>
          <w:color w:val="0562C1"/>
          <w:u w:val="single" w:color="0562C1"/>
          <w:vertAlign w:val="superscript"/>
        </w:rPr>
        <w:t>[230]</w:t>
      </w:r>
      <w:r>
        <w:t>.</w:t>
      </w:r>
      <w:r>
        <w:rPr>
          <w:spacing w:val="38"/>
        </w:rPr>
        <w:t xml:space="preserve"> </w:t>
      </w:r>
      <w:r>
        <w:t>“HR”</w:t>
      </w:r>
      <w:r>
        <w:rPr>
          <w:spacing w:val="36"/>
        </w:rPr>
        <w:t xml:space="preserve"> </w:t>
      </w:r>
      <w:r>
        <w:t>is</w:t>
      </w:r>
      <w:r>
        <w:rPr>
          <w:spacing w:val="36"/>
        </w:rPr>
        <w:t xml:space="preserve"> </w:t>
      </w:r>
      <w:r>
        <w:t>short</w:t>
      </w:r>
      <w:r>
        <w:rPr>
          <w:spacing w:val="36"/>
        </w:rPr>
        <w:t xml:space="preserve"> </w:t>
      </w:r>
      <w:r>
        <w:t>for</w:t>
      </w:r>
      <w:r>
        <w:rPr>
          <w:spacing w:val="36"/>
        </w:rPr>
        <w:t xml:space="preserve"> </w:t>
      </w:r>
      <w:r>
        <w:t>“Hume’s</w:t>
      </w:r>
      <w:r>
        <w:rPr>
          <w:spacing w:val="36"/>
        </w:rPr>
        <w:t xml:space="preserve"> </w:t>
      </w:r>
      <w:r>
        <w:t xml:space="preserve">response.” </w:t>
      </w:r>
      <w:bookmarkStart w:id="904" w:name="_bookmark904"/>
      <w:bookmarkEnd w:id="904"/>
      <w:r>
        <w:rPr>
          <w:color w:val="0562C1"/>
          <w:u w:val="single" w:color="0562C1"/>
          <w:vertAlign w:val="superscript"/>
        </w:rPr>
        <w:t>[231]</w:t>
      </w:r>
      <w:r>
        <w:rPr>
          <w:sz w:val="22"/>
        </w:rPr>
        <w:t xml:space="preserve">. </w:t>
      </w:r>
      <w:r>
        <w:t>See Infeld (1950).</w:t>
      </w:r>
    </w:p>
    <w:p w14:paraId="7E003120" w14:textId="77777777" w:rsidR="009A58DB" w:rsidRDefault="00000000">
      <w:pPr>
        <w:pStyle w:val="BodyText"/>
        <w:spacing w:before="130"/>
        <w:jc w:val="left"/>
      </w:pPr>
      <w:bookmarkStart w:id="905" w:name="_bookmark905"/>
      <w:bookmarkEnd w:id="905"/>
      <w:r>
        <w:rPr>
          <w:color w:val="0562C1"/>
          <w:w w:val="105"/>
          <w:u w:val="single" w:color="0562C1"/>
          <w:vertAlign w:val="superscript"/>
        </w:rPr>
        <w:t>[232]</w:t>
      </w:r>
      <w:r>
        <w:rPr>
          <w:w w:val="105"/>
          <w:sz w:val="22"/>
        </w:rPr>
        <w:t>.</w:t>
      </w:r>
      <w:r>
        <w:rPr>
          <w:spacing w:val="-4"/>
          <w:w w:val="105"/>
          <w:sz w:val="22"/>
        </w:rPr>
        <w:t xml:space="preserve"> </w:t>
      </w:r>
      <w:r>
        <w:rPr>
          <w:w w:val="105"/>
        </w:rPr>
        <w:t>See</w:t>
      </w:r>
      <w:r>
        <w:rPr>
          <w:spacing w:val="-7"/>
          <w:w w:val="105"/>
        </w:rPr>
        <w:t xml:space="preserve"> </w:t>
      </w:r>
      <w:r>
        <w:rPr>
          <w:w w:val="105"/>
        </w:rPr>
        <w:t>Popper</w:t>
      </w:r>
      <w:r>
        <w:rPr>
          <w:spacing w:val="-7"/>
          <w:w w:val="105"/>
        </w:rPr>
        <w:t xml:space="preserve"> </w:t>
      </w:r>
      <w:r>
        <w:rPr>
          <w:spacing w:val="-2"/>
          <w:w w:val="105"/>
        </w:rPr>
        <w:t>(1983).</w:t>
      </w:r>
    </w:p>
    <w:p w14:paraId="7E003121" w14:textId="77777777" w:rsidR="009A58DB" w:rsidRDefault="00000000">
      <w:pPr>
        <w:pStyle w:val="BodyText"/>
        <w:spacing w:before="120" w:line="249" w:lineRule="auto"/>
        <w:ind w:left="585" w:right="379" w:hanging="225"/>
      </w:pPr>
      <w:bookmarkStart w:id="906" w:name="_bookmark906"/>
      <w:bookmarkEnd w:id="906"/>
      <w:r>
        <w:rPr>
          <w:color w:val="0562C1"/>
          <w:u w:val="single" w:color="0562C1"/>
          <w:vertAlign w:val="superscript"/>
        </w:rPr>
        <w:t>[233]</w:t>
      </w:r>
      <w:r>
        <w:rPr>
          <w:sz w:val="22"/>
        </w:rPr>
        <w:t xml:space="preserve">. </w:t>
      </w:r>
      <w:r>
        <w:t>At least so far as their various beliefs form a consistent set—we’ll set aside the secondary question of how, given discrepancies among their views, the right ones are to be selected.</w:t>
      </w:r>
    </w:p>
    <w:p w14:paraId="7E003122" w14:textId="77777777" w:rsidR="009A58DB" w:rsidRDefault="00000000">
      <w:pPr>
        <w:pStyle w:val="BodyText"/>
        <w:spacing w:before="109" w:line="249" w:lineRule="auto"/>
        <w:ind w:left="585" w:right="366" w:hanging="225"/>
      </w:pPr>
      <w:bookmarkStart w:id="907" w:name="_bookmark907"/>
      <w:bookmarkEnd w:id="907"/>
      <w:r>
        <w:rPr>
          <w:color w:val="0562C1"/>
          <w:u w:val="single" w:color="0562C1"/>
          <w:vertAlign w:val="superscript"/>
        </w:rPr>
        <w:t>[234]</w:t>
      </w:r>
      <w:r>
        <w:rPr>
          <w:sz w:val="22"/>
        </w:rPr>
        <w:t xml:space="preserve">. </w:t>
      </w:r>
      <w:r>
        <w:t xml:space="preserve">Speaking frankly, I’m not 100% that I believe what I’m saying in this passage. I believe that it’s a defensible position. But I </w:t>
      </w:r>
      <w:r>
        <w:rPr>
          <w:i/>
        </w:rPr>
        <w:t>do</w:t>
      </w:r>
      <w:r>
        <w:rPr>
          <w:i/>
          <w:spacing w:val="-2"/>
        </w:rPr>
        <w:t xml:space="preserve"> </w:t>
      </w:r>
      <w:r>
        <w:t>believe</w:t>
      </w:r>
      <w:r>
        <w:rPr>
          <w:spacing w:val="-3"/>
        </w:rPr>
        <w:t xml:space="preserve"> </w:t>
      </w:r>
      <w:r>
        <w:t>there</w:t>
      </w:r>
      <w:r>
        <w:rPr>
          <w:spacing w:val="-3"/>
        </w:rPr>
        <w:t xml:space="preserve"> </w:t>
      </w:r>
      <w:r>
        <w:t>to</w:t>
      </w:r>
      <w:r>
        <w:rPr>
          <w:spacing w:val="-2"/>
        </w:rPr>
        <w:t xml:space="preserve"> </w:t>
      </w:r>
      <w:r>
        <w:t>be a connection between an explanation’s being good and it’s being likely to be correct. I simply haven’t been able to identify that connection. As a result, the attempt to refute skepticism put forth in this chapter is not adequate. But I have left this chapter in, because I think that components of it are cogent and because, were I to get rid of the non-cogent parts, the merits</w:t>
      </w:r>
      <w:r>
        <w:rPr>
          <w:spacing w:val="-4"/>
        </w:rPr>
        <w:t xml:space="preserve"> </w:t>
      </w:r>
      <w:r>
        <w:t>of</w:t>
      </w:r>
      <w:r>
        <w:rPr>
          <w:spacing w:val="-4"/>
        </w:rPr>
        <w:t xml:space="preserve"> </w:t>
      </w:r>
      <w:r>
        <w:t>the</w:t>
      </w:r>
      <w:r>
        <w:rPr>
          <w:spacing w:val="-4"/>
        </w:rPr>
        <w:t xml:space="preserve"> </w:t>
      </w:r>
      <w:r>
        <w:t>cogent</w:t>
      </w:r>
      <w:r>
        <w:rPr>
          <w:spacing w:val="-4"/>
        </w:rPr>
        <w:t xml:space="preserve"> </w:t>
      </w:r>
      <w:r>
        <w:t>parts</w:t>
      </w:r>
      <w:r>
        <w:rPr>
          <w:spacing w:val="-4"/>
        </w:rPr>
        <w:t xml:space="preserve"> </w:t>
      </w:r>
      <w:r>
        <w:t>would</w:t>
      </w:r>
      <w:r>
        <w:rPr>
          <w:spacing w:val="-3"/>
        </w:rPr>
        <w:t xml:space="preserve"> </w:t>
      </w:r>
      <w:r>
        <w:t>be</w:t>
      </w:r>
      <w:r>
        <w:rPr>
          <w:spacing w:val="-4"/>
        </w:rPr>
        <w:t xml:space="preserve"> </w:t>
      </w:r>
      <w:r>
        <w:t>unclear.</w:t>
      </w:r>
      <w:r>
        <w:rPr>
          <w:spacing w:val="-3"/>
        </w:rPr>
        <w:t xml:space="preserve"> </w:t>
      </w:r>
      <w:r>
        <w:t>(I</w:t>
      </w:r>
      <w:r>
        <w:rPr>
          <w:spacing w:val="-4"/>
        </w:rPr>
        <w:t xml:space="preserve"> </w:t>
      </w:r>
      <w:r>
        <w:t>believe,</w:t>
      </w:r>
      <w:r>
        <w:rPr>
          <w:spacing w:val="-3"/>
        </w:rPr>
        <w:t xml:space="preserve"> </w:t>
      </w:r>
      <w:r>
        <w:t>for</w:t>
      </w:r>
      <w:r>
        <w:rPr>
          <w:spacing w:val="-4"/>
        </w:rPr>
        <w:t xml:space="preserve"> </w:t>
      </w:r>
      <w:r>
        <w:t>example,</w:t>
      </w:r>
      <w:r>
        <w:rPr>
          <w:spacing w:val="-3"/>
        </w:rPr>
        <w:t xml:space="preserve"> </w:t>
      </w:r>
      <w:r>
        <w:t>that</w:t>
      </w:r>
      <w:r>
        <w:rPr>
          <w:spacing w:val="-4"/>
        </w:rPr>
        <w:t xml:space="preserve"> </w:t>
      </w:r>
      <w:r>
        <w:t>my</w:t>
      </w:r>
    </w:p>
    <w:p w14:paraId="7E003123"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24" w14:textId="77777777" w:rsidR="009A58DB" w:rsidRDefault="00000000">
      <w:pPr>
        <w:pStyle w:val="BodyText"/>
        <w:spacing w:before="65" w:line="249" w:lineRule="auto"/>
        <w:ind w:left="585" w:right="373"/>
      </w:pPr>
      <w:r>
        <w:t>refutation</w:t>
      </w:r>
      <w:r>
        <w:rPr>
          <w:spacing w:val="-3"/>
        </w:rPr>
        <w:t xml:space="preserve"> </w:t>
      </w:r>
      <w:r>
        <w:t>of</w:t>
      </w:r>
      <w:r>
        <w:rPr>
          <w:spacing w:val="-4"/>
        </w:rPr>
        <w:t xml:space="preserve"> </w:t>
      </w:r>
      <w:r>
        <w:t>Hume’s</w:t>
      </w:r>
      <w:r>
        <w:rPr>
          <w:spacing w:val="-4"/>
        </w:rPr>
        <w:t xml:space="preserve"> </w:t>
      </w:r>
      <w:r>
        <w:t>analysis</w:t>
      </w:r>
      <w:r>
        <w:rPr>
          <w:spacing w:val="-4"/>
        </w:rPr>
        <w:t xml:space="preserve"> </w:t>
      </w:r>
      <w:r>
        <w:t>of</w:t>
      </w:r>
      <w:r>
        <w:rPr>
          <w:spacing w:val="-4"/>
        </w:rPr>
        <w:t xml:space="preserve"> </w:t>
      </w:r>
      <w:r>
        <w:t>inductive</w:t>
      </w:r>
      <w:r>
        <w:rPr>
          <w:spacing w:val="-4"/>
        </w:rPr>
        <w:t xml:space="preserve"> </w:t>
      </w:r>
      <w:r>
        <w:t>inference</w:t>
      </w:r>
      <w:r>
        <w:rPr>
          <w:spacing w:val="-4"/>
        </w:rPr>
        <w:t xml:space="preserve"> </w:t>
      </w:r>
      <w:r>
        <w:t>is</w:t>
      </w:r>
      <w:r>
        <w:rPr>
          <w:spacing w:val="-4"/>
        </w:rPr>
        <w:t xml:space="preserve"> </w:t>
      </w:r>
      <w:r>
        <w:t>cogent;</w:t>
      </w:r>
      <w:r>
        <w:rPr>
          <w:spacing w:val="-4"/>
        </w:rPr>
        <w:t xml:space="preserve"> </w:t>
      </w:r>
      <w:r>
        <w:t>and</w:t>
      </w:r>
      <w:r>
        <w:rPr>
          <w:spacing w:val="-3"/>
        </w:rPr>
        <w:t xml:space="preserve"> </w:t>
      </w:r>
      <w:r>
        <w:t>I</w:t>
      </w:r>
      <w:r>
        <w:rPr>
          <w:spacing w:val="-4"/>
        </w:rPr>
        <w:t xml:space="preserve"> </w:t>
      </w:r>
      <w:r>
        <w:t xml:space="preserve">believe the same to be true of my analysis of scientific explanation. What I don’t believe to be cogent is my attempt to base a refutation of skepticism on that </w:t>
      </w:r>
      <w:r>
        <w:rPr>
          <w:spacing w:val="-2"/>
        </w:rPr>
        <w:t>attempt.)</w:t>
      </w:r>
    </w:p>
    <w:p w14:paraId="7E003125" w14:textId="77777777" w:rsidR="009A58DB" w:rsidRDefault="00000000">
      <w:pPr>
        <w:pStyle w:val="BodyText"/>
        <w:spacing w:before="110"/>
      </w:pPr>
      <w:bookmarkStart w:id="908" w:name="_bookmark908"/>
      <w:bookmarkEnd w:id="908"/>
      <w:r>
        <w:rPr>
          <w:color w:val="0562C1"/>
          <w:u w:val="single" w:color="0562C1"/>
          <w:vertAlign w:val="superscript"/>
        </w:rPr>
        <w:t>[235]</w:t>
      </w:r>
      <w:r>
        <w:rPr>
          <w:sz w:val="22"/>
        </w:rPr>
        <w:t>.</w:t>
      </w:r>
      <w:r>
        <w:rPr>
          <w:spacing w:val="11"/>
          <w:sz w:val="22"/>
        </w:rPr>
        <w:t xml:space="preserve"> </w:t>
      </w:r>
      <w:r>
        <w:t>See</w:t>
      </w:r>
      <w:r>
        <w:rPr>
          <w:spacing w:val="13"/>
        </w:rPr>
        <w:t xml:space="preserve"> </w:t>
      </w:r>
      <w:r>
        <w:t>Quine</w:t>
      </w:r>
      <w:r>
        <w:rPr>
          <w:spacing w:val="13"/>
        </w:rPr>
        <w:t xml:space="preserve"> </w:t>
      </w:r>
      <w:r>
        <w:t>(1953,</w:t>
      </w:r>
      <w:r>
        <w:rPr>
          <w:spacing w:val="14"/>
        </w:rPr>
        <w:t xml:space="preserve"> </w:t>
      </w:r>
      <w:r>
        <w:t>1960,</w:t>
      </w:r>
      <w:r>
        <w:rPr>
          <w:spacing w:val="14"/>
        </w:rPr>
        <w:t xml:space="preserve"> </w:t>
      </w:r>
      <w:r>
        <w:t>1966,</w:t>
      </w:r>
      <w:r>
        <w:rPr>
          <w:spacing w:val="14"/>
        </w:rPr>
        <w:t xml:space="preserve"> </w:t>
      </w:r>
      <w:r>
        <w:rPr>
          <w:spacing w:val="-2"/>
        </w:rPr>
        <w:t>1981).</w:t>
      </w:r>
    </w:p>
    <w:p w14:paraId="7E003126" w14:textId="77777777" w:rsidR="009A58DB" w:rsidRDefault="00000000">
      <w:pPr>
        <w:pStyle w:val="BodyText"/>
        <w:spacing w:before="120" w:line="249" w:lineRule="auto"/>
        <w:ind w:left="585" w:right="375" w:hanging="225"/>
      </w:pPr>
      <w:bookmarkStart w:id="909" w:name="_bookmark909"/>
      <w:bookmarkEnd w:id="909"/>
      <w:r>
        <w:rPr>
          <w:color w:val="0562C1"/>
          <w:u w:val="single" w:color="0562C1"/>
          <w:vertAlign w:val="superscript"/>
        </w:rPr>
        <w:t>[236]</w:t>
      </w:r>
      <w:r>
        <w:rPr>
          <w:sz w:val="22"/>
        </w:rPr>
        <w:t xml:space="preserve">. </w:t>
      </w:r>
      <w:r>
        <w:t>Whether this point is consistent with the points I make in Chapter 25 is a delicate issue.</w:t>
      </w:r>
    </w:p>
    <w:p w14:paraId="7E003127" w14:textId="77777777" w:rsidR="009A58DB" w:rsidRDefault="00000000">
      <w:pPr>
        <w:pStyle w:val="BodyText"/>
        <w:spacing w:before="107" w:line="249" w:lineRule="auto"/>
        <w:ind w:left="570" w:right="375" w:hanging="210"/>
      </w:pPr>
      <w:bookmarkStart w:id="910" w:name="_bookmark910"/>
      <w:bookmarkEnd w:id="910"/>
      <w:r>
        <w:rPr>
          <w:color w:val="0562C1"/>
          <w:u w:val="single" w:color="0562C1"/>
          <w:vertAlign w:val="superscript"/>
        </w:rPr>
        <w:t>[237]</w:t>
      </w:r>
      <w:r>
        <w:rPr>
          <w:sz w:val="22"/>
        </w:rPr>
        <w:t xml:space="preserve">. </w:t>
      </w:r>
      <w:r>
        <w:t xml:space="preserve">In point of fact, the laws of physics </w:t>
      </w:r>
      <w:r>
        <w:rPr>
          <w:i/>
        </w:rPr>
        <w:t xml:space="preserve">do </w:t>
      </w:r>
      <w:r>
        <w:t xml:space="preserve">demand that the collective weight of two rocks, each weighing exactly 1 pound, is just slightly more than 2 pounds. If you mix a quart of water with a temperature of 70° with a quart of water with a temperature of 90°, the result is not a body of water with a temperature of 160°. So temperature is not an “additive” property. If the object formed by conjoining two 1-pound rocks weighed more than 2 pounds, then weight would not be an additive property. Since Relativity Theory shows that two conjoined 1-pound rocks weigh slightly more than 2 pounds, weight is </w:t>
      </w:r>
      <w:r>
        <w:rPr>
          <w:i/>
        </w:rPr>
        <w:t xml:space="preserve">not </w:t>
      </w:r>
      <w:r>
        <w:t>a strictly additive property.</w:t>
      </w:r>
    </w:p>
    <w:p w14:paraId="7E003128" w14:textId="77777777" w:rsidR="009A58DB" w:rsidRDefault="00000000">
      <w:pPr>
        <w:pStyle w:val="BodyText"/>
        <w:spacing w:before="116" w:line="249" w:lineRule="auto"/>
        <w:ind w:left="570" w:right="380" w:hanging="210"/>
      </w:pPr>
      <w:bookmarkStart w:id="911" w:name="_bookmark911"/>
      <w:bookmarkEnd w:id="911"/>
      <w:r>
        <w:rPr>
          <w:color w:val="0562C1"/>
          <w:u w:val="single" w:color="0562C1"/>
          <w:vertAlign w:val="superscript"/>
        </w:rPr>
        <w:t>[238]</w:t>
      </w:r>
      <w:r>
        <w:rPr>
          <w:sz w:val="22"/>
        </w:rPr>
        <w:t xml:space="preserve">. </w:t>
      </w:r>
      <w:r>
        <w:t xml:space="preserve">There are some trivial exceptions to this. For example, given that, at past time t, Eddy had two cars, one can infer that, in the future, any given object will be such that, at t, Eddy had two cars. The empiricist holds that, given any proposition P concerning the past, there is no proposition that isn’t analytically entailed by P such that Q concerns the future and such that, supposing P to be true, an acceptance of Q is </w:t>
      </w:r>
      <w:r>
        <w:rPr>
          <w:i/>
        </w:rPr>
        <w:t>ipso facto</w:t>
      </w:r>
      <w:r>
        <w:rPr>
          <w:i/>
          <w:spacing w:val="40"/>
        </w:rPr>
        <w:t xml:space="preserve"> </w:t>
      </w:r>
      <w:r>
        <w:t>justified.</w:t>
      </w:r>
    </w:p>
    <w:p w14:paraId="7E003129" w14:textId="77777777" w:rsidR="009A58DB" w:rsidRDefault="00000000">
      <w:pPr>
        <w:spacing w:before="112" w:line="249" w:lineRule="auto"/>
        <w:ind w:left="570" w:right="374" w:hanging="210"/>
        <w:jc w:val="both"/>
        <w:rPr>
          <w:sz w:val="30"/>
        </w:rPr>
      </w:pPr>
      <w:bookmarkStart w:id="912" w:name="_bookmark912"/>
      <w:bookmarkEnd w:id="912"/>
      <w:r>
        <w:rPr>
          <w:color w:val="0562C1"/>
          <w:sz w:val="30"/>
          <w:u w:val="single" w:color="0562C1"/>
          <w:vertAlign w:val="superscript"/>
        </w:rPr>
        <w:t>[239]</w:t>
      </w:r>
      <w:r>
        <w:t xml:space="preserve">. </w:t>
      </w:r>
      <w:r>
        <w:rPr>
          <w:sz w:val="30"/>
        </w:rPr>
        <w:t xml:space="preserve">Berkeley makes this point in his (1734) book </w:t>
      </w:r>
      <w:r>
        <w:rPr>
          <w:i/>
          <w:sz w:val="30"/>
        </w:rPr>
        <w:t xml:space="preserve">The Principle s of Human Knowledge. </w:t>
      </w:r>
      <w:r>
        <w:rPr>
          <w:sz w:val="30"/>
        </w:rPr>
        <w:t>Wittgenstein (1958) makes some remarks that could be interpreted as attempts to make this point.</w:t>
      </w:r>
    </w:p>
    <w:p w14:paraId="7E00312A" w14:textId="77777777" w:rsidR="009A58DB" w:rsidRDefault="00000000">
      <w:pPr>
        <w:spacing w:before="109" w:line="249" w:lineRule="auto"/>
        <w:ind w:left="570" w:right="373" w:hanging="210"/>
        <w:jc w:val="both"/>
        <w:rPr>
          <w:i/>
          <w:sz w:val="30"/>
        </w:rPr>
      </w:pPr>
      <w:bookmarkStart w:id="913" w:name="_bookmark913"/>
      <w:bookmarkEnd w:id="913"/>
      <w:r>
        <w:rPr>
          <w:color w:val="0562C1"/>
          <w:sz w:val="30"/>
          <w:u w:val="single" w:color="0562C1"/>
          <w:vertAlign w:val="superscript"/>
        </w:rPr>
        <w:t>[240]</w:t>
      </w:r>
      <w:r>
        <w:t>.</w:t>
      </w:r>
      <w:r>
        <w:rPr>
          <w:spacing w:val="40"/>
        </w:rPr>
        <w:t xml:space="preserve"> </w:t>
      </w:r>
      <w:r>
        <w:rPr>
          <w:sz w:val="30"/>
        </w:rPr>
        <w:t xml:space="preserve">His arguments for this are put forth in his book </w:t>
      </w:r>
      <w:r>
        <w:rPr>
          <w:i/>
          <w:sz w:val="30"/>
        </w:rPr>
        <w:t>Three Dialogues</w:t>
      </w:r>
      <w:r>
        <w:rPr>
          <w:i/>
          <w:spacing w:val="80"/>
          <w:sz w:val="30"/>
        </w:rPr>
        <w:t xml:space="preserve"> </w:t>
      </w:r>
      <w:r>
        <w:rPr>
          <w:i/>
          <w:sz w:val="30"/>
        </w:rPr>
        <w:t xml:space="preserve">between Hylas and Philonous. </w:t>
      </w:r>
      <w:r>
        <w:rPr>
          <w:sz w:val="30"/>
        </w:rPr>
        <w:t xml:space="preserve">Some of those arguments are elucidated in his book </w:t>
      </w:r>
      <w:r>
        <w:rPr>
          <w:i/>
          <w:sz w:val="30"/>
        </w:rPr>
        <w:t>the Principles of Human Knowledge.</w:t>
      </w:r>
    </w:p>
    <w:p w14:paraId="7E00312B" w14:textId="77777777" w:rsidR="009A58DB" w:rsidRDefault="00000000">
      <w:pPr>
        <w:pStyle w:val="BodyText"/>
        <w:spacing w:before="109" w:line="249" w:lineRule="auto"/>
        <w:ind w:left="570" w:right="374" w:hanging="210"/>
      </w:pPr>
      <w:bookmarkStart w:id="914" w:name="_bookmark914"/>
      <w:bookmarkEnd w:id="914"/>
      <w:r>
        <w:rPr>
          <w:color w:val="0562C1"/>
          <w:u w:val="single" w:color="0562C1"/>
          <w:vertAlign w:val="superscript"/>
        </w:rPr>
        <w:t>[241]</w:t>
      </w:r>
      <w:r>
        <w:rPr>
          <w:sz w:val="22"/>
        </w:rPr>
        <w:t xml:space="preserve">. </w:t>
      </w:r>
      <w:r>
        <w:t>For example, Anthony Brueckner, a contemporary philosopher, believes that skepticism is irrefutable, and he has spent much of his career trying to undermine attempts to refute it. He does this on a case by case basis. In other words, he considers individual attempts to refute skepticism, and tries to</w:t>
      </w:r>
      <w:r>
        <w:rPr>
          <w:spacing w:val="23"/>
        </w:rPr>
        <w:t xml:space="preserve"> </w:t>
      </w:r>
      <w:r>
        <w:t>undermine</w:t>
      </w:r>
      <w:r>
        <w:rPr>
          <w:spacing w:val="26"/>
        </w:rPr>
        <w:t xml:space="preserve"> </w:t>
      </w:r>
      <w:r>
        <w:t>them.</w:t>
      </w:r>
      <w:r>
        <w:rPr>
          <w:spacing w:val="26"/>
        </w:rPr>
        <w:t xml:space="preserve"> </w:t>
      </w:r>
      <w:r>
        <w:t>To</w:t>
      </w:r>
      <w:r>
        <w:rPr>
          <w:spacing w:val="26"/>
        </w:rPr>
        <w:t xml:space="preserve"> </w:t>
      </w:r>
      <w:r>
        <w:t>my</w:t>
      </w:r>
      <w:r>
        <w:rPr>
          <w:spacing w:val="26"/>
        </w:rPr>
        <w:t xml:space="preserve"> </w:t>
      </w:r>
      <w:r>
        <w:t>knowledge</w:t>
      </w:r>
      <w:r>
        <w:rPr>
          <w:spacing w:val="25"/>
        </w:rPr>
        <w:t xml:space="preserve"> </w:t>
      </w:r>
      <w:r>
        <w:t>(which,</w:t>
      </w:r>
      <w:r>
        <w:rPr>
          <w:spacing w:val="26"/>
        </w:rPr>
        <w:t xml:space="preserve"> </w:t>
      </w:r>
      <w:r>
        <w:t>in</w:t>
      </w:r>
      <w:r>
        <w:rPr>
          <w:spacing w:val="26"/>
        </w:rPr>
        <w:t xml:space="preserve"> </w:t>
      </w:r>
      <w:r>
        <w:t>this</w:t>
      </w:r>
      <w:r>
        <w:rPr>
          <w:spacing w:val="26"/>
        </w:rPr>
        <w:t xml:space="preserve"> </w:t>
      </w:r>
      <w:r>
        <w:t>domain,</w:t>
      </w:r>
      <w:r>
        <w:rPr>
          <w:spacing w:val="26"/>
        </w:rPr>
        <w:t xml:space="preserve"> </w:t>
      </w:r>
      <w:r>
        <w:t>is</w:t>
      </w:r>
      <w:r>
        <w:rPr>
          <w:spacing w:val="26"/>
        </w:rPr>
        <w:t xml:space="preserve"> </w:t>
      </w:r>
      <w:r>
        <w:rPr>
          <w:spacing w:val="-2"/>
        </w:rPr>
        <w:t>limited),</w:t>
      </w:r>
    </w:p>
    <w:p w14:paraId="7E00312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2D" w14:textId="77777777" w:rsidR="009A58DB" w:rsidRDefault="00000000">
      <w:pPr>
        <w:pStyle w:val="BodyText"/>
        <w:spacing w:before="65" w:line="249" w:lineRule="auto"/>
        <w:ind w:left="570" w:right="377"/>
      </w:pPr>
      <w:r>
        <w:t>he has not provided a general argument as to why skepticism is irrefutable. My personal feeling is that we would learn more from such an argument—even a failed one—than we would from the alleged failure of specific attempts to refute skepticism.</w:t>
      </w:r>
    </w:p>
    <w:p w14:paraId="7E00312E" w14:textId="77777777" w:rsidR="009A58DB" w:rsidRDefault="00000000">
      <w:pPr>
        <w:spacing w:before="110" w:line="249" w:lineRule="auto"/>
        <w:ind w:left="570" w:right="387" w:hanging="210"/>
        <w:jc w:val="both"/>
        <w:rPr>
          <w:i/>
          <w:sz w:val="30"/>
        </w:rPr>
      </w:pPr>
      <w:bookmarkStart w:id="915" w:name="_bookmark915"/>
      <w:bookmarkEnd w:id="915"/>
      <w:r>
        <w:rPr>
          <w:color w:val="0562C1"/>
          <w:sz w:val="30"/>
          <w:u w:val="single" w:color="0562C1"/>
          <w:vertAlign w:val="superscript"/>
        </w:rPr>
        <w:t>[242]</w:t>
      </w:r>
      <w:r>
        <w:t xml:space="preserve">. </w:t>
      </w:r>
      <w:r>
        <w:rPr>
          <w:sz w:val="30"/>
        </w:rPr>
        <w:t xml:space="preserve">The works of Berkeley’s relevant to this section are his </w:t>
      </w:r>
      <w:r>
        <w:rPr>
          <w:i/>
          <w:sz w:val="30"/>
        </w:rPr>
        <w:t xml:space="preserve">Principle s of Human Knowledge </w:t>
      </w:r>
      <w:r>
        <w:rPr>
          <w:sz w:val="30"/>
        </w:rPr>
        <w:t xml:space="preserve">and his </w:t>
      </w:r>
      <w:r>
        <w:rPr>
          <w:i/>
          <w:sz w:val="30"/>
        </w:rPr>
        <w:t>Dialogues between Hylas and Philonous.</w:t>
      </w:r>
    </w:p>
    <w:p w14:paraId="7E00312F" w14:textId="77777777" w:rsidR="009A58DB" w:rsidRDefault="00000000">
      <w:pPr>
        <w:pStyle w:val="BodyText"/>
        <w:spacing w:before="107" w:line="249" w:lineRule="auto"/>
        <w:ind w:left="570" w:right="377" w:hanging="210"/>
      </w:pPr>
      <w:bookmarkStart w:id="916" w:name="_bookmark916"/>
      <w:bookmarkEnd w:id="916"/>
      <w:r>
        <w:rPr>
          <w:color w:val="0562C1"/>
          <w:u w:val="single" w:color="0562C1"/>
          <w:vertAlign w:val="superscript"/>
        </w:rPr>
        <w:t>[243]</w:t>
      </w:r>
      <w:r>
        <w:rPr>
          <w:sz w:val="22"/>
        </w:rPr>
        <w:t xml:space="preserve">. </w:t>
      </w:r>
      <w:r>
        <w:t>The argument just given is reconstructive. Berkeley himself doesn’t give it. But it provides the justification for assumptions that Berkeley makes without fully justifying.</w:t>
      </w:r>
    </w:p>
    <w:p w14:paraId="7E003130" w14:textId="77777777" w:rsidR="009A58DB" w:rsidRDefault="00000000">
      <w:pPr>
        <w:pStyle w:val="BodyText"/>
        <w:spacing w:before="109" w:line="249" w:lineRule="auto"/>
        <w:ind w:left="570" w:right="374" w:hanging="210"/>
      </w:pPr>
      <w:bookmarkStart w:id="917" w:name="_bookmark917"/>
      <w:bookmarkEnd w:id="917"/>
      <w:r>
        <w:rPr>
          <w:color w:val="0562C1"/>
          <w:u w:val="single" w:color="0562C1"/>
          <w:vertAlign w:val="superscript"/>
        </w:rPr>
        <w:t>[244]</w:t>
      </w:r>
      <w:r>
        <w:rPr>
          <w:sz w:val="22"/>
        </w:rPr>
        <w:t xml:space="preserve">. </w:t>
      </w:r>
      <w:r>
        <w:t>Here’s an argument for this thesis. (It isn’t an argument Berkeley gives.) Consider my two house-perceptions. (Let PB and PS, respectively, be the perception</w:t>
      </w:r>
      <w:r>
        <w:rPr>
          <w:spacing w:val="-2"/>
        </w:rPr>
        <w:t xml:space="preserve"> </w:t>
      </w:r>
      <w:r>
        <w:t>that</w:t>
      </w:r>
      <w:r>
        <w:rPr>
          <w:spacing w:val="-1"/>
        </w:rPr>
        <w:t xml:space="preserve"> </w:t>
      </w:r>
      <w:r>
        <w:t>tells</w:t>
      </w:r>
      <w:r>
        <w:rPr>
          <w:spacing w:val="-2"/>
        </w:rPr>
        <w:t xml:space="preserve"> </w:t>
      </w:r>
      <w:r>
        <w:t>me</w:t>
      </w:r>
      <w:r>
        <w:rPr>
          <w:spacing w:val="-1"/>
        </w:rPr>
        <w:t xml:space="preserve"> </w:t>
      </w:r>
      <w:r>
        <w:t>that</w:t>
      </w:r>
      <w:r>
        <w:rPr>
          <w:spacing w:val="-2"/>
        </w:rPr>
        <w:t xml:space="preserve"> </w:t>
      </w:r>
      <w:r>
        <w:t>the</w:t>
      </w:r>
      <w:r>
        <w:rPr>
          <w:spacing w:val="-1"/>
        </w:rPr>
        <w:t xml:space="preserve"> </w:t>
      </w:r>
      <w:r>
        <w:t>house</w:t>
      </w:r>
      <w:r>
        <w:rPr>
          <w:spacing w:val="-1"/>
        </w:rPr>
        <w:t xml:space="preserve"> </w:t>
      </w:r>
      <w:r>
        <w:t>is</w:t>
      </w:r>
      <w:r>
        <w:rPr>
          <w:spacing w:val="-2"/>
        </w:rPr>
        <w:t xml:space="preserve"> </w:t>
      </w:r>
      <w:r>
        <w:t>big</w:t>
      </w:r>
      <w:r>
        <w:rPr>
          <w:spacing w:val="-1"/>
        </w:rPr>
        <w:t xml:space="preserve"> </w:t>
      </w:r>
      <w:r>
        <w:t>and</w:t>
      </w:r>
      <w:r>
        <w:rPr>
          <w:spacing w:val="-2"/>
        </w:rPr>
        <w:t xml:space="preserve"> </w:t>
      </w:r>
      <w:r>
        <w:t>the</w:t>
      </w:r>
      <w:r>
        <w:rPr>
          <w:spacing w:val="-1"/>
        </w:rPr>
        <w:t xml:space="preserve"> </w:t>
      </w:r>
      <w:r>
        <w:t>perception</w:t>
      </w:r>
      <w:r>
        <w:rPr>
          <w:spacing w:val="-2"/>
        </w:rPr>
        <w:t xml:space="preserve"> </w:t>
      </w:r>
      <w:r>
        <w:t>that</w:t>
      </w:r>
      <w:r>
        <w:rPr>
          <w:spacing w:val="-1"/>
        </w:rPr>
        <w:t xml:space="preserve"> </w:t>
      </w:r>
      <w:r>
        <w:t>tells</w:t>
      </w:r>
      <w:r>
        <w:rPr>
          <w:spacing w:val="-1"/>
        </w:rPr>
        <w:t xml:space="preserve"> </w:t>
      </w:r>
      <w:r>
        <w:t xml:space="preserve">me that the house is small.) According to the procedure just described, I’d have to throw out one of those two perceptions. And, given any pair of conflicting perceptions, I’d have to do the same thing. In no case would there be any principled way of doing this. Which means that, even if I happened to be right in my choice—i.e., even if I happened to select the perception that was in fact wrong—I’d be doing so haphazardly, and therefore wouldn’t </w:t>
      </w:r>
      <w:r>
        <w:rPr>
          <w:i/>
        </w:rPr>
        <w:t xml:space="preserve">know </w:t>
      </w:r>
      <w:r>
        <w:t>that I was making the right choice. Which means that we wouldn’t know that our perceptions (or the ones we chose, rather) were correct, even if they were. Which means that those perceptions wouldn’t give us knowledge.</w:t>
      </w:r>
    </w:p>
    <w:p w14:paraId="7E003131" w14:textId="77777777" w:rsidR="009A58DB" w:rsidRDefault="00000000">
      <w:pPr>
        <w:pStyle w:val="BodyText"/>
        <w:spacing w:before="121"/>
        <w:jc w:val="left"/>
      </w:pPr>
      <w:bookmarkStart w:id="918" w:name="_bookmark918"/>
      <w:bookmarkEnd w:id="918"/>
      <w:r>
        <w:rPr>
          <w:color w:val="0562C1"/>
          <w:u w:val="single" w:color="0562C1"/>
          <w:vertAlign w:val="superscript"/>
        </w:rPr>
        <w:t>[245]</w:t>
      </w:r>
      <w:r>
        <w:rPr>
          <w:sz w:val="22"/>
        </w:rPr>
        <w:t>.</w:t>
      </w:r>
      <w:r>
        <w:rPr>
          <w:spacing w:val="19"/>
          <w:sz w:val="22"/>
        </w:rPr>
        <w:t xml:space="preserve"> </w:t>
      </w:r>
      <w:r>
        <w:t>This</w:t>
      </w:r>
      <w:r>
        <w:rPr>
          <w:spacing w:val="23"/>
        </w:rPr>
        <w:t xml:space="preserve"> </w:t>
      </w:r>
      <w:r>
        <w:t>is</w:t>
      </w:r>
      <w:r>
        <w:rPr>
          <w:spacing w:val="22"/>
        </w:rPr>
        <w:t xml:space="preserve"> </w:t>
      </w:r>
      <w:r>
        <w:t>the</w:t>
      </w:r>
      <w:r>
        <w:rPr>
          <w:spacing w:val="23"/>
        </w:rPr>
        <w:t xml:space="preserve"> </w:t>
      </w:r>
      <w:r>
        <w:t>argument</w:t>
      </w:r>
      <w:r>
        <w:rPr>
          <w:spacing w:val="23"/>
        </w:rPr>
        <w:t xml:space="preserve"> </w:t>
      </w:r>
      <w:r>
        <w:t>Berkeley</w:t>
      </w:r>
      <w:r>
        <w:rPr>
          <w:spacing w:val="22"/>
        </w:rPr>
        <w:t xml:space="preserve"> </w:t>
      </w:r>
      <w:r>
        <w:t>puts</w:t>
      </w:r>
      <w:r>
        <w:rPr>
          <w:spacing w:val="23"/>
        </w:rPr>
        <w:t xml:space="preserve"> </w:t>
      </w:r>
      <w:r>
        <w:t>forth,</w:t>
      </w:r>
      <w:r>
        <w:rPr>
          <w:spacing w:val="23"/>
        </w:rPr>
        <w:t xml:space="preserve"> </w:t>
      </w:r>
      <w:r>
        <w:t>though</w:t>
      </w:r>
      <w:r>
        <w:rPr>
          <w:spacing w:val="22"/>
        </w:rPr>
        <w:t xml:space="preserve"> </w:t>
      </w:r>
      <w:r>
        <w:t>not</w:t>
      </w:r>
      <w:r>
        <w:rPr>
          <w:spacing w:val="23"/>
        </w:rPr>
        <w:t xml:space="preserve"> </w:t>
      </w:r>
      <w:r>
        <w:t>as</w:t>
      </w:r>
      <w:r>
        <w:rPr>
          <w:spacing w:val="23"/>
        </w:rPr>
        <w:t xml:space="preserve"> </w:t>
      </w:r>
      <w:r>
        <w:t>speedily,</w:t>
      </w:r>
      <w:r>
        <w:rPr>
          <w:spacing w:val="22"/>
        </w:rPr>
        <w:t xml:space="preserve"> </w:t>
      </w:r>
      <w:r>
        <w:t>in</w:t>
      </w:r>
      <w:r>
        <w:rPr>
          <w:spacing w:val="23"/>
        </w:rPr>
        <w:t xml:space="preserve"> </w:t>
      </w:r>
      <w:r>
        <w:rPr>
          <w:spacing w:val="-5"/>
        </w:rPr>
        <w:t>his</w:t>
      </w:r>
    </w:p>
    <w:p w14:paraId="7E003132" w14:textId="77777777" w:rsidR="009A58DB" w:rsidRDefault="00000000">
      <w:pPr>
        <w:spacing w:before="15"/>
        <w:ind w:left="570"/>
        <w:jc w:val="both"/>
        <w:rPr>
          <w:i/>
          <w:sz w:val="30"/>
        </w:rPr>
      </w:pPr>
      <w:r>
        <w:rPr>
          <w:i/>
          <w:sz w:val="30"/>
        </w:rPr>
        <w:t>Dialogues</w:t>
      </w:r>
      <w:r>
        <w:rPr>
          <w:i/>
          <w:spacing w:val="-4"/>
          <w:sz w:val="30"/>
        </w:rPr>
        <w:t xml:space="preserve"> </w:t>
      </w:r>
      <w:r>
        <w:rPr>
          <w:i/>
          <w:sz w:val="30"/>
        </w:rPr>
        <w:t>between</w:t>
      </w:r>
      <w:r>
        <w:rPr>
          <w:i/>
          <w:spacing w:val="-3"/>
          <w:sz w:val="30"/>
        </w:rPr>
        <w:t xml:space="preserve"> </w:t>
      </w:r>
      <w:r>
        <w:rPr>
          <w:i/>
          <w:sz w:val="30"/>
        </w:rPr>
        <w:t>Hylas</w:t>
      </w:r>
      <w:r>
        <w:rPr>
          <w:i/>
          <w:spacing w:val="-4"/>
          <w:sz w:val="30"/>
        </w:rPr>
        <w:t xml:space="preserve"> </w:t>
      </w:r>
      <w:r>
        <w:rPr>
          <w:i/>
          <w:sz w:val="30"/>
        </w:rPr>
        <w:t>and</w:t>
      </w:r>
      <w:r>
        <w:rPr>
          <w:i/>
          <w:spacing w:val="-3"/>
          <w:sz w:val="30"/>
        </w:rPr>
        <w:t xml:space="preserve"> </w:t>
      </w:r>
      <w:r>
        <w:rPr>
          <w:i/>
          <w:spacing w:val="-2"/>
          <w:sz w:val="30"/>
        </w:rPr>
        <w:t>Philonous.</w:t>
      </w:r>
    </w:p>
    <w:p w14:paraId="7E003133" w14:textId="77777777" w:rsidR="009A58DB" w:rsidRDefault="00000000">
      <w:pPr>
        <w:pStyle w:val="BodyText"/>
        <w:spacing w:before="120" w:line="249" w:lineRule="auto"/>
        <w:ind w:left="720" w:right="360" w:hanging="360"/>
      </w:pPr>
      <w:bookmarkStart w:id="919" w:name="_bookmark919"/>
      <w:bookmarkEnd w:id="919"/>
      <w:r>
        <w:rPr>
          <w:color w:val="0562C1"/>
          <w:u w:val="single" w:color="0562C1"/>
          <w:vertAlign w:val="superscript"/>
        </w:rPr>
        <w:t>[246]</w:t>
      </w:r>
      <w:r>
        <w:rPr>
          <w:sz w:val="22"/>
        </w:rPr>
        <w:t xml:space="preserve">. </w:t>
      </w:r>
      <w:r>
        <w:t>Technically, this is an inaccurate way of putting it because it suggests, falsely, that there are absolute rates of change. But the substance of this point is correct.</w:t>
      </w:r>
    </w:p>
    <w:p w14:paraId="7E003134" w14:textId="77777777" w:rsidR="009A58DB" w:rsidRDefault="00000000">
      <w:pPr>
        <w:pStyle w:val="BodyText"/>
        <w:spacing w:before="108" w:line="249" w:lineRule="auto"/>
        <w:ind w:left="720" w:right="359" w:hanging="360"/>
      </w:pPr>
      <w:bookmarkStart w:id="920" w:name="_bookmark920"/>
      <w:bookmarkEnd w:id="920"/>
      <w:r>
        <w:rPr>
          <w:color w:val="0562C1"/>
          <w:u w:val="single" w:color="0562C1"/>
          <w:vertAlign w:val="superscript"/>
        </w:rPr>
        <w:t>[247]</w:t>
      </w:r>
      <w:r>
        <w:rPr>
          <w:sz w:val="22"/>
        </w:rPr>
        <w:t xml:space="preserve">. </w:t>
      </w:r>
      <w:r>
        <w:t>He was not the first to do this. Galileo (1564–1642) did it before him,</w:t>
      </w:r>
      <w:r>
        <w:rPr>
          <w:spacing w:val="40"/>
        </w:rPr>
        <w:t xml:space="preserve"> </w:t>
      </w:r>
      <w:r>
        <w:t xml:space="preserve">and so did Lucretius (99 </w:t>
      </w:r>
      <w:r>
        <w:rPr>
          <w:sz w:val="22"/>
        </w:rPr>
        <w:t>B</w:t>
      </w:r>
      <w:r>
        <w:t>.</w:t>
      </w:r>
      <w:r>
        <w:rPr>
          <w:sz w:val="22"/>
        </w:rPr>
        <w:t>C</w:t>
      </w:r>
      <w:r>
        <w:t xml:space="preserve">.–55 </w:t>
      </w:r>
      <w:r>
        <w:rPr>
          <w:sz w:val="22"/>
        </w:rPr>
        <w:t>B</w:t>
      </w:r>
      <w:r>
        <w:t>.</w:t>
      </w:r>
      <w:r>
        <w:rPr>
          <w:sz w:val="22"/>
        </w:rPr>
        <w:t>C</w:t>
      </w:r>
      <w:r>
        <w:t>.).</w:t>
      </w:r>
    </w:p>
    <w:p w14:paraId="7E003135" w14:textId="77777777" w:rsidR="009A58DB" w:rsidRDefault="00000000">
      <w:pPr>
        <w:pStyle w:val="BodyText"/>
        <w:spacing w:before="101" w:line="252" w:lineRule="auto"/>
        <w:ind w:left="720" w:right="358" w:hanging="360"/>
      </w:pPr>
      <w:bookmarkStart w:id="921" w:name="_bookmark921"/>
      <w:bookmarkEnd w:id="921"/>
      <w:r>
        <w:rPr>
          <w:color w:val="0562C1"/>
          <w:sz w:val="34"/>
          <w:u w:val="single" w:color="0562C1"/>
          <w:vertAlign w:val="superscript"/>
        </w:rPr>
        <w:t>[248]</w:t>
      </w:r>
      <w:r>
        <w:rPr>
          <w:sz w:val="34"/>
        </w:rPr>
        <w:t xml:space="preserve">. </w:t>
      </w:r>
      <w:r>
        <w:t xml:space="preserve">Strictly speaking, shape </w:t>
      </w:r>
      <w:r>
        <w:rPr>
          <w:i/>
        </w:rPr>
        <w:t xml:space="preserve">per se </w:t>
      </w:r>
      <w:r>
        <w:t xml:space="preserve">isn’t a primary property. What is a primary property is some </w:t>
      </w:r>
      <w:r>
        <w:rPr>
          <w:i/>
        </w:rPr>
        <w:t>specific shape.</w:t>
      </w:r>
      <w:r>
        <w:t xml:space="preserve">Similarly, taste </w:t>
      </w:r>
      <w:r>
        <w:rPr>
          <w:i/>
        </w:rPr>
        <w:t xml:space="preserve">per se </w:t>
      </w:r>
      <w:r>
        <w:t xml:space="preserve">isn’t a secondary property. What </w:t>
      </w:r>
      <w:r>
        <w:rPr>
          <w:i/>
        </w:rPr>
        <w:t>is</w:t>
      </w:r>
      <w:r>
        <w:rPr>
          <w:i/>
          <w:spacing w:val="-3"/>
        </w:rPr>
        <w:t xml:space="preserve"> </w:t>
      </w:r>
      <w:r>
        <w:t>a secondary property is some specific taste—e.g.,</w:t>
      </w:r>
      <w:r>
        <w:rPr>
          <w:spacing w:val="28"/>
        </w:rPr>
        <w:t xml:space="preserve"> </w:t>
      </w:r>
      <w:r>
        <w:t>the</w:t>
      </w:r>
      <w:r>
        <w:rPr>
          <w:spacing w:val="27"/>
        </w:rPr>
        <w:t xml:space="preserve"> </w:t>
      </w:r>
      <w:r>
        <w:t>taste</w:t>
      </w:r>
      <w:r>
        <w:rPr>
          <w:spacing w:val="27"/>
        </w:rPr>
        <w:t xml:space="preserve"> </w:t>
      </w:r>
      <w:r>
        <w:t>of</w:t>
      </w:r>
      <w:r>
        <w:rPr>
          <w:spacing w:val="27"/>
        </w:rPr>
        <w:t xml:space="preserve"> </w:t>
      </w:r>
      <w:r>
        <w:t>a</w:t>
      </w:r>
      <w:r>
        <w:rPr>
          <w:spacing w:val="27"/>
        </w:rPr>
        <w:t xml:space="preserve"> </w:t>
      </w:r>
      <w:r>
        <w:t>Snicker’s</w:t>
      </w:r>
      <w:r>
        <w:rPr>
          <w:spacing w:val="27"/>
        </w:rPr>
        <w:t xml:space="preserve"> </w:t>
      </w:r>
      <w:r>
        <w:t>bar.</w:t>
      </w:r>
      <w:r>
        <w:rPr>
          <w:spacing w:val="28"/>
        </w:rPr>
        <w:t xml:space="preserve"> </w:t>
      </w:r>
      <w:r>
        <w:t>The</w:t>
      </w:r>
      <w:r>
        <w:rPr>
          <w:spacing w:val="27"/>
        </w:rPr>
        <w:t xml:space="preserve"> </w:t>
      </w:r>
      <w:r>
        <w:t>same</w:t>
      </w:r>
      <w:r>
        <w:rPr>
          <w:spacing w:val="27"/>
        </w:rPr>
        <w:t xml:space="preserve"> </w:t>
      </w:r>
      <w:r>
        <w:t>thing</w:t>
      </w:r>
      <w:r>
        <w:rPr>
          <w:spacing w:val="27"/>
        </w:rPr>
        <w:t xml:space="preserve"> </w:t>
      </w:r>
      <w:r>
        <w:rPr>
          <w:i/>
        </w:rPr>
        <w:t>mutatis</w:t>
      </w:r>
      <w:r>
        <w:rPr>
          <w:i/>
          <w:spacing w:val="27"/>
        </w:rPr>
        <w:t xml:space="preserve"> </w:t>
      </w:r>
      <w:r>
        <w:rPr>
          <w:i/>
        </w:rPr>
        <w:t>mutandis</w:t>
      </w:r>
      <w:r>
        <w:rPr>
          <w:i/>
          <w:spacing w:val="28"/>
        </w:rPr>
        <w:t xml:space="preserve"> </w:t>
      </w:r>
      <w:r>
        <w:t>holds</w:t>
      </w:r>
    </w:p>
    <w:p w14:paraId="7E003136"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3137" w14:textId="77777777" w:rsidR="009A58DB" w:rsidRDefault="00000000">
      <w:pPr>
        <w:pStyle w:val="BodyText"/>
        <w:spacing w:before="65"/>
        <w:ind w:left="720"/>
      </w:pPr>
      <w:r>
        <w:t>for</w:t>
      </w:r>
      <w:r>
        <w:rPr>
          <w:spacing w:val="-3"/>
        </w:rPr>
        <w:t xml:space="preserve"> </w:t>
      </w:r>
      <w:r>
        <w:t>the</w:t>
      </w:r>
      <w:r>
        <w:rPr>
          <w:spacing w:val="-3"/>
        </w:rPr>
        <w:t xml:space="preserve"> </w:t>
      </w:r>
      <w:r>
        <w:t>other</w:t>
      </w:r>
      <w:r>
        <w:rPr>
          <w:spacing w:val="-3"/>
        </w:rPr>
        <w:t xml:space="preserve"> </w:t>
      </w:r>
      <w:r>
        <w:t>items</w:t>
      </w:r>
      <w:r>
        <w:rPr>
          <w:spacing w:val="-3"/>
        </w:rPr>
        <w:t xml:space="preserve"> </w:t>
      </w:r>
      <w:r>
        <w:t>on</w:t>
      </w:r>
      <w:r>
        <w:rPr>
          <w:spacing w:val="-2"/>
        </w:rPr>
        <w:t xml:space="preserve"> </w:t>
      </w:r>
      <w:r>
        <w:t>these</w:t>
      </w:r>
      <w:r>
        <w:rPr>
          <w:spacing w:val="-3"/>
        </w:rPr>
        <w:t xml:space="preserve"> </w:t>
      </w:r>
      <w:r>
        <w:t>two</w:t>
      </w:r>
      <w:r>
        <w:rPr>
          <w:spacing w:val="-1"/>
        </w:rPr>
        <w:t xml:space="preserve"> </w:t>
      </w:r>
      <w:r>
        <w:rPr>
          <w:spacing w:val="-2"/>
        </w:rPr>
        <w:t>lists.</w:t>
      </w:r>
    </w:p>
    <w:p w14:paraId="7E003138" w14:textId="77777777" w:rsidR="009A58DB" w:rsidRDefault="00000000">
      <w:pPr>
        <w:pStyle w:val="BodyText"/>
        <w:spacing w:before="120" w:line="249" w:lineRule="auto"/>
        <w:ind w:left="720" w:right="371" w:hanging="360"/>
      </w:pPr>
      <w:bookmarkStart w:id="922" w:name="_bookmark922"/>
      <w:bookmarkEnd w:id="922"/>
      <w:r>
        <w:rPr>
          <w:color w:val="0562C1"/>
          <w:u w:val="single" w:color="0562C1"/>
          <w:vertAlign w:val="superscript"/>
        </w:rPr>
        <w:t>[249]</w:t>
      </w:r>
      <w:r>
        <w:rPr>
          <w:sz w:val="22"/>
        </w:rPr>
        <w:t>.</w:t>
      </w:r>
      <w:r>
        <w:rPr>
          <w:spacing w:val="40"/>
          <w:sz w:val="22"/>
        </w:rPr>
        <w:t xml:space="preserve"> </w:t>
      </w:r>
      <w:r>
        <w:t>Judging by certain passages in his work, Berkeley himself seems to</w:t>
      </w:r>
      <w:r>
        <w:rPr>
          <w:spacing w:val="40"/>
        </w:rPr>
        <w:t xml:space="preserve"> </w:t>
      </w:r>
      <w:r>
        <w:t>make this claim.</w:t>
      </w:r>
    </w:p>
    <w:p w14:paraId="7E003139" w14:textId="77777777" w:rsidR="009A58DB" w:rsidRDefault="00000000">
      <w:pPr>
        <w:pStyle w:val="BodyText"/>
        <w:spacing w:before="107" w:line="249" w:lineRule="auto"/>
        <w:ind w:left="720" w:right="365" w:hanging="360"/>
      </w:pPr>
      <w:bookmarkStart w:id="923" w:name="_bookmark923"/>
      <w:bookmarkEnd w:id="923"/>
      <w:r>
        <w:rPr>
          <w:color w:val="0562C1"/>
          <w:u w:val="single" w:color="0562C1"/>
          <w:vertAlign w:val="superscript"/>
        </w:rPr>
        <w:t>[250]</w:t>
      </w:r>
      <w:r>
        <w:rPr>
          <w:sz w:val="22"/>
        </w:rPr>
        <w:t xml:space="preserve">. </w:t>
      </w:r>
      <w:r>
        <w:t>Actually, Hume would say otherwise; and I’m not entirely sure that he’s wrong. (See Chapter 16.) But we can set this aside here.</w:t>
      </w:r>
    </w:p>
    <w:p w14:paraId="7E00313A" w14:textId="77777777" w:rsidR="009A58DB" w:rsidRDefault="00000000">
      <w:pPr>
        <w:spacing w:before="108" w:line="249" w:lineRule="auto"/>
        <w:ind w:left="720" w:right="366" w:hanging="360"/>
        <w:jc w:val="both"/>
        <w:rPr>
          <w:sz w:val="30"/>
        </w:rPr>
      </w:pPr>
      <w:bookmarkStart w:id="924" w:name="_bookmark924"/>
      <w:bookmarkEnd w:id="924"/>
      <w:r>
        <w:rPr>
          <w:color w:val="0562C1"/>
          <w:sz w:val="30"/>
          <w:u w:val="single" w:color="0562C1"/>
          <w:vertAlign w:val="superscript"/>
        </w:rPr>
        <w:t>[251]</w:t>
      </w:r>
      <w:r>
        <w:t xml:space="preserve">. </w:t>
      </w:r>
      <w:r>
        <w:rPr>
          <w:sz w:val="30"/>
        </w:rPr>
        <w:t xml:space="preserve">In his </w:t>
      </w:r>
      <w:r>
        <w:rPr>
          <w:i/>
          <w:sz w:val="30"/>
        </w:rPr>
        <w:t xml:space="preserve">Essay Concerning Human Understanding, </w:t>
      </w:r>
      <w:r>
        <w:rPr>
          <w:sz w:val="30"/>
        </w:rPr>
        <w:t>Locke made essentially this point.</w:t>
      </w:r>
    </w:p>
    <w:p w14:paraId="7E00313B" w14:textId="77777777" w:rsidR="009A58DB" w:rsidRDefault="00000000">
      <w:pPr>
        <w:pStyle w:val="BodyText"/>
        <w:spacing w:before="107" w:line="249" w:lineRule="auto"/>
        <w:ind w:left="720" w:right="360" w:hanging="360"/>
      </w:pPr>
      <w:bookmarkStart w:id="925" w:name="_bookmark925"/>
      <w:bookmarkEnd w:id="925"/>
      <w:r>
        <w:rPr>
          <w:color w:val="0562C1"/>
          <w:u w:val="single" w:color="0562C1"/>
          <w:vertAlign w:val="superscript"/>
        </w:rPr>
        <w:t>[252]</w:t>
      </w:r>
      <w:r>
        <w:rPr>
          <w:sz w:val="22"/>
        </w:rPr>
        <w:t xml:space="preserve">. </w:t>
      </w:r>
      <w:r>
        <w:t>If rotten meat had had S*, instead of S, people wouldn’t have minded keeping it in their caves (or whatnot), and would have been more willing to eat it. Food often smells rotten before it tastes rotten. But this (alleged) fact is irrelevant in this context, since we’re talking about the epistemological, not the emotional, virtues of odors.</w:t>
      </w:r>
    </w:p>
    <w:p w14:paraId="7E00313C" w14:textId="77777777" w:rsidR="009A58DB" w:rsidRDefault="00000000">
      <w:pPr>
        <w:spacing w:before="6"/>
        <w:ind w:left="360"/>
        <w:jc w:val="both"/>
        <w:rPr>
          <w:position w:val="-17"/>
          <w:sz w:val="30"/>
        </w:rPr>
      </w:pPr>
      <w:bookmarkStart w:id="926" w:name="_bookmark926"/>
      <w:bookmarkEnd w:id="926"/>
      <w:r>
        <w:rPr>
          <w:color w:val="0562C1"/>
          <w:u w:val="single" w:color="0562C1"/>
        </w:rPr>
        <w:t>[253]</w:t>
      </w:r>
      <w:r>
        <w:rPr>
          <w:position w:val="-17"/>
        </w:rPr>
        <w:t>.</w:t>
      </w:r>
      <w:r>
        <w:rPr>
          <w:spacing w:val="9"/>
          <w:position w:val="-17"/>
        </w:rPr>
        <w:t xml:space="preserve"> </w:t>
      </w:r>
      <w:r>
        <w:rPr>
          <w:spacing w:val="-5"/>
          <w:position w:val="-17"/>
          <w:sz w:val="30"/>
        </w:rPr>
        <w:t>SA</w:t>
      </w:r>
    </w:p>
    <w:p w14:paraId="7E00313D" w14:textId="77777777" w:rsidR="009A58DB" w:rsidRDefault="00000000">
      <w:pPr>
        <w:pStyle w:val="BodyText"/>
        <w:spacing w:before="120" w:line="249" w:lineRule="auto"/>
        <w:ind w:left="720" w:right="358" w:hanging="360"/>
      </w:pPr>
      <w:bookmarkStart w:id="927" w:name="_bookmark927"/>
      <w:bookmarkEnd w:id="927"/>
      <w:r>
        <w:rPr>
          <w:color w:val="0562C1"/>
          <w:u w:val="single" w:color="0562C1"/>
          <w:vertAlign w:val="superscript"/>
        </w:rPr>
        <w:t>[254]</w:t>
      </w:r>
      <w:r>
        <w:rPr>
          <w:sz w:val="22"/>
        </w:rPr>
        <w:t xml:space="preserve">. </w:t>
      </w:r>
      <w:r>
        <w:t xml:space="preserve">Since you’re much smarter than those animals, you can </w:t>
      </w:r>
      <w:r>
        <w:rPr>
          <w:i/>
        </w:rPr>
        <w:t xml:space="preserve">do </w:t>
      </w:r>
      <w:r>
        <w:t>a lot more with the relative of paucity of information given to you by your low-res perception than those animals could do with their high-res perceptions.</w:t>
      </w:r>
      <w:r>
        <w:rPr>
          <w:spacing w:val="40"/>
        </w:rPr>
        <w:t xml:space="preserve"> </w:t>
      </w:r>
      <w:r>
        <w:t xml:space="preserve">But that has nothing to do with what those perceptions </w:t>
      </w:r>
      <w:r>
        <w:rPr>
          <w:i/>
        </w:rPr>
        <w:t xml:space="preserve">themselves </w:t>
      </w:r>
      <w:r>
        <w:t xml:space="preserve">are </w:t>
      </w:r>
      <w:r>
        <w:rPr>
          <w:spacing w:val="-2"/>
        </w:rPr>
        <w:t>saying.</w:t>
      </w:r>
    </w:p>
    <w:p w14:paraId="7E00313E" w14:textId="77777777" w:rsidR="009A58DB" w:rsidRDefault="00000000">
      <w:pPr>
        <w:pStyle w:val="BodyText"/>
        <w:spacing w:before="111" w:line="249" w:lineRule="auto"/>
        <w:ind w:left="720" w:right="360" w:hanging="360"/>
      </w:pPr>
      <w:bookmarkStart w:id="928" w:name="_bookmark928"/>
      <w:bookmarkEnd w:id="928"/>
      <w:r>
        <w:rPr>
          <w:color w:val="0562C1"/>
          <w:u w:val="single" w:color="0562C1"/>
          <w:vertAlign w:val="superscript"/>
        </w:rPr>
        <w:t>[255]</w:t>
      </w:r>
      <w:r>
        <w:rPr>
          <w:sz w:val="22"/>
        </w:rPr>
        <w:t xml:space="preserve">. </w:t>
      </w:r>
      <w:r>
        <w:t>Because the particles composing very hot things move so fast, those particles do a lot of damage: they damage nerve-endings and other organic tissues. Hence the unpleasantness associated with touching such things.</w:t>
      </w:r>
    </w:p>
    <w:p w14:paraId="7E00313F" w14:textId="77777777" w:rsidR="009A58DB" w:rsidRDefault="00000000">
      <w:pPr>
        <w:pStyle w:val="BodyText"/>
        <w:spacing w:before="109"/>
      </w:pPr>
      <w:bookmarkStart w:id="929" w:name="_bookmark929"/>
      <w:bookmarkEnd w:id="929"/>
      <w:r>
        <w:rPr>
          <w:color w:val="0562C1"/>
          <w:u w:val="single" w:color="0562C1"/>
          <w:vertAlign w:val="superscript"/>
        </w:rPr>
        <w:t>[256]</w:t>
      </w:r>
      <w:r>
        <w:rPr>
          <w:sz w:val="22"/>
        </w:rPr>
        <w:t>.</w:t>
      </w:r>
      <w:r>
        <w:rPr>
          <w:spacing w:val="10"/>
          <w:sz w:val="22"/>
        </w:rPr>
        <w:t xml:space="preserve"> </w:t>
      </w:r>
      <w:r>
        <w:t>“BR”</w:t>
      </w:r>
      <w:r>
        <w:rPr>
          <w:spacing w:val="11"/>
        </w:rPr>
        <w:t xml:space="preserve"> </w:t>
      </w:r>
      <w:r>
        <w:t>is</w:t>
      </w:r>
      <w:r>
        <w:rPr>
          <w:spacing w:val="11"/>
        </w:rPr>
        <w:t xml:space="preserve"> </w:t>
      </w:r>
      <w:r>
        <w:t>short</w:t>
      </w:r>
      <w:r>
        <w:rPr>
          <w:spacing w:val="12"/>
        </w:rPr>
        <w:t xml:space="preserve"> </w:t>
      </w:r>
      <w:r>
        <w:t>for</w:t>
      </w:r>
      <w:r>
        <w:rPr>
          <w:spacing w:val="11"/>
        </w:rPr>
        <w:t xml:space="preserve"> </w:t>
      </w:r>
      <w:r>
        <w:t>“Berkeley’s</w:t>
      </w:r>
      <w:r>
        <w:rPr>
          <w:spacing w:val="11"/>
        </w:rPr>
        <w:t xml:space="preserve"> </w:t>
      </w:r>
      <w:r>
        <w:rPr>
          <w:spacing w:val="-2"/>
        </w:rPr>
        <w:t>reasoning.”</w:t>
      </w:r>
    </w:p>
    <w:p w14:paraId="7E003140" w14:textId="77777777" w:rsidR="009A58DB" w:rsidRDefault="00000000">
      <w:pPr>
        <w:pStyle w:val="BodyText"/>
        <w:spacing w:before="120" w:line="249" w:lineRule="auto"/>
        <w:ind w:left="720" w:right="363" w:hanging="360"/>
      </w:pPr>
      <w:bookmarkStart w:id="930" w:name="_bookmark930"/>
      <w:bookmarkEnd w:id="930"/>
      <w:r>
        <w:rPr>
          <w:color w:val="0562C1"/>
          <w:u w:val="single" w:color="0562C1"/>
          <w:vertAlign w:val="superscript"/>
        </w:rPr>
        <w:t>[257]</w:t>
      </w:r>
      <w:r>
        <w:rPr>
          <w:sz w:val="22"/>
        </w:rPr>
        <w:t xml:space="preserve">. </w:t>
      </w:r>
      <w:r>
        <w:t>Actually, Berkeley claims—totally implausibly—that people agree with his contention that there are no trans-perceptual objects.</w:t>
      </w:r>
    </w:p>
    <w:p w14:paraId="7E003141" w14:textId="77777777" w:rsidR="009A58DB" w:rsidRDefault="00000000">
      <w:pPr>
        <w:pStyle w:val="BodyText"/>
        <w:spacing w:before="100" w:line="252" w:lineRule="auto"/>
        <w:ind w:left="720" w:right="365" w:hanging="360"/>
      </w:pPr>
      <w:bookmarkStart w:id="931" w:name="_bookmark931"/>
      <w:bookmarkEnd w:id="931"/>
      <w:r>
        <w:rPr>
          <w:color w:val="0562C1"/>
          <w:sz w:val="34"/>
          <w:u w:val="single" w:color="0562C1"/>
          <w:vertAlign w:val="superscript"/>
        </w:rPr>
        <w:t>[258]</w:t>
      </w:r>
      <w:r>
        <w:rPr>
          <w:sz w:val="34"/>
        </w:rPr>
        <w:t>.</w:t>
      </w:r>
      <w:r>
        <w:rPr>
          <w:spacing w:val="-3"/>
          <w:sz w:val="34"/>
        </w:rPr>
        <w:t xml:space="preserve"> </w:t>
      </w:r>
      <w:r>
        <w:t>“Defeasible” means “capable of being overridden.” Defeasible evidence is evidence that is inconclusive but is to be given credence until outweighed by contrary evidence. Most evidence is defeasible. The only possible cases of non-defeasible evidence are things that are evidence of themselves, e.g., headaches, tickles.</w:t>
      </w:r>
    </w:p>
    <w:p w14:paraId="7E003142" w14:textId="77777777" w:rsidR="009A58DB" w:rsidRDefault="00000000">
      <w:pPr>
        <w:pStyle w:val="BodyText"/>
        <w:spacing w:line="249" w:lineRule="auto"/>
        <w:ind w:left="720" w:right="364" w:firstLine="360"/>
      </w:pPr>
      <w:r>
        <w:t>But, since the idea of a thing’s being evidence of itself is of doubtful coherence, it’s likely that all evidence is defeasible.</w:t>
      </w:r>
    </w:p>
    <w:p w14:paraId="7E003143" w14:textId="77777777" w:rsidR="009A58DB" w:rsidRDefault="00000000">
      <w:pPr>
        <w:pStyle w:val="BodyText"/>
        <w:spacing w:before="93"/>
        <w:jc w:val="left"/>
      </w:pPr>
      <w:bookmarkStart w:id="932" w:name="_bookmark932"/>
      <w:bookmarkEnd w:id="932"/>
      <w:r>
        <w:rPr>
          <w:color w:val="0562C1"/>
          <w:sz w:val="34"/>
          <w:u w:val="single" w:color="0562C1"/>
          <w:vertAlign w:val="superscript"/>
        </w:rPr>
        <w:t>[259]</w:t>
      </w:r>
      <w:r>
        <w:rPr>
          <w:sz w:val="34"/>
        </w:rPr>
        <w:t>.</w:t>
      </w:r>
      <w:r>
        <w:rPr>
          <w:spacing w:val="15"/>
          <w:sz w:val="34"/>
        </w:rPr>
        <w:t xml:space="preserve"> </w:t>
      </w:r>
      <w:r>
        <w:t>Rudolf</w:t>
      </w:r>
      <w:r>
        <w:rPr>
          <w:spacing w:val="28"/>
        </w:rPr>
        <w:t xml:space="preserve"> </w:t>
      </w:r>
      <w:r>
        <w:t>Carnap</w:t>
      </w:r>
      <w:r>
        <w:rPr>
          <w:spacing w:val="30"/>
        </w:rPr>
        <w:t xml:space="preserve"> </w:t>
      </w:r>
      <w:r>
        <w:t>(1890–1971)</w:t>
      </w:r>
      <w:r>
        <w:rPr>
          <w:spacing w:val="28"/>
        </w:rPr>
        <w:t xml:space="preserve"> </w:t>
      </w:r>
      <w:r>
        <w:t>spent</w:t>
      </w:r>
      <w:r>
        <w:rPr>
          <w:spacing w:val="29"/>
        </w:rPr>
        <w:t xml:space="preserve"> </w:t>
      </w:r>
      <w:r>
        <w:t>years</w:t>
      </w:r>
      <w:r>
        <w:rPr>
          <w:spacing w:val="28"/>
        </w:rPr>
        <w:t xml:space="preserve"> </w:t>
      </w:r>
      <w:r>
        <w:t>trying</w:t>
      </w:r>
      <w:r>
        <w:rPr>
          <w:spacing w:val="30"/>
        </w:rPr>
        <w:t xml:space="preserve"> </w:t>
      </w:r>
      <w:r>
        <w:t>to</w:t>
      </w:r>
      <w:r>
        <w:rPr>
          <w:spacing w:val="29"/>
        </w:rPr>
        <w:t xml:space="preserve"> </w:t>
      </w:r>
      <w:r>
        <w:t>translate</w:t>
      </w:r>
      <w:r>
        <w:rPr>
          <w:spacing w:val="28"/>
        </w:rPr>
        <w:t xml:space="preserve"> </w:t>
      </w:r>
      <w:r>
        <w:rPr>
          <w:spacing w:val="-2"/>
        </w:rPr>
        <w:t>perception-</w:t>
      </w:r>
    </w:p>
    <w:p w14:paraId="7E003144" w14:textId="77777777" w:rsidR="009A58DB" w:rsidRDefault="009A58DB">
      <w:pPr>
        <w:pStyle w:val="BodyText"/>
        <w:jc w:val="left"/>
        <w:sectPr w:rsidR="009A58DB">
          <w:pgSz w:w="12240" w:h="15840"/>
          <w:pgMar w:top="1380" w:right="1080" w:bottom="280" w:left="1080" w:header="720" w:footer="720" w:gutter="0"/>
          <w:cols w:space="720"/>
        </w:sectPr>
      </w:pPr>
    </w:p>
    <w:p w14:paraId="7E003145" w14:textId="77777777" w:rsidR="009A58DB" w:rsidRDefault="00000000">
      <w:pPr>
        <w:pStyle w:val="BodyText"/>
        <w:spacing w:before="65" w:line="249" w:lineRule="auto"/>
        <w:ind w:left="720" w:right="359"/>
      </w:pPr>
      <w:r>
        <w:t xml:space="preserve">statements into object-statements. His efforts culminated in his (1928) book </w:t>
      </w:r>
      <w:r>
        <w:rPr>
          <w:i/>
        </w:rPr>
        <w:t xml:space="preserve">The Logical Structure of the World. </w:t>
      </w:r>
      <w:r>
        <w:t xml:space="preserve">At no point in that book, or in any other work of his, does Carnap acknowledge the fact that one’s perceptions are evidence of the existence of things outside of one’s own mind </w:t>
      </w:r>
      <w:r>
        <w:rPr>
          <w:i/>
        </w:rPr>
        <w:t xml:space="preserve">only </w:t>
      </w:r>
      <w:r>
        <w:t>because those perceptions tell one that there exist such things. Carnap made many attempts to vindicate phenomenalism (the view that statements about physical objects could be translated, without loss of meaning, into statements about one’s own perceptions and sensations). Every attempt he made was subject to obvious counterexamples. When these</w:t>
      </w:r>
      <w:r>
        <w:rPr>
          <w:spacing w:val="-4"/>
        </w:rPr>
        <w:t xml:space="preserve"> </w:t>
      </w:r>
      <w:r>
        <w:t>were</w:t>
      </w:r>
      <w:r>
        <w:rPr>
          <w:spacing w:val="-4"/>
        </w:rPr>
        <w:t xml:space="preserve"> </w:t>
      </w:r>
      <w:r>
        <w:t>pointed</w:t>
      </w:r>
      <w:r>
        <w:rPr>
          <w:spacing w:val="-3"/>
        </w:rPr>
        <w:t xml:space="preserve"> </w:t>
      </w:r>
      <w:r>
        <w:t>out</w:t>
      </w:r>
      <w:r>
        <w:rPr>
          <w:spacing w:val="-4"/>
        </w:rPr>
        <w:t xml:space="preserve"> </w:t>
      </w:r>
      <w:r>
        <w:t>to</w:t>
      </w:r>
      <w:r>
        <w:rPr>
          <w:spacing w:val="-3"/>
        </w:rPr>
        <w:t xml:space="preserve"> </w:t>
      </w:r>
      <w:r>
        <w:t>him,</w:t>
      </w:r>
      <w:r>
        <w:rPr>
          <w:spacing w:val="-3"/>
        </w:rPr>
        <w:t xml:space="preserve"> </w:t>
      </w:r>
      <w:r>
        <w:t>he</w:t>
      </w:r>
      <w:r>
        <w:rPr>
          <w:spacing w:val="-4"/>
        </w:rPr>
        <w:t xml:space="preserve"> </w:t>
      </w:r>
      <w:r>
        <w:t>chose</w:t>
      </w:r>
      <w:r>
        <w:rPr>
          <w:spacing w:val="-4"/>
        </w:rPr>
        <w:t xml:space="preserve"> </w:t>
      </w:r>
      <w:r>
        <w:rPr>
          <w:i/>
        </w:rPr>
        <w:t>not</w:t>
      </w:r>
      <w:r>
        <w:rPr>
          <w:i/>
          <w:spacing w:val="-4"/>
        </w:rPr>
        <w:t xml:space="preserve"> </w:t>
      </w:r>
      <w:r>
        <w:t>to jettison phenomenalism, but to tinker with the technical details of his particular attempts to establish</w:t>
      </w:r>
      <w:r>
        <w:rPr>
          <w:spacing w:val="40"/>
        </w:rPr>
        <w:t xml:space="preserve"> </w:t>
      </w:r>
      <w:r>
        <w:t>the truth of it.</w:t>
      </w:r>
    </w:p>
    <w:p w14:paraId="7E003146" w14:textId="77777777" w:rsidR="009A58DB" w:rsidRDefault="00000000">
      <w:pPr>
        <w:pStyle w:val="BodyText"/>
        <w:spacing w:before="14" w:line="249" w:lineRule="auto"/>
        <w:ind w:left="720" w:right="363" w:firstLine="360"/>
      </w:pPr>
      <w:r>
        <w:t>Carnap was a hardcore empiricism—hence his tenacious advocacy of phenomenalism. He felt that empiricism was the “scientific” view to take</w:t>
      </w:r>
    </w:p>
    <w:p w14:paraId="7E003147" w14:textId="77777777" w:rsidR="009A58DB" w:rsidRDefault="00000000">
      <w:pPr>
        <w:pStyle w:val="BodyText"/>
        <w:spacing w:before="3" w:line="249" w:lineRule="auto"/>
        <w:ind w:left="720" w:right="359"/>
      </w:pPr>
      <w:r>
        <w:t>—that not being an empiricist meant being “metaphysical.” (He took it for granted that being “metaphysical” is bad. “Why is it bad?”, one might ask. “Because,” says Carnap “it’s unempirical to be metaphysical.” This vicious circularity is the most Carnap does in the way of clarifying his view that “metaphysics” is bad and of defending of his view that empiricism is good.) At a conference in Mexico in 1968, Carnap declared that, contrary to what he had been assuming for his entire career, there is no such thing as science. He advocated the post-modern view that science is whatever works for one, given one’s personal objectives.</w:t>
      </w:r>
    </w:p>
    <w:p w14:paraId="7E003148" w14:textId="77777777" w:rsidR="009A58DB" w:rsidRDefault="00000000">
      <w:pPr>
        <w:pStyle w:val="BodyText"/>
        <w:spacing w:before="11" w:line="249" w:lineRule="auto"/>
        <w:ind w:left="720" w:right="360" w:firstLine="360"/>
      </w:pPr>
      <w:r>
        <w:t>Carnap is often praised for his willingness to change his mind in the face of new information that didn’t bear out his theories; and his bold (1968)</w:t>
      </w:r>
      <w:r>
        <w:rPr>
          <w:spacing w:val="-3"/>
        </w:rPr>
        <w:t xml:space="preserve"> </w:t>
      </w:r>
      <w:r>
        <w:t>rejection</w:t>
      </w:r>
      <w:r>
        <w:rPr>
          <w:spacing w:val="-2"/>
        </w:rPr>
        <w:t xml:space="preserve"> </w:t>
      </w:r>
      <w:r>
        <w:t>of</w:t>
      </w:r>
      <w:r>
        <w:rPr>
          <w:spacing w:val="-3"/>
        </w:rPr>
        <w:t xml:space="preserve"> </w:t>
      </w:r>
      <w:r>
        <w:t>science</w:t>
      </w:r>
      <w:r>
        <w:rPr>
          <w:spacing w:val="-3"/>
        </w:rPr>
        <w:t xml:space="preserve"> </w:t>
      </w:r>
      <w:r>
        <w:t>is</w:t>
      </w:r>
      <w:r>
        <w:rPr>
          <w:spacing w:val="-3"/>
        </w:rPr>
        <w:t xml:space="preserve"> </w:t>
      </w:r>
      <w:r>
        <w:t>seen</w:t>
      </w:r>
      <w:r>
        <w:rPr>
          <w:spacing w:val="-2"/>
        </w:rPr>
        <w:t xml:space="preserve"> </w:t>
      </w:r>
      <w:r>
        <w:t>as</w:t>
      </w:r>
      <w:r>
        <w:rPr>
          <w:spacing w:val="-3"/>
        </w:rPr>
        <w:t xml:space="preserve"> </w:t>
      </w:r>
      <w:r>
        <w:t>epitomizing</w:t>
      </w:r>
      <w:r>
        <w:rPr>
          <w:spacing w:val="-2"/>
        </w:rPr>
        <w:t xml:space="preserve"> </w:t>
      </w:r>
      <w:r>
        <w:t>his</w:t>
      </w:r>
      <w:r>
        <w:rPr>
          <w:spacing w:val="-3"/>
        </w:rPr>
        <w:t xml:space="preserve"> </w:t>
      </w:r>
      <w:r>
        <w:t>(alleged)</w:t>
      </w:r>
      <w:r>
        <w:rPr>
          <w:spacing w:val="-3"/>
        </w:rPr>
        <w:t xml:space="preserve"> </w:t>
      </w:r>
      <w:r>
        <w:t>openness</w:t>
      </w:r>
      <w:r>
        <w:rPr>
          <w:spacing w:val="-3"/>
        </w:rPr>
        <w:t xml:space="preserve"> </w:t>
      </w:r>
      <w:r>
        <w:t>of thought. But it seems to me that, in doing this (pseudo-)180°, Carnap is</w:t>
      </w:r>
      <w:r>
        <w:rPr>
          <w:spacing w:val="40"/>
        </w:rPr>
        <w:t xml:space="preserve"> </w:t>
      </w:r>
      <w:r>
        <w:rPr>
          <w:i/>
        </w:rPr>
        <w:t xml:space="preserve">not </w:t>
      </w:r>
      <w:r>
        <w:t>changing his mind. He’s doing the exact opposite. He’s saying that, since science doesn’t fit his rather idiosyncratic theory as to what science is, science doesn’t exist. It should be pointed out that John Stuart Mill (1806–1873) had advocated the very conception of science advocated by Carnap (minus the distinctively 20th century forays into formal logic) and, in addition, that William Whewell (1794–1866) had put forth cogent arguments against Mill’s view.</w:t>
      </w:r>
    </w:p>
    <w:p w14:paraId="7E003149" w14:textId="77777777" w:rsidR="009A58DB" w:rsidRDefault="00000000">
      <w:pPr>
        <w:pStyle w:val="BodyText"/>
        <w:spacing w:before="118"/>
        <w:jc w:val="left"/>
      </w:pPr>
      <w:bookmarkStart w:id="933" w:name="_bookmark933"/>
      <w:bookmarkEnd w:id="933"/>
      <w:r>
        <w:rPr>
          <w:color w:val="0562C1"/>
          <w:u w:val="single" w:color="0562C1"/>
          <w:vertAlign w:val="superscript"/>
        </w:rPr>
        <w:t>[260]</w:t>
      </w:r>
      <w:r>
        <w:rPr>
          <w:sz w:val="22"/>
        </w:rPr>
        <w:t>.</w:t>
      </w:r>
      <w:r>
        <w:rPr>
          <w:spacing w:val="50"/>
          <w:sz w:val="22"/>
        </w:rPr>
        <w:t xml:space="preserve"> </w:t>
      </w:r>
      <w:r>
        <w:t>To</w:t>
      </w:r>
      <w:r>
        <w:rPr>
          <w:spacing w:val="63"/>
        </w:rPr>
        <w:t xml:space="preserve"> </w:t>
      </w:r>
      <w:r>
        <w:t>my</w:t>
      </w:r>
      <w:r>
        <w:rPr>
          <w:spacing w:val="63"/>
        </w:rPr>
        <w:t xml:space="preserve"> </w:t>
      </w:r>
      <w:r>
        <w:t>knowledge</w:t>
      </w:r>
      <w:r>
        <w:rPr>
          <w:spacing w:val="64"/>
        </w:rPr>
        <w:t xml:space="preserve"> </w:t>
      </w:r>
      <w:r>
        <w:t>(which</w:t>
      </w:r>
      <w:r>
        <w:rPr>
          <w:spacing w:val="63"/>
        </w:rPr>
        <w:t xml:space="preserve"> </w:t>
      </w:r>
      <w:r>
        <w:t>is</w:t>
      </w:r>
      <w:r>
        <w:rPr>
          <w:spacing w:val="64"/>
        </w:rPr>
        <w:t xml:space="preserve"> </w:t>
      </w:r>
      <w:r>
        <w:t>limited,</w:t>
      </w:r>
      <w:r>
        <w:rPr>
          <w:spacing w:val="63"/>
        </w:rPr>
        <w:t xml:space="preserve"> </w:t>
      </w:r>
      <w:r>
        <w:t>given</w:t>
      </w:r>
      <w:r>
        <w:rPr>
          <w:spacing w:val="63"/>
        </w:rPr>
        <w:t xml:space="preserve"> </w:t>
      </w:r>
      <w:r>
        <w:t>that</w:t>
      </w:r>
      <w:r>
        <w:rPr>
          <w:spacing w:val="64"/>
        </w:rPr>
        <w:t xml:space="preserve"> </w:t>
      </w:r>
      <w:r>
        <w:t>I’m</w:t>
      </w:r>
      <w:r>
        <w:rPr>
          <w:spacing w:val="63"/>
        </w:rPr>
        <w:t xml:space="preserve"> </w:t>
      </w:r>
      <w:r>
        <w:t>not</w:t>
      </w:r>
      <w:r>
        <w:rPr>
          <w:spacing w:val="64"/>
        </w:rPr>
        <w:t xml:space="preserve"> </w:t>
      </w:r>
      <w:r>
        <w:t>a</w:t>
      </w:r>
      <w:r>
        <w:rPr>
          <w:spacing w:val="63"/>
        </w:rPr>
        <w:t xml:space="preserve"> </w:t>
      </w:r>
      <w:r>
        <w:rPr>
          <w:spacing w:val="-2"/>
        </w:rPr>
        <w:t>Berkeley-</w:t>
      </w:r>
    </w:p>
    <w:p w14:paraId="7E00314A" w14:textId="77777777" w:rsidR="009A58DB" w:rsidRDefault="009A58DB">
      <w:pPr>
        <w:pStyle w:val="BodyText"/>
        <w:jc w:val="left"/>
        <w:sectPr w:rsidR="009A58DB">
          <w:pgSz w:w="12240" w:h="15840"/>
          <w:pgMar w:top="1380" w:right="1080" w:bottom="280" w:left="1080" w:header="720" w:footer="720" w:gutter="0"/>
          <w:cols w:space="720"/>
        </w:sectPr>
      </w:pPr>
    </w:p>
    <w:p w14:paraId="7E00314B" w14:textId="77777777" w:rsidR="009A58DB" w:rsidRDefault="00000000">
      <w:pPr>
        <w:pStyle w:val="BodyText"/>
        <w:spacing w:before="65" w:line="249" w:lineRule="auto"/>
        <w:ind w:left="720" w:right="364"/>
        <w:rPr>
          <w:i/>
        </w:rPr>
      </w:pPr>
      <w:bookmarkStart w:id="934" w:name="_bookmark940"/>
      <w:bookmarkEnd w:id="934"/>
      <w:r>
        <w:t>scholar),</w:t>
      </w:r>
      <w:r>
        <w:rPr>
          <w:spacing w:val="-4"/>
        </w:rPr>
        <w:t xml:space="preserve"> </w:t>
      </w:r>
      <w:r>
        <w:t>Berkeley</w:t>
      </w:r>
      <w:r>
        <w:rPr>
          <w:spacing w:val="-4"/>
        </w:rPr>
        <w:t xml:space="preserve"> </w:t>
      </w:r>
      <w:r>
        <w:t>is</w:t>
      </w:r>
      <w:r>
        <w:rPr>
          <w:spacing w:val="-5"/>
        </w:rPr>
        <w:t xml:space="preserve"> </w:t>
      </w:r>
      <w:r>
        <w:t>never</w:t>
      </w:r>
      <w:r>
        <w:rPr>
          <w:spacing w:val="-5"/>
        </w:rPr>
        <w:t xml:space="preserve"> </w:t>
      </w:r>
      <w:r>
        <w:t>given</w:t>
      </w:r>
      <w:r>
        <w:rPr>
          <w:spacing w:val="-4"/>
        </w:rPr>
        <w:t xml:space="preserve"> </w:t>
      </w:r>
      <w:r>
        <w:t>credit</w:t>
      </w:r>
      <w:r>
        <w:rPr>
          <w:spacing w:val="-5"/>
        </w:rPr>
        <w:t xml:space="preserve"> </w:t>
      </w:r>
      <w:r>
        <w:t>for</w:t>
      </w:r>
      <w:r>
        <w:rPr>
          <w:spacing w:val="-5"/>
        </w:rPr>
        <w:t xml:space="preserve"> </w:t>
      </w:r>
      <w:r>
        <w:t>making</w:t>
      </w:r>
      <w:r>
        <w:rPr>
          <w:spacing w:val="-4"/>
        </w:rPr>
        <w:t xml:space="preserve"> </w:t>
      </w:r>
      <w:r>
        <w:t>these</w:t>
      </w:r>
      <w:r>
        <w:rPr>
          <w:spacing w:val="-5"/>
        </w:rPr>
        <w:t xml:space="preserve"> </w:t>
      </w:r>
      <w:r>
        <w:t>discoveries.</w:t>
      </w:r>
      <w:r>
        <w:rPr>
          <w:spacing w:val="-4"/>
        </w:rPr>
        <w:t xml:space="preserve"> </w:t>
      </w:r>
      <w:r>
        <w:t>I</w:t>
      </w:r>
      <w:r>
        <w:rPr>
          <w:spacing w:val="-5"/>
        </w:rPr>
        <w:t xml:space="preserve"> </w:t>
      </w:r>
      <w:r>
        <w:t xml:space="preserve">am, so far as I know, the first author to do so. But there is no doubt that he made them. See his work </w:t>
      </w:r>
      <w:r>
        <w:rPr>
          <w:i/>
        </w:rPr>
        <w:t>The Principles of Human Knowledge.</w:t>
      </w:r>
    </w:p>
    <w:p w14:paraId="7E00314C" w14:textId="77777777" w:rsidR="009A58DB" w:rsidRDefault="00000000">
      <w:pPr>
        <w:spacing w:before="108" w:line="249" w:lineRule="auto"/>
        <w:ind w:left="720" w:right="365" w:hanging="360"/>
        <w:jc w:val="both"/>
        <w:rPr>
          <w:sz w:val="30"/>
        </w:rPr>
      </w:pPr>
      <w:bookmarkStart w:id="935" w:name="_bookmark934"/>
      <w:bookmarkEnd w:id="935"/>
      <w:r>
        <w:rPr>
          <w:color w:val="0562C1"/>
          <w:sz w:val="30"/>
          <w:u w:val="single" w:color="0562C1"/>
          <w:vertAlign w:val="superscript"/>
        </w:rPr>
        <w:t>[261]</w:t>
      </w:r>
      <w:r>
        <w:t xml:space="preserve">. </w:t>
      </w:r>
      <w:r>
        <w:rPr>
          <w:sz w:val="30"/>
        </w:rPr>
        <w:t xml:space="preserve">This is a point that Berkeley himself makes very clearly on several occasions. See his </w:t>
      </w:r>
      <w:r>
        <w:rPr>
          <w:i/>
          <w:sz w:val="30"/>
        </w:rPr>
        <w:t>Dialogues Between Hylas and Philonous</w:t>
      </w:r>
      <w:r>
        <w:rPr>
          <w:sz w:val="30"/>
        </w:rPr>
        <w:t>.</w:t>
      </w:r>
    </w:p>
    <w:p w14:paraId="7E00314D" w14:textId="77777777" w:rsidR="009A58DB" w:rsidRDefault="00000000">
      <w:pPr>
        <w:pStyle w:val="BodyText"/>
        <w:spacing w:before="108" w:line="249" w:lineRule="auto"/>
        <w:ind w:left="720" w:right="358" w:hanging="360"/>
      </w:pPr>
      <w:bookmarkStart w:id="936" w:name="_bookmark935"/>
      <w:bookmarkEnd w:id="936"/>
      <w:r>
        <w:rPr>
          <w:color w:val="0562C1"/>
          <w:u w:val="single" w:color="0562C1"/>
          <w:vertAlign w:val="superscript"/>
        </w:rPr>
        <w:t>[262]</w:t>
      </w:r>
      <w:r>
        <w:rPr>
          <w:sz w:val="22"/>
        </w:rPr>
        <w:t xml:space="preserve">. </w:t>
      </w:r>
      <w:r>
        <w:t>In this context, I’m not using the expression ‘deep structure’ in the Chomskyan sense.</w:t>
      </w:r>
    </w:p>
    <w:p w14:paraId="7E00314E" w14:textId="77777777" w:rsidR="009A58DB" w:rsidRDefault="00000000">
      <w:pPr>
        <w:pStyle w:val="BodyText"/>
        <w:spacing w:before="107" w:line="249" w:lineRule="auto"/>
        <w:ind w:left="720" w:right="360" w:hanging="360"/>
      </w:pPr>
      <w:bookmarkStart w:id="937" w:name="_bookmark936"/>
      <w:bookmarkEnd w:id="937"/>
      <w:r>
        <w:rPr>
          <w:color w:val="0562C1"/>
          <w:u w:val="single" w:color="0562C1"/>
          <w:vertAlign w:val="superscript"/>
        </w:rPr>
        <w:t>[263]</w:t>
      </w:r>
      <w:r>
        <w:rPr>
          <w:sz w:val="22"/>
        </w:rPr>
        <w:t xml:space="preserve">. </w:t>
      </w:r>
      <w:r>
        <w:t xml:space="preserve">A sentence is ‘perspicuous’ if it is clear </w:t>
      </w:r>
      <w:r>
        <w:rPr>
          <w:i/>
        </w:rPr>
        <w:t xml:space="preserve">n i the sense that </w:t>
      </w:r>
      <w:r>
        <w:t xml:space="preserve">its inferential structure (what it entails and what entails it) can be read off of its grammatical structure. See the entry for ‘perspicuous’ in the second </w:t>
      </w:r>
      <w:r>
        <w:rPr>
          <w:spacing w:val="-2"/>
        </w:rPr>
        <w:t>appendix.</w:t>
      </w:r>
    </w:p>
    <w:p w14:paraId="7E00314F" w14:textId="77777777" w:rsidR="009A58DB" w:rsidRDefault="00000000">
      <w:pPr>
        <w:pStyle w:val="BodyText"/>
        <w:spacing w:before="140" w:line="252" w:lineRule="auto"/>
        <w:ind w:left="720" w:right="359" w:hanging="360"/>
      </w:pPr>
      <w:bookmarkStart w:id="938" w:name="_bookmark937"/>
      <w:bookmarkEnd w:id="938"/>
      <w:r>
        <w:rPr>
          <w:color w:val="0562C1"/>
          <w:u w:val="single" w:color="0562C1"/>
          <w:vertAlign w:val="superscript"/>
        </w:rPr>
        <w:t>[264]</w:t>
      </w:r>
      <w:r>
        <w:rPr>
          <w:sz w:val="22"/>
        </w:rPr>
        <w:t>.</w:t>
      </w:r>
      <w:r>
        <w:rPr>
          <w:spacing w:val="40"/>
          <w:sz w:val="22"/>
        </w:rPr>
        <w:t xml:space="preserve"> </w:t>
      </w:r>
      <w:r>
        <w:t xml:space="preserve">Another deeply insightful and prophetic point that Berkeley makes (in the </w:t>
      </w:r>
      <w:r>
        <w:rPr>
          <w:i/>
        </w:rPr>
        <w:t>Principles of Human Knowledge</w:t>
      </w:r>
      <w:r>
        <w:t>), and for which he provides reasonably cogent argumentation, is that there is no empirical basis for the claim that position in either space or in time is absolute. He says, rightly, the spatiotemporal position must be understood in comparative terms. (One event e is later than event e*; one object x is further from y than is</w:t>
      </w:r>
      <w:r>
        <w:rPr>
          <w:spacing w:val="40"/>
        </w:rPr>
        <w:t xml:space="preserve"> </w:t>
      </w:r>
      <w:r>
        <w:t>z.) But to his discredit, Berkeley doesn’t address Newton’s famous argument to the contrary. For argument’s sake, suppose that motion (and therefore position) is relative. In that case, there is no difference between your standing still while some nearby bucket spins around and th</w:t>
      </w:r>
      <w:bookmarkStart w:id="939" w:name="_bookmark938"/>
      <w:bookmarkEnd w:id="939"/>
      <w:r>
        <w:t>e</w:t>
      </w:r>
      <w:r>
        <w:rPr>
          <w:spacing w:val="40"/>
        </w:rPr>
        <w:t xml:space="preserve"> </w:t>
      </w:r>
      <w:r>
        <w:t>bucket’s spinning around while you stand still. But, says Newton, there is</w:t>
      </w:r>
      <w:r>
        <w:rPr>
          <w:spacing w:val="40"/>
        </w:rPr>
        <w:t xml:space="preserve"> </w:t>
      </w:r>
      <w:r>
        <w:t>a difference. If you stand still and the bucket spins around, the surface of the water in the bucket becomes concave. But it doesn’t become concave</w:t>
      </w:r>
      <w:r>
        <w:rPr>
          <w:spacing w:val="40"/>
        </w:rPr>
        <w:t xml:space="preserve"> </w:t>
      </w:r>
      <w:r>
        <w:t>if the bucket remains still while you run around it.</w:t>
      </w:r>
    </w:p>
    <w:p w14:paraId="7E003150" w14:textId="77777777" w:rsidR="009A58DB" w:rsidRDefault="00000000">
      <w:pPr>
        <w:pStyle w:val="BodyText"/>
        <w:spacing w:line="329" w:lineRule="exact"/>
        <w:ind w:left="1080"/>
      </w:pPr>
      <w:r>
        <w:t>What</w:t>
      </w:r>
      <w:r>
        <w:rPr>
          <w:spacing w:val="64"/>
          <w:w w:val="150"/>
        </w:rPr>
        <w:t xml:space="preserve"> </w:t>
      </w:r>
      <w:r>
        <w:t>does</w:t>
      </w:r>
      <w:r>
        <w:rPr>
          <w:spacing w:val="66"/>
          <w:w w:val="150"/>
        </w:rPr>
        <w:t xml:space="preserve"> </w:t>
      </w:r>
      <w:r>
        <w:t>this</w:t>
      </w:r>
      <w:r>
        <w:rPr>
          <w:spacing w:val="66"/>
          <w:w w:val="150"/>
        </w:rPr>
        <w:t xml:space="preserve"> </w:t>
      </w:r>
      <w:r>
        <w:t>show?</w:t>
      </w:r>
      <w:r>
        <w:rPr>
          <w:spacing w:val="66"/>
          <w:w w:val="150"/>
        </w:rPr>
        <w:t xml:space="preserve"> </w:t>
      </w:r>
      <w:r>
        <w:t>First</w:t>
      </w:r>
      <w:r>
        <w:rPr>
          <w:spacing w:val="67"/>
          <w:w w:val="150"/>
        </w:rPr>
        <w:t xml:space="preserve"> </w:t>
      </w:r>
      <w:r>
        <w:t>of</w:t>
      </w:r>
      <w:r>
        <w:rPr>
          <w:spacing w:val="66"/>
          <w:w w:val="150"/>
        </w:rPr>
        <w:t xml:space="preserve"> </w:t>
      </w:r>
      <w:r>
        <w:t>all,</w:t>
      </w:r>
      <w:r>
        <w:rPr>
          <w:spacing w:val="66"/>
          <w:w w:val="150"/>
        </w:rPr>
        <w:t xml:space="preserve"> </w:t>
      </w:r>
      <w:r>
        <w:t>we</w:t>
      </w:r>
      <w:r>
        <w:rPr>
          <w:spacing w:val="66"/>
          <w:w w:val="150"/>
        </w:rPr>
        <w:t xml:space="preserve"> </w:t>
      </w:r>
      <w:r>
        <w:t>must</w:t>
      </w:r>
      <w:r>
        <w:rPr>
          <w:spacing w:val="66"/>
          <w:w w:val="150"/>
        </w:rPr>
        <w:t xml:space="preserve"> </w:t>
      </w:r>
      <w:r>
        <w:t>distinguish</w:t>
      </w:r>
      <w:r>
        <w:rPr>
          <w:spacing w:val="67"/>
          <w:w w:val="150"/>
        </w:rPr>
        <w:t xml:space="preserve"> </w:t>
      </w:r>
      <w:r>
        <w:rPr>
          <w:spacing w:val="-2"/>
        </w:rPr>
        <w:t>betwee</w:t>
      </w:r>
      <w:bookmarkStart w:id="940" w:name="_bookmark939"/>
      <w:bookmarkEnd w:id="940"/>
      <w:r>
        <w:rPr>
          <w:spacing w:val="-2"/>
        </w:rPr>
        <w:t>n</w:t>
      </w:r>
    </w:p>
    <w:p w14:paraId="7E003151" w14:textId="77777777" w:rsidR="009A58DB" w:rsidRDefault="00000000">
      <w:pPr>
        <w:pStyle w:val="BodyText"/>
        <w:spacing w:before="15" w:line="249" w:lineRule="auto"/>
        <w:ind w:left="720" w:right="358"/>
      </w:pPr>
      <w:r>
        <w:rPr>
          <w:i/>
        </w:rPr>
        <w:t xml:space="preserve">kinematic </w:t>
      </w:r>
      <w:r>
        <w:t xml:space="preserve">and </w:t>
      </w:r>
      <w:r>
        <w:rPr>
          <w:i/>
        </w:rPr>
        <w:t xml:space="preserve">dynamic </w:t>
      </w:r>
      <w:r>
        <w:t xml:space="preserve">relativity. (“Kinematic” means “having to do with how things are moving.” “Dynamic” means “having to do with the nature and intensity of the forces that are at work.”) Kinematically, your relationship to the bucket (when it’s stationary and you run around it) is just like the bucket’s relationship to you (when it is spinning and you are stationary). But </w:t>
      </w:r>
      <w:r>
        <w:rPr>
          <w:i/>
        </w:rPr>
        <w:t xml:space="preserve">dynamically </w:t>
      </w:r>
      <w:r>
        <w:t>the two situations are not symmetrical. And, Newton very reasonably inferred, the fact that these two situations are dynamically</w:t>
      </w:r>
      <w:r>
        <w:rPr>
          <w:spacing w:val="40"/>
        </w:rPr>
        <w:t xml:space="preserve"> </w:t>
      </w:r>
      <w:r>
        <w:t>non-comparable</w:t>
      </w:r>
      <w:r>
        <w:rPr>
          <w:spacing w:val="40"/>
        </w:rPr>
        <w:t xml:space="preserve"> </w:t>
      </w:r>
      <w:r>
        <w:t>shows</w:t>
      </w:r>
      <w:r>
        <w:rPr>
          <w:spacing w:val="40"/>
        </w:rPr>
        <w:t xml:space="preserve"> </w:t>
      </w:r>
      <w:r>
        <w:t>that,</w:t>
      </w:r>
      <w:r>
        <w:rPr>
          <w:spacing w:val="40"/>
        </w:rPr>
        <w:t xml:space="preserve"> </w:t>
      </w:r>
      <w:r>
        <w:t>when</w:t>
      </w:r>
      <w:r>
        <w:rPr>
          <w:spacing w:val="40"/>
        </w:rPr>
        <w:t xml:space="preserve"> </w:t>
      </w:r>
      <w:r>
        <w:t>the</w:t>
      </w:r>
      <w:r>
        <w:rPr>
          <w:spacing w:val="40"/>
        </w:rPr>
        <w:t xml:space="preserve"> </w:t>
      </w:r>
      <w:r>
        <w:t>water</w:t>
      </w:r>
      <w:r>
        <w:rPr>
          <w:spacing w:val="40"/>
        </w:rPr>
        <w:t xml:space="preserve"> </w:t>
      </w:r>
      <w:r>
        <w:t>in</w:t>
      </w:r>
      <w:r>
        <w:rPr>
          <w:spacing w:val="40"/>
        </w:rPr>
        <w:t xml:space="preserve"> </w:t>
      </w:r>
      <w:r>
        <w:t>the</w:t>
      </w:r>
      <w:r>
        <w:rPr>
          <w:spacing w:val="40"/>
        </w:rPr>
        <w:t xml:space="preserve"> </w:t>
      </w:r>
      <w:r>
        <w:t>bucket</w:t>
      </w:r>
    </w:p>
    <w:p w14:paraId="7E00315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53" w14:textId="77777777" w:rsidR="009A58DB" w:rsidRDefault="00000000">
      <w:pPr>
        <w:pStyle w:val="BodyText"/>
        <w:spacing w:before="65" w:line="249" w:lineRule="auto"/>
        <w:ind w:left="720" w:right="358"/>
      </w:pPr>
      <w:r>
        <w:t>becomes concave, the bucket really is moving. In other words, it is</w:t>
      </w:r>
      <w:r>
        <w:rPr>
          <w:spacing w:val="40"/>
        </w:rPr>
        <w:t xml:space="preserve"> </w:t>
      </w:r>
      <w:r>
        <w:t>moving relative to the coordinate system with respect to which given any event, that event would be assigned a position in time and space even if it were the only event that ever occurred.</w:t>
      </w:r>
    </w:p>
    <w:p w14:paraId="7E003154" w14:textId="77777777" w:rsidR="009A58DB" w:rsidRDefault="00000000">
      <w:pPr>
        <w:pStyle w:val="BodyText"/>
        <w:spacing w:before="5" w:line="249" w:lineRule="auto"/>
        <w:ind w:left="720" w:right="363" w:firstLine="360"/>
      </w:pPr>
      <w:r>
        <w:t xml:space="preserve">In general, the effects of </w:t>
      </w:r>
      <w:r>
        <w:rPr>
          <w:i/>
        </w:rPr>
        <w:t xml:space="preserve">accele rated motion </w:t>
      </w:r>
      <w:r>
        <w:t>(speeding up, slowing down, changing direction) tell us what is really moving and what is moving in, at most, a relative sense.</w:t>
      </w:r>
    </w:p>
    <w:p w14:paraId="7E003155" w14:textId="77777777" w:rsidR="009A58DB" w:rsidRDefault="00000000">
      <w:pPr>
        <w:pStyle w:val="BodyText"/>
        <w:spacing w:before="3" w:line="249" w:lineRule="auto"/>
        <w:ind w:left="720" w:right="361" w:firstLine="360"/>
      </w:pPr>
      <w:r>
        <w:t>To take another example: Smith is standing by the side of the road. Jones is driving on that road, and he is accelerating very quickly. Kinematically,</w:t>
      </w:r>
      <w:r>
        <w:rPr>
          <w:spacing w:val="-1"/>
        </w:rPr>
        <w:t xml:space="preserve"> </w:t>
      </w:r>
      <w:r>
        <w:t>Smith’s</w:t>
      </w:r>
      <w:r>
        <w:rPr>
          <w:spacing w:val="-1"/>
        </w:rPr>
        <w:t xml:space="preserve"> </w:t>
      </w:r>
      <w:r>
        <w:t>relationship</w:t>
      </w:r>
      <w:r>
        <w:rPr>
          <w:spacing w:val="-1"/>
        </w:rPr>
        <w:t xml:space="preserve"> </w:t>
      </w:r>
      <w:r>
        <w:t>to</w:t>
      </w:r>
      <w:r>
        <w:rPr>
          <w:spacing w:val="-1"/>
        </w:rPr>
        <w:t xml:space="preserve"> </w:t>
      </w:r>
      <w:r>
        <w:t>Jones</w:t>
      </w:r>
      <w:r>
        <w:rPr>
          <w:spacing w:val="-1"/>
        </w:rPr>
        <w:t xml:space="preserve"> </w:t>
      </w:r>
      <w:r>
        <w:t>is</w:t>
      </w:r>
      <w:r>
        <w:rPr>
          <w:spacing w:val="-1"/>
        </w:rPr>
        <w:t xml:space="preserve"> </w:t>
      </w:r>
      <w:r>
        <w:t>just</w:t>
      </w:r>
      <w:r>
        <w:rPr>
          <w:spacing w:val="-1"/>
        </w:rPr>
        <w:t xml:space="preserve"> </w:t>
      </w:r>
      <w:r>
        <w:t>like</w:t>
      </w:r>
      <w:r>
        <w:rPr>
          <w:spacing w:val="-1"/>
        </w:rPr>
        <w:t xml:space="preserve"> </w:t>
      </w:r>
      <w:r>
        <w:t>Jones’</w:t>
      </w:r>
      <w:r>
        <w:rPr>
          <w:spacing w:val="-1"/>
        </w:rPr>
        <w:t xml:space="preserve"> </w:t>
      </w:r>
      <w:r>
        <w:t>relationship to</w:t>
      </w:r>
      <w:r>
        <w:rPr>
          <w:spacing w:val="-1"/>
        </w:rPr>
        <w:t xml:space="preserve"> </w:t>
      </w:r>
      <w:r>
        <w:t>Smith.</w:t>
      </w:r>
      <w:r>
        <w:rPr>
          <w:spacing w:val="-1"/>
        </w:rPr>
        <w:t xml:space="preserve"> </w:t>
      </w:r>
      <w:r>
        <w:t>But</w:t>
      </w:r>
      <w:r>
        <w:rPr>
          <w:spacing w:val="-1"/>
        </w:rPr>
        <w:t xml:space="preserve"> </w:t>
      </w:r>
      <w:r>
        <w:t>dynamically</w:t>
      </w:r>
      <w:r>
        <w:rPr>
          <w:spacing w:val="-1"/>
        </w:rPr>
        <w:t xml:space="preserve"> </w:t>
      </w:r>
      <w:r>
        <w:t>the</w:t>
      </w:r>
      <w:r>
        <w:rPr>
          <w:spacing w:val="-1"/>
        </w:rPr>
        <w:t xml:space="preserve"> </w:t>
      </w:r>
      <w:r>
        <w:t>one</w:t>
      </w:r>
      <w:r>
        <w:rPr>
          <w:spacing w:val="-1"/>
        </w:rPr>
        <w:t xml:space="preserve"> </w:t>
      </w:r>
      <w:r>
        <w:t>person’s</w:t>
      </w:r>
      <w:r>
        <w:rPr>
          <w:spacing w:val="-1"/>
        </w:rPr>
        <w:t xml:space="preserve"> </w:t>
      </w:r>
      <w:r>
        <w:t>situation</w:t>
      </w:r>
      <w:r>
        <w:rPr>
          <w:spacing w:val="-1"/>
        </w:rPr>
        <w:t xml:space="preserve"> </w:t>
      </w:r>
      <w:r>
        <w:t>is</w:t>
      </w:r>
      <w:r>
        <w:rPr>
          <w:spacing w:val="-1"/>
        </w:rPr>
        <w:t xml:space="preserve"> </w:t>
      </w:r>
      <w:r>
        <w:t>very</w:t>
      </w:r>
      <w:r>
        <w:rPr>
          <w:spacing w:val="-1"/>
        </w:rPr>
        <w:t xml:space="preserve"> </w:t>
      </w:r>
      <w:r>
        <w:t>different</w:t>
      </w:r>
      <w:r>
        <w:rPr>
          <w:spacing w:val="-1"/>
        </w:rPr>
        <w:t xml:space="preserve"> </w:t>
      </w:r>
      <w:r>
        <w:t>from the other’s. Jones will feel the g-forces. Smith will not. This difference, Newton would say, shows us that Jones really is moving.</w:t>
      </w:r>
    </w:p>
    <w:p w14:paraId="7E003156" w14:textId="77777777" w:rsidR="009A58DB" w:rsidRDefault="00000000">
      <w:pPr>
        <w:pStyle w:val="BodyText"/>
        <w:spacing w:before="8" w:line="249" w:lineRule="auto"/>
        <w:ind w:left="720" w:right="358" w:firstLine="360"/>
      </w:pPr>
      <w:r>
        <w:t>Newton’s reasoning is extremely formidable. Berkeley didn’t address Newton’s argument. (His responses are so curt that he either seems not to have</w:t>
      </w:r>
      <w:r>
        <w:rPr>
          <w:spacing w:val="-1"/>
        </w:rPr>
        <w:t xml:space="preserve"> </w:t>
      </w:r>
      <w:r>
        <w:t>understood</w:t>
      </w:r>
      <w:r>
        <w:rPr>
          <w:spacing w:val="-1"/>
        </w:rPr>
        <w:t xml:space="preserve"> </w:t>
      </w:r>
      <w:r>
        <w:t>what</w:t>
      </w:r>
      <w:r>
        <w:rPr>
          <w:spacing w:val="-1"/>
        </w:rPr>
        <w:t xml:space="preserve"> </w:t>
      </w:r>
      <w:r>
        <w:t>Newton</w:t>
      </w:r>
      <w:r>
        <w:rPr>
          <w:spacing w:val="-1"/>
        </w:rPr>
        <w:t xml:space="preserve"> </w:t>
      </w:r>
      <w:r>
        <w:t>was</w:t>
      </w:r>
      <w:r>
        <w:rPr>
          <w:spacing w:val="-1"/>
        </w:rPr>
        <w:t xml:space="preserve"> </w:t>
      </w:r>
      <w:r>
        <w:t>saying</w:t>
      </w:r>
      <w:r>
        <w:rPr>
          <w:spacing w:val="-1"/>
        </w:rPr>
        <w:t xml:space="preserve"> </w:t>
      </w:r>
      <w:r>
        <w:t>or</w:t>
      </w:r>
      <w:r>
        <w:rPr>
          <w:spacing w:val="-1"/>
        </w:rPr>
        <w:t xml:space="preserve"> </w:t>
      </w:r>
      <w:r>
        <w:t>he</w:t>
      </w:r>
      <w:r>
        <w:rPr>
          <w:spacing w:val="-1"/>
        </w:rPr>
        <w:t xml:space="preserve"> </w:t>
      </w:r>
      <w:r>
        <w:t>deliberately</w:t>
      </w:r>
      <w:r>
        <w:rPr>
          <w:spacing w:val="-1"/>
        </w:rPr>
        <w:t xml:space="preserve"> </w:t>
      </w:r>
      <w:r>
        <w:t>turned</w:t>
      </w:r>
      <w:r>
        <w:rPr>
          <w:spacing w:val="-1"/>
        </w:rPr>
        <w:t xml:space="preserve"> </w:t>
      </w:r>
      <w:r>
        <w:t>a</w:t>
      </w:r>
      <w:r>
        <w:rPr>
          <w:spacing w:val="-1"/>
        </w:rPr>
        <w:t xml:space="preserve"> </w:t>
      </w:r>
      <w:r>
        <w:t>blind eye to it, since he knew he couldn’t parry Newton. In any case, Berkeley was vindicated—after a fashion—when, working two hundred years after Newton, Einstein showed that motion is not only kinematically, but also dynamically, relative.</w:t>
      </w:r>
    </w:p>
    <w:p w14:paraId="7E003157" w14:textId="77777777" w:rsidR="009A58DB" w:rsidRDefault="00000000">
      <w:pPr>
        <w:pStyle w:val="BodyText"/>
        <w:spacing w:before="13" w:line="249" w:lineRule="auto"/>
        <w:ind w:left="510" w:right="367" w:hanging="150"/>
      </w:pPr>
      <w:r>
        <w:rPr>
          <w:color w:val="0562C1"/>
          <w:position w:val="19"/>
          <w:u w:val="single" w:color="0562C1"/>
        </w:rPr>
        <w:t>[265]</w:t>
      </w:r>
      <w:r>
        <w:t>. Karl Popper had a lot to say about the limits of predictability. What I’m</w:t>
      </w:r>
      <w:r>
        <w:rPr>
          <w:spacing w:val="-2"/>
        </w:rPr>
        <w:t xml:space="preserve"> </w:t>
      </w:r>
      <w:r>
        <w:t>saying</w:t>
      </w:r>
      <w:r>
        <w:rPr>
          <w:spacing w:val="-1"/>
        </w:rPr>
        <w:t xml:space="preserve"> </w:t>
      </w:r>
      <w:r>
        <w:t>here</w:t>
      </w:r>
      <w:r>
        <w:rPr>
          <w:spacing w:val="-1"/>
        </w:rPr>
        <w:t xml:space="preserve"> </w:t>
      </w:r>
      <w:r>
        <w:t>doesn’t</w:t>
      </w:r>
      <w:r>
        <w:rPr>
          <w:spacing w:val="-2"/>
        </w:rPr>
        <w:t xml:space="preserve"> </w:t>
      </w:r>
      <w:r>
        <w:t>always</w:t>
      </w:r>
      <w:r>
        <w:rPr>
          <w:spacing w:val="-1"/>
        </w:rPr>
        <w:t xml:space="preserve"> </w:t>
      </w:r>
      <w:r>
        <w:t>coincide</w:t>
      </w:r>
      <w:r>
        <w:rPr>
          <w:spacing w:val="-1"/>
        </w:rPr>
        <w:t xml:space="preserve"> </w:t>
      </w:r>
      <w:r>
        <w:t>with</w:t>
      </w:r>
      <w:r>
        <w:rPr>
          <w:spacing w:val="-1"/>
        </w:rPr>
        <w:t xml:space="preserve"> </w:t>
      </w:r>
      <w:r>
        <w:t>what</w:t>
      </w:r>
      <w:r>
        <w:rPr>
          <w:spacing w:val="-2"/>
        </w:rPr>
        <w:t xml:space="preserve"> </w:t>
      </w:r>
      <w:r>
        <w:t>he</w:t>
      </w:r>
      <w:r>
        <w:rPr>
          <w:spacing w:val="-1"/>
        </w:rPr>
        <w:t xml:space="preserve"> </w:t>
      </w:r>
      <w:r>
        <w:t>says,</w:t>
      </w:r>
      <w:r>
        <w:rPr>
          <w:spacing w:val="-1"/>
        </w:rPr>
        <w:t xml:space="preserve"> </w:t>
      </w:r>
      <w:r>
        <w:t>but</w:t>
      </w:r>
      <w:r>
        <w:rPr>
          <w:spacing w:val="-2"/>
        </w:rPr>
        <w:t xml:space="preserve"> </w:t>
      </w:r>
      <w:r>
        <w:t>much</w:t>
      </w:r>
      <w:r>
        <w:rPr>
          <w:spacing w:val="-1"/>
        </w:rPr>
        <w:t xml:space="preserve"> </w:t>
      </w:r>
      <w:r>
        <w:t>of</w:t>
      </w:r>
      <w:r>
        <w:rPr>
          <w:spacing w:val="-1"/>
        </w:rPr>
        <w:t xml:space="preserve"> </w:t>
      </w:r>
      <w:r>
        <w:t>it</w:t>
      </w:r>
      <w:r>
        <w:rPr>
          <w:spacing w:val="-1"/>
        </w:rPr>
        <w:t xml:space="preserve"> </w:t>
      </w:r>
      <w:r>
        <w:t>is similar to it. See Popper (1983, 1992).</w:t>
      </w:r>
    </w:p>
    <w:p w14:paraId="7E003158" w14:textId="77777777" w:rsidR="009A58DB" w:rsidRDefault="00000000">
      <w:pPr>
        <w:pStyle w:val="BodyText"/>
        <w:spacing w:before="9" w:line="249" w:lineRule="auto"/>
        <w:ind w:left="510" w:right="358" w:hanging="150"/>
      </w:pPr>
      <w:r>
        <w:rPr>
          <w:color w:val="0562C1"/>
          <w:position w:val="19"/>
          <w:u w:val="single" w:color="0562C1"/>
        </w:rPr>
        <w:t>[266]</w:t>
      </w:r>
      <w:r>
        <w:t>. No time would have elapsed unless there had been a change. Time is a relation between events. No changes, no events. No events, no time. The</w:t>
      </w:r>
      <w:r>
        <w:rPr>
          <w:spacing w:val="40"/>
        </w:rPr>
        <w:t xml:space="preserve"> </w:t>
      </w:r>
      <w:r>
        <w:t>fact that time is to be understood in this way spells doom for Hume’s</w:t>
      </w:r>
      <w:r>
        <w:rPr>
          <w:spacing w:val="40"/>
        </w:rPr>
        <w:t xml:space="preserve"> </w:t>
      </w:r>
      <w:r>
        <w:t>famous eliminitavist analysis of causation and for a number of doctrines in epistemology and the philosophy of science to which it has given rise. See Chapter 17.</w:t>
      </w:r>
    </w:p>
    <w:p w14:paraId="7E003159" w14:textId="77777777" w:rsidR="009A58DB" w:rsidRDefault="00000000">
      <w:pPr>
        <w:pStyle w:val="BodyText"/>
        <w:spacing w:before="12" w:line="249" w:lineRule="auto"/>
        <w:ind w:left="510" w:right="365" w:hanging="150"/>
        <w:jc w:val="left"/>
      </w:pPr>
      <w:r>
        <w:rPr>
          <w:color w:val="0562C1"/>
          <w:position w:val="19"/>
          <w:u w:val="single" w:color="0562C1"/>
        </w:rPr>
        <w:t>[267]</w:t>
      </w:r>
      <w:r>
        <w:t>. We’re setting aside trivial correlations; e.g., “anything that is identical with</w:t>
      </w:r>
      <w:r>
        <w:rPr>
          <w:spacing w:val="-3"/>
        </w:rPr>
        <w:t xml:space="preserve"> </w:t>
      </w:r>
      <w:r>
        <w:t>the</w:t>
      </w:r>
      <w:r>
        <w:rPr>
          <w:spacing w:val="-4"/>
        </w:rPr>
        <w:t xml:space="preserve"> </w:t>
      </w:r>
      <w:r>
        <w:t>headache</w:t>
      </w:r>
      <w:r>
        <w:rPr>
          <w:spacing w:val="-4"/>
        </w:rPr>
        <w:t xml:space="preserve"> </w:t>
      </w:r>
      <w:r>
        <w:t>I’m</w:t>
      </w:r>
      <w:r>
        <w:rPr>
          <w:spacing w:val="-4"/>
        </w:rPr>
        <w:t xml:space="preserve"> </w:t>
      </w:r>
      <w:r>
        <w:t>now</w:t>
      </w:r>
      <w:r>
        <w:rPr>
          <w:spacing w:val="-4"/>
        </w:rPr>
        <w:t xml:space="preserve"> </w:t>
      </w:r>
      <w:r>
        <w:t>feeling</w:t>
      </w:r>
      <w:r>
        <w:rPr>
          <w:spacing w:val="-3"/>
        </w:rPr>
        <w:t xml:space="preserve"> </w:t>
      </w:r>
      <w:r>
        <w:t>is</w:t>
      </w:r>
      <w:r>
        <w:rPr>
          <w:spacing w:val="-4"/>
        </w:rPr>
        <w:t xml:space="preserve"> </w:t>
      </w:r>
      <w:r>
        <w:t>also</w:t>
      </w:r>
      <w:r>
        <w:rPr>
          <w:spacing w:val="-3"/>
        </w:rPr>
        <w:t xml:space="preserve"> </w:t>
      </w:r>
      <w:r>
        <w:t>identical</w:t>
      </w:r>
      <w:r>
        <w:rPr>
          <w:spacing w:val="-4"/>
        </w:rPr>
        <w:t xml:space="preserve"> </w:t>
      </w:r>
      <w:r>
        <w:t>with</w:t>
      </w:r>
      <w:r>
        <w:rPr>
          <w:spacing w:val="-3"/>
        </w:rPr>
        <w:t xml:space="preserve"> </w:t>
      </w:r>
      <w:r>
        <w:t>something</w:t>
      </w:r>
      <w:r>
        <w:rPr>
          <w:spacing w:val="-3"/>
        </w:rPr>
        <w:t xml:space="preserve"> </w:t>
      </w:r>
      <w:r>
        <w:t>I</w:t>
      </w:r>
      <w:r>
        <w:rPr>
          <w:spacing w:val="-4"/>
        </w:rPr>
        <w:t xml:space="preserve"> </w:t>
      </w:r>
      <w:r>
        <w:t>want</w:t>
      </w:r>
      <w:r>
        <w:rPr>
          <w:spacing w:val="-4"/>
        </w:rPr>
        <w:t xml:space="preserve"> </w:t>
      </w:r>
      <w:r>
        <w:t>to get rid of.”</w:t>
      </w:r>
    </w:p>
    <w:p w14:paraId="7E00315A" w14:textId="77777777" w:rsidR="009A58DB" w:rsidRDefault="00000000">
      <w:pPr>
        <w:pStyle w:val="BodyText"/>
        <w:spacing w:before="9"/>
        <w:jc w:val="left"/>
      </w:pPr>
      <w:bookmarkStart w:id="941" w:name="_bookmark941"/>
      <w:bookmarkEnd w:id="941"/>
      <w:r>
        <w:rPr>
          <w:color w:val="0562C1"/>
          <w:position w:val="19"/>
          <w:u w:val="single" w:color="0562C1"/>
        </w:rPr>
        <w:t>[268]</w:t>
      </w:r>
      <w:r>
        <w:t>.</w:t>
      </w:r>
      <w:r>
        <w:rPr>
          <w:spacing w:val="-3"/>
        </w:rPr>
        <w:t xml:space="preserve"> </w:t>
      </w:r>
      <w:r>
        <w:t>See</w:t>
      </w:r>
      <w:r>
        <w:rPr>
          <w:spacing w:val="-3"/>
        </w:rPr>
        <w:t xml:space="preserve"> </w:t>
      </w:r>
      <w:r>
        <w:t>Freud</w:t>
      </w:r>
      <w:r>
        <w:rPr>
          <w:spacing w:val="-2"/>
        </w:rPr>
        <w:t xml:space="preserve"> (1949).</w:t>
      </w:r>
    </w:p>
    <w:p w14:paraId="7E00315B" w14:textId="77777777" w:rsidR="009A58DB" w:rsidRDefault="009A58DB">
      <w:pPr>
        <w:pStyle w:val="BodyText"/>
        <w:jc w:val="left"/>
        <w:sectPr w:rsidR="009A58DB">
          <w:pgSz w:w="12240" w:h="15840"/>
          <w:pgMar w:top="1380" w:right="1080" w:bottom="280" w:left="1080" w:header="720" w:footer="720" w:gutter="0"/>
          <w:cols w:space="720"/>
        </w:sectPr>
      </w:pPr>
    </w:p>
    <w:p w14:paraId="7E00315C" w14:textId="77777777" w:rsidR="009A58DB" w:rsidRDefault="00000000">
      <w:pPr>
        <w:spacing w:before="70" w:line="249" w:lineRule="auto"/>
        <w:ind w:left="600" w:right="374" w:hanging="240"/>
        <w:jc w:val="both"/>
        <w:rPr>
          <w:sz w:val="30"/>
        </w:rPr>
      </w:pPr>
      <w:bookmarkStart w:id="942" w:name="_bookmark942"/>
      <w:bookmarkEnd w:id="942"/>
      <w:r>
        <w:rPr>
          <w:color w:val="0562C1"/>
          <w:position w:val="19"/>
          <w:sz w:val="30"/>
          <w:u w:val="single" w:color="0562C1"/>
        </w:rPr>
        <w:t>[269]</w:t>
      </w:r>
      <w:r>
        <w:rPr>
          <w:sz w:val="30"/>
        </w:rPr>
        <w:t>. The straightforward version (“you are free if you can do what you</w:t>
      </w:r>
      <w:r>
        <w:rPr>
          <w:spacing w:val="40"/>
          <w:sz w:val="30"/>
        </w:rPr>
        <w:t xml:space="preserve"> </w:t>
      </w:r>
      <w:r>
        <w:rPr>
          <w:sz w:val="30"/>
        </w:rPr>
        <w:t>want</w:t>
      </w:r>
      <w:r>
        <w:rPr>
          <w:spacing w:val="-2"/>
          <w:sz w:val="30"/>
        </w:rPr>
        <w:t xml:space="preserve"> </w:t>
      </w:r>
      <w:r>
        <w:rPr>
          <w:sz w:val="30"/>
        </w:rPr>
        <w:t>to</w:t>
      </w:r>
      <w:r>
        <w:rPr>
          <w:spacing w:val="-1"/>
          <w:sz w:val="30"/>
        </w:rPr>
        <w:t xml:space="preserve"> </w:t>
      </w:r>
      <w:r>
        <w:rPr>
          <w:sz w:val="30"/>
        </w:rPr>
        <w:t>do,</w:t>
      </w:r>
      <w:r>
        <w:rPr>
          <w:spacing w:val="-1"/>
          <w:sz w:val="30"/>
        </w:rPr>
        <w:t xml:space="preserve"> </w:t>
      </w:r>
      <w:r>
        <w:rPr>
          <w:sz w:val="30"/>
        </w:rPr>
        <w:t>and</w:t>
      </w:r>
      <w:r>
        <w:rPr>
          <w:spacing w:val="-1"/>
          <w:sz w:val="30"/>
        </w:rPr>
        <w:t xml:space="preserve"> </w:t>
      </w:r>
      <w:r>
        <w:rPr>
          <w:sz w:val="30"/>
        </w:rPr>
        <w:t>unfree</w:t>
      </w:r>
      <w:r>
        <w:rPr>
          <w:spacing w:val="-1"/>
          <w:sz w:val="30"/>
        </w:rPr>
        <w:t xml:space="preserve"> </w:t>
      </w:r>
      <w:r>
        <w:rPr>
          <w:sz w:val="30"/>
        </w:rPr>
        <w:t>so</w:t>
      </w:r>
      <w:r>
        <w:rPr>
          <w:spacing w:val="-1"/>
          <w:sz w:val="30"/>
        </w:rPr>
        <w:t xml:space="preserve"> </w:t>
      </w:r>
      <w:r>
        <w:rPr>
          <w:sz w:val="30"/>
        </w:rPr>
        <w:t>far</w:t>
      </w:r>
      <w:r>
        <w:rPr>
          <w:spacing w:val="-1"/>
          <w:sz w:val="30"/>
        </w:rPr>
        <w:t xml:space="preserve"> </w:t>
      </w:r>
      <w:r>
        <w:rPr>
          <w:sz w:val="30"/>
        </w:rPr>
        <w:t>as</w:t>
      </w:r>
      <w:r>
        <w:rPr>
          <w:spacing w:val="-1"/>
          <w:sz w:val="30"/>
        </w:rPr>
        <w:t xml:space="preserve"> </w:t>
      </w:r>
      <w:r>
        <w:rPr>
          <w:sz w:val="30"/>
        </w:rPr>
        <w:t>you</w:t>
      </w:r>
      <w:r>
        <w:rPr>
          <w:spacing w:val="-1"/>
          <w:sz w:val="30"/>
        </w:rPr>
        <w:t xml:space="preserve"> </w:t>
      </w:r>
      <w:r>
        <w:rPr>
          <w:sz w:val="30"/>
        </w:rPr>
        <w:t>cannot”)</w:t>
      </w:r>
      <w:r>
        <w:rPr>
          <w:spacing w:val="-1"/>
          <w:sz w:val="30"/>
        </w:rPr>
        <w:t xml:space="preserve"> </w:t>
      </w:r>
      <w:r>
        <w:rPr>
          <w:sz w:val="30"/>
        </w:rPr>
        <w:t>was</w:t>
      </w:r>
      <w:r>
        <w:rPr>
          <w:spacing w:val="-1"/>
          <w:sz w:val="30"/>
        </w:rPr>
        <w:t xml:space="preserve"> </w:t>
      </w:r>
      <w:r>
        <w:rPr>
          <w:sz w:val="30"/>
        </w:rPr>
        <w:t>advocated</w:t>
      </w:r>
      <w:r>
        <w:rPr>
          <w:spacing w:val="-1"/>
          <w:sz w:val="30"/>
        </w:rPr>
        <w:t xml:space="preserve"> </w:t>
      </w:r>
      <w:r>
        <w:rPr>
          <w:sz w:val="30"/>
        </w:rPr>
        <w:t>by</w:t>
      </w:r>
      <w:r>
        <w:rPr>
          <w:spacing w:val="-1"/>
          <w:sz w:val="30"/>
        </w:rPr>
        <w:t xml:space="preserve"> </w:t>
      </w:r>
      <w:r>
        <w:rPr>
          <w:sz w:val="30"/>
        </w:rPr>
        <w:t>John</w:t>
      </w:r>
      <w:r>
        <w:rPr>
          <w:spacing w:val="-1"/>
          <w:sz w:val="30"/>
        </w:rPr>
        <w:t xml:space="preserve"> </w:t>
      </w:r>
      <w:r>
        <w:rPr>
          <w:sz w:val="30"/>
        </w:rPr>
        <w:t>Locke (1632–1704)</w:t>
      </w:r>
      <w:r>
        <w:rPr>
          <w:spacing w:val="-3"/>
          <w:sz w:val="30"/>
        </w:rPr>
        <w:t xml:space="preserve"> </w:t>
      </w:r>
      <w:r>
        <w:rPr>
          <w:sz w:val="30"/>
        </w:rPr>
        <w:t>and</w:t>
      </w:r>
      <w:r>
        <w:rPr>
          <w:spacing w:val="-3"/>
          <w:sz w:val="30"/>
        </w:rPr>
        <w:t xml:space="preserve"> </w:t>
      </w:r>
      <w:r>
        <w:rPr>
          <w:sz w:val="30"/>
        </w:rPr>
        <w:t>G.E.</w:t>
      </w:r>
      <w:r>
        <w:rPr>
          <w:spacing w:val="-3"/>
          <w:sz w:val="30"/>
        </w:rPr>
        <w:t xml:space="preserve"> </w:t>
      </w:r>
      <w:r>
        <w:rPr>
          <w:sz w:val="30"/>
        </w:rPr>
        <w:t>Moore</w:t>
      </w:r>
      <w:r>
        <w:rPr>
          <w:spacing w:val="-3"/>
          <w:sz w:val="30"/>
        </w:rPr>
        <w:t xml:space="preserve"> </w:t>
      </w:r>
      <w:r>
        <w:rPr>
          <w:sz w:val="30"/>
        </w:rPr>
        <w:t>(1873–1958).</w:t>
      </w:r>
      <w:r>
        <w:rPr>
          <w:spacing w:val="-3"/>
          <w:sz w:val="30"/>
        </w:rPr>
        <w:t xml:space="preserve"> </w:t>
      </w:r>
      <w:r>
        <w:rPr>
          <w:sz w:val="30"/>
        </w:rPr>
        <w:t>The</w:t>
      </w:r>
      <w:r>
        <w:rPr>
          <w:spacing w:val="-3"/>
          <w:sz w:val="30"/>
        </w:rPr>
        <w:t xml:space="preserve"> </w:t>
      </w:r>
      <w:r>
        <w:rPr>
          <w:sz w:val="30"/>
        </w:rPr>
        <w:t>more</w:t>
      </w:r>
      <w:r>
        <w:rPr>
          <w:spacing w:val="-3"/>
          <w:sz w:val="30"/>
        </w:rPr>
        <w:t xml:space="preserve"> </w:t>
      </w:r>
      <w:r>
        <w:rPr>
          <w:sz w:val="30"/>
        </w:rPr>
        <w:t>sophisticated</w:t>
      </w:r>
      <w:r>
        <w:rPr>
          <w:spacing w:val="-3"/>
          <w:sz w:val="30"/>
        </w:rPr>
        <w:t xml:space="preserve"> </w:t>
      </w:r>
      <w:r>
        <w:rPr>
          <w:sz w:val="30"/>
        </w:rPr>
        <w:t xml:space="preserve">version is advocated by Immanuel Kant (1724–1804) (in the </w:t>
      </w:r>
      <w:r>
        <w:rPr>
          <w:i/>
          <w:sz w:val="30"/>
        </w:rPr>
        <w:t>Critique of Practical Reason</w:t>
      </w:r>
      <w:r>
        <w:rPr>
          <w:sz w:val="30"/>
        </w:rPr>
        <w:t xml:space="preserve">), Sigmund Freud (1856–1941) (in </w:t>
      </w:r>
      <w:r>
        <w:rPr>
          <w:i/>
          <w:sz w:val="30"/>
        </w:rPr>
        <w:t xml:space="preserve">An Outline of Psychoanalysis </w:t>
      </w:r>
      <w:r>
        <w:rPr>
          <w:sz w:val="30"/>
        </w:rPr>
        <w:t xml:space="preserve">and </w:t>
      </w:r>
      <w:r>
        <w:rPr>
          <w:i/>
          <w:sz w:val="30"/>
        </w:rPr>
        <w:t>the Question of Lay Analysis</w:t>
      </w:r>
      <w:r>
        <w:rPr>
          <w:sz w:val="30"/>
        </w:rPr>
        <w:t xml:space="preserve">) and Harry Frankfurt (1929–) (in </w:t>
      </w:r>
      <w:r>
        <w:rPr>
          <w:i/>
          <w:sz w:val="30"/>
        </w:rPr>
        <w:t>The Importance of what we care about</w:t>
      </w:r>
      <w:r>
        <w:rPr>
          <w:sz w:val="30"/>
        </w:rPr>
        <w:t>).</w:t>
      </w:r>
    </w:p>
    <w:p w14:paraId="7E00315D" w14:textId="77777777" w:rsidR="009A58DB" w:rsidRDefault="00000000">
      <w:pPr>
        <w:pStyle w:val="BodyText"/>
        <w:spacing w:before="13"/>
        <w:jc w:val="left"/>
      </w:pPr>
      <w:bookmarkStart w:id="943" w:name="_bookmark943"/>
      <w:bookmarkEnd w:id="943"/>
      <w:r>
        <w:rPr>
          <w:color w:val="0562C1"/>
          <w:position w:val="19"/>
          <w:u w:val="single" w:color="0562C1"/>
        </w:rPr>
        <w:t>[270]</w:t>
      </w:r>
      <w:r>
        <w:t>.</w:t>
      </w:r>
      <w:r>
        <w:rPr>
          <w:spacing w:val="-3"/>
        </w:rPr>
        <w:t xml:space="preserve"> </w:t>
      </w:r>
      <w:r>
        <w:t>Moore</w:t>
      </w:r>
      <w:r>
        <w:rPr>
          <w:spacing w:val="-2"/>
        </w:rPr>
        <w:t xml:space="preserve"> (1911).</w:t>
      </w:r>
    </w:p>
    <w:p w14:paraId="7E00315E" w14:textId="77777777" w:rsidR="009A58DB" w:rsidRDefault="00000000">
      <w:pPr>
        <w:pStyle w:val="BodyText"/>
        <w:spacing w:before="20" w:line="249" w:lineRule="auto"/>
        <w:ind w:left="600" w:right="376" w:hanging="240"/>
      </w:pPr>
      <w:bookmarkStart w:id="944" w:name="_bookmark944"/>
      <w:bookmarkEnd w:id="944"/>
      <w:r>
        <w:rPr>
          <w:color w:val="0562C1"/>
          <w:position w:val="19"/>
          <w:u w:val="single" w:color="0562C1"/>
        </w:rPr>
        <w:t>[271]</w:t>
      </w:r>
      <w:r>
        <w:t xml:space="preserve">. In philosophy, split infinitives are hard to avoid, since the consequences of avoiding splitting them are often sentences that don’t mean what one wants to say. There’s a difference between saying “Smith chose to </w:t>
      </w:r>
      <w:r>
        <w:rPr>
          <w:i/>
        </w:rPr>
        <w:t>not</w:t>
      </w:r>
      <w:r>
        <w:rPr>
          <w:i/>
          <w:spacing w:val="-3"/>
        </w:rPr>
        <w:t xml:space="preserve"> </w:t>
      </w:r>
      <w:r>
        <w:t xml:space="preserve">strike Harry” and “Smith did not choose to strike Harry.” The latter says that Smith failed to make a choice; the former says that he did make a choice. Of course, “Smith chose </w:t>
      </w:r>
      <w:r>
        <w:rPr>
          <w:i/>
        </w:rPr>
        <w:t>not</w:t>
      </w:r>
      <w:r>
        <w:rPr>
          <w:i/>
          <w:spacing w:val="-3"/>
        </w:rPr>
        <w:t xml:space="preserve"> </w:t>
      </w:r>
      <w:r>
        <w:t>to strike Harry” does avoid the split infinitive. But having the “to” adds oft-needed emphasis.</w:t>
      </w:r>
    </w:p>
    <w:p w14:paraId="7E00315F" w14:textId="77777777" w:rsidR="009A58DB" w:rsidRDefault="00000000">
      <w:pPr>
        <w:spacing w:before="14" w:line="254" w:lineRule="auto"/>
        <w:ind w:left="360" w:right="794"/>
        <w:rPr>
          <w:sz w:val="30"/>
        </w:rPr>
      </w:pPr>
      <w:bookmarkStart w:id="945" w:name="_bookmark945"/>
      <w:bookmarkEnd w:id="945"/>
      <w:r>
        <w:rPr>
          <w:color w:val="0562C1"/>
          <w:position w:val="19"/>
          <w:sz w:val="30"/>
          <w:u w:val="single" w:color="0562C1"/>
        </w:rPr>
        <w:t>[272]</w:t>
      </w:r>
      <w:r>
        <w:rPr>
          <w:sz w:val="30"/>
        </w:rPr>
        <w:t>.</w:t>
      </w:r>
      <w:r>
        <w:rPr>
          <w:spacing w:val="-5"/>
          <w:sz w:val="30"/>
        </w:rPr>
        <w:t xml:space="preserve"> </w:t>
      </w:r>
      <w:r>
        <w:rPr>
          <w:sz w:val="30"/>
        </w:rPr>
        <w:t>See</w:t>
      </w:r>
      <w:r>
        <w:rPr>
          <w:spacing w:val="-6"/>
          <w:sz w:val="30"/>
        </w:rPr>
        <w:t xml:space="preserve"> </w:t>
      </w:r>
      <w:r>
        <w:rPr>
          <w:sz w:val="30"/>
        </w:rPr>
        <w:t>his</w:t>
      </w:r>
      <w:r>
        <w:rPr>
          <w:spacing w:val="-5"/>
          <w:sz w:val="30"/>
        </w:rPr>
        <w:t xml:space="preserve"> </w:t>
      </w:r>
      <w:r>
        <w:rPr>
          <w:i/>
          <w:sz w:val="30"/>
        </w:rPr>
        <w:t>Essay</w:t>
      </w:r>
      <w:r>
        <w:rPr>
          <w:i/>
          <w:spacing w:val="-6"/>
          <w:sz w:val="30"/>
        </w:rPr>
        <w:t xml:space="preserve"> </w:t>
      </w:r>
      <w:r>
        <w:rPr>
          <w:i/>
          <w:sz w:val="30"/>
        </w:rPr>
        <w:t>Concerning</w:t>
      </w:r>
      <w:r>
        <w:rPr>
          <w:i/>
          <w:spacing w:val="-5"/>
          <w:sz w:val="30"/>
        </w:rPr>
        <w:t xml:space="preserve"> </w:t>
      </w:r>
      <w:r>
        <w:rPr>
          <w:i/>
          <w:sz w:val="30"/>
        </w:rPr>
        <w:t>Human</w:t>
      </w:r>
      <w:r>
        <w:rPr>
          <w:i/>
          <w:spacing w:val="-5"/>
          <w:sz w:val="30"/>
        </w:rPr>
        <w:t xml:space="preserve"> </w:t>
      </w:r>
      <w:r>
        <w:rPr>
          <w:i/>
          <w:sz w:val="30"/>
        </w:rPr>
        <w:t>Understanding,</w:t>
      </w:r>
      <w:r>
        <w:rPr>
          <w:i/>
          <w:spacing w:val="-5"/>
          <w:sz w:val="30"/>
        </w:rPr>
        <w:t xml:space="preserve"> </w:t>
      </w:r>
      <w:r>
        <w:rPr>
          <w:sz w:val="30"/>
        </w:rPr>
        <w:t>Chapter</w:t>
      </w:r>
      <w:r>
        <w:rPr>
          <w:spacing w:val="-6"/>
          <w:sz w:val="30"/>
        </w:rPr>
        <w:t xml:space="preserve"> </w:t>
      </w:r>
      <w:r>
        <w:rPr>
          <w:sz w:val="30"/>
        </w:rPr>
        <w:t xml:space="preserve">XXI. </w:t>
      </w:r>
      <w:bookmarkStart w:id="946" w:name="_bookmark946"/>
      <w:bookmarkEnd w:id="946"/>
      <w:r>
        <w:rPr>
          <w:color w:val="0562C1"/>
          <w:position w:val="19"/>
          <w:sz w:val="30"/>
          <w:u w:val="single" w:color="0562C1"/>
        </w:rPr>
        <w:t>[273]</w:t>
      </w:r>
      <w:r>
        <w:rPr>
          <w:sz w:val="30"/>
        </w:rPr>
        <w:t>. See Frankfurt (1988).</w:t>
      </w:r>
    </w:p>
    <w:p w14:paraId="7E003160" w14:textId="77777777" w:rsidR="009A58DB" w:rsidRDefault="00000000">
      <w:pPr>
        <w:pStyle w:val="BodyText"/>
        <w:spacing w:line="534" w:lineRule="exact"/>
        <w:jc w:val="left"/>
      </w:pPr>
      <w:bookmarkStart w:id="947" w:name="_bookmark947"/>
      <w:bookmarkEnd w:id="947"/>
      <w:r>
        <w:rPr>
          <w:color w:val="0562C1"/>
          <w:position w:val="19"/>
          <w:u w:val="single" w:color="0562C1"/>
        </w:rPr>
        <w:t>[274]</w:t>
      </w:r>
      <w:r>
        <w:t>.</w:t>
      </w:r>
      <w:r>
        <w:rPr>
          <w:spacing w:val="-3"/>
        </w:rPr>
        <w:t xml:space="preserve"> </w:t>
      </w:r>
      <w:r>
        <w:t>“SM”</w:t>
      </w:r>
      <w:r>
        <w:rPr>
          <w:spacing w:val="-4"/>
        </w:rPr>
        <w:t xml:space="preserve"> </w:t>
      </w:r>
      <w:r>
        <w:t>stands</w:t>
      </w:r>
      <w:r>
        <w:rPr>
          <w:spacing w:val="-4"/>
        </w:rPr>
        <w:t xml:space="preserve"> </w:t>
      </w:r>
      <w:r>
        <w:t>for</w:t>
      </w:r>
      <w:r>
        <w:rPr>
          <w:spacing w:val="-4"/>
        </w:rPr>
        <w:t xml:space="preserve"> </w:t>
      </w:r>
      <w:r>
        <w:t>“Smith</w:t>
      </w:r>
      <w:r>
        <w:rPr>
          <w:spacing w:val="-2"/>
        </w:rPr>
        <w:t xml:space="preserve"> microchip.”</w:t>
      </w:r>
    </w:p>
    <w:p w14:paraId="7E003161" w14:textId="77777777" w:rsidR="009A58DB" w:rsidRDefault="00000000">
      <w:pPr>
        <w:pStyle w:val="BodyText"/>
        <w:spacing w:before="20"/>
        <w:jc w:val="left"/>
      </w:pPr>
      <w:bookmarkStart w:id="948" w:name="_bookmark948"/>
      <w:bookmarkEnd w:id="948"/>
      <w:r>
        <w:rPr>
          <w:color w:val="0562C1"/>
          <w:position w:val="19"/>
          <w:u w:val="single" w:color="0562C1"/>
        </w:rPr>
        <w:t>[275]</w:t>
      </w:r>
      <w:r>
        <w:t>.</w:t>
      </w:r>
      <w:r>
        <w:rPr>
          <w:spacing w:val="-5"/>
        </w:rPr>
        <w:t xml:space="preserve"> </w:t>
      </w:r>
      <w:r>
        <w:t>This</w:t>
      </w:r>
      <w:r>
        <w:rPr>
          <w:spacing w:val="-4"/>
        </w:rPr>
        <w:t xml:space="preserve"> </w:t>
      </w:r>
      <w:r>
        <w:t>is</w:t>
      </w:r>
      <w:r>
        <w:rPr>
          <w:spacing w:val="-4"/>
        </w:rPr>
        <w:t xml:space="preserve"> </w:t>
      </w:r>
      <w:r>
        <w:t>thoroughly</w:t>
      </w:r>
      <w:r>
        <w:rPr>
          <w:spacing w:val="-2"/>
        </w:rPr>
        <w:t xml:space="preserve"> </w:t>
      </w:r>
      <w:r>
        <w:t>discussed</w:t>
      </w:r>
      <w:r>
        <w:rPr>
          <w:spacing w:val="-3"/>
        </w:rPr>
        <w:t xml:space="preserve"> </w:t>
      </w:r>
      <w:r>
        <w:t>in</w:t>
      </w:r>
      <w:r>
        <w:rPr>
          <w:spacing w:val="-3"/>
        </w:rPr>
        <w:t xml:space="preserve"> </w:t>
      </w:r>
      <w:r>
        <w:t>Chapter</w:t>
      </w:r>
      <w:r>
        <w:rPr>
          <w:spacing w:val="-3"/>
        </w:rPr>
        <w:t xml:space="preserve"> </w:t>
      </w:r>
      <w:r>
        <w:rPr>
          <w:spacing w:val="-5"/>
        </w:rPr>
        <w:t>17.</w:t>
      </w:r>
    </w:p>
    <w:p w14:paraId="7E003162" w14:textId="77777777" w:rsidR="009A58DB" w:rsidRDefault="00000000">
      <w:pPr>
        <w:pStyle w:val="BodyText"/>
        <w:spacing w:before="20" w:line="249" w:lineRule="auto"/>
        <w:jc w:val="left"/>
      </w:pPr>
      <w:bookmarkStart w:id="949" w:name="_bookmark949"/>
      <w:bookmarkEnd w:id="949"/>
      <w:r>
        <w:rPr>
          <w:color w:val="0562C1"/>
          <w:position w:val="19"/>
          <w:u w:val="single" w:color="0562C1"/>
        </w:rPr>
        <w:t>[276]</w:t>
      </w:r>
      <w:r>
        <w:t>.</w:t>
      </w:r>
      <w:r>
        <w:rPr>
          <w:spacing w:val="80"/>
        </w:rPr>
        <w:t xml:space="preserve"> </w:t>
      </w:r>
      <w:r>
        <w:t>“PAP”</w:t>
      </w:r>
      <w:r>
        <w:rPr>
          <w:spacing w:val="80"/>
        </w:rPr>
        <w:t xml:space="preserve"> </w:t>
      </w:r>
      <w:r>
        <w:t>stands</w:t>
      </w:r>
      <w:r>
        <w:rPr>
          <w:spacing w:val="80"/>
        </w:rPr>
        <w:t xml:space="preserve"> </w:t>
      </w:r>
      <w:r>
        <w:t>for</w:t>
      </w:r>
      <w:r>
        <w:rPr>
          <w:spacing w:val="80"/>
        </w:rPr>
        <w:t xml:space="preserve"> </w:t>
      </w:r>
      <w:r>
        <w:t>“principle</w:t>
      </w:r>
      <w:r>
        <w:rPr>
          <w:spacing w:val="80"/>
        </w:rPr>
        <w:t xml:space="preserve"> </w:t>
      </w:r>
      <w:r>
        <w:t>of</w:t>
      </w:r>
      <w:r>
        <w:rPr>
          <w:spacing w:val="80"/>
        </w:rPr>
        <w:t xml:space="preserve"> </w:t>
      </w:r>
      <w:r>
        <w:t>alternate</w:t>
      </w:r>
      <w:r>
        <w:rPr>
          <w:spacing w:val="80"/>
        </w:rPr>
        <w:t xml:space="preserve"> </w:t>
      </w:r>
      <w:r>
        <w:t>possibilities.”</w:t>
      </w:r>
      <w:r>
        <w:rPr>
          <w:spacing w:val="80"/>
        </w:rPr>
        <w:t xml:space="preserve"> </w:t>
      </w:r>
      <w:r>
        <w:t>Frankfurt coined this term.</w:t>
      </w:r>
    </w:p>
    <w:p w14:paraId="7E003163" w14:textId="77777777" w:rsidR="009A58DB" w:rsidRDefault="00000000">
      <w:pPr>
        <w:pStyle w:val="BodyText"/>
        <w:spacing w:before="7" w:line="249" w:lineRule="auto"/>
        <w:ind w:left="720" w:right="364" w:hanging="360"/>
      </w:pPr>
      <w:bookmarkStart w:id="950" w:name="_bookmark950"/>
      <w:bookmarkEnd w:id="950"/>
      <w:r>
        <w:rPr>
          <w:color w:val="0562C1"/>
          <w:position w:val="19"/>
          <w:u w:val="single" w:color="0562C1"/>
        </w:rPr>
        <w:t>[277]</w:t>
      </w:r>
      <w:r>
        <w:t>. There are exceptions to this. For example, counter</w:t>
      </w:r>
      <w:r>
        <w:rPr>
          <w:i/>
        </w:rPr>
        <w:t xml:space="preserve">logicals </w:t>
      </w:r>
      <w:r>
        <w:t>aren’t</w:t>
      </w:r>
      <w:r>
        <w:rPr>
          <w:spacing w:val="40"/>
        </w:rPr>
        <w:t xml:space="preserve"> </w:t>
      </w:r>
      <w:r>
        <w:t>causal claims. An example of a counter-logical would be:</w:t>
      </w:r>
    </w:p>
    <w:p w14:paraId="7E003164" w14:textId="77777777" w:rsidR="009A58DB" w:rsidRDefault="00000000">
      <w:pPr>
        <w:pStyle w:val="BodyText"/>
        <w:spacing w:before="3"/>
        <w:ind w:left="720"/>
        <w:jc w:val="left"/>
      </w:pPr>
      <w:r>
        <w:t>(*)</w:t>
      </w:r>
      <w:r>
        <w:rPr>
          <w:spacing w:val="-5"/>
        </w:rPr>
        <w:t xml:space="preserve"> </w:t>
      </w:r>
      <w:r>
        <w:t>“if</w:t>
      </w:r>
      <w:r>
        <w:rPr>
          <w:spacing w:val="-3"/>
        </w:rPr>
        <w:t xml:space="preserve"> </w:t>
      </w:r>
      <w:r>
        <w:t>that</w:t>
      </w:r>
      <w:r>
        <w:rPr>
          <w:spacing w:val="-3"/>
        </w:rPr>
        <w:t xml:space="preserve"> </w:t>
      </w:r>
      <w:r>
        <w:t>thing</w:t>
      </w:r>
      <w:r>
        <w:rPr>
          <w:spacing w:val="-2"/>
        </w:rPr>
        <w:t xml:space="preserve"> </w:t>
      </w:r>
      <w:r>
        <w:t>were</w:t>
      </w:r>
      <w:r>
        <w:rPr>
          <w:spacing w:val="-3"/>
        </w:rPr>
        <w:t xml:space="preserve"> </w:t>
      </w:r>
      <w:r>
        <w:t>a</w:t>
      </w:r>
      <w:r>
        <w:rPr>
          <w:spacing w:val="-2"/>
        </w:rPr>
        <w:t xml:space="preserve"> </w:t>
      </w:r>
      <w:r>
        <w:t>pentagon,</w:t>
      </w:r>
      <w:r>
        <w:rPr>
          <w:spacing w:val="-2"/>
        </w:rPr>
        <w:t xml:space="preserve"> </w:t>
      </w:r>
      <w:r>
        <w:t>it</w:t>
      </w:r>
      <w:r>
        <w:rPr>
          <w:spacing w:val="-3"/>
        </w:rPr>
        <w:t xml:space="preserve"> </w:t>
      </w:r>
      <w:r>
        <w:t>would</w:t>
      </w:r>
      <w:r>
        <w:rPr>
          <w:spacing w:val="-2"/>
        </w:rPr>
        <w:t xml:space="preserve"> </w:t>
      </w:r>
      <w:r>
        <w:t>have</w:t>
      </w:r>
      <w:r>
        <w:rPr>
          <w:spacing w:val="-3"/>
        </w:rPr>
        <w:t xml:space="preserve"> </w:t>
      </w:r>
      <w:r>
        <w:t>five</w:t>
      </w:r>
      <w:r>
        <w:rPr>
          <w:spacing w:val="-3"/>
        </w:rPr>
        <w:t xml:space="preserve"> </w:t>
      </w:r>
      <w:r>
        <w:t>sides</w:t>
      </w:r>
      <w:r>
        <w:rPr>
          <w:spacing w:val="-2"/>
        </w:rPr>
        <w:t xml:space="preserve"> instead.”</w:t>
      </w:r>
    </w:p>
    <w:p w14:paraId="7E003165" w14:textId="77777777" w:rsidR="009A58DB" w:rsidRDefault="00000000">
      <w:pPr>
        <w:pStyle w:val="BodyText"/>
        <w:spacing w:before="15" w:line="249" w:lineRule="auto"/>
        <w:ind w:left="720" w:right="364"/>
        <w:jc w:val="left"/>
      </w:pPr>
      <w:r>
        <w:t>(*) obviously isn’t a causal claim. (*)’s meaning parallels (JFK)’s. Neither says anything about other worlds.</w:t>
      </w:r>
    </w:p>
    <w:p w14:paraId="7E003166" w14:textId="77777777" w:rsidR="009A58DB" w:rsidRDefault="00000000">
      <w:pPr>
        <w:pStyle w:val="BodyText"/>
        <w:spacing w:before="2" w:line="254" w:lineRule="auto"/>
        <w:ind w:right="1108" w:firstLine="360"/>
        <w:jc w:val="left"/>
      </w:pPr>
      <w:r>
        <w:t>Each</w:t>
      </w:r>
      <w:r>
        <w:rPr>
          <w:spacing w:val="-4"/>
        </w:rPr>
        <w:t xml:space="preserve"> </w:t>
      </w:r>
      <w:r>
        <w:t>merely</w:t>
      </w:r>
      <w:r>
        <w:rPr>
          <w:spacing w:val="-4"/>
        </w:rPr>
        <w:t xml:space="preserve"> </w:t>
      </w:r>
      <w:r>
        <w:t>registers</w:t>
      </w:r>
      <w:r>
        <w:rPr>
          <w:spacing w:val="-5"/>
        </w:rPr>
        <w:t xml:space="preserve"> </w:t>
      </w:r>
      <w:r>
        <w:t>some</w:t>
      </w:r>
      <w:r>
        <w:rPr>
          <w:spacing w:val="-5"/>
        </w:rPr>
        <w:t xml:space="preserve"> </w:t>
      </w:r>
      <w:r>
        <w:t>dependency</w:t>
      </w:r>
      <w:r>
        <w:rPr>
          <w:spacing w:val="-4"/>
        </w:rPr>
        <w:t xml:space="preserve"> </w:t>
      </w:r>
      <w:r>
        <w:t>that</w:t>
      </w:r>
      <w:r>
        <w:rPr>
          <w:spacing w:val="-5"/>
        </w:rPr>
        <w:t xml:space="preserve"> </w:t>
      </w:r>
      <w:r>
        <w:t>holds</w:t>
      </w:r>
      <w:r>
        <w:rPr>
          <w:spacing w:val="-5"/>
        </w:rPr>
        <w:t xml:space="preserve"> </w:t>
      </w:r>
      <w:r>
        <w:t>in</w:t>
      </w:r>
      <w:r>
        <w:rPr>
          <w:spacing w:val="-4"/>
        </w:rPr>
        <w:t xml:space="preserve"> </w:t>
      </w:r>
      <w:r>
        <w:t>this</w:t>
      </w:r>
      <w:r>
        <w:rPr>
          <w:spacing w:val="-5"/>
        </w:rPr>
        <w:t xml:space="preserve"> </w:t>
      </w:r>
      <w:r>
        <w:t xml:space="preserve">world. </w:t>
      </w:r>
      <w:bookmarkStart w:id="951" w:name="_bookmark951"/>
      <w:bookmarkEnd w:id="951"/>
      <w:r>
        <w:rPr>
          <w:color w:val="0562C1"/>
          <w:position w:val="19"/>
          <w:u w:val="single" w:color="0562C1"/>
        </w:rPr>
        <w:t>[278]</w:t>
      </w:r>
      <w:r>
        <w:t>. “FA” is short for “free act.”</w:t>
      </w:r>
    </w:p>
    <w:p w14:paraId="7E003167" w14:textId="77777777" w:rsidR="009A58DB" w:rsidRDefault="00000000">
      <w:pPr>
        <w:pStyle w:val="BodyText"/>
        <w:spacing w:line="534" w:lineRule="exact"/>
        <w:jc w:val="left"/>
      </w:pPr>
      <w:bookmarkStart w:id="952" w:name="_bookmark952"/>
      <w:bookmarkEnd w:id="952"/>
      <w:r>
        <w:rPr>
          <w:color w:val="0562C1"/>
          <w:position w:val="19"/>
          <w:u w:val="single" w:color="0562C1"/>
        </w:rPr>
        <w:t>[279]</w:t>
      </w:r>
      <w:r>
        <w:t>.</w:t>
      </w:r>
      <w:r>
        <w:rPr>
          <w:spacing w:val="-3"/>
        </w:rPr>
        <w:t xml:space="preserve"> </w:t>
      </w:r>
      <w:r>
        <w:t>See</w:t>
      </w:r>
      <w:r>
        <w:rPr>
          <w:spacing w:val="-4"/>
        </w:rPr>
        <w:t xml:space="preserve"> </w:t>
      </w:r>
      <w:r>
        <w:t>Frankfurt</w:t>
      </w:r>
      <w:r>
        <w:rPr>
          <w:spacing w:val="-4"/>
        </w:rPr>
        <w:t xml:space="preserve"> </w:t>
      </w:r>
      <w:r>
        <w:t>(1988,</w:t>
      </w:r>
      <w:r>
        <w:rPr>
          <w:spacing w:val="-3"/>
        </w:rPr>
        <w:t xml:space="preserve"> </w:t>
      </w:r>
      <w:r>
        <w:t>Chapter</w:t>
      </w:r>
      <w:r>
        <w:rPr>
          <w:spacing w:val="-3"/>
        </w:rPr>
        <w:t xml:space="preserve"> </w:t>
      </w:r>
      <w:r>
        <w:rPr>
          <w:spacing w:val="-5"/>
        </w:rPr>
        <w:t>2).</w:t>
      </w:r>
    </w:p>
    <w:p w14:paraId="7E003168" w14:textId="77777777" w:rsidR="009A58DB" w:rsidRDefault="009A58DB">
      <w:pPr>
        <w:pStyle w:val="BodyText"/>
        <w:spacing w:line="534" w:lineRule="exact"/>
        <w:jc w:val="left"/>
        <w:sectPr w:rsidR="009A58DB">
          <w:pgSz w:w="12240" w:h="15840"/>
          <w:pgMar w:top="1380" w:right="1080" w:bottom="280" w:left="1080" w:header="720" w:footer="720" w:gutter="0"/>
          <w:cols w:space="720"/>
        </w:sectPr>
      </w:pPr>
    </w:p>
    <w:p w14:paraId="7E003169" w14:textId="77777777" w:rsidR="009A58DB" w:rsidRDefault="00000000">
      <w:pPr>
        <w:pStyle w:val="BodyText"/>
        <w:spacing w:before="70" w:line="249" w:lineRule="auto"/>
        <w:ind w:left="720" w:right="358" w:hanging="360"/>
      </w:pPr>
      <w:bookmarkStart w:id="953" w:name="_bookmark953"/>
      <w:bookmarkEnd w:id="953"/>
      <w:r>
        <w:rPr>
          <w:color w:val="0562C1"/>
          <w:position w:val="19"/>
          <w:u w:val="single" w:color="0562C1"/>
        </w:rPr>
        <w:t>[280]</w:t>
      </w:r>
      <w:r>
        <w:t>. Frankfurt’s analysis of freedom corresponds very closely to the conception of freedom underlying the work of Freud and other thinkers in the</w:t>
      </w:r>
      <w:r>
        <w:rPr>
          <w:spacing w:val="-2"/>
        </w:rPr>
        <w:t xml:space="preserve"> </w:t>
      </w:r>
      <w:r>
        <w:t>psychoanalytic</w:t>
      </w:r>
      <w:r>
        <w:rPr>
          <w:spacing w:val="-1"/>
        </w:rPr>
        <w:t xml:space="preserve"> </w:t>
      </w:r>
      <w:r>
        <w:t>tradition.</w:t>
      </w:r>
      <w:r>
        <w:rPr>
          <w:spacing w:val="-1"/>
        </w:rPr>
        <w:t xml:space="preserve"> </w:t>
      </w:r>
      <w:r>
        <w:t>But</w:t>
      </w:r>
      <w:r>
        <w:rPr>
          <w:spacing w:val="-2"/>
        </w:rPr>
        <w:t xml:space="preserve"> </w:t>
      </w:r>
      <w:r>
        <w:t>Frankfurt</w:t>
      </w:r>
      <w:r>
        <w:rPr>
          <w:spacing w:val="-2"/>
        </w:rPr>
        <w:t xml:space="preserve"> </w:t>
      </w:r>
      <w:r>
        <w:t>was,</w:t>
      </w:r>
      <w:r>
        <w:rPr>
          <w:spacing w:val="-2"/>
        </w:rPr>
        <w:t xml:space="preserve"> </w:t>
      </w:r>
      <w:r>
        <w:t>to</w:t>
      </w:r>
      <w:r>
        <w:rPr>
          <w:spacing w:val="-1"/>
        </w:rPr>
        <w:t xml:space="preserve"> </w:t>
      </w:r>
      <w:r>
        <w:t>my</w:t>
      </w:r>
      <w:r>
        <w:rPr>
          <w:spacing w:val="-1"/>
        </w:rPr>
        <w:t xml:space="preserve"> </w:t>
      </w:r>
      <w:r>
        <w:t>knowledge,</w:t>
      </w:r>
      <w:r>
        <w:rPr>
          <w:spacing w:val="-1"/>
        </w:rPr>
        <w:t xml:space="preserve"> </w:t>
      </w:r>
      <w:r>
        <w:t>the</w:t>
      </w:r>
      <w:r>
        <w:rPr>
          <w:spacing w:val="-1"/>
        </w:rPr>
        <w:t xml:space="preserve"> </w:t>
      </w:r>
      <w:r>
        <w:t>first person to articulate this conception of freedom, and he was the first to defend it in a systematic and rigorous manner.</w:t>
      </w:r>
    </w:p>
    <w:p w14:paraId="7E00316A" w14:textId="77777777" w:rsidR="009A58DB" w:rsidRDefault="00000000">
      <w:pPr>
        <w:pStyle w:val="BodyText"/>
        <w:spacing w:before="11" w:line="254" w:lineRule="auto"/>
        <w:jc w:val="left"/>
      </w:pPr>
      <w:bookmarkStart w:id="954" w:name="_bookmark954"/>
      <w:bookmarkEnd w:id="954"/>
      <w:r>
        <w:rPr>
          <w:color w:val="0562C1"/>
          <w:position w:val="19"/>
          <w:u w:val="single" w:color="0562C1"/>
        </w:rPr>
        <w:t>[281]</w:t>
      </w:r>
      <w:r>
        <w:t xml:space="preserve">. “FD” can be thought of as short for “freedom to do what one wants.” </w:t>
      </w:r>
      <w:bookmarkStart w:id="955" w:name="_bookmark955"/>
      <w:bookmarkEnd w:id="955"/>
      <w:r>
        <w:rPr>
          <w:color w:val="0562C1"/>
          <w:position w:val="19"/>
          <w:u w:val="single" w:color="0562C1"/>
        </w:rPr>
        <w:t>[282]</w:t>
      </w:r>
      <w:r>
        <w:t>. Addiction doesn’t obliterate a person’s personality; it only temporarily</w:t>
      </w:r>
    </w:p>
    <w:p w14:paraId="7E00316B" w14:textId="77777777" w:rsidR="009A58DB" w:rsidRDefault="00000000">
      <w:pPr>
        <w:pStyle w:val="BodyText"/>
        <w:spacing w:line="249" w:lineRule="auto"/>
        <w:ind w:left="720" w:right="362"/>
      </w:pPr>
      <w:r>
        <w:t>obscures it. The addiction may lead to some character remodeling. But, in most cases, the person is still there, even at the height of the addiction, granting that it may be well-hidden at that point.</w:t>
      </w:r>
    </w:p>
    <w:p w14:paraId="7E00316C" w14:textId="77777777" w:rsidR="009A58DB" w:rsidRDefault="00000000">
      <w:pPr>
        <w:pStyle w:val="BodyText"/>
        <w:spacing w:before="2" w:line="254" w:lineRule="auto"/>
        <w:ind w:right="3292"/>
        <w:jc w:val="left"/>
      </w:pPr>
      <w:bookmarkStart w:id="956" w:name="_bookmark956"/>
      <w:bookmarkEnd w:id="956"/>
      <w:r>
        <w:rPr>
          <w:color w:val="0562C1"/>
          <w:position w:val="19"/>
          <w:u w:val="single" w:color="0562C1"/>
        </w:rPr>
        <w:t>[283]</w:t>
      </w:r>
      <w:r>
        <w:t>.</w:t>
      </w:r>
      <w:r>
        <w:rPr>
          <w:spacing w:val="-7"/>
        </w:rPr>
        <w:t xml:space="preserve"> </w:t>
      </w:r>
      <w:r>
        <w:t>“SMP”</w:t>
      </w:r>
      <w:r>
        <w:rPr>
          <w:spacing w:val="-7"/>
        </w:rPr>
        <w:t xml:space="preserve"> </w:t>
      </w:r>
      <w:r>
        <w:t>is</w:t>
      </w:r>
      <w:r>
        <w:rPr>
          <w:spacing w:val="-7"/>
        </w:rPr>
        <w:t xml:space="preserve"> </w:t>
      </w:r>
      <w:r>
        <w:t>short</w:t>
      </w:r>
      <w:r>
        <w:rPr>
          <w:spacing w:val="-7"/>
        </w:rPr>
        <w:t xml:space="preserve"> </w:t>
      </w:r>
      <w:r>
        <w:t>for</w:t>
      </w:r>
      <w:r>
        <w:rPr>
          <w:spacing w:val="-7"/>
        </w:rPr>
        <w:t xml:space="preserve"> </w:t>
      </w:r>
      <w:r>
        <w:t>“Sartre,</w:t>
      </w:r>
      <w:r>
        <w:rPr>
          <w:spacing w:val="-7"/>
        </w:rPr>
        <w:t xml:space="preserve"> </w:t>
      </w:r>
      <w:r>
        <w:t xml:space="preserve">Merleau-Ponty.” </w:t>
      </w:r>
      <w:bookmarkStart w:id="957" w:name="_bookmark957"/>
      <w:bookmarkEnd w:id="957"/>
      <w:r>
        <w:rPr>
          <w:color w:val="0562C1"/>
          <w:position w:val="19"/>
          <w:u w:val="single" w:color="0562C1"/>
        </w:rPr>
        <w:t>[284]</w:t>
      </w:r>
      <w:r>
        <w:t>. See Solomon (460–173).</w:t>
      </w:r>
    </w:p>
    <w:p w14:paraId="7E00316D" w14:textId="77777777" w:rsidR="009A58DB" w:rsidRDefault="00000000">
      <w:pPr>
        <w:pStyle w:val="BodyText"/>
        <w:spacing w:line="249" w:lineRule="auto"/>
        <w:ind w:left="720" w:right="368" w:hanging="360"/>
      </w:pPr>
      <w:bookmarkStart w:id="958" w:name="_bookmark958"/>
      <w:bookmarkEnd w:id="958"/>
      <w:r>
        <w:rPr>
          <w:color w:val="0562C1"/>
          <w:position w:val="19"/>
          <w:u w:val="single" w:color="0562C1"/>
        </w:rPr>
        <w:t>[285]</w:t>
      </w:r>
      <w:r>
        <w:t>. Cf. Merleau-Ponty (Solomon 467): “It is inconceivable that we should be free in certain actions and determined in others... [In connection with the will] we ought, therefore, to reject not only the idea of causality, but also that of motivation.”</w:t>
      </w:r>
    </w:p>
    <w:p w14:paraId="7E00316E" w14:textId="77777777" w:rsidR="009A58DB" w:rsidRDefault="00000000">
      <w:pPr>
        <w:pStyle w:val="BodyText"/>
        <w:spacing w:before="9" w:line="249" w:lineRule="auto"/>
        <w:ind w:right="365"/>
      </w:pPr>
      <w:bookmarkStart w:id="959" w:name="_bookmark959"/>
      <w:bookmarkEnd w:id="959"/>
      <w:r>
        <w:rPr>
          <w:color w:val="0562C1"/>
          <w:position w:val="19"/>
          <w:u w:val="single" w:color="0562C1"/>
        </w:rPr>
        <w:t>[286]</w:t>
      </w:r>
      <w:r>
        <w:t>. Freud, Stekel, and other early psychoanalysts referred to OCD as “obsessional neurosis.”</w:t>
      </w:r>
    </w:p>
    <w:p w14:paraId="7E00316F" w14:textId="77777777" w:rsidR="009A58DB" w:rsidRDefault="00000000">
      <w:pPr>
        <w:pStyle w:val="BodyText"/>
        <w:spacing w:before="7"/>
        <w:jc w:val="left"/>
      </w:pPr>
      <w:bookmarkStart w:id="960" w:name="_bookmark960"/>
      <w:bookmarkEnd w:id="960"/>
      <w:r>
        <w:rPr>
          <w:color w:val="0562C1"/>
          <w:position w:val="19"/>
          <w:u w:val="single" w:color="0562C1"/>
        </w:rPr>
        <w:t>[287]</w:t>
      </w:r>
      <w:r>
        <w:t>.</w:t>
      </w:r>
      <w:r>
        <w:rPr>
          <w:spacing w:val="-3"/>
        </w:rPr>
        <w:t xml:space="preserve"> </w:t>
      </w:r>
      <w:r>
        <w:t>See</w:t>
      </w:r>
      <w:r>
        <w:rPr>
          <w:spacing w:val="-3"/>
        </w:rPr>
        <w:t xml:space="preserve"> </w:t>
      </w:r>
      <w:r>
        <w:t>Davies</w:t>
      </w:r>
      <w:r>
        <w:rPr>
          <w:spacing w:val="-3"/>
        </w:rPr>
        <w:t xml:space="preserve"> </w:t>
      </w:r>
      <w:r>
        <w:t>(2001,</w:t>
      </w:r>
      <w:r>
        <w:rPr>
          <w:spacing w:val="-2"/>
        </w:rPr>
        <w:t xml:space="preserve"> 2001b).</w:t>
      </w:r>
    </w:p>
    <w:p w14:paraId="7E003170" w14:textId="77777777" w:rsidR="009A58DB" w:rsidRDefault="00000000">
      <w:pPr>
        <w:pStyle w:val="BodyText"/>
        <w:spacing w:before="20" w:line="249" w:lineRule="auto"/>
        <w:ind w:left="720" w:right="359" w:hanging="360"/>
      </w:pPr>
      <w:bookmarkStart w:id="961" w:name="_bookmark961"/>
      <w:bookmarkEnd w:id="961"/>
      <w:r>
        <w:rPr>
          <w:color w:val="0562C1"/>
          <w:position w:val="19"/>
          <w:u w:val="single" w:color="0562C1"/>
        </w:rPr>
        <w:t>[288]</w:t>
      </w:r>
      <w:r>
        <w:t>. A colleague of mine (who wishes to remain anonymous) told me that sickle cell anemia is adaptive in some respects. My claim that physical ailments aren’t adaptive must obviously be qualified. Many ailments involve over-active immune systems and can be beneficial (in certain respects, at certain junctures).</w:t>
      </w:r>
    </w:p>
    <w:p w14:paraId="7E003171" w14:textId="77777777" w:rsidR="009A58DB" w:rsidRDefault="00000000">
      <w:pPr>
        <w:pStyle w:val="BodyText"/>
        <w:spacing w:before="11" w:line="249" w:lineRule="auto"/>
        <w:ind w:left="720" w:right="358" w:hanging="360"/>
      </w:pPr>
      <w:bookmarkStart w:id="962" w:name="_bookmark962"/>
      <w:bookmarkEnd w:id="962"/>
      <w:r>
        <w:rPr>
          <w:color w:val="0562C1"/>
          <w:position w:val="19"/>
          <w:u w:val="single" w:color="0562C1"/>
        </w:rPr>
        <w:t>[289]</w:t>
      </w:r>
      <w:r>
        <w:rPr>
          <w:color w:val="0562C1"/>
          <w:spacing w:val="80"/>
          <w:position w:val="19"/>
        </w:rPr>
        <w:t xml:space="preserve"> </w:t>
      </w:r>
      <w:r>
        <w:t>This</w:t>
      </w:r>
      <w:r>
        <w:rPr>
          <w:spacing w:val="-3"/>
        </w:rPr>
        <w:t xml:space="preserve"> </w:t>
      </w:r>
      <w:r>
        <w:t>must</w:t>
      </w:r>
      <w:r>
        <w:rPr>
          <w:spacing w:val="-3"/>
        </w:rPr>
        <w:t xml:space="preserve"> </w:t>
      </w:r>
      <w:r>
        <w:t>be</w:t>
      </w:r>
      <w:r>
        <w:rPr>
          <w:spacing w:val="-3"/>
        </w:rPr>
        <w:t xml:space="preserve"> </w:t>
      </w:r>
      <w:r>
        <w:t>qualified.</w:t>
      </w:r>
      <w:r>
        <w:rPr>
          <w:spacing w:val="-2"/>
        </w:rPr>
        <w:t xml:space="preserve"> </w:t>
      </w:r>
      <w:r>
        <w:t>It’s</w:t>
      </w:r>
      <w:r>
        <w:rPr>
          <w:spacing w:val="-3"/>
        </w:rPr>
        <w:t xml:space="preserve"> </w:t>
      </w:r>
      <w:r>
        <w:t>usually</w:t>
      </w:r>
      <w:r>
        <w:rPr>
          <w:spacing w:val="-2"/>
        </w:rPr>
        <w:t xml:space="preserve"> </w:t>
      </w:r>
      <w:r>
        <w:t>not</w:t>
      </w:r>
      <w:r>
        <w:rPr>
          <w:spacing w:val="-3"/>
        </w:rPr>
        <w:t xml:space="preserve"> </w:t>
      </w:r>
      <w:r>
        <w:t>a</w:t>
      </w:r>
      <w:r>
        <w:rPr>
          <w:spacing w:val="-3"/>
        </w:rPr>
        <w:t xml:space="preserve"> </w:t>
      </w:r>
      <w:r>
        <w:t>good</w:t>
      </w:r>
      <w:r>
        <w:rPr>
          <w:spacing w:val="-2"/>
        </w:rPr>
        <w:t xml:space="preserve"> </w:t>
      </w:r>
      <w:r>
        <w:t>idea</w:t>
      </w:r>
      <w:r>
        <w:rPr>
          <w:spacing w:val="-3"/>
        </w:rPr>
        <w:t xml:space="preserve"> </w:t>
      </w:r>
      <w:r>
        <w:t>to</w:t>
      </w:r>
      <w:r>
        <w:rPr>
          <w:spacing w:val="-2"/>
        </w:rPr>
        <w:t xml:space="preserve"> </w:t>
      </w:r>
      <w:r>
        <w:t>look</w:t>
      </w:r>
      <w:r>
        <w:rPr>
          <w:spacing w:val="-3"/>
        </w:rPr>
        <w:t xml:space="preserve"> </w:t>
      </w:r>
      <w:r>
        <w:rPr>
          <w:i/>
        </w:rPr>
        <w:t>primarily</w:t>
      </w:r>
      <w:r>
        <w:rPr>
          <w:i/>
          <w:spacing w:val="-2"/>
        </w:rPr>
        <w:t xml:space="preserve"> </w:t>
      </w:r>
      <w:r>
        <w:t>to legal principles for answers to philosophical questions. But a knowledge</w:t>
      </w:r>
      <w:r>
        <w:rPr>
          <w:spacing w:val="40"/>
        </w:rPr>
        <w:t xml:space="preserve"> </w:t>
      </w:r>
      <w:r>
        <w:t>of legal principles can help one fine-tune the answers one has already come</w:t>
      </w:r>
      <w:r>
        <w:rPr>
          <w:spacing w:val="-2"/>
        </w:rPr>
        <w:t xml:space="preserve"> </w:t>
      </w:r>
      <w:r>
        <w:t>up</w:t>
      </w:r>
      <w:r>
        <w:rPr>
          <w:spacing w:val="-2"/>
        </w:rPr>
        <w:t xml:space="preserve"> </w:t>
      </w:r>
      <w:r>
        <w:t>with.</w:t>
      </w:r>
      <w:r>
        <w:rPr>
          <w:spacing w:val="-2"/>
        </w:rPr>
        <w:t xml:space="preserve"> </w:t>
      </w:r>
      <w:r>
        <w:t>For</w:t>
      </w:r>
      <w:r>
        <w:rPr>
          <w:spacing w:val="-2"/>
        </w:rPr>
        <w:t xml:space="preserve"> </w:t>
      </w:r>
      <w:r>
        <w:t>example,</w:t>
      </w:r>
      <w:r>
        <w:rPr>
          <w:spacing w:val="-2"/>
        </w:rPr>
        <w:t xml:space="preserve"> </w:t>
      </w:r>
      <w:r>
        <w:t>many</w:t>
      </w:r>
      <w:r>
        <w:rPr>
          <w:spacing w:val="-2"/>
        </w:rPr>
        <w:t xml:space="preserve"> </w:t>
      </w:r>
      <w:r>
        <w:t>of</w:t>
      </w:r>
      <w:r>
        <w:rPr>
          <w:spacing w:val="-2"/>
        </w:rPr>
        <w:t xml:space="preserve"> </w:t>
      </w:r>
      <w:r>
        <w:t>the</w:t>
      </w:r>
      <w:r>
        <w:rPr>
          <w:spacing w:val="-2"/>
        </w:rPr>
        <w:t xml:space="preserve"> </w:t>
      </w:r>
      <w:r>
        <w:t>laws</w:t>
      </w:r>
      <w:r>
        <w:rPr>
          <w:spacing w:val="-2"/>
        </w:rPr>
        <w:t xml:space="preserve"> </w:t>
      </w:r>
      <w:r>
        <w:t>concerning</w:t>
      </w:r>
      <w:r>
        <w:rPr>
          <w:spacing w:val="-2"/>
        </w:rPr>
        <w:t xml:space="preserve"> </w:t>
      </w:r>
      <w:r>
        <w:t>the</w:t>
      </w:r>
      <w:r>
        <w:rPr>
          <w:spacing w:val="-2"/>
        </w:rPr>
        <w:t xml:space="preserve"> </w:t>
      </w:r>
      <w:r>
        <w:t>admissibility into legal proceedings of certain kinds of evidence do embody real insight into the structure of knowledge.</w:t>
      </w:r>
    </w:p>
    <w:p w14:paraId="7E003172"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73" w14:textId="77777777" w:rsidR="009A58DB" w:rsidRDefault="00000000">
      <w:pPr>
        <w:pStyle w:val="BodyText"/>
        <w:spacing w:before="70" w:line="249" w:lineRule="auto"/>
        <w:ind w:left="720" w:right="412" w:hanging="360"/>
        <w:jc w:val="left"/>
      </w:pPr>
      <w:bookmarkStart w:id="963" w:name="_bookmark963"/>
      <w:bookmarkEnd w:id="963"/>
      <w:r>
        <w:rPr>
          <w:color w:val="0562C1"/>
          <w:position w:val="19"/>
          <w:u w:val="single" w:color="0562C1"/>
        </w:rPr>
        <w:t>[290]</w:t>
      </w:r>
      <w:r>
        <w:t>.</w:t>
      </w:r>
      <w:r>
        <w:rPr>
          <w:spacing w:val="40"/>
        </w:rPr>
        <w:t xml:space="preserve"> </w:t>
      </w:r>
      <w:r>
        <w:t xml:space="preserve">In his (1949) work </w:t>
      </w:r>
      <w:r>
        <w:rPr>
          <w:i/>
        </w:rPr>
        <w:t xml:space="preserve">the Philosophic al Investigations, </w:t>
      </w:r>
      <w:r>
        <w:t xml:space="preserve">Ludwig Wittgenstein said that all philosophical problems are to be solved by looking at how words are used. (In Chapter 1, it is argued that this view is untenable.) This work of Wittgenstein’s initiated a philosophical methodology known as “ordinary language philosophy.” (Among the proponents of ordinary language philosophy are J.L. Austin (1911–1960), Norman Malcom (1911–1990), and Peter Strawson (1919–2006).) Ordinary language philosophers—including the ones just mentioned—put a lot of stock in arguments such as the one just given. Their position would be that, since we can refer to corpses by the names of their former occupants, those corpses </w:t>
      </w:r>
      <w:r>
        <w:rPr>
          <w:i/>
        </w:rPr>
        <w:t xml:space="preserve">are </w:t>
      </w:r>
      <w:r>
        <w:t>those occupants. Although there is much to be</w:t>
      </w:r>
      <w:r>
        <w:rPr>
          <w:spacing w:val="-4"/>
        </w:rPr>
        <w:t xml:space="preserve"> </w:t>
      </w:r>
      <w:r>
        <w:t>learned</w:t>
      </w:r>
      <w:r>
        <w:rPr>
          <w:spacing w:val="-3"/>
        </w:rPr>
        <w:t xml:space="preserve"> </w:t>
      </w:r>
      <w:r>
        <w:t>from</w:t>
      </w:r>
      <w:r>
        <w:rPr>
          <w:spacing w:val="-4"/>
        </w:rPr>
        <w:t xml:space="preserve"> </w:t>
      </w:r>
      <w:r>
        <w:t>how</w:t>
      </w:r>
      <w:r>
        <w:rPr>
          <w:spacing w:val="-4"/>
        </w:rPr>
        <w:t xml:space="preserve"> </w:t>
      </w:r>
      <w:r>
        <w:t>use</w:t>
      </w:r>
      <w:r>
        <w:rPr>
          <w:spacing w:val="-4"/>
        </w:rPr>
        <w:t xml:space="preserve"> </w:t>
      </w:r>
      <w:r>
        <w:t>words,</w:t>
      </w:r>
      <w:r>
        <w:rPr>
          <w:spacing w:val="-3"/>
        </w:rPr>
        <w:t xml:space="preserve"> </w:t>
      </w:r>
      <w:r>
        <w:t>it</w:t>
      </w:r>
      <w:r>
        <w:rPr>
          <w:spacing w:val="-4"/>
        </w:rPr>
        <w:t xml:space="preserve"> </w:t>
      </w:r>
      <w:r>
        <w:t>is</w:t>
      </w:r>
      <w:r>
        <w:rPr>
          <w:spacing w:val="-4"/>
        </w:rPr>
        <w:t xml:space="preserve"> </w:t>
      </w:r>
      <w:r>
        <w:t>quite</w:t>
      </w:r>
      <w:r>
        <w:rPr>
          <w:spacing w:val="-4"/>
        </w:rPr>
        <w:t xml:space="preserve"> </w:t>
      </w:r>
      <w:r>
        <w:t>absurd,</w:t>
      </w:r>
      <w:r>
        <w:rPr>
          <w:spacing w:val="-3"/>
        </w:rPr>
        <w:t xml:space="preserve"> </w:t>
      </w:r>
      <w:r>
        <w:t>in</w:t>
      </w:r>
      <w:r>
        <w:rPr>
          <w:spacing w:val="-3"/>
        </w:rPr>
        <w:t xml:space="preserve"> </w:t>
      </w:r>
      <w:r>
        <w:t>my</w:t>
      </w:r>
      <w:r>
        <w:rPr>
          <w:spacing w:val="-3"/>
        </w:rPr>
        <w:t xml:space="preserve"> </w:t>
      </w:r>
      <w:r>
        <w:t>judgment,</w:t>
      </w:r>
      <w:r>
        <w:rPr>
          <w:spacing w:val="-3"/>
        </w:rPr>
        <w:t xml:space="preserve"> </w:t>
      </w:r>
      <w:r>
        <w:t>to</w:t>
      </w:r>
      <w:r>
        <w:rPr>
          <w:spacing w:val="-3"/>
        </w:rPr>
        <w:t xml:space="preserve"> </w:t>
      </w:r>
      <w:r>
        <w:t>hold that philosophical problems are categorically to be solved by studying linguistic behavior.</w:t>
      </w:r>
    </w:p>
    <w:p w14:paraId="7E003174" w14:textId="77777777" w:rsidR="009A58DB" w:rsidRDefault="00000000">
      <w:pPr>
        <w:spacing w:before="22" w:line="249" w:lineRule="auto"/>
        <w:ind w:left="720" w:right="365" w:hanging="360"/>
        <w:rPr>
          <w:sz w:val="30"/>
        </w:rPr>
      </w:pPr>
      <w:bookmarkStart w:id="964" w:name="_bookmark964"/>
      <w:bookmarkEnd w:id="964"/>
      <w:r>
        <w:rPr>
          <w:color w:val="0562C1"/>
          <w:position w:val="19"/>
          <w:sz w:val="30"/>
          <w:u w:val="single" w:color="0562C1"/>
        </w:rPr>
        <w:t>[291]</w:t>
      </w:r>
      <w:r>
        <w:rPr>
          <w:sz w:val="30"/>
        </w:rPr>
        <w:t>.</w:t>
      </w:r>
      <w:r>
        <w:rPr>
          <w:spacing w:val="32"/>
          <w:sz w:val="30"/>
        </w:rPr>
        <w:t xml:space="preserve"> </w:t>
      </w:r>
      <w:r>
        <w:rPr>
          <w:sz w:val="30"/>
        </w:rPr>
        <w:t>In</w:t>
      </w:r>
      <w:r>
        <w:rPr>
          <w:spacing w:val="-3"/>
          <w:sz w:val="30"/>
        </w:rPr>
        <w:t xml:space="preserve"> </w:t>
      </w:r>
      <w:r>
        <w:rPr>
          <w:sz w:val="30"/>
        </w:rPr>
        <w:t>his</w:t>
      </w:r>
      <w:r>
        <w:rPr>
          <w:spacing w:val="-4"/>
          <w:sz w:val="30"/>
        </w:rPr>
        <w:t xml:space="preserve"> </w:t>
      </w:r>
      <w:r>
        <w:rPr>
          <w:sz w:val="30"/>
        </w:rPr>
        <w:t>(1973)</w:t>
      </w:r>
      <w:r>
        <w:rPr>
          <w:spacing w:val="-4"/>
          <w:sz w:val="30"/>
        </w:rPr>
        <w:t xml:space="preserve"> </w:t>
      </w:r>
      <w:r>
        <w:rPr>
          <w:sz w:val="30"/>
        </w:rPr>
        <w:t>book</w:t>
      </w:r>
      <w:r>
        <w:rPr>
          <w:spacing w:val="-3"/>
          <w:sz w:val="30"/>
        </w:rPr>
        <w:t xml:space="preserve"> </w:t>
      </w:r>
      <w:r>
        <w:rPr>
          <w:i/>
          <w:sz w:val="30"/>
        </w:rPr>
        <w:t>Problems</w:t>
      </w:r>
      <w:r>
        <w:rPr>
          <w:i/>
          <w:spacing w:val="-4"/>
          <w:sz w:val="30"/>
        </w:rPr>
        <w:t xml:space="preserve"> </w:t>
      </w:r>
      <w:r>
        <w:rPr>
          <w:i/>
          <w:sz w:val="30"/>
        </w:rPr>
        <w:t>of</w:t>
      </w:r>
      <w:r>
        <w:rPr>
          <w:i/>
          <w:spacing w:val="-4"/>
          <w:sz w:val="30"/>
        </w:rPr>
        <w:t xml:space="preserve"> </w:t>
      </w:r>
      <w:r>
        <w:rPr>
          <w:i/>
          <w:sz w:val="30"/>
        </w:rPr>
        <w:t>the</w:t>
      </w:r>
      <w:r>
        <w:rPr>
          <w:i/>
          <w:spacing w:val="-4"/>
          <w:sz w:val="30"/>
        </w:rPr>
        <w:t xml:space="preserve"> </w:t>
      </w:r>
      <w:r>
        <w:rPr>
          <w:i/>
          <w:sz w:val="30"/>
        </w:rPr>
        <w:t>Self,</w:t>
      </w:r>
      <w:r>
        <w:rPr>
          <w:i/>
          <w:spacing w:val="-4"/>
          <w:sz w:val="30"/>
        </w:rPr>
        <w:t xml:space="preserve"> </w:t>
      </w:r>
      <w:r>
        <w:rPr>
          <w:sz w:val="30"/>
        </w:rPr>
        <w:t>Bernard</w:t>
      </w:r>
      <w:r>
        <w:rPr>
          <w:spacing w:val="-3"/>
          <w:sz w:val="30"/>
        </w:rPr>
        <w:t xml:space="preserve"> </w:t>
      </w:r>
      <w:r>
        <w:rPr>
          <w:sz w:val="30"/>
        </w:rPr>
        <w:t>Williams</w:t>
      </w:r>
      <w:r>
        <w:rPr>
          <w:spacing w:val="-4"/>
          <w:sz w:val="30"/>
        </w:rPr>
        <w:t xml:space="preserve"> </w:t>
      </w:r>
      <w:r>
        <w:rPr>
          <w:sz w:val="30"/>
        </w:rPr>
        <w:t>(1929–2003) puts forth a similar argument.</w:t>
      </w:r>
    </w:p>
    <w:p w14:paraId="7E003175" w14:textId="77777777" w:rsidR="009A58DB" w:rsidRDefault="00000000">
      <w:pPr>
        <w:pStyle w:val="BodyText"/>
        <w:spacing w:before="7"/>
        <w:jc w:val="left"/>
      </w:pPr>
      <w:bookmarkStart w:id="965" w:name="_bookmark965"/>
      <w:bookmarkEnd w:id="965"/>
      <w:r>
        <w:rPr>
          <w:color w:val="0562C1"/>
          <w:position w:val="19"/>
          <w:u w:val="single" w:color="0562C1"/>
        </w:rPr>
        <w:t>[292]</w:t>
      </w:r>
      <w:r>
        <w:t>.</w:t>
      </w:r>
      <w:r>
        <w:rPr>
          <w:spacing w:val="33"/>
        </w:rPr>
        <w:t xml:space="preserve"> </w:t>
      </w:r>
      <w:r>
        <w:t>Quine</w:t>
      </w:r>
      <w:r>
        <w:rPr>
          <w:spacing w:val="-3"/>
        </w:rPr>
        <w:t xml:space="preserve"> </w:t>
      </w:r>
      <w:r>
        <w:t>(1960)</w:t>
      </w:r>
      <w:r>
        <w:rPr>
          <w:spacing w:val="-3"/>
        </w:rPr>
        <w:t xml:space="preserve"> </w:t>
      </w:r>
      <w:r>
        <w:t>advocates</w:t>
      </w:r>
      <w:r>
        <w:rPr>
          <w:spacing w:val="-3"/>
        </w:rPr>
        <w:t xml:space="preserve"> </w:t>
      </w:r>
      <w:r>
        <w:t>this</w:t>
      </w:r>
      <w:r>
        <w:rPr>
          <w:spacing w:val="-3"/>
        </w:rPr>
        <w:t xml:space="preserve"> </w:t>
      </w:r>
      <w:r>
        <w:rPr>
          <w:spacing w:val="-2"/>
        </w:rPr>
        <w:t>view.</w:t>
      </w:r>
    </w:p>
    <w:p w14:paraId="7E003176" w14:textId="77777777" w:rsidR="009A58DB" w:rsidRDefault="00000000">
      <w:pPr>
        <w:pStyle w:val="BodyText"/>
        <w:spacing w:before="20" w:line="249" w:lineRule="auto"/>
        <w:ind w:left="720" w:right="376" w:hanging="360"/>
        <w:jc w:val="left"/>
      </w:pPr>
      <w:bookmarkStart w:id="966" w:name="_bookmark966"/>
      <w:bookmarkEnd w:id="966"/>
      <w:r>
        <w:rPr>
          <w:color w:val="0562C1"/>
          <w:position w:val="19"/>
          <w:u w:val="single" w:color="0562C1"/>
        </w:rPr>
        <w:t>[293]</w:t>
      </w:r>
      <w:r>
        <w:t>.</w:t>
      </w:r>
      <w:r>
        <w:rPr>
          <w:spacing w:val="40"/>
        </w:rPr>
        <w:t xml:space="preserve"> </w:t>
      </w:r>
      <w:r>
        <w:t xml:space="preserve">In his (1956) book </w:t>
      </w:r>
      <w:r>
        <w:rPr>
          <w:i/>
        </w:rPr>
        <w:t xml:space="preserve">Elements of Symbolic Logic, </w:t>
      </w:r>
      <w:r>
        <w:t>Rudolf Carnap uses the</w:t>
      </w:r>
      <w:r>
        <w:rPr>
          <w:spacing w:val="-4"/>
        </w:rPr>
        <w:t xml:space="preserve"> </w:t>
      </w:r>
      <w:r>
        <w:t>term</w:t>
      </w:r>
      <w:r>
        <w:rPr>
          <w:spacing w:val="-4"/>
        </w:rPr>
        <w:t xml:space="preserve"> </w:t>
      </w:r>
      <w:r>
        <w:t>“time-slice”</w:t>
      </w:r>
      <w:r>
        <w:rPr>
          <w:spacing w:val="-4"/>
        </w:rPr>
        <w:t xml:space="preserve"> </w:t>
      </w:r>
      <w:r>
        <w:t>(or</w:t>
      </w:r>
      <w:r>
        <w:rPr>
          <w:spacing w:val="-4"/>
        </w:rPr>
        <w:t xml:space="preserve"> </w:t>
      </w:r>
      <w:r>
        <w:t>its</w:t>
      </w:r>
      <w:r>
        <w:rPr>
          <w:spacing w:val="-4"/>
        </w:rPr>
        <w:t xml:space="preserve"> </w:t>
      </w:r>
      <w:r>
        <w:t>German</w:t>
      </w:r>
      <w:r>
        <w:rPr>
          <w:spacing w:val="-3"/>
        </w:rPr>
        <w:t xml:space="preserve"> </w:t>
      </w:r>
      <w:r>
        <w:t>equivalent,</w:t>
      </w:r>
      <w:r>
        <w:rPr>
          <w:spacing w:val="-3"/>
        </w:rPr>
        <w:t xml:space="preserve"> </w:t>
      </w:r>
      <w:r>
        <w:t>rather)</w:t>
      </w:r>
      <w:r>
        <w:rPr>
          <w:spacing w:val="-4"/>
        </w:rPr>
        <w:t xml:space="preserve"> </w:t>
      </w:r>
      <w:r>
        <w:t>in</w:t>
      </w:r>
      <w:r>
        <w:rPr>
          <w:spacing w:val="-3"/>
        </w:rPr>
        <w:t xml:space="preserve"> </w:t>
      </w:r>
      <w:r>
        <w:t>this</w:t>
      </w:r>
      <w:r>
        <w:rPr>
          <w:spacing w:val="-4"/>
        </w:rPr>
        <w:t xml:space="preserve"> </w:t>
      </w:r>
      <w:r>
        <w:t>way.</w:t>
      </w:r>
      <w:r>
        <w:rPr>
          <w:spacing w:val="-3"/>
        </w:rPr>
        <w:t xml:space="preserve"> </w:t>
      </w:r>
      <w:r>
        <w:t>To</w:t>
      </w:r>
      <w:r>
        <w:rPr>
          <w:spacing w:val="-3"/>
        </w:rPr>
        <w:t xml:space="preserve"> </w:t>
      </w:r>
      <w:r>
        <w:t>my limited knowledge, he was the first to do so.</w:t>
      </w:r>
    </w:p>
    <w:p w14:paraId="7E003177" w14:textId="77777777" w:rsidR="009A58DB" w:rsidRDefault="00000000">
      <w:pPr>
        <w:pStyle w:val="BodyText"/>
        <w:spacing w:before="9"/>
        <w:jc w:val="left"/>
      </w:pPr>
      <w:bookmarkStart w:id="967" w:name="_bookmark967"/>
      <w:bookmarkEnd w:id="967"/>
      <w:r>
        <w:rPr>
          <w:color w:val="0562C1"/>
          <w:position w:val="19"/>
          <w:u w:val="single" w:color="0562C1"/>
        </w:rPr>
        <w:t>[294]</w:t>
      </w:r>
      <w:r>
        <w:t>.</w:t>
      </w:r>
      <w:r>
        <w:rPr>
          <w:spacing w:val="33"/>
        </w:rPr>
        <w:t xml:space="preserve"> </w:t>
      </w:r>
      <w:r>
        <w:t>See</w:t>
      </w:r>
      <w:r>
        <w:rPr>
          <w:spacing w:val="-4"/>
        </w:rPr>
        <w:t xml:space="preserve"> </w:t>
      </w:r>
      <w:r>
        <w:t>Parfit</w:t>
      </w:r>
      <w:r>
        <w:rPr>
          <w:spacing w:val="-3"/>
        </w:rPr>
        <w:t xml:space="preserve"> </w:t>
      </w:r>
      <w:r>
        <w:rPr>
          <w:spacing w:val="-2"/>
        </w:rPr>
        <w:t>(1984).</w:t>
      </w:r>
    </w:p>
    <w:p w14:paraId="7E003178" w14:textId="77777777" w:rsidR="009A58DB" w:rsidRDefault="00000000">
      <w:pPr>
        <w:pStyle w:val="BodyText"/>
        <w:spacing w:before="20"/>
        <w:jc w:val="left"/>
      </w:pPr>
      <w:bookmarkStart w:id="968" w:name="_bookmark968"/>
      <w:bookmarkEnd w:id="968"/>
      <w:r>
        <w:rPr>
          <w:color w:val="0562C1"/>
          <w:position w:val="19"/>
          <w:u w:val="single" w:color="0562C1"/>
        </w:rPr>
        <w:t>[295]</w:t>
      </w:r>
      <w:r>
        <w:t>.</w:t>
      </w:r>
      <w:r>
        <w:rPr>
          <w:spacing w:val="33"/>
        </w:rPr>
        <w:t xml:space="preserve"> </w:t>
      </w:r>
      <w:r>
        <w:t>See</w:t>
      </w:r>
      <w:r>
        <w:rPr>
          <w:spacing w:val="-3"/>
        </w:rPr>
        <w:t xml:space="preserve"> </w:t>
      </w:r>
      <w:r>
        <w:t>Chapter</w:t>
      </w:r>
      <w:r>
        <w:rPr>
          <w:spacing w:val="-3"/>
        </w:rPr>
        <w:t xml:space="preserve"> </w:t>
      </w:r>
      <w:r>
        <w:rPr>
          <w:spacing w:val="-5"/>
        </w:rPr>
        <w:t>13.</w:t>
      </w:r>
    </w:p>
    <w:p w14:paraId="7E003179" w14:textId="77777777" w:rsidR="009A58DB" w:rsidRDefault="00000000">
      <w:pPr>
        <w:pStyle w:val="BodyText"/>
        <w:spacing w:before="20" w:line="249" w:lineRule="auto"/>
        <w:ind w:left="720" w:right="365" w:hanging="360"/>
        <w:jc w:val="left"/>
      </w:pPr>
      <w:bookmarkStart w:id="969" w:name="_bookmark969"/>
      <w:bookmarkEnd w:id="969"/>
      <w:r>
        <w:rPr>
          <w:color w:val="0562C1"/>
          <w:position w:val="19"/>
          <w:u w:val="single" w:color="0562C1"/>
        </w:rPr>
        <w:t>[296]</w:t>
      </w:r>
      <w:r>
        <w:t>.</w:t>
      </w:r>
      <w:r>
        <w:rPr>
          <w:spacing w:val="32"/>
        </w:rPr>
        <w:t xml:space="preserve"> </w:t>
      </w:r>
      <w:r>
        <w:t>See</w:t>
      </w:r>
      <w:r>
        <w:rPr>
          <w:spacing w:val="-4"/>
        </w:rPr>
        <w:t xml:space="preserve"> </w:t>
      </w:r>
      <w:r>
        <w:t>Chapter</w:t>
      </w:r>
      <w:r>
        <w:rPr>
          <w:spacing w:val="-4"/>
        </w:rPr>
        <w:t xml:space="preserve"> </w:t>
      </w:r>
      <w:r>
        <w:t>17</w:t>
      </w:r>
      <w:r>
        <w:rPr>
          <w:spacing w:val="-3"/>
        </w:rPr>
        <w:t xml:space="preserve"> </w:t>
      </w:r>
      <w:r>
        <w:t>for</w:t>
      </w:r>
      <w:r>
        <w:rPr>
          <w:spacing w:val="-4"/>
        </w:rPr>
        <w:t xml:space="preserve"> </w:t>
      </w:r>
      <w:r>
        <w:t>a</w:t>
      </w:r>
      <w:r>
        <w:rPr>
          <w:spacing w:val="-4"/>
        </w:rPr>
        <w:t xml:space="preserve"> </w:t>
      </w:r>
      <w:r>
        <w:t>discussion</w:t>
      </w:r>
      <w:r>
        <w:rPr>
          <w:spacing w:val="-3"/>
        </w:rPr>
        <w:t xml:space="preserve"> </w:t>
      </w:r>
      <w:r>
        <w:t>of</w:t>
      </w:r>
      <w:r>
        <w:rPr>
          <w:spacing w:val="-4"/>
        </w:rPr>
        <w:t xml:space="preserve"> </w:t>
      </w:r>
      <w:r>
        <w:t>how,</w:t>
      </w:r>
      <w:r>
        <w:rPr>
          <w:spacing w:val="-3"/>
        </w:rPr>
        <w:t xml:space="preserve"> </w:t>
      </w:r>
      <w:r>
        <w:t>exactly,</w:t>
      </w:r>
      <w:r>
        <w:rPr>
          <w:spacing w:val="-3"/>
        </w:rPr>
        <w:t xml:space="preserve"> </w:t>
      </w:r>
      <w:r>
        <w:t>Hume’s</w:t>
      </w:r>
      <w:r>
        <w:rPr>
          <w:spacing w:val="-4"/>
        </w:rPr>
        <w:t xml:space="preserve"> </w:t>
      </w:r>
      <w:r>
        <w:t>views</w:t>
      </w:r>
      <w:r>
        <w:rPr>
          <w:spacing w:val="-4"/>
        </w:rPr>
        <w:t xml:space="preserve"> </w:t>
      </w:r>
      <w:r>
        <w:t>on these matters were conservative.</w:t>
      </w:r>
    </w:p>
    <w:p w14:paraId="7E00317A" w14:textId="77777777" w:rsidR="009A58DB" w:rsidRDefault="00000000">
      <w:pPr>
        <w:pStyle w:val="BodyText"/>
        <w:spacing w:before="8"/>
        <w:jc w:val="left"/>
      </w:pPr>
      <w:bookmarkStart w:id="970" w:name="_bookmark970"/>
      <w:bookmarkEnd w:id="970"/>
      <w:r>
        <w:rPr>
          <w:color w:val="0562C1"/>
          <w:position w:val="19"/>
          <w:u w:val="single" w:color="0562C1"/>
        </w:rPr>
        <w:t>[297]</w:t>
      </w:r>
      <w:r>
        <w:t>.</w:t>
      </w:r>
      <w:r>
        <w:rPr>
          <w:spacing w:val="34"/>
        </w:rPr>
        <w:t xml:space="preserve"> </w:t>
      </w:r>
      <w:r>
        <w:t>Hume</w:t>
      </w:r>
      <w:r>
        <w:rPr>
          <w:spacing w:val="-2"/>
        </w:rPr>
        <w:t xml:space="preserve"> </w:t>
      </w:r>
      <w:r>
        <w:t>(1740:</w:t>
      </w:r>
      <w:r>
        <w:rPr>
          <w:spacing w:val="-2"/>
        </w:rPr>
        <w:t xml:space="preserve"> </w:t>
      </w:r>
      <w:r>
        <w:rPr>
          <w:spacing w:val="-4"/>
        </w:rPr>
        <w:t>252).</w:t>
      </w:r>
    </w:p>
    <w:p w14:paraId="7E00317B" w14:textId="77777777" w:rsidR="009A58DB" w:rsidRDefault="00000000">
      <w:pPr>
        <w:pStyle w:val="BodyText"/>
        <w:spacing w:before="20"/>
        <w:jc w:val="left"/>
      </w:pPr>
      <w:bookmarkStart w:id="971" w:name="_bookmark971"/>
      <w:bookmarkEnd w:id="971"/>
      <w:r>
        <w:rPr>
          <w:color w:val="0562C1"/>
          <w:position w:val="19"/>
          <w:u w:val="single" w:color="0562C1"/>
        </w:rPr>
        <w:t>[298]</w:t>
      </w:r>
      <w:r>
        <w:t>.</w:t>
      </w:r>
      <w:r>
        <w:rPr>
          <w:spacing w:val="34"/>
        </w:rPr>
        <w:t xml:space="preserve"> </w:t>
      </w:r>
      <w:r>
        <w:t>Hume</w:t>
      </w:r>
      <w:r>
        <w:rPr>
          <w:spacing w:val="-2"/>
        </w:rPr>
        <w:t xml:space="preserve"> </w:t>
      </w:r>
      <w:r>
        <w:t>(1740:</w:t>
      </w:r>
      <w:r>
        <w:rPr>
          <w:spacing w:val="-2"/>
        </w:rPr>
        <w:t xml:space="preserve"> </w:t>
      </w:r>
      <w:r>
        <w:rPr>
          <w:spacing w:val="-4"/>
        </w:rPr>
        <w:t>252).</w:t>
      </w:r>
    </w:p>
    <w:p w14:paraId="7E00317C" w14:textId="77777777" w:rsidR="009A58DB" w:rsidRDefault="00000000">
      <w:pPr>
        <w:pStyle w:val="BodyText"/>
        <w:spacing w:before="20" w:line="249" w:lineRule="auto"/>
        <w:ind w:left="720" w:hanging="360"/>
        <w:jc w:val="left"/>
      </w:pPr>
      <w:bookmarkStart w:id="972" w:name="_bookmark972"/>
      <w:bookmarkEnd w:id="972"/>
      <w:r>
        <w:rPr>
          <w:color w:val="0562C1"/>
          <w:position w:val="19"/>
          <w:u w:val="single" w:color="0562C1"/>
        </w:rPr>
        <w:t>[299]</w:t>
      </w:r>
      <w:r>
        <w:t>.</w:t>
      </w:r>
      <w:r>
        <w:rPr>
          <w:spacing w:val="31"/>
        </w:rPr>
        <w:t xml:space="preserve"> </w:t>
      </w:r>
      <w:r>
        <w:t>Defeasible”</w:t>
      </w:r>
      <w:r>
        <w:rPr>
          <w:spacing w:val="-5"/>
        </w:rPr>
        <w:t xml:space="preserve"> </w:t>
      </w:r>
      <w:r>
        <w:t>means</w:t>
      </w:r>
      <w:r>
        <w:rPr>
          <w:spacing w:val="-5"/>
        </w:rPr>
        <w:t xml:space="preserve"> </w:t>
      </w:r>
      <w:r>
        <w:t>“capable</w:t>
      </w:r>
      <w:r>
        <w:rPr>
          <w:spacing w:val="-5"/>
        </w:rPr>
        <w:t xml:space="preserve"> </w:t>
      </w:r>
      <w:r>
        <w:t>of</w:t>
      </w:r>
      <w:r>
        <w:rPr>
          <w:spacing w:val="-5"/>
        </w:rPr>
        <w:t xml:space="preserve"> </w:t>
      </w:r>
      <w:r>
        <w:t>being</w:t>
      </w:r>
      <w:r>
        <w:rPr>
          <w:spacing w:val="-4"/>
        </w:rPr>
        <w:t xml:space="preserve"> </w:t>
      </w:r>
      <w:r>
        <w:t>overridden</w:t>
      </w:r>
      <w:r>
        <w:rPr>
          <w:spacing w:val="-4"/>
        </w:rPr>
        <w:t xml:space="preserve"> </w:t>
      </w:r>
      <w:r>
        <w:t>or</w:t>
      </w:r>
      <w:r>
        <w:rPr>
          <w:spacing w:val="-5"/>
        </w:rPr>
        <w:t xml:space="preserve"> </w:t>
      </w:r>
      <w:r>
        <w:t>proven</w:t>
      </w:r>
      <w:r>
        <w:rPr>
          <w:spacing w:val="-4"/>
        </w:rPr>
        <w:t xml:space="preserve"> </w:t>
      </w:r>
      <w:r>
        <w:t>false.” Etymologically, it means “capable of being defeated.”</w:t>
      </w:r>
    </w:p>
    <w:p w14:paraId="7E00317D" w14:textId="77777777" w:rsidR="009A58DB" w:rsidRDefault="00000000">
      <w:pPr>
        <w:pStyle w:val="BodyText"/>
        <w:spacing w:before="7"/>
        <w:jc w:val="left"/>
      </w:pPr>
      <w:bookmarkStart w:id="973" w:name="_bookmark973"/>
      <w:bookmarkEnd w:id="973"/>
      <w:r>
        <w:rPr>
          <w:color w:val="0562C1"/>
          <w:position w:val="19"/>
          <w:u w:val="single" w:color="0562C1"/>
        </w:rPr>
        <w:t>[300]</w:t>
      </w:r>
      <w:r>
        <w:t>.</w:t>
      </w:r>
      <w:r>
        <w:rPr>
          <w:spacing w:val="30"/>
        </w:rPr>
        <w:t xml:space="preserve"> </w:t>
      </w:r>
      <w:r>
        <w:t>Also,</w:t>
      </w:r>
      <w:r>
        <w:rPr>
          <w:spacing w:val="-2"/>
        </w:rPr>
        <w:t xml:space="preserve"> </w:t>
      </w:r>
      <w:r>
        <w:t>any</w:t>
      </w:r>
      <w:r>
        <w:rPr>
          <w:spacing w:val="-3"/>
        </w:rPr>
        <w:t xml:space="preserve"> </w:t>
      </w:r>
      <w:r>
        <w:t>given</w:t>
      </w:r>
      <w:r>
        <w:rPr>
          <w:spacing w:val="-3"/>
        </w:rPr>
        <w:t xml:space="preserve"> </w:t>
      </w:r>
      <w:r>
        <w:t>spatiotemporal</w:t>
      </w:r>
      <w:r>
        <w:rPr>
          <w:spacing w:val="-4"/>
        </w:rPr>
        <w:t xml:space="preserve"> </w:t>
      </w:r>
      <w:r>
        <w:t>thing</w:t>
      </w:r>
      <w:r>
        <w:rPr>
          <w:spacing w:val="-2"/>
        </w:rPr>
        <w:t xml:space="preserve"> </w:t>
      </w:r>
      <w:r>
        <w:t>is</w:t>
      </w:r>
      <w:r>
        <w:rPr>
          <w:spacing w:val="-4"/>
        </w:rPr>
        <w:t xml:space="preserve"> </w:t>
      </w:r>
      <w:r>
        <w:t>moving</w:t>
      </w:r>
      <w:r>
        <w:rPr>
          <w:spacing w:val="-3"/>
        </w:rPr>
        <w:t xml:space="preserve"> </w:t>
      </w:r>
      <w:r>
        <w:t>relative</w:t>
      </w:r>
      <w:r>
        <w:rPr>
          <w:spacing w:val="-4"/>
        </w:rPr>
        <w:t xml:space="preserve"> </w:t>
      </w:r>
      <w:r>
        <w:t>to</w:t>
      </w:r>
      <w:r>
        <w:rPr>
          <w:spacing w:val="-2"/>
        </w:rPr>
        <w:t xml:space="preserve"> something.</w:t>
      </w:r>
    </w:p>
    <w:p w14:paraId="7E00317E" w14:textId="77777777" w:rsidR="009A58DB" w:rsidRDefault="009A58DB">
      <w:pPr>
        <w:pStyle w:val="BodyText"/>
        <w:jc w:val="left"/>
        <w:sectPr w:rsidR="009A58DB">
          <w:pgSz w:w="12240" w:h="15840"/>
          <w:pgMar w:top="1380" w:right="1080" w:bottom="280" w:left="1080" w:header="720" w:footer="720" w:gutter="0"/>
          <w:cols w:space="720"/>
        </w:sectPr>
      </w:pPr>
    </w:p>
    <w:p w14:paraId="7E00317F" w14:textId="77777777" w:rsidR="009A58DB" w:rsidRDefault="00000000">
      <w:pPr>
        <w:pStyle w:val="BodyText"/>
        <w:spacing w:before="70" w:line="249" w:lineRule="auto"/>
        <w:ind w:left="720" w:right="422" w:hanging="360"/>
        <w:jc w:val="left"/>
      </w:pPr>
      <w:bookmarkStart w:id="974" w:name="_bookmark974"/>
      <w:bookmarkEnd w:id="974"/>
      <w:r>
        <w:rPr>
          <w:color w:val="0562C1"/>
          <w:position w:val="19"/>
          <w:u w:val="single" w:color="0562C1"/>
        </w:rPr>
        <w:t>[301]</w:t>
      </w:r>
      <w:r>
        <w:t>.</w:t>
      </w:r>
      <w:r>
        <w:rPr>
          <w:spacing w:val="40"/>
        </w:rPr>
        <w:t xml:space="preserve"> </w:t>
      </w:r>
      <w:r>
        <w:t xml:space="preserve">Obviously (i) isn’t </w:t>
      </w:r>
      <w:r>
        <w:rPr>
          <w:i/>
        </w:rPr>
        <w:t xml:space="preserve">formally </w:t>
      </w:r>
      <w:r>
        <w:t xml:space="preserve">false. It isn’t like “snow is white and it is not the case that snow is white.” Nor is (i) tautologously false. It isn’t like t ‘here are not three feet in a yard. (i) is </w:t>
      </w:r>
      <w:r>
        <w:rPr>
          <w:i/>
        </w:rPr>
        <w:t xml:space="preserve">analytically </w:t>
      </w:r>
      <w:r>
        <w:t>false. It embodies an incoherent</w:t>
      </w:r>
      <w:r>
        <w:rPr>
          <w:spacing w:val="-5"/>
        </w:rPr>
        <w:t xml:space="preserve"> </w:t>
      </w:r>
      <w:r>
        <w:t>assumptions</w:t>
      </w:r>
      <w:r>
        <w:rPr>
          <w:spacing w:val="-5"/>
        </w:rPr>
        <w:t xml:space="preserve"> </w:t>
      </w:r>
      <w:r>
        <w:t>about</w:t>
      </w:r>
      <w:r>
        <w:rPr>
          <w:spacing w:val="-5"/>
        </w:rPr>
        <w:t xml:space="preserve"> </w:t>
      </w:r>
      <w:r>
        <w:t>the</w:t>
      </w:r>
      <w:r>
        <w:rPr>
          <w:spacing w:val="-5"/>
        </w:rPr>
        <w:t xml:space="preserve"> </w:t>
      </w:r>
      <w:r>
        <w:t>nature</w:t>
      </w:r>
      <w:r>
        <w:rPr>
          <w:spacing w:val="-5"/>
        </w:rPr>
        <w:t xml:space="preserve"> </w:t>
      </w:r>
      <w:r>
        <w:t>of</w:t>
      </w:r>
      <w:r>
        <w:rPr>
          <w:spacing w:val="-5"/>
        </w:rPr>
        <w:t xml:space="preserve"> </w:t>
      </w:r>
      <w:r>
        <w:t>persistence</w:t>
      </w:r>
      <w:r>
        <w:rPr>
          <w:spacing w:val="-5"/>
        </w:rPr>
        <w:t xml:space="preserve"> </w:t>
      </w:r>
      <w:r>
        <w:t>in</w:t>
      </w:r>
      <w:r>
        <w:rPr>
          <w:spacing w:val="-4"/>
        </w:rPr>
        <w:t xml:space="preserve"> </w:t>
      </w:r>
      <w:r>
        <w:t>time.</w:t>
      </w:r>
      <w:r>
        <w:rPr>
          <w:spacing w:val="-4"/>
        </w:rPr>
        <w:t xml:space="preserve"> </w:t>
      </w:r>
      <w:r>
        <w:t>For</w:t>
      </w:r>
      <w:r>
        <w:rPr>
          <w:spacing w:val="-5"/>
        </w:rPr>
        <w:t xml:space="preserve"> </w:t>
      </w:r>
      <w:r>
        <w:t>further discussion of the differences between formal and analytic truth, and between analytic and tautologous truth, see Chapters 1, 6, 18, and Appendix 1.</w:t>
      </w:r>
    </w:p>
    <w:p w14:paraId="7E003180" w14:textId="77777777" w:rsidR="009A58DB" w:rsidRDefault="00000000">
      <w:pPr>
        <w:pStyle w:val="BodyText"/>
        <w:spacing w:before="13" w:line="249" w:lineRule="auto"/>
        <w:ind w:left="720" w:right="718" w:hanging="360"/>
        <w:jc w:val="left"/>
      </w:pPr>
      <w:bookmarkStart w:id="975" w:name="_bookmark975"/>
      <w:bookmarkEnd w:id="975"/>
      <w:r>
        <w:rPr>
          <w:color w:val="0562C1"/>
          <w:position w:val="19"/>
          <w:u w:val="single" w:color="0562C1"/>
        </w:rPr>
        <w:t>[302]</w:t>
      </w:r>
      <w:r>
        <w:t>.</w:t>
      </w:r>
      <w:r>
        <w:rPr>
          <w:spacing w:val="33"/>
        </w:rPr>
        <w:t xml:space="preserve"> </w:t>
      </w:r>
      <w:r>
        <w:t>To</w:t>
      </w:r>
      <w:r>
        <w:rPr>
          <w:spacing w:val="-3"/>
        </w:rPr>
        <w:t xml:space="preserve"> </w:t>
      </w:r>
      <w:r>
        <w:t>use</w:t>
      </w:r>
      <w:r>
        <w:rPr>
          <w:spacing w:val="-4"/>
        </w:rPr>
        <w:t xml:space="preserve"> </w:t>
      </w:r>
      <w:r>
        <w:t>Fodor’s</w:t>
      </w:r>
      <w:r>
        <w:rPr>
          <w:spacing w:val="-4"/>
        </w:rPr>
        <w:t xml:space="preserve"> </w:t>
      </w:r>
      <w:r>
        <w:t>apt</w:t>
      </w:r>
      <w:r>
        <w:rPr>
          <w:spacing w:val="-4"/>
        </w:rPr>
        <w:t xml:space="preserve"> </w:t>
      </w:r>
      <w:r>
        <w:t>expression.</w:t>
      </w:r>
      <w:r>
        <w:rPr>
          <w:spacing w:val="-3"/>
        </w:rPr>
        <w:t xml:space="preserve"> </w:t>
      </w:r>
      <w:r>
        <w:t>See</w:t>
      </w:r>
      <w:r>
        <w:rPr>
          <w:spacing w:val="-4"/>
        </w:rPr>
        <w:t xml:space="preserve"> </w:t>
      </w:r>
      <w:r>
        <w:t>his</w:t>
      </w:r>
      <w:r>
        <w:rPr>
          <w:spacing w:val="-4"/>
        </w:rPr>
        <w:t xml:space="preserve"> </w:t>
      </w:r>
      <w:r>
        <w:t>paper</w:t>
      </w:r>
      <w:r>
        <w:rPr>
          <w:spacing w:val="-4"/>
        </w:rPr>
        <w:t xml:space="preserve"> </w:t>
      </w:r>
      <w:r>
        <w:t>“The</w:t>
      </w:r>
      <w:r>
        <w:rPr>
          <w:spacing w:val="-4"/>
        </w:rPr>
        <w:t xml:space="preserve"> </w:t>
      </w:r>
      <w:r>
        <w:t>Present</w:t>
      </w:r>
      <w:r>
        <w:rPr>
          <w:spacing w:val="-4"/>
        </w:rPr>
        <w:t xml:space="preserve"> </w:t>
      </w:r>
      <w:r>
        <w:t>Status</w:t>
      </w:r>
      <w:r>
        <w:rPr>
          <w:spacing w:val="-4"/>
        </w:rPr>
        <w:t xml:space="preserve"> </w:t>
      </w:r>
      <w:r>
        <w:t>of the Innateness Controversy,” in Fodor (1981).</w:t>
      </w:r>
    </w:p>
    <w:p w14:paraId="7E003181" w14:textId="77777777" w:rsidR="009A58DB" w:rsidRDefault="00000000">
      <w:pPr>
        <w:spacing w:before="8" w:line="249" w:lineRule="auto"/>
        <w:ind w:left="720" w:right="794" w:hanging="360"/>
        <w:rPr>
          <w:i/>
          <w:sz w:val="30"/>
        </w:rPr>
      </w:pPr>
      <w:bookmarkStart w:id="976" w:name="_bookmark976"/>
      <w:bookmarkEnd w:id="976"/>
      <w:r>
        <w:rPr>
          <w:color w:val="0562C1"/>
          <w:position w:val="19"/>
          <w:sz w:val="30"/>
          <w:u w:val="single" w:color="0562C1"/>
        </w:rPr>
        <w:t>[303]</w:t>
      </w:r>
      <w:r>
        <w:rPr>
          <w:sz w:val="30"/>
        </w:rPr>
        <w:t>.</w:t>
      </w:r>
      <w:r>
        <w:rPr>
          <w:spacing w:val="33"/>
          <w:sz w:val="30"/>
        </w:rPr>
        <w:t xml:space="preserve"> </w:t>
      </w:r>
      <w:r>
        <w:rPr>
          <w:sz w:val="30"/>
        </w:rPr>
        <w:t>Kant</w:t>
      </w:r>
      <w:r>
        <w:rPr>
          <w:spacing w:val="-4"/>
          <w:sz w:val="30"/>
        </w:rPr>
        <w:t xml:space="preserve"> </w:t>
      </w:r>
      <w:r>
        <w:rPr>
          <w:sz w:val="30"/>
        </w:rPr>
        <w:t>makes</w:t>
      </w:r>
      <w:r>
        <w:rPr>
          <w:spacing w:val="-4"/>
          <w:sz w:val="30"/>
        </w:rPr>
        <w:t xml:space="preserve"> </w:t>
      </w:r>
      <w:r>
        <w:rPr>
          <w:sz w:val="30"/>
        </w:rPr>
        <w:t>a</w:t>
      </w:r>
      <w:r>
        <w:rPr>
          <w:spacing w:val="-4"/>
          <w:sz w:val="30"/>
        </w:rPr>
        <w:t xml:space="preserve"> </w:t>
      </w:r>
      <w:r>
        <w:rPr>
          <w:sz w:val="30"/>
        </w:rPr>
        <w:t>similar</w:t>
      </w:r>
      <w:r>
        <w:rPr>
          <w:spacing w:val="-4"/>
          <w:sz w:val="30"/>
        </w:rPr>
        <w:t xml:space="preserve"> </w:t>
      </w:r>
      <w:r>
        <w:rPr>
          <w:sz w:val="30"/>
        </w:rPr>
        <w:t>point</w:t>
      </w:r>
      <w:r>
        <w:rPr>
          <w:spacing w:val="-4"/>
          <w:sz w:val="30"/>
        </w:rPr>
        <w:t xml:space="preserve"> </w:t>
      </w:r>
      <w:r>
        <w:rPr>
          <w:sz w:val="30"/>
        </w:rPr>
        <w:t>at</w:t>
      </w:r>
      <w:r>
        <w:rPr>
          <w:spacing w:val="-4"/>
          <w:sz w:val="30"/>
        </w:rPr>
        <w:t xml:space="preserve"> </w:t>
      </w:r>
      <w:r>
        <w:rPr>
          <w:sz w:val="30"/>
        </w:rPr>
        <w:t>the</w:t>
      </w:r>
      <w:r>
        <w:rPr>
          <w:spacing w:val="-4"/>
          <w:sz w:val="30"/>
        </w:rPr>
        <w:t xml:space="preserve"> </w:t>
      </w:r>
      <w:r>
        <w:rPr>
          <w:sz w:val="30"/>
        </w:rPr>
        <w:t>very</w:t>
      </w:r>
      <w:r>
        <w:rPr>
          <w:spacing w:val="-3"/>
          <w:sz w:val="30"/>
        </w:rPr>
        <w:t xml:space="preserve"> </w:t>
      </w:r>
      <w:r>
        <w:rPr>
          <w:sz w:val="30"/>
        </w:rPr>
        <w:t>beginning</w:t>
      </w:r>
      <w:r>
        <w:rPr>
          <w:spacing w:val="-3"/>
          <w:sz w:val="30"/>
        </w:rPr>
        <w:t xml:space="preserve"> </w:t>
      </w:r>
      <w:r>
        <w:rPr>
          <w:sz w:val="30"/>
        </w:rPr>
        <w:t>of</w:t>
      </w:r>
      <w:r>
        <w:rPr>
          <w:spacing w:val="-4"/>
          <w:sz w:val="30"/>
        </w:rPr>
        <w:t xml:space="preserve"> </w:t>
      </w:r>
      <w:r>
        <w:rPr>
          <w:sz w:val="30"/>
        </w:rPr>
        <w:t>the</w:t>
      </w:r>
      <w:r>
        <w:rPr>
          <w:spacing w:val="-3"/>
          <w:sz w:val="30"/>
        </w:rPr>
        <w:t xml:space="preserve"> </w:t>
      </w:r>
      <w:r>
        <w:rPr>
          <w:i/>
          <w:sz w:val="30"/>
        </w:rPr>
        <w:t>Critique</w:t>
      </w:r>
      <w:r>
        <w:rPr>
          <w:i/>
          <w:spacing w:val="-4"/>
          <w:sz w:val="30"/>
        </w:rPr>
        <w:t xml:space="preserve"> </w:t>
      </w:r>
      <w:r>
        <w:rPr>
          <w:i/>
          <w:sz w:val="30"/>
        </w:rPr>
        <w:t>of Pure Reason.</w:t>
      </w:r>
    </w:p>
    <w:p w14:paraId="7E003182" w14:textId="77777777" w:rsidR="009A58DB" w:rsidRDefault="00000000">
      <w:pPr>
        <w:pStyle w:val="BodyText"/>
        <w:tabs>
          <w:tab w:val="left" w:pos="1459"/>
        </w:tabs>
        <w:spacing w:before="7" w:line="254" w:lineRule="auto"/>
        <w:ind w:right="947"/>
        <w:jc w:val="left"/>
      </w:pPr>
      <w:bookmarkStart w:id="977" w:name="_bookmark977"/>
      <w:bookmarkEnd w:id="977"/>
      <w:r>
        <w:rPr>
          <w:color w:val="0562C1"/>
          <w:spacing w:val="-2"/>
          <w:position w:val="19"/>
          <w:u w:val="single" w:color="0562C1"/>
        </w:rPr>
        <w:t>[304]</w:t>
      </w:r>
      <w:r>
        <w:rPr>
          <w:spacing w:val="-2"/>
          <w:sz w:val="22"/>
        </w:rPr>
        <w:t>.</w:t>
      </w:r>
      <w:r>
        <w:rPr>
          <w:sz w:val="22"/>
        </w:rPr>
        <w:tab/>
      </w:r>
      <w:r>
        <w:t>Carnap</w:t>
      </w:r>
      <w:r>
        <w:rPr>
          <w:spacing w:val="-4"/>
        </w:rPr>
        <w:t xml:space="preserve"> </w:t>
      </w:r>
      <w:r>
        <w:t>(1966)</w:t>
      </w:r>
      <w:r>
        <w:rPr>
          <w:spacing w:val="-5"/>
        </w:rPr>
        <w:t xml:space="preserve"> </w:t>
      </w:r>
      <w:r>
        <w:t>makes</w:t>
      </w:r>
      <w:r>
        <w:rPr>
          <w:spacing w:val="-5"/>
        </w:rPr>
        <w:t xml:space="preserve"> </w:t>
      </w:r>
      <w:r>
        <w:t>this</w:t>
      </w:r>
      <w:r>
        <w:rPr>
          <w:spacing w:val="-5"/>
        </w:rPr>
        <w:t xml:space="preserve"> </w:t>
      </w:r>
      <w:r>
        <w:t>point.</w:t>
      </w:r>
      <w:r>
        <w:rPr>
          <w:spacing w:val="-4"/>
        </w:rPr>
        <w:t xml:space="preserve"> </w:t>
      </w:r>
      <w:r>
        <w:t>Carnap</w:t>
      </w:r>
      <w:r>
        <w:rPr>
          <w:spacing w:val="-4"/>
        </w:rPr>
        <w:t xml:space="preserve"> </w:t>
      </w:r>
      <w:r>
        <w:t>uses</w:t>
      </w:r>
      <w:r>
        <w:rPr>
          <w:spacing w:val="-5"/>
        </w:rPr>
        <w:t xml:space="preserve"> </w:t>
      </w:r>
      <w:r>
        <w:t>a</w:t>
      </w:r>
      <w:r>
        <w:rPr>
          <w:spacing w:val="-5"/>
        </w:rPr>
        <w:t xml:space="preserve"> </w:t>
      </w:r>
      <w:r>
        <w:t>similar</w:t>
      </w:r>
      <w:r>
        <w:rPr>
          <w:spacing w:val="-5"/>
        </w:rPr>
        <w:t xml:space="preserve"> </w:t>
      </w:r>
      <w:r>
        <w:t xml:space="preserve">example. </w:t>
      </w:r>
      <w:bookmarkStart w:id="978" w:name="_bookmark978"/>
      <w:bookmarkEnd w:id="978"/>
      <w:r>
        <w:rPr>
          <w:color w:val="0562C1"/>
          <w:spacing w:val="-2"/>
          <w:position w:val="19"/>
          <w:u w:val="single" w:color="0562C1"/>
        </w:rPr>
        <w:t>[305]</w:t>
      </w:r>
      <w:r>
        <w:rPr>
          <w:spacing w:val="-2"/>
          <w:sz w:val="22"/>
        </w:rPr>
        <w:t>.</w:t>
      </w:r>
      <w:r>
        <w:rPr>
          <w:sz w:val="22"/>
        </w:rPr>
        <w:tab/>
      </w:r>
      <w:r>
        <w:t>See Mackie (1980).</w:t>
      </w:r>
    </w:p>
    <w:p w14:paraId="7E003183" w14:textId="77777777" w:rsidR="009A58DB" w:rsidRDefault="00000000">
      <w:pPr>
        <w:tabs>
          <w:tab w:val="left" w:pos="1459"/>
        </w:tabs>
        <w:spacing w:line="534" w:lineRule="exact"/>
        <w:ind w:left="360"/>
        <w:rPr>
          <w:i/>
          <w:sz w:val="30"/>
        </w:rPr>
      </w:pPr>
      <w:bookmarkStart w:id="979" w:name="_bookmark979"/>
      <w:bookmarkEnd w:id="979"/>
      <w:r>
        <w:rPr>
          <w:color w:val="0562C1"/>
          <w:spacing w:val="-2"/>
          <w:position w:val="19"/>
          <w:sz w:val="30"/>
          <w:u w:val="single" w:color="0562C1"/>
        </w:rPr>
        <w:t>[306]</w:t>
      </w:r>
      <w:r>
        <w:rPr>
          <w:spacing w:val="-2"/>
        </w:rPr>
        <w:t>.</w:t>
      </w:r>
      <w:r>
        <w:tab/>
      </w:r>
      <w:r>
        <w:rPr>
          <w:sz w:val="30"/>
        </w:rPr>
        <w:t>He</w:t>
      </w:r>
      <w:r>
        <w:rPr>
          <w:spacing w:val="-5"/>
          <w:sz w:val="30"/>
        </w:rPr>
        <w:t xml:space="preserve"> </w:t>
      </w:r>
      <w:r>
        <w:rPr>
          <w:sz w:val="30"/>
        </w:rPr>
        <w:t>did</w:t>
      </w:r>
      <w:r>
        <w:rPr>
          <w:spacing w:val="-1"/>
          <w:sz w:val="30"/>
        </w:rPr>
        <w:t xml:space="preserve"> </w:t>
      </w:r>
      <w:r>
        <w:rPr>
          <w:sz w:val="30"/>
        </w:rPr>
        <w:t>this</w:t>
      </w:r>
      <w:r>
        <w:rPr>
          <w:spacing w:val="-2"/>
          <w:sz w:val="30"/>
        </w:rPr>
        <w:t xml:space="preserve"> </w:t>
      </w:r>
      <w:r>
        <w:rPr>
          <w:sz w:val="30"/>
        </w:rPr>
        <w:t>in</w:t>
      </w:r>
      <w:r>
        <w:rPr>
          <w:spacing w:val="-1"/>
          <w:sz w:val="30"/>
        </w:rPr>
        <w:t xml:space="preserve"> </w:t>
      </w:r>
      <w:r>
        <w:rPr>
          <w:sz w:val="30"/>
        </w:rPr>
        <w:t>the</w:t>
      </w:r>
      <w:r>
        <w:rPr>
          <w:spacing w:val="-1"/>
          <w:sz w:val="30"/>
        </w:rPr>
        <w:t xml:space="preserve"> </w:t>
      </w:r>
      <w:r>
        <w:rPr>
          <w:i/>
          <w:spacing w:val="-2"/>
          <w:sz w:val="30"/>
        </w:rPr>
        <w:t>Metaphysics.</w:t>
      </w:r>
    </w:p>
    <w:p w14:paraId="7E003184" w14:textId="77777777" w:rsidR="009A58DB" w:rsidRDefault="00000000">
      <w:pPr>
        <w:pStyle w:val="BodyText"/>
        <w:spacing w:before="20" w:line="249" w:lineRule="auto"/>
        <w:ind w:left="720" w:right="359" w:hanging="360"/>
      </w:pPr>
      <w:bookmarkStart w:id="980" w:name="_bookmark980"/>
      <w:bookmarkEnd w:id="980"/>
      <w:r>
        <w:rPr>
          <w:color w:val="0562C1"/>
          <w:position w:val="19"/>
          <w:u w:val="single" w:color="0562C1"/>
        </w:rPr>
        <w:t>[307]</w:t>
      </w:r>
      <w:r>
        <w:rPr>
          <w:sz w:val="22"/>
        </w:rPr>
        <w:t>.</w:t>
      </w:r>
      <w:r>
        <w:rPr>
          <w:spacing w:val="80"/>
          <w:sz w:val="22"/>
        </w:rPr>
        <w:t xml:space="preserve">  </w:t>
      </w:r>
      <w:r>
        <w:t>‘But what about the ‘fact’ that 1 + 1 = 2. That isn’t a distribution of mass-energy?’ That is true. But, if the word ‘fact’ is to be of any philosophical use, it has to be disciplined a bit. And in quasi-stipulatively saying that ‘facts’ are distributions of mass-energy, I am deviating from ordinary usage only as much as is necessary to allow that word to have role in philosophical discourse.</w:t>
      </w:r>
    </w:p>
    <w:p w14:paraId="7E003185" w14:textId="77777777" w:rsidR="009A58DB" w:rsidRDefault="00000000">
      <w:pPr>
        <w:pStyle w:val="BodyText"/>
        <w:spacing w:before="13" w:line="249" w:lineRule="auto"/>
        <w:ind w:left="720" w:right="367" w:hanging="360"/>
      </w:pPr>
      <w:bookmarkStart w:id="981" w:name="_bookmark981"/>
      <w:bookmarkEnd w:id="981"/>
      <w:r>
        <w:rPr>
          <w:color w:val="0562C1"/>
          <w:position w:val="19"/>
          <w:u w:val="single" w:color="0562C1"/>
        </w:rPr>
        <w:t>[308]</w:t>
      </w:r>
      <w:r>
        <w:rPr>
          <w:sz w:val="22"/>
        </w:rPr>
        <w:t>.</w:t>
      </w:r>
      <w:r>
        <w:rPr>
          <w:spacing w:val="80"/>
          <w:w w:val="150"/>
          <w:sz w:val="22"/>
        </w:rPr>
        <w:t xml:space="preserve">  </w:t>
      </w:r>
      <w:r>
        <w:t>In Chapter 11, functionalism is discussed at length, that being why my discussion of it here isn’t as rich in illustrations and clarifications as it would otherwise be.</w:t>
      </w:r>
    </w:p>
    <w:p w14:paraId="7E003186" w14:textId="77777777" w:rsidR="009A58DB" w:rsidRDefault="00000000">
      <w:pPr>
        <w:pStyle w:val="BodyText"/>
        <w:tabs>
          <w:tab w:val="left" w:pos="1459"/>
        </w:tabs>
        <w:spacing w:before="8" w:line="254" w:lineRule="auto"/>
        <w:ind w:right="4862"/>
        <w:jc w:val="left"/>
      </w:pPr>
      <w:bookmarkStart w:id="982" w:name="_bookmark982"/>
      <w:bookmarkEnd w:id="982"/>
      <w:r>
        <w:rPr>
          <w:color w:val="0562C1"/>
          <w:spacing w:val="-2"/>
          <w:position w:val="19"/>
          <w:u w:val="single" w:color="0562C1"/>
        </w:rPr>
        <w:t>[309]</w:t>
      </w:r>
      <w:r>
        <w:rPr>
          <w:spacing w:val="-2"/>
          <w:sz w:val="22"/>
        </w:rPr>
        <w:t>.</w:t>
      </w:r>
      <w:r>
        <w:rPr>
          <w:sz w:val="22"/>
        </w:rPr>
        <w:tab/>
      </w:r>
      <w:r>
        <w:t xml:space="preserve">See Jackson and Pettit (2004). </w:t>
      </w:r>
      <w:bookmarkStart w:id="983" w:name="_bookmark983"/>
      <w:bookmarkEnd w:id="983"/>
      <w:r>
        <w:rPr>
          <w:color w:val="0562C1"/>
          <w:spacing w:val="-2"/>
          <w:position w:val="19"/>
          <w:u w:val="single" w:color="0562C1"/>
        </w:rPr>
        <w:t>[310]</w:t>
      </w:r>
      <w:r>
        <w:rPr>
          <w:spacing w:val="-2"/>
          <w:sz w:val="22"/>
        </w:rPr>
        <w:t>.</w:t>
      </w:r>
      <w:r>
        <w:rPr>
          <w:sz w:val="22"/>
        </w:rPr>
        <w:tab/>
      </w:r>
      <w:r>
        <w:t>“SA”</w:t>
      </w:r>
      <w:r>
        <w:rPr>
          <w:spacing w:val="-10"/>
        </w:rPr>
        <w:t xml:space="preserve"> </w:t>
      </w:r>
      <w:r>
        <w:t>stands</w:t>
      </w:r>
      <w:r>
        <w:rPr>
          <w:spacing w:val="-10"/>
        </w:rPr>
        <w:t xml:space="preserve"> </w:t>
      </w:r>
      <w:r>
        <w:t>for</w:t>
      </w:r>
      <w:r>
        <w:rPr>
          <w:spacing w:val="-10"/>
        </w:rPr>
        <w:t xml:space="preserve"> </w:t>
      </w:r>
      <w:r>
        <w:t>“Smith</w:t>
      </w:r>
      <w:r>
        <w:rPr>
          <w:spacing w:val="-10"/>
        </w:rPr>
        <w:t xml:space="preserve"> </w:t>
      </w:r>
      <w:r>
        <w:t>arson.”</w:t>
      </w:r>
    </w:p>
    <w:p w14:paraId="7E003187" w14:textId="77777777" w:rsidR="009A58DB" w:rsidRDefault="00000000">
      <w:pPr>
        <w:pStyle w:val="BodyText"/>
        <w:tabs>
          <w:tab w:val="left" w:pos="1789"/>
        </w:tabs>
        <w:spacing w:line="249" w:lineRule="auto"/>
        <w:ind w:left="720" w:right="365" w:hanging="360"/>
      </w:pPr>
      <w:bookmarkStart w:id="984" w:name="_bookmark984"/>
      <w:bookmarkEnd w:id="984"/>
      <w:r>
        <w:rPr>
          <w:color w:val="0562C1"/>
          <w:spacing w:val="-2"/>
          <w:position w:val="19"/>
          <w:u w:val="single" w:color="0562C1"/>
        </w:rPr>
        <w:t>[311]</w:t>
      </w:r>
      <w:r>
        <w:rPr>
          <w:spacing w:val="-2"/>
          <w:sz w:val="22"/>
        </w:rPr>
        <w:t>.</w:t>
      </w:r>
      <w:r>
        <w:rPr>
          <w:sz w:val="22"/>
        </w:rPr>
        <w:tab/>
      </w:r>
      <w:r>
        <w:t>Of course, “smaller” doesn’t always equal harder to know. It’s easier to know people than it is to know galaxies.</w:t>
      </w:r>
    </w:p>
    <w:p w14:paraId="7E003188" w14:textId="77777777" w:rsidR="009A58DB" w:rsidRDefault="00000000">
      <w:pPr>
        <w:pStyle w:val="BodyText"/>
        <w:spacing w:before="6" w:line="249" w:lineRule="auto"/>
        <w:ind w:left="720" w:right="365" w:hanging="360"/>
      </w:pPr>
      <w:bookmarkStart w:id="985" w:name="_bookmark985"/>
      <w:bookmarkEnd w:id="985"/>
      <w:r>
        <w:rPr>
          <w:color w:val="0562C1"/>
          <w:position w:val="19"/>
          <w:u w:val="single" w:color="0562C1"/>
        </w:rPr>
        <w:t>[312]</w:t>
      </w:r>
      <w:r>
        <w:rPr>
          <w:sz w:val="22"/>
        </w:rPr>
        <w:t>.</w:t>
      </w:r>
      <w:r>
        <w:rPr>
          <w:spacing w:val="80"/>
          <w:w w:val="150"/>
          <w:sz w:val="22"/>
        </w:rPr>
        <w:t xml:space="preserve">  </w:t>
      </w:r>
      <w:r>
        <w:t>“HC” is short for “Hume on causality.” The “1” corresponds to the fact that this is the first of two analyses of causation that Hume gives.</w:t>
      </w:r>
    </w:p>
    <w:p w14:paraId="7E00318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8A" w14:textId="77777777" w:rsidR="009A58DB" w:rsidRDefault="00000000">
      <w:pPr>
        <w:tabs>
          <w:tab w:val="left" w:pos="1459"/>
        </w:tabs>
        <w:spacing w:before="70"/>
        <w:ind w:left="360"/>
        <w:rPr>
          <w:sz w:val="30"/>
        </w:rPr>
      </w:pPr>
      <w:bookmarkStart w:id="986" w:name="_bookmark986"/>
      <w:bookmarkEnd w:id="986"/>
      <w:r>
        <w:rPr>
          <w:color w:val="0562C1"/>
          <w:spacing w:val="-2"/>
          <w:position w:val="19"/>
          <w:sz w:val="30"/>
          <w:u w:val="single" w:color="0562C1"/>
        </w:rPr>
        <w:t>[313]</w:t>
      </w:r>
      <w:r>
        <w:rPr>
          <w:spacing w:val="-2"/>
        </w:rPr>
        <w:t>.</w:t>
      </w:r>
      <w:r>
        <w:tab/>
      </w:r>
      <w:r>
        <w:rPr>
          <w:sz w:val="30"/>
        </w:rPr>
        <w:t>Hume,</w:t>
      </w:r>
      <w:r>
        <w:rPr>
          <w:spacing w:val="-5"/>
          <w:sz w:val="30"/>
        </w:rPr>
        <w:t xml:space="preserve"> </w:t>
      </w:r>
      <w:r>
        <w:rPr>
          <w:i/>
          <w:sz w:val="30"/>
        </w:rPr>
        <w:t>A</w:t>
      </w:r>
      <w:r>
        <w:rPr>
          <w:i/>
          <w:spacing w:val="-3"/>
          <w:sz w:val="30"/>
        </w:rPr>
        <w:t xml:space="preserve"> </w:t>
      </w:r>
      <w:r>
        <w:rPr>
          <w:i/>
          <w:sz w:val="30"/>
        </w:rPr>
        <w:t>Treatise</w:t>
      </w:r>
      <w:r>
        <w:rPr>
          <w:i/>
          <w:spacing w:val="-3"/>
          <w:sz w:val="30"/>
        </w:rPr>
        <w:t xml:space="preserve"> </w:t>
      </w:r>
      <w:r>
        <w:rPr>
          <w:i/>
          <w:sz w:val="30"/>
        </w:rPr>
        <w:t>of</w:t>
      </w:r>
      <w:r>
        <w:rPr>
          <w:i/>
          <w:spacing w:val="-3"/>
          <w:sz w:val="30"/>
        </w:rPr>
        <w:t xml:space="preserve"> </w:t>
      </w:r>
      <w:r>
        <w:rPr>
          <w:i/>
          <w:sz w:val="30"/>
        </w:rPr>
        <w:t>Human</w:t>
      </w:r>
      <w:r>
        <w:rPr>
          <w:i/>
          <w:spacing w:val="-3"/>
          <w:sz w:val="30"/>
        </w:rPr>
        <w:t xml:space="preserve"> </w:t>
      </w:r>
      <w:r>
        <w:rPr>
          <w:i/>
          <w:sz w:val="30"/>
        </w:rPr>
        <w:t>Nature,</w:t>
      </w:r>
      <w:r>
        <w:rPr>
          <w:i/>
          <w:spacing w:val="-3"/>
          <w:sz w:val="30"/>
        </w:rPr>
        <w:t xml:space="preserve"> </w:t>
      </w:r>
      <w:r>
        <w:rPr>
          <w:sz w:val="30"/>
        </w:rPr>
        <w:t>Book</w:t>
      </w:r>
      <w:r>
        <w:rPr>
          <w:spacing w:val="-2"/>
          <w:sz w:val="30"/>
        </w:rPr>
        <w:t xml:space="preserve"> </w:t>
      </w:r>
      <w:r>
        <w:rPr>
          <w:sz w:val="30"/>
        </w:rPr>
        <w:t>1,</w:t>
      </w:r>
      <w:r>
        <w:rPr>
          <w:spacing w:val="-2"/>
          <w:sz w:val="30"/>
        </w:rPr>
        <w:t xml:space="preserve"> </w:t>
      </w:r>
      <w:r>
        <w:rPr>
          <w:sz w:val="30"/>
        </w:rPr>
        <w:t>Chapter</w:t>
      </w:r>
      <w:r>
        <w:rPr>
          <w:spacing w:val="-3"/>
          <w:sz w:val="30"/>
        </w:rPr>
        <w:t xml:space="preserve"> </w:t>
      </w:r>
      <w:r>
        <w:rPr>
          <w:spacing w:val="-4"/>
          <w:sz w:val="30"/>
        </w:rPr>
        <w:t>XIV.</w:t>
      </w:r>
    </w:p>
    <w:p w14:paraId="7E00318B" w14:textId="77777777" w:rsidR="009A58DB" w:rsidRDefault="00000000">
      <w:pPr>
        <w:pStyle w:val="BodyText"/>
        <w:spacing w:before="20" w:line="249" w:lineRule="auto"/>
        <w:ind w:left="720" w:right="365" w:hanging="360"/>
      </w:pPr>
      <w:bookmarkStart w:id="987" w:name="_bookmark987"/>
      <w:bookmarkEnd w:id="987"/>
      <w:r>
        <w:rPr>
          <w:color w:val="0562C1"/>
          <w:position w:val="19"/>
          <w:u w:val="single" w:color="0562C1"/>
        </w:rPr>
        <w:t>[314]</w:t>
      </w:r>
      <w:r>
        <w:rPr>
          <w:sz w:val="22"/>
        </w:rPr>
        <w:t>.</w:t>
      </w:r>
      <w:r>
        <w:rPr>
          <w:spacing w:val="80"/>
          <w:w w:val="150"/>
          <w:sz w:val="22"/>
        </w:rPr>
        <w:t xml:space="preserve">  </w:t>
      </w:r>
      <w:r>
        <w:t>“HC” is short for “Hume on causality.” The “1” corresponds to the fact that this is the first of two analyses of causation that Hume gives.</w:t>
      </w:r>
    </w:p>
    <w:p w14:paraId="7E00318C" w14:textId="77777777" w:rsidR="009A58DB" w:rsidRDefault="00000000">
      <w:pPr>
        <w:pStyle w:val="BodyText"/>
        <w:tabs>
          <w:tab w:val="left" w:pos="1669"/>
        </w:tabs>
        <w:spacing w:before="7"/>
        <w:jc w:val="left"/>
      </w:pPr>
      <w:bookmarkStart w:id="988" w:name="_bookmark988"/>
      <w:bookmarkEnd w:id="988"/>
      <w:r>
        <w:rPr>
          <w:color w:val="0562C1"/>
          <w:spacing w:val="-2"/>
          <w:position w:val="19"/>
          <w:u w:val="single" w:color="0562C1"/>
        </w:rPr>
        <w:t>[315]</w:t>
      </w:r>
      <w:r>
        <w:rPr>
          <w:spacing w:val="-2"/>
          <w:sz w:val="22"/>
        </w:rPr>
        <w:t>.</w:t>
      </w:r>
      <w:r>
        <w:rPr>
          <w:sz w:val="22"/>
        </w:rPr>
        <w:tab/>
      </w:r>
      <w:r>
        <w:t>See</w:t>
      </w:r>
      <w:r>
        <w:rPr>
          <w:spacing w:val="26"/>
        </w:rPr>
        <w:t xml:space="preserve"> </w:t>
      </w:r>
      <w:r>
        <w:t>Infeld</w:t>
      </w:r>
      <w:r>
        <w:rPr>
          <w:spacing w:val="28"/>
        </w:rPr>
        <w:t xml:space="preserve"> </w:t>
      </w:r>
      <w:r>
        <w:t>(1950),</w:t>
      </w:r>
      <w:r>
        <w:rPr>
          <w:spacing w:val="29"/>
        </w:rPr>
        <w:t xml:space="preserve"> </w:t>
      </w:r>
      <w:r>
        <w:t>Einstein</w:t>
      </w:r>
      <w:r>
        <w:rPr>
          <w:spacing w:val="28"/>
        </w:rPr>
        <w:t xml:space="preserve"> </w:t>
      </w:r>
      <w:r>
        <w:t>(1952),</w:t>
      </w:r>
      <w:r>
        <w:rPr>
          <w:spacing w:val="29"/>
        </w:rPr>
        <w:t xml:space="preserve"> </w:t>
      </w:r>
      <w:r>
        <w:t>Reichenbach</w:t>
      </w:r>
      <w:r>
        <w:rPr>
          <w:spacing w:val="28"/>
        </w:rPr>
        <w:t xml:space="preserve"> </w:t>
      </w:r>
      <w:r>
        <w:t>(1957),</w:t>
      </w:r>
      <w:r>
        <w:rPr>
          <w:spacing w:val="29"/>
        </w:rPr>
        <w:t xml:space="preserve"> </w:t>
      </w:r>
      <w:r>
        <w:rPr>
          <w:spacing w:val="-2"/>
        </w:rPr>
        <w:t>Einstein</w:t>
      </w:r>
    </w:p>
    <w:p w14:paraId="7E00318D" w14:textId="77777777" w:rsidR="009A58DB" w:rsidRDefault="00000000">
      <w:pPr>
        <w:pStyle w:val="BodyText"/>
        <w:spacing w:before="15"/>
        <w:ind w:left="720"/>
      </w:pPr>
      <w:r>
        <w:t>and</w:t>
      </w:r>
      <w:r>
        <w:rPr>
          <w:spacing w:val="-3"/>
        </w:rPr>
        <w:t xml:space="preserve"> </w:t>
      </w:r>
      <w:r>
        <w:t>Infeld</w:t>
      </w:r>
      <w:r>
        <w:rPr>
          <w:spacing w:val="-2"/>
        </w:rPr>
        <w:t xml:space="preserve"> </w:t>
      </w:r>
      <w:r>
        <w:t>(1967),</w:t>
      </w:r>
      <w:r>
        <w:rPr>
          <w:spacing w:val="-2"/>
        </w:rPr>
        <w:t xml:space="preserve"> </w:t>
      </w:r>
      <w:r>
        <w:t>and</w:t>
      </w:r>
      <w:r>
        <w:rPr>
          <w:spacing w:val="-2"/>
        </w:rPr>
        <w:t xml:space="preserve"> </w:t>
      </w:r>
      <w:r>
        <w:t>Sklar</w:t>
      </w:r>
      <w:r>
        <w:rPr>
          <w:spacing w:val="-3"/>
        </w:rPr>
        <w:t xml:space="preserve"> </w:t>
      </w:r>
      <w:r>
        <w:rPr>
          <w:spacing w:val="-2"/>
        </w:rPr>
        <w:t>(1974).</w:t>
      </w:r>
    </w:p>
    <w:p w14:paraId="7E00318E" w14:textId="77777777" w:rsidR="009A58DB" w:rsidRDefault="00000000">
      <w:pPr>
        <w:pStyle w:val="BodyText"/>
        <w:spacing w:before="20" w:line="252" w:lineRule="auto"/>
        <w:ind w:left="720" w:right="359" w:hanging="360"/>
      </w:pPr>
      <w:bookmarkStart w:id="989" w:name="_bookmark989"/>
      <w:bookmarkEnd w:id="989"/>
      <w:r>
        <w:rPr>
          <w:color w:val="0562C1"/>
          <w:position w:val="22"/>
          <w:u w:val="single" w:color="0562C1"/>
        </w:rPr>
        <w:t>[316]</w:t>
      </w:r>
      <w:r>
        <w:rPr>
          <w:sz w:val="34"/>
        </w:rPr>
        <w:t>.</w:t>
      </w:r>
      <w:r>
        <w:rPr>
          <w:spacing w:val="40"/>
          <w:sz w:val="34"/>
        </w:rPr>
        <w:t xml:space="preserve">  </w:t>
      </w:r>
      <w:r>
        <w:t>A consequence of the fact that order in time and in space are to be understood in causal terms is that there are place-times, but no places and no times (i.e., there are places that can be occupied by things existing at different</w:t>
      </w:r>
      <w:r>
        <w:rPr>
          <w:spacing w:val="-1"/>
        </w:rPr>
        <w:t xml:space="preserve"> </w:t>
      </w:r>
      <w:r>
        <w:t>times</w:t>
      </w:r>
      <w:r>
        <w:rPr>
          <w:spacing w:val="-1"/>
        </w:rPr>
        <w:t xml:space="preserve"> </w:t>
      </w:r>
      <w:r>
        <w:t>or</w:t>
      </w:r>
      <w:r>
        <w:rPr>
          <w:spacing w:val="-1"/>
        </w:rPr>
        <w:t xml:space="preserve"> </w:t>
      </w:r>
      <w:r>
        <w:t>times</w:t>
      </w:r>
      <w:r>
        <w:rPr>
          <w:spacing w:val="-1"/>
        </w:rPr>
        <w:t xml:space="preserve"> </w:t>
      </w:r>
      <w:r>
        <w:t>that</w:t>
      </w:r>
      <w:r>
        <w:rPr>
          <w:spacing w:val="-1"/>
        </w:rPr>
        <w:t xml:space="preserve"> </w:t>
      </w:r>
      <w:r>
        <w:t>can</w:t>
      </w:r>
      <w:r>
        <w:rPr>
          <w:spacing w:val="-1"/>
        </w:rPr>
        <w:t xml:space="preserve"> </w:t>
      </w:r>
      <w:r>
        <w:t>be</w:t>
      </w:r>
      <w:r>
        <w:rPr>
          <w:spacing w:val="-1"/>
        </w:rPr>
        <w:t xml:space="preserve"> </w:t>
      </w:r>
      <w:r>
        <w:t>occupied</w:t>
      </w:r>
      <w:r>
        <w:rPr>
          <w:spacing w:val="-1"/>
        </w:rPr>
        <w:t xml:space="preserve"> </w:t>
      </w:r>
      <w:r>
        <w:t>by</w:t>
      </w:r>
      <w:r>
        <w:rPr>
          <w:spacing w:val="-1"/>
        </w:rPr>
        <w:t xml:space="preserve"> </w:t>
      </w:r>
      <w:r>
        <w:t>things</w:t>
      </w:r>
      <w:r>
        <w:rPr>
          <w:spacing w:val="-1"/>
        </w:rPr>
        <w:t xml:space="preserve"> </w:t>
      </w:r>
      <w:r>
        <w:t>existing</w:t>
      </w:r>
      <w:r>
        <w:rPr>
          <w:spacing w:val="-1"/>
        </w:rPr>
        <w:t xml:space="preserve"> </w:t>
      </w:r>
      <w:r>
        <w:t>in</w:t>
      </w:r>
      <w:r>
        <w:rPr>
          <w:spacing w:val="-1"/>
        </w:rPr>
        <w:t xml:space="preserve"> </w:t>
      </w:r>
      <w:r>
        <w:t xml:space="preserve">different </w:t>
      </w:r>
      <w:r>
        <w:rPr>
          <w:spacing w:val="-2"/>
        </w:rPr>
        <w:t>places).</w:t>
      </w:r>
    </w:p>
    <w:p w14:paraId="7E00318F" w14:textId="77777777" w:rsidR="009A58DB" w:rsidRDefault="00000000">
      <w:pPr>
        <w:pStyle w:val="BodyText"/>
        <w:spacing w:before="38" w:line="249" w:lineRule="auto"/>
        <w:ind w:left="720" w:right="362" w:firstLine="360"/>
      </w:pPr>
      <w:r>
        <w:t>As we noted, one event’s preceding another consists in there being a possible signal (e.g., a light beam) beginning with the first and ending</w:t>
      </w:r>
      <w:r>
        <w:rPr>
          <w:spacing w:val="40"/>
        </w:rPr>
        <w:t xml:space="preserve"> </w:t>
      </w:r>
      <w:r>
        <w:t>with the second. Given a pair of events related to each other in this way, let us say that the one from which the signal is sent can “influence” the</w:t>
      </w:r>
      <w:r>
        <w:rPr>
          <w:spacing w:val="40"/>
        </w:rPr>
        <w:t xml:space="preserve"> </w:t>
      </w:r>
      <w:r>
        <w:t>one to which it is sent. In light of this, imagine the following. There is some event E</w:t>
      </w:r>
      <w:r>
        <w:rPr>
          <w:vertAlign w:val="subscript"/>
        </w:rPr>
        <w:t>1</w:t>
      </w:r>
      <w:r>
        <w:t xml:space="preserve"> from which three different sequences of events</w:t>
      </w:r>
    </w:p>
    <w:p w14:paraId="7E003190" w14:textId="77777777" w:rsidR="009A58DB" w:rsidRDefault="00000000">
      <w:pPr>
        <w:spacing w:before="60" w:line="254" w:lineRule="auto"/>
        <w:ind w:left="720" w:right="358"/>
        <w:jc w:val="both"/>
        <w:rPr>
          <w:sz w:val="34"/>
        </w:rPr>
      </w:pPr>
      <w:r>
        <w:rPr>
          <w:sz w:val="34"/>
        </w:rPr>
        <w:t>(event-sequences) emanate; these being E</w:t>
      </w:r>
      <w:r>
        <w:rPr>
          <w:sz w:val="34"/>
          <w:vertAlign w:val="subscript"/>
        </w:rPr>
        <w:t>2</w:t>
      </w:r>
      <w:r>
        <w:rPr>
          <w:sz w:val="34"/>
        </w:rPr>
        <w:t>...E</w:t>
      </w:r>
      <w:r>
        <w:rPr>
          <w:sz w:val="34"/>
          <w:vertAlign w:val="subscript"/>
        </w:rPr>
        <w:t>1</w:t>
      </w:r>
      <w:r>
        <w:rPr>
          <w:sz w:val="34"/>
        </w:rPr>
        <w:t>, E*</w:t>
      </w:r>
      <w:r>
        <w:rPr>
          <w:sz w:val="34"/>
          <w:vertAlign w:val="subscript"/>
        </w:rPr>
        <w:t>2</w:t>
      </w:r>
      <w:r>
        <w:rPr>
          <w:sz w:val="34"/>
        </w:rPr>
        <w:t>...E*</w:t>
      </w:r>
      <w:r>
        <w:rPr>
          <w:sz w:val="34"/>
          <w:vertAlign w:val="subscript"/>
        </w:rPr>
        <w:t>m</w:t>
      </w:r>
      <w:r>
        <w:rPr>
          <w:sz w:val="34"/>
        </w:rPr>
        <w:t>, and E</w:t>
      </w:r>
      <w:r>
        <w:rPr>
          <w:sz w:val="34"/>
          <w:vertAlign w:val="subscript"/>
        </w:rPr>
        <w:t>#1</w:t>
      </w:r>
      <w:r>
        <w:rPr>
          <w:sz w:val="34"/>
        </w:rPr>
        <w:t>...E</w:t>
      </w:r>
      <w:r>
        <w:rPr>
          <w:sz w:val="34"/>
          <w:vertAlign w:val="subscript"/>
        </w:rPr>
        <w:t>#1</w:t>
      </w:r>
      <w:r>
        <w:rPr>
          <w:sz w:val="34"/>
        </w:rPr>
        <w:t>. E</w:t>
      </w:r>
      <w:r>
        <w:rPr>
          <w:sz w:val="34"/>
          <w:vertAlign w:val="subscript"/>
        </w:rPr>
        <w:t>5</w:t>
      </w:r>
      <w:r>
        <w:rPr>
          <w:sz w:val="34"/>
        </w:rPr>
        <w:t xml:space="preserve"> may be able to influence E*</w:t>
      </w:r>
      <w:r>
        <w:rPr>
          <w:sz w:val="34"/>
          <w:vertAlign w:val="subscript"/>
        </w:rPr>
        <w:t>5</w:t>
      </w:r>
      <w:r>
        <w:rPr>
          <w:sz w:val="34"/>
        </w:rPr>
        <w:t xml:space="preserve"> while not being able to influence E#5. In fact, E*5 may be able to influence E*5 but </w:t>
      </w:r>
      <w:r>
        <w:rPr>
          <w:i/>
          <w:sz w:val="34"/>
        </w:rPr>
        <w:t xml:space="preserve">not </w:t>
      </w:r>
      <w:r>
        <w:rPr>
          <w:sz w:val="34"/>
        </w:rPr>
        <w:t>be able to influence E*4. Intuitively speaking, the reason for this is that whether one event can influence another is a function not just of the times of those events, but also of their positions. Thus, if x bears the influence-relation to y, that is in virtue of the relation borne by x’s place-time to y’s place-time. Thus, order in time</w:t>
      </w:r>
      <w:r>
        <w:rPr>
          <w:spacing w:val="38"/>
          <w:sz w:val="34"/>
        </w:rPr>
        <w:t xml:space="preserve"> </w:t>
      </w:r>
      <w:r>
        <w:rPr>
          <w:sz w:val="34"/>
        </w:rPr>
        <w:t>is</w:t>
      </w:r>
      <w:r>
        <w:rPr>
          <w:spacing w:val="38"/>
          <w:sz w:val="34"/>
        </w:rPr>
        <w:t xml:space="preserve"> </w:t>
      </w:r>
      <w:r>
        <w:rPr>
          <w:sz w:val="34"/>
        </w:rPr>
        <w:t>order</w:t>
      </w:r>
      <w:r>
        <w:rPr>
          <w:spacing w:val="38"/>
          <w:sz w:val="34"/>
        </w:rPr>
        <w:t xml:space="preserve"> </w:t>
      </w:r>
      <w:r>
        <w:rPr>
          <w:sz w:val="34"/>
        </w:rPr>
        <w:t>in</w:t>
      </w:r>
      <w:r>
        <w:rPr>
          <w:spacing w:val="38"/>
          <w:sz w:val="34"/>
        </w:rPr>
        <w:t xml:space="preserve"> </w:t>
      </w:r>
      <w:r>
        <w:rPr>
          <w:sz w:val="34"/>
        </w:rPr>
        <w:t>place-time,</w:t>
      </w:r>
      <w:r>
        <w:rPr>
          <w:spacing w:val="38"/>
          <w:sz w:val="34"/>
        </w:rPr>
        <w:t xml:space="preserve"> </w:t>
      </w:r>
      <w:r>
        <w:rPr>
          <w:sz w:val="34"/>
        </w:rPr>
        <w:t>and</w:t>
      </w:r>
      <w:r>
        <w:rPr>
          <w:spacing w:val="38"/>
          <w:sz w:val="34"/>
        </w:rPr>
        <w:t xml:space="preserve"> </w:t>
      </w:r>
      <w:r>
        <w:rPr>
          <w:sz w:val="34"/>
        </w:rPr>
        <w:t>so,</w:t>
      </w:r>
      <w:r>
        <w:rPr>
          <w:spacing w:val="38"/>
          <w:sz w:val="34"/>
        </w:rPr>
        <w:t xml:space="preserve"> </w:t>
      </w:r>
      <w:r>
        <w:rPr>
          <w:sz w:val="34"/>
        </w:rPr>
        <w:t>for</w:t>
      </w:r>
      <w:r>
        <w:rPr>
          <w:spacing w:val="38"/>
          <w:sz w:val="34"/>
        </w:rPr>
        <w:t xml:space="preserve"> </w:t>
      </w:r>
      <w:r>
        <w:rPr>
          <w:sz w:val="34"/>
        </w:rPr>
        <w:t>similar</w:t>
      </w:r>
      <w:r>
        <w:rPr>
          <w:spacing w:val="38"/>
          <w:sz w:val="34"/>
        </w:rPr>
        <w:t xml:space="preserve"> </w:t>
      </w:r>
      <w:r>
        <w:rPr>
          <w:sz w:val="34"/>
        </w:rPr>
        <w:t>reasons,</w:t>
      </w:r>
      <w:r>
        <w:rPr>
          <w:spacing w:val="38"/>
          <w:sz w:val="34"/>
        </w:rPr>
        <w:t xml:space="preserve"> </w:t>
      </w:r>
      <w:r>
        <w:rPr>
          <w:sz w:val="34"/>
        </w:rPr>
        <w:t>is</w:t>
      </w:r>
      <w:r>
        <w:rPr>
          <w:spacing w:val="38"/>
          <w:sz w:val="34"/>
        </w:rPr>
        <w:t xml:space="preserve"> </w:t>
      </w:r>
      <w:r>
        <w:rPr>
          <w:sz w:val="34"/>
        </w:rPr>
        <w:t>order in time.</w:t>
      </w:r>
    </w:p>
    <w:p w14:paraId="7E003191" w14:textId="77777777" w:rsidR="009A58DB" w:rsidRDefault="00000000">
      <w:pPr>
        <w:pStyle w:val="BodyText"/>
        <w:tabs>
          <w:tab w:val="left" w:pos="1527"/>
        </w:tabs>
        <w:spacing w:before="8"/>
        <w:jc w:val="left"/>
      </w:pPr>
      <w:bookmarkStart w:id="990" w:name="_bookmark990"/>
      <w:bookmarkEnd w:id="990"/>
      <w:r>
        <w:rPr>
          <w:color w:val="0562C1"/>
          <w:spacing w:val="-2"/>
          <w:position w:val="22"/>
          <w:u w:val="single" w:color="0562C1"/>
        </w:rPr>
        <w:t>[317]</w:t>
      </w:r>
      <w:r>
        <w:rPr>
          <w:spacing w:val="-2"/>
          <w:sz w:val="34"/>
        </w:rPr>
        <w:t>.</w:t>
      </w:r>
      <w:r>
        <w:rPr>
          <w:sz w:val="34"/>
        </w:rPr>
        <w:tab/>
      </w:r>
      <w:r>
        <w:t>See</w:t>
      </w:r>
      <w:r>
        <w:rPr>
          <w:spacing w:val="-6"/>
        </w:rPr>
        <w:t xml:space="preserve"> </w:t>
      </w:r>
      <w:r>
        <w:t>Reichenbach</w:t>
      </w:r>
      <w:r>
        <w:rPr>
          <w:spacing w:val="-3"/>
        </w:rPr>
        <w:t xml:space="preserve"> </w:t>
      </w:r>
      <w:r>
        <w:t>(1957)</w:t>
      </w:r>
      <w:r>
        <w:rPr>
          <w:spacing w:val="-4"/>
        </w:rPr>
        <w:t xml:space="preserve"> </w:t>
      </w:r>
      <w:r>
        <w:t>and</w:t>
      </w:r>
      <w:r>
        <w:rPr>
          <w:spacing w:val="-3"/>
        </w:rPr>
        <w:t xml:space="preserve"> </w:t>
      </w:r>
      <w:r>
        <w:t>Sklar</w:t>
      </w:r>
      <w:r>
        <w:rPr>
          <w:spacing w:val="-3"/>
        </w:rPr>
        <w:t xml:space="preserve"> </w:t>
      </w:r>
      <w:r>
        <w:rPr>
          <w:spacing w:val="-2"/>
        </w:rPr>
        <w:t>(1974).</w:t>
      </w:r>
    </w:p>
    <w:p w14:paraId="7E003192" w14:textId="77777777" w:rsidR="009A58DB" w:rsidRDefault="00000000">
      <w:pPr>
        <w:pStyle w:val="BodyText"/>
        <w:tabs>
          <w:tab w:val="left" w:pos="1459"/>
        </w:tabs>
        <w:spacing w:before="57" w:line="254" w:lineRule="auto"/>
        <w:ind w:right="3521"/>
        <w:jc w:val="left"/>
      </w:pPr>
      <w:bookmarkStart w:id="991" w:name="_bookmark991"/>
      <w:bookmarkEnd w:id="991"/>
      <w:r>
        <w:rPr>
          <w:color w:val="0562C1"/>
          <w:spacing w:val="-2"/>
          <w:position w:val="19"/>
          <w:u w:val="single" w:color="0562C1"/>
        </w:rPr>
        <w:t>[318]</w:t>
      </w:r>
      <w:r>
        <w:rPr>
          <w:spacing w:val="-2"/>
          <w:sz w:val="22"/>
        </w:rPr>
        <w:t>.</w:t>
      </w:r>
      <w:r>
        <w:rPr>
          <w:sz w:val="22"/>
        </w:rPr>
        <w:tab/>
      </w:r>
      <w:r>
        <w:t>See</w:t>
      </w:r>
      <w:r>
        <w:rPr>
          <w:spacing w:val="-9"/>
        </w:rPr>
        <w:t xml:space="preserve"> </w:t>
      </w:r>
      <w:r>
        <w:t>Reichenbach</w:t>
      </w:r>
      <w:r>
        <w:rPr>
          <w:spacing w:val="-8"/>
        </w:rPr>
        <w:t xml:space="preserve"> </w:t>
      </w:r>
      <w:r>
        <w:t>(1957)</w:t>
      </w:r>
      <w:r>
        <w:rPr>
          <w:spacing w:val="-9"/>
        </w:rPr>
        <w:t xml:space="preserve"> </w:t>
      </w:r>
      <w:r>
        <w:t>and</w:t>
      </w:r>
      <w:r>
        <w:rPr>
          <w:spacing w:val="-8"/>
        </w:rPr>
        <w:t xml:space="preserve"> </w:t>
      </w:r>
      <w:r>
        <w:t>Sklar</w:t>
      </w:r>
      <w:r>
        <w:rPr>
          <w:spacing w:val="-9"/>
        </w:rPr>
        <w:t xml:space="preserve"> </w:t>
      </w:r>
      <w:r>
        <w:t xml:space="preserve">(1974). </w:t>
      </w:r>
      <w:bookmarkStart w:id="992" w:name="_bookmark992"/>
      <w:bookmarkEnd w:id="992"/>
      <w:r>
        <w:rPr>
          <w:color w:val="0562C1"/>
          <w:spacing w:val="-2"/>
          <w:position w:val="19"/>
          <w:u w:val="single" w:color="0562C1"/>
        </w:rPr>
        <w:t>[319]</w:t>
      </w:r>
      <w:r>
        <w:rPr>
          <w:spacing w:val="-2"/>
          <w:sz w:val="22"/>
        </w:rPr>
        <w:t>.</w:t>
      </w:r>
      <w:r>
        <w:rPr>
          <w:sz w:val="22"/>
        </w:rPr>
        <w:tab/>
      </w:r>
      <w:r>
        <w:t>“IP” stands for “immediately precede.”</w:t>
      </w:r>
    </w:p>
    <w:p w14:paraId="7E003193" w14:textId="77777777" w:rsidR="009A58DB" w:rsidRDefault="009A58DB">
      <w:pPr>
        <w:pStyle w:val="BodyText"/>
        <w:spacing w:line="254" w:lineRule="auto"/>
        <w:jc w:val="left"/>
        <w:sectPr w:rsidR="009A58DB">
          <w:pgSz w:w="12240" w:h="15840"/>
          <w:pgMar w:top="1380" w:right="1080" w:bottom="280" w:left="1080" w:header="720" w:footer="720" w:gutter="0"/>
          <w:cols w:space="720"/>
        </w:sectPr>
      </w:pPr>
    </w:p>
    <w:p w14:paraId="7E003194" w14:textId="77777777" w:rsidR="009A58DB" w:rsidRDefault="00000000">
      <w:pPr>
        <w:pStyle w:val="BodyText"/>
        <w:tabs>
          <w:tab w:val="left" w:pos="1459"/>
        </w:tabs>
        <w:spacing w:before="70"/>
        <w:jc w:val="left"/>
      </w:pPr>
      <w:bookmarkStart w:id="993" w:name="_bookmark993"/>
      <w:bookmarkEnd w:id="993"/>
      <w:r>
        <w:rPr>
          <w:color w:val="0562C1"/>
          <w:spacing w:val="-2"/>
          <w:position w:val="19"/>
          <w:u w:val="single" w:color="0562C1"/>
        </w:rPr>
        <w:t>[320]</w:t>
      </w:r>
      <w:r>
        <w:rPr>
          <w:spacing w:val="-2"/>
          <w:sz w:val="22"/>
        </w:rPr>
        <w:t>.</w:t>
      </w:r>
      <w:r>
        <w:rPr>
          <w:sz w:val="22"/>
        </w:rPr>
        <w:tab/>
      </w:r>
      <w:r>
        <w:t>See</w:t>
      </w:r>
      <w:r>
        <w:rPr>
          <w:spacing w:val="-4"/>
        </w:rPr>
        <w:t xml:space="preserve"> </w:t>
      </w:r>
      <w:r>
        <w:t>Lewis</w:t>
      </w:r>
      <w:r>
        <w:rPr>
          <w:spacing w:val="-4"/>
        </w:rPr>
        <w:t xml:space="preserve"> </w:t>
      </w:r>
      <w:r>
        <w:rPr>
          <w:spacing w:val="-2"/>
        </w:rPr>
        <w:t>(1984).</w:t>
      </w:r>
    </w:p>
    <w:p w14:paraId="7E003195" w14:textId="77777777" w:rsidR="009A58DB" w:rsidRDefault="00000000">
      <w:pPr>
        <w:pStyle w:val="BodyText"/>
        <w:tabs>
          <w:tab w:val="left" w:pos="1459"/>
        </w:tabs>
        <w:spacing w:before="20"/>
        <w:jc w:val="left"/>
      </w:pPr>
      <w:bookmarkStart w:id="994" w:name="_bookmark994"/>
      <w:bookmarkEnd w:id="994"/>
      <w:r>
        <w:rPr>
          <w:color w:val="0562C1"/>
          <w:spacing w:val="-2"/>
          <w:position w:val="19"/>
          <w:u w:val="single" w:color="0562C1"/>
        </w:rPr>
        <w:t>[321]</w:t>
      </w:r>
      <w:r>
        <w:rPr>
          <w:spacing w:val="-2"/>
          <w:sz w:val="22"/>
        </w:rPr>
        <w:t>.</w:t>
      </w:r>
      <w:r>
        <w:rPr>
          <w:sz w:val="22"/>
        </w:rPr>
        <w:tab/>
      </w:r>
      <w:r>
        <w:t>“KN”</w:t>
      </w:r>
      <w:r>
        <w:rPr>
          <w:spacing w:val="-6"/>
        </w:rPr>
        <w:t xml:space="preserve"> </w:t>
      </w:r>
      <w:r>
        <w:t>is</w:t>
      </w:r>
      <w:r>
        <w:rPr>
          <w:spacing w:val="-3"/>
        </w:rPr>
        <w:t xml:space="preserve"> </w:t>
      </w:r>
      <w:r>
        <w:t>short</w:t>
      </w:r>
      <w:r>
        <w:rPr>
          <w:spacing w:val="-3"/>
        </w:rPr>
        <w:t xml:space="preserve"> </w:t>
      </w:r>
      <w:r>
        <w:t>for</w:t>
      </w:r>
      <w:r>
        <w:rPr>
          <w:spacing w:val="-3"/>
        </w:rPr>
        <w:t xml:space="preserve"> </w:t>
      </w:r>
      <w:r>
        <w:t>“Kangaroos</w:t>
      </w:r>
      <w:r>
        <w:rPr>
          <w:spacing w:val="-3"/>
        </w:rPr>
        <w:t xml:space="preserve"> </w:t>
      </w:r>
      <w:r>
        <w:t>with</w:t>
      </w:r>
      <w:r>
        <w:rPr>
          <w:spacing w:val="-2"/>
        </w:rPr>
        <w:t xml:space="preserve"> </w:t>
      </w:r>
      <w:r>
        <w:t>no</w:t>
      </w:r>
      <w:r>
        <w:rPr>
          <w:spacing w:val="-2"/>
        </w:rPr>
        <w:t xml:space="preserve"> tails.”</w:t>
      </w:r>
    </w:p>
    <w:p w14:paraId="7E003196" w14:textId="77777777" w:rsidR="009A58DB" w:rsidRDefault="00000000">
      <w:pPr>
        <w:pStyle w:val="BodyText"/>
        <w:tabs>
          <w:tab w:val="left" w:pos="1459"/>
        </w:tabs>
        <w:spacing w:before="20" w:line="254" w:lineRule="auto"/>
        <w:ind w:right="1840"/>
        <w:jc w:val="left"/>
      </w:pPr>
      <w:bookmarkStart w:id="995" w:name="_bookmark995"/>
      <w:bookmarkEnd w:id="995"/>
      <w:r>
        <w:rPr>
          <w:color w:val="0562C1"/>
          <w:spacing w:val="-2"/>
          <w:position w:val="19"/>
          <w:u w:val="single" w:color="0562C1"/>
        </w:rPr>
        <w:t>[322]</w:t>
      </w:r>
      <w:r>
        <w:rPr>
          <w:spacing w:val="-2"/>
          <w:sz w:val="22"/>
        </w:rPr>
        <w:t>.</w:t>
      </w:r>
      <w:r>
        <w:rPr>
          <w:sz w:val="22"/>
        </w:rPr>
        <w:tab/>
      </w:r>
      <w:r>
        <w:t>“‘LA”</w:t>
      </w:r>
      <w:r>
        <w:rPr>
          <w:spacing w:val="-6"/>
        </w:rPr>
        <w:t xml:space="preserve"> </w:t>
      </w:r>
      <w:r>
        <w:t>is</w:t>
      </w:r>
      <w:r>
        <w:rPr>
          <w:spacing w:val="-6"/>
        </w:rPr>
        <w:t xml:space="preserve"> </w:t>
      </w:r>
      <w:r>
        <w:t>short</w:t>
      </w:r>
      <w:r>
        <w:rPr>
          <w:spacing w:val="-6"/>
        </w:rPr>
        <w:t xml:space="preserve"> </w:t>
      </w:r>
      <w:r>
        <w:t>for</w:t>
      </w:r>
      <w:r>
        <w:rPr>
          <w:spacing w:val="-6"/>
        </w:rPr>
        <w:t xml:space="preserve"> </w:t>
      </w:r>
      <w:r>
        <w:t>“Lewis’s</w:t>
      </w:r>
      <w:r>
        <w:rPr>
          <w:spacing w:val="-6"/>
        </w:rPr>
        <w:t xml:space="preserve"> </w:t>
      </w:r>
      <w:r>
        <w:t>analysis</w:t>
      </w:r>
      <w:r>
        <w:rPr>
          <w:spacing w:val="-6"/>
        </w:rPr>
        <w:t xml:space="preserve"> </w:t>
      </w:r>
      <w:r>
        <w:t>of</w:t>
      </w:r>
      <w:r>
        <w:rPr>
          <w:spacing w:val="-6"/>
        </w:rPr>
        <w:t xml:space="preserve"> </w:t>
      </w:r>
      <w:r>
        <w:t xml:space="preserve">counterfactuals.” </w:t>
      </w:r>
      <w:bookmarkStart w:id="996" w:name="_bookmark996"/>
      <w:bookmarkEnd w:id="996"/>
      <w:r>
        <w:rPr>
          <w:color w:val="0562C1"/>
          <w:spacing w:val="-2"/>
          <w:position w:val="19"/>
          <w:u w:val="single" w:color="0562C1"/>
        </w:rPr>
        <w:t>[323]</w:t>
      </w:r>
      <w:r>
        <w:rPr>
          <w:spacing w:val="-2"/>
          <w:sz w:val="22"/>
        </w:rPr>
        <w:t>.</w:t>
      </w:r>
      <w:r>
        <w:rPr>
          <w:sz w:val="22"/>
        </w:rPr>
        <w:tab/>
      </w:r>
      <w:r>
        <w:t>“LC” is short for “Lewis on causality.”</w:t>
      </w:r>
    </w:p>
    <w:p w14:paraId="7E003197" w14:textId="77777777" w:rsidR="009A58DB" w:rsidRDefault="00000000">
      <w:pPr>
        <w:pStyle w:val="BodyText"/>
        <w:tabs>
          <w:tab w:val="left" w:pos="1459"/>
        </w:tabs>
        <w:spacing w:line="254" w:lineRule="auto"/>
        <w:ind w:right="4354"/>
        <w:jc w:val="left"/>
      </w:pPr>
      <w:bookmarkStart w:id="997" w:name="_bookmark997"/>
      <w:bookmarkEnd w:id="997"/>
      <w:r>
        <w:rPr>
          <w:color w:val="0562C1"/>
          <w:spacing w:val="-2"/>
          <w:position w:val="19"/>
          <w:u w:val="single" w:color="0562C1"/>
        </w:rPr>
        <w:t>[324]</w:t>
      </w:r>
      <w:r>
        <w:rPr>
          <w:spacing w:val="-2"/>
          <w:sz w:val="22"/>
        </w:rPr>
        <w:t>.</w:t>
      </w:r>
      <w:r>
        <w:rPr>
          <w:sz w:val="22"/>
        </w:rPr>
        <w:tab/>
      </w:r>
      <w:r>
        <w:t>“BU”</w:t>
      </w:r>
      <w:r>
        <w:rPr>
          <w:spacing w:val="-6"/>
        </w:rPr>
        <w:t xml:space="preserve"> </w:t>
      </w:r>
      <w:r>
        <w:t>is</w:t>
      </w:r>
      <w:r>
        <w:rPr>
          <w:spacing w:val="-6"/>
        </w:rPr>
        <w:t xml:space="preserve"> </w:t>
      </w:r>
      <w:r>
        <w:t>short</w:t>
      </w:r>
      <w:r>
        <w:rPr>
          <w:spacing w:val="-6"/>
        </w:rPr>
        <w:t xml:space="preserve"> </w:t>
      </w:r>
      <w:r>
        <w:t>for</w:t>
      </w:r>
      <w:r>
        <w:rPr>
          <w:spacing w:val="-6"/>
        </w:rPr>
        <w:t xml:space="preserve"> </w:t>
      </w:r>
      <w:r>
        <w:t>“balls</w:t>
      </w:r>
      <w:r>
        <w:rPr>
          <w:spacing w:val="-6"/>
        </w:rPr>
        <w:t xml:space="preserve"> </w:t>
      </w:r>
      <w:r>
        <w:t>in</w:t>
      </w:r>
      <w:r>
        <w:rPr>
          <w:spacing w:val="-5"/>
        </w:rPr>
        <w:t xml:space="preserve"> </w:t>
      </w:r>
      <w:r>
        <w:t>the</w:t>
      </w:r>
      <w:r>
        <w:rPr>
          <w:spacing w:val="-6"/>
        </w:rPr>
        <w:t xml:space="preserve"> </w:t>
      </w:r>
      <w:r>
        <w:t xml:space="preserve">urn.” </w:t>
      </w:r>
      <w:bookmarkStart w:id="998" w:name="_bookmark998"/>
      <w:bookmarkEnd w:id="998"/>
      <w:r>
        <w:rPr>
          <w:color w:val="0562C1"/>
          <w:spacing w:val="-2"/>
          <w:position w:val="19"/>
          <w:u w:val="single" w:color="0562C1"/>
        </w:rPr>
        <w:t>[325]</w:t>
      </w:r>
      <w:r>
        <w:rPr>
          <w:spacing w:val="-2"/>
          <w:sz w:val="22"/>
        </w:rPr>
        <w:t>.</w:t>
      </w:r>
      <w:r>
        <w:rPr>
          <w:sz w:val="22"/>
        </w:rPr>
        <w:tab/>
      </w:r>
      <w:r>
        <w:t>“BB” stands for “black ball.”</w:t>
      </w:r>
      <w:r>
        <w:rPr>
          <w:spacing w:val="75"/>
        </w:rPr>
        <w:t xml:space="preserve"> </w:t>
      </w:r>
      <w:bookmarkStart w:id="999" w:name="_bookmark999"/>
      <w:bookmarkEnd w:id="999"/>
      <w:r>
        <w:rPr>
          <w:color w:val="0562C1"/>
          <w:spacing w:val="-2"/>
          <w:position w:val="19"/>
          <w:u w:val="single" w:color="0562C1"/>
        </w:rPr>
        <w:t>[326]</w:t>
      </w:r>
      <w:r>
        <w:rPr>
          <w:spacing w:val="-2"/>
          <w:sz w:val="22"/>
        </w:rPr>
        <w:t>.</w:t>
      </w:r>
      <w:r>
        <w:rPr>
          <w:sz w:val="22"/>
        </w:rPr>
        <w:tab/>
      </w:r>
      <w:r>
        <w:t xml:space="preserve">“WB” stands for “white ball.” </w:t>
      </w:r>
      <w:bookmarkStart w:id="1000" w:name="_bookmark1000"/>
      <w:bookmarkEnd w:id="1000"/>
      <w:r>
        <w:rPr>
          <w:color w:val="0562C1"/>
          <w:spacing w:val="-2"/>
          <w:position w:val="19"/>
          <w:u w:val="single" w:color="0562C1"/>
        </w:rPr>
        <w:t>[327]</w:t>
      </w:r>
      <w:r>
        <w:rPr>
          <w:spacing w:val="-2"/>
          <w:sz w:val="22"/>
        </w:rPr>
        <w:t>.</w:t>
      </w:r>
      <w:r>
        <w:rPr>
          <w:sz w:val="22"/>
        </w:rPr>
        <w:tab/>
      </w:r>
      <w:r>
        <w:t>See Lewis (1986).</w:t>
      </w:r>
    </w:p>
    <w:p w14:paraId="7E003198" w14:textId="77777777" w:rsidR="009A58DB" w:rsidRDefault="00000000">
      <w:pPr>
        <w:pStyle w:val="BodyText"/>
        <w:tabs>
          <w:tab w:val="left" w:pos="1549"/>
        </w:tabs>
        <w:spacing w:line="249" w:lineRule="auto"/>
        <w:ind w:right="365"/>
        <w:jc w:val="left"/>
      </w:pPr>
      <w:bookmarkStart w:id="1001" w:name="_bookmark1001"/>
      <w:bookmarkEnd w:id="1001"/>
      <w:r>
        <w:rPr>
          <w:color w:val="0562C1"/>
          <w:spacing w:val="-2"/>
          <w:position w:val="19"/>
          <w:u w:val="single" w:color="0562C1"/>
        </w:rPr>
        <w:t>[328]</w:t>
      </w:r>
      <w:r>
        <w:rPr>
          <w:spacing w:val="-2"/>
          <w:sz w:val="22"/>
        </w:rPr>
        <w:t>.</w:t>
      </w:r>
      <w:r>
        <w:rPr>
          <w:sz w:val="22"/>
        </w:rPr>
        <w:tab/>
      </w:r>
      <w:r>
        <w:t>“LA” is short for “Lewis’ analysis of induction.” See Lewis (1973, 1984, 1986).</w:t>
      </w:r>
    </w:p>
    <w:p w14:paraId="7E003199" w14:textId="77777777" w:rsidR="009A58DB" w:rsidRDefault="00000000">
      <w:pPr>
        <w:pStyle w:val="BodyText"/>
        <w:tabs>
          <w:tab w:val="left" w:pos="1459"/>
        </w:tabs>
        <w:spacing w:before="3" w:line="254" w:lineRule="auto"/>
        <w:ind w:right="3971"/>
        <w:jc w:val="left"/>
      </w:pPr>
      <w:bookmarkStart w:id="1002" w:name="_bookmark1002"/>
      <w:bookmarkEnd w:id="1002"/>
      <w:r>
        <w:rPr>
          <w:color w:val="0562C1"/>
          <w:spacing w:val="-2"/>
          <w:position w:val="19"/>
          <w:u w:val="single" w:color="0562C1"/>
        </w:rPr>
        <w:t>[329]</w:t>
      </w:r>
      <w:r>
        <w:rPr>
          <w:spacing w:val="-2"/>
          <w:sz w:val="22"/>
        </w:rPr>
        <w:t>.</w:t>
      </w:r>
      <w:r>
        <w:rPr>
          <w:sz w:val="22"/>
        </w:rPr>
        <w:tab/>
      </w:r>
      <w:r>
        <w:t>“HA”</w:t>
      </w:r>
      <w:r>
        <w:rPr>
          <w:spacing w:val="-8"/>
        </w:rPr>
        <w:t xml:space="preserve"> </w:t>
      </w:r>
      <w:r>
        <w:t>is</w:t>
      </w:r>
      <w:r>
        <w:rPr>
          <w:spacing w:val="-8"/>
        </w:rPr>
        <w:t xml:space="preserve"> </w:t>
      </w:r>
      <w:r>
        <w:t>short</w:t>
      </w:r>
      <w:r>
        <w:rPr>
          <w:spacing w:val="-8"/>
        </w:rPr>
        <w:t xml:space="preserve"> </w:t>
      </w:r>
      <w:r>
        <w:t>for</w:t>
      </w:r>
      <w:r>
        <w:rPr>
          <w:spacing w:val="-8"/>
        </w:rPr>
        <w:t xml:space="preserve"> </w:t>
      </w:r>
      <w:r>
        <w:t>“Hume’s</w:t>
      </w:r>
      <w:r>
        <w:rPr>
          <w:spacing w:val="-8"/>
        </w:rPr>
        <w:t xml:space="preserve"> </w:t>
      </w:r>
      <w:r>
        <w:t xml:space="preserve">argument.” </w:t>
      </w:r>
      <w:bookmarkStart w:id="1003" w:name="_bookmark1003"/>
      <w:bookmarkEnd w:id="1003"/>
      <w:r>
        <w:rPr>
          <w:color w:val="0562C1"/>
          <w:spacing w:val="-2"/>
          <w:position w:val="19"/>
          <w:u w:val="single" w:color="0562C1"/>
        </w:rPr>
        <w:t>[330]</w:t>
      </w:r>
      <w:r>
        <w:rPr>
          <w:spacing w:val="-2"/>
          <w:sz w:val="22"/>
        </w:rPr>
        <w:t>.</w:t>
      </w:r>
      <w:r>
        <w:rPr>
          <w:sz w:val="22"/>
        </w:rPr>
        <w:tab/>
      </w:r>
      <w:r>
        <w:t>Goodman (1983).</w:t>
      </w:r>
    </w:p>
    <w:p w14:paraId="7E00319A" w14:textId="77777777" w:rsidR="009A58DB" w:rsidRDefault="00000000">
      <w:pPr>
        <w:pStyle w:val="BodyText"/>
        <w:spacing w:line="252" w:lineRule="auto"/>
        <w:ind w:left="720" w:right="362" w:hanging="360"/>
      </w:pPr>
      <w:bookmarkStart w:id="1004" w:name="_bookmark1004"/>
      <w:bookmarkEnd w:id="1004"/>
      <w:r>
        <w:rPr>
          <w:color w:val="0562C1"/>
          <w:position w:val="22"/>
          <w:u w:val="single" w:color="0562C1"/>
        </w:rPr>
        <w:t>[331]</w:t>
      </w:r>
      <w:r>
        <w:rPr>
          <w:sz w:val="34"/>
        </w:rPr>
        <w:t>.</w:t>
      </w:r>
      <w:r>
        <w:rPr>
          <w:spacing w:val="40"/>
          <w:sz w:val="34"/>
        </w:rPr>
        <w:t xml:space="preserve">  </w:t>
      </w:r>
      <w:r>
        <w:t>Statements are either true or they aren’t. Explanations either goes through or they don’t. There are no “scientific” statements, and there are no “unscientific” statements.</w:t>
      </w:r>
    </w:p>
    <w:p w14:paraId="7E00319B" w14:textId="77777777" w:rsidR="009A58DB" w:rsidRDefault="00000000">
      <w:pPr>
        <w:pStyle w:val="BodyText"/>
        <w:spacing w:line="249" w:lineRule="auto"/>
        <w:ind w:left="720" w:right="358" w:firstLine="360"/>
      </w:pPr>
      <w:r>
        <w:t xml:space="preserve">To the extent that an utterance lacks a clear meaning, it constitutes a failed attempt to make a statement and therefore </w:t>
      </w:r>
      <w:r>
        <w:rPr>
          <w:i/>
        </w:rPr>
        <w:t xml:space="preserve">isn’t </w:t>
      </w:r>
      <w:r>
        <w:t>a statement. And to the extent that an utterance has a clear meaning, it’s either true or false, and therefore cannot meaningfully be described as “scientific” or “unscientific.” If T is true, science has to accept it; if T is false, science</w:t>
      </w:r>
      <w:r>
        <w:rPr>
          <w:spacing w:val="40"/>
        </w:rPr>
        <w:t xml:space="preserve"> </w:t>
      </w:r>
      <w:r>
        <w:t>has to reject it. Period.</w:t>
      </w:r>
    </w:p>
    <w:p w14:paraId="7E00319C" w14:textId="77777777" w:rsidR="009A58DB" w:rsidRDefault="00000000">
      <w:pPr>
        <w:pStyle w:val="BodyText"/>
        <w:spacing w:before="4"/>
        <w:ind w:left="1080"/>
      </w:pPr>
      <w:r>
        <w:t>That</w:t>
      </w:r>
      <w:r>
        <w:rPr>
          <w:spacing w:val="12"/>
        </w:rPr>
        <w:t xml:space="preserve"> </w:t>
      </w:r>
      <w:r>
        <w:t>said,</w:t>
      </w:r>
      <w:r>
        <w:rPr>
          <w:spacing w:val="14"/>
        </w:rPr>
        <w:t xml:space="preserve"> </w:t>
      </w:r>
      <w:r>
        <w:t>there</w:t>
      </w:r>
      <w:r>
        <w:rPr>
          <w:spacing w:val="15"/>
        </w:rPr>
        <w:t xml:space="preserve"> </w:t>
      </w:r>
      <w:r>
        <w:t>are</w:t>
      </w:r>
      <w:r>
        <w:rPr>
          <w:spacing w:val="14"/>
        </w:rPr>
        <w:t xml:space="preserve"> </w:t>
      </w:r>
      <w:r>
        <w:t>distinctly</w:t>
      </w:r>
      <w:r>
        <w:rPr>
          <w:spacing w:val="15"/>
        </w:rPr>
        <w:t xml:space="preserve"> </w:t>
      </w:r>
      <w:r>
        <w:t>scientific</w:t>
      </w:r>
      <w:r>
        <w:rPr>
          <w:spacing w:val="14"/>
        </w:rPr>
        <w:t xml:space="preserve"> </w:t>
      </w:r>
      <w:r>
        <w:t>ways</w:t>
      </w:r>
      <w:r>
        <w:rPr>
          <w:spacing w:val="15"/>
        </w:rPr>
        <w:t xml:space="preserve"> </w:t>
      </w:r>
      <w:r>
        <w:t>of</w:t>
      </w:r>
      <w:r>
        <w:rPr>
          <w:spacing w:val="14"/>
        </w:rPr>
        <w:t xml:space="preserve"> </w:t>
      </w:r>
      <w:r>
        <w:rPr>
          <w:i/>
        </w:rPr>
        <w:t>generating</w:t>
      </w:r>
      <w:r>
        <w:rPr>
          <w:i/>
          <w:spacing w:val="11"/>
        </w:rPr>
        <w:t xml:space="preserve"> </w:t>
      </w:r>
      <w:r>
        <w:rPr>
          <w:spacing w:val="-2"/>
        </w:rPr>
        <w:t>statements.</w:t>
      </w:r>
    </w:p>
    <w:p w14:paraId="7E00319D" w14:textId="77777777" w:rsidR="009A58DB" w:rsidRDefault="00000000">
      <w:pPr>
        <w:pStyle w:val="BodyText"/>
        <w:spacing w:before="15" w:line="278" w:lineRule="auto"/>
        <w:ind w:left="1080" w:right="4416" w:hanging="360"/>
        <w:jc w:val="left"/>
      </w:pPr>
      <w:r>
        <w:t>Given</w:t>
      </w:r>
      <w:r>
        <w:rPr>
          <w:spacing w:val="-8"/>
        </w:rPr>
        <w:t xml:space="preserve"> </w:t>
      </w:r>
      <w:r>
        <w:t>some</w:t>
      </w:r>
      <w:r>
        <w:rPr>
          <w:spacing w:val="-9"/>
        </w:rPr>
        <w:t xml:space="preserve"> </w:t>
      </w:r>
      <w:r>
        <w:t>statement</w:t>
      </w:r>
      <w:r>
        <w:rPr>
          <w:spacing w:val="-9"/>
        </w:rPr>
        <w:t xml:space="preserve"> </w:t>
      </w:r>
      <w:r>
        <w:t>S,</w:t>
      </w:r>
      <w:r>
        <w:rPr>
          <w:spacing w:val="-8"/>
        </w:rPr>
        <w:t xml:space="preserve"> </w:t>
      </w:r>
      <w:r>
        <w:t>assuming</w:t>
      </w:r>
      <w:r>
        <w:rPr>
          <w:spacing w:val="-8"/>
        </w:rPr>
        <w:t xml:space="preserve"> </w:t>
      </w:r>
      <w:r>
        <w:t>that (MS) ‹S is a scientific statement› doesn’t say the very same thing as (MS*) ‹S is a statement›,</w:t>
      </w:r>
    </w:p>
    <w:p w14:paraId="7E00319E" w14:textId="77777777" w:rsidR="009A58DB" w:rsidRDefault="00000000">
      <w:pPr>
        <w:pStyle w:val="BodyText"/>
        <w:tabs>
          <w:tab w:val="left" w:pos="1154"/>
          <w:tab w:val="left" w:pos="2704"/>
          <w:tab w:val="left" w:pos="3438"/>
          <w:tab w:val="left" w:pos="4956"/>
          <w:tab w:val="left" w:pos="5923"/>
          <w:tab w:val="left" w:pos="8540"/>
          <w:tab w:val="left" w:pos="9141"/>
        </w:tabs>
        <w:spacing w:line="249" w:lineRule="auto"/>
        <w:ind w:left="720" w:right="368" w:firstLine="360"/>
        <w:jc w:val="left"/>
      </w:pPr>
      <w:r>
        <w:t>MS must say S was generated in a certain way—that it was generated</w:t>
      </w:r>
      <w:r>
        <w:rPr>
          <w:spacing w:val="40"/>
        </w:rPr>
        <w:t xml:space="preserve"> </w:t>
      </w:r>
      <w:r>
        <w:rPr>
          <w:spacing w:val="-5"/>
        </w:rPr>
        <w:t>in</w:t>
      </w:r>
      <w:r>
        <w:tab/>
      </w:r>
      <w:r>
        <w:rPr>
          <w:spacing w:val="-2"/>
        </w:rPr>
        <w:t>accordance</w:t>
      </w:r>
      <w:r>
        <w:tab/>
      </w:r>
      <w:r>
        <w:rPr>
          <w:spacing w:val="-4"/>
        </w:rPr>
        <w:t>with</w:t>
      </w:r>
      <w:r>
        <w:tab/>
      </w:r>
      <w:r>
        <w:rPr>
          <w:spacing w:val="-2"/>
        </w:rPr>
        <w:t>procedures</w:t>
      </w:r>
      <w:r>
        <w:tab/>
      </w:r>
      <w:r>
        <w:rPr>
          <w:spacing w:val="-4"/>
        </w:rPr>
        <w:t>whose</w:t>
      </w:r>
      <w:r>
        <w:tab/>
      </w:r>
      <w:r>
        <w:rPr>
          <w:spacing w:val="-2"/>
        </w:rPr>
        <w:t>truth-conduciveness</w:t>
      </w:r>
      <w:r>
        <w:tab/>
      </w:r>
      <w:r>
        <w:rPr>
          <w:spacing w:val="-5"/>
        </w:rPr>
        <w:t>has</w:t>
      </w:r>
      <w:r>
        <w:tab/>
      </w:r>
      <w:r>
        <w:rPr>
          <w:spacing w:val="-4"/>
        </w:rPr>
        <w:t>been</w:t>
      </w:r>
    </w:p>
    <w:p w14:paraId="7E00319F" w14:textId="77777777" w:rsidR="009A58DB" w:rsidRDefault="009A58DB">
      <w:pPr>
        <w:pStyle w:val="BodyText"/>
        <w:spacing w:line="249" w:lineRule="auto"/>
        <w:jc w:val="left"/>
        <w:sectPr w:rsidR="009A58DB">
          <w:pgSz w:w="12240" w:h="15840"/>
          <w:pgMar w:top="1380" w:right="1080" w:bottom="280" w:left="1080" w:header="720" w:footer="720" w:gutter="0"/>
          <w:cols w:space="720"/>
        </w:sectPr>
      </w:pPr>
    </w:p>
    <w:p w14:paraId="7E0031A0" w14:textId="77777777" w:rsidR="009A58DB" w:rsidRDefault="00000000">
      <w:pPr>
        <w:pStyle w:val="BodyText"/>
        <w:spacing w:before="59"/>
        <w:ind w:left="720"/>
      </w:pPr>
      <w:r>
        <w:t>definitively</w:t>
      </w:r>
      <w:r>
        <w:rPr>
          <w:spacing w:val="-7"/>
        </w:rPr>
        <w:t xml:space="preserve"> </w:t>
      </w:r>
      <w:r>
        <w:t>established,</w:t>
      </w:r>
      <w:r>
        <w:rPr>
          <w:spacing w:val="-5"/>
        </w:rPr>
        <w:t xml:space="preserve"> </w:t>
      </w:r>
      <w:r>
        <w:t>or</w:t>
      </w:r>
      <w:r>
        <w:rPr>
          <w:spacing w:val="-5"/>
        </w:rPr>
        <w:t xml:space="preserve"> </w:t>
      </w:r>
      <w:r>
        <w:t>some</w:t>
      </w:r>
      <w:r>
        <w:rPr>
          <w:spacing w:val="-5"/>
        </w:rPr>
        <w:t xml:space="preserve"> </w:t>
      </w:r>
      <w:r>
        <w:rPr>
          <w:spacing w:val="-4"/>
        </w:rPr>
        <w:t>such.</w:t>
      </w:r>
    </w:p>
    <w:p w14:paraId="7E0031A1" w14:textId="77777777" w:rsidR="009A58DB" w:rsidRDefault="00000000">
      <w:pPr>
        <w:pStyle w:val="BodyText"/>
        <w:spacing w:before="66" w:line="249" w:lineRule="auto"/>
        <w:ind w:left="720" w:right="358" w:firstLine="360"/>
      </w:pPr>
      <w:r>
        <w:t xml:space="preserve">Nonetheless, a number of philosophers have argued that there is some property that all and only “scientific” statements have. For example, in his (1931) book </w:t>
      </w:r>
      <w:r>
        <w:rPr>
          <w:i/>
        </w:rPr>
        <w:t xml:space="preserve">The Logic of Scientific Discovery, </w:t>
      </w:r>
      <w:r>
        <w:t xml:space="preserve">Karl Popper (1902–1994) argued that a statement is scientific iff it is </w:t>
      </w:r>
      <w:r>
        <w:rPr>
          <w:b/>
          <w:i/>
        </w:rPr>
        <w:t xml:space="preserve">falsifiable. </w:t>
      </w:r>
      <w:r>
        <w:t xml:space="preserve">To say that a statement S is falsifiable is to say that it could in principle be shown to be false on strictly observational grounds. (The sort of falsificationism that Popper advocated is not to be confused with the very different doctrine, discussed in Chapter 1, according to which a statement is </w:t>
      </w:r>
      <w:r>
        <w:rPr>
          <w:i/>
        </w:rPr>
        <w:t>meaningful</w:t>
      </w:r>
      <w:r>
        <w:rPr>
          <w:i/>
          <w:spacing w:val="-3"/>
        </w:rPr>
        <w:t xml:space="preserve"> </w:t>
      </w:r>
      <w:r>
        <w:t>iff it is falsifiable.)</w:t>
      </w:r>
    </w:p>
    <w:p w14:paraId="7E0031A2" w14:textId="77777777" w:rsidR="009A58DB" w:rsidRDefault="00000000">
      <w:pPr>
        <w:pStyle w:val="BodyText"/>
        <w:spacing w:before="41" w:line="249" w:lineRule="auto"/>
        <w:ind w:left="720" w:right="360" w:firstLine="360"/>
      </w:pPr>
      <w:r>
        <w:t xml:space="preserve">To be sure, </w:t>
      </w:r>
      <w:r>
        <w:rPr>
          <w:i/>
        </w:rPr>
        <w:t xml:space="preserve">some </w:t>
      </w:r>
      <w:r>
        <w:t>theories can be falsified on strictly observational grounds. Suppose that, according to theory T, anyone who takes medication M will be acne-free within five hours. Given that Smith took</w:t>
      </w:r>
      <w:r>
        <w:rPr>
          <w:spacing w:val="40"/>
        </w:rPr>
        <w:t xml:space="preserve"> </w:t>
      </w:r>
      <w:r>
        <w:t xml:space="preserve">M at noon, it follows that T is false if Smith still has acne at 5:00 </w:t>
      </w:r>
      <w:r>
        <w:rPr>
          <w:sz w:val="22"/>
        </w:rPr>
        <w:t>P</w:t>
      </w:r>
      <w:r>
        <w:t>.</w:t>
      </w:r>
      <w:r>
        <w:rPr>
          <w:sz w:val="22"/>
        </w:rPr>
        <w:t>M</w:t>
      </w:r>
      <w:r>
        <w:t xml:space="preserve">. Given that Smith </w:t>
      </w:r>
      <w:r>
        <w:rPr>
          <w:i/>
        </w:rPr>
        <w:t xml:space="preserve">does </w:t>
      </w:r>
      <w:r>
        <w:t xml:space="preserve">still have acne at 5:00 </w:t>
      </w:r>
      <w:r>
        <w:rPr>
          <w:sz w:val="22"/>
        </w:rPr>
        <w:t>P</w:t>
      </w:r>
      <w:r>
        <w:t>.</w:t>
      </w:r>
      <w:r>
        <w:rPr>
          <w:sz w:val="22"/>
        </w:rPr>
        <w:t>M</w:t>
      </w:r>
      <w:r>
        <w:t>.; and given that this fact is painfully obvious to anyone who isn’t blind, it follows that T can be falsified on strictly observational grounds.</w:t>
      </w:r>
    </w:p>
    <w:p w14:paraId="7E0031A3" w14:textId="77777777" w:rsidR="009A58DB" w:rsidRDefault="00000000">
      <w:pPr>
        <w:pStyle w:val="BodyText"/>
        <w:spacing w:before="53" w:line="249" w:lineRule="auto"/>
        <w:ind w:left="720" w:right="359" w:firstLine="360"/>
      </w:pPr>
      <w:r>
        <w:t xml:space="preserve">But T is not representative of most theories in this respect. Whether or not a given theory has a given observable consequence is likely to depend on whether each of various other theories is correct. (To confirm a given astronomical theory, one must assume the truth of various theories concerning the behavior of light. In making this assumption, one is assuming that the instruments used to authenticate those theories were reliable ones. In making </w:t>
      </w:r>
      <w:r>
        <w:rPr>
          <w:i/>
        </w:rPr>
        <w:t xml:space="preserve">this </w:t>
      </w:r>
      <w:r>
        <w:t>assumption, one is, for reasons similar to those</w:t>
      </w:r>
      <w:r>
        <w:rPr>
          <w:spacing w:val="-1"/>
        </w:rPr>
        <w:t xml:space="preserve"> </w:t>
      </w:r>
      <w:r>
        <w:t>just</w:t>
      </w:r>
      <w:r>
        <w:rPr>
          <w:spacing w:val="-1"/>
        </w:rPr>
        <w:t xml:space="preserve"> </w:t>
      </w:r>
      <w:r>
        <w:t>given,</w:t>
      </w:r>
      <w:r>
        <w:rPr>
          <w:spacing w:val="-1"/>
        </w:rPr>
        <w:t xml:space="preserve"> </w:t>
      </w:r>
      <w:r>
        <w:t>assuming</w:t>
      </w:r>
      <w:r>
        <w:rPr>
          <w:spacing w:val="-1"/>
        </w:rPr>
        <w:t xml:space="preserve"> </w:t>
      </w:r>
      <w:r>
        <w:t>the</w:t>
      </w:r>
      <w:r>
        <w:rPr>
          <w:spacing w:val="-1"/>
        </w:rPr>
        <w:t xml:space="preserve"> </w:t>
      </w:r>
      <w:r>
        <w:t>truth</w:t>
      </w:r>
      <w:r>
        <w:rPr>
          <w:spacing w:val="-1"/>
        </w:rPr>
        <w:t xml:space="preserve"> </w:t>
      </w:r>
      <w:r>
        <w:t>of</w:t>
      </w:r>
      <w:r>
        <w:rPr>
          <w:spacing w:val="-1"/>
        </w:rPr>
        <w:t xml:space="preserve"> </w:t>
      </w:r>
      <w:r>
        <w:t>physical</w:t>
      </w:r>
      <w:r>
        <w:rPr>
          <w:spacing w:val="-1"/>
        </w:rPr>
        <w:t xml:space="preserve"> </w:t>
      </w:r>
      <w:r>
        <w:t>theories</w:t>
      </w:r>
      <w:r>
        <w:rPr>
          <w:spacing w:val="-1"/>
        </w:rPr>
        <w:t xml:space="preserve"> </w:t>
      </w:r>
      <w:r>
        <w:t>additional</w:t>
      </w:r>
      <w:r>
        <w:rPr>
          <w:spacing w:val="-1"/>
        </w:rPr>
        <w:t xml:space="preserve"> </w:t>
      </w:r>
      <w:r>
        <w:t>to</w:t>
      </w:r>
      <w:r>
        <w:rPr>
          <w:spacing w:val="-1"/>
        </w:rPr>
        <w:t xml:space="preserve"> </w:t>
      </w:r>
      <w:r>
        <w:t>those already mentioned. And so on and so forth.) So given only that some observable event hasn’t occurred, it’s not likely to follow that this or that specific theory must be false.</w:t>
      </w:r>
    </w:p>
    <w:p w14:paraId="7E0031A4" w14:textId="77777777" w:rsidR="009A58DB" w:rsidRDefault="00000000">
      <w:pPr>
        <w:pStyle w:val="BodyText"/>
        <w:spacing w:before="44" w:line="249" w:lineRule="auto"/>
        <w:ind w:left="720" w:right="360" w:firstLine="360"/>
      </w:pPr>
      <w:r>
        <w:t xml:space="preserve">Aware of the fact that theories can’t typically be falsified on strictly </w:t>
      </w:r>
      <w:r>
        <w:rPr>
          <w:spacing w:val="-4"/>
        </w:rPr>
        <w:t>observational</w:t>
      </w:r>
      <w:r>
        <w:rPr>
          <w:spacing w:val="-14"/>
        </w:rPr>
        <w:t xml:space="preserve"> </w:t>
      </w:r>
      <w:r>
        <w:rPr>
          <w:spacing w:val="-4"/>
        </w:rPr>
        <w:t>grounds,</w:t>
      </w:r>
      <w:r>
        <w:rPr>
          <w:spacing w:val="-15"/>
        </w:rPr>
        <w:t xml:space="preserve"> </w:t>
      </w:r>
      <w:r>
        <w:rPr>
          <w:spacing w:val="-4"/>
        </w:rPr>
        <w:t>W.V.O. Quine</w:t>
      </w:r>
      <w:r>
        <w:rPr>
          <w:spacing w:val="-9"/>
        </w:rPr>
        <w:t xml:space="preserve"> </w:t>
      </w:r>
      <w:r>
        <w:rPr>
          <w:spacing w:val="-4"/>
        </w:rPr>
        <w:t>(1908–2001)</w:t>
      </w:r>
      <w:r>
        <w:rPr>
          <w:spacing w:val="-9"/>
        </w:rPr>
        <w:t xml:space="preserve"> </w:t>
      </w:r>
      <w:r>
        <w:rPr>
          <w:spacing w:val="-4"/>
        </w:rPr>
        <w:t>took</w:t>
      </w:r>
      <w:r>
        <w:rPr>
          <w:spacing w:val="-9"/>
        </w:rPr>
        <w:t xml:space="preserve"> </w:t>
      </w:r>
      <w:r>
        <w:rPr>
          <w:spacing w:val="-4"/>
        </w:rPr>
        <w:t>the</w:t>
      </w:r>
      <w:r>
        <w:rPr>
          <w:spacing w:val="-8"/>
        </w:rPr>
        <w:t xml:space="preserve"> </w:t>
      </w:r>
      <w:r>
        <w:rPr>
          <w:spacing w:val="-4"/>
        </w:rPr>
        <w:t>position</w:t>
      </w:r>
      <w:r>
        <w:rPr>
          <w:spacing w:val="-8"/>
        </w:rPr>
        <w:t xml:space="preserve"> </w:t>
      </w:r>
      <w:r>
        <w:rPr>
          <w:spacing w:val="-4"/>
        </w:rPr>
        <w:t>that</w:t>
      </w:r>
      <w:r>
        <w:rPr>
          <w:spacing w:val="-15"/>
        </w:rPr>
        <w:t xml:space="preserve"> </w:t>
      </w:r>
      <w:r>
        <w:rPr>
          <w:i/>
          <w:spacing w:val="-4"/>
        </w:rPr>
        <w:t xml:space="preserve">any </w:t>
      </w:r>
      <w:r>
        <w:t>theory</w:t>
      </w:r>
      <w:r>
        <w:rPr>
          <w:spacing w:val="-11"/>
        </w:rPr>
        <w:t xml:space="preserve"> </w:t>
      </w:r>
      <w:r>
        <w:t>is</w:t>
      </w:r>
      <w:r>
        <w:rPr>
          <w:spacing w:val="-11"/>
        </w:rPr>
        <w:t xml:space="preserve"> </w:t>
      </w:r>
      <w:r>
        <w:t>consistent</w:t>
      </w:r>
      <w:r>
        <w:rPr>
          <w:spacing w:val="-12"/>
        </w:rPr>
        <w:t xml:space="preserve"> </w:t>
      </w:r>
      <w:r>
        <w:t>with</w:t>
      </w:r>
      <w:r>
        <w:rPr>
          <w:spacing w:val="-12"/>
        </w:rPr>
        <w:t xml:space="preserve"> </w:t>
      </w:r>
      <w:r>
        <w:rPr>
          <w:i/>
        </w:rPr>
        <w:t>any</w:t>
      </w:r>
      <w:r>
        <w:rPr>
          <w:i/>
          <w:spacing w:val="-12"/>
        </w:rPr>
        <w:t xml:space="preserve"> </w:t>
      </w:r>
      <w:r>
        <w:t>body</w:t>
      </w:r>
      <w:r>
        <w:rPr>
          <w:spacing w:val="-11"/>
        </w:rPr>
        <w:t xml:space="preserve"> </w:t>
      </w:r>
      <w:r>
        <w:t>of</w:t>
      </w:r>
      <w:r>
        <w:rPr>
          <w:spacing w:val="-12"/>
        </w:rPr>
        <w:t xml:space="preserve"> </w:t>
      </w:r>
      <w:r>
        <w:t>observational</w:t>
      </w:r>
      <w:r>
        <w:rPr>
          <w:spacing w:val="-12"/>
        </w:rPr>
        <w:t xml:space="preserve"> </w:t>
      </w:r>
      <w:r>
        <w:t>data.</w:t>
      </w:r>
    </w:p>
    <w:p w14:paraId="7E0031A5" w14:textId="77777777" w:rsidR="009A58DB" w:rsidRDefault="00000000">
      <w:pPr>
        <w:pStyle w:val="BodyText"/>
        <w:spacing w:before="4" w:line="249" w:lineRule="auto"/>
        <w:ind w:left="720" w:right="362"/>
      </w:pPr>
      <w:r>
        <w:t>Given any theory and any set of observations, there is, says Quine, a way of modeling those observations that is consistent with that theory. Quine refers to this thesis of his as the “Duhem-Quine thesis.” (Pierre Duhem (1861–1916)</w:t>
      </w:r>
      <w:r>
        <w:rPr>
          <w:spacing w:val="4"/>
        </w:rPr>
        <w:t xml:space="preserve"> </w:t>
      </w:r>
      <w:r>
        <w:t>was</w:t>
      </w:r>
      <w:r>
        <w:rPr>
          <w:spacing w:val="8"/>
        </w:rPr>
        <w:t xml:space="preserve"> </w:t>
      </w:r>
      <w:r>
        <w:t>a</w:t>
      </w:r>
      <w:r>
        <w:rPr>
          <w:spacing w:val="8"/>
        </w:rPr>
        <w:t xml:space="preserve"> </w:t>
      </w:r>
      <w:r>
        <w:t>physicist</w:t>
      </w:r>
      <w:r>
        <w:rPr>
          <w:spacing w:val="7"/>
        </w:rPr>
        <w:t xml:space="preserve"> </w:t>
      </w:r>
      <w:r>
        <w:t>and</w:t>
      </w:r>
      <w:r>
        <w:rPr>
          <w:spacing w:val="8"/>
        </w:rPr>
        <w:t xml:space="preserve"> </w:t>
      </w:r>
      <w:r>
        <w:t>philosopher</w:t>
      </w:r>
      <w:r>
        <w:rPr>
          <w:spacing w:val="8"/>
        </w:rPr>
        <w:t xml:space="preserve"> </w:t>
      </w:r>
      <w:r>
        <w:t>who</w:t>
      </w:r>
      <w:r>
        <w:rPr>
          <w:spacing w:val="7"/>
        </w:rPr>
        <w:t xml:space="preserve"> </w:t>
      </w:r>
      <w:r>
        <w:t>Quine</w:t>
      </w:r>
      <w:r>
        <w:rPr>
          <w:spacing w:val="8"/>
        </w:rPr>
        <w:t xml:space="preserve"> </w:t>
      </w:r>
      <w:r>
        <w:t>wrongly</w:t>
      </w:r>
      <w:r>
        <w:rPr>
          <w:spacing w:val="8"/>
        </w:rPr>
        <w:t xml:space="preserve"> </w:t>
      </w:r>
      <w:r>
        <w:rPr>
          <w:spacing w:val="-2"/>
        </w:rPr>
        <w:t>thought</w:t>
      </w:r>
    </w:p>
    <w:p w14:paraId="7E0031A6"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A7" w14:textId="77777777" w:rsidR="009A58DB" w:rsidRDefault="00000000">
      <w:pPr>
        <w:pStyle w:val="BodyText"/>
        <w:spacing w:before="59" w:line="249" w:lineRule="auto"/>
        <w:ind w:left="720" w:right="359"/>
      </w:pPr>
      <w:r>
        <w:t>to have advocated a similar thesis. In actuality, Duhem advocated a much more circumscribed position.)</w:t>
      </w:r>
    </w:p>
    <w:p w14:paraId="7E0031A8" w14:textId="77777777" w:rsidR="009A58DB" w:rsidRDefault="00000000">
      <w:pPr>
        <w:pStyle w:val="BodyText"/>
        <w:spacing w:before="8" w:line="249" w:lineRule="auto"/>
        <w:ind w:left="720" w:right="360" w:firstLine="743"/>
      </w:pPr>
      <w:r>
        <w:t>The so-called Duhem-Quine thesis is an extremely facile one. As before, suppose that, according to theory T, anyone who takes medication M will be acne-free within five hours. Given that Smith’s acne is going strong six hours after taking M, there’s nothing we can say that isn’t brazenly ad hoc and that doesn’t create vast numbers of otherwise non-existent anomalies.</w:t>
      </w:r>
    </w:p>
    <w:p w14:paraId="7E0031A9" w14:textId="77777777" w:rsidR="009A58DB" w:rsidRDefault="00000000">
      <w:pPr>
        <w:pStyle w:val="BodyText"/>
        <w:spacing w:before="52" w:line="249" w:lineRule="auto"/>
        <w:ind w:left="720" w:right="361" w:firstLine="360"/>
      </w:pPr>
      <w:r>
        <w:t xml:space="preserve">It’s obvious and trivial that, given any theory T that concerns the external world, no matter what observations we’ve had, it’s </w:t>
      </w:r>
      <w:r>
        <w:rPr>
          <w:i/>
        </w:rPr>
        <w:t xml:space="preserve">logically </w:t>
      </w:r>
      <w:r>
        <w:t>possible that T is false. So unless it’s completely hollow, the Duhem-Quine thesis can’t just say that, for any theory T that concerns the external world, no body of observations analytically entails that T is false. It must therefore be to the effect that, given any body of observations and given any theory T, the explanatory costs of accepting T are no greater and no smaller than the explanatory costs of rejecting T.</w:t>
      </w:r>
    </w:p>
    <w:p w14:paraId="7E0031AA" w14:textId="77777777" w:rsidR="009A58DB" w:rsidRDefault="00000000">
      <w:pPr>
        <w:pStyle w:val="BodyText"/>
        <w:spacing w:before="40" w:line="249" w:lineRule="auto"/>
        <w:ind w:left="720" w:right="358" w:firstLine="360"/>
      </w:pPr>
      <w:r>
        <w:t>But</w:t>
      </w:r>
      <w:r>
        <w:rPr>
          <w:spacing w:val="-3"/>
        </w:rPr>
        <w:t xml:space="preserve"> </w:t>
      </w:r>
      <w:r>
        <w:rPr>
          <w:i/>
        </w:rPr>
        <w:t>that</w:t>
      </w:r>
      <w:r>
        <w:rPr>
          <w:i/>
          <w:spacing w:val="-3"/>
        </w:rPr>
        <w:t xml:space="preserve"> </w:t>
      </w:r>
      <w:r>
        <w:t>statement is very obviously false. The data being what it is, the explanatory costs of holding onto T far outweigh the explanatory gains of doing so. If we hold onto it, we’re stuck with various anomalies that we wouldn’t otherwise be stuck with. If we reject it, we’re not stuck with those anomalies; nor are we stuck with any other anomalies that we weren’t already stuck with. So depending on how it’s interpreted, the Duhem-Quine thesis is either trivial or false.</w:t>
      </w:r>
    </w:p>
    <w:p w14:paraId="7E0031AB" w14:textId="77777777" w:rsidR="009A58DB" w:rsidRDefault="00000000">
      <w:pPr>
        <w:pStyle w:val="BodyText"/>
        <w:tabs>
          <w:tab w:val="left" w:pos="1459"/>
        </w:tabs>
        <w:spacing w:before="14"/>
        <w:jc w:val="left"/>
      </w:pPr>
      <w:bookmarkStart w:id="1005" w:name="_bookmark1005"/>
      <w:bookmarkEnd w:id="1005"/>
      <w:r>
        <w:rPr>
          <w:color w:val="0562C1"/>
          <w:spacing w:val="-2"/>
          <w:position w:val="19"/>
          <w:u w:val="single" w:color="0562C1"/>
        </w:rPr>
        <w:t>[332]</w:t>
      </w:r>
      <w:r>
        <w:rPr>
          <w:spacing w:val="-2"/>
          <w:sz w:val="22"/>
        </w:rPr>
        <w:t>.</w:t>
      </w:r>
      <w:r>
        <w:rPr>
          <w:sz w:val="22"/>
        </w:rPr>
        <w:tab/>
      </w:r>
      <w:r>
        <w:t>Hempel</w:t>
      </w:r>
      <w:r>
        <w:rPr>
          <w:spacing w:val="-5"/>
        </w:rPr>
        <w:t xml:space="preserve"> </w:t>
      </w:r>
      <w:r>
        <w:rPr>
          <w:spacing w:val="-2"/>
        </w:rPr>
        <w:t>(1965).</w:t>
      </w:r>
    </w:p>
    <w:p w14:paraId="7E0031AC" w14:textId="77777777" w:rsidR="009A58DB" w:rsidRDefault="00000000">
      <w:pPr>
        <w:pStyle w:val="BodyText"/>
        <w:tabs>
          <w:tab w:val="left" w:pos="1459"/>
        </w:tabs>
        <w:spacing w:before="20"/>
        <w:jc w:val="left"/>
      </w:pPr>
      <w:bookmarkStart w:id="1006" w:name="_bookmark1006"/>
      <w:bookmarkEnd w:id="1006"/>
      <w:r>
        <w:rPr>
          <w:color w:val="0562C1"/>
          <w:spacing w:val="-2"/>
          <w:position w:val="19"/>
          <w:u w:val="single" w:color="0562C1"/>
        </w:rPr>
        <w:t>[333]</w:t>
      </w:r>
      <w:r>
        <w:rPr>
          <w:spacing w:val="-2"/>
          <w:sz w:val="22"/>
        </w:rPr>
        <w:t>.</w:t>
      </w:r>
      <w:r>
        <w:rPr>
          <w:sz w:val="22"/>
        </w:rPr>
        <w:tab/>
      </w:r>
      <w:r>
        <w:t>“YP”</w:t>
      </w:r>
      <w:r>
        <w:rPr>
          <w:spacing w:val="-4"/>
        </w:rPr>
        <w:t xml:space="preserve"> </w:t>
      </w:r>
      <w:r>
        <w:t>is</w:t>
      </w:r>
      <w:r>
        <w:rPr>
          <w:spacing w:val="-3"/>
        </w:rPr>
        <w:t xml:space="preserve"> </w:t>
      </w:r>
      <w:r>
        <w:t>short</w:t>
      </w:r>
      <w:r>
        <w:rPr>
          <w:spacing w:val="-3"/>
        </w:rPr>
        <w:t xml:space="preserve"> </w:t>
      </w:r>
      <w:r>
        <w:t>for</w:t>
      </w:r>
      <w:r>
        <w:rPr>
          <w:spacing w:val="-3"/>
        </w:rPr>
        <w:t xml:space="preserve"> </w:t>
      </w:r>
      <w:r>
        <w:t>“yellow</w:t>
      </w:r>
      <w:r>
        <w:rPr>
          <w:spacing w:val="-3"/>
        </w:rPr>
        <w:t xml:space="preserve"> </w:t>
      </w:r>
      <w:r>
        <w:rPr>
          <w:spacing w:val="-2"/>
        </w:rPr>
        <w:t>pencil.”</w:t>
      </w:r>
    </w:p>
    <w:p w14:paraId="7E0031AD" w14:textId="77777777" w:rsidR="009A58DB" w:rsidRDefault="00000000">
      <w:pPr>
        <w:pStyle w:val="BodyText"/>
        <w:tabs>
          <w:tab w:val="left" w:pos="1459"/>
        </w:tabs>
        <w:spacing w:before="20" w:line="254" w:lineRule="auto"/>
        <w:ind w:right="1739"/>
        <w:jc w:val="left"/>
      </w:pPr>
      <w:bookmarkStart w:id="1007" w:name="_bookmark1007"/>
      <w:bookmarkEnd w:id="1007"/>
      <w:r>
        <w:rPr>
          <w:color w:val="0562C1"/>
          <w:spacing w:val="-2"/>
          <w:position w:val="19"/>
          <w:u w:val="single" w:color="0562C1"/>
        </w:rPr>
        <w:t>[334]</w:t>
      </w:r>
      <w:r>
        <w:rPr>
          <w:spacing w:val="-2"/>
          <w:sz w:val="22"/>
        </w:rPr>
        <w:t>.</w:t>
      </w:r>
      <w:r>
        <w:rPr>
          <w:sz w:val="22"/>
        </w:rPr>
        <w:tab/>
      </w:r>
      <w:r>
        <w:t>“MC”</w:t>
      </w:r>
      <w:r>
        <w:rPr>
          <w:spacing w:val="-6"/>
        </w:rPr>
        <w:t xml:space="preserve"> </w:t>
      </w:r>
      <w:r>
        <w:t>stands</w:t>
      </w:r>
      <w:r>
        <w:rPr>
          <w:spacing w:val="-6"/>
        </w:rPr>
        <w:t xml:space="preserve"> </w:t>
      </w:r>
      <w:r>
        <w:t>for</w:t>
      </w:r>
      <w:r>
        <w:rPr>
          <w:spacing w:val="-6"/>
        </w:rPr>
        <w:t xml:space="preserve"> </w:t>
      </w:r>
      <w:r>
        <w:t>“the</w:t>
      </w:r>
      <w:r>
        <w:rPr>
          <w:spacing w:val="-6"/>
        </w:rPr>
        <w:t xml:space="preserve"> </w:t>
      </w:r>
      <w:r>
        <w:t>minimization</w:t>
      </w:r>
      <w:r>
        <w:rPr>
          <w:spacing w:val="-5"/>
        </w:rPr>
        <w:t xml:space="preserve"> </w:t>
      </w:r>
      <w:r>
        <w:t>of</w:t>
      </w:r>
      <w:r>
        <w:rPr>
          <w:spacing w:val="-6"/>
        </w:rPr>
        <w:t xml:space="preserve"> </w:t>
      </w:r>
      <w:r>
        <w:t>causal</w:t>
      </w:r>
      <w:r>
        <w:rPr>
          <w:spacing w:val="-6"/>
        </w:rPr>
        <w:t xml:space="preserve"> </w:t>
      </w:r>
      <w:r>
        <w:t xml:space="preserve">anomalies.” </w:t>
      </w:r>
      <w:bookmarkStart w:id="1008" w:name="_bookmark1008"/>
      <w:bookmarkEnd w:id="1008"/>
      <w:r>
        <w:rPr>
          <w:color w:val="0562C1"/>
          <w:spacing w:val="-2"/>
          <w:position w:val="19"/>
          <w:u w:val="single" w:color="0562C1"/>
        </w:rPr>
        <w:t>[335]</w:t>
      </w:r>
      <w:r>
        <w:rPr>
          <w:spacing w:val="-2"/>
          <w:sz w:val="22"/>
        </w:rPr>
        <w:t>.</w:t>
      </w:r>
      <w:r>
        <w:rPr>
          <w:sz w:val="22"/>
        </w:rPr>
        <w:tab/>
      </w:r>
      <w:r>
        <w:t>“ED” stands for “elimination of discontinuities.”</w:t>
      </w:r>
    </w:p>
    <w:p w14:paraId="7E0031AE" w14:textId="77777777" w:rsidR="009A58DB" w:rsidRDefault="00000000">
      <w:pPr>
        <w:pStyle w:val="BodyText"/>
        <w:tabs>
          <w:tab w:val="left" w:pos="1459"/>
        </w:tabs>
        <w:spacing w:line="534" w:lineRule="exact"/>
        <w:jc w:val="left"/>
      </w:pPr>
      <w:bookmarkStart w:id="1009" w:name="_bookmark1009"/>
      <w:bookmarkEnd w:id="1009"/>
      <w:r>
        <w:rPr>
          <w:color w:val="0562C1"/>
          <w:spacing w:val="-2"/>
          <w:position w:val="19"/>
          <w:u w:val="single" w:color="0562C1"/>
        </w:rPr>
        <w:t>[336]</w:t>
      </w:r>
      <w:r>
        <w:rPr>
          <w:spacing w:val="-2"/>
          <w:sz w:val="22"/>
        </w:rPr>
        <w:t>.</w:t>
      </w:r>
      <w:r>
        <w:rPr>
          <w:sz w:val="22"/>
        </w:rPr>
        <w:tab/>
      </w:r>
      <w:r>
        <w:t>“OH”</w:t>
      </w:r>
      <w:r>
        <w:rPr>
          <w:spacing w:val="-4"/>
        </w:rPr>
        <w:t xml:space="preserve"> </w:t>
      </w:r>
      <w:r>
        <w:t>is</w:t>
      </w:r>
      <w:r>
        <w:rPr>
          <w:spacing w:val="-4"/>
        </w:rPr>
        <w:t xml:space="preserve"> </w:t>
      </w:r>
      <w:r>
        <w:t>short</w:t>
      </w:r>
      <w:r>
        <w:rPr>
          <w:spacing w:val="-4"/>
        </w:rPr>
        <w:t xml:space="preserve"> </w:t>
      </w:r>
      <w:r>
        <w:t>for</w:t>
      </w:r>
      <w:r>
        <w:rPr>
          <w:spacing w:val="-4"/>
        </w:rPr>
        <w:t xml:space="preserve"> </w:t>
      </w:r>
      <w:r>
        <w:t>“objector’s</w:t>
      </w:r>
      <w:r>
        <w:rPr>
          <w:spacing w:val="-3"/>
        </w:rPr>
        <w:t xml:space="preserve"> </w:t>
      </w:r>
      <w:r>
        <w:rPr>
          <w:spacing w:val="-2"/>
        </w:rPr>
        <w:t>hypothesis.”</w:t>
      </w:r>
    </w:p>
    <w:p w14:paraId="7E0031AF" w14:textId="77777777" w:rsidR="009A58DB" w:rsidRDefault="00000000">
      <w:pPr>
        <w:pStyle w:val="BodyText"/>
        <w:spacing w:before="20" w:line="249" w:lineRule="auto"/>
        <w:ind w:left="720" w:right="361" w:hanging="360"/>
      </w:pPr>
      <w:bookmarkStart w:id="1010" w:name="_bookmark1010"/>
      <w:bookmarkEnd w:id="1010"/>
      <w:r>
        <w:rPr>
          <w:color w:val="0562C1"/>
          <w:position w:val="19"/>
          <w:u w:val="single" w:color="0562C1"/>
        </w:rPr>
        <w:t>[337]</w:t>
      </w:r>
      <w:r>
        <w:rPr>
          <w:sz w:val="22"/>
        </w:rPr>
        <w:t>.</w:t>
      </w:r>
      <w:r>
        <w:rPr>
          <w:spacing w:val="80"/>
          <w:w w:val="150"/>
          <w:sz w:val="22"/>
        </w:rPr>
        <w:t xml:space="preserve">  </w:t>
      </w:r>
      <w:r>
        <w:t xml:space="preserve">In this context, </w:t>
      </w:r>
      <w:r>
        <w:rPr>
          <w:i/>
        </w:rPr>
        <w:t xml:space="preserve">anything </w:t>
      </w:r>
      <w:r>
        <w:t>described by a true sentence counts as a “state of affairs.” So facts are “states of affairs,” as we’re using this expression, and so are occurrences.</w:t>
      </w:r>
    </w:p>
    <w:p w14:paraId="7E0031B0"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B1" w14:textId="77777777" w:rsidR="009A58DB" w:rsidRDefault="00000000">
      <w:pPr>
        <w:pStyle w:val="BodyText"/>
        <w:tabs>
          <w:tab w:val="left" w:pos="1459"/>
        </w:tabs>
        <w:spacing w:before="70"/>
        <w:jc w:val="left"/>
      </w:pPr>
      <w:bookmarkStart w:id="1011" w:name="_bookmark1028"/>
      <w:bookmarkStart w:id="1012" w:name="_bookmark1027"/>
      <w:bookmarkStart w:id="1013" w:name="_bookmark1011"/>
      <w:bookmarkEnd w:id="1011"/>
      <w:bookmarkEnd w:id="1012"/>
      <w:bookmarkEnd w:id="1013"/>
      <w:r>
        <w:rPr>
          <w:color w:val="0562C1"/>
          <w:spacing w:val="-2"/>
          <w:position w:val="19"/>
          <w:u w:val="single" w:color="0562C1"/>
        </w:rPr>
        <w:t>[338]</w:t>
      </w:r>
      <w:r>
        <w:rPr>
          <w:spacing w:val="-2"/>
          <w:sz w:val="22"/>
        </w:rPr>
        <w:t>.</w:t>
      </w:r>
      <w:r>
        <w:rPr>
          <w:sz w:val="22"/>
        </w:rPr>
        <w:tab/>
      </w:r>
      <w:r>
        <w:t>Hempel</w:t>
      </w:r>
      <w:r>
        <w:rPr>
          <w:spacing w:val="-5"/>
        </w:rPr>
        <w:t xml:space="preserve"> </w:t>
      </w:r>
      <w:r>
        <w:rPr>
          <w:spacing w:val="-2"/>
        </w:rPr>
        <w:t>(1965).</w:t>
      </w:r>
    </w:p>
    <w:p w14:paraId="7E0031B2" w14:textId="77777777" w:rsidR="009A58DB" w:rsidRDefault="00000000">
      <w:pPr>
        <w:pStyle w:val="BodyText"/>
        <w:tabs>
          <w:tab w:val="left" w:pos="1459"/>
        </w:tabs>
        <w:spacing w:before="20" w:line="254" w:lineRule="auto"/>
        <w:ind w:right="4713"/>
        <w:jc w:val="left"/>
      </w:pPr>
      <w:bookmarkStart w:id="1014" w:name="_bookmark1012"/>
      <w:bookmarkEnd w:id="1014"/>
      <w:r>
        <w:rPr>
          <w:color w:val="0562C1"/>
          <w:spacing w:val="-2"/>
          <w:position w:val="19"/>
          <w:u w:val="single" w:color="0562C1"/>
        </w:rPr>
        <w:t>[339]</w:t>
      </w:r>
      <w:r>
        <w:rPr>
          <w:spacing w:val="-2"/>
          <w:sz w:val="22"/>
        </w:rPr>
        <w:t>.</w:t>
      </w:r>
      <w:r>
        <w:rPr>
          <w:sz w:val="22"/>
        </w:rPr>
        <w:tab/>
      </w:r>
      <w:r>
        <w:t>The</w:t>
      </w:r>
      <w:r>
        <w:rPr>
          <w:spacing w:val="-10"/>
        </w:rPr>
        <w:t xml:space="preserve"> </w:t>
      </w:r>
      <w:r>
        <w:t>“A”</w:t>
      </w:r>
      <w:r>
        <w:rPr>
          <w:spacing w:val="-10"/>
        </w:rPr>
        <w:t xml:space="preserve"> </w:t>
      </w:r>
      <w:r>
        <w:t>stands</w:t>
      </w:r>
      <w:r>
        <w:rPr>
          <w:spacing w:val="-10"/>
        </w:rPr>
        <w:t xml:space="preserve"> </w:t>
      </w:r>
      <w:r>
        <w:t>for</w:t>
      </w:r>
      <w:r>
        <w:rPr>
          <w:spacing w:val="-10"/>
        </w:rPr>
        <w:t xml:space="preserve"> </w:t>
      </w:r>
      <w:r>
        <w:t xml:space="preserve">“accidental.” </w:t>
      </w:r>
      <w:bookmarkStart w:id="1015" w:name="_bookmark1013"/>
      <w:bookmarkEnd w:id="1015"/>
      <w:r>
        <w:rPr>
          <w:color w:val="0562C1"/>
          <w:spacing w:val="-2"/>
          <w:position w:val="19"/>
          <w:u w:val="single" w:color="0562C1"/>
        </w:rPr>
        <w:t>[340]</w:t>
      </w:r>
      <w:r>
        <w:rPr>
          <w:spacing w:val="-2"/>
          <w:sz w:val="22"/>
        </w:rPr>
        <w:t>.</w:t>
      </w:r>
      <w:r>
        <w:rPr>
          <w:sz w:val="22"/>
        </w:rPr>
        <w:tab/>
      </w:r>
      <w:r>
        <w:t>Ayer (1972).</w:t>
      </w:r>
    </w:p>
    <w:p w14:paraId="7E0031B3" w14:textId="77777777" w:rsidR="009A58DB" w:rsidRDefault="00000000">
      <w:pPr>
        <w:pStyle w:val="BodyText"/>
        <w:tabs>
          <w:tab w:val="left" w:pos="1459"/>
        </w:tabs>
        <w:spacing w:line="534" w:lineRule="exact"/>
        <w:jc w:val="left"/>
      </w:pPr>
      <w:bookmarkStart w:id="1016" w:name="_bookmark1014"/>
      <w:bookmarkEnd w:id="1016"/>
      <w:r>
        <w:rPr>
          <w:color w:val="0562C1"/>
          <w:spacing w:val="-2"/>
          <w:position w:val="19"/>
          <w:u w:val="single" w:color="0562C1"/>
        </w:rPr>
        <w:t>[341]</w:t>
      </w:r>
      <w:r>
        <w:rPr>
          <w:spacing w:val="-2"/>
          <w:sz w:val="22"/>
        </w:rPr>
        <w:t>.</w:t>
      </w:r>
      <w:r>
        <w:rPr>
          <w:sz w:val="22"/>
        </w:rPr>
        <w:tab/>
      </w:r>
      <w:r>
        <w:t>Hempel</w:t>
      </w:r>
      <w:r>
        <w:rPr>
          <w:spacing w:val="-5"/>
        </w:rPr>
        <w:t xml:space="preserve"> </w:t>
      </w:r>
      <w:r>
        <w:rPr>
          <w:spacing w:val="-2"/>
        </w:rPr>
        <w:t>(1966).</w:t>
      </w:r>
    </w:p>
    <w:p w14:paraId="7E0031B4" w14:textId="77777777" w:rsidR="009A58DB" w:rsidRDefault="00000000">
      <w:pPr>
        <w:pStyle w:val="BodyText"/>
        <w:tabs>
          <w:tab w:val="left" w:pos="1459"/>
        </w:tabs>
        <w:spacing w:before="20"/>
        <w:jc w:val="left"/>
      </w:pPr>
      <w:bookmarkStart w:id="1017" w:name="_bookmark1015"/>
      <w:bookmarkEnd w:id="1017"/>
      <w:r>
        <w:rPr>
          <w:color w:val="0562C1"/>
          <w:spacing w:val="-2"/>
          <w:position w:val="19"/>
          <w:u w:val="single" w:color="0562C1"/>
        </w:rPr>
        <w:t>[342]</w:t>
      </w:r>
      <w:r>
        <w:rPr>
          <w:spacing w:val="-2"/>
          <w:sz w:val="22"/>
        </w:rPr>
        <w:t>.</w:t>
      </w:r>
      <w:r>
        <w:rPr>
          <w:sz w:val="22"/>
        </w:rPr>
        <w:tab/>
      </w:r>
      <w:r>
        <w:t>The</w:t>
      </w:r>
      <w:r>
        <w:rPr>
          <w:spacing w:val="-3"/>
        </w:rPr>
        <w:t xml:space="preserve"> </w:t>
      </w:r>
      <w:r>
        <w:t>“N”</w:t>
      </w:r>
      <w:r>
        <w:rPr>
          <w:spacing w:val="-3"/>
        </w:rPr>
        <w:t xml:space="preserve"> </w:t>
      </w:r>
      <w:r>
        <w:t>stands</w:t>
      </w:r>
      <w:r>
        <w:rPr>
          <w:spacing w:val="-3"/>
        </w:rPr>
        <w:t xml:space="preserve"> </w:t>
      </w:r>
      <w:r>
        <w:t>for</w:t>
      </w:r>
      <w:r>
        <w:rPr>
          <w:spacing w:val="-2"/>
        </w:rPr>
        <w:t xml:space="preserve"> “nomic.”</w:t>
      </w:r>
    </w:p>
    <w:p w14:paraId="7E0031B5" w14:textId="77777777" w:rsidR="009A58DB" w:rsidRDefault="00000000">
      <w:pPr>
        <w:pStyle w:val="BodyText"/>
        <w:tabs>
          <w:tab w:val="left" w:pos="1699"/>
        </w:tabs>
        <w:spacing w:before="20" w:line="249" w:lineRule="auto"/>
        <w:ind w:left="720" w:right="364" w:hanging="360"/>
      </w:pPr>
      <w:bookmarkStart w:id="1018" w:name="_bookmark1016"/>
      <w:bookmarkEnd w:id="1018"/>
      <w:r>
        <w:rPr>
          <w:color w:val="0562C1"/>
          <w:spacing w:val="-2"/>
          <w:position w:val="19"/>
          <w:u w:val="single" w:color="0562C1"/>
        </w:rPr>
        <w:t>[343]</w:t>
      </w:r>
      <w:r>
        <w:rPr>
          <w:spacing w:val="-2"/>
          <w:sz w:val="22"/>
        </w:rPr>
        <w:t>.</w:t>
      </w:r>
      <w:r>
        <w:rPr>
          <w:sz w:val="22"/>
        </w:rPr>
        <w:tab/>
      </w:r>
      <w:r>
        <w:t>The “W” stands for “wide-scope,” the idea being that the nomic operator is given maximally wide-scope, since the whole of “for any x, if</w:t>
      </w:r>
      <w:r>
        <w:rPr>
          <w:spacing w:val="40"/>
        </w:rPr>
        <w:t xml:space="preserve"> </w:t>
      </w:r>
      <w:r>
        <w:t>x is metal, then expands” is governed by it.</w:t>
      </w:r>
    </w:p>
    <w:p w14:paraId="7E0031B6" w14:textId="77777777" w:rsidR="009A58DB" w:rsidRDefault="00000000">
      <w:pPr>
        <w:pStyle w:val="BodyText"/>
        <w:spacing w:before="8"/>
        <w:jc w:val="left"/>
      </w:pPr>
      <w:bookmarkStart w:id="1019" w:name="_bookmark1017"/>
      <w:bookmarkEnd w:id="1019"/>
      <w:r>
        <w:rPr>
          <w:color w:val="0562C1"/>
          <w:position w:val="19"/>
          <w:u w:val="single" w:color="0562C1"/>
        </w:rPr>
        <w:t>[344]</w:t>
      </w:r>
      <w:r>
        <w:t>.</w:t>
      </w:r>
      <w:r>
        <w:rPr>
          <w:spacing w:val="-5"/>
        </w:rPr>
        <w:t xml:space="preserve"> </w:t>
      </w:r>
      <w:r>
        <w:t>“DN”</w:t>
      </w:r>
      <w:r>
        <w:rPr>
          <w:spacing w:val="-3"/>
        </w:rPr>
        <w:t xml:space="preserve"> </w:t>
      </w:r>
      <w:r>
        <w:t>is</w:t>
      </w:r>
      <w:r>
        <w:rPr>
          <w:spacing w:val="-3"/>
        </w:rPr>
        <w:t xml:space="preserve"> </w:t>
      </w:r>
      <w:r>
        <w:t>short</w:t>
      </w:r>
      <w:r>
        <w:rPr>
          <w:spacing w:val="-3"/>
        </w:rPr>
        <w:t xml:space="preserve"> </w:t>
      </w:r>
      <w:r>
        <w:t>for</w:t>
      </w:r>
      <w:r>
        <w:rPr>
          <w:spacing w:val="-2"/>
        </w:rPr>
        <w:t xml:space="preserve"> </w:t>
      </w:r>
      <w:r>
        <w:t>“degrees</w:t>
      </w:r>
      <w:r>
        <w:rPr>
          <w:spacing w:val="-3"/>
        </w:rPr>
        <w:t xml:space="preserve"> </w:t>
      </w:r>
      <w:r>
        <w:t>of</w:t>
      </w:r>
      <w:r>
        <w:rPr>
          <w:spacing w:val="-3"/>
        </w:rPr>
        <w:t xml:space="preserve"> </w:t>
      </w:r>
      <w:r>
        <w:rPr>
          <w:spacing w:val="-2"/>
        </w:rPr>
        <w:t>necessity.”</w:t>
      </w:r>
    </w:p>
    <w:p w14:paraId="7E0031B7" w14:textId="77777777" w:rsidR="009A58DB" w:rsidRDefault="00000000">
      <w:pPr>
        <w:pStyle w:val="BodyText"/>
        <w:spacing w:before="20" w:line="249" w:lineRule="auto"/>
        <w:ind w:left="720" w:right="365" w:hanging="360"/>
        <w:jc w:val="left"/>
      </w:pPr>
      <w:bookmarkStart w:id="1020" w:name="_bookmark1018"/>
      <w:bookmarkEnd w:id="1020"/>
      <w:r>
        <w:rPr>
          <w:color w:val="0562C1"/>
          <w:position w:val="19"/>
          <w:u w:val="single" w:color="0562C1"/>
        </w:rPr>
        <w:t>[345]</w:t>
      </w:r>
      <w:r>
        <w:t>.</w:t>
      </w:r>
      <w:r>
        <w:rPr>
          <w:spacing w:val="-4"/>
        </w:rPr>
        <w:t xml:space="preserve"> </w:t>
      </w:r>
      <w:r>
        <w:t>Obviously</w:t>
      </w:r>
      <w:r>
        <w:rPr>
          <w:spacing w:val="-4"/>
        </w:rPr>
        <w:t xml:space="preserve"> </w:t>
      </w:r>
      <w:r>
        <w:t>the</w:t>
      </w:r>
      <w:r>
        <w:rPr>
          <w:spacing w:val="-4"/>
        </w:rPr>
        <w:t xml:space="preserve"> </w:t>
      </w:r>
      <w:r>
        <w:rPr>
          <w:i/>
        </w:rPr>
        <w:t>sentences</w:t>
      </w:r>
      <w:r>
        <w:rPr>
          <w:i/>
          <w:spacing w:val="-5"/>
        </w:rPr>
        <w:t xml:space="preserve"> </w:t>
      </w:r>
      <w:r>
        <w:t>used</w:t>
      </w:r>
      <w:r>
        <w:rPr>
          <w:spacing w:val="-4"/>
        </w:rPr>
        <w:t xml:space="preserve"> </w:t>
      </w:r>
      <w:r>
        <w:t>to</w:t>
      </w:r>
      <w:r>
        <w:rPr>
          <w:spacing w:val="-4"/>
        </w:rPr>
        <w:t xml:space="preserve"> </w:t>
      </w:r>
      <w:r>
        <w:t>express</w:t>
      </w:r>
      <w:r>
        <w:rPr>
          <w:spacing w:val="-5"/>
        </w:rPr>
        <w:t xml:space="preserve"> </w:t>
      </w:r>
      <w:r>
        <w:t>it</w:t>
      </w:r>
      <w:r>
        <w:rPr>
          <w:spacing w:val="-5"/>
        </w:rPr>
        <w:t xml:space="preserve"> </w:t>
      </w:r>
      <w:r>
        <w:t>aren’t</w:t>
      </w:r>
      <w:r>
        <w:rPr>
          <w:spacing w:val="-5"/>
        </w:rPr>
        <w:t xml:space="preserve"> </w:t>
      </w:r>
      <w:r>
        <w:t>necessarily</w:t>
      </w:r>
      <w:r>
        <w:rPr>
          <w:spacing w:val="-4"/>
        </w:rPr>
        <w:t xml:space="preserve"> </w:t>
      </w:r>
      <w:r>
        <w:t>true.</w:t>
      </w:r>
      <w:r>
        <w:rPr>
          <w:spacing w:val="-4"/>
        </w:rPr>
        <w:t xml:space="preserve"> </w:t>
      </w:r>
      <w:r>
        <w:t>It’s the content of those sentences that cannot fail to be true. The linguistic vehicles can easily fail to be true; even in our universe, they’re only regionally true.</w:t>
      </w:r>
    </w:p>
    <w:p w14:paraId="7E0031B8" w14:textId="77777777" w:rsidR="009A58DB" w:rsidRDefault="00000000">
      <w:pPr>
        <w:pStyle w:val="BodyText"/>
        <w:spacing w:before="10" w:line="254" w:lineRule="auto"/>
        <w:ind w:right="1840"/>
        <w:jc w:val="left"/>
      </w:pPr>
      <w:bookmarkStart w:id="1021" w:name="_bookmark1019"/>
      <w:bookmarkEnd w:id="1021"/>
      <w:r>
        <w:rPr>
          <w:color w:val="0562C1"/>
          <w:position w:val="19"/>
          <w:u w:val="single" w:color="0562C1"/>
        </w:rPr>
        <w:t>[346]</w:t>
      </w:r>
      <w:r>
        <w:t>.</w:t>
      </w:r>
      <w:r>
        <w:rPr>
          <w:spacing w:val="-5"/>
        </w:rPr>
        <w:t xml:space="preserve"> </w:t>
      </w:r>
      <w:r>
        <w:t>“HIP”</w:t>
      </w:r>
      <w:r>
        <w:rPr>
          <w:spacing w:val="-6"/>
        </w:rPr>
        <w:t xml:space="preserve"> </w:t>
      </w:r>
      <w:r>
        <w:t>is</w:t>
      </w:r>
      <w:r>
        <w:rPr>
          <w:spacing w:val="-6"/>
        </w:rPr>
        <w:t xml:space="preserve"> </w:t>
      </w:r>
      <w:r>
        <w:t>short</w:t>
      </w:r>
      <w:r>
        <w:rPr>
          <w:spacing w:val="-6"/>
        </w:rPr>
        <w:t xml:space="preserve"> </w:t>
      </w:r>
      <w:r>
        <w:t>for</w:t>
      </w:r>
      <w:r>
        <w:rPr>
          <w:spacing w:val="-6"/>
        </w:rPr>
        <w:t xml:space="preserve"> </w:t>
      </w:r>
      <w:r>
        <w:t>“Hesperus</w:t>
      </w:r>
      <w:r>
        <w:rPr>
          <w:spacing w:val="-6"/>
        </w:rPr>
        <w:t xml:space="preserve"> </w:t>
      </w:r>
      <w:r>
        <w:t>identical</w:t>
      </w:r>
      <w:r>
        <w:rPr>
          <w:spacing w:val="-6"/>
        </w:rPr>
        <w:t xml:space="preserve"> </w:t>
      </w:r>
      <w:r>
        <w:t>with</w:t>
      </w:r>
      <w:r>
        <w:rPr>
          <w:spacing w:val="-5"/>
        </w:rPr>
        <w:t xml:space="preserve"> </w:t>
      </w:r>
      <w:r>
        <w:t xml:space="preserve">Phosphorous.” </w:t>
      </w:r>
      <w:bookmarkStart w:id="1022" w:name="_bookmark1020"/>
      <w:bookmarkEnd w:id="1022"/>
      <w:r>
        <w:rPr>
          <w:color w:val="0562C1"/>
          <w:position w:val="19"/>
          <w:u w:val="single" w:color="0562C1"/>
        </w:rPr>
        <w:t>[347]</w:t>
      </w:r>
      <w:r>
        <w:t>. An explanation of this is given in Chapter 8.</w:t>
      </w:r>
    </w:p>
    <w:p w14:paraId="7E0031B9" w14:textId="77777777" w:rsidR="009A58DB" w:rsidRDefault="00000000">
      <w:pPr>
        <w:pStyle w:val="BodyText"/>
        <w:spacing w:line="254" w:lineRule="auto"/>
        <w:ind w:right="430"/>
        <w:jc w:val="left"/>
      </w:pPr>
      <w:bookmarkStart w:id="1023" w:name="_bookmark1021"/>
      <w:bookmarkEnd w:id="1023"/>
      <w:r>
        <w:rPr>
          <w:color w:val="0562C1"/>
          <w:position w:val="19"/>
          <w:u w:val="single" w:color="0562C1"/>
        </w:rPr>
        <w:t>[348]</w:t>
      </w:r>
      <w:r>
        <w:t xml:space="preserve">. This is only approximately correct. See Appendix 1, Section 4.5. </w:t>
      </w:r>
      <w:bookmarkStart w:id="1024" w:name="_bookmark1022"/>
      <w:bookmarkEnd w:id="1024"/>
      <w:r>
        <w:rPr>
          <w:color w:val="0562C1"/>
          <w:position w:val="19"/>
          <w:u w:val="single" w:color="0562C1"/>
        </w:rPr>
        <w:t>[349]</w:t>
      </w:r>
      <w:r>
        <w:t>.</w:t>
      </w:r>
      <w:r>
        <w:rPr>
          <w:spacing w:val="-3"/>
        </w:rPr>
        <w:t xml:space="preserve"> </w:t>
      </w:r>
      <w:r>
        <w:t>The</w:t>
      </w:r>
      <w:r>
        <w:rPr>
          <w:spacing w:val="-4"/>
        </w:rPr>
        <w:t xml:space="preserve"> </w:t>
      </w:r>
      <w:r>
        <w:t>argument</w:t>
      </w:r>
      <w:r>
        <w:rPr>
          <w:spacing w:val="-4"/>
        </w:rPr>
        <w:t xml:space="preserve"> </w:t>
      </w:r>
      <w:r>
        <w:t>about</w:t>
      </w:r>
      <w:r>
        <w:rPr>
          <w:spacing w:val="-4"/>
        </w:rPr>
        <w:t xml:space="preserve"> </w:t>
      </w:r>
      <w:r>
        <w:t>to</w:t>
      </w:r>
      <w:r>
        <w:rPr>
          <w:spacing w:val="-3"/>
        </w:rPr>
        <w:t xml:space="preserve"> </w:t>
      </w:r>
      <w:r>
        <w:t>be</w:t>
      </w:r>
      <w:r>
        <w:rPr>
          <w:spacing w:val="-4"/>
        </w:rPr>
        <w:t xml:space="preserve"> </w:t>
      </w:r>
      <w:r>
        <w:t>given</w:t>
      </w:r>
      <w:r>
        <w:rPr>
          <w:spacing w:val="-3"/>
        </w:rPr>
        <w:t xml:space="preserve"> </w:t>
      </w:r>
      <w:r>
        <w:t>is</w:t>
      </w:r>
      <w:r>
        <w:rPr>
          <w:spacing w:val="-4"/>
        </w:rPr>
        <w:t xml:space="preserve"> </w:t>
      </w:r>
      <w:r>
        <w:t>found</w:t>
      </w:r>
      <w:r>
        <w:rPr>
          <w:spacing w:val="-3"/>
        </w:rPr>
        <w:t xml:space="preserve"> </w:t>
      </w:r>
      <w:r>
        <w:t>in</w:t>
      </w:r>
      <w:r>
        <w:rPr>
          <w:spacing w:val="-3"/>
        </w:rPr>
        <w:t xml:space="preserve"> </w:t>
      </w:r>
      <w:r>
        <w:t>Bonjour</w:t>
      </w:r>
      <w:r>
        <w:rPr>
          <w:spacing w:val="-4"/>
        </w:rPr>
        <w:t xml:space="preserve"> </w:t>
      </w:r>
      <w:r>
        <w:t>(1998)</w:t>
      </w:r>
      <w:r>
        <w:rPr>
          <w:spacing w:val="-4"/>
        </w:rPr>
        <w:t xml:space="preserve"> </w:t>
      </w:r>
      <w:r>
        <w:t>and</w:t>
      </w:r>
      <w:r>
        <w:rPr>
          <w:spacing w:val="-3"/>
        </w:rPr>
        <w:t xml:space="preserve"> </w:t>
      </w:r>
      <w:r>
        <w:t>also</w:t>
      </w:r>
      <w:r>
        <w:rPr>
          <w:spacing w:val="-3"/>
        </w:rPr>
        <w:t xml:space="preserve"> </w:t>
      </w:r>
      <w:r>
        <w:t>in</w:t>
      </w:r>
    </w:p>
    <w:p w14:paraId="7E0031BA" w14:textId="77777777" w:rsidR="009A58DB" w:rsidRDefault="00000000">
      <w:pPr>
        <w:pStyle w:val="BodyText"/>
        <w:spacing w:line="339" w:lineRule="exact"/>
        <w:ind w:left="720"/>
        <w:jc w:val="left"/>
      </w:pPr>
      <w:r>
        <w:t>Dummett</w:t>
      </w:r>
      <w:r>
        <w:rPr>
          <w:spacing w:val="-6"/>
        </w:rPr>
        <w:t xml:space="preserve"> </w:t>
      </w:r>
      <w:r>
        <w:rPr>
          <w:spacing w:val="-2"/>
        </w:rPr>
        <w:t>(1973).</w:t>
      </w:r>
    </w:p>
    <w:p w14:paraId="7E0031BB" w14:textId="77777777" w:rsidR="009A58DB" w:rsidRDefault="00000000">
      <w:pPr>
        <w:pStyle w:val="BodyText"/>
        <w:spacing w:before="19" w:line="249" w:lineRule="auto"/>
        <w:ind w:left="720" w:right="365" w:hanging="360"/>
        <w:jc w:val="left"/>
      </w:pPr>
      <w:bookmarkStart w:id="1025" w:name="_bookmark1023"/>
      <w:bookmarkEnd w:id="1025"/>
      <w:r>
        <w:rPr>
          <w:color w:val="0562C1"/>
          <w:position w:val="19"/>
          <w:u w:val="single" w:color="0562C1"/>
        </w:rPr>
        <w:t>[350]</w:t>
      </w:r>
      <w:r>
        <w:t>.</w:t>
      </w:r>
      <w:r>
        <w:rPr>
          <w:spacing w:val="-2"/>
        </w:rPr>
        <w:t xml:space="preserve"> </w:t>
      </w:r>
      <w:r>
        <w:t>This</w:t>
      </w:r>
      <w:r>
        <w:rPr>
          <w:spacing w:val="-3"/>
        </w:rPr>
        <w:t xml:space="preserve"> </w:t>
      </w:r>
      <w:r>
        <w:t>is</w:t>
      </w:r>
      <w:r>
        <w:rPr>
          <w:spacing w:val="-3"/>
        </w:rPr>
        <w:t xml:space="preserve"> </w:t>
      </w:r>
      <w:r>
        <w:t>a</w:t>
      </w:r>
      <w:r>
        <w:rPr>
          <w:spacing w:val="-3"/>
        </w:rPr>
        <w:t xml:space="preserve"> </w:t>
      </w:r>
      <w:r>
        <w:t>shame.</w:t>
      </w:r>
      <w:r>
        <w:rPr>
          <w:spacing w:val="-2"/>
        </w:rPr>
        <w:t xml:space="preserve"> </w:t>
      </w:r>
      <w:r>
        <w:t>Quine</w:t>
      </w:r>
      <w:r>
        <w:rPr>
          <w:spacing w:val="-3"/>
        </w:rPr>
        <w:t xml:space="preserve"> </w:t>
      </w:r>
      <w:r>
        <w:t>was</w:t>
      </w:r>
      <w:r>
        <w:rPr>
          <w:spacing w:val="-3"/>
        </w:rPr>
        <w:t xml:space="preserve"> </w:t>
      </w:r>
      <w:r>
        <w:t>a</w:t>
      </w:r>
      <w:r>
        <w:rPr>
          <w:spacing w:val="-3"/>
        </w:rPr>
        <w:t xml:space="preserve"> </w:t>
      </w:r>
      <w:r>
        <w:t>brilliant</w:t>
      </w:r>
      <w:r>
        <w:rPr>
          <w:spacing w:val="-3"/>
        </w:rPr>
        <w:t xml:space="preserve"> </w:t>
      </w:r>
      <w:r>
        <w:t>man.</w:t>
      </w:r>
      <w:r>
        <w:rPr>
          <w:spacing w:val="-2"/>
        </w:rPr>
        <w:t xml:space="preserve"> </w:t>
      </w:r>
      <w:r>
        <w:t>He</w:t>
      </w:r>
      <w:r>
        <w:rPr>
          <w:spacing w:val="-3"/>
        </w:rPr>
        <w:t xml:space="preserve"> </w:t>
      </w:r>
      <w:r>
        <w:t>had</w:t>
      </w:r>
      <w:r>
        <w:rPr>
          <w:spacing w:val="-2"/>
        </w:rPr>
        <w:t xml:space="preserve"> </w:t>
      </w:r>
      <w:r>
        <w:t>a</w:t>
      </w:r>
      <w:r>
        <w:rPr>
          <w:spacing w:val="-3"/>
        </w:rPr>
        <w:t xml:space="preserve"> </w:t>
      </w:r>
      <w:r>
        <w:t>lot</w:t>
      </w:r>
      <w:r>
        <w:rPr>
          <w:spacing w:val="-3"/>
        </w:rPr>
        <w:t xml:space="preserve"> </w:t>
      </w:r>
      <w:r>
        <w:t>to</w:t>
      </w:r>
      <w:r>
        <w:rPr>
          <w:spacing w:val="-2"/>
        </w:rPr>
        <w:t xml:space="preserve"> </w:t>
      </w:r>
      <w:r>
        <w:t>say,</w:t>
      </w:r>
      <w:r>
        <w:rPr>
          <w:spacing w:val="-2"/>
        </w:rPr>
        <w:t xml:space="preserve"> </w:t>
      </w:r>
      <w:r>
        <w:t>and</w:t>
      </w:r>
      <w:r>
        <w:rPr>
          <w:spacing w:val="-2"/>
        </w:rPr>
        <w:t xml:space="preserve"> </w:t>
      </w:r>
      <w:r>
        <w:t>he would have had a lot more to say if he had been a bit more willing to reconsider some of his views. Sadly, it’s a rare scholar who is willing to admit that he’s wrong.</w:t>
      </w:r>
    </w:p>
    <w:p w14:paraId="7E0031BC" w14:textId="77777777" w:rsidR="009A58DB" w:rsidRDefault="00000000">
      <w:pPr>
        <w:pStyle w:val="BodyText"/>
        <w:spacing w:before="10"/>
        <w:jc w:val="left"/>
      </w:pPr>
      <w:bookmarkStart w:id="1026" w:name="_bookmark1024"/>
      <w:bookmarkEnd w:id="1026"/>
      <w:r>
        <w:rPr>
          <w:color w:val="0562C1"/>
          <w:position w:val="19"/>
          <w:u w:val="single" w:color="0562C1"/>
        </w:rPr>
        <w:t>[351]</w:t>
      </w:r>
      <w:r>
        <w:t>.</w:t>
      </w:r>
      <w:r>
        <w:rPr>
          <w:spacing w:val="-3"/>
        </w:rPr>
        <w:t xml:space="preserve"> </w:t>
      </w:r>
      <w:r>
        <w:t>“DN”</w:t>
      </w:r>
      <w:r>
        <w:rPr>
          <w:spacing w:val="-3"/>
        </w:rPr>
        <w:t xml:space="preserve"> </w:t>
      </w:r>
      <w:r>
        <w:t>stands</w:t>
      </w:r>
      <w:r>
        <w:rPr>
          <w:spacing w:val="-3"/>
        </w:rPr>
        <w:t xml:space="preserve"> </w:t>
      </w:r>
      <w:r>
        <w:t>for</w:t>
      </w:r>
      <w:r>
        <w:rPr>
          <w:spacing w:val="-3"/>
        </w:rPr>
        <w:t xml:space="preserve"> </w:t>
      </w:r>
      <w:r>
        <w:t>“double</w:t>
      </w:r>
      <w:r>
        <w:rPr>
          <w:spacing w:val="-3"/>
        </w:rPr>
        <w:t xml:space="preserve"> </w:t>
      </w:r>
      <w:r>
        <w:rPr>
          <w:spacing w:val="-2"/>
        </w:rPr>
        <w:t>negation.”</w:t>
      </w:r>
    </w:p>
    <w:p w14:paraId="7E0031BD" w14:textId="77777777" w:rsidR="009A58DB" w:rsidRDefault="00000000">
      <w:pPr>
        <w:pStyle w:val="BodyText"/>
        <w:spacing w:before="20" w:line="249" w:lineRule="auto"/>
        <w:ind w:left="720" w:hanging="360"/>
        <w:jc w:val="left"/>
      </w:pPr>
      <w:bookmarkStart w:id="1027" w:name="_bookmark1025"/>
      <w:bookmarkEnd w:id="1027"/>
      <w:r>
        <w:rPr>
          <w:color w:val="0562C1"/>
          <w:position w:val="19"/>
          <w:u w:val="single" w:color="0562C1"/>
        </w:rPr>
        <w:t>[352]</w:t>
      </w:r>
      <w:r>
        <w:t>.</w:t>
      </w:r>
      <w:r>
        <w:rPr>
          <w:spacing w:val="-4"/>
        </w:rPr>
        <w:t xml:space="preserve"> </w:t>
      </w:r>
      <w:r>
        <w:t>See</w:t>
      </w:r>
      <w:r>
        <w:rPr>
          <w:spacing w:val="-5"/>
        </w:rPr>
        <w:t xml:space="preserve"> </w:t>
      </w:r>
      <w:r>
        <w:t>Jerry</w:t>
      </w:r>
      <w:r>
        <w:rPr>
          <w:spacing w:val="-4"/>
        </w:rPr>
        <w:t xml:space="preserve"> </w:t>
      </w:r>
      <w:r>
        <w:t>Fodor’s</w:t>
      </w:r>
      <w:r>
        <w:rPr>
          <w:spacing w:val="-5"/>
        </w:rPr>
        <w:t xml:space="preserve"> </w:t>
      </w:r>
      <w:r>
        <w:t>superb</w:t>
      </w:r>
      <w:r>
        <w:rPr>
          <w:spacing w:val="-4"/>
        </w:rPr>
        <w:t xml:space="preserve"> </w:t>
      </w:r>
      <w:r>
        <w:t>paper,</w:t>
      </w:r>
      <w:r>
        <w:rPr>
          <w:spacing w:val="-4"/>
        </w:rPr>
        <w:t xml:space="preserve"> </w:t>
      </w:r>
      <w:r>
        <w:t>“The</w:t>
      </w:r>
      <w:r>
        <w:rPr>
          <w:spacing w:val="-5"/>
        </w:rPr>
        <w:t xml:space="preserve"> </w:t>
      </w:r>
      <w:r>
        <w:t>present</w:t>
      </w:r>
      <w:r>
        <w:rPr>
          <w:spacing w:val="-5"/>
        </w:rPr>
        <w:t xml:space="preserve"> </w:t>
      </w:r>
      <w:r>
        <w:t>status</w:t>
      </w:r>
      <w:r>
        <w:rPr>
          <w:spacing w:val="-5"/>
        </w:rPr>
        <w:t xml:space="preserve"> </w:t>
      </w:r>
      <w:r>
        <w:t>of</w:t>
      </w:r>
      <w:r>
        <w:rPr>
          <w:spacing w:val="-5"/>
        </w:rPr>
        <w:t xml:space="preserve"> </w:t>
      </w:r>
      <w:r>
        <w:t>innateness controversy,” in Fodor (1981b).</w:t>
      </w:r>
    </w:p>
    <w:p w14:paraId="7E0031BE" w14:textId="77777777" w:rsidR="009A58DB" w:rsidRDefault="00000000">
      <w:pPr>
        <w:pStyle w:val="BodyText"/>
        <w:spacing w:before="7"/>
        <w:jc w:val="left"/>
      </w:pPr>
      <w:bookmarkStart w:id="1028" w:name="_bookmark1026"/>
      <w:bookmarkEnd w:id="1028"/>
      <w:r>
        <w:rPr>
          <w:color w:val="0562C1"/>
          <w:position w:val="19"/>
          <w:u w:val="single" w:color="0562C1"/>
        </w:rPr>
        <w:t>[353]</w:t>
      </w:r>
      <w:r>
        <w:t>.</w:t>
      </w:r>
      <w:r>
        <w:rPr>
          <w:spacing w:val="-3"/>
        </w:rPr>
        <w:t xml:space="preserve"> </w:t>
      </w:r>
      <w:r>
        <w:t>Kant</w:t>
      </w:r>
      <w:r>
        <w:rPr>
          <w:spacing w:val="-2"/>
        </w:rPr>
        <w:t xml:space="preserve"> (1787).</w:t>
      </w:r>
    </w:p>
    <w:p w14:paraId="7E0031BF" w14:textId="77777777" w:rsidR="009A58DB" w:rsidRDefault="009A58DB">
      <w:pPr>
        <w:pStyle w:val="BodyText"/>
        <w:jc w:val="left"/>
        <w:sectPr w:rsidR="009A58DB">
          <w:pgSz w:w="12240" w:h="15840"/>
          <w:pgMar w:top="1380" w:right="1080" w:bottom="280" w:left="1080" w:header="720" w:footer="720" w:gutter="0"/>
          <w:cols w:space="720"/>
        </w:sectPr>
      </w:pPr>
    </w:p>
    <w:p w14:paraId="7E0031C0" w14:textId="77777777" w:rsidR="009A58DB" w:rsidRDefault="00000000">
      <w:pPr>
        <w:pStyle w:val="BodyText"/>
        <w:spacing w:before="70"/>
        <w:jc w:val="left"/>
      </w:pPr>
      <w:bookmarkStart w:id="1029" w:name="_bookmark1029"/>
      <w:bookmarkEnd w:id="1029"/>
      <w:r>
        <w:rPr>
          <w:color w:val="0562C1"/>
          <w:position w:val="19"/>
          <w:u w:val="single" w:color="0562C1"/>
        </w:rPr>
        <w:t>[354]</w:t>
      </w:r>
      <w:r>
        <w:t>.</w:t>
      </w:r>
      <w:r>
        <w:rPr>
          <w:spacing w:val="-3"/>
        </w:rPr>
        <w:t xml:space="preserve"> </w:t>
      </w:r>
      <w:r>
        <w:t>Quine</w:t>
      </w:r>
      <w:r>
        <w:rPr>
          <w:spacing w:val="-2"/>
        </w:rPr>
        <w:t xml:space="preserve"> (1970).</w:t>
      </w:r>
    </w:p>
    <w:p w14:paraId="7E0031C1" w14:textId="77777777" w:rsidR="009A58DB" w:rsidRDefault="00000000">
      <w:pPr>
        <w:pStyle w:val="BodyText"/>
        <w:spacing w:before="20"/>
        <w:jc w:val="left"/>
      </w:pPr>
      <w:bookmarkStart w:id="1030" w:name="_bookmark1030"/>
      <w:bookmarkEnd w:id="1030"/>
      <w:r>
        <w:rPr>
          <w:color w:val="0562C1"/>
          <w:position w:val="19"/>
          <w:u w:val="single" w:color="0562C1"/>
        </w:rPr>
        <w:t>[355]</w:t>
      </w:r>
      <w:r>
        <w:t>.</w:t>
      </w:r>
      <w:r>
        <w:rPr>
          <w:spacing w:val="-3"/>
        </w:rPr>
        <w:t xml:space="preserve"> </w:t>
      </w:r>
      <w:r>
        <w:t>Frege</w:t>
      </w:r>
      <w:r>
        <w:rPr>
          <w:spacing w:val="-3"/>
        </w:rPr>
        <w:t xml:space="preserve"> </w:t>
      </w:r>
      <w:r>
        <w:rPr>
          <w:spacing w:val="-2"/>
        </w:rPr>
        <w:t>(1956).</w:t>
      </w:r>
    </w:p>
    <w:p w14:paraId="7E0031C2" w14:textId="77777777" w:rsidR="009A58DB" w:rsidRDefault="00000000">
      <w:pPr>
        <w:pStyle w:val="BodyText"/>
        <w:spacing w:before="20" w:line="249" w:lineRule="auto"/>
        <w:ind w:left="720" w:right="365" w:hanging="360"/>
        <w:jc w:val="left"/>
      </w:pPr>
      <w:bookmarkStart w:id="1031" w:name="_bookmark1031"/>
      <w:bookmarkEnd w:id="1031"/>
      <w:r>
        <w:rPr>
          <w:color w:val="0562C1"/>
          <w:position w:val="19"/>
          <w:u w:val="single" w:color="0562C1"/>
        </w:rPr>
        <w:t>[356]</w:t>
      </w:r>
      <w:r>
        <w:t>.</w:t>
      </w:r>
      <w:r>
        <w:rPr>
          <w:spacing w:val="-3"/>
        </w:rPr>
        <w:t xml:space="preserve"> </w:t>
      </w:r>
      <w:r>
        <w:t>In</w:t>
      </w:r>
      <w:r>
        <w:rPr>
          <w:spacing w:val="-3"/>
        </w:rPr>
        <w:t xml:space="preserve"> </w:t>
      </w:r>
      <w:r>
        <w:t>this</w:t>
      </w:r>
      <w:r>
        <w:rPr>
          <w:spacing w:val="-4"/>
        </w:rPr>
        <w:t xml:space="preserve"> </w:t>
      </w:r>
      <w:r>
        <w:t>chapter,</w:t>
      </w:r>
      <w:r>
        <w:rPr>
          <w:spacing w:val="-3"/>
        </w:rPr>
        <w:t xml:space="preserve"> </w:t>
      </w:r>
      <w:r>
        <w:t>there</w:t>
      </w:r>
      <w:r>
        <w:rPr>
          <w:spacing w:val="-4"/>
        </w:rPr>
        <w:t xml:space="preserve"> </w:t>
      </w:r>
      <w:r>
        <w:t>are</w:t>
      </w:r>
      <w:r>
        <w:rPr>
          <w:spacing w:val="-4"/>
        </w:rPr>
        <w:t xml:space="preserve"> </w:t>
      </w:r>
      <w:r>
        <w:t>many</w:t>
      </w:r>
      <w:r>
        <w:rPr>
          <w:spacing w:val="-3"/>
        </w:rPr>
        <w:t xml:space="preserve"> </w:t>
      </w:r>
      <w:r>
        <w:t>places</w:t>
      </w:r>
      <w:r>
        <w:rPr>
          <w:spacing w:val="-4"/>
        </w:rPr>
        <w:t xml:space="preserve"> </w:t>
      </w:r>
      <w:r>
        <w:t>where,</w:t>
      </w:r>
      <w:r>
        <w:rPr>
          <w:spacing w:val="-3"/>
        </w:rPr>
        <w:t xml:space="preserve"> </w:t>
      </w:r>
      <w:r>
        <w:t>technically,</w:t>
      </w:r>
      <w:r>
        <w:rPr>
          <w:spacing w:val="-3"/>
        </w:rPr>
        <w:t xml:space="preserve"> </w:t>
      </w:r>
      <w:r>
        <w:t>I</w:t>
      </w:r>
      <w:r>
        <w:rPr>
          <w:spacing w:val="-4"/>
        </w:rPr>
        <w:t xml:space="preserve"> </w:t>
      </w:r>
      <w:r>
        <w:t>should</w:t>
      </w:r>
      <w:r>
        <w:rPr>
          <w:spacing w:val="-3"/>
        </w:rPr>
        <w:t xml:space="preserve"> </w:t>
      </w:r>
      <w:r>
        <w:t>have used quasi-quotation marks but where I instead used ordinary quotation marks or didn’t use any quotation marks at all. I didn’t want an excess of obscure symbolism to obscure matters of substance.</w:t>
      </w:r>
    </w:p>
    <w:p w14:paraId="7E0031C3" w14:textId="77777777" w:rsidR="009A58DB" w:rsidRDefault="00000000">
      <w:pPr>
        <w:pStyle w:val="BodyText"/>
        <w:spacing w:before="10"/>
        <w:jc w:val="left"/>
      </w:pPr>
      <w:bookmarkStart w:id="1032" w:name="_bookmark1032"/>
      <w:bookmarkEnd w:id="1032"/>
      <w:r>
        <w:rPr>
          <w:color w:val="0562C1"/>
          <w:position w:val="19"/>
          <w:u w:val="single" w:color="0562C1"/>
        </w:rPr>
        <w:t>[357]</w:t>
      </w:r>
      <w:r>
        <w:t>.</w:t>
      </w:r>
      <w:r>
        <w:rPr>
          <w:spacing w:val="-3"/>
        </w:rPr>
        <w:t xml:space="preserve"> </w:t>
      </w:r>
      <w:r>
        <w:t>“LC”</w:t>
      </w:r>
      <w:r>
        <w:rPr>
          <w:spacing w:val="-4"/>
        </w:rPr>
        <w:t xml:space="preserve"> </w:t>
      </w:r>
      <w:r>
        <w:t>stands</w:t>
      </w:r>
      <w:r>
        <w:rPr>
          <w:spacing w:val="-4"/>
        </w:rPr>
        <w:t xml:space="preserve"> </w:t>
      </w:r>
      <w:r>
        <w:t>for</w:t>
      </w:r>
      <w:r>
        <w:rPr>
          <w:spacing w:val="-4"/>
        </w:rPr>
        <w:t xml:space="preserve"> </w:t>
      </w:r>
      <w:r>
        <w:t>“logical</w:t>
      </w:r>
      <w:r>
        <w:rPr>
          <w:spacing w:val="-3"/>
        </w:rPr>
        <w:t xml:space="preserve"> </w:t>
      </w:r>
      <w:r>
        <w:rPr>
          <w:spacing w:val="-2"/>
        </w:rPr>
        <w:t>constant.”</w:t>
      </w:r>
    </w:p>
    <w:p w14:paraId="7E0031C4" w14:textId="77777777" w:rsidR="009A58DB" w:rsidRDefault="00000000">
      <w:pPr>
        <w:pStyle w:val="BodyText"/>
        <w:spacing w:before="20" w:line="249" w:lineRule="auto"/>
        <w:ind w:left="720" w:right="537" w:hanging="360"/>
        <w:jc w:val="left"/>
      </w:pPr>
      <w:bookmarkStart w:id="1033" w:name="_bookmark1033"/>
      <w:bookmarkEnd w:id="1033"/>
      <w:r>
        <w:rPr>
          <w:color w:val="0562C1"/>
          <w:position w:val="19"/>
          <w:u w:val="single" w:color="0562C1"/>
        </w:rPr>
        <w:t>[358]</w:t>
      </w:r>
      <w:r>
        <w:t xml:space="preserve">. NOTE: The funny, square-shaped things flanking that expression are </w:t>
      </w:r>
      <w:r>
        <w:rPr>
          <w:b/>
          <w:i/>
        </w:rPr>
        <w:t>quasi-quotation</w:t>
      </w:r>
      <w:r>
        <w:rPr>
          <w:b/>
          <w:i/>
          <w:spacing w:val="-4"/>
        </w:rPr>
        <w:t xml:space="preserve"> </w:t>
      </w:r>
      <w:r>
        <w:rPr>
          <w:b/>
          <w:i/>
        </w:rPr>
        <w:t>marks.</w:t>
      </w:r>
      <w:r>
        <w:rPr>
          <w:b/>
          <w:i/>
          <w:spacing w:val="-4"/>
        </w:rPr>
        <w:t xml:space="preserve"> </w:t>
      </w:r>
      <w:r>
        <w:t>At</w:t>
      </w:r>
      <w:r>
        <w:rPr>
          <w:spacing w:val="-4"/>
        </w:rPr>
        <w:t xml:space="preserve"> </w:t>
      </w:r>
      <w:r>
        <w:t>the</w:t>
      </w:r>
      <w:r>
        <w:rPr>
          <w:spacing w:val="-4"/>
        </w:rPr>
        <w:t xml:space="preserve"> </w:t>
      </w:r>
      <w:r>
        <w:t>end</w:t>
      </w:r>
      <w:r>
        <w:rPr>
          <w:spacing w:val="-4"/>
        </w:rPr>
        <w:t xml:space="preserve"> </w:t>
      </w:r>
      <w:r>
        <w:t>of</w:t>
      </w:r>
      <w:r>
        <w:rPr>
          <w:spacing w:val="-4"/>
        </w:rPr>
        <w:t xml:space="preserve"> </w:t>
      </w:r>
      <w:r>
        <w:t>this</w:t>
      </w:r>
      <w:r>
        <w:rPr>
          <w:spacing w:val="-4"/>
        </w:rPr>
        <w:t xml:space="preserve"> </w:t>
      </w:r>
      <w:r>
        <w:t>chapter,</w:t>
      </w:r>
      <w:r>
        <w:rPr>
          <w:spacing w:val="-4"/>
        </w:rPr>
        <w:t xml:space="preserve"> </w:t>
      </w:r>
      <w:r>
        <w:t>it’ll</w:t>
      </w:r>
      <w:r>
        <w:rPr>
          <w:spacing w:val="-4"/>
        </w:rPr>
        <w:t xml:space="preserve"> </w:t>
      </w:r>
      <w:r>
        <w:t>be</w:t>
      </w:r>
      <w:r>
        <w:rPr>
          <w:spacing w:val="-4"/>
        </w:rPr>
        <w:t xml:space="preserve"> </w:t>
      </w:r>
      <w:r>
        <w:t>explained</w:t>
      </w:r>
      <w:r>
        <w:rPr>
          <w:spacing w:val="-4"/>
        </w:rPr>
        <w:t xml:space="preserve"> </w:t>
      </w:r>
      <w:r>
        <w:t>what quasi-quotation marks are. For now, you may treat them as quotation marks—which, give or take some niceties, is what they are.</w:t>
      </w:r>
    </w:p>
    <w:p w14:paraId="7E0031C5" w14:textId="77777777" w:rsidR="009A58DB" w:rsidRDefault="00000000">
      <w:pPr>
        <w:pStyle w:val="BodyText"/>
        <w:spacing w:before="10"/>
        <w:jc w:val="left"/>
      </w:pPr>
      <w:bookmarkStart w:id="1034" w:name="_bookmark1034"/>
      <w:bookmarkEnd w:id="1034"/>
      <w:r>
        <w:rPr>
          <w:color w:val="0562C1"/>
          <w:position w:val="19"/>
          <w:u w:val="single" w:color="0562C1"/>
        </w:rPr>
        <w:t>[359]</w:t>
      </w:r>
      <w:r>
        <w:t>.</w:t>
      </w:r>
      <w:r>
        <w:rPr>
          <w:spacing w:val="-6"/>
        </w:rPr>
        <w:t xml:space="preserve"> </w:t>
      </w:r>
      <w:r>
        <w:t>Wittgenstein</w:t>
      </w:r>
      <w:r>
        <w:rPr>
          <w:spacing w:val="-5"/>
        </w:rPr>
        <w:t xml:space="preserve"> </w:t>
      </w:r>
      <w:r>
        <w:rPr>
          <w:spacing w:val="-2"/>
        </w:rPr>
        <w:t>(1922).</w:t>
      </w:r>
    </w:p>
    <w:p w14:paraId="7E0031C6" w14:textId="77777777" w:rsidR="009A58DB" w:rsidRDefault="00000000">
      <w:pPr>
        <w:pStyle w:val="BodyText"/>
        <w:spacing w:before="20" w:line="249" w:lineRule="auto"/>
        <w:ind w:left="720" w:right="649" w:hanging="360"/>
      </w:pPr>
      <w:bookmarkStart w:id="1035" w:name="_bookmark1035"/>
      <w:bookmarkEnd w:id="1035"/>
      <w:r>
        <w:rPr>
          <w:color w:val="0562C1"/>
          <w:position w:val="19"/>
          <w:u w:val="single" w:color="0562C1"/>
        </w:rPr>
        <w:t>[360]</w:t>
      </w:r>
      <w:r>
        <w:t>.</w:t>
      </w:r>
      <w:r>
        <w:rPr>
          <w:spacing w:val="-3"/>
        </w:rPr>
        <w:t xml:space="preserve"> </w:t>
      </w:r>
      <w:r>
        <w:t>“AFT”</w:t>
      </w:r>
      <w:r>
        <w:rPr>
          <w:spacing w:val="-4"/>
        </w:rPr>
        <w:t xml:space="preserve"> </w:t>
      </w:r>
      <w:r>
        <w:t>is</w:t>
      </w:r>
      <w:r>
        <w:rPr>
          <w:spacing w:val="-4"/>
        </w:rPr>
        <w:t xml:space="preserve"> </w:t>
      </w:r>
      <w:r>
        <w:t>short</w:t>
      </w:r>
      <w:r>
        <w:rPr>
          <w:spacing w:val="-4"/>
        </w:rPr>
        <w:t xml:space="preserve"> </w:t>
      </w:r>
      <w:r>
        <w:t>for</w:t>
      </w:r>
      <w:r>
        <w:rPr>
          <w:spacing w:val="-4"/>
        </w:rPr>
        <w:t xml:space="preserve"> </w:t>
      </w:r>
      <w:r>
        <w:t>“argument</w:t>
      </w:r>
      <w:r>
        <w:rPr>
          <w:spacing w:val="-4"/>
        </w:rPr>
        <w:t xml:space="preserve"> </w:t>
      </w:r>
      <w:r>
        <w:t>for</w:t>
      </w:r>
      <w:r>
        <w:rPr>
          <w:spacing w:val="-4"/>
        </w:rPr>
        <w:t xml:space="preserve"> </w:t>
      </w:r>
      <w:r>
        <w:t>formal</w:t>
      </w:r>
      <w:r>
        <w:rPr>
          <w:spacing w:val="-4"/>
        </w:rPr>
        <w:t xml:space="preserve"> </w:t>
      </w:r>
      <w:r>
        <w:t>truth.”</w:t>
      </w:r>
      <w:r>
        <w:rPr>
          <w:spacing w:val="-4"/>
        </w:rPr>
        <w:t xml:space="preserve"> </w:t>
      </w:r>
      <w:r>
        <w:t>AFT</w:t>
      </w:r>
      <w:r>
        <w:rPr>
          <w:spacing w:val="-4"/>
        </w:rPr>
        <w:t xml:space="preserve"> </w:t>
      </w:r>
      <w:r>
        <w:t>is</w:t>
      </w:r>
      <w:r>
        <w:rPr>
          <w:spacing w:val="-4"/>
        </w:rPr>
        <w:t xml:space="preserve"> </w:t>
      </w:r>
      <w:r>
        <w:t>a</w:t>
      </w:r>
      <w:r>
        <w:rPr>
          <w:spacing w:val="-4"/>
        </w:rPr>
        <w:t xml:space="preserve"> </w:t>
      </w:r>
      <w:r>
        <w:t>paraphrase, not a direct quotation.</w:t>
      </w:r>
    </w:p>
    <w:p w14:paraId="7E0031C7" w14:textId="77777777" w:rsidR="009A58DB" w:rsidRDefault="00000000">
      <w:pPr>
        <w:pStyle w:val="BodyText"/>
        <w:spacing w:before="7" w:line="252" w:lineRule="auto"/>
        <w:ind w:left="720" w:right="361" w:hanging="375"/>
      </w:pPr>
      <w:r>
        <w:rPr>
          <w:color w:val="0562C1"/>
          <w:position w:val="22"/>
          <w:u w:val="single" w:color="0562C1"/>
        </w:rPr>
        <w:t>[361]</w:t>
      </w:r>
      <w:r>
        <w:rPr>
          <w:sz w:val="34"/>
        </w:rPr>
        <w:t>.</w:t>
      </w:r>
      <w:r>
        <w:rPr>
          <w:spacing w:val="80"/>
          <w:sz w:val="34"/>
        </w:rPr>
        <w:t xml:space="preserve">  </w:t>
      </w:r>
      <w:r>
        <w:t>Earlier</w:t>
      </w:r>
      <w:r>
        <w:rPr>
          <w:spacing w:val="-1"/>
        </w:rPr>
        <w:t xml:space="preserve"> </w:t>
      </w:r>
      <w:r>
        <w:t>we</w:t>
      </w:r>
      <w:r>
        <w:rPr>
          <w:spacing w:val="-1"/>
        </w:rPr>
        <w:t xml:space="preserve"> </w:t>
      </w:r>
      <w:r>
        <w:t>said</w:t>
      </w:r>
      <w:r>
        <w:rPr>
          <w:spacing w:val="-1"/>
        </w:rPr>
        <w:t xml:space="preserve"> </w:t>
      </w:r>
      <w:r>
        <w:t>that</w:t>
      </w:r>
      <w:r>
        <w:rPr>
          <w:spacing w:val="-1"/>
        </w:rPr>
        <w:t xml:space="preserve"> </w:t>
      </w:r>
      <w:r>
        <w:t>there</w:t>
      </w:r>
      <w:r>
        <w:rPr>
          <w:spacing w:val="-1"/>
        </w:rPr>
        <w:t xml:space="preserve"> </w:t>
      </w:r>
      <w:r>
        <w:t>are</w:t>
      </w:r>
      <w:r>
        <w:rPr>
          <w:spacing w:val="-1"/>
        </w:rPr>
        <w:t xml:space="preserve"> </w:t>
      </w:r>
      <w:r>
        <w:t>multiple</w:t>
      </w:r>
      <w:r>
        <w:rPr>
          <w:spacing w:val="-1"/>
        </w:rPr>
        <w:t xml:space="preserve"> </w:t>
      </w:r>
      <w:r>
        <w:t>answers</w:t>
      </w:r>
      <w:r>
        <w:rPr>
          <w:spacing w:val="-1"/>
        </w:rPr>
        <w:t xml:space="preserve"> </w:t>
      </w:r>
      <w:r>
        <w:t>to</w:t>
      </w:r>
      <w:r>
        <w:rPr>
          <w:spacing w:val="-1"/>
        </w:rPr>
        <w:t xml:space="preserve"> </w:t>
      </w:r>
      <w:r>
        <w:t>the</w:t>
      </w:r>
      <w:r>
        <w:rPr>
          <w:spacing w:val="-1"/>
        </w:rPr>
        <w:t xml:space="preserve"> </w:t>
      </w:r>
      <w:r>
        <w:t>question</w:t>
      </w:r>
      <w:r>
        <w:rPr>
          <w:spacing w:val="-1"/>
        </w:rPr>
        <w:t xml:space="preserve"> </w:t>
      </w:r>
      <w:r>
        <w:t xml:space="preserve">“what is ethics?” Our first answer was: “Ethics is the branch of philosophy that studies the categories peculiar to </w:t>
      </w:r>
      <w:r>
        <w:rPr>
          <w:i/>
        </w:rPr>
        <w:t xml:space="preserve">normative </w:t>
      </w:r>
      <w:r>
        <w:t xml:space="preserve">statements.” We’ve just given a second answer to that question, namely: “it is the discipline that answers that attempts to determine which things are </w:t>
      </w:r>
      <w:r>
        <w:rPr>
          <w:i/>
        </w:rPr>
        <w:t xml:space="preserve">intrinsically </w:t>
      </w:r>
      <w:r>
        <w:t>good.”</w:t>
      </w:r>
    </w:p>
    <w:p w14:paraId="7E0031C8" w14:textId="77777777" w:rsidR="009A58DB" w:rsidRDefault="00000000">
      <w:pPr>
        <w:pStyle w:val="BodyText"/>
        <w:spacing w:before="103" w:line="249" w:lineRule="auto"/>
        <w:ind w:left="720" w:right="371" w:hanging="375"/>
      </w:pPr>
      <w:r>
        <w:rPr>
          <w:color w:val="0562C1"/>
          <w:position w:val="22"/>
          <w:u w:val="single" w:color="0562C1"/>
        </w:rPr>
        <w:t>[362]</w:t>
      </w:r>
      <w:r>
        <w:t>.</w:t>
      </w:r>
      <w:r>
        <w:rPr>
          <w:spacing w:val="40"/>
        </w:rPr>
        <w:t xml:space="preserve">  </w:t>
      </w:r>
      <w:r>
        <w:t>Aristotle held this view, or one like it. A version of it is defended in Chapter 22.</w:t>
      </w:r>
    </w:p>
    <w:p w14:paraId="7E0031C9" w14:textId="77777777" w:rsidR="009A58DB" w:rsidRDefault="00000000">
      <w:pPr>
        <w:pStyle w:val="BodyText"/>
        <w:spacing w:before="97"/>
        <w:jc w:val="left"/>
      </w:pPr>
      <w:bookmarkStart w:id="1036" w:name="_bookmark1036"/>
      <w:bookmarkEnd w:id="1036"/>
      <w:r>
        <w:rPr>
          <w:color w:val="0562C1"/>
          <w:position w:val="22"/>
          <w:u w:val="single" w:color="0562C1"/>
        </w:rPr>
        <w:t>[363]</w:t>
      </w:r>
      <w:r>
        <w:t>.</w:t>
      </w:r>
      <w:r>
        <w:rPr>
          <w:spacing w:val="2"/>
        </w:rPr>
        <w:t xml:space="preserve"> </w:t>
      </w:r>
      <w:r>
        <w:t>Examples</w:t>
      </w:r>
      <w:r>
        <w:rPr>
          <w:spacing w:val="4"/>
        </w:rPr>
        <w:t xml:space="preserve"> </w:t>
      </w:r>
      <w:r>
        <w:t>are</w:t>
      </w:r>
      <w:r>
        <w:rPr>
          <w:spacing w:val="2"/>
        </w:rPr>
        <w:t xml:space="preserve"> </w:t>
      </w:r>
      <w:r>
        <w:t>David</w:t>
      </w:r>
      <w:r>
        <w:rPr>
          <w:spacing w:val="4"/>
        </w:rPr>
        <w:t xml:space="preserve"> </w:t>
      </w:r>
      <w:r>
        <w:t>Hume</w:t>
      </w:r>
      <w:r>
        <w:rPr>
          <w:spacing w:val="3"/>
        </w:rPr>
        <w:t xml:space="preserve"> </w:t>
      </w:r>
      <w:r>
        <w:t>(1739,</w:t>
      </w:r>
      <w:r>
        <w:rPr>
          <w:spacing w:val="3"/>
        </w:rPr>
        <w:t xml:space="preserve"> </w:t>
      </w:r>
      <w:r>
        <w:t>1751),</w:t>
      </w:r>
      <w:r>
        <w:rPr>
          <w:spacing w:val="3"/>
        </w:rPr>
        <w:t xml:space="preserve"> </w:t>
      </w:r>
      <w:r>
        <w:t>C.L.</w:t>
      </w:r>
      <w:r>
        <w:rPr>
          <w:spacing w:val="3"/>
        </w:rPr>
        <w:t xml:space="preserve"> </w:t>
      </w:r>
      <w:r>
        <w:t>Stevenson</w:t>
      </w:r>
      <w:r>
        <w:rPr>
          <w:spacing w:val="3"/>
        </w:rPr>
        <w:t xml:space="preserve"> </w:t>
      </w:r>
      <w:r>
        <w:t>(1937),</w:t>
      </w:r>
      <w:r>
        <w:rPr>
          <w:spacing w:val="4"/>
        </w:rPr>
        <w:t xml:space="preserve"> </w:t>
      </w:r>
      <w:r>
        <w:rPr>
          <w:spacing w:val="-4"/>
        </w:rPr>
        <w:t>R.M.</w:t>
      </w:r>
    </w:p>
    <w:p w14:paraId="7E0031CA" w14:textId="77777777" w:rsidR="009A58DB" w:rsidRDefault="00000000">
      <w:pPr>
        <w:pStyle w:val="BodyText"/>
        <w:spacing w:before="15"/>
        <w:ind w:left="720"/>
        <w:jc w:val="left"/>
      </w:pPr>
      <w:r>
        <w:t>Hare</w:t>
      </w:r>
      <w:r>
        <w:rPr>
          <w:spacing w:val="-4"/>
        </w:rPr>
        <w:t xml:space="preserve"> </w:t>
      </w:r>
      <w:r>
        <w:t>(1952),</w:t>
      </w:r>
      <w:r>
        <w:rPr>
          <w:spacing w:val="-2"/>
        </w:rPr>
        <w:t xml:space="preserve"> </w:t>
      </w:r>
      <w:r>
        <w:t>and</w:t>
      </w:r>
      <w:r>
        <w:rPr>
          <w:spacing w:val="-3"/>
        </w:rPr>
        <w:t xml:space="preserve"> </w:t>
      </w:r>
      <w:r>
        <w:t>Simon</w:t>
      </w:r>
      <w:r>
        <w:rPr>
          <w:spacing w:val="-2"/>
        </w:rPr>
        <w:t xml:space="preserve"> </w:t>
      </w:r>
      <w:r>
        <w:t>Blackburn</w:t>
      </w:r>
      <w:r>
        <w:rPr>
          <w:spacing w:val="-3"/>
        </w:rPr>
        <w:t xml:space="preserve"> </w:t>
      </w:r>
      <w:r>
        <w:t>(1984,</w:t>
      </w:r>
      <w:r>
        <w:rPr>
          <w:spacing w:val="-2"/>
        </w:rPr>
        <w:t xml:space="preserve"> 1998).</w:t>
      </w:r>
    </w:p>
    <w:p w14:paraId="7E0031CB" w14:textId="77777777" w:rsidR="009A58DB" w:rsidRDefault="00000000">
      <w:pPr>
        <w:pStyle w:val="BodyText"/>
        <w:spacing w:before="126" w:line="326" w:lineRule="auto"/>
        <w:ind w:right="5524"/>
        <w:jc w:val="left"/>
      </w:pPr>
      <w:bookmarkStart w:id="1037" w:name="_bookmark1037"/>
      <w:bookmarkEnd w:id="1037"/>
      <w:r>
        <w:rPr>
          <w:color w:val="0562C1"/>
          <w:position w:val="22"/>
          <w:u w:val="single" w:color="0562C1"/>
        </w:rPr>
        <w:t>[364]</w:t>
      </w:r>
      <w:r>
        <w:t xml:space="preserve">. See Stevenson (1937). </w:t>
      </w:r>
      <w:bookmarkStart w:id="1038" w:name="_bookmark1038"/>
      <w:bookmarkEnd w:id="1038"/>
      <w:r>
        <w:rPr>
          <w:color w:val="0562C1"/>
          <w:position w:val="22"/>
          <w:u w:val="single" w:color="0562C1"/>
        </w:rPr>
        <w:t>[365]</w:t>
      </w:r>
      <w:r>
        <w:t>.</w:t>
      </w:r>
      <w:r>
        <w:rPr>
          <w:spacing w:val="-10"/>
        </w:rPr>
        <w:t xml:space="preserve"> </w:t>
      </w:r>
      <w:r>
        <w:t>A</w:t>
      </w:r>
      <w:r>
        <w:rPr>
          <w:spacing w:val="-11"/>
        </w:rPr>
        <w:t xml:space="preserve"> </w:t>
      </w:r>
      <w:r>
        <w:t>19th</w:t>
      </w:r>
      <w:r>
        <w:rPr>
          <w:spacing w:val="-10"/>
        </w:rPr>
        <w:t xml:space="preserve"> </w:t>
      </w:r>
      <w:r>
        <w:t>century</w:t>
      </w:r>
      <w:r>
        <w:rPr>
          <w:spacing w:val="-10"/>
        </w:rPr>
        <w:t xml:space="preserve"> </w:t>
      </w:r>
      <w:r>
        <w:t>pontificator.</w:t>
      </w:r>
    </w:p>
    <w:p w14:paraId="7E0031CC" w14:textId="77777777" w:rsidR="009A58DB" w:rsidRDefault="00000000">
      <w:pPr>
        <w:pStyle w:val="BodyText"/>
        <w:spacing w:line="552" w:lineRule="exact"/>
        <w:jc w:val="left"/>
      </w:pPr>
      <w:bookmarkStart w:id="1039" w:name="_bookmark1039"/>
      <w:bookmarkEnd w:id="1039"/>
      <w:r>
        <w:rPr>
          <w:color w:val="0562C1"/>
          <w:position w:val="22"/>
          <w:u w:val="single" w:color="0562C1"/>
        </w:rPr>
        <w:t>[366]</w:t>
      </w:r>
      <w:r>
        <w:t>.</w:t>
      </w:r>
      <w:r>
        <w:rPr>
          <w:spacing w:val="-3"/>
        </w:rPr>
        <w:t xml:space="preserve"> </w:t>
      </w:r>
      <w:r>
        <w:t>“HA”</w:t>
      </w:r>
      <w:r>
        <w:rPr>
          <w:spacing w:val="-4"/>
        </w:rPr>
        <w:t xml:space="preserve"> </w:t>
      </w:r>
      <w:r>
        <w:t>stands</w:t>
      </w:r>
      <w:r>
        <w:rPr>
          <w:spacing w:val="-4"/>
        </w:rPr>
        <w:t xml:space="preserve"> </w:t>
      </w:r>
      <w:r>
        <w:t>for</w:t>
      </w:r>
      <w:r>
        <w:rPr>
          <w:spacing w:val="-4"/>
        </w:rPr>
        <w:t xml:space="preserve"> </w:t>
      </w:r>
      <w:r>
        <w:t>“Hume’s</w:t>
      </w:r>
      <w:r>
        <w:rPr>
          <w:spacing w:val="-3"/>
        </w:rPr>
        <w:t xml:space="preserve"> </w:t>
      </w:r>
      <w:r>
        <w:rPr>
          <w:spacing w:val="-2"/>
        </w:rPr>
        <w:t>argument.”</w:t>
      </w:r>
    </w:p>
    <w:p w14:paraId="7E0031CD" w14:textId="77777777" w:rsidR="009A58DB" w:rsidRDefault="009A58DB">
      <w:pPr>
        <w:pStyle w:val="BodyText"/>
        <w:spacing w:line="552" w:lineRule="exact"/>
        <w:jc w:val="left"/>
        <w:sectPr w:rsidR="009A58DB">
          <w:pgSz w:w="12240" w:h="15840"/>
          <w:pgMar w:top="1380" w:right="1080" w:bottom="280" w:left="1080" w:header="720" w:footer="720" w:gutter="0"/>
          <w:cols w:space="720"/>
        </w:sectPr>
      </w:pPr>
    </w:p>
    <w:p w14:paraId="7E0031CE" w14:textId="77777777" w:rsidR="009A58DB" w:rsidRDefault="00000000">
      <w:pPr>
        <w:pStyle w:val="BodyText"/>
        <w:spacing w:before="70" w:line="249" w:lineRule="auto"/>
        <w:ind w:left="720" w:right="358" w:hanging="360"/>
      </w:pPr>
      <w:bookmarkStart w:id="1040" w:name="_bookmark1040"/>
      <w:bookmarkEnd w:id="1040"/>
      <w:r>
        <w:rPr>
          <w:color w:val="0562C1"/>
          <w:position w:val="22"/>
          <w:u w:val="single" w:color="0562C1"/>
        </w:rPr>
        <w:t>[367]</w:t>
      </w:r>
      <w:r>
        <w:t xml:space="preserve">. Why must he </w:t>
      </w:r>
      <w:r>
        <w:rPr>
          <w:i/>
        </w:rPr>
        <w:t xml:space="preserve">know </w:t>
      </w:r>
      <w:r>
        <w:t xml:space="preserve">himself to have such a desire? Why can’t he just have it, without knowing that he has it? Because if he wanted to play soccer and, all of a sudden could do so, he obviously wouldn’t be happy </w:t>
      </w:r>
      <w:r>
        <w:rPr>
          <w:i/>
        </w:rPr>
        <w:t xml:space="preserve">unless he knew he could do so. </w:t>
      </w:r>
      <w:r>
        <w:t>If he still thought his lungs would fill up with fluid when playing, he obviously couldn’t be happy that he could</w:t>
      </w:r>
      <w:r>
        <w:rPr>
          <w:spacing w:val="40"/>
        </w:rPr>
        <w:t xml:space="preserve"> </w:t>
      </w:r>
      <w:r>
        <w:t xml:space="preserve">play soccer without his lungs filling up with fluid. Since he’d believe, albeit wrongly, that his lungs </w:t>
      </w:r>
      <w:r>
        <w:rPr>
          <w:i/>
        </w:rPr>
        <w:t xml:space="preserve">would </w:t>
      </w:r>
      <w:r>
        <w:t xml:space="preserve">fill up, he’d be </w:t>
      </w:r>
      <w:r>
        <w:rPr>
          <w:i/>
        </w:rPr>
        <w:t xml:space="preserve">unhappy </w:t>
      </w:r>
      <w:r>
        <w:t xml:space="preserve">that (so he thought) he couldn’t play soccer. So, I repeat, a </w:t>
      </w:r>
      <w:r>
        <w:rPr>
          <w:i/>
        </w:rPr>
        <w:t xml:space="preserve">necessary </w:t>
      </w:r>
      <w:r>
        <w:t xml:space="preserve">condition for Ben’s </w:t>
      </w:r>
      <w:r>
        <w:rPr>
          <w:i/>
        </w:rPr>
        <w:t xml:space="preserve">being happy that he can play soccer </w:t>
      </w:r>
      <w:r>
        <w:t>is that he know himself have some desire that, in now being able to play soccer, he is able to gratify.</w:t>
      </w:r>
    </w:p>
    <w:p w14:paraId="7E0031CF" w14:textId="77777777" w:rsidR="009A58DB" w:rsidRDefault="00000000">
      <w:pPr>
        <w:spacing w:before="122" w:line="252" w:lineRule="auto"/>
        <w:ind w:left="720" w:right="367" w:hanging="360"/>
        <w:jc w:val="both"/>
        <w:rPr>
          <w:i/>
          <w:sz w:val="30"/>
        </w:rPr>
      </w:pPr>
      <w:bookmarkStart w:id="1041" w:name="_bookmark1041"/>
      <w:bookmarkEnd w:id="1041"/>
      <w:r>
        <w:rPr>
          <w:color w:val="0562C1"/>
          <w:position w:val="22"/>
          <w:sz w:val="30"/>
          <w:u w:val="single" w:color="0562C1"/>
        </w:rPr>
        <w:t>[368]</w:t>
      </w:r>
      <w:r>
        <w:rPr>
          <w:sz w:val="34"/>
        </w:rPr>
        <w:t xml:space="preserve">. </w:t>
      </w:r>
      <w:r>
        <w:rPr>
          <w:sz w:val="30"/>
        </w:rPr>
        <w:t xml:space="preserve">G.E. Moore made this insightful point in his (1903) book </w:t>
      </w:r>
      <w:r>
        <w:rPr>
          <w:i/>
          <w:sz w:val="30"/>
        </w:rPr>
        <w:t xml:space="preserve">Principia </w:t>
      </w:r>
      <w:r>
        <w:rPr>
          <w:i/>
          <w:spacing w:val="-2"/>
          <w:sz w:val="30"/>
        </w:rPr>
        <w:t>Ethica.</w:t>
      </w:r>
    </w:p>
    <w:p w14:paraId="7E0031D0" w14:textId="77777777" w:rsidR="009A58DB" w:rsidRDefault="00000000">
      <w:pPr>
        <w:spacing w:before="95" w:line="252" w:lineRule="auto"/>
        <w:ind w:left="720" w:right="360" w:hanging="360"/>
        <w:jc w:val="both"/>
        <w:rPr>
          <w:sz w:val="30"/>
        </w:rPr>
      </w:pPr>
      <w:bookmarkStart w:id="1042" w:name="_bookmark1042"/>
      <w:bookmarkEnd w:id="1042"/>
      <w:r>
        <w:rPr>
          <w:color w:val="0562C1"/>
          <w:position w:val="22"/>
          <w:sz w:val="30"/>
          <w:u w:val="single" w:color="0562C1"/>
        </w:rPr>
        <w:t>[369]</w:t>
      </w:r>
      <w:r>
        <w:rPr>
          <w:sz w:val="34"/>
        </w:rPr>
        <w:t xml:space="preserve">. </w:t>
      </w:r>
      <w:r>
        <w:rPr>
          <w:sz w:val="30"/>
        </w:rPr>
        <w:t xml:space="preserve">Very technically speaking, it is a </w:t>
      </w:r>
      <w:r>
        <w:rPr>
          <w:b/>
          <w:i/>
          <w:sz w:val="30"/>
        </w:rPr>
        <w:t xml:space="preserve">universal generalization, </w:t>
      </w:r>
      <w:r>
        <w:rPr>
          <w:sz w:val="30"/>
        </w:rPr>
        <w:t xml:space="preserve">not a hypothetical. But it makes a statement </w:t>
      </w:r>
      <w:r>
        <w:rPr>
          <w:i/>
          <w:sz w:val="30"/>
        </w:rPr>
        <w:t xml:space="preserve">about </w:t>
      </w:r>
      <w:r>
        <w:rPr>
          <w:sz w:val="30"/>
        </w:rPr>
        <w:t>infinitely many</w:t>
      </w:r>
      <w:r>
        <w:rPr>
          <w:spacing w:val="40"/>
          <w:sz w:val="30"/>
        </w:rPr>
        <w:t xml:space="preserve"> </w:t>
      </w:r>
      <w:r>
        <w:rPr>
          <w:sz w:val="30"/>
        </w:rPr>
        <w:t>hypotheticals,</w:t>
      </w:r>
      <w:r>
        <w:rPr>
          <w:spacing w:val="-1"/>
          <w:sz w:val="30"/>
        </w:rPr>
        <w:t xml:space="preserve"> </w:t>
      </w:r>
      <w:r>
        <w:rPr>
          <w:sz w:val="30"/>
        </w:rPr>
        <w:t>all</w:t>
      </w:r>
      <w:r>
        <w:rPr>
          <w:spacing w:val="-1"/>
          <w:sz w:val="30"/>
        </w:rPr>
        <w:t xml:space="preserve"> </w:t>
      </w:r>
      <w:r>
        <w:rPr>
          <w:sz w:val="30"/>
        </w:rPr>
        <w:t>having the form</w:t>
      </w:r>
      <w:r>
        <w:rPr>
          <w:spacing w:val="-1"/>
          <w:sz w:val="30"/>
        </w:rPr>
        <w:t xml:space="preserve"> </w:t>
      </w:r>
      <w:r>
        <w:rPr>
          <w:i/>
          <w:sz w:val="30"/>
        </w:rPr>
        <w:t xml:space="preserve">if such and such is a Euclidean triangle, then its interior angles add up to 180°; </w:t>
      </w:r>
      <w:r>
        <w:rPr>
          <w:sz w:val="30"/>
        </w:rPr>
        <w:t>and although all those statements are true, not a single one of them has an antecedent that, the laws of physics being what they are, could even possibly be true.</w:t>
      </w:r>
    </w:p>
    <w:p w14:paraId="7E0031D1" w14:textId="77777777" w:rsidR="009A58DB" w:rsidRDefault="00000000">
      <w:pPr>
        <w:pStyle w:val="BodyText"/>
        <w:spacing w:before="100" w:line="252" w:lineRule="auto"/>
        <w:ind w:left="720" w:right="368" w:hanging="360"/>
      </w:pPr>
      <w:bookmarkStart w:id="1043" w:name="_bookmark1043"/>
      <w:bookmarkEnd w:id="1043"/>
      <w:r>
        <w:rPr>
          <w:color w:val="0562C1"/>
          <w:position w:val="22"/>
          <w:u w:val="single" w:color="0562C1"/>
        </w:rPr>
        <w:t>[370]</w:t>
      </w:r>
      <w:r>
        <w:rPr>
          <w:sz w:val="34"/>
        </w:rPr>
        <w:t>.</w:t>
      </w:r>
      <w:r>
        <w:rPr>
          <w:spacing w:val="-3"/>
          <w:sz w:val="34"/>
        </w:rPr>
        <w:t xml:space="preserve"> </w:t>
      </w:r>
      <w:r>
        <w:t xml:space="preserve">In any case, it prohibits </w:t>
      </w:r>
      <w:r>
        <w:rPr>
          <w:i/>
        </w:rPr>
        <w:t>given</w:t>
      </w:r>
      <w:r>
        <w:rPr>
          <w:i/>
          <w:spacing w:val="-3"/>
        </w:rPr>
        <w:t xml:space="preserve"> </w:t>
      </w:r>
      <w:r>
        <w:t>the coordinative definitions that validate physics. See Frank (1949).</w:t>
      </w:r>
    </w:p>
    <w:p w14:paraId="7E0031D2" w14:textId="77777777" w:rsidR="009A58DB" w:rsidRDefault="00000000">
      <w:pPr>
        <w:pStyle w:val="BodyText"/>
        <w:spacing w:before="110"/>
        <w:jc w:val="left"/>
      </w:pPr>
      <w:bookmarkStart w:id="1044" w:name="_bookmark1044"/>
      <w:bookmarkEnd w:id="1044"/>
      <w:r>
        <w:rPr>
          <w:color w:val="0562C1"/>
          <w:position w:val="22"/>
          <w:u w:val="single" w:color="0562C1"/>
        </w:rPr>
        <w:t>[371]</w:t>
      </w:r>
      <w:r>
        <w:rPr>
          <w:sz w:val="34"/>
        </w:rPr>
        <w:t>.</w:t>
      </w:r>
      <w:r>
        <w:rPr>
          <w:spacing w:val="13"/>
          <w:sz w:val="34"/>
        </w:rPr>
        <w:t xml:space="preserve"> </w:t>
      </w:r>
      <w:r>
        <w:t>See</w:t>
      </w:r>
      <w:r>
        <w:rPr>
          <w:spacing w:val="25"/>
        </w:rPr>
        <w:t xml:space="preserve"> </w:t>
      </w:r>
      <w:r>
        <w:t>Rachels</w:t>
      </w:r>
      <w:r>
        <w:rPr>
          <w:spacing w:val="25"/>
        </w:rPr>
        <w:t xml:space="preserve"> </w:t>
      </w:r>
      <w:r>
        <w:t>(1986)</w:t>
      </w:r>
      <w:r>
        <w:rPr>
          <w:spacing w:val="25"/>
        </w:rPr>
        <w:t xml:space="preserve"> </w:t>
      </w:r>
      <w:r>
        <w:t>for</w:t>
      </w:r>
      <w:r>
        <w:rPr>
          <w:spacing w:val="25"/>
        </w:rPr>
        <w:t xml:space="preserve"> </w:t>
      </w:r>
      <w:r>
        <w:t>an</w:t>
      </w:r>
      <w:r>
        <w:rPr>
          <w:spacing w:val="26"/>
        </w:rPr>
        <w:t xml:space="preserve"> </w:t>
      </w:r>
      <w:r>
        <w:t>excellent</w:t>
      </w:r>
      <w:r>
        <w:rPr>
          <w:spacing w:val="25"/>
        </w:rPr>
        <w:t xml:space="preserve"> </w:t>
      </w:r>
      <w:r>
        <w:t>discussion</w:t>
      </w:r>
      <w:r>
        <w:rPr>
          <w:spacing w:val="25"/>
        </w:rPr>
        <w:t xml:space="preserve"> </w:t>
      </w:r>
      <w:r>
        <w:t>of</w:t>
      </w:r>
      <w:r>
        <w:rPr>
          <w:spacing w:val="25"/>
        </w:rPr>
        <w:t xml:space="preserve"> </w:t>
      </w:r>
      <w:r>
        <w:t>cultural</w:t>
      </w:r>
      <w:r>
        <w:rPr>
          <w:spacing w:val="24"/>
        </w:rPr>
        <w:t xml:space="preserve"> </w:t>
      </w:r>
      <w:r>
        <w:rPr>
          <w:spacing w:val="-2"/>
        </w:rPr>
        <w:t>relativism.</w:t>
      </w:r>
    </w:p>
    <w:p w14:paraId="7E0031D3" w14:textId="77777777" w:rsidR="009A58DB" w:rsidRDefault="00000000">
      <w:pPr>
        <w:pStyle w:val="BodyText"/>
        <w:spacing w:before="21"/>
        <w:ind w:left="720"/>
        <w:jc w:val="left"/>
      </w:pPr>
      <w:r>
        <w:t>Rachels</w:t>
      </w:r>
      <w:r>
        <w:rPr>
          <w:spacing w:val="-6"/>
        </w:rPr>
        <w:t xml:space="preserve"> </w:t>
      </w:r>
      <w:r>
        <w:t>makes</w:t>
      </w:r>
      <w:r>
        <w:rPr>
          <w:spacing w:val="-3"/>
        </w:rPr>
        <w:t xml:space="preserve"> </w:t>
      </w:r>
      <w:r>
        <w:t>some,</w:t>
      </w:r>
      <w:r>
        <w:rPr>
          <w:spacing w:val="-2"/>
        </w:rPr>
        <w:t xml:space="preserve"> </w:t>
      </w:r>
      <w:r>
        <w:t>not</w:t>
      </w:r>
      <w:r>
        <w:rPr>
          <w:spacing w:val="-3"/>
        </w:rPr>
        <w:t xml:space="preserve"> </w:t>
      </w:r>
      <w:r>
        <w:t>all,</w:t>
      </w:r>
      <w:r>
        <w:rPr>
          <w:spacing w:val="-2"/>
        </w:rPr>
        <w:t xml:space="preserve"> </w:t>
      </w:r>
      <w:r>
        <w:t>of</w:t>
      </w:r>
      <w:r>
        <w:rPr>
          <w:spacing w:val="-3"/>
        </w:rPr>
        <w:t xml:space="preserve"> </w:t>
      </w:r>
      <w:r>
        <w:t>the</w:t>
      </w:r>
      <w:r>
        <w:rPr>
          <w:spacing w:val="-3"/>
        </w:rPr>
        <w:t xml:space="preserve"> </w:t>
      </w:r>
      <w:r>
        <w:t>points</w:t>
      </w:r>
      <w:r>
        <w:rPr>
          <w:spacing w:val="-3"/>
        </w:rPr>
        <w:t xml:space="preserve"> </w:t>
      </w:r>
      <w:r>
        <w:t>just</w:t>
      </w:r>
      <w:r>
        <w:rPr>
          <w:spacing w:val="-3"/>
        </w:rPr>
        <w:t xml:space="preserve"> </w:t>
      </w:r>
      <w:r>
        <w:rPr>
          <w:spacing w:val="-2"/>
        </w:rPr>
        <w:t>made.</w:t>
      </w:r>
    </w:p>
    <w:p w14:paraId="7E0031D4" w14:textId="77777777" w:rsidR="009A58DB" w:rsidRDefault="00000000">
      <w:pPr>
        <w:pStyle w:val="BodyText"/>
        <w:spacing w:before="110" w:line="252" w:lineRule="auto"/>
        <w:ind w:left="720" w:right="370" w:hanging="360"/>
      </w:pPr>
      <w:bookmarkStart w:id="1045" w:name="_bookmark1045"/>
      <w:bookmarkEnd w:id="1045"/>
      <w:r>
        <w:rPr>
          <w:color w:val="0562C1"/>
          <w:position w:val="22"/>
          <w:u w:val="single" w:color="0562C1"/>
        </w:rPr>
        <w:t>[372]</w:t>
      </w:r>
      <w:r>
        <w:rPr>
          <w:sz w:val="34"/>
        </w:rPr>
        <w:t xml:space="preserve">. </w:t>
      </w:r>
      <w:r>
        <w:t>See Chapter 24 for a discussion of utilitarianism. In Chapter 22, I defend a virtue-theoretic analysis of morality.</w:t>
      </w:r>
    </w:p>
    <w:p w14:paraId="7E0031D5" w14:textId="77777777" w:rsidR="009A58DB" w:rsidRDefault="00000000">
      <w:pPr>
        <w:pStyle w:val="BodyText"/>
        <w:spacing w:before="110"/>
        <w:jc w:val="left"/>
      </w:pPr>
      <w:bookmarkStart w:id="1046" w:name="_bookmark1046"/>
      <w:bookmarkEnd w:id="1046"/>
      <w:r>
        <w:rPr>
          <w:color w:val="0562C1"/>
          <w:position w:val="22"/>
          <w:u w:val="single" w:color="0562C1"/>
        </w:rPr>
        <w:t>[373]</w:t>
      </w:r>
      <w:r>
        <w:rPr>
          <w:sz w:val="34"/>
        </w:rPr>
        <w:t>.</w:t>
      </w:r>
      <w:r>
        <w:rPr>
          <w:spacing w:val="-1"/>
          <w:sz w:val="34"/>
        </w:rPr>
        <w:t xml:space="preserve"> </w:t>
      </w:r>
      <w:r>
        <w:t>See</w:t>
      </w:r>
      <w:r>
        <w:rPr>
          <w:spacing w:val="-3"/>
        </w:rPr>
        <w:t xml:space="preserve"> </w:t>
      </w:r>
      <w:r>
        <w:t>Moore</w:t>
      </w:r>
      <w:r>
        <w:rPr>
          <w:spacing w:val="-3"/>
        </w:rPr>
        <w:t xml:space="preserve"> </w:t>
      </w:r>
      <w:r>
        <w:rPr>
          <w:spacing w:val="-2"/>
        </w:rPr>
        <w:t>(1911).</w:t>
      </w:r>
    </w:p>
    <w:p w14:paraId="7E0031D6" w14:textId="77777777" w:rsidR="009A58DB" w:rsidRDefault="00000000">
      <w:pPr>
        <w:pStyle w:val="BodyText"/>
        <w:spacing w:before="131" w:line="252" w:lineRule="auto"/>
        <w:ind w:left="720" w:right="358" w:hanging="360"/>
      </w:pPr>
      <w:bookmarkStart w:id="1047" w:name="_bookmark1047"/>
      <w:bookmarkEnd w:id="1047"/>
      <w:r>
        <w:rPr>
          <w:color w:val="0562C1"/>
          <w:position w:val="22"/>
          <w:u w:val="single" w:color="0562C1"/>
        </w:rPr>
        <w:t>[374]</w:t>
      </w:r>
      <w:r>
        <w:rPr>
          <w:sz w:val="34"/>
        </w:rPr>
        <w:t xml:space="preserve">. </w:t>
      </w:r>
      <w:r>
        <w:t>The following argument is put forth by Philippa Foote in her paper “Morality as a system of hypothetical imperatives.” I would like to point out</w:t>
      </w:r>
      <w:r>
        <w:rPr>
          <w:spacing w:val="24"/>
        </w:rPr>
        <w:t xml:space="preserve"> </w:t>
      </w:r>
      <w:r>
        <w:t>that,</w:t>
      </w:r>
      <w:r>
        <w:rPr>
          <w:spacing w:val="27"/>
        </w:rPr>
        <w:t xml:space="preserve"> </w:t>
      </w:r>
      <w:r>
        <w:t>before</w:t>
      </w:r>
      <w:r>
        <w:rPr>
          <w:spacing w:val="27"/>
        </w:rPr>
        <w:t xml:space="preserve"> </w:t>
      </w:r>
      <w:r>
        <w:t>writing</w:t>
      </w:r>
      <w:r>
        <w:rPr>
          <w:spacing w:val="27"/>
        </w:rPr>
        <w:t xml:space="preserve"> </w:t>
      </w:r>
      <w:r>
        <w:t>this</w:t>
      </w:r>
      <w:r>
        <w:rPr>
          <w:spacing w:val="26"/>
        </w:rPr>
        <w:t xml:space="preserve"> </w:t>
      </w:r>
      <w:r>
        <w:t>chapter,</w:t>
      </w:r>
      <w:r>
        <w:rPr>
          <w:spacing w:val="28"/>
        </w:rPr>
        <w:t xml:space="preserve"> </w:t>
      </w:r>
      <w:r>
        <w:t>I</w:t>
      </w:r>
      <w:r>
        <w:rPr>
          <w:spacing w:val="26"/>
        </w:rPr>
        <w:t xml:space="preserve"> </w:t>
      </w:r>
      <w:r>
        <w:t>had</w:t>
      </w:r>
      <w:r>
        <w:rPr>
          <w:spacing w:val="27"/>
        </w:rPr>
        <w:t xml:space="preserve"> </w:t>
      </w:r>
      <w:r>
        <w:t>a</w:t>
      </w:r>
      <w:r>
        <w:rPr>
          <w:spacing w:val="27"/>
        </w:rPr>
        <w:t xml:space="preserve"> </w:t>
      </w:r>
      <w:r>
        <w:t>very</w:t>
      </w:r>
      <w:r>
        <w:rPr>
          <w:spacing w:val="27"/>
        </w:rPr>
        <w:t xml:space="preserve"> </w:t>
      </w:r>
      <w:r>
        <w:t>illuminating</w:t>
      </w:r>
      <w:r>
        <w:rPr>
          <w:spacing w:val="28"/>
        </w:rPr>
        <w:t xml:space="preserve"> </w:t>
      </w:r>
      <w:r>
        <w:rPr>
          <w:spacing w:val="-2"/>
        </w:rPr>
        <w:t>discussion</w:t>
      </w:r>
    </w:p>
    <w:p w14:paraId="7E0031D7" w14:textId="77777777" w:rsidR="009A58DB" w:rsidRDefault="009A58DB">
      <w:pPr>
        <w:pStyle w:val="BodyText"/>
        <w:spacing w:line="252" w:lineRule="auto"/>
        <w:sectPr w:rsidR="009A58DB">
          <w:pgSz w:w="12240" w:h="15840"/>
          <w:pgMar w:top="1380" w:right="1080" w:bottom="280" w:left="1080" w:header="720" w:footer="720" w:gutter="0"/>
          <w:cols w:space="720"/>
        </w:sectPr>
      </w:pPr>
    </w:p>
    <w:p w14:paraId="7E0031D8" w14:textId="77777777" w:rsidR="009A58DB" w:rsidRDefault="00000000">
      <w:pPr>
        <w:pStyle w:val="BodyText"/>
        <w:spacing w:before="71"/>
        <w:ind w:left="720"/>
        <w:jc w:val="left"/>
      </w:pPr>
      <w:r>
        <w:t>with</w:t>
      </w:r>
      <w:r>
        <w:rPr>
          <w:spacing w:val="-6"/>
        </w:rPr>
        <w:t xml:space="preserve"> </w:t>
      </w:r>
      <w:r>
        <w:t>my</w:t>
      </w:r>
      <w:r>
        <w:rPr>
          <w:spacing w:val="-3"/>
        </w:rPr>
        <w:t xml:space="preserve"> </w:t>
      </w:r>
      <w:r>
        <w:t>colleague</w:t>
      </w:r>
      <w:r>
        <w:rPr>
          <w:spacing w:val="-4"/>
        </w:rPr>
        <w:t xml:space="preserve"> </w:t>
      </w:r>
      <w:r>
        <w:t>Tony</w:t>
      </w:r>
      <w:r>
        <w:rPr>
          <w:spacing w:val="-3"/>
        </w:rPr>
        <w:t xml:space="preserve"> </w:t>
      </w:r>
      <w:r>
        <w:t>Ellis</w:t>
      </w:r>
      <w:r>
        <w:rPr>
          <w:spacing w:val="-3"/>
        </w:rPr>
        <w:t xml:space="preserve"> </w:t>
      </w:r>
      <w:r>
        <w:t>concerning</w:t>
      </w:r>
      <w:r>
        <w:rPr>
          <w:spacing w:val="-4"/>
        </w:rPr>
        <w:t xml:space="preserve"> </w:t>
      </w:r>
      <w:r>
        <w:t>this</w:t>
      </w:r>
      <w:r>
        <w:rPr>
          <w:spacing w:val="-3"/>
        </w:rPr>
        <w:t xml:space="preserve"> </w:t>
      </w:r>
      <w:r>
        <w:rPr>
          <w:spacing w:val="-2"/>
        </w:rPr>
        <w:t>paper.</w:t>
      </w:r>
    </w:p>
    <w:p w14:paraId="7E0031D9" w14:textId="77777777" w:rsidR="009A58DB" w:rsidRDefault="00000000">
      <w:pPr>
        <w:spacing w:before="119" w:line="249" w:lineRule="auto"/>
        <w:ind w:left="720" w:right="357" w:hanging="360"/>
        <w:jc w:val="both"/>
        <w:rPr>
          <w:sz w:val="34"/>
        </w:rPr>
      </w:pPr>
      <w:bookmarkStart w:id="1048" w:name="_bookmark1048"/>
      <w:bookmarkEnd w:id="1048"/>
      <w:r>
        <w:rPr>
          <w:color w:val="0562C1"/>
          <w:position w:val="22"/>
          <w:sz w:val="30"/>
          <w:u w:val="single" w:color="0562C1"/>
        </w:rPr>
        <w:t>[375]</w:t>
      </w:r>
      <w:r>
        <w:rPr>
          <w:sz w:val="34"/>
        </w:rPr>
        <w:t>. People want to be free and, therefore, unrestrained by anything, including morality. In many cases, the immoral acts</w:t>
      </w:r>
      <w:r>
        <w:rPr>
          <w:spacing w:val="40"/>
          <w:sz w:val="34"/>
        </w:rPr>
        <w:t xml:space="preserve"> </w:t>
      </w:r>
      <w:r>
        <w:rPr>
          <w:sz w:val="34"/>
        </w:rPr>
        <w:t>that people perform for non-pragmatic reasons are acts of</w:t>
      </w:r>
      <w:r>
        <w:rPr>
          <w:spacing w:val="40"/>
          <w:sz w:val="34"/>
        </w:rPr>
        <w:t xml:space="preserve"> </w:t>
      </w:r>
      <w:r>
        <w:rPr>
          <w:sz w:val="34"/>
        </w:rPr>
        <w:t>hostility towards others. It’s clear that, in many such cases, what is motivating the agent is ill-will. But I suspect that, just as often, the primary motivation is the aforementioned desire not to be restrained and that this desire, though not itself an aggressive</w:t>
      </w:r>
      <w:r>
        <w:rPr>
          <w:spacing w:val="80"/>
          <w:sz w:val="34"/>
        </w:rPr>
        <w:t xml:space="preserve"> </w:t>
      </w:r>
      <w:r>
        <w:rPr>
          <w:sz w:val="34"/>
        </w:rPr>
        <w:t>one, happened to find an outlet in an act of aggression.</w:t>
      </w:r>
    </w:p>
    <w:p w14:paraId="7E0031DA" w14:textId="77777777" w:rsidR="009A58DB" w:rsidRDefault="00000000">
      <w:pPr>
        <w:pStyle w:val="BodyText"/>
        <w:spacing w:before="89" w:line="249" w:lineRule="auto"/>
        <w:ind w:left="720" w:right="361" w:hanging="360"/>
      </w:pPr>
      <w:bookmarkStart w:id="1049" w:name="_bookmark1049"/>
      <w:bookmarkEnd w:id="1049"/>
      <w:r>
        <w:rPr>
          <w:color w:val="0562C1"/>
          <w:position w:val="22"/>
          <w:u w:val="single" w:color="0562C1"/>
        </w:rPr>
        <w:t>[376]</w:t>
      </w:r>
      <w:r>
        <w:t>. Not necessarily a lot of self-consciousness. I believe that dogs and cats and many other mammals have more than enough and can, in fact, be happy and unhappy. Below I discuss why the oft-made claim that animals aren’t self-conscious is a spurious one.</w:t>
      </w:r>
    </w:p>
    <w:p w14:paraId="7E0031DB" w14:textId="77777777" w:rsidR="009A58DB" w:rsidRDefault="00000000">
      <w:pPr>
        <w:pStyle w:val="BodyText"/>
        <w:spacing w:before="115" w:line="249" w:lineRule="auto"/>
        <w:ind w:left="720" w:right="360" w:hanging="360"/>
      </w:pPr>
      <w:bookmarkStart w:id="1050" w:name="_bookmark1050"/>
      <w:bookmarkEnd w:id="1050"/>
      <w:r>
        <w:rPr>
          <w:color w:val="0562C1"/>
          <w:position w:val="22"/>
          <w:u w:val="single" w:color="0562C1"/>
        </w:rPr>
        <w:t>[377]</w:t>
      </w:r>
      <w:r>
        <w:t>. The theory advocated in this chapter relies heavily on Frankfurt’s groundbreaking analyses of freedom and personhood. These are discussed in Chapter 15. It would be helpful to read that chapter before this one.</w:t>
      </w:r>
    </w:p>
    <w:p w14:paraId="7E0031DC" w14:textId="77777777" w:rsidR="009A58DB" w:rsidRDefault="00000000">
      <w:pPr>
        <w:pStyle w:val="BodyText"/>
        <w:spacing w:before="114" w:line="249" w:lineRule="auto"/>
        <w:ind w:left="720" w:right="361" w:hanging="360"/>
      </w:pPr>
      <w:bookmarkStart w:id="1051" w:name="_bookmark1051"/>
      <w:bookmarkEnd w:id="1051"/>
      <w:r>
        <w:rPr>
          <w:color w:val="0562C1"/>
          <w:position w:val="22"/>
          <w:u w:val="single" w:color="0562C1"/>
        </w:rPr>
        <w:t>[378]</w:t>
      </w:r>
      <w:r>
        <w:t>. The fact that people (masochists) can derive pleasure from pain supports this analysis. Such people obviously value pain, showing that whether pain causes one unhappiness is, at least in part, a function of what one’s values are.</w:t>
      </w:r>
    </w:p>
    <w:p w14:paraId="7E0031DD" w14:textId="77777777" w:rsidR="009A58DB" w:rsidRDefault="00000000">
      <w:pPr>
        <w:pStyle w:val="BodyText"/>
        <w:spacing w:before="100" w:line="249" w:lineRule="auto"/>
        <w:ind w:left="720" w:right="359" w:hanging="360"/>
      </w:pPr>
      <w:bookmarkStart w:id="1052" w:name="_bookmark1052"/>
      <w:bookmarkEnd w:id="1052"/>
      <w:r>
        <w:rPr>
          <w:color w:val="0562C1"/>
          <w:position w:val="22"/>
          <w:u w:val="single" w:color="0562C1"/>
        </w:rPr>
        <w:t>[379]</w:t>
      </w:r>
      <w:r>
        <w:rPr>
          <w:sz w:val="34"/>
        </w:rPr>
        <w:t xml:space="preserve">. </w:t>
      </w:r>
      <w:r>
        <w:t>The “corpus callosum” is the physical link between a person’s two brain-halves. It was found that removal of the corpus callosum sometimes mitigated the symptoms of epilepsy. Roger Sperry (1913–1994) studied the psychological effects of this procedure and found that, quite literally, the right hand did not know what the left hand was doing. The clinical</w:t>
      </w:r>
      <w:r>
        <w:rPr>
          <w:spacing w:val="40"/>
        </w:rPr>
        <w:t xml:space="preserve"> </w:t>
      </w:r>
      <w:r>
        <w:t xml:space="preserve">data strongly suggests that the post-operative body of a person whose corpus callosum had been removed is occupied by </w:t>
      </w:r>
      <w:r>
        <w:rPr>
          <w:i/>
        </w:rPr>
        <w:t xml:space="preserve">two </w:t>
      </w:r>
      <w:r>
        <w:t>people, albeit two people who are in very rapid, unspoken communication with each other. Because this isn’t my area, I must refer the interested reader to Sperry’s important work, which is easily found online.</w:t>
      </w:r>
    </w:p>
    <w:p w14:paraId="7E0031DE"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DF" w14:textId="77777777" w:rsidR="009A58DB" w:rsidRDefault="00000000">
      <w:pPr>
        <w:pStyle w:val="BodyText"/>
        <w:spacing w:before="70" w:line="252" w:lineRule="auto"/>
        <w:ind w:left="720" w:right="359" w:hanging="360"/>
      </w:pPr>
      <w:bookmarkStart w:id="1053" w:name="_bookmark1053"/>
      <w:bookmarkEnd w:id="1053"/>
      <w:r>
        <w:rPr>
          <w:color w:val="0562C1"/>
          <w:position w:val="22"/>
          <w:u w:val="single" w:color="0562C1"/>
        </w:rPr>
        <w:t>[380]</w:t>
      </w:r>
      <w:r>
        <w:rPr>
          <w:sz w:val="34"/>
        </w:rPr>
        <w:t xml:space="preserve">. </w:t>
      </w:r>
      <w:r>
        <w:t xml:space="preserve">The statement “mental event (or condition) M is irrational” can mean either (i) that M shows a lack of intelligence (or, in any case, a failure to deploy such intelligence as M has) </w:t>
      </w:r>
      <w:r>
        <w:rPr>
          <w:i/>
        </w:rPr>
        <w:t>or</w:t>
      </w:r>
      <w:r>
        <w:rPr>
          <w:i/>
          <w:spacing w:val="-3"/>
        </w:rPr>
        <w:t xml:space="preserve"> </w:t>
      </w:r>
      <w:r>
        <w:t>(ii) that M shows of a lack of sanity (or self-control).</w:t>
      </w:r>
    </w:p>
    <w:p w14:paraId="7E0031E0" w14:textId="77777777" w:rsidR="009A58DB" w:rsidRDefault="00000000">
      <w:pPr>
        <w:pStyle w:val="BodyText"/>
        <w:spacing w:before="100" w:line="249" w:lineRule="auto"/>
        <w:ind w:left="720" w:right="360"/>
      </w:pPr>
      <w:r>
        <w:t xml:space="preserve">Emotions </w:t>
      </w:r>
      <w:r>
        <w:rPr>
          <w:i/>
        </w:rPr>
        <w:t xml:space="preserve">can </w:t>
      </w:r>
      <w:r>
        <w:t xml:space="preserve">be irrational in sense (i). In other words, an emotion can embody a viewpoint that, given the data at one’s disposal, one wouldn’t have had </w:t>
      </w:r>
      <w:r>
        <w:rPr>
          <w:i/>
        </w:rPr>
        <w:t xml:space="preserve">if </w:t>
      </w:r>
      <w:r>
        <w:t xml:space="preserve">one had processed that data in an intelligent manner. But emotions aren’t </w:t>
      </w:r>
      <w:r>
        <w:rPr>
          <w:i/>
        </w:rPr>
        <w:t xml:space="preserve">categorically </w:t>
      </w:r>
      <w:r>
        <w:t>irrational in sense (i). Many emotions embody no viewpoints that embody a failure to process the data in an effective manner.</w:t>
      </w:r>
    </w:p>
    <w:p w14:paraId="7E0031E1" w14:textId="77777777" w:rsidR="009A58DB" w:rsidRDefault="00000000">
      <w:pPr>
        <w:pStyle w:val="BodyText"/>
        <w:spacing w:before="97" w:line="249" w:lineRule="auto"/>
        <w:ind w:left="720" w:right="358"/>
      </w:pPr>
      <w:r>
        <w:t>Oftentimes, extreme emotions (operating in conjunction with other</w:t>
      </w:r>
      <w:r>
        <w:rPr>
          <w:spacing w:val="40"/>
        </w:rPr>
        <w:t xml:space="preserve"> </w:t>
      </w:r>
      <w:r>
        <w:t xml:space="preserve">factors) cause psychological breakdowns; and often times they are indicative of psychological breakdown that have already occurred. So emotions </w:t>
      </w:r>
      <w:r>
        <w:rPr>
          <w:i/>
        </w:rPr>
        <w:t xml:space="preserve">can </w:t>
      </w:r>
      <w:r>
        <w:t xml:space="preserve">be irrational in sense (ii). But emotions aren’t </w:t>
      </w:r>
      <w:r>
        <w:rPr>
          <w:i/>
        </w:rPr>
        <w:t xml:space="preserve">always </w:t>
      </w:r>
      <w:r>
        <w:t>irrational in that sense.</w:t>
      </w:r>
    </w:p>
    <w:p w14:paraId="7E0031E2" w14:textId="77777777" w:rsidR="009A58DB" w:rsidRDefault="00000000">
      <w:pPr>
        <w:pStyle w:val="BodyText"/>
        <w:spacing w:before="111" w:line="249" w:lineRule="auto"/>
        <w:ind w:left="720" w:right="359"/>
      </w:pPr>
      <w:r>
        <w:t>The notion that emotions are irrational in sense (ii) is very much at odds with the clinical data. A lack of emotion is an excellent indicator of an extreme disorganization of one’s psyche.</w:t>
      </w:r>
    </w:p>
    <w:p w14:paraId="7E0031E3" w14:textId="77777777" w:rsidR="009A58DB" w:rsidRDefault="00000000">
      <w:pPr>
        <w:pStyle w:val="BodyText"/>
        <w:spacing w:before="109" w:line="249" w:lineRule="auto"/>
        <w:ind w:left="720" w:right="360"/>
      </w:pPr>
      <w:r>
        <w:t>Why is this, incidentally? Here is my hypothesis. The mind consists of a number of distinct modules. These modules must share information if the mind is to remain intact. Emotions facilitate the exchange of certain kinds of information between certain kinds of modules. (My reasons for holding this are outlined in Chapter 20.) When emotions are gone these intrapsychic communications are no longer possible. And the result is a break down in one’s psychological integrity.</w:t>
      </w:r>
    </w:p>
    <w:p w14:paraId="7E0031E4" w14:textId="77777777" w:rsidR="009A58DB" w:rsidRDefault="00000000">
      <w:pPr>
        <w:pStyle w:val="BodyText"/>
        <w:spacing w:before="104" w:line="252" w:lineRule="auto"/>
        <w:ind w:left="720" w:right="358" w:hanging="360"/>
      </w:pPr>
      <w:bookmarkStart w:id="1054" w:name="_bookmark1054"/>
      <w:bookmarkEnd w:id="1054"/>
      <w:r>
        <w:rPr>
          <w:color w:val="0562C1"/>
          <w:position w:val="22"/>
          <w:u w:val="single" w:color="0562C1"/>
        </w:rPr>
        <w:t>[381]</w:t>
      </w:r>
      <w:r>
        <w:rPr>
          <w:sz w:val="34"/>
        </w:rPr>
        <w:t>.</w:t>
      </w:r>
      <w:r>
        <w:rPr>
          <w:spacing w:val="-2"/>
          <w:sz w:val="34"/>
        </w:rPr>
        <w:t xml:space="preserve"> </w:t>
      </w:r>
      <w:r>
        <w:t>This isn’t true of all animals, of course—only of those above a certain level. Where that cut-off is exactly, I do not know.</w:t>
      </w:r>
    </w:p>
    <w:p w14:paraId="7E0031E5" w14:textId="77777777" w:rsidR="009A58DB" w:rsidRDefault="00000000">
      <w:pPr>
        <w:pStyle w:val="BodyText"/>
        <w:spacing w:before="109"/>
        <w:jc w:val="left"/>
      </w:pPr>
      <w:bookmarkStart w:id="1055" w:name="_bookmark1055"/>
      <w:bookmarkEnd w:id="1055"/>
      <w:r>
        <w:rPr>
          <w:color w:val="0562C1"/>
          <w:position w:val="22"/>
          <w:u w:val="single" w:color="0562C1"/>
        </w:rPr>
        <w:t>[382]</w:t>
      </w:r>
      <w:r>
        <w:t>.</w:t>
      </w:r>
      <w:r>
        <w:rPr>
          <w:spacing w:val="-4"/>
        </w:rPr>
        <w:t xml:space="preserve"> </w:t>
      </w:r>
      <w:r>
        <w:t>“MC”</w:t>
      </w:r>
      <w:r>
        <w:rPr>
          <w:spacing w:val="-3"/>
        </w:rPr>
        <w:t xml:space="preserve"> </w:t>
      </w:r>
      <w:r>
        <w:t>can</w:t>
      </w:r>
      <w:r>
        <w:rPr>
          <w:spacing w:val="-2"/>
        </w:rPr>
        <w:t xml:space="preserve"> </w:t>
      </w:r>
      <w:r>
        <w:t>be</w:t>
      </w:r>
      <w:r>
        <w:rPr>
          <w:spacing w:val="-3"/>
        </w:rPr>
        <w:t xml:space="preserve"> </w:t>
      </w:r>
      <w:r>
        <w:t>thought</w:t>
      </w:r>
      <w:r>
        <w:rPr>
          <w:spacing w:val="-3"/>
        </w:rPr>
        <w:t xml:space="preserve"> </w:t>
      </w:r>
      <w:r>
        <w:t>of</w:t>
      </w:r>
      <w:r>
        <w:rPr>
          <w:spacing w:val="-2"/>
        </w:rPr>
        <w:t xml:space="preserve"> </w:t>
      </w:r>
      <w:r>
        <w:t>as</w:t>
      </w:r>
      <w:r>
        <w:rPr>
          <w:spacing w:val="-3"/>
        </w:rPr>
        <w:t xml:space="preserve"> </w:t>
      </w:r>
      <w:r>
        <w:t>standing</w:t>
      </w:r>
      <w:r>
        <w:rPr>
          <w:spacing w:val="-2"/>
        </w:rPr>
        <w:t xml:space="preserve"> </w:t>
      </w:r>
      <w:r>
        <w:t>for</w:t>
      </w:r>
      <w:r>
        <w:rPr>
          <w:spacing w:val="-3"/>
        </w:rPr>
        <w:t xml:space="preserve"> </w:t>
      </w:r>
      <w:r>
        <w:t>“moral</w:t>
      </w:r>
      <w:r>
        <w:rPr>
          <w:spacing w:val="-2"/>
        </w:rPr>
        <w:t xml:space="preserve"> code.”</w:t>
      </w:r>
    </w:p>
    <w:p w14:paraId="7E0031E6" w14:textId="77777777" w:rsidR="009A58DB" w:rsidRDefault="00000000">
      <w:pPr>
        <w:pStyle w:val="BodyText"/>
        <w:spacing w:before="125" w:line="249" w:lineRule="auto"/>
        <w:ind w:left="720" w:right="361" w:hanging="360"/>
      </w:pPr>
      <w:bookmarkStart w:id="1056" w:name="_bookmark1056"/>
      <w:bookmarkEnd w:id="1056"/>
      <w:r>
        <w:rPr>
          <w:color w:val="0562C1"/>
          <w:position w:val="22"/>
          <w:u w:val="single" w:color="0562C1"/>
        </w:rPr>
        <w:t>[383]</w:t>
      </w:r>
      <w:r>
        <w:t>. This is assuming that there could even be language in a non-social world. If there couldn’t, that would itself support my claim that the meaningfulness</w:t>
      </w:r>
      <w:r>
        <w:rPr>
          <w:spacing w:val="34"/>
        </w:rPr>
        <w:t xml:space="preserve"> </w:t>
      </w:r>
      <w:r>
        <w:t>of</w:t>
      </w:r>
      <w:r>
        <w:rPr>
          <w:spacing w:val="34"/>
        </w:rPr>
        <w:t xml:space="preserve"> </w:t>
      </w:r>
      <w:r>
        <w:t>the</w:t>
      </w:r>
      <w:r>
        <w:rPr>
          <w:spacing w:val="34"/>
        </w:rPr>
        <w:t xml:space="preserve"> </w:t>
      </w:r>
      <w:r>
        <w:t>efforts</w:t>
      </w:r>
      <w:r>
        <w:rPr>
          <w:spacing w:val="34"/>
        </w:rPr>
        <w:t xml:space="preserve"> </w:t>
      </w:r>
      <w:r>
        <w:t>of</w:t>
      </w:r>
      <w:r>
        <w:rPr>
          <w:spacing w:val="34"/>
        </w:rPr>
        <w:t xml:space="preserve"> </w:t>
      </w:r>
      <w:r>
        <w:t>composers,</w:t>
      </w:r>
      <w:r>
        <w:rPr>
          <w:spacing w:val="34"/>
        </w:rPr>
        <w:t xml:space="preserve"> </w:t>
      </w:r>
      <w:r>
        <w:t>physicists,</w:t>
      </w:r>
      <w:r>
        <w:rPr>
          <w:spacing w:val="34"/>
        </w:rPr>
        <w:t xml:space="preserve"> </w:t>
      </w:r>
      <w:r>
        <w:t>authors,</w:t>
      </w:r>
      <w:r>
        <w:rPr>
          <w:spacing w:val="34"/>
        </w:rPr>
        <w:t xml:space="preserve"> </w:t>
      </w:r>
      <w:r>
        <w:t>etc.,</w:t>
      </w:r>
      <w:r>
        <w:rPr>
          <w:spacing w:val="34"/>
        </w:rPr>
        <w:t xml:space="preserve"> </w:t>
      </w:r>
      <w:r>
        <w:t>are</w:t>
      </w:r>
    </w:p>
    <w:p w14:paraId="7E0031E7"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E8" w14:textId="77777777" w:rsidR="009A58DB" w:rsidRDefault="00000000">
      <w:pPr>
        <w:pStyle w:val="BodyText"/>
        <w:spacing w:before="71"/>
        <w:ind w:left="720"/>
      </w:pPr>
      <w:r>
        <w:t>tethered</w:t>
      </w:r>
      <w:r>
        <w:rPr>
          <w:spacing w:val="-6"/>
        </w:rPr>
        <w:t xml:space="preserve"> </w:t>
      </w:r>
      <w:r>
        <w:t>to</w:t>
      </w:r>
      <w:r>
        <w:rPr>
          <w:spacing w:val="-4"/>
        </w:rPr>
        <w:t xml:space="preserve"> </w:t>
      </w:r>
      <w:r>
        <w:t>existence</w:t>
      </w:r>
      <w:r>
        <w:rPr>
          <w:spacing w:val="-5"/>
        </w:rPr>
        <w:t xml:space="preserve"> </w:t>
      </w:r>
      <w:r>
        <w:t>of</w:t>
      </w:r>
      <w:r>
        <w:rPr>
          <w:spacing w:val="-5"/>
        </w:rPr>
        <w:t xml:space="preserve"> </w:t>
      </w:r>
      <w:r>
        <w:t>cooperative</w:t>
      </w:r>
      <w:r>
        <w:rPr>
          <w:spacing w:val="-5"/>
        </w:rPr>
        <w:t xml:space="preserve"> </w:t>
      </w:r>
      <w:r>
        <w:t>social</w:t>
      </w:r>
      <w:r>
        <w:rPr>
          <w:spacing w:val="-4"/>
        </w:rPr>
        <w:t xml:space="preserve"> </w:t>
      </w:r>
      <w:r>
        <w:rPr>
          <w:spacing w:val="-2"/>
        </w:rPr>
        <w:t>arrangements.</w:t>
      </w:r>
    </w:p>
    <w:p w14:paraId="7E0031E9" w14:textId="77777777" w:rsidR="009A58DB" w:rsidRDefault="00000000">
      <w:pPr>
        <w:pStyle w:val="BodyText"/>
        <w:spacing w:before="119" w:line="249" w:lineRule="auto"/>
        <w:ind w:left="720" w:right="357" w:hanging="360"/>
      </w:pPr>
      <w:bookmarkStart w:id="1057" w:name="_bookmark1057"/>
      <w:bookmarkEnd w:id="1057"/>
      <w:r>
        <w:rPr>
          <w:color w:val="0562C1"/>
          <w:position w:val="22"/>
          <w:u w:val="single" w:color="0562C1"/>
        </w:rPr>
        <w:t>[384]</w:t>
      </w:r>
      <w:r>
        <w:t>. On the rare occasions when a psychopath seems to self-censure, he’s using the tiny, poorly integrated fragment of conscience that he still has as a way of selling more lies to himself and others, so as to broaden the basis of</w:t>
      </w:r>
      <w:r>
        <w:rPr>
          <w:spacing w:val="-2"/>
        </w:rPr>
        <w:t xml:space="preserve"> </w:t>
      </w:r>
      <w:r>
        <w:t>his</w:t>
      </w:r>
      <w:r>
        <w:rPr>
          <w:spacing w:val="-2"/>
        </w:rPr>
        <w:t xml:space="preserve"> </w:t>
      </w:r>
      <w:r>
        <w:t>psychopathy.</w:t>
      </w:r>
      <w:r>
        <w:rPr>
          <w:spacing w:val="-2"/>
        </w:rPr>
        <w:t xml:space="preserve"> </w:t>
      </w:r>
      <w:r>
        <w:t>The</w:t>
      </w:r>
      <w:r>
        <w:rPr>
          <w:spacing w:val="-2"/>
        </w:rPr>
        <w:t xml:space="preserve"> </w:t>
      </w:r>
      <w:r>
        <w:t>psychopath</w:t>
      </w:r>
      <w:r>
        <w:rPr>
          <w:spacing w:val="-2"/>
        </w:rPr>
        <w:t xml:space="preserve"> </w:t>
      </w:r>
      <w:r>
        <w:t>isn’t</w:t>
      </w:r>
      <w:r>
        <w:rPr>
          <w:spacing w:val="-2"/>
        </w:rPr>
        <w:t xml:space="preserve"> </w:t>
      </w:r>
      <w:r>
        <w:t>someone</w:t>
      </w:r>
      <w:r>
        <w:rPr>
          <w:spacing w:val="-2"/>
        </w:rPr>
        <w:t xml:space="preserve"> </w:t>
      </w:r>
      <w:r>
        <w:t>who</w:t>
      </w:r>
      <w:r>
        <w:rPr>
          <w:spacing w:val="-2"/>
        </w:rPr>
        <w:t xml:space="preserve"> </w:t>
      </w:r>
      <w:r>
        <w:t>has</w:t>
      </w:r>
      <w:r>
        <w:rPr>
          <w:spacing w:val="-2"/>
        </w:rPr>
        <w:t xml:space="preserve"> </w:t>
      </w:r>
      <w:r>
        <w:rPr>
          <w:i/>
        </w:rPr>
        <w:t>no</w:t>
      </w:r>
      <w:r>
        <w:rPr>
          <w:i/>
          <w:spacing w:val="-3"/>
        </w:rPr>
        <w:t xml:space="preserve"> </w:t>
      </w:r>
      <w:r>
        <w:t>conscience. He’s someone who has one that functions only intermittently and that he doesn’t identify with. And the little bit of conscience that the psychopath has</w:t>
      </w:r>
      <w:r>
        <w:rPr>
          <w:spacing w:val="-1"/>
        </w:rPr>
        <w:t xml:space="preserve"> </w:t>
      </w:r>
      <w:r>
        <w:t>becomes</w:t>
      </w:r>
      <w:r>
        <w:rPr>
          <w:spacing w:val="-1"/>
        </w:rPr>
        <w:t xml:space="preserve"> </w:t>
      </w:r>
      <w:r>
        <w:t>but</w:t>
      </w:r>
      <w:r>
        <w:rPr>
          <w:spacing w:val="-1"/>
        </w:rPr>
        <w:t xml:space="preserve"> </w:t>
      </w:r>
      <w:r>
        <w:t>another</w:t>
      </w:r>
      <w:r>
        <w:rPr>
          <w:spacing w:val="-1"/>
        </w:rPr>
        <w:t xml:space="preserve"> </w:t>
      </w:r>
      <w:r>
        <w:t>vehicle</w:t>
      </w:r>
      <w:r>
        <w:rPr>
          <w:spacing w:val="-1"/>
        </w:rPr>
        <w:t xml:space="preserve"> </w:t>
      </w:r>
      <w:r>
        <w:t>in</w:t>
      </w:r>
      <w:r>
        <w:rPr>
          <w:spacing w:val="-1"/>
        </w:rPr>
        <w:t xml:space="preserve"> </w:t>
      </w:r>
      <w:r>
        <w:t>his</w:t>
      </w:r>
      <w:r>
        <w:rPr>
          <w:spacing w:val="-1"/>
        </w:rPr>
        <w:t xml:space="preserve"> </w:t>
      </w:r>
      <w:r>
        <w:t>pursuit</w:t>
      </w:r>
      <w:r>
        <w:rPr>
          <w:spacing w:val="-1"/>
        </w:rPr>
        <w:t xml:space="preserve"> </w:t>
      </w:r>
      <w:r>
        <w:t>of</w:t>
      </w:r>
      <w:r>
        <w:rPr>
          <w:spacing w:val="-1"/>
        </w:rPr>
        <w:t xml:space="preserve"> </w:t>
      </w:r>
      <w:r>
        <w:t>amorality.</w:t>
      </w:r>
      <w:r>
        <w:rPr>
          <w:spacing w:val="-1"/>
        </w:rPr>
        <w:t xml:space="preserve"> </w:t>
      </w:r>
      <w:r>
        <w:t>“Nothing</w:t>
      </w:r>
      <w:r>
        <w:rPr>
          <w:spacing w:val="-1"/>
        </w:rPr>
        <w:t xml:space="preserve"> </w:t>
      </w:r>
      <w:r>
        <w:t>sells like</w:t>
      </w:r>
      <w:r>
        <w:rPr>
          <w:spacing w:val="-1"/>
        </w:rPr>
        <w:t xml:space="preserve"> </w:t>
      </w:r>
      <w:r>
        <w:t>sincerity.”</w:t>
      </w:r>
      <w:r>
        <w:rPr>
          <w:spacing w:val="-1"/>
        </w:rPr>
        <w:t xml:space="preserve"> </w:t>
      </w:r>
      <w:r>
        <w:t>By</w:t>
      </w:r>
      <w:r>
        <w:rPr>
          <w:spacing w:val="-1"/>
        </w:rPr>
        <w:t xml:space="preserve"> </w:t>
      </w:r>
      <w:r>
        <w:t>having</w:t>
      </w:r>
      <w:r>
        <w:rPr>
          <w:spacing w:val="-1"/>
        </w:rPr>
        <w:t xml:space="preserve"> </w:t>
      </w:r>
      <w:r>
        <w:t>a</w:t>
      </w:r>
      <w:r>
        <w:rPr>
          <w:spacing w:val="-1"/>
        </w:rPr>
        <w:t xml:space="preserve"> </w:t>
      </w:r>
      <w:r>
        <w:t>bit</w:t>
      </w:r>
      <w:r>
        <w:rPr>
          <w:spacing w:val="-1"/>
        </w:rPr>
        <w:t xml:space="preserve"> </w:t>
      </w:r>
      <w:r>
        <w:t>of</w:t>
      </w:r>
      <w:r>
        <w:rPr>
          <w:spacing w:val="-1"/>
        </w:rPr>
        <w:t xml:space="preserve"> </w:t>
      </w:r>
      <w:r>
        <w:t>conscience,</w:t>
      </w:r>
      <w:r>
        <w:rPr>
          <w:spacing w:val="-1"/>
        </w:rPr>
        <w:t xml:space="preserve"> </w:t>
      </w:r>
      <w:r>
        <w:t>they</w:t>
      </w:r>
      <w:r>
        <w:rPr>
          <w:spacing w:val="-1"/>
        </w:rPr>
        <w:t xml:space="preserve"> </w:t>
      </w:r>
      <w:r>
        <w:t>amplify</w:t>
      </w:r>
      <w:r>
        <w:rPr>
          <w:spacing w:val="-1"/>
        </w:rPr>
        <w:t xml:space="preserve"> </w:t>
      </w:r>
      <w:r>
        <w:t>their</w:t>
      </w:r>
      <w:r>
        <w:rPr>
          <w:spacing w:val="-1"/>
        </w:rPr>
        <w:t xml:space="preserve"> </w:t>
      </w:r>
      <w:r>
        <w:t>powers</w:t>
      </w:r>
      <w:r>
        <w:rPr>
          <w:spacing w:val="-1"/>
        </w:rPr>
        <w:t xml:space="preserve"> </w:t>
      </w:r>
      <w:r>
        <w:t>of empathy, which is to be distinguished from sympathy, thereby perfecting their skills as operators.</w:t>
      </w:r>
    </w:p>
    <w:p w14:paraId="7E0031EA" w14:textId="77777777" w:rsidR="009A58DB" w:rsidRDefault="00000000">
      <w:pPr>
        <w:pStyle w:val="BodyText"/>
        <w:spacing w:before="102" w:line="249" w:lineRule="auto"/>
        <w:ind w:left="720" w:right="360"/>
      </w:pPr>
      <w:r>
        <w:t>(A colleague of mine, who wishes to remain anonymous, made me aware of the distinction between empathy and sympathy and of its relevance to the nature of psychopathy. This individual convincingly explained how psychopaths are, in fact, highly empathic—that, were they not hyper-empathic, they would be much less adept at manipulating people than they in fact are. Much of what I have to say on the topic of psychopathy I learned from conversations with this person, whose points have been</w:t>
      </w:r>
      <w:r>
        <w:rPr>
          <w:spacing w:val="40"/>
        </w:rPr>
        <w:t xml:space="preserve"> </w:t>
      </w:r>
      <w:r>
        <w:t>borne out by my research into this topic and also by my, I am sorry to say, extensive personal experience with these fauxbrethren of ours.)</w:t>
      </w:r>
    </w:p>
    <w:p w14:paraId="7E0031EB" w14:textId="77777777" w:rsidR="009A58DB" w:rsidRDefault="00000000">
      <w:pPr>
        <w:pStyle w:val="BodyText"/>
        <w:spacing w:before="116" w:line="249" w:lineRule="auto"/>
        <w:ind w:left="720" w:right="361"/>
      </w:pPr>
      <w:r>
        <w:t>Assuming that you are not a psychopath (which you are probably not, since psychopaths don’t value learning for its own sake), your conscience is exercising a constant pressure on you. That doesn’t mean you can’t perform bad acts. Non-psychopaths can be exquisitely evil, as we’ve already noted. It means that you are always under the watchful eye of a standard-bearer. Oftentimes people of conscience perform evil acts in order to rebel against their consciences. And sometimes, wanting to appease their own overly brutal consciences, non-psychopaths perform</w:t>
      </w:r>
      <w:r>
        <w:rPr>
          <w:spacing w:val="40"/>
        </w:rPr>
        <w:t xml:space="preserve"> </w:t>
      </w:r>
      <w:r>
        <w:t>bad acts in order to provoke authority figures to punish them, as Freud pointed out in his paper “Criminals from a sense of guilt.” But psychopaths don’t labor under the watchful eye of a censorious superego.</w:t>
      </w:r>
    </w:p>
    <w:p w14:paraId="7E0031EC" w14:textId="77777777" w:rsidR="009A58DB" w:rsidRDefault="00000000">
      <w:pPr>
        <w:pStyle w:val="BodyText"/>
        <w:spacing w:before="119" w:line="249" w:lineRule="auto"/>
        <w:ind w:left="720" w:right="363"/>
      </w:pPr>
      <w:r>
        <w:t>Their condition may sound enviable. It is not. Because of their lack of conscience, they grossly under-perform. A psychopath who, given his intellectual</w:t>
      </w:r>
      <w:r>
        <w:rPr>
          <w:spacing w:val="40"/>
        </w:rPr>
        <w:t xml:space="preserve"> </w:t>
      </w:r>
      <w:r>
        <w:t>level,</w:t>
      </w:r>
      <w:r>
        <w:rPr>
          <w:spacing w:val="40"/>
        </w:rPr>
        <w:t xml:space="preserve"> </w:t>
      </w:r>
      <w:r>
        <w:t>could</w:t>
      </w:r>
      <w:r>
        <w:rPr>
          <w:spacing w:val="40"/>
        </w:rPr>
        <w:t xml:space="preserve"> </w:t>
      </w:r>
      <w:r>
        <w:t>be</w:t>
      </w:r>
      <w:r>
        <w:rPr>
          <w:spacing w:val="40"/>
        </w:rPr>
        <w:t xml:space="preserve"> </w:t>
      </w:r>
      <w:r>
        <w:t>a</w:t>
      </w:r>
      <w:r>
        <w:rPr>
          <w:spacing w:val="40"/>
        </w:rPr>
        <w:t xml:space="preserve"> </w:t>
      </w:r>
      <w:r>
        <w:t>head</w:t>
      </w:r>
      <w:r>
        <w:rPr>
          <w:spacing w:val="40"/>
        </w:rPr>
        <w:t xml:space="preserve"> </w:t>
      </w:r>
      <w:r>
        <w:t>of</w:t>
      </w:r>
      <w:r>
        <w:rPr>
          <w:spacing w:val="40"/>
        </w:rPr>
        <w:t xml:space="preserve"> </w:t>
      </w:r>
      <w:r>
        <w:t>state</w:t>
      </w:r>
      <w:r>
        <w:rPr>
          <w:spacing w:val="40"/>
        </w:rPr>
        <w:t xml:space="preserve"> </w:t>
      </w:r>
      <w:r>
        <w:t>or</w:t>
      </w:r>
      <w:r>
        <w:rPr>
          <w:spacing w:val="40"/>
        </w:rPr>
        <w:t xml:space="preserve"> </w:t>
      </w:r>
      <w:r>
        <w:t>a</w:t>
      </w:r>
      <w:r>
        <w:rPr>
          <w:spacing w:val="40"/>
        </w:rPr>
        <w:t xml:space="preserve"> </w:t>
      </w:r>
      <w:r>
        <w:t>great</w:t>
      </w:r>
      <w:r>
        <w:rPr>
          <w:spacing w:val="40"/>
        </w:rPr>
        <w:t xml:space="preserve"> </w:t>
      </w:r>
      <w:r>
        <w:t>novelist,</w:t>
      </w:r>
      <w:r>
        <w:rPr>
          <w:spacing w:val="40"/>
        </w:rPr>
        <w:t xml:space="preserve"> </w:t>
      </w:r>
      <w:r>
        <w:t>ends</w:t>
      </w:r>
      <w:r>
        <w:rPr>
          <w:spacing w:val="40"/>
        </w:rPr>
        <w:t xml:space="preserve"> </w:t>
      </w:r>
      <w:r>
        <w:t>up</w:t>
      </w:r>
    </w:p>
    <w:p w14:paraId="7E0031ED"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EE" w14:textId="77777777" w:rsidR="009A58DB" w:rsidRDefault="00000000">
      <w:pPr>
        <w:pStyle w:val="BodyText"/>
        <w:spacing w:before="70" w:line="249" w:lineRule="auto"/>
        <w:ind w:left="720" w:right="359"/>
      </w:pPr>
      <w:r>
        <w:t>being a two-bit con-man. Also, on the rare occasions when they’re sincere about their condition, psychopaths describe their lives as being cold and empty. (Which, presumably, is why they are constantly in need of petty forms</w:t>
      </w:r>
      <w:r>
        <w:rPr>
          <w:spacing w:val="-2"/>
        </w:rPr>
        <w:t xml:space="preserve"> </w:t>
      </w:r>
      <w:r>
        <w:t>of</w:t>
      </w:r>
      <w:r>
        <w:rPr>
          <w:spacing w:val="-2"/>
        </w:rPr>
        <w:t xml:space="preserve"> </w:t>
      </w:r>
      <w:r>
        <w:t>stimulation,</w:t>
      </w:r>
      <w:r>
        <w:rPr>
          <w:spacing w:val="-2"/>
        </w:rPr>
        <w:t xml:space="preserve"> </w:t>
      </w:r>
      <w:r>
        <w:t>as</w:t>
      </w:r>
      <w:r>
        <w:rPr>
          <w:spacing w:val="-2"/>
        </w:rPr>
        <w:t xml:space="preserve"> </w:t>
      </w:r>
      <w:r>
        <w:t>Robert</w:t>
      </w:r>
      <w:r>
        <w:rPr>
          <w:spacing w:val="-2"/>
        </w:rPr>
        <w:t xml:space="preserve"> </w:t>
      </w:r>
      <w:r>
        <w:t>Hare</w:t>
      </w:r>
      <w:r>
        <w:rPr>
          <w:spacing w:val="-2"/>
        </w:rPr>
        <w:t xml:space="preserve"> </w:t>
      </w:r>
      <w:r>
        <w:t>points</w:t>
      </w:r>
      <w:r>
        <w:rPr>
          <w:spacing w:val="-2"/>
        </w:rPr>
        <w:t xml:space="preserve"> </w:t>
      </w:r>
      <w:r>
        <w:t>out</w:t>
      </w:r>
      <w:r>
        <w:rPr>
          <w:spacing w:val="-2"/>
        </w:rPr>
        <w:t xml:space="preserve"> </w:t>
      </w:r>
      <w:r>
        <w:t>in</w:t>
      </w:r>
      <w:r>
        <w:rPr>
          <w:spacing w:val="-2"/>
        </w:rPr>
        <w:t xml:space="preserve"> </w:t>
      </w:r>
      <w:r>
        <w:t>his</w:t>
      </w:r>
      <w:r>
        <w:rPr>
          <w:spacing w:val="-2"/>
        </w:rPr>
        <w:t xml:space="preserve"> </w:t>
      </w:r>
      <w:r>
        <w:t>(1999)</w:t>
      </w:r>
      <w:r>
        <w:rPr>
          <w:spacing w:val="-2"/>
        </w:rPr>
        <w:t xml:space="preserve"> </w:t>
      </w:r>
      <w:r>
        <w:t>book</w:t>
      </w:r>
      <w:r>
        <w:rPr>
          <w:spacing w:val="-2"/>
        </w:rPr>
        <w:t xml:space="preserve"> </w:t>
      </w:r>
      <w:r>
        <w:rPr>
          <w:i/>
        </w:rPr>
        <w:t>Without Conscience</w:t>
      </w:r>
      <w:r>
        <w:t>.) They describe themselves as having no selves at all, and wishing that they did have selves. Stories and movies about para-humans (e.g., robots, scarecrows) who wished they had souls are, I suspect, allegories about psychopathy.</w:t>
      </w:r>
    </w:p>
    <w:p w14:paraId="7E0031EF" w14:textId="77777777" w:rsidR="009A58DB" w:rsidRDefault="00000000">
      <w:pPr>
        <w:pStyle w:val="BodyText"/>
        <w:spacing w:before="109" w:line="249" w:lineRule="auto"/>
        <w:ind w:left="720" w:right="357"/>
      </w:pPr>
      <w:r>
        <w:t xml:space="preserve">In the movie, </w:t>
      </w:r>
      <w:r>
        <w:rPr>
          <w:i/>
        </w:rPr>
        <w:t xml:space="preserve">Invasion of the Body Snatchers </w:t>
      </w:r>
      <w:r>
        <w:t>soulless aliens take over people’s bodies. After a given person’s body had thus been “snatched,”</w:t>
      </w:r>
      <w:r>
        <w:rPr>
          <w:spacing w:val="40"/>
        </w:rPr>
        <w:t xml:space="preserve"> </w:t>
      </w:r>
      <w:r>
        <w:t>the resulting being was person-like but wasn’t actually person. Such</w:t>
      </w:r>
      <w:r>
        <w:rPr>
          <w:spacing w:val="40"/>
        </w:rPr>
        <w:t xml:space="preserve"> </w:t>
      </w:r>
      <w:r>
        <w:t xml:space="preserve">beings were superficially normal, were in some respects functional, and they had a calmness that mimicked a self-control that would ordinarily be indicative of depth of character. But their apparent lack of emotion was an expression, not of maturity and depth of character, but of immaturity and lack of character. Because they were so undeveloped, they couldn’t integrate the emotions they had into the personae through which they represented themselves to the world. As a result, those personae were drained of any affect and thus bore a superficial resemblance to somebody who, unlike them, had confronted his emotions and mastered them. But unlike such a person, these pseudo-people were bubbling vats of emotion that, when the slightest provocation caused the mask of sanity to fall off, burst out in fits of infantile hysteria. Because of the similarities between these pseudo-people, on the one hand, and psychopaths, on the other, I believe that </w:t>
      </w:r>
      <w:r>
        <w:rPr>
          <w:i/>
        </w:rPr>
        <w:t xml:space="preserve">Invasion of the Body Snatchers </w:t>
      </w:r>
      <w:r>
        <w:t>is a metaphorical representation of the process by which a person becomes psychopathized.</w:t>
      </w:r>
    </w:p>
    <w:p w14:paraId="7E0031F0" w14:textId="77777777" w:rsidR="009A58DB" w:rsidRDefault="00000000">
      <w:pPr>
        <w:pStyle w:val="BodyText"/>
        <w:spacing w:before="113" w:line="249" w:lineRule="auto"/>
        <w:ind w:left="720" w:right="359"/>
      </w:pPr>
      <w:r>
        <w:t xml:space="preserve">In that movie, on the rare occasions when the </w:t>
      </w:r>
      <w:r>
        <w:rPr>
          <w:i/>
        </w:rPr>
        <w:t xml:space="preserve">actual </w:t>
      </w:r>
      <w:r>
        <w:t>emotions of the pseudo-calm pseudo-people were revealed, they were base and infantile ones. (They really only had two emotional modalities: rage and</w:t>
      </w:r>
      <w:r>
        <w:rPr>
          <w:spacing w:val="40"/>
        </w:rPr>
        <w:t xml:space="preserve"> </w:t>
      </w:r>
      <w:r>
        <w:t>satisfaction when the cause of their rage had been neutralized.) In fact, they were barely even emotions at all; they were too impersonal—too lacking roots in a coherent subject. I am thinking of the scene at the very end of the 1977 version of the movie, starring Donald Sutherland, where he points at his former comrade and inhumanly shrieks at her. Which is exactly</w:t>
      </w:r>
      <w:r>
        <w:rPr>
          <w:spacing w:val="52"/>
          <w:w w:val="150"/>
        </w:rPr>
        <w:t xml:space="preserve"> </w:t>
      </w:r>
      <w:r>
        <w:t>how,</w:t>
      </w:r>
      <w:r>
        <w:rPr>
          <w:spacing w:val="53"/>
          <w:w w:val="150"/>
        </w:rPr>
        <w:t xml:space="preserve"> </w:t>
      </w:r>
      <w:r>
        <w:t>when</w:t>
      </w:r>
      <w:r>
        <w:rPr>
          <w:spacing w:val="53"/>
          <w:w w:val="150"/>
        </w:rPr>
        <w:t xml:space="preserve"> </w:t>
      </w:r>
      <w:r>
        <w:t>they</w:t>
      </w:r>
      <w:r>
        <w:rPr>
          <w:spacing w:val="52"/>
          <w:w w:val="150"/>
        </w:rPr>
        <w:t xml:space="preserve"> </w:t>
      </w:r>
      <w:r>
        <w:t>were</w:t>
      </w:r>
      <w:r>
        <w:rPr>
          <w:spacing w:val="53"/>
          <w:w w:val="150"/>
        </w:rPr>
        <w:t xml:space="preserve"> </w:t>
      </w:r>
      <w:r>
        <w:t>cornered,</w:t>
      </w:r>
      <w:r>
        <w:rPr>
          <w:spacing w:val="53"/>
          <w:w w:val="150"/>
        </w:rPr>
        <w:t xml:space="preserve"> </w:t>
      </w:r>
      <w:r>
        <w:t>the</w:t>
      </w:r>
      <w:r>
        <w:rPr>
          <w:spacing w:val="53"/>
          <w:w w:val="150"/>
        </w:rPr>
        <w:t xml:space="preserve"> </w:t>
      </w:r>
      <w:r>
        <w:t>psychopaths</w:t>
      </w:r>
      <w:r>
        <w:rPr>
          <w:spacing w:val="52"/>
          <w:w w:val="150"/>
        </w:rPr>
        <w:t xml:space="preserve"> </w:t>
      </w:r>
      <w:r>
        <w:t>I’ve</w:t>
      </w:r>
      <w:r>
        <w:rPr>
          <w:spacing w:val="53"/>
          <w:w w:val="150"/>
        </w:rPr>
        <w:t xml:space="preserve"> </w:t>
      </w:r>
      <w:r>
        <w:rPr>
          <w:spacing w:val="-2"/>
        </w:rPr>
        <w:t>known</w:t>
      </w:r>
    </w:p>
    <w:p w14:paraId="7E0031F1"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F2" w14:textId="77777777" w:rsidR="009A58DB" w:rsidRDefault="00000000">
      <w:pPr>
        <w:pStyle w:val="BodyText"/>
        <w:spacing w:before="60"/>
        <w:ind w:left="720"/>
        <w:jc w:val="left"/>
      </w:pPr>
      <w:r>
        <w:rPr>
          <w:spacing w:val="-2"/>
        </w:rPr>
        <w:t>behaved.</w:t>
      </w:r>
    </w:p>
    <w:p w14:paraId="7E0031F3" w14:textId="77777777" w:rsidR="009A58DB" w:rsidRDefault="00000000">
      <w:pPr>
        <w:pStyle w:val="BodyText"/>
        <w:spacing w:before="130" w:line="312" w:lineRule="auto"/>
        <w:ind w:right="4416"/>
        <w:jc w:val="left"/>
      </w:pPr>
      <w:bookmarkStart w:id="1058" w:name="_bookmark1058"/>
      <w:bookmarkEnd w:id="1058"/>
      <w:r>
        <w:rPr>
          <w:color w:val="0562C1"/>
          <w:position w:val="22"/>
          <w:u w:val="single" w:color="0562C1"/>
        </w:rPr>
        <w:t>[385]</w:t>
      </w:r>
      <w:r>
        <w:rPr>
          <w:sz w:val="34"/>
        </w:rPr>
        <w:t>.</w:t>
      </w:r>
      <w:r>
        <w:rPr>
          <w:spacing w:val="-6"/>
          <w:sz w:val="34"/>
        </w:rPr>
        <w:t xml:space="preserve"> </w:t>
      </w:r>
      <w:r>
        <w:t>“MM”</w:t>
      </w:r>
      <w:r>
        <w:rPr>
          <w:spacing w:val="-7"/>
        </w:rPr>
        <w:t xml:space="preserve"> </w:t>
      </w:r>
      <w:r>
        <w:t>is</w:t>
      </w:r>
      <w:r>
        <w:rPr>
          <w:spacing w:val="-7"/>
        </w:rPr>
        <w:t xml:space="preserve"> </w:t>
      </w:r>
      <w:r>
        <w:t>short</w:t>
      </w:r>
      <w:r>
        <w:rPr>
          <w:spacing w:val="-7"/>
        </w:rPr>
        <w:t xml:space="preserve"> </w:t>
      </w:r>
      <w:r>
        <w:t>for</w:t>
      </w:r>
      <w:r>
        <w:rPr>
          <w:spacing w:val="-7"/>
        </w:rPr>
        <w:t xml:space="preserve"> </w:t>
      </w:r>
      <w:r>
        <w:t>“Mao</w:t>
      </w:r>
      <w:r>
        <w:rPr>
          <w:spacing w:val="-6"/>
        </w:rPr>
        <w:t xml:space="preserve"> </w:t>
      </w:r>
      <w:r>
        <w:t xml:space="preserve">morality.” </w:t>
      </w:r>
      <w:bookmarkStart w:id="1059" w:name="_bookmark1059"/>
      <w:bookmarkEnd w:id="1059"/>
      <w:r>
        <w:rPr>
          <w:color w:val="0562C1"/>
          <w:position w:val="22"/>
          <w:u w:val="single" w:color="0562C1"/>
        </w:rPr>
        <w:t>[386]</w:t>
      </w:r>
      <w:r>
        <w:t>. See Hare (1999).</w:t>
      </w:r>
    </w:p>
    <w:p w14:paraId="7E0031F4" w14:textId="77777777" w:rsidR="009A58DB" w:rsidRDefault="00000000">
      <w:pPr>
        <w:spacing w:before="8" w:line="252" w:lineRule="auto"/>
        <w:ind w:left="720" w:hanging="360"/>
        <w:rPr>
          <w:i/>
          <w:sz w:val="30"/>
        </w:rPr>
      </w:pPr>
      <w:bookmarkStart w:id="1060" w:name="_bookmark1060"/>
      <w:bookmarkEnd w:id="1060"/>
      <w:r>
        <w:rPr>
          <w:color w:val="0562C1"/>
          <w:position w:val="24"/>
          <w:sz w:val="34"/>
          <w:u w:val="single" w:color="0562C1"/>
        </w:rPr>
        <w:t>[387]</w:t>
      </w:r>
      <w:r>
        <w:rPr>
          <w:sz w:val="34"/>
        </w:rPr>
        <w:t>.</w:t>
      </w:r>
      <w:r>
        <w:rPr>
          <w:spacing w:val="76"/>
          <w:w w:val="150"/>
          <w:sz w:val="34"/>
        </w:rPr>
        <w:t xml:space="preserve"> </w:t>
      </w:r>
      <w:r>
        <w:rPr>
          <w:sz w:val="30"/>
        </w:rPr>
        <w:t>Kant’s</w:t>
      </w:r>
      <w:r>
        <w:rPr>
          <w:spacing w:val="80"/>
          <w:w w:val="150"/>
          <w:sz w:val="30"/>
        </w:rPr>
        <w:t xml:space="preserve"> </w:t>
      </w:r>
      <w:r>
        <w:rPr>
          <w:sz w:val="30"/>
        </w:rPr>
        <w:t>ethical</w:t>
      </w:r>
      <w:r>
        <w:rPr>
          <w:spacing w:val="80"/>
          <w:w w:val="150"/>
          <w:sz w:val="30"/>
        </w:rPr>
        <w:t xml:space="preserve"> </w:t>
      </w:r>
      <w:r>
        <w:rPr>
          <w:sz w:val="30"/>
        </w:rPr>
        <w:t>views</w:t>
      </w:r>
      <w:r>
        <w:rPr>
          <w:spacing w:val="80"/>
          <w:w w:val="150"/>
          <w:sz w:val="30"/>
        </w:rPr>
        <w:t xml:space="preserve"> </w:t>
      </w:r>
      <w:r>
        <w:rPr>
          <w:sz w:val="30"/>
        </w:rPr>
        <w:t>are</w:t>
      </w:r>
      <w:r>
        <w:rPr>
          <w:spacing w:val="80"/>
          <w:w w:val="150"/>
          <w:sz w:val="30"/>
        </w:rPr>
        <w:t xml:space="preserve"> </w:t>
      </w:r>
      <w:r>
        <w:rPr>
          <w:sz w:val="30"/>
        </w:rPr>
        <w:t>put</w:t>
      </w:r>
      <w:r>
        <w:rPr>
          <w:spacing w:val="80"/>
          <w:w w:val="150"/>
          <w:sz w:val="30"/>
        </w:rPr>
        <w:t xml:space="preserve"> </w:t>
      </w:r>
      <w:r>
        <w:rPr>
          <w:sz w:val="30"/>
        </w:rPr>
        <w:t>forth</w:t>
      </w:r>
      <w:r>
        <w:rPr>
          <w:spacing w:val="80"/>
          <w:w w:val="150"/>
          <w:sz w:val="30"/>
        </w:rPr>
        <w:t xml:space="preserve"> </w:t>
      </w:r>
      <w:r>
        <w:rPr>
          <w:sz w:val="30"/>
        </w:rPr>
        <w:t>in</w:t>
      </w:r>
      <w:r>
        <w:rPr>
          <w:spacing w:val="80"/>
          <w:w w:val="150"/>
          <w:sz w:val="30"/>
        </w:rPr>
        <w:t xml:space="preserve"> </w:t>
      </w:r>
      <w:r>
        <w:rPr>
          <w:sz w:val="30"/>
        </w:rPr>
        <w:t>his</w:t>
      </w:r>
      <w:r>
        <w:rPr>
          <w:spacing w:val="80"/>
          <w:w w:val="150"/>
          <w:sz w:val="30"/>
        </w:rPr>
        <w:t xml:space="preserve"> </w:t>
      </w:r>
      <w:r>
        <w:rPr>
          <w:i/>
          <w:sz w:val="30"/>
        </w:rPr>
        <w:t>Groundwork</w:t>
      </w:r>
      <w:r>
        <w:rPr>
          <w:i/>
          <w:spacing w:val="79"/>
          <w:w w:val="150"/>
          <w:sz w:val="30"/>
        </w:rPr>
        <w:t xml:space="preserve"> </w:t>
      </w:r>
      <w:r>
        <w:rPr>
          <w:i/>
          <w:sz w:val="30"/>
        </w:rPr>
        <w:t>of</w:t>
      </w:r>
      <w:r>
        <w:rPr>
          <w:i/>
          <w:spacing w:val="79"/>
          <w:w w:val="150"/>
          <w:sz w:val="30"/>
        </w:rPr>
        <w:t xml:space="preserve"> </w:t>
      </w:r>
      <w:r>
        <w:rPr>
          <w:i/>
          <w:sz w:val="30"/>
        </w:rPr>
        <w:t>the metaphysics of morals.</w:t>
      </w:r>
    </w:p>
    <w:p w14:paraId="7E0031F5" w14:textId="77777777" w:rsidR="009A58DB" w:rsidRDefault="00000000">
      <w:pPr>
        <w:pStyle w:val="BodyText"/>
        <w:spacing w:before="97"/>
        <w:jc w:val="left"/>
      </w:pPr>
      <w:bookmarkStart w:id="1061" w:name="_bookmark1061"/>
      <w:bookmarkEnd w:id="1061"/>
      <w:r>
        <w:rPr>
          <w:color w:val="0562C1"/>
          <w:position w:val="24"/>
          <w:sz w:val="34"/>
          <w:u w:val="single" w:color="0562C1"/>
        </w:rPr>
        <w:t>[388]</w:t>
      </w:r>
      <w:r>
        <w:rPr>
          <w:sz w:val="34"/>
        </w:rPr>
        <w:t>.</w:t>
      </w:r>
      <w:r>
        <w:rPr>
          <w:spacing w:val="-2"/>
          <w:sz w:val="34"/>
        </w:rPr>
        <w:t xml:space="preserve"> </w:t>
      </w:r>
      <w:r>
        <w:t>“ACI”</w:t>
      </w:r>
      <w:r>
        <w:rPr>
          <w:spacing w:val="-2"/>
        </w:rPr>
        <w:t xml:space="preserve"> </w:t>
      </w:r>
      <w:r>
        <w:t>is</w:t>
      </w:r>
      <w:r>
        <w:rPr>
          <w:spacing w:val="-3"/>
        </w:rPr>
        <w:t xml:space="preserve"> </w:t>
      </w:r>
      <w:r>
        <w:t>short</w:t>
      </w:r>
      <w:r>
        <w:rPr>
          <w:spacing w:val="-3"/>
        </w:rPr>
        <w:t xml:space="preserve"> </w:t>
      </w:r>
      <w:r>
        <w:t>for</w:t>
      </w:r>
      <w:r>
        <w:rPr>
          <w:spacing w:val="-3"/>
        </w:rPr>
        <w:t xml:space="preserve"> </w:t>
      </w:r>
      <w:r>
        <w:t>“are</w:t>
      </w:r>
      <w:r>
        <w:rPr>
          <w:spacing w:val="-3"/>
        </w:rPr>
        <w:t xml:space="preserve"> </w:t>
      </w:r>
      <w:r>
        <w:t>there</w:t>
      </w:r>
      <w:r>
        <w:rPr>
          <w:spacing w:val="-3"/>
        </w:rPr>
        <w:t xml:space="preserve"> </w:t>
      </w:r>
      <w:r>
        <w:t>any</w:t>
      </w:r>
      <w:r>
        <w:rPr>
          <w:spacing w:val="-1"/>
        </w:rPr>
        <w:t xml:space="preserve"> </w:t>
      </w:r>
      <w:r>
        <w:t>categorical</w:t>
      </w:r>
      <w:r>
        <w:rPr>
          <w:spacing w:val="-3"/>
        </w:rPr>
        <w:t xml:space="preserve"> </w:t>
      </w:r>
      <w:r>
        <w:rPr>
          <w:spacing w:val="-2"/>
        </w:rPr>
        <w:t>imperatives?”</w:t>
      </w:r>
    </w:p>
    <w:p w14:paraId="7E0031F6" w14:textId="77777777" w:rsidR="009A58DB" w:rsidRDefault="00000000">
      <w:pPr>
        <w:pStyle w:val="BodyText"/>
        <w:spacing w:before="104"/>
        <w:jc w:val="left"/>
      </w:pPr>
      <w:bookmarkStart w:id="1062" w:name="_bookmark1062"/>
      <w:bookmarkEnd w:id="1062"/>
      <w:r>
        <w:rPr>
          <w:color w:val="0562C1"/>
          <w:position w:val="24"/>
          <w:sz w:val="34"/>
          <w:u w:val="single" w:color="0562C1"/>
        </w:rPr>
        <w:t>[389]</w:t>
      </w:r>
      <w:r>
        <w:rPr>
          <w:sz w:val="34"/>
        </w:rPr>
        <w:t>.</w:t>
      </w:r>
      <w:r>
        <w:rPr>
          <w:spacing w:val="-2"/>
          <w:sz w:val="34"/>
        </w:rPr>
        <w:t xml:space="preserve"> </w:t>
      </w:r>
      <w:r>
        <w:t>“CI”</w:t>
      </w:r>
      <w:r>
        <w:rPr>
          <w:spacing w:val="-3"/>
        </w:rPr>
        <w:t xml:space="preserve"> </w:t>
      </w:r>
      <w:r>
        <w:t>stands</w:t>
      </w:r>
      <w:r>
        <w:rPr>
          <w:spacing w:val="-2"/>
        </w:rPr>
        <w:t xml:space="preserve"> </w:t>
      </w:r>
      <w:r>
        <w:t>for</w:t>
      </w:r>
      <w:r>
        <w:rPr>
          <w:spacing w:val="-3"/>
        </w:rPr>
        <w:t xml:space="preserve"> </w:t>
      </w:r>
      <w:r>
        <w:t>“categorical</w:t>
      </w:r>
      <w:r>
        <w:rPr>
          <w:spacing w:val="-3"/>
        </w:rPr>
        <w:t xml:space="preserve"> </w:t>
      </w:r>
      <w:r>
        <w:rPr>
          <w:spacing w:val="-2"/>
        </w:rPr>
        <w:t>imperative.”</w:t>
      </w:r>
    </w:p>
    <w:p w14:paraId="7E0031F7" w14:textId="77777777" w:rsidR="009A58DB" w:rsidRDefault="00000000">
      <w:pPr>
        <w:pStyle w:val="BodyText"/>
        <w:spacing w:before="119" w:line="252" w:lineRule="auto"/>
        <w:ind w:left="720" w:hanging="360"/>
        <w:jc w:val="left"/>
      </w:pPr>
      <w:bookmarkStart w:id="1063" w:name="_bookmark1063"/>
      <w:bookmarkEnd w:id="1063"/>
      <w:r>
        <w:rPr>
          <w:color w:val="0562C1"/>
          <w:position w:val="24"/>
          <w:sz w:val="34"/>
          <w:u w:val="single" w:color="0562C1"/>
        </w:rPr>
        <w:t>[390]</w:t>
      </w:r>
      <w:r>
        <w:rPr>
          <w:sz w:val="34"/>
        </w:rPr>
        <w:t>.</w:t>
      </w:r>
      <w:r>
        <w:rPr>
          <w:spacing w:val="40"/>
          <w:sz w:val="34"/>
        </w:rPr>
        <w:t xml:space="preserve"> </w:t>
      </w:r>
      <w:r>
        <w:t>See</w:t>
      </w:r>
      <w:r>
        <w:rPr>
          <w:spacing w:val="40"/>
        </w:rPr>
        <w:t xml:space="preserve"> </w:t>
      </w:r>
      <w:r>
        <w:t>Chapter</w:t>
      </w:r>
      <w:r>
        <w:rPr>
          <w:spacing w:val="40"/>
        </w:rPr>
        <w:t xml:space="preserve"> </w:t>
      </w:r>
      <w:r>
        <w:t>19,</w:t>
      </w:r>
      <w:r>
        <w:rPr>
          <w:spacing w:val="40"/>
        </w:rPr>
        <w:t xml:space="preserve"> </w:t>
      </w:r>
      <w:r>
        <w:t>Sections</w:t>
      </w:r>
      <w:r>
        <w:rPr>
          <w:spacing w:val="40"/>
        </w:rPr>
        <w:t xml:space="preserve"> </w:t>
      </w:r>
      <w:r>
        <w:t>6.0–6.3</w:t>
      </w:r>
      <w:r>
        <w:rPr>
          <w:spacing w:val="40"/>
        </w:rPr>
        <w:t xml:space="preserve"> </w:t>
      </w:r>
      <w:r>
        <w:t>for</w:t>
      </w:r>
      <w:r>
        <w:rPr>
          <w:spacing w:val="40"/>
        </w:rPr>
        <w:t xml:space="preserve"> </w:t>
      </w:r>
      <w:r>
        <w:t>a</w:t>
      </w:r>
      <w:r>
        <w:rPr>
          <w:spacing w:val="40"/>
        </w:rPr>
        <w:t xml:space="preserve"> </w:t>
      </w:r>
      <w:r>
        <w:t>discussion</w:t>
      </w:r>
      <w:r>
        <w:rPr>
          <w:spacing w:val="40"/>
        </w:rPr>
        <w:t xml:space="preserve"> </w:t>
      </w:r>
      <w:r>
        <w:t>of</w:t>
      </w:r>
      <w:r>
        <w:rPr>
          <w:spacing w:val="40"/>
        </w:rPr>
        <w:t xml:space="preserve"> </w:t>
      </w:r>
      <w:r>
        <w:t>the</w:t>
      </w:r>
      <w:r>
        <w:rPr>
          <w:spacing w:val="40"/>
        </w:rPr>
        <w:t xml:space="preserve"> </w:t>
      </w:r>
      <w:r>
        <w:t>principle underlying the viewpoint now being put forth.</w:t>
      </w:r>
    </w:p>
    <w:p w14:paraId="7E0031F8" w14:textId="77777777" w:rsidR="009A58DB" w:rsidRDefault="00000000">
      <w:pPr>
        <w:spacing w:before="98" w:line="252" w:lineRule="auto"/>
        <w:ind w:left="720" w:hanging="360"/>
        <w:rPr>
          <w:i/>
          <w:sz w:val="30"/>
        </w:rPr>
      </w:pPr>
      <w:bookmarkStart w:id="1064" w:name="_bookmark1064"/>
      <w:bookmarkEnd w:id="1064"/>
      <w:r>
        <w:rPr>
          <w:color w:val="0562C1"/>
          <w:position w:val="24"/>
          <w:sz w:val="34"/>
          <w:u w:val="single" w:color="0562C1"/>
        </w:rPr>
        <w:t>[391]</w:t>
      </w:r>
      <w:r>
        <w:rPr>
          <w:sz w:val="34"/>
        </w:rPr>
        <w:t xml:space="preserve">. </w:t>
      </w:r>
      <w:r>
        <w:rPr>
          <w:sz w:val="30"/>
        </w:rPr>
        <w:t xml:space="preserve">This argument is found in Kant’s </w:t>
      </w:r>
      <w:r>
        <w:rPr>
          <w:i/>
          <w:sz w:val="30"/>
        </w:rPr>
        <w:t xml:space="preserve">Critique of Practical Reason; </w:t>
      </w:r>
      <w:r>
        <w:rPr>
          <w:sz w:val="30"/>
        </w:rPr>
        <w:t>it is</w:t>
      </w:r>
      <w:r>
        <w:rPr>
          <w:spacing w:val="80"/>
          <w:sz w:val="30"/>
        </w:rPr>
        <w:t xml:space="preserve"> </w:t>
      </w:r>
      <w:r>
        <w:rPr>
          <w:sz w:val="30"/>
        </w:rPr>
        <w:t xml:space="preserve">hinted in his </w:t>
      </w:r>
      <w:r>
        <w:rPr>
          <w:i/>
          <w:sz w:val="30"/>
        </w:rPr>
        <w:t>Groundwork of the Metaphysics of Morals.</w:t>
      </w:r>
    </w:p>
    <w:p w14:paraId="7E0031F9" w14:textId="77777777" w:rsidR="009A58DB" w:rsidRDefault="00000000">
      <w:pPr>
        <w:pStyle w:val="BodyText"/>
        <w:spacing w:before="82"/>
        <w:jc w:val="left"/>
      </w:pPr>
      <w:bookmarkStart w:id="1065" w:name="_bookmark1065"/>
      <w:bookmarkEnd w:id="1065"/>
      <w:r>
        <w:rPr>
          <w:color w:val="0562C1"/>
          <w:position w:val="24"/>
          <w:sz w:val="34"/>
          <w:u w:val="single" w:color="0562C1"/>
        </w:rPr>
        <w:t>[392]</w:t>
      </w:r>
      <w:r>
        <w:rPr>
          <w:sz w:val="34"/>
        </w:rPr>
        <w:t>.</w:t>
      </w:r>
      <w:r>
        <w:rPr>
          <w:spacing w:val="-2"/>
          <w:sz w:val="34"/>
        </w:rPr>
        <w:t xml:space="preserve"> </w:t>
      </w:r>
      <w:r>
        <w:t>“CI”</w:t>
      </w:r>
      <w:r>
        <w:rPr>
          <w:spacing w:val="-3"/>
        </w:rPr>
        <w:t xml:space="preserve"> </w:t>
      </w:r>
      <w:r>
        <w:t>stands</w:t>
      </w:r>
      <w:r>
        <w:rPr>
          <w:spacing w:val="-2"/>
        </w:rPr>
        <w:t xml:space="preserve"> </w:t>
      </w:r>
      <w:r>
        <w:t>for</w:t>
      </w:r>
      <w:r>
        <w:rPr>
          <w:spacing w:val="-3"/>
        </w:rPr>
        <w:t xml:space="preserve"> </w:t>
      </w:r>
      <w:r>
        <w:t>“categorical</w:t>
      </w:r>
      <w:r>
        <w:rPr>
          <w:spacing w:val="-3"/>
        </w:rPr>
        <w:t xml:space="preserve"> </w:t>
      </w:r>
      <w:r>
        <w:rPr>
          <w:spacing w:val="-2"/>
        </w:rPr>
        <w:t>imperative.”</w:t>
      </w:r>
    </w:p>
    <w:p w14:paraId="7E0031FA" w14:textId="77777777" w:rsidR="009A58DB" w:rsidRDefault="00000000">
      <w:pPr>
        <w:pStyle w:val="BodyText"/>
        <w:spacing w:before="119" w:line="252" w:lineRule="auto"/>
        <w:ind w:left="720" w:right="365" w:hanging="360"/>
        <w:jc w:val="left"/>
      </w:pPr>
      <w:bookmarkStart w:id="1066" w:name="_bookmark1066"/>
      <w:bookmarkEnd w:id="1066"/>
      <w:r>
        <w:rPr>
          <w:color w:val="0562C1"/>
          <w:position w:val="24"/>
          <w:sz w:val="34"/>
          <w:u w:val="single" w:color="0562C1"/>
        </w:rPr>
        <w:t>[393]</w:t>
      </w:r>
      <w:r>
        <w:rPr>
          <w:sz w:val="34"/>
        </w:rPr>
        <w:t>.</w:t>
      </w:r>
      <w:r>
        <w:rPr>
          <w:spacing w:val="-1"/>
          <w:sz w:val="34"/>
        </w:rPr>
        <w:t xml:space="preserve"> </w:t>
      </w:r>
      <w:r>
        <w:t>The asterisk is meant to indicate that I’m not using the same wording as before.</w:t>
      </w:r>
    </w:p>
    <w:p w14:paraId="7E0031FB" w14:textId="77777777" w:rsidR="009A58DB" w:rsidRDefault="00000000">
      <w:pPr>
        <w:pStyle w:val="BodyText"/>
        <w:spacing w:before="97" w:line="249" w:lineRule="auto"/>
        <w:ind w:left="720" w:right="360" w:hanging="360"/>
      </w:pPr>
      <w:bookmarkStart w:id="1067" w:name="_bookmark1067"/>
      <w:bookmarkEnd w:id="1067"/>
      <w:r>
        <w:rPr>
          <w:color w:val="0562C1"/>
          <w:position w:val="24"/>
          <w:sz w:val="34"/>
          <w:u w:val="single" w:color="0562C1"/>
        </w:rPr>
        <w:t>[394]</w:t>
      </w:r>
      <w:r>
        <w:rPr>
          <w:sz w:val="34"/>
        </w:rPr>
        <w:t xml:space="preserve">. </w:t>
      </w:r>
      <w:r>
        <w:t xml:space="preserve">Kant wrote a book titled </w:t>
      </w:r>
      <w:r>
        <w:rPr>
          <w:i/>
        </w:rPr>
        <w:t xml:space="preserve">The Critique of Pure Reason </w:t>
      </w:r>
      <w:r>
        <w:t xml:space="preserve">and one titled </w:t>
      </w:r>
      <w:r>
        <w:rPr>
          <w:i/>
        </w:rPr>
        <w:t xml:space="preserve">The Critique of Practical Reason. </w:t>
      </w:r>
      <w:r>
        <w:t>Few, if any, did as much to elucidate this distinction as Kant. Aristotle was also aware of the distinction and did much to elucidate it. In my judgment, Kant and Aristotle are, ultimately, the best ethicists of all time. (I doubt I’m alone in this judgment.) It’s no accident that the ethical systems of these two ethicists, unlike those of most (if not all) others, were efforts to validate the assumption that rationality and morality are, in some way or other, coincident. Harry Frankfurt is another such ethicist (and, in my judgment, his work is, partly for that reason, uniquely valuable).</w:t>
      </w:r>
    </w:p>
    <w:p w14:paraId="7E0031FC"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1FD" w14:textId="77777777" w:rsidR="009A58DB" w:rsidRDefault="00000000">
      <w:pPr>
        <w:pStyle w:val="BodyText"/>
        <w:spacing w:before="77"/>
        <w:jc w:val="left"/>
      </w:pPr>
      <w:bookmarkStart w:id="1068" w:name="_bookmark1068"/>
      <w:bookmarkEnd w:id="1068"/>
      <w:r>
        <w:rPr>
          <w:color w:val="0562C1"/>
          <w:position w:val="24"/>
          <w:sz w:val="34"/>
          <w:u w:val="single" w:color="0562C1"/>
        </w:rPr>
        <w:t>[395]</w:t>
      </w:r>
      <w:r>
        <w:rPr>
          <w:sz w:val="34"/>
        </w:rPr>
        <w:t>.</w:t>
      </w:r>
      <w:r>
        <w:rPr>
          <w:spacing w:val="-1"/>
          <w:sz w:val="34"/>
        </w:rPr>
        <w:t xml:space="preserve"> </w:t>
      </w:r>
      <w:r>
        <w:t>“NSG”</w:t>
      </w:r>
      <w:r>
        <w:rPr>
          <w:spacing w:val="-2"/>
        </w:rPr>
        <w:t xml:space="preserve"> </w:t>
      </w:r>
      <w:r>
        <w:t>is</w:t>
      </w:r>
      <w:r>
        <w:rPr>
          <w:spacing w:val="-2"/>
        </w:rPr>
        <w:t xml:space="preserve"> </w:t>
      </w:r>
      <w:r>
        <w:t>short</w:t>
      </w:r>
      <w:r>
        <w:rPr>
          <w:spacing w:val="-2"/>
        </w:rPr>
        <w:t xml:space="preserve"> </w:t>
      </w:r>
      <w:r>
        <w:t>of</w:t>
      </w:r>
      <w:r>
        <w:rPr>
          <w:spacing w:val="-2"/>
        </w:rPr>
        <w:t xml:space="preserve"> </w:t>
      </w:r>
      <w:r>
        <w:t>“no</w:t>
      </w:r>
      <w:r>
        <w:rPr>
          <w:spacing w:val="-1"/>
        </w:rPr>
        <w:t xml:space="preserve"> </w:t>
      </w:r>
      <w:r>
        <w:t>self-</w:t>
      </w:r>
      <w:r>
        <w:rPr>
          <w:spacing w:val="-2"/>
        </w:rPr>
        <w:t>government.”</w:t>
      </w:r>
    </w:p>
    <w:p w14:paraId="7E0031FE" w14:textId="77777777" w:rsidR="009A58DB" w:rsidRDefault="00000000">
      <w:pPr>
        <w:pStyle w:val="BodyText"/>
        <w:spacing w:before="119" w:line="252" w:lineRule="auto"/>
        <w:ind w:left="720" w:right="370" w:hanging="360"/>
      </w:pPr>
      <w:bookmarkStart w:id="1069" w:name="_bookmark1069"/>
      <w:bookmarkEnd w:id="1069"/>
      <w:r>
        <w:rPr>
          <w:color w:val="0562C1"/>
          <w:position w:val="24"/>
          <w:sz w:val="34"/>
          <w:u w:val="single" w:color="0562C1"/>
        </w:rPr>
        <w:t>[396]</w:t>
      </w:r>
      <w:r>
        <w:rPr>
          <w:sz w:val="34"/>
        </w:rPr>
        <w:t xml:space="preserve">. </w:t>
      </w:r>
      <w:r>
        <w:t>This section presupposes that dogs aren’t rational. If they are, then pretend that I’m talking about some other, less gifted sort of animal.</w:t>
      </w:r>
    </w:p>
    <w:p w14:paraId="7E0031FF" w14:textId="77777777" w:rsidR="009A58DB" w:rsidRDefault="00000000">
      <w:pPr>
        <w:pStyle w:val="BodyText"/>
        <w:spacing w:before="83" w:line="249" w:lineRule="auto"/>
        <w:ind w:left="720" w:right="361" w:hanging="360"/>
      </w:pPr>
      <w:bookmarkStart w:id="1070" w:name="_bookmark1070"/>
      <w:bookmarkEnd w:id="1070"/>
      <w:r>
        <w:rPr>
          <w:color w:val="0562C1"/>
          <w:position w:val="24"/>
          <w:sz w:val="34"/>
          <w:u w:val="single" w:color="0562C1"/>
        </w:rPr>
        <w:t>[397]</w:t>
      </w:r>
      <w:r>
        <w:rPr>
          <w:sz w:val="34"/>
        </w:rPr>
        <w:t>.</w:t>
      </w:r>
      <w:r>
        <w:rPr>
          <w:spacing w:val="-1"/>
          <w:sz w:val="34"/>
        </w:rPr>
        <w:t xml:space="preserve"> </w:t>
      </w:r>
      <w:r>
        <w:t xml:space="preserve">It seems wrong to describe animals as “irrational.” The way in which a chipmunk’s mind falls short of rationality isn’t comparable to the way done so by the mind of an otherwise rational human being in the grips of a psychotic break. The latter’s basic condition is one of rationality but his current condition is not one of rationality. But a chipmunk’s failure to be rational </w:t>
      </w:r>
      <w:r>
        <w:rPr>
          <w:i/>
        </w:rPr>
        <w:t xml:space="preserve">is </w:t>
      </w:r>
      <w:r>
        <w:t>its basic condition, and isn’t one of illness. The otherwise rational, but currently psychotic, person is said to be “irrational.” We’d make that word ambiguous were we to use it to describe the chipmunk. So I’ll describe chipmunks, and other such things, as “sub-rational.”</w:t>
      </w:r>
    </w:p>
    <w:p w14:paraId="7E003200" w14:textId="77777777" w:rsidR="009A58DB" w:rsidRDefault="00000000">
      <w:pPr>
        <w:pStyle w:val="BodyText"/>
        <w:spacing w:before="113" w:line="254" w:lineRule="auto"/>
        <w:ind w:left="720" w:right="362" w:hanging="360"/>
      </w:pPr>
      <w:bookmarkStart w:id="1071" w:name="_bookmark1071"/>
      <w:bookmarkEnd w:id="1071"/>
      <w:r>
        <w:rPr>
          <w:color w:val="0562C1"/>
          <w:position w:val="24"/>
          <w:sz w:val="34"/>
          <w:u w:val="single" w:color="0562C1"/>
        </w:rPr>
        <w:t>[398]</w:t>
      </w:r>
      <w:r>
        <w:rPr>
          <w:color w:val="0562C1"/>
          <w:spacing w:val="80"/>
          <w:position w:val="24"/>
          <w:sz w:val="34"/>
        </w:rPr>
        <w:t xml:space="preserve"> </w:t>
      </w:r>
      <w:r>
        <w:t>Psychoanalysts say that one often engages in “intellectualization” so as to escape from what is really bothering one and so as to facilitate one’s ability to continue to deal with it in a neurotic, self-defeating way.</w:t>
      </w:r>
    </w:p>
    <w:p w14:paraId="7E003201" w14:textId="77777777" w:rsidR="009A58DB" w:rsidRDefault="00000000">
      <w:pPr>
        <w:pStyle w:val="BodyText"/>
        <w:spacing w:before="93" w:line="252" w:lineRule="auto"/>
        <w:ind w:left="720" w:right="369" w:hanging="360"/>
      </w:pPr>
      <w:bookmarkStart w:id="1072" w:name="_bookmark1072"/>
      <w:bookmarkEnd w:id="1072"/>
      <w:r>
        <w:rPr>
          <w:color w:val="0562C1"/>
          <w:position w:val="24"/>
          <w:sz w:val="34"/>
          <w:u w:val="single" w:color="0562C1"/>
        </w:rPr>
        <w:t>[399]</w:t>
      </w:r>
      <w:r>
        <w:rPr>
          <w:sz w:val="34"/>
        </w:rPr>
        <w:t>.</w:t>
      </w:r>
      <w:r>
        <w:rPr>
          <w:spacing w:val="-1"/>
          <w:sz w:val="34"/>
        </w:rPr>
        <w:t xml:space="preserve"> </w:t>
      </w:r>
      <w:r>
        <w:t>Rachels (1986) makes many, but by no means all, of the points made in this chapter.</w:t>
      </w:r>
    </w:p>
    <w:p w14:paraId="7E003202" w14:textId="77777777" w:rsidR="009A58DB" w:rsidRDefault="00000000">
      <w:pPr>
        <w:pStyle w:val="BodyText"/>
        <w:spacing w:before="82" w:line="252" w:lineRule="auto"/>
        <w:ind w:left="720" w:right="360" w:hanging="360"/>
      </w:pPr>
      <w:bookmarkStart w:id="1073" w:name="_bookmark1073"/>
      <w:bookmarkEnd w:id="1073"/>
      <w:r>
        <w:rPr>
          <w:color w:val="0562C1"/>
          <w:position w:val="24"/>
          <w:sz w:val="34"/>
          <w:u w:val="single" w:color="0562C1"/>
        </w:rPr>
        <w:t>[400]</w:t>
      </w:r>
      <w:r>
        <w:rPr>
          <w:sz w:val="34"/>
        </w:rPr>
        <w:t xml:space="preserve">. </w:t>
      </w:r>
      <w:r>
        <w:t>Also, if psychological hedonism is correct, a person isn’t even</w:t>
      </w:r>
      <w:r>
        <w:rPr>
          <w:spacing w:val="40"/>
        </w:rPr>
        <w:t xml:space="preserve"> </w:t>
      </w:r>
      <w:r>
        <w:t>capable of telling people that ethical hedonism is correct unless he</w:t>
      </w:r>
      <w:r>
        <w:rPr>
          <w:spacing w:val="40"/>
        </w:rPr>
        <w:t xml:space="preserve"> </w:t>
      </w:r>
      <w:r>
        <w:t>believes that by doing so he is maximizing the amount of pleasure he will experience. Given how unlikely it is that a given person has this belief, the words of a psychological hedonist who advocates ethical hedonism deserve no credence.</w:t>
      </w:r>
    </w:p>
    <w:p w14:paraId="7E003203" w14:textId="77777777" w:rsidR="009A58DB" w:rsidRDefault="00000000">
      <w:pPr>
        <w:pStyle w:val="BodyText"/>
        <w:spacing w:before="88" w:line="252" w:lineRule="auto"/>
        <w:ind w:left="720" w:right="369" w:hanging="360"/>
        <w:rPr>
          <w:i/>
        </w:rPr>
      </w:pPr>
      <w:bookmarkStart w:id="1074" w:name="_bookmark1074"/>
      <w:bookmarkEnd w:id="1074"/>
      <w:r>
        <w:rPr>
          <w:color w:val="0562C1"/>
          <w:position w:val="24"/>
          <w:sz w:val="34"/>
          <w:u w:val="single" w:color="0562C1"/>
        </w:rPr>
        <w:t>[401]</w:t>
      </w:r>
      <w:r>
        <w:rPr>
          <w:sz w:val="34"/>
        </w:rPr>
        <w:t>.</w:t>
      </w:r>
      <w:r>
        <w:rPr>
          <w:spacing w:val="-1"/>
          <w:sz w:val="34"/>
        </w:rPr>
        <w:t xml:space="preserve"> </w:t>
      </w:r>
      <w:r>
        <w:t xml:space="preserve">This is known as “the doctrine of double effect.” St. Thomas Aquinas (1225–1274) put forth this doctrine in his </w:t>
      </w:r>
      <w:r>
        <w:rPr>
          <w:i/>
        </w:rPr>
        <w:t>Summa Theologica.</w:t>
      </w:r>
    </w:p>
    <w:p w14:paraId="7E003204" w14:textId="77777777" w:rsidR="009A58DB" w:rsidRDefault="00000000">
      <w:pPr>
        <w:pStyle w:val="BodyText"/>
        <w:spacing w:before="98" w:line="252" w:lineRule="auto"/>
        <w:ind w:left="720" w:right="361" w:hanging="360"/>
      </w:pPr>
      <w:bookmarkStart w:id="1075" w:name="_bookmark1075"/>
      <w:bookmarkEnd w:id="1075"/>
      <w:r>
        <w:rPr>
          <w:color w:val="0562C1"/>
          <w:position w:val="24"/>
          <w:sz w:val="34"/>
          <w:u w:val="single" w:color="0562C1"/>
        </w:rPr>
        <w:t>[402]</w:t>
      </w:r>
      <w:r>
        <w:rPr>
          <w:sz w:val="34"/>
        </w:rPr>
        <w:t xml:space="preserve">. </w:t>
      </w:r>
      <w:r>
        <w:t>Many would say that it is with the intention of experiencing pleasure that</w:t>
      </w:r>
      <w:r>
        <w:rPr>
          <w:spacing w:val="44"/>
        </w:rPr>
        <w:t xml:space="preserve"> </w:t>
      </w:r>
      <w:r>
        <w:t>people</w:t>
      </w:r>
      <w:r>
        <w:rPr>
          <w:spacing w:val="46"/>
        </w:rPr>
        <w:t xml:space="preserve"> </w:t>
      </w:r>
      <w:r>
        <w:t>have</w:t>
      </w:r>
      <w:r>
        <w:rPr>
          <w:spacing w:val="46"/>
        </w:rPr>
        <w:t xml:space="preserve"> </w:t>
      </w:r>
      <w:r>
        <w:t>sexual</w:t>
      </w:r>
      <w:r>
        <w:rPr>
          <w:spacing w:val="46"/>
        </w:rPr>
        <w:t xml:space="preserve"> </w:t>
      </w:r>
      <w:r>
        <w:t>intercourse</w:t>
      </w:r>
      <w:r>
        <w:rPr>
          <w:spacing w:val="47"/>
        </w:rPr>
        <w:t xml:space="preserve"> </w:t>
      </w:r>
      <w:r>
        <w:t>and</w:t>
      </w:r>
      <w:r>
        <w:rPr>
          <w:spacing w:val="46"/>
        </w:rPr>
        <w:t xml:space="preserve"> </w:t>
      </w:r>
      <w:r>
        <w:t>perform</w:t>
      </w:r>
      <w:r>
        <w:rPr>
          <w:spacing w:val="46"/>
        </w:rPr>
        <w:t xml:space="preserve"> </w:t>
      </w:r>
      <w:r>
        <w:t>other</w:t>
      </w:r>
      <w:r>
        <w:rPr>
          <w:spacing w:val="46"/>
        </w:rPr>
        <w:t xml:space="preserve"> </w:t>
      </w:r>
      <w:r>
        <w:t>such</w:t>
      </w:r>
      <w:r>
        <w:rPr>
          <w:spacing w:val="46"/>
        </w:rPr>
        <w:t xml:space="preserve"> </w:t>
      </w:r>
      <w:r>
        <w:t>carnal</w:t>
      </w:r>
      <w:r>
        <w:rPr>
          <w:spacing w:val="47"/>
        </w:rPr>
        <w:t xml:space="preserve"> </w:t>
      </w:r>
      <w:r>
        <w:rPr>
          <w:spacing w:val="-2"/>
        </w:rPr>
        <w:t>acts.</w:t>
      </w:r>
    </w:p>
    <w:p w14:paraId="7E003205" w14:textId="77777777" w:rsidR="009A58DB" w:rsidRDefault="009A58DB">
      <w:pPr>
        <w:pStyle w:val="BodyText"/>
        <w:spacing w:line="252" w:lineRule="auto"/>
        <w:sectPr w:rsidR="009A58DB">
          <w:pgSz w:w="12240" w:h="15840"/>
          <w:pgMar w:top="1360" w:right="1080" w:bottom="280" w:left="1080" w:header="720" w:footer="720" w:gutter="0"/>
          <w:cols w:space="720"/>
        </w:sectPr>
      </w:pPr>
    </w:p>
    <w:p w14:paraId="7E003206" w14:textId="77777777" w:rsidR="009A58DB" w:rsidRDefault="00000000">
      <w:pPr>
        <w:pStyle w:val="BodyText"/>
        <w:spacing w:before="71" w:line="249" w:lineRule="auto"/>
        <w:ind w:left="720" w:right="359"/>
      </w:pPr>
      <w:r>
        <w:t>Though this is certainly a large part of the truth, sexual activity isn’t in the same category as narcotics use. People’s sexual practices are replete with beliefs as to what is of value. Even sex acts that we see as particularly</w:t>
      </w:r>
      <w:r>
        <w:rPr>
          <w:spacing w:val="40"/>
        </w:rPr>
        <w:t xml:space="preserve"> </w:t>
      </w:r>
      <w:r>
        <w:t>anti-social and perverse are, I suspect, expressions of values of a kind. It may even be that what offends people about certain sexual practices that are customarily described as “perverse” or “sick” is precisely that they embody values of a kind that people find inimical to their interests. (A lot of supposed sexual pseudo-immorality is actually hyper-morality or anti-morality—anti-morality is a form of hyper-morality. The only people who become anti-moral, as opposed to simply being amoral, are those who are overburdened by conscience.) I also suspect that what draws people to such</w:t>
      </w:r>
      <w:r>
        <w:rPr>
          <w:spacing w:val="-1"/>
        </w:rPr>
        <w:t xml:space="preserve"> </w:t>
      </w:r>
      <w:r>
        <w:t>acts</w:t>
      </w:r>
      <w:r>
        <w:rPr>
          <w:spacing w:val="-1"/>
        </w:rPr>
        <w:t xml:space="preserve"> </w:t>
      </w:r>
      <w:r>
        <w:t>is</w:t>
      </w:r>
      <w:r>
        <w:rPr>
          <w:spacing w:val="-1"/>
        </w:rPr>
        <w:t xml:space="preserve"> </w:t>
      </w:r>
      <w:r>
        <w:t>precisely</w:t>
      </w:r>
      <w:r>
        <w:rPr>
          <w:spacing w:val="-1"/>
        </w:rPr>
        <w:t xml:space="preserve"> </w:t>
      </w:r>
      <w:r>
        <w:t>that</w:t>
      </w:r>
      <w:r>
        <w:rPr>
          <w:spacing w:val="-1"/>
        </w:rPr>
        <w:t xml:space="preserve"> </w:t>
      </w:r>
      <w:r>
        <w:t>they</w:t>
      </w:r>
      <w:r>
        <w:rPr>
          <w:spacing w:val="-1"/>
        </w:rPr>
        <w:t xml:space="preserve"> </w:t>
      </w:r>
      <w:r>
        <w:t>see</w:t>
      </w:r>
      <w:r>
        <w:rPr>
          <w:spacing w:val="-1"/>
        </w:rPr>
        <w:t xml:space="preserve"> </w:t>
      </w:r>
      <w:r>
        <w:t>them</w:t>
      </w:r>
      <w:r>
        <w:rPr>
          <w:spacing w:val="-1"/>
        </w:rPr>
        <w:t xml:space="preserve"> </w:t>
      </w:r>
      <w:r>
        <w:t>as</w:t>
      </w:r>
      <w:r>
        <w:rPr>
          <w:spacing w:val="-1"/>
        </w:rPr>
        <w:t xml:space="preserve"> </w:t>
      </w:r>
      <w:r>
        <w:t>expressive</w:t>
      </w:r>
      <w:r>
        <w:rPr>
          <w:spacing w:val="-1"/>
        </w:rPr>
        <w:t xml:space="preserve"> </w:t>
      </w:r>
      <w:r>
        <w:t>of</w:t>
      </w:r>
      <w:r>
        <w:rPr>
          <w:spacing w:val="-1"/>
        </w:rPr>
        <w:t xml:space="preserve"> </w:t>
      </w:r>
      <w:r>
        <w:t>certain</w:t>
      </w:r>
      <w:r>
        <w:rPr>
          <w:spacing w:val="-1"/>
        </w:rPr>
        <w:t xml:space="preserve"> </w:t>
      </w:r>
      <w:r>
        <w:t>values.</w:t>
      </w:r>
      <w:r>
        <w:rPr>
          <w:spacing w:val="-1"/>
        </w:rPr>
        <w:t xml:space="preserve"> </w:t>
      </w:r>
      <w:r>
        <w:t>So while it’s an obvious that much of what motivates people to engage in</w:t>
      </w:r>
      <w:r>
        <w:rPr>
          <w:spacing w:val="40"/>
        </w:rPr>
        <w:t xml:space="preserve"> </w:t>
      </w:r>
      <w:r>
        <w:t>such activity is the desire for pleasure, that’s not all that such activity is about.</w:t>
      </w:r>
      <w:r>
        <w:rPr>
          <w:spacing w:val="-3"/>
        </w:rPr>
        <w:t xml:space="preserve"> </w:t>
      </w:r>
      <w:r>
        <w:t>And</w:t>
      </w:r>
      <w:r>
        <w:rPr>
          <w:spacing w:val="-3"/>
        </w:rPr>
        <w:t xml:space="preserve"> </w:t>
      </w:r>
      <w:r>
        <w:t>because</w:t>
      </w:r>
      <w:r>
        <w:rPr>
          <w:spacing w:val="-3"/>
        </w:rPr>
        <w:t xml:space="preserve"> </w:t>
      </w:r>
      <w:r>
        <w:t>sexual</w:t>
      </w:r>
      <w:r>
        <w:rPr>
          <w:spacing w:val="-3"/>
        </w:rPr>
        <w:t xml:space="preserve"> </w:t>
      </w:r>
      <w:r>
        <w:t>activity,</w:t>
      </w:r>
      <w:r>
        <w:rPr>
          <w:spacing w:val="-3"/>
        </w:rPr>
        <w:t xml:space="preserve"> </w:t>
      </w:r>
      <w:r>
        <w:t>even</w:t>
      </w:r>
      <w:r>
        <w:rPr>
          <w:spacing w:val="-3"/>
        </w:rPr>
        <w:t xml:space="preserve"> </w:t>
      </w:r>
      <w:r>
        <w:t>(especially)</w:t>
      </w:r>
      <w:r>
        <w:rPr>
          <w:spacing w:val="-3"/>
        </w:rPr>
        <w:t xml:space="preserve"> </w:t>
      </w:r>
      <w:r>
        <w:t>in</w:t>
      </w:r>
      <w:r>
        <w:rPr>
          <w:spacing w:val="-3"/>
        </w:rPr>
        <w:t xml:space="preserve"> </w:t>
      </w:r>
      <w:r>
        <w:t>its</w:t>
      </w:r>
      <w:r>
        <w:rPr>
          <w:spacing w:val="-3"/>
        </w:rPr>
        <w:t xml:space="preserve"> </w:t>
      </w:r>
      <w:r>
        <w:t>supposedly</w:t>
      </w:r>
      <w:r>
        <w:rPr>
          <w:spacing w:val="-3"/>
        </w:rPr>
        <w:t xml:space="preserve"> </w:t>
      </w:r>
      <w:r>
        <w:t>less laudable forms, is psychologically so multi-dimensional, it shouldn’t be co-categorized, at least not in this context, with narcotics use.</w:t>
      </w:r>
    </w:p>
    <w:p w14:paraId="7E003207" w14:textId="77777777" w:rsidR="009A58DB" w:rsidRDefault="00000000">
      <w:pPr>
        <w:pStyle w:val="BodyText"/>
        <w:spacing w:before="112" w:line="252" w:lineRule="auto"/>
        <w:ind w:left="720" w:right="359" w:hanging="360"/>
      </w:pPr>
      <w:bookmarkStart w:id="1076" w:name="_bookmark1076"/>
      <w:bookmarkEnd w:id="1076"/>
      <w:r>
        <w:rPr>
          <w:color w:val="0562C1"/>
          <w:position w:val="24"/>
          <w:sz w:val="34"/>
          <w:u w:val="single" w:color="0562C1"/>
        </w:rPr>
        <w:t>[403]</w:t>
      </w:r>
      <w:r>
        <w:rPr>
          <w:sz w:val="34"/>
        </w:rPr>
        <w:t xml:space="preserve">. </w:t>
      </w:r>
      <w:r>
        <w:t xml:space="preserve">Except insofar as having a good time </w:t>
      </w:r>
      <w:r>
        <w:rPr>
          <w:i/>
        </w:rPr>
        <w:t xml:space="preserve">qua </w:t>
      </w:r>
      <w:r>
        <w:t>having a good time has value. It would be unhealthy for a person to permit himself no pleasures other than ones that he acquired in the course of activities that he valued and that he didn’t perform with the intention of feeling good.</w:t>
      </w:r>
    </w:p>
    <w:p w14:paraId="7E003208" w14:textId="77777777" w:rsidR="009A58DB" w:rsidRDefault="00000000">
      <w:pPr>
        <w:pStyle w:val="BodyText"/>
        <w:spacing w:before="78" w:line="252" w:lineRule="auto"/>
        <w:ind w:left="720" w:right="358" w:hanging="360"/>
      </w:pPr>
      <w:bookmarkStart w:id="1077" w:name="_bookmark1077"/>
      <w:bookmarkEnd w:id="1077"/>
      <w:r>
        <w:rPr>
          <w:color w:val="0562C1"/>
          <w:position w:val="24"/>
          <w:sz w:val="34"/>
          <w:u w:val="single" w:color="0562C1"/>
        </w:rPr>
        <w:t>[404]</w:t>
      </w:r>
      <w:r>
        <w:rPr>
          <w:sz w:val="34"/>
        </w:rPr>
        <w:t xml:space="preserve">. </w:t>
      </w:r>
      <w:r>
        <w:t>Notice that the words we use to refer to positive psychological conditions incorporate rather subtle judgments as to the moral characteristics</w:t>
      </w:r>
      <w:r>
        <w:rPr>
          <w:spacing w:val="-1"/>
        </w:rPr>
        <w:t xml:space="preserve"> </w:t>
      </w:r>
      <w:r>
        <w:t>of</w:t>
      </w:r>
      <w:r>
        <w:rPr>
          <w:spacing w:val="-1"/>
        </w:rPr>
        <w:t xml:space="preserve"> </w:t>
      </w:r>
      <w:r>
        <w:t>those conditions. For</w:t>
      </w:r>
      <w:r>
        <w:rPr>
          <w:spacing w:val="-1"/>
        </w:rPr>
        <w:t xml:space="preserve"> </w:t>
      </w:r>
      <w:r>
        <w:t>example,</w:t>
      </w:r>
      <w:r>
        <w:rPr>
          <w:spacing w:val="-1"/>
        </w:rPr>
        <w:t xml:space="preserve"> </w:t>
      </w:r>
      <w:r>
        <w:t>what</w:t>
      </w:r>
      <w:r>
        <w:rPr>
          <w:spacing w:val="-1"/>
        </w:rPr>
        <w:t xml:space="preserve"> </w:t>
      </w:r>
      <w:r>
        <w:t>Smith feels in doing cocaine is “pleasure.” It isn’t “joy,” let alone “happiness.” Joy is what Beethoven felt. If the reason that one feels good in that what one is doing has value, what one experiences is “joy.” If one feels good, but not because what one is doing has value, one is experiencing “pleasure.”</w:t>
      </w:r>
    </w:p>
    <w:p w14:paraId="7E003209" w14:textId="77777777" w:rsidR="009A58DB" w:rsidRDefault="00000000">
      <w:pPr>
        <w:pStyle w:val="BodyText"/>
        <w:spacing w:before="94" w:line="249" w:lineRule="auto"/>
        <w:ind w:left="720" w:right="361" w:firstLine="360"/>
      </w:pPr>
      <w:r>
        <w:t xml:space="preserve">Joy and pleasure are not mutually exclusive. There’s no denying that pleasure is an important part of joy. Valuable activities are often pleasurable ones. (And it is usually </w:t>
      </w:r>
      <w:r>
        <w:rPr>
          <w:i/>
        </w:rPr>
        <w:t xml:space="preserve">in virtue of its being valuable </w:t>
      </w:r>
      <w:r>
        <w:t>that one’s work brings one pleasure. It isn’t usually because, for some random reason,</w:t>
      </w:r>
      <w:r>
        <w:rPr>
          <w:spacing w:val="3"/>
        </w:rPr>
        <w:t xml:space="preserve"> </w:t>
      </w:r>
      <w:r>
        <w:t>what</w:t>
      </w:r>
      <w:r>
        <w:rPr>
          <w:spacing w:val="5"/>
        </w:rPr>
        <w:t xml:space="preserve"> </w:t>
      </w:r>
      <w:r>
        <w:t>one</w:t>
      </w:r>
      <w:r>
        <w:rPr>
          <w:spacing w:val="5"/>
        </w:rPr>
        <w:t xml:space="preserve"> </w:t>
      </w:r>
      <w:r>
        <w:t>is</w:t>
      </w:r>
      <w:r>
        <w:rPr>
          <w:spacing w:val="5"/>
        </w:rPr>
        <w:t xml:space="preserve"> </w:t>
      </w:r>
      <w:r>
        <w:t>doing</w:t>
      </w:r>
      <w:r>
        <w:rPr>
          <w:spacing w:val="5"/>
        </w:rPr>
        <w:t xml:space="preserve"> </w:t>
      </w:r>
      <w:r>
        <w:t>happens</w:t>
      </w:r>
      <w:r>
        <w:rPr>
          <w:spacing w:val="6"/>
        </w:rPr>
        <w:t xml:space="preserve"> </w:t>
      </w:r>
      <w:r>
        <w:t>to</w:t>
      </w:r>
      <w:r>
        <w:rPr>
          <w:spacing w:val="5"/>
        </w:rPr>
        <w:t xml:space="preserve"> </w:t>
      </w:r>
      <w:r>
        <w:t>set</w:t>
      </w:r>
      <w:r>
        <w:rPr>
          <w:spacing w:val="5"/>
        </w:rPr>
        <w:t xml:space="preserve"> </w:t>
      </w:r>
      <w:r>
        <w:t>off</w:t>
      </w:r>
      <w:r>
        <w:rPr>
          <w:spacing w:val="5"/>
        </w:rPr>
        <w:t xml:space="preserve"> </w:t>
      </w:r>
      <w:r>
        <w:t>some</w:t>
      </w:r>
      <w:r>
        <w:rPr>
          <w:spacing w:val="5"/>
        </w:rPr>
        <w:t xml:space="preserve"> </w:t>
      </w:r>
      <w:r>
        <w:t>random</w:t>
      </w:r>
      <w:r>
        <w:rPr>
          <w:spacing w:val="5"/>
        </w:rPr>
        <w:t xml:space="preserve"> </w:t>
      </w:r>
      <w:r>
        <w:t>causal</w:t>
      </w:r>
      <w:r>
        <w:rPr>
          <w:spacing w:val="6"/>
        </w:rPr>
        <w:t xml:space="preserve"> </w:t>
      </w:r>
      <w:r>
        <w:rPr>
          <w:spacing w:val="-2"/>
        </w:rPr>
        <w:t>structure</w:t>
      </w:r>
    </w:p>
    <w:p w14:paraId="7E00320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20B" w14:textId="77777777" w:rsidR="009A58DB" w:rsidRDefault="00000000">
      <w:pPr>
        <w:pStyle w:val="BodyText"/>
        <w:spacing w:before="65"/>
        <w:ind w:left="720"/>
      </w:pPr>
      <w:r>
        <w:t>that</w:t>
      </w:r>
      <w:r>
        <w:rPr>
          <w:spacing w:val="-5"/>
        </w:rPr>
        <w:t xml:space="preserve"> </w:t>
      </w:r>
      <w:r>
        <w:t>eventuated</w:t>
      </w:r>
      <w:r>
        <w:rPr>
          <w:spacing w:val="-4"/>
        </w:rPr>
        <w:t xml:space="preserve"> </w:t>
      </w:r>
      <w:r>
        <w:t>in</w:t>
      </w:r>
      <w:r>
        <w:rPr>
          <w:spacing w:val="-4"/>
        </w:rPr>
        <w:t xml:space="preserve"> </w:t>
      </w:r>
      <w:r>
        <w:t>their</w:t>
      </w:r>
      <w:r>
        <w:rPr>
          <w:spacing w:val="-5"/>
        </w:rPr>
        <w:t xml:space="preserve"> </w:t>
      </w:r>
      <w:r>
        <w:t>experiencing</w:t>
      </w:r>
      <w:r>
        <w:rPr>
          <w:spacing w:val="-3"/>
        </w:rPr>
        <w:t xml:space="preserve"> </w:t>
      </w:r>
      <w:r>
        <w:rPr>
          <w:spacing w:val="-2"/>
        </w:rPr>
        <w:t>pleasure.)</w:t>
      </w:r>
    </w:p>
    <w:p w14:paraId="7E00320C" w14:textId="77777777" w:rsidR="009A58DB" w:rsidRDefault="00000000">
      <w:pPr>
        <w:pStyle w:val="BodyText"/>
        <w:spacing w:before="120" w:line="249" w:lineRule="auto"/>
        <w:ind w:left="720" w:right="364" w:firstLine="360"/>
      </w:pPr>
      <w:r>
        <w:t xml:space="preserve">But there can be pleasure without joy. There can, in other words, be </w:t>
      </w:r>
      <w:r>
        <w:rPr>
          <w:i/>
        </w:rPr>
        <w:t xml:space="preserve">mere </w:t>
      </w:r>
      <w:r>
        <w:t xml:space="preserve">pleasure. And there are very few people, if any, who don’t at some level regard a life dedicated to </w:t>
      </w:r>
      <w:r>
        <w:rPr>
          <w:i/>
        </w:rPr>
        <w:t xml:space="preserve">mere </w:t>
      </w:r>
      <w:r>
        <w:t>pleasure as a good one. There are</w:t>
      </w:r>
      <w:r>
        <w:rPr>
          <w:spacing w:val="40"/>
        </w:rPr>
        <w:t xml:space="preserve"> </w:t>
      </w:r>
      <w:r>
        <w:t>very few true hedonists.</w:t>
      </w:r>
    </w:p>
    <w:p w14:paraId="7E00320D" w14:textId="77777777" w:rsidR="009A58DB" w:rsidRDefault="00000000">
      <w:pPr>
        <w:pStyle w:val="BodyText"/>
        <w:spacing w:before="95" w:line="249" w:lineRule="auto"/>
        <w:ind w:left="720" w:right="359" w:firstLine="360"/>
      </w:pPr>
      <w:r>
        <w:t xml:space="preserve">I suspect that self-described hedonists are really people who sense that there’s something wrong with conventional values—something in them that is inimical to human welfare—but who don’t realize that their discomfort with conventional values is rooted, not in their having </w:t>
      </w:r>
      <w:r>
        <w:rPr>
          <w:i/>
        </w:rPr>
        <w:t xml:space="preserve">no </w:t>
      </w:r>
      <w:r>
        <w:t xml:space="preserve">values or only trivial values (e.g., “have a good time”), but in their having very robust </w:t>
      </w:r>
      <w:r>
        <w:rPr>
          <w:i/>
        </w:rPr>
        <w:t xml:space="preserve">contrary </w:t>
      </w:r>
      <w:r>
        <w:t xml:space="preserve">values. Not knowing how to describe their views, they say that they’re “hedonists” (or “nihilists” or some such), when, in fact, they’re nothing of the sort. To the extent that one is </w:t>
      </w:r>
      <w:r>
        <w:rPr>
          <w:i/>
        </w:rPr>
        <w:t xml:space="preserve">actually </w:t>
      </w:r>
      <w:r>
        <w:t>a hedonist, one doesn’t feel the need to describe oneself as a hedonist. People don’t label their practices unless they’re trying to justify them, and a true hedonist ipso facto doesn’t feel the need to justify anything.</w:t>
      </w:r>
    </w:p>
    <w:p w14:paraId="7E00320E" w14:textId="77777777" w:rsidR="009A58DB" w:rsidRDefault="00000000">
      <w:pPr>
        <w:spacing w:before="111"/>
        <w:ind w:left="360"/>
        <w:rPr>
          <w:i/>
          <w:sz w:val="30"/>
        </w:rPr>
      </w:pPr>
      <w:bookmarkStart w:id="1078" w:name="_bookmark1078"/>
      <w:bookmarkEnd w:id="1078"/>
      <w:r>
        <w:rPr>
          <w:color w:val="0562C1"/>
          <w:position w:val="24"/>
          <w:sz w:val="34"/>
          <w:u w:val="single" w:color="0562C1"/>
        </w:rPr>
        <w:t>[405]</w:t>
      </w:r>
      <w:r>
        <w:rPr>
          <w:sz w:val="34"/>
        </w:rPr>
        <w:t>.</w:t>
      </w:r>
      <w:r>
        <w:rPr>
          <w:spacing w:val="-1"/>
          <w:sz w:val="34"/>
        </w:rPr>
        <w:t xml:space="preserve"> </w:t>
      </w:r>
      <w:r>
        <w:rPr>
          <w:sz w:val="30"/>
        </w:rPr>
        <w:t>See</w:t>
      </w:r>
      <w:r>
        <w:rPr>
          <w:spacing w:val="-2"/>
          <w:sz w:val="30"/>
        </w:rPr>
        <w:t xml:space="preserve"> </w:t>
      </w:r>
      <w:r>
        <w:rPr>
          <w:sz w:val="30"/>
        </w:rPr>
        <w:t>John Stuart</w:t>
      </w:r>
      <w:r>
        <w:rPr>
          <w:spacing w:val="-2"/>
          <w:sz w:val="30"/>
        </w:rPr>
        <w:t xml:space="preserve"> </w:t>
      </w:r>
      <w:r>
        <w:rPr>
          <w:sz w:val="30"/>
        </w:rPr>
        <w:t>Mill’s</w:t>
      </w:r>
      <w:r>
        <w:rPr>
          <w:spacing w:val="-2"/>
          <w:sz w:val="30"/>
        </w:rPr>
        <w:t xml:space="preserve"> </w:t>
      </w:r>
      <w:r>
        <w:rPr>
          <w:sz w:val="30"/>
        </w:rPr>
        <w:t>book</w:t>
      </w:r>
      <w:r>
        <w:rPr>
          <w:spacing w:val="-1"/>
          <w:sz w:val="30"/>
        </w:rPr>
        <w:t xml:space="preserve"> </w:t>
      </w:r>
      <w:r>
        <w:rPr>
          <w:i/>
          <w:spacing w:val="-2"/>
          <w:sz w:val="30"/>
        </w:rPr>
        <w:t>Utilitarianism.</w:t>
      </w:r>
    </w:p>
    <w:p w14:paraId="7E00320F" w14:textId="77777777" w:rsidR="009A58DB" w:rsidRDefault="00000000">
      <w:pPr>
        <w:pStyle w:val="BodyText"/>
        <w:spacing w:before="119" w:line="249" w:lineRule="auto"/>
        <w:ind w:left="720" w:right="359" w:hanging="360"/>
      </w:pPr>
      <w:bookmarkStart w:id="1079" w:name="_bookmark1079"/>
      <w:bookmarkEnd w:id="1079"/>
      <w:r>
        <w:rPr>
          <w:color w:val="0562C1"/>
          <w:position w:val="24"/>
          <w:sz w:val="34"/>
          <w:u w:val="single" w:color="0562C1"/>
        </w:rPr>
        <w:t>[406]</w:t>
      </w:r>
      <w:r>
        <w:rPr>
          <w:sz w:val="34"/>
        </w:rPr>
        <w:t>.</w:t>
      </w:r>
      <w:r>
        <w:rPr>
          <w:spacing w:val="-1"/>
          <w:sz w:val="34"/>
        </w:rPr>
        <w:t xml:space="preserve"> </w:t>
      </w:r>
      <w:r>
        <w:t>Why the “so it could be argued”? Because I don’t think that the world would plunge into a permanent war of all nations against all nations if there</w:t>
      </w:r>
      <w:r>
        <w:rPr>
          <w:spacing w:val="-2"/>
        </w:rPr>
        <w:t xml:space="preserve"> </w:t>
      </w:r>
      <w:r>
        <w:t>were</w:t>
      </w:r>
      <w:r>
        <w:rPr>
          <w:spacing w:val="-2"/>
        </w:rPr>
        <w:t xml:space="preserve"> </w:t>
      </w:r>
      <w:r>
        <w:t>no</w:t>
      </w:r>
      <w:r>
        <w:rPr>
          <w:spacing w:val="-2"/>
        </w:rPr>
        <w:t xml:space="preserve"> </w:t>
      </w:r>
      <w:r>
        <w:t>international</w:t>
      </w:r>
      <w:r>
        <w:rPr>
          <w:spacing w:val="-2"/>
        </w:rPr>
        <w:t xml:space="preserve"> </w:t>
      </w:r>
      <w:r>
        <w:t>laws</w:t>
      </w:r>
      <w:r>
        <w:rPr>
          <w:spacing w:val="-2"/>
        </w:rPr>
        <w:t xml:space="preserve"> </w:t>
      </w:r>
      <w:r>
        <w:t>(or</w:t>
      </w:r>
      <w:r>
        <w:rPr>
          <w:spacing w:val="-2"/>
        </w:rPr>
        <w:t xml:space="preserve"> </w:t>
      </w:r>
      <w:r>
        <w:t>law-like</w:t>
      </w:r>
      <w:r>
        <w:rPr>
          <w:spacing w:val="-2"/>
        </w:rPr>
        <w:t xml:space="preserve"> </w:t>
      </w:r>
      <w:r>
        <w:t>protocols)</w:t>
      </w:r>
      <w:r>
        <w:rPr>
          <w:spacing w:val="-2"/>
        </w:rPr>
        <w:t xml:space="preserve"> </w:t>
      </w:r>
      <w:r>
        <w:t>prohibiting</w:t>
      </w:r>
      <w:r>
        <w:rPr>
          <w:spacing w:val="-2"/>
        </w:rPr>
        <w:t xml:space="preserve"> </w:t>
      </w:r>
      <w:r>
        <w:t>nations from intervening in the affairs of other nations. Nations are allowed to do whatever they want. The laws that govern nations, supposing that there even are such laws, aren’t nearly as robust as the laws that govern individuals within nations. What prevents nations from invading other nations is that, for reasons having nothing to do with the existence of international law, it would not be in their strategic selfinterest to do so.</w:t>
      </w:r>
    </w:p>
    <w:p w14:paraId="7E003210" w14:textId="77777777" w:rsidR="009A58DB" w:rsidRDefault="00000000">
      <w:pPr>
        <w:spacing w:before="98"/>
        <w:ind w:left="360"/>
        <w:rPr>
          <w:sz w:val="30"/>
        </w:rPr>
      </w:pPr>
      <w:bookmarkStart w:id="1080" w:name="_bookmark1080"/>
      <w:bookmarkEnd w:id="1080"/>
      <w:r>
        <w:rPr>
          <w:color w:val="0562C1"/>
          <w:position w:val="24"/>
          <w:sz w:val="34"/>
          <w:u w:val="single" w:color="0562C1"/>
        </w:rPr>
        <w:t>[407]</w:t>
      </w:r>
      <w:r>
        <w:rPr>
          <w:sz w:val="34"/>
        </w:rPr>
        <w:t>.</w:t>
      </w:r>
      <w:r>
        <w:rPr>
          <w:spacing w:val="1"/>
          <w:sz w:val="34"/>
        </w:rPr>
        <w:t xml:space="preserve"> </w:t>
      </w:r>
      <w:r>
        <w:rPr>
          <w:sz w:val="30"/>
        </w:rPr>
        <w:t>See</w:t>
      </w:r>
      <w:r>
        <w:rPr>
          <w:spacing w:val="-1"/>
          <w:sz w:val="30"/>
        </w:rPr>
        <w:t xml:space="preserve"> </w:t>
      </w:r>
      <w:r>
        <w:rPr>
          <w:sz w:val="30"/>
        </w:rPr>
        <w:t>the</w:t>
      </w:r>
      <w:r>
        <w:rPr>
          <w:spacing w:val="-1"/>
          <w:sz w:val="30"/>
        </w:rPr>
        <w:t xml:space="preserve"> </w:t>
      </w:r>
      <w:r>
        <w:rPr>
          <w:sz w:val="30"/>
        </w:rPr>
        <w:t>previous</w:t>
      </w:r>
      <w:r>
        <w:rPr>
          <w:spacing w:val="-1"/>
          <w:sz w:val="30"/>
        </w:rPr>
        <w:t xml:space="preserve"> </w:t>
      </w:r>
      <w:r>
        <w:rPr>
          <w:spacing w:val="-2"/>
          <w:sz w:val="30"/>
        </w:rPr>
        <w:t>chapter.</w:t>
      </w:r>
    </w:p>
    <w:p w14:paraId="7E003211" w14:textId="77777777" w:rsidR="009A58DB" w:rsidRDefault="00000000">
      <w:pPr>
        <w:spacing w:before="119" w:line="252" w:lineRule="auto"/>
        <w:ind w:left="720" w:right="372" w:hanging="360"/>
        <w:jc w:val="both"/>
        <w:rPr>
          <w:i/>
          <w:sz w:val="30"/>
        </w:rPr>
      </w:pPr>
      <w:bookmarkStart w:id="1081" w:name="_bookmark1081"/>
      <w:bookmarkEnd w:id="1081"/>
      <w:r>
        <w:rPr>
          <w:color w:val="0562C1"/>
          <w:position w:val="24"/>
          <w:sz w:val="34"/>
          <w:u w:val="single" w:color="0562C1"/>
        </w:rPr>
        <w:t>[408]</w:t>
      </w:r>
      <w:r>
        <w:rPr>
          <w:sz w:val="34"/>
        </w:rPr>
        <w:t xml:space="preserve">. </w:t>
      </w:r>
      <w:r>
        <w:rPr>
          <w:sz w:val="30"/>
        </w:rPr>
        <w:t xml:space="preserve">See David Ross’s classic defense of deontology </w:t>
      </w:r>
      <w:r>
        <w:rPr>
          <w:i/>
          <w:sz w:val="30"/>
        </w:rPr>
        <w:t xml:space="preserve">The Right and the </w:t>
      </w:r>
      <w:r>
        <w:rPr>
          <w:i/>
          <w:spacing w:val="-2"/>
          <w:sz w:val="30"/>
        </w:rPr>
        <w:t>Good.</w:t>
      </w:r>
    </w:p>
    <w:p w14:paraId="7E003212" w14:textId="77777777" w:rsidR="009A58DB" w:rsidRDefault="00000000">
      <w:pPr>
        <w:pStyle w:val="BodyText"/>
        <w:spacing w:before="97"/>
        <w:jc w:val="left"/>
      </w:pPr>
      <w:bookmarkStart w:id="1082" w:name="_bookmark1082"/>
      <w:bookmarkEnd w:id="1082"/>
      <w:r>
        <w:rPr>
          <w:color w:val="0562C1"/>
          <w:position w:val="24"/>
          <w:sz w:val="34"/>
          <w:u w:val="single" w:color="0562C1"/>
        </w:rPr>
        <w:t>[409]</w:t>
      </w:r>
      <w:r>
        <w:rPr>
          <w:sz w:val="34"/>
        </w:rPr>
        <w:t>.</w:t>
      </w:r>
      <w:r>
        <w:rPr>
          <w:spacing w:val="-2"/>
          <w:sz w:val="34"/>
        </w:rPr>
        <w:t xml:space="preserve"> </w:t>
      </w:r>
      <w:r>
        <w:t>My</w:t>
      </w:r>
      <w:r>
        <w:rPr>
          <w:spacing w:val="-1"/>
        </w:rPr>
        <w:t xml:space="preserve"> </w:t>
      </w:r>
      <w:r>
        <w:t>understanding</w:t>
      </w:r>
      <w:r>
        <w:rPr>
          <w:spacing w:val="-1"/>
        </w:rPr>
        <w:t xml:space="preserve"> </w:t>
      </w:r>
      <w:r>
        <w:t>of</w:t>
      </w:r>
      <w:r>
        <w:rPr>
          <w:spacing w:val="-1"/>
        </w:rPr>
        <w:t xml:space="preserve"> </w:t>
      </w:r>
      <w:r>
        <w:t>the</w:t>
      </w:r>
      <w:r>
        <w:rPr>
          <w:spacing w:val="-1"/>
        </w:rPr>
        <w:t xml:space="preserve"> </w:t>
      </w:r>
      <w:r>
        <w:t>topics</w:t>
      </w:r>
      <w:r>
        <w:rPr>
          <w:spacing w:val="-2"/>
        </w:rPr>
        <w:t xml:space="preserve"> </w:t>
      </w:r>
      <w:r>
        <w:t>discussed</w:t>
      </w:r>
      <w:r>
        <w:rPr>
          <w:spacing w:val="-1"/>
        </w:rPr>
        <w:t xml:space="preserve"> </w:t>
      </w:r>
      <w:r>
        <w:t>in</w:t>
      </w:r>
      <w:r>
        <w:rPr>
          <w:spacing w:val="-1"/>
        </w:rPr>
        <w:t xml:space="preserve"> </w:t>
      </w:r>
      <w:r>
        <w:t>this</w:t>
      </w:r>
      <w:r>
        <w:rPr>
          <w:spacing w:val="-1"/>
        </w:rPr>
        <w:t xml:space="preserve"> </w:t>
      </w:r>
      <w:r>
        <w:t>section</w:t>
      </w:r>
      <w:r>
        <w:rPr>
          <w:spacing w:val="-1"/>
        </w:rPr>
        <w:t xml:space="preserve"> </w:t>
      </w:r>
      <w:r>
        <w:t>benefited</w:t>
      </w:r>
      <w:r>
        <w:rPr>
          <w:spacing w:val="-1"/>
        </w:rPr>
        <w:t xml:space="preserve"> </w:t>
      </w:r>
      <w:r>
        <w:t>in</w:t>
      </w:r>
      <w:r>
        <w:rPr>
          <w:spacing w:val="-1"/>
        </w:rPr>
        <w:t xml:space="preserve"> </w:t>
      </w:r>
      <w:r>
        <w:rPr>
          <w:spacing w:val="-12"/>
        </w:rPr>
        <w:t>a</w:t>
      </w:r>
    </w:p>
    <w:p w14:paraId="7E003213" w14:textId="77777777" w:rsidR="009A58DB" w:rsidRDefault="009A58DB">
      <w:pPr>
        <w:pStyle w:val="BodyText"/>
        <w:jc w:val="left"/>
        <w:sectPr w:rsidR="009A58DB">
          <w:pgSz w:w="12240" w:h="15840"/>
          <w:pgMar w:top="1380" w:right="1080" w:bottom="280" w:left="1080" w:header="720" w:footer="720" w:gutter="0"/>
          <w:cols w:space="720"/>
        </w:sectPr>
      </w:pPr>
    </w:p>
    <w:p w14:paraId="7E003214" w14:textId="77777777" w:rsidR="009A58DB" w:rsidRDefault="00000000">
      <w:pPr>
        <w:pStyle w:val="BodyText"/>
        <w:spacing w:before="71"/>
        <w:ind w:left="720"/>
        <w:jc w:val="left"/>
      </w:pPr>
      <w:r>
        <w:t>very</w:t>
      </w:r>
      <w:r>
        <w:rPr>
          <w:spacing w:val="-5"/>
        </w:rPr>
        <w:t xml:space="preserve"> </w:t>
      </w:r>
      <w:r>
        <w:t>genuine</w:t>
      </w:r>
      <w:r>
        <w:rPr>
          <w:spacing w:val="-4"/>
        </w:rPr>
        <w:t xml:space="preserve"> </w:t>
      </w:r>
      <w:r>
        <w:t>way</w:t>
      </w:r>
      <w:r>
        <w:rPr>
          <w:spacing w:val="-3"/>
        </w:rPr>
        <w:t xml:space="preserve"> </w:t>
      </w:r>
      <w:r>
        <w:t>from</w:t>
      </w:r>
      <w:r>
        <w:rPr>
          <w:spacing w:val="-4"/>
        </w:rPr>
        <w:t xml:space="preserve"> </w:t>
      </w:r>
      <w:r>
        <w:t>conversations</w:t>
      </w:r>
      <w:r>
        <w:rPr>
          <w:spacing w:val="-4"/>
        </w:rPr>
        <w:t xml:space="preserve"> </w:t>
      </w:r>
      <w:r>
        <w:t>with</w:t>
      </w:r>
      <w:r>
        <w:rPr>
          <w:spacing w:val="-3"/>
        </w:rPr>
        <w:t xml:space="preserve"> </w:t>
      </w:r>
      <w:r>
        <w:t>Anthony</w:t>
      </w:r>
      <w:r>
        <w:rPr>
          <w:spacing w:val="-2"/>
        </w:rPr>
        <w:t xml:space="preserve"> Ellis.</w:t>
      </w:r>
    </w:p>
    <w:p w14:paraId="7E003215" w14:textId="77777777" w:rsidR="009A58DB" w:rsidRDefault="00000000">
      <w:pPr>
        <w:pStyle w:val="BodyText"/>
        <w:spacing w:before="106" w:line="252" w:lineRule="auto"/>
        <w:ind w:left="720" w:right="367" w:hanging="360"/>
      </w:pPr>
      <w:bookmarkStart w:id="1083" w:name="_bookmark1083"/>
      <w:bookmarkEnd w:id="1083"/>
      <w:r>
        <w:rPr>
          <w:color w:val="0562C1"/>
          <w:position w:val="24"/>
          <w:sz w:val="34"/>
          <w:u w:val="single" w:color="0562C1"/>
        </w:rPr>
        <w:t>[410]</w:t>
      </w:r>
      <w:r>
        <w:rPr>
          <w:sz w:val="34"/>
        </w:rPr>
        <w:t>.</w:t>
      </w:r>
      <w:r>
        <w:rPr>
          <w:spacing w:val="-2"/>
          <w:sz w:val="34"/>
        </w:rPr>
        <w:t xml:space="preserve"> </w:t>
      </w:r>
      <w:r>
        <w:t>In his (1991) article “Consequentialism,” Philip Pettit makes a strong case that deontology is an incoherent doctrine.</w:t>
      </w:r>
    </w:p>
    <w:p w14:paraId="7E003216" w14:textId="77777777" w:rsidR="009A58DB" w:rsidRDefault="00000000">
      <w:pPr>
        <w:pStyle w:val="BodyText"/>
        <w:spacing w:line="249" w:lineRule="auto"/>
        <w:ind w:left="720" w:right="358" w:firstLine="360"/>
      </w:pPr>
      <w:r>
        <w:t>Nonetheless, I am open on this issue. But, speaking emotionally as opposed to discursively, my sympathies are with the consequentialist. In my personal experience, which is obviously of limited probative value, many a coward justifies his failure to do the right thing by saying that he doesn’t want to “play God” or by saying that, even though the circumstances clearly demand it, it’s not “his place” to question accepted institutional protocols.</w:t>
      </w:r>
    </w:p>
    <w:p w14:paraId="7E003217" w14:textId="77777777" w:rsidR="009A58DB" w:rsidRDefault="00000000">
      <w:pPr>
        <w:pStyle w:val="BodyText"/>
        <w:spacing w:before="9" w:line="249" w:lineRule="auto"/>
        <w:ind w:left="720" w:right="364" w:firstLine="360"/>
      </w:pPr>
      <w:r>
        <w:t>I’ve also found that where there is abject cowardice, there is also a</w:t>
      </w:r>
      <w:r>
        <w:rPr>
          <w:spacing w:val="40"/>
        </w:rPr>
        <w:t xml:space="preserve"> </w:t>
      </w:r>
      <w:r>
        <w:t>good</w:t>
      </w:r>
      <w:r>
        <w:rPr>
          <w:spacing w:val="-3"/>
        </w:rPr>
        <w:t xml:space="preserve"> </w:t>
      </w:r>
      <w:r>
        <w:t>deal</w:t>
      </w:r>
      <w:r>
        <w:rPr>
          <w:spacing w:val="-4"/>
        </w:rPr>
        <w:t xml:space="preserve"> </w:t>
      </w:r>
      <w:r>
        <w:t>of</w:t>
      </w:r>
      <w:r>
        <w:rPr>
          <w:spacing w:val="-4"/>
        </w:rPr>
        <w:t xml:space="preserve"> </w:t>
      </w:r>
      <w:r>
        <w:t>ill</w:t>
      </w:r>
      <w:r>
        <w:rPr>
          <w:spacing w:val="-4"/>
        </w:rPr>
        <w:t xml:space="preserve"> </w:t>
      </w:r>
      <w:r>
        <w:t>will.</w:t>
      </w:r>
      <w:r>
        <w:rPr>
          <w:spacing w:val="-3"/>
        </w:rPr>
        <w:t xml:space="preserve"> </w:t>
      </w:r>
      <w:r>
        <w:t>(I</w:t>
      </w:r>
      <w:r>
        <w:rPr>
          <w:spacing w:val="-4"/>
        </w:rPr>
        <w:t xml:space="preserve"> </w:t>
      </w:r>
      <w:r>
        <w:t>suspect</w:t>
      </w:r>
      <w:r>
        <w:rPr>
          <w:spacing w:val="-4"/>
        </w:rPr>
        <w:t xml:space="preserve"> </w:t>
      </w:r>
      <w:r>
        <w:t>that</w:t>
      </w:r>
      <w:r>
        <w:rPr>
          <w:spacing w:val="-4"/>
        </w:rPr>
        <w:t xml:space="preserve"> </w:t>
      </w:r>
      <w:r>
        <w:t>cowards</w:t>
      </w:r>
      <w:r>
        <w:rPr>
          <w:spacing w:val="-4"/>
        </w:rPr>
        <w:t xml:space="preserve"> </w:t>
      </w:r>
      <w:r>
        <w:t>are</w:t>
      </w:r>
      <w:r>
        <w:rPr>
          <w:spacing w:val="-4"/>
        </w:rPr>
        <w:t xml:space="preserve"> </w:t>
      </w:r>
      <w:r>
        <w:t>ashamed</w:t>
      </w:r>
      <w:r>
        <w:rPr>
          <w:spacing w:val="-3"/>
        </w:rPr>
        <w:t xml:space="preserve"> </w:t>
      </w:r>
      <w:r>
        <w:t>of</w:t>
      </w:r>
      <w:r>
        <w:rPr>
          <w:spacing w:val="-4"/>
        </w:rPr>
        <w:t xml:space="preserve"> </w:t>
      </w:r>
      <w:r>
        <w:t>their</w:t>
      </w:r>
      <w:r>
        <w:rPr>
          <w:spacing w:val="-4"/>
        </w:rPr>
        <w:t xml:space="preserve"> </w:t>
      </w:r>
      <w:r>
        <w:t>condition and projectively lash out when given the chance.)</w:t>
      </w:r>
    </w:p>
    <w:p w14:paraId="7E003218" w14:textId="77777777" w:rsidR="009A58DB" w:rsidRDefault="00000000">
      <w:pPr>
        <w:pStyle w:val="BodyText"/>
        <w:spacing w:before="3" w:line="249" w:lineRule="auto"/>
        <w:ind w:left="720" w:right="359" w:firstLine="360"/>
      </w:pPr>
      <w:r>
        <w:t>Finally, I have found there to be a direct correlation between, on the</w:t>
      </w:r>
      <w:r>
        <w:rPr>
          <w:spacing w:val="40"/>
        </w:rPr>
        <w:t xml:space="preserve"> </w:t>
      </w:r>
      <w:r>
        <w:t xml:space="preserve">one hand, how often the word “fair” (as in “that wouldn’t be fair, would it?”) occurs in a person’s discourse and, on the other hand, how ill-willed that person is. I am proud to say that, in my 350 page dissertation on the ethical basis of morality, the word “fair” doesn’t occur once, and the word “justice” occurs </w:t>
      </w:r>
      <w:r>
        <w:rPr>
          <w:i/>
        </w:rPr>
        <w:t xml:space="preserve">only </w:t>
      </w:r>
      <w:r>
        <w:t>once—and it occurs in the context of a quotation.</w:t>
      </w:r>
    </w:p>
    <w:p w14:paraId="7E003219" w14:textId="77777777" w:rsidR="009A58DB" w:rsidRDefault="00000000">
      <w:pPr>
        <w:pStyle w:val="BodyText"/>
        <w:spacing w:before="90" w:line="252" w:lineRule="auto"/>
        <w:ind w:left="720" w:right="357" w:hanging="360"/>
      </w:pPr>
      <w:bookmarkStart w:id="1084" w:name="_bookmark1084"/>
      <w:bookmarkEnd w:id="1084"/>
      <w:r>
        <w:rPr>
          <w:color w:val="0562C1"/>
          <w:position w:val="24"/>
          <w:sz w:val="34"/>
          <w:u w:val="single" w:color="0562C1"/>
        </w:rPr>
        <w:t>[411]</w:t>
      </w:r>
      <w:r>
        <w:rPr>
          <w:sz w:val="34"/>
        </w:rPr>
        <w:t xml:space="preserve">. </w:t>
      </w:r>
      <w:r>
        <w:t>For the record, I don’t think this is true. I think that, at the very least, it’s an exaggeration. I think that genuinely well-intentioned people wouldn’t have created the sorts of political structures that made Stalin, et al. possible.</w:t>
      </w:r>
    </w:p>
    <w:p w14:paraId="7E00321A" w14:textId="77777777" w:rsidR="009A58DB" w:rsidRDefault="00000000">
      <w:pPr>
        <w:pStyle w:val="BodyText"/>
        <w:spacing w:before="100"/>
        <w:jc w:val="left"/>
      </w:pPr>
      <w:bookmarkStart w:id="1085" w:name="_bookmark1085"/>
      <w:bookmarkEnd w:id="1085"/>
      <w:r>
        <w:rPr>
          <w:color w:val="0562C1"/>
          <w:u w:val="single" w:color="0562C1"/>
          <w:vertAlign w:val="superscript"/>
        </w:rPr>
        <w:t>[412]</w:t>
      </w:r>
      <w:r>
        <w:rPr>
          <w:sz w:val="22"/>
        </w:rPr>
        <w:t>.</w:t>
      </w:r>
      <w:r>
        <w:rPr>
          <w:spacing w:val="40"/>
          <w:sz w:val="22"/>
        </w:rPr>
        <w:t xml:space="preserve">  </w:t>
      </w:r>
      <w:r>
        <w:t>“OG”</w:t>
      </w:r>
      <w:r>
        <w:rPr>
          <w:spacing w:val="10"/>
        </w:rPr>
        <w:t xml:space="preserve"> </w:t>
      </w:r>
      <w:r>
        <w:t>is</w:t>
      </w:r>
      <w:r>
        <w:rPr>
          <w:spacing w:val="9"/>
        </w:rPr>
        <w:t xml:space="preserve"> </w:t>
      </w:r>
      <w:r>
        <w:t>short</w:t>
      </w:r>
      <w:r>
        <w:rPr>
          <w:spacing w:val="9"/>
        </w:rPr>
        <w:t xml:space="preserve"> </w:t>
      </w:r>
      <w:r>
        <w:t>for</w:t>
      </w:r>
      <w:r>
        <w:rPr>
          <w:spacing w:val="9"/>
        </w:rPr>
        <w:t xml:space="preserve"> </w:t>
      </w:r>
      <w:r>
        <w:t>“omnipotent</w:t>
      </w:r>
      <w:r>
        <w:rPr>
          <w:spacing w:val="9"/>
        </w:rPr>
        <w:t xml:space="preserve"> </w:t>
      </w:r>
      <w:r>
        <w:rPr>
          <w:spacing w:val="-2"/>
        </w:rPr>
        <w:t>God.”</w:t>
      </w:r>
    </w:p>
    <w:p w14:paraId="7E00321B" w14:textId="77777777" w:rsidR="009A58DB" w:rsidRDefault="00000000">
      <w:pPr>
        <w:pStyle w:val="BodyText"/>
        <w:spacing w:before="120"/>
        <w:jc w:val="left"/>
      </w:pPr>
      <w:bookmarkStart w:id="1086" w:name="_bookmark1086"/>
      <w:bookmarkEnd w:id="1086"/>
      <w:r>
        <w:rPr>
          <w:color w:val="0562C1"/>
          <w:u w:val="single" w:color="0562C1"/>
          <w:vertAlign w:val="superscript"/>
        </w:rPr>
        <w:t>[413]</w:t>
      </w:r>
      <w:r>
        <w:rPr>
          <w:sz w:val="22"/>
        </w:rPr>
        <w:t>.</w:t>
      </w:r>
      <w:r>
        <w:rPr>
          <w:spacing w:val="39"/>
          <w:sz w:val="22"/>
        </w:rPr>
        <w:t xml:space="preserve">  </w:t>
      </w:r>
      <w:r>
        <w:t>“AG”</w:t>
      </w:r>
      <w:r>
        <w:rPr>
          <w:spacing w:val="8"/>
        </w:rPr>
        <w:t xml:space="preserve"> </w:t>
      </w:r>
      <w:r>
        <w:t>is</w:t>
      </w:r>
      <w:r>
        <w:rPr>
          <w:spacing w:val="8"/>
        </w:rPr>
        <w:t xml:space="preserve"> </w:t>
      </w:r>
      <w:r>
        <w:t>short</w:t>
      </w:r>
      <w:r>
        <w:rPr>
          <w:spacing w:val="8"/>
        </w:rPr>
        <w:t xml:space="preserve"> </w:t>
      </w:r>
      <w:r>
        <w:t>for</w:t>
      </w:r>
      <w:r>
        <w:rPr>
          <w:spacing w:val="8"/>
        </w:rPr>
        <w:t xml:space="preserve"> </w:t>
      </w:r>
      <w:r>
        <w:t>“Aquinas</w:t>
      </w:r>
      <w:r>
        <w:rPr>
          <w:spacing w:val="8"/>
        </w:rPr>
        <w:t xml:space="preserve"> </w:t>
      </w:r>
      <w:r>
        <w:t>on</w:t>
      </w:r>
      <w:r>
        <w:rPr>
          <w:spacing w:val="9"/>
        </w:rPr>
        <w:t xml:space="preserve"> </w:t>
      </w:r>
      <w:r>
        <w:rPr>
          <w:spacing w:val="-2"/>
        </w:rPr>
        <w:t>God.”</w:t>
      </w:r>
    </w:p>
    <w:p w14:paraId="7E00321C" w14:textId="77777777" w:rsidR="009A58DB" w:rsidRDefault="00000000">
      <w:pPr>
        <w:spacing w:before="120"/>
        <w:ind w:left="360"/>
        <w:rPr>
          <w:i/>
          <w:sz w:val="30"/>
        </w:rPr>
      </w:pPr>
      <w:bookmarkStart w:id="1087" w:name="_bookmark1087"/>
      <w:bookmarkEnd w:id="1087"/>
      <w:r>
        <w:rPr>
          <w:color w:val="0562C1"/>
          <w:sz w:val="30"/>
          <w:u w:val="single" w:color="0562C1"/>
          <w:vertAlign w:val="superscript"/>
        </w:rPr>
        <w:t>[414]</w:t>
      </w:r>
      <w:r>
        <w:t>.</w:t>
      </w:r>
      <w:r>
        <w:rPr>
          <w:spacing w:val="35"/>
        </w:rPr>
        <w:t xml:space="preserve">  </w:t>
      </w:r>
      <w:r>
        <w:rPr>
          <w:sz w:val="30"/>
        </w:rPr>
        <w:t>This</w:t>
      </w:r>
      <w:r>
        <w:rPr>
          <w:spacing w:val="4"/>
          <w:sz w:val="30"/>
        </w:rPr>
        <w:t xml:space="preserve"> </w:t>
      </w:r>
      <w:r>
        <w:rPr>
          <w:sz w:val="30"/>
        </w:rPr>
        <w:t>argument</w:t>
      </w:r>
      <w:r>
        <w:rPr>
          <w:spacing w:val="5"/>
          <w:sz w:val="30"/>
        </w:rPr>
        <w:t xml:space="preserve"> </w:t>
      </w:r>
      <w:r>
        <w:rPr>
          <w:sz w:val="30"/>
        </w:rPr>
        <w:t>and</w:t>
      </w:r>
      <w:r>
        <w:rPr>
          <w:spacing w:val="5"/>
          <w:sz w:val="30"/>
        </w:rPr>
        <w:t xml:space="preserve"> </w:t>
      </w:r>
      <w:r>
        <w:rPr>
          <w:sz w:val="30"/>
        </w:rPr>
        <w:t>the</w:t>
      </w:r>
      <w:r>
        <w:rPr>
          <w:spacing w:val="4"/>
          <w:sz w:val="30"/>
        </w:rPr>
        <w:t xml:space="preserve"> </w:t>
      </w:r>
      <w:r>
        <w:rPr>
          <w:sz w:val="30"/>
        </w:rPr>
        <w:t>next</w:t>
      </w:r>
      <w:r>
        <w:rPr>
          <w:spacing w:val="5"/>
          <w:sz w:val="30"/>
        </w:rPr>
        <w:t xml:space="preserve"> </w:t>
      </w:r>
      <w:r>
        <w:rPr>
          <w:sz w:val="30"/>
        </w:rPr>
        <w:t>are</w:t>
      </w:r>
      <w:r>
        <w:rPr>
          <w:spacing w:val="4"/>
          <w:sz w:val="30"/>
        </w:rPr>
        <w:t xml:space="preserve"> </w:t>
      </w:r>
      <w:r>
        <w:rPr>
          <w:sz w:val="30"/>
        </w:rPr>
        <w:t>found</w:t>
      </w:r>
      <w:r>
        <w:rPr>
          <w:spacing w:val="6"/>
          <w:sz w:val="30"/>
        </w:rPr>
        <w:t xml:space="preserve"> </w:t>
      </w:r>
      <w:r>
        <w:rPr>
          <w:sz w:val="30"/>
        </w:rPr>
        <w:t>in</w:t>
      </w:r>
      <w:r>
        <w:rPr>
          <w:spacing w:val="5"/>
          <w:sz w:val="30"/>
        </w:rPr>
        <w:t xml:space="preserve"> </w:t>
      </w:r>
      <w:r>
        <w:rPr>
          <w:sz w:val="30"/>
        </w:rPr>
        <w:t>Aquinas’</w:t>
      </w:r>
      <w:r>
        <w:rPr>
          <w:spacing w:val="5"/>
          <w:sz w:val="30"/>
        </w:rPr>
        <w:t xml:space="preserve"> </w:t>
      </w:r>
      <w:r>
        <w:rPr>
          <w:i/>
          <w:sz w:val="30"/>
        </w:rPr>
        <w:t>Summa</w:t>
      </w:r>
      <w:r>
        <w:rPr>
          <w:i/>
          <w:spacing w:val="5"/>
          <w:sz w:val="30"/>
        </w:rPr>
        <w:t xml:space="preserve"> </w:t>
      </w:r>
      <w:r>
        <w:rPr>
          <w:i/>
          <w:spacing w:val="-2"/>
          <w:sz w:val="30"/>
        </w:rPr>
        <w:t>Theologica.</w:t>
      </w:r>
    </w:p>
    <w:p w14:paraId="7E00321D" w14:textId="77777777" w:rsidR="009A58DB" w:rsidRDefault="00000000">
      <w:pPr>
        <w:pStyle w:val="BodyText"/>
        <w:spacing w:before="121"/>
        <w:jc w:val="left"/>
      </w:pPr>
      <w:bookmarkStart w:id="1088" w:name="_bookmark1088"/>
      <w:bookmarkEnd w:id="1088"/>
      <w:r>
        <w:rPr>
          <w:color w:val="0562C1"/>
          <w:u w:val="single" w:color="0562C1"/>
          <w:vertAlign w:val="superscript"/>
        </w:rPr>
        <w:t>[415]</w:t>
      </w:r>
      <w:r>
        <w:rPr>
          <w:sz w:val="22"/>
        </w:rPr>
        <w:t>.</w:t>
      </w:r>
      <w:r>
        <w:rPr>
          <w:spacing w:val="35"/>
          <w:sz w:val="22"/>
        </w:rPr>
        <w:t xml:space="preserve">  </w:t>
      </w:r>
      <w:r>
        <w:t>So</w:t>
      </w:r>
      <w:r>
        <w:rPr>
          <w:spacing w:val="8"/>
        </w:rPr>
        <w:t xml:space="preserve"> </w:t>
      </w:r>
      <w:r>
        <w:t>is</w:t>
      </w:r>
      <w:r>
        <w:rPr>
          <w:spacing w:val="5"/>
        </w:rPr>
        <w:t xml:space="preserve"> </w:t>
      </w:r>
      <w:r>
        <w:t>its</w:t>
      </w:r>
      <w:r>
        <w:rPr>
          <w:spacing w:val="5"/>
        </w:rPr>
        <w:t xml:space="preserve"> </w:t>
      </w:r>
      <w:r>
        <w:t>Latin</w:t>
      </w:r>
      <w:r>
        <w:rPr>
          <w:spacing w:val="6"/>
        </w:rPr>
        <w:t xml:space="preserve"> </w:t>
      </w:r>
      <w:r>
        <w:t>equivalent.</w:t>
      </w:r>
      <w:r>
        <w:rPr>
          <w:spacing w:val="6"/>
        </w:rPr>
        <w:t xml:space="preserve"> </w:t>
      </w:r>
      <w:r>
        <w:t>(Aquinas</w:t>
      </w:r>
      <w:r>
        <w:rPr>
          <w:spacing w:val="6"/>
        </w:rPr>
        <w:t xml:space="preserve"> </w:t>
      </w:r>
      <w:r>
        <w:t>wrote</w:t>
      </w:r>
      <w:r>
        <w:rPr>
          <w:spacing w:val="5"/>
        </w:rPr>
        <w:t xml:space="preserve"> </w:t>
      </w:r>
      <w:r>
        <w:t>in</w:t>
      </w:r>
      <w:r>
        <w:rPr>
          <w:spacing w:val="6"/>
        </w:rPr>
        <w:t xml:space="preserve"> </w:t>
      </w:r>
      <w:r>
        <w:rPr>
          <w:spacing w:val="-2"/>
        </w:rPr>
        <w:t>Latin.)</w:t>
      </w:r>
    </w:p>
    <w:p w14:paraId="7E00321E" w14:textId="77777777" w:rsidR="009A58DB" w:rsidRDefault="00000000">
      <w:pPr>
        <w:pStyle w:val="BodyText"/>
        <w:spacing w:before="120" w:line="249" w:lineRule="auto"/>
        <w:ind w:left="720" w:right="360" w:hanging="360"/>
      </w:pPr>
      <w:bookmarkStart w:id="1089" w:name="_bookmark1089"/>
      <w:bookmarkEnd w:id="1089"/>
      <w:r>
        <w:rPr>
          <w:color w:val="0562C1"/>
          <w:u w:val="single" w:color="0562C1"/>
          <w:vertAlign w:val="superscript"/>
        </w:rPr>
        <w:t>[416]</w:t>
      </w:r>
      <w:r>
        <w:rPr>
          <w:sz w:val="22"/>
        </w:rPr>
        <w:t>.</w:t>
      </w:r>
      <w:r>
        <w:rPr>
          <w:spacing w:val="80"/>
          <w:sz w:val="22"/>
        </w:rPr>
        <w:t xml:space="preserve"> </w:t>
      </w:r>
      <w:r>
        <w:t>There are other problems with AG</w:t>
      </w:r>
      <w:r>
        <w:rPr>
          <w:position w:val="-7"/>
          <w:sz w:val="22"/>
        </w:rPr>
        <w:t>1</w:t>
      </w:r>
      <w:r>
        <w:t xml:space="preserve">. For example: It starts off by saying that every event has a predecessor, and ends by saying that there is a first event (i.e., that </w:t>
      </w:r>
      <w:r>
        <w:rPr>
          <w:i/>
        </w:rPr>
        <w:t xml:space="preserve">not </w:t>
      </w:r>
      <w:r>
        <w:t>every event has a predecessor).</w:t>
      </w:r>
    </w:p>
    <w:p w14:paraId="7E00321F" w14:textId="77777777" w:rsidR="009A58DB" w:rsidRDefault="00000000">
      <w:pPr>
        <w:pStyle w:val="BodyText"/>
        <w:spacing w:before="106"/>
      </w:pPr>
      <w:bookmarkStart w:id="1090" w:name="_bookmark1090"/>
      <w:bookmarkEnd w:id="1090"/>
      <w:r>
        <w:rPr>
          <w:color w:val="0562C1"/>
          <w:u w:val="single" w:color="0562C1"/>
          <w:vertAlign w:val="superscript"/>
        </w:rPr>
        <w:t>[417]</w:t>
      </w:r>
      <w:r>
        <w:rPr>
          <w:sz w:val="22"/>
        </w:rPr>
        <w:t>.</w:t>
      </w:r>
      <w:r>
        <w:rPr>
          <w:spacing w:val="55"/>
          <w:sz w:val="22"/>
        </w:rPr>
        <w:t xml:space="preserve">  </w:t>
      </w:r>
      <w:r>
        <w:t>What</w:t>
      </w:r>
      <w:r>
        <w:rPr>
          <w:spacing w:val="23"/>
        </w:rPr>
        <w:t xml:space="preserve"> </w:t>
      </w:r>
      <w:r>
        <w:t>does</w:t>
      </w:r>
      <w:r>
        <w:rPr>
          <w:spacing w:val="23"/>
        </w:rPr>
        <w:t xml:space="preserve"> </w:t>
      </w:r>
      <w:r>
        <w:t>it</w:t>
      </w:r>
      <w:r>
        <w:rPr>
          <w:spacing w:val="23"/>
        </w:rPr>
        <w:t xml:space="preserve"> </w:t>
      </w:r>
      <w:r>
        <w:t>mean</w:t>
      </w:r>
      <w:r>
        <w:rPr>
          <w:spacing w:val="23"/>
        </w:rPr>
        <w:t xml:space="preserve"> </w:t>
      </w:r>
      <w:r>
        <w:t>to</w:t>
      </w:r>
      <w:r>
        <w:rPr>
          <w:spacing w:val="22"/>
        </w:rPr>
        <w:t xml:space="preserve"> </w:t>
      </w:r>
      <w:r>
        <w:t>say</w:t>
      </w:r>
      <w:r>
        <w:rPr>
          <w:spacing w:val="23"/>
        </w:rPr>
        <w:t xml:space="preserve"> </w:t>
      </w:r>
      <w:r>
        <w:t>that</w:t>
      </w:r>
      <w:r>
        <w:rPr>
          <w:spacing w:val="24"/>
        </w:rPr>
        <w:t xml:space="preserve"> </w:t>
      </w:r>
      <w:r>
        <w:t>it</w:t>
      </w:r>
      <w:r>
        <w:rPr>
          <w:spacing w:val="22"/>
        </w:rPr>
        <w:t xml:space="preserve"> </w:t>
      </w:r>
      <w:r>
        <w:t>can</w:t>
      </w:r>
      <w:r>
        <w:rPr>
          <w:spacing w:val="24"/>
        </w:rPr>
        <w:t xml:space="preserve"> </w:t>
      </w:r>
      <w:r>
        <w:t>be</w:t>
      </w:r>
      <w:r>
        <w:rPr>
          <w:spacing w:val="22"/>
        </w:rPr>
        <w:t xml:space="preserve"> </w:t>
      </w:r>
      <w:r>
        <w:t>parsed</w:t>
      </w:r>
      <w:r>
        <w:rPr>
          <w:spacing w:val="23"/>
        </w:rPr>
        <w:t xml:space="preserve"> </w:t>
      </w:r>
      <w:r>
        <w:t>in</w:t>
      </w:r>
      <w:r>
        <w:rPr>
          <w:spacing w:val="23"/>
        </w:rPr>
        <w:t xml:space="preserve"> </w:t>
      </w:r>
      <w:r>
        <w:t>more</w:t>
      </w:r>
      <w:r>
        <w:rPr>
          <w:spacing w:val="23"/>
        </w:rPr>
        <w:t xml:space="preserve"> </w:t>
      </w:r>
      <w:r>
        <w:t>than</w:t>
      </w:r>
      <w:r>
        <w:rPr>
          <w:spacing w:val="22"/>
        </w:rPr>
        <w:t xml:space="preserve"> </w:t>
      </w:r>
      <w:r>
        <w:t>one</w:t>
      </w:r>
      <w:r>
        <w:rPr>
          <w:spacing w:val="24"/>
        </w:rPr>
        <w:t xml:space="preserve"> </w:t>
      </w:r>
      <w:r>
        <w:rPr>
          <w:spacing w:val="-4"/>
        </w:rPr>
        <w:t>way?</w:t>
      </w:r>
    </w:p>
    <w:p w14:paraId="7E003220" w14:textId="77777777" w:rsidR="009A58DB" w:rsidRDefault="009A58DB">
      <w:pPr>
        <w:pStyle w:val="BodyText"/>
        <w:sectPr w:rsidR="009A58DB">
          <w:pgSz w:w="12240" w:h="15840"/>
          <w:pgMar w:top="1380" w:right="1080" w:bottom="280" w:left="1080" w:header="720" w:footer="720" w:gutter="0"/>
          <w:cols w:space="720"/>
        </w:sectPr>
      </w:pPr>
    </w:p>
    <w:p w14:paraId="7E003221" w14:textId="77777777" w:rsidR="009A58DB" w:rsidRDefault="00000000">
      <w:pPr>
        <w:pStyle w:val="BodyText"/>
        <w:spacing w:before="60" w:line="249" w:lineRule="auto"/>
        <w:ind w:left="720" w:right="363"/>
      </w:pPr>
      <w:r>
        <w:t>Sentences aren’t strings of words. They’re strings of phrases. A phrase is the largest grammatically cohesive unit that is smaller than a sentence. To say that a sentence can be parsed in different ways is to say that there are different ways of grouping the words composing it into phrases.</w:t>
      </w:r>
    </w:p>
    <w:p w14:paraId="7E003222" w14:textId="77777777" w:rsidR="009A58DB" w:rsidRDefault="00000000">
      <w:pPr>
        <w:pStyle w:val="BodyText"/>
        <w:spacing w:before="115" w:line="249" w:lineRule="auto"/>
        <w:ind w:left="720" w:right="360" w:hanging="360"/>
        <w:rPr>
          <w:i/>
        </w:rPr>
      </w:pPr>
      <w:bookmarkStart w:id="1091" w:name="_bookmark1091"/>
      <w:bookmarkEnd w:id="1091"/>
      <w:r>
        <w:rPr>
          <w:color w:val="0562C1"/>
          <w:u w:val="single" w:color="0562C1"/>
          <w:vertAlign w:val="superscript"/>
        </w:rPr>
        <w:t>[418]</w:t>
      </w:r>
      <w:r>
        <w:rPr>
          <w:sz w:val="22"/>
        </w:rPr>
        <w:t>.</w:t>
      </w:r>
      <w:r>
        <w:rPr>
          <w:spacing w:val="80"/>
          <w:sz w:val="22"/>
        </w:rPr>
        <w:t xml:space="preserve"> </w:t>
      </w:r>
      <w:r>
        <w:t xml:space="preserve">“Credo quia absurdam”—I believe because it’s absurd. The medievals said this. They were right—after a fashion. I learned of this expression from reading Freud’s (1933) book </w:t>
      </w:r>
      <w:r>
        <w:rPr>
          <w:i/>
        </w:rPr>
        <w:t>Civilization and its discontents.</w:t>
      </w:r>
    </w:p>
    <w:p w14:paraId="7E003223" w14:textId="77777777" w:rsidR="009A58DB" w:rsidRDefault="00000000">
      <w:pPr>
        <w:pStyle w:val="BodyText"/>
        <w:spacing w:before="108" w:line="249" w:lineRule="auto"/>
        <w:ind w:left="720" w:right="358" w:hanging="360"/>
      </w:pPr>
      <w:bookmarkStart w:id="1092" w:name="_bookmark1092"/>
      <w:bookmarkEnd w:id="1092"/>
      <w:r>
        <w:rPr>
          <w:color w:val="0562C1"/>
          <w:u w:val="single" w:color="0562C1"/>
          <w:vertAlign w:val="superscript"/>
        </w:rPr>
        <w:t>[419]</w:t>
      </w:r>
      <w:r>
        <w:rPr>
          <w:sz w:val="22"/>
        </w:rPr>
        <w:t>.</w:t>
      </w:r>
      <w:r>
        <w:rPr>
          <w:spacing w:val="80"/>
          <w:sz w:val="22"/>
        </w:rPr>
        <w:t xml:space="preserve"> </w:t>
      </w:r>
      <w:r>
        <w:t>St. Thomas Aquinas (1225–1274) accepted the argument about to be presented. This would obviously seem to be inconsistent with my statement that religious people reject it. But—and I say this with all due to respect to devout Catholics—my suspicion is that, ultimately, he was a philosopher who, living when he did, had to express his philosophical views in religion-friendly terms. True religion is fundamentalism, and fundamentalists don’t accept the Euthyphro argument. (Given their views, they are right not to accept that argument.)</w:t>
      </w:r>
    </w:p>
    <w:p w14:paraId="7E003224" w14:textId="77777777" w:rsidR="009A58DB" w:rsidRDefault="00000000">
      <w:pPr>
        <w:pStyle w:val="BodyText"/>
        <w:spacing w:before="22" w:line="466" w:lineRule="exact"/>
        <w:ind w:right="2705"/>
        <w:jc w:val="left"/>
      </w:pPr>
      <w:bookmarkStart w:id="1093" w:name="_bookmark1093"/>
      <w:bookmarkEnd w:id="1093"/>
      <w:r>
        <w:rPr>
          <w:color w:val="0562C1"/>
          <w:u w:val="single" w:color="0562C1"/>
          <w:vertAlign w:val="superscript"/>
        </w:rPr>
        <w:t>[420]</w:t>
      </w:r>
      <w:r>
        <w:rPr>
          <w:sz w:val="22"/>
        </w:rPr>
        <w:t>.</w:t>
      </w:r>
      <w:r>
        <w:rPr>
          <w:spacing w:val="80"/>
          <w:sz w:val="22"/>
        </w:rPr>
        <w:t xml:space="preserve"> </w:t>
      </w:r>
      <w:r>
        <w:t xml:space="preserve">“AF” stands for “advocate of the Free-Will defense.” </w:t>
      </w:r>
      <w:bookmarkStart w:id="1094" w:name="_bookmark1094"/>
      <w:bookmarkEnd w:id="1094"/>
      <w:r>
        <w:rPr>
          <w:color w:val="0562C1"/>
          <w:u w:val="single" w:color="0562C1"/>
          <w:vertAlign w:val="superscript"/>
        </w:rPr>
        <w:t>[421]</w:t>
      </w:r>
      <w:r>
        <w:rPr>
          <w:sz w:val="22"/>
        </w:rPr>
        <w:t>.</w:t>
      </w:r>
      <w:r>
        <w:rPr>
          <w:spacing w:val="80"/>
          <w:w w:val="150"/>
          <w:sz w:val="22"/>
        </w:rPr>
        <w:t xml:space="preserve"> </w:t>
      </w:r>
      <w:r>
        <w:t>This point was made by Bertrand Russell (1920).</w:t>
      </w:r>
      <w:r>
        <w:rPr>
          <w:spacing w:val="80"/>
        </w:rPr>
        <w:t xml:space="preserve"> </w:t>
      </w:r>
      <w:bookmarkStart w:id="1095" w:name="_bookmark1095"/>
      <w:bookmarkEnd w:id="1095"/>
      <w:r>
        <w:rPr>
          <w:color w:val="0562C1"/>
          <w:u w:val="single" w:color="0562C1"/>
          <w:vertAlign w:val="superscript"/>
        </w:rPr>
        <w:t>[422]</w:t>
      </w:r>
      <w:r>
        <w:rPr>
          <w:sz w:val="22"/>
        </w:rPr>
        <w:t>.</w:t>
      </w:r>
      <w:r>
        <w:rPr>
          <w:spacing w:val="80"/>
          <w:sz w:val="22"/>
        </w:rPr>
        <w:t xml:space="preserve"> </w:t>
      </w:r>
      <w:r>
        <w:t xml:space="preserve">“AG” is short for “argument for God’s existence.” </w:t>
      </w:r>
      <w:bookmarkStart w:id="1096" w:name="_bookmark1096"/>
      <w:bookmarkEnd w:id="1096"/>
      <w:r>
        <w:rPr>
          <w:color w:val="0562C1"/>
          <w:u w:val="single" w:color="0562C1"/>
          <w:vertAlign w:val="superscript"/>
        </w:rPr>
        <w:t>[423]</w:t>
      </w:r>
      <w:r>
        <w:rPr>
          <w:sz w:val="22"/>
        </w:rPr>
        <w:t>.</w:t>
      </w:r>
      <w:r>
        <w:rPr>
          <w:spacing w:val="80"/>
          <w:sz w:val="22"/>
        </w:rPr>
        <w:t xml:space="preserve"> </w:t>
      </w:r>
      <w:r>
        <w:t>“MCS” stands for “meaning of CS.”</w:t>
      </w:r>
    </w:p>
    <w:p w14:paraId="7E003225" w14:textId="77777777" w:rsidR="009A58DB" w:rsidRDefault="00000000">
      <w:pPr>
        <w:pStyle w:val="BodyText"/>
        <w:spacing w:before="89" w:line="249" w:lineRule="auto"/>
        <w:ind w:left="720" w:right="359" w:hanging="360"/>
      </w:pPr>
      <w:bookmarkStart w:id="1097" w:name="_bookmark1097"/>
      <w:bookmarkEnd w:id="1097"/>
      <w:r>
        <w:rPr>
          <w:color w:val="0562C1"/>
          <w:u w:val="single" w:color="0562C1"/>
          <w:vertAlign w:val="superscript"/>
        </w:rPr>
        <w:t>[424]</w:t>
      </w:r>
      <w:r>
        <w:rPr>
          <w:sz w:val="22"/>
        </w:rPr>
        <w:t>.</w:t>
      </w:r>
      <w:r>
        <w:rPr>
          <w:spacing w:val="80"/>
          <w:w w:val="150"/>
          <w:sz w:val="22"/>
        </w:rPr>
        <w:t xml:space="preserve"> </w:t>
      </w:r>
      <w:r>
        <w:t xml:space="preserve">Nathan Salmon (2005: Chapters 1–3) argues that it can meaningfully and </w:t>
      </w:r>
      <w:r>
        <w:rPr>
          <w:i/>
        </w:rPr>
        <w:t xml:space="preserve">correctly </w:t>
      </w:r>
      <w:r>
        <w:t xml:space="preserve">be said of nonexistent entities that they exist—and also </w:t>
      </w:r>
      <w:r>
        <w:rPr>
          <w:spacing w:val="-2"/>
        </w:rPr>
        <w:t>don’t.</w:t>
      </w:r>
    </w:p>
    <w:p w14:paraId="7E003226" w14:textId="77777777" w:rsidR="009A58DB" w:rsidRDefault="00000000">
      <w:pPr>
        <w:pStyle w:val="BodyText"/>
        <w:spacing w:before="109" w:line="249" w:lineRule="auto"/>
        <w:ind w:left="720" w:right="358" w:hanging="360"/>
      </w:pPr>
      <w:bookmarkStart w:id="1098" w:name="_bookmark1098"/>
      <w:bookmarkEnd w:id="1098"/>
      <w:r>
        <w:rPr>
          <w:color w:val="0562C1"/>
          <w:u w:val="single" w:color="0562C1"/>
          <w:vertAlign w:val="superscript"/>
        </w:rPr>
        <w:t>[425]</w:t>
      </w:r>
      <w:r>
        <w:rPr>
          <w:sz w:val="22"/>
        </w:rPr>
        <w:t>.</w:t>
      </w:r>
      <w:r>
        <w:rPr>
          <w:spacing w:val="40"/>
          <w:sz w:val="22"/>
        </w:rPr>
        <w:t xml:space="preserve">  </w:t>
      </w:r>
      <w:r>
        <w:t>Russell rejects the ontological argument for much the reasons just</w:t>
      </w:r>
      <w:r>
        <w:rPr>
          <w:spacing w:val="40"/>
        </w:rPr>
        <w:t xml:space="preserve"> </w:t>
      </w:r>
      <w:r>
        <w:t>given. The argument just given is a refinement of one that he put forth. Kant too rejected the ontological argument. The problem with it, he said,</w:t>
      </w:r>
      <w:r>
        <w:rPr>
          <w:spacing w:val="40"/>
        </w:rPr>
        <w:t xml:space="preserve"> </w:t>
      </w:r>
      <w:r>
        <w:t>is that it falsely assumes that “existence is a predicate.” It isn’t clear exactly what he meant by this, but what he had in mind was obviously similar to what we, following Russell, have been saying.</w:t>
      </w:r>
    </w:p>
    <w:p w14:paraId="7E003227" w14:textId="77777777" w:rsidR="009A58DB" w:rsidRDefault="00000000">
      <w:pPr>
        <w:pStyle w:val="BodyText"/>
        <w:spacing w:before="12"/>
        <w:jc w:val="left"/>
      </w:pPr>
      <w:bookmarkStart w:id="1099" w:name="_bookmark1099"/>
      <w:bookmarkEnd w:id="1099"/>
      <w:r>
        <w:rPr>
          <w:color w:val="0562C1"/>
          <w:position w:val="19"/>
          <w:u w:val="single" w:color="0562C1"/>
        </w:rPr>
        <w:t>[426]</w:t>
      </w:r>
      <w:r>
        <w:t>.</w:t>
      </w:r>
      <w:r>
        <w:rPr>
          <w:spacing w:val="-3"/>
        </w:rPr>
        <w:t xml:space="preserve"> </w:t>
      </w:r>
      <w:r>
        <w:t>Dworkin</w:t>
      </w:r>
      <w:r>
        <w:rPr>
          <w:spacing w:val="-3"/>
        </w:rPr>
        <w:t xml:space="preserve"> </w:t>
      </w:r>
      <w:r>
        <w:rPr>
          <w:spacing w:val="-2"/>
        </w:rPr>
        <w:t>(1963).</w:t>
      </w:r>
    </w:p>
    <w:p w14:paraId="7E003228" w14:textId="77777777" w:rsidR="009A58DB" w:rsidRDefault="00000000">
      <w:pPr>
        <w:pStyle w:val="BodyText"/>
        <w:spacing w:before="120" w:line="249" w:lineRule="auto"/>
        <w:ind w:left="570" w:right="375" w:hanging="210"/>
      </w:pPr>
      <w:bookmarkStart w:id="1100" w:name="_bookmark1100"/>
      <w:bookmarkEnd w:id="1100"/>
      <w:r>
        <w:rPr>
          <w:color w:val="0562C1"/>
          <w:u w:val="single" w:color="0562C1"/>
          <w:vertAlign w:val="superscript"/>
        </w:rPr>
        <w:t>[427]</w:t>
      </w:r>
      <w:r>
        <w:rPr>
          <w:sz w:val="22"/>
        </w:rPr>
        <w:t xml:space="preserve">. </w:t>
      </w:r>
      <w:r>
        <w:t>In what remains of this chapter, I am inconsistent and sloppy in my use of quotation marks and quasi-quotation marks. Technically-minded readers are</w:t>
      </w:r>
      <w:r>
        <w:rPr>
          <w:spacing w:val="18"/>
        </w:rPr>
        <w:t xml:space="preserve"> </w:t>
      </w:r>
      <w:r>
        <w:t>urged</w:t>
      </w:r>
      <w:r>
        <w:rPr>
          <w:spacing w:val="18"/>
        </w:rPr>
        <w:t xml:space="preserve"> </w:t>
      </w:r>
      <w:r>
        <w:t>not</w:t>
      </w:r>
      <w:r>
        <w:rPr>
          <w:spacing w:val="18"/>
        </w:rPr>
        <w:t xml:space="preserve"> </w:t>
      </w:r>
      <w:r>
        <w:t>to</w:t>
      </w:r>
      <w:r>
        <w:rPr>
          <w:spacing w:val="18"/>
        </w:rPr>
        <w:t xml:space="preserve"> </w:t>
      </w:r>
      <w:r>
        <w:t>put</w:t>
      </w:r>
      <w:r>
        <w:rPr>
          <w:spacing w:val="18"/>
        </w:rPr>
        <w:t xml:space="preserve"> </w:t>
      </w:r>
      <w:r>
        <w:t>too</w:t>
      </w:r>
      <w:r>
        <w:rPr>
          <w:spacing w:val="18"/>
        </w:rPr>
        <w:t xml:space="preserve"> </w:t>
      </w:r>
      <w:r>
        <w:t>much</w:t>
      </w:r>
      <w:r>
        <w:rPr>
          <w:spacing w:val="18"/>
        </w:rPr>
        <w:t xml:space="preserve"> </w:t>
      </w:r>
      <w:r>
        <w:t>stock</w:t>
      </w:r>
      <w:r>
        <w:rPr>
          <w:spacing w:val="18"/>
        </w:rPr>
        <w:t xml:space="preserve"> </w:t>
      </w:r>
      <w:r>
        <w:t>in</w:t>
      </w:r>
      <w:r>
        <w:rPr>
          <w:spacing w:val="18"/>
        </w:rPr>
        <w:t xml:space="preserve"> </w:t>
      </w:r>
      <w:r>
        <w:t>the</w:t>
      </w:r>
      <w:r>
        <w:rPr>
          <w:spacing w:val="18"/>
        </w:rPr>
        <w:t xml:space="preserve"> </w:t>
      </w:r>
      <w:r>
        <w:t>way</w:t>
      </w:r>
      <w:r>
        <w:rPr>
          <w:spacing w:val="18"/>
        </w:rPr>
        <w:t xml:space="preserve"> </w:t>
      </w:r>
      <w:r>
        <w:t>in</w:t>
      </w:r>
      <w:r>
        <w:rPr>
          <w:spacing w:val="18"/>
        </w:rPr>
        <w:t xml:space="preserve"> </w:t>
      </w:r>
      <w:r>
        <w:t>which,</w:t>
      </w:r>
      <w:r>
        <w:rPr>
          <w:spacing w:val="18"/>
        </w:rPr>
        <w:t xml:space="preserve"> </w:t>
      </w:r>
      <w:r>
        <w:t>in</w:t>
      </w:r>
      <w:r>
        <w:rPr>
          <w:spacing w:val="18"/>
        </w:rPr>
        <w:t xml:space="preserve"> </w:t>
      </w:r>
      <w:r>
        <w:t>this</w:t>
      </w:r>
      <w:r>
        <w:rPr>
          <w:spacing w:val="18"/>
        </w:rPr>
        <w:t xml:space="preserve"> </w:t>
      </w:r>
      <w:r>
        <w:t>chapter,</w:t>
      </w:r>
      <w:r>
        <w:rPr>
          <w:spacing w:val="18"/>
        </w:rPr>
        <w:t xml:space="preserve"> </w:t>
      </w:r>
      <w:r>
        <w:t>I</w:t>
      </w:r>
    </w:p>
    <w:p w14:paraId="7E003229"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22A" w14:textId="77777777" w:rsidR="009A58DB" w:rsidRDefault="00000000">
      <w:pPr>
        <w:pStyle w:val="BodyText"/>
        <w:spacing w:before="65" w:line="249" w:lineRule="auto"/>
        <w:ind w:left="570" w:right="374"/>
      </w:pPr>
      <w:r>
        <w:t xml:space="preserve">use such devices. In his compact and beautiful (1941) book </w:t>
      </w:r>
      <w:r>
        <w:rPr>
          <w:i/>
        </w:rPr>
        <w:t xml:space="preserve">Mathematical Logic, </w:t>
      </w:r>
      <w:r>
        <w:t>Quine is exceptionally mindful of the sometimes subtle distinction between quotation and quasi-quotation. (Quine invented quasi-quotation marks, and it was in that very work of Quine’s that he introduced them to the world.)</w:t>
      </w:r>
    </w:p>
    <w:p w14:paraId="7E00322B" w14:textId="77777777" w:rsidR="009A58DB" w:rsidRDefault="00000000">
      <w:pPr>
        <w:pStyle w:val="BodyText"/>
        <w:spacing w:before="111" w:line="249" w:lineRule="auto"/>
        <w:ind w:left="570" w:right="374" w:hanging="210"/>
      </w:pPr>
      <w:bookmarkStart w:id="1101" w:name="_bookmark1101"/>
      <w:bookmarkEnd w:id="1101"/>
      <w:r>
        <w:rPr>
          <w:color w:val="0562C1"/>
          <w:u w:val="single" w:color="0562C1"/>
          <w:vertAlign w:val="superscript"/>
        </w:rPr>
        <w:t>[428]</w:t>
      </w:r>
      <w:r>
        <w:rPr>
          <w:sz w:val="22"/>
        </w:rPr>
        <w:t xml:space="preserve">. </w:t>
      </w:r>
      <w:r>
        <w:t>In medieval logic, it did have a meaning. But medieval logic wasn’t very good, and the distinction that it made between negations and opposites—or “contraries,” as they were sometimes called—isn’t very useful. So we’ll ignore it.</w:t>
      </w:r>
    </w:p>
    <w:p w14:paraId="7E00322C" w14:textId="77777777" w:rsidR="009A58DB" w:rsidRDefault="00000000">
      <w:pPr>
        <w:pStyle w:val="BodyText"/>
        <w:spacing w:before="110" w:line="249" w:lineRule="auto"/>
        <w:ind w:left="570" w:right="363" w:hanging="210"/>
      </w:pPr>
      <w:bookmarkStart w:id="1102" w:name="_bookmark1102"/>
      <w:bookmarkEnd w:id="1102"/>
      <w:r>
        <w:rPr>
          <w:color w:val="0562C1"/>
          <w:u w:val="single" w:color="0562C1"/>
          <w:vertAlign w:val="superscript"/>
        </w:rPr>
        <w:t>[429]</w:t>
      </w:r>
      <w:r>
        <w:rPr>
          <w:sz w:val="22"/>
        </w:rPr>
        <w:t xml:space="preserve">. </w:t>
      </w:r>
      <w:r>
        <w:t xml:space="preserve">Given that “because” operates on ordered pairs of sentence, it is </w:t>
      </w:r>
      <w:r>
        <w:rPr>
          <w:i/>
        </w:rPr>
        <w:t>de rigueur,</w:t>
      </w:r>
      <w:r>
        <w:rPr>
          <w:i/>
          <w:spacing w:val="-2"/>
        </w:rPr>
        <w:t xml:space="preserve"> </w:t>
      </w:r>
      <w:r>
        <w:t>I believe, to hold that “or” and “and” do so as well. It may be that “grass is green and snow is white” has the same literal meaning as “snow is white and grass is green.” But if, on that account, we say that “and” operates on unordered pairs, we are saying by implication that a knowledge of logic—of the logical properties of conjunction—is embedded in our syntactic</w:t>
      </w:r>
      <w:r>
        <w:rPr>
          <w:spacing w:val="-1"/>
        </w:rPr>
        <w:t xml:space="preserve"> </w:t>
      </w:r>
      <w:r>
        <w:t>conventions.</w:t>
      </w:r>
      <w:r>
        <w:rPr>
          <w:spacing w:val="-1"/>
        </w:rPr>
        <w:t xml:space="preserve"> </w:t>
      </w:r>
      <w:r>
        <w:t>And</w:t>
      </w:r>
      <w:r>
        <w:rPr>
          <w:spacing w:val="-1"/>
        </w:rPr>
        <w:t xml:space="preserve"> </w:t>
      </w:r>
      <w:r>
        <w:t>that</w:t>
      </w:r>
      <w:r>
        <w:rPr>
          <w:spacing w:val="-1"/>
        </w:rPr>
        <w:t xml:space="preserve"> </w:t>
      </w:r>
      <w:r>
        <w:t>seems</w:t>
      </w:r>
      <w:r>
        <w:rPr>
          <w:spacing w:val="-1"/>
        </w:rPr>
        <w:t xml:space="preserve"> </w:t>
      </w:r>
      <w:r>
        <w:t>quite</w:t>
      </w:r>
      <w:r>
        <w:rPr>
          <w:spacing w:val="-1"/>
        </w:rPr>
        <w:t xml:space="preserve"> </w:t>
      </w:r>
      <w:r>
        <w:t>false.</w:t>
      </w:r>
      <w:r>
        <w:rPr>
          <w:spacing w:val="-1"/>
        </w:rPr>
        <w:t xml:space="preserve"> </w:t>
      </w:r>
      <w:r>
        <w:t>A</w:t>
      </w:r>
      <w:r>
        <w:rPr>
          <w:spacing w:val="-1"/>
        </w:rPr>
        <w:t xml:space="preserve"> </w:t>
      </w:r>
      <w:r>
        <w:t>mastery</w:t>
      </w:r>
      <w:r>
        <w:rPr>
          <w:spacing w:val="-1"/>
        </w:rPr>
        <w:t xml:space="preserve"> </w:t>
      </w:r>
      <w:r>
        <w:t>of</w:t>
      </w:r>
      <w:r>
        <w:rPr>
          <w:spacing w:val="-1"/>
        </w:rPr>
        <w:t xml:space="preserve"> </w:t>
      </w:r>
      <w:r>
        <w:t>logic</w:t>
      </w:r>
      <w:r>
        <w:rPr>
          <w:spacing w:val="-1"/>
        </w:rPr>
        <w:t xml:space="preserve"> </w:t>
      </w:r>
      <w:r>
        <w:t>isn’t</w:t>
      </w:r>
      <w:r>
        <w:rPr>
          <w:spacing w:val="-1"/>
        </w:rPr>
        <w:t xml:space="preserve"> </w:t>
      </w:r>
      <w:r>
        <w:t>a prerequisite</w:t>
      </w:r>
      <w:r>
        <w:rPr>
          <w:spacing w:val="-5"/>
        </w:rPr>
        <w:t xml:space="preserve"> </w:t>
      </w:r>
      <w:r>
        <w:t>for</w:t>
      </w:r>
      <w:r>
        <w:rPr>
          <w:spacing w:val="-5"/>
        </w:rPr>
        <w:t xml:space="preserve"> </w:t>
      </w:r>
      <w:r>
        <w:t>a</w:t>
      </w:r>
      <w:r>
        <w:rPr>
          <w:spacing w:val="-5"/>
        </w:rPr>
        <w:t xml:space="preserve"> </w:t>
      </w:r>
      <w:r>
        <w:t>mastery</w:t>
      </w:r>
      <w:r>
        <w:rPr>
          <w:spacing w:val="-4"/>
        </w:rPr>
        <w:t xml:space="preserve"> </w:t>
      </w:r>
      <w:r>
        <w:t>of</w:t>
      </w:r>
      <w:r>
        <w:rPr>
          <w:spacing w:val="-5"/>
        </w:rPr>
        <w:t xml:space="preserve"> </w:t>
      </w:r>
      <w:r>
        <w:t>English</w:t>
      </w:r>
      <w:r>
        <w:rPr>
          <w:spacing w:val="-4"/>
        </w:rPr>
        <w:t xml:space="preserve"> </w:t>
      </w:r>
      <w:r>
        <w:t>syntax.</w:t>
      </w:r>
      <w:r>
        <w:rPr>
          <w:spacing w:val="-4"/>
        </w:rPr>
        <w:t xml:space="preserve"> </w:t>
      </w:r>
      <w:r>
        <w:t>Since</w:t>
      </w:r>
      <w:r>
        <w:rPr>
          <w:spacing w:val="-5"/>
        </w:rPr>
        <w:t xml:space="preserve"> </w:t>
      </w:r>
      <w:r>
        <w:t>it</w:t>
      </w:r>
      <w:r>
        <w:rPr>
          <w:spacing w:val="-5"/>
        </w:rPr>
        <w:t xml:space="preserve"> </w:t>
      </w:r>
      <w:r>
        <w:t>would</w:t>
      </w:r>
      <w:r>
        <w:rPr>
          <w:spacing w:val="-4"/>
        </w:rPr>
        <w:t xml:space="preserve"> </w:t>
      </w:r>
      <w:r>
        <w:t>be</w:t>
      </w:r>
      <w:r>
        <w:rPr>
          <w:spacing w:val="-5"/>
        </w:rPr>
        <w:t xml:space="preserve"> </w:t>
      </w:r>
      <w:r>
        <w:t>unreasonable to assume that a knowledge of the fact that conjunction, unlike causal dependence, is a symmetrical relation, we must assume that, so far as one’s knowledge of English syntax and semantics is concerned, “and” and “because”</w:t>
      </w:r>
      <w:r>
        <w:rPr>
          <w:spacing w:val="-2"/>
        </w:rPr>
        <w:t xml:space="preserve"> </w:t>
      </w:r>
      <w:r>
        <w:t>are</w:t>
      </w:r>
      <w:r>
        <w:rPr>
          <w:spacing w:val="-2"/>
        </w:rPr>
        <w:t xml:space="preserve"> </w:t>
      </w:r>
      <w:r>
        <w:t>comparable.</w:t>
      </w:r>
      <w:r>
        <w:rPr>
          <w:spacing w:val="-2"/>
        </w:rPr>
        <w:t xml:space="preserve"> </w:t>
      </w:r>
      <w:r>
        <w:t>It’s</w:t>
      </w:r>
      <w:r>
        <w:rPr>
          <w:spacing w:val="-2"/>
        </w:rPr>
        <w:t xml:space="preserve"> </w:t>
      </w:r>
      <w:r>
        <w:t>clear</w:t>
      </w:r>
      <w:r>
        <w:rPr>
          <w:spacing w:val="-2"/>
        </w:rPr>
        <w:t xml:space="preserve"> </w:t>
      </w:r>
      <w:r>
        <w:t>that</w:t>
      </w:r>
      <w:r>
        <w:rPr>
          <w:spacing w:val="-2"/>
        </w:rPr>
        <w:t xml:space="preserve"> </w:t>
      </w:r>
      <w:r>
        <w:t>anyone</w:t>
      </w:r>
      <w:r>
        <w:rPr>
          <w:spacing w:val="-2"/>
        </w:rPr>
        <w:t xml:space="preserve"> </w:t>
      </w:r>
      <w:r>
        <w:t>who</w:t>
      </w:r>
      <w:r>
        <w:rPr>
          <w:spacing w:val="-2"/>
        </w:rPr>
        <w:t xml:space="preserve"> </w:t>
      </w:r>
      <w:r>
        <w:t>speaks</w:t>
      </w:r>
      <w:r>
        <w:rPr>
          <w:spacing w:val="-2"/>
        </w:rPr>
        <w:t xml:space="preserve"> </w:t>
      </w:r>
      <w:r>
        <w:t>English</w:t>
      </w:r>
      <w:r>
        <w:rPr>
          <w:spacing w:val="-2"/>
        </w:rPr>
        <w:t xml:space="preserve"> </w:t>
      </w:r>
      <w:r>
        <w:t xml:space="preserve">knows that “because” is an order-sensitive operator. We must therefore assume, I believe, that </w:t>
      </w:r>
      <w:r>
        <w:rPr>
          <w:i/>
        </w:rPr>
        <w:t xml:space="preserve">qua </w:t>
      </w:r>
      <w:r>
        <w:t>speaker of English, one rightly believes “and” to be an order-sensitive operator—that this belief, though obviously not in all cases discursively held, is embedded in one’s linguistic competence.</w:t>
      </w:r>
    </w:p>
    <w:p w14:paraId="7E00322D" w14:textId="77777777" w:rsidR="009A58DB" w:rsidRDefault="00000000">
      <w:pPr>
        <w:pStyle w:val="BodyText"/>
        <w:spacing w:before="124"/>
        <w:jc w:val="left"/>
      </w:pPr>
      <w:bookmarkStart w:id="1103" w:name="_bookmark1103"/>
      <w:bookmarkEnd w:id="1103"/>
      <w:r>
        <w:rPr>
          <w:color w:val="0562C1"/>
          <w:u w:val="single" w:color="0562C1"/>
          <w:vertAlign w:val="superscript"/>
        </w:rPr>
        <w:t>[430]</w:t>
      </w:r>
      <w:r>
        <w:rPr>
          <w:sz w:val="22"/>
        </w:rPr>
        <w:t>.</w:t>
      </w:r>
      <w:r>
        <w:rPr>
          <w:spacing w:val="5"/>
          <w:sz w:val="22"/>
        </w:rPr>
        <w:t xml:space="preserve"> </w:t>
      </w:r>
      <w:r>
        <w:t>See</w:t>
      </w:r>
      <w:r>
        <w:rPr>
          <w:spacing w:val="4"/>
        </w:rPr>
        <w:t xml:space="preserve"> </w:t>
      </w:r>
      <w:r>
        <w:t>Strawson</w:t>
      </w:r>
      <w:r>
        <w:rPr>
          <w:spacing w:val="6"/>
        </w:rPr>
        <w:t xml:space="preserve"> </w:t>
      </w:r>
      <w:r>
        <w:t>(1950),</w:t>
      </w:r>
      <w:r>
        <w:rPr>
          <w:spacing w:val="6"/>
        </w:rPr>
        <w:t xml:space="preserve"> </w:t>
      </w:r>
      <w:r>
        <w:t>Barwise</w:t>
      </w:r>
      <w:r>
        <w:rPr>
          <w:spacing w:val="5"/>
        </w:rPr>
        <w:t xml:space="preserve"> </w:t>
      </w:r>
      <w:r>
        <w:t>(1983),</w:t>
      </w:r>
      <w:r>
        <w:rPr>
          <w:spacing w:val="5"/>
        </w:rPr>
        <w:t xml:space="preserve"> </w:t>
      </w:r>
      <w:r>
        <w:t>and</w:t>
      </w:r>
      <w:r>
        <w:rPr>
          <w:spacing w:val="6"/>
        </w:rPr>
        <w:t xml:space="preserve"> </w:t>
      </w:r>
      <w:r>
        <w:t>Barwise</w:t>
      </w:r>
      <w:r>
        <w:rPr>
          <w:spacing w:val="5"/>
        </w:rPr>
        <w:t xml:space="preserve"> </w:t>
      </w:r>
      <w:r>
        <w:t>and</w:t>
      </w:r>
      <w:r>
        <w:rPr>
          <w:spacing w:val="5"/>
        </w:rPr>
        <w:t xml:space="preserve"> </w:t>
      </w:r>
      <w:r>
        <w:t>Perry</w:t>
      </w:r>
      <w:r>
        <w:rPr>
          <w:spacing w:val="6"/>
        </w:rPr>
        <w:t xml:space="preserve"> </w:t>
      </w:r>
      <w:r>
        <w:rPr>
          <w:spacing w:val="-2"/>
        </w:rPr>
        <w:t>(1999).</w:t>
      </w:r>
    </w:p>
    <w:p w14:paraId="7E00322E" w14:textId="77777777" w:rsidR="009A58DB" w:rsidRDefault="00000000">
      <w:pPr>
        <w:pStyle w:val="BodyText"/>
        <w:spacing w:before="113" w:line="252" w:lineRule="auto"/>
        <w:ind w:left="570" w:right="373" w:hanging="210"/>
      </w:pPr>
      <w:bookmarkStart w:id="1104" w:name="_bookmark1104"/>
      <w:bookmarkEnd w:id="1104"/>
      <w:r>
        <w:rPr>
          <w:color w:val="0562C1"/>
          <w:sz w:val="34"/>
          <w:u w:val="single" w:color="0562C1"/>
          <w:vertAlign w:val="superscript"/>
        </w:rPr>
        <w:t>[431]</w:t>
      </w:r>
      <w:r>
        <w:rPr>
          <w:sz w:val="34"/>
        </w:rPr>
        <w:t xml:space="preserve">. </w:t>
      </w:r>
      <w:r>
        <w:t>“It is necessarily the case that” is thus the dual of “it is possible that.” Given any operator O, any operator O* is the dual of O if, given an</w:t>
      </w:r>
      <w:r>
        <w:rPr>
          <w:spacing w:val="40"/>
        </w:rPr>
        <w:t xml:space="preserve"> </w:t>
      </w:r>
      <w:r>
        <w:t>arbitrary sentence S, O*S iff ~O~S. Thus, “for all x” is the dual of “there exists some x,” since “for all x, x is tall” is equivalent with “it is not the case that, for some x, it is not the case that x is tall.”</w:t>
      </w:r>
    </w:p>
    <w:p w14:paraId="7E00322F" w14:textId="77777777" w:rsidR="009A58DB" w:rsidRDefault="00000000">
      <w:pPr>
        <w:pStyle w:val="BodyText"/>
        <w:spacing w:line="249" w:lineRule="auto"/>
        <w:ind w:left="570" w:right="380" w:firstLine="360"/>
      </w:pPr>
      <w:r>
        <w:t>Exercise: prove that duality is a symmetrical relationship. In other words, prove that, if O is the dual of O*, O* is the dual of O.</w:t>
      </w:r>
    </w:p>
    <w:p w14:paraId="7E003230" w14:textId="77777777" w:rsidR="009A58DB" w:rsidRDefault="00000000">
      <w:pPr>
        <w:pStyle w:val="BodyText"/>
        <w:ind w:left="930"/>
      </w:pPr>
      <w:r>
        <w:t>Second</w:t>
      </w:r>
      <w:r>
        <w:rPr>
          <w:spacing w:val="19"/>
        </w:rPr>
        <w:t xml:space="preserve"> </w:t>
      </w:r>
      <w:r>
        <w:t>exercise:</w:t>
      </w:r>
      <w:r>
        <w:rPr>
          <w:spacing w:val="19"/>
        </w:rPr>
        <w:t xml:space="preserve"> </w:t>
      </w:r>
      <w:r>
        <w:t>Identify</w:t>
      </w:r>
      <w:r>
        <w:rPr>
          <w:spacing w:val="20"/>
        </w:rPr>
        <w:t xml:space="preserve"> </w:t>
      </w:r>
      <w:r>
        <w:t>two</w:t>
      </w:r>
      <w:r>
        <w:rPr>
          <w:spacing w:val="19"/>
        </w:rPr>
        <w:t xml:space="preserve"> </w:t>
      </w:r>
      <w:r>
        <w:t>operators</w:t>
      </w:r>
      <w:r>
        <w:rPr>
          <w:spacing w:val="19"/>
        </w:rPr>
        <w:t xml:space="preserve"> </w:t>
      </w:r>
      <w:r>
        <w:t>O</w:t>
      </w:r>
      <w:r>
        <w:rPr>
          <w:spacing w:val="20"/>
        </w:rPr>
        <w:t xml:space="preserve"> </w:t>
      </w:r>
      <w:r>
        <w:t>and</w:t>
      </w:r>
      <w:r>
        <w:rPr>
          <w:spacing w:val="19"/>
        </w:rPr>
        <w:t xml:space="preserve"> </w:t>
      </w:r>
      <w:r>
        <w:t>O*</w:t>
      </w:r>
      <w:r>
        <w:rPr>
          <w:spacing w:val="19"/>
        </w:rPr>
        <w:t xml:space="preserve"> </w:t>
      </w:r>
      <w:r>
        <w:t>such</w:t>
      </w:r>
      <w:r>
        <w:rPr>
          <w:spacing w:val="20"/>
        </w:rPr>
        <w:t xml:space="preserve"> </w:t>
      </w:r>
      <w:r>
        <w:t>that</w:t>
      </w:r>
      <w:r>
        <w:rPr>
          <w:spacing w:val="19"/>
        </w:rPr>
        <w:t xml:space="preserve"> </w:t>
      </w:r>
      <w:r>
        <w:t>each</w:t>
      </w:r>
      <w:r>
        <w:rPr>
          <w:spacing w:val="19"/>
        </w:rPr>
        <w:t xml:space="preserve"> </w:t>
      </w:r>
      <w:r>
        <w:t>is</w:t>
      </w:r>
      <w:r>
        <w:rPr>
          <w:spacing w:val="20"/>
        </w:rPr>
        <w:t xml:space="preserve"> </w:t>
      </w:r>
      <w:r>
        <w:rPr>
          <w:spacing w:val="-5"/>
        </w:rPr>
        <w:t>the</w:t>
      </w:r>
    </w:p>
    <w:p w14:paraId="7E003231" w14:textId="77777777" w:rsidR="009A58DB" w:rsidRDefault="009A58DB">
      <w:pPr>
        <w:pStyle w:val="BodyText"/>
        <w:sectPr w:rsidR="009A58DB">
          <w:pgSz w:w="12240" w:h="15840"/>
          <w:pgMar w:top="1380" w:right="1080" w:bottom="280" w:left="1080" w:header="720" w:footer="720" w:gutter="0"/>
          <w:cols w:space="720"/>
        </w:sectPr>
      </w:pPr>
    </w:p>
    <w:p w14:paraId="7E003232" w14:textId="77777777" w:rsidR="009A58DB" w:rsidRDefault="00000000">
      <w:pPr>
        <w:pStyle w:val="BodyText"/>
        <w:spacing w:before="65"/>
        <w:ind w:left="570"/>
      </w:pPr>
      <w:r>
        <w:t>dual</w:t>
      </w:r>
      <w:r>
        <w:rPr>
          <w:spacing w:val="-5"/>
        </w:rPr>
        <w:t xml:space="preserve"> </w:t>
      </w:r>
      <w:r>
        <w:t>of</w:t>
      </w:r>
      <w:r>
        <w:rPr>
          <w:spacing w:val="-3"/>
        </w:rPr>
        <w:t xml:space="preserve"> </w:t>
      </w:r>
      <w:r>
        <w:t>the</w:t>
      </w:r>
      <w:r>
        <w:rPr>
          <w:spacing w:val="-3"/>
        </w:rPr>
        <w:t xml:space="preserve"> </w:t>
      </w:r>
      <w:r>
        <w:t>other.</w:t>
      </w:r>
      <w:r>
        <w:rPr>
          <w:spacing w:val="-2"/>
        </w:rPr>
        <w:t xml:space="preserve"> </w:t>
      </w:r>
      <w:r>
        <w:t>If</w:t>
      </w:r>
      <w:r>
        <w:rPr>
          <w:spacing w:val="-3"/>
        </w:rPr>
        <w:t xml:space="preserve"> </w:t>
      </w:r>
      <w:r>
        <w:t>you</w:t>
      </w:r>
      <w:r>
        <w:rPr>
          <w:spacing w:val="-2"/>
        </w:rPr>
        <w:t xml:space="preserve"> </w:t>
      </w:r>
      <w:r>
        <w:t>can’t</w:t>
      </w:r>
      <w:r>
        <w:rPr>
          <w:spacing w:val="-3"/>
        </w:rPr>
        <w:t xml:space="preserve"> </w:t>
      </w:r>
      <w:r>
        <w:t>find</w:t>
      </w:r>
      <w:r>
        <w:rPr>
          <w:spacing w:val="-2"/>
        </w:rPr>
        <w:t xml:space="preserve"> </w:t>
      </w:r>
      <w:r>
        <w:t>two</w:t>
      </w:r>
      <w:r>
        <w:rPr>
          <w:spacing w:val="-2"/>
        </w:rPr>
        <w:t xml:space="preserve"> </w:t>
      </w:r>
      <w:r>
        <w:t>such</w:t>
      </w:r>
      <w:r>
        <w:rPr>
          <w:spacing w:val="-2"/>
        </w:rPr>
        <w:t xml:space="preserve"> </w:t>
      </w:r>
      <w:r>
        <w:t>operators,</w:t>
      </w:r>
      <w:r>
        <w:rPr>
          <w:spacing w:val="-2"/>
        </w:rPr>
        <w:t xml:space="preserve"> </w:t>
      </w:r>
      <w:r>
        <w:t>invent</w:t>
      </w:r>
      <w:r>
        <w:rPr>
          <w:spacing w:val="-2"/>
        </w:rPr>
        <w:t xml:space="preserve"> them.</w:t>
      </w:r>
    </w:p>
    <w:p w14:paraId="7E003233" w14:textId="77777777" w:rsidR="009A58DB" w:rsidRDefault="00000000">
      <w:pPr>
        <w:pStyle w:val="BodyText"/>
        <w:spacing w:before="120" w:line="249" w:lineRule="auto"/>
        <w:ind w:left="570" w:right="371" w:hanging="210"/>
      </w:pPr>
      <w:bookmarkStart w:id="1105" w:name="_bookmark1105"/>
      <w:bookmarkEnd w:id="1105"/>
      <w:r>
        <w:rPr>
          <w:color w:val="0562C1"/>
          <w:u w:val="single" w:color="0562C1"/>
          <w:vertAlign w:val="superscript"/>
        </w:rPr>
        <w:t>[432]</w:t>
      </w:r>
      <w:r>
        <w:rPr>
          <w:sz w:val="22"/>
        </w:rPr>
        <w:t xml:space="preserve">. </w:t>
      </w:r>
      <w:r>
        <w:t>Technically, this section should be called “some rudiments of symbolic logic”—the</w:t>
      </w:r>
      <w:r>
        <w:rPr>
          <w:spacing w:val="-5"/>
        </w:rPr>
        <w:t xml:space="preserve"> </w:t>
      </w:r>
      <w:r>
        <w:t>word</w:t>
      </w:r>
      <w:r>
        <w:rPr>
          <w:spacing w:val="-4"/>
        </w:rPr>
        <w:t xml:space="preserve"> </w:t>
      </w:r>
      <w:r>
        <w:t>“formal”</w:t>
      </w:r>
      <w:r>
        <w:rPr>
          <w:spacing w:val="-5"/>
        </w:rPr>
        <w:t xml:space="preserve"> </w:t>
      </w:r>
      <w:r>
        <w:t>isn’t</w:t>
      </w:r>
      <w:r>
        <w:rPr>
          <w:spacing w:val="-5"/>
        </w:rPr>
        <w:t xml:space="preserve"> </w:t>
      </w:r>
      <w:r>
        <w:t>quite</w:t>
      </w:r>
      <w:r>
        <w:rPr>
          <w:spacing w:val="-5"/>
        </w:rPr>
        <w:t xml:space="preserve"> </w:t>
      </w:r>
      <w:r>
        <w:t>appropriate.</w:t>
      </w:r>
      <w:r>
        <w:rPr>
          <w:spacing w:val="-4"/>
        </w:rPr>
        <w:t xml:space="preserve"> </w:t>
      </w:r>
      <w:r>
        <w:t>The</w:t>
      </w:r>
      <w:r>
        <w:rPr>
          <w:spacing w:val="-5"/>
        </w:rPr>
        <w:t xml:space="preserve"> </w:t>
      </w:r>
      <w:r>
        <w:t>reason</w:t>
      </w:r>
      <w:r>
        <w:rPr>
          <w:spacing w:val="-4"/>
        </w:rPr>
        <w:t xml:space="preserve"> </w:t>
      </w:r>
      <w:r>
        <w:t>is</w:t>
      </w:r>
      <w:r>
        <w:rPr>
          <w:spacing w:val="-5"/>
        </w:rPr>
        <w:t xml:space="preserve"> </w:t>
      </w:r>
      <w:r>
        <w:t>that</w:t>
      </w:r>
      <w:r>
        <w:rPr>
          <w:spacing w:val="-5"/>
        </w:rPr>
        <w:t xml:space="preserve"> </w:t>
      </w:r>
      <w:r>
        <w:t>Modus Ponens, Modus Tollens, and other mainstays of “formal logic” are not themselves formally true. First of all, “((P and (P→Q))→Q” isn’t itself a statement at all. It’s a statement form. The corresponding statement is: “Given any propositions P and Q, (P and (P→Q))→Q” , which isn’t formally</w:t>
      </w:r>
      <w:r>
        <w:rPr>
          <w:spacing w:val="-3"/>
        </w:rPr>
        <w:t xml:space="preserve"> </w:t>
      </w:r>
      <w:r>
        <w:t>true,</w:t>
      </w:r>
      <w:r>
        <w:rPr>
          <w:spacing w:val="-3"/>
        </w:rPr>
        <w:t xml:space="preserve"> </w:t>
      </w:r>
      <w:r>
        <w:t>as</w:t>
      </w:r>
      <w:r>
        <w:rPr>
          <w:spacing w:val="-4"/>
        </w:rPr>
        <w:t xml:space="preserve"> </w:t>
      </w:r>
      <w:r>
        <w:t>it</w:t>
      </w:r>
      <w:r>
        <w:rPr>
          <w:spacing w:val="-4"/>
        </w:rPr>
        <w:t xml:space="preserve"> </w:t>
      </w:r>
      <w:r>
        <w:t>has</w:t>
      </w:r>
      <w:r>
        <w:rPr>
          <w:spacing w:val="-4"/>
        </w:rPr>
        <w:t xml:space="preserve"> </w:t>
      </w:r>
      <w:r>
        <w:t>the</w:t>
      </w:r>
      <w:r>
        <w:rPr>
          <w:spacing w:val="-4"/>
        </w:rPr>
        <w:t xml:space="preserve"> </w:t>
      </w:r>
      <w:r>
        <w:t>same</w:t>
      </w:r>
      <w:r>
        <w:rPr>
          <w:spacing w:val="-4"/>
        </w:rPr>
        <w:t xml:space="preserve"> </w:t>
      </w:r>
      <w:r>
        <w:t>form</w:t>
      </w:r>
      <w:r>
        <w:rPr>
          <w:spacing w:val="-4"/>
        </w:rPr>
        <w:t xml:space="preserve"> </w:t>
      </w:r>
      <w:r>
        <w:t>as</w:t>
      </w:r>
      <w:r>
        <w:rPr>
          <w:spacing w:val="-4"/>
        </w:rPr>
        <w:t xml:space="preserve"> </w:t>
      </w:r>
      <w:r>
        <w:t>“Given</w:t>
      </w:r>
      <w:r>
        <w:rPr>
          <w:spacing w:val="-3"/>
        </w:rPr>
        <w:t xml:space="preserve"> </w:t>
      </w:r>
      <w:r>
        <w:t>no</w:t>
      </w:r>
      <w:r>
        <w:rPr>
          <w:spacing w:val="-3"/>
        </w:rPr>
        <w:t xml:space="preserve"> </w:t>
      </w:r>
      <w:r>
        <w:t>propositions</w:t>
      </w:r>
      <w:r>
        <w:rPr>
          <w:spacing w:val="-4"/>
        </w:rPr>
        <w:t xml:space="preserve"> </w:t>
      </w:r>
      <w:r>
        <w:t>P</w:t>
      </w:r>
      <w:r>
        <w:rPr>
          <w:spacing w:val="-4"/>
        </w:rPr>
        <w:t xml:space="preserve"> </w:t>
      </w:r>
      <w:r>
        <w:t>and</w:t>
      </w:r>
      <w:r>
        <w:rPr>
          <w:spacing w:val="-3"/>
        </w:rPr>
        <w:t xml:space="preserve"> </w:t>
      </w:r>
      <w:r>
        <w:t>Q,</w:t>
      </w:r>
      <w:r>
        <w:rPr>
          <w:spacing w:val="-3"/>
        </w:rPr>
        <w:t xml:space="preserve"> </w:t>
      </w:r>
      <w:r>
        <w:t>(P and (P→Q))→Q.”</w:t>
      </w:r>
    </w:p>
    <w:p w14:paraId="7E003234" w14:textId="77777777" w:rsidR="009A58DB" w:rsidRDefault="00000000">
      <w:pPr>
        <w:pStyle w:val="BodyText"/>
        <w:spacing w:before="114" w:line="249" w:lineRule="auto"/>
        <w:ind w:left="720" w:right="359" w:hanging="360"/>
      </w:pPr>
      <w:bookmarkStart w:id="1106" w:name="_bookmark1106"/>
      <w:bookmarkEnd w:id="1106"/>
      <w:r>
        <w:rPr>
          <w:color w:val="0562C1"/>
          <w:u w:val="single" w:color="0562C1"/>
          <w:vertAlign w:val="superscript"/>
        </w:rPr>
        <w:t>[433]</w:t>
      </w:r>
      <w:r>
        <w:rPr>
          <w:sz w:val="22"/>
        </w:rPr>
        <w:t xml:space="preserve">. </w:t>
      </w:r>
      <w:r>
        <w:t xml:space="preserve">Peter Strawson makes this point in his landmark (1950) paper “On </w:t>
      </w:r>
      <w:r>
        <w:rPr>
          <w:spacing w:val="-2"/>
        </w:rPr>
        <w:t>referring.”</w:t>
      </w:r>
    </w:p>
    <w:p w14:paraId="7E003235" w14:textId="77777777" w:rsidR="009A58DB" w:rsidRDefault="00000000">
      <w:pPr>
        <w:pStyle w:val="BodyText"/>
        <w:spacing w:before="108" w:line="249" w:lineRule="auto"/>
        <w:ind w:left="570" w:right="373" w:hanging="210"/>
      </w:pPr>
      <w:bookmarkStart w:id="1107" w:name="_bookmark1107"/>
      <w:bookmarkEnd w:id="1107"/>
      <w:r>
        <w:rPr>
          <w:color w:val="0562C1"/>
          <w:u w:val="single" w:color="0562C1"/>
          <w:vertAlign w:val="superscript"/>
        </w:rPr>
        <w:t>[434]</w:t>
      </w:r>
      <w:r>
        <w:rPr>
          <w:sz w:val="22"/>
        </w:rPr>
        <w:t>.</w:t>
      </w:r>
      <w:r>
        <w:rPr>
          <w:spacing w:val="18"/>
          <w:sz w:val="22"/>
        </w:rPr>
        <w:t xml:space="preserve"> </w:t>
      </w:r>
      <w:r>
        <w:t>The scope of the box-operator only includes the P. So 12 says that, if P</w:t>
      </w:r>
      <w:r>
        <w:rPr>
          <w:spacing w:val="80"/>
        </w:rPr>
        <w:t xml:space="preserve"> </w:t>
      </w:r>
      <w:r>
        <w:t xml:space="preserve">is necessary, it follows that Q entails P. 12 does </w:t>
      </w:r>
      <w:r>
        <w:rPr>
          <w:i/>
        </w:rPr>
        <w:t xml:space="preserve">not </w:t>
      </w:r>
      <w:r>
        <w:t xml:space="preserve">say that </w:t>
      </w:r>
      <w:r>
        <w:rPr>
          <w:i/>
        </w:rPr>
        <w:t xml:space="preserve">it’s necessary that P entails that Q entails that P. </w:t>
      </w:r>
      <w:r>
        <w:t>The italicized principles is false, being equivalent to the obvious falsehood that every statement is entailed by</w:t>
      </w:r>
      <w:r>
        <w:rPr>
          <w:spacing w:val="40"/>
        </w:rPr>
        <w:t xml:space="preserve"> </w:t>
      </w:r>
      <w:r>
        <w:t>every statement.</w:t>
      </w:r>
    </w:p>
    <w:p w14:paraId="7E003236" w14:textId="77777777" w:rsidR="009A58DB" w:rsidRDefault="00000000">
      <w:pPr>
        <w:pStyle w:val="BodyText"/>
        <w:spacing w:before="111" w:line="249" w:lineRule="auto"/>
        <w:ind w:left="570" w:right="376" w:hanging="210"/>
      </w:pPr>
      <w:bookmarkStart w:id="1108" w:name="_bookmark1108"/>
      <w:bookmarkEnd w:id="1108"/>
      <w:r>
        <w:rPr>
          <w:color w:val="0562C1"/>
          <w:u w:val="single" w:color="0562C1"/>
          <w:vertAlign w:val="superscript"/>
        </w:rPr>
        <w:t>[435]</w:t>
      </w:r>
      <w:r>
        <w:rPr>
          <w:sz w:val="22"/>
        </w:rPr>
        <w:t xml:space="preserve">. </w:t>
      </w:r>
      <w:r>
        <w:t>In “The logic of what might have been,” in Salmon (2005), Nathan Salmon argues that S5 is false.</w:t>
      </w:r>
    </w:p>
    <w:p w14:paraId="7E003237" w14:textId="77777777" w:rsidR="009A58DB" w:rsidRDefault="00000000">
      <w:pPr>
        <w:pStyle w:val="BodyText"/>
        <w:spacing w:before="108"/>
      </w:pPr>
      <w:bookmarkStart w:id="1109" w:name="_bookmark1109"/>
      <w:bookmarkEnd w:id="1109"/>
      <w:r>
        <w:rPr>
          <w:color w:val="0562C1"/>
          <w:u w:val="single" w:color="0562C1"/>
          <w:vertAlign w:val="superscript"/>
        </w:rPr>
        <w:t>[436]</w:t>
      </w:r>
      <w:r>
        <w:rPr>
          <w:sz w:val="22"/>
        </w:rPr>
        <w:t>.</w:t>
      </w:r>
      <w:r>
        <w:rPr>
          <w:spacing w:val="12"/>
          <w:sz w:val="22"/>
        </w:rPr>
        <w:t xml:space="preserve"> </w:t>
      </w:r>
      <w:r>
        <w:t>“MT”</w:t>
      </w:r>
      <w:r>
        <w:rPr>
          <w:spacing w:val="15"/>
        </w:rPr>
        <w:t xml:space="preserve"> </w:t>
      </w:r>
      <w:r>
        <w:t>is</w:t>
      </w:r>
      <w:r>
        <w:rPr>
          <w:spacing w:val="14"/>
        </w:rPr>
        <w:t xml:space="preserve"> </w:t>
      </w:r>
      <w:r>
        <w:t>short</w:t>
      </w:r>
      <w:r>
        <w:rPr>
          <w:spacing w:val="15"/>
        </w:rPr>
        <w:t xml:space="preserve"> </w:t>
      </w:r>
      <w:r>
        <w:t>for</w:t>
      </w:r>
      <w:r>
        <w:rPr>
          <w:spacing w:val="14"/>
        </w:rPr>
        <w:t xml:space="preserve"> </w:t>
      </w:r>
      <w:r>
        <w:t>“model-</w:t>
      </w:r>
      <w:r>
        <w:rPr>
          <w:spacing w:val="-2"/>
        </w:rPr>
        <w:t>theoretic.”</w:t>
      </w:r>
    </w:p>
    <w:p w14:paraId="7E003238" w14:textId="77777777" w:rsidR="009A58DB" w:rsidRDefault="00000000">
      <w:pPr>
        <w:pStyle w:val="BodyText"/>
        <w:spacing w:before="120" w:line="249" w:lineRule="auto"/>
        <w:ind w:left="675" w:right="374" w:hanging="315"/>
      </w:pPr>
      <w:bookmarkStart w:id="1110" w:name="_bookmark1110"/>
      <w:bookmarkEnd w:id="1110"/>
      <w:r>
        <w:rPr>
          <w:color w:val="0562C1"/>
          <w:u w:val="single" w:color="0562C1"/>
          <w:vertAlign w:val="superscript"/>
        </w:rPr>
        <w:t>[437]</w:t>
      </w:r>
      <w:r>
        <w:rPr>
          <w:sz w:val="22"/>
        </w:rPr>
        <w:t xml:space="preserve">. </w:t>
      </w:r>
      <w:r>
        <w:t xml:space="preserve">Actually, P and Q can’t really be sentences if this is to be true. Nor can they be sentence-tokens. It must be supposed that they express </w:t>
      </w:r>
      <w:r>
        <w:rPr>
          <w:i/>
        </w:rPr>
        <w:t xml:space="preserve">propositions. </w:t>
      </w:r>
      <w:r>
        <w:t xml:space="preserve">But since formal entailment is a relationship between expressions, not propositions, it isn’t an option for formal logic to construe modus ponens (if P and (P→Q), then Q) as being to the effect that: for any </w:t>
      </w:r>
      <w:r>
        <w:rPr>
          <w:i/>
        </w:rPr>
        <w:t>propositions</w:t>
      </w:r>
      <w:r>
        <w:rPr>
          <w:i/>
          <w:spacing w:val="-3"/>
        </w:rPr>
        <w:t xml:space="preserve"> </w:t>
      </w:r>
      <w:r>
        <w:t>P and Q, (if P and (P→Q), then Q). The formal logician must find expressions that, if the substituents of P, Q, etc. validate that statement. This is very hard to do, which exposes an incoherence that lies at the center of formal logic.</w:t>
      </w:r>
    </w:p>
    <w:p w14:paraId="7E003239" w14:textId="77777777" w:rsidR="009A58DB" w:rsidRDefault="00000000">
      <w:pPr>
        <w:pStyle w:val="BodyText"/>
        <w:spacing w:before="116" w:line="249" w:lineRule="auto"/>
        <w:ind w:left="720" w:right="359" w:hanging="360"/>
      </w:pPr>
      <w:bookmarkStart w:id="1111" w:name="_bookmark1111"/>
      <w:bookmarkEnd w:id="1111"/>
      <w:r>
        <w:rPr>
          <w:color w:val="0562C1"/>
          <w:u w:val="single" w:color="0562C1"/>
          <w:vertAlign w:val="superscript"/>
        </w:rPr>
        <w:t>[438]</w:t>
      </w:r>
      <w:r>
        <w:rPr>
          <w:sz w:val="22"/>
        </w:rPr>
        <w:t xml:space="preserve">. </w:t>
      </w:r>
      <w:r>
        <w:t xml:space="preserve">Actually, P and Q can’t really be sentences if this is to be true. Nor can they be sentence-tokens. It must be supposed that they express </w:t>
      </w:r>
      <w:r>
        <w:rPr>
          <w:i/>
        </w:rPr>
        <w:t xml:space="preserve">propositions. </w:t>
      </w:r>
      <w:r>
        <w:t>But since formal entailment is a relationship between expressions,</w:t>
      </w:r>
      <w:r>
        <w:rPr>
          <w:spacing w:val="-3"/>
        </w:rPr>
        <w:t xml:space="preserve"> </w:t>
      </w:r>
      <w:r>
        <w:t>not</w:t>
      </w:r>
      <w:r>
        <w:rPr>
          <w:spacing w:val="-4"/>
        </w:rPr>
        <w:t xml:space="preserve"> </w:t>
      </w:r>
      <w:r>
        <w:t>propositions,</w:t>
      </w:r>
      <w:r>
        <w:rPr>
          <w:spacing w:val="-3"/>
        </w:rPr>
        <w:t xml:space="preserve"> </w:t>
      </w:r>
      <w:r>
        <w:t>it</w:t>
      </w:r>
      <w:r>
        <w:rPr>
          <w:spacing w:val="-4"/>
        </w:rPr>
        <w:t xml:space="preserve"> </w:t>
      </w:r>
      <w:r>
        <w:t>isn’t</w:t>
      </w:r>
      <w:r>
        <w:rPr>
          <w:spacing w:val="-4"/>
        </w:rPr>
        <w:t xml:space="preserve"> </w:t>
      </w:r>
      <w:r>
        <w:t>an</w:t>
      </w:r>
      <w:r>
        <w:rPr>
          <w:spacing w:val="-3"/>
        </w:rPr>
        <w:t xml:space="preserve"> </w:t>
      </w:r>
      <w:r>
        <w:t>option</w:t>
      </w:r>
      <w:r>
        <w:rPr>
          <w:spacing w:val="-3"/>
        </w:rPr>
        <w:t xml:space="preserve"> </w:t>
      </w:r>
      <w:r>
        <w:t>for</w:t>
      </w:r>
      <w:r>
        <w:rPr>
          <w:spacing w:val="-4"/>
        </w:rPr>
        <w:t xml:space="preserve"> </w:t>
      </w:r>
      <w:r>
        <w:t>formal</w:t>
      </w:r>
      <w:r>
        <w:rPr>
          <w:spacing w:val="-4"/>
        </w:rPr>
        <w:t xml:space="preserve"> </w:t>
      </w:r>
      <w:r>
        <w:t>logic</w:t>
      </w:r>
      <w:r>
        <w:rPr>
          <w:spacing w:val="-4"/>
        </w:rPr>
        <w:t xml:space="preserve"> </w:t>
      </w:r>
      <w:r>
        <w:t>to</w:t>
      </w:r>
      <w:r>
        <w:rPr>
          <w:spacing w:val="-3"/>
        </w:rPr>
        <w:t xml:space="preserve"> </w:t>
      </w:r>
      <w:r>
        <w:t>construe modus</w:t>
      </w:r>
      <w:r>
        <w:rPr>
          <w:spacing w:val="-1"/>
        </w:rPr>
        <w:t xml:space="preserve"> </w:t>
      </w:r>
      <w:r>
        <w:t>ponens (if</w:t>
      </w:r>
      <w:r>
        <w:rPr>
          <w:spacing w:val="-1"/>
        </w:rPr>
        <w:t xml:space="preserve"> </w:t>
      </w:r>
      <w:r>
        <w:t>P</w:t>
      </w:r>
      <w:r>
        <w:rPr>
          <w:spacing w:val="-1"/>
        </w:rPr>
        <w:t xml:space="preserve"> </w:t>
      </w:r>
      <w:r>
        <w:t>and</w:t>
      </w:r>
      <w:r>
        <w:rPr>
          <w:spacing w:val="-1"/>
        </w:rPr>
        <w:t xml:space="preserve"> </w:t>
      </w:r>
      <w:r>
        <w:t>(P→Q), then</w:t>
      </w:r>
      <w:r>
        <w:rPr>
          <w:spacing w:val="-1"/>
        </w:rPr>
        <w:t xml:space="preserve"> </w:t>
      </w:r>
      <w:r>
        <w:t>Q) as</w:t>
      </w:r>
      <w:r>
        <w:rPr>
          <w:spacing w:val="-1"/>
        </w:rPr>
        <w:t xml:space="preserve"> </w:t>
      </w:r>
      <w:r>
        <w:t>being to</w:t>
      </w:r>
      <w:r>
        <w:rPr>
          <w:spacing w:val="-1"/>
        </w:rPr>
        <w:t xml:space="preserve"> </w:t>
      </w:r>
      <w:r>
        <w:t>the effect</w:t>
      </w:r>
      <w:r>
        <w:rPr>
          <w:spacing w:val="-1"/>
        </w:rPr>
        <w:t xml:space="preserve"> </w:t>
      </w:r>
      <w:r>
        <w:t>that:</w:t>
      </w:r>
      <w:r>
        <w:rPr>
          <w:spacing w:val="-1"/>
        </w:rPr>
        <w:t xml:space="preserve"> </w:t>
      </w:r>
      <w:r>
        <w:t>for any</w:t>
      </w:r>
    </w:p>
    <w:p w14:paraId="7E00323A" w14:textId="77777777" w:rsidR="009A58DB" w:rsidRDefault="009A58DB">
      <w:pPr>
        <w:pStyle w:val="BodyText"/>
        <w:spacing w:line="249" w:lineRule="auto"/>
        <w:sectPr w:rsidR="009A58DB">
          <w:pgSz w:w="12240" w:h="15840"/>
          <w:pgMar w:top="1380" w:right="1080" w:bottom="280" w:left="1080" w:header="720" w:footer="720" w:gutter="0"/>
          <w:cols w:space="720"/>
        </w:sectPr>
      </w:pPr>
    </w:p>
    <w:p w14:paraId="7E00323B" w14:textId="77777777" w:rsidR="009A58DB" w:rsidRDefault="00000000">
      <w:pPr>
        <w:pStyle w:val="BodyText"/>
        <w:spacing w:before="65" w:line="249" w:lineRule="auto"/>
        <w:ind w:left="720" w:right="366"/>
      </w:pPr>
      <w:r>
        <w:rPr>
          <w:i/>
        </w:rPr>
        <w:t>propositions</w:t>
      </w:r>
      <w:r>
        <w:rPr>
          <w:i/>
          <w:spacing w:val="-4"/>
        </w:rPr>
        <w:t xml:space="preserve"> </w:t>
      </w:r>
      <w:r>
        <w:t>P and Q, (if P and (P→Q), then Q). The formal logician must find expressions that, if the substituents of P, Q, etc., validate that statement. This is very hard to do, which exposes an incoherence that lies at the center of formal logic.</w:t>
      </w:r>
    </w:p>
    <w:p w14:paraId="7E00323C" w14:textId="77777777" w:rsidR="009A58DB" w:rsidRDefault="00000000">
      <w:pPr>
        <w:pStyle w:val="BodyText"/>
        <w:spacing w:before="110"/>
        <w:jc w:val="left"/>
      </w:pPr>
      <w:bookmarkStart w:id="1112" w:name="_bookmark1112"/>
      <w:bookmarkEnd w:id="1112"/>
      <w:r>
        <w:rPr>
          <w:color w:val="0562C1"/>
          <w:w w:val="105"/>
          <w:u w:val="single" w:color="0562C1"/>
          <w:vertAlign w:val="superscript"/>
        </w:rPr>
        <w:t>[439]</w:t>
      </w:r>
      <w:r>
        <w:rPr>
          <w:w w:val="105"/>
          <w:sz w:val="22"/>
        </w:rPr>
        <w:t>.</w:t>
      </w:r>
      <w:r>
        <w:rPr>
          <w:spacing w:val="-2"/>
          <w:w w:val="105"/>
          <w:sz w:val="22"/>
        </w:rPr>
        <w:t xml:space="preserve"> </w:t>
      </w:r>
      <w:r>
        <w:rPr>
          <w:w w:val="105"/>
        </w:rPr>
        <w:t>See</w:t>
      </w:r>
      <w:r>
        <w:rPr>
          <w:spacing w:val="-5"/>
          <w:w w:val="105"/>
        </w:rPr>
        <w:t xml:space="preserve"> </w:t>
      </w:r>
      <w:r>
        <w:rPr>
          <w:w w:val="105"/>
        </w:rPr>
        <w:t>Quine</w:t>
      </w:r>
      <w:r>
        <w:rPr>
          <w:spacing w:val="-5"/>
          <w:w w:val="105"/>
        </w:rPr>
        <w:t xml:space="preserve"> </w:t>
      </w:r>
      <w:r>
        <w:rPr>
          <w:spacing w:val="-2"/>
          <w:w w:val="105"/>
        </w:rPr>
        <w:t>(1970).</w:t>
      </w:r>
    </w:p>
    <w:p w14:paraId="7E00323D" w14:textId="77777777" w:rsidR="009A58DB" w:rsidRDefault="00000000">
      <w:pPr>
        <w:pStyle w:val="BodyText"/>
        <w:spacing w:before="120"/>
        <w:jc w:val="left"/>
      </w:pPr>
      <w:bookmarkStart w:id="1113" w:name="_bookmark1113"/>
      <w:bookmarkEnd w:id="1113"/>
      <w:r>
        <w:rPr>
          <w:color w:val="0562C1"/>
          <w:u w:val="single" w:color="0562C1"/>
          <w:vertAlign w:val="superscript"/>
        </w:rPr>
        <w:t>[440]</w:t>
      </w:r>
      <w:r>
        <w:rPr>
          <w:sz w:val="22"/>
        </w:rPr>
        <w:t>.</w:t>
      </w:r>
      <w:r>
        <w:rPr>
          <w:spacing w:val="13"/>
          <w:sz w:val="22"/>
        </w:rPr>
        <w:t xml:space="preserve"> </w:t>
      </w:r>
      <w:r>
        <w:t>Hempel</w:t>
      </w:r>
      <w:r>
        <w:rPr>
          <w:spacing w:val="15"/>
        </w:rPr>
        <w:t xml:space="preserve"> </w:t>
      </w:r>
      <w:r>
        <w:t>(1945a,</w:t>
      </w:r>
      <w:r>
        <w:rPr>
          <w:spacing w:val="17"/>
        </w:rPr>
        <w:t xml:space="preserve"> </w:t>
      </w:r>
      <w:r>
        <w:t>1945b)</w:t>
      </w:r>
      <w:r>
        <w:rPr>
          <w:spacing w:val="16"/>
        </w:rPr>
        <w:t xml:space="preserve"> </w:t>
      </w:r>
      <w:r>
        <w:t>holds</w:t>
      </w:r>
      <w:r>
        <w:rPr>
          <w:spacing w:val="15"/>
        </w:rPr>
        <w:t xml:space="preserve"> </w:t>
      </w:r>
      <w:r>
        <w:rPr>
          <w:spacing w:val="-4"/>
        </w:rPr>
        <w:t>this.</w:t>
      </w:r>
    </w:p>
    <w:p w14:paraId="7E00323E" w14:textId="77777777" w:rsidR="009A58DB" w:rsidRDefault="00000000">
      <w:pPr>
        <w:pStyle w:val="BodyText"/>
        <w:spacing w:before="120" w:line="249" w:lineRule="auto"/>
        <w:ind w:left="570" w:right="382" w:hanging="210"/>
      </w:pPr>
      <w:bookmarkStart w:id="1114" w:name="_bookmark1114"/>
      <w:bookmarkEnd w:id="1114"/>
      <w:r>
        <w:rPr>
          <w:color w:val="0562C1"/>
          <w:u w:val="single" w:color="0562C1"/>
          <w:vertAlign w:val="superscript"/>
        </w:rPr>
        <w:t>[441]</w:t>
      </w:r>
      <w:r>
        <w:rPr>
          <w:sz w:val="22"/>
        </w:rPr>
        <w:t xml:space="preserve">. </w:t>
      </w:r>
      <w:r>
        <w:t>In his (1976) paper “Can there be vague objects?” Gareth Evans says that, according to a viewpoint that he rejects, “rather than being a</w:t>
      </w:r>
      <w:r>
        <w:rPr>
          <w:spacing w:val="40"/>
        </w:rPr>
        <w:t xml:space="preserve"> </w:t>
      </w:r>
      <w:r>
        <w:t>deficiency in our mode of describing the world, [vagueness] would be a necessary feature of any true description of it.” For reasons of professional ethics, I wish to bring the reader’s attention to the (unintentional, at least at the level of consciousness) similarity between my wording and Evans’.</w:t>
      </w:r>
    </w:p>
    <w:p w14:paraId="7E00323F" w14:textId="77777777" w:rsidR="009A58DB" w:rsidRDefault="00000000">
      <w:pPr>
        <w:pStyle w:val="BodyText"/>
        <w:spacing w:before="112" w:line="249" w:lineRule="auto"/>
        <w:ind w:left="645" w:right="379" w:hanging="285"/>
      </w:pPr>
      <w:bookmarkStart w:id="1115" w:name="_bookmark1115"/>
      <w:bookmarkEnd w:id="1115"/>
      <w:r>
        <w:rPr>
          <w:color w:val="0562C1"/>
          <w:u w:val="single" w:color="0562C1"/>
          <w:vertAlign w:val="superscript"/>
        </w:rPr>
        <w:t>[442]</w:t>
      </w:r>
      <w:r>
        <w:rPr>
          <w:sz w:val="22"/>
        </w:rPr>
        <w:t xml:space="preserve">. </w:t>
      </w:r>
      <w:r>
        <w:t>Contrary to what Quine alleged, Pierre Duhem (1861–1916) did not put forth the so-called “Duhem-Quine” thesis.</w:t>
      </w:r>
    </w:p>
    <w:p w14:paraId="7E003240" w14:textId="77777777" w:rsidR="009A58DB" w:rsidRDefault="00000000">
      <w:pPr>
        <w:pStyle w:val="BodyText"/>
        <w:spacing w:before="107" w:line="249" w:lineRule="auto"/>
        <w:ind w:right="367"/>
      </w:pPr>
      <w:bookmarkStart w:id="1116" w:name="_bookmark1116"/>
      <w:bookmarkEnd w:id="1116"/>
      <w:r>
        <w:rPr>
          <w:color w:val="0562C1"/>
          <w:u w:val="single" w:color="0562C1"/>
          <w:vertAlign w:val="superscript"/>
        </w:rPr>
        <w:t>[443]</w:t>
      </w:r>
      <w:r>
        <w:rPr>
          <w:sz w:val="22"/>
        </w:rPr>
        <w:t xml:space="preserve">. </w:t>
      </w:r>
      <w:r>
        <w:t xml:space="preserve">Though I believe there to be a propositional analogue of it. See Chapter </w:t>
      </w:r>
      <w:r>
        <w:rPr>
          <w:spacing w:val="-6"/>
        </w:rPr>
        <w:t>3.</w:t>
      </w:r>
    </w:p>
    <w:p w14:paraId="7E003241" w14:textId="77777777" w:rsidR="009A58DB" w:rsidRDefault="00000000">
      <w:pPr>
        <w:pStyle w:val="BodyText"/>
        <w:spacing w:before="108" w:line="249" w:lineRule="auto"/>
        <w:ind w:left="570" w:right="374" w:hanging="210"/>
      </w:pPr>
      <w:bookmarkStart w:id="1117" w:name="_bookmark1117"/>
      <w:bookmarkEnd w:id="1117"/>
      <w:r>
        <w:rPr>
          <w:color w:val="0562C1"/>
          <w:u w:val="single" w:color="0562C1"/>
          <w:vertAlign w:val="superscript"/>
        </w:rPr>
        <w:t>[444]</w:t>
      </w:r>
      <w:r>
        <w:rPr>
          <w:sz w:val="22"/>
        </w:rPr>
        <w:t xml:space="preserve">. </w:t>
      </w:r>
      <w:r>
        <w:t xml:space="preserve">There isn’t really such a thing as </w:t>
      </w:r>
      <w:r>
        <w:rPr>
          <w:i/>
        </w:rPr>
        <w:t xml:space="preserve">the </w:t>
      </w:r>
      <w:r>
        <w:t>logical form of a sentence. What it</w:t>
      </w:r>
      <w:r>
        <w:rPr>
          <w:spacing w:val="40"/>
        </w:rPr>
        <w:t xml:space="preserve"> </w:t>
      </w:r>
      <w:r>
        <w:t xml:space="preserve">is that counts as a clarification of a sentence’s meaning depends in part on what one’s starting-assumptions are. For example, if one takes the concepts </w:t>
      </w:r>
      <w:r>
        <w:rPr>
          <w:i/>
        </w:rPr>
        <w:t xml:space="preserve">point, plane, </w:t>
      </w:r>
      <w:r>
        <w:t>and so on, as primitive, the sentence “x is the class of points equidistant</w:t>
      </w:r>
      <w:r>
        <w:rPr>
          <w:spacing w:val="-1"/>
        </w:rPr>
        <w:t xml:space="preserve"> </w:t>
      </w:r>
      <w:r>
        <w:t>from</w:t>
      </w:r>
      <w:r>
        <w:rPr>
          <w:spacing w:val="-1"/>
        </w:rPr>
        <w:t xml:space="preserve"> </w:t>
      </w:r>
      <w:r>
        <w:t>a given point</w:t>
      </w:r>
      <w:r>
        <w:rPr>
          <w:spacing w:val="-1"/>
        </w:rPr>
        <w:t xml:space="preserve"> </w:t>
      </w:r>
      <w:r>
        <w:t>on a plane” might</w:t>
      </w:r>
      <w:r>
        <w:rPr>
          <w:spacing w:val="-1"/>
        </w:rPr>
        <w:t xml:space="preserve"> </w:t>
      </w:r>
      <w:r>
        <w:t>give the logical</w:t>
      </w:r>
      <w:r>
        <w:rPr>
          <w:spacing w:val="-1"/>
        </w:rPr>
        <w:t xml:space="preserve"> </w:t>
      </w:r>
      <w:r>
        <w:t>form</w:t>
      </w:r>
      <w:r>
        <w:rPr>
          <w:spacing w:val="-1"/>
        </w:rPr>
        <w:t xml:space="preserve"> </w:t>
      </w:r>
      <w:r>
        <w:t>of “x is</w:t>
      </w:r>
      <w:r>
        <w:rPr>
          <w:spacing w:val="-3"/>
        </w:rPr>
        <w:t xml:space="preserve"> </w:t>
      </w:r>
      <w:r>
        <w:t>a</w:t>
      </w:r>
      <w:r>
        <w:rPr>
          <w:spacing w:val="-2"/>
        </w:rPr>
        <w:t xml:space="preserve"> </w:t>
      </w:r>
      <w:r>
        <w:t>circle.”</w:t>
      </w:r>
      <w:r>
        <w:rPr>
          <w:spacing w:val="-2"/>
        </w:rPr>
        <w:t xml:space="preserve"> </w:t>
      </w:r>
      <w:r>
        <w:t>If</w:t>
      </w:r>
      <w:r>
        <w:rPr>
          <w:spacing w:val="-2"/>
        </w:rPr>
        <w:t xml:space="preserve"> </w:t>
      </w:r>
      <w:r>
        <w:t>one</w:t>
      </w:r>
      <w:r>
        <w:rPr>
          <w:spacing w:val="-2"/>
        </w:rPr>
        <w:t xml:space="preserve"> </w:t>
      </w:r>
      <w:r>
        <w:t>doesn’t</w:t>
      </w:r>
      <w:r>
        <w:rPr>
          <w:spacing w:val="-2"/>
        </w:rPr>
        <w:t xml:space="preserve"> </w:t>
      </w:r>
      <w:r>
        <w:t>take</w:t>
      </w:r>
      <w:r>
        <w:rPr>
          <w:spacing w:val="-2"/>
        </w:rPr>
        <w:t xml:space="preserve"> </w:t>
      </w:r>
      <w:r>
        <w:t>those</w:t>
      </w:r>
      <w:r>
        <w:rPr>
          <w:spacing w:val="-2"/>
        </w:rPr>
        <w:t xml:space="preserve"> </w:t>
      </w:r>
      <w:r>
        <w:t>concepts</w:t>
      </w:r>
      <w:r>
        <w:rPr>
          <w:spacing w:val="-2"/>
        </w:rPr>
        <w:t xml:space="preserve"> </w:t>
      </w:r>
      <w:r>
        <w:t>as</w:t>
      </w:r>
      <w:r>
        <w:rPr>
          <w:spacing w:val="-2"/>
        </w:rPr>
        <w:t xml:space="preserve"> </w:t>
      </w:r>
      <w:r>
        <w:t>primitive,</w:t>
      </w:r>
      <w:r>
        <w:rPr>
          <w:spacing w:val="-2"/>
        </w:rPr>
        <w:t xml:space="preserve"> </w:t>
      </w:r>
      <w:r>
        <w:t>it</w:t>
      </w:r>
      <w:r>
        <w:rPr>
          <w:spacing w:val="-2"/>
        </w:rPr>
        <w:t xml:space="preserve"> </w:t>
      </w:r>
      <w:r>
        <w:t>might</w:t>
      </w:r>
      <w:r>
        <w:rPr>
          <w:spacing w:val="-2"/>
        </w:rPr>
        <w:t xml:space="preserve"> </w:t>
      </w:r>
      <w:r>
        <w:t>abjectly fail to do so.</w:t>
      </w:r>
    </w:p>
    <w:p w14:paraId="7E003242" w14:textId="77777777" w:rsidR="009A58DB" w:rsidRDefault="00000000">
      <w:pPr>
        <w:pStyle w:val="BodyText"/>
        <w:spacing w:before="9" w:line="249" w:lineRule="auto"/>
        <w:ind w:left="570" w:right="372" w:firstLine="210"/>
      </w:pPr>
      <w:r>
        <w:t>Also, given some language L that is expressively more powerful than English, the L-sentence that would give the logical form of “snow is white” would not be a direct translation of the English sentence that would do so. So</w:t>
      </w:r>
      <w:r>
        <w:rPr>
          <w:spacing w:val="-3"/>
        </w:rPr>
        <w:t xml:space="preserve"> </w:t>
      </w:r>
      <w:r>
        <w:t>it</w:t>
      </w:r>
      <w:r>
        <w:rPr>
          <w:spacing w:val="-4"/>
        </w:rPr>
        <w:t xml:space="preserve"> </w:t>
      </w:r>
      <w:r>
        <w:t>could</w:t>
      </w:r>
      <w:r>
        <w:rPr>
          <w:spacing w:val="-3"/>
        </w:rPr>
        <w:t xml:space="preserve"> </w:t>
      </w:r>
      <w:r>
        <w:t>be</w:t>
      </w:r>
      <w:r>
        <w:rPr>
          <w:spacing w:val="-4"/>
        </w:rPr>
        <w:t xml:space="preserve"> </w:t>
      </w:r>
      <w:r>
        <w:t>sentence</w:t>
      </w:r>
      <w:r>
        <w:rPr>
          <w:spacing w:val="-4"/>
        </w:rPr>
        <w:t xml:space="preserve"> </w:t>
      </w:r>
      <w:r>
        <w:t>that</w:t>
      </w:r>
      <w:r>
        <w:rPr>
          <w:spacing w:val="-4"/>
        </w:rPr>
        <w:t xml:space="preserve"> </w:t>
      </w:r>
      <w:r>
        <w:t>the</w:t>
      </w:r>
      <w:r>
        <w:rPr>
          <w:spacing w:val="-4"/>
        </w:rPr>
        <w:t xml:space="preserve"> </w:t>
      </w:r>
      <w:r>
        <w:t>logical</w:t>
      </w:r>
      <w:r>
        <w:rPr>
          <w:spacing w:val="-4"/>
        </w:rPr>
        <w:t xml:space="preserve"> </w:t>
      </w:r>
      <w:r>
        <w:t>form</w:t>
      </w:r>
      <w:r>
        <w:rPr>
          <w:spacing w:val="-4"/>
        </w:rPr>
        <w:t xml:space="preserve"> </w:t>
      </w:r>
      <w:r>
        <w:t>of</w:t>
      </w:r>
      <w:r>
        <w:rPr>
          <w:spacing w:val="-4"/>
        </w:rPr>
        <w:t xml:space="preserve"> </w:t>
      </w:r>
      <w:r>
        <w:t>“snow</w:t>
      </w:r>
      <w:r>
        <w:rPr>
          <w:spacing w:val="-4"/>
        </w:rPr>
        <w:t xml:space="preserve"> </w:t>
      </w:r>
      <w:r>
        <w:t>is</w:t>
      </w:r>
      <w:r>
        <w:rPr>
          <w:spacing w:val="-4"/>
        </w:rPr>
        <w:t xml:space="preserve"> </w:t>
      </w:r>
      <w:r>
        <w:t>white”</w:t>
      </w:r>
      <w:r>
        <w:rPr>
          <w:spacing w:val="-3"/>
        </w:rPr>
        <w:t xml:space="preserve"> </w:t>
      </w:r>
      <w:r>
        <w:rPr>
          <w:i/>
        </w:rPr>
        <w:t>relative</w:t>
      </w:r>
      <w:r>
        <w:rPr>
          <w:i/>
          <w:spacing w:val="-4"/>
        </w:rPr>
        <w:t xml:space="preserve"> </w:t>
      </w:r>
      <w:r>
        <w:rPr>
          <w:i/>
        </w:rPr>
        <w:t>to</w:t>
      </w:r>
      <w:r>
        <w:rPr>
          <w:i/>
          <w:spacing w:val="-3"/>
        </w:rPr>
        <w:t xml:space="preserve"> </w:t>
      </w:r>
      <w:r>
        <w:rPr>
          <w:i/>
        </w:rPr>
        <w:t xml:space="preserve">L </w:t>
      </w:r>
      <w:r>
        <w:t xml:space="preserve">isn’t identical with the logical form of “snow is white” relative to English. (That said, I’m not entirely convinced that logical form is relative in this </w:t>
      </w:r>
      <w:r>
        <w:rPr>
          <w:spacing w:val="-2"/>
        </w:rPr>
        <w:t>way.)</w:t>
      </w:r>
    </w:p>
    <w:p w14:paraId="7E003243" w14:textId="77777777" w:rsidR="009A58DB" w:rsidRDefault="00000000">
      <w:pPr>
        <w:pStyle w:val="BodyText"/>
        <w:spacing w:before="113" w:line="249" w:lineRule="auto"/>
        <w:ind w:right="360"/>
      </w:pPr>
      <w:bookmarkStart w:id="1118" w:name="_bookmark1118"/>
      <w:bookmarkEnd w:id="1118"/>
      <w:r>
        <w:rPr>
          <w:color w:val="0562C1"/>
          <w:u w:val="single" w:color="0562C1"/>
          <w:vertAlign w:val="superscript"/>
        </w:rPr>
        <w:t>[445]</w:t>
      </w:r>
      <w:r>
        <w:rPr>
          <w:sz w:val="22"/>
        </w:rPr>
        <w:t xml:space="preserve">. </w:t>
      </w:r>
      <w:r>
        <w:t xml:space="preserve">For example, Peter Strawson in his otherwise brilliant (1950) paper “On </w:t>
      </w:r>
      <w:r>
        <w:rPr>
          <w:spacing w:val="-2"/>
        </w:rPr>
        <w:t>referring.”</w:t>
      </w:r>
    </w:p>
    <w:p w14:paraId="7E003244" w14:textId="77777777" w:rsidR="009A58DB" w:rsidRDefault="00000000">
      <w:pPr>
        <w:pStyle w:val="BodyText"/>
        <w:spacing w:before="108"/>
      </w:pPr>
      <w:bookmarkStart w:id="1119" w:name="_bookmark1119"/>
      <w:bookmarkEnd w:id="1119"/>
      <w:r>
        <w:rPr>
          <w:color w:val="0562C1"/>
          <w:u w:val="single" w:color="0562C1"/>
          <w:vertAlign w:val="superscript"/>
        </w:rPr>
        <w:t>[446]</w:t>
      </w:r>
      <w:r>
        <w:rPr>
          <w:sz w:val="22"/>
        </w:rPr>
        <w:t>.</w:t>
      </w:r>
      <w:r>
        <w:rPr>
          <w:spacing w:val="19"/>
          <w:sz w:val="22"/>
        </w:rPr>
        <w:t xml:space="preserve"> </w:t>
      </w:r>
      <w:r>
        <w:t>The</w:t>
      </w:r>
      <w:r>
        <w:rPr>
          <w:spacing w:val="25"/>
        </w:rPr>
        <w:t xml:space="preserve"> </w:t>
      </w:r>
      <w:r>
        <w:t>sentence</w:t>
      </w:r>
      <w:r>
        <w:rPr>
          <w:spacing w:val="26"/>
        </w:rPr>
        <w:t xml:space="preserve"> </w:t>
      </w:r>
      <w:r>
        <w:t>“this</w:t>
      </w:r>
      <w:r>
        <w:rPr>
          <w:spacing w:val="25"/>
        </w:rPr>
        <w:t xml:space="preserve"> </w:t>
      </w:r>
      <w:r>
        <w:t>is</w:t>
      </w:r>
      <w:r>
        <w:rPr>
          <w:spacing w:val="27"/>
        </w:rPr>
        <w:t xml:space="preserve"> </w:t>
      </w:r>
      <w:r>
        <w:t>radically</w:t>
      </w:r>
      <w:r>
        <w:rPr>
          <w:spacing w:val="25"/>
        </w:rPr>
        <w:t xml:space="preserve"> </w:t>
      </w:r>
      <w:r>
        <w:t>absurd”</w:t>
      </w:r>
      <w:r>
        <w:rPr>
          <w:spacing w:val="25"/>
        </w:rPr>
        <w:t xml:space="preserve"> </w:t>
      </w:r>
      <w:r>
        <w:t>occurs</w:t>
      </w:r>
      <w:r>
        <w:rPr>
          <w:spacing w:val="26"/>
        </w:rPr>
        <w:t xml:space="preserve"> </w:t>
      </w:r>
      <w:r>
        <w:t>in</w:t>
      </w:r>
      <w:r>
        <w:rPr>
          <w:spacing w:val="25"/>
        </w:rPr>
        <w:t xml:space="preserve"> </w:t>
      </w:r>
      <w:r>
        <w:t>Russell’s</w:t>
      </w:r>
      <w:r>
        <w:rPr>
          <w:spacing w:val="26"/>
        </w:rPr>
        <w:t xml:space="preserve"> </w:t>
      </w:r>
      <w:r>
        <w:t>(1903)</w:t>
      </w:r>
      <w:r>
        <w:rPr>
          <w:spacing w:val="26"/>
        </w:rPr>
        <w:t xml:space="preserve"> </w:t>
      </w:r>
      <w:r>
        <w:rPr>
          <w:spacing w:val="-4"/>
        </w:rPr>
        <w:t>book</w:t>
      </w:r>
    </w:p>
    <w:p w14:paraId="7E003245" w14:textId="77777777" w:rsidR="009A58DB" w:rsidRDefault="009A58DB">
      <w:pPr>
        <w:pStyle w:val="BodyText"/>
        <w:sectPr w:rsidR="009A58DB">
          <w:pgSz w:w="12240" w:h="15840"/>
          <w:pgMar w:top="1380" w:right="1080" w:bottom="280" w:left="1080" w:header="720" w:footer="720" w:gutter="0"/>
          <w:cols w:space="720"/>
        </w:sectPr>
      </w:pPr>
    </w:p>
    <w:p w14:paraId="7E003246" w14:textId="77777777" w:rsidR="009A58DB" w:rsidRDefault="00000000">
      <w:pPr>
        <w:pStyle w:val="BodyText"/>
        <w:spacing w:before="65" w:line="249" w:lineRule="auto"/>
        <w:ind w:left="570" w:right="377"/>
      </w:pPr>
      <w:r>
        <w:rPr>
          <w:i/>
        </w:rPr>
        <w:t>Principles</w:t>
      </w:r>
      <w:r>
        <w:rPr>
          <w:i/>
          <w:spacing w:val="-4"/>
        </w:rPr>
        <w:t xml:space="preserve"> </w:t>
      </w:r>
      <w:r>
        <w:rPr>
          <w:i/>
        </w:rPr>
        <w:t>of</w:t>
      </w:r>
      <w:r>
        <w:rPr>
          <w:i/>
          <w:spacing w:val="-4"/>
        </w:rPr>
        <w:t xml:space="preserve"> </w:t>
      </w:r>
      <w:r>
        <w:rPr>
          <w:i/>
        </w:rPr>
        <w:t>Mathematics</w:t>
      </w:r>
      <w:r>
        <w:rPr>
          <w:i/>
          <w:spacing w:val="-4"/>
        </w:rPr>
        <w:t xml:space="preserve"> </w:t>
      </w:r>
      <w:r>
        <w:t>(PM).</w:t>
      </w:r>
      <w:r>
        <w:rPr>
          <w:spacing w:val="-2"/>
        </w:rPr>
        <w:t xml:space="preserve"> </w:t>
      </w:r>
      <w:r>
        <w:t>(It</w:t>
      </w:r>
      <w:r>
        <w:rPr>
          <w:spacing w:val="-2"/>
        </w:rPr>
        <w:t xml:space="preserve"> </w:t>
      </w:r>
      <w:r>
        <w:t>occurs</w:t>
      </w:r>
      <w:r>
        <w:rPr>
          <w:spacing w:val="-2"/>
        </w:rPr>
        <w:t xml:space="preserve"> </w:t>
      </w:r>
      <w:r>
        <w:t>in</w:t>
      </w:r>
      <w:r>
        <w:rPr>
          <w:spacing w:val="-2"/>
        </w:rPr>
        <w:t xml:space="preserve"> </w:t>
      </w:r>
      <w:r>
        <w:t>the</w:t>
      </w:r>
      <w:r>
        <w:rPr>
          <w:spacing w:val="-2"/>
        </w:rPr>
        <w:t xml:space="preserve"> </w:t>
      </w:r>
      <w:r>
        <w:t>chapter</w:t>
      </w:r>
      <w:r>
        <w:rPr>
          <w:spacing w:val="-2"/>
        </w:rPr>
        <w:t xml:space="preserve"> </w:t>
      </w:r>
      <w:r>
        <w:t>on</w:t>
      </w:r>
      <w:r>
        <w:rPr>
          <w:spacing w:val="-2"/>
        </w:rPr>
        <w:t xml:space="preserve"> </w:t>
      </w:r>
      <w:r>
        <w:t>Newton’s</w:t>
      </w:r>
      <w:r>
        <w:rPr>
          <w:spacing w:val="-2"/>
        </w:rPr>
        <w:t xml:space="preserve"> </w:t>
      </w:r>
      <w:r>
        <w:t>laws of motion.) I rather fancy this sentence, and thus use it from time to time. Ironically, the statement that Russell describes as “radically absurd” in PM is, as I recall, quite a defensible one.</w:t>
      </w:r>
    </w:p>
    <w:p w14:paraId="7E003247" w14:textId="77777777" w:rsidR="009A58DB" w:rsidRDefault="00000000">
      <w:pPr>
        <w:pStyle w:val="BodyText"/>
        <w:spacing w:before="110"/>
      </w:pPr>
      <w:bookmarkStart w:id="1120" w:name="_bookmark1120"/>
      <w:bookmarkEnd w:id="1120"/>
      <w:r>
        <w:rPr>
          <w:color w:val="0562C1"/>
          <w:u w:val="single" w:color="0562C1"/>
          <w:vertAlign w:val="superscript"/>
        </w:rPr>
        <w:t>[447]</w:t>
      </w:r>
      <w:r>
        <w:rPr>
          <w:sz w:val="22"/>
        </w:rPr>
        <w:t>.</w:t>
      </w:r>
      <w:r>
        <w:rPr>
          <w:spacing w:val="13"/>
          <w:sz w:val="22"/>
        </w:rPr>
        <w:t xml:space="preserve"> </w:t>
      </w:r>
      <w:r>
        <w:t>“SS”</w:t>
      </w:r>
      <w:r>
        <w:rPr>
          <w:spacing w:val="16"/>
        </w:rPr>
        <w:t xml:space="preserve"> </w:t>
      </w:r>
      <w:r>
        <w:t>is</w:t>
      </w:r>
      <w:r>
        <w:rPr>
          <w:spacing w:val="15"/>
        </w:rPr>
        <w:t xml:space="preserve"> </w:t>
      </w:r>
      <w:r>
        <w:t>short</w:t>
      </w:r>
      <w:r>
        <w:rPr>
          <w:spacing w:val="16"/>
        </w:rPr>
        <w:t xml:space="preserve"> </w:t>
      </w:r>
      <w:r>
        <w:t>for</w:t>
      </w:r>
      <w:r>
        <w:rPr>
          <w:spacing w:val="15"/>
        </w:rPr>
        <w:t xml:space="preserve"> </w:t>
      </w:r>
      <w:r>
        <w:rPr>
          <w:spacing w:val="-2"/>
        </w:rPr>
        <w:t>“Slingshot.”</w:t>
      </w:r>
    </w:p>
    <w:p w14:paraId="7E003248" w14:textId="77777777" w:rsidR="009A58DB" w:rsidRDefault="00000000">
      <w:pPr>
        <w:pStyle w:val="BodyText"/>
        <w:spacing w:before="120" w:line="249" w:lineRule="auto"/>
        <w:ind w:left="570" w:right="373" w:hanging="210"/>
      </w:pPr>
      <w:bookmarkStart w:id="1121" w:name="_bookmark1121"/>
      <w:bookmarkEnd w:id="1121"/>
      <w:r>
        <w:rPr>
          <w:color w:val="0562C1"/>
          <w:u w:val="single" w:color="0562C1"/>
          <w:vertAlign w:val="superscript"/>
        </w:rPr>
        <w:t>[448]</w:t>
      </w:r>
      <w:r>
        <w:rPr>
          <w:sz w:val="22"/>
        </w:rPr>
        <w:t xml:space="preserve">. </w:t>
      </w:r>
      <w:r>
        <w:t xml:space="preserve">Advocates of this argument say that the true sentences refer to </w:t>
      </w:r>
      <w:r>
        <w:rPr>
          <w:i/>
        </w:rPr>
        <w:t>The True</w:t>
      </w:r>
      <w:r>
        <w:t xml:space="preserve">, and that false sentences refer to </w:t>
      </w:r>
      <w:r>
        <w:rPr>
          <w:i/>
        </w:rPr>
        <w:t>The</w:t>
      </w:r>
      <w:r>
        <w:rPr>
          <w:i/>
          <w:spacing w:val="-3"/>
        </w:rPr>
        <w:t xml:space="preserve"> </w:t>
      </w:r>
      <w:r>
        <w:rPr>
          <w:i/>
        </w:rPr>
        <w:t>False.</w:t>
      </w:r>
      <w:r>
        <w:rPr>
          <w:i/>
          <w:spacing w:val="-2"/>
        </w:rPr>
        <w:t xml:space="preserve"> </w:t>
      </w:r>
      <w:r>
        <w:t>They don’t say what these terms mean. In an effort to free their argument of needless obscurities and indefensible assumptions, I’ve taken the liberty of assuming that they refer to the properties of being true and false, respectively.</w:t>
      </w:r>
    </w:p>
    <w:p w14:paraId="7E003249" w14:textId="77777777" w:rsidR="009A58DB" w:rsidRDefault="00000000">
      <w:pPr>
        <w:pStyle w:val="BodyText"/>
        <w:spacing w:before="111" w:line="249" w:lineRule="auto"/>
        <w:ind w:left="570" w:right="379" w:hanging="210"/>
        <w:rPr>
          <w:i/>
        </w:rPr>
      </w:pPr>
      <w:bookmarkStart w:id="1122" w:name="_bookmark1122"/>
      <w:bookmarkEnd w:id="1122"/>
      <w:r>
        <w:rPr>
          <w:color w:val="0562C1"/>
          <w:u w:val="single" w:color="0562C1"/>
          <w:vertAlign w:val="superscript"/>
        </w:rPr>
        <w:t>[449]</w:t>
      </w:r>
      <w:r>
        <w:rPr>
          <w:sz w:val="22"/>
        </w:rPr>
        <w:t xml:space="preserve">. </w:t>
      </w:r>
      <w:r>
        <w:t>Give or take some irrelevant details, this argument was put forth by</w:t>
      </w:r>
      <w:r>
        <w:rPr>
          <w:spacing w:val="40"/>
        </w:rPr>
        <w:t xml:space="preserve"> </w:t>
      </w:r>
      <w:r>
        <w:t xml:space="preserve">Frege in his landmark paper </w:t>
      </w:r>
      <w:r>
        <w:rPr>
          <w:i/>
        </w:rPr>
        <w:t>On sense and reference.</w:t>
      </w:r>
    </w:p>
    <w:p w14:paraId="7E00324A" w14:textId="77777777" w:rsidR="009A58DB" w:rsidRDefault="00000000">
      <w:pPr>
        <w:pStyle w:val="BodyText"/>
        <w:spacing w:before="107"/>
      </w:pPr>
      <w:bookmarkStart w:id="1123" w:name="_bookmark1123"/>
      <w:bookmarkEnd w:id="1123"/>
      <w:r>
        <w:rPr>
          <w:color w:val="0562C1"/>
          <w:u w:val="single" w:color="0562C1"/>
          <w:vertAlign w:val="superscript"/>
        </w:rPr>
        <w:t>[450]</w:t>
      </w:r>
      <w:r>
        <w:rPr>
          <w:sz w:val="22"/>
        </w:rPr>
        <w:t>.</w:t>
      </w:r>
      <w:r>
        <w:rPr>
          <w:spacing w:val="19"/>
          <w:sz w:val="22"/>
        </w:rPr>
        <w:t xml:space="preserve"> </w:t>
      </w:r>
      <w:r>
        <w:t>See</w:t>
      </w:r>
      <w:r>
        <w:rPr>
          <w:spacing w:val="24"/>
        </w:rPr>
        <w:t xml:space="preserve"> </w:t>
      </w:r>
      <w:r>
        <w:t>his</w:t>
      </w:r>
      <w:r>
        <w:rPr>
          <w:spacing w:val="24"/>
        </w:rPr>
        <w:t xml:space="preserve"> </w:t>
      </w:r>
      <w:r>
        <w:t>paper</w:t>
      </w:r>
      <w:r>
        <w:rPr>
          <w:spacing w:val="25"/>
        </w:rPr>
        <w:t xml:space="preserve"> </w:t>
      </w:r>
      <w:r>
        <w:t>“True</w:t>
      </w:r>
      <w:r>
        <w:rPr>
          <w:spacing w:val="24"/>
        </w:rPr>
        <w:t xml:space="preserve"> </w:t>
      </w:r>
      <w:r>
        <w:t>to</w:t>
      </w:r>
      <w:r>
        <w:rPr>
          <w:spacing w:val="24"/>
        </w:rPr>
        <w:t xml:space="preserve"> </w:t>
      </w:r>
      <w:r>
        <w:t>the</w:t>
      </w:r>
      <w:r>
        <w:rPr>
          <w:spacing w:val="25"/>
        </w:rPr>
        <w:t xml:space="preserve"> </w:t>
      </w:r>
      <w:r>
        <w:t>facts,”</w:t>
      </w:r>
      <w:r>
        <w:rPr>
          <w:spacing w:val="24"/>
        </w:rPr>
        <w:t xml:space="preserve"> </w:t>
      </w:r>
      <w:r>
        <w:t>in</w:t>
      </w:r>
      <w:r>
        <w:rPr>
          <w:spacing w:val="24"/>
        </w:rPr>
        <w:t xml:space="preserve"> </w:t>
      </w:r>
      <w:r>
        <w:t>the</w:t>
      </w:r>
      <w:r>
        <w:rPr>
          <w:spacing w:val="25"/>
        </w:rPr>
        <w:t xml:space="preserve"> </w:t>
      </w:r>
      <w:r>
        <w:t>(1984)</w:t>
      </w:r>
      <w:r>
        <w:rPr>
          <w:spacing w:val="24"/>
        </w:rPr>
        <w:t xml:space="preserve"> </w:t>
      </w:r>
      <w:r>
        <w:t>collection</w:t>
      </w:r>
      <w:r>
        <w:rPr>
          <w:spacing w:val="24"/>
        </w:rPr>
        <w:t xml:space="preserve"> </w:t>
      </w:r>
      <w:r>
        <w:t>of</w:t>
      </w:r>
      <w:r>
        <w:rPr>
          <w:spacing w:val="25"/>
        </w:rPr>
        <w:t xml:space="preserve"> </w:t>
      </w:r>
      <w:r>
        <w:t>his</w:t>
      </w:r>
      <w:r>
        <w:rPr>
          <w:spacing w:val="24"/>
        </w:rPr>
        <w:t xml:space="preserve"> </w:t>
      </w:r>
      <w:r>
        <w:rPr>
          <w:spacing w:val="-2"/>
        </w:rPr>
        <w:t>papers</w:t>
      </w:r>
    </w:p>
    <w:p w14:paraId="7E00324B" w14:textId="77777777" w:rsidR="009A58DB" w:rsidRDefault="00000000">
      <w:pPr>
        <w:spacing w:before="15"/>
        <w:ind w:left="720"/>
        <w:jc w:val="both"/>
        <w:rPr>
          <w:i/>
          <w:sz w:val="30"/>
        </w:rPr>
      </w:pPr>
      <w:r>
        <w:rPr>
          <w:i/>
          <w:sz w:val="30"/>
        </w:rPr>
        <w:t>Essays</w:t>
      </w:r>
      <w:r>
        <w:rPr>
          <w:i/>
          <w:spacing w:val="-3"/>
          <w:sz w:val="30"/>
        </w:rPr>
        <w:t xml:space="preserve"> </w:t>
      </w:r>
      <w:r>
        <w:rPr>
          <w:i/>
          <w:sz w:val="30"/>
        </w:rPr>
        <w:t>on</w:t>
      </w:r>
      <w:r>
        <w:rPr>
          <w:i/>
          <w:spacing w:val="-2"/>
          <w:sz w:val="30"/>
        </w:rPr>
        <w:t xml:space="preserve"> </w:t>
      </w:r>
      <w:r>
        <w:rPr>
          <w:i/>
          <w:sz w:val="30"/>
        </w:rPr>
        <w:t>Truth</w:t>
      </w:r>
      <w:r>
        <w:rPr>
          <w:i/>
          <w:spacing w:val="-2"/>
          <w:sz w:val="30"/>
        </w:rPr>
        <w:t xml:space="preserve"> </w:t>
      </w:r>
      <w:r>
        <w:rPr>
          <w:i/>
          <w:sz w:val="30"/>
        </w:rPr>
        <w:t>and</w:t>
      </w:r>
      <w:r>
        <w:rPr>
          <w:i/>
          <w:spacing w:val="-1"/>
          <w:sz w:val="30"/>
        </w:rPr>
        <w:t xml:space="preserve"> </w:t>
      </w:r>
      <w:r>
        <w:rPr>
          <w:i/>
          <w:spacing w:val="-2"/>
          <w:sz w:val="30"/>
        </w:rPr>
        <w:t>Interpretation.</w:t>
      </w:r>
    </w:p>
    <w:p w14:paraId="7E00324C" w14:textId="77777777" w:rsidR="009A58DB" w:rsidRDefault="00000000">
      <w:pPr>
        <w:pStyle w:val="BodyText"/>
        <w:spacing w:before="120"/>
      </w:pPr>
      <w:bookmarkStart w:id="1124" w:name="_bookmark1124"/>
      <w:bookmarkEnd w:id="1124"/>
      <w:r>
        <w:rPr>
          <w:color w:val="0562C1"/>
          <w:u w:val="single" w:color="0562C1"/>
          <w:vertAlign w:val="superscript"/>
        </w:rPr>
        <w:t>[451]</w:t>
      </w:r>
      <w:r>
        <w:rPr>
          <w:sz w:val="22"/>
        </w:rPr>
        <w:t>.</w:t>
      </w:r>
      <w:r>
        <w:rPr>
          <w:spacing w:val="15"/>
          <w:sz w:val="22"/>
        </w:rPr>
        <w:t xml:space="preserve"> </w:t>
      </w:r>
      <w:r>
        <w:t>Oxford</w:t>
      </w:r>
      <w:r>
        <w:rPr>
          <w:spacing w:val="18"/>
        </w:rPr>
        <w:t xml:space="preserve"> </w:t>
      </w:r>
      <w:r>
        <w:t>University</w:t>
      </w:r>
      <w:r>
        <w:rPr>
          <w:spacing w:val="19"/>
        </w:rPr>
        <w:t xml:space="preserve"> </w:t>
      </w:r>
      <w:r>
        <w:t>Press,</w:t>
      </w:r>
      <w:r>
        <w:rPr>
          <w:spacing w:val="19"/>
        </w:rPr>
        <w:t xml:space="preserve"> </w:t>
      </w:r>
      <w:r>
        <w:rPr>
          <w:spacing w:val="-2"/>
        </w:rPr>
        <w:t>2005.</w:t>
      </w:r>
    </w:p>
    <w:p w14:paraId="7E00324D" w14:textId="77777777" w:rsidR="009A58DB" w:rsidRDefault="00000000">
      <w:pPr>
        <w:pStyle w:val="BodyText"/>
        <w:spacing w:before="120" w:line="249" w:lineRule="auto"/>
        <w:ind w:left="720" w:right="363" w:hanging="360"/>
      </w:pPr>
      <w:bookmarkStart w:id="1125" w:name="_bookmark1125"/>
      <w:bookmarkEnd w:id="1125"/>
      <w:r>
        <w:rPr>
          <w:color w:val="0562C1"/>
          <w:u w:val="single" w:color="0562C1"/>
          <w:vertAlign w:val="superscript"/>
        </w:rPr>
        <w:t>[452]</w:t>
      </w:r>
      <w:r>
        <w:rPr>
          <w:sz w:val="22"/>
        </w:rPr>
        <w:t xml:space="preserve">. </w:t>
      </w:r>
      <w:r>
        <w:t>In what follows, I use actual quotation marks where I should, stricty speaking, use quasi-quoatatoin marks.</w:t>
      </w:r>
    </w:p>
    <w:p w14:paraId="7E00324E" w14:textId="77777777" w:rsidR="009A58DB" w:rsidRDefault="00000000">
      <w:pPr>
        <w:pStyle w:val="BodyText"/>
        <w:spacing w:before="108" w:line="249" w:lineRule="auto"/>
        <w:ind w:left="675" w:right="376" w:hanging="315"/>
        <w:rPr>
          <w:i/>
        </w:rPr>
      </w:pPr>
      <w:bookmarkStart w:id="1126" w:name="_bookmark1126"/>
      <w:bookmarkEnd w:id="1126"/>
      <w:r>
        <w:rPr>
          <w:color w:val="0562C1"/>
          <w:u w:val="single" w:color="0562C1"/>
          <w:vertAlign w:val="superscript"/>
        </w:rPr>
        <w:t>[453]</w:t>
      </w:r>
      <w:r>
        <w:rPr>
          <w:sz w:val="22"/>
        </w:rPr>
        <w:t xml:space="preserve">. </w:t>
      </w:r>
      <w:r>
        <w:t xml:space="preserve">To my knowledge, this term was coined by John Searle. It is the title of his excellent (1969) book </w:t>
      </w:r>
      <w:r>
        <w:rPr>
          <w:i/>
        </w:rPr>
        <w:t>Speech acts.</w:t>
      </w:r>
    </w:p>
    <w:p w14:paraId="7E00324F" w14:textId="77777777" w:rsidR="009A58DB" w:rsidRDefault="00000000">
      <w:pPr>
        <w:pStyle w:val="BodyText"/>
        <w:spacing w:before="107" w:line="249" w:lineRule="auto"/>
        <w:ind w:left="645" w:right="374" w:hanging="285"/>
      </w:pPr>
      <w:bookmarkStart w:id="1127" w:name="_bookmark1127"/>
      <w:bookmarkEnd w:id="1127"/>
      <w:r>
        <w:rPr>
          <w:color w:val="0562C1"/>
          <w:u w:val="single" w:color="0562C1"/>
          <w:vertAlign w:val="superscript"/>
        </w:rPr>
        <w:t>[454]</w:t>
      </w:r>
      <w:r>
        <w:rPr>
          <w:sz w:val="22"/>
        </w:rPr>
        <w:t xml:space="preserve">. </w:t>
      </w:r>
      <w:r>
        <w:t>Examples of universal quantifiers are “for all x,” “given any x,” “any object,” “all objects,” and so on. (In general, a universal quantifier is an expression E such that, in virtue of having the form ‹...E...›, a sentence expresses</w:t>
      </w:r>
      <w:r>
        <w:rPr>
          <w:spacing w:val="-1"/>
        </w:rPr>
        <w:t xml:space="preserve"> </w:t>
      </w:r>
      <w:r>
        <w:t>a</w:t>
      </w:r>
      <w:r>
        <w:rPr>
          <w:spacing w:val="-1"/>
        </w:rPr>
        <w:t xml:space="preserve"> </w:t>
      </w:r>
      <w:r>
        <w:t>proposition</w:t>
      </w:r>
      <w:r>
        <w:rPr>
          <w:spacing w:val="-1"/>
        </w:rPr>
        <w:t xml:space="preserve"> </w:t>
      </w:r>
      <w:r>
        <w:t>to</w:t>
      </w:r>
      <w:r>
        <w:rPr>
          <w:spacing w:val="-1"/>
        </w:rPr>
        <w:t xml:space="preserve"> </w:t>
      </w:r>
      <w:r>
        <w:t>the</w:t>
      </w:r>
      <w:r>
        <w:rPr>
          <w:spacing w:val="-1"/>
        </w:rPr>
        <w:t xml:space="preserve"> </w:t>
      </w:r>
      <w:r>
        <w:t>effect</w:t>
      </w:r>
      <w:r>
        <w:rPr>
          <w:spacing w:val="-1"/>
        </w:rPr>
        <w:t xml:space="preserve"> </w:t>
      </w:r>
      <w:r>
        <w:t>that</w:t>
      </w:r>
      <w:r>
        <w:rPr>
          <w:spacing w:val="-1"/>
        </w:rPr>
        <w:t xml:space="preserve"> </w:t>
      </w:r>
      <w:r>
        <w:t>all</w:t>
      </w:r>
      <w:r>
        <w:rPr>
          <w:spacing w:val="-1"/>
        </w:rPr>
        <w:t xml:space="preserve"> </w:t>
      </w:r>
      <w:r>
        <w:t>members</w:t>
      </w:r>
      <w:r>
        <w:rPr>
          <w:spacing w:val="-1"/>
        </w:rPr>
        <w:t xml:space="preserve"> </w:t>
      </w:r>
      <w:r>
        <w:t>of</w:t>
      </w:r>
      <w:r>
        <w:rPr>
          <w:spacing w:val="-1"/>
        </w:rPr>
        <w:t xml:space="preserve"> </w:t>
      </w:r>
      <w:r>
        <w:t>some</w:t>
      </w:r>
      <w:r>
        <w:rPr>
          <w:spacing w:val="-1"/>
        </w:rPr>
        <w:t xml:space="preserve"> </w:t>
      </w:r>
      <w:r>
        <w:t>one</w:t>
      </w:r>
      <w:r>
        <w:rPr>
          <w:spacing w:val="-1"/>
        </w:rPr>
        <w:t xml:space="preserve"> </w:t>
      </w:r>
      <w:r>
        <w:t>class</w:t>
      </w:r>
      <w:r>
        <w:rPr>
          <w:spacing w:val="-1"/>
        </w:rPr>
        <w:t xml:space="preserve"> </w:t>
      </w:r>
      <w:r>
        <w:t>are members of some other class. Thus, “for all x, if x is a dog, then x is a mammal” is to the effect that every member of the class of dogs is a member of the class of mammals.</w:t>
      </w:r>
    </w:p>
    <w:sectPr w:rsidR="009A58DB">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Liberation Serif"/>
    <w:panose1 w:val="02020603050405020304"/>
    <w:charset w:val="00"/>
    <w:family w:val="roman"/>
    <w:pitch w:val="variable"/>
    <w:sig w:usb0="E0000AFF" w:usb1="500078FF" w:usb2="00000021" w:usb3="00000000" w:csb0="000001B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Liberation Sans"/>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9AB"/>
    <w:multiLevelType w:val="multilevel"/>
    <w:tmpl w:val="F502FAE6"/>
    <w:lvl w:ilvl="0">
      <w:start w:val="2"/>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939"/>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2257" w:hanging="939"/>
      </w:pPr>
      <w:rPr>
        <w:rFonts w:hint="default"/>
        <w:lang w:val="en-US" w:eastAsia="en-US" w:bidi="ar-SA"/>
      </w:rPr>
    </w:lvl>
    <w:lvl w:ilvl="4">
      <w:numFmt w:val="bullet"/>
      <w:lvlText w:val="•"/>
      <w:lvlJc w:val="left"/>
      <w:pPr>
        <w:ind w:left="3375" w:hanging="939"/>
      </w:pPr>
      <w:rPr>
        <w:rFonts w:hint="default"/>
        <w:lang w:val="en-US" w:eastAsia="en-US" w:bidi="ar-SA"/>
      </w:rPr>
    </w:lvl>
    <w:lvl w:ilvl="5">
      <w:numFmt w:val="bullet"/>
      <w:lvlText w:val="•"/>
      <w:lvlJc w:val="left"/>
      <w:pPr>
        <w:ind w:left="4492" w:hanging="939"/>
      </w:pPr>
      <w:rPr>
        <w:rFonts w:hint="default"/>
        <w:lang w:val="en-US" w:eastAsia="en-US" w:bidi="ar-SA"/>
      </w:rPr>
    </w:lvl>
    <w:lvl w:ilvl="6">
      <w:numFmt w:val="bullet"/>
      <w:lvlText w:val="•"/>
      <w:lvlJc w:val="left"/>
      <w:pPr>
        <w:ind w:left="5610" w:hanging="939"/>
      </w:pPr>
      <w:rPr>
        <w:rFonts w:hint="default"/>
        <w:lang w:val="en-US" w:eastAsia="en-US" w:bidi="ar-SA"/>
      </w:rPr>
    </w:lvl>
    <w:lvl w:ilvl="7">
      <w:numFmt w:val="bullet"/>
      <w:lvlText w:val="•"/>
      <w:lvlJc w:val="left"/>
      <w:pPr>
        <w:ind w:left="6727" w:hanging="939"/>
      </w:pPr>
      <w:rPr>
        <w:rFonts w:hint="default"/>
        <w:lang w:val="en-US" w:eastAsia="en-US" w:bidi="ar-SA"/>
      </w:rPr>
    </w:lvl>
    <w:lvl w:ilvl="8">
      <w:numFmt w:val="bullet"/>
      <w:lvlText w:val="•"/>
      <w:lvlJc w:val="left"/>
      <w:pPr>
        <w:ind w:left="7845" w:hanging="939"/>
      </w:pPr>
      <w:rPr>
        <w:rFonts w:hint="default"/>
        <w:lang w:val="en-US" w:eastAsia="en-US" w:bidi="ar-SA"/>
      </w:rPr>
    </w:lvl>
  </w:abstractNum>
  <w:abstractNum w:abstractNumId="1" w15:restartNumberingAfterBreak="0">
    <w:nsid w:val="00863599"/>
    <w:multiLevelType w:val="multilevel"/>
    <w:tmpl w:val="F71813B0"/>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030"/>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017" w:hanging="1030"/>
      </w:pPr>
      <w:rPr>
        <w:rFonts w:hint="default"/>
        <w:lang w:val="en-US" w:eastAsia="en-US" w:bidi="ar-SA"/>
      </w:rPr>
    </w:lvl>
    <w:lvl w:ilvl="4">
      <w:numFmt w:val="bullet"/>
      <w:lvlText w:val="•"/>
      <w:lvlJc w:val="left"/>
      <w:pPr>
        <w:ind w:left="4026" w:hanging="1030"/>
      </w:pPr>
      <w:rPr>
        <w:rFonts w:hint="default"/>
        <w:lang w:val="en-US" w:eastAsia="en-US" w:bidi="ar-SA"/>
      </w:rPr>
    </w:lvl>
    <w:lvl w:ilvl="5">
      <w:numFmt w:val="bullet"/>
      <w:lvlText w:val="•"/>
      <w:lvlJc w:val="left"/>
      <w:pPr>
        <w:ind w:left="5035" w:hanging="1030"/>
      </w:pPr>
      <w:rPr>
        <w:rFonts w:hint="default"/>
        <w:lang w:val="en-US" w:eastAsia="en-US" w:bidi="ar-SA"/>
      </w:rPr>
    </w:lvl>
    <w:lvl w:ilvl="6">
      <w:numFmt w:val="bullet"/>
      <w:lvlText w:val="•"/>
      <w:lvlJc w:val="left"/>
      <w:pPr>
        <w:ind w:left="6044" w:hanging="1030"/>
      </w:pPr>
      <w:rPr>
        <w:rFonts w:hint="default"/>
        <w:lang w:val="en-US" w:eastAsia="en-US" w:bidi="ar-SA"/>
      </w:rPr>
    </w:lvl>
    <w:lvl w:ilvl="7">
      <w:numFmt w:val="bullet"/>
      <w:lvlText w:val="•"/>
      <w:lvlJc w:val="left"/>
      <w:pPr>
        <w:ind w:left="7053" w:hanging="1030"/>
      </w:pPr>
      <w:rPr>
        <w:rFonts w:hint="default"/>
        <w:lang w:val="en-US" w:eastAsia="en-US" w:bidi="ar-SA"/>
      </w:rPr>
    </w:lvl>
    <w:lvl w:ilvl="8">
      <w:numFmt w:val="bullet"/>
      <w:lvlText w:val="•"/>
      <w:lvlJc w:val="left"/>
      <w:pPr>
        <w:ind w:left="8062" w:hanging="1030"/>
      </w:pPr>
      <w:rPr>
        <w:rFonts w:hint="default"/>
        <w:lang w:val="en-US" w:eastAsia="en-US" w:bidi="ar-SA"/>
      </w:rPr>
    </w:lvl>
  </w:abstractNum>
  <w:abstractNum w:abstractNumId="2" w15:restartNumberingAfterBreak="0">
    <w:nsid w:val="00AE5492"/>
    <w:multiLevelType w:val="hybridMultilevel"/>
    <w:tmpl w:val="3BC0C5E2"/>
    <w:lvl w:ilvl="0" w:tplc="06AC50C6">
      <w:start w:val="50"/>
      <w:numFmt w:val="decimal"/>
      <w:lvlText w:val="%1."/>
      <w:lvlJc w:val="left"/>
      <w:pPr>
        <w:ind w:left="720" w:hanging="563"/>
        <w:jc w:val="left"/>
      </w:pPr>
      <w:rPr>
        <w:rFonts w:hint="default"/>
        <w:spacing w:val="0"/>
        <w:w w:val="101"/>
        <w:u w:val="single" w:color="0562C1"/>
        <w:lang w:val="en-US" w:eastAsia="en-US" w:bidi="ar-SA"/>
      </w:rPr>
    </w:lvl>
    <w:lvl w:ilvl="1" w:tplc="2A8230E0">
      <w:numFmt w:val="bullet"/>
      <w:lvlText w:val="•"/>
      <w:lvlJc w:val="left"/>
      <w:pPr>
        <w:ind w:left="1656" w:hanging="563"/>
      </w:pPr>
      <w:rPr>
        <w:rFonts w:hint="default"/>
        <w:lang w:val="en-US" w:eastAsia="en-US" w:bidi="ar-SA"/>
      </w:rPr>
    </w:lvl>
    <w:lvl w:ilvl="2" w:tplc="4B487136">
      <w:numFmt w:val="bullet"/>
      <w:lvlText w:val="•"/>
      <w:lvlJc w:val="left"/>
      <w:pPr>
        <w:ind w:left="2592" w:hanging="563"/>
      </w:pPr>
      <w:rPr>
        <w:rFonts w:hint="default"/>
        <w:lang w:val="en-US" w:eastAsia="en-US" w:bidi="ar-SA"/>
      </w:rPr>
    </w:lvl>
    <w:lvl w:ilvl="3" w:tplc="AE6868C4">
      <w:numFmt w:val="bullet"/>
      <w:lvlText w:val="•"/>
      <w:lvlJc w:val="left"/>
      <w:pPr>
        <w:ind w:left="3528" w:hanging="563"/>
      </w:pPr>
      <w:rPr>
        <w:rFonts w:hint="default"/>
        <w:lang w:val="en-US" w:eastAsia="en-US" w:bidi="ar-SA"/>
      </w:rPr>
    </w:lvl>
    <w:lvl w:ilvl="4" w:tplc="B85408F4">
      <w:numFmt w:val="bullet"/>
      <w:lvlText w:val="•"/>
      <w:lvlJc w:val="left"/>
      <w:pPr>
        <w:ind w:left="4464" w:hanging="563"/>
      </w:pPr>
      <w:rPr>
        <w:rFonts w:hint="default"/>
        <w:lang w:val="en-US" w:eastAsia="en-US" w:bidi="ar-SA"/>
      </w:rPr>
    </w:lvl>
    <w:lvl w:ilvl="5" w:tplc="C48CC7E0">
      <w:numFmt w:val="bullet"/>
      <w:lvlText w:val="•"/>
      <w:lvlJc w:val="left"/>
      <w:pPr>
        <w:ind w:left="5400" w:hanging="563"/>
      </w:pPr>
      <w:rPr>
        <w:rFonts w:hint="default"/>
        <w:lang w:val="en-US" w:eastAsia="en-US" w:bidi="ar-SA"/>
      </w:rPr>
    </w:lvl>
    <w:lvl w:ilvl="6" w:tplc="7CB49D08">
      <w:numFmt w:val="bullet"/>
      <w:lvlText w:val="•"/>
      <w:lvlJc w:val="left"/>
      <w:pPr>
        <w:ind w:left="6336" w:hanging="563"/>
      </w:pPr>
      <w:rPr>
        <w:rFonts w:hint="default"/>
        <w:lang w:val="en-US" w:eastAsia="en-US" w:bidi="ar-SA"/>
      </w:rPr>
    </w:lvl>
    <w:lvl w:ilvl="7" w:tplc="C358A524">
      <w:numFmt w:val="bullet"/>
      <w:lvlText w:val="•"/>
      <w:lvlJc w:val="left"/>
      <w:pPr>
        <w:ind w:left="7272" w:hanging="563"/>
      </w:pPr>
      <w:rPr>
        <w:rFonts w:hint="default"/>
        <w:lang w:val="en-US" w:eastAsia="en-US" w:bidi="ar-SA"/>
      </w:rPr>
    </w:lvl>
    <w:lvl w:ilvl="8" w:tplc="C0B0952C">
      <w:numFmt w:val="bullet"/>
      <w:lvlText w:val="•"/>
      <w:lvlJc w:val="left"/>
      <w:pPr>
        <w:ind w:left="8208" w:hanging="563"/>
      </w:pPr>
      <w:rPr>
        <w:rFonts w:hint="default"/>
        <w:lang w:val="en-US" w:eastAsia="en-US" w:bidi="ar-SA"/>
      </w:rPr>
    </w:lvl>
  </w:abstractNum>
  <w:abstractNum w:abstractNumId="3" w15:restartNumberingAfterBreak="0">
    <w:nsid w:val="023B4D1D"/>
    <w:multiLevelType w:val="multilevel"/>
    <w:tmpl w:val="08EA32F2"/>
    <w:lvl w:ilvl="0">
      <w:start w:val="3"/>
      <w:numFmt w:val="decimal"/>
      <w:lvlText w:val="%1"/>
      <w:lvlJc w:val="left"/>
      <w:pPr>
        <w:ind w:left="360" w:hanging="1559"/>
        <w:jc w:val="left"/>
      </w:pPr>
      <w:rPr>
        <w:rFonts w:hint="default"/>
        <w:lang w:val="en-US" w:eastAsia="en-US" w:bidi="ar-SA"/>
      </w:rPr>
    </w:lvl>
    <w:lvl w:ilvl="1">
      <w:numFmt w:val="decimal"/>
      <w:lvlText w:val="%1.%2"/>
      <w:lvlJc w:val="left"/>
      <w:pPr>
        <w:ind w:left="360" w:hanging="1559"/>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95" w:hanging="1035"/>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328" w:hanging="1035"/>
      </w:pPr>
      <w:rPr>
        <w:rFonts w:hint="default"/>
        <w:lang w:val="en-US" w:eastAsia="en-US" w:bidi="ar-SA"/>
      </w:rPr>
    </w:lvl>
    <w:lvl w:ilvl="4">
      <w:numFmt w:val="bullet"/>
      <w:lvlText w:val="•"/>
      <w:lvlJc w:val="left"/>
      <w:pPr>
        <w:ind w:left="4293" w:hanging="1035"/>
      </w:pPr>
      <w:rPr>
        <w:rFonts w:hint="default"/>
        <w:lang w:val="en-US" w:eastAsia="en-US" w:bidi="ar-SA"/>
      </w:rPr>
    </w:lvl>
    <w:lvl w:ilvl="5">
      <w:numFmt w:val="bullet"/>
      <w:lvlText w:val="•"/>
      <w:lvlJc w:val="left"/>
      <w:pPr>
        <w:ind w:left="5257" w:hanging="1035"/>
      </w:pPr>
      <w:rPr>
        <w:rFonts w:hint="default"/>
        <w:lang w:val="en-US" w:eastAsia="en-US" w:bidi="ar-SA"/>
      </w:rPr>
    </w:lvl>
    <w:lvl w:ilvl="6">
      <w:numFmt w:val="bullet"/>
      <w:lvlText w:val="•"/>
      <w:lvlJc w:val="left"/>
      <w:pPr>
        <w:ind w:left="6222" w:hanging="1035"/>
      </w:pPr>
      <w:rPr>
        <w:rFonts w:hint="default"/>
        <w:lang w:val="en-US" w:eastAsia="en-US" w:bidi="ar-SA"/>
      </w:rPr>
    </w:lvl>
    <w:lvl w:ilvl="7">
      <w:numFmt w:val="bullet"/>
      <w:lvlText w:val="•"/>
      <w:lvlJc w:val="left"/>
      <w:pPr>
        <w:ind w:left="7186" w:hanging="1035"/>
      </w:pPr>
      <w:rPr>
        <w:rFonts w:hint="default"/>
        <w:lang w:val="en-US" w:eastAsia="en-US" w:bidi="ar-SA"/>
      </w:rPr>
    </w:lvl>
    <w:lvl w:ilvl="8">
      <w:numFmt w:val="bullet"/>
      <w:lvlText w:val="•"/>
      <w:lvlJc w:val="left"/>
      <w:pPr>
        <w:ind w:left="8151" w:hanging="1035"/>
      </w:pPr>
      <w:rPr>
        <w:rFonts w:hint="default"/>
        <w:lang w:val="en-US" w:eastAsia="en-US" w:bidi="ar-SA"/>
      </w:rPr>
    </w:lvl>
  </w:abstractNum>
  <w:abstractNum w:abstractNumId="4" w15:restartNumberingAfterBreak="0">
    <w:nsid w:val="027627EA"/>
    <w:multiLevelType w:val="hybridMultilevel"/>
    <w:tmpl w:val="C778F904"/>
    <w:lvl w:ilvl="0" w:tplc="CEBA713C">
      <w:start w:val="1"/>
      <w:numFmt w:val="decimal"/>
      <w:lvlText w:val="(%1)"/>
      <w:lvlJc w:val="left"/>
      <w:pPr>
        <w:ind w:left="360" w:hanging="48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32434E6">
      <w:numFmt w:val="bullet"/>
      <w:lvlText w:val="•"/>
      <w:lvlJc w:val="left"/>
      <w:pPr>
        <w:ind w:left="1332" w:hanging="484"/>
      </w:pPr>
      <w:rPr>
        <w:rFonts w:hint="default"/>
        <w:lang w:val="en-US" w:eastAsia="en-US" w:bidi="ar-SA"/>
      </w:rPr>
    </w:lvl>
    <w:lvl w:ilvl="2" w:tplc="E808105C">
      <w:numFmt w:val="bullet"/>
      <w:lvlText w:val="•"/>
      <w:lvlJc w:val="left"/>
      <w:pPr>
        <w:ind w:left="2304" w:hanging="484"/>
      </w:pPr>
      <w:rPr>
        <w:rFonts w:hint="default"/>
        <w:lang w:val="en-US" w:eastAsia="en-US" w:bidi="ar-SA"/>
      </w:rPr>
    </w:lvl>
    <w:lvl w:ilvl="3" w:tplc="08307AEE">
      <w:numFmt w:val="bullet"/>
      <w:lvlText w:val="•"/>
      <w:lvlJc w:val="left"/>
      <w:pPr>
        <w:ind w:left="3276" w:hanging="484"/>
      </w:pPr>
      <w:rPr>
        <w:rFonts w:hint="default"/>
        <w:lang w:val="en-US" w:eastAsia="en-US" w:bidi="ar-SA"/>
      </w:rPr>
    </w:lvl>
    <w:lvl w:ilvl="4" w:tplc="585C2DF6">
      <w:numFmt w:val="bullet"/>
      <w:lvlText w:val="•"/>
      <w:lvlJc w:val="left"/>
      <w:pPr>
        <w:ind w:left="4248" w:hanging="484"/>
      </w:pPr>
      <w:rPr>
        <w:rFonts w:hint="default"/>
        <w:lang w:val="en-US" w:eastAsia="en-US" w:bidi="ar-SA"/>
      </w:rPr>
    </w:lvl>
    <w:lvl w:ilvl="5" w:tplc="8166BE78">
      <w:numFmt w:val="bullet"/>
      <w:lvlText w:val="•"/>
      <w:lvlJc w:val="left"/>
      <w:pPr>
        <w:ind w:left="5220" w:hanging="484"/>
      </w:pPr>
      <w:rPr>
        <w:rFonts w:hint="default"/>
        <w:lang w:val="en-US" w:eastAsia="en-US" w:bidi="ar-SA"/>
      </w:rPr>
    </w:lvl>
    <w:lvl w:ilvl="6" w:tplc="A7AE3132">
      <w:numFmt w:val="bullet"/>
      <w:lvlText w:val="•"/>
      <w:lvlJc w:val="left"/>
      <w:pPr>
        <w:ind w:left="6192" w:hanging="484"/>
      </w:pPr>
      <w:rPr>
        <w:rFonts w:hint="default"/>
        <w:lang w:val="en-US" w:eastAsia="en-US" w:bidi="ar-SA"/>
      </w:rPr>
    </w:lvl>
    <w:lvl w:ilvl="7" w:tplc="AD7ABC0C">
      <w:numFmt w:val="bullet"/>
      <w:lvlText w:val="•"/>
      <w:lvlJc w:val="left"/>
      <w:pPr>
        <w:ind w:left="7164" w:hanging="484"/>
      </w:pPr>
      <w:rPr>
        <w:rFonts w:hint="default"/>
        <w:lang w:val="en-US" w:eastAsia="en-US" w:bidi="ar-SA"/>
      </w:rPr>
    </w:lvl>
    <w:lvl w:ilvl="8" w:tplc="BD0E65E8">
      <w:numFmt w:val="bullet"/>
      <w:lvlText w:val="•"/>
      <w:lvlJc w:val="left"/>
      <w:pPr>
        <w:ind w:left="8136" w:hanging="484"/>
      </w:pPr>
      <w:rPr>
        <w:rFonts w:hint="default"/>
        <w:lang w:val="en-US" w:eastAsia="en-US" w:bidi="ar-SA"/>
      </w:rPr>
    </w:lvl>
  </w:abstractNum>
  <w:abstractNum w:abstractNumId="5" w15:restartNumberingAfterBreak="0">
    <w:nsid w:val="02897BED"/>
    <w:multiLevelType w:val="hybridMultilevel"/>
    <w:tmpl w:val="084A6B48"/>
    <w:lvl w:ilvl="0" w:tplc="1C7AD602">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9021CDE">
      <w:numFmt w:val="bullet"/>
      <w:lvlText w:val="•"/>
      <w:lvlJc w:val="left"/>
      <w:pPr>
        <w:ind w:left="1710" w:hanging="425"/>
      </w:pPr>
      <w:rPr>
        <w:rFonts w:hint="default"/>
        <w:lang w:val="en-US" w:eastAsia="en-US" w:bidi="ar-SA"/>
      </w:rPr>
    </w:lvl>
    <w:lvl w:ilvl="2" w:tplc="D864078E">
      <w:numFmt w:val="bullet"/>
      <w:lvlText w:val="•"/>
      <w:lvlJc w:val="left"/>
      <w:pPr>
        <w:ind w:left="2640" w:hanging="425"/>
      </w:pPr>
      <w:rPr>
        <w:rFonts w:hint="default"/>
        <w:lang w:val="en-US" w:eastAsia="en-US" w:bidi="ar-SA"/>
      </w:rPr>
    </w:lvl>
    <w:lvl w:ilvl="3" w:tplc="3BFCA978">
      <w:numFmt w:val="bullet"/>
      <w:lvlText w:val="•"/>
      <w:lvlJc w:val="left"/>
      <w:pPr>
        <w:ind w:left="3570" w:hanging="425"/>
      </w:pPr>
      <w:rPr>
        <w:rFonts w:hint="default"/>
        <w:lang w:val="en-US" w:eastAsia="en-US" w:bidi="ar-SA"/>
      </w:rPr>
    </w:lvl>
    <w:lvl w:ilvl="4" w:tplc="E4E4B32C">
      <w:numFmt w:val="bullet"/>
      <w:lvlText w:val="•"/>
      <w:lvlJc w:val="left"/>
      <w:pPr>
        <w:ind w:left="4500" w:hanging="425"/>
      </w:pPr>
      <w:rPr>
        <w:rFonts w:hint="default"/>
        <w:lang w:val="en-US" w:eastAsia="en-US" w:bidi="ar-SA"/>
      </w:rPr>
    </w:lvl>
    <w:lvl w:ilvl="5" w:tplc="115EC7CE">
      <w:numFmt w:val="bullet"/>
      <w:lvlText w:val="•"/>
      <w:lvlJc w:val="left"/>
      <w:pPr>
        <w:ind w:left="5430" w:hanging="425"/>
      </w:pPr>
      <w:rPr>
        <w:rFonts w:hint="default"/>
        <w:lang w:val="en-US" w:eastAsia="en-US" w:bidi="ar-SA"/>
      </w:rPr>
    </w:lvl>
    <w:lvl w:ilvl="6" w:tplc="B1B2A40A">
      <w:numFmt w:val="bullet"/>
      <w:lvlText w:val="•"/>
      <w:lvlJc w:val="left"/>
      <w:pPr>
        <w:ind w:left="6360" w:hanging="425"/>
      </w:pPr>
      <w:rPr>
        <w:rFonts w:hint="default"/>
        <w:lang w:val="en-US" w:eastAsia="en-US" w:bidi="ar-SA"/>
      </w:rPr>
    </w:lvl>
    <w:lvl w:ilvl="7" w:tplc="A644FB38">
      <w:numFmt w:val="bullet"/>
      <w:lvlText w:val="•"/>
      <w:lvlJc w:val="left"/>
      <w:pPr>
        <w:ind w:left="7290" w:hanging="425"/>
      </w:pPr>
      <w:rPr>
        <w:rFonts w:hint="default"/>
        <w:lang w:val="en-US" w:eastAsia="en-US" w:bidi="ar-SA"/>
      </w:rPr>
    </w:lvl>
    <w:lvl w:ilvl="8" w:tplc="569E7AF8">
      <w:numFmt w:val="bullet"/>
      <w:lvlText w:val="•"/>
      <w:lvlJc w:val="left"/>
      <w:pPr>
        <w:ind w:left="8220" w:hanging="425"/>
      </w:pPr>
      <w:rPr>
        <w:rFonts w:hint="default"/>
        <w:lang w:val="en-US" w:eastAsia="en-US" w:bidi="ar-SA"/>
      </w:rPr>
    </w:lvl>
  </w:abstractNum>
  <w:abstractNum w:abstractNumId="6" w15:restartNumberingAfterBreak="0">
    <w:nsid w:val="03214A41"/>
    <w:multiLevelType w:val="hybridMultilevel"/>
    <w:tmpl w:val="AA7610DE"/>
    <w:lvl w:ilvl="0" w:tplc="63C86D58">
      <w:start w:val="2"/>
      <w:numFmt w:val="decimal"/>
      <w:lvlText w:val="(%1)"/>
      <w:lvlJc w:val="left"/>
      <w:pPr>
        <w:ind w:left="787" w:hanging="42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1EAB1B0">
      <w:numFmt w:val="bullet"/>
      <w:lvlText w:val="•"/>
      <w:lvlJc w:val="left"/>
      <w:pPr>
        <w:ind w:left="1710" w:hanging="428"/>
      </w:pPr>
      <w:rPr>
        <w:rFonts w:hint="default"/>
        <w:lang w:val="en-US" w:eastAsia="en-US" w:bidi="ar-SA"/>
      </w:rPr>
    </w:lvl>
    <w:lvl w:ilvl="2" w:tplc="4FF4C314">
      <w:numFmt w:val="bullet"/>
      <w:lvlText w:val="•"/>
      <w:lvlJc w:val="left"/>
      <w:pPr>
        <w:ind w:left="2640" w:hanging="428"/>
      </w:pPr>
      <w:rPr>
        <w:rFonts w:hint="default"/>
        <w:lang w:val="en-US" w:eastAsia="en-US" w:bidi="ar-SA"/>
      </w:rPr>
    </w:lvl>
    <w:lvl w:ilvl="3" w:tplc="91A6F8D6">
      <w:numFmt w:val="bullet"/>
      <w:lvlText w:val="•"/>
      <w:lvlJc w:val="left"/>
      <w:pPr>
        <w:ind w:left="3570" w:hanging="428"/>
      </w:pPr>
      <w:rPr>
        <w:rFonts w:hint="default"/>
        <w:lang w:val="en-US" w:eastAsia="en-US" w:bidi="ar-SA"/>
      </w:rPr>
    </w:lvl>
    <w:lvl w:ilvl="4" w:tplc="D730FCFA">
      <w:numFmt w:val="bullet"/>
      <w:lvlText w:val="•"/>
      <w:lvlJc w:val="left"/>
      <w:pPr>
        <w:ind w:left="4500" w:hanging="428"/>
      </w:pPr>
      <w:rPr>
        <w:rFonts w:hint="default"/>
        <w:lang w:val="en-US" w:eastAsia="en-US" w:bidi="ar-SA"/>
      </w:rPr>
    </w:lvl>
    <w:lvl w:ilvl="5" w:tplc="CCE861FC">
      <w:numFmt w:val="bullet"/>
      <w:lvlText w:val="•"/>
      <w:lvlJc w:val="left"/>
      <w:pPr>
        <w:ind w:left="5430" w:hanging="428"/>
      </w:pPr>
      <w:rPr>
        <w:rFonts w:hint="default"/>
        <w:lang w:val="en-US" w:eastAsia="en-US" w:bidi="ar-SA"/>
      </w:rPr>
    </w:lvl>
    <w:lvl w:ilvl="6" w:tplc="8BBC1A54">
      <w:numFmt w:val="bullet"/>
      <w:lvlText w:val="•"/>
      <w:lvlJc w:val="left"/>
      <w:pPr>
        <w:ind w:left="6360" w:hanging="428"/>
      </w:pPr>
      <w:rPr>
        <w:rFonts w:hint="default"/>
        <w:lang w:val="en-US" w:eastAsia="en-US" w:bidi="ar-SA"/>
      </w:rPr>
    </w:lvl>
    <w:lvl w:ilvl="7" w:tplc="6FE087F0">
      <w:numFmt w:val="bullet"/>
      <w:lvlText w:val="•"/>
      <w:lvlJc w:val="left"/>
      <w:pPr>
        <w:ind w:left="7290" w:hanging="428"/>
      </w:pPr>
      <w:rPr>
        <w:rFonts w:hint="default"/>
        <w:lang w:val="en-US" w:eastAsia="en-US" w:bidi="ar-SA"/>
      </w:rPr>
    </w:lvl>
    <w:lvl w:ilvl="8" w:tplc="683C2AFE">
      <w:numFmt w:val="bullet"/>
      <w:lvlText w:val="•"/>
      <w:lvlJc w:val="left"/>
      <w:pPr>
        <w:ind w:left="8220" w:hanging="428"/>
      </w:pPr>
      <w:rPr>
        <w:rFonts w:hint="default"/>
        <w:lang w:val="en-US" w:eastAsia="en-US" w:bidi="ar-SA"/>
      </w:rPr>
    </w:lvl>
  </w:abstractNum>
  <w:abstractNum w:abstractNumId="7" w15:restartNumberingAfterBreak="0">
    <w:nsid w:val="03656634"/>
    <w:multiLevelType w:val="hybridMultilevel"/>
    <w:tmpl w:val="6B46DC06"/>
    <w:lvl w:ilvl="0" w:tplc="6BA650AA">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640C696">
      <w:numFmt w:val="bullet"/>
      <w:lvlText w:val="•"/>
      <w:lvlJc w:val="left"/>
      <w:pPr>
        <w:ind w:left="1656" w:hanging="358"/>
      </w:pPr>
      <w:rPr>
        <w:rFonts w:hint="default"/>
        <w:lang w:val="en-US" w:eastAsia="en-US" w:bidi="ar-SA"/>
      </w:rPr>
    </w:lvl>
    <w:lvl w:ilvl="2" w:tplc="01240280">
      <w:numFmt w:val="bullet"/>
      <w:lvlText w:val="•"/>
      <w:lvlJc w:val="left"/>
      <w:pPr>
        <w:ind w:left="2592" w:hanging="358"/>
      </w:pPr>
      <w:rPr>
        <w:rFonts w:hint="default"/>
        <w:lang w:val="en-US" w:eastAsia="en-US" w:bidi="ar-SA"/>
      </w:rPr>
    </w:lvl>
    <w:lvl w:ilvl="3" w:tplc="659ED5BE">
      <w:numFmt w:val="bullet"/>
      <w:lvlText w:val="•"/>
      <w:lvlJc w:val="left"/>
      <w:pPr>
        <w:ind w:left="3528" w:hanging="358"/>
      </w:pPr>
      <w:rPr>
        <w:rFonts w:hint="default"/>
        <w:lang w:val="en-US" w:eastAsia="en-US" w:bidi="ar-SA"/>
      </w:rPr>
    </w:lvl>
    <w:lvl w:ilvl="4" w:tplc="549A24FA">
      <w:numFmt w:val="bullet"/>
      <w:lvlText w:val="•"/>
      <w:lvlJc w:val="left"/>
      <w:pPr>
        <w:ind w:left="4464" w:hanging="358"/>
      </w:pPr>
      <w:rPr>
        <w:rFonts w:hint="default"/>
        <w:lang w:val="en-US" w:eastAsia="en-US" w:bidi="ar-SA"/>
      </w:rPr>
    </w:lvl>
    <w:lvl w:ilvl="5" w:tplc="E6F8431E">
      <w:numFmt w:val="bullet"/>
      <w:lvlText w:val="•"/>
      <w:lvlJc w:val="left"/>
      <w:pPr>
        <w:ind w:left="5400" w:hanging="358"/>
      </w:pPr>
      <w:rPr>
        <w:rFonts w:hint="default"/>
        <w:lang w:val="en-US" w:eastAsia="en-US" w:bidi="ar-SA"/>
      </w:rPr>
    </w:lvl>
    <w:lvl w:ilvl="6" w:tplc="6A6074CE">
      <w:numFmt w:val="bullet"/>
      <w:lvlText w:val="•"/>
      <w:lvlJc w:val="left"/>
      <w:pPr>
        <w:ind w:left="6336" w:hanging="358"/>
      </w:pPr>
      <w:rPr>
        <w:rFonts w:hint="default"/>
        <w:lang w:val="en-US" w:eastAsia="en-US" w:bidi="ar-SA"/>
      </w:rPr>
    </w:lvl>
    <w:lvl w:ilvl="7" w:tplc="9E189244">
      <w:numFmt w:val="bullet"/>
      <w:lvlText w:val="•"/>
      <w:lvlJc w:val="left"/>
      <w:pPr>
        <w:ind w:left="7272" w:hanging="358"/>
      </w:pPr>
      <w:rPr>
        <w:rFonts w:hint="default"/>
        <w:lang w:val="en-US" w:eastAsia="en-US" w:bidi="ar-SA"/>
      </w:rPr>
    </w:lvl>
    <w:lvl w:ilvl="8" w:tplc="AFF627E4">
      <w:numFmt w:val="bullet"/>
      <w:lvlText w:val="•"/>
      <w:lvlJc w:val="left"/>
      <w:pPr>
        <w:ind w:left="8208" w:hanging="358"/>
      </w:pPr>
      <w:rPr>
        <w:rFonts w:hint="default"/>
        <w:lang w:val="en-US" w:eastAsia="en-US" w:bidi="ar-SA"/>
      </w:rPr>
    </w:lvl>
  </w:abstractNum>
  <w:abstractNum w:abstractNumId="8" w15:restartNumberingAfterBreak="0">
    <w:nsid w:val="03D06877"/>
    <w:multiLevelType w:val="multilevel"/>
    <w:tmpl w:val="E76A6D08"/>
    <w:lvl w:ilvl="0">
      <w:start w:val="7"/>
      <w:numFmt w:val="decimal"/>
      <w:lvlText w:val="%1"/>
      <w:lvlJc w:val="left"/>
      <w:pPr>
        <w:ind w:left="2118" w:hanging="1759"/>
        <w:jc w:val="left"/>
      </w:pPr>
      <w:rPr>
        <w:rFonts w:hint="default"/>
        <w:lang w:val="en-US" w:eastAsia="en-US" w:bidi="ar-SA"/>
      </w:rPr>
    </w:lvl>
    <w:lvl w:ilvl="1">
      <w:numFmt w:val="decimal"/>
      <w:lvlText w:val="%1.%2"/>
      <w:lvlJc w:val="left"/>
      <w:pPr>
        <w:ind w:left="2118" w:hanging="1759"/>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712" w:hanging="1759"/>
      </w:pPr>
      <w:rPr>
        <w:rFonts w:hint="default"/>
        <w:lang w:val="en-US" w:eastAsia="en-US" w:bidi="ar-SA"/>
      </w:rPr>
    </w:lvl>
    <w:lvl w:ilvl="3">
      <w:numFmt w:val="bullet"/>
      <w:lvlText w:val="•"/>
      <w:lvlJc w:val="left"/>
      <w:pPr>
        <w:ind w:left="4508" w:hanging="1759"/>
      </w:pPr>
      <w:rPr>
        <w:rFonts w:hint="default"/>
        <w:lang w:val="en-US" w:eastAsia="en-US" w:bidi="ar-SA"/>
      </w:rPr>
    </w:lvl>
    <w:lvl w:ilvl="4">
      <w:numFmt w:val="bullet"/>
      <w:lvlText w:val="•"/>
      <w:lvlJc w:val="left"/>
      <w:pPr>
        <w:ind w:left="5304" w:hanging="1759"/>
      </w:pPr>
      <w:rPr>
        <w:rFonts w:hint="default"/>
        <w:lang w:val="en-US" w:eastAsia="en-US" w:bidi="ar-SA"/>
      </w:rPr>
    </w:lvl>
    <w:lvl w:ilvl="5">
      <w:numFmt w:val="bullet"/>
      <w:lvlText w:val="•"/>
      <w:lvlJc w:val="left"/>
      <w:pPr>
        <w:ind w:left="6100" w:hanging="1759"/>
      </w:pPr>
      <w:rPr>
        <w:rFonts w:hint="default"/>
        <w:lang w:val="en-US" w:eastAsia="en-US" w:bidi="ar-SA"/>
      </w:rPr>
    </w:lvl>
    <w:lvl w:ilvl="6">
      <w:numFmt w:val="bullet"/>
      <w:lvlText w:val="•"/>
      <w:lvlJc w:val="left"/>
      <w:pPr>
        <w:ind w:left="6896" w:hanging="1759"/>
      </w:pPr>
      <w:rPr>
        <w:rFonts w:hint="default"/>
        <w:lang w:val="en-US" w:eastAsia="en-US" w:bidi="ar-SA"/>
      </w:rPr>
    </w:lvl>
    <w:lvl w:ilvl="7">
      <w:numFmt w:val="bullet"/>
      <w:lvlText w:val="•"/>
      <w:lvlJc w:val="left"/>
      <w:pPr>
        <w:ind w:left="7692" w:hanging="1759"/>
      </w:pPr>
      <w:rPr>
        <w:rFonts w:hint="default"/>
        <w:lang w:val="en-US" w:eastAsia="en-US" w:bidi="ar-SA"/>
      </w:rPr>
    </w:lvl>
    <w:lvl w:ilvl="8">
      <w:numFmt w:val="bullet"/>
      <w:lvlText w:val="•"/>
      <w:lvlJc w:val="left"/>
      <w:pPr>
        <w:ind w:left="8488" w:hanging="1759"/>
      </w:pPr>
      <w:rPr>
        <w:rFonts w:hint="default"/>
        <w:lang w:val="en-US" w:eastAsia="en-US" w:bidi="ar-SA"/>
      </w:rPr>
    </w:lvl>
  </w:abstractNum>
  <w:abstractNum w:abstractNumId="9" w15:restartNumberingAfterBreak="0">
    <w:nsid w:val="03DF3901"/>
    <w:multiLevelType w:val="hybridMultilevel"/>
    <w:tmpl w:val="315E67FE"/>
    <w:lvl w:ilvl="0" w:tplc="15D625EA">
      <w:start w:val="2"/>
      <w:numFmt w:val="decimal"/>
      <w:lvlText w:val="(%1)"/>
      <w:lvlJc w:val="left"/>
      <w:pPr>
        <w:ind w:left="360" w:hanging="55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7EAE262">
      <w:numFmt w:val="bullet"/>
      <w:lvlText w:val="•"/>
      <w:lvlJc w:val="left"/>
      <w:pPr>
        <w:ind w:left="1332" w:hanging="557"/>
      </w:pPr>
      <w:rPr>
        <w:rFonts w:hint="default"/>
        <w:lang w:val="en-US" w:eastAsia="en-US" w:bidi="ar-SA"/>
      </w:rPr>
    </w:lvl>
    <w:lvl w:ilvl="2" w:tplc="65B2F90A">
      <w:numFmt w:val="bullet"/>
      <w:lvlText w:val="•"/>
      <w:lvlJc w:val="left"/>
      <w:pPr>
        <w:ind w:left="2304" w:hanging="557"/>
      </w:pPr>
      <w:rPr>
        <w:rFonts w:hint="default"/>
        <w:lang w:val="en-US" w:eastAsia="en-US" w:bidi="ar-SA"/>
      </w:rPr>
    </w:lvl>
    <w:lvl w:ilvl="3" w:tplc="9196BB52">
      <w:numFmt w:val="bullet"/>
      <w:lvlText w:val="•"/>
      <w:lvlJc w:val="left"/>
      <w:pPr>
        <w:ind w:left="3276" w:hanging="557"/>
      </w:pPr>
      <w:rPr>
        <w:rFonts w:hint="default"/>
        <w:lang w:val="en-US" w:eastAsia="en-US" w:bidi="ar-SA"/>
      </w:rPr>
    </w:lvl>
    <w:lvl w:ilvl="4" w:tplc="DA6A91D0">
      <w:numFmt w:val="bullet"/>
      <w:lvlText w:val="•"/>
      <w:lvlJc w:val="left"/>
      <w:pPr>
        <w:ind w:left="4248" w:hanging="557"/>
      </w:pPr>
      <w:rPr>
        <w:rFonts w:hint="default"/>
        <w:lang w:val="en-US" w:eastAsia="en-US" w:bidi="ar-SA"/>
      </w:rPr>
    </w:lvl>
    <w:lvl w:ilvl="5" w:tplc="6F849AEE">
      <w:numFmt w:val="bullet"/>
      <w:lvlText w:val="•"/>
      <w:lvlJc w:val="left"/>
      <w:pPr>
        <w:ind w:left="5220" w:hanging="557"/>
      </w:pPr>
      <w:rPr>
        <w:rFonts w:hint="default"/>
        <w:lang w:val="en-US" w:eastAsia="en-US" w:bidi="ar-SA"/>
      </w:rPr>
    </w:lvl>
    <w:lvl w:ilvl="6" w:tplc="487ABF3E">
      <w:numFmt w:val="bullet"/>
      <w:lvlText w:val="•"/>
      <w:lvlJc w:val="left"/>
      <w:pPr>
        <w:ind w:left="6192" w:hanging="557"/>
      </w:pPr>
      <w:rPr>
        <w:rFonts w:hint="default"/>
        <w:lang w:val="en-US" w:eastAsia="en-US" w:bidi="ar-SA"/>
      </w:rPr>
    </w:lvl>
    <w:lvl w:ilvl="7" w:tplc="38903C80">
      <w:numFmt w:val="bullet"/>
      <w:lvlText w:val="•"/>
      <w:lvlJc w:val="left"/>
      <w:pPr>
        <w:ind w:left="7164" w:hanging="557"/>
      </w:pPr>
      <w:rPr>
        <w:rFonts w:hint="default"/>
        <w:lang w:val="en-US" w:eastAsia="en-US" w:bidi="ar-SA"/>
      </w:rPr>
    </w:lvl>
    <w:lvl w:ilvl="8" w:tplc="4428317A">
      <w:numFmt w:val="bullet"/>
      <w:lvlText w:val="•"/>
      <w:lvlJc w:val="left"/>
      <w:pPr>
        <w:ind w:left="8136" w:hanging="557"/>
      </w:pPr>
      <w:rPr>
        <w:rFonts w:hint="default"/>
        <w:lang w:val="en-US" w:eastAsia="en-US" w:bidi="ar-SA"/>
      </w:rPr>
    </w:lvl>
  </w:abstractNum>
  <w:abstractNum w:abstractNumId="10" w15:restartNumberingAfterBreak="0">
    <w:nsid w:val="04753C01"/>
    <w:multiLevelType w:val="multilevel"/>
    <w:tmpl w:val="7CE28B32"/>
    <w:lvl w:ilvl="0">
      <w:start w:val="1"/>
      <w:numFmt w:val="decimal"/>
      <w:lvlText w:val="%1"/>
      <w:lvlJc w:val="left"/>
      <w:pPr>
        <w:ind w:left="1410" w:hanging="1050"/>
        <w:jc w:val="left"/>
      </w:pPr>
      <w:rPr>
        <w:rFonts w:hint="default"/>
        <w:lang w:val="en-US" w:eastAsia="en-US" w:bidi="ar-SA"/>
      </w:rPr>
    </w:lvl>
    <w:lvl w:ilvl="1">
      <w:start w:va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152" w:hanging="1050"/>
      </w:pPr>
      <w:rPr>
        <w:rFonts w:hint="default"/>
        <w:lang w:val="en-US" w:eastAsia="en-US" w:bidi="ar-SA"/>
      </w:rPr>
    </w:lvl>
    <w:lvl w:ilvl="3">
      <w:numFmt w:val="bullet"/>
      <w:lvlText w:val="•"/>
      <w:lvlJc w:val="left"/>
      <w:pPr>
        <w:ind w:left="4018" w:hanging="1050"/>
      </w:pPr>
      <w:rPr>
        <w:rFonts w:hint="default"/>
        <w:lang w:val="en-US" w:eastAsia="en-US" w:bidi="ar-SA"/>
      </w:rPr>
    </w:lvl>
    <w:lvl w:ilvl="4">
      <w:numFmt w:val="bullet"/>
      <w:lvlText w:val="•"/>
      <w:lvlJc w:val="left"/>
      <w:pPr>
        <w:ind w:left="4884" w:hanging="1050"/>
      </w:pPr>
      <w:rPr>
        <w:rFonts w:hint="default"/>
        <w:lang w:val="en-US" w:eastAsia="en-US" w:bidi="ar-SA"/>
      </w:rPr>
    </w:lvl>
    <w:lvl w:ilvl="5">
      <w:numFmt w:val="bullet"/>
      <w:lvlText w:val="•"/>
      <w:lvlJc w:val="left"/>
      <w:pPr>
        <w:ind w:left="5750" w:hanging="1050"/>
      </w:pPr>
      <w:rPr>
        <w:rFonts w:hint="default"/>
        <w:lang w:val="en-US" w:eastAsia="en-US" w:bidi="ar-SA"/>
      </w:rPr>
    </w:lvl>
    <w:lvl w:ilvl="6">
      <w:numFmt w:val="bullet"/>
      <w:lvlText w:val="•"/>
      <w:lvlJc w:val="left"/>
      <w:pPr>
        <w:ind w:left="6616" w:hanging="1050"/>
      </w:pPr>
      <w:rPr>
        <w:rFonts w:hint="default"/>
        <w:lang w:val="en-US" w:eastAsia="en-US" w:bidi="ar-SA"/>
      </w:rPr>
    </w:lvl>
    <w:lvl w:ilvl="7">
      <w:numFmt w:val="bullet"/>
      <w:lvlText w:val="•"/>
      <w:lvlJc w:val="left"/>
      <w:pPr>
        <w:ind w:left="7482" w:hanging="1050"/>
      </w:pPr>
      <w:rPr>
        <w:rFonts w:hint="default"/>
        <w:lang w:val="en-US" w:eastAsia="en-US" w:bidi="ar-SA"/>
      </w:rPr>
    </w:lvl>
    <w:lvl w:ilvl="8">
      <w:numFmt w:val="bullet"/>
      <w:lvlText w:val="•"/>
      <w:lvlJc w:val="left"/>
      <w:pPr>
        <w:ind w:left="8348" w:hanging="1050"/>
      </w:pPr>
      <w:rPr>
        <w:rFonts w:hint="default"/>
        <w:lang w:val="en-US" w:eastAsia="en-US" w:bidi="ar-SA"/>
      </w:rPr>
    </w:lvl>
  </w:abstractNum>
  <w:abstractNum w:abstractNumId="11" w15:restartNumberingAfterBreak="0">
    <w:nsid w:val="04AE3338"/>
    <w:multiLevelType w:val="hybridMultilevel"/>
    <w:tmpl w:val="4CA49FA8"/>
    <w:lvl w:ilvl="0" w:tplc="72C20B06">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FFAFA98">
      <w:numFmt w:val="bullet"/>
      <w:lvlText w:val="•"/>
      <w:lvlJc w:val="left"/>
      <w:pPr>
        <w:ind w:left="1656" w:hanging="358"/>
      </w:pPr>
      <w:rPr>
        <w:rFonts w:hint="default"/>
        <w:lang w:val="en-US" w:eastAsia="en-US" w:bidi="ar-SA"/>
      </w:rPr>
    </w:lvl>
    <w:lvl w:ilvl="2" w:tplc="595EFB36">
      <w:numFmt w:val="bullet"/>
      <w:lvlText w:val="•"/>
      <w:lvlJc w:val="left"/>
      <w:pPr>
        <w:ind w:left="2592" w:hanging="358"/>
      </w:pPr>
      <w:rPr>
        <w:rFonts w:hint="default"/>
        <w:lang w:val="en-US" w:eastAsia="en-US" w:bidi="ar-SA"/>
      </w:rPr>
    </w:lvl>
    <w:lvl w:ilvl="3" w:tplc="03229F38">
      <w:numFmt w:val="bullet"/>
      <w:lvlText w:val="•"/>
      <w:lvlJc w:val="left"/>
      <w:pPr>
        <w:ind w:left="3528" w:hanging="358"/>
      </w:pPr>
      <w:rPr>
        <w:rFonts w:hint="default"/>
        <w:lang w:val="en-US" w:eastAsia="en-US" w:bidi="ar-SA"/>
      </w:rPr>
    </w:lvl>
    <w:lvl w:ilvl="4" w:tplc="B8B20B60">
      <w:numFmt w:val="bullet"/>
      <w:lvlText w:val="•"/>
      <w:lvlJc w:val="left"/>
      <w:pPr>
        <w:ind w:left="4464" w:hanging="358"/>
      </w:pPr>
      <w:rPr>
        <w:rFonts w:hint="default"/>
        <w:lang w:val="en-US" w:eastAsia="en-US" w:bidi="ar-SA"/>
      </w:rPr>
    </w:lvl>
    <w:lvl w:ilvl="5" w:tplc="B25C0F24">
      <w:numFmt w:val="bullet"/>
      <w:lvlText w:val="•"/>
      <w:lvlJc w:val="left"/>
      <w:pPr>
        <w:ind w:left="5400" w:hanging="358"/>
      </w:pPr>
      <w:rPr>
        <w:rFonts w:hint="default"/>
        <w:lang w:val="en-US" w:eastAsia="en-US" w:bidi="ar-SA"/>
      </w:rPr>
    </w:lvl>
    <w:lvl w:ilvl="6" w:tplc="5282C2A4">
      <w:numFmt w:val="bullet"/>
      <w:lvlText w:val="•"/>
      <w:lvlJc w:val="left"/>
      <w:pPr>
        <w:ind w:left="6336" w:hanging="358"/>
      </w:pPr>
      <w:rPr>
        <w:rFonts w:hint="default"/>
        <w:lang w:val="en-US" w:eastAsia="en-US" w:bidi="ar-SA"/>
      </w:rPr>
    </w:lvl>
    <w:lvl w:ilvl="7" w:tplc="B330AF4C">
      <w:numFmt w:val="bullet"/>
      <w:lvlText w:val="•"/>
      <w:lvlJc w:val="left"/>
      <w:pPr>
        <w:ind w:left="7272" w:hanging="358"/>
      </w:pPr>
      <w:rPr>
        <w:rFonts w:hint="default"/>
        <w:lang w:val="en-US" w:eastAsia="en-US" w:bidi="ar-SA"/>
      </w:rPr>
    </w:lvl>
    <w:lvl w:ilvl="8" w:tplc="68283FCA">
      <w:numFmt w:val="bullet"/>
      <w:lvlText w:val="•"/>
      <w:lvlJc w:val="left"/>
      <w:pPr>
        <w:ind w:left="8208" w:hanging="358"/>
      </w:pPr>
      <w:rPr>
        <w:rFonts w:hint="default"/>
        <w:lang w:val="en-US" w:eastAsia="en-US" w:bidi="ar-SA"/>
      </w:rPr>
    </w:lvl>
  </w:abstractNum>
  <w:abstractNum w:abstractNumId="12" w15:restartNumberingAfterBreak="0">
    <w:nsid w:val="055B36C3"/>
    <w:multiLevelType w:val="multilevel"/>
    <w:tmpl w:val="3F809218"/>
    <w:lvl w:ilvl="0">
      <w:start w:val="1"/>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360" w:hanging="1086"/>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2257" w:hanging="777"/>
      </w:pPr>
      <w:rPr>
        <w:rFonts w:hint="default"/>
        <w:lang w:val="en-US" w:eastAsia="en-US" w:bidi="ar-SA"/>
      </w:rPr>
    </w:lvl>
    <w:lvl w:ilvl="4">
      <w:numFmt w:val="bullet"/>
      <w:lvlText w:val="•"/>
      <w:lvlJc w:val="left"/>
      <w:pPr>
        <w:ind w:left="3375" w:hanging="777"/>
      </w:pPr>
      <w:rPr>
        <w:rFonts w:hint="default"/>
        <w:lang w:val="en-US" w:eastAsia="en-US" w:bidi="ar-SA"/>
      </w:rPr>
    </w:lvl>
    <w:lvl w:ilvl="5">
      <w:numFmt w:val="bullet"/>
      <w:lvlText w:val="•"/>
      <w:lvlJc w:val="left"/>
      <w:pPr>
        <w:ind w:left="4492" w:hanging="777"/>
      </w:pPr>
      <w:rPr>
        <w:rFonts w:hint="default"/>
        <w:lang w:val="en-US" w:eastAsia="en-US" w:bidi="ar-SA"/>
      </w:rPr>
    </w:lvl>
    <w:lvl w:ilvl="6">
      <w:numFmt w:val="bullet"/>
      <w:lvlText w:val="•"/>
      <w:lvlJc w:val="left"/>
      <w:pPr>
        <w:ind w:left="5610" w:hanging="777"/>
      </w:pPr>
      <w:rPr>
        <w:rFonts w:hint="default"/>
        <w:lang w:val="en-US" w:eastAsia="en-US" w:bidi="ar-SA"/>
      </w:rPr>
    </w:lvl>
    <w:lvl w:ilvl="7">
      <w:numFmt w:val="bullet"/>
      <w:lvlText w:val="•"/>
      <w:lvlJc w:val="left"/>
      <w:pPr>
        <w:ind w:left="6727" w:hanging="777"/>
      </w:pPr>
      <w:rPr>
        <w:rFonts w:hint="default"/>
        <w:lang w:val="en-US" w:eastAsia="en-US" w:bidi="ar-SA"/>
      </w:rPr>
    </w:lvl>
    <w:lvl w:ilvl="8">
      <w:numFmt w:val="bullet"/>
      <w:lvlText w:val="•"/>
      <w:lvlJc w:val="left"/>
      <w:pPr>
        <w:ind w:left="7845" w:hanging="777"/>
      </w:pPr>
      <w:rPr>
        <w:rFonts w:hint="default"/>
        <w:lang w:val="en-US" w:eastAsia="en-US" w:bidi="ar-SA"/>
      </w:rPr>
    </w:lvl>
  </w:abstractNum>
  <w:abstractNum w:abstractNumId="13" w15:restartNumberingAfterBreak="0">
    <w:nsid w:val="059B3CC9"/>
    <w:multiLevelType w:val="hybridMultilevel"/>
    <w:tmpl w:val="68B4380C"/>
    <w:lvl w:ilvl="0" w:tplc="7C74ED06">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EFAF76A">
      <w:start w:val="1"/>
      <w:numFmt w:val="lowerRoman"/>
      <w:lvlText w:val="(%2)"/>
      <w:lvlJc w:val="left"/>
      <w:pPr>
        <w:ind w:left="360" w:hanging="44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5C20CCEA">
      <w:numFmt w:val="bullet"/>
      <w:lvlText w:val="•"/>
      <w:lvlJc w:val="left"/>
      <w:pPr>
        <w:ind w:left="2304" w:hanging="442"/>
      </w:pPr>
      <w:rPr>
        <w:rFonts w:hint="default"/>
        <w:lang w:val="en-US" w:eastAsia="en-US" w:bidi="ar-SA"/>
      </w:rPr>
    </w:lvl>
    <w:lvl w:ilvl="3" w:tplc="DA64D006">
      <w:numFmt w:val="bullet"/>
      <w:lvlText w:val="•"/>
      <w:lvlJc w:val="left"/>
      <w:pPr>
        <w:ind w:left="3276" w:hanging="442"/>
      </w:pPr>
      <w:rPr>
        <w:rFonts w:hint="default"/>
        <w:lang w:val="en-US" w:eastAsia="en-US" w:bidi="ar-SA"/>
      </w:rPr>
    </w:lvl>
    <w:lvl w:ilvl="4" w:tplc="119E445C">
      <w:numFmt w:val="bullet"/>
      <w:lvlText w:val="•"/>
      <w:lvlJc w:val="left"/>
      <w:pPr>
        <w:ind w:left="4248" w:hanging="442"/>
      </w:pPr>
      <w:rPr>
        <w:rFonts w:hint="default"/>
        <w:lang w:val="en-US" w:eastAsia="en-US" w:bidi="ar-SA"/>
      </w:rPr>
    </w:lvl>
    <w:lvl w:ilvl="5" w:tplc="F1BA36DA">
      <w:numFmt w:val="bullet"/>
      <w:lvlText w:val="•"/>
      <w:lvlJc w:val="left"/>
      <w:pPr>
        <w:ind w:left="5220" w:hanging="442"/>
      </w:pPr>
      <w:rPr>
        <w:rFonts w:hint="default"/>
        <w:lang w:val="en-US" w:eastAsia="en-US" w:bidi="ar-SA"/>
      </w:rPr>
    </w:lvl>
    <w:lvl w:ilvl="6" w:tplc="C4B29B06">
      <w:numFmt w:val="bullet"/>
      <w:lvlText w:val="•"/>
      <w:lvlJc w:val="left"/>
      <w:pPr>
        <w:ind w:left="6192" w:hanging="442"/>
      </w:pPr>
      <w:rPr>
        <w:rFonts w:hint="default"/>
        <w:lang w:val="en-US" w:eastAsia="en-US" w:bidi="ar-SA"/>
      </w:rPr>
    </w:lvl>
    <w:lvl w:ilvl="7" w:tplc="C14AD78E">
      <w:numFmt w:val="bullet"/>
      <w:lvlText w:val="•"/>
      <w:lvlJc w:val="left"/>
      <w:pPr>
        <w:ind w:left="7164" w:hanging="442"/>
      </w:pPr>
      <w:rPr>
        <w:rFonts w:hint="default"/>
        <w:lang w:val="en-US" w:eastAsia="en-US" w:bidi="ar-SA"/>
      </w:rPr>
    </w:lvl>
    <w:lvl w:ilvl="8" w:tplc="DEEA7904">
      <w:numFmt w:val="bullet"/>
      <w:lvlText w:val="•"/>
      <w:lvlJc w:val="left"/>
      <w:pPr>
        <w:ind w:left="8136" w:hanging="442"/>
      </w:pPr>
      <w:rPr>
        <w:rFonts w:hint="default"/>
        <w:lang w:val="en-US" w:eastAsia="en-US" w:bidi="ar-SA"/>
      </w:rPr>
    </w:lvl>
  </w:abstractNum>
  <w:abstractNum w:abstractNumId="14" w15:restartNumberingAfterBreak="0">
    <w:nsid w:val="05B77400"/>
    <w:multiLevelType w:val="hybridMultilevel"/>
    <w:tmpl w:val="F6E2078C"/>
    <w:lvl w:ilvl="0" w:tplc="CE6C8D86">
      <w:start w:val="16"/>
      <w:numFmt w:val="upperLetter"/>
      <w:lvlText w:val="(%1)"/>
      <w:lvlJc w:val="left"/>
      <w:pPr>
        <w:ind w:left="801" w:hanging="44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C52183E">
      <w:numFmt w:val="bullet"/>
      <w:lvlText w:val="•"/>
      <w:lvlJc w:val="left"/>
      <w:pPr>
        <w:ind w:left="1728" w:hanging="442"/>
      </w:pPr>
      <w:rPr>
        <w:rFonts w:hint="default"/>
        <w:lang w:val="en-US" w:eastAsia="en-US" w:bidi="ar-SA"/>
      </w:rPr>
    </w:lvl>
    <w:lvl w:ilvl="2" w:tplc="419C8ABA">
      <w:numFmt w:val="bullet"/>
      <w:lvlText w:val="•"/>
      <w:lvlJc w:val="left"/>
      <w:pPr>
        <w:ind w:left="2656" w:hanging="442"/>
      </w:pPr>
      <w:rPr>
        <w:rFonts w:hint="default"/>
        <w:lang w:val="en-US" w:eastAsia="en-US" w:bidi="ar-SA"/>
      </w:rPr>
    </w:lvl>
    <w:lvl w:ilvl="3" w:tplc="722432CC">
      <w:numFmt w:val="bullet"/>
      <w:lvlText w:val="•"/>
      <w:lvlJc w:val="left"/>
      <w:pPr>
        <w:ind w:left="3584" w:hanging="442"/>
      </w:pPr>
      <w:rPr>
        <w:rFonts w:hint="default"/>
        <w:lang w:val="en-US" w:eastAsia="en-US" w:bidi="ar-SA"/>
      </w:rPr>
    </w:lvl>
    <w:lvl w:ilvl="4" w:tplc="3DFA31BC">
      <w:numFmt w:val="bullet"/>
      <w:lvlText w:val="•"/>
      <w:lvlJc w:val="left"/>
      <w:pPr>
        <w:ind w:left="4512" w:hanging="442"/>
      </w:pPr>
      <w:rPr>
        <w:rFonts w:hint="default"/>
        <w:lang w:val="en-US" w:eastAsia="en-US" w:bidi="ar-SA"/>
      </w:rPr>
    </w:lvl>
    <w:lvl w:ilvl="5" w:tplc="49DAC5DC">
      <w:numFmt w:val="bullet"/>
      <w:lvlText w:val="•"/>
      <w:lvlJc w:val="left"/>
      <w:pPr>
        <w:ind w:left="5440" w:hanging="442"/>
      </w:pPr>
      <w:rPr>
        <w:rFonts w:hint="default"/>
        <w:lang w:val="en-US" w:eastAsia="en-US" w:bidi="ar-SA"/>
      </w:rPr>
    </w:lvl>
    <w:lvl w:ilvl="6" w:tplc="318E73DC">
      <w:numFmt w:val="bullet"/>
      <w:lvlText w:val="•"/>
      <w:lvlJc w:val="left"/>
      <w:pPr>
        <w:ind w:left="6368" w:hanging="442"/>
      </w:pPr>
      <w:rPr>
        <w:rFonts w:hint="default"/>
        <w:lang w:val="en-US" w:eastAsia="en-US" w:bidi="ar-SA"/>
      </w:rPr>
    </w:lvl>
    <w:lvl w:ilvl="7" w:tplc="22B24D44">
      <w:numFmt w:val="bullet"/>
      <w:lvlText w:val="•"/>
      <w:lvlJc w:val="left"/>
      <w:pPr>
        <w:ind w:left="7296" w:hanging="442"/>
      </w:pPr>
      <w:rPr>
        <w:rFonts w:hint="default"/>
        <w:lang w:val="en-US" w:eastAsia="en-US" w:bidi="ar-SA"/>
      </w:rPr>
    </w:lvl>
    <w:lvl w:ilvl="8" w:tplc="9EF0F45E">
      <w:numFmt w:val="bullet"/>
      <w:lvlText w:val="•"/>
      <w:lvlJc w:val="left"/>
      <w:pPr>
        <w:ind w:left="8224" w:hanging="442"/>
      </w:pPr>
      <w:rPr>
        <w:rFonts w:hint="default"/>
        <w:lang w:val="en-US" w:eastAsia="en-US" w:bidi="ar-SA"/>
      </w:rPr>
    </w:lvl>
  </w:abstractNum>
  <w:abstractNum w:abstractNumId="15" w15:restartNumberingAfterBreak="0">
    <w:nsid w:val="06063444"/>
    <w:multiLevelType w:val="hybridMultilevel"/>
    <w:tmpl w:val="849E21EA"/>
    <w:lvl w:ilvl="0" w:tplc="976CAA72">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873ED122">
      <w:numFmt w:val="bullet"/>
      <w:lvlText w:val="•"/>
      <w:lvlJc w:val="left"/>
      <w:pPr>
        <w:ind w:left="1656" w:hanging="358"/>
      </w:pPr>
      <w:rPr>
        <w:rFonts w:hint="default"/>
        <w:lang w:val="en-US" w:eastAsia="en-US" w:bidi="ar-SA"/>
      </w:rPr>
    </w:lvl>
    <w:lvl w:ilvl="2" w:tplc="AA02A08A">
      <w:numFmt w:val="bullet"/>
      <w:lvlText w:val="•"/>
      <w:lvlJc w:val="left"/>
      <w:pPr>
        <w:ind w:left="2592" w:hanging="358"/>
      </w:pPr>
      <w:rPr>
        <w:rFonts w:hint="default"/>
        <w:lang w:val="en-US" w:eastAsia="en-US" w:bidi="ar-SA"/>
      </w:rPr>
    </w:lvl>
    <w:lvl w:ilvl="3" w:tplc="46989E06">
      <w:numFmt w:val="bullet"/>
      <w:lvlText w:val="•"/>
      <w:lvlJc w:val="left"/>
      <w:pPr>
        <w:ind w:left="3528" w:hanging="358"/>
      </w:pPr>
      <w:rPr>
        <w:rFonts w:hint="default"/>
        <w:lang w:val="en-US" w:eastAsia="en-US" w:bidi="ar-SA"/>
      </w:rPr>
    </w:lvl>
    <w:lvl w:ilvl="4" w:tplc="F4D05844">
      <w:numFmt w:val="bullet"/>
      <w:lvlText w:val="•"/>
      <w:lvlJc w:val="left"/>
      <w:pPr>
        <w:ind w:left="4464" w:hanging="358"/>
      </w:pPr>
      <w:rPr>
        <w:rFonts w:hint="default"/>
        <w:lang w:val="en-US" w:eastAsia="en-US" w:bidi="ar-SA"/>
      </w:rPr>
    </w:lvl>
    <w:lvl w:ilvl="5" w:tplc="AE743790">
      <w:numFmt w:val="bullet"/>
      <w:lvlText w:val="•"/>
      <w:lvlJc w:val="left"/>
      <w:pPr>
        <w:ind w:left="5400" w:hanging="358"/>
      </w:pPr>
      <w:rPr>
        <w:rFonts w:hint="default"/>
        <w:lang w:val="en-US" w:eastAsia="en-US" w:bidi="ar-SA"/>
      </w:rPr>
    </w:lvl>
    <w:lvl w:ilvl="6" w:tplc="FCBEC910">
      <w:numFmt w:val="bullet"/>
      <w:lvlText w:val="•"/>
      <w:lvlJc w:val="left"/>
      <w:pPr>
        <w:ind w:left="6336" w:hanging="358"/>
      </w:pPr>
      <w:rPr>
        <w:rFonts w:hint="default"/>
        <w:lang w:val="en-US" w:eastAsia="en-US" w:bidi="ar-SA"/>
      </w:rPr>
    </w:lvl>
    <w:lvl w:ilvl="7" w:tplc="211C763C">
      <w:numFmt w:val="bullet"/>
      <w:lvlText w:val="•"/>
      <w:lvlJc w:val="left"/>
      <w:pPr>
        <w:ind w:left="7272" w:hanging="358"/>
      </w:pPr>
      <w:rPr>
        <w:rFonts w:hint="default"/>
        <w:lang w:val="en-US" w:eastAsia="en-US" w:bidi="ar-SA"/>
      </w:rPr>
    </w:lvl>
    <w:lvl w:ilvl="8" w:tplc="54F49EA2">
      <w:numFmt w:val="bullet"/>
      <w:lvlText w:val="•"/>
      <w:lvlJc w:val="left"/>
      <w:pPr>
        <w:ind w:left="8208" w:hanging="358"/>
      </w:pPr>
      <w:rPr>
        <w:rFonts w:hint="default"/>
        <w:lang w:val="en-US" w:eastAsia="en-US" w:bidi="ar-SA"/>
      </w:rPr>
    </w:lvl>
  </w:abstractNum>
  <w:abstractNum w:abstractNumId="16" w15:restartNumberingAfterBreak="0">
    <w:nsid w:val="06133DFA"/>
    <w:multiLevelType w:val="multilevel"/>
    <w:tmpl w:val="E0162974"/>
    <w:lvl w:ilvl="0">
      <w:start w:val="6"/>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7" w15:restartNumberingAfterBreak="0">
    <w:nsid w:val="062F7065"/>
    <w:multiLevelType w:val="hybridMultilevel"/>
    <w:tmpl w:val="3F02938A"/>
    <w:lvl w:ilvl="0" w:tplc="9858F0E2">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E5EA500">
      <w:numFmt w:val="bullet"/>
      <w:lvlText w:val="•"/>
      <w:lvlJc w:val="left"/>
      <w:pPr>
        <w:ind w:left="1656" w:hanging="358"/>
      </w:pPr>
      <w:rPr>
        <w:rFonts w:hint="default"/>
        <w:lang w:val="en-US" w:eastAsia="en-US" w:bidi="ar-SA"/>
      </w:rPr>
    </w:lvl>
    <w:lvl w:ilvl="2" w:tplc="65F6E64E">
      <w:numFmt w:val="bullet"/>
      <w:lvlText w:val="•"/>
      <w:lvlJc w:val="left"/>
      <w:pPr>
        <w:ind w:left="2592" w:hanging="358"/>
      </w:pPr>
      <w:rPr>
        <w:rFonts w:hint="default"/>
        <w:lang w:val="en-US" w:eastAsia="en-US" w:bidi="ar-SA"/>
      </w:rPr>
    </w:lvl>
    <w:lvl w:ilvl="3" w:tplc="F0941CC4">
      <w:numFmt w:val="bullet"/>
      <w:lvlText w:val="•"/>
      <w:lvlJc w:val="left"/>
      <w:pPr>
        <w:ind w:left="3528" w:hanging="358"/>
      </w:pPr>
      <w:rPr>
        <w:rFonts w:hint="default"/>
        <w:lang w:val="en-US" w:eastAsia="en-US" w:bidi="ar-SA"/>
      </w:rPr>
    </w:lvl>
    <w:lvl w:ilvl="4" w:tplc="DB96AB72">
      <w:numFmt w:val="bullet"/>
      <w:lvlText w:val="•"/>
      <w:lvlJc w:val="left"/>
      <w:pPr>
        <w:ind w:left="4464" w:hanging="358"/>
      </w:pPr>
      <w:rPr>
        <w:rFonts w:hint="default"/>
        <w:lang w:val="en-US" w:eastAsia="en-US" w:bidi="ar-SA"/>
      </w:rPr>
    </w:lvl>
    <w:lvl w:ilvl="5" w:tplc="D8DCEA5C">
      <w:numFmt w:val="bullet"/>
      <w:lvlText w:val="•"/>
      <w:lvlJc w:val="left"/>
      <w:pPr>
        <w:ind w:left="5400" w:hanging="358"/>
      </w:pPr>
      <w:rPr>
        <w:rFonts w:hint="default"/>
        <w:lang w:val="en-US" w:eastAsia="en-US" w:bidi="ar-SA"/>
      </w:rPr>
    </w:lvl>
    <w:lvl w:ilvl="6" w:tplc="574450B6">
      <w:numFmt w:val="bullet"/>
      <w:lvlText w:val="•"/>
      <w:lvlJc w:val="left"/>
      <w:pPr>
        <w:ind w:left="6336" w:hanging="358"/>
      </w:pPr>
      <w:rPr>
        <w:rFonts w:hint="default"/>
        <w:lang w:val="en-US" w:eastAsia="en-US" w:bidi="ar-SA"/>
      </w:rPr>
    </w:lvl>
    <w:lvl w:ilvl="7" w:tplc="B59A61AC">
      <w:numFmt w:val="bullet"/>
      <w:lvlText w:val="•"/>
      <w:lvlJc w:val="left"/>
      <w:pPr>
        <w:ind w:left="7272" w:hanging="358"/>
      </w:pPr>
      <w:rPr>
        <w:rFonts w:hint="default"/>
        <w:lang w:val="en-US" w:eastAsia="en-US" w:bidi="ar-SA"/>
      </w:rPr>
    </w:lvl>
    <w:lvl w:ilvl="8" w:tplc="6EAA0C1A">
      <w:numFmt w:val="bullet"/>
      <w:lvlText w:val="•"/>
      <w:lvlJc w:val="left"/>
      <w:pPr>
        <w:ind w:left="8208" w:hanging="358"/>
      </w:pPr>
      <w:rPr>
        <w:rFonts w:hint="default"/>
        <w:lang w:val="en-US" w:eastAsia="en-US" w:bidi="ar-SA"/>
      </w:rPr>
    </w:lvl>
  </w:abstractNum>
  <w:abstractNum w:abstractNumId="18" w15:restartNumberingAfterBreak="0">
    <w:nsid w:val="06493D53"/>
    <w:multiLevelType w:val="multilevel"/>
    <w:tmpl w:val="D94E1304"/>
    <w:lvl w:ilvl="0">
      <w:start w:val="5"/>
      <w:numFmt w:val="decimal"/>
      <w:lvlText w:val="%1"/>
      <w:lvlJc w:val="left"/>
      <w:pPr>
        <w:ind w:left="360" w:hanging="733"/>
        <w:jc w:val="left"/>
      </w:pPr>
      <w:rPr>
        <w:rFonts w:hint="default"/>
        <w:lang w:val="en-US" w:eastAsia="en-US" w:bidi="ar-SA"/>
      </w:rPr>
    </w:lvl>
    <w:lvl w:ilvl="1">
      <w:numFmt w:val="decimal"/>
      <w:lvlText w:val="%1.%2"/>
      <w:lvlJc w:val="left"/>
      <w:pPr>
        <w:ind w:left="360" w:hanging="733"/>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9" w15:restartNumberingAfterBreak="0">
    <w:nsid w:val="065776E6"/>
    <w:multiLevelType w:val="multilevel"/>
    <w:tmpl w:val="3170F3F2"/>
    <w:lvl w:ilvl="0">
      <w:start w:val="5"/>
      <w:numFmt w:val="decimal"/>
      <w:lvlText w:val="%1"/>
      <w:lvlJc w:val="left"/>
      <w:pPr>
        <w:ind w:left="360" w:hanging="710"/>
        <w:jc w:val="left"/>
      </w:pPr>
      <w:rPr>
        <w:rFonts w:hint="default"/>
        <w:lang w:val="en-US" w:eastAsia="en-US" w:bidi="ar-SA"/>
      </w:rPr>
    </w:lvl>
    <w:lvl w:ilvl="1">
      <w:numFmt w:val="decimal"/>
      <w:lvlText w:val="%1.%2"/>
      <w:lvlJc w:val="left"/>
      <w:pPr>
        <w:ind w:left="360" w:hanging="71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710"/>
      </w:pPr>
      <w:rPr>
        <w:rFonts w:hint="default"/>
        <w:lang w:val="en-US" w:eastAsia="en-US" w:bidi="ar-SA"/>
      </w:rPr>
    </w:lvl>
    <w:lvl w:ilvl="3">
      <w:numFmt w:val="bullet"/>
      <w:lvlText w:val="•"/>
      <w:lvlJc w:val="left"/>
      <w:pPr>
        <w:ind w:left="3276" w:hanging="710"/>
      </w:pPr>
      <w:rPr>
        <w:rFonts w:hint="default"/>
        <w:lang w:val="en-US" w:eastAsia="en-US" w:bidi="ar-SA"/>
      </w:rPr>
    </w:lvl>
    <w:lvl w:ilvl="4">
      <w:numFmt w:val="bullet"/>
      <w:lvlText w:val="•"/>
      <w:lvlJc w:val="left"/>
      <w:pPr>
        <w:ind w:left="4248" w:hanging="710"/>
      </w:pPr>
      <w:rPr>
        <w:rFonts w:hint="default"/>
        <w:lang w:val="en-US" w:eastAsia="en-US" w:bidi="ar-SA"/>
      </w:rPr>
    </w:lvl>
    <w:lvl w:ilvl="5">
      <w:numFmt w:val="bullet"/>
      <w:lvlText w:val="•"/>
      <w:lvlJc w:val="left"/>
      <w:pPr>
        <w:ind w:left="5220" w:hanging="710"/>
      </w:pPr>
      <w:rPr>
        <w:rFonts w:hint="default"/>
        <w:lang w:val="en-US" w:eastAsia="en-US" w:bidi="ar-SA"/>
      </w:rPr>
    </w:lvl>
    <w:lvl w:ilvl="6">
      <w:numFmt w:val="bullet"/>
      <w:lvlText w:val="•"/>
      <w:lvlJc w:val="left"/>
      <w:pPr>
        <w:ind w:left="6192" w:hanging="710"/>
      </w:pPr>
      <w:rPr>
        <w:rFonts w:hint="default"/>
        <w:lang w:val="en-US" w:eastAsia="en-US" w:bidi="ar-SA"/>
      </w:rPr>
    </w:lvl>
    <w:lvl w:ilvl="7">
      <w:numFmt w:val="bullet"/>
      <w:lvlText w:val="•"/>
      <w:lvlJc w:val="left"/>
      <w:pPr>
        <w:ind w:left="7164" w:hanging="710"/>
      </w:pPr>
      <w:rPr>
        <w:rFonts w:hint="default"/>
        <w:lang w:val="en-US" w:eastAsia="en-US" w:bidi="ar-SA"/>
      </w:rPr>
    </w:lvl>
    <w:lvl w:ilvl="8">
      <w:numFmt w:val="bullet"/>
      <w:lvlText w:val="•"/>
      <w:lvlJc w:val="left"/>
      <w:pPr>
        <w:ind w:left="8136" w:hanging="710"/>
      </w:pPr>
      <w:rPr>
        <w:rFonts w:hint="default"/>
        <w:lang w:val="en-US" w:eastAsia="en-US" w:bidi="ar-SA"/>
      </w:rPr>
    </w:lvl>
  </w:abstractNum>
  <w:abstractNum w:abstractNumId="20" w15:restartNumberingAfterBreak="0">
    <w:nsid w:val="06A47FD5"/>
    <w:multiLevelType w:val="hybridMultilevel"/>
    <w:tmpl w:val="CFB852F6"/>
    <w:lvl w:ilvl="0" w:tplc="FDFAF57A">
      <w:start w:val="1"/>
      <w:numFmt w:val="decimal"/>
      <w:lvlText w:val="%1."/>
      <w:lvlJc w:val="left"/>
      <w:pPr>
        <w:ind w:left="6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0382DAF8">
      <w:numFmt w:val="bullet"/>
      <w:lvlText w:val="•"/>
      <w:lvlJc w:val="left"/>
      <w:pPr>
        <w:ind w:left="1602" w:hanging="300"/>
      </w:pPr>
      <w:rPr>
        <w:rFonts w:hint="default"/>
        <w:lang w:val="en-US" w:eastAsia="en-US" w:bidi="ar-SA"/>
      </w:rPr>
    </w:lvl>
    <w:lvl w:ilvl="2" w:tplc="0868FEF6">
      <w:numFmt w:val="bullet"/>
      <w:lvlText w:val="•"/>
      <w:lvlJc w:val="left"/>
      <w:pPr>
        <w:ind w:left="2544" w:hanging="300"/>
      </w:pPr>
      <w:rPr>
        <w:rFonts w:hint="default"/>
        <w:lang w:val="en-US" w:eastAsia="en-US" w:bidi="ar-SA"/>
      </w:rPr>
    </w:lvl>
    <w:lvl w:ilvl="3" w:tplc="E7B0D54E">
      <w:numFmt w:val="bullet"/>
      <w:lvlText w:val="•"/>
      <w:lvlJc w:val="left"/>
      <w:pPr>
        <w:ind w:left="3486" w:hanging="300"/>
      </w:pPr>
      <w:rPr>
        <w:rFonts w:hint="default"/>
        <w:lang w:val="en-US" w:eastAsia="en-US" w:bidi="ar-SA"/>
      </w:rPr>
    </w:lvl>
    <w:lvl w:ilvl="4" w:tplc="D35E36C0">
      <w:numFmt w:val="bullet"/>
      <w:lvlText w:val="•"/>
      <w:lvlJc w:val="left"/>
      <w:pPr>
        <w:ind w:left="4428" w:hanging="300"/>
      </w:pPr>
      <w:rPr>
        <w:rFonts w:hint="default"/>
        <w:lang w:val="en-US" w:eastAsia="en-US" w:bidi="ar-SA"/>
      </w:rPr>
    </w:lvl>
    <w:lvl w:ilvl="5" w:tplc="B044D428">
      <w:numFmt w:val="bullet"/>
      <w:lvlText w:val="•"/>
      <w:lvlJc w:val="left"/>
      <w:pPr>
        <w:ind w:left="5370" w:hanging="300"/>
      </w:pPr>
      <w:rPr>
        <w:rFonts w:hint="default"/>
        <w:lang w:val="en-US" w:eastAsia="en-US" w:bidi="ar-SA"/>
      </w:rPr>
    </w:lvl>
    <w:lvl w:ilvl="6" w:tplc="91CE05FC">
      <w:numFmt w:val="bullet"/>
      <w:lvlText w:val="•"/>
      <w:lvlJc w:val="left"/>
      <w:pPr>
        <w:ind w:left="6312" w:hanging="300"/>
      </w:pPr>
      <w:rPr>
        <w:rFonts w:hint="default"/>
        <w:lang w:val="en-US" w:eastAsia="en-US" w:bidi="ar-SA"/>
      </w:rPr>
    </w:lvl>
    <w:lvl w:ilvl="7" w:tplc="F67CB5B8">
      <w:numFmt w:val="bullet"/>
      <w:lvlText w:val="•"/>
      <w:lvlJc w:val="left"/>
      <w:pPr>
        <w:ind w:left="7254" w:hanging="300"/>
      </w:pPr>
      <w:rPr>
        <w:rFonts w:hint="default"/>
        <w:lang w:val="en-US" w:eastAsia="en-US" w:bidi="ar-SA"/>
      </w:rPr>
    </w:lvl>
    <w:lvl w:ilvl="8" w:tplc="07D4A5C2">
      <w:numFmt w:val="bullet"/>
      <w:lvlText w:val="•"/>
      <w:lvlJc w:val="left"/>
      <w:pPr>
        <w:ind w:left="8196" w:hanging="300"/>
      </w:pPr>
      <w:rPr>
        <w:rFonts w:hint="default"/>
        <w:lang w:val="en-US" w:eastAsia="en-US" w:bidi="ar-SA"/>
      </w:rPr>
    </w:lvl>
  </w:abstractNum>
  <w:abstractNum w:abstractNumId="21" w15:restartNumberingAfterBreak="0">
    <w:nsid w:val="06E241EF"/>
    <w:multiLevelType w:val="multilevel"/>
    <w:tmpl w:val="84F65BA4"/>
    <w:lvl w:ilvl="0">
      <w:start w:val="2"/>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22" w15:restartNumberingAfterBreak="0">
    <w:nsid w:val="06F17468"/>
    <w:multiLevelType w:val="hybridMultilevel"/>
    <w:tmpl w:val="0C124CD2"/>
    <w:lvl w:ilvl="0" w:tplc="AD82EB72">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22099DC">
      <w:numFmt w:val="bullet"/>
      <w:lvlText w:val="•"/>
      <w:lvlJc w:val="left"/>
      <w:pPr>
        <w:ind w:left="1710" w:hanging="425"/>
      </w:pPr>
      <w:rPr>
        <w:rFonts w:hint="default"/>
        <w:lang w:val="en-US" w:eastAsia="en-US" w:bidi="ar-SA"/>
      </w:rPr>
    </w:lvl>
    <w:lvl w:ilvl="2" w:tplc="37A0848A">
      <w:numFmt w:val="bullet"/>
      <w:lvlText w:val="•"/>
      <w:lvlJc w:val="left"/>
      <w:pPr>
        <w:ind w:left="2640" w:hanging="425"/>
      </w:pPr>
      <w:rPr>
        <w:rFonts w:hint="default"/>
        <w:lang w:val="en-US" w:eastAsia="en-US" w:bidi="ar-SA"/>
      </w:rPr>
    </w:lvl>
    <w:lvl w:ilvl="3" w:tplc="38047E38">
      <w:numFmt w:val="bullet"/>
      <w:lvlText w:val="•"/>
      <w:lvlJc w:val="left"/>
      <w:pPr>
        <w:ind w:left="3570" w:hanging="425"/>
      </w:pPr>
      <w:rPr>
        <w:rFonts w:hint="default"/>
        <w:lang w:val="en-US" w:eastAsia="en-US" w:bidi="ar-SA"/>
      </w:rPr>
    </w:lvl>
    <w:lvl w:ilvl="4" w:tplc="A08ED3BC">
      <w:numFmt w:val="bullet"/>
      <w:lvlText w:val="•"/>
      <w:lvlJc w:val="left"/>
      <w:pPr>
        <w:ind w:left="4500" w:hanging="425"/>
      </w:pPr>
      <w:rPr>
        <w:rFonts w:hint="default"/>
        <w:lang w:val="en-US" w:eastAsia="en-US" w:bidi="ar-SA"/>
      </w:rPr>
    </w:lvl>
    <w:lvl w:ilvl="5" w:tplc="7CCE870C">
      <w:numFmt w:val="bullet"/>
      <w:lvlText w:val="•"/>
      <w:lvlJc w:val="left"/>
      <w:pPr>
        <w:ind w:left="5430" w:hanging="425"/>
      </w:pPr>
      <w:rPr>
        <w:rFonts w:hint="default"/>
        <w:lang w:val="en-US" w:eastAsia="en-US" w:bidi="ar-SA"/>
      </w:rPr>
    </w:lvl>
    <w:lvl w:ilvl="6" w:tplc="70446D98">
      <w:numFmt w:val="bullet"/>
      <w:lvlText w:val="•"/>
      <w:lvlJc w:val="left"/>
      <w:pPr>
        <w:ind w:left="6360" w:hanging="425"/>
      </w:pPr>
      <w:rPr>
        <w:rFonts w:hint="default"/>
        <w:lang w:val="en-US" w:eastAsia="en-US" w:bidi="ar-SA"/>
      </w:rPr>
    </w:lvl>
    <w:lvl w:ilvl="7" w:tplc="EC704838">
      <w:numFmt w:val="bullet"/>
      <w:lvlText w:val="•"/>
      <w:lvlJc w:val="left"/>
      <w:pPr>
        <w:ind w:left="7290" w:hanging="425"/>
      </w:pPr>
      <w:rPr>
        <w:rFonts w:hint="default"/>
        <w:lang w:val="en-US" w:eastAsia="en-US" w:bidi="ar-SA"/>
      </w:rPr>
    </w:lvl>
    <w:lvl w:ilvl="8" w:tplc="F5102590">
      <w:numFmt w:val="bullet"/>
      <w:lvlText w:val="•"/>
      <w:lvlJc w:val="left"/>
      <w:pPr>
        <w:ind w:left="8220" w:hanging="425"/>
      </w:pPr>
      <w:rPr>
        <w:rFonts w:hint="default"/>
        <w:lang w:val="en-US" w:eastAsia="en-US" w:bidi="ar-SA"/>
      </w:rPr>
    </w:lvl>
  </w:abstractNum>
  <w:abstractNum w:abstractNumId="23" w15:restartNumberingAfterBreak="0">
    <w:nsid w:val="07DA57A6"/>
    <w:multiLevelType w:val="hybridMultilevel"/>
    <w:tmpl w:val="98A68A1E"/>
    <w:lvl w:ilvl="0" w:tplc="270AF638">
      <w:start w:val="4"/>
      <w:numFmt w:val="lowerLetter"/>
      <w:lvlText w:val="%1."/>
      <w:lvlJc w:val="left"/>
      <w:pPr>
        <w:ind w:left="720" w:hanging="563"/>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5328AEE0">
      <w:start w:val="1"/>
      <w:numFmt w:val="lowerRoman"/>
      <w:lvlText w:val="%2"/>
      <w:lvlJc w:val="left"/>
      <w:pPr>
        <w:ind w:left="818" w:hanging="459"/>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2" w:tplc="3D78B63A">
      <w:numFmt w:val="bullet"/>
      <w:lvlText w:val="•"/>
      <w:lvlJc w:val="left"/>
      <w:pPr>
        <w:ind w:left="1848" w:hanging="459"/>
      </w:pPr>
      <w:rPr>
        <w:rFonts w:hint="default"/>
        <w:lang w:val="en-US" w:eastAsia="en-US" w:bidi="ar-SA"/>
      </w:rPr>
    </w:lvl>
    <w:lvl w:ilvl="3" w:tplc="55CE58BA">
      <w:numFmt w:val="bullet"/>
      <w:lvlText w:val="•"/>
      <w:lvlJc w:val="left"/>
      <w:pPr>
        <w:ind w:left="2877" w:hanging="459"/>
      </w:pPr>
      <w:rPr>
        <w:rFonts w:hint="default"/>
        <w:lang w:val="en-US" w:eastAsia="en-US" w:bidi="ar-SA"/>
      </w:rPr>
    </w:lvl>
    <w:lvl w:ilvl="4" w:tplc="6EEE33B6">
      <w:numFmt w:val="bullet"/>
      <w:lvlText w:val="•"/>
      <w:lvlJc w:val="left"/>
      <w:pPr>
        <w:ind w:left="3906" w:hanging="459"/>
      </w:pPr>
      <w:rPr>
        <w:rFonts w:hint="default"/>
        <w:lang w:val="en-US" w:eastAsia="en-US" w:bidi="ar-SA"/>
      </w:rPr>
    </w:lvl>
    <w:lvl w:ilvl="5" w:tplc="149C2214">
      <w:numFmt w:val="bullet"/>
      <w:lvlText w:val="•"/>
      <w:lvlJc w:val="left"/>
      <w:pPr>
        <w:ind w:left="4935" w:hanging="459"/>
      </w:pPr>
      <w:rPr>
        <w:rFonts w:hint="default"/>
        <w:lang w:val="en-US" w:eastAsia="en-US" w:bidi="ar-SA"/>
      </w:rPr>
    </w:lvl>
    <w:lvl w:ilvl="6" w:tplc="A7C6F8C6">
      <w:numFmt w:val="bullet"/>
      <w:lvlText w:val="•"/>
      <w:lvlJc w:val="left"/>
      <w:pPr>
        <w:ind w:left="5964" w:hanging="459"/>
      </w:pPr>
      <w:rPr>
        <w:rFonts w:hint="default"/>
        <w:lang w:val="en-US" w:eastAsia="en-US" w:bidi="ar-SA"/>
      </w:rPr>
    </w:lvl>
    <w:lvl w:ilvl="7" w:tplc="5E20472A">
      <w:numFmt w:val="bullet"/>
      <w:lvlText w:val="•"/>
      <w:lvlJc w:val="left"/>
      <w:pPr>
        <w:ind w:left="6993" w:hanging="459"/>
      </w:pPr>
      <w:rPr>
        <w:rFonts w:hint="default"/>
        <w:lang w:val="en-US" w:eastAsia="en-US" w:bidi="ar-SA"/>
      </w:rPr>
    </w:lvl>
    <w:lvl w:ilvl="8" w:tplc="6592F946">
      <w:numFmt w:val="bullet"/>
      <w:lvlText w:val="•"/>
      <w:lvlJc w:val="left"/>
      <w:pPr>
        <w:ind w:left="8022" w:hanging="459"/>
      </w:pPr>
      <w:rPr>
        <w:rFonts w:hint="default"/>
        <w:lang w:val="en-US" w:eastAsia="en-US" w:bidi="ar-SA"/>
      </w:rPr>
    </w:lvl>
  </w:abstractNum>
  <w:abstractNum w:abstractNumId="24" w15:restartNumberingAfterBreak="0">
    <w:nsid w:val="08AE3C84"/>
    <w:multiLevelType w:val="multilevel"/>
    <w:tmpl w:val="B718B808"/>
    <w:lvl w:ilvl="0">
      <w:start w:val="5"/>
      <w:numFmt w:val="decimal"/>
      <w:lvlText w:val="%1"/>
      <w:lvlJc w:val="left"/>
      <w:pPr>
        <w:ind w:left="360" w:hanging="845"/>
        <w:jc w:val="left"/>
      </w:pPr>
      <w:rPr>
        <w:rFonts w:hint="default"/>
        <w:lang w:val="en-US" w:eastAsia="en-US" w:bidi="ar-SA"/>
      </w:rPr>
    </w:lvl>
    <w:lvl w:ilvl="1">
      <w:numFmt w:val="decimal"/>
      <w:lvlText w:val="%1.%2"/>
      <w:lvlJc w:val="left"/>
      <w:pPr>
        <w:ind w:left="360" w:hanging="84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276" w:hanging="777"/>
      </w:pPr>
      <w:rPr>
        <w:rFonts w:hint="default"/>
        <w:lang w:val="en-US" w:eastAsia="en-US" w:bidi="ar-SA"/>
      </w:rPr>
    </w:lvl>
    <w:lvl w:ilvl="4">
      <w:numFmt w:val="bullet"/>
      <w:lvlText w:val="•"/>
      <w:lvlJc w:val="left"/>
      <w:pPr>
        <w:ind w:left="4248" w:hanging="777"/>
      </w:pPr>
      <w:rPr>
        <w:rFonts w:hint="default"/>
        <w:lang w:val="en-US" w:eastAsia="en-US" w:bidi="ar-SA"/>
      </w:rPr>
    </w:lvl>
    <w:lvl w:ilvl="5">
      <w:numFmt w:val="bullet"/>
      <w:lvlText w:val="•"/>
      <w:lvlJc w:val="left"/>
      <w:pPr>
        <w:ind w:left="5220" w:hanging="777"/>
      </w:pPr>
      <w:rPr>
        <w:rFonts w:hint="default"/>
        <w:lang w:val="en-US" w:eastAsia="en-US" w:bidi="ar-SA"/>
      </w:rPr>
    </w:lvl>
    <w:lvl w:ilvl="6">
      <w:numFmt w:val="bullet"/>
      <w:lvlText w:val="•"/>
      <w:lvlJc w:val="left"/>
      <w:pPr>
        <w:ind w:left="6192" w:hanging="777"/>
      </w:pPr>
      <w:rPr>
        <w:rFonts w:hint="default"/>
        <w:lang w:val="en-US" w:eastAsia="en-US" w:bidi="ar-SA"/>
      </w:rPr>
    </w:lvl>
    <w:lvl w:ilvl="7">
      <w:numFmt w:val="bullet"/>
      <w:lvlText w:val="•"/>
      <w:lvlJc w:val="left"/>
      <w:pPr>
        <w:ind w:left="7164" w:hanging="777"/>
      </w:pPr>
      <w:rPr>
        <w:rFonts w:hint="default"/>
        <w:lang w:val="en-US" w:eastAsia="en-US" w:bidi="ar-SA"/>
      </w:rPr>
    </w:lvl>
    <w:lvl w:ilvl="8">
      <w:numFmt w:val="bullet"/>
      <w:lvlText w:val="•"/>
      <w:lvlJc w:val="left"/>
      <w:pPr>
        <w:ind w:left="8136" w:hanging="777"/>
      </w:pPr>
      <w:rPr>
        <w:rFonts w:hint="default"/>
        <w:lang w:val="en-US" w:eastAsia="en-US" w:bidi="ar-SA"/>
      </w:rPr>
    </w:lvl>
  </w:abstractNum>
  <w:abstractNum w:abstractNumId="25" w15:restartNumberingAfterBreak="0">
    <w:nsid w:val="08AF4475"/>
    <w:multiLevelType w:val="multilevel"/>
    <w:tmpl w:val="0D56E554"/>
    <w:lvl w:ilvl="0">
      <w:start w:val="5"/>
      <w:numFmt w:val="decimal"/>
      <w:lvlText w:val="%1.0"/>
      <w:lvlJc w:val="left"/>
      <w:pPr>
        <w:ind w:left="1080" w:hanging="1545"/>
        <w:jc w:val="left"/>
      </w:pPr>
      <w:rPr>
        <w:rFonts w:ascii="Liberation Serif" w:eastAsia="Liberation Serif" w:hAnsi="Liberation Serif" w:cs="Liberation Serif" w:hint="default"/>
        <w:b/>
        <w:bCs/>
        <w:i w:val="0"/>
        <w:iCs w:val="0"/>
        <w:spacing w:val="0"/>
        <w:w w:val="100"/>
        <w:sz w:val="42"/>
        <w:szCs w:val="42"/>
        <w:lang w:val="en-US" w:eastAsia="en-US" w:bidi="ar-SA"/>
      </w:rPr>
    </w:lvl>
    <w:lvl w:ilvl="1">
      <w:start w:val="1"/>
      <w:numFmt w:val="decimal"/>
      <w:lvlText w:val="%1.%2"/>
      <w:lvlJc w:val="left"/>
      <w:pPr>
        <w:ind w:left="1410" w:hanging="1050"/>
        <w:jc w:val="left"/>
      </w:pPr>
      <w:rPr>
        <w:rFonts w:ascii="Liberation Serif" w:eastAsia="Liberation Serif" w:hAnsi="Liberation Serif" w:cs="Liberation Serif" w:hint="default"/>
        <w:b/>
        <w:bCs/>
        <w:i w:val="0"/>
        <w:iCs w:val="0"/>
        <w:spacing w:val="0"/>
        <w:w w:val="100"/>
        <w:sz w:val="42"/>
        <w:szCs w:val="42"/>
        <w:lang w:val="en-US" w:eastAsia="en-US" w:bidi="ar-SA"/>
      </w:rPr>
    </w:lvl>
    <w:lvl w:ilvl="2">
      <w:start w:val="1"/>
      <w:numFmt w:val="decimal"/>
      <w:lvlText w:val="%1.%2.%3"/>
      <w:lvlJc w:val="left"/>
      <w:pPr>
        <w:ind w:left="1395" w:hanging="1035"/>
        <w:jc w:val="left"/>
      </w:pPr>
      <w:rPr>
        <w:rFonts w:ascii="Liberation Serif" w:eastAsia="Liberation Serif" w:hAnsi="Liberation Serif" w:cs="Liberation Serif" w:hint="default"/>
        <w:b/>
        <w:bCs/>
        <w:i w:val="0"/>
        <w:iCs w:val="0"/>
        <w:spacing w:val="0"/>
        <w:w w:val="101"/>
        <w:sz w:val="34"/>
        <w:szCs w:val="34"/>
        <w:lang w:val="en-US" w:eastAsia="en-US" w:bidi="ar-SA"/>
      </w:rPr>
    </w:lvl>
    <w:lvl w:ilvl="3">
      <w:numFmt w:val="bullet"/>
      <w:lvlText w:val="•"/>
      <w:lvlJc w:val="left"/>
      <w:pPr>
        <w:ind w:left="2502" w:hanging="1035"/>
      </w:pPr>
      <w:rPr>
        <w:rFonts w:hint="default"/>
        <w:lang w:val="en-US" w:eastAsia="en-US" w:bidi="ar-SA"/>
      </w:rPr>
    </w:lvl>
    <w:lvl w:ilvl="4">
      <w:numFmt w:val="bullet"/>
      <w:lvlText w:val="•"/>
      <w:lvlJc w:val="left"/>
      <w:pPr>
        <w:ind w:left="3585" w:hanging="1035"/>
      </w:pPr>
      <w:rPr>
        <w:rFonts w:hint="default"/>
        <w:lang w:val="en-US" w:eastAsia="en-US" w:bidi="ar-SA"/>
      </w:rPr>
    </w:lvl>
    <w:lvl w:ilvl="5">
      <w:numFmt w:val="bullet"/>
      <w:lvlText w:val="•"/>
      <w:lvlJc w:val="left"/>
      <w:pPr>
        <w:ind w:left="4667" w:hanging="1035"/>
      </w:pPr>
      <w:rPr>
        <w:rFonts w:hint="default"/>
        <w:lang w:val="en-US" w:eastAsia="en-US" w:bidi="ar-SA"/>
      </w:rPr>
    </w:lvl>
    <w:lvl w:ilvl="6">
      <w:numFmt w:val="bullet"/>
      <w:lvlText w:val="•"/>
      <w:lvlJc w:val="left"/>
      <w:pPr>
        <w:ind w:left="5750" w:hanging="1035"/>
      </w:pPr>
      <w:rPr>
        <w:rFonts w:hint="default"/>
        <w:lang w:val="en-US" w:eastAsia="en-US" w:bidi="ar-SA"/>
      </w:rPr>
    </w:lvl>
    <w:lvl w:ilvl="7">
      <w:numFmt w:val="bullet"/>
      <w:lvlText w:val="•"/>
      <w:lvlJc w:val="left"/>
      <w:pPr>
        <w:ind w:left="6832" w:hanging="1035"/>
      </w:pPr>
      <w:rPr>
        <w:rFonts w:hint="default"/>
        <w:lang w:val="en-US" w:eastAsia="en-US" w:bidi="ar-SA"/>
      </w:rPr>
    </w:lvl>
    <w:lvl w:ilvl="8">
      <w:numFmt w:val="bullet"/>
      <w:lvlText w:val="•"/>
      <w:lvlJc w:val="left"/>
      <w:pPr>
        <w:ind w:left="7915" w:hanging="1035"/>
      </w:pPr>
      <w:rPr>
        <w:rFonts w:hint="default"/>
        <w:lang w:val="en-US" w:eastAsia="en-US" w:bidi="ar-SA"/>
      </w:rPr>
    </w:lvl>
  </w:abstractNum>
  <w:abstractNum w:abstractNumId="26" w15:restartNumberingAfterBreak="0">
    <w:nsid w:val="08CD5F2A"/>
    <w:multiLevelType w:val="hybridMultilevel"/>
    <w:tmpl w:val="16A8AC00"/>
    <w:lvl w:ilvl="0" w:tplc="10E0DBF4">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DC4576E">
      <w:numFmt w:val="bullet"/>
      <w:lvlText w:val="•"/>
      <w:lvlJc w:val="left"/>
      <w:pPr>
        <w:ind w:left="1656" w:hanging="358"/>
      </w:pPr>
      <w:rPr>
        <w:rFonts w:hint="default"/>
        <w:lang w:val="en-US" w:eastAsia="en-US" w:bidi="ar-SA"/>
      </w:rPr>
    </w:lvl>
    <w:lvl w:ilvl="2" w:tplc="A036B3A0">
      <w:numFmt w:val="bullet"/>
      <w:lvlText w:val="•"/>
      <w:lvlJc w:val="left"/>
      <w:pPr>
        <w:ind w:left="2592" w:hanging="358"/>
      </w:pPr>
      <w:rPr>
        <w:rFonts w:hint="default"/>
        <w:lang w:val="en-US" w:eastAsia="en-US" w:bidi="ar-SA"/>
      </w:rPr>
    </w:lvl>
    <w:lvl w:ilvl="3" w:tplc="72745E40">
      <w:numFmt w:val="bullet"/>
      <w:lvlText w:val="•"/>
      <w:lvlJc w:val="left"/>
      <w:pPr>
        <w:ind w:left="3528" w:hanging="358"/>
      </w:pPr>
      <w:rPr>
        <w:rFonts w:hint="default"/>
        <w:lang w:val="en-US" w:eastAsia="en-US" w:bidi="ar-SA"/>
      </w:rPr>
    </w:lvl>
    <w:lvl w:ilvl="4" w:tplc="41CC9918">
      <w:numFmt w:val="bullet"/>
      <w:lvlText w:val="•"/>
      <w:lvlJc w:val="left"/>
      <w:pPr>
        <w:ind w:left="4464" w:hanging="358"/>
      </w:pPr>
      <w:rPr>
        <w:rFonts w:hint="default"/>
        <w:lang w:val="en-US" w:eastAsia="en-US" w:bidi="ar-SA"/>
      </w:rPr>
    </w:lvl>
    <w:lvl w:ilvl="5" w:tplc="9B9297E8">
      <w:numFmt w:val="bullet"/>
      <w:lvlText w:val="•"/>
      <w:lvlJc w:val="left"/>
      <w:pPr>
        <w:ind w:left="5400" w:hanging="358"/>
      </w:pPr>
      <w:rPr>
        <w:rFonts w:hint="default"/>
        <w:lang w:val="en-US" w:eastAsia="en-US" w:bidi="ar-SA"/>
      </w:rPr>
    </w:lvl>
    <w:lvl w:ilvl="6" w:tplc="4B94DB8A">
      <w:numFmt w:val="bullet"/>
      <w:lvlText w:val="•"/>
      <w:lvlJc w:val="left"/>
      <w:pPr>
        <w:ind w:left="6336" w:hanging="358"/>
      </w:pPr>
      <w:rPr>
        <w:rFonts w:hint="default"/>
        <w:lang w:val="en-US" w:eastAsia="en-US" w:bidi="ar-SA"/>
      </w:rPr>
    </w:lvl>
    <w:lvl w:ilvl="7" w:tplc="D37E1B1E">
      <w:numFmt w:val="bullet"/>
      <w:lvlText w:val="•"/>
      <w:lvlJc w:val="left"/>
      <w:pPr>
        <w:ind w:left="7272" w:hanging="358"/>
      </w:pPr>
      <w:rPr>
        <w:rFonts w:hint="default"/>
        <w:lang w:val="en-US" w:eastAsia="en-US" w:bidi="ar-SA"/>
      </w:rPr>
    </w:lvl>
    <w:lvl w:ilvl="8" w:tplc="C15A287A">
      <w:numFmt w:val="bullet"/>
      <w:lvlText w:val="•"/>
      <w:lvlJc w:val="left"/>
      <w:pPr>
        <w:ind w:left="8208" w:hanging="358"/>
      </w:pPr>
      <w:rPr>
        <w:rFonts w:hint="default"/>
        <w:lang w:val="en-US" w:eastAsia="en-US" w:bidi="ar-SA"/>
      </w:rPr>
    </w:lvl>
  </w:abstractNum>
  <w:abstractNum w:abstractNumId="27" w15:restartNumberingAfterBreak="0">
    <w:nsid w:val="0A481242"/>
    <w:multiLevelType w:val="hybridMultilevel"/>
    <w:tmpl w:val="3C9CAADE"/>
    <w:lvl w:ilvl="0" w:tplc="75DE32D8">
      <w:start w:val="1"/>
      <w:numFmt w:val="lowerRoman"/>
      <w:lvlText w:val="(%1)"/>
      <w:lvlJc w:val="left"/>
      <w:pPr>
        <w:ind w:left="360" w:hanging="381"/>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E42FF02">
      <w:numFmt w:val="bullet"/>
      <w:lvlText w:val="•"/>
      <w:lvlJc w:val="left"/>
      <w:pPr>
        <w:ind w:left="1332" w:hanging="381"/>
      </w:pPr>
      <w:rPr>
        <w:rFonts w:hint="default"/>
        <w:lang w:val="en-US" w:eastAsia="en-US" w:bidi="ar-SA"/>
      </w:rPr>
    </w:lvl>
    <w:lvl w:ilvl="2" w:tplc="909C4128">
      <w:numFmt w:val="bullet"/>
      <w:lvlText w:val="•"/>
      <w:lvlJc w:val="left"/>
      <w:pPr>
        <w:ind w:left="2304" w:hanging="381"/>
      </w:pPr>
      <w:rPr>
        <w:rFonts w:hint="default"/>
        <w:lang w:val="en-US" w:eastAsia="en-US" w:bidi="ar-SA"/>
      </w:rPr>
    </w:lvl>
    <w:lvl w:ilvl="3" w:tplc="2BD85D46">
      <w:numFmt w:val="bullet"/>
      <w:lvlText w:val="•"/>
      <w:lvlJc w:val="left"/>
      <w:pPr>
        <w:ind w:left="3276" w:hanging="381"/>
      </w:pPr>
      <w:rPr>
        <w:rFonts w:hint="default"/>
        <w:lang w:val="en-US" w:eastAsia="en-US" w:bidi="ar-SA"/>
      </w:rPr>
    </w:lvl>
    <w:lvl w:ilvl="4" w:tplc="DB06EE56">
      <w:numFmt w:val="bullet"/>
      <w:lvlText w:val="•"/>
      <w:lvlJc w:val="left"/>
      <w:pPr>
        <w:ind w:left="4248" w:hanging="381"/>
      </w:pPr>
      <w:rPr>
        <w:rFonts w:hint="default"/>
        <w:lang w:val="en-US" w:eastAsia="en-US" w:bidi="ar-SA"/>
      </w:rPr>
    </w:lvl>
    <w:lvl w:ilvl="5" w:tplc="077C64EE">
      <w:numFmt w:val="bullet"/>
      <w:lvlText w:val="•"/>
      <w:lvlJc w:val="left"/>
      <w:pPr>
        <w:ind w:left="5220" w:hanging="381"/>
      </w:pPr>
      <w:rPr>
        <w:rFonts w:hint="default"/>
        <w:lang w:val="en-US" w:eastAsia="en-US" w:bidi="ar-SA"/>
      </w:rPr>
    </w:lvl>
    <w:lvl w:ilvl="6" w:tplc="7B7E0E88">
      <w:numFmt w:val="bullet"/>
      <w:lvlText w:val="•"/>
      <w:lvlJc w:val="left"/>
      <w:pPr>
        <w:ind w:left="6192" w:hanging="381"/>
      </w:pPr>
      <w:rPr>
        <w:rFonts w:hint="default"/>
        <w:lang w:val="en-US" w:eastAsia="en-US" w:bidi="ar-SA"/>
      </w:rPr>
    </w:lvl>
    <w:lvl w:ilvl="7" w:tplc="EBFA88DA">
      <w:numFmt w:val="bullet"/>
      <w:lvlText w:val="•"/>
      <w:lvlJc w:val="left"/>
      <w:pPr>
        <w:ind w:left="7164" w:hanging="381"/>
      </w:pPr>
      <w:rPr>
        <w:rFonts w:hint="default"/>
        <w:lang w:val="en-US" w:eastAsia="en-US" w:bidi="ar-SA"/>
      </w:rPr>
    </w:lvl>
    <w:lvl w:ilvl="8" w:tplc="78C6D28E">
      <w:numFmt w:val="bullet"/>
      <w:lvlText w:val="•"/>
      <w:lvlJc w:val="left"/>
      <w:pPr>
        <w:ind w:left="8136" w:hanging="381"/>
      </w:pPr>
      <w:rPr>
        <w:rFonts w:hint="default"/>
        <w:lang w:val="en-US" w:eastAsia="en-US" w:bidi="ar-SA"/>
      </w:rPr>
    </w:lvl>
  </w:abstractNum>
  <w:abstractNum w:abstractNumId="28" w15:restartNumberingAfterBreak="0">
    <w:nsid w:val="0A83666F"/>
    <w:multiLevelType w:val="hybridMultilevel"/>
    <w:tmpl w:val="17D47A70"/>
    <w:lvl w:ilvl="0" w:tplc="A9189B50">
      <w:start w:val="1"/>
      <w:numFmt w:val="decimal"/>
      <w:lvlText w:val="%1."/>
      <w:lvlJc w:val="left"/>
      <w:pPr>
        <w:ind w:left="6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EA766424">
      <w:numFmt w:val="bullet"/>
      <w:lvlText w:val="•"/>
      <w:lvlJc w:val="left"/>
      <w:pPr>
        <w:ind w:left="1602" w:hanging="300"/>
      </w:pPr>
      <w:rPr>
        <w:rFonts w:hint="default"/>
        <w:lang w:val="en-US" w:eastAsia="en-US" w:bidi="ar-SA"/>
      </w:rPr>
    </w:lvl>
    <w:lvl w:ilvl="2" w:tplc="1646C1C0">
      <w:numFmt w:val="bullet"/>
      <w:lvlText w:val="•"/>
      <w:lvlJc w:val="left"/>
      <w:pPr>
        <w:ind w:left="2544" w:hanging="300"/>
      </w:pPr>
      <w:rPr>
        <w:rFonts w:hint="default"/>
        <w:lang w:val="en-US" w:eastAsia="en-US" w:bidi="ar-SA"/>
      </w:rPr>
    </w:lvl>
    <w:lvl w:ilvl="3" w:tplc="5B6493E0">
      <w:numFmt w:val="bullet"/>
      <w:lvlText w:val="•"/>
      <w:lvlJc w:val="left"/>
      <w:pPr>
        <w:ind w:left="3486" w:hanging="300"/>
      </w:pPr>
      <w:rPr>
        <w:rFonts w:hint="default"/>
        <w:lang w:val="en-US" w:eastAsia="en-US" w:bidi="ar-SA"/>
      </w:rPr>
    </w:lvl>
    <w:lvl w:ilvl="4" w:tplc="64A45E2E">
      <w:numFmt w:val="bullet"/>
      <w:lvlText w:val="•"/>
      <w:lvlJc w:val="left"/>
      <w:pPr>
        <w:ind w:left="4428" w:hanging="300"/>
      </w:pPr>
      <w:rPr>
        <w:rFonts w:hint="default"/>
        <w:lang w:val="en-US" w:eastAsia="en-US" w:bidi="ar-SA"/>
      </w:rPr>
    </w:lvl>
    <w:lvl w:ilvl="5" w:tplc="80F82B2A">
      <w:numFmt w:val="bullet"/>
      <w:lvlText w:val="•"/>
      <w:lvlJc w:val="left"/>
      <w:pPr>
        <w:ind w:left="5370" w:hanging="300"/>
      </w:pPr>
      <w:rPr>
        <w:rFonts w:hint="default"/>
        <w:lang w:val="en-US" w:eastAsia="en-US" w:bidi="ar-SA"/>
      </w:rPr>
    </w:lvl>
    <w:lvl w:ilvl="6" w:tplc="5DF28BFE">
      <w:numFmt w:val="bullet"/>
      <w:lvlText w:val="•"/>
      <w:lvlJc w:val="left"/>
      <w:pPr>
        <w:ind w:left="6312" w:hanging="300"/>
      </w:pPr>
      <w:rPr>
        <w:rFonts w:hint="default"/>
        <w:lang w:val="en-US" w:eastAsia="en-US" w:bidi="ar-SA"/>
      </w:rPr>
    </w:lvl>
    <w:lvl w:ilvl="7" w:tplc="349EFE34">
      <w:numFmt w:val="bullet"/>
      <w:lvlText w:val="•"/>
      <w:lvlJc w:val="left"/>
      <w:pPr>
        <w:ind w:left="7254" w:hanging="300"/>
      </w:pPr>
      <w:rPr>
        <w:rFonts w:hint="default"/>
        <w:lang w:val="en-US" w:eastAsia="en-US" w:bidi="ar-SA"/>
      </w:rPr>
    </w:lvl>
    <w:lvl w:ilvl="8" w:tplc="A1E42C78">
      <w:numFmt w:val="bullet"/>
      <w:lvlText w:val="•"/>
      <w:lvlJc w:val="left"/>
      <w:pPr>
        <w:ind w:left="8196" w:hanging="300"/>
      </w:pPr>
      <w:rPr>
        <w:rFonts w:hint="default"/>
        <w:lang w:val="en-US" w:eastAsia="en-US" w:bidi="ar-SA"/>
      </w:rPr>
    </w:lvl>
  </w:abstractNum>
  <w:abstractNum w:abstractNumId="29" w15:restartNumberingAfterBreak="0">
    <w:nsid w:val="0AA930D8"/>
    <w:multiLevelType w:val="hybridMultilevel"/>
    <w:tmpl w:val="32F4414C"/>
    <w:lvl w:ilvl="0" w:tplc="53F437F2">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B728924">
      <w:numFmt w:val="bullet"/>
      <w:lvlText w:val="•"/>
      <w:lvlJc w:val="left"/>
      <w:pPr>
        <w:ind w:left="1710" w:hanging="425"/>
      </w:pPr>
      <w:rPr>
        <w:rFonts w:hint="default"/>
        <w:lang w:val="en-US" w:eastAsia="en-US" w:bidi="ar-SA"/>
      </w:rPr>
    </w:lvl>
    <w:lvl w:ilvl="2" w:tplc="B632462E">
      <w:numFmt w:val="bullet"/>
      <w:lvlText w:val="•"/>
      <w:lvlJc w:val="left"/>
      <w:pPr>
        <w:ind w:left="2640" w:hanging="425"/>
      </w:pPr>
      <w:rPr>
        <w:rFonts w:hint="default"/>
        <w:lang w:val="en-US" w:eastAsia="en-US" w:bidi="ar-SA"/>
      </w:rPr>
    </w:lvl>
    <w:lvl w:ilvl="3" w:tplc="BC5A40D8">
      <w:numFmt w:val="bullet"/>
      <w:lvlText w:val="•"/>
      <w:lvlJc w:val="left"/>
      <w:pPr>
        <w:ind w:left="3570" w:hanging="425"/>
      </w:pPr>
      <w:rPr>
        <w:rFonts w:hint="default"/>
        <w:lang w:val="en-US" w:eastAsia="en-US" w:bidi="ar-SA"/>
      </w:rPr>
    </w:lvl>
    <w:lvl w:ilvl="4" w:tplc="F042A442">
      <w:numFmt w:val="bullet"/>
      <w:lvlText w:val="•"/>
      <w:lvlJc w:val="left"/>
      <w:pPr>
        <w:ind w:left="4500" w:hanging="425"/>
      </w:pPr>
      <w:rPr>
        <w:rFonts w:hint="default"/>
        <w:lang w:val="en-US" w:eastAsia="en-US" w:bidi="ar-SA"/>
      </w:rPr>
    </w:lvl>
    <w:lvl w:ilvl="5" w:tplc="FD3A29D4">
      <w:numFmt w:val="bullet"/>
      <w:lvlText w:val="•"/>
      <w:lvlJc w:val="left"/>
      <w:pPr>
        <w:ind w:left="5430" w:hanging="425"/>
      </w:pPr>
      <w:rPr>
        <w:rFonts w:hint="default"/>
        <w:lang w:val="en-US" w:eastAsia="en-US" w:bidi="ar-SA"/>
      </w:rPr>
    </w:lvl>
    <w:lvl w:ilvl="6" w:tplc="0958E792">
      <w:numFmt w:val="bullet"/>
      <w:lvlText w:val="•"/>
      <w:lvlJc w:val="left"/>
      <w:pPr>
        <w:ind w:left="6360" w:hanging="425"/>
      </w:pPr>
      <w:rPr>
        <w:rFonts w:hint="default"/>
        <w:lang w:val="en-US" w:eastAsia="en-US" w:bidi="ar-SA"/>
      </w:rPr>
    </w:lvl>
    <w:lvl w:ilvl="7" w:tplc="829ABCD6">
      <w:numFmt w:val="bullet"/>
      <w:lvlText w:val="•"/>
      <w:lvlJc w:val="left"/>
      <w:pPr>
        <w:ind w:left="7290" w:hanging="425"/>
      </w:pPr>
      <w:rPr>
        <w:rFonts w:hint="default"/>
        <w:lang w:val="en-US" w:eastAsia="en-US" w:bidi="ar-SA"/>
      </w:rPr>
    </w:lvl>
    <w:lvl w:ilvl="8" w:tplc="E3FA87AA">
      <w:numFmt w:val="bullet"/>
      <w:lvlText w:val="•"/>
      <w:lvlJc w:val="left"/>
      <w:pPr>
        <w:ind w:left="8220" w:hanging="425"/>
      </w:pPr>
      <w:rPr>
        <w:rFonts w:hint="default"/>
        <w:lang w:val="en-US" w:eastAsia="en-US" w:bidi="ar-SA"/>
      </w:rPr>
    </w:lvl>
  </w:abstractNum>
  <w:abstractNum w:abstractNumId="30" w15:restartNumberingAfterBreak="0">
    <w:nsid w:val="0ABE4359"/>
    <w:multiLevelType w:val="multilevel"/>
    <w:tmpl w:val="DE6E9FAE"/>
    <w:lvl w:ilvl="0">
      <w:start w:val="9"/>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3)"/>
      <w:lvlJc w:val="left"/>
      <w:pPr>
        <w:ind w:left="114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3">
      <w:start w:val="1"/>
      <w:numFmt w:val="lowerRoman"/>
      <w:lvlText w:val="(%4)"/>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4">
      <w:numFmt w:val="bullet"/>
      <w:lvlText w:val="•"/>
      <w:lvlJc w:val="left"/>
      <w:pPr>
        <w:ind w:left="3375" w:hanging="358"/>
      </w:pPr>
      <w:rPr>
        <w:rFonts w:hint="default"/>
        <w:lang w:val="en-US" w:eastAsia="en-US" w:bidi="ar-SA"/>
      </w:rPr>
    </w:lvl>
    <w:lvl w:ilvl="5">
      <w:numFmt w:val="bullet"/>
      <w:lvlText w:val="•"/>
      <w:lvlJc w:val="left"/>
      <w:pPr>
        <w:ind w:left="4492" w:hanging="358"/>
      </w:pPr>
      <w:rPr>
        <w:rFonts w:hint="default"/>
        <w:lang w:val="en-US" w:eastAsia="en-US" w:bidi="ar-SA"/>
      </w:rPr>
    </w:lvl>
    <w:lvl w:ilvl="6">
      <w:numFmt w:val="bullet"/>
      <w:lvlText w:val="•"/>
      <w:lvlJc w:val="left"/>
      <w:pPr>
        <w:ind w:left="5610" w:hanging="358"/>
      </w:pPr>
      <w:rPr>
        <w:rFonts w:hint="default"/>
        <w:lang w:val="en-US" w:eastAsia="en-US" w:bidi="ar-SA"/>
      </w:rPr>
    </w:lvl>
    <w:lvl w:ilvl="7">
      <w:numFmt w:val="bullet"/>
      <w:lvlText w:val="•"/>
      <w:lvlJc w:val="left"/>
      <w:pPr>
        <w:ind w:left="6727" w:hanging="358"/>
      </w:pPr>
      <w:rPr>
        <w:rFonts w:hint="default"/>
        <w:lang w:val="en-US" w:eastAsia="en-US" w:bidi="ar-SA"/>
      </w:rPr>
    </w:lvl>
    <w:lvl w:ilvl="8">
      <w:numFmt w:val="bullet"/>
      <w:lvlText w:val="•"/>
      <w:lvlJc w:val="left"/>
      <w:pPr>
        <w:ind w:left="7845" w:hanging="358"/>
      </w:pPr>
      <w:rPr>
        <w:rFonts w:hint="default"/>
        <w:lang w:val="en-US" w:eastAsia="en-US" w:bidi="ar-SA"/>
      </w:rPr>
    </w:lvl>
  </w:abstractNum>
  <w:abstractNum w:abstractNumId="31" w15:restartNumberingAfterBreak="0">
    <w:nsid w:val="0C4D287F"/>
    <w:multiLevelType w:val="hybridMultilevel"/>
    <w:tmpl w:val="9ABA7280"/>
    <w:lvl w:ilvl="0" w:tplc="FCC0FFE2">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D7EAA14">
      <w:numFmt w:val="bullet"/>
      <w:lvlText w:val="•"/>
      <w:lvlJc w:val="left"/>
      <w:pPr>
        <w:ind w:left="1332" w:hanging="358"/>
      </w:pPr>
      <w:rPr>
        <w:rFonts w:hint="default"/>
        <w:lang w:val="en-US" w:eastAsia="en-US" w:bidi="ar-SA"/>
      </w:rPr>
    </w:lvl>
    <w:lvl w:ilvl="2" w:tplc="668ECFE4">
      <w:numFmt w:val="bullet"/>
      <w:lvlText w:val="•"/>
      <w:lvlJc w:val="left"/>
      <w:pPr>
        <w:ind w:left="2304" w:hanging="358"/>
      </w:pPr>
      <w:rPr>
        <w:rFonts w:hint="default"/>
        <w:lang w:val="en-US" w:eastAsia="en-US" w:bidi="ar-SA"/>
      </w:rPr>
    </w:lvl>
    <w:lvl w:ilvl="3" w:tplc="FA96D814">
      <w:numFmt w:val="bullet"/>
      <w:lvlText w:val="•"/>
      <w:lvlJc w:val="left"/>
      <w:pPr>
        <w:ind w:left="3276" w:hanging="358"/>
      </w:pPr>
      <w:rPr>
        <w:rFonts w:hint="default"/>
        <w:lang w:val="en-US" w:eastAsia="en-US" w:bidi="ar-SA"/>
      </w:rPr>
    </w:lvl>
    <w:lvl w:ilvl="4" w:tplc="1F64ABB0">
      <w:numFmt w:val="bullet"/>
      <w:lvlText w:val="•"/>
      <w:lvlJc w:val="left"/>
      <w:pPr>
        <w:ind w:left="4248" w:hanging="358"/>
      </w:pPr>
      <w:rPr>
        <w:rFonts w:hint="default"/>
        <w:lang w:val="en-US" w:eastAsia="en-US" w:bidi="ar-SA"/>
      </w:rPr>
    </w:lvl>
    <w:lvl w:ilvl="5" w:tplc="276A6A26">
      <w:numFmt w:val="bullet"/>
      <w:lvlText w:val="•"/>
      <w:lvlJc w:val="left"/>
      <w:pPr>
        <w:ind w:left="5220" w:hanging="358"/>
      </w:pPr>
      <w:rPr>
        <w:rFonts w:hint="default"/>
        <w:lang w:val="en-US" w:eastAsia="en-US" w:bidi="ar-SA"/>
      </w:rPr>
    </w:lvl>
    <w:lvl w:ilvl="6" w:tplc="CD968C36">
      <w:numFmt w:val="bullet"/>
      <w:lvlText w:val="•"/>
      <w:lvlJc w:val="left"/>
      <w:pPr>
        <w:ind w:left="6192" w:hanging="358"/>
      </w:pPr>
      <w:rPr>
        <w:rFonts w:hint="default"/>
        <w:lang w:val="en-US" w:eastAsia="en-US" w:bidi="ar-SA"/>
      </w:rPr>
    </w:lvl>
    <w:lvl w:ilvl="7" w:tplc="8D127904">
      <w:numFmt w:val="bullet"/>
      <w:lvlText w:val="•"/>
      <w:lvlJc w:val="left"/>
      <w:pPr>
        <w:ind w:left="7164" w:hanging="358"/>
      </w:pPr>
      <w:rPr>
        <w:rFonts w:hint="default"/>
        <w:lang w:val="en-US" w:eastAsia="en-US" w:bidi="ar-SA"/>
      </w:rPr>
    </w:lvl>
    <w:lvl w:ilvl="8" w:tplc="012668D0">
      <w:numFmt w:val="bullet"/>
      <w:lvlText w:val="•"/>
      <w:lvlJc w:val="left"/>
      <w:pPr>
        <w:ind w:left="8136" w:hanging="358"/>
      </w:pPr>
      <w:rPr>
        <w:rFonts w:hint="default"/>
        <w:lang w:val="en-US" w:eastAsia="en-US" w:bidi="ar-SA"/>
      </w:rPr>
    </w:lvl>
  </w:abstractNum>
  <w:abstractNum w:abstractNumId="32" w15:restartNumberingAfterBreak="0">
    <w:nsid w:val="0D1462AB"/>
    <w:multiLevelType w:val="hybridMultilevel"/>
    <w:tmpl w:val="2B967950"/>
    <w:lvl w:ilvl="0" w:tplc="8110A2F4">
      <w:start w:val="3"/>
      <w:numFmt w:val="lowerRoman"/>
      <w:lvlText w:val="%1"/>
      <w:lvlJc w:val="left"/>
      <w:pPr>
        <w:ind w:left="834" w:hanging="47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8F4A114">
      <w:start w:val="1"/>
      <w:numFmt w:val="upperRoman"/>
      <w:lvlText w:val="%2"/>
      <w:lvlJc w:val="left"/>
      <w:pPr>
        <w:ind w:left="834" w:hanging="47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2" w:tplc="048CC35A">
      <w:numFmt w:val="bullet"/>
      <w:lvlText w:val="•"/>
      <w:lvlJc w:val="left"/>
      <w:pPr>
        <w:ind w:left="2688" w:hanging="475"/>
      </w:pPr>
      <w:rPr>
        <w:rFonts w:hint="default"/>
        <w:lang w:val="en-US" w:eastAsia="en-US" w:bidi="ar-SA"/>
      </w:rPr>
    </w:lvl>
    <w:lvl w:ilvl="3" w:tplc="D17ACB96">
      <w:numFmt w:val="bullet"/>
      <w:lvlText w:val="•"/>
      <w:lvlJc w:val="left"/>
      <w:pPr>
        <w:ind w:left="3612" w:hanging="475"/>
      </w:pPr>
      <w:rPr>
        <w:rFonts w:hint="default"/>
        <w:lang w:val="en-US" w:eastAsia="en-US" w:bidi="ar-SA"/>
      </w:rPr>
    </w:lvl>
    <w:lvl w:ilvl="4" w:tplc="BECAE596">
      <w:numFmt w:val="bullet"/>
      <w:lvlText w:val="•"/>
      <w:lvlJc w:val="left"/>
      <w:pPr>
        <w:ind w:left="4536" w:hanging="475"/>
      </w:pPr>
      <w:rPr>
        <w:rFonts w:hint="default"/>
        <w:lang w:val="en-US" w:eastAsia="en-US" w:bidi="ar-SA"/>
      </w:rPr>
    </w:lvl>
    <w:lvl w:ilvl="5" w:tplc="46F80066">
      <w:numFmt w:val="bullet"/>
      <w:lvlText w:val="•"/>
      <w:lvlJc w:val="left"/>
      <w:pPr>
        <w:ind w:left="5460" w:hanging="475"/>
      </w:pPr>
      <w:rPr>
        <w:rFonts w:hint="default"/>
        <w:lang w:val="en-US" w:eastAsia="en-US" w:bidi="ar-SA"/>
      </w:rPr>
    </w:lvl>
    <w:lvl w:ilvl="6" w:tplc="865ABD3C">
      <w:numFmt w:val="bullet"/>
      <w:lvlText w:val="•"/>
      <w:lvlJc w:val="left"/>
      <w:pPr>
        <w:ind w:left="6384" w:hanging="475"/>
      </w:pPr>
      <w:rPr>
        <w:rFonts w:hint="default"/>
        <w:lang w:val="en-US" w:eastAsia="en-US" w:bidi="ar-SA"/>
      </w:rPr>
    </w:lvl>
    <w:lvl w:ilvl="7" w:tplc="514079A4">
      <w:numFmt w:val="bullet"/>
      <w:lvlText w:val="•"/>
      <w:lvlJc w:val="left"/>
      <w:pPr>
        <w:ind w:left="7308" w:hanging="475"/>
      </w:pPr>
      <w:rPr>
        <w:rFonts w:hint="default"/>
        <w:lang w:val="en-US" w:eastAsia="en-US" w:bidi="ar-SA"/>
      </w:rPr>
    </w:lvl>
    <w:lvl w:ilvl="8" w:tplc="23A011BA">
      <w:numFmt w:val="bullet"/>
      <w:lvlText w:val="•"/>
      <w:lvlJc w:val="left"/>
      <w:pPr>
        <w:ind w:left="8232" w:hanging="475"/>
      </w:pPr>
      <w:rPr>
        <w:rFonts w:hint="default"/>
        <w:lang w:val="en-US" w:eastAsia="en-US" w:bidi="ar-SA"/>
      </w:rPr>
    </w:lvl>
  </w:abstractNum>
  <w:abstractNum w:abstractNumId="33" w15:restartNumberingAfterBreak="0">
    <w:nsid w:val="0D727015"/>
    <w:multiLevelType w:val="hybridMultilevel"/>
    <w:tmpl w:val="25D817B0"/>
    <w:lvl w:ilvl="0" w:tplc="2B08194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B34AED6">
      <w:numFmt w:val="bullet"/>
      <w:lvlText w:val="•"/>
      <w:lvlJc w:val="left"/>
      <w:pPr>
        <w:ind w:left="1710" w:hanging="425"/>
      </w:pPr>
      <w:rPr>
        <w:rFonts w:hint="default"/>
        <w:lang w:val="en-US" w:eastAsia="en-US" w:bidi="ar-SA"/>
      </w:rPr>
    </w:lvl>
    <w:lvl w:ilvl="2" w:tplc="BDC0E100">
      <w:numFmt w:val="bullet"/>
      <w:lvlText w:val="•"/>
      <w:lvlJc w:val="left"/>
      <w:pPr>
        <w:ind w:left="2640" w:hanging="425"/>
      </w:pPr>
      <w:rPr>
        <w:rFonts w:hint="default"/>
        <w:lang w:val="en-US" w:eastAsia="en-US" w:bidi="ar-SA"/>
      </w:rPr>
    </w:lvl>
    <w:lvl w:ilvl="3" w:tplc="5276EAC8">
      <w:numFmt w:val="bullet"/>
      <w:lvlText w:val="•"/>
      <w:lvlJc w:val="left"/>
      <w:pPr>
        <w:ind w:left="3570" w:hanging="425"/>
      </w:pPr>
      <w:rPr>
        <w:rFonts w:hint="default"/>
        <w:lang w:val="en-US" w:eastAsia="en-US" w:bidi="ar-SA"/>
      </w:rPr>
    </w:lvl>
    <w:lvl w:ilvl="4" w:tplc="887A2CF4">
      <w:numFmt w:val="bullet"/>
      <w:lvlText w:val="•"/>
      <w:lvlJc w:val="left"/>
      <w:pPr>
        <w:ind w:left="4500" w:hanging="425"/>
      </w:pPr>
      <w:rPr>
        <w:rFonts w:hint="default"/>
        <w:lang w:val="en-US" w:eastAsia="en-US" w:bidi="ar-SA"/>
      </w:rPr>
    </w:lvl>
    <w:lvl w:ilvl="5" w:tplc="F6A0E734">
      <w:numFmt w:val="bullet"/>
      <w:lvlText w:val="•"/>
      <w:lvlJc w:val="left"/>
      <w:pPr>
        <w:ind w:left="5430" w:hanging="425"/>
      </w:pPr>
      <w:rPr>
        <w:rFonts w:hint="default"/>
        <w:lang w:val="en-US" w:eastAsia="en-US" w:bidi="ar-SA"/>
      </w:rPr>
    </w:lvl>
    <w:lvl w:ilvl="6" w:tplc="7DDA81A0">
      <w:numFmt w:val="bullet"/>
      <w:lvlText w:val="•"/>
      <w:lvlJc w:val="left"/>
      <w:pPr>
        <w:ind w:left="6360" w:hanging="425"/>
      </w:pPr>
      <w:rPr>
        <w:rFonts w:hint="default"/>
        <w:lang w:val="en-US" w:eastAsia="en-US" w:bidi="ar-SA"/>
      </w:rPr>
    </w:lvl>
    <w:lvl w:ilvl="7" w:tplc="6FE04BF2">
      <w:numFmt w:val="bullet"/>
      <w:lvlText w:val="•"/>
      <w:lvlJc w:val="left"/>
      <w:pPr>
        <w:ind w:left="7290" w:hanging="425"/>
      </w:pPr>
      <w:rPr>
        <w:rFonts w:hint="default"/>
        <w:lang w:val="en-US" w:eastAsia="en-US" w:bidi="ar-SA"/>
      </w:rPr>
    </w:lvl>
    <w:lvl w:ilvl="8" w:tplc="F12CE8CA">
      <w:numFmt w:val="bullet"/>
      <w:lvlText w:val="•"/>
      <w:lvlJc w:val="left"/>
      <w:pPr>
        <w:ind w:left="8220" w:hanging="425"/>
      </w:pPr>
      <w:rPr>
        <w:rFonts w:hint="default"/>
        <w:lang w:val="en-US" w:eastAsia="en-US" w:bidi="ar-SA"/>
      </w:rPr>
    </w:lvl>
  </w:abstractNum>
  <w:abstractNum w:abstractNumId="34" w15:restartNumberingAfterBreak="0">
    <w:nsid w:val="0F376801"/>
    <w:multiLevelType w:val="multilevel"/>
    <w:tmpl w:val="883831FA"/>
    <w:lvl w:ilvl="0">
      <w:start w:val="1"/>
      <w:numFmt w:val="decimal"/>
      <w:lvlText w:val="%1.0"/>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360" w:hanging="170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82" w:hanging="1700"/>
      </w:pPr>
      <w:rPr>
        <w:rFonts w:hint="default"/>
        <w:lang w:val="en-US" w:eastAsia="en-US" w:bidi="ar-SA"/>
      </w:rPr>
    </w:lvl>
    <w:lvl w:ilvl="3">
      <w:numFmt w:val="bullet"/>
      <w:lvlText w:val="•"/>
      <w:lvlJc w:val="left"/>
      <w:pPr>
        <w:ind w:left="3344" w:hanging="1700"/>
      </w:pPr>
      <w:rPr>
        <w:rFonts w:hint="default"/>
        <w:lang w:val="en-US" w:eastAsia="en-US" w:bidi="ar-SA"/>
      </w:rPr>
    </w:lvl>
    <w:lvl w:ilvl="4">
      <w:numFmt w:val="bullet"/>
      <w:lvlText w:val="•"/>
      <w:lvlJc w:val="left"/>
      <w:pPr>
        <w:ind w:left="4306" w:hanging="1700"/>
      </w:pPr>
      <w:rPr>
        <w:rFonts w:hint="default"/>
        <w:lang w:val="en-US" w:eastAsia="en-US" w:bidi="ar-SA"/>
      </w:rPr>
    </w:lvl>
    <w:lvl w:ilvl="5">
      <w:numFmt w:val="bullet"/>
      <w:lvlText w:val="•"/>
      <w:lvlJc w:val="left"/>
      <w:pPr>
        <w:ind w:left="5268" w:hanging="1700"/>
      </w:pPr>
      <w:rPr>
        <w:rFonts w:hint="default"/>
        <w:lang w:val="en-US" w:eastAsia="en-US" w:bidi="ar-SA"/>
      </w:rPr>
    </w:lvl>
    <w:lvl w:ilvl="6">
      <w:numFmt w:val="bullet"/>
      <w:lvlText w:val="•"/>
      <w:lvlJc w:val="left"/>
      <w:pPr>
        <w:ind w:left="6231" w:hanging="1700"/>
      </w:pPr>
      <w:rPr>
        <w:rFonts w:hint="default"/>
        <w:lang w:val="en-US" w:eastAsia="en-US" w:bidi="ar-SA"/>
      </w:rPr>
    </w:lvl>
    <w:lvl w:ilvl="7">
      <w:numFmt w:val="bullet"/>
      <w:lvlText w:val="•"/>
      <w:lvlJc w:val="left"/>
      <w:pPr>
        <w:ind w:left="7193" w:hanging="1700"/>
      </w:pPr>
      <w:rPr>
        <w:rFonts w:hint="default"/>
        <w:lang w:val="en-US" w:eastAsia="en-US" w:bidi="ar-SA"/>
      </w:rPr>
    </w:lvl>
    <w:lvl w:ilvl="8">
      <w:numFmt w:val="bullet"/>
      <w:lvlText w:val="•"/>
      <w:lvlJc w:val="left"/>
      <w:pPr>
        <w:ind w:left="8155" w:hanging="1700"/>
      </w:pPr>
      <w:rPr>
        <w:rFonts w:hint="default"/>
        <w:lang w:val="en-US" w:eastAsia="en-US" w:bidi="ar-SA"/>
      </w:rPr>
    </w:lvl>
  </w:abstractNum>
  <w:abstractNum w:abstractNumId="35" w15:restartNumberingAfterBreak="0">
    <w:nsid w:val="0FFC6575"/>
    <w:multiLevelType w:val="hybridMultilevel"/>
    <w:tmpl w:val="23921C9C"/>
    <w:lvl w:ilvl="0" w:tplc="CC0ED534">
      <w:start w:val="6"/>
      <w:numFmt w:val="decimal"/>
      <w:lvlText w:val="%1."/>
      <w:lvlJc w:val="left"/>
      <w:pPr>
        <w:ind w:left="6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E7E4BCA4">
      <w:start w:val="1"/>
      <w:numFmt w:val="lowerLetter"/>
      <w:lvlText w:val="%2."/>
      <w:lvlJc w:val="left"/>
      <w:pPr>
        <w:ind w:left="793" w:hanging="43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61E6515C">
      <w:numFmt w:val="bullet"/>
      <w:lvlText w:val="•"/>
      <w:lvlJc w:val="left"/>
      <w:pPr>
        <w:ind w:left="1831" w:hanging="434"/>
      </w:pPr>
      <w:rPr>
        <w:rFonts w:hint="default"/>
        <w:lang w:val="en-US" w:eastAsia="en-US" w:bidi="ar-SA"/>
      </w:rPr>
    </w:lvl>
    <w:lvl w:ilvl="3" w:tplc="B8A2A8AA">
      <w:numFmt w:val="bullet"/>
      <w:lvlText w:val="•"/>
      <w:lvlJc w:val="left"/>
      <w:pPr>
        <w:ind w:left="2862" w:hanging="434"/>
      </w:pPr>
      <w:rPr>
        <w:rFonts w:hint="default"/>
        <w:lang w:val="en-US" w:eastAsia="en-US" w:bidi="ar-SA"/>
      </w:rPr>
    </w:lvl>
    <w:lvl w:ilvl="4" w:tplc="1E26D92E">
      <w:numFmt w:val="bullet"/>
      <w:lvlText w:val="•"/>
      <w:lvlJc w:val="left"/>
      <w:pPr>
        <w:ind w:left="3893" w:hanging="434"/>
      </w:pPr>
      <w:rPr>
        <w:rFonts w:hint="default"/>
        <w:lang w:val="en-US" w:eastAsia="en-US" w:bidi="ar-SA"/>
      </w:rPr>
    </w:lvl>
    <w:lvl w:ilvl="5" w:tplc="350C957A">
      <w:numFmt w:val="bullet"/>
      <w:lvlText w:val="•"/>
      <w:lvlJc w:val="left"/>
      <w:pPr>
        <w:ind w:left="4924" w:hanging="434"/>
      </w:pPr>
      <w:rPr>
        <w:rFonts w:hint="default"/>
        <w:lang w:val="en-US" w:eastAsia="en-US" w:bidi="ar-SA"/>
      </w:rPr>
    </w:lvl>
    <w:lvl w:ilvl="6" w:tplc="D8C6AC68">
      <w:numFmt w:val="bullet"/>
      <w:lvlText w:val="•"/>
      <w:lvlJc w:val="left"/>
      <w:pPr>
        <w:ind w:left="5955" w:hanging="434"/>
      </w:pPr>
      <w:rPr>
        <w:rFonts w:hint="default"/>
        <w:lang w:val="en-US" w:eastAsia="en-US" w:bidi="ar-SA"/>
      </w:rPr>
    </w:lvl>
    <w:lvl w:ilvl="7" w:tplc="9C829BD6">
      <w:numFmt w:val="bullet"/>
      <w:lvlText w:val="•"/>
      <w:lvlJc w:val="left"/>
      <w:pPr>
        <w:ind w:left="6986" w:hanging="434"/>
      </w:pPr>
      <w:rPr>
        <w:rFonts w:hint="default"/>
        <w:lang w:val="en-US" w:eastAsia="en-US" w:bidi="ar-SA"/>
      </w:rPr>
    </w:lvl>
    <w:lvl w:ilvl="8" w:tplc="CE7C2B0E">
      <w:numFmt w:val="bullet"/>
      <w:lvlText w:val="•"/>
      <w:lvlJc w:val="left"/>
      <w:pPr>
        <w:ind w:left="8017" w:hanging="434"/>
      </w:pPr>
      <w:rPr>
        <w:rFonts w:hint="default"/>
        <w:lang w:val="en-US" w:eastAsia="en-US" w:bidi="ar-SA"/>
      </w:rPr>
    </w:lvl>
  </w:abstractNum>
  <w:abstractNum w:abstractNumId="36" w15:restartNumberingAfterBreak="0">
    <w:nsid w:val="105242E9"/>
    <w:multiLevelType w:val="multilevel"/>
    <w:tmpl w:val="31447388"/>
    <w:lvl w:ilvl="0">
      <w:start w:val="7"/>
      <w:numFmt w:val="decimal"/>
      <w:lvlText w:val="%1.0"/>
      <w:lvlJc w:val="left"/>
      <w:pPr>
        <w:ind w:left="360" w:hanging="78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057"/>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2397" w:hanging="1057"/>
      </w:pPr>
      <w:rPr>
        <w:rFonts w:hint="default"/>
        <w:lang w:val="en-US" w:eastAsia="en-US" w:bidi="ar-SA"/>
      </w:rPr>
    </w:lvl>
    <w:lvl w:ilvl="4">
      <w:numFmt w:val="bullet"/>
      <w:lvlText w:val="•"/>
      <w:lvlJc w:val="left"/>
      <w:pPr>
        <w:ind w:left="3495" w:hanging="1057"/>
      </w:pPr>
      <w:rPr>
        <w:rFonts w:hint="default"/>
        <w:lang w:val="en-US" w:eastAsia="en-US" w:bidi="ar-SA"/>
      </w:rPr>
    </w:lvl>
    <w:lvl w:ilvl="5">
      <w:numFmt w:val="bullet"/>
      <w:lvlText w:val="•"/>
      <w:lvlJc w:val="left"/>
      <w:pPr>
        <w:ind w:left="4592" w:hanging="1057"/>
      </w:pPr>
      <w:rPr>
        <w:rFonts w:hint="default"/>
        <w:lang w:val="en-US" w:eastAsia="en-US" w:bidi="ar-SA"/>
      </w:rPr>
    </w:lvl>
    <w:lvl w:ilvl="6">
      <w:numFmt w:val="bullet"/>
      <w:lvlText w:val="•"/>
      <w:lvlJc w:val="left"/>
      <w:pPr>
        <w:ind w:left="5690" w:hanging="1057"/>
      </w:pPr>
      <w:rPr>
        <w:rFonts w:hint="default"/>
        <w:lang w:val="en-US" w:eastAsia="en-US" w:bidi="ar-SA"/>
      </w:rPr>
    </w:lvl>
    <w:lvl w:ilvl="7">
      <w:numFmt w:val="bullet"/>
      <w:lvlText w:val="•"/>
      <w:lvlJc w:val="left"/>
      <w:pPr>
        <w:ind w:left="6787" w:hanging="1057"/>
      </w:pPr>
      <w:rPr>
        <w:rFonts w:hint="default"/>
        <w:lang w:val="en-US" w:eastAsia="en-US" w:bidi="ar-SA"/>
      </w:rPr>
    </w:lvl>
    <w:lvl w:ilvl="8">
      <w:numFmt w:val="bullet"/>
      <w:lvlText w:val="•"/>
      <w:lvlJc w:val="left"/>
      <w:pPr>
        <w:ind w:left="7885" w:hanging="1057"/>
      </w:pPr>
      <w:rPr>
        <w:rFonts w:hint="default"/>
        <w:lang w:val="en-US" w:eastAsia="en-US" w:bidi="ar-SA"/>
      </w:rPr>
    </w:lvl>
  </w:abstractNum>
  <w:abstractNum w:abstractNumId="37" w15:restartNumberingAfterBreak="0">
    <w:nsid w:val="11A51B1B"/>
    <w:multiLevelType w:val="multilevel"/>
    <w:tmpl w:val="263671E0"/>
    <w:lvl w:ilvl="0">
      <w:start w:val="5"/>
      <w:numFmt w:val="decimal"/>
      <w:lvlText w:val="%1"/>
      <w:lvlJc w:val="left"/>
      <w:pPr>
        <w:ind w:left="360" w:hanging="720"/>
        <w:jc w:val="left"/>
      </w:pPr>
      <w:rPr>
        <w:rFonts w:hint="default"/>
        <w:lang w:val="en-US" w:eastAsia="en-US" w:bidi="ar-SA"/>
      </w:rPr>
    </w:lvl>
    <w:lvl w:ilvl="1">
      <w:numFmt w:val="decimal"/>
      <w:lvlText w:val="%1.%2"/>
      <w:lvlJc w:val="left"/>
      <w:pPr>
        <w:ind w:left="360" w:hanging="72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720"/>
      </w:pPr>
      <w:rPr>
        <w:rFonts w:hint="default"/>
        <w:lang w:val="en-US" w:eastAsia="en-US" w:bidi="ar-SA"/>
      </w:rPr>
    </w:lvl>
    <w:lvl w:ilvl="3">
      <w:numFmt w:val="bullet"/>
      <w:lvlText w:val="•"/>
      <w:lvlJc w:val="left"/>
      <w:pPr>
        <w:ind w:left="3276" w:hanging="720"/>
      </w:pPr>
      <w:rPr>
        <w:rFonts w:hint="default"/>
        <w:lang w:val="en-US" w:eastAsia="en-US" w:bidi="ar-SA"/>
      </w:rPr>
    </w:lvl>
    <w:lvl w:ilvl="4">
      <w:numFmt w:val="bullet"/>
      <w:lvlText w:val="•"/>
      <w:lvlJc w:val="left"/>
      <w:pPr>
        <w:ind w:left="4248" w:hanging="720"/>
      </w:pPr>
      <w:rPr>
        <w:rFonts w:hint="default"/>
        <w:lang w:val="en-US" w:eastAsia="en-US" w:bidi="ar-SA"/>
      </w:rPr>
    </w:lvl>
    <w:lvl w:ilvl="5">
      <w:numFmt w:val="bullet"/>
      <w:lvlText w:val="•"/>
      <w:lvlJc w:val="left"/>
      <w:pPr>
        <w:ind w:left="5220" w:hanging="720"/>
      </w:pPr>
      <w:rPr>
        <w:rFonts w:hint="default"/>
        <w:lang w:val="en-US" w:eastAsia="en-US" w:bidi="ar-SA"/>
      </w:rPr>
    </w:lvl>
    <w:lvl w:ilvl="6">
      <w:numFmt w:val="bullet"/>
      <w:lvlText w:val="•"/>
      <w:lvlJc w:val="left"/>
      <w:pPr>
        <w:ind w:left="6192" w:hanging="720"/>
      </w:pPr>
      <w:rPr>
        <w:rFonts w:hint="default"/>
        <w:lang w:val="en-US" w:eastAsia="en-US" w:bidi="ar-SA"/>
      </w:rPr>
    </w:lvl>
    <w:lvl w:ilvl="7">
      <w:numFmt w:val="bullet"/>
      <w:lvlText w:val="•"/>
      <w:lvlJc w:val="left"/>
      <w:pPr>
        <w:ind w:left="716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38" w15:restartNumberingAfterBreak="0">
    <w:nsid w:val="11DC4803"/>
    <w:multiLevelType w:val="hybridMultilevel"/>
    <w:tmpl w:val="C62C0836"/>
    <w:lvl w:ilvl="0" w:tplc="6D34C19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364D842">
      <w:numFmt w:val="bullet"/>
      <w:lvlText w:val="•"/>
      <w:lvlJc w:val="left"/>
      <w:pPr>
        <w:ind w:left="1710" w:hanging="425"/>
      </w:pPr>
      <w:rPr>
        <w:rFonts w:hint="default"/>
        <w:lang w:val="en-US" w:eastAsia="en-US" w:bidi="ar-SA"/>
      </w:rPr>
    </w:lvl>
    <w:lvl w:ilvl="2" w:tplc="E48C55C4">
      <w:numFmt w:val="bullet"/>
      <w:lvlText w:val="•"/>
      <w:lvlJc w:val="left"/>
      <w:pPr>
        <w:ind w:left="2640" w:hanging="425"/>
      </w:pPr>
      <w:rPr>
        <w:rFonts w:hint="default"/>
        <w:lang w:val="en-US" w:eastAsia="en-US" w:bidi="ar-SA"/>
      </w:rPr>
    </w:lvl>
    <w:lvl w:ilvl="3" w:tplc="A1886E5A">
      <w:numFmt w:val="bullet"/>
      <w:lvlText w:val="•"/>
      <w:lvlJc w:val="left"/>
      <w:pPr>
        <w:ind w:left="3570" w:hanging="425"/>
      </w:pPr>
      <w:rPr>
        <w:rFonts w:hint="default"/>
        <w:lang w:val="en-US" w:eastAsia="en-US" w:bidi="ar-SA"/>
      </w:rPr>
    </w:lvl>
    <w:lvl w:ilvl="4" w:tplc="DB6666A2">
      <w:numFmt w:val="bullet"/>
      <w:lvlText w:val="•"/>
      <w:lvlJc w:val="left"/>
      <w:pPr>
        <w:ind w:left="4500" w:hanging="425"/>
      </w:pPr>
      <w:rPr>
        <w:rFonts w:hint="default"/>
        <w:lang w:val="en-US" w:eastAsia="en-US" w:bidi="ar-SA"/>
      </w:rPr>
    </w:lvl>
    <w:lvl w:ilvl="5" w:tplc="DF66DD88">
      <w:numFmt w:val="bullet"/>
      <w:lvlText w:val="•"/>
      <w:lvlJc w:val="left"/>
      <w:pPr>
        <w:ind w:left="5430" w:hanging="425"/>
      </w:pPr>
      <w:rPr>
        <w:rFonts w:hint="default"/>
        <w:lang w:val="en-US" w:eastAsia="en-US" w:bidi="ar-SA"/>
      </w:rPr>
    </w:lvl>
    <w:lvl w:ilvl="6" w:tplc="6898E6C0">
      <w:numFmt w:val="bullet"/>
      <w:lvlText w:val="•"/>
      <w:lvlJc w:val="left"/>
      <w:pPr>
        <w:ind w:left="6360" w:hanging="425"/>
      </w:pPr>
      <w:rPr>
        <w:rFonts w:hint="default"/>
        <w:lang w:val="en-US" w:eastAsia="en-US" w:bidi="ar-SA"/>
      </w:rPr>
    </w:lvl>
    <w:lvl w:ilvl="7" w:tplc="10003126">
      <w:numFmt w:val="bullet"/>
      <w:lvlText w:val="•"/>
      <w:lvlJc w:val="left"/>
      <w:pPr>
        <w:ind w:left="7290" w:hanging="425"/>
      </w:pPr>
      <w:rPr>
        <w:rFonts w:hint="default"/>
        <w:lang w:val="en-US" w:eastAsia="en-US" w:bidi="ar-SA"/>
      </w:rPr>
    </w:lvl>
    <w:lvl w:ilvl="8" w:tplc="EAF2D53A">
      <w:numFmt w:val="bullet"/>
      <w:lvlText w:val="•"/>
      <w:lvlJc w:val="left"/>
      <w:pPr>
        <w:ind w:left="8220" w:hanging="425"/>
      </w:pPr>
      <w:rPr>
        <w:rFonts w:hint="default"/>
        <w:lang w:val="en-US" w:eastAsia="en-US" w:bidi="ar-SA"/>
      </w:rPr>
    </w:lvl>
  </w:abstractNum>
  <w:abstractNum w:abstractNumId="39" w15:restartNumberingAfterBreak="0">
    <w:nsid w:val="11FB79A4"/>
    <w:multiLevelType w:val="hybridMultilevel"/>
    <w:tmpl w:val="DBFE2558"/>
    <w:lvl w:ilvl="0" w:tplc="159ECAEC">
      <w:start w:val="1"/>
      <w:numFmt w:val="decimal"/>
      <w:lvlText w:val="%1."/>
      <w:lvlJc w:val="left"/>
      <w:pPr>
        <w:ind w:left="6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52ACEF10">
      <w:numFmt w:val="bullet"/>
      <w:lvlText w:val="•"/>
      <w:lvlJc w:val="left"/>
      <w:pPr>
        <w:ind w:left="1602" w:hanging="300"/>
      </w:pPr>
      <w:rPr>
        <w:rFonts w:hint="default"/>
        <w:lang w:val="en-US" w:eastAsia="en-US" w:bidi="ar-SA"/>
      </w:rPr>
    </w:lvl>
    <w:lvl w:ilvl="2" w:tplc="B7C81A4A">
      <w:numFmt w:val="bullet"/>
      <w:lvlText w:val="•"/>
      <w:lvlJc w:val="left"/>
      <w:pPr>
        <w:ind w:left="2544" w:hanging="300"/>
      </w:pPr>
      <w:rPr>
        <w:rFonts w:hint="default"/>
        <w:lang w:val="en-US" w:eastAsia="en-US" w:bidi="ar-SA"/>
      </w:rPr>
    </w:lvl>
    <w:lvl w:ilvl="3" w:tplc="F6780C98">
      <w:numFmt w:val="bullet"/>
      <w:lvlText w:val="•"/>
      <w:lvlJc w:val="left"/>
      <w:pPr>
        <w:ind w:left="3486" w:hanging="300"/>
      </w:pPr>
      <w:rPr>
        <w:rFonts w:hint="default"/>
        <w:lang w:val="en-US" w:eastAsia="en-US" w:bidi="ar-SA"/>
      </w:rPr>
    </w:lvl>
    <w:lvl w:ilvl="4" w:tplc="9F1682F8">
      <w:numFmt w:val="bullet"/>
      <w:lvlText w:val="•"/>
      <w:lvlJc w:val="left"/>
      <w:pPr>
        <w:ind w:left="4428" w:hanging="300"/>
      </w:pPr>
      <w:rPr>
        <w:rFonts w:hint="default"/>
        <w:lang w:val="en-US" w:eastAsia="en-US" w:bidi="ar-SA"/>
      </w:rPr>
    </w:lvl>
    <w:lvl w:ilvl="5" w:tplc="DA129A98">
      <w:numFmt w:val="bullet"/>
      <w:lvlText w:val="•"/>
      <w:lvlJc w:val="left"/>
      <w:pPr>
        <w:ind w:left="5370" w:hanging="300"/>
      </w:pPr>
      <w:rPr>
        <w:rFonts w:hint="default"/>
        <w:lang w:val="en-US" w:eastAsia="en-US" w:bidi="ar-SA"/>
      </w:rPr>
    </w:lvl>
    <w:lvl w:ilvl="6" w:tplc="622472DE">
      <w:numFmt w:val="bullet"/>
      <w:lvlText w:val="•"/>
      <w:lvlJc w:val="left"/>
      <w:pPr>
        <w:ind w:left="6312" w:hanging="300"/>
      </w:pPr>
      <w:rPr>
        <w:rFonts w:hint="default"/>
        <w:lang w:val="en-US" w:eastAsia="en-US" w:bidi="ar-SA"/>
      </w:rPr>
    </w:lvl>
    <w:lvl w:ilvl="7" w:tplc="46546766">
      <w:numFmt w:val="bullet"/>
      <w:lvlText w:val="•"/>
      <w:lvlJc w:val="left"/>
      <w:pPr>
        <w:ind w:left="7254" w:hanging="300"/>
      </w:pPr>
      <w:rPr>
        <w:rFonts w:hint="default"/>
        <w:lang w:val="en-US" w:eastAsia="en-US" w:bidi="ar-SA"/>
      </w:rPr>
    </w:lvl>
    <w:lvl w:ilvl="8" w:tplc="1DDCD734">
      <w:numFmt w:val="bullet"/>
      <w:lvlText w:val="•"/>
      <w:lvlJc w:val="left"/>
      <w:pPr>
        <w:ind w:left="8196" w:hanging="300"/>
      </w:pPr>
      <w:rPr>
        <w:rFonts w:hint="default"/>
        <w:lang w:val="en-US" w:eastAsia="en-US" w:bidi="ar-SA"/>
      </w:rPr>
    </w:lvl>
  </w:abstractNum>
  <w:abstractNum w:abstractNumId="40" w15:restartNumberingAfterBreak="0">
    <w:nsid w:val="12450231"/>
    <w:multiLevelType w:val="hybridMultilevel"/>
    <w:tmpl w:val="678272FA"/>
    <w:lvl w:ilvl="0" w:tplc="735ACEE6">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F8A661C">
      <w:numFmt w:val="bullet"/>
      <w:lvlText w:val="•"/>
      <w:lvlJc w:val="left"/>
      <w:pPr>
        <w:ind w:left="1710" w:hanging="425"/>
      </w:pPr>
      <w:rPr>
        <w:rFonts w:hint="default"/>
        <w:lang w:val="en-US" w:eastAsia="en-US" w:bidi="ar-SA"/>
      </w:rPr>
    </w:lvl>
    <w:lvl w:ilvl="2" w:tplc="B5C6FAF0">
      <w:numFmt w:val="bullet"/>
      <w:lvlText w:val="•"/>
      <w:lvlJc w:val="left"/>
      <w:pPr>
        <w:ind w:left="2640" w:hanging="425"/>
      </w:pPr>
      <w:rPr>
        <w:rFonts w:hint="default"/>
        <w:lang w:val="en-US" w:eastAsia="en-US" w:bidi="ar-SA"/>
      </w:rPr>
    </w:lvl>
    <w:lvl w:ilvl="3" w:tplc="852ED194">
      <w:numFmt w:val="bullet"/>
      <w:lvlText w:val="•"/>
      <w:lvlJc w:val="left"/>
      <w:pPr>
        <w:ind w:left="3570" w:hanging="425"/>
      </w:pPr>
      <w:rPr>
        <w:rFonts w:hint="default"/>
        <w:lang w:val="en-US" w:eastAsia="en-US" w:bidi="ar-SA"/>
      </w:rPr>
    </w:lvl>
    <w:lvl w:ilvl="4" w:tplc="9AFA08D8">
      <w:numFmt w:val="bullet"/>
      <w:lvlText w:val="•"/>
      <w:lvlJc w:val="left"/>
      <w:pPr>
        <w:ind w:left="4500" w:hanging="425"/>
      </w:pPr>
      <w:rPr>
        <w:rFonts w:hint="default"/>
        <w:lang w:val="en-US" w:eastAsia="en-US" w:bidi="ar-SA"/>
      </w:rPr>
    </w:lvl>
    <w:lvl w:ilvl="5" w:tplc="949EF64E">
      <w:numFmt w:val="bullet"/>
      <w:lvlText w:val="•"/>
      <w:lvlJc w:val="left"/>
      <w:pPr>
        <w:ind w:left="5430" w:hanging="425"/>
      </w:pPr>
      <w:rPr>
        <w:rFonts w:hint="default"/>
        <w:lang w:val="en-US" w:eastAsia="en-US" w:bidi="ar-SA"/>
      </w:rPr>
    </w:lvl>
    <w:lvl w:ilvl="6" w:tplc="D278CC78">
      <w:numFmt w:val="bullet"/>
      <w:lvlText w:val="•"/>
      <w:lvlJc w:val="left"/>
      <w:pPr>
        <w:ind w:left="6360" w:hanging="425"/>
      </w:pPr>
      <w:rPr>
        <w:rFonts w:hint="default"/>
        <w:lang w:val="en-US" w:eastAsia="en-US" w:bidi="ar-SA"/>
      </w:rPr>
    </w:lvl>
    <w:lvl w:ilvl="7" w:tplc="C6960474">
      <w:numFmt w:val="bullet"/>
      <w:lvlText w:val="•"/>
      <w:lvlJc w:val="left"/>
      <w:pPr>
        <w:ind w:left="7290" w:hanging="425"/>
      </w:pPr>
      <w:rPr>
        <w:rFonts w:hint="default"/>
        <w:lang w:val="en-US" w:eastAsia="en-US" w:bidi="ar-SA"/>
      </w:rPr>
    </w:lvl>
    <w:lvl w:ilvl="8" w:tplc="2A8A586E">
      <w:numFmt w:val="bullet"/>
      <w:lvlText w:val="•"/>
      <w:lvlJc w:val="left"/>
      <w:pPr>
        <w:ind w:left="8220" w:hanging="425"/>
      </w:pPr>
      <w:rPr>
        <w:rFonts w:hint="default"/>
        <w:lang w:val="en-US" w:eastAsia="en-US" w:bidi="ar-SA"/>
      </w:rPr>
    </w:lvl>
  </w:abstractNum>
  <w:abstractNum w:abstractNumId="41" w15:restartNumberingAfterBreak="0">
    <w:nsid w:val="1349184B"/>
    <w:multiLevelType w:val="hybridMultilevel"/>
    <w:tmpl w:val="4FEECC08"/>
    <w:lvl w:ilvl="0" w:tplc="0E16DDE6">
      <w:start w:val="1"/>
      <w:numFmt w:val="lowerLetter"/>
      <w:lvlText w:val="(%1)"/>
      <w:lvlJc w:val="left"/>
      <w:pPr>
        <w:ind w:left="1127"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B4687D8">
      <w:numFmt w:val="bullet"/>
      <w:lvlText w:val="•"/>
      <w:lvlJc w:val="left"/>
      <w:pPr>
        <w:ind w:left="2016" w:hanging="408"/>
      </w:pPr>
      <w:rPr>
        <w:rFonts w:hint="default"/>
        <w:lang w:val="en-US" w:eastAsia="en-US" w:bidi="ar-SA"/>
      </w:rPr>
    </w:lvl>
    <w:lvl w:ilvl="2" w:tplc="D95AE492">
      <w:numFmt w:val="bullet"/>
      <w:lvlText w:val="•"/>
      <w:lvlJc w:val="left"/>
      <w:pPr>
        <w:ind w:left="2912" w:hanging="408"/>
      </w:pPr>
      <w:rPr>
        <w:rFonts w:hint="default"/>
        <w:lang w:val="en-US" w:eastAsia="en-US" w:bidi="ar-SA"/>
      </w:rPr>
    </w:lvl>
    <w:lvl w:ilvl="3" w:tplc="333611E6">
      <w:numFmt w:val="bullet"/>
      <w:lvlText w:val="•"/>
      <w:lvlJc w:val="left"/>
      <w:pPr>
        <w:ind w:left="3808" w:hanging="408"/>
      </w:pPr>
      <w:rPr>
        <w:rFonts w:hint="default"/>
        <w:lang w:val="en-US" w:eastAsia="en-US" w:bidi="ar-SA"/>
      </w:rPr>
    </w:lvl>
    <w:lvl w:ilvl="4" w:tplc="FBA47388">
      <w:numFmt w:val="bullet"/>
      <w:lvlText w:val="•"/>
      <w:lvlJc w:val="left"/>
      <w:pPr>
        <w:ind w:left="4704" w:hanging="408"/>
      </w:pPr>
      <w:rPr>
        <w:rFonts w:hint="default"/>
        <w:lang w:val="en-US" w:eastAsia="en-US" w:bidi="ar-SA"/>
      </w:rPr>
    </w:lvl>
    <w:lvl w:ilvl="5" w:tplc="C3ECA89E">
      <w:numFmt w:val="bullet"/>
      <w:lvlText w:val="•"/>
      <w:lvlJc w:val="left"/>
      <w:pPr>
        <w:ind w:left="5600" w:hanging="408"/>
      </w:pPr>
      <w:rPr>
        <w:rFonts w:hint="default"/>
        <w:lang w:val="en-US" w:eastAsia="en-US" w:bidi="ar-SA"/>
      </w:rPr>
    </w:lvl>
    <w:lvl w:ilvl="6" w:tplc="515CBB30">
      <w:numFmt w:val="bullet"/>
      <w:lvlText w:val="•"/>
      <w:lvlJc w:val="left"/>
      <w:pPr>
        <w:ind w:left="6496" w:hanging="408"/>
      </w:pPr>
      <w:rPr>
        <w:rFonts w:hint="default"/>
        <w:lang w:val="en-US" w:eastAsia="en-US" w:bidi="ar-SA"/>
      </w:rPr>
    </w:lvl>
    <w:lvl w:ilvl="7" w:tplc="BB843398">
      <w:numFmt w:val="bullet"/>
      <w:lvlText w:val="•"/>
      <w:lvlJc w:val="left"/>
      <w:pPr>
        <w:ind w:left="7392" w:hanging="408"/>
      </w:pPr>
      <w:rPr>
        <w:rFonts w:hint="default"/>
        <w:lang w:val="en-US" w:eastAsia="en-US" w:bidi="ar-SA"/>
      </w:rPr>
    </w:lvl>
    <w:lvl w:ilvl="8" w:tplc="9A4CFD60">
      <w:numFmt w:val="bullet"/>
      <w:lvlText w:val="•"/>
      <w:lvlJc w:val="left"/>
      <w:pPr>
        <w:ind w:left="8288" w:hanging="408"/>
      </w:pPr>
      <w:rPr>
        <w:rFonts w:hint="default"/>
        <w:lang w:val="en-US" w:eastAsia="en-US" w:bidi="ar-SA"/>
      </w:rPr>
    </w:lvl>
  </w:abstractNum>
  <w:abstractNum w:abstractNumId="42" w15:restartNumberingAfterBreak="0">
    <w:nsid w:val="13A848F4"/>
    <w:multiLevelType w:val="multilevel"/>
    <w:tmpl w:val="D50A857E"/>
    <w:lvl w:ilvl="0">
      <w:start w:val="5"/>
      <w:numFmt w:val="decimal"/>
      <w:lvlText w:val="%1.0"/>
      <w:lvlJc w:val="left"/>
      <w:pPr>
        <w:ind w:left="360" w:hanging="654"/>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008" w:hanging="630"/>
      </w:pPr>
      <w:rPr>
        <w:rFonts w:hint="default"/>
        <w:lang w:val="en-US" w:eastAsia="en-US" w:bidi="ar-SA"/>
      </w:rPr>
    </w:lvl>
    <w:lvl w:ilvl="3">
      <w:numFmt w:val="bullet"/>
      <w:lvlText w:val="•"/>
      <w:lvlJc w:val="left"/>
      <w:pPr>
        <w:ind w:left="3017" w:hanging="630"/>
      </w:pPr>
      <w:rPr>
        <w:rFonts w:hint="default"/>
        <w:lang w:val="en-US" w:eastAsia="en-US" w:bidi="ar-SA"/>
      </w:rPr>
    </w:lvl>
    <w:lvl w:ilvl="4">
      <w:numFmt w:val="bullet"/>
      <w:lvlText w:val="•"/>
      <w:lvlJc w:val="left"/>
      <w:pPr>
        <w:ind w:left="4026" w:hanging="630"/>
      </w:pPr>
      <w:rPr>
        <w:rFonts w:hint="default"/>
        <w:lang w:val="en-US" w:eastAsia="en-US" w:bidi="ar-SA"/>
      </w:rPr>
    </w:lvl>
    <w:lvl w:ilvl="5">
      <w:numFmt w:val="bullet"/>
      <w:lvlText w:val="•"/>
      <w:lvlJc w:val="left"/>
      <w:pPr>
        <w:ind w:left="5035" w:hanging="630"/>
      </w:pPr>
      <w:rPr>
        <w:rFonts w:hint="default"/>
        <w:lang w:val="en-US" w:eastAsia="en-US" w:bidi="ar-SA"/>
      </w:rPr>
    </w:lvl>
    <w:lvl w:ilvl="6">
      <w:numFmt w:val="bullet"/>
      <w:lvlText w:val="•"/>
      <w:lvlJc w:val="left"/>
      <w:pPr>
        <w:ind w:left="6044" w:hanging="630"/>
      </w:pPr>
      <w:rPr>
        <w:rFonts w:hint="default"/>
        <w:lang w:val="en-US" w:eastAsia="en-US" w:bidi="ar-SA"/>
      </w:rPr>
    </w:lvl>
    <w:lvl w:ilvl="7">
      <w:numFmt w:val="bullet"/>
      <w:lvlText w:val="•"/>
      <w:lvlJc w:val="left"/>
      <w:pPr>
        <w:ind w:left="7053" w:hanging="630"/>
      </w:pPr>
      <w:rPr>
        <w:rFonts w:hint="default"/>
        <w:lang w:val="en-US" w:eastAsia="en-US" w:bidi="ar-SA"/>
      </w:rPr>
    </w:lvl>
    <w:lvl w:ilvl="8">
      <w:numFmt w:val="bullet"/>
      <w:lvlText w:val="•"/>
      <w:lvlJc w:val="left"/>
      <w:pPr>
        <w:ind w:left="8062" w:hanging="630"/>
      </w:pPr>
      <w:rPr>
        <w:rFonts w:hint="default"/>
        <w:lang w:val="en-US" w:eastAsia="en-US" w:bidi="ar-SA"/>
      </w:rPr>
    </w:lvl>
  </w:abstractNum>
  <w:abstractNum w:abstractNumId="43" w15:restartNumberingAfterBreak="0">
    <w:nsid w:val="14A41640"/>
    <w:multiLevelType w:val="hybridMultilevel"/>
    <w:tmpl w:val="835CE1AC"/>
    <w:lvl w:ilvl="0" w:tplc="0D8633C8">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DDE6B0E">
      <w:numFmt w:val="bullet"/>
      <w:lvlText w:val="•"/>
      <w:lvlJc w:val="left"/>
      <w:pPr>
        <w:ind w:left="1656" w:hanging="358"/>
      </w:pPr>
      <w:rPr>
        <w:rFonts w:hint="default"/>
        <w:lang w:val="en-US" w:eastAsia="en-US" w:bidi="ar-SA"/>
      </w:rPr>
    </w:lvl>
    <w:lvl w:ilvl="2" w:tplc="8510253A">
      <w:numFmt w:val="bullet"/>
      <w:lvlText w:val="•"/>
      <w:lvlJc w:val="left"/>
      <w:pPr>
        <w:ind w:left="2592" w:hanging="358"/>
      </w:pPr>
      <w:rPr>
        <w:rFonts w:hint="default"/>
        <w:lang w:val="en-US" w:eastAsia="en-US" w:bidi="ar-SA"/>
      </w:rPr>
    </w:lvl>
    <w:lvl w:ilvl="3" w:tplc="8A462322">
      <w:numFmt w:val="bullet"/>
      <w:lvlText w:val="•"/>
      <w:lvlJc w:val="left"/>
      <w:pPr>
        <w:ind w:left="3528" w:hanging="358"/>
      </w:pPr>
      <w:rPr>
        <w:rFonts w:hint="default"/>
        <w:lang w:val="en-US" w:eastAsia="en-US" w:bidi="ar-SA"/>
      </w:rPr>
    </w:lvl>
    <w:lvl w:ilvl="4" w:tplc="1396A980">
      <w:numFmt w:val="bullet"/>
      <w:lvlText w:val="•"/>
      <w:lvlJc w:val="left"/>
      <w:pPr>
        <w:ind w:left="4464" w:hanging="358"/>
      </w:pPr>
      <w:rPr>
        <w:rFonts w:hint="default"/>
        <w:lang w:val="en-US" w:eastAsia="en-US" w:bidi="ar-SA"/>
      </w:rPr>
    </w:lvl>
    <w:lvl w:ilvl="5" w:tplc="03DEAA5C">
      <w:numFmt w:val="bullet"/>
      <w:lvlText w:val="•"/>
      <w:lvlJc w:val="left"/>
      <w:pPr>
        <w:ind w:left="5400" w:hanging="358"/>
      </w:pPr>
      <w:rPr>
        <w:rFonts w:hint="default"/>
        <w:lang w:val="en-US" w:eastAsia="en-US" w:bidi="ar-SA"/>
      </w:rPr>
    </w:lvl>
    <w:lvl w:ilvl="6" w:tplc="1E700284">
      <w:numFmt w:val="bullet"/>
      <w:lvlText w:val="•"/>
      <w:lvlJc w:val="left"/>
      <w:pPr>
        <w:ind w:left="6336" w:hanging="358"/>
      </w:pPr>
      <w:rPr>
        <w:rFonts w:hint="default"/>
        <w:lang w:val="en-US" w:eastAsia="en-US" w:bidi="ar-SA"/>
      </w:rPr>
    </w:lvl>
    <w:lvl w:ilvl="7" w:tplc="C34E0FB8">
      <w:numFmt w:val="bullet"/>
      <w:lvlText w:val="•"/>
      <w:lvlJc w:val="left"/>
      <w:pPr>
        <w:ind w:left="7272" w:hanging="358"/>
      </w:pPr>
      <w:rPr>
        <w:rFonts w:hint="default"/>
        <w:lang w:val="en-US" w:eastAsia="en-US" w:bidi="ar-SA"/>
      </w:rPr>
    </w:lvl>
    <w:lvl w:ilvl="8" w:tplc="6854FC4A">
      <w:numFmt w:val="bullet"/>
      <w:lvlText w:val="•"/>
      <w:lvlJc w:val="left"/>
      <w:pPr>
        <w:ind w:left="8208" w:hanging="358"/>
      </w:pPr>
      <w:rPr>
        <w:rFonts w:hint="default"/>
        <w:lang w:val="en-US" w:eastAsia="en-US" w:bidi="ar-SA"/>
      </w:rPr>
    </w:lvl>
  </w:abstractNum>
  <w:abstractNum w:abstractNumId="44" w15:restartNumberingAfterBreak="0">
    <w:nsid w:val="14BF0F30"/>
    <w:multiLevelType w:val="multilevel"/>
    <w:tmpl w:val="A9161E88"/>
    <w:lvl w:ilvl="0">
      <w:start w:val="2"/>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hint="default"/>
        <w:spacing w:val="0"/>
        <w:w w:val="100"/>
        <w:lang w:val="en-US" w:eastAsia="en-US" w:bidi="ar-SA"/>
      </w:rPr>
    </w:lvl>
    <w:lvl w:ilvl="2">
      <w:start w:val="1"/>
      <w:numFmt w:val="decimal"/>
      <w:lvlText w:val="%1.%2.%3"/>
      <w:lvlJc w:val="left"/>
      <w:pPr>
        <w:ind w:left="1305" w:hanging="945"/>
        <w:jc w:val="left"/>
      </w:pPr>
      <w:rPr>
        <w:rFonts w:hint="default"/>
        <w:spacing w:val="0"/>
        <w:w w:val="100"/>
        <w:lang w:val="en-US" w:eastAsia="en-US" w:bidi="ar-SA"/>
      </w:rPr>
    </w:lvl>
    <w:lvl w:ilvl="3">
      <w:numFmt w:val="bullet"/>
      <w:lvlText w:val="✓"/>
      <w:lvlJc w:val="left"/>
      <w:pPr>
        <w:ind w:left="360" w:hanging="166"/>
      </w:pPr>
      <w:rPr>
        <w:rFonts w:ascii="Segoe UI Symbol" w:eastAsia="Segoe UI Symbol" w:hAnsi="Segoe UI Symbol" w:cs="Segoe UI Symbol" w:hint="default"/>
        <w:b w:val="0"/>
        <w:bCs w:val="0"/>
        <w:i w:val="0"/>
        <w:iCs w:val="0"/>
        <w:spacing w:val="-1"/>
        <w:w w:val="68"/>
        <w:sz w:val="28"/>
        <w:szCs w:val="28"/>
        <w:lang w:val="en-US" w:eastAsia="en-US" w:bidi="ar-SA"/>
      </w:rPr>
    </w:lvl>
    <w:lvl w:ilvl="4">
      <w:numFmt w:val="bullet"/>
      <w:lvlText w:val="•"/>
      <w:lvlJc w:val="left"/>
      <w:pPr>
        <w:ind w:left="3495" w:hanging="166"/>
      </w:pPr>
      <w:rPr>
        <w:rFonts w:hint="default"/>
        <w:lang w:val="en-US" w:eastAsia="en-US" w:bidi="ar-SA"/>
      </w:rPr>
    </w:lvl>
    <w:lvl w:ilvl="5">
      <w:numFmt w:val="bullet"/>
      <w:lvlText w:val="•"/>
      <w:lvlJc w:val="left"/>
      <w:pPr>
        <w:ind w:left="4592" w:hanging="166"/>
      </w:pPr>
      <w:rPr>
        <w:rFonts w:hint="default"/>
        <w:lang w:val="en-US" w:eastAsia="en-US" w:bidi="ar-SA"/>
      </w:rPr>
    </w:lvl>
    <w:lvl w:ilvl="6">
      <w:numFmt w:val="bullet"/>
      <w:lvlText w:val="•"/>
      <w:lvlJc w:val="left"/>
      <w:pPr>
        <w:ind w:left="5690" w:hanging="166"/>
      </w:pPr>
      <w:rPr>
        <w:rFonts w:hint="default"/>
        <w:lang w:val="en-US" w:eastAsia="en-US" w:bidi="ar-SA"/>
      </w:rPr>
    </w:lvl>
    <w:lvl w:ilvl="7">
      <w:numFmt w:val="bullet"/>
      <w:lvlText w:val="•"/>
      <w:lvlJc w:val="left"/>
      <w:pPr>
        <w:ind w:left="6787" w:hanging="166"/>
      </w:pPr>
      <w:rPr>
        <w:rFonts w:hint="default"/>
        <w:lang w:val="en-US" w:eastAsia="en-US" w:bidi="ar-SA"/>
      </w:rPr>
    </w:lvl>
    <w:lvl w:ilvl="8">
      <w:numFmt w:val="bullet"/>
      <w:lvlText w:val="•"/>
      <w:lvlJc w:val="left"/>
      <w:pPr>
        <w:ind w:left="7885" w:hanging="166"/>
      </w:pPr>
      <w:rPr>
        <w:rFonts w:hint="default"/>
        <w:lang w:val="en-US" w:eastAsia="en-US" w:bidi="ar-SA"/>
      </w:rPr>
    </w:lvl>
  </w:abstractNum>
  <w:abstractNum w:abstractNumId="45" w15:restartNumberingAfterBreak="0">
    <w:nsid w:val="14CC7A33"/>
    <w:multiLevelType w:val="multilevel"/>
    <w:tmpl w:val="80E071C6"/>
    <w:lvl w:ilvl="0">
      <w:start w:val="1"/>
      <w:numFmt w:val="decimal"/>
      <w:lvlText w:val="%1"/>
      <w:lvlJc w:val="left"/>
      <w:pPr>
        <w:ind w:left="1113" w:hanging="754"/>
        <w:jc w:val="left"/>
      </w:pPr>
      <w:rPr>
        <w:rFonts w:hint="default"/>
        <w:lang w:val="en-US" w:eastAsia="en-US" w:bidi="ar-SA"/>
      </w:rPr>
    </w:lvl>
    <w:lvl w:ilvl="1">
      <w:numFmt w:val="decimal"/>
      <w:lvlText w:val="%1.%2"/>
      <w:lvlJc w:val="left"/>
      <w:pPr>
        <w:ind w:left="1113" w:hanging="754"/>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884"/>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11" w:hanging="884"/>
      </w:pPr>
      <w:rPr>
        <w:rFonts w:hint="default"/>
        <w:lang w:val="en-US" w:eastAsia="en-US" w:bidi="ar-SA"/>
      </w:rPr>
    </w:lvl>
    <w:lvl w:ilvl="4">
      <w:numFmt w:val="bullet"/>
      <w:lvlText w:val="•"/>
      <w:lvlJc w:val="left"/>
      <w:pPr>
        <w:ind w:left="4106" w:hanging="884"/>
      </w:pPr>
      <w:rPr>
        <w:rFonts w:hint="default"/>
        <w:lang w:val="en-US" w:eastAsia="en-US" w:bidi="ar-SA"/>
      </w:rPr>
    </w:lvl>
    <w:lvl w:ilvl="5">
      <w:numFmt w:val="bullet"/>
      <w:lvlText w:val="•"/>
      <w:lvlJc w:val="left"/>
      <w:pPr>
        <w:ind w:left="5102" w:hanging="884"/>
      </w:pPr>
      <w:rPr>
        <w:rFonts w:hint="default"/>
        <w:lang w:val="en-US" w:eastAsia="en-US" w:bidi="ar-SA"/>
      </w:rPr>
    </w:lvl>
    <w:lvl w:ilvl="6">
      <w:numFmt w:val="bullet"/>
      <w:lvlText w:val="•"/>
      <w:lvlJc w:val="left"/>
      <w:pPr>
        <w:ind w:left="6097" w:hanging="884"/>
      </w:pPr>
      <w:rPr>
        <w:rFonts w:hint="default"/>
        <w:lang w:val="en-US" w:eastAsia="en-US" w:bidi="ar-SA"/>
      </w:rPr>
    </w:lvl>
    <w:lvl w:ilvl="7">
      <w:numFmt w:val="bullet"/>
      <w:lvlText w:val="•"/>
      <w:lvlJc w:val="left"/>
      <w:pPr>
        <w:ind w:left="7093" w:hanging="884"/>
      </w:pPr>
      <w:rPr>
        <w:rFonts w:hint="default"/>
        <w:lang w:val="en-US" w:eastAsia="en-US" w:bidi="ar-SA"/>
      </w:rPr>
    </w:lvl>
    <w:lvl w:ilvl="8">
      <w:numFmt w:val="bullet"/>
      <w:lvlText w:val="•"/>
      <w:lvlJc w:val="left"/>
      <w:pPr>
        <w:ind w:left="8088" w:hanging="884"/>
      </w:pPr>
      <w:rPr>
        <w:rFonts w:hint="default"/>
        <w:lang w:val="en-US" w:eastAsia="en-US" w:bidi="ar-SA"/>
      </w:rPr>
    </w:lvl>
  </w:abstractNum>
  <w:abstractNum w:abstractNumId="46" w15:restartNumberingAfterBreak="0">
    <w:nsid w:val="15133694"/>
    <w:multiLevelType w:val="multilevel"/>
    <w:tmpl w:val="31947D56"/>
    <w:lvl w:ilvl="0">
      <w:start w:val="1"/>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017" w:hanging="945"/>
      </w:pPr>
      <w:rPr>
        <w:rFonts w:hint="default"/>
        <w:lang w:val="en-US" w:eastAsia="en-US" w:bidi="ar-SA"/>
      </w:rPr>
    </w:lvl>
    <w:lvl w:ilvl="4">
      <w:numFmt w:val="bullet"/>
      <w:lvlText w:val="•"/>
      <w:lvlJc w:val="left"/>
      <w:pPr>
        <w:ind w:left="4026" w:hanging="945"/>
      </w:pPr>
      <w:rPr>
        <w:rFonts w:hint="default"/>
        <w:lang w:val="en-US" w:eastAsia="en-US" w:bidi="ar-SA"/>
      </w:rPr>
    </w:lvl>
    <w:lvl w:ilvl="5">
      <w:numFmt w:val="bullet"/>
      <w:lvlText w:val="•"/>
      <w:lvlJc w:val="left"/>
      <w:pPr>
        <w:ind w:left="5035" w:hanging="945"/>
      </w:pPr>
      <w:rPr>
        <w:rFonts w:hint="default"/>
        <w:lang w:val="en-US" w:eastAsia="en-US" w:bidi="ar-SA"/>
      </w:rPr>
    </w:lvl>
    <w:lvl w:ilvl="6">
      <w:numFmt w:val="bullet"/>
      <w:lvlText w:val="•"/>
      <w:lvlJc w:val="left"/>
      <w:pPr>
        <w:ind w:left="6044" w:hanging="945"/>
      </w:pPr>
      <w:rPr>
        <w:rFonts w:hint="default"/>
        <w:lang w:val="en-US" w:eastAsia="en-US" w:bidi="ar-SA"/>
      </w:rPr>
    </w:lvl>
    <w:lvl w:ilvl="7">
      <w:numFmt w:val="bullet"/>
      <w:lvlText w:val="•"/>
      <w:lvlJc w:val="left"/>
      <w:pPr>
        <w:ind w:left="7053" w:hanging="945"/>
      </w:pPr>
      <w:rPr>
        <w:rFonts w:hint="default"/>
        <w:lang w:val="en-US" w:eastAsia="en-US" w:bidi="ar-SA"/>
      </w:rPr>
    </w:lvl>
    <w:lvl w:ilvl="8">
      <w:numFmt w:val="bullet"/>
      <w:lvlText w:val="•"/>
      <w:lvlJc w:val="left"/>
      <w:pPr>
        <w:ind w:left="8062" w:hanging="945"/>
      </w:pPr>
      <w:rPr>
        <w:rFonts w:hint="default"/>
        <w:lang w:val="en-US" w:eastAsia="en-US" w:bidi="ar-SA"/>
      </w:rPr>
    </w:lvl>
  </w:abstractNum>
  <w:abstractNum w:abstractNumId="47" w15:restartNumberingAfterBreak="0">
    <w:nsid w:val="15533433"/>
    <w:multiLevelType w:val="hybridMultilevel"/>
    <w:tmpl w:val="9162F8C6"/>
    <w:lvl w:ilvl="0" w:tplc="8110AE56">
      <w:start w:val="1"/>
      <w:numFmt w:val="decimal"/>
      <w:lvlText w:val="(%1)"/>
      <w:lvlJc w:val="left"/>
      <w:pPr>
        <w:ind w:left="360" w:hanging="443"/>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A18EE0E">
      <w:numFmt w:val="bullet"/>
      <w:lvlText w:val="•"/>
      <w:lvlJc w:val="left"/>
      <w:pPr>
        <w:ind w:left="1332" w:hanging="443"/>
      </w:pPr>
      <w:rPr>
        <w:rFonts w:hint="default"/>
        <w:lang w:val="en-US" w:eastAsia="en-US" w:bidi="ar-SA"/>
      </w:rPr>
    </w:lvl>
    <w:lvl w:ilvl="2" w:tplc="104801C6">
      <w:numFmt w:val="bullet"/>
      <w:lvlText w:val="•"/>
      <w:lvlJc w:val="left"/>
      <w:pPr>
        <w:ind w:left="2304" w:hanging="443"/>
      </w:pPr>
      <w:rPr>
        <w:rFonts w:hint="default"/>
        <w:lang w:val="en-US" w:eastAsia="en-US" w:bidi="ar-SA"/>
      </w:rPr>
    </w:lvl>
    <w:lvl w:ilvl="3" w:tplc="6D98CC8E">
      <w:numFmt w:val="bullet"/>
      <w:lvlText w:val="•"/>
      <w:lvlJc w:val="left"/>
      <w:pPr>
        <w:ind w:left="3276" w:hanging="443"/>
      </w:pPr>
      <w:rPr>
        <w:rFonts w:hint="default"/>
        <w:lang w:val="en-US" w:eastAsia="en-US" w:bidi="ar-SA"/>
      </w:rPr>
    </w:lvl>
    <w:lvl w:ilvl="4" w:tplc="13561840">
      <w:numFmt w:val="bullet"/>
      <w:lvlText w:val="•"/>
      <w:lvlJc w:val="left"/>
      <w:pPr>
        <w:ind w:left="4248" w:hanging="443"/>
      </w:pPr>
      <w:rPr>
        <w:rFonts w:hint="default"/>
        <w:lang w:val="en-US" w:eastAsia="en-US" w:bidi="ar-SA"/>
      </w:rPr>
    </w:lvl>
    <w:lvl w:ilvl="5" w:tplc="A05A12D6">
      <w:numFmt w:val="bullet"/>
      <w:lvlText w:val="•"/>
      <w:lvlJc w:val="left"/>
      <w:pPr>
        <w:ind w:left="5220" w:hanging="443"/>
      </w:pPr>
      <w:rPr>
        <w:rFonts w:hint="default"/>
        <w:lang w:val="en-US" w:eastAsia="en-US" w:bidi="ar-SA"/>
      </w:rPr>
    </w:lvl>
    <w:lvl w:ilvl="6" w:tplc="025CEC5E">
      <w:numFmt w:val="bullet"/>
      <w:lvlText w:val="•"/>
      <w:lvlJc w:val="left"/>
      <w:pPr>
        <w:ind w:left="6192" w:hanging="443"/>
      </w:pPr>
      <w:rPr>
        <w:rFonts w:hint="default"/>
        <w:lang w:val="en-US" w:eastAsia="en-US" w:bidi="ar-SA"/>
      </w:rPr>
    </w:lvl>
    <w:lvl w:ilvl="7" w:tplc="6B12ED04">
      <w:numFmt w:val="bullet"/>
      <w:lvlText w:val="•"/>
      <w:lvlJc w:val="left"/>
      <w:pPr>
        <w:ind w:left="7164" w:hanging="443"/>
      </w:pPr>
      <w:rPr>
        <w:rFonts w:hint="default"/>
        <w:lang w:val="en-US" w:eastAsia="en-US" w:bidi="ar-SA"/>
      </w:rPr>
    </w:lvl>
    <w:lvl w:ilvl="8" w:tplc="6B2CE79C">
      <w:numFmt w:val="bullet"/>
      <w:lvlText w:val="•"/>
      <w:lvlJc w:val="left"/>
      <w:pPr>
        <w:ind w:left="8136" w:hanging="443"/>
      </w:pPr>
      <w:rPr>
        <w:rFonts w:hint="default"/>
        <w:lang w:val="en-US" w:eastAsia="en-US" w:bidi="ar-SA"/>
      </w:rPr>
    </w:lvl>
  </w:abstractNum>
  <w:abstractNum w:abstractNumId="48" w15:restartNumberingAfterBreak="0">
    <w:nsid w:val="15D83587"/>
    <w:multiLevelType w:val="multilevel"/>
    <w:tmpl w:val="7580308C"/>
    <w:lvl w:ilvl="0">
      <w:start w:val="2"/>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49" w15:restartNumberingAfterBreak="0">
    <w:nsid w:val="16A55AD9"/>
    <w:multiLevelType w:val="hybridMultilevel"/>
    <w:tmpl w:val="E5740EF2"/>
    <w:lvl w:ilvl="0" w:tplc="A3489EC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FE61ACC">
      <w:start w:val="1"/>
      <w:numFmt w:val="lowerRoman"/>
      <w:lvlText w:val="(%2)"/>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553A157A">
      <w:numFmt w:val="bullet"/>
      <w:lvlText w:val="•"/>
      <w:lvlJc w:val="left"/>
      <w:pPr>
        <w:ind w:left="1813" w:hanging="358"/>
      </w:pPr>
      <w:rPr>
        <w:rFonts w:hint="default"/>
        <w:lang w:val="en-US" w:eastAsia="en-US" w:bidi="ar-SA"/>
      </w:rPr>
    </w:lvl>
    <w:lvl w:ilvl="3" w:tplc="63169ED6">
      <w:numFmt w:val="bullet"/>
      <w:lvlText w:val="•"/>
      <w:lvlJc w:val="left"/>
      <w:pPr>
        <w:ind w:left="2846" w:hanging="358"/>
      </w:pPr>
      <w:rPr>
        <w:rFonts w:hint="default"/>
        <w:lang w:val="en-US" w:eastAsia="en-US" w:bidi="ar-SA"/>
      </w:rPr>
    </w:lvl>
    <w:lvl w:ilvl="4" w:tplc="077A17DA">
      <w:numFmt w:val="bullet"/>
      <w:lvlText w:val="•"/>
      <w:lvlJc w:val="left"/>
      <w:pPr>
        <w:ind w:left="3880" w:hanging="358"/>
      </w:pPr>
      <w:rPr>
        <w:rFonts w:hint="default"/>
        <w:lang w:val="en-US" w:eastAsia="en-US" w:bidi="ar-SA"/>
      </w:rPr>
    </w:lvl>
    <w:lvl w:ilvl="5" w:tplc="84B6A592">
      <w:numFmt w:val="bullet"/>
      <w:lvlText w:val="•"/>
      <w:lvlJc w:val="left"/>
      <w:pPr>
        <w:ind w:left="4913" w:hanging="358"/>
      </w:pPr>
      <w:rPr>
        <w:rFonts w:hint="default"/>
        <w:lang w:val="en-US" w:eastAsia="en-US" w:bidi="ar-SA"/>
      </w:rPr>
    </w:lvl>
    <w:lvl w:ilvl="6" w:tplc="4E1CEBAC">
      <w:numFmt w:val="bullet"/>
      <w:lvlText w:val="•"/>
      <w:lvlJc w:val="left"/>
      <w:pPr>
        <w:ind w:left="5946" w:hanging="358"/>
      </w:pPr>
      <w:rPr>
        <w:rFonts w:hint="default"/>
        <w:lang w:val="en-US" w:eastAsia="en-US" w:bidi="ar-SA"/>
      </w:rPr>
    </w:lvl>
    <w:lvl w:ilvl="7" w:tplc="AE3E0C84">
      <w:numFmt w:val="bullet"/>
      <w:lvlText w:val="•"/>
      <w:lvlJc w:val="left"/>
      <w:pPr>
        <w:ind w:left="6980" w:hanging="358"/>
      </w:pPr>
      <w:rPr>
        <w:rFonts w:hint="default"/>
        <w:lang w:val="en-US" w:eastAsia="en-US" w:bidi="ar-SA"/>
      </w:rPr>
    </w:lvl>
    <w:lvl w:ilvl="8" w:tplc="9F226EC4">
      <w:numFmt w:val="bullet"/>
      <w:lvlText w:val="•"/>
      <w:lvlJc w:val="left"/>
      <w:pPr>
        <w:ind w:left="8013" w:hanging="358"/>
      </w:pPr>
      <w:rPr>
        <w:rFonts w:hint="default"/>
        <w:lang w:val="en-US" w:eastAsia="en-US" w:bidi="ar-SA"/>
      </w:rPr>
    </w:lvl>
  </w:abstractNum>
  <w:abstractNum w:abstractNumId="50" w15:restartNumberingAfterBreak="0">
    <w:nsid w:val="16DE6E6F"/>
    <w:multiLevelType w:val="hybridMultilevel"/>
    <w:tmpl w:val="C3F4057A"/>
    <w:lvl w:ilvl="0" w:tplc="8B50FEDA">
      <w:start w:val="1"/>
      <w:numFmt w:val="decimal"/>
      <w:lvlText w:val="(%1)"/>
      <w:lvlJc w:val="left"/>
      <w:pPr>
        <w:ind w:left="360" w:hanging="47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CDE6EB2">
      <w:numFmt w:val="bullet"/>
      <w:lvlText w:val="•"/>
      <w:lvlJc w:val="left"/>
      <w:pPr>
        <w:ind w:left="1332" w:hanging="477"/>
      </w:pPr>
      <w:rPr>
        <w:rFonts w:hint="default"/>
        <w:lang w:val="en-US" w:eastAsia="en-US" w:bidi="ar-SA"/>
      </w:rPr>
    </w:lvl>
    <w:lvl w:ilvl="2" w:tplc="24CE3928">
      <w:numFmt w:val="bullet"/>
      <w:lvlText w:val="•"/>
      <w:lvlJc w:val="left"/>
      <w:pPr>
        <w:ind w:left="2304" w:hanging="477"/>
      </w:pPr>
      <w:rPr>
        <w:rFonts w:hint="default"/>
        <w:lang w:val="en-US" w:eastAsia="en-US" w:bidi="ar-SA"/>
      </w:rPr>
    </w:lvl>
    <w:lvl w:ilvl="3" w:tplc="23FAA7BE">
      <w:numFmt w:val="bullet"/>
      <w:lvlText w:val="•"/>
      <w:lvlJc w:val="left"/>
      <w:pPr>
        <w:ind w:left="3276" w:hanging="477"/>
      </w:pPr>
      <w:rPr>
        <w:rFonts w:hint="default"/>
        <w:lang w:val="en-US" w:eastAsia="en-US" w:bidi="ar-SA"/>
      </w:rPr>
    </w:lvl>
    <w:lvl w:ilvl="4" w:tplc="920ECB6E">
      <w:numFmt w:val="bullet"/>
      <w:lvlText w:val="•"/>
      <w:lvlJc w:val="left"/>
      <w:pPr>
        <w:ind w:left="4248" w:hanging="477"/>
      </w:pPr>
      <w:rPr>
        <w:rFonts w:hint="default"/>
        <w:lang w:val="en-US" w:eastAsia="en-US" w:bidi="ar-SA"/>
      </w:rPr>
    </w:lvl>
    <w:lvl w:ilvl="5" w:tplc="F8A45B26">
      <w:numFmt w:val="bullet"/>
      <w:lvlText w:val="•"/>
      <w:lvlJc w:val="left"/>
      <w:pPr>
        <w:ind w:left="5220" w:hanging="477"/>
      </w:pPr>
      <w:rPr>
        <w:rFonts w:hint="default"/>
        <w:lang w:val="en-US" w:eastAsia="en-US" w:bidi="ar-SA"/>
      </w:rPr>
    </w:lvl>
    <w:lvl w:ilvl="6" w:tplc="36C8EB84">
      <w:numFmt w:val="bullet"/>
      <w:lvlText w:val="•"/>
      <w:lvlJc w:val="left"/>
      <w:pPr>
        <w:ind w:left="6192" w:hanging="477"/>
      </w:pPr>
      <w:rPr>
        <w:rFonts w:hint="default"/>
        <w:lang w:val="en-US" w:eastAsia="en-US" w:bidi="ar-SA"/>
      </w:rPr>
    </w:lvl>
    <w:lvl w:ilvl="7" w:tplc="DE2CEE08">
      <w:numFmt w:val="bullet"/>
      <w:lvlText w:val="•"/>
      <w:lvlJc w:val="left"/>
      <w:pPr>
        <w:ind w:left="7164" w:hanging="477"/>
      </w:pPr>
      <w:rPr>
        <w:rFonts w:hint="default"/>
        <w:lang w:val="en-US" w:eastAsia="en-US" w:bidi="ar-SA"/>
      </w:rPr>
    </w:lvl>
    <w:lvl w:ilvl="8" w:tplc="5964B18E">
      <w:numFmt w:val="bullet"/>
      <w:lvlText w:val="•"/>
      <w:lvlJc w:val="left"/>
      <w:pPr>
        <w:ind w:left="8136" w:hanging="477"/>
      </w:pPr>
      <w:rPr>
        <w:rFonts w:hint="default"/>
        <w:lang w:val="en-US" w:eastAsia="en-US" w:bidi="ar-SA"/>
      </w:rPr>
    </w:lvl>
  </w:abstractNum>
  <w:abstractNum w:abstractNumId="51" w15:restartNumberingAfterBreak="0">
    <w:nsid w:val="17D74E21"/>
    <w:multiLevelType w:val="multilevel"/>
    <w:tmpl w:val="FD88F12C"/>
    <w:lvl w:ilvl="0">
      <w:start w:val="7"/>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52" w15:restartNumberingAfterBreak="0">
    <w:nsid w:val="17E73C70"/>
    <w:multiLevelType w:val="hybridMultilevel"/>
    <w:tmpl w:val="AFE8096E"/>
    <w:lvl w:ilvl="0" w:tplc="3FFC0288">
      <w:start w:val="1"/>
      <w:numFmt w:val="upperRoman"/>
      <w:lvlText w:val="%1"/>
      <w:lvlJc w:val="left"/>
      <w:pPr>
        <w:ind w:left="360" w:hanging="47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A141DB0">
      <w:numFmt w:val="bullet"/>
      <w:lvlText w:val="•"/>
      <w:lvlJc w:val="left"/>
      <w:pPr>
        <w:ind w:left="1332" w:hanging="475"/>
      </w:pPr>
      <w:rPr>
        <w:rFonts w:hint="default"/>
        <w:lang w:val="en-US" w:eastAsia="en-US" w:bidi="ar-SA"/>
      </w:rPr>
    </w:lvl>
    <w:lvl w:ilvl="2" w:tplc="5CDAAF9C">
      <w:numFmt w:val="bullet"/>
      <w:lvlText w:val="•"/>
      <w:lvlJc w:val="left"/>
      <w:pPr>
        <w:ind w:left="2304" w:hanging="475"/>
      </w:pPr>
      <w:rPr>
        <w:rFonts w:hint="default"/>
        <w:lang w:val="en-US" w:eastAsia="en-US" w:bidi="ar-SA"/>
      </w:rPr>
    </w:lvl>
    <w:lvl w:ilvl="3" w:tplc="81227144">
      <w:numFmt w:val="bullet"/>
      <w:lvlText w:val="•"/>
      <w:lvlJc w:val="left"/>
      <w:pPr>
        <w:ind w:left="3276" w:hanging="475"/>
      </w:pPr>
      <w:rPr>
        <w:rFonts w:hint="default"/>
        <w:lang w:val="en-US" w:eastAsia="en-US" w:bidi="ar-SA"/>
      </w:rPr>
    </w:lvl>
    <w:lvl w:ilvl="4" w:tplc="C276BCE2">
      <w:numFmt w:val="bullet"/>
      <w:lvlText w:val="•"/>
      <w:lvlJc w:val="left"/>
      <w:pPr>
        <w:ind w:left="4248" w:hanging="475"/>
      </w:pPr>
      <w:rPr>
        <w:rFonts w:hint="default"/>
        <w:lang w:val="en-US" w:eastAsia="en-US" w:bidi="ar-SA"/>
      </w:rPr>
    </w:lvl>
    <w:lvl w:ilvl="5" w:tplc="BAACDC4A">
      <w:numFmt w:val="bullet"/>
      <w:lvlText w:val="•"/>
      <w:lvlJc w:val="left"/>
      <w:pPr>
        <w:ind w:left="5220" w:hanging="475"/>
      </w:pPr>
      <w:rPr>
        <w:rFonts w:hint="default"/>
        <w:lang w:val="en-US" w:eastAsia="en-US" w:bidi="ar-SA"/>
      </w:rPr>
    </w:lvl>
    <w:lvl w:ilvl="6" w:tplc="B2E230FC">
      <w:numFmt w:val="bullet"/>
      <w:lvlText w:val="•"/>
      <w:lvlJc w:val="left"/>
      <w:pPr>
        <w:ind w:left="6192" w:hanging="475"/>
      </w:pPr>
      <w:rPr>
        <w:rFonts w:hint="default"/>
        <w:lang w:val="en-US" w:eastAsia="en-US" w:bidi="ar-SA"/>
      </w:rPr>
    </w:lvl>
    <w:lvl w:ilvl="7" w:tplc="A906C38E">
      <w:numFmt w:val="bullet"/>
      <w:lvlText w:val="•"/>
      <w:lvlJc w:val="left"/>
      <w:pPr>
        <w:ind w:left="7164" w:hanging="475"/>
      </w:pPr>
      <w:rPr>
        <w:rFonts w:hint="default"/>
        <w:lang w:val="en-US" w:eastAsia="en-US" w:bidi="ar-SA"/>
      </w:rPr>
    </w:lvl>
    <w:lvl w:ilvl="8" w:tplc="C5AE3694">
      <w:numFmt w:val="bullet"/>
      <w:lvlText w:val="•"/>
      <w:lvlJc w:val="left"/>
      <w:pPr>
        <w:ind w:left="8136" w:hanging="475"/>
      </w:pPr>
      <w:rPr>
        <w:rFonts w:hint="default"/>
        <w:lang w:val="en-US" w:eastAsia="en-US" w:bidi="ar-SA"/>
      </w:rPr>
    </w:lvl>
  </w:abstractNum>
  <w:abstractNum w:abstractNumId="53" w15:restartNumberingAfterBreak="0">
    <w:nsid w:val="180C4532"/>
    <w:multiLevelType w:val="multilevel"/>
    <w:tmpl w:val="950085B6"/>
    <w:lvl w:ilvl="0">
      <w:start w:val="8"/>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54" w15:restartNumberingAfterBreak="0">
    <w:nsid w:val="185E7A82"/>
    <w:multiLevelType w:val="hybridMultilevel"/>
    <w:tmpl w:val="61905B12"/>
    <w:lvl w:ilvl="0" w:tplc="5A001D36">
      <w:start w:val="3"/>
      <w:numFmt w:val="lowerRoman"/>
      <w:lvlText w:val="(%1)"/>
      <w:lvlJc w:val="left"/>
      <w:pPr>
        <w:ind w:left="360" w:hanging="543"/>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45C3DBA">
      <w:numFmt w:val="bullet"/>
      <w:lvlText w:val="•"/>
      <w:lvlJc w:val="left"/>
      <w:pPr>
        <w:ind w:left="1332" w:hanging="543"/>
      </w:pPr>
      <w:rPr>
        <w:rFonts w:hint="default"/>
        <w:lang w:val="en-US" w:eastAsia="en-US" w:bidi="ar-SA"/>
      </w:rPr>
    </w:lvl>
    <w:lvl w:ilvl="2" w:tplc="594AE9E2">
      <w:numFmt w:val="bullet"/>
      <w:lvlText w:val="•"/>
      <w:lvlJc w:val="left"/>
      <w:pPr>
        <w:ind w:left="2304" w:hanging="543"/>
      </w:pPr>
      <w:rPr>
        <w:rFonts w:hint="default"/>
        <w:lang w:val="en-US" w:eastAsia="en-US" w:bidi="ar-SA"/>
      </w:rPr>
    </w:lvl>
    <w:lvl w:ilvl="3" w:tplc="4B4CFE68">
      <w:numFmt w:val="bullet"/>
      <w:lvlText w:val="•"/>
      <w:lvlJc w:val="left"/>
      <w:pPr>
        <w:ind w:left="3276" w:hanging="543"/>
      </w:pPr>
      <w:rPr>
        <w:rFonts w:hint="default"/>
        <w:lang w:val="en-US" w:eastAsia="en-US" w:bidi="ar-SA"/>
      </w:rPr>
    </w:lvl>
    <w:lvl w:ilvl="4" w:tplc="9A482198">
      <w:numFmt w:val="bullet"/>
      <w:lvlText w:val="•"/>
      <w:lvlJc w:val="left"/>
      <w:pPr>
        <w:ind w:left="4248" w:hanging="543"/>
      </w:pPr>
      <w:rPr>
        <w:rFonts w:hint="default"/>
        <w:lang w:val="en-US" w:eastAsia="en-US" w:bidi="ar-SA"/>
      </w:rPr>
    </w:lvl>
    <w:lvl w:ilvl="5" w:tplc="48AC4E5E">
      <w:numFmt w:val="bullet"/>
      <w:lvlText w:val="•"/>
      <w:lvlJc w:val="left"/>
      <w:pPr>
        <w:ind w:left="5220" w:hanging="543"/>
      </w:pPr>
      <w:rPr>
        <w:rFonts w:hint="default"/>
        <w:lang w:val="en-US" w:eastAsia="en-US" w:bidi="ar-SA"/>
      </w:rPr>
    </w:lvl>
    <w:lvl w:ilvl="6" w:tplc="DEEC7CF6">
      <w:numFmt w:val="bullet"/>
      <w:lvlText w:val="•"/>
      <w:lvlJc w:val="left"/>
      <w:pPr>
        <w:ind w:left="6192" w:hanging="543"/>
      </w:pPr>
      <w:rPr>
        <w:rFonts w:hint="default"/>
        <w:lang w:val="en-US" w:eastAsia="en-US" w:bidi="ar-SA"/>
      </w:rPr>
    </w:lvl>
    <w:lvl w:ilvl="7" w:tplc="645E04DC">
      <w:numFmt w:val="bullet"/>
      <w:lvlText w:val="•"/>
      <w:lvlJc w:val="left"/>
      <w:pPr>
        <w:ind w:left="7164" w:hanging="543"/>
      </w:pPr>
      <w:rPr>
        <w:rFonts w:hint="default"/>
        <w:lang w:val="en-US" w:eastAsia="en-US" w:bidi="ar-SA"/>
      </w:rPr>
    </w:lvl>
    <w:lvl w:ilvl="8" w:tplc="B8CCE204">
      <w:numFmt w:val="bullet"/>
      <w:lvlText w:val="•"/>
      <w:lvlJc w:val="left"/>
      <w:pPr>
        <w:ind w:left="8136" w:hanging="543"/>
      </w:pPr>
      <w:rPr>
        <w:rFonts w:hint="default"/>
        <w:lang w:val="en-US" w:eastAsia="en-US" w:bidi="ar-SA"/>
      </w:rPr>
    </w:lvl>
  </w:abstractNum>
  <w:abstractNum w:abstractNumId="55" w15:restartNumberingAfterBreak="0">
    <w:nsid w:val="187E5D76"/>
    <w:multiLevelType w:val="multilevel"/>
    <w:tmpl w:val="97262F0A"/>
    <w:lvl w:ilvl="0">
      <w:start w:val="7"/>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56" w15:restartNumberingAfterBreak="0">
    <w:nsid w:val="188144C5"/>
    <w:multiLevelType w:val="hybridMultilevel"/>
    <w:tmpl w:val="E6088274"/>
    <w:lvl w:ilvl="0" w:tplc="17B28B44">
      <w:start w:val="1"/>
      <w:numFmt w:val="upperLetter"/>
      <w:lvlText w:val="%1."/>
      <w:lvlJc w:val="left"/>
      <w:pPr>
        <w:ind w:left="360" w:hanging="36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5A7EEF68">
      <w:start w:val="1"/>
      <w:numFmt w:val="lowerRoman"/>
      <w:lvlText w:val="(%2)"/>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29286230">
      <w:numFmt w:val="bullet"/>
      <w:lvlText w:val="•"/>
      <w:lvlJc w:val="left"/>
      <w:pPr>
        <w:ind w:left="1760" w:hanging="358"/>
      </w:pPr>
      <w:rPr>
        <w:rFonts w:hint="default"/>
        <w:lang w:val="en-US" w:eastAsia="en-US" w:bidi="ar-SA"/>
      </w:rPr>
    </w:lvl>
    <w:lvl w:ilvl="3" w:tplc="41F82AD6">
      <w:numFmt w:val="bullet"/>
      <w:lvlText w:val="•"/>
      <w:lvlJc w:val="left"/>
      <w:pPr>
        <w:ind w:left="2800" w:hanging="358"/>
      </w:pPr>
      <w:rPr>
        <w:rFonts w:hint="default"/>
        <w:lang w:val="en-US" w:eastAsia="en-US" w:bidi="ar-SA"/>
      </w:rPr>
    </w:lvl>
    <w:lvl w:ilvl="4" w:tplc="BDD424E6">
      <w:numFmt w:val="bullet"/>
      <w:lvlText w:val="•"/>
      <w:lvlJc w:val="left"/>
      <w:pPr>
        <w:ind w:left="3840" w:hanging="358"/>
      </w:pPr>
      <w:rPr>
        <w:rFonts w:hint="default"/>
        <w:lang w:val="en-US" w:eastAsia="en-US" w:bidi="ar-SA"/>
      </w:rPr>
    </w:lvl>
    <w:lvl w:ilvl="5" w:tplc="1396CE48">
      <w:numFmt w:val="bullet"/>
      <w:lvlText w:val="•"/>
      <w:lvlJc w:val="left"/>
      <w:pPr>
        <w:ind w:left="4880" w:hanging="358"/>
      </w:pPr>
      <w:rPr>
        <w:rFonts w:hint="default"/>
        <w:lang w:val="en-US" w:eastAsia="en-US" w:bidi="ar-SA"/>
      </w:rPr>
    </w:lvl>
    <w:lvl w:ilvl="6" w:tplc="5C1AB83C">
      <w:numFmt w:val="bullet"/>
      <w:lvlText w:val="•"/>
      <w:lvlJc w:val="left"/>
      <w:pPr>
        <w:ind w:left="5920" w:hanging="358"/>
      </w:pPr>
      <w:rPr>
        <w:rFonts w:hint="default"/>
        <w:lang w:val="en-US" w:eastAsia="en-US" w:bidi="ar-SA"/>
      </w:rPr>
    </w:lvl>
    <w:lvl w:ilvl="7" w:tplc="76980646">
      <w:numFmt w:val="bullet"/>
      <w:lvlText w:val="•"/>
      <w:lvlJc w:val="left"/>
      <w:pPr>
        <w:ind w:left="6960" w:hanging="358"/>
      </w:pPr>
      <w:rPr>
        <w:rFonts w:hint="default"/>
        <w:lang w:val="en-US" w:eastAsia="en-US" w:bidi="ar-SA"/>
      </w:rPr>
    </w:lvl>
    <w:lvl w:ilvl="8" w:tplc="E9784304">
      <w:numFmt w:val="bullet"/>
      <w:lvlText w:val="•"/>
      <w:lvlJc w:val="left"/>
      <w:pPr>
        <w:ind w:left="8000" w:hanging="358"/>
      </w:pPr>
      <w:rPr>
        <w:rFonts w:hint="default"/>
        <w:lang w:val="en-US" w:eastAsia="en-US" w:bidi="ar-SA"/>
      </w:rPr>
    </w:lvl>
  </w:abstractNum>
  <w:abstractNum w:abstractNumId="57" w15:restartNumberingAfterBreak="0">
    <w:nsid w:val="19005896"/>
    <w:multiLevelType w:val="multilevel"/>
    <w:tmpl w:val="94F88B30"/>
    <w:lvl w:ilvl="0">
      <w:start w:val="4"/>
      <w:numFmt w:val="decimal"/>
      <w:lvlText w:val="%1"/>
      <w:lvlJc w:val="left"/>
      <w:pPr>
        <w:ind w:left="360" w:hanging="1054"/>
        <w:jc w:val="left"/>
      </w:pPr>
      <w:rPr>
        <w:rFonts w:hint="default"/>
        <w:lang w:val="en-US" w:eastAsia="en-US" w:bidi="ar-SA"/>
      </w:rPr>
    </w:lvl>
    <w:lvl w:ilvl="1">
      <w:numFmt w:val="decimal"/>
      <w:lvlText w:val="%1.%2"/>
      <w:lvlJc w:val="left"/>
      <w:pPr>
        <w:ind w:left="360" w:hanging="1054"/>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2"/>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58" w15:restartNumberingAfterBreak="0">
    <w:nsid w:val="19394BFA"/>
    <w:multiLevelType w:val="multilevel"/>
    <w:tmpl w:val="0A9EC41E"/>
    <w:lvl w:ilvl="0">
      <w:start w:val="4"/>
      <w:numFmt w:val="decimal"/>
      <w:lvlText w:val="%1"/>
      <w:lvlJc w:val="left"/>
      <w:pPr>
        <w:ind w:left="990" w:hanging="630"/>
        <w:jc w:val="left"/>
      </w:pPr>
      <w:rPr>
        <w:rFonts w:hint="default"/>
        <w:lang w:val="en-US" w:eastAsia="en-US" w:bidi="ar-SA"/>
      </w:rPr>
    </w:lvl>
    <w:lvl w:ilvl="1">
      <w:start w:val="5"/>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59" w15:restartNumberingAfterBreak="0">
    <w:nsid w:val="19963A19"/>
    <w:multiLevelType w:val="hybridMultilevel"/>
    <w:tmpl w:val="11B6B546"/>
    <w:lvl w:ilvl="0" w:tplc="E58830D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22C51D4">
      <w:numFmt w:val="bullet"/>
      <w:lvlText w:val="•"/>
      <w:lvlJc w:val="left"/>
      <w:pPr>
        <w:ind w:left="1710" w:hanging="425"/>
      </w:pPr>
      <w:rPr>
        <w:rFonts w:hint="default"/>
        <w:lang w:val="en-US" w:eastAsia="en-US" w:bidi="ar-SA"/>
      </w:rPr>
    </w:lvl>
    <w:lvl w:ilvl="2" w:tplc="9E885DD4">
      <w:numFmt w:val="bullet"/>
      <w:lvlText w:val="•"/>
      <w:lvlJc w:val="left"/>
      <w:pPr>
        <w:ind w:left="2640" w:hanging="425"/>
      </w:pPr>
      <w:rPr>
        <w:rFonts w:hint="default"/>
        <w:lang w:val="en-US" w:eastAsia="en-US" w:bidi="ar-SA"/>
      </w:rPr>
    </w:lvl>
    <w:lvl w:ilvl="3" w:tplc="E1EEFF0E">
      <w:numFmt w:val="bullet"/>
      <w:lvlText w:val="•"/>
      <w:lvlJc w:val="left"/>
      <w:pPr>
        <w:ind w:left="3570" w:hanging="425"/>
      </w:pPr>
      <w:rPr>
        <w:rFonts w:hint="default"/>
        <w:lang w:val="en-US" w:eastAsia="en-US" w:bidi="ar-SA"/>
      </w:rPr>
    </w:lvl>
    <w:lvl w:ilvl="4" w:tplc="53BCB744">
      <w:numFmt w:val="bullet"/>
      <w:lvlText w:val="•"/>
      <w:lvlJc w:val="left"/>
      <w:pPr>
        <w:ind w:left="4500" w:hanging="425"/>
      </w:pPr>
      <w:rPr>
        <w:rFonts w:hint="default"/>
        <w:lang w:val="en-US" w:eastAsia="en-US" w:bidi="ar-SA"/>
      </w:rPr>
    </w:lvl>
    <w:lvl w:ilvl="5" w:tplc="1F7893EE">
      <w:numFmt w:val="bullet"/>
      <w:lvlText w:val="•"/>
      <w:lvlJc w:val="left"/>
      <w:pPr>
        <w:ind w:left="5430" w:hanging="425"/>
      </w:pPr>
      <w:rPr>
        <w:rFonts w:hint="default"/>
        <w:lang w:val="en-US" w:eastAsia="en-US" w:bidi="ar-SA"/>
      </w:rPr>
    </w:lvl>
    <w:lvl w:ilvl="6" w:tplc="816A44CA">
      <w:numFmt w:val="bullet"/>
      <w:lvlText w:val="•"/>
      <w:lvlJc w:val="left"/>
      <w:pPr>
        <w:ind w:left="6360" w:hanging="425"/>
      </w:pPr>
      <w:rPr>
        <w:rFonts w:hint="default"/>
        <w:lang w:val="en-US" w:eastAsia="en-US" w:bidi="ar-SA"/>
      </w:rPr>
    </w:lvl>
    <w:lvl w:ilvl="7" w:tplc="660E7D9C">
      <w:numFmt w:val="bullet"/>
      <w:lvlText w:val="•"/>
      <w:lvlJc w:val="left"/>
      <w:pPr>
        <w:ind w:left="7290" w:hanging="425"/>
      </w:pPr>
      <w:rPr>
        <w:rFonts w:hint="default"/>
        <w:lang w:val="en-US" w:eastAsia="en-US" w:bidi="ar-SA"/>
      </w:rPr>
    </w:lvl>
    <w:lvl w:ilvl="8" w:tplc="6D90B116">
      <w:numFmt w:val="bullet"/>
      <w:lvlText w:val="•"/>
      <w:lvlJc w:val="left"/>
      <w:pPr>
        <w:ind w:left="8220" w:hanging="425"/>
      </w:pPr>
      <w:rPr>
        <w:rFonts w:hint="default"/>
        <w:lang w:val="en-US" w:eastAsia="en-US" w:bidi="ar-SA"/>
      </w:rPr>
    </w:lvl>
  </w:abstractNum>
  <w:abstractNum w:abstractNumId="60" w15:restartNumberingAfterBreak="0">
    <w:nsid w:val="1A9C7A60"/>
    <w:multiLevelType w:val="multilevel"/>
    <w:tmpl w:val="16CE3E22"/>
    <w:lvl w:ilvl="0">
      <w:start w:val="6"/>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2"/>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61" w15:restartNumberingAfterBreak="0">
    <w:nsid w:val="1AC953A5"/>
    <w:multiLevelType w:val="hybridMultilevel"/>
    <w:tmpl w:val="71C6371C"/>
    <w:lvl w:ilvl="0" w:tplc="99002AB8">
      <w:start w:val="1"/>
      <w:numFmt w:val="decimal"/>
      <w:lvlText w:val="(%1)"/>
      <w:lvlJc w:val="left"/>
      <w:pPr>
        <w:ind w:left="360" w:hanging="46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47B666FE">
      <w:numFmt w:val="bullet"/>
      <w:lvlText w:val="•"/>
      <w:lvlJc w:val="left"/>
      <w:pPr>
        <w:ind w:left="1332" w:hanging="460"/>
      </w:pPr>
      <w:rPr>
        <w:rFonts w:hint="default"/>
        <w:lang w:val="en-US" w:eastAsia="en-US" w:bidi="ar-SA"/>
      </w:rPr>
    </w:lvl>
    <w:lvl w:ilvl="2" w:tplc="9614F764">
      <w:numFmt w:val="bullet"/>
      <w:lvlText w:val="•"/>
      <w:lvlJc w:val="left"/>
      <w:pPr>
        <w:ind w:left="2304" w:hanging="460"/>
      </w:pPr>
      <w:rPr>
        <w:rFonts w:hint="default"/>
        <w:lang w:val="en-US" w:eastAsia="en-US" w:bidi="ar-SA"/>
      </w:rPr>
    </w:lvl>
    <w:lvl w:ilvl="3" w:tplc="83F01982">
      <w:numFmt w:val="bullet"/>
      <w:lvlText w:val="•"/>
      <w:lvlJc w:val="left"/>
      <w:pPr>
        <w:ind w:left="3276" w:hanging="460"/>
      </w:pPr>
      <w:rPr>
        <w:rFonts w:hint="default"/>
        <w:lang w:val="en-US" w:eastAsia="en-US" w:bidi="ar-SA"/>
      </w:rPr>
    </w:lvl>
    <w:lvl w:ilvl="4" w:tplc="F7E8090C">
      <w:numFmt w:val="bullet"/>
      <w:lvlText w:val="•"/>
      <w:lvlJc w:val="left"/>
      <w:pPr>
        <w:ind w:left="4248" w:hanging="460"/>
      </w:pPr>
      <w:rPr>
        <w:rFonts w:hint="default"/>
        <w:lang w:val="en-US" w:eastAsia="en-US" w:bidi="ar-SA"/>
      </w:rPr>
    </w:lvl>
    <w:lvl w:ilvl="5" w:tplc="8F88C87E">
      <w:numFmt w:val="bullet"/>
      <w:lvlText w:val="•"/>
      <w:lvlJc w:val="left"/>
      <w:pPr>
        <w:ind w:left="5220" w:hanging="460"/>
      </w:pPr>
      <w:rPr>
        <w:rFonts w:hint="default"/>
        <w:lang w:val="en-US" w:eastAsia="en-US" w:bidi="ar-SA"/>
      </w:rPr>
    </w:lvl>
    <w:lvl w:ilvl="6" w:tplc="05D0620C">
      <w:numFmt w:val="bullet"/>
      <w:lvlText w:val="•"/>
      <w:lvlJc w:val="left"/>
      <w:pPr>
        <w:ind w:left="6192" w:hanging="460"/>
      </w:pPr>
      <w:rPr>
        <w:rFonts w:hint="default"/>
        <w:lang w:val="en-US" w:eastAsia="en-US" w:bidi="ar-SA"/>
      </w:rPr>
    </w:lvl>
    <w:lvl w:ilvl="7" w:tplc="F780A804">
      <w:numFmt w:val="bullet"/>
      <w:lvlText w:val="•"/>
      <w:lvlJc w:val="left"/>
      <w:pPr>
        <w:ind w:left="7164" w:hanging="460"/>
      </w:pPr>
      <w:rPr>
        <w:rFonts w:hint="default"/>
        <w:lang w:val="en-US" w:eastAsia="en-US" w:bidi="ar-SA"/>
      </w:rPr>
    </w:lvl>
    <w:lvl w:ilvl="8" w:tplc="2CC0387A">
      <w:numFmt w:val="bullet"/>
      <w:lvlText w:val="•"/>
      <w:lvlJc w:val="left"/>
      <w:pPr>
        <w:ind w:left="8136" w:hanging="460"/>
      </w:pPr>
      <w:rPr>
        <w:rFonts w:hint="default"/>
        <w:lang w:val="en-US" w:eastAsia="en-US" w:bidi="ar-SA"/>
      </w:rPr>
    </w:lvl>
  </w:abstractNum>
  <w:abstractNum w:abstractNumId="62" w15:restartNumberingAfterBreak="0">
    <w:nsid w:val="1AFC68E7"/>
    <w:multiLevelType w:val="hybridMultilevel"/>
    <w:tmpl w:val="741CC7D8"/>
    <w:lvl w:ilvl="0" w:tplc="5890FFEA">
      <w:start w:val="1"/>
      <w:numFmt w:val="upperLetter"/>
      <w:lvlText w:val="(%1)"/>
      <w:lvlJc w:val="left"/>
      <w:pPr>
        <w:ind w:left="720" w:hanging="50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5C685526">
      <w:numFmt w:val="bullet"/>
      <w:lvlText w:val="•"/>
      <w:lvlJc w:val="left"/>
      <w:pPr>
        <w:ind w:left="1656" w:hanging="509"/>
      </w:pPr>
      <w:rPr>
        <w:rFonts w:hint="default"/>
        <w:lang w:val="en-US" w:eastAsia="en-US" w:bidi="ar-SA"/>
      </w:rPr>
    </w:lvl>
    <w:lvl w:ilvl="2" w:tplc="209C8832">
      <w:numFmt w:val="bullet"/>
      <w:lvlText w:val="•"/>
      <w:lvlJc w:val="left"/>
      <w:pPr>
        <w:ind w:left="2592" w:hanging="509"/>
      </w:pPr>
      <w:rPr>
        <w:rFonts w:hint="default"/>
        <w:lang w:val="en-US" w:eastAsia="en-US" w:bidi="ar-SA"/>
      </w:rPr>
    </w:lvl>
    <w:lvl w:ilvl="3" w:tplc="86584632">
      <w:numFmt w:val="bullet"/>
      <w:lvlText w:val="•"/>
      <w:lvlJc w:val="left"/>
      <w:pPr>
        <w:ind w:left="3528" w:hanging="509"/>
      </w:pPr>
      <w:rPr>
        <w:rFonts w:hint="default"/>
        <w:lang w:val="en-US" w:eastAsia="en-US" w:bidi="ar-SA"/>
      </w:rPr>
    </w:lvl>
    <w:lvl w:ilvl="4" w:tplc="38F69AC0">
      <w:numFmt w:val="bullet"/>
      <w:lvlText w:val="•"/>
      <w:lvlJc w:val="left"/>
      <w:pPr>
        <w:ind w:left="4464" w:hanging="509"/>
      </w:pPr>
      <w:rPr>
        <w:rFonts w:hint="default"/>
        <w:lang w:val="en-US" w:eastAsia="en-US" w:bidi="ar-SA"/>
      </w:rPr>
    </w:lvl>
    <w:lvl w:ilvl="5" w:tplc="20502030">
      <w:numFmt w:val="bullet"/>
      <w:lvlText w:val="•"/>
      <w:lvlJc w:val="left"/>
      <w:pPr>
        <w:ind w:left="5400" w:hanging="509"/>
      </w:pPr>
      <w:rPr>
        <w:rFonts w:hint="default"/>
        <w:lang w:val="en-US" w:eastAsia="en-US" w:bidi="ar-SA"/>
      </w:rPr>
    </w:lvl>
    <w:lvl w:ilvl="6" w:tplc="31D66732">
      <w:numFmt w:val="bullet"/>
      <w:lvlText w:val="•"/>
      <w:lvlJc w:val="left"/>
      <w:pPr>
        <w:ind w:left="6336" w:hanging="509"/>
      </w:pPr>
      <w:rPr>
        <w:rFonts w:hint="default"/>
        <w:lang w:val="en-US" w:eastAsia="en-US" w:bidi="ar-SA"/>
      </w:rPr>
    </w:lvl>
    <w:lvl w:ilvl="7" w:tplc="603688A4">
      <w:numFmt w:val="bullet"/>
      <w:lvlText w:val="•"/>
      <w:lvlJc w:val="left"/>
      <w:pPr>
        <w:ind w:left="7272" w:hanging="509"/>
      </w:pPr>
      <w:rPr>
        <w:rFonts w:hint="default"/>
        <w:lang w:val="en-US" w:eastAsia="en-US" w:bidi="ar-SA"/>
      </w:rPr>
    </w:lvl>
    <w:lvl w:ilvl="8" w:tplc="6AB633A4">
      <w:numFmt w:val="bullet"/>
      <w:lvlText w:val="•"/>
      <w:lvlJc w:val="left"/>
      <w:pPr>
        <w:ind w:left="8208" w:hanging="509"/>
      </w:pPr>
      <w:rPr>
        <w:rFonts w:hint="default"/>
        <w:lang w:val="en-US" w:eastAsia="en-US" w:bidi="ar-SA"/>
      </w:rPr>
    </w:lvl>
  </w:abstractNum>
  <w:abstractNum w:abstractNumId="63" w15:restartNumberingAfterBreak="0">
    <w:nsid w:val="1CF04ABE"/>
    <w:multiLevelType w:val="multilevel"/>
    <w:tmpl w:val="2E42EA20"/>
    <w:lvl w:ilvl="0">
      <w:start w:val="2"/>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64" w15:restartNumberingAfterBreak="0">
    <w:nsid w:val="1D381951"/>
    <w:multiLevelType w:val="multilevel"/>
    <w:tmpl w:val="BE740D48"/>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865"/>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017" w:hanging="865"/>
      </w:pPr>
      <w:rPr>
        <w:rFonts w:hint="default"/>
        <w:lang w:val="en-US" w:eastAsia="en-US" w:bidi="ar-SA"/>
      </w:rPr>
    </w:lvl>
    <w:lvl w:ilvl="4">
      <w:numFmt w:val="bullet"/>
      <w:lvlText w:val="•"/>
      <w:lvlJc w:val="left"/>
      <w:pPr>
        <w:ind w:left="4026" w:hanging="865"/>
      </w:pPr>
      <w:rPr>
        <w:rFonts w:hint="default"/>
        <w:lang w:val="en-US" w:eastAsia="en-US" w:bidi="ar-SA"/>
      </w:rPr>
    </w:lvl>
    <w:lvl w:ilvl="5">
      <w:numFmt w:val="bullet"/>
      <w:lvlText w:val="•"/>
      <w:lvlJc w:val="left"/>
      <w:pPr>
        <w:ind w:left="5035" w:hanging="865"/>
      </w:pPr>
      <w:rPr>
        <w:rFonts w:hint="default"/>
        <w:lang w:val="en-US" w:eastAsia="en-US" w:bidi="ar-SA"/>
      </w:rPr>
    </w:lvl>
    <w:lvl w:ilvl="6">
      <w:numFmt w:val="bullet"/>
      <w:lvlText w:val="•"/>
      <w:lvlJc w:val="left"/>
      <w:pPr>
        <w:ind w:left="6044" w:hanging="865"/>
      </w:pPr>
      <w:rPr>
        <w:rFonts w:hint="default"/>
        <w:lang w:val="en-US" w:eastAsia="en-US" w:bidi="ar-SA"/>
      </w:rPr>
    </w:lvl>
    <w:lvl w:ilvl="7">
      <w:numFmt w:val="bullet"/>
      <w:lvlText w:val="•"/>
      <w:lvlJc w:val="left"/>
      <w:pPr>
        <w:ind w:left="7053" w:hanging="865"/>
      </w:pPr>
      <w:rPr>
        <w:rFonts w:hint="default"/>
        <w:lang w:val="en-US" w:eastAsia="en-US" w:bidi="ar-SA"/>
      </w:rPr>
    </w:lvl>
    <w:lvl w:ilvl="8">
      <w:numFmt w:val="bullet"/>
      <w:lvlText w:val="•"/>
      <w:lvlJc w:val="left"/>
      <w:pPr>
        <w:ind w:left="8062" w:hanging="865"/>
      </w:pPr>
      <w:rPr>
        <w:rFonts w:hint="default"/>
        <w:lang w:val="en-US" w:eastAsia="en-US" w:bidi="ar-SA"/>
      </w:rPr>
    </w:lvl>
  </w:abstractNum>
  <w:abstractNum w:abstractNumId="65" w15:restartNumberingAfterBreak="0">
    <w:nsid w:val="1E2102EB"/>
    <w:multiLevelType w:val="multilevel"/>
    <w:tmpl w:val="62B40EF2"/>
    <w:lvl w:ilvl="0">
      <w:start w:val="2"/>
      <w:numFmt w:val="decimal"/>
      <w:lvlText w:val="%1"/>
      <w:lvlJc w:val="left"/>
      <w:pPr>
        <w:ind w:left="2516" w:hanging="1050"/>
        <w:jc w:val="left"/>
      </w:pPr>
      <w:rPr>
        <w:rFonts w:hint="default"/>
        <w:lang w:val="en-US" w:eastAsia="en-US" w:bidi="ar-SA"/>
      </w:rPr>
    </w:lvl>
    <w:lvl w:ilvl="1">
      <w:numFmt w:val="decimal"/>
      <w:lvlText w:val="%1.%2"/>
      <w:lvlJc w:val="left"/>
      <w:pPr>
        <w:ind w:left="2516"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4032" w:hanging="1050"/>
      </w:pPr>
      <w:rPr>
        <w:rFonts w:hint="default"/>
        <w:lang w:val="en-US" w:eastAsia="en-US" w:bidi="ar-SA"/>
      </w:rPr>
    </w:lvl>
    <w:lvl w:ilvl="3">
      <w:numFmt w:val="bullet"/>
      <w:lvlText w:val="•"/>
      <w:lvlJc w:val="left"/>
      <w:pPr>
        <w:ind w:left="4788" w:hanging="1050"/>
      </w:pPr>
      <w:rPr>
        <w:rFonts w:hint="default"/>
        <w:lang w:val="en-US" w:eastAsia="en-US" w:bidi="ar-SA"/>
      </w:rPr>
    </w:lvl>
    <w:lvl w:ilvl="4">
      <w:numFmt w:val="bullet"/>
      <w:lvlText w:val="•"/>
      <w:lvlJc w:val="left"/>
      <w:pPr>
        <w:ind w:left="5544" w:hanging="1050"/>
      </w:pPr>
      <w:rPr>
        <w:rFonts w:hint="default"/>
        <w:lang w:val="en-US" w:eastAsia="en-US" w:bidi="ar-SA"/>
      </w:rPr>
    </w:lvl>
    <w:lvl w:ilvl="5">
      <w:numFmt w:val="bullet"/>
      <w:lvlText w:val="•"/>
      <w:lvlJc w:val="left"/>
      <w:pPr>
        <w:ind w:left="6300" w:hanging="1050"/>
      </w:pPr>
      <w:rPr>
        <w:rFonts w:hint="default"/>
        <w:lang w:val="en-US" w:eastAsia="en-US" w:bidi="ar-SA"/>
      </w:rPr>
    </w:lvl>
    <w:lvl w:ilvl="6">
      <w:numFmt w:val="bullet"/>
      <w:lvlText w:val="•"/>
      <w:lvlJc w:val="left"/>
      <w:pPr>
        <w:ind w:left="7056" w:hanging="1050"/>
      </w:pPr>
      <w:rPr>
        <w:rFonts w:hint="default"/>
        <w:lang w:val="en-US" w:eastAsia="en-US" w:bidi="ar-SA"/>
      </w:rPr>
    </w:lvl>
    <w:lvl w:ilvl="7">
      <w:numFmt w:val="bullet"/>
      <w:lvlText w:val="•"/>
      <w:lvlJc w:val="left"/>
      <w:pPr>
        <w:ind w:left="7812" w:hanging="1050"/>
      </w:pPr>
      <w:rPr>
        <w:rFonts w:hint="default"/>
        <w:lang w:val="en-US" w:eastAsia="en-US" w:bidi="ar-SA"/>
      </w:rPr>
    </w:lvl>
    <w:lvl w:ilvl="8">
      <w:numFmt w:val="bullet"/>
      <w:lvlText w:val="•"/>
      <w:lvlJc w:val="left"/>
      <w:pPr>
        <w:ind w:left="8568" w:hanging="1050"/>
      </w:pPr>
      <w:rPr>
        <w:rFonts w:hint="default"/>
        <w:lang w:val="en-US" w:eastAsia="en-US" w:bidi="ar-SA"/>
      </w:rPr>
    </w:lvl>
  </w:abstractNum>
  <w:abstractNum w:abstractNumId="66" w15:restartNumberingAfterBreak="0">
    <w:nsid w:val="1EB95B64"/>
    <w:multiLevelType w:val="hybridMultilevel"/>
    <w:tmpl w:val="936E8C92"/>
    <w:lvl w:ilvl="0" w:tplc="4C30481E">
      <w:start w:val="1"/>
      <w:numFmt w:val="lowerLetter"/>
      <w:lvlText w:val="(%1)"/>
      <w:lvlJc w:val="left"/>
      <w:pPr>
        <w:ind w:left="720" w:hanging="40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DA2FCD4">
      <w:start w:val="1"/>
      <w:numFmt w:val="lowerRoman"/>
      <w:lvlText w:val="(%2)"/>
      <w:lvlJc w:val="left"/>
      <w:pPr>
        <w:ind w:left="360" w:hanging="47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0C521AD4">
      <w:numFmt w:val="bullet"/>
      <w:lvlText w:val="•"/>
      <w:lvlJc w:val="left"/>
      <w:pPr>
        <w:ind w:left="1760" w:hanging="477"/>
      </w:pPr>
      <w:rPr>
        <w:rFonts w:hint="default"/>
        <w:lang w:val="en-US" w:eastAsia="en-US" w:bidi="ar-SA"/>
      </w:rPr>
    </w:lvl>
    <w:lvl w:ilvl="3" w:tplc="91B8CFCA">
      <w:numFmt w:val="bullet"/>
      <w:lvlText w:val="•"/>
      <w:lvlJc w:val="left"/>
      <w:pPr>
        <w:ind w:left="2800" w:hanging="477"/>
      </w:pPr>
      <w:rPr>
        <w:rFonts w:hint="default"/>
        <w:lang w:val="en-US" w:eastAsia="en-US" w:bidi="ar-SA"/>
      </w:rPr>
    </w:lvl>
    <w:lvl w:ilvl="4" w:tplc="F5B8551E">
      <w:numFmt w:val="bullet"/>
      <w:lvlText w:val="•"/>
      <w:lvlJc w:val="left"/>
      <w:pPr>
        <w:ind w:left="3840" w:hanging="477"/>
      </w:pPr>
      <w:rPr>
        <w:rFonts w:hint="default"/>
        <w:lang w:val="en-US" w:eastAsia="en-US" w:bidi="ar-SA"/>
      </w:rPr>
    </w:lvl>
    <w:lvl w:ilvl="5" w:tplc="F47E10CA">
      <w:numFmt w:val="bullet"/>
      <w:lvlText w:val="•"/>
      <w:lvlJc w:val="left"/>
      <w:pPr>
        <w:ind w:left="4880" w:hanging="477"/>
      </w:pPr>
      <w:rPr>
        <w:rFonts w:hint="default"/>
        <w:lang w:val="en-US" w:eastAsia="en-US" w:bidi="ar-SA"/>
      </w:rPr>
    </w:lvl>
    <w:lvl w:ilvl="6" w:tplc="88082046">
      <w:numFmt w:val="bullet"/>
      <w:lvlText w:val="•"/>
      <w:lvlJc w:val="left"/>
      <w:pPr>
        <w:ind w:left="5920" w:hanging="477"/>
      </w:pPr>
      <w:rPr>
        <w:rFonts w:hint="default"/>
        <w:lang w:val="en-US" w:eastAsia="en-US" w:bidi="ar-SA"/>
      </w:rPr>
    </w:lvl>
    <w:lvl w:ilvl="7" w:tplc="95F697CE">
      <w:numFmt w:val="bullet"/>
      <w:lvlText w:val="•"/>
      <w:lvlJc w:val="left"/>
      <w:pPr>
        <w:ind w:left="6960" w:hanging="477"/>
      </w:pPr>
      <w:rPr>
        <w:rFonts w:hint="default"/>
        <w:lang w:val="en-US" w:eastAsia="en-US" w:bidi="ar-SA"/>
      </w:rPr>
    </w:lvl>
    <w:lvl w:ilvl="8" w:tplc="623E5E98">
      <w:numFmt w:val="bullet"/>
      <w:lvlText w:val="•"/>
      <w:lvlJc w:val="left"/>
      <w:pPr>
        <w:ind w:left="8000" w:hanging="477"/>
      </w:pPr>
      <w:rPr>
        <w:rFonts w:hint="default"/>
        <w:lang w:val="en-US" w:eastAsia="en-US" w:bidi="ar-SA"/>
      </w:rPr>
    </w:lvl>
  </w:abstractNum>
  <w:abstractNum w:abstractNumId="67" w15:restartNumberingAfterBreak="0">
    <w:nsid w:val="1ED464BC"/>
    <w:multiLevelType w:val="multilevel"/>
    <w:tmpl w:val="9AA66E0E"/>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68" w15:restartNumberingAfterBreak="0">
    <w:nsid w:val="1F4A1141"/>
    <w:multiLevelType w:val="hybridMultilevel"/>
    <w:tmpl w:val="4A46C400"/>
    <w:lvl w:ilvl="0" w:tplc="C7F0BDDA">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CE627CE">
      <w:start w:val="1"/>
      <w:numFmt w:val="lowerLetter"/>
      <w:lvlText w:val="(%2)"/>
      <w:lvlJc w:val="left"/>
      <w:pPr>
        <w:ind w:left="767"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83D057E4">
      <w:numFmt w:val="bullet"/>
      <w:lvlText w:val="•"/>
      <w:lvlJc w:val="left"/>
      <w:pPr>
        <w:ind w:left="1813" w:hanging="408"/>
      </w:pPr>
      <w:rPr>
        <w:rFonts w:hint="default"/>
        <w:lang w:val="en-US" w:eastAsia="en-US" w:bidi="ar-SA"/>
      </w:rPr>
    </w:lvl>
    <w:lvl w:ilvl="3" w:tplc="5D9CB6BA">
      <w:numFmt w:val="bullet"/>
      <w:lvlText w:val="•"/>
      <w:lvlJc w:val="left"/>
      <w:pPr>
        <w:ind w:left="2846" w:hanging="408"/>
      </w:pPr>
      <w:rPr>
        <w:rFonts w:hint="default"/>
        <w:lang w:val="en-US" w:eastAsia="en-US" w:bidi="ar-SA"/>
      </w:rPr>
    </w:lvl>
    <w:lvl w:ilvl="4" w:tplc="A99A0F7C">
      <w:numFmt w:val="bullet"/>
      <w:lvlText w:val="•"/>
      <w:lvlJc w:val="left"/>
      <w:pPr>
        <w:ind w:left="3880" w:hanging="408"/>
      </w:pPr>
      <w:rPr>
        <w:rFonts w:hint="default"/>
        <w:lang w:val="en-US" w:eastAsia="en-US" w:bidi="ar-SA"/>
      </w:rPr>
    </w:lvl>
    <w:lvl w:ilvl="5" w:tplc="54B63D22">
      <w:numFmt w:val="bullet"/>
      <w:lvlText w:val="•"/>
      <w:lvlJc w:val="left"/>
      <w:pPr>
        <w:ind w:left="4913" w:hanging="408"/>
      </w:pPr>
      <w:rPr>
        <w:rFonts w:hint="default"/>
        <w:lang w:val="en-US" w:eastAsia="en-US" w:bidi="ar-SA"/>
      </w:rPr>
    </w:lvl>
    <w:lvl w:ilvl="6" w:tplc="C9624F24">
      <w:numFmt w:val="bullet"/>
      <w:lvlText w:val="•"/>
      <w:lvlJc w:val="left"/>
      <w:pPr>
        <w:ind w:left="5946" w:hanging="408"/>
      </w:pPr>
      <w:rPr>
        <w:rFonts w:hint="default"/>
        <w:lang w:val="en-US" w:eastAsia="en-US" w:bidi="ar-SA"/>
      </w:rPr>
    </w:lvl>
    <w:lvl w:ilvl="7" w:tplc="A1D621AE">
      <w:numFmt w:val="bullet"/>
      <w:lvlText w:val="•"/>
      <w:lvlJc w:val="left"/>
      <w:pPr>
        <w:ind w:left="6980" w:hanging="408"/>
      </w:pPr>
      <w:rPr>
        <w:rFonts w:hint="default"/>
        <w:lang w:val="en-US" w:eastAsia="en-US" w:bidi="ar-SA"/>
      </w:rPr>
    </w:lvl>
    <w:lvl w:ilvl="8" w:tplc="71C64F86">
      <w:numFmt w:val="bullet"/>
      <w:lvlText w:val="•"/>
      <w:lvlJc w:val="left"/>
      <w:pPr>
        <w:ind w:left="8013" w:hanging="408"/>
      </w:pPr>
      <w:rPr>
        <w:rFonts w:hint="default"/>
        <w:lang w:val="en-US" w:eastAsia="en-US" w:bidi="ar-SA"/>
      </w:rPr>
    </w:lvl>
  </w:abstractNum>
  <w:abstractNum w:abstractNumId="69" w15:restartNumberingAfterBreak="0">
    <w:nsid w:val="1FDF6A46"/>
    <w:multiLevelType w:val="hybridMultilevel"/>
    <w:tmpl w:val="BE26735A"/>
    <w:lvl w:ilvl="0" w:tplc="BD8A128E">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550ADAD4">
      <w:numFmt w:val="bullet"/>
      <w:lvlText w:val="•"/>
      <w:lvlJc w:val="left"/>
      <w:pPr>
        <w:ind w:left="1656" w:hanging="358"/>
      </w:pPr>
      <w:rPr>
        <w:rFonts w:hint="default"/>
        <w:lang w:val="en-US" w:eastAsia="en-US" w:bidi="ar-SA"/>
      </w:rPr>
    </w:lvl>
    <w:lvl w:ilvl="2" w:tplc="8D1E186E">
      <w:numFmt w:val="bullet"/>
      <w:lvlText w:val="•"/>
      <w:lvlJc w:val="left"/>
      <w:pPr>
        <w:ind w:left="2592" w:hanging="358"/>
      </w:pPr>
      <w:rPr>
        <w:rFonts w:hint="default"/>
        <w:lang w:val="en-US" w:eastAsia="en-US" w:bidi="ar-SA"/>
      </w:rPr>
    </w:lvl>
    <w:lvl w:ilvl="3" w:tplc="9A401770">
      <w:numFmt w:val="bullet"/>
      <w:lvlText w:val="•"/>
      <w:lvlJc w:val="left"/>
      <w:pPr>
        <w:ind w:left="3528" w:hanging="358"/>
      </w:pPr>
      <w:rPr>
        <w:rFonts w:hint="default"/>
        <w:lang w:val="en-US" w:eastAsia="en-US" w:bidi="ar-SA"/>
      </w:rPr>
    </w:lvl>
    <w:lvl w:ilvl="4" w:tplc="987AF80A">
      <w:numFmt w:val="bullet"/>
      <w:lvlText w:val="•"/>
      <w:lvlJc w:val="left"/>
      <w:pPr>
        <w:ind w:left="4464" w:hanging="358"/>
      </w:pPr>
      <w:rPr>
        <w:rFonts w:hint="default"/>
        <w:lang w:val="en-US" w:eastAsia="en-US" w:bidi="ar-SA"/>
      </w:rPr>
    </w:lvl>
    <w:lvl w:ilvl="5" w:tplc="4A6A54A0">
      <w:numFmt w:val="bullet"/>
      <w:lvlText w:val="•"/>
      <w:lvlJc w:val="left"/>
      <w:pPr>
        <w:ind w:left="5400" w:hanging="358"/>
      </w:pPr>
      <w:rPr>
        <w:rFonts w:hint="default"/>
        <w:lang w:val="en-US" w:eastAsia="en-US" w:bidi="ar-SA"/>
      </w:rPr>
    </w:lvl>
    <w:lvl w:ilvl="6" w:tplc="051A095A">
      <w:numFmt w:val="bullet"/>
      <w:lvlText w:val="•"/>
      <w:lvlJc w:val="left"/>
      <w:pPr>
        <w:ind w:left="6336" w:hanging="358"/>
      </w:pPr>
      <w:rPr>
        <w:rFonts w:hint="default"/>
        <w:lang w:val="en-US" w:eastAsia="en-US" w:bidi="ar-SA"/>
      </w:rPr>
    </w:lvl>
    <w:lvl w:ilvl="7" w:tplc="24C64AE6">
      <w:numFmt w:val="bullet"/>
      <w:lvlText w:val="•"/>
      <w:lvlJc w:val="left"/>
      <w:pPr>
        <w:ind w:left="7272" w:hanging="358"/>
      </w:pPr>
      <w:rPr>
        <w:rFonts w:hint="default"/>
        <w:lang w:val="en-US" w:eastAsia="en-US" w:bidi="ar-SA"/>
      </w:rPr>
    </w:lvl>
    <w:lvl w:ilvl="8" w:tplc="E5128A66">
      <w:numFmt w:val="bullet"/>
      <w:lvlText w:val="•"/>
      <w:lvlJc w:val="left"/>
      <w:pPr>
        <w:ind w:left="8208" w:hanging="358"/>
      </w:pPr>
      <w:rPr>
        <w:rFonts w:hint="default"/>
        <w:lang w:val="en-US" w:eastAsia="en-US" w:bidi="ar-SA"/>
      </w:rPr>
    </w:lvl>
  </w:abstractNum>
  <w:abstractNum w:abstractNumId="70" w15:restartNumberingAfterBreak="0">
    <w:nsid w:val="202C69DB"/>
    <w:multiLevelType w:val="hybridMultilevel"/>
    <w:tmpl w:val="8A686304"/>
    <w:lvl w:ilvl="0" w:tplc="1F4ADE26">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10097BC">
      <w:numFmt w:val="bullet"/>
      <w:lvlText w:val="•"/>
      <w:lvlJc w:val="left"/>
      <w:pPr>
        <w:ind w:left="1332" w:hanging="425"/>
      </w:pPr>
      <w:rPr>
        <w:rFonts w:hint="default"/>
        <w:lang w:val="en-US" w:eastAsia="en-US" w:bidi="ar-SA"/>
      </w:rPr>
    </w:lvl>
    <w:lvl w:ilvl="2" w:tplc="783AEAFA">
      <w:numFmt w:val="bullet"/>
      <w:lvlText w:val="•"/>
      <w:lvlJc w:val="left"/>
      <w:pPr>
        <w:ind w:left="2304" w:hanging="425"/>
      </w:pPr>
      <w:rPr>
        <w:rFonts w:hint="default"/>
        <w:lang w:val="en-US" w:eastAsia="en-US" w:bidi="ar-SA"/>
      </w:rPr>
    </w:lvl>
    <w:lvl w:ilvl="3" w:tplc="27348408">
      <w:numFmt w:val="bullet"/>
      <w:lvlText w:val="•"/>
      <w:lvlJc w:val="left"/>
      <w:pPr>
        <w:ind w:left="3276" w:hanging="425"/>
      </w:pPr>
      <w:rPr>
        <w:rFonts w:hint="default"/>
        <w:lang w:val="en-US" w:eastAsia="en-US" w:bidi="ar-SA"/>
      </w:rPr>
    </w:lvl>
    <w:lvl w:ilvl="4" w:tplc="B01E183A">
      <w:numFmt w:val="bullet"/>
      <w:lvlText w:val="•"/>
      <w:lvlJc w:val="left"/>
      <w:pPr>
        <w:ind w:left="4248" w:hanging="425"/>
      </w:pPr>
      <w:rPr>
        <w:rFonts w:hint="default"/>
        <w:lang w:val="en-US" w:eastAsia="en-US" w:bidi="ar-SA"/>
      </w:rPr>
    </w:lvl>
    <w:lvl w:ilvl="5" w:tplc="C61C9242">
      <w:numFmt w:val="bullet"/>
      <w:lvlText w:val="•"/>
      <w:lvlJc w:val="left"/>
      <w:pPr>
        <w:ind w:left="5220" w:hanging="425"/>
      </w:pPr>
      <w:rPr>
        <w:rFonts w:hint="default"/>
        <w:lang w:val="en-US" w:eastAsia="en-US" w:bidi="ar-SA"/>
      </w:rPr>
    </w:lvl>
    <w:lvl w:ilvl="6" w:tplc="861A0074">
      <w:numFmt w:val="bullet"/>
      <w:lvlText w:val="•"/>
      <w:lvlJc w:val="left"/>
      <w:pPr>
        <w:ind w:left="6192" w:hanging="425"/>
      </w:pPr>
      <w:rPr>
        <w:rFonts w:hint="default"/>
        <w:lang w:val="en-US" w:eastAsia="en-US" w:bidi="ar-SA"/>
      </w:rPr>
    </w:lvl>
    <w:lvl w:ilvl="7" w:tplc="B9F439D6">
      <w:numFmt w:val="bullet"/>
      <w:lvlText w:val="•"/>
      <w:lvlJc w:val="left"/>
      <w:pPr>
        <w:ind w:left="7164" w:hanging="425"/>
      </w:pPr>
      <w:rPr>
        <w:rFonts w:hint="default"/>
        <w:lang w:val="en-US" w:eastAsia="en-US" w:bidi="ar-SA"/>
      </w:rPr>
    </w:lvl>
    <w:lvl w:ilvl="8" w:tplc="1D28F5BC">
      <w:numFmt w:val="bullet"/>
      <w:lvlText w:val="•"/>
      <w:lvlJc w:val="left"/>
      <w:pPr>
        <w:ind w:left="8136" w:hanging="425"/>
      </w:pPr>
      <w:rPr>
        <w:rFonts w:hint="default"/>
        <w:lang w:val="en-US" w:eastAsia="en-US" w:bidi="ar-SA"/>
      </w:rPr>
    </w:lvl>
  </w:abstractNum>
  <w:abstractNum w:abstractNumId="71" w15:restartNumberingAfterBreak="0">
    <w:nsid w:val="20493756"/>
    <w:multiLevelType w:val="hybridMultilevel"/>
    <w:tmpl w:val="18525024"/>
    <w:lvl w:ilvl="0" w:tplc="C8B4476E">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7D81036">
      <w:numFmt w:val="bullet"/>
      <w:lvlText w:val="•"/>
      <w:lvlJc w:val="left"/>
      <w:pPr>
        <w:ind w:left="1710" w:hanging="425"/>
      </w:pPr>
      <w:rPr>
        <w:rFonts w:hint="default"/>
        <w:lang w:val="en-US" w:eastAsia="en-US" w:bidi="ar-SA"/>
      </w:rPr>
    </w:lvl>
    <w:lvl w:ilvl="2" w:tplc="571EB0A4">
      <w:numFmt w:val="bullet"/>
      <w:lvlText w:val="•"/>
      <w:lvlJc w:val="left"/>
      <w:pPr>
        <w:ind w:left="2640" w:hanging="425"/>
      </w:pPr>
      <w:rPr>
        <w:rFonts w:hint="default"/>
        <w:lang w:val="en-US" w:eastAsia="en-US" w:bidi="ar-SA"/>
      </w:rPr>
    </w:lvl>
    <w:lvl w:ilvl="3" w:tplc="30AE05F0">
      <w:numFmt w:val="bullet"/>
      <w:lvlText w:val="•"/>
      <w:lvlJc w:val="left"/>
      <w:pPr>
        <w:ind w:left="3570" w:hanging="425"/>
      </w:pPr>
      <w:rPr>
        <w:rFonts w:hint="default"/>
        <w:lang w:val="en-US" w:eastAsia="en-US" w:bidi="ar-SA"/>
      </w:rPr>
    </w:lvl>
    <w:lvl w:ilvl="4" w:tplc="13A645EC">
      <w:numFmt w:val="bullet"/>
      <w:lvlText w:val="•"/>
      <w:lvlJc w:val="left"/>
      <w:pPr>
        <w:ind w:left="4500" w:hanging="425"/>
      </w:pPr>
      <w:rPr>
        <w:rFonts w:hint="default"/>
        <w:lang w:val="en-US" w:eastAsia="en-US" w:bidi="ar-SA"/>
      </w:rPr>
    </w:lvl>
    <w:lvl w:ilvl="5" w:tplc="D3A85D6E">
      <w:numFmt w:val="bullet"/>
      <w:lvlText w:val="•"/>
      <w:lvlJc w:val="left"/>
      <w:pPr>
        <w:ind w:left="5430" w:hanging="425"/>
      </w:pPr>
      <w:rPr>
        <w:rFonts w:hint="default"/>
        <w:lang w:val="en-US" w:eastAsia="en-US" w:bidi="ar-SA"/>
      </w:rPr>
    </w:lvl>
    <w:lvl w:ilvl="6" w:tplc="E3C0F020">
      <w:numFmt w:val="bullet"/>
      <w:lvlText w:val="•"/>
      <w:lvlJc w:val="left"/>
      <w:pPr>
        <w:ind w:left="6360" w:hanging="425"/>
      </w:pPr>
      <w:rPr>
        <w:rFonts w:hint="default"/>
        <w:lang w:val="en-US" w:eastAsia="en-US" w:bidi="ar-SA"/>
      </w:rPr>
    </w:lvl>
    <w:lvl w:ilvl="7" w:tplc="BE4C1BAE">
      <w:numFmt w:val="bullet"/>
      <w:lvlText w:val="•"/>
      <w:lvlJc w:val="left"/>
      <w:pPr>
        <w:ind w:left="7290" w:hanging="425"/>
      </w:pPr>
      <w:rPr>
        <w:rFonts w:hint="default"/>
        <w:lang w:val="en-US" w:eastAsia="en-US" w:bidi="ar-SA"/>
      </w:rPr>
    </w:lvl>
    <w:lvl w:ilvl="8" w:tplc="644E9EE8">
      <w:numFmt w:val="bullet"/>
      <w:lvlText w:val="•"/>
      <w:lvlJc w:val="left"/>
      <w:pPr>
        <w:ind w:left="8220" w:hanging="425"/>
      </w:pPr>
      <w:rPr>
        <w:rFonts w:hint="default"/>
        <w:lang w:val="en-US" w:eastAsia="en-US" w:bidi="ar-SA"/>
      </w:rPr>
    </w:lvl>
  </w:abstractNum>
  <w:abstractNum w:abstractNumId="72" w15:restartNumberingAfterBreak="0">
    <w:nsid w:val="21242D66"/>
    <w:multiLevelType w:val="multilevel"/>
    <w:tmpl w:val="9B0474EA"/>
    <w:lvl w:ilvl="0">
      <w:start w:val="7"/>
      <w:numFmt w:val="decimal"/>
      <w:lvlText w:val="%1.0"/>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95" w:hanging="1035"/>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344" w:hanging="1035"/>
      </w:pPr>
      <w:rPr>
        <w:rFonts w:hint="default"/>
        <w:lang w:val="en-US" w:eastAsia="en-US" w:bidi="ar-SA"/>
      </w:rPr>
    </w:lvl>
    <w:lvl w:ilvl="4">
      <w:numFmt w:val="bullet"/>
      <w:lvlText w:val="•"/>
      <w:lvlJc w:val="left"/>
      <w:pPr>
        <w:ind w:left="4306" w:hanging="1035"/>
      </w:pPr>
      <w:rPr>
        <w:rFonts w:hint="default"/>
        <w:lang w:val="en-US" w:eastAsia="en-US" w:bidi="ar-SA"/>
      </w:rPr>
    </w:lvl>
    <w:lvl w:ilvl="5">
      <w:numFmt w:val="bullet"/>
      <w:lvlText w:val="•"/>
      <w:lvlJc w:val="left"/>
      <w:pPr>
        <w:ind w:left="5268" w:hanging="1035"/>
      </w:pPr>
      <w:rPr>
        <w:rFonts w:hint="default"/>
        <w:lang w:val="en-US" w:eastAsia="en-US" w:bidi="ar-SA"/>
      </w:rPr>
    </w:lvl>
    <w:lvl w:ilvl="6">
      <w:numFmt w:val="bullet"/>
      <w:lvlText w:val="•"/>
      <w:lvlJc w:val="left"/>
      <w:pPr>
        <w:ind w:left="6231" w:hanging="1035"/>
      </w:pPr>
      <w:rPr>
        <w:rFonts w:hint="default"/>
        <w:lang w:val="en-US" w:eastAsia="en-US" w:bidi="ar-SA"/>
      </w:rPr>
    </w:lvl>
    <w:lvl w:ilvl="7">
      <w:numFmt w:val="bullet"/>
      <w:lvlText w:val="•"/>
      <w:lvlJc w:val="left"/>
      <w:pPr>
        <w:ind w:left="7193" w:hanging="1035"/>
      </w:pPr>
      <w:rPr>
        <w:rFonts w:hint="default"/>
        <w:lang w:val="en-US" w:eastAsia="en-US" w:bidi="ar-SA"/>
      </w:rPr>
    </w:lvl>
    <w:lvl w:ilvl="8">
      <w:numFmt w:val="bullet"/>
      <w:lvlText w:val="•"/>
      <w:lvlJc w:val="left"/>
      <w:pPr>
        <w:ind w:left="8155" w:hanging="1035"/>
      </w:pPr>
      <w:rPr>
        <w:rFonts w:hint="default"/>
        <w:lang w:val="en-US" w:eastAsia="en-US" w:bidi="ar-SA"/>
      </w:rPr>
    </w:lvl>
  </w:abstractNum>
  <w:abstractNum w:abstractNumId="73" w15:restartNumberingAfterBreak="0">
    <w:nsid w:val="21600FE9"/>
    <w:multiLevelType w:val="multilevel"/>
    <w:tmpl w:val="02C812F0"/>
    <w:lvl w:ilvl="0">
      <w:start w:val="4"/>
      <w:numFmt w:val="decimal"/>
      <w:lvlText w:val="%1"/>
      <w:lvlJc w:val="left"/>
      <w:pPr>
        <w:ind w:left="870" w:hanging="855"/>
        <w:jc w:val="left"/>
      </w:pPr>
      <w:rPr>
        <w:rFonts w:hint="default"/>
        <w:lang w:val="en-US" w:eastAsia="en-US" w:bidi="ar-SA"/>
      </w:rPr>
    </w:lvl>
    <w:lvl w:ilvl="1">
      <w:numFmt w:val="decimal"/>
      <w:lvlText w:val="%1.%2"/>
      <w:lvlJc w:val="left"/>
      <w:pPr>
        <w:ind w:left="870" w:hanging="855"/>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720" w:hanging="855"/>
      </w:pPr>
      <w:rPr>
        <w:rFonts w:hint="default"/>
        <w:lang w:val="en-US" w:eastAsia="en-US" w:bidi="ar-SA"/>
      </w:rPr>
    </w:lvl>
    <w:lvl w:ilvl="3">
      <w:numFmt w:val="bullet"/>
      <w:lvlText w:val="•"/>
      <w:lvlJc w:val="left"/>
      <w:pPr>
        <w:ind w:left="3640" w:hanging="855"/>
      </w:pPr>
      <w:rPr>
        <w:rFonts w:hint="default"/>
        <w:lang w:val="en-US" w:eastAsia="en-US" w:bidi="ar-SA"/>
      </w:rPr>
    </w:lvl>
    <w:lvl w:ilvl="4">
      <w:numFmt w:val="bullet"/>
      <w:lvlText w:val="•"/>
      <w:lvlJc w:val="left"/>
      <w:pPr>
        <w:ind w:left="4560" w:hanging="855"/>
      </w:pPr>
      <w:rPr>
        <w:rFonts w:hint="default"/>
        <w:lang w:val="en-US" w:eastAsia="en-US" w:bidi="ar-SA"/>
      </w:rPr>
    </w:lvl>
    <w:lvl w:ilvl="5">
      <w:numFmt w:val="bullet"/>
      <w:lvlText w:val="•"/>
      <w:lvlJc w:val="left"/>
      <w:pPr>
        <w:ind w:left="5480" w:hanging="855"/>
      </w:pPr>
      <w:rPr>
        <w:rFonts w:hint="default"/>
        <w:lang w:val="en-US" w:eastAsia="en-US" w:bidi="ar-SA"/>
      </w:rPr>
    </w:lvl>
    <w:lvl w:ilvl="6">
      <w:numFmt w:val="bullet"/>
      <w:lvlText w:val="•"/>
      <w:lvlJc w:val="left"/>
      <w:pPr>
        <w:ind w:left="6400" w:hanging="855"/>
      </w:pPr>
      <w:rPr>
        <w:rFonts w:hint="default"/>
        <w:lang w:val="en-US" w:eastAsia="en-US" w:bidi="ar-SA"/>
      </w:rPr>
    </w:lvl>
    <w:lvl w:ilvl="7">
      <w:numFmt w:val="bullet"/>
      <w:lvlText w:val="•"/>
      <w:lvlJc w:val="left"/>
      <w:pPr>
        <w:ind w:left="7320" w:hanging="855"/>
      </w:pPr>
      <w:rPr>
        <w:rFonts w:hint="default"/>
        <w:lang w:val="en-US" w:eastAsia="en-US" w:bidi="ar-SA"/>
      </w:rPr>
    </w:lvl>
    <w:lvl w:ilvl="8">
      <w:numFmt w:val="bullet"/>
      <w:lvlText w:val="•"/>
      <w:lvlJc w:val="left"/>
      <w:pPr>
        <w:ind w:left="8240" w:hanging="855"/>
      </w:pPr>
      <w:rPr>
        <w:rFonts w:hint="default"/>
        <w:lang w:val="en-US" w:eastAsia="en-US" w:bidi="ar-SA"/>
      </w:rPr>
    </w:lvl>
  </w:abstractNum>
  <w:abstractNum w:abstractNumId="74" w15:restartNumberingAfterBreak="0">
    <w:nsid w:val="21ED2FD3"/>
    <w:multiLevelType w:val="hybridMultilevel"/>
    <w:tmpl w:val="D22EEAD8"/>
    <w:lvl w:ilvl="0" w:tplc="1648298C">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61E84D0">
      <w:start w:val="1"/>
      <w:numFmt w:val="lowerLetter"/>
      <w:lvlText w:val="(%2)"/>
      <w:lvlJc w:val="left"/>
      <w:pPr>
        <w:ind w:left="360"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C2A2675E">
      <w:numFmt w:val="bullet"/>
      <w:lvlText w:val="•"/>
      <w:lvlJc w:val="left"/>
      <w:pPr>
        <w:ind w:left="2304" w:hanging="408"/>
      </w:pPr>
      <w:rPr>
        <w:rFonts w:hint="default"/>
        <w:lang w:val="en-US" w:eastAsia="en-US" w:bidi="ar-SA"/>
      </w:rPr>
    </w:lvl>
    <w:lvl w:ilvl="3" w:tplc="F2CC4604">
      <w:numFmt w:val="bullet"/>
      <w:lvlText w:val="•"/>
      <w:lvlJc w:val="left"/>
      <w:pPr>
        <w:ind w:left="3276" w:hanging="408"/>
      </w:pPr>
      <w:rPr>
        <w:rFonts w:hint="default"/>
        <w:lang w:val="en-US" w:eastAsia="en-US" w:bidi="ar-SA"/>
      </w:rPr>
    </w:lvl>
    <w:lvl w:ilvl="4" w:tplc="5A722C24">
      <w:numFmt w:val="bullet"/>
      <w:lvlText w:val="•"/>
      <w:lvlJc w:val="left"/>
      <w:pPr>
        <w:ind w:left="4248" w:hanging="408"/>
      </w:pPr>
      <w:rPr>
        <w:rFonts w:hint="default"/>
        <w:lang w:val="en-US" w:eastAsia="en-US" w:bidi="ar-SA"/>
      </w:rPr>
    </w:lvl>
    <w:lvl w:ilvl="5" w:tplc="EA4645A4">
      <w:numFmt w:val="bullet"/>
      <w:lvlText w:val="•"/>
      <w:lvlJc w:val="left"/>
      <w:pPr>
        <w:ind w:left="5220" w:hanging="408"/>
      </w:pPr>
      <w:rPr>
        <w:rFonts w:hint="default"/>
        <w:lang w:val="en-US" w:eastAsia="en-US" w:bidi="ar-SA"/>
      </w:rPr>
    </w:lvl>
    <w:lvl w:ilvl="6" w:tplc="0F382810">
      <w:numFmt w:val="bullet"/>
      <w:lvlText w:val="•"/>
      <w:lvlJc w:val="left"/>
      <w:pPr>
        <w:ind w:left="6192" w:hanging="408"/>
      </w:pPr>
      <w:rPr>
        <w:rFonts w:hint="default"/>
        <w:lang w:val="en-US" w:eastAsia="en-US" w:bidi="ar-SA"/>
      </w:rPr>
    </w:lvl>
    <w:lvl w:ilvl="7" w:tplc="32EAB8C8">
      <w:numFmt w:val="bullet"/>
      <w:lvlText w:val="•"/>
      <w:lvlJc w:val="left"/>
      <w:pPr>
        <w:ind w:left="7164" w:hanging="408"/>
      </w:pPr>
      <w:rPr>
        <w:rFonts w:hint="default"/>
        <w:lang w:val="en-US" w:eastAsia="en-US" w:bidi="ar-SA"/>
      </w:rPr>
    </w:lvl>
    <w:lvl w:ilvl="8" w:tplc="6D84DBBA">
      <w:numFmt w:val="bullet"/>
      <w:lvlText w:val="•"/>
      <w:lvlJc w:val="left"/>
      <w:pPr>
        <w:ind w:left="8136" w:hanging="408"/>
      </w:pPr>
      <w:rPr>
        <w:rFonts w:hint="default"/>
        <w:lang w:val="en-US" w:eastAsia="en-US" w:bidi="ar-SA"/>
      </w:rPr>
    </w:lvl>
  </w:abstractNum>
  <w:abstractNum w:abstractNumId="75" w15:restartNumberingAfterBreak="0">
    <w:nsid w:val="226B1CDC"/>
    <w:multiLevelType w:val="multilevel"/>
    <w:tmpl w:val="AAC2684E"/>
    <w:lvl w:ilvl="0">
      <w:start w:val="5"/>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990"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724" w:hanging="945"/>
      </w:pPr>
      <w:rPr>
        <w:rFonts w:hint="default"/>
        <w:lang w:val="en-US" w:eastAsia="en-US" w:bidi="ar-SA"/>
      </w:rPr>
    </w:lvl>
    <w:lvl w:ilvl="4">
      <w:numFmt w:val="bullet"/>
      <w:lvlText w:val="•"/>
      <w:lvlJc w:val="left"/>
      <w:pPr>
        <w:ind w:left="4632" w:hanging="945"/>
      </w:pPr>
      <w:rPr>
        <w:rFonts w:hint="default"/>
        <w:lang w:val="en-US" w:eastAsia="en-US" w:bidi="ar-SA"/>
      </w:rPr>
    </w:lvl>
    <w:lvl w:ilvl="5">
      <w:numFmt w:val="bullet"/>
      <w:lvlText w:val="•"/>
      <w:lvlJc w:val="left"/>
      <w:pPr>
        <w:ind w:left="5540" w:hanging="945"/>
      </w:pPr>
      <w:rPr>
        <w:rFonts w:hint="default"/>
        <w:lang w:val="en-US" w:eastAsia="en-US" w:bidi="ar-SA"/>
      </w:rPr>
    </w:lvl>
    <w:lvl w:ilvl="6">
      <w:numFmt w:val="bullet"/>
      <w:lvlText w:val="•"/>
      <w:lvlJc w:val="left"/>
      <w:pPr>
        <w:ind w:left="6448" w:hanging="945"/>
      </w:pPr>
      <w:rPr>
        <w:rFonts w:hint="default"/>
        <w:lang w:val="en-US" w:eastAsia="en-US" w:bidi="ar-SA"/>
      </w:rPr>
    </w:lvl>
    <w:lvl w:ilvl="7">
      <w:numFmt w:val="bullet"/>
      <w:lvlText w:val="•"/>
      <w:lvlJc w:val="left"/>
      <w:pPr>
        <w:ind w:left="7356" w:hanging="945"/>
      </w:pPr>
      <w:rPr>
        <w:rFonts w:hint="default"/>
        <w:lang w:val="en-US" w:eastAsia="en-US" w:bidi="ar-SA"/>
      </w:rPr>
    </w:lvl>
    <w:lvl w:ilvl="8">
      <w:numFmt w:val="bullet"/>
      <w:lvlText w:val="•"/>
      <w:lvlJc w:val="left"/>
      <w:pPr>
        <w:ind w:left="8264" w:hanging="945"/>
      </w:pPr>
      <w:rPr>
        <w:rFonts w:hint="default"/>
        <w:lang w:val="en-US" w:eastAsia="en-US" w:bidi="ar-SA"/>
      </w:rPr>
    </w:lvl>
  </w:abstractNum>
  <w:abstractNum w:abstractNumId="76" w15:restartNumberingAfterBreak="0">
    <w:nsid w:val="23151A58"/>
    <w:multiLevelType w:val="hybridMultilevel"/>
    <w:tmpl w:val="98546098"/>
    <w:lvl w:ilvl="0" w:tplc="3C0E5B8A">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60E06FC">
      <w:numFmt w:val="bullet"/>
      <w:lvlText w:val="•"/>
      <w:lvlJc w:val="left"/>
      <w:pPr>
        <w:ind w:left="1656" w:hanging="358"/>
      </w:pPr>
      <w:rPr>
        <w:rFonts w:hint="default"/>
        <w:lang w:val="en-US" w:eastAsia="en-US" w:bidi="ar-SA"/>
      </w:rPr>
    </w:lvl>
    <w:lvl w:ilvl="2" w:tplc="4BAC6700">
      <w:numFmt w:val="bullet"/>
      <w:lvlText w:val="•"/>
      <w:lvlJc w:val="left"/>
      <w:pPr>
        <w:ind w:left="2592" w:hanging="358"/>
      </w:pPr>
      <w:rPr>
        <w:rFonts w:hint="default"/>
        <w:lang w:val="en-US" w:eastAsia="en-US" w:bidi="ar-SA"/>
      </w:rPr>
    </w:lvl>
    <w:lvl w:ilvl="3" w:tplc="D68C7964">
      <w:numFmt w:val="bullet"/>
      <w:lvlText w:val="•"/>
      <w:lvlJc w:val="left"/>
      <w:pPr>
        <w:ind w:left="3528" w:hanging="358"/>
      </w:pPr>
      <w:rPr>
        <w:rFonts w:hint="default"/>
        <w:lang w:val="en-US" w:eastAsia="en-US" w:bidi="ar-SA"/>
      </w:rPr>
    </w:lvl>
    <w:lvl w:ilvl="4" w:tplc="8E3627FE">
      <w:numFmt w:val="bullet"/>
      <w:lvlText w:val="•"/>
      <w:lvlJc w:val="left"/>
      <w:pPr>
        <w:ind w:left="4464" w:hanging="358"/>
      </w:pPr>
      <w:rPr>
        <w:rFonts w:hint="default"/>
        <w:lang w:val="en-US" w:eastAsia="en-US" w:bidi="ar-SA"/>
      </w:rPr>
    </w:lvl>
    <w:lvl w:ilvl="5" w:tplc="B51455A0">
      <w:numFmt w:val="bullet"/>
      <w:lvlText w:val="•"/>
      <w:lvlJc w:val="left"/>
      <w:pPr>
        <w:ind w:left="5400" w:hanging="358"/>
      </w:pPr>
      <w:rPr>
        <w:rFonts w:hint="default"/>
        <w:lang w:val="en-US" w:eastAsia="en-US" w:bidi="ar-SA"/>
      </w:rPr>
    </w:lvl>
    <w:lvl w:ilvl="6" w:tplc="4A587952">
      <w:numFmt w:val="bullet"/>
      <w:lvlText w:val="•"/>
      <w:lvlJc w:val="left"/>
      <w:pPr>
        <w:ind w:left="6336" w:hanging="358"/>
      </w:pPr>
      <w:rPr>
        <w:rFonts w:hint="default"/>
        <w:lang w:val="en-US" w:eastAsia="en-US" w:bidi="ar-SA"/>
      </w:rPr>
    </w:lvl>
    <w:lvl w:ilvl="7" w:tplc="D506C262">
      <w:numFmt w:val="bullet"/>
      <w:lvlText w:val="•"/>
      <w:lvlJc w:val="left"/>
      <w:pPr>
        <w:ind w:left="7272" w:hanging="358"/>
      </w:pPr>
      <w:rPr>
        <w:rFonts w:hint="default"/>
        <w:lang w:val="en-US" w:eastAsia="en-US" w:bidi="ar-SA"/>
      </w:rPr>
    </w:lvl>
    <w:lvl w:ilvl="8" w:tplc="A7807E62">
      <w:numFmt w:val="bullet"/>
      <w:lvlText w:val="•"/>
      <w:lvlJc w:val="left"/>
      <w:pPr>
        <w:ind w:left="8208" w:hanging="358"/>
      </w:pPr>
      <w:rPr>
        <w:rFonts w:hint="default"/>
        <w:lang w:val="en-US" w:eastAsia="en-US" w:bidi="ar-SA"/>
      </w:rPr>
    </w:lvl>
  </w:abstractNum>
  <w:abstractNum w:abstractNumId="77" w15:restartNumberingAfterBreak="0">
    <w:nsid w:val="234C4E43"/>
    <w:multiLevelType w:val="hybridMultilevel"/>
    <w:tmpl w:val="4650C7EA"/>
    <w:lvl w:ilvl="0" w:tplc="171E314A">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3A4C100">
      <w:numFmt w:val="bullet"/>
      <w:lvlText w:val="•"/>
      <w:lvlJc w:val="left"/>
      <w:pPr>
        <w:ind w:left="1332" w:hanging="358"/>
      </w:pPr>
      <w:rPr>
        <w:rFonts w:hint="default"/>
        <w:lang w:val="en-US" w:eastAsia="en-US" w:bidi="ar-SA"/>
      </w:rPr>
    </w:lvl>
    <w:lvl w:ilvl="2" w:tplc="A9ACDEF6">
      <w:numFmt w:val="bullet"/>
      <w:lvlText w:val="•"/>
      <w:lvlJc w:val="left"/>
      <w:pPr>
        <w:ind w:left="2304" w:hanging="358"/>
      </w:pPr>
      <w:rPr>
        <w:rFonts w:hint="default"/>
        <w:lang w:val="en-US" w:eastAsia="en-US" w:bidi="ar-SA"/>
      </w:rPr>
    </w:lvl>
    <w:lvl w:ilvl="3" w:tplc="FF889B76">
      <w:numFmt w:val="bullet"/>
      <w:lvlText w:val="•"/>
      <w:lvlJc w:val="left"/>
      <w:pPr>
        <w:ind w:left="3276" w:hanging="358"/>
      </w:pPr>
      <w:rPr>
        <w:rFonts w:hint="default"/>
        <w:lang w:val="en-US" w:eastAsia="en-US" w:bidi="ar-SA"/>
      </w:rPr>
    </w:lvl>
    <w:lvl w:ilvl="4" w:tplc="9A1A6AA8">
      <w:numFmt w:val="bullet"/>
      <w:lvlText w:val="•"/>
      <w:lvlJc w:val="left"/>
      <w:pPr>
        <w:ind w:left="4248" w:hanging="358"/>
      </w:pPr>
      <w:rPr>
        <w:rFonts w:hint="default"/>
        <w:lang w:val="en-US" w:eastAsia="en-US" w:bidi="ar-SA"/>
      </w:rPr>
    </w:lvl>
    <w:lvl w:ilvl="5" w:tplc="11BE1B32">
      <w:numFmt w:val="bullet"/>
      <w:lvlText w:val="•"/>
      <w:lvlJc w:val="left"/>
      <w:pPr>
        <w:ind w:left="5220" w:hanging="358"/>
      </w:pPr>
      <w:rPr>
        <w:rFonts w:hint="default"/>
        <w:lang w:val="en-US" w:eastAsia="en-US" w:bidi="ar-SA"/>
      </w:rPr>
    </w:lvl>
    <w:lvl w:ilvl="6" w:tplc="AA726572">
      <w:numFmt w:val="bullet"/>
      <w:lvlText w:val="•"/>
      <w:lvlJc w:val="left"/>
      <w:pPr>
        <w:ind w:left="6192" w:hanging="358"/>
      </w:pPr>
      <w:rPr>
        <w:rFonts w:hint="default"/>
        <w:lang w:val="en-US" w:eastAsia="en-US" w:bidi="ar-SA"/>
      </w:rPr>
    </w:lvl>
    <w:lvl w:ilvl="7" w:tplc="5DD04EDC">
      <w:numFmt w:val="bullet"/>
      <w:lvlText w:val="•"/>
      <w:lvlJc w:val="left"/>
      <w:pPr>
        <w:ind w:left="7164" w:hanging="358"/>
      </w:pPr>
      <w:rPr>
        <w:rFonts w:hint="default"/>
        <w:lang w:val="en-US" w:eastAsia="en-US" w:bidi="ar-SA"/>
      </w:rPr>
    </w:lvl>
    <w:lvl w:ilvl="8" w:tplc="AA9A5F2E">
      <w:numFmt w:val="bullet"/>
      <w:lvlText w:val="•"/>
      <w:lvlJc w:val="left"/>
      <w:pPr>
        <w:ind w:left="8136" w:hanging="358"/>
      </w:pPr>
      <w:rPr>
        <w:rFonts w:hint="default"/>
        <w:lang w:val="en-US" w:eastAsia="en-US" w:bidi="ar-SA"/>
      </w:rPr>
    </w:lvl>
  </w:abstractNum>
  <w:abstractNum w:abstractNumId="78" w15:restartNumberingAfterBreak="0">
    <w:nsid w:val="23CD2CD5"/>
    <w:multiLevelType w:val="multilevel"/>
    <w:tmpl w:val="41C0EB68"/>
    <w:lvl w:ilvl="0">
      <w:start w:val="4"/>
      <w:numFmt w:val="decimal"/>
      <w:lvlText w:val="%1"/>
      <w:lvlJc w:val="left"/>
      <w:pPr>
        <w:ind w:left="360" w:hanging="1084"/>
        <w:jc w:val="left"/>
      </w:pPr>
      <w:rPr>
        <w:rFonts w:hint="default"/>
        <w:lang w:val="en-US" w:eastAsia="en-US" w:bidi="ar-SA"/>
      </w:rPr>
    </w:lvl>
    <w:lvl w:ilvl="1">
      <w:numFmt w:val="decimal"/>
      <w:lvlText w:val="%1.%2"/>
      <w:lvlJc w:val="left"/>
      <w:pPr>
        <w:ind w:left="360" w:hanging="1084"/>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1084"/>
      </w:pPr>
      <w:rPr>
        <w:rFonts w:hint="default"/>
        <w:lang w:val="en-US" w:eastAsia="en-US" w:bidi="ar-SA"/>
      </w:rPr>
    </w:lvl>
    <w:lvl w:ilvl="3">
      <w:numFmt w:val="bullet"/>
      <w:lvlText w:val="•"/>
      <w:lvlJc w:val="left"/>
      <w:pPr>
        <w:ind w:left="3276" w:hanging="1084"/>
      </w:pPr>
      <w:rPr>
        <w:rFonts w:hint="default"/>
        <w:lang w:val="en-US" w:eastAsia="en-US" w:bidi="ar-SA"/>
      </w:rPr>
    </w:lvl>
    <w:lvl w:ilvl="4">
      <w:numFmt w:val="bullet"/>
      <w:lvlText w:val="•"/>
      <w:lvlJc w:val="left"/>
      <w:pPr>
        <w:ind w:left="4248" w:hanging="1084"/>
      </w:pPr>
      <w:rPr>
        <w:rFonts w:hint="default"/>
        <w:lang w:val="en-US" w:eastAsia="en-US" w:bidi="ar-SA"/>
      </w:rPr>
    </w:lvl>
    <w:lvl w:ilvl="5">
      <w:numFmt w:val="bullet"/>
      <w:lvlText w:val="•"/>
      <w:lvlJc w:val="left"/>
      <w:pPr>
        <w:ind w:left="5220" w:hanging="1084"/>
      </w:pPr>
      <w:rPr>
        <w:rFonts w:hint="default"/>
        <w:lang w:val="en-US" w:eastAsia="en-US" w:bidi="ar-SA"/>
      </w:rPr>
    </w:lvl>
    <w:lvl w:ilvl="6">
      <w:numFmt w:val="bullet"/>
      <w:lvlText w:val="•"/>
      <w:lvlJc w:val="left"/>
      <w:pPr>
        <w:ind w:left="6192" w:hanging="1084"/>
      </w:pPr>
      <w:rPr>
        <w:rFonts w:hint="default"/>
        <w:lang w:val="en-US" w:eastAsia="en-US" w:bidi="ar-SA"/>
      </w:rPr>
    </w:lvl>
    <w:lvl w:ilvl="7">
      <w:numFmt w:val="bullet"/>
      <w:lvlText w:val="•"/>
      <w:lvlJc w:val="left"/>
      <w:pPr>
        <w:ind w:left="7164" w:hanging="1084"/>
      </w:pPr>
      <w:rPr>
        <w:rFonts w:hint="default"/>
        <w:lang w:val="en-US" w:eastAsia="en-US" w:bidi="ar-SA"/>
      </w:rPr>
    </w:lvl>
    <w:lvl w:ilvl="8">
      <w:numFmt w:val="bullet"/>
      <w:lvlText w:val="•"/>
      <w:lvlJc w:val="left"/>
      <w:pPr>
        <w:ind w:left="8136" w:hanging="1084"/>
      </w:pPr>
      <w:rPr>
        <w:rFonts w:hint="default"/>
        <w:lang w:val="en-US" w:eastAsia="en-US" w:bidi="ar-SA"/>
      </w:rPr>
    </w:lvl>
  </w:abstractNum>
  <w:abstractNum w:abstractNumId="79" w15:restartNumberingAfterBreak="0">
    <w:nsid w:val="256010B6"/>
    <w:multiLevelType w:val="multilevel"/>
    <w:tmpl w:val="B6649A56"/>
    <w:lvl w:ilvl="0">
      <w:start w:val="1"/>
      <w:numFmt w:val="decimal"/>
      <w:lvlText w:val="%1"/>
      <w:lvlJc w:val="left"/>
      <w:pPr>
        <w:ind w:left="360" w:hanging="705"/>
        <w:jc w:val="left"/>
      </w:pPr>
      <w:rPr>
        <w:rFonts w:hint="default"/>
        <w:lang w:val="en-US" w:eastAsia="en-US" w:bidi="ar-SA"/>
      </w:rPr>
    </w:lvl>
    <w:lvl w:ilvl="1">
      <w:numFmt w:val="decimal"/>
      <w:lvlText w:val="%1.%2"/>
      <w:lvlJc w:val="left"/>
      <w:pPr>
        <w:ind w:left="360" w:hanging="705"/>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705"/>
      </w:pPr>
      <w:rPr>
        <w:rFonts w:hint="default"/>
        <w:lang w:val="en-US" w:eastAsia="en-US" w:bidi="ar-SA"/>
      </w:rPr>
    </w:lvl>
    <w:lvl w:ilvl="3">
      <w:numFmt w:val="bullet"/>
      <w:lvlText w:val="•"/>
      <w:lvlJc w:val="left"/>
      <w:pPr>
        <w:ind w:left="3276" w:hanging="705"/>
      </w:pPr>
      <w:rPr>
        <w:rFonts w:hint="default"/>
        <w:lang w:val="en-US" w:eastAsia="en-US" w:bidi="ar-SA"/>
      </w:rPr>
    </w:lvl>
    <w:lvl w:ilvl="4">
      <w:numFmt w:val="bullet"/>
      <w:lvlText w:val="•"/>
      <w:lvlJc w:val="left"/>
      <w:pPr>
        <w:ind w:left="4248" w:hanging="705"/>
      </w:pPr>
      <w:rPr>
        <w:rFonts w:hint="default"/>
        <w:lang w:val="en-US" w:eastAsia="en-US" w:bidi="ar-SA"/>
      </w:rPr>
    </w:lvl>
    <w:lvl w:ilvl="5">
      <w:numFmt w:val="bullet"/>
      <w:lvlText w:val="•"/>
      <w:lvlJc w:val="left"/>
      <w:pPr>
        <w:ind w:left="5220" w:hanging="705"/>
      </w:pPr>
      <w:rPr>
        <w:rFonts w:hint="default"/>
        <w:lang w:val="en-US" w:eastAsia="en-US" w:bidi="ar-SA"/>
      </w:rPr>
    </w:lvl>
    <w:lvl w:ilvl="6">
      <w:numFmt w:val="bullet"/>
      <w:lvlText w:val="•"/>
      <w:lvlJc w:val="left"/>
      <w:pPr>
        <w:ind w:left="6192" w:hanging="705"/>
      </w:pPr>
      <w:rPr>
        <w:rFonts w:hint="default"/>
        <w:lang w:val="en-US" w:eastAsia="en-US" w:bidi="ar-SA"/>
      </w:rPr>
    </w:lvl>
    <w:lvl w:ilvl="7">
      <w:numFmt w:val="bullet"/>
      <w:lvlText w:val="•"/>
      <w:lvlJc w:val="left"/>
      <w:pPr>
        <w:ind w:left="7164" w:hanging="705"/>
      </w:pPr>
      <w:rPr>
        <w:rFonts w:hint="default"/>
        <w:lang w:val="en-US" w:eastAsia="en-US" w:bidi="ar-SA"/>
      </w:rPr>
    </w:lvl>
    <w:lvl w:ilvl="8">
      <w:numFmt w:val="bullet"/>
      <w:lvlText w:val="•"/>
      <w:lvlJc w:val="left"/>
      <w:pPr>
        <w:ind w:left="8136" w:hanging="705"/>
      </w:pPr>
      <w:rPr>
        <w:rFonts w:hint="default"/>
        <w:lang w:val="en-US" w:eastAsia="en-US" w:bidi="ar-SA"/>
      </w:rPr>
    </w:lvl>
  </w:abstractNum>
  <w:abstractNum w:abstractNumId="80" w15:restartNumberingAfterBreak="0">
    <w:nsid w:val="27477706"/>
    <w:multiLevelType w:val="hybridMultilevel"/>
    <w:tmpl w:val="C364764A"/>
    <w:lvl w:ilvl="0" w:tplc="65F01932">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9F8C52E">
      <w:numFmt w:val="bullet"/>
      <w:lvlText w:val="•"/>
      <w:lvlJc w:val="left"/>
      <w:pPr>
        <w:ind w:left="1332" w:hanging="425"/>
      </w:pPr>
      <w:rPr>
        <w:rFonts w:hint="default"/>
        <w:lang w:val="en-US" w:eastAsia="en-US" w:bidi="ar-SA"/>
      </w:rPr>
    </w:lvl>
    <w:lvl w:ilvl="2" w:tplc="049081A2">
      <w:numFmt w:val="bullet"/>
      <w:lvlText w:val="•"/>
      <w:lvlJc w:val="left"/>
      <w:pPr>
        <w:ind w:left="2304" w:hanging="425"/>
      </w:pPr>
      <w:rPr>
        <w:rFonts w:hint="default"/>
        <w:lang w:val="en-US" w:eastAsia="en-US" w:bidi="ar-SA"/>
      </w:rPr>
    </w:lvl>
    <w:lvl w:ilvl="3" w:tplc="C6CC257E">
      <w:numFmt w:val="bullet"/>
      <w:lvlText w:val="•"/>
      <w:lvlJc w:val="left"/>
      <w:pPr>
        <w:ind w:left="3276" w:hanging="425"/>
      </w:pPr>
      <w:rPr>
        <w:rFonts w:hint="default"/>
        <w:lang w:val="en-US" w:eastAsia="en-US" w:bidi="ar-SA"/>
      </w:rPr>
    </w:lvl>
    <w:lvl w:ilvl="4" w:tplc="D62CD2CA">
      <w:numFmt w:val="bullet"/>
      <w:lvlText w:val="•"/>
      <w:lvlJc w:val="left"/>
      <w:pPr>
        <w:ind w:left="4248" w:hanging="425"/>
      </w:pPr>
      <w:rPr>
        <w:rFonts w:hint="default"/>
        <w:lang w:val="en-US" w:eastAsia="en-US" w:bidi="ar-SA"/>
      </w:rPr>
    </w:lvl>
    <w:lvl w:ilvl="5" w:tplc="2744E0DC">
      <w:numFmt w:val="bullet"/>
      <w:lvlText w:val="•"/>
      <w:lvlJc w:val="left"/>
      <w:pPr>
        <w:ind w:left="5220" w:hanging="425"/>
      </w:pPr>
      <w:rPr>
        <w:rFonts w:hint="default"/>
        <w:lang w:val="en-US" w:eastAsia="en-US" w:bidi="ar-SA"/>
      </w:rPr>
    </w:lvl>
    <w:lvl w:ilvl="6" w:tplc="EFFC4E1A">
      <w:numFmt w:val="bullet"/>
      <w:lvlText w:val="•"/>
      <w:lvlJc w:val="left"/>
      <w:pPr>
        <w:ind w:left="6192" w:hanging="425"/>
      </w:pPr>
      <w:rPr>
        <w:rFonts w:hint="default"/>
        <w:lang w:val="en-US" w:eastAsia="en-US" w:bidi="ar-SA"/>
      </w:rPr>
    </w:lvl>
    <w:lvl w:ilvl="7" w:tplc="CD467DA4">
      <w:numFmt w:val="bullet"/>
      <w:lvlText w:val="•"/>
      <w:lvlJc w:val="left"/>
      <w:pPr>
        <w:ind w:left="7164" w:hanging="425"/>
      </w:pPr>
      <w:rPr>
        <w:rFonts w:hint="default"/>
        <w:lang w:val="en-US" w:eastAsia="en-US" w:bidi="ar-SA"/>
      </w:rPr>
    </w:lvl>
    <w:lvl w:ilvl="8" w:tplc="62CC91EE">
      <w:numFmt w:val="bullet"/>
      <w:lvlText w:val="•"/>
      <w:lvlJc w:val="left"/>
      <w:pPr>
        <w:ind w:left="8136" w:hanging="425"/>
      </w:pPr>
      <w:rPr>
        <w:rFonts w:hint="default"/>
        <w:lang w:val="en-US" w:eastAsia="en-US" w:bidi="ar-SA"/>
      </w:rPr>
    </w:lvl>
  </w:abstractNum>
  <w:abstractNum w:abstractNumId="81" w15:restartNumberingAfterBreak="0">
    <w:nsid w:val="28B560D7"/>
    <w:multiLevelType w:val="multilevel"/>
    <w:tmpl w:val="D2606986"/>
    <w:lvl w:ilvl="0">
      <w:start w:val="8"/>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82" w15:restartNumberingAfterBreak="0">
    <w:nsid w:val="293808A9"/>
    <w:multiLevelType w:val="hybridMultilevel"/>
    <w:tmpl w:val="E6828FF8"/>
    <w:lvl w:ilvl="0" w:tplc="7FF2C3FC">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55C0019A">
      <w:numFmt w:val="bullet"/>
      <w:lvlText w:val="•"/>
      <w:lvlJc w:val="left"/>
      <w:pPr>
        <w:ind w:left="1656" w:hanging="358"/>
      </w:pPr>
      <w:rPr>
        <w:rFonts w:hint="default"/>
        <w:lang w:val="en-US" w:eastAsia="en-US" w:bidi="ar-SA"/>
      </w:rPr>
    </w:lvl>
    <w:lvl w:ilvl="2" w:tplc="BA862704">
      <w:numFmt w:val="bullet"/>
      <w:lvlText w:val="•"/>
      <w:lvlJc w:val="left"/>
      <w:pPr>
        <w:ind w:left="2592" w:hanging="358"/>
      </w:pPr>
      <w:rPr>
        <w:rFonts w:hint="default"/>
        <w:lang w:val="en-US" w:eastAsia="en-US" w:bidi="ar-SA"/>
      </w:rPr>
    </w:lvl>
    <w:lvl w:ilvl="3" w:tplc="4A121DFC">
      <w:numFmt w:val="bullet"/>
      <w:lvlText w:val="•"/>
      <w:lvlJc w:val="left"/>
      <w:pPr>
        <w:ind w:left="3528" w:hanging="358"/>
      </w:pPr>
      <w:rPr>
        <w:rFonts w:hint="default"/>
        <w:lang w:val="en-US" w:eastAsia="en-US" w:bidi="ar-SA"/>
      </w:rPr>
    </w:lvl>
    <w:lvl w:ilvl="4" w:tplc="90A809CC">
      <w:numFmt w:val="bullet"/>
      <w:lvlText w:val="•"/>
      <w:lvlJc w:val="left"/>
      <w:pPr>
        <w:ind w:left="4464" w:hanging="358"/>
      </w:pPr>
      <w:rPr>
        <w:rFonts w:hint="default"/>
        <w:lang w:val="en-US" w:eastAsia="en-US" w:bidi="ar-SA"/>
      </w:rPr>
    </w:lvl>
    <w:lvl w:ilvl="5" w:tplc="266C8628">
      <w:numFmt w:val="bullet"/>
      <w:lvlText w:val="•"/>
      <w:lvlJc w:val="left"/>
      <w:pPr>
        <w:ind w:left="5400" w:hanging="358"/>
      </w:pPr>
      <w:rPr>
        <w:rFonts w:hint="default"/>
        <w:lang w:val="en-US" w:eastAsia="en-US" w:bidi="ar-SA"/>
      </w:rPr>
    </w:lvl>
    <w:lvl w:ilvl="6" w:tplc="3616567E">
      <w:numFmt w:val="bullet"/>
      <w:lvlText w:val="•"/>
      <w:lvlJc w:val="left"/>
      <w:pPr>
        <w:ind w:left="6336" w:hanging="358"/>
      </w:pPr>
      <w:rPr>
        <w:rFonts w:hint="default"/>
        <w:lang w:val="en-US" w:eastAsia="en-US" w:bidi="ar-SA"/>
      </w:rPr>
    </w:lvl>
    <w:lvl w:ilvl="7" w:tplc="B08EDE44">
      <w:numFmt w:val="bullet"/>
      <w:lvlText w:val="•"/>
      <w:lvlJc w:val="left"/>
      <w:pPr>
        <w:ind w:left="7272" w:hanging="358"/>
      </w:pPr>
      <w:rPr>
        <w:rFonts w:hint="default"/>
        <w:lang w:val="en-US" w:eastAsia="en-US" w:bidi="ar-SA"/>
      </w:rPr>
    </w:lvl>
    <w:lvl w:ilvl="8" w:tplc="5F7A4746">
      <w:numFmt w:val="bullet"/>
      <w:lvlText w:val="•"/>
      <w:lvlJc w:val="left"/>
      <w:pPr>
        <w:ind w:left="8208" w:hanging="358"/>
      </w:pPr>
      <w:rPr>
        <w:rFonts w:hint="default"/>
        <w:lang w:val="en-US" w:eastAsia="en-US" w:bidi="ar-SA"/>
      </w:rPr>
    </w:lvl>
  </w:abstractNum>
  <w:abstractNum w:abstractNumId="83" w15:restartNumberingAfterBreak="0">
    <w:nsid w:val="2B6F07DA"/>
    <w:multiLevelType w:val="multilevel"/>
    <w:tmpl w:val="DAA4706C"/>
    <w:lvl w:ilvl="0">
      <w:start w:val="4"/>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84" w15:restartNumberingAfterBreak="0">
    <w:nsid w:val="2BA22E42"/>
    <w:multiLevelType w:val="hybridMultilevel"/>
    <w:tmpl w:val="D17C0536"/>
    <w:lvl w:ilvl="0" w:tplc="35E87E62">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69C71F4">
      <w:numFmt w:val="bullet"/>
      <w:lvlText w:val="•"/>
      <w:lvlJc w:val="left"/>
      <w:pPr>
        <w:ind w:left="1710" w:hanging="425"/>
      </w:pPr>
      <w:rPr>
        <w:rFonts w:hint="default"/>
        <w:lang w:val="en-US" w:eastAsia="en-US" w:bidi="ar-SA"/>
      </w:rPr>
    </w:lvl>
    <w:lvl w:ilvl="2" w:tplc="1CE870C4">
      <w:numFmt w:val="bullet"/>
      <w:lvlText w:val="•"/>
      <w:lvlJc w:val="left"/>
      <w:pPr>
        <w:ind w:left="2640" w:hanging="425"/>
      </w:pPr>
      <w:rPr>
        <w:rFonts w:hint="default"/>
        <w:lang w:val="en-US" w:eastAsia="en-US" w:bidi="ar-SA"/>
      </w:rPr>
    </w:lvl>
    <w:lvl w:ilvl="3" w:tplc="6B28482C">
      <w:numFmt w:val="bullet"/>
      <w:lvlText w:val="•"/>
      <w:lvlJc w:val="left"/>
      <w:pPr>
        <w:ind w:left="3570" w:hanging="425"/>
      </w:pPr>
      <w:rPr>
        <w:rFonts w:hint="default"/>
        <w:lang w:val="en-US" w:eastAsia="en-US" w:bidi="ar-SA"/>
      </w:rPr>
    </w:lvl>
    <w:lvl w:ilvl="4" w:tplc="54B89CC4">
      <w:numFmt w:val="bullet"/>
      <w:lvlText w:val="•"/>
      <w:lvlJc w:val="left"/>
      <w:pPr>
        <w:ind w:left="4500" w:hanging="425"/>
      </w:pPr>
      <w:rPr>
        <w:rFonts w:hint="default"/>
        <w:lang w:val="en-US" w:eastAsia="en-US" w:bidi="ar-SA"/>
      </w:rPr>
    </w:lvl>
    <w:lvl w:ilvl="5" w:tplc="816EF2E0">
      <w:numFmt w:val="bullet"/>
      <w:lvlText w:val="•"/>
      <w:lvlJc w:val="left"/>
      <w:pPr>
        <w:ind w:left="5430" w:hanging="425"/>
      </w:pPr>
      <w:rPr>
        <w:rFonts w:hint="default"/>
        <w:lang w:val="en-US" w:eastAsia="en-US" w:bidi="ar-SA"/>
      </w:rPr>
    </w:lvl>
    <w:lvl w:ilvl="6" w:tplc="098A5E38">
      <w:numFmt w:val="bullet"/>
      <w:lvlText w:val="•"/>
      <w:lvlJc w:val="left"/>
      <w:pPr>
        <w:ind w:left="6360" w:hanging="425"/>
      </w:pPr>
      <w:rPr>
        <w:rFonts w:hint="default"/>
        <w:lang w:val="en-US" w:eastAsia="en-US" w:bidi="ar-SA"/>
      </w:rPr>
    </w:lvl>
    <w:lvl w:ilvl="7" w:tplc="E6F4A502">
      <w:numFmt w:val="bullet"/>
      <w:lvlText w:val="•"/>
      <w:lvlJc w:val="left"/>
      <w:pPr>
        <w:ind w:left="7290" w:hanging="425"/>
      </w:pPr>
      <w:rPr>
        <w:rFonts w:hint="default"/>
        <w:lang w:val="en-US" w:eastAsia="en-US" w:bidi="ar-SA"/>
      </w:rPr>
    </w:lvl>
    <w:lvl w:ilvl="8" w:tplc="C0A4C3EC">
      <w:numFmt w:val="bullet"/>
      <w:lvlText w:val="•"/>
      <w:lvlJc w:val="left"/>
      <w:pPr>
        <w:ind w:left="8220" w:hanging="425"/>
      </w:pPr>
      <w:rPr>
        <w:rFonts w:hint="default"/>
        <w:lang w:val="en-US" w:eastAsia="en-US" w:bidi="ar-SA"/>
      </w:rPr>
    </w:lvl>
  </w:abstractNum>
  <w:abstractNum w:abstractNumId="85" w15:restartNumberingAfterBreak="0">
    <w:nsid w:val="2BDB2C8D"/>
    <w:multiLevelType w:val="hybridMultilevel"/>
    <w:tmpl w:val="CBB0BE10"/>
    <w:lvl w:ilvl="0" w:tplc="F19C7B3A">
      <w:start w:val="1"/>
      <w:numFmt w:val="decimal"/>
      <w:lvlText w:val="%1."/>
      <w:lvlJc w:val="left"/>
      <w:pPr>
        <w:ind w:left="3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108AC22">
      <w:numFmt w:val="bullet"/>
      <w:lvlText w:val="•"/>
      <w:lvlJc w:val="left"/>
      <w:pPr>
        <w:ind w:left="1332" w:hanging="300"/>
      </w:pPr>
      <w:rPr>
        <w:rFonts w:hint="default"/>
        <w:lang w:val="en-US" w:eastAsia="en-US" w:bidi="ar-SA"/>
      </w:rPr>
    </w:lvl>
    <w:lvl w:ilvl="2" w:tplc="3F923236">
      <w:numFmt w:val="bullet"/>
      <w:lvlText w:val="•"/>
      <w:lvlJc w:val="left"/>
      <w:pPr>
        <w:ind w:left="2304" w:hanging="300"/>
      </w:pPr>
      <w:rPr>
        <w:rFonts w:hint="default"/>
        <w:lang w:val="en-US" w:eastAsia="en-US" w:bidi="ar-SA"/>
      </w:rPr>
    </w:lvl>
    <w:lvl w:ilvl="3" w:tplc="8780A292">
      <w:numFmt w:val="bullet"/>
      <w:lvlText w:val="•"/>
      <w:lvlJc w:val="left"/>
      <w:pPr>
        <w:ind w:left="3276" w:hanging="300"/>
      </w:pPr>
      <w:rPr>
        <w:rFonts w:hint="default"/>
        <w:lang w:val="en-US" w:eastAsia="en-US" w:bidi="ar-SA"/>
      </w:rPr>
    </w:lvl>
    <w:lvl w:ilvl="4" w:tplc="3A7405EE">
      <w:numFmt w:val="bullet"/>
      <w:lvlText w:val="•"/>
      <w:lvlJc w:val="left"/>
      <w:pPr>
        <w:ind w:left="4248" w:hanging="300"/>
      </w:pPr>
      <w:rPr>
        <w:rFonts w:hint="default"/>
        <w:lang w:val="en-US" w:eastAsia="en-US" w:bidi="ar-SA"/>
      </w:rPr>
    </w:lvl>
    <w:lvl w:ilvl="5" w:tplc="DC880902">
      <w:numFmt w:val="bullet"/>
      <w:lvlText w:val="•"/>
      <w:lvlJc w:val="left"/>
      <w:pPr>
        <w:ind w:left="5220" w:hanging="300"/>
      </w:pPr>
      <w:rPr>
        <w:rFonts w:hint="default"/>
        <w:lang w:val="en-US" w:eastAsia="en-US" w:bidi="ar-SA"/>
      </w:rPr>
    </w:lvl>
    <w:lvl w:ilvl="6" w:tplc="D23620C4">
      <w:numFmt w:val="bullet"/>
      <w:lvlText w:val="•"/>
      <w:lvlJc w:val="left"/>
      <w:pPr>
        <w:ind w:left="6192" w:hanging="300"/>
      </w:pPr>
      <w:rPr>
        <w:rFonts w:hint="default"/>
        <w:lang w:val="en-US" w:eastAsia="en-US" w:bidi="ar-SA"/>
      </w:rPr>
    </w:lvl>
    <w:lvl w:ilvl="7" w:tplc="56741618">
      <w:numFmt w:val="bullet"/>
      <w:lvlText w:val="•"/>
      <w:lvlJc w:val="left"/>
      <w:pPr>
        <w:ind w:left="7164" w:hanging="300"/>
      </w:pPr>
      <w:rPr>
        <w:rFonts w:hint="default"/>
        <w:lang w:val="en-US" w:eastAsia="en-US" w:bidi="ar-SA"/>
      </w:rPr>
    </w:lvl>
    <w:lvl w:ilvl="8" w:tplc="E22A1D9E">
      <w:numFmt w:val="bullet"/>
      <w:lvlText w:val="•"/>
      <w:lvlJc w:val="left"/>
      <w:pPr>
        <w:ind w:left="8136" w:hanging="300"/>
      </w:pPr>
      <w:rPr>
        <w:rFonts w:hint="default"/>
        <w:lang w:val="en-US" w:eastAsia="en-US" w:bidi="ar-SA"/>
      </w:rPr>
    </w:lvl>
  </w:abstractNum>
  <w:abstractNum w:abstractNumId="86" w15:restartNumberingAfterBreak="0">
    <w:nsid w:val="2C353440"/>
    <w:multiLevelType w:val="multilevel"/>
    <w:tmpl w:val="94F4FE3C"/>
    <w:lvl w:ilvl="0">
      <w:start w:val="6"/>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87" w15:restartNumberingAfterBreak="0">
    <w:nsid w:val="2C446EE4"/>
    <w:multiLevelType w:val="hybridMultilevel"/>
    <w:tmpl w:val="F872B794"/>
    <w:lvl w:ilvl="0" w:tplc="48848802">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96EC260">
      <w:numFmt w:val="bullet"/>
      <w:lvlText w:val="•"/>
      <w:lvlJc w:val="left"/>
      <w:pPr>
        <w:ind w:left="1710" w:hanging="425"/>
      </w:pPr>
      <w:rPr>
        <w:rFonts w:hint="default"/>
        <w:lang w:val="en-US" w:eastAsia="en-US" w:bidi="ar-SA"/>
      </w:rPr>
    </w:lvl>
    <w:lvl w:ilvl="2" w:tplc="783AA796">
      <w:numFmt w:val="bullet"/>
      <w:lvlText w:val="•"/>
      <w:lvlJc w:val="left"/>
      <w:pPr>
        <w:ind w:left="2640" w:hanging="425"/>
      </w:pPr>
      <w:rPr>
        <w:rFonts w:hint="default"/>
        <w:lang w:val="en-US" w:eastAsia="en-US" w:bidi="ar-SA"/>
      </w:rPr>
    </w:lvl>
    <w:lvl w:ilvl="3" w:tplc="D2D4C9F8">
      <w:numFmt w:val="bullet"/>
      <w:lvlText w:val="•"/>
      <w:lvlJc w:val="left"/>
      <w:pPr>
        <w:ind w:left="3570" w:hanging="425"/>
      </w:pPr>
      <w:rPr>
        <w:rFonts w:hint="default"/>
        <w:lang w:val="en-US" w:eastAsia="en-US" w:bidi="ar-SA"/>
      </w:rPr>
    </w:lvl>
    <w:lvl w:ilvl="4" w:tplc="B0A8C56E">
      <w:numFmt w:val="bullet"/>
      <w:lvlText w:val="•"/>
      <w:lvlJc w:val="left"/>
      <w:pPr>
        <w:ind w:left="4500" w:hanging="425"/>
      </w:pPr>
      <w:rPr>
        <w:rFonts w:hint="default"/>
        <w:lang w:val="en-US" w:eastAsia="en-US" w:bidi="ar-SA"/>
      </w:rPr>
    </w:lvl>
    <w:lvl w:ilvl="5" w:tplc="8854640A">
      <w:numFmt w:val="bullet"/>
      <w:lvlText w:val="•"/>
      <w:lvlJc w:val="left"/>
      <w:pPr>
        <w:ind w:left="5430" w:hanging="425"/>
      </w:pPr>
      <w:rPr>
        <w:rFonts w:hint="default"/>
        <w:lang w:val="en-US" w:eastAsia="en-US" w:bidi="ar-SA"/>
      </w:rPr>
    </w:lvl>
    <w:lvl w:ilvl="6" w:tplc="4C98E198">
      <w:numFmt w:val="bullet"/>
      <w:lvlText w:val="•"/>
      <w:lvlJc w:val="left"/>
      <w:pPr>
        <w:ind w:left="6360" w:hanging="425"/>
      </w:pPr>
      <w:rPr>
        <w:rFonts w:hint="default"/>
        <w:lang w:val="en-US" w:eastAsia="en-US" w:bidi="ar-SA"/>
      </w:rPr>
    </w:lvl>
    <w:lvl w:ilvl="7" w:tplc="3A5C5878">
      <w:numFmt w:val="bullet"/>
      <w:lvlText w:val="•"/>
      <w:lvlJc w:val="left"/>
      <w:pPr>
        <w:ind w:left="7290" w:hanging="425"/>
      </w:pPr>
      <w:rPr>
        <w:rFonts w:hint="default"/>
        <w:lang w:val="en-US" w:eastAsia="en-US" w:bidi="ar-SA"/>
      </w:rPr>
    </w:lvl>
    <w:lvl w:ilvl="8" w:tplc="84368018">
      <w:numFmt w:val="bullet"/>
      <w:lvlText w:val="•"/>
      <w:lvlJc w:val="left"/>
      <w:pPr>
        <w:ind w:left="8220" w:hanging="425"/>
      </w:pPr>
      <w:rPr>
        <w:rFonts w:hint="default"/>
        <w:lang w:val="en-US" w:eastAsia="en-US" w:bidi="ar-SA"/>
      </w:rPr>
    </w:lvl>
  </w:abstractNum>
  <w:abstractNum w:abstractNumId="88" w15:restartNumberingAfterBreak="0">
    <w:nsid w:val="2CFE58F7"/>
    <w:multiLevelType w:val="hybridMultilevel"/>
    <w:tmpl w:val="A4F83F3E"/>
    <w:lvl w:ilvl="0" w:tplc="852A07D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FA6E0CC">
      <w:numFmt w:val="bullet"/>
      <w:lvlText w:val="•"/>
      <w:lvlJc w:val="left"/>
      <w:pPr>
        <w:ind w:left="1710" w:hanging="425"/>
      </w:pPr>
      <w:rPr>
        <w:rFonts w:hint="default"/>
        <w:lang w:val="en-US" w:eastAsia="en-US" w:bidi="ar-SA"/>
      </w:rPr>
    </w:lvl>
    <w:lvl w:ilvl="2" w:tplc="AFD626C8">
      <w:numFmt w:val="bullet"/>
      <w:lvlText w:val="•"/>
      <w:lvlJc w:val="left"/>
      <w:pPr>
        <w:ind w:left="2640" w:hanging="425"/>
      </w:pPr>
      <w:rPr>
        <w:rFonts w:hint="default"/>
        <w:lang w:val="en-US" w:eastAsia="en-US" w:bidi="ar-SA"/>
      </w:rPr>
    </w:lvl>
    <w:lvl w:ilvl="3" w:tplc="232E2434">
      <w:numFmt w:val="bullet"/>
      <w:lvlText w:val="•"/>
      <w:lvlJc w:val="left"/>
      <w:pPr>
        <w:ind w:left="3570" w:hanging="425"/>
      </w:pPr>
      <w:rPr>
        <w:rFonts w:hint="default"/>
        <w:lang w:val="en-US" w:eastAsia="en-US" w:bidi="ar-SA"/>
      </w:rPr>
    </w:lvl>
    <w:lvl w:ilvl="4" w:tplc="5D108336">
      <w:numFmt w:val="bullet"/>
      <w:lvlText w:val="•"/>
      <w:lvlJc w:val="left"/>
      <w:pPr>
        <w:ind w:left="4500" w:hanging="425"/>
      </w:pPr>
      <w:rPr>
        <w:rFonts w:hint="default"/>
        <w:lang w:val="en-US" w:eastAsia="en-US" w:bidi="ar-SA"/>
      </w:rPr>
    </w:lvl>
    <w:lvl w:ilvl="5" w:tplc="31644A78">
      <w:numFmt w:val="bullet"/>
      <w:lvlText w:val="•"/>
      <w:lvlJc w:val="left"/>
      <w:pPr>
        <w:ind w:left="5430" w:hanging="425"/>
      </w:pPr>
      <w:rPr>
        <w:rFonts w:hint="default"/>
        <w:lang w:val="en-US" w:eastAsia="en-US" w:bidi="ar-SA"/>
      </w:rPr>
    </w:lvl>
    <w:lvl w:ilvl="6" w:tplc="6A84B7A6">
      <w:numFmt w:val="bullet"/>
      <w:lvlText w:val="•"/>
      <w:lvlJc w:val="left"/>
      <w:pPr>
        <w:ind w:left="6360" w:hanging="425"/>
      </w:pPr>
      <w:rPr>
        <w:rFonts w:hint="default"/>
        <w:lang w:val="en-US" w:eastAsia="en-US" w:bidi="ar-SA"/>
      </w:rPr>
    </w:lvl>
    <w:lvl w:ilvl="7" w:tplc="F16420EE">
      <w:numFmt w:val="bullet"/>
      <w:lvlText w:val="•"/>
      <w:lvlJc w:val="left"/>
      <w:pPr>
        <w:ind w:left="7290" w:hanging="425"/>
      </w:pPr>
      <w:rPr>
        <w:rFonts w:hint="default"/>
        <w:lang w:val="en-US" w:eastAsia="en-US" w:bidi="ar-SA"/>
      </w:rPr>
    </w:lvl>
    <w:lvl w:ilvl="8" w:tplc="A4501E6A">
      <w:numFmt w:val="bullet"/>
      <w:lvlText w:val="•"/>
      <w:lvlJc w:val="left"/>
      <w:pPr>
        <w:ind w:left="8220" w:hanging="425"/>
      </w:pPr>
      <w:rPr>
        <w:rFonts w:hint="default"/>
        <w:lang w:val="en-US" w:eastAsia="en-US" w:bidi="ar-SA"/>
      </w:rPr>
    </w:lvl>
  </w:abstractNum>
  <w:abstractNum w:abstractNumId="89" w15:restartNumberingAfterBreak="0">
    <w:nsid w:val="2D513DDA"/>
    <w:multiLevelType w:val="hybridMultilevel"/>
    <w:tmpl w:val="205A7592"/>
    <w:lvl w:ilvl="0" w:tplc="D6AABE7E">
      <w:start w:val="3"/>
      <w:numFmt w:val="lowerRoman"/>
      <w:lvlText w:val="(%1)"/>
      <w:lvlJc w:val="left"/>
      <w:pPr>
        <w:ind w:left="360" w:hanging="61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38262AE">
      <w:numFmt w:val="bullet"/>
      <w:lvlText w:val="•"/>
      <w:lvlJc w:val="left"/>
      <w:pPr>
        <w:ind w:left="1332" w:hanging="615"/>
      </w:pPr>
      <w:rPr>
        <w:rFonts w:hint="default"/>
        <w:lang w:val="en-US" w:eastAsia="en-US" w:bidi="ar-SA"/>
      </w:rPr>
    </w:lvl>
    <w:lvl w:ilvl="2" w:tplc="39E8D528">
      <w:numFmt w:val="bullet"/>
      <w:lvlText w:val="•"/>
      <w:lvlJc w:val="left"/>
      <w:pPr>
        <w:ind w:left="2304" w:hanging="615"/>
      </w:pPr>
      <w:rPr>
        <w:rFonts w:hint="default"/>
        <w:lang w:val="en-US" w:eastAsia="en-US" w:bidi="ar-SA"/>
      </w:rPr>
    </w:lvl>
    <w:lvl w:ilvl="3" w:tplc="E88E33C8">
      <w:numFmt w:val="bullet"/>
      <w:lvlText w:val="•"/>
      <w:lvlJc w:val="left"/>
      <w:pPr>
        <w:ind w:left="3276" w:hanging="615"/>
      </w:pPr>
      <w:rPr>
        <w:rFonts w:hint="default"/>
        <w:lang w:val="en-US" w:eastAsia="en-US" w:bidi="ar-SA"/>
      </w:rPr>
    </w:lvl>
    <w:lvl w:ilvl="4" w:tplc="D61EFBE2">
      <w:numFmt w:val="bullet"/>
      <w:lvlText w:val="•"/>
      <w:lvlJc w:val="left"/>
      <w:pPr>
        <w:ind w:left="4248" w:hanging="615"/>
      </w:pPr>
      <w:rPr>
        <w:rFonts w:hint="default"/>
        <w:lang w:val="en-US" w:eastAsia="en-US" w:bidi="ar-SA"/>
      </w:rPr>
    </w:lvl>
    <w:lvl w:ilvl="5" w:tplc="D9A2AD46">
      <w:numFmt w:val="bullet"/>
      <w:lvlText w:val="•"/>
      <w:lvlJc w:val="left"/>
      <w:pPr>
        <w:ind w:left="5220" w:hanging="615"/>
      </w:pPr>
      <w:rPr>
        <w:rFonts w:hint="default"/>
        <w:lang w:val="en-US" w:eastAsia="en-US" w:bidi="ar-SA"/>
      </w:rPr>
    </w:lvl>
    <w:lvl w:ilvl="6" w:tplc="0110126C">
      <w:numFmt w:val="bullet"/>
      <w:lvlText w:val="•"/>
      <w:lvlJc w:val="left"/>
      <w:pPr>
        <w:ind w:left="6192" w:hanging="615"/>
      </w:pPr>
      <w:rPr>
        <w:rFonts w:hint="default"/>
        <w:lang w:val="en-US" w:eastAsia="en-US" w:bidi="ar-SA"/>
      </w:rPr>
    </w:lvl>
    <w:lvl w:ilvl="7" w:tplc="F67478E2">
      <w:numFmt w:val="bullet"/>
      <w:lvlText w:val="•"/>
      <w:lvlJc w:val="left"/>
      <w:pPr>
        <w:ind w:left="7164" w:hanging="615"/>
      </w:pPr>
      <w:rPr>
        <w:rFonts w:hint="default"/>
        <w:lang w:val="en-US" w:eastAsia="en-US" w:bidi="ar-SA"/>
      </w:rPr>
    </w:lvl>
    <w:lvl w:ilvl="8" w:tplc="FF9A5320">
      <w:numFmt w:val="bullet"/>
      <w:lvlText w:val="•"/>
      <w:lvlJc w:val="left"/>
      <w:pPr>
        <w:ind w:left="8136" w:hanging="615"/>
      </w:pPr>
      <w:rPr>
        <w:rFonts w:hint="default"/>
        <w:lang w:val="en-US" w:eastAsia="en-US" w:bidi="ar-SA"/>
      </w:rPr>
    </w:lvl>
  </w:abstractNum>
  <w:abstractNum w:abstractNumId="90" w15:restartNumberingAfterBreak="0">
    <w:nsid w:val="2DDD2411"/>
    <w:multiLevelType w:val="multilevel"/>
    <w:tmpl w:val="BE4632B2"/>
    <w:lvl w:ilvl="0">
      <w:start w:val="4"/>
      <w:numFmt w:val="decimal"/>
      <w:lvlText w:val="%1.0"/>
      <w:lvlJc w:val="left"/>
      <w:pPr>
        <w:ind w:left="360" w:hanging="1688"/>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360" w:hanging="1125"/>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1125"/>
      </w:pPr>
      <w:rPr>
        <w:rFonts w:hint="default"/>
        <w:lang w:val="en-US" w:eastAsia="en-US" w:bidi="ar-SA"/>
      </w:rPr>
    </w:lvl>
    <w:lvl w:ilvl="3">
      <w:numFmt w:val="bullet"/>
      <w:lvlText w:val="•"/>
      <w:lvlJc w:val="left"/>
      <w:pPr>
        <w:ind w:left="3276" w:hanging="1125"/>
      </w:pPr>
      <w:rPr>
        <w:rFonts w:hint="default"/>
        <w:lang w:val="en-US" w:eastAsia="en-US" w:bidi="ar-SA"/>
      </w:rPr>
    </w:lvl>
    <w:lvl w:ilvl="4">
      <w:numFmt w:val="bullet"/>
      <w:lvlText w:val="•"/>
      <w:lvlJc w:val="left"/>
      <w:pPr>
        <w:ind w:left="4248" w:hanging="1125"/>
      </w:pPr>
      <w:rPr>
        <w:rFonts w:hint="default"/>
        <w:lang w:val="en-US" w:eastAsia="en-US" w:bidi="ar-SA"/>
      </w:rPr>
    </w:lvl>
    <w:lvl w:ilvl="5">
      <w:numFmt w:val="bullet"/>
      <w:lvlText w:val="•"/>
      <w:lvlJc w:val="left"/>
      <w:pPr>
        <w:ind w:left="5220" w:hanging="1125"/>
      </w:pPr>
      <w:rPr>
        <w:rFonts w:hint="default"/>
        <w:lang w:val="en-US" w:eastAsia="en-US" w:bidi="ar-SA"/>
      </w:rPr>
    </w:lvl>
    <w:lvl w:ilvl="6">
      <w:numFmt w:val="bullet"/>
      <w:lvlText w:val="•"/>
      <w:lvlJc w:val="left"/>
      <w:pPr>
        <w:ind w:left="6192" w:hanging="1125"/>
      </w:pPr>
      <w:rPr>
        <w:rFonts w:hint="default"/>
        <w:lang w:val="en-US" w:eastAsia="en-US" w:bidi="ar-SA"/>
      </w:rPr>
    </w:lvl>
    <w:lvl w:ilvl="7">
      <w:numFmt w:val="bullet"/>
      <w:lvlText w:val="•"/>
      <w:lvlJc w:val="left"/>
      <w:pPr>
        <w:ind w:left="7164" w:hanging="1125"/>
      </w:pPr>
      <w:rPr>
        <w:rFonts w:hint="default"/>
        <w:lang w:val="en-US" w:eastAsia="en-US" w:bidi="ar-SA"/>
      </w:rPr>
    </w:lvl>
    <w:lvl w:ilvl="8">
      <w:numFmt w:val="bullet"/>
      <w:lvlText w:val="•"/>
      <w:lvlJc w:val="left"/>
      <w:pPr>
        <w:ind w:left="8136" w:hanging="1125"/>
      </w:pPr>
      <w:rPr>
        <w:rFonts w:hint="default"/>
        <w:lang w:val="en-US" w:eastAsia="en-US" w:bidi="ar-SA"/>
      </w:rPr>
    </w:lvl>
  </w:abstractNum>
  <w:abstractNum w:abstractNumId="91" w15:restartNumberingAfterBreak="0">
    <w:nsid w:val="2DE02FF4"/>
    <w:multiLevelType w:val="hybridMultilevel"/>
    <w:tmpl w:val="CB96B7E6"/>
    <w:lvl w:ilvl="0" w:tplc="93EAF056">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DB482B0">
      <w:numFmt w:val="bullet"/>
      <w:lvlText w:val="•"/>
      <w:lvlJc w:val="left"/>
      <w:pPr>
        <w:ind w:left="1332" w:hanging="358"/>
      </w:pPr>
      <w:rPr>
        <w:rFonts w:hint="default"/>
        <w:lang w:val="en-US" w:eastAsia="en-US" w:bidi="ar-SA"/>
      </w:rPr>
    </w:lvl>
    <w:lvl w:ilvl="2" w:tplc="11880578">
      <w:numFmt w:val="bullet"/>
      <w:lvlText w:val="•"/>
      <w:lvlJc w:val="left"/>
      <w:pPr>
        <w:ind w:left="2304" w:hanging="358"/>
      </w:pPr>
      <w:rPr>
        <w:rFonts w:hint="default"/>
        <w:lang w:val="en-US" w:eastAsia="en-US" w:bidi="ar-SA"/>
      </w:rPr>
    </w:lvl>
    <w:lvl w:ilvl="3" w:tplc="3CD4E61C">
      <w:numFmt w:val="bullet"/>
      <w:lvlText w:val="•"/>
      <w:lvlJc w:val="left"/>
      <w:pPr>
        <w:ind w:left="3276" w:hanging="358"/>
      </w:pPr>
      <w:rPr>
        <w:rFonts w:hint="default"/>
        <w:lang w:val="en-US" w:eastAsia="en-US" w:bidi="ar-SA"/>
      </w:rPr>
    </w:lvl>
    <w:lvl w:ilvl="4" w:tplc="4F38A7D8">
      <w:numFmt w:val="bullet"/>
      <w:lvlText w:val="•"/>
      <w:lvlJc w:val="left"/>
      <w:pPr>
        <w:ind w:left="4248" w:hanging="358"/>
      </w:pPr>
      <w:rPr>
        <w:rFonts w:hint="default"/>
        <w:lang w:val="en-US" w:eastAsia="en-US" w:bidi="ar-SA"/>
      </w:rPr>
    </w:lvl>
    <w:lvl w:ilvl="5" w:tplc="828813D8">
      <w:numFmt w:val="bullet"/>
      <w:lvlText w:val="•"/>
      <w:lvlJc w:val="left"/>
      <w:pPr>
        <w:ind w:left="5220" w:hanging="358"/>
      </w:pPr>
      <w:rPr>
        <w:rFonts w:hint="default"/>
        <w:lang w:val="en-US" w:eastAsia="en-US" w:bidi="ar-SA"/>
      </w:rPr>
    </w:lvl>
    <w:lvl w:ilvl="6" w:tplc="A1223260">
      <w:numFmt w:val="bullet"/>
      <w:lvlText w:val="•"/>
      <w:lvlJc w:val="left"/>
      <w:pPr>
        <w:ind w:left="6192" w:hanging="358"/>
      </w:pPr>
      <w:rPr>
        <w:rFonts w:hint="default"/>
        <w:lang w:val="en-US" w:eastAsia="en-US" w:bidi="ar-SA"/>
      </w:rPr>
    </w:lvl>
    <w:lvl w:ilvl="7" w:tplc="DCD45BA4">
      <w:numFmt w:val="bullet"/>
      <w:lvlText w:val="•"/>
      <w:lvlJc w:val="left"/>
      <w:pPr>
        <w:ind w:left="7164" w:hanging="358"/>
      </w:pPr>
      <w:rPr>
        <w:rFonts w:hint="default"/>
        <w:lang w:val="en-US" w:eastAsia="en-US" w:bidi="ar-SA"/>
      </w:rPr>
    </w:lvl>
    <w:lvl w:ilvl="8" w:tplc="29146D8E">
      <w:numFmt w:val="bullet"/>
      <w:lvlText w:val="•"/>
      <w:lvlJc w:val="left"/>
      <w:pPr>
        <w:ind w:left="8136" w:hanging="358"/>
      </w:pPr>
      <w:rPr>
        <w:rFonts w:hint="default"/>
        <w:lang w:val="en-US" w:eastAsia="en-US" w:bidi="ar-SA"/>
      </w:rPr>
    </w:lvl>
  </w:abstractNum>
  <w:abstractNum w:abstractNumId="92" w15:restartNumberingAfterBreak="0">
    <w:nsid w:val="2EF10E23"/>
    <w:multiLevelType w:val="hybridMultilevel"/>
    <w:tmpl w:val="FB02278C"/>
    <w:lvl w:ilvl="0" w:tplc="96944188">
      <w:start w:val="1"/>
      <w:numFmt w:val="lowerRoman"/>
      <w:lvlText w:val="(%1)"/>
      <w:lvlJc w:val="left"/>
      <w:pPr>
        <w:ind w:left="972"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866EC644">
      <w:numFmt w:val="bullet"/>
      <w:lvlText w:val="•"/>
      <w:lvlJc w:val="left"/>
      <w:pPr>
        <w:ind w:left="1890" w:hanging="358"/>
      </w:pPr>
      <w:rPr>
        <w:rFonts w:hint="default"/>
        <w:lang w:val="en-US" w:eastAsia="en-US" w:bidi="ar-SA"/>
      </w:rPr>
    </w:lvl>
    <w:lvl w:ilvl="2" w:tplc="A392C0D8">
      <w:numFmt w:val="bullet"/>
      <w:lvlText w:val="•"/>
      <w:lvlJc w:val="left"/>
      <w:pPr>
        <w:ind w:left="2800" w:hanging="358"/>
      </w:pPr>
      <w:rPr>
        <w:rFonts w:hint="default"/>
        <w:lang w:val="en-US" w:eastAsia="en-US" w:bidi="ar-SA"/>
      </w:rPr>
    </w:lvl>
    <w:lvl w:ilvl="3" w:tplc="91C492B2">
      <w:numFmt w:val="bullet"/>
      <w:lvlText w:val="•"/>
      <w:lvlJc w:val="left"/>
      <w:pPr>
        <w:ind w:left="3710" w:hanging="358"/>
      </w:pPr>
      <w:rPr>
        <w:rFonts w:hint="default"/>
        <w:lang w:val="en-US" w:eastAsia="en-US" w:bidi="ar-SA"/>
      </w:rPr>
    </w:lvl>
    <w:lvl w:ilvl="4" w:tplc="3FDA0792">
      <w:numFmt w:val="bullet"/>
      <w:lvlText w:val="•"/>
      <w:lvlJc w:val="left"/>
      <w:pPr>
        <w:ind w:left="4620" w:hanging="358"/>
      </w:pPr>
      <w:rPr>
        <w:rFonts w:hint="default"/>
        <w:lang w:val="en-US" w:eastAsia="en-US" w:bidi="ar-SA"/>
      </w:rPr>
    </w:lvl>
    <w:lvl w:ilvl="5" w:tplc="E65CD324">
      <w:numFmt w:val="bullet"/>
      <w:lvlText w:val="•"/>
      <w:lvlJc w:val="left"/>
      <w:pPr>
        <w:ind w:left="5530" w:hanging="358"/>
      </w:pPr>
      <w:rPr>
        <w:rFonts w:hint="default"/>
        <w:lang w:val="en-US" w:eastAsia="en-US" w:bidi="ar-SA"/>
      </w:rPr>
    </w:lvl>
    <w:lvl w:ilvl="6" w:tplc="9AD45882">
      <w:numFmt w:val="bullet"/>
      <w:lvlText w:val="•"/>
      <w:lvlJc w:val="left"/>
      <w:pPr>
        <w:ind w:left="6440" w:hanging="358"/>
      </w:pPr>
      <w:rPr>
        <w:rFonts w:hint="default"/>
        <w:lang w:val="en-US" w:eastAsia="en-US" w:bidi="ar-SA"/>
      </w:rPr>
    </w:lvl>
    <w:lvl w:ilvl="7" w:tplc="0F382D38">
      <w:numFmt w:val="bullet"/>
      <w:lvlText w:val="•"/>
      <w:lvlJc w:val="left"/>
      <w:pPr>
        <w:ind w:left="7350" w:hanging="358"/>
      </w:pPr>
      <w:rPr>
        <w:rFonts w:hint="default"/>
        <w:lang w:val="en-US" w:eastAsia="en-US" w:bidi="ar-SA"/>
      </w:rPr>
    </w:lvl>
    <w:lvl w:ilvl="8" w:tplc="041ADB80">
      <w:numFmt w:val="bullet"/>
      <w:lvlText w:val="•"/>
      <w:lvlJc w:val="left"/>
      <w:pPr>
        <w:ind w:left="8260" w:hanging="358"/>
      </w:pPr>
      <w:rPr>
        <w:rFonts w:hint="default"/>
        <w:lang w:val="en-US" w:eastAsia="en-US" w:bidi="ar-SA"/>
      </w:rPr>
    </w:lvl>
  </w:abstractNum>
  <w:abstractNum w:abstractNumId="93" w15:restartNumberingAfterBreak="0">
    <w:nsid w:val="2EFE0EFE"/>
    <w:multiLevelType w:val="hybridMultilevel"/>
    <w:tmpl w:val="AC081A60"/>
    <w:lvl w:ilvl="0" w:tplc="3654A346">
      <w:start w:val="1"/>
      <w:numFmt w:val="upperLetter"/>
      <w:lvlText w:val="(%1)"/>
      <w:lvlJc w:val="left"/>
      <w:pPr>
        <w:ind w:left="360" w:hanging="50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4D84248E">
      <w:start w:val="1"/>
      <w:numFmt w:val="decimal"/>
      <w:lvlText w:val="(%2)"/>
      <w:lvlJc w:val="left"/>
      <w:pPr>
        <w:ind w:left="752" w:hanging="393"/>
        <w:jc w:val="left"/>
      </w:pPr>
      <w:rPr>
        <w:rFonts w:ascii="Times New Roman" w:eastAsia="Times New Roman" w:hAnsi="Times New Roman" w:cs="Times New Roman" w:hint="default"/>
        <w:b w:val="0"/>
        <w:bCs w:val="0"/>
        <w:i w:val="0"/>
        <w:iCs w:val="0"/>
        <w:spacing w:val="-5"/>
        <w:w w:val="100"/>
        <w:sz w:val="30"/>
        <w:szCs w:val="30"/>
        <w:lang w:val="en-US" w:eastAsia="en-US" w:bidi="ar-SA"/>
      </w:rPr>
    </w:lvl>
    <w:lvl w:ilvl="2" w:tplc="B6660D90">
      <w:numFmt w:val="bullet"/>
      <w:lvlText w:val="•"/>
      <w:lvlJc w:val="left"/>
      <w:pPr>
        <w:ind w:left="1795" w:hanging="393"/>
      </w:pPr>
      <w:rPr>
        <w:rFonts w:hint="default"/>
        <w:lang w:val="en-US" w:eastAsia="en-US" w:bidi="ar-SA"/>
      </w:rPr>
    </w:lvl>
    <w:lvl w:ilvl="3" w:tplc="B3E8767A">
      <w:numFmt w:val="bullet"/>
      <w:lvlText w:val="•"/>
      <w:lvlJc w:val="left"/>
      <w:pPr>
        <w:ind w:left="2831" w:hanging="393"/>
      </w:pPr>
      <w:rPr>
        <w:rFonts w:hint="default"/>
        <w:lang w:val="en-US" w:eastAsia="en-US" w:bidi="ar-SA"/>
      </w:rPr>
    </w:lvl>
    <w:lvl w:ilvl="4" w:tplc="80EC5CA2">
      <w:numFmt w:val="bullet"/>
      <w:lvlText w:val="•"/>
      <w:lvlJc w:val="left"/>
      <w:pPr>
        <w:ind w:left="3866" w:hanging="393"/>
      </w:pPr>
      <w:rPr>
        <w:rFonts w:hint="default"/>
        <w:lang w:val="en-US" w:eastAsia="en-US" w:bidi="ar-SA"/>
      </w:rPr>
    </w:lvl>
    <w:lvl w:ilvl="5" w:tplc="18E8F26A">
      <w:numFmt w:val="bullet"/>
      <w:lvlText w:val="•"/>
      <w:lvlJc w:val="left"/>
      <w:pPr>
        <w:ind w:left="4902" w:hanging="393"/>
      </w:pPr>
      <w:rPr>
        <w:rFonts w:hint="default"/>
        <w:lang w:val="en-US" w:eastAsia="en-US" w:bidi="ar-SA"/>
      </w:rPr>
    </w:lvl>
    <w:lvl w:ilvl="6" w:tplc="6382F8E8">
      <w:numFmt w:val="bullet"/>
      <w:lvlText w:val="•"/>
      <w:lvlJc w:val="left"/>
      <w:pPr>
        <w:ind w:left="5937" w:hanging="393"/>
      </w:pPr>
      <w:rPr>
        <w:rFonts w:hint="default"/>
        <w:lang w:val="en-US" w:eastAsia="en-US" w:bidi="ar-SA"/>
      </w:rPr>
    </w:lvl>
    <w:lvl w:ilvl="7" w:tplc="749E533E">
      <w:numFmt w:val="bullet"/>
      <w:lvlText w:val="•"/>
      <w:lvlJc w:val="left"/>
      <w:pPr>
        <w:ind w:left="6973" w:hanging="393"/>
      </w:pPr>
      <w:rPr>
        <w:rFonts w:hint="default"/>
        <w:lang w:val="en-US" w:eastAsia="en-US" w:bidi="ar-SA"/>
      </w:rPr>
    </w:lvl>
    <w:lvl w:ilvl="8" w:tplc="C3F659C4">
      <w:numFmt w:val="bullet"/>
      <w:lvlText w:val="•"/>
      <w:lvlJc w:val="left"/>
      <w:pPr>
        <w:ind w:left="8008" w:hanging="393"/>
      </w:pPr>
      <w:rPr>
        <w:rFonts w:hint="default"/>
        <w:lang w:val="en-US" w:eastAsia="en-US" w:bidi="ar-SA"/>
      </w:rPr>
    </w:lvl>
  </w:abstractNum>
  <w:abstractNum w:abstractNumId="94" w15:restartNumberingAfterBreak="0">
    <w:nsid w:val="2F202767"/>
    <w:multiLevelType w:val="hybridMultilevel"/>
    <w:tmpl w:val="9074497E"/>
    <w:lvl w:ilvl="0" w:tplc="DBD2C42E">
      <w:start w:val="1"/>
      <w:numFmt w:val="lowerRoman"/>
      <w:lvlText w:val="(%1)"/>
      <w:lvlJc w:val="left"/>
      <w:pPr>
        <w:ind w:left="360" w:hanging="284"/>
        <w:jc w:val="left"/>
      </w:pPr>
      <w:rPr>
        <w:rFonts w:ascii="Times New Roman" w:eastAsia="Times New Roman" w:hAnsi="Times New Roman" w:cs="Times New Roman" w:hint="default"/>
        <w:b w:val="0"/>
        <w:bCs w:val="0"/>
        <w:i w:val="0"/>
        <w:iCs w:val="0"/>
        <w:spacing w:val="-1"/>
        <w:w w:val="99"/>
        <w:sz w:val="28"/>
        <w:szCs w:val="28"/>
        <w:lang w:val="en-US" w:eastAsia="en-US" w:bidi="ar-SA"/>
      </w:rPr>
    </w:lvl>
    <w:lvl w:ilvl="1" w:tplc="CA6C4C74">
      <w:numFmt w:val="bullet"/>
      <w:lvlText w:val="•"/>
      <w:lvlJc w:val="left"/>
      <w:pPr>
        <w:ind w:left="1332" w:hanging="284"/>
      </w:pPr>
      <w:rPr>
        <w:rFonts w:hint="default"/>
        <w:lang w:val="en-US" w:eastAsia="en-US" w:bidi="ar-SA"/>
      </w:rPr>
    </w:lvl>
    <w:lvl w:ilvl="2" w:tplc="7AD85326">
      <w:numFmt w:val="bullet"/>
      <w:lvlText w:val="•"/>
      <w:lvlJc w:val="left"/>
      <w:pPr>
        <w:ind w:left="2304" w:hanging="284"/>
      </w:pPr>
      <w:rPr>
        <w:rFonts w:hint="default"/>
        <w:lang w:val="en-US" w:eastAsia="en-US" w:bidi="ar-SA"/>
      </w:rPr>
    </w:lvl>
    <w:lvl w:ilvl="3" w:tplc="63566CD4">
      <w:numFmt w:val="bullet"/>
      <w:lvlText w:val="•"/>
      <w:lvlJc w:val="left"/>
      <w:pPr>
        <w:ind w:left="3276" w:hanging="284"/>
      </w:pPr>
      <w:rPr>
        <w:rFonts w:hint="default"/>
        <w:lang w:val="en-US" w:eastAsia="en-US" w:bidi="ar-SA"/>
      </w:rPr>
    </w:lvl>
    <w:lvl w:ilvl="4" w:tplc="933E4DE0">
      <w:numFmt w:val="bullet"/>
      <w:lvlText w:val="•"/>
      <w:lvlJc w:val="left"/>
      <w:pPr>
        <w:ind w:left="4248" w:hanging="284"/>
      </w:pPr>
      <w:rPr>
        <w:rFonts w:hint="default"/>
        <w:lang w:val="en-US" w:eastAsia="en-US" w:bidi="ar-SA"/>
      </w:rPr>
    </w:lvl>
    <w:lvl w:ilvl="5" w:tplc="F07C7472">
      <w:numFmt w:val="bullet"/>
      <w:lvlText w:val="•"/>
      <w:lvlJc w:val="left"/>
      <w:pPr>
        <w:ind w:left="5220" w:hanging="284"/>
      </w:pPr>
      <w:rPr>
        <w:rFonts w:hint="default"/>
        <w:lang w:val="en-US" w:eastAsia="en-US" w:bidi="ar-SA"/>
      </w:rPr>
    </w:lvl>
    <w:lvl w:ilvl="6" w:tplc="A0D6CD88">
      <w:numFmt w:val="bullet"/>
      <w:lvlText w:val="•"/>
      <w:lvlJc w:val="left"/>
      <w:pPr>
        <w:ind w:left="6192" w:hanging="284"/>
      </w:pPr>
      <w:rPr>
        <w:rFonts w:hint="default"/>
        <w:lang w:val="en-US" w:eastAsia="en-US" w:bidi="ar-SA"/>
      </w:rPr>
    </w:lvl>
    <w:lvl w:ilvl="7" w:tplc="8C8A2B12">
      <w:numFmt w:val="bullet"/>
      <w:lvlText w:val="•"/>
      <w:lvlJc w:val="left"/>
      <w:pPr>
        <w:ind w:left="7164" w:hanging="284"/>
      </w:pPr>
      <w:rPr>
        <w:rFonts w:hint="default"/>
        <w:lang w:val="en-US" w:eastAsia="en-US" w:bidi="ar-SA"/>
      </w:rPr>
    </w:lvl>
    <w:lvl w:ilvl="8" w:tplc="B26ED224">
      <w:numFmt w:val="bullet"/>
      <w:lvlText w:val="•"/>
      <w:lvlJc w:val="left"/>
      <w:pPr>
        <w:ind w:left="8136" w:hanging="284"/>
      </w:pPr>
      <w:rPr>
        <w:rFonts w:hint="default"/>
        <w:lang w:val="en-US" w:eastAsia="en-US" w:bidi="ar-SA"/>
      </w:rPr>
    </w:lvl>
  </w:abstractNum>
  <w:abstractNum w:abstractNumId="95" w15:restartNumberingAfterBreak="0">
    <w:nsid w:val="2F285038"/>
    <w:multiLevelType w:val="hybridMultilevel"/>
    <w:tmpl w:val="5A10894C"/>
    <w:lvl w:ilvl="0" w:tplc="D3BC64AE">
      <w:start w:val="1"/>
      <w:numFmt w:val="decimal"/>
      <w:lvlText w:val="(%1)"/>
      <w:lvlJc w:val="left"/>
      <w:pPr>
        <w:ind w:left="360" w:hanging="441"/>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A101932">
      <w:numFmt w:val="bullet"/>
      <w:lvlText w:val="•"/>
      <w:lvlJc w:val="left"/>
      <w:pPr>
        <w:ind w:left="1332" w:hanging="441"/>
      </w:pPr>
      <w:rPr>
        <w:rFonts w:hint="default"/>
        <w:lang w:val="en-US" w:eastAsia="en-US" w:bidi="ar-SA"/>
      </w:rPr>
    </w:lvl>
    <w:lvl w:ilvl="2" w:tplc="F26CC0F6">
      <w:numFmt w:val="bullet"/>
      <w:lvlText w:val="•"/>
      <w:lvlJc w:val="left"/>
      <w:pPr>
        <w:ind w:left="2304" w:hanging="441"/>
      </w:pPr>
      <w:rPr>
        <w:rFonts w:hint="default"/>
        <w:lang w:val="en-US" w:eastAsia="en-US" w:bidi="ar-SA"/>
      </w:rPr>
    </w:lvl>
    <w:lvl w:ilvl="3" w:tplc="2136A026">
      <w:numFmt w:val="bullet"/>
      <w:lvlText w:val="•"/>
      <w:lvlJc w:val="left"/>
      <w:pPr>
        <w:ind w:left="3276" w:hanging="441"/>
      </w:pPr>
      <w:rPr>
        <w:rFonts w:hint="default"/>
        <w:lang w:val="en-US" w:eastAsia="en-US" w:bidi="ar-SA"/>
      </w:rPr>
    </w:lvl>
    <w:lvl w:ilvl="4" w:tplc="6C86E408">
      <w:numFmt w:val="bullet"/>
      <w:lvlText w:val="•"/>
      <w:lvlJc w:val="left"/>
      <w:pPr>
        <w:ind w:left="4248" w:hanging="441"/>
      </w:pPr>
      <w:rPr>
        <w:rFonts w:hint="default"/>
        <w:lang w:val="en-US" w:eastAsia="en-US" w:bidi="ar-SA"/>
      </w:rPr>
    </w:lvl>
    <w:lvl w:ilvl="5" w:tplc="96DE6AC4">
      <w:numFmt w:val="bullet"/>
      <w:lvlText w:val="•"/>
      <w:lvlJc w:val="left"/>
      <w:pPr>
        <w:ind w:left="5220" w:hanging="441"/>
      </w:pPr>
      <w:rPr>
        <w:rFonts w:hint="default"/>
        <w:lang w:val="en-US" w:eastAsia="en-US" w:bidi="ar-SA"/>
      </w:rPr>
    </w:lvl>
    <w:lvl w:ilvl="6" w:tplc="6F8A59EE">
      <w:numFmt w:val="bullet"/>
      <w:lvlText w:val="•"/>
      <w:lvlJc w:val="left"/>
      <w:pPr>
        <w:ind w:left="6192" w:hanging="441"/>
      </w:pPr>
      <w:rPr>
        <w:rFonts w:hint="default"/>
        <w:lang w:val="en-US" w:eastAsia="en-US" w:bidi="ar-SA"/>
      </w:rPr>
    </w:lvl>
    <w:lvl w:ilvl="7" w:tplc="875A277E">
      <w:numFmt w:val="bullet"/>
      <w:lvlText w:val="•"/>
      <w:lvlJc w:val="left"/>
      <w:pPr>
        <w:ind w:left="7164" w:hanging="441"/>
      </w:pPr>
      <w:rPr>
        <w:rFonts w:hint="default"/>
        <w:lang w:val="en-US" w:eastAsia="en-US" w:bidi="ar-SA"/>
      </w:rPr>
    </w:lvl>
    <w:lvl w:ilvl="8" w:tplc="4F8C242E">
      <w:numFmt w:val="bullet"/>
      <w:lvlText w:val="•"/>
      <w:lvlJc w:val="left"/>
      <w:pPr>
        <w:ind w:left="8136" w:hanging="441"/>
      </w:pPr>
      <w:rPr>
        <w:rFonts w:hint="default"/>
        <w:lang w:val="en-US" w:eastAsia="en-US" w:bidi="ar-SA"/>
      </w:rPr>
    </w:lvl>
  </w:abstractNum>
  <w:abstractNum w:abstractNumId="96" w15:restartNumberingAfterBreak="0">
    <w:nsid w:val="2F5F0F24"/>
    <w:multiLevelType w:val="hybridMultilevel"/>
    <w:tmpl w:val="FE6E85E6"/>
    <w:lvl w:ilvl="0" w:tplc="3D62359A">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5907E54">
      <w:numFmt w:val="bullet"/>
      <w:lvlText w:val="•"/>
      <w:lvlJc w:val="left"/>
      <w:pPr>
        <w:ind w:left="1710" w:hanging="425"/>
      </w:pPr>
      <w:rPr>
        <w:rFonts w:hint="default"/>
        <w:lang w:val="en-US" w:eastAsia="en-US" w:bidi="ar-SA"/>
      </w:rPr>
    </w:lvl>
    <w:lvl w:ilvl="2" w:tplc="EF006300">
      <w:numFmt w:val="bullet"/>
      <w:lvlText w:val="•"/>
      <w:lvlJc w:val="left"/>
      <w:pPr>
        <w:ind w:left="2640" w:hanging="425"/>
      </w:pPr>
      <w:rPr>
        <w:rFonts w:hint="default"/>
        <w:lang w:val="en-US" w:eastAsia="en-US" w:bidi="ar-SA"/>
      </w:rPr>
    </w:lvl>
    <w:lvl w:ilvl="3" w:tplc="88D82E2A">
      <w:numFmt w:val="bullet"/>
      <w:lvlText w:val="•"/>
      <w:lvlJc w:val="left"/>
      <w:pPr>
        <w:ind w:left="3570" w:hanging="425"/>
      </w:pPr>
      <w:rPr>
        <w:rFonts w:hint="default"/>
        <w:lang w:val="en-US" w:eastAsia="en-US" w:bidi="ar-SA"/>
      </w:rPr>
    </w:lvl>
    <w:lvl w:ilvl="4" w:tplc="8E5E150E">
      <w:numFmt w:val="bullet"/>
      <w:lvlText w:val="•"/>
      <w:lvlJc w:val="left"/>
      <w:pPr>
        <w:ind w:left="4500" w:hanging="425"/>
      </w:pPr>
      <w:rPr>
        <w:rFonts w:hint="default"/>
        <w:lang w:val="en-US" w:eastAsia="en-US" w:bidi="ar-SA"/>
      </w:rPr>
    </w:lvl>
    <w:lvl w:ilvl="5" w:tplc="2E56F144">
      <w:numFmt w:val="bullet"/>
      <w:lvlText w:val="•"/>
      <w:lvlJc w:val="left"/>
      <w:pPr>
        <w:ind w:left="5430" w:hanging="425"/>
      </w:pPr>
      <w:rPr>
        <w:rFonts w:hint="default"/>
        <w:lang w:val="en-US" w:eastAsia="en-US" w:bidi="ar-SA"/>
      </w:rPr>
    </w:lvl>
    <w:lvl w:ilvl="6" w:tplc="44E44630">
      <w:numFmt w:val="bullet"/>
      <w:lvlText w:val="•"/>
      <w:lvlJc w:val="left"/>
      <w:pPr>
        <w:ind w:left="6360" w:hanging="425"/>
      </w:pPr>
      <w:rPr>
        <w:rFonts w:hint="default"/>
        <w:lang w:val="en-US" w:eastAsia="en-US" w:bidi="ar-SA"/>
      </w:rPr>
    </w:lvl>
    <w:lvl w:ilvl="7" w:tplc="07606484">
      <w:numFmt w:val="bullet"/>
      <w:lvlText w:val="•"/>
      <w:lvlJc w:val="left"/>
      <w:pPr>
        <w:ind w:left="7290" w:hanging="425"/>
      </w:pPr>
      <w:rPr>
        <w:rFonts w:hint="default"/>
        <w:lang w:val="en-US" w:eastAsia="en-US" w:bidi="ar-SA"/>
      </w:rPr>
    </w:lvl>
    <w:lvl w:ilvl="8" w:tplc="71A66CA6">
      <w:numFmt w:val="bullet"/>
      <w:lvlText w:val="•"/>
      <w:lvlJc w:val="left"/>
      <w:pPr>
        <w:ind w:left="8220" w:hanging="425"/>
      </w:pPr>
      <w:rPr>
        <w:rFonts w:hint="default"/>
        <w:lang w:val="en-US" w:eastAsia="en-US" w:bidi="ar-SA"/>
      </w:rPr>
    </w:lvl>
  </w:abstractNum>
  <w:abstractNum w:abstractNumId="97" w15:restartNumberingAfterBreak="0">
    <w:nsid w:val="30F90639"/>
    <w:multiLevelType w:val="multilevel"/>
    <w:tmpl w:val="F4924AA4"/>
    <w:lvl w:ilvl="0">
      <w:start w:val="4"/>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98" w15:restartNumberingAfterBreak="0">
    <w:nsid w:val="31357E36"/>
    <w:multiLevelType w:val="hybridMultilevel"/>
    <w:tmpl w:val="43940C1C"/>
    <w:lvl w:ilvl="0" w:tplc="DFBE1B32">
      <w:start w:val="2"/>
      <w:numFmt w:val="lowerRoman"/>
      <w:lvlText w:val="(%1)"/>
      <w:lvlJc w:val="left"/>
      <w:pPr>
        <w:ind w:left="801" w:hanging="44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8569C60">
      <w:numFmt w:val="bullet"/>
      <w:lvlText w:val="•"/>
      <w:lvlJc w:val="left"/>
      <w:pPr>
        <w:ind w:left="1728" w:hanging="442"/>
      </w:pPr>
      <w:rPr>
        <w:rFonts w:hint="default"/>
        <w:lang w:val="en-US" w:eastAsia="en-US" w:bidi="ar-SA"/>
      </w:rPr>
    </w:lvl>
    <w:lvl w:ilvl="2" w:tplc="9E64E678">
      <w:numFmt w:val="bullet"/>
      <w:lvlText w:val="•"/>
      <w:lvlJc w:val="left"/>
      <w:pPr>
        <w:ind w:left="2656" w:hanging="442"/>
      </w:pPr>
      <w:rPr>
        <w:rFonts w:hint="default"/>
        <w:lang w:val="en-US" w:eastAsia="en-US" w:bidi="ar-SA"/>
      </w:rPr>
    </w:lvl>
    <w:lvl w:ilvl="3" w:tplc="4CEA3706">
      <w:numFmt w:val="bullet"/>
      <w:lvlText w:val="•"/>
      <w:lvlJc w:val="left"/>
      <w:pPr>
        <w:ind w:left="3584" w:hanging="442"/>
      </w:pPr>
      <w:rPr>
        <w:rFonts w:hint="default"/>
        <w:lang w:val="en-US" w:eastAsia="en-US" w:bidi="ar-SA"/>
      </w:rPr>
    </w:lvl>
    <w:lvl w:ilvl="4" w:tplc="34C0F5A6">
      <w:numFmt w:val="bullet"/>
      <w:lvlText w:val="•"/>
      <w:lvlJc w:val="left"/>
      <w:pPr>
        <w:ind w:left="4512" w:hanging="442"/>
      </w:pPr>
      <w:rPr>
        <w:rFonts w:hint="default"/>
        <w:lang w:val="en-US" w:eastAsia="en-US" w:bidi="ar-SA"/>
      </w:rPr>
    </w:lvl>
    <w:lvl w:ilvl="5" w:tplc="8DC8D4EA">
      <w:numFmt w:val="bullet"/>
      <w:lvlText w:val="•"/>
      <w:lvlJc w:val="left"/>
      <w:pPr>
        <w:ind w:left="5440" w:hanging="442"/>
      </w:pPr>
      <w:rPr>
        <w:rFonts w:hint="default"/>
        <w:lang w:val="en-US" w:eastAsia="en-US" w:bidi="ar-SA"/>
      </w:rPr>
    </w:lvl>
    <w:lvl w:ilvl="6" w:tplc="BE52CC0C">
      <w:numFmt w:val="bullet"/>
      <w:lvlText w:val="•"/>
      <w:lvlJc w:val="left"/>
      <w:pPr>
        <w:ind w:left="6368" w:hanging="442"/>
      </w:pPr>
      <w:rPr>
        <w:rFonts w:hint="default"/>
        <w:lang w:val="en-US" w:eastAsia="en-US" w:bidi="ar-SA"/>
      </w:rPr>
    </w:lvl>
    <w:lvl w:ilvl="7" w:tplc="6404658C">
      <w:numFmt w:val="bullet"/>
      <w:lvlText w:val="•"/>
      <w:lvlJc w:val="left"/>
      <w:pPr>
        <w:ind w:left="7296" w:hanging="442"/>
      </w:pPr>
      <w:rPr>
        <w:rFonts w:hint="default"/>
        <w:lang w:val="en-US" w:eastAsia="en-US" w:bidi="ar-SA"/>
      </w:rPr>
    </w:lvl>
    <w:lvl w:ilvl="8" w:tplc="05CA655E">
      <w:numFmt w:val="bullet"/>
      <w:lvlText w:val="•"/>
      <w:lvlJc w:val="left"/>
      <w:pPr>
        <w:ind w:left="8224" w:hanging="442"/>
      </w:pPr>
      <w:rPr>
        <w:rFonts w:hint="default"/>
        <w:lang w:val="en-US" w:eastAsia="en-US" w:bidi="ar-SA"/>
      </w:rPr>
    </w:lvl>
  </w:abstractNum>
  <w:abstractNum w:abstractNumId="99" w15:restartNumberingAfterBreak="0">
    <w:nsid w:val="3253584A"/>
    <w:multiLevelType w:val="multilevel"/>
    <w:tmpl w:val="D35ACB56"/>
    <w:lvl w:ilvl="0">
      <w:start w:val="1"/>
      <w:numFmt w:val="decimal"/>
      <w:lvlText w:val="%1"/>
      <w:lvlJc w:val="left"/>
      <w:pPr>
        <w:ind w:left="1410" w:hanging="1050"/>
        <w:jc w:val="left"/>
      </w:pPr>
      <w:rPr>
        <w:rFonts w:hint="default"/>
        <w:lang w:val="en-US" w:eastAsia="en-US" w:bidi="ar-SA"/>
      </w:rPr>
    </w:lvl>
    <w:lvl w:ilvl="1">
      <w:start w:va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080" w:hanging="1393"/>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344" w:hanging="1393"/>
      </w:pPr>
      <w:rPr>
        <w:rFonts w:hint="default"/>
        <w:lang w:val="en-US" w:eastAsia="en-US" w:bidi="ar-SA"/>
      </w:rPr>
    </w:lvl>
    <w:lvl w:ilvl="4">
      <w:numFmt w:val="bullet"/>
      <w:lvlText w:val="•"/>
      <w:lvlJc w:val="left"/>
      <w:pPr>
        <w:ind w:left="4306" w:hanging="1393"/>
      </w:pPr>
      <w:rPr>
        <w:rFonts w:hint="default"/>
        <w:lang w:val="en-US" w:eastAsia="en-US" w:bidi="ar-SA"/>
      </w:rPr>
    </w:lvl>
    <w:lvl w:ilvl="5">
      <w:numFmt w:val="bullet"/>
      <w:lvlText w:val="•"/>
      <w:lvlJc w:val="left"/>
      <w:pPr>
        <w:ind w:left="5268" w:hanging="1393"/>
      </w:pPr>
      <w:rPr>
        <w:rFonts w:hint="default"/>
        <w:lang w:val="en-US" w:eastAsia="en-US" w:bidi="ar-SA"/>
      </w:rPr>
    </w:lvl>
    <w:lvl w:ilvl="6">
      <w:numFmt w:val="bullet"/>
      <w:lvlText w:val="•"/>
      <w:lvlJc w:val="left"/>
      <w:pPr>
        <w:ind w:left="6231" w:hanging="1393"/>
      </w:pPr>
      <w:rPr>
        <w:rFonts w:hint="default"/>
        <w:lang w:val="en-US" w:eastAsia="en-US" w:bidi="ar-SA"/>
      </w:rPr>
    </w:lvl>
    <w:lvl w:ilvl="7">
      <w:numFmt w:val="bullet"/>
      <w:lvlText w:val="•"/>
      <w:lvlJc w:val="left"/>
      <w:pPr>
        <w:ind w:left="7193" w:hanging="1393"/>
      </w:pPr>
      <w:rPr>
        <w:rFonts w:hint="default"/>
        <w:lang w:val="en-US" w:eastAsia="en-US" w:bidi="ar-SA"/>
      </w:rPr>
    </w:lvl>
    <w:lvl w:ilvl="8">
      <w:numFmt w:val="bullet"/>
      <w:lvlText w:val="•"/>
      <w:lvlJc w:val="left"/>
      <w:pPr>
        <w:ind w:left="8155" w:hanging="1393"/>
      </w:pPr>
      <w:rPr>
        <w:rFonts w:hint="default"/>
        <w:lang w:val="en-US" w:eastAsia="en-US" w:bidi="ar-SA"/>
      </w:rPr>
    </w:lvl>
  </w:abstractNum>
  <w:abstractNum w:abstractNumId="100" w15:restartNumberingAfterBreak="0">
    <w:nsid w:val="329A07B4"/>
    <w:multiLevelType w:val="multilevel"/>
    <w:tmpl w:val="73C4C1BC"/>
    <w:lvl w:ilvl="0">
      <w:start w:val="1"/>
      <w:numFmt w:val="decimal"/>
      <w:lvlText w:val="%1"/>
      <w:lvlJc w:val="left"/>
      <w:pPr>
        <w:ind w:left="360" w:hanging="1590"/>
        <w:jc w:val="left"/>
      </w:pPr>
      <w:rPr>
        <w:rFonts w:hint="default"/>
        <w:lang w:val="en-US" w:eastAsia="en-US" w:bidi="ar-SA"/>
      </w:rPr>
    </w:lvl>
    <w:lvl w:ilvl="1">
      <w:numFmt w:val="decimal"/>
      <w:lvlText w:val="%1.%2"/>
      <w:lvlJc w:val="left"/>
      <w:pPr>
        <w:ind w:left="360" w:hanging="159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1590"/>
      </w:pPr>
      <w:rPr>
        <w:rFonts w:hint="default"/>
        <w:lang w:val="en-US" w:eastAsia="en-US" w:bidi="ar-SA"/>
      </w:rPr>
    </w:lvl>
    <w:lvl w:ilvl="3">
      <w:numFmt w:val="bullet"/>
      <w:lvlText w:val="•"/>
      <w:lvlJc w:val="left"/>
      <w:pPr>
        <w:ind w:left="3276" w:hanging="1590"/>
      </w:pPr>
      <w:rPr>
        <w:rFonts w:hint="default"/>
        <w:lang w:val="en-US" w:eastAsia="en-US" w:bidi="ar-SA"/>
      </w:rPr>
    </w:lvl>
    <w:lvl w:ilvl="4">
      <w:numFmt w:val="bullet"/>
      <w:lvlText w:val="•"/>
      <w:lvlJc w:val="left"/>
      <w:pPr>
        <w:ind w:left="4248" w:hanging="1590"/>
      </w:pPr>
      <w:rPr>
        <w:rFonts w:hint="default"/>
        <w:lang w:val="en-US" w:eastAsia="en-US" w:bidi="ar-SA"/>
      </w:rPr>
    </w:lvl>
    <w:lvl w:ilvl="5">
      <w:numFmt w:val="bullet"/>
      <w:lvlText w:val="•"/>
      <w:lvlJc w:val="left"/>
      <w:pPr>
        <w:ind w:left="5220" w:hanging="1590"/>
      </w:pPr>
      <w:rPr>
        <w:rFonts w:hint="default"/>
        <w:lang w:val="en-US" w:eastAsia="en-US" w:bidi="ar-SA"/>
      </w:rPr>
    </w:lvl>
    <w:lvl w:ilvl="6">
      <w:numFmt w:val="bullet"/>
      <w:lvlText w:val="•"/>
      <w:lvlJc w:val="left"/>
      <w:pPr>
        <w:ind w:left="6192" w:hanging="1590"/>
      </w:pPr>
      <w:rPr>
        <w:rFonts w:hint="default"/>
        <w:lang w:val="en-US" w:eastAsia="en-US" w:bidi="ar-SA"/>
      </w:rPr>
    </w:lvl>
    <w:lvl w:ilvl="7">
      <w:numFmt w:val="bullet"/>
      <w:lvlText w:val="•"/>
      <w:lvlJc w:val="left"/>
      <w:pPr>
        <w:ind w:left="7164" w:hanging="1590"/>
      </w:pPr>
      <w:rPr>
        <w:rFonts w:hint="default"/>
        <w:lang w:val="en-US" w:eastAsia="en-US" w:bidi="ar-SA"/>
      </w:rPr>
    </w:lvl>
    <w:lvl w:ilvl="8">
      <w:numFmt w:val="bullet"/>
      <w:lvlText w:val="•"/>
      <w:lvlJc w:val="left"/>
      <w:pPr>
        <w:ind w:left="8136" w:hanging="1590"/>
      </w:pPr>
      <w:rPr>
        <w:rFonts w:hint="default"/>
        <w:lang w:val="en-US" w:eastAsia="en-US" w:bidi="ar-SA"/>
      </w:rPr>
    </w:lvl>
  </w:abstractNum>
  <w:abstractNum w:abstractNumId="101" w15:restartNumberingAfterBreak="0">
    <w:nsid w:val="33515F47"/>
    <w:multiLevelType w:val="hybridMultilevel"/>
    <w:tmpl w:val="D6983BB8"/>
    <w:lvl w:ilvl="0" w:tplc="6E948234">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9EA631E">
      <w:numFmt w:val="bullet"/>
      <w:lvlText w:val="•"/>
      <w:lvlJc w:val="left"/>
      <w:pPr>
        <w:ind w:left="1656" w:hanging="358"/>
      </w:pPr>
      <w:rPr>
        <w:rFonts w:hint="default"/>
        <w:lang w:val="en-US" w:eastAsia="en-US" w:bidi="ar-SA"/>
      </w:rPr>
    </w:lvl>
    <w:lvl w:ilvl="2" w:tplc="1130D334">
      <w:numFmt w:val="bullet"/>
      <w:lvlText w:val="•"/>
      <w:lvlJc w:val="left"/>
      <w:pPr>
        <w:ind w:left="2592" w:hanging="358"/>
      </w:pPr>
      <w:rPr>
        <w:rFonts w:hint="default"/>
        <w:lang w:val="en-US" w:eastAsia="en-US" w:bidi="ar-SA"/>
      </w:rPr>
    </w:lvl>
    <w:lvl w:ilvl="3" w:tplc="23A4BA0C">
      <w:numFmt w:val="bullet"/>
      <w:lvlText w:val="•"/>
      <w:lvlJc w:val="left"/>
      <w:pPr>
        <w:ind w:left="3528" w:hanging="358"/>
      </w:pPr>
      <w:rPr>
        <w:rFonts w:hint="default"/>
        <w:lang w:val="en-US" w:eastAsia="en-US" w:bidi="ar-SA"/>
      </w:rPr>
    </w:lvl>
    <w:lvl w:ilvl="4" w:tplc="F3EC42EC">
      <w:numFmt w:val="bullet"/>
      <w:lvlText w:val="•"/>
      <w:lvlJc w:val="left"/>
      <w:pPr>
        <w:ind w:left="4464" w:hanging="358"/>
      </w:pPr>
      <w:rPr>
        <w:rFonts w:hint="default"/>
        <w:lang w:val="en-US" w:eastAsia="en-US" w:bidi="ar-SA"/>
      </w:rPr>
    </w:lvl>
    <w:lvl w:ilvl="5" w:tplc="A7806D9C">
      <w:numFmt w:val="bullet"/>
      <w:lvlText w:val="•"/>
      <w:lvlJc w:val="left"/>
      <w:pPr>
        <w:ind w:left="5400" w:hanging="358"/>
      </w:pPr>
      <w:rPr>
        <w:rFonts w:hint="default"/>
        <w:lang w:val="en-US" w:eastAsia="en-US" w:bidi="ar-SA"/>
      </w:rPr>
    </w:lvl>
    <w:lvl w:ilvl="6" w:tplc="846CA0D4">
      <w:numFmt w:val="bullet"/>
      <w:lvlText w:val="•"/>
      <w:lvlJc w:val="left"/>
      <w:pPr>
        <w:ind w:left="6336" w:hanging="358"/>
      </w:pPr>
      <w:rPr>
        <w:rFonts w:hint="default"/>
        <w:lang w:val="en-US" w:eastAsia="en-US" w:bidi="ar-SA"/>
      </w:rPr>
    </w:lvl>
    <w:lvl w:ilvl="7" w:tplc="6F243C02">
      <w:numFmt w:val="bullet"/>
      <w:lvlText w:val="•"/>
      <w:lvlJc w:val="left"/>
      <w:pPr>
        <w:ind w:left="7272" w:hanging="358"/>
      </w:pPr>
      <w:rPr>
        <w:rFonts w:hint="default"/>
        <w:lang w:val="en-US" w:eastAsia="en-US" w:bidi="ar-SA"/>
      </w:rPr>
    </w:lvl>
    <w:lvl w:ilvl="8" w:tplc="8AD82B5C">
      <w:numFmt w:val="bullet"/>
      <w:lvlText w:val="•"/>
      <w:lvlJc w:val="left"/>
      <w:pPr>
        <w:ind w:left="8208" w:hanging="358"/>
      </w:pPr>
      <w:rPr>
        <w:rFonts w:hint="default"/>
        <w:lang w:val="en-US" w:eastAsia="en-US" w:bidi="ar-SA"/>
      </w:rPr>
    </w:lvl>
  </w:abstractNum>
  <w:abstractNum w:abstractNumId="102" w15:restartNumberingAfterBreak="0">
    <w:nsid w:val="336B43DB"/>
    <w:multiLevelType w:val="hybridMultilevel"/>
    <w:tmpl w:val="EC480DAC"/>
    <w:lvl w:ilvl="0" w:tplc="E9D2BA40">
      <w:start w:val="1"/>
      <w:numFmt w:val="upperLetter"/>
      <w:lvlText w:val="(%1)"/>
      <w:lvlJc w:val="left"/>
      <w:pPr>
        <w:ind w:left="851" w:hanging="49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2A26DEA">
      <w:numFmt w:val="bullet"/>
      <w:lvlText w:val="•"/>
      <w:lvlJc w:val="left"/>
      <w:pPr>
        <w:ind w:left="1782" w:hanging="492"/>
      </w:pPr>
      <w:rPr>
        <w:rFonts w:hint="default"/>
        <w:lang w:val="en-US" w:eastAsia="en-US" w:bidi="ar-SA"/>
      </w:rPr>
    </w:lvl>
    <w:lvl w:ilvl="2" w:tplc="0592F4C0">
      <w:numFmt w:val="bullet"/>
      <w:lvlText w:val="•"/>
      <w:lvlJc w:val="left"/>
      <w:pPr>
        <w:ind w:left="2704" w:hanging="492"/>
      </w:pPr>
      <w:rPr>
        <w:rFonts w:hint="default"/>
        <w:lang w:val="en-US" w:eastAsia="en-US" w:bidi="ar-SA"/>
      </w:rPr>
    </w:lvl>
    <w:lvl w:ilvl="3" w:tplc="0DAE1652">
      <w:numFmt w:val="bullet"/>
      <w:lvlText w:val="•"/>
      <w:lvlJc w:val="left"/>
      <w:pPr>
        <w:ind w:left="3626" w:hanging="492"/>
      </w:pPr>
      <w:rPr>
        <w:rFonts w:hint="default"/>
        <w:lang w:val="en-US" w:eastAsia="en-US" w:bidi="ar-SA"/>
      </w:rPr>
    </w:lvl>
    <w:lvl w:ilvl="4" w:tplc="8E085D0A">
      <w:numFmt w:val="bullet"/>
      <w:lvlText w:val="•"/>
      <w:lvlJc w:val="left"/>
      <w:pPr>
        <w:ind w:left="4548" w:hanging="492"/>
      </w:pPr>
      <w:rPr>
        <w:rFonts w:hint="default"/>
        <w:lang w:val="en-US" w:eastAsia="en-US" w:bidi="ar-SA"/>
      </w:rPr>
    </w:lvl>
    <w:lvl w:ilvl="5" w:tplc="A280767E">
      <w:numFmt w:val="bullet"/>
      <w:lvlText w:val="•"/>
      <w:lvlJc w:val="left"/>
      <w:pPr>
        <w:ind w:left="5470" w:hanging="492"/>
      </w:pPr>
      <w:rPr>
        <w:rFonts w:hint="default"/>
        <w:lang w:val="en-US" w:eastAsia="en-US" w:bidi="ar-SA"/>
      </w:rPr>
    </w:lvl>
    <w:lvl w:ilvl="6" w:tplc="5F469438">
      <w:numFmt w:val="bullet"/>
      <w:lvlText w:val="•"/>
      <w:lvlJc w:val="left"/>
      <w:pPr>
        <w:ind w:left="6392" w:hanging="492"/>
      </w:pPr>
      <w:rPr>
        <w:rFonts w:hint="default"/>
        <w:lang w:val="en-US" w:eastAsia="en-US" w:bidi="ar-SA"/>
      </w:rPr>
    </w:lvl>
    <w:lvl w:ilvl="7" w:tplc="CFC8CF42">
      <w:numFmt w:val="bullet"/>
      <w:lvlText w:val="•"/>
      <w:lvlJc w:val="left"/>
      <w:pPr>
        <w:ind w:left="7314" w:hanging="492"/>
      </w:pPr>
      <w:rPr>
        <w:rFonts w:hint="default"/>
        <w:lang w:val="en-US" w:eastAsia="en-US" w:bidi="ar-SA"/>
      </w:rPr>
    </w:lvl>
    <w:lvl w:ilvl="8" w:tplc="ADC61246">
      <w:numFmt w:val="bullet"/>
      <w:lvlText w:val="•"/>
      <w:lvlJc w:val="left"/>
      <w:pPr>
        <w:ind w:left="8236" w:hanging="492"/>
      </w:pPr>
      <w:rPr>
        <w:rFonts w:hint="default"/>
        <w:lang w:val="en-US" w:eastAsia="en-US" w:bidi="ar-SA"/>
      </w:rPr>
    </w:lvl>
  </w:abstractNum>
  <w:abstractNum w:abstractNumId="103" w15:restartNumberingAfterBreak="0">
    <w:nsid w:val="33E80D50"/>
    <w:multiLevelType w:val="multilevel"/>
    <w:tmpl w:val="CD26CF5E"/>
    <w:lvl w:ilvl="0">
      <w:start w:val="5"/>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04" w15:restartNumberingAfterBreak="0">
    <w:nsid w:val="358B66EF"/>
    <w:multiLevelType w:val="multilevel"/>
    <w:tmpl w:val="77A8E050"/>
    <w:lvl w:ilvl="0">
      <w:start w:val="7"/>
      <w:numFmt w:val="decimal"/>
      <w:lvlText w:val="%1"/>
      <w:lvlJc w:val="left"/>
      <w:pPr>
        <w:ind w:left="780" w:hanging="630"/>
        <w:jc w:val="left"/>
      </w:pPr>
      <w:rPr>
        <w:rFonts w:hint="default"/>
        <w:lang w:val="en-US" w:eastAsia="en-US" w:bidi="ar-SA"/>
      </w:rPr>
    </w:lvl>
    <w:lvl w:ilvl="1">
      <w:numFmt w:val="decimal"/>
      <w:lvlText w:val="%1.%2"/>
      <w:lvlJc w:val="left"/>
      <w:pPr>
        <w:ind w:left="78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640" w:hanging="630"/>
      </w:pPr>
      <w:rPr>
        <w:rFonts w:hint="default"/>
        <w:lang w:val="en-US" w:eastAsia="en-US" w:bidi="ar-SA"/>
      </w:rPr>
    </w:lvl>
    <w:lvl w:ilvl="3">
      <w:numFmt w:val="bullet"/>
      <w:lvlText w:val="•"/>
      <w:lvlJc w:val="left"/>
      <w:pPr>
        <w:ind w:left="3570" w:hanging="630"/>
      </w:pPr>
      <w:rPr>
        <w:rFonts w:hint="default"/>
        <w:lang w:val="en-US" w:eastAsia="en-US" w:bidi="ar-SA"/>
      </w:rPr>
    </w:lvl>
    <w:lvl w:ilvl="4">
      <w:numFmt w:val="bullet"/>
      <w:lvlText w:val="•"/>
      <w:lvlJc w:val="left"/>
      <w:pPr>
        <w:ind w:left="4500" w:hanging="630"/>
      </w:pPr>
      <w:rPr>
        <w:rFonts w:hint="default"/>
        <w:lang w:val="en-US" w:eastAsia="en-US" w:bidi="ar-SA"/>
      </w:rPr>
    </w:lvl>
    <w:lvl w:ilvl="5">
      <w:numFmt w:val="bullet"/>
      <w:lvlText w:val="•"/>
      <w:lvlJc w:val="left"/>
      <w:pPr>
        <w:ind w:left="5430" w:hanging="630"/>
      </w:pPr>
      <w:rPr>
        <w:rFonts w:hint="default"/>
        <w:lang w:val="en-US" w:eastAsia="en-US" w:bidi="ar-SA"/>
      </w:rPr>
    </w:lvl>
    <w:lvl w:ilvl="6">
      <w:numFmt w:val="bullet"/>
      <w:lvlText w:val="•"/>
      <w:lvlJc w:val="left"/>
      <w:pPr>
        <w:ind w:left="6360" w:hanging="630"/>
      </w:pPr>
      <w:rPr>
        <w:rFonts w:hint="default"/>
        <w:lang w:val="en-US" w:eastAsia="en-US" w:bidi="ar-SA"/>
      </w:rPr>
    </w:lvl>
    <w:lvl w:ilvl="7">
      <w:numFmt w:val="bullet"/>
      <w:lvlText w:val="•"/>
      <w:lvlJc w:val="left"/>
      <w:pPr>
        <w:ind w:left="7290" w:hanging="630"/>
      </w:pPr>
      <w:rPr>
        <w:rFonts w:hint="default"/>
        <w:lang w:val="en-US" w:eastAsia="en-US" w:bidi="ar-SA"/>
      </w:rPr>
    </w:lvl>
    <w:lvl w:ilvl="8">
      <w:numFmt w:val="bullet"/>
      <w:lvlText w:val="•"/>
      <w:lvlJc w:val="left"/>
      <w:pPr>
        <w:ind w:left="8220" w:hanging="630"/>
      </w:pPr>
      <w:rPr>
        <w:rFonts w:hint="default"/>
        <w:lang w:val="en-US" w:eastAsia="en-US" w:bidi="ar-SA"/>
      </w:rPr>
    </w:lvl>
  </w:abstractNum>
  <w:abstractNum w:abstractNumId="105" w15:restartNumberingAfterBreak="0">
    <w:nsid w:val="36A044DF"/>
    <w:multiLevelType w:val="hybridMultilevel"/>
    <w:tmpl w:val="DB1070FC"/>
    <w:lvl w:ilvl="0" w:tplc="E8B8A036">
      <w:start w:val="1"/>
      <w:numFmt w:val="decimal"/>
      <w:lvlText w:val="(%1)"/>
      <w:lvlJc w:val="left"/>
      <w:pPr>
        <w:ind w:left="360" w:hanging="440"/>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DB667ED8">
      <w:numFmt w:val="bullet"/>
      <w:lvlText w:val="•"/>
      <w:lvlJc w:val="left"/>
      <w:pPr>
        <w:ind w:left="1332" w:hanging="440"/>
      </w:pPr>
      <w:rPr>
        <w:rFonts w:hint="default"/>
        <w:lang w:val="en-US" w:eastAsia="en-US" w:bidi="ar-SA"/>
      </w:rPr>
    </w:lvl>
    <w:lvl w:ilvl="2" w:tplc="C0900BE0">
      <w:numFmt w:val="bullet"/>
      <w:lvlText w:val="•"/>
      <w:lvlJc w:val="left"/>
      <w:pPr>
        <w:ind w:left="2304" w:hanging="440"/>
      </w:pPr>
      <w:rPr>
        <w:rFonts w:hint="default"/>
        <w:lang w:val="en-US" w:eastAsia="en-US" w:bidi="ar-SA"/>
      </w:rPr>
    </w:lvl>
    <w:lvl w:ilvl="3" w:tplc="064847E4">
      <w:numFmt w:val="bullet"/>
      <w:lvlText w:val="•"/>
      <w:lvlJc w:val="left"/>
      <w:pPr>
        <w:ind w:left="3276" w:hanging="440"/>
      </w:pPr>
      <w:rPr>
        <w:rFonts w:hint="default"/>
        <w:lang w:val="en-US" w:eastAsia="en-US" w:bidi="ar-SA"/>
      </w:rPr>
    </w:lvl>
    <w:lvl w:ilvl="4" w:tplc="589CDAE0">
      <w:numFmt w:val="bullet"/>
      <w:lvlText w:val="•"/>
      <w:lvlJc w:val="left"/>
      <w:pPr>
        <w:ind w:left="4248" w:hanging="440"/>
      </w:pPr>
      <w:rPr>
        <w:rFonts w:hint="default"/>
        <w:lang w:val="en-US" w:eastAsia="en-US" w:bidi="ar-SA"/>
      </w:rPr>
    </w:lvl>
    <w:lvl w:ilvl="5" w:tplc="6E5AE72E">
      <w:numFmt w:val="bullet"/>
      <w:lvlText w:val="•"/>
      <w:lvlJc w:val="left"/>
      <w:pPr>
        <w:ind w:left="5220" w:hanging="440"/>
      </w:pPr>
      <w:rPr>
        <w:rFonts w:hint="default"/>
        <w:lang w:val="en-US" w:eastAsia="en-US" w:bidi="ar-SA"/>
      </w:rPr>
    </w:lvl>
    <w:lvl w:ilvl="6" w:tplc="87CE758C">
      <w:numFmt w:val="bullet"/>
      <w:lvlText w:val="•"/>
      <w:lvlJc w:val="left"/>
      <w:pPr>
        <w:ind w:left="6192" w:hanging="440"/>
      </w:pPr>
      <w:rPr>
        <w:rFonts w:hint="default"/>
        <w:lang w:val="en-US" w:eastAsia="en-US" w:bidi="ar-SA"/>
      </w:rPr>
    </w:lvl>
    <w:lvl w:ilvl="7" w:tplc="FCDE779A">
      <w:numFmt w:val="bullet"/>
      <w:lvlText w:val="•"/>
      <w:lvlJc w:val="left"/>
      <w:pPr>
        <w:ind w:left="7164" w:hanging="440"/>
      </w:pPr>
      <w:rPr>
        <w:rFonts w:hint="default"/>
        <w:lang w:val="en-US" w:eastAsia="en-US" w:bidi="ar-SA"/>
      </w:rPr>
    </w:lvl>
    <w:lvl w:ilvl="8" w:tplc="C6B8FAB6">
      <w:numFmt w:val="bullet"/>
      <w:lvlText w:val="•"/>
      <w:lvlJc w:val="left"/>
      <w:pPr>
        <w:ind w:left="8136" w:hanging="440"/>
      </w:pPr>
      <w:rPr>
        <w:rFonts w:hint="default"/>
        <w:lang w:val="en-US" w:eastAsia="en-US" w:bidi="ar-SA"/>
      </w:rPr>
    </w:lvl>
  </w:abstractNum>
  <w:abstractNum w:abstractNumId="106" w15:restartNumberingAfterBreak="0">
    <w:nsid w:val="37806AA6"/>
    <w:multiLevelType w:val="multilevel"/>
    <w:tmpl w:val="6E7ADE00"/>
    <w:lvl w:ilvl="0">
      <w:start w:val="7"/>
      <w:numFmt w:val="decimal"/>
      <w:lvlText w:val="%1"/>
      <w:lvlJc w:val="left"/>
      <w:pPr>
        <w:ind w:left="360" w:hanging="1107"/>
        <w:jc w:val="left"/>
      </w:pPr>
      <w:rPr>
        <w:rFonts w:hint="default"/>
        <w:lang w:val="en-US" w:eastAsia="en-US" w:bidi="ar-SA"/>
      </w:rPr>
    </w:lvl>
    <w:lvl w:ilvl="1">
      <w:numFmt w:val="decimal"/>
      <w:lvlText w:val="%1.%2"/>
      <w:lvlJc w:val="left"/>
      <w:pPr>
        <w:ind w:left="360" w:hanging="1107"/>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07" w15:restartNumberingAfterBreak="0">
    <w:nsid w:val="3860062C"/>
    <w:multiLevelType w:val="hybridMultilevel"/>
    <w:tmpl w:val="00505544"/>
    <w:lvl w:ilvl="0" w:tplc="6B8E89E0">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F70A0FE">
      <w:numFmt w:val="bullet"/>
      <w:lvlText w:val="•"/>
      <w:lvlJc w:val="left"/>
      <w:pPr>
        <w:ind w:left="1332" w:hanging="425"/>
      </w:pPr>
      <w:rPr>
        <w:rFonts w:hint="default"/>
        <w:lang w:val="en-US" w:eastAsia="en-US" w:bidi="ar-SA"/>
      </w:rPr>
    </w:lvl>
    <w:lvl w:ilvl="2" w:tplc="9E686E1A">
      <w:numFmt w:val="bullet"/>
      <w:lvlText w:val="•"/>
      <w:lvlJc w:val="left"/>
      <w:pPr>
        <w:ind w:left="2304" w:hanging="425"/>
      </w:pPr>
      <w:rPr>
        <w:rFonts w:hint="default"/>
        <w:lang w:val="en-US" w:eastAsia="en-US" w:bidi="ar-SA"/>
      </w:rPr>
    </w:lvl>
    <w:lvl w:ilvl="3" w:tplc="74DE0AAA">
      <w:numFmt w:val="bullet"/>
      <w:lvlText w:val="•"/>
      <w:lvlJc w:val="left"/>
      <w:pPr>
        <w:ind w:left="3276" w:hanging="425"/>
      </w:pPr>
      <w:rPr>
        <w:rFonts w:hint="default"/>
        <w:lang w:val="en-US" w:eastAsia="en-US" w:bidi="ar-SA"/>
      </w:rPr>
    </w:lvl>
    <w:lvl w:ilvl="4" w:tplc="63A4FD3E">
      <w:numFmt w:val="bullet"/>
      <w:lvlText w:val="•"/>
      <w:lvlJc w:val="left"/>
      <w:pPr>
        <w:ind w:left="4248" w:hanging="425"/>
      </w:pPr>
      <w:rPr>
        <w:rFonts w:hint="default"/>
        <w:lang w:val="en-US" w:eastAsia="en-US" w:bidi="ar-SA"/>
      </w:rPr>
    </w:lvl>
    <w:lvl w:ilvl="5" w:tplc="CA4AFD6E">
      <w:numFmt w:val="bullet"/>
      <w:lvlText w:val="•"/>
      <w:lvlJc w:val="left"/>
      <w:pPr>
        <w:ind w:left="5220" w:hanging="425"/>
      </w:pPr>
      <w:rPr>
        <w:rFonts w:hint="default"/>
        <w:lang w:val="en-US" w:eastAsia="en-US" w:bidi="ar-SA"/>
      </w:rPr>
    </w:lvl>
    <w:lvl w:ilvl="6" w:tplc="F9B2DF2A">
      <w:numFmt w:val="bullet"/>
      <w:lvlText w:val="•"/>
      <w:lvlJc w:val="left"/>
      <w:pPr>
        <w:ind w:left="6192" w:hanging="425"/>
      </w:pPr>
      <w:rPr>
        <w:rFonts w:hint="default"/>
        <w:lang w:val="en-US" w:eastAsia="en-US" w:bidi="ar-SA"/>
      </w:rPr>
    </w:lvl>
    <w:lvl w:ilvl="7" w:tplc="E146FA78">
      <w:numFmt w:val="bullet"/>
      <w:lvlText w:val="•"/>
      <w:lvlJc w:val="left"/>
      <w:pPr>
        <w:ind w:left="7164" w:hanging="425"/>
      </w:pPr>
      <w:rPr>
        <w:rFonts w:hint="default"/>
        <w:lang w:val="en-US" w:eastAsia="en-US" w:bidi="ar-SA"/>
      </w:rPr>
    </w:lvl>
    <w:lvl w:ilvl="8" w:tplc="636C98AA">
      <w:numFmt w:val="bullet"/>
      <w:lvlText w:val="•"/>
      <w:lvlJc w:val="left"/>
      <w:pPr>
        <w:ind w:left="8136" w:hanging="425"/>
      </w:pPr>
      <w:rPr>
        <w:rFonts w:hint="default"/>
        <w:lang w:val="en-US" w:eastAsia="en-US" w:bidi="ar-SA"/>
      </w:rPr>
    </w:lvl>
  </w:abstractNum>
  <w:abstractNum w:abstractNumId="108" w15:restartNumberingAfterBreak="0">
    <w:nsid w:val="3893245F"/>
    <w:multiLevelType w:val="multilevel"/>
    <w:tmpl w:val="288E48D6"/>
    <w:lvl w:ilvl="0">
      <w:start w:val="4"/>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09" w15:restartNumberingAfterBreak="0">
    <w:nsid w:val="38A42FD6"/>
    <w:multiLevelType w:val="hybridMultilevel"/>
    <w:tmpl w:val="DE561BEC"/>
    <w:lvl w:ilvl="0" w:tplc="8BCEC592">
      <w:start w:val="1"/>
      <w:numFmt w:val="lowerLetter"/>
      <w:lvlText w:val="(%1)"/>
      <w:lvlJc w:val="left"/>
      <w:pPr>
        <w:ind w:left="360" w:hanging="46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B6875C8">
      <w:numFmt w:val="bullet"/>
      <w:lvlText w:val="•"/>
      <w:lvlJc w:val="left"/>
      <w:pPr>
        <w:ind w:left="1332" w:hanging="469"/>
      </w:pPr>
      <w:rPr>
        <w:rFonts w:hint="default"/>
        <w:lang w:val="en-US" w:eastAsia="en-US" w:bidi="ar-SA"/>
      </w:rPr>
    </w:lvl>
    <w:lvl w:ilvl="2" w:tplc="17F47082">
      <w:numFmt w:val="bullet"/>
      <w:lvlText w:val="•"/>
      <w:lvlJc w:val="left"/>
      <w:pPr>
        <w:ind w:left="2304" w:hanging="469"/>
      </w:pPr>
      <w:rPr>
        <w:rFonts w:hint="default"/>
        <w:lang w:val="en-US" w:eastAsia="en-US" w:bidi="ar-SA"/>
      </w:rPr>
    </w:lvl>
    <w:lvl w:ilvl="3" w:tplc="C08EB942">
      <w:numFmt w:val="bullet"/>
      <w:lvlText w:val="•"/>
      <w:lvlJc w:val="left"/>
      <w:pPr>
        <w:ind w:left="3276" w:hanging="469"/>
      </w:pPr>
      <w:rPr>
        <w:rFonts w:hint="default"/>
        <w:lang w:val="en-US" w:eastAsia="en-US" w:bidi="ar-SA"/>
      </w:rPr>
    </w:lvl>
    <w:lvl w:ilvl="4" w:tplc="BC7A3A58">
      <w:numFmt w:val="bullet"/>
      <w:lvlText w:val="•"/>
      <w:lvlJc w:val="left"/>
      <w:pPr>
        <w:ind w:left="4248" w:hanging="469"/>
      </w:pPr>
      <w:rPr>
        <w:rFonts w:hint="default"/>
        <w:lang w:val="en-US" w:eastAsia="en-US" w:bidi="ar-SA"/>
      </w:rPr>
    </w:lvl>
    <w:lvl w:ilvl="5" w:tplc="9D183B3E">
      <w:numFmt w:val="bullet"/>
      <w:lvlText w:val="•"/>
      <w:lvlJc w:val="left"/>
      <w:pPr>
        <w:ind w:left="5220" w:hanging="469"/>
      </w:pPr>
      <w:rPr>
        <w:rFonts w:hint="default"/>
        <w:lang w:val="en-US" w:eastAsia="en-US" w:bidi="ar-SA"/>
      </w:rPr>
    </w:lvl>
    <w:lvl w:ilvl="6" w:tplc="46A8F888">
      <w:numFmt w:val="bullet"/>
      <w:lvlText w:val="•"/>
      <w:lvlJc w:val="left"/>
      <w:pPr>
        <w:ind w:left="6192" w:hanging="469"/>
      </w:pPr>
      <w:rPr>
        <w:rFonts w:hint="default"/>
        <w:lang w:val="en-US" w:eastAsia="en-US" w:bidi="ar-SA"/>
      </w:rPr>
    </w:lvl>
    <w:lvl w:ilvl="7" w:tplc="06DEAEC0">
      <w:numFmt w:val="bullet"/>
      <w:lvlText w:val="•"/>
      <w:lvlJc w:val="left"/>
      <w:pPr>
        <w:ind w:left="7164" w:hanging="469"/>
      </w:pPr>
      <w:rPr>
        <w:rFonts w:hint="default"/>
        <w:lang w:val="en-US" w:eastAsia="en-US" w:bidi="ar-SA"/>
      </w:rPr>
    </w:lvl>
    <w:lvl w:ilvl="8" w:tplc="89F4F0BC">
      <w:numFmt w:val="bullet"/>
      <w:lvlText w:val="•"/>
      <w:lvlJc w:val="left"/>
      <w:pPr>
        <w:ind w:left="8136" w:hanging="469"/>
      </w:pPr>
      <w:rPr>
        <w:rFonts w:hint="default"/>
        <w:lang w:val="en-US" w:eastAsia="en-US" w:bidi="ar-SA"/>
      </w:rPr>
    </w:lvl>
  </w:abstractNum>
  <w:abstractNum w:abstractNumId="110" w15:restartNumberingAfterBreak="0">
    <w:nsid w:val="395D6B8E"/>
    <w:multiLevelType w:val="multilevel"/>
    <w:tmpl w:val="E8FCA066"/>
    <w:lvl w:ilvl="0">
      <w:start w:val="7"/>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3)"/>
      <w:lvlJc w:val="left"/>
      <w:pPr>
        <w:ind w:left="114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3">
      <w:numFmt w:val="bullet"/>
      <w:lvlText w:val="•"/>
      <w:lvlJc w:val="left"/>
      <w:pPr>
        <w:ind w:left="3126" w:hanging="425"/>
      </w:pPr>
      <w:rPr>
        <w:rFonts w:hint="default"/>
        <w:lang w:val="en-US" w:eastAsia="en-US" w:bidi="ar-SA"/>
      </w:rPr>
    </w:lvl>
    <w:lvl w:ilvl="4">
      <w:numFmt w:val="bullet"/>
      <w:lvlText w:val="•"/>
      <w:lvlJc w:val="left"/>
      <w:pPr>
        <w:ind w:left="4120" w:hanging="425"/>
      </w:pPr>
      <w:rPr>
        <w:rFonts w:hint="default"/>
        <w:lang w:val="en-US" w:eastAsia="en-US" w:bidi="ar-SA"/>
      </w:rPr>
    </w:lvl>
    <w:lvl w:ilvl="5">
      <w:numFmt w:val="bullet"/>
      <w:lvlText w:val="•"/>
      <w:lvlJc w:val="left"/>
      <w:pPr>
        <w:ind w:left="5113" w:hanging="425"/>
      </w:pPr>
      <w:rPr>
        <w:rFonts w:hint="default"/>
        <w:lang w:val="en-US" w:eastAsia="en-US" w:bidi="ar-SA"/>
      </w:rPr>
    </w:lvl>
    <w:lvl w:ilvl="6">
      <w:numFmt w:val="bullet"/>
      <w:lvlText w:val="•"/>
      <w:lvlJc w:val="left"/>
      <w:pPr>
        <w:ind w:left="6106" w:hanging="425"/>
      </w:pPr>
      <w:rPr>
        <w:rFonts w:hint="default"/>
        <w:lang w:val="en-US" w:eastAsia="en-US" w:bidi="ar-SA"/>
      </w:rPr>
    </w:lvl>
    <w:lvl w:ilvl="7">
      <w:numFmt w:val="bullet"/>
      <w:lvlText w:val="•"/>
      <w:lvlJc w:val="left"/>
      <w:pPr>
        <w:ind w:left="7100" w:hanging="425"/>
      </w:pPr>
      <w:rPr>
        <w:rFonts w:hint="default"/>
        <w:lang w:val="en-US" w:eastAsia="en-US" w:bidi="ar-SA"/>
      </w:rPr>
    </w:lvl>
    <w:lvl w:ilvl="8">
      <w:numFmt w:val="bullet"/>
      <w:lvlText w:val="•"/>
      <w:lvlJc w:val="left"/>
      <w:pPr>
        <w:ind w:left="8093" w:hanging="425"/>
      </w:pPr>
      <w:rPr>
        <w:rFonts w:hint="default"/>
        <w:lang w:val="en-US" w:eastAsia="en-US" w:bidi="ar-SA"/>
      </w:rPr>
    </w:lvl>
  </w:abstractNum>
  <w:abstractNum w:abstractNumId="111" w15:restartNumberingAfterBreak="0">
    <w:nsid w:val="39763039"/>
    <w:multiLevelType w:val="multilevel"/>
    <w:tmpl w:val="787EFC12"/>
    <w:lvl w:ilvl="0">
      <w:start w:val="4"/>
      <w:numFmt w:val="decimal"/>
      <w:lvlText w:val="%1"/>
      <w:lvlJc w:val="left"/>
      <w:pPr>
        <w:ind w:left="990" w:hanging="630"/>
        <w:jc w:val="left"/>
      </w:pPr>
      <w:rPr>
        <w:rFonts w:hint="default"/>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12" w15:restartNumberingAfterBreak="0">
    <w:nsid w:val="398303E5"/>
    <w:multiLevelType w:val="multilevel"/>
    <w:tmpl w:val="2E9EB6F2"/>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13" w15:restartNumberingAfterBreak="0">
    <w:nsid w:val="39FF2A3A"/>
    <w:multiLevelType w:val="hybridMultilevel"/>
    <w:tmpl w:val="38FA2A36"/>
    <w:lvl w:ilvl="0" w:tplc="A7BEBBAE">
      <w:start w:val="1"/>
      <w:numFmt w:val="decimal"/>
      <w:lvlText w:val="(%1)"/>
      <w:lvlJc w:val="left"/>
      <w:pPr>
        <w:ind w:left="360" w:hanging="48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A0E4504">
      <w:numFmt w:val="bullet"/>
      <w:lvlText w:val="•"/>
      <w:lvlJc w:val="left"/>
      <w:pPr>
        <w:ind w:left="1332" w:hanging="487"/>
      </w:pPr>
      <w:rPr>
        <w:rFonts w:hint="default"/>
        <w:lang w:val="en-US" w:eastAsia="en-US" w:bidi="ar-SA"/>
      </w:rPr>
    </w:lvl>
    <w:lvl w:ilvl="2" w:tplc="27FC54D4">
      <w:numFmt w:val="bullet"/>
      <w:lvlText w:val="•"/>
      <w:lvlJc w:val="left"/>
      <w:pPr>
        <w:ind w:left="2304" w:hanging="487"/>
      </w:pPr>
      <w:rPr>
        <w:rFonts w:hint="default"/>
        <w:lang w:val="en-US" w:eastAsia="en-US" w:bidi="ar-SA"/>
      </w:rPr>
    </w:lvl>
    <w:lvl w:ilvl="3" w:tplc="B8F2898A">
      <w:numFmt w:val="bullet"/>
      <w:lvlText w:val="•"/>
      <w:lvlJc w:val="left"/>
      <w:pPr>
        <w:ind w:left="3276" w:hanging="487"/>
      </w:pPr>
      <w:rPr>
        <w:rFonts w:hint="default"/>
        <w:lang w:val="en-US" w:eastAsia="en-US" w:bidi="ar-SA"/>
      </w:rPr>
    </w:lvl>
    <w:lvl w:ilvl="4" w:tplc="0CB24692">
      <w:numFmt w:val="bullet"/>
      <w:lvlText w:val="•"/>
      <w:lvlJc w:val="left"/>
      <w:pPr>
        <w:ind w:left="4248" w:hanging="487"/>
      </w:pPr>
      <w:rPr>
        <w:rFonts w:hint="default"/>
        <w:lang w:val="en-US" w:eastAsia="en-US" w:bidi="ar-SA"/>
      </w:rPr>
    </w:lvl>
    <w:lvl w:ilvl="5" w:tplc="9B743164">
      <w:numFmt w:val="bullet"/>
      <w:lvlText w:val="•"/>
      <w:lvlJc w:val="left"/>
      <w:pPr>
        <w:ind w:left="5220" w:hanging="487"/>
      </w:pPr>
      <w:rPr>
        <w:rFonts w:hint="default"/>
        <w:lang w:val="en-US" w:eastAsia="en-US" w:bidi="ar-SA"/>
      </w:rPr>
    </w:lvl>
    <w:lvl w:ilvl="6" w:tplc="39223E62">
      <w:numFmt w:val="bullet"/>
      <w:lvlText w:val="•"/>
      <w:lvlJc w:val="left"/>
      <w:pPr>
        <w:ind w:left="6192" w:hanging="487"/>
      </w:pPr>
      <w:rPr>
        <w:rFonts w:hint="default"/>
        <w:lang w:val="en-US" w:eastAsia="en-US" w:bidi="ar-SA"/>
      </w:rPr>
    </w:lvl>
    <w:lvl w:ilvl="7" w:tplc="BEFEA702">
      <w:numFmt w:val="bullet"/>
      <w:lvlText w:val="•"/>
      <w:lvlJc w:val="left"/>
      <w:pPr>
        <w:ind w:left="7164" w:hanging="487"/>
      </w:pPr>
      <w:rPr>
        <w:rFonts w:hint="default"/>
        <w:lang w:val="en-US" w:eastAsia="en-US" w:bidi="ar-SA"/>
      </w:rPr>
    </w:lvl>
    <w:lvl w:ilvl="8" w:tplc="9FF87B4C">
      <w:numFmt w:val="bullet"/>
      <w:lvlText w:val="•"/>
      <w:lvlJc w:val="left"/>
      <w:pPr>
        <w:ind w:left="8136" w:hanging="487"/>
      </w:pPr>
      <w:rPr>
        <w:rFonts w:hint="default"/>
        <w:lang w:val="en-US" w:eastAsia="en-US" w:bidi="ar-SA"/>
      </w:rPr>
    </w:lvl>
  </w:abstractNum>
  <w:abstractNum w:abstractNumId="114" w15:restartNumberingAfterBreak="0">
    <w:nsid w:val="3A0935B2"/>
    <w:multiLevelType w:val="hybridMultilevel"/>
    <w:tmpl w:val="3D125F1C"/>
    <w:lvl w:ilvl="0" w:tplc="51B60338">
      <w:start w:val="5"/>
      <w:numFmt w:val="decimal"/>
      <w:lvlText w:val="(%1)"/>
      <w:lvlJc w:val="left"/>
      <w:pPr>
        <w:ind w:left="360" w:hanging="533"/>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04EEDD0">
      <w:numFmt w:val="bullet"/>
      <w:lvlText w:val="•"/>
      <w:lvlJc w:val="left"/>
      <w:pPr>
        <w:ind w:left="1332" w:hanging="533"/>
      </w:pPr>
      <w:rPr>
        <w:rFonts w:hint="default"/>
        <w:lang w:val="en-US" w:eastAsia="en-US" w:bidi="ar-SA"/>
      </w:rPr>
    </w:lvl>
    <w:lvl w:ilvl="2" w:tplc="F7029634">
      <w:numFmt w:val="bullet"/>
      <w:lvlText w:val="•"/>
      <w:lvlJc w:val="left"/>
      <w:pPr>
        <w:ind w:left="2304" w:hanging="533"/>
      </w:pPr>
      <w:rPr>
        <w:rFonts w:hint="default"/>
        <w:lang w:val="en-US" w:eastAsia="en-US" w:bidi="ar-SA"/>
      </w:rPr>
    </w:lvl>
    <w:lvl w:ilvl="3" w:tplc="B36E2A2E">
      <w:numFmt w:val="bullet"/>
      <w:lvlText w:val="•"/>
      <w:lvlJc w:val="left"/>
      <w:pPr>
        <w:ind w:left="3276" w:hanging="533"/>
      </w:pPr>
      <w:rPr>
        <w:rFonts w:hint="default"/>
        <w:lang w:val="en-US" w:eastAsia="en-US" w:bidi="ar-SA"/>
      </w:rPr>
    </w:lvl>
    <w:lvl w:ilvl="4" w:tplc="6B343E30">
      <w:numFmt w:val="bullet"/>
      <w:lvlText w:val="•"/>
      <w:lvlJc w:val="left"/>
      <w:pPr>
        <w:ind w:left="4248" w:hanging="533"/>
      </w:pPr>
      <w:rPr>
        <w:rFonts w:hint="default"/>
        <w:lang w:val="en-US" w:eastAsia="en-US" w:bidi="ar-SA"/>
      </w:rPr>
    </w:lvl>
    <w:lvl w:ilvl="5" w:tplc="3738E286">
      <w:numFmt w:val="bullet"/>
      <w:lvlText w:val="•"/>
      <w:lvlJc w:val="left"/>
      <w:pPr>
        <w:ind w:left="5220" w:hanging="533"/>
      </w:pPr>
      <w:rPr>
        <w:rFonts w:hint="default"/>
        <w:lang w:val="en-US" w:eastAsia="en-US" w:bidi="ar-SA"/>
      </w:rPr>
    </w:lvl>
    <w:lvl w:ilvl="6" w:tplc="D92878E0">
      <w:numFmt w:val="bullet"/>
      <w:lvlText w:val="•"/>
      <w:lvlJc w:val="left"/>
      <w:pPr>
        <w:ind w:left="6192" w:hanging="533"/>
      </w:pPr>
      <w:rPr>
        <w:rFonts w:hint="default"/>
        <w:lang w:val="en-US" w:eastAsia="en-US" w:bidi="ar-SA"/>
      </w:rPr>
    </w:lvl>
    <w:lvl w:ilvl="7" w:tplc="A728439E">
      <w:numFmt w:val="bullet"/>
      <w:lvlText w:val="•"/>
      <w:lvlJc w:val="left"/>
      <w:pPr>
        <w:ind w:left="7164" w:hanging="533"/>
      </w:pPr>
      <w:rPr>
        <w:rFonts w:hint="default"/>
        <w:lang w:val="en-US" w:eastAsia="en-US" w:bidi="ar-SA"/>
      </w:rPr>
    </w:lvl>
    <w:lvl w:ilvl="8" w:tplc="6908E674">
      <w:numFmt w:val="bullet"/>
      <w:lvlText w:val="•"/>
      <w:lvlJc w:val="left"/>
      <w:pPr>
        <w:ind w:left="8136" w:hanging="533"/>
      </w:pPr>
      <w:rPr>
        <w:rFonts w:hint="default"/>
        <w:lang w:val="en-US" w:eastAsia="en-US" w:bidi="ar-SA"/>
      </w:rPr>
    </w:lvl>
  </w:abstractNum>
  <w:abstractNum w:abstractNumId="115" w15:restartNumberingAfterBreak="0">
    <w:nsid w:val="3A6571D7"/>
    <w:multiLevelType w:val="hybridMultilevel"/>
    <w:tmpl w:val="39E092BA"/>
    <w:lvl w:ilvl="0" w:tplc="89306E18">
      <w:start w:val="3"/>
      <w:numFmt w:val="lowerRoman"/>
      <w:lvlText w:val="(%1)"/>
      <w:lvlJc w:val="left"/>
      <w:pPr>
        <w:ind w:left="884" w:hanging="5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C1437BE">
      <w:numFmt w:val="bullet"/>
      <w:lvlText w:val="•"/>
      <w:lvlJc w:val="left"/>
      <w:pPr>
        <w:ind w:left="1800" w:hanging="525"/>
      </w:pPr>
      <w:rPr>
        <w:rFonts w:hint="default"/>
        <w:lang w:val="en-US" w:eastAsia="en-US" w:bidi="ar-SA"/>
      </w:rPr>
    </w:lvl>
    <w:lvl w:ilvl="2" w:tplc="D8EC5ACE">
      <w:numFmt w:val="bullet"/>
      <w:lvlText w:val="•"/>
      <w:lvlJc w:val="left"/>
      <w:pPr>
        <w:ind w:left="2720" w:hanging="525"/>
      </w:pPr>
      <w:rPr>
        <w:rFonts w:hint="default"/>
        <w:lang w:val="en-US" w:eastAsia="en-US" w:bidi="ar-SA"/>
      </w:rPr>
    </w:lvl>
    <w:lvl w:ilvl="3" w:tplc="E3A84BC2">
      <w:numFmt w:val="bullet"/>
      <w:lvlText w:val="•"/>
      <w:lvlJc w:val="left"/>
      <w:pPr>
        <w:ind w:left="3640" w:hanging="525"/>
      </w:pPr>
      <w:rPr>
        <w:rFonts w:hint="default"/>
        <w:lang w:val="en-US" w:eastAsia="en-US" w:bidi="ar-SA"/>
      </w:rPr>
    </w:lvl>
    <w:lvl w:ilvl="4" w:tplc="9E70A5DC">
      <w:numFmt w:val="bullet"/>
      <w:lvlText w:val="•"/>
      <w:lvlJc w:val="left"/>
      <w:pPr>
        <w:ind w:left="4560" w:hanging="525"/>
      </w:pPr>
      <w:rPr>
        <w:rFonts w:hint="default"/>
        <w:lang w:val="en-US" w:eastAsia="en-US" w:bidi="ar-SA"/>
      </w:rPr>
    </w:lvl>
    <w:lvl w:ilvl="5" w:tplc="8966B984">
      <w:numFmt w:val="bullet"/>
      <w:lvlText w:val="•"/>
      <w:lvlJc w:val="left"/>
      <w:pPr>
        <w:ind w:left="5480" w:hanging="525"/>
      </w:pPr>
      <w:rPr>
        <w:rFonts w:hint="default"/>
        <w:lang w:val="en-US" w:eastAsia="en-US" w:bidi="ar-SA"/>
      </w:rPr>
    </w:lvl>
    <w:lvl w:ilvl="6" w:tplc="852EA47C">
      <w:numFmt w:val="bullet"/>
      <w:lvlText w:val="•"/>
      <w:lvlJc w:val="left"/>
      <w:pPr>
        <w:ind w:left="6400" w:hanging="525"/>
      </w:pPr>
      <w:rPr>
        <w:rFonts w:hint="default"/>
        <w:lang w:val="en-US" w:eastAsia="en-US" w:bidi="ar-SA"/>
      </w:rPr>
    </w:lvl>
    <w:lvl w:ilvl="7" w:tplc="92F2B9EA">
      <w:numFmt w:val="bullet"/>
      <w:lvlText w:val="•"/>
      <w:lvlJc w:val="left"/>
      <w:pPr>
        <w:ind w:left="7320" w:hanging="525"/>
      </w:pPr>
      <w:rPr>
        <w:rFonts w:hint="default"/>
        <w:lang w:val="en-US" w:eastAsia="en-US" w:bidi="ar-SA"/>
      </w:rPr>
    </w:lvl>
    <w:lvl w:ilvl="8" w:tplc="B9962F7C">
      <w:numFmt w:val="bullet"/>
      <w:lvlText w:val="•"/>
      <w:lvlJc w:val="left"/>
      <w:pPr>
        <w:ind w:left="8240" w:hanging="525"/>
      </w:pPr>
      <w:rPr>
        <w:rFonts w:hint="default"/>
        <w:lang w:val="en-US" w:eastAsia="en-US" w:bidi="ar-SA"/>
      </w:rPr>
    </w:lvl>
  </w:abstractNum>
  <w:abstractNum w:abstractNumId="116" w15:restartNumberingAfterBreak="0">
    <w:nsid w:val="3A7A1D2F"/>
    <w:multiLevelType w:val="multilevel"/>
    <w:tmpl w:val="7BFA89F0"/>
    <w:lvl w:ilvl="0">
      <w:start w:val="4"/>
      <w:numFmt w:val="decimal"/>
      <w:lvlText w:val="%1"/>
      <w:lvlJc w:val="left"/>
      <w:pPr>
        <w:ind w:left="1410" w:hanging="1050"/>
        <w:jc w:val="left"/>
      </w:pPr>
      <w:rPr>
        <w:rFonts w:hint="default"/>
        <w:lang w:val="en-US" w:eastAsia="en-US" w:bidi="ar-SA"/>
      </w:rPr>
    </w:lvl>
    <w:lvl w:ilv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3)"/>
      <w:lvlJc w:val="left"/>
      <w:pPr>
        <w:ind w:left="720" w:hanging="48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3">
      <w:numFmt w:val="bullet"/>
      <w:lvlText w:val="•"/>
      <w:lvlJc w:val="left"/>
      <w:pPr>
        <w:ind w:left="3344" w:hanging="485"/>
      </w:pPr>
      <w:rPr>
        <w:rFonts w:hint="default"/>
        <w:lang w:val="en-US" w:eastAsia="en-US" w:bidi="ar-SA"/>
      </w:rPr>
    </w:lvl>
    <w:lvl w:ilvl="4">
      <w:numFmt w:val="bullet"/>
      <w:lvlText w:val="•"/>
      <w:lvlJc w:val="left"/>
      <w:pPr>
        <w:ind w:left="4306" w:hanging="485"/>
      </w:pPr>
      <w:rPr>
        <w:rFonts w:hint="default"/>
        <w:lang w:val="en-US" w:eastAsia="en-US" w:bidi="ar-SA"/>
      </w:rPr>
    </w:lvl>
    <w:lvl w:ilvl="5">
      <w:numFmt w:val="bullet"/>
      <w:lvlText w:val="•"/>
      <w:lvlJc w:val="left"/>
      <w:pPr>
        <w:ind w:left="5268" w:hanging="485"/>
      </w:pPr>
      <w:rPr>
        <w:rFonts w:hint="default"/>
        <w:lang w:val="en-US" w:eastAsia="en-US" w:bidi="ar-SA"/>
      </w:rPr>
    </w:lvl>
    <w:lvl w:ilvl="6">
      <w:numFmt w:val="bullet"/>
      <w:lvlText w:val="•"/>
      <w:lvlJc w:val="left"/>
      <w:pPr>
        <w:ind w:left="6231" w:hanging="485"/>
      </w:pPr>
      <w:rPr>
        <w:rFonts w:hint="default"/>
        <w:lang w:val="en-US" w:eastAsia="en-US" w:bidi="ar-SA"/>
      </w:rPr>
    </w:lvl>
    <w:lvl w:ilvl="7">
      <w:numFmt w:val="bullet"/>
      <w:lvlText w:val="•"/>
      <w:lvlJc w:val="left"/>
      <w:pPr>
        <w:ind w:left="7193" w:hanging="485"/>
      </w:pPr>
      <w:rPr>
        <w:rFonts w:hint="default"/>
        <w:lang w:val="en-US" w:eastAsia="en-US" w:bidi="ar-SA"/>
      </w:rPr>
    </w:lvl>
    <w:lvl w:ilvl="8">
      <w:numFmt w:val="bullet"/>
      <w:lvlText w:val="•"/>
      <w:lvlJc w:val="left"/>
      <w:pPr>
        <w:ind w:left="8155" w:hanging="485"/>
      </w:pPr>
      <w:rPr>
        <w:rFonts w:hint="default"/>
        <w:lang w:val="en-US" w:eastAsia="en-US" w:bidi="ar-SA"/>
      </w:rPr>
    </w:lvl>
  </w:abstractNum>
  <w:abstractNum w:abstractNumId="117" w15:restartNumberingAfterBreak="0">
    <w:nsid w:val="3B2364EA"/>
    <w:multiLevelType w:val="hybridMultilevel"/>
    <w:tmpl w:val="5C9AF05A"/>
    <w:lvl w:ilvl="0" w:tplc="49E0817C">
      <w:start w:val="1"/>
      <w:numFmt w:val="lowerLetter"/>
      <w:lvlText w:val="(%1)"/>
      <w:lvlJc w:val="left"/>
      <w:pPr>
        <w:ind w:left="360" w:hanging="44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2BCE912">
      <w:start w:val="1"/>
      <w:numFmt w:val="lowerRoman"/>
      <w:lvlText w:val="(%2)"/>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04E28ECA">
      <w:numFmt w:val="bullet"/>
      <w:lvlText w:val="•"/>
      <w:lvlJc w:val="left"/>
      <w:pPr>
        <w:ind w:left="2304" w:hanging="358"/>
      </w:pPr>
      <w:rPr>
        <w:rFonts w:hint="default"/>
        <w:lang w:val="en-US" w:eastAsia="en-US" w:bidi="ar-SA"/>
      </w:rPr>
    </w:lvl>
    <w:lvl w:ilvl="3" w:tplc="52922502">
      <w:numFmt w:val="bullet"/>
      <w:lvlText w:val="•"/>
      <w:lvlJc w:val="left"/>
      <w:pPr>
        <w:ind w:left="3276" w:hanging="358"/>
      </w:pPr>
      <w:rPr>
        <w:rFonts w:hint="default"/>
        <w:lang w:val="en-US" w:eastAsia="en-US" w:bidi="ar-SA"/>
      </w:rPr>
    </w:lvl>
    <w:lvl w:ilvl="4" w:tplc="099E50E0">
      <w:numFmt w:val="bullet"/>
      <w:lvlText w:val="•"/>
      <w:lvlJc w:val="left"/>
      <w:pPr>
        <w:ind w:left="4248" w:hanging="358"/>
      </w:pPr>
      <w:rPr>
        <w:rFonts w:hint="default"/>
        <w:lang w:val="en-US" w:eastAsia="en-US" w:bidi="ar-SA"/>
      </w:rPr>
    </w:lvl>
    <w:lvl w:ilvl="5" w:tplc="2FFAEA5A">
      <w:numFmt w:val="bullet"/>
      <w:lvlText w:val="•"/>
      <w:lvlJc w:val="left"/>
      <w:pPr>
        <w:ind w:left="5220" w:hanging="358"/>
      </w:pPr>
      <w:rPr>
        <w:rFonts w:hint="default"/>
        <w:lang w:val="en-US" w:eastAsia="en-US" w:bidi="ar-SA"/>
      </w:rPr>
    </w:lvl>
    <w:lvl w:ilvl="6" w:tplc="2E444CBC">
      <w:numFmt w:val="bullet"/>
      <w:lvlText w:val="•"/>
      <w:lvlJc w:val="left"/>
      <w:pPr>
        <w:ind w:left="6192" w:hanging="358"/>
      </w:pPr>
      <w:rPr>
        <w:rFonts w:hint="default"/>
        <w:lang w:val="en-US" w:eastAsia="en-US" w:bidi="ar-SA"/>
      </w:rPr>
    </w:lvl>
    <w:lvl w:ilvl="7" w:tplc="25802278">
      <w:numFmt w:val="bullet"/>
      <w:lvlText w:val="•"/>
      <w:lvlJc w:val="left"/>
      <w:pPr>
        <w:ind w:left="7164" w:hanging="358"/>
      </w:pPr>
      <w:rPr>
        <w:rFonts w:hint="default"/>
        <w:lang w:val="en-US" w:eastAsia="en-US" w:bidi="ar-SA"/>
      </w:rPr>
    </w:lvl>
    <w:lvl w:ilvl="8" w:tplc="975C3CE8">
      <w:numFmt w:val="bullet"/>
      <w:lvlText w:val="•"/>
      <w:lvlJc w:val="left"/>
      <w:pPr>
        <w:ind w:left="8136" w:hanging="358"/>
      </w:pPr>
      <w:rPr>
        <w:rFonts w:hint="default"/>
        <w:lang w:val="en-US" w:eastAsia="en-US" w:bidi="ar-SA"/>
      </w:rPr>
    </w:lvl>
  </w:abstractNum>
  <w:abstractNum w:abstractNumId="118" w15:restartNumberingAfterBreak="0">
    <w:nsid w:val="3B271718"/>
    <w:multiLevelType w:val="hybridMultilevel"/>
    <w:tmpl w:val="2C1EDE0C"/>
    <w:lvl w:ilvl="0" w:tplc="134460B0">
      <w:start w:val="1"/>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tplc="DE168B2C">
      <w:numFmt w:val="bullet"/>
      <w:lvlText w:val="•"/>
      <w:lvlJc w:val="left"/>
      <w:pPr>
        <w:ind w:left="1908" w:hanging="630"/>
      </w:pPr>
      <w:rPr>
        <w:rFonts w:hint="default"/>
        <w:lang w:val="en-US" w:eastAsia="en-US" w:bidi="ar-SA"/>
      </w:rPr>
    </w:lvl>
    <w:lvl w:ilvl="2" w:tplc="9638837C">
      <w:numFmt w:val="bullet"/>
      <w:lvlText w:val="•"/>
      <w:lvlJc w:val="left"/>
      <w:pPr>
        <w:ind w:left="2816" w:hanging="630"/>
      </w:pPr>
      <w:rPr>
        <w:rFonts w:hint="default"/>
        <w:lang w:val="en-US" w:eastAsia="en-US" w:bidi="ar-SA"/>
      </w:rPr>
    </w:lvl>
    <w:lvl w:ilvl="3" w:tplc="BB58BE20">
      <w:numFmt w:val="bullet"/>
      <w:lvlText w:val="•"/>
      <w:lvlJc w:val="left"/>
      <w:pPr>
        <w:ind w:left="3724" w:hanging="630"/>
      </w:pPr>
      <w:rPr>
        <w:rFonts w:hint="default"/>
        <w:lang w:val="en-US" w:eastAsia="en-US" w:bidi="ar-SA"/>
      </w:rPr>
    </w:lvl>
    <w:lvl w:ilvl="4" w:tplc="6C4C36DC">
      <w:numFmt w:val="bullet"/>
      <w:lvlText w:val="•"/>
      <w:lvlJc w:val="left"/>
      <w:pPr>
        <w:ind w:left="4632" w:hanging="630"/>
      </w:pPr>
      <w:rPr>
        <w:rFonts w:hint="default"/>
        <w:lang w:val="en-US" w:eastAsia="en-US" w:bidi="ar-SA"/>
      </w:rPr>
    </w:lvl>
    <w:lvl w:ilvl="5" w:tplc="274ABF8E">
      <w:numFmt w:val="bullet"/>
      <w:lvlText w:val="•"/>
      <w:lvlJc w:val="left"/>
      <w:pPr>
        <w:ind w:left="5540" w:hanging="630"/>
      </w:pPr>
      <w:rPr>
        <w:rFonts w:hint="default"/>
        <w:lang w:val="en-US" w:eastAsia="en-US" w:bidi="ar-SA"/>
      </w:rPr>
    </w:lvl>
    <w:lvl w:ilvl="6" w:tplc="3ADEBC02">
      <w:numFmt w:val="bullet"/>
      <w:lvlText w:val="•"/>
      <w:lvlJc w:val="left"/>
      <w:pPr>
        <w:ind w:left="6448" w:hanging="630"/>
      </w:pPr>
      <w:rPr>
        <w:rFonts w:hint="default"/>
        <w:lang w:val="en-US" w:eastAsia="en-US" w:bidi="ar-SA"/>
      </w:rPr>
    </w:lvl>
    <w:lvl w:ilvl="7" w:tplc="3924673E">
      <w:numFmt w:val="bullet"/>
      <w:lvlText w:val="•"/>
      <w:lvlJc w:val="left"/>
      <w:pPr>
        <w:ind w:left="7356" w:hanging="630"/>
      </w:pPr>
      <w:rPr>
        <w:rFonts w:hint="default"/>
        <w:lang w:val="en-US" w:eastAsia="en-US" w:bidi="ar-SA"/>
      </w:rPr>
    </w:lvl>
    <w:lvl w:ilvl="8" w:tplc="11F68C34">
      <w:numFmt w:val="bullet"/>
      <w:lvlText w:val="•"/>
      <w:lvlJc w:val="left"/>
      <w:pPr>
        <w:ind w:left="8264" w:hanging="630"/>
      </w:pPr>
      <w:rPr>
        <w:rFonts w:hint="default"/>
        <w:lang w:val="en-US" w:eastAsia="en-US" w:bidi="ar-SA"/>
      </w:rPr>
    </w:lvl>
  </w:abstractNum>
  <w:abstractNum w:abstractNumId="119" w15:restartNumberingAfterBreak="0">
    <w:nsid w:val="3B3F32A8"/>
    <w:multiLevelType w:val="multilevel"/>
    <w:tmpl w:val="2F16A4D6"/>
    <w:lvl w:ilvl="0">
      <w:start w:val="2"/>
      <w:numFmt w:val="decimal"/>
      <w:lvlText w:val="%1"/>
      <w:lvlJc w:val="left"/>
      <w:pPr>
        <w:ind w:left="360" w:hanging="635"/>
        <w:jc w:val="left"/>
      </w:pPr>
      <w:rPr>
        <w:rFonts w:hint="default"/>
        <w:lang w:val="en-US" w:eastAsia="en-US" w:bidi="ar-SA"/>
      </w:rPr>
    </w:lvl>
    <w:lvl w:ilvl="1">
      <w:numFmt w:val="decimal"/>
      <w:lvlText w:val="%1.%2"/>
      <w:lvlJc w:val="left"/>
      <w:pPr>
        <w:ind w:left="360" w:hanging="63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lowerRoman"/>
      <w:lvlText w:val="(%3)"/>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3">
      <w:numFmt w:val="bullet"/>
      <w:lvlText w:val="•"/>
      <w:lvlJc w:val="left"/>
      <w:pPr>
        <w:ind w:left="3276" w:hanging="358"/>
      </w:pPr>
      <w:rPr>
        <w:rFonts w:hint="default"/>
        <w:lang w:val="en-US" w:eastAsia="en-US" w:bidi="ar-SA"/>
      </w:rPr>
    </w:lvl>
    <w:lvl w:ilvl="4">
      <w:numFmt w:val="bullet"/>
      <w:lvlText w:val="•"/>
      <w:lvlJc w:val="left"/>
      <w:pPr>
        <w:ind w:left="4248" w:hanging="358"/>
      </w:pPr>
      <w:rPr>
        <w:rFonts w:hint="default"/>
        <w:lang w:val="en-US" w:eastAsia="en-US" w:bidi="ar-SA"/>
      </w:rPr>
    </w:lvl>
    <w:lvl w:ilvl="5">
      <w:numFmt w:val="bullet"/>
      <w:lvlText w:val="•"/>
      <w:lvlJc w:val="left"/>
      <w:pPr>
        <w:ind w:left="5220" w:hanging="358"/>
      </w:pPr>
      <w:rPr>
        <w:rFonts w:hint="default"/>
        <w:lang w:val="en-US" w:eastAsia="en-US" w:bidi="ar-SA"/>
      </w:rPr>
    </w:lvl>
    <w:lvl w:ilvl="6">
      <w:numFmt w:val="bullet"/>
      <w:lvlText w:val="•"/>
      <w:lvlJc w:val="left"/>
      <w:pPr>
        <w:ind w:left="6192" w:hanging="358"/>
      </w:pPr>
      <w:rPr>
        <w:rFonts w:hint="default"/>
        <w:lang w:val="en-US" w:eastAsia="en-US" w:bidi="ar-SA"/>
      </w:rPr>
    </w:lvl>
    <w:lvl w:ilvl="7">
      <w:numFmt w:val="bullet"/>
      <w:lvlText w:val="•"/>
      <w:lvlJc w:val="left"/>
      <w:pPr>
        <w:ind w:left="7164" w:hanging="358"/>
      </w:pPr>
      <w:rPr>
        <w:rFonts w:hint="default"/>
        <w:lang w:val="en-US" w:eastAsia="en-US" w:bidi="ar-SA"/>
      </w:rPr>
    </w:lvl>
    <w:lvl w:ilvl="8">
      <w:numFmt w:val="bullet"/>
      <w:lvlText w:val="•"/>
      <w:lvlJc w:val="left"/>
      <w:pPr>
        <w:ind w:left="8136" w:hanging="358"/>
      </w:pPr>
      <w:rPr>
        <w:rFonts w:hint="default"/>
        <w:lang w:val="en-US" w:eastAsia="en-US" w:bidi="ar-SA"/>
      </w:rPr>
    </w:lvl>
  </w:abstractNum>
  <w:abstractNum w:abstractNumId="120" w15:restartNumberingAfterBreak="0">
    <w:nsid w:val="3D146EC6"/>
    <w:multiLevelType w:val="hybridMultilevel"/>
    <w:tmpl w:val="E5F0ED0A"/>
    <w:lvl w:ilvl="0" w:tplc="6212C8A0">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46A4DD2">
      <w:start w:val="1"/>
      <w:numFmt w:val="upperLetter"/>
      <w:lvlText w:val="(%2)"/>
      <w:lvlJc w:val="left"/>
      <w:pPr>
        <w:ind w:left="360" w:hanging="50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D438F688">
      <w:numFmt w:val="bullet"/>
      <w:lvlText w:val="•"/>
      <w:lvlJc w:val="left"/>
      <w:pPr>
        <w:ind w:left="2304" w:hanging="506"/>
      </w:pPr>
      <w:rPr>
        <w:rFonts w:hint="default"/>
        <w:lang w:val="en-US" w:eastAsia="en-US" w:bidi="ar-SA"/>
      </w:rPr>
    </w:lvl>
    <w:lvl w:ilvl="3" w:tplc="55086624">
      <w:numFmt w:val="bullet"/>
      <w:lvlText w:val="•"/>
      <w:lvlJc w:val="left"/>
      <w:pPr>
        <w:ind w:left="3276" w:hanging="506"/>
      </w:pPr>
      <w:rPr>
        <w:rFonts w:hint="default"/>
        <w:lang w:val="en-US" w:eastAsia="en-US" w:bidi="ar-SA"/>
      </w:rPr>
    </w:lvl>
    <w:lvl w:ilvl="4" w:tplc="11928D6E">
      <w:numFmt w:val="bullet"/>
      <w:lvlText w:val="•"/>
      <w:lvlJc w:val="left"/>
      <w:pPr>
        <w:ind w:left="4248" w:hanging="506"/>
      </w:pPr>
      <w:rPr>
        <w:rFonts w:hint="default"/>
        <w:lang w:val="en-US" w:eastAsia="en-US" w:bidi="ar-SA"/>
      </w:rPr>
    </w:lvl>
    <w:lvl w:ilvl="5" w:tplc="2B7C851E">
      <w:numFmt w:val="bullet"/>
      <w:lvlText w:val="•"/>
      <w:lvlJc w:val="left"/>
      <w:pPr>
        <w:ind w:left="5220" w:hanging="506"/>
      </w:pPr>
      <w:rPr>
        <w:rFonts w:hint="default"/>
        <w:lang w:val="en-US" w:eastAsia="en-US" w:bidi="ar-SA"/>
      </w:rPr>
    </w:lvl>
    <w:lvl w:ilvl="6" w:tplc="4532EFDE">
      <w:numFmt w:val="bullet"/>
      <w:lvlText w:val="•"/>
      <w:lvlJc w:val="left"/>
      <w:pPr>
        <w:ind w:left="6192" w:hanging="506"/>
      </w:pPr>
      <w:rPr>
        <w:rFonts w:hint="default"/>
        <w:lang w:val="en-US" w:eastAsia="en-US" w:bidi="ar-SA"/>
      </w:rPr>
    </w:lvl>
    <w:lvl w:ilvl="7" w:tplc="AA10A58A">
      <w:numFmt w:val="bullet"/>
      <w:lvlText w:val="•"/>
      <w:lvlJc w:val="left"/>
      <w:pPr>
        <w:ind w:left="7164" w:hanging="506"/>
      </w:pPr>
      <w:rPr>
        <w:rFonts w:hint="default"/>
        <w:lang w:val="en-US" w:eastAsia="en-US" w:bidi="ar-SA"/>
      </w:rPr>
    </w:lvl>
    <w:lvl w:ilvl="8" w:tplc="49862200">
      <w:numFmt w:val="bullet"/>
      <w:lvlText w:val="•"/>
      <w:lvlJc w:val="left"/>
      <w:pPr>
        <w:ind w:left="8136" w:hanging="506"/>
      </w:pPr>
      <w:rPr>
        <w:rFonts w:hint="default"/>
        <w:lang w:val="en-US" w:eastAsia="en-US" w:bidi="ar-SA"/>
      </w:rPr>
    </w:lvl>
  </w:abstractNum>
  <w:abstractNum w:abstractNumId="121" w15:restartNumberingAfterBreak="0">
    <w:nsid w:val="3D913330"/>
    <w:multiLevelType w:val="hybridMultilevel"/>
    <w:tmpl w:val="C8B8D966"/>
    <w:lvl w:ilvl="0" w:tplc="C292D9C2">
      <w:start w:val="1"/>
      <w:numFmt w:val="lowerRoman"/>
      <w:lvlText w:val="(%1)"/>
      <w:lvlJc w:val="left"/>
      <w:pPr>
        <w:ind w:left="360"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95A13C6">
      <w:numFmt w:val="bullet"/>
      <w:lvlText w:val="•"/>
      <w:lvlJc w:val="left"/>
      <w:pPr>
        <w:ind w:left="1332" w:hanging="358"/>
      </w:pPr>
      <w:rPr>
        <w:rFonts w:hint="default"/>
        <w:lang w:val="en-US" w:eastAsia="en-US" w:bidi="ar-SA"/>
      </w:rPr>
    </w:lvl>
    <w:lvl w:ilvl="2" w:tplc="EC5C499A">
      <w:numFmt w:val="bullet"/>
      <w:lvlText w:val="•"/>
      <w:lvlJc w:val="left"/>
      <w:pPr>
        <w:ind w:left="2304" w:hanging="358"/>
      </w:pPr>
      <w:rPr>
        <w:rFonts w:hint="default"/>
        <w:lang w:val="en-US" w:eastAsia="en-US" w:bidi="ar-SA"/>
      </w:rPr>
    </w:lvl>
    <w:lvl w:ilvl="3" w:tplc="FC5E6974">
      <w:numFmt w:val="bullet"/>
      <w:lvlText w:val="•"/>
      <w:lvlJc w:val="left"/>
      <w:pPr>
        <w:ind w:left="3276" w:hanging="358"/>
      </w:pPr>
      <w:rPr>
        <w:rFonts w:hint="default"/>
        <w:lang w:val="en-US" w:eastAsia="en-US" w:bidi="ar-SA"/>
      </w:rPr>
    </w:lvl>
    <w:lvl w:ilvl="4" w:tplc="EB140FB4">
      <w:numFmt w:val="bullet"/>
      <w:lvlText w:val="•"/>
      <w:lvlJc w:val="left"/>
      <w:pPr>
        <w:ind w:left="4248" w:hanging="358"/>
      </w:pPr>
      <w:rPr>
        <w:rFonts w:hint="default"/>
        <w:lang w:val="en-US" w:eastAsia="en-US" w:bidi="ar-SA"/>
      </w:rPr>
    </w:lvl>
    <w:lvl w:ilvl="5" w:tplc="E95AE632">
      <w:numFmt w:val="bullet"/>
      <w:lvlText w:val="•"/>
      <w:lvlJc w:val="left"/>
      <w:pPr>
        <w:ind w:left="5220" w:hanging="358"/>
      </w:pPr>
      <w:rPr>
        <w:rFonts w:hint="default"/>
        <w:lang w:val="en-US" w:eastAsia="en-US" w:bidi="ar-SA"/>
      </w:rPr>
    </w:lvl>
    <w:lvl w:ilvl="6" w:tplc="BF747E16">
      <w:numFmt w:val="bullet"/>
      <w:lvlText w:val="•"/>
      <w:lvlJc w:val="left"/>
      <w:pPr>
        <w:ind w:left="6192" w:hanging="358"/>
      </w:pPr>
      <w:rPr>
        <w:rFonts w:hint="default"/>
        <w:lang w:val="en-US" w:eastAsia="en-US" w:bidi="ar-SA"/>
      </w:rPr>
    </w:lvl>
    <w:lvl w:ilvl="7" w:tplc="870EB84E">
      <w:numFmt w:val="bullet"/>
      <w:lvlText w:val="•"/>
      <w:lvlJc w:val="left"/>
      <w:pPr>
        <w:ind w:left="7164" w:hanging="358"/>
      </w:pPr>
      <w:rPr>
        <w:rFonts w:hint="default"/>
        <w:lang w:val="en-US" w:eastAsia="en-US" w:bidi="ar-SA"/>
      </w:rPr>
    </w:lvl>
    <w:lvl w:ilvl="8" w:tplc="2408CAA0">
      <w:numFmt w:val="bullet"/>
      <w:lvlText w:val="•"/>
      <w:lvlJc w:val="left"/>
      <w:pPr>
        <w:ind w:left="8136" w:hanging="358"/>
      </w:pPr>
      <w:rPr>
        <w:rFonts w:hint="default"/>
        <w:lang w:val="en-US" w:eastAsia="en-US" w:bidi="ar-SA"/>
      </w:rPr>
    </w:lvl>
  </w:abstractNum>
  <w:abstractNum w:abstractNumId="122" w15:restartNumberingAfterBreak="0">
    <w:nsid w:val="3DF64D86"/>
    <w:multiLevelType w:val="hybridMultilevel"/>
    <w:tmpl w:val="AC18904C"/>
    <w:lvl w:ilvl="0" w:tplc="256AB90C">
      <w:start w:val="10"/>
      <w:numFmt w:val="decimal"/>
      <w:lvlText w:val="(%1)"/>
      <w:lvlJc w:val="left"/>
      <w:pPr>
        <w:ind w:left="937" w:hanging="57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68CDD64">
      <w:numFmt w:val="bullet"/>
      <w:lvlText w:val="•"/>
      <w:lvlJc w:val="left"/>
      <w:pPr>
        <w:ind w:left="1854" w:hanging="578"/>
      </w:pPr>
      <w:rPr>
        <w:rFonts w:hint="default"/>
        <w:lang w:val="en-US" w:eastAsia="en-US" w:bidi="ar-SA"/>
      </w:rPr>
    </w:lvl>
    <w:lvl w:ilvl="2" w:tplc="C68EDB82">
      <w:numFmt w:val="bullet"/>
      <w:lvlText w:val="•"/>
      <w:lvlJc w:val="left"/>
      <w:pPr>
        <w:ind w:left="2768" w:hanging="578"/>
      </w:pPr>
      <w:rPr>
        <w:rFonts w:hint="default"/>
        <w:lang w:val="en-US" w:eastAsia="en-US" w:bidi="ar-SA"/>
      </w:rPr>
    </w:lvl>
    <w:lvl w:ilvl="3" w:tplc="9A984868">
      <w:numFmt w:val="bullet"/>
      <w:lvlText w:val="•"/>
      <w:lvlJc w:val="left"/>
      <w:pPr>
        <w:ind w:left="3682" w:hanging="578"/>
      </w:pPr>
      <w:rPr>
        <w:rFonts w:hint="default"/>
        <w:lang w:val="en-US" w:eastAsia="en-US" w:bidi="ar-SA"/>
      </w:rPr>
    </w:lvl>
    <w:lvl w:ilvl="4" w:tplc="33DAC074">
      <w:numFmt w:val="bullet"/>
      <w:lvlText w:val="•"/>
      <w:lvlJc w:val="left"/>
      <w:pPr>
        <w:ind w:left="4596" w:hanging="578"/>
      </w:pPr>
      <w:rPr>
        <w:rFonts w:hint="default"/>
        <w:lang w:val="en-US" w:eastAsia="en-US" w:bidi="ar-SA"/>
      </w:rPr>
    </w:lvl>
    <w:lvl w:ilvl="5" w:tplc="BC5A704E">
      <w:numFmt w:val="bullet"/>
      <w:lvlText w:val="•"/>
      <w:lvlJc w:val="left"/>
      <w:pPr>
        <w:ind w:left="5510" w:hanging="578"/>
      </w:pPr>
      <w:rPr>
        <w:rFonts w:hint="default"/>
        <w:lang w:val="en-US" w:eastAsia="en-US" w:bidi="ar-SA"/>
      </w:rPr>
    </w:lvl>
    <w:lvl w:ilvl="6" w:tplc="E57A3D40">
      <w:numFmt w:val="bullet"/>
      <w:lvlText w:val="•"/>
      <w:lvlJc w:val="left"/>
      <w:pPr>
        <w:ind w:left="6424" w:hanging="578"/>
      </w:pPr>
      <w:rPr>
        <w:rFonts w:hint="default"/>
        <w:lang w:val="en-US" w:eastAsia="en-US" w:bidi="ar-SA"/>
      </w:rPr>
    </w:lvl>
    <w:lvl w:ilvl="7" w:tplc="4EC8B6FE">
      <w:numFmt w:val="bullet"/>
      <w:lvlText w:val="•"/>
      <w:lvlJc w:val="left"/>
      <w:pPr>
        <w:ind w:left="7338" w:hanging="578"/>
      </w:pPr>
      <w:rPr>
        <w:rFonts w:hint="default"/>
        <w:lang w:val="en-US" w:eastAsia="en-US" w:bidi="ar-SA"/>
      </w:rPr>
    </w:lvl>
    <w:lvl w:ilvl="8" w:tplc="BFCC8D82">
      <w:numFmt w:val="bullet"/>
      <w:lvlText w:val="•"/>
      <w:lvlJc w:val="left"/>
      <w:pPr>
        <w:ind w:left="8252" w:hanging="578"/>
      </w:pPr>
      <w:rPr>
        <w:rFonts w:hint="default"/>
        <w:lang w:val="en-US" w:eastAsia="en-US" w:bidi="ar-SA"/>
      </w:rPr>
    </w:lvl>
  </w:abstractNum>
  <w:abstractNum w:abstractNumId="123" w15:restartNumberingAfterBreak="0">
    <w:nsid w:val="3E864A50"/>
    <w:multiLevelType w:val="multilevel"/>
    <w:tmpl w:val="42C884EA"/>
    <w:lvl w:ilvl="0">
      <w:start w:val="4"/>
      <w:numFmt w:val="decimal"/>
      <w:lvlText w:val="%1"/>
      <w:lvlJc w:val="left"/>
      <w:pPr>
        <w:ind w:left="1095" w:hanging="735"/>
        <w:jc w:val="left"/>
      </w:pPr>
      <w:rPr>
        <w:rFonts w:hint="default"/>
        <w:lang w:val="en-US" w:eastAsia="en-US" w:bidi="ar-SA"/>
      </w:rPr>
    </w:lvl>
    <w:lvl w:ilvl="1">
      <w:start w:val="2"/>
      <w:numFmt w:val="decimal"/>
      <w:lvlText w:val="%1.%2."/>
      <w:lvlJc w:val="left"/>
      <w:pPr>
        <w:ind w:left="1095" w:hanging="73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500"/>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095" w:hanging="1500"/>
      </w:pPr>
      <w:rPr>
        <w:rFonts w:hint="default"/>
        <w:lang w:val="en-US" w:eastAsia="en-US" w:bidi="ar-SA"/>
      </w:rPr>
    </w:lvl>
    <w:lvl w:ilvl="4">
      <w:numFmt w:val="bullet"/>
      <w:lvlText w:val="•"/>
      <w:lvlJc w:val="left"/>
      <w:pPr>
        <w:ind w:left="4093" w:hanging="1500"/>
      </w:pPr>
      <w:rPr>
        <w:rFonts w:hint="default"/>
        <w:lang w:val="en-US" w:eastAsia="en-US" w:bidi="ar-SA"/>
      </w:rPr>
    </w:lvl>
    <w:lvl w:ilvl="5">
      <w:numFmt w:val="bullet"/>
      <w:lvlText w:val="•"/>
      <w:lvlJc w:val="left"/>
      <w:pPr>
        <w:ind w:left="5091" w:hanging="1500"/>
      </w:pPr>
      <w:rPr>
        <w:rFonts w:hint="default"/>
        <w:lang w:val="en-US" w:eastAsia="en-US" w:bidi="ar-SA"/>
      </w:rPr>
    </w:lvl>
    <w:lvl w:ilvl="6">
      <w:numFmt w:val="bullet"/>
      <w:lvlText w:val="•"/>
      <w:lvlJc w:val="left"/>
      <w:pPr>
        <w:ind w:left="6088" w:hanging="1500"/>
      </w:pPr>
      <w:rPr>
        <w:rFonts w:hint="default"/>
        <w:lang w:val="en-US" w:eastAsia="en-US" w:bidi="ar-SA"/>
      </w:rPr>
    </w:lvl>
    <w:lvl w:ilvl="7">
      <w:numFmt w:val="bullet"/>
      <w:lvlText w:val="•"/>
      <w:lvlJc w:val="left"/>
      <w:pPr>
        <w:ind w:left="7086" w:hanging="1500"/>
      </w:pPr>
      <w:rPr>
        <w:rFonts w:hint="default"/>
        <w:lang w:val="en-US" w:eastAsia="en-US" w:bidi="ar-SA"/>
      </w:rPr>
    </w:lvl>
    <w:lvl w:ilvl="8">
      <w:numFmt w:val="bullet"/>
      <w:lvlText w:val="•"/>
      <w:lvlJc w:val="left"/>
      <w:pPr>
        <w:ind w:left="8084" w:hanging="1500"/>
      </w:pPr>
      <w:rPr>
        <w:rFonts w:hint="default"/>
        <w:lang w:val="en-US" w:eastAsia="en-US" w:bidi="ar-SA"/>
      </w:rPr>
    </w:lvl>
  </w:abstractNum>
  <w:abstractNum w:abstractNumId="124" w15:restartNumberingAfterBreak="0">
    <w:nsid w:val="3F1A7F02"/>
    <w:multiLevelType w:val="multilevel"/>
    <w:tmpl w:val="76BA495A"/>
    <w:lvl w:ilvl="0">
      <w:start w:val="1"/>
      <w:numFmt w:val="decimal"/>
      <w:lvlText w:val="%1.0"/>
      <w:lvlJc w:val="left"/>
      <w:pPr>
        <w:ind w:left="360" w:hanging="806"/>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877" w:hanging="518"/>
        <w:jc w:val="left"/>
      </w:pPr>
      <w:rPr>
        <w:rFonts w:hint="default"/>
        <w:spacing w:val="0"/>
        <w:w w:val="101"/>
        <w:lang w:val="en-US" w:eastAsia="en-US" w:bidi="ar-SA"/>
      </w:rPr>
    </w:lvl>
    <w:lvl w:ilvl="2">
      <w:start w:val="1"/>
      <w:numFmt w:val="decimal"/>
      <w:lvlText w:val="%1.%2.%3"/>
      <w:lvlJc w:val="left"/>
      <w:pPr>
        <w:ind w:left="1136" w:hanging="518"/>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1140" w:hanging="518"/>
      </w:pPr>
      <w:rPr>
        <w:rFonts w:hint="default"/>
        <w:lang w:val="en-US" w:eastAsia="en-US" w:bidi="ar-SA"/>
      </w:rPr>
    </w:lvl>
    <w:lvl w:ilvl="4">
      <w:numFmt w:val="bullet"/>
      <w:lvlText w:val="•"/>
      <w:lvlJc w:val="left"/>
      <w:pPr>
        <w:ind w:left="2417" w:hanging="518"/>
      </w:pPr>
      <w:rPr>
        <w:rFonts w:hint="default"/>
        <w:lang w:val="en-US" w:eastAsia="en-US" w:bidi="ar-SA"/>
      </w:rPr>
    </w:lvl>
    <w:lvl w:ilvl="5">
      <w:numFmt w:val="bullet"/>
      <w:lvlText w:val="•"/>
      <w:lvlJc w:val="left"/>
      <w:pPr>
        <w:ind w:left="3694" w:hanging="518"/>
      </w:pPr>
      <w:rPr>
        <w:rFonts w:hint="default"/>
        <w:lang w:val="en-US" w:eastAsia="en-US" w:bidi="ar-SA"/>
      </w:rPr>
    </w:lvl>
    <w:lvl w:ilvl="6">
      <w:numFmt w:val="bullet"/>
      <w:lvlText w:val="•"/>
      <w:lvlJc w:val="left"/>
      <w:pPr>
        <w:ind w:left="4971" w:hanging="518"/>
      </w:pPr>
      <w:rPr>
        <w:rFonts w:hint="default"/>
        <w:lang w:val="en-US" w:eastAsia="en-US" w:bidi="ar-SA"/>
      </w:rPr>
    </w:lvl>
    <w:lvl w:ilvl="7">
      <w:numFmt w:val="bullet"/>
      <w:lvlText w:val="•"/>
      <w:lvlJc w:val="left"/>
      <w:pPr>
        <w:ind w:left="6248" w:hanging="518"/>
      </w:pPr>
      <w:rPr>
        <w:rFonts w:hint="default"/>
        <w:lang w:val="en-US" w:eastAsia="en-US" w:bidi="ar-SA"/>
      </w:rPr>
    </w:lvl>
    <w:lvl w:ilvl="8">
      <w:numFmt w:val="bullet"/>
      <w:lvlText w:val="•"/>
      <w:lvlJc w:val="left"/>
      <w:pPr>
        <w:ind w:left="7525" w:hanging="518"/>
      </w:pPr>
      <w:rPr>
        <w:rFonts w:hint="default"/>
        <w:lang w:val="en-US" w:eastAsia="en-US" w:bidi="ar-SA"/>
      </w:rPr>
    </w:lvl>
  </w:abstractNum>
  <w:abstractNum w:abstractNumId="125" w15:restartNumberingAfterBreak="0">
    <w:nsid w:val="3F4D3C84"/>
    <w:multiLevelType w:val="hybridMultilevel"/>
    <w:tmpl w:val="AA4A6CB6"/>
    <w:lvl w:ilvl="0" w:tplc="F29AA9B2">
      <w:start w:val="1"/>
      <w:numFmt w:val="decimal"/>
      <w:lvlText w:val="(%1)"/>
      <w:lvlJc w:val="left"/>
      <w:pPr>
        <w:ind w:left="859" w:hanging="50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5FC5C32">
      <w:numFmt w:val="bullet"/>
      <w:lvlText w:val="•"/>
      <w:lvlJc w:val="left"/>
      <w:pPr>
        <w:ind w:left="1782" w:hanging="500"/>
      </w:pPr>
      <w:rPr>
        <w:rFonts w:hint="default"/>
        <w:lang w:val="en-US" w:eastAsia="en-US" w:bidi="ar-SA"/>
      </w:rPr>
    </w:lvl>
    <w:lvl w:ilvl="2" w:tplc="5E06674E">
      <w:numFmt w:val="bullet"/>
      <w:lvlText w:val="•"/>
      <w:lvlJc w:val="left"/>
      <w:pPr>
        <w:ind w:left="2704" w:hanging="500"/>
      </w:pPr>
      <w:rPr>
        <w:rFonts w:hint="default"/>
        <w:lang w:val="en-US" w:eastAsia="en-US" w:bidi="ar-SA"/>
      </w:rPr>
    </w:lvl>
    <w:lvl w:ilvl="3" w:tplc="8DCEB86A">
      <w:numFmt w:val="bullet"/>
      <w:lvlText w:val="•"/>
      <w:lvlJc w:val="left"/>
      <w:pPr>
        <w:ind w:left="3626" w:hanging="500"/>
      </w:pPr>
      <w:rPr>
        <w:rFonts w:hint="default"/>
        <w:lang w:val="en-US" w:eastAsia="en-US" w:bidi="ar-SA"/>
      </w:rPr>
    </w:lvl>
    <w:lvl w:ilvl="4" w:tplc="4CCEC9C4">
      <w:numFmt w:val="bullet"/>
      <w:lvlText w:val="•"/>
      <w:lvlJc w:val="left"/>
      <w:pPr>
        <w:ind w:left="4548" w:hanging="500"/>
      </w:pPr>
      <w:rPr>
        <w:rFonts w:hint="default"/>
        <w:lang w:val="en-US" w:eastAsia="en-US" w:bidi="ar-SA"/>
      </w:rPr>
    </w:lvl>
    <w:lvl w:ilvl="5" w:tplc="ED6CFD4A">
      <w:numFmt w:val="bullet"/>
      <w:lvlText w:val="•"/>
      <w:lvlJc w:val="left"/>
      <w:pPr>
        <w:ind w:left="5470" w:hanging="500"/>
      </w:pPr>
      <w:rPr>
        <w:rFonts w:hint="default"/>
        <w:lang w:val="en-US" w:eastAsia="en-US" w:bidi="ar-SA"/>
      </w:rPr>
    </w:lvl>
    <w:lvl w:ilvl="6" w:tplc="8DA6A32A">
      <w:numFmt w:val="bullet"/>
      <w:lvlText w:val="•"/>
      <w:lvlJc w:val="left"/>
      <w:pPr>
        <w:ind w:left="6392" w:hanging="500"/>
      </w:pPr>
      <w:rPr>
        <w:rFonts w:hint="default"/>
        <w:lang w:val="en-US" w:eastAsia="en-US" w:bidi="ar-SA"/>
      </w:rPr>
    </w:lvl>
    <w:lvl w:ilvl="7" w:tplc="1ED0674A">
      <w:numFmt w:val="bullet"/>
      <w:lvlText w:val="•"/>
      <w:lvlJc w:val="left"/>
      <w:pPr>
        <w:ind w:left="7314" w:hanging="500"/>
      </w:pPr>
      <w:rPr>
        <w:rFonts w:hint="default"/>
        <w:lang w:val="en-US" w:eastAsia="en-US" w:bidi="ar-SA"/>
      </w:rPr>
    </w:lvl>
    <w:lvl w:ilvl="8" w:tplc="1D8AA6B6">
      <w:numFmt w:val="bullet"/>
      <w:lvlText w:val="•"/>
      <w:lvlJc w:val="left"/>
      <w:pPr>
        <w:ind w:left="8236" w:hanging="500"/>
      </w:pPr>
      <w:rPr>
        <w:rFonts w:hint="default"/>
        <w:lang w:val="en-US" w:eastAsia="en-US" w:bidi="ar-SA"/>
      </w:rPr>
    </w:lvl>
  </w:abstractNum>
  <w:abstractNum w:abstractNumId="126" w15:restartNumberingAfterBreak="0">
    <w:nsid w:val="40220EBB"/>
    <w:multiLevelType w:val="multilevel"/>
    <w:tmpl w:val="842AB2C0"/>
    <w:lvl w:ilvl="0">
      <w:start w:val="1"/>
      <w:numFmt w:val="decimal"/>
      <w:lvlText w:val="%1.0"/>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152" w:hanging="1050"/>
      </w:pPr>
      <w:rPr>
        <w:rFonts w:hint="default"/>
        <w:lang w:val="en-US" w:eastAsia="en-US" w:bidi="ar-SA"/>
      </w:rPr>
    </w:lvl>
    <w:lvl w:ilvl="3">
      <w:numFmt w:val="bullet"/>
      <w:lvlText w:val="•"/>
      <w:lvlJc w:val="left"/>
      <w:pPr>
        <w:ind w:left="4018" w:hanging="1050"/>
      </w:pPr>
      <w:rPr>
        <w:rFonts w:hint="default"/>
        <w:lang w:val="en-US" w:eastAsia="en-US" w:bidi="ar-SA"/>
      </w:rPr>
    </w:lvl>
    <w:lvl w:ilvl="4">
      <w:numFmt w:val="bullet"/>
      <w:lvlText w:val="•"/>
      <w:lvlJc w:val="left"/>
      <w:pPr>
        <w:ind w:left="4884" w:hanging="1050"/>
      </w:pPr>
      <w:rPr>
        <w:rFonts w:hint="default"/>
        <w:lang w:val="en-US" w:eastAsia="en-US" w:bidi="ar-SA"/>
      </w:rPr>
    </w:lvl>
    <w:lvl w:ilvl="5">
      <w:numFmt w:val="bullet"/>
      <w:lvlText w:val="•"/>
      <w:lvlJc w:val="left"/>
      <w:pPr>
        <w:ind w:left="5750" w:hanging="1050"/>
      </w:pPr>
      <w:rPr>
        <w:rFonts w:hint="default"/>
        <w:lang w:val="en-US" w:eastAsia="en-US" w:bidi="ar-SA"/>
      </w:rPr>
    </w:lvl>
    <w:lvl w:ilvl="6">
      <w:numFmt w:val="bullet"/>
      <w:lvlText w:val="•"/>
      <w:lvlJc w:val="left"/>
      <w:pPr>
        <w:ind w:left="6616" w:hanging="1050"/>
      </w:pPr>
      <w:rPr>
        <w:rFonts w:hint="default"/>
        <w:lang w:val="en-US" w:eastAsia="en-US" w:bidi="ar-SA"/>
      </w:rPr>
    </w:lvl>
    <w:lvl w:ilvl="7">
      <w:numFmt w:val="bullet"/>
      <w:lvlText w:val="•"/>
      <w:lvlJc w:val="left"/>
      <w:pPr>
        <w:ind w:left="7482" w:hanging="1050"/>
      </w:pPr>
      <w:rPr>
        <w:rFonts w:hint="default"/>
        <w:lang w:val="en-US" w:eastAsia="en-US" w:bidi="ar-SA"/>
      </w:rPr>
    </w:lvl>
    <w:lvl w:ilvl="8">
      <w:numFmt w:val="bullet"/>
      <w:lvlText w:val="•"/>
      <w:lvlJc w:val="left"/>
      <w:pPr>
        <w:ind w:left="8348" w:hanging="1050"/>
      </w:pPr>
      <w:rPr>
        <w:rFonts w:hint="default"/>
        <w:lang w:val="en-US" w:eastAsia="en-US" w:bidi="ar-SA"/>
      </w:rPr>
    </w:lvl>
  </w:abstractNum>
  <w:abstractNum w:abstractNumId="127" w15:restartNumberingAfterBreak="0">
    <w:nsid w:val="4067745D"/>
    <w:multiLevelType w:val="hybridMultilevel"/>
    <w:tmpl w:val="ECD8CAB8"/>
    <w:lvl w:ilvl="0" w:tplc="9660779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D6AFC92">
      <w:numFmt w:val="bullet"/>
      <w:lvlText w:val="•"/>
      <w:lvlJc w:val="left"/>
      <w:pPr>
        <w:ind w:left="1710" w:hanging="425"/>
      </w:pPr>
      <w:rPr>
        <w:rFonts w:hint="default"/>
        <w:lang w:val="en-US" w:eastAsia="en-US" w:bidi="ar-SA"/>
      </w:rPr>
    </w:lvl>
    <w:lvl w:ilvl="2" w:tplc="21947F30">
      <w:numFmt w:val="bullet"/>
      <w:lvlText w:val="•"/>
      <w:lvlJc w:val="left"/>
      <w:pPr>
        <w:ind w:left="2640" w:hanging="425"/>
      </w:pPr>
      <w:rPr>
        <w:rFonts w:hint="default"/>
        <w:lang w:val="en-US" w:eastAsia="en-US" w:bidi="ar-SA"/>
      </w:rPr>
    </w:lvl>
    <w:lvl w:ilvl="3" w:tplc="F7B0A318">
      <w:numFmt w:val="bullet"/>
      <w:lvlText w:val="•"/>
      <w:lvlJc w:val="left"/>
      <w:pPr>
        <w:ind w:left="3570" w:hanging="425"/>
      </w:pPr>
      <w:rPr>
        <w:rFonts w:hint="default"/>
        <w:lang w:val="en-US" w:eastAsia="en-US" w:bidi="ar-SA"/>
      </w:rPr>
    </w:lvl>
    <w:lvl w:ilvl="4" w:tplc="53683EC0">
      <w:numFmt w:val="bullet"/>
      <w:lvlText w:val="•"/>
      <w:lvlJc w:val="left"/>
      <w:pPr>
        <w:ind w:left="4500" w:hanging="425"/>
      </w:pPr>
      <w:rPr>
        <w:rFonts w:hint="default"/>
        <w:lang w:val="en-US" w:eastAsia="en-US" w:bidi="ar-SA"/>
      </w:rPr>
    </w:lvl>
    <w:lvl w:ilvl="5" w:tplc="BEF68A70">
      <w:numFmt w:val="bullet"/>
      <w:lvlText w:val="•"/>
      <w:lvlJc w:val="left"/>
      <w:pPr>
        <w:ind w:left="5430" w:hanging="425"/>
      </w:pPr>
      <w:rPr>
        <w:rFonts w:hint="default"/>
        <w:lang w:val="en-US" w:eastAsia="en-US" w:bidi="ar-SA"/>
      </w:rPr>
    </w:lvl>
    <w:lvl w:ilvl="6" w:tplc="60F02C2A">
      <w:numFmt w:val="bullet"/>
      <w:lvlText w:val="•"/>
      <w:lvlJc w:val="left"/>
      <w:pPr>
        <w:ind w:left="6360" w:hanging="425"/>
      </w:pPr>
      <w:rPr>
        <w:rFonts w:hint="default"/>
        <w:lang w:val="en-US" w:eastAsia="en-US" w:bidi="ar-SA"/>
      </w:rPr>
    </w:lvl>
    <w:lvl w:ilvl="7" w:tplc="CBA89C56">
      <w:numFmt w:val="bullet"/>
      <w:lvlText w:val="•"/>
      <w:lvlJc w:val="left"/>
      <w:pPr>
        <w:ind w:left="7290" w:hanging="425"/>
      </w:pPr>
      <w:rPr>
        <w:rFonts w:hint="default"/>
        <w:lang w:val="en-US" w:eastAsia="en-US" w:bidi="ar-SA"/>
      </w:rPr>
    </w:lvl>
    <w:lvl w:ilvl="8" w:tplc="0D5CE67A">
      <w:numFmt w:val="bullet"/>
      <w:lvlText w:val="•"/>
      <w:lvlJc w:val="left"/>
      <w:pPr>
        <w:ind w:left="8220" w:hanging="425"/>
      </w:pPr>
      <w:rPr>
        <w:rFonts w:hint="default"/>
        <w:lang w:val="en-US" w:eastAsia="en-US" w:bidi="ar-SA"/>
      </w:rPr>
    </w:lvl>
  </w:abstractNum>
  <w:abstractNum w:abstractNumId="128" w15:restartNumberingAfterBreak="0">
    <w:nsid w:val="40A96755"/>
    <w:multiLevelType w:val="hybridMultilevel"/>
    <w:tmpl w:val="F7344D3C"/>
    <w:lvl w:ilvl="0" w:tplc="64F0B120">
      <w:start w:val="1"/>
      <w:numFmt w:val="upperLetter"/>
      <w:lvlText w:val="(%1)"/>
      <w:lvlJc w:val="left"/>
      <w:pPr>
        <w:ind w:left="851" w:hanging="49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86226D62">
      <w:numFmt w:val="bullet"/>
      <w:lvlText w:val="•"/>
      <w:lvlJc w:val="left"/>
      <w:pPr>
        <w:ind w:left="1782" w:hanging="492"/>
      </w:pPr>
      <w:rPr>
        <w:rFonts w:hint="default"/>
        <w:lang w:val="en-US" w:eastAsia="en-US" w:bidi="ar-SA"/>
      </w:rPr>
    </w:lvl>
    <w:lvl w:ilvl="2" w:tplc="BD1EB032">
      <w:numFmt w:val="bullet"/>
      <w:lvlText w:val="•"/>
      <w:lvlJc w:val="left"/>
      <w:pPr>
        <w:ind w:left="2704" w:hanging="492"/>
      </w:pPr>
      <w:rPr>
        <w:rFonts w:hint="default"/>
        <w:lang w:val="en-US" w:eastAsia="en-US" w:bidi="ar-SA"/>
      </w:rPr>
    </w:lvl>
    <w:lvl w:ilvl="3" w:tplc="F3D4B548">
      <w:numFmt w:val="bullet"/>
      <w:lvlText w:val="•"/>
      <w:lvlJc w:val="left"/>
      <w:pPr>
        <w:ind w:left="3626" w:hanging="492"/>
      </w:pPr>
      <w:rPr>
        <w:rFonts w:hint="default"/>
        <w:lang w:val="en-US" w:eastAsia="en-US" w:bidi="ar-SA"/>
      </w:rPr>
    </w:lvl>
    <w:lvl w:ilvl="4" w:tplc="333E4342">
      <w:numFmt w:val="bullet"/>
      <w:lvlText w:val="•"/>
      <w:lvlJc w:val="left"/>
      <w:pPr>
        <w:ind w:left="4548" w:hanging="492"/>
      </w:pPr>
      <w:rPr>
        <w:rFonts w:hint="default"/>
        <w:lang w:val="en-US" w:eastAsia="en-US" w:bidi="ar-SA"/>
      </w:rPr>
    </w:lvl>
    <w:lvl w:ilvl="5" w:tplc="97680EB4">
      <w:numFmt w:val="bullet"/>
      <w:lvlText w:val="•"/>
      <w:lvlJc w:val="left"/>
      <w:pPr>
        <w:ind w:left="5470" w:hanging="492"/>
      </w:pPr>
      <w:rPr>
        <w:rFonts w:hint="default"/>
        <w:lang w:val="en-US" w:eastAsia="en-US" w:bidi="ar-SA"/>
      </w:rPr>
    </w:lvl>
    <w:lvl w:ilvl="6" w:tplc="826C0816">
      <w:numFmt w:val="bullet"/>
      <w:lvlText w:val="•"/>
      <w:lvlJc w:val="left"/>
      <w:pPr>
        <w:ind w:left="6392" w:hanging="492"/>
      </w:pPr>
      <w:rPr>
        <w:rFonts w:hint="default"/>
        <w:lang w:val="en-US" w:eastAsia="en-US" w:bidi="ar-SA"/>
      </w:rPr>
    </w:lvl>
    <w:lvl w:ilvl="7" w:tplc="7AE4E9C2">
      <w:numFmt w:val="bullet"/>
      <w:lvlText w:val="•"/>
      <w:lvlJc w:val="left"/>
      <w:pPr>
        <w:ind w:left="7314" w:hanging="492"/>
      </w:pPr>
      <w:rPr>
        <w:rFonts w:hint="default"/>
        <w:lang w:val="en-US" w:eastAsia="en-US" w:bidi="ar-SA"/>
      </w:rPr>
    </w:lvl>
    <w:lvl w:ilvl="8" w:tplc="4CAA8A48">
      <w:numFmt w:val="bullet"/>
      <w:lvlText w:val="•"/>
      <w:lvlJc w:val="left"/>
      <w:pPr>
        <w:ind w:left="8236" w:hanging="492"/>
      </w:pPr>
      <w:rPr>
        <w:rFonts w:hint="default"/>
        <w:lang w:val="en-US" w:eastAsia="en-US" w:bidi="ar-SA"/>
      </w:rPr>
    </w:lvl>
  </w:abstractNum>
  <w:abstractNum w:abstractNumId="129" w15:restartNumberingAfterBreak="0">
    <w:nsid w:val="40CC14AF"/>
    <w:multiLevelType w:val="hybridMultilevel"/>
    <w:tmpl w:val="73D07BE0"/>
    <w:lvl w:ilvl="0" w:tplc="C4048378">
      <w:start w:val="10"/>
      <w:numFmt w:val="decimal"/>
      <w:lvlText w:val="%1."/>
      <w:lvlJc w:val="left"/>
      <w:pPr>
        <w:ind w:left="753" w:hanging="394"/>
        <w:jc w:val="left"/>
      </w:pPr>
      <w:rPr>
        <w:rFonts w:hint="default"/>
        <w:spacing w:val="0"/>
        <w:w w:val="102"/>
        <w:lang w:val="en-US" w:eastAsia="en-US" w:bidi="ar-SA"/>
      </w:rPr>
    </w:lvl>
    <w:lvl w:ilvl="1" w:tplc="00D681A8">
      <w:numFmt w:val="bullet"/>
      <w:lvlText w:val="•"/>
      <w:lvlJc w:val="left"/>
      <w:pPr>
        <w:ind w:left="1692" w:hanging="394"/>
      </w:pPr>
      <w:rPr>
        <w:rFonts w:hint="default"/>
        <w:lang w:val="en-US" w:eastAsia="en-US" w:bidi="ar-SA"/>
      </w:rPr>
    </w:lvl>
    <w:lvl w:ilvl="2" w:tplc="6B16B9CA">
      <w:numFmt w:val="bullet"/>
      <w:lvlText w:val="•"/>
      <w:lvlJc w:val="left"/>
      <w:pPr>
        <w:ind w:left="2624" w:hanging="394"/>
      </w:pPr>
      <w:rPr>
        <w:rFonts w:hint="default"/>
        <w:lang w:val="en-US" w:eastAsia="en-US" w:bidi="ar-SA"/>
      </w:rPr>
    </w:lvl>
    <w:lvl w:ilvl="3" w:tplc="07F24BA2">
      <w:numFmt w:val="bullet"/>
      <w:lvlText w:val="•"/>
      <w:lvlJc w:val="left"/>
      <w:pPr>
        <w:ind w:left="3556" w:hanging="394"/>
      </w:pPr>
      <w:rPr>
        <w:rFonts w:hint="default"/>
        <w:lang w:val="en-US" w:eastAsia="en-US" w:bidi="ar-SA"/>
      </w:rPr>
    </w:lvl>
    <w:lvl w:ilvl="4" w:tplc="EC68FB0A">
      <w:numFmt w:val="bullet"/>
      <w:lvlText w:val="•"/>
      <w:lvlJc w:val="left"/>
      <w:pPr>
        <w:ind w:left="4488" w:hanging="394"/>
      </w:pPr>
      <w:rPr>
        <w:rFonts w:hint="default"/>
        <w:lang w:val="en-US" w:eastAsia="en-US" w:bidi="ar-SA"/>
      </w:rPr>
    </w:lvl>
    <w:lvl w:ilvl="5" w:tplc="467EE53A">
      <w:numFmt w:val="bullet"/>
      <w:lvlText w:val="•"/>
      <w:lvlJc w:val="left"/>
      <w:pPr>
        <w:ind w:left="5420" w:hanging="394"/>
      </w:pPr>
      <w:rPr>
        <w:rFonts w:hint="default"/>
        <w:lang w:val="en-US" w:eastAsia="en-US" w:bidi="ar-SA"/>
      </w:rPr>
    </w:lvl>
    <w:lvl w:ilvl="6" w:tplc="920C60B8">
      <w:numFmt w:val="bullet"/>
      <w:lvlText w:val="•"/>
      <w:lvlJc w:val="left"/>
      <w:pPr>
        <w:ind w:left="6352" w:hanging="394"/>
      </w:pPr>
      <w:rPr>
        <w:rFonts w:hint="default"/>
        <w:lang w:val="en-US" w:eastAsia="en-US" w:bidi="ar-SA"/>
      </w:rPr>
    </w:lvl>
    <w:lvl w:ilvl="7" w:tplc="E78A5CCA">
      <w:numFmt w:val="bullet"/>
      <w:lvlText w:val="•"/>
      <w:lvlJc w:val="left"/>
      <w:pPr>
        <w:ind w:left="7284" w:hanging="394"/>
      </w:pPr>
      <w:rPr>
        <w:rFonts w:hint="default"/>
        <w:lang w:val="en-US" w:eastAsia="en-US" w:bidi="ar-SA"/>
      </w:rPr>
    </w:lvl>
    <w:lvl w:ilvl="8" w:tplc="2AEAD8AA">
      <w:numFmt w:val="bullet"/>
      <w:lvlText w:val="•"/>
      <w:lvlJc w:val="left"/>
      <w:pPr>
        <w:ind w:left="8216" w:hanging="394"/>
      </w:pPr>
      <w:rPr>
        <w:rFonts w:hint="default"/>
        <w:lang w:val="en-US" w:eastAsia="en-US" w:bidi="ar-SA"/>
      </w:rPr>
    </w:lvl>
  </w:abstractNum>
  <w:abstractNum w:abstractNumId="130" w15:restartNumberingAfterBreak="0">
    <w:nsid w:val="40DC01DC"/>
    <w:multiLevelType w:val="multilevel"/>
    <w:tmpl w:val="EB7EE882"/>
    <w:lvl w:ilvl="0">
      <w:start w:val="1"/>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36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2397" w:hanging="945"/>
      </w:pPr>
      <w:rPr>
        <w:rFonts w:hint="default"/>
        <w:lang w:val="en-US" w:eastAsia="en-US" w:bidi="ar-SA"/>
      </w:rPr>
    </w:lvl>
    <w:lvl w:ilvl="4">
      <w:numFmt w:val="bullet"/>
      <w:lvlText w:val="•"/>
      <w:lvlJc w:val="left"/>
      <w:pPr>
        <w:ind w:left="3495" w:hanging="945"/>
      </w:pPr>
      <w:rPr>
        <w:rFonts w:hint="default"/>
        <w:lang w:val="en-US" w:eastAsia="en-US" w:bidi="ar-SA"/>
      </w:rPr>
    </w:lvl>
    <w:lvl w:ilvl="5">
      <w:numFmt w:val="bullet"/>
      <w:lvlText w:val="•"/>
      <w:lvlJc w:val="left"/>
      <w:pPr>
        <w:ind w:left="4592" w:hanging="945"/>
      </w:pPr>
      <w:rPr>
        <w:rFonts w:hint="default"/>
        <w:lang w:val="en-US" w:eastAsia="en-US" w:bidi="ar-SA"/>
      </w:rPr>
    </w:lvl>
    <w:lvl w:ilvl="6">
      <w:numFmt w:val="bullet"/>
      <w:lvlText w:val="•"/>
      <w:lvlJc w:val="left"/>
      <w:pPr>
        <w:ind w:left="5690" w:hanging="945"/>
      </w:pPr>
      <w:rPr>
        <w:rFonts w:hint="default"/>
        <w:lang w:val="en-US" w:eastAsia="en-US" w:bidi="ar-SA"/>
      </w:rPr>
    </w:lvl>
    <w:lvl w:ilvl="7">
      <w:numFmt w:val="bullet"/>
      <w:lvlText w:val="•"/>
      <w:lvlJc w:val="left"/>
      <w:pPr>
        <w:ind w:left="6787" w:hanging="945"/>
      </w:pPr>
      <w:rPr>
        <w:rFonts w:hint="default"/>
        <w:lang w:val="en-US" w:eastAsia="en-US" w:bidi="ar-SA"/>
      </w:rPr>
    </w:lvl>
    <w:lvl w:ilvl="8">
      <w:numFmt w:val="bullet"/>
      <w:lvlText w:val="•"/>
      <w:lvlJc w:val="left"/>
      <w:pPr>
        <w:ind w:left="7885" w:hanging="945"/>
      </w:pPr>
      <w:rPr>
        <w:rFonts w:hint="default"/>
        <w:lang w:val="en-US" w:eastAsia="en-US" w:bidi="ar-SA"/>
      </w:rPr>
    </w:lvl>
  </w:abstractNum>
  <w:abstractNum w:abstractNumId="131" w15:restartNumberingAfterBreak="0">
    <w:nsid w:val="412435E5"/>
    <w:multiLevelType w:val="multilevel"/>
    <w:tmpl w:val="8A3A7A98"/>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32" w15:restartNumberingAfterBreak="0">
    <w:nsid w:val="41ED5ACD"/>
    <w:multiLevelType w:val="multilevel"/>
    <w:tmpl w:val="42D2CCAA"/>
    <w:lvl w:ilvl="0">
      <w:start w:val="3"/>
      <w:numFmt w:val="decimal"/>
      <w:lvlText w:val="%1"/>
      <w:lvlJc w:val="left"/>
      <w:pPr>
        <w:ind w:left="360" w:hanging="641"/>
        <w:jc w:val="left"/>
      </w:pPr>
      <w:rPr>
        <w:rFonts w:hint="default"/>
        <w:lang w:val="en-US" w:eastAsia="en-US" w:bidi="ar-SA"/>
      </w:rPr>
    </w:lvl>
    <w:lvl w:ilvl="1">
      <w:numFmt w:val="decimal"/>
      <w:lvlText w:val="%1.%2"/>
      <w:lvlJc w:val="left"/>
      <w:pPr>
        <w:ind w:left="360" w:hanging="641"/>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33" w15:restartNumberingAfterBreak="0">
    <w:nsid w:val="4393299F"/>
    <w:multiLevelType w:val="hybridMultilevel"/>
    <w:tmpl w:val="0D249D82"/>
    <w:lvl w:ilvl="0" w:tplc="243447F0">
      <w:start w:val="1"/>
      <w:numFmt w:val="decimal"/>
      <w:lvlText w:val="(%1)"/>
      <w:lvlJc w:val="left"/>
      <w:pPr>
        <w:ind w:left="360" w:hanging="43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0D043B2">
      <w:numFmt w:val="bullet"/>
      <w:lvlText w:val="•"/>
      <w:lvlJc w:val="left"/>
      <w:pPr>
        <w:ind w:left="1332" w:hanging="437"/>
      </w:pPr>
      <w:rPr>
        <w:rFonts w:hint="default"/>
        <w:lang w:val="en-US" w:eastAsia="en-US" w:bidi="ar-SA"/>
      </w:rPr>
    </w:lvl>
    <w:lvl w:ilvl="2" w:tplc="7E04E92C">
      <w:numFmt w:val="bullet"/>
      <w:lvlText w:val="•"/>
      <w:lvlJc w:val="left"/>
      <w:pPr>
        <w:ind w:left="2304" w:hanging="437"/>
      </w:pPr>
      <w:rPr>
        <w:rFonts w:hint="default"/>
        <w:lang w:val="en-US" w:eastAsia="en-US" w:bidi="ar-SA"/>
      </w:rPr>
    </w:lvl>
    <w:lvl w:ilvl="3" w:tplc="F47A8242">
      <w:numFmt w:val="bullet"/>
      <w:lvlText w:val="•"/>
      <w:lvlJc w:val="left"/>
      <w:pPr>
        <w:ind w:left="3276" w:hanging="437"/>
      </w:pPr>
      <w:rPr>
        <w:rFonts w:hint="default"/>
        <w:lang w:val="en-US" w:eastAsia="en-US" w:bidi="ar-SA"/>
      </w:rPr>
    </w:lvl>
    <w:lvl w:ilvl="4" w:tplc="7C2E943E">
      <w:numFmt w:val="bullet"/>
      <w:lvlText w:val="•"/>
      <w:lvlJc w:val="left"/>
      <w:pPr>
        <w:ind w:left="4248" w:hanging="437"/>
      </w:pPr>
      <w:rPr>
        <w:rFonts w:hint="default"/>
        <w:lang w:val="en-US" w:eastAsia="en-US" w:bidi="ar-SA"/>
      </w:rPr>
    </w:lvl>
    <w:lvl w:ilvl="5" w:tplc="73F87FE8">
      <w:numFmt w:val="bullet"/>
      <w:lvlText w:val="•"/>
      <w:lvlJc w:val="left"/>
      <w:pPr>
        <w:ind w:left="5220" w:hanging="437"/>
      </w:pPr>
      <w:rPr>
        <w:rFonts w:hint="default"/>
        <w:lang w:val="en-US" w:eastAsia="en-US" w:bidi="ar-SA"/>
      </w:rPr>
    </w:lvl>
    <w:lvl w:ilvl="6" w:tplc="5D7CD6CE">
      <w:numFmt w:val="bullet"/>
      <w:lvlText w:val="•"/>
      <w:lvlJc w:val="left"/>
      <w:pPr>
        <w:ind w:left="6192" w:hanging="437"/>
      </w:pPr>
      <w:rPr>
        <w:rFonts w:hint="default"/>
        <w:lang w:val="en-US" w:eastAsia="en-US" w:bidi="ar-SA"/>
      </w:rPr>
    </w:lvl>
    <w:lvl w:ilvl="7" w:tplc="5EB22798">
      <w:numFmt w:val="bullet"/>
      <w:lvlText w:val="•"/>
      <w:lvlJc w:val="left"/>
      <w:pPr>
        <w:ind w:left="7164" w:hanging="437"/>
      </w:pPr>
      <w:rPr>
        <w:rFonts w:hint="default"/>
        <w:lang w:val="en-US" w:eastAsia="en-US" w:bidi="ar-SA"/>
      </w:rPr>
    </w:lvl>
    <w:lvl w:ilvl="8" w:tplc="68B69B6C">
      <w:numFmt w:val="bullet"/>
      <w:lvlText w:val="•"/>
      <w:lvlJc w:val="left"/>
      <w:pPr>
        <w:ind w:left="8136" w:hanging="437"/>
      </w:pPr>
      <w:rPr>
        <w:rFonts w:hint="default"/>
        <w:lang w:val="en-US" w:eastAsia="en-US" w:bidi="ar-SA"/>
      </w:rPr>
    </w:lvl>
  </w:abstractNum>
  <w:abstractNum w:abstractNumId="134" w15:restartNumberingAfterBreak="0">
    <w:nsid w:val="44FB13A0"/>
    <w:multiLevelType w:val="multilevel"/>
    <w:tmpl w:val="20D4E904"/>
    <w:lvl w:ilvl="0">
      <w:start w:val="5"/>
      <w:numFmt w:val="decimal"/>
      <w:lvlText w:val="%1"/>
      <w:lvlJc w:val="left"/>
      <w:pPr>
        <w:ind w:left="360" w:hanging="2292"/>
        <w:jc w:val="left"/>
      </w:pPr>
      <w:rPr>
        <w:rFonts w:hint="default"/>
        <w:lang w:val="en-US" w:eastAsia="en-US" w:bidi="ar-SA"/>
      </w:rPr>
    </w:lvl>
    <w:lvl w:ilvl="1">
      <w:numFmt w:val="decimal"/>
      <w:lvlText w:val="%1.%2"/>
      <w:lvlJc w:val="left"/>
      <w:pPr>
        <w:ind w:left="360" w:hanging="2292"/>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2292"/>
      </w:pPr>
      <w:rPr>
        <w:rFonts w:hint="default"/>
        <w:lang w:val="en-US" w:eastAsia="en-US" w:bidi="ar-SA"/>
      </w:rPr>
    </w:lvl>
    <w:lvl w:ilvl="3">
      <w:numFmt w:val="bullet"/>
      <w:lvlText w:val="•"/>
      <w:lvlJc w:val="left"/>
      <w:pPr>
        <w:ind w:left="3276" w:hanging="2292"/>
      </w:pPr>
      <w:rPr>
        <w:rFonts w:hint="default"/>
        <w:lang w:val="en-US" w:eastAsia="en-US" w:bidi="ar-SA"/>
      </w:rPr>
    </w:lvl>
    <w:lvl w:ilvl="4">
      <w:numFmt w:val="bullet"/>
      <w:lvlText w:val="•"/>
      <w:lvlJc w:val="left"/>
      <w:pPr>
        <w:ind w:left="4248" w:hanging="2292"/>
      </w:pPr>
      <w:rPr>
        <w:rFonts w:hint="default"/>
        <w:lang w:val="en-US" w:eastAsia="en-US" w:bidi="ar-SA"/>
      </w:rPr>
    </w:lvl>
    <w:lvl w:ilvl="5">
      <w:numFmt w:val="bullet"/>
      <w:lvlText w:val="•"/>
      <w:lvlJc w:val="left"/>
      <w:pPr>
        <w:ind w:left="5220" w:hanging="2292"/>
      </w:pPr>
      <w:rPr>
        <w:rFonts w:hint="default"/>
        <w:lang w:val="en-US" w:eastAsia="en-US" w:bidi="ar-SA"/>
      </w:rPr>
    </w:lvl>
    <w:lvl w:ilvl="6">
      <w:numFmt w:val="bullet"/>
      <w:lvlText w:val="•"/>
      <w:lvlJc w:val="left"/>
      <w:pPr>
        <w:ind w:left="6192" w:hanging="2292"/>
      </w:pPr>
      <w:rPr>
        <w:rFonts w:hint="default"/>
        <w:lang w:val="en-US" w:eastAsia="en-US" w:bidi="ar-SA"/>
      </w:rPr>
    </w:lvl>
    <w:lvl w:ilvl="7">
      <w:numFmt w:val="bullet"/>
      <w:lvlText w:val="•"/>
      <w:lvlJc w:val="left"/>
      <w:pPr>
        <w:ind w:left="7164" w:hanging="2292"/>
      </w:pPr>
      <w:rPr>
        <w:rFonts w:hint="default"/>
        <w:lang w:val="en-US" w:eastAsia="en-US" w:bidi="ar-SA"/>
      </w:rPr>
    </w:lvl>
    <w:lvl w:ilvl="8">
      <w:numFmt w:val="bullet"/>
      <w:lvlText w:val="•"/>
      <w:lvlJc w:val="left"/>
      <w:pPr>
        <w:ind w:left="8136" w:hanging="2292"/>
      </w:pPr>
      <w:rPr>
        <w:rFonts w:hint="default"/>
        <w:lang w:val="en-US" w:eastAsia="en-US" w:bidi="ar-SA"/>
      </w:rPr>
    </w:lvl>
  </w:abstractNum>
  <w:abstractNum w:abstractNumId="135" w15:restartNumberingAfterBreak="0">
    <w:nsid w:val="450D4FBD"/>
    <w:multiLevelType w:val="multilevel"/>
    <w:tmpl w:val="823CA1F2"/>
    <w:lvl w:ilvl="0">
      <w:start w:val="1"/>
      <w:numFmt w:val="decimal"/>
      <w:lvlText w:val="%1.0"/>
      <w:lvlJc w:val="left"/>
      <w:pPr>
        <w:ind w:left="1080" w:hanging="1609"/>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1410" w:hanging="1050"/>
        <w:jc w:val="left"/>
      </w:pPr>
      <w:rPr>
        <w:rFonts w:hint="default"/>
        <w:spacing w:val="0"/>
        <w:w w:val="100"/>
        <w:lang w:val="en-US" w:eastAsia="en-US" w:bidi="ar-SA"/>
      </w:rPr>
    </w:lvl>
    <w:lvl w:ilvl="2">
      <w:numFmt w:val="bullet"/>
      <w:lvlText w:val="•"/>
      <w:lvlJc w:val="left"/>
      <w:pPr>
        <w:ind w:left="2382" w:hanging="1050"/>
      </w:pPr>
      <w:rPr>
        <w:rFonts w:hint="default"/>
        <w:lang w:val="en-US" w:eastAsia="en-US" w:bidi="ar-SA"/>
      </w:rPr>
    </w:lvl>
    <w:lvl w:ilvl="3">
      <w:numFmt w:val="bullet"/>
      <w:lvlText w:val="•"/>
      <w:lvlJc w:val="left"/>
      <w:pPr>
        <w:ind w:left="3344" w:hanging="1050"/>
      </w:pPr>
      <w:rPr>
        <w:rFonts w:hint="default"/>
        <w:lang w:val="en-US" w:eastAsia="en-US" w:bidi="ar-SA"/>
      </w:rPr>
    </w:lvl>
    <w:lvl w:ilvl="4">
      <w:numFmt w:val="bullet"/>
      <w:lvlText w:val="•"/>
      <w:lvlJc w:val="left"/>
      <w:pPr>
        <w:ind w:left="4306" w:hanging="1050"/>
      </w:pPr>
      <w:rPr>
        <w:rFonts w:hint="default"/>
        <w:lang w:val="en-US" w:eastAsia="en-US" w:bidi="ar-SA"/>
      </w:rPr>
    </w:lvl>
    <w:lvl w:ilvl="5">
      <w:numFmt w:val="bullet"/>
      <w:lvlText w:val="•"/>
      <w:lvlJc w:val="left"/>
      <w:pPr>
        <w:ind w:left="5268" w:hanging="1050"/>
      </w:pPr>
      <w:rPr>
        <w:rFonts w:hint="default"/>
        <w:lang w:val="en-US" w:eastAsia="en-US" w:bidi="ar-SA"/>
      </w:rPr>
    </w:lvl>
    <w:lvl w:ilvl="6">
      <w:numFmt w:val="bullet"/>
      <w:lvlText w:val="•"/>
      <w:lvlJc w:val="left"/>
      <w:pPr>
        <w:ind w:left="6231" w:hanging="1050"/>
      </w:pPr>
      <w:rPr>
        <w:rFonts w:hint="default"/>
        <w:lang w:val="en-US" w:eastAsia="en-US" w:bidi="ar-SA"/>
      </w:rPr>
    </w:lvl>
    <w:lvl w:ilvl="7">
      <w:numFmt w:val="bullet"/>
      <w:lvlText w:val="•"/>
      <w:lvlJc w:val="left"/>
      <w:pPr>
        <w:ind w:left="7193" w:hanging="1050"/>
      </w:pPr>
      <w:rPr>
        <w:rFonts w:hint="default"/>
        <w:lang w:val="en-US" w:eastAsia="en-US" w:bidi="ar-SA"/>
      </w:rPr>
    </w:lvl>
    <w:lvl w:ilvl="8">
      <w:numFmt w:val="bullet"/>
      <w:lvlText w:val="•"/>
      <w:lvlJc w:val="left"/>
      <w:pPr>
        <w:ind w:left="8155" w:hanging="1050"/>
      </w:pPr>
      <w:rPr>
        <w:rFonts w:hint="default"/>
        <w:lang w:val="en-US" w:eastAsia="en-US" w:bidi="ar-SA"/>
      </w:rPr>
    </w:lvl>
  </w:abstractNum>
  <w:abstractNum w:abstractNumId="136" w15:restartNumberingAfterBreak="0">
    <w:nsid w:val="452F5535"/>
    <w:multiLevelType w:val="hybridMultilevel"/>
    <w:tmpl w:val="1E08686A"/>
    <w:lvl w:ilvl="0" w:tplc="299E0E36">
      <w:start w:val="2"/>
      <w:numFmt w:val="decimal"/>
      <w:lvlText w:val="(%1)"/>
      <w:lvlJc w:val="left"/>
      <w:pPr>
        <w:ind w:left="825" w:hanging="46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328F120">
      <w:start w:val="1"/>
      <w:numFmt w:val="decimal"/>
      <w:lvlText w:val="(%2)"/>
      <w:lvlJc w:val="left"/>
      <w:pPr>
        <w:ind w:left="360" w:hanging="47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EA7AE886">
      <w:numFmt w:val="bullet"/>
      <w:lvlText w:val="•"/>
      <w:lvlJc w:val="left"/>
      <w:pPr>
        <w:ind w:left="1848" w:hanging="477"/>
      </w:pPr>
      <w:rPr>
        <w:rFonts w:hint="default"/>
        <w:lang w:val="en-US" w:eastAsia="en-US" w:bidi="ar-SA"/>
      </w:rPr>
    </w:lvl>
    <w:lvl w:ilvl="3" w:tplc="13D66DEE">
      <w:numFmt w:val="bullet"/>
      <w:lvlText w:val="•"/>
      <w:lvlJc w:val="left"/>
      <w:pPr>
        <w:ind w:left="2877" w:hanging="477"/>
      </w:pPr>
      <w:rPr>
        <w:rFonts w:hint="default"/>
        <w:lang w:val="en-US" w:eastAsia="en-US" w:bidi="ar-SA"/>
      </w:rPr>
    </w:lvl>
    <w:lvl w:ilvl="4" w:tplc="C4883FAA">
      <w:numFmt w:val="bullet"/>
      <w:lvlText w:val="•"/>
      <w:lvlJc w:val="left"/>
      <w:pPr>
        <w:ind w:left="3906" w:hanging="477"/>
      </w:pPr>
      <w:rPr>
        <w:rFonts w:hint="default"/>
        <w:lang w:val="en-US" w:eastAsia="en-US" w:bidi="ar-SA"/>
      </w:rPr>
    </w:lvl>
    <w:lvl w:ilvl="5" w:tplc="DD8E4036">
      <w:numFmt w:val="bullet"/>
      <w:lvlText w:val="•"/>
      <w:lvlJc w:val="left"/>
      <w:pPr>
        <w:ind w:left="4935" w:hanging="477"/>
      </w:pPr>
      <w:rPr>
        <w:rFonts w:hint="default"/>
        <w:lang w:val="en-US" w:eastAsia="en-US" w:bidi="ar-SA"/>
      </w:rPr>
    </w:lvl>
    <w:lvl w:ilvl="6" w:tplc="DB6A1B4E">
      <w:numFmt w:val="bullet"/>
      <w:lvlText w:val="•"/>
      <w:lvlJc w:val="left"/>
      <w:pPr>
        <w:ind w:left="5964" w:hanging="477"/>
      </w:pPr>
      <w:rPr>
        <w:rFonts w:hint="default"/>
        <w:lang w:val="en-US" w:eastAsia="en-US" w:bidi="ar-SA"/>
      </w:rPr>
    </w:lvl>
    <w:lvl w:ilvl="7" w:tplc="01240CF4">
      <w:numFmt w:val="bullet"/>
      <w:lvlText w:val="•"/>
      <w:lvlJc w:val="left"/>
      <w:pPr>
        <w:ind w:left="6993" w:hanging="477"/>
      </w:pPr>
      <w:rPr>
        <w:rFonts w:hint="default"/>
        <w:lang w:val="en-US" w:eastAsia="en-US" w:bidi="ar-SA"/>
      </w:rPr>
    </w:lvl>
    <w:lvl w:ilvl="8" w:tplc="5C58205C">
      <w:numFmt w:val="bullet"/>
      <w:lvlText w:val="•"/>
      <w:lvlJc w:val="left"/>
      <w:pPr>
        <w:ind w:left="8022" w:hanging="477"/>
      </w:pPr>
      <w:rPr>
        <w:rFonts w:hint="default"/>
        <w:lang w:val="en-US" w:eastAsia="en-US" w:bidi="ar-SA"/>
      </w:rPr>
    </w:lvl>
  </w:abstractNum>
  <w:abstractNum w:abstractNumId="137" w15:restartNumberingAfterBreak="0">
    <w:nsid w:val="455B739B"/>
    <w:multiLevelType w:val="multilevel"/>
    <w:tmpl w:val="941A329E"/>
    <w:lvl w:ilvl="0">
      <w:start w:val="4"/>
      <w:numFmt w:val="decimal"/>
      <w:lvlText w:val="%1"/>
      <w:lvlJc w:val="left"/>
      <w:pPr>
        <w:ind w:left="360" w:hanging="636"/>
        <w:jc w:val="left"/>
      </w:pPr>
      <w:rPr>
        <w:rFonts w:hint="default"/>
        <w:lang w:val="en-US" w:eastAsia="en-US" w:bidi="ar-SA"/>
      </w:rPr>
    </w:lvl>
    <w:lvl w:ilvl="1">
      <w:numFmt w:val="decimal"/>
      <w:lvlText w:val="%1.%2"/>
      <w:lvlJc w:val="left"/>
      <w:pPr>
        <w:ind w:left="360" w:hanging="636"/>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636"/>
      </w:pPr>
      <w:rPr>
        <w:rFonts w:hint="default"/>
        <w:lang w:val="en-US" w:eastAsia="en-US" w:bidi="ar-SA"/>
      </w:rPr>
    </w:lvl>
    <w:lvl w:ilvl="3">
      <w:numFmt w:val="bullet"/>
      <w:lvlText w:val="•"/>
      <w:lvlJc w:val="left"/>
      <w:pPr>
        <w:ind w:left="3276" w:hanging="636"/>
      </w:pPr>
      <w:rPr>
        <w:rFonts w:hint="default"/>
        <w:lang w:val="en-US" w:eastAsia="en-US" w:bidi="ar-SA"/>
      </w:rPr>
    </w:lvl>
    <w:lvl w:ilvl="4">
      <w:numFmt w:val="bullet"/>
      <w:lvlText w:val="•"/>
      <w:lvlJc w:val="left"/>
      <w:pPr>
        <w:ind w:left="4248" w:hanging="636"/>
      </w:pPr>
      <w:rPr>
        <w:rFonts w:hint="default"/>
        <w:lang w:val="en-US" w:eastAsia="en-US" w:bidi="ar-SA"/>
      </w:rPr>
    </w:lvl>
    <w:lvl w:ilvl="5">
      <w:numFmt w:val="bullet"/>
      <w:lvlText w:val="•"/>
      <w:lvlJc w:val="left"/>
      <w:pPr>
        <w:ind w:left="5220" w:hanging="636"/>
      </w:pPr>
      <w:rPr>
        <w:rFonts w:hint="default"/>
        <w:lang w:val="en-US" w:eastAsia="en-US" w:bidi="ar-SA"/>
      </w:rPr>
    </w:lvl>
    <w:lvl w:ilvl="6">
      <w:numFmt w:val="bullet"/>
      <w:lvlText w:val="•"/>
      <w:lvlJc w:val="left"/>
      <w:pPr>
        <w:ind w:left="6192" w:hanging="636"/>
      </w:pPr>
      <w:rPr>
        <w:rFonts w:hint="default"/>
        <w:lang w:val="en-US" w:eastAsia="en-US" w:bidi="ar-SA"/>
      </w:rPr>
    </w:lvl>
    <w:lvl w:ilvl="7">
      <w:numFmt w:val="bullet"/>
      <w:lvlText w:val="•"/>
      <w:lvlJc w:val="left"/>
      <w:pPr>
        <w:ind w:left="7164" w:hanging="636"/>
      </w:pPr>
      <w:rPr>
        <w:rFonts w:hint="default"/>
        <w:lang w:val="en-US" w:eastAsia="en-US" w:bidi="ar-SA"/>
      </w:rPr>
    </w:lvl>
    <w:lvl w:ilvl="8">
      <w:numFmt w:val="bullet"/>
      <w:lvlText w:val="•"/>
      <w:lvlJc w:val="left"/>
      <w:pPr>
        <w:ind w:left="8136" w:hanging="636"/>
      </w:pPr>
      <w:rPr>
        <w:rFonts w:hint="default"/>
        <w:lang w:val="en-US" w:eastAsia="en-US" w:bidi="ar-SA"/>
      </w:rPr>
    </w:lvl>
  </w:abstractNum>
  <w:abstractNum w:abstractNumId="138" w15:restartNumberingAfterBreak="0">
    <w:nsid w:val="474E4AA2"/>
    <w:multiLevelType w:val="hybridMultilevel"/>
    <w:tmpl w:val="ECC869A2"/>
    <w:lvl w:ilvl="0" w:tplc="0CEAB996">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45E4C8D8">
      <w:numFmt w:val="bullet"/>
      <w:lvlText w:val="•"/>
      <w:lvlJc w:val="left"/>
      <w:pPr>
        <w:ind w:left="1710" w:hanging="425"/>
      </w:pPr>
      <w:rPr>
        <w:rFonts w:hint="default"/>
        <w:lang w:val="en-US" w:eastAsia="en-US" w:bidi="ar-SA"/>
      </w:rPr>
    </w:lvl>
    <w:lvl w:ilvl="2" w:tplc="B2A87744">
      <w:numFmt w:val="bullet"/>
      <w:lvlText w:val="•"/>
      <w:lvlJc w:val="left"/>
      <w:pPr>
        <w:ind w:left="2640" w:hanging="425"/>
      </w:pPr>
      <w:rPr>
        <w:rFonts w:hint="default"/>
        <w:lang w:val="en-US" w:eastAsia="en-US" w:bidi="ar-SA"/>
      </w:rPr>
    </w:lvl>
    <w:lvl w:ilvl="3" w:tplc="F2D2E68E">
      <w:numFmt w:val="bullet"/>
      <w:lvlText w:val="•"/>
      <w:lvlJc w:val="left"/>
      <w:pPr>
        <w:ind w:left="3570" w:hanging="425"/>
      </w:pPr>
      <w:rPr>
        <w:rFonts w:hint="default"/>
        <w:lang w:val="en-US" w:eastAsia="en-US" w:bidi="ar-SA"/>
      </w:rPr>
    </w:lvl>
    <w:lvl w:ilvl="4" w:tplc="6E1ECCD4">
      <w:numFmt w:val="bullet"/>
      <w:lvlText w:val="•"/>
      <w:lvlJc w:val="left"/>
      <w:pPr>
        <w:ind w:left="4500" w:hanging="425"/>
      </w:pPr>
      <w:rPr>
        <w:rFonts w:hint="default"/>
        <w:lang w:val="en-US" w:eastAsia="en-US" w:bidi="ar-SA"/>
      </w:rPr>
    </w:lvl>
    <w:lvl w:ilvl="5" w:tplc="8D080D74">
      <w:numFmt w:val="bullet"/>
      <w:lvlText w:val="•"/>
      <w:lvlJc w:val="left"/>
      <w:pPr>
        <w:ind w:left="5430" w:hanging="425"/>
      </w:pPr>
      <w:rPr>
        <w:rFonts w:hint="default"/>
        <w:lang w:val="en-US" w:eastAsia="en-US" w:bidi="ar-SA"/>
      </w:rPr>
    </w:lvl>
    <w:lvl w:ilvl="6" w:tplc="6DE44EAE">
      <w:numFmt w:val="bullet"/>
      <w:lvlText w:val="•"/>
      <w:lvlJc w:val="left"/>
      <w:pPr>
        <w:ind w:left="6360" w:hanging="425"/>
      </w:pPr>
      <w:rPr>
        <w:rFonts w:hint="default"/>
        <w:lang w:val="en-US" w:eastAsia="en-US" w:bidi="ar-SA"/>
      </w:rPr>
    </w:lvl>
    <w:lvl w:ilvl="7" w:tplc="E104DC26">
      <w:numFmt w:val="bullet"/>
      <w:lvlText w:val="•"/>
      <w:lvlJc w:val="left"/>
      <w:pPr>
        <w:ind w:left="7290" w:hanging="425"/>
      </w:pPr>
      <w:rPr>
        <w:rFonts w:hint="default"/>
        <w:lang w:val="en-US" w:eastAsia="en-US" w:bidi="ar-SA"/>
      </w:rPr>
    </w:lvl>
    <w:lvl w:ilvl="8" w:tplc="39AE5542">
      <w:numFmt w:val="bullet"/>
      <w:lvlText w:val="•"/>
      <w:lvlJc w:val="left"/>
      <w:pPr>
        <w:ind w:left="8220" w:hanging="425"/>
      </w:pPr>
      <w:rPr>
        <w:rFonts w:hint="default"/>
        <w:lang w:val="en-US" w:eastAsia="en-US" w:bidi="ar-SA"/>
      </w:rPr>
    </w:lvl>
  </w:abstractNum>
  <w:abstractNum w:abstractNumId="139" w15:restartNumberingAfterBreak="0">
    <w:nsid w:val="4768125D"/>
    <w:multiLevelType w:val="hybridMultilevel"/>
    <w:tmpl w:val="7BF26054"/>
    <w:lvl w:ilvl="0" w:tplc="FC280F66">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D98DD86">
      <w:numFmt w:val="bullet"/>
      <w:lvlText w:val="•"/>
      <w:lvlJc w:val="left"/>
      <w:pPr>
        <w:ind w:left="1710" w:hanging="425"/>
      </w:pPr>
      <w:rPr>
        <w:rFonts w:hint="default"/>
        <w:lang w:val="en-US" w:eastAsia="en-US" w:bidi="ar-SA"/>
      </w:rPr>
    </w:lvl>
    <w:lvl w:ilvl="2" w:tplc="09925F7C">
      <w:numFmt w:val="bullet"/>
      <w:lvlText w:val="•"/>
      <w:lvlJc w:val="left"/>
      <w:pPr>
        <w:ind w:left="2640" w:hanging="425"/>
      </w:pPr>
      <w:rPr>
        <w:rFonts w:hint="default"/>
        <w:lang w:val="en-US" w:eastAsia="en-US" w:bidi="ar-SA"/>
      </w:rPr>
    </w:lvl>
    <w:lvl w:ilvl="3" w:tplc="97867170">
      <w:numFmt w:val="bullet"/>
      <w:lvlText w:val="•"/>
      <w:lvlJc w:val="left"/>
      <w:pPr>
        <w:ind w:left="3570" w:hanging="425"/>
      </w:pPr>
      <w:rPr>
        <w:rFonts w:hint="default"/>
        <w:lang w:val="en-US" w:eastAsia="en-US" w:bidi="ar-SA"/>
      </w:rPr>
    </w:lvl>
    <w:lvl w:ilvl="4" w:tplc="44664A3A">
      <w:numFmt w:val="bullet"/>
      <w:lvlText w:val="•"/>
      <w:lvlJc w:val="left"/>
      <w:pPr>
        <w:ind w:left="4500" w:hanging="425"/>
      </w:pPr>
      <w:rPr>
        <w:rFonts w:hint="default"/>
        <w:lang w:val="en-US" w:eastAsia="en-US" w:bidi="ar-SA"/>
      </w:rPr>
    </w:lvl>
    <w:lvl w:ilvl="5" w:tplc="FB8CEF10">
      <w:numFmt w:val="bullet"/>
      <w:lvlText w:val="•"/>
      <w:lvlJc w:val="left"/>
      <w:pPr>
        <w:ind w:left="5430" w:hanging="425"/>
      </w:pPr>
      <w:rPr>
        <w:rFonts w:hint="default"/>
        <w:lang w:val="en-US" w:eastAsia="en-US" w:bidi="ar-SA"/>
      </w:rPr>
    </w:lvl>
    <w:lvl w:ilvl="6" w:tplc="BF86338A">
      <w:numFmt w:val="bullet"/>
      <w:lvlText w:val="•"/>
      <w:lvlJc w:val="left"/>
      <w:pPr>
        <w:ind w:left="6360" w:hanging="425"/>
      </w:pPr>
      <w:rPr>
        <w:rFonts w:hint="default"/>
        <w:lang w:val="en-US" w:eastAsia="en-US" w:bidi="ar-SA"/>
      </w:rPr>
    </w:lvl>
    <w:lvl w:ilvl="7" w:tplc="810E9438">
      <w:numFmt w:val="bullet"/>
      <w:lvlText w:val="•"/>
      <w:lvlJc w:val="left"/>
      <w:pPr>
        <w:ind w:left="7290" w:hanging="425"/>
      </w:pPr>
      <w:rPr>
        <w:rFonts w:hint="default"/>
        <w:lang w:val="en-US" w:eastAsia="en-US" w:bidi="ar-SA"/>
      </w:rPr>
    </w:lvl>
    <w:lvl w:ilvl="8" w:tplc="B9F0AB3E">
      <w:numFmt w:val="bullet"/>
      <w:lvlText w:val="•"/>
      <w:lvlJc w:val="left"/>
      <w:pPr>
        <w:ind w:left="8220" w:hanging="425"/>
      </w:pPr>
      <w:rPr>
        <w:rFonts w:hint="default"/>
        <w:lang w:val="en-US" w:eastAsia="en-US" w:bidi="ar-SA"/>
      </w:rPr>
    </w:lvl>
  </w:abstractNum>
  <w:abstractNum w:abstractNumId="140" w15:restartNumberingAfterBreak="0">
    <w:nsid w:val="48105ACC"/>
    <w:multiLevelType w:val="multilevel"/>
    <w:tmpl w:val="051C6902"/>
    <w:lvl w:ilvl="0">
      <w:start w:val="7"/>
      <w:numFmt w:val="decimal"/>
      <w:lvlText w:val="%1"/>
      <w:lvlJc w:val="left"/>
      <w:pPr>
        <w:ind w:left="1095" w:hanging="735"/>
        <w:jc w:val="left"/>
      </w:pPr>
      <w:rPr>
        <w:rFonts w:hint="default"/>
        <w:lang w:val="en-US" w:eastAsia="en-US" w:bidi="ar-SA"/>
      </w:rPr>
    </w:lvl>
    <w:lvl w:ilvl="1">
      <w:start w:val="4"/>
      <w:numFmt w:val="decimal"/>
      <w:lvlText w:val="%1.%2."/>
      <w:lvlJc w:val="left"/>
      <w:pPr>
        <w:ind w:left="1095" w:hanging="73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141" w15:restartNumberingAfterBreak="0">
    <w:nsid w:val="48581555"/>
    <w:multiLevelType w:val="multilevel"/>
    <w:tmpl w:val="44A27C5C"/>
    <w:lvl w:ilvl="0">
      <w:start w:val="6"/>
      <w:numFmt w:val="decimal"/>
      <w:lvlText w:val="%1"/>
      <w:lvlJc w:val="left"/>
      <w:pPr>
        <w:ind w:left="360" w:hanging="885"/>
        <w:jc w:val="left"/>
      </w:pPr>
      <w:rPr>
        <w:rFonts w:hint="default"/>
        <w:lang w:val="en-US" w:eastAsia="en-US" w:bidi="ar-SA"/>
      </w:rPr>
    </w:lvl>
    <w:lvl w:ilvl="1">
      <w:numFmt w:val="decimal"/>
      <w:lvlText w:val="%1.%2"/>
      <w:lvlJc w:val="left"/>
      <w:pPr>
        <w:ind w:left="360" w:hanging="88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42" w15:restartNumberingAfterBreak="0">
    <w:nsid w:val="48582C13"/>
    <w:multiLevelType w:val="hybridMultilevel"/>
    <w:tmpl w:val="FC9EDF10"/>
    <w:lvl w:ilvl="0" w:tplc="17627F3E">
      <w:start w:val="1"/>
      <w:numFmt w:val="decimal"/>
      <w:lvlText w:val="(%1)"/>
      <w:lvlJc w:val="left"/>
      <w:pPr>
        <w:ind w:left="360" w:hanging="46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BD8A110">
      <w:numFmt w:val="bullet"/>
      <w:lvlText w:val="•"/>
      <w:lvlJc w:val="left"/>
      <w:pPr>
        <w:ind w:left="1332" w:hanging="462"/>
      </w:pPr>
      <w:rPr>
        <w:rFonts w:hint="default"/>
        <w:lang w:val="en-US" w:eastAsia="en-US" w:bidi="ar-SA"/>
      </w:rPr>
    </w:lvl>
    <w:lvl w:ilvl="2" w:tplc="4B4C207A">
      <w:numFmt w:val="bullet"/>
      <w:lvlText w:val="•"/>
      <w:lvlJc w:val="left"/>
      <w:pPr>
        <w:ind w:left="2304" w:hanging="462"/>
      </w:pPr>
      <w:rPr>
        <w:rFonts w:hint="default"/>
        <w:lang w:val="en-US" w:eastAsia="en-US" w:bidi="ar-SA"/>
      </w:rPr>
    </w:lvl>
    <w:lvl w:ilvl="3" w:tplc="65BC6150">
      <w:numFmt w:val="bullet"/>
      <w:lvlText w:val="•"/>
      <w:lvlJc w:val="left"/>
      <w:pPr>
        <w:ind w:left="3276" w:hanging="462"/>
      </w:pPr>
      <w:rPr>
        <w:rFonts w:hint="default"/>
        <w:lang w:val="en-US" w:eastAsia="en-US" w:bidi="ar-SA"/>
      </w:rPr>
    </w:lvl>
    <w:lvl w:ilvl="4" w:tplc="9E2ECBB6">
      <w:numFmt w:val="bullet"/>
      <w:lvlText w:val="•"/>
      <w:lvlJc w:val="left"/>
      <w:pPr>
        <w:ind w:left="4248" w:hanging="462"/>
      </w:pPr>
      <w:rPr>
        <w:rFonts w:hint="default"/>
        <w:lang w:val="en-US" w:eastAsia="en-US" w:bidi="ar-SA"/>
      </w:rPr>
    </w:lvl>
    <w:lvl w:ilvl="5" w:tplc="968CF72A">
      <w:numFmt w:val="bullet"/>
      <w:lvlText w:val="•"/>
      <w:lvlJc w:val="left"/>
      <w:pPr>
        <w:ind w:left="5220" w:hanging="462"/>
      </w:pPr>
      <w:rPr>
        <w:rFonts w:hint="default"/>
        <w:lang w:val="en-US" w:eastAsia="en-US" w:bidi="ar-SA"/>
      </w:rPr>
    </w:lvl>
    <w:lvl w:ilvl="6" w:tplc="9A96F68C">
      <w:numFmt w:val="bullet"/>
      <w:lvlText w:val="•"/>
      <w:lvlJc w:val="left"/>
      <w:pPr>
        <w:ind w:left="6192" w:hanging="462"/>
      </w:pPr>
      <w:rPr>
        <w:rFonts w:hint="default"/>
        <w:lang w:val="en-US" w:eastAsia="en-US" w:bidi="ar-SA"/>
      </w:rPr>
    </w:lvl>
    <w:lvl w:ilvl="7" w:tplc="F80803B2">
      <w:numFmt w:val="bullet"/>
      <w:lvlText w:val="•"/>
      <w:lvlJc w:val="left"/>
      <w:pPr>
        <w:ind w:left="7164" w:hanging="462"/>
      </w:pPr>
      <w:rPr>
        <w:rFonts w:hint="default"/>
        <w:lang w:val="en-US" w:eastAsia="en-US" w:bidi="ar-SA"/>
      </w:rPr>
    </w:lvl>
    <w:lvl w:ilvl="8" w:tplc="177EBF2E">
      <w:numFmt w:val="bullet"/>
      <w:lvlText w:val="•"/>
      <w:lvlJc w:val="left"/>
      <w:pPr>
        <w:ind w:left="8136" w:hanging="462"/>
      </w:pPr>
      <w:rPr>
        <w:rFonts w:hint="default"/>
        <w:lang w:val="en-US" w:eastAsia="en-US" w:bidi="ar-SA"/>
      </w:rPr>
    </w:lvl>
  </w:abstractNum>
  <w:abstractNum w:abstractNumId="143" w15:restartNumberingAfterBreak="0">
    <w:nsid w:val="486803CF"/>
    <w:multiLevelType w:val="multilevel"/>
    <w:tmpl w:val="B02C0010"/>
    <w:lvl w:ilvl="0">
      <w:start w:val="2"/>
      <w:numFmt w:val="decimal"/>
      <w:lvlText w:val="%1"/>
      <w:lvlJc w:val="left"/>
      <w:pPr>
        <w:ind w:left="990" w:hanging="630"/>
        <w:jc w:val="left"/>
      </w:pPr>
      <w:rPr>
        <w:rFonts w:hint="default"/>
        <w:lang w:val="en-US" w:eastAsia="en-US" w:bidi="ar-SA"/>
      </w:rPr>
    </w:lvl>
    <w:lvl w:ilvl="1">
      <w:start w:val="2"/>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44" w15:restartNumberingAfterBreak="0">
    <w:nsid w:val="48D670AA"/>
    <w:multiLevelType w:val="multilevel"/>
    <w:tmpl w:val="F61AD548"/>
    <w:lvl w:ilvl="0">
      <w:start w:val="3"/>
      <w:numFmt w:val="decimal"/>
      <w:lvlText w:val="%1"/>
      <w:lvlJc w:val="left"/>
      <w:pPr>
        <w:ind w:left="360" w:hanging="765"/>
        <w:jc w:val="left"/>
      </w:pPr>
      <w:rPr>
        <w:rFonts w:hint="default"/>
        <w:lang w:val="en-US" w:eastAsia="en-US" w:bidi="ar-SA"/>
      </w:rPr>
    </w:lvl>
    <w:lvl w:ilvl="1">
      <w:numFmt w:val="decimal"/>
      <w:lvlText w:val="%1.%2"/>
      <w:lvlJc w:val="left"/>
      <w:pPr>
        <w:ind w:left="360" w:hanging="76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45" w15:restartNumberingAfterBreak="0">
    <w:nsid w:val="49405B19"/>
    <w:multiLevelType w:val="multilevel"/>
    <w:tmpl w:val="10CE197A"/>
    <w:lvl w:ilvl="0">
      <w:start w:val="1"/>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46" w15:restartNumberingAfterBreak="0">
    <w:nsid w:val="4AB6722C"/>
    <w:multiLevelType w:val="hybridMultilevel"/>
    <w:tmpl w:val="C1846AC8"/>
    <w:lvl w:ilvl="0" w:tplc="E96ECE6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CA4A3B2">
      <w:start w:val="1"/>
      <w:numFmt w:val="decimal"/>
      <w:lvlText w:val="(%2)"/>
      <w:lvlJc w:val="left"/>
      <w:pPr>
        <w:ind w:left="360" w:hanging="466"/>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2" w:tplc="77600174">
      <w:numFmt w:val="bullet"/>
      <w:lvlText w:val="•"/>
      <w:lvlJc w:val="left"/>
      <w:pPr>
        <w:ind w:left="1813" w:hanging="466"/>
      </w:pPr>
      <w:rPr>
        <w:rFonts w:hint="default"/>
        <w:lang w:val="en-US" w:eastAsia="en-US" w:bidi="ar-SA"/>
      </w:rPr>
    </w:lvl>
    <w:lvl w:ilvl="3" w:tplc="2C02CA8C">
      <w:numFmt w:val="bullet"/>
      <w:lvlText w:val="•"/>
      <w:lvlJc w:val="left"/>
      <w:pPr>
        <w:ind w:left="2846" w:hanging="466"/>
      </w:pPr>
      <w:rPr>
        <w:rFonts w:hint="default"/>
        <w:lang w:val="en-US" w:eastAsia="en-US" w:bidi="ar-SA"/>
      </w:rPr>
    </w:lvl>
    <w:lvl w:ilvl="4" w:tplc="00D8A502">
      <w:numFmt w:val="bullet"/>
      <w:lvlText w:val="•"/>
      <w:lvlJc w:val="left"/>
      <w:pPr>
        <w:ind w:left="3880" w:hanging="466"/>
      </w:pPr>
      <w:rPr>
        <w:rFonts w:hint="default"/>
        <w:lang w:val="en-US" w:eastAsia="en-US" w:bidi="ar-SA"/>
      </w:rPr>
    </w:lvl>
    <w:lvl w:ilvl="5" w:tplc="BB4A9324">
      <w:numFmt w:val="bullet"/>
      <w:lvlText w:val="•"/>
      <w:lvlJc w:val="left"/>
      <w:pPr>
        <w:ind w:left="4913" w:hanging="466"/>
      </w:pPr>
      <w:rPr>
        <w:rFonts w:hint="default"/>
        <w:lang w:val="en-US" w:eastAsia="en-US" w:bidi="ar-SA"/>
      </w:rPr>
    </w:lvl>
    <w:lvl w:ilvl="6" w:tplc="3D16C4B6">
      <w:numFmt w:val="bullet"/>
      <w:lvlText w:val="•"/>
      <w:lvlJc w:val="left"/>
      <w:pPr>
        <w:ind w:left="5946" w:hanging="466"/>
      </w:pPr>
      <w:rPr>
        <w:rFonts w:hint="default"/>
        <w:lang w:val="en-US" w:eastAsia="en-US" w:bidi="ar-SA"/>
      </w:rPr>
    </w:lvl>
    <w:lvl w:ilvl="7" w:tplc="F5C8A38A">
      <w:numFmt w:val="bullet"/>
      <w:lvlText w:val="•"/>
      <w:lvlJc w:val="left"/>
      <w:pPr>
        <w:ind w:left="6980" w:hanging="466"/>
      </w:pPr>
      <w:rPr>
        <w:rFonts w:hint="default"/>
        <w:lang w:val="en-US" w:eastAsia="en-US" w:bidi="ar-SA"/>
      </w:rPr>
    </w:lvl>
    <w:lvl w:ilvl="8" w:tplc="8468F928">
      <w:numFmt w:val="bullet"/>
      <w:lvlText w:val="•"/>
      <w:lvlJc w:val="left"/>
      <w:pPr>
        <w:ind w:left="8013" w:hanging="466"/>
      </w:pPr>
      <w:rPr>
        <w:rFonts w:hint="default"/>
        <w:lang w:val="en-US" w:eastAsia="en-US" w:bidi="ar-SA"/>
      </w:rPr>
    </w:lvl>
  </w:abstractNum>
  <w:abstractNum w:abstractNumId="147" w15:restartNumberingAfterBreak="0">
    <w:nsid w:val="4ACD58ED"/>
    <w:multiLevelType w:val="multilevel"/>
    <w:tmpl w:val="79787196"/>
    <w:lvl w:ilvl="0">
      <w:start w:val="2"/>
      <w:numFmt w:val="decimal"/>
      <w:lvlText w:val="%1"/>
      <w:lvlJc w:val="left"/>
      <w:pPr>
        <w:ind w:left="360" w:hanging="711"/>
        <w:jc w:val="left"/>
      </w:pPr>
      <w:rPr>
        <w:rFonts w:hint="default"/>
        <w:lang w:val="en-US" w:eastAsia="en-US" w:bidi="ar-SA"/>
      </w:rPr>
    </w:lvl>
    <w:lvl w:ilvl="1">
      <w:numFmt w:val="decimal"/>
      <w:lvlText w:val="%1.%2"/>
      <w:lvlJc w:val="left"/>
      <w:pPr>
        <w:ind w:left="360" w:hanging="711"/>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008"/>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76" w:hanging="1008"/>
      </w:pPr>
      <w:rPr>
        <w:rFonts w:hint="default"/>
        <w:lang w:val="en-US" w:eastAsia="en-US" w:bidi="ar-SA"/>
      </w:rPr>
    </w:lvl>
    <w:lvl w:ilvl="4">
      <w:numFmt w:val="bullet"/>
      <w:lvlText w:val="•"/>
      <w:lvlJc w:val="left"/>
      <w:pPr>
        <w:ind w:left="4248" w:hanging="1008"/>
      </w:pPr>
      <w:rPr>
        <w:rFonts w:hint="default"/>
        <w:lang w:val="en-US" w:eastAsia="en-US" w:bidi="ar-SA"/>
      </w:rPr>
    </w:lvl>
    <w:lvl w:ilvl="5">
      <w:numFmt w:val="bullet"/>
      <w:lvlText w:val="•"/>
      <w:lvlJc w:val="left"/>
      <w:pPr>
        <w:ind w:left="5220" w:hanging="1008"/>
      </w:pPr>
      <w:rPr>
        <w:rFonts w:hint="default"/>
        <w:lang w:val="en-US" w:eastAsia="en-US" w:bidi="ar-SA"/>
      </w:rPr>
    </w:lvl>
    <w:lvl w:ilvl="6">
      <w:numFmt w:val="bullet"/>
      <w:lvlText w:val="•"/>
      <w:lvlJc w:val="left"/>
      <w:pPr>
        <w:ind w:left="6192" w:hanging="1008"/>
      </w:pPr>
      <w:rPr>
        <w:rFonts w:hint="default"/>
        <w:lang w:val="en-US" w:eastAsia="en-US" w:bidi="ar-SA"/>
      </w:rPr>
    </w:lvl>
    <w:lvl w:ilvl="7">
      <w:numFmt w:val="bullet"/>
      <w:lvlText w:val="•"/>
      <w:lvlJc w:val="left"/>
      <w:pPr>
        <w:ind w:left="7164" w:hanging="1008"/>
      </w:pPr>
      <w:rPr>
        <w:rFonts w:hint="default"/>
        <w:lang w:val="en-US" w:eastAsia="en-US" w:bidi="ar-SA"/>
      </w:rPr>
    </w:lvl>
    <w:lvl w:ilvl="8">
      <w:numFmt w:val="bullet"/>
      <w:lvlText w:val="•"/>
      <w:lvlJc w:val="left"/>
      <w:pPr>
        <w:ind w:left="8136" w:hanging="1008"/>
      </w:pPr>
      <w:rPr>
        <w:rFonts w:hint="default"/>
        <w:lang w:val="en-US" w:eastAsia="en-US" w:bidi="ar-SA"/>
      </w:rPr>
    </w:lvl>
  </w:abstractNum>
  <w:abstractNum w:abstractNumId="148" w15:restartNumberingAfterBreak="0">
    <w:nsid w:val="4AF01035"/>
    <w:multiLevelType w:val="multilevel"/>
    <w:tmpl w:val="046638B2"/>
    <w:lvl w:ilvl="0">
      <w:start w:val="9"/>
      <w:numFmt w:val="decimal"/>
      <w:lvlText w:val="%1"/>
      <w:lvlJc w:val="left"/>
      <w:pPr>
        <w:ind w:left="360" w:hanging="714"/>
        <w:jc w:val="left"/>
      </w:pPr>
      <w:rPr>
        <w:rFonts w:hint="default"/>
        <w:lang w:val="en-US" w:eastAsia="en-US" w:bidi="ar-SA"/>
      </w:rPr>
    </w:lvl>
    <w:lvl w:ilvl="1">
      <w:numFmt w:val="decimal"/>
      <w:lvlText w:val="%1.%2"/>
      <w:lvlJc w:val="left"/>
      <w:pPr>
        <w:ind w:left="360" w:hanging="714"/>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714"/>
      </w:pPr>
      <w:rPr>
        <w:rFonts w:hint="default"/>
        <w:lang w:val="en-US" w:eastAsia="en-US" w:bidi="ar-SA"/>
      </w:rPr>
    </w:lvl>
    <w:lvl w:ilvl="3">
      <w:numFmt w:val="bullet"/>
      <w:lvlText w:val="•"/>
      <w:lvlJc w:val="left"/>
      <w:pPr>
        <w:ind w:left="3276" w:hanging="714"/>
      </w:pPr>
      <w:rPr>
        <w:rFonts w:hint="default"/>
        <w:lang w:val="en-US" w:eastAsia="en-US" w:bidi="ar-SA"/>
      </w:rPr>
    </w:lvl>
    <w:lvl w:ilvl="4">
      <w:numFmt w:val="bullet"/>
      <w:lvlText w:val="•"/>
      <w:lvlJc w:val="left"/>
      <w:pPr>
        <w:ind w:left="4248" w:hanging="714"/>
      </w:pPr>
      <w:rPr>
        <w:rFonts w:hint="default"/>
        <w:lang w:val="en-US" w:eastAsia="en-US" w:bidi="ar-SA"/>
      </w:rPr>
    </w:lvl>
    <w:lvl w:ilvl="5">
      <w:numFmt w:val="bullet"/>
      <w:lvlText w:val="•"/>
      <w:lvlJc w:val="left"/>
      <w:pPr>
        <w:ind w:left="5220" w:hanging="714"/>
      </w:pPr>
      <w:rPr>
        <w:rFonts w:hint="default"/>
        <w:lang w:val="en-US" w:eastAsia="en-US" w:bidi="ar-SA"/>
      </w:rPr>
    </w:lvl>
    <w:lvl w:ilvl="6">
      <w:numFmt w:val="bullet"/>
      <w:lvlText w:val="•"/>
      <w:lvlJc w:val="left"/>
      <w:pPr>
        <w:ind w:left="6192" w:hanging="714"/>
      </w:pPr>
      <w:rPr>
        <w:rFonts w:hint="default"/>
        <w:lang w:val="en-US" w:eastAsia="en-US" w:bidi="ar-SA"/>
      </w:rPr>
    </w:lvl>
    <w:lvl w:ilvl="7">
      <w:numFmt w:val="bullet"/>
      <w:lvlText w:val="•"/>
      <w:lvlJc w:val="left"/>
      <w:pPr>
        <w:ind w:left="7164" w:hanging="714"/>
      </w:pPr>
      <w:rPr>
        <w:rFonts w:hint="default"/>
        <w:lang w:val="en-US" w:eastAsia="en-US" w:bidi="ar-SA"/>
      </w:rPr>
    </w:lvl>
    <w:lvl w:ilvl="8">
      <w:numFmt w:val="bullet"/>
      <w:lvlText w:val="•"/>
      <w:lvlJc w:val="left"/>
      <w:pPr>
        <w:ind w:left="8136" w:hanging="714"/>
      </w:pPr>
      <w:rPr>
        <w:rFonts w:hint="default"/>
        <w:lang w:val="en-US" w:eastAsia="en-US" w:bidi="ar-SA"/>
      </w:rPr>
    </w:lvl>
  </w:abstractNum>
  <w:abstractNum w:abstractNumId="149" w15:restartNumberingAfterBreak="0">
    <w:nsid w:val="4B4F4B81"/>
    <w:multiLevelType w:val="hybridMultilevel"/>
    <w:tmpl w:val="D0DC3F26"/>
    <w:lvl w:ilvl="0" w:tplc="0698665A">
      <w:start w:val="1"/>
      <w:numFmt w:val="decimal"/>
      <w:lvlText w:val="(%1)"/>
      <w:lvlJc w:val="left"/>
      <w:pPr>
        <w:ind w:left="360" w:hanging="5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1C88F30">
      <w:numFmt w:val="bullet"/>
      <w:lvlText w:val="•"/>
      <w:lvlJc w:val="left"/>
      <w:pPr>
        <w:ind w:left="1332" w:hanging="558"/>
      </w:pPr>
      <w:rPr>
        <w:rFonts w:hint="default"/>
        <w:lang w:val="en-US" w:eastAsia="en-US" w:bidi="ar-SA"/>
      </w:rPr>
    </w:lvl>
    <w:lvl w:ilvl="2" w:tplc="A78084EC">
      <w:numFmt w:val="bullet"/>
      <w:lvlText w:val="•"/>
      <w:lvlJc w:val="left"/>
      <w:pPr>
        <w:ind w:left="2304" w:hanging="558"/>
      </w:pPr>
      <w:rPr>
        <w:rFonts w:hint="default"/>
        <w:lang w:val="en-US" w:eastAsia="en-US" w:bidi="ar-SA"/>
      </w:rPr>
    </w:lvl>
    <w:lvl w:ilvl="3" w:tplc="E36AD51C">
      <w:numFmt w:val="bullet"/>
      <w:lvlText w:val="•"/>
      <w:lvlJc w:val="left"/>
      <w:pPr>
        <w:ind w:left="3276" w:hanging="558"/>
      </w:pPr>
      <w:rPr>
        <w:rFonts w:hint="default"/>
        <w:lang w:val="en-US" w:eastAsia="en-US" w:bidi="ar-SA"/>
      </w:rPr>
    </w:lvl>
    <w:lvl w:ilvl="4" w:tplc="4A54DEF8">
      <w:numFmt w:val="bullet"/>
      <w:lvlText w:val="•"/>
      <w:lvlJc w:val="left"/>
      <w:pPr>
        <w:ind w:left="4248" w:hanging="558"/>
      </w:pPr>
      <w:rPr>
        <w:rFonts w:hint="default"/>
        <w:lang w:val="en-US" w:eastAsia="en-US" w:bidi="ar-SA"/>
      </w:rPr>
    </w:lvl>
    <w:lvl w:ilvl="5" w:tplc="6A92FC78">
      <w:numFmt w:val="bullet"/>
      <w:lvlText w:val="•"/>
      <w:lvlJc w:val="left"/>
      <w:pPr>
        <w:ind w:left="5220" w:hanging="558"/>
      </w:pPr>
      <w:rPr>
        <w:rFonts w:hint="default"/>
        <w:lang w:val="en-US" w:eastAsia="en-US" w:bidi="ar-SA"/>
      </w:rPr>
    </w:lvl>
    <w:lvl w:ilvl="6" w:tplc="0D8CFE10">
      <w:numFmt w:val="bullet"/>
      <w:lvlText w:val="•"/>
      <w:lvlJc w:val="left"/>
      <w:pPr>
        <w:ind w:left="6192" w:hanging="558"/>
      </w:pPr>
      <w:rPr>
        <w:rFonts w:hint="default"/>
        <w:lang w:val="en-US" w:eastAsia="en-US" w:bidi="ar-SA"/>
      </w:rPr>
    </w:lvl>
    <w:lvl w:ilvl="7" w:tplc="392CDC60">
      <w:numFmt w:val="bullet"/>
      <w:lvlText w:val="•"/>
      <w:lvlJc w:val="left"/>
      <w:pPr>
        <w:ind w:left="7164" w:hanging="558"/>
      </w:pPr>
      <w:rPr>
        <w:rFonts w:hint="default"/>
        <w:lang w:val="en-US" w:eastAsia="en-US" w:bidi="ar-SA"/>
      </w:rPr>
    </w:lvl>
    <w:lvl w:ilvl="8" w:tplc="D87229E8">
      <w:numFmt w:val="bullet"/>
      <w:lvlText w:val="•"/>
      <w:lvlJc w:val="left"/>
      <w:pPr>
        <w:ind w:left="8136" w:hanging="558"/>
      </w:pPr>
      <w:rPr>
        <w:rFonts w:hint="default"/>
        <w:lang w:val="en-US" w:eastAsia="en-US" w:bidi="ar-SA"/>
      </w:rPr>
    </w:lvl>
  </w:abstractNum>
  <w:abstractNum w:abstractNumId="150" w15:restartNumberingAfterBreak="0">
    <w:nsid w:val="4BAE2972"/>
    <w:multiLevelType w:val="hybridMultilevel"/>
    <w:tmpl w:val="60CC076E"/>
    <w:lvl w:ilvl="0" w:tplc="6BB6B218">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1921C24">
      <w:numFmt w:val="bullet"/>
      <w:lvlText w:val="•"/>
      <w:lvlJc w:val="left"/>
      <w:pPr>
        <w:ind w:left="1656" w:hanging="358"/>
      </w:pPr>
      <w:rPr>
        <w:rFonts w:hint="default"/>
        <w:lang w:val="en-US" w:eastAsia="en-US" w:bidi="ar-SA"/>
      </w:rPr>
    </w:lvl>
    <w:lvl w:ilvl="2" w:tplc="D848C190">
      <w:numFmt w:val="bullet"/>
      <w:lvlText w:val="•"/>
      <w:lvlJc w:val="left"/>
      <w:pPr>
        <w:ind w:left="2592" w:hanging="358"/>
      </w:pPr>
      <w:rPr>
        <w:rFonts w:hint="default"/>
        <w:lang w:val="en-US" w:eastAsia="en-US" w:bidi="ar-SA"/>
      </w:rPr>
    </w:lvl>
    <w:lvl w:ilvl="3" w:tplc="21B80BF8">
      <w:numFmt w:val="bullet"/>
      <w:lvlText w:val="•"/>
      <w:lvlJc w:val="left"/>
      <w:pPr>
        <w:ind w:left="3528" w:hanging="358"/>
      </w:pPr>
      <w:rPr>
        <w:rFonts w:hint="default"/>
        <w:lang w:val="en-US" w:eastAsia="en-US" w:bidi="ar-SA"/>
      </w:rPr>
    </w:lvl>
    <w:lvl w:ilvl="4" w:tplc="80885BEE">
      <w:numFmt w:val="bullet"/>
      <w:lvlText w:val="•"/>
      <w:lvlJc w:val="left"/>
      <w:pPr>
        <w:ind w:left="4464" w:hanging="358"/>
      </w:pPr>
      <w:rPr>
        <w:rFonts w:hint="default"/>
        <w:lang w:val="en-US" w:eastAsia="en-US" w:bidi="ar-SA"/>
      </w:rPr>
    </w:lvl>
    <w:lvl w:ilvl="5" w:tplc="160C1BB4">
      <w:numFmt w:val="bullet"/>
      <w:lvlText w:val="•"/>
      <w:lvlJc w:val="left"/>
      <w:pPr>
        <w:ind w:left="5400" w:hanging="358"/>
      </w:pPr>
      <w:rPr>
        <w:rFonts w:hint="default"/>
        <w:lang w:val="en-US" w:eastAsia="en-US" w:bidi="ar-SA"/>
      </w:rPr>
    </w:lvl>
    <w:lvl w:ilvl="6" w:tplc="37CE2ED8">
      <w:numFmt w:val="bullet"/>
      <w:lvlText w:val="•"/>
      <w:lvlJc w:val="left"/>
      <w:pPr>
        <w:ind w:left="6336" w:hanging="358"/>
      </w:pPr>
      <w:rPr>
        <w:rFonts w:hint="default"/>
        <w:lang w:val="en-US" w:eastAsia="en-US" w:bidi="ar-SA"/>
      </w:rPr>
    </w:lvl>
    <w:lvl w:ilvl="7" w:tplc="85544DD6">
      <w:numFmt w:val="bullet"/>
      <w:lvlText w:val="•"/>
      <w:lvlJc w:val="left"/>
      <w:pPr>
        <w:ind w:left="7272" w:hanging="358"/>
      </w:pPr>
      <w:rPr>
        <w:rFonts w:hint="default"/>
        <w:lang w:val="en-US" w:eastAsia="en-US" w:bidi="ar-SA"/>
      </w:rPr>
    </w:lvl>
    <w:lvl w:ilvl="8" w:tplc="7F8A791A">
      <w:numFmt w:val="bullet"/>
      <w:lvlText w:val="•"/>
      <w:lvlJc w:val="left"/>
      <w:pPr>
        <w:ind w:left="8208" w:hanging="358"/>
      </w:pPr>
      <w:rPr>
        <w:rFonts w:hint="default"/>
        <w:lang w:val="en-US" w:eastAsia="en-US" w:bidi="ar-SA"/>
      </w:rPr>
    </w:lvl>
  </w:abstractNum>
  <w:abstractNum w:abstractNumId="151" w15:restartNumberingAfterBreak="0">
    <w:nsid w:val="4CBD3552"/>
    <w:multiLevelType w:val="hybridMultilevel"/>
    <w:tmpl w:val="9AE8518E"/>
    <w:lvl w:ilvl="0" w:tplc="4266D912">
      <w:start w:val="3"/>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tplc="36E8D8DA">
      <w:start w:val="1"/>
      <w:numFmt w:val="decimal"/>
      <w:lvlText w:val="(%2)"/>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9D7C0736">
      <w:numFmt w:val="bullet"/>
      <w:lvlText w:val="•"/>
      <w:lvlJc w:val="left"/>
      <w:pPr>
        <w:ind w:left="2008" w:hanging="425"/>
      </w:pPr>
      <w:rPr>
        <w:rFonts w:hint="default"/>
        <w:lang w:val="en-US" w:eastAsia="en-US" w:bidi="ar-SA"/>
      </w:rPr>
    </w:lvl>
    <w:lvl w:ilvl="3" w:tplc="E09676A8">
      <w:numFmt w:val="bullet"/>
      <w:lvlText w:val="•"/>
      <w:lvlJc w:val="left"/>
      <w:pPr>
        <w:ind w:left="3017" w:hanging="425"/>
      </w:pPr>
      <w:rPr>
        <w:rFonts w:hint="default"/>
        <w:lang w:val="en-US" w:eastAsia="en-US" w:bidi="ar-SA"/>
      </w:rPr>
    </w:lvl>
    <w:lvl w:ilvl="4" w:tplc="83749FE2">
      <w:numFmt w:val="bullet"/>
      <w:lvlText w:val="•"/>
      <w:lvlJc w:val="left"/>
      <w:pPr>
        <w:ind w:left="4026" w:hanging="425"/>
      </w:pPr>
      <w:rPr>
        <w:rFonts w:hint="default"/>
        <w:lang w:val="en-US" w:eastAsia="en-US" w:bidi="ar-SA"/>
      </w:rPr>
    </w:lvl>
    <w:lvl w:ilvl="5" w:tplc="3F201E3C">
      <w:numFmt w:val="bullet"/>
      <w:lvlText w:val="•"/>
      <w:lvlJc w:val="left"/>
      <w:pPr>
        <w:ind w:left="5035" w:hanging="425"/>
      </w:pPr>
      <w:rPr>
        <w:rFonts w:hint="default"/>
        <w:lang w:val="en-US" w:eastAsia="en-US" w:bidi="ar-SA"/>
      </w:rPr>
    </w:lvl>
    <w:lvl w:ilvl="6" w:tplc="23D4FBFA">
      <w:numFmt w:val="bullet"/>
      <w:lvlText w:val="•"/>
      <w:lvlJc w:val="left"/>
      <w:pPr>
        <w:ind w:left="6044" w:hanging="425"/>
      </w:pPr>
      <w:rPr>
        <w:rFonts w:hint="default"/>
        <w:lang w:val="en-US" w:eastAsia="en-US" w:bidi="ar-SA"/>
      </w:rPr>
    </w:lvl>
    <w:lvl w:ilvl="7" w:tplc="72605308">
      <w:numFmt w:val="bullet"/>
      <w:lvlText w:val="•"/>
      <w:lvlJc w:val="left"/>
      <w:pPr>
        <w:ind w:left="7053" w:hanging="425"/>
      </w:pPr>
      <w:rPr>
        <w:rFonts w:hint="default"/>
        <w:lang w:val="en-US" w:eastAsia="en-US" w:bidi="ar-SA"/>
      </w:rPr>
    </w:lvl>
    <w:lvl w:ilvl="8" w:tplc="E3F6F9B8">
      <w:numFmt w:val="bullet"/>
      <w:lvlText w:val="•"/>
      <w:lvlJc w:val="left"/>
      <w:pPr>
        <w:ind w:left="8062" w:hanging="425"/>
      </w:pPr>
      <w:rPr>
        <w:rFonts w:hint="default"/>
        <w:lang w:val="en-US" w:eastAsia="en-US" w:bidi="ar-SA"/>
      </w:rPr>
    </w:lvl>
  </w:abstractNum>
  <w:abstractNum w:abstractNumId="152" w15:restartNumberingAfterBreak="0">
    <w:nsid w:val="4CDD0BF4"/>
    <w:multiLevelType w:val="multilevel"/>
    <w:tmpl w:val="771495D4"/>
    <w:lvl w:ilvl="0">
      <w:start w:val="2"/>
      <w:numFmt w:val="decimal"/>
      <w:lvlText w:val="%1"/>
      <w:lvlJc w:val="left"/>
      <w:pPr>
        <w:ind w:left="990" w:hanging="630"/>
        <w:jc w:val="left"/>
      </w:pPr>
      <w:rPr>
        <w:rFonts w:hint="default"/>
        <w:lang w:val="en-US" w:eastAsia="en-US" w:bidi="ar-SA"/>
      </w:rPr>
    </w:lvl>
    <w:lvl w:ilvl="1">
      <w:start w:val="7"/>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53" w15:restartNumberingAfterBreak="0">
    <w:nsid w:val="4D980142"/>
    <w:multiLevelType w:val="hybridMultilevel"/>
    <w:tmpl w:val="C23AAA66"/>
    <w:lvl w:ilvl="0" w:tplc="785CFA3A">
      <w:start w:val="4"/>
      <w:numFmt w:val="decimal"/>
      <w:lvlText w:val="%1.0"/>
      <w:lvlJc w:val="left"/>
      <w:pPr>
        <w:ind w:left="990" w:hanging="630"/>
        <w:jc w:val="left"/>
      </w:pPr>
      <w:rPr>
        <w:rFonts w:hint="default"/>
        <w:spacing w:val="0"/>
        <w:w w:val="100"/>
        <w:lang w:val="en-US" w:eastAsia="en-US" w:bidi="ar-SA"/>
      </w:rPr>
    </w:lvl>
    <w:lvl w:ilvl="1" w:tplc="10362B88">
      <w:start w:val="1"/>
      <w:numFmt w:val="decimal"/>
      <w:lvlText w:val="(%2)"/>
      <w:lvlJc w:val="left"/>
      <w:pPr>
        <w:ind w:left="360" w:hanging="42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5260AA06">
      <w:numFmt w:val="bullet"/>
      <w:lvlText w:val="•"/>
      <w:lvlJc w:val="left"/>
      <w:pPr>
        <w:ind w:left="2008" w:hanging="428"/>
      </w:pPr>
      <w:rPr>
        <w:rFonts w:hint="default"/>
        <w:lang w:val="en-US" w:eastAsia="en-US" w:bidi="ar-SA"/>
      </w:rPr>
    </w:lvl>
    <w:lvl w:ilvl="3" w:tplc="527265EE">
      <w:numFmt w:val="bullet"/>
      <w:lvlText w:val="•"/>
      <w:lvlJc w:val="left"/>
      <w:pPr>
        <w:ind w:left="3017" w:hanging="428"/>
      </w:pPr>
      <w:rPr>
        <w:rFonts w:hint="default"/>
        <w:lang w:val="en-US" w:eastAsia="en-US" w:bidi="ar-SA"/>
      </w:rPr>
    </w:lvl>
    <w:lvl w:ilvl="4" w:tplc="D31C7FEE">
      <w:numFmt w:val="bullet"/>
      <w:lvlText w:val="•"/>
      <w:lvlJc w:val="left"/>
      <w:pPr>
        <w:ind w:left="4026" w:hanging="428"/>
      </w:pPr>
      <w:rPr>
        <w:rFonts w:hint="default"/>
        <w:lang w:val="en-US" w:eastAsia="en-US" w:bidi="ar-SA"/>
      </w:rPr>
    </w:lvl>
    <w:lvl w:ilvl="5" w:tplc="31D052B6">
      <w:numFmt w:val="bullet"/>
      <w:lvlText w:val="•"/>
      <w:lvlJc w:val="left"/>
      <w:pPr>
        <w:ind w:left="5035" w:hanging="428"/>
      </w:pPr>
      <w:rPr>
        <w:rFonts w:hint="default"/>
        <w:lang w:val="en-US" w:eastAsia="en-US" w:bidi="ar-SA"/>
      </w:rPr>
    </w:lvl>
    <w:lvl w:ilvl="6" w:tplc="A8C4F5CC">
      <w:numFmt w:val="bullet"/>
      <w:lvlText w:val="•"/>
      <w:lvlJc w:val="left"/>
      <w:pPr>
        <w:ind w:left="6044" w:hanging="428"/>
      </w:pPr>
      <w:rPr>
        <w:rFonts w:hint="default"/>
        <w:lang w:val="en-US" w:eastAsia="en-US" w:bidi="ar-SA"/>
      </w:rPr>
    </w:lvl>
    <w:lvl w:ilvl="7" w:tplc="192ACD3A">
      <w:numFmt w:val="bullet"/>
      <w:lvlText w:val="•"/>
      <w:lvlJc w:val="left"/>
      <w:pPr>
        <w:ind w:left="7053" w:hanging="428"/>
      </w:pPr>
      <w:rPr>
        <w:rFonts w:hint="default"/>
        <w:lang w:val="en-US" w:eastAsia="en-US" w:bidi="ar-SA"/>
      </w:rPr>
    </w:lvl>
    <w:lvl w:ilvl="8" w:tplc="CCE88994">
      <w:numFmt w:val="bullet"/>
      <w:lvlText w:val="•"/>
      <w:lvlJc w:val="left"/>
      <w:pPr>
        <w:ind w:left="8062" w:hanging="428"/>
      </w:pPr>
      <w:rPr>
        <w:rFonts w:hint="default"/>
        <w:lang w:val="en-US" w:eastAsia="en-US" w:bidi="ar-SA"/>
      </w:rPr>
    </w:lvl>
  </w:abstractNum>
  <w:abstractNum w:abstractNumId="154" w15:restartNumberingAfterBreak="0">
    <w:nsid w:val="4E776C59"/>
    <w:multiLevelType w:val="multilevel"/>
    <w:tmpl w:val="B2FA949C"/>
    <w:lvl w:ilvl="0">
      <w:start w:val="11"/>
      <w:numFmt w:val="decimal"/>
      <w:lvlText w:val="%1"/>
      <w:lvlJc w:val="left"/>
      <w:pPr>
        <w:ind w:left="1200" w:hanging="840"/>
        <w:jc w:val="left"/>
      </w:pPr>
      <w:rPr>
        <w:rFonts w:hint="default"/>
        <w:lang w:val="en-US" w:eastAsia="en-US" w:bidi="ar-SA"/>
      </w:rPr>
    </w:lvl>
    <w:lvl w:ilvl="1">
      <w:numFmt w:val="decimal"/>
      <w:lvlText w:val="%1.%2"/>
      <w:lvlJc w:val="left"/>
      <w:pPr>
        <w:ind w:left="1200" w:hanging="84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8" w:hanging="949"/>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251" w:hanging="949"/>
      </w:pPr>
      <w:rPr>
        <w:rFonts w:hint="default"/>
        <w:lang w:val="en-US" w:eastAsia="en-US" w:bidi="ar-SA"/>
      </w:rPr>
    </w:lvl>
    <w:lvl w:ilvl="4">
      <w:numFmt w:val="bullet"/>
      <w:lvlText w:val="•"/>
      <w:lvlJc w:val="left"/>
      <w:pPr>
        <w:ind w:left="4226" w:hanging="949"/>
      </w:pPr>
      <w:rPr>
        <w:rFonts w:hint="default"/>
        <w:lang w:val="en-US" w:eastAsia="en-US" w:bidi="ar-SA"/>
      </w:rPr>
    </w:lvl>
    <w:lvl w:ilvl="5">
      <w:numFmt w:val="bullet"/>
      <w:lvlText w:val="•"/>
      <w:lvlJc w:val="left"/>
      <w:pPr>
        <w:ind w:left="5202" w:hanging="949"/>
      </w:pPr>
      <w:rPr>
        <w:rFonts w:hint="default"/>
        <w:lang w:val="en-US" w:eastAsia="en-US" w:bidi="ar-SA"/>
      </w:rPr>
    </w:lvl>
    <w:lvl w:ilvl="6">
      <w:numFmt w:val="bullet"/>
      <w:lvlText w:val="•"/>
      <w:lvlJc w:val="left"/>
      <w:pPr>
        <w:ind w:left="6177" w:hanging="949"/>
      </w:pPr>
      <w:rPr>
        <w:rFonts w:hint="default"/>
        <w:lang w:val="en-US" w:eastAsia="en-US" w:bidi="ar-SA"/>
      </w:rPr>
    </w:lvl>
    <w:lvl w:ilvl="7">
      <w:numFmt w:val="bullet"/>
      <w:lvlText w:val="•"/>
      <w:lvlJc w:val="left"/>
      <w:pPr>
        <w:ind w:left="7153" w:hanging="949"/>
      </w:pPr>
      <w:rPr>
        <w:rFonts w:hint="default"/>
        <w:lang w:val="en-US" w:eastAsia="en-US" w:bidi="ar-SA"/>
      </w:rPr>
    </w:lvl>
    <w:lvl w:ilvl="8">
      <w:numFmt w:val="bullet"/>
      <w:lvlText w:val="•"/>
      <w:lvlJc w:val="left"/>
      <w:pPr>
        <w:ind w:left="8128" w:hanging="949"/>
      </w:pPr>
      <w:rPr>
        <w:rFonts w:hint="default"/>
        <w:lang w:val="en-US" w:eastAsia="en-US" w:bidi="ar-SA"/>
      </w:rPr>
    </w:lvl>
  </w:abstractNum>
  <w:abstractNum w:abstractNumId="155" w15:restartNumberingAfterBreak="0">
    <w:nsid w:val="500941EB"/>
    <w:multiLevelType w:val="hybridMultilevel"/>
    <w:tmpl w:val="20581CA4"/>
    <w:lvl w:ilvl="0" w:tplc="37AE85B8">
      <w:start w:val="1"/>
      <w:numFmt w:val="decimal"/>
      <w:lvlText w:val="%1."/>
      <w:lvlJc w:val="left"/>
      <w:pPr>
        <w:ind w:left="720" w:hanging="544"/>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74B27334">
      <w:numFmt w:val="bullet"/>
      <w:lvlText w:val="•"/>
      <w:lvlJc w:val="left"/>
      <w:pPr>
        <w:ind w:left="1656" w:hanging="544"/>
      </w:pPr>
      <w:rPr>
        <w:rFonts w:hint="default"/>
        <w:lang w:val="en-US" w:eastAsia="en-US" w:bidi="ar-SA"/>
      </w:rPr>
    </w:lvl>
    <w:lvl w:ilvl="2" w:tplc="159EB866">
      <w:numFmt w:val="bullet"/>
      <w:lvlText w:val="•"/>
      <w:lvlJc w:val="left"/>
      <w:pPr>
        <w:ind w:left="2592" w:hanging="544"/>
      </w:pPr>
      <w:rPr>
        <w:rFonts w:hint="default"/>
        <w:lang w:val="en-US" w:eastAsia="en-US" w:bidi="ar-SA"/>
      </w:rPr>
    </w:lvl>
    <w:lvl w:ilvl="3" w:tplc="DA046200">
      <w:numFmt w:val="bullet"/>
      <w:lvlText w:val="•"/>
      <w:lvlJc w:val="left"/>
      <w:pPr>
        <w:ind w:left="3528" w:hanging="544"/>
      </w:pPr>
      <w:rPr>
        <w:rFonts w:hint="default"/>
        <w:lang w:val="en-US" w:eastAsia="en-US" w:bidi="ar-SA"/>
      </w:rPr>
    </w:lvl>
    <w:lvl w:ilvl="4" w:tplc="F81E3A66">
      <w:numFmt w:val="bullet"/>
      <w:lvlText w:val="•"/>
      <w:lvlJc w:val="left"/>
      <w:pPr>
        <w:ind w:left="4464" w:hanging="544"/>
      </w:pPr>
      <w:rPr>
        <w:rFonts w:hint="default"/>
        <w:lang w:val="en-US" w:eastAsia="en-US" w:bidi="ar-SA"/>
      </w:rPr>
    </w:lvl>
    <w:lvl w:ilvl="5" w:tplc="BF7A3494">
      <w:numFmt w:val="bullet"/>
      <w:lvlText w:val="•"/>
      <w:lvlJc w:val="left"/>
      <w:pPr>
        <w:ind w:left="5400" w:hanging="544"/>
      </w:pPr>
      <w:rPr>
        <w:rFonts w:hint="default"/>
        <w:lang w:val="en-US" w:eastAsia="en-US" w:bidi="ar-SA"/>
      </w:rPr>
    </w:lvl>
    <w:lvl w:ilvl="6" w:tplc="8676D310">
      <w:numFmt w:val="bullet"/>
      <w:lvlText w:val="•"/>
      <w:lvlJc w:val="left"/>
      <w:pPr>
        <w:ind w:left="6336" w:hanging="544"/>
      </w:pPr>
      <w:rPr>
        <w:rFonts w:hint="default"/>
        <w:lang w:val="en-US" w:eastAsia="en-US" w:bidi="ar-SA"/>
      </w:rPr>
    </w:lvl>
    <w:lvl w:ilvl="7" w:tplc="C8E474F8">
      <w:numFmt w:val="bullet"/>
      <w:lvlText w:val="•"/>
      <w:lvlJc w:val="left"/>
      <w:pPr>
        <w:ind w:left="7272" w:hanging="544"/>
      </w:pPr>
      <w:rPr>
        <w:rFonts w:hint="default"/>
        <w:lang w:val="en-US" w:eastAsia="en-US" w:bidi="ar-SA"/>
      </w:rPr>
    </w:lvl>
    <w:lvl w:ilvl="8" w:tplc="D7B60FA6">
      <w:numFmt w:val="bullet"/>
      <w:lvlText w:val="•"/>
      <w:lvlJc w:val="left"/>
      <w:pPr>
        <w:ind w:left="8208" w:hanging="544"/>
      </w:pPr>
      <w:rPr>
        <w:rFonts w:hint="default"/>
        <w:lang w:val="en-US" w:eastAsia="en-US" w:bidi="ar-SA"/>
      </w:rPr>
    </w:lvl>
  </w:abstractNum>
  <w:abstractNum w:abstractNumId="156" w15:restartNumberingAfterBreak="0">
    <w:nsid w:val="519459DF"/>
    <w:multiLevelType w:val="hybridMultilevel"/>
    <w:tmpl w:val="167E500A"/>
    <w:lvl w:ilvl="0" w:tplc="14881946">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BC81BBE">
      <w:numFmt w:val="bullet"/>
      <w:lvlText w:val="•"/>
      <w:lvlJc w:val="left"/>
      <w:pPr>
        <w:ind w:left="1710" w:hanging="425"/>
      </w:pPr>
      <w:rPr>
        <w:rFonts w:hint="default"/>
        <w:lang w:val="en-US" w:eastAsia="en-US" w:bidi="ar-SA"/>
      </w:rPr>
    </w:lvl>
    <w:lvl w:ilvl="2" w:tplc="D2BCF6E0">
      <w:numFmt w:val="bullet"/>
      <w:lvlText w:val="•"/>
      <w:lvlJc w:val="left"/>
      <w:pPr>
        <w:ind w:left="2640" w:hanging="425"/>
      </w:pPr>
      <w:rPr>
        <w:rFonts w:hint="default"/>
        <w:lang w:val="en-US" w:eastAsia="en-US" w:bidi="ar-SA"/>
      </w:rPr>
    </w:lvl>
    <w:lvl w:ilvl="3" w:tplc="91805638">
      <w:numFmt w:val="bullet"/>
      <w:lvlText w:val="•"/>
      <w:lvlJc w:val="left"/>
      <w:pPr>
        <w:ind w:left="3570" w:hanging="425"/>
      </w:pPr>
      <w:rPr>
        <w:rFonts w:hint="default"/>
        <w:lang w:val="en-US" w:eastAsia="en-US" w:bidi="ar-SA"/>
      </w:rPr>
    </w:lvl>
    <w:lvl w:ilvl="4" w:tplc="FD706396">
      <w:numFmt w:val="bullet"/>
      <w:lvlText w:val="•"/>
      <w:lvlJc w:val="left"/>
      <w:pPr>
        <w:ind w:left="4500" w:hanging="425"/>
      </w:pPr>
      <w:rPr>
        <w:rFonts w:hint="default"/>
        <w:lang w:val="en-US" w:eastAsia="en-US" w:bidi="ar-SA"/>
      </w:rPr>
    </w:lvl>
    <w:lvl w:ilvl="5" w:tplc="FD22AFAA">
      <w:numFmt w:val="bullet"/>
      <w:lvlText w:val="•"/>
      <w:lvlJc w:val="left"/>
      <w:pPr>
        <w:ind w:left="5430" w:hanging="425"/>
      </w:pPr>
      <w:rPr>
        <w:rFonts w:hint="default"/>
        <w:lang w:val="en-US" w:eastAsia="en-US" w:bidi="ar-SA"/>
      </w:rPr>
    </w:lvl>
    <w:lvl w:ilvl="6" w:tplc="B4D85B18">
      <w:numFmt w:val="bullet"/>
      <w:lvlText w:val="•"/>
      <w:lvlJc w:val="left"/>
      <w:pPr>
        <w:ind w:left="6360" w:hanging="425"/>
      </w:pPr>
      <w:rPr>
        <w:rFonts w:hint="default"/>
        <w:lang w:val="en-US" w:eastAsia="en-US" w:bidi="ar-SA"/>
      </w:rPr>
    </w:lvl>
    <w:lvl w:ilvl="7" w:tplc="341C8752">
      <w:numFmt w:val="bullet"/>
      <w:lvlText w:val="•"/>
      <w:lvlJc w:val="left"/>
      <w:pPr>
        <w:ind w:left="7290" w:hanging="425"/>
      </w:pPr>
      <w:rPr>
        <w:rFonts w:hint="default"/>
        <w:lang w:val="en-US" w:eastAsia="en-US" w:bidi="ar-SA"/>
      </w:rPr>
    </w:lvl>
    <w:lvl w:ilvl="8" w:tplc="F788C360">
      <w:numFmt w:val="bullet"/>
      <w:lvlText w:val="•"/>
      <w:lvlJc w:val="left"/>
      <w:pPr>
        <w:ind w:left="8220" w:hanging="425"/>
      </w:pPr>
      <w:rPr>
        <w:rFonts w:hint="default"/>
        <w:lang w:val="en-US" w:eastAsia="en-US" w:bidi="ar-SA"/>
      </w:rPr>
    </w:lvl>
  </w:abstractNum>
  <w:abstractNum w:abstractNumId="157" w15:restartNumberingAfterBreak="0">
    <w:nsid w:val="54A75390"/>
    <w:multiLevelType w:val="hybridMultilevel"/>
    <w:tmpl w:val="E018B900"/>
    <w:lvl w:ilvl="0" w:tplc="AB2C2FA0">
      <w:start w:val="2"/>
      <w:numFmt w:val="decimal"/>
      <w:lvlText w:val="(%1)"/>
      <w:lvlJc w:val="left"/>
      <w:pPr>
        <w:ind w:left="360" w:hanging="49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B1A24FA">
      <w:numFmt w:val="bullet"/>
      <w:lvlText w:val="•"/>
      <w:lvlJc w:val="left"/>
      <w:pPr>
        <w:ind w:left="1332" w:hanging="497"/>
      </w:pPr>
      <w:rPr>
        <w:rFonts w:hint="default"/>
        <w:lang w:val="en-US" w:eastAsia="en-US" w:bidi="ar-SA"/>
      </w:rPr>
    </w:lvl>
    <w:lvl w:ilvl="2" w:tplc="E80CA76E">
      <w:numFmt w:val="bullet"/>
      <w:lvlText w:val="•"/>
      <w:lvlJc w:val="left"/>
      <w:pPr>
        <w:ind w:left="2304" w:hanging="497"/>
      </w:pPr>
      <w:rPr>
        <w:rFonts w:hint="default"/>
        <w:lang w:val="en-US" w:eastAsia="en-US" w:bidi="ar-SA"/>
      </w:rPr>
    </w:lvl>
    <w:lvl w:ilvl="3" w:tplc="95984E12">
      <w:numFmt w:val="bullet"/>
      <w:lvlText w:val="•"/>
      <w:lvlJc w:val="left"/>
      <w:pPr>
        <w:ind w:left="3276" w:hanging="497"/>
      </w:pPr>
      <w:rPr>
        <w:rFonts w:hint="default"/>
        <w:lang w:val="en-US" w:eastAsia="en-US" w:bidi="ar-SA"/>
      </w:rPr>
    </w:lvl>
    <w:lvl w:ilvl="4" w:tplc="772430F8">
      <w:numFmt w:val="bullet"/>
      <w:lvlText w:val="•"/>
      <w:lvlJc w:val="left"/>
      <w:pPr>
        <w:ind w:left="4248" w:hanging="497"/>
      </w:pPr>
      <w:rPr>
        <w:rFonts w:hint="default"/>
        <w:lang w:val="en-US" w:eastAsia="en-US" w:bidi="ar-SA"/>
      </w:rPr>
    </w:lvl>
    <w:lvl w:ilvl="5" w:tplc="F0987788">
      <w:numFmt w:val="bullet"/>
      <w:lvlText w:val="•"/>
      <w:lvlJc w:val="left"/>
      <w:pPr>
        <w:ind w:left="5220" w:hanging="497"/>
      </w:pPr>
      <w:rPr>
        <w:rFonts w:hint="default"/>
        <w:lang w:val="en-US" w:eastAsia="en-US" w:bidi="ar-SA"/>
      </w:rPr>
    </w:lvl>
    <w:lvl w:ilvl="6" w:tplc="31B2F252">
      <w:numFmt w:val="bullet"/>
      <w:lvlText w:val="•"/>
      <w:lvlJc w:val="left"/>
      <w:pPr>
        <w:ind w:left="6192" w:hanging="497"/>
      </w:pPr>
      <w:rPr>
        <w:rFonts w:hint="default"/>
        <w:lang w:val="en-US" w:eastAsia="en-US" w:bidi="ar-SA"/>
      </w:rPr>
    </w:lvl>
    <w:lvl w:ilvl="7" w:tplc="BD68C9A6">
      <w:numFmt w:val="bullet"/>
      <w:lvlText w:val="•"/>
      <w:lvlJc w:val="left"/>
      <w:pPr>
        <w:ind w:left="7164" w:hanging="497"/>
      </w:pPr>
      <w:rPr>
        <w:rFonts w:hint="default"/>
        <w:lang w:val="en-US" w:eastAsia="en-US" w:bidi="ar-SA"/>
      </w:rPr>
    </w:lvl>
    <w:lvl w:ilvl="8" w:tplc="6D360B0A">
      <w:numFmt w:val="bullet"/>
      <w:lvlText w:val="•"/>
      <w:lvlJc w:val="left"/>
      <w:pPr>
        <w:ind w:left="8136" w:hanging="497"/>
      </w:pPr>
      <w:rPr>
        <w:rFonts w:hint="default"/>
        <w:lang w:val="en-US" w:eastAsia="en-US" w:bidi="ar-SA"/>
      </w:rPr>
    </w:lvl>
  </w:abstractNum>
  <w:abstractNum w:abstractNumId="158" w15:restartNumberingAfterBreak="0">
    <w:nsid w:val="556718E1"/>
    <w:multiLevelType w:val="hybridMultilevel"/>
    <w:tmpl w:val="5DEC8640"/>
    <w:lvl w:ilvl="0" w:tplc="BBC06A6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32EE540">
      <w:numFmt w:val="bullet"/>
      <w:lvlText w:val="•"/>
      <w:lvlJc w:val="left"/>
      <w:pPr>
        <w:ind w:left="1710" w:hanging="425"/>
      </w:pPr>
      <w:rPr>
        <w:rFonts w:hint="default"/>
        <w:lang w:val="en-US" w:eastAsia="en-US" w:bidi="ar-SA"/>
      </w:rPr>
    </w:lvl>
    <w:lvl w:ilvl="2" w:tplc="720EF04C">
      <w:numFmt w:val="bullet"/>
      <w:lvlText w:val="•"/>
      <w:lvlJc w:val="left"/>
      <w:pPr>
        <w:ind w:left="2640" w:hanging="425"/>
      </w:pPr>
      <w:rPr>
        <w:rFonts w:hint="default"/>
        <w:lang w:val="en-US" w:eastAsia="en-US" w:bidi="ar-SA"/>
      </w:rPr>
    </w:lvl>
    <w:lvl w:ilvl="3" w:tplc="3D66E88C">
      <w:numFmt w:val="bullet"/>
      <w:lvlText w:val="•"/>
      <w:lvlJc w:val="left"/>
      <w:pPr>
        <w:ind w:left="3570" w:hanging="425"/>
      </w:pPr>
      <w:rPr>
        <w:rFonts w:hint="default"/>
        <w:lang w:val="en-US" w:eastAsia="en-US" w:bidi="ar-SA"/>
      </w:rPr>
    </w:lvl>
    <w:lvl w:ilvl="4" w:tplc="D8F255C2">
      <w:numFmt w:val="bullet"/>
      <w:lvlText w:val="•"/>
      <w:lvlJc w:val="left"/>
      <w:pPr>
        <w:ind w:left="4500" w:hanging="425"/>
      </w:pPr>
      <w:rPr>
        <w:rFonts w:hint="default"/>
        <w:lang w:val="en-US" w:eastAsia="en-US" w:bidi="ar-SA"/>
      </w:rPr>
    </w:lvl>
    <w:lvl w:ilvl="5" w:tplc="6FDCE0E8">
      <w:numFmt w:val="bullet"/>
      <w:lvlText w:val="•"/>
      <w:lvlJc w:val="left"/>
      <w:pPr>
        <w:ind w:left="5430" w:hanging="425"/>
      </w:pPr>
      <w:rPr>
        <w:rFonts w:hint="default"/>
        <w:lang w:val="en-US" w:eastAsia="en-US" w:bidi="ar-SA"/>
      </w:rPr>
    </w:lvl>
    <w:lvl w:ilvl="6" w:tplc="9F9476B4">
      <w:numFmt w:val="bullet"/>
      <w:lvlText w:val="•"/>
      <w:lvlJc w:val="left"/>
      <w:pPr>
        <w:ind w:left="6360" w:hanging="425"/>
      </w:pPr>
      <w:rPr>
        <w:rFonts w:hint="default"/>
        <w:lang w:val="en-US" w:eastAsia="en-US" w:bidi="ar-SA"/>
      </w:rPr>
    </w:lvl>
    <w:lvl w:ilvl="7" w:tplc="54942696">
      <w:numFmt w:val="bullet"/>
      <w:lvlText w:val="•"/>
      <w:lvlJc w:val="left"/>
      <w:pPr>
        <w:ind w:left="7290" w:hanging="425"/>
      </w:pPr>
      <w:rPr>
        <w:rFonts w:hint="default"/>
        <w:lang w:val="en-US" w:eastAsia="en-US" w:bidi="ar-SA"/>
      </w:rPr>
    </w:lvl>
    <w:lvl w:ilvl="8" w:tplc="B7C81F96">
      <w:numFmt w:val="bullet"/>
      <w:lvlText w:val="•"/>
      <w:lvlJc w:val="left"/>
      <w:pPr>
        <w:ind w:left="8220" w:hanging="425"/>
      </w:pPr>
      <w:rPr>
        <w:rFonts w:hint="default"/>
        <w:lang w:val="en-US" w:eastAsia="en-US" w:bidi="ar-SA"/>
      </w:rPr>
    </w:lvl>
  </w:abstractNum>
  <w:abstractNum w:abstractNumId="159" w15:restartNumberingAfterBreak="0">
    <w:nsid w:val="55962CC5"/>
    <w:multiLevelType w:val="multilevel"/>
    <w:tmpl w:val="9BF0DC36"/>
    <w:lvl w:ilvl="0">
      <w:start w:val="6"/>
      <w:numFmt w:val="decimal"/>
      <w:lvlText w:val="%1"/>
      <w:lvlJc w:val="left"/>
      <w:pPr>
        <w:ind w:left="360" w:hanging="658"/>
        <w:jc w:val="left"/>
      </w:pPr>
      <w:rPr>
        <w:rFonts w:hint="default"/>
        <w:lang w:val="en-US" w:eastAsia="en-US" w:bidi="ar-SA"/>
      </w:rPr>
    </w:lvl>
    <w:lvl w:ilvl="1">
      <w:numFmt w:val="decimal"/>
      <w:lvlText w:val="%1.%2"/>
      <w:lvlJc w:val="left"/>
      <w:pPr>
        <w:ind w:left="360" w:hanging="658"/>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227"/>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2397" w:hanging="1227"/>
      </w:pPr>
      <w:rPr>
        <w:rFonts w:hint="default"/>
        <w:lang w:val="en-US" w:eastAsia="en-US" w:bidi="ar-SA"/>
      </w:rPr>
    </w:lvl>
    <w:lvl w:ilvl="4">
      <w:numFmt w:val="bullet"/>
      <w:lvlText w:val="•"/>
      <w:lvlJc w:val="left"/>
      <w:pPr>
        <w:ind w:left="3495" w:hanging="1227"/>
      </w:pPr>
      <w:rPr>
        <w:rFonts w:hint="default"/>
        <w:lang w:val="en-US" w:eastAsia="en-US" w:bidi="ar-SA"/>
      </w:rPr>
    </w:lvl>
    <w:lvl w:ilvl="5">
      <w:numFmt w:val="bullet"/>
      <w:lvlText w:val="•"/>
      <w:lvlJc w:val="left"/>
      <w:pPr>
        <w:ind w:left="4592" w:hanging="1227"/>
      </w:pPr>
      <w:rPr>
        <w:rFonts w:hint="default"/>
        <w:lang w:val="en-US" w:eastAsia="en-US" w:bidi="ar-SA"/>
      </w:rPr>
    </w:lvl>
    <w:lvl w:ilvl="6">
      <w:numFmt w:val="bullet"/>
      <w:lvlText w:val="•"/>
      <w:lvlJc w:val="left"/>
      <w:pPr>
        <w:ind w:left="5690" w:hanging="1227"/>
      </w:pPr>
      <w:rPr>
        <w:rFonts w:hint="default"/>
        <w:lang w:val="en-US" w:eastAsia="en-US" w:bidi="ar-SA"/>
      </w:rPr>
    </w:lvl>
    <w:lvl w:ilvl="7">
      <w:numFmt w:val="bullet"/>
      <w:lvlText w:val="•"/>
      <w:lvlJc w:val="left"/>
      <w:pPr>
        <w:ind w:left="6787" w:hanging="1227"/>
      </w:pPr>
      <w:rPr>
        <w:rFonts w:hint="default"/>
        <w:lang w:val="en-US" w:eastAsia="en-US" w:bidi="ar-SA"/>
      </w:rPr>
    </w:lvl>
    <w:lvl w:ilvl="8">
      <w:numFmt w:val="bullet"/>
      <w:lvlText w:val="•"/>
      <w:lvlJc w:val="left"/>
      <w:pPr>
        <w:ind w:left="7885" w:hanging="1227"/>
      </w:pPr>
      <w:rPr>
        <w:rFonts w:hint="default"/>
        <w:lang w:val="en-US" w:eastAsia="en-US" w:bidi="ar-SA"/>
      </w:rPr>
    </w:lvl>
  </w:abstractNum>
  <w:abstractNum w:abstractNumId="160" w15:restartNumberingAfterBreak="0">
    <w:nsid w:val="56B113D2"/>
    <w:multiLevelType w:val="hybridMultilevel"/>
    <w:tmpl w:val="39D06280"/>
    <w:lvl w:ilvl="0" w:tplc="3440D186">
      <w:start w:val="1"/>
      <w:numFmt w:val="lowerRoman"/>
      <w:lvlText w:val="(%1)"/>
      <w:lvlJc w:val="left"/>
      <w:pPr>
        <w:ind w:left="360" w:hanging="45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FACEFAE">
      <w:numFmt w:val="bullet"/>
      <w:lvlText w:val="•"/>
      <w:lvlJc w:val="left"/>
      <w:pPr>
        <w:ind w:left="1332" w:hanging="456"/>
      </w:pPr>
      <w:rPr>
        <w:rFonts w:hint="default"/>
        <w:lang w:val="en-US" w:eastAsia="en-US" w:bidi="ar-SA"/>
      </w:rPr>
    </w:lvl>
    <w:lvl w:ilvl="2" w:tplc="ABC8936E">
      <w:numFmt w:val="bullet"/>
      <w:lvlText w:val="•"/>
      <w:lvlJc w:val="left"/>
      <w:pPr>
        <w:ind w:left="2304" w:hanging="456"/>
      </w:pPr>
      <w:rPr>
        <w:rFonts w:hint="default"/>
        <w:lang w:val="en-US" w:eastAsia="en-US" w:bidi="ar-SA"/>
      </w:rPr>
    </w:lvl>
    <w:lvl w:ilvl="3" w:tplc="7862A74E">
      <w:numFmt w:val="bullet"/>
      <w:lvlText w:val="•"/>
      <w:lvlJc w:val="left"/>
      <w:pPr>
        <w:ind w:left="3276" w:hanging="456"/>
      </w:pPr>
      <w:rPr>
        <w:rFonts w:hint="default"/>
        <w:lang w:val="en-US" w:eastAsia="en-US" w:bidi="ar-SA"/>
      </w:rPr>
    </w:lvl>
    <w:lvl w:ilvl="4" w:tplc="D9040A66">
      <w:numFmt w:val="bullet"/>
      <w:lvlText w:val="•"/>
      <w:lvlJc w:val="left"/>
      <w:pPr>
        <w:ind w:left="4248" w:hanging="456"/>
      </w:pPr>
      <w:rPr>
        <w:rFonts w:hint="default"/>
        <w:lang w:val="en-US" w:eastAsia="en-US" w:bidi="ar-SA"/>
      </w:rPr>
    </w:lvl>
    <w:lvl w:ilvl="5" w:tplc="5150C30E">
      <w:numFmt w:val="bullet"/>
      <w:lvlText w:val="•"/>
      <w:lvlJc w:val="left"/>
      <w:pPr>
        <w:ind w:left="5220" w:hanging="456"/>
      </w:pPr>
      <w:rPr>
        <w:rFonts w:hint="default"/>
        <w:lang w:val="en-US" w:eastAsia="en-US" w:bidi="ar-SA"/>
      </w:rPr>
    </w:lvl>
    <w:lvl w:ilvl="6" w:tplc="895C217C">
      <w:numFmt w:val="bullet"/>
      <w:lvlText w:val="•"/>
      <w:lvlJc w:val="left"/>
      <w:pPr>
        <w:ind w:left="6192" w:hanging="456"/>
      </w:pPr>
      <w:rPr>
        <w:rFonts w:hint="default"/>
        <w:lang w:val="en-US" w:eastAsia="en-US" w:bidi="ar-SA"/>
      </w:rPr>
    </w:lvl>
    <w:lvl w:ilvl="7" w:tplc="13E0BB36">
      <w:numFmt w:val="bullet"/>
      <w:lvlText w:val="•"/>
      <w:lvlJc w:val="left"/>
      <w:pPr>
        <w:ind w:left="7164" w:hanging="456"/>
      </w:pPr>
      <w:rPr>
        <w:rFonts w:hint="default"/>
        <w:lang w:val="en-US" w:eastAsia="en-US" w:bidi="ar-SA"/>
      </w:rPr>
    </w:lvl>
    <w:lvl w:ilvl="8" w:tplc="9CE68F7E">
      <w:numFmt w:val="bullet"/>
      <w:lvlText w:val="•"/>
      <w:lvlJc w:val="left"/>
      <w:pPr>
        <w:ind w:left="8136" w:hanging="456"/>
      </w:pPr>
      <w:rPr>
        <w:rFonts w:hint="default"/>
        <w:lang w:val="en-US" w:eastAsia="en-US" w:bidi="ar-SA"/>
      </w:rPr>
    </w:lvl>
  </w:abstractNum>
  <w:abstractNum w:abstractNumId="161" w15:restartNumberingAfterBreak="0">
    <w:nsid w:val="56F52BD3"/>
    <w:multiLevelType w:val="multilevel"/>
    <w:tmpl w:val="0A548C4A"/>
    <w:lvl w:ilvl="0">
      <w:start w:val="8"/>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62" w15:restartNumberingAfterBreak="0">
    <w:nsid w:val="575D43BA"/>
    <w:multiLevelType w:val="multilevel"/>
    <w:tmpl w:val="1270CF62"/>
    <w:lvl w:ilvl="0">
      <w:start w:val="4"/>
      <w:numFmt w:val="decimal"/>
      <w:lvlText w:val="%1"/>
      <w:lvlJc w:val="left"/>
      <w:pPr>
        <w:ind w:left="360" w:hanging="1563"/>
        <w:jc w:val="left"/>
      </w:pPr>
      <w:rPr>
        <w:rFonts w:hint="default"/>
        <w:lang w:val="en-US" w:eastAsia="en-US" w:bidi="ar-SA"/>
      </w:rPr>
    </w:lvl>
    <w:lvl w:ilvl="1">
      <w:numFmt w:val="decimal"/>
      <w:lvlText w:val="%1.%2"/>
      <w:lvlJc w:val="left"/>
      <w:pPr>
        <w:ind w:left="360" w:hanging="1563"/>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1563"/>
      </w:pPr>
      <w:rPr>
        <w:rFonts w:hint="default"/>
        <w:lang w:val="en-US" w:eastAsia="en-US" w:bidi="ar-SA"/>
      </w:rPr>
    </w:lvl>
    <w:lvl w:ilvl="3">
      <w:numFmt w:val="bullet"/>
      <w:lvlText w:val="•"/>
      <w:lvlJc w:val="left"/>
      <w:pPr>
        <w:ind w:left="3276" w:hanging="1563"/>
      </w:pPr>
      <w:rPr>
        <w:rFonts w:hint="default"/>
        <w:lang w:val="en-US" w:eastAsia="en-US" w:bidi="ar-SA"/>
      </w:rPr>
    </w:lvl>
    <w:lvl w:ilvl="4">
      <w:numFmt w:val="bullet"/>
      <w:lvlText w:val="•"/>
      <w:lvlJc w:val="left"/>
      <w:pPr>
        <w:ind w:left="4248" w:hanging="1563"/>
      </w:pPr>
      <w:rPr>
        <w:rFonts w:hint="default"/>
        <w:lang w:val="en-US" w:eastAsia="en-US" w:bidi="ar-SA"/>
      </w:rPr>
    </w:lvl>
    <w:lvl w:ilvl="5">
      <w:numFmt w:val="bullet"/>
      <w:lvlText w:val="•"/>
      <w:lvlJc w:val="left"/>
      <w:pPr>
        <w:ind w:left="5220" w:hanging="1563"/>
      </w:pPr>
      <w:rPr>
        <w:rFonts w:hint="default"/>
        <w:lang w:val="en-US" w:eastAsia="en-US" w:bidi="ar-SA"/>
      </w:rPr>
    </w:lvl>
    <w:lvl w:ilvl="6">
      <w:numFmt w:val="bullet"/>
      <w:lvlText w:val="•"/>
      <w:lvlJc w:val="left"/>
      <w:pPr>
        <w:ind w:left="6192" w:hanging="1563"/>
      </w:pPr>
      <w:rPr>
        <w:rFonts w:hint="default"/>
        <w:lang w:val="en-US" w:eastAsia="en-US" w:bidi="ar-SA"/>
      </w:rPr>
    </w:lvl>
    <w:lvl w:ilvl="7">
      <w:numFmt w:val="bullet"/>
      <w:lvlText w:val="•"/>
      <w:lvlJc w:val="left"/>
      <w:pPr>
        <w:ind w:left="7164" w:hanging="1563"/>
      </w:pPr>
      <w:rPr>
        <w:rFonts w:hint="default"/>
        <w:lang w:val="en-US" w:eastAsia="en-US" w:bidi="ar-SA"/>
      </w:rPr>
    </w:lvl>
    <w:lvl w:ilvl="8">
      <w:numFmt w:val="bullet"/>
      <w:lvlText w:val="•"/>
      <w:lvlJc w:val="left"/>
      <w:pPr>
        <w:ind w:left="8136" w:hanging="1563"/>
      </w:pPr>
      <w:rPr>
        <w:rFonts w:hint="default"/>
        <w:lang w:val="en-US" w:eastAsia="en-US" w:bidi="ar-SA"/>
      </w:rPr>
    </w:lvl>
  </w:abstractNum>
  <w:abstractNum w:abstractNumId="163" w15:restartNumberingAfterBreak="0">
    <w:nsid w:val="57C2655D"/>
    <w:multiLevelType w:val="hybridMultilevel"/>
    <w:tmpl w:val="FF2A8F2C"/>
    <w:lvl w:ilvl="0" w:tplc="35F0BEEE">
      <w:start w:val="7"/>
      <w:numFmt w:val="decimal"/>
      <w:lvlText w:val="(%1)"/>
      <w:lvlJc w:val="left"/>
      <w:pPr>
        <w:ind w:left="360" w:hanging="47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9F01348">
      <w:numFmt w:val="bullet"/>
      <w:lvlText w:val="•"/>
      <w:lvlJc w:val="left"/>
      <w:pPr>
        <w:ind w:left="1332" w:hanging="476"/>
      </w:pPr>
      <w:rPr>
        <w:rFonts w:hint="default"/>
        <w:lang w:val="en-US" w:eastAsia="en-US" w:bidi="ar-SA"/>
      </w:rPr>
    </w:lvl>
    <w:lvl w:ilvl="2" w:tplc="08EA568C">
      <w:numFmt w:val="bullet"/>
      <w:lvlText w:val="•"/>
      <w:lvlJc w:val="left"/>
      <w:pPr>
        <w:ind w:left="2304" w:hanging="476"/>
      </w:pPr>
      <w:rPr>
        <w:rFonts w:hint="default"/>
        <w:lang w:val="en-US" w:eastAsia="en-US" w:bidi="ar-SA"/>
      </w:rPr>
    </w:lvl>
    <w:lvl w:ilvl="3" w:tplc="9FE46248">
      <w:numFmt w:val="bullet"/>
      <w:lvlText w:val="•"/>
      <w:lvlJc w:val="left"/>
      <w:pPr>
        <w:ind w:left="3276" w:hanging="476"/>
      </w:pPr>
      <w:rPr>
        <w:rFonts w:hint="default"/>
        <w:lang w:val="en-US" w:eastAsia="en-US" w:bidi="ar-SA"/>
      </w:rPr>
    </w:lvl>
    <w:lvl w:ilvl="4" w:tplc="C4906752">
      <w:numFmt w:val="bullet"/>
      <w:lvlText w:val="•"/>
      <w:lvlJc w:val="left"/>
      <w:pPr>
        <w:ind w:left="4248" w:hanging="476"/>
      </w:pPr>
      <w:rPr>
        <w:rFonts w:hint="default"/>
        <w:lang w:val="en-US" w:eastAsia="en-US" w:bidi="ar-SA"/>
      </w:rPr>
    </w:lvl>
    <w:lvl w:ilvl="5" w:tplc="36B41006">
      <w:numFmt w:val="bullet"/>
      <w:lvlText w:val="•"/>
      <w:lvlJc w:val="left"/>
      <w:pPr>
        <w:ind w:left="5220" w:hanging="476"/>
      </w:pPr>
      <w:rPr>
        <w:rFonts w:hint="default"/>
        <w:lang w:val="en-US" w:eastAsia="en-US" w:bidi="ar-SA"/>
      </w:rPr>
    </w:lvl>
    <w:lvl w:ilvl="6" w:tplc="2A3CC3FE">
      <w:numFmt w:val="bullet"/>
      <w:lvlText w:val="•"/>
      <w:lvlJc w:val="left"/>
      <w:pPr>
        <w:ind w:left="6192" w:hanging="476"/>
      </w:pPr>
      <w:rPr>
        <w:rFonts w:hint="default"/>
        <w:lang w:val="en-US" w:eastAsia="en-US" w:bidi="ar-SA"/>
      </w:rPr>
    </w:lvl>
    <w:lvl w:ilvl="7" w:tplc="7A72CB28">
      <w:numFmt w:val="bullet"/>
      <w:lvlText w:val="•"/>
      <w:lvlJc w:val="left"/>
      <w:pPr>
        <w:ind w:left="7164" w:hanging="476"/>
      </w:pPr>
      <w:rPr>
        <w:rFonts w:hint="default"/>
        <w:lang w:val="en-US" w:eastAsia="en-US" w:bidi="ar-SA"/>
      </w:rPr>
    </w:lvl>
    <w:lvl w:ilvl="8" w:tplc="447C9E2A">
      <w:numFmt w:val="bullet"/>
      <w:lvlText w:val="•"/>
      <w:lvlJc w:val="left"/>
      <w:pPr>
        <w:ind w:left="8136" w:hanging="476"/>
      </w:pPr>
      <w:rPr>
        <w:rFonts w:hint="default"/>
        <w:lang w:val="en-US" w:eastAsia="en-US" w:bidi="ar-SA"/>
      </w:rPr>
    </w:lvl>
  </w:abstractNum>
  <w:abstractNum w:abstractNumId="164" w15:restartNumberingAfterBreak="0">
    <w:nsid w:val="5A467034"/>
    <w:multiLevelType w:val="hybridMultilevel"/>
    <w:tmpl w:val="9D9A8C08"/>
    <w:lvl w:ilvl="0" w:tplc="B792D554">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8E0C7D0">
      <w:numFmt w:val="bullet"/>
      <w:lvlText w:val="•"/>
      <w:lvlJc w:val="left"/>
      <w:pPr>
        <w:ind w:left="1710" w:hanging="425"/>
      </w:pPr>
      <w:rPr>
        <w:rFonts w:hint="default"/>
        <w:lang w:val="en-US" w:eastAsia="en-US" w:bidi="ar-SA"/>
      </w:rPr>
    </w:lvl>
    <w:lvl w:ilvl="2" w:tplc="165E629C">
      <w:numFmt w:val="bullet"/>
      <w:lvlText w:val="•"/>
      <w:lvlJc w:val="left"/>
      <w:pPr>
        <w:ind w:left="2640" w:hanging="425"/>
      </w:pPr>
      <w:rPr>
        <w:rFonts w:hint="default"/>
        <w:lang w:val="en-US" w:eastAsia="en-US" w:bidi="ar-SA"/>
      </w:rPr>
    </w:lvl>
    <w:lvl w:ilvl="3" w:tplc="6840F248">
      <w:numFmt w:val="bullet"/>
      <w:lvlText w:val="•"/>
      <w:lvlJc w:val="left"/>
      <w:pPr>
        <w:ind w:left="3570" w:hanging="425"/>
      </w:pPr>
      <w:rPr>
        <w:rFonts w:hint="default"/>
        <w:lang w:val="en-US" w:eastAsia="en-US" w:bidi="ar-SA"/>
      </w:rPr>
    </w:lvl>
    <w:lvl w:ilvl="4" w:tplc="522CD64A">
      <w:numFmt w:val="bullet"/>
      <w:lvlText w:val="•"/>
      <w:lvlJc w:val="left"/>
      <w:pPr>
        <w:ind w:left="4500" w:hanging="425"/>
      </w:pPr>
      <w:rPr>
        <w:rFonts w:hint="default"/>
        <w:lang w:val="en-US" w:eastAsia="en-US" w:bidi="ar-SA"/>
      </w:rPr>
    </w:lvl>
    <w:lvl w:ilvl="5" w:tplc="87A0A940">
      <w:numFmt w:val="bullet"/>
      <w:lvlText w:val="•"/>
      <w:lvlJc w:val="left"/>
      <w:pPr>
        <w:ind w:left="5430" w:hanging="425"/>
      </w:pPr>
      <w:rPr>
        <w:rFonts w:hint="default"/>
        <w:lang w:val="en-US" w:eastAsia="en-US" w:bidi="ar-SA"/>
      </w:rPr>
    </w:lvl>
    <w:lvl w:ilvl="6" w:tplc="910605F8">
      <w:numFmt w:val="bullet"/>
      <w:lvlText w:val="•"/>
      <w:lvlJc w:val="left"/>
      <w:pPr>
        <w:ind w:left="6360" w:hanging="425"/>
      </w:pPr>
      <w:rPr>
        <w:rFonts w:hint="default"/>
        <w:lang w:val="en-US" w:eastAsia="en-US" w:bidi="ar-SA"/>
      </w:rPr>
    </w:lvl>
    <w:lvl w:ilvl="7" w:tplc="6B9A7716">
      <w:numFmt w:val="bullet"/>
      <w:lvlText w:val="•"/>
      <w:lvlJc w:val="left"/>
      <w:pPr>
        <w:ind w:left="7290" w:hanging="425"/>
      </w:pPr>
      <w:rPr>
        <w:rFonts w:hint="default"/>
        <w:lang w:val="en-US" w:eastAsia="en-US" w:bidi="ar-SA"/>
      </w:rPr>
    </w:lvl>
    <w:lvl w:ilvl="8" w:tplc="187CB748">
      <w:numFmt w:val="bullet"/>
      <w:lvlText w:val="•"/>
      <w:lvlJc w:val="left"/>
      <w:pPr>
        <w:ind w:left="8220" w:hanging="425"/>
      </w:pPr>
      <w:rPr>
        <w:rFonts w:hint="default"/>
        <w:lang w:val="en-US" w:eastAsia="en-US" w:bidi="ar-SA"/>
      </w:rPr>
    </w:lvl>
  </w:abstractNum>
  <w:abstractNum w:abstractNumId="165" w15:restartNumberingAfterBreak="0">
    <w:nsid w:val="5ADC7305"/>
    <w:multiLevelType w:val="hybridMultilevel"/>
    <w:tmpl w:val="C9961130"/>
    <w:lvl w:ilvl="0" w:tplc="D3D29824">
      <w:start w:val="1"/>
      <w:numFmt w:val="upperLetter"/>
      <w:lvlText w:val="(%1)"/>
      <w:lvlJc w:val="left"/>
      <w:pPr>
        <w:ind w:left="360" w:hanging="544"/>
        <w:jc w:val="left"/>
      </w:pPr>
      <w:rPr>
        <w:rFonts w:hint="default"/>
        <w:spacing w:val="-1"/>
        <w:w w:val="100"/>
        <w:lang w:val="en-US" w:eastAsia="en-US" w:bidi="ar-SA"/>
      </w:rPr>
    </w:lvl>
    <w:lvl w:ilvl="1" w:tplc="406E520C">
      <w:numFmt w:val="bullet"/>
      <w:lvlText w:val="•"/>
      <w:lvlJc w:val="left"/>
      <w:pPr>
        <w:ind w:left="1332" w:hanging="544"/>
      </w:pPr>
      <w:rPr>
        <w:rFonts w:hint="default"/>
        <w:lang w:val="en-US" w:eastAsia="en-US" w:bidi="ar-SA"/>
      </w:rPr>
    </w:lvl>
    <w:lvl w:ilvl="2" w:tplc="06C6344A">
      <w:numFmt w:val="bullet"/>
      <w:lvlText w:val="•"/>
      <w:lvlJc w:val="left"/>
      <w:pPr>
        <w:ind w:left="2304" w:hanging="544"/>
      </w:pPr>
      <w:rPr>
        <w:rFonts w:hint="default"/>
        <w:lang w:val="en-US" w:eastAsia="en-US" w:bidi="ar-SA"/>
      </w:rPr>
    </w:lvl>
    <w:lvl w:ilvl="3" w:tplc="4B4E7FB0">
      <w:numFmt w:val="bullet"/>
      <w:lvlText w:val="•"/>
      <w:lvlJc w:val="left"/>
      <w:pPr>
        <w:ind w:left="3276" w:hanging="544"/>
      </w:pPr>
      <w:rPr>
        <w:rFonts w:hint="default"/>
        <w:lang w:val="en-US" w:eastAsia="en-US" w:bidi="ar-SA"/>
      </w:rPr>
    </w:lvl>
    <w:lvl w:ilvl="4" w:tplc="F8A80024">
      <w:numFmt w:val="bullet"/>
      <w:lvlText w:val="•"/>
      <w:lvlJc w:val="left"/>
      <w:pPr>
        <w:ind w:left="4248" w:hanging="544"/>
      </w:pPr>
      <w:rPr>
        <w:rFonts w:hint="default"/>
        <w:lang w:val="en-US" w:eastAsia="en-US" w:bidi="ar-SA"/>
      </w:rPr>
    </w:lvl>
    <w:lvl w:ilvl="5" w:tplc="D2187D20">
      <w:numFmt w:val="bullet"/>
      <w:lvlText w:val="•"/>
      <w:lvlJc w:val="left"/>
      <w:pPr>
        <w:ind w:left="5220" w:hanging="544"/>
      </w:pPr>
      <w:rPr>
        <w:rFonts w:hint="default"/>
        <w:lang w:val="en-US" w:eastAsia="en-US" w:bidi="ar-SA"/>
      </w:rPr>
    </w:lvl>
    <w:lvl w:ilvl="6" w:tplc="AACE3A58">
      <w:numFmt w:val="bullet"/>
      <w:lvlText w:val="•"/>
      <w:lvlJc w:val="left"/>
      <w:pPr>
        <w:ind w:left="6192" w:hanging="544"/>
      </w:pPr>
      <w:rPr>
        <w:rFonts w:hint="default"/>
        <w:lang w:val="en-US" w:eastAsia="en-US" w:bidi="ar-SA"/>
      </w:rPr>
    </w:lvl>
    <w:lvl w:ilvl="7" w:tplc="8C40E08A">
      <w:numFmt w:val="bullet"/>
      <w:lvlText w:val="•"/>
      <w:lvlJc w:val="left"/>
      <w:pPr>
        <w:ind w:left="7164" w:hanging="544"/>
      </w:pPr>
      <w:rPr>
        <w:rFonts w:hint="default"/>
        <w:lang w:val="en-US" w:eastAsia="en-US" w:bidi="ar-SA"/>
      </w:rPr>
    </w:lvl>
    <w:lvl w:ilvl="8" w:tplc="ADC00946">
      <w:numFmt w:val="bullet"/>
      <w:lvlText w:val="•"/>
      <w:lvlJc w:val="left"/>
      <w:pPr>
        <w:ind w:left="8136" w:hanging="544"/>
      </w:pPr>
      <w:rPr>
        <w:rFonts w:hint="default"/>
        <w:lang w:val="en-US" w:eastAsia="en-US" w:bidi="ar-SA"/>
      </w:rPr>
    </w:lvl>
  </w:abstractNum>
  <w:abstractNum w:abstractNumId="166" w15:restartNumberingAfterBreak="0">
    <w:nsid w:val="5B40703E"/>
    <w:multiLevelType w:val="multilevel"/>
    <w:tmpl w:val="AB881B50"/>
    <w:lvl w:ilvl="0">
      <w:start w:val="1"/>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67" w15:restartNumberingAfterBreak="0">
    <w:nsid w:val="5BA33FD2"/>
    <w:multiLevelType w:val="multilevel"/>
    <w:tmpl w:val="2CC4AF0E"/>
    <w:lvl w:ilvl="0">
      <w:start w:val="3"/>
      <w:numFmt w:val="decimal"/>
      <w:lvlText w:val="%1"/>
      <w:lvlJc w:val="left"/>
      <w:pPr>
        <w:ind w:left="1410" w:hanging="1050"/>
        <w:jc w:val="left"/>
      </w:pPr>
      <w:rPr>
        <w:rFonts w:hint="default"/>
        <w:lang w:val="en-US" w:eastAsia="en-US" w:bidi="ar-SA"/>
      </w:rPr>
    </w:lvl>
    <w:lvl w:ilv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152" w:hanging="1050"/>
      </w:pPr>
      <w:rPr>
        <w:rFonts w:hint="default"/>
        <w:lang w:val="en-US" w:eastAsia="en-US" w:bidi="ar-SA"/>
      </w:rPr>
    </w:lvl>
    <w:lvl w:ilvl="3">
      <w:numFmt w:val="bullet"/>
      <w:lvlText w:val="•"/>
      <w:lvlJc w:val="left"/>
      <w:pPr>
        <w:ind w:left="4018" w:hanging="1050"/>
      </w:pPr>
      <w:rPr>
        <w:rFonts w:hint="default"/>
        <w:lang w:val="en-US" w:eastAsia="en-US" w:bidi="ar-SA"/>
      </w:rPr>
    </w:lvl>
    <w:lvl w:ilvl="4">
      <w:numFmt w:val="bullet"/>
      <w:lvlText w:val="•"/>
      <w:lvlJc w:val="left"/>
      <w:pPr>
        <w:ind w:left="4884" w:hanging="1050"/>
      </w:pPr>
      <w:rPr>
        <w:rFonts w:hint="default"/>
        <w:lang w:val="en-US" w:eastAsia="en-US" w:bidi="ar-SA"/>
      </w:rPr>
    </w:lvl>
    <w:lvl w:ilvl="5">
      <w:numFmt w:val="bullet"/>
      <w:lvlText w:val="•"/>
      <w:lvlJc w:val="left"/>
      <w:pPr>
        <w:ind w:left="5750" w:hanging="1050"/>
      </w:pPr>
      <w:rPr>
        <w:rFonts w:hint="default"/>
        <w:lang w:val="en-US" w:eastAsia="en-US" w:bidi="ar-SA"/>
      </w:rPr>
    </w:lvl>
    <w:lvl w:ilvl="6">
      <w:numFmt w:val="bullet"/>
      <w:lvlText w:val="•"/>
      <w:lvlJc w:val="left"/>
      <w:pPr>
        <w:ind w:left="6616" w:hanging="1050"/>
      </w:pPr>
      <w:rPr>
        <w:rFonts w:hint="default"/>
        <w:lang w:val="en-US" w:eastAsia="en-US" w:bidi="ar-SA"/>
      </w:rPr>
    </w:lvl>
    <w:lvl w:ilvl="7">
      <w:numFmt w:val="bullet"/>
      <w:lvlText w:val="•"/>
      <w:lvlJc w:val="left"/>
      <w:pPr>
        <w:ind w:left="7482" w:hanging="1050"/>
      </w:pPr>
      <w:rPr>
        <w:rFonts w:hint="default"/>
        <w:lang w:val="en-US" w:eastAsia="en-US" w:bidi="ar-SA"/>
      </w:rPr>
    </w:lvl>
    <w:lvl w:ilvl="8">
      <w:numFmt w:val="bullet"/>
      <w:lvlText w:val="•"/>
      <w:lvlJc w:val="left"/>
      <w:pPr>
        <w:ind w:left="8348" w:hanging="1050"/>
      </w:pPr>
      <w:rPr>
        <w:rFonts w:hint="default"/>
        <w:lang w:val="en-US" w:eastAsia="en-US" w:bidi="ar-SA"/>
      </w:rPr>
    </w:lvl>
  </w:abstractNum>
  <w:abstractNum w:abstractNumId="168" w15:restartNumberingAfterBreak="0">
    <w:nsid w:val="5BD8455B"/>
    <w:multiLevelType w:val="hybridMultilevel"/>
    <w:tmpl w:val="CA721474"/>
    <w:lvl w:ilvl="0" w:tplc="242E4DE6">
      <w:start w:val="4"/>
      <w:numFmt w:val="decimal"/>
      <w:lvlText w:val="(%1)"/>
      <w:lvlJc w:val="left"/>
      <w:pPr>
        <w:ind w:left="360" w:hanging="45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29C853C">
      <w:numFmt w:val="bullet"/>
      <w:lvlText w:val="•"/>
      <w:lvlJc w:val="left"/>
      <w:pPr>
        <w:ind w:left="1332" w:hanging="455"/>
      </w:pPr>
      <w:rPr>
        <w:rFonts w:hint="default"/>
        <w:lang w:val="en-US" w:eastAsia="en-US" w:bidi="ar-SA"/>
      </w:rPr>
    </w:lvl>
    <w:lvl w:ilvl="2" w:tplc="F57E972C">
      <w:numFmt w:val="bullet"/>
      <w:lvlText w:val="•"/>
      <w:lvlJc w:val="left"/>
      <w:pPr>
        <w:ind w:left="2304" w:hanging="455"/>
      </w:pPr>
      <w:rPr>
        <w:rFonts w:hint="default"/>
        <w:lang w:val="en-US" w:eastAsia="en-US" w:bidi="ar-SA"/>
      </w:rPr>
    </w:lvl>
    <w:lvl w:ilvl="3" w:tplc="1DD85AA8">
      <w:numFmt w:val="bullet"/>
      <w:lvlText w:val="•"/>
      <w:lvlJc w:val="left"/>
      <w:pPr>
        <w:ind w:left="3276" w:hanging="455"/>
      </w:pPr>
      <w:rPr>
        <w:rFonts w:hint="default"/>
        <w:lang w:val="en-US" w:eastAsia="en-US" w:bidi="ar-SA"/>
      </w:rPr>
    </w:lvl>
    <w:lvl w:ilvl="4" w:tplc="60FAC47C">
      <w:numFmt w:val="bullet"/>
      <w:lvlText w:val="•"/>
      <w:lvlJc w:val="left"/>
      <w:pPr>
        <w:ind w:left="4248" w:hanging="455"/>
      </w:pPr>
      <w:rPr>
        <w:rFonts w:hint="default"/>
        <w:lang w:val="en-US" w:eastAsia="en-US" w:bidi="ar-SA"/>
      </w:rPr>
    </w:lvl>
    <w:lvl w:ilvl="5" w:tplc="443893E6">
      <w:numFmt w:val="bullet"/>
      <w:lvlText w:val="•"/>
      <w:lvlJc w:val="left"/>
      <w:pPr>
        <w:ind w:left="5220" w:hanging="455"/>
      </w:pPr>
      <w:rPr>
        <w:rFonts w:hint="default"/>
        <w:lang w:val="en-US" w:eastAsia="en-US" w:bidi="ar-SA"/>
      </w:rPr>
    </w:lvl>
    <w:lvl w:ilvl="6" w:tplc="502C2EAE">
      <w:numFmt w:val="bullet"/>
      <w:lvlText w:val="•"/>
      <w:lvlJc w:val="left"/>
      <w:pPr>
        <w:ind w:left="6192" w:hanging="455"/>
      </w:pPr>
      <w:rPr>
        <w:rFonts w:hint="default"/>
        <w:lang w:val="en-US" w:eastAsia="en-US" w:bidi="ar-SA"/>
      </w:rPr>
    </w:lvl>
    <w:lvl w:ilvl="7" w:tplc="58E0011A">
      <w:numFmt w:val="bullet"/>
      <w:lvlText w:val="•"/>
      <w:lvlJc w:val="left"/>
      <w:pPr>
        <w:ind w:left="7164" w:hanging="455"/>
      </w:pPr>
      <w:rPr>
        <w:rFonts w:hint="default"/>
        <w:lang w:val="en-US" w:eastAsia="en-US" w:bidi="ar-SA"/>
      </w:rPr>
    </w:lvl>
    <w:lvl w:ilvl="8" w:tplc="7E666B2C">
      <w:numFmt w:val="bullet"/>
      <w:lvlText w:val="•"/>
      <w:lvlJc w:val="left"/>
      <w:pPr>
        <w:ind w:left="8136" w:hanging="455"/>
      </w:pPr>
      <w:rPr>
        <w:rFonts w:hint="default"/>
        <w:lang w:val="en-US" w:eastAsia="en-US" w:bidi="ar-SA"/>
      </w:rPr>
    </w:lvl>
  </w:abstractNum>
  <w:abstractNum w:abstractNumId="169" w15:restartNumberingAfterBreak="0">
    <w:nsid w:val="5C4D4C51"/>
    <w:multiLevelType w:val="hybridMultilevel"/>
    <w:tmpl w:val="F32694FE"/>
    <w:lvl w:ilvl="0" w:tplc="6D8AA78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D5A8A84">
      <w:start w:val="1"/>
      <w:numFmt w:val="lowerLetter"/>
      <w:lvlText w:val="(%2)"/>
      <w:lvlJc w:val="left"/>
      <w:pPr>
        <w:ind w:left="360"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80CEDC7A">
      <w:numFmt w:val="bullet"/>
      <w:lvlText w:val="•"/>
      <w:lvlJc w:val="left"/>
      <w:pPr>
        <w:ind w:left="1813" w:hanging="408"/>
      </w:pPr>
      <w:rPr>
        <w:rFonts w:hint="default"/>
        <w:lang w:val="en-US" w:eastAsia="en-US" w:bidi="ar-SA"/>
      </w:rPr>
    </w:lvl>
    <w:lvl w:ilvl="3" w:tplc="B93E177C">
      <w:numFmt w:val="bullet"/>
      <w:lvlText w:val="•"/>
      <w:lvlJc w:val="left"/>
      <w:pPr>
        <w:ind w:left="2846" w:hanging="408"/>
      </w:pPr>
      <w:rPr>
        <w:rFonts w:hint="default"/>
        <w:lang w:val="en-US" w:eastAsia="en-US" w:bidi="ar-SA"/>
      </w:rPr>
    </w:lvl>
    <w:lvl w:ilvl="4" w:tplc="409C32DA">
      <w:numFmt w:val="bullet"/>
      <w:lvlText w:val="•"/>
      <w:lvlJc w:val="left"/>
      <w:pPr>
        <w:ind w:left="3880" w:hanging="408"/>
      </w:pPr>
      <w:rPr>
        <w:rFonts w:hint="default"/>
        <w:lang w:val="en-US" w:eastAsia="en-US" w:bidi="ar-SA"/>
      </w:rPr>
    </w:lvl>
    <w:lvl w:ilvl="5" w:tplc="1C344BCE">
      <w:numFmt w:val="bullet"/>
      <w:lvlText w:val="•"/>
      <w:lvlJc w:val="left"/>
      <w:pPr>
        <w:ind w:left="4913" w:hanging="408"/>
      </w:pPr>
      <w:rPr>
        <w:rFonts w:hint="default"/>
        <w:lang w:val="en-US" w:eastAsia="en-US" w:bidi="ar-SA"/>
      </w:rPr>
    </w:lvl>
    <w:lvl w:ilvl="6" w:tplc="B31E3A48">
      <w:numFmt w:val="bullet"/>
      <w:lvlText w:val="•"/>
      <w:lvlJc w:val="left"/>
      <w:pPr>
        <w:ind w:left="5946" w:hanging="408"/>
      </w:pPr>
      <w:rPr>
        <w:rFonts w:hint="default"/>
        <w:lang w:val="en-US" w:eastAsia="en-US" w:bidi="ar-SA"/>
      </w:rPr>
    </w:lvl>
    <w:lvl w:ilvl="7" w:tplc="6658BF7A">
      <w:numFmt w:val="bullet"/>
      <w:lvlText w:val="•"/>
      <w:lvlJc w:val="left"/>
      <w:pPr>
        <w:ind w:left="6980" w:hanging="408"/>
      </w:pPr>
      <w:rPr>
        <w:rFonts w:hint="default"/>
        <w:lang w:val="en-US" w:eastAsia="en-US" w:bidi="ar-SA"/>
      </w:rPr>
    </w:lvl>
    <w:lvl w:ilvl="8" w:tplc="26C49C8A">
      <w:numFmt w:val="bullet"/>
      <w:lvlText w:val="•"/>
      <w:lvlJc w:val="left"/>
      <w:pPr>
        <w:ind w:left="8013" w:hanging="408"/>
      </w:pPr>
      <w:rPr>
        <w:rFonts w:hint="default"/>
        <w:lang w:val="en-US" w:eastAsia="en-US" w:bidi="ar-SA"/>
      </w:rPr>
    </w:lvl>
  </w:abstractNum>
  <w:abstractNum w:abstractNumId="170" w15:restartNumberingAfterBreak="0">
    <w:nsid w:val="5C8F2AA8"/>
    <w:multiLevelType w:val="multilevel"/>
    <w:tmpl w:val="705A9AF8"/>
    <w:lvl w:ilvl="0">
      <w:start w:val="1"/>
      <w:numFmt w:val="decimal"/>
      <w:lvlText w:val="%1.0"/>
      <w:lvlJc w:val="left"/>
      <w:pPr>
        <w:ind w:left="36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2397" w:hanging="945"/>
      </w:pPr>
      <w:rPr>
        <w:rFonts w:hint="default"/>
        <w:lang w:val="en-US" w:eastAsia="en-US" w:bidi="ar-SA"/>
      </w:rPr>
    </w:lvl>
    <w:lvl w:ilvl="4">
      <w:numFmt w:val="bullet"/>
      <w:lvlText w:val="•"/>
      <w:lvlJc w:val="left"/>
      <w:pPr>
        <w:ind w:left="3495" w:hanging="945"/>
      </w:pPr>
      <w:rPr>
        <w:rFonts w:hint="default"/>
        <w:lang w:val="en-US" w:eastAsia="en-US" w:bidi="ar-SA"/>
      </w:rPr>
    </w:lvl>
    <w:lvl w:ilvl="5">
      <w:numFmt w:val="bullet"/>
      <w:lvlText w:val="•"/>
      <w:lvlJc w:val="left"/>
      <w:pPr>
        <w:ind w:left="4592" w:hanging="945"/>
      </w:pPr>
      <w:rPr>
        <w:rFonts w:hint="default"/>
        <w:lang w:val="en-US" w:eastAsia="en-US" w:bidi="ar-SA"/>
      </w:rPr>
    </w:lvl>
    <w:lvl w:ilvl="6">
      <w:numFmt w:val="bullet"/>
      <w:lvlText w:val="•"/>
      <w:lvlJc w:val="left"/>
      <w:pPr>
        <w:ind w:left="5690" w:hanging="945"/>
      </w:pPr>
      <w:rPr>
        <w:rFonts w:hint="default"/>
        <w:lang w:val="en-US" w:eastAsia="en-US" w:bidi="ar-SA"/>
      </w:rPr>
    </w:lvl>
    <w:lvl w:ilvl="7">
      <w:numFmt w:val="bullet"/>
      <w:lvlText w:val="•"/>
      <w:lvlJc w:val="left"/>
      <w:pPr>
        <w:ind w:left="6787" w:hanging="945"/>
      </w:pPr>
      <w:rPr>
        <w:rFonts w:hint="default"/>
        <w:lang w:val="en-US" w:eastAsia="en-US" w:bidi="ar-SA"/>
      </w:rPr>
    </w:lvl>
    <w:lvl w:ilvl="8">
      <w:numFmt w:val="bullet"/>
      <w:lvlText w:val="•"/>
      <w:lvlJc w:val="left"/>
      <w:pPr>
        <w:ind w:left="7885" w:hanging="945"/>
      </w:pPr>
      <w:rPr>
        <w:rFonts w:hint="default"/>
        <w:lang w:val="en-US" w:eastAsia="en-US" w:bidi="ar-SA"/>
      </w:rPr>
    </w:lvl>
  </w:abstractNum>
  <w:abstractNum w:abstractNumId="171" w15:restartNumberingAfterBreak="0">
    <w:nsid w:val="5D427917"/>
    <w:multiLevelType w:val="hybridMultilevel"/>
    <w:tmpl w:val="52E69C7C"/>
    <w:lvl w:ilvl="0" w:tplc="ADBA2B84">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BA28ACE">
      <w:numFmt w:val="bullet"/>
      <w:lvlText w:val="•"/>
      <w:lvlJc w:val="left"/>
      <w:pPr>
        <w:ind w:left="1710" w:hanging="425"/>
      </w:pPr>
      <w:rPr>
        <w:rFonts w:hint="default"/>
        <w:lang w:val="en-US" w:eastAsia="en-US" w:bidi="ar-SA"/>
      </w:rPr>
    </w:lvl>
    <w:lvl w:ilvl="2" w:tplc="69B48CE4">
      <w:numFmt w:val="bullet"/>
      <w:lvlText w:val="•"/>
      <w:lvlJc w:val="left"/>
      <w:pPr>
        <w:ind w:left="2640" w:hanging="425"/>
      </w:pPr>
      <w:rPr>
        <w:rFonts w:hint="default"/>
        <w:lang w:val="en-US" w:eastAsia="en-US" w:bidi="ar-SA"/>
      </w:rPr>
    </w:lvl>
    <w:lvl w:ilvl="3" w:tplc="6928A8DA">
      <w:numFmt w:val="bullet"/>
      <w:lvlText w:val="•"/>
      <w:lvlJc w:val="left"/>
      <w:pPr>
        <w:ind w:left="3570" w:hanging="425"/>
      </w:pPr>
      <w:rPr>
        <w:rFonts w:hint="default"/>
        <w:lang w:val="en-US" w:eastAsia="en-US" w:bidi="ar-SA"/>
      </w:rPr>
    </w:lvl>
    <w:lvl w:ilvl="4" w:tplc="5A2A61DE">
      <w:numFmt w:val="bullet"/>
      <w:lvlText w:val="•"/>
      <w:lvlJc w:val="left"/>
      <w:pPr>
        <w:ind w:left="4500" w:hanging="425"/>
      </w:pPr>
      <w:rPr>
        <w:rFonts w:hint="default"/>
        <w:lang w:val="en-US" w:eastAsia="en-US" w:bidi="ar-SA"/>
      </w:rPr>
    </w:lvl>
    <w:lvl w:ilvl="5" w:tplc="2042D012">
      <w:numFmt w:val="bullet"/>
      <w:lvlText w:val="•"/>
      <w:lvlJc w:val="left"/>
      <w:pPr>
        <w:ind w:left="5430" w:hanging="425"/>
      </w:pPr>
      <w:rPr>
        <w:rFonts w:hint="default"/>
        <w:lang w:val="en-US" w:eastAsia="en-US" w:bidi="ar-SA"/>
      </w:rPr>
    </w:lvl>
    <w:lvl w:ilvl="6" w:tplc="EA1484C8">
      <w:numFmt w:val="bullet"/>
      <w:lvlText w:val="•"/>
      <w:lvlJc w:val="left"/>
      <w:pPr>
        <w:ind w:left="6360" w:hanging="425"/>
      </w:pPr>
      <w:rPr>
        <w:rFonts w:hint="default"/>
        <w:lang w:val="en-US" w:eastAsia="en-US" w:bidi="ar-SA"/>
      </w:rPr>
    </w:lvl>
    <w:lvl w:ilvl="7" w:tplc="7C764400">
      <w:numFmt w:val="bullet"/>
      <w:lvlText w:val="•"/>
      <w:lvlJc w:val="left"/>
      <w:pPr>
        <w:ind w:left="7290" w:hanging="425"/>
      </w:pPr>
      <w:rPr>
        <w:rFonts w:hint="default"/>
        <w:lang w:val="en-US" w:eastAsia="en-US" w:bidi="ar-SA"/>
      </w:rPr>
    </w:lvl>
    <w:lvl w:ilvl="8" w:tplc="063EC000">
      <w:numFmt w:val="bullet"/>
      <w:lvlText w:val="•"/>
      <w:lvlJc w:val="left"/>
      <w:pPr>
        <w:ind w:left="8220" w:hanging="425"/>
      </w:pPr>
      <w:rPr>
        <w:rFonts w:hint="default"/>
        <w:lang w:val="en-US" w:eastAsia="en-US" w:bidi="ar-SA"/>
      </w:rPr>
    </w:lvl>
  </w:abstractNum>
  <w:abstractNum w:abstractNumId="172" w15:restartNumberingAfterBreak="0">
    <w:nsid w:val="5F230093"/>
    <w:multiLevelType w:val="hybridMultilevel"/>
    <w:tmpl w:val="7A6034B2"/>
    <w:lvl w:ilvl="0" w:tplc="F6222736">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04CAC6C">
      <w:numFmt w:val="bullet"/>
      <w:lvlText w:val="•"/>
      <w:lvlJc w:val="left"/>
      <w:pPr>
        <w:ind w:left="1332" w:hanging="425"/>
      </w:pPr>
      <w:rPr>
        <w:rFonts w:hint="default"/>
        <w:lang w:val="en-US" w:eastAsia="en-US" w:bidi="ar-SA"/>
      </w:rPr>
    </w:lvl>
    <w:lvl w:ilvl="2" w:tplc="1C04382C">
      <w:numFmt w:val="bullet"/>
      <w:lvlText w:val="•"/>
      <w:lvlJc w:val="left"/>
      <w:pPr>
        <w:ind w:left="2304" w:hanging="425"/>
      </w:pPr>
      <w:rPr>
        <w:rFonts w:hint="default"/>
        <w:lang w:val="en-US" w:eastAsia="en-US" w:bidi="ar-SA"/>
      </w:rPr>
    </w:lvl>
    <w:lvl w:ilvl="3" w:tplc="50286E58">
      <w:numFmt w:val="bullet"/>
      <w:lvlText w:val="•"/>
      <w:lvlJc w:val="left"/>
      <w:pPr>
        <w:ind w:left="3276" w:hanging="425"/>
      </w:pPr>
      <w:rPr>
        <w:rFonts w:hint="default"/>
        <w:lang w:val="en-US" w:eastAsia="en-US" w:bidi="ar-SA"/>
      </w:rPr>
    </w:lvl>
    <w:lvl w:ilvl="4" w:tplc="B756E866">
      <w:numFmt w:val="bullet"/>
      <w:lvlText w:val="•"/>
      <w:lvlJc w:val="left"/>
      <w:pPr>
        <w:ind w:left="4248" w:hanging="425"/>
      </w:pPr>
      <w:rPr>
        <w:rFonts w:hint="default"/>
        <w:lang w:val="en-US" w:eastAsia="en-US" w:bidi="ar-SA"/>
      </w:rPr>
    </w:lvl>
    <w:lvl w:ilvl="5" w:tplc="32263FBC">
      <w:numFmt w:val="bullet"/>
      <w:lvlText w:val="•"/>
      <w:lvlJc w:val="left"/>
      <w:pPr>
        <w:ind w:left="5220" w:hanging="425"/>
      </w:pPr>
      <w:rPr>
        <w:rFonts w:hint="default"/>
        <w:lang w:val="en-US" w:eastAsia="en-US" w:bidi="ar-SA"/>
      </w:rPr>
    </w:lvl>
    <w:lvl w:ilvl="6" w:tplc="719CEB18">
      <w:numFmt w:val="bullet"/>
      <w:lvlText w:val="•"/>
      <w:lvlJc w:val="left"/>
      <w:pPr>
        <w:ind w:left="6192" w:hanging="425"/>
      </w:pPr>
      <w:rPr>
        <w:rFonts w:hint="default"/>
        <w:lang w:val="en-US" w:eastAsia="en-US" w:bidi="ar-SA"/>
      </w:rPr>
    </w:lvl>
    <w:lvl w:ilvl="7" w:tplc="8BDE2A8A">
      <w:numFmt w:val="bullet"/>
      <w:lvlText w:val="•"/>
      <w:lvlJc w:val="left"/>
      <w:pPr>
        <w:ind w:left="7164" w:hanging="425"/>
      </w:pPr>
      <w:rPr>
        <w:rFonts w:hint="default"/>
        <w:lang w:val="en-US" w:eastAsia="en-US" w:bidi="ar-SA"/>
      </w:rPr>
    </w:lvl>
    <w:lvl w:ilvl="8" w:tplc="41C0CAF2">
      <w:numFmt w:val="bullet"/>
      <w:lvlText w:val="•"/>
      <w:lvlJc w:val="left"/>
      <w:pPr>
        <w:ind w:left="8136" w:hanging="425"/>
      </w:pPr>
      <w:rPr>
        <w:rFonts w:hint="default"/>
        <w:lang w:val="en-US" w:eastAsia="en-US" w:bidi="ar-SA"/>
      </w:rPr>
    </w:lvl>
  </w:abstractNum>
  <w:abstractNum w:abstractNumId="173" w15:restartNumberingAfterBreak="0">
    <w:nsid w:val="5F4815DD"/>
    <w:multiLevelType w:val="multilevel"/>
    <w:tmpl w:val="EB1E66D6"/>
    <w:lvl w:ilvl="0">
      <w:start w:val="1"/>
      <w:numFmt w:val="decimal"/>
      <w:lvlText w:val="%1"/>
      <w:lvlJc w:val="left"/>
      <w:pPr>
        <w:ind w:left="1410" w:hanging="1050"/>
        <w:jc w:val="left"/>
      </w:pPr>
      <w:rPr>
        <w:rFonts w:hint="default"/>
        <w:lang w:val="en-US" w:eastAsia="en-US" w:bidi="ar-SA"/>
      </w:rPr>
    </w:lvl>
    <w:lvl w:ilv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152" w:hanging="1050"/>
      </w:pPr>
      <w:rPr>
        <w:rFonts w:hint="default"/>
        <w:lang w:val="en-US" w:eastAsia="en-US" w:bidi="ar-SA"/>
      </w:rPr>
    </w:lvl>
    <w:lvl w:ilvl="3">
      <w:numFmt w:val="bullet"/>
      <w:lvlText w:val="•"/>
      <w:lvlJc w:val="left"/>
      <w:pPr>
        <w:ind w:left="4018" w:hanging="1050"/>
      </w:pPr>
      <w:rPr>
        <w:rFonts w:hint="default"/>
        <w:lang w:val="en-US" w:eastAsia="en-US" w:bidi="ar-SA"/>
      </w:rPr>
    </w:lvl>
    <w:lvl w:ilvl="4">
      <w:numFmt w:val="bullet"/>
      <w:lvlText w:val="•"/>
      <w:lvlJc w:val="left"/>
      <w:pPr>
        <w:ind w:left="4884" w:hanging="1050"/>
      </w:pPr>
      <w:rPr>
        <w:rFonts w:hint="default"/>
        <w:lang w:val="en-US" w:eastAsia="en-US" w:bidi="ar-SA"/>
      </w:rPr>
    </w:lvl>
    <w:lvl w:ilvl="5">
      <w:numFmt w:val="bullet"/>
      <w:lvlText w:val="•"/>
      <w:lvlJc w:val="left"/>
      <w:pPr>
        <w:ind w:left="5750" w:hanging="1050"/>
      </w:pPr>
      <w:rPr>
        <w:rFonts w:hint="default"/>
        <w:lang w:val="en-US" w:eastAsia="en-US" w:bidi="ar-SA"/>
      </w:rPr>
    </w:lvl>
    <w:lvl w:ilvl="6">
      <w:numFmt w:val="bullet"/>
      <w:lvlText w:val="•"/>
      <w:lvlJc w:val="left"/>
      <w:pPr>
        <w:ind w:left="6616" w:hanging="1050"/>
      </w:pPr>
      <w:rPr>
        <w:rFonts w:hint="default"/>
        <w:lang w:val="en-US" w:eastAsia="en-US" w:bidi="ar-SA"/>
      </w:rPr>
    </w:lvl>
    <w:lvl w:ilvl="7">
      <w:numFmt w:val="bullet"/>
      <w:lvlText w:val="•"/>
      <w:lvlJc w:val="left"/>
      <w:pPr>
        <w:ind w:left="7482" w:hanging="1050"/>
      </w:pPr>
      <w:rPr>
        <w:rFonts w:hint="default"/>
        <w:lang w:val="en-US" w:eastAsia="en-US" w:bidi="ar-SA"/>
      </w:rPr>
    </w:lvl>
    <w:lvl w:ilvl="8">
      <w:numFmt w:val="bullet"/>
      <w:lvlText w:val="•"/>
      <w:lvlJc w:val="left"/>
      <w:pPr>
        <w:ind w:left="8348" w:hanging="1050"/>
      </w:pPr>
      <w:rPr>
        <w:rFonts w:hint="default"/>
        <w:lang w:val="en-US" w:eastAsia="en-US" w:bidi="ar-SA"/>
      </w:rPr>
    </w:lvl>
  </w:abstractNum>
  <w:abstractNum w:abstractNumId="174" w15:restartNumberingAfterBreak="0">
    <w:nsid w:val="60F90DD9"/>
    <w:multiLevelType w:val="multilevel"/>
    <w:tmpl w:val="C1A2F446"/>
    <w:lvl w:ilvl="0">
      <w:start w:val="7"/>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75" w15:restartNumberingAfterBreak="0">
    <w:nsid w:val="61FC4A09"/>
    <w:multiLevelType w:val="hybridMultilevel"/>
    <w:tmpl w:val="F162BB9A"/>
    <w:lvl w:ilvl="0" w:tplc="97BC9B0C">
      <w:start w:val="1"/>
      <w:numFmt w:val="lowerLetter"/>
      <w:lvlText w:val="%1."/>
      <w:lvlJc w:val="left"/>
      <w:pPr>
        <w:ind w:left="793" w:hanging="43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9CC8B9A">
      <w:numFmt w:val="bullet"/>
      <w:lvlText w:val="•"/>
      <w:lvlJc w:val="left"/>
      <w:pPr>
        <w:ind w:left="1728" w:hanging="434"/>
      </w:pPr>
      <w:rPr>
        <w:rFonts w:hint="default"/>
        <w:lang w:val="en-US" w:eastAsia="en-US" w:bidi="ar-SA"/>
      </w:rPr>
    </w:lvl>
    <w:lvl w:ilvl="2" w:tplc="089ED2FC">
      <w:numFmt w:val="bullet"/>
      <w:lvlText w:val="•"/>
      <w:lvlJc w:val="left"/>
      <w:pPr>
        <w:ind w:left="2656" w:hanging="434"/>
      </w:pPr>
      <w:rPr>
        <w:rFonts w:hint="default"/>
        <w:lang w:val="en-US" w:eastAsia="en-US" w:bidi="ar-SA"/>
      </w:rPr>
    </w:lvl>
    <w:lvl w:ilvl="3" w:tplc="91F024F2">
      <w:numFmt w:val="bullet"/>
      <w:lvlText w:val="•"/>
      <w:lvlJc w:val="left"/>
      <w:pPr>
        <w:ind w:left="3584" w:hanging="434"/>
      </w:pPr>
      <w:rPr>
        <w:rFonts w:hint="default"/>
        <w:lang w:val="en-US" w:eastAsia="en-US" w:bidi="ar-SA"/>
      </w:rPr>
    </w:lvl>
    <w:lvl w:ilvl="4" w:tplc="B32AFE90">
      <w:numFmt w:val="bullet"/>
      <w:lvlText w:val="•"/>
      <w:lvlJc w:val="left"/>
      <w:pPr>
        <w:ind w:left="4512" w:hanging="434"/>
      </w:pPr>
      <w:rPr>
        <w:rFonts w:hint="default"/>
        <w:lang w:val="en-US" w:eastAsia="en-US" w:bidi="ar-SA"/>
      </w:rPr>
    </w:lvl>
    <w:lvl w:ilvl="5" w:tplc="77AC8C6A">
      <w:numFmt w:val="bullet"/>
      <w:lvlText w:val="•"/>
      <w:lvlJc w:val="left"/>
      <w:pPr>
        <w:ind w:left="5440" w:hanging="434"/>
      </w:pPr>
      <w:rPr>
        <w:rFonts w:hint="default"/>
        <w:lang w:val="en-US" w:eastAsia="en-US" w:bidi="ar-SA"/>
      </w:rPr>
    </w:lvl>
    <w:lvl w:ilvl="6" w:tplc="65BEA9D2">
      <w:numFmt w:val="bullet"/>
      <w:lvlText w:val="•"/>
      <w:lvlJc w:val="left"/>
      <w:pPr>
        <w:ind w:left="6368" w:hanging="434"/>
      </w:pPr>
      <w:rPr>
        <w:rFonts w:hint="default"/>
        <w:lang w:val="en-US" w:eastAsia="en-US" w:bidi="ar-SA"/>
      </w:rPr>
    </w:lvl>
    <w:lvl w:ilvl="7" w:tplc="6ED2DD54">
      <w:numFmt w:val="bullet"/>
      <w:lvlText w:val="•"/>
      <w:lvlJc w:val="left"/>
      <w:pPr>
        <w:ind w:left="7296" w:hanging="434"/>
      </w:pPr>
      <w:rPr>
        <w:rFonts w:hint="default"/>
        <w:lang w:val="en-US" w:eastAsia="en-US" w:bidi="ar-SA"/>
      </w:rPr>
    </w:lvl>
    <w:lvl w:ilvl="8" w:tplc="6C987AB6">
      <w:numFmt w:val="bullet"/>
      <w:lvlText w:val="•"/>
      <w:lvlJc w:val="left"/>
      <w:pPr>
        <w:ind w:left="8224" w:hanging="434"/>
      </w:pPr>
      <w:rPr>
        <w:rFonts w:hint="default"/>
        <w:lang w:val="en-US" w:eastAsia="en-US" w:bidi="ar-SA"/>
      </w:rPr>
    </w:lvl>
  </w:abstractNum>
  <w:abstractNum w:abstractNumId="176" w15:restartNumberingAfterBreak="0">
    <w:nsid w:val="61FD75D8"/>
    <w:multiLevelType w:val="multilevel"/>
    <w:tmpl w:val="86643A70"/>
    <w:lvl w:ilvl="0">
      <w:start w:val="2"/>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77" w15:restartNumberingAfterBreak="0">
    <w:nsid w:val="62DC5FA1"/>
    <w:multiLevelType w:val="multilevel"/>
    <w:tmpl w:val="CE0E951C"/>
    <w:lvl w:ilvl="0">
      <w:start w:val="1"/>
      <w:numFmt w:val="decimal"/>
      <w:lvlText w:val="%1"/>
      <w:lvlJc w:val="left"/>
      <w:pPr>
        <w:ind w:left="360" w:hanging="844"/>
        <w:jc w:val="left"/>
      </w:pPr>
      <w:rPr>
        <w:rFonts w:hint="default"/>
        <w:lang w:val="en-US" w:eastAsia="en-US" w:bidi="ar-SA"/>
      </w:rPr>
    </w:lvl>
    <w:lvl w:ilvl="1">
      <w:numFmt w:val="decimal"/>
      <w:lvlText w:val="%1.%2"/>
      <w:lvlJc w:val="left"/>
      <w:pPr>
        <w:ind w:left="360" w:hanging="844"/>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844"/>
      </w:pPr>
      <w:rPr>
        <w:rFonts w:hint="default"/>
        <w:lang w:val="en-US" w:eastAsia="en-US" w:bidi="ar-SA"/>
      </w:rPr>
    </w:lvl>
    <w:lvl w:ilvl="3">
      <w:numFmt w:val="bullet"/>
      <w:lvlText w:val="•"/>
      <w:lvlJc w:val="left"/>
      <w:pPr>
        <w:ind w:left="3276" w:hanging="844"/>
      </w:pPr>
      <w:rPr>
        <w:rFonts w:hint="default"/>
        <w:lang w:val="en-US" w:eastAsia="en-US" w:bidi="ar-SA"/>
      </w:rPr>
    </w:lvl>
    <w:lvl w:ilvl="4">
      <w:numFmt w:val="bullet"/>
      <w:lvlText w:val="•"/>
      <w:lvlJc w:val="left"/>
      <w:pPr>
        <w:ind w:left="4248" w:hanging="844"/>
      </w:pPr>
      <w:rPr>
        <w:rFonts w:hint="default"/>
        <w:lang w:val="en-US" w:eastAsia="en-US" w:bidi="ar-SA"/>
      </w:rPr>
    </w:lvl>
    <w:lvl w:ilvl="5">
      <w:numFmt w:val="bullet"/>
      <w:lvlText w:val="•"/>
      <w:lvlJc w:val="left"/>
      <w:pPr>
        <w:ind w:left="5220" w:hanging="844"/>
      </w:pPr>
      <w:rPr>
        <w:rFonts w:hint="default"/>
        <w:lang w:val="en-US" w:eastAsia="en-US" w:bidi="ar-SA"/>
      </w:rPr>
    </w:lvl>
    <w:lvl w:ilvl="6">
      <w:numFmt w:val="bullet"/>
      <w:lvlText w:val="•"/>
      <w:lvlJc w:val="left"/>
      <w:pPr>
        <w:ind w:left="6192" w:hanging="844"/>
      </w:pPr>
      <w:rPr>
        <w:rFonts w:hint="default"/>
        <w:lang w:val="en-US" w:eastAsia="en-US" w:bidi="ar-SA"/>
      </w:rPr>
    </w:lvl>
    <w:lvl w:ilvl="7">
      <w:numFmt w:val="bullet"/>
      <w:lvlText w:val="•"/>
      <w:lvlJc w:val="left"/>
      <w:pPr>
        <w:ind w:left="7164" w:hanging="844"/>
      </w:pPr>
      <w:rPr>
        <w:rFonts w:hint="default"/>
        <w:lang w:val="en-US" w:eastAsia="en-US" w:bidi="ar-SA"/>
      </w:rPr>
    </w:lvl>
    <w:lvl w:ilvl="8">
      <w:numFmt w:val="bullet"/>
      <w:lvlText w:val="•"/>
      <w:lvlJc w:val="left"/>
      <w:pPr>
        <w:ind w:left="8136" w:hanging="844"/>
      </w:pPr>
      <w:rPr>
        <w:rFonts w:hint="default"/>
        <w:lang w:val="en-US" w:eastAsia="en-US" w:bidi="ar-SA"/>
      </w:rPr>
    </w:lvl>
  </w:abstractNum>
  <w:abstractNum w:abstractNumId="178" w15:restartNumberingAfterBreak="0">
    <w:nsid w:val="62F81604"/>
    <w:multiLevelType w:val="hybridMultilevel"/>
    <w:tmpl w:val="B51EC30E"/>
    <w:lvl w:ilvl="0" w:tplc="917814FC">
      <w:start w:val="1"/>
      <w:numFmt w:val="lowerRoman"/>
      <w:lvlText w:val="(%1)"/>
      <w:lvlJc w:val="left"/>
      <w:pPr>
        <w:ind w:left="360" w:hanging="38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F6C1C32">
      <w:numFmt w:val="bullet"/>
      <w:lvlText w:val="•"/>
      <w:lvlJc w:val="left"/>
      <w:pPr>
        <w:ind w:left="1332" w:hanging="387"/>
      </w:pPr>
      <w:rPr>
        <w:rFonts w:hint="default"/>
        <w:lang w:val="en-US" w:eastAsia="en-US" w:bidi="ar-SA"/>
      </w:rPr>
    </w:lvl>
    <w:lvl w:ilvl="2" w:tplc="00E49726">
      <w:numFmt w:val="bullet"/>
      <w:lvlText w:val="•"/>
      <w:lvlJc w:val="left"/>
      <w:pPr>
        <w:ind w:left="2304" w:hanging="387"/>
      </w:pPr>
      <w:rPr>
        <w:rFonts w:hint="default"/>
        <w:lang w:val="en-US" w:eastAsia="en-US" w:bidi="ar-SA"/>
      </w:rPr>
    </w:lvl>
    <w:lvl w:ilvl="3" w:tplc="FD5659DE">
      <w:numFmt w:val="bullet"/>
      <w:lvlText w:val="•"/>
      <w:lvlJc w:val="left"/>
      <w:pPr>
        <w:ind w:left="3276" w:hanging="387"/>
      </w:pPr>
      <w:rPr>
        <w:rFonts w:hint="default"/>
        <w:lang w:val="en-US" w:eastAsia="en-US" w:bidi="ar-SA"/>
      </w:rPr>
    </w:lvl>
    <w:lvl w:ilvl="4" w:tplc="108E83BA">
      <w:numFmt w:val="bullet"/>
      <w:lvlText w:val="•"/>
      <w:lvlJc w:val="left"/>
      <w:pPr>
        <w:ind w:left="4248" w:hanging="387"/>
      </w:pPr>
      <w:rPr>
        <w:rFonts w:hint="default"/>
        <w:lang w:val="en-US" w:eastAsia="en-US" w:bidi="ar-SA"/>
      </w:rPr>
    </w:lvl>
    <w:lvl w:ilvl="5" w:tplc="0DCC9B8C">
      <w:numFmt w:val="bullet"/>
      <w:lvlText w:val="•"/>
      <w:lvlJc w:val="left"/>
      <w:pPr>
        <w:ind w:left="5220" w:hanging="387"/>
      </w:pPr>
      <w:rPr>
        <w:rFonts w:hint="default"/>
        <w:lang w:val="en-US" w:eastAsia="en-US" w:bidi="ar-SA"/>
      </w:rPr>
    </w:lvl>
    <w:lvl w:ilvl="6" w:tplc="DBC0050A">
      <w:numFmt w:val="bullet"/>
      <w:lvlText w:val="•"/>
      <w:lvlJc w:val="left"/>
      <w:pPr>
        <w:ind w:left="6192" w:hanging="387"/>
      </w:pPr>
      <w:rPr>
        <w:rFonts w:hint="default"/>
        <w:lang w:val="en-US" w:eastAsia="en-US" w:bidi="ar-SA"/>
      </w:rPr>
    </w:lvl>
    <w:lvl w:ilvl="7" w:tplc="B83A105C">
      <w:numFmt w:val="bullet"/>
      <w:lvlText w:val="•"/>
      <w:lvlJc w:val="left"/>
      <w:pPr>
        <w:ind w:left="7164" w:hanging="387"/>
      </w:pPr>
      <w:rPr>
        <w:rFonts w:hint="default"/>
        <w:lang w:val="en-US" w:eastAsia="en-US" w:bidi="ar-SA"/>
      </w:rPr>
    </w:lvl>
    <w:lvl w:ilvl="8" w:tplc="FE049AEA">
      <w:numFmt w:val="bullet"/>
      <w:lvlText w:val="•"/>
      <w:lvlJc w:val="left"/>
      <w:pPr>
        <w:ind w:left="8136" w:hanging="387"/>
      </w:pPr>
      <w:rPr>
        <w:rFonts w:hint="default"/>
        <w:lang w:val="en-US" w:eastAsia="en-US" w:bidi="ar-SA"/>
      </w:rPr>
    </w:lvl>
  </w:abstractNum>
  <w:abstractNum w:abstractNumId="179" w15:restartNumberingAfterBreak="0">
    <w:nsid w:val="63602085"/>
    <w:multiLevelType w:val="multilevel"/>
    <w:tmpl w:val="AB346444"/>
    <w:lvl w:ilvl="0">
      <w:start w:val="1"/>
      <w:numFmt w:val="decimal"/>
      <w:lvlText w:val="%1"/>
      <w:lvlJc w:val="left"/>
      <w:pPr>
        <w:ind w:left="360" w:hanging="630"/>
        <w:jc w:val="left"/>
      </w:pPr>
      <w:rPr>
        <w:rFonts w:hint="default"/>
        <w:lang w:val="en-US" w:eastAsia="en-US" w:bidi="ar-SA"/>
      </w:rPr>
    </w:lvl>
    <w:lvl w:ilvl="1">
      <w:numFmt w:val="decimal"/>
      <w:lvlText w:val="%1.%2"/>
      <w:lvlJc w:val="left"/>
      <w:pPr>
        <w:ind w:left="36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80" w15:restartNumberingAfterBreak="0">
    <w:nsid w:val="636B4954"/>
    <w:multiLevelType w:val="hybridMultilevel"/>
    <w:tmpl w:val="D602AE78"/>
    <w:lvl w:ilvl="0" w:tplc="B532C216">
      <w:start w:val="1"/>
      <w:numFmt w:val="lowerLetter"/>
      <w:lvlText w:val="(%1)"/>
      <w:lvlJc w:val="left"/>
      <w:pPr>
        <w:ind w:left="767"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5CD82E8E">
      <w:numFmt w:val="bullet"/>
      <w:lvlText w:val="•"/>
      <w:lvlJc w:val="left"/>
      <w:pPr>
        <w:ind w:left="1692" w:hanging="408"/>
      </w:pPr>
      <w:rPr>
        <w:rFonts w:hint="default"/>
        <w:lang w:val="en-US" w:eastAsia="en-US" w:bidi="ar-SA"/>
      </w:rPr>
    </w:lvl>
    <w:lvl w:ilvl="2" w:tplc="7514E132">
      <w:numFmt w:val="bullet"/>
      <w:lvlText w:val="•"/>
      <w:lvlJc w:val="left"/>
      <w:pPr>
        <w:ind w:left="2624" w:hanging="408"/>
      </w:pPr>
      <w:rPr>
        <w:rFonts w:hint="default"/>
        <w:lang w:val="en-US" w:eastAsia="en-US" w:bidi="ar-SA"/>
      </w:rPr>
    </w:lvl>
    <w:lvl w:ilvl="3" w:tplc="FCC4B662">
      <w:numFmt w:val="bullet"/>
      <w:lvlText w:val="•"/>
      <w:lvlJc w:val="left"/>
      <w:pPr>
        <w:ind w:left="3556" w:hanging="408"/>
      </w:pPr>
      <w:rPr>
        <w:rFonts w:hint="default"/>
        <w:lang w:val="en-US" w:eastAsia="en-US" w:bidi="ar-SA"/>
      </w:rPr>
    </w:lvl>
    <w:lvl w:ilvl="4" w:tplc="6E1EE694">
      <w:numFmt w:val="bullet"/>
      <w:lvlText w:val="•"/>
      <w:lvlJc w:val="left"/>
      <w:pPr>
        <w:ind w:left="4488" w:hanging="408"/>
      </w:pPr>
      <w:rPr>
        <w:rFonts w:hint="default"/>
        <w:lang w:val="en-US" w:eastAsia="en-US" w:bidi="ar-SA"/>
      </w:rPr>
    </w:lvl>
    <w:lvl w:ilvl="5" w:tplc="3DD8EAB4">
      <w:numFmt w:val="bullet"/>
      <w:lvlText w:val="•"/>
      <w:lvlJc w:val="left"/>
      <w:pPr>
        <w:ind w:left="5420" w:hanging="408"/>
      </w:pPr>
      <w:rPr>
        <w:rFonts w:hint="default"/>
        <w:lang w:val="en-US" w:eastAsia="en-US" w:bidi="ar-SA"/>
      </w:rPr>
    </w:lvl>
    <w:lvl w:ilvl="6" w:tplc="A7E23BD6">
      <w:numFmt w:val="bullet"/>
      <w:lvlText w:val="•"/>
      <w:lvlJc w:val="left"/>
      <w:pPr>
        <w:ind w:left="6352" w:hanging="408"/>
      </w:pPr>
      <w:rPr>
        <w:rFonts w:hint="default"/>
        <w:lang w:val="en-US" w:eastAsia="en-US" w:bidi="ar-SA"/>
      </w:rPr>
    </w:lvl>
    <w:lvl w:ilvl="7" w:tplc="D97295FA">
      <w:numFmt w:val="bullet"/>
      <w:lvlText w:val="•"/>
      <w:lvlJc w:val="left"/>
      <w:pPr>
        <w:ind w:left="7284" w:hanging="408"/>
      </w:pPr>
      <w:rPr>
        <w:rFonts w:hint="default"/>
        <w:lang w:val="en-US" w:eastAsia="en-US" w:bidi="ar-SA"/>
      </w:rPr>
    </w:lvl>
    <w:lvl w:ilvl="8" w:tplc="00BA32E0">
      <w:numFmt w:val="bullet"/>
      <w:lvlText w:val="•"/>
      <w:lvlJc w:val="left"/>
      <w:pPr>
        <w:ind w:left="8216" w:hanging="408"/>
      </w:pPr>
      <w:rPr>
        <w:rFonts w:hint="default"/>
        <w:lang w:val="en-US" w:eastAsia="en-US" w:bidi="ar-SA"/>
      </w:rPr>
    </w:lvl>
  </w:abstractNum>
  <w:abstractNum w:abstractNumId="181" w15:restartNumberingAfterBreak="0">
    <w:nsid w:val="648224D1"/>
    <w:multiLevelType w:val="hybridMultilevel"/>
    <w:tmpl w:val="5D24AACE"/>
    <w:lvl w:ilvl="0" w:tplc="46B04EEE">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99C5B3A">
      <w:numFmt w:val="bullet"/>
      <w:lvlText w:val="•"/>
      <w:lvlJc w:val="left"/>
      <w:pPr>
        <w:ind w:left="1710" w:hanging="425"/>
      </w:pPr>
      <w:rPr>
        <w:rFonts w:hint="default"/>
        <w:lang w:val="en-US" w:eastAsia="en-US" w:bidi="ar-SA"/>
      </w:rPr>
    </w:lvl>
    <w:lvl w:ilvl="2" w:tplc="4C9C4D74">
      <w:numFmt w:val="bullet"/>
      <w:lvlText w:val="•"/>
      <w:lvlJc w:val="left"/>
      <w:pPr>
        <w:ind w:left="2640" w:hanging="425"/>
      </w:pPr>
      <w:rPr>
        <w:rFonts w:hint="default"/>
        <w:lang w:val="en-US" w:eastAsia="en-US" w:bidi="ar-SA"/>
      </w:rPr>
    </w:lvl>
    <w:lvl w:ilvl="3" w:tplc="E5A80C2E">
      <w:numFmt w:val="bullet"/>
      <w:lvlText w:val="•"/>
      <w:lvlJc w:val="left"/>
      <w:pPr>
        <w:ind w:left="3570" w:hanging="425"/>
      </w:pPr>
      <w:rPr>
        <w:rFonts w:hint="default"/>
        <w:lang w:val="en-US" w:eastAsia="en-US" w:bidi="ar-SA"/>
      </w:rPr>
    </w:lvl>
    <w:lvl w:ilvl="4" w:tplc="B2DE9744">
      <w:numFmt w:val="bullet"/>
      <w:lvlText w:val="•"/>
      <w:lvlJc w:val="left"/>
      <w:pPr>
        <w:ind w:left="4500" w:hanging="425"/>
      </w:pPr>
      <w:rPr>
        <w:rFonts w:hint="default"/>
        <w:lang w:val="en-US" w:eastAsia="en-US" w:bidi="ar-SA"/>
      </w:rPr>
    </w:lvl>
    <w:lvl w:ilvl="5" w:tplc="A65A6756">
      <w:numFmt w:val="bullet"/>
      <w:lvlText w:val="•"/>
      <w:lvlJc w:val="left"/>
      <w:pPr>
        <w:ind w:left="5430" w:hanging="425"/>
      </w:pPr>
      <w:rPr>
        <w:rFonts w:hint="default"/>
        <w:lang w:val="en-US" w:eastAsia="en-US" w:bidi="ar-SA"/>
      </w:rPr>
    </w:lvl>
    <w:lvl w:ilvl="6" w:tplc="AA6C9602">
      <w:numFmt w:val="bullet"/>
      <w:lvlText w:val="•"/>
      <w:lvlJc w:val="left"/>
      <w:pPr>
        <w:ind w:left="6360" w:hanging="425"/>
      </w:pPr>
      <w:rPr>
        <w:rFonts w:hint="default"/>
        <w:lang w:val="en-US" w:eastAsia="en-US" w:bidi="ar-SA"/>
      </w:rPr>
    </w:lvl>
    <w:lvl w:ilvl="7" w:tplc="56E8535E">
      <w:numFmt w:val="bullet"/>
      <w:lvlText w:val="•"/>
      <w:lvlJc w:val="left"/>
      <w:pPr>
        <w:ind w:left="7290" w:hanging="425"/>
      </w:pPr>
      <w:rPr>
        <w:rFonts w:hint="default"/>
        <w:lang w:val="en-US" w:eastAsia="en-US" w:bidi="ar-SA"/>
      </w:rPr>
    </w:lvl>
    <w:lvl w:ilvl="8" w:tplc="D2525102">
      <w:numFmt w:val="bullet"/>
      <w:lvlText w:val="•"/>
      <w:lvlJc w:val="left"/>
      <w:pPr>
        <w:ind w:left="8220" w:hanging="425"/>
      </w:pPr>
      <w:rPr>
        <w:rFonts w:hint="default"/>
        <w:lang w:val="en-US" w:eastAsia="en-US" w:bidi="ar-SA"/>
      </w:rPr>
    </w:lvl>
  </w:abstractNum>
  <w:abstractNum w:abstractNumId="182" w15:restartNumberingAfterBreak="0">
    <w:nsid w:val="64AC64DE"/>
    <w:multiLevelType w:val="hybridMultilevel"/>
    <w:tmpl w:val="F01C1706"/>
    <w:lvl w:ilvl="0" w:tplc="8632D3C4">
      <w:start w:val="1"/>
      <w:numFmt w:val="lowerRoman"/>
      <w:lvlText w:val="(%1)"/>
      <w:lvlJc w:val="left"/>
      <w:pPr>
        <w:ind w:left="360" w:hanging="38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6848C62">
      <w:numFmt w:val="bullet"/>
      <w:lvlText w:val="•"/>
      <w:lvlJc w:val="left"/>
      <w:pPr>
        <w:ind w:left="1332" w:hanging="388"/>
      </w:pPr>
      <w:rPr>
        <w:rFonts w:hint="default"/>
        <w:lang w:val="en-US" w:eastAsia="en-US" w:bidi="ar-SA"/>
      </w:rPr>
    </w:lvl>
    <w:lvl w:ilvl="2" w:tplc="2252EAAE">
      <w:numFmt w:val="bullet"/>
      <w:lvlText w:val="•"/>
      <w:lvlJc w:val="left"/>
      <w:pPr>
        <w:ind w:left="2304" w:hanging="388"/>
      </w:pPr>
      <w:rPr>
        <w:rFonts w:hint="default"/>
        <w:lang w:val="en-US" w:eastAsia="en-US" w:bidi="ar-SA"/>
      </w:rPr>
    </w:lvl>
    <w:lvl w:ilvl="3" w:tplc="C6228DD8">
      <w:numFmt w:val="bullet"/>
      <w:lvlText w:val="•"/>
      <w:lvlJc w:val="left"/>
      <w:pPr>
        <w:ind w:left="3276" w:hanging="388"/>
      </w:pPr>
      <w:rPr>
        <w:rFonts w:hint="default"/>
        <w:lang w:val="en-US" w:eastAsia="en-US" w:bidi="ar-SA"/>
      </w:rPr>
    </w:lvl>
    <w:lvl w:ilvl="4" w:tplc="135E6314">
      <w:numFmt w:val="bullet"/>
      <w:lvlText w:val="•"/>
      <w:lvlJc w:val="left"/>
      <w:pPr>
        <w:ind w:left="4248" w:hanging="388"/>
      </w:pPr>
      <w:rPr>
        <w:rFonts w:hint="default"/>
        <w:lang w:val="en-US" w:eastAsia="en-US" w:bidi="ar-SA"/>
      </w:rPr>
    </w:lvl>
    <w:lvl w:ilvl="5" w:tplc="8244E4DC">
      <w:numFmt w:val="bullet"/>
      <w:lvlText w:val="•"/>
      <w:lvlJc w:val="left"/>
      <w:pPr>
        <w:ind w:left="5220" w:hanging="388"/>
      </w:pPr>
      <w:rPr>
        <w:rFonts w:hint="default"/>
        <w:lang w:val="en-US" w:eastAsia="en-US" w:bidi="ar-SA"/>
      </w:rPr>
    </w:lvl>
    <w:lvl w:ilvl="6" w:tplc="595A54C0">
      <w:numFmt w:val="bullet"/>
      <w:lvlText w:val="•"/>
      <w:lvlJc w:val="left"/>
      <w:pPr>
        <w:ind w:left="6192" w:hanging="388"/>
      </w:pPr>
      <w:rPr>
        <w:rFonts w:hint="default"/>
        <w:lang w:val="en-US" w:eastAsia="en-US" w:bidi="ar-SA"/>
      </w:rPr>
    </w:lvl>
    <w:lvl w:ilvl="7" w:tplc="BFA6CF9E">
      <w:numFmt w:val="bullet"/>
      <w:lvlText w:val="•"/>
      <w:lvlJc w:val="left"/>
      <w:pPr>
        <w:ind w:left="7164" w:hanging="388"/>
      </w:pPr>
      <w:rPr>
        <w:rFonts w:hint="default"/>
        <w:lang w:val="en-US" w:eastAsia="en-US" w:bidi="ar-SA"/>
      </w:rPr>
    </w:lvl>
    <w:lvl w:ilvl="8" w:tplc="5576F316">
      <w:numFmt w:val="bullet"/>
      <w:lvlText w:val="•"/>
      <w:lvlJc w:val="left"/>
      <w:pPr>
        <w:ind w:left="8136" w:hanging="388"/>
      </w:pPr>
      <w:rPr>
        <w:rFonts w:hint="default"/>
        <w:lang w:val="en-US" w:eastAsia="en-US" w:bidi="ar-SA"/>
      </w:rPr>
    </w:lvl>
  </w:abstractNum>
  <w:abstractNum w:abstractNumId="183" w15:restartNumberingAfterBreak="0">
    <w:nsid w:val="64D2097F"/>
    <w:multiLevelType w:val="hybridMultilevel"/>
    <w:tmpl w:val="DF428A64"/>
    <w:lvl w:ilvl="0" w:tplc="A1BC18C2">
      <w:start w:val="1"/>
      <w:numFmt w:val="lowerRoman"/>
      <w:lvlText w:val="(%1)"/>
      <w:lvlJc w:val="left"/>
      <w:pPr>
        <w:ind w:left="615" w:hanging="36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82A811A">
      <w:numFmt w:val="bullet"/>
      <w:lvlText w:val="•"/>
      <w:lvlJc w:val="left"/>
      <w:pPr>
        <w:ind w:left="1566" w:hanging="366"/>
      </w:pPr>
      <w:rPr>
        <w:rFonts w:hint="default"/>
        <w:lang w:val="en-US" w:eastAsia="en-US" w:bidi="ar-SA"/>
      </w:rPr>
    </w:lvl>
    <w:lvl w:ilvl="2" w:tplc="62F8371C">
      <w:numFmt w:val="bullet"/>
      <w:lvlText w:val="•"/>
      <w:lvlJc w:val="left"/>
      <w:pPr>
        <w:ind w:left="2512" w:hanging="366"/>
      </w:pPr>
      <w:rPr>
        <w:rFonts w:hint="default"/>
        <w:lang w:val="en-US" w:eastAsia="en-US" w:bidi="ar-SA"/>
      </w:rPr>
    </w:lvl>
    <w:lvl w:ilvl="3" w:tplc="9B9A0350">
      <w:numFmt w:val="bullet"/>
      <w:lvlText w:val="•"/>
      <w:lvlJc w:val="left"/>
      <w:pPr>
        <w:ind w:left="3458" w:hanging="366"/>
      </w:pPr>
      <w:rPr>
        <w:rFonts w:hint="default"/>
        <w:lang w:val="en-US" w:eastAsia="en-US" w:bidi="ar-SA"/>
      </w:rPr>
    </w:lvl>
    <w:lvl w:ilvl="4" w:tplc="740EC448">
      <w:numFmt w:val="bullet"/>
      <w:lvlText w:val="•"/>
      <w:lvlJc w:val="left"/>
      <w:pPr>
        <w:ind w:left="4404" w:hanging="366"/>
      </w:pPr>
      <w:rPr>
        <w:rFonts w:hint="default"/>
        <w:lang w:val="en-US" w:eastAsia="en-US" w:bidi="ar-SA"/>
      </w:rPr>
    </w:lvl>
    <w:lvl w:ilvl="5" w:tplc="A774AB8E">
      <w:numFmt w:val="bullet"/>
      <w:lvlText w:val="•"/>
      <w:lvlJc w:val="left"/>
      <w:pPr>
        <w:ind w:left="5350" w:hanging="366"/>
      </w:pPr>
      <w:rPr>
        <w:rFonts w:hint="default"/>
        <w:lang w:val="en-US" w:eastAsia="en-US" w:bidi="ar-SA"/>
      </w:rPr>
    </w:lvl>
    <w:lvl w:ilvl="6" w:tplc="16B0C448">
      <w:numFmt w:val="bullet"/>
      <w:lvlText w:val="•"/>
      <w:lvlJc w:val="left"/>
      <w:pPr>
        <w:ind w:left="6296" w:hanging="366"/>
      </w:pPr>
      <w:rPr>
        <w:rFonts w:hint="default"/>
        <w:lang w:val="en-US" w:eastAsia="en-US" w:bidi="ar-SA"/>
      </w:rPr>
    </w:lvl>
    <w:lvl w:ilvl="7" w:tplc="94E491B4">
      <w:numFmt w:val="bullet"/>
      <w:lvlText w:val="•"/>
      <w:lvlJc w:val="left"/>
      <w:pPr>
        <w:ind w:left="7242" w:hanging="366"/>
      </w:pPr>
      <w:rPr>
        <w:rFonts w:hint="default"/>
        <w:lang w:val="en-US" w:eastAsia="en-US" w:bidi="ar-SA"/>
      </w:rPr>
    </w:lvl>
    <w:lvl w:ilvl="8" w:tplc="25BE5476">
      <w:numFmt w:val="bullet"/>
      <w:lvlText w:val="•"/>
      <w:lvlJc w:val="left"/>
      <w:pPr>
        <w:ind w:left="8188" w:hanging="366"/>
      </w:pPr>
      <w:rPr>
        <w:rFonts w:hint="default"/>
        <w:lang w:val="en-US" w:eastAsia="en-US" w:bidi="ar-SA"/>
      </w:rPr>
    </w:lvl>
  </w:abstractNum>
  <w:abstractNum w:abstractNumId="184" w15:restartNumberingAfterBreak="0">
    <w:nsid w:val="655D797B"/>
    <w:multiLevelType w:val="multilevel"/>
    <w:tmpl w:val="58CA905C"/>
    <w:lvl w:ilvl="0">
      <w:start w:val="1"/>
      <w:numFmt w:val="decimal"/>
      <w:lvlText w:val="%1"/>
      <w:lvlJc w:val="left"/>
      <w:pPr>
        <w:ind w:left="360" w:hanging="1008"/>
        <w:jc w:val="left"/>
      </w:pPr>
      <w:rPr>
        <w:rFonts w:hint="default"/>
        <w:lang w:val="en-US" w:eastAsia="en-US" w:bidi="ar-SA"/>
      </w:rPr>
    </w:lvl>
    <w:lvl w:ilvl="1">
      <w:numFmt w:val="decimal"/>
      <w:lvlText w:val="%1.%2"/>
      <w:lvlJc w:val="left"/>
      <w:pPr>
        <w:ind w:left="360" w:hanging="1008"/>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1008"/>
      </w:pPr>
      <w:rPr>
        <w:rFonts w:hint="default"/>
        <w:lang w:val="en-US" w:eastAsia="en-US" w:bidi="ar-SA"/>
      </w:rPr>
    </w:lvl>
    <w:lvl w:ilvl="3">
      <w:numFmt w:val="bullet"/>
      <w:lvlText w:val="•"/>
      <w:lvlJc w:val="left"/>
      <w:pPr>
        <w:ind w:left="3276" w:hanging="1008"/>
      </w:pPr>
      <w:rPr>
        <w:rFonts w:hint="default"/>
        <w:lang w:val="en-US" w:eastAsia="en-US" w:bidi="ar-SA"/>
      </w:rPr>
    </w:lvl>
    <w:lvl w:ilvl="4">
      <w:numFmt w:val="bullet"/>
      <w:lvlText w:val="•"/>
      <w:lvlJc w:val="left"/>
      <w:pPr>
        <w:ind w:left="4248" w:hanging="1008"/>
      </w:pPr>
      <w:rPr>
        <w:rFonts w:hint="default"/>
        <w:lang w:val="en-US" w:eastAsia="en-US" w:bidi="ar-SA"/>
      </w:rPr>
    </w:lvl>
    <w:lvl w:ilvl="5">
      <w:numFmt w:val="bullet"/>
      <w:lvlText w:val="•"/>
      <w:lvlJc w:val="left"/>
      <w:pPr>
        <w:ind w:left="5220" w:hanging="1008"/>
      </w:pPr>
      <w:rPr>
        <w:rFonts w:hint="default"/>
        <w:lang w:val="en-US" w:eastAsia="en-US" w:bidi="ar-SA"/>
      </w:rPr>
    </w:lvl>
    <w:lvl w:ilvl="6">
      <w:numFmt w:val="bullet"/>
      <w:lvlText w:val="•"/>
      <w:lvlJc w:val="left"/>
      <w:pPr>
        <w:ind w:left="6192" w:hanging="1008"/>
      </w:pPr>
      <w:rPr>
        <w:rFonts w:hint="default"/>
        <w:lang w:val="en-US" w:eastAsia="en-US" w:bidi="ar-SA"/>
      </w:rPr>
    </w:lvl>
    <w:lvl w:ilvl="7">
      <w:numFmt w:val="bullet"/>
      <w:lvlText w:val="•"/>
      <w:lvlJc w:val="left"/>
      <w:pPr>
        <w:ind w:left="7164" w:hanging="1008"/>
      </w:pPr>
      <w:rPr>
        <w:rFonts w:hint="default"/>
        <w:lang w:val="en-US" w:eastAsia="en-US" w:bidi="ar-SA"/>
      </w:rPr>
    </w:lvl>
    <w:lvl w:ilvl="8">
      <w:numFmt w:val="bullet"/>
      <w:lvlText w:val="•"/>
      <w:lvlJc w:val="left"/>
      <w:pPr>
        <w:ind w:left="8136" w:hanging="1008"/>
      </w:pPr>
      <w:rPr>
        <w:rFonts w:hint="default"/>
        <w:lang w:val="en-US" w:eastAsia="en-US" w:bidi="ar-SA"/>
      </w:rPr>
    </w:lvl>
  </w:abstractNum>
  <w:abstractNum w:abstractNumId="185" w15:restartNumberingAfterBreak="0">
    <w:nsid w:val="658B42BE"/>
    <w:multiLevelType w:val="multilevel"/>
    <w:tmpl w:val="52C85A40"/>
    <w:lvl w:ilvl="0">
      <w:start w:val="10"/>
      <w:numFmt w:val="decimal"/>
      <w:lvlText w:val="%1"/>
      <w:lvlJc w:val="left"/>
      <w:pPr>
        <w:ind w:left="1200" w:hanging="840"/>
        <w:jc w:val="left"/>
      </w:pPr>
      <w:rPr>
        <w:rFonts w:hint="default"/>
        <w:lang w:val="en-US" w:eastAsia="en-US" w:bidi="ar-SA"/>
      </w:rPr>
    </w:lvl>
    <w:lvl w:ilvl="1">
      <w:numFmt w:val="decimal"/>
      <w:lvlText w:val="%1.%2"/>
      <w:lvlJc w:val="left"/>
      <w:pPr>
        <w:ind w:left="1200" w:hanging="84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976" w:hanging="840"/>
      </w:pPr>
      <w:rPr>
        <w:rFonts w:hint="default"/>
        <w:lang w:val="en-US" w:eastAsia="en-US" w:bidi="ar-SA"/>
      </w:rPr>
    </w:lvl>
    <w:lvl w:ilvl="3">
      <w:numFmt w:val="bullet"/>
      <w:lvlText w:val="•"/>
      <w:lvlJc w:val="left"/>
      <w:pPr>
        <w:ind w:left="3864" w:hanging="840"/>
      </w:pPr>
      <w:rPr>
        <w:rFonts w:hint="default"/>
        <w:lang w:val="en-US" w:eastAsia="en-US" w:bidi="ar-SA"/>
      </w:rPr>
    </w:lvl>
    <w:lvl w:ilvl="4">
      <w:numFmt w:val="bullet"/>
      <w:lvlText w:val="•"/>
      <w:lvlJc w:val="left"/>
      <w:pPr>
        <w:ind w:left="4752" w:hanging="840"/>
      </w:pPr>
      <w:rPr>
        <w:rFonts w:hint="default"/>
        <w:lang w:val="en-US" w:eastAsia="en-US" w:bidi="ar-SA"/>
      </w:rPr>
    </w:lvl>
    <w:lvl w:ilvl="5">
      <w:numFmt w:val="bullet"/>
      <w:lvlText w:val="•"/>
      <w:lvlJc w:val="left"/>
      <w:pPr>
        <w:ind w:left="5640" w:hanging="840"/>
      </w:pPr>
      <w:rPr>
        <w:rFonts w:hint="default"/>
        <w:lang w:val="en-US" w:eastAsia="en-US" w:bidi="ar-SA"/>
      </w:rPr>
    </w:lvl>
    <w:lvl w:ilvl="6">
      <w:numFmt w:val="bullet"/>
      <w:lvlText w:val="•"/>
      <w:lvlJc w:val="left"/>
      <w:pPr>
        <w:ind w:left="6528" w:hanging="840"/>
      </w:pPr>
      <w:rPr>
        <w:rFonts w:hint="default"/>
        <w:lang w:val="en-US" w:eastAsia="en-US" w:bidi="ar-SA"/>
      </w:rPr>
    </w:lvl>
    <w:lvl w:ilvl="7">
      <w:numFmt w:val="bullet"/>
      <w:lvlText w:val="•"/>
      <w:lvlJc w:val="left"/>
      <w:pPr>
        <w:ind w:left="7416" w:hanging="840"/>
      </w:pPr>
      <w:rPr>
        <w:rFonts w:hint="default"/>
        <w:lang w:val="en-US" w:eastAsia="en-US" w:bidi="ar-SA"/>
      </w:rPr>
    </w:lvl>
    <w:lvl w:ilvl="8">
      <w:numFmt w:val="bullet"/>
      <w:lvlText w:val="•"/>
      <w:lvlJc w:val="left"/>
      <w:pPr>
        <w:ind w:left="8304" w:hanging="840"/>
      </w:pPr>
      <w:rPr>
        <w:rFonts w:hint="default"/>
        <w:lang w:val="en-US" w:eastAsia="en-US" w:bidi="ar-SA"/>
      </w:rPr>
    </w:lvl>
  </w:abstractNum>
  <w:abstractNum w:abstractNumId="186" w15:restartNumberingAfterBreak="0">
    <w:nsid w:val="65E4321B"/>
    <w:multiLevelType w:val="multilevel"/>
    <w:tmpl w:val="CAB2B9C0"/>
    <w:lvl w:ilvl="0">
      <w:start w:val="5"/>
      <w:numFmt w:val="decimal"/>
      <w:lvlText w:val="%1"/>
      <w:lvlJc w:val="left"/>
      <w:pPr>
        <w:ind w:left="360" w:hanging="725"/>
        <w:jc w:val="left"/>
      </w:pPr>
      <w:rPr>
        <w:rFonts w:hint="default"/>
        <w:lang w:val="en-US" w:eastAsia="en-US" w:bidi="ar-SA"/>
      </w:rPr>
    </w:lvl>
    <w:lvl w:ilvl="1">
      <w:numFmt w:val="decimal"/>
      <w:lvlText w:val="%1.%2"/>
      <w:lvlJc w:val="left"/>
      <w:pPr>
        <w:ind w:left="360" w:hanging="72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251" w:hanging="945"/>
      </w:pPr>
      <w:rPr>
        <w:rFonts w:hint="default"/>
        <w:lang w:val="en-US" w:eastAsia="en-US" w:bidi="ar-SA"/>
      </w:rPr>
    </w:lvl>
    <w:lvl w:ilvl="4">
      <w:numFmt w:val="bullet"/>
      <w:lvlText w:val="•"/>
      <w:lvlJc w:val="left"/>
      <w:pPr>
        <w:ind w:left="4226" w:hanging="945"/>
      </w:pPr>
      <w:rPr>
        <w:rFonts w:hint="default"/>
        <w:lang w:val="en-US" w:eastAsia="en-US" w:bidi="ar-SA"/>
      </w:rPr>
    </w:lvl>
    <w:lvl w:ilvl="5">
      <w:numFmt w:val="bullet"/>
      <w:lvlText w:val="•"/>
      <w:lvlJc w:val="left"/>
      <w:pPr>
        <w:ind w:left="5202" w:hanging="945"/>
      </w:pPr>
      <w:rPr>
        <w:rFonts w:hint="default"/>
        <w:lang w:val="en-US" w:eastAsia="en-US" w:bidi="ar-SA"/>
      </w:rPr>
    </w:lvl>
    <w:lvl w:ilvl="6">
      <w:numFmt w:val="bullet"/>
      <w:lvlText w:val="•"/>
      <w:lvlJc w:val="left"/>
      <w:pPr>
        <w:ind w:left="6177" w:hanging="945"/>
      </w:pPr>
      <w:rPr>
        <w:rFonts w:hint="default"/>
        <w:lang w:val="en-US" w:eastAsia="en-US" w:bidi="ar-SA"/>
      </w:rPr>
    </w:lvl>
    <w:lvl w:ilvl="7">
      <w:numFmt w:val="bullet"/>
      <w:lvlText w:val="•"/>
      <w:lvlJc w:val="left"/>
      <w:pPr>
        <w:ind w:left="7153" w:hanging="945"/>
      </w:pPr>
      <w:rPr>
        <w:rFonts w:hint="default"/>
        <w:lang w:val="en-US" w:eastAsia="en-US" w:bidi="ar-SA"/>
      </w:rPr>
    </w:lvl>
    <w:lvl w:ilvl="8">
      <w:numFmt w:val="bullet"/>
      <w:lvlText w:val="•"/>
      <w:lvlJc w:val="left"/>
      <w:pPr>
        <w:ind w:left="8128" w:hanging="945"/>
      </w:pPr>
      <w:rPr>
        <w:rFonts w:hint="default"/>
        <w:lang w:val="en-US" w:eastAsia="en-US" w:bidi="ar-SA"/>
      </w:rPr>
    </w:lvl>
  </w:abstractNum>
  <w:abstractNum w:abstractNumId="187" w15:restartNumberingAfterBreak="0">
    <w:nsid w:val="672D06C0"/>
    <w:multiLevelType w:val="hybridMultilevel"/>
    <w:tmpl w:val="3042E51C"/>
    <w:lvl w:ilvl="0" w:tplc="FA2C1D90">
      <w:start w:val="1"/>
      <w:numFmt w:val="upperLetter"/>
      <w:lvlText w:val="(%1)"/>
      <w:lvlJc w:val="left"/>
      <w:pPr>
        <w:ind w:left="360" w:hanging="49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1C872EE">
      <w:numFmt w:val="bullet"/>
      <w:lvlText w:val="•"/>
      <w:lvlJc w:val="left"/>
      <w:pPr>
        <w:ind w:left="1332" w:hanging="492"/>
      </w:pPr>
      <w:rPr>
        <w:rFonts w:hint="default"/>
        <w:lang w:val="en-US" w:eastAsia="en-US" w:bidi="ar-SA"/>
      </w:rPr>
    </w:lvl>
    <w:lvl w:ilvl="2" w:tplc="91BEB4EE">
      <w:numFmt w:val="bullet"/>
      <w:lvlText w:val="•"/>
      <w:lvlJc w:val="left"/>
      <w:pPr>
        <w:ind w:left="2304" w:hanging="492"/>
      </w:pPr>
      <w:rPr>
        <w:rFonts w:hint="default"/>
        <w:lang w:val="en-US" w:eastAsia="en-US" w:bidi="ar-SA"/>
      </w:rPr>
    </w:lvl>
    <w:lvl w:ilvl="3" w:tplc="A9F6B738">
      <w:numFmt w:val="bullet"/>
      <w:lvlText w:val="•"/>
      <w:lvlJc w:val="left"/>
      <w:pPr>
        <w:ind w:left="3276" w:hanging="492"/>
      </w:pPr>
      <w:rPr>
        <w:rFonts w:hint="default"/>
        <w:lang w:val="en-US" w:eastAsia="en-US" w:bidi="ar-SA"/>
      </w:rPr>
    </w:lvl>
    <w:lvl w:ilvl="4" w:tplc="89203548">
      <w:numFmt w:val="bullet"/>
      <w:lvlText w:val="•"/>
      <w:lvlJc w:val="left"/>
      <w:pPr>
        <w:ind w:left="4248" w:hanging="492"/>
      </w:pPr>
      <w:rPr>
        <w:rFonts w:hint="default"/>
        <w:lang w:val="en-US" w:eastAsia="en-US" w:bidi="ar-SA"/>
      </w:rPr>
    </w:lvl>
    <w:lvl w:ilvl="5" w:tplc="92D2E5E6">
      <w:numFmt w:val="bullet"/>
      <w:lvlText w:val="•"/>
      <w:lvlJc w:val="left"/>
      <w:pPr>
        <w:ind w:left="5220" w:hanging="492"/>
      </w:pPr>
      <w:rPr>
        <w:rFonts w:hint="default"/>
        <w:lang w:val="en-US" w:eastAsia="en-US" w:bidi="ar-SA"/>
      </w:rPr>
    </w:lvl>
    <w:lvl w:ilvl="6" w:tplc="60EA6AFE">
      <w:numFmt w:val="bullet"/>
      <w:lvlText w:val="•"/>
      <w:lvlJc w:val="left"/>
      <w:pPr>
        <w:ind w:left="6192" w:hanging="492"/>
      </w:pPr>
      <w:rPr>
        <w:rFonts w:hint="default"/>
        <w:lang w:val="en-US" w:eastAsia="en-US" w:bidi="ar-SA"/>
      </w:rPr>
    </w:lvl>
    <w:lvl w:ilvl="7" w:tplc="06FC6392">
      <w:numFmt w:val="bullet"/>
      <w:lvlText w:val="•"/>
      <w:lvlJc w:val="left"/>
      <w:pPr>
        <w:ind w:left="7164" w:hanging="492"/>
      </w:pPr>
      <w:rPr>
        <w:rFonts w:hint="default"/>
        <w:lang w:val="en-US" w:eastAsia="en-US" w:bidi="ar-SA"/>
      </w:rPr>
    </w:lvl>
    <w:lvl w:ilvl="8" w:tplc="3586CC6E">
      <w:numFmt w:val="bullet"/>
      <w:lvlText w:val="•"/>
      <w:lvlJc w:val="left"/>
      <w:pPr>
        <w:ind w:left="8136" w:hanging="492"/>
      </w:pPr>
      <w:rPr>
        <w:rFonts w:hint="default"/>
        <w:lang w:val="en-US" w:eastAsia="en-US" w:bidi="ar-SA"/>
      </w:rPr>
    </w:lvl>
  </w:abstractNum>
  <w:abstractNum w:abstractNumId="188" w15:restartNumberingAfterBreak="0">
    <w:nsid w:val="68B70FDB"/>
    <w:multiLevelType w:val="multilevel"/>
    <w:tmpl w:val="D6E6AE08"/>
    <w:lvl w:ilvl="0">
      <w:start w:val="1"/>
      <w:numFmt w:val="decimal"/>
      <w:lvlText w:val="%1"/>
      <w:lvlJc w:val="left"/>
      <w:pPr>
        <w:ind w:left="1127" w:hanging="768"/>
        <w:jc w:val="left"/>
      </w:pPr>
      <w:rPr>
        <w:rFonts w:hint="default"/>
        <w:lang w:val="en-US" w:eastAsia="en-US" w:bidi="ar-SA"/>
      </w:rPr>
    </w:lvl>
    <w:lvl w:ilvl="1">
      <w:numFmt w:val="decimal"/>
      <w:lvlText w:val="%1.%2"/>
      <w:lvlJc w:val="left"/>
      <w:pPr>
        <w:ind w:left="1127" w:hanging="768"/>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912" w:hanging="768"/>
      </w:pPr>
      <w:rPr>
        <w:rFonts w:hint="default"/>
        <w:lang w:val="en-US" w:eastAsia="en-US" w:bidi="ar-SA"/>
      </w:rPr>
    </w:lvl>
    <w:lvl w:ilvl="3">
      <w:numFmt w:val="bullet"/>
      <w:lvlText w:val="•"/>
      <w:lvlJc w:val="left"/>
      <w:pPr>
        <w:ind w:left="3808" w:hanging="768"/>
      </w:pPr>
      <w:rPr>
        <w:rFonts w:hint="default"/>
        <w:lang w:val="en-US" w:eastAsia="en-US" w:bidi="ar-SA"/>
      </w:rPr>
    </w:lvl>
    <w:lvl w:ilvl="4">
      <w:numFmt w:val="bullet"/>
      <w:lvlText w:val="•"/>
      <w:lvlJc w:val="left"/>
      <w:pPr>
        <w:ind w:left="4704" w:hanging="768"/>
      </w:pPr>
      <w:rPr>
        <w:rFonts w:hint="default"/>
        <w:lang w:val="en-US" w:eastAsia="en-US" w:bidi="ar-SA"/>
      </w:rPr>
    </w:lvl>
    <w:lvl w:ilvl="5">
      <w:numFmt w:val="bullet"/>
      <w:lvlText w:val="•"/>
      <w:lvlJc w:val="left"/>
      <w:pPr>
        <w:ind w:left="5600" w:hanging="768"/>
      </w:pPr>
      <w:rPr>
        <w:rFonts w:hint="default"/>
        <w:lang w:val="en-US" w:eastAsia="en-US" w:bidi="ar-SA"/>
      </w:rPr>
    </w:lvl>
    <w:lvl w:ilvl="6">
      <w:numFmt w:val="bullet"/>
      <w:lvlText w:val="•"/>
      <w:lvlJc w:val="left"/>
      <w:pPr>
        <w:ind w:left="6496" w:hanging="768"/>
      </w:pPr>
      <w:rPr>
        <w:rFonts w:hint="default"/>
        <w:lang w:val="en-US" w:eastAsia="en-US" w:bidi="ar-SA"/>
      </w:rPr>
    </w:lvl>
    <w:lvl w:ilvl="7">
      <w:numFmt w:val="bullet"/>
      <w:lvlText w:val="•"/>
      <w:lvlJc w:val="left"/>
      <w:pPr>
        <w:ind w:left="7392" w:hanging="768"/>
      </w:pPr>
      <w:rPr>
        <w:rFonts w:hint="default"/>
        <w:lang w:val="en-US" w:eastAsia="en-US" w:bidi="ar-SA"/>
      </w:rPr>
    </w:lvl>
    <w:lvl w:ilvl="8">
      <w:numFmt w:val="bullet"/>
      <w:lvlText w:val="•"/>
      <w:lvlJc w:val="left"/>
      <w:pPr>
        <w:ind w:left="8288" w:hanging="768"/>
      </w:pPr>
      <w:rPr>
        <w:rFonts w:hint="default"/>
        <w:lang w:val="en-US" w:eastAsia="en-US" w:bidi="ar-SA"/>
      </w:rPr>
    </w:lvl>
  </w:abstractNum>
  <w:abstractNum w:abstractNumId="189" w15:restartNumberingAfterBreak="0">
    <w:nsid w:val="694F4F48"/>
    <w:multiLevelType w:val="hybridMultilevel"/>
    <w:tmpl w:val="76B09E70"/>
    <w:lvl w:ilvl="0" w:tplc="DE146422">
      <w:start w:val="4"/>
      <w:numFmt w:val="decimal"/>
      <w:lvlText w:val="(%1)"/>
      <w:lvlJc w:val="left"/>
      <w:pPr>
        <w:ind w:left="360" w:hanging="44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5A84E14">
      <w:numFmt w:val="bullet"/>
      <w:lvlText w:val="•"/>
      <w:lvlJc w:val="left"/>
      <w:pPr>
        <w:ind w:left="1332" w:hanging="440"/>
      </w:pPr>
      <w:rPr>
        <w:rFonts w:hint="default"/>
        <w:lang w:val="en-US" w:eastAsia="en-US" w:bidi="ar-SA"/>
      </w:rPr>
    </w:lvl>
    <w:lvl w:ilvl="2" w:tplc="C540AF06">
      <w:numFmt w:val="bullet"/>
      <w:lvlText w:val="•"/>
      <w:lvlJc w:val="left"/>
      <w:pPr>
        <w:ind w:left="2304" w:hanging="440"/>
      </w:pPr>
      <w:rPr>
        <w:rFonts w:hint="default"/>
        <w:lang w:val="en-US" w:eastAsia="en-US" w:bidi="ar-SA"/>
      </w:rPr>
    </w:lvl>
    <w:lvl w:ilvl="3" w:tplc="07689A38">
      <w:numFmt w:val="bullet"/>
      <w:lvlText w:val="•"/>
      <w:lvlJc w:val="left"/>
      <w:pPr>
        <w:ind w:left="3276" w:hanging="440"/>
      </w:pPr>
      <w:rPr>
        <w:rFonts w:hint="default"/>
        <w:lang w:val="en-US" w:eastAsia="en-US" w:bidi="ar-SA"/>
      </w:rPr>
    </w:lvl>
    <w:lvl w:ilvl="4" w:tplc="CF406A52">
      <w:numFmt w:val="bullet"/>
      <w:lvlText w:val="•"/>
      <w:lvlJc w:val="left"/>
      <w:pPr>
        <w:ind w:left="4248" w:hanging="440"/>
      </w:pPr>
      <w:rPr>
        <w:rFonts w:hint="default"/>
        <w:lang w:val="en-US" w:eastAsia="en-US" w:bidi="ar-SA"/>
      </w:rPr>
    </w:lvl>
    <w:lvl w:ilvl="5" w:tplc="4E1281A8">
      <w:numFmt w:val="bullet"/>
      <w:lvlText w:val="•"/>
      <w:lvlJc w:val="left"/>
      <w:pPr>
        <w:ind w:left="5220" w:hanging="440"/>
      </w:pPr>
      <w:rPr>
        <w:rFonts w:hint="default"/>
        <w:lang w:val="en-US" w:eastAsia="en-US" w:bidi="ar-SA"/>
      </w:rPr>
    </w:lvl>
    <w:lvl w:ilvl="6" w:tplc="AD725986">
      <w:numFmt w:val="bullet"/>
      <w:lvlText w:val="•"/>
      <w:lvlJc w:val="left"/>
      <w:pPr>
        <w:ind w:left="6192" w:hanging="440"/>
      </w:pPr>
      <w:rPr>
        <w:rFonts w:hint="default"/>
        <w:lang w:val="en-US" w:eastAsia="en-US" w:bidi="ar-SA"/>
      </w:rPr>
    </w:lvl>
    <w:lvl w:ilvl="7" w:tplc="C980E9CC">
      <w:numFmt w:val="bullet"/>
      <w:lvlText w:val="•"/>
      <w:lvlJc w:val="left"/>
      <w:pPr>
        <w:ind w:left="7164" w:hanging="440"/>
      </w:pPr>
      <w:rPr>
        <w:rFonts w:hint="default"/>
        <w:lang w:val="en-US" w:eastAsia="en-US" w:bidi="ar-SA"/>
      </w:rPr>
    </w:lvl>
    <w:lvl w:ilvl="8" w:tplc="B3541140">
      <w:numFmt w:val="bullet"/>
      <w:lvlText w:val="•"/>
      <w:lvlJc w:val="left"/>
      <w:pPr>
        <w:ind w:left="8136" w:hanging="440"/>
      </w:pPr>
      <w:rPr>
        <w:rFonts w:hint="default"/>
        <w:lang w:val="en-US" w:eastAsia="en-US" w:bidi="ar-SA"/>
      </w:rPr>
    </w:lvl>
  </w:abstractNum>
  <w:abstractNum w:abstractNumId="190" w15:restartNumberingAfterBreak="0">
    <w:nsid w:val="69763358"/>
    <w:multiLevelType w:val="hybridMultilevel"/>
    <w:tmpl w:val="0144CDD4"/>
    <w:lvl w:ilvl="0" w:tplc="C75EDD4A">
      <w:start w:val="3"/>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2B879FA">
      <w:numFmt w:val="bullet"/>
      <w:lvlText w:val="•"/>
      <w:lvlJc w:val="left"/>
      <w:pPr>
        <w:ind w:left="1710" w:hanging="425"/>
      </w:pPr>
      <w:rPr>
        <w:rFonts w:hint="default"/>
        <w:lang w:val="en-US" w:eastAsia="en-US" w:bidi="ar-SA"/>
      </w:rPr>
    </w:lvl>
    <w:lvl w:ilvl="2" w:tplc="0AEAF6CA">
      <w:numFmt w:val="bullet"/>
      <w:lvlText w:val="•"/>
      <w:lvlJc w:val="left"/>
      <w:pPr>
        <w:ind w:left="2640" w:hanging="425"/>
      </w:pPr>
      <w:rPr>
        <w:rFonts w:hint="default"/>
        <w:lang w:val="en-US" w:eastAsia="en-US" w:bidi="ar-SA"/>
      </w:rPr>
    </w:lvl>
    <w:lvl w:ilvl="3" w:tplc="3B9A00FE">
      <w:numFmt w:val="bullet"/>
      <w:lvlText w:val="•"/>
      <w:lvlJc w:val="left"/>
      <w:pPr>
        <w:ind w:left="3570" w:hanging="425"/>
      </w:pPr>
      <w:rPr>
        <w:rFonts w:hint="default"/>
        <w:lang w:val="en-US" w:eastAsia="en-US" w:bidi="ar-SA"/>
      </w:rPr>
    </w:lvl>
    <w:lvl w:ilvl="4" w:tplc="73F4F8E0">
      <w:numFmt w:val="bullet"/>
      <w:lvlText w:val="•"/>
      <w:lvlJc w:val="left"/>
      <w:pPr>
        <w:ind w:left="4500" w:hanging="425"/>
      </w:pPr>
      <w:rPr>
        <w:rFonts w:hint="default"/>
        <w:lang w:val="en-US" w:eastAsia="en-US" w:bidi="ar-SA"/>
      </w:rPr>
    </w:lvl>
    <w:lvl w:ilvl="5" w:tplc="6F047750">
      <w:numFmt w:val="bullet"/>
      <w:lvlText w:val="•"/>
      <w:lvlJc w:val="left"/>
      <w:pPr>
        <w:ind w:left="5430" w:hanging="425"/>
      </w:pPr>
      <w:rPr>
        <w:rFonts w:hint="default"/>
        <w:lang w:val="en-US" w:eastAsia="en-US" w:bidi="ar-SA"/>
      </w:rPr>
    </w:lvl>
    <w:lvl w:ilvl="6" w:tplc="A746BECC">
      <w:numFmt w:val="bullet"/>
      <w:lvlText w:val="•"/>
      <w:lvlJc w:val="left"/>
      <w:pPr>
        <w:ind w:left="6360" w:hanging="425"/>
      </w:pPr>
      <w:rPr>
        <w:rFonts w:hint="default"/>
        <w:lang w:val="en-US" w:eastAsia="en-US" w:bidi="ar-SA"/>
      </w:rPr>
    </w:lvl>
    <w:lvl w:ilvl="7" w:tplc="31ACFC4C">
      <w:numFmt w:val="bullet"/>
      <w:lvlText w:val="•"/>
      <w:lvlJc w:val="left"/>
      <w:pPr>
        <w:ind w:left="7290" w:hanging="425"/>
      </w:pPr>
      <w:rPr>
        <w:rFonts w:hint="default"/>
        <w:lang w:val="en-US" w:eastAsia="en-US" w:bidi="ar-SA"/>
      </w:rPr>
    </w:lvl>
    <w:lvl w:ilvl="8" w:tplc="94FE779A">
      <w:numFmt w:val="bullet"/>
      <w:lvlText w:val="•"/>
      <w:lvlJc w:val="left"/>
      <w:pPr>
        <w:ind w:left="8220" w:hanging="425"/>
      </w:pPr>
      <w:rPr>
        <w:rFonts w:hint="default"/>
        <w:lang w:val="en-US" w:eastAsia="en-US" w:bidi="ar-SA"/>
      </w:rPr>
    </w:lvl>
  </w:abstractNum>
  <w:abstractNum w:abstractNumId="191" w15:restartNumberingAfterBreak="0">
    <w:nsid w:val="6A046F1D"/>
    <w:multiLevelType w:val="multilevel"/>
    <w:tmpl w:val="F5DED2B4"/>
    <w:lvl w:ilvl="0">
      <w:start w:val="4"/>
      <w:numFmt w:val="decimal"/>
      <w:lvlText w:val="%1"/>
      <w:lvlJc w:val="left"/>
      <w:pPr>
        <w:ind w:left="1410" w:hanging="1050"/>
        <w:jc w:val="left"/>
      </w:pPr>
      <w:rPr>
        <w:rFonts w:hint="default"/>
        <w:lang w:val="en-US" w:eastAsia="en-US" w:bidi="ar-SA"/>
      </w:rPr>
    </w:lvl>
    <w:lvl w:ilvl="1">
      <w:numFmt w:val="decimal"/>
      <w:lvlText w:val="%1.%2"/>
      <w:lvlJc w:val="left"/>
      <w:pPr>
        <w:ind w:left="1410" w:hanging="1050"/>
        <w:jc w:val="left"/>
      </w:pPr>
      <w:rPr>
        <w:rFonts w:ascii="Liberation Serif" w:eastAsia="Liberation Serif" w:hAnsi="Liberation Serif" w:cs="Liberation Serif" w:hint="default"/>
        <w:b/>
        <w:bCs/>
        <w:i w:val="0"/>
        <w:iCs w:val="0"/>
        <w:spacing w:val="0"/>
        <w:w w:val="100"/>
        <w:sz w:val="42"/>
        <w:szCs w:val="42"/>
        <w:lang w:val="en-US" w:eastAsia="en-US" w:bidi="ar-SA"/>
      </w:rPr>
    </w:lvl>
    <w:lvl w:ilvl="2">
      <w:start w:val="1"/>
      <w:numFmt w:val="decimal"/>
      <w:lvlText w:val="%1.%2.%3"/>
      <w:lvlJc w:val="left"/>
      <w:pPr>
        <w:ind w:left="360" w:hanging="1238"/>
        <w:jc w:val="left"/>
      </w:pPr>
      <w:rPr>
        <w:rFonts w:ascii="Liberation Serif" w:eastAsia="Liberation Serif" w:hAnsi="Liberation Serif" w:cs="Liberation Serif" w:hint="default"/>
        <w:b/>
        <w:bCs/>
        <w:i w:val="0"/>
        <w:iCs w:val="0"/>
        <w:spacing w:val="0"/>
        <w:w w:val="101"/>
        <w:sz w:val="34"/>
        <w:szCs w:val="34"/>
        <w:lang w:val="en-US" w:eastAsia="en-US" w:bidi="ar-SA"/>
      </w:rPr>
    </w:lvl>
    <w:lvl w:ilvl="3">
      <w:numFmt w:val="bullet"/>
      <w:lvlText w:val="•"/>
      <w:lvlJc w:val="left"/>
      <w:pPr>
        <w:ind w:left="3344" w:hanging="1238"/>
      </w:pPr>
      <w:rPr>
        <w:rFonts w:hint="default"/>
        <w:lang w:val="en-US" w:eastAsia="en-US" w:bidi="ar-SA"/>
      </w:rPr>
    </w:lvl>
    <w:lvl w:ilvl="4">
      <w:numFmt w:val="bullet"/>
      <w:lvlText w:val="•"/>
      <w:lvlJc w:val="left"/>
      <w:pPr>
        <w:ind w:left="4306" w:hanging="1238"/>
      </w:pPr>
      <w:rPr>
        <w:rFonts w:hint="default"/>
        <w:lang w:val="en-US" w:eastAsia="en-US" w:bidi="ar-SA"/>
      </w:rPr>
    </w:lvl>
    <w:lvl w:ilvl="5">
      <w:numFmt w:val="bullet"/>
      <w:lvlText w:val="•"/>
      <w:lvlJc w:val="left"/>
      <w:pPr>
        <w:ind w:left="5268" w:hanging="1238"/>
      </w:pPr>
      <w:rPr>
        <w:rFonts w:hint="default"/>
        <w:lang w:val="en-US" w:eastAsia="en-US" w:bidi="ar-SA"/>
      </w:rPr>
    </w:lvl>
    <w:lvl w:ilvl="6">
      <w:numFmt w:val="bullet"/>
      <w:lvlText w:val="•"/>
      <w:lvlJc w:val="left"/>
      <w:pPr>
        <w:ind w:left="6231" w:hanging="1238"/>
      </w:pPr>
      <w:rPr>
        <w:rFonts w:hint="default"/>
        <w:lang w:val="en-US" w:eastAsia="en-US" w:bidi="ar-SA"/>
      </w:rPr>
    </w:lvl>
    <w:lvl w:ilvl="7">
      <w:numFmt w:val="bullet"/>
      <w:lvlText w:val="•"/>
      <w:lvlJc w:val="left"/>
      <w:pPr>
        <w:ind w:left="7193" w:hanging="1238"/>
      </w:pPr>
      <w:rPr>
        <w:rFonts w:hint="default"/>
        <w:lang w:val="en-US" w:eastAsia="en-US" w:bidi="ar-SA"/>
      </w:rPr>
    </w:lvl>
    <w:lvl w:ilvl="8">
      <w:numFmt w:val="bullet"/>
      <w:lvlText w:val="•"/>
      <w:lvlJc w:val="left"/>
      <w:pPr>
        <w:ind w:left="8155" w:hanging="1238"/>
      </w:pPr>
      <w:rPr>
        <w:rFonts w:hint="default"/>
        <w:lang w:val="en-US" w:eastAsia="en-US" w:bidi="ar-SA"/>
      </w:rPr>
    </w:lvl>
  </w:abstractNum>
  <w:abstractNum w:abstractNumId="192" w15:restartNumberingAfterBreak="0">
    <w:nsid w:val="6A551AF5"/>
    <w:multiLevelType w:val="hybridMultilevel"/>
    <w:tmpl w:val="E27C2CF0"/>
    <w:lvl w:ilvl="0" w:tplc="410005A4">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40009B0">
      <w:numFmt w:val="bullet"/>
      <w:lvlText w:val="•"/>
      <w:lvlJc w:val="left"/>
      <w:pPr>
        <w:ind w:left="1710" w:hanging="425"/>
      </w:pPr>
      <w:rPr>
        <w:rFonts w:hint="default"/>
        <w:lang w:val="en-US" w:eastAsia="en-US" w:bidi="ar-SA"/>
      </w:rPr>
    </w:lvl>
    <w:lvl w:ilvl="2" w:tplc="E6AE57CA">
      <w:numFmt w:val="bullet"/>
      <w:lvlText w:val="•"/>
      <w:lvlJc w:val="left"/>
      <w:pPr>
        <w:ind w:left="2640" w:hanging="425"/>
      </w:pPr>
      <w:rPr>
        <w:rFonts w:hint="default"/>
        <w:lang w:val="en-US" w:eastAsia="en-US" w:bidi="ar-SA"/>
      </w:rPr>
    </w:lvl>
    <w:lvl w:ilvl="3" w:tplc="3276349E">
      <w:numFmt w:val="bullet"/>
      <w:lvlText w:val="•"/>
      <w:lvlJc w:val="left"/>
      <w:pPr>
        <w:ind w:left="3570" w:hanging="425"/>
      </w:pPr>
      <w:rPr>
        <w:rFonts w:hint="default"/>
        <w:lang w:val="en-US" w:eastAsia="en-US" w:bidi="ar-SA"/>
      </w:rPr>
    </w:lvl>
    <w:lvl w:ilvl="4" w:tplc="126C3A98">
      <w:numFmt w:val="bullet"/>
      <w:lvlText w:val="•"/>
      <w:lvlJc w:val="left"/>
      <w:pPr>
        <w:ind w:left="4500" w:hanging="425"/>
      </w:pPr>
      <w:rPr>
        <w:rFonts w:hint="default"/>
        <w:lang w:val="en-US" w:eastAsia="en-US" w:bidi="ar-SA"/>
      </w:rPr>
    </w:lvl>
    <w:lvl w:ilvl="5" w:tplc="2C12242C">
      <w:numFmt w:val="bullet"/>
      <w:lvlText w:val="•"/>
      <w:lvlJc w:val="left"/>
      <w:pPr>
        <w:ind w:left="5430" w:hanging="425"/>
      </w:pPr>
      <w:rPr>
        <w:rFonts w:hint="default"/>
        <w:lang w:val="en-US" w:eastAsia="en-US" w:bidi="ar-SA"/>
      </w:rPr>
    </w:lvl>
    <w:lvl w:ilvl="6" w:tplc="306649DA">
      <w:numFmt w:val="bullet"/>
      <w:lvlText w:val="•"/>
      <w:lvlJc w:val="left"/>
      <w:pPr>
        <w:ind w:left="6360" w:hanging="425"/>
      </w:pPr>
      <w:rPr>
        <w:rFonts w:hint="default"/>
        <w:lang w:val="en-US" w:eastAsia="en-US" w:bidi="ar-SA"/>
      </w:rPr>
    </w:lvl>
    <w:lvl w:ilvl="7" w:tplc="887A1778">
      <w:numFmt w:val="bullet"/>
      <w:lvlText w:val="•"/>
      <w:lvlJc w:val="left"/>
      <w:pPr>
        <w:ind w:left="7290" w:hanging="425"/>
      </w:pPr>
      <w:rPr>
        <w:rFonts w:hint="default"/>
        <w:lang w:val="en-US" w:eastAsia="en-US" w:bidi="ar-SA"/>
      </w:rPr>
    </w:lvl>
    <w:lvl w:ilvl="8" w:tplc="A22CF16E">
      <w:numFmt w:val="bullet"/>
      <w:lvlText w:val="•"/>
      <w:lvlJc w:val="left"/>
      <w:pPr>
        <w:ind w:left="8220" w:hanging="425"/>
      </w:pPr>
      <w:rPr>
        <w:rFonts w:hint="default"/>
        <w:lang w:val="en-US" w:eastAsia="en-US" w:bidi="ar-SA"/>
      </w:rPr>
    </w:lvl>
  </w:abstractNum>
  <w:abstractNum w:abstractNumId="193" w15:restartNumberingAfterBreak="0">
    <w:nsid w:val="6AA17142"/>
    <w:multiLevelType w:val="multilevel"/>
    <w:tmpl w:val="6ED8DF86"/>
    <w:lvl w:ilvl="0">
      <w:start w:val="4"/>
      <w:numFmt w:val="decimal"/>
      <w:lvlText w:val="%1"/>
      <w:lvlJc w:val="left"/>
      <w:pPr>
        <w:ind w:left="990" w:hanging="630"/>
        <w:jc w:val="left"/>
      </w:pPr>
      <w:rPr>
        <w:rFonts w:hint="default"/>
        <w:lang w:val="en-US" w:eastAsia="en-US" w:bidi="ar-SA"/>
      </w:rPr>
    </w:lvl>
    <w:lvl w:ilvl="1">
      <w:start w:val="2"/>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194" w15:restartNumberingAfterBreak="0">
    <w:nsid w:val="6ADF426F"/>
    <w:multiLevelType w:val="multilevel"/>
    <w:tmpl w:val="DF1001C4"/>
    <w:lvl w:ilvl="0">
      <w:start w:val="12"/>
      <w:numFmt w:val="decimal"/>
      <w:lvlText w:val="%1"/>
      <w:lvlJc w:val="left"/>
      <w:pPr>
        <w:ind w:left="360" w:hanging="1185"/>
        <w:jc w:val="left"/>
      </w:pPr>
      <w:rPr>
        <w:rFonts w:hint="default"/>
        <w:lang w:val="en-US" w:eastAsia="en-US" w:bidi="ar-SA"/>
      </w:rPr>
    </w:lvl>
    <w:lvl w:ilvl="1">
      <w:numFmt w:val="decimal"/>
      <w:lvlText w:val="%1.%2"/>
      <w:lvlJc w:val="left"/>
      <w:pPr>
        <w:ind w:left="360" w:hanging="1185"/>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515" w:hanging="115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422" w:hanging="1155"/>
      </w:pPr>
      <w:rPr>
        <w:rFonts w:hint="default"/>
        <w:lang w:val="en-US" w:eastAsia="en-US" w:bidi="ar-SA"/>
      </w:rPr>
    </w:lvl>
    <w:lvl w:ilvl="4">
      <w:numFmt w:val="bullet"/>
      <w:lvlText w:val="•"/>
      <w:lvlJc w:val="left"/>
      <w:pPr>
        <w:ind w:left="4373" w:hanging="1155"/>
      </w:pPr>
      <w:rPr>
        <w:rFonts w:hint="default"/>
        <w:lang w:val="en-US" w:eastAsia="en-US" w:bidi="ar-SA"/>
      </w:rPr>
    </w:lvl>
    <w:lvl w:ilvl="5">
      <w:numFmt w:val="bullet"/>
      <w:lvlText w:val="•"/>
      <w:lvlJc w:val="left"/>
      <w:pPr>
        <w:ind w:left="5324" w:hanging="1155"/>
      </w:pPr>
      <w:rPr>
        <w:rFonts w:hint="default"/>
        <w:lang w:val="en-US" w:eastAsia="en-US" w:bidi="ar-SA"/>
      </w:rPr>
    </w:lvl>
    <w:lvl w:ilvl="6">
      <w:numFmt w:val="bullet"/>
      <w:lvlText w:val="•"/>
      <w:lvlJc w:val="left"/>
      <w:pPr>
        <w:ind w:left="6275" w:hanging="1155"/>
      </w:pPr>
      <w:rPr>
        <w:rFonts w:hint="default"/>
        <w:lang w:val="en-US" w:eastAsia="en-US" w:bidi="ar-SA"/>
      </w:rPr>
    </w:lvl>
    <w:lvl w:ilvl="7">
      <w:numFmt w:val="bullet"/>
      <w:lvlText w:val="•"/>
      <w:lvlJc w:val="left"/>
      <w:pPr>
        <w:ind w:left="7226" w:hanging="1155"/>
      </w:pPr>
      <w:rPr>
        <w:rFonts w:hint="default"/>
        <w:lang w:val="en-US" w:eastAsia="en-US" w:bidi="ar-SA"/>
      </w:rPr>
    </w:lvl>
    <w:lvl w:ilvl="8">
      <w:numFmt w:val="bullet"/>
      <w:lvlText w:val="•"/>
      <w:lvlJc w:val="left"/>
      <w:pPr>
        <w:ind w:left="8177" w:hanging="1155"/>
      </w:pPr>
      <w:rPr>
        <w:rFonts w:hint="default"/>
        <w:lang w:val="en-US" w:eastAsia="en-US" w:bidi="ar-SA"/>
      </w:rPr>
    </w:lvl>
  </w:abstractNum>
  <w:abstractNum w:abstractNumId="195" w15:restartNumberingAfterBreak="0">
    <w:nsid w:val="6B526E82"/>
    <w:multiLevelType w:val="hybridMultilevel"/>
    <w:tmpl w:val="A68AAEAE"/>
    <w:lvl w:ilvl="0" w:tplc="E4F05D24">
      <w:start w:val="1"/>
      <w:numFmt w:val="decimal"/>
      <w:lvlText w:val="(%1)"/>
      <w:lvlJc w:val="left"/>
      <w:pPr>
        <w:ind w:left="360" w:hanging="43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7ECB594">
      <w:numFmt w:val="bullet"/>
      <w:lvlText w:val="•"/>
      <w:lvlJc w:val="left"/>
      <w:pPr>
        <w:ind w:left="1332" w:hanging="436"/>
      </w:pPr>
      <w:rPr>
        <w:rFonts w:hint="default"/>
        <w:lang w:val="en-US" w:eastAsia="en-US" w:bidi="ar-SA"/>
      </w:rPr>
    </w:lvl>
    <w:lvl w:ilvl="2" w:tplc="851AA120">
      <w:numFmt w:val="bullet"/>
      <w:lvlText w:val="•"/>
      <w:lvlJc w:val="left"/>
      <w:pPr>
        <w:ind w:left="2304" w:hanging="436"/>
      </w:pPr>
      <w:rPr>
        <w:rFonts w:hint="default"/>
        <w:lang w:val="en-US" w:eastAsia="en-US" w:bidi="ar-SA"/>
      </w:rPr>
    </w:lvl>
    <w:lvl w:ilvl="3" w:tplc="C172B82E">
      <w:numFmt w:val="bullet"/>
      <w:lvlText w:val="•"/>
      <w:lvlJc w:val="left"/>
      <w:pPr>
        <w:ind w:left="3276" w:hanging="436"/>
      </w:pPr>
      <w:rPr>
        <w:rFonts w:hint="default"/>
        <w:lang w:val="en-US" w:eastAsia="en-US" w:bidi="ar-SA"/>
      </w:rPr>
    </w:lvl>
    <w:lvl w:ilvl="4" w:tplc="31C6F006">
      <w:numFmt w:val="bullet"/>
      <w:lvlText w:val="•"/>
      <w:lvlJc w:val="left"/>
      <w:pPr>
        <w:ind w:left="4248" w:hanging="436"/>
      </w:pPr>
      <w:rPr>
        <w:rFonts w:hint="default"/>
        <w:lang w:val="en-US" w:eastAsia="en-US" w:bidi="ar-SA"/>
      </w:rPr>
    </w:lvl>
    <w:lvl w:ilvl="5" w:tplc="A10274F4">
      <w:numFmt w:val="bullet"/>
      <w:lvlText w:val="•"/>
      <w:lvlJc w:val="left"/>
      <w:pPr>
        <w:ind w:left="5220" w:hanging="436"/>
      </w:pPr>
      <w:rPr>
        <w:rFonts w:hint="default"/>
        <w:lang w:val="en-US" w:eastAsia="en-US" w:bidi="ar-SA"/>
      </w:rPr>
    </w:lvl>
    <w:lvl w:ilvl="6" w:tplc="3BFEE840">
      <w:numFmt w:val="bullet"/>
      <w:lvlText w:val="•"/>
      <w:lvlJc w:val="left"/>
      <w:pPr>
        <w:ind w:left="6192" w:hanging="436"/>
      </w:pPr>
      <w:rPr>
        <w:rFonts w:hint="default"/>
        <w:lang w:val="en-US" w:eastAsia="en-US" w:bidi="ar-SA"/>
      </w:rPr>
    </w:lvl>
    <w:lvl w:ilvl="7" w:tplc="9AFE6C28">
      <w:numFmt w:val="bullet"/>
      <w:lvlText w:val="•"/>
      <w:lvlJc w:val="left"/>
      <w:pPr>
        <w:ind w:left="7164" w:hanging="436"/>
      </w:pPr>
      <w:rPr>
        <w:rFonts w:hint="default"/>
        <w:lang w:val="en-US" w:eastAsia="en-US" w:bidi="ar-SA"/>
      </w:rPr>
    </w:lvl>
    <w:lvl w:ilvl="8" w:tplc="B948AE96">
      <w:numFmt w:val="bullet"/>
      <w:lvlText w:val="•"/>
      <w:lvlJc w:val="left"/>
      <w:pPr>
        <w:ind w:left="8136" w:hanging="436"/>
      </w:pPr>
      <w:rPr>
        <w:rFonts w:hint="default"/>
        <w:lang w:val="en-US" w:eastAsia="en-US" w:bidi="ar-SA"/>
      </w:rPr>
    </w:lvl>
  </w:abstractNum>
  <w:abstractNum w:abstractNumId="196" w15:restartNumberingAfterBreak="0">
    <w:nsid w:val="6B69669D"/>
    <w:multiLevelType w:val="multilevel"/>
    <w:tmpl w:val="A928F0A0"/>
    <w:lvl w:ilvl="0">
      <w:start w:val="3"/>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197" w15:restartNumberingAfterBreak="0">
    <w:nsid w:val="6C3C7A1C"/>
    <w:multiLevelType w:val="hybridMultilevel"/>
    <w:tmpl w:val="BF2806BE"/>
    <w:lvl w:ilvl="0" w:tplc="1DA00A46">
      <w:start w:val="3"/>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835A8B84">
      <w:numFmt w:val="bullet"/>
      <w:lvlText w:val="•"/>
      <w:lvlJc w:val="left"/>
      <w:pPr>
        <w:ind w:left="1710" w:hanging="425"/>
      </w:pPr>
      <w:rPr>
        <w:rFonts w:hint="default"/>
        <w:lang w:val="en-US" w:eastAsia="en-US" w:bidi="ar-SA"/>
      </w:rPr>
    </w:lvl>
    <w:lvl w:ilvl="2" w:tplc="A70281F0">
      <w:numFmt w:val="bullet"/>
      <w:lvlText w:val="•"/>
      <w:lvlJc w:val="left"/>
      <w:pPr>
        <w:ind w:left="2640" w:hanging="425"/>
      </w:pPr>
      <w:rPr>
        <w:rFonts w:hint="default"/>
        <w:lang w:val="en-US" w:eastAsia="en-US" w:bidi="ar-SA"/>
      </w:rPr>
    </w:lvl>
    <w:lvl w:ilvl="3" w:tplc="6A408056">
      <w:numFmt w:val="bullet"/>
      <w:lvlText w:val="•"/>
      <w:lvlJc w:val="left"/>
      <w:pPr>
        <w:ind w:left="3570" w:hanging="425"/>
      </w:pPr>
      <w:rPr>
        <w:rFonts w:hint="default"/>
        <w:lang w:val="en-US" w:eastAsia="en-US" w:bidi="ar-SA"/>
      </w:rPr>
    </w:lvl>
    <w:lvl w:ilvl="4" w:tplc="E4F047FE">
      <w:numFmt w:val="bullet"/>
      <w:lvlText w:val="•"/>
      <w:lvlJc w:val="left"/>
      <w:pPr>
        <w:ind w:left="4500" w:hanging="425"/>
      </w:pPr>
      <w:rPr>
        <w:rFonts w:hint="default"/>
        <w:lang w:val="en-US" w:eastAsia="en-US" w:bidi="ar-SA"/>
      </w:rPr>
    </w:lvl>
    <w:lvl w:ilvl="5" w:tplc="57B2A5EE">
      <w:numFmt w:val="bullet"/>
      <w:lvlText w:val="•"/>
      <w:lvlJc w:val="left"/>
      <w:pPr>
        <w:ind w:left="5430" w:hanging="425"/>
      </w:pPr>
      <w:rPr>
        <w:rFonts w:hint="default"/>
        <w:lang w:val="en-US" w:eastAsia="en-US" w:bidi="ar-SA"/>
      </w:rPr>
    </w:lvl>
    <w:lvl w:ilvl="6" w:tplc="33689B5E">
      <w:numFmt w:val="bullet"/>
      <w:lvlText w:val="•"/>
      <w:lvlJc w:val="left"/>
      <w:pPr>
        <w:ind w:left="6360" w:hanging="425"/>
      </w:pPr>
      <w:rPr>
        <w:rFonts w:hint="default"/>
        <w:lang w:val="en-US" w:eastAsia="en-US" w:bidi="ar-SA"/>
      </w:rPr>
    </w:lvl>
    <w:lvl w:ilvl="7" w:tplc="CA92E3AC">
      <w:numFmt w:val="bullet"/>
      <w:lvlText w:val="•"/>
      <w:lvlJc w:val="left"/>
      <w:pPr>
        <w:ind w:left="7290" w:hanging="425"/>
      </w:pPr>
      <w:rPr>
        <w:rFonts w:hint="default"/>
        <w:lang w:val="en-US" w:eastAsia="en-US" w:bidi="ar-SA"/>
      </w:rPr>
    </w:lvl>
    <w:lvl w:ilvl="8" w:tplc="EF4CE24A">
      <w:numFmt w:val="bullet"/>
      <w:lvlText w:val="•"/>
      <w:lvlJc w:val="left"/>
      <w:pPr>
        <w:ind w:left="8220" w:hanging="425"/>
      </w:pPr>
      <w:rPr>
        <w:rFonts w:hint="default"/>
        <w:lang w:val="en-US" w:eastAsia="en-US" w:bidi="ar-SA"/>
      </w:rPr>
    </w:lvl>
  </w:abstractNum>
  <w:abstractNum w:abstractNumId="198" w15:restartNumberingAfterBreak="0">
    <w:nsid w:val="6C455C4C"/>
    <w:multiLevelType w:val="hybridMultilevel"/>
    <w:tmpl w:val="0DB67892"/>
    <w:lvl w:ilvl="0" w:tplc="DE34FD2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F82F18C">
      <w:numFmt w:val="bullet"/>
      <w:lvlText w:val="•"/>
      <w:lvlJc w:val="left"/>
      <w:pPr>
        <w:ind w:left="1710" w:hanging="425"/>
      </w:pPr>
      <w:rPr>
        <w:rFonts w:hint="default"/>
        <w:lang w:val="en-US" w:eastAsia="en-US" w:bidi="ar-SA"/>
      </w:rPr>
    </w:lvl>
    <w:lvl w:ilvl="2" w:tplc="18F00AE4">
      <w:numFmt w:val="bullet"/>
      <w:lvlText w:val="•"/>
      <w:lvlJc w:val="left"/>
      <w:pPr>
        <w:ind w:left="2640" w:hanging="425"/>
      </w:pPr>
      <w:rPr>
        <w:rFonts w:hint="default"/>
        <w:lang w:val="en-US" w:eastAsia="en-US" w:bidi="ar-SA"/>
      </w:rPr>
    </w:lvl>
    <w:lvl w:ilvl="3" w:tplc="36E07708">
      <w:numFmt w:val="bullet"/>
      <w:lvlText w:val="•"/>
      <w:lvlJc w:val="left"/>
      <w:pPr>
        <w:ind w:left="3570" w:hanging="425"/>
      </w:pPr>
      <w:rPr>
        <w:rFonts w:hint="default"/>
        <w:lang w:val="en-US" w:eastAsia="en-US" w:bidi="ar-SA"/>
      </w:rPr>
    </w:lvl>
    <w:lvl w:ilvl="4" w:tplc="D9B491E8">
      <w:numFmt w:val="bullet"/>
      <w:lvlText w:val="•"/>
      <w:lvlJc w:val="left"/>
      <w:pPr>
        <w:ind w:left="4500" w:hanging="425"/>
      </w:pPr>
      <w:rPr>
        <w:rFonts w:hint="default"/>
        <w:lang w:val="en-US" w:eastAsia="en-US" w:bidi="ar-SA"/>
      </w:rPr>
    </w:lvl>
    <w:lvl w:ilvl="5" w:tplc="F73AF4B2">
      <w:numFmt w:val="bullet"/>
      <w:lvlText w:val="•"/>
      <w:lvlJc w:val="left"/>
      <w:pPr>
        <w:ind w:left="5430" w:hanging="425"/>
      </w:pPr>
      <w:rPr>
        <w:rFonts w:hint="default"/>
        <w:lang w:val="en-US" w:eastAsia="en-US" w:bidi="ar-SA"/>
      </w:rPr>
    </w:lvl>
    <w:lvl w:ilvl="6" w:tplc="D9F08314">
      <w:numFmt w:val="bullet"/>
      <w:lvlText w:val="•"/>
      <w:lvlJc w:val="left"/>
      <w:pPr>
        <w:ind w:left="6360" w:hanging="425"/>
      </w:pPr>
      <w:rPr>
        <w:rFonts w:hint="default"/>
        <w:lang w:val="en-US" w:eastAsia="en-US" w:bidi="ar-SA"/>
      </w:rPr>
    </w:lvl>
    <w:lvl w:ilvl="7" w:tplc="2DC8A598">
      <w:numFmt w:val="bullet"/>
      <w:lvlText w:val="•"/>
      <w:lvlJc w:val="left"/>
      <w:pPr>
        <w:ind w:left="7290" w:hanging="425"/>
      </w:pPr>
      <w:rPr>
        <w:rFonts w:hint="default"/>
        <w:lang w:val="en-US" w:eastAsia="en-US" w:bidi="ar-SA"/>
      </w:rPr>
    </w:lvl>
    <w:lvl w:ilvl="8" w:tplc="3B80F43E">
      <w:numFmt w:val="bullet"/>
      <w:lvlText w:val="•"/>
      <w:lvlJc w:val="left"/>
      <w:pPr>
        <w:ind w:left="8220" w:hanging="425"/>
      </w:pPr>
      <w:rPr>
        <w:rFonts w:hint="default"/>
        <w:lang w:val="en-US" w:eastAsia="en-US" w:bidi="ar-SA"/>
      </w:rPr>
    </w:lvl>
  </w:abstractNum>
  <w:abstractNum w:abstractNumId="199" w15:restartNumberingAfterBreak="0">
    <w:nsid w:val="6C8C7EB8"/>
    <w:multiLevelType w:val="hybridMultilevel"/>
    <w:tmpl w:val="5E16F962"/>
    <w:lvl w:ilvl="0" w:tplc="BB9E41D8">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C0204DE">
      <w:numFmt w:val="bullet"/>
      <w:lvlText w:val="•"/>
      <w:lvlJc w:val="left"/>
      <w:pPr>
        <w:ind w:left="1710" w:hanging="425"/>
      </w:pPr>
      <w:rPr>
        <w:rFonts w:hint="default"/>
        <w:lang w:val="en-US" w:eastAsia="en-US" w:bidi="ar-SA"/>
      </w:rPr>
    </w:lvl>
    <w:lvl w:ilvl="2" w:tplc="25C6A5A6">
      <w:numFmt w:val="bullet"/>
      <w:lvlText w:val="•"/>
      <w:lvlJc w:val="left"/>
      <w:pPr>
        <w:ind w:left="2640" w:hanging="425"/>
      </w:pPr>
      <w:rPr>
        <w:rFonts w:hint="default"/>
        <w:lang w:val="en-US" w:eastAsia="en-US" w:bidi="ar-SA"/>
      </w:rPr>
    </w:lvl>
    <w:lvl w:ilvl="3" w:tplc="76341D1E">
      <w:numFmt w:val="bullet"/>
      <w:lvlText w:val="•"/>
      <w:lvlJc w:val="left"/>
      <w:pPr>
        <w:ind w:left="3570" w:hanging="425"/>
      </w:pPr>
      <w:rPr>
        <w:rFonts w:hint="default"/>
        <w:lang w:val="en-US" w:eastAsia="en-US" w:bidi="ar-SA"/>
      </w:rPr>
    </w:lvl>
    <w:lvl w:ilvl="4" w:tplc="5CAA5046">
      <w:numFmt w:val="bullet"/>
      <w:lvlText w:val="•"/>
      <w:lvlJc w:val="left"/>
      <w:pPr>
        <w:ind w:left="4500" w:hanging="425"/>
      </w:pPr>
      <w:rPr>
        <w:rFonts w:hint="default"/>
        <w:lang w:val="en-US" w:eastAsia="en-US" w:bidi="ar-SA"/>
      </w:rPr>
    </w:lvl>
    <w:lvl w:ilvl="5" w:tplc="08BC9576">
      <w:numFmt w:val="bullet"/>
      <w:lvlText w:val="•"/>
      <w:lvlJc w:val="left"/>
      <w:pPr>
        <w:ind w:left="5430" w:hanging="425"/>
      </w:pPr>
      <w:rPr>
        <w:rFonts w:hint="default"/>
        <w:lang w:val="en-US" w:eastAsia="en-US" w:bidi="ar-SA"/>
      </w:rPr>
    </w:lvl>
    <w:lvl w:ilvl="6" w:tplc="43EE95FE">
      <w:numFmt w:val="bullet"/>
      <w:lvlText w:val="•"/>
      <w:lvlJc w:val="left"/>
      <w:pPr>
        <w:ind w:left="6360" w:hanging="425"/>
      </w:pPr>
      <w:rPr>
        <w:rFonts w:hint="default"/>
        <w:lang w:val="en-US" w:eastAsia="en-US" w:bidi="ar-SA"/>
      </w:rPr>
    </w:lvl>
    <w:lvl w:ilvl="7" w:tplc="BD44923C">
      <w:numFmt w:val="bullet"/>
      <w:lvlText w:val="•"/>
      <w:lvlJc w:val="left"/>
      <w:pPr>
        <w:ind w:left="7290" w:hanging="425"/>
      </w:pPr>
      <w:rPr>
        <w:rFonts w:hint="default"/>
        <w:lang w:val="en-US" w:eastAsia="en-US" w:bidi="ar-SA"/>
      </w:rPr>
    </w:lvl>
    <w:lvl w:ilvl="8" w:tplc="A46894D2">
      <w:numFmt w:val="bullet"/>
      <w:lvlText w:val="•"/>
      <w:lvlJc w:val="left"/>
      <w:pPr>
        <w:ind w:left="8220" w:hanging="425"/>
      </w:pPr>
      <w:rPr>
        <w:rFonts w:hint="default"/>
        <w:lang w:val="en-US" w:eastAsia="en-US" w:bidi="ar-SA"/>
      </w:rPr>
    </w:lvl>
  </w:abstractNum>
  <w:abstractNum w:abstractNumId="200" w15:restartNumberingAfterBreak="0">
    <w:nsid w:val="6D215199"/>
    <w:multiLevelType w:val="multilevel"/>
    <w:tmpl w:val="2EEEB4A0"/>
    <w:lvl w:ilvl="0">
      <w:start w:val="5"/>
      <w:numFmt w:val="decimal"/>
      <w:lvlText w:val="%1"/>
      <w:lvlJc w:val="left"/>
      <w:pPr>
        <w:ind w:left="360" w:hanging="803"/>
        <w:jc w:val="left"/>
      </w:pPr>
      <w:rPr>
        <w:rFonts w:hint="default"/>
        <w:lang w:val="en-US" w:eastAsia="en-US" w:bidi="ar-SA"/>
      </w:rPr>
    </w:lvl>
    <w:lvl w:ilvl="1">
      <w:numFmt w:val="decimal"/>
      <w:lvlText w:val="%1.%2"/>
      <w:lvlJc w:val="left"/>
      <w:pPr>
        <w:ind w:left="360" w:hanging="803"/>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803"/>
      </w:pPr>
      <w:rPr>
        <w:rFonts w:hint="default"/>
        <w:lang w:val="en-US" w:eastAsia="en-US" w:bidi="ar-SA"/>
      </w:rPr>
    </w:lvl>
    <w:lvl w:ilvl="3">
      <w:numFmt w:val="bullet"/>
      <w:lvlText w:val="•"/>
      <w:lvlJc w:val="left"/>
      <w:pPr>
        <w:ind w:left="3276" w:hanging="803"/>
      </w:pPr>
      <w:rPr>
        <w:rFonts w:hint="default"/>
        <w:lang w:val="en-US" w:eastAsia="en-US" w:bidi="ar-SA"/>
      </w:rPr>
    </w:lvl>
    <w:lvl w:ilvl="4">
      <w:numFmt w:val="bullet"/>
      <w:lvlText w:val="•"/>
      <w:lvlJc w:val="left"/>
      <w:pPr>
        <w:ind w:left="4248" w:hanging="803"/>
      </w:pPr>
      <w:rPr>
        <w:rFonts w:hint="default"/>
        <w:lang w:val="en-US" w:eastAsia="en-US" w:bidi="ar-SA"/>
      </w:rPr>
    </w:lvl>
    <w:lvl w:ilvl="5">
      <w:numFmt w:val="bullet"/>
      <w:lvlText w:val="•"/>
      <w:lvlJc w:val="left"/>
      <w:pPr>
        <w:ind w:left="5220" w:hanging="803"/>
      </w:pPr>
      <w:rPr>
        <w:rFonts w:hint="default"/>
        <w:lang w:val="en-US" w:eastAsia="en-US" w:bidi="ar-SA"/>
      </w:rPr>
    </w:lvl>
    <w:lvl w:ilvl="6">
      <w:numFmt w:val="bullet"/>
      <w:lvlText w:val="•"/>
      <w:lvlJc w:val="left"/>
      <w:pPr>
        <w:ind w:left="6192" w:hanging="803"/>
      </w:pPr>
      <w:rPr>
        <w:rFonts w:hint="default"/>
        <w:lang w:val="en-US" w:eastAsia="en-US" w:bidi="ar-SA"/>
      </w:rPr>
    </w:lvl>
    <w:lvl w:ilvl="7">
      <w:numFmt w:val="bullet"/>
      <w:lvlText w:val="•"/>
      <w:lvlJc w:val="left"/>
      <w:pPr>
        <w:ind w:left="7164" w:hanging="803"/>
      </w:pPr>
      <w:rPr>
        <w:rFonts w:hint="default"/>
        <w:lang w:val="en-US" w:eastAsia="en-US" w:bidi="ar-SA"/>
      </w:rPr>
    </w:lvl>
    <w:lvl w:ilvl="8">
      <w:numFmt w:val="bullet"/>
      <w:lvlText w:val="•"/>
      <w:lvlJc w:val="left"/>
      <w:pPr>
        <w:ind w:left="8136" w:hanging="803"/>
      </w:pPr>
      <w:rPr>
        <w:rFonts w:hint="default"/>
        <w:lang w:val="en-US" w:eastAsia="en-US" w:bidi="ar-SA"/>
      </w:rPr>
    </w:lvl>
  </w:abstractNum>
  <w:abstractNum w:abstractNumId="201" w15:restartNumberingAfterBreak="0">
    <w:nsid w:val="6DDC6709"/>
    <w:multiLevelType w:val="hybridMultilevel"/>
    <w:tmpl w:val="0F048FB8"/>
    <w:lvl w:ilvl="0" w:tplc="E8FCA6D2">
      <w:start w:val="1"/>
      <w:numFmt w:val="decimal"/>
      <w:lvlText w:val="%1."/>
      <w:lvlJc w:val="left"/>
      <w:pPr>
        <w:ind w:left="3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D76A894">
      <w:start w:val="1"/>
      <w:numFmt w:val="lowerLetter"/>
      <w:lvlText w:val="%2."/>
      <w:lvlJc w:val="left"/>
      <w:pPr>
        <w:ind w:left="793" w:hanging="434"/>
        <w:jc w:val="left"/>
      </w:pPr>
      <w:rPr>
        <w:rFonts w:ascii="Times New Roman" w:eastAsia="Times New Roman" w:hAnsi="Times New Roman" w:cs="Times New Roman" w:hint="default"/>
        <w:b w:val="0"/>
        <w:bCs w:val="0"/>
        <w:i w:val="0"/>
        <w:iCs w:val="0"/>
        <w:spacing w:val="-1"/>
        <w:w w:val="90"/>
        <w:sz w:val="30"/>
        <w:szCs w:val="30"/>
        <w:lang w:val="en-US" w:eastAsia="en-US" w:bidi="ar-SA"/>
      </w:rPr>
    </w:lvl>
    <w:lvl w:ilvl="2" w:tplc="D170553A">
      <w:numFmt w:val="bullet"/>
      <w:lvlText w:val="•"/>
      <w:lvlJc w:val="left"/>
      <w:pPr>
        <w:ind w:left="800" w:hanging="434"/>
      </w:pPr>
      <w:rPr>
        <w:rFonts w:hint="default"/>
        <w:lang w:val="en-US" w:eastAsia="en-US" w:bidi="ar-SA"/>
      </w:rPr>
    </w:lvl>
    <w:lvl w:ilvl="3" w:tplc="2DE2A05E">
      <w:numFmt w:val="bullet"/>
      <w:lvlText w:val="•"/>
      <w:lvlJc w:val="left"/>
      <w:pPr>
        <w:ind w:left="1960" w:hanging="434"/>
      </w:pPr>
      <w:rPr>
        <w:rFonts w:hint="default"/>
        <w:lang w:val="en-US" w:eastAsia="en-US" w:bidi="ar-SA"/>
      </w:rPr>
    </w:lvl>
    <w:lvl w:ilvl="4" w:tplc="CA84B270">
      <w:numFmt w:val="bullet"/>
      <w:lvlText w:val="•"/>
      <w:lvlJc w:val="left"/>
      <w:pPr>
        <w:ind w:left="3120" w:hanging="434"/>
      </w:pPr>
      <w:rPr>
        <w:rFonts w:hint="default"/>
        <w:lang w:val="en-US" w:eastAsia="en-US" w:bidi="ar-SA"/>
      </w:rPr>
    </w:lvl>
    <w:lvl w:ilvl="5" w:tplc="01047040">
      <w:numFmt w:val="bullet"/>
      <w:lvlText w:val="•"/>
      <w:lvlJc w:val="left"/>
      <w:pPr>
        <w:ind w:left="4280" w:hanging="434"/>
      </w:pPr>
      <w:rPr>
        <w:rFonts w:hint="default"/>
        <w:lang w:val="en-US" w:eastAsia="en-US" w:bidi="ar-SA"/>
      </w:rPr>
    </w:lvl>
    <w:lvl w:ilvl="6" w:tplc="EAA8B41C">
      <w:numFmt w:val="bullet"/>
      <w:lvlText w:val="•"/>
      <w:lvlJc w:val="left"/>
      <w:pPr>
        <w:ind w:left="5440" w:hanging="434"/>
      </w:pPr>
      <w:rPr>
        <w:rFonts w:hint="default"/>
        <w:lang w:val="en-US" w:eastAsia="en-US" w:bidi="ar-SA"/>
      </w:rPr>
    </w:lvl>
    <w:lvl w:ilvl="7" w:tplc="2AAC70AC">
      <w:numFmt w:val="bullet"/>
      <w:lvlText w:val="•"/>
      <w:lvlJc w:val="left"/>
      <w:pPr>
        <w:ind w:left="6600" w:hanging="434"/>
      </w:pPr>
      <w:rPr>
        <w:rFonts w:hint="default"/>
        <w:lang w:val="en-US" w:eastAsia="en-US" w:bidi="ar-SA"/>
      </w:rPr>
    </w:lvl>
    <w:lvl w:ilvl="8" w:tplc="FBF48364">
      <w:numFmt w:val="bullet"/>
      <w:lvlText w:val="•"/>
      <w:lvlJc w:val="left"/>
      <w:pPr>
        <w:ind w:left="7760" w:hanging="434"/>
      </w:pPr>
      <w:rPr>
        <w:rFonts w:hint="default"/>
        <w:lang w:val="en-US" w:eastAsia="en-US" w:bidi="ar-SA"/>
      </w:rPr>
    </w:lvl>
  </w:abstractNum>
  <w:abstractNum w:abstractNumId="202" w15:restartNumberingAfterBreak="0">
    <w:nsid w:val="6E55124C"/>
    <w:multiLevelType w:val="hybridMultilevel"/>
    <w:tmpl w:val="29261654"/>
    <w:lvl w:ilvl="0" w:tplc="EB4093E4">
      <w:start w:val="1"/>
      <w:numFmt w:val="decimal"/>
      <w:lvlText w:val="(%1)"/>
      <w:lvlJc w:val="left"/>
      <w:pPr>
        <w:ind w:left="720" w:hanging="51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BC0DE20">
      <w:numFmt w:val="bullet"/>
      <w:lvlText w:val="•"/>
      <w:lvlJc w:val="left"/>
      <w:pPr>
        <w:ind w:left="1656" w:hanging="519"/>
      </w:pPr>
      <w:rPr>
        <w:rFonts w:hint="default"/>
        <w:lang w:val="en-US" w:eastAsia="en-US" w:bidi="ar-SA"/>
      </w:rPr>
    </w:lvl>
    <w:lvl w:ilvl="2" w:tplc="F8D4A264">
      <w:numFmt w:val="bullet"/>
      <w:lvlText w:val="•"/>
      <w:lvlJc w:val="left"/>
      <w:pPr>
        <w:ind w:left="2592" w:hanging="519"/>
      </w:pPr>
      <w:rPr>
        <w:rFonts w:hint="default"/>
        <w:lang w:val="en-US" w:eastAsia="en-US" w:bidi="ar-SA"/>
      </w:rPr>
    </w:lvl>
    <w:lvl w:ilvl="3" w:tplc="85D83A3E">
      <w:numFmt w:val="bullet"/>
      <w:lvlText w:val="•"/>
      <w:lvlJc w:val="left"/>
      <w:pPr>
        <w:ind w:left="3528" w:hanging="519"/>
      </w:pPr>
      <w:rPr>
        <w:rFonts w:hint="default"/>
        <w:lang w:val="en-US" w:eastAsia="en-US" w:bidi="ar-SA"/>
      </w:rPr>
    </w:lvl>
    <w:lvl w:ilvl="4" w:tplc="CD4C78CC">
      <w:numFmt w:val="bullet"/>
      <w:lvlText w:val="•"/>
      <w:lvlJc w:val="left"/>
      <w:pPr>
        <w:ind w:left="4464" w:hanging="519"/>
      </w:pPr>
      <w:rPr>
        <w:rFonts w:hint="default"/>
        <w:lang w:val="en-US" w:eastAsia="en-US" w:bidi="ar-SA"/>
      </w:rPr>
    </w:lvl>
    <w:lvl w:ilvl="5" w:tplc="8D9640C4">
      <w:numFmt w:val="bullet"/>
      <w:lvlText w:val="•"/>
      <w:lvlJc w:val="left"/>
      <w:pPr>
        <w:ind w:left="5400" w:hanging="519"/>
      </w:pPr>
      <w:rPr>
        <w:rFonts w:hint="default"/>
        <w:lang w:val="en-US" w:eastAsia="en-US" w:bidi="ar-SA"/>
      </w:rPr>
    </w:lvl>
    <w:lvl w:ilvl="6" w:tplc="EDEE5B9C">
      <w:numFmt w:val="bullet"/>
      <w:lvlText w:val="•"/>
      <w:lvlJc w:val="left"/>
      <w:pPr>
        <w:ind w:left="6336" w:hanging="519"/>
      </w:pPr>
      <w:rPr>
        <w:rFonts w:hint="default"/>
        <w:lang w:val="en-US" w:eastAsia="en-US" w:bidi="ar-SA"/>
      </w:rPr>
    </w:lvl>
    <w:lvl w:ilvl="7" w:tplc="F7DAF492">
      <w:numFmt w:val="bullet"/>
      <w:lvlText w:val="•"/>
      <w:lvlJc w:val="left"/>
      <w:pPr>
        <w:ind w:left="7272" w:hanging="519"/>
      </w:pPr>
      <w:rPr>
        <w:rFonts w:hint="default"/>
        <w:lang w:val="en-US" w:eastAsia="en-US" w:bidi="ar-SA"/>
      </w:rPr>
    </w:lvl>
    <w:lvl w:ilvl="8" w:tplc="46C8C8F2">
      <w:numFmt w:val="bullet"/>
      <w:lvlText w:val="•"/>
      <w:lvlJc w:val="left"/>
      <w:pPr>
        <w:ind w:left="8208" w:hanging="519"/>
      </w:pPr>
      <w:rPr>
        <w:rFonts w:hint="default"/>
        <w:lang w:val="en-US" w:eastAsia="en-US" w:bidi="ar-SA"/>
      </w:rPr>
    </w:lvl>
  </w:abstractNum>
  <w:abstractNum w:abstractNumId="203" w15:restartNumberingAfterBreak="0">
    <w:nsid w:val="6EA75DEF"/>
    <w:multiLevelType w:val="multilevel"/>
    <w:tmpl w:val="A3101A78"/>
    <w:lvl w:ilvl="0">
      <w:start w:val="8"/>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1136" w:hanging="777"/>
        <w:jc w:val="left"/>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126" w:hanging="777"/>
      </w:pPr>
      <w:rPr>
        <w:rFonts w:hint="default"/>
        <w:lang w:val="en-US" w:eastAsia="en-US" w:bidi="ar-SA"/>
      </w:rPr>
    </w:lvl>
    <w:lvl w:ilvl="4">
      <w:numFmt w:val="bullet"/>
      <w:lvlText w:val="•"/>
      <w:lvlJc w:val="left"/>
      <w:pPr>
        <w:ind w:left="4120" w:hanging="777"/>
      </w:pPr>
      <w:rPr>
        <w:rFonts w:hint="default"/>
        <w:lang w:val="en-US" w:eastAsia="en-US" w:bidi="ar-SA"/>
      </w:rPr>
    </w:lvl>
    <w:lvl w:ilvl="5">
      <w:numFmt w:val="bullet"/>
      <w:lvlText w:val="•"/>
      <w:lvlJc w:val="left"/>
      <w:pPr>
        <w:ind w:left="5113" w:hanging="777"/>
      </w:pPr>
      <w:rPr>
        <w:rFonts w:hint="default"/>
        <w:lang w:val="en-US" w:eastAsia="en-US" w:bidi="ar-SA"/>
      </w:rPr>
    </w:lvl>
    <w:lvl w:ilvl="6">
      <w:numFmt w:val="bullet"/>
      <w:lvlText w:val="•"/>
      <w:lvlJc w:val="left"/>
      <w:pPr>
        <w:ind w:left="6106" w:hanging="777"/>
      </w:pPr>
      <w:rPr>
        <w:rFonts w:hint="default"/>
        <w:lang w:val="en-US" w:eastAsia="en-US" w:bidi="ar-SA"/>
      </w:rPr>
    </w:lvl>
    <w:lvl w:ilvl="7">
      <w:numFmt w:val="bullet"/>
      <w:lvlText w:val="•"/>
      <w:lvlJc w:val="left"/>
      <w:pPr>
        <w:ind w:left="7100" w:hanging="777"/>
      </w:pPr>
      <w:rPr>
        <w:rFonts w:hint="default"/>
        <w:lang w:val="en-US" w:eastAsia="en-US" w:bidi="ar-SA"/>
      </w:rPr>
    </w:lvl>
    <w:lvl w:ilvl="8">
      <w:numFmt w:val="bullet"/>
      <w:lvlText w:val="•"/>
      <w:lvlJc w:val="left"/>
      <w:pPr>
        <w:ind w:left="8093" w:hanging="777"/>
      </w:pPr>
      <w:rPr>
        <w:rFonts w:hint="default"/>
        <w:lang w:val="en-US" w:eastAsia="en-US" w:bidi="ar-SA"/>
      </w:rPr>
    </w:lvl>
  </w:abstractNum>
  <w:abstractNum w:abstractNumId="204" w15:restartNumberingAfterBreak="0">
    <w:nsid w:val="6FFB32A2"/>
    <w:multiLevelType w:val="hybridMultilevel"/>
    <w:tmpl w:val="72F6D782"/>
    <w:lvl w:ilvl="0" w:tplc="26642FAC">
      <w:start w:val="1"/>
      <w:numFmt w:val="decimal"/>
      <w:lvlText w:val="(%1)"/>
      <w:lvlJc w:val="left"/>
      <w:pPr>
        <w:ind w:left="78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7F876DE">
      <w:numFmt w:val="bullet"/>
      <w:lvlText w:val="•"/>
      <w:lvlJc w:val="left"/>
      <w:pPr>
        <w:ind w:left="1710" w:hanging="425"/>
      </w:pPr>
      <w:rPr>
        <w:rFonts w:hint="default"/>
        <w:lang w:val="en-US" w:eastAsia="en-US" w:bidi="ar-SA"/>
      </w:rPr>
    </w:lvl>
    <w:lvl w:ilvl="2" w:tplc="8E1A1FCE">
      <w:numFmt w:val="bullet"/>
      <w:lvlText w:val="•"/>
      <w:lvlJc w:val="left"/>
      <w:pPr>
        <w:ind w:left="2640" w:hanging="425"/>
      </w:pPr>
      <w:rPr>
        <w:rFonts w:hint="default"/>
        <w:lang w:val="en-US" w:eastAsia="en-US" w:bidi="ar-SA"/>
      </w:rPr>
    </w:lvl>
    <w:lvl w:ilvl="3" w:tplc="7958B27A">
      <w:numFmt w:val="bullet"/>
      <w:lvlText w:val="•"/>
      <w:lvlJc w:val="left"/>
      <w:pPr>
        <w:ind w:left="3570" w:hanging="425"/>
      </w:pPr>
      <w:rPr>
        <w:rFonts w:hint="default"/>
        <w:lang w:val="en-US" w:eastAsia="en-US" w:bidi="ar-SA"/>
      </w:rPr>
    </w:lvl>
    <w:lvl w:ilvl="4" w:tplc="81D67E46">
      <w:numFmt w:val="bullet"/>
      <w:lvlText w:val="•"/>
      <w:lvlJc w:val="left"/>
      <w:pPr>
        <w:ind w:left="4500" w:hanging="425"/>
      </w:pPr>
      <w:rPr>
        <w:rFonts w:hint="default"/>
        <w:lang w:val="en-US" w:eastAsia="en-US" w:bidi="ar-SA"/>
      </w:rPr>
    </w:lvl>
    <w:lvl w:ilvl="5" w:tplc="D652C884">
      <w:numFmt w:val="bullet"/>
      <w:lvlText w:val="•"/>
      <w:lvlJc w:val="left"/>
      <w:pPr>
        <w:ind w:left="5430" w:hanging="425"/>
      </w:pPr>
      <w:rPr>
        <w:rFonts w:hint="default"/>
        <w:lang w:val="en-US" w:eastAsia="en-US" w:bidi="ar-SA"/>
      </w:rPr>
    </w:lvl>
    <w:lvl w:ilvl="6" w:tplc="03E026B8">
      <w:numFmt w:val="bullet"/>
      <w:lvlText w:val="•"/>
      <w:lvlJc w:val="left"/>
      <w:pPr>
        <w:ind w:left="6360" w:hanging="425"/>
      </w:pPr>
      <w:rPr>
        <w:rFonts w:hint="default"/>
        <w:lang w:val="en-US" w:eastAsia="en-US" w:bidi="ar-SA"/>
      </w:rPr>
    </w:lvl>
    <w:lvl w:ilvl="7" w:tplc="BE10F4B2">
      <w:numFmt w:val="bullet"/>
      <w:lvlText w:val="•"/>
      <w:lvlJc w:val="left"/>
      <w:pPr>
        <w:ind w:left="7290" w:hanging="425"/>
      </w:pPr>
      <w:rPr>
        <w:rFonts w:hint="default"/>
        <w:lang w:val="en-US" w:eastAsia="en-US" w:bidi="ar-SA"/>
      </w:rPr>
    </w:lvl>
    <w:lvl w:ilvl="8" w:tplc="FC48F1BC">
      <w:numFmt w:val="bullet"/>
      <w:lvlText w:val="•"/>
      <w:lvlJc w:val="left"/>
      <w:pPr>
        <w:ind w:left="8220" w:hanging="425"/>
      </w:pPr>
      <w:rPr>
        <w:rFonts w:hint="default"/>
        <w:lang w:val="en-US" w:eastAsia="en-US" w:bidi="ar-SA"/>
      </w:rPr>
    </w:lvl>
  </w:abstractNum>
  <w:abstractNum w:abstractNumId="205" w15:restartNumberingAfterBreak="0">
    <w:nsid w:val="71244AEB"/>
    <w:multiLevelType w:val="hybridMultilevel"/>
    <w:tmpl w:val="AD006824"/>
    <w:lvl w:ilvl="0" w:tplc="B1F0DDD2">
      <w:start w:val="1"/>
      <w:numFmt w:val="lowerRoman"/>
      <w:lvlText w:val="(%1)"/>
      <w:lvlJc w:val="left"/>
      <w:pPr>
        <w:ind w:left="717" w:hanging="3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01C6AEE">
      <w:numFmt w:val="bullet"/>
      <w:lvlText w:val="•"/>
      <w:lvlJc w:val="left"/>
      <w:pPr>
        <w:ind w:left="1656" w:hanging="358"/>
      </w:pPr>
      <w:rPr>
        <w:rFonts w:hint="default"/>
        <w:lang w:val="en-US" w:eastAsia="en-US" w:bidi="ar-SA"/>
      </w:rPr>
    </w:lvl>
    <w:lvl w:ilvl="2" w:tplc="B65A2DD4">
      <w:numFmt w:val="bullet"/>
      <w:lvlText w:val="•"/>
      <w:lvlJc w:val="left"/>
      <w:pPr>
        <w:ind w:left="2592" w:hanging="358"/>
      </w:pPr>
      <w:rPr>
        <w:rFonts w:hint="default"/>
        <w:lang w:val="en-US" w:eastAsia="en-US" w:bidi="ar-SA"/>
      </w:rPr>
    </w:lvl>
    <w:lvl w:ilvl="3" w:tplc="94F61126">
      <w:numFmt w:val="bullet"/>
      <w:lvlText w:val="•"/>
      <w:lvlJc w:val="left"/>
      <w:pPr>
        <w:ind w:left="3528" w:hanging="358"/>
      </w:pPr>
      <w:rPr>
        <w:rFonts w:hint="default"/>
        <w:lang w:val="en-US" w:eastAsia="en-US" w:bidi="ar-SA"/>
      </w:rPr>
    </w:lvl>
    <w:lvl w:ilvl="4" w:tplc="5C30F8CE">
      <w:numFmt w:val="bullet"/>
      <w:lvlText w:val="•"/>
      <w:lvlJc w:val="left"/>
      <w:pPr>
        <w:ind w:left="4464" w:hanging="358"/>
      </w:pPr>
      <w:rPr>
        <w:rFonts w:hint="default"/>
        <w:lang w:val="en-US" w:eastAsia="en-US" w:bidi="ar-SA"/>
      </w:rPr>
    </w:lvl>
    <w:lvl w:ilvl="5" w:tplc="C016B960">
      <w:numFmt w:val="bullet"/>
      <w:lvlText w:val="•"/>
      <w:lvlJc w:val="left"/>
      <w:pPr>
        <w:ind w:left="5400" w:hanging="358"/>
      </w:pPr>
      <w:rPr>
        <w:rFonts w:hint="default"/>
        <w:lang w:val="en-US" w:eastAsia="en-US" w:bidi="ar-SA"/>
      </w:rPr>
    </w:lvl>
    <w:lvl w:ilvl="6" w:tplc="4F10ABEC">
      <w:numFmt w:val="bullet"/>
      <w:lvlText w:val="•"/>
      <w:lvlJc w:val="left"/>
      <w:pPr>
        <w:ind w:left="6336" w:hanging="358"/>
      </w:pPr>
      <w:rPr>
        <w:rFonts w:hint="default"/>
        <w:lang w:val="en-US" w:eastAsia="en-US" w:bidi="ar-SA"/>
      </w:rPr>
    </w:lvl>
    <w:lvl w:ilvl="7" w:tplc="27D21376">
      <w:numFmt w:val="bullet"/>
      <w:lvlText w:val="•"/>
      <w:lvlJc w:val="left"/>
      <w:pPr>
        <w:ind w:left="7272" w:hanging="358"/>
      </w:pPr>
      <w:rPr>
        <w:rFonts w:hint="default"/>
        <w:lang w:val="en-US" w:eastAsia="en-US" w:bidi="ar-SA"/>
      </w:rPr>
    </w:lvl>
    <w:lvl w:ilvl="8" w:tplc="FC1C7732">
      <w:numFmt w:val="bullet"/>
      <w:lvlText w:val="•"/>
      <w:lvlJc w:val="left"/>
      <w:pPr>
        <w:ind w:left="8208" w:hanging="358"/>
      </w:pPr>
      <w:rPr>
        <w:rFonts w:hint="default"/>
        <w:lang w:val="en-US" w:eastAsia="en-US" w:bidi="ar-SA"/>
      </w:rPr>
    </w:lvl>
  </w:abstractNum>
  <w:abstractNum w:abstractNumId="206" w15:restartNumberingAfterBreak="0">
    <w:nsid w:val="722840F5"/>
    <w:multiLevelType w:val="hybridMultilevel"/>
    <w:tmpl w:val="937CA6B2"/>
    <w:lvl w:ilvl="0" w:tplc="79C86C6A">
      <w:start w:val="1"/>
      <w:numFmt w:val="decimal"/>
      <w:lvlText w:val="%1."/>
      <w:lvlJc w:val="left"/>
      <w:pPr>
        <w:ind w:left="72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BA562D38">
      <w:numFmt w:val="bullet"/>
      <w:lvlText w:val="•"/>
      <w:lvlJc w:val="left"/>
      <w:pPr>
        <w:ind w:left="1656" w:hanging="300"/>
      </w:pPr>
      <w:rPr>
        <w:rFonts w:hint="default"/>
        <w:lang w:val="en-US" w:eastAsia="en-US" w:bidi="ar-SA"/>
      </w:rPr>
    </w:lvl>
    <w:lvl w:ilvl="2" w:tplc="2D76501E">
      <w:numFmt w:val="bullet"/>
      <w:lvlText w:val="•"/>
      <w:lvlJc w:val="left"/>
      <w:pPr>
        <w:ind w:left="2592" w:hanging="300"/>
      </w:pPr>
      <w:rPr>
        <w:rFonts w:hint="default"/>
        <w:lang w:val="en-US" w:eastAsia="en-US" w:bidi="ar-SA"/>
      </w:rPr>
    </w:lvl>
    <w:lvl w:ilvl="3" w:tplc="0EE81726">
      <w:numFmt w:val="bullet"/>
      <w:lvlText w:val="•"/>
      <w:lvlJc w:val="left"/>
      <w:pPr>
        <w:ind w:left="3528" w:hanging="300"/>
      </w:pPr>
      <w:rPr>
        <w:rFonts w:hint="default"/>
        <w:lang w:val="en-US" w:eastAsia="en-US" w:bidi="ar-SA"/>
      </w:rPr>
    </w:lvl>
    <w:lvl w:ilvl="4" w:tplc="59882758">
      <w:numFmt w:val="bullet"/>
      <w:lvlText w:val="•"/>
      <w:lvlJc w:val="left"/>
      <w:pPr>
        <w:ind w:left="4464" w:hanging="300"/>
      </w:pPr>
      <w:rPr>
        <w:rFonts w:hint="default"/>
        <w:lang w:val="en-US" w:eastAsia="en-US" w:bidi="ar-SA"/>
      </w:rPr>
    </w:lvl>
    <w:lvl w:ilvl="5" w:tplc="A89CD75A">
      <w:numFmt w:val="bullet"/>
      <w:lvlText w:val="•"/>
      <w:lvlJc w:val="left"/>
      <w:pPr>
        <w:ind w:left="5400" w:hanging="300"/>
      </w:pPr>
      <w:rPr>
        <w:rFonts w:hint="default"/>
        <w:lang w:val="en-US" w:eastAsia="en-US" w:bidi="ar-SA"/>
      </w:rPr>
    </w:lvl>
    <w:lvl w:ilvl="6" w:tplc="274283C6">
      <w:numFmt w:val="bullet"/>
      <w:lvlText w:val="•"/>
      <w:lvlJc w:val="left"/>
      <w:pPr>
        <w:ind w:left="6336" w:hanging="300"/>
      </w:pPr>
      <w:rPr>
        <w:rFonts w:hint="default"/>
        <w:lang w:val="en-US" w:eastAsia="en-US" w:bidi="ar-SA"/>
      </w:rPr>
    </w:lvl>
    <w:lvl w:ilvl="7" w:tplc="B8BA65EC">
      <w:numFmt w:val="bullet"/>
      <w:lvlText w:val="•"/>
      <w:lvlJc w:val="left"/>
      <w:pPr>
        <w:ind w:left="7272" w:hanging="300"/>
      </w:pPr>
      <w:rPr>
        <w:rFonts w:hint="default"/>
        <w:lang w:val="en-US" w:eastAsia="en-US" w:bidi="ar-SA"/>
      </w:rPr>
    </w:lvl>
    <w:lvl w:ilvl="8" w:tplc="9102601C">
      <w:numFmt w:val="bullet"/>
      <w:lvlText w:val="•"/>
      <w:lvlJc w:val="left"/>
      <w:pPr>
        <w:ind w:left="8208" w:hanging="300"/>
      </w:pPr>
      <w:rPr>
        <w:rFonts w:hint="default"/>
        <w:lang w:val="en-US" w:eastAsia="en-US" w:bidi="ar-SA"/>
      </w:rPr>
    </w:lvl>
  </w:abstractNum>
  <w:abstractNum w:abstractNumId="207" w15:restartNumberingAfterBreak="0">
    <w:nsid w:val="72381F1D"/>
    <w:multiLevelType w:val="multilevel"/>
    <w:tmpl w:val="8C48348E"/>
    <w:lvl w:ilvl="0">
      <w:start w:val="6"/>
      <w:numFmt w:val="decimal"/>
      <w:lvlText w:val="%1"/>
      <w:lvlJc w:val="left"/>
      <w:pPr>
        <w:ind w:left="1305" w:hanging="945"/>
        <w:jc w:val="left"/>
      </w:pPr>
      <w:rPr>
        <w:rFonts w:hint="default"/>
        <w:lang w:val="en-US" w:eastAsia="en-US" w:bidi="ar-SA"/>
      </w:rPr>
    </w:lvl>
    <w:lvl w:ilvl="1">
      <w:start w:val="2"/>
      <w:numFmt w:val="decimal"/>
      <w:lvlText w:val="%1.%2"/>
      <w:lvlJc w:val="left"/>
      <w:pPr>
        <w:ind w:left="1305" w:hanging="945"/>
        <w:jc w:val="left"/>
      </w:pPr>
      <w:rPr>
        <w:rFonts w:hint="default"/>
        <w:lang w:val="en-US" w:eastAsia="en-US" w:bidi="ar-SA"/>
      </w:rPr>
    </w:lvl>
    <w:lvl w:ilvl="2">
      <w:start w:val="1"/>
      <w:numFmt w:val="decimal"/>
      <w:lvlText w:val="%1.%2.%3"/>
      <w:lvlJc w:val="left"/>
      <w:pPr>
        <w:ind w:left="1305" w:hanging="945"/>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934" w:hanging="945"/>
      </w:pPr>
      <w:rPr>
        <w:rFonts w:hint="default"/>
        <w:lang w:val="en-US" w:eastAsia="en-US" w:bidi="ar-SA"/>
      </w:rPr>
    </w:lvl>
    <w:lvl w:ilvl="4">
      <w:numFmt w:val="bullet"/>
      <w:lvlText w:val="•"/>
      <w:lvlJc w:val="left"/>
      <w:pPr>
        <w:ind w:left="4812" w:hanging="945"/>
      </w:pPr>
      <w:rPr>
        <w:rFonts w:hint="default"/>
        <w:lang w:val="en-US" w:eastAsia="en-US" w:bidi="ar-SA"/>
      </w:rPr>
    </w:lvl>
    <w:lvl w:ilvl="5">
      <w:numFmt w:val="bullet"/>
      <w:lvlText w:val="•"/>
      <w:lvlJc w:val="left"/>
      <w:pPr>
        <w:ind w:left="5690" w:hanging="945"/>
      </w:pPr>
      <w:rPr>
        <w:rFonts w:hint="default"/>
        <w:lang w:val="en-US" w:eastAsia="en-US" w:bidi="ar-SA"/>
      </w:rPr>
    </w:lvl>
    <w:lvl w:ilvl="6">
      <w:numFmt w:val="bullet"/>
      <w:lvlText w:val="•"/>
      <w:lvlJc w:val="left"/>
      <w:pPr>
        <w:ind w:left="6568" w:hanging="945"/>
      </w:pPr>
      <w:rPr>
        <w:rFonts w:hint="default"/>
        <w:lang w:val="en-US" w:eastAsia="en-US" w:bidi="ar-SA"/>
      </w:rPr>
    </w:lvl>
    <w:lvl w:ilvl="7">
      <w:numFmt w:val="bullet"/>
      <w:lvlText w:val="•"/>
      <w:lvlJc w:val="left"/>
      <w:pPr>
        <w:ind w:left="7446" w:hanging="945"/>
      </w:pPr>
      <w:rPr>
        <w:rFonts w:hint="default"/>
        <w:lang w:val="en-US" w:eastAsia="en-US" w:bidi="ar-SA"/>
      </w:rPr>
    </w:lvl>
    <w:lvl w:ilvl="8">
      <w:numFmt w:val="bullet"/>
      <w:lvlText w:val="•"/>
      <w:lvlJc w:val="left"/>
      <w:pPr>
        <w:ind w:left="8324" w:hanging="945"/>
      </w:pPr>
      <w:rPr>
        <w:rFonts w:hint="default"/>
        <w:lang w:val="en-US" w:eastAsia="en-US" w:bidi="ar-SA"/>
      </w:rPr>
    </w:lvl>
  </w:abstractNum>
  <w:abstractNum w:abstractNumId="208" w15:restartNumberingAfterBreak="0">
    <w:nsid w:val="72771846"/>
    <w:multiLevelType w:val="hybridMultilevel"/>
    <w:tmpl w:val="C9BCDC60"/>
    <w:lvl w:ilvl="0" w:tplc="F8F21C30">
      <w:start w:val="1"/>
      <w:numFmt w:val="upperLetter"/>
      <w:lvlText w:val="(%1)"/>
      <w:lvlJc w:val="left"/>
      <w:pPr>
        <w:ind w:left="851" w:hanging="49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66A1D2E">
      <w:numFmt w:val="bullet"/>
      <w:lvlText w:val="•"/>
      <w:lvlJc w:val="left"/>
      <w:pPr>
        <w:ind w:left="1782" w:hanging="492"/>
      </w:pPr>
      <w:rPr>
        <w:rFonts w:hint="default"/>
        <w:lang w:val="en-US" w:eastAsia="en-US" w:bidi="ar-SA"/>
      </w:rPr>
    </w:lvl>
    <w:lvl w:ilvl="2" w:tplc="E408B8B0">
      <w:numFmt w:val="bullet"/>
      <w:lvlText w:val="•"/>
      <w:lvlJc w:val="left"/>
      <w:pPr>
        <w:ind w:left="2704" w:hanging="492"/>
      </w:pPr>
      <w:rPr>
        <w:rFonts w:hint="default"/>
        <w:lang w:val="en-US" w:eastAsia="en-US" w:bidi="ar-SA"/>
      </w:rPr>
    </w:lvl>
    <w:lvl w:ilvl="3" w:tplc="C630A410">
      <w:numFmt w:val="bullet"/>
      <w:lvlText w:val="•"/>
      <w:lvlJc w:val="left"/>
      <w:pPr>
        <w:ind w:left="3626" w:hanging="492"/>
      </w:pPr>
      <w:rPr>
        <w:rFonts w:hint="default"/>
        <w:lang w:val="en-US" w:eastAsia="en-US" w:bidi="ar-SA"/>
      </w:rPr>
    </w:lvl>
    <w:lvl w:ilvl="4" w:tplc="781EA40A">
      <w:numFmt w:val="bullet"/>
      <w:lvlText w:val="•"/>
      <w:lvlJc w:val="left"/>
      <w:pPr>
        <w:ind w:left="4548" w:hanging="492"/>
      </w:pPr>
      <w:rPr>
        <w:rFonts w:hint="default"/>
        <w:lang w:val="en-US" w:eastAsia="en-US" w:bidi="ar-SA"/>
      </w:rPr>
    </w:lvl>
    <w:lvl w:ilvl="5" w:tplc="AA18DE04">
      <w:numFmt w:val="bullet"/>
      <w:lvlText w:val="•"/>
      <w:lvlJc w:val="left"/>
      <w:pPr>
        <w:ind w:left="5470" w:hanging="492"/>
      </w:pPr>
      <w:rPr>
        <w:rFonts w:hint="default"/>
        <w:lang w:val="en-US" w:eastAsia="en-US" w:bidi="ar-SA"/>
      </w:rPr>
    </w:lvl>
    <w:lvl w:ilvl="6" w:tplc="E4CAA9AE">
      <w:numFmt w:val="bullet"/>
      <w:lvlText w:val="•"/>
      <w:lvlJc w:val="left"/>
      <w:pPr>
        <w:ind w:left="6392" w:hanging="492"/>
      </w:pPr>
      <w:rPr>
        <w:rFonts w:hint="default"/>
        <w:lang w:val="en-US" w:eastAsia="en-US" w:bidi="ar-SA"/>
      </w:rPr>
    </w:lvl>
    <w:lvl w:ilvl="7" w:tplc="2A0A1B52">
      <w:numFmt w:val="bullet"/>
      <w:lvlText w:val="•"/>
      <w:lvlJc w:val="left"/>
      <w:pPr>
        <w:ind w:left="7314" w:hanging="492"/>
      </w:pPr>
      <w:rPr>
        <w:rFonts w:hint="default"/>
        <w:lang w:val="en-US" w:eastAsia="en-US" w:bidi="ar-SA"/>
      </w:rPr>
    </w:lvl>
    <w:lvl w:ilvl="8" w:tplc="99A4C9E4">
      <w:numFmt w:val="bullet"/>
      <w:lvlText w:val="•"/>
      <w:lvlJc w:val="left"/>
      <w:pPr>
        <w:ind w:left="8236" w:hanging="492"/>
      </w:pPr>
      <w:rPr>
        <w:rFonts w:hint="default"/>
        <w:lang w:val="en-US" w:eastAsia="en-US" w:bidi="ar-SA"/>
      </w:rPr>
    </w:lvl>
  </w:abstractNum>
  <w:abstractNum w:abstractNumId="209" w15:restartNumberingAfterBreak="0">
    <w:nsid w:val="72806051"/>
    <w:multiLevelType w:val="multilevel"/>
    <w:tmpl w:val="9F421390"/>
    <w:lvl w:ilvl="0">
      <w:start w:val="5"/>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210" w15:restartNumberingAfterBreak="0">
    <w:nsid w:val="729459F3"/>
    <w:multiLevelType w:val="multilevel"/>
    <w:tmpl w:val="22CA04A2"/>
    <w:lvl w:ilvl="0">
      <w:start w:val="1"/>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211" w15:restartNumberingAfterBreak="0">
    <w:nsid w:val="72C95E66"/>
    <w:multiLevelType w:val="multilevel"/>
    <w:tmpl w:val="8E82AB0C"/>
    <w:lvl w:ilvl="0">
      <w:start w:val="2"/>
      <w:numFmt w:val="decimal"/>
      <w:lvlText w:val="%1"/>
      <w:lvlJc w:val="left"/>
      <w:pPr>
        <w:ind w:left="360" w:hanging="671"/>
        <w:jc w:val="left"/>
      </w:pPr>
      <w:rPr>
        <w:rFonts w:hint="default"/>
        <w:lang w:val="en-US" w:eastAsia="en-US" w:bidi="ar-SA"/>
      </w:rPr>
    </w:lvl>
    <w:lvl w:ilvl="1">
      <w:numFmt w:val="decimal"/>
      <w:lvlText w:val="%1.%2"/>
      <w:lvlJc w:val="left"/>
      <w:pPr>
        <w:ind w:left="360" w:hanging="671"/>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304" w:hanging="671"/>
      </w:pPr>
      <w:rPr>
        <w:rFonts w:hint="default"/>
        <w:lang w:val="en-US" w:eastAsia="en-US" w:bidi="ar-SA"/>
      </w:rPr>
    </w:lvl>
    <w:lvl w:ilvl="3">
      <w:numFmt w:val="bullet"/>
      <w:lvlText w:val="•"/>
      <w:lvlJc w:val="left"/>
      <w:pPr>
        <w:ind w:left="3276" w:hanging="671"/>
      </w:pPr>
      <w:rPr>
        <w:rFonts w:hint="default"/>
        <w:lang w:val="en-US" w:eastAsia="en-US" w:bidi="ar-SA"/>
      </w:rPr>
    </w:lvl>
    <w:lvl w:ilvl="4">
      <w:numFmt w:val="bullet"/>
      <w:lvlText w:val="•"/>
      <w:lvlJc w:val="left"/>
      <w:pPr>
        <w:ind w:left="4248" w:hanging="671"/>
      </w:pPr>
      <w:rPr>
        <w:rFonts w:hint="default"/>
        <w:lang w:val="en-US" w:eastAsia="en-US" w:bidi="ar-SA"/>
      </w:rPr>
    </w:lvl>
    <w:lvl w:ilvl="5">
      <w:numFmt w:val="bullet"/>
      <w:lvlText w:val="•"/>
      <w:lvlJc w:val="left"/>
      <w:pPr>
        <w:ind w:left="5220" w:hanging="671"/>
      </w:pPr>
      <w:rPr>
        <w:rFonts w:hint="default"/>
        <w:lang w:val="en-US" w:eastAsia="en-US" w:bidi="ar-SA"/>
      </w:rPr>
    </w:lvl>
    <w:lvl w:ilvl="6">
      <w:numFmt w:val="bullet"/>
      <w:lvlText w:val="•"/>
      <w:lvlJc w:val="left"/>
      <w:pPr>
        <w:ind w:left="6192" w:hanging="671"/>
      </w:pPr>
      <w:rPr>
        <w:rFonts w:hint="default"/>
        <w:lang w:val="en-US" w:eastAsia="en-US" w:bidi="ar-SA"/>
      </w:rPr>
    </w:lvl>
    <w:lvl w:ilvl="7">
      <w:numFmt w:val="bullet"/>
      <w:lvlText w:val="•"/>
      <w:lvlJc w:val="left"/>
      <w:pPr>
        <w:ind w:left="7164" w:hanging="671"/>
      </w:pPr>
      <w:rPr>
        <w:rFonts w:hint="default"/>
        <w:lang w:val="en-US" w:eastAsia="en-US" w:bidi="ar-SA"/>
      </w:rPr>
    </w:lvl>
    <w:lvl w:ilvl="8">
      <w:numFmt w:val="bullet"/>
      <w:lvlText w:val="•"/>
      <w:lvlJc w:val="left"/>
      <w:pPr>
        <w:ind w:left="8136" w:hanging="671"/>
      </w:pPr>
      <w:rPr>
        <w:rFonts w:hint="default"/>
        <w:lang w:val="en-US" w:eastAsia="en-US" w:bidi="ar-SA"/>
      </w:rPr>
    </w:lvl>
  </w:abstractNum>
  <w:abstractNum w:abstractNumId="212" w15:restartNumberingAfterBreak="0">
    <w:nsid w:val="733D312C"/>
    <w:multiLevelType w:val="hybridMultilevel"/>
    <w:tmpl w:val="65920812"/>
    <w:lvl w:ilvl="0" w:tplc="FA56368A">
      <w:start w:val="1"/>
      <w:numFmt w:val="decimal"/>
      <w:lvlText w:val="(%1)"/>
      <w:lvlJc w:val="left"/>
      <w:pPr>
        <w:ind w:left="784" w:hanging="425"/>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AB38FB7C">
      <w:numFmt w:val="bullet"/>
      <w:lvlText w:val="•"/>
      <w:lvlJc w:val="left"/>
      <w:pPr>
        <w:ind w:left="1710" w:hanging="425"/>
      </w:pPr>
      <w:rPr>
        <w:rFonts w:hint="default"/>
        <w:lang w:val="en-US" w:eastAsia="en-US" w:bidi="ar-SA"/>
      </w:rPr>
    </w:lvl>
    <w:lvl w:ilvl="2" w:tplc="7180A86A">
      <w:numFmt w:val="bullet"/>
      <w:lvlText w:val="•"/>
      <w:lvlJc w:val="left"/>
      <w:pPr>
        <w:ind w:left="2640" w:hanging="425"/>
      </w:pPr>
      <w:rPr>
        <w:rFonts w:hint="default"/>
        <w:lang w:val="en-US" w:eastAsia="en-US" w:bidi="ar-SA"/>
      </w:rPr>
    </w:lvl>
    <w:lvl w:ilvl="3" w:tplc="74F6A17E">
      <w:numFmt w:val="bullet"/>
      <w:lvlText w:val="•"/>
      <w:lvlJc w:val="left"/>
      <w:pPr>
        <w:ind w:left="3570" w:hanging="425"/>
      </w:pPr>
      <w:rPr>
        <w:rFonts w:hint="default"/>
        <w:lang w:val="en-US" w:eastAsia="en-US" w:bidi="ar-SA"/>
      </w:rPr>
    </w:lvl>
    <w:lvl w:ilvl="4" w:tplc="0A5A7A36">
      <w:numFmt w:val="bullet"/>
      <w:lvlText w:val="•"/>
      <w:lvlJc w:val="left"/>
      <w:pPr>
        <w:ind w:left="4500" w:hanging="425"/>
      </w:pPr>
      <w:rPr>
        <w:rFonts w:hint="default"/>
        <w:lang w:val="en-US" w:eastAsia="en-US" w:bidi="ar-SA"/>
      </w:rPr>
    </w:lvl>
    <w:lvl w:ilvl="5" w:tplc="CE181A0A">
      <w:numFmt w:val="bullet"/>
      <w:lvlText w:val="•"/>
      <w:lvlJc w:val="left"/>
      <w:pPr>
        <w:ind w:left="5430" w:hanging="425"/>
      </w:pPr>
      <w:rPr>
        <w:rFonts w:hint="default"/>
        <w:lang w:val="en-US" w:eastAsia="en-US" w:bidi="ar-SA"/>
      </w:rPr>
    </w:lvl>
    <w:lvl w:ilvl="6" w:tplc="6862ECF8">
      <w:numFmt w:val="bullet"/>
      <w:lvlText w:val="•"/>
      <w:lvlJc w:val="left"/>
      <w:pPr>
        <w:ind w:left="6360" w:hanging="425"/>
      </w:pPr>
      <w:rPr>
        <w:rFonts w:hint="default"/>
        <w:lang w:val="en-US" w:eastAsia="en-US" w:bidi="ar-SA"/>
      </w:rPr>
    </w:lvl>
    <w:lvl w:ilvl="7" w:tplc="9EDE1F22">
      <w:numFmt w:val="bullet"/>
      <w:lvlText w:val="•"/>
      <w:lvlJc w:val="left"/>
      <w:pPr>
        <w:ind w:left="7290" w:hanging="425"/>
      </w:pPr>
      <w:rPr>
        <w:rFonts w:hint="default"/>
        <w:lang w:val="en-US" w:eastAsia="en-US" w:bidi="ar-SA"/>
      </w:rPr>
    </w:lvl>
    <w:lvl w:ilvl="8" w:tplc="E4D2021C">
      <w:numFmt w:val="bullet"/>
      <w:lvlText w:val="•"/>
      <w:lvlJc w:val="left"/>
      <w:pPr>
        <w:ind w:left="8220" w:hanging="425"/>
      </w:pPr>
      <w:rPr>
        <w:rFonts w:hint="default"/>
        <w:lang w:val="en-US" w:eastAsia="en-US" w:bidi="ar-SA"/>
      </w:rPr>
    </w:lvl>
  </w:abstractNum>
  <w:abstractNum w:abstractNumId="213" w15:restartNumberingAfterBreak="0">
    <w:nsid w:val="7406506D"/>
    <w:multiLevelType w:val="hybridMultilevel"/>
    <w:tmpl w:val="65409F9E"/>
    <w:lvl w:ilvl="0" w:tplc="1812BEF0">
      <w:start w:val="4"/>
      <w:numFmt w:val="decimal"/>
      <w:lvlText w:val="(%1)"/>
      <w:lvlJc w:val="left"/>
      <w:pPr>
        <w:ind w:left="360" w:hanging="81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775C8AD2">
      <w:numFmt w:val="bullet"/>
      <w:lvlText w:val="•"/>
      <w:lvlJc w:val="left"/>
      <w:pPr>
        <w:ind w:left="1332" w:hanging="815"/>
      </w:pPr>
      <w:rPr>
        <w:rFonts w:hint="default"/>
        <w:lang w:val="en-US" w:eastAsia="en-US" w:bidi="ar-SA"/>
      </w:rPr>
    </w:lvl>
    <w:lvl w:ilvl="2" w:tplc="06CE7B3C">
      <w:numFmt w:val="bullet"/>
      <w:lvlText w:val="•"/>
      <w:lvlJc w:val="left"/>
      <w:pPr>
        <w:ind w:left="2304" w:hanging="815"/>
      </w:pPr>
      <w:rPr>
        <w:rFonts w:hint="default"/>
        <w:lang w:val="en-US" w:eastAsia="en-US" w:bidi="ar-SA"/>
      </w:rPr>
    </w:lvl>
    <w:lvl w:ilvl="3" w:tplc="329ACE00">
      <w:numFmt w:val="bullet"/>
      <w:lvlText w:val="•"/>
      <w:lvlJc w:val="left"/>
      <w:pPr>
        <w:ind w:left="3276" w:hanging="815"/>
      </w:pPr>
      <w:rPr>
        <w:rFonts w:hint="default"/>
        <w:lang w:val="en-US" w:eastAsia="en-US" w:bidi="ar-SA"/>
      </w:rPr>
    </w:lvl>
    <w:lvl w:ilvl="4" w:tplc="57ACB866">
      <w:numFmt w:val="bullet"/>
      <w:lvlText w:val="•"/>
      <w:lvlJc w:val="left"/>
      <w:pPr>
        <w:ind w:left="4248" w:hanging="815"/>
      </w:pPr>
      <w:rPr>
        <w:rFonts w:hint="default"/>
        <w:lang w:val="en-US" w:eastAsia="en-US" w:bidi="ar-SA"/>
      </w:rPr>
    </w:lvl>
    <w:lvl w:ilvl="5" w:tplc="A964E0E2">
      <w:numFmt w:val="bullet"/>
      <w:lvlText w:val="•"/>
      <w:lvlJc w:val="left"/>
      <w:pPr>
        <w:ind w:left="5220" w:hanging="815"/>
      </w:pPr>
      <w:rPr>
        <w:rFonts w:hint="default"/>
        <w:lang w:val="en-US" w:eastAsia="en-US" w:bidi="ar-SA"/>
      </w:rPr>
    </w:lvl>
    <w:lvl w:ilvl="6" w:tplc="F18879B4">
      <w:numFmt w:val="bullet"/>
      <w:lvlText w:val="•"/>
      <w:lvlJc w:val="left"/>
      <w:pPr>
        <w:ind w:left="6192" w:hanging="815"/>
      </w:pPr>
      <w:rPr>
        <w:rFonts w:hint="default"/>
        <w:lang w:val="en-US" w:eastAsia="en-US" w:bidi="ar-SA"/>
      </w:rPr>
    </w:lvl>
    <w:lvl w:ilvl="7" w:tplc="4D226B82">
      <w:numFmt w:val="bullet"/>
      <w:lvlText w:val="•"/>
      <w:lvlJc w:val="left"/>
      <w:pPr>
        <w:ind w:left="7164" w:hanging="815"/>
      </w:pPr>
      <w:rPr>
        <w:rFonts w:hint="default"/>
        <w:lang w:val="en-US" w:eastAsia="en-US" w:bidi="ar-SA"/>
      </w:rPr>
    </w:lvl>
    <w:lvl w:ilvl="8" w:tplc="B0DC80CC">
      <w:numFmt w:val="bullet"/>
      <w:lvlText w:val="•"/>
      <w:lvlJc w:val="left"/>
      <w:pPr>
        <w:ind w:left="8136" w:hanging="815"/>
      </w:pPr>
      <w:rPr>
        <w:rFonts w:hint="default"/>
        <w:lang w:val="en-US" w:eastAsia="en-US" w:bidi="ar-SA"/>
      </w:rPr>
    </w:lvl>
  </w:abstractNum>
  <w:abstractNum w:abstractNumId="214" w15:restartNumberingAfterBreak="0">
    <w:nsid w:val="74204A46"/>
    <w:multiLevelType w:val="hybridMultilevel"/>
    <w:tmpl w:val="49721FC0"/>
    <w:lvl w:ilvl="0" w:tplc="7206C30C">
      <w:start w:val="1"/>
      <w:numFmt w:val="lowerRoman"/>
      <w:lvlText w:val="(%1)"/>
      <w:lvlJc w:val="left"/>
      <w:pPr>
        <w:ind w:left="360" w:hanging="42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4ABC62F0">
      <w:numFmt w:val="bullet"/>
      <w:lvlText w:val="•"/>
      <w:lvlJc w:val="left"/>
      <w:pPr>
        <w:ind w:left="1332" w:hanging="420"/>
      </w:pPr>
      <w:rPr>
        <w:rFonts w:hint="default"/>
        <w:lang w:val="en-US" w:eastAsia="en-US" w:bidi="ar-SA"/>
      </w:rPr>
    </w:lvl>
    <w:lvl w:ilvl="2" w:tplc="11AEBB40">
      <w:numFmt w:val="bullet"/>
      <w:lvlText w:val="•"/>
      <w:lvlJc w:val="left"/>
      <w:pPr>
        <w:ind w:left="2304" w:hanging="420"/>
      </w:pPr>
      <w:rPr>
        <w:rFonts w:hint="default"/>
        <w:lang w:val="en-US" w:eastAsia="en-US" w:bidi="ar-SA"/>
      </w:rPr>
    </w:lvl>
    <w:lvl w:ilvl="3" w:tplc="13666D98">
      <w:numFmt w:val="bullet"/>
      <w:lvlText w:val="•"/>
      <w:lvlJc w:val="left"/>
      <w:pPr>
        <w:ind w:left="3276" w:hanging="420"/>
      </w:pPr>
      <w:rPr>
        <w:rFonts w:hint="default"/>
        <w:lang w:val="en-US" w:eastAsia="en-US" w:bidi="ar-SA"/>
      </w:rPr>
    </w:lvl>
    <w:lvl w:ilvl="4" w:tplc="EEF863D0">
      <w:numFmt w:val="bullet"/>
      <w:lvlText w:val="•"/>
      <w:lvlJc w:val="left"/>
      <w:pPr>
        <w:ind w:left="4248" w:hanging="420"/>
      </w:pPr>
      <w:rPr>
        <w:rFonts w:hint="default"/>
        <w:lang w:val="en-US" w:eastAsia="en-US" w:bidi="ar-SA"/>
      </w:rPr>
    </w:lvl>
    <w:lvl w:ilvl="5" w:tplc="A9D83692">
      <w:numFmt w:val="bullet"/>
      <w:lvlText w:val="•"/>
      <w:lvlJc w:val="left"/>
      <w:pPr>
        <w:ind w:left="5220" w:hanging="420"/>
      </w:pPr>
      <w:rPr>
        <w:rFonts w:hint="default"/>
        <w:lang w:val="en-US" w:eastAsia="en-US" w:bidi="ar-SA"/>
      </w:rPr>
    </w:lvl>
    <w:lvl w:ilvl="6" w:tplc="D59C3F94">
      <w:numFmt w:val="bullet"/>
      <w:lvlText w:val="•"/>
      <w:lvlJc w:val="left"/>
      <w:pPr>
        <w:ind w:left="6192" w:hanging="420"/>
      </w:pPr>
      <w:rPr>
        <w:rFonts w:hint="default"/>
        <w:lang w:val="en-US" w:eastAsia="en-US" w:bidi="ar-SA"/>
      </w:rPr>
    </w:lvl>
    <w:lvl w:ilvl="7" w:tplc="6E1203B2">
      <w:numFmt w:val="bullet"/>
      <w:lvlText w:val="•"/>
      <w:lvlJc w:val="left"/>
      <w:pPr>
        <w:ind w:left="7164" w:hanging="420"/>
      </w:pPr>
      <w:rPr>
        <w:rFonts w:hint="default"/>
        <w:lang w:val="en-US" w:eastAsia="en-US" w:bidi="ar-SA"/>
      </w:rPr>
    </w:lvl>
    <w:lvl w:ilvl="8" w:tplc="0BC628E8">
      <w:numFmt w:val="bullet"/>
      <w:lvlText w:val="•"/>
      <w:lvlJc w:val="left"/>
      <w:pPr>
        <w:ind w:left="8136" w:hanging="420"/>
      </w:pPr>
      <w:rPr>
        <w:rFonts w:hint="default"/>
        <w:lang w:val="en-US" w:eastAsia="en-US" w:bidi="ar-SA"/>
      </w:rPr>
    </w:lvl>
  </w:abstractNum>
  <w:abstractNum w:abstractNumId="215" w15:restartNumberingAfterBreak="0">
    <w:nsid w:val="743A1D18"/>
    <w:multiLevelType w:val="hybridMultilevel"/>
    <w:tmpl w:val="CA6AF05C"/>
    <w:lvl w:ilvl="0" w:tplc="9F8EB500">
      <w:start w:val="9"/>
      <w:numFmt w:val="decimal"/>
      <w:lvlText w:val="%1."/>
      <w:lvlJc w:val="left"/>
      <w:pPr>
        <w:ind w:left="810" w:hanging="450"/>
        <w:jc w:val="left"/>
      </w:pPr>
      <w:rPr>
        <w:rFonts w:hint="default"/>
        <w:spacing w:val="0"/>
        <w:w w:val="102"/>
        <w:lang w:val="en-US" w:eastAsia="en-US" w:bidi="ar-SA"/>
      </w:rPr>
    </w:lvl>
    <w:lvl w:ilvl="1" w:tplc="41CEDD34">
      <w:numFmt w:val="bullet"/>
      <w:lvlText w:val="•"/>
      <w:lvlJc w:val="left"/>
      <w:pPr>
        <w:ind w:left="1746" w:hanging="450"/>
      </w:pPr>
      <w:rPr>
        <w:rFonts w:hint="default"/>
        <w:lang w:val="en-US" w:eastAsia="en-US" w:bidi="ar-SA"/>
      </w:rPr>
    </w:lvl>
    <w:lvl w:ilvl="2" w:tplc="C0B0BFF4">
      <w:numFmt w:val="bullet"/>
      <w:lvlText w:val="•"/>
      <w:lvlJc w:val="left"/>
      <w:pPr>
        <w:ind w:left="2672" w:hanging="450"/>
      </w:pPr>
      <w:rPr>
        <w:rFonts w:hint="default"/>
        <w:lang w:val="en-US" w:eastAsia="en-US" w:bidi="ar-SA"/>
      </w:rPr>
    </w:lvl>
    <w:lvl w:ilvl="3" w:tplc="67CC9E7C">
      <w:numFmt w:val="bullet"/>
      <w:lvlText w:val="•"/>
      <w:lvlJc w:val="left"/>
      <w:pPr>
        <w:ind w:left="3598" w:hanging="450"/>
      </w:pPr>
      <w:rPr>
        <w:rFonts w:hint="default"/>
        <w:lang w:val="en-US" w:eastAsia="en-US" w:bidi="ar-SA"/>
      </w:rPr>
    </w:lvl>
    <w:lvl w:ilvl="4" w:tplc="6A3617A4">
      <w:numFmt w:val="bullet"/>
      <w:lvlText w:val="•"/>
      <w:lvlJc w:val="left"/>
      <w:pPr>
        <w:ind w:left="4524" w:hanging="450"/>
      </w:pPr>
      <w:rPr>
        <w:rFonts w:hint="default"/>
        <w:lang w:val="en-US" w:eastAsia="en-US" w:bidi="ar-SA"/>
      </w:rPr>
    </w:lvl>
    <w:lvl w:ilvl="5" w:tplc="340886E4">
      <w:numFmt w:val="bullet"/>
      <w:lvlText w:val="•"/>
      <w:lvlJc w:val="left"/>
      <w:pPr>
        <w:ind w:left="5450" w:hanging="450"/>
      </w:pPr>
      <w:rPr>
        <w:rFonts w:hint="default"/>
        <w:lang w:val="en-US" w:eastAsia="en-US" w:bidi="ar-SA"/>
      </w:rPr>
    </w:lvl>
    <w:lvl w:ilvl="6" w:tplc="76DEAF14">
      <w:numFmt w:val="bullet"/>
      <w:lvlText w:val="•"/>
      <w:lvlJc w:val="left"/>
      <w:pPr>
        <w:ind w:left="6376" w:hanging="450"/>
      </w:pPr>
      <w:rPr>
        <w:rFonts w:hint="default"/>
        <w:lang w:val="en-US" w:eastAsia="en-US" w:bidi="ar-SA"/>
      </w:rPr>
    </w:lvl>
    <w:lvl w:ilvl="7" w:tplc="341687F4">
      <w:numFmt w:val="bullet"/>
      <w:lvlText w:val="•"/>
      <w:lvlJc w:val="left"/>
      <w:pPr>
        <w:ind w:left="7302" w:hanging="450"/>
      </w:pPr>
      <w:rPr>
        <w:rFonts w:hint="default"/>
        <w:lang w:val="en-US" w:eastAsia="en-US" w:bidi="ar-SA"/>
      </w:rPr>
    </w:lvl>
    <w:lvl w:ilvl="8" w:tplc="1AD4A708">
      <w:numFmt w:val="bullet"/>
      <w:lvlText w:val="•"/>
      <w:lvlJc w:val="left"/>
      <w:pPr>
        <w:ind w:left="8228" w:hanging="450"/>
      </w:pPr>
      <w:rPr>
        <w:rFonts w:hint="default"/>
        <w:lang w:val="en-US" w:eastAsia="en-US" w:bidi="ar-SA"/>
      </w:rPr>
    </w:lvl>
  </w:abstractNum>
  <w:abstractNum w:abstractNumId="216" w15:restartNumberingAfterBreak="0">
    <w:nsid w:val="75AA4E10"/>
    <w:multiLevelType w:val="multilevel"/>
    <w:tmpl w:val="0A4076E8"/>
    <w:lvl w:ilvl="0">
      <w:start w:val="1"/>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360" w:hanging="66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1211" w:hanging="660"/>
      </w:pPr>
      <w:rPr>
        <w:rFonts w:hint="default"/>
        <w:lang w:val="en-US" w:eastAsia="en-US" w:bidi="ar-SA"/>
      </w:rPr>
    </w:lvl>
    <w:lvl w:ilvl="3">
      <w:numFmt w:val="bullet"/>
      <w:lvlText w:val="•"/>
      <w:lvlJc w:val="left"/>
      <w:pPr>
        <w:ind w:left="1423" w:hanging="660"/>
      </w:pPr>
      <w:rPr>
        <w:rFonts w:hint="default"/>
        <w:lang w:val="en-US" w:eastAsia="en-US" w:bidi="ar-SA"/>
      </w:rPr>
    </w:lvl>
    <w:lvl w:ilvl="4">
      <w:numFmt w:val="bullet"/>
      <w:lvlText w:val="•"/>
      <w:lvlJc w:val="left"/>
      <w:pPr>
        <w:ind w:left="1635" w:hanging="660"/>
      </w:pPr>
      <w:rPr>
        <w:rFonts w:hint="default"/>
        <w:lang w:val="en-US" w:eastAsia="en-US" w:bidi="ar-SA"/>
      </w:rPr>
    </w:lvl>
    <w:lvl w:ilvl="5">
      <w:numFmt w:val="bullet"/>
      <w:lvlText w:val="•"/>
      <w:lvlJc w:val="left"/>
      <w:pPr>
        <w:ind w:left="1847" w:hanging="660"/>
      </w:pPr>
      <w:rPr>
        <w:rFonts w:hint="default"/>
        <w:lang w:val="en-US" w:eastAsia="en-US" w:bidi="ar-SA"/>
      </w:rPr>
    </w:lvl>
    <w:lvl w:ilvl="6">
      <w:numFmt w:val="bullet"/>
      <w:lvlText w:val="•"/>
      <w:lvlJc w:val="left"/>
      <w:pPr>
        <w:ind w:left="2059" w:hanging="660"/>
      </w:pPr>
      <w:rPr>
        <w:rFonts w:hint="default"/>
        <w:lang w:val="en-US" w:eastAsia="en-US" w:bidi="ar-SA"/>
      </w:rPr>
    </w:lvl>
    <w:lvl w:ilvl="7">
      <w:numFmt w:val="bullet"/>
      <w:lvlText w:val="•"/>
      <w:lvlJc w:val="left"/>
      <w:pPr>
        <w:ind w:left="2271" w:hanging="660"/>
      </w:pPr>
      <w:rPr>
        <w:rFonts w:hint="default"/>
        <w:lang w:val="en-US" w:eastAsia="en-US" w:bidi="ar-SA"/>
      </w:rPr>
    </w:lvl>
    <w:lvl w:ilvl="8">
      <w:numFmt w:val="bullet"/>
      <w:lvlText w:val="•"/>
      <w:lvlJc w:val="left"/>
      <w:pPr>
        <w:ind w:left="2483" w:hanging="660"/>
      </w:pPr>
      <w:rPr>
        <w:rFonts w:hint="default"/>
        <w:lang w:val="en-US" w:eastAsia="en-US" w:bidi="ar-SA"/>
      </w:rPr>
    </w:lvl>
  </w:abstractNum>
  <w:abstractNum w:abstractNumId="217" w15:restartNumberingAfterBreak="0">
    <w:nsid w:val="762000DB"/>
    <w:multiLevelType w:val="hybridMultilevel"/>
    <w:tmpl w:val="09344AF4"/>
    <w:lvl w:ilvl="0" w:tplc="03E02952">
      <w:start w:val="1"/>
      <w:numFmt w:val="lowerLetter"/>
      <w:lvlText w:val="%1."/>
      <w:lvlJc w:val="left"/>
      <w:pPr>
        <w:ind w:left="793" w:hanging="43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44C813C">
      <w:numFmt w:val="bullet"/>
      <w:lvlText w:val="•"/>
      <w:lvlJc w:val="left"/>
      <w:pPr>
        <w:ind w:left="1728" w:hanging="434"/>
      </w:pPr>
      <w:rPr>
        <w:rFonts w:hint="default"/>
        <w:lang w:val="en-US" w:eastAsia="en-US" w:bidi="ar-SA"/>
      </w:rPr>
    </w:lvl>
    <w:lvl w:ilvl="2" w:tplc="80C47880">
      <w:numFmt w:val="bullet"/>
      <w:lvlText w:val="•"/>
      <w:lvlJc w:val="left"/>
      <w:pPr>
        <w:ind w:left="2656" w:hanging="434"/>
      </w:pPr>
      <w:rPr>
        <w:rFonts w:hint="default"/>
        <w:lang w:val="en-US" w:eastAsia="en-US" w:bidi="ar-SA"/>
      </w:rPr>
    </w:lvl>
    <w:lvl w:ilvl="3" w:tplc="21620EA6">
      <w:numFmt w:val="bullet"/>
      <w:lvlText w:val="•"/>
      <w:lvlJc w:val="left"/>
      <w:pPr>
        <w:ind w:left="3584" w:hanging="434"/>
      </w:pPr>
      <w:rPr>
        <w:rFonts w:hint="default"/>
        <w:lang w:val="en-US" w:eastAsia="en-US" w:bidi="ar-SA"/>
      </w:rPr>
    </w:lvl>
    <w:lvl w:ilvl="4" w:tplc="7A241E50">
      <w:numFmt w:val="bullet"/>
      <w:lvlText w:val="•"/>
      <w:lvlJc w:val="left"/>
      <w:pPr>
        <w:ind w:left="4512" w:hanging="434"/>
      </w:pPr>
      <w:rPr>
        <w:rFonts w:hint="default"/>
        <w:lang w:val="en-US" w:eastAsia="en-US" w:bidi="ar-SA"/>
      </w:rPr>
    </w:lvl>
    <w:lvl w:ilvl="5" w:tplc="6446720E">
      <w:numFmt w:val="bullet"/>
      <w:lvlText w:val="•"/>
      <w:lvlJc w:val="left"/>
      <w:pPr>
        <w:ind w:left="5440" w:hanging="434"/>
      </w:pPr>
      <w:rPr>
        <w:rFonts w:hint="default"/>
        <w:lang w:val="en-US" w:eastAsia="en-US" w:bidi="ar-SA"/>
      </w:rPr>
    </w:lvl>
    <w:lvl w:ilvl="6" w:tplc="227C3C02">
      <w:numFmt w:val="bullet"/>
      <w:lvlText w:val="•"/>
      <w:lvlJc w:val="left"/>
      <w:pPr>
        <w:ind w:left="6368" w:hanging="434"/>
      </w:pPr>
      <w:rPr>
        <w:rFonts w:hint="default"/>
        <w:lang w:val="en-US" w:eastAsia="en-US" w:bidi="ar-SA"/>
      </w:rPr>
    </w:lvl>
    <w:lvl w:ilvl="7" w:tplc="89086AB4">
      <w:numFmt w:val="bullet"/>
      <w:lvlText w:val="•"/>
      <w:lvlJc w:val="left"/>
      <w:pPr>
        <w:ind w:left="7296" w:hanging="434"/>
      </w:pPr>
      <w:rPr>
        <w:rFonts w:hint="default"/>
        <w:lang w:val="en-US" w:eastAsia="en-US" w:bidi="ar-SA"/>
      </w:rPr>
    </w:lvl>
    <w:lvl w:ilvl="8" w:tplc="FAEE0EDE">
      <w:numFmt w:val="bullet"/>
      <w:lvlText w:val="•"/>
      <w:lvlJc w:val="left"/>
      <w:pPr>
        <w:ind w:left="8224" w:hanging="434"/>
      </w:pPr>
      <w:rPr>
        <w:rFonts w:hint="default"/>
        <w:lang w:val="en-US" w:eastAsia="en-US" w:bidi="ar-SA"/>
      </w:rPr>
    </w:lvl>
  </w:abstractNum>
  <w:abstractNum w:abstractNumId="218" w15:restartNumberingAfterBreak="0">
    <w:nsid w:val="77427A07"/>
    <w:multiLevelType w:val="multilevel"/>
    <w:tmpl w:val="5CC433A4"/>
    <w:lvl w:ilvl="0">
      <w:start w:val="1"/>
      <w:numFmt w:val="decimal"/>
      <w:lvlText w:val="%1"/>
      <w:lvlJc w:val="left"/>
      <w:pPr>
        <w:ind w:left="1410" w:hanging="1050"/>
        <w:jc w:val="left"/>
      </w:pPr>
      <w:rPr>
        <w:rFonts w:hint="default"/>
        <w:lang w:val="en-US" w:eastAsia="en-US" w:bidi="ar-SA"/>
      </w:rPr>
    </w:lvl>
    <w:lvl w:ilvl="1">
      <w:numFmt w:val="decimal"/>
      <w:lvlText w:val="%1.%2"/>
      <w:lvlJc w:val="left"/>
      <w:pPr>
        <w:ind w:left="1410" w:hanging="105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3152" w:hanging="1050"/>
      </w:pPr>
      <w:rPr>
        <w:rFonts w:hint="default"/>
        <w:lang w:val="en-US" w:eastAsia="en-US" w:bidi="ar-SA"/>
      </w:rPr>
    </w:lvl>
    <w:lvl w:ilvl="3">
      <w:numFmt w:val="bullet"/>
      <w:lvlText w:val="•"/>
      <w:lvlJc w:val="left"/>
      <w:pPr>
        <w:ind w:left="4018" w:hanging="1050"/>
      </w:pPr>
      <w:rPr>
        <w:rFonts w:hint="default"/>
        <w:lang w:val="en-US" w:eastAsia="en-US" w:bidi="ar-SA"/>
      </w:rPr>
    </w:lvl>
    <w:lvl w:ilvl="4">
      <w:numFmt w:val="bullet"/>
      <w:lvlText w:val="•"/>
      <w:lvlJc w:val="left"/>
      <w:pPr>
        <w:ind w:left="4884" w:hanging="1050"/>
      </w:pPr>
      <w:rPr>
        <w:rFonts w:hint="default"/>
        <w:lang w:val="en-US" w:eastAsia="en-US" w:bidi="ar-SA"/>
      </w:rPr>
    </w:lvl>
    <w:lvl w:ilvl="5">
      <w:numFmt w:val="bullet"/>
      <w:lvlText w:val="•"/>
      <w:lvlJc w:val="left"/>
      <w:pPr>
        <w:ind w:left="5750" w:hanging="1050"/>
      </w:pPr>
      <w:rPr>
        <w:rFonts w:hint="default"/>
        <w:lang w:val="en-US" w:eastAsia="en-US" w:bidi="ar-SA"/>
      </w:rPr>
    </w:lvl>
    <w:lvl w:ilvl="6">
      <w:numFmt w:val="bullet"/>
      <w:lvlText w:val="•"/>
      <w:lvlJc w:val="left"/>
      <w:pPr>
        <w:ind w:left="6616" w:hanging="1050"/>
      </w:pPr>
      <w:rPr>
        <w:rFonts w:hint="default"/>
        <w:lang w:val="en-US" w:eastAsia="en-US" w:bidi="ar-SA"/>
      </w:rPr>
    </w:lvl>
    <w:lvl w:ilvl="7">
      <w:numFmt w:val="bullet"/>
      <w:lvlText w:val="•"/>
      <w:lvlJc w:val="left"/>
      <w:pPr>
        <w:ind w:left="7482" w:hanging="1050"/>
      </w:pPr>
      <w:rPr>
        <w:rFonts w:hint="default"/>
        <w:lang w:val="en-US" w:eastAsia="en-US" w:bidi="ar-SA"/>
      </w:rPr>
    </w:lvl>
    <w:lvl w:ilvl="8">
      <w:numFmt w:val="bullet"/>
      <w:lvlText w:val="•"/>
      <w:lvlJc w:val="left"/>
      <w:pPr>
        <w:ind w:left="8348" w:hanging="1050"/>
      </w:pPr>
      <w:rPr>
        <w:rFonts w:hint="default"/>
        <w:lang w:val="en-US" w:eastAsia="en-US" w:bidi="ar-SA"/>
      </w:rPr>
    </w:lvl>
  </w:abstractNum>
  <w:abstractNum w:abstractNumId="219" w15:restartNumberingAfterBreak="0">
    <w:nsid w:val="77850CAB"/>
    <w:multiLevelType w:val="hybridMultilevel"/>
    <w:tmpl w:val="7E980EF2"/>
    <w:lvl w:ilvl="0" w:tplc="DBC82910">
      <w:start w:val="1"/>
      <w:numFmt w:val="decimal"/>
      <w:lvlText w:val="(%1)"/>
      <w:lvlJc w:val="left"/>
      <w:pPr>
        <w:ind w:left="360"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A2A9244">
      <w:start w:val="1"/>
      <w:numFmt w:val="lowerLetter"/>
      <w:lvlText w:val="(%2)"/>
      <w:lvlJc w:val="left"/>
      <w:pPr>
        <w:ind w:left="767" w:hanging="40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A3C41AD2">
      <w:numFmt w:val="bullet"/>
      <w:lvlText w:val="•"/>
      <w:lvlJc w:val="left"/>
      <w:pPr>
        <w:ind w:left="1795" w:hanging="408"/>
      </w:pPr>
      <w:rPr>
        <w:rFonts w:hint="default"/>
        <w:lang w:val="en-US" w:eastAsia="en-US" w:bidi="ar-SA"/>
      </w:rPr>
    </w:lvl>
    <w:lvl w:ilvl="3" w:tplc="67AA71AA">
      <w:numFmt w:val="bullet"/>
      <w:lvlText w:val="•"/>
      <w:lvlJc w:val="left"/>
      <w:pPr>
        <w:ind w:left="2831" w:hanging="408"/>
      </w:pPr>
      <w:rPr>
        <w:rFonts w:hint="default"/>
        <w:lang w:val="en-US" w:eastAsia="en-US" w:bidi="ar-SA"/>
      </w:rPr>
    </w:lvl>
    <w:lvl w:ilvl="4" w:tplc="02469ECE">
      <w:numFmt w:val="bullet"/>
      <w:lvlText w:val="•"/>
      <w:lvlJc w:val="left"/>
      <w:pPr>
        <w:ind w:left="3866" w:hanging="408"/>
      </w:pPr>
      <w:rPr>
        <w:rFonts w:hint="default"/>
        <w:lang w:val="en-US" w:eastAsia="en-US" w:bidi="ar-SA"/>
      </w:rPr>
    </w:lvl>
    <w:lvl w:ilvl="5" w:tplc="DD96663C">
      <w:numFmt w:val="bullet"/>
      <w:lvlText w:val="•"/>
      <w:lvlJc w:val="left"/>
      <w:pPr>
        <w:ind w:left="4902" w:hanging="408"/>
      </w:pPr>
      <w:rPr>
        <w:rFonts w:hint="default"/>
        <w:lang w:val="en-US" w:eastAsia="en-US" w:bidi="ar-SA"/>
      </w:rPr>
    </w:lvl>
    <w:lvl w:ilvl="6" w:tplc="940AF282">
      <w:numFmt w:val="bullet"/>
      <w:lvlText w:val="•"/>
      <w:lvlJc w:val="left"/>
      <w:pPr>
        <w:ind w:left="5937" w:hanging="408"/>
      </w:pPr>
      <w:rPr>
        <w:rFonts w:hint="default"/>
        <w:lang w:val="en-US" w:eastAsia="en-US" w:bidi="ar-SA"/>
      </w:rPr>
    </w:lvl>
    <w:lvl w:ilvl="7" w:tplc="23F86418">
      <w:numFmt w:val="bullet"/>
      <w:lvlText w:val="•"/>
      <w:lvlJc w:val="left"/>
      <w:pPr>
        <w:ind w:left="6973" w:hanging="408"/>
      </w:pPr>
      <w:rPr>
        <w:rFonts w:hint="default"/>
        <w:lang w:val="en-US" w:eastAsia="en-US" w:bidi="ar-SA"/>
      </w:rPr>
    </w:lvl>
    <w:lvl w:ilvl="8" w:tplc="6DA025E8">
      <w:numFmt w:val="bullet"/>
      <w:lvlText w:val="•"/>
      <w:lvlJc w:val="left"/>
      <w:pPr>
        <w:ind w:left="8008" w:hanging="408"/>
      </w:pPr>
      <w:rPr>
        <w:rFonts w:hint="default"/>
        <w:lang w:val="en-US" w:eastAsia="en-US" w:bidi="ar-SA"/>
      </w:rPr>
    </w:lvl>
  </w:abstractNum>
  <w:abstractNum w:abstractNumId="220" w15:restartNumberingAfterBreak="0">
    <w:nsid w:val="78227B79"/>
    <w:multiLevelType w:val="multilevel"/>
    <w:tmpl w:val="5692A51E"/>
    <w:lvl w:ilvl="0">
      <w:start w:val="1"/>
      <w:numFmt w:val="decimal"/>
      <w:lvlText w:val="%1.0"/>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1">
      <w:start w:va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221" w15:restartNumberingAfterBreak="0">
    <w:nsid w:val="78A51A72"/>
    <w:multiLevelType w:val="multilevel"/>
    <w:tmpl w:val="79BEE6C6"/>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start w:val="1"/>
      <w:numFmt w:val="decimal"/>
      <w:lvlText w:val="%1.%2.%3"/>
      <w:lvlJc w:val="left"/>
      <w:pPr>
        <w:ind w:left="360" w:hanging="1028"/>
        <w:jc w:val="left"/>
      </w:pPr>
      <w:rPr>
        <w:rFonts w:ascii="Times New Roman" w:eastAsia="Times New Roman" w:hAnsi="Times New Roman" w:cs="Times New Roman" w:hint="default"/>
        <w:b/>
        <w:bCs/>
        <w:i w:val="0"/>
        <w:iCs w:val="0"/>
        <w:spacing w:val="0"/>
        <w:w w:val="100"/>
        <w:sz w:val="42"/>
        <w:szCs w:val="42"/>
        <w:lang w:val="en-US" w:eastAsia="en-US" w:bidi="ar-SA"/>
      </w:rPr>
    </w:lvl>
    <w:lvl w:ilvl="3">
      <w:numFmt w:val="bullet"/>
      <w:lvlText w:val="•"/>
      <w:lvlJc w:val="left"/>
      <w:pPr>
        <w:ind w:left="3017" w:hanging="1028"/>
      </w:pPr>
      <w:rPr>
        <w:rFonts w:hint="default"/>
        <w:lang w:val="en-US" w:eastAsia="en-US" w:bidi="ar-SA"/>
      </w:rPr>
    </w:lvl>
    <w:lvl w:ilvl="4">
      <w:numFmt w:val="bullet"/>
      <w:lvlText w:val="•"/>
      <w:lvlJc w:val="left"/>
      <w:pPr>
        <w:ind w:left="4026" w:hanging="1028"/>
      </w:pPr>
      <w:rPr>
        <w:rFonts w:hint="default"/>
        <w:lang w:val="en-US" w:eastAsia="en-US" w:bidi="ar-SA"/>
      </w:rPr>
    </w:lvl>
    <w:lvl w:ilvl="5">
      <w:numFmt w:val="bullet"/>
      <w:lvlText w:val="•"/>
      <w:lvlJc w:val="left"/>
      <w:pPr>
        <w:ind w:left="5035" w:hanging="1028"/>
      </w:pPr>
      <w:rPr>
        <w:rFonts w:hint="default"/>
        <w:lang w:val="en-US" w:eastAsia="en-US" w:bidi="ar-SA"/>
      </w:rPr>
    </w:lvl>
    <w:lvl w:ilvl="6">
      <w:numFmt w:val="bullet"/>
      <w:lvlText w:val="•"/>
      <w:lvlJc w:val="left"/>
      <w:pPr>
        <w:ind w:left="6044" w:hanging="1028"/>
      </w:pPr>
      <w:rPr>
        <w:rFonts w:hint="default"/>
        <w:lang w:val="en-US" w:eastAsia="en-US" w:bidi="ar-SA"/>
      </w:rPr>
    </w:lvl>
    <w:lvl w:ilvl="7">
      <w:numFmt w:val="bullet"/>
      <w:lvlText w:val="•"/>
      <w:lvlJc w:val="left"/>
      <w:pPr>
        <w:ind w:left="7053" w:hanging="1028"/>
      </w:pPr>
      <w:rPr>
        <w:rFonts w:hint="default"/>
        <w:lang w:val="en-US" w:eastAsia="en-US" w:bidi="ar-SA"/>
      </w:rPr>
    </w:lvl>
    <w:lvl w:ilvl="8">
      <w:numFmt w:val="bullet"/>
      <w:lvlText w:val="•"/>
      <w:lvlJc w:val="left"/>
      <w:pPr>
        <w:ind w:left="8062" w:hanging="1028"/>
      </w:pPr>
      <w:rPr>
        <w:rFonts w:hint="default"/>
        <w:lang w:val="en-US" w:eastAsia="en-US" w:bidi="ar-SA"/>
      </w:rPr>
    </w:lvl>
  </w:abstractNum>
  <w:abstractNum w:abstractNumId="222" w15:restartNumberingAfterBreak="0">
    <w:nsid w:val="78CA3DBC"/>
    <w:multiLevelType w:val="hybridMultilevel"/>
    <w:tmpl w:val="4B6247A6"/>
    <w:lvl w:ilvl="0" w:tplc="1218938C">
      <w:start w:val="1"/>
      <w:numFmt w:val="upperLetter"/>
      <w:lvlText w:val="(%1)"/>
      <w:lvlJc w:val="left"/>
      <w:pPr>
        <w:ind w:left="851" w:hanging="492"/>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C8F8814A">
      <w:numFmt w:val="bullet"/>
      <w:lvlText w:val="•"/>
      <w:lvlJc w:val="left"/>
      <w:pPr>
        <w:ind w:left="1782" w:hanging="492"/>
      </w:pPr>
      <w:rPr>
        <w:rFonts w:hint="default"/>
        <w:lang w:val="en-US" w:eastAsia="en-US" w:bidi="ar-SA"/>
      </w:rPr>
    </w:lvl>
    <w:lvl w:ilvl="2" w:tplc="8796F1A8">
      <w:numFmt w:val="bullet"/>
      <w:lvlText w:val="•"/>
      <w:lvlJc w:val="left"/>
      <w:pPr>
        <w:ind w:left="2704" w:hanging="492"/>
      </w:pPr>
      <w:rPr>
        <w:rFonts w:hint="default"/>
        <w:lang w:val="en-US" w:eastAsia="en-US" w:bidi="ar-SA"/>
      </w:rPr>
    </w:lvl>
    <w:lvl w:ilvl="3" w:tplc="62F4AEC8">
      <w:numFmt w:val="bullet"/>
      <w:lvlText w:val="•"/>
      <w:lvlJc w:val="left"/>
      <w:pPr>
        <w:ind w:left="3626" w:hanging="492"/>
      </w:pPr>
      <w:rPr>
        <w:rFonts w:hint="default"/>
        <w:lang w:val="en-US" w:eastAsia="en-US" w:bidi="ar-SA"/>
      </w:rPr>
    </w:lvl>
    <w:lvl w:ilvl="4" w:tplc="AA228A0A">
      <w:numFmt w:val="bullet"/>
      <w:lvlText w:val="•"/>
      <w:lvlJc w:val="left"/>
      <w:pPr>
        <w:ind w:left="4548" w:hanging="492"/>
      </w:pPr>
      <w:rPr>
        <w:rFonts w:hint="default"/>
        <w:lang w:val="en-US" w:eastAsia="en-US" w:bidi="ar-SA"/>
      </w:rPr>
    </w:lvl>
    <w:lvl w:ilvl="5" w:tplc="310C2AA4">
      <w:numFmt w:val="bullet"/>
      <w:lvlText w:val="•"/>
      <w:lvlJc w:val="left"/>
      <w:pPr>
        <w:ind w:left="5470" w:hanging="492"/>
      </w:pPr>
      <w:rPr>
        <w:rFonts w:hint="default"/>
        <w:lang w:val="en-US" w:eastAsia="en-US" w:bidi="ar-SA"/>
      </w:rPr>
    </w:lvl>
    <w:lvl w:ilvl="6" w:tplc="4D8446E0">
      <w:numFmt w:val="bullet"/>
      <w:lvlText w:val="•"/>
      <w:lvlJc w:val="left"/>
      <w:pPr>
        <w:ind w:left="6392" w:hanging="492"/>
      </w:pPr>
      <w:rPr>
        <w:rFonts w:hint="default"/>
        <w:lang w:val="en-US" w:eastAsia="en-US" w:bidi="ar-SA"/>
      </w:rPr>
    </w:lvl>
    <w:lvl w:ilvl="7" w:tplc="5A46B562">
      <w:numFmt w:val="bullet"/>
      <w:lvlText w:val="•"/>
      <w:lvlJc w:val="left"/>
      <w:pPr>
        <w:ind w:left="7314" w:hanging="492"/>
      </w:pPr>
      <w:rPr>
        <w:rFonts w:hint="default"/>
        <w:lang w:val="en-US" w:eastAsia="en-US" w:bidi="ar-SA"/>
      </w:rPr>
    </w:lvl>
    <w:lvl w:ilvl="8" w:tplc="E0827DD4">
      <w:numFmt w:val="bullet"/>
      <w:lvlText w:val="•"/>
      <w:lvlJc w:val="left"/>
      <w:pPr>
        <w:ind w:left="8236" w:hanging="492"/>
      </w:pPr>
      <w:rPr>
        <w:rFonts w:hint="default"/>
        <w:lang w:val="en-US" w:eastAsia="en-US" w:bidi="ar-SA"/>
      </w:rPr>
    </w:lvl>
  </w:abstractNum>
  <w:abstractNum w:abstractNumId="223" w15:restartNumberingAfterBreak="0">
    <w:nsid w:val="79770CC2"/>
    <w:multiLevelType w:val="hybridMultilevel"/>
    <w:tmpl w:val="1F86D4A8"/>
    <w:lvl w:ilvl="0" w:tplc="CD26E458">
      <w:start w:val="1"/>
      <w:numFmt w:val="decimal"/>
      <w:lvlText w:val="(%1)"/>
      <w:lvlJc w:val="left"/>
      <w:pPr>
        <w:ind w:left="360" w:hanging="42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2566630">
      <w:numFmt w:val="bullet"/>
      <w:lvlText w:val="•"/>
      <w:lvlJc w:val="left"/>
      <w:pPr>
        <w:ind w:left="1332" w:hanging="427"/>
      </w:pPr>
      <w:rPr>
        <w:rFonts w:hint="default"/>
        <w:lang w:val="en-US" w:eastAsia="en-US" w:bidi="ar-SA"/>
      </w:rPr>
    </w:lvl>
    <w:lvl w:ilvl="2" w:tplc="E0A47BF2">
      <w:numFmt w:val="bullet"/>
      <w:lvlText w:val="•"/>
      <w:lvlJc w:val="left"/>
      <w:pPr>
        <w:ind w:left="2304" w:hanging="427"/>
      </w:pPr>
      <w:rPr>
        <w:rFonts w:hint="default"/>
        <w:lang w:val="en-US" w:eastAsia="en-US" w:bidi="ar-SA"/>
      </w:rPr>
    </w:lvl>
    <w:lvl w:ilvl="3" w:tplc="600E4D70">
      <w:numFmt w:val="bullet"/>
      <w:lvlText w:val="•"/>
      <w:lvlJc w:val="left"/>
      <w:pPr>
        <w:ind w:left="3276" w:hanging="427"/>
      </w:pPr>
      <w:rPr>
        <w:rFonts w:hint="default"/>
        <w:lang w:val="en-US" w:eastAsia="en-US" w:bidi="ar-SA"/>
      </w:rPr>
    </w:lvl>
    <w:lvl w:ilvl="4" w:tplc="21A05308">
      <w:numFmt w:val="bullet"/>
      <w:lvlText w:val="•"/>
      <w:lvlJc w:val="left"/>
      <w:pPr>
        <w:ind w:left="4248" w:hanging="427"/>
      </w:pPr>
      <w:rPr>
        <w:rFonts w:hint="default"/>
        <w:lang w:val="en-US" w:eastAsia="en-US" w:bidi="ar-SA"/>
      </w:rPr>
    </w:lvl>
    <w:lvl w:ilvl="5" w:tplc="E120241E">
      <w:numFmt w:val="bullet"/>
      <w:lvlText w:val="•"/>
      <w:lvlJc w:val="left"/>
      <w:pPr>
        <w:ind w:left="5220" w:hanging="427"/>
      </w:pPr>
      <w:rPr>
        <w:rFonts w:hint="default"/>
        <w:lang w:val="en-US" w:eastAsia="en-US" w:bidi="ar-SA"/>
      </w:rPr>
    </w:lvl>
    <w:lvl w:ilvl="6" w:tplc="1B4A28FC">
      <w:numFmt w:val="bullet"/>
      <w:lvlText w:val="•"/>
      <w:lvlJc w:val="left"/>
      <w:pPr>
        <w:ind w:left="6192" w:hanging="427"/>
      </w:pPr>
      <w:rPr>
        <w:rFonts w:hint="default"/>
        <w:lang w:val="en-US" w:eastAsia="en-US" w:bidi="ar-SA"/>
      </w:rPr>
    </w:lvl>
    <w:lvl w:ilvl="7" w:tplc="C796509E">
      <w:numFmt w:val="bullet"/>
      <w:lvlText w:val="•"/>
      <w:lvlJc w:val="left"/>
      <w:pPr>
        <w:ind w:left="7164" w:hanging="427"/>
      </w:pPr>
      <w:rPr>
        <w:rFonts w:hint="default"/>
        <w:lang w:val="en-US" w:eastAsia="en-US" w:bidi="ar-SA"/>
      </w:rPr>
    </w:lvl>
    <w:lvl w:ilvl="8" w:tplc="33F2501C">
      <w:numFmt w:val="bullet"/>
      <w:lvlText w:val="•"/>
      <w:lvlJc w:val="left"/>
      <w:pPr>
        <w:ind w:left="8136" w:hanging="427"/>
      </w:pPr>
      <w:rPr>
        <w:rFonts w:hint="default"/>
        <w:lang w:val="en-US" w:eastAsia="en-US" w:bidi="ar-SA"/>
      </w:rPr>
    </w:lvl>
  </w:abstractNum>
  <w:abstractNum w:abstractNumId="224" w15:restartNumberingAfterBreak="0">
    <w:nsid w:val="79C37BB1"/>
    <w:multiLevelType w:val="hybridMultilevel"/>
    <w:tmpl w:val="0402183C"/>
    <w:lvl w:ilvl="0" w:tplc="FDEE5794">
      <w:start w:val="1"/>
      <w:numFmt w:val="lowerRoman"/>
      <w:lvlText w:val="(%1)"/>
      <w:lvlJc w:val="left"/>
      <w:pPr>
        <w:ind w:left="360" w:hanging="37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7F8B644">
      <w:numFmt w:val="bullet"/>
      <w:lvlText w:val="•"/>
      <w:lvlJc w:val="left"/>
      <w:pPr>
        <w:ind w:left="1332" w:hanging="370"/>
      </w:pPr>
      <w:rPr>
        <w:rFonts w:hint="default"/>
        <w:lang w:val="en-US" w:eastAsia="en-US" w:bidi="ar-SA"/>
      </w:rPr>
    </w:lvl>
    <w:lvl w:ilvl="2" w:tplc="CC58CC32">
      <w:numFmt w:val="bullet"/>
      <w:lvlText w:val="•"/>
      <w:lvlJc w:val="left"/>
      <w:pPr>
        <w:ind w:left="2304" w:hanging="370"/>
      </w:pPr>
      <w:rPr>
        <w:rFonts w:hint="default"/>
        <w:lang w:val="en-US" w:eastAsia="en-US" w:bidi="ar-SA"/>
      </w:rPr>
    </w:lvl>
    <w:lvl w:ilvl="3" w:tplc="43D0FD50">
      <w:numFmt w:val="bullet"/>
      <w:lvlText w:val="•"/>
      <w:lvlJc w:val="left"/>
      <w:pPr>
        <w:ind w:left="3276" w:hanging="370"/>
      </w:pPr>
      <w:rPr>
        <w:rFonts w:hint="default"/>
        <w:lang w:val="en-US" w:eastAsia="en-US" w:bidi="ar-SA"/>
      </w:rPr>
    </w:lvl>
    <w:lvl w:ilvl="4" w:tplc="A9EAF726">
      <w:numFmt w:val="bullet"/>
      <w:lvlText w:val="•"/>
      <w:lvlJc w:val="left"/>
      <w:pPr>
        <w:ind w:left="4248" w:hanging="370"/>
      </w:pPr>
      <w:rPr>
        <w:rFonts w:hint="default"/>
        <w:lang w:val="en-US" w:eastAsia="en-US" w:bidi="ar-SA"/>
      </w:rPr>
    </w:lvl>
    <w:lvl w:ilvl="5" w:tplc="13609E7E">
      <w:numFmt w:val="bullet"/>
      <w:lvlText w:val="•"/>
      <w:lvlJc w:val="left"/>
      <w:pPr>
        <w:ind w:left="5220" w:hanging="370"/>
      </w:pPr>
      <w:rPr>
        <w:rFonts w:hint="default"/>
        <w:lang w:val="en-US" w:eastAsia="en-US" w:bidi="ar-SA"/>
      </w:rPr>
    </w:lvl>
    <w:lvl w:ilvl="6" w:tplc="ADB2F916">
      <w:numFmt w:val="bullet"/>
      <w:lvlText w:val="•"/>
      <w:lvlJc w:val="left"/>
      <w:pPr>
        <w:ind w:left="6192" w:hanging="370"/>
      </w:pPr>
      <w:rPr>
        <w:rFonts w:hint="default"/>
        <w:lang w:val="en-US" w:eastAsia="en-US" w:bidi="ar-SA"/>
      </w:rPr>
    </w:lvl>
    <w:lvl w:ilvl="7" w:tplc="46F49308">
      <w:numFmt w:val="bullet"/>
      <w:lvlText w:val="•"/>
      <w:lvlJc w:val="left"/>
      <w:pPr>
        <w:ind w:left="7164" w:hanging="370"/>
      </w:pPr>
      <w:rPr>
        <w:rFonts w:hint="default"/>
        <w:lang w:val="en-US" w:eastAsia="en-US" w:bidi="ar-SA"/>
      </w:rPr>
    </w:lvl>
    <w:lvl w:ilvl="8" w:tplc="08FAD1D0">
      <w:numFmt w:val="bullet"/>
      <w:lvlText w:val="•"/>
      <w:lvlJc w:val="left"/>
      <w:pPr>
        <w:ind w:left="8136" w:hanging="370"/>
      </w:pPr>
      <w:rPr>
        <w:rFonts w:hint="default"/>
        <w:lang w:val="en-US" w:eastAsia="en-US" w:bidi="ar-SA"/>
      </w:rPr>
    </w:lvl>
  </w:abstractNum>
  <w:abstractNum w:abstractNumId="225" w15:restartNumberingAfterBreak="0">
    <w:nsid w:val="7A1B4114"/>
    <w:multiLevelType w:val="multilevel"/>
    <w:tmpl w:val="DC287C88"/>
    <w:lvl w:ilvl="0">
      <w:start w:val="3"/>
      <w:numFmt w:val="decimal"/>
      <w:lvlText w:val="%1"/>
      <w:lvlJc w:val="left"/>
      <w:pPr>
        <w:ind w:left="990" w:hanging="630"/>
        <w:jc w:val="left"/>
      </w:pPr>
      <w:rPr>
        <w:rFonts w:hint="default"/>
        <w:lang w:val="en-US" w:eastAsia="en-US" w:bidi="ar-SA"/>
      </w:rPr>
    </w:lvl>
    <w:lvl w:ilvl="1">
      <w:numFmt w:val="decimal"/>
      <w:lvlText w:val="%1.%2"/>
      <w:lvlJc w:val="left"/>
      <w:pPr>
        <w:ind w:left="990" w:hanging="630"/>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16" w:hanging="630"/>
      </w:pPr>
      <w:rPr>
        <w:rFonts w:hint="default"/>
        <w:lang w:val="en-US" w:eastAsia="en-US" w:bidi="ar-SA"/>
      </w:rPr>
    </w:lvl>
    <w:lvl w:ilvl="3">
      <w:numFmt w:val="bullet"/>
      <w:lvlText w:val="•"/>
      <w:lvlJc w:val="left"/>
      <w:pPr>
        <w:ind w:left="3724" w:hanging="630"/>
      </w:pPr>
      <w:rPr>
        <w:rFonts w:hint="default"/>
        <w:lang w:val="en-US" w:eastAsia="en-US" w:bidi="ar-SA"/>
      </w:rPr>
    </w:lvl>
    <w:lvl w:ilvl="4">
      <w:numFmt w:val="bullet"/>
      <w:lvlText w:val="•"/>
      <w:lvlJc w:val="left"/>
      <w:pPr>
        <w:ind w:left="4632" w:hanging="630"/>
      </w:pPr>
      <w:rPr>
        <w:rFonts w:hint="default"/>
        <w:lang w:val="en-US" w:eastAsia="en-US" w:bidi="ar-SA"/>
      </w:rPr>
    </w:lvl>
    <w:lvl w:ilvl="5">
      <w:numFmt w:val="bullet"/>
      <w:lvlText w:val="•"/>
      <w:lvlJc w:val="left"/>
      <w:pPr>
        <w:ind w:left="5540" w:hanging="630"/>
      </w:pPr>
      <w:rPr>
        <w:rFonts w:hint="default"/>
        <w:lang w:val="en-US" w:eastAsia="en-US" w:bidi="ar-SA"/>
      </w:rPr>
    </w:lvl>
    <w:lvl w:ilvl="6">
      <w:numFmt w:val="bullet"/>
      <w:lvlText w:val="•"/>
      <w:lvlJc w:val="left"/>
      <w:pPr>
        <w:ind w:left="6448" w:hanging="630"/>
      </w:pPr>
      <w:rPr>
        <w:rFonts w:hint="default"/>
        <w:lang w:val="en-US" w:eastAsia="en-US" w:bidi="ar-SA"/>
      </w:rPr>
    </w:lvl>
    <w:lvl w:ilvl="7">
      <w:numFmt w:val="bullet"/>
      <w:lvlText w:val="•"/>
      <w:lvlJc w:val="left"/>
      <w:pPr>
        <w:ind w:left="7356" w:hanging="630"/>
      </w:pPr>
      <w:rPr>
        <w:rFonts w:hint="default"/>
        <w:lang w:val="en-US" w:eastAsia="en-US" w:bidi="ar-SA"/>
      </w:rPr>
    </w:lvl>
    <w:lvl w:ilvl="8">
      <w:numFmt w:val="bullet"/>
      <w:lvlText w:val="•"/>
      <w:lvlJc w:val="left"/>
      <w:pPr>
        <w:ind w:left="8264" w:hanging="630"/>
      </w:pPr>
      <w:rPr>
        <w:rFonts w:hint="default"/>
        <w:lang w:val="en-US" w:eastAsia="en-US" w:bidi="ar-SA"/>
      </w:rPr>
    </w:lvl>
  </w:abstractNum>
  <w:abstractNum w:abstractNumId="226" w15:restartNumberingAfterBreak="0">
    <w:nsid w:val="7A931E56"/>
    <w:multiLevelType w:val="multilevel"/>
    <w:tmpl w:val="E2FA4552"/>
    <w:lvl w:ilvl="0">
      <w:start w:val="3"/>
      <w:numFmt w:val="decimal"/>
      <w:lvlText w:val="%1"/>
      <w:lvlJc w:val="left"/>
      <w:pPr>
        <w:ind w:left="1080" w:hanging="1132"/>
        <w:jc w:val="left"/>
      </w:pPr>
      <w:rPr>
        <w:rFonts w:hint="default"/>
        <w:lang w:val="en-US" w:eastAsia="en-US" w:bidi="ar-SA"/>
      </w:rPr>
    </w:lvl>
    <w:lvl w:ilvl="1">
      <w:numFmt w:val="decimal"/>
      <w:lvlText w:val="%1.%2"/>
      <w:lvlJc w:val="left"/>
      <w:pPr>
        <w:ind w:left="1080" w:hanging="1132"/>
        <w:jc w:val="left"/>
      </w:pPr>
      <w:rPr>
        <w:rFonts w:ascii="Times New Roman" w:eastAsia="Times New Roman" w:hAnsi="Times New Roman" w:cs="Times New Roman" w:hint="default"/>
        <w:b/>
        <w:bCs/>
        <w:i w:val="0"/>
        <w:iCs w:val="0"/>
        <w:spacing w:val="0"/>
        <w:w w:val="100"/>
        <w:sz w:val="42"/>
        <w:szCs w:val="42"/>
        <w:lang w:val="en-US" w:eastAsia="en-US" w:bidi="ar-SA"/>
      </w:rPr>
    </w:lvl>
    <w:lvl w:ilvl="2">
      <w:numFmt w:val="bullet"/>
      <w:lvlText w:val="•"/>
      <w:lvlJc w:val="left"/>
      <w:pPr>
        <w:ind w:left="2880" w:hanging="1132"/>
      </w:pPr>
      <w:rPr>
        <w:rFonts w:hint="default"/>
        <w:lang w:val="en-US" w:eastAsia="en-US" w:bidi="ar-SA"/>
      </w:rPr>
    </w:lvl>
    <w:lvl w:ilvl="3">
      <w:numFmt w:val="bullet"/>
      <w:lvlText w:val="•"/>
      <w:lvlJc w:val="left"/>
      <w:pPr>
        <w:ind w:left="3780" w:hanging="1132"/>
      </w:pPr>
      <w:rPr>
        <w:rFonts w:hint="default"/>
        <w:lang w:val="en-US" w:eastAsia="en-US" w:bidi="ar-SA"/>
      </w:rPr>
    </w:lvl>
    <w:lvl w:ilvl="4">
      <w:numFmt w:val="bullet"/>
      <w:lvlText w:val="•"/>
      <w:lvlJc w:val="left"/>
      <w:pPr>
        <w:ind w:left="4680" w:hanging="1132"/>
      </w:pPr>
      <w:rPr>
        <w:rFonts w:hint="default"/>
        <w:lang w:val="en-US" w:eastAsia="en-US" w:bidi="ar-SA"/>
      </w:rPr>
    </w:lvl>
    <w:lvl w:ilvl="5">
      <w:numFmt w:val="bullet"/>
      <w:lvlText w:val="•"/>
      <w:lvlJc w:val="left"/>
      <w:pPr>
        <w:ind w:left="5580" w:hanging="1132"/>
      </w:pPr>
      <w:rPr>
        <w:rFonts w:hint="default"/>
        <w:lang w:val="en-US" w:eastAsia="en-US" w:bidi="ar-SA"/>
      </w:rPr>
    </w:lvl>
    <w:lvl w:ilvl="6">
      <w:numFmt w:val="bullet"/>
      <w:lvlText w:val="•"/>
      <w:lvlJc w:val="left"/>
      <w:pPr>
        <w:ind w:left="6480" w:hanging="1132"/>
      </w:pPr>
      <w:rPr>
        <w:rFonts w:hint="default"/>
        <w:lang w:val="en-US" w:eastAsia="en-US" w:bidi="ar-SA"/>
      </w:rPr>
    </w:lvl>
    <w:lvl w:ilvl="7">
      <w:numFmt w:val="bullet"/>
      <w:lvlText w:val="•"/>
      <w:lvlJc w:val="left"/>
      <w:pPr>
        <w:ind w:left="7380" w:hanging="1132"/>
      </w:pPr>
      <w:rPr>
        <w:rFonts w:hint="default"/>
        <w:lang w:val="en-US" w:eastAsia="en-US" w:bidi="ar-SA"/>
      </w:rPr>
    </w:lvl>
    <w:lvl w:ilvl="8">
      <w:numFmt w:val="bullet"/>
      <w:lvlText w:val="•"/>
      <w:lvlJc w:val="left"/>
      <w:pPr>
        <w:ind w:left="8280" w:hanging="1132"/>
      </w:pPr>
      <w:rPr>
        <w:rFonts w:hint="default"/>
        <w:lang w:val="en-US" w:eastAsia="en-US" w:bidi="ar-SA"/>
      </w:rPr>
    </w:lvl>
  </w:abstractNum>
  <w:abstractNum w:abstractNumId="227" w15:restartNumberingAfterBreak="0">
    <w:nsid w:val="7C6755BA"/>
    <w:multiLevelType w:val="hybridMultilevel"/>
    <w:tmpl w:val="18389884"/>
    <w:lvl w:ilvl="0" w:tplc="8348D484">
      <w:start w:val="1"/>
      <w:numFmt w:val="decimal"/>
      <w:lvlText w:val="(%1)"/>
      <w:lvlJc w:val="left"/>
      <w:pPr>
        <w:ind w:left="360" w:hanging="44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3900F48">
      <w:numFmt w:val="bullet"/>
      <w:lvlText w:val="•"/>
      <w:lvlJc w:val="left"/>
      <w:pPr>
        <w:ind w:left="1332" w:hanging="440"/>
      </w:pPr>
      <w:rPr>
        <w:rFonts w:hint="default"/>
        <w:lang w:val="en-US" w:eastAsia="en-US" w:bidi="ar-SA"/>
      </w:rPr>
    </w:lvl>
    <w:lvl w:ilvl="2" w:tplc="BD2E0374">
      <w:numFmt w:val="bullet"/>
      <w:lvlText w:val="•"/>
      <w:lvlJc w:val="left"/>
      <w:pPr>
        <w:ind w:left="2304" w:hanging="440"/>
      </w:pPr>
      <w:rPr>
        <w:rFonts w:hint="default"/>
        <w:lang w:val="en-US" w:eastAsia="en-US" w:bidi="ar-SA"/>
      </w:rPr>
    </w:lvl>
    <w:lvl w:ilvl="3" w:tplc="EDA4729E">
      <w:numFmt w:val="bullet"/>
      <w:lvlText w:val="•"/>
      <w:lvlJc w:val="left"/>
      <w:pPr>
        <w:ind w:left="3276" w:hanging="440"/>
      </w:pPr>
      <w:rPr>
        <w:rFonts w:hint="default"/>
        <w:lang w:val="en-US" w:eastAsia="en-US" w:bidi="ar-SA"/>
      </w:rPr>
    </w:lvl>
    <w:lvl w:ilvl="4" w:tplc="7B8C4408">
      <w:numFmt w:val="bullet"/>
      <w:lvlText w:val="•"/>
      <w:lvlJc w:val="left"/>
      <w:pPr>
        <w:ind w:left="4248" w:hanging="440"/>
      </w:pPr>
      <w:rPr>
        <w:rFonts w:hint="default"/>
        <w:lang w:val="en-US" w:eastAsia="en-US" w:bidi="ar-SA"/>
      </w:rPr>
    </w:lvl>
    <w:lvl w:ilvl="5" w:tplc="37807BD2">
      <w:numFmt w:val="bullet"/>
      <w:lvlText w:val="•"/>
      <w:lvlJc w:val="left"/>
      <w:pPr>
        <w:ind w:left="5220" w:hanging="440"/>
      </w:pPr>
      <w:rPr>
        <w:rFonts w:hint="default"/>
        <w:lang w:val="en-US" w:eastAsia="en-US" w:bidi="ar-SA"/>
      </w:rPr>
    </w:lvl>
    <w:lvl w:ilvl="6" w:tplc="A0BCDCC0">
      <w:numFmt w:val="bullet"/>
      <w:lvlText w:val="•"/>
      <w:lvlJc w:val="left"/>
      <w:pPr>
        <w:ind w:left="6192" w:hanging="440"/>
      </w:pPr>
      <w:rPr>
        <w:rFonts w:hint="default"/>
        <w:lang w:val="en-US" w:eastAsia="en-US" w:bidi="ar-SA"/>
      </w:rPr>
    </w:lvl>
    <w:lvl w:ilvl="7" w:tplc="349E0AA2">
      <w:numFmt w:val="bullet"/>
      <w:lvlText w:val="•"/>
      <w:lvlJc w:val="left"/>
      <w:pPr>
        <w:ind w:left="7164" w:hanging="440"/>
      </w:pPr>
      <w:rPr>
        <w:rFonts w:hint="default"/>
        <w:lang w:val="en-US" w:eastAsia="en-US" w:bidi="ar-SA"/>
      </w:rPr>
    </w:lvl>
    <w:lvl w:ilvl="8" w:tplc="566A8782">
      <w:numFmt w:val="bullet"/>
      <w:lvlText w:val="•"/>
      <w:lvlJc w:val="left"/>
      <w:pPr>
        <w:ind w:left="8136" w:hanging="440"/>
      </w:pPr>
      <w:rPr>
        <w:rFonts w:hint="default"/>
        <w:lang w:val="en-US" w:eastAsia="en-US" w:bidi="ar-SA"/>
      </w:rPr>
    </w:lvl>
  </w:abstractNum>
  <w:abstractNum w:abstractNumId="228" w15:restartNumberingAfterBreak="0">
    <w:nsid w:val="7D4643D2"/>
    <w:multiLevelType w:val="hybridMultilevel"/>
    <w:tmpl w:val="FDAC6AE6"/>
    <w:lvl w:ilvl="0" w:tplc="6E4A8B82">
      <w:start w:val="1"/>
      <w:numFmt w:val="decimal"/>
      <w:lvlText w:val="%1."/>
      <w:lvlJc w:val="left"/>
      <w:pPr>
        <w:ind w:left="66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442A054">
      <w:numFmt w:val="bullet"/>
      <w:lvlText w:val="•"/>
      <w:lvlJc w:val="left"/>
      <w:pPr>
        <w:ind w:left="1602" w:hanging="300"/>
      </w:pPr>
      <w:rPr>
        <w:rFonts w:hint="default"/>
        <w:lang w:val="en-US" w:eastAsia="en-US" w:bidi="ar-SA"/>
      </w:rPr>
    </w:lvl>
    <w:lvl w:ilvl="2" w:tplc="62E09924">
      <w:numFmt w:val="bullet"/>
      <w:lvlText w:val="•"/>
      <w:lvlJc w:val="left"/>
      <w:pPr>
        <w:ind w:left="2544" w:hanging="300"/>
      </w:pPr>
      <w:rPr>
        <w:rFonts w:hint="default"/>
        <w:lang w:val="en-US" w:eastAsia="en-US" w:bidi="ar-SA"/>
      </w:rPr>
    </w:lvl>
    <w:lvl w:ilvl="3" w:tplc="A0E88C54">
      <w:numFmt w:val="bullet"/>
      <w:lvlText w:val="•"/>
      <w:lvlJc w:val="left"/>
      <w:pPr>
        <w:ind w:left="3486" w:hanging="300"/>
      </w:pPr>
      <w:rPr>
        <w:rFonts w:hint="default"/>
        <w:lang w:val="en-US" w:eastAsia="en-US" w:bidi="ar-SA"/>
      </w:rPr>
    </w:lvl>
    <w:lvl w:ilvl="4" w:tplc="EEAA8750">
      <w:numFmt w:val="bullet"/>
      <w:lvlText w:val="•"/>
      <w:lvlJc w:val="left"/>
      <w:pPr>
        <w:ind w:left="4428" w:hanging="300"/>
      </w:pPr>
      <w:rPr>
        <w:rFonts w:hint="default"/>
        <w:lang w:val="en-US" w:eastAsia="en-US" w:bidi="ar-SA"/>
      </w:rPr>
    </w:lvl>
    <w:lvl w:ilvl="5" w:tplc="961E8E9E">
      <w:numFmt w:val="bullet"/>
      <w:lvlText w:val="•"/>
      <w:lvlJc w:val="left"/>
      <w:pPr>
        <w:ind w:left="5370" w:hanging="300"/>
      </w:pPr>
      <w:rPr>
        <w:rFonts w:hint="default"/>
        <w:lang w:val="en-US" w:eastAsia="en-US" w:bidi="ar-SA"/>
      </w:rPr>
    </w:lvl>
    <w:lvl w:ilvl="6" w:tplc="B69AE408">
      <w:numFmt w:val="bullet"/>
      <w:lvlText w:val="•"/>
      <w:lvlJc w:val="left"/>
      <w:pPr>
        <w:ind w:left="6312" w:hanging="300"/>
      </w:pPr>
      <w:rPr>
        <w:rFonts w:hint="default"/>
        <w:lang w:val="en-US" w:eastAsia="en-US" w:bidi="ar-SA"/>
      </w:rPr>
    </w:lvl>
    <w:lvl w:ilvl="7" w:tplc="8EA84DF0">
      <w:numFmt w:val="bullet"/>
      <w:lvlText w:val="•"/>
      <w:lvlJc w:val="left"/>
      <w:pPr>
        <w:ind w:left="7254" w:hanging="300"/>
      </w:pPr>
      <w:rPr>
        <w:rFonts w:hint="default"/>
        <w:lang w:val="en-US" w:eastAsia="en-US" w:bidi="ar-SA"/>
      </w:rPr>
    </w:lvl>
    <w:lvl w:ilvl="8" w:tplc="3F7AA3EE">
      <w:numFmt w:val="bullet"/>
      <w:lvlText w:val="•"/>
      <w:lvlJc w:val="left"/>
      <w:pPr>
        <w:ind w:left="8196" w:hanging="300"/>
      </w:pPr>
      <w:rPr>
        <w:rFonts w:hint="default"/>
        <w:lang w:val="en-US" w:eastAsia="en-US" w:bidi="ar-SA"/>
      </w:rPr>
    </w:lvl>
  </w:abstractNum>
  <w:abstractNum w:abstractNumId="229" w15:restartNumberingAfterBreak="0">
    <w:nsid w:val="7DA74C26"/>
    <w:multiLevelType w:val="hybridMultilevel"/>
    <w:tmpl w:val="0054CDF6"/>
    <w:lvl w:ilvl="0" w:tplc="04CC6ED4">
      <w:start w:val="1"/>
      <w:numFmt w:val="decimal"/>
      <w:lvlText w:val="(%1)"/>
      <w:lvlJc w:val="left"/>
      <w:pPr>
        <w:ind w:left="859" w:hanging="50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178477C4">
      <w:numFmt w:val="bullet"/>
      <w:lvlText w:val="•"/>
      <w:lvlJc w:val="left"/>
      <w:pPr>
        <w:ind w:left="1782" w:hanging="500"/>
      </w:pPr>
      <w:rPr>
        <w:rFonts w:hint="default"/>
        <w:lang w:val="en-US" w:eastAsia="en-US" w:bidi="ar-SA"/>
      </w:rPr>
    </w:lvl>
    <w:lvl w:ilvl="2" w:tplc="2FCE4104">
      <w:numFmt w:val="bullet"/>
      <w:lvlText w:val="•"/>
      <w:lvlJc w:val="left"/>
      <w:pPr>
        <w:ind w:left="2704" w:hanging="500"/>
      </w:pPr>
      <w:rPr>
        <w:rFonts w:hint="default"/>
        <w:lang w:val="en-US" w:eastAsia="en-US" w:bidi="ar-SA"/>
      </w:rPr>
    </w:lvl>
    <w:lvl w:ilvl="3" w:tplc="AE4ADE34">
      <w:numFmt w:val="bullet"/>
      <w:lvlText w:val="•"/>
      <w:lvlJc w:val="left"/>
      <w:pPr>
        <w:ind w:left="3626" w:hanging="500"/>
      </w:pPr>
      <w:rPr>
        <w:rFonts w:hint="default"/>
        <w:lang w:val="en-US" w:eastAsia="en-US" w:bidi="ar-SA"/>
      </w:rPr>
    </w:lvl>
    <w:lvl w:ilvl="4" w:tplc="00143FEA">
      <w:numFmt w:val="bullet"/>
      <w:lvlText w:val="•"/>
      <w:lvlJc w:val="left"/>
      <w:pPr>
        <w:ind w:left="4548" w:hanging="500"/>
      </w:pPr>
      <w:rPr>
        <w:rFonts w:hint="default"/>
        <w:lang w:val="en-US" w:eastAsia="en-US" w:bidi="ar-SA"/>
      </w:rPr>
    </w:lvl>
    <w:lvl w:ilvl="5" w:tplc="61CC665C">
      <w:numFmt w:val="bullet"/>
      <w:lvlText w:val="•"/>
      <w:lvlJc w:val="left"/>
      <w:pPr>
        <w:ind w:left="5470" w:hanging="500"/>
      </w:pPr>
      <w:rPr>
        <w:rFonts w:hint="default"/>
        <w:lang w:val="en-US" w:eastAsia="en-US" w:bidi="ar-SA"/>
      </w:rPr>
    </w:lvl>
    <w:lvl w:ilvl="6" w:tplc="6A6E6F36">
      <w:numFmt w:val="bullet"/>
      <w:lvlText w:val="•"/>
      <w:lvlJc w:val="left"/>
      <w:pPr>
        <w:ind w:left="6392" w:hanging="500"/>
      </w:pPr>
      <w:rPr>
        <w:rFonts w:hint="default"/>
        <w:lang w:val="en-US" w:eastAsia="en-US" w:bidi="ar-SA"/>
      </w:rPr>
    </w:lvl>
    <w:lvl w:ilvl="7" w:tplc="09E4CB3E">
      <w:numFmt w:val="bullet"/>
      <w:lvlText w:val="•"/>
      <w:lvlJc w:val="left"/>
      <w:pPr>
        <w:ind w:left="7314" w:hanging="500"/>
      </w:pPr>
      <w:rPr>
        <w:rFonts w:hint="default"/>
        <w:lang w:val="en-US" w:eastAsia="en-US" w:bidi="ar-SA"/>
      </w:rPr>
    </w:lvl>
    <w:lvl w:ilvl="8" w:tplc="7CF43C94">
      <w:numFmt w:val="bullet"/>
      <w:lvlText w:val="•"/>
      <w:lvlJc w:val="left"/>
      <w:pPr>
        <w:ind w:left="8236" w:hanging="500"/>
      </w:pPr>
      <w:rPr>
        <w:rFonts w:hint="default"/>
        <w:lang w:val="en-US" w:eastAsia="en-US" w:bidi="ar-SA"/>
      </w:rPr>
    </w:lvl>
  </w:abstractNum>
  <w:abstractNum w:abstractNumId="230" w15:restartNumberingAfterBreak="0">
    <w:nsid w:val="7F70356A"/>
    <w:multiLevelType w:val="hybridMultilevel"/>
    <w:tmpl w:val="BFA6E884"/>
    <w:lvl w:ilvl="0" w:tplc="A8CE4FA6">
      <w:start w:val="5"/>
      <w:numFmt w:val="decimal"/>
      <w:lvlText w:val="(%1)"/>
      <w:lvlJc w:val="left"/>
      <w:pPr>
        <w:ind w:left="360" w:hanging="45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E7705CFC">
      <w:start w:val="1"/>
      <w:numFmt w:val="lowerRoman"/>
      <w:lvlText w:val="(%2)"/>
      <w:lvlJc w:val="left"/>
      <w:pPr>
        <w:ind w:left="735" w:hanging="37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AC42E0C6">
      <w:numFmt w:val="bullet"/>
      <w:lvlText w:val="•"/>
      <w:lvlJc w:val="left"/>
      <w:pPr>
        <w:ind w:left="1777" w:hanging="376"/>
      </w:pPr>
      <w:rPr>
        <w:rFonts w:hint="default"/>
        <w:lang w:val="en-US" w:eastAsia="en-US" w:bidi="ar-SA"/>
      </w:rPr>
    </w:lvl>
    <w:lvl w:ilvl="3" w:tplc="BF98CD68">
      <w:numFmt w:val="bullet"/>
      <w:lvlText w:val="•"/>
      <w:lvlJc w:val="left"/>
      <w:pPr>
        <w:ind w:left="2815" w:hanging="376"/>
      </w:pPr>
      <w:rPr>
        <w:rFonts w:hint="default"/>
        <w:lang w:val="en-US" w:eastAsia="en-US" w:bidi="ar-SA"/>
      </w:rPr>
    </w:lvl>
    <w:lvl w:ilvl="4" w:tplc="8EB67C0A">
      <w:numFmt w:val="bullet"/>
      <w:lvlText w:val="•"/>
      <w:lvlJc w:val="left"/>
      <w:pPr>
        <w:ind w:left="3853" w:hanging="376"/>
      </w:pPr>
      <w:rPr>
        <w:rFonts w:hint="default"/>
        <w:lang w:val="en-US" w:eastAsia="en-US" w:bidi="ar-SA"/>
      </w:rPr>
    </w:lvl>
    <w:lvl w:ilvl="5" w:tplc="F78E88E4">
      <w:numFmt w:val="bullet"/>
      <w:lvlText w:val="•"/>
      <w:lvlJc w:val="left"/>
      <w:pPr>
        <w:ind w:left="4891" w:hanging="376"/>
      </w:pPr>
      <w:rPr>
        <w:rFonts w:hint="default"/>
        <w:lang w:val="en-US" w:eastAsia="en-US" w:bidi="ar-SA"/>
      </w:rPr>
    </w:lvl>
    <w:lvl w:ilvl="6" w:tplc="2CCE27D6">
      <w:numFmt w:val="bullet"/>
      <w:lvlText w:val="•"/>
      <w:lvlJc w:val="left"/>
      <w:pPr>
        <w:ind w:left="5928" w:hanging="376"/>
      </w:pPr>
      <w:rPr>
        <w:rFonts w:hint="default"/>
        <w:lang w:val="en-US" w:eastAsia="en-US" w:bidi="ar-SA"/>
      </w:rPr>
    </w:lvl>
    <w:lvl w:ilvl="7" w:tplc="972CF7F8">
      <w:numFmt w:val="bullet"/>
      <w:lvlText w:val="•"/>
      <w:lvlJc w:val="left"/>
      <w:pPr>
        <w:ind w:left="6966" w:hanging="376"/>
      </w:pPr>
      <w:rPr>
        <w:rFonts w:hint="default"/>
        <w:lang w:val="en-US" w:eastAsia="en-US" w:bidi="ar-SA"/>
      </w:rPr>
    </w:lvl>
    <w:lvl w:ilvl="8" w:tplc="780602E8">
      <w:numFmt w:val="bullet"/>
      <w:lvlText w:val="•"/>
      <w:lvlJc w:val="left"/>
      <w:pPr>
        <w:ind w:left="8004" w:hanging="376"/>
      </w:pPr>
      <w:rPr>
        <w:rFonts w:hint="default"/>
        <w:lang w:val="en-US" w:eastAsia="en-US" w:bidi="ar-SA"/>
      </w:rPr>
    </w:lvl>
  </w:abstractNum>
  <w:num w:numId="1" w16cid:durableId="993681188">
    <w:abstractNumId w:val="175"/>
  </w:num>
  <w:num w:numId="2" w16cid:durableId="2009598611">
    <w:abstractNumId w:val="62"/>
  </w:num>
  <w:num w:numId="3" w16cid:durableId="963802886">
    <w:abstractNumId w:val="76"/>
  </w:num>
  <w:num w:numId="4" w16cid:durableId="1615213287">
    <w:abstractNumId w:val="215"/>
  </w:num>
  <w:num w:numId="5" w16cid:durableId="1892693499">
    <w:abstractNumId w:val="129"/>
  </w:num>
  <w:num w:numId="6" w16cid:durableId="737558748">
    <w:abstractNumId w:val="2"/>
  </w:num>
  <w:num w:numId="7" w16cid:durableId="1803766807">
    <w:abstractNumId w:val="92"/>
  </w:num>
  <w:num w:numId="8" w16cid:durableId="297497087">
    <w:abstractNumId w:val="183"/>
  </w:num>
  <w:num w:numId="9" w16cid:durableId="987251170">
    <w:abstractNumId w:val="20"/>
  </w:num>
  <w:num w:numId="10" w16cid:durableId="1218511734">
    <w:abstractNumId w:val="28"/>
  </w:num>
  <w:num w:numId="11" w16cid:durableId="148179552">
    <w:abstractNumId w:val="29"/>
  </w:num>
  <w:num w:numId="12" w16cid:durableId="1100685112">
    <w:abstractNumId w:val="168"/>
  </w:num>
  <w:num w:numId="13" w16cid:durableId="640888619">
    <w:abstractNumId w:val="9"/>
  </w:num>
  <w:num w:numId="14" w16cid:durableId="1689060548">
    <w:abstractNumId w:val="61"/>
  </w:num>
  <w:num w:numId="15" w16cid:durableId="1422532662">
    <w:abstractNumId w:val="181"/>
  </w:num>
  <w:num w:numId="16" w16cid:durableId="1370255415">
    <w:abstractNumId w:val="87"/>
  </w:num>
  <w:num w:numId="17" w16cid:durableId="219170663">
    <w:abstractNumId w:val="17"/>
  </w:num>
  <w:num w:numId="18" w16cid:durableId="1599678574">
    <w:abstractNumId w:val="91"/>
  </w:num>
  <w:num w:numId="19" w16cid:durableId="56518976">
    <w:abstractNumId w:val="94"/>
  </w:num>
  <w:num w:numId="20" w16cid:durableId="436020838">
    <w:abstractNumId w:val="11"/>
  </w:num>
  <w:num w:numId="21" w16cid:durableId="792985825">
    <w:abstractNumId w:val="115"/>
  </w:num>
  <w:num w:numId="22" w16cid:durableId="1460345849">
    <w:abstractNumId w:val="224"/>
  </w:num>
  <w:num w:numId="23" w16cid:durableId="429083589">
    <w:abstractNumId w:val="49"/>
  </w:num>
  <w:num w:numId="24" w16cid:durableId="1414815673">
    <w:abstractNumId w:val="197"/>
  </w:num>
  <w:num w:numId="25" w16cid:durableId="2044867435">
    <w:abstractNumId w:val="40"/>
  </w:num>
  <w:num w:numId="26" w16cid:durableId="1202672184">
    <w:abstractNumId w:val="138"/>
  </w:num>
  <w:num w:numId="27" w16cid:durableId="1925994414">
    <w:abstractNumId w:val="38"/>
  </w:num>
  <w:num w:numId="28" w16cid:durableId="831525870">
    <w:abstractNumId w:val="113"/>
  </w:num>
  <w:num w:numId="29" w16cid:durableId="777794770">
    <w:abstractNumId w:val="5"/>
  </w:num>
  <w:num w:numId="30" w16cid:durableId="327024836">
    <w:abstractNumId w:val="14"/>
  </w:num>
  <w:num w:numId="31" w16cid:durableId="933630397">
    <w:abstractNumId w:val="167"/>
  </w:num>
  <w:num w:numId="32" w16cid:durableId="863249941">
    <w:abstractNumId w:val="204"/>
  </w:num>
  <w:num w:numId="33" w16cid:durableId="1745225221">
    <w:abstractNumId w:val="206"/>
  </w:num>
  <w:num w:numId="34" w16cid:durableId="1279146297">
    <w:abstractNumId w:val="160"/>
  </w:num>
  <w:num w:numId="35" w16cid:durableId="419374924">
    <w:abstractNumId w:val="190"/>
  </w:num>
  <w:num w:numId="36" w16cid:durableId="284896642">
    <w:abstractNumId w:val="13"/>
  </w:num>
  <w:num w:numId="37" w16cid:durableId="249196610">
    <w:abstractNumId w:val="65"/>
  </w:num>
  <w:num w:numId="38" w16cid:durableId="1344934261">
    <w:abstractNumId w:val="10"/>
  </w:num>
  <w:num w:numId="39" w16cid:durableId="1037579708">
    <w:abstractNumId w:val="7"/>
  </w:num>
  <w:num w:numId="40" w16cid:durableId="521666920">
    <w:abstractNumId w:val="222"/>
  </w:num>
  <w:num w:numId="41" w16cid:durableId="151798794">
    <w:abstractNumId w:val="132"/>
  </w:num>
  <w:num w:numId="42" w16cid:durableId="217980074">
    <w:abstractNumId w:val="173"/>
  </w:num>
  <w:num w:numId="43" w16cid:durableId="652486186">
    <w:abstractNumId w:val="18"/>
  </w:num>
  <w:num w:numId="44" w16cid:durableId="1734546554">
    <w:abstractNumId w:val="208"/>
  </w:num>
  <w:num w:numId="45" w16cid:durableId="1141924262">
    <w:abstractNumId w:val="83"/>
  </w:num>
  <w:num w:numId="46" w16cid:durableId="1448890482">
    <w:abstractNumId w:val="41"/>
  </w:num>
  <w:num w:numId="47" w16cid:durableId="1987472719">
    <w:abstractNumId w:val="1"/>
  </w:num>
  <w:num w:numId="48" w16cid:durableId="132910738">
    <w:abstractNumId w:val="179"/>
  </w:num>
  <w:num w:numId="49" w16cid:durableId="2047825011">
    <w:abstractNumId w:val="176"/>
  </w:num>
  <w:num w:numId="50" w16cid:durableId="1982616601">
    <w:abstractNumId w:val="145"/>
  </w:num>
  <w:num w:numId="51" w16cid:durableId="763300513">
    <w:abstractNumId w:val="66"/>
  </w:num>
  <w:num w:numId="52" w16cid:durableId="1742748474">
    <w:abstractNumId w:val="169"/>
  </w:num>
  <w:num w:numId="53" w16cid:durableId="487601986">
    <w:abstractNumId w:val="99"/>
  </w:num>
  <w:num w:numId="54" w16cid:durableId="1468664889">
    <w:abstractNumId w:val="134"/>
  </w:num>
  <w:num w:numId="55" w16cid:durableId="56362027">
    <w:abstractNumId w:val="162"/>
  </w:num>
  <w:num w:numId="56" w16cid:durableId="156701271">
    <w:abstractNumId w:val="3"/>
  </w:num>
  <w:num w:numId="57" w16cid:durableId="1017846961">
    <w:abstractNumId w:val="100"/>
  </w:num>
  <w:num w:numId="58" w16cid:durableId="1311204564">
    <w:abstractNumId w:val="98"/>
  </w:num>
  <w:num w:numId="59" w16cid:durableId="1739084683">
    <w:abstractNumId w:val="26"/>
  </w:num>
  <w:num w:numId="60" w16cid:durableId="153647600">
    <w:abstractNumId w:val="116"/>
  </w:num>
  <w:num w:numId="61" w16cid:durableId="2137940686">
    <w:abstractNumId w:val="187"/>
  </w:num>
  <w:num w:numId="62" w16cid:durableId="947739621">
    <w:abstractNumId w:val="126"/>
  </w:num>
  <w:num w:numId="63" w16cid:durableId="899251907">
    <w:abstractNumId w:val="72"/>
  </w:num>
  <w:num w:numId="64" w16cid:durableId="1235554202">
    <w:abstractNumId w:val="90"/>
  </w:num>
  <w:num w:numId="65" w16cid:durableId="302349720">
    <w:abstractNumId w:val="226"/>
  </w:num>
  <w:num w:numId="66" w16cid:durableId="1607225000">
    <w:abstractNumId w:val="34"/>
  </w:num>
  <w:num w:numId="67" w16cid:durableId="377047180">
    <w:abstractNumId w:val="125"/>
  </w:num>
  <w:num w:numId="68" w16cid:durableId="2011523800">
    <w:abstractNumId w:val="139"/>
  </w:num>
  <w:num w:numId="69" w16cid:durableId="885215017">
    <w:abstractNumId w:val="51"/>
  </w:num>
  <w:num w:numId="70" w16cid:durableId="991258437">
    <w:abstractNumId w:val="16"/>
  </w:num>
  <w:num w:numId="71" w16cid:durableId="1858957845">
    <w:abstractNumId w:val="155"/>
  </w:num>
  <w:num w:numId="72" w16cid:durableId="775909647">
    <w:abstractNumId w:val="200"/>
  </w:num>
  <w:num w:numId="73" w16cid:durableId="411394765">
    <w:abstractNumId w:val="137"/>
  </w:num>
  <w:num w:numId="74" w16cid:durableId="1885601913">
    <w:abstractNumId w:val="21"/>
  </w:num>
  <w:num w:numId="75" w16cid:durableId="142545570">
    <w:abstractNumId w:val="229"/>
  </w:num>
  <w:num w:numId="76" w16cid:durableId="1535995515">
    <w:abstractNumId w:val="184"/>
  </w:num>
  <w:num w:numId="77" w16cid:durableId="434520133">
    <w:abstractNumId w:val="30"/>
  </w:num>
  <w:num w:numId="78" w16cid:durableId="148596910">
    <w:abstractNumId w:val="81"/>
  </w:num>
  <w:num w:numId="79" w16cid:durableId="595215047">
    <w:abstractNumId w:val="174"/>
  </w:num>
  <w:num w:numId="80" w16cid:durableId="765350382">
    <w:abstractNumId w:val="121"/>
  </w:num>
  <w:num w:numId="81" w16cid:durableId="1487742839">
    <w:abstractNumId w:val="141"/>
  </w:num>
  <w:num w:numId="82" w16cid:durableId="1835028225">
    <w:abstractNumId w:val="37"/>
  </w:num>
  <w:num w:numId="83" w16cid:durableId="907232322">
    <w:abstractNumId w:val="178"/>
  </w:num>
  <w:num w:numId="84" w16cid:durableId="1098402621">
    <w:abstractNumId w:val="120"/>
  </w:num>
  <w:num w:numId="85" w16cid:durableId="1865098279">
    <w:abstractNumId w:val="216"/>
  </w:num>
  <w:num w:numId="86" w16cid:durableId="423112721">
    <w:abstractNumId w:val="6"/>
  </w:num>
  <w:num w:numId="87" w16cid:durableId="1126968338">
    <w:abstractNumId w:val="195"/>
  </w:num>
  <w:num w:numId="88" w16cid:durableId="2059356730">
    <w:abstractNumId w:val="117"/>
  </w:num>
  <w:num w:numId="89" w16cid:durableId="1392928141">
    <w:abstractNumId w:val="104"/>
  </w:num>
  <w:num w:numId="90" w16cid:durableId="528104744">
    <w:abstractNumId w:val="207"/>
  </w:num>
  <w:num w:numId="91" w16cid:durableId="1477605386">
    <w:abstractNumId w:val="60"/>
  </w:num>
  <w:num w:numId="92" w16cid:durableId="1787768342">
    <w:abstractNumId w:val="75"/>
  </w:num>
  <w:num w:numId="93" w16cid:durableId="1974363181">
    <w:abstractNumId w:val="111"/>
  </w:num>
  <w:num w:numId="94" w16cid:durableId="167403177">
    <w:abstractNumId w:val="127"/>
  </w:num>
  <w:num w:numId="95" w16cid:durableId="1115369426">
    <w:abstractNumId w:val="67"/>
  </w:num>
  <w:num w:numId="96" w16cid:durableId="1687247847">
    <w:abstractNumId w:val="48"/>
  </w:num>
  <w:num w:numId="97" w16cid:durableId="1460371250">
    <w:abstractNumId w:val="46"/>
  </w:num>
  <w:num w:numId="98" w16cid:durableId="625165336">
    <w:abstractNumId w:val="170"/>
  </w:num>
  <w:num w:numId="99" w16cid:durableId="1383557254">
    <w:abstractNumId w:val="130"/>
  </w:num>
  <w:num w:numId="100" w16cid:durableId="1392658212">
    <w:abstractNumId w:val="102"/>
  </w:num>
  <w:num w:numId="101" w16cid:durableId="1362898022">
    <w:abstractNumId w:val="47"/>
  </w:num>
  <w:num w:numId="102" w16cid:durableId="1346054517">
    <w:abstractNumId w:val="165"/>
  </w:num>
  <w:num w:numId="103" w16cid:durableId="1481733881">
    <w:abstractNumId w:val="93"/>
  </w:num>
  <w:num w:numId="104" w16cid:durableId="2116705319">
    <w:abstractNumId w:val="110"/>
  </w:num>
  <w:num w:numId="105" w16cid:durableId="1852184615">
    <w:abstractNumId w:val="82"/>
  </w:num>
  <w:num w:numId="106" w16cid:durableId="814757902">
    <w:abstractNumId w:val="182"/>
  </w:num>
  <w:num w:numId="107" w16cid:durableId="737170558">
    <w:abstractNumId w:val="89"/>
  </w:num>
  <w:num w:numId="108" w16cid:durableId="963266927">
    <w:abstractNumId w:val="205"/>
  </w:num>
  <w:num w:numId="109" w16cid:durableId="1201283752">
    <w:abstractNumId w:val="159"/>
  </w:num>
  <w:num w:numId="110" w16cid:durableId="1493527077">
    <w:abstractNumId w:val="186"/>
  </w:num>
  <w:num w:numId="111" w16cid:durableId="2124839028">
    <w:abstractNumId w:val="73"/>
  </w:num>
  <w:num w:numId="112" w16cid:durableId="1075396044">
    <w:abstractNumId w:val="202"/>
  </w:num>
  <w:num w:numId="113" w16cid:durableId="76287782">
    <w:abstractNumId w:val="144"/>
  </w:num>
  <w:num w:numId="114" w16cid:durableId="1511332516">
    <w:abstractNumId w:val="15"/>
  </w:num>
  <w:num w:numId="115" w16cid:durableId="345793620">
    <w:abstractNumId w:val="220"/>
  </w:num>
  <w:num w:numId="116" w16cid:durableId="750733542">
    <w:abstractNumId w:val="193"/>
  </w:num>
  <w:num w:numId="117" w16cid:durableId="800608506">
    <w:abstractNumId w:val="12"/>
  </w:num>
  <w:num w:numId="118" w16cid:durableId="970357312">
    <w:abstractNumId w:val="228"/>
  </w:num>
  <w:num w:numId="119" w16cid:durableId="1850678011">
    <w:abstractNumId w:val="194"/>
  </w:num>
  <w:num w:numId="120" w16cid:durableId="877477223">
    <w:abstractNumId w:val="214"/>
  </w:num>
  <w:num w:numId="121" w16cid:durableId="1853952500">
    <w:abstractNumId w:val="156"/>
  </w:num>
  <w:num w:numId="122" w16cid:durableId="1850874820">
    <w:abstractNumId w:val="36"/>
  </w:num>
  <w:num w:numId="123" w16cid:durableId="1898979077">
    <w:abstractNumId w:val="150"/>
  </w:num>
  <w:num w:numId="124" w16cid:durableId="1839533801">
    <w:abstractNumId w:val="118"/>
  </w:num>
  <w:num w:numId="125" w16cid:durableId="1842500031">
    <w:abstractNumId w:val="4"/>
  </w:num>
  <w:num w:numId="126" w16cid:durableId="1319000179">
    <w:abstractNumId w:val="105"/>
  </w:num>
  <w:num w:numId="127" w16cid:durableId="1944260981">
    <w:abstractNumId w:val="154"/>
  </w:num>
  <w:num w:numId="128" w16cid:durableId="1921597151">
    <w:abstractNumId w:val="43"/>
  </w:num>
  <w:num w:numId="129" w16cid:durableId="1543053340">
    <w:abstractNumId w:val="185"/>
  </w:num>
  <w:num w:numId="130" w16cid:durableId="1517111007">
    <w:abstractNumId w:val="223"/>
  </w:num>
  <w:num w:numId="131" w16cid:durableId="703402202">
    <w:abstractNumId w:val="148"/>
  </w:num>
  <w:num w:numId="132" w16cid:durableId="888301010">
    <w:abstractNumId w:val="203"/>
  </w:num>
  <w:num w:numId="133" w16cid:durableId="1342706714">
    <w:abstractNumId w:val="140"/>
  </w:num>
  <w:num w:numId="134" w16cid:durableId="2138717188">
    <w:abstractNumId w:val="55"/>
  </w:num>
  <w:num w:numId="135" w16cid:durableId="919289626">
    <w:abstractNumId w:val="42"/>
  </w:num>
  <w:num w:numId="136" w16cid:durableId="1079207355">
    <w:abstractNumId w:val="78"/>
  </w:num>
  <w:num w:numId="137" w16cid:durableId="1254850429">
    <w:abstractNumId w:val="71"/>
  </w:num>
  <w:num w:numId="138" w16cid:durableId="210191945">
    <w:abstractNumId w:val="131"/>
  </w:num>
  <w:num w:numId="139" w16cid:durableId="495847713">
    <w:abstractNumId w:val="199"/>
  </w:num>
  <w:num w:numId="140" w16cid:durableId="414523394">
    <w:abstractNumId w:val="63"/>
  </w:num>
  <w:num w:numId="141" w16cid:durableId="1582988481">
    <w:abstractNumId w:val="166"/>
  </w:num>
  <w:num w:numId="142" w16cid:durableId="282346413">
    <w:abstractNumId w:val="31"/>
  </w:num>
  <w:num w:numId="143" w16cid:durableId="503016618">
    <w:abstractNumId w:val="19"/>
  </w:num>
  <w:num w:numId="144" w16cid:durableId="1091582214">
    <w:abstractNumId w:val="196"/>
  </w:num>
  <w:num w:numId="145" w16cid:durableId="875586369">
    <w:abstractNumId w:val="147"/>
  </w:num>
  <w:num w:numId="146" w16cid:durableId="362486997">
    <w:abstractNumId w:val="163"/>
  </w:num>
  <w:num w:numId="147" w16cid:durableId="2018262273">
    <w:abstractNumId w:val="189"/>
  </w:num>
  <w:num w:numId="148" w16cid:durableId="487089906">
    <w:abstractNumId w:val="95"/>
  </w:num>
  <w:num w:numId="149" w16cid:durableId="472604345">
    <w:abstractNumId w:val="188"/>
  </w:num>
  <w:num w:numId="150" w16cid:durableId="1970014755">
    <w:abstractNumId w:val="219"/>
  </w:num>
  <w:num w:numId="151" w16cid:durableId="201524328">
    <w:abstractNumId w:val="24"/>
  </w:num>
  <w:num w:numId="152" w16cid:durableId="1758943689">
    <w:abstractNumId w:val="80"/>
  </w:num>
  <w:num w:numId="153" w16cid:durableId="1319848849">
    <w:abstractNumId w:val="69"/>
  </w:num>
  <w:num w:numId="154" w16cid:durableId="1281568228">
    <w:abstractNumId w:val="164"/>
  </w:num>
  <w:num w:numId="155" w16cid:durableId="809321066">
    <w:abstractNumId w:val="64"/>
  </w:num>
  <w:num w:numId="156" w16cid:durableId="883714817">
    <w:abstractNumId w:val="198"/>
  </w:num>
  <w:num w:numId="157" w16cid:durableId="137963995">
    <w:abstractNumId w:val="0"/>
  </w:num>
  <w:num w:numId="158" w16cid:durableId="1101484998">
    <w:abstractNumId w:val="45"/>
  </w:num>
  <w:num w:numId="159" w16cid:durableId="1551844839">
    <w:abstractNumId w:val="153"/>
  </w:num>
  <w:num w:numId="160" w16cid:durableId="1434519682">
    <w:abstractNumId w:val="225"/>
  </w:num>
  <w:num w:numId="161" w16cid:durableId="550269148">
    <w:abstractNumId w:val="101"/>
  </w:num>
  <w:num w:numId="162" w16cid:durableId="1448155797">
    <w:abstractNumId w:val="68"/>
  </w:num>
  <w:num w:numId="163" w16cid:durableId="586110262">
    <w:abstractNumId w:val="133"/>
  </w:num>
  <w:num w:numId="164" w16cid:durableId="2063863569">
    <w:abstractNumId w:val="107"/>
  </w:num>
  <w:num w:numId="165" w16cid:durableId="1912885374">
    <w:abstractNumId w:val="77"/>
  </w:num>
  <w:num w:numId="166" w16cid:durableId="1615164284">
    <w:abstractNumId w:val="44"/>
  </w:num>
  <w:num w:numId="167" w16cid:durableId="1878853612">
    <w:abstractNumId w:val="180"/>
  </w:num>
  <w:num w:numId="168" w16cid:durableId="2029788470">
    <w:abstractNumId w:val="218"/>
  </w:num>
  <w:num w:numId="169" w16cid:durableId="1660884670">
    <w:abstractNumId w:val="54"/>
  </w:num>
  <w:num w:numId="170" w16cid:durableId="1922714909">
    <w:abstractNumId w:val="230"/>
  </w:num>
  <w:num w:numId="171" w16cid:durableId="75370669">
    <w:abstractNumId w:val="136"/>
  </w:num>
  <w:num w:numId="172" w16cid:durableId="640773442">
    <w:abstractNumId w:val="172"/>
  </w:num>
  <w:num w:numId="173" w16cid:durableId="398753367">
    <w:abstractNumId w:val="128"/>
  </w:num>
  <w:num w:numId="174" w16cid:durableId="1109861959">
    <w:abstractNumId w:val="70"/>
  </w:num>
  <w:num w:numId="175" w16cid:durableId="2147115072">
    <w:abstractNumId w:val="84"/>
  </w:num>
  <w:num w:numId="176" w16cid:durableId="454832448">
    <w:abstractNumId w:val="221"/>
  </w:num>
  <w:num w:numId="177" w16cid:durableId="1072001447">
    <w:abstractNumId w:val="211"/>
  </w:num>
  <w:num w:numId="178" w16cid:durableId="1392772429">
    <w:abstractNumId w:val="210"/>
  </w:num>
  <w:num w:numId="179" w16cid:durableId="206308380">
    <w:abstractNumId w:val="25"/>
  </w:num>
  <w:num w:numId="180" w16cid:durableId="1692218677">
    <w:abstractNumId w:val="191"/>
  </w:num>
  <w:num w:numId="181" w16cid:durableId="1433431512">
    <w:abstractNumId w:val="135"/>
  </w:num>
  <w:num w:numId="182" w16cid:durableId="1724520424">
    <w:abstractNumId w:val="161"/>
  </w:num>
  <w:num w:numId="183" w16cid:durableId="1487236632">
    <w:abstractNumId w:val="106"/>
  </w:num>
  <w:num w:numId="184" w16cid:durableId="275480234">
    <w:abstractNumId w:val="74"/>
  </w:num>
  <w:num w:numId="185" w16cid:durableId="895236648">
    <w:abstractNumId w:val="142"/>
  </w:num>
  <w:num w:numId="186" w16cid:durableId="1180050656">
    <w:abstractNumId w:val="27"/>
  </w:num>
  <w:num w:numId="187" w16cid:durableId="2053268860">
    <w:abstractNumId w:val="157"/>
  </w:num>
  <w:num w:numId="188" w16cid:durableId="981884657">
    <w:abstractNumId w:val="192"/>
  </w:num>
  <w:num w:numId="189" w16cid:durableId="1078287686">
    <w:abstractNumId w:val="97"/>
  </w:num>
  <w:num w:numId="190" w16cid:durableId="1600943079">
    <w:abstractNumId w:val="212"/>
  </w:num>
  <w:num w:numId="191" w16cid:durableId="224147139">
    <w:abstractNumId w:val="86"/>
  </w:num>
  <w:num w:numId="192" w16cid:durableId="1421560947">
    <w:abstractNumId w:val="103"/>
  </w:num>
  <w:num w:numId="193" w16cid:durableId="858203021">
    <w:abstractNumId w:val="57"/>
  </w:num>
  <w:num w:numId="194" w16cid:durableId="1900897462">
    <w:abstractNumId w:val="217"/>
  </w:num>
  <w:num w:numId="195" w16cid:durableId="1147012422">
    <w:abstractNumId w:val="35"/>
  </w:num>
  <w:num w:numId="196" w16cid:durableId="1539973801">
    <w:abstractNumId w:val="52"/>
  </w:num>
  <w:num w:numId="197" w16cid:durableId="1064793576">
    <w:abstractNumId w:val="32"/>
  </w:num>
  <w:num w:numId="198" w16cid:durableId="1629165598">
    <w:abstractNumId w:val="23"/>
  </w:num>
  <w:num w:numId="199" w16cid:durableId="1450592033">
    <w:abstractNumId w:val="201"/>
  </w:num>
  <w:num w:numId="200" w16cid:durableId="1022248982">
    <w:abstractNumId w:val="85"/>
  </w:num>
  <w:num w:numId="201" w16cid:durableId="2081903976">
    <w:abstractNumId w:val="39"/>
  </w:num>
  <w:num w:numId="202" w16cid:durableId="1347555281">
    <w:abstractNumId w:val="56"/>
  </w:num>
  <w:num w:numId="203" w16cid:durableId="446511228">
    <w:abstractNumId w:val="124"/>
  </w:num>
  <w:num w:numId="204" w16cid:durableId="1236892746">
    <w:abstractNumId w:val="151"/>
  </w:num>
  <w:num w:numId="205" w16cid:durableId="423115397">
    <w:abstractNumId w:val="152"/>
  </w:num>
  <w:num w:numId="206" w16cid:durableId="1388649649">
    <w:abstractNumId w:val="143"/>
  </w:num>
  <w:num w:numId="207" w16cid:durableId="866990779">
    <w:abstractNumId w:val="158"/>
  </w:num>
  <w:num w:numId="208" w16cid:durableId="2108386798">
    <w:abstractNumId w:val="59"/>
  </w:num>
  <w:num w:numId="209" w16cid:durableId="2013993121">
    <w:abstractNumId w:val="88"/>
  </w:num>
  <w:num w:numId="210" w16cid:durableId="1744526970">
    <w:abstractNumId w:val="22"/>
  </w:num>
  <w:num w:numId="211" w16cid:durableId="1565986486">
    <w:abstractNumId w:val="177"/>
  </w:num>
  <w:num w:numId="212" w16cid:durableId="334498570">
    <w:abstractNumId w:val="50"/>
  </w:num>
  <w:num w:numId="213" w16cid:durableId="519903743">
    <w:abstractNumId w:val="114"/>
  </w:num>
  <w:num w:numId="214" w16cid:durableId="377242809">
    <w:abstractNumId w:val="149"/>
  </w:num>
  <w:num w:numId="215" w16cid:durableId="1500733371">
    <w:abstractNumId w:val="171"/>
  </w:num>
  <w:num w:numId="216" w16cid:durableId="478111120">
    <w:abstractNumId w:val="53"/>
  </w:num>
  <w:num w:numId="217" w16cid:durableId="379671236">
    <w:abstractNumId w:val="8"/>
  </w:num>
  <w:num w:numId="218" w16cid:durableId="1236016451">
    <w:abstractNumId w:val="122"/>
  </w:num>
  <w:num w:numId="219" w16cid:durableId="97869428">
    <w:abstractNumId w:val="213"/>
  </w:num>
  <w:num w:numId="220" w16cid:durableId="768350210">
    <w:abstractNumId w:val="209"/>
  </w:num>
  <w:num w:numId="221" w16cid:durableId="931357460">
    <w:abstractNumId w:val="227"/>
  </w:num>
  <w:num w:numId="222" w16cid:durableId="1265068554">
    <w:abstractNumId w:val="33"/>
  </w:num>
  <w:num w:numId="223" w16cid:durableId="85228563">
    <w:abstractNumId w:val="96"/>
  </w:num>
  <w:num w:numId="224" w16cid:durableId="1718581856">
    <w:abstractNumId w:val="58"/>
  </w:num>
  <w:num w:numId="225" w16cid:durableId="2024162523">
    <w:abstractNumId w:val="146"/>
  </w:num>
  <w:num w:numId="226" w16cid:durableId="1854612312">
    <w:abstractNumId w:val="109"/>
  </w:num>
  <w:num w:numId="227" w16cid:durableId="17241978">
    <w:abstractNumId w:val="123"/>
  </w:num>
  <w:num w:numId="228" w16cid:durableId="35474132">
    <w:abstractNumId w:val="108"/>
  </w:num>
  <w:num w:numId="229" w16cid:durableId="1113551828">
    <w:abstractNumId w:val="112"/>
  </w:num>
  <w:num w:numId="230" w16cid:durableId="2128501923">
    <w:abstractNumId w:val="119"/>
  </w:num>
  <w:num w:numId="231" w16cid:durableId="73879281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A58DB"/>
    <w:rsid w:val="0069654A"/>
    <w:rsid w:val="007C2D14"/>
    <w:rsid w:val="009A5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0643"/>
  <w15:docId w15:val="{FD8033EE-CC7F-4D94-A956-D2A63D75C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3"/>
      <w:ind w:left="990" w:hanging="630"/>
      <w:outlineLvl w:val="0"/>
    </w:pPr>
    <w:rPr>
      <w:b/>
      <w:bCs/>
      <w:sz w:val="42"/>
      <w:szCs w:val="42"/>
    </w:rPr>
  </w:style>
  <w:style w:type="paragraph" w:styleId="Heading2">
    <w:name w:val="heading 2"/>
    <w:basedOn w:val="Normal"/>
    <w:uiPriority w:val="9"/>
    <w:unhideWhenUsed/>
    <w:qFormat/>
    <w:pPr>
      <w:spacing w:before="91"/>
      <w:ind w:left="360"/>
      <w:jc w:val="both"/>
      <w:outlineLvl w:val="1"/>
    </w:pPr>
    <w:rPr>
      <w:b/>
      <w:bCs/>
      <w:i/>
      <w:iCs/>
      <w:sz w:val="42"/>
      <w:szCs w:val="42"/>
    </w:rPr>
  </w:style>
  <w:style w:type="paragraph" w:styleId="Heading3">
    <w:name w:val="heading 3"/>
    <w:basedOn w:val="Normal"/>
    <w:uiPriority w:val="9"/>
    <w:unhideWhenUsed/>
    <w:qFormat/>
    <w:pPr>
      <w:spacing w:before="106"/>
      <w:ind w:left="1136" w:hanging="776"/>
      <w:jc w:val="both"/>
      <w:outlineLvl w:val="2"/>
    </w:pPr>
    <w:rPr>
      <w:b/>
      <w:bCs/>
      <w:sz w:val="34"/>
      <w:szCs w:val="34"/>
    </w:rPr>
  </w:style>
  <w:style w:type="paragraph" w:styleId="Heading4">
    <w:name w:val="heading 4"/>
    <w:basedOn w:val="Normal"/>
    <w:uiPriority w:val="9"/>
    <w:unhideWhenUsed/>
    <w:qFormat/>
    <w:pPr>
      <w:spacing w:before="101"/>
      <w:ind w:left="360"/>
      <w:jc w:val="both"/>
      <w:outlineLvl w:val="3"/>
    </w:pPr>
    <w:rPr>
      <w:b/>
      <w:bCs/>
      <w:i/>
      <w:iCs/>
      <w:sz w:val="34"/>
      <w:szCs w:val="34"/>
    </w:rPr>
  </w:style>
  <w:style w:type="paragraph" w:styleId="Heading5">
    <w:name w:val="heading 5"/>
    <w:basedOn w:val="Normal"/>
    <w:uiPriority w:val="9"/>
    <w:unhideWhenUsed/>
    <w:qFormat/>
    <w:pPr>
      <w:ind w:left="360"/>
      <w:jc w:val="both"/>
      <w:outlineLvl w:val="4"/>
    </w:pPr>
    <w:rPr>
      <w:b/>
      <w:bCs/>
      <w:sz w:val="30"/>
      <w:szCs w:val="30"/>
    </w:rPr>
  </w:style>
  <w:style w:type="paragraph" w:styleId="Heading6">
    <w:name w:val="heading 6"/>
    <w:basedOn w:val="Normal"/>
    <w:uiPriority w:val="9"/>
    <w:unhideWhenUsed/>
    <w:qFormat/>
    <w:pPr>
      <w:spacing w:before="15"/>
      <w:ind w:left="360"/>
      <w:jc w:val="both"/>
      <w:outlineLvl w:val="5"/>
    </w:pPr>
    <w:rPr>
      <w:b/>
      <w:bCs/>
      <w:i/>
      <w:i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30"/>
      <w:szCs w:val="30"/>
    </w:rPr>
  </w:style>
  <w:style w:type="paragraph" w:styleId="Title">
    <w:name w:val="Title"/>
    <w:basedOn w:val="Normal"/>
    <w:uiPriority w:val="10"/>
    <w:qFormat/>
    <w:pPr>
      <w:ind w:left="332" w:right="332"/>
      <w:jc w:val="center"/>
    </w:pPr>
    <w:rPr>
      <w:b/>
      <w:bCs/>
      <w:sz w:val="60"/>
      <w:szCs w:val="60"/>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gnet.mit.edu/posters/TUCSON3/Levine.html" TargetMode="External"/><Relationship Id="rId3" Type="http://schemas.openxmlformats.org/officeDocument/2006/relationships/settings" Target="settings.xml"/><Relationship Id="rId7" Type="http://schemas.openxmlformats.org/officeDocument/2006/relationships/hyperlink" Target="http://fair-use.org/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s.nyu.edu/pipermail/fom/2005-September/009079.html"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954</Pages>
  <Words>373502</Words>
  <Characters>1818959</Characters>
  <Application>Microsoft Office Word</Application>
  <DocSecurity>0</DocSecurity>
  <Lines>35665</Lines>
  <Paragraphs>10747</Paragraphs>
  <ScaleCrop>false</ScaleCrop>
  <Company/>
  <LinksUpToDate>false</LinksUpToDate>
  <CharactersWithSpaces>2181714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 Philosophy</dc:title>
  <dc:creator>John-Michael Kuczynski</dc:creator>
  <cp:lastModifiedBy>JM Kuczynski</cp:lastModifiedBy>
  <cp:revision>2</cp:revision>
  <dcterms:created xsi:type="dcterms:W3CDTF">2025-11-06T13:47:00Z</dcterms:created>
  <dcterms:modified xsi:type="dcterms:W3CDTF">2025-11-06T13:48:00Z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2025-11-06T00:00:00Z</vt:filetime>
  </property>
</Properties>
</file>